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22F6" w:rsidRDefault="009822F6" w:rsidP="009822F6">
      <w:pPr>
        <w:pStyle w:val="Portada1"/>
      </w:pPr>
      <w:bookmarkStart w:id="0" w:name="_GoBack"/>
      <w:bookmarkEnd w:id="0"/>
      <w:r>
        <w:t>TRIBUNAL CONSTITUCIONAL</w:t>
      </w:r>
    </w:p>
    <w:p w:rsidR="00163957" w:rsidRDefault="00163957" w:rsidP="009822F6">
      <w:pPr>
        <w:pStyle w:val="Portada1"/>
      </w:pPr>
    </w:p>
    <w:p w:rsidR="009822F6" w:rsidRDefault="009822F6" w:rsidP="009822F6">
      <w:pPr>
        <w:pStyle w:val="Portada2"/>
      </w:pPr>
      <w:r>
        <w:t>SECRETARÍA GENERAL</w:t>
      </w:r>
    </w:p>
    <w:p w:rsidR="009822F6" w:rsidRDefault="009822F6" w:rsidP="009822F6">
      <w:pPr>
        <w:pStyle w:val="Portada2"/>
      </w:pPr>
    </w:p>
    <w:p w:rsidR="009822F6" w:rsidRDefault="009822F6" w:rsidP="009822F6">
      <w:pPr>
        <w:pStyle w:val="Portada2"/>
      </w:pPr>
    </w:p>
    <w:p w:rsidR="009822F6" w:rsidRDefault="009822F6" w:rsidP="009822F6">
      <w:pPr>
        <w:pStyle w:val="Portada2"/>
      </w:pPr>
    </w:p>
    <w:p w:rsidR="009822F6" w:rsidRDefault="009822F6" w:rsidP="009822F6">
      <w:pPr>
        <w:pStyle w:val="Portada2"/>
      </w:pPr>
    </w:p>
    <w:p w:rsidR="009822F6" w:rsidRDefault="009822F6" w:rsidP="009822F6">
      <w:pPr>
        <w:pStyle w:val="Portada2"/>
      </w:pPr>
    </w:p>
    <w:p w:rsidR="009822F6" w:rsidRDefault="009822F6" w:rsidP="009822F6">
      <w:pPr>
        <w:pStyle w:val="Portada2"/>
      </w:pPr>
    </w:p>
    <w:p w:rsidR="009822F6" w:rsidRDefault="009822F6" w:rsidP="009822F6">
      <w:pPr>
        <w:pStyle w:val="Portada2"/>
      </w:pPr>
    </w:p>
    <w:p w:rsidR="009822F6" w:rsidRDefault="009822F6" w:rsidP="009822F6">
      <w:pPr>
        <w:pStyle w:val="Portada2"/>
      </w:pPr>
    </w:p>
    <w:p w:rsidR="009822F6" w:rsidRDefault="009822F6" w:rsidP="009822F6">
      <w:pPr>
        <w:pStyle w:val="PortadaPrincipal"/>
      </w:pPr>
      <w:r>
        <w:t>JURISPRUDENCIA</w:t>
      </w:r>
    </w:p>
    <w:p w:rsidR="009822F6" w:rsidRDefault="009822F6" w:rsidP="009822F6">
      <w:pPr>
        <w:pStyle w:val="PortadaPrincipal"/>
      </w:pPr>
      <w:r>
        <w:t>CONSTITUCIONAL</w:t>
      </w:r>
    </w:p>
    <w:p w:rsidR="009822F6" w:rsidRDefault="009822F6" w:rsidP="009822F6">
      <w:pPr>
        <w:pStyle w:val="PortadaPrincipal"/>
      </w:pPr>
    </w:p>
    <w:p w:rsidR="009822F6" w:rsidRPr="009822F6" w:rsidRDefault="009822F6" w:rsidP="009822F6">
      <w:pPr>
        <w:pStyle w:val="Portada1"/>
        <w:rPr>
          <w:b/>
        </w:rPr>
      </w:pPr>
      <w:r w:rsidRPr="009822F6">
        <w:rPr>
          <w:b/>
        </w:rPr>
        <w:t>TOMO NONAGÉSIMO OCTAVO</w:t>
      </w:r>
    </w:p>
    <w:p w:rsidR="009822F6" w:rsidRPr="009822F6" w:rsidRDefault="009822F6" w:rsidP="009822F6">
      <w:pPr>
        <w:pStyle w:val="Portada1"/>
        <w:rPr>
          <w:b/>
        </w:rPr>
      </w:pPr>
      <w:r w:rsidRPr="009822F6">
        <w:rPr>
          <w:b/>
        </w:rPr>
        <w:t>(enero - junio 2016)</w:t>
      </w:r>
    </w:p>
    <w:p w:rsidR="009822F6" w:rsidRDefault="009822F6" w:rsidP="009822F6">
      <w:pPr>
        <w:pStyle w:val="Portada1"/>
      </w:pPr>
    </w:p>
    <w:p w:rsidR="009822F6" w:rsidRDefault="009822F6" w:rsidP="009822F6">
      <w:pPr>
        <w:pStyle w:val="Portada1"/>
      </w:pPr>
    </w:p>
    <w:p w:rsidR="009822F6" w:rsidRDefault="009822F6" w:rsidP="009822F6">
      <w:pPr>
        <w:pStyle w:val="Portada1"/>
      </w:pPr>
    </w:p>
    <w:p w:rsidR="009822F6" w:rsidRDefault="009822F6" w:rsidP="009822F6">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9822F6" w:rsidRDefault="009822F6" w:rsidP="009822F6">
      <w:pPr>
        <w:pStyle w:val="Portada1"/>
      </w:pPr>
    </w:p>
    <w:p w:rsidR="009822F6" w:rsidRDefault="009822F6" w:rsidP="009822F6">
      <w:pPr>
        <w:pStyle w:val="Portada1"/>
      </w:pPr>
    </w:p>
    <w:p w:rsidR="009822F6" w:rsidRDefault="009822F6" w:rsidP="009822F6">
      <w:pPr>
        <w:pStyle w:val="Portada1"/>
      </w:pPr>
    </w:p>
    <w:p w:rsidR="009822F6" w:rsidRDefault="009822F6" w:rsidP="009822F6">
      <w:pPr>
        <w:pStyle w:val="Portada1"/>
      </w:pPr>
    </w:p>
    <w:p w:rsidR="009822F6" w:rsidRDefault="009822F6" w:rsidP="009822F6">
      <w:pPr>
        <w:pStyle w:val="Portada1"/>
      </w:pPr>
    </w:p>
    <w:p w:rsidR="009822F6" w:rsidRDefault="009822F6" w:rsidP="009822F6">
      <w:pPr>
        <w:pStyle w:val="Portada2"/>
      </w:pPr>
      <w:r>
        <w:t>MADRID 2016</w:t>
      </w:r>
    </w:p>
    <w:p w:rsidR="00DC1C29" w:rsidRDefault="00DC1C29">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DC1C29" w:rsidRDefault="00DC1C29" w:rsidP="00DC1C29">
      <w:pPr>
        <w:pStyle w:val="CabeceraApartadoDerecha"/>
      </w:pPr>
      <w:r>
        <w:lastRenderedPageBreak/>
        <w:t>CONTENIDO</w:t>
      </w:r>
    </w:p>
    <w:p w:rsidR="00163957" w:rsidRDefault="00163957" w:rsidP="00DC1C29">
      <w:pPr>
        <w:pStyle w:val="CabeceraApartadoDerecha"/>
      </w:pPr>
    </w:p>
    <w:p w:rsidR="00DC1C29" w:rsidRDefault="00DC1C29" w:rsidP="00DC1C29">
      <w:pPr>
        <w:pStyle w:val="EntradandiceSumario"/>
        <w:keepNext w:val="0"/>
      </w:pPr>
      <w:r>
        <w:t>1. SENTENCIAS: STC 1/2016 A STC 124/2016</w:t>
      </w:r>
      <w:r>
        <w:tab/>
      </w:r>
      <w:r>
        <w:tab/>
      </w:r>
      <w:r>
        <w:fldChar w:fldCharType="begin"/>
      </w:r>
      <w:r>
        <w:instrText xml:space="preserve"> PAGEREF SUMARIOSENTENCIAS \h </w:instrText>
      </w:r>
      <w:r>
        <w:fldChar w:fldCharType="separate"/>
      </w:r>
      <w:r w:rsidR="00C13A87">
        <w:rPr>
          <w:noProof/>
        </w:rPr>
        <w:t>3</w:t>
      </w:r>
      <w:r>
        <w:fldChar w:fldCharType="end"/>
      </w:r>
    </w:p>
    <w:p w:rsidR="00DC1C29" w:rsidRDefault="00DC1C29" w:rsidP="00DC1C29">
      <w:pPr>
        <w:pStyle w:val="EntradandiceSumario"/>
        <w:keepNext w:val="0"/>
      </w:pPr>
    </w:p>
    <w:p w:rsidR="00DC1C29" w:rsidRDefault="00DC1C29" w:rsidP="00DC1C29">
      <w:pPr>
        <w:pStyle w:val="EntradandiceSumario"/>
        <w:keepNext w:val="0"/>
      </w:pPr>
      <w:bookmarkStart w:id="1" w:name="SUMARIOSINDICES"/>
      <w:r>
        <w:t>2. AUTOS: ATC 1/2016 A ATC 134/2016</w:t>
      </w:r>
      <w:r>
        <w:tab/>
      </w:r>
      <w:r>
        <w:tab/>
      </w:r>
      <w:r>
        <w:fldChar w:fldCharType="begin"/>
      </w:r>
      <w:r>
        <w:instrText xml:space="preserve"> PAGEREF SUMARIOSAUTOS \h </w:instrText>
      </w:r>
      <w:r>
        <w:fldChar w:fldCharType="separate"/>
      </w:r>
      <w:r w:rsidR="00C13A87">
        <w:rPr>
          <w:noProof/>
        </w:rPr>
        <w:t>27</w:t>
      </w:r>
      <w:r>
        <w:fldChar w:fldCharType="end"/>
      </w:r>
    </w:p>
    <w:bookmarkEnd w:id="1"/>
    <w:p w:rsidR="00DC1C29" w:rsidRDefault="00DC1C29" w:rsidP="00DC1C29">
      <w:pPr>
        <w:pStyle w:val="EntradandiceSumario"/>
        <w:keepNext w:val="0"/>
      </w:pPr>
    </w:p>
    <w:p w:rsidR="00DC1C29" w:rsidRDefault="00DC1C29" w:rsidP="00DC1C29">
      <w:pPr>
        <w:pStyle w:val="EntradandiceSumario"/>
        <w:keepNext w:val="0"/>
      </w:pPr>
      <w:r>
        <w:t>3. ÍNDICE DE DISPOSICIONES CON FUERZA DE LEY IMPUGNADAS:</w:t>
      </w:r>
    </w:p>
    <w:p w:rsidR="00DC1C29" w:rsidRDefault="00DC1C29" w:rsidP="00DC1C29">
      <w:pPr>
        <w:pStyle w:val="EntradandiceSumario"/>
        <w:keepNext w:val="0"/>
      </w:pPr>
    </w:p>
    <w:p w:rsidR="00DC1C29" w:rsidRDefault="00DC1C29" w:rsidP="00DC1C29">
      <w:pPr>
        <w:pStyle w:val="EntradandiceSumarioNivel2"/>
        <w:keepNext w:val="0"/>
      </w:pPr>
      <w:r>
        <w:t>A) Disposiciones con fuerza de ley del Estado</w:t>
      </w:r>
      <w:r>
        <w:tab/>
      </w:r>
      <w:r>
        <w:tab/>
      </w:r>
      <w:r>
        <w:fldChar w:fldCharType="begin"/>
      </w:r>
      <w:r>
        <w:instrText xml:space="preserve"> PAGEREF INDICE22802 \h </w:instrText>
      </w:r>
      <w:r>
        <w:fldChar w:fldCharType="separate"/>
      </w:r>
      <w:r w:rsidR="00C13A87">
        <w:rPr>
          <w:noProof/>
        </w:rPr>
        <w:t>3296</w:t>
      </w:r>
      <w:r>
        <w:fldChar w:fldCharType="end"/>
      </w:r>
    </w:p>
    <w:p w:rsidR="00DC1C29" w:rsidRDefault="00DC1C29" w:rsidP="00DC1C29">
      <w:pPr>
        <w:pStyle w:val="EntradandiceSumarioNivel2"/>
        <w:keepNext w:val="0"/>
      </w:pPr>
      <w:r>
        <w:t>B) Disposiciones con fuerza de ley de las Comunidades Autónomas</w:t>
      </w:r>
      <w:r>
        <w:tab/>
      </w:r>
      <w:r>
        <w:tab/>
      </w:r>
      <w:r>
        <w:fldChar w:fldCharType="begin"/>
      </w:r>
      <w:r>
        <w:instrText xml:space="preserve"> PAGEREF INDICE22806 \h </w:instrText>
      </w:r>
      <w:r>
        <w:fldChar w:fldCharType="separate"/>
      </w:r>
      <w:r w:rsidR="00C13A87">
        <w:rPr>
          <w:noProof/>
        </w:rPr>
        <w:t>3303</w:t>
      </w:r>
      <w:r>
        <w:fldChar w:fldCharType="end"/>
      </w:r>
    </w:p>
    <w:p w:rsidR="00DC1C29" w:rsidRDefault="00DC1C29" w:rsidP="00DC1C29"/>
    <w:p w:rsidR="00DC1C29" w:rsidRDefault="00DC1C29" w:rsidP="00DC1C29">
      <w:pPr>
        <w:pStyle w:val="EntradandiceSumario"/>
        <w:keepNext w:val="0"/>
      </w:pPr>
      <w:r>
        <w:t>4. ÍNDICE DE DISPOSICIONES GENERALES IMPUGNADAS:</w:t>
      </w:r>
    </w:p>
    <w:p w:rsidR="00DC1C29" w:rsidRDefault="00DC1C29" w:rsidP="00DC1C29">
      <w:pPr>
        <w:pStyle w:val="EntradandiceSumario"/>
        <w:keepNext w:val="0"/>
      </w:pPr>
    </w:p>
    <w:p w:rsidR="00DC1C29" w:rsidRDefault="00DC1C29" w:rsidP="00DC1C29">
      <w:pPr>
        <w:pStyle w:val="EntradandiceSumarioNivel2"/>
        <w:keepNext w:val="0"/>
      </w:pPr>
      <w:r>
        <w:t>A) Disposiciones del Estado</w:t>
      </w:r>
      <w:r>
        <w:tab/>
      </w:r>
      <w:r>
        <w:tab/>
      </w:r>
      <w:r>
        <w:fldChar w:fldCharType="begin"/>
      </w:r>
      <w:r>
        <w:instrText xml:space="preserve"> PAGEREF INDICE22803 \h </w:instrText>
      </w:r>
      <w:r>
        <w:fldChar w:fldCharType="separate"/>
      </w:r>
      <w:r w:rsidR="00C13A87">
        <w:rPr>
          <w:noProof/>
        </w:rPr>
        <w:t>3311</w:t>
      </w:r>
      <w:r>
        <w:fldChar w:fldCharType="end"/>
      </w:r>
    </w:p>
    <w:p w:rsidR="00DC1C29" w:rsidRDefault="00DC1C29" w:rsidP="00DC1C29">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C13A87">
        <w:rPr>
          <w:noProof/>
        </w:rPr>
        <w:t>3313</w:t>
      </w:r>
      <w:r>
        <w:fldChar w:fldCharType="end"/>
      </w:r>
    </w:p>
    <w:p w:rsidR="00DC1C29" w:rsidRDefault="00DC1C29" w:rsidP="00DC1C29"/>
    <w:p w:rsidR="00DC1C29" w:rsidRDefault="00DC1C29" w:rsidP="00DC1C29">
      <w:pPr>
        <w:pStyle w:val="EntradandiceSumario"/>
        <w:keepNext w:val="0"/>
      </w:pPr>
      <w:r>
        <w:t>5. ÍNDICE DE DISPOSICIONES CITADAS:</w:t>
      </w:r>
    </w:p>
    <w:p w:rsidR="00DC1C29" w:rsidRDefault="00DC1C29" w:rsidP="00DC1C29">
      <w:pPr>
        <w:pStyle w:val="EntradandiceSumario"/>
        <w:keepNext w:val="0"/>
      </w:pPr>
    </w:p>
    <w:p w:rsidR="00DC1C29" w:rsidRDefault="00DC1C29" w:rsidP="00DC1C29">
      <w:pPr>
        <w:pStyle w:val="EntradandiceSumarioNivel2"/>
        <w:keepNext w:val="0"/>
      </w:pPr>
      <w:r>
        <w:t>A) Constitución</w:t>
      </w:r>
      <w:r>
        <w:tab/>
      </w:r>
      <w:r>
        <w:tab/>
      </w:r>
      <w:r>
        <w:fldChar w:fldCharType="begin"/>
      </w:r>
      <w:r>
        <w:instrText xml:space="preserve"> PAGEREF INDICE22804 \h </w:instrText>
      </w:r>
      <w:r>
        <w:fldChar w:fldCharType="separate"/>
      </w:r>
      <w:r w:rsidR="00C13A87">
        <w:rPr>
          <w:noProof/>
        </w:rPr>
        <w:t>3314</w:t>
      </w:r>
      <w:r>
        <w:fldChar w:fldCharType="end"/>
      </w:r>
    </w:p>
    <w:p w:rsidR="00DC1C29" w:rsidRDefault="00DC1C29" w:rsidP="00DC1C29">
      <w:pPr>
        <w:pStyle w:val="EntradandiceSumarioNivel2"/>
        <w:keepNext w:val="0"/>
      </w:pPr>
      <w:r>
        <w:t>B) Tribunal Constitucional</w:t>
      </w:r>
      <w:r>
        <w:tab/>
      </w:r>
      <w:r>
        <w:tab/>
      </w:r>
      <w:r>
        <w:fldChar w:fldCharType="begin"/>
      </w:r>
      <w:r>
        <w:instrText xml:space="preserve"> PAGEREF INDICE22843 \h </w:instrText>
      </w:r>
      <w:r>
        <w:fldChar w:fldCharType="separate"/>
      </w:r>
      <w:r w:rsidR="00C13A87">
        <w:rPr>
          <w:noProof/>
        </w:rPr>
        <w:t>3323</w:t>
      </w:r>
      <w:r>
        <w:fldChar w:fldCharType="end"/>
      </w:r>
    </w:p>
    <w:p w:rsidR="00DC1C29" w:rsidRDefault="00DC1C29" w:rsidP="00DC1C29">
      <w:pPr>
        <w:pStyle w:val="EntradandiceSumarioNivel2"/>
        <w:keepNext w:val="0"/>
      </w:pPr>
      <w:r>
        <w:t>C) Cortes Generales</w:t>
      </w:r>
      <w:r>
        <w:tab/>
      </w:r>
      <w:r>
        <w:tab/>
      </w:r>
      <w:r>
        <w:fldChar w:fldCharType="begin"/>
      </w:r>
      <w:r>
        <w:instrText xml:space="preserve"> PAGEREF INDICE22844 \h </w:instrText>
      </w:r>
      <w:r>
        <w:fldChar w:fldCharType="separate"/>
      </w:r>
      <w:r w:rsidR="00C13A87">
        <w:rPr>
          <w:noProof/>
        </w:rPr>
        <w:t>3330</w:t>
      </w:r>
      <w:r>
        <w:fldChar w:fldCharType="end"/>
      </w:r>
    </w:p>
    <w:p w:rsidR="00DC1C29" w:rsidRDefault="00DC1C29" w:rsidP="00DC1C29">
      <w:pPr>
        <w:pStyle w:val="EntradandiceSumarioNivel2"/>
        <w:keepNext w:val="0"/>
      </w:pPr>
      <w:r>
        <w:t>D) Leyes Orgánicas</w:t>
      </w:r>
      <w:r>
        <w:tab/>
      </w:r>
      <w:r>
        <w:tab/>
      </w:r>
      <w:r>
        <w:fldChar w:fldCharType="begin"/>
      </w:r>
      <w:r>
        <w:instrText xml:space="preserve"> PAGEREF INDICE22845 \h </w:instrText>
      </w:r>
      <w:r>
        <w:fldChar w:fldCharType="separate"/>
      </w:r>
      <w:r w:rsidR="00C13A87">
        <w:rPr>
          <w:noProof/>
        </w:rPr>
        <w:t>3330</w:t>
      </w:r>
      <w:r>
        <w:fldChar w:fldCharType="end"/>
      </w:r>
    </w:p>
    <w:p w:rsidR="00DC1C29" w:rsidRDefault="00DC1C29" w:rsidP="00DC1C29">
      <w:pPr>
        <w:pStyle w:val="EntradandiceSumarioNivel2"/>
        <w:keepNext w:val="0"/>
      </w:pPr>
      <w:r>
        <w:t>E) Leyes de las Cortes Generales</w:t>
      </w:r>
      <w:r>
        <w:tab/>
      </w:r>
      <w:r>
        <w:tab/>
      </w:r>
      <w:r>
        <w:fldChar w:fldCharType="begin"/>
      </w:r>
      <w:r>
        <w:instrText xml:space="preserve"> PAGEREF INDICE22846 \h </w:instrText>
      </w:r>
      <w:r>
        <w:fldChar w:fldCharType="separate"/>
      </w:r>
      <w:r w:rsidR="00C13A87">
        <w:rPr>
          <w:noProof/>
        </w:rPr>
        <w:t>3340</w:t>
      </w:r>
      <w:r>
        <w:fldChar w:fldCharType="end"/>
      </w:r>
    </w:p>
    <w:p w:rsidR="00DC1C29" w:rsidRDefault="00DC1C29" w:rsidP="00DC1C29">
      <w:pPr>
        <w:pStyle w:val="EntradandiceSumarioNivel2"/>
        <w:keepNext w:val="0"/>
      </w:pPr>
      <w:r>
        <w:t>F) Reales Decretos Legislativos</w:t>
      </w:r>
      <w:r>
        <w:tab/>
      </w:r>
      <w:r>
        <w:tab/>
      </w:r>
      <w:r>
        <w:fldChar w:fldCharType="begin"/>
      </w:r>
      <w:r>
        <w:instrText xml:space="preserve"> PAGEREF INDICE22847 \h </w:instrText>
      </w:r>
      <w:r>
        <w:fldChar w:fldCharType="separate"/>
      </w:r>
      <w:r w:rsidR="00C13A87">
        <w:rPr>
          <w:noProof/>
        </w:rPr>
        <w:t>3373</w:t>
      </w:r>
      <w:r>
        <w:fldChar w:fldCharType="end"/>
      </w:r>
    </w:p>
    <w:p w:rsidR="00DC1C29" w:rsidRDefault="00DC1C29" w:rsidP="00DC1C29">
      <w:pPr>
        <w:pStyle w:val="EntradandiceSumarioNivel2"/>
        <w:keepNext w:val="0"/>
      </w:pPr>
      <w:r>
        <w:t>G) Reales Decretos-leyes</w:t>
      </w:r>
      <w:r>
        <w:tab/>
      </w:r>
      <w:r>
        <w:tab/>
      </w:r>
      <w:r>
        <w:fldChar w:fldCharType="begin"/>
      </w:r>
      <w:r>
        <w:instrText xml:space="preserve"> PAGEREF INDICE22848 \h </w:instrText>
      </w:r>
      <w:r>
        <w:fldChar w:fldCharType="separate"/>
      </w:r>
      <w:r w:rsidR="00C13A87">
        <w:rPr>
          <w:noProof/>
        </w:rPr>
        <w:t>3378</w:t>
      </w:r>
      <w:r>
        <w:fldChar w:fldCharType="end"/>
      </w:r>
    </w:p>
    <w:p w:rsidR="00DC1C29" w:rsidRDefault="00DC1C29" w:rsidP="00DC1C29">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C13A87">
        <w:rPr>
          <w:noProof/>
        </w:rPr>
        <w:t>3384</w:t>
      </w:r>
      <w:r>
        <w:fldChar w:fldCharType="end"/>
      </w:r>
    </w:p>
    <w:p w:rsidR="00DC1C29" w:rsidRDefault="00DC1C29" w:rsidP="00DC1C29">
      <w:pPr>
        <w:pStyle w:val="EntradandiceSumarioNivel2"/>
        <w:keepNext w:val="0"/>
      </w:pPr>
      <w:r>
        <w:t>I) Legislación preconstitucional</w:t>
      </w:r>
      <w:r>
        <w:tab/>
      </w:r>
      <w:r>
        <w:tab/>
      </w:r>
      <w:r>
        <w:fldChar w:fldCharType="begin"/>
      </w:r>
      <w:r>
        <w:instrText xml:space="preserve"> PAGEREF INDICE22850 \h </w:instrText>
      </w:r>
      <w:r>
        <w:fldChar w:fldCharType="separate"/>
      </w:r>
      <w:r w:rsidR="00C13A87">
        <w:rPr>
          <w:noProof/>
        </w:rPr>
        <w:t>3395</w:t>
      </w:r>
      <w:r>
        <w:fldChar w:fldCharType="end"/>
      </w:r>
    </w:p>
    <w:p w:rsidR="00DC1C29" w:rsidRDefault="00DC1C29" w:rsidP="00DC1C29">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C13A87">
        <w:rPr>
          <w:noProof/>
        </w:rPr>
        <w:t>3397</w:t>
      </w:r>
      <w:r>
        <w:fldChar w:fldCharType="end"/>
      </w:r>
    </w:p>
    <w:p w:rsidR="00DC1C29" w:rsidRDefault="00DC1C29" w:rsidP="00DC1C29">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C13A87">
        <w:rPr>
          <w:noProof/>
        </w:rPr>
        <w:t>3428</w:t>
      </w:r>
      <w:r>
        <w:fldChar w:fldCharType="end"/>
      </w:r>
    </w:p>
    <w:p w:rsidR="00DC1C29" w:rsidRDefault="00DC1C29" w:rsidP="00DC1C29">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C13A87">
        <w:rPr>
          <w:noProof/>
        </w:rPr>
        <w:t>3429</w:t>
      </w:r>
      <w:r>
        <w:fldChar w:fldCharType="end"/>
      </w:r>
    </w:p>
    <w:p w:rsidR="00DC1C29" w:rsidRDefault="00DC1C29" w:rsidP="00DC1C29">
      <w:pPr>
        <w:pStyle w:val="EntradandiceSumarioNivel2"/>
        <w:keepNext w:val="0"/>
      </w:pPr>
      <w:r>
        <w:t>M) Unión Europea</w:t>
      </w:r>
      <w:r>
        <w:tab/>
      </w:r>
      <w:r>
        <w:tab/>
      </w:r>
      <w:r>
        <w:fldChar w:fldCharType="begin"/>
      </w:r>
      <w:r>
        <w:instrText xml:space="preserve"> PAGEREF INDICE22871 \h </w:instrText>
      </w:r>
      <w:r>
        <w:fldChar w:fldCharType="separate"/>
      </w:r>
      <w:r w:rsidR="00C13A87">
        <w:rPr>
          <w:noProof/>
        </w:rPr>
        <w:t>3430</w:t>
      </w:r>
      <w:r>
        <w:fldChar w:fldCharType="end"/>
      </w:r>
    </w:p>
    <w:p w:rsidR="00DC1C29" w:rsidRDefault="00DC1C29" w:rsidP="00DC1C29">
      <w:pPr>
        <w:pStyle w:val="EntradandiceSumarioNivel2"/>
        <w:keepNext w:val="0"/>
      </w:pPr>
      <w:r>
        <w:t>N) Consejo de Europa</w:t>
      </w:r>
      <w:r>
        <w:tab/>
      </w:r>
      <w:r>
        <w:tab/>
      </w:r>
      <w:r>
        <w:fldChar w:fldCharType="begin"/>
      </w:r>
      <w:r>
        <w:instrText xml:space="preserve"> PAGEREF INDICE27994 \h </w:instrText>
      </w:r>
      <w:r>
        <w:fldChar w:fldCharType="separate"/>
      </w:r>
      <w:r w:rsidR="00C13A87">
        <w:rPr>
          <w:noProof/>
        </w:rPr>
        <w:t>3434</w:t>
      </w:r>
      <w:r>
        <w:fldChar w:fldCharType="end"/>
      </w:r>
    </w:p>
    <w:p w:rsidR="00DC1C29" w:rsidRDefault="00DC1C29" w:rsidP="00DC1C29"/>
    <w:p w:rsidR="00DC1C29" w:rsidRDefault="00DC1C29" w:rsidP="00DC1C29">
      <w:pPr>
        <w:pStyle w:val="EntradandiceSumario"/>
        <w:keepNext w:val="0"/>
      </w:pPr>
      <w:r>
        <w:t>6. ÍNDICE DE RESOLUCIONES JUDICIALES DE OTROS TRIBUNALES CITADAS:</w:t>
      </w:r>
    </w:p>
    <w:p w:rsidR="00DC1C29" w:rsidRDefault="00DC1C29" w:rsidP="00DC1C29">
      <w:pPr>
        <w:pStyle w:val="EntradandiceSumario"/>
        <w:keepNext w:val="0"/>
      </w:pPr>
    </w:p>
    <w:p w:rsidR="00DC1C29" w:rsidRDefault="00DC1C29" w:rsidP="00DC1C29">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C13A87">
        <w:rPr>
          <w:noProof/>
        </w:rPr>
        <w:t>3436</w:t>
      </w:r>
      <w:r>
        <w:fldChar w:fldCharType="end"/>
      </w:r>
    </w:p>
    <w:p w:rsidR="00DC1C29" w:rsidRDefault="00DC1C29" w:rsidP="00DC1C29">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C13A87">
        <w:rPr>
          <w:noProof/>
        </w:rPr>
        <w:t>3442</w:t>
      </w:r>
      <w:r>
        <w:fldChar w:fldCharType="end"/>
      </w:r>
    </w:p>
    <w:p w:rsidR="00DC1C29" w:rsidRDefault="00DC1C29" w:rsidP="00DC1C29"/>
    <w:p w:rsidR="00DC1C29" w:rsidRDefault="00DC1C29" w:rsidP="00DC1C29">
      <w:pPr>
        <w:pStyle w:val="EntradandiceSumario"/>
        <w:keepNext w:val="0"/>
      </w:pPr>
      <w:r>
        <w:t>7. ÍNDICE ANALÍTICO</w:t>
      </w:r>
      <w:r>
        <w:tab/>
      </w:r>
      <w:r>
        <w:tab/>
      </w:r>
      <w:r>
        <w:fldChar w:fldCharType="begin"/>
      </w:r>
      <w:r>
        <w:instrText xml:space="preserve"> PAGEREF INDICE5ALFABETICO \h </w:instrText>
      </w:r>
      <w:r>
        <w:fldChar w:fldCharType="separate"/>
      </w:r>
      <w:r w:rsidR="00C13A87">
        <w:rPr>
          <w:noProof/>
        </w:rPr>
        <w:t>3445</w:t>
      </w:r>
      <w:r>
        <w:fldChar w:fldCharType="end"/>
      </w:r>
    </w:p>
    <w:p w:rsidR="00DC1C29" w:rsidRDefault="00DC1C29" w:rsidP="00DC1C29"/>
    <w:p w:rsidR="00DC1C29" w:rsidRDefault="00DC1C29" w:rsidP="00DC1C29">
      <w:pPr>
        <w:pStyle w:val="EntradandiceSumario"/>
        <w:keepNext w:val="0"/>
      </w:pPr>
      <w:r>
        <w:t>8. ABREVIATURAS Y ACRÓNIMOS</w:t>
      </w:r>
      <w:r>
        <w:tab/>
      </w:r>
      <w:r>
        <w:tab/>
      </w:r>
      <w:r>
        <w:fldChar w:fldCharType="begin"/>
      </w:r>
      <w:r>
        <w:instrText xml:space="preserve"> PAGEREF ACRONIMOS \h </w:instrText>
      </w:r>
      <w:r>
        <w:fldChar w:fldCharType="separate"/>
      </w:r>
      <w:r w:rsidR="00C13A87">
        <w:rPr>
          <w:noProof/>
        </w:rPr>
        <w:t>3474</w:t>
      </w:r>
      <w:r>
        <w:fldChar w:fldCharType="end"/>
      </w:r>
    </w:p>
    <w:p w:rsidR="00DC1C29" w:rsidRDefault="00DC1C29">
      <w:pPr>
        <w:spacing w:after="160" w:line="259" w:lineRule="auto"/>
        <w:rPr>
          <w:rFonts w:ascii="Times New Roman" w:eastAsia="Times New Roman" w:hAnsi="Times New Roman" w:cs="Times New Roman"/>
          <w:sz w:val="24"/>
          <w:szCs w:val="24"/>
          <w:lang w:eastAsia="es-ES"/>
        </w:rPr>
      </w:pPr>
      <w:r>
        <w:br w:type="page"/>
      </w:r>
    </w:p>
    <w:p w:rsidR="00DC1C29" w:rsidRDefault="00DC1C29" w:rsidP="00DC1C29">
      <w:pPr>
        <w:pStyle w:val="EntradandiceSumario"/>
        <w:keepNext w:val="0"/>
      </w:pPr>
    </w:p>
    <w:p w:rsidR="00DC1C29" w:rsidRDefault="00DC1C29" w:rsidP="00DC1C29"/>
    <w:p w:rsidR="00DC1C29" w:rsidRDefault="00DC1C29" w:rsidP="00DC1C29"/>
    <w:p w:rsidR="00DC1C29" w:rsidRDefault="00DC1C29" w:rsidP="00DC1C29">
      <w:pPr>
        <w:pStyle w:val="Ttulondice"/>
      </w:pPr>
      <w:bookmarkStart w:id="2" w:name="SUMARIOSENTENCIAS"/>
      <w:r>
        <w:t>1. SENTENCIAS: STC 1/2016 A STC 124/2016</w:t>
      </w:r>
    </w:p>
    <w:bookmarkEnd w:id="2"/>
    <w:p w:rsidR="00DC1C29" w:rsidRDefault="00DC1C29" w:rsidP="00DC1C29">
      <w:pPr>
        <w:pStyle w:val="Ttulondice"/>
      </w:pPr>
    </w:p>
    <w:p w:rsidR="00DC1C29" w:rsidRDefault="00DC1C29" w:rsidP="00DC1C29">
      <w:pPr>
        <w:pStyle w:val="Ttulondice"/>
      </w:pPr>
    </w:p>
    <w:p w:rsidR="00DC1C29" w:rsidRDefault="00DC1C29" w:rsidP="00DC1C29">
      <w:pPr>
        <w:pStyle w:val="Ttulondice"/>
      </w:pPr>
    </w:p>
    <w:p w:rsidR="00DC1C29" w:rsidRDefault="00DC1C29" w:rsidP="00DC1C29">
      <w:pPr>
        <w:pStyle w:val="Ttulondice"/>
      </w:pPr>
    </w:p>
    <w:p w:rsidR="00DC1C29" w:rsidRDefault="00DC1C29" w:rsidP="00DC1C29">
      <w:pPr>
        <w:pStyle w:val="Ttulondice"/>
      </w:pPr>
    </w:p>
    <w:p w:rsidR="00DC1C29" w:rsidRDefault="00DC1C29" w:rsidP="00DC1C29">
      <w:pPr>
        <w:pStyle w:val="Ttulondice"/>
      </w:pPr>
    </w:p>
    <w:p w:rsidR="00DC1C29" w:rsidRDefault="00DC1C29" w:rsidP="00DC1C29">
      <w:pPr>
        <w:pStyle w:val="EntradandiceSentencia"/>
      </w:pPr>
      <w:r>
        <w:t>Sala Segunda. Sentencia 1/2016, de 18 de enero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4643-2013. </w:t>
      </w:r>
      <w:r w:rsidRPr="00DC1C29">
        <w:rPr>
          <w:rStyle w:val="TextoNormalCursivaCaracter"/>
        </w:rPr>
        <w:t xml:space="preserve"> Principio de irretroactividad de las normas restrictivas de derechos individuales: inadmisión de la cuestión de inconstitucionalidad por inadecuada formulación del juicio de relevancia.</w:t>
      </w:r>
      <w:r>
        <w:tab/>
      </w:r>
      <w:r>
        <w:tab/>
      </w:r>
      <w:r>
        <w:fldChar w:fldCharType="begin"/>
      </w:r>
      <w:r>
        <w:instrText xml:space="preserve"> PAGEREF SENTENCIA_2016_1 \h </w:instrText>
      </w:r>
      <w:r>
        <w:fldChar w:fldCharType="separate"/>
      </w:r>
      <w:r w:rsidR="00C13A87">
        <w:rPr>
          <w:noProof/>
        </w:rPr>
        <w:t>45</w:t>
      </w:r>
      <w:r>
        <w:fldChar w:fldCharType="end"/>
      </w:r>
    </w:p>
    <w:p w:rsidR="00163957" w:rsidRDefault="00163957" w:rsidP="00DC1C29"/>
    <w:p w:rsidR="00DC1C29" w:rsidRDefault="00DC1C29" w:rsidP="00DC1C29">
      <w:pPr>
        <w:pStyle w:val="EntradandiceSentencia"/>
      </w:pPr>
      <w:r>
        <w:t>Sala Segunda. Sentencia 2/2016, de 18 de enero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4936-2013. </w:t>
      </w:r>
      <w:r w:rsidRPr="00DC1C29">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SENTENCIA_2016_2 \h </w:instrText>
      </w:r>
      <w:r>
        <w:fldChar w:fldCharType="separate"/>
      </w:r>
      <w:r w:rsidR="00C13A87">
        <w:rPr>
          <w:noProof/>
        </w:rPr>
        <w:t>59</w:t>
      </w:r>
      <w:r>
        <w:fldChar w:fldCharType="end"/>
      </w:r>
    </w:p>
    <w:p w:rsidR="00DC1C29" w:rsidRDefault="00DC1C29" w:rsidP="00DC1C29"/>
    <w:p w:rsidR="00DC1C29" w:rsidRDefault="00DC1C29" w:rsidP="00DC1C29">
      <w:pPr>
        <w:pStyle w:val="EntradandiceSentencia"/>
      </w:pPr>
      <w:r>
        <w:t>Sala Segunda. Sentencia 3/2016, de 18 de enero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1388-2014. </w:t>
      </w:r>
      <w:r w:rsidRPr="00DC1C29">
        <w:rPr>
          <w:rStyle w:val="TextoNormalCursivaCaracter"/>
        </w:rPr>
        <w:t xml:space="preserve"> Vulneración del derecho a la tutela judicial efectiva (resolución fundada en Derecho): Sentencia que no entra a conocer de los vicios de inconstitucionalidad imputados a una norma foral, ni plantea cuestión prejudicial de validez ante el Tribunal Constitucional, fundándose en la falta de jurisdicción del órgano sentenciador para examinar la validez de las normas forales fiscales (STC 222/2015).</w:t>
      </w:r>
      <w:r>
        <w:tab/>
      </w:r>
      <w:r>
        <w:tab/>
      </w:r>
      <w:r>
        <w:fldChar w:fldCharType="begin"/>
      </w:r>
      <w:r>
        <w:instrText xml:space="preserve"> PAGEREF SENTENCIA_2016_3 \h </w:instrText>
      </w:r>
      <w:r>
        <w:fldChar w:fldCharType="separate"/>
      </w:r>
      <w:r w:rsidR="00C13A87">
        <w:rPr>
          <w:noProof/>
        </w:rPr>
        <w:t>71</w:t>
      </w:r>
      <w:r>
        <w:fldChar w:fldCharType="end"/>
      </w:r>
    </w:p>
    <w:p w:rsidR="00DC1C29" w:rsidRDefault="00DC1C29" w:rsidP="00DC1C29"/>
    <w:p w:rsidR="00DC1C29" w:rsidRDefault="00DC1C29" w:rsidP="00DC1C29">
      <w:pPr>
        <w:pStyle w:val="EntradandiceSentencia"/>
      </w:pPr>
      <w:r>
        <w:t>Sala Primera. Sentencia 4/2016, de 18 de enero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4851-2014. </w:t>
      </w:r>
      <w:r w:rsidRPr="00DC1C29">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SENTENCIA_2016_4 \h </w:instrText>
      </w:r>
      <w:r>
        <w:fldChar w:fldCharType="separate"/>
      </w:r>
      <w:r w:rsidR="00C13A87">
        <w:rPr>
          <w:noProof/>
        </w:rPr>
        <w:t>92</w:t>
      </w:r>
      <w:r>
        <w:fldChar w:fldCharType="end"/>
      </w:r>
    </w:p>
    <w:p w:rsidR="00DC1C29" w:rsidRDefault="00DC1C29" w:rsidP="00DC1C29"/>
    <w:p w:rsidR="00DC1C29" w:rsidRDefault="00DC1C29" w:rsidP="00DC1C29">
      <w:pPr>
        <w:pStyle w:val="EntradandiceSentencia"/>
      </w:pPr>
      <w:r>
        <w:t>Pleno. Sentencia 5/2016, de 21 de enero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1886-2012. </w:t>
      </w:r>
      <w:r w:rsidRPr="00DC1C29">
        <w:rPr>
          <w:rStyle w:val="TextoNormalCursivaCaracter"/>
        </w:rPr>
        <w:t xml:space="preserve"> Competencias sobre condiciones básicas de igualdad, ordenación general de la economía, medio ambiente, urbanismo y vivienda: nulidad de los preceptos legales estatales que regulan la inspección urbanística de los edificios (STC 61/1997).</w:t>
      </w:r>
      <w:r>
        <w:tab/>
      </w:r>
      <w:r>
        <w:tab/>
      </w:r>
      <w:r>
        <w:fldChar w:fldCharType="begin"/>
      </w:r>
      <w:r>
        <w:instrText xml:space="preserve"> PAGEREF SENTENCIA_2016_5 \h </w:instrText>
      </w:r>
      <w:r>
        <w:fldChar w:fldCharType="separate"/>
      </w:r>
      <w:r w:rsidR="00C13A87">
        <w:rPr>
          <w:noProof/>
        </w:rPr>
        <w:t>106</w:t>
      </w:r>
      <w:r>
        <w:fldChar w:fldCharType="end"/>
      </w:r>
    </w:p>
    <w:p w:rsidR="00DC1C29" w:rsidRDefault="00DC1C29" w:rsidP="00DC1C29"/>
    <w:p w:rsidR="00DC1C29" w:rsidRDefault="00DC1C29" w:rsidP="00DC1C29">
      <w:pPr>
        <w:pStyle w:val="EntradandiceSentencia"/>
      </w:pPr>
      <w:r>
        <w:t>Pleno. Sentencia 6/2016, de 21 de enero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4906-2013. </w:t>
      </w:r>
      <w:r w:rsidRPr="00DC1C29">
        <w:rPr>
          <w:rStyle w:val="TextoNormalCursivaCaracter"/>
        </w:rPr>
        <w:t xml:space="preserve"> Régimen de los bienes demaniales, principio de autonomía local y competencias sobre ordenación del territorio, urbanismo y publicidad: constitucionalidad de los preceptos legales estatales que establecen los criterios técnicos para la fijación del límite interior de la zona marítimo-terrestre, ocupación del demanio público y usos de las zonas de servidumbre, suspensión de acuerdos municipales y régimen transitorio del suelo urbano (STC 233/2015).</w:t>
      </w:r>
      <w:r>
        <w:tab/>
      </w:r>
      <w:r>
        <w:tab/>
      </w:r>
      <w:r>
        <w:fldChar w:fldCharType="begin"/>
      </w:r>
      <w:r>
        <w:instrText xml:space="preserve"> PAGEREF SENTENCIA_2016_6 \h </w:instrText>
      </w:r>
      <w:r>
        <w:fldChar w:fldCharType="separate"/>
      </w:r>
      <w:r w:rsidR="00C13A87">
        <w:rPr>
          <w:noProof/>
        </w:rPr>
        <w:t>126</w:t>
      </w:r>
      <w:r>
        <w:fldChar w:fldCharType="end"/>
      </w:r>
    </w:p>
    <w:p w:rsidR="00DC1C29" w:rsidRDefault="00DC1C29" w:rsidP="00DC1C29"/>
    <w:p w:rsidR="00DC1C29" w:rsidRDefault="00DC1C29" w:rsidP="00DC1C29">
      <w:pPr>
        <w:pStyle w:val="EntradandiceSentencia"/>
      </w:pPr>
      <w:r>
        <w:t>Pleno. Sentencia 7/2016, de 21 de enero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Conflicto positivo de competencia 5107-2013. </w:t>
      </w:r>
      <w:r w:rsidRPr="00DC1C29">
        <w:rPr>
          <w:rStyle w:val="TextoNormalCursivaCaracter"/>
        </w:rPr>
        <w:t xml:space="preserve"> Competencias en materia de seguridad social: atribución al Estado de funciones ejecutivas que vulnera las competencias autonómicas sobre coordinación de las actividades de prevención de riesgos laborales.</w:t>
      </w:r>
      <w:r>
        <w:tab/>
      </w:r>
      <w:r>
        <w:tab/>
      </w:r>
      <w:r>
        <w:fldChar w:fldCharType="begin"/>
      </w:r>
      <w:r>
        <w:instrText xml:space="preserve"> PAGEREF SENTENCIA_2016_7 \h </w:instrText>
      </w:r>
      <w:r>
        <w:fldChar w:fldCharType="separate"/>
      </w:r>
      <w:r w:rsidR="00C13A87">
        <w:rPr>
          <w:noProof/>
        </w:rPr>
        <w:t>145</w:t>
      </w:r>
      <w:r>
        <w:fldChar w:fldCharType="end"/>
      </w:r>
    </w:p>
    <w:p w:rsidR="00DC1C29" w:rsidRDefault="00DC1C29" w:rsidP="00DC1C29"/>
    <w:p w:rsidR="00DC1C29" w:rsidRDefault="00DC1C29" w:rsidP="00DC1C29">
      <w:pPr>
        <w:pStyle w:val="EntradandiceSentencia"/>
      </w:pPr>
      <w:r>
        <w:t>Pleno. Sentencia 8/2016, de 21 de enero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1424-2014. </w:t>
      </w:r>
      <w:r w:rsidRPr="00DC1C29">
        <w:rPr>
          <w:rStyle w:val="TextoNormalCursivaCaracter"/>
        </w:rPr>
        <w:t xml:space="preserve"> Competencias sobre telecomunicaciones: nulidad de diferentes preceptos legales que establecen los principios rectores de la intervención pública en el impulso y ordenación de las infraestructuras de telecomunicaciones y redes públicas de comunicaciones electrónicas, regulan los instrumentos de ordenación y planificación de las infraestructuras de telecomunicaciones, y las normas de protección ambiental; interpretación conforme de los preceptos legales relativos al principio de sostenibilidad ambiental, plan sectorial de infraestructuras de telecomunicaciones, determinaciones mínimas de los instrumentos de planeamiento urbanístico y tipificación de infracciones.</w:t>
      </w:r>
      <w:r>
        <w:tab/>
      </w:r>
      <w:r>
        <w:tab/>
      </w:r>
      <w:r>
        <w:fldChar w:fldCharType="begin"/>
      </w:r>
      <w:r>
        <w:instrText xml:space="preserve"> PAGEREF SENTENCIA_2016_8 \h </w:instrText>
      </w:r>
      <w:r>
        <w:fldChar w:fldCharType="separate"/>
      </w:r>
      <w:r w:rsidR="00C13A87">
        <w:rPr>
          <w:noProof/>
        </w:rPr>
        <w:t>164</w:t>
      </w:r>
      <w:r>
        <w:fldChar w:fldCharType="end"/>
      </w:r>
    </w:p>
    <w:p w:rsidR="00DC1C29" w:rsidRDefault="00DC1C29" w:rsidP="00DC1C29"/>
    <w:p w:rsidR="00DC1C29" w:rsidRDefault="00DC1C29" w:rsidP="00DC1C29">
      <w:pPr>
        <w:pStyle w:val="EntradandiceSentencia"/>
      </w:pPr>
      <w:r>
        <w:t>Pleno. Sentencia 9/2016, de 21 de enero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6423-2014. </w:t>
      </w:r>
      <w:r w:rsidRPr="00DC1C29">
        <w:rPr>
          <w:rStyle w:val="TextoNormalCursivaCaracter"/>
        </w:rPr>
        <w:t xml:space="preserve"> Competencias sobre función pública: constitucionalidad del precepto legal estatal que reduce a tres días el permiso por asuntos particulares que pueden disfrutar los funcionarios públicos. Voto particular.</w:t>
      </w:r>
      <w:r>
        <w:tab/>
      </w:r>
      <w:r>
        <w:tab/>
      </w:r>
      <w:r>
        <w:fldChar w:fldCharType="begin"/>
      </w:r>
      <w:r>
        <w:instrText xml:space="preserve"> PAGEREF SENTENCIA_2016_9 \h </w:instrText>
      </w:r>
      <w:r>
        <w:fldChar w:fldCharType="separate"/>
      </w:r>
      <w:r w:rsidR="00C13A87">
        <w:rPr>
          <w:noProof/>
        </w:rPr>
        <w:t>233</w:t>
      </w:r>
      <w:r>
        <w:fldChar w:fldCharType="end"/>
      </w:r>
    </w:p>
    <w:p w:rsidR="00DC1C29" w:rsidRDefault="00DC1C29" w:rsidP="00DC1C29"/>
    <w:p w:rsidR="00DC1C29" w:rsidRDefault="00DC1C29" w:rsidP="00DC1C29">
      <w:pPr>
        <w:pStyle w:val="EntradandiceSentencia"/>
      </w:pPr>
      <w:r>
        <w:t>Sala Primera. Sentencia 10/2016, de 1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2870-2013. </w:t>
      </w:r>
      <w:r w:rsidRPr="00DC1C29">
        <w:rPr>
          <w:rStyle w:val="TextoNormalCursivaCaracter"/>
        </w:rPr>
        <w:t xml:space="preserve"> Vulneración del derecho al ejercicio de los cargos públicos en condiciones de igualdad: inadmisión de una iniciativa legislativa incursa en extralimitación en el ejercicio de las funciones de calificación y admisión de escritos atribuidas por el Reglamento parlamentario a la Mesa de la Asamblea de Extremadura (STC 95/1994).</w:t>
      </w:r>
      <w:r>
        <w:tab/>
      </w:r>
      <w:r>
        <w:tab/>
      </w:r>
      <w:r>
        <w:fldChar w:fldCharType="begin"/>
      </w:r>
      <w:r>
        <w:instrText xml:space="preserve"> PAGEREF SENTENCIA_2016_10 \h </w:instrText>
      </w:r>
      <w:r>
        <w:fldChar w:fldCharType="separate"/>
      </w:r>
      <w:r w:rsidR="00C13A87">
        <w:rPr>
          <w:noProof/>
        </w:rPr>
        <w:t>247</w:t>
      </w:r>
      <w:r>
        <w:fldChar w:fldCharType="end"/>
      </w:r>
    </w:p>
    <w:p w:rsidR="00DC1C29" w:rsidRDefault="00DC1C29" w:rsidP="00DC1C29"/>
    <w:p w:rsidR="00DC1C29" w:rsidRDefault="00DC1C29" w:rsidP="00DC1C29">
      <w:pPr>
        <w:pStyle w:val="EntradandiceSentencia"/>
      </w:pPr>
      <w:r>
        <w:t>Sala Primera. Sentencia 11/2016, de 1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533-2014. </w:t>
      </w:r>
      <w:r w:rsidRPr="00DC1C29">
        <w:rPr>
          <w:rStyle w:val="TextoNormalCursivaCaracter"/>
        </w:rPr>
        <w:t xml:space="preserve"> Vulneración del derecho a la intimidad personal y familiar: resoluciones judiciales que rechazaron, sin fundamento normativo y de manera desproporcionada, el permiso de incineración solicitado. Votos particulares.</w:t>
      </w:r>
      <w:r>
        <w:tab/>
      </w:r>
      <w:r>
        <w:tab/>
      </w:r>
      <w:r>
        <w:fldChar w:fldCharType="begin"/>
      </w:r>
      <w:r>
        <w:instrText xml:space="preserve"> PAGEREF SENTENCIA_2016_11 \h </w:instrText>
      </w:r>
      <w:r>
        <w:fldChar w:fldCharType="separate"/>
      </w:r>
      <w:r w:rsidR="00C13A87">
        <w:rPr>
          <w:noProof/>
        </w:rPr>
        <w:t>262</w:t>
      </w:r>
      <w:r>
        <w:fldChar w:fldCharType="end"/>
      </w:r>
    </w:p>
    <w:p w:rsidR="00DC1C29" w:rsidRDefault="00DC1C29" w:rsidP="00DC1C29"/>
    <w:p w:rsidR="00DC1C29" w:rsidRDefault="00DC1C29" w:rsidP="00DC1C29">
      <w:pPr>
        <w:pStyle w:val="EntradandiceSentencia"/>
      </w:pPr>
      <w:r>
        <w:t>Sala Segunda. Sentencia 12/2016, de 1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3719-2014. </w:t>
      </w:r>
      <w:r w:rsidRPr="00DC1C29">
        <w:rPr>
          <w:rStyle w:val="TextoNormalCursivaCaracter"/>
        </w:rPr>
        <w:t xml:space="preserve"> Vulneración del derecho a la legalidad penal en relación con los derechos a la tutela judicial efectiva y a la libertad personal: resoluciones judiciales que no satisfacen el canon de motivación reforzada exigible en materia de prescripción de las penas (STC 63/2015).</w:t>
      </w:r>
      <w:r>
        <w:tab/>
      </w:r>
      <w:r>
        <w:tab/>
      </w:r>
      <w:r>
        <w:fldChar w:fldCharType="begin"/>
      </w:r>
      <w:r>
        <w:instrText xml:space="preserve"> PAGEREF SENTENCIA_2016_12 \h </w:instrText>
      </w:r>
      <w:r>
        <w:fldChar w:fldCharType="separate"/>
      </w:r>
      <w:r w:rsidR="00C13A87">
        <w:rPr>
          <w:noProof/>
        </w:rPr>
        <w:t>285</w:t>
      </w:r>
      <w:r>
        <w:fldChar w:fldCharType="end"/>
      </w:r>
    </w:p>
    <w:p w:rsidR="00DC1C29" w:rsidRDefault="00DC1C29" w:rsidP="00DC1C29"/>
    <w:p w:rsidR="00DC1C29" w:rsidRDefault="00DC1C29" w:rsidP="00DC1C29">
      <w:pPr>
        <w:pStyle w:val="EntradandiceSentencia"/>
      </w:pPr>
      <w:r>
        <w:t>Sala Primera. Sentencia 13/2016, de 1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6167-2014. </w:t>
      </w:r>
      <w:r w:rsidRPr="00DC1C29">
        <w:rPr>
          <w:rStyle w:val="TextoNormalCursivaCaracter"/>
        </w:rPr>
        <w:t xml:space="preserve"> Vulneración del derecho a la libertad personal: resolución judicial tardía y adoptada sin la existencia de informe médico que justificara la medida adoptada (STC 141/2012).</w:t>
      </w:r>
      <w:r>
        <w:tab/>
      </w:r>
      <w:r>
        <w:tab/>
      </w:r>
      <w:r>
        <w:fldChar w:fldCharType="begin"/>
      </w:r>
      <w:r>
        <w:instrText xml:space="preserve"> PAGEREF SENTENCIA_2016_13 \h </w:instrText>
      </w:r>
      <w:r>
        <w:fldChar w:fldCharType="separate"/>
      </w:r>
      <w:r w:rsidR="00C13A87">
        <w:rPr>
          <w:noProof/>
        </w:rPr>
        <w:t>299</w:t>
      </w:r>
      <w:r>
        <w:fldChar w:fldCharType="end"/>
      </w:r>
    </w:p>
    <w:p w:rsidR="00DC1C29" w:rsidRDefault="00DC1C29" w:rsidP="00DC1C29"/>
    <w:p w:rsidR="00DC1C29" w:rsidRDefault="00DC1C29" w:rsidP="00DC1C29">
      <w:pPr>
        <w:pStyle w:val="EntradandiceSentencia"/>
      </w:pPr>
      <w:r>
        <w:t>Sala Segunda. Sentencia 14/2016, de 1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7419-2014. </w:t>
      </w:r>
      <w:r w:rsidRPr="00DC1C29">
        <w:rPr>
          <w:rStyle w:val="TextoNormalCursivaCaracter"/>
        </w:rPr>
        <w:t xml:space="preserve"> Vulneración del derecho a la legalidad penal en relación con los derechos a la tutela judicial efectiva y a la libertad personal: resoluciones judiciales que no satisfacen el canon de motivación reforzada exigible en materia de prescripción de las penas (STC 63/2015).</w:t>
      </w:r>
      <w:r>
        <w:tab/>
      </w:r>
      <w:r>
        <w:tab/>
      </w:r>
      <w:r>
        <w:fldChar w:fldCharType="begin"/>
      </w:r>
      <w:r>
        <w:instrText xml:space="preserve"> PAGEREF SENTENCIA_2016_14 \h </w:instrText>
      </w:r>
      <w:r>
        <w:fldChar w:fldCharType="separate"/>
      </w:r>
      <w:r w:rsidR="00C13A87">
        <w:rPr>
          <w:noProof/>
        </w:rPr>
        <w:t>317</w:t>
      </w:r>
      <w:r>
        <w:fldChar w:fldCharType="end"/>
      </w:r>
    </w:p>
    <w:p w:rsidR="00DC1C29" w:rsidRDefault="00DC1C29" w:rsidP="00DC1C29"/>
    <w:p w:rsidR="00DC1C29" w:rsidRDefault="00DC1C29" w:rsidP="00DC1C29">
      <w:pPr>
        <w:pStyle w:val="EntradandiceSentencia"/>
      </w:pPr>
      <w:r>
        <w:t>Sala Segunda. Sentencia 15/2016, de 1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7465-2014. </w:t>
      </w:r>
      <w:r w:rsidRPr="00DC1C29">
        <w:rPr>
          <w:rStyle w:val="TextoNormalCursivaCaracter"/>
        </w:rPr>
        <w:t xml:space="preserve"> Supuesta vulneración del derecho a la tutela judicial sin indefensión: resoluciones judiciales que apreciaron, motivadamente, la falta de legitimación del demandante para ser parte en un proceso de responsabilidad objetiva de la Administración por ausencia de interés legítimo.</w:t>
      </w:r>
      <w:r>
        <w:tab/>
      </w:r>
      <w:r>
        <w:tab/>
      </w:r>
      <w:r>
        <w:fldChar w:fldCharType="begin"/>
      </w:r>
      <w:r>
        <w:instrText xml:space="preserve"> PAGEREF SENTENCIA_2016_15 \h </w:instrText>
      </w:r>
      <w:r>
        <w:fldChar w:fldCharType="separate"/>
      </w:r>
      <w:r w:rsidR="00C13A87">
        <w:rPr>
          <w:noProof/>
        </w:rPr>
        <w:t>331</w:t>
      </w:r>
      <w:r>
        <w:fldChar w:fldCharType="end"/>
      </w:r>
    </w:p>
    <w:p w:rsidR="00DC1C29" w:rsidRDefault="00DC1C29" w:rsidP="00DC1C29"/>
    <w:p w:rsidR="00DC1C29" w:rsidRDefault="00DC1C29" w:rsidP="00DC1C29">
      <w:pPr>
        <w:pStyle w:val="EntradandiceSentencia"/>
      </w:pPr>
      <w:r>
        <w:t>Sala Segunda. Sentencia 16/2016, de 1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2937-2015. </w:t>
      </w:r>
      <w:r w:rsidRPr="00DC1C29">
        <w:rPr>
          <w:rStyle w:val="TextoNormalCursivaCaracter"/>
        </w:rPr>
        <w:t xml:space="preserve"> Vulneración del derecho a la tutela judicial efectiva (resolución fundada en Derecho): resoluciones judiciales que acuerdan la restitución de una menor con su padre, residente en Suiza, carentes de ponderación de la situación actual de la menor en la determinación de su interés superior.</w:t>
      </w:r>
      <w:r>
        <w:tab/>
      </w:r>
      <w:r>
        <w:tab/>
      </w:r>
      <w:r>
        <w:fldChar w:fldCharType="begin"/>
      </w:r>
      <w:r>
        <w:instrText xml:space="preserve"> PAGEREF SENTENCIA_2016_16 \h </w:instrText>
      </w:r>
      <w:r>
        <w:fldChar w:fldCharType="separate"/>
      </w:r>
      <w:r w:rsidR="00C13A87">
        <w:rPr>
          <w:noProof/>
        </w:rPr>
        <w:t>343</w:t>
      </w:r>
      <w:r>
        <w:fldChar w:fldCharType="end"/>
      </w:r>
    </w:p>
    <w:p w:rsidR="00DC1C29" w:rsidRDefault="00DC1C29" w:rsidP="00DC1C29"/>
    <w:p w:rsidR="00DC1C29" w:rsidRDefault="00DC1C29" w:rsidP="00DC1C29">
      <w:pPr>
        <w:pStyle w:val="EntradandiceSentencia"/>
      </w:pPr>
      <w:r>
        <w:t>Pleno. Sentencia 17/2016, de 4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6777-2012. </w:t>
      </w:r>
      <w:r w:rsidRPr="00DC1C29">
        <w:rPr>
          <w:rStyle w:val="TextoNormalCursivaCaracter"/>
        </w:rPr>
        <w:t xml:space="preserve"> Competencias sobre urbanismo, condiciones básicas de igualdad y ordenación general de la economía: interpretación constitucionalmente conforme del precepto legal autonómico relativo a la cesión gratuita y enajenación onerosa, por precio inferior al de su valoración, de bienes integrantes del patrimonio público de suelo y vivienda.</w:t>
      </w:r>
      <w:r>
        <w:tab/>
      </w:r>
      <w:r>
        <w:tab/>
      </w:r>
      <w:r>
        <w:fldChar w:fldCharType="begin"/>
      </w:r>
      <w:r>
        <w:instrText xml:space="preserve"> PAGEREF SENTENCIA_2016_17 \h </w:instrText>
      </w:r>
      <w:r>
        <w:fldChar w:fldCharType="separate"/>
      </w:r>
      <w:r w:rsidR="00C13A87">
        <w:rPr>
          <w:noProof/>
        </w:rPr>
        <w:t>363</w:t>
      </w:r>
      <w:r>
        <w:fldChar w:fldCharType="end"/>
      </w:r>
    </w:p>
    <w:p w:rsidR="00DC1C29" w:rsidRDefault="00DC1C29" w:rsidP="00DC1C29"/>
    <w:p w:rsidR="00DC1C29" w:rsidRDefault="00DC1C29" w:rsidP="00DC1C29">
      <w:pPr>
        <w:pStyle w:val="EntradandiceSentencia"/>
      </w:pPr>
      <w:r>
        <w:t>Pleno. Sentencia 18/2016, de 4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1983-2013. </w:t>
      </w:r>
      <w:r w:rsidRPr="00DC1C29">
        <w:rPr>
          <w:rStyle w:val="TextoNormalCursivaCaracter"/>
        </w:rPr>
        <w:t xml:space="preserve"> Límites a los decretos-leyes, competencias sobre condiciones básicas de igualdad, ordenación general de la economía, comercio y función pública; autonomía financiera de las Comunidades Autónomas: nulidad de los preceptos legales estatales relativos a los artículos objeto de venta en rebajas, en promoción o en oferta. Voto particular.</w:t>
      </w:r>
      <w:r>
        <w:tab/>
      </w:r>
      <w:r>
        <w:tab/>
      </w:r>
      <w:r>
        <w:fldChar w:fldCharType="begin"/>
      </w:r>
      <w:r>
        <w:instrText xml:space="preserve"> PAGEREF SENTENCIA_2016_18 \h </w:instrText>
      </w:r>
      <w:r>
        <w:fldChar w:fldCharType="separate"/>
      </w:r>
      <w:r w:rsidR="00C13A87">
        <w:rPr>
          <w:noProof/>
        </w:rPr>
        <w:t>392</w:t>
      </w:r>
      <w:r>
        <w:fldChar w:fldCharType="end"/>
      </w:r>
    </w:p>
    <w:p w:rsidR="00DC1C29" w:rsidRDefault="00DC1C29" w:rsidP="00DC1C29"/>
    <w:p w:rsidR="00DC1C29" w:rsidRDefault="00DC1C29" w:rsidP="00DC1C29">
      <w:pPr>
        <w:pStyle w:val="EntradandiceSentencia"/>
      </w:pPr>
      <w:r>
        <w:t>Pleno. Sentencia 19/2016, de 4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5851-2013. </w:t>
      </w:r>
      <w:r w:rsidRPr="00DC1C29">
        <w:rPr>
          <w:rStyle w:val="TextoNormalCursivaCaracter"/>
        </w:rPr>
        <w:t xml:space="preserve"> Límites a los decretos-leyes y principios de irretroactividad y seguridad jurídica: acreditación de la concurrencia del presupuesto habilitante; constitucionalidad de los preceptos legales que establecen un nuevo régimen retributivo para los titulares de las instalaciones de producción de energía eléctrica en régimen primado (STC 270/2015). Voto particular.</w:t>
      </w:r>
      <w:r>
        <w:tab/>
      </w:r>
      <w:r>
        <w:tab/>
      </w:r>
      <w:r>
        <w:fldChar w:fldCharType="begin"/>
      </w:r>
      <w:r>
        <w:instrText xml:space="preserve"> PAGEREF SENTENCIA_2016_19 \h </w:instrText>
      </w:r>
      <w:r>
        <w:fldChar w:fldCharType="separate"/>
      </w:r>
      <w:r w:rsidR="00C13A87">
        <w:rPr>
          <w:noProof/>
        </w:rPr>
        <w:t>450</w:t>
      </w:r>
      <w:r>
        <w:fldChar w:fldCharType="end"/>
      </w:r>
    </w:p>
    <w:p w:rsidR="00DC1C29" w:rsidRDefault="00DC1C29" w:rsidP="00DC1C29"/>
    <w:p w:rsidR="00DC1C29" w:rsidRDefault="00DC1C29" w:rsidP="00DC1C29">
      <w:pPr>
        <w:pStyle w:val="EntradandiceSentencia"/>
      </w:pPr>
      <w:r>
        <w:t>Pleno. Sentencia 20/2016, de 4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709-2015. </w:t>
      </w:r>
      <w:r w:rsidRPr="00DC1C29">
        <w:rPr>
          <w:rStyle w:val="TextoNormalCursivaCaracter"/>
        </w:rPr>
        <w:t xml:space="preserve"> Competencias sobre telecomunicaciones: nulidad del precepto legal que establece que los planes de despliegue o instalación de red pública de comunicaciones electrónicas se entenderán aprobados si la Administración pública competente no hubiese dictado resolución expresa transcurridos dos meses desde su presentación.</w:t>
      </w:r>
      <w:r>
        <w:tab/>
      </w:r>
      <w:r>
        <w:tab/>
      </w:r>
      <w:r>
        <w:fldChar w:fldCharType="begin"/>
      </w:r>
      <w:r>
        <w:instrText xml:space="preserve"> PAGEREF SENTENCIA_2016_20 \h </w:instrText>
      </w:r>
      <w:r>
        <w:fldChar w:fldCharType="separate"/>
      </w:r>
      <w:r w:rsidR="00C13A87">
        <w:rPr>
          <w:noProof/>
        </w:rPr>
        <w:t>465</w:t>
      </w:r>
      <w:r>
        <w:fldChar w:fldCharType="end"/>
      </w:r>
    </w:p>
    <w:p w:rsidR="00DC1C29" w:rsidRDefault="00DC1C29" w:rsidP="00DC1C29"/>
    <w:p w:rsidR="00DC1C29" w:rsidRDefault="00DC1C29" w:rsidP="00DC1C29">
      <w:pPr>
        <w:pStyle w:val="EntradandiceSentencia"/>
      </w:pPr>
      <w:r>
        <w:t>Pleno. Sentencia 21/2016, de 4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5680-2015. </w:t>
      </w:r>
      <w:r w:rsidRPr="00DC1C29">
        <w:rPr>
          <w:rStyle w:val="TextoNormalCursivaCaracter"/>
        </w:rPr>
        <w:t xml:space="preserve"> Competencias en materia de seguridad social: constitucionalidad del precepto legal que remite al reglamento la determinación del órgano competente para el ejercicio de la potestad sancionadora respecto de las infracciones del orden social en el ámbito de la Administración general del Estado; remisión legal a una disposición ya depurada de inconstitucionalidad (STC 272/2015).</w:t>
      </w:r>
      <w:r>
        <w:tab/>
      </w:r>
      <w:r>
        <w:tab/>
      </w:r>
      <w:r>
        <w:fldChar w:fldCharType="begin"/>
      </w:r>
      <w:r>
        <w:instrText xml:space="preserve"> PAGEREF SENTENCIA_2016_21 \h </w:instrText>
      </w:r>
      <w:r>
        <w:fldChar w:fldCharType="separate"/>
      </w:r>
      <w:r w:rsidR="00C13A87">
        <w:rPr>
          <w:noProof/>
        </w:rPr>
        <w:t>497</w:t>
      </w:r>
      <w:r>
        <w:fldChar w:fldCharType="end"/>
      </w:r>
    </w:p>
    <w:p w:rsidR="00DC1C29" w:rsidRDefault="00DC1C29" w:rsidP="00DC1C29"/>
    <w:p w:rsidR="00DC1C29" w:rsidRDefault="00DC1C29" w:rsidP="00DC1C29">
      <w:pPr>
        <w:pStyle w:val="EntradandiceSentencia"/>
      </w:pPr>
      <w:r>
        <w:t>Sala Segunda. Sentencia 22/2016, de 15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3689-2014. </w:t>
      </w:r>
      <w:r w:rsidRPr="00DC1C29">
        <w:rPr>
          <w:rStyle w:val="TextoNormalCursivaCaracter"/>
        </w:rPr>
        <w:t xml:space="preserve"> Vulneración del derecho a la libertad personal: privación de representación y defensa en la instancia que no puede entenderse reparada por la interposición posterior de recurso de apelación.</w:t>
      </w:r>
      <w:r>
        <w:tab/>
      </w:r>
      <w:r>
        <w:tab/>
      </w:r>
      <w:r>
        <w:fldChar w:fldCharType="begin"/>
      </w:r>
      <w:r>
        <w:instrText xml:space="preserve"> PAGEREF SENTENCIA_2016_22 \h </w:instrText>
      </w:r>
      <w:r>
        <w:fldChar w:fldCharType="separate"/>
      </w:r>
      <w:r w:rsidR="00C13A87">
        <w:rPr>
          <w:noProof/>
        </w:rPr>
        <w:t>505</w:t>
      </w:r>
      <w:r>
        <w:fldChar w:fldCharType="end"/>
      </w:r>
    </w:p>
    <w:p w:rsidR="00DC1C29" w:rsidRDefault="00DC1C29" w:rsidP="00DC1C29"/>
    <w:p w:rsidR="00DC1C29" w:rsidRDefault="00DC1C29" w:rsidP="00DC1C29">
      <w:pPr>
        <w:pStyle w:val="EntradandiceSentencia"/>
      </w:pPr>
      <w:r>
        <w:t>Sala Segunda. Sentencia 23/2016, de 15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5578-2014. </w:t>
      </w:r>
      <w:r w:rsidRPr="00DC1C29">
        <w:rPr>
          <w:rStyle w:val="TextoNormalCursivaCaracter"/>
        </w:rPr>
        <w:t xml:space="preserve"> Supuesta vulneración del derecho a la tutela judicial efectiva: estimación sin retroacción de un recurso de apelación consecuencia de la ponderación de los intereses en conflicto, tanto de la acusación particular, como del menor expedientado.</w:t>
      </w:r>
      <w:r>
        <w:tab/>
      </w:r>
      <w:r>
        <w:tab/>
      </w:r>
      <w:r>
        <w:fldChar w:fldCharType="begin"/>
      </w:r>
      <w:r>
        <w:instrText xml:space="preserve"> PAGEREF SENTENCIA_2016_23 \h </w:instrText>
      </w:r>
      <w:r>
        <w:fldChar w:fldCharType="separate"/>
      </w:r>
      <w:r w:rsidR="00C13A87">
        <w:rPr>
          <w:noProof/>
        </w:rPr>
        <w:t>520</w:t>
      </w:r>
      <w:r>
        <w:fldChar w:fldCharType="end"/>
      </w:r>
    </w:p>
    <w:p w:rsidR="00DC1C29" w:rsidRDefault="00DC1C29" w:rsidP="00DC1C29"/>
    <w:p w:rsidR="00DC1C29" w:rsidRDefault="00DC1C29" w:rsidP="00DC1C29">
      <w:pPr>
        <w:pStyle w:val="EntradandiceSentencia"/>
      </w:pPr>
      <w:r>
        <w:t>Sala Segunda. Sentencia 24/2016, de 15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5859-2014. </w:t>
      </w:r>
      <w:r w:rsidRPr="00DC1C29">
        <w:rPr>
          <w:rStyle w:val="TextoNormalCursivaCaracter"/>
        </w:rPr>
        <w:t xml:space="preserve"> Alegada vulneración del derecho a no padecer discriminación por razón de sexo: inadmisión, por extemporaneidad, del recurso de amparo.</w:t>
      </w:r>
      <w:r>
        <w:tab/>
      </w:r>
      <w:r>
        <w:tab/>
      </w:r>
      <w:r>
        <w:fldChar w:fldCharType="begin"/>
      </w:r>
      <w:r>
        <w:instrText xml:space="preserve"> PAGEREF SENTENCIA_2016_24 \h </w:instrText>
      </w:r>
      <w:r>
        <w:fldChar w:fldCharType="separate"/>
      </w:r>
      <w:r w:rsidR="00C13A87">
        <w:rPr>
          <w:noProof/>
        </w:rPr>
        <w:t>534</w:t>
      </w:r>
      <w:r>
        <w:fldChar w:fldCharType="end"/>
      </w:r>
    </w:p>
    <w:p w:rsidR="00DC1C29" w:rsidRDefault="00DC1C29" w:rsidP="00DC1C29"/>
    <w:p w:rsidR="00DC1C29" w:rsidRDefault="00DC1C29" w:rsidP="00DC1C29">
      <w:pPr>
        <w:pStyle w:val="EntradandiceSentencia"/>
      </w:pPr>
      <w:r>
        <w:t>Sala Primera. Sentencia 25/2016, de 15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6245-2014. </w:t>
      </w:r>
      <w:r w:rsidRPr="00DC1C29">
        <w:rPr>
          <w:rStyle w:val="TextoNormalCursivaCaracter"/>
        </w:rPr>
        <w:t xml:space="preserve"> Límites a la potestad tributaria de las Comunidades Autónomas: nulidad del precepto legal autonómico que introduce un medio a aplicar en los procedimientos de comprobación de valores no contemplado en la normativa estatal (STC 161/2012).</w:t>
      </w:r>
      <w:r>
        <w:tab/>
      </w:r>
      <w:r>
        <w:tab/>
      </w:r>
      <w:r>
        <w:fldChar w:fldCharType="begin"/>
      </w:r>
      <w:r>
        <w:instrText xml:space="preserve"> PAGEREF SENTENCIA_2016_25 \h </w:instrText>
      </w:r>
      <w:r>
        <w:fldChar w:fldCharType="separate"/>
      </w:r>
      <w:r w:rsidR="00C13A87">
        <w:rPr>
          <w:noProof/>
        </w:rPr>
        <w:t>539</w:t>
      </w:r>
      <w:r>
        <w:fldChar w:fldCharType="end"/>
      </w:r>
    </w:p>
    <w:p w:rsidR="00DC1C29" w:rsidRDefault="00DC1C29" w:rsidP="00DC1C29"/>
    <w:p w:rsidR="00DC1C29" w:rsidRDefault="00DC1C29" w:rsidP="00DC1C29">
      <w:pPr>
        <w:pStyle w:val="EntradandiceSentencia"/>
      </w:pPr>
      <w:r>
        <w:t>Pleno. Sentencia 26/2016, de 18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4528-2012. </w:t>
      </w:r>
      <w:r w:rsidRPr="00DC1C29">
        <w:rPr>
          <w:rStyle w:val="TextoNormalCursivaCaracter"/>
        </w:rPr>
        <w:t xml:space="preserve"> Límites a los decretos-leyes, principio de seguridad jurídica, competencias sobre educación y función pública, autonomía financiera: nulidad de los preceptos legales estatales que habilitan al Gobierno para regular los requisitos básicos de mantenimiento de centros y estructuras universitarias y que prevén la creación de alianzas estratégicas entre universidades o con organismos públicos de investigación. Voto particular.</w:t>
      </w:r>
      <w:r>
        <w:tab/>
      </w:r>
      <w:r>
        <w:tab/>
      </w:r>
      <w:r>
        <w:fldChar w:fldCharType="begin"/>
      </w:r>
      <w:r>
        <w:instrText xml:space="preserve"> PAGEREF SENTENCIA_2016_26 \h </w:instrText>
      </w:r>
      <w:r>
        <w:fldChar w:fldCharType="separate"/>
      </w:r>
      <w:r w:rsidR="00C13A87">
        <w:rPr>
          <w:noProof/>
        </w:rPr>
        <w:t>554</w:t>
      </w:r>
      <w:r>
        <w:fldChar w:fldCharType="end"/>
      </w:r>
    </w:p>
    <w:p w:rsidR="00DC1C29" w:rsidRDefault="00DC1C29" w:rsidP="00DC1C29"/>
    <w:p w:rsidR="00DC1C29" w:rsidRDefault="00DC1C29" w:rsidP="00DC1C29">
      <w:pPr>
        <w:pStyle w:val="EntradandiceSentencia"/>
      </w:pPr>
      <w:r>
        <w:t>Pleno. Sentencia 27/2016, de 18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Conflicto en defensa de la autonomía local 2599-2013. </w:t>
      </w:r>
      <w:r w:rsidRPr="00DC1C29">
        <w:rPr>
          <w:rStyle w:val="TextoNormalCursivaCaracter"/>
        </w:rPr>
        <w:t xml:space="preserve"> Autonomía local, límites de los decretos-leyes, urbanismo y ordenación territorial: inadmisión del conflicto en defensa de la autonomía local por carencia de legitimación activa de las corporaciones locales promotoras.</w:t>
      </w:r>
      <w:r>
        <w:tab/>
      </w:r>
      <w:r>
        <w:tab/>
      </w:r>
      <w:r>
        <w:fldChar w:fldCharType="begin"/>
      </w:r>
      <w:r>
        <w:instrText xml:space="preserve"> PAGEREF SENTENCIA_2016_27 \h </w:instrText>
      </w:r>
      <w:r>
        <w:fldChar w:fldCharType="separate"/>
      </w:r>
      <w:r w:rsidR="00C13A87">
        <w:rPr>
          <w:noProof/>
        </w:rPr>
        <w:t>596</w:t>
      </w:r>
      <w:r>
        <w:fldChar w:fldCharType="end"/>
      </w:r>
    </w:p>
    <w:p w:rsidR="00DC1C29" w:rsidRDefault="00DC1C29" w:rsidP="00DC1C29"/>
    <w:p w:rsidR="00DC1C29" w:rsidRDefault="00DC1C29" w:rsidP="00DC1C29">
      <w:pPr>
        <w:pStyle w:val="EntradandiceSentencia"/>
      </w:pPr>
      <w:r>
        <w:t>Pleno. Sentencia 28/2016, de 18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4912-2013. </w:t>
      </w:r>
      <w:r w:rsidRPr="00DC1C29">
        <w:rPr>
          <w:rStyle w:val="TextoNormalCursivaCaracter"/>
        </w:rPr>
        <w:t xml:space="preserve"> Competencias sobre urbanismo, ordenación del litoral y del territorio; autonomía local: interpretación conforme del precepto legal estatal que impone a las Comunidades Autónomas el deber de elaborar un plan sobre la posible incidencia del cambio climático en el dominio público marítimo-terrestre (STC 233/2015).</w:t>
      </w:r>
      <w:r>
        <w:tab/>
      </w:r>
      <w:r>
        <w:tab/>
      </w:r>
      <w:r>
        <w:fldChar w:fldCharType="begin"/>
      </w:r>
      <w:r>
        <w:instrText xml:space="preserve"> PAGEREF SENTENCIA_2016_28 \h </w:instrText>
      </w:r>
      <w:r>
        <w:fldChar w:fldCharType="separate"/>
      </w:r>
      <w:r w:rsidR="00C13A87">
        <w:rPr>
          <w:noProof/>
        </w:rPr>
        <w:t>617</w:t>
      </w:r>
      <w:r>
        <w:fldChar w:fldCharType="end"/>
      </w:r>
    </w:p>
    <w:p w:rsidR="00DC1C29" w:rsidRDefault="00DC1C29" w:rsidP="00DC1C29"/>
    <w:p w:rsidR="00DC1C29" w:rsidRDefault="00DC1C29" w:rsidP="00DC1C29">
      <w:pPr>
        <w:pStyle w:val="EntradandiceSentencia"/>
      </w:pPr>
      <w:r>
        <w:t>Pleno. Sentencia 29/2016, de 18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5852-2013. </w:t>
      </w:r>
      <w:r w:rsidRPr="00DC1C29">
        <w:rPr>
          <w:rStyle w:val="TextoNormalCursivaCaracter"/>
        </w:rPr>
        <w:t xml:space="preserve"> Límites de los decretos-leyes, principios de seguridad jurídica, irretroactividad e interdicción de la arbitrariedad: acreditación de la concurrencia del presupuesto habilitante; constitucionalidad de los preceptos legales que establecen un nuevo régimen retributivo para los titulares de las instalaciones de producción de energía eléctrica en régimen primado (STC 270/2015). Voto particular.</w:t>
      </w:r>
      <w:r>
        <w:tab/>
      </w:r>
      <w:r>
        <w:tab/>
      </w:r>
      <w:r>
        <w:fldChar w:fldCharType="begin"/>
      </w:r>
      <w:r>
        <w:instrText xml:space="preserve"> PAGEREF SENTENCIA_2016_29 \h </w:instrText>
      </w:r>
      <w:r>
        <w:fldChar w:fldCharType="separate"/>
      </w:r>
      <w:r w:rsidR="00C13A87">
        <w:rPr>
          <w:noProof/>
        </w:rPr>
        <w:t>638</w:t>
      </w:r>
      <w:r>
        <w:fldChar w:fldCharType="end"/>
      </w:r>
    </w:p>
    <w:p w:rsidR="00DC1C29" w:rsidRDefault="00DC1C29" w:rsidP="00DC1C29"/>
    <w:p w:rsidR="00DC1C29" w:rsidRDefault="00DC1C29" w:rsidP="00DC1C29">
      <w:pPr>
        <w:pStyle w:val="EntradandiceSentencia"/>
      </w:pPr>
      <w:r>
        <w:t>Pleno. Sentencia 30/2016, de 18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6031-2013. </w:t>
      </w:r>
      <w:r w:rsidRPr="00DC1C29">
        <w:rPr>
          <w:rStyle w:val="TextoNormalCursivaCaracter"/>
        </w:rPr>
        <w:t xml:space="preserve"> Límites de los decretos-leyes, principios de seguridad jurídica e irretroactividad: acreditación de la concurrencia del presupuesto habilitante; constitucionalidad de los preceptos legales que establecen un nuevo régimen retributivo para los titulares de las instalaciones de producción de energía eléctrica en régimen primado (STC 270/2015). Voto particular.</w:t>
      </w:r>
      <w:r>
        <w:tab/>
      </w:r>
      <w:r>
        <w:tab/>
      </w:r>
      <w:r>
        <w:fldChar w:fldCharType="begin"/>
      </w:r>
      <w:r>
        <w:instrText xml:space="preserve"> PAGEREF SENTENCIA_2016_30 \h </w:instrText>
      </w:r>
      <w:r>
        <w:fldChar w:fldCharType="separate"/>
      </w:r>
      <w:r w:rsidR="00C13A87">
        <w:rPr>
          <w:noProof/>
        </w:rPr>
        <w:t>655</w:t>
      </w:r>
      <w:r>
        <w:fldChar w:fldCharType="end"/>
      </w:r>
    </w:p>
    <w:p w:rsidR="00DC1C29" w:rsidRDefault="00DC1C29" w:rsidP="00DC1C29"/>
    <w:p w:rsidR="00DC1C29" w:rsidRDefault="00DC1C29" w:rsidP="00DC1C29">
      <w:pPr>
        <w:pStyle w:val="EntradandiceSentencia"/>
      </w:pPr>
      <w:r>
        <w:t>Pleno. Sentencia 31/2016, de 18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Conflicto positivo de competencia 6893-2013. </w:t>
      </w:r>
      <w:r w:rsidRPr="00DC1C29">
        <w:rPr>
          <w:rStyle w:val="TextoNormalCursivaCaracter"/>
        </w:rPr>
        <w:t xml:space="preserve"> Autonomía financiera, procedimiento de responsabilidad patrimonial: adecuado ejercicio de las competencias estatales (STC 215/2014).</w:t>
      </w:r>
      <w:r>
        <w:tab/>
      </w:r>
      <w:r>
        <w:tab/>
      </w:r>
      <w:r>
        <w:fldChar w:fldCharType="begin"/>
      </w:r>
      <w:r>
        <w:instrText xml:space="preserve"> PAGEREF SENTENCIA_2016_31 \h </w:instrText>
      </w:r>
      <w:r>
        <w:fldChar w:fldCharType="separate"/>
      </w:r>
      <w:r w:rsidR="00C13A87">
        <w:rPr>
          <w:noProof/>
        </w:rPr>
        <w:t>672</w:t>
      </w:r>
      <w:r>
        <w:fldChar w:fldCharType="end"/>
      </w:r>
    </w:p>
    <w:p w:rsidR="00DC1C29" w:rsidRDefault="00DC1C29" w:rsidP="00DC1C29"/>
    <w:p w:rsidR="00DC1C29" w:rsidRDefault="00DC1C29" w:rsidP="00DC1C29">
      <w:pPr>
        <w:pStyle w:val="EntradandiceSentencia"/>
      </w:pPr>
      <w:r>
        <w:t>Pleno. Sentencia 32/2016, de 18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1908-2014. </w:t>
      </w:r>
      <w:r w:rsidRPr="00DC1C29">
        <w:rPr>
          <w:rStyle w:val="TextoNormalCursivaCaracter"/>
        </w:rPr>
        <w:t xml:space="preserve"> Competencias sobre ordenación general de la economía y sobre el sector eléctrico: interpretación conforme de los preceptos legales estatales relativos a la autorización de instalaciones peninsulares de producción de energía eléctrica y resolución de controversias sobre suministro de energía eléctrica. Votos particulares.</w:t>
      </w:r>
      <w:r>
        <w:tab/>
      </w:r>
      <w:r>
        <w:tab/>
      </w:r>
      <w:r>
        <w:fldChar w:fldCharType="begin"/>
      </w:r>
      <w:r>
        <w:instrText xml:space="preserve"> PAGEREF SENTENCIA_2016_32 \h </w:instrText>
      </w:r>
      <w:r>
        <w:fldChar w:fldCharType="separate"/>
      </w:r>
      <w:r w:rsidR="00C13A87">
        <w:rPr>
          <w:noProof/>
        </w:rPr>
        <w:t>685</w:t>
      </w:r>
      <w:r>
        <w:fldChar w:fldCharType="end"/>
      </w:r>
    </w:p>
    <w:p w:rsidR="00DC1C29" w:rsidRDefault="00DC1C29" w:rsidP="00DC1C29"/>
    <w:p w:rsidR="00DC1C29" w:rsidRDefault="00DC1C29" w:rsidP="00DC1C29">
      <w:pPr>
        <w:pStyle w:val="EntradandiceSentencia"/>
      </w:pPr>
      <w:r>
        <w:t>Pleno. Sentencia 33/2016, de 18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5458-2015. </w:t>
      </w:r>
      <w:r w:rsidRPr="00DC1C29">
        <w:rPr>
          <w:rStyle w:val="TextoNormalCursivaCaracter"/>
        </w:rPr>
        <w:t xml:space="preserve"> Límites de la potestad tributaria de las Comunidades Autónomas, competencias sobre minas: nulidad del precepto legal autonómico relativo a los medios de comprobación de valores en tributos cedidos (STC 161/2012).</w:t>
      </w:r>
      <w:r>
        <w:tab/>
      </w:r>
      <w:r>
        <w:tab/>
      </w:r>
      <w:r>
        <w:fldChar w:fldCharType="begin"/>
      </w:r>
      <w:r>
        <w:instrText xml:space="preserve"> PAGEREF SENTENCIA_2016_33 \h </w:instrText>
      </w:r>
      <w:r>
        <w:fldChar w:fldCharType="separate"/>
      </w:r>
      <w:r w:rsidR="00C13A87">
        <w:rPr>
          <w:noProof/>
        </w:rPr>
        <w:t>725</w:t>
      </w:r>
      <w:r>
        <w:fldChar w:fldCharType="end"/>
      </w:r>
    </w:p>
    <w:p w:rsidR="00DC1C29" w:rsidRDefault="00DC1C29" w:rsidP="00DC1C29"/>
    <w:p w:rsidR="00DC1C29" w:rsidRDefault="00DC1C29" w:rsidP="00DC1C29">
      <w:pPr>
        <w:pStyle w:val="EntradandiceSentencia"/>
      </w:pPr>
      <w:r>
        <w:t>Sala Segunda. Sentencia 34/2016, de 29 de febrero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4984-2014. </w:t>
      </w:r>
      <w:r w:rsidRPr="00DC1C29">
        <w:rPr>
          <w:rStyle w:val="TextoNormalCursivaCaracter"/>
        </w:rPr>
        <w:t xml:space="preserve"> Vulneración del derecho a la libertad personal: resoluciones judiciales que no adoptaron, de oficio, la medida cautelar de internamiento en proceso de incapacitación.</w:t>
      </w:r>
      <w:r>
        <w:tab/>
      </w:r>
      <w:r>
        <w:tab/>
      </w:r>
      <w:r>
        <w:fldChar w:fldCharType="begin"/>
      </w:r>
      <w:r>
        <w:instrText xml:space="preserve"> PAGEREF SENTENCIA_2016_34 \h </w:instrText>
      </w:r>
      <w:r>
        <w:fldChar w:fldCharType="separate"/>
      </w:r>
      <w:r w:rsidR="00C13A87">
        <w:rPr>
          <w:noProof/>
        </w:rPr>
        <w:t>747</w:t>
      </w:r>
      <w:r>
        <w:fldChar w:fldCharType="end"/>
      </w:r>
    </w:p>
    <w:p w:rsidR="00DC1C29" w:rsidRDefault="00DC1C29" w:rsidP="00DC1C29"/>
    <w:p w:rsidR="00DC1C29" w:rsidRDefault="00DC1C29" w:rsidP="00DC1C29">
      <w:pPr>
        <w:pStyle w:val="EntradandiceSentencia"/>
      </w:pPr>
      <w:r>
        <w:t>Pleno. Sentencia 35/2016, de 3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546-2010. </w:t>
      </w:r>
      <w:r w:rsidRPr="00DC1C29">
        <w:rPr>
          <w:rStyle w:val="TextoNormalCursivaCaracter"/>
        </w:rPr>
        <w:t xml:space="preserve"> Libertad de empresa: constitucionalidad del precepto legal que establece una obligación de inversión de los operadores televisivos en obras audiovisuales europeas.</w:t>
      </w:r>
      <w:r>
        <w:tab/>
      </w:r>
      <w:r>
        <w:tab/>
      </w:r>
      <w:r>
        <w:fldChar w:fldCharType="begin"/>
      </w:r>
      <w:r>
        <w:instrText xml:space="preserve"> PAGEREF SENTENCIA_2016_35 \h </w:instrText>
      </w:r>
      <w:r>
        <w:fldChar w:fldCharType="separate"/>
      </w:r>
      <w:r w:rsidR="00C13A87">
        <w:rPr>
          <w:noProof/>
        </w:rPr>
        <w:t>770</w:t>
      </w:r>
      <w:r>
        <w:fldChar w:fldCharType="end"/>
      </w:r>
    </w:p>
    <w:p w:rsidR="00DC1C29" w:rsidRDefault="00DC1C29" w:rsidP="00DC1C29"/>
    <w:p w:rsidR="00DC1C29" w:rsidRDefault="00DC1C29" w:rsidP="00DC1C29">
      <w:pPr>
        <w:pStyle w:val="EntradandiceSentencia"/>
      </w:pPr>
      <w:r>
        <w:t>Pleno. Sentencia 36/2016, de 3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5763-2012. </w:t>
      </w:r>
      <w:r w:rsidRPr="00DC1C29">
        <w:rPr>
          <w:rStyle w:val="TextoNormalCursivaCaracter"/>
        </w:rPr>
        <w:t xml:space="preserve"> Competencias sobre condiciones básicas de igualdad y asistencia social; autonomía financiera de Navarra: constitucionalidad de las disposiciones legales estatales relativas a la ayuda domiciliaria, y régimen de compatibilidad de prestaciones (STC 18/2016).</w:t>
      </w:r>
      <w:r>
        <w:tab/>
      </w:r>
      <w:r>
        <w:tab/>
      </w:r>
      <w:r>
        <w:fldChar w:fldCharType="begin"/>
      </w:r>
      <w:r>
        <w:instrText xml:space="preserve"> PAGEREF SENTENCIA_2016_36 \h </w:instrText>
      </w:r>
      <w:r>
        <w:fldChar w:fldCharType="separate"/>
      </w:r>
      <w:r w:rsidR="00C13A87">
        <w:rPr>
          <w:noProof/>
        </w:rPr>
        <w:t>787</w:t>
      </w:r>
      <w:r>
        <w:fldChar w:fldCharType="end"/>
      </w:r>
    </w:p>
    <w:p w:rsidR="00DC1C29" w:rsidRDefault="00DC1C29" w:rsidP="00DC1C29"/>
    <w:p w:rsidR="00DC1C29" w:rsidRDefault="00DC1C29" w:rsidP="00DC1C29">
      <w:pPr>
        <w:pStyle w:val="EntradandiceSentencia"/>
      </w:pPr>
      <w:r>
        <w:t>Pleno. Sentencia 37/2016, de 3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2240-2013. </w:t>
      </w:r>
      <w:r w:rsidRPr="00DC1C29">
        <w:rPr>
          <w:rStyle w:val="TextoNormalCursivaCaracter"/>
        </w:rPr>
        <w:t xml:space="preserve"> Competencias sobre ordenación general de la economía, comercio interior, defensa de los consumidores y usuarios y turismo: constitucionalidad de los preceptos legales estatales relativos a horarios comerciales y comercio minorista (STC 18/2016).</w:t>
      </w:r>
      <w:r>
        <w:tab/>
      </w:r>
      <w:r>
        <w:tab/>
      </w:r>
      <w:r>
        <w:fldChar w:fldCharType="begin"/>
      </w:r>
      <w:r>
        <w:instrText xml:space="preserve"> PAGEREF SENTENCIA_2016_37 \h </w:instrText>
      </w:r>
      <w:r>
        <w:fldChar w:fldCharType="separate"/>
      </w:r>
      <w:r w:rsidR="00C13A87">
        <w:rPr>
          <w:noProof/>
        </w:rPr>
        <w:t>798</w:t>
      </w:r>
      <w:r>
        <w:fldChar w:fldCharType="end"/>
      </w:r>
    </w:p>
    <w:p w:rsidR="00DC1C29" w:rsidRDefault="00DC1C29" w:rsidP="00DC1C29"/>
    <w:p w:rsidR="00DC1C29" w:rsidRDefault="00DC1C29" w:rsidP="00DC1C29">
      <w:pPr>
        <w:pStyle w:val="EntradandiceSentencia"/>
      </w:pPr>
      <w:r>
        <w:t>Pleno. Sentencia 38/2016, de 3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7084-2013. </w:t>
      </w:r>
      <w:r w:rsidRPr="00DC1C29">
        <w:rPr>
          <w:rStyle w:val="TextoNormalCursivaCaracter"/>
        </w:rPr>
        <w:t xml:space="preserve"> Límites a los decretos-leyes, principio de interdicción de la arbitrariedad, derechos a la tutela judicial efectiva (ejecución de sentencias) y a la educación: nulidad de los preceptos autonómicos relativos a los requisitos de proyectos de tratamiento integrado de lenguas y proyectos transitorios.</w:t>
      </w:r>
      <w:r>
        <w:tab/>
      </w:r>
      <w:r>
        <w:tab/>
      </w:r>
      <w:r>
        <w:fldChar w:fldCharType="begin"/>
      </w:r>
      <w:r>
        <w:instrText xml:space="preserve"> PAGEREF SENTENCIA_2016_38 \h </w:instrText>
      </w:r>
      <w:r>
        <w:fldChar w:fldCharType="separate"/>
      </w:r>
      <w:r w:rsidR="00C13A87">
        <w:rPr>
          <w:noProof/>
        </w:rPr>
        <w:t>812</w:t>
      </w:r>
      <w:r>
        <w:fldChar w:fldCharType="end"/>
      </w:r>
    </w:p>
    <w:p w:rsidR="00DC1C29" w:rsidRDefault="00DC1C29" w:rsidP="00DC1C29"/>
    <w:p w:rsidR="00DC1C29" w:rsidRDefault="00DC1C29" w:rsidP="00DC1C29">
      <w:pPr>
        <w:pStyle w:val="EntradandiceSentencia"/>
      </w:pPr>
      <w:r>
        <w:t>Pleno. Sentencia 39/2016, de 3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7222-2013. </w:t>
      </w:r>
      <w:r w:rsidRPr="00DC1C29">
        <w:rPr>
          <w:rStyle w:val="TextoNormalCursivaCaracter"/>
        </w:rPr>
        <w:t xml:space="preserve"> Supuesta vulneración de los derechos a la intimidad y a la protección de datos: despido basado en las imágenes captadas por una cámara de videovigilancia instalada sin comunicación previa a la trabajadora. Votos particulares.</w:t>
      </w:r>
      <w:r>
        <w:tab/>
      </w:r>
      <w:r>
        <w:tab/>
      </w:r>
      <w:r>
        <w:fldChar w:fldCharType="begin"/>
      </w:r>
      <w:r>
        <w:instrText xml:space="preserve"> PAGEREF SENTENCIA_2016_39 \h </w:instrText>
      </w:r>
      <w:r>
        <w:fldChar w:fldCharType="separate"/>
      </w:r>
      <w:r w:rsidR="00C13A87">
        <w:rPr>
          <w:noProof/>
        </w:rPr>
        <w:t>835</w:t>
      </w:r>
      <w:r>
        <w:fldChar w:fldCharType="end"/>
      </w:r>
    </w:p>
    <w:p w:rsidR="00DC1C29" w:rsidRDefault="00DC1C29" w:rsidP="00DC1C29"/>
    <w:p w:rsidR="00DC1C29" w:rsidRDefault="00DC1C29" w:rsidP="00DC1C29">
      <w:pPr>
        <w:pStyle w:val="EntradandiceSentencia"/>
      </w:pPr>
      <w:r>
        <w:t>Pleno. Sentencia 40/2016, de 3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1233-2014. </w:t>
      </w:r>
      <w:r w:rsidRPr="00DC1C29">
        <w:rPr>
          <w:rStyle w:val="TextoNormalCursivaCaracter"/>
        </w:rPr>
        <w:t xml:space="preserve"> Principio de pluralismo, derecho a la participación política y autonomía local: extinción del recurso de inconstitucionalidad por derogación de la norma con rango de ley impugnada.</w:t>
      </w:r>
      <w:r>
        <w:tab/>
      </w:r>
      <w:r>
        <w:tab/>
      </w:r>
      <w:r>
        <w:fldChar w:fldCharType="begin"/>
      </w:r>
      <w:r>
        <w:instrText xml:space="preserve"> PAGEREF SENTENCIA_2016_40 \h </w:instrText>
      </w:r>
      <w:r>
        <w:fldChar w:fldCharType="separate"/>
      </w:r>
      <w:r w:rsidR="00C13A87">
        <w:rPr>
          <w:noProof/>
        </w:rPr>
        <w:t>863</w:t>
      </w:r>
      <w:r>
        <w:fldChar w:fldCharType="end"/>
      </w:r>
    </w:p>
    <w:p w:rsidR="00DC1C29" w:rsidRDefault="00DC1C29" w:rsidP="00DC1C29"/>
    <w:p w:rsidR="00DC1C29" w:rsidRDefault="00DC1C29" w:rsidP="00DC1C29">
      <w:pPr>
        <w:pStyle w:val="EntradandiceSentencia"/>
      </w:pPr>
      <w:r>
        <w:t>Pleno. Sentencia 41/2016, de 3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1792-2014. </w:t>
      </w:r>
      <w:r w:rsidRPr="00DC1C29">
        <w:rPr>
          <w:rStyle w:val="TextoNormalCursivaCaracter"/>
        </w:rPr>
        <w:t xml:space="preserve"> Autonomía local, competencias sobre hacienda general y régimen jurídico de las Administraciones públicas: nulidad de los preceptos legales que autorizan al Estado a compensar determinadas deudas contraídas por las Comunidades Autónomas con los créditos resultantes de su sistema de financiación, establecen el régimen transitorio de asunción autonómica de las competencias municipales sobre salud y servicios sociales, disolución de entidades locales de ámbito territorial inferior al municipio y mancomunidades de municipios; interpretación conforme de la disposición relativa a la asunción autonómica de competencias municipales en materia de educación.</w:t>
      </w:r>
      <w:r>
        <w:tab/>
      </w:r>
      <w:r>
        <w:tab/>
      </w:r>
      <w:r>
        <w:fldChar w:fldCharType="begin"/>
      </w:r>
      <w:r>
        <w:instrText xml:space="preserve"> PAGEREF SENTENCIA_2016_41 \h </w:instrText>
      </w:r>
      <w:r>
        <w:fldChar w:fldCharType="separate"/>
      </w:r>
      <w:r w:rsidR="00C13A87">
        <w:rPr>
          <w:noProof/>
        </w:rPr>
        <w:t>873</w:t>
      </w:r>
      <w:r>
        <w:fldChar w:fldCharType="end"/>
      </w:r>
    </w:p>
    <w:p w:rsidR="00DC1C29" w:rsidRDefault="00DC1C29" w:rsidP="00DC1C29"/>
    <w:p w:rsidR="00DC1C29" w:rsidRDefault="00DC1C29" w:rsidP="00DC1C29">
      <w:pPr>
        <w:pStyle w:val="EntradandiceSentencia"/>
      </w:pPr>
      <w:r>
        <w:t>Pleno. Sentencia 42/2016, de 3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2391-2014. </w:t>
      </w:r>
      <w:r w:rsidRPr="00DC1C29">
        <w:rPr>
          <w:rStyle w:val="TextoNormalCursivaCaracter"/>
        </w:rPr>
        <w:t xml:space="preserve"> Límites de los decretos-leyes y principio de seguridad jurídica: acreditación de la concurrencia del presupuesto habilitante; constitucionalidad de los preceptos legales que establecen un nuevo régimen retributivo para los titulares de las instalaciones de producción de energía eléctrica en régimen primado (STC 270/2015). Voto particular.</w:t>
      </w:r>
      <w:r>
        <w:tab/>
      </w:r>
      <w:r>
        <w:tab/>
      </w:r>
      <w:r>
        <w:fldChar w:fldCharType="begin"/>
      </w:r>
      <w:r>
        <w:instrText xml:space="preserve"> PAGEREF SENTENCIA_2016_42 \h </w:instrText>
      </w:r>
      <w:r>
        <w:fldChar w:fldCharType="separate"/>
      </w:r>
      <w:r w:rsidR="00C13A87">
        <w:rPr>
          <w:noProof/>
        </w:rPr>
        <w:t>952</w:t>
      </w:r>
      <w:r>
        <w:fldChar w:fldCharType="end"/>
      </w:r>
    </w:p>
    <w:p w:rsidR="00DC1C29" w:rsidRDefault="00DC1C29" w:rsidP="00DC1C29"/>
    <w:p w:rsidR="00DC1C29" w:rsidRDefault="00DC1C29" w:rsidP="00DC1C29">
      <w:pPr>
        <w:pStyle w:val="EntradandiceSentencia"/>
      </w:pPr>
      <w:r>
        <w:t>Pleno. Sentencia 43/2016, de 3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4182-2015. </w:t>
      </w:r>
      <w:r w:rsidRPr="00DC1C29">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SENTENCIA_2016_43 \h </w:instrText>
      </w:r>
      <w:r>
        <w:fldChar w:fldCharType="separate"/>
      </w:r>
      <w:r w:rsidR="00C13A87">
        <w:rPr>
          <w:noProof/>
        </w:rPr>
        <w:t>963</w:t>
      </w:r>
      <w:r>
        <w:fldChar w:fldCharType="end"/>
      </w:r>
    </w:p>
    <w:p w:rsidR="00DC1C29" w:rsidRDefault="00DC1C29" w:rsidP="00DC1C29"/>
    <w:p w:rsidR="00DC1C29" w:rsidRDefault="00DC1C29" w:rsidP="00DC1C29">
      <w:pPr>
        <w:pStyle w:val="EntradandiceSentencia"/>
      </w:pPr>
      <w:r>
        <w:t>Sala Segunda. Sentencia 44/2016, de 14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4923-2012. </w:t>
      </w:r>
      <w:r w:rsidRPr="00DC1C29">
        <w:rPr>
          <w:rStyle w:val="TextoNormalCursivaCaracter"/>
        </w:rPr>
        <w:t xml:space="preserve"> Alegada vulneración del derecho a la tutela judicial y supuesta vulneración del derecho a la autonomía universitaria: inadmisión parcial del recurso de amparo por falta de legitimación activa de la persona jurídica de Derecho público demandante (STC 175/2001); la determinación de la edad de jubilación no integra el derecho a la autonomía universitaria.</w:t>
      </w:r>
      <w:r>
        <w:tab/>
      </w:r>
      <w:r>
        <w:tab/>
      </w:r>
      <w:r>
        <w:fldChar w:fldCharType="begin"/>
      </w:r>
      <w:r>
        <w:instrText xml:space="preserve"> PAGEREF SENTENCIA_2016_44 \h </w:instrText>
      </w:r>
      <w:r>
        <w:fldChar w:fldCharType="separate"/>
      </w:r>
      <w:r w:rsidR="00C13A87">
        <w:rPr>
          <w:noProof/>
        </w:rPr>
        <w:t>973</w:t>
      </w:r>
      <w:r>
        <w:fldChar w:fldCharType="end"/>
      </w:r>
    </w:p>
    <w:p w:rsidR="00DC1C29" w:rsidRDefault="00DC1C29" w:rsidP="00DC1C29"/>
    <w:p w:rsidR="00DC1C29" w:rsidRDefault="00DC1C29" w:rsidP="00DC1C29">
      <w:pPr>
        <w:pStyle w:val="EntradandiceSentencia"/>
      </w:pPr>
      <w:r>
        <w:t>Sala Segunda. Sentencia 45/2016, de 14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4679-2013. </w:t>
      </w:r>
      <w:r w:rsidRPr="00DC1C29">
        <w:rPr>
          <w:rStyle w:val="TextoNormalCursivaCaracter"/>
        </w:rPr>
        <w:t xml:space="preserve"> Supuesta vulneración del derecho a la huelga: resoluciones administrativas que, con motivación suficiente, designaron a la demandante de amparo como personal encargado del mantenimiento de los servicios esenciales durante sendas jornadas de huelga.</w:t>
      </w:r>
      <w:r>
        <w:tab/>
      </w:r>
      <w:r>
        <w:tab/>
      </w:r>
      <w:r>
        <w:fldChar w:fldCharType="begin"/>
      </w:r>
      <w:r>
        <w:instrText xml:space="preserve"> PAGEREF SENTENCIA_2016_45 \h </w:instrText>
      </w:r>
      <w:r>
        <w:fldChar w:fldCharType="separate"/>
      </w:r>
      <w:r w:rsidR="00C13A87">
        <w:rPr>
          <w:noProof/>
        </w:rPr>
        <w:t>994</w:t>
      </w:r>
      <w:r>
        <w:fldChar w:fldCharType="end"/>
      </w:r>
    </w:p>
    <w:p w:rsidR="00DC1C29" w:rsidRDefault="00DC1C29" w:rsidP="00DC1C29"/>
    <w:p w:rsidR="00DC1C29" w:rsidRDefault="00DC1C29" w:rsidP="00DC1C29">
      <w:pPr>
        <w:pStyle w:val="EntradandiceSentencia"/>
      </w:pPr>
      <w:r>
        <w:t>Sala Primera. Sentencia 46/2016, de 14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4759-2013. </w:t>
      </w:r>
      <w:r w:rsidRPr="00DC1C29">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SENTENCIA_2016_46 \h </w:instrText>
      </w:r>
      <w:r>
        <w:fldChar w:fldCharType="separate"/>
      </w:r>
      <w:r w:rsidR="00C13A87">
        <w:rPr>
          <w:noProof/>
        </w:rPr>
        <w:t>1013</w:t>
      </w:r>
      <w:r>
        <w:fldChar w:fldCharType="end"/>
      </w:r>
    </w:p>
    <w:p w:rsidR="00DC1C29" w:rsidRDefault="00DC1C29" w:rsidP="00DC1C29"/>
    <w:p w:rsidR="00DC1C29" w:rsidRDefault="00DC1C29" w:rsidP="00DC1C29">
      <w:pPr>
        <w:pStyle w:val="EntradandiceSentencia"/>
      </w:pPr>
      <w:r>
        <w:t>Sala Segunda. Sentencia 47/2016, de 14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4894-2013. </w:t>
      </w:r>
      <w:r w:rsidRPr="00DC1C29">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SENTENCIA_2016_47 \h </w:instrText>
      </w:r>
      <w:r>
        <w:fldChar w:fldCharType="separate"/>
      </w:r>
      <w:r w:rsidR="00C13A87">
        <w:rPr>
          <w:noProof/>
        </w:rPr>
        <w:t>1029</w:t>
      </w:r>
      <w:r>
        <w:fldChar w:fldCharType="end"/>
      </w:r>
    </w:p>
    <w:p w:rsidR="00DC1C29" w:rsidRDefault="00DC1C29" w:rsidP="00DC1C29"/>
    <w:p w:rsidR="00DC1C29" w:rsidRDefault="00DC1C29" w:rsidP="00DC1C29">
      <w:pPr>
        <w:pStyle w:val="EntradandiceSentencia"/>
      </w:pPr>
      <w:r>
        <w:t>Sala Primera. Sentencia 48/2016, de 14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415-2014. </w:t>
      </w:r>
      <w:r w:rsidRPr="00DC1C29">
        <w:rPr>
          <w:rStyle w:val="TextoNormalCursivaCaracter"/>
        </w:rPr>
        <w:t xml:space="preserve"> Vulneración del derecho a la libertad personal: resoluciones judiciales que no ponderaron adecuadamente el tiempo servido en prisión con antelación a la reforma del régimen de abono de la prisión preventiva (STC 261/2015).</w:t>
      </w:r>
      <w:r>
        <w:tab/>
      </w:r>
      <w:r>
        <w:tab/>
      </w:r>
      <w:r>
        <w:fldChar w:fldCharType="begin"/>
      </w:r>
      <w:r>
        <w:instrText xml:space="preserve"> PAGEREF SENTENCIA_2016_48 \h </w:instrText>
      </w:r>
      <w:r>
        <w:fldChar w:fldCharType="separate"/>
      </w:r>
      <w:r w:rsidR="00C13A87">
        <w:rPr>
          <w:noProof/>
        </w:rPr>
        <w:t>1040</w:t>
      </w:r>
      <w:r>
        <w:fldChar w:fldCharType="end"/>
      </w:r>
    </w:p>
    <w:p w:rsidR="00DC1C29" w:rsidRDefault="00DC1C29" w:rsidP="00DC1C29"/>
    <w:p w:rsidR="00DC1C29" w:rsidRDefault="00DC1C29" w:rsidP="00DC1C29">
      <w:pPr>
        <w:pStyle w:val="EntradandiceSentencia"/>
      </w:pPr>
      <w:r>
        <w:t>Sala Segunda. Sentencia 49/2016, de 14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878-2014. </w:t>
      </w:r>
      <w:r w:rsidRPr="00DC1C29">
        <w:rPr>
          <w:rStyle w:val="TextoNormalCursivaCaracter"/>
        </w:rPr>
        <w:t xml:space="preserve"> Vulneración del derecho a la tutela judicial efectiva (resolución fundada en Derecho): resolución judicial que no examina una cuestión relativa al incumplimiento de un requisito procesal derivado del propio título de ejecución y apreciable de oficio (STC 39/2015).</w:t>
      </w:r>
      <w:r>
        <w:tab/>
      </w:r>
      <w:r>
        <w:tab/>
      </w:r>
      <w:r>
        <w:fldChar w:fldCharType="begin"/>
      </w:r>
      <w:r>
        <w:instrText xml:space="preserve"> PAGEREF SENTENCIA_2016_49 \h </w:instrText>
      </w:r>
      <w:r>
        <w:fldChar w:fldCharType="separate"/>
      </w:r>
      <w:r w:rsidR="00C13A87">
        <w:rPr>
          <w:noProof/>
        </w:rPr>
        <w:t>1046</w:t>
      </w:r>
      <w:r>
        <w:fldChar w:fldCharType="end"/>
      </w:r>
    </w:p>
    <w:p w:rsidR="00DC1C29" w:rsidRDefault="00DC1C29" w:rsidP="00DC1C29"/>
    <w:p w:rsidR="00DC1C29" w:rsidRDefault="00DC1C29" w:rsidP="00DC1C29">
      <w:pPr>
        <w:pStyle w:val="EntradandiceSentencia"/>
      </w:pPr>
      <w:r>
        <w:t>Sala Primera. Sentencia 50/2016, de 14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3807-2014. </w:t>
      </w:r>
      <w:r w:rsidRPr="00DC1C29">
        <w:rPr>
          <w:rStyle w:val="TextoNormalCursivaCaracter"/>
        </w:rPr>
        <w:t xml:space="preserve"> Vulneración del derecho a la libertad personal: privación de representación y defensa de la afectada por la medida de internamiento (STC 22/2016).</w:t>
      </w:r>
      <w:r>
        <w:tab/>
      </w:r>
      <w:r>
        <w:tab/>
      </w:r>
      <w:r>
        <w:fldChar w:fldCharType="begin"/>
      </w:r>
      <w:r>
        <w:instrText xml:space="preserve"> PAGEREF SENTENCIA_2016_50 \h </w:instrText>
      </w:r>
      <w:r>
        <w:fldChar w:fldCharType="separate"/>
      </w:r>
      <w:r w:rsidR="00C13A87">
        <w:rPr>
          <w:noProof/>
        </w:rPr>
        <w:t>1057</w:t>
      </w:r>
      <w:r>
        <w:fldChar w:fldCharType="end"/>
      </w:r>
    </w:p>
    <w:p w:rsidR="00DC1C29" w:rsidRDefault="00DC1C29" w:rsidP="00DC1C29"/>
    <w:p w:rsidR="00DC1C29" w:rsidRDefault="00DC1C29" w:rsidP="00DC1C29">
      <w:pPr>
        <w:pStyle w:val="EntradandiceSentencia"/>
      </w:pPr>
      <w:r>
        <w:t>Sala Primera. Sentencia 51/2016, de 14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5251-2014. </w:t>
      </w:r>
      <w:r w:rsidRPr="00DC1C29">
        <w:rPr>
          <w:rStyle w:val="TextoNormalCursivaCaracter"/>
        </w:rPr>
        <w:t xml:space="preserve"> Vulneración del derecho a la tutela judicial efectiva (resolución fundada en Derecho): Sentencias que se apartan conscientemente de una doctrina reiterada y conocida del Tribunal Constitucional (STC 63/2005).</w:t>
      </w:r>
      <w:r>
        <w:tab/>
      </w:r>
      <w:r>
        <w:tab/>
      </w:r>
      <w:r>
        <w:fldChar w:fldCharType="begin"/>
      </w:r>
      <w:r>
        <w:instrText xml:space="preserve"> PAGEREF SENTENCIA_2016_51 \h </w:instrText>
      </w:r>
      <w:r>
        <w:fldChar w:fldCharType="separate"/>
      </w:r>
      <w:r w:rsidR="00C13A87">
        <w:rPr>
          <w:noProof/>
        </w:rPr>
        <w:t>1073</w:t>
      </w:r>
      <w:r>
        <w:fldChar w:fldCharType="end"/>
      </w:r>
    </w:p>
    <w:p w:rsidR="00DC1C29" w:rsidRDefault="00DC1C29" w:rsidP="00DC1C29"/>
    <w:p w:rsidR="00DC1C29" w:rsidRDefault="00DC1C29" w:rsidP="00DC1C29">
      <w:pPr>
        <w:pStyle w:val="EntradandiceSentencia"/>
      </w:pPr>
      <w:r>
        <w:t>Sala Segunda. Sentencia 52/2016, de 14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4183-2015. </w:t>
      </w:r>
      <w:r w:rsidRPr="00DC1C29">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SENTENCIA_2016_52 \h </w:instrText>
      </w:r>
      <w:r>
        <w:fldChar w:fldCharType="separate"/>
      </w:r>
      <w:r w:rsidR="00C13A87">
        <w:rPr>
          <w:noProof/>
        </w:rPr>
        <w:t>1079</w:t>
      </w:r>
      <w:r>
        <w:fldChar w:fldCharType="end"/>
      </w:r>
    </w:p>
    <w:p w:rsidR="00DC1C29" w:rsidRDefault="00DC1C29" w:rsidP="00DC1C29"/>
    <w:p w:rsidR="00DC1C29" w:rsidRDefault="00DC1C29" w:rsidP="00DC1C29">
      <w:pPr>
        <w:pStyle w:val="EntradandiceSentencia"/>
      </w:pPr>
      <w:r>
        <w:t>Pleno. Sentencia 53/2016, de 17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Conflicto positivo de competencia 2900-2011. </w:t>
      </w:r>
      <w:r w:rsidRPr="00DC1C29">
        <w:rPr>
          <w:rStyle w:val="TextoNormalCursivaCaracter"/>
        </w:rPr>
        <w:t xml:space="preserve"> Competencias sobre sanidad, servicio meteorológico y medio ambiente: constitucionalidad de los preceptos reglamentarios que atribuyen a la Administración del Estado el ejercicio de funciones ejecutivas. Votos particulares.</w:t>
      </w:r>
      <w:r>
        <w:tab/>
      </w:r>
      <w:r>
        <w:tab/>
      </w:r>
      <w:r>
        <w:fldChar w:fldCharType="begin"/>
      </w:r>
      <w:r>
        <w:instrText xml:space="preserve"> PAGEREF SENTENCIA_2016_53 \h </w:instrText>
      </w:r>
      <w:r>
        <w:fldChar w:fldCharType="separate"/>
      </w:r>
      <w:r w:rsidR="00C13A87">
        <w:rPr>
          <w:noProof/>
        </w:rPr>
        <w:t>1089</w:t>
      </w:r>
      <w:r>
        <w:fldChar w:fldCharType="end"/>
      </w:r>
    </w:p>
    <w:p w:rsidR="00DC1C29" w:rsidRDefault="00DC1C29" w:rsidP="00DC1C29"/>
    <w:p w:rsidR="00DC1C29" w:rsidRDefault="00DC1C29" w:rsidP="00DC1C29">
      <w:pPr>
        <w:pStyle w:val="EntradandiceSentencia"/>
      </w:pPr>
      <w:r>
        <w:t>Pleno. Sentencia 54/2016, de 17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4217-2012. </w:t>
      </w:r>
      <w:r w:rsidRPr="00DC1C29">
        <w:rPr>
          <w:rStyle w:val="TextoNormalCursivaCaracter"/>
        </w:rPr>
        <w:t xml:space="preserve"> Competencias sobre educación, función pública y ordenación general de la economía: constitucionalidad de los preceptos legales estatales relativos a la jornada lectiva y sustitución del personal docente (STC 26/2016). Voto particular.</w:t>
      </w:r>
      <w:r>
        <w:tab/>
      </w:r>
      <w:r>
        <w:tab/>
      </w:r>
      <w:r>
        <w:fldChar w:fldCharType="begin"/>
      </w:r>
      <w:r>
        <w:instrText xml:space="preserve"> PAGEREF SENTENCIA_2016_54 \h </w:instrText>
      </w:r>
      <w:r>
        <w:fldChar w:fldCharType="separate"/>
      </w:r>
      <w:r w:rsidR="00C13A87">
        <w:rPr>
          <w:noProof/>
        </w:rPr>
        <w:t>1126</w:t>
      </w:r>
      <w:r>
        <w:fldChar w:fldCharType="end"/>
      </w:r>
    </w:p>
    <w:p w:rsidR="00DC1C29" w:rsidRDefault="00DC1C29" w:rsidP="00DC1C29"/>
    <w:p w:rsidR="00DC1C29" w:rsidRDefault="00DC1C29" w:rsidP="00DC1C29">
      <w:pPr>
        <w:pStyle w:val="EntradandiceSentencia"/>
      </w:pPr>
      <w:r>
        <w:t>Pleno. Sentencia 55/2016, de 17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5755-2012. </w:t>
      </w:r>
      <w:r w:rsidRPr="00DC1C29">
        <w:rPr>
          <w:rStyle w:val="TextoNormalCursivaCaracter"/>
        </w:rPr>
        <w:t xml:space="preserve"> Competencias sobre ordenación general de la economía y comercio; autonomía financiera: desaparición sobrevenida parcial del objeto del proceso, constitucionalidad del precepto legal estatal relativo al régimen de horarios comerciales (STC 136/2015).</w:t>
      </w:r>
      <w:r>
        <w:tab/>
      </w:r>
      <w:r>
        <w:tab/>
      </w:r>
      <w:r>
        <w:fldChar w:fldCharType="begin"/>
      </w:r>
      <w:r>
        <w:instrText xml:space="preserve"> PAGEREF SENTENCIA_2016_55 \h </w:instrText>
      </w:r>
      <w:r>
        <w:fldChar w:fldCharType="separate"/>
      </w:r>
      <w:r w:rsidR="00C13A87">
        <w:rPr>
          <w:noProof/>
        </w:rPr>
        <w:t>1138</w:t>
      </w:r>
      <w:r>
        <w:fldChar w:fldCharType="end"/>
      </w:r>
    </w:p>
    <w:p w:rsidR="00DC1C29" w:rsidRDefault="00DC1C29" w:rsidP="00DC1C29"/>
    <w:p w:rsidR="00DC1C29" w:rsidRDefault="00DC1C29" w:rsidP="00DC1C29">
      <w:pPr>
        <w:pStyle w:val="EntradandiceSentencia"/>
      </w:pPr>
      <w:r>
        <w:t>Pleno. Sentencia 56/2016, de 17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4980-2013. </w:t>
      </w:r>
      <w:r w:rsidRPr="00DC1C29">
        <w:rPr>
          <w:rStyle w:val="TextoNormalCursivaCaracter"/>
        </w:rPr>
        <w:t xml:space="preserve"> Régimen lingüístico y principio de no discriminación: constitucionalidad de los preceptos legales relativos a las lenguas y modalidades lingüísticas propias de Aragón, zonas de utilización y régimen de la Academia Aragonesa de la Lengua.</w:t>
      </w:r>
      <w:r>
        <w:tab/>
      </w:r>
      <w:r>
        <w:tab/>
      </w:r>
      <w:r>
        <w:fldChar w:fldCharType="begin"/>
      </w:r>
      <w:r>
        <w:instrText xml:space="preserve"> PAGEREF SENTENCIA_2016_56 \h </w:instrText>
      </w:r>
      <w:r>
        <w:fldChar w:fldCharType="separate"/>
      </w:r>
      <w:r w:rsidR="00C13A87">
        <w:rPr>
          <w:noProof/>
        </w:rPr>
        <w:t>1147</w:t>
      </w:r>
      <w:r>
        <w:fldChar w:fldCharType="end"/>
      </w:r>
    </w:p>
    <w:p w:rsidR="00DC1C29" w:rsidRDefault="00DC1C29" w:rsidP="00DC1C29"/>
    <w:p w:rsidR="00DC1C29" w:rsidRDefault="00DC1C29" w:rsidP="00DC1C29">
      <w:pPr>
        <w:pStyle w:val="EntradandiceSentencia"/>
      </w:pPr>
      <w:r>
        <w:t>Pleno. Sentencia 57/2016, de 17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5009-2013. </w:t>
      </w:r>
      <w:r w:rsidRPr="00DC1C29">
        <w:rPr>
          <w:rStyle w:val="TextoNormalCursivaCaracter"/>
        </w:rPr>
        <w:t xml:space="preserve"> Competencias sobre urbanismo, ordenación del litoral y del territorio; autonomía local: interpretación conforme de los preceptos legales estatales que excluyen determinados núcleos de población del dominio público marítimo terrestre e imponen a las Comunidades Autónomas el deber de elaborar un plan sobre la posible incidencia del cambio climático en el dominio público marítimo-terrestre (SSTC 233/2015 y 28/2016). Voto particular.</w:t>
      </w:r>
      <w:r>
        <w:tab/>
      </w:r>
      <w:r>
        <w:tab/>
      </w:r>
      <w:r>
        <w:fldChar w:fldCharType="begin"/>
      </w:r>
      <w:r>
        <w:instrText xml:space="preserve"> PAGEREF SENTENCIA_2016_57 \h </w:instrText>
      </w:r>
      <w:r>
        <w:fldChar w:fldCharType="separate"/>
      </w:r>
      <w:r w:rsidR="00C13A87">
        <w:rPr>
          <w:noProof/>
        </w:rPr>
        <w:t>1162</w:t>
      </w:r>
      <w:r>
        <w:fldChar w:fldCharType="end"/>
      </w:r>
    </w:p>
    <w:p w:rsidR="00DC1C29" w:rsidRDefault="00DC1C29" w:rsidP="00DC1C29"/>
    <w:p w:rsidR="00DC1C29" w:rsidRDefault="00DC1C29" w:rsidP="00DC1C29">
      <w:pPr>
        <w:pStyle w:val="EntradandiceSentencia"/>
      </w:pPr>
      <w:r>
        <w:t>Pleno. Sentencia 58/2016, de 17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interna de inconstitucionalidad 5344-2013. </w:t>
      </w:r>
      <w:r w:rsidRPr="00DC1C29">
        <w:rPr>
          <w:rStyle w:val="TextoNormalCursivaCaracter"/>
        </w:rPr>
        <w:t xml:space="preserve"> Derecho a la tutela judicial efectiva y principio de exclusividad de la potestad jurisdiccional: nulidad del precepto legal que excluye la intervención judicial en la revisión de las diligencias de ordenación dictadas por el Letrado de la Administración de Justicia.</w:t>
      </w:r>
      <w:r>
        <w:tab/>
      </w:r>
      <w:r>
        <w:tab/>
      </w:r>
      <w:r>
        <w:fldChar w:fldCharType="begin"/>
      </w:r>
      <w:r>
        <w:instrText xml:space="preserve"> PAGEREF SENTENCIA_2016_58 \h </w:instrText>
      </w:r>
      <w:r>
        <w:fldChar w:fldCharType="separate"/>
      </w:r>
      <w:r w:rsidR="00C13A87">
        <w:rPr>
          <w:noProof/>
        </w:rPr>
        <w:t>1190</w:t>
      </w:r>
      <w:r>
        <w:fldChar w:fldCharType="end"/>
      </w:r>
    </w:p>
    <w:p w:rsidR="00DC1C29" w:rsidRDefault="00DC1C29" w:rsidP="00DC1C29"/>
    <w:p w:rsidR="00DC1C29" w:rsidRDefault="00DC1C29" w:rsidP="00DC1C29">
      <w:pPr>
        <w:pStyle w:val="EntradandiceSentencia"/>
      </w:pPr>
      <w:r>
        <w:t>Pleno. Sentencia 59/2016, de 17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576-2014. </w:t>
      </w:r>
      <w:r w:rsidRPr="00DC1C29">
        <w:rPr>
          <w:rStyle w:val="TextoNormalCursivaCaracter"/>
        </w:rPr>
        <w:t xml:space="preserve"> Competencias sobre ordenación general de la economía y comercio: nulidad parcial del precepto legal relativo a la venta en rebajas (STC 18/2016).</w:t>
      </w:r>
      <w:r>
        <w:tab/>
      </w:r>
      <w:r>
        <w:tab/>
      </w:r>
      <w:r>
        <w:fldChar w:fldCharType="begin"/>
      </w:r>
      <w:r>
        <w:instrText xml:space="preserve"> PAGEREF SENTENCIA_2016_59 \h </w:instrText>
      </w:r>
      <w:r>
        <w:fldChar w:fldCharType="separate"/>
      </w:r>
      <w:r w:rsidR="00C13A87">
        <w:rPr>
          <w:noProof/>
        </w:rPr>
        <w:t>1207</w:t>
      </w:r>
      <w:r>
        <w:fldChar w:fldCharType="end"/>
      </w:r>
    </w:p>
    <w:p w:rsidR="00DC1C29" w:rsidRDefault="00DC1C29" w:rsidP="00DC1C29"/>
    <w:p w:rsidR="00DC1C29" w:rsidRDefault="00DC1C29" w:rsidP="00DC1C29">
      <w:pPr>
        <w:pStyle w:val="EntradandiceSentencia"/>
      </w:pPr>
      <w:r>
        <w:t>Pleno. Sentencia 60/2016, de 17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1820-2014. </w:t>
      </w:r>
      <w:r w:rsidRPr="00DC1C29">
        <w:rPr>
          <w:rStyle w:val="TextoNormalCursivaCaracter"/>
        </w:rPr>
        <w:t xml:space="preserve"> Competencias sobre ordenación general de la economía y sector eléctrico: interpretación conforme del precepto legal estatal relativo a la resolución de controversias sobre suministro de energía eléctrica (STC 32/2016). Votos particulares.</w:t>
      </w:r>
      <w:r>
        <w:tab/>
      </w:r>
      <w:r>
        <w:tab/>
      </w:r>
      <w:r>
        <w:fldChar w:fldCharType="begin"/>
      </w:r>
      <w:r>
        <w:instrText xml:space="preserve"> PAGEREF SENTENCIA_2016_60 \h </w:instrText>
      </w:r>
      <w:r>
        <w:fldChar w:fldCharType="separate"/>
      </w:r>
      <w:r w:rsidR="00C13A87">
        <w:rPr>
          <w:noProof/>
        </w:rPr>
        <w:t>1220</w:t>
      </w:r>
      <w:r>
        <w:fldChar w:fldCharType="end"/>
      </w:r>
    </w:p>
    <w:p w:rsidR="00DC1C29" w:rsidRDefault="00DC1C29" w:rsidP="00DC1C29"/>
    <w:p w:rsidR="00DC1C29" w:rsidRDefault="00DC1C29" w:rsidP="00DC1C29">
      <w:pPr>
        <w:pStyle w:val="EntradandiceSentencia"/>
      </w:pPr>
      <w:r>
        <w:t>Pleno. Sentencia 61/2016, de 17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2408-2014. </w:t>
      </w:r>
      <w:r w:rsidRPr="00DC1C29">
        <w:rPr>
          <w:rStyle w:val="TextoNormalCursivaCaracter"/>
        </w:rPr>
        <w:t xml:space="preserve"> Límites a los decretos-leyes, principios de jerarquía normativa, seguridad jurídica y de irretroactividad de las normas restrictivas de derechos individuales; derecho a la tutela judicial efectiva: acreditación de la concurrencia del presupuesto habilitante; constitucionalidad de los preceptos legales que establecen un nuevo régimen retributivo para los titulares de las instalaciones de producción de energía eléctrica en régimen primado (STC 270/2015). Voto particular.</w:t>
      </w:r>
      <w:r>
        <w:tab/>
      </w:r>
      <w:r>
        <w:tab/>
      </w:r>
      <w:r>
        <w:fldChar w:fldCharType="begin"/>
      </w:r>
      <w:r>
        <w:instrText xml:space="preserve"> PAGEREF SENTENCIA_2016_61 \h </w:instrText>
      </w:r>
      <w:r>
        <w:fldChar w:fldCharType="separate"/>
      </w:r>
      <w:r w:rsidR="00C13A87">
        <w:rPr>
          <w:noProof/>
        </w:rPr>
        <w:t>1233</w:t>
      </w:r>
      <w:r>
        <w:fldChar w:fldCharType="end"/>
      </w:r>
    </w:p>
    <w:p w:rsidR="00DC1C29" w:rsidRDefault="00DC1C29" w:rsidP="00DC1C29"/>
    <w:p w:rsidR="00DC1C29" w:rsidRDefault="00DC1C29" w:rsidP="00DC1C29">
      <w:pPr>
        <w:pStyle w:val="EntradandiceSentencia"/>
      </w:pPr>
      <w:r>
        <w:t>Pleno. Sentencia 62/2016, de 17 de marzo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5831-2014. </w:t>
      </w:r>
      <w:r w:rsidRPr="00DC1C29">
        <w:rPr>
          <w:rStyle w:val="TextoNormalCursivaCaracter"/>
        </w:rPr>
        <w:t xml:space="preserve"> Competencias sobre ordenación general de la economía y régimen energético: nulidad de los preceptos legales autonómicos que introducen un mecanismo de protección de la garantía del suministro eléctrico o de gas al consumidor vulnerable que contraviene la regulación básica estatal. Votos particulares.</w:t>
      </w:r>
      <w:r>
        <w:tab/>
      </w:r>
      <w:r>
        <w:tab/>
      </w:r>
      <w:r>
        <w:fldChar w:fldCharType="begin"/>
      </w:r>
      <w:r>
        <w:instrText xml:space="preserve"> PAGEREF SENTENCIA_2016_62 \h </w:instrText>
      </w:r>
      <w:r>
        <w:fldChar w:fldCharType="separate"/>
      </w:r>
      <w:r w:rsidR="00C13A87">
        <w:rPr>
          <w:noProof/>
        </w:rPr>
        <w:t>1249</w:t>
      </w:r>
      <w:r>
        <w:fldChar w:fldCharType="end"/>
      </w:r>
    </w:p>
    <w:p w:rsidR="00DC1C29" w:rsidRDefault="00DC1C29" w:rsidP="00DC1C29"/>
    <w:p w:rsidR="00DC1C29" w:rsidRDefault="00DC1C29" w:rsidP="00DC1C29">
      <w:pPr>
        <w:pStyle w:val="EntradandiceSentencia"/>
      </w:pPr>
      <w:r>
        <w:t>Sala Segunda. Sentencia 63/2016, de 11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4577-2011. </w:t>
      </w:r>
      <w:r w:rsidRPr="00DC1C29">
        <w:rPr>
          <w:rStyle w:val="TextoNormalCursivaCaracter"/>
        </w:rPr>
        <w:t xml:space="preserve"> Vulneración del derecho a un proceso sin dilaciones indebidas: demora superior a dos años en la celebración de la vista del juicio en un procedimiento abreviado contencioso-administrativo (STC 142/2010).</w:t>
      </w:r>
      <w:r>
        <w:tab/>
      </w:r>
      <w:r>
        <w:tab/>
      </w:r>
      <w:r>
        <w:fldChar w:fldCharType="begin"/>
      </w:r>
      <w:r>
        <w:instrText xml:space="preserve"> PAGEREF SENTENCIA_2016_63 \h </w:instrText>
      </w:r>
      <w:r>
        <w:fldChar w:fldCharType="separate"/>
      </w:r>
      <w:r w:rsidR="00C13A87">
        <w:rPr>
          <w:noProof/>
        </w:rPr>
        <w:t>1287</w:t>
      </w:r>
      <w:r>
        <w:fldChar w:fldCharType="end"/>
      </w:r>
    </w:p>
    <w:p w:rsidR="00DC1C29" w:rsidRDefault="00DC1C29" w:rsidP="00DC1C29"/>
    <w:p w:rsidR="00DC1C29" w:rsidRDefault="00DC1C29" w:rsidP="00DC1C29">
      <w:pPr>
        <w:pStyle w:val="EntradandiceSentencia"/>
      </w:pPr>
      <w:r>
        <w:t>Sala Segunda. Sentencia 64/2016, de 11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528-2014. </w:t>
      </w:r>
      <w:r w:rsidRPr="00DC1C29">
        <w:rPr>
          <w:rStyle w:val="TextoNormalCursivaCaracter"/>
        </w:rPr>
        <w:t xml:space="preserve"> Supuesta vulneración del derecho a la libertad sindical: pérdida de la condición de representantes de los trabajadores resultante del cierre del centro de trabajo y el traslado de la actividad a otro centro. Voto particular.</w:t>
      </w:r>
      <w:r>
        <w:tab/>
      </w:r>
      <w:r>
        <w:tab/>
      </w:r>
      <w:r>
        <w:fldChar w:fldCharType="begin"/>
      </w:r>
      <w:r>
        <w:instrText xml:space="preserve"> PAGEREF SENTENCIA_2016_64 \h </w:instrText>
      </w:r>
      <w:r>
        <w:fldChar w:fldCharType="separate"/>
      </w:r>
      <w:r w:rsidR="00C13A87">
        <w:rPr>
          <w:noProof/>
        </w:rPr>
        <w:t>1300</w:t>
      </w:r>
      <w:r>
        <w:fldChar w:fldCharType="end"/>
      </w:r>
    </w:p>
    <w:p w:rsidR="00DC1C29" w:rsidRDefault="00DC1C29" w:rsidP="00DC1C29"/>
    <w:p w:rsidR="00DC1C29" w:rsidRDefault="00DC1C29" w:rsidP="00DC1C29">
      <w:pPr>
        <w:pStyle w:val="EntradandiceSentencia"/>
      </w:pPr>
      <w:r>
        <w:t>Sala Primera. Sentencia 65/2016, de 11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6312-2014. </w:t>
      </w:r>
      <w:r w:rsidRPr="00DC1C29">
        <w:rPr>
          <w:rStyle w:val="TextoNormalCursivaCaracter"/>
        </w:rPr>
        <w:t xml:space="preserve"> Vulneración del derecho a la tutela judicial efectiva (acceso al recurso): inadmisión de un incidente de nulidad de actuaciones fundada en la aplicación de una norma derogada.</w:t>
      </w:r>
      <w:r>
        <w:tab/>
      </w:r>
      <w:r>
        <w:tab/>
      </w:r>
      <w:r>
        <w:fldChar w:fldCharType="begin"/>
      </w:r>
      <w:r>
        <w:instrText xml:space="preserve"> PAGEREF SENTENCIA_2016_65 \h </w:instrText>
      </w:r>
      <w:r>
        <w:fldChar w:fldCharType="separate"/>
      </w:r>
      <w:r w:rsidR="00C13A87">
        <w:rPr>
          <w:noProof/>
        </w:rPr>
        <w:t>1317</w:t>
      </w:r>
      <w:r>
        <w:fldChar w:fldCharType="end"/>
      </w:r>
    </w:p>
    <w:p w:rsidR="00DC1C29" w:rsidRDefault="00DC1C29" w:rsidP="00DC1C29"/>
    <w:p w:rsidR="00DC1C29" w:rsidRDefault="00DC1C29" w:rsidP="00DC1C29">
      <w:pPr>
        <w:pStyle w:val="EntradandiceSentencia"/>
      </w:pPr>
      <w:r>
        <w:t>Pleno. Sentencia 66/2016, de 14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4529-2012. </w:t>
      </w:r>
      <w:r w:rsidRPr="00DC1C29">
        <w:rPr>
          <w:rStyle w:val="TextoNormalCursivaCaracter"/>
        </w:rPr>
        <w:t xml:space="preserve"> Competencias sobre educación, función pública y ordenación general de la economía: constitucionalidad de los preceptos legales estatales relativos a la jornada lectiva y sustitución del personal docente (STC 26/2016). Voto particular.</w:t>
      </w:r>
      <w:r>
        <w:tab/>
      </w:r>
      <w:r>
        <w:tab/>
      </w:r>
      <w:r>
        <w:fldChar w:fldCharType="begin"/>
      </w:r>
      <w:r>
        <w:instrText xml:space="preserve"> PAGEREF SENTENCIA_2016_66 \h </w:instrText>
      </w:r>
      <w:r>
        <w:fldChar w:fldCharType="separate"/>
      </w:r>
      <w:r w:rsidR="00C13A87">
        <w:rPr>
          <w:noProof/>
        </w:rPr>
        <w:t>1332</w:t>
      </w:r>
      <w:r>
        <w:fldChar w:fldCharType="end"/>
      </w:r>
    </w:p>
    <w:p w:rsidR="00DC1C29" w:rsidRDefault="00DC1C29" w:rsidP="00DC1C29"/>
    <w:p w:rsidR="00DC1C29" w:rsidRDefault="00DC1C29" w:rsidP="00DC1C29">
      <w:pPr>
        <w:pStyle w:val="EntradandiceSentencia"/>
      </w:pPr>
      <w:r>
        <w:t>Pleno. Sentencia 67/2016, de 14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370-2013. </w:t>
      </w:r>
      <w:r w:rsidRPr="00DC1C29">
        <w:rPr>
          <w:rStyle w:val="TextoNormalCursivaCaracter"/>
        </w:rPr>
        <w:t xml:space="preserve"> Límites a los decretos-leyes; competencias sobre educación, función pública y ordenación general de la economía: constitucionalidad de los preceptos legales estatales relativos a la jornada lectiva y sustitución del personal docente (STC 26/2016). Voto particular.</w:t>
      </w:r>
      <w:r>
        <w:tab/>
      </w:r>
      <w:r>
        <w:tab/>
      </w:r>
      <w:r>
        <w:fldChar w:fldCharType="begin"/>
      </w:r>
      <w:r>
        <w:instrText xml:space="preserve"> PAGEREF SENTENCIA_2016_67 \h </w:instrText>
      </w:r>
      <w:r>
        <w:fldChar w:fldCharType="separate"/>
      </w:r>
      <w:r w:rsidR="00C13A87">
        <w:rPr>
          <w:noProof/>
        </w:rPr>
        <w:t>1346</w:t>
      </w:r>
      <w:r>
        <w:fldChar w:fldCharType="end"/>
      </w:r>
    </w:p>
    <w:p w:rsidR="00DC1C29" w:rsidRDefault="00DC1C29" w:rsidP="00DC1C29"/>
    <w:p w:rsidR="00DC1C29" w:rsidRDefault="00DC1C29" w:rsidP="00DC1C29">
      <w:pPr>
        <w:pStyle w:val="EntradandiceSentencia"/>
      </w:pPr>
      <w:r>
        <w:t>Pleno. Sentencia 68/2016, de 14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382-2013. </w:t>
      </w:r>
      <w:r w:rsidRPr="00DC1C29">
        <w:rPr>
          <w:rStyle w:val="TextoNormalCursivaCaracter"/>
        </w:rPr>
        <w:t xml:space="preserve"> Límites a los decretos-leyes; competencias sobre educación, función pública y ordenación general de la economía: constitucionalidad de los preceptos legales estatales relativos a la jornada lectiva y sustitución del personal docente (STC 26/2016). Voto particular.</w:t>
      </w:r>
      <w:r>
        <w:tab/>
      </w:r>
      <w:r>
        <w:tab/>
      </w:r>
      <w:r>
        <w:fldChar w:fldCharType="begin"/>
      </w:r>
      <w:r>
        <w:instrText xml:space="preserve"> PAGEREF SENTENCIA_2016_68 \h </w:instrText>
      </w:r>
      <w:r>
        <w:fldChar w:fldCharType="separate"/>
      </w:r>
      <w:r w:rsidR="00C13A87">
        <w:rPr>
          <w:noProof/>
        </w:rPr>
        <w:t>1363</w:t>
      </w:r>
      <w:r>
        <w:fldChar w:fldCharType="end"/>
      </w:r>
    </w:p>
    <w:p w:rsidR="00DC1C29" w:rsidRDefault="00DC1C29" w:rsidP="00DC1C29"/>
    <w:p w:rsidR="00DC1C29" w:rsidRDefault="00DC1C29" w:rsidP="00DC1C29">
      <w:pPr>
        <w:pStyle w:val="EntradandiceSentencia"/>
      </w:pPr>
      <w:r>
        <w:t>Pleno. Sentencia 69/2016, de 14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3660-2013. </w:t>
      </w:r>
      <w:r w:rsidRPr="00DC1C29">
        <w:rPr>
          <w:rStyle w:val="TextoNormalCursivaCaracter"/>
        </w:rPr>
        <w:t xml:space="preserve"> Vulneración del derecho a la huelga: responsabilidad civil extracontractual de quien actuó como dirigente de un piquete huelguístico. Votos particulares.</w:t>
      </w:r>
      <w:r>
        <w:tab/>
      </w:r>
      <w:r>
        <w:tab/>
      </w:r>
      <w:r>
        <w:fldChar w:fldCharType="begin"/>
      </w:r>
      <w:r>
        <w:instrText xml:space="preserve"> PAGEREF SENTENCIA_2016_69 \h </w:instrText>
      </w:r>
      <w:r>
        <w:fldChar w:fldCharType="separate"/>
      </w:r>
      <w:r w:rsidR="00C13A87">
        <w:rPr>
          <w:noProof/>
        </w:rPr>
        <w:t>1382</w:t>
      </w:r>
      <w:r>
        <w:fldChar w:fldCharType="end"/>
      </w:r>
    </w:p>
    <w:p w:rsidR="00DC1C29" w:rsidRDefault="00DC1C29" w:rsidP="00DC1C29"/>
    <w:p w:rsidR="00DC1C29" w:rsidRDefault="00DC1C29" w:rsidP="00DC1C29">
      <w:pPr>
        <w:pStyle w:val="EntradandiceSentencia"/>
      </w:pPr>
      <w:r>
        <w:t>Pleno. Sentencia 70/2016, de 14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5567-2013. </w:t>
      </w:r>
      <w:r w:rsidRPr="00DC1C29">
        <w:rPr>
          <w:rStyle w:val="TextoNormalCursivaCaracter"/>
        </w:rPr>
        <w:t xml:space="preserve"> Límites de los decretos-leyes, reserva de ley orgánica: nulidad del precepto legal relativo a las responsabilidades derivadas de las correcciones financieras acordadas por las instituciones de la Unión Europea.</w:t>
      </w:r>
      <w:r>
        <w:tab/>
      </w:r>
      <w:r>
        <w:tab/>
      </w:r>
      <w:r>
        <w:fldChar w:fldCharType="begin"/>
      </w:r>
      <w:r>
        <w:instrText xml:space="preserve"> PAGEREF SENTENCIA_2016_70 \h </w:instrText>
      </w:r>
      <w:r>
        <w:fldChar w:fldCharType="separate"/>
      </w:r>
      <w:r w:rsidR="00C13A87">
        <w:rPr>
          <w:noProof/>
        </w:rPr>
        <w:t>1407</w:t>
      </w:r>
      <w:r>
        <w:fldChar w:fldCharType="end"/>
      </w:r>
    </w:p>
    <w:p w:rsidR="00DC1C29" w:rsidRDefault="00DC1C29" w:rsidP="00DC1C29"/>
    <w:p w:rsidR="00DC1C29" w:rsidRDefault="00DC1C29" w:rsidP="00DC1C29">
      <w:pPr>
        <w:pStyle w:val="EntradandiceSentencia"/>
      </w:pPr>
      <w:r>
        <w:t>Pleno. Sentencia 71/2016, de 14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389-2014. </w:t>
      </w:r>
      <w:r w:rsidRPr="00DC1C29">
        <w:rPr>
          <w:rStyle w:val="TextoNormalCursivaCaracter"/>
        </w:rPr>
        <w:t xml:space="preserve"> Principio de igualdad: nulidad del precepto legal que introduce una reducción de jornada de trabajo para el personal laboral indefinido y temporal (STC 104/2004).</w:t>
      </w:r>
      <w:r>
        <w:tab/>
      </w:r>
      <w:r>
        <w:tab/>
      </w:r>
      <w:r>
        <w:fldChar w:fldCharType="begin"/>
      </w:r>
      <w:r>
        <w:instrText xml:space="preserve"> PAGEREF SENTENCIA_2016_71 \h </w:instrText>
      </w:r>
      <w:r>
        <w:fldChar w:fldCharType="separate"/>
      </w:r>
      <w:r w:rsidR="00C13A87">
        <w:rPr>
          <w:noProof/>
        </w:rPr>
        <w:t>1423</w:t>
      </w:r>
      <w:r>
        <w:fldChar w:fldCharType="end"/>
      </w:r>
    </w:p>
    <w:p w:rsidR="00DC1C29" w:rsidRDefault="00DC1C29" w:rsidP="00DC1C29"/>
    <w:p w:rsidR="00DC1C29" w:rsidRDefault="00DC1C29" w:rsidP="00DC1C29">
      <w:pPr>
        <w:pStyle w:val="EntradandiceSentencia"/>
      </w:pPr>
      <w:r>
        <w:t>Pleno. Sentencia 72/2016, de 14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5819-2014. </w:t>
      </w:r>
      <w:r w:rsidRPr="00DC1C29">
        <w:rPr>
          <w:rStyle w:val="TextoNormalCursivaCaracter"/>
        </w:rPr>
        <w:t xml:space="preserve"> Competencias sobre ordenación general de la economía y sector eléctrico: constitucionalidad de los preceptos legales relativos al autoconsumo de energía eléctrica y a la tipificación de las infracciones graves y muy graves en esta misma materia (STC 60/2016).</w:t>
      </w:r>
      <w:r>
        <w:tab/>
      </w:r>
      <w:r>
        <w:tab/>
      </w:r>
      <w:r>
        <w:fldChar w:fldCharType="begin"/>
      </w:r>
      <w:r>
        <w:instrText xml:space="preserve"> PAGEREF SENTENCIA_2016_72 \h </w:instrText>
      </w:r>
      <w:r>
        <w:fldChar w:fldCharType="separate"/>
      </w:r>
      <w:r w:rsidR="00C13A87">
        <w:rPr>
          <w:noProof/>
        </w:rPr>
        <w:t>1442</w:t>
      </w:r>
      <w:r>
        <w:fldChar w:fldCharType="end"/>
      </w:r>
    </w:p>
    <w:p w:rsidR="00DC1C29" w:rsidRDefault="00DC1C29" w:rsidP="00DC1C29"/>
    <w:p w:rsidR="00DC1C29" w:rsidRDefault="00DC1C29" w:rsidP="00DC1C29">
      <w:pPr>
        <w:pStyle w:val="EntradandiceSentencia"/>
      </w:pPr>
      <w:r>
        <w:t>Pleno. Sentencia 73/2016, de 14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6513-2014. </w:t>
      </w:r>
      <w:r w:rsidRPr="00DC1C29">
        <w:rPr>
          <w:rStyle w:val="TextoNormalCursivaCaracter"/>
        </w:rPr>
        <w:t xml:space="preserve"> Competencias sobre ordenación general de la economía, seguridad social, régimen energético y medio ambiente: nulidad de los preceptos legales que prohíben, de manera absoluta e incondicionada, una técnica de investigación y explotación de hidrocarburos (STC 106/2014) y regulan el régimen transitorio de implantación de establecimientos comerciales fuera de trama urbana. Votos particulares.</w:t>
      </w:r>
      <w:r>
        <w:tab/>
      </w:r>
      <w:r>
        <w:tab/>
      </w:r>
      <w:r>
        <w:fldChar w:fldCharType="begin"/>
      </w:r>
      <w:r>
        <w:instrText xml:space="preserve"> PAGEREF SENTENCIA_2016_73 \h </w:instrText>
      </w:r>
      <w:r>
        <w:fldChar w:fldCharType="separate"/>
      </w:r>
      <w:r w:rsidR="00C13A87">
        <w:rPr>
          <w:noProof/>
        </w:rPr>
        <w:t>1449</w:t>
      </w:r>
      <w:r>
        <w:fldChar w:fldCharType="end"/>
      </w:r>
    </w:p>
    <w:p w:rsidR="00DC1C29" w:rsidRDefault="00DC1C29" w:rsidP="00DC1C29"/>
    <w:p w:rsidR="00DC1C29" w:rsidRDefault="00DC1C29" w:rsidP="00DC1C29">
      <w:pPr>
        <w:pStyle w:val="EntradandiceSentencia"/>
      </w:pPr>
      <w:r>
        <w:t>Pleno. Sentencia 74/2016, de 14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4292-2015. </w:t>
      </w:r>
      <w:r w:rsidRPr="00DC1C29">
        <w:rPr>
          <w:rStyle w:val="TextoNormalCursivaCaracter"/>
        </w:rPr>
        <w:t xml:space="preserve"> Límites a las potestades tributarias de las Comunidades Autónomas: nulidad de los preceptos legales autonómicos que regulan el impuesto sobre la producción de energía eléctrica de origen nuclear. Voto particular.</w:t>
      </w:r>
      <w:r>
        <w:tab/>
      </w:r>
      <w:r>
        <w:tab/>
      </w:r>
      <w:r>
        <w:fldChar w:fldCharType="begin"/>
      </w:r>
      <w:r>
        <w:instrText xml:space="preserve"> PAGEREF SENTENCIA_2016_74 \h </w:instrText>
      </w:r>
      <w:r>
        <w:fldChar w:fldCharType="separate"/>
      </w:r>
      <w:r w:rsidR="00C13A87">
        <w:rPr>
          <w:noProof/>
        </w:rPr>
        <w:t>1484</w:t>
      </w:r>
      <w:r>
        <w:fldChar w:fldCharType="end"/>
      </w:r>
    </w:p>
    <w:p w:rsidR="00DC1C29" w:rsidRDefault="00DC1C29" w:rsidP="00DC1C29"/>
    <w:p w:rsidR="00DC1C29" w:rsidRDefault="00DC1C29" w:rsidP="00DC1C29">
      <w:pPr>
        <w:pStyle w:val="EntradandiceSentencia"/>
      </w:pPr>
      <w:r>
        <w:t>Sala Segunda. Sentencia 75/2016, de 25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7650-2010. </w:t>
      </w:r>
      <w:r w:rsidRPr="00DC1C29">
        <w:rPr>
          <w:rStyle w:val="TextoNormalCursivaCaracter"/>
        </w:rPr>
        <w:t xml:space="preserve"> Vulneración del derecho a un proceso sin dilaciones indebidas: demora superior a tres años en la celebración de la vista del juicio en un procedimiento abreviado contencioso-administrativo (STC 63/2016).</w:t>
      </w:r>
      <w:r>
        <w:tab/>
      </w:r>
      <w:r>
        <w:tab/>
      </w:r>
      <w:r>
        <w:fldChar w:fldCharType="begin"/>
      </w:r>
      <w:r>
        <w:instrText xml:space="preserve"> PAGEREF SENTENCIA_2016_75 \h </w:instrText>
      </w:r>
      <w:r>
        <w:fldChar w:fldCharType="separate"/>
      </w:r>
      <w:r w:rsidR="00C13A87">
        <w:rPr>
          <w:noProof/>
        </w:rPr>
        <w:t>1509</w:t>
      </w:r>
      <w:r>
        <w:fldChar w:fldCharType="end"/>
      </w:r>
    </w:p>
    <w:p w:rsidR="00DC1C29" w:rsidRDefault="00DC1C29" w:rsidP="00DC1C29"/>
    <w:p w:rsidR="00DC1C29" w:rsidRDefault="00DC1C29" w:rsidP="00DC1C29">
      <w:pPr>
        <w:pStyle w:val="EntradandiceSentencia"/>
      </w:pPr>
      <w:r>
        <w:t>Sala Segunda. Sentencia 76/2016, de 25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8423-2010. </w:t>
      </w:r>
      <w:r w:rsidRPr="00DC1C29">
        <w:rPr>
          <w:rStyle w:val="TextoNormalCursivaCaracter"/>
        </w:rPr>
        <w:t xml:space="preserve"> Vulneración del derecho a un proceso sin dilaciones indebidas: demora superior a tres años en la celebración de la vista del juicio en un procedimiento abreviado contencioso-administrativo (STC 63/2016).</w:t>
      </w:r>
      <w:r>
        <w:tab/>
      </w:r>
      <w:r>
        <w:tab/>
      </w:r>
      <w:r>
        <w:fldChar w:fldCharType="begin"/>
      </w:r>
      <w:r>
        <w:instrText xml:space="preserve"> PAGEREF SENTENCIA_2016_76 \h </w:instrText>
      </w:r>
      <w:r>
        <w:fldChar w:fldCharType="separate"/>
      </w:r>
      <w:r w:rsidR="00C13A87">
        <w:rPr>
          <w:noProof/>
        </w:rPr>
        <w:t>1519</w:t>
      </w:r>
      <w:r>
        <w:fldChar w:fldCharType="end"/>
      </w:r>
    </w:p>
    <w:p w:rsidR="00DC1C29" w:rsidRDefault="00DC1C29" w:rsidP="00DC1C29"/>
    <w:p w:rsidR="00DC1C29" w:rsidRDefault="00DC1C29" w:rsidP="00DC1C29">
      <w:pPr>
        <w:pStyle w:val="EntradandiceSentencia"/>
      </w:pPr>
      <w:r>
        <w:t>Sala Segunda. Sentencia 77/2016, de 25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8735-2010. </w:t>
      </w:r>
      <w:r w:rsidRPr="00DC1C29">
        <w:rPr>
          <w:rStyle w:val="TextoNormalCursivaCaracter"/>
        </w:rPr>
        <w:t xml:space="preserve"> Vulneración del derecho a un proceso sin dilaciones indebidas: demora superior a cuatro años en la celebración de la vista del juicio en un procedimiento abreviado contencioso-administrativo (STC 63/2016).</w:t>
      </w:r>
      <w:r>
        <w:tab/>
      </w:r>
      <w:r>
        <w:tab/>
      </w:r>
      <w:r>
        <w:fldChar w:fldCharType="begin"/>
      </w:r>
      <w:r>
        <w:instrText xml:space="preserve"> PAGEREF SENTENCIA_2016_77 \h </w:instrText>
      </w:r>
      <w:r>
        <w:fldChar w:fldCharType="separate"/>
      </w:r>
      <w:r w:rsidR="00C13A87">
        <w:rPr>
          <w:noProof/>
        </w:rPr>
        <w:t>1530</w:t>
      </w:r>
      <w:r>
        <w:fldChar w:fldCharType="end"/>
      </w:r>
    </w:p>
    <w:p w:rsidR="00DC1C29" w:rsidRDefault="00DC1C29" w:rsidP="00DC1C29"/>
    <w:p w:rsidR="00DC1C29" w:rsidRDefault="00DC1C29" w:rsidP="00DC1C29">
      <w:pPr>
        <w:pStyle w:val="EntradandiceSentencia"/>
      </w:pPr>
      <w:r>
        <w:t>Sala Primera. Sentencia 78/2016, de 25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2995-2013. </w:t>
      </w:r>
      <w:r w:rsidRPr="00DC1C29">
        <w:rPr>
          <w:rStyle w:val="TextoNormalCursivaCaracter"/>
        </w:rPr>
        <w:t xml:space="preserve"> Vulneración del derecho a la legalidad sancionadora en relación con el derecho al ejercicio de las funciones representativas: inadecuada subsunción de la conducta en el tipo infractor definido por el reglamentario parlamentario.</w:t>
      </w:r>
      <w:r>
        <w:tab/>
      </w:r>
      <w:r>
        <w:tab/>
      </w:r>
      <w:r>
        <w:fldChar w:fldCharType="begin"/>
      </w:r>
      <w:r>
        <w:instrText xml:space="preserve"> PAGEREF SENTENCIA_2016_78 \h </w:instrText>
      </w:r>
      <w:r>
        <w:fldChar w:fldCharType="separate"/>
      </w:r>
      <w:r w:rsidR="00C13A87">
        <w:rPr>
          <w:noProof/>
        </w:rPr>
        <w:t>1542</w:t>
      </w:r>
      <w:r>
        <w:fldChar w:fldCharType="end"/>
      </w:r>
    </w:p>
    <w:p w:rsidR="00DC1C29" w:rsidRDefault="00DC1C29" w:rsidP="00DC1C29"/>
    <w:p w:rsidR="00DC1C29" w:rsidRDefault="00DC1C29" w:rsidP="00DC1C29">
      <w:pPr>
        <w:pStyle w:val="EntradandiceSentencia"/>
      </w:pPr>
      <w:r>
        <w:t>Sala Segunda. Sentencia 79/2016, de 25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4912-2014. </w:t>
      </w:r>
      <w:r w:rsidRPr="00DC1C29">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SENTENCIA_2016_79 \h </w:instrText>
      </w:r>
      <w:r>
        <w:fldChar w:fldCharType="separate"/>
      </w:r>
      <w:r w:rsidR="00C13A87">
        <w:rPr>
          <w:noProof/>
        </w:rPr>
        <w:t>1561</w:t>
      </w:r>
      <w:r>
        <w:fldChar w:fldCharType="end"/>
      </w:r>
    </w:p>
    <w:p w:rsidR="00DC1C29" w:rsidRDefault="00DC1C29" w:rsidP="00DC1C29"/>
    <w:p w:rsidR="00DC1C29" w:rsidRDefault="00DC1C29" w:rsidP="00DC1C29">
      <w:pPr>
        <w:pStyle w:val="EntradandiceSentencia"/>
      </w:pPr>
      <w:r>
        <w:t>Sala Segunda. Sentencia 80/2016, de 25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5794-2014. </w:t>
      </w:r>
      <w:r w:rsidRPr="00DC1C29">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SENTENCIA_2016_80 \h </w:instrText>
      </w:r>
      <w:r>
        <w:fldChar w:fldCharType="separate"/>
      </w:r>
      <w:r w:rsidR="00C13A87">
        <w:rPr>
          <w:noProof/>
        </w:rPr>
        <w:t>1570</w:t>
      </w:r>
      <w:r>
        <w:fldChar w:fldCharType="end"/>
      </w:r>
    </w:p>
    <w:p w:rsidR="00DC1C29" w:rsidRDefault="00DC1C29" w:rsidP="00DC1C29"/>
    <w:p w:rsidR="00DC1C29" w:rsidRDefault="00DC1C29" w:rsidP="00DC1C29">
      <w:pPr>
        <w:pStyle w:val="EntradandiceSentencia"/>
      </w:pPr>
      <w:r>
        <w:t>Sala Primera. Sentencia 81/2016, de 25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7331-2015. </w:t>
      </w:r>
      <w:r w:rsidRPr="00DC1C29">
        <w:rPr>
          <w:rStyle w:val="TextoNormalCursivaCaracter"/>
        </w:rPr>
        <w:t xml:space="preserve"> Principio de igualdad ante la ley: nulidad del precepto legal que supedita el disfrute del derecho a la pensión de viudedad que en él se establece a que el causante y el beneficiario hubieran tenido hijos comunes (STC 41/2013). Voto particular.</w:t>
      </w:r>
      <w:r>
        <w:tab/>
      </w:r>
      <w:r>
        <w:tab/>
      </w:r>
      <w:r>
        <w:fldChar w:fldCharType="begin"/>
      </w:r>
      <w:r>
        <w:instrText xml:space="preserve"> PAGEREF SENTENCIA_2016_81 \h </w:instrText>
      </w:r>
      <w:r>
        <w:fldChar w:fldCharType="separate"/>
      </w:r>
      <w:r w:rsidR="00C13A87">
        <w:rPr>
          <w:noProof/>
        </w:rPr>
        <w:t>1582</w:t>
      </w:r>
      <w:r>
        <w:fldChar w:fldCharType="end"/>
      </w:r>
    </w:p>
    <w:p w:rsidR="00DC1C29" w:rsidRDefault="00DC1C29" w:rsidP="00DC1C29"/>
    <w:p w:rsidR="00DC1C29" w:rsidRDefault="00DC1C29" w:rsidP="00DC1C29">
      <w:pPr>
        <w:pStyle w:val="EntradandiceSentencia"/>
      </w:pPr>
      <w:r>
        <w:t>Pleno. Sentencia 82/2016, de 28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9888-2007. </w:t>
      </w:r>
      <w:r w:rsidRPr="00DC1C29">
        <w:rPr>
          <w:rStyle w:val="TextoNormalCursivaCaracter"/>
        </w:rPr>
        <w:t xml:space="preserve"> Competencias en materia de Derecho civil: Ley autonómica dictada en materia no integrada en el acervo normativo o consuetudinario del Derecho civil histórico valenciano. Voto particular.</w:t>
      </w:r>
      <w:r>
        <w:tab/>
      </w:r>
      <w:r>
        <w:tab/>
      </w:r>
      <w:r>
        <w:fldChar w:fldCharType="begin"/>
      </w:r>
      <w:r>
        <w:instrText xml:space="preserve"> PAGEREF SENTENCIA_2016_82 \h </w:instrText>
      </w:r>
      <w:r>
        <w:fldChar w:fldCharType="separate"/>
      </w:r>
      <w:r w:rsidR="00C13A87">
        <w:rPr>
          <w:noProof/>
        </w:rPr>
        <w:t>1595</w:t>
      </w:r>
      <w:r>
        <w:fldChar w:fldCharType="end"/>
      </w:r>
    </w:p>
    <w:p w:rsidR="00DC1C29" w:rsidRDefault="00DC1C29" w:rsidP="00DC1C29"/>
    <w:p w:rsidR="00DC1C29" w:rsidRDefault="00DC1C29" w:rsidP="00DC1C29">
      <w:pPr>
        <w:pStyle w:val="EntradandiceSentencia"/>
      </w:pPr>
      <w:r>
        <w:t>Pleno. Sentencia 83/2016, de 28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4703-2012. </w:t>
      </w:r>
      <w:r w:rsidRPr="00DC1C29">
        <w:rPr>
          <w:rStyle w:val="TextoNormalCursivaCaracter"/>
        </w:rPr>
        <w:t xml:space="preserve"> Supuesta vulneración del derecho a la tutela judicial efectiva (acceso a la justicia): sometimiento al control jurisdiccional exclusivo del Tribunal Constitucional de los actos gubernamentales y parlamentarios de declaración, autorización y prórroga de los estados de emergencia.</w:t>
      </w:r>
      <w:r>
        <w:tab/>
      </w:r>
      <w:r>
        <w:tab/>
      </w:r>
      <w:r>
        <w:fldChar w:fldCharType="begin"/>
      </w:r>
      <w:r>
        <w:instrText xml:space="preserve"> PAGEREF SENTENCIA_2016_83 \h </w:instrText>
      </w:r>
      <w:r>
        <w:fldChar w:fldCharType="separate"/>
      </w:r>
      <w:r w:rsidR="00C13A87">
        <w:rPr>
          <w:noProof/>
        </w:rPr>
        <w:t>1626</w:t>
      </w:r>
      <w:r>
        <w:fldChar w:fldCharType="end"/>
      </w:r>
    </w:p>
    <w:p w:rsidR="00DC1C29" w:rsidRDefault="00DC1C29" w:rsidP="00DC1C29"/>
    <w:p w:rsidR="00DC1C29" w:rsidRDefault="00DC1C29" w:rsidP="00DC1C29">
      <w:pPr>
        <w:pStyle w:val="EntradandiceSentencia"/>
      </w:pPr>
      <w:r>
        <w:t>Pleno. Sentencia 84/2016, de 28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301-2013. </w:t>
      </w:r>
      <w:r w:rsidRPr="00DC1C29">
        <w:rPr>
          <w:rStyle w:val="TextoNormalCursivaCaracter"/>
        </w:rPr>
        <w:t xml:space="preserve"> Límites a los decretos leyes; competencias sobre educación, función pública y ordenación general de la economía: constitucionalidad de los preceptos legales estatales relativos a la jornada lectiva, sustitución y régimen de dedicación del personal docente y a la financiación de becas y ayudas al estudio (STC 26/2016). Voto particular.</w:t>
      </w:r>
      <w:r>
        <w:tab/>
      </w:r>
      <w:r>
        <w:tab/>
      </w:r>
      <w:r>
        <w:fldChar w:fldCharType="begin"/>
      </w:r>
      <w:r>
        <w:instrText xml:space="preserve"> PAGEREF SENTENCIA_2016_84 \h </w:instrText>
      </w:r>
      <w:r>
        <w:fldChar w:fldCharType="separate"/>
      </w:r>
      <w:r w:rsidR="00C13A87">
        <w:rPr>
          <w:noProof/>
        </w:rPr>
        <w:t>1657</w:t>
      </w:r>
      <w:r>
        <w:fldChar w:fldCharType="end"/>
      </w:r>
    </w:p>
    <w:p w:rsidR="00DC1C29" w:rsidRDefault="00DC1C29" w:rsidP="00DC1C29"/>
    <w:p w:rsidR="00DC1C29" w:rsidRDefault="00DC1C29" w:rsidP="00DC1C29">
      <w:pPr>
        <w:pStyle w:val="EntradandiceSentencia"/>
      </w:pPr>
      <w:r>
        <w:t>Pleno. Sentencia 85/2016, de 28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7774-2014. </w:t>
      </w:r>
      <w:r w:rsidRPr="00DC1C29">
        <w:rPr>
          <w:rStyle w:val="TextoNormalCursivaCaracter"/>
        </w:rPr>
        <w:t xml:space="preserve"> Competencias sobre relaciones internacionales: constitucionalidad de los preceptos legales relativos a los principios rectores, sujetos, ámbitos y planificación, seguimiento y coordinación de la acción exterior (STC 165/1994). Voto particular.</w:t>
      </w:r>
      <w:r>
        <w:tab/>
      </w:r>
      <w:r>
        <w:tab/>
      </w:r>
      <w:r>
        <w:fldChar w:fldCharType="begin"/>
      </w:r>
      <w:r>
        <w:instrText xml:space="preserve"> PAGEREF SENTENCIA_2016_85 \h </w:instrText>
      </w:r>
      <w:r>
        <w:fldChar w:fldCharType="separate"/>
      </w:r>
      <w:r w:rsidR="00C13A87">
        <w:rPr>
          <w:noProof/>
        </w:rPr>
        <w:t>1682</w:t>
      </w:r>
      <w:r>
        <w:fldChar w:fldCharType="end"/>
      </w:r>
    </w:p>
    <w:p w:rsidR="00DC1C29" w:rsidRDefault="00DC1C29" w:rsidP="00DC1C29"/>
    <w:p w:rsidR="00DC1C29" w:rsidRDefault="00DC1C29" w:rsidP="00DC1C29">
      <w:pPr>
        <w:pStyle w:val="EntradandiceSentencia"/>
      </w:pPr>
      <w:r>
        <w:t>Pleno. Sentencia 86/2016, de 28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2577-2015. </w:t>
      </w:r>
      <w:r w:rsidRPr="00DC1C29">
        <w:rPr>
          <w:rStyle w:val="TextoNormalCursivaCaracter"/>
        </w:rPr>
        <w:t xml:space="preserve"> Derecho a la igualdad en el acceso a la función pública: nulidad de los preceptos legales que regulan un procedimiento de acceso a la función pública en el que se valoran especialmente los servicios prestados por los interinos del cuerpo de farmacéuticos titulares.</w:t>
      </w:r>
      <w:r>
        <w:tab/>
      </w:r>
      <w:r>
        <w:tab/>
      </w:r>
      <w:r>
        <w:fldChar w:fldCharType="begin"/>
      </w:r>
      <w:r>
        <w:instrText xml:space="preserve"> PAGEREF SENTENCIA_2016_86 \h </w:instrText>
      </w:r>
      <w:r>
        <w:fldChar w:fldCharType="separate"/>
      </w:r>
      <w:r w:rsidR="00C13A87">
        <w:rPr>
          <w:noProof/>
        </w:rPr>
        <w:t>1713</w:t>
      </w:r>
      <w:r>
        <w:fldChar w:fldCharType="end"/>
      </w:r>
    </w:p>
    <w:p w:rsidR="00DC1C29" w:rsidRDefault="00DC1C29" w:rsidP="00DC1C29"/>
    <w:p w:rsidR="00DC1C29" w:rsidRDefault="00DC1C29" w:rsidP="00DC1C29">
      <w:pPr>
        <w:pStyle w:val="EntradandiceSentencia"/>
      </w:pPr>
      <w:r>
        <w:t>Pleno. Sentencia 87/2016, de 28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Conflicto positivo de competencia 3269-2015. </w:t>
      </w:r>
      <w:r w:rsidRPr="00DC1C29">
        <w:rPr>
          <w:rStyle w:val="TextoNormalCursivaCaracter"/>
        </w:rPr>
        <w:t xml:space="preserve"> Competencias sobre seguridad pública y protección civil: nulidad de los preceptos reglamentarios que atribuyen al Estado el ejercicio de potestades ejecutivas (STC 13/1992). Voto particular.</w:t>
      </w:r>
      <w:r>
        <w:tab/>
      </w:r>
      <w:r>
        <w:tab/>
      </w:r>
      <w:r>
        <w:fldChar w:fldCharType="begin"/>
      </w:r>
      <w:r>
        <w:instrText xml:space="preserve"> PAGEREF SENTENCIA_2016_87 \h </w:instrText>
      </w:r>
      <w:r>
        <w:fldChar w:fldCharType="separate"/>
      </w:r>
      <w:r w:rsidR="00C13A87">
        <w:rPr>
          <w:noProof/>
        </w:rPr>
        <w:t>1732</w:t>
      </w:r>
      <w:r>
        <w:fldChar w:fldCharType="end"/>
      </w:r>
    </w:p>
    <w:p w:rsidR="00DC1C29" w:rsidRDefault="00DC1C29" w:rsidP="00DC1C29"/>
    <w:p w:rsidR="00DC1C29" w:rsidRDefault="00DC1C29" w:rsidP="00DC1C29">
      <w:pPr>
        <w:pStyle w:val="EntradandiceSentencia"/>
      </w:pPr>
      <w:r>
        <w:t>Pleno. Sentencia 88/2016, de 28 de abril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3492-2015. </w:t>
      </w:r>
      <w:r w:rsidRPr="00DC1C29">
        <w:rPr>
          <w:rStyle w:val="TextoNormalCursivaCaracter"/>
        </w:rPr>
        <w:t xml:space="preserve"> Competencias sobre ordenación general de la economía y función pública: nulidad del precepto legal autonómico que introduce excepciones a la regulación básica sobre limitaciones a los incrementos de gastos de personal.</w:t>
      </w:r>
      <w:r>
        <w:tab/>
      </w:r>
      <w:r>
        <w:tab/>
      </w:r>
      <w:r>
        <w:fldChar w:fldCharType="begin"/>
      </w:r>
      <w:r>
        <w:instrText xml:space="preserve"> PAGEREF SENTENCIA_2016_88 \h </w:instrText>
      </w:r>
      <w:r>
        <w:fldChar w:fldCharType="separate"/>
      </w:r>
      <w:r w:rsidR="00C13A87">
        <w:rPr>
          <w:noProof/>
        </w:rPr>
        <w:t>1757</w:t>
      </w:r>
      <w:r>
        <w:fldChar w:fldCharType="end"/>
      </w:r>
    </w:p>
    <w:p w:rsidR="00DC1C29" w:rsidRDefault="00DC1C29" w:rsidP="00DC1C29"/>
    <w:p w:rsidR="00DC1C29" w:rsidRDefault="00DC1C29" w:rsidP="00DC1C29">
      <w:pPr>
        <w:pStyle w:val="EntradandiceSentencia"/>
      </w:pPr>
      <w:r>
        <w:t>Sala Segunda. Sentencia 89/2016, de 9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2379-2011. </w:t>
      </w:r>
      <w:r w:rsidRPr="00DC1C29">
        <w:rPr>
          <w:rStyle w:val="TextoNormalCursivaCaracter"/>
        </w:rPr>
        <w:t xml:space="preserve"> Vulneración del derecho a un proceso sin dilaciones indebidas: demora superior a un año en la celebración de la vista del juicio en un procedimiento abreviado contencioso-administrativo (STC 63/2016).</w:t>
      </w:r>
      <w:r>
        <w:tab/>
      </w:r>
      <w:r>
        <w:tab/>
      </w:r>
      <w:r>
        <w:fldChar w:fldCharType="begin"/>
      </w:r>
      <w:r>
        <w:instrText xml:space="preserve"> PAGEREF SENTENCIA_2016_89 \h </w:instrText>
      </w:r>
      <w:r>
        <w:fldChar w:fldCharType="separate"/>
      </w:r>
      <w:r w:rsidR="00C13A87">
        <w:rPr>
          <w:noProof/>
        </w:rPr>
        <w:t>1770</w:t>
      </w:r>
      <w:r>
        <w:fldChar w:fldCharType="end"/>
      </w:r>
    </w:p>
    <w:p w:rsidR="00DC1C29" w:rsidRDefault="00DC1C29" w:rsidP="00DC1C29"/>
    <w:p w:rsidR="00DC1C29" w:rsidRDefault="00DC1C29" w:rsidP="00DC1C29">
      <w:pPr>
        <w:pStyle w:val="EntradandiceSentencia"/>
      </w:pPr>
      <w:r>
        <w:t>Sala Segunda. Sentencia 90/2016, de 9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3488-2013. </w:t>
      </w:r>
      <w:r w:rsidRPr="00DC1C29">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SENTENCIA_2016_90 \h </w:instrText>
      </w:r>
      <w:r>
        <w:fldChar w:fldCharType="separate"/>
      </w:r>
      <w:r w:rsidR="00C13A87">
        <w:rPr>
          <w:noProof/>
        </w:rPr>
        <w:t>1784</w:t>
      </w:r>
      <w:r>
        <w:fldChar w:fldCharType="end"/>
      </w:r>
    </w:p>
    <w:p w:rsidR="00DC1C29" w:rsidRDefault="00DC1C29" w:rsidP="00DC1C29"/>
    <w:p w:rsidR="00DC1C29" w:rsidRDefault="00DC1C29" w:rsidP="00DC1C29">
      <w:pPr>
        <w:pStyle w:val="EntradandiceSentencia"/>
      </w:pPr>
      <w:r>
        <w:t>Sala Primera. Sentencia 91/2016, de 9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2772-2014. </w:t>
      </w:r>
      <w:r w:rsidRPr="00DC1C29">
        <w:rPr>
          <w:rStyle w:val="TextoNormalCursivaCaracter"/>
        </w:rPr>
        <w:t xml:space="preserve"> Supuesta vulneración del derecho a la tutela judicial efectiva (acceso a la justicia): inadmisión de recurso contencioso-administrativo ordinario frente a un acto que no puso fin a la vía administrativa.</w:t>
      </w:r>
      <w:r>
        <w:tab/>
      </w:r>
      <w:r>
        <w:tab/>
      </w:r>
      <w:r>
        <w:fldChar w:fldCharType="begin"/>
      </w:r>
      <w:r>
        <w:instrText xml:space="preserve"> PAGEREF SENTENCIA_2016_91 \h </w:instrText>
      </w:r>
      <w:r>
        <w:fldChar w:fldCharType="separate"/>
      </w:r>
      <w:r w:rsidR="00C13A87">
        <w:rPr>
          <w:noProof/>
        </w:rPr>
        <w:t>1796</w:t>
      </w:r>
      <w:r>
        <w:fldChar w:fldCharType="end"/>
      </w:r>
    </w:p>
    <w:p w:rsidR="00DC1C29" w:rsidRDefault="00DC1C29" w:rsidP="00DC1C29"/>
    <w:p w:rsidR="00DC1C29" w:rsidRDefault="00DC1C29" w:rsidP="00DC1C29">
      <w:pPr>
        <w:pStyle w:val="EntradandiceSentencia"/>
      </w:pPr>
      <w:r>
        <w:t>Sala Primera. Sentencia 92/2016, de 9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114-2015. </w:t>
      </w:r>
      <w:r w:rsidRPr="00DC1C29">
        <w:rPr>
          <w:rStyle w:val="TextoNormalCursivaCaracter"/>
        </w:rPr>
        <w:t xml:space="preserve"> Vulneración de los derechos a la tutela judicial efectiva y a un proceso con todas las garantías: sentencia no fundada en Derecho porque inaplica una ley autonómica vigente sin plantear cuestión de inconstitucionalidad (STC 195/2015). Voto particular.</w:t>
      </w:r>
      <w:r>
        <w:tab/>
      </w:r>
      <w:r>
        <w:tab/>
      </w:r>
      <w:r>
        <w:fldChar w:fldCharType="begin"/>
      </w:r>
      <w:r>
        <w:instrText xml:space="preserve"> PAGEREF SENTENCIA_2016_92 \h </w:instrText>
      </w:r>
      <w:r>
        <w:fldChar w:fldCharType="separate"/>
      </w:r>
      <w:r w:rsidR="00C13A87">
        <w:rPr>
          <w:noProof/>
        </w:rPr>
        <w:t>1811</w:t>
      </w:r>
      <w:r>
        <w:fldChar w:fldCharType="end"/>
      </w:r>
    </w:p>
    <w:p w:rsidR="00DC1C29" w:rsidRDefault="00DC1C29" w:rsidP="00DC1C29"/>
    <w:p w:rsidR="00DC1C29" w:rsidRDefault="00DC1C29" w:rsidP="00DC1C29">
      <w:pPr>
        <w:pStyle w:val="EntradandiceSentencia"/>
      </w:pPr>
      <w:r>
        <w:t>Sala Primera. Sentencia 93/2016, de 9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583-2015. </w:t>
      </w:r>
      <w:r w:rsidRPr="00DC1C29">
        <w:rPr>
          <w:rStyle w:val="TextoNormalCursivaCaracter"/>
        </w:rPr>
        <w:t xml:space="preserve"> Vulneración de los derechos a la tutela judicial efectiva y a un proceso con todas las garantías: sentencia no fundada en Derecho porque inaplica una ley autonómica vigente sin plantear cuestión de inconstitucionalidad (STC 195/2015). Voto particular.</w:t>
      </w:r>
      <w:r>
        <w:tab/>
      </w:r>
      <w:r>
        <w:tab/>
      </w:r>
      <w:r>
        <w:fldChar w:fldCharType="begin"/>
      </w:r>
      <w:r>
        <w:instrText xml:space="preserve"> PAGEREF SENTENCIA_2016_93 \h </w:instrText>
      </w:r>
      <w:r>
        <w:fldChar w:fldCharType="separate"/>
      </w:r>
      <w:r w:rsidR="00C13A87">
        <w:rPr>
          <w:noProof/>
        </w:rPr>
        <w:t>1817</w:t>
      </w:r>
      <w:r>
        <w:fldChar w:fldCharType="end"/>
      </w:r>
    </w:p>
    <w:p w:rsidR="00DC1C29" w:rsidRDefault="00DC1C29" w:rsidP="00DC1C29"/>
    <w:p w:rsidR="00DC1C29" w:rsidRDefault="00DC1C29" w:rsidP="00DC1C29">
      <w:pPr>
        <w:pStyle w:val="EntradandiceSentencia"/>
      </w:pPr>
      <w:r>
        <w:t>Sala Segunda. Sentencia 94/2016, de 9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1398-2015. </w:t>
      </w:r>
      <w:r w:rsidRPr="00DC1C29">
        <w:rPr>
          <w:rStyle w:val="TextoNormalCursivaCaracter"/>
        </w:rPr>
        <w:t xml:space="preserve"> Alegada vulneración del derecho a la tutela judicial efectiva (acceso a la justicia): extemporaneidad del recurso de amparo promovido frente a una resolución administrativa.</w:t>
      </w:r>
      <w:r>
        <w:tab/>
      </w:r>
      <w:r>
        <w:tab/>
      </w:r>
      <w:r>
        <w:fldChar w:fldCharType="begin"/>
      </w:r>
      <w:r>
        <w:instrText xml:space="preserve"> PAGEREF SENTENCIA_2016_94 \h </w:instrText>
      </w:r>
      <w:r>
        <w:fldChar w:fldCharType="separate"/>
      </w:r>
      <w:r w:rsidR="00C13A87">
        <w:rPr>
          <w:noProof/>
        </w:rPr>
        <w:t>1823</w:t>
      </w:r>
      <w:r>
        <w:fldChar w:fldCharType="end"/>
      </w:r>
    </w:p>
    <w:p w:rsidR="00DC1C29" w:rsidRDefault="00DC1C29" w:rsidP="00DC1C29"/>
    <w:p w:rsidR="00DC1C29" w:rsidRDefault="00DC1C29" w:rsidP="00DC1C29">
      <w:pPr>
        <w:pStyle w:val="EntradandiceSentencia"/>
      </w:pPr>
      <w:r>
        <w:t>Pleno. Sentencia 95/2016, de 12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Conflicto positivo de competencia 6975-2013. </w:t>
      </w:r>
      <w:r w:rsidRPr="00DC1C29">
        <w:rPr>
          <w:rStyle w:val="TextoNormalCursivaCaracter"/>
        </w:rPr>
        <w:t xml:space="preserve"> Competencias sobre educación y universidades: nulidad de los preceptos reglamentarios que invocan la competencia estatal sobre condiciones básicas de igualdad; vulneración de competencias autonómicas al atribuirse facultades de gestión del componente variable de las becas al estudio a órganos de la Administración del Estado. Voto particular.</w:t>
      </w:r>
      <w:r>
        <w:tab/>
      </w:r>
      <w:r>
        <w:tab/>
      </w:r>
      <w:r>
        <w:fldChar w:fldCharType="begin"/>
      </w:r>
      <w:r>
        <w:instrText xml:space="preserve"> PAGEREF SENTENCIA_2016_95 \h </w:instrText>
      </w:r>
      <w:r>
        <w:fldChar w:fldCharType="separate"/>
      </w:r>
      <w:r w:rsidR="00C13A87">
        <w:rPr>
          <w:noProof/>
        </w:rPr>
        <w:t>1830</w:t>
      </w:r>
      <w:r>
        <w:fldChar w:fldCharType="end"/>
      </w:r>
    </w:p>
    <w:p w:rsidR="00DC1C29" w:rsidRDefault="00DC1C29" w:rsidP="00DC1C29"/>
    <w:p w:rsidR="00DC1C29" w:rsidRDefault="00DC1C29" w:rsidP="00DC1C29">
      <w:pPr>
        <w:pStyle w:val="EntradandiceSentencia"/>
      </w:pPr>
      <w:r>
        <w:t>Pleno. Sentencia 96/2016, de 12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439-2016. </w:t>
      </w:r>
      <w:r w:rsidRPr="00DC1C29">
        <w:rPr>
          <w:rStyle w:val="TextoNormalCursivaCaracter"/>
        </w:rPr>
        <w:t xml:space="preserve"> Sistema de financiación autonómica: constitucionalidad de los preceptos presupuestarios relativos a las transferencias por el fondo de suficiencia global.</w:t>
      </w:r>
      <w:r>
        <w:tab/>
      </w:r>
      <w:r>
        <w:tab/>
      </w:r>
      <w:r>
        <w:fldChar w:fldCharType="begin"/>
      </w:r>
      <w:r>
        <w:instrText xml:space="preserve"> PAGEREF SENTENCIA_2016_96 \h </w:instrText>
      </w:r>
      <w:r>
        <w:fldChar w:fldCharType="separate"/>
      </w:r>
      <w:r w:rsidR="00C13A87">
        <w:rPr>
          <w:noProof/>
        </w:rPr>
        <w:t>1859</w:t>
      </w:r>
      <w:r>
        <w:fldChar w:fldCharType="end"/>
      </w:r>
    </w:p>
    <w:p w:rsidR="00DC1C29" w:rsidRDefault="00DC1C29" w:rsidP="00DC1C29"/>
    <w:p w:rsidR="00DC1C29" w:rsidRDefault="00DC1C29" w:rsidP="00DC1C29">
      <w:pPr>
        <w:pStyle w:val="EntradandiceSentencia"/>
      </w:pPr>
      <w:r>
        <w:t>Sala Primera. Sentencia 97/2016, de 23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4579-2014. </w:t>
      </w:r>
      <w:r w:rsidRPr="00DC1C29">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SENTENCIA_2016_97 \h </w:instrText>
      </w:r>
      <w:r>
        <w:fldChar w:fldCharType="separate"/>
      </w:r>
      <w:r w:rsidR="00C13A87">
        <w:rPr>
          <w:noProof/>
        </w:rPr>
        <w:t>1882</w:t>
      </w:r>
      <w:r>
        <w:fldChar w:fldCharType="end"/>
      </w:r>
    </w:p>
    <w:p w:rsidR="00DC1C29" w:rsidRDefault="00DC1C29" w:rsidP="00DC1C29"/>
    <w:p w:rsidR="00DC1C29" w:rsidRDefault="00DC1C29" w:rsidP="00DC1C29">
      <w:pPr>
        <w:pStyle w:val="EntradandiceSentencia"/>
      </w:pPr>
      <w:r>
        <w:t>Sala Primera. Sentencia 98/2016, de 23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146-2015. </w:t>
      </w:r>
      <w:r w:rsidRPr="00DC1C29">
        <w:rPr>
          <w:rStyle w:val="TextoNormalCursivaCaracter"/>
        </w:rPr>
        <w:t xml:space="preserve"> Vulneración de los derechos a la tutela judicial efectiva y a un proceso con todas las garantías: sentencia no fundada en Derecho porque inaplica una ley autonómica vigente sin plantear cuestión de inconstitucionalidad (STC 195/2015). Voto particular.</w:t>
      </w:r>
      <w:r>
        <w:tab/>
      </w:r>
      <w:r>
        <w:tab/>
      </w:r>
      <w:r>
        <w:fldChar w:fldCharType="begin"/>
      </w:r>
      <w:r>
        <w:instrText xml:space="preserve"> PAGEREF SENTENCIA_2016_98 \h </w:instrText>
      </w:r>
      <w:r>
        <w:fldChar w:fldCharType="separate"/>
      </w:r>
      <w:r w:rsidR="00C13A87">
        <w:rPr>
          <w:noProof/>
        </w:rPr>
        <w:t>1891</w:t>
      </w:r>
      <w:r>
        <w:fldChar w:fldCharType="end"/>
      </w:r>
    </w:p>
    <w:p w:rsidR="00DC1C29" w:rsidRDefault="00DC1C29" w:rsidP="00DC1C29"/>
    <w:p w:rsidR="00DC1C29" w:rsidRDefault="00DC1C29" w:rsidP="00DC1C29">
      <w:pPr>
        <w:pStyle w:val="EntradandiceSentencia"/>
      </w:pPr>
      <w:r>
        <w:t>Pleno. Sentencia 99/2016, de 25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1743-2013. </w:t>
      </w:r>
      <w:r w:rsidRPr="00DC1C29">
        <w:rPr>
          <w:rStyle w:val="TextoNormalCursivaCaracter"/>
        </w:rPr>
        <w:t xml:space="preserve"> Límites de las leyes de presupuestos; competencias en materia laboral, ordenación general de la economía y función pública; principio de autonomía financiera: constitucionalidad de los preceptos legales que suspenden y modifican diferentes previsiones de la Ley de promoción de la autonomía personal y atención a las personas en situación de dependencia, y establecen la jornada general de trabajo en el sector público. Voto particular.</w:t>
      </w:r>
      <w:r>
        <w:tab/>
      </w:r>
      <w:r>
        <w:tab/>
      </w:r>
      <w:r>
        <w:fldChar w:fldCharType="begin"/>
      </w:r>
      <w:r>
        <w:instrText xml:space="preserve"> PAGEREF SENTENCIA_2016_99 \h </w:instrText>
      </w:r>
      <w:r>
        <w:fldChar w:fldCharType="separate"/>
      </w:r>
      <w:r w:rsidR="00C13A87">
        <w:rPr>
          <w:noProof/>
        </w:rPr>
        <w:t>1897</w:t>
      </w:r>
      <w:r>
        <w:fldChar w:fldCharType="end"/>
      </w:r>
    </w:p>
    <w:p w:rsidR="00DC1C29" w:rsidRDefault="00DC1C29" w:rsidP="00DC1C29"/>
    <w:p w:rsidR="00DC1C29" w:rsidRDefault="00DC1C29" w:rsidP="00DC1C29">
      <w:pPr>
        <w:pStyle w:val="EntradandiceSentencia"/>
      </w:pPr>
      <w:r>
        <w:t>Pleno. Sentencia 100/2016, de 25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5020-2013. </w:t>
      </w:r>
      <w:r w:rsidRPr="00DC1C29">
        <w:rPr>
          <w:rStyle w:val="TextoNormalCursivaCaracter"/>
        </w:rPr>
        <w:t xml:space="preserve"> Competencias sobre urbanismo, ordenación del litoral y del territorio; régimen constitucional del dominio público: constitucionalidad del precepto legal estatal que regula las urbanizaciones marítimo-terrestres (STC 233/2015).</w:t>
      </w:r>
      <w:r>
        <w:tab/>
      </w:r>
      <w:r>
        <w:tab/>
      </w:r>
      <w:r>
        <w:fldChar w:fldCharType="begin"/>
      </w:r>
      <w:r>
        <w:instrText xml:space="preserve"> PAGEREF SENTENCIA_2016_100 \h </w:instrText>
      </w:r>
      <w:r>
        <w:fldChar w:fldCharType="separate"/>
      </w:r>
      <w:r w:rsidR="00C13A87">
        <w:rPr>
          <w:noProof/>
        </w:rPr>
        <w:t>1928</w:t>
      </w:r>
      <w:r>
        <w:fldChar w:fldCharType="end"/>
      </w:r>
    </w:p>
    <w:p w:rsidR="00DC1C29" w:rsidRDefault="00DC1C29" w:rsidP="00DC1C29"/>
    <w:p w:rsidR="00DC1C29" w:rsidRDefault="00DC1C29" w:rsidP="00DC1C29">
      <w:pPr>
        <w:pStyle w:val="EntradandiceSentencia"/>
      </w:pPr>
      <w:r>
        <w:t>Pleno. Sentencia 101/2016, de 25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1762-2014. </w:t>
      </w:r>
      <w:r w:rsidRPr="00DC1C29">
        <w:rPr>
          <w:rStyle w:val="TextoNormalCursivaCaracter"/>
        </w:rPr>
        <w:t xml:space="preserve"> Sistema de financiación autonómica: constitucionalidad de los preceptos legales que reforman las leyes orgánicas de financiación autonómica y de estabilidad presupuestaria y sostenibilidad financiera. Votos particulares.</w:t>
      </w:r>
      <w:r>
        <w:tab/>
      </w:r>
      <w:r>
        <w:tab/>
      </w:r>
      <w:r>
        <w:fldChar w:fldCharType="begin"/>
      </w:r>
      <w:r>
        <w:instrText xml:space="preserve"> PAGEREF SENTENCIA_2016_101 \h </w:instrText>
      </w:r>
      <w:r>
        <w:fldChar w:fldCharType="separate"/>
      </w:r>
      <w:r w:rsidR="00C13A87">
        <w:rPr>
          <w:noProof/>
        </w:rPr>
        <w:t>1935</w:t>
      </w:r>
      <w:r>
        <w:fldChar w:fldCharType="end"/>
      </w:r>
    </w:p>
    <w:p w:rsidR="00DC1C29" w:rsidRDefault="00DC1C29" w:rsidP="00DC1C29"/>
    <w:p w:rsidR="00DC1C29" w:rsidRDefault="00DC1C29" w:rsidP="00DC1C29">
      <w:pPr>
        <w:pStyle w:val="EntradandiceSentencia"/>
      </w:pPr>
      <w:r>
        <w:t>Pleno. Sentencia 102/2016, de 25 de mayo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1619-2015. </w:t>
      </w:r>
      <w:r w:rsidRPr="00DC1C29">
        <w:rPr>
          <w:rStyle w:val="TextoNormalCursivaCaracter"/>
        </w:rPr>
        <w:t xml:space="preserve"> Competencias sobre régimen local: inadmisión de la cuestión de inconstitucionalidad en la que se aduce inconstitucionalidad sobrevenida de un precepto legal autonómico. Voto particular.</w:t>
      </w:r>
      <w:r>
        <w:tab/>
      </w:r>
      <w:r>
        <w:tab/>
      </w:r>
      <w:r>
        <w:fldChar w:fldCharType="begin"/>
      </w:r>
      <w:r>
        <w:instrText xml:space="preserve"> PAGEREF SENTENCIA_2016_102 \h </w:instrText>
      </w:r>
      <w:r>
        <w:fldChar w:fldCharType="separate"/>
      </w:r>
      <w:r w:rsidR="00C13A87">
        <w:rPr>
          <w:noProof/>
        </w:rPr>
        <w:t>1979</w:t>
      </w:r>
      <w:r>
        <w:fldChar w:fldCharType="end"/>
      </w:r>
    </w:p>
    <w:p w:rsidR="00DC1C29" w:rsidRDefault="00DC1C29" w:rsidP="00DC1C29"/>
    <w:p w:rsidR="00DC1C29" w:rsidRDefault="00DC1C29" w:rsidP="00DC1C29">
      <w:pPr>
        <w:pStyle w:val="EntradandiceSentencia"/>
      </w:pPr>
      <w:r>
        <w:t>Sala Segunda. Sentencia 103/2016, de 6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1546-2013. </w:t>
      </w:r>
      <w:r w:rsidRPr="00DC1C29">
        <w:rPr>
          <w:rStyle w:val="TextoNormalCursivaCaracter"/>
        </w:rPr>
        <w:t xml:space="preserve"> Vulneración del derecho a un proceso sin dilaciones indebidas: demora de tres años en la celebración de la vista del juicio en un procedimiento abreviado contencioso-administrativo (STC 63/2016).</w:t>
      </w:r>
      <w:r>
        <w:tab/>
      </w:r>
      <w:r>
        <w:tab/>
      </w:r>
      <w:r>
        <w:fldChar w:fldCharType="begin"/>
      </w:r>
      <w:r>
        <w:instrText xml:space="preserve"> PAGEREF SENTENCIA_2016_103 \h </w:instrText>
      </w:r>
      <w:r>
        <w:fldChar w:fldCharType="separate"/>
      </w:r>
      <w:r w:rsidR="00C13A87">
        <w:rPr>
          <w:noProof/>
        </w:rPr>
        <w:t>2002</w:t>
      </w:r>
      <w:r>
        <w:fldChar w:fldCharType="end"/>
      </w:r>
    </w:p>
    <w:p w:rsidR="00DC1C29" w:rsidRDefault="00DC1C29" w:rsidP="00DC1C29"/>
    <w:p w:rsidR="00DC1C29" w:rsidRDefault="00DC1C29" w:rsidP="00DC1C29">
      <w:pPr>
        <w:pStyle w:val="EntradandiceSentencia"/>
      </w:pPr>
      <w:r>
        <w:t>Sala Segunda. Sentencia 104/2016, de 6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1592-2014. </w:t>
      </w:r>
      <w:r w:rsidRPr="00DC1C29">
        <w:rPr>
          <w:rStyle w:val="TextoNormalCursivaCaracter"/>
        </w:rPr>
        <w:t xml:space="preserve"> Principio de irretroactividad de las normas restrictivas de derechos individuales: extinción, por pérdida de objeto, de la cuestión de inconstitucionalidad (STC 83/2015).</w:t>
      </w:r>
      <w:r>
        <w:tab/>
      </w:r>
      <w:r>
        <w:tab/>
      </w:r>
      <w:r>
        <w:fldChar w:fldCharType="begin"/>
      </w:r>
      <w:r>
        <w:instrText xml:space="preserve"> PAGEREF SENTENCIA_2016_104 \h </w:instrText>
      </w:r>
      <w:r>
        <w:fldChar w:fldCharType="separate"/>
      </w:r>
      <w:r w:rsidR="00C13A87">
        <w:rPr>
          <w:noProof/>
        </w:rPr>
        <w:t>2015</w:t>
      </w:r>
      <w:r>
        <w:fldChar w:fldCharType="end"/>
      </w:r>
    </w:p>
    <w:p w:rsidR="00DC1C29" w:rsidRDefault="00DC1C29" w:rsidP="00DC1C29"/>
    <w:p w:rsidR="00DC1C29" w:rsidRDefault="00DC1C29" w:rsidP="00DC1C29">
      <w:pPr>
        <w:pStyle w:val="EntradandiceSentencia"/>
      </w:pPr>
      <w:r>
        <w:t>Sala Segunda. Sentencia 105/2016, de 6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2569-2014. </w:t>
      </w:r>
      <w:r w:rsidRPr="00DC1C29">
        <w:rPr>
          <w:rStyle w:val="TextoNormalCursivaCaracter"/>
        </w:rPr>
        <w:t xml:space="preserve"> Supuesta vulneración de los derechos al juez ordinario predeterminado por la ley, a un proceso con todas las garantías y a la presunción de inocencia: incumplimiento del deber de notificación de la composición de la Sala carente de incidencia material, condena pronunciada tras dar oportunidad a los acusados de ser oídos (STC 167/2002) y fundada en la existencia de prueba de cargo suficiente.</w:t>
      </w:r>
      <w:r>
        <w:tab/>
      </w:r>
      <w:r>
        <w:tab/>
      </w:r>
      <w:r>
        <w:fldChar w:fldCharType="begin"/>
      </w:r>
      <w:r>
        <w:instrText xml:space="preserve"> PAGEREF SENTENCIA_2016_105 \h </w:instrText>
      </w:r>
      <w:r>
        <w:fldChar w:fldCharType="separate"/>
      </w:r>
      <w:r w:rsidR="00C13A87">
        <w:rPr>
          <w:noProof/>
        </w:rPr>
        <w:t>2024</w:t>
      </w:r>
      <w:r>
        <w:fldChar w:fldCharType="end"/>
      </w:r>
    </w:p>
    <w:p w:rsidR="00DC1C29" w:rsidRDefault="00DC1C29" w:rsidP="00DC1C29"/>
    <w:p w:rsidR="00DC1C29" w:rsidRDefault="00DC1C29" w:rsidP="00DC1C29">
      <w:pPr>
        <w:pStyle w:val="EntradandiceSentencia"/>
      </w:pPr>
      <w:r>
        <w:t>Sala Segunda. Sentencia 106/2016, de 6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3379-2014. </w:t>
      </w:r>
      <w:r w:rsidRPr="00DC1C29">
        <w:rPr>
          <w:rStyle w:val="TextoNormalCursivaCaracter"/>
        </w:rPr>
        <w:t xml:space="preserve"> Principio de irretroactividad de las normas restrictivas de derechos individuales y expropiación de derechos económicos: extinción, por pérdida de objeto, de la cuestión de inconstitucionalidad (STC 83/2015).</w:t>
      </w:r>
      <w:r>
        <w:tab/>
      </w:r>
      <w:r>
        <w:tab/>
      </w:r>
      <w:r>
        <w:fldChar w:fldCharType="begin"/>
      </w:r>
      <w:r>
        <w:instrText xml:space="preserve"> PAGEREF SENTENCIA_2016_106 \h </w:instrText>
      </w:r>
      <w:r>
        <w:fldChar w:fldCharType="separate"/>
      </w:r>
      <w:r w:rsidR="00C13A87">
        <w:rPr>
          <w:noProof/>
        </w:rPr>
        <w:t>2047</w:t>
      </w:r>
      <w:r>
        <w:fldChar w:fldCharType="end"/>
      </w:r>
    </w:p>
    <w:p w:rsidR="00DC1C29" w:rsidRDefault="00DC1C29" w:rsidP="00DC1C29"/>
    <w:p w:rsidR="00DC1C29" w:rsidRDefault="00DC1C29" w:rsidP="00DC1C29">
      <w:pPr>
        <w:pStyle w:val="EntradandiceSentencia"/>
      </w:pPr>
      <w:r>
        <w:t>Pleno. Sentencia 107/2016, de 7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6205-2015. </w:t>
      </w:r>
      <w:r w:rsidRPr="00DC1C29">
        <w:rPr>
          <w:rStyle w:val="TextoNormalCursivaCaracter"/>
        </w:rPr>
        <w:t xml:space="preserve"> Vulneración del derecho a la participación política: rechazo de la solicitud de reconsideración adoptada sin dar audiencia a la junta de portavoces, trámite esencial del procedimiento interno de garantía.</w:t>
      </w:r>
      <w:r>
        <w:tab/>
      </w:r>
      <w:r>
        <w:tab/>
      </w:r>
      <w:r>
        <w:fldChar w:fldCharType="begin"/>
      </w:r>
      <w:r>
        <w:instrText xml:space="preserve"> PAGEREF SENTENCIA_2016_107 \h </w:instrText>
      </w:r>
      <w:r>
        <w:fldChar w:fldCharType="separate"/>
      </w:r>
      <w:r w:rsidR="00C13A87">
        <w:rPr>
          <w:noProof/>
        </w:rPr>
        <w:t>2056</w:t>
      </w:r>
      <w:r>
        <w:fldChar w:fldCharType="end"/>
      </w:r>
    </w:p>
    <w:p w:rsidR="00DC1C29" w:rsidRDefault="00DC1C29" w:rsidP="00DC1C29"/>
    <w:p w:rsidR="00DC1C29" w:rsidRDefault="00DC1C29" w:rsidP="00DC1C29">
      <w:pPr>
        <w:pStyle w:val="EntradandiceSentencia"/>
      </w:pPr>
      <w:r>
        <w:t>Pleno. Sentencia 108/2016, de 7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6206-2015. </w:t>
      </w:r>
      <w:r w:rsidRPr="00DC1C29">
        <w:rPr>
          <w:rStyle w:val="TextoNormalCursivaCaracter"/>
        </w:rPr>
        <w:t xml:space="preserve"> Vulneración del derecho a la participación política: rechazo de la solicitud de reconsideración adoptada sin dar audiencia a la junta de portavoces, trámite esencial del procedimiento interno de garantía (STC 107/2016).</w:t>
      </w:r>
      <w:r>
        <w:tab/>
      </w:r>
      <w:r>
        <w:tab/>
      </w:r>
      <w:r>
        <w:fldChar w:fldCharType="begin"/>
      </w:r>
      <w:r>
        <w:instrText xml:space="preserve"> PAGEREF SENTENCIA_2016_108 \h </w:instrText>
      </w:r>
      <w:r>
        <w:fldChar w:fldCharType="separate"/>
      </w:r>
      <w:r w:rsidR="00C13A87">
        <w:rPr>
          <w:noProof/>
        </w:rPr>
        <w:t>2088</w:t>
      </w:r>
      <w:r>
        <w:fldChar w:fldCharType="end"/>
      </w:r>
    </w:p>
    <w:p w:rsidR="00DC1C29" w:rsidRDefault="00DC1C29" w:rsidP="00DC1C29"/>
    <w:p w:rsidR="00DC1C29" w:rsidRDefault="00DC1C29" w:rsidP="00DC1C29">
      <w:pPr>
        <w:pStyle w:val="EntradandiceSentencia"/>
      </w:pPr>
      <w:r>
        <w:t>Pleno. Sentencia 109/2016, de 7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6207-2015. </w:t>
      </w:r>
      <w:r w:rsidRPr="00DC1C29">
        <w:rPr>
          <w:rStyle w:val="TextoNormalCursivaCaracter"/>
        </w:rPr>
        <w:t xml:space="preserve"> Vulneración del derecho a la participación política: rechazo de la solicitud de reconsideración adoptada sin dar audiencia a la junta de portavoces, trámite esencial del procedimiento interno de garantía (STC 107/2016).</w:t>
      </w:r>
      <w:r>
        <w:tab/>
      </w:r>
      <w:r>
        <w:tab/>
      </w:r>
      <w:r>
        <w:fldChar w:fldCharType="begin"/>
      </w:r>
      <w:r>
        <w:instrText xml:space="preserve"> PAGEREF SENTENCIA_2016_109 \h </w:instrText>
      </w:r>
      <w:r>
        <w:fldChar w:fldCharType="separate"/>
      </w:r>
      <w:r w:rsidR="00C13A87">
        <w:rPr>
          <w:noProof/>
        </w:rPr>
        <w:t>2119</w:t>
      </w:r>
      <w:r>
        <w:fldChar w:fldCharType="end"/>
      </w:r>
    </w:p>
    <w:p w:rsidR="00DC1C29" w:rsidRDefault="00DC1C29" w:rsidP="00DC1C29"/>
    <w:p w:rsidR="00DC1C29" w:rsidRDefault="00DC1C29" w:rsidP="00DC1C29">
      <w:pPr>
        <w:pStyle w:val="EntradandiceSentencia"/>
      </w:pPr>
      <w:r>
        <w:t>Pleno. Sentencia 110/2016, de 9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4522-2013. </w:t>
      </w:r>
      <w:r w:rsidRPr="00DC1C29">
        <w:rPr>
          <w:rStyle w:val="TextoNormalCursivaCaracter"/>
        </w:rPr>
        <w:t xml:space="preserve"> Competencias en materia de Derecho civil: nulidad de los preceptos legales autonómicos que establecen el objeto y ámbito de aplicación de la Ley, proclaman el principio de libertad de regulación de la convivencia y regulan el régimen económico y los efectos de la extinción de la unión de hecho formalizada (STC 82/2016). Voto particular.</w:t>
      </w:r>
      <w:r>
        <w:tab/>
      </w:r>
      <w:r>
        <w:tab/>
      </w:r>
      <w:r>
        <w:fldChar w:fldCharType="begin"/>
      </w:r>
      <w:r>
        <w:instrText xml:space="preserve"> PAGEREF SENTENCIA_2016_110 \h </w:instrText>
      </w:r>
      <w:r>
        <w:fldChar w:fldCharType="separate"/>
      </w:r>
      <w:r w:rsidR="00C13A87">
        <w:rPr>
          <w:noProof/>
        </w:rPr>
        <w:t>2158</w:t>
      </w:r>
      <w:r>
        <w:fldChar w:fldCharType="end"/>
      </w:r>
    </w:p>
    <w:p w:rsidR="00DC1C29" w:rsidRDefault="00DC1C29" w:rsidP="00DC1C29"/>
    <w:p w:rsidR="00DC1C29" w:rsidRDefault="00DC1C29" w:rsidP="00DC1C29">
      <w:pPr>
        <w:pStyle w:val="EntradandiceSentencia"/>
      </w:pPr>
      <w:r>
        <w:t>Pleno. Sentencia 111/2016, de 9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1959-2014. </w:t>
      </w:r>
      <w:r w:rsidRPr="00DC1C29">
        <w:rPr>
          <w:rStyle w:val="TextoNormalCursivaCaracter"/>
        </w:rPr>
        <w:t xml:space="preserve"> Principios de autonomía local, democrático y de lealtad institucional, autonomía financiera: nulidad parcial de los preceptos relativos a las funciones atribuidas a la Administración del Estado respecto de la coordinación de los servicios municipales por las diputaciones provinciales, condiciones para la ejecución en régimen de monopolio de las actividades reservadas y mayoría requerida para la adopción de acuerdos en las corporaciones locales; interpretación conforme de los preceptos relativos a la competencia provincial sobre prestación de los servicios de administración electrónica y contratación centralizada en determinados municipios y al plan provincial de cooperación a las obras y servicios de competencia municipal. Voto particular.</w:t>
      </w:r>
      <w:r>
        <w:tab/>
      </w:r>
      <w:r>
        <w:tab/>
      </w:r>
      <w:r>
        <w:fldChar w:fldCharType="begin"/>
      </w:r>
      <w:r>
        <w:instrText xml:space="preserve"> PAGEREF SENTENCIA_2016_111 \h </w:instrText>
      </w:r>
      <w:r>
        <w:fldChar w:fldCharType="separate"/>
      </w:r>
      <w:r w:rsidR="00C13A87">
        <w:rPr>
          <w:noProof/>
        </w:rPr>
        <w:t>2190</w:t>
      </w:r>
      <w:r>
        <w:fldChar w:fldCharType="end"/>
      </w:r>
    </w:p>
    <w:p w:rsidR="00DC1C29" w:rsidRDefault="00DC1C29" w:rsidP="00DC1C29"/>
    <w:p w:rsidR="00DC1C29" w:rsidRDefault="00DC1C29" w:rsidP="00DC1C29">
      <w:pPr>
        <w:pStyle w:val="EntradandiceSentencia"/>
      </w:pPr>
      <w:r>
        <w:t>Sala Primera. Sentencia 112/2016, de 20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2514-2012. </w:t>
      </w:r>
      <w:r w:rsidRPr="00DC1C29">
        <w:rPr>
          <w:rStyle w:val="TextoNormalCursivaCaracter"/>
        </w:rPr>
        <w:t xml:space="preserve"> Supuesta vulneración de los derechos a las libertades ideológica y de expresión: manifestaciones encuadrables en el discurso del odio, que incitaban a la violencia, a través del enaltecimiento público del autor de actividades terroristas. Voto particular.</w:t>
      </w:r>
      <w:r>
        <w:tab/>
      </w:r>
      <w:r>
        <w:tab/>
      </w:r>
      <w:r>
        <w:fldChar w:fldCharType="begin"/>
      </w:r>
      <w:r>
        <w:instrText xml:space="preserve"> PAGEREF SENTENCIA_2016_112 \h </w:instrText>
      </w:r>
      <w:r>
        <w:fldChar w:fldCharType="separate"/>
      </w:r>
      <w:r w:rsidR="00C13A87">
        <w:rPr>
          <w:noProof/>
        </w:rPr>
        <w:t>2253</w:t>
      </w:r>
      <w:r>
        <w:fldChar w:fldCharType="end"/>
      </w:r>
    </w:p>
    <w:p w:rsidR="00DC1C29" w:rsidRDefault="00DC1C29" w:rsidP="00DC1C29"/>
    <w:p w:rsidR="00DC1C29" w:rsidRDefault="00DC1C29" w:rsidP="00DC1C29">
      <w:pPr>
        <w:pStyle w:val="EntradandiceSentencia"/>
      </w:pPr>
      <w:r>
        <w:t>Sala Segunda. Sentencia 113/2016, de 20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115-2015. </w:t>
      </w:r>
      <w:r w:rsidRPr="00DC1C29">
        <w:rPr>
          <w:rStyle w:val="TextoNormalCursivaCaracter"/>
        </w:rPr>
        <w:t xml:space="preserve"> Vulneración de los derechos a la tutela judicial efectiva y a un proceso con todas las garantías: sentencia no fundada en Derecho porque inaplica una ley autonómica vigente sin plantear cuestión de inconstitucionalidad (STC 195/2015).</w:t>
      </w:r>
      <w:r>
        <w:tab/>
      </w:r>
      <w:r>
        <w:tab/>
      </w:r>
      <w:r>
        <w:fldChar w:fldCharType="begin"/>
      </w:r>
      <w:r>
        <w:instrText xml:space="preserve"> PAGEREF SENTENCIA_2016_113 \h </w:instrText>
      </w:r>
      <w:r>
        <w:fldChar w:fldCharType="separate"/>
      </w:r>
      <w:r w:rsidR="00C13A87">
        <w:rPr>
          <w:noProof/>
        </w:rPr>
        <w:t>2284</w:t>
      </w:r>
      <w:r>
        <w:fldChar w:fldCharType="end"/>
      </w:r>
    </w:p>
    <w:p w:rsidR="00DC1C29" w:rsidRDefault="00DC1C29" w:rsidP="00DC1C29"/>
    <w:p w:rsidR="00DC1C29" w:rsidRDefault="00DC1C29" w:rsidP="00DC1C29">
      <w:pPr>
        <w:pStyle w:val="EntradandiceSentencia"/>
      </w:pPr>
      <w:r>
        <w:t>Sala Segunda. Sentencia 114/2016, de 20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145-2015. </w:t>
      </w:r>
      <w:r w:rsidRPr="00DC1C29">
        <w:rPr>
          <w:rStyle w:val="TextoNormalCursivaCaracter"/>
        </w:rPr>
        <w:t xml:space="preserve"> Vulneración de los derechos a la tutela judicial efectiva y a un proceso con todas las garantías: Sentencia no fundada en Derecho porque inaplica una ley autonómica vigente sin plantear cuestión de inconstitucionalidad (STC 195/2015).</w:t>
      </w:r>
      <w:r>
        <w:tab/>
      </w:r>
      <w:r>
        <w:tab/>
      </w:r>
      <w:r>
        <w:fldChar w:fldCharType="begin"/>
      </w:r>
      <w:r>
        <w:instrText xml:space="preserve"> PAGEREF SENTENCIA_2016_114 \h </w:instrText>
      </w:r>
      <w:r>
        <w:fldChar w:fldCharType="separate"/>
      </w:r>
      <w:r w:rsidR="00C13A87">
        <w:rPr>
          <w:noProof/>
        </w:rPr>
        <w:t>2294</w:t>
      </w:r>
      <w:r>
        <w:fldChar w:fldCharType="end"/>
      </w:r>
    </w:p>
    <w:p w:rsidR="00DC1C29" w:rsidRDefault="00DC1C29" w:rsidP="00DC1C29"/>
    <w:p w:rsidR="00DC1C29" w:rsidRDefault="00DC1C29" w:rsidP="00DC1C29">
      <w:pPr>
        <w:pStyle w:val="EntradandiceSentencia"/>
      </w:pPr>
      <w:r>
        <w:t>Sala Segunda. Sentencia 115/2016, de 20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582-2015. </w:t>
      </w:r>
      <w:r w:rsidRPr="00DC1C29">
        <w:rPr>
          <w:rStyle w:val="TextoNormalCursivaCaracter"/>
        </w:rPr>
        <w:t xml:space="preserve"> Vulneración de los derechos a la tutela judicial efectiva y a un proceso con todas las garantías: sentencia no fundada en Derecho porque inaplica una ley autonómica vigente sin plantear cuestión de inconstitucionalidad (STC 195/2015).</w:t>
      </w:r>
      <w:r>
        <w:tab/>
      </w:r>
      <w:r>
        <w:tab/>
      </w:r>
      <w:r>
        <w:fldChar w:fldCharType="begin"/>
      </w:r>
      <w:r>
        <w:instrText xml:space="preserve"> PAGEREF SENTENCIA_2016_115 \h </w:instrText>
      </w:r>
      <w:r>
        <w:fldChar w:fldCharType="separate"/>
      </w:r>
      <w:r w:rsidR="00C13A87">
        <w:rPr>
          <w:noProof/>
        </w:rPr>
        <w:t>2301</w:t>
      </w:r>
      <w:r>
        <w:fldChar w:fldCharType="end"/>
      </w:r>
    </w:p>
    <w:p w:rsidR="00DC1C29" w:rsidRDefault="00DC1C29" w:rsidP="00DC1C29"/>
    <w:p w:rsidR="00DC1C29" w:rsidRDefault="00DC1C29" w:rsidP="00DC1C29">
      <w:pPr>
        <w:pStyle w:val="EntradandiceSentencia"/>
      </w:pPr>
      <w:r>
        <w:t>Sala Primera. Sentencia 116/2016, de 20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1663-2015. </w:t>
      </w:r>
      <w:r w:rsidRPr="00DC1C29">
        <w:rPr>
          <w:rStyle w:val="TextoNormalCursivaCaracter"/>
        </w:rPr>
        <w:t xml:space="preserve"> Competencias sobre régimen local: inadmisión de la cuestión de inconstitucionalidad en la que se aduce inconstitucionalidad sobrevenida de un precepto legal autonómico (STC 102/2016). Votos particulares.</w:t>
      </w:r>
      <w:r>
        <w:tab/>
      </w:r>
      <w:r>
        <w:tab/>
      </w:r>
      <w:r>
        <w:fldChar w:fldCharType="begin"/>
      </w:r>
      <w:r>
        <w:instrText xml:space="preserve"> PAGEREF SENTENCIA_2016_116 \h </w:instrText>
      </w:r>
      <w:r>
        <w:fldChar w:fldCharType="separate"/>
      </w:r>
      <w:r w:rsidR="00C13A87">
        <w:rPr>
          <w:noProof/>
        </w:rPr>
        <w:t>2309</w:t>
      </w:r>
      <w:r>
        <w:fldChar w:fldCharType="end"/>
      </w:r>
    </w:p>
    <w:p w:rsidR="00DC1C29" w:rsidRDefault="00DC1C29" w:rsidP="00DC1C29"/>
    <w:p w:rsidR="00DC1C29" w:rsidRDefault="00DC1C29" w:rsidP="00DC1C29">
      <w:pPr>
        <w:pStyle w:val="EntradandiceSentencia"/>
      </w:pPr>
      <w:r>
        <w:t>Sala Segunda. Sentencia 117/2016, de 20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amparo 4924-2015. </w:t>
      </w:r>
      <w:r w:rsidRPr="00DC1C29">
        <w:rPr>
          <w:rStyle w:val="TextoNormalCursivaCaracter"/>
        </w:rPr>
        <w:t xml:space="preserve"> Vulneración del derecho a la presunción de inocencia: sanción impuesta por incumplimiento del deber de identificación veraz del conductor, consecuencia de la negativa del propio identificado a ser tenido como tal (STC 29/2014).</w:t>
      </w:r>
      <w:r>
        <w:tab/>
      </w:r>
      <w:r>
        <w:tab/>
      </w:r>
      <w:r>
        <w:fldChar w:fldCharType="begin"/>
      </w:r>
      <w:r>
        <w:instrText xml:space="preserve"> PAGEREF SENTENCIA_2016_117 \h </w:instrText>
      </w:r>
      <w:r>
        <w:fldChar w:fldCharType="separate"/>
      </w:r>
      <w:r w:rsidR="00C13A87">
        <w:rPr>
          <w:noProof/>
        </w:rPr>
        <w:t>2320</w:t>
      </w:r>
      <w:r>
        <w:fldChar w:fldCharType="end"/>
      </w:r>
    </w:p>
    <w:p w:rsidR="00DC1C29" w:rsidRDefault="00DC1C29" w:rsidP="00DC1C29"/>
    <w:p w:rsidR="00DC1C29" w:rsidRDefault="00DC1C29" w:rsidP="00DC1C29">
      <w:pPr>
        <w:pStyle w:val="EntradandiceSentencia"/>
      </w:pPr>
      <w:r>
        <w:t>Pleno. Sentencia 118/2016, de 23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3443-2010, 4138-2010, 4223-2010, 4224-2010. </w:t>
      </w:r>
      <w:r w:rsidRPr="00DC1C29">
        <w:rPr>
          <w:rStyle w:val="TextoNormalCursivaCaracter"/>
        </w:rPr>
        <w:t xml:space="preserve"> Principios de igualdad, interdicción de la arbitrariedad, solidaridad, unidad de mercado y autonomía financiera; derecho a la tutela judicial efectiva, potestades jurisdiccionales del Tribunal Constitucional y del orden contencioso-administrativo: interpretación conforme de los preceptos legales que establecen un control de las normas forales fiscales compartido entre la jurisdicción constitucional y la ordinaria.</w:t>
      </w:r>
      <w:r>
        <w:tab/>
      </w:r>
      <w:r>
        <w:tab/>
      </w:r>
      <w:r>
        <w:fldChar w:fldCharType="begin"/>
      </w:r>
      <w:r>
        <w:instrText xml:space="preserve"> PAGEREF SENTENCIA_2016_118 \h </w:instrText>
      </w:r>
      <w:r>
        <w:fldChar w:fldCharType="separate"/>
      </w:r>
      <w:r w:rsidR="00C13A87">
        <w:rPr>
          <w:noProof/>
        </w:rPr>
        <w:t>2335</w:t>
      </w:r>
      <w:r>
        <w:fldChar w:fldCharType="end"/>
      </w:r>
    </w:p>
    <w:p w:rsidR="00DC1C29" w:rsidRDefault="00DC1C29" w:rsidP="00DC1C29"/>
    <w:p w:rsidR="00DC1C29" w:rsidRDefault="00DC1C29" w:rsidP="00DC1C29">
      <w:pPr>
        <w:pStyle w:val="EntradandiceSentencia"/>
      </w:pPr>
      <w:r>
        <w:t>Pleno. Sentencia 119/2016, de 23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Recurso de inconstitucionalidad 2218-2013. </w:t>
      </w:r>
      <w:r w:rsidRPr="00DC1C29">
        <w:rPr>
          <w:rStyle w:val="TextoNormalCursivaCaracter"/>
        </w:rPr>
        <w:t xml:space="preserve"> Límites a los decretos-leyes; competencias en materia de ordenación general de la economía y función pública y principio de seguridad jurídica: constitucionalidad de los preceptos legales relativos a la supresión de la paga extraordinaria y de la paga adicional de complemento específico, correspondientes al mes de diciembre de 2012, permisos y vacaciones de los funcionarios públicos, horarios comerciales y régimen de promoción de ventas (SSTC 81/2015 y 156/2015). Voto particular.</w:t>
      </w:r>
      <w:r>
        <w:tab/>
      </w:r>
      <w:r>
        <w:tab/>
      </w:r>
      <w:r>
        <w:fldChar w:fldCharType="begin"/>
      </w:r>
      <w:r>
        <w:instrText xml:space="preserve"> PAGEREF SENTENCIA_2016_119 \h </w:instrText>
      </w:r>
      <w:r>
        <w:fldChar w:fldCharType="separate"/>
      </w:r>
      <w:r w:rsidR="00C13A87">
        <w:rPr>
          <w:noProof/>
        </w:rPr>
        <w:t>2389</w:t>
      </w:r>
      <w:r>
        <w:fldChar w:fldCharType="end"/>
      </w:r>
    </w:p>
    <w:p w:rsidR="00DC1C29" w:rsidRDefault="00DC1C29" w:rsidP="00DC1C29"/>
    <w:p w:rsidR="00DC1C29" w:rsidRDefault="00DC1C29" w:rsidP="00DC1C29">
      <w:pPr>
        <w:pStyle w:val="EntradandiceSentencia"/>
      </w:pPr>
      <w:r>
        <w:t>Pleno. Sentencia 120/2016, de 23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Conflicto positivo de competencia 2304-2014. </w:t>
      </w:r>
      <w:r w:rsidRPr="00DC1C29">
        <w:rPr>
          <w:rStyle w:val="TextoNormalCursivaCaracter"/>
        </w:rPr>
        <w:t xml:space="preserve"> Competencias sobre ordenación general de la economía y energía: nulidad de los preceptos que equiparan la habilitación legal de la potestad reglamentaria con el dictado de resoluciones administrativas y que atribuyen el ejercicio de potestades ejecutivas a la Administración del Estado.</w:t>
      </w:r>
      <w:r>
        <w:tab/>
      </w:r>
      <w:r>
        <w:tab/>
      </w:r>
      <w:r>
        <w:fldChar w:fldCharType="begin"/>
      </w:r>
      <w:r>
        <w:instrText xml:space="preserve"> PAGEREF SENTENCIA_2016_120 \h </w:instrText>
      </w:r>
      <w:r>
        <w:fldChar w:fldCharType="separate"/>
      </w:r>
      <w:r w:rsidR="00C13A87">
        <w:rPr>
          <w:noProof/>
        </w:rPr>
        <w:t>2419</w:t>
      </w:r>
      <w:r>
        <w:fldChar w:fldCharType="end"/>
      </w:r>
    </w:p>
    <w:p w:rsidR="00DC1C29" w:rsidRDefault="00DC1C29" w:rsidP="00DC1C29"/>
    <w:p w:rsidR="00DC1C29" w:rsidRDefault="00DC1C29" w:rsidP="00DC1C29">
      <w:pPr>
        <w:pStyle w:val="EntradandiceSentencia"/>
      </w:pPr>
      <w:r>
        <w:t>Pleno. Sentencia 121/2016, de 23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6244-2014. </w:t>
      </w:r>
      <w:r w:rsidRPr="00DC1C29">
        <w:rPr>
          <w:rStyle w:val="TextoNormalCursivaCaracter"/>
        </w:rPr>
        <w:t xml:space="preserve"> Principio de seguridad jurídica: nulidad del precepto legal que dota de una retroactividad máxima a la regulación del régimen fiscal de los rendimientos derivados del ejercicio de opciones de compra sobre acciones.</w:t>
      </w:r>
      <w:r>
        <w:tab/>
      </w:r>
      <w:r>
        <w:tab/>
      </w:r>
      <w:r>
        <w:fldChar w:fldCharType="begin"/>
      </w:r>
      <w:r>
        <w:instrText xml:space="preserve"> PAGEREF SENTENCIA_2016_121 \h </w:instrText>
      </w:r>
      <w:r>
        <w:fldChar w:fldCharType="separate"/>
      </w:r>
      <w:r w:rsidR="00C13A87">
        <w:rPr>
          <w:noProof/>
        </w:rPr>
        <w:t>2444</w:t>
      </w:r>
      <w:r>
        <w:fldChar w:fldCharType="end"/>
      </w:r>
    </w:p>
    <w:p w:rsidR="00DC1C29" w:rsidRDefault="00DC1C29" w:rsidP="00DC1C29"/>
    <w:p w:rsidR="00DC1C29" w:rsidRDefault="00DC1C29" w:rsidP="00DC1C29">
      <w:pPr>
        <w:pStyle w:val="EntradandiceSentencia"/>
      </w:pPr>
      <w:r>
        <w:t>Pleno. Sentencia 122/2016, de 23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451-2015. </w:t>
      </w:r>
      <w:r w:rsidRPr="00DC1C29">
        <w:rPr>
          <w:rStyle w:val="TextoNormalCursivaCaracter"/>
        </w:rPr>
        <w:t xml:space="preserve"> Principios de interdicción de la arbitrariedad, seguridad jurídica e igualdad: nulidad del precepto legal que deja sin efecto los procedimientos de concurso para la adjudicación de concesiones administrativas para la ocupación y explotación de instalaciones náutico-deportivas pendientes de resolución a la fecha de entrada en vigor de la Ley.</w:t>
      </w:r>
      <w:r>
        <w:tab/>
      </w:r>
      <w:r>
        <w:tab/>
      </w:r>
      <w:r>
        <w:fldChar w:fldCharType="begin"/>
      </w:r>
      <w:r>
        <w:instrText xml:space="preserve"> PAGEREF SENTENCIA_2016_122 \h </w:instrText>
      </w:r>
      <w:r>
        <w:fldChar w:fldCharType="separate"/>
      </w:r>
      <w:r w:rsidR="00C13A87">
        <w:rPr>
          <w:noProof/>
        </w:rPr>
        <w:t>2463</w:t>
      </w:r>
      <w:r>
        <w:fldChar w:fldCharType="end"/>
      </w:r>
    </w:p>
    <w:p w:rsidR="00DC1C29" w:rsidRDefault="00DC1C29" w:rsidP="00DC1C29"/>
    <w:p w:rsidR="00DC1C29" w:rsidRDefault="00DC1C29" w:rsidP="00DC1C29">
      <w:pPr>
        <w:pStyle w:val="EntradandiceSentencia"/>
      </w:pPr>
      <w:r>
        <w:t>Pleno. Sentencia 123/2016, de 23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Cuestión de inconstitucionalidad 703-2015. </w:t>
      </w:r>
      <w:r w:rsidRPr="00DC1C29">
        <w:rPr>
          <w:rStyle w:val="TextoNormalCursivaCaracter"/>
        </w:rPr>
        <w:t xml:space="preserve"> Principio de seguridad jurídica y derechos a la tutela judicial efectiva y a la legalidad sancionadora (non bis in idem); límites materiales de las leyes de presupuestos: nulidad del precepto legal que establece el régimen de protección por desempleo de los liberados de prisión.</w:t>
      </w:r>
      <w:r>
        <w:tab/>
      </w:r>
      <w:r>
        <w:tab/>
      </w:r>
      <w:r>
        <w:fldChar w:fldCharType="begin"/>
      </w:r>
      <w:r>
        <w:instrText xml:space="preserve"> PAGEREF SENTENCIA_2016_123 \h </w:instrText>
      </w:r>
      <w:r>
        <w:fldChar w:fldCharType="separate"/>
      </w:r>
      <w:r w:rsidR="00C13A87">
        <w:rPr>
          <w:noProof/>
        </w:rPr>
        <w:t>2481</w:t>
      </w:r>
      <w:r>
        <w:fldChar w:fldCharType="end"/>
      </w:r>
    </w:p>
    <w:p w:rsidR="00DC1C29" w:rsidRDefault="00DC1C29" w:rsidP="00DC1C29"/>
    <w:p w:rsidR="00DC1C29" w:rsidRDefault="00DC1C29" w:rsidP="00DC1C29">
      <w:pPr>
        <w:pStyle w:val="EntradandiceSentencia"/>
      </w:pPr>
      <w:r>
        <w:t>Pleno. Sentencia 124/2016, de 23 de junio de 2016</w:t>
      </w:r>
    </w:p>
    <w:p w:rsidR="00DC1C29" w:rsidRDefault="00DC1C29" w:rsidP="00DC1C29">
      <w:pPr>
        <w:pStyle w:val="EntradandiceSentencia"/>
      </w:pPr>
    </w:p>
    <w:p w:rsidR="00DC1C29" w:rsidRDefault="00DC1C29" w:rsidP="00DC1C29">
      <w:pPr>
        <w:pStyle w:val="EntradaSumario"/>
      </w:pPr>
      <w:r w:rsidRPr="00DC1C29">
        <w:rPr>
          <w:rStyle w:val="TextoNormalCaracter"/>
        </w:rPr>
        <w:t xml:space="preserve">Conflicto positivo de competencia 4722-2015. </w:t>
      </w:r>
      <w:r w:rsidRPr="00DC1C29">
        <w:rPr>
          <w:rStyle w:val="TextoNormalCursivaCaracter"/>
        </w:rPr>
        <w:t xml:space="preserve"> Competencias sobre ferrocarriles: nulidad de la orden ministerial en cuanto incluye sendas líneas intracomunitarias en la red de ferrocarriles de interés general (STC 245/2012).</w:t>
      </w:r>
      <w:r>
        <w:tab/>
      </w:r>
      <w:r>
        <w:tab/>
      </w:r>
      <w:r>
        <w:fldChar w:fldCharType="begin"/>
      </w:r>
      <w:r>
        <w:instrText xml:space="preserve"> PAGEREF SENTENCIA_2016_124 \h </w:instrText>
      </w:r>
      <w:r>
        <w:fldChar w:fldCharType="separate"/>
      </w:r>
      <w:r w:rsidR="00C13A87">
        <w:rPr>
          <w:noProof/>
        </w:rPr>
        <w:t>2499</w:t>
      </w:r>
      <w:r>
        <w:fldChar w:fldCharType="end"/>
      </w:r>
    </w:p>
    <w:p w:rsidR="00DC1C29" w:rsidRDefault="00DC1C29">
      <w:pPr>
        <w:spacing w:after="160" w:line="259" w:lineRule="auto"/>
      </w:pPr>
      <w:r>
        <w:br w:type="page"/>
      </w:r>
    </w:p>
    <w:p w:rsidR="00DC1C29" w:rsidRDefault="00DC1C29" w:rsidP="00DC1C29"/>
    <w:p w:rsidR="00DC1C29" w:rsidRDefault="00DC1C29" w:rsidP="00DC1C29"/>
    <w:p w:rsidR="00DC1C29" w:rsidRDefault="00DC1C29" w:rsidP="00DC1C29"/>
    <w:p w:rsidR="00DC1C29" w:rsidRDefault="00DC1C29" w:rsidP="00DC1C29">
      <w:pPr>
        <w:pStyle w:val="Ttulondice"/>
      </w:pPr>
      <w:bookmarkStart w:id="3" w:name="SUMARIOSAUTOS"/>
      <w:r>
        <w:t>2. AUTOS: ATC 1/2016 A ATC 134/2016</w:t>
      </w:r>
    </w:p>
    <w:bookmarkEnd w:id="3"/>
    <w:p w:rsidR="00DC1C29" w:rsidRDefault="00DC1C29" w:rsidP="00DC1C29">
      <w:pPr>
        <w:pStyle w:val="Ttulondice"/>
      </w:pPr>
    </w:p>
    <w:p w:rsidR="00DC1C29" w:rsidRDefault="00DC1C29" w:rsidP="00DC1C29">
      <w:pPr>
        <w:pStyle w:val="Ttulondice"/>
      </w:pPr>
    </w:p>
    <w:p w:rsidR="00DC1C29" w:rsidRDefault="00DC1C29" w:rsidP="00DC1C29">
      <w:pPr>
        <w:pStyle w:val="Ttulondice"/>
      </w:pPr>
    </w:p>
    <w:p w:rsidR="00DC1C29" w:rsidRDefault="00DC1C29" w:rsidP="00DC1C29">
      <w:pPr>
        <w:pStyle w:val="Ttulondice"/>
      </w:pPr>
    </w:p>
    <w:p w:rsidR="00DC1C29" w:rsidRDefault="00DC1C29" w:rsidP="00DC1C29">
      <w:pPr>
        <w:pStyle w:val="Ttulondice"/>
      </w:pPr>
    </w:p>
    <w:p w:rsidR="00DC1C29" w:rsidRDefault="00DC1C29" w:rsidP="00DC1C29">
      <w:pPr>
        <w:pStyle w:val="Ttulondice"/>
      </w:pPr>
    </w:p>
    <w:p w:rsidR="00DC1C29" w:rsidRDefault="00DC1C29" w:rsidP="00DC1C29">
      <w:pPr>
        <w:pStyle w:val="Ttulondice"/>
      </w:pPr>
    </w:p>
    <w:p w:rsidR="00DC1C29" w:rsidRDefault="00DC1C29" w:rsidP="00DC1C29">
      <w:pPr>
        <w:pStyle w:val="EntradandiceAuto"/>
      </w:pPr>
      <w:r>
        <w:t>Sala Primera. Auto 1/2016, de 18 de enero de 2016. Acuerda la extinción, por pérdida de objeto, de la pieza separada de suspensión en el recurso de amparo 2995-2013, promovido por doña Carmen Menéndez González Palenzuela en proceso parlamentario.</w:t>
      </w:r>
      <w:r>
        <w:tab/>
      </w:r>
      <w:r>
        <w:tab/>
      </w:r>
      <w:r>
        <w:fldChar w:fldCharType="begin"/>
      </w:r>
      <w:r>
        <w:instrText xml:space="preserve"> PAGEREF AUTO_2016_1 \h </w:instrText>
      </w:r>
      <w:r>
        <w:fldChar w:fldCharType="separate"/>
      </w:r>
      <w:r w:rsidR="00C13A87">
        <w:rPr>
          <w:noProof/>
        </w:rPr>
        <w:t>2529</w:t>
      </w:r>
      <w:r>
        <w:fldChar w:fldCharType="end"/>
      </w:r>
    </w:p>
    <w:p w:rsidR="00163957" w:rsidRDefault="00163957" w:rsidP="00DC1C29"/>
    <w:p w:rsidR="00DC1C29" w:rsidRDefault="00DC1C29" w:rsidP="00DC1C29">
      <w:pPr>
        <w:pStyle w:val="EntradandiceAuto"/>
      </w:pPr>
      <w:r>
        <w:t>Sala Segunda. Auto 2/2016, de 18 de enero de 2016. Deniega la suspensión en el recurso de amparo 2569-2014, promovido por don Félix Ojer Pueyo y otras personas en causa penal.</w:t>
      </w:r>
      <w:r>
        <w:tab/>
      </w:r>
      <w:r>
        <w:tab/>
      </w:r>
      <w:r>
        <w:fldChar w:fldCharType="begin"/>
      </w:r>
      <w:r>
        <w:instrText xml:space="preserve"> PAGEREF AUTO_2016_2 \h </w:instrText>
      </w:r>
      <w:r>
        <w:fldChar w:fldCharType="separate"/>
      </w:r>
      <w:r w:rsidR="00C13A87">
        <w:rPr>
          <w:noProof/>
        </w:rPr>
        <w:t>2532</w:t>
      </w:r>
      <w:r>
        <w:fldChar w:fldCharType="end"/>
      </w:r>
    </w:p>
    <w:p w:rsidR="00DC1C29" w:rsidRDefault="00DC1C29" w:rsidP="00DC1C29"/>
    <w:p w:rsidR="00DC1C29" w:rsidRDefault="00DC1C29" w:rsidP="00DC1C29">
      <w:pPr>
        <w:pStyle w:val="EntradandiceAuto"/>
      </w:pPr>
      <w:r>
        <w:t>Sala Segunda. Auto 3/2016, de 18 de enero de 2016. Deniega la suspensión en el recurso de amparo 2443-2015, promovido por don Ignacio Berenguer Sánchez y otras personas en causa penal.</w:t>
      </w:r>
      <w:r>
        <w:tab/>
      </w:r>
      <w:r>
        <w:tab/>
      </w:r>
      <w:r>
        <w:fldChar w:fldCharType="begin"/>
      </w:r>
      <w:r>
        <w:instrText xml:space="preserve"> PAGEREF AUTO_2016_3 \h </w:instrText>
      </w:r>
      <w:r>
        <w:fldChar w:fldCharType="separate"/>
      </w:r>
      <w:r w:rsidR="00C13A87">
        <w:rPr>
          <w:noProof/>
        </w:rPr>
        <w:t>2535</w:t>
      </w:r>
      <w:r>
        <w:fldChar w:fldCharType="end"/>
      </w:r>
    </w:p>
    <w:p w:rsidR="00DC1C29" w:rsidRDefault="00DC1C29" w:rsidP="00DC1C29"/>
    <w:p w:rsidR="00DC1C29" w:rsidRDefault="00DC1C29" w:rsidP="00DC1C29">
      <w:pPr>
        <w:pStyle w:val="EntradandiceAuto"/>
      </w:pPr>
      <w:r>
        <w:t>Sección Segunda. Auto 4/2016, de 18 de enero de 2016. Desestima el recurso de súplica del Ministerio Fiscal sobre inadmisión del recurso de amparo 3926-2015, promovido por Planeas Promotores, S.L., en pleito civil.</w:t>
      </w:r>
      <w:r>
        <w:tab/>
      </w:r>
      <w:r>
        <w:tab/>
      </w:r>
      <w:r>
        <w:fldChar w:fldCharType="begin"/>
      </w:r>
      <w:r>
        <w:instrText xml:space="preserve"> PAGEREF AUTO_2016_4 \h </w:instrText>
      </w:r>
      <w:r>
        <w:fldChar w:fldCharType="separate"/>
      </w:r>
      <w:r w:rsidR="00C13A87">
        <w:rPr>
          <w:noProof/>
        </w:rPr>
        <w:t>2538</w:t>
      </w:r>
      <w:r>
        <w:fldChar w:fldCharType="end"/>
      </w:r>
    </w:p>
    <w:p w:rsidR="00DC1C29" w:rsidRDefault="00DC1C29" w:rsidP="00DC1C29"/>
    <w:p w:rsidR="00DC1C29" w:rsidRDefault="00DC1C29" w:rsidP="00DC1C29">
      <w:pPr>
        <w:pStyle w:val="EntradandiceAuto"/>
      </w:pPr>
      <w:r>
        <w:t>Sala Segunda. Auto 5/2016, de 18 de enero de 2016. Acuerda la extinción, por pérdida de objeto, de la cuestión de inconstitucionalidad 5964-2015, planteada por el Juzgado de lo Contencioso-Administrativo núm. 1 de Santander en relación con el artículo 65 bis.1 de la Ley 2/2001, de 25 de junio, de ordenación territorial y del régimen urbanístico del suelo de Cantabria, añadido por el art. 1 de la Ley 4/2013, de 20 de junio.</w:t>
      </w:r>
      <w:r>
        <w:tab/>
      </w:r>
      <w:r>
        <w:tab/>
      </w:r>
      <w:r>
        <w:fldChar w:fldCharType="begin"/>
      </w:r>
      <w:r>
        <w:instrText xml:space="preserve"> PAGEREF AUTO_2016_5 \h </w:instrText>
      </w:r>
      <w:r>
        <w:fldChar w:fldCharType="separate"/>
      </w:r>
      <w:r w:rsidR="00C13A87">
        <w:rPr>
          <w:noProof/>
        </w:rPr>
        <w:t>2544</w:t>
      </w:r>
      <w:r>
        <w:fldChar w:fldCharType="end"/>
      </w:r>
    </w:p>
    <w:p w:rsidR="00DC1C29" w:rsidRDefault="00DC1C29" w:rsidP="00DC1C29"/>
    <w:p w:rsidR="00DC1C29" w:rsidRDefault="00DC1C29" w:rsidP="00DC1C29">
      <w:pPr>
        <w:pStyle w:val="EntradandiceAuto"/>
      </w:pPr>
      <w:r>
        <w:t>Pleno. Auto 6/2016, de 19 de enero de 2016. Inadmite a trámite la cuestión de inconstitucionalidad 6246-2014, planteada por la Sala de lo Contencioso-Administrativo del Tribunal Superior de Justicia de Castilla-La Mancha en relación con diversos preceptos del Real Decreto Legislativo 2/2008, de 20 de junio, por el que se aprueba el texto refundido de la Ley de suelo.</w:t>
      </w:r>
      <w:r>
        <w:tab/>
      </w:r>
      <w:r>
        <w:tab/>
      </w:r>
      <w:r>
        <w:fldChar w:fldCharType="begin"/>
      </w:r>
      <w:r>
        <w:instrText xml:space="preserve"> PAGEREF AUTO_2016_6 \h </w:instrText>
      </w:r>
      <w:r>
        <w:fldChar w:fldCharType="separate"/>
      </w:r>
      <w:r w:rsidR="00C13A87">
        <w:rPr>
          <w:noProof/>
        </w:rPr>
        <w:t>2550</w:t>
      </w:r>
      <w:r>
        <w:fldChar w:fldCharType="end"/>
      </w:r>
    </w:p>
    <w:p w:rsidR="00DC1C29" w:rsidRDefault="00DC1C29" w:rsidP="00DC1C29"/>
    <w:p w:rsidR="00DC1C29" w:rsidRDefault="00DC1C29" w:rsidP="00DC1C29">
      <w:pPr>
        <w:pStyle w:val="EntradandiceAuto"/>
      </w:pPr>
      <w:r>
        <w:t>Pleno. Auto 7/2016, de 19 de enero de 2016. Inadmite a trámite la cuestión de inconstitucionalidad 7476-2014, planteada por la Sala de lo Contencioso-Administrativo del Tribunal Superior de Justicia de Castilla-La Mancha en relación con diversos preceptos del Real Decreto Legislativo 2/2008, de 20 de junio, por el que se aprueba el texto refundido de la Ley de suelo.</w:t>
      </w:r>
      <w:r>
        <w:tab/>
      </w:r>
      <w:r>
        <w:tab/>
      </w:r>
      <w:r>
        <w:fldChar w:fldCharType="begin"/>
      </w:r>
      <w:r>
        <w:instrText xml:space="preserve"> PAGEREF AUTO_2016_7 \h </w:instrText>
      </w:r>
      <w:r>
        <w:fldChar w:fldCharType="separate"/>
      </w:r>
      <w:r w:rsidR="00C13A87">
        <w:rPr>
          <w:noProof/>
        </w:rPr>
        <w:t>2560</w:t>
      </w:r>
      <w:r>
        <w:fldChar w:fldCharType="end"/>
      </w:r>
    </w:p>
    <w:p w:rsidR="00DC1C29" w:rsidRDefault="00DC1C29" w:rsidP="00DC1C29"/>
    <w:p w:rsidR="00DC1C29" w:rsidRDefault="00DC1C29" w:rsidP="00DC1C29">
      <w:pPr>
        <w:pStyle w:val="EntradandiceAuto"/>
      </w:pPr>
      <w:r>
        <w:t>Pleno. Auto 8/2016, de 19 de enero de 2016. Inadmite a trámite la cuestión de inconstitucionalidad 7560-2014, planteada por la Sala de lo Contencioso-Administrativo del Tribunal Superior de Justicia de Castilla-La Mancha en relación con diversos preceptos del Real Decreto Legislativo 2/2008, de 20 de junio, por el que se aprueba el texto refundido de la Ley de suelo.</w:t>
      </w:r>
      <w:r>
        <w:tab/>
      </w:r>
      <w:r>
        <w:tab/>
      </w:r>
      <w:r>
        <w:fldChar w:fldCharType="begin"/>
      </w:r>
      <w:r>
        <w:instrText xml:space="preserve"> PAGEREF AUTO_2016_8 \h </w:instrText>
      </w:r>
      <w:r>
        <w:fldChar w:fldCharType="separate"/>
      </w:r>
      <w:r w:rsidR="00C13A87">
        <w:rPr>
          <w:noProof/>
        </w:rPr>
        <w:t>2570</w:t>
      </w:r>
      <w:r>
        <w:fldChar w:fldCharType="end"/>
      </w:r>
    </w:p>
    <w:p w:rsidR="00DC1C29" w:rsidRDefault="00DC1C29" w:rsidP="00DC1C29"/>
    <w:p w:rsidR="00DC1C29" w:rsidRDefault="00DC1C29" w:rsidP="00DC1C29">
      <w:pPr>
        <w:pStyle w:val="EntradandiceAuto"/>
      </w:pPr>
      <w:r>
        <w:t>Pleno. Auto 9/2016, de 19 de enero de 2016. Inadmite a trámite la cuestión de inconstitucionalidad 7561-2014, planteada por la Sala de lo Contencioso-Administrativo del Tribunal Superior de Justicia de Andalucía en relación con el artículo 17.8 de la Ley 17/2012, de 27 de diciembre, de presupuestos generales del Estado para 2013.</w:t>
      </w:r>
      <w:r>
        <w:tab/>
      </w:r>
      <w:r>
        <w:tab/>
      </w:r>
      <w:r>
        <w:fldChar w:fldCharType="begin"/>
      </w:r>
      <w:r>
        <w:instrText xml:space="preserve"> PAGEREF AUTO_2016_9 \h </w:instrText>
      </w:r>
      <w:r>
        <w:fldChar w:fldCharType="separate"/>
      </w:r>
      <w:r w:rsidR="00C13A87">
        <w:rPr>
          <w:noProof/>
        </w:rPr>
        <w:t>2580</w:t>
      </w:r>
      <w:r>
        <w:fldChar w:fldCharType="end"/>
      </w:r>
    </w:p>
    <w:p w:rsidR="00DC1C29" w:rsidRDefault="00DC1C29" w:rsidP="00DC1C29"/>
    <w:p w:rsidR="00DC1C29" w:rsidRDefault="00DC1C29" w:rsidP="00DC1C29">
      <w:pPr>
        <w:pStyle w:val="EntradandiceAuto"/>
      </w:pPr>
      <w:r>
        <w:t>Pleno. Auto 10/2016, de 19 de enero de 2016. Inadmite a trámite la cuestión de inconstitucionalidad 7766-2014, planteada por la Sala de lo Contencioso-Administrativo del Tribunal Superior de Justicia de Castilla-La Mancha en relación con los artículos 23.1 a) y 2 del Real Decreto Legislativo 2/2008, de 20 de junio, por el que se aprueba el texto refundido de la Ley de suelo.</w:t>
      </w:r>
      <w:r>
        <w:tab/>
      </w:r>
      <w:r>
        <w:tab/>
      </w:r>
      <w:r>
        <w:fldChar w:fldCharType="begin"/>
      </w:r>
      <w:r>
        <w:instrText xml:space="preserve"> PAGEREF AUTO_2016_10 \h </w:instrText>
      </w:r>
      <w:r>
        <w:fldChar w:fldCharType="separate"/>
      </w:r>
      <w:r w:rsidR="00C13A87">
        <w:rPr>
          <w:noProof/>
        </w:rPr>
        <w:t>2584</w:t>
      </w:r>
      <w:r>
        <w:fldChar w:fldCharType="end"/>
      </w:r>
    </w:p>
    <w:p w:rsidR="00DC1C29" w:rsidRDefault="00DC1C29" w:rsidP="00DC1C29"/>
    <w:p w:rsidR="00DC1C29" w:rsidRDefault="00DC1C29" w:rsidP="00DC1C29">
      <w:pPr>
        <w:pStyle w:val="EntradandiceAuto"/>
      </w:pPr>
      <w:r>
        <w:t>Pleno. Auto 11/2016, de 19 de enero de 2016. Inadmite a trámite la cuestión de inconstitucionalidad 4613-2015, planteada por la Sala de lo Contencioso-Administrativo del Tribunal Superior de Justicia de Castilla-León en relación con el artículo 38.4 del Real Decreto Legislativo 670/1987, de 30 de abril, por el que se aprueba el texto refundido de la Ley de clases pasivas del Estado.</w:t>
      </w:r>
      <w:r>
        <w:tab/>
      </w:r>
      <w:r>
        <w:tab/>
      </w:r>
      <w:r>
        <w:fldChar w:fldCharType="begin"/>
      </w:r>
      <w:r>
        <w:instrText xml:space="preserve"> PAGEREF AUTO_2016_11 \h </w:instrText>
      </w:r>
      <w:r>
        <w:fldChar w:fldCharType="separate"/>
      </w:r>
      <w:r w:rsidR="00C13A87">
        <w:rPr>
          <w:noProof/>
        </w:rPr>
        <w:t>2594</w:t>
      </w:r>
      <w:r>
        <w:fldChar w:fldCharType="end"/>
      </w:r>
    </w:p>
    <w:p w:rsidR="00DC1C29" w:rsidRDefault="00DC1C29" w:rsidP="00DC1C29"/>
    <w:p w:rsidR="00DC1C29" w:rsidRDefault="00DC1C29" w:rsidP="00DC1C29">
      <w:pPr>
        <w:pStyle w:val="EntradandiceAuto"/>
      </w:pPr>
      <w:r>
        <w:t>Pleno. Auto 12/2016, de 19 de enero de 2016. Inadmite a trámite la cuestión de inconstitucionalidad 4650-2015, planteada por la Sala de lo Contencioso-Administrativo del Tribunal Superior de Justicia de Madrid en relación con diversos preceptos del Real Decreto-ley 9/2008, de 28 de noviembre, por el que se aprueba el fondo estatal de inversión local.</w:t>
      </w:r>
      <w:r>
        <w:tab/>
      </w:r>
      <w:r>
        <w:tab/>
      </w:r>
      <w:r>
        <w:fldChar w:fldCharType="begin"/>
      </w:r>
      <w:r>
        <w:instrText xml:space="preserve"> PAGEREF AUTO_2016_12 \h </w:instrText>
      </w:r>
      <w:r>
        <w:fldChar w:fldCharType="separate"/>
      </w:r>
      <w:r w:rsidR="00C13A87">
        <w:rPr>
          <w:noProof/>
        </w:rPr>
        <w:t>2604</w:t>
      </w:r>
      <w:r>
        <w:fldChar w:fldCharType="end"/>
      </w:r>
    </w:p>
    <w:p w:rsidR="00DC1C29" w:rsidRDefault="00DC1C29" w:rsidP="00DC1C29"/>
    <w:p w:rsidR="00DC1C29" w:rsidRDefault="00DC1C29" w:rsidP="00DC1C29">
      <w:pPr>
        <w:pStyle w:val="EntradandiceAuto"/>
      </w:pPr>
      <w:r>
        <w:t>Pleno. Auto 13/2016, de 19 de enero de 2016. Inadmite a trámite la cuestión de inconstitucionalidad 4993-2015, planteada por la Sala de lo Social del Tribunal Superior de Justicia de Murcia en relación con el artículo 2 del Real Decreto-ley 20/2012, de 13 de julio, de medidas para garantizar la estabilidad presupuestaria y de fomento de la competitividad y el artículo 2.1 de la Ley de la Asamblea Regional de Murcia 9/2012, de 8 de noviembre, de adaptación de la normativa regional en materia de función pública al Real Decreto-ley 20/2012.</w:t>
      </w:r>
      <w:r>
        <w:tab/>
      </w:r>
      <w:r>
        <w:tab/>
      </w:r>
      <w:r>
        <w:fldChar w:fldCharType="begin"/>
      </w:r>
      <w:r>
        <w:instrText xml:space="preserve"> PAGEREF AUTO_2016_13 \h </w:instrText>
      </w:r>
      <w:r>
        <w:fldChar w:fldCharType="separate"/>
      </w:r>
      <w:r w:rsidR="00C13A87">
        <w:rPr>
          <w:noProof/>
        </w:rPr>
        <w:t>2609</w:t>
      </w:r>
      <w:r>
        <w:fldChar w:fldCharType="end"/>
      </w:r>
    </w:p>
    <w:p w:rsidR="00DC1C29" w:rsidRDefault="00DC1C29" w:rsidP="00DC1C29"/>
    <w:p w:rsidR="00DC1C29" w:rsidRDefault="00DC1C29" w:rsidP="00DC1C29">
      <w:pPr>
        <w:pStyle w:val="EntradandiceAuto"/>
      </w:pPr>
      <w:r>
        <w:t>Pleno. Auto 14/2016, de 19 de enero de 2016. Inadmite a trámite la cuestión de inconstitucionalidad 5153-2015, planteada por el Juzgado de lo Contencioso-Administrativo núm. 34 de Madrid en relación con el artículo 48 f) de la Ley 7/2007, de 12 de abril, del estatuto básico del empleado público.</w:t>
      </w:r>
      <w:r>
        <w:tab/>
      </w:r>
      <w:r>
        <w:tab/>
      </w:r>
      <w:r>
        <w:fldChar w:fldCharType="begin"/>
      </w:r>
      <w:r>
        <w:instrText xml:space="preserve"> PAGEREF AUTO_2016_14 \h </w:instrText>
      </w:r>
      <w:r>
        <w:fldChar w:fldCharType="separate"/>
      </w:r>
      <w:r w:rsidR="00C13A87">
        <w:rPr>
          <w:noProof/>
        </w:rPr>
        <w:t>2614</w:t>
      </w:r>
      <w:r>
        <w:fldChar w:fldCharType="end"/>
      </w:r>
    </w:p>
    <w:p w:rsidR="00DC1C29" w:rsidRDefault="00DC1C29" w:rsidP="00DC1C29"/>
    <w:p w:rsidR="00DC1C29" w:rsidRDefault="00DC1C29" w:rsidP="00DC1C29">
      <w:pPr>
        <w:pStyle w:val="EntradandiceAuto"/>
      </w:pPr>
      <w:r>
        <w:t>Sección Tercera. Auto 15/2016, de 20 de enero de 2016. Acuerda el desistimiento en el recurso de amparo 5401-2015, promovido en  pleito civil.</w:t>
      </w:r>
      <w:r>
        <w:tab/>
      </w:r>
      <w:r>
        <w:tab/>
      </w:r>
      <w:r>
        <w:fldChar w:fldCharType="begin"/>
      </w:r>
      <w:r>
        <w:instrText xml:space="preserve"> PAGEREF AUTO_2016_15 \h </w:instrText>
      </w:r>
      <w:r>
        <w:fldChar w:fldCharType="separate"/>
      </w:r>
      <w:r w:rsidR="00C13A87">
        <w:rPr>
          <w:noProof/>
        </w:rPr>
        <w:t>2623</w:t>
      </w:r>
      <w:r>
        <w:fldChar w:fldCharType="end"/>
      </w:r>
    </w:p>
    <w:p w:rsidR="00DC1C29" w:rsidRDefault="00DC1C29" w:rsidP="00DC1C29"/>
    <w:p w:rsidR="00DC1C29" w:rsidRDefault="00DC1C29" w:rsidP="00DC1C29">
      <w:pPr>
        <w:pStyle w:val="EntradandiceAuto"/>
      </w:pPr>
      <w:r>
        <w:t>Sección Segunda. Auto 16/2016, de 25 de enero de 2016. Acuerda el desistimiento en el recurso de amparo 3698-2014, promovido en proceso contencioso-administrativo.</w:t>
      </w:r>
      <w:r>
        <w:tab/>
      </w:r>
      <w:r>
        <w:tab/>
      </w:r>
      <w:r>
        <w:fldChar w:fldCharType="begin"/>
      </w:r>
      <w:r>
        <w:instrText xml:space="preserve"> PAGEREF AUTO_2016_16 \h </w:instrText>
      </w:r>
      <w:r>
        <w:fldChar w:fldCharType="separate"/>
      </w:r>
      <w:r w:rsidR="00C13A87">
        <w:rPr>
          <w:noProof/>
        </w:rPr>
        <w:t>2624</w:t>
      </w:r>
      <w:r>
        <w:fldChar w:fldCharType="end"/>
      </w:r>
    </w:p>
    <w:p w:rsidR="00DC1C29" w:rsidRDefault="00DC1C29" w:rsidP="00DC1C29"/>
    <w:p w:rsidR="00DC1C29" w:rsidRDefault="00DC1C29" w:rsidP="00DC1C29">
      <w:pPr>
        <w:pStyle w:val="EntradandiceAuto"/>
      </w:pPr>
      <w:r>
        <w:t>Sala Primera. Auto 17/2016, de 1 de febrero de 2016. Deniega la suspensión en el recurso de amparo 4657-2014, promovido por don Christopher Frank Carandini Lee en pleito civil.</w:t>
      </w:r>
      <w:r>
        <w:tab/>
      </w:r>
      <w:r>
        <w:tab/>
      </w:r>
      <w:r>
        <w:fldChar w:fldCharType="begin"/>
      </w:r>
      <w:r>
        <w:instrText xml:space="preserve"> PAGEREF AUTO_2016_17 \h </w:instrText>
      </w:r>
      <w:r>
        <w:fldChar w:fldCharType="separate"/>
      </w:r>
      <w:r w:rsidR="00C13A87">
        <w:rPr>
          <w:noProof/>
        </w:rPr>
        <w:t>2625</w:t>
      </w:r>
      <w:r>
        <w:fldChar w:fldCharType="end"/>
      </w:r>
    </w:p>
    <w:p w:rsidR="00DC1C29" w:rsidRDefault="00DC1C29" w:rsidP="00DC1C29"/>
    <w:p w:rsidR="00DC1C29" w:rsidRDefault="00DC1C29" w:rsidP="00DC1C29">
      <w:pPr>
        <w:pStyle w:val="EntradandiceAuto"/>
      </w:pPr>
      <w:r>
        <w:t>Sala Primera. Auto 18/2016, de 1 de febrero de 2016. Declara que no se ha producido funcionamiento anormal en la tramitación del recurso de amparo 7023-2014, promovido por don Litterio Tudisco en pleito civil.</w:t>
      </w:r>
      <w:r>
        <w:tab/>
      </w:r>
      <w:r>
        <w:tab/>
      </w:r>
      <w:r>
        <w:fldChar w:fldCharType="begin"/>
      </w:r>
      <w:r>
        <w:instrText xml:space="preserve"> PAGEREF AUTO_2016_18 \h </w:instrText>
      </w:r>
      <w:r>
        <w:fldChar w:fldCharType="separate"/>
      </w:r>
      <w:r w:rsidR="00C13A87">
        <w:rPr>
          <w:noProof/>
        </w:rPr>
        <w:t>2628</w:t>
      </w:r>
      <w:r>
        <w:fldChar w:fldCharType="end"/>
      </w:r>
    </w:p>
    <w:p w:rsidR="00DC1C29" w:rsidRDefault="00DC1C29" w:rsidP="00DC1C29"/>
    <w:p w:rsidR="00DC1C29" w:rsidRDefault="00DC1C29" w:rsidP="00DC1C29">
      <w:pPr>
        <w:pStyle w:val="EntradandiceAuto"/>
      </w:pPr>
      <w:r>
        <w:t>Sala Primera. Auto 19/2016, de 1 de febrero de 2016. Deniega la suspensión en el recurso de amparo 442-2015, promovido por don Christopher Frank Carandini Lee en pleito civil.</w:t>
      </w:r>
      <w:r>
        <w:tab/>
      </w:r>
      <w:r>
        <w:tab/>
      </w:r>
      <w:r>
        <w:fldChar w:fldCharType="begin"/>
      </w:r>
      <w:r>
        <w:instrText xml:space="preserve"> PAGEREF AUTO_2016_19 \h </w:instrText>
      </w:r>
      <w:r>
        <w:fldChar w:fldCharType="separate"/>
      </w:r>
      <w:r w:rsidR="00C13A87">
        <w:rPr>
          <w:noProof/>
        </w:rPr>
        <w:t>2632</w:t>
      </w:r>
      <w:r>
        <w:fldChar w:fldCharType="end"/>
      </w:r>
    </w:p>
    <w:p w:rsidR="00DC1C29" w:rsidRDefault="00DC1C29" w:rsidP="00DC1C29"/>
    <w:p w:rsidR="00DC1C29" w:rsidRDefault="00DC1C29" w:rsidP="00DC1C29">
      <w:pPr>
        <w:pStyle w:val="EntradandiceAuto"/>
      </w:pPr>
      <w:r>
        <w:t>Sección Segunda. Auto 20/2016, de 1 de febrero de 2016. Acuerda el desistimiento en el recurso de amparo 4732-2015, promovido en causa penal.</w:t>
      </w:r>
      <w:r>
        <w:tab/>
      </w:r>
      <w:r>
        <w:tab/>
      </w:r>
      <w:r>
        <w:fldChar w:fldCharType="begin"/>
      </w:r>
      <w:r>
        <w:instrText xml:space="preserve"> PAGEREF AUTO_2016_20 \h </w:instrText>
      </w:r>
      <w:r>
        <w:fldChar w:fldCharType="separate"/>
      </w:r>
      <w:r w:rsidR="00C13A87">
        <w:rPr>
          <w:noProof/>
        </w:rPr>
        <w:t>2636</w:t>
      </w:r>
      <w:r>
        <w:fldChar w:fldCharType="end"/>
      </w:r>
    </w:p>
    <w:p w:rsidR="00DC1C29" w:rsidRDefault="00DC1C29" w:rsidP="00DC1C29"/>
    <w:p w:rsidR="00DC1C29" w:rsidRDefault="00DC1C29" w:rsidP="00DC1C29">
      <w:pPr>
        <w:pStyle w:val="EntradandiceAuto"/>
      </w:pPr>
      <w:r>
        <w:t>Pleno. Auto 21/2016, de 2 de febrero de 2016. Inadmite a trámite la cuestión de inconstitucionalidad 951-2015, planteada por la Sala de lo Contencioso-Administrativo del Tribunal Superior de Justicia de Castilla-La Mancha en relación con varios preceptos del Real Decreto Legislativo 2/2008, de 20 de junio, por el que se aprueba el texto refundido de la Ley de suelo.</w:t>
      </w:r>
      <w:r>
        <w:tab/>
      </w:r>
      <w:r>
        <w:tab/>
      </w:r>
      <w:r>
        <w:fldChar w:fldCharType="begin"/>
      </w:r>
      <w:r>
        <w:instrText xml:space="preserve"> PAGEREF AUTO_2016_21 \h </w:instrText>
      </w:r>
      <w:r>
        <w:fldChar w:fldCharType="separate"/>
      </w:r>
      <w:r w:rsidR="00C13A87">
        <w:rPr>
          <w:noProof/>
        </w:rPr>
        <w:t>2637</w:t>
      </w:r>
      <w:r>
        <w:fldChar w:fldCharType="end"/>
      </w:r>
    </w:p>
    <w:p w:rsidR="00DC1C29" w:rsidRDefault="00DC1C29" w:rsidP="00DC1C29"/>
    <w:p w:rsidR="00DC1C29" w:rsidRDefault="00DC1C29" w:rsidP="00DC1C29">
      <w:pPr>
        <w:pStyle w:val="EntradandiceAuto"/>
      </w:pPr>
      <w:r>
        <w:t>Pleno. Auto 22/2016, de 2 de febrero de 2016. Inadmite a trámite la cuestión de inconstitucionalidad 1456-2015, planteada por la Sala de lo Contencioso-Administrativo del Tribunal Superior de Justicia de Castilla-La Mancha en relación con varios preceptos del Real Decreto Legislativo 2/2008, de 20 de junio, por el que se aprueba el texto refundido de la Ley de suelo.</w:t>
      </w:r>
      <w:r>
        <w:tab/>
      </w:r>
      <w:r>
        <w:tab/>
      </w:r>
      <w:r>
        <w:fldChar w:fldCharType="begin"/>
      </w:r>
      <w:r>
        <w:instrText xml:space="preserve"> PAGEREF AUTO_2016_22 \h </w:instrText>
      </w:r>
      <w:r>
        <w:fldChar w:fldCharType="separate"/>
      </w:r>
      <w:r w:rsidR="00C13A87">
        <w:rPr>
          <w:noProof/>
        </w:rPr>
        <w:t>2647</w:t>
      </w:r>
      <w:r>
        <w:fldChar w:fldCharType="end"/>
      </w:r>
    </w:p>
    <w:p w:rsidR="00DC1C29" w:rsidRDefault="00DC1C29" w:rsidP="00DC1C29"/>
    <w:p w:rsidR="00DC1C29" w:rsidRDefault="00DC1C29" w:rsidP="00DC1C29">
      <w:pPr>
        <w:pStyle w:val="EntradandiceAuto"/>
      </w:pPr>
      <w:r>
        <w:t>Pleno. Auto 23/2016, de 3 de febrero de 2016. Inadmite a trámite la cuestión de inconstitucionalidad 6576-2015, planteada por la Sala de lo Contencioso-Administrativo del Tribunal Superior de Justicia de Galicia en relación con el artículo 96 de la Ley del Parlamento de Galicia 9/2002, de 30 de diciembre, de ordenación urbanística y protección del medio rural de Galicia.</w:t>
      </w:r>
      <w:r>
        <w:tab/>
      </w:r>
      <w:r>
        <w:tab/>
      </w:r>
      <w:r>
        <w:fldChar w:fldCharType="begin"/>
      </w:r>
      <w:r>
        <w:instrText xml:space="preserve"> PAGEREF AUTO_2016_23 \h </w:instrText>
      </w:r>
      <w:r>
        <w:fldChar w:fldCharType="separate"/>
      </w:r>
      <w:r w:rsidR="00C13A87">
        <w:rPr>
          <w:noProof/>
        </w:rPr>
        <w:t>2655</w:t>
      </w:r>
      <w:r>
        <w:fldChar w:fldCharType="end"/>
      </w:r>
    </w:p>
    <w:p w:rsidR="00DC1C29" w:rsidRDefault="00DC1C29" w:rsidP="00DC1C29"/>
    <w:p w:rsidR="00DC1C29" w:rsidRDefault="00DC1C29" w:rsidP="00DC1C29">
      <w:pPr>
        <w:pStyle w:val="EntradandiceAuto"/>
      </w:pPr>
      <w:r>
        <w:t>Sección Segunda. Auto 24/2016, de 4 de febrero de 2016. Desestima el recurso de súplica del Ministerio Fiscal sobre inadmisión del recurso de amparo 7093-2014, promovido por don Aitor Zuzaya Pagola y otras personas en proceso contencioso-administrativo.</w:t>
      </w:r>
      <w:r>
        <w:tab/>
      </w:r>
      <w:r>
        <w:tab/>
      </w:r>
      <w:r>
        <w:fldChar w:fldCharType="begin"/>
      </w:r>
      <w:r>
        <w:instrText xml:space="preserve"> PAGEREF AUTO_2016_24 \h </w:instrText>
      </w:r>
      <w:r>
        <w:fldChar w:fldCharType="separate"/>
      </w:r>
      <w:r w:rsidR="00C13A87">
        <w:rPr>
          <w:noProof/>
        </w:rPr>
        <w:t>2664</w:t>
      </w:r>
      <w:r>
        <w:fldChar w:fldCharType="end"/>
      </w:r>
    </w:p>
    <w:p w:rsidR="00DC1C29" w:rsidRDefault="00DC1C29" w:rsidP="00DC1C29"/>
    <w:p w:rsidR="00DC1C29" w:rsidRDefault="00DC1C29" w:rsidP="00DC1C29">
      <w:pPr>
        <w:pStyle w:val="EntradandiceAuto"/>
      </w:pPr>
      <w:r>
        <w:t>Sección Cuarta. Auto 25/2016, de 5 de febrero de 2016. Acuerda el desistimiento en el recurso de amparo 3931-2015, promovido en pleito civil.</w:t>
      </w:r>
      <w:r>
        <w:tab/>
      </w:r>
      <w:r>
        <w:tab/>
      </w:r>
      <w:r>
        <w:fldChar w:fldCharType="begin"/>
      </w:r>
      <w:r>
        <w:instrText xml:space="preserve"> PAGEREF AUTO_2016_25 \h </w:instrText>
      </w:r>
      <w:r>
        <w:fldChar w:fldCharType="separate"/>
      </w:r>
      <w:r w:rsidR="00C13A87">
        <w:rPr>
          <w:noProof/>
        </w:rPr>
        <w:t>2667</w:t>
      </w:r>
      <w:r>
        <w:fldChar w:fldCharType="end"/>
      </w:r>
    </w:p>
    <w:p w:rsidR="00DC1C29" w:rsidRDefault="00DC1C29" w:rsidP="00DC1C29"/>
    <w:p w:rsidR="00DC1C29" w:rsidRDefault="00DC1C29" w:rsidP="00DC1C29">
      <w:pPr>
        <w:pStyle w:val="EntradandiceAuto"/>
      </w:pPr>
      <w:r>
        <w:t>Sección Cuarta. Auto 26/2016, de 5 de febrero de 2016. Acuerda el desistimiento en el recurso de amparo 4862-2015, promovido en litigio social.</w:t>
      </w:r>
      <w:r>
        <w:tab/>
      </w:r>
      <w:r>
        <w:tab/>
      </w:r>
      <w:r>
        <w:fldChar w:fldCharType="begin"/>
      </w:r>
      <w:r>
        <w:instrText xml:space="preserve"> PAGEREF AUTO_2016_26 \h </w:instrText>
      </w:r>
      <w:r>
        <w:fldChar w:fldCharType="separate"/>
      </w:r>
      <w:r w:rsidR="00C13A87">
        <w:rPr>
          <w:noProof/>
        </w:rPr>
        <w:t>2668</w:t>
      </w:r>
      <w:r>
        <w:fldChar w:fldCharType="end"/>
      </w:r>
    </w:p>
    <w:p w:rsidR="00DC1C29" w:rsidRDefault="00DC1C29" w:rsidP="00DC1C29"/>
    <w:p w:rsidR="00DC1C29" w:rsidRDefault="00DC1C29" w:rsidP="00DC1C29">
      <w:pPr>
        <w:pStyle w:val="EntradandiceAuto"/>
      </w:pPr>
      <w:r>
        <w:t>Sección Segunda. Auto 27/2016, de 8 de febrero de 2016. Desestima el recurso de súplica del Ministerio Fiscal sobre inadmisión del recurso de amparo 4983-2015, promovido por don Andrés Martínez López-Puigcerver y otra persona en pleito civil.</w:t>
      </w:r>
      <w:r>
        <w:tab/>
      </w:r>
      <w:r>
        <w:tab/>
      </w:r>
      <w:r>
        <w:fldChar w:fldCharType="begin"/>
      </w:r>
      <w:r>
        <w:instrText xml:space="preserve"> PAGEREF AUTO_2016_27 \h </w:instrText>
      </w:r>
      <w:r>
        <w:fldChar w:fldCharType="separate"/>
      </w:r>
      <w:r w:rsidR="00C13A87">
        <w:rPr>
          <w:noProof/>
        </w:rPr>
        <w:t>2669</w:t>
      </w:r>
      <w:r>
        <w:fldChar w:fldCharType="end"/>
      </w:r>
    </w:p>
    <w:p w:rsidR="00DC1C29" w:rsidRDefault="00DC1C29" w:rsidP="00DC1C29"/>
    <w:p w:rsidR="00DC1C29" w:rsidRDefault="00DC1C29" w:rsidP="00DC1C29">
      <w:pPr>
        <w:pStyle w:val="EntradandiceAuto"/>
      </w:pPr>
      <w:r>
        <w:t>Sección Cuarta. Auto 28/2016, de 9 de febrero de 2016. Estima el recurso de súplica del Ministerio Fiscal sobre inadmisión del recurso de amparo 3857-2015, promovido por Cap Deu, S.L., y Lasbolis 2001, S.L., en pleito civil.</w:t>
      </w:r>
      <w:r>
        <w:tab/>
      </w:r>
      <w:r>
        <w:tab/>
      </w:r>
      <w:r>
        <w:fldChar w:fldCharType="begin"/>
      </w:r>
      <w:r>
        <w:instrText xml:space="preserve"> PAGEREF AUTO_2016_28 \h </w:instrText>
      </w:r>
      <w:r>
        <w:fldChar w:fldCharType="separate"/>
      </w:r>
      <w:r w:rsidR="00C13A87">
        <w:rPr>
          <w:noProof/>
        </w:rPr>
        <w:t>2674</w:t>
      </w:r>
      <w:r>
        <w:fldChar w:fldCharType="end"/>
      </w:r>
    </w:p>
    <w:p w:rsidR="00DC1C29" w:rsidRDefault="00DC1C29" w:rsidP="00DC1C29"/>
    <w:p w:rsidR="00DC1C29" w:rsidRDefault="00DC1C29" w:rsidP="00DC1C29">
      <w:pPr>
        <w:pStyle w:val="EntradandiceAuto"/>
      </w:pPr>
      <w:r>
        <w:t>Sección Tercera. Auto 29/2016, de 15 de febrero de 2016. Acepta una abstención en el recurso de amparo 3767-2012, promovido por doña Ana Serratosa Luján en proceso contencioso-administrativo.</w:t>
      </w:r>
      <w:r>
        <w:tab/>
      </w:r>
      <w:r>
        <w:tab/>
      </w:r>
      <w:r>
        <w:fldChar w:fldCharType="begin"/>
      </w:r>
      <w:r>
        <w:instrText xml:space="preserve"> PAGEREF AUTO_2016_29 \h </w:instrText>
      </w:r>
      <w:r>
        <w:fldChar w:fldCharType="separate"/>
      </w:r>
      <w:r w:rsidR="00C13A87">
        <w:rPr>
          <w:noProof/>
        </w:rPr>
        <w:t>2677</w:t>
      </w:r>
      <w:r>
        <w:fldChar w:fldCharType="end"/>
      </w:r>
    </w:p>
    <w:p w:rsidR="00DC1C29" w:rsidRDefault="00DC1C29" w:rsidP="00DC1C29"/>
    <w:p w:rsidR="00DC1C29" w:rsidRDefault="00DC1C29" w:rsidP="00DC1C29">
      <w:pPr>
        <w:pStyle w:val="EntradandiceAuto"/>
      </w:pPr>
      <w:r>
        <w:t>Sala Primera. Auto 30/2016, de 15 de febrero de 2016. Declara que no se ha producido funcionamiento anormal en la tramitación del recurso de amparo 2164-2014, promovido por don Hassan Sbayou en causa penal.</w:t>
      </w:r>
      <w:r>
        <w:tab/>
      </w:r>
      <w:r>
        <w:tab/>
      </w:r>
      <w:r>
        <w:fldChar w:fldCharType="begin"/>
      </w:r>
      <w:r>
        <w:instrText xml:space="preserve"> PAGEREF AUTO_2016_30 \h </w:instrText>
      </w:r>
      <w:r>
        <w:fldChar w:fldCharType="separate"/>
      </w:r>
      <w:r w:rsidR="00C13A87">
        <w:rPr>
          <w:noProof/>
        </w:rPr>
        <w:t>2679</w:t>
      </w:r>
      <w:r>
        <w:fldChar w:fldCharType="end"/>
      </w:r>
    </w:p>
    <w:p w:rsidR="00DC1C29" w:rsidRDefault="00DC1C29" w:rsidP="00DC1C29"/>
    <w:p w:rsidR="00DC1C29" w:rsidRDefault="00DC1C29" w:rsidP="00DC1C29">
      <w:pPr>
        <w:pStyle w:val="EntradandiceAuto"/>
      </w:pPr>
      <w:r>
        <w:t>Sala Segunda. Auto 31/2016, de 15 de febrero de 2016. Acuerda el desistimiento en el recurso de amparo 42-2015, promovido en pleito civil.</w:t>
      </w:r>
      <w:r>
        <w:tab/>
      </w:r>
      <w:r>
        <w:tab/>
      </w:r>
      <w:r>
        <w:fldChar w:fldCharType="begin"/>
      </w:r>
      <w:r>
        <w:instrText xml:space="preserve"> PAGEREF AUTO_2016_31 \h </w:instrText>
      </w:r>
      <w:r>
        <w:fldChar w:fldCharType="separate"/>
      </w:r>
      <w:r w:rsidR="00C13A87">
        <w:rPr>
          <w:noProof/>
        </w:rPr>
        <w:t>2683</w:t>
      </w:r>
      <w:r>
        <w:fldChar w:fldCharType="end"/>
      </w:r>
    </w:p>
    <w:p w:rsidR="00DC1C29" w:rsidRDefault="00DC1C29" w:rsidP="00DC1C29"/>
    <w:p w:rsidR="00DC1C29" w:rsidRDefault="00DC1C29" w:rsidP="00DC1C29">
      <w:pPr>
        <w:pStyle w:val="EntradandiceAuto"/>
      </w:pPr>
      <w:r>
        <w:t>Sección Segunda. Auto 32/2016, de 15 de febrero de 2016. Acuerda el desistimiento en el recurso de amparo 92-2015, promovido en causa penal.</w:t>
      </w:r>
      <w:r>
        <w:tab/>
      </w:r>
      <w:r>
        <w:tab/>
      </w:r>
      <w:r>
        <w:fldChar w:fldCharType="begin"/>
      </w:r>
      <w:r>
        <w:instrText xml:space="preserve"> PAGEREF AUTO_2016_32 \h </w:instrText>
      </w:r>
      <w:r>
        <w:fldChar w:fldCharType="separate"/>
      </w:r>
      <w:r w:rsidR="00C13A87">
        <w:rPr>
          <w:noProof/>
        </w:rPr>
        <w:t>2684</w:t>
      </w:r>
      <w:r>
        <w:fldChar w:fldCharType="end"/>
      </w:r>
    </w:p>
    <w:p w:rsidR="00DC1C29" w:rsidRDefault="00DC1C29" w:rsidP="00DC1C29"/>
    <w:p w:rsidR="00DC1C29" w:rsidRDefault="00DC1C29" w:rsidP="00DC1C29">
      <w:pPr>
        <w:pStyle w:val="EntradandiceAuto"/>
      </w:pPr>
      <w:r>
        <w:t>Sección Segunda. Auto 33/2016, de 15 de febrero de 2016. Acuerda el desistimiento en el recurso de amparo 2286-2015, promovido en proceso contencioso-administrativo.</w:t>
      </w:r>
      <w:r>
        <w:tab/>
      </w:r>
      <w:r>
        <w:tab/>
      </w:r>
      <w:r>
        <w:fldChar w:fldCharType="begin"/>
      </w:r>
      <w:r>
        <w:instrText xml:space="preserve"> PAGEREF AUTO_2016_33 \h </w:instrText>
      </w:r>
      <w:r>
        <w:fldChar w:fldCharType="separate"/>
      </w:r>
      <w:r w:rsidR="00C13A87">
        <w:rPr>
          <w:noProof/>
        </w:rPr>
        <w:t>2685</w:t>
      </w:r>
      <w:r>
        <w:fldChar w:fldCharType="end"/>
      </w:r>
    </w:p>
    <w:p w:rsidR="00DC1C29" w:rsidRDefault="00DC1C29" w:rsidP="00DC1C29"/>
    <w:p w:rsidR="00DC1C29" w:rsidRDefault="00DC1C29" w:rsidP="00DC1C29">
      <w:pPr>
        <w:pStyle w:val="EntradandiceAuto"/>
      </w:pPr>
      <w:r>
        <w:t>Sala Segunda. Auto 34/2016, de 15 de febrero de 2016. Acuerda la suspensión parcial en el recurso de amparo 5664-2015, promovido por doña Elisa Isabel Cataluña Lacreu y otras personas en causa penal.</w:t>
      </w:r>
      <w:r>
        <w:tab/>
      </w:r>
      <w:r>
        <w:tab/>
      </w:r>
      <w:r>
        <w:fldChar w:fldCharType="begin"/>
      </w:r>
      <w:r>
        <w:instrText xml:space="preserve"> PAGEREF AUTO_2016_34 \h </w:instrText>
      </w:r>
      <w:r>
        <w:fldChar w:fldCharType="separate"/>
      </w:r>
      <w:r w:rsidR="00C13A87">
        <w:rPr>
          <w:noProof/>
        </w:rPr>
        <w:t>2686</w:t>
      </w:r>
      <w:r>
        <w:fldChar w:fldCharType="end"/>
      </w:r>
    </w:p>
    <w:p w:rsidR="00DC1C29" w:rsidRDefault="00DC1C29" w:rsidP="00DC1C29"/>
    <w:p w:rsidR="00DC1C29" w:rsidRDefault="00DC1C29" w:rsidP="00DC1C29">
      <w:pPr>
        <w:pStyle w:val="EntradandiceAuto"/>
      </w:pPr>
      <w:r>
        <w:t>Pleno. Auto 35/2016, de 16 de febrero de 2016. Inadmite a trámite la cuestión de inconstitucionalidad 6379-2014, planteada por el Juzgado de lo Mercantil núm. 1 de Oviedo respecto del artículo 168.1 de la Ley 22/2003, de 9 de julio, concursal, en la redacción dada por el Real Decreto-ley 3/2009, de 27 de marzo.</w:t>
      </w:r>
      <w:r>
        <w:tab/>
      </w:r>
      <w:r>
        <w:tab/>
      </w:r>
      <w:r>
        <w:fldChar w:fldCharType="begin"/>
      </w:r>
      <w:r>
        <w:instrText xml:space="preserve"> PAGEREF AUTO_2016_35 \h </w:instrText>
      </w:r>
      <w:r>
        <w:fldChar w:fldCharType="separate"/>
      </w:r>
      <w:r w:rsidR="00C13A87">
        <w:rPr>
          <w:noProof/>
        </w:rPr>
        <w:t>2693</w:t>
      </w:r>
      <w:r>
        <w:fldChar w:fldCharType="end"/>
      </w:r>
    </w:p>
    <w:p w:rsidR="00DC1C29" w:rsidRDefault="00DC1C29" w:rsidP="00DC1C29"/>
    <w:p w:rsidR="00DC1C29" w:rsidRDefault="00DC1C29" w:rsidP="00DC1C29">
      <w:pPr>
        <w:pStyle w:val="EntradandiceAuto"/>
      </w:pPr>
      <w:r>
        <w:t>Pleno. Auto 36/2016, de 16 de febrero de 2016. Inadmite a trámite la cuestión de inconstitucionalidad 6959-2014, planteada por el Juzgado de lo Mercantil núm. 1 de Oviedo en relación con el artículo 170.1 de la Ley 22/2003, de 9 de julio, concursal, en la redacción dada por el Real Decreto-ley 3/2009, de 27 de marzo.</w:t>
      </w:r>
      <w:r>
        <w:tab/>
      </w:r>
      <w:r>
        <w:tab/>
      </w:r>
      <w:r>
        <w:fldChar w:fldCharType="begin"/>
      </w:r>
      <w:r>
        <w:instrText xml:space="preserve"> PAGEREF AUTO_2016_36 \h </w:instrText>
      </w:r>
      <w:r>
        <w:fldChar w:fldCharType="separate"/>
      </w:r>
      <w:r w:rsidR="00C13A87">
        <w:rPr>
          <w:noProof/>
        </w:rPr>
        <w:t>2702</w:t>
      </w:r>
      <w:r>
        <w:fldChar w:fldCharType="end"/>
      </w:r>
    </w:p>
    <w:p w:rsidR="00DC1C29" w:rsidRDefault="00DC1C29" w:rsidP="00DC1C29"/>
    <w:p w:rsidR="00DC1C29" w:rsidRDefault="00DC1C29" w:rsidP="00DC1C29">
      <w:pPr>
        <w:pStyle w:val="EntradandiceAuto"/>
      </w:pPr>
      <w:r>
        <w:t>Pleno. Auto 37/2016, de 16 de febrero de 2016. Inadmite a trámite la cuestión de inconstitucionalidad 7559-2014, planteada por la Sala de lo Contencioso-Administrativo del Tribunal Superior de Justicia de Castilla-La Mancha en relación con varios preceptos del Real Decreto Legislativo 2/2008, de 20 de junio, por el que se aprueba el texto refundido de la Ley de suelo.</w:t>
      </w:r>
      <w:r>
        <w:tab/>
      </w:r>
      <w:r>
        <w:tab/>
      </w:r>
      <w:r>
        <w:fldChar w:fldCharType="begin"/>
      </w:r>
      <w:r>
        <w:instrText xml:space="preserve"> PAGEREF AUTO_2016_37 \h </w:instrText>
      </w:r>
      <w:r>
        <w:fldChar w:fldCharType="separate"/>
      </w:r>
      <w:r w:rsidR="00C13A87">
        <w:rPr>
          <w:noProof/>
        </w:rPr>
        <w:t>2712</w:t>
      </w:r>
      <w:r>
        <w:fldChar w:fldCharType="end"/>
      </w:r>
    </w:p>
    <w:p w:rsidR="00DC1C29" w:rsidRDefault="00DC1C29" w:rsidP="00DC1C29"/>
    <w:p w:rsidR="00DC1C29" w:rsidRDefault="00DC1C29" w:rsidP="00DC1C29">
      <w:pPr>
        <w:pStyle w:val="EntradandiceAuto"/>
      </w:pPr>
      <w:r>
        <w:t>Pleno. Auto 38/2016, de 16 de febrero de 2016. Inadmite a trámite la cuestión de inconstitucionalidad 632-2015, planteada por la Sala de lo Contencioso-Administrativo del Tribunal Superior de Justicia de Castilla-La Mancha en relación con varios preceptos del Real Decreto Legislativo 2/2008, de 20 de junio, por el que se aprueba el texto refundido de la Ley de suelo.</w:t>
      </w:r>
      <w:r>
        <w:tab/>
      </w:r>
      <w:r>
        <w:tab/>
      </w:r>
      <w:r>
        <w:fldChar w:fldCharType="begin"/>
      </w:r>
      <w:r>
        <w:instrText xml:space="preserve"> PAGEREF AUTO_2016_38 \h </w:instrText>
      </w:r>
      <w:r>
        <w:fldChar w:fldCharType="separate"/>
      </w:r>
      <w:r w:rsidR="00C13A87">
        <w:rPr>
          <w:noProof/>
        </w:rPr>
        <w:t>2721</w:t>
      </w:r>
      <w:r>
        <w:fldChar w:fldCharType="end"/>
      </w:r>
    </w:p>
    <w:p w:rsidR="00DC1C29" w:rsidRDefault="00DC1C29" w:rsidP="00DC1C29"/>
    <w:p w:rsidR="00DC1C29" w:rsidRDefault="00DC1C29" w:rsidP="00DC1C29">
      <w:pPr>
        <w:pStyle w:val="EntradandiceAuto"/>
      </w:pPr>
      <w:r>
        <w:t>Pleno. Auto 39/2016, de 16 de febrero de 2016. Inadmite a trámite la cuestión de inconstitucionalidad 2579-2015, planteada por la Sala de lo Contencioso-Administrativo del Tribunal Superior de Justicia de Andalucía en relación con el artículo 17.8 de la Ley 17/2012, de 27 de diciembre, de presupuestos generales del Estado para 2013.</w:t>
      </w:r>
      <w:r>
        <w:tab/>
      </w:r>
      <w:r>
        <w:tab/>
      </w:r>
      <w:r>
        <w:fldChar w:fldCharType="begin"/>
      </w:r>
      <w:r>
        <w:instrText xml:space="preserve"> PAGEREF AUTO_2016_39 \h </w:instrText>
      </w:r>
      <w:r>
        <w:fldChar w:fldCharType="separate"/>
      </w:r>
      <w:r w:rsidR="00C13A87">
        <w:rPr>
          <w:noProof/>
        </w:rPr>
        <w:t>2730</w:t>
      </w:r>
      <w:r>
        <w:fldChar w:fldCharType="end"/>
      </w:r>
    </w:p>
    <w:p w:rsidR="00DC1C29" w:rsidRDefault="00DC1C29" w:rsidP="00DC1C29"/>
    <w:p w:rsidR="00DC1C29" w:rsidRDefault="00DC1C29" w:rsidP="00DC1C29">
      <w:pPr>
        <w:pStyle w:val="EntradandiceAuto"/>
      </w:pPr>
      <w:r>
        <w:t>Pleno. Auto 40/2016, de 16 de febrero de 2016. Inadmite a trámite la cuestión de inconstitucionalidad 2580-2015, planteada por la Sala de lo Contencioso-Administrativo del Tribunal Superior de Justicia de Andalucía en relación con el artículo 17.8 de la Ley 17/2012, de 27 de diciembre, de presupuestos generales del Estado para 2013.</w:t>
      </w:r>
      <w:r>
        <w:tab/>
      </w:r>
      <w:r>
        <w:tab/>
      </w:r>
      <w:r>
        <w:fldChar w:fldCharType="begin"/>
      </w:r>
      <w:r>
        <w:instrText xml:space="preserve"> PAGEREF AUTO_2016_40 \h </w:instrText>
      </w:r>
      <w:r>
        <w:fldChar w:fldCharType="separate"/>
      </w:r>
      <w:r w:rsidR="00C13A87">
        <w:rPr>
          <w:noProof/>
        </w:rPr>
        <w:t>2734</w:t>
      </w:r>
      <w:r>
        <w:fldChar w:fldCharType="end"/>
      </w:r>
    </w:p>
    <w:p w:rsidR="00DC1C29" w:rsidRDefault="00DC1C29" w:rsidP="00DC1C29"/>
    <w:p w:rsidR="00DC1C29" w:rsidRDefault="00DC1C29" w:rsidP="00DC1C29">
      <w:pPr>
        <w:pStyle w:val="EntradandiceAuto"/>
      </w:pPr>
      <w:r>
        <w:t>Pleno. Auto 41/2016, de 16 de febrero de 2016. Mantiene la suspensión acordada en el recurso de inconstitucionalidad 5272-2015, interpuesto por el Presidente del Gobierno en relación con el Decreto-ley de la Generalitat de Cataluña 7/2014, de 23 de diciembre, por el que se derogan varios apartados del artículo 9 del Decreto-ley 1/2009, de 22 de diciembre, de ordenación de equipamientos comerciales.</w:t>
      </w:r>
      <w:r>
        <w:tab/>
      </w:r>
      <w:r>
        <w:tab/>
      </w:r>
      <w:r>
        <w:fldChar w:fldCharType="begin"/>
      </w:r>
      <w:r>
        <w:instrText xml:space="preserve"> PAGEREF AUTO_2016_41 \h </w:instrText>
      </w:r>
      <w:r>
        <w:fldChar w:fldCharType="separate"/>
      </w:r>
      <w:r w:rsidR="00C13A87">
        <w:rPr>
          <w:noProof/>
        </w:rPr>
        <w:t>2738</w:t>
      </w:r>
      <w:r>
        <w:fldChar w:fldCharType="end"/>
      </w:r>
    </w:p>
    <w:p w:rsidR="00DC1C29" w:rsidRDefault="00DC1C29" w:rsidP="00DC1C29"/>
    <w:p w:rsidR="00DC1C29" w:rsidRDefault="00DC1C29" w:rsidP="00DC1C29">
      <w:pPr>
        <w:pStyle w:val="EntradandiceAuto"/>
      </w:pPr>
      <w:r>
        <w:t>Pleno. Auto 42/2016, de 16 de febrero de 2016. Inadmite a trámite la cuestión de inconstitucionalidad 6446-2015, planteada por el Juzgado de Primera Instancia núm. 5 de Alcobendas en relación con la disposición transitoria cuarta de la Ley 1/2013, de 14 de mayo, de medidas para reforzar la protección a los deudores hipotecarios, reestructuración de la deuda y alquiler social.</w:t>
      </w:r>
      <w:r>
        <w:tab/>
      </w:r>
      <w:r>
        <w:tab/>
      </w:r>
      <w:r>
        <w:fldChar w:fldCharType="begin"/>
      </w:r>
      <w:r>
        <w:instrText xml:space="preserve"> PAGEREF AUTO_2016_42 \h </w:instrText>
      </w:r>
      <w:r>
        <w:fldChar w:fldCharType="separate"/>
      </w:r>
      <w:r w:rsidR="00C13A87">
        <w:rPr>
          <w:noProof/>
        </w:rPr>
        <w:t>2749</w:t>
      </w:r>
      <w:r>
        <w:fldChar w:fldCharType="end"/>
      </w:r>
    </w:p>
    <w:p w:rsidR="00DC1C29" w:rsidRDefault="00DC1C29" w:rsidP="00DC1C29"/>
    <w:p w:rsidR="00DC1C29" w:rsidRDefault="00DC1C29" w:rsidP="00DC1C29">
      <w:pPr>
        <w:pStyle w:val="EntradandiceAuto"/>
      </w:pPr>
      <w:r>
        <w:t>Sección Cuarta. Auto 43/2016, de 18 de febrero de 2016. Desestima el recurso de súplica del Ministerio Fiscal sobre inadmisión del recurso de amparo 2439-2015, promovido por don Francesc Damia Cerda Antoli en proceso contencioso-administrativo.</w:t>
      </w:r>
      <w:r>
        <w:tab/>
      </w:r>
      <w:r>
        <w:tab/>
      </w:r>
      <w:r>
        <w:fldChar w:fldCharType="begin"/>
      </w:r>
      <w:r>
        <w:instrText xml:space="preserve"> PAGEREF AUTO_2016_43 \h </w:instrText>
      </w:r>
      <w:r>
        <w:fldChar w:fldCharType="separate"/>
      </w:r>
      <w:r w:rsidR="00C13A87">
        <w:rPr>
          <w:noProof/>
        </w:rPr>
        <w:t>2756</w:t>
      </w:r>
      <w:r>
        <w:fldChar w:fldCharType="end"/>
      </w:r>
    </w:p>
    <w:p w:rsidR="00DC1C29" w:rsidRDefault="00DC1C29" w:rsidP="00DC1C29"/>
    <w:p w:rsidR="00DC1C29" w:rsidRDefault="00DC1C29" w:rsidP="00DC1C29">
      <w:pPr>
        <w:pStyle w:val="EntradandiceAuto"/>
      </w:pPr>
      <w:r>
        <w:t>Sección Segunda. Auto 44/2016, de 22 de febrero de 2016. Desestima el recurso de súplica del Ministerio Fiscal sobre inadmisión del recurso de amparo 1826-2015, promovido por don Hermenegildo Palacios Arribas en proceso contencioso-administrativo.</w:t>
      </w:r>
      <w:r>
        <w:tab/>
      </w:r>
      <w:r>
        <w:tab/>
      </w:r>
      <w:r>
        <w:fldChar w:fldCharType="begin"/>
      </w:r>
      <w:r>
        <w:instrText xml:space="preserve"> PAGEREF AUTO_2016_44 \h </w:instrText>
      </w:r>
      <w:r>
        <w:fldChar w:fldCharType="separate"/>
      </w:r>
      <w:r w:rsidR="00C13A87">
        <w:rPr>
          <w:noProof/>
        </w:rPr>
        <w:t>2759</w:t>
      </w:r>
      <w:r>
        <w:fldChar w:fldCharType="end"/>
      </w:r>
    </w:p>
    <w:p w:rsidR="00DC1C29" w:rsidRDefault="00DC1C29" w:rsidP="00DC1C29"/>
    <w:p w:rsidR="00DC1C29" w:rsidRDefault="00DC1C29" w:rsidP="00DC1C29">
      <w:pPr>
        <w:pStyle w:val="EntradandiceAuto"/>
      </w:pPr>
      <w:r>
        <w:t>Sección Primera. Auto 45/2016, de 24 de febrero de 2016. Acuerda el desistimiento en el recurso de amparo 5982-2015, promovido en pleito civil.</w:t>
      </w:r>
      <w:r>
        <w:tab/>
      </w:r>
      <w:r>
        <w:tab/>
      </w:r>
      <w:r>
        <w:fldChar w:fldCharType="begin"/>
      </w:r>
      <w:r>
        <w:instrText xml:space="preserve"> PAGEREF AUTO_2016_45 \h </w:instrText>
      </w:r>
      <w:r>
        <w:fldChar w:fldCharType="separate"/>
      </w:r>
      <w:r w:rsidR="00C13A87">
        <w:rPr>
          <w:noProof/>
        </w:rPr>
        <w:t>2762</w:t>
      </w:r>
      <w:r>
        <w:fldChar w:fldCharType="end"/>
      </w:r>
    </w:p>
    <w:p w:rsidR="00DC1C29" w:rsidRDefault="00DC1C29" w:rsidP="00DC1C29"/>
    <w:p w:rsidR="00DC1C29" w:rsidRDefault="00DC1C29" w:rsidP="00DC1C29">
      <w:pPr>
        <w:pStyle w:val="EntradandiceAuto"/>
      </w:pPr>
      <w:r>
        <w:t>Sala Segunda. Auto 46/2016, de 25 de febrero de 2016. Acepta una abstención en el recurso de amparo 4703-2012, promovido por don Pedro María Gragera de Torres y otras personas en proceso contencioso-administrativo.</w:t>
      </w:r>
      <w:r>
        <w:tab/>
      </w:r>
      <w:r>
        <w:tab/>
      </w:r>
      <w:r>
        <w:fldChar w:fldCharType="begin"/>
      </w:r>
      <w:r>
        <w:instrText xml:space="preserve"> PAGEREF AUTO_2016_46 \h </w:instrText>
      </w:r>
      <w:r>
        <w:fldChar w:fldCharType="separate"/>
      </w:r>
      <w:r w:rsidR="00C13A87">
        <w:rPr>
          <w:noProof/>
        </w:rPr>
        <w:t>2763</w:t>
      </w:r>
      <w:r>
        <w:fldChar w:fldCharType="end"/>
      </w:r>
    </w:p>
    <w:p w:rsidR="00DC1C29" w:rsidRDefault="00DC1C29" w:rsidP="00DC1C29"/>
    <w:p w:rsidR="00DC1C29" w:rsidRDefault="00DC1C29" w:rsidP="00DC1C29">
      <w:pPr>
        <w:pStyle w:val="EntradandiceAuto"/>
      </w:pPr>
      <w:r>
        <w:t>Sala Segunda. Auto 47/2016, de 29 de febrero de 2016. Acuerda la suspensión en el recurso de amparo 5646-2014, promovido por don Boujemaa Akabli en proceso contencioso-administrativo.</w:t>
      </w:r>
      <w:r>
        <w:tab/>
      </w:r>
      <w:r>
        <w:tab/>
      </w:r>
      <w:r>
        <w:fldChar w:fldCharType="begin"/>
      </w:r>
      <w:r>
        <w:instrText xml:space="preserve"> PAGEREF AUTO_2016_47 \h </w:instrText>
      </w:r>
      <w:r>
        <w:fldChar w:fldCharType="separate"/>
      </w:r>
      <w:r w:rsidR="00C13A87">
        <w:rPr>
          <w:noProof/>
        </w:rPr>
        <w:t>2765</w:t>
      </w:r>
      <w:r>
        <w:fldChar w:fldCharType="end"/>
      </w:r>
    </w:p>
    <w:p w:rsidR="00DC1C29" w:rsidRDefault="00DC1C29" w:rsidP="00DC1C29"/>
    <w:p w:rsidR="00DC1C29" w:rsidRDefault="00DC1C29" w:rsidP="00DC1C29">
      <w:pPr>
        <w:pStyle w:val="EntradandiceAuto"/>
      </w:pPr>
      <w:r>
        <w:t>Sala Segunda. Auto 48/2016, de 29 de febrero de 2016. Acuerda la suspensión en el recurso de amparo 4960-2015, promovido por Sporafrik, S.L., en pleito civil.</w:t>
      </w:r>
      <w:r>
        <w:tab/>
      </w:r>
      <w:r>
        <w:tab/>
      </w:r>
      <w:r>
        <w:fldChar w:fldCharType="begin"/>
      </w:r>
      <w:r>
        <w:instrText xml:space="preserve"> PAGEREF AUTO_2016_48 \h </w:instrText>
      </w:r>
      <w:r>
        <w:fldChar w:fldCharType="separate"/>
      </w:r>
      <w:r w:rsidR="00C13A87">
        <w:rPr>
          <w:noProof/>
        </w:rPr>
        <w:t>2769</w:t>
      </w:r>
      <w:r>
        <w:fldChar w:fldCharType="end"/>
      </w:r>
    </w:p>
    <w:p w:rsidR="00DC1C29" w:rsidRDefault="00DC1C29" w:rsidP="00DC1C29"/>
    <w:p w:rsidR="00DC1C29" w:rsidRDefault="00DC1C29" w:rsidP="00DC1C29">
      <w:pPr>
        <w:pStyle w:val="EntradandiceAuto"/>
      </w:pPr>
      <w:r>
        <w:t>Sala Segunda. Auto 49/2016, de 29 de febrero de 2016. Acuerda la suspensión en el recurso de amparo 5046-2015, promovido por don Silvestre Cano Valero en causa penal.</w:t>
      </w:r>
      <w:r>
        <w:tab/>
      </w:r>
      <w:r>
        <w:tab/>
      </w:r>
      <w:r>
        <w:fldChar w:fldCharType="begin"/>
      </w:r>
      <w:r>
        <w:instrText xml:space="preserve"> PAGEREF AUTO_2016_49 \h </w:instrText>
      </w:r>
      <w:r>
        <w:fldChar w:fldCharType="separate"/>
      </w:r>
      <w:r w:rsidR="00C13A87">
        <w:rPr>
          <w:noProof/>
        </w:rPr>
        <w:t>2772</w:t>
      </w:r>
      <w:r>
        <w:fldChar w:fldCharType="end"/>
      </w:r>
    </w:p>
    <w:p w:rsidR="00DC1C29" w:rsidRDefault="00DC1C29" w:rsidP="00DC1C29"/>
    <w:p w:rsidR="00DC1C29" w:rsidRDefault="00DC1C29" w:rsidP="00DC1C29">
      <w:pPr>
        <w:pStyle w:val="EntradandiceAuto"/>
      </w:pPr>
      <w:r>
        <w:t>Pleno. Auto 50/2016, de 1 de marzo de 2016. Inadmite a trámite la cuestión de inconstitucionalidad 7602-2014, planteada por el Tribunal Superior de Justicia de Castilla-La Mancha en relación con los artículos 23.1 a) y 2 del Real Decreto Legislativo 2/2008, de 20 de junio, por el que se aprueba el texto refundido de la Ley de suelo.</w:t>
      </w:r>
      <w:r>
        <w:tab/>
      </w:r>
      <w:r>
        <w:tab/>
      </w:r>
      <w:r>
        <w:fldChar w:fldCharType="begin"/>
      </w:r>
      <w:r>
        <w:instrText xml:space="preserve"> PAGEREF AUTO_2016_50 \h </w:instrText>
      </w:r>
      <w:r>
        <w:fldChar w:fldCharType="separate"/>
      </w:r>
      <w:r w:rsidR="00C13A87">
        <w:rPr>
          <w:noProof/>
        </w:rPr>
        <w:t>2775</w:t>
      </w:r>
      <w:r>
        <w:fldChar w:fldCharType="end"/>
      </w:r>
    </w:p>
    <w:p w:rsidR="00DC1C29" w:rsidRDefault="00DC1C29" w:rsidP="00DC1C29"/>
    <w:p w:rsidR="00DC1C29" w:rsidRDefault="00DC1C29" w:rsidP="00DC1C29">
      <w:pPr>
        <w:pStyle w:val="EntradandiceAuto"/>
      </w:pPr>
      <w:r>
        <w:t>Pleno. Auto 51/2016, de 1 de marzo de 2016. Acuerda el desistimiento parcial en el recurso de inconstitucionalidad 264-2015, interpuesto por el Gobierno Vasco en relación con varios preceptos de la Ley 18/2014, de 15 de octubre, de aprobación de medidas urgentes para el crecimiento, la competitividad y la eficiencia.</w:t>
      </w:r>
      <w:r>
        <w:tab/>
      </w:r>
      <w:r>
        <w:tab/>
      </w:r>
      <w:r>
        <w:fldChar w:fldCharType="begin"/>
      </w:r>
      <w:r>
        <w:instrText xml:space="preserve"> PAGEREF AUTO_2016_51 \h </w:instrText>
      </w:r>
      <w:r>
        <w:fldChar w:fldCharType="separate"/>
      </w:r>
      <w:r w:rsidR="00C13A87">
        <w:rPr>
          <w:noProof/>
        </w:rPr>
        <w:t>2784</w:t>
      </w:r>
      <w:r>
        <w:fldChar w:fldCharType="end"/>
      </w:r>
    </w:p>
    <w:p w:rsidR="00DC1C29" w:rsidRDefault="00DC1C29" w:rsidP="00DC1C29"/>
    <w:p w:rsidR="00DC1C29" w:rsidRDefault="00DC1C29" w:rsidP="00DC1C29">
      <w:pPr>
        <w:pStyle w:val="EntradandiceAuto"/>
      </w:pPr>
      <w:r>
        <w:t>Pleno. Auto 52/2016, de 1 de marzo de 2016. Inadmite a trámite la cuestión de inconstitucionalidad 725-2015, planteada por el Tribunal Superior de Justicia de Castilla-La Mancha en relación con los artículos 23.1 a) y 2 del Real Decreto Legislativo 2/2008, de 20 de junio, por el que se aprueba el texto refundido de la Ley de suelo.</w:t>
      </w:r>
      <w:r>
        <w:tab/>
      </w:r>
      <w:r>
        <w:tab/>
      </w:r>
      <w:r>
        <w:fldChar w:fldCharType="begin"/>
      </w:r>
      <w:r>
        <w:instrText xml:space="preserve"> PAGEREF AUTO_2016_52 \h </w:instrText>
      </w:r>
      <w:r>
        <w:fldChar w:fldCharType="separate"/>
      </w:r>
      <w:r w:rsidR="00C13A87">
        <w:rPr>
          <w:noProof/>
        </w:rPr>
        <w:t>2787</w:t>
      </w:r>
      <w:r>
        <w:fldChar w:fldCharType="end"/>
      </w:r>
    </w:p>
    <w:p w:rsidR="00DC1C29" w:rsidRDefault="00DC1C29" w:rsidP="00DC1C29"/>
    <w:p w:rsidR="00DC1C29" w:rsidRDefault="00DC1C29" w:rsidP="00DC1C29">
      <w:pPr>
        <w:pStyle w:val="EntradandiceAuto"/>
      </w:pPr>
      <w:r>
        <w:t>Sección Tercera. Auto 53/2016, de 1 de marzo de 2016. Acuerda el desistimiento en el recurso de amparo 3990-2015, promovido en pleito civil.</w:t>
      </w:r>
      <w:r>
        <w:tab/>
      </w:r>
      <w:r>
        <w:tab/>
      </w:r>
      <w:r>
        <w:fldChar w:fldCharType="begin"/>
      </w:r>
      <w:r>
        <w:instrText xml:space="preserve"> PAGEREF AUTO_2016_53 \h </w:instrText>
      </w:r>
      <w:r>
        <w:fldChar w:fldCharType="separate"/>
      </w:r>
      <w:r w:rsidR="00C13A87">
        <w:rPr>
          <w:noProof/>
        </w:rPr>
        <w:t>2796</w:t>
      </w:r>
      <w:r>
        <w:fldChar w:fldCharType="end"/>
      </w:r>
    </w:p>
    <w:p w:rsidR="00DC1C29" w:rsidRDefault="00DC1C29" w:rsidP="00DC1C29"/>
    <w:p w:rsidR="00DC1C29" w:rsidRDefault="00DC1C29" w:rsidP="00DC1C29">
      <w:pPr>
        <w:pStyle w:val="EntradandiceAuto"/>
      </w:pPr>
      <w:r>
        <w:t>Pleno. Auto 54/2016, de 1 de marzo de 2016. Levanta la suspensión en el recurso de inconstitucionalidad 6022-2015, interpuesto por el Presidente del Gobierno en relación con el Decreto-ley del Consell de la Generalitat Valenciana 3/2015, de 24 de julio, por el que se regula el acceso universal a la atención sanitaria en la Comunidad Valenciana.</w:t>
      </w:r>
      <w:r>
        <w:tab/>
      </w:r>
      <w:r>
        <w:tab/>
      </w:r>
      <w:r>
        <w:fldChar w:fldCharType="begin"/>
      </w:r>
      <w:r>
        <w:instrText xml:space="preserve"> PAGEREF AUTO_2016_54 \h </w:instrText>
      </w:r>
      <w:r>
        <w:fldChar w:fldCharType="separate"/>
      </w:r>
      <w:r w:rsidR="00C13A87">
        <w:rPr>
          <w:noProof/>
        </w:rPr>
        <w:t>2797</w:t>
      </w:r>
      <w:r>
        <w:fldChar w:fldCharType="end"/>
      </w:r>
    </w:p>
    <w:p w:rsidR="00DC1C29" w:rsidRDefault="00DC1C29" w:rsidP="00DC1C29"/>
    <w:p w:rsidR="00DC1C29" w:rsidRDefault="00DC1C29" w:rsidP="00DC1C29">
      <w:pPr>
        <w:pStyle w:val="EntradandiceAuto"/>
      </w:pPr>
      <w:r>
        <w:t>Pleno. Auto 55/2016, de 1 de marzo de 2016. Inadmite a trámite la cuestión de inconstitucionalidad 6600-2015, planteada por el Tribunal Superior de Justicia de las Illes Balears en relación con la disposición adicional decimoquinta de la Ley 15/2012, de 27 de diciembre, de presupuestos generales de la Comunidad Autónoma de las Illes Balears para 2013.</w:t>
      </w:r>
      <w:r>
        <w:tab/>
      </w:r>
      <w:r>
        <w:tab/>
      </w:r>
      <w:r>
        <w:fldChar w:fldCharType="begin"/>
      </w:r>
      <w:r>
        <w:instrText xml:space="preserve"> PAGEREF AUTO_2016_55 \h </w:instrText>
      </w:r>
      <w:r>
        <w:fldChar w:fldCharType="separate"/>
      </w:r>
      <w:r w:rsidR="00C13A87">
        <w:rPr>
          <w:noProof/>
        </w:rPr>
        <w:t>2810</w:t>
      </w:r>
      <w:r>
        <w:fldChar w:fldCharType="end"/>
      </w:r>
    </w:p>
    <w:p w:rsidR="00DC1C29" w:rsidRDefault="00DC1C29" w:rsidP="00DC1C29"/>
    <w:p w:rsidR="00DC1C29" w:rsidRDefault="00DC1C29" w:rsidP="00DC1C29">
      <w:pPr>
        <w:pStyle w:val="EntradandiceAuto"/>
      </w:pPr>
      <w:r>
        <w:t>Pleno. Auto 56/2016, de 1 de marzo de 2016. Inadmite a trámite la cuestión de inconstitucionalidad 6988-2015, planteada por el Tribunal Superior de Justicia de Cantabria en relación con el artículo 65 bis.1 de la Ley del Parlamento de Cantabria 2/2001, de 25 de junio, de ordenación territorial y de régimen urbanístico del suelo.</w:t>
      </w:r>
      <w:r>
        <w:tab/>
      </w:r>
      <w:r>
        <w:tab/>
      </w:r>
      <w:r>
        <w:fldChar w:fldCharType="begin"/>
      </w:r>
      <w:r>
        <w:instrText xml:space="preserve"> PAGEREF AUTO_2016_56 \h </w:instrText>
      </w:r>
      <w:r>
        <w:fldChar w:fldCharType="separate"/>
      </w:r>
      <w:r w:rsidR="00C13A87">
        <w:rPr>
          <w:noProof/>
        </w:rPr>
        <w:t>2820</w:t>
      </w:r>
      <w:r>
        <w:fldChar w:fldCharType="end"/>
      </w:r>
    </w:p>
    <w:p w:rsidR="00DC1C29" w:rsidRDefault="00DC1C29" w:rsidP="00DC1C29"/>
    <w:p w:rsidR="00DC1C29" w:rsidRDefault="00DC1C29" w:rsidP="00DC1C29">
      <w:pPr>
        <w:pStyle w:val="EntradandiceAuto"/>
      </w:pPr>
      <w:r>
        <w:t>Pleno. Auto 57/2016, de 1 de marzo de 2016. Inadmite a trámite la cuestión de inconstitucionalidad 6989-2015, planteada por el Tribunal Superior de Justicia de Cantabria en relación con el artículo 65 bis.1 de la Ley del Parlamento de Cantabria 2/2001, de 25 de junio, de ordenación territorial y de régimen urbanístico del suelo.</w:t>
      </w:r>
      <w:r>
        <w:tab/>
      </w:r>
      <w:r>
        <w:tab/>
      </w:r>
      <w:r>
        <w:fldChar w:fldCharType="begin"/>
      </w:r>
      <w:r>
        <w:instrText xml:space="preserve"> PAGEREF AUTO_2016_57 \h </w:instrText>
      </w:r>
      <w:r>
        <w:fldChar w:fldCharType="separate"/>
      </w:r>
      <w:r w:rsidR="00C13A87">
        <w:rPr>
          <w:noProof/>
        </w:rPr>
        <w:t>2824</w:t>
      </w:r>
      <w:r>
        <w:fldChar w:fldCharType="end"/>
      </w:r>
    </w:p>
    <w:p w:rsidR="00DC1C29" w:rsidRDefault="00DC1C29" w:rsidP="00DC1C29"/>
    <w:p w:rsidR="00DC1C29" w:rsidRDefault="00DC1C29" w:rsidP="00DC1C29">
      <w:pPr>
        <w:pStyle w:val="EntradandiceAuto"/>
      </w:pPr>
      <w:r>
        <w:t>Sección Primera. Auto 58/2016, de 2 de marzo de 2016. Desestima el recurso de súplica del Ministerio Fiscal sobre inadmisión del recurso de amparo 7131-2014, promovido por don Eugenio Ares González en proceso contencioso-administrativo.</w:t>
      </w:r>
      <w:r>
        <w:tab/>
      </w:r>
      <w:r>
        <w:tab/>
      </w:r>
      <w:r>
        <w:fldChar w:fldCharType="begin"/>
      </w:r>
      <w:r>
        <w:instrText xml:space="preserve"> PAGEREF AUTO_2016_58 \h </w:instrText>
      </w:r>
      <w:r>
        <w:fldChar w:fldCharType="separate"/>
      </w:r>
      <w:r w:rsidR="00C13A87">
        <w:rPr>
          <w:noProof/>
        </w:rPr>
        <w:t>2828</w:t>
      </w:r>
      <w:r>
        <w:fldChar w:fldCharType="end"/>
      </w:r>
    </w:p>
    <w:p w:rsidR="00DC1C29" w:rsidRDefault="00DC1C29" w:rsidP="00DC1C29"/>
    <w:p w:rsidR="00DC1C29" w:rsidRDefault="00DC1C29" w:rsidP="00DC1C29">
      <w:pPr>
        <w:pStyle w:val="EntradandiceAuto"/>
      </w:pPr>
      <w:r>
        <w:t>Sección Primera. Auto 59/2016, de 2 de marzo de 2016. Desestima el recurso de súplica del Ministerio Fiscal sobre inadmisión del recurso de amparo 1809-2015, promovido por don José María Esnal Beldarrain en proceso contencioso-administrativo.</w:t>
      </w:r>
      <w:r>
        <w:tab/>
      </w:r>
      <w:r>
        <w:tab/>
      </w:r>
      <w:r>
        <w:fldChar w:fldCharType="begin"/>
      </w:r>
      <w:r>
        <w:instrText xml:space="preserve"> PAGEREF AUTO_2016_59 \h </w:instrText>
      </w:r>
      <w:r>
        <w:fldChar w:fldCharType="separate"/>
      </w:r>
      <w:r w:rsidR="00C13A87">
        <w:rPr>
          <w:noProof/>
        </w:rPr>
        <w:t>2831</w:t>
      </w:r>
      <w:r>
        <w:fldChar w:fldCharType="end"/>
      </w:r>
    </w:p>
    <w:p w:rsidR="00DC1C29" w:rsidRDefault="00DC1C29" w:rsidP="00DC1C29"/>
    <w:p w:rsidR="00DC1C29" w:rsidRDefault="00DC1C29" w:rsidP="00DC1C29">
      <w:pPr>
        <w:pStyle w:val="EntradandiceAuto"/>
      </w:pPr>
      <w:r>
        <w:t>Sección Primera. Auto 60/2016, de 2 de marzo de 2016. Acepta una abstención en el recurso de amparo 3195-2015, promovido por Casebana, S.L., en pleito civil.</w:t>
      </w:r>
      <w:r>
        <w:tab/>
      </w:r>
      <w:r>
        <w:tab/>
      </w:r>
      <w:r>
        <w:fldChar w:fldCharType="begin"/>
      </w:r>
      <w:r>
        <w:instrText xml:space="preserve"> PAGEREF AUTO_2016_60 \h </w:instrText>
      </w:r>
      <w:r>
        <w:fldChar w:fldCharType="separate"/>
      </w:r>
      <w:r w:rsidR="00C13A87">
        <w:rPr>
          <w:noProof/>
        </w:rPr>
        <w:t>2834</w:t>
      </w:r>
      <w:r>
        <w:fldChar w:fldCharType="end"/>
      </w:r>
    </w:p>
    <w:p w:rsidR="00DC1C29" w:rsidRDefault="00DC1C29" w:rsidP="00DC1C29"/>
    <w:p w:rsidR="00DC1C29" w:rsidRDefault="00DC1C29" w:rsidP="00DC1C29">
      <w:pPr>
        <w:pStyle w:val="EntradandiceAuto"/>
      </w:pPr>
      <w:r>
        <w:t>Sección Primera. Auto 61/2016, de 9 de marzo de 2016. Acuerda el desistimiento en el recurso de amparo 3494-2015, promovido en proceso contencioso-administrativo.</w:t>
      </w:r>
      <w:r>
        <w:tab/>
      </w:r>
      <w:r>
        <w:tab/>
      </w:r>
      <w:r>
        <w:fldChar w:fldCharType="begin"/>
      </w:r>
      <w:r>
        <w:instrText xml:space="preserve"> PAGEREF AUTO_2016_61 \h </w:instrText>
      </w:r>
      <w:r>
        <w:fldChar w:fldCharType="separate"/>
      </w:r>
      <w:r w:rsidR="00C13A87">
        <w:rPr>
          <w:noProof/>
        </w:rPr>
        <w:t>2836</w:t>
      </w:r>
      <w:r>
        <w:fldChar w:fldCharType="end"/>
      </w:r>
    </w:p>
    <w:p w:rsidR="00DC1C29" w:rsidRDefault="00DC1C29" w:rsidP="00DC1C29"/>
    <w:p w:rsidR="00DC1C29" w:rsidRDefault="00DC1C29" w:rsidP="00DC1C29">
      <w:pPr>
        <w:pStyle w:val="EntradandiceAuto"/>
      </w:pPr>
      <w:r>
        <w:t>Sección Cuarta. Auto 62/2016, de 15 de marzo de 2016. Acuerda la suspensión en el recurso de amparo 3857-2015, promovido por Cap Deu, S.L., y Lasbolis 2001, S.L., en pleito civil.</w:t>
      </w:r>
      <w:r>
        <w:tab/>
      </w:r>
      <w:r>
        <w:tab/>
      </w:r>
      <w:r>
        <w:fldChar w:fldCharType="begin"/>
      </w:r>
      <w:r>
        <w:instrText xml:space="preserve"> PAGEREF AUTO_2016_62 \h </w:instrText>
      </w:r>
      <w:r>
        <w:fldChar w:fldCharType="separate"/>
      </w:r>
      <w:r w:rsidR="00C13A87">
        <w:rPr>
          <w:noProof/>
        </w:rPr>
        <w:t>2837</w:t>
      </w:r>
      <w:r>
        <w:fldChar w:fldCharType="end"/>
      </w:r>
    </w:p>
    <w:p w:rsidR="00DC1C29" w:rsidRDefault="00DC1C29" w:rsidP="00DC1C29"/>
    <w:p w:rsidR="00DC1C29" w:rsidRDefault="00DC1C29" w:rsidP="00DC1C29">
      <w:pPr>
        <w:pStyle w:val="EntradandiceAuto"/>
      </w:pPr>
      <w:r>
        <w:t>Pleno. Auto 63/2016, de 15 de marzo de 2016. Inadmite a trámite la cuestión de inconstitucionalidad 4487-2015, planteada por el Tribunal Superior de Justicia de Castilla-La Mancha en relación con los artículos 52.2 y 53.1 de la Ley 40/1994, de 30 de diciembre, de ordenación del sistema eléctrico nacional.</w:t>
      </w:r>
      <w:r>
        <w:tab/>
      </w:r>
      <w:r>
        <w:tab/>
      </w:r>
      <w:r>
        <w:fldChar w:fldCharType="begin"/>
      </w:r>
      <w:r>
        <w:instrText xml:space="preserve"> PAGEREF AUTO_2016_63 \h </w:instrText>
      </w:r>
      <w:r>
        <w:fldChar w:fldCharType="separate"/>
      </w:r>
      <w:r w:rsidR="00C13A87">
        <w:rPr>
          <w:noProof/>
        </w:rPr>
        <w:t>2840</w:t>
      </w:r>
      <w:r>
        <w:fldChar w:fldCharType="end"/>
      </w:r>
    </w:p>
    <w:p w:rsidR="00DC1C29" w:rsidRDefault="00DC1C29" w:rsidP="00DC1C29"/>
    <w:p w:rsidR="00DC1C29" w:rsidRDefault="00DC1C29" w:rsidP="00DC1C29">
      <w:pPr>
        <w:pStyle w:val="EntradandiceAuto"/>
      </w:pPr>
      <w:r>
        <w:t>Pleno. Auto 64/2016, de 15 de marzo de 2016. Inadmite a trámite la cuestión de inconstitucionalidad 6393-2015, planteada por el Tribunal Superior de Justicia de Cantabria en relación con el artículo 65 bis.1 de la Ley del Parlamento de Cantabria 4/2013, de 20 de junio, de ordenación territorial y de régimen urbanístico del suelo.</w:t>
      </w:r>
      <w:r>
        <w:tab/>
      </w:r>
      <w:r>
        <w:tab/>
      </w:r>
      <w:r>
        <w:fldChar w:fldCharType="begin"/>
      </w:r>
      <w:r>
        <w:instrText xml:space="preserve"> PAGEREF AUTO_2016_64 \h </w:instrText>
      </w:r>
      <w:r>
        <w:fldChar w:fldCharType="separate"/>
      </w:r>
      <w:r w:rsidR="00C13A87">
        <w:rPr>
          <w:noProof/>
        </w:rPr>
        <w:t>2847</w:t>
      </w:r>
      <w:r>
        <w:fldChar w:fldCharType="end"/>
      </w:r>
    </w:p>
    <w:p w:rsidR="00DC1C29" w:rsidRDefault="00DC1C29" w:rsidP="00DC1C29"/>
    <w:p w:rsidR="00DC1C29" w:rsidRDefault="00DC1C29" w:rsidP="00DC1C29">
      <w:pPr>
        <w:pStyle w:val="EntradandiceAuto"/>
      </w:pPr>
      <w:r>
        <w:t>Pleno. Auto 65/2016, de 15 de marzo de 2016. Inadmite a trámite la cuestión de inconstitucionalidad 7018-2015, planteada por el Juzgado de lo Contencioso-Administrativo de Santander en relación con el artículo 65 bis.1 de la Ley del Parlamento de Cantabria 4/2013, de 20 de junio, de ordenación territorial y de régimen urbanístico del suelo.</w:t>
      </w:r>
      <w:r>
        <w:tab/>
      </w:r>
      <w:r>
        <w:tab/>
      </w:r>
      <w:r>
        <w:fldChar w:fldCharType="begin"/>
      </w:r>
      <w:r>
        <w:instrText xml:space="preserve"> PAGEREF AUTO_2016_65 \h </w:instrText>
      </w:r>
      <w:r>
        <w:fldChar w:fldCharType="separate"/>
      </w:r>
      <w:r w:rsidR="00C13A87">
        <w:rPr>
          <w:noProof/>
        </w:rPr>
        <w:t>2851</w:t>
      </w:r>
      <w:r>
        <w:fldChar w:fldCharType="end"/>
      </w:r>
    </w:p>
    <w:p w:rsidR="00DC1C29" w:rsidRDefault="00DC1C29" w:rsidP="00DC1C29"/>
    <w:p w:rsidR="00DC1C29" w:rsidRDefault="00DC1C29" w:rsidP="00DC1C29">
      <w:pPr>
        <w:pStyle w:val="EntradandiceAuto"/>
      </w:pPr>
      <w:r>
        <w:t>Sala Primera. Auto 66/2016, de 11 de abril de 2016. Declara que no se ha producido funcionamiento anormal en la tramitación del recurso de amparo 6827-2014, promovido por don Mario Navarrete Espinazo en proceso contencioso-administrativo.</w:t>
      </w:r>
      <w:r>
        <w:tab/>
      </w:r>
      <w:r>
        <w:tab/>
      </w:r>
      <w:r>
        <w:fldChar w:fldCharType="begin"/>
      </w:r>
      <w:r>
        <w:instrText xml:space="preserve"> PAGEREF AUTO_2016_66 \h </w:instrText>
      </w:r>
      <w:r>
        <w:fldChar w:fldCharType="separate"/>
      </w:r>
      <w:r w:rsidR="00C13A87">
        <w:rPr>
          <w:noProof/>
        </w:rPr>
        <w:t>2856</w:t>
      </w:r>
      <w:r>
        <w:fldChar w:fldCharType="end"/>
      </w:r>
    </w:p>
    <w:p w:rsidR="00DC1C29" w:rsidRDefault="00DC1C29" w:rsidP="00DC1C29"/>
    <w:p w:rsidR="00DC1C29" w:rsidRDefault="00DC1C29" w:rsidP="00DC1C29">
      <w:pPr>
        <w:pStyle w:val="EntradandiceAuto"/>
      </w:pPr>
      <w:r>
        <w:t>Sala Segunda. Auto 67/2016, de 11 de abril de 2016. Deniega la medida cautelar solicitada en el recurso de amparo 3136-2015, promovido por don Manuel Tena Gallench en causa penal.</w:t>
      </w:r>
      <w:r>
        <w:tab/>
      </w:r>
      <w:r>
        <w:tab/>
      </w:r>
      <w:r>
        <w:fldChar w:fldCharType="begin"/>
      </w:r>
      <w:r>
        <w:instrText xml:space="preserve"> PAGEREF AUTO_2016_67 \h </w:instrText>
      </w:r>
      <w:r>
        <w:fldChar w:fldCharType="separate"/>
      </w:r>
      <w:r w:rsidR="00C13A87">
        <w:rPr>
          <w:noProof/>
        </w:rPr>
        <w:t>2859</w:t>
      </w:r>
      <w:r>
        <w:fldChar w:fldCharType="end"/>
      </w:r>
    </w:p>
    <w:p w:rsidR="00DC1C29" w:rsidRDefault="00DC1C29" w:rsidP="00DC1C29"/>
    <w:p w:rsidR="00DC1C29" w:rsidRDefault="00DC1C29" w:rsidP="00DC1C29">
      <w:pPr>
        <w:pStyle w:val="EntradandiceAuto"/>
      </w:pPr>
      <w:r>
        <w:t>Sala Segunda. Auto 68/2016, de 11 de abril de 2016. Acuerda la suspensión en el recurso de amparo 5532-2015, promovido por doña Elaine Patricia Waite y don Alan Waite en pleito civil.</w:t>
      </w:r>
      <w:r>
        <w:tab/>
      </w:r>
      <w:r>
        <w:tab/>
      </w:r>
      <w:r>
        <w:fldChar w:fldCharType="begin"/>
      </w:r>
      <w:r>
        <w:instrText xml:space="preserve"> PAGEREF AUTO_2016_68 \h </w:instrText>
      </w:r>
      <w:r>
        <w:fldChar w:fldCharType="separate"/>
      </w:r>
      <w:r w:rsidR="00C13A87">
        <w:rPr>
          <w:noProof/>
        </w:rPr>
        <w:t>2863</w:t>
      </w:r>
      <w:r>
        <w:fldChar w:fldCharType="end"/>
      </w:r>
    </w:p>
    <w:p w:rsidR="00DC1C29" w:rsidRDefault="00DC1C29" w:rsidP="00DC1C29"/>
    <w:p w:rsidR="00DC1C29" w:rsidRDefault="00DC1C29" w:rsidP="00DC1C29">
      <w:pPr>
        <w:pStyle w:val="EntradandiceAuto"/>
      </w:pPr>
      <w:r>
        <w:t>Sala Segunda. Auto 69/2016, de 11 de abril de 2016. Acuerda la suspensión en el recurso de amparo 5956-2015, promovido por doña Elaine Patricia Waite y don Alan Waite en pleito civil.</w:t>
      </w:r>
      <w:r>
        <w:tab/>
      </w:r>
      <w:r>
        <w:tab/>
      </w:r>
      <w:r>
        <w:fldChar w:fldCharType="begin"/>
      </w:r>
      <w:r>
        <w:instrText xml:space="preserve"> PAGEREF AUTO_2016_69 \h </w:instrText>
      </w:r>
      <w:r>
        <w:fldChar w:fldCharType="separate"/>
      </w:r>
      <w:r w:rsidR="00C13A87">
        <w:rPr>
          <w:noProof/>
        </w:rPr>
        <w:t>2867</w:t>
      </w:r>
      <w:r>
        <w:fldChar w:fldCharType="end"/>
      </w:r>
    </w:p>
    <w:p w:rsidR="00DC1C29" w:rsidRDefault="00DC1C29" w:rsidP="00DC1C29"/>
    <w:p w:rsidR="00DC1C29" w:rsidRDefault="00DC1C29" w:rsidP="00DC1C29">
      <w:pPr>
        <w:pStyle w:val="EntradandiceAuto"/>
      </w:pPr>
      <w:r>
        <w:t>Pleno. Auto 70/2016, de 12 de abril de 2016. Inadmite a trámite la cuestión de inconstitucionalidad 7558-2014, planteada por el Tribunal Superior de Justicia de Castilla-La Mancha en relación con los artículos 23.1 a) y 2 del Real Decreto legislativo 2/2008, de 20 de junio, por el que se aprueba el texto refundido de la Ley de suelo.</w:t>
      </w:r>
      <w:r>
        <w:tab/>
      </w:r>
      <w:r>
        <w:tab/>
      </w:r>
      <w:r>
        <w:fldChar w:fldCharType="begin"/>
      </w:r>
      <w:r>
        <w:instrText xml:space="preserve"> PAGEREF AUTO_2016_70 \h </w:instrText>
      </w:r>
      <w:r>
        <w:fldChar w:fldCharType="separate"/>
      </w:r>
      <w:r w:rsidR="00C13A87">
        <w:rPr>
          <w:noProof/>
        </w:rPr>
        <w:t>2872</w:t>
      </w:r>
      <w:r>
        <w:fldChar w:fldCharType="end"/>
      </w:r>
    </w:p>
    <w:p w:rsidR="00DC1C29" w:rsidRDefault="00DC1C29" w:rsidP="00DC1C29"/>
    <w:p w:rsidR="00DC1C29" w:rsidRDefault="00DC1C29" w:rsidP="00DC1C29">
      <w:pPr>
        <w:pStyle w:val="EntradandiceAuto"/>
      </w:pPr>
      <w:r>
        <w:t>Pleno. Auto 71/2016, de 12 de abril de 2016. Inadmite a trámite la cuestión de inconstitucionalidad 4992-2015, planteada por la Sala de lo Social del Tribunal Superior de Justicia de Murcia en relación con el artículo 2 de Real Decreto-ley 20/2012, de 13 de julio, de medidas para garantizar la estabilidad presupuestaria y de fomento de la competitividad y del artículo 2.1 de la Ley de la Asamblea Regional de Murcia 9/2012, de 8 de noviembre.</w:t>
      </w:r>
      <w:r>
        <w:tab/>
      </w:r>
      <w:r>
        <w:tab/>
      </w:r>
      <w:r>
        <w:fldChar w:fldCharType="begin"/>
      </w:r>
      <w:r>
        <w:instrText xml:space="preserve"> PAGEREF AUTO_2016_71 \h </w:instrText>
      </w:r>
      <w:r>
        <w:fldChar w:fldCharType="separate"/>
      </w:r>
      <w:r w:rsidR="00C13A87">
        <w:rPr>
          <w:noProof/>
        </w:rPr>
        <w:t>2882</w:t>
      </w:r>
      <w:r>
        <w:fldChar w:fldCharType="end"/>
      </w:r>
    </w:p>
    <w:p w:rsidR="00DC1C29" w:rsidRDefault="00DC1C29" w:rsidP="00DC1C29"/>
    <w:p w:rsidR="00DC1C29" w:rsidRDefault="00DC1C29" w:rsidP="00DC1C29">
      <w:pPr>
        <w:pStyle w:val="EntradandiceAuto"/>
      </w:pPr>
      <w:r>
        <w:t>Pleno. Auto 72/2016, de 12 de abril de 2016. Acuerda la suspensión parcial en el recurso de inconstitucionalidad 5459-2015, interpuesto por el Presidente del Gobierno en relación con diversos preceptos de la Ley 20/2014, de 29 de diciembre, de modificación de la Ley 22/2010, de 20 de julio, del código de consumo de Cataluña. Voto particular.</w:t>
      </w:r>
      <w:r>
        <w:tab/>
      </w:r>
      <w:r>
        <w:tab/>
      </w:r>
      <w:r>
        <w:fldChar w:fldCharType="begin"/>
      </w:r>
      <w:r>
        <w:instrText xml:space="preserve"> PAGEREF AUTO_2016_72 \h </w:instrText>
      </w:r>
      <w:r>
        <w:fldChar w:fldCharType="separate"/>
      </w:r>
      <w:r w:rsidR="00C13A87">
        <w:rPr>
          <w:noProof/>
        </w:rPr>
        <w:t>2891</w:t>
      </w:r>
      <w:r>
        <w:fldChar w:fldCharType="end"/>
      </w:r>
    </w:p>
    <w:p w:rsidR="00DC1C29" w:rsidRDefault="00DC1C29" w:rsidP="00DC1C29"/>
    <w:p w:rsidR="00DC1C29" w:rsidRDefault="00DC1C29" w:rsidP="00DC1C29">
      <w:pPr>
        <w:pStyle w:val="EntradandiceAuto"/>
      </w:pPr>
      <w:r>
        <w:t>Pleno. Auto 73/2016, de 12 de abril de 2016. Inadmite a trámite la cuestión de inconstitucionalidad 5839-2015, planteada por el Juzgado de Primera Instancia núm. 7 de León en relación con el artículo 16.2 de la Ley 8/1997, de 8 de julio, de colegios profesionales de Castilla y León.</w:t>
      </w:r>
      <w:r>
        <w:tab/>
      </w:r>
      <w:r>
        <w:tab/>
      </w:r>
      <w:r>
        <w:fldChar w:fldCharType="begin"/>
      </w:r>
      <w:r>
        <w:instrText xml:space="preserve"> PAGEREF AUTO_2016_73 \h </w:instrText>
      </w:r>
      <w:r>
        <w:fldChar w:fldCharType="separate"/>
      </w:r>
      <w:r w:rsidR="00C13A87">
        <w:rPr>
          <w:noProof/>
        </w:rPr>
        <w:t>2910</w:t>
      </w:r>
      <w:r>
        <w:fldChar w:fldCharType="end"/>
      </w:r>
    </w:p>
    <w:p w:rsidR="00DC1C29" w:rsidRDefault="00DC1C29" w:rsidP="00DC1C29"/>
    <w:p w:rsidR="00DC1C29" w:rsidRDefault="00DC1C29" w:rsidP="00DC1C29">
      <w:pPr>
        <w:pStyle w:val="EntradandiceAuto"/>
      </w:pPr>
      <w:r>
        <w:t>Pleno. Auto 74/2016, de 12 de abril de 2016. Inadmite a trámite la cuestión de inconstitucionalidad 6313-2015, planteada por el Juzgado de lo Contencioso-Administrativo núm. 1 de Santander en relación con el artículo 65 bis.1 de la Ley 2/2001, de 25 de junio, de ordenación territorial y del régimen urbanístico del suelo de Cantabria.</w:t>
      </w:r>
      <w:r>
        <w:tab/>
      </w:r>
      <w:r>
        <w:tab/>
      </w:r>
      <w:r>
        <w:fldChar w:fldCharType="begin"/>
      </w:r>
      <w:r>
        <w:instrText xml:space="preserve"> PAGEREF AUTO_2016_74 \h </w:instrText>
      </w:r>
      <w:r>
        <w:fldChar w:fldCharType="separate"/>
      </w:r>
      <w:r w:rsidR="00C13A87">
        <w:rPr>
          <w:noProof/>
        </w:rPr>
        <w:t>2916</w:t>
      </w:r>
      <w:r>
        <w:fldChar w:fldCharType="end"/>
      </w:r>
    </w:p>
    <w:p w:rsidR="00DC1C29" w:rsidRDefault="00DC1C29" w:rsidP="00DC1C29"/>
    <w:p w:rsidR="00DC1C29" w:rsidRDefault="00DC1C29" w:rsidP="00DC1C29">
      <w:pPr>
        <w:pStyle w:val="EntradandiceAuto"/>
      </w:pPr>
      <w:r>
        <w:t>Pleno. Auto 75/2016, de 12 de abril de 2016. Inadmite a trámite la cuestión de inconstitucionalidad 6314-2015, planteada por la Sección Segunda de la Audiencia Provincial de Ciudad Real en relación con diversos preceptos de la Ley 10/2012, de 20 de noviembre, de tasas en el ámbito de la Administración de justicia y del Instituto Nacional de Toxicología y Ciencias Forenses.</w:t>
      </w:r>
      <w:r>
        <w:tab/>
      </w:r>
      <w:r>
        <w:tab/>
      </w:r>
      <w:r>
        <w:fldChar w:fldCharType="begin"/>
      </w:r>
      <w:r>
        <w:instrText xml:space="preserve"> PAGEREF AUTO_2016_75 \h </w:instrText>
      </w:r>
      <w:r>
        <w:fldChar w:fldCharType="separate"/>
      </w:r>
      <w:r w:rsidR="00C13A87">
        <w:rPr>
          <w:noProof/>
        </w:rPr>
        <w:t>2920</w:t>
      </w:r>
      <w:r>
        <w:fldChar w:fldCharType="end"/>
      </w:r>
    </w:p>
    <w:p w:rsidR="00DC1C29" w:rsidRDefault="00DC1C29" w:rsidP="00DC1C29"/>
    <w:p w:rsidR="00DC1C29" w:rsidRDefault="00DC1C29" w:rsidP="00DC1C29">
      <w:pPr>
        <w:pStyle w:val="EntradandiceAuto"/>
      </w:pPr>
      <w:r>
        <w:t>Pleno. Auto 76/2016, de 12 de abril de 2016. Inadmite a trámite la cuestión de inconstitucionalidad 6539-2015, planteada por la Sala de lo Contencioso-Administrativo del Tribunal Superior de Justicia de Galicia en relación con el artículo 96 de la Ley del Parlamento de Galicia 9/2002, de 30 de diciembre, de ordenación urbanística y protección del medio rural de Galicia.</w:t>
      </w:r>
      <w:r>
        <w:tab/>
      </w:r>
      <w:r>
        <w:tab/>
      </w:r>
      <w:r>
        <w:fldChar w:fldCharType="begin"/>
      </w:r>
      <w:r>
        <w:instrText xml:space="preserve"> PAGEREF AUTO_2016_76 \h </w:instrText>
      </w:r>
      <w:r>
        <w:fldChar w:fldCharType="separate"/>
      </w:r>
      <w:r w:rsidR="00C13A87">
        <w:rPr>
          <w:noProof/>
        </w:rPr>
        <w:t>2925</w:t>
      </w:r>
      <w:r>
        <w:fldChar w:fldCharType="end"/>
      </w:r>
    </w:p>
    <w:p w:rsidR="00DC1C29" w:rsidRDefault="00DC1C29" w:rsidP="00DC1C29"/>
    <w:p w:rsidR="00DC1C29" w:rsidRDefault="00DC1C29" w:rsidP="00DC1C29">
      <w:pPr>
        <w:pStyle w:val="EntradandiceAuto"/>
      </w:pPr>
      <w:r>
        <w:t>Pleno. Auto 77/2016, de 12 de abril de 2016. Inadmite a trámite la cuestión de inconstitucionalidad 6540-2015, planteada por la Sala de lo Contencioso-Administrativo del Tribunal Superior de Justicia de Galicia en relación con el artículo 96 de la Ley del Parlamento de Galicia 9/2002, de 30 de diciembre, de ordenación urbanística y protección del medio rural de Galicia.</w:t>
      </w:r>
      <w:r>
        <w:tab/>
      </w:r>
      <w:r>
        <w:tab/>
      </w:r>
      <w:r>
        <w:fldChar w:fldCharType="begin"/>
      </w:r>
      <w:r>
        <w:instrText xml:space="preserve"> PAGEREF AUTO_2016_77 \h </w:instrText>
      </w:r>
      <w:r>
        <w:fldChar w:fldCharType="separate"/>
      </w:r>
      <w:r w:rsidR="00C13A87">
        <w:rPr>
          <w:noProof/>
        </w:rPr>
        <w:t>2935</w:t>
      </w:r>
      <w:r>
        <w:fldChar w:fldCharType="end"/>
      </w:r>
    </w:p>
    <w:p w:rsidR="00DC1C29" w:rsidRDefault="00DC1C29" w:rsidP="00DC1C29"/>
    <w:p w:rsidR="00DC1C29" w:rsidRDefault="00DC1C29" w:rsidP="00DC1C29">
      <w:pPr>
        <w:pStyle w:val="EntradandiceAuto"/>
      </w:pPr>
      <w:r>
        <w:t>Pleno. Auto 78/2016, de 12 de abril de 2016. Inadmite a trámite la cuestión de inconstitucionalidad 6714-2015, planteada por la Sala de lo Contencioso-Administrativo del Tribunal Superior de Justicia de Galicia en relación con el artículo 96 de la Ley del Parlamento de Galicia 9/2002, de 30 de diciembre, de ordenación urbanística y protección del medio rural de Galicia.</w:t>
      </w:r>
      <w:r>
        <w:tab/>
      </w:r>
      <w:r>
        <w:tab/>
      </w:r>
      <w:r>
        <w:fldChar w:fldCharType="begin"/>
      </w:r>
      <w:r>
        <w:instrText xml:space="preserve"> PAGEREF AUTO_2016_78 \h </w:instrText>
      </w:r>
      <w:r>
        <w:fldChar w:fldCharType="separate"/>
      </w:r>
      <w:r w:rsidR="00C13A87">
        <w:rPr>
          <w:noProof/>
        </w:rPr>
        <w:t>2945</w:t>
      </w:r>
      <w:r>
        <w:fldChar w:fldCharType="end"/>
      </w:r>
    </w:p>
    <w:p w:rsidR="00DC1C29" w:rsidRDefault="00DC1C29" w:rsidP="00DC1C29"/>
    <w:p w:rsidR="00DC1C29" w:rsidRDefault="00DC1C29" w:rsidP="00DC1C29">
      <w:pPr>
        <w:pStyle w:val="EntradandiceAuto"/>
      </w:pPr>
      <w:r>
        <w:t>Pleno. Auto 79/2016, de 12 de abril de 2016. Inadmite a trámite la cuestión de inconstitucionalidad 7354-2015, planteada por el Juzgado de lo Contencioso-Administrativo núm. 2 de Santander en relación con el artículo 65 bis.1 de la Ley 2/2001, de 25 de junio, de ordenación territorial y del régimen urbanístico del suelo de Cantabria.</w:t>
      </w:r>
      <w:r>
        <w:tab/>
      </w:r>
      <w:r>
        <w:tab/>
      </w:r>
      <w:r>
        <w:fldChar w:fldCharType="begin"/>
      </w:r>
      <w:r>
        <w:instrText xml:space="preserve"> PAGEREF AUTO_2016_79 \h </w:instrText>
      </w:r>
      <w:r>
        <w:fldChar w:fldCharType="separate"/>
      </w:r>
      <w:r w:rsidR="00C13A87">
        <w:rPr>
          <w:noProof/>
        </w:rPr>
        <w:t>2954</w:t>
      </w:r>
      <w:r>
        <w:fldChar w:fldCharType="end"/>
      </w:r>
    </w:p>
    <w:p w:rsidR="00DC1C29" w:rsidRDefault="00DC1C29" w:rsidP="00DC1C29"/>
    <w:p w:rsidR="00DC1C29" w:rsidRDefault="00DC1C29" w:rsidP="00DC1C29">
      <w:pPr>
        <w:pStyle w:val="EntradandiceAuto"/>
      </w:pPr>
      <w:r>
        <w:t>Sección Primera. Auto 80/2016, de 13 de abril de 2016. Acuerda el desistimiento en el recurso de amparo 5719-2015, promovido en proceso contencioso-administrativo.</w:t>
      </w:r>
      <w:r>
        <w:tab/>
      </w:r>
      <w:r>
        <w:tab/>
      </w:r>
      <w:r>
        <w:fldChar w:fldCharType="begin"/>
      </w:r>
      <w:r>
        <w:instrText xml:space="preserve"> PAGEREF AUTO_2016_80 \h </w:instrText>
      </w:r>
      <w:r>
        <w:fldChar w:fldCharType="separate"/>
      </w:r>
      <w:r w:rsidR="00C13A87">
        <w:rPr>
          <w:noProof/>
        </w:rPr>
        <w:t>2958</w:t>
      </w:r>
      <w:r>
        <w:fldChar w:fldCharType="end"/>
      </w:r>
    </w:p>
    <w:p w:rsidR="00DC1C29" w:rsidRDefault="00DC1C29" w:rsidP="00DC1C29"/>
    <w:p w:rsidR="00DC1C29" w:rsidRDefault="00DC1C29" w:rsidP="00DC1C29">
      <w:pPr>
        <w:pStyle w:val="EntradandiceAuto"/>
      </w:pPr>
      <w:r>
        <w:t>Sección Primera. Auto 81/2016, de 20 de abril de 2016. Acuerda el desistimiento en el recurso de amparo 3450-2015, promovido en pleito civil.</w:t>
      </w:r>
      <w:r>
        <w:tab/>
      </w:r>
      <w:r>
        <w:tab/>
      </w:r>
      <w:r>
        <w:fldChar w:fldCharType="begin"/>
      </w:r>
      <w:r>
        <w:instrText xml:space="preserve"> PAGEREF AUTO_2016_81 \h </w:instrText>
      </w:r>
      <w:r>
        <w:fldChar w:fldCharType="separate"/>
      </w:r>
      <w:r w:rsidR="00C13A87">
        <w:rPr>
          <w:noProof/>
        </w:rPr>
        <w:t>2959</w:t>
      </w:r>
      <w:r>
        <w:fldChar w:fldCharType="end"/>
      </w:r>
    </w:p>
    <w:p w:rsidR="00DC1C29" w:rsidRDefault="00DC1C29" w:rsidP="00DC1C29"/>
    <w:p w:rsidR="00DC1C29" w:rsidRDefault="00DC1C29" w:rsidP="00DC1C29">
      <w:pPr>
        <w:pStyle w:val="EntradandiceAuto"/>
      </w:pPr>
      <w:r>
        <w:t>Sala Primera. Auto 82/2016, de 25 de abril de 2016. Acuerda la acumulación del recurso de amparo 442-2015 al 4657-2014, promovidos ambos en pleitos mercantiles.</w:t>
      </w:r>
      <w:r>
        <w:tab/>
      </w:r>
      <w:r>
        <w:tab/>
      </w:r>
      <w:r>
        <w:fldChar w:fldCharType="begin"/>
      </w:r>
      <w:r>
        <w:instrText xml:space="preserve"> PAGEREF AUTO_2016_82 \h </w:instrText>
      </w:r>
      <w:r>
        <w:fldChar w:fldCharType="separate"/>
      </w:r>
      <w:r w:rsidR="00C13A87">
        <w:rPr>
          <w:noProof/>
        </w:rPr>
        <w:t>2960</w:t>
      </w:r>
      <w:r>
        <w:fldChar w:fldCharType="end"/>
      </w:r>
    </w:p>
    <w:p w:rsidR="00DC1C29" w:rsidRDefault="00DC1C29" w:rsidP="00DC1C29"/>
    <w:p w:rsidR="00DC1C29" w:rsidRDefault="00DC1C29" w:rsidP="00DC1C29">
      <w:pPr>
        <w:pStyle w:val="EntradandiceAuto"/>
      </w:pPr>
      <w:r>
        <w:t>Pleno. Auto 83/2016, de 26 de abril de 2016. Inadmite a trámite la cuestión de inconstitucionalidad 1338-2015, planteada por la Sala de lo Social del Tribunal Superior de Justicia de Murcia en relación con los artículos 2.2 y 5.1 de la Ley 4/2013, de 12 de junio, de medidas urgentes en materia de gastos de personal y organización administrativa de la Comunidad Autónoma de la Región de Murcia.</w:t>
      </w:r>
      <w:r>
        <w:tab/>
      </w:r>
      <w:r>
        <w:tab/>
      </w:r>
      <w:r>
        <w:fldChar w:fldCharType="begin"/>
      </w:r>
      <w:r>
        <w:instrText xml:space="preserve"> PAGEREF AUTO_2016_83 \h </w:instrText>
      </w:r>
      <w:r>
        <w:fldChar w:fldCharType="separate"/>
      </w:r>
      <w:r w:rsidR="00C13A87">
        <w:rPr>
          <w:noProof/>
        </w:rPr>
        <w:t>2961</w:t>
      </w:r>
      <w:r>
        <w:fldChar w:fldCharType="end"/>
      </w:r>
    </w:p>
    <w:p w:rsidR="00DC1C29" w:rsidRDefault="00DC1C29" w:rsidP="00DC1C29"/>
    <w:p w:rsidR="00DC1C29" w:rsidRDefault="00DC1C29" w:rsidP="00DC1C29">
      <w:pPr>
        <w:pStyle w:val="EntradandiceAuto"/>
      </w:pPr>
      <w:r>
        <w:t>Pleno. Auto 84/2016, de 26 de abril de 2016. Inadmite a trámite la cuestión de inconstitucionalidad 4184-2015, planteada por el Juzgado de lo Contencioso-Administrativo núm. 1 de Ourense en relación con la disposición adicional vigesimoprimera de la Ley 11/2013, de 26 de diciembre, de presupuestos generales de la Comunidad Autónoma de Galicia para el año 2014.</w:t>
      </w:r>
      <w:r>
        <w:tab/>
      </w:r>
      <w:r>
        <w:tab/>
      </w:r>
      <w:r>
        <w:fldChar w:fldCharType="begin"/>
      </w:r>
      <w:r>
        <w:instrText xml:space="preserve"> PAGEREF AUTO_2016_84 \h </w:instrText>
      </w:r>
      <w:r>
        <w:fldChar w:fldCharType="separate"/>
      </w:r>
      <w:r w:rsidR="00C13A87">
        <w:rPr>
          <w:noProof/>
        </w:rPr>
        <w:t>2971</w:t>
      </w:r>
      <w:r>
        <w:fldChar w:fldCharType="end"/>
      </w:r>
    </w:p>
    <w:p w:rsidR="00DC1C29" w:rsidRDefault="00DC1C29" w:rsidP="00DC1C29"/>
    <w:p w:rsidR="00DC1C29" w:rsidRDefault="00DC1C29" w:rsidP="00DC1C29">
      <w:pPr>
        <w:pStyle w:val="EntradandiceAuto"/>
      </w:pPr>
      <w:r>
        <w:t>Pleno. Auto 85/2016, de 26 de abril de 2016. Inadmite a trámite la cuestión de inconstitucionalidad 6541-2015, planteada por la Sala de lo Contencioso-Administrativo del Tribunal Superior de Justicia de Galicia en relación con el artículo 96 de la Ley del Parlamento de Galicia 9/2002, de 30 de diciembre, de ordenación urbanística y protección del medio rural de Galicia.</w:t>
      </w:r>
      <w:r>
        <w:tab/>
      </w:r>
      <w:r>
        <w:tab/>
      </w:r>
      <w:r>
        <w:fldChar w:fldCharType="begin"/>
      </w:r>
      <w:r>
        <w:instrText xml:space="preserve"> PAGEREF AUTO_2016_85 \h </w:instrText>
      </w:r>
      <w:r>
        <w:fldChar w:fldCharType="separate"/>
      </w:r>
      <w:r w:rsidR="00C13A87">
        <w:rPr>
          <w:noProof/>
        </w:rPr>
        <w:t>2985</w:t>
      </w:r>
      <w:r>
        <w:fldChar w:fldCharType="end"/>
      </w:r>
    </w:p>
    <w:p w:rsidR="00DC1C29" w:rsidRDefault="00DC1C29" w:rsidP="00DC1C29"/>
    <w:p w:rsidR="00DC1C29" w:rsidRDefault="00DC1C29" w:rsidP="00DC1C29">
      <w:pPr>
        <w:pStyle w:val="EntradandiceAuto"/>
      </w:pPr>
      <w:r>
        <w:t>Pleno. Auto 86/2016, de 26 de abril de 2016. Inadmite a trámite la cuestión de inconstitucionalidad 6712-2015, planteada por la Sala de lo Contencioso-Administrativo del Tribunal Superior de Justicia de Galicia en relación con el artículo 96 de la Ley del Parlamento de Galicia 9/2002, de 30 de diciembre, de ordenación urbanística y protección del medio rural de Galicia.</w:t>
      </w:r>
      <w:r>
        <w:tab/>
      </w:r>
      <w:r>
        <w:tab/>
      </w:r>
      <w:r>
        <w:fldChar w:fldCharType="begin"/>
      </w:r>
      <w:r>
        <w:instrText xml:space="preserve"> PAGEREF AUTO_2016_86 \h </w:instrText>
      </w:r>
      <w:r>
        <w:fldChar w:fldCharType="separate"/>
      </w:r>
      <w:r w:rsidR="00C13A87">
        <w:rPr>
          <w:noProof/>
        </w:rPr>
        <w:t>2993</w:t>
      </w:r>
      <w:r>
        <w:fldChar w:fldCharType="end"/>
      </w:r>
    </w:p>
    <w:p w:rsidR="00DC1C29" w:rsidRDefault="00DC1C29" w:rsidP="00DC1C29"/>
    <w:p w:rsidR="00DC1C29" w:rsidRDefault="00DC1C29" w:rsidP="00DC1C29">
      <w:pPr>
        <w:pStyle w:val="EntradandiceAuto"/>
      </w:pPr>
      <w:r>
        <w:t>Pleno. Auto 87/2016, de 26 de abril de 2016. Inadmite a trámite la cuestión de inconstitucionalidad 6713-2015, planteada por la Sala de lo Contencioso-Administrativo del Tribunal Superior de Justicia de Galicia en relación con el artículo 96 de la Ley del Parlamento de Galicia 9/2002, de 30 de diciembre, de ordenación urbanística y protección del medio rural de Galicia.</w:t>
      </w:r>
      <w:r>
        <w:tab/>
      </w:r>
      <w:r>
        <w:tab/>
      </w:r>
      <w:r>
        <w:fldChar w:fldCharType="begin"/>
      </w:r>
      <w:r>
        <w:instrText xml:space="preserve"> PAGEREF AUTO_2016_87 \h </w:instrText>
      </w:r>
      <w:r>
        <w:fldChar w:fldCharType="separate"/>
      </w:r>
      <w:r w:rsidR="00C13A87">
        <w:rPr>
          <w:noProof/>
        </w:rPr>
        <w:t>3003</w:t>
      </w:r>
      <w:r>
        <w:fldChar w:fldCharType="end"/>
      </w:r>
    </w:p>
    <w:p w:rsidR="00DC1C29" w:rsidRDefault="00DC1C29" w:rsidP="00DC1C29"/>
    <w:p w:rsidR="00DC1C29" w:rsidRDefault="00DC1C29" w:rsidP="00DC1C29">
      <w:pPr>
        <w:pStyle w:val="EntradandiceAuto"/>
      </w:pPr>
      <w:r>
        <w:t>Pleno. Auto 88/2016, de 26 de abril de 2016. Inadmite a trámite la cuestión de inconstitucionalidad 6758-2015, planteada por la Sala de lo Contencioso-Administrativo del Tribunal Superior de Justicia de Galicia en relación con el artículo 96 de la Ley del Parlamento de Galicia 9/2002, de 30 de diciembre, de ordenación urbanística y protección del medio rural de Galicia.</w:t>
      </w:r>
      <w:r>
        <w:tab/>
      </w:r>
      <w:r>
        <w:tab/>
      </w:r>
      <w:r>
        <w:fldChar w:fldCharType="begin"/>
      </w:r>
      <w:r>
        <w:instrText xml:space="preserve"> PAGEREF AUTO_2016_88 \h </w:instrText>
      </w:r>
      <w:r>
        <w:fldChar w:fldCharType="separate"/>
      </w:r>
      <w:r w:rsidR="00C13A87">
        <w:rPr>
          <w:noProof/>
        </w:rPr>
        <w:t>3012</w:t>
      </w:r>
      <w:r>
        <w:fldChar w:fldCharType="end"/>
      </w:r>
    </w:p>
    <w:p w:rsidR="00DC1C29" w:rsidRDefault="00DC1C29" w:rsidP="00DC1C29"/>
    <w:p w:rsidR="00DC1C29" w:rsidRDefault="00DC1C29" w:rsidP="00DC1C29">
      <w:pPr>
        <w:pStyle w:val="EntradandiceAuto"/>
      </w:pPr>
      <w:r>
        <w:t>Pleno. Auto 89/2016, de 26 de abril de 2016. Acuerda la suspensión parcial en el recurso de inconstitucionalidad 6972-2015, interpuesto por el Presidente del Gobierno en relación con varios preceptos la Ley Foral 15/2015, de 10 de abril, por la que se modifica la Ley Foral 8/2007, de 23 de marzo, de las policías de Navarra.</w:t>
      </w:r>
      <w:r>
        <w:tab/>
      </w:r>
      <w:r>
        <w:tab/>
      </w:r>
      <w:r>
        <w:fldChar w:fldCharType="begin"/>
      </w:r>
      <w:r>
        <w:instrText xml:space="preserve"> PAGEREF AUTO_2016_89 \h </w:instrText>
      </w:r>
      <w:r>
        <w:fldChar w:fldCharType="separate"/>
      </w:r>
      <w:r w:rsidR="00C13A87">
        <w:rPr>
          <w:noProof/>
        </w:rPr>
        <w:t>3021</w:t>
      </w:r>
      <w:r>
        <w:fldChar w:fldCharType="end"/>
      </w:r>
    </w:p>
    <w:p w:rsidR="00DC1C29" w:rsidRDefault="00DC1C29" w:rsidP="00DC1C29"/>
    <w:p w:rsidR="00DC1C29" w:rsidRDefault="00DC1C29" w:rsidP="00DC1C29">
      <w:pPr>
        <w:pStyle w:val="EntradandiceAuto"/>
      </w:pPr>
      <w:r>
        <w:t>Pleno. Auto 90/2016, de 26 de abril de 2016. Acuerda la suspensión parcial en el recurso de inconstitucionalidad 37-2016, interpuesto por el Presidente del Gobierno en relación con la Ley Foral 16/2015, de 10 de abril, de reconocimiento y reparación de las víctimas por actos de motivación política provocados por grupos de extrema derecha o funcionarios públicos.</w:t>
      </w:r>
      <w:r>
        <w:tab/>
      </w:r>
      <w:r>
        <w:tab/>
      </w:r>
      <w:r>
        <w:fldChar w:fldCharType="begin"/>
      </w:r>
      <w:r>
        <w:instrText xml:space="preserve"> PAGEREF AUTO_2016_90 \h </w:instrText>
      </w:r>
      <w:r>
        <w:fldChar w:fldCharType="separate"/>
      </w:r>
      <w:r w:rsidR="00C13A87">
        <w:rPr>
          <w:noProof/>
        </w:rPr>
        <w:t>3037</w:t>
      </w:r>
      <w:r>
        <w:fldChar w:fldCharType="end"/>
      </w:r>
    </w:p>
    <w:p w:rsidR="00DC1C29" w:rsidRDefault="00DC1C29" w:rsidP="00DC1C29"/>
    <w:p w:rsidR="00DC1C29" w:rsidRDefault="00DC1C29" w:rsidP="00DC1C29">
      <w:pPr>
        <w:pStyle w:val="EntradandiceAuto"/>
      </w:pPr>
      <w:r>
        <w:t>Sala Primera. Auto 91/2016, de 27 de abril de 2016. Acuerda la suspensión en el recurso de amparo 184-2016, promovido por don José de Jesús Aguirre Aguirre en causa penal.</w:t>
      </w:r>
      <w:r>
        <w:tab/>
      </w:r>
      <w:r>
        <w:tab/>
      </w:r>
      <w:r>
        <w:fldChar w:fldCharType="begin"/>
      </w:r>
      <w:r>
        <w:instrText xml:space="preserve"> PAGEREF AUTO_2016_91 \h </w:instrText>
      </w:r>
      <w:r>
        <w:fldChar w:fldCharType="separate"/>
      </w:r>
      <w:r w:rsidR="00C13A87">
        <w:rPr>
          <w:noProof/>
        </w:rPr>
        <w:t>3049</w:t>
      </w:r>
      <w:r>
        <w:fldChar w:fldCharType="end"/>
      </w:r>
    </w:p>
    <w:p w:rsidR="00DC1C29" w:rsidRDefault="00DC1C29" w:rsidP="00DC1C29"/>
    <w:p w:rsidR="00DC1C29" w:rsidRDefault="00DC1C29" w:rsidP="00DC1C29">
      <w:pPr>
        <w:pStyle w:val="EntradandiceAuto"/>
      </w:pPr>
      <w:r>
        <w:t>Sección Cuarta. Auto 92/2016, de 29 de abril de 2016. Acuerda el desistimiento en el recurso de amparo 5331-2015, promovido en pleito civil.</w:t>
      </w:r>
      <w:r>
        <w:tab/>
      </w:r>
      <w:r>
        <w:tab/>
      </w:r>
      <w:r>
        <w:fldChar w:fldCharType="begin"/>
      </w:r>
      <w:r>
        <w:instrText xml:space="preserve"> PAGEREF AUTO_2016_92 \h </w:instrText>
      </w:r>
      <w:r>
        <w:fldChar w:fldCharType="separate"/>
      </w:r>
      <w:r w:rsidR="00C13A87">
        <w:rPr>
          <w:noProof/>
        </w:rPr>
        <w:t>3052</w:t>
      </w:r>
      <w:r>
        <w:fldChar w:fldCharType="end"/>
      </w:r>
    </w:p>
    <w:p w:rsidR="00DC1C29" w:rsidRDefault="00DC1C29" w:rsidP="00DC1C29"/>
    <w:p w:rsidR="00DC1C29" w:rsidRDefault="00DC1C29" w:rsidP="00DC1C29">
      <w:pPr>
        <w:pStyle w:val="EntradandiceAuto"/>
      </w:pPr>
      <w:r>
        <w:t>Sección Primera. Auto 93/2016, de 29 de abril de 2016. Acepta dos abstenciones en el recurso de amparo 6344-2015, promovido por Estaser El Mareny, S.L., en pleito civil.</w:t>
      </w:r>
      <w:r>
        <w:tab/>
      </w:r>
      <w:r>
        <w:tab/>
      </w:r>
      <w:r>
        <w:fldChar w:fldCharType="begin"/>
      </w:r>
      <w:r>
        <w:instrText xml:space="preserve"> PAGEREF AUTO_2016_93 \h </w:instrText>
      </w:r>
      <w:r>
        <w:fldChar w:fldCharType="separate"/>
      </w:r>
      <w:r w:rsidR="00C13A87">
        <w:rPr>
          <w:noProof/>
        </w:rPr>
        <w:t>3054</w:t>
      </w:r>
      <w:r>
        <w:fldChar w:fldCharType="end"/>
      </w:r>
    </w:p>
    <w:p w:rsidR="00DC1C29" w:rsidRDefault="00DC1C29" w:rsidP="00DC1C29"/>
    <w:p w:rsidR="00DC1C29" w:rsidRDefault="00DC1C29" w:rsidP="00DC1C29">
      <w:pPr>
        <w:pStyle w:val="EntradandiceAuto"/>
      </w:pPr>
      <w:r>
        <w:t>Sección Cuarta. Auto 94/2016, de 29 de abril de 2016. Acuerda el desistimiento en el recurso de amparo 7353-2015, promovido en pleito civil.</w:t>
      </w:r>
      <w:r>
        <w:tab/>
      </w:r>
      <w:r>
        <w:tab/>
      </w:r>
      <w:r>
        <w:fldChar w:fldCharType="begin"/>
      </w:r>
      <w:r>
        <w:instrText xml:space="preserve"> PAGEREF AUTO_2016_94 \h </w:instrText>
      </w:r>
      <w:r>
        <w:fldChar w:fldCharType="separate"/>
      </w:r>
      <w:r w:rsidR="00C13A87">
        <w:rPr>
          <w:noProof/>
        </w:rPr>
        <w:t>3056</w:t>
      </w:r>
      <w:r>
        <w:fldChar w:fldCharType="end"/>
      </w:r>
    </w:p>
    <w:p w:rsidR="00DC1C29" w:rsidRDefault="00DC1C29" w:rsidP="00DC1C29"/>
    <w:p w:rsidR="00DC1C29" w:rsidRDefault="00DC1C29" w:rsidP="00DC1C29">
      <w:pPr>
        <w:pStyle w:val="EntradandiceAuto"/>
      </w:pPr>
      <w:r>
        <w:t>Sección Cuarta. Auto 95/2016, de 29 de abril de 2016. Acuerda el desistimiento en el recurso de amparo 7487-2015, promovido en pleito civil.</w:t>
      </w:r>
      <w:r>
        <w:tab/>
      </w:r>
      <w:r>
        <w:tab/>
      </w:r>
      <w:r>
        <w:fldChar w:fldCharType="begin"/>
      </w:r>
      <w:r>
        <w:instrText xml:space="preserve"> PAGEREF AUTO_2016_95 \h </w:instrText>
      </w:r>
      <w:r>
        <w:fldChar w:fldCharType="separate"/>
      </w:r>
      <w:r w:rsidR="00C13A87">
        <w:rPr>
          <w:noProof/>
        </w:rPr>
        <w:t>3058</w:t>
      </w:r>
      <w:r>
        <w:fldChar w:fldCharType="end"/>
      </w:r>
    </w:p>
    <w:p w:rsidR="00DC1C29" w:rsidRDefault="00DC1C29" w:rsidP="00DC1C29"/>
    <w:p w:rsidR="00DC1C29" w:rsidRDefault="00DC1C29" w:rsidP="00DC1C29">
      <w:pPr>
        <w:pStyle w:val="EntradandiceAuto"/>
      </w:pPr>
      <w:r>
        <w:t>Sección Cuarta. Auto 96/2016, de 29 de abril de 2016. Acuerda el desistimiento en el recurso de amparo 45-2016, promovido en pleito civil.</w:t>
      </w:r>
      <w:r>
        <w:tab/>
      </w:r>
      <w:r>
        <w:tab/>
      </w:r>
      <w:r>
        <w:fldChar w:fldCharType="begin"/>
      </w:r>
      <w:r>
        <w:instrText xml:space="preserve"> PAGEREF AUTO_2016_96 \h </w:instrText>
      </w:r>
      <w:r>
        <w:fldChar w:fldCharType="separate"/>
      </w:r>
      <w:r w:rsidR="00C13A87">
        <w:rPr>
          <w:noProof/>
        </w:rPr>
        <w:t>3060</w:t>
      </w:r>
      <w:r>
        <w:fldChar w:fldCharType="end"/>
      </w:r>
    </w:p>
    <w:p w:rsidR="00DC1C29" w:rsidRDefault="00DC1C29" w:rsidP="00DC1C29"/>
    <w:p w:rsidR="00DC1C29" w:rsidRDefault="00DC1C29" w:rsidP="00DC1C29">
      <w:pPr>
        <w:pStyle w:val="EntradandiceAuto"/>
      </w:pPr>
      <w:r>
        <w:t>Sala Segunda. Auto 97/2016, de 4 de mayo de 2016. Acepta una abstención en el recurso de amparo 354-2014, promovido por Endesa, S.A., en proceso contencioso-administrativo.</w:t>
      </w:r>
      <w:r>
        <w:tab/>
      </w:r>
      <w:r>
        <w:tab/>
      </w:r>
      <w:r>
        <w:fldChar w:fldCharType="begin"/>
      </w:r>
      <w:r>
        <w:instrText xml:space="preserve"> PAGEREF AUTO_2016_97 \h </w:instrText>
      </w:r>
      <w:r>
        <w:fldChar w:fldCharType="separate"/>
      </w:r>
      <w:r w:rsidR="00C13A87">
        <w:rPr>
          <w:noProof/>
        </w:rPr>
        <w:t>3062</w:t>
      </w:r>
      <w:r>
        <w:fldChar w:fldCharType="end"/>
      </w:r>
    </w:p>
    <w:p w:rsidR="00DC1C29" w:rsidRDefault="00DC1C29" w:rsidP="00DC1C29"/>
    <w:p w:rsidR="00DC1C29" w:rsidRDefault="00DC1C29" w:rsidP="00DC1C29">
      <w:pPr>
        <w:pStyle w:val="EntradandiceAuto"/>
      </w:pPr>
      <w:r>
        <w:t>Sección Segunda. Auto 98/2016, de 4 de mayo de 2016. Desestima el recurso de súplica del Ministerio Fiscal sobre inadmisión del recurso de amparo 4113-2015, promovido por don Francisco Javier Debón Latorre en proceso contencioso-administrativo.</w:t>
      </w:r>
      <w:r>
        <w:tab/>
      </w:r>
      <w:r>
        <w:tab/>
      </w:r>
      <w:r>
        <w:fldChar w:fldCharType="begin"/>
      </w:r>
      <w:r>
        <w:instrText xml:space="preserve"> PAGEREF AUTO_2016_98 \h </w:instrText>
      </w:r>
      <w:r>
        <w:fldChar w:fldCharType="separate"/>
      </w:r>
      <w:r w:rsidR="00C13A87">
        <w:rPr>
          <w:noProof/>
        </w:rPr>
        <w:t>3064</w:t>
      </w:r>
      <w:r>
        <w:fldChar w:fldCharType="end"/>
      </w:r>
    </w:p>
    <w:p w:rsidR="00DC1C29" w:rsidRDefault="00DC1C29" w:rsidP="00DC1C29"/>
    <w:p w:rsidR="00DC1C29" w:rsidRDefault="00DC1C29" w:rsidP="00DC1C29">
      <w:pPr>
        <w:pStyle w:val="EntradandiceAuto"/>
      </w:pPr>
      <w:r>
        <w:t>Sala Primera. Auto 99/2016, de 9 de mayo de 2016. Deniega la suspensión en el recurso de amparo 299-2013, promovido por don Francisco de Asís Serrano Castro en causa penal.</w:t>
      </w:r>
      <w:r>
        <w:tab/>
      </w:r>
      <w:r>
        <w:tab/>
      </w:r>
      <w:r>
        <w:fldChar w:fldCharType="begin"/>
      </w:r>
      <w:r>
        <w:instrText xml:space="preserve"> PAGEREF AUTO_2016_99 \h </w:instrText>
      </w:r>
      <w:r>
        <w:fldChar w:fldCharType="separate"/>
      </w:r>
      <w:r w:rsidR="00C13A87">
        <w:rPr>
          <w:noProof/>
        </w:rPr>
        <w:t>3068</w:t>
      </w:r>
      <w:r>
        <w:fldChar w:fldCharType="end"/>
      </w:r>
    </w:p>
    <w:p w:rsidR="00DC1C29" w:rsidRDefault="00DC1C29" w:rsidP="00DC1C29"/>
    <w:p w:rsidR="00DC1C29" w:rsidRDefault="00DC1C29" w:rsidP="00DC1C29">
      <w:pPr>
        <w:pStyle w:val="EntradandiceAuto"/>
      </w:pPr>
      <w:r>
        <w:t>Sala Segunda. Auto 100/2016, de 9 de mayo de 2016. Declara que no se ha producido la pérdida de objeto en el recurso de amparo 354-2014, promovido por Endesa, S.A., en proceso contencioso-administrativo.</w:t>
      </w:r>
      <w:r>
        <w:tab/>
      </w:r>
      <w:r>
        <w:tab/>
      </w:r>
      <w:r>
        <w:fldChar w:fldCharType="begin"/>
      </w:r>
      <w:r>
        <w:instrText xml:space="preserve"> PAGEREF AUTO_2016_100 \h </w:instrText>
      </w:r>
      <w:r>
        <w:fldChar w:fldCharType="separate"/>
      </w:r>
      <w:r w:rsidR="00C13A87">
        <w:rPr>
          <w:noProof/>
        </w:rPr>
        <w:t>3073</w:t>
      </w:r>
      <w:r>
        <w:fldChar w:fldCharType="end"/>
      </w:r>
    </w:p>
    <w:p w:rsidR="00DC1C29" w:rsidRDefault="00DC1C29" w:rsidP="00DC1C29"/>
    <w:p w:rsidR="00DC1C29" w:rsidRDefault="00DC1C29" w:rsidP="00DC1C29">
      <w:pPr>
        <w:pStyle w:val="EntradandiceAuto"/>
      </w:pPr>
      <w:r>
        <w:t>Pleno. Auto 101/2016, de 10 de mayo de 2016. Inadmite a trámite la cuestión de inconstitucionalidad 4741-2015, planteada por el Juzgado de lo Contencioso-Administrativo núm. 1 de Ourense en relación con el apartado 2 de la disposición adicional vigesimoprimera de la Ley 11/2013, de 26 de diciembre, de presupuestos generales de la Comunidad Autónoma de Galicia para el año 2014.</w:t>
      </w:r>
      <w:r>
        <w:tab/>
      </w:r>
      <w:r>
        <w:tab/>
      </w:r>
      <w:r>
        <w:fldChar w:fldCharType="begin"/>
      </w:r>
      <w:r>
        <w:instrText xml:space="preserve"> PAGEREF AUTO_2016_101 \h </w:instrText>
      </w:r>
      <w:r>
        <w:fldChar w:fldCharType="separate"/>
      </w:r>
      <w:r w:rsidR="00C13A87">
        <w:rPr>
          <w:noProof/>
        </w:rPr>
        <w:t>3078</w:t>
      </w:r>
      <w:r>
        <w:fldChar w:fldCharType="end"/>
      </w:r>
    </w:p>
    <w:p w:rsidR="00DC1C29" w:rsidRDefault="00DC1C29" w:rsidP="00DC1C29"/>
    <w:p w:rsidR="00DC1C29" w:rsidRDefault="00DC1C29" w:rsidP="00DC1C29">
      <w:pPr>
        <w:pStyle w:val="EntradandiceAuto"/>
      </w:pPr>
      <w:r>
        <w:t>Pleno. Auto 102/2016, de 10 de mayo de 2016. Inadmite a trámite la cuestión de inconstitucionalidad 5152-2015, planteada por el Juzgado de lo Contencioso-Administrativo núm. 1 de Ourense en relación con el apartado 2 de la disposición adicional vigesimoprimera de la Ley 11/2013, de 26 de diciembre, de presupuestos generales de la Comunidad Autónoma de Galicia para el año 2014.</w:t>
      </w:r>
      <w:r>
        <w:tab/>
      </w:r>
      <w:r>
        <w:tab/>
      </w:r>
      <w:r>
        <w:fldChar w:fldCharType="begin"/>
      </w:r>
      <w:r>
        <w:instrText xml:space="preserve"> PAGEREF AUTO_2016_102 \h </w:instrText>
      </w:r>
      <w:r>
        <w:fldChar w:fldCharType="separate"/>
      </w:r>
      <w:r w:rsidR="00C13A87">
        <w:rPr>
          <w:noProof/>
        </w:rPr>
        <w:t>3088</w:t>
      </w:r>
      <w:r>
        <w:fldChar w:fldCharType="end"/>
      </w:r>
    </w:p>
    <w:p w:rsidR="00DC1C29" w:rsidRDefault="00DC1C29" w:rsidP="00DC1C29"/>
    <w:p w:rsidR="00DC1C29" w:rsidRDefault="00DC1C29" w:rsidP="00DC1C29">
      <w:pPr>
        <w:pStyle w:val="EntradandiceAuto"/>
      </w:pPr>
      <w:r>
        <w:t>Pleno. Auto 103/2016, de 10 de mayo de 2016. Inadmite a trámite la cuestión de inconstitucionalidad 5818-2015, planteada por el Juzgado de lo Contencioso-Administrativo núm. 2 de Ourense en relación con el apartado 2 de la disposición adicional vigesimoprimera de la Ley 11/2013, de 26 de diciembre, de presupuestos generales de la Comunidad Autónoma de Galicia para el año 2014.</w:t>
      </w:r>
      <w:r>
        <w:tab/>
      </w:r>
      <w:r>
        <w:tab/>
      </w:r>
      <w:r>
        <w:fldChar w:fldCharType="begin"/>
      </w:r>
      <w:r>
        <w:instrText xml:space="preserve"> PAGEREF AUTO_2016_103 \h </w:instrText>
      </w:r>
      <w:r>
        <w:fldChar w:fldCharType="separate"/>
      </w:r>
      <w:r w:rsidR="00C13A87">
        <w:rPr>
          <w:noProof/>
        </w:rPr>
        <w:t>3099</w:t>
      </w:r>
      <w:r>
        <w:fldChar w:fldCharType="end"/>
      </w:r>
    </w:p>
    <w:p w:rsidR="00DC1C29" w:rsidRDefault="00DC1C29" w:rsidP="00DC1C29"/>
    <w:p w:rsidR="00DC1C29" w:rsidRDefault="00DC1C29" w:rsidP="00DC1C29">
      <w:pPr>
        <w:pStyle w:val="EntradandiceAuto"/>
      </w:pPr>
      <w:r>
        <w:t>Pleno. Auto 104/2016, de 10 de mayo de 2016. Inadmite a trámite la cuestión de inconstitucionalidad 6759-2015, planteada por el Tribunal Superior de Justicia de Galicia en relación con el artículo 96 de la Ley del Parlamento de Galicia 9/2002, de 30 de diciembre, de ordenación urbanística y protección del medio rural de Galicia.</w:t>
      </w:r>
      <w:r>
        <w:tab/>
      </w:r>
      <w:r>
        <w:tab/>
      </w:r>
      <w:r>
        <w:fldChar w:fldCharType="begin"/>
      </w:r>
      <w:r>
        <w:instrText xml:space="preserve"> PAGEREF AUTO_2016_104 \h </w:instrText>
      </w:r>
      <w:r>
        <w:fldChar w:fldCharType="separate"/>
      </w:r>
      <w:r w:rsidR="00C13A87">
        <w:rPr>
          <w:noProof/>
        </w:rPr>
        <w:t>3112</w:t>
      </w:r>
      <w:r>
        <w:fldChar w:fldCharType="end"/>
      </w:r>
    </w:p>
    <w:p w:rsidR="00DC1C29" w:rsidRDefault="00DC1C29" w:rsidP="00DC1C29"/>
    <w:p w:rsidR="00DC1C29" w:rsidRDefault="00DC1C29" w:rsidP="00DC1C29">
      <w:pPr>
        <w:pStyle w:val="EntradandiceAuto"/>
      </w:pPr>
      <w:r>
        <w:t>Pleno. Auto 105/2016, de 10 de mayo de 2016. Levanta la suspensión en el recurso de inconstitucionalidad 36-2016, interpuesto por el Presidente del Gobierno en relación con el apartado 12 del artículo único de la Ley 11/2015, de 30 de marzo, de modificación de la Ley 10/2006, de 21 de diciembre, de energías renovables y ahorro y eficiencia energética de la Región de Murcia.</w:t>
      </w:r>
      <w:r>
        <w:tab/>
      </w:r>
      <w:r>
        <w:tab/>
      </w:r>
      <w:r>
        <w:fldChar w:fldCharType="begin"/>
      </w:r>
      <w:r>
        <w:instrText xml:space="preserve"> PAGEREF AUTO_2016_105 \h </w:instrText>
      </w:r>
      <w:r>
        <w:fldChar w:fldCharType="separate"/>
      </w:r>
      <w:r w:rsidR="00C13A87">
        <w:rPr>
          <w:noProof/>
        </w:rPr>
        <w:t>3121</w:t>
      </w:r>
      <w:r>
        <w:fldChar w:fldCharType="end"/>
      </w:r>
    </w:p>
    <w:p w:rsidR="00DC1C29" w:rsidRDefault="00DC1C29" w:rsidP="00DC1C29"/>
    <w:p w:rsidR="00DC1C29" w:rsidRDefault="00DC1C29" w:rsidP="00DC1C29">
      <w:pPr>
        <w:pStyle w:val="EntradandiceAuto"/>
      </w:pPr>
      <w:r>
        <w:t>Sala Segunda. Auto 106/2016, de 11 de mayo de 2016. Acepta una abstención en el recurso de amparo 6887-2014, promovido por Iberdrola, S.A., en proceso contencioso-administrativo.</w:t>
      </w:r>
      <w:r>
        <w:tab/>
      </w:r>
      <w:r>
        <w:tab/>
      </w:r>
      <w:r>
        <w:fldChar w:fldCharType="begin"/>
      </w:r>
      <w:r>
        <w:instrText xml:space="preserve"> PAGEREF AUTO_2016_106 \h </w:instrText>
      </w:r>
      <w:r>
        <w:fldChar w:fldCharType="separate"/>
      </w:r>
      <w:r w:rsidR="00C13A87">
        <w:rPr>
          <w:noProof/>
        </w:rPr>
        <w:t>3134</w:t>
      </w:r>
      <w:r>
        <w:fldChar w:fldCharType="end"/>
      </w:r>
    </w:p>
    <w:p w:rsidR="00DC1C29" w:rsidRDefault="00DC1C29" w:rsidP="00DC1C29"/>
    <w:p w:rsidR="00DC1C29" w:rsidRDefault="00DC1C29" w:rsidP="00DC1C29">
      <w:pPr>
        <w:pStyle w:val="EntradandiceAuto"/>
      </w:pPr>
      <w:r>
        <w:t>Sección Segunda. Auto 107/2016, de 12 de mayo de 2016. Desestima el recurso de súplica del Ministerio Fiscal sobre inadmisión del recurso de amparo 3868-2013, promovido bajo la dirección letrada de don Jesús Feliu Daviu en pleito civil.</w:t>
      </w:r>
      <w:r>
        <w:tab/>
      </w:r>
      <w:r>
        <w:tab/>
      </w:r>
      <w:r>
        <w:fldChar w:fldCharType="begin"/>
      </w:r>
      <w:r>
        <w:instrText xml:space="preserve"> PAGEREF AUTO_2016_107 \h </w:instrText>
      </w:r>
      <w:r>
        <w:fldChar w:fldCharType="separate"/>
      </w:r>
      <w:r w:rsidR="00C13A87">
        <w:rPr>
          <w:noProof/>
        </w:rPr>
        <w:t>3136</w:t>
      </w:r>
      <w:r>
        <w:fldChar w:fldCharType="end"/>
      </w:r>
    </w:p>
    <w:p w:rsidR="00DC1C29" w:rsidRDefault="00DC1C29" w:rsidP="00DC1C29"/>
    <w:p w:rsidR="00DC1C29" w:rsidRDefault="00DC1C29" w:rsidP="00DC1C29">
      <w:pPr>
        <w:pStyle w:val="EntradandiceAuto"/>
      </w:pPr>
      <w:r>
        <w:t>Sección Cuarta. Auto 108/2016, de 13 de mayo de 2016. Estima el recurso de súplica del Ministerio Fiscal sobre inadmisión del recurso de amparo 4763-2015, promovido por doña Begoña Dacal Borrajo en litigio social.</w:t>
      </w:r>
      <w:r>
        <w:tab/>
      </w:r>
      <w:r>
        <w:tab/>
      </w:r>
      <w:r>
        <w:fldChar w:fldCharType="begin"/>
      </w:r>
      <w:r>
        <w:instrText xml:space="preserve"> PAGEREF AUTO_2016_108 \h </w:instrText>
      </w:r>
      <w:r>
        <w:fldChar w:fldCharType="separate"/>
      </w:r>
      <w:r w:rsidR="00C13A87">
        <w:rPr>
          <w:noProof/>
        </w:rPr>
        <w:t>3139</w:t>
      </w:r>
      <w:r>
        <w:fldChar w:fldCharType="end"/>
      </w:r>
    </w:p>
    <w:p w:rsidR="00DC1C29" w:rsidRDefault="00DC1C29" w:rsidP="00DC1C29"/>
    <w:p w:rsidR="00DC1C29" w:rsidRDefault="00DC1C29" w:rsidP="00DC1C29">
      <w:pPr>
        <w:pStyle w:val="EntradandiceAuto"/>
      </w:pPr>
      <w:r>
        <w:t>Sección Cuarta. Auto 109/2016, de 17 de mayo de 2016. Desestima el recurso de súplica del Ministerio Fiscal sobre inadmisión del recurso de amparo 6298-2015, promovido por don Jordi Mensa Rovira en pleito civil.</w:t>
      </w:r>
      <w:r>
        <w:tab/>
      </w:r>
      <w:r>
        <w:tab/>
      </w:r>
      <w:r>
        <w:fldChar w:fldCharType="begin"/>
      </w:r>
      <w:r>
        <w:instrText xml:space="preserve"> PAGEREF AUTO_2016_109 \h </w:instrText>
      </w:r>
      <w:r>
        <w:fldChar w:fldCharType="separate"/>
      </w:r>
      <w:r w:rsidR="00C13A87">
        <w:rPr>
          <w:noProof/>
        </w:rPr>
        <w:t>3142</w:t>
      </w:r>
      <w:r>
        <w:fldChar w:fldCharType="end"/>
      </w:r>
    </w:p>
    <w:p w:rsidR="00DC1C29" w:rsidRDefault="00DC1C29" w:rsidP="00DC1C29"/>
    <w:p w:rsidR="00DC1C29" w:rsidRDefault="00DC1C29" w:rsidP="00DC1C29">
      <w:pPr>
        <w:pStyle w:val="EntradandiceAuto"/>
      </w:pPr>
      <w:r>
        <w:t>Sala Primera. Auto 110/2016, de 23 de mayo de 2016. Ordena la cancelación de la anotación preventiva en el Registro de la Propiedad de la demanda de amparo núm. 1196-2013.</w:t>
      </w:r>
      <w:r>
        <w:tab/>
      </w:r>
      <w:r>
        <w:tab/>
      </w:r>
      <w:r>
        <w:fldChar w:fldCharType="begin"/>
      </w:r>
      <w:r>
        <w:instrText xml:space="preserve"> PAGEREF AUTO_2016_110 \h </w:instrText>
      </w:r>
      <w:r>
        <w:fldChar w:fldCharType="separate"/>
      </w:r>
      <w:r w:rsidR="00C13A87">
        <w:rPr>
          <w:noProof/>
        </w:rPr>
        <w:t>3146</w:t>
      </w:r>
      <w:r>
        <w:fldChar w:fldCharType="end"/>
      </w:r>
    </w:p>
    <w:p w:rsidR="00DC1C29" w:rsidRDefault="00DC1C29" w:rsidP="00DC1C29"/>
    <w:p w:rsidR="00DC1C29" w:rsidRDefault="00DC1C29" w:rsidP="00DC1C29">
      <w:pPr>
        <w:pStyle w:val="EntradandiceAuto"/>
      </w:pPr>
      <w:r>
        <w:t>Pleno. Auto 111/2016, de 24 de mayo de 2016. Acepta una abstención en el recurso de amparo 6237-2011, promovido por doña Susana Pérez-Alonso García-Scheredre en pleito civil.</w:t>
      </w:r>
      <w:r>
        <w:tab/>
      </w:r>
      <w:r>
        <w:tab/>
      </w:r>
      <w:r>
        <w:fldChar w:fldCharType="begin"/>
      </w:r>
      <w:r>
        <w:instrText xml:space="preserve"> PAGEREF AUTO_2016_111 \h </w:instrText>
      </w:r>
      <w:r>
        <w:fldChar w:fldCharType="separate"/>
      </w:r>
      <w:r w:rsidR="00C13A87">
        <w:rPr>
          <w:noProof/>
        </w:rPr>
        <w:t>3150</w:t>
      </w:r>
      <w:r>
        <w:fldChar w:fldCharType="end"/>
      </w:r>
    </w:p>
    <w:p w:rsidR="00DC1C29" w:rsidRDefault="00DC1C29" w:rsidP="00DC1C29"/>
    <w:p w:rsidR="00DC1C29" w:rsidRDefault="00DC1C29" w:rsidP="00DC1C29">
      <w:pPr>
        <w:pStyle w:val="EntradandiceAuto"/>
      </w:pPr>
      <w:r>
        <w:t>Sección Primera. Auto 112/2016, de 24 de mayo de 2016. Desestima el recurso de súplica del Ministerio Fiscal sobre inadmisión del recurso de amparo 6382-2015, promovido por doña Yuanfang Wei en causa penal. Voto particular.</w:t>
      </w:r>
      <w:r>
        <w:tab/>
      </w:r>
      <w:r>
        <w:tab/>
      </w:r>
      <w:r>
        <w:fldChar w:fldCharType="begin"/>
      </w:r>
      <w:r>
        <w:instrText xml:space="preserve"> PAGEREF AUTO_2016_112 \h </w:instrText>
      </w:r>
      <w:r>
        <w:fldChar w:fldCharType="separate"/>
      </w:r>
      <w:r w:rsidR="00C13A87">
        <w:rPr>
          <w:noProof/>
        </w:rPr>
        <w:t>3152</w:t>
      </w:r>
      <w:r>
        <w:fldChar w:fldCharType="end"/>
      </w:r>
    </w:p>
    <w:p w:rsidR="00DC1C29" w:rsidRDefault="00DC1C29" w:rsidP="00DC1C29"/>
    <w:p w:rsidR="00DC1C29" w:rsidRDefault="00DC1C29" w:rsidP="00DC1C29">
      <w:pPr>
        <w:pStyle w:val="EntradandiceAuto"/>
      </w:pPr>
      <w:r>
        <w:t>Pleno. Auto 113/2016, de 24 de mayo de 2016. Inadmite a trámite la cuestión de inconstitucionalidad 826-2016, planteada por el Juzgado de lo Contencioso-Administrativo núm. 1 de Santiago de Compostela en relación con la disposición adicional vigesimoprimera de la Ley 11/2013, de 26 de diciembre, de presupuestos generales de la Comunidad Autónoma de Galicia para el año 2014.</w:t>
      </w:r>
      <w:r>
        <w:tab/>
      </w:r>
      <w:r>
        <w:tab/>
      </w:r>
      <w:r>
        <w:fldChar w:fldCharType="begin"/>
      </w:r>
      <w:r>
        <w:instrText xml:space="preserve"> PAGEREF AUTO_2016_113 \h </w:instrText>
      </w:r>
      <w:r>
        <w:fldChar w:fldCharType="separate"/>
      </w:r>
      <w:r w:rsidR="00C13A87">
        <w:rPr>
          <w:noProof/>
        </w:rPr>
        <w:t>3161</w:t>
      </w:r>
      <w:r>
        <w:fldChar w:fldCharType="end"/>
      </w:r>
    </w:p>
    <w:p w:rsidR="00DC1C29" w:rsidRDefault="00DC1C29" w:rsidP="00DC1C29"/>
    <w:p w:rsidR="00DC1C29" w:rsidRDefault="00DC1C29" w:rsidP="00DC1C29">
      <w:pPr>
        <w:pStyle w:val="EntradandiceAuto"/>
      </w:pPr>
      <w:r>
        <w:t>Sección Cuarta. Auto 114/2016, de 26 de mayo de 2016. Acuerda la suspensión en el recurso de amparo 1920-2015, promovido por don Luis Enrique Lamadriz en proceso contencioso-administrativo.</w:t>
      </w:r>
      <w:r>
        <w:tab/>
      </w:r>
      <w:r>
        <w:tab/>
      </w:r>
      <w:r>
        <w:fldChar w:fldCharType="begin"/>
      </w:r>
      <w:r>
        <w:instrText xml:space="preserve"> PAGEREF AUTO_2016_114 \h </w:instrText>
      </w:r>
      <w:r>
        <w:fldChar w:fldCharType="separate"/>
      </w:r>
      <w:r w:rsidR="00C13A87">
        <w:rPr>
          <w:noProof/>
        </w:rPr>
        <w:t>3168</w:t>
      </w:r>
      <w:r>
        <w:fldChar w:fldCharType="end"/>
      </w:r>
    </w:p>
    <w:p w:rsidR="00DC1C29" w:rsidRDefault="00DC1C29" w:rsidP="00DC1C29"/>
    <w:p w:rsidR="00DC1C29" w:rsidRDefault="00DC1C29" w:rsidP="00DC1C29">
      <w:pPr>
        <w:pStyle w:val="EntradandiceAuto"/>
      </w:pPr>
      <w:r>
        <w:t>Sección Primera. Auto 115/2016, de 26 de mayo de 2016. Acuerda el desistimiento en el recurso de amparo 7352-2015, promovido en pleito civil.</w:t>
      </w:r>
      <w:r>
        <w:tab/>
      </w:r>
      <w:r>
        <w:tab/>
      </w:r>
      <w:r>
        <w:fldChar w:fldCharType="begin"/>
      </w:r>
      <w:r>
        <w:instrText xml:space="preserve"> PAGEREF AUTO_2016_115 \h </w:instrText>
      </w:r>
      <w:r>
        <w:fldChar w:fldCharType="separate"/>
      </w:r>
      <w:r w:rsidR="00C13A87">
        <w:rPr>
          <w:noProof/>
        </w:rPr>
        <w:t>3171</w:t>
      </w:r>
      <w:r>
        <w:fldChar w:fldCharType="end"/>
      </w:r>
    </w:p>
    <w:p w:rsidR="00DC1C29" w:rsidRDefault="00DC1C29" w:rsidP="00DC1C29"/>
    <w:p w:rsidR="00DC1C29" w:rsidRDefault="00DC1C29" w:rsidP="00DC1C29">
      <w:pPr>
        <w:pStyle w:val="EntradandiceAuto"/>
      </w:pPr>
      <w:r>
        <w:t>Sección Primera. Auto 116/2016, de 1 de junio de 2016. Acuerda el desistimiento en el recurso de amparo 7350-2015, promovido en pleito civil.</w:t>
      </w:r>
      <w:r>
        <w:tab/>
      </w:r>
      <w:r>
        <w:tab/>
      </w:r>
      <w:r>
        <w:fldChar w:fldCharType="begin"/>
      </w:r>
      <w:r>
        <w:instrText xml:space="preserve"> PAGEREF AUTO_2016_116 \h </w:instrText>
      </w:r>
      <w:r>
        <w:fldChar w:fldCharType="separate"/>
      </w:r>
      <w:r w:rsidR="00C13A87">
        <w:rPr>
          <w:noProof/>
        </w:rPr>
        <w:t>3173</w:t>
      </w:r>
      <w:r>
        <w:fldChar w:fldCharType="end"/>
      </w:r>
    </w:p>
    <w:p w:rsidR="00DC1C29" w:rsidRDefault="00DC1C29" w:rsidP="00DC1C29"/>
    <w:p w:rsidR="00DC1C29" w:rsidRDefault="00DC1C29" w:rsidP="00DC1C29">
      <w:pPr>
        <w:pStyle w:val="EntradandiceAuto"/>
      </w:pPr>
      <w:r>
        <w:t>Sección Tercera. Auto 117/2016, de 1 de junio de 2016. Acuerda el desistimiento en el recurso de amparo 7351-2015, promovido en pleito civil.</w:t>
      </w:r>
      <w:r>
        <w:tab/>
      </w:r>
      <w:r>
        <w:tab/>
      </w:r>
      <w:r>
        <w:fldChar w:fldCharType="begin"/>
      </w:r>
      <w:r>
        <w:instrText xml:space="preserve"> PAGEREF AUTO_2016_117 \h </w:instrText>
      </w:r>
      <w:r>
        <w:fldChar w:fldCharType="separate"/>
      </w:r>
      <w:r w:rsidR="00C13A87">
        <w:rPr>
          <w:noProof/>
        </w:rPr>
        <w:t>3175</w:t>
      </w:r>
      <w:r>
        <w:fldChar w:fldCharType="end"/>
      </w:r>
    </w:p>
    <w:p w:rsidR="00DC1C29" w:rsidRDefault="00DC1C29" w:rsidP="00DC1C29"/>
    <w:p w:rsidR="00DC1C29" w:rsidRDefault="00DC1C29" w:rsidP="00DC1C29">
      <w:pPr>
        <w:pStyle w:val="EntradandiceAuto"/>
      </w:pPr>
      <w:r>
        <w:t>Sección Primera. Auto 118/2016, de 1 de junio de 2016. Acuerda el desistimiento en el recurso de amparo 46-2016, promovido en pleito civil.</w:t>
      </w:r>
      <w:r>
        <w:tab/>
      </w:r>
      <w:r>
        <w:tab/>
      </w:r>
      <w:r>
        <w:fldChar w:fldCharType="begin"/>
      </w:r>
      <w:r>
        <w:instrText xml:space="preserve"> PAGEREF AUTO_2016_118 \h </w:instrText>
      </w:r>
      <w:r>
        <w:fldChar w:fldCharType="separate"/>
      </w:r>
      <w:r w:rsidR="00C13A87">
        <w:rPr>
          <w:noProof/>
        </w:rPr>
        <w:t>3177</w:t>
      </w:r>
      <w:r>
        <w:fldChar w:fldCharType="end"/>
      </w:r>
    </w:p>
    <w:p w:rsidR="00DC1C29" w:rsidRDefault="00DC1C29" w:rsidP="00DC1C29"/>
    <w:p w:rsidR="00DC1C29" w:rsidRDefault="00DC1C29" w:rsidP="00DC1C29">
      <w:pPr>
        <w:pStyle w:val="EntradandiceAuto"/>
      </w:pPr>
      <w:r>
        <w:t>Sección Tercera. Auto 119/2016, de 1 de junio de 2016. Acuerda el desistimiento en el recurso de amparo 47-2016, promovido en pleito civil.</w:t>
      </w:r>
      <w:r>
        <w:tab/>
      </w:r>
      <w:r>
        <w:tab/>
      </w:r>
      <w:r>
        <w:fldChar w:fldCharType="begin"/>
      </w:r>
      <w:r>
        <w:instrText xml:space="preserve"> PAGEREF AUTO_2016_119 \h </w:instrText>
      </w:r>
      <w:r>
        <w:fldChar w:fldCharType="separate"/>
      </w:r>
      <w:r w:rsidR="00C13A87">
        <w:rPr>
          <w:noProof/>
        </w:rPr>
        <w:t>3179</w:t>
      </w:r>
      <w:r>
        <w:fldChar w:fldCharType="end"/>
      </w:r>
    </w:p>
    <w:p w:rsidR="00DC1C29" w:rsidRDefault="00DC1C29" w:rsidP="00DC1C29"/>
    <w:p w:rsidR="00DC1C29" w:rsidRDefault="00DC1C29" w:rsidP="00DC1C29">
      <w:pPr>
        <w:pStyle w:val="EntradandiceAuto"/>
      </w:pPr>
      <w:r>
        <w:t>Sección Segunda. Auto 120/2016, de 6 de junio de 2016. Acuerda el desistimiento en el recurso de amparo 7486-2015, promovido en pleito civil.</w:t>
      </w:r>
      <w:r>
        <w:tab/>
      </w:r>
      <w:r>
        <w:tab/>
      </w:r>
      <w:r>
        <w:fldChar w:fldCharType="begin"/>
      </w:r>
      <w:r>
        <w:instrText xml:space="preserve"> PAGEREF AUTO_2016_120 \h </w:instrText>
      </w:r>
      <w:r>
        <w:fldChar w:fldCharType="separate"/>
      </w:r>
      <w:r w:rsidR="00C13A87">
        <w:rPr>
          <w:noProof/>
        </w:rPr>
        <w:t>3181</w:t>
      </w:r>
      <w:r>
        <w:fldChar w:fldCharType="end"/>
      </w:r>
    </w:p>
    <w:p w:rsidR="00DC1C29" w:rsidRDefault="00DC1C29" w:rsidP="00DC1C29"/>
    <w:p w:rsidR="00DC1C29" w:rsidRDefault="00DC1C29" w:rsidP="00DC1C29">
      <w:pPr>
        <w:pStyle w:val="EntradandiceAuto"/>
      </w:pPr>
      <w:r>
        <w:t>Pleno. Auto 121/2016, de 7 de junio de 2016. Acuerda la extinción, por desaparición sobrevenida de objeto, del recurso de inconstitucionalidad 1883-2013, interpuesto por más de cincuenta Senadores del Grupo Parlamentario Socialista respecto de diversos preceptos de la Ley de la Asamblea de Madrid 5/2012 , de 20 de diciembre, de viviendas rurales sostenibles.</w:t>
      </w:r>
      <w:r>
        <w:tab/>
      </w:r>
      <w:r>
        <w:tab/>
      </w:r>
      <w:r>
        <w:fldChar w:fldCharType="begin"/>
      </w:r>
      <w:r>
        <w:instrText xml:space="preserve"> PAGEREF AUTO_2016_121 \h </w:instrText>
      </w:r>
      <w:r>
        <w:fldChar w:fldCharType="separate"/>
      </w:r>
      <w:r w:rsidR="00C13A87">
        <w:rPr>
          <w:noProof/>
        </w:rPr>
        <w:t>3183</w:t>
      </w:r>
      <w:r>
        <w:fldChar w:fldCharType="end"/>
      </w:r>
    </w:p>
    <w:p w:rsidR="00DC1C29" w:rsidRDefault="00DC1C29" w:rsidP="00DC1C29"/>
    <w:p w:rsidR="00DC1C29" w:rsidRDefault="00DC1C29" w:rsidP="00DC1C29">
      <w:pPr>
        <w:pStyle w:val="EntradandiceAuto"/>
      </w:pPr>
      <w:r>
        <w:t>Pleno. Auto 122/2016, de 7 de junio de 2016. Inadmite a trámite la cuestión de inconstitucionalidad 7265-2015, planteada por la Audiencia Provincial de Málaga en relación con diversos preceptos de la Ley 11/2003, de 21 de mayo, reguladora de los equipos conjuntos de investigación penal en el ámbito de la Unión Europea.</w:t>
      </w:r>
      <w:r>
        <w:tab/>
      </w:r>
      <w:r>
        <w:tab/>
      </w:r>
      <w:r>
        <w:fldChar w:fldCharType="begin"/>
      </w:r>
      <w:r>
        <w:instrText xml:space="preserve"> PAGEREF AUTO_2016_122 \h </w:instrText>
      </w:r>
      <w:r>
        <w:fldChar w:fldCharType="separate"/>
      </w:r>
      <w:r w:rsidR="00C13A87">
        <w:rPr>
          <w:noProof/>
        </w:rPr>
        <w:t>3186</w:t>
      </w:r>
      <w:r>
        <w:fldChar w:fldCharType="end"/>
      </w:r>
    </w:p>
    <w:p w:rsidR="00DC1C29" w:rsidRDefault="00DC1C29" w:rsidP="00DC1C29"/>
    <w:p w:rsidR="00DC1C29" w:rsidRDefault="00DC1C29" w:rsidP="00DC1C29">
      <w:pPr>
        <w:pStyle w:val="EntradandiceAuto"/>
      </w:pPr>
      <w:r>
        <w:t>Sección Tercera. Auto 123/2016, de 9 de junio de 2016. Desestima el recurso de súplica planteado en relación con la denegación de asistencia jurídica gratuita en el recurso de amparo 3448-2014, promovido por don José Martínez Rodríguez en causa penal.</w:t>
      </w:r>
      <w:r>
        <w:tab/>
      </w:r>
      <w:r>
        <w:tab/>
      </w:r>
      <w:r>
        <w:fldChar w:fldCharType="begin"/>
      </w:r>
      <w:r>
        <w:instrText xml:space="preserve"> PAGEREF AUTO_2016_123 \h </w:instrText>
      </w:r>
      <w:r>
        <w:fldChar w:fldCharType="separate"/>
      </w:r>
      <w:r w:rsidR="00C13A87">
        <w:rPr>
          <w:noProof/>
        </w:rPr>
        <w:t>3198</w:t>
      </w:r>
      <w:r>
        <w:fldChar w:fldCharType="end"/>
      </w:r>
    </w:p>
    <w:p w:rsidR="00DC1C29" w:rsidRDefault="00DC1C29" w:rsidP="00DC1C29"/>
    <w:p w:rsidR="00DC1C29" w:rsidRDefault="00DC1C29" w:rsidP="00DC1C29">
      <w:pPr>
        <w:pStyle w:val="EntradandiceAuto"/>
      </w:pPr>
      <w:r>
        <w:t>Sección Primera. Auto 124/2016, de 15 de junio de 2016. Acuerda el desistimiento en el recurso de amparo 6702-2015, promovido en pleito civil.</w:t>
      </w:r>
      <w:r>
        <w:tab/>
      </w:r>
      <w:r>
        <w:tab/>
      </w:r>
      <w:r>
        <w:fldChar w:fldCharType="begin"/>
      </w:r>
      <w:r>
        <w:instrText xml:space="preserve"> PAGEREF AUTO_2016_124 \h </w:instrText>
      </w:r>
      <w:r>
        <w:fldChar w:fldCharType="separate"/>
      </w:r>
      <w:r w:rsidR="00C13A87">
        <w:rPr>
          <w:noProof/>
        </w:rPr>
        <w:t>3204</w:t>
      </w:r>
      <w:r>
        <w:fldChar w:fldCharType="end"/>
      </w:r>
    </w:p>
    <w:p w:rsidR="00DC1C29" w:rsidRDefault="00DC1C29" w:rsidP="00DC1C29"/>
    <w:p w:rsidR="00DC1C29" w:rsidRDefault="00DC1C29" w:rsidP="00DC1C29">
      <w:pPr>
        <w:pStyle w:val="EntradandiceAuto"/>
      </w:pPr>
      <w:r>
        <w:t>Sección Primera. Auto 125/2016, de 15 de junio de 2016. Acuerda el desistimiento en el recurso de amparo 44-2016, promovido en pleito civil.</w:t>
      </w:r>
      <w:r>
        <w:tab/>
      </w:r>
      <w:r>
        <w:tab/>
      </w:r>
      <w:r>
        <w:fldChar w:fldCharType="begin"/>
      </w:r>
      <w:r>
        <w:instrText xml:space="preserve"> PAGEREF AUTO_2016_125 \h </w:instrText>
      </w:r>
      <w:r>
        <w:fldChar w:fldCharType="separate"/>
      </w:r>
      <w:r w:rsidR="00C13A87">
        <w:rPr>
          <w:noProof/>
        </w:rPr>
        <w:t>3206</w:t>
      </w:r>
      <w:r>
        <w:fldChar w:fldCharType="end"/>
      </w:r>
    </w:p>
    <w:p w:rsidR="00DC1C29" w:rsidRDefault="00DC1C29" w:rsidP="00DC1C29"/>
    <w:p w:rsidR="00DC1C29" w:rsidRDefault="00DC1C29" w:rsidP="00DC1C29">
      <w:pPr>
        <w:pStyle w:val="EntradandiceAuto"/>
      </w:pPr>
      <w:r>
        <w:t>Sala Primera. Auto 126/2016, de 20 de junio de 2016. Acuerda la acumulación del recurso de amparo 475-2015 al 5814-2014, promovidos ambos en procesos contencioso-administrativos.</w:t>
      </w:r>
      <w:r>
        <w:tab/>
      </w:r>
      <w:r>
        <w:tab/>
      </w:r>
      <w:r>
        <w:fldChar w:fldCharType="begin"/>
      </w:r>
      <w:r>
        <w:instrText xml:space="preserve"> PAGEREF AUTO_2016_126 \h </w:instrText>
      </w:r>
      <w:r>
        <w:fldChar w:fldCharType="separate"/>
      </w:r>
      <w:r w:rsidR="00C13A87">
        <w:rPr>
          <w:noProof/>
        </w:rPr>
        <w:t>3208</w:t>
      </w:r>
      <w:r>
        <w:fldChar w:fldCharType="end"/>
      </w:r>
    </w:p>
    <w:p w:rsidR="00DC1C29" w:rsidRDefault="00DC1C29" w:rsidP="00DC1C29"/>
    <w:p w:rsidR="00DC1C29" w:rsidRDefault="00DC1C29" w:rsidP="00DC1C29">
      <w:pPr>
        <w:pStyle w:val="EntradandiceAuto"/>
      </w:pPr>
      <w:r>
        <w:t>Sección Segunda. Auto 127/2016, de 20 de junio de 2016. Acuerda el desistimiento en el recurso de amparo 7488-2015, promovido en pleito civil.</w:t>
      </w:r>
      <w:r>
        <w:tab/>
      </w:r>
      <w:r>
        <w:tab/>
      </w:r>
      <w:r>
        <w:fldChar w:fldCharType="begin"/>
      </w:r>
      <w:r>
        <w:instrText xml:space="preserve"> PAGEREF AUTO_2016_127 \h </w:instrText>
      </w:r>
      <w:r>
        <w:fldChar w:fldCharType="separate"/>
      </w:r>
      <w:r w:rsidR="00C13A87">
        <w:rPr>
          <w:noProof/>
        </w:rPr>
        <w:t>3209</w:t>
      </w:r>
      <w:r>
        <w:fldChar w:fldCharType="end"/>
      </w:r>
    </w:p>
    <w:p w:rsidR="00DC1C29" w:rsidRDefault="00DC1C29" w:rsidP="00DC1C29"/>
    <w:p w:rsidR="00DC1C29" w:rsidRDefault="00DC1C29" w:rsidP="00DC1C29">
      <w:pPr>
        <w:pStyle w:val="EntradandiceAuto"/>
      </w:pPr>
      <w:r>
        <w:t>Pleno. Auto 128/2016, de 21 de junio de 2016. Acuerda no haber lugar al incidente de ejecución de la STC 6/2012, de 18 de enero de 2012, dictada en el conflicto positivo de competencia 2799-1998, planteado por el Gobierno de la Generalitat de Cataluña.</w:t>
      </w:r>
      <w:r>
        <w:tab/>
      </w:r>
      <w:r>
        <w:tab/>
      </w:r>
      <w:r>
        <w:fldChar w:fldCharType="begin"/>
      </w:r>
      <w:r>
        <w:instrText xml:space="preserve"> PAGEREF AUTO_2016_128 \h </w:instrText>
      </w:r>
      <w:r>
        <w:fldChar w:fldCharType="separate"/>
      </w:r>
      <w:r w:rsidR="00C13A87">
        <w:rPr>
          <w:noProof/>
        </w:rPr>
        <w:t>3211</w:t>
      </w:r>
      <w:r>
        <w:fldChar w:fldCharType="end"/>
      </w:r>
    </w:p>
    <w:p w:rsidR="00DC1C29" w:rsidRDefault="00DC1C29" w:rsidP="00DC1C29"/>
    <w:p w:rsidR="00DC1C29" w:rsidRDefault="00DC1C29" w:rsidP="00DC1C29">
      <w:pPr>
        <w:pStyle w:val="EntradandiceAuto"/>
      </w:pPr>
      <w:r>
        <w:t>Pleno. Auto 129/2016, de 21 de junio de 2016. Inadmite a trámite la cuestión de inconstitucionalidad 3789-2015, planteada por la Sala de lo Contencioso-Administrativo del Tribunal Supremo en relación con el artículo 20.2 de la Ley 29/1987, de 18 de diciembre, del impuesto sobre sucesiones y donaciones. Voto particular.</w:t>
      </w:r>
      <w:r>
        <w:tab/>
      </w:r>
      <w:r>
        <w:tab/>
      </w:r>
      <w:r>
        <w:fldChar w:fldCharType="begin"/>
      </w:r>
      <w:r>
        <w:instrText xml:space="preserve"> PAGEREF AUTO_2016_129 \h </w:instrText>
      </w:r>
      <w:r>
        <w:fldChar w:fldCharType="separate"/>
      </w:r>
      <w:r w:rsidR="00C13A87">
        <w:rPr>
          <w:noProof/>
        </w:rPr>
        <w:t>3227</w:t>
      </w:r>
      <w:r>
        <w:fldChar w:fldCharType="end"/>
      </w:r>
    </w:p>
    <w:p w:rsidR="00DC1C29" w:rsidRDefault="00DC1C29" w:rsidP="00DC1C29"/>
    <w:p w:rsidR="00DC1C29" w:rsidRDefault="00DC1C29" w:rsidP="00DC1C29">
      <w:pPr>
        <w:pStyle w:val="EntradandiceAuto"/>
      </w:pPr>
      <w:r>
        <w:t>Pleno. Auto 130/2016, de 21 de junio de 2016. Acuerda la suspensión parcial en el conflicto positivo de competencia 672-2016, interpuesto por el Presidente del Gobierno en relación con varios artículos del Decreto de la Generalitat de Cataluña 2/2016, de 13 de enero, de creación, denominación y determinación del ámbito de competencia de los departamentos de la Administración de Cataluña.</w:t>
      </w:r>
      <w:r>
        <w:tab/>
      </w:r>
      <w:r>
        <w:tab/>
      </w:r>
      <w:r>
        <w:fldChar w:fldCharType="begin"/>
      </w:r>
      <w:r>
        <w:instrText xml:space="preserve"> PAGEREF AUTO_2016_130 \h </w:instrText>
      </w:r>
      <w:r>
        <w:fldChar w:fldCharType="separate"/>
      </w:r>
      <w:r w:rsidR="00C13A87">
        <w:rPr>
          <w:noProof/>
        </w:rPr>
        <w:t>3244</w:t>
      </w:r>
      <w:r>
        <w:fldChar w:fldCharType="end"/>
      </w:r>
    </w:p>
    <w:p w:rsidR="00DC1C29" w:rsidRDefault="00DC1C29" w:rsidP="00DC1C29"/>
    <w:p w:rsidR="00DC1C29" w:rsidRDefault="00DC1C29" w:rsidP="00DC1C29">
      <w:pPr>
        <w:pStyle w:val="EntradandiceAuto"/>
      </w:pPr>
      <w:r>
        <w:t>Pleno. Auto 131/2016, de 21 de junio de 2016. Inadmite a trámite la cuestión de inconstitucionalidad 741-2016, planteada por el Tribunal Superior de Justicia de Murcia en relación con el artículo 2.2 de la Ley 4/2013, de 12 de junio, de medidas urgentes en materia de gastos de personal y organización administrativa de la Comunidad Autónoma de la Región de Murcia.</w:t>
      </w:r>
      <w:r>
        <w:tab/>
      </w:r>
      <w:r>
        <w:tab/>
      </w:r>
      <w:r>
        <w:fldChar w:fldCharType="begin"/>
      </w:r>
      <w:r>
        <w:instrText xml:space="preserve"> PAGEREF AUTO_2016_131 \h </w:instrText>
      </w:r>
      <w:r>
        <w:fldChar w:fldCharType="separate"/>
      </w:r>
      <w:r w:rsidR="00C13A87">
        <w:rPr>
          <w:noProof/>
        </w:rPr>
        <w:t>3261</w:t>
      </w:r>
      <w:r>
        <w:fldChar w:fldCharType="end"/>
      </w:r>
    </w:p>
    <w:p w:rsidR="00DC1C29" w:rsidRDefault="00DC1C29" w:rsidP="00DC1C29"/>
    <w:p w:rsidR="00DC1C29" w:rsidRDefault="00DC1C29" w:rsidP="00DC1C29">
      <w:pPr>
        <w:pStyle w:val="EntradandiceAuto"/>
      </w:pPr>
      <w:r>
        <w:t>Pleno. Auto 132/2016, de 21 de junio de 2016. Inadmite a trámite la cuestión de inconstitucionalidad 1059-2016, planteada por el Juzgado de lo Contencioso-Administrativo núm. 2 de Lugo en relación con el apartado segundo de la disposición adicional vigesimoprimera de la Ley 11/2013, de 26 de diciembre, de presupuestos generales de la Comunidad Autónoma de Galicia para el año 2014.</w:t>
      </w:r>
      <w:r>
        <w:tab/>
      </w:r>
      <w:r>
        <w:tab/>
      </w:r>
      <w:r>
        <w:fldChar w:fldCharType="begin"/>
      </w:r>
      <w:r>
        <w:instrText xml:space="preserve"> PAGEREF AUTO_2016_132 \h </w:instrText>
      </w:r>
      <w:r>
        <w:fldChar w:fldCharType="separate"/>
      </w:r>
      <w:r w:rsidR="00C13A87">
        <w:rPr>
          <w:noProof/>
        </w:rPr>
        <w:t>3271</w:t>
      </w:r>
      <w:r>
        <w:fldChar w:fldCharType="end"/>
      </w:r>
    </w:p>
    <w:p w:rsidR="00DC1C29" w:rsidRDefault="00DC1C29" w:rsidP="00DC1C29"/>
    <w:p w:rsidR="00DC1C29" w:rsidRDefault="00DC1C29" w:rsidP="00DC1C29">
      <w:pPr>
        <w:pStyle w:val="EntradandiceAuto"/>
      </w:pPr>
      <w:r>
        <w:t>Sección Cuarta. Auto 133/2016, de 22 de junio de 2016. Acuerda la suspensión en el recurso de amparo 201-2016, promovido por don Abdelmajid Bilal en proceso contencioso-administrativo.</w:t>
      </w:r>
      <w:r>
        <w:tab/>
      </w:r>
      <w:r>
        <w:tab/>
      </w:r>
      <w:r>
        <w:fldChar w:fldCharType="begin"/>
      </w:r>
      <w:r>
        <w:instrText xml:space="preserve"> PAGEREF AUTO_2016_133 \h </w:instrText>
      </w:r>
      <w:r>
        <w:fldChar w:fldCharType="separate"/>
      </w:r>
      <w:r w:rsidR="00C13A87">
        <w:rPr>
          <w:noProof/>
        </w:rPr>
        <w:t>3282</w:t>
      </w:r>
      <w:r>
        <w:fldChar w:fldCharType="end"/>
      </w:r>
    </w:p>
    <w:p w:rsidR="00DC1C29" w:rsidRDefault="00DC1C29" w:rsidP="00DC1C29"/>
    <w:p w:rsidR="00DC1C29" w:rsidRDefault="00DC1C29" w:rsidP="00DC1C29">
      <w:pPr>
        <w:pStyle w:val="EntradandiceAuto"/>
      </w:pPr>
      <w:r>
        <w:t>Pleno. Auto 134/2016, de 23 de junio de 2016. Inadmite a trámite la cuestión de inconstitucionalidad 7321-2015, planteada por el Tribunal Superior de Justicia de Murcia en relación con el artículo 2.2 de la Ley 4/2013, de 12 de junio, de medidas urgentes en materia de gastos de personal y organización administrativa de la Comunidad Autónoma de la Región de Murcia.</w:t>
      </w:r>
      <w:r>
        <w:tab/>
      </w:r>
      <w:r>
        <w:tab/>
      </w:r>
      <w:r>
        <w:fldChar w:fldCharType="begin"/>
      </w:r>
      <w:r>
        <w:instrText xml:space="preserve"> PAGEREF AUTO_2016_134 \h </w:instrText>
      </w:r>
      <w:r>
        <w:fldChar w:fldCharType="separate"/>
      </w:r>
      <w:r w:rsidR="00C13A87">
        <w:rPr>
          <w:noProof/>
        </w:rPr>
        <w:t>3286</w:t>
      </w:r>
      <w:r>
        <w:fldChar w:fldCharType="end"/>
      </w:r>
    </w:p>
    <w:p w:rsidR="00DC1C29" w:rsidRDefault="00DC1C29">
      <w:pPr>
        <w:spacing w:after="160" w:line="259" w:lineRule="auto"/>
      </w:pPr>
      <w:r>
        <w:br w:type="page"/>
      </w:r>
    </w:p>
    <w:p w:rsidR="00DC1C29" w:rsidRDefault="00DC1C29" w:rsidP="00163957"/>
    <w:p w:rsidR="00DC1C29" w:rsidRDefault="00DC1C29" w:rsidP="00163957"/>
    <w:p w:rsidR="00163957" w:rsidRDefault="00163957" w:rsidP="00163957"/>
    <w:p w:rsidR="00163957" w:rsidRDefault="00163957" w:rsidP="00163957"/>
    <w:p w:rsidR="00163957" w:rsidRDefault="00163957" w:rsidP="00163957"/>
    <w:p w:rsidR="00163957" w:rsidRDefault="00163957" w:rsidP="00163957"/>
    <w:p w:rsidR="00163957" w:rsidRDefault="00163957" w:rsidP="00163957"/>
    <w:p w:rsidR="00163957" w:rsidRDefault="00163957" w:rsidP="00163957"/>
    <w:p w:rsidR="00163957" w:rsidRDefault="00163957" w:rsidP="00163957">
      <w:pPr>
        <w:pStyle w:val="CabeceraApartado"/>
      </w:pPr>
      <w:r>
        <w:t>SENTENCIAS</w:t>
      </w:r>
    </w:p>
    <w:p w:rsidR="00163957" w:rsidRDefault="00163957">
      <w:pPr>
        <w:spacing w:after="160" w:line="259" w:lineRule="auto"/>
        <w:rPr>
          <w:rFonts w:ascii="Times New Roman" w:eastAsia="Times New Roman" w:hAnsi="Times New Roman" w:cs="Times New Roman"/>
          <w:sz w:val="48"/>
          <w:szCs w:val="24"/>
          <w:lang w:eastAsia="es-ES"/>
        </w:rPr>
      </w:pPr>
      <w:r>
        <w:br w:type="page"/>
      </w:r>
    </w:p>
    <w:p w:rsidR="00163957" w:rsidRDefault="00163957" w:rsidP="00163957">
      <w:pPr>
        <w:pStyle w:val="TtuloResolucin"/>
      </w:pPr>
      <w:bookmarkStart w:id="4" w:name="SENTENCIA_2016_1"/>
      <w:r>
        <w:t>SENTENCIA 1/2016, de 18 de enero de 2016</w:t>
      </w:r>
    </w:p>
    <w:bookmarkEnd w:id="4"/>
    <w:p w:rsidR="00163957" w:rsidRDefault="00163957" w:rsidP="00163957">
      <w:pPr>
        <w:pStyle w:val="TtuloResolucin"/>
      </w:pPr>
      <w:r>
        <w:t>Sala Segunda</w:t>
      </w:r>
    </w:p>
    <w:p w:rsidR="00163957" w:rsidRDefault="00163957" w:rsidP="00163957">
      <w:pPr>
        <w:pStyle w:val="TtuloBOE"/>
      </w:pPr>
      <w:r>
        <w:t>(BOE núm. 45, de 22 de febrero de 2016)</w:t>
      </w:r>
    </w:p>
    <w:p w:rsidR="00163957" w:rsidRDefault="00163957" w:rsidP="00163957">
      <w:pPr>
        <w:pStyle w:val="TextoNormalCentrado"/>
      </w:pPr>
      <w:r>
        <w:t>ECLI:ES:TC:2016:1</w:t>
      </w:r>
    </w:p>
    <w:p w:rsidR="00163957" w:rsidRDefault="00163957" w:rsidP="00163957">
      <w:pPr>
        <w:pStyle w:val="TextoNormalCentrado"/>
      </w:pPr>
    </w:p>
    <w:p w:rsidR="00163957" w:rsidRDefault="00163957" w:rsidP="00163957">
      <w:pPr>
        <w:pStyle w:val="SntesisDescriptiva"/>
      </w:pPr>
      <w:r>
        <w:t>Cuestión de inconstitucionalidad 4643-2013. Planteada por la Sala de lo Social de la Audiencia Nacional en relación con el artículo 2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inadmisión de la cuestión de inconstitucionalidad por inadecuada formulación del juicio de relevancia.</w:t>
      </w:r>
    </w:p>
    <w:p w:rsidR="00163957" w:rsidRDefault="00163957" w:rsidP="00163957">
      <w:pPr>
        <w:pStyle w:val="SntesisAnaltica"/>
      </w:pPr>
    </w:p>
    <w:p w:rsidR="00163957" w:rsidRDefault="00163957" w:rsidP="00163957">
      <w:pPr>
        <w:pStyle w:val="Extracto"/>
      </w:pPr>
      <w:r>
        <w:t>1.</w:t>
      </w:r>
      <w:r>
        <w:tab/>
        <w:t>Asunto sustancialmente idéntico al resuelto por la STC 241/2015, relativa a la doctrina sobre la adecuada formulación del juicio de relevancia en el planteamiento de cuestiones de inconstitucionalidad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4643-2013, promovida por la Sala de lo Social de la Audiencia Nacional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Pedro José González-Trevijano Sánchez,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24 de julio de 2013 tuvo entrada en el Registro General de este Tribunal un oficio de la Sala de lo Social de la Audiencia Nacional al que se acompaña, junto con el testimonio del procedimiento núm. 117-2013, el Auto de 24 de junio de 2013, por el que se acuerda plantear cuestión de inconstitucionalidad en relación con el art. 2 del Real Decreto-ley 20/2012, de 13 de julio, de medidas para garantizar la estabilidad presupuestaria y de fomento de la competitividad, en su aplicación al personal laboral, por posible lesión del art. </w:t>
      </w:r>
      <w:r>
        <w:lastRenderedPageBreak/>
        <w:t>9.3 CE, sobre el principio de irretroactividad de disposiciones restrictivas de derechos individuales.</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procesales de la cuestión de inconstitucionalidad planteada son, sucintamente expuestos, los siguientes:</w:t>
      </w:r>
    </w:p>
    <w:p w:rsidR="00163957" w:rsidRDefault="00163957" w:rsidP="00163957">
      <w:pPr>
        <w:pStyle w:val="TextoNormal"/>
      </w:pPr>
    </w:p>
    <w:p w:rsidR="00163957" w:rsidRDefault="00163957" w:rsidP="00163957">
      <w:pPr>
        <w:pStyle w:val="TextoNormal"/>
      </w:pPr>
      <w:r>
        <w:t>a) La empresa Mutualia, Matepss núm. 2, es una mutua patronal de accidentes de trabajo y enfermedades profesionales de la Seguridad Social, que se rige por el convenio colectivo general de ámbito estatal para las entidades de seguros, reaseguros y mutuas de accidentes de trabajo. Tras la publicación del Real Decreto-ley 20/2012, la empresa decidió la supresión de la paga extraordinaria del mes de diciembre de 2012, de conformidad con lo dispuesto en el art. 2 del Real Decreto-ley citado, que se declara en su apartado 3 aplicable a las mutuas de accidentes de trabajo y enfermedades profesionales de la Seguridad Social. La federación de servicios financieros y administrativos de Comisiones Obreras (COMFIA-CCOO) formuló, como consecuencia de ello, demanda de conflicto colectivo contra la citada empresa, que dio lugar a los autos núm. 117-2013, seguidos ante la Sala de lo Social de la Audiencia Nacional, por la supresión de la paga extraordinaria del mes de diciembre. En la demanda se solicitaba que se reconociera el derecho de los trabajadores a la paga extra suprimida, y, con carácter subsidiario, que se les reconociera la parte de la paga ya devengada en la fecha de entrada en vigor del Real Decreto-ley 20/2012 (7/12 o, en su caso, 6,5/12 de la catorceava parte de la retribución total anual). Igualmente solicitaban, con carácter previo, el planteamiento por la Sala de una cuestión de inconstitucionalidad ante el Tribunal Constitucional sobre el Real Decreto-ley 20/2012, por considerarlo contrario al art. 86.1 CE. A la demanda se adhirieron posteriormente los sindicatos ELA y LAB.</w:t>
      </w:r>
    </w:p>
    <w:p w:rsidR="00163957" w:rsidRDefault="00163957" w:rsidP="00163957">
      <w:pPr>
        <w:pStyle w:val="TextoNormal"/>
      </w:pPr>
    </w:p>
    <w:p w:rsidR="00163957" w:rsidRDefault="00163957" w:rsidP="00163957">
      <w:pPr>
        <w:pStyle w:val="TextoNormal"/>
      </w:pPr>
      <w:r>
        <w:t>b) Tras la celebración del acto del juicio el día 17 de mayo de 2013, concluso el procedimiento y dentro del plazo para dictar Sentencia, el órgano judicial dictó providencia de la misma fecha por la que acordó oír a las partes y al Ministerio Fiscal para que alegasen sobre la pertinencia de plantear cuestión de inconstitucionalidad en relación con el art. 2 del Real Decreto-ley 20/2012, por posible vulneración del art. 9.3 CE. Según señalaba la Sala en la providencia, la duda de constitucionalidad se concretaba en que el citado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de su entrada en vigor, el 15 de julio de 2012, lo que, teniendo en cuenta que la jurisprudencia del Tribunal Supremo ha establecido que las gratificaciones extraordinarias constituyen una manifestación del salario diferido y se devengan día a día, podría vulnerar el art. 9.3 CE, que garantiza la irretroactividad de las disposiciones restrictivas de derechos individuales.</w:t>
      </w:r>
    </w:p>
    <w:p w:rsidR="00163957" w:rsidRDefault="00163957" w:rsidP="00163957">
      <w:pPr>
        <w:pStyle w:val="TextoNormal"/>
      </w:pPr>
    </w:p>
    <w:p w:rsidR="00163957" w:rsidRDefault="00163957" w:rsidP="00163957">
      <w:pPr>
        <w:pStyle w:val="TextoNormal"/>
      </w:pPr>
      <w:r>
        <w:t>c) Por escrito de 3 de junio de 2013, el sindicato demandante solicitó que se elevara por la Sala cuestión de inconstitucionalidad ante el Tribunal Constitucional, por vulneración de los arts. 9.3, 14.1, 28.1, 37.1 y 86.1 CE. Por escrito de 29 de mayo, el sindicato ELA se manifestó igualmente favorable al planteamiento de la cuestión. Por escrito de 7 de junio de 2013, el Abogado del Estado cumplimentó el trámite de audiencia manifestando su criterio contrario al planteamiento de la cuestión de inconstitucionalidad. Por su parte, el Ministerio Fiscal estimó, en escrito de 31 de mayo, procesalmente adecuado el planteamiento de la cuestión, sin pronunciarse sobre el fondo del asunto.</w:t>
      </w:r>
    </w:p>
    <w:p w:rsidR="00163957" w:rsidRDefault="00163957" w:rsidP="00163957">
      <w:pPr>
        <w:pStyle w:val="TextoNormal"/>
      </w:pPr>
    </w:p>
    <w:p w:rsidR="00163957" w:rsidRDefault="00163957" w:rsidP="00163957">
      <w:pPr>
        <w:pStyle w:val="TextoNormal"/>
      </w:pPr>
      <w:r w:rsidRPr="00163957">
        <w:rPr>
          <w:rStyle w:val="NumeroAFNegritaCaracter"/>
        </w:rPr>
        <w:t>3</w:t>
      </w:r>
      <w:r>
        <w:t>. Por Auto de 24 de junio de 2013, la Sala de lo Social de la Audiencia Nacional acordó plantear la presente cuestión de inconstitucionalidad y del análisis de su contenido interesa destacar los siguientes puntos:</w:t>
      </w:r>
    </w:p>
    <w:p w:rsidR="00163957" w:rsidRDefault="00163957" w:rsidP="00163957">
      <w:pPr>
        <w:pStyle w:val="TextoNormal"/>
      </w:pPr>
    </w:p>
    <w:p w:rsidR="00163957" w:rsidRDefault="00163957" w:rsidP="00163957">
      <w:pPr>
        <w:pStyle w:val="TextoNormal"/>
      </w:pPr>
      <w:r>
        <w:t>a) Tras precisar los antecedentes de hecho en el planteamiento de la cuestión y trascribirse el art. 2 del Real Decreto-ley 20/2012, de 13 de julio, de medidas para garantizar la estabilidad presupuestaria y de fomento de la competitividad, señala la Sala que está claro que tal disposición suprime la percepción de la paga extraordinaria del mes de diciembre del año 2012 para el personal laboral del sector público, y que lo hace a partir de su entrada en vigor (día 15 de julio de 2013), sin precisar el legislador excepciones por derechos ya devengados. Coincide la Sala con el Abogado del Estado en que el legislador es plenamente consciente de la posibilidad de que haya comenzado a devengarse la paga extraordinaria cuya percepción se suprime, en tanto que indica que la medida afecta a cuantías “que corresponda percibir”, en tiempo verbal no condicional, admitiendo que el derecho ya se ha generado, no obstante lo cual cierra la puerta a su abono. Desde esa perspectiva, entiende la Sala que no es posible interpretar el art. 2 del Real Decreto-ley 20/2012 considerando que cabe abonar aquella parte de la paga extraordinaria de diciembre que ya se hubiera devengado a la fecha de la entrada en vigor de la citada norma. En definitiva, por mucho que ya se hubiera devengado la paga extraordinaria correspondiente a los días trabajados, la aplicación del citado art. 2 no daría lugar a su abono. Pues bien, atendiendo a la consolidada jurisprudencia, según la cual, las pagas extraordinarias son salario diferido y se devengan día a día, aquélla norma podría considerarse contraria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con rango de ley. Expuesto lo que precede, indica que la norma cuyo ajuste constitucional se cuestiona (art. 2 del Real Decreto-ley 20/2012) es determinante para el resultado del litigio y no admite una interpretación que lo acomode al texto constitucional, dado que una de las pretensiones formuladas en las demandas es, justamente, que se mantenga incólume la percepción de la parte ya devengada de la paga extraordinaria de diciembre de 2012 a pesar de lo dispuesto en el citado artículo 2. Tras hacer referencia a las alegaciones realizadas por las partes y el Ministerio Fiscal en el trámite de audiencia, considera la Sala que, tras ellas, subsiste la duda de inconstitucionalidad.</w:t>
      </w:r>
    </w:p>
    <w:p w:rsidR="00163957" w:rsidRDefault="00163957" w:rsidP="00163957">
      <w:pPr>
        <w:pStyle w:val="TextoNormal"/>
      </w:pPr>
    </w:p>
    <w:p w:rsidR="00163957" w:rsidRDefault="00163957" w:rsidP="00163957">
      <w:pPr>
        <w:pStyle w:val="TextoNormal"/>
      </w:pPr>
      <w:r>
        <w:t>b) Sintetiza seguidamente el Auto la doctrina constitucional sobre la prohibición de retroactividad de las disposiciones sancionadoras no favorables o restrictivas de derechos individuales prevista en el art. 9.3 CE, e indica que, conforme a ella, sólo puede afirmarse que una norma es retroactiva a los efectos del citado precepto cuando incide sobre “relaciones consagradas” y afecta a “situaciones agotadas”. El espíritu restrictivo que impregna el art. 9.3 CE queda plasmado en la Sentencia del Tribunal Constitucional de 20 de abril de 2009, que ha aclarado que la referencia de ese precepto constitucional a la “restricción de derechos individuales” ha de entenderse referida a las limitaciones introducidas en el ámbito de los derechos fundamentales y de las libertades públicas. A la vista de lo anterior, lo primero que hay que preguntarse es si estamos ante un derecho individual en el sentido apuntado desde esa consideración restrictiva, lo que entiende la Sala que merece una respuesta positiva.</w:t>
      </w:r>
    </w:p>
    <w:p w:rsidR="00163957" w:rsidRDefault="00163957" w:rsidP="00163957">
      <w:pPr>
        <w:pStyle w:val="TextoNormal"/>
      </w:pPr>
    </w:p>
    <w:p w:rsidR="00163957" w:rsidRDefault="00163957" w:rsidP="00163957">
      <w:pPr>
        <w:pStyle w:val="TextoNormal"/>
      </w:pPr>
      <w:r>
        <w:lastRenderedPageBreak/>
        <w:t>Indica, en tal sentido, que los derechos retributivos, consagrados en el art. 35 CE, pertenecen a esa esfera general de protección de la persona y que el texto constitucional reconoce el derecho a la remuneración suficiente (lo que, en principio se correspondería sólo con el salario mínimo interprofesional), pero también el derecho al trabajo, siendo una de las notas esenciales su carácter remunerado. Partiendo de ese enfoque, el Tribunal Constitucional ha venido admitiendo con naturalidad su encaje en el supuesto de hecho del art. 9.3 CE, incluso ante normas que, como la de ahora, se inspiran en la finalidad de la contención del gasto público mediante la reducción retributiva. En este sentido, cita la Sentencia de 15 de diciembre de 2005 (en la que se niega que la regulación de la retribución para el personal de una Administración autonómica vulnere el art. 9.3 CE pero por motivos distintos a su no consideración como derechos individuales a los que alude el precepto), y el Auto 162/2012, de 13 de septiembre, que rechaza que la reducción de las retribuciones impuesta legalmente afecte al art. 9.3 CE, pero no por no tratarse de derechos individuales protegibles sino por no poseer efectos retroactivos al examinarse una regulación pro futuro. Es decir, si la reducción retributiva afectara a derechos ya devengados podría desplegar efectos sobre ella el principio de interdicción de retroactividad, tal como sugiere el Tribunal. A la vista de todo ello, se considera que en el caso de autos se cumple el presupuesto básico del art. 9.3 CE, esto es, que nos encontremos ante derechos individuales amparables por el principio de interdicción de retroactividad.</w:t>
      </w:r>
    </w:p>
    <w:p w:rsidR="00163957" w:rsidRDefault="00163957" w:rsidP="00163957">
      <w:pPr>
        <w:pStyle w:val="TextoNormal"/>
      </w:pPr>
    </w:p>
    <w:p w:rsidR="00163957" w:rsidRDefault="00163957" w:rsidP="00163957">
      <w:pPr>
        <w:pStyle w:val="TextoNormal"/>
      </w:pPr>
      <w:r>
        <w:t>c) Seguidamente analiza si el art. 2 del Real Decreto-ley 20/2012, al establecer la supresión de la paga extraordinaria de diciembre de 2012 para el personal laboral del sector público, supone una retroactividad prohibida por el art. 9.3 CE, esto es, la que incide sobre los efectos jurídicos ya producidos al amparo de una norma anteriormente vigente. Para ello, considera preciso determinar si el derecho a la paga extraordinaria estaba ya consolidado, asumido e integrado en el patrimonio de los trabajadores cuando entró en vigor el Real Decreto-ley citado, o, por el contrario, se trataba de una expectativa de derecho, o de un derecho futuro o condicionado. Pues bien, dado que la regulación legal de las pagas extraordinarias no ofrece respuesta a este interrogante (se limita a fijar el momento de su percepción), se ha de tener en cuenta la jurisprudencia del Tribunal Supremo, que configura la paga mencionada como de devengo diario y de cobro aplazado (se citan, SSTS de 4 de abril de 2008, 21 de abril de 2010, 4 de noviembre de 2010, 5 de noviembre de 2010, 21 de diciembre de 2010 y 10 de marzo de 2011). Se pregunta la Sala si la posible inconstitucionalidad del art. 2 del Real Decreto-ley 20/2012 puede operar tomando como referencia un criterio jurisprudencial y se llega a la conclusión de que la configuración normativa del derecho a las pagas extraordinarias se ve complementada por su configuración jurisprudencial, por lo que ha de ser así. Se destaca a este respecto que no estamos ante un pronunciamiento aislado de un tribunal menor, sino ante jurisprudencia, y que, además, ha sido dictada en unificación de doctrina. Por ello, el criterio del Tribunal Supremo sobre el devengo diario de la paga extraordinaria se alza con valor normativo complementario, de modo que forma una unidad con la ley como parámetro de la inconstitucionalidad del art. 2 del Real Decreto-ley cuestionado. Teniendo en cuenta todo lo anterior, señala que estamos ante un derecho que se genera día a día, incorporándose como tal al acervo patrimonial de los trabajadores, y que, en el caso examinado, al ser las tres pagas extras contempladas en el convenio colectivo de aplicación como de devengo anual, a la fecha de entrada en vigor del Real Decreto-ley 20/2012 ya se había devengado y generado el derecho a la parte de la paga extra de navidad proporcional a los días trabajados, que, sin embargo, el artículo 2 de la norma suprime, operando una retroactividad auténtica o de grado máximo.</w:t>
      </w:r>
    </w:p>
    <w:p w:rsidR="00163957" w:rsidRDefault="00163957" w:rsidP="00163957">
      <w:pPr>
        <w:pStyle w:val="TextoNormal"/>
      </w:pPr>
    </w:p>
    <w:p w:rsidR="00163957" w:rsidRDefault="00163957" w:rsidP="00163957">
      <w:pPr>
        <w:pStyle w:val="TextoNormal"/>
      </w:pPr>
      <w:r>
        <w:t>d) Llegados a este punto, señala el Auto, el siguiente paso a examinar es si esa retroactividad carece de justificación habilitante, pues pueden concurrir exigencias cualificadas del bien común que podrían imponerse excepcionalmente (cita la STC de 19 de noviembre de 1992). La Abogacía del Estado alega, en este último sentido, la exigencia de fuertes ajustes presupuestarios provocados por la situación de crisis, y sostiene que la necesidad de reducir el déficit público, que inspira la norma cuestionada, constituiría ese objetivo de procurar el bien común y proteger el interés general, lo que permitiría exceptuar la interdicción de retroactividad. Discrepa la Sala con esta conclusión, en tanto en cuanto considera que la crisis probablemente justifica medidas restrictivas de derechos como aquellas a las que venimos asistiendo en los últimos tiempos, pero no abre la puerta, sin más, a que esas restricciones operen de modo retroactivo. Entiende que la excepción a la irretroactividad recogida en la doctrina constitucional debe interpretarse de forma restrictiva y que no cabe extenderla a toda medida de interés general. En definitiva, considera que la reducción del déficit público puede justificar muchas cosas, pero no reúne la nota 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el derecho a percibir el salario correspondiente. Hace referencia, igualmente, a algunos pronunciamientos del Tribunal Europeo de Derechos Humanos en los que se considera que se mantiene una concepción realmente cualificada del “interés general”, y se señala que no se considera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ciudadanos.</w:t>
      </w:r>
    </w:p>
    <w:p w:rsidR="00163957" w:rsidRDefault="00163957" w:rsidP="00163957">
      <w:pPr>
        <w:pStyle w:val="TextoNormal"/>
      </w:pPr>
    </w:p>
    <w:p w:rsidR="00163957" w:rsidRDefault="00163957" w:rsidP="00163957">
      <w:pPr>
        <w:pStyle w:val="TextoNormal"/>
      </w:pPr>
      <w:r>
        <w:t>e) Finalmente, la Sala se plantea la posibilidad de que estemos ante una expropiación legislativa de derechos, pero rechaza tal hipótesis en cuanto que la previsión en este caso de una hipotética compensación o devolución futura de cantidades en modo alguno resultaría asimilable al justo precio al que alude la Ley de expropiación forzosa. Ni siquiera está garantizada y no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concepto de expropiación legislativa de derechos.</w:t>
      </w:r>
    </w:p>
    <w:p w:rsidR="00163957" w:rsidRDefault="00163957" w:rsidP="00163957">
      <w:pPr>
        <w:pStyle w:val="TextoNormal"/>
      </w:pPr>
    </w:p>
    <w:p w:rsidR="00163957" w:rsidRDefault="00163957" w:rsidP="00163957">
      <w:pPr>
        <w:pStyle w:val="TextoNormal"/>
      </w:pPr>
      <w:r>
        <w:t>f) Por todo lo expuesto, la Sala de lo Social de la Audiencia Nacional concluye que el art. 2 del Real Decreto-ley 20/2012 ha podido vulnerar el principio de irretroactividad de las disposiciones restrictivas de derechos individuales, previsto en el art. 9.3 CE.</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El Pleno de este Tribunal, a propuesta de la Sección Tercera, acordó admitir a trámite la cuestión mediante providencia de 24 de septiembre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w:t>
      </w:r>
      <w:r>
        <w:lastRenderedPageBreak/>
        <w:t>pudieran personarse en el procedimiento y formular las alegaciones que estimasen convenientes; comunicar la resolución a la Sala de lo Social de la Audiencia Nacional,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el 7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t>Mediante escrito registrado el 9 de octubre de 2013, el Presidente del Senado comunicó a este Tribunal el acuerdo de la Mesa para que se diera por personada a la Cámara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Abogado del Estado, mediante escrito de alegaciones registrado el 11 de octubre de 2013, se personó interesando la desestimación de la cuestión de inconstitucionalidad por las razones que, resumidamente, se exponen a continuación.</w:t>
      </w:r>
    </w:p>
    <w:p w:rsidR="00163957" w:rsidRDefault="00163957" w:rsidP="00163957">
      <w:pPr>
        <w:pStyle w:val="TextoNormal"/>
      </w:pPr>
    </w:p>
    <w:p w:rsidR="00163957" w:rsidRDefault="00163957" w:rsidP="00163957">
      <w:pPr>
        <w:pStyle w:val="TextoNormal"/>
      </w:pPr>
      <w:r>
        <w:t>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de las Administraciones Públicas.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163957" w:rsidRDefault="00163957" w:rsidP="00163957">
      <w:pPr>
        <w:pStyle w:val="TextoNormal"/>
      </w:pPr>
    </w:p>
    <w:p w:rsidR="00163957" w:rsidRDefault="00163957" w:rsidP="00163957">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163957" w:rsidRDefault="00163957" w:rsidP="00163957">
      <w:pPr>
        <w:pStyle w:val="TextoNormal"/>
      </w:pPr>
    </w:p>
    <w:p w:rsidR="00163957" w:rsidRDefault="00163957" w:rsidP="00163957">
      <w:pPr>
        <w:pStyle w:val="TextoNormal"/>
      </w:pPr>
      <w:r>
        <w:lastRenderedPageBreak/>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163957" w:rsidRDefault="00163957" w:rsidP="00163957">
      <w:pPr>
        <w:pStyle w:val="TextoNormal"/>
      </w:pPr>
    </w:p>
    <w:p w:rsidR="00163957" w:rsidRDefault="00163957" w:rsidP="00163957">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163957" w:rsidRDefault="00163957" w:rsidP="00163957">
      <w:pPr>
        <w:pStyle w:val="TextoNormal"/>
      </w:pPr>
    </w:p>
    <w:p w:rsidR="00163957" w:rsidRDefault="00163957" w:rsidP="00163957">
      <w:pPr>
        <w:pStyle w:val="TextoNormal"/>
      </w:pPr>
      <w: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w:t>
      </w:r>
      <w:r>
        <w:lastRenderedPageBreak/>
        <w:t>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163957" w:rsidRDefault="00163957" w:rsidP="00163957">
      <w:pPr>
        <w:pStyle w:val="TextoNormal"/>
      </w:pPr>
    </w:p>
    <w:p w:rsidR="00163957" w:rsidRDefault="00163957" w:rsidP="00163957">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163957" w:rsidRDefault="00163957" w:rsidP="00163957">
      <w:pPr>
        <w:pStyle w:val="TextoNormal"/>
      </w:pPr>
    </w:p>
    <w:p w:rsidR="00163957" w:rsidRDefault="00163957" w:rsidP="00163957">
      <w:pPr>
        <w:pStyle w:val="TextoNormal"/>
      </w:pPr>
      <w:r>
        <w:t>Por todo ello, se interesa la desestimación de la cuestión.</w:t>
      </w:r>
    </w:p>
    <w:p w:rsidR="00163957" w:rsidRDefault="00163957" w:rsidP="00163957">
      <w:pPr>
        <w:pStyle w:val="TextoNormal"/>
      </w:pPr>
    </w:p>
    <w:p w:rsidR="00163957" w:rsidRDefault="00163957" w:rsidP="00163957">
      <w:pPr>
        <w:pStyle w:val="TextoNormal"/>
      </w:pPr>
      <w:r w:rsidRPr="00163957">
        <w:rPr>
          <w:rStyle w:val="NumeroAFNegritaCaracter"/>
        </w:rPr>
        <w:t>7</w:t>
      </w:r>
      <w:r>
        <w:t>. El Fiscal General del Estado presentó escrito de alegaciones ante este Tribunal el 31 de octubre de 2013 interesando la estimación de la presente cuestión de inconstitucionalidad.</w:t>
      </w:r>
    </w:p>
    <w:p w:rsidR="00163957" w:rsidRDefault="00163957" w:rsidP="00163957">
      <w:pPr>
        <w:pStyle w:val="TextoNormal"/>
      </w:pPr>
    </w:p>
    <w:p w:rsidR="00163957" w:rsidRDefault="00163957" w:rsidP="00163957">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163957" w:rsidRDefault="00163957" w:rsidP="00163957">
      <w:pPr>
        <w:pStyle w:val="TextoNormal"/>
      </w:pPr>
    </w:p>
    <w:p w:rsidR="00163957" w:rsidRDefault="00163957" w:rsidP="00163957">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w:t>
      </w:r>
      <w:r>
        <w:lastRenderedPageBreak/>
        <w:t>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El Fiscal General del Estado concluye sus alegaciones precisando que en el Auto de planteamiento no se cuestiona todo el art. 2 del Real Decreto-ley 20/2012 sino en concreto, su apartado 2.2 1 ya que es éste el que resulta aplicable para resolver el pleito sometido a su conocimiento y relevante en cuánto el recurso del proceso subyacente se refiere exclusivamente al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8</w:t>
      </w:r>
      <w:r>
        <w:t>. Por providencia de 13 de noviembre de 2015 la Sala Segunda acordó, de conformidad con lo dispuesto en el art. 88.1 LOTC, dirigir atenta comunicación a la empresa Mutualia, Matepss núm. 2 (Mutualia), a fin de que indique a este Tribunal si, en atención a lo previsto en la disposición adicional duodécima de la Ley 36/2014, de presupuestos generales del Estado para el año 2015, en el Real Decreto-ley 20/2015, o por cualquier otra circunstancia, ha satisfecho a su personal laboral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163957" w:rsidRDefault="00163957" w:rsidP="00163957">
      <w:pPr>
        <w:pStyle w:val="TextoNormal"/>
      </w:pPr>
    </w:p>
    <w:p w:rsidR="00163957" w:rsidRDefault="00163957" w:rsidP="00163957">
      <w:pPr>
        <w:pStyle w:val="TextoNormal"/>
      </w:pPr>
      <w:r w:rsidRPr="00163957">
        <w:rPr>
          <w:rStyle w:val="NumeroAFNegritaCaracter"/>
        </w:rPr>
        <w:t>9</w:t>
      </w:r>
      <w:r>
        <w:t>. En contestación a dicha providencia el director gerente de Mutualia certifica que, “en cumplimiento de lo establecido en la disposición adicional 12ª de la Ley 36/2014, de Presupuestos Generales del Estado para 2015 y de lo establecido en el Real Decreto-ley 10/2015, ha procedido al abono a su personal de un 50,27 por ciento de la cantidad detraída en el año 2012 en concepto de paga extraordinaria de diciembre, a tenor de lo establecido en el Real Decreto-ley 20/2012, de 13 de julio, de medidas para garantizar la estabilidad presupuestaria y de fomento de la competitividad. La cantidad de paga extraordinaria de diciembre de 2012 reintegrada se refiere a porcentaje toda vez que en Mutualia se perciben más de dos pagas extraordinarias al año y en estos supuestos la normativa aplicable establecía la forma de cálculo de la cantidad a detraer por el concepto referido. El abono del 50,27 por ciento de la cantidad en su día detraída se ha llevado a cabo en dos pagos atendiendo a lo legalmente establecido y de la siguiente forma: - reintegro del 24,04 por ciento de la cantidad en su día detraída, abonado en el mes de enero de 2015; y, - reintegro del 26,23 por ciento de la cantidad en su día detraída, abonado en el mes de octubre de 2015.”</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14 de enero de 2016 se señaló para deliberación y votación de la presente Sentencia el día 18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Sala de lo Social de la Audiencia Nacional plantea cuestión de inconstitucionalidad respecto del arto 2 del Real Decreto-ley 20/2012, de 13 de julio, de medidas para garantizar la estabilidad presupuestaria y de fomento de la competitividad.</w:t>
      </w:r>
    </w:p>
    <w:p w:rsidR="00163957" w:rsidRDefault="00163957" w:rsidP="00163957">
      <w:pPr>
        <w:pStyle w:val="TextoNormal"/>
      </w:pPr>
    </w:p>
    <w:p w:rsidR="00163957" w:rsidRDefault="00163957" w:rsidP="00163957">
      <w:pPr>
        <w:pStyle w:val="TextoNormal"/>
      </w:pPr>
      <w:r>
        <w:t>En síntesis, la Sala promotora de la cuestión entiende que el mencionado art. 2 del Real Decreto-ley 20/2012, al suprimir la paga extraordinaria de diciembre de 2012 para el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citado Real Decreto-ley.</w:t>
      </w:r>
    </w:p>
    <w:p w:rsidR="00163957" w:rsidRDefault="00163957" w:rsidP="00163957">
      <w:pPr>
        <w:pStyle w:val="TextoNormal"/>
      </w:pPr>
    </w:p>
    <w:p w:rsidR="00163957" w:rsidRDefault="00163957" w:rsidP="00163957">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163957" w:rsidRDefault="00163957" w:rsidP="00163957">
      <w:pPr>
        <w:pStyle w:val="TextoNormal"/>
      </w:pPr>
    </w:p>
    <w:p w:rsidR="00163957" w:rsidRDefault="00163957" w:rsidP="00163957">
      <w:pPr>
        <w:pStyle w:val="TextoNormal"/>
      </w:pPr>
      <w:r w:rsidRPr="00163957">
        <w:rPr>
          <w:rStyle w:val="NumeroAFNegritaCaracter"/>
        </w:rPr>
        <w:t>2</w:t>
      </w:r>
      <w:r>
        <w:t>. En el examen de esta cuestión de inconstitucionalidad es necesario valorar con carácter previo la concurrencia de los requisitos exigidos para su válido planteamiento, pues, conforme a reiterada jurisprudencia constitucional, “no existe ningún óbice para realizar un pronunciamiento de inadmisión de una cuestión de inconstitucionalidad en la fase de resolución de la misma, esto es, mediante Sentencia, dado que la tramitación específica del art. 37.1 de la Ley Orgánica del Tribunal Constitucional (LOTC) no tiene carácter preclusivo y cabe apreciar en Sentencia la ausencia de los requisitos, tanto procesales como de fundamentación, requeridos para el válido planteamiento de la cuestión de inconstitucionalidad” (STC 146/2012, de 5 de julio, FJ 2; o STC 79/2015, de 30 de abril, FJ 2).</w:t>
      </w:r>
    </w:p>
    <w:p w:rsidR="00163957" w:rsidRDefault="00163957" w:rsidP="00163957">
      <w:pPr>
        <w:pStyle w:val="TextoNormal"/>
      </w:pPr>
    </w:p>
    <w:p w:rsidR="00163957" w:rsidRDefault="00163957" w:rsidP="00163957">
      <w:pPr>
        <w:pStyle w:val="TextoNormal"/>
      </w:pPr>
      <w:r>
        <w:t>Los apartados 1 y 2 del art. 35 de la Ley Orgánica del Tribunal Constitucional (LOTC) exigen, respectivamente, que la norma legal cuestionada resulte “aplicable al caso y de cuya validez dependa el fallo”, y asimismo que, en su Auto de planteamiento, el órgano judicial promotor no sólo debe concretar la ley o norma con fuerza de ley de cuya constitucionalidad duda, sino que también ha de especificar o justificar en qué medida la decisión del proceso depende de la validez de la norma en cuestión. En consecuencia, para la adecuada formulación de la cuestión de inconstitucionalidad no basta con que el tribunal ordinario considere que la norma controvertida es aplicable al caso, sino que además es necesario que dicha norma supere el llamado juicio de relevancia (STC 221/2015, de 22 de octubre, FJ 2), juicio este último que se entiende “como el esquema argumental dirigido a probar que el fallo del proceso judicial depende de la validez de la norma cuestionada” y que “constituye uno de los requisitos esenciales de toda cuestión de inconstitucionalidad, por cuanto a su través se garantiza el control concreto de la constitucionalidad de la ley, impidiendo que el órgano judicial convierta dicho control en abstracto, al carecer de legitimación para ello” (por todas, STC 10/2015, de 2 de febrero, FJ 2).</w:t>
      </w:r>
    </w:p>
    <w:p w:rsidR="00163957" w:rsidRDefault="00163957" w:rsidP="00163957">
      <w:pPr>
        <w:pStyle w:val="TextoNormal"/>
      </w:pPr>
    </w:p>
    <w:p w:rsidR="00163957" w:rsidRDefault="00163957" w:rsidP="00163957">
      <w:pPr>
        <w:pStyle w:val="TextoNormal"/>
      </w:pPr>
      <w:r>
        <w:t>Al respecto, hemos afirmado que la exigencia de que el órgano proponente debe concretar el precepto constitucional que supone infringido no significa tan sólo que el Auto de planteamiento ha de contener la cita de tal precepto o preceptos, sino que es preciso también que el órgano judicial exteriorice en él el razonamiento que le ha llevado a cuestionar la constitucionalidad de la norma aplicable, de manera que ha de ofrecer “una fundamentación suficiente de la inconstitucionalidad y de la relación entre la norma cuestionada y el fallo” (STC 224/2006, de 6 de julio, FJ 5). En conexión con ello, este Tribunal ha señalado que “la mera aplicabilidad en el proceso a quo de la norma legal cuestionada no es equivalente a la exigida relevancia constitucional del juicio que ha de expresar el órgano judicial”, un juicio que, entre otras exigencias, demanda del órgano proponente una argumentación acerca de la aludida relevancia que sea razonable, suficiente y coherente con el tipo de proceso en que se suscite la cuestión, de tal modo que “el juicio de relevancia que ha de emitir el órgano jurisdiccional ha de concretar justamente la interrelación entre pretensión procesal, objeto del proceso y resolución judicial (STC 80/1994, de 14 de marzo, FJ 2, por todas)” (ATC 28/2002, de 26 de febrero, FJ 2).</w:t>
      </w:r>
    </w:p>
    <w:p w:rsidR="00163957" w:rsidRDefault="00163957" w:rsidP="00163957">
      <w:pPr>
        <w:pStyle w:val="TextoNormal"/>
      </w:pPr>
    </w:p>
    <w:p w:rsidR="00163957" w:rsidRDefault="00163957" w:rsidP="00163957">
      <w:pPr>
        <w:pStyle w:val="TextoNormal"/>
      </w:pPr>
      <w:r>
        <w:t xml:space="preserve">Por último, en relación con este aspecto, hemos de recordar que “aunque es al órgano judicial que plantea la cuestión a quien le corresponde efectuar el llamado juicio de relevancia, ello no impide a este Tribunal efectuar la revisión del mismo con el fin de garantizar el control concreto de constitucionalidad que corresponde a la cuestión de inconstitucionalidad... y evitar así que este procedimiento se convierta en un medio de impugnación directa </w:t>
      </w:r>
      <w:r>
        <w:lastRenderedPageBreak/>
        <w:t>y abstracta de la Ley” (STC 114/2010, de 24 de noviembre, FJ 3). Así, con miras a este objetivo, procede tal revisión en los supuestos en que de manera notoria, sin necesidad de examinar el fondo debatido y en aplicación de principios jurídicos básicos, se advierta que la argumentación judicial respecto a la aplicabilidad al caso del precepto legal cuestionado y su relevancia para el fallo resulta inconsistente o evidentemente errada, determinando en tal circunstancia la inadmisibilidad de la cuestión de inconstitucionalidad (SSTC 141/2008, de 30 de octubre, FJ 4, y 4/2015, de 19 de enero, FJ 2).</w:t>
      </w:r>
    </w:p>
    <w:p w:rsidR="00163957" w:rsidRDefault="00163957" w:rsidP="00163957">
      <w:pPr>
        <w:pStyle w:val="TextoNormal"/>
      </w:pPr>
    </w:p>
    <w:p w:rsidR="00163957" w:rsidRDefault="00163957" w:rsidP="00163957">
      <w:pPr>
        <w:pStyle w:val="TextoNormal"/>
      </w:pPr>
      <w:r w:rsidRPr="00163957">
        <w:rPr>
          <w:rStyle w:val="NumeroAFNegritaCaracter"/>
        </w:rPr>
        <w:t>3</w:t>
      </w:r>
      <w:r>
        <w:t>. Trasladada la doctrina constitucional expuesta a la cuestión de inconstitucionalidad ahora examinada, hemos de concluir, al igual que hicimos en la STC 241/2015, de 30 de noviembre, que resuelve una cuestión de inconstitucionalidad prácticamente idéntica planteada por la Sala de lo Social de la Audiencia Nacional y que tiene su origen en un proceso de conflicto colectivo iniciado por los trabajadores de Mutua Balear, que el Auto de planteamiento elevado a este Tribunal incurre en un defectuoso cumplimiento del requisito relativo a la exteriorización del juicio de relevancia.</w:t>
      </w:r>
    </w:p>
    <w:p w:rsidR="00163957" w:rsidRDefault="00163957" w:rsidP="00163957">
      <w:pPr>
        <w:pStyle w:val="TextoNormal"/>
      </w:pPr>
    </w:p>
    <w:p w:rsidR="00163957" w:rsidRDefault="00163957" w:rsidP="00163957">
      <w:pPr>
        <w:pStyle w:val="TextoNormal"/>
      </w:pPr>
      <w:r>
        <w:t>Al respecto ha de señalarse que el órgano promotor dirige su duda de constitucionalidad genéricamente al art. 2 del Real Decreto-ley 20/2012, pese a que sólo algunos de sus apartados o previsiones resultan aplicables al caso y relevantes para el fallo. El Auto de planteamiento (que adolece de la misma indeterminación que la providencia de apertura del trámite de audiencia) no sólo no identifica cuáles son esos apartados o previsiones aplicables y relevantes para la resolución del proceso a quo (AATC 221/2013, de 9 de octubre, FFJJ 3 y 4, y 206/2014, de 22 de julio, FJ 3), sino que, además, el razonamiento sobre el que el órgano promotor fundamenta su duda de constitucionalidad tampoco se construye en relación con las concretas previsiones del art. 2 del Real Decreto-ley 20/2012 que resultan determinantes en el litigio del que trae origen la presente cuestión de inconstitucionalidad.</w:t>
      </w:r>
    </w:p>
    <w:p w:rsidR="00163957" w:rsidRDefault="00163957" w:rsidP="00163957">
      <w:pPr>
        <w:pStyle w:val="TextoNormal"/>
      </w:pPr>
    </w:p>
    <w:p w:rsidR="00163957" w:rsidRDefault="00163957" w:rsidP="00163957">
      <w:pPr>
        <w:pStyle w:val="TextoNormal"/>
      </w:pPr>
      <w:r>
        <w:t>En efecto, el proceso de conflicto colectivo que da lugar al presente procedimiento constitucional se promueve con motivo de que, por aplicación de las previsiones contenidas en el art. 2 del Real Decreto-ley 20/2012, los trabajadores de Mutualia, Mutua colaboradora con la Seguridad Social, sujetos al convenio colectivo general de ámbito estatal para las entidades de seguros, reaseguros y Mutuas de Accidentes de Trabajo (“BOE” núm. 297, de 10 diciembre 2008) —que prevé la percepción de tres pagas extraordinarias— han experimentado la supresión de la decimocuarta parte de su retribución anual. El objeto de este proceso se vincula así, por un lado, al apartado 3 del referido art. 2 del Real Decreto-ley 20/2012, que señala que la reducción retributiva allí prevista será de aplicación al personal directivo y resto de personal de las mutuas de accidentes de trabajo y enfermedades profesionales de la Seguridad Social, y por otro lado, a su apartado 5, en el que se indica que en los casos en que su régimen retributivo no contemple la percepción de pagas extraordinarias o se perciban más de dos al año se reducirá una catorceava parte de las retribuciones totales anuales excluidos incentivos al rendimiento, ordenándose prorratear dicha reducción entre las nóminas pendientes de percibir en el ejercicio. En coherencia con ello, la parte actora formula sus pretensiones procesales, de modo que, con carácter principal, solicita que se declare el derecho de los trabajadores a que Mutualia les restituya en su integridad la catorceava parte de la retribución total anual descontada en las nóminas correspondientes a los meses comprendidos entre julio y diciembre de 2012, y subsidiariamente, que se les reintegre el importe equivalente a 7/12 (o en su caso, 6,5/12) de esa catorceava parte de las retribuciones totales anuales que les ha sido descontada.</w:t>
      </w:r>
    </w:p>
    <w:p w:rsidR="00163957" w:rsidRDefault="00163957" w:rsidP="00163957">
      <w:pPr>
        <w:pStyle w:val="TextoNormal"/>
      </w:pPr>
    </w:p>
    <w:p w:rsidR="00163957" w:rsidRDefault="00163957" w:rsidP="00163957">
      <w:pPr>
        <w:pStyle w:val="TextoNormal"/>
      </w:pPr>
      <w:r>
        <w:t>Ese específico contenido del objeto del proceso y de las pretensiones procesales de la parte demandante no encuentra, sin embargo, adecuado reflejo en la fundamentación del Auto de planteamiento de la cuestión, que elabora toda su argumentación en relación exclusivamente con la medida consistente en la supresión de la paga extraordinaria de diciembre de 2012 del personal del sector público, a la que hacen referencia los apartados 1 y 2 del cuestionado art. 2 del Real Decreto-ley 20/2012. Así, en su argumentación, el órgano proponente vincula la duda de constitucionalidad planteada en relación con el principio de irretroactividad ex art. 9.3 CE a las cuantías de la citada paga extra que considera devengadas a la fecha de entrada en vigor del Real Decreto-ley 20/2012 (15 de julio de 2012), cuando el apartado 5 del art. 2, que es el que resulta determinante en el proceso a quo, prevé una reducción en una catorceava parte de las retribuciones totales anuales, reducción que se prorrateará entre las nóminas pendientes de percibir en el año 2012.</w:t>
      </w:r>
    </w:p>
    <w:p w:rsidR="00163957" w:rsidRDefault="00163957" w:rsidP="00163957">
      <w:pPr>
        <w:pStyle w:val="TextoNormal"/>
      </w:pPr>
    </w:p>
    <w:p w:rsidR="00163957" w:rsidRDefault="00163957" w:rsidP="00163957">
      <w:pPr>
        <w:pStyle w:val="TextoNormal"/>
      </w:pPr>
      <w:r>
        <w:t>Pues bien, como señala la STC 241/2015, FJ 3, “sin perjuicio de su evidente interrelación y común finalidad, es obvio que la medida objeto del proceso a quo respecto a la que la parte actora formula las pretensiones procesales sobre las que deberá recaer la decisión judicial —la reducción de una catorceava parte de las retribuciones anuales conforme al apartado 5 del art. 2 del Real Decreto-ley 20/2012— no resulta coincidente con la medida sobre la que el órgano proponente argumenta y formula su duda de constitucionalidad —la supresión de la paga extraordinaria de diciembre de 2012, a la que específicamente se refieren los apartados 1 y 2 del citado art. 2—. No existe, por tanto, la precisa correspondencia entre el objeto sobre el que el órgano promotor proyecta su razonamiento y el objeto del litigio que da origen a la presente cuestión. Por ello, concurriendo esta discordancia, no puede apreciarse que el Auto de planteamiento haya explicado debidamente en qué medida la norma cuestionada es aplicable y relevante para la resolución del litigio a quo, ni en consecuencia puede afirmarse que el órgano promotor haya expuesto adecuadamente el esquema argumental que permita probar la dependencia entre la validez de la norma cuestionada y el fallo del proceso judicial”.</w:t>
      </w:r>
    </w:p>
    <w:p w:rsidR="00163957" w:rsidRDefault="00163957" w:rsidP="00163957">
      <w:pPr>
        <w:pStyle w:val="TextoNormal"/>
      </w:pPr>
    </w:p>
    <w:p w:rsidR="00163957" w:rsidRDefault="00163957" w:rsidP="00163957">
      <w:pPr>
        <w:pStyle w:val="TextoNormal"/>
      </w:pPr>
      <w:r>
        <w:t>En definitiva, puesto que el Auto de planteamiento proyecta la duda de constitucionalidad formulada sobre una medida contemplada en el art. 2 del Real Decreto-ley 20/2012 distinta a la discutida en el proceso a quo, hemos de concluir que el órgano promotor ha realizado una inadecuada formulación y exteriorización del juicio de relevancia. Consiguientemente, apreciada esta deficiencia y dado que “no es posible convertir la cuestión de inconstitucionalidad en un juicio de constitucionalidad en abstracto, desligado del proceso a quo” (ATC 57/2014, de 25 de febrero, FJ 4), de conformidad con la doctrina constitucional antes expuesta procede declarar la inadmisión a trámite de la cuestión de inconstitucionalidad presentada.</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lastRenderedPageBreak/>
        <w:t>Ha decidido</w:t>
      </w:r>
    </w:p>
    <w:p w:rsidR="00163957" w:rsidRDefault="00163957" w:rsidP="00163957">
      <w:pPr>
        <w:pStyle w:val="TextoNormalCentrado"/>
        <w:keepNext/>
      </w:pPr>
    </w:p>
    <w:p w:rsidR="00163957" w:rsidRDefault="00163957" w:rsidP="00163957">
      <w:pPr>
        <w:pStyle w:val="TextoNormal"/>
      </w:pPr>
      <w:r>
        <w:t>Inadmitir la presente cuestión de inconstitucionalidad.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dieciocho de enero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5" w:name="SENTENCIA_2016_2"/>
      <w:r>
        <w:lastRenderedPageBreak/>
        <w:t>SENTENCIA 2/2016, de 18 de enero de 2016</w:t>
      </w:r>
    </w:p>
    <w:bookmarkEnd w:id="5"/>
    <w:p w:rsidR="00163957" w:rsidRDefault="00163957" w:rsidP="00163957">
      <w:pPr>
        <w:pStyle w:val="TtuloResolucin"/>
      </w:pPr>
      <w:r>
        <w:t>Sala Segunda</w:t>
      </w:r>
    </w:p>
    <w:p w:rsidR="00163957" w:rsidRDefault="00163957" w:rsidP="00163957">
      <w:pPr>
        <w:pStyle w:val="TtuloBOE"/>
      </w:pPr>
      <w:r>
        <w:t>(BOE núm. 45, de 22 de febrero de 2016)</w:t>
      </w:r>
    </w:p>
    <w:p w:rsidR="00163957" w:rsidRDefault="00163957" w:rsidP="00163957">
      <w:pPr>
        <w:pStyle w:val="TextoNormalCentrado"/>
      </w:pPr>
      <w:r>
        <w:t>ECLI:ES:TC:2016:2</w:t>
      </w:r>
    </w:p>
    <w:p w:rsidR="00163957" w:rsidRDefault="00163957" w:rsidP="00163957">
      <w:pPr>
        <w:pStyle w:val="TextoNormalCentrado"/>
      </w:pPr>
    </w:p>
    <w:p w:rsidR="00163957" w:rsidRDefault="00163957" w:rsidP="00163957">
      <w:pPr>
        <w:pStyle w:val="SntesisDescriptiva"/>
      </w:pPr>
      <w:r>
        <w:t>Cuestión de inconstitucionalidad 4936-2013. Planteada por el Juzgado de lo Social núm. 5 de Santa Cruz de Tenerife en relación con el artículo 2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y expropiación de derechos económicos: extinción, por pérdida de objeto, de la cuestión de inconstitucionalidad (STC 83/2015).</w:t>
      </w:r>
    </w:p>
    <w:p w:rsidR="00163957" w:rsidRDefault="00163957" w:rsidP="00163957">
      <w:pPr>
        <w:pStyle w:val="SntesisAnaltica"/>
      </w:pPr>
    </w:p>
    <w:p w:rsidR="00163957" w:rsidRDefault="00163957" w:rsidP="00163957">
      <w:pPr>
        <w:pStyle w:val="Extracto"/>
      </w:pPr>
      <w:r>
        <w:t>1.</w:t>
      </w:r>
      <w:r>
        <w:tab/>
        <w:t>La satisfacción extraprocesal de la pretensión deducida en el proceso laboral sobre la que se articula la cuestión de inconstitucionalidad le hace perder su objeto, al ser tal satisfacción extraprocesal uno de los posibles supuestos de extinción de la cuestión de inconstitucionalidad (STC 83/2015) [FJ 3].</w:t>
      </w:r>
    </w:p>
    <w:p w:rsidR="00163957" w:rsidRDefault="00163957" w:rsidP="00163957">
      <w:pPr>
        <w:pStyle w:val="Extracto"/>
      </w:pPr>
    </w:p>
    <w:p w:rsidR="00163957" w:rsidRDefault="00163957" w:rsidP="00163957">
      <w:pPr>
        <w:pStyle w:val="Extracto"/>
      </w:pPr>
      <w:r>
        <w:t>2.</w:t>
      </w:r>
      <w:r>
        <w:tab/>
        <w:t>Doctrina sobre las posibles causas de terminación extraordinaria de las cuestiones de inconstitucionalidad por pérdida sobrevenida de objeto (STC 83/2015) [FJ 3].</w:t>
      </w:r>
    </w:p>
    <w:p w:rsidR="00163957" w:rsidRDefault="00163957" w:rsidP="00163957">
      <w:pPr>
        <w:pStyle w:val="Extracto"/>
      </w:pPr>
    </w:p>
    <w:p w:rsidR="00163957" w:rsidRDefault="00163957" w:rsidP="00163957">
      <w:pPr>
        <w:pStyle w:val="Extracto"/>
      </w:pPr>
      <w:r>
        <w:t>3.</w:t>
      </w:r>
      <w:r>
        <w:tab/>
        <w:t>Aun cuando el enjuiciamiento constitucional de la norma cuestionada sigue siendo posible y ésta plantea un problema constitucional de interés, no se trataría de un juicio de constitucionalidad en concreto, al que se refiere el art. 163 CE, sino en abstracto, sin efectos para el caso, lo que resulta improcedente en toda cuestión de inconstitucionalidad (SSTC 6/2010, 83/2015)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4936-2013, promovida por el Juzgado de lo Social núm. 5 de Santa Cruz de Tenerife contra el art. 2 del Real Decreto-ley 20/2012, de 13 de julio, de medidas para garantizar la estabilidad presupuestaria y de fomento de la competitividad, por posible vulneración de los arts. 9.3 y 33.3 CE. Han formulado alegaciones el Fiscal General del Estado y el Abogado del Estado. Ha sido Ponente la Magistrada doña Adela Asua Batarrita,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6 de agosto de 2013 tuvo entrada en el Registro General de este Tribunal un oficio del Juzgado de lo Social núm.5 de Santa Cruz de Tenerife al que se acompaña, junto con el testimonio del procedimiento núm. 335-2013, el Auto de 23 de julio de 2013,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posible lesión del art. 9.3 CE, sobre el principio de irretroactividad de disposiciones restrictivas de derechos individuales, en relación con el art. 33.3 CE respecto a la supresión de un derecho patrimonial sin compensación adecuada.</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procesales de la cuestión de inconstitucionalidad planteada son, sucintamente expuestos, los siguientes:</w:t>
      </w:r>
    </w:p>
    <w:p w:rsidR="00163957" w:rsidRDefault="00163957" w:rsidP="00163957">
      <w:pPr>
        <w:pStyle w:val="TextoNormal"/>
      </w:pPr>
    </w:p>
    <w:p w:rsidR="00163957" w:rsidRDefault="00163957" w:rsidP="00163957">
      <w:pPr>
        <w:pStyle w:val="TextoNormal"/>
      </w:pPr>
      <w:r>
        <w:t>a) Una trabajadora, personal laboral al servicio de la Consejería de Educación, Universidades y Sostenibilidad del Gobierno de Canarias, presentó demanda con fecha 11 de marzo de 2013 reclamando el abono de la parte proporcional de la paga extraordinaria de diciembre de 2012, por entender que se había devengado una parte de la misma hasta el 14 de julio de 2012, fecha de entrada en vigor del Real Decreto-ley 20/2012, ya que éste no podía tener efectos retroactivos respecto de la parte de la paga extraordinaria ya devengada (en concreto, reclamaba el período comprendido desde el 1 de mayo al el 14 de julio de 2012).</w:t>
      </w:r>
    </w:p>
    <w:p w:rsidR="00163957" w:rsidRDefault="00163957" w:rsidP="00163957">
      <w:pPr>
        <w:pStyle w:val="TextoNormal"/>
      </w:pPr>
    </w:p>
    <w:p w:rsidR="00163957" w:rsidRDefault="00163957" w:rsidP="00163957">
      <w:pPr>
        <w:pStyle w:val="TextoNormal"/>
      </w:pPr>
      <w:r>
        <w:t>b) Admitida a trámite la demanda y celebrado el juicio el 4 de junio de 2013, de conformidad con lo dispuesto en el art. 35.2 de la Ley Orgánica del Tribunal Constitucional (LOTC), el órgano judicial, dentro del plazo para dictar Sentencia, por providencia de 10 de junio de 2013 acordó conceder a las partes y al Ministerio Fiscal el plazo común de diez días para que alegasen lo que tuvieran por conveniente acerca de la pertinencia de plantear cuestión de inconstitucionalidad respecto del art. 2 del Real Decreto-ley 20/2012, por posible infracción de los arts. 9.3 y 33.3 CE, en la medida en que la supresión de la totalidad de la paga extra de diciembre de 2012, sin excepcionar la parte proporcional de la misma devengada hasta el momento de entrada en vigor del citado Real Decreto-ley, podría considerarse una norma retroactiva restrictiva de derechos individuales y una expropiación forzosa patrimonial sin verse acompañada de la correspondiente indemnización.</w:t>
      </w:r>
    </w:p>
    <w:p w:rsidR="00163957" w:rsidRDefault="00163957" w:rsidP="00163957">
      <w:pPr>
        <w:pStyle w:val="TextoNormal"/>
      </w:pPr>
    </w:p>
    <w:p w:rsidR="00163957" w:rsidRDefault="00163957" w:rsidP="00163957">
      <w:pPr>
        <w:pStyle w:val="TextoNormal"/>
      </w:pPr>
      <w:r>
        <w:t xml:space="preserve">c) El Ministerio Fiscal formuló alegaciones manifestando que no se oponía al planteamiento de la cuestión, sin hacer pronunciamiento a priori sobre el fondo de la misma. Por su parte, la interesada presentó sus alegaciones oponiéndose al planteamiento de la cuestión, aduciendo que el Tribunal Constitucional ya ha admitido a trámite una cuestión de inconstitucionalidad planteada por la Sala de lo Social de la Audiencia Nacional en cuanto al personal laboral público, por idénticos motivos que los que aquí se suscitan, por lo que incidirá lo que en ella se decida de manera directa en este asunto, sin necesidad de plantear otra cuestión por iguales motivos. Además, señala en apoyo de su tesis que algún otro Juzgado de lo Social de Canarias ha dictado Sentencia estimando una reclamación de cantidad igual a la promovida por la actora. Finalmente, el Letrado del servicio jurídico del Gobierno de Canarias se opuso también al planteamiento de la cuestión, argumentando que la norma es </w:t>
      </w:r>
      <w:r>
        <w:lastRenderedPageBreak/>
        <w:t>perfectamente constitucional, y que, teniendo en cuenta las previsiones del convenio colectivo aplicable, no existe derecho a cantidad alguna pues sólo en el momento del pago se genera tal derecho. Por tanto, no existe retroactividad restrictiva de derechos individuales (art. 9.3 CE) ni se está expropiando un derecho patrimonial (art. 33.3 CE), pues el derecho no se materializa hasta noviembre.</w:t>
      </w:r>
    </w:p>
    <w:p w:rsidR="00163957" w:rsidRDefault="00163957" w:rsidP="00163957">
      <w:pPr>
        <w:pStyle w:val="TextoNormal"/>
      </w:pPr>
    </w:p>
    <w:p w:rsidR="00163957" w:rsidRDefault="00163957" w:rsidP="00163957">
      <w:pPr>
        <w:pStyle w:val="TextoNormal"/>
      </w:pPr>
      <w:r w:rsidRPr="00163957">
        <w:rPr>
          <w:rStyle w:val="NumeroAFNegritaCaracter"/>
        </w:rPr>
        <w:t>3</w:t>
      </w:r>
      <w:r>
        <w:t>. Por Auto de 23 de julio de 2013, el Juzgado de lo Social núm. 5 de Santa Cruz de Tenerife acordó plantear la presente cuestión de inconstitucionalidad y del análisis de su contenido interesa destacar los siguientes puntos:</w:t>
      </w:r>
    </w:p>
    <w:p w:rsidR="00163957" w:rsidRDefault="00163957" w:rsidP="00163957">
      <w:pPr>
        <w:pStyle w:val="TextoNormal"/>
      </w:pPr>
    </w:p>
    <w:p w:rsidR="00163957" w:rsidRDefault="00163957" w:rsidP="00163957">
      <w:pPr>
        <w:pStyle w:val="TextoNormal"/>
      </w:pPr>
      <w:r>
        <w:t>a) Tras recoger los antecedentes del caso, la fundamentación del Auto de 23 de julio de 2013 comienza por hacer referencia al contenido del art. 35.2 LOTC y por reproducir el precepto cuestionado, para justificar a continuación la relevancia del mismo a efectos de resolución del proceso a quo. En este sentido, señala que el precepto resulta de aplicación al caso y es esencial para la resolución del mismo, al ser el aplicado a la demandante por la Administración para no pagarle cantidad alguna en concepto de segunda paga extra de 2012, y aunque la demandante únicamente reclama la parte proporcional de dicha paga, devengada entre el 1 de mayo y el 14 de julio de 2012, el tenor literal del precepto impide el abono de cantidad alguna, por lo que la resolución del caso depende de si la norma se ajusta o no a la Constitución. Y ello, a pesar del silencio del convenio colectivo aplicable sobre la forma de devengo de las pagas extras, de cuyo art. 45 no se desprende que no estén sujetas a un devengo día por día. A este respecto, se cita una reiterada jurisprudencia de la Sala Cuarta del Tribunal Supremo que ha afirmado el devengo diario y el cobro aplazado, sosteniendo el Auto que, aunque ello no tenga una configuración legal, el legislador no puede desconocer la existencia de esa constante jurisprudencia sin motivos justificados de interés general y mediando, en su caso, la indemnización adecuada ex art. 33.3 CE cuando la retroactividad afecta a derechos patrimoniales concretos.</w:t>
      </w:r>
    </w:p>
    <w:p w:rsidR="00163957" w:rsidRDefault="00163957" w:rsidP="00163957">
      <w:pPr>
        <w:pStyle w:val="TextoNormal"/>
      </w:pPr>
    </w:p>
    <w:p w:rsidR="00163957" w:rsidRDefault="00163957" w:rsidP="00163957">
      <w:pPr>
        <w:pStyle w:val="TextoNormal"/>
      </w:pPr>
      <w:r>
        <w:t>b) Por otra parte, recuerda que el ATC 162/2012, de 13 de septiembre, ha rechazado que una reducción de las retribuciones impuesta legalmente afecte al art. 9.3 CE, pero no por no tratarse de derechos individuales protegibles, sino por no poseer efectos retroactivos. Sin embargo, si se considera que el Real Decreto-ley 20/2012 suprime la totalidad de la paga extra de diciembre de 2012, incluyendo la parte proporcional de la misma devengada antes de la entrada en vigor del mismo, se estaría afectando a un derecho económico ya devengado y que formaba parte del patrimonio de la trabajadora demandante. En este sentido, se da totalmente por reproducida la fundamentación del Auto de la Sala de lo Social de la Audiencia Nacional de 1 de marzo de 2013 planteando cuestión de inconstitucionalidad contra el mismo precepto.</w:t>
      </w:r>
    </w:p>
    <w:p w:rsidR="00163957" w:rsidRDefault="00163957" w:rsidP="00163957">
      <w:pPr>
        <w:pStyle w:val="TextoNormal"/>
      </w:pPr>
    </w:p>
    <w:p w:rsidR="00163957" w:rsidRDefault="00163957" w:rsidP="00163957">
      <w:pPr>
        <w:pStyle w:val="TextoNormal"/>
      </w:pPr>
      <w:r>
        <w:t>c) No obstante, plantea el Auto la posibilidad de una interpretación del precepto cuestionado que salvaría las dudas de constitucionalidad, entendiendo que no suprime la paga extraordinaria de diciembre de 2012, sino que establece una reducción de las retribuciones anuales del personal del sector público pendientes de devengo y abono en cuantía igual al importe de esa paga. Y, así entendido, no se estaría suprimiendo una paga extraordinaria, incluida la parte proporcional de la misma ya devengada, sino una reducción de las retribuciones de 2012 pendientes de devengarse con posterioridad a la entra en vigor del Real Decreto-ley 20/2012, que se ejecutaría mediante el no abono de la paga extraordinaria, pro</w:t>
      </w:r>
      <w:r>
        <w:lastRenderedPageBreak/>
        <w:t>cedimiento menos gravoso que una reducción prorrateada en las nóminas de julio a diciembre. Así interpretado el precepto, no se estaría afectando a derechos económicos incorporados al patrimonio de los trabajadores cuando entró en vigor la norma, por lo que sería conforme con los arts. 9.3 y 33.3 CE, dejando además incólume la jurisprudencia sobre el devengo de las pagas extraordinarias. Dicha interpretación puede apoyarse en el tenor del art. 2 del Real Decreto-ley 20/2012 a la hora de establecer que se procede a una reducción de las retribuciones en 2012 y la forma en que habrá de llevarse a cabo dicha reducción respecto de los distintos tipos de personal, citándose, especialmente, las reglas de los apartados 5 y 6. Ahora bien, atendiendo a que dicha interpretación no es inequívoca, el órgano judicial estima procedente mantener el planteamiento de la cuestión de inconstitucionalidad.</w:t>
      </w:r>
    </w:p>
    <w:p w:rsidR="00163957" w:rsidRDefault="00163957" w:rsidP="00163957">
      <w:pPr>
        <w:pStyle w:val="TextoNormal"/>
      </w:pPr>
    </w:p>
    <w:p w:rsidR="00163957" w:rsidRDefault="00163957" w:rsidP="00163957">
      <w:pPr>
        <w:pStyle w:val="TextoNormal"/>
      </w:pPr>
      <w:r>
        <w:t>Así acuerda elevar cuestión de inconstitucionalidad en los siguientes términos: “Si la redacción del art. 2 del Real Decreto-ley 20/2012, de 13 de julio, de medidas para garantizar la estabilidad presupuestaria y de fomento de la competitividad, en su aplicación al personal laboral del sector público, ha vulnerado o no el principio de irretroactividad de las disposiciones restrictivas de derechos individuales contemplado en el art. 9.3 de la Constitución, en relación el 33.3 de la Constitución respecto a la supresión de un derecho patrimonial sin compensación adecuada”.</w:t>
      </w:r>
    </w:p>
    <w:p w:rsidR="00163957" w:rsidRDefault="00163957" w:rsidP="00163957">
      <w:pPr>
        <w:pStyle w:val="TextoNormal"/>
      </w:pPr>
    </w:p>
    <w:p w:rsidR="00163957" w:rsidRDefault="00163957" w:rsidP="00163957">
      <w:pPr>
        <w:pStyle w:val="TextoNormal"/>
      </w:pPr>
      <w:r w:rsidRPr="00163957">
        <w:rPr>
          <w:rStyle w:val="NumeroAFNegritaCaracter"/>
        </w:rPr>
        <w:t>4</w:t>
      </w:r>
      <w:r>
        <w:t>. El Pleno de este Tribunal, a propuesta de la Sección Tercera, acordó admitir a trámite la cuestión mediante providencia de 24 de septiembre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Social núm. 5 de Santa Cruz de Tenerife, a fin de que, de conformidad con lo dispuesto en el art. 35 LOTC, permaneciese suspendido el proceso hasta que este Tribunal resolviese efectivamente la cuestión; y publicar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el 7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t>Mediante escrito registrado el 9 de octubre de 2013, el Presidente del Senado comunicó a este Tribunal el acuerdo de la Mesa para que se diera por personada a la Cámara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Abogado del Estado, mediante escrito de alegaciones registrado el 11 de octubre de 2013, se personó interesando la desestimación de la cuestión de inconstitucionalidad por las razones que, resumidamente, se exponen a continuación.</w:t>
      </w:r>
    </w:p>
    <w:p w:rsidR="00163957" w:rsidRDefault="00163957" w:rsidP="00163957">
      <w:pPr>
        <w:pStyle w:val="TextoNormal"/>
      </w:pPr>
    </w:p>
    <w:p w:rsidR="00163957" w:rsidRDefault="00163957" w:rsidP="00163957">
      <w:pPr>
        <w:pStyle w:val="TextoNormal"/>
      </w:pPr>
      <w:r>
        <w:t xml:space="preserve">Comienza señalando que aunque el Auto de planteamiento cuestiona la totalidad del extenso art. 2 del Real Decreto-ley 20/2012, sin embargo se refiere en realidad solo al apartado 2.2 del art. 2, es decir, a la aplicación de la supresión de la paga extraordinaria de diciembre </w:t>
      </w:r>
      <w:r>
        <w:lastRenderedPageBreak/>
        <w:t>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00163957" w:rsidRDefault="00163957" w:rsidP="00163957">
      <w:pPr>
        <w:pStyle w:val="TextoNormal"/>
      </w:pPr>
    </w:p>
    <w:p w:rsidR="00163957" w:rsidRDefault="00163957" w:rsidP="00163957">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163957" w:rsidRDefault="00163957" w:rsidP="00163957">
      <w:pPr>
        <w:pStyle w:val="TextoNormal"/>
      </w:pPr>
    </w:p>
    <w:p w:rsidR="00163957" w:rsidRDefault="00163957" w:rsidP="00163957">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00163957" w:rsidRDefault="00163957" w:rsidP="00163957">
      <w:pPr>
        <w:pStyle w:val="TextoNormal"/>
      </w:pPr>
    </w:p>
    <w:p w:rsidR="00163957" w:rsidRDefault="00163957" w:rsidP="00163957">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w:t>
      </w:r>
      <w:r>
        <w:lastRenderedPageBreak/>
        <w:t>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163957" w:rsidRDefault="00163957" w:rsidP="00163957">
      <w:pPr>
        <w:pStyle w:val="TextoNormal"/>
      </w:pPr>
    </w:p>
    <w:p w:rsidR="00163957" w:rsidRDefault="00163957" w:rsidP="00163957">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163957" w:rsidRDefault="00163957" w:rsidP="00163957">
      <w:pPr>
        <w:pStyle w:val="TextoNormal"/>
      </w:pPr>
    </w:p>
    <w:p w:rsidR="00163957" w:rsidRDefault="00163957" w:rsidP="00163957">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163957" w:rsidRDefault="00163957" w:rsidP="00163957">
      <w:pPr>
        <w:pStyle w:val="TextoNormal"/>
      </w:pPr>
    </w:p>
    <w:p w:rsidR="00163957" w:rsidRDefault="00163957" w:rsidP="00163957">
      <w:pPr>
        <w:pStyle w:val="TextoNormal"/>
      </w:pPr>
      <w:r>
        <w:t>Por todo ello, se interesa la desestimación de la cuestión.</w:t>
      </w:r>
    </w:p>
    <w:p w:rsidR="00163957" w:rsidRDefault="00163957" w:rsidP="00163957">
      <w:pPr>
        <w:pStyle w:val="TextoNormal"/>
      </w:pPr>
    </w:p>
    <w:p w:rsidR="00163957" w:rsidRDefault="00163957" w:rsidP="00163957">
      <w:pPr>
        <w:pStyle w:val="TextoNormal"/>
      </w:pPr>
      <w:r w:rsidRPr="00163957">
        <w:rPr>
          <w:rStyle w:val="NumeroAFNegritaCaracter"/>
        </w:rPr>
        <w:t>7</w:t>
      </w:r>
      <w:r>
        <w:t>. El Fiscal General del Estado presentó escrito de alegaciones ante este Tribunal el 31 de octubre de 2013 interesando la estimación de la presente cuestión de inconstitucionalidad.</w:t>
      </w:r>
    </w:p>
    <w:p w:rsidR="00163957" w:rsidRDefault="00163957" w:rsidP="00163957">
      <w:pPr>
        <w:pStyle w:val="TextoNormal"/>
      </w:pPr>
    </w:p>
    <w:p w:rsidR="00163957" w:rsidRDefault="00163957" w:rsidP="00163957">
      <w:pPr>
        <w:pStyle w:val="TextoNormal"/>
      </w:pPr>
      <w: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w:t>
      </w:r>
      <w:r>
        <w:lastRenderedPageBreak/>
        <w:t>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163957" w:rsidRDefault="00163957" w:rsidP="00163957">
      <w:pPr>
        <w:pStyle w:val="TextoNormal"/>
      </w:pPr>
    </w:p>
    <w:p w:rsidR="00163957" w:rsidRDefault="00163957" w:rsidP="00163957">
      <w:pPr>
        <w:pStyle w:val="TextoNormal"/>
      </w:pPr>
      <w:r>
        <w:t>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El Fiscal General del Estado concluye sus alegaciones precisando que en el Auto de planteamiento no se cuestiona todo el art. 2 del Real Decreto-ley sino sólo su apartado 2.2, ya que es el que resulta aplicable para resolver el pleito sometido al conocimiento del Juzgado de lo Social núm. 5 de Santa Cruz de Tenerife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28 de mayo de 2015 la Sala Segunda acordó, de conformidad con lo dispuesto en el art. 88.1 LOTC, dirigir atenta comunicación a la Dirección Territorial de Santa Cruz de Tenerife de la Secretaría Técnica de la Consejería de Educación, Universidades y Sostenibilidad, a fin de que indique a este Tribunal si, en atención a los previsto en la disposición adicional duodécima de la Ley 36/2014, de presupuestos generales del Estado para el año 2015, o por cualquier otra circunstancia, ha satisfecho a la trabajadora, personal laboral de la citada Consejería,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163957" w:rsidRDefault="00163957" w:rsidP="00163957">
      <w:pPr>
        <w:pStyle w:val="TextoNormal"/>
      </w:pPr>
    </w:p>
    <w:p w:rsidR="00163957" w:rsidRDefault="00163957" w:rsidP="00163957">
      <w:pPr>
        <w:pStyle w:val="TextoNormal"/>
      </w:pPr>
      <w:r w:rsidRPr="00163957">
        <w:rPr>
          <w:rStyle w:val="NumeroAFNegritaCaracter"/>
        </w:rPr>
        <w:t>9</w:t>
      </w:r>
      <w:r>
        <w:t>. En contestación a dicho requerimiento, por escrito registrado en este Tribunal el 17 de junio de 2015, el Director Territorial de Educación de Santa Cruz de Tenerife ha informado que de acuerdo con el certificado emitido por el Jefe de Negociado de Nóminas del Personal no Docente de fecha 10 de junio de 2015, la citada trabajadora, personal laboral temporal de la Consejería de Educación, Universidades y Sostenibilidad, percibió en la nómina de abril de 2014 la cantidad de 488,36 euros, correspondientes a 74 días de la paga extraordinaria de noviembre de 2012.</w:t>
      </w:r>
    </w:p>
    <w:p w:rsidR="00163957" w:rsidRDefault="00163957" w:rsidP="00163957">
      <w:pPr>
        <w:pStyle w:val="TextoNormal"/>
      </w:pPr>
    </w:p>
    <w:p w:rsidR="00163957" w:rsidRDefault="00163957" w:rsidP="00163957">
      <w:pPr>
        <w:pStyle w:val="TextoNormal"/>
      </w:pPr>
      <w:r w:rsidRPr="00163957">
        <w:rPr>
          <w:rStyle w:val="NumeroAFNegritaCaracter"/>
        </w:rPr>
        <w:t>10</w:t>
      </w:r>
      <w:r>
        <w:t>. Con fecha 13 de noviembre de 2015 la Secretaria de Justicia dirigió comunicación al Director de la Dirección Territorial de Santa Cruz de Tenerife de la Secretaría Técnica de la Consejería de Educación, Universidades y Sostenibilidad, en el que se solicitaba que como complemento a su escrito de 10 de junio de 2015 indicara a este Tribunal si con posterioridad a esa fecha y en atención a lo previsto en el Real Decreto-ley 20/2015, ha sido abonada alguna otra cantidad y el número de días de la referida paga a la que corresponde la cuantía abonada.</w:t>
      </w:r>
    </w:p>
    <w:p w:rsidR="00163957" w:rsidRDefault="00163957" w:rsidP="00163957">
      <w:pPr>
        <w:pStyle w:val="TextoNormal"/>
      </w:pPr>
    </w:p>
    <w:p w:rsidR="00163957" w:rsidRDefault="00163957" w:rsidP="00163957">
      <w:pPr>
        <w:pStyle w:val="TextoNormal"/>
      </w:pPr>
      <w:r w:rsidRPr="00163957">
        <w:rPr>
          <w:rStyle w:val="NumeroAFNegritaCaracter"/>
        </w:rPr>
        <w:t>11</w:t>
      </w:r>
      <w:r>
        <w:t>. Por escrito registrado el 9 de diciembre de 2015, el Director Territorial de Educación de Santa Cruz de Tenerife ha informado que la trabajadora cuya demanda ha dado lugar al planteamiento de la presente cuestión de inconstitucionalidad tiene acreditados para la nómina del mes de diciembre de 2015 la cantidad de 105,62 euros, como concepto de recuperación parcial de la paga extra y de la paga adicional de diciembre de 2012.</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12</w:t>
      </w:r>
      <w:r>
        <w:t>. Por providencia de 14 de enero de 2016 se señaló para deliberación y votación de la presente Sentencia el día 18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Juzgado de lo Social núm. 5 de Santa Cruz de Tenerife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en relación con el art. 33.3 CE respecto a la supresión de un derecho patrimonial sin compensación alguna, al no contemplar excepción respecto de las cuantías ya devengadas al momento de la entrada en vigor del Real Decreto-ley 20/2012.</w:t>
      </w:r>
    </w:p>
    <w:p w:rsidR="00163957" w:rsidRDefault="00163957" w:rsidP="00163957">
      <w:pPr>
        <w:pStyle w:val="TextoNormal"/>
      </w:pPr>
    </w:p>
    <w:p w:rsidR="00163957" w:rsidRDefault="00163957" w:rsidP="00163957">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análisis de la cuestión planteada conviene realizar una serie de precisiones para acotar debidamente el objeto de la misma y el alcance de nuestro enjuiciamiento.</w:t>
      </w:r>
    </w:p>
    <w:p w:rsidR="00163957" w:rsidRDefault="00163957" w:rsidP="00163957">
      <w:pPr>
        <w:pStyle w:val="TextoNormal"/>
      </w:pPr>
    </w:p>
    <w:p w:rsidR="00163957" w:rsidRDefault="00163957" w:rsidP="00163957">
      <w:pPr>
        <w:pStyle w:val="TextoNormal"/>
      </w:pPr>
      <w:r>
        <w:t>a) Así, en primer lugar, resulta obligado advertir, en consonancia con lo manifestado en sus alegaciones respectivas por el Fiscal General del Estado y el Abogado del Estado, que si bien el Juzgado de lo Social núm. 5 de Santa Cruz de Tenerife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Ello se conecta lógicamente con el juicio de relevancia, correctamente expresado por el órgano judicial, pues la cuestión de inconstitucionalidad trae causa de un proceso promovido por una trabajadora, personal laboral temporal que presta sus servicios para la Consejería de Educación, Universidades y Sostenibilidad del Gobierno de Canarias, con motivo de la supresión, por aplicación de las previsiones contenidas en el Real Decreto-ley 20/2012, de la paga o gratificación extraordinaria de diciembre de 2012, proceso en el que lo pretendido por la demandante es que se declare su derecho a percibir la parte proporcional de la paga extra de Navidad que considera ya devengada al momento de la entrada en vigor del Real Decreto-ley 20/2012, porque, de acuerdo con el art. 9.3 CE en relación con el art. 33.3 CE, no cabe que la supresión de esa paga extra por el Real Decreto-ley 20/2012 tenga efectos retroactivos (en concreto, reclama la cantidad devengada del 1 de mayo al 14 de julio).</w:t>
      </w:r>
    </w:p>
    <w:p w:rsidR="00163957" w:rsidRDefault="00163957" w:rsidP="00163957">
      <w:pPr>
        <w:pStyle w:val="TextoNormal"/>
      </w:pPr>
    </w:p>
    <w:p w:rsidR="00163957" w:rsidRDefault="00163957" w:rsidP="00163957">
      <w:pPr>
        <w:pStyle w:val="TextoNormal"/>
      </w:pPr>
      <w:r>
        <w:lastRenderedPageBreak/>
        <w:t>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específicamente a la supresión de la paga o gratificación extraordinaria de diciembre de 2012 o equivalente al personal laboral del sector público.</w:t>
      </w:r>
    </w:p>
    <w:p w:rsidR="00163957" w:rsidRDefault="00163957" w:rsidP="00163957">
      <w:pPr>
        <w:pStyle w:val="TextoNormal"/>
      </w:pPr>
    </w:p>
    <w:p w:rsidR="00163957" w:rsidRDefault="00163957" w:rsidP="00163957">
      <w:pPr>
        <w:pStyle w:val="TextoNormal"/>
      </w:pPr>
      <w:r>
        <w:t>b) Por otra parte debe tenerse en cuenta que no se cuestiona por el Juzgado de lo Social núm. 5 de Santa Cruz de Tenerife la medida de supresión de la paga extraordinaria de diciembre de 2012 en sí misma considerada, sino sólo en cuanto su aplicación haya podido suponer la infracción del principio de irretroactividad establecido en el 9.3 CE en relación con el art. 33.3 CE, al no contemplar excepción alguna respecto de las cuantías que se entienden ya devengadas de dicha paga extra a la fecha de entrada en vigor del Real Decreto-ley 20/2012 (en concreto, del 1 de mayo al 14 de julio), ni fijar indemnización alguna por la supresión de un derecho patrimonial. A esta concreta duda de constitucionalidad deberá, pues, ceñirse nuestro enjuiciamiento.</w:t>
      </w:r>
    </w:p>
    <w:p w:rsidR="00163957" w:rsidRDefault="00163957" w:rsidP="00163957">
      <w:pPr>
        <w:pStyle w:val="TextoNormal"/>
      </w:pPr>
    </w:p>
    <w:p w:rsidR="00163957" w:rsidRDefault="00163957" w:rsidP="00163957">
      <w:pPr>
        <w:pStyle w:val="TextoNormal"/>
      </w:pPr>
      <w:r w:rsidRPr="00163957">
        <w:rPr>
          <w:rStyle w:val="NumeroAFNegritaCaracter"/>
        </w:rPr>
        <w:t>3</w:t>
      </w:r>
      <w:r>
        <w:t>. Delimitado el alcance de nuestra decisión, debemos remitirnos a lo dicho recientemente en la STC 83/2015, de 30 de abril, FJ 3, sobre la posible pérdida de objeto de la 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00163957" w:rsidRDefault="00163957" w:rsidP="00163957">
      <w:pPr>
        <w:pStyle w:val="TextoNormal"/>
      </w:pPr>
    </w:p>
    <w:p w:rsidR="00163957" w:rsidRDefault="00163957" w:rsidP="00163957">
      <w:pPr>
        <w:pStyle w:val="TextoNormal"/>
      </w:pPr>
      <w:r>
        <w:t>En este mismo sentido, el art. 1 del Real Decreto-ley 10/2015, de 11 de septiembre, por el que se conceden créditos extraordinarios y suplementos de crédito en el presupuesto del Estado y se adoptan otras medidas en materia de empleo público y de estímulo a la economía, ha previsto que las distintas Administraciones públicas, así como sus entes dependientes y vinculados, abonarán dentro del ejercicio 2015, y por una sola vez, una retribución de carácter extraordinario cuyo importe será el equivalente a 48 días o al 26,23 por ciento de los importes dejados de percibir como consecuencia de la supresión de la paga extraordinaria, así como de la paga adicional de complemento específico o pagas adicionales equivalentes, correspondientes al mes de diciembre de 2012, por aplicación del Real Decreto-ley 20/2012. Cada Administración pública abonará, las cantidades previstas en este artículo dentro del ejercicio 2015, si así lo acuerda y si su situación económico financiera lo hiciera posible. De no permitirlo su situación económico financiera en 2015, el abono podrá hacerse en el primer ejercicio presupuestario en que dicha situación lo permita.</w:t>
      </w:r>
    </w:p>
    <w:p w:rsidR="00163957" w:rsidRDefault="00163957" w:rsidP="00163957">
      <w:pPr>
        <w:pStyle w:val="TextoNormal"/>
      </w:pPr>
    </w:p>
    <w:p w:rsidR="00163957" w:rsidRDefault="00163957" w:rsidP="00163957">
      <w:pPr>
        <w:pStyle w:val="TextoNormal"/>
      </w:pPr>
      <w:r>
        <w:t xml:space="preserve">En la STC 83/2015, FJ 3, se recuerda la reiterada doctrina constitucional sobre los efectos extintivos del objeto del proceso en las cuestiones de inconstitucionalidad, como consecuencia de la derogación o modificación de la norma legal cuestionada. Se puso de manifiesto </w:t>
      </w:r>
      <w:r>
        <w:lastRenderedPageBreak/>
        <w:t>que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00163957" w:rsidRDefault="00163957" w:rsidP="00163957">
      <w:pPr>
        <w:pStyle w:val="TextoNormal"/>
      </w:pPr>
    </w:p>
    <w:p w:rsidR="00163957" w:rsidRDefault="00163957" w:rsidP="00163957">
      <w:pPr>
        <w:pStyle w:val="TextoNormal"/>
      </w:pPr>
      <w:r>
        <w:t>En la presente cuestión de inconstitucionalidad se plantea si la supresión del derecho de una trabajadora que presta sus servicios en la Consejería de Educación, Universidades y Sostenibilidad del Gobierno de Canarias a percibir la parte proporcional (en concreto, del 1 de mayo al 14 de julio) de la paga extra de noviembre de 2012, por entenderse ya devengada al momento de la entrada en vigor del Real Decreto-ley 20/2012, contraviene el art. 9.3 CE.</w:t>
      </w:r>
    </w:p>
    <w:p w:rsidR="00163957" w:rsidRDefault="00163957" w:rsidP="00163957">
      <w:pPr>
        <w:pStyle w:val="TextoNormal"/>
      </w:pPr>
    </w:p>
    <w:p w:rsidR="00163957" w:rsidRDefault="00163957" w:rsidP="00163957">
      <w:pPr>
        <w:pStyle w:val="TextoNormal"/>
      </w:pPr>
      <w:r>
        <w:t>Como consta en los antecedentes de esta resolución, de conformidad con lo dispuesto en el art. 88.1 de la Ley Orgánica del Tribunal Constitucional (LOTC), la Sala Segunda de este Tribunal dirigió comunicación a la dirección territorial de Santa Cruz de Tenerife de la Secretaría Técnica de la Consejería de Educación, Universidades y Sostenibilidad, a fin de que informara a este Tribunal si, en atención a los previsto en la disposición adicional duodécima de la Ley 36/2014, de presupuestos generales del Estado para el año 2015, o por cualquier otra circunstancia, ha satisfecho a la trabajadora, personal laboral de la citada Consejería, cuya demanda ha dado lugar al planteamiento de la presente cuestión de inconstitucionalidad,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En contestación a dicho requerimiento el director territorial de Educación de Santa Cruz de Tenerife ha informado que de acuerdo con el certificado emitido por el jefe de Negociado de nóminas del personal no docente de fecha 10 de junio de 2015, la citada trabajadora percibió en la nómina de abril de 2014 la cantidad de 488,36 €, correspondientes a 74 días de la paga extraordinaria de noviembre de 2012. Asimismo, la Secretaría de Justicia volvió a requerir a la citada Dirección Territorial para que, como complemento a su escrito de 10 de junio de 2015, indicara a este Tribunal si con posterioridad a esa fecha y en atención a lo previsto en el Real Decreto-ley 10/2015, ha sido abonada alguna otra cantidad y el número de días de la referida paga a la que corresponde la cuantía abonada. Por escrito registrado el 9 de diciembre de 2015, el director territorial de Educación de Santa Cruz de Tenerife ha informado que la trabajadora cuya demanda ha dado lugar al planteamiento de la presente cuestión de inconstitucionalidad tiene acreditados para la nómina del mes de diciembre de 2015 la cantidad de 105,62 €, como concepto de recuperación parcial de la paga extra y de la paga adicional de diciembre de 2012.</w:t>
      </w:r>
    </w:p>
    <w:p w:rsidR="00163957" w:rsidRDefault="00163957" w:rsidP="00163957">
      <w:pPr>
        <w:pStyle w:val="TextoNormal"/>
      </w:pPr>
    </w:p>
    <w:p w:rsidR="00163957" w:rsidRDefault="00163957" w:rsidP="00163957">
      <w:pPr>
        <w:pStyle w:val="TextoNormal"/>
      </w:pPr>
      <w:r>
        <w:t xml:space="preserve">El abono de las cantidades señaladas a la trabajadora de la Consejería de Educación, Universidades y Sostenibilidad del Gobierno de Canarias cuya demanda ha dado lugar al planteamiento de la presente cuestión de inconstitucionalidad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w:t>
      </w:r>
      <w:r>
        <w:lastRenderedPageBreak/>
        <w:t>juicio de constitucionalidad en concreto, al que se refiere el art. 163 CE, sino en abstracto, sin efectos para el caso, lo que resulta improcedente en toda cuestión de inconstitucionalidad” (STC 83/2015, FJ 3).</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Declarar la extinción de la presente cuestión de inconstitucionalidad por desaparición sobrevenida de su objeto.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dieciocho de enero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6" w:name="SENTENCIA_2016_3"/>
      <w:r>
        <w:lastRenderedPageBreak/>
        <w:t>SENTENCIA 3/2016, de 18 de enero de 2016</w:t>
      </w:r>
    </w:p>
    <w:bookmarkEnd w:id="6"/>
    <w:p w:rsidR="00163957" w:rsidRDefault="00163957" w:rsidP="00163957">
      <w:pPr>
        <w:pStyle w:val="TtuloResolucin"/>
      </w:pPr>
      <w:r>
        <w:t>Sala Segunda</w:t>
      </w:r>
    </w:p>
    <w:p w:rsidR="00163957" w:rsidRDefault="00163957" w:rsidP="00163957">
      <w:pPr>
        <w:pStyle w:val="TtuloBOE"/>
      </w:pPr>
      <w:r>
        <w:t>(BOE núm. 45, de 22 de febrero de 2016)</w:t>
      </w:r>
    </w:p>
    <w:p w:rsidR="00163957" w:rsidRDefault="00163957" w:rsidP="00163957">
      <w:pPr>
        <w:pStyle w:val="TextoNormalCentrado"/>
      </w:pPr>
      <w:r>
        <w:t>ECLI:ES:TC:2016:3</w:t>
      </w:r>
    </w:p>
    <w:p w:rsidR="00163957" w:rsidRDefault="00163957" w:rsidP="00163957">
      <w:pPr>
        <w:pStyle w:val="TextoNormalCentrado"/>
      </w:pPr>
    </w:p>
    <w:p w:rsidR="00163957" w:rsidRDefault="00163957" w:rsidP="00163957">
      <w:pPr>
        <w:pStyle w:val="SntesisDescriptiva"/>
      </w:pPr>
      <w:r>
        <w:t>Recurso de amparo 1388-2014. Promovido por don Javier Resa Gaujot en relación con la Sentencia de la Sala de lo Contencioso-Administrativo del Tribunal Superior de Justicia del País Vasco que desestimó su impugnación sobre liquidación del impuesto sobre la renta de las personas físicas.</w:t>
      </w:r>
    </w:p>
    <w:p w:rsidR="00163957" w:rsidRDefault="00163957" w:rsidP="00163957">
      <w:pPr>
        <w:pStyle w:val="SntesisDescriptiva"/>
      </w:pPr>
    </w:p>
    <w:p w:rsidR="00163957" w:rsidRDefault="00163957" w:rsidP="00163957">
      <w:pPr>
        <w:pStyle w:val="SntesisAnaltica"/>
      </w:pPr>
      <w:r>
        <w:t>Vulneración del derecho a la tutela judicial efectiva (resolución fundada en Derecho): Sentencia que no entra a conocer de los vicios de inconstitucionalidad imputados a una norma foral, ni plantea cuestión prejudicial de validez ante el Tribunal Constitucional, fundándose en la falta de jurisdicción del órgano sentenciador para examinar la validez de las normas forales fiscales (STC 222/2015).</w:t>
      </w:r>
    </w:p>
    <w:p w:rsidR="00163957" w:rsidRDefault="00163957" w:rsidP="00163957">
      <w:pPr>
        <w:pStyle w:val="SntesisAnaltica"/>
      </w:pPr>
    </w:p>
    <w:p w:rsidR="00163957" w:rsidRDefault="00163957" w:rsidP="00163957">
      <w:pPr>
        <w:pStyle w:val="Extracto"/>
      </w:pPr>
      <w:r>
        <w:t>1.</w:t>
      </w:r>
      <w:r>
        <w:tab/>
        <w:t>La desigualdad de gravamen que se denuncia no reside realmente en un trato desigual contrario al artículo 14 CE, al no estar basada en una diferenciación de índole subjetiva, sino en una desigualdad fundada en elementos objetivos, que es la que se sitúa únicamente en el art. 31.1 CE, precepto que no incluye derechos o libertades susceptibles de amparo constitucional [FJ 3].</w:t>
      </w:r>
    </w:p>
    <w:p w:rsidR="00163957" w:rsidRDefault="00163957" w:rsidP="00163957">
      <w:pPr>
        <w:pStyle w:val="Extracto"/>
      </w:pPr>
    </w:p>
    <w:p w:rsidR="00163957" w:rsidRDefault="00163957" w:rsidP="00163957">
      <w:pPr>
        <w:pStyle w:val="Extracto"/>
      </w:pPr>
      <w:r>
        <w:t>2.</w:t>
      </w:r>
      <w:r>
        <w:tab/>
        <w:t>El derecho a la igualdad en términos del deber de contribuir también debe ser ubicado, unas veces de forma excluyente y otras en conexión con el art. 14 CE, en el art 31.1 CE, precepto este último que recoge una serie de derechos cuya eventual protección no tiene acceso a la vía extraordinaria que constituye el recurso de amparo [FJ 3].</w:t>
      </w:r>
    </w:p>
    <w:p w:rsidR="00163957" w:rsidRDefault="00163957" w:rsidP="00163957">
      <w:pPr>
        <w:pStyle w:val="Extracto"/>
      </w:pPr>
    </w:p>
    <w:p w:rsidR="00163957" w:rsidRDefault="00163957" w:rsidP="00163957">
      <w:pPr>
        <w:pStyle w:val="Extracto"/>
      </w:pPr>
      <w:r>
        <w:t>3.</w:t>
      </w:r>
      <w:r>
        <w:tab/>
        <w:t>Aunque la forma de razonar la sentencia impugnada no sea la más idónea, por remisión a una resolución judicial previa que, a su vez, se remite a otra anterior, el órgano judicial dio respuesta a todas las cuestiones planteadas por la parte recurrente, y no solo lo hace forma motivada, sino que pueden apreciarse con claridad los elementos y razones de juicio que permiten conocer los criterios jurídicos que fundamentaron su decisión [FJ 4].</w:t>
      </w:r>
    </w:p>
    <w:p w:rsidR="00163957" w:rsidRDefault="00163957" w:rsidP="00163957">
      <w:pPr>
        <w:pStyle w:val="Extracto"/>
      </w:pPr>
    </w:p>
    <w:p w:rsidR="00163957" w:rsidRDefault="00163957" w:rsidP="00163957">
      <w:pPr>
        <w:pStyle w:val="Extracto"/>
      </w:pPr>
      <w:r>
        <w:t>4.</w:t>
      </w:r>
      <w:r>
        <w:tab/>
        <w:t>Reitera la doctrina contenida en la STC 222/2015 sobre el planteamiento de cuestión de inconstitucionalidad contra normas forales fiscales por parte de los órganos judiciales [FJ 5.a)].</w:t>
      </w:r>
    </w:p>
    <w:p w:rsidR="00163957" w:rsidRDefault="00163957" w:rsidP="00163957">
      <w:pPr>
        <w:pStyle w:val="Extracto"/>
      </w:pPr>
    </w:p>
    <w:p w:rsidR="00163957" w:rsidRDefault="00163957" w:rsidP="00163957">
      <w:pPr>
        <w:pStyle w:val="Extracto"/>
      </w:pPr>
      <w:r>
        <w:t>5.</w:t>
      </w:r>
      <w:r>
        <w:tab/>
        <w:t>Resulta patente que el órgano judicial ha entrado a controlar la validez constitucional de la Norma Foral 8/1998, indirectamente impugnada y aplicable al caso concreto, para concluir con su validez, y ha considerado innecesario, de formada fundada, el planteamiento de una cuestión prejudicial ante este Tribunal Constitucional [FJ 5.d)].</w:t>
      </w:r>
    </w:p>
    <w:p w:rsidR="00163957" w:rsidRDefault="00163957" w:rsidP="00163957">
      <w:pPr>
        <w:pStyle w:val="Extracto"/>
      </w:pPr>
    </w:p>
    <w:p w:rsidR="00163957" w:rsidRDefault="00163957" w:rsidP="00163957">
      <w:pPr>
        <w:pStyle w:val="Extracto"/>
      </w:pPr>
      <w:r>
        <w:t>6.</w:t>
      </w:r>
      <w:r>
        <w:tab/>
        <w:t>Existe una respuesta expresa, clara y directa sobre el motivo basado en la incongruencia omisiva [FJ 6].</w:t>
      </w:r>
    </w:p>
    <w:p w:rsidR="00163957" w:rsidRDefault="00163957" w:rsidP="00163957">
      <w:pPr>
        <w:pStyle w:val="Extracto"/>
      </w:pPr>
    </w:p>
    <w:p w:rsidR="00163957" w:rsidRDefault="00163957" w:rsidP="00163957">
      <w:pPr>
        <w:pStyle w:val="Extracto"/>
      </w:pPr>
      <w:r>
        <w:lastRenderedPageBreak/>
        <w:t>7.</w:t>
      </w:r>
      <w:r>
        <w:tab/>
        <w:t>Dos circunstancias impiden que los efectos de la nulidad declarada por sentencia puedan afectar al objeto del presente proceso constitucional: la firmeza de los actos de liquidación impugnados, de un lado, y la inexistencia de un derecho fundamental susceptible de amparo constitucional que estuviese en liza en el proceso contencioso-administrativo, de otro [FJ 2].</w:t>
      </w:r>
    </w:p>
    <w:p w:rsidR="00163957" w:rsidRDefault="00163957" w:rsidP="00163957">
      <w:pPr>
        <w:pStyle w:val="Extracto"/>
      </w:pPr>
    </w:p>
    <w:p w:rsidR="00163957" w:rsidRDefault="00163957" w:rsidP="00163957">
      <w:pPr>
        <w:pStyle w:val="Extracto"/>
      </w:pPr>
      <w:r>
        <w:t>8.</w:t>
      </w:r>
      <w:r>
        <w:tab/>
        <w:t>El hecho de que el órgano judicial haya errado en su afirmación de que el recurso y su demanda fueron presentados con anterioridad a la entrada en vigor de la reforma operada por la Ley Orgánica 1/2010 que modificó la LOTC, y la circunstancia de que la parte actora haya permanecido silente ante tal incongruencia, no desnaturaliza el control que debe efectuar este Tribunal sobre la razonabilidad de la forma en la que decisión judicial cuestionada ha controlado la validez constitucional de la única norma que consideraba aplicable al caso concreto, para despejar cualquier duda sobre si ese control se ha efectuado conforme al nuevo sistema de control de las normas forales fiscales [FJ 5.b)].</w:t>
      </w:r>
    </w:p>
    <w:p w:rsidR="00163957" w:rsidRDefault="00163957" w:rsidP="00163957">
      <w:pPr>
        <w:pStyle w:val="Extracto"/>
      </w:pPr>
    </w:p>
    <w:p w:rsidR="00163957" w:rsidRDefault="00163957" w:rsidP="00163957">
      <w:pPr>
        <w:pStyle w:val="Extracto"/>
      </w:pPr>
      <w:r>
        <w:t>9.</w:t>
      </w:r>
      <w:r>
        <w:tab/>
        <w:t>La cuestión planteada en el presente proceso de amparo permite precisar a este Tribunal, tras el cambio normativo producido con la aprobación de la Ley Orgánica 1/2010 de reforma de la LOTC, su doctrina sobre el derecho a la tutela judicial efectiva en relación con la facultad de los órganos judiciales de controlar la validez constitucional de las normas forales fiscales [FJ 1].</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amparo núm. 1388-2014, promovido por don Javier Resa Gaujot, representado por el Procurador de los Tribunales don Ramiro Reynolds Martínez, bajo la dirección del Letrado don José María Pérez de Uralde, contra la Sentencia núm. 613/2013 de la Sección Segunda de la Sala de lo Contencioso-Administrativo del Tribunal Superior de Justicia del País Vasco de fecha 12 de noviembre de 2013, por la que se desestima el recurso contencioso-administrativo núm. 2192-2011 interpuesto contra el acuerdo núm. 30064 del Tribunal Económico-Administrativo Foral de Guipúzcoa de fecha 19 de octubre de 2011, desestimatorio, a su vez, de las reclamaciones económico-administrativas núms. 2010-0953, 2010-0954 y 2010-0955 promovidas contra los acuerdos de liquidación derivados de las actas de inspección núms. 1000340, 1000341 y 1000342, todas ellas de fecha 29 de marzo de 2010, correspondientes al impuesto sobre la renta de las personas físicas de los ejercicios 2005, 2006 y 2007, respectivamente. Han intervenido la Procuradora de los Tribunales doña </w:t>
      </w:r>
      <w:r>
        <w:lastRenderedPageBreak/>
        <w:t>Rocío Martín Echagüe, en nombre y representación de la Excma. Diputación Foral de Guipúzcoa, y el Ministerio Fiscal. Ha sido Ponente la Magistrada doña Adela Asua Batarrita,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Por escrito registrado en este Tribunal el día 6 de marzo de 2014, don Ramiro Reynolds Martínez, Procurador de los Tribunales, en nombre y representación de don Javier Resa Gaujot, interpuso un recurso de amparo contra la resolución judicial que se indica en el encabezamiento de esta Sentencia. Los hechos de los que trae causa la demanda de amparo son, en síntesis, los siguientes:</w:t>
      </w:r>
    </w:p>
    <w:p w:rsidR="00163957" w:rsidRDefault="00163957" w:rsidP="00163957">
      <w:pPr>
        <w:pStyle w:val="TextoNormal"/>
      </w:pPr>
    </w:p>
    <w:p w:rsidR="00163957" w:rsidRDefault="00163957" w:rsidP="00163957">
      <w:pPr>
        <w:pStyle w:val="TextoNormal"/>
      </w:pPr>
      <w:r>
        <w:t>a) El recurrente, residente en Guipúzcoa, presentó las autoliquidaciones del impuesto sobre la renta de las personas físicas correspondientes a los ejercicios 2005, 2006 y 2007, sometiendo a tributación los rendimientos económicos obtenidos por su actividad de albañilería mediante el método de estimación objetiva por módulos. A continuación fue objeto de actuaciones inspectoras en las que, tras aplicarle el régimen de estimación directa en el cálculo de sus rendimientos de actividades económica, se le giraron por la Subdirección General de Inspección de la Hacienda Foral de Guipúzcoa las actas núms. A02-1000340, A02-000341 y A02-1000342, todas ellas de fecha 29 de marzo de 2010, por cada uno de aquellos ejercicios, con un resultado a ingresar en concepto de cuota más intereses de demora, respectivamente, por importes de 34.278,92 €, 57.061,88 € y 26.053,01 €.</w:t>
      </w:r>
    </w:p>
    <w:p w:rsidR="00163957" w:rsidRDefault="00163957" w:rsidP="00163957">
      <w:pPr>
        <w:pStyle w:val="TextoNormal"/>
      </w:pPr>
    </w:p>
    <w:p w:rsidR="00163957" w:rsidRDefault="00163957" w:rsidP="00163957">
      <w:pPr>
        <w:pStyle w:val="TextoNormal"/>
      </w:pPr>
      <w:r>
        <w:t>b) Contra las anteriores liquidaciones tributarias se promovieron las reclamaciones económico-administrativas núms. 2010-0953, 2010-0954 y 2010-0955 ante el Tribunal Económico-Administrativo Foral de Guipúzcoa quien por resolución núm. 30064 de fecha 19 de octubre de 2011 las desestimó.</w:t>
      </w:r>
    </w:p>
    <w:p w:rsidR="00163957" w:rsidRDefault="00163957" w:rsidP="00163957">
      <w:pPr>
        <w:pStyle w:val="TextoNormal"/>
      </w:pPr>
    </w:p>
    <w:p w:rsidR="00163957" w:rsidRDefault="00163957" w:rsidP="00163957">
      <w:pPr>
        <w:pStyle w:val="TextoNormal"/>
      </w:pPr>
      <w:r>
        <w:t xml:space="preserve">c) Contra la anterior resolución administrativa, con fecha de 21 de diciembre de 2011 se interpuso un recurso contencioso-administrativo (núm. 2192-2011) ante la Sala de lo Contencioso-Administrativo del Tribunal Superior de Justicia del País Vasco, quien por Sentencia núm. 613/2013, de 12 de noviembre de 2013 de su Sección Segunda acordó desestimar el recurso. La parte recurrente, en su escrito de alegaciones presentado con fecha de 20 de marzo de 2012, alegaba los siguientes motivos: a) la nulidad de las liquidaciones por infracción del principio constitucional de igualdad (art. 14 CE), al haberse aplicado el método de estimación directa en la determinación de la base imponible sólo a unos pocos albañiles y no todos los que se acogieron al régimen de estimación objetiva por módulos, generándose una diferencia de trato carente de motivación alguna. b) La nulidad de las liquidaciones practicadas por la nulidad del art. 26.2 de la Norma Foral 8/1998, de 24 de diciembre, del impuesto sobre la renta de las personas físicas, que exige la tributación conforme a un “rendimiento real” que es indeterminable por no venir obligados legalmente, quienes se han acogido a ese régimen de estimación objetiva por módulos, a la llevanza de contabilidad. c) La nulidad del art. 26.2 de la Norma Foral 8/1998 por vulnerar tanto los principios de reserva de ley (art. 31.3 y 133 CE), de seguridad jurídica e interdicción de la arbitrariedad (art. 9.3 CE) y de igualdad y no discriminación (art. 14 CE), como la regla de armonización prevista en el art. 3.a) de la Ley 12/2002, de 23 de mayo, del concierto económico para el País Vasco, al desnaturalizarse el régimen de estimación objetiva singular en los términos que ha sido </w:t>
      </w:r>
      <w:r>
        <w:lastRenderedPageBreak/>
        <w:t>previsto en la Ley general tributaria, y permitirse a la Administración tributaria decidir, en cada caso, el método de determinación de la base imponible que va a ser aplicado. d) La nulidad de la liquidación correspondiente al ejercicio 2007 al no ser el obligado tributario contribuyente guipuzcoano.</w:t>
      </w:r>
    </w:p>
    <w:p w:rsidR="00163957" w:rsidRDefault="00163957" w:rsidP="00163957">
      <w:pPr>
        <w:pStyle w:val="TextoNormal"/>
      </w:pPr>
    </w:p>
    <w:p w:rsidR="00163957" w:rsidRDefault="00163957" w:rsidP="00163957">
      <w:pPr>
        <w:pStyle w:val="TextoNormal"/>
      </w:pPr>
      <w:r>
        <w:t>Por su parte, la Sala consideró, con remisión a la doctrina sentada en su Sentencia de 2 de diciembre de 2011 (núm. 1714-2009), que al tratarse de un recurso indirecto contra una norma foral, concretamente, contra su art. 26.2, sólo podría declarar su validez o nulidad cuando fuese competente para su conocimiento en un recurso directo, habiendo dejado de serlo desde la entrada en vigor (a los veinte días de su publicación en el “BOE” de 20 de febrero de 2010) de la reforma operada en la Ley Orgánica 2/1979, de 3 de octubre, del Tribunal Constitucional, por la Ley Orgánica 1/2010 (que introduce una nueva disposición adicional quinta), al residenciarse desde ese momento dicho control en el Tribunal Constitucional. Sin embargo, la previsión de la Ley Orgánica 1/2010 no incide —añade— en los recursos contencioso-administrativos interpuestos con anterioridad a la misma (como así señala expresamente el ATC 190/2010), como —según señala— sucede con el presente recurso que no sólo se ha interpuesto con anterioridad a la entrada en vigor de la Ley Orgánica 1/2010, sino que también la demanda se ha formalizado con anterioridad, razón por la cual, la Sala se considera competente para conocer la impugnación indirecta de la Norma Foral 8/1998 y, en su efecto, para el estudio y respuesta de las cuestiones planteadas.</w:t>
      </w:r>
    </w:p>
    <w:p w:rsidR="00163957" w:rsidRDefault="00163957" w:rsidP="00163957">
      <w:pPr>
        <w:pStyle w:val="TextoNormal"/>
      </w:pPr>
    </w:p>
    <w:p w:rsidR="00163957" w:rsidRDefault="00163957" w:rsidP="00163957">
      <w:pPr>
        <w:pStyle w:val="TextoNormal"/>
      </w:pPr>
      <w:r>
        <w:t>Una vez aclarado el problema de su eventual competencia para conocer de un recurso indirecto contra una norma foral, la Sala, nuevamente con remisión a la doctrina sentada en su Sentencia de 2 de diciembre de 2011, aborda el análisis de la previsión recogida en el art. 26.2 de la Norma Foral 8/1998, conforme a la cual, quienes estén acogidos al régimen de estimación objetiva por módulos, cuando haya una diferencia entre el rendimiento real de la actividad y el derivado de la correcta aplicación del citado régimen, deberán tributar también por esa diferencia. Para la Sala juzgadora, con la citada previsión no se vulnera el art. 31.1 CE porque la norma foral realmente ha querido gravar el rendimiento real de la actividad, lo que implica que quien se acoja a este régimen de estimación objetiva no sólo ha de tener en cuenta que esa previsión le será siempre de aplicación, sino que podrá ser requerido para que, caso de ser superiores los rendimientos reales a los derivados de los módulos, tenga que contribuir con el exceso de cuota, lo que exige, desde el punto de vista formal, que cuente con los soportes probatorios necesarios para concretar la base sometida a tributación (fundamentalmente, si pretende aplicarse la deducción de partidas consideradas ordinariamente como deducibles).</w:t>
      </w:r>
    </w:p>
    <w:p w:rsidR="00163957" w:rsidRDefault="00163957" w:rsidP="00163957">
      <w:pPr>
        <w:pStyle w:val="TextoNormal"/>
      </w:pPr>
    </w:p>
    <w:p w:rsidR="00163957" w:rsidRDefault="00163957" w:rsidP="00163957">
      <w:pPr>
        <w:pStyle w:val="TextoNormal"/>
      </w:pPr>
      <w:r>
        <w:t>Respecto de la desnaturalización del régimen de estimación objetiva que, a juicio de la recurrente, provocaría la norma foral controvertida, considera la Sala que tratándose el impuesto sobre la renta de las personas físicas de un tributo concertado de normativa autónoma, el hecho de que el art. 3 a) de la Ley 12/2002 exija que las normas de los Territorios Históricos se adecuen a la Ley general tributaria “en cuanto a terminología y conceptos”, no puede entenderse como una “trasposición mimética” de la normativa que rige el impuesto en territorio común, lo que impide considerar que haya vulnerado la regla de la armonización fiscal que ese precepto legal contiene.</w:t>
      </w:r>
    </w:p>
    <w:p w:rsidR="00163957" w:rsidRDefault="00163957" w:rsidP="00163957">
      <w:pPr>
        <w:pStyle w:val="TextoNormal"/>
      </w:pPr>
    </w:p>
    <w:p w:rsidR="00163957" w:rsidRDefault="00163957" w:rsidP="00163957">
      <w:pPr>
        <w:pStyle w:val="TextoNormal"/>
      </w:pPr>
      <w:r>
        <w:t xml:space="preserve">Finalmente, con relación a la falta de residencia del recurrente en Guipúzcoa durante el ejercicio 2007 (razón por la cual, presentó su declaración en la Delegación de Almería), y </w:t>
      </w:r>
      <w:r>
        <w:lastRenderedPageBreak/>
        <w:t>puesto que la Diputación Foral de Guipúzcoa sostenía que su residencia estaba en ese ejercicio en Guipúzcoa, al amparo del art. 11 del Real Decreto 1760/2007, antes de practicar liquidación, debió plantear un conflicto ante la junta arbitral, razón por la cual, estimó esta pretensión y anuló el acto de liquidación correspondiente al ejercicio 2007.</w:t>
      </w:r>
    </w:p>
    <w:p w:rsidR="00163957" w:rsidRDefault="00163957" w:rsidP="00163957">
      <w:pPr>
        <w:pStyle w:val="TextoNormal"/>
      </w:pPr>
    </w:p>
    <w:p w:rsidR="00163957" w:rsidRDefault="00163957" w:rsidP="00163957">
      <w:pPr>
        <w:pStyle w:val="TextoNormal"/>
      </w:pPr>
      <w:r>
        <w:t>d) Contra la anterior Sentencia la parte recurrente promovió un incidente de nulidad de actuaciones al considerar, en primer lugar, que se había vulnerado su derecho a la tutela judicial efectiva por la negativa del órgano judicial al planteamiento de una cuestión de inconstitucionalidad respecto del art. 26.2 de la Norma Foral 8/1998, por violación del principio de reserva de ley, del principio de interdicción de la arbitrariedad y del principio de igualdad y no discriminación; en segundo lugar, la vulneración de su derecho a la igualdad por no haberse realizados actuaciones de comprobación respecto de todos los contribuyentes; y, en tercer lugar, por la existencia del vicio de la incongruencia omisiva al haber dejado incontestado la sentencia el motivo relativo a la imposibilidad de determinar el rendimiento real de quien está acogido al régimen de estimación objetiva por módulos al no tener obligación legal de llevar contabilidad.</w:t>
      </w:r>
    </w:p>
    <w:p w:rsidR="00163957" w:rsidRDefault="00163957" w:rsidP="00163957">
      <w:pPr>
        <w:pStyle w:val="TextoNormal"/>
      </w:pPr>
    </w:p>
    <w:p w:rsidR="00163957" w:rsidRDefault="00163957" w:rsidP="00163957">
      <w:pPr>
        <w:pStyle w:val="TextoNormal"/>
      </w:pPr>
      <w:r>
        <w:t>Mediante Auto de fecha 15 de enero de 2014, la Sección Segunda de la Sala de lo Contencioso-Administrativo del Tribunal Superior de Justicia del País Vasco desestimó el incidente de nulidad por las siguientes razones: respecto de la alegación de discriminación precisa el órgano judicial que el recurrente no imputa discriminación alguna a la sentencia cuestionada, expresando únicamente su discrepancia con los argumentos sostenidos para rechazar su alegación de discriminación. En cualquier caso, insiste nuevamente el órgano judicial en que el hecho de que no se hubiesen iniciado actuaciones de comprobación e investigación respecto de todos los contribuyentes acogidos al régimen de estimación objetiva por módulos no permitía apreciar una lesión del principio de igualdad del art. 14 CE respecto del contribuyente que sí es objeto de comprobación.</w:t>
      </w:r>
    </w:p>
    <w:p w:rsidR="00163957" w:rsidRDefault="00163957" w:rsidP="00163957">
      <w:pPr>
        <w:pStyle w:val="TextoNormal"/>
      </w:pPr>
    </w:p>
    <w:p w:rsidR="00163957" w:rsidRDefault="00163957" w:rsidP="00163957">
      <w:pPr>
        <w:pStyle w:val="TextoNormal"/>
      </w:pPr>
      <w:r>
        <w:t>Respecto de la alegación relativa a la imposibilidad de determinar el rendimiento real, se vuelve al reproducir el párrafo de la sentencia cuestionada en el que se apunta que quien se acoja a este régimen de estimación objetiva no sólo ha de tener en cuenta que tendrá que tributar por los rendimientos reales, pudiendo ser requerido para que, caso de ser superiores los rendimientos reales a los derivados de los módulos, tenga que contribuir con el exceso de cuota, lo que exige, desde el punto de vista formal, que cuente con los soportes probatorios necesarios para concretar la base sometida a tributación (fundamentalmente, si pretende aplicarse la deducción de partidas consideradas ordinariamente como deducibles).</w:t>
      </w:r>
    </w:p>
    <w:p w:rsidR="00163957" w:rsidRDefault="00163957" w:rsidP="00163957">
      <w:pPr>
        <w:pStyle w:val="TextoNormal"/>
      </w:pPr>
    </w:p>
    <w:p w:rsidR="00163957" w:rsidRDefault="00163957" w:rsidP="00163957">
      <w:pPr>
        <w:pStyle w:val="TextoNormal"/>
      </w:pPr>
      <w:r>
        <w:t xml:space="preserve">En fin, con referencia a la falta de planteamiento de una cuestión de inconstitucionalidad, precisa el órgano judicial, ahora con remisión a la doctrina recogida en el Auto del mismo Tribunal de 19 de noviembre de 2011, que si ha aplicado la norma cuya constitucionalidad se cuestionaba es porque no la había estimado inconstitucional. Para la Sala juzgadora, en el momento de aplicación de una norma cuya constitucionalidad se cuestiona, puede y deber realizar un examen previo de constitucionalidad, que no tiene por qué ser explícito. Y solo en el caso de que lleve a un resultado negativo, para poder dejar de aplicar el precepto al caso controvertido, tiene que suscitar la correspondiente cuestión de inconstitucionalidad. En suma, que la recurrente discrepe con la decisión sostenida en la Sentencia no permite concluir que la decisión de no plantear la cuestión de inconstitucionalidad sea contraria al </w:t>
      </w:r>
      <w:r>
        <w:lastRenderedPageBreak/>
        <w:t>art. 24.2 CE, por falta de motivación, al no ser exigible un razonamiento explícito de por qué no se plantea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2</w:t>
      </w:r>
      <w:r>
        <w:t>. La recurrente en amparo imputa a la resolución judicial impugnada, en primer lugar, la vulneración del principio de igualdad y del derecho a la tutela judicial efectiva por haber validado unos actos administrativos causantes de una desigualdad. La vulneración del principio a la igualdad en la aplicación de la ley (art. 14 CE) se habría producido porque, ante una pluralidad de contribuyentes en idéntica posición de partida (trabajadores autónomos del ramo de la albañilería) que, cumpliendo con los requisitos establecidos en la norma, se acogen al régimen opcional y voluntario de la estimación objetiva mediante índices, signos o módulos, para la determinación de los rendimientos de su actividad, a unos, la mayoría, se les permite tributar conforme al resultado de la correcta aplicación de esos módulos, cuando, a otros, se les impide contribuir con arreglo al rendimiento neto obtenido de los módulos, girándoseles por la Administración liquidaciones correctoras por el rendimiento real. Estaríamos, pues, ante un tratamiento desigual frente a situaciones homólogas que no sólo carece de motivación o justificación que lo legitime, sino que no puede justificarse en un pretendido derecho a la igualdad en la ilegalidad (conforme al cual nunca podrían dejar de someterse a gravamen los rendimientos reales de las actividades económicas), pues no puede afirmarse que todos los contribuyentes acogidos al régimen de módulos cuyo rendimiento no es corregido se encuentren en una situación de ilegalidad.</w:t>
      </w:r>
    </w:p>
    <w:p w:rsidR="00163957" w:rsidRDefault="00163957" w:rsidP="00163957">
      <w:pPr>
        <w:pStyle w:val="TextoNormal"/>
      </w:pPr>
    </w:p>
    <w:p w:rsidR="00163957" w:rsidRDefault="00163957" w:rsidP="00163957">
      <w:pPr>
        <w:pStyle w:val="TextoNormal"/>
      </w:pPr>
      <w:r>
        <w:t>En suma, puesto que quienes se han acogido legítimamente al régimen de estimación objetiva por módulos por cumplir con los requisitos previstos, no cometen ilegalidad alguna, no existe ilegalidad alguna que impida la corrección del trato discriminatorio, razón por la cual, existiendo una diferencia de trato injustificada la única manera de corregirla es anulando las liquidaciones impugnadas, habida cuenta que la letra del art. 26.2 de la Norma Foral impide generalizar su aplicación a todos los contribuyentes afectados y modificarles su autoliquidación inicial. Y al no haberlo hecho el órgano judicial ha incurrido tanto en la infracción del principio de igualdad (art. 14 CE) como en la derecho a la tutela judicial efectiva (art. 24.1 CE) por defecto y nulidad de motivación.</w:t>
      </w:r>
    </w:p>
    <w:p w:rsidR="00163957" w:rsidRDefault="00163957" w:rsidP="00163957">
      <w:pPr>
        <w:pStyle w:val="TextoNormal"/>
      </w:pPr>
    </w:p>
    <w:p w:rsidR="00163957" w:rsidRDefault="00163957" w:rsidP="00163957">
      <w:pPr>
        <w:pStyle w:val="TextoNormal"/>
      </w:pPr>
      <w:r>
        <w:t xml:space="preserve">En segundo lugar, alega la parte demandante la infracción del derecho a la tutela judicial efectiva (art. 24.1 CE) por falta de motivación, por arbitrariedad y por haberle causado indefensión. En el proceso contencioso-administrativo la parte actora alegó la nulidad del art. 26.2 de la Norma Foral 8/1998, de 24 de diciembre, del impuesto sobre la renta de las personas físicas del Territorio Histórico de Guipúzcoa, por vulnerar los principios de reserva de ley tributaria (arts. 31.3 y 133 CE), de seguridad jurídica e interdicción de la arbitrariedad (art. 9.3 CE), de igualdad y no discriminación (art. 14 CE), y, en fin, la regla de armonización fiscal [art. 3 a) de la Ley 12/2002, de 13 de mayo, por la que se aprueba el concierto económico para el País Vasco]. Sin embargo, la respuesta que se le da a esta alegación lo es por remisión a lo señalado en la previa Sentencia del Tribunal Superior de Justicia del País Vasco de 2 de diciembre de 2011 (derivada del recurso 1714-2009), que a su vez se remite a la de 14 de abril de 2010 (en recurso 893-2007), lo que provoca una falta de motivación, no sólo porque quedan sin respuesta buena parte de los argumentos en los que se sustentaba la nulidad de la norma, sino también porque otros argumentos dados son irracionales y estereotipados. Tanto la citada Sentencia de 14 de abril de 2010 como la de 2 de diciembre de 2011 centran su examen en la posible colisión de la norma cuestionada con el principio de </w:t>
      </w:r>
      <w:r>
        <w:lastRenderedPageBreak/>
        <w:t>capacidad económica del art. 31.1 CE, cuestión esta que es ajena a lo planteado en el recurso. De esta manera, la invocación de la violación del principio de reserva de ley por la norma foral cuestionada no lo era porque este tipo de norma no respetase formalmente el citado principio, sino por la completa deslegalización que el precepto realizaba al permitir a la Administración tributaria elegir, a su exclusivo arbitrio, sin límite o pauta de actuación alguna, cuál es el importe de la renta por la que cada sujeto debe tributar. Por su parte, la infracción de los principios de seguridad jurídica e interdicción de la arbitrariedad (art. 9.3 CE) y de igualdad y no discriminación (art. 14 CE), se despacha, sin más reflexión, con una referencia a que no se puede defender la igualdad en la ilegalidad. Sí aborda la sentencia impugnada, sin embargo, la violación de la regla de la armonización fiscal del art. 3 a) de la Ley del concierto, pero lo hace motivando su respuesta de una forma errónea, al entender el régimen de estimación objetiva por módulos de una forma diferente a la caracterización que del mismo hace la Ley general tributaria.</w:t>
      </w:r>
    </w:p>
    <w:p w:rsidR="00163957" w:rsidRDefault="00163957" w:rsidP="00163957">
      <w:pPr>
        <w:pStyle w:val="TextoNormal"/>
      </w:pPr>
    </w:p>
    <w:p w:rsidR="00163957" w:rsidRDefault="00163957" w:rsidP="00163957">
      <w:pPr>
        <w:pStyle w:val="TextoNormal"/>
      </w:pPr>
      <w:r>
        <w:t>Por otra parte, añade la parte la actora, la Sala sentenciadora rechaza el planteamiento de una cuestión de inconstitucionalidad solicitada, sin más argumento que el de que su planteamiento corresponde a los órganos judiciales, únicos legitimados para ello, cuando lo cierto es que su planteamiento no es una cuestión discrecional para el órgano judicial cuando el fallo del litigio dependa de la validez de la norma aplicada. Al haber rechazado apriorística e inmotivadamente el planteamiento solicitado, la decisión del órgano judicial ha incurrido en arbitrariedad causándole indefensión, pues no ha motivado válida y suficientemente una decisión esencial para la suerte del proceso como es la denegar el planteamiento de la citada cuestión.</w:t>
      </w:r>
    </w:p>
    <w:p w:rsidR="00163957" w:rsidRDefault="00163957" w:rsidP="00163957">
      <w:pPr>
        <w:pStyle w:val="TextoNormal"/>
      </w:pPr>
    </w:p>
    <w:p w:rsidR="00163957" w:rsidRDefault="00163957" w:rsidP="00163957">
      <w:pPr>
        <w:pStyle w:val="TextoNormal"/>
      </w:pPr>
      <w:r>
        <w:t>Finalmente, la demandante de amparo imputa también a la sentencia impugnada la lesión del derecho a la tutela judicial efectiva (art. 24.1 CE) por haber incurrido en incongruencia omisiva al no haber dado respuesta alguna a la alegación relativa a la nulidad de las liquidaciones giradas por tener un contenido imposible.</w:t>
      </w:r>
    </w:p>
    <w:p w:rsidR="00163957" w:rsidRDefault="00163957" w:rsidP="00163957">
      <w:pPr>
        <w:pStyle w:val="TextoNormal"/>
      </w:pPr>
    </w:p>
    <w:p w:rsidR="00163957" w:rsidRDefault="00163957" w:rsidP="00163957">
      <w:pPr>
        <w:pStyle w:val="TextoNormal"/>
      </w:pPr>
      <w:r>
        <w:t>En virtud de lo anterior, solicita la recurrente en amparo que se estime el recurso, se le reconozca su derecho a la tutela judicial efectiva, se declare vulnerado su derecho a la igualdad y se anule la Sentencia 44/2013, de 22 de enero, impugnada, con retroacción al momento inmediatamente anterior al de citar Sentencia para que por la Sala de lo Contencioso-Administrativo del Tribunal Superior de Justicia del País Vasco se eleve una cuestión de inconstitucionalidad contra el art. 26.2 de la Norma Foral 8/1998, de 24 de diciembre, y, en su caso, contra el art. 30.2 de la Norma Foral 10/2006, de 29 de diciembre, dictado en sustitución del anterior. Además, si se considerase necesario para la completa resolución del recurso de amparo solicita también que, de conformidad con el art. 55.2 de la Ley Orgánica del Tribunal Constitucional (LOTC), se eleve al Pleno de este Tribunal una cuestión de inconstitucionalidad contra el art. 26.2 de la Norma Foral 8/1998, de 24 de diciembre, y, en su caso, contra el art. 30.2 de la Norma Foral 10/2006, de 29 de diciembre.</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Por providencia con fecha de 4 de diciembre de 2014, la Sala Segunda de este Tribunal acordó la admisión a trámite del recurso de amparo. Asimismo, y en aplicación de lo previsto en el art. 51 de la Ley Orgánica de este Tribunal, acordó dirigir comunicación a la Sección Segunda de la Sala de lo Contencioso-Administrativo del Tribunal Superior de Justicia del País Vasco a fin de que, en el plazo de diez días, remitiese certificación o fotocopia adverada de las actuaciones correspondientes al recurso contencioso-administrativo núm. </w:t>
      </w:r>
      <w:r>
        <w:lastRenderedPageBreak/>
        <w:t>2192-2011, interesándose al mismo tiempo que se emplazara a quienes hubiesen sido parte en el procedimiento, excepto a la parte recurrente en amparo, para que en el plazo de diez días pudieran comparecer ante este Tribunal si así lo desearan. Igualmente, se acordó dirigir otra comunicación al Tribunal Económico-Administrativo Foral de Guipúzcoa a fin de que, en el plazo de diez días, remitiese certificación o fotocopia adverada de las actuaciones correspondientes al expediente administrativo que dio lugar al acuerdo núm. 30.064, de 19 de octubre de 2011, desestimatoria de las reclamaciones económico-administrativas núms. 2010-0953, 2010-0954 y 2010-0955, promovidas contra los actos de liquidación del impuesto sobre la renta de las personas físicas de los ejercicios 2005, 2006 y 2007.</w:t>
      </w:r>
    </w:p>
    <w:p w:rsidR="00163957" w:rsidRDefault="00163957" w:rsidP="00163957">
      <w:pPr>
        <w:pStyle w:val="TextoNormal"/>
      </w:pPr>
    </w:p>
    <w:p w:rsidR="00163957" w:rsidRDefault="00163957" w:rsidP="00163957">
      <w:pPr>
        <w:pStyle w:val="TextoNormal"/>
      </w:pPr>
      <w:r w:rsidRPr="00163957">
        <w:rPr>
          <w:rStyle w:val="NumeroAFNegritaCaracter"/>
        </w:rPr>
        <w:t>4</w:t>
      </w:r>
      <w:r>
        <w:t>. Por escrito presentado en el Registro General de este Tribunal el día 19 de enero de 2015 la Procuradora de los Tribunales doña Rocío Martín Echagüe, actuando en nombre y representación de la Excma. Diputación Foral de Guipúzcoa, solicitó que se la tuviese por comparecida en el presente proceso constitucional en la representación citada.</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diligencia de ordenación con fecha de 10 de febrero de 2015 la Sala Segunda de este Tribunal acordó tener por personada y parte en nombre y representación de la Excma. Diputación Foral de Guipúzcoa a la Procuradora de los Tribunales doña Rocío Martín Echagüe, así como dar vista de las actuaciones recibidas a las partes personadas y al Ministerio Fiscal, por plazo común de veinte días, para que, conforme determina el art. 52.1 de la Ley Orgánica de este Tribunal, presentasen las alegaciones que a su derecho convinieren.</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escrito registrado en este Tribunal el día 13 de febrero de 2015, don Javier Resa Gaujot, representado por el Procurador don Ramiro Reynolds Martínez y defendido por el Letrado don José María Pérez de Uralde, puso en conocimiento de este Tribunal que tras la iniciación del proceso de amparo se había dictado la Sentencia de la Sala Tercera del Tribunal Supremo de 23 de octubre de 2014 (recurso de casación núm. 230-2012), que declaraba la nulidad del art. 26.2 de la Norma Foral 8/1998 controvertida, por violación del art. 3 a) de la Ley 12/2002, de 13 de mayo, por la que se aprueba el concierto económico para el País Vasco, lo que hacía decaer tanto su petición de elevación de una cuestión de inconstitucionalidad con relación al citado precepto, así como la de que se ordenase a la Sala sentenciadora, en su caso, que elevase dicha cuestión.</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La Procuradora de los Tribunales, doña Rocío Martín Echagüe, en nombre y representación de la Excma. Diputación Foral de Guipúzcoa, presentó su escrito de alegaciones el día 3 de octubre de 2014 suplicando se dictase sentencia por la que se declarase no haber lugar al amparo solicitado. En primer lugar, señala que, de existir una lesión del principio de igualdad, lo sería ante la norma tributaria, del art. 31.1 CE, artículo que no entra dentro de los que tienen acceso al recurso de amparo. Pero incluso admitiendo que fuese una vulneración encajable en el art. 14 CE, lo cierto es que lo que esta presenta como una diferencia en la aplicación de la ley a personas que se encuentran en una misma situación no constituye un auténtico tertium comparationis pues la liquidación impugnada procede de una inspección derivada de un plan de inspección correctamente aprobado y al que no se le ha opuesto objeción de legalidad alguna. Es más de admitir una posible discriminación en la selección </w:t>
      </w:r>
      <w:r>
        <w:lastRenderedPageBreak/>
        <w:t>de los contribuyentes objeto de inspección, esto es, un comportamiento arbitrario en la Administración, estaríamos ante una infracción del art. 9 CE que no tiene encaje tampoco en el recurso de amparo.</w:t>
      </w:r>
    </w:p>
    <w:p w:rsidR="00163957" w:rsidRDefault="00163957" w:rsidP="00163957">
      <w:pPr>
        <w:pStyle w:val="TextoNormal"/>
      </w:pPr>
    </w:p>
    <w:p w:rsidR="00163957" w:rsidRDefault="00163957" w:rsidP="00163957">
      <w:pPr>
        <w:pStyle w:val="TextoNormal"/>
      </w:pPr>
      <w:r>
        <w:t>Con la relación a la vulneración del principio de igualad del art. 14 CE por la sentencia impugnada que denuncia la parte recurrente, que la encaja en una lesión del derecho a la tutela judicial efectiva (art. 24 CE), lo cierto que no existe ninguna vulneración de aquel principio, ni lesión de este derecho, pues la tutela judicial efectiva se produce por el hecho de acceder a los Tribunales en defensa de los legítimos derechos de la parte, pero en modo alguno significa que se estimen sus pretensiones procesales.</w:t>
      </w:r>
    </w:p>
    <w:p w:rsidR="00163957" w:rsidRDefault="00163957" w:rsidP="00163957">
      <w:pPr>
        <w:pStyle w:val="TextoNormal"/>
      </w:pPr>
    </w:p>
    <w:p w:rsidR="00163957" w:rsidRDefault="00163957" w:rsidP="00163957">
      <w:pPr>
        <w:pStyle w:val="TextoNormal"/>
      </w:pPr>
      <w:r>
        <w:t>Sobre la vulneración del derecho a la tutela judicial efectiva (art. 24.1 CE) por falta de motivación respecto de los motivos de nulidad imputados al art. 26.2 de la Norma Foral 8/1998, para la representación procesal de la Diputación Foral de Guipúzcoa, la sentencia impugnada recoge un extensísimo fundamento de Derecho segundo relativos al rechazo de la impugnación indirecta del citado precepto, manifestando el Tribunal de forma motivada su criterio desestimador, lo que hace que la pretensión del recurrente carezca de fundamento sobre este particular.</w:t>
      </w:r>
    </w:p>
    <w:p w:rsidR="00163957" w:rsidRDefault="00163957" w:rsidP="00163957">
      <w:pPr>
        <w:pStyle w:val="TextoNormal"/>
      </w:pPr>
    </w:p>
    <w:p w:rsidR="00163957" w:rsidRDefault="00163957" w:rsidP="00163957">
      <w:pPr>
        <w:pStyle w:val="TextoNormal"/>
      </w:pPr>
      <w:r>
        <w:t>Respeto de la petición de la parte actora de que este Tribunal entre, de oficio, a analizar la constitucionalidad del art. 26.2 controvertido, señala la representación procesal de la Diputación Foral de Guipúzcoa que puesto que no se da ninguna vulneración constitucional susceptible de amparo, no concurre el presupuesto para que la Sala analice la constitucionalidad del citado precepto.</w:t>
      </w:r>
    </w:p>
    <w:p w:rsidR="00163957" w:rsidRDefault="00163957" w:rsidP="00163957">
      <w:pPr>
        <w:pStyle w:val="TextoNormal"/>
      </w:pPr>
    </w:p>
    <w:p w:rsidR="00163957" w:rsidRDefault="00163957" w:rsidP="00163957">
      <w:pPr>
        <w:pStyle w:val="TextoNormal"/>
      </w:pPr>
      <w:r>
        <w:t>En fin, con referencia a la vulneración del derecho a la tutela judicial efectiva por incongruencia omisiva frente a las causas de nulidad atribuidas a las liquidaciones tributarias impugnadas, basta con ir a la Sentencia impugnada para comprobar la existencia de una respuesta, confundiendo la parte recurrente la falta de estimación de sus pretensiones con una vulneración de derechos constitucionales.</w:t>
      </w:r>
    </w:p>
    <w:p w:rsidR="00163957" w:rsidRDefault="00163957" w:rsidP="00163957">
      <w:pPr>
        <w:pStyle w:val="TextoNormal"/>
      </w:pPr>
    </w:p>
    <w:p w:rsidR="00163957" w:rsidRDefault="00163957" w:rsidP="00163957">
      <w:pPr>
        <w:pStyle w:val="TextoNormal"/>
      </w:pPr>
      <w:r w:rsidRPr="00163957">
        <w:rPr>
          <w:rStyle w:val="NumeroAFNegritaCaracter"/>
        </w:rPr>
        <w:t>8</w:t>
      </w:r>
      <w:r>
        <w:t>. Mediante escrito registrado en este Tribunal el día 13 de marzo de 2015, don Javier Resa Gaujot, representado por el Procurador don Ramiro Reynolds Martínez y defendido por el Letrado don José María Pérez de Uralde, evacuó el trámite de alegaciones conferido suplicando se dictase Sentencia estimatoria del amparo pretendido, insistiendo para ello en los mismos argumentos expresados tanto en su escrito de demanda como en su escrito de 13 de febrero de 2015.</w:t>
      </w:r>
    </w:p>
    <w:p w:rsidR="00163957" w:rsidRDefault="00163957" w:rsidP="00163957">
      <w:pPr>
        <w:pStyle w:val="TextoNormal"/>
      </w:pPr>
    </w:p>
    <w:p w:rsidR="00163957" w:rsidRDefault="00163957" w:rsidP="00163957">
      <w:pPr>
        <w:pStyle w:val="TextoNormal"/>
      </w:pPr>
      <w:r w:rsidRPr="00163957">
        <w:rPr>
          <w:rStyle w:val="NumeroAFNegritaCaracter"/>
        </w:rPr>
        <w:t>9</w:t>
      </w:r>
      <w:r>
        <w:t>. El día 17 de marzo de 2015 presentó su escrito de alegaciones el Ministerio Fiscal solicitando la estimación del recurso al considerar que se ha lesionado el derecho de la actora a la igualdad de trato (art. 14 CE), procediéndose a acordar la nulidad de la resolución núm. 30.064 del Tribunal Económico-Administrativo Foral de Guipúzcoa de fecha 19 de octubre de 2011; de la Sentencia núm. 613/2013, de 12 de noviembre, de la Sección Segunda de la Sala de lo Contencioso-Administrativo del Tribunal Superior de Justicia del País Vasco, dictada en el procedimiento especial de protección de los derechos fundamentales núm. 2192-2011; y del Auto de la misma Sala y Sección de 15 de enero de 2014, con retroacción de las actuaciones al momento anterior al de la referida sentencia, con el fin de que se dicte una resolución respetuosa con el derecho que se declara vulnerado.</w:t>
      </w:r>
    </w:p>
    <w:p w:rsidR="00163957" w:rsidRDefault="00163957" w:rsidP="00163957">
      <w:pPr>
        <w:pStyle w:val="TextoNormal"/>
      </w:pPr>
    </w:p>
    <w:p w:rsidR="00163957" w:rsidRDefault="00163957" w:rsidP="00163957">
      <w:pPr>
        <w:pStyle w:val="TextoNormal"/>
      </w:pPr>
      <w:r>
        <w:t>Tras precisar los hechos que han dado lugar a la presente demanda de amparo y concretar los argumentos de la parte actora, subraya la Fiscal que el Tribunal Supremo ha anulado mediante su Sentencia de 23 de octubre de 2014 (recurso de casación núm. 230-2012) el art. 26.2 Norma Foral Guipúzcoa 8/1998 por entender que dicho precepto no respeta el concepto de estimación objetiva previsto en la Ley general tributaria, al autorizar a los órganos forales de gestión e inspección a modificar el importe obtenido como base imponible cuando se haya aplicado correctamente el régimen de signos, índices o módulos, configurando una estimación directa “impropia” distinta de la que se regula en el territorio común, lo que es contrario a la Ley del concierto económico con el País Vasco. Esto supone que ha quedado inhabilitado el fundamento legal de las liquidaciones administrativas y de las decisiones judiciales cuestionadas en el presente recurso de amparo.</w:t>
      </w:r>
    </w:p>
    <w:p w:rsidR="00163957" w:rsidRDefault="00163957" w:rsidP="00163957">
      <w:pPr>
        <w:pStyle w:val="TextoNormal"/>
      </w:pPr>
    </w:p>
    <w:p w:rsidR="00163957" w:rsidRDefault="00163957" w:rsidP="00163957">
      <w:pPr>
        <w:pStyle w:val="TextoNormal"/>
      </w:pPr>
      <w:r>
        <w:t>Dicho lo que antecede, considera la Fiscal que existen múltiples las razones que sostienen la vulneración tanto del principio de igualdad (art. 14 CE) como de la tutela judicial efectiva (art. 24.1 CE). Tras repasar la doctrina de este Tribunal Constitucional con relación al principio de igualdad proclamado en el art. 14 CE, concluye que si en el trato diferenciado existe una justificación objetiva y razonable, se ha aplicado el principio de proporcionalidad y existe la necesaria adecuación entre las medidas adoptadas, los resultados producidos y los fines perseguidos, considerando las circunstancias de tiempo y lugar, el trato diferenciado otorgado, ya sea por el legislador, ya sea por el Juez ordinario, será considerado conforme con el art. 14 CE. Sin embargo, para la Fiscal, tanto la trasgresión de las normas de armonización fiscal por el art. 26.2 de la Norma Foral 8/1998 declarada por el Tribunal Supremo, como la aplicación que del precepto indirectamente cuestionado ha efectuado la Administración foral, conducen patentemente a un tratamiento desigual de situaciones idénticas que lleva a asignar consecuencias jurídicas diferentes a hechos análogos sin existir una justificación objetiva ni razonable que pueda habilitar tal proceder y con un resultado que resulta claramente desproporcionado. El trato desigual se produce tanto entre ciudadanos en situaciones idénticas sometidas al régimen tributario nacional y ciudadanos en la misma situación bajo el régimen foral de Guipúzcoa (por cuanto, a los segundos puede sustituírseles el método de estimación singular por módulos o de la renta potencial para la determinación de los rendimientos reales, y a los primeros se les ha de respetar aquél); como entre los ciudadanos en la misma situación del propio régimen foral (ya que la Administración Foral dispone de la libre facultad de aplicar el sistema de estimación de la base imponible que desee a unos ciudadanos u otros que se hallen en la misma posición sin criterio prefijado); como en la misma situación respecto del mismo ciudadano que se vea sometido, según el ejercicio, a la intervención de la Agencia Estatal Tributaria o a la de la Hacienda Foral de Guipúzcoa (como acredita que para el ejercicio 2007 el régimen de estimación objetiva por módulos se haya visto respetado).</w:t>
      </w:r>
    </w:p>
    <w:p w:rsidR="00163957" w:rsidRDefault="00163957" w:rsidP="00163957">
      <w:pPr>
        <w:pStyle w:val="TextoNormal"/>
      </w:pPr>
    </w:p>
    <w:p w:rsidR="00163957" w:rsidRDefault="00163957" w:rsidP="00163957">
      <w:pPr>
        <w:pStyle w:val="TextoNormal"/>
      </w:pPr>
      <w:r>
        <w:t xml:space="preserve">A juicio de la Fiscal, los resultados que se producen en todos estos niveles son claramente desproporcionados, de modo que tal actuación no puede superar el necesario juicio de proporcionalidad en sede constitucional sobre la relación existente entre la medida adoptada, el resultado producido y la finalidad pretendida, por cuanto se desnaturaliza el propio concepto y sentido del régimen de determinación de la base imponible por estimación objetiva por signos, índices o módulos, neutralizando su configuración y su carácter de opción legítima para el contribuyente haciendo desaparecer, de facto, su operatividad, a discreción de los órganos forales de gestión e inspección, que pueden modificar el importe obtenido como </w:t>
      </w:r>
      <w:r>
        <w:lastRenderedPageBreak/>
        <w:t>base imponible aun cuando se haya aplicado correctamente el régimen de signos, índices o módulos. Y, como señala el recurrente, ello se produce aunque todos los ciudadanos —a los que se aplique o no— se encuentren en una situación de plena legalidad, puesto que quien cumpliendo con los requisitos y reglas del régimen de estimación objetiva por módulos opta por él, en ningún caso incurre en ilegalidad en la medida en que constituye una opción absolutamente legítima.</w:t>
      </w:r>
    </w:p>
    <w:p w:rsidR="00163957" w:rsidRDefault="00163957" w:rsidP="00163957">
      <w:pPr>
        <w:pStyle w:val="TextoNormal"/>
      </w:pPr>
    </w:p>
    <w:p w:rsidR="00163957" w:rsidRDefault="00163957" w:rsidP="00163957">
      <w:pPr>
        <w:pStyle w:val="TextoNormal"/>
      </w:pPr>
      <w:r>
        <w:t>Por otra parte, y respecto a la vulneración del derecho a la tutela judicial efectiva del arto 24.1 CE, considera la Fiscal que la Sentencia cuestionada en amparo adolece de importantes déficits tanto desde la perspectiva de la motivación suficiente y razonable que debe exigirse a cualquier resolución judicial como de la necesaria congruencia, puesto que, sin ir más lejos, toda la alegación argumentada desplegada por el recurrente sobre la trasgresión de las normas de armonización fiscal recogidas en el concierto económico para el País Vasco, que constituyó objeto central de su pretensión en el proceso subyacente, ha quedado sin el más mínimo tratamiento en las resoluciones judiciales impugnadas.</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14 de enero de 2016 se señaló para deliberación y votación de la presente Sentencia el día 18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amparo se dirige contra la Sentencia núm. 613/2013 de la Sección Segunda de la Sala de lo Contencioso-Administrativo del Tribunal Superior de Justicia del País Vasco de fecha 12 de noviembre de 2013, por la que se desestima el recurso contencioso-administrativo núm. 2192-2011 interpuesto contra el acuerdo núm. 30064 del Tribunal Económico-Administrativo Foral de Guipúzcoa de fecha 19 de octubre de 2011, desestimatorio, a su vez, de las reclamaciones económico-administrativas núms. 2010-0953, 2010-0954 y 2010-0955, promovidas contra los acuerdos de liquidación derivados de las actas de inspección núms. 1000340, 1000341 y 1000342, todos ellos de 29 de marzo de 2010, correspondientes al impuesto sobre la renta de las personas físicas de los ejercicios 2005, 2006 y 2007, por importes de 34.278,92 €, 57.061,88 € y 26.053,01 €, respectivamente.</w:t>
      </w:r>
    </w:p>
    <w:p w:rsidR="00163957" w:rsidRDefault="00163957" w:rsidP="00163957">
      <w:pPr>
        <w:pStyle w:val="TextoNormal"/>
      </w:pPr>
    </w:p>
    <w:p w:rsidR="00163957" w:rsidRDefault="00163957" w:rsidP="00163957">
      <w:pPr>
        <w:pStyle w:val="TextoNormal"/>
      </w:pPr>
      <w:r>
        <w:t>Lo primero que debe señalarse es que la Sentencia de la Sección Tercera del Tribunal Europeo de Derechos Humanos de 20 de enero de 2015 (asunto Arribas Antón c. España) ha exigido que en los asuntos admitidos a trámite por este Tribunal Constitucional se explicite la razón de su especial trascendencia constitucional (§ 46). Pues bien, de conformidad con lo previsto en el art. 50.1 b) de la Ley Orgánica 2/1979, de 3 de octubre, del Tribunal Constitucional, y de acuerdo con los criterios explicitados en la STC 155/2009, de 25 de junio, FJ 2, cabe señalar que la cuestión planteada en el presente proceso de amparo permite precisar a este Tribunal, tras el cambio normativo producido con la aprobación de la Ley Orgánica 1/2010, de 19 de febrero, de modificación de las leyes orgánicas del Tribunal Constitucional y del Poder Judicial, su doctrina sobre el derecho a la tutela judicial efectiva (art. 24.1 CE) en relación con la facultad de los órganos judiciales de controlar la validez constitucional de las normas forales fiscales.</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2</w:t>
      </w:r>
      <w:r>
        <w:t>. Antes de entrar a dar respuesta a las vulneraciones denunciadas es necesario concretar los efectos que sobre su objeto ha podido tener la Sentencia de la Sala Tercera del Tribunal Supremo de 23 de octubre de 2014 (recurso de casación núm. 230-2012), dictada con posterioridad a la interposición del presente recurso de amparo, por la que se ha declarado la nulidad del art. 26.2 de la Norma Foral de Guipúzcoa 8/1998, de 24 de diciembre, del impuesto sobre la renta de las personas físicas, que dio cobertura a las liquidaciones impugnadas en vía económico-administrativa y que constituyen, junto con la sentencia que las confirma, el objeto de presente proceso constitucional, porque “no respeta el concepto de estimación objetiva, ya que autoriza a los órganos forales de gestión e inspección a modificar el importe obtenido como base imponible cuando se haya aplicado correctamente el régimen de signos, índices o módulos”, dotándola de un contenido distinto al derivado de la Ley general tributaria, con vulneración del art. 3 a) de la Ley 12/2002, de 23 de mayo, por la que se aprueba el concierto económico con la Comunidad Autónoma del País Vasco [y del art. 4 a) de la anterior Ley 12/1981, de 13 de mayo, también del concierto]. Con esta declaración de nulidad del art. 26.2 de la Norma Foral 8/1998 por uno de los órganos que, con anterioridad a la entrada en vigor de la reforma operada por la Ley Orgánica 1/2010, de 19 de febrero, de modificación de las leyes orgánicas del Tribunal Constitucional y del Poder Judicial (ATC 190/2010, de 1 de diciembre, FJ 2), tenía la competencia para conocer de los recursos contencioso-administrativos sobre las normas forales fiscales de los Territorios Históricos de la Comunidad Autónoma del País Vasco, la disposición que contenía ha quedado expulsada del ordenamiento jurídico, produciendo sus efectos “para todas las personas afectadas … desde el día en que sea publicado su fallo y preceptos anulados en el mismo periódico oficial en que lo hubiera sido la disposición anulada” [art. 72.2 de la Ley 29/1998, de 13 de julio, reguladora de la jurisdicción contencioso-administrativa (en adelante, LJCA)], pero transmitiéndose los efectos de esa nulidad a la eficacia de las sentencias y actos administrativos que no fuesen firmes “antes de que la anulación alcanzara efectos generales, salvo en el caso de que la anulación del precepto supusiera la exclusión o la reducción de las sanciones aún no ejecutadas completamente” (art. 73 LJCA).</w:t>
      </w:r>
    </w:p>
    <w:p w:rsidR="00163957" w:rsidRDefault="00163957" w:rsidP="00163957">
      <w:pPr>
        <w:pStyle w:val="TextoNormal"/>
      </w:pPr>
    </w:p>
    <w:p w:rsidR="00163957" w:rsidRDefault="00163957" w:rsidP="00163957">
      <w:pPr>
        <w:pStyle w:val="TextoNormal"/>
      </w:pPr>
      <w:r>
        <w:t>En el presente caso concurren dos circunstancias que impiden que los efectos de la nulidad declarada por aquella Sentencia del Tribunal Supremo puedan afectar al objeto del presente proceso constitucional, como son la firmeza de los actos de liquidación impugnados, de un lado, y la inexistencia de un derecho fundamental susceptible de amparo constitucional que estuviese en liza en el proceso contencioso-administrativo que ha dado lugar a la declaración de nulidad del precepto foral controvertido, de otro.</w:t>
      </w:r>
    </w:p>
    <w:p w:rsidR="00163957" w:rsidRDefault="00163957" w:rsidP="00163957">
      <w:pPr>
        <w:pStyle w:val="TextoNormal"/>
      </w:pPr>
    </w:p>
    <w:p w:rsidR="00163957" w:rsidRDefault="00163957" w:rsidP="00163957">
      <w:pPr>
        <w:pStyle w:val="TextoNormal"/>
      </w:pPr>
      <w:r>
        <w:t xml:space="preserve">a) Respecto de la firmeza de los actos de liquidación impugnados, resulta evidente que la declaración de nulidad del art. 26.2 de la Norma Foral de Guipúzcoa 8/1998 que se contiene en la citada Sentencia de la Sala Tercera del Tribunal Supremo de 23 de octubre de 2014, no permite revisar un proceso fenecido mediante Sentencia judicial con fuerza de cosa juzgada en el que, como sucede en el presente caso, antes de dictarse aquella decisión se ha aplicado el precepto de una Norma Foral luego declarado nulo. Pues no estando en juego “la exclusión o la reducción de las sanciones aún no ejecutadas completamente”, que son los supuestos exclusivamente exceptuados por el art. 73 LJCA, la posterior declaración de nulidad del precepto no puede tener consecuencia alguna sobre los procesos terminados mediante Sentencia con fuerza de cosa juzgada. Al igual que sucede con la declaración de inconstitucionalidad de una disposición legal [arts. 161.1 a) CE y 40.1 de la Ley Orgánica </w:t>
      </w:r>
      <w:r>
        <w:lastRenderedPageBreak/>
        <w:t>del Tribunal Constitucional (LOTC)], la Ley reguladora de la jurisdicción contencioso-administrativa ha querido establecer un necesario equilibrio entre la consecuencia de una declaración de nulidad del precepto reglamentario cuestionado y la garantía de la seguridad jurídica (art. 9.3 CE), excluyendo así una general remoción del pasado por obra de los pronunciamientos de nulidad que puedan llevar a cabo los Tribunales de Justicia. Si se quiere, dicho en otros términos, un equilibrio entre la estabilidad de las situaciones, por así decir, “judicialmente consolidadas”, de conformidad con lo establecido en el art. 73 LJCA, y, de otro lado, ciertas excepciones, vinculadas con una posible revisión in bonum de las sanciones aun no ejecutadas, como indica el mismo art. 73 LJCA [en el mismo sentido, aunque con relación a la declaración de inconstitucionalidad de un precepto, STC 159/1997, de 2 de octubre, FJ 7 b)].</w:t>
      </w:r>
    </w:p>
    <w:p w:rsidR="00163957" w:rsidRDefault="00163957" w:rsidP="00163957">
      <w:pPr>
        <w:pStyle w:val="TextoNormal"/>
      </w:pPr>
    </w:p>
    <w:p w:rsidR="00163957" w:rsidRDefault="00163957" w:rsidP="00163957">
      <w:pPr>
        <w:pStyle w:val="TextoNormal"/>
      </w:pPr>
      <w:r>
        <w:t>Siendo evidente que el recurso de amparo “no constituye una nueva instancia judicial, sino que se trata de un proceso autónomo, sustantivo y distinto” [SSTC 78/1988, de 27 de abril, FJ 1; y 159/1997, de 2 de octubre, FJ 7 b)], resulta indudable que la sentencia dictada en un proceso judicial “contra la que no quepa recurso alguno” (art. 245.3 de la Ley Orgánica del Poder Judicial) es, a los fines de lo dispuesto en el art. 73 LJCA, una sentencia firme y, por tanto, los actos administrativos objeto de la citada resolución judicial, devienen también firmes, aun cuando dicha Sentencia sea susceptible o haya sido objeto de un ulterior recurso de amparo, pues la adquisición de la fuerza material de cosa juzgada por las Sentencias firmes de los órganos judiciales no queda condicionada en nuestro ordenamiento jurídico a la circunstancia de que haya transcurrido el plazo de veinte o treinta días previsto, respectivamente, en los arts. 43.2 y. 44.2 LOTC, sin que se haya interpuesto un recurso de amparo contra ellas o, interpuesto tal recurso, hasta que este Tribunal declare su inadmisión a trámite o dicte Sentencia denegando el amparo solicitado [STC 159/1997, de 2 de octubre, FJ 7 b)].</w:t>
      </w:r>
    </w:p>
    <w:p w:rsidR="00163957" w:rsidRDefault="00163957" w:rsidP="00163957">
      <w:pPr>
        <w:pStyle w:val="TextoNormal"/>
      </w:pPr>
    </w:p>
    <w:p w:rsidR="00163957" w:rsidRDefault="00163957" w:rsidP="00163957">
      <w:pPr>
        <w:pStyle w:val="TextoNormal"/>
      </w:pPr>
      <w:r>
        <w:t>Lo anterior no impide, sin embargo, que si este Tribunal aprecia en el proceso de amparo promovido contra una sentencia judicial firme, la lesión de un derecho fundamental o libertad publica susceptible de amparo constitucional y, en su consecuencia, procede a otorgar ese amparo [art. 53 a) LOTC], declarando además la nulidad de la resolución “que haya impedido el pleno ejercicio de los derechos o libertades protegidos” [art. 55.1 a) LOTC], la firmeza originalmente ganada tanto por la resolución judicial revocada como por los actos administrativos que aquella hubiese confirmado, se habría desvanecido eo ipso, siendo de aplicación, entonces sí, la previsión del art. 73 LJCA conforme a la cual se le transmitirían a los actos administrativos objeto de enjuiciamiento en el proceso contencioso-administrativo a quo los efectos de la nulidad declarada por la Sentencia de la Sala Tercera del Tribunal Supremo de 23 de octubre de 2014, al encontrarnos ante unos actos administrativos no firmes “antes de que la anulación alcanzara efectos generales” (art. 73 LJCA).</w:t>
      </w:r>
    </w:p>
    <w:p w:rsidR="00163957" w:rsidRDefault="00163957" w:rsidP="00163957">
      <w:pPr>
        <w:pStyle w:val="TextoNormal"/>
      </w:pPr>
    </w:p>
    <w:p w:rsidR="00163957" w:rsidRDefault="00163957" w:rsidP="00163957">
      <w:pPr>
        <w:pStyle w:val="TextoNormal"/>
      </w:pPr>
      <w:r>
        <w:t>b) Con relación a la inexistencia de un derecho fundamental susceptible de amparo constitucional que estuviese en liza en el proceso contencioso-administrativo que ha dado lugar a la declaración de nulidad del precepto foral controvertido, debe señalarse que la recurrente alegó, con carácter previo al presente proceso constitucional, al igual que ha sostenido en la demanda de amparo, la inconstitucionalidad del art. 26.2 de la Norma Foral de Guipúzcoa 8/1998, de 24 de diciembre, del impuesto sobre la renta de las personas físicas, por su contradicción con el art. 3 a) de la Ley 12/2002, de 23 de mayo, por la que se aprueba el con</w:t>
      </w:r>
      <w:r>
        <w:lastRenderedPageBreak/>
        <w:t>cierto económico con la Comunidad Autónoma del País Vasco [o con el art. 4 a) de la anterior Ley 12/1981, de 13 de mayo, también del concierto], cuando es precisamente ese precepto reglamentario el que ha sido declarado nulo en dicha Sentencia de la Sala Tercera del Tribunal Supremo de 23 de octubre de 2014, dictada con posterioridad a la interposición del presente recurso de amparo.</w:t>
      </w:r>
    </w:p>
    <w:p w:rsidR="00163957" w:rsidRDefault="00163957" w:rsidP="00163957">
      <w:pPr>
        <w:pStyle w:val="TextoNormal"/>
      </w:pPr>
    </w:p>
    <w:p w:rsidR="00163957" w:rsidRDefault="00163957" w:rsidP="00163957">
      <w:pPr>
        <w:pStyle w:val="TextoNormal"/>
      </w:pPr>
      <w:r>
        <w:t>A este fin, conviene tener en cuenta, antes de nada, que el recurso de amparo tiene como finalidad esencial la protección, en sede constitucional, de los derechos y libertades contemplados en el art. 53.2 CE, a los que exclusivamente se circunscribe su ámbito, de tal modo que a lo único que este Tribunal puede dar respuesta en dicho proceso es a la existencia o no de una vulneración de los mencionados derechos y libertades fundamentales, sin que le resulte posible hacer pronunciamiento alguno que exceda de dicho ámbito (STC 159/1997, de 2 de octubre, FJ 6). Es cierto que, en determinadas ocasiones, puede admitirse “una pretensión directa de inconstitucionalidad sostenida por particulares”, pero esta posibilidad queda doblemente condicionada, de un lado, por los derechos y libertades reconocidos en los arts. 14 a 30 CE, y, por otro, “a los casos en que el recurrente haya experimentado una lesión concreta y actual de sus derechos” (SSTC 41/1981, de 18 de diciembre, FJ 1; y 159/1997, de 2 de octubre, FJ 6).</w:t>
      </w:r>
    </w:p>
    <w:p w:rsidR="00163957" w:rsidRDefault="00163957" w:rsidP="00163957">
      <w:pPr>
        <w:pStyle w:val="TextoNormal"/>
      </w:pPr>
    </w:p>
    <w:p w:rsidR="00163957" w:rsidRDefault="00163957" w:rsidP="00163957">
      <w:pPr>
        <w:pStyle w:val="TextoNormal"/>
      </w:pPr>
      <w:r>
        <w:t>Nuestro enjuiciamiento ha de partir, entonces, de la existencia de una lesión de un derecho fundamental o una libertad pública susceptible de amparo constitucional, de manera que tenga abierto el acceso al ámbito de la jurisdicción de este Tribunal. Sucede, sin embargo, que el vicio imputado al art. 26.2 de la Norma Foral de Guipúzcoa 8/1998, no lo era la vulneración de un derecho fundamental o libertad pública susceptible de protección en vía de amparo, sino la violación del principio de armonización del art. 3 a) de la Ley 12/2002, de 23 de mayo, por la que se aprueba el concierto económico con la Comunidad Autónoma del País Vasco, principio que, por imperativo de los arts. 53.2 CE y 41.1 LOTC, queda extramuros del proceso de amparo, impidiendo a este Tribunal, en consecuencia, no sólo entrar a conocer de dicha cuestión sino deducir efecto alguno al objeto del presente proceso de amparo.</w:t>
      </w:r>
    </w:p>
    <w:p w:rsidR="00163957" w:rsidRDefault="00163957" w:rsidP="00163957">
      <w:pPr>
        <w:pStyle w:val="TextoNormal"/>
      </w:pPr>
    </w:p>
    <w:p w:rsidR="00163957" w:rsidRDefault="00163957" w:rsidP="00163957">
      <w:pPr>
        <w:pStyle w:val="TextoNormal"/>
      </w:pPr>
      <w:r w:rsidRPr="00163957">
        <w:rPr>
          <w:rStyle w:val="NumeroAFNegritaCaracter"/>
        </w:rPr>
        <w:t>3</w:t>
      </w:r>
      <w:r>
        <w:t>. Una vez hechas las precisiones que anteceden ya estamos en disposición de entrar a dar respuesta al primero de los motivos de la demanda de amparo, a saber, la vulneración del principio de igualdad (art. 14 CE) que la parte actora imputa, primero, a la actuación de la Administración tributaria foral con fundamento en lo que califica como excesiva indeterminación del art. 26.2 de la Norma Foral de Guipúzcoa 8/1998, y, luego, al órgano judicial, por no haber reparado la lesión, deduciendo por esta razón la vulneración de su derecho a la tutela judicial efectiva (art. 24.1 CE). Se suma a esta posición la Fiscal para quien se ha producido la lesión del derecho a la igualdad pues la aplicación que ha hecho la Administración foral del art. 26.2 de la Norma Foral 8/1998 conduce patentemente a un tratamiento desigual de situaciones idénticas que lleva a asignar consecuencias jurídicas diferentes sin existir una justificación objetiva ni razonable que pueda habilitar tal proceder, con un resultado que resulta claramente desproporcionado, por cuanto se desnaturaliza el propio concepto y sentido del régimen de determinación de la base imponible por estimación objetiva por signos, índices o módulos, neutralizando su configuración y su carácter de opción legítima para el contribuyente.</w:t>
      </w:r>
    </w:p>
    <w:p w:rsidR="00163957" w:rsidRDefault="00163957" w:rsidP="00163957">
      <w:pPr>
        <w:pStyle w:val="TextoNormal"/>
      </w:pPr>
    </w:p>
    <w:p w:rsidR="00163957" w:rsidRDefault="00163957" w:rsidP="00163957">
      <w:pPr>
        <w:pStyle w:val="TextoNormal"/>
      </w:pPr>
      <w:r>
        <w:lastRenderedPageBreak/>
        <w:t>Antes de entrar a analizar si se produce, como defienden la parte actora y la Fiscal, una vulneración del principio de igualdad en la aplicación de la ley (art. 14 CE), es necesario encajar correctamente la queja denunciada, pues, aun cuando una y otra la sitúan en el seno del art. 14 CE, no hay que olvidar que el derecho a la igualdad en términos del deber de contribuir también debe ser ubicado, unas veces, de forma excluyente, y otras, en conexión con el art. 14 CE, en el art 31.1 CE, precepto este último que, como es bien sabido, recoge una serie de derechos cuya eventual protección no tiene acceso a la vía extraordinaria que constituye el recurso de amparo ex arts. 53.2 y 41.1 LOTC.</w:t>
      </w:r>
    </w:p>
    <w:p w:rsidR="00163957" w:rsidRDefault="00163957" w:rsidP="00163957">
      <w:pPr>
        <w:pStyle w:val="TextoNormal"/>
      </w:pPr>
    </w:p>
    <w:p w:rsidR="00163957" w:rsidRDefault="00163957" w:rsidP="00163957">
      <w:pPr>
        <w:pStyle w:val="TextoNormal"/>
      </w:pPr>
      <w:r>
        <w:t>Pues bien, el vicio de desigual aplicación de la norma tributaria que tanto la parte demandante como la Fiscal atribuyen a la Administración Foral, no es imputable a su actuación sino, única y exclusivamente, a la redacción del art. 26.2 de la Norma Foral 8/1998, por lo que no estaríamos ante un supuesto de igualdad en la aplicación de la norma, sino de igualdad ante o en la norma. Hecha esta precisión, hay que añadir a renglón seguido que la desigualdad de gravamen que se denuncia no reside realmente en un trato desigual contrario al artículo 14 CE, como señala la representación procesal de la Excma. Diputación Foral de Guipúzcoa, al no estar basada en una diferenciación de índole subjetiva (esto es, en la condición o cualidad del sujeto), sino en una desigualdad fundada en elementos objetivos, que es la que, conforme a nuestra jurisprudencia, se sitúa únicamente en el art. 31.1 CE, precepto que, como ya hemos anticipado, no puede servir a una pretensión en este proceso constitucional al no acoger derechos o libertades susceptibles de amparo constitucional de conformidad con los arts. 53.2 CE y 41.1 LOTC (entre muchas, SSTC 54/2006, de 27 de febrero, FJ 6, y 91/2007, de 7 de mayo, FJ 4).</w:t>
      </w:r>
    </w:p>
    <w:p w:rsidR="00163957" w:rsidRDefault="00163957" w:rsidP="00163957">
      <w:pPr>
        <w:pStyle w:val="TextoNormal"/>
      </w:pPr>
    </w:p>
    <w:p w:rsidR="00163957" w:rsidRDefault="00163957" w:rsidP="00163957">
      <w:pPr>
        <w:pStyle w:val="TextoNormal"/>
      </w:pPr>
      <w:r>
        <w:t>En efecto, tanto la parte actora como la Fiscal imputan a la regulación prevista en el art. 26.2 de la Norma Foral 8/1998 tal grado de indeterminación que permite a la Administración Foral, en su aplicación, el establecimiento de diferencias entre empresarios autónomos acogidos al régimen de estimación objetiva por signos, índices o módulos, según los someta a tributación por el rendimiento real de la actividad económica desarrollada o por el rendimiento derivado de la correcta aplicación de los módulos. No es, pues, la condición o cualidad de los sujetos pasivos la que determina su diferenciación (todos empresarios individuales acogidos al régimen de estimación objetiva por signos, índices o módulos), sino una circunstancia objetiva como es el hecho de que el demandante fue incluido en un plan de inspección, que no ha sido impugnado, para someter a los contribuyentes a la tributación conforme a su rendimiento real en lugar de hacerlo en función del rendimiento derivado de la correcta aplicación de los módulos.</w:t>
      </w:r>
    </w:p>
    <w:p w:rsidR="00163957" w:rsidRDefault="00163957" w:rsidP="00163957">
      <w:pPr>
        <w:pStyle w:val="TextoNormal"/>
      </w:pPr>
    </w:p>
    <w:p w:rsidR="00163957" w:rsidRDefault="00163957" w:rsidP="00163957">
      <w:pPr>
        <w:pStyle w:val="TextoNormal"/>
      </w:pPr>
      <w:r>
        <w:t>Debe rechazarse, sin más, por no tener acceso al recurso de amparo, la pretendida vulneración del derecho a la igualdad denunciada por la parte actora.</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Considera también la parte demandante que la resolución judicial impugnada ha infringido su derecho a la tutela judicial efectiva (art. 24.1 CE), por falta de motivación, por arbitrariedad y por haberle causado indefensión, puesto que, habiendo alegado la nulidad del art. 26.2 de la Norma Foral 8/1998 por vulnerar los principios de reserva de ley tributaria (arts. 31.3 y 133 CE), de seguridad jurídica e interdicción de la arbitrariedad (art. 9.3 CE), de igualdad y no discriminación (art. 14 CE), así como, de la regla de armonización fiscal prevista en el art. 3 a) de la Ley 12/2002, de 13 de mayo, por la que se aprueba el concierto </w:t>
      </w:r>
      <w:r>
        <w:lastRenderedPageBreak/>
        <w:t>económico para el País Vasco, sin embargo, la respuesta recibida —por remisión a lo señalado en otra resolución judicial previa— ni contesta a todos los motivos esgrimidos, ni la contestación dada es racional o acertada. De la misma opinión es la Fiscal para quien la Sentencia cuestionada en amparo adolece de importantes déficits de motivación, fundamentalmente porque ha soslayado totalmente el motivo principal de la parte actora relativo a la trasgresión de las normas de armonización fiscal recogidas en el concierto económico para el País Vasco.</w:t>
      </w:r>
    </w:p>
    <w:p w:rsidR="00163957" w:rsidRDefault="00163957" w:rsidP="00163957">
      <w:pPr>
        <w:pStyle w:val="TextoNormal"/>
      </w:pPr>
    </w:p>
    <w:p w:rsidR="00163957" w:rsidRDefault="00163957" w:rsidP="00163957">
      <w:pPr>
        <w:pStyle w:val="TextoNormal"/>
      </w:pPr>
      <w:r>
        <w:t>La Sentencia impugnada transcribe textualmente los fundamentos de Derecho sexto y séptimo de la Sentencia de la misma Sala de 2 de diciembre de 2011, que se remite, a su vez, a lo sentado en la otra Sentencia de la misma Sala, concretamente, la de 14 de abril de 2010, en el primero de los cuales analiza el contenido y justificación del art. 26.2 de la Norma Foral 8/1998, para pasar a continuación a valorar la conformidad del citado precepto reglamentario con los principios del art. 31.1 CE, concluyendo: a) que la citada Norma Foral no quiebra la reserva de ley tributaria, cuyo entronque se encuentra en la disposición adicional primera de la Constitución, en el Estatuto de Autonomía y en el concierto económico, pues esta clase de normas no son desarrollo o complemento de ley alguna sino un suplido de las leyes estatales; b) que tampoco quiebra el principio de igualdad y no discriminación, ni el de seguridad jurídica e interdicción de la arbitrariedad, porque la norma se aplique a todos aquellos a los que se dirige el art. 26.2 sin que tenga que haber una regulación uniforme con el territorio común, pues se trata de una regulación autónoma en el ámbito del territorio foral que deriva del concierto económico y que justifica las diferencias; y el hecho de que no se someta a todos los contribuyentes a los que se dirige la norma a su aplicación no contradice aquellos principios, dado que, como es sabido, no puede defenderse la igualdad en la ilegalidad, en relación con la previsión del art. 26.2, según el cual nunca podrán dejar de someterse a gravamen los rendimientos reales de las actividades económicas acogidas al régimen de estimación objetiva por signos, índices o módulo; y c) que el impuesto sobre la renta es un tributo concertado de normativa autónoma, atribuyendo la Ley 12/2002, de 23 de mayo, por la que se aprueba el concierto económico, capacidad normativa a los Territorios Históricos, con adecuación “a la Ley General Tributaria en cuanto a terminología y conceptos”, sin que pueda entenderse esta adecuación como una obligación de “trasposición mimética” de la normativa que rige el impuesto en territorio común, tanto más cuando el art. 50.3 de la Ley general tributaria prevé que “las bases imponibles se determinarán con carácter general a través del método de estimación directa”, pudiendo establecerse supuestos “en que sea de aplicación el método de estimación objetiva, que tendrán, en todo caso, carácter voluntario para los obligados tributarios”, resultando que la Norma Foral potencia la estimación directa y contempla la estimación objetiva, razón por la cual, no se produce la vulneración de la armonización fiscal.</w:t>
      </w:r>
    </w:p>
    <w:p w:rsidR="00163957" w:rsidRDefault="00163957" w:rsidP="00163957">
      <w:pPr>
        <w:pStyle w:val="TextoNormal"/>
      </w:pPr>
    </w:p>
    <w:p w:rsidR="00163957" w:rsidRDefault="00163957" w:rsidP="00163957">
      <w:pPr>
        <w:pStyle w:val="TextoNormal"/>
      </w:pPr>
      <w:r>
        <w:t xml:space="preserve">Aunque la forma de razonar la Sentencia impugnada sus respuestas no es la más idónea, pues lo hace por remisión a una resolución judicial suya previa que, a su vez, se remite a otra resolución suya previa, sin embargo, no cabe duda de que basta una lectura sosegada de la misma para comprobar cómo el órgano judicial da respuesta a todas las cuestiones planteadas por la parte recurrente, y no solo lo hace forma motivada, sino que pueden apreciarse con claridad los elementos y razones de juicio que permiten conocer cuáles han sido los criterios jurídicos que han fundamentado su decisión. Se trata, además, de una fundamentación en Derecho, por mucho que la parte actora pueda discrepar de la concreta decisión adoptada, a la que solo imputa la vulneración de su derecho sólo le ha sido contraria a </w:t>
      </w:r>
      <w:r>
        <w:lastRenderedPageBreak/>
        <w:t>sus intereses, consecuencia de un mal entendido derecho a la satisfacción de sus intereses legítimos o al acierto técnico de la decisión al resolver el fondo del asunto (STC 251/1993, de 19 de julio, FJ 5, y ATC 308/1999, de 13 de diciembre, FJ 3). No hay que olvidar que “la simple discrepancia de las partes con una resolución judicial, aun fundada en otra interpretación posible de la legalidad aplicada, incluso por plausible que ésta resulte, no convierte el correspondiente razonamiento judicial en arbitrario o manifiestamente irrazonable ni, menos aún, obliga a este Tribunal a elegir entre las interpretaciones posibles cuál es la que debe prevalecer” (SSTC 108/2013, de 6 de mayo, FJ 5; 99/2005, de 25 de mayo, FJ 3, y 212/2014, de 18 de diciembre, FJ 3).</w:t>
      </w:r>
    </w:p>
    <w:p w:rsidR="00163957" w:rsidRDefault="00163957" w:rsidP="00163957">
      <w:pPr>
        <w:pStyle w:val="TextoNormal"/>
      </w:pPr>
    </w:p>
    <w:p w:rsidR="00163957" w:rsidRDefault="00163957" w:rsidP="00163957">
      <w:pPr>
        <w:pStyle w:val="TextoNormal"/>
      </w:pPr>
      <w:r>
        <w:t>Debe rechazarse, en consecuencia, la vulneración del derecho a la tutela judicial efectiva (art. 24.1 CE).</w:t>
      </w:r>
    </w:p>
    <w:p w:rsidR="00163957" w:rsidRDefault="00163957" w:rsidP="00163957">
      <w:pPr>
        <w:pStyle w:val="TextoNormal"/>
      </w:pPr>
    </w:p>
    <w:p w:rsidR="00163957" w:rsidRDefault="00163957" w:rsidP="00163957">
      <w:pPr>
        <w:pStyle w:val="TextoNormal"/>
      </w:pPr>
      <w:r w:rsidRPr="00163957">
        <w:rPr>
          <w:rStyle w:val="NumeroAFNegritaCaracter"/>
        </w:rPr>
        <w:t>5</w:t>
      </w:r>
      <w:r>
        <w:t>. Imputa también la parte actora a la Sentencia impugnada la vulneración de su derecho a la tutela judicial efectiva (art. 24.1 CE) al haber rechazado apriorísticamente el planteamiento de la cuestión de inconstitucionalidad solicitada, sin más argumento que el de que la decisión sobre su planteamiento corresponde en exclusiva a los órganos judiciales. Sobre este particular es necesario efectuar una serie de precisiones:</w:t>
      </w:r>
    </w:p>
    <w:p w:rsidR="00163957" w:rsidRDefault="00163957" w:rsidP="00163957">
      <w:pPr>
        <w:pStyle w:val="TextoNormal"/>
      </w:pPr>
    </w:p>
    <w:p w:rsidR="00163957" w:rsidRDefault="00163957" w:rsidP="00163957">
      <w:pPr>
        <w:pStyle w:val="TextoNormal"/>
      </w:pPr>
      <w:r>
        <w:t>a) Como hemos señalado recientemente en la STC 222/2015, de 2 de noviembre, FJ 2 (y, posteriormente, también en las SSTC 239/2015, de 30 de noviembre, FJ 2; 240/2015, de 30 de noviembre, FJ 2; 262/2015, de 14 de diciembre, FJ 2; y 263/2015, de 14 de diciembre, FJ 2) aun cuando las Normas Forales fiscales son disposiciones normativas que carecen de rango de ley, desde la reforma operada por la Ley Orgánica 1/2010, de 19 de febrero, de modificación de las leyes orgánicas del Tribunal Constitucional y del Poder Judicial, su eventual declaración de inconstitucionalidad le corresponde en exclusiva al Tribunal Constitucional. En efecto, quedan excluidos del conocimiento de los Tribunales del orden contencioso-administrativo “los recursos directos o indirectos que se interpongan contra las Normas Forales fiscales de las Juntas Generales de los Territorios Históricos de Álava, Guipúzcoa y Vizcaya, que corresponderán, en exclusiva, al Tribunal Constitucional” [arts. 9.4 de la Ley Orgánica 6/1985, de 1 de julio, del Poder Judicial, y 3 d) LJCA]. Y ello porque, desde la entrada en vigor de esa Ley Orgánica 1/2010, corresponde al Tribunal Constitucional no sólo “el conocimiento de los recursos interpuestos contra las Normas Forales fiscales de los Territorios de Álava, Guipúzcoa y Vizcaya”, sino también resolver “las cuestiones que se susciten con carácter prejudicial por los órganos jurisdiccionales sobre la validez de las referidas disposiciones, cuando de ella dependa el fallo del litigio principal” (apartado primero de la disposición adicional quinta LOTC).</w:t>
      </w:r>
    </w:p>
    <w:p w:rsidR="00163957" w:rsidRDefault="00163957" w:rsidP="00163957">
      <w:pPr>
        <w:pStyle w:val="TextoNormal"/>
      </w:pPr>
    </w:p>
    <w:p w:rsidR="00163957" w:rsidRDefault="00163957" w:rsidP="00163957">
      <w:pPr>
        <w:pStyle w:val="TextoNormal"/>
      </w:pPr>
      <w:r>
        <w:t xml:space="preserve">Según lo que antecede, desde la entrada en vigor de la Ley Orgánica 1/2010, de 19 de febrero, aunque los órganos jurisdiccionales pueden fiscalizar la validez de las normas forales fiscales, en el caso de considerarlas contrarias a las normas que integran el bloque de la constitucionalidad carecen de competencia para expulsarlas del ordenamiento jurídico, al haber querido sustraer el legislador orgánico al juez ordinario la posibilidad de no aplicar una norma foral fiscal ante un eventual juicio de incompatibilidad con aquel bloque. La depuración de este tipo de normas corresponde de forma exclusiva, a partir de aquella disposición orgánica, al Tribunal Constitucional, que tiene la competencia y la jurisdicción para declarar, con eficacia erga omnes, su eventual inconstitucionalidad. De esta manera, </w:t>
      </w:r>
      <w:r>
        <w:lastRenderedPageBreak/>
        <w:t>forma parte de las garantías consustanciales a todo proceso judicial en nuestro Ordenamiento, que la eventual declaración de invalidez y consecuente inaplicación de una norma foral fiscal, únicamente pueda realizarse a través de la promoción de la cuestión prejudicial prevista en la disposición adicional quinta LOTC.</w:t>
      </w:r>
    </w:p>
    <w:p w:rsidR="00163957" w:rsidRDefault="00163957" w:rsidP="00163957">
      <w:pPr>
        <w:pStyle w:val="TextoNormal"/>
      </w:pPr>
    </w:p>
    <w:p w:rsidR="00163957" w:rsidRDefault="00163957" w:rsidP="00163957">
      <w:pPr>
        <w:pStyle w:val="TextoNormal"/>
      </w:pPr>
      <w:r>
        <w:t>b) La Sala cuya sentencia es objeto del presente recurso de amparo consideró, con remisión a la doctrina sentada en su previa Sentencia de 2 de diciembre de 2011, que al tratarse de un recurso indirecto contra una Norma Foral, concretamente, contra su art. 26.2, sólo podría declarar su validez o nulidad cuando fuese competente para el conocimiento en un recurso directo, habiendo dejado de serlo desde la entrada en vigor (a los veinte días de su publicación en el “BOE” de 20 de febrero de 2010) de la reforma operada en la Ley Orgánica 2/1979, de 3 de octubre, del Tribunal Constitucional, por la Ley Orgánica 1/2010 (que introduce una nueva disposición adicional quinta), al residenciarse desde ese momento dicho control en el Tribunal Constitucional. La previsión de la Ley Orgánica 1/2010 no incide, sin embargo, añade la Sala, en los recursos contencioso-administrativos interpuestos con anterioridad a la misma (como así señaló expresamente el ATC 190/2010), como sucedía, a su juicio, con el caso que era objeto de proceso contencioso-administrativo, el cual no sólo se había iniciado con anterioridad a la entrada en vigor de la Ley Orgánica 1/2010, sino cuya demanda se había formalizado también con anterioridad, razón por la cual, la Sala se consideraba competente para conocer la impugnación indirecta de la Norma Foral 8/1998 y, en su efecto, para el estudio y respuesta de las cuestiones planteadas.</w:t>
      </w:r>
    </w:p>
    <w:p w:rsidR="00163957" w:rsidRDefault="00163957" w:rsidP="00163957">
      <w:pPr>
        <w:pStyle w:val="TextoNormal"/>
      </w:pPr>
    </w:p>
    <w:p w:rsidR="00163957" w:rsidRDefault="00163957" w:rsidP="00163957">
      <w:pPr>
        <w:pStyle w:val="TextoNormal"/>
      </w:pPr>
      <w:r>
        <w:t>Sucede, sin embargo, que el recurso contencioso-administrativo que ha dado lugar a la Sentencia objeto del presente recurso de amparo se había presentado el día 21 de diciembre de 2011, como así reconoce expresamente en su antecedente de hecho primero la Sentencia impugnada, habiéndose formalizado la demanda el día 20 de marzo de 2012, esto es, una y otra actuación procesal en un momento en el que ya había entrado en vigor la reforma operada por la Ley Orgánica 1/2010, razón por la cual, la competencia para conocer de los recursos directos contras las normas forales fiscales estaba ya atribuida a este Tribunal Constitucional. Eso sí, en el supuesto de un control indirecto, a los órganos judiciales les cabía promover, en orden a la eventual inaplicación de las normas forales fiscales por considerarlas contrarias a las normas integrantes del bloque de la constitucionalidad, una cuestión de inconstitucionalidad ante este Tribunal Constitucional.</w:t>
      </w:r>
    </w:p>
    <w:p w:rsidR="00163957" w:rsidRDefault="00163957" w:rsidP="00163957">
      <w:pPr>
        <w:pStyle w:val="TextoNormal"/>
      </w:pPr>
    </w:p>
    <w:p w:rsidR="00163957" w:rsidRDefault="00163957" w:rsidP="00163957">
      <w:pPr>
        <w:pStyle w:val="TextoNormal"/>
      </w:pPr>
      <w:r>
        <w:t>Pues bien, el hecho de que el órgano judicial haya errado en su afirmación de que el recurso y su demanda fueron presentados con anterioridad a la entrada en vigor de la reforma operada por la Ley Orgánica 1/2010, y la circunstancia de que la parte actora haya permanecido silente ante tal incongruencia de la resolución impugnada, no desnaturaliza, en modo alguno, el control que debe efectuar este Tribunal sobre la razonabilidad de la forma en la que decisión judicial cuestionada ha controlado la validez constitucional de la única norma que consideraba aplicable al caso concreto, para despejar cualquier duda sobre si ese control se ha efectuado conforme al nuevo sistema de control de las normas forales fiscales instaurado por aquella Ley Orgánica 1/2010.</w:t>
      </w:r>
    </w:p>
    <w:p w:rsidR="00163957" w:rsidRDefault="00163957" w:rsidP="00163957">
      <w:pPr>
        <w:pStyle w:val="TextoNormal"/>
      </w:pPr>
    </w:p>
    <w:p w:rsidR="00163957" w:rsidRDefault="00163957" w:rsidP="00163957">
      <w:pPr>
        <w:pStyle w:val="TextoNormal"/>
      </w:pPr>
      <w:r>
        <w:t xml:space="preserve">c) Forma parte del conjunto de las facultades inherentes a la potestad de juzgar, privativa de los Jueces y Tribunales del Poder Judicial por mandato de la propia Constitución (art. 117.3), la de seleccionar la norma jurídica aplicable al caso concreto, su interpretación y la subsunción en ella de los hechos (SSTC 76/1995, de 22 de mayo, FJ 5; y 173/2002, de 9 de </w:t>
      </w:r>
      <w:r>
        <w:lastRenderedPageBreak/>
        <w:t>octubre, FJ 10). Ahora bien, una vez seleccionada la norma aplicable al caso concreto, si existiesen dudas sobre su eventual contradicción con las normas que integran el bloque de la constitucionalidad definido en el art. 28 LOTC, al Juez le asisten dos opciones: bien despejar esas dudas mediante la realización, de forma fundada, de un juicio de validez de la norma aplicable; bien, en caso contrario, plantear una cuestión prejudicial sobre su eventual invalidez al Tribunal Constitucional (SSTC 222/2015, de 2 de noviembre, FJ 2; 239/2015, de 30 de noviembre, FJ 2; 240/2015, de 30 de noviembre, FJ 2, y 262/2015 y 263/2015, de 14 de diciembre, FJ 2 de ambas).</w:t>
      </w:r>
    </w:p>
    <w:p w:rsidR="00163957" w:rsidRDefault="00163957" w:rsidP="00163957">
      <w:pPr>
        <w:pStyle w:val="TextoNormal"/>
      </w:pPr>
    </w:p>
    <w:p w:rsidR="00163957" w:rsidRDefault="00163957" w:rsidP="00163957">
      <w:pPr>
        <w:pStyle w:val="TextoNormal"/>
      </w:pPr>
      <w:r>
        <w:t>De este modo, desde la reforma operada por la Ley Orgánica 1/2010, si un órgano judicial estimase que una norma foral fiscal adolece de posibles vicios de inconstitucionalidad, viene obligado a suscitar la correspondiente cuestión prejudicial ante el Tribunal Constitucional, y, si no lo estima así, supuesto en el que obviamente no está compelido a plantear la cuestión, debe limitarse a aplicarla, eso sí, razonando los motivos por los cuales considera, en contra de la opinión del recurrente, que la disposición cuestionada no adolece de los vicios que se le imputan, resultando plenamente conforme con el Ordenamiento constitucional (SSTC 222/2015, de 2 de noviembre, FJ 2; 239/2015, de 30 de noviembre, FJ 2; 240/2015, de 30 de noviembre, FJ 2, y 262/2015 y 263/2015, de 14 de diciembre, FJ 2 de ambas).</w:t>
      </w:r>
    </w:p>
    <w:p w:rsidR="00163957" w:rsidRDefault="00163957" w:rsidP="00163957">
      <w:pPr>
        <w:pStyle w:val="TextoNormal"/>
      </w:pPr>
    </w:p>
    <w:p w:rsidR="00163957" w:rsidRDefault="00163957" w:rsidP="00163957">
      <w:pPr>
        <w:pStyle w:val="TextoNormal"/>
      </w:pPr>
      <w:r>
        <w:t>Por tanto, a semejanza de lo que acontece en las cuestiones de inconstitucionalidad, la decisión sobre el planteamiento de una cuestión prejudicial sobre normas forales fiscales prevista en la disposición adicional quinta LOTC corresponde, de forma exclusiva e irrevisable, al órgano judicial que resuelve el litigio, por lo que ninguna vulneración existe de los derechos garantizados por el art. 24.1 CE cuando el Juez o Tribunal no alberga dudas sobre la constitucionalidad de la Norma Foral fiscal aplicable al caso concreto y decide por ello, en contra de la opinión del justiciable, no plantear la cuestión al Tribunal Constitucional que se le solicita (SSTC 58/2004, de 19 de abril, FJ 10; 84/2008, de 21 de julio, FJ 5; 26/2009, de 26 de enero, FJ 2, y 212/2014, de 18 de diciembre, FJ 3). Ahora bien, “el que esta potestad de los Jueces y Tribunales esté configurada de manera exclusiva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la exigencia de motivación de las Sentencias tiene rango constitucional (art. 120 CE)” (STC 35/2002, de 11 de febrero, FJ 3).</w:t>
      </w:r>
    </w:p>
    <w:p w:rsidR="00163957" w:rsidRDefault="00163957" w:rsidP="00163957">
      <w:pPr>
        <w:pStyle w:val="TextoNormal"/>
      </w:pPr>
    </w:p>
    <w:p w:rsidR="00163957" w:rsidRDefault="00163957" w:rsidP="00163957">
      <w:pPr>
        <w:pStyle w:val="TextoNormal"/>
      </w:pPr>
      <w:r>
        <w:t>d) Como ya se ha señalado anterioridad, la Sala juzgadora considera que el art. 26.2 de la Norma Foral se inserta en la regulación del impuesto sobre la Renta de las personas físicas, que es un tributo concertado de normativa autónoma, respecto del cual la Ley 12/2002, de 23 de mayo, por la que se aprueba el concierto económico, atribuye capacidad normativa a los Territorios Históricos, aunque con adecuación “a la Ley General Tributaria en cuanto a terminología y conceptos”. Sin embargo, para la Sala esa adecuación no puede entenderse como una obligación de “trasposición mimética” de la normativa que rige el impuesto en territorio común, de manera que, habiendo potenciado la Norma Foral el régimen de estimación directa de bases imponibles, y habiendo contemplado la estimación objetiva por signos, índices y módulo, no existe vulneración alguna de la regla de la armonización fiscal prevista en el art. 3.a) de la Ley 12/2002, de 23 de mayo, por la que se aprueba el concierto económico con la Comunidad Autónoma del País Vasco [o con el art. 4 a) de la anterior Ley 12/1981, de 13 de mayo, también del concierto].</w:t>
      </w:r>
    </w:p>
    <w:p w:rsidR="00163957" w:rsidRDefault="00163957" w:rsidP="00163957">
      <w:pPr>
        <w:pStyle w:val="TextoNormal"/>
      </w:pPr>
    </w:p>
    <w:p w:rsidR="00163957" w:rsidRDefault="00163957" w:rsidP="00163957">
      <w:pPr>
        <w:pStyle w:val="TextoNormal"/>
      </w:pPr>
      <w:r>
        <w:t>Según lo que antecede, resulta patente que el órgano judicial ha entrado a controlar la validez constitucional de la Norma Foral 8/1998, indirectamente impugnada y aplicable al caso concreto, para concluir con su validez, y, con fundamento, en ésta, ha considerado innecesario, de formada fundada, el planteamiento de una cuestión prejudicial ante este Tribunal Constitucional, sin perjuicio de que su razonamiento lo haya sido por remisión a otra previa resolución judicial de la misma Sala que ya había efectuado ese control de validez.</w:t>
      </w:r>
    </w:p>
    <w:p w:rsidR="00163957" w:rsidRDefault="00163957" w:rsidP="00163957">
      <w:pPr>
        <w:pStyle w:val="TextoNormal"/>
      </w:pPr>
    </w:p>
    <w:p w:rsidR="00163957" w:rsidRDefault="00163957" w:rsidP="00163957">
      <w:pPr>
        <w:pStyle w:val="TextoNormal"/>
      </w:pPr>
      <w:r>
        <w:t>Es obligado rechazar, entonces, que la decisión judicial cuestionada haya vulnerado el derecho de la parte demandante de amparo a la tutela judicial efectiva sin indefensión (art. 24.1 CE).</w:t>
      </w:r>
    </w:p>
    <w:p w:rsidR="00163957" w:rsidRDefault="00163957" w:rsidP="00163957">
      <w:pPr>
        <w:pStyle w:val="TextoNormal"/>
      </w:pPr>
    </w:p>
    <w:p w:rsidR="00163957" w:rsidRDefault="00163957" w:rsidP="00163957">
      <w:pPr>
        <w:pStyle w:val="TextoNormal"/>
      </w:pPr>
      <w:r w:rsidRPr="00163957">
        <w:rPr>
          <w:rStyle w:val="NumeroAFNegritaCaracter"/>
        </w:rPr>
        <w:t>6</w:t>
      </w:r>
      <w:r>
        <w:t>. Finalmente, la demandante de amparo imputa también a la sentencia impugnada la lesión del derecho a la tutela judicial efectiva (art. 24.1 CE) por haber incurrido en incongruencia omisiva al no haber dado respuesta alguna a la alegación relativa a la nulidad de las liquidaciones giradas por tener un contenido imposible. La parte recurrente alegaba en su recurso contencioso-administrativo la nulidad de las liquidaciones practicadas por constituir actos de contenido imposible, al exigir el art. 26.2 de la Norma Foral 8/1998 a la Administración tributaria la práctica de una liquidación sobre el rendimiento real obtenido en la actividad, lo que supone una exigencia de cumplimiento imposible pues, al encontrarse el sujeto afectado en el régimen de estimación objetiva por signos, índices o módulos, carece de libros o registros contables, por no estar obligados legalmente a llevarlos, razón por la cual, no es posible calcular su rendimiento real.</w:t>
      </w:r>
    </w:p>
    <w:p w:rsidR="00163957" w:rsidRDefault="00163957" w:rsidP="00163957">
      <w:pPr>
        <w:pStyle w:val="TextoNormal"/>
      </w:pPr>
    </w:p>
    <w:p w:rsidR="00163957" w:rsidRDefault="00163957" w:rsidP="00163957">
      <w:pPr>
        <w:pStyle w:val="TextoNormal"/>
      </w:pPr>
      <w:r>
        <w:t>Basta nuevamente con una lectura detenida de la Sentencia impugnada para apreciar razones sobradas por las que el órgano judicial rechaza expresamente este motivo de recurso. En efecto, para la Sala juzgadora la Norma Foral 8/1998 ha venido a potenciar el régimen de estimación directa como método general para la cuantificación de los rendimientos procedentes del desarrollo de actividades económicas, sin perjuicio de que también prevea la aplicación de métodos objetivos para la determinación del rendimiento neto; métodos objetivos con los cuales se persigue tan solo liberar de obligaciones formales a quienes se acojan a ellos, pero con los que se somete igualmente a tributación la diferencia entre los rendimientos reales y los resultantes de la aplicación de estos sistemas. Así las cosas, respecto de “las precisiones que traslada el demandante en relación con que el sistema de módulos implica una reducción sustancial de las obligaciones formales” y que “como consecuencia de la revisión de su declaración, se vería privado de la posibilidad de justificar partidas que serían consideradas ordinariamente como deducibles para la determinación del rendimiento neto”, entiende que “quien se acoge al sistema de módulos ya sabe, por la aplicación directa de la Norma que, en su caso, podrá ser requerido en relación con los rendimientos reales y, de ser superiores, a los efectos de contribuir con el exceso de cuota, por lo que en sus manos se encontraba la decisión de arropar los soportes probatorios que consideraba necesarios en el caso de ser precisos a los efectos de configurar la base sobre la que se debería tributar, y en concreto, a los efectos de las deducciones”.</w:t>
      </w:r>
    </w:p>
    <w:p w:rsidR="00163957" w:rsidRDefault="00163957" w:rsidP="00163957">
      <w:pPr>
        <w:pStyle w:val="TextoNormal"/>
      </w:pPr>
    </w:p>
    <w:p w:rsidR="00163957" w:rsidRDefault="00163957" w:rsidP="00163957">
      <w:pPr>
        <w:pStyle w:val="TextoNormal"/>
      </w:pPr>
      <w:r>
        <w:t xml:space="preserve">Existe, pues, una respuesta expresa, clara y directa sobre el motivo puntualmente articulado. De hecho, tras el incidente de nulidad de actuaciones promovido por la parte actora contra la Sentencia impugnada, el Auto de la misma Sala y Sección de 15 de enero de 2015 reproduce esa misma justificación, apercibiendo a la parte actora de que le ha dado una </w:t>
      </w:r>
      <w:r>
        <w:lastRenderedPageBreak/>
        <w:t>respuesta explícita a su argumento, tras lo cual la parte actora imputa a la resolución judicial, ahora ante este Tribunal Constitucional, nuevamente una falta de una respuesta expresa que, como se ha podido comprobar, le ha sido dada desde el principio. No cabe duda, pues, como advierte la representación procesal de la Excma. Diputación Foral de Guipúzcoa, de que la queja de la parte actora configura una alegación de vulneración no fundada, que sólo supone una mera disconformidad con lo decidido por el órgano judicial, sin relevancia constitucional alguna, consecuencia de un mal entendido derecho a la satisfacción de sus intereses legítimos o al acierto técnico de la decisión al resolver el fondo del asunto (STC 251/1993, de 19 de julio, FJ 5; y ATC 308/1999, de 13 de diciembre, FJ 3).</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la demanda de amparo interpuesta por don Javier Resa Gaujot.</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dieciocho de enero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7" w:name="SENTENCIA_2016_4"/>
      <w:r>
        <w:lastRenderedPageBreak/>
        <w:t>SENTENCIA 4/2016, de 18 de enero de 2016</w:t>
      </w:r>
    </w:p>
    <w:bookmarkEnd w:id="7"/>
    <w:p w:rsidR="00163957" w:rsidRDefault="00163957" w:rsidP="00163957">
      <w:pPr>
        <w:pStyle w:val="TtuloResolucin"/>
      </w:pPr>
      <w:r>
        <w:t>Sala Primera</w:t>
      </w:r>
    </w:p>
    <w:p w:rsidR="00163957" w:rsidRDefault="00163957" w:rsidP="00163957">
      <w:pPr>
        <w:pStyle w:val="TtuloBOE"/>
      </w:pPr>
      <w:r>
        <w:t>(BOE núm. 45, de 22 de febrero de 2016)</w:t>
      </w:r>
    </w:p>
    <w:p w:rsidR="00163957" w:rsidRDefault="00163957" w:rsidP="00163957">
      <w:pPr>
        <w:pStyle w:val="TextoNormalCentrado"/>
      </w:pPr>
      <w:r>
        <w:t>ECLI:ES:TC:2016:4</w:t>
      </w:r>
    </w:p>
    <w:p w:rsidR="00163957" w:rsidRDefault="00163957" w:rsidP="00163957">
      <w:pPr>
        <w:pStyle w:val="TextoNormalCentrado"/>
      </w:pPr>
    </w:p>
    <w:p w:rsidR="00163957" w:rsidRDefault="00163957" w:rsidP="00163957">
      <w:pPr>
        <w:pStyle w:val="SntesisDescriptiva"/>
      </w:pPr>
      <w:r>
        <w:t>Cuestión de inconstitucionalidad 4851-2014. Planteada por la Sala de lo Social del Tribunal Superior de Justicia de Asturias, en relación con el artículo 2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extinción, por pérdida de objeto, de la cuestión de inconstitucionalidad (STC 83/2015).</w:t>
      </w:r>
    </w:p>
    <w:p w:rsidR="00163957" w:rsidRDefault="00163957" w:rsidP="00163957">
      <w:pPr>
        <w:pStyle w:val="SntesisAnaltica"/>
      </w:pPr>
    </w:p>
    <w:p w:rsidR="00163957" w:rsidRDefault="00163957" w:rsidP="00163957">
      <w:pPr>
        <w:pStyle w:val="Extracto"/>
      </w:pPr>
      <w:r>
        <w:t>1.</w:t>
      </w:r>
      <w:r>
        <w:tab/>
        <w:t>La satisfacción extraprocesal de la pretensión deducida en el proceso laboral sobre la que se articula la cuestión de inconstitucionalidad le hace perder su objeto, al ser tal satisfacción extraprocesal uno de los posibles supuestos de extinción de la cuestión de inconstitucionalidad (STC 83/2015) [FJ 3].</w:t>
      </w:r>
    </w:p>
    <w:p w:rsidR="00163957" w:rsidRDefault="00163957" w:rsidP="00163957">
      <w:pPr>
        <w:pStyle w:val="Extracto"/>
      </w:pPr>
    </w:p>
    <w:p w:rsidR="00163957" w:rsidRDefault="00163957" w:rsidP="00163957">
      <w:pPr>
        <w:pStyle w:val="Extracto"/>
      </w:pPr>
      <w:r>
        <w:t>2.</w:t>
      </w:r>
      <w:r>
        <w:tab/>
        <w:t>Doctrina sobre las posibles causas de terminación extraordinaria de las cuestiones de inconstitucionalidad por pérdida sobrevenida de objeto (STC 83/2015) [FJ 3].</w:t>
      </w:r>
    </w:p>
    <w:p w:rsidR="00163957" w:rsidRDefault="00163957" w:rsidP="00163957">
      <w:pPr>
        <w:pStyle w:val="Extracto"/>
      </w:pPr>
    </w:p>
    <w:p w:rsidR="00163957" w:rsidRDefault="00163957" w:rsidP="00163957">
      <w:pPr>
        <w:pStyle w:val="Extracto"/>
      </w:pPr>
      <w:r>
        <w:t>3.</w:t>
      </w:r>
      <w:r>
        <w:tab/>
        <w:t>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 (SSTC 6/2010, 83/2015)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4851-2014 promovida por la Sala de lo Social del Tribunal Superior de Justicia de Asturias,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Andrés Ollero Tassara, quien expresa el parecer del Tribunal.</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23 de julio de 2014 se registró en este Tribunal oficio de la Sala de lo Social del Tribunal Superior de Justicia de Asturias al que se acompañaba, junto al testimonio del correspondiente procedimiento, el Auto de ese mismo órgano judicial de 2 de julio de 2014; en él se acordaba plantear cuestión de inconstitucionalidad en relación con el art. 2 del Real Decreto-ley 20/2012, de 13 de julio, de medidas para garantizar la estabilidad presupuestaria y de fomento de la competitividad, convalidado por el Congreso de los Diputados ex art. 86.2 CE en su sesión de 19 de julio de 2012, por posible vulneración del art. 9.3 CE.</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de hecho del planteamiento de la presente cuestión de inconstitucionalidad son los siguientes:</w:t>
      </w:r>
    </w:p>
    <w:p w:rsidR="00163957" w:rsidRDefault="00163957" w:rsidP="00163957">
      <w:pPr>
        <w:pStyle w:val="TextoNormal"/>
      </w:pPr>
    </w:p>
    <w:p w:rsidR="00163957" w:rsidRDefault="00163957" w:rsidP="00163957">
      <w:pPr>
        <w:pStyle w:val="TextoNormal"/>
      </w:pPr>
      <w:r>
        <w:t>a) Ante el Juzgado de lo Social núm. 2 de Oviedo se sustanció la demanda de conflicto colectivo (autos núm. 677-2013), formulada por el presidente del comité de empresa de Hostelería Asturiana, S.A. (Hoasa), contra esta sociedad mercantil, titular del Hotel Reconquista, sito en Oviedo, y contra la empresa Meliá Hotel Reconquista, que explota dicho establecimiento hotelero en régimen de concesión administrativa. La parte actora pretendía en su demanda que se declarase el derecho de los trabajadores del Hotel Reconquista a percibir la parte proporcional de la paga extra de diciembre de 2012 ya devengada al momento de la entrada en vigor del Real Decreto-ley 20/2012, de 13 de julio, de medidas para garantizar la estabilidad presupuestaria y de fomento de la competitividad, porque de acuerdo con el art. 9.3 CE no cabe que la supresión de la paga extra opere de modo retroactivo sino, únicamente, a partir de la entrada en vigor del Real Decreto-ley 20/2012, que tuvo lugar el 15 de julio de 2012.</w:t>
      </w:r>
    </w:p>
    <w:p w:rsidR="00163957" w:rsidRDefault="00163957" w:rsidP="00163957">
      <w:pPr>
        <w:pStyle w:val="TextoNormal"/>
      </w:pPr>
    </w:p>
    <w:p w:rsidR="00163957" w:rsidRDefault="00163957" w:rsidP="00163957">
      <w:pPr>
        <w:pStyle w:val="TextoNormal"/>
      </w:pPr>
      <w:r>
        <w:t>La demanda fue estimada por Sentencia del Juzgado de lo Social núm. 2 de Oviedo de 29 de agosto de 2013.</w:t>
      </w:r>
    </w:p>
    <w:p w:rsidR="00163957" w:rsidRDefault="00163957" w:rsidP="00163957">
      <w:pPr>
        <w:pStyle w:val="TextoNormal"/>
      </w:pPr>
    </w:p>
    <w:p w:rsidR="00163957" w:rsidRDefault="00163957" w:rsidP="00163957">
      <w:pPr>
        <w:pStyle w:val="TextoNormal"/>
      </w:pPr>
      <w:r>
        <w:t>b) Contra dicha Sentencia anunció e interpuso recurso de suplicación la representación procesal de las empresas demandadas ante la Sala de lo Social del Tribunal Superior de Justicia de Asturias, tramitado con el núm. 1898-2013.</w:t>
      </w:r>
    </w:p>
    <w:p w:rsidR="00163957" w:rsidRDefault="00163957" w:rsidP="00163957">
      <w:pPr>
        <w:pStyle w:val="TextoNormal"/>
      </w:pPr>
    </w:p>
    <w:p w:rsidR="00163957" w:rsidRDefault="00163957" w:rsidP="00163957">
      <w:pPr>
        <w:pStyle w:val="TextoNormal"/>
      </w:pPr>
      <w:r>
        <w:t>Concluida la tramitación del recurso de suplicación y dentro del plazo para dictar sentencia, por providencia de 14 de noviembre de 2013 la Sala acordó oír a las partes y al Ministerio Fiscal conforme a lo previsto en el art. 35.2 de la Ley Orgánica del Tribunal Constitucional (LOTC) para que alegasen sobre la pertinencia de plantear cuestión de inconstitucionalidad en relación con el art. 2 del Real Decreto-ley 20/2012, por posible vulneración del principio de irretroactividad de las disposiciones restrictivas de derechos individuales (art. 9.3 CE), en la medida en que suprime el derecho de los trabajadores a percibir la parte proporcional de la paga extra de diciembre de 2012 ya devengada a la fecha de entrada en vigor del Real Decreto-ley 20/2012 (15 de julio de 2012).</w:t>
      </w:r>
    </w:p>
    <w:p w:rsidR="00163957" w:rsidRDefault="00163957" w:rsidP="00163957">
      <w:pPr>
        <w:pStyle w:val="TextoNormal"/>
      </w:pPr>
    </w:p>
    <w:p w:rsidR="00163957" w:rsidRDefault="00163957" w:rsidP="00163957">
      <w:pPr>
        <w:pStyle w:val="TextoNormal"/>
      </w:pPr>
      <w:r>
        <w:t xml:space="preserve">c) El Ministerio Fiscal presentó escrito de alegaciones en el que consideraba pertinente que se plantease la cuestión de inconstitucionalidad. La representación procesal de las empresas demandadas puso de manifiesto que, a su juicio, la escueta fundamentación de la providencia de apertura del trámite de audiencia del art. 35.2 LOTC no satisface los juicios </w:t>
      </w:r>
      <w:r>
        <w:lastRenderedPageBreak/>
        <w:t>de aplicabilidad y relevancia. Por su parte, la representación procesal de la parte demandante se opuso al planteamiento de la cuestión por entender que es indudable que la aplicación retroactiva del art. 2 del Real Decreto-ley 20/2012 contraviene el art. 9.3 CE.</w:t>
      </w:r>
    </w:p>
    <w:p w:rsidR="00163957" w:rsidRDefault="00163957" w:rsidP="00163957">
      <w:pPr>
        <w:pStyle w:val="TextoNormal"/>
      </w:pPr>
    </w:p>
    <w:p w:rsidR="00163957" w:rsidRDefault="00163957" w:rsidP="00163957">
      <w:pPr>
        <w:pStyle w:val="TextoNormal"/>
      </w:pPr>
      <w:r>
        <w:t>d) Por Auto de 2 de julio de 2014, la Sala de lo Social del Tribunal Superior de Justicia de Asturias acordó plantear cuestión de inconstitucionalidad en relación con el art. 2 del Real Decreto-ley 20/2012.</w:t>
      </w:r>
    </w:p>
    <w:p w:rsidR="00163957" w:rsidRDefault="00163957" w:rsidP="00163957">
      <w:pPr>
        <w:pStyle w:val="TextoNormal"/>
      </w:pPr>
    </w:p>
    <w:p w:rsidR="00163957" w:rsidRDefault="00163957" w:rsidP="00163957">
      <w:pPr>
        <w:pStyle w:val="TextoNormal"/>
      </w:pPr>
      <w:r w:rsidRPr="00163957">
        <w:rPr>
          <w:rStyle w:val="NumeroAFNegritaCaracter"/>
        </w:rPr>
        <w:t>3</w:t>
      </w:r>
      <w:r>
        <w:t>. En su Auto de 2 de julio de 2014 la Sala de lo Social del Tribunal Superior de Justicia de Asturias considera que el art. 2 del Real Decreto-ley 20/2012 podría vulnerar el principio de irretroactividad de las disposiciones sancionadoras no favorables o restrictivas de derechos individuales, que garantiza el art. 9.3 CE, con fundamento en los razonamientos que a continuación se resumen:</w:t>
      </w:r>
    </w:p>
    <w:p w:rsidR="00163957" w:rsidRDefault="00163957" w:rsidP="00163957">
      <w:pPr>
        <w:pStyle w:val="TextoNormal"/>
      </w:pPr>
    </w:p>
    <w:p w:rsidR="00163957" w:rsidRDefault="00163957" w:rsidP="00163957">
      <w:pPr>
        <w:pStyle w:val="TextoNormal"/>
      </w:pPr>
      <w:r>
        <w:t>a) Tras una síntesis de los antecedentes de hecho y la transcripción del art. 2 del Real Decreto-ley 20/2012, se señala que está claro que tal disposición suprime la percepción de la paga extraordinaria del mes de diciembre del año 2012 para el personal laboral del sector público. Lo haría a partir de su entrada en vigor (15 de julio de 2012), sin precisar excepciones por derechos ya devengados. Estima la Sala que el Gobierno es plenamente consciente de la posibilidad de que haya comenzado a devengarse la paga extraordinaria cuya percepción se suprime, en tanto que en el apartado 1 del art. 2 del Real Decreto-ley 20/2012 se indica que la medida afecta a las cuantías “que corresponda percibir”, en tiempo verbal no condicional, admitiendo que el derecho ya se habría generado, no obstante lo cual cierra la puerta a su abono.</w:t>
      </w:r>
    </w:p>
    <w:p w:rsidR="00163957" w:rsidRDefault="00163957" w:rsidP="00163957">
      <w:pPr>
        <w:pStyle w:val="TextoNormal"/>
      </w:pPr>
    </w:p>
    <w:p w:rsidR="00163957" w:rsidRDefault="00163957" w:rsidP="00163957">
      <w:pPr>
        <w:pStyle w:val="TextoNormal"/>
      </w:pPr>
      <w:r>
        <w:t>Desde esa perspectiva, entiende la Sala que no es posible interpretar el art. 2 del Real Decreto-ley 20/2012 considerando que cabe abonar aquella parte de la paga extraordinaria de diciembre que ya se hubiera devengado a la fecha de la entrada en vigor de la citada norma. Así, “por mucho que ya se hubiera devengado la paga extraordinaria correspondiente a catorce días (del 1 al 14 de julio)”, la aplicación del citado artículo 2 impediría su abono. Atendiendo a la jurisprudencia de la Sala de lo Social del Tribunal Supremo que cita, según la cual las pagas extraordinarias son salario diferido y se devengan día a día, entiende la Sala que el art. 2 del Real Decreto-ley 20/2012 podría considerarse contrario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del Real Decreto-ley 20/2012.</w:t>
      </w:r>
    </w:p>
    <w:p w:rsidR="00163957" w:rsidRDefault="00163957" w:rsidP="00163957">
      <w:pPr>
        <w:pStyle w:val="TextoNormal"/>
      </w:pPr>
    </w:p>
    <w:p w:rsidR="00163957" w:rsidRDefault="00163957" w:rsidP="00163957">
      <w:pPr>
        <w:pStyle w:val="TextoNormal"/>
      </w:pPr>
      <w:r>
        <w:t>Expuesto lo que precede, indica la Sala que la norma cuestionada es determinante para el resultado del litigio y no admite una interpretación que la acomode a la Constitución. La pretensión formulada por la parte demandante es, justamente, que se mantenga incólume la percepción de la parte ya devengada de la paga extra de diciembre de 2012, a pesar de lo dispuesto en el art. 2 del Real Decreto-ley 20/2012.</w:t>
      </w:r>
    </w:p>
    <w:p w:rsidR="00163957" w:rsidRDefault="00163957" w:rsidP="00163957">
      <w:pPr>
        <w:pStyle w:val="TextoNormal"/>
      </w:pPr>
    </w:p>
    <w:p w:rsidR="00163957" w:rsidRDefault="00163957" w:rsidP="00163957">
      <w:pPr>
        <w:pStyle w:val="TextoNormal"/>
      </w:pPr>
      <w:r>
        <w:t xml:space="preserve">b) Seguidamente se refiere la Sala a la doctrina constitucional sobre la prohibición de retroactividad de las disposiciones sancionadoras no favorables o restrictivas de derechos individuales (art. 9.3 CE). Señala que, conforme a dicha doctrina, solo puede afirmarse que una norma es retroactiva a los efectos del citado precepto cuando incide sobre “relaciones </w:t>
      </w:r>
      <w:r>
        <w:lastRenderedPageBreak/>
        <w:t>consagradas” y afecta a “situaciones agotadas”. El espíritu restrictivo que impregna el art. 9.3 CE queda plasmado en la STC 89/2009, de 20 de abril, que ha aclarado que la mención de ese precepto constitucional a la “restricción de derechos individuales” ha de entenderse referido a las limitaciones introducidas en el ámbito de los derechos fundamentales y de las libertades públicas. A la vista de lo anterior, lo primero que hay que preguntarse es si en este caso estamos ante un derecho individual en el sentido apuntado desde esa consideración restrictiva, lo que entiende la Sala que merece una respuesta positiva. En tal sentido, se prosigue afirmando que los derechos retributivos del personal del sector público pertenecen a la esfera general de protección de la persona consagrados en el art. 35.1 CE, que reconoce el derecho a la remuneración suficiente (lo que, en principio, se correspondería sólo con el salario mínimo interprofesional) y también el derecho al trabajo (una de cuyas notas esenciales es su carácter remunerado). Por su parte el Estatuto de los Trabajadores, aprobado por el legislador en cumplimiento del mandato contenido en el art. 35.2 CE, reconoce en su artículo 31 el derecho del trabajador a dos gratificaciones extraordinarias al año, una en Navidad y otra en el mes que se determine por convenio colectivo o por acuerdo entre el empresario y los representantes de los trabajadores. A su vez, el art. 27 de la Ley 7/2007, de 12 de abril, del estatuto básico del empleado público, dispone que: “las retribuciones del personal laboral se determinarán de acuerdo con la legislación laboral, el convenio colectivo que sea aplicable y el contrato de trabajo, respetando en todo caso lo establecido en el art. 21 del presente Estatuto”; precepto este último —concluye la Sala— que vincula las retribuciones de los funcionarios y del personal laboral del sector público a los límites fijados en las leyes de presupuestos del Estado.</w:t>
      </w:r>
    </w:p>
    <w:p w:rsidR="00163957" w:rsidRDefault="00163957" w:rsidP="00163957">
      <w:pPr>
        <w:pStyle w:val="TextoNormal"/>
      </w:pPr>
    </w:p>
    <w:p w:rsidR="00163957" w:rsidRDefault="00163957" w:rsidP="00163957">
      <w:pPr>
        <w:pStyle w:val="TextoNormal"/>
      </w:pPr>
      <w:r>
        <w:t>Partiendo de este enfoque, se señala que el Tribunal Constitucional ha venido admitiendo con naturalidad el encaje en el supuesto de hecho del art. 9.3 CE en el caso de normas que, como la cuestionada, se inspiran en la finalidad de la contención del gasto público mediante la reducción retributiva. En este sentido se citan la STC 330/2005, de 15 de diciembre (en la que se niega que la regulación de la retribución para el personal de una Administración autonómica vulnere el art. 9.3 CE pero por motivos distintos a su no consideración como derechos individuales a los que alude el precepto) y el ATC 162/2012, de 13 de septiembre (que rechaza que la reducción de las retribuciones impuesta legalmente afecte al art. 9.3 CE, pero no por no tratarse de derechos individuales protegibles sino por no poseer efectos retroactivos al examinarse una regulación pro futuro). A la vista de todo ello, se considera que en el presente caso nos encontraríamos ante derechos individuales amparables por el principio de interdicción de retroactividad (art. 9.3 CE).</w:t>
      </w:r>
    </w:p>
    <w:p w:rsidR="00163957" w:rsidRDefault="00163957" w:rsidP="00163957">
      <w:pPr>
        <w:pStyle w:val="TextoNormal"/>
      </w:pPr>
    </w:p>
    <w:p w:rsidR="00163957" w:rsidRDefault="00163957" w:rsidP="00163957">
      <w:pPr>
        <w:pStyle w:val="TextoNormal"/>
      </w:pPr>
      <w:r>
        <w:t>c) A continuación analiza la Sala si el art. 2 del Real Decreto-ley 20/2012, al establecer la supresión de la paga extra de diciembre de 2012 para el personal laboral del sector público, supone una retroactividad prohibida por el art. 9.3 CE; esto es, la que incide sobre los efectos jurídicos ya producidos al amparo de una norma anteriormente vigente. Para ello, considera preciso determinar si el derecho a la paga extra de diciembre estaba ya consolidado, asumido e integrado en el patrimonio de los trabajadores cuando entró en vigor el Real Decreto-ley 20/2012 o si, por el contrario, se trataba de una expectativa de derecho, o de un derecho futuro o condicionado.</w:t>
      </w:r>
    </w:p>
    <w:p w:rsidR="00163957" w:rsidRDefault="00163957" w:rsidP="00163957">
      <w:pPr>
        <w:pStyle w:val="TextoNormal"/>
      </w:pPr>
    </w:p>
    <w:p w:rsidR="00163957" w:rsidRDefault="00163957" w:rsidP="00163957">
      <w:pPr>
        <w:pStyle w:val="TextoNormal"/>
      </w:pPr>
      <w:r>
        <w:t xml:space="preserve">Indica la Sala que, dado que la regulación legal de las pagas extraordinarias no ofrece respuesta a este interrogante (se limita a fijar el momento de su percepción), se ha de tener en cuenta la jurisprudencia de la Sala de lo Social del Tribunal Supremo en unificación de </w:t>
      </w:r>
      <w:r>
        <w:lastRenderedPageBreak/>
        <w:t>doctrina que se cita, que configura la paga extraordinaria como de devengo diario y de cobro aplazado. Tras ello, se pregunta la Sala si la posible inconstitucionalidad del art. 2 del Real Decreto-ley 20/2012 puede operar tomando como referencia un criterio jurisprudencial y llega a la conclusión de que la configuración normativa del derecho a las pagas extraordinarias se ve complementada por su configuración jurisprudencial, por lo que la respuesta habría de ser afirmativa. Se añade a este respecto que no estamos ante un pronunciamiento aislado de un tribunal menor, sino ante jurisprudencia, que, además, ha sido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00163957" w:rsidRDefault="00163957" w:rsidP="00163957">
      <w:pPr>
        <w:pStyle w:val="TextoNormal"/>
      </w:pPr>
    </w:p>
    <w:p w:rsidR="00163957" w:rsidRDefault="00163957" w:rsidP="00163957">
      <w:pPr>
        <w:pStyle w:val="TextoNormal"/>
      </w:pPr>
      <w:r>
        <w:t>Teniendo en cuenta todo lo anterior, concluye la Sala que “estamos ante un derecho que se genera día a día, incorporándose como tal al acervo patrimonial de los trabajadores”.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el art. 2 del Real Decreto-ley 20/2012 suprime, operando con ello “una retroactividad auténtica o de grado máximo”.</w:t>
      </w:r>
    </w:p>
    <w:p w:rsidR="00163957" w:rsidRDefault="00163957" w:rsidP="00163957">
      <w:pPr>
        <w:pStyle w:val="TextoNormal"/>
      </w:pPr>
    </w:p>
    <w:p w:rsidR="00163957" w:rsidRDefault="00163957" w:rsidP="00163957">
      <w:pPr>
        <w:pStyle w:val="TextoNormal"/>
      </w:pPr>
      <w:r>
        <w:t>d) Se pregunta a continuación la Sala en su Auto de planteamiento de la cuestión si, aun siendo esa retroactividad de grado máximo, puede resultar justificada por concurrir exigencias cualificadas del bien común que podrían imponerse excepcionalmente (STC 197/1992, de 19 de noviembre). La Abogacía del Estado alegó, en este sentido, la exigencia de unos fuertes ajustes presupuestarios provocados por la situación de crisis económica. Sostiene que la necesidad de reducir el déficit público que inspira la norma cuestionada constituiría ese objetivo de procurar el bien común y proteger el interés general, lo que permitiría exceptuar la interdicción de retroactividad. Discrepa la Sala de esta conclusión, porque considera que la crisis económica podría acaso justificar determinadas medidas restrictivas de derechos individuales como la cuestionada, pero no puede abrir la puerta, sin más, a que esas restricciones operen de modo retroactivo. Entiende la Sala que la excepción a la irretroactividad recogida en la doctrina constitucional debe interpretarse de forma restrictiva y que no cabe extenderla a toda medida de interés general. En otras palabras, estima la Sala que la reducción del déficit público puede justificar muchas medidas; no reúne sin embargo la nota de cualificación absolutamente excepcional que sería necesaria para sacrificar el principio constitucional de seguridad jurídica que sustenta la irretroactividad, en aras del bien común. Es el interés general lo que se ataca cuando se niega a quienes han prestado sus servicios al sector público el derecho a percibir el salario correspondiente. Se hace referencia también en el Auto de planteamiento a algunos pronunciamientos del Tribunal Europeo de Derechos Humanos en los que —según la Sala— este Tribunal mantiene una concepción cualificada del “interés general” y descarta que la pretensión de reducir el gasto público, por muy urgente y necesaria que sea, constituya sin más un “bien común”, que abra la puerta a exceptuar los básicos principios constitucionales de irretroactividad y seguridad jurídica, principios constitucionales que sí cabría identificar, en cambio, con el interés general de los ciudadanos.</w:t>
      </w:r>
    </w:p>
    <w:p w:rsidR="00163957" w:rsidRDefault="00163957" w:rsidP="00163957">
      <w:pPr>
        <w:pStyle w:val="TextoNormal"/>
      </w:pPr>
    </w:p>
    <w:p w:rsidR="00163957" w:rsidRDefault="00163957" w:rsidP="00163957">
      <w:pPr>
        <w:pStyle w:val="TextoNormal"/>
      </w:pPr>
      <w:r>
        <w:lastRenderedPageBreak/>
        <w:t>e) Finalmente, la Sala se plantea la posibilidad de que estemos ante una expropiación legislativa de derechos, pero rechaza tal posibilidad en tanto que la previsión de una hipotética compensación o devolución futura de cantidades en modo alguno resultaría asimilable al justo precio al que alude la Ley de expropiación forzosa. Añade que ni está garantizada,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todo del concepto de expropiación legislativa de derechos”.</w:t>
      </w:r>
    </w:p>
    <w:p w:rsidR="00163957" w:rsidRDefault="00163957" w:rsidP="00163957">
      <w:pPr>
        <w:pStyle w:val="TextoNormal"/>
      </w:pPr>
    </w:p>
    <w:p w:rsidR="00163957" w:rsidRDefault="00163957" w:rsidP="00163957">
      <w:pPr>
        <w:pStyle w:val="TextoNormal"/>
      </w:pPr>
      <w:r>
        <w:t>Por todo lo expuesto, la Sala de lo Social del Tribunal Superior de Justicia de Asturias concluye que el art. 2 del Real Decreto-ley 20/2012, en su aplicación al personal laboral del sector público, ha podido vulnerar el principio de irretroactividad de las disposiciones restrictivas de derechos individuales previsto en el art. 9.3 CE, al no contemplar excepción alguna respecto de las cuantías ya devengadas al momento de la entrada en vigor del Real Decreto-ley 20/2012.</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23 de septiembre de 2014, el Pleno de este Tribunal, a propuesta de la Sección Segunda, acordó admitir a trámite la cuestión de inconstitucionalidad, deferir a la Sala Primera el conocimiento de la misma conforme al art. 10.1 c) LOTC y dar traslado de la demanda y documentos presentados al Congreso de los Diputados y al Senado, por conducto de sus Presidentes, al Gobierno, a través del Ministro de Justicia, y al Fiscal General del Estado, para que en el improrrogable plazo de quince días pudieran personarse en el procedimiento y formular las alegaciones que estimasen convenientes (art. 37.3 LOTC). Asimismo se ordenó comunicar esta resolución a la Sala de lo Social del Tribunal Superior de Justicia de Asturias a fin de que, de conformidad con el art. 35.3 LOTC, permaneciese suspendido el proceso hasta que este Tribunal resolviese definitivamente la presente cuestión; y publicar la incoación de la cuestión en el “Boletín Oficial del Estado”. Por diligencia de ordenación de la Secretaría de Justicia del Pleno de la misma fecha se concedió un plazo de quince días a partir de la referida publicación para que, de conformidad con lo establecido en el art. 37.2 LOTC, quienes fuesen parte en el recurso de suplicación núm. 1898-2013 seguido en dicho órgano judicial pudieran personarse ante este Tribunal.</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que tuvo entrada en el Registro General de este Tribunal el 1 de octubre de 2014, el Presidente del Senado comunicó el acuerdo de la Mesa de la Cámara de personarse en el presente proceso constitucional, ofreciendo su colaboración a los efectos del art. 88.1 LOTC. El mismo ofrecimiento fue efectuado por la Mesa del Congreso de los Diputados y así fue comunicado por el Presidente de esa Cámara mediante escrito que tuvo entrada en el Registro General de este Tribunal el 3 de octubre de 2014.</w:t>
      </w:r>
    </w:p>
    <w:p w:rsidR="00163957" w:rsidRDefault="00163957" w:rsidP="00163957">
      <w:pPr>
        <w:pStyle w:val="TextoNormal"/>
      </w:pPr>
    </w:p>
    <w:p w:rsidR="00163957" w:rsidRDefault="00163957" w:rsidP="00163957">
      <w:pPr>
        <w:pStyle w:val="TextoNormal"/>
      </w:pPr>
      <w:r w:rsidRPr="00163957">
        <w:rPr>
          <w:rStyle w:val="NumeroAFNegritaCaracter"/>
        </w:rPr>
        <w:t>6</w:t>
      </w:r>
      <w:r>
        <w:t>. Por escrito registrado en este Tribunal el 15 de octubre de 2014, el Abogado del Estado se personó en el presente proceso constitucional y formuló las alegaciones que a continuación se resumen.</w:t>
      </w:r>
    </w:p>
    <w:p w:rsidR="00163957" w:rsidRDefault="00163957" w:rsidP="00163957">
      <w:pPr>
        <w:pStyle w:val="TextoNormal"/>
      </w:pPr>
    </w:p>
    <w:p w:rsidR="00163957" w:rsidRDefault="00163957" w:rsidP="00163957">
      <w:pPr>
        <w:pStyle w:val="TextoNormal"/>
      </w:pPr>
      <w:r>
        <w:lastRenderedPageBreak/>
        <w:t>Comienza señalando que aunque el Auto de planteamiento cuestiona la totalidad del extenso art. 2 del Real Decreto-ley 20/2012, se refiere en realidad solo al apartado 2.2 del artículo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imponer al legislador, con respeto a su libertad de configuración, el establecimiento de una expresa excepción a la supresión de la paga extraordinaria de Navidad (la correspondiente a la parte proporcional de los días 1 al 14 de julio de 2012).</w:t>
      </w:r>
    </w:p>
    <w:p w:rsidR="00163957" w:rsidRDefault="00163957" w:rsidP="00163957">
      <w:pPr>
        <w:pStyle w:val="TextoNormal"/>
      </w:pPr>
    </w:p>
    <w:p w:rsidR="00163957" w:rsidRDefault="00163957" w:rsidP="00163957">
      <w:pPr>
        <w:pStyle w:val="TextoNormal"/>
      </w:pPr>
      <w:r>
        <w:t>Niega el Abogado del Estado que el precepto cuestionado sea una “disposición sancionadora no favorable o restrictiva de derechos individuales” en el sentido del art. 9.3 CE. Indica, en tal sentido, que una norma que aspira a la contención del gasto de personal (como principal componente del gasto público) no es ni sancionadora, ni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163957" w:rsidRDefault="00163957" w:rsidP="00163957">
      <w:pPr>
        <w:pStyle w:val="TextoNormal"/>
      </w:pPr>
    </w:p>
    <w:p w:rsidR="00163957" w:rsidRDefault="00163957" w:rsidP="00163957">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lo está, por el contrario, la retroactividad “impropia o de grado medio” (que incide en situaciones jurídicas actuales aún no concluidas), pero que puede tener relevancia constitucional desde la perspectiva de la protección de la seguridad jurídica.</w:t>
      </w:r>
    </w:p>
    <w:p w:rsidR="00163957" w:rsidRDefault="00163957" w:rsidP="00163957">
      <w:pPr>
        <w:pStyle w:val="TextoNormal"/>
      </w:pPr>
    </w:p>
    <w:p w:rsidR="00163957" w:rsidRDefault="00163957" w:rsidP="00163957">
      <w:pPr>
        <w:pStyle w:val="TextoNormal"/>
      </w:pPr>
      <w:r>
        <w:t>Según el Auto de planteamiento, la cuestión radica en determinar si el derecho a la paga extraordinaria de Navidad, en cantidad proporcional a los días 1 al 14 de julio, “estaba ya consolidado, asumido e integrado en el patrimonio de los trabajadores cuando entró en vigor” el Real Decreto-ley 20/2012, o si se trataba, por el contrario, de una expectativa de derecho o de un derecho futuro o condicionado.</w:t>
      </w:r>
    </w:p>
    <w:p w:rsidR="00163957" w:rsidRDefault="00163957" w:rsidP="00163957">
      <w:pPr>
        <w:pStyle w:val="TextoNormal"/>
      </w:pPr>
    </w:p>
    <w:p w:rsidR="00163957" w:rsidRDefault="00163957" w:rsidP="00163957">
      <w:pPr>
        <w:pStyle w:val="TextoNormal"/>
      </w:pPr>
      <w:r>
        <w:t>Señala el Abogado del Estado que la propia Sala reconoce en el Auto de planteamiento de la cuestión que la regulación legal de las pagas extraordinarias no ofrece respuesta a esa pregunta, siendo el Tribunal Supremo el que ha hecho referencia a su devengo diario y cobro aplazado en su jurisprudencia. No obstante, a juicio del Abogado del Estado resulta evidente que una determinada interpretación jurisprudencial de un precepto legal no puede erigirse en parámetro de constitucionalidad de otra norma de rango legal. No puede pretenderse la inconstitucionalidad de esta última sobre la base del modo en que la jurisprudencia del Tri</w:t>
      </w:r>
      <w:r>
        <w:lastRenderedPageBreak/>
        <w:t>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Esta concepción es, por otro lado, perfectamente conforme con los arts. 26 y 31 de la Ley del estatuto de los trabajadores, así como con la doctrina de este Tribunal Constitucional en relación con los tributos de hecho imponible duradero; respecto a ellos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163957" w:rsidRDefault="00163957" w:rsidP="00163957">
      <w:pPr>
        <w:pStyle w:val="TextoNormal"/>
      </w:pPr>
    </w:p>
    <w:p w:rsidR="00163957" w:rsidRDefault="00163957" w:rsidP="00163957">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163957" w:rsidRDefault="00163957" w:rsidP="00163957">
      <w:pPr>
        <w:pStyle w:val="TextoNormal"/>
      </w:pPr>
    </w:p>
    <w:p w:rsidR="00163957" w:rsidRDefault="00163957" w:rsidP="00163957">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se insiste en que el análisis de la norma cuestionada ha de partir del contexto recesivo descrito.</w:t>
      </w:r>
    </w:p>
    <w:p w:rsidR="00163957" w:rsidRDefault="00163957" w:rsidP="00163957">
      <w:pPr>
        <w:pStyle w:val="TextoNormal"/>
      </w:pPr>
    </w:p>
    <w:p w:rsidR="00163957" w:rsidRDefault="00163957" w:rsidP="00163957">
      <w:pPr>
        <w:pStyle w:val="TextoNormal"/>
      </w:pPr>
      <w:r>
        <w:t xml:space="preserve">No comparte el Abogado del Estado que el Auto de planteamiento trate de restringir los supuestos en los que procede limitar el principio de irretroactividad y de seguridad jurídica, al identificar el “bien común” con “los grandes valores que cohesionan la sociedad” o con </w:t>
      </w:r>
      <w:r>
        <w:lastRenderedPageBreak/>
        <w:t>“los derechos fundamentales”, considerando, de esta manera, que la reducción del déficit no constituye un bien común. Entiende que tal postura chocaría con la doctrina constitucional que ha señalado que basta con la concurrencia de cualificadas exigencias “del bien común o de interés general” para admitir tales restricciones; “razón por la cual, pueden reputarse conforme a la Constitución modificaciones con cualquier grado de retroactividad cuando ‘existieran claras exigencias de interés general’” (por ejemplo, para evitar operaciones de elusión fiscal). Así las cosas, afirma el Abogado del Estado que no existe razón para negar la concurrencia de un “interés general”, dada la situación descrita de grave crisis económica.</w:t>
      </w:r>
    </w:p>
    <w:p w:rsidR="00163957" w:rsidRDefault="00163957" w:rsidP="00163957">
      <w:pPr>
        <w:pStyle w:val="TextoNormal"/>
      </w:pPr>
    </w:p>
    <w:p w:rsidR="00163957" w:rsidRDefault="00163957" w:rsidP="00163957">
      <w:pPr>
        <w:pStyle w:val="TextoNormal"/>
      </w:pPr>
      <w:r>
        <w:t>Finalmente, niega el Abogado del Estado que las Sentencias del Tribunal Europeo de Derechos Humanos citadas por el Auto de planteamiento puedan servir para avalar la tesis mantenida en el mismo. A diferencia de lo que ocurre en el presente caso, en tales supuestos se alegaron intereses difusos para proceder a la aplicación retroactiva de una medida que no la justificaba desde la perspectiva de la proporcionalidad. Se recuerda que, por el contrario, en el presente caso no existen motivos “difusos”, sino concretos de interés general. En realidad no asistiríamos a una reducción del sueldo de los empleados públicos sino a una “congelación” de la paga extra de diciembre con previsión de su devolución mediante su aportación a planes de pensiones en un horizonte no lejano; eso sí, en función de las necesidades y del equilibrio presupuestario. En definitiva, se concluye diciendo que, dado el interés público a que se trata de atender, resulta absolutamente proporcionado que únicamente se exija como sacrificio a los empleados públicos el aplazamiento temporal del abono de la parte proporcional de la paga extraordinaria correspondiente a los días 1 a 14 de julio de 2012; que es lo único que se discute en la presente cuestión de inconstitucionalidad. Por todo ello, se interesa la desestimación de la cuestión.</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registrado en este Tribunal el 24 de octubre de 2014, el Fiscal General del Estado evacuó el trámite de alegaciones, solicitando la declaración de inconstitucionalidad del precepto cuestionado, por considerarlo contrario al principio de irretroactividad de las disposiciones restrictivas de derechos individuales (art. 9.3 CE).</w:t>
      </w:r>
    </w:p>
    <w:p w:rsidR="00163957" w:rsidRDefault="00163957" w:rsidP="00163957">
      <w:pPr>
        <w:pStyle w:val="TextoNormal"/>
      </w:pPr>
    </w:p>
    <w:p w:rsidR="00163957" w:rsidRDefault="00163957" w:rsidP="00163957">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se ven concernidos derechos individuales que son expresión directa de la esfera general de protección de la persona. Además, afirma que la idea de sanción resultará robustecida en este caso, dado que se pretende extraer del patrimonio de los ciudadanos, sin indemnización, un bien o un derecho del que ya dispone.</w:t>
      </w:r>
    </w:p>
    <w:p w:rsidR="00163957" w:rsidRDefault="00163957" w:rsidP="00163957">
      <w:pPr>
        <w:pStyle w:val="TextoNormal"/>
      </w:pPr>
    </w:p>
    <w:p w:rsidR="00163957" w:rsidRDefault="00163957" w:rsidP="00163957">
      <w:pPr>
        <w:pStyle w:val="TextoNormal"/>
      </w:pPr>
      <w:r>
        <w:t xml:space="preserve">Llegados a este punto, pasa a analizar si la norma cuestionada contiene un grado de retroactividad permitido por el art. 9.3 CE, a la luz de la doctrina constitucional que sintetiza.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w:t>
      </w:r>
      <w:r>
        <w:lastRenderedPageBreak/>
        <w:t>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este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Entiende que en el caso ahora examinado sí existía esa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Tal hipótesis no puede suponer, sin embargo, un aval genérico para que con esa excusa el poder público pueda conducirse apartándose de una expresa previsión legal. Se añade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al conocimiento de la Sala de lo Social del Tribunal Superior de Justicia de Asturias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14 de julio de 2012.</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Por providencia de 28 de mayo de 2015 la Sala Primera acordó, de conformidad con lo dispuesto en el art. 88.1 LOTC, dirigir atenta comunicación a la empresa Hostelería Asturiana, S.A. (Hoasa)-Meliá Hotel Reconquista, a fin de que indicase a este Tribunal si, en </w:t>
      </w:r>
      <w:r>
        <w:lastRenderedPageBreak/>
        <w:t>atención a lo previsto en la disposición adicional duodécima de la Ley 36/2014, de presupuestos generales del Estado para el año 2015, o por cualquier otra circunstancia, han satisfecho al personal laboral de esa empresa,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 Requerimiento que fue reiterado por diligencia de la Secretaria de Justicia del Pleno de 15 de septiembre de 2015.</w:t>
      </w:r>
    </w:p>
    <w:p w:rsidR="00163957" w:rsidRDefault="00163957" w:rsidP="00163957">
      <w:pPr>
        <w:pStyle w:val="TextoNormal"/>
      </w:pPr>
    </w:p>
    <w:p w:rsidR="00163957" w:rsidRDefault="00163957" w:rsidP="00163957">
      <w:pPr>
        <w:pStyle w:val="TextoNormal"/>
      </w:pPr>
      <w:r w:rsidRPr="00163957">
        <w:rPr>
          <w:rStyle w:val="NumeroAFNegritaCaracter"/>
        </w:rPr>
        <w:t>9</w:t>
      </w:r>
      <w:r>
        <w:t>. En contestación a dicho requerimiento, por escrito registrado en este Tribunal el 4 de diciembre de 2015, el presidente del consejo de administración de Hostelería Asturiana, S.A. (Hoasa), ha informado que, en cumplimiento de lo previsto en la disposición adicional primera, apartado 4, de la Ley de la Junta General del Principado de Asturias 11/2014, de 29 de diciembre, de presupuestos generales para 2015, esta empresa pública autonómica ha abonado a los trabajadores de la plantilla del “Hotel Reconquista” el importe correspondiente al 24,04 por 100 del importe dejado de percibir por aplicación del art. 2.5 del Real Decreto-ley 20/2012, precepto que resulta de aplicación a estos trabajadores por percibir más de dos pagas extraordinarias al año.</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14 de enero de 2016 se señaló para deliberación y votación de la presente Sentencia el día 18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Sala de lo Social del Tribunal Superior de Justicia de Asturias plantea cuestión de inconstitucionalidad respecto del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y, en aquellos supuestos en los que el régimen retributivo aplicable no contemple la percepción de pagas extraordinarias o bien se perciban más de dos al año, el precepto determina que se reducirá una catorceava parte de las retribuciones anuales totales.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de la paga extraordinaria de diciembre al momento de la entrada en vigor del Real Decreto-ley 20/2012, que tuvo lugar el 15 de julio de 2012.</w:t>
      </w:r>
    </w:p>
    <w:p w:rsidR="00163957" w:rsidRDefault="00163957" w:rsidP="00163957">
      <w:pPr>
        <w:pStyle w:val="TextoNormal"/>
      </w:pPr>
    </w:p>
    <w:p w:rsidR="00163957" w:rsidRDefault="00163957" w:rsidP="00163957">
      <w:pPr>
        <w:pStyle w:val="TextoNormal"/>
      </w:pPr>
      <w:r>
        <w:t>En los términos recogidos en los antecedentes de esta Sentencia, el Fiscal General del Estado coincide con el juicio de inconstitucionalidad formulado por el Auto de planteamiento de la cuestión y por ello interesa la estimación de la misma, mientras que el Abogado del Estado solicita su desestimación.</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2</w:t>
      </w:r>
      <w:r>
        <w:t>. Con carácter previo al análisis de la cuestión planteada conviene realizar una serie de precisiones para acotar debidamente el objeto de la misma y el alcance de nuestro enjuiciamiento.</w:t>
      </w:r>
    </w:p>
    <w:p w:rsidR="00163957" w:rsidRDefault="00163957" w:rsidP="00163957">
      <w:pPr>
        <w:pStyle w:val="TextoNormal"/>
      </w:pPr>
    </w:p>
    <w:p w:rsidR="00163957" w:rsidRDefault="00163957" w:rsidP="00163957">
      <w:pPr>
        <w:pStyle w:val="TextoNormal"/>
      </w:pPr>
      <w:r>
        <w:t>a) En primer lugar, resulta obligado advertir, en consonancia con lo manifestado en sus alegaciones respectivas por el Fiscal General del Estado y el Abogado del Estado, que, si bien la Sala de lo Social del Tribunal Superior de Justicia de Asturias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expresado por el órgano judicial. La cuestión de inconstitucionalidad trae causa de un proceso de conflicto colectivo promovido por un comité de empresa con motivo de la minoración de retribuciones, por aplicación de las previsiones contenidas en el Real Decreto-ley 20/2012, a los trabajadores de una empresa pública autonómica (Hostelería Asturiana, S.A., titular del Hotel Reconquista), proceso en el que lo pretendido por la parte actora es justamente que se declare el derecho de los trabajadores de esa entidad a percibir la parte proporcional de la paga extra de diciembre de 2012 que consideran ya devengada al momento de la entrada en vigor del Real Decreto-ley 20/2012, porque, de acuerdo con el art. 9.3 CE, no cabe que la supresión de esa paga tenga efectos retroactivos.</w:t>
      </w:r>
    </w:p>
    <w:p w:rsidR="00163957" w:rsidRDefault="00163957" w:rsidP="00163957">
      <w:pPr>
        <w:pStyle w:val="TextoNormal"/>
      </w:pPr>
    </w:p>
    <w:p w:rsidR="00163957" w:rsidRDefault="00163957" w:rsidP="00163957">
      <w:pPr>
        <w:pStyle w:val="TextoNormal"/>
      </w:pPr>
      <w:r>
        <w:t>De este modo, en los términos en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extraordinaria de diciembre de 2012; también al apartado 2.2 del art. 2 del Real Decreto-ley 20/2012, que se refiere específicamente a la supresión de la paga extraordinaria de diciembre de 2012, o equivalente, al personal laboral del sector público y al apartado 2.5 del art. 2 del Real Decreto-ley 20/2012, que se refiere a aquellos supuestos en los que el régimen retributivo no contemple la percepción de pagas extraordinarias o bien se perciban más de dos al año, en cuyo caso se reducirá una catorceava parte de las retribuciones anuales totales: tal es el caso de los trabajadores del Hotel Reconquista, para los que el convenio colectivo de aplicación contempla el derecho a tres pagas extraordinarias.</w:t>
      </w:r>
    </w:p>
    <w:p w:rsidR="00163957" w:rsidRDefault="00163957" w:rsidP="00163957">
      <w:pPr>
        <w:pStyle w:val="TextoNormal"/>
      </w:pPr>
    </w:p>
    <w:p w:rsidR="00163957" w:rsidRDefault="00163957" w:rsidP="00163957">
      <w:pPr>
        <w:pStyle w:val="TextoNormal"/>
      </w:pPr>
      <w:r>
        <w:t>b) Por otra parte debe tenerse en cuenta que no se cuestiona por la Sala de lo Social del Tribunal Superior de Justicia de Asturias la medida de supresión de la paga extraordinaria de diciembre de 2012 o equivalente en sí misma considerada. Se cuestiona sólo en cuanto su aplicación haya podido suponer la infracción del principio de irretroactividad establecido en el 9.3 CE, al no contemplar excepción alguna respecto de las cuantías que se entienden ya devengadas a la fecha de entrada en vigor del Real Decreto-ley 20/2012 (que tuvo lugar el 15 de julio de 2012, conforme a su disposición final decimoquinta). A esta concreta duda (planteada a partir de la pretensión suscitada en el proceso a quo) deberá ceñirse nuestro enjuiciamiento.</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Delimitado el alcance de nuestra decisión, debemos remitirnos a lo dicho recientemente en la STC 83/2015, de 30 de abril, FJ 3, sobre la posible pérdida de objeto de la </w:t>
      </w:r>
      <w:r>
        <w:lastRenderedPageBreak/>
        <w:t>cuestión de inconstitucionalidad,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según establece el apartado 1.2, equivalentes a la parte proporcional correspondiente a los primeros cuarenta y cuatro días de la paga extraordinaria suprimida, o equivalentes al 24,04 por 100 dejado de percibir por la aplicación del Real Decreto-ley 20/2012 en los casos del personal cuyo régimen retributivo no contemple la percepción de pagas extraordinarias o bien que perciba más de dos al año.</w:t>
      </w:r>
    </w:p>
    <w:p w:rsidR="00163957" w:rsidRDefault="00163957" w:rsidP="00163957">
      <w:pPr>
        <w:pStyle w:val="TextoNormal"/>
      </w:pPr>
    </w:p>
    <w:p w:rsidR="00163957" w:rsidRDefault="00163957" w:rsidP="00163957">
      <w:pPr>
        <w:pStyle w:val="TextoNormal"/>
      </w:pPr>
      <w:r>
        <w:t>En el caso de la Comunidad Autónoma del Principado de Asturias, la Junta General del Principado aprobó la Ley 11/2014, de 29 de diciembre, de presupuestos generales para 2015, cuya disposición adicional primera, bajo el epígrafe “recuperación de la paga extraordinaria del mes de diciembre de 2012”, establece una regla similar a la contenida en la citada disposición adicional duodécima de la Ley 36/2014, de presupuestos generales del Estado para 2015. Determina en su apartado 2 que el personal de la Administración del Principado de Asturias, sus organismos y entes públicos, percibirá durante 2015 en concepto de recuperación de los importes dejados de percibir como consecuencia de la supresión de la paga extra de diciembre de 2012 por aplicación del Real Decreto-ley 20/2012, la cantidad equivalente a la parte proporcional correspondiente a los primeros 44 días de la paga extra suprimida. Para el personal cuyo régimen retributivo no contemple la percepción de pagas extraordinarias o bien perciba más de dos al año las cantidades que se reconozcan por este concepto serán las equivalentes al 24,04 por 100 dejado de percibir por la aplicación del Real Decreto-ley 20/2012. A su vez, el apartado 4 de la referida disposición adicional primera de la Ley asturiana 11/2014, de presupuestos generales para 2015, faculta a las empresas públicas asturianas (entre las que se encuentra Hostelería Asturiana, S.A., de conformidad con el art. 1 de dicha Ley), para aprobar en los mismos términos el abono de cantidades en concepto de recuperación de los importes dejados de percibir como consecuencia de la aplicación del Real Decreto-ley 20/2012.</w:t>
      </w:r>
    </w:p>
    <w:p w:rsidR="00163957" w:rsidRDefault="00163957" w:rsidP="00163957">
      <w:pPr>
        <w:pStyle w:val="TextoNormal"/>
      </w:pPr>
    </w:p>
    <w:p w:rsidR="00163957" w:rsidRDefault="00163957" w:rsidP="00163957">
      <w:pPr>
        <w:pStyle w:val="TextoNormal"/>
      </w:pPr>
      <w:r>
        <w:t>En el conflicto colectivo del que trae causa la presente cuestión de inconstitucionalidad se discute, como quedó dicho, el derecho de los trabajadores de una empresa del sector público asturiano (Hostelería Asturiana, S.A.) a percibir la parte proporcional de la paga extra de diciembre de 2012 ya devengada al momento de la entrada en vigor del Real Decreto-ley 20/2012, que suprimió el derecho a su percepción. Ello por estimar la parte demandante en el proceso a quo que la supresión de esa paga extra por la citada norma no puede tener efectos retroactivos por imperativo de lo dispuesto en el art. 9.3 CE.</w:t>
      </w:r>
    </w:p>
    <w:p w:rsidR="00163957" w:rsidRDefault="00163957" w:rsidP="00163957">
      <w:pPr>
        <w:pStyle w:val="TextoNormal"/>
      </w:pPr>
    </w:p>
    <w:p w:rsidR="00163957" w:rsidRDefault="00163957" w:rsidP="00163957">
      <w:pPr>
        <w:pStyle w:val="TextoNormal"/>
      </w:pPr>
      <w:r>
        <w:t xml:space="preserve">Al suscitarse sobre este extremo la duda de constitucionalidad que plantea el órgano judicial, es obligado constatar la recuperación por esos trabajadores de la parte proporcional correspondiente al 24,04 por 100 dejado de percibir por aplicación del Real Decreto-ley 20/2012, en virtud de lo establecido en la citada disposición adicional primera de la Ley asturiana 11/2014, de presupuestos generales para 2015; así lo pone de manifiesto el presidente del consejo de administración de Hostelería Asturiana, S.A., en su contestación al </w:t>
      </w:r>
      <w:r>
        <w:lastRenderedPageBreak/>
        <w:t>requerimiento efectuado por este Tribunal de conformidad con el art. 88.1 de la Ley Orgánica del Tribunal Constitucional, según ha quedado expuesto en el relato de antecedentes de la presente Sentencia.</w:t>
      </w:r>
    </w:p>
    <w:p w:rsidR="00163957" w:rsidRDefault="00163957" w:rsidP="00163957">
      <w:pPr>
        <w:pStyle w:val="TextoNormal"/>
      </w:pPr>
    </w:p>
    <w:p w:rsidR="00163957" w:rsidRDefault="00163957" w:rsidP="00163957">
      <w:pPr>
        <w:pStyle w:val="TextoNormal"/>
      </w:pPr>
      <w:r>
        <w:t>Todo ello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Declarar la extinción de la presente cuestión de inconstitucionalidad por desaparición sobrevenida de su objeto.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dieciocho de enero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8" w:name="SENTENCIA_2016_5"/>
      <w:r>
        <w:lastRenderedPageBreak/>
        <w:t>SENTENCIA 5/2016, de 21 de enero de 2016</w:t>
      </w:r>
    </w:p>
    <w:bookmarkEnd w:id="8"/>
    <w:p w:rsidR="00163957" w:rsidRDefault="00163957" w:rsidP="00163957">
      <w:pPr>
        <w:pStyle w:val="TtuloResolucin"/>
      </w:pPr>
      <w:r>
        <w:t>Pleno</w:t>
      </w:r>
    </w:p>
    <w:p w:rsidR="00163957" w:rsidRDefault="00163957" w:rsidP="00163957">
      <w:pPr>
        <w:pStyle w:val="TtuloBOE"/>
      </w:pPr>
      <w:r>
        <w:t>(BOE núm. 45, de 22 de febrero de 2016)</w:t>
      </w:r>
    </w:p>
    <w:p w:rsidR="00163957" w:rsidRDefault="00163957" w:rsidP="00163957">
      <w:pPr>
        <w:pStyle w:val="TextoNormalCentrado"/>
      </w:pPr>
      <w:r>
        <w:t>ECLI:ES:TC:2016:5</w:t>
      </w:r>
    </w:p>
    <w:p w:rsidR="00163957" w:rsidRDefault="00163957" w:rsidP="00163957">
      <w:pPr>
        <w:pStyle w:val="TextoNormalCentrado"/>
      </w:pPr>
    </w:p>
    <w:p w:rsidR="00163957" w:rsidRDefault="00163957" w:rsidP="00163957">
      <w:pPr>
        <w:pStyle w:val="SntesisDescriptiva"/>
      </w:pPr>
      <w:r>
        <w:t>Recurso de inconstitucionalidad 1886-2012. Interpuesto por el Consejo de Gobierno de la Generalitat de Cataluña respecto de diversos preceptos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w:t>
      </w:r>
    </w:p>
    <w:p w:rsidR="00163957" w:rsidRDefault="00163957" w:rsidP="00163957">
      <w:pPr>
        <w:pStyle w:val="SntesisDescriptiva"/>
      </w:pPr>
    </w:p>
    <w:p w:rsidR="00163957" w:rsidRDefault="00163957" w:rsidP="00163957">
      <w:pPr>
        <w:pStyle w:val="SntesisAnaltica"/>
      </w:pPr>
      <w:r>
        <w:t>Competencias sobre condiciones básicas de igualdad, ordenación general de la economía, medio ambiente, urbanismo y vivienda: nulidad de los preceptos legales estatales que regulan la inspección urbanística de los edificios (STC 61/1997).</w:t>
      </w:r>
    </w:p>
    <w:p w:rsidR="00163957" w:rsidRDefault="00163957" w:rsidP="00163957">
      <w:pPr>
        <w:pStyle w:val="SntesisAnaltica"/>
      </w:pPr>
    </w:p>
    <w:p w:rsidR="00163957" w:rsidRDefault="00163957" w:rsidP="00163957">
      <w:pPr>
        <w:pStyle w:val="Extracto"/>
      </w:pPr>
      <w:r>
        <w:t>1.</w:t>
      </w:r>
      <w:r>
        <w:tab/>
        <w:t>Se desestima la impugnación del precepto que determina los sujetos legitimados para participar en las actuaciones de rehabilitación urbana, pues la regulación no ocasiona ninguna invasión de las competencias urbanísticas de la Generalitat de Cataluña [FJ 3].</w:t>
      </w:r>
    </w:p>
    <w:p w:rsidR="00163957" w:rsidRDefault="00163957" w:rsidP="00163957">
      <w:pPr>
        <w:pStyle w:val="Extracto"/>
      </w:pPr>
    </w:p>
    <w:p w:rsidR="00163957" w:rsidRDefault="00163957" w:rsidP="00163957">
      <w:pPr>
        <w:pStyle w:val="Extracto"/>
      </w:pPr>
      <w:r>
        <w:t>2.</w:t>
      </w:r>
      <w:r>
        <w:tab/>
        <w:t>Procede declarar la inconstitucionalidad y nulidad de los preceptos que regulan la inspección técnica obligatoria de los inmuebles urbanos [FJ 4].</w:t>
      </w:r>
    </w:p>
    <w:p w:rsidR="00163957" w:rsidRDefault="00163957" w:rsidP="00163957">
      <w:pPr>
        <w:pStyle w:val="Extracto"/>
      </w:pPr>
    </w:p>
    <w:p w:rsidR="00163957" w:rsidRDefault="00163957" w:rsidP="00163957">
      <w:pPr>
        <w:pStyle w:val="Extracto"/>
      </w:pPr>
      <w:r>
        <w:t>3.</w:t>
      </w:r>
      <w:r>
        <w:tab/>
        <w:t>La participación de los particulares en la acción urbanística pública encuentra amparo en el art. 149.1.1 CE, aunque corresponda a las Comunidades Autónomas la concreta articulación de esa acción pública con la participación privada mediante la regulación de los sistemas de ejecución de los instrumentos urbanísticos (SSTC 61/1997 y 141/2014) [FJ 3].</w:t>
      </w:r>
    </w:p>
    <w:p w:rsidR="00163957" w:rsidRDefault="00163957" w:rsidP="00163957">
      <w:pPr>
        <w:pStyle w:val="Extracto"/>
      </w:pPr>
    </w:p>
    <w:p w:rsidR="00163957" w:rsidRDefault="00163957" w:rsidP="00163957">
      <w:pPr>
        <w:pStyle w:val="Extracto"/>
      </w:pPr>
      <w:r>
        <w:t>4.</w:t>
      </w:r>
      <w:r>
        <w:tab/>
        <w:t>La regulación de la inspección de edificios compete a las Comunidades Autónomas, sin que en las reglas establecidas en los preceptos impugnados se advierta un contenido o un objetivo que justifique su incardinación en los títulos competenciales del Estado [FJ 4].</w:t>
      </w:r>
    </w:p>
    <w:p w:rsidR="00163957" w:rsidRDefault="00163957" w:rsidP="00163957">
      <w:pPr>
        <w:pStyle w:val="Extracto"/>
      </w:pPr>
    </w:p>
    <w:p w:rsidR="00163957" w:rsidRDefault="00163957" w:rsidP="00163957">
      <w:pPr>
        <w:pStyle w:val="Extracto"/>
      </w:pPr>
      <w:r>
        <w:t>5.</w:t>
      </w:r>
      <w:r>
        <w:tab/>
        <w:t>La competencia del Estado para establecer las condiciones básicas de igualdad no lo habilita para abordar la regulación de simples técnicas o instrumentos urbanísticos de comprobación del cumplimiento de deberes de los propietarios [FJ 4].</w:t>
      </w:r>
    </w:p>
    <w:p w:rsidR="00163957" w:rsidRDefault="00163957" w:rsidP="00163957">
      <w:pPr>
        <w:pStyle w:val="Extracto"/>
      </w:pPr>
    </w:p>
    <w:p w:rsidR="00163957" w:rsidRDefault="00163957" w:rsidP="00163957">
      <w:pPr>
        <w:pStyle w:val="Extracto"/>
      </w:pPr>
      <w:r>
        <w:t>6.</w:t>
      </w:r>
      <w:r>
        <w:tab/>
        <w:t>Doctrina sobre la competencia para coordinar la planificación general de la actividad económica en relación con la competencia urbanística de las Comunidades Autónomas (SSTC 186/1988 y 141/2014) [FJ 4].</w:t>
      </w:r>
    </w:p>
    <w:p w:rsidR="00163957" w:rsidRDefault="00163957" w:rsidP="00163957">
      <w:pPr>
        <w:pStyle w:val="Extracto"/>
      </w:pPr>
    </w:p>
    <w:p w:rsidR="00163957" w:rsidRDefault="00163957" w:rsidP="00163957">
      <w:pPr>
        <w:pStyle w:val="Extracto"/>
      </w:pPr>
      <w:r>
        <w:t>7.</w:t>
      </w:r>
      <w:r>
        <w:tab/>
        <w:t>Doctrina sobre la competencia para establecer la legislación básica sobre protección del medio ambiente en relación con la competencia urbanística de las Comunidades Autónomas (SSTC 102/1995; 69/2013; 141/2014) [FJ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lastRenderedPageBreak/>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1886-2012, promovido por la Generalitat de Cataluña contra los arts. 17.1 c), 18.1, 19.2, 21, 22, 23, la disposición adicional tercera, las disposiciones transitorias primera y segunda y la disposición final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Ha sido parte el Abogado del Estado actuando en representación del Gobierno de la Nación. Ha sido ponente el Magistrado don Andrés Ollero Tassara,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30 de marzo de 2012 tuvo entrada en el Registro General del Tribunal Constitucional escrito de la Letrada de la Generalitat de Cataluña, actuando en representación y defensa de ésta. Mediante él interpuso recurso de inconstitucionalidad contra los arts. 17.1 c), 18.1, 19.2, 21, 22, 23, la disposición adicional tercera, las disposiciones transitorias primera y segunda y la disposición final primera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Los argumentos en los que se basa la demanda se exponen sucintamente a continuación.</w:t>
      </w:r>
    </w:p>
    <w:p w:rsidR="00163957" w:rsidRDefault="00163957" w:rsidP="00163957">
      <w:pPr>
        <w:pStyle w:val="TextoNormal"/>
      </w:pPr>
    </w:p>
    <w:p w:rsidR="00163957" w:rsidRDefault="00163957" w:rsidP="00163957">
      <w:pPr>
        <w:pStyle w:val="TextoNormal"/>
      </w:pPr>
      <w:r>
        <w:t>Tras una primera parte introductoria en la que se alude al fracaso del procedimiento de negociación iniciado para resolver las discrepancias competenciales, se analiza la finalidad y contenido de los preceptos impugnados y se expone el régimen de distribución de competencias en materia de urbanismo, la demanda se adentra en la argumentación de la inconstitucionalidad de los arts. 17.1 c), 18.1 y 19.2 del Real Decreto-ley 8/2011.</w:t>
      </w:r>
    </w:p>
    <w:p w:rsidR="00163957" w:rsidRDefault="00163957" w:rsidP="00163957">
      <w:pPr>
        <w:pStyle w:val="TextoNormal"/>
      </w:pPr>
    </w:p>
    <w:p w:rsidR="00163957" w:rsidRDefault="00163957" w:rsidP="00163957">
      <w:pPr>
        <w:pStyle w:val="TextoNormal"/>
      </w:pPr>
      <w:r>
        <w:t xml:space="preserve">En relación con el art. 17.1 c) in fine se afirma que este precepto equipara las actuaciones de regeneración urbana a las actuaciones de renovación y rehabilitación urbana reguladas en el art. 110 de la Ley de economía sostenible, que les atribuye la condición de actuaciones de transformación urbanística establecidas en el art. 14.1 a).2 y b) del texto refundido de la </w:t>
      </w:r>
      <w:r>
        <w:lastRenderedPageBreak/>
        <w:t>Ley de suelo de 20 de junio de 2008. Asimismo dispone que su aprobación podrá realizarse a través del planeamiento urbanístico o de otro instrumento específico que deberá enmarcarse en una estrategia municipal global o unitaria cuando tenga carácter integral y articule medidas sociales, ambientales y económicas. Se adentra luego en la determinación de los instrumentos normativos idóneos para llevar a cabo las actuaciones de transformación urbanística, dentro de la materia urbanismo de competencia exclusiva de la Generalitat de Cataluña. En consecuencia, en la medida en que la previsión del art. 17.1 c) in fine prevé que las actuaciones de regeneración urbana se efectúen a través de otros instrumentos jurídicos distintos de los planes urbanísticos, invadiría la competencia exclusiva que el art. 149.5 c) del Estatuto de Autonomía de Cataluña (EAC) otorga a la Generalitat de Cataluña para establecer y regular los instrumentos de planificación y gestión urbanística. Rechaza que la regulación pueda encontrar amparo en los apartados 1, 13 y 23 del art. 149.1 CE. Por una parte, tiene por objeto fijar condiciones básicas de igualdad desde la perspectiva subjetiva de los titulares de derechos constitucionales, ni guarda una relación directa e inmediata con la dirección y planificación de la actividad económica; por otra parte, no constituye un límite para evitar los efectos medioambientales negativos que puedan resultar de la realización de actuaciones de transformación urbanística de regeneración urbana.</w:t>
      </w:r>
    </w:p>
    <w:p w:rsidR="00163957" w:rsidRDefault="00163957" w:rsidP="00163957">
      <w:pPr>
        <w:pStyle w:val="TextoNormal"/>
      </w:pPr>
    </w:p>
    <w:p w:rsidR="00163957" w:rsidRDefault="00163957" w:rsidP="00163957">
      <w:pPr>
        <w:pStyle w:val="TextoNormal"/>
      </w:pPr>
      <w:r>
        <w:t>Recuerda la Abogada de la Generalitat de Cataluña que el art. 110.4 de la Ley de economía sostenible ya contempló en su momento la posibilidad de que estas actuaciones de transformación urbanística de renovación y rehabilitación urbana pudieran aprobarse no sólo a través del planeamiento urbanístico, sino también mediante otro procedimiento e instrumento específico de carácter reglamentario. Este precepto de la Ley de economía sostenible ha sido impugnado por el recurso de inconstitucionalidad núm. 6596-2011, por entenderse que invadía la competencia urbanística autonómica.</w:t>
      </w:r>
    </w:p>
    <w:p w:rsidR="00163957" w:rsidRDefault="00163957" w:rsidP="00163957">
      <w:pPr>
        <w:pStyle w:val="TextoNormal"/>
      </w:pPr>
    </w:p>
    <w:p w:rsidR="00163957" w:rsidRDefault="00163957" w:rsidP="00163957">
      <w:pPr>
        <w:pStyle w:val="TextoNormal"/>
      </w:pPr>
      <w:r>
        <w:t>En relación con el artículo 18.1, se argumenta que este precepto establece los ámbitos espaciales, continuos o discontinuos, que pueden abarcar las actuaciones de regeneración urbana. Impone a las actuaciones que prevean intervenciones de demolición, renovación o sustitución de viviendas o edificios completos —a las que atribuye en todo caso la condición de actuaciones de transformación urbanística reguladas en el art. 14.1 a).2.i.b) del texto refundido de la Ley de suelo de 2008—, el límite de no afectar a más del 50 por 100 de las edificaciones de las viviendas o de la edificabilidad. Esta norma invadiría “el ámbito de urbanismo objetivo que según el art. 149.5 del EAC corresponde a la competencia exclusiva de la Generalidad de Cataluña”. Tampoco aquí, según la Abogada de la Generalitat, puede encontrar la regulación amparo en el art. 149.1, 13 o 23 CE “ya que la limitación sobre el porcentaje de demolición, renovación o sustitución de edificios que establece no tiene por objeto fijar condiciones básicas de igualdad desde la perspectiva subjetiva de los titulares de derechos constitucionales, ni guarda una relación directa e inmediata con la dirección y planificación de la actividad económica, ni tampoco constituye un límite impuesto a la actividad de transformación urbanística para evitar los efectos medioambientalmente negativos que de ella pudieran derivarse”.</w:t>
      </w:r>
    </w:p>
    <w:p w:rsidR="00163957" w:rsidRDefault="00163957" w:rsidP="00163957">
      <w:pPr>
        <w:pStyle w:val="TextoNormal"/>
      </w:pPr>
    </w:p>
    <w:p w:rsidR="00163957" w:rsidRDefault="00163957" w:rsidP="00163957">
      <w:pPr>
        <w:pStyle w:val="TextoNormal"/>
      </w:pPr>
      <w:r>
        <w:t xml:space="preserve">El artículo 19.2 también se reputa contrario a las competencias urbanísticas de la Generalitat, puesto que habilita a las asociaciones de sujetos legitimados a participar en las actuaciones de regeneración urbana para que formulen los instrumentos de ordenación u otros análogos y para que procedan a la ejecución de las obras de regeneración previstas en dichos instrumentos. No fija, pues, tampoco condiciones básicas de igualdad en ejercicio de los </w:t>
      </w:r>
      <w:r>
        <w:lastRenderedPageBreak/>
        <w:t>derechos constitucionales, ni establece medidas que guarden relación directa o inmediata con la dirección y planificación de la actividad económica, ni —menos aún— impone limitaciones a la actividad de transformación urbanística para evitar los efectos medioambientales negativos que de ella pudieran derivarse; se limita a regular la actividad de formulación y ejecución de las actuaciones de transformación urbanística de regeneración urbana.</w:t>
      </w:r>
    </w:p>
    <w:p w:rsidR="00163957" w:rsidRDefault="00163957" w:rsidP="00163957">
      <w:pPr>
        <w:pStyle w:val="TextoNormal"/>
      </w:pPr>
    </w:p>
    <w:p w:rsidR="00163957" w:rsidRDefault="00163957" w:rsidP="00163957">
      <w:pPr>
        <w:pStyle w:val="TextoNormal"/>
      </w:pPr>
      <w:r>
        <w:t>Se ocupa a continuación la demanda de los preceptos que regulan la inspección técnica de edificios. Señala que los mismos imponen la inspección técnica de los edificios destinados preferentemente a uso residencial de una antigüedad superior a 50 años pertenecientes a municipios de población superior a los 25.000 habitantes, salvo que la legislación autonómica establezca otros parámetros de antigüedad o poblacionales distintos. Condicionan también, cuando se detecten deficiencias, la eficacia de las inspecciones técnicas de edificios, justificativas del cumplimiento del deber legal de conservación de los inmuebles, a la certificación acreditativa de la efectiva realización de las obras requeridas para su subsanación. Fijan el año 2015 como plazo máximo para efectuar la inspección técnica de los edificios destinados preferentemente a uso residencial de los municipios de población superior a 25.000 habitantes que a la entrada en vigor del Real Decreto-ley 8/2011 tuvieran una antigüedad superior a los 50 años. Atribuyen por último a las Administraciones competentes la facultad de elaborar, antes del 7 de julio de 2012, un calendario para la realización ordenada de las inspecciones de edificios en función de su antigüedad. Este contenido, según la Abogada de la Generalitat, “pone de relieve su incidencia en las condiciones de conservación de los edificios de vivienda y en las potestades de las Administraciones públicas destinadas a su control y por ello su relación con la materia vivienda, al ser los edificios de vivienda el objetivo primordial de la inspección técnica de edificios que se instaura, así como su relación con la materia urbanismo, en la medida en que ésta comprende las potestades de intervención del uso del suelo y la edificación [STC 61/1997, FJ 6 a)], entre las que se incluyen las de controlar el cumplimiento del deber legal de conservación de los inmuebles y de adoptar las medidas de policía administrativa necesarias para imponer su cumplimiento coactivo en caso de incumplimiento”.</w:t>
      </w:r>
    </w:p>
    <w:p w:rsidR="00163957" w:rsidRDefault="00163957" w:rsidP="00163957">
      <w:pPr>
        <w:pStyle w:val="TextoNormal"/>
      </w:pPr>
    </w:p>
    <w:p w:rsidR="00163957" w:rsidRDefault="00163957" w:rsidP="00163957">
      <w:pPr>
        <w:pStyle w:val="TextoNormal"/>
      </w:pPr>
      <w:r>
        <w:t>Se explica, a continuación, en la demanda que el art. 149 EAC atribuye a la Generalitat las competencias exclusivas en materia de urbanismo y vivienda que comprenden el régimen de intervención administrativa sobre la edificación y los usos del suelo. Cataluña cuenta con una regulación propia de la inspección técnica de los edificios de vivienda (Ley 18/2007, de 28 de diciembre, del derecho a la vivienda y Decreto 187/2010, de 23 de noviembre, sobre la inspección técnica de los edificios de vivienda) que garantiza sus niveles de calidad, su contenido y sus efectos, indicándose los inmuebles a ella sujetos y el calendario para su realización. La regulación estatal que se impugna no podría encontrar amparo en la competencia estatal ex art. 149.1.13 CE aplicada al ámbito de la vivienda; no se trata de normas generales que afecten a la construcción y venta o alquiler de las viviendas, ni tampoco prevén ayudas para garantizar el acceso de los ciudadanos a una vivienda digna y adecuada, o dirigidas a que los propietarios cumplan sus deberes legales de conservación y rehabilitación de viviendas; se limitan a instaurar la inspección técnica obligatoria de los edificios destinados preferentemente a vivienda de más de 50 años, como mecanismo preventivo de control sobre el cumplimiento de los propietarios de sus deberes legales de conservación y de rehabilitación e instrumento de evaluación del estado de conservación del parque inmobiliario de uso residencial.</w:t>
      </w:r>
    </w:p>
    <w:p w:rsidR="00163957" w:rsidRDefault="00163957" w:rsidP="00163957">
      <w:pPr>
        <w:pStyle w:val="TextoNormal"/>
      </w:pPr>
    </w:p>
    <w:p w:rsidR="00163957" w:rsidRDefault="00163957" w:rsidP="00163957">
      <w:pPr>
        <w:pStyle w:val="TextoNormal"/>
      </w:pPr>
      <w:r>
        <w:lastRenderedPageBreak/>
        <w:t>Tampoco, según la Abogada de la Generalitat, cuenta la regulación estatal con cobertura en el art. 149.1.1 y 23 CE puesto que el primer título competencial (art. 149.1.1 CE) habilita al legislador únicamente para establecer unas condiciones básicas referidas al contenido primario del derecho; a las facultades elementales, límites esenciales, deberes fundamentales o prestaciones básicas que tengan una relación estrecha, directa e inmediata con los derechos y deberes que la Constitución reconoce. El segundo (art. 149.1.23 CE) no puede utilizarse para afectar a otros sectores materiales como el de la vivienda, yendo más allá del establecimiento de aquellas limitaciones específicas de la actividad sectorial que resulten necesarias para evitar los riesgos o efectos negativos que su ejercicio pueda ocasionar al medio ambiente.</w:t>
      </w:r>
    </w:p>
    <w:p w:rsidR="00163957" w:rsidRDefault="00163957" w:rsidP="00163957">
      <w:pPr>
        <w:pStyle w:val="TextoNormal"/>
      </w:pPr>
    </w:p>
    <w:p w:rsidR="00163957" w:rsidRDefault="00163957" w:rsidP="00163957">
      <w:pPr>
        <w:pStyle w:val="TextoNormal"/>
      </w:pPr>
      <w:r>
        <w:t>Por el contrario, dice la demanda, los arts. 21 y 22, la disposición adicional tercera y las disposiciones transitorias primera y segunda del Real Decreto-ley 8/2011 encajan plenamente en las competencias autonómicas en materia de urbanismo y vivienda. Los arts. 21, 22 y la disposición adicional tercera del Real Decreto-ley 8/2011 sujetan a los edificios de vivienda de antigüedad superior a 50 años de municipios de más de 25.000 habitantes a una inspección técnica obligatoria. Les exigen la subsanación de las deficiencias que eventualmente se detecten, instaurando una medida de limitación administrativa de carácter preventivo para controlar que los titulares de los inmuebles cumplen con su deber legal de conservación, así como un mecanismo para exigir la subsanación de deficiencias. Estas medidas de policía administrativa, según la Abogada de la Generalitat, no tendrían cobertura en la competencia para fijar las condiciones básicas de igualdad de los titulares de derechos y deberes constitucionales que el art. 149.1.1 CE atribuye al Estado; no definen las posiciones jurídicas primarias de los propietarios de inmuebles en orden a su deber de conservación, ni tampoco se imponen por igual y con carácter uniforme a todos los propietarios de edificios de vivienda de más de 50 años de antigüedad. Instauran unas técnicas de intervención administrativa destinadas a comprobar el cumplimiento de dicho deber de conservación y a imponer, si procede, su cumplimiento coactivo. Todo esto pone de relieve que no formulan una regulación del deber de conservación desde la perspectiva subjetiva de los titulares de los derechos y deberes constitucionales, “sino que establecen una regulación objetiva … dirigida como se reconoce en el Preámbulo del Real Decreto-ley 8/2011, a impulsar la rehabilitación de los edificios de vivienda en las grandes y medianas poblaciones, que penetra en el ámbito material de los sectores de la vivienda y del urbanismo, sobre los que se proyecta el deber de conservación de los titulares de los inmuebles, de competencia autonómica, por lo que tales preceptos carecen de la cobertura del art. 149.1.1 de la Constitución”.</w:t>
      </w:r>
    </w:p>
    <w:p w:rsidR="00163957" w:rsidRDefault="00163957" w:rsidP="00163957">
      <w:pPr>
        <w:pStyle w:val="TextoNormal"/>
      </w:pPr>
    </w:p>
    <w:p w:rsidR="00163957" w:rsidRDefault="00163957" w:rsidP="00163957">
      <w:pPr>
        <w:pStyle w:val="TextoNormal"/>
      </w:pPr>
      <w:r>
        <w:t xml:space="preserve">Examina a continuación la demanda el engarce de la regulación con el art. 149.1.13 CE. Se descarta por entender que, si bien es cierto que al amparo de este título el Estado puede establecer directrices y criterios globales de ordenación del sector de la vivienda e incluso prever acciones o medidas singulares y que en el preámbulo del Real Decreto-ley se contempla la rehabilitación como nuevo ámbito de crecimiento sólido y sostenible, se trata de una afirmación retórica y alejada de la realidad de las cosas. Resultaría ilusorio pensar que mediante un sistema de control preventivo y obligatorio sobre el estado de la conservación de los inmuebles de vivienda pueda lograrse dinamizar el sector de la construcción. Ese control además en cuanto a sus efectos se encuentra con el límite de los deberes de conservación que se imponen a los propietarios conforme al art. 9.1 del texto refundido de la Ley </w:t>
      </w:r>
      <w:r>
        <w:lastRenderedPageBreak/>
        <w:t>de suelo 2008. Esto implica que quedan excluidas todas las obras de renovación y embellecimiento de las viviendas y elementos comunes de los edificios, que son las que generan un mayor volumen de actividad en el sector de la rehabilitación.</w:t>
      </w:r>
    </w:p>
    <w:p w:rsidR="00163957" w:rsidRDefault="00163957" w:rsidP="00163957">
      <w:pPr>
        <w:pStyle w:val="TextoNormal"/>
      </w:pPr>
    </w:p>
    <w:p w:rsidR="00163957" w:rsidRDefault="00163957" w:rsidP="00163957">
      <w:pPr>
        <w:pStyle w:val="TextoNormal"/>
      </w:pPr>
      <w:r>
        <w:t>Descarta también la Abogada de la Generalitat que la imposición por el Estado de la obligación de la inspección técnica de los edificios pueda ampararse en el art. 149.1.23 CE. Esta inspección no se dirige a garantizar el mínimo denominador común de sostenibilidad ambiental exigible a los edificios de vivienda, ni tampoco fija un límite establecido para impedir los efectos medioambientales negativos del sector de la vivienda o del urbanismo; es un mero instrumento preventivo de control para comprobar si los titulares dominicales cumplen su deber legal de conservación de los inmuebles destinados a vivienda, lo que no guarda una relación directa con el medio ambiente.</w:t>
      </w:r>
    </w:p>
    <w:p w:rsidR="00163957" w:rsidRDefault="00163957" w:rsidP="00163957">
      <w:pPr>
        <w:pStyle w:val="TextoNormal"/>
      </w:pPr>
    </w:p>
    <w:p w:rsidR="00163957" w:rsidRDefault="00163957" w:rsidP="00163957">
      <w:pPr>
        <w:pStyle w:val="TextoNormal"/>
      </w:pPr>
      <w:r>
        <w:t>Concluye, por tanto, la demanda que los artículos 21, 22, disposición adicional tercera y disposiciones transitorias primera y segunda invaden las competencias de la Generalitat en materia de vivienda y urbanismo.</w:t>
      </w:r>
    </w:p>
    <w:p w:rsidR="00163957" w:rsidRDefault="00163957" w:rsidP="00163957">
      <w:pPr>
        <w:pStyle w:val="TextoNormal"/>
      </w:pPr>
    </w:p>
    <w:p w:rsidR="00163957" w:rsidRDefault="00163957" w:rsidP="00163957">
      <w:pPr>
        <w:pStyle w:val="TextoNormal"/>
      </w:pPr>
      <w:r>
        <w:t>Denuncia, por último, la demanda la inconstitucionalidad del artículo 23 que regula la intervención administrativa sobre los actos de edificación y uso del suelo. Sostiene la Abogada de la Generalitat de Cataluña que el apartado 1 del artículo 23 es inconstitucional in totum por razones competenciales. Al establecer el legislador estatal un acto de intervención administrativa concreto —acto expreso de conformidad— en determinados sectores de actividad (agrícola, forestal, urbanístico, paisajístico, vivienda, etc.), cuando la competencia en esos sectores corresponde a la Comunidad Autónoma de Cataluña, está procediendo a una invasión competencial. Tal regulación no podría encontrar amparo en los apartados 1 y 18 del artículo 149 CE, puesto que dicho acto de intervención administrativa no tiene naturaleza de condición básica de igualdad al no guardar una relación directa e inmediata con derechos constitucionales; tampoco puede considerarse base del régimen jurídico de las Administraciones públicas porque no incide en la definición de unas estructuras organizativas y un régimen unitario de funcionamiento de las Administraciones, ni forma parte del procedimiento administrativo común ya que se trata de una mera medida de policía administrativa.</w:t>
      </w:r>
    </w:p>
    <w:p w:rsidR="00163957" w:rsidRDefault="00163957" w:rsidP="00163957">
      <w:pPr>
        <w:pStyle w:val="TextoNormal"/>
      </w:pPr>
    </w:p>
    <w:p w:rsidR="00163957" w:rsidRDefault="00163957" w:rsidP="00163957">
      <w:pPr>
        <w:pStyle w:val="TextoNormal"/>
      </w:pPr>
      <w:r>
        <w:t>El apartado 2 del artículo 23, por su parte, tampoco encuentra amparo —denuncia la Abogada de la Generalitat— en la competencia sobre procedimiento administrativo común. El silencio negativo que establece no constituye una norma general aplicable a todos los procedimientos, sino una regla particular para procedimientos específicos autorizadores de las actuaciones relacionadas en el apartado 1 del art. 23 del Real Decreto-ley 8/2011; su establecimiento, dado que se trata de procedimientos especiales y atendida la naturaleza adjetiva de la competencia en materia de procedimiento administrativo, corresponde a los respectivos legisladores sectoriales.</w:t>
      </w:r>
    </w:p>
    <w:p w:rsidR="00163957" w:rsidRDefault="00163957" w:rsidP="00163957">
      <w:pPr>
        <w:pStyle w:val="TextoNormal"/>
      </w:pPr>
    </w:p>
    <w:p w:rsidR="00163957" w:rsidRDefault="00163957" w:rsidP="00163957">
      <w:pPr>
        <w:pStyle w:val="TextoNormal"/>
      </w:pPr>
      <w:r>
        <w:t xml:space="preserve">Por otra parte, el apartado 2 del artículo 23 se considera también inconstitucional por vulneración del principio de interdicción de la arbitrariedad de los poderes públicos. Impone la regla del silencio negativo en la mayor parte de las actuaciones urbanísticas y en todas las actuaciones relacionadas con el uso del suelo que se realicen en otros sectores como el agrícola o forestal. No existe una motivación que acredite la racionalidad de la medida, incumpliendo la propia autolimitación impuesta por el legislador en el art. 43 de la Ley de </w:t>
      </w:r>
      <w:r>
        <w:lastRenderedPageBreak/>
        <w:t>régimen jurídico de las Administraciones públicas y del procedimiento administrativo común cuando se trata de excepcionar la regla general del silencio positivo consagrada en el mismo.</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8 de mayo de 2012, el Pleno acordó admitir a trámite el recurso de inconstitucionalidad y dar traslado de la demanda y documentos presentados al Congreso de los Diputados, al Senado y al Gobierno, para que pudieran personarse en el proceso y formular las alegaciones que estimaren convenientes. Ordenó a la vez la publicación de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registrado el 17 de mayo de 2012, el Abogado del Estado se personó y solicitó una prórroga del plano para formular alegaciones, que le fue concedida por providencia de 21 de mayo de 2012.</w:t>
      </w:r>
    </w:p>
    <w:p w:rsidR="00163957" w:rsidRDefault="00163957" w:rsidP="00163957">
      <w:pPr>
        <w:pStyle w:val="TextoNormal"/>
      </w:pPr>
    </w:p>
    <w:p w:rsidR="00163957" w:rsidRDefault="00163957" w:rsidP="00163957">
      <w:pPr>
        <w:pStyle w:val="TextoNormal"/>
      </w:pPr>
      <w:r w:rsidRPr="00163957">
        <w:rPr>
          <w:rStyle w:val="NumeroAFNegritaCaracter"/>
        </w:rPr>
        <w:t>4</w:t>
      </w:r>
      <w:r>
        <w:t>. Por sendos escritos de los Presidentes del Senado y del Congreso, registrados el 23 y 24 de mayo de 2012 respectivamente, ambas Cámaras se personaron y ofrecieron su colaboración.</w:t>
      </w:r>
    </w:p>
    <w:p w:rsidR="00163957" w:rsidRDefault="00163957" w:rsidP="00163957">
      <w:pPr>
        <w:pStyle w:val="TextoNormal"/>
      </w:pPr>
    </w:p>
    <w:p w:rsidR="00163957" w:rsidRDefault="00163957" w:rsidP="00163957">
      <w:pPr>
        <w:pStyle w:val="TextoNormal"/>
      </w:pPr>
      <w:r w:rsidRPr="00163957">
        <w:rPr>
          <w:rStyle w:val="NumeroAFNegritaCaracter"/>
        </w:rPr>
        <w:t>5</w:t>
      </w:r>
      <w:r>
        <w:t>. El 15 de junio de 2012, tuvo entrada en el Registro General del Tribunal Constitucional el escrito de alegaciones del Abogado del Estado, cuyo contenido se resume a continuación.</w:t>
      </w:r>
    </w:p>
    <w:p w:rsidR="00163957" w:rsidRDefault="00163957" w:rsidP="00163957">
      <w:pPr>
        <w:pStyle w:val="TextoNormal"/>
      </w:pPr>
    </w:p>
    <w:p w:rsidR="00163957" w:rsidRDefault="00163957" w:rsidP="00163957">
      <w:pPr>
        <w:pStyle w:val="TextoNormal"/>
      </w:pPr>
      <w:r>
        <w:t>Tras exponer el objeto del recurso, el contexto normativo de los preceptos impugnados y su encuadramiento competencial, el Abogado del Estado justifica la constitucionalidad de los artículos recurridos comenzando por los relativos a la rehabilitación urbana.</w:t>
      </w:r>
    </w:p>
    <w:p w:rsidR="00163957" w:rsidRDefault="00163957" w:rsidP="00163957">
      <w:pPr>
        <w:pStyle w:val="TextoNormal"/>
      </w:pPr>
    </w:p>
    <w:p w:rsidR="00163957" w:rsidRDefault="00163957" w:rsidP="00163957">
      <w:pPr>
        <w:pStyle w:val="TextoNormal"/>
      </w:pPr>
      <w:r>
        <w:t>En relación con el artículo 17.1 c), argumenta que se limita a contener una definición de las actuaciones de regeneración urbana que constituyen el objeto del texto legal. No implica, por tanto, mandato normativo con virtualidad para invadir competencia autonómica alguna, debiendo considerarse competencialmente inocuo; lo único que pretende el precepto es distinguir estas operaciones del resto de las de rehabilitación (conservación y mejora) a los efectos del propio Real Decreto-ley.</w:t>
      </w:r>
    </w:p>
    <w:p w:rsidR="00163957" w:rsidRDefault="00163957" w:rsidP="00163957">
      <w:pPr>
        <w:pStyle w:val="TextoNormal"/>
      </w:pPr>
    </w:p>
    <w:p w:rsidR="00163957" w:rsidRDefault="00163957" w:rsidP="00163957">
      <w:pPr>
        <w:pStyle w:val="TextoNormal"/>
      </w:pPr>
      <w:r>
        <w:t>Añade el Abogado del Estado que la denuncia de inconstitucionalidad se centra en la expresión “por medio de un instrumento específico” al entender que ello invade la competencia exclusiva de la Generalitat de Cataluña para establecer y regular los instrumentos de planificación y gestión urbanística. Esta tacha no debe prosperar por cuanto el artículo 17.1 c) no impone la forma en que debe concretarse la actuación de regeneración urbana; se limita a disponer que cuando se trate de actuaciones de carácter integrado se apruebe no sólo mediante el instrumento planificador que prevea la legislación autonómica, sino también a través de otro instrumento específico que fije la Administración competente. El artículo 17.1 c) no regula un instrumento urbanístico concreto; la Administración autonómica puede decidir, con entera libertad, si desea formular tales actuaciones a través del planeamiento urbanístico o de otro instrumento específico. No estaríamos ante el mismo supuesto que el enjuiciado en el fundamento jurídico 23 a) de la STC 61/1997; el artículo 17.1 c) no impone un único cauce formal para que se articule la decisión autonómica, sino que simple</w:t>
      </w:r>
      <w:r>
        <w:lastRenderedPageBreak/>
        <w:t>mente abre una posibilidad orientada a facilitar la aprobación de las actividades regeneradoras. Concluye, pues, que al utilizar una expresión indeterminada que no entra a regular concretos instrumentos urbanísticos, es aplicable la doctrina contenida en la STC 164/2001, FJ 6 a); conforme a ella, “estamos, entonces ante una exigencia de planeamiento u ordenación urbanística que, por un lado, resulta claramente instrumental respecto de la regulación de la propiedad urbana (ex art. 149.1.1 CE) y que, por otro lado, respeta la competencia de cada Comunidad Autónoma para disponer qué instrumentos urbanísticos deben ordenar sus ciudades”.</w:t>
      </w:r>
    </w:p>
    <w:p w:rsidR="00163957" w:rsidRDefault="00163957" w:rsidP="00163957">
      <w:pPr>
        <w:pStyle w:val="TextoNormal"/>
      </w:pPr>
    </w:p>
    <w:p w:rsidR="00163957" w:rsidRDefault="00163957" w:rsidP="00163957">
      <w:pPr>
        <w:pStyle w:val="TextoNormal"/>
      </w:pPr>
      <w:r>
        <w:t>Por su parte, el artículo 18.1, según el Abogado del Estado, encuentra amparo en el art. 149.1.1 CE. La fijación de la limitación del 50 por 100 persigue una correcta calificación de las medidas de transformación urbanística y conseguir con ello que la aplicación de cada una de tales actuaciones del régimen jurídico estatutario sea la adecuada, de conformidad con lo dispuesto en el art. 14.1 del texto refundido de la Ley de suelo. Considera que es, por tanto, aplicable la doctrina establecida en el fundamento jurídico 10 de la STC 61/1997; el límite del 50 por 100 al permitir diferenciar los deberes que corresponden a los propietarios en función de cuál sea la naturaleza y el alcance de las actuaciones de transformación urbanística, delimita con carácter básico la función social de la propiedad al tiempo que garantiza la igualdad en las posiciones jurídicas fundamentales. Constituye una norma mínima de equidistribución reconducible a dicha competencia de igualación del Estado quedando sin duda preservada la integridad de la competencia urbanística autonómica.</w:t>
      </w:r>
    </w:p>
    <w:p w:rsidR="00163957" w:rsidRDefault="00163957" w:rsidP="00163957">
      <w:pPr>
        <w:pStyle w:val="TextoNormal"/>
      </w:pPr>
    </w:p>
    <w:p w:rsidR="00163957" w:rsidRDefault="00163957" w:rsidP="00163957">
      <w:pPr>
        <w:pStyle w:val="TextoNormal"/>
      </w:pPr>
      <w:r>
        <w:t>El artículo 19.2 no se cuestiona, según el Abogado del Estado, por permitir que los sujetos legitimados para participar en las actuaciones de rehabilitación puedan agruparse en asociaciones administrativas, sino únicamente por la regulación que introduce en los apartados b) y c) de su apartado 2.</w:t>
      </w:r>
    </w:p>
    <w:p w:rsidR="00163957" w:rsidRDefault="00163957" w:rsidP="00163957">
      <w:pPr>
        <w:pStyle w:val="TextoNormal"/>
      </w:pPr>
    </w:p>
    <w:p w:rsidR="00163957" w:rsidRDefault="00163957" w:rsidP="00163957">
      <w:pPr>
        <w:pStyle w:val="TextoNormal"/>
      </w:pPr>
      <w:r>
        <w:t>Rechaza las tachas dirigidas a estos apartados afirmando que, conforme a la doctrina contenida en las SSTC 61/1997, FJ 14 c), y 164/2001, FJ 9, establecen condiciones básicas de ejercicio de los derechos constitucionales de propiedad y de libertad de empresa, dado que el mandato de participación en la acción urbanística pública a propietarios y empresarios es una regulación de derechos constitucionales (propiedad, libre empresa) con amparo específico en el art. 149.1.1 CE. En efecto, el Abogado del Estado afirma que “constituyendo el precepto impugnado una genérica medida para fomentar la participación privada en las actuaciones de rehabilitación sin introducir ninguna regla material urbanística —es claro que las Comunidades Autónomas quedan en entera libertad para fijar el procedimiento específico a través del cual se articule la llevanza de estos fines por tales asociaciones, así como plazos, posibles consecuencias, etc.— se incardina en la competencia estatal del art. 149.1.1 CE sin entrañar vaciamiento de la competencia urbanística de la Generalitat catalana”.</w:t>
      </w:r>
    </w:p>
    <w:p w:rsidR="00163957" w:rsidRDefault="00163957" w:rsidP="00163957">
      <w:pPr>
        <w:pStyle w:val="TextoNormal"/>
      </w:pPr>
    </w:p>
    <w:p w:rsidR="00163957" w:rsidRDefault="00163957" w:rsidP="00163957">
      <w:pPr>
        <w:pStyle w:val="TextoNormal"/>
      </w:pPr>
      <w:r>
        <w:t xml:space="preserve">Aborda a continuación el Abogado del Estado el análisis de los preceptos relativos a la inspección técnica de edificios (arts. 21 y 22; disposición adicional tercera y disposiciones transitorias primera y segunda). Defiende que la constante remisión a la normativa autonómica que contienen los preceptos impugnados hace que la alegación de inconstitucionalidad que se les dirige carezca de toda base. El legislador urbanístico puede configurar la inspección técnica de edificios sin más condicionamiento que tratar de cumplir el deber legal de </w:t>
      </w:r>
      <w:r>
        <w:lastRenderedPageBreak/>
        <w:t>conservación. Afirma, además, que el artículo 21 establece la obligatoriedad de la inspección técnica de edificios como instrumento para coadyuvar al cumplimiento del deber legal de conservación que recae sobre todo propietario preservando una uniformidad mínima en su contenido en toda la Nación. De igual forma el artículo 22, al exigir el certificado de la ejecución de las obras para garantizar la eficacia de la inspección técnica realizada, guarda íntima relación con los deberes de los propietarios de los inmuebles (art. 149.1.1 CE).</w:t>
      </w:r>
    </w:p>
    <w:p w:rsidR="00163957" w:rsidRDefault="00163957" w:rsidP="00163957">
      <w:pPr>
        <w:pStyle w:val="TextoNormal"/>
      </w:pPr>
    </w:p>
    <w:p w:rsidR="00163957" w:rsidRDefault="00163957" w:rsidP="00163957">
      <w:pPr>
        <w:pStyle w:val="TextoNormal"/>
      </w:pPr>
      <w:r>
        <w:t>Rechaza el Abogado del Estado que el hecho de que la disposición adicional tercera no garantice la uniformidad plena en relación con la inspección técnica sea obstáculo para entender tal regulación amparada en el art. 149.1.1 CE. De acuerdo con el fundamento jurídico 41 a) de la STC 61/1997 ha de admitirse la posibilidad de que las normas dictadas por el legislador estatal ex art. 149.1.1 CE, lejos de un riguroso uniformismo, puedan razonablemente introducir regulaciones o tratamientos diversificados en presencia de elementos o factores objetivos que lo justifiquen.</w:t>
      </w:r>
    </w:p>
    <w:p w:rsidR="00163957" w:rsidRDefault="00163957" w:rsidP="00163957">
      <w:pPr>
        <w:pStyle w:val="TextoNormal"/>
      </w:pPr>
    </w:p>
    <w:p w:rsidR="00163957" w:rsidRDefault="00163957" w:rsidP="00163957">
      <w:pPr>
        <w:pStyle w:val="TextoNormal"/>
      </w:pPr>
      <w:r>
        <w:t>Sostiene, además, que la regulación básica de la inspección de edificios también encuentra amparo en los títulos contenidos en los núms. 13 y 23 del art. 149.1 CE. En el primero, porque el mantenimiento preventivo que supone la inspección técnica facilita la rehabilitación de edificios y viviendas; lo que contribuye a impulsar el sector económico de la construcción. Esto resulta esencial para superar la grave crisis económica. En el art. 149.1.23 CE, en la medida en que el desarrollo de las actuaciones de rehabilitación, consecuencia de una inspección detectando deficiencias, consistirá fundamentalmente en realizar obras de mejora de la calidad y sostenibilidad del medio urbano.</w:t>
      </w:r>
    </w:p>
    <w:p w:rsidR="00163957" w:rsidRDefault="00163957" w:rsidP="00163957">
      <w:pPr>
        <w:pStyle w:val="TextoNormal"/>
      </w:pPr>
    </w:p>
    <w:p w:rsidR="00163957" w:rsidRDefault="00163957" w:rsidP="00163957">
      <w:pPr>
        <w:pStyle w:val="TextoNormal"/>
      </w:pPr>
      <w:r>
        <w:t>Por último, argumenta el Abogado del Estado que el deber de adaptar las normas autonómicas anteriores a las posteriores y prevalentes que dicte el legislador estatal es una consecuencia de la propia Constitución. Es obvio que son las Cortes Generales quienes deben decidir el tipo de régimen intertemporal de las nuevas leyes que dictan, considerando su incidencia sobre el Derecho autonómico. Es más, dirá, “sería patentemente contrario a la Constitución entender que corresponde al legislador autonómico decidir libremente sobre la eficacia de las leyes generales, determinando el tiempo y forma de adaptación, porque eso equivaldría a concederle la facultad de decidir sobre la vigencia y aplicabilidad de las leyes generales”.</w:t>
      </w:r>
    </w:p>
    <w:p w:rsidR="00163957" w:rsidRDefault="00163957" w:rsidP="00163957">
      <w:pPr>
        <w:pStyle w:val="TextoNormal"/>
      </w:pPr>
    </w:p>
    <w:p w:rsidR="00163957" w:rsidRDefault="00163957" w:rsidP="00163957">
      <w:pPr>
        <w:pStyle w:val="TextoNormal"/>
      </w:pPr>
      <w:r>
        <w:t>Finalmente, el Abogado del Estado defiende la constitucionalidad del artículo 23 ofreciendo para ello diversos argumentos. 1) El precepto no invade las competencias autonómicas, porque remite la determinación del acto de conformidad, aprobación o autorización que sea preceptivo a la legislación de ordenación territorial y urbanística. 2) La determinación del sentido del silencio por parte del Estado responde a un interés general, que no es otro que preservar la legalidad urbanística. 3) La previsión del silencio negativo en modo alguno es arbitraria, puesto que en el propio preámbulo del Real Decreto-ley se explica que responde a la intención de impedir la concesión de licencias urbanísticas por la mera pasividad o inexistencia de actuaciones tempestivas de los ayuntamientos. Se evita así la obtención por silencio positivo de facultades o derechos, de gran relevancia e impacto sobre el territorio, contrarios al ordenamiento urbanístico. Se concluye, pues, que el silencio negativo es una regla del procedimiento administrativo común con la que se persigue garantizar un interés general y que encuentra amparo en el art. 149.1.18 CE.</w:t>
      </w:r>
    </w:p>
    <w:p w:rsidR="00163957" w:rsidRDefault="00163957" w:rsidP="00163957">
      <w:pPr>
        <w:pStyle w:val="TextoNormal"/>
      </w:pPr>
    </w:p>
    <w:p w:rsidR="00163957" w:rsidRDefault="00163957" w:rsidP="00163957">
      <w:pPr>
        <w:pStyle w:val="TextoNormal"/>
      </w:pPr>
      <w:r>
        <w:lastRenderedPageBreak/>
        <w:t>Por todo lo anterior, solicita que se declare la plena constitucionalidad de los preceptos impugnados.</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19 de enero de 2016 se señaló para deliberación y votación de la presente Sentencia el día 21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inconstitucionalidad se interpone por la Generalitat de Cataluña contra los arts. 17.1 c), 18.1, 19.2, 21, 22, 23, la disposición adicional tercera, las disposiciones transitorias primera y segunda y la disposición final primera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de simplificación administrativa. Entiende que los mencionados preceptos vulneran el orden constitucional de competencias y, más concretamente, invaden sus competencias en materia de urbanismo y vivienda. Por el contrario, el Abogado del Estado defiende la constitucionalidad de los preceptos alegando las competencias de que dispone el Estado ex art. 149.1.1, 13, 18 y 23 CE.</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entrar a dilucidar el fondo del asunto, hemos de abordar la incidencia de las modificaciones normativas y de las resoluciones de este Tribunal que han tenido lugar durante la pendencia de este proceso constitucional y hayan podido tener un impacto sobre su objeto.</w:t>
      </w:r>
    </w:p>
    <w:p w:rsidR="00163957" w:rsidRDefault="00163957" w:rsidP="00163957">
      <w:pPr>
        <w:pStyle w:val="TextoNormal"/>
      </w:pPr>
    </w:p>
    <w:p w:rsidR="00163957" w:rsidRDefault="00163957" w:rsidP="00163957">
      <w:pPr>
        <w:pStyle w:val="TextoNormal"/>
      </w:pPr>
      <w:r>
        <w:t>A) En primer término, es preciso señalar que el art. 23 del Real Decreto-ley 8/2011 fue declarado inconstitucional y nulo por nuestra STC 29/2015, de 19 de febrero, quedando expulsado del ordenamiento jurídico, por lo que hay que concluir que respecto a este precepto el presente proceso ha perdido objeto.</w:t>
      </w:r>
    </w:p>
    <w:p w:rsidR="00163957" w:rsidRDefault="00163957" w:rsidP="00163957">
      <w:pPr>
        <w:pStyle w:val="TextoNormal"/>
      </w:pPr>
    </w:p>
    <w:p w:rsidR="00163957" w:rsidRDefault="00163957" w:rsidP="00163957">
      <w:pPr>
        <w:pStyle w:val="TextoNormal"/>
      </w:pPr>
      <w:r>
        <w:t>B) En segundo término, la Ley 8/2013, de 26 de junio, de rehabilitación, regeneración y renovación urbanas, deroga (disposición derogatoria única), en lo que ahora interesa, los arts. 17, 18, 19, 21, 22 y 23, así como la disposición adicional tercera y las disposiciones transitorias primera y segunda del Real Decreto-ley 8/2011, de 1 de julio. Ha de advertirse que el contenido de la Ley 8/2013 (con la excepción de sus disposiciones finales que modifican otros textos normativos) ha pasado a incorporarse al nuevo texto refundido de la Ley de suelo y rehabilitación urbana, aprobado por Real Decreto Legislativo 7/2015, de 30 de octubre.</w:t>
      </w:r>
    </w:p>
    <w:p w:rsidR="00163957" w:rsidRDefault="00163957" w:rsidP="00163957">
      <w:pPr>
        <w:pStyle w:val="TextoNormal"/>
      </w:pPr>
    </w:p>
    <w:p w:rsidR="00163957" w:rsidRDefault="00163957" w:rsidP="00163957">
      <w:pPr>
        <w:pStyle w:val="TextoNormal"/>
      </w:pPr>
      <w:r>
        <w:t xml:space="preserve">La incidencia de esta derogación sobre el objeto del presente recurso de inconstitucionalidad debe ser analizada teniendo en cuenta que, en relación con las modificaciones normativas en procesos constitucionales de naturaleza competencial, este Tribunal ha afirmado reiteradamente: “la eventual apreciación de la pérdida de objeto del proceso dependerá de la incidencia real que sobre el mismo tenga la derogación, sustitución o modificación de la norma y no puede resolverse apriorísticamente en función de criterios abstractos o genéricos, pues lo relevante no es tanto la expulsión de la concreta norma impugnada del ordenamiento cuanto determinar si con esa expulsión ha cesado o no la controversia competencial, </w:t>
      </w:r>
      <w:r>
        <w:lastRenderedPageBreak/>
        <w:t>toda vez que poner fin a la misma a la luz del orden constitucional de reparto de competencias es el fin último al que sirven tales procesos” (por todas, STC 18/2011, de 3 de marzo, FJ 3, y las allí citadas). Si la normativa en torno a la cual se trabó el conflicto resulta parcialmente modificada por otra que viene a plantear los mismos problemas competenciales, la consecuencia será la no desaparición del conflicto (por todas, STC 133/2012, de 19 de junio, FJ 2). El análisis habría de realizarse, por tanto, precepto por precepto.</w:t>
      </w:r>
    </w:p>
    <w:p w:rsidR="00163957" w:rsidRDefault="00163957" w:rsidP="00163957">
      <w:pPr>
        <w:pStyle w:val="TextoNormal"/>
      </w:pPr>
    </w:p>
    <w:p w:rsidR="00163957" w:rsidRDefault="00163957" w:rsidP="00163957">
      <w:pPr>
        <w:pStyle w:val="TextoNormal"/>
      </w:pPr>
      <w:r>
        <w:t>a) El art. 17.1 c) del Real Decreto-ley 8/2011, relativo a las actuaciones de rehabilitación, dispone que tal término engloba “las de regeneración urbana, entendiendo por tales, de acuerdo con lo dispuesto en el art. 110 de la Ley de Economía Sostenible, las que se desarrollen en ámbito urbanos vulnerables, obsoletos o degradados, alcanzando tanto a la urbanización y a las dotaciones, como a los edificios, y tengan como finalidad el cumplimiento de los principios de cohesión territorial y social, eficiencia energética y complejidad funcional al servicio de un medio urbano sostenible”. Añade que “cuando se refieran exclusivamente a la rehabilitación de edificios, estas actuaciones consistirán en realizar las obras necesarias para lograr los fines propios de las actuaciones de mejora de la calidad y sostenibilidad del medio urbano a que se refiere la letra anterior”. Además, aclara, “tendrán carácter integrado cuando articulen medidas sociales, ambientales y económicas enmarcadas en una estrategia municipal global y unitaria, formulada a través del planeamiento urbanístico o por medio de un instrumento específico”.</w:t>
      </w:r>
    </w:p>
    <w:p w:rsidR="00163957" w:rsidRDefault="00163957" w:rsidP="00163957">
      <w:pPr>
        <w:pStyle w:val="TextoNormal"/>
      </w:pPr>
    </w:p>
    <w:p w:rsidR="00163957" w:rsidRDefault="00163957" w:rsidP="00163957">
      <w:pPr>
        <w:pStyle w:val="TextoNormal"/>
      </w:pPr>
      <w:r>
        <w:t>La tacha de inconstitucionalidad que se formula en la demanda no alcanza, sin embargo, a la totalidad del precepto sino únicamente a la parte final, en la que se refiere a una estrategia municipal global y unitaria, formulada a través del planeamiento urbanístico o por medio de un instrumento específico. Previsión que, no obstante, ya no aparece en el art. 7 de la Ley 8/2013, de rehabilitación, regeneración y renovación urbanas, precepto que define las obras de rehabilitación. En efecto, este artículo (actualmente derogado a su vez por el Real Decreto Legislativo 7/2015, que aprueba el texto refundido de la Ley de suelo y rehabilitación urbana) se limita, en su apartado 2, a disponer que “las actuaciones de regeneración y renovación urbanas tendrán, además, carácter integrado cuando articulen medidas sociales, ambientales y económicas enmarcadas en una estrategia administrativa global y unitaria”, sin hacer referencia alguna a los instrumentos en los que este tipo de estrategia haya de estar prevista.</w:t>
      </w:r>
    </w:p>
    <w:p w:rsidR="00163957" w:rsidRDefault="00163957" w:rsidP="00163957">
      <w:pPr>
        <w:pStyle w:val="TextoNormal"/>
      </w:pPr>
    </w:p>
    <w:p w:rsidR="00163957" w:rsidRDefault="00163957" w:rsidP="00163957">
      <w:pPr>
        <w:pStyle w:val="TextoNormal"/>
      </w:pPr>
      <w:r>
        <w:t>Por tanto, es preciso concluir que, en relación con el art. 17.1 c) del Real Decreto-ley 8/2011 el presente proceso ha perdido objeto.</w:t>
      </w:r>
    </w:p>
    <w:p w:rsidR="00163957" w:rsidRDefault="00163957" w:rsidP="00163957">
      <w:pPr>
        <w:pStyle w:val="TextoNormal"/>
      </w:pPr>
    </w:p>
    <w:p w:rsidR="00163957" w:rsidRDefault="00163957" w:rsidP="00163957">
      <w:pPr>
        <w:pStyle w:val="TextoNormal"/>
      </w:pPr>
      <w:r>
        <w:t xml:space="preserve">b) El art. 18.1 del Real Decreto-ley 8/2011, relativo a las actuaciones de conservación, mejora y regeneración, establece que estas actuaciones “podrán imponerse por la Administración competente cuando concurran las condiciones previstas para cada una de ellas en el presente Real Decreto-ley y en el resto de legislación aplicable, en cuyo caso les será de aplicación lo dispuesto en el apartado 2 del art. 111 de la Ley de Economía Sostenible”. Añade que, “en particular, las actuaciones de regeneración urbana exigirán que la Administración competente delimite el correspondiente ámbito, que podrá ser continuo o discontinuo, así como de mera rehabilitación o sustitución de viviendas o edificios completos, siempre que no afecten a más del 50 por 100 de los edificios, de las viviendas o de la edificabilidad”. En estos casos, aclara el precepto, “las actuaciones de regeneración urbana tendrán la consideración de actuaciones de transformación urbanística, de acuerdo con lo previsto </w:t>
      </w:r>
      <w:r>
        <w:lastRenderedPageBreak/>
        <w:t>en el art. 14.1 del Texto Refundido de la Ley de Suelo aprobado por el Real Decreto Legislativo 2/2008, de 20 de junio, siéndoles de aplicación el régimen de las actuaciones de urbanización o dotación que les corresponda”.</w:t>
      </w:r>
    </w:p>
    <w:p w:rsidR="00163957" w:rsidRDefault="00163957" w:rsidP="00163957">
      <w:pPr>
        <w:pStyle w:val="TextoNormal"/>
      </w:pPr>
    </w:p>
    <w:p w:rsidR="00163957" w:rsidRDefault="00163957" w:rsidP="00163957">
      <w:pPr>
        <w:pStyle w:val="TextoNormal"/>
      </w:pPr>
      <w:r>
        <w:t>La impugnación de este precepto se centra pues en la previsión limitativa del porcentaje de demolición, renovación o sustitución de edificios que se puede realizar mediante actuaciones de transformación urbanística. Esta previsión ya no aparece en la regulación de la ordenación y ejecución de las actuaciones de rehabilitación edificatoria que contiene el art. 10 de la Ley 8/2013 (precepto este derogado a su vez por el Real Decreto Legislativo 7/2015, que aprueba el texto refundido de la Ley de suelo y rehabilitación urbana); en el párrafo 2 de su apartado 1, se limita a disponer que “las actuaciones que no requieran la alteración de la ordenación urbanística vigente, precisarán la delimitación y aprobación de un ámbito de actuación conjunta, que podrá ser continuo o discontinuo, o la identificación de la actuación aislada que corresponda, a propuesta de los sujetos mencionados en el artículo anterior, y a elección del Ayuntamiento”.</w:t>
      </w:r>
    </w:p>
    <w:p w:rsidR="00163957" w:rsidRDefault="00163957" w:rsidP="00163957">
      <w:pPr>
        <w:pStyle w:val="TextoNormal"/>
      </w:pPr>
    </w:p>
    <w:p w:rsidR="00163957" w:rsidRDefault="00163957" w:rsidP="00163957">
      <w:pPr>
        <w:pStyle w:val="TextoNormal"/>
      </w:pPr>
      <w:r>
        <w:t>Es preciso, pues, concluir que el presente proceso ha perdido también objeto en relación con el art. 18.1.</w:t>
      </w:r>
    </w:p>
    <w:p w:rsidR="00163957" w:rsidRDefault="00163957" w:rsidP="00163957">
      <w:pPr>
        <w:pStyle w:val="TextoNormal"/>
      </w:pPr>
    </w:p>
    <w:p w:rsidR="00163957" w:rsidRDefault="00163957" w:rsidP="00163957">
      <w:pPr>
        <w:pStyle w:val="TextoNormal"/>
      </w:pPr>
      <w:r>
        <w:t>c) El art. 19.2 del Real Decreto-ley 8/2011 regula los sujetos legitimados para participar en las actuaciones de rehabilitación. Dispone que estos sujetos “podrán agruparse en asociaciones administrativas con determinados fines: a) participar en el proceso de planificación o programación de la actuación, b) elaborar, por propia iniciativa o por encargo del responsable de la gestión de la actuación de que se trate, los correspondientes proyectos, planes o programas, c) asumir, por sí mismas, o en asociación con otros sujetos intervinientes, públicos o privados, la gestión de las obras de mejora y regeneración urbana o, en su caso, participar en una u otra en la forma que se convenga con el responsable de la gestión”.</w:t>
      </w:r>
    </w:p>
    <w:p w:rsidR="00163957" w:rsidRDefault="00163957" w:rsidP="00163957">
      <w:pPr>
        <w:pStyle w:val="TextoNormal"/>
      </w:pPr>
    </w:p>
    <w:p w:rsidR="00163957" w:rsidRDefault="00163957" w:rsidP="00163957">
      <w:pPr>
        <w:pStyle w:val="TextoNormal"/>
      </w:pPr>
      <w:r>
        <w:t>La Generalitat de Cataluña impugna el precepto por cuanto habilita a las asociaciones de sujetos legitimados a participar en las actuaciones de regeneración urbana para que formulen los instrumentos de ordenación urbana u otros análogos y para que procedan a la ejecución de las obras de regeneración previstas en dichos instrumentos, lo que se considera que carece de amparo en el art. 149.1.1 CE.</w:t>
      </w:r>
    </w:p>
    <w:p w:rsidR="00163957" w:rsidRDefault="00163957" w:rsidP="00163957">
      <w:pPr>
        <w:pStyle w:val="TextoNormal"/>
      </w:pPr>
    </w:p>
    <w:p w:rsidR="00163957" w:rsidRDefault="00163957" w:rsidP="00163957">
      <w:pPr>
        <w:pStyle w:val="TextoNormal"/>
      </w:pPr>
      <w:r>
        <w:t>La participación de las asociaciones administrativas en las actuaciones de rehabilitación edificatoria y de regeneración y renovación urbanas se regula nuevamente en el art. 15 de la Ley 8/2013 (derogado a su vez por el Real Decreto Legislativo 7/2015, que aprueba el texto refundido de la Ley de suelo y rehabilitación urbana). Este precepto prevé, en su apartado 1, que estas asociaciones pueden participar en la ejecución de las actuaciones de rehabilitación edificatoria y en las de regeneración y renovación urbanas; establece, además, en el apartado 3 b), que pueden constituirse para participar en los concursos públicos que la Administración convoque a los efectos de adjudicar la ejecución de las obras correspondientes. Esta regulación ha pasado a incorporarse al art. 9, apartados 4 e) y 5 b), del texto refundido de la Ley de suelo y rehabilitación urbana aprobado por Real Decreto Legislativo 7/2015. Por tanto, aunque la nueva regulación ya no contempla la formulación por las asociaciones administrativas de los instrumentos de ordenación para la regeneración urbana, sigue contemplando su participación en la fase de ejecución, por lo que respecto a esta parte de la regulación el objeto del proceso persiste.</w:t>
      </w:r>
    </w:p>
    <w:p w:rsidR="00163957" w:rsidRDefault="00163957" w:rsidP="00163957">
      <w:pPr>
        <w:pStyle w:val="TextoNormal"/>
      </w:pPr>
    </w:p>
    <w:p w:rsidR="00163957" w:rsidRDefault="00163957" w:rsidP="00163957">
      <w:pPr>
        <w:pStyle w:val="TextoNormal"/>
      </w:pPr>
      <w:r>
        <w:t>d) Por lo que se refiere a los preceptos que regulan la inspección de edificios, el art. 21 del Real Decreto-ley 8/2011 establece que los de una antigüedad superior a 50 años, salvo que las Comunidades Autónomas fijen distinta antigüedad en su normativa, destinados preferentemente a uso residencial y situados en los municipios señalados en la disposición adicional tercera, deberán ser objeto, en función de su antigüedad, de una inspección técnica periódica que asegure su buen estado y debida conservación. Habrá de cumplir como mínimo determinados requisitos (evaluar la adecuación de estos inmuebles a las condiciones legalmente exigibles de seguridad, salubridad, accesibilidad y ornato; determinar las obras y trabajos de conservación que se requieran para mantener los inmuebles en el estado legalmente exigible, y el tiempo señalado al efecto). También dispone que las actuaciones previstas en este precepto se aplicarán en la forma, plazos y condiciones que regulen las Comunidades Autónomas; que los municipios podrán establecer sus propias actuaciones en el marco de los mínimos estatales y autonómicos. Las inspecciones realizadas por encargo de la comunidad o agrupación de comunidades de propietarios que se refieran a la totalidad de un edificio o complejo inmobiliario extenderán su eficacia a todos y cada uno de los locales y viviendas existentes.</w:t>
      </w:r>
    </w:p>
    <w:p w:rsidR="00163957" w:rsidRDefault="00163957" w:rsidP="00163957">
      <w:pPr>
        <w:pStyle w:val="TextoNormal"/>
      </w:pPr>
    </w:p>
    <w:p w:rsidR="00163957" w:rsidRDefault="00163957" w:rsidP="00163957">
      <w:pPr>
        <w:pStyle w:val="TextoNormal"/>
      </w:pPr>
      <w:r>
        <w:t>Por su parte, el artículo 22 regula los efectos de la inspección. Dispone que cuando de la inspección realizada resulten deficiencias, la eficacia del documento acreditativo de la misma, a los efectos de justificar el cumplimiento del deber legal de conservación a que se refiere el art. 9 de la Ley de suelo, quedará condicionada a la certificación de la realización efectiva de las obras y los trabajos de conservación requeridos para mantener el inmueble en el estado legalmente exigible y en el tiempo señalado al efecto.</w:t>
      </w:r>
    </w:p>
    <w:p w:rsidR="00163957" w:rsidRDefault="00163957" w:rsidP="00163957">
      <w:pPr>
        <w:pStyle w:val="TextoNormal"/>
      </w:pPr>
    </w:p>
    <w:p w:rsidR="00163957" w:rsidRDefault="00163957" w:rsidP="00163957">
      <w:pPr>
        <w:pStyle w:val="TextoNormal"/>
      </w:pPr>
      <w:r>
        <w:t>La disposición adicional tercera, por su parte, limita la aplicación de la regulación de la inspección técnica de edificios a los municipios con población superior a 25.000 habitantes, salvo que las Comunidades Autónomas fijen otros estándares poblacionales y en aquellos que las Administraciones incluyan en las áreas o los entornos metropolitanos que delimiten. Dispone, además, que las Comunidades Autónomas, cuando las circunstancias lo aconsejen, podrán disponer la aplicación de las determinaciones relativas a la inspección técnica de edificios a municipios no comprendidos en el apartado anterior y, en dicho caso, establecer excepciones del cumplimiento de la misma a determinados edificios según su tipología o su uso predominante.</w:t>
      </w:r>
    </w:p>
    <w:p w:rsidR="00163957" w:rsidRDefault="00163957" w:rsidP="00163957">
      <w:pPr>
        <w:pStyle w:val="TextoNormal"/>
      </w:pPr>
    </w:p>
    <w:p w:rsidR="00163957" w:rsidRDefault="00163957" w:rsidP="00163957">
      <w:pPr>
        <w:pStyle w:val="TextoNormal"/>
      </w:pPr>
      <w:r>
        <w:t>El régimen transitorio para las inspecciones técnicas se establece en las disposiciones transitorias primera y segunda del Real Decreto-ley 8/2011. La primera regula la eficacia de las inspecciones técnicas ya realizadas. Dispone que las que se hayan llevado a cabo conforme a la normativa vigente en el momento de entrada en vigor de este Real Decreto-ley, mantendrán su eficacia a todos los efectos dentro del plazo que dicha normativa hubiere establecido; en ausencia de dicho plazo, hasta el 1 de enero de 2020. La segunda, relativa al calendario para las inspecciones técnicas, prevé que “antes de la entrada en vigor de lo dispuesto en este Real Decreto-ley sobre la obligatoriedad de la inspección técnica de edificios, las Administraciones Públicas competentes podrán establecer, en el ámbito de sus competencias, un calendario de fechas hasta el año 2015 para la progresiva realización ordenada de la inspección técnica de edificios en función de su antigüedad”. En ese año, añade el precepto, deberán haberse sometido a dicha inspección todos los edificios con una antigüe</w:t>
      </w:r>
      <w:r>
        <w:lastRenderedPageBreak/>
        <w:t>dad superior a 50 años, a la entrada en vigor de este Real Decreto-ley, en todos los municipios a que se refiere la disposición adicional tercera y en los términos establecidos en la misma.</w:t>
      </w:r>
    </w:p>
    <w:p w:rsidR="00163957" w:rsidRDefault="00163957" w:rsidP="00163957">
      <w:pPr>
        <w:pStyle w:val="TextoNormal"/>
      </w:pPr>
    </w:p>
    <w:p w:rsidR="00163957" w:rsidRDefault="00163957" w:rsidP="00163957">
      <w:pPr>
        <w:pStyle w:val="TextoNormal"/>
      </w:pPr>
      <w:r>
        <w:t>Estos preceptos (arts. 21 y 22, disposición adicional tercera y disposiciones transitorias primera y segunda) se impugnan por entender la Generalitat que, en la medida que abordan un instrumento de evaluación del estado de conservación del parque inmobiliario de uso residencial, así como medidas de control sobre el cumplimiento por los propietarios de los deberes legales de conservación y rehabilitación, se trata de una regulación urbanística para la que el Estado carece de competencias y con cuyo establecimiento invade las propias de las Comunidades Autónomas.</w:t>
      </w:r>
    </w:p>
    <w:p w:rsidR="00163957" w:rsidRDefault="00163957" w:rsidP="00163957">
      <w:pPr>
        <w:pStyle w:val="TextoNormal"/>
      </w:pPr>
    </w:p>
    <w:p w:rsidR="00163957" w:rsidRDefault="00163957" w:rsidP="00163957">
      <w:pPr>
        <w:pStyle w:val="TextoNormal"/>
      </w:pPr>
      <w:r>
        <w:t>La Ley 8/2013, de rehabilitación, regeneración y renovación urbanas, que deroga los preceptos referidos, establece el informe de evaluación de edificios, partiendo de la regulación establecida por el Real Decreto-ley 8/2011, de 1 de julio, pero buscando, como se explica en su preámbulo, superar algunas de sus insuficiencias. Entre ellas, la que lo identificaba plenamente con la inspección técnica de edificios regulada por las Comunidades Autónomas y por algunos ayuntamientos. El contenido de esta regulación de la Ley 8/2013 sobre el informe de evaluación de edificios ha pasado a incorporarse al actual texto refundido de la Ley de suelo y rehabilitación urbana, aprobado por Real Decreto Legislativo 7/2015 (arts. 29 y 30 y disposición transitoria segunda).</w:t>
      </w:r>
    </w:p>
    <w:p w:rsidR="00163957" w:rsidRDefault="00163957" w:rsidP="00163957">
      <w:pPr>
        <w:pStyle w:val="TextoNormal"/>
      </w:pPr>
    </w:p>
    <w:p w:rsidR="00163957" w:rsidRDefault="00163957" w:rsidP="00163957">
      <w:pPr>
        <w:pStyle w:val="TextoNormal"/>
      </w:pPr>
      <w:r>
        <w:t>Dispone el art. 4 de la Ley 8/2013 (cuyo contenido pasa a incorporarse al art. 29 texto refundido de la Ley de suelo y rehabilitación urbana, aprobado por Real Decreto Legislativo 7/2015) que “los propietarios de inmuebles ubicados en edificaciones con tipología residencial de vivienda colectiva podrán ser requeridos por la Administración competente, de conformidad con lo dispuesto en la disposición transitoria primera, para que acrediten la situación en la que se encuentran aquéllos, al menos en relación con el estado de conservación del edificio y con el cumplimiento de la normativa vigente sobre accesibilidad universal, así como sobre el grado de eficiencia energética de los mismos”. Este informe de evaluación ha de contener de manera detallada la evaluación del estado de conservación del edificio, la evaluación de las condiciones básicas de accesibilidad universal y no discriminación de las personas con discapacidad para el acceso y utilización del edificio, de acuerdo con la normativa vigente, estableciendo si el edificio es susceptible o no de realizar ajustes razonables para satisfacerlas, y la certificación de la eficiencia energética del edificio. Dispone el precepto además que cuando, de conformidad con la normativa autonómica o municipal, exista un informe de inspección técnica que ya permita evaluar los extremos señalados en las letras a) y b) anteriores, se podrá complementar con la certificación referida en la letra c) y surtirá los mismos efectos que el informe regulado por esta Ley. Cuando contenga todos los elementos requeridos de conformidad con aquella normativa, podrá surtir los efectos derivados de la misma, tanto en cuanto a la posible exigencia de la subsanación de las deficiencias observadas, como en cuanto a la posible realización de las mismas en sustitución y a costa de los obligados; con independencia de las medidas disciplinarias y sancionadoras que procedan, de conformidad con lo establecido en la legislación urbanística aplicable.</w:t>
      </w:r>
    </w:p>
    <w:p w:rsidR="00163957" w:rsidRDefault="00163957" w:rsidP="00163957">
      <w:pPr>
        <w:pStyle w:val="TextoNormal"/>
      </w:pPr>
    </w:p>
    <w:p w:rsidR="00163957" w:rsidRDefault="00163957" w:rsidP="00163957">
      <w:pPr>
        <w:pStyle w:val="TextoNormal"/>
      </w:pPr>
      <w:r>
        <w:t xml:space="preserve">Este informe de evaluación extiende su eficacia a todos y cada uno de los locales y viviendas existentes y tiene una periodicidad mínima de diez años, pudiendo las Comunidades Autónomas y los ayuntamientos prever una periodicidad menor. Por otra parte, el art. 4 de </w:t>
      </w:r>
      <w:r>
        <w:lastRenderedPageBreak/>
        <w:t>la Ley 8/2013 (cuyo contenido pasa a incorporarse ahora al art. 29 del texto refundido de la Ley de suelo y rehabilitación urbana) atribuye al incumplimiento del deber de realizar en tiempo y forma el informe de evaluación, regulado por este artículo y por la disposición transitoria primera, la consideración de infracción urbanística; con las consecuencias que atribuya la normativa urbanística aplicable al incumplimiento del deber de dotarse del informe de inspección técnica de edificios o equivalente en el plazo expresamente establecido.</w:t>
      </w:r>
    </w:p>
    <w:p w:rsidR="00163957" w:rsidRDefault="00163957" w:rsidP="00163957">
      <w:pPr>
        <w:pStyle w:val="TextoNormal"/>
      </w:pPr>
    </w:p>
    <w:p w:rsidR="00163957" w:rsidRDefault="00163957" w:rsidP="00163957">
      <w:pPr>
        <w:pStyle w:val="TextoNormal"/>
      </w:pPr>
      <w:r>
        <w:t>El calendario para la realización del informe de evaluación de los edificios se contiene en la disposición transitoria primera de la Ley 8/2013 (cuyo contenido pasa a incorporarse ahora a la disposición transitoria segunda del texto refundido de la Ley de suelo y rehabilitación urbana). De acuerdo con ella, con el objeto de garantizar la calidad y sostenibilidad del parque edificado, así como para orientar y dirigir las políticas públicas que persigan tales fines, y sin perjuicio de que las Comunidades Autónomas aprueben una regulación más exigente y de lo que indiquen las ordenanzas municipales, la obligación de disponer del informe de evaluación regulado en el art. 4 de la Ley 8/2013 (ahora en la disposición transitoria segunda del texto refundido de la Ley de suelo y rehabilitación urbana) deberá hacerse efectiva, como mínimo, en relación con determinados edificios y plazos. Tal es el caso de los edificios de tipología residencial de vivienda colectiva con una antigüedad superior a 50 años: en el plazo máximo de cinco años, a contar desde la fecha en que alcancen dicha antigüedad, salvo que ya cuenten con una inspección técnica vigente, realizada de conformidad con su normativa aplicable y con anterioridad a la entrada en vigor de la Ley 8/2013. Igualmente, han de disponer del informe de evaluación los edificios cuyos titulares pretendan acogerse a ayudas públicas con el objetivo de acometer obras de conservación, accesibilidad universal o eficiencia energética, con anterioridad a la formalización de la petición de la correspondiente ayuda. El resto de los edificios sólo han de contar con el informe de evaluación cuando así lo determine la normativa autonómica o municipal, que podrá establecer especialidades de aplicación del citado informe, en función de su ubicación, antigüedad, tipología o uso predominante.</w:t>
      </w:r>
    </w:p>
    <w:p w:rsidR="00163957" w:rsidRDefault="00163957" w:rsidP="00163957">
      <w:pPr>
        <w:pStyle w:val="TextoNormal"/>
      </w:pPr>
    </w:p>
    <w:p w:rsidR="00163957" w:rsidRDefault="00163957" w:rsidP="00163957">
      <w:pPr>
        <w:pStyle w:val="TextoNormal"/>
      </w:pPr>
      <w:r>
        <w:t>Finalmente, la disposición transitoria primera de la Ley 8/2013 (ahora la disposición transitoria segunda del texto refundido de la Ley de suelo y rehabilitación urbana) prevé que “con el objeto de evitar duplicidades entre el informe y la Inspección Técnica de Edificios o instrumento de naturaleza análoga que pudiera existir en los Municipios o Comunidades Autónomas, el informe resultante de aquélla se integrará como parte del informe regulado por esta Ley, teniéndose este último por producido, en todo caso, cuando el ya realizado haya tenido en cuenta exigencias derivadas de la normativa autonómica o local iguales o más exigentes a las establecidas por esta Ley”.</w:t>
      </w:r>
    </w:p>
    <w:p w:rsidR="00163957" w:rsidRDefault="00163957" w:rsidP="00163957">
      <w:pPr>
        <w:pStyle w:val="TextoNormal"/>
      </w:pPr>
    </w:p>
    <w:p w:rsidR="00163957" w:rsidRDefault="00163957" w:rsidP="00163957">
      <w:pPr>
        <w:pStyle w:val="TextoNormal"/>
      </w:pPr>
      <w:r>
        <w:t>En definitiva, de la exposición de esta regulación se deduce que la Ley 8/2013 (cuyo contenido en este punto pasa a incorporarse ahora al art. 29 y la disposición transitoria segunda del texto refundido de la Ley de suelo y rehabilitación urbana) no ha eliminado la inspección técnica de edificios. Lejos de ello, la ha sustituido por un instrumento más amplio de la evaluación de los edificios que comprende ahora, además de la evaluación del estado de conservación del edificio, también la de las condiciones básicas de accesibilidad universal y de eficiencia energética. Hay que entender que la controversia competencial planteada por la Generalitat en torno a la regulación de la inspección técnica de edificios sigue en pie y precisa una decisión de este Tribunal, sin que el proceso haya perdido, por tanto, en este punto su objeto.</w:t>
      </w:r>
    </w:p>
    <w:p w:rsidR="00163957" w:rsidRDefault="00163957" w:rsidP="00163957">
      <w:pPr>
        <w:pStyle w:val="TextoNormal"/>
      </w:pPr>
    </w:p>
    <w:p w:rsidR="00163957" w:rsidRDefault="00163957" w:rsidP="00163957">
      <w:pPr>
        <w:pStyle w:val="TextoNormal"/>
      </w:pPr>
      <w:r w:rsidRPr="00163957">
        <w:rPr>
          <w:rStyle w:val="NumeroAFNegritaCaracter"/>
        </w:rPr>
        <w:t>3</w:t>
      </w:r>
      <w:r>
        <w:t>. Efectuadas las precisiones que anteceden sobre el objeto del presente proceso, procede adentrarse ahora en el análisis de constitucionalidad de los preceptos impugnados respecto de los que subsiste la controversia planteada, comenzando por el artículo 19.2.</w:t>
      </w:r>
    </w:p>
    <w:p w:rsidR="00163957" w:rsidRDefault="00163957" w:rsidP="00163957">
      <w:pPr>
        <w:pStyle w:val="TextoNormal"/>
      </w:pPr>
    </w:p>
    <w:p w:rsidR="00163957" w:rsidRDefault="00163957" w:rsidP="00163957">
      <w:pPr>
        <w:pStyle w:val="TextoNormal"/>
      </w:pPr>
      <w:r>
        <w:t>Como hemos visto en el fundamento jurídico anterior, este precepto es impugnado por la Generalitat de Cataluña en cuanto habilita a las asociaciones de sujetos legitimados para participar en las actuaciones de regeneración urbana a proceder a la ejecución de las obras de regeneración previstas en dichos instrumentos. La Generalitat entiende que esta regulación carece de amparo en el art. 149.1 CE e invade sus competencias en materia de urbanismo. Sostiene la representación procesal de la Generalitat que la regulación no fija condiciones básicas de igualdad en ejercicio de derechos o cumplimiento de deberes constitucionales, por lo que no puede entenderse dictada en virtud del art. 149.1.1 CE. Tampoco los apartados 13 y 23 del art. 149.1 CE ofrecerían cobertura, puesto que el art. 19.2 del Real Decreto-ley 8/2011 no establece medidas que guarden relación directa o inmediata con la dirección y planificación de la actividad económica y tampoco impone limitaciones a la actividad de transformación urbanística para evitar los efectos medioambientales negativos que de ella pudieran derivarse; se limita a regular la actividad de formulación y ejecución de las actuaciones de transformación urbanística de regeneración urbana.</w:t>
      </w:r>
    </w:p>
    <w:p w:rsidR="00163957" w:rsidRDefault="00163957" w:rsidP="00163957">
      <w:pPr>
        <w:pStyle w:val="TextoNormal"/>
      </w:pPr>
    </w:p>
    <w:p w:rsidR="00163957" w:rsidRDefault="00163957" w:rsidP="00163957">
      <w:pPr>
        <w:pStyle w:val="TextoNormal"/>
      </w:pPr>
      <w:r>
        <w:t>El Abogado del Estado, por el contrario, defiende la constitucionalidad de la regulación afirmando que de los arts. 3.3, 4.3 y 6 del texto refundido de la Ley de suelo y de la doctrina establecida en las SSTC 61/1997, FJ 14 c) y 164/2001, FJ 9, se deduce que la previsión de la participación de propietarios y empresarios en la acción urbanística es una regulación de las condiciones básicas de ejercicio de los derechos constitucionales de propiedad y de libertad de empresa. Por tanto, encontraría amparo específico en el art. 149.1.1 CE. Además, sostiene que la regulación no introduce ninguna regla material urbanística, por lo que las Comunidades Autónomas quedan en entera libertad para fijar el procedimiento específico a través del cual se haya de articular la participación de las asociaciones, así como los plazos, posibles consecuencias, etc. No se habría, por tanto, producido invasión alguna de la competencia urbanística de la Generalitat catalana.</w:t>
      </w:r>
    </w:p>
    <w:p w:rsidR="00163957" w:rsidRDefault="00163957" w:rsidP="00163957">
      <w:pPr>
        <w:pStyle w:val="TextoNormal"/>
      </w:pPr>
    </w:p>
    <w:p w:rsidR="00163957" w:rsidRDefault="00163957" w:rsidP="00163957">
      <w:pPr>
        <w:pStyle w:val="TextoNormal"/>
      </w:pPr>
      <w:r>
        <w:t>Como este Tribunal ha tenido ocasión de afirmar en resoluciones anteriores [SSTC 61/1997, FJ 14 c); 164/2001, FJ 9, y 141/2014, FJ 7 b)], la previsión de la participación de los particulares en la acción urbanística pública encuentra amparo en el art. 149.1.1 CE, aunque corresponda a las Comunidades Autónomas la concreta articulación de esa acción pública con la participación privada mediante la regulación de los correspondientes sistemas o técnicas de ejecución de los instrumentos urbanísticos. La regulación que ahora se impugna no pasa de establecer un principio o criterio general de participación de las asociaciones administrativas que constituyan los sujetos legitimados en la ejecución de las actuaciones de regeneración urbana; no se desciende a mayor detalle, que ciertamente corresponderá prever a las Comunidades Autónomas. En consecuencia, ninguna invasión ocasiona de las competencias urbanísticas de la Generalitat de Cataluña. Procede, por tanto, desestimar la impugnación del art. 19.2 del Real Decreto-ley 8/2011.</w:t>
      </w:r>
    </w:p>
    <w:p w:rsidR="00163957" w:rsidRDefault="00163957" w:rsidP="00163957">
      <w:pPr>
        <w:pStyle w:val="TextoNormal"/>
      </w:pPr>
    </w:p>
    <w:p w:rsidR="00163957" w:rsidRDefault="00163957" w:rsidP="00163957">
      <w:pPr>
        <w:pStyle w:val="TextoNormal"/>
      </w:pPr>
      <w:r w:rsidRPr="00163957">
        <w:rPr>
          <w:rStyle w:val="NumeroAFNegritaCaracter"/>
        </w:rPr>
        <w:t>4</w:t>
      </w:r>
      <w:r>
        <w:t>. Los arts. 21 y 22, la disposición adicional tercera y las disposiciones transitorias primera y segunda de dicho Real Decreto-ley se impugnan por entender que, al regular la ins</w:t>
      </w:r>
      <w:r>
        <w:lastRenderedPageBreak/>
        <w:t>pección urbanística de los edificios, el legislador estatal invade las competencias de la Generalitat en materia de vivienda y urbanismo. Sostiene la Abogada de la Generalitat que esta regulación es materialmente urbanística y que el Estado no tiene cobertura para su establecimiento ni en el apartado 1, ni en los apartados 13 y 23 del art. 149.1 CE. La regulación impugnada establece un mecanismo preventivo de control sobre el cumplimiento por los propietarios de sus deberes legales de conservación y de rehabilitación. Se trata de un instrumento de evaluación del estado de conservación del parque inmobiliario de uso residencial, que no tiene un impacto directo en la economía, ni podría pensarse que vaya a dinamizar el sector de la construcción, ni establece un mínimo común denominador en cuanto a la sostenibilidad ambiental exigible a los edificios, por lo que el Estado no puede pretender ampararse ni en el apartado 13 ni en el apartado 23 del art. 149.1 CE. Niega también la Abogada de la Generalitat que la regulación impugnada pueda encontrar amparo en el art. 149.1.1 CE, porque no define las posiciones jurídicas primarias de los propietarios en relación con su deber de conservación, ni tampoco impone reglas iguales y uniformes para todos los propietarios de edificios; se limita a instaurar unas técnicas de intervención administrativa destinadas a comprobar el cumplimiento del deber de conservación de los inmuebles.</w:t>
      </w:r>
    </w:p>
    <w:p w:rsidR="00163957" w:rsidRDefault="00163957" w:rsidP="00163957">
      <w:pPr>
        <w:pStyle w:val="TextoNormal"/>
      </w:pPr>
    </w:p>
    <w:p w:rsidR="00163957" w:rsidRDefault="00163957" w:rsidP="00163957">
      <w:pPr>
        <w:pStyle w:val="TextoNormal"/>
      </w:pPr>
      <w:r>
        <w:t>El Abogado del Estado argumenta, por el contrario, que los preceptos discutidos son conformes a la Constitución y que la regulación encuentra cobertura en el art. 149.1.1 CE. En primer término porque, al imponer la obligatoriedad de la inspección técnica de edificios, el legislador estatal establece un instrumento que coadyuva al cumplimiento del deber legal de conservación preservando, además, una uniformidad mínima en su contenido en todo el territorio español. De igual forma, al exigir el art. 22 del Real Decreto-ley 8/2011 el certificado de la ejecución de las obras para garantizar la eficacia de la inspección técnica realizada, la regulación tiene una estrecha relación con los deberes de los propietarios de los inmuebles y, por tanto, de nuevo ha de considerarse fruto del ejercicio de la competencia estatal ex art. 149.1.1 CE. También entiende que la regulación encuentra encaje en los apartados 13 y 23 del art. 149.1 CE, en la medida en que, por un lado, la rehabilitación de edificios y viviendas contribuye a impulsar el sector económico de la construcción contribuyendo a superar la crisis económica y, por otro, las actuaciones de rehabilitación realizadas como consecuencia de la inspección consistirán en realizar obras de mejora de la calidad y sostenibilidad del medio urbano.</w:t>
      </w:r>
    </w:p>
    <w:p w:rsidR="00163957" w:rsidRDefault="00163957" w:rsidP="00163957">
      <w:pPr>
        <w:pStyle w:val="TextoNormal"/>
      </w:pPr>
    </w:p>
    <w:p w:rsidR="00163957" w:rsidRDefault="00163957" w:rsidP="00163957">
      <w:pPr>
        <w:pStyle w:val="TextoNormal"/>
      </w:pPr>
      <w:r>
        <w:t>Niega el Abogado del Estado que el hecho de que la disposición adicional tercera del Real Decreto-ley 8/2011 no garantice la uniformidad plena en relación con la inspección técnica sea obstáculo para entender que la regulación esté amparada en el art. 149.1.1 CE. Citando el fundamento jurídico 41 a) de la STC 61/1997, argumenta que ha de admitirse la posibilidad de que las normas dictadas por el legislador estatal ex art. 149.1.1 CE puedan introducir regulaciones o tratamientos diferenciados en presencia de elementos o factores objetivos que lo justifiquen.</w:t>
      </w:r>
    </w:p>
    <w:p w:rsidR="00163957" w:rsidRDefault="00163957" w:rsidP="00163957">
      <w:pPr>
        <w:pStyle w:val="TextoNormal"/>
      </w:pPr>
    </w:p>
    <w:p w:rsidR="00163957" w:rsidRDefault="00163957" w:rsidP="00163957">
      <w:pPr>
        <w:pStyle w:val="TextoNormal"/>
      </w:pPr>
      <w:r>
        <w:t>Por último, considera el Abogado del Estado que el deber de adaptar las normas autonómicas anteriores a las posteriores y prevalentes que dicte el legislador estatal es consecuencia lógica de la propia Constitución. Es obvio que son las Cortes Generales quienes deben decidir el tipo de régimen intertemporal de las nuevas leyes que dictan. Lo que, en su opinión, resultaría contrario a la Constitución es que fuera el legislador autonómico el que libremente decidiera sobre la eficacia de las leyes generales, determinando por sí mismo el tiempo y forma de la adaptación de la normativa estatal.</w:t>
      </w:r>
    </w:p>
    <w:p w:rsidR="00163957" w:rsidRDefault="00163957" w:rsidP="00163957">
      <w:pPr>
        <w:pStyle w:val="TextoNormal"/>
      </w:pPr>
    </w:p>
    <w:p w:rsidR="00163957" w:rsidRDefault="00163957" w:rsidP="00163957">
      <w:pPr>
        <w:pStyle w:val="TextoNormal"/>
      </w:pPr>
      <w:r>
        <w:t>En el preámbulo del Real Decreto-ley 8/2011 se afirma que se introducen medidas para seguir impulsando las actuaciones de rehabilitación reforzando los contenidos que sobre esta materia se recogieron en la Ley de economía sostenible; se introduciría mayor claridad en un mercado que se considera básico para la consecución de un modelo de desarrollo más sostenible. Más concretamente, se explica que en el marco de las políticas dirigidas a la consecución de un medio urbano más sostenible, el Real Decreto-ley generaliza la inspección técnica de edificios, estableciendo su obligatoriedad y sus requisitos esenciales. De esta forma, se dota a este instrumento, ya existente en la mayoría de las leyes urbanísticas en vigor, de la uniformidad necesaria para garantizar unos contenidos que ayuden a conseguir la adaptación del parque de viviendas existentes a los criterios mínimos de calidad exigidos.</w:t>
      </w:r>
    </w:p>
    <w:p w:rsidR="00163957" w:rsidRDefault="00163957" w:rsidP="00163957">
      <w:pPr>
        <w:pStyle w:val="TextoNormal"/>
      </w:pPr>
    </w:p>
    <w:p w:rsidR="00163957" w:rsidRDefault="00163957" w:rsidP="00163957">
      <w:pPr>
        <w:pStyle w:val="TextoNormal"/>
      </w:pPr>
      <w:r>
        <w:t>Este Tribunal ha señalado reiteradamente que el art. 149.1.13 CE atribuye al Estado una competencia para la ordenación general de la economía que abarca la definición de las líneas de actuación tendentes a alcanzar los objetivos de política económica global o sectorial fijados por la propia Constitución, así como la adopción de las medidas precisas para garantizar la realización de los mismos (por todas, STC 186/1988, de 17 de octubre, FJ 2; STC 141/2014, de 11 de septiembre, FJ 5). También hemos advertido que el art. 149.1.13 CE exige una lectura restrictiva, puesto que una excesivamente amplia podría constreñir e incluso vaciar las competencias sectoriales legítimas de las Comunidades Autónomas (SSTC 29/1986, FJ 4; 141/2014). Así, no toda medida por el mero hecho de tener una incidencia económica puede incardinarse en este título; es preciso que tenga “una incidencia directa y significativa sobre la actividad económica general, pues de no ser así se vaciaría de contenido una materia y un título competencial más específico” (SSTC 21/1999, de 25 de febrero, FJ 5; 141/2014, FJ 5). En definitiva, la competencia que atribuye al Estado el art. 149.1.13 CE “cuando afecta a la competencia urbanística de las Comunidades Autónomas, ha de verse complementada además por una interpretación finalista o teleológica, de modo que tan sólo aquellas normas básicas que respondan efectiva y estrictamente a la planificación económica podrían encontrar cobijo en el referido título, que impide la producción de normas que, aunque relacionadas con esa planificación general, no guarden esa inmediata y directa relación con la dirección de la economía” (SSTC 61/1997, FJ 36; 112/2013, FJ 3; y 141/2014, FJ 5).</w:t>
      </w:r>
    </w:p>
    <w:p w:rsidR="00163957" w:rsidRDefault="00163957" w:rsidP="00163957">
      <w:pPr>
        <w:pStyle w:val="TextoNormal"/>
      </w:pPr>
    </w:p>
    <w:p w:rsidR="00163957" w:rsidRDefault="00163957" w:rsidP="00163957">
      <w:pPr>
        <w:pStyle w:val="TextoNormal"/>
      </w:pPr>
      <w:r>
        <w:t>Por su parte, el art. 149.1.23 CE es también un título transversal que tiene una clara fuerza expansiva y requiere igualmente una interpretación restricta. Atribuye al Estado competencias para establecer una legislación básica que constituya un mínimo de protección medioambiental; será superable por las Comunidades Autónomas mediante el establecimiento de normas adicionales de protección, pero como ya hemos tenido ocasión de explicar en resoluciones anteriores, “en esta materia no se encuadra cualquier tipo de actividad relativa a [los] recursos naturales, sino sólo la que directamente tienda a su preservación, conservación o mejora” (STC 102/1995, FJ 3). La utilización de este título por parte del Estado para afectar o condicionar competencias sectoriales de las Comunidades Autónomas sólo será, pues, conforme al orden constitucional de competencias “cuando dicha afectación se traduzca en la imposición de límites a las actividades sectoriales en razón a la apreciable repercusión negativa que el ejercicio de la actividad sectorial de que se trate pueda tener” (SSTC 69/2013, FJ 1; 141/2014, FJ 5).</w:t>
      </w:r>
    </w:p>
    <w:p w:rsidR="00163957" w:rsidRDefault="00163957" w:rsidP="00163957">
      <w:pPr>
        <w:pStyle w:val="TextoNormal"/>
      </w:pPr>
    </w:p>
    <w:p w:rsidR="00163957" w:rsidRDefault="00163957" w:rsidP="00163957">
      <w:pPr>
        <w:pStyle w:val="TextoNormal"/>
      </w:pPr>
      <w:r>
        <w:lastRenderedPageBreak/>
        <w:t>La inspección urbanística es una potestad administrativa, una técnica típica de intervención, cuya finalidad es verificar el cumplimiento de la legalidad urbanística, constatar las irregularidades existentes y, en su caso, activar los debidos mecanismos de corrección. Es indudable que la inspección de edificios puede dar lugar a obras de conservación y reparación, pero no es propiamente una medida cuya finalidad sea la consecución de objetivos de política económica general, ni tiene tampoco una incidencia directa y significativa sobre dicha actividad. De igual forma, hay que rechazar que su regulación persiga la preservación, conservación o mejora del medio ambiente o de los recursos naturales que lo conforman; o que, admitiendo una acepción amplia del medio ambiente, pueda considerarse una medida que tienda primordialmente a proteger un medio ambiente urbano.</w:t>
      </w:r>
    </w:p>
    <w:p w:rsidR="00163957" w:rsidRDefault="00163957" w:rsidP="00163957">
      <w:pPr>
        <w:pStyle w:val="TextoNormal"/>
      </w:pPr>
    </w:p>
    <w:p w:rsidR="00163957" w:rsidRDefault="00163957" w:rsidP="00163957">
      <w:pPr>
        <w:pStyle w:val="TextoNormal"/>
      </w:pPr>
      <w:r>
        <w:t>Se trata, sin lugar a dudas, de la regulación de una técnica o instrumento propiamente urbanístico, que tiene por finalidad prevenir y controlar las irregularidades o ilegalidades urbanísticas, así como comprobar el cumplimiento del deber de conservación que corresponde a los propietarios. Son, pues, preceptos que se incardinan con claridad en la materia de urbanismo, es competencia de las Comunidades Autónomas que a éstas corresponde regular, sin que el art. 149.1.13 y 23 CE otorgue al Estado cobertura para proceder al establecimiento de previsiones sobre requisitos, características y plazos de la actividad inspectora.</w:t>
      </w:r>
    </w:p>
    <w:p w:rsidR="00163957" w:rsidRDefault="00163957" w:rsidP="00163957">
      <w:pPr>
        <w:pStyle w:val="TextoNormal"/>
      </w:pPr>
    </w:p>
    <w:p w:rsidR="00163957" w:rsidRDefault="00163957" w:rsidP="00163957">
      <w:pPr>
        <w:pStyle w:val="TextoNormal"/>
      </w:pPr>
      <w:r>
        <w:t>Como ya hemos dicho, “el contenido del urbanismo se traduce en concretas potestades” y en “la intervención administrativa en las facultades dominicales sobre el uso del suelo y edificación, a cuyo servicio se arbitran técnicas jurídicas concretas” (STC 61/1997, FJ 6; y 141/2014, FJ 5), entre las cuales se encuentra la inspección de edificios cuya regulación compete a las Comunidades Autónomas, sin que en las reglas establecidas en los preceptos ahora impugnados se advierta un contenido o un objetivo que justifique su incardinación en los títulos competenciales del Estado ex art. 149.1.13 o art. 149.1.23 CE.</w:t>
      </w:r>
    </w:p>
    <w:p w:rsidR="00163957" w:rsidRDefault="00163957" w:rsidP="00163957">
      <w:pPr>
        <w:pStyle w:val="TextoNormal"/>
      </w:pPr>
    </w:p>
    <w:p w:rsidR="00163957" w:rsidRDefault="00163957" w:rsidP="00163957">
      <w:pPr>
        <w:pStyle w:val="TextoNormal"/>
      </w:pPr>
      <w:r>
        <w:t>Tampoco el art. 149.1.1 CE permite el establecimiento de esta regulación, pues este título tan sólo atribuye al Estado competencia para establecer las condiciones básicas que garanticen la igualdad en el ejercicio de derechos y en el cumplimiento de deberes constitucionales. Téngase en cuenta que ni siquiera habilita, como ya hemos tenido ocasión de afirmar (STC 61/1997, FJ 7), para abordar una regulación completa de esos derechos y deberes; aún menos permite abordar la regulación de simples técnicas o instrumentos urbanísticos de comprobación del cumplimiento de deberes de los propietarios. Conviene a estos efectos recordar que el título del art. 149.1.1 CE no puede operar como un título horizontal “capaz de introducirse en cualquier materia o sector del ordenamiento por el mero hecho de que pudieran ser reconducibles, siquiera sea remotamente hacia un derecho o deber constitucional” (STC 61/1997, FJ 7).</w:t>
      </w:r>
    </w:p>
    <w:p w:rsidR="00163957" w:rsidRDefault="00163957" w:rsidP="00163957">
      <w:pPr>
        <w:pStyle w:val="TextoNormal"/>
      </w:pPr>
    </w:p>
    <w:p w:rsidR="00163957" w:rsidRDefault="00163957" w:rsidP="00163957">
      <w:pPr>
        <w:pStyle w:val="TextoNormal"/>
      </w:pPr>
      <w:r>
        <w:t>Por todo lo anteriormente expuesto, procede declarar la inconstitucionalidad y nulidad de los arts. 21 y 22 del Real Decreto-ley 8/2011, así como de la disposición adicional tercera y de las disposiciones transitorias primera y segunda de dicho Real Decreto-ley.</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La representación procesal de la Generalitat de Cataluña impugna, por último, la disposición final primera del Real Decreto-ley 8/2011, de 1 de julio, pero lo hace sólo en la medida en que discrepa de los títulos competenciales en los que este precepto ampara los demás impugnados. Una vez depurados dichos preceptos, como hemos señalado en casos similares (por todas, SSTC 18/2011, de 3 de marzo, FJ 12; y 130/2013, de 4 de junio, FJ </w:t>
      </w:r>
      <w:r>
        <w:lastRenderedPageBreak/>
        <w:t>14), nos encontramos aquí ante una impugnación que cabría calificar de “sistemática”, llamada a seguir la misma suerte que los preceptos concretos que han sido objeto de impugnación, por el carácter que les atribuye esta disposición final primera. En definitiva, en los fundamentos jurídicos anteriores de la presente Sentencia ya se ha analizado la adecuación constitucional de los preceptos impugnados, sin que sea necesario un pronunciamiento expreso y genérico sobre la disposición final primera, por cuanto que el Gobierno autonómico recurrente ya lo ha obtenido en relación con cada precepto impugnado y ello se proyecta sobre esta concreta disposición.</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Declarar la desaparición sobrevenida del objeto del presente recurso en cuanto a los arts. 17.1 c), 18.1 y 23 del Real Decreto-ley 8/2011, de 1 de julio.</w:t>
      </w:r>
    </w:p>
    <w:p w:rsidR="00163957" w:rsidRDefault="00163957" w:rsidP="00163957">
      <w:pPr>
        <w:pStyle w:val="TextoNormal"/>
      </w:pPr>
    </w:p>
    <w:p w:rsidR="00163957" w:rsidRDefault="00163957" w:rsidP="00163957">
      <w:pPr>
        <w:pStyle w:val="TextoNormal"/>
      </w:pPr>
      <w:r>
        <w:t>2º Declarar la inconstitucionalidad y nulidad de los arts. 21 y 22, de la disposición adicional tercera y de las disposiciones transitorias primera y segunda del Real Decreto-ley 8/2011, de 1 de julio.</w:t>
      </w:r>
    </w:p>
    <w:p w:rsidR="00163957" w:rsidRDefault="00163957" w:rsidP="00163957">
      <w:pPr>
        <w:pStyle w:val="TextoNormal"/>
      </w:pPr>
    </w:p>
    <w:p w:rsidR="00163957" w:rsidRDefault="00163957" w:rsidP="00163957">
      <w:pPr>
        <w:pStyle w:val="TextoNormal"/>
      </w:pPr>
      <w:r>
        <w:t>3º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veintiuno de enero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9" w:name="SENTENCIA_2016_6"/>
      <w:r>
        <w:lastRenderedPageBreak/>
        <w:t>SENTENCIA 6/2016, de 21 de enero de 2016</w:t>
      </w:r>
    </w:p>
    <w:bookmarkEnd w:id="9"/>
    <w:p w:rsidR="00163957" w:rsidRDefault="00163957" w:rsidP="00163957">
      <w:pPr>
        <w:pStyle w:val="TtuloResolucin"/>
      </w:pPr>
      <w:r>
        <w:t>Pleno</w:t>
      </w:r>
    </w:p>
    <w:p w:rsidR="00163957" w:rsidRDefault="00163957" w:rsidP="00163957">
      <w:pPr>
        <w:pStyle w:val="TtuloBOE"/>
      </w:pPr>
      <w:r>
        <w:t>(BOE núm. 45, de 22 de febrero de 2016)</w:t>
      </w:r>
    </w:p>
    <w:p w:rsidR="00163957" w:rsidRDefault="00163957" w:rsidP="00163957">
      <w:pPr>
        <w:pStyle w:val="TextoNormalCentrado"/>
      </w:pPr>
      <w:r>
        <w:t>ECLI:ES:TC:2016:6</w:t>
      </w:r>
    </w:p>
    <w:p w:rsidR="00163957" w:rsidRDefault="00163957" w:rsidP="00163957">
      <w:pPr>
        <w:pStyle w:val="TextoNormalCentrado"/>
      </w:pPr>
    </w:p>
    <w:p w:rsidR="00163957" w:rsidRDefault="00163957" w:rsidP="00163957">
      <w:pPr>
        <w:pStyle w:val="SntesisDescriptiva"/>
      </w:pPr>
      <w:r>
        <w:t>Recurso de inconstitucionalidad 4906-2013. Interpuesto por el Consejo de Gobierno de Andalucía en relación con diversos preceptos de la Ley 2/2013, de 29 de mayo, de protección y uso sostenible del litoral y de modificación de la Ley 22/1988, de 28 de julio, de costas.</w:t>
      </w:r>
    </w:p>
    <w:p w:rsidR="00163957" w:rsidRDefault="00163957" w:rsidP="00163957">
      <w:pPr>
        <w:pStyle w:val="SntesisDescriptiva"/>
      </w:pPr>
    </w:p>
    <w:p w:rsidR="00163957" w:rsidRDefault="00163957" w:rsidP="00163957">
      <w:pPr>
        <w:pStyle w:val="SntesisAnaltica"/>
      </w:pPr>
      <w:r>
        <w:t>Régimen de los bienes demaniales, principio de autonomía local y competencias sobre ordenación del territorio, urbanismo y publicidad: constitucionalidad de los preceptos legales estatales que establecen los criterios técnicos para la fijación del límite interior de la zona marítimo-terrestre, ocupación del demanio público y usos de las zonas de servidumbre, suspensión de acuerdos municipales y régimen transitorio del suelo urbano (STC 233/2015).</w:t>
      </w:r>
    </w:p>
    <w:p w:rsidR="00163957" w:rsidRDefault="00163957" w:rsidP="00163957">
      <w:pPr>
        <w:pStyle w:val="SntesisAnaltica"/>
      </w:pPr>
    </w:p>
    <w:p w:rsidR="00163957" w:rsidRDefault="00163957" w:rsidP="00163957">
      <w:pPr>
        <w:pStyle w:val="Extracto"/>
      </w:pPr>
      <w:r>
        <w:t>1.</w:t>
      </w:r>
      <w:r>
        <w:tab/>
        <w:t>Aplica la doctrina contenida en la STC 233/2015 sobre el dominio público marítimo-terrestre y la libertad de configuración del legislador [FJ 3].</w:t>
      </w:r>
    </w:p>
    <w:p w:rsidR="00163957" w:rsidRDefault="00163957" w:rsidP="00163957">
      <w:pPr>
        <w:pStyle w:val="Extracto"/>
      </w:pPr>
    </w:p>
    <w:p w:rsidR="00163957" w:rsidRDefault="00163957" w:rsidP="00163957">
      <w:pPr>
        <w:pStyle w:val="Extracto"/>
      </w:pPr>
      <w:r>
        <w:t>2.</w:t>
      </w:r>
      <w:r>
        <w:tab/>
        <w:t>El precepto relativo a la publicidad en la zona de servidumbre de protección no vulnera las competencias autonómicas en materia de ordenación del territorio y urbanismo (STC 149/1991) y tampoco cabe encuadrar esta regulación en la competencia autonómica en materia de publicidad (STC 146/1996) [FJ 4.a)].</w:t>
      </w:r>
    </w:p>
    <w:p w:rsidR="00163957" w:rsidRDefault="00163957" w:rsidP="00163957">
      <w:pPr>
        <w:pStyle w:val="Extracto"/>
      </w:pPr>
    </w:p>
    <w:p w:rsidR="00163957" w:rsidRDefault="00163957" w:rsidP="00163957">
      <w:pPr>
        <w:pStyle w:val="Extracto"/>
      </w:pPr>
      <w:r>
        <w:t>3.</w:t>
      </w:r>
      <w:r>
        <w:tab/>
        <w:t>Aplica la doctrina contenida en la STC 233/2015 sobre el régimen de ocupación y uso de las playas [FJ 4.b)].</w:t>
      </w:r>
    </w:p>
    <w:p w:rsidR="00163957" w:rsidRDefault="00163957" w:rsidP="00163957">
      <w:pPr>
        <w:pStyle w:val="Extracto"/>
      </w:pPr>
    </w:p>
    <w:p w:rsidR="00163957" w:rsidRDefault="00163957" w:rsidP="00163957">
      <w:pPr>
        <w:pStyle w:val="Extracto"/>
      </w:pPr>
      <w:r>
        <w:t>4.</w:t>
      </w:r>
      <w:r>
        <w:tab/>
        <w:t>Aplica la doctrina contenida en la STC 149/1991 sobre la revocación unilateral de las autorizaciones en zona de dominio público [FJ 4.c)].</w:t>
      </w:r>
    </w:p>
    <w:p w:rsidR="00163957" w:rsidRDefault="00163957" w:rsidP="00163957">
      <w:pPr>
        <w:pStyle w:val="Extracto"/>
      </w:pPr>
    </w:p>
    <w:p w:rsidR="00163957" w:rsidRDefault="00163957" w:rsidP="00163957">
      <w:pPr>
        <w:pStyle w:val="Extracto"/>
      </w:pPr>
      <w:r>
        <w:t>5.</w:t>
      </w:r>
      <w:r>
        <w:tab/>
        <w:t>Desde la perspectiva de la autonomía local constitucionalmente garantizada, el precepto relativo a la suspensión de actos y acuerdos de entidades locales por parte del Delegado del Gobierno cumple las exigencias de la doctrina constitucional, al estar prevista la suspensión en norma con rango de ley, acotado su objeto con precisión suficiente e incidir claramente en intereses supralocales, como son los relativos a la protección y defensa de la integridad del dominio público marítimo-terrestre, de titularidad estatal [FJ 4.d)].</w:t>
      </w:r>
    </w:p>
    <w:p w:rsidR="00163957" w:rsidRDefault="00163957" w:rsidP="00163957">
      <w:pPr>
        <w:pStyle w:val="Extracto"/>
      </w:pPr>
    </w:p>
    <w:p w:rsidR="00163957" w:rsidRDefault="00163957" w:rsidP="00163957">
      <w:pPr>
        <w:pStyle w:val="Extracto"/>
      </w:pPr>
      <w:r>
        <w:t>6.</w:t>
      </w:r>
      <w:r>
        <w:tab/>
        <w:t>Doctrina constitucional sobre los controles que afectan a la actividad local (SSTC 4/1981 y 154/2015) [FJ 4.d)].</w:t>
      </w:r>
    </w:p>
    <w:p w:rsidR="00163957" w:rsidRDefault="00163957" w:rsidP="00163957">
      <w:pPr>
        <w:pStyle w:val="Extracto"/>
      </w:pPr>
    </w:p>
    <w:p w:rsidR="00163957" w:rsidRDefault="00163957" w:rsidP="00163957">
      <w:pPr>
        <w:pStyle w:val="Extracto"/>
      </w:pPr>
      <w:r>
        <w:t>7.</w:t>
      </w:r>
      <w:r>
        <w:tab/>
        <w:t>Es constitucionalmente legítima la intervención de un órgano estatal a través de un mecanismo cautelar y extraordinario, cuando el acto local afectado por la medida de suspensión pueda comprometer la integridad del demanio, la preservación de sus características naturales o su libre utilización pública y gratuita, y que en última instancia queda sometido al control de la jurisdicción contencioso-administrativa, una potestad que responde  a la obligación estatal de impedir que la naturaleza de estos bienes y sus características sean destruidas o alteradas [FJ 4.d)].</w:t>
      </w:r>
    </w:p>
    <w:p w:rsidR="00163957" w:rsidRDefault="00163957" w:rsidP="00163957">
      <w:pPr>
        <w:pStyle w:val="Extracto"/>
      </w:pPr>
    </w:p>
    <w:p w:rsidR="00163957" w:rsidRDefault="00163957" w:rsidP="00163957">
      <w:pPr>
        <w:pStyle w:val="Extracto"/>
      </w:pPr>
      <w:r>
        <w:t>8.</w:t>
      </w:r>
      <w:r>
        <w:tab/>
        <w:t>Aplica la doctrina contenida en la STC 233/2015 sobre la disposición que establece el régimen de aplicación de la disposición de la Ley de Costas de 1988 que a su vez determinó el régimen aplicable a los terrenos que, a su entrada en vigor, estaban clasificados como suelo urbano [FJ 4.e)].</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4906-2013, promovido por el Consejo de Gobierno de Andalucía contra el art. 1, apartados 2, 11, 12, 18 y 38, y la disposición transitoria primera de la Ley 2/2013, de 29 de mayo, de protección y uso sostenible del litoral y de modificación de la Ley 22/1988, de 28 de julio, de costas. Ha comparecido y formulado alegaciones el Abogado del Estado. Ha sido Ponente el Magistrado don Fernando Valdés Dal-Ré,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1 de agosto de 2013, la Letrada de la Junta de Andalucía, en representación del Consejo de Gobierno, promueve recurso de inconstitucionalidad contra el art. 1, apartados 2, 11, 12, 18 y 38, y la disposición transitoria primera de la Ley 2/2013, de 29 de mayo, de protección y uso sostenible del litoral y de modificación de la Ley 22/1988, de 28 de julio, de costas. La impugnación se fundamenta en los motivos que, resumidamente, se exponen a continuación:</w:t>
      </w:r>
    </w:p>
    <w:p w:rsidR="00163957" w:rsidRDefault="00163957" w:rsidP="00163957">
      <w:pPr>
        <w:pStyle w:val="TextoNormal"/>
      </w:pPr>
    </w:p>
    <w:p w:rsidR="00163957" w:rsidRDefault="00163957" w:rsidP="00163957">
      <w:pPr>
        <w:pStyle w:val="TextoNormal"/>
      </w:pPr>
      <w:r>
        <w:t>a) De acuerdo con la doctrina recogida en la STC 149/1991, de 4 de julio, la titularidad estatal sobre el dominio público marítimo-terrestre no habilita como título atributivo de competencias, si bien ex art. 132.2, en relación con el art. 149.1.1 y 8, la Constitución reconoce como competencia propia del Estado la de definir el dominio público estatal y establecer el régimen jurídico de los bienes que lo integran y, como parte del mismo, las medidas destinadas a su protección.</w:t>
      </w:r>
    </w:p>
    <w:p w:rsidR="00163957" w:rsidRDefault="00163957" w:rsidP="00163957">
      <w:pPr>
        <w:pStyle w:val="TextoNormal"/>
      </w:pPr>
    </w:p>
    <w:p w:rsidR="00163957" w:rsidRDefault="00163957" w:rsidP="00163957">
      <w:pPr>
        <w:pStyle w:val="TextoNormal"/>
      </w:pPr>
      <w:r>
        <w:t xml:space="preserve">Tal régimen de protección del dominio público marítimo-terrestre, preordenado precisamente al mantenimiento de su integridad física y jurídica, de su uso público y de sus valores </w:t>
      </w:r>
      <w:r>
        <w:lastRenderedPageBreak/>
        <w:t>paisajísticos, se traduce en la imposición de límites y condicionantes que, de un lado, entran en directa confrontación con las competencias autonómicas en materia de ordenación del territorio, y de otro, no sólo alcanzan al dominio público marítimo-terrestre sino a la zona colindante, si bien en este último caso al amparo del art. 149.1.1 y 23 CE.</w:t>
      </w:r>
    </w:p>
    <w:p w:rsidR="00163957" w:rsidRDefault="00163957" w:rsidP="00163957">
      <w:pPr>
        <w:pStyle w:val="TextoNormal"/>
      </w:pPr>
    </w:p>
    <w:p w:rsidR="00163957" w:rsidRDefault="00163957" w:rsidP="00163957">
      <w:pPr>
        <w:pStyle w:val="TextoNormal"/>
      </w:pPr>
      <w:r>
        <w:t>Igualmente, señala la STC 149/1991 que los citados preceptos no agotan las posibilidades de intervención del Estado en el litoral, sino que existen otras competencias sectoriales que legitiman la acción normativa e incluso ejecutiva del Estado en supuestos concretos, como las enunciadas en el art. 149.1 CE, apartados 4, 8, 13, 20, 21 o 24.</w:t>
      </w:r>
    </w:p>
    <w:p w:rsidR="00163957" w:rsidRDefault="00163957" w:rsidP="00163957">
      <w:pPr>
        <w:pStyle w:val="TextoNormal"/>
      </w:pPr>
    </w:p>
    <w:p w:rsidR="00163957" w:rsidRDefault="00163957" w:rsidP="00163957">
      <w:pPr>
        <w:pStyle w:val="TextoNormal"/>
      </w:pPr>
      <w:r>
        <w:t>Desde la perspectiva autonómica, el título competencial que con mayor intensidad se proyecta sobre el litoral es precisamente el de ordenación del territorio y urbanismo, objeto de amplio análisis en las SSTC 61/1997, de 20 de marzo, y 46/2007, de 1 de marzo, teniendo en cuenta que para la jurisprudencia constitucional la ordenación del litoral no constituye una materia distinta, sino más bien una manifestación de la ordenación del territorio caracterizada por la singularidad del espacio sobre el que se proyecta. Junto a estas competencias en materia de ordenación del territorio y urbanismo, hay que señalar las competencias propias de la Comunidad Autónoma en materia de medio ambiente y, con un alcance menor, y por definición limitadas a porciones concretas del litoral, las relativas a espacios naturales protegidos, puertos de competencia de la Comunidad Autónoma o protección del patrimonio histórico-artístico, entre otras.</w:t>
      </w:r>
    </w:p>
    <w:p w:rsidR="00163957" w:rsidRDefault="00163957" w:rsidP="00163957">
      <w:pPr>
        <w:pStyle w:val="TextoNormal"/>
      </w:pPr>
    </w:p>
    <w:p w:rsidR="00163957" w:rsidRDefault="00163957" w:rsidP="00163957">
      <w:pPr>
        <w:pStyle w:val="TextoNormal"/>
      </w:pPr>
      <w:r>
        <w:t>Las relaciones entre la ordenación del territorio y las políticas sectoriales del Estado parten de la necesaria integración de las previsiones contenidas en los planeamientos sectoriales estatales en los instrumentos de planificación territorial, y del ejercicio por la Comunidad Autónoma de su competencia territorial de forma tal que no vulnere las competencias sectoriales. Ahora bien, ese título autonómico no se limita a la mera actividad de planificar, desde el punto de vista de su incidencia en el territorio, la actividad que por otros títulos haya de desarrollar la Administración sectorial competente, sino que condiciona materialmente la actuación de las demás Administraciones en el territorio (STC 40/1998, de 19 de febrero). De ahí que, teniendo el Estado constitucionalmente atribuidas una pluralidad de competencias dotadas de una clara dimensión espacial, en tanto que proyectadas de forma inmediata sobre el espacio físico, la concurrencia de competencias exija el establecimiento de fórmulas de cooperación.</w:t>
      </w:r>
    </w:p>
    <w:p w:rsidR="00163957" w:rsidRDefault="00163957" w:rsidP="00163957">
      <w:pPr>
        <w:pStyle w:val="TextoNormal"/>
      </w:pPr>
    </w:p>
    <w:p w:rsidR="00163957" w:rsidRDefault="00163957" w:rsidP="00163957">
      <w:pPr>
        <w:pStyle w:val="TextoNormal"/>
      </w:pPr>
      <w:r>
        <w:t>Volviendo al litoral, para que tal condicionamiento sea legítimo y no se transforme en usurpación ilegítima, es indispensable que el ejercicio de las competencias estatales se mantenga dentro de sus límites propios, sin utilizarlas para proceder, bajo su cobertura, a la ordenación del territorio en el que han de ejercerse (STC 149/1991). Lo que convierte en constitucionalmente legítimo el condicionamiento estatal a las competencias autonómicas es que su ejercicio ha de ir dirigido a garantizar la defensa y la protección integral de los bienes de dominio público.</w:t>
      </w:r>
    </w:p>
    <w:p w:rsidR="00163957" w:rsidRDefault="00163957" w:rsidP="00163957">
      <w:pPr>
        <w:pStyle w:val="TextoNormal"/>
      </w:pPr>
    </w:p>
    <w:p w:rsidR="00163957" w:rsidRDefault="00163957" w:rsidP="00163957">
      <w:pPr>
        <w:pStyle w:val="TextoNormal"/>
      </w:pPr>
      <w:r>
        <w:t xml:space="preserve">El hecho de que el art. 132 CE parta de realidades naturales no supone, como dice la reiterada STC 149/1991, que el legislador no pueda modificar las definiciones o los criterios definitorios de aquéllas, si bien veta que los mismos puedan ser tachados de irracionales o caprichosos, o que se aparten de la noción genérica de la zona marítimo-terrestre como zona en donde el mar entre en contacto con la tierra emergida, ni que difiera sustancialmente de </w:t>
      </w:r>
      <w:r>
        <w:lastRenderedPageBreak/>
        <w:t>los empleados con anterioridad. El legislador estatal necesariamente ha de partir de las realidades naturales que la Constitución marca sin desconocerlas, y al definir tales realidades naturales no puede acudir a criterios irracionales y caprichosos, que llegado el caso podrían ser también contrarios al principio de seguridad jurídica.</w:t>
      </w:r>
    </w:p>
    <w:p w:rsidR="00163957" w:rsidRDefault="00163957" w:rsidP="00163957">
      <w:pPr>
        <w:pStyle w:val="TextoNormal"/>
      </w:pPr>
    </w:p>
    <w:p w:rsidR="00163957" w:rsidRDefault="00163957" w:rsidP="00163957">
      <w:pPr>
        <w:pStyle w:val="TextoNormal"/>
      </w:pPr>
      <w:r>
        <w:t>Destaca expresamente dicha Sentencia que el legislador estatal no sólo está facultado, sino obligado a proteger el demanio marítimo-terrestre a fin de asegurar tanto el mantenimiento de su integridad física y jurídica, como su uso público y sus valores paisajísticos para servir a las funciones sociales contempladas en la Carta europea del litoral y que ampara el art. 45 CE. Ahora bien, aun cuando el título de la Ley 2/2013 se refiere a la protección y el uso sostenible del litoral, esta norma como reconoce la propia exposición de motivos va realmente dirigida, en la gran mayoría de sus medidas, a proporcionar seguridad jurídica a los propietarios existentes en el litoral, sobre todo a partir del llamado “Informe Auken” (Informe del Parlamento Europeo, de 20 de febrero de 2009, sobre el impacto de la urbanización extensiva en España en los derechos individuales de los ciudadanos europeos, el medio ambiente y la aplicación del Derecho comunitario), olvidándose, de un lado, de la problemática del urbanismo masivo producido a raíz de la Ley del suelo de 1998 (al que también hace referencia dicho informe) y, de otro, de la STEDH de 29 de marzo de 2010, Depalle vs. Francia, que señala que los derribos sin indemnización de viviendas al borde del mar, en terrenos de dominio público, no vulneran el derecho a la propiedad recogido en el Convenio Europeo de Derechos Humanos, al entender que estos derribos persiguen un fin de interés general, como es el de fomentar el libre acceso a la orilla. Interés que ocupa un lugar preeminente, especialmente ante la necesidad creciente de proteger la costa.</w:t>
      </w:r>
    </w:p>
    <w:p w:rsidR="00163957" w:rsidRDefault="00163957" w:rsidP="00163957">
      <w:pPr>
        <w:pStyle w:val="TextoNormal"/>
      </w:pPr>
    </w:p>
    <w:p w:rsidR="00163957" w:rsidRDefault="00163957" w:rsidP="00163957">
      <w:pPr>
        <w:pStyle w:val="TextoNormal"/>
      </w:pPr>
      <w:r>
        <w:t>La Ley impugnada vulnera el art. 132 en relación con el art. 45 CE, pues con esta regulación el legislador estatal ha ejercido su competencia no para proteger el litoral, como es su obligación (STC 149/1991), sino para satisfacer intereses ajenos al interés general digno de protección. Todo ello, con independencia de la vulneración de otros preceptos constitucionales en que incurren algunos preceptos.</w:t>
      </w:r>
    </w:p>
    <w:p w:rsidR="00163957" w:rsidRDefault="00163957" w:rsidP="00163957">
      <w:pPr>
        <w:pStyle w:val="TextoNormal"/>
      </w:pPr>
    </w:p>
    <w:p w:rsidR="00163957" w:rsidRDefault="00163957" w:rsidP="00163957">
      <w:pPr>
        <w:pStyle w:val="TextoNormal"/>
      </w:pPr>
      <w:r>
        <w:t>b) El art. 1.2 de la Ley 2/2013 modifica el art. 3.1, apartados a) y b) de la Ley 22/1988, de 28 de julio, de costas (en adelante, LC).</w:t>
      </w:r>
    </w:p>
    <w:p w:rsidR="00163957" w:rsidRDefault="00163957" w:rsidP="00163957">
      <w:pPr>
        <w:pStyle w:val="TextoNormal"/>
      </w:pPr>
    </w:p>
    <w:p w:rsidR="00163957" w:rsidRDefault="00163957" w:rsidP="00163957">
      <w:pPr>
        <w:pStyle w:val="TextoNormal"/>
      </w:pPr>
      <w:r>
        <w:t>La nueva redacción del art. 3.1 a) LC vulnera el art. 132.2 CE. Sin desconocer que éste encomienda al legislador la configuración legal de la determinación del dominio público marítimo-terrestre, y que tal determinación no puede ser tachada de irracional, caprichosa o apartarse de la noción genérica de la zona marítimo-terrestre como zona en donde el mar entra en contacto con la tierra emergida, ni diferir sustancialmente de los criterios empleados con anterioridad para su definición (STC 149/1991), la nueva regulación convierte lo que ha de entenderse por zona marítimo-terrestre, categoría de la realidad demanializada ope Constitutionis, en algo coyuntural y variable, que se desvincula de una realidad natural objetiva e inmediatamente comprobable y se sujeta a unos criterios técnicos que pueden resultar ajenos a aquélla.</w:t>
      </w:r>
    </w:p>
    <w:p w:rsidR="00163957" w:rsidRDefault="00163957" w:rsidP="00163957">
      <w:pPr>
        <w:pStyle w:val="TextoNormal"/>
      </w:pPr>
    </w:p>
    <w:p w:rsidR="00163957" w:rsidRDefault="00163957" w:rsidP="00163957">
      <w:pPr>
        <w:pStyle w:val="TextoNormal"/>
      </w:pPr>
      <w:r>
        <w:t>Hasta ahora, las realidades físicas y constatables, independientes de cualquier opinión o valoración subjetiva, eran la línea de bajamar escorada y el límite de las olas en los mayores temporales conocidos, y la delimitación se hacía de acuerdo con las referencias comproba</w:t>
      </w:r>
      <w:r>
        <w:lastRenderedPageBreak/>
        <w:t>das de que se disponía; es decir, partía de la mera remisión a la constatación de datos fácticos. Con la nueva regulación, la delimitación de las mismas realidades físicas y constatables se sujeta a unos criterios técnicos que no se fijan en la Ley, tal y como exige el art. 132 CE, sino que quedan indefinidos al remitirse a un reglamento posterior.</w:t>
      </w:r>
    </w:p>
    <w:p w:rsidR="00163957" w:rsidRDefault="00163957" w:rsidP="00163957">
      <w:pPr>
        <w:pStyle w:val="TextoNormal"/>
      </w:pPr>
    </w:p>
    <w:p w:rsidR="00163957" w:rsidRDefault="00163957" w:rsidP="00163957">
      <w:pPr>
        <w:pStyle w:val="TextoNormal"/>
      </w:pPr>
      <w:r>
        <w:t>La nueva redacción del art. 3.1.b) LC vulnera igualmente el art 132 en relación con el art. 45 CE, por cuanto rebaja el régimen de protección de los bienes de dominio público marítimo-terrestre al que el legislador estatal se encuentra vinculado positivamente (STC 149/1991), al excluir las playas formadas por causas artificiales y las dunas artificiales y muertas, bienes que con la anterior regulación se encontraban incluidos en el dominio público. Con ello permite la existencia de enclaves privados, en contra de lo dispuesto por el art. 132.2 CE, que demanializa las playas sin distinción alguna.</w:t>
      </w:r>
    </w:p>
    <w:p w:rsidR="00163957" w:rsidRDefault="00163957" w:rsidP="00163957">
      <w:pPr>
        <w:pStyle w:val="TextoNormal"/>
      </w:pPr>
    </w:p>
    <w:p w:rsidR="00163957" w:rsidRDefault="00163957" w:rsidP="00163957">
      <w:pPr>
        <w:pStyle w:val="TextoNormal"/>
      </w:pPr>
      <w:r>
        <w:t>En igual vicio de inconstitucionalidad incurre la exclusión de las dunas artificiales y muertas, pues carece de justificación que, después de incluir con buen criterio las dunas en el concepto de playa, al ser zonas de depósito de materiales sueltos, luego se limite tal consideración al concepto de duna viva, remitiéndose para su acotación no ya a criterios reglamentarios, sino incluso a actos administrativos posteriores que se realicen con ocasión de la práctica del deslinde. La regulación impugnada no tiene en cuenta el valor instrumental que tienen las dunas para la protección del ecosistema y de la obra pública en general, realizando por tanto una interpretación del art. 132 CE que resulta incompatible no sólo con su sentido sino también con el art. 45 CE, por cuanto el legislador estatal omite su obligación de proteger el demanio marítimo-terrestre, al no mantener su integridad física y jurídica, su uso público y sus valores paisajísticos, que en cambio sí protegía la regulación ahora modificada.</w:t>
      </w:r>
    </w:p>
    <w:p w:rsidR="00163957" w:rsidRDefault="00163957" w:rsidP="00163957">
      <w:pPr>
        <w:pStyle w:val="TextoNormal"/>
      </w:pPr>
    </w:p>
    <w:p w:rsidR="00163957" w:rsidRDefault="00163957" w:rsidP="00163957">
      <w:pPr>
        <w:pStyle w:val="TextoNormal"/>
      </w:pPr>
      <w:r>
        <w:t>Desde el punto de vista de las ciencias ambientales, las dunas son un ecosistema de transición entre la playa y tierra firme. La zona intermareal de la playa presenta unas condiciones ambientales muy difíciles para la vida: inestabilidad del terreno, alta salinidad, grandes variaciones de temperatura, sequedad y anegabilidad. En este sentido, las dunas realizan funciones como la estabilización de la línea de costa, la protección de la playa y de la línea de costa, la ganancia de terreno al mar, la retención de la arena para evitar la invasión de las zonas interiores, y el asentamiento de especies colonizadoras. Sin embargo, este ecosistema pionero es muy inestable ante la intervención humana y se encuentra en fase de degradación y extinción, motivo por el cual es necesario protegerlo para evitar su desaparición. En definitiva, como ha señalado la Unión Internacional por la Conservación de la Naturaleza, “los ecosistemas de las dunas cumplen un papel vital en la protección del litoral y prevención de los riesgos causados por la elevación del nivel del mar ante el cambio climático de la región mediterránea y su recuperación y conservación permiten aumentar la resiliencia y adaptación de estos ecosistemas costeros al cambio climático y contribuyen a la fijación de nuestras playas, recursos esenciales para el turismo”.</w:t>
      </w:r>
    </w:p>
    <w:p w:rsidR="00163957" w:rsidRDefault="00163957" w:rsidP="00163957">
      <w:pPr>
        <w:pStyle w:val="TextoNormal"/>
      </w:pPr>
    </w:p>
    <w:p w:rsidR="00163957" w:rsidRDefault="00163957" w:rsidP="00163957">
      <w:pPr>
        <w:pStyle w:val="TextoNormal"/>
      </w:pPr>
      <w:r>
        <w:t>c) El art. 1.11 de la Ley 2/2013 introduce un nuevo apartado 4 en el art. 25 LC que infringe las competencias exclusivas de la Comunidad Autónoma en materia de publicidad [art. 70 del Estatuto de Autonomía para Andalucía (EAAnd)].</w:t>
      </w:r>
    </w:p>
    <w:p w:rsidR="00163957" w:rsidRDefault="00163957" w:rsidP="00163957">
      <w:pPr>
        <w:pStyle w:val="TextoNormal"/>
      </w:pPr>
    </w:p>
    <w:p w:rsidR="00163957" w:rsidRDefault="00163957" w:rsidP="00163957">
      <w:pPr>
        <w:pStyle w:val="TextoNormal"/>
      </w:pPr>
      <w:r>
        <w:t xml:space="preserve">Los títulos de intervención del Estado en el litoral se vinculan bien de manera directa e inmediata a su titularidad demanial en el dominio público marítimo-terrestre, bien a otros </w:t>
      </w:r>
      <w:r>
        <w:lastRenderedPageBreak/>
        <w:t>títulos competenciales, singularmente los establecidos en el art. 149.1.1 y 23 CE, cuando de lo que se trata es de establecer limitaciones en la zona de servidumbre de protección. La regulación contenida en el nuevo art. 25.4 LC no puede incardinarse en dichos títulos competenciales, pues, aunque pueda entenderse que la fijación de las limitaciones para la realización de publicidad dentro de la zona de servidumbre de protección se encuentre dentro de las competencias estatales recogidas en el artículo 149.1.1 CE, el establecimiento de las condiciones para autorizar la publicidad, tanto en relación con su contenido como con su ubicación dentro de la servidumbre de protección, corresponde a la Comunidad Autónoma de Andalucía en virtud de sus competencias exclusivas en las materias de publicidad, en general (art. 70 EAAnd y STC 146/1996, de 19 de septiembre), y de ordenación del territorio y urbanismo, en particular (arts. 148.1.3 CE y 56 EAAnd).</w:t>
      </w:r>
    </w:p>
    <w:p w:rsidR="00163957" w:rsidRDefault="00163957" w:rsidP="00163957">
      <w:pPr>
        <w:pStyle w:val="TextoNormal"/>
      </w:pPr>
    </w:p>
    <w:p w:rsidR="00163957" w:rsidRDefault="00163957" w:rsidP="00163957">
      <w:pPr>
        <w:pStyle w:val="TextoNormal"/>
      </w:pPr>
      <w:r>
        <w:t>d) El art. 1.12 de la Ley 2/2013 introduce un nuevo apartado 6 en el art. 33 LC que infringe las competencias autonómicas en materia de ordenación del territorio y urbanismo (arts. 148.1.3 CE y 56 EAAnd).</w:t>
      </w:r>
    </w:p>
    <w:p w:rsidR="00163957" w:rsidRDefault="00163957" w:rsidP="00163957">
      <w:pPr>
        <w:pStyle w:val="TextoNormal"/>
      </w:pPr>
    </w:p>
    <w:p w:rsidR="00163957" w:rsidRDefault="00163957" w:rsidP="00163957">
      <w:pPr>
        <w:pStyle w:val="TextoNormal"/>
      </w:pPr>
      <w:r>
        <w:t>Sobre los apartados 2 a 5 del art. 33 LC, la STC 149/1991 ya estableció claramente la distribución competencial en lo que concierne al régimen de utilización y ocupación de las playas, señalando que corresponde al Estado la fijación de máximos y mínimos, quedando para la Administración competente en materia de ordenación del territorio y del litoral la aprobación de los correspondientes instrumentos de ordenación territorial y urbanística, así como la fijación de los criterios a los que han de acomodarse las edificaciones e instalaciones. El nuevo art. 33.6 LC desborda lo constitucionalmente admisible al habilitar a la Administración del Estado para regular el régimen global de ocupación y uso de las playas, sin limitarse al establecimiento de tales mínimos y máximos.</w:t>
      </w:r>
    </w:p>
    <w:p w:rsidR="00163957" w:rsidRDefault="00163957" w:rsidP="00163957">
      <w:pPr>
        <w:pStyle w:val="TextoNormal"/>
      </w:pPr>
    </w:p>
    <w:p w:rsidR="00163957" w:rsidRDefault="00163957" w:rsidP="00163957">
      <w:pPr>
        <w:pStyle w:val="TextoNormal"/>
      </w:pPr>
      <w:r>
        <w:t>e) El art. 1.18 de la Ley 2/2013 modifica el art. 55.1 LC, con infracción de las competencias autonómicas en materia de ordenación del territorio y urbanismo (arts. 148.1.3 CE y 56 EAAnd).</w:t>
      </w:r>
    </w:p>
    <w:p w:rsidR="00163957" w:rsidRDefault="00163957" w:rsidP="00163957">
      <w:pPr>
        <w:pStyle w:val="TextoNormal"/>
      </w:pPr>
    </w:p>
    <w:p w:rsidR="00163957" w:rsidRDefault="00163957" w:rsidP="00163957">
      <w:pPr>
        <w:pStyle w:val="TextoNormal"/>
      </w:pPr>
      <w:r>
        <w:t>Si bien la redacción anterior del precepto ya preveía la posibilidad de revocar una autorización por su incompatibilidad con la normativa posterior a aquélla, la STC 149/1991 precisó que, cuando la normativa sobrevenida deba ser ejecutada por la Comunidad Autónoma, es ésta exclusivamente la que habrá de resolver si se debe o no impedir que continúe la utilización autorizada en su día, de manera que la resolución dictada por la Administración del Estado queda en cierto sentido vinculada por la resolución autonómica dictada en el ejercicio de sus competencias sectoriales.</w:t>
      </w:r>
    </w:p>
    <w:p w:rsidR="00163957" w:rsidRDefault="00163957" w:rsidP="00163957">
      <w:pPr>
        <w:pStyle w:val="TextoNormal"/>
      </w:pPr>
    </w:p>
    <w:p w:rsidR="00163957" w:rsidRDefault="00163957" w:rsidP="00163957">
      <w:pPr>
        <w:pStyle w:val="TextoNormal"/>
      </w:pPr>
      <w:r>
        <w:t>Aun cuando la nueva regulación parte del principio ya existente de conservación de la autorización, de manera que su titular pueda adaptarla a la nueva normativa, el inciso añadido al precepto parece reservar el juicio de compatibilidad con la nueva normativa a la Administración del Estado, sin encontrarse vinculada por la resolución autonómica que, en ejercicio de sus competencias en materia de ordenación del territorio y urbanismo, es la que debe determinar si se ha producido o no la adaptación y, por tanto, si se debe revocar o no la autorización.</w:t>
      </w:r>
    </w:p>
    <w:p w:rsidR="00163957" w:rsidRDefault="00163957" w:rsidP="00163957">
      <w:pPr>
        <w:pStyle w:val="TextoNormal"/>
      </w:pPr>
    </w:p>
    <w:p w:rsidR="00163957" w:rsidRDefault="00163957" w:rsidP="00163957">
      <w:pPr>
        <w:pStyle w:val="TextoNormal"/>
      </w:pPr>
      <w:r>
        <w:t xml:space="preserve">Entender dicho precepto en el sentido indicado supone que la Administración estatal se excedería en sus posibilidades de actuación inherentes a la titularidad demanial del Estado. </w:t>
      </w:r>
      <w:r>
        <w:lastRenderedPageBreak/>
        <w:t>Por tanto, se pretende con este recurso que el Tribunal Constitucional se pronuncie efectuando, respecto de este precepto, la única interpretación constitucionalmente posible del mismo, cual es que son las Comunidades Autónomas las que han de realizar el juicio de compatibilidad con la nueva normativa, si se ha producido o no la adaptación a la misma y, en su caso, la decisión de revocar o no la autorización.</w:t>
      </w:r>
    </w:p>
    <w:p w:rsidR="00163957" w:rsidRDefault="00163957" w:rsidP="00163957">
      <w:pPr>
        <w:pStyle w:val="TextoNormal"/>
      </w:pPr>
    </w:p>
    <w:p w:rsidR="00163957" w:rsidRDefault="00163957" w:rsidP="00163957">
      <w:pPr>
        <w:pStyle w:val="TextoNormal"/>
      </w:pPr>
      <w:r>
        <w:t>f) El art. 1.38 de la Ley 2/2013 introduce un nuevo apartado 2 en el art. 119 LC que incurre en infracción del principio de autonomía local garantizada en el art. 140 CE, y de las competencias autonómicas en materia de ordenación del territorio y urbanismo (arts. 148.1.3 CE y 56 EAAnd).</w:t>
      </w:r>
    </w:p>
    <w:p w:rsidR="00163957" w:rsidRDefault="00163957" w:rsidP="00163957">
      <w:pPr>
        <w:pStyle w:val="TextoNormal"/>
      </w:pPr>
    </w:p>
    <w:p w:rsidR="00163957" w:rsidRDefault="00163957" w:rsidP="00163957">
      <w:pPr>
        <w:pStyle w:val="TextoNormal"/>
      </w:pPr>
      <w:r>
        <w:t>La autonomía local goza de una garantía institucional con un contenido mínimo que el legislador debe respetar, siendo un derecho de la comunidad a participar, a través de sus órganos propios, en el gobierno y administración de cuantos asuntos le competan. Dicha garantía opera tanto frente al Estado como frente a las Comunidades Autónomas, permitiéndose configuraciones diversas y válidas en cuanto respeten ese contenido institucional (SSTC 84/1982, de 23 de diciembre; 170/1989, de 19 de octubre, y 46/1992, de 2 de abril).</w:t>
      </w:r>
    </w:p>
    <w:p w:rsidR="00163957" w:rsidRDefault="00163957" w:rsidP="00163957">
      <w:pPr>
        <w:pStyle w:val="TextoNormal"/>
      </w:pPr>
    </w:p>
    <w:p w:rsidR="00163957" w:rsidRDefault="00163957" w:rsidP="00163957">
      <w:pPr>
        <w:pStyle w:val="TextoNormal"/>
      </w:pPr>
      <w:r>
        <w:t>La posibilidad de suspensión de los actos de la Administración local introducida en el nuevo art. 119.2 LC vulnera claramente la autonomía local, puesto que se aparta de la doctrina constitucional expuesta en multitud de sentencias en relación con la excepcionalidad de una medida como ésta. Aunque la doctrina constitucional (STC 4/1981, de 2 de febrero, FJ 3, entre otras) ha considerado que, en principio, los controles administrativos de legalidad no afectan al núcleo central de la autonomía local, también ha expuesto que ello no obsta a que el legislador, en ejercicio de una legítima opción política, pueda ampliar el ámbito de la autonomía local y establecer con carácter general la desaparición de esos controles. Desde esta perspectiva, la STC 46/1992, de 2 de abril, subraya que el legislador estatal ha desarrollado el art. 149.1.18 CE mediante la Ley 7/1985, reguladora de las bases de régimen local (LBRL), cuyos arts. 65 y 66 regulan la impugnación de actos y acuerdos de las corporaciones locales, estableciendo que su suspensión es sólo potestad de los Tribunales, con la excepción, en favor del Delegado del Gobierno, recogida en el art. 67. Tal norma es básica en el sentido material (STC 213/1988, de 11 de noviembre), habiendo sido puesto de manifiesto su carácter extraordinario y excepcional en las SSTC 214/1989, de 21 de diciembre, y 148/1991, de 4 de julio.</w:t>
      </w:r>
    </w:p>
    <w:p w:rsidR="00163957" w:rsidRDefault="00163957" w:rsidP="00163957">
      <w:pPr>
        <w:pStyle w:val="TextoNormal"/>
      </w:pPr>
    </w:p>
    <w:p w:rsidR="00163957" w:rsidRDefault="00163957" w:rsidP="00163957">
      <w:pPr>
        <w:pStyle w:val="TextoNormal"/>
      </w:pPr>
      <w:r>
        <w:t>En el nuevo art. 119.2 LC no queda justificada esta suspensión excepcional en una supuesta lesión grave a un interés general de España, sino en la circunstancia de que la actuación local afecte a la integridad del dominio público marítimo-terrestre o de la servidumbre de protección, o que suponga una infracción manifiesta del art. 25 LC. Se margina así injustificadamente el control judicial, que solamente entraría en juego a posteriori. En este sentido, la STC 14/1981, de 29 de abril, ya señalaba que “la suspensión gubernativa de acuerdos municipales sin otra razón que el control de legalidad en materia que corresponda al ámbito competencial exclusivo de las Entidades Locales no es compatible con la autonomía, que hoy proclama el artículo 137 de la Constitución, porque entraña una tutela sin otro fundamento que la defensa de la legalidad ejercitable por una vía excepcional”.</w:t>
      </w:r>
    </w:p>
    <w:p w:rsidR="00163957" w:rsidRDefault="00163957" w:rsidP="00163957">
      <w:pPr>
        <w:pStyle w:val="TextoNormal"/>
      </w:pPr>
    </w:p>
    <w:p w:rsidR="00163957" w:rsidRDefault="00163957" w:rsidP="00163957">
      <w:pPr>
        <w:pStyle w:val="TextoNormal"/>
      </w:pPr>
      <w:r>
        <w:lastRenderedPageBreak/>
        <w:t>Por tanto, encontrándose el nuevo art. 119.2 LC fuera del supuesto recogido en el art. 67 LBRL, que encuentra su justificación en que la actuación de la Administración local suponga un atentado grave al interés general de España, ha de entenderse que vulnera la autonomía local garantizada por el art. 140 CE.</w:t>
      </w:r>
    </w:p>
    <w:p w:rsidR="00163957" w:rsidRDefault="00163957" w:rsidP="00163957">
      <w:pPr>
        <w:pStyle w:val="TextoNormal"/>
      </w:pPr>
    </w:p>
    <w:p w:rsidR="00163957" w:rsidRDefault="00163957" w:rsidP="00163957">
      <w:pPr>
        <w:pStyle w:val="TextoNormal"/>
      </w:pPr>
      <w:r>
        <w:t>De igual manera, el precepto invade las competencias exclusivas de la Comunidad Autónoma en materia de ordenación del territorio y urbanismo (arts. 148.1.3 CE y 56 EAAnd), por cuanto la posibilidad de dicha actuación extraordinaria y excepcional se prevé no sólo para las afecciones al dominio público, sino también para las afecciones que se produzcan en la zona de servidumbre de protección, que no quedan amparadas por las competencias estatales.</w:t>
      </w:r>
    </w:p>
    <w:p w:rsidR="00163957" w:rsidRDefault="00163957" w:rsidP="00163957">
      <w:pPr>
        <w:pStyle w:val="TextoNormal"/>
      </w:pPr>
    </w:p>
    <w:p w:rsidR="00163957" w:rsidRDefault="00163957" w:rsidP="00163957">
      <w:pPr>
        <w:pStyle w:val="TextoNormal"/>
      </w:pPr>
      <w:r>
        <w:t>g) La disposición transitoria primera de la Ley 2/2013 infringe las competencias autonómicas en materia de ordenación del territorio y urbanismo (arts. 148.1.3 CE y 56 EAAnd).</w:t>
      </w:r>
    </w:p>
    <w:p w:rsidR="00163957" w:rsidRDefault="00163957" w:rsidP="00163957">
      <w:pPr>
        <w:pStyle w:val="TextoNormal"/>
      </w:pPr>
    </w:p>
    <w:p w:rsidR="00163957" w:rsidRDefault="00163957" w:rsidP="00163957">
      <w:pPr>
        <w:pStyle w:val="TextoNormal"/>
      </w:pPr>
      <w:r>
        <w:t>Esta disposición transitoria pretende ampliar la aplicación de los efectos de la disposición transitoria tercera.3 LC a los núcleos o áreas que, a su entrada en vigor, no estuvieran clasificados como suelo urbano pero que reunieran en ese momento determinados requisitos que se recogen en dicha disposición. Para ello, la norma no duda en realizar una regulación que invade claramente las competencias autonómicas exclusivas en materia de urbanismo, llegando incluso a introducir estándares urbanísticos y crear a esos efectos una nueva categoría de suelo asimilado al urbano.</w:t>
      </w:r>
    </w:p>
    <w:p w:rsidR="00163957" w:rsidRDefault="00163957" w:rsidP="00163957">
      <w:pPr>
        <w:pStyle w:val="TextoNormal"/>
      </w:pPr>
    </w:p>
    <w:p w:rsidR="00163957" w:rsidRDefault="00163957" w:rsidP="00163957">
      <w:pPr>
        <w:pStyle w:val="TextoNormal"/>
      </w:pPr>
      <w:r>
        <w:t>El legislador estatal no tiene título alguno que le ampare para introducir la regulación que ahora se impugna, como se desprende de la doctrina de la STC 61/1997, de 20 de marzo, en relación al art. 149.1.1 CE, y las anteriores SSTC 194/1994, de 23 de junio, FJ 4, y 43/1996, de 14 de marzo, FJ 2. En ellas el Tribunal ya afirmó que dicho precepto no habilitaba para efectuar una regulación uniforme de la propiedad privada ni su función social, pues no se trata de establecer una identidad de situaciones en cualquier zona del territorio nacional, ni para regular la política autonómica sectorial correspondiente, puesto que tal resultado supondría vaciar de todo contenido la competencia autonómica.</w:t>
      </w:r>
    </w:p>
    <w:p w:rsidR="00163957" w:rsidRDefault="00163957" w:rsidP="00163957">
      <w:pPr>
        <w:pStyle w:val="TextoNormal"/>
      </w:pPr>
    </w:p>
    <w:p w:rsidR="00163957" w:rsidRDefault="00163957" w:rsidP="00163957">
      <w:pPr>
        <w:pStyle w:val="TextoNormal"/>
      </w:pPr>
      <w:r>
        <w:t>Por otro lado, ninguno de los restantes títulos competenciales del Estado susceptibles de afectar al urbanismo, como son los referidos a la legislación civil (art. 149.1.8 CE), bases del régimen jurídico de las Administraciones públicas, procedimiento administrativo común, legislación sobre expropiación forzosa y sistema de responsabilidad de todas las Administraciones públicas (art. 149.1.18 CE), planificación general de la actividad económica (art. 149.1.13 CE) o protección del medio ambiente (art. 149.1.23 CE) justifican la regulación de esta disposición, como ya señalaba la STC 159/2001, de 5 de julio.</w:t>
      </w:r>
    </w:p>
    <w:p w:rsidR="00163957" w:rsidRDefault="00163957" w:rsidP="00163957">
      <w:pPr>
        <w:pStyle w:val="TextoNormal"/>
      </w:pPr>
    </w:p>
    <w:p w:rsidR="00163957" w:rsidRDefault="00163957" w:rsidP="00163957">
      <w:pPr>
        <w:pStyle w:val="TextoNormal"/>
      </w:pPr>
      <w:r>
        <w:t>La disposición impugnada invade la competencia autonómica al afectar claramente a la clasificación del suelo, al extender la aplicación de un régimen previsto para el suelo urbano a otros que carecen de esas características, sin tener competencia para ello.</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Por providencia de 8 de octubre de 2013, el Pleno, a propuesta de la Sección Cuarta, acordó admitir a trámite el recurso y, de conformidad con lo establecido en el art. 34 de la Ley Orgánica del Tribunal Constitucional (LOTC), dar traslado de la demanda al Congreso de los Diputados, al Senado y al Gobierno, al objeto de personarse en el proceso y formular </w:t>
      </w:r>
      <w:r>
        <w:lastRenderedPageBreak/>
        <w:t>alegaciones en el plazo de quince días. Asimismo se ordenó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Con fecha 18 de octubre de 2013, el Abogado del Estado se personó en el proceso en nombre del Gobierno, solicitando una prórroga en el plazo concedido para formular alegaciones, prórroga de ocho días en el plazo ordinario, que le fue concedida por providencia de 21 de octubre de 2013. En el escrito de alegaciones registrado con fecha 18 de noviembre de 2013, insta la desestimación íntegra del recurso en atención a la argumentación que se sintetiza seguidamente:</w:t>
      </w:r>
    </w:p>
    <w:p w:rsidR="00163957" w:rsidRDefault="00163957" w:rsidP="00163957">
      <w:pPr>
        <w:pStyle w:val="TextoNormal"/>
      </w:pPr>
    </w:p>
    <w:p w:rsidR="00163957" w:rsidRDefault="00163957" w:rsidP="00163957">
      <w:pPr>
        <w:pStyle w:val="TextoNormal"/>
      </w:pPr>
      <w:r>
        <w:t>a) El recurso anticipa y se basa en una concepción constitucionalmente autosuficiente del dominio público marítimo-terrestre, en realidad, de las partes de éste que enumera el art. 132.2 CE, a saber: la zona marítimo-terrestre, las playas, el mar territorial y los recursos naturales de la zona económica y la plataforma continental. Se trata del que comúnmente se conoce como dominio público marítimo-terrestre natural o necesario, por oposición al que el legislador puede designar con absoluta libertad, como principia este precepto constitucional.</w:t>
      </w:r>
    </w:p>
    <w:p w:rsidR="00163957" w:rsidRDefault="00163957" w:rsidP="00163957">
      <w:pPr>
        <w:pStyle w:val="TextoNormal"/>
      </w:pPr>
    </w:p>
    <w:p w:rsidR="00163957" w:rsidRDefault="00163957" w:rsidP="00163957">
      <w:pPr>
        <w:pStyle w:val="TextoNormal"/>
      </w:pPr>
      <w:r>
        <w:t>La Ley de costas parte de esta diferencia. En su art. 3 se ocupa del demanio natural (incluyendo a la zona marítimo-terrestre y a las playas en una categoría ajena a la Constitución, como es “la ribera del mar y de las rías”), mientras que en el art. 4 se refiere a los bienes que son dominio público por pura determinación legal. Respecto de la primera categoría, la Ley de costas se encargó de concretar y determinar aquello que es zona marítimo-terrestre y playa. No puede compartirse el argumento, que tampoco avala la jurisprudencia constitucional, de que la ley en este terreno se limite a una mera constatación, sino que establece criterios detallados que dotan de contenido jurídico a aquellos conceptos (STC 149/1991, FJ 2). Estos conceptos no pueden apartarse de su valor léxico, aunque son de advertir diferencias entre las definiciones del diccionario de la Real Academia Española y el concepto legal, y entre los utilizados por la Ley de costas de 1969 y los contenidos en la Ley de costas de 1988. Ello confirma que las menciones constitucionales a la zona marítimo-terrestre y a la playa no son suficientes para fijar sobre el terreno su extensión. La ley, sin separarse ni distorsionar lo que comúnmente se entiende por playa y zona marítimo-terrestre, concepto más técnico que común, debe concretar su alcance material.</w:t>
      </w:r>
    </w:p>
    <w:p w:rsidR="00163957" w:rsidRDefault="00163957" w:rsidP="00163957">
      <w:pPr>
        <w:pStyle w:val="TextoNormal"/>
      </w:pPr>
    </w:p>
    <w:p w:rsidR="00163957" w:rsidRDefault="00163957" w:rsidP="00163957">
      <w:pPr>
        <w:pStyle w:val="TextoNormal"/>
      </w:pPr>
      <w:r>
        <w:t>La Ley 2/2013 ha introducido un nuevo apartado en el que las definiciones de los accidentes geográficos dotan de contenido a los citados conceptos constitucionales. Debe descartarse la pretensión de amparar en la Constitución la petrificación de la extensión del dominio público marítimo-terrestre natural (de la ribera del mar).</w:t>
      </w:r>
    </w:p>
    <w:p w:rsidR="00163957" w:rsidRDefault="00163957" w:rsidP="00163957">
      <w:pPr>
        <w:pStyle w:val="TextoNormal"/>
      </w:pPr>
    </w:p>
    <w:p w:rsidR="00163957" w:rsidRDefault="00163957" w:rsidP="00163957">
      <w:pPr>
        <w:pStyle w:val="TextoNormal"/>
      </w:pPr>
      <w:r>
        <w:t>b) En la impugnación del art. 1.2 de la Ley 2/2013 [modificación del art. 3.1 a) y b) LC] hay que diferenciar dos ámbitos.</w:t>
      </w:r>
    </w:p>
    <w:p w:rsidR="00163957" w:rsidRDefault="00163957" w:rsidP="00163957">
      <w:pPr>
        <w:pStyle w:val="TextoNormal"/>
      </w:pPr>
    </w:p>
    <w:p w:rsidR="00163957" w:rsidRDefault="00163957" w:rsidP="00163957">
      <w:pPr>
        <w:pStyle w:val="TextoNormal"/>
      </w:pPr>
      <w:r>
        <w:t>(i) En el art. 3.1 a) LC, se impugna la remisión al reglamento de los criterios técnicos que se tendrán en cuenta para determinar el límite hasta donde alcancen las olas en los mayores temporales conocidos, por considerar que se infringe la reserva legal del art. 132 CE.</w:t>
      </w:r>
    </w:p>
    <w:p w:rsidR="00163957" w:rsidRDefault="00163957" w:rsidP="00163957">
      <w:pPr>
        <w:pStyle w:val="TextoNormal"/>
      </w:pPr>
    </w:p>
    <w:p w:rsidR="00163957" w:rsidRDefault="00163957" w:rsidP="00163957">
      <w:pPr>
        <w:pStyle w:val="TextoNormal"/>
      </w:pPr>
      <w:r>
        <w:lastRenderedPageBreak/>
        <w:t>El reproche parte de una premisa incorrecta: conforme a la legislación anterior, la delimitación de la zona marítimo-terrestre no se hacía de modo automático, sencillamente porque es imposible, pues la realidad fáctica de cada lugar no se determina con facilidad, por falta de datos fidedignos o concluyentes. Al amparo de la legislación anterior, se utilizaban criterios que no se explicitaban en ninguna norma jurídica, pudiendo dar lugar a determinaciones administrativas distintas.</w:t>
      </w:r>
    </w:p>
    <w:p w:rsidR="00163957" w:rsidRDefault="00163957" w:rsidP="00163957">
      <w:pPr>
        <w:pStyle w:val="TextoNormal"/>
      </w:pPr>
    </w:p>
    <w:p w:rsidR="00163957" w:rsidRDefault="00163957" w:rsidP="00163957">
      <w:pPr>
        <w:pStyle w:val="TextoNormal"/>
      </w:pPr>
      <w:r>
        <w:t>La reforma no altera la definición de la zona marítimo-terrestre, sino que trata de establecer unas cautelas para que su plasmación en los deslindes responda a criterios uniformes. No se infringe la reserva de ley, porque el reglamento es un instrumento idóneo para fijar criterios técnicos, que por su complejidad no son materia propia de ley. De hecho, ya lo hace el art. 4 a) del Reglamento general para desarrollo y ejecución de la Ley 22/1988, de 28 de julio, de costas aprobado por Real Decreto 1471/1989, de 1 de diciembre (RC 1989), remisión reglamentaria avalada por la STC 198/1991, de 17 de octubre, FJ 1, que se remite a la STC 149/1991, FJ 2.</w:t>
      </w:r>
    </w:p>
    <w:p w:rsidR="00163957" w:rsidRDefault="00163957" w:rsidP="00163957">
      <w:pPr>
        <w:pStyle w:val="TextoNormal"/>
      </w:pPr>
    </w:p>
    <w:p w:rsidR="00163957" w:rsidRDefault="00163957" w:rsidP="00163957">
      <w:pPr>
        <w:pStyle w:val="TextoNormal"/>
      </w:pPr>
      <w:r>
        <w:t>En términos de constitucionalidad, la reforma garantiza mayor seguridad jurídica, ya que los criterios técnicos vincularán a la Administración al realizar los deslindes, quedando tantos unos como otros bajo el control jurisdiccional de legalidad ordinaria.</w:t>
      </w:r>
    </w:p>
    <w:p w:rsidR="00163957" w:rsidRDefault="00163957" w:rsidP="00163957">
      <w:pPr>
        <w:pStyle w:val="TextoNormal"/>
      </w:pPr>
    </w:p>
    <w:p w:rsidR="00163957" w:rsidRDefault="00163957" w:rsidP="00163957">
      <w:pPr>
        <w:pStyle w:val="TextoNormal"/>
      </w:pPr>
      <w:r>
        <w:t>(ii) El concepto de duna utilizado en la nueva redacción del art. 3.1 b) LC no restringe el utilizado en la legislación de 1988. Antes al contrario, se incorpora a la ley el criterio que aparecía en el art. 4 d) RC 1989, que incluía las dunas “fijadas por la vegetación hasta el límite que resulte necesario para garantizar la estabilidad de la playa y la defensa de la costa”. En la definición de duna incorporada por la Ley 2/2013, se sigue incluyendo a las que tengan o no vegetación, y a las que se formen por cualquier causa, ya que la definición acaba con un “por otras causas” que no es más que un numerus apertus.</w:t>
      </w:r>
    </w:p>
    <w:p w:rsidR="00163957" w:rsidRDefault="00163957" w:rsidP="00163957">
      <w:pPr>
        <w:pStyle w:val="TextoNormal"/>
      </w:pPr>
    </w:p>
    <w:p w:rsidR="00163957" w:rsidRDefault="00163957" w:rsidP="00163957">
      <w:pPr>
        <w:pStyle w:val="TextoNormal"/>
      </w:pPr>
      <w:r>
        <w:t>El razonamiento de la recurrente no se compadece pues con el propio texto normativo que se impugna.</w:t>
      </w:r>
    </w:p>
    <w:p w:rsidR="00163957" w:rsidRDefault="00163957" w:rsidP="00163957">
      <w:pPr>
        <w:pStyle w:val="TextoNormal"/>
      </w:pPr>
    </w:p>
    <w:p w:rsidR="00163957" w:rsidRDefault="00163957" w:rsidP="00163957">
      <w:pPr>
        <w:pStyle w:val="TextoNormal"/>
      </w:pPr>
      <w:r>
        <w:t>c) El nuevo apartado 4 del art. 25 LC, introducido por el art. 1.11 de la Ley 2/2013, permite que, en determinados casos, de acuerdo con lo que determine el reglamento, pueda exceptuarse la regla general de prohibición de publicidad en la zona de servidumbre de protección.</w:t>
      </w:r>
    </w:p>
    <w:p w:rsidR="00163957" w:rsidRDefault="00163957" w:rsidP="00163957">
      <w:pPr>
        <w:pStyle w:val="TextoNormal"/>
      </w:pPr>
    </w:p>
    <w:p w:rsidR="00163957" w:rsidRDefault="00163957" w:rsidP="00163957">
      <w:pPr>
        <w:pStyle w:val="TextoNormal"/>
      </w:pPr>
      <w:r>
        <w:t>Estas normas no afectan a la competencia material sobre publicidad, sino a la protección del dominio público marítimo-terrestre [STC 149/1991, FFJJ 3 y 4 B) h)]. El fundamento constitucional de la excepción no puede ser distinto al que da soporte a la regla general de prohibición. La regla impugnada alude al soporte o canal en el que se hace la publicidad y no a ésta, que con carácter general siempre estuvo prohibida en esta zona, por razones de protección medioambiental.</w:t>
      </w:r>
    </w:p>
    <w:p w:rsidR="00163957" w:rsidRDefault="00163957" w:rsidP="00163957">
      <w:pPr>
        <w:pStyle w:val="TextoNormal"/>
      </w:pPr>
    </w:p>
    <w:p w:rsidR="00163957" w:rsidRDefault="00163957" w:rsidP="00163957">
      <w:pPr>
        <w:pStyle w:val="TextoNormal"/>
      </w:pPr>
      <w:r>
        <w:t>d) Para refutar las alegaciones relativas al nuevo art. 33.6 LC, introducido por el art. 1.12 de la Ley 2/2013, basta con dar por reproducida la STC 149/1991, FJ 4, sobre la competencia estatal para establecer limitaciones en el demanio.</w:t>
      </w:r>
    </w:p>
    <w:p w:rsidR="00163957" w:rsidRDefault="00163957" w:rsidP="00163957">
      <w:pPr>
        <w:pStyle w:val="TextoNormal"/>
      </w:pPr>
    </w:p>
    <w:p w:rsidR="00163957" w:rsidRDefault="00163957" w:rsidP="00163957">
      <w:pPr>
        <w:pStyle w:val="TextoNormal"/>
      </w:pPr>
      <w:r>
        <w:lastRenderedPageBreak/>
        <w:t>El precepto impugnado diferencia entre tramos de playas urbanas y naturales a efectos de regular su ocupación, de modo que ésta responda a sus particularidades. Esta clasificación no afecta a las potestades autonómicas de ordenación del litoral y de urbanismo. Explica la exposición de motivos de la Ley 2/2013 que será la clasificación del suelo contiguo a las playas la que determinará la condición de éstas a efectos de la regulación de usos que se prevea en la normativa de costas. Sin valor normativo, pero con valor jurídico (STC 31/2010, de 28 de junio, FJ 7), ello tiene la virtualidad de descartar un comportamiento arbitrario e injustificado por parte del Estado.</w:t>
      </w:r>
    </w:p>
    <w:p w:rsidR="00163957" w:rsidRDefault="00163957" w:rsidP="00163957">
      <w:pPr>
        <w:pStyle w:val="TextoNormal"/>
      </w:pPr>
    </w:p>
    <w:p w:rsidR="00163957" w:rsidRDefault="00163957" w:rsidP="00163957">
      <w:pPr>
        <w:pStyle w:val="TextoNormal"/>
      </w:pPr>
      <w:r>
        <w:t>Será en el desarrollo reglamentario, no en el momento actual, cuando se podrá analizar si el Estado ha invadido las competencias autonómicas de urbanismo, recordando el criterio de la STC 61/1997, FJ 16, a propósito de la relación entre las competencias en las materias de urbanismo y medio ambiente.</w:t>
      </w:r>
    </w:p>
    <w:p w:rsidR="00163957" w:rsidRDefault="00163957" w:rsidP="00163957">
      <w:pPr>
        <w:pStyle w:val="TextoNormal"/>
      </w:pPr>
    </w:p>
    <w:p w:rsidR="00163957" w:rsidRDefault="00163957" w:rsidP="00163957">
      <w:pPr>
        <w:pStyle w:val="TextoNormal"/>
      </w:pPr>
      <w:r>
        <w:t>En todo caso, el mecanismo de colaboración previsto en el precepto impugnado garantiza que en la clasificación de los tramos urbanos se tenga en cuenta el criterio de la Administración urbanística.</w:t>
      </w:r>
    </w:p>
    <w:p w:rsidR="00163957" w:rsidRDefault="00163957" w:rsidP="00163957">
      <w:pPr>
        <w:pStyle w:val="TextoNormal"/>
      </w:pPr>
    </w:p>
    <w:p w:rsidR="00163957" w:rsidRDefault="00163957" w:rsidP="00163957">
      <w:pPr>
        <w:pStyle w:val="TextoNormal"/>
      </w:pPr>
      <w:r>
        <w:t>e) La nueva redacción del art. 55.1 LC, introducida por el art. 1.18 de la Ley 2/2013, es plenamente respetuosa con la STC 149/1991, FJ 4 d). Lo único que hace es establecer un plazo de adaptación de las autorizaciones si ha habido cambios normativos sobrevenidos, de modo que no sean causa de revocación automática. No prejuzga de ningún modo la Administración que tiene competencia en el sector en el que el cambio normativo se haya producido, que no será necesariamente la autonómica.</w:t>
      </w:r>
    </w:p>
    <w:p w:rsidR="00163957" w:rsidRDefault="00163957" w:rsidP="00163957">
      <w:pPr>
        <w:pStyle w:val="TextoNormal"/>
      </w:pPr>
    </w:p>
    <w:p w:rsidR="00163957" w:rsidRDefault="00163957" w:rsidP="00163957">
      <w:pPr>
        <w:pStyle w:val="TextoNormal"/>
      </w:pPr>
      <w:r>
        <w:t>No es aceptable la pretensión de que se dicte una Sentencia de carácter interpretativo.</w:t>
      </w:r>
    </w:p>
    <w:p w:rsidR="00163957" w:rsidRDefault="00163957" w:rsidP="00163957">
      <w:pPr>
        <w:pStyle w:val="TextoNormal"/>
      </w:pPr>
    </w:p>
    <w:p w:rsidR="00163957" w:rsidRDefault="00163957" w:rsidP="00163957">
      <w:pPr>
        <w:pStyle w:val="TextoNormal"/>
      </w:pPr>
      <w:r>
        <w:t>f) El nuevo apartado 2 del art. 119 LC, introducido por el art. 1.38 de la Ley 2/2013, se impugna por un doble motivo.</w:t>
      </w:r>
    </w:p>
    <w:p w:rsidR="00163957" w:rsidRDefault="00163957" w:rsidP="00163957">
      <w:pPr>
        <w:pStyle w:val="TextoNormal"/>
      </w:pPr>
    </w:p>
    <w:p w:rsidR="00163957" w:rsidRDefault="00163957" w:rsidP="00163957">
      <w:pPr>
        <w:pStyle w:val="TextoNormal"/>
      </w:pPr>
      <w:r>
        <w:t>La autonomía local protegida por la CE se traduce en una garantía institucional (por todas, STC 36/2013, de 14 de febrero), que no impide que existan controles sobre el ejercicio de las competencias, siempre que no sean genéricos o indeterminados, sino basados en la prevalencia de concretos intereses generales (STC 134/2011, de 20 de julio). En realidad, el art. 119.2 LC se remite al art. 67 LBRL, habiendo considerado la STC 214/1989, de 21 de diciembre, FJ 23, que este precepto no vulnera la autonomía local.</w:t>
      </w:r>
    </w:p>
    <w:p w:rsidR="00163957" w:rsidRDefault="00163957" w:rsidP="00163957">
      <w:pPr>
        <w:pStyle w:val="TextoNormal"/>
      </w:pPr>
    </w:p>
    <w:p w:rsidR="00163957" w:rsidRDefault="00163957" w:rsidP="00163957">
      <w:pPr>
        <w:pStyle w:val="TextoNormal"/>
      </w:pPr>
      <w:r>
        <w:t>El control previsto en el citado pasaje normativo es un control de legalidad, que se activa por motivos de gravedad y urgencia, que por su propia naturaleza hacen que este mecanismo de control deba ser excepcional. Lo que proscribe el art. 137 CE es un control de oportunidad.</w:t>
      </w:r>
    </w:p>
    <w:p w:rsidR="00163957" w:rsidRDefault="00163957" w:rsidP="00163957">
      <w:pPr>
        <w:pStyle w:val="TextoNormal"/>
      </w:pPr>
    </w:p>
    <w:p w:rsidR="00163957" w:rsidRDefault="00163957" w:rsidP="00163957">
      <w:pPr>
        <w:pStyle w:val="TextoNormal"/>
      </w:pPr>
      <w:r>
        <w:t>En este caso, el legislador ha dotado de contenido al concepto jurídico indeterminado del art. 67 LBRL, ya que antes de la reforma hubiera cabido, al menos en hipótesis, utilizar este recurso extraordinario respecto de los actos a los que se refiere el precepto impugnado, sin perjuicio de su fiscalización posterior por los Tribunales ordinarios.</w:t>
      </w:r>
    </w:p>
    <w:p w:rsidR="00163957" w:rsidRDefault="00163957" w:rsidP="00163957">
      <w:pPr>
        <w:pStyle w:val="TextoNormal"/>
      </w:pPr>
    </w:p>
    <w:p w:rsidR="00163957" w:rsidRDefault="00163957" w:rsidP="00163957">
      <w:pPr>
        <w:pStyle w:val="TextoNormal"/>
      </w:pPr>
      <w:r>
        <w:lastRenderedPageBreak/>
        <w:t>La experiencia en la aplicación de la Ley de costas corrobora que la falta de un instrumento eficaz para poner freno a actos ilegales en el litoral, fundamentalmente licencias de edificación, conduce a consecuencias nefastas, de muy difícil o costosa reparación. Existen edificaciones en la costa que, pese a su ilegalidad manifiesta, declarada judicialmente, plantean problemas complejos que fácilmente podrían haberse evitado si la licencia hubiera sido suspendida en los primeros momentos, impidiendo, cautelarmente, que desplegara aquellos efectos que con el tiempo han resultado perniciosos.</w:t>
      </w:r>
    </w:p>
    <w:p w:rsidR="00163957" w:rsidRDefault="00163957" w:rsidP="00163957">
      <w:pPr>
        <w:pStyle w:val="TextoNormal"/>
      </w:pPr>
    </w:p>
    <w:p w:rsidR="00163957" w:rsidRDefault="00163957" w:rsidP="00163957">
      <w:pPr>
        <w:pStyle w:val="TextoNormal"/>
      </w:pPr>
      <w:r>
        <w:t>Parece claro que el legislador nacional está legitimado para señalar aquellos actos que son contrarios al interés general de España. Y en este caso, lo ha hecho con plena observancia a los límites constitucionales que impone el respeto al principio de autonomía local, que sí se vulneraría en caso de que la norma generalizara este recurso y desvirtuara su carácter excepcional. No obstante, los Tribunales deberán comprobar que la Administración General del Estado hace uso de este sistema impugnatorio en la forma prevista por el art. 67 LBRL.</w:t>
      </w:r>
    </w:p>
    <w:p w:rsidR="00163957" w:rsidRDefault="00163957" w:rsidP="00163957">
      <w:pPr>
        <w:pStyle w:val="TextoNormal"/>
      </w:pPr>
    </w:p>
    <w:p w:rsidR="00163957" w:rsidRDefault="00163957" w:rsidP="00163957">
      <w:pPr>
        <w:pStyle w:val="TextoNormal"/>
      </w:pPr>
      <w:r>
        <w:t>Las referencias que hace el art. 119.2 LC a la zona de servidumbre de protección tampoco infringen la competencia en materia de ordenación del territorio y urbanismo, en la medida en que se trata de garantizar el cumplimiento de la regulación que legítimamente incumbe al Estado para proteger la integridad del dominio público marítimo-terrestre, que como reiteradamente se ha dicho no se reduce a las disposiciones que regulan únicamente este espacio.</w:t>
      </w:r>
    </w:p>
    <w:p w:rsidR="00163957" w:rsidRDefault="00163957" w:rsidP="00163957">
      <w:pPr>
        <w:pStyle w:val="TextoNormal"/>
      </w:pPr>
    </w:p>
    <w:p w:rsidR="00163957" w:rsidRDefault="00163957" w:rsidP="00163957">
      <w:pPr>
        <w:pStyle w:val="TextoNormal"/>
      </w:pPr>
      <w:r>
        <w:t>g) La disposición transitoria primera de la Ley 2/2013 es plenamente conforme con las SSTC 149/1991, FJ 8 c), y 198/1991, FJ 8 a), esta última especialmente significativa por cuanto se refiere a la disposición adicional novena RC 1989, que determinó la aplicación de la norma legal no solo a los terrenos declarados urbanos por la legislación urbanística y clasificados como tales en los instrumentos de planeamiento, sino también a las áreas urbanas en las que la edificación estuviera consolidada o los terrenos dispusieran de servicios urbanísticos.</w:t>
      </w:r>
    </w:p>
    <w:p w:rsidR="00163957" w:rsidRDefault="00163957" w:rsidP="00163957">
      <w:pPr>
        <w:pStyle w:val="TextoNormal"/>
      </w:pPr>
    </w:p>
    <w:p w:rsidR="00163957" w:rsidRDefault="00163957" w:rsidP="00163957">
      <w:pPr>
        <w:pStyle w:val="TextoNormal"/>
      </w:pPr>
      <w:r>
        <w:t>Existe un criterio jurisprudencial consolidado que entiende que el carácter urbano de un terreno es una cuestión de carácter fáctico, no jurídico (por todas, STS de 17 de noviembre de 2003, FJ 2).</w:t>
      </w:r>
    </w:p>
    <w:p w:rsidR="00163957" w:rsidRDefault="00163957" w:rsidP="00163957">
      <w:pPr>
        <w:pStyle w:val="TextoNormal"/>
      </w:pPr>
    </w:p>
    <w:p w:rsidR="00163957" w:rsidRDefault="00163957" w:rsidP="00163957">
      <w:pPr>
        <w:pStyle w:val="TextoNormal"/>
      </w:pPr>
      <w:r>
        <w:t>La disposición impugnada eleva a rango legal una previsión ya existente en el reglamento, ampliándola para asegurar la adecuada igualdad entre los particulares afectados por situaciones que expresamente no se encontraban incorporadas a la norma, y manteniendo la necesaria delimitación por la Administración urbanística competente.</w:t>
      </w:r>
    </w:p>
    <w:p w:rsidR="00163957" w:rsidRDefault="00163957" w:rsidP="00163957">
      <w:pPr>
        <w:pStyle w:val="TextoNormal"/>
      </w:pPr>
    </w:p>
    <w:p w:rsidR="00163957" w:rsidRDefault="00163957" w:rsidP="00163957">
      <w:pPr>
        <w:pStyle w:val="TextoNormal"/>
      </w:pPr>
      <w:r>
        <w:t>Los requisitos que impone esta disposición, orientados a garantizar que se trata de suelo plenamente consolidado por la edificación, no se hacen a efectos urbanísticos, sino con la finalidad de reducir la servidumbre de protección. Y por ello, quien los debe imponer es la legislación estatal. Estos requisitos constituyen la condición necesaria para que se produzca la reducción, sin interferir en las competencias urbanísticas.</w:t>
      </w:r>
    </w:p>
    <w:p w:rsidR="00163957" w:rsidRDefault="00163957" w:rsidP="00163957">
      <w:pPr>
        <w:pStyle w:val="TextoNormal"/>
      </w:pPr>
    </w:p>
    <w:p w:rsidR="00163957" w:rsidRDefault="00163957" w:rsidP="00163957">
      <w:pPr>
        <w:pStyle w:val="TextoNormal"/>
      </w:pPr>
      <w:r>
        <w:t xml:space="preserve">Finalmente, la disposición impugnada atribuye a las Administraciones urbanísticas la facultad de delimitar, en el planeamiento o mediante un acto ad hoc, los núcleos o áreas a los que se va a aplicar. La ley distingue claramente las facultades urbanísticas, en este caso </w:t>
      </w:r>
      <w:r>
        <w:lastRenderedPageBreak/>
        <w:t>las relativas al planeamiento y a la gestión, de las relativas a la protección del dominio público y al estatuto jurídico de la propiedad privada, que corresponde ejercer al Estado. Así se puede concluir con toda claridad de la función que la disposición reserva al informe estatal, que deberá únicamente pronunciarse sobre “la delimitación y compatibilidad de tales núcleos o áreas con la integridad y defensa del dominio público marítimo-terrestre”.</w:t>
      </w:r>
    </w:p>
    <w:p w:rsidR="00163957" w:rsidRDefault="00163957" w:rsidP="00163957">
      <w:pPr>
        <w:pStyle w:val="TextoNormal"/>
      </w:pPr>
    </w:p>
    <w:p w:rsidR="00163957" w:rsidRDefault="00163957" w:rsidP="00163957">
      <w:pPr>
        <w:pStyle w:val="TextoNormal"/>
      </w:pPr>
      <w:r>
        <w:t>En conclusión, no puede admitirse que esta disposición transitoria invada las competencias autonómicas en materia de ordenación del territorio y urbanismo. Ni siquiera en su apartado 4, que impone una prohibición que evita que aumenten ex novo las edificaciones. El Estado protege así los valores naturales y paisajísticos del litoral haciendo uso de la competencia exclusiva que le otorga el art. 149.1.23 CE, pudiendo la Administración competente en materia de ordenación del territorio establecer requisitos o exigencias más restrictivas.</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19 de enero de 2016 se señaló para deliberación y votación del presente recurso el día 21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inconstitucionalidad se interpone por el Consejo de Gobierno de Andalucía contra el art. 1, apartados 2, 11, 12, 18 y 38, y la disposición transitoria primera de la Ley 2/2013, de 29 de mayo, de protección y uso sostenible del litoral y de modificación de la Ley 22/1988, de 28 de julio, de costas. En lo sucesivo, las disposiciones afectadas se citarán como Ley 2/2013, LC 1988 (cuando hagamos referencia al texto anterior a la reforma) y LC (cuando se trate del texto vigente tras la reforma).</w:t>
      </w:r>
    </w:p>
    <w:p w:rsidR="00163957" w:rsidRDefault="00163957" w:rsidP="00163957">
      <w:pPr>
        <w:pStyle w:val="TextoNormal"/>
      </w:pPr>
    </w:p>
    <w:p w:rsidR="00163957" w:rsidRDefault="00163957" w:rsidP="00163957">
      <w:pPr>
        <w:pStyle w:val="TextoNormal"/>
      </w:pPr>
      <w:r>
        <w:t>En los términos que han quedado detallados en los antecedentes, la Comunidad Autónoma recurrente alega vulneración del régimen constitucional del dominio público marítimo-terrestre (art. 132 en relación con el art. 45 CE), de las competencias autonómicas en las materias de ordenación del territorio y urbanismo y publicidad [arts. 56 y 70 del Estatuto de Autonomía para Andalucía (EAAnd)], y del principio constitucional de autonomía local (arts. 137 y 140 CE). Por su parte, el Abogado del Estado solicita la íntegra desestimación de este recurso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2</w:t>
      </w:r>
      <w:r>
        <w:t>. Este Tribunal ya ha tenido ocasión de abordar en profundidad las distintas facetas del régimen constitucional del dominio público marítimo-terrestre. En su dimensión sustantiva, la doctrina está recogida tanto en la STC 149/1991, de 4 de julio, que enjuició la LC 1988, como en la muy reciente STC 233/2015, de 5 de noviembre, que se ha ocupado precisamente de la Ley 2/2013. En su dimensión competencial, el encuadramiento general de la controversia se abordó con todo detalle en la STC 149/1991, FJ 1.</w:t>
      </w:r>
    </w:p>
    <w:p w:rsidR="00163957" w:rsidRDefault="00163957" w:rsidP="00163957">
      <w:pPr>
        <w:pStyle w:val="TextoNormal"/>
      </w:pPr>
    </w:p>
    <w:p w:rsidR="00163957" w:rsidRDefault="00163957" w:rsidP="00163957">
      <w:pPr>
        <w:pStyle w:val="TextoNormal"/>
      </w:pPr>
      <w:r>
        <w:t>Por su estrecha conexión con el debate trabado en este proceso, la remisión a estos pronunciamientos previos nos exime de reproducir cuanto ya hemos dicho en relación al canon general de enjuiciamiento, siquiera en extracto, y nos permite entrar directamente al análisis de los preceptos impugnados, haciendo referencia a la jurisprudencia previa en lo que específicamente sea pertinente.</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3</w:t>
      </w:r>
      <w:r>
        <w:t>. Las tachas de constitucionalidad basadas en la vulneración del art. 132 CE, en relación con el art. 45, se dirigen al art. 1.2 de la Ley 2/2013, en cuanto modifica los apartados a) y b) del art. 3 LC. Ambas han quedado desestimadas en la STC 233/2015.</w:t>
      </w:r>
    </w:p>
    <w:p w:rsidR="00163957" w:rsidRDefault="00163957" w:rsidP="00163957">
      <w:pPr>
        <w:pStyle w:val="TextoNormal"/>
      </w:pPr>
    </w:p>
    <w:p w:rsidR="00163957" w:rsidRDefault="00163957" w:rsidP="00163957">
      <w:pPr>
        <w:pStyle w:val="TextoNormal"/>
      </w:pPr>
      <w:r>
        <w:t>La remisión del art. 3.1 a) LC al reglamento para establecer los criterios técnicos relativos a la fijación del límite interior de la zona marítimo-terrestre, por referencia al alcance de las olas en los mayores temporales conocidos, no altera el criterio legal sustantivo anterior a la reforma y se limita a incorporar una precisión que encaja sin ninguna dificultad en el ámbito admisible de la colaboración reglamentaria (STC 233/2015, FJ 3 a).</w:t>
      </w:r>
    </w:p>
    <w:p w:rsidR="00163957" w:rsidRDefault="00163957" w:rsidP="00163957">
      <w:pPr>
        <w:pStyle w:val="TextoNormal"/>
      </w:pPr>
    </w:p>
    <w:p w:rsidR="00163957" w:rsidRDefault="00163957" w:rsidP="00163957">
      <w:pPr>
        <w:pStyle w:val="TextoNormal"/>
      </w:pPr>
      <w:r>
        <w:t>En cuanto al tratamiento conferido a las dunas por el art. 3.1 b) LC, la STC 233/2015, FJ 3 c), concluye que no es posible apreciar que la nueva regulación de las dunas suponga la incorporación de criterios de delimitación del dominio público natural que puedan poner en riesgo su integridad.</w:t>
      </w:r>
    </w:p>
    <w:p w:rsidR="00163957" w:rsidRDefault="00163957" w:rsidP="00163957">
      <w:pPr>
        <w:pStyle w:val="TextoNormal"/>
      </w:pPr>
    </w:p>
    <w:p w:rsidR="00163957" w:rsidRDefault="00163957" w:rsidP="00163957">
      <w:pPr>
        <w:pStyle w:val="TextoNormal"/>
      </w:pPr>
      <w:r w:rsidRPr="00163957">
        <w:rPr>
          <w:rStyle w:val="NumeroAFNegritaCaracter"/>
        </w:rPr>
        <w:t>4</w:t>
      </w:r>
      <w:r>
        <w:t>. La impugnación de los apartados 11, 12, 18, 38 del art. 1 y de la disposición transitoria primera de la Ley 2/2013 tiene en común la denuncia de la vulneración de las competencias autonómicas en materia de ordenación del territorio y urbanismo, lo que permite su examen conjunto, que se completará cuando sea el caso con el análisis de los restantes motivos de inconstitucionalidad que alega la demanda.</w:t>
      </w:r>
    </w:p>
    <w:p w:rsidR="00163957" w:rsidRDefault="00163957" w:rsidP="00163957">
      <w:pPr>
        <w:pStyle w:val="TextoNormal"/>
      </w:pPr>
    </w:p>
    <w:p w:rsidR="00163957" w:rsidRDefault="00163957" w:rsidP="00163957">
      <w:pPr>
        <w:pStyle w:val="TextoNormal"/>
      </w:pPr>
      <w:r>
        <w:t>a) El art. 1.11 de la Ley 2/2013 incorpora un nuevo apartado 4 en el art. 25 LC, a fin de introducir una excepción a la prohibición general de publicidad en la zona de servidumbre de protección. El precepto impugnado remite al reglamento el establecimiento de las condiciones en las que se podrá autorizar la publicidad, “siempre que sea parte integrante o acompañe a instalaciones o actividades permitidas y no sea incompatible con la finalidad de la servidumbre de protección”.</w:t>
      </w:r>
    </w:p>
    <w:p w:rsidR="00163957" w:rsidRDefault="00163957" w:rsidP="00163957">
      <w:pPr>
        <w:pStyle w:val="TextoNormal"/>
      </w:pPr>
    </w:p>
    <w:p w:rsidR="00163957" w:rsidRDefault="00163957" w:rsidP="00163957">
      <w:pPr>
        <w:pStyle w:val="TextoNormal"/>
      </w:pPr>
      <w:r>
        <w:t>El precepto no vulnera las competencias autonómicas en materia de ordenación del territorio y urbanismo, debiendo descartarse esta tacha en atención a las mismas razones recogidas en la STC 149/1991, FJ 3 D) c). Las prohibiciones referidas a la zona de servidumbre de protección, que tienen la finalidad de proteger los valores naturales y paisajísticos del demanio (entre ellas, la relativa a la publicidad), son normas de legislación básica de protección del medio ambiente (art. 149.1.23 CE). Sobre el complemento de esta norma, consistente en las indicaciones que describen “en términos muy genéricos, las obras, instalaciones o actividades que, con carácter ordinario, podrán permitirse en esta zona de protección”, ya señalamos en su momento que “[t]ales indicaciones son, de una parte, sin duda, criterios de ordenación que las Comunidades Autónomas deberán acoger en los correspondientes instrumentos, de la otra e inmediatamente, norma básica de protección del medio ambiente, cuya naturaleza de tal legitima el condicionamiento que impone a la competencia de las Comunidades Autónomas para la ordenación del territorio”.</w:t>
      </w:r>
    </w:p>
    <w:p w:rsidR="00163957" w:rsidRDefault="00163957" w:rsidP="00163957">
      <w:pPr>
        <w:pStyle w:val="TextoNormal"/>
      </w:pPr>
    </w:p>
    <w:p w:rsidR="00163957" w:rsidRDefault="00163957" w:rsidP="00163957">
      <w:pPr>
        <w:pStyle w:val="TextoNormal"/>
      </w:pPr>
      <w:r>
        <w:t>Precisamos asimismo que “[l]a doctrina constitucional sobre la legislación básica no impide … en modo alguno que la propia ley se remita al reglamento cuando tal remisión sea necesaria para garantizar el fin a que responde la competencia estatal para la legislación básica. Como es obvio, la legitimidad constitucional de la norma reglamentaria así producida dependerá del uso que de la habilitación legal se haya hecho”, que no es objeto de este proceso constitucional.</w:t>
      </w:r>
    </w:p>
    <w:p w:rsidR="00163957" w:rsidRDefault="00163957" w:rsidP="00163957">
      <w:pPr>
        <w:pStyle w:val="TextoNormal"/>
      </w:pPr>
    </w:p>
    <w:p w:rsidR="00163957" w:rsidRDefault="00163957" w:rsidP="00163957">
      <w:pPr>
        <w:pStyle w:val="TextoNormal"/>
      </w:pPr>
      <w:r>
        <w:t>Tampoco cabe encuadrar esta regulación en la competencia autonómica en materia de publicidad. Como advertimos en la STC 146/1996, de 19 de septiembre, que invoca la recurrente, “en la ordenación jurídica de un sector como … el publicitario, pueden resultar involucradas las reglas definidoras de las competencias estatales y autonómicas en otros ámbitos materiales, en los que pudiera resultar comprendida la regulación de algunos aspectos o manifestaciones concretas de la actividad publicitaria, de modo que en la reglamentación de aquel sector es posible que, junto a la regla competencial específica en materia de publicidad, puedan concurrir otros títulos competenciales distintos, debiendo examinarse, en tales casos, cuál de las reglas concurrentes es prevalente y, por tanto, aplicable” (FJ 4). El precepto que examinamos no tiene la finalidad de regular el sector publicitario, sino de introducir una limitada modulación a la prohibición general de publicidad en la zona de servidumbre de protección, prohibición que responde a finalidades medioambientales, como ya ha quedado expuesto.</w:t>
      </w:r>
    </w:p>
    <w:p w:rsidR="00163957" w:rsidRDefault="00163957" w:rsidP="00163957">
      <w:pPr>
        <w:pStyle w:val="TextoNormal"/>
      </w:pPr>
    </w:p>
    <w:p w:rsidR="00163957" w:rsidRDefault="00163957" w:rsidP="00163957">
      <w:pPr>
        <w:pStyle w:val="TextoNormal"/>
      </w:pPr>
      <w:r>
        <w:t>b) El art. 1.12 de la Ley 2/2013 añade un apartado 6 al art. 33 LC, a fin de regular el régimen de ocupación y uso de las playas, a desarrollar por vía reglamentaria, “atendiendo a su naturaleza”. Se reprocha al precepto que desborde lo constitucionalmente admisible al habilitar al Estado para regular el régimen global de ocupación y uso de las playas, sin limitarse al establecimiento de máximos y mínimos, tal y como determinó la STC 149/1991.</w:t>
      </w:r>
    </w:p>
    <w:p w:rsidR="00163957" w:rsidRDefault="00163957" w:rsidP="00163957">
      <w:pPr>
        <w:pStyle w:val="TextoNormal"/>
      </w:pPr>
    </w:p>
    <w:p w:rsidR="00163957" w:rsidRDefault="00163957" w:rsidP="00163957">
      <w:pPr>
        <w:pStyle w:val="TextoNormal"/>
      </w:pPr>
      <w:r>
        <w:t xml:space="preserve">El análisis de los apartados 2 a 5 del art. 33 LC 1988, recogido en el fundamento jurídico 4 B) c) de dicha Sentencia, es sin embargo más extenso y complejo que la mera referencia a los máximos y mínimos que puedan establecerse para delimitar las dimensiones de las edificaciones al servicio de la playa. Constatamos entonces que “[e]n estos preceptos se entremezclan, en efecto, de manera muy estrecha, enunciados que sin duda son competencia estatal por versar directamente sobre la ocupación de una parte importante del demanio marítimo-terrestre (las playas) con otros que, aunque referidos también a esta ocupación, no regulan directamente el grado de la misma, sino más bien el modo de llevarla a cabo, y podrían ser considerados por tanto, como normas de ordenación del territorio o, más precisamente, como una habilitación a la Administración del Estado para dictar normas de este género, atribuyendo así a ésta una competencia que es de las Comunidades Autónomas costeras. Aunque tal atribución, en la medida en que exista, ha de reputarse, claro está, incompatible con el bloque de la constitucionalidad, tampoco cabe ignorar que la ocupación de las playas podría resultar gravemente obstaculizadora de su uso público, que el Estado ha de garantizar, e incluso gravemente dañosa para la integridad física del demanio, si las instalaciones permitidas en ellas y las edificaciones para su servicio pudieran hacerse sin otra restricción que la de no ocupar más que un porcentaje determinado del espacio playero o situándose en cualquier lugar de la playa, con lo que tampoco cabe negar al Estado título para disciplinar estas cuestiones en el caso de que la Administración directamente competente no lo haga. El apartado segundo no plantea, pese a lo dicho, especiales problemas. Ni el principio del acceso público a las instalaciones permitidas en las playas es constitucionalmente objetable, como congruente con el uso público de éstas, ni la posibilidad de que se autoricen otras modalidades de uso de tales instalaciones está concebida en términos que restrinjan o anulen las facultades que a las Administraciones competentes puedan corresponder y ha de considerarse, en consecuencia, como no incompatible con el sistema constitucional de delimitación competencial. Tampoco es contrario al sistema constitucional de delimitación de competencias la indicación, contenida en el apartado tercero, de que las </w:t>
      </w:r>
      <w:r>
        <w:lastRenderedPageBreak/>
        <w:t>edificaciones para el servicio de la playa se habrán de situar preferentemente fuera de ella, pues, como es evidente, tal indicación no excede de la facultad para regular la utilización del dominio público que va aneja con su titularidad”.</w:t>
      </w:r>
    </w:p>
    <w:p w:rsidR="00163957" w:rsidRDefault="00163957" w:rsidP="00163957">
      <w:pPr>
        <w:pStyle w:val="TextoNormal"/>
      </w:pPr>
    </w:p>
    <w:p w:rsidR="00163957" w:rsidRDefault="00163957" w:rsidP="00163957">
      <w:pPr>
        <w:pStyle w:val="TextoNormal"/>
      </w:pPr>
      <w:r>
        <w:t>La admisión de que el Estado pueda “disciplinar estas cuestiones en el caso de que la Administración directamente competente no lo haga” ha de considerarse matizada, y en buena medida superada, por la doctrina posterior de este Tribunal sobre la supletoriedad del Derecho estatal [por todas, STC 61/1997, de 20 de marzo, FJ 12 c)]. Pero ello no significa en modo alguno que el Estado quede desapoderado de toda competencia normativa en lo que concierne al régimen de uso y ocupación de las playas, dado que, en virtud de los arts. 45 y 132.2 CE, está obligado a proteger el demanio marítimo-terrestre a fin de asegurar tanto el mantenimiento de su integridad física y jurídica, como su uso público y sus valores paisajísticos. Así lo hemos reiterado en varios pasajes de la STC 233/2015, y especialmente en el fundamento jurídico 6 en cuanto se refiere a este mismo precepto legal.</w:t>
      </w:r>
    </w:p>
    <w:p w:rsidR="00163957" w:rsidRDefault="00163957" w:rsidP="00163957">
      <w:pPr>
        <w:pStyle w:val="TextoNormal"/>
      </w:pPr>
    </w:p>
    <w:p w:rsidR="00163957" w:rsidRDefault="00163957" w:rsidP="00163957">
      <w:pPr>
        <w:pStyle w:val="TextoNormal"/>
      </w:pPr>
      <w:r>
        <w:t>Teniendo en cuenta la doctrina expuesta, es de advertir que la Comunidad recurrente no aporta argumento alguno que proporcione a este Tribunal razones para cuestionar el contenido sustantivo del art. 33.6 LC. Por su carácter marcadamente preventivo, no podemos acoger el reproche de inconstitucionalidad fundado únicamente en la habilitación legal para su desarrollo reglamentario, ya que es doctrina consolidada que tal habilitación no puede ser calificada per se como vulneradora de las competencias autonómicas, en este caso en materia de ordenación del territorio y urbanismo. Resta añadir que, no siendo tal desarrollo reglamentario el objeto de este proceso, “[n]ada impide que, si el Gobierno, al dictar las correspondientes normas reglamentarias en virtud de esa remisión, extendiera su regulación a aspectos no básicos, pudiera plantearse el oportuno conflicto de competencias a fin de examinar si se hubiera producido o no la extralimitación en el ámbito competencial estatal” (STC 161/2014, de 7 de octubre, FJ 9).</w:t>
      </w:r>
    </w:p>
    <w:p w:rsidR="00163957" w:rsidRDefault="00163957" w:rsidP="00163957">
      <w:pPr>
        <w:pStyle w:val="TextoNormal"/>
      </w:pPr>
    </w:p>
    <w:p w:rsidR="00163957" w:rsidRDefault="00163957" w:rsidP="00163957">
      <w:pPr>
        <w:pStyle w:val="TextoNormal"/>
      </w:pPr>
      <w:r>
        <w:t>c) El art. 1.18 de la Ley 2/2013 modifica el art. 55.1 LC, que regula la revocación unilateral de las autorizaciones en zona de dominio público. Se discute únicamente la revocación basada en la incompatibilidad de la autorización con la normativa sobrevenida. Esta causa ya figuraba en la LC 1988, precisando ahora la reforma que solo se revocará la autorización si en el plazo de tres meses desde que le fuera comunicada tal circunstancia a su titular, éste no hubiera adaptado su ocupación a la nueva normativa, o la adaptación no fuera posible física o jurídicamente.</w:t>
      </w:r>
    </w:p>
    <w:p w:rsidR="00163957" w:rsidRDefault="00163957" w:rsidP="00163957">
      <w:pPr>
        <w:pStyle w:val="TextoNormal"/>
      </w:pPr>
    </w:p>
    <w:p w:rsidR="00163957" w:rsidRDefault="00163957" w:rsidP="00163957">
      <w:pPr>
        <w:pStyle w:val="TextoNormal"/>
      </w:pPr>
      <w:r>
        <w:t>Al examinar la redacción original de este precepto, concluimos en la STC 149/1991, FJ 4 E) c) a’), que “[l]a revocación de una autorización por resultar incompatible con la normativa aprobada con posterioridad es, en sí, una previsión legal que se limita a establecer el régimen de las autorizaciones demaniales, cuya aprobación no se ha discutido al legislador estatal. Ahora bien, si la normativa cuya aprobación da lugar a la revocación de la autorización debe ser ejecutada por la Comunidad Autónoma, al margen de que venga establecido por leyes estatales o autonómicas, será ésta la que habrá de resolver si se debe o no impedir que continúe la utilización autorizada en su día, de manera que la resolución dictada por la Administración del Estado queda en cierto sentido vinculada por la resolución autonómica dictada en el ejercicio de sus competencias ejecutivas sectoriales”.</w:t>
      </w:r>
    </w:p>
    <w:p w:rsidR="00163957" w:rsidRDefault="00163957" w:rsidP="00163957">
      <w:pPr>
        <w:pStyle w:val="TextoNormal"/>
      </w:pPr>
    </w:p>
    <w:p w:rsidR="00163957" w:rsidRDefault="00163957" w:rsidP="00163957">
      <w:pPr>
        <w:pStyle w:val="TextoNormal"/>
      </w:pPr>
      <w:r>
        <w:lastRenderedPageBreak/>
        <w:t>No debería pues ofrecer dudas adicionales el sentido en el que debe interpretarse y aplicarse el precepto una vez modificado, ni cabe solicitar de este Tribunal una sentencia interpretativa, que no puede ser objeto de una pretensión de los recurrentes, como señala el Abogado del Estado (por todas, STC 16/1996, de 1 de febrero, FJ 6).</w:t>
      </w:r>
    </w:p>
    <w:p w:rsidR="00163957" w:rsidRDefault="00163957" w:rsidP="00163957">
      <w:pPr>
        <w:pStyle w:val="TextoNormal"/>
      </w:pPr>
    </w:p>
    <w:p w:rsidR="00163957" w:rsidRDefault="00163957" w:rsidP="00163957">
      <w:pPr>
        <w:pStyle w:val="TextoNormal"/>
      </w:pPr>
      <w:r>
        <w:t>d) El art. 1.38 de la Ley 2/2013 introduce un nuevo apartado 2 en el art. 119 LC, en cuya virtud, y en aplicación del procedimiento previsto en el art. 67 de la Ley 7/1985, de 2 de abril, de bases del régimen local (LBRL), el Delegado del Gobierno podrá suspender los actos y acuerdos adoptados por las Entidades locales que, bien afecten a la integridad del dominio público marítimo-terrestre o de la servidumbre de protección, bien supongan una infracción manifiesta de lo dispuesto en el art. 25 LC, que regula el régimen de las actividades prohibidas y permitidas en dicha zona de servidumbre.</w:t>
      </w:r>
    </w:p>
    <w:p w:rsidR="00163957" w:rsidRDefault="00163957" w:rsidP="00163957">
      <w:pPr>
        <w:pStyle w:val="TextoNormal"/>
      </w:pPr>
    </w:p>
    <w:p w:rsidR="00163957" w:rsidRDefault="00163957" w:rsidP="00163957">
      <w:pPr>
        <w:pStyle w:val="TextoNormal"/>
      </w:pPr>
      <w:r>
        <w:t>No puede prosperar la primera tacha de inconstitucionalidad dirigida a este precepto, fundada en la vulneración del principio de autonomía local. Toda vez que “la legislación básica sobre régimen local no se integra en el ‘bloque de la constitucionalidad’ ni constituye canon de validez respecto de otras leyes estatales” (STC 95/2014, de 12 de junio, FJ 5, y las allí citadas), en este caso nuestro análisis debe ceñirse a los límites que la Constitución impone directamente a los controles sobre la actividad local. En su concreta proyección sobre tales controles, el significado del principio de autonomía local (arts. 137, 140 y 141.2 CE) quedó perfilado a partir de la STC 4/1981, de 2 de febrero, como recuerda la reciente STC 154/2015, de 9 de julio: “[s]egún razona su fundamento jurídico 3, los controles administrativos sobre la actividad local deben estar previstos en normas legales; ser concretos y precisos, no ‘genéricos e indeterminados que sitúen a las Entidades locales en una posición de subordinación o dependencia cuasi jerárquica de la Administración del Estado u otras Entidades territoriales’; y tener por objeto actos en los que incidan intereses supralocales, velando por la legalidad de la actuación local; el control de oportunidad de las decisiones correspondientes a la gestión de los intereses locales es incompatible con la autonomía local, salvo que concurra una justificación constitucional, de otro modo la toma de decisión vendría a compartirse con una Administración no directamente relacionada con los intereses locales involucrados. En esta línea, la posterior STC 14/1981, de 29 de abril, FJ 6, aclaró que la suspensión de actos locales como método de control administrativo es constitucionalmente admisible respecto de los que vulneren competencias de otra Administración; no cabe si responde a la defensa genérica de la legalidad en el ámbito estricto de las competencias locales.” [FJ 6 b)].</w:t>
      </w:r>
    </w:p>
    <w:p w:rsidR="00163957" w:rsidRDefault="00163957" w:rsidP="00163957">
      <w:pPr>
        <w:pStyle w:val="TextoNormal"/>
      </w:pPr>
    </w:p>
    <w:p w:rsidR="00163957" w:rsidRDefault="00163957" w:rsidP="00163957">
      <w:pPr>
        <w:pStyle w:val="TextoNormal"/>
      </w:pPr>
      <w:r>
        <w:t>Desde la perspectiva de la autonomía local constitucionalmente garantizada, el art. 119.2 LC cumple las antedichas exigencias, al estar prevista la suspensión en norma con rango de ley, acotado su objeto con precisión suficiente e incidir claramente en intereses supralocales, como son los relativos a la protección y defensa de la integridad del dominio público marítimo-terrestre, de titularidad estatal.</w:t>
      </w:r>
    </w:p>
    <w:p w:rsidR="00163957" w:rsidRDefault="00163957" w:rsidP="00163957">
      <w:pPr>
        <w:pStyle w:val="TextoNormal"/>
      </w:pPr>
    </w:p>
    <w:p w:rsidR="00163957" w:rsidRDefault="00163957" w:rsidP="00163957">
      <w:pPr>
        <w:pStyle w:val="TextoNormal"/>
      </w:pPr>
      <w:r>
        <w:t>La respuesta a la segunda tacha de inconstitucionalidad, basada en la vulneración de las competencias autonómicas en materia de ordenación del territorio y urbanismo, requiere partir de la doctrina previa de este Tribunal, que puede resumirse en una doble premisa. En primer lugar, al examinar el art. 67 LBRL, al que el precepto ahora impugnado se remite, la STC 214/1989, de 21 de diciembre, apreció que “[e]l carácter cautelar, el supuesto extraor</w:t>
      </w:r>
      <w:r>
        <w:lastRenderedPageBreak/>
        <w:t>dinario y la necesidad de residenciar ante la jurisdicción en el máximo de diez días la cuestión suscitada, conduce a desestimar la impugnación del precepto, que en estas condiciones, no invade competencia alguna al adoptar que tales medidas se lleven a cabo por el Delegado del Gobierno, dado que dicho órgano ostenta su representación en el territorio de la Comunidad Autónoma” [FJ 23 b)].</w:t>
      </w:r>
    </w:p>
    <w:p w:rsidR="00163957" w:rsidRDefault="00163957" w:rsidP="00163957">
      <w:pPr>
        <w:pStyle w:val="TextoNormal"/>
      </w:pPr>
    </w:p>
    <w:p w:rsidR="00163957" w:rsidRDefault="00163957" w:rsidP="00163957">
      <w:pPr>
        <w:pStyle w:val="TextoNormal"/>
      </w:pPr>
      <w:r>
        <w:t>En segundo lugar, “la titularidad estatal del dominio público y la competencia para determinar las categorías de bienes que lo integran no son, en sí mismos, criterios de delimitación competencial por lo que, en consecuencia, la naturaleza demanial de un bien no lo aísla de su entorno ni lo sustrae de las competencias que correspondan a otros entes públicos que no ostentan esa titularidad’. Sin perjuicio de que, como reconocimos en la STC 149/1991, de 4 de julio, la titularidad estatal del demanio pueda habilitar legítimamente para incidir sobre la competencia que para la ordenación del territorio ostentan las Comunidades Autónomas costeras [FJ 1 d)]” (STC 162/2012, de 20 de septiembre, FJ 7, y las allí citadas). Esta concurrencia explica que, en los espacios sobre los que se proyecta el art. 119.2 LC (esto es, la zona de dominio público marítimo-terrestre y la zona de servidumbre de protección), se produzca un complejo entramado de competencias estatales y autonómicas, que fue abordado con detalle por la STC 149/1991.</w:t>
      </w:r>
    </w:p>
    <w:p w:rsidR="00163957" w:rsidRDefault="00163957" w:rsidP="00163957">
      <w:pPr>
        <w:pStyle w:val="TextoNormal"/>
      </w:pPr>
    </w:p>
    <w:p w:rsidR="00163957" w:rsidRDefault="00163957" w:rsidP="00163957">
      <w:pPr>
        <w:pStyle w:val="TextoNormal"/>
      </w:pPr>
      <w:r>
        <w:t>Dado que lo que ahora está en disputa es la potestad de suspensión de actos locales que se atribuye al Delegado del Gobierno, de lo entonces decidido por este Tribunal resulta pertinente recordar que, sin menoscabo de las competencias que ratione materiae corresponden a las Comunidades Autónomas, el Estado retiene un amplio haz de facultades ejecutivas derivadas de su condición de dominus de las costas, y en atención a los fines públicos que justifican la existencia del dominio público: en esencia, asegurar la protección de la integridad del demanio, la preservación de sus características naturales y la libre utilización pública y gratuita. Así: (i) las autorizaciones para llevar a cabo actividades que utilizan el demanio costero con circunstancias especiales o por medio de instalaciones desmontables o bienes muebles, incluyendo los servicios de temporada en las playas [FJ 4 e.b)]; (ii) la potestad de otorgar el derecho a determinados usos del demanio marítimo-terrestre mediante concesiones [FJ 4 G) a)]; (iii) la tutela y policía del dominio público o de sus servidumbres respecto de las actividades que afecten a la integridad de aquél, orientadas por la necesidad de asegurar la protección del dominio público y garantizar su libre utilización [FJ 7 A) c)]; y (iv) siendo las Comunidades Autónomas litorales las competentes para ejecutar las normas sobre protección del medio ambiente habrán de ser ellas, en principio, las encargadas de perseguir y sancionar las faltas cometidas en las zonas de servidumbre e influencia, aunque puedan serlo también directamente por la Administración del Estado cuando la conducta infractora atente contra la integridad del demanio o el mantenimiento de las servidumbres de tránsito y acceso que garantizan su libre uso [FJ 6 a)].</w:t>
      </w:r>
    </w:p>
    <w:p w:rsidR="00163957" w:rsidRDefault="00163957" w:rsidP="00163957">
      <w:pPr>
        <w:pStyle w:val="TextoNormal"/>
      </w:pPr>
    </w:p>
    <w:p w:rsidR="00163957" w:rsidRDefault="00163957" w:rsidP="00163957">
      <w:pPr>
        <w:pStyle w:val="TextoNormal"/>
      </w:pPr>
      <w:r>
        <w:t xml:space="preserve">Trasladando estas consideraciones al análisis del art. 119.2 LC, ha de concluirse que resulta constitucionalmente legítima la intervención de un órgano estatal a través de un mecanismo cautelar y extraordinario, cuando el acto local afectado por la medida de suspensión pueda comprometer la integridad del demanio, la preservación de sus características naturales o su libre utilización pública y gratuita, y que en última instancia queda sometido al control de la jurisdicción contencioso-administrativa. Estamos en definitiva ante una potestad, con la connotación de excepcionalidad que deriva del art. 67 LBRL, que no cuestiona, </w:t>
      </w:r>
      <w:r>
        <w:lastRenderedPageBreak/>
        <w:t>sustituye o altera las competencias ejecutivas de las Comunidades Autónomas sobre el litoral, sino que responde, como las que ya fueron objeto de enjuiciamiento en la STC 149/1991, no tanto a la facultad como a la obligación estatal de impedir que la naturaleza de estos bienes y sus características sean destruidas o alteradas [STC 233/2015, FJ 2 a), con cita de la STC 149/1991, FJ 1 c)].</w:t>
      </w:r>
    </w:p>
    <w:p w:rsidR="00163957" w:rsidRDefault="00163957" w:rsidP="00163957">
      <w:pPr>
        <w:pStyle w:val="TextoNormal"/>
      </w:pPr>
    </w:p>
    <w:p w:rsidR="00163957" w:rsidRDefault="00163957" w:rsidP="00163957">
      <w:pPr>
        <w:pStyle w:val="TextoNormal"/>
      </w:pPr>
      <w:r>
        <w:t>e) La disposición transitoria primera de la Ley 2/2013 establece el régimen de aplicación de la disposición transitoria tercera.3 LC 1988, que a su vez determinó el régimen aplicable a los terrenos que, a su entrada en vigor, estaban clasificados como suelo urbano.</w:t>
      </w:r>
    </w:p>
    <w:p w:rsidR="00163957" w:rsidRDefault="00163957" w:rsidP="00163957">
      <w:pPr>
        <w:pStyle w:val="TextoNormal"/>
      </w:pPr>
    </w:p>
    <w:p w:rsidR="00163957" w:rsidRDefault="00163957" w:rsidP="00163957">
      <w:pPr>
        <w:pStyle w:val="TextoNormal"/>
      </w:pPr>
      <w:r>
        <w:t>La STC 233/2015, FJ 16, ya ha descartado que lo previsto en esta disposición suponga la vulneración de las competencias autonómicas en materia de ordenación del territorio y urbanismo, reiterando el criterio de la STC 149/1991, FJ 8 d), a la que a su vez se remiten las SSTC 198/1991, de 17 de octubre, 87/2012, de 18 de abril, 137/2012, de 19 de junio, 34/2014, de 27 de febrero, y 5/2015, de 22 de enero.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inconstitucionalidad núm. 4906-2013.</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veintiuno de enero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0" w:name="SENTENCIA_2016_7"/>
      <w:r>
        <w:lastRenderedPageBreak/>
        <w:t>SENTENCIA 7/2016, de 21 de enero de 2016</w:t>
      </w:r>
    </w:p>
    <w:bookmarkEnd w:id="10"/>
    <w:p w:rsidR="00163957" w:rsidRDefault="00163957" w:rsidP="00163957">
      <w:pPr>
        <w:pStyle w:val="TtuloResolucin"/>
      </w:pPr>
      <w:r>
        <w:t>Pleno</w:t>
      </w:r>
    </w:p>
    <w:p w:rsidR="00163957" w:rsidRDefault="00163957" w:rsidP="00163957">
      <w:pPr>
        <w:pStyle w:val="TtuloBOE"/>
      </w:pPr>
      <w:r>
        <w:t>(BOE núm. 45, de 22 de febrero de 2016)</w:t>
      </w:r>
    </w:p>
    <w:p w:rsidR="00163957" w:rsidRDefault="00163957" w:rsidP="00163957">
      <w:pPr>
        <w:pStyle w:val="TextoNormalCentrado"/>
      </w:pPr>
      <w:r>
        <w:t>ECLI:ES:TC:2016:7</w:t>
      </w:r>
    </w:p>
    <w:p w:rsidR="00163957" w:rsidRDefault="00163957" w:rsidP="00163957">
      <w:pPr>
        <w:pStyle w:val="TextoNormalCentrado"/>
      </w:pPr>
    </w:p>
    <w:p w:rsidR="00163957" w:rsidRDefault="00163957" w:rsidP="00163957">
      <w:pPr>
        <w:pStyle w:val="SntesisDescriptiva"/>
      </w:pPr>
      <w:r>
        <w:t>Conflicto positivo de competencia 5107-2013. Planteado por la Generalitat de Cataluña respecto de la resolución de 13 de mayo de 2013, de la Secretaría de Estado de la Seguridad Social, por la que se establece el plan general de actividades preventivas de la Seguridad Social, a aplicar por las mutuas de accidentes de trabajo y enfermedades profesionales de la Seguridad Social en la planificación de sus actividades para el año 2013.</w:t>
      </w:r>
    </w:p>
    <w:p w:rsidR="00163957" w:rsidRDefault="00163957" w:rsidP="00163957">
      <w:pPr>
        <w:pStyle w:val="SntesisDescriptiva"/>
      </w:pPr>
    </w:p>
    <w:p w:rsidR="00163957" w:rsidRDefault="00163957" w:rsidP="00163957">
      <w:pPr>
        <w:pStyle w:val="SntesisAnaltica"/>
      </w:pPr>
      <w:r>
        <w:t>Competencias en materia de seguridad social: atribución al Estado de funciones ejecutivas que vulnera las competencias autonómicas sobre coordinación de las actividades de prevención de riesgos laborales.</w:t>
      </w:r>
    </w:p>
    <w:p w:rsidR="00163957" w:rsidRDefault="00163957" w:rsidP="00163957">
      <w:pPr>
        <w:pStyle w:val="SntesisAnaltica"/>
      </w:pPr>
    </w:p>
    <w:p w:rsidR="00163957" w:rsidRDefault="00163957" w:rsidP="00163957">
      <w:pPr>
        <w:pStyle w:val="Extracto"/>
      </w:pPr>
      <w:r>
        <w:t>1.</w:t>
      </w:r>
      <w:r>
        <w:tab/>
        <w:t>La planificación anual de las actividades preventivas que han de realizar las mutuas, establecida mediante resolución de la Secretaría de Estado de la Seguridad Social, carece del rango de norma básica al no ser desarrollada, en cuanto a las exigencias formales, ni en la ley ni en norma reglamentaria [FJ 5].</w:t>
      </w:r>
    </w:p>
    <w:p w:rsidR="00163957" w:rsidRDefault="00163957" w:rsidP="00163957">
      <w:pPr>
        <w:pStyle w:val="Extracto"/>
      </w:pPr>
    </w:p>
    <w:p w:rsidR="00163957" w:rsidRDefault="00163957" w:rsidP="00163957">
      <w:pPr>
        <w:pStyle w:val="Extracto"/>
      </w:pPr>
      <w:r>
        <w:t>2.</w:t>
      </w:r>
      <w:r>
        <w:tab/>
        <w:t>La determinación de una prestación de la Seguridad Social constituye una materia básica que corresponde establecer al Estado en el marco de su competencia exclusiva sobre legislación básica y régimen económico de la Seguridad Social (STC 40/2014) [FJ 4].</w:t>
      </w:r>
    </w:p>
    <w:p w:rsidR="00163957" w:rsidRDefault="00163957" w:rsidP="00163957">
      <w:pPr>
        <w:pStyle w:val="Extracto"/>
      </w:pPr>
    </w:p>
    <w:p w:rsidR="00163957" w:rsidRDefault="00163957" w:rsidP="00163957">
      <w:pPr>
        <w:pStyle w:val="Extracto"/>
      </w:pPr>
      <w:r>
        <w:t>3.</w:t>
      </w:r>
      <w:r>
        <w:tab/>
        <w:t>La fijación de los criterios y prioridades que han de aplicar las mutuas en la planificación de sus actividades preventivas, al regular el contenido de una prestación de la Seguridad Social, constituye legislación en esta materia [FJ 5].</w:t>
      </w:r>
    </w:p>
    <w:p w:rsidR="00163957" w:rsidRDefault="00163957" w:rsidP="00163957">
      <w:pPr>
        <w:pStyle w:val="Extracto"/>
      </w:pPr>
    </w:p>
    <w:p w:rsidR="00163957" w:rsidRDefault="00163957" w:rsidP="00163957">
      <w:pPr>
        <w:pStyle w:val="Extracto"/>
      </w:pPr>
      <w:r>
        <w:t>4.</w:t>
      </w:r>
      <w:r>
        <w:tab/>
        <w:t>La planificación de las actividades preventivas no tiene naturaleza ejecutiva, pues no se trata de ejecutar o cumplir lo dispuesto en la legislación estatal sino de desarrollarla, debiendo ostentar carácter de básico en la doble perspectiva formal y material para ser considerado conforme al orden competencial [FJ 5].</w:t>
      </w:r>
    </w:p>
    <w:p w:rsidR="00163957" w:rsidRDefault="00163957" w:rsidP="00163957">
      <w:pPr>
        <w:pStyle w:val="Extracto"/>
      </w:pPr>
    </w:p>
    <w:p w:rsidR="00163957" w:rsidRDefault="00163957" w:rsidP="00163957">
      <w:pPr>
        <w:pStyle w:val="Extracto"/>
      </w:pPr>
      <w:r>
        <w:t>5.</w:t>
      </w:r>
      <w:r>
        <w:tab/>
        <w:t>Doctrina sobre la doble perspectiva formal y material de la normativa básica (SSTC 109/2003, 8/2012) [FJ 5].</w:t>
      </w:r>
    </w:p>
    <w:p w:rsidR="00163957" w:rsidRDefault="00163957" w:rsidP="00163957">
      <w:pPr>
        <w:pStyle w:val="Extracto"/>
      </w:pPr>
    </w:p>
    <w:p w:rsidR="00163957" w:rsidRDefault="00163957" w:rsidP="00163957">
      <w:pPr>
        <w:pStyle w:val="Extracto"/>
      </w:pPr>
      <w:r>
        <w:t>6.</w:t>
      </w:r>
      <w:r>
        <w:tab/>
        <w:t>Doctrina sobre el</w:t>
      </w:r>
      <w:r w:rsidRPr="00163957">
        <w:rPr>
          <w:i/>
        </w:rPr>
        <w:t xml:space="preserve"> ius superveniens </w:t>
      </w:r>
      <w:r>
        <w:t>en procesos de naturaleza competencial (STC 148/2012) [FJ 2].</w:t>
      </w:r>
    </w:p>
    <w:p w:rsidR="00163957" w:rsidRDefault="00163957" w:rsidP="00163957">
      <w:pPr>
        <w:pStyle w:val="Extracto"/>
      </w:pPr>
    </w:p>
    <w:p w:rsidR="00163957" w:rsidRDefault="00163957" w:rsidP="00163957">
      <w:pPr>
        <w:pStyle w:val="Extracto"/>
      </w:pPr>
      <w:r>
        <w:t>7.</w:t>
      </w:r>
      <w:r>
        <w:tab/>
        <w:t>Doctrina sobre la pérdida de objeto del conflicto positivo de competencia, como consecuencia del carácter temporal de la resolución impugnada (STC 26/2013)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w:t>
      </w:r>
      <w:r>
        <w:lastRenderedPageBreak/>
        <w:t>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conflicto positivo de competencia núm. 5107-2013, planteado por la Generalitat de Cataluña contra el apartado noveno de la resolución de 13 de mayo de 2013, de la Secretaría de Estado de la Seguridad Social, por la que se establece el plan general de actividades preventivas de la Seguridad Social, a aplicar por las mutuas de accidentes de trabajo y enfermedades profesionales de la Seguridad Social en la planificación de sus actividades para el año 2013. Ha formulado alegaciones el Abogado del Estado. Ha sido Ponente el Magistrado don Ricardo Enríquez Sancho,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con fecha 2 de agosto de 2013 el Abogado de la Generalitat de Cataluña plantea conflicto positivo de competencia contra el apartado noveno de la resolución de 13 de mayo de 2013, de la Secretaría de Estado de la Seguridad Social, por la que se establece el plan general de actividades preventivas de la Seguridad Social, a aplicar por las mutuas de accidentes de trabajo y enfermedades profesionales de la Seguridad Social en la planificación de sus actividades para el año 2013. El conflicto se fundamenta en las alegaciones que, resumidamente, se exponen a continuación.</w:t>
      </w:r>
    </w:p>
    <w:p w:rsidR="00163957" w:rsidRDefault="00163957" w:rsidP="00163957">
      <w:pPr>
        <w:pStyle w:val="TextoNormal"/>
      </w:pPr>
    </w:p>
    <w:p w:rsidR="00163957" w:rsidRDefault="00163957" w:rsidP="00163957">
      <w:pPr>
        <w:pStyle w:val="TextoNormal"/>
      </w:pPr>
      <w:r>
        <w:t>a) Comienza el escrito recordando que el Gobierno de la Generalitat de Cataluña, considerando que el apartado noveno de dicha resolución invadía las competencias ejecutivas asumidas en materia de Seguridad Social, acordó, en fecha 16 de julio de 2013, requerir de incompetencia al Gobierno del Estado. El Consejo de Ministros, en sesión celebrada el 2 de agosto de 2013, acordó rechazar el requerimiento de incompetencia formulado al considerar que dicho apartado es perfectamente respetuoso y no invade competencias de la Generalitat de Cataluña.</w:t>
      </w:r>
    </w:p>
    <w:p w:rsidR="00163957" w:rsidRDefault="00163957" w:rsidP="00163957">
      <w:pPr>
        <w:pStyle w:val="TextoNormal"/>
      </w:pPr>
    </w:p>
    <w:p w:rsidR="00163957" w:rsidRDefault="00163957" w:rsidP="00163957">
      <w:pPr>
        <w:pStyle w:val="TextoNormal"/>
      </w:pPr>
      <w:r>
        <w:t>Señala también que el Consejo de Garantías Estatutarias ha emitido dictamen de carácter preceptivo de acuerdo con lo previsto en el art. 76.3 del Estatuto de Autonomía de Cataluña (EAC) y los arts. 16.2 b), 31.2 y concordantes de la Ley del Parlamento de Cataluña 2/2009, de 12 de febrero, del Consejo de Garantías Estatutarias, en el que concluye que el apartado noveno de la resolución de 13 de mayo de 2013 vulnera la competencia de la Generalitat de Cataluña establecida en el art. 165.1 d) EAC y no tiene amparo en el art. 149.1.17 CE.</w:t>
      </w:r>
    </w:p>
    <w:p w:rsidR="00163957" w:rsidRDefault="00163957" w:rsidP="00163957">
      <w:pPr>
        <w:pStyle w:val="TextoNormal"/>
      </w:pPr>
    </w:p>
    <w:p w:rsidR="00163957" w:rsidRDefault="00163957" w:rsidP="00163957">
      <w:pPr>
        <w:pStyle w:val="TextoNormal"/>
      </w:pPr>
      <w:r>
        <w:lastRenderedPageBreak/>
        <w:t>Tras la referencia señalada a los antecedentes del presente conflicto, el Abogado de la Generalitat de Cataluña recuerda que desde el año 2008 la Secretaría de Estado de la Seguridad Social venía aprobando cada año una resolución mediante la que, junto a la planificación anual de las actividades preventivas a realizar por las mutuas de accidentes de trabajo y enfermedades profesionales de la Seguridad Social, reconocía que corresponde a las Comunidades Autónomas con competencia compartida de coordinación de las actividades de prevención de riesgos laborales que lleven a cabo esas mutuas en sus respectivos territorios, determinar y comunicar a las mutuas las actividades que ha de desarrollar en su territorio. Se trata de las resoluciones de 31 de julio de 2008, de 30 de junio de 2009, de 9 de junio de 2010, de 10 de junio de 2011 y de 5 de septiembre de 2012. De conformidad con este marco competencial, el Gobierno de la Generalitat de Cataluña aprobó el 7 de julio de 2009 la estrategia catalana de seguridad y salud laboral 2009-2012, y ha venido aprobando también cada año desde 2008 una resolución u orden mediante la que ha determinado las actividades preventivas que han de desarrollar las mutuas de accidentes de trabajo y enfermedades profesionales de la Seguridad Social en Cataluña.</w:t>
      </w:r>
    </w:p>
    <w:p w:rsidR="00163957" w:rsidRDefault="00163957" w:rsidP="00163957">
      <w:pPr>
        <w:pStyle w:val="TextoNormal"/>
      </w:pPr>
    </w:p>
    <w:p w:rsidR="00163957" w:rsidRDefault="00163957" w:rsidP="00163957">
      <w:pPr>
        <w:pStyle w:val="TextoNormal"/>
      </w:pPr>
      <w:r>
        <w:t>Indica que hasta el año 2012 el ejercicio de esas competencias se desarrolló de forma pacífica y sin que se suscitase ni por parte del Estado ni de la Generalitat controversia competencial alguna al respecto. Sin embargo, la planificación aprobada mediante la resolución de la Secretaría de Estado de la Seguridad Social de 13 de mayo de 2013 se separa de aquellos precedentes, sin justificación alguna, e invade la competencia de la Generalitat de Cataluña en materia de Seguridad Social y vacía de contenido la de coordinación de las actividades de prevención de riesgos laborales que desarrollen en Cataluña las mutuas de accidentes de trabajo y enfermedades profesionales, reconocidas en el art. 165 EAC.</w:t>
      </w:r>
    </w:p>
    <w:p w:rsidR="00163957" w:rsidRDefault="00163957" w:rsidP="00163957">
      <w:pPr>
        <w:pStyle w:val="TextoNormal"/>
      </w:pPr>
    </w:p>
    <w:p w:rsidR="00163957" w:rsidRDefault="00163957" w:rsidP="00163957">
      <w:pPr>
        <w:pStyle w:val="TextoNormal"/>
      </w:pPr>
      <w:r>
        <w:t>b) A continuación, señala que la legislación estatal reguladora de la actividad preventiva de las mutuas y su aplicación por el Estado y la Generalitat de Cataluña han reconocido la competencia autonómica.</w:t>
      </w:r>
    </w:p>
    <w:p w:rsidR="00163957" w:rsidRDefault="00163957" w:rsidP="00163957">
      <w:pPr>
        <w:pStyle w:val="TextoNormal"/>
      </w:pPr>
    </w:p>
    <w:p w:rsidR="00163957" w:rsidRDefault="00163957" w:rsidP="00163957">
      <w:pPr>
        <w:pStyle w:val="TextoNormal"/>
      </w:pPr>
      <w:r>
        <w:t>Afirma que el art. 9 de la resolución impugnada reconoce la competencia estatal para la planificación de las actividades de prevención de las mutuas y determina el alcance la competencia de coordinación asumida en ese ámbito por las Comunidades Autónomas, estableciendo el modo y el procedimiento que deberán seguir ante el Ministro de Empleo y Seguridad Social para poder ejercer esa competencia.</w:t>
      </w:r>
    </w:p>
    <w:p w:rsidR="00163957" w:rsidRDefault="00163957" w:rsidP="00163957">
      <w:pPr>
        <w:pStyle w:val="TextoNormal"/>
      </w:pPr>
    </w:p>
    <w:p w:rsidR="00163957" w:rsidRDefault="00163957" w:rsidP="00163957">
      <w:pPr>
        <w:pStyle w:val="TextoNormal"/>
      </w:pPr>
      <w:r>
        <w:t xml:space="preserve">Recuerda que las mutuas son entidades colaboradoras de la Seguridad Social y, por tanto, han de desarrollar su labor de prevención de conformidad con la dirección y coordinación de las distintas administraciones competentes en materia de Seguridad Social, tal y como señala el art. 14.1 del Real Decreto 1993/1995, de 7 de diciembre, por el que se aprueba el reglamento sobre colaboración de las mutuas de accidentes de trabajo y enfermedades profesionales de la Seguridad Social. Además, indica que el art. 32 de la Ley 31/1995, de 8 de noviembre, de prevención de riesgos laborales, delimitó el objeto de esta actividad de prevención que llevan a cabo las mutuas de accidentes de trabajo y enfermedades profesionales dada su naturaleza de entidades colaboradoras de la Seguridad Social, así como la afectación a los fines de la Seguridad Social de los medios y recursos que ellas gestionan, y estableció que en ningún caso pueden desarrollar directamente las funciones correspondientes a los servicios de prevención ajenos, en el marco de la legislación de prevención de riesgos laborales. De esta manera, añade, se estableció una clara diferenciación entre la actividad de </w:t>
      </w:r>
      <w:r>
        <w:lastRenderedPageBreak/>
        <w:t>prevención de las mutuas ligada a la colaboración con la Seguridad Social y las medidas de prevención y seguridad que forman parte del deber de cada empresa de velar por la seguridad y la higiene en el trabajo, pero que las mutuas pueden desarrollar como colaboración voluntaria con las empresas asociadas a ellas.</w:t>
      </w:r>
    </w:p>
    <w:p w:rsidR="00163957" w:rsidRDefault="00163957" w:rsidP="00163957">
      <w:pPr>
        <w:pStyle w:val="TextoNormal"/>
      </w:pPr>
    </w:p>
    <w:p w:rsidR="00163957" w:rsidRDefault="00163957" w:rsidP="00163957">
      <w:pPr>
        <w:pStyle w:val="TextoNormal"/>
      </w:pPr>
      <w:r>
        <w:t>Señala que la regulación de la actuación de las mutuas en el primero de esos dos ámbitos, la prevención ligada a la colaboración con la Seguridad Social, ha sido desarrollada en este mismo sentido por la Orden TAS/3623/2006, de 28 de noviembre, por la que se regulan las actividades preventivas en el ámbito de la Seguridad Social y la financiación de la Fundación para la Prevención de Riesgos Laborales, estableciendo que esta actividad preventiva debe tener carácter complementario y no sustitutorio de las obligaciones directas que asumen los empresarios de acuerdo con la Ley 31/1995.</w:t>
      </w:r>
    </w:p>
    <w:p w:rsidR="00163957" w:rsidRDefault="00163957" w:rsidP="00163957">
      <w:pPr>
        <w:pStyle w:val="TextoNormal"/>
      </w:pPr>
    </w:p>
    <w:p w:rsidR="00163957" w:rsidRDefault="00163957" w:rsidP="00163957">
      <w:pPr>
        <w:pStyle w:val="TextoNormal"/>
      </w:pPr>
      <w:r>
        <w:t>Tras recordar la regulación de la citada orden en relación con la financiación, la planificación y el desarrollo de las actividades preventivas en el ámbito de la Seguridad Social, afirma que de esas prescripciones no puede hacerse una lectura aislada ni descontextualizada como se pretende en la respuesta dada por el Gobierno y el Estado al requerimiento previo de incompetencia.</w:t>
      </w:r>
    </w:p>
    <w:p w:rsidR="00163957" w:rsidRDefault="00163957" w:rsidP="00163957">
      <w:pPr>
        <w:pStyle w:val="TextoNormal"/>
      </w:pPr>
    </w:p>
    <w:p w:rsidR="00163957" w:rsidRDefault="00163957" w:rsidP="00163957">
      <w:pPr>
        <w:pStyle w:val="TextoNormal"/>
      </w:pPr>
      <w:r>
        <w:t>c) Seguidamente el Abogado de la Generalitat de Cataluña expone que la materia competencial en la que se inscribe la resolución de 13 de mayo de 2013, de la Secretaría de Estado de la Seguridad Social, tanto por su objeto como su finalidad, es sin duda la relativa a la Seguridad Social. Tras exponer la doctrina del Tribunal Constitucional en relación con el art. 149.1.17 CE, afirma que el Tribunal reconoció la legitimidad constitucional de los preceptos de los Estatutos de Autonomía de Cataluña de 1979 y del Estatuto de Autonomía del País Vasco en los que se asumían competencias compartidas en materia de Seguridad Social, e incluso las relativas a la gestión del régimen económico (SSTC 124/1989, 195/1996 y 51/2006). A su juicio, la interpretación establecida en aquellos casos por el Tribunal Constitucional resulta plenamente trasladable al objeto de este conflicto, puesto que si bien la actividad preventiva de las mutuas se financia con un porcentaje de las cuotas pagadas a la Seguridad Social, en realidad, el objeto de la controversia en absoluto atañe ni a la cuantía ni a la titularidad de esos recursos económicos sino a la determinación de las concretas actividades preventivas desarrolladas por las mutuas en Cataluña con cargo a esas dotaciones y la determinación de cuales sean esos concretos programas y actividades preventivas encaja en la competencia material sobre coordinación de las actividades preventivas de las mutuas y en absoluto perturba la unidad del sistema, ni su funcionamiento económico uniforme, ni cuestiona la titularidad estatal de todos los recursos de la Seguridad Social, ni engendra directa o indirectamente desigualdades entre los ciudadanos en lo que atañe a la satisfacción de sus derechos y al cumplimiento de sus obligaciones de seguridad social.</w:t>
      </w:r>
    </w:p>
    <w:p w:rsidR="00163957" w:rsidRDefault="00163957" w:rsidP="00163957">
      <w:pPr>
        <w:pStyle w:val="TextoNormal"/>
      </w:pPr>
    </w:p>
    <w:p w:rsidR="00163957" w:rsidRDefault="00163957" w:rsidP="00163957">
      <w:pPr>
        <w:pStyle w:val="TextoNormal"/>
      </w:pPr>
      <w:r>
        <w:t xml:space="preserve">Señala que como se desprende del encabezamiento, y de los apartados c) y d) del art. 165 del Estatuto de Autonomía de Cataluña, la Generalitat tiene atribuida estatutariamente, en todo caso, la competencia ejecutiva respecto de la organización y la gestión del patrimonio y los servicios que integran la asistencia sanitaria y los servicios sociales del sistema de la Seguridad Social en Cataluña, así como la ordenación y el ejercicio de las potestades administrativas sobre las instituciones, las empresas y las fundaciones que colaboran con el sistema de Seguridad Social, en esas materias, y también la coordinación de las actividades de </w:t>
      </w:r>
      <w:r>
        <w:lastRenderedPageBreak/>
        <w:t>prevención de riesgos laborales que desarrollen en Cataluña las mutuas de accidentes de trabajo y enfermedades profesionales. Además, y de conformidad con el apartado 2 de ese mismo precepto estatutario, la Generalitat puede organizar y administrar a tales fines y dentro de su territorio, los servicios relacionados con las materias antes expuestas, y ejercer la tutela de las instituciones, entidades y fundaciones en materia de sanidad y Seguridad Social. Así pues, afirma que, de acuerdo con el bloque de la constitucionalidad integrado por el art. 149.1.17 CE y el art. 165.1 c) y d) EAC, la Generalitat es titular de la competencia ejecutiva en materia de coordinación de las actividades preventivas que las mutuas llevan a término en Cataluña, cuando esas actividades preventivas son funciones instrumentales de colaboración con la Seguridad Social. Y esa coordinación, añade, de las actividades preventivas de accidentes de trabajo y enfermedades profesionales, para nada afecta al régimen económico de la Seguridad Social, máxime una vez la normativa estatal y la propia resolución de 13 de mayo de 2013, de la Secretaría de Estado de la Seguridad Social, en su apartado Tercero, han cuantificado el importe que las mutuas han de destinar a esa actividad, y han determinado normativamente su objeto y finalidad. Se trata, a su juicio, de una pura actividad instrumental en el ámbito de la Seguridad Social respecto de la que las competencias de ejecución han de ser reconocidas a la Generalitat.</w:t>
      </w:r>
    </w:p>
    <w:p w:rsidR="00163957" w:rsidRDefault="00163957" w:rsidP="00163957">
      <w:pPr>
        <w:pStyle w:val="TextoNormal"/>
      </w:pPr>
    </w:p>
    <w:p w:rsidR="00163957" w:rsidRDefault="00163957" w:rsidP="00163957">
      <w:pPr>
        <w:pStyle w:val="TextoNormal"/>
      </w:pPr>
      <w:r>
        <w:t>A continuación señala que el término coordinación, empleado en el Estatuto para determinar la función autonómica ejercida sobre las mutuas, no puede ser interpretado en el sentido de la clásica definición o concepto de la potestad estatal de coordinación sobre las Comunidades Autónomas, con la cual se atribuye al Estado una posición de preeminencia sobre sus competencias en varias materias, sino a la capacidad que tiene la Generalitat de ordenar y organizar la actividad de prevención de riesgos laborales que desarrollen en Cataluña las mutuas. Además, a su entender las funciones y potestades que incluye la coordinación de las mutuas alcanzan plenamente el contenido funcional de las competencias ejecutivas, incluyendo desde los actos de mera gestión y organización hasta la aprobación de las disposiciones necesarias para la ejecución de la normativa estatal. De acuerdo con este canon, afirma que el ejercicio de dichas competencia ejecutivas no debe verse acotado ni restringido por una eventual intervención ejecutiva del Estado por el mero hecho de que la materia de la que deriva la función ejecutiva —la coordinación de las mutas— tenga una naturaleza compartida —seguridad social—.</w:t>
      </w:r>
    </w:p>
    <w:p w:rsidR="00163957" w:rsidRDefault="00163957" w:rsidP="00163957">
      <w:pPr>
        <w:pStyle w:val="TextoNormal"/>
      </w:pPr>
    </w:p>
    <w:p w:rsidR="00163957" w:rsidRDefault="00163957" w:rsidP="00163957">
      <w:pPr>
        <w:pStyle w:val="TextoNormal"/>
      </w:pPr>
      <w:r>
        <w:t>Finalmente, menciona que el Estatuto de Autonomía de Cataluña incorpora otros títulos competenciales de la Generalitat, como los relativos a la prevención de riesgos laborales [art. 170.1 g) EAC], o la salud pública, incluida la laboral [art. 162.3 b) EAC], en relación a la actividad preventiva de accidentes y enfermedades profesionales que las mutuas desarrollan en Cataluña.</w:t>
      </w:r>
    </w:p>
    <w:p w:rsidR="00163957" w:rsidRDefault="00163957" w:rsidP="00163957">
      <w:pPr>
        <w:pStyle w:val="TextoNormal"/>
      </w:pPr>
    </w:p>
    <w:p w:rsidR="00163957" w:rsidRDefault="00163957" w:rsidP="00163957">
      <w:pPr>
        <w:pStyle w:val="TextoNormal"/>
      </w:pPr>
      <w:r>
        <w:t xml:space="preserve">d) A la luz de la distribución competencial expuesta, considera que es inconstitucional el apartado noveno de la resolución de 13 de mayo de 2013. El precepto en cuestión ha impuesto la aplicación en Cataluña de la integridad de las prescripciones del plan general de actividades preventivas de las mutuas de accidentes de trabajo y enfermedades profesionales de la Seguridad Social para 2013, y ha cambiado de modo sustancial las pautas organizativas o procedimentales seguidas por las resoluciones anuales precedentes aprobadas desde 2008, especialmente por lo que se refiere al reconocimiento de las actuaciones que corresponden a las Comunidades Autónomas en orden a la coordinación de las actividades preventivas que desarrollen las mutuas en sus respectivos territorios. Ese cambio, añade, se produce en </w:t>
      </w:r>
      <w:r>
        <w:lastRenderedPageBreak/>
        <w:t>el mismo marco competencial que las resoluciones anuales precedentes, cuando su naturaleza y contenido sustantivo resultan ser análogos a aquellas anteriores y cuando no concurre circunstancia alguna que pudiera legitimar una reasunción por el Estado de las potestades que respecto de la coordinación de esas actividades de las mutuas ha venido ejerciendo la Generalitat en Cataluña desde el año 2008.</w:t>
      </w:r>
    </w:p>
    <w:p w:rsidR="00163957" w:rsidRDefault="00163957" w:rsidP="00163957">
      <w:pPr>
        <w:pStyle w:val="TextoNormal"/>
      </w:pPr>
    </w:p>
    <w:p w:rsidR="00163957" w:rsidRDefault="00163957" w:rsidP="00163957">
      <w:pPr>
        <w:pStyle w:val="TextoNormal"/>
      </w:pPr>
      <w:r>
        <w:t>Señala que el cambio se ha producido en un doble sentido. Por una parte, en el primer párrafo de dicho apartado noveno de la resolución, la Secretaría de Estado de la Seguridad Social se atribuye en su integridad la potestad ejecutiva para establecer la planificación anual de las actividades de la Seguridad Social en materia de control y prevención de las contingencias profesionales que deben desarrollar las mutuas de accidentes de trabajo y enfermedades profesionales, amparándose para ello en el art. 68.2 b) del texto refundido de la Ley general de la Seguridad Social (LGSS) y la Orden TAS/3623/2006, pero desconociendo la competencia asumida por la Generalitat respecto de las actividades que las mutuas desarrollen en Cataluña.</w:t>
      </w:r>
    </w:p>
    <w:p w:rsidR="00163957" w:rsidRDefault="00163957" w:rsidP="00163957">
      <w:pPr>
        <w:pStyle w:val="TextoNormal"/>
      </w:pPr>
    </w:p>
    <w:p w:rsidR="00163957" w:rsidRDefault="00163957" w:rsidP="00163957">
      <w:pPr>
        <w:pStyle w:val="TextoNormal"/>
      </w:pPr>
      <w:r>
        <w:t>Por otra parte, según resulta del párrafo segundo del mismo apartado noveno, se ha sustituido el reconocimiento de las funciones ejecutivas autonómicas dentro de la competencia compartida en materia de Seguridad Social, por la referencia a una “competencia de ejecución compartida con la Secretaría de Estado de la Seguridad Social”, de modo que la coordinación de las actividades preventivas de las mutuas en Cataluña, que tiene atribuida la Generalitat en virtud del art. 165.1 d) EAC, pasa a ser ejercida por la Secretaría de Estado de la Seguridad Social, relegando la función de la Generalitat a una simple facultad de instar o interesar de aquella Secretaría de Estado el desarrollo de unas particularidades en los programas que se han definido en esta resolución; especialidades que, se puntualiza, en todo caso deberán respetar los destinatarios, actividades, criterios y objetivos que la propia resolución ha fijado, situando de este modo al Estado en un clara posición jerárquica respecto de la Generalitat en el ejercicio de esa función de coordinación de las actividades de las mutuas.</w:t>
      </w:r>
    </w:p>
    <w:p w:rsidR="00163957" w:rsidRDefault="00163957" w:rsidP="00163957">
      <w:pPr>
        <w:pStyle w:val="TextoNormal"/>
      </w:pPr>
    </w:p>
    <w:p w:rsidR="00163957" w:rsidRDefault="00163957" w:rsidP="00163957">
      <w:pPr>
        <w:pStyle w:val="TextoNormal"/>
      </w:pPr>
      <w:r>
        <w:t>El Abogado de la Generalitat de Cataluña insiste en señalar que el Estado se reserva la determinación de las actividades de prevención de las contingencias profesionales y el establecimiento de los criterios y prioridades a seguir por las mutuas sin tomar para nada en cuenta la competencia propia de la Generalitat de Cataluña en esta materia. A su juicio, esa planificación para el corriente ejercicio anual de las actividades preventivas que han de aplicar las mutuas de accidentes de trabajo y enfermedades profesionales de la Seguridad Social no es más que un instrumento de naturaleza ejecutiva, como resulta tanto del contenido de su regulación, como de la propia forma de resolución mediante la que se adopta, por lo que formal y funcionalmente se inscribe con naturalidad en el nivel de las competencias ejecutivas asumidas por la Generalitat de Cataluña en materia de Seguridad Social. Y por su contenido, se trata de un instrumento meramente ejecutivo, perfectamente ajeno a lo que integra el régimen económico de la Seguridad Social, puesto que la determinación que se hace de esos concretos programas consiste en la definición de sus aspectos materiales relativos a las concretas medidas de prevención de riesgos, en el marco y dentro de los márgenes de financiación fijados por el propio Estado en el art. 3.1 de la Orden TAS/3623/2006 y el apartado tercero de la propia resolución de 13 de mayo de 2013, respecto a la dotación económica y cuantía de esas actividades preventivas, por lo que su imposición a las activi</w:t>
      </w:r>
      <w:r>
        <w:lastRenderedPageBreak/>
        <w:t>dades preventivas que realizan las mutuas en Cataluña, determinando sus destinatarios, actividades, criterios y objetivos, vacía de contenido la competencia ejecutiva asumida por la Generalitat para determinar esas actividades de las mutuas en Cataluña.</w:t>
      </w:r>
    </w:p>
    <w:p w:rsidR="00163957" w:rsidRDefault="00163957" w:rsidP="00163957">
      <w:pPr>
        <w:pStyle w:val="TextoNormal"/>
      </w:pPr>
    </w:p>
    <w:p w:rsidR="00163957" w:rsidRDefault="00163957" w:rsidP="00163957">
      <w:pPr>
        <w:pStyle w:val="TextoNormal"/>
      </w:pPr>
      <w:r>
        <w:t>En este sentido, recuerda que si bien el Tribunal Constitucional ha admitido incluso el posible ejercicio por el Estado de funciones ejecutivas en aquellos ámbitos competenciales compartidos como el de la Seguridad Social, el ejercicio por instancias estatales de esas funciones ejecutivas no puede producirse de forma general e incondicionada, como si de una competencia exclusiva estatal se tratase. Antes al contrario, la regla general en los ámbitos de competencia compartida, por lo que a las funciones ejecutivas se refiere, es que correspondan en su integridad a las Comunidades Autónomas, y sólo de modo excepcional puedan ser ejercidas por instancias del Estado, cuando la actuación estatal resulte imprescindible para garantizar la homogeneidad o el carácter unitario del sistema de Seguridad Social, supuesto que en modo alguno se produce en este caso, como ha quedado demostrado por la práctica seguida en cada ejercicio anual desde el año 2008. Además, la asunción de funciones ejecutivas por el Estado no resulta imprescindible para garantizar un tratamiento homogéneo de la actividad preventiva de las mutuas, puesto que la normativa estatal y los instrumentos generales de planificación ya determinan con un notable grado de detalle y la suficiente precisión, el sentido y contenido de las actividades preventivas.</w:t>
      </w:r>
    </w:p>
    <w:p w:rsidR="00163957" w:rsidRDefault="00163957" w:rsidP="00163957">
      <w:pPr>
        <w:pStyle w:val="TextoNormal"/>
      </w:pPr>
    </w:p>
    <w:p w:rsidR="00163957" w:rsidRDefault="00163957" w:rsidP="00163957">
      <w:pPr>
        <w:pStyle w:val="TextoNormal"/>
      </w:pPr>
      <w:r>
        <w:t>Por otro lado, afirma que si bien las actividades preventivas de las mutuas se financian con recursos propios de la Seguridad Social, la determinación de cuales sean las actividades que han de desarrollarse en Cataluña, en modo alguno afecta la igualdad de los beneficiarios de la acción protectora de la Seguridad Social, puesto que se trata de unas actividades de asesoramiento, formación y divulgación en las empresas, que prestan las mutuas conforme a lo previsto en el art. 68.2 b) del texto refundido de la Ley general de la Seguridad Social (LGSS) y, por tanto, de naturaleza manifiestamente distinta de las prestaciones personales, familiares o de servicios sociales que el art. 38 y concordantes del mismo LGSS reconoce dentro de la acción protectora del sistema de la Seguridad Social. Y si bien el art. 68 LGSS, en su apartado 3, establece que las prestaciones, asistencias y servicios objeto de colaboración de las mutuas forman parte de la acción protectora de la Seguridad Social y que están sujetas al régimen establecido en esta ley y en sus normas de aplicación y desarrollo, las actividades preventivas de las mutuas no pueden considerarse prestaciones personales respecto de las que pudiera invocarse la cobertura competencial de la garantía básica de la igualdad de todos los españoles en el ejercicio de los derechos constitucionales a la que se refiere el art. 149.1.1 CE.</w:t>
      </w:r>
    </w:p>
    <w:p w:rsidR="00163957" w:rsidRDefault="00163957" w:rsidP="00163957">
      <w:pPr>
        <w:pStyle w:val="TextoNormal"/>
      </w:pPr>
    </w:p>
    <w:p w:rsidR="00163957" w:rsidRDefault="00163957" w:rsidP="00163957">
      <w:pPr>
        <w:pStyle w:val="TextoNormal"/>
      </w:pPr>
      <w:r>
        <w:t xml:space="preserve">Por último, señala el Abogado de la Generalitat de Cataluña que del tenor literal del párrafo segundo del apartado noveno de la resolución de 13 de mayo de 2013 resulta que se vacía de contenido la competencia de la Generalitat para coordinar las actividades de prevención que han de realizar las mutuas en Cataluña, ya que se pasa de poder determinar cuáles sean esas actividades, como ha venido haciendo desde el año 2008, a tener que “interesar”, es decir, instar, solicitar o recabar de la Secretaría de Estado de la Seguridad Social el desarrollo de las particularidades que le interesen dentro de los programas que ya se encuentran completamente definidos en el apartado Primero de la propia resolución, y debiendo respetar además, en todo caso, los destinatarios, actividades, criterios y objetivos de los mismos que en esta misma resolución han quedado definidos. El Estado ha sustituido, </w:t>
      </w:r>
      <w:r>
        <w:lastRenderedPageBreak/>
        <w:t>por tanto, el ejercicio de una función ejecutiva descentralizada y autónoma en esta Comunidad, por el establecimiento de un procedimiento de mera participación, a todas luces marginal e irrelevante, de la Comunidad Autónoma, y ha impuesto la uniformidad prácticamente absoluta de las actividades preventivas a realizar en cualquier parte del territorio del Estado, prescindiendo de todo margen de adaptación de esas actuaciones preventivas que han de llevar a cabo las mutuas, a la especificidad propia y distinta implantación territorial de los diversos sectores productivos, a la específica estructura empresarial y a la distinta incidencia de la siniestralidad laboral en cada Comunidad Autónoma.</w:t>
      </w:r>
    </w:p>
    <w:p w:rsidR="00163957" w:rsidRDefault="00163957" w:rsidP="00163957">
      <w:pPr>
        <w:pStyle w:val="TextoNormal"/>
      </w:pPr>
    </w:p>
    <w:p w:rsidR="00163957" w:rsidRDefault="00163957" w:rsidP="00163957">
      <w:pPr>
        <w:pStyle w:val="TextoNormal"/>
      </w:pPr>
      <w:r>
        <w:t>e) Se plantea asimismo en el primer otrosí del escrito por el que se plantea este conflicto positivo de competencia incidente de recusación del Presidente del Tribunal Constitucional Excmo. Sr. don Francisco Pérez de los Cobos Orihuel, en los mismos términos que se planteó su recusación en otros 24 procedimientos en los que es parte el Gobierno de la Generalitat de Cataluña.</w:t>
      </w:r>
    </w:p>
    <w:p w:rsidR="00163957" w:rsidRDefault="00163957" w:rsidP="00163957">
      <w:pPr>
        <w:pStyle w:val="TextoNormal"/>
      </w:pPr>
    </w:p>
    <w:p w:rsidR="00163957" w:rsidRDefault="00163957" w:rsidP="00163957">
      <w:pPr>
        <w:pStyle w:val="TextoNormal"/>
      </w:pPr>
      <w:r w:rsidRPr="00163957">
        <w:rPr>
          <w:rStyle w:val="NumeroAFNegritaCaracter"/>
        </w:rPr>
        <w:t>2</w:t>
      </w:r>
      <w:r>
        <w:t>. Por providencia de la Sección Cuarta de 22 de octubre de 2013 se admitió a trámite el conflicto positivo de competencia y se acordó dar traslado de la demanda y documentos presentados al Gobierno de la Nación, por conducto de su Presidente, al objeto de que en el plazo de veinte días pueda realizar las alegaciones correspondientes. También se acordó comunicar la incoación del conflicto a la Sala de lo Contencioso-Administrativo de la Audiencia Nacional, por si ante la misma estuviera impugnado o se impugnare el citado precepto, en cuyo caso se suspenderá el curso del proceso hasta la decisión del conflicto, según dispone el art. 61.2 LOTC. Por último se acordó publicar la incoación del conflicto en el “Boletín Oficial del Estado” y en el “Diari Oficial de la Generalitat de Catalunya”.</w:t>
      </w:r>
    </w:p>
    <w:p w:rsidR="00163957" w:rsidRDefault="00163957" w:rsidP="00163957">
      <w:pPr>
        <w:pStyle w:val="TextoNormal"/>
      </w:pPr>
    </w:p>
    <w:p w:rsidR="00163957" w:rsidRDefault="00163957" w:rsidP="00163957">
      <w:pPr>
        <w:pStyle w:val="TextoNormal"/>
      </w:pPr>
      <w:r w:rsidRPr="00163957">
        <w:rPr>
          <w:rStyle w:val="NumeroAFNegritaCaracter"/>
        </w:rPr>
        <w:t>3</w:t>
      </w:r>
      <w:r>
        <w:t>. Mediante escrito registrado el día 30 de octubre de 2013, el Abogado del Estado, en la representación que legalmente ostenta, solicitó que se le tuviera por personado en nombre del Gobierno en el presente conflicto positivo de competencia y que se le concediera una prórroga por el máximo legal del plazo concedido para formular alegaciones, habida cuenta del número de asuntos pendientes en esa Abogacía. Por providencia de 4 de noviembre de 2013, el Pleno acordó incorporar a las actuaciones el mencionado escrito, teniendo por personado al Abogado del Estado en la representación que legalmente ostenta y concediéndole una prórroga de diez días sobre el plazo inicial para formular alegaciones.</w:t>
      </w:r>
    </w:p>
    <w:p w:rsidR="00163957" w:rsidRDefault="00163957" w:rsidP="00163957">
      <w:pPr>
        <w:pStyle w:val="TextoNormal"/>
      </w:pPr>
    </w:p>
    <w:p w:rsidR="00163957" w:rsidRDefault="00163957" w:rsidP="00163957">
      <w:pPr>
        <w:pStyle w:val="TextoNormal"/>
      </w:pPr>
      <w:r w:rsidRPr="00163957">
        <w:rPr>
          <w:rStyle w:val="NumeroAFNegritaCaracter"/>
        </w:rPr>
        <w:t>4</w:t>
      </w:r>
      <w:r>
        <w:t>. El Abogado del Estado presentó sus alegaciones en el Registro General del Tribunal el día 9 de diciembre de 2013.</w:t>
      </w:r>
    </w:p>
    <w:p w:rsidR="00163957" w:rsidRDefault="00163957" w:rsidP="00163957">
      <w:pPr>
        <w:pStyle w:val="TextoNormal"/>
      </w:pPr>
    </w:p>
    <w:p w:rsidR="00163957" w:rsidRDefault="00163957" w:rsidP="00163957">
      <w:pPr>
        <w:pStyle w:val="TextoNormal"/>
      </w:pPr>
      <w:r>
        <w:t>Tras centrar el objeto del conflicto de competencias, el Abogado del Estado define el alcance de lo que se entiende por “coordinación y ejecución” autonómica de la legislación estatal, cuando tanto la misma Constitución como los Estatutos de Autonomía, en concreto el Estatuto de Cataluña, se refieren a esa función dentro del concepto o género jurídico-constitucional de competencias compartidas.</w:t>
      </w:r>
    </w:p>
    <w:p w:rsidR="00163957" w:rsidRDefault="00163957" w:rsidP="00163957">
      <w:pPr>
        <w:pStyle w:val="TextoNormal"/>
      </w:pPr>
    </w:p>
    <w:p w:rsidR="00163957" w:rsidRDefault="00163957" w:rsidP="00163957">
      <w:pPr>
        <w:pStyle w:val="TextoNormal"/>
      </w:pPr>
      <w:r>
        <w:t xml:space="preserve">Afirma el Abogado del Estado que la potestad normativa o legislativa del Estado abarca también a la potestad reglamentaria general de ordenación en donde cabría incardinar la resolución de la Secretaría de Estado de la Seguridad Social de 13 de mayo de 2013. Más la potestad reglamentaria ejecutiva de la Generalitat sobre la normativa del Estado, prevista en </w:t>
      </w:r>
      <w:r>
        <w:lastRenderedPageBreak/>
        <w:t>el art. 112 del Estatuto, no puede ser considerada una potestad reglamentaria general sino que debe entenderse como una competencia limitada de carácter funcional referida únicamente a poder aprobar los reglamentos internos que permitan la organización de los servicios que fueran necesarios para la ejecución, la regulación de la propia competencia funcional de ejecución y el conjunto de actuaciones precisas para la puesta en práctica de la normativa estatal. Pero es siempre ésta la que decide o condiciona la ejecución y el alcance de la ejecución autonómica, no al contrario, en materias de competencia legislativa estatal y de sólo ejecución autonómica de la normativa estatal.</w:t>
      </w:r>
    </w:p>
    <w:p w:rsidR="00163957" w:rsidRDefault="00163957" w:rsidP="00163957">
      <w:pPr>
        <w:pStyle w:val="TextoNormal"/>
      </w:pPr>
    </w:p>
    <w:p w:rsidR="00163957" w:rsidRDefault="00163957" w:rsidP="00163957">
      <w:pPr>
        <w:pStyle w:val="TextoNormal"/>
      </w:pPr>
      <w:r>
        <w:t>Señala que la resolución de la Secretaría de Estado de la Seguridad Social de 13 de mayo de 2013 establece la planificación anual de las actividades de la Seguridad Social en materia de control y prevención de las contingencias profesionales que ampara, de conformidad con lo dispuesto en los arts. 68.2 b) LGSS y 3.2 de la Orden TAS/3623/2006, de 28 de noviembre, normas que, asimismo, atribuyen a la Secretaría de Estado de la Seguridad Social la competencia para su determinación y para el establecimiento de los criterios y prioridades a seguir. Estas actividades son distintas y ajenas a las de prevención de riesgos laborales reguladas en la Ley 31/1995, de 8 de noviembre.</w:t>
      </w:r>
    </w:p>
    <w:p w:rsidR="00163957" w:rsidRDefault="00163957" w:rsidP="00163957">
      <w:pPr>
        <w:pStyle w:val="TextoNormal"/>
      </w:pPr>
    </w:p>
    <w:p w:rsidR="00163957" w:rsidRDefault="00163957" w:rsidP="00163957">
      <w:pPr>
        <w:pStyle w:val="TextoNormal"/>
      </w:pPr>
      <w:r>
        <w:t>A continuación, analiza los pronunciamientos jurisprudenciales sobre la competencia de Cataluña de ejecución de la legislación del Estado en el ámbito material objeto del conflicto según su Estatuto. Así, indica que además del criterio sentado por el Tribunal Constitucional, con carácter general sobre la competencia de ejecución de la legislación del Estado, a propósito del enjuiciamiento de la constitucionalidad del art. 112 EAC en la STC 31/2010, de 28 de junio (FJ 61), cabe aproximarse a la doctrina elaborada en la misma Sentencia sobre la reforma del Estatuto catalán efectuada por la Ley Orgánica 6/2006, en relación con los arts. 165 y 170, ambos del citado Estatuto.</w:t>
      </w:r>
    </w:p>
    <w:p w:rsidR="00163957" w:rsidRDefault="00163957" w:rsidP="00163957">
      <w:pPr>
        <w:pStyle w:val="TextoNormal"/>
      </w:pPr>
    </w:p>
    <w:p w:rsidR="00163957" w:rsidRDefault="00163957" w:rsidP="00163957">
      <w:pPr>
        <w:pStyle w:val="TextoNormal"/>
      </w:pPr>
      <w:r>
        <w:t>En cuanto al primero, señala que atribuye a la Generalitat la competencia compartida sobre las actividades de prevención de riesgos laborales que desarrollen las mutuas en territorio de Cataluña, y en general actividades de coordinación en el campo de la gestión de la Seguridad Social. El Tribunal concreta el sentido de la norma, saliendo al paso de la expresión que muchas veces se incluye en el tenor de algunos preceptos estatutarios que definen competencias de ejecución de la Comunidad Autónoma, atribuyendo en todo caso a la Generalitat la competencia, indicando la STC 31/2010 que dichas submaterias forman parte del contenido de la realidad material de que se trate, pero sin que las competencias del Estado, tanto si son concurrentes como si son compartidas con las de la Comunidad Autónoma, resulten impedidas o limitadas en su ejercicio por esa atribución estatutaria “en todo caso” de competencias específicas a la Generalitat (fundamentos jurídicos 59 y 64).</w:t>
      </w:r>
    </w:p>
    <w:p w:rsidR="00163957" w:rsidRDefault="00163957" w:rsidP="00163957">
      <w:pPr>
        <w:pStyle w:val="TextoNormal"/>
      </w:pPr>
    </w:p>
    <w:p w:rsidR="00163957" w:rsidRDefault="00163957" w:rsidP="00163957">
      <w:pPr>
        <w:pStyle w:val="TextoNormal"/>
      </w:pPr>
      <w:r>
        <w:t xml:space="preserve">Y en cuanto al título competencial “trabajo y relaciones laborales” (competencia de ejecución para la Comunidad Autónoma) prevista en el art. 170 EAC, concretamente en lo que al apartado g) “prevención de riesgos laborales y la seguridad y salud en el trabajo”, se refiere, y como atribución acompañada de la expresión “en todo caso”, cuyo sentido ya determinaron los fundamentos jurídicos 59 y 64 de la STC 31/2010, especifica no obstante otra vez en el fundamento jurídico 106, que “ya hemos tenido ocasión de señalar, al enjuiciar el art. 112 EAC que en el ámbito ejecutivo puede tener cabida una competencia normativa de carácter funcional … y de regulación de la propia competencia de ejecución y del conjunto de actuaciones precisas para la puesta en práctica de la normativa estatal”. A juicio </w:t>
      </w:r>
      <w:r>
        <w:lastRenderedPageBreak/>
        <w:t>del Abogado del Estado, esto significa que la competencia de la Generalitat a que se refiere el desglose competencial sobre el contenido del art. 170 EAC, debe entenderse como limitada sólo a la vertiente organizativa y que en su desarrollo y alcance en cada momento, y según la perspectivas de cada momento y época o circunstancias, debe estar subordinada a lo que disponga el legislador estatal de conformidad con el art. 149.1.7 CE.</w:t>
      </w:r>
    </w:p>
    <w:p w:rsidR="00163957" w:rsidRDefault="00163957" w:rsidP="00163957">
      <w:pPr>
        <w:pStyle w:val="TextoNormal"/>
      </w:pPr>
    </w:p>
    <w:p w:rsidR="00163957" w:rsidRDefault="00163957" w:rsidP="00163957">
      <w:pPr>
        <w:pStyle w:val="TextoNormal"/>
      </w:pPr>
      <w:r>
        <w:t>Una vez expuesta la doctrina constitucional sobre la competencia de ejecución de Cataluña en la materia objeto de conflicto, el Abogado del Estado aplica la doctrina citada a la interpretación de los preceptos positivos. En este sentido cita los arts. 38.1 e), 68.2 b) y 68.3 párrafo tercero LGSS, y recuerda que el art. 13 del Reglamento general de colaboración de las mutuas, aprobado por el Real Decreto 1993/1995, de 7 de diciembre, distingue entre las prestaciones de servicio que para el control de las contingencias profesionales de la Seguridad Social pueden desarrollar las mutuas, en aplicación del art. 68.2 b) LGSS, de aquellas otras que corresponde a los riesgos laborales y a la Ley 31/1995, de 8 de noviembre. Añade que se prohíbe a las mutuas desarrollar estas últimas actividades. También señala que la Orden TAS/3623/2006, de 28 de noviembre, por la que se regulan las actividades preventivas de la Seguridad Social, desarrolla las normas anteriores, norma reglamentaria no impugnada por la Comunidad Autónoma demandante. De acuerdo con lo dispuesto en esta Orden Ministerial, no impugnada y que se dictó con posterioridad a la Ley Orgánica que reformó el Estatuto de Autonomía de Cataluña, afirma el Abogado del Estado que resulta clara la competencia atribuida a la Secretaría de Estado de la Seguridad Social, que consiste en la planificación anual de las actividades preventivas del ámbito de la acción protectora de la Seguridad Social que pueden desarrollar las mutuas, y a las que deben ajustar anualmente sus planes individuales. La facultad de planificación anual que corresponde al Secretario de Estado es de ámbito nacional, sin que en ningún momento ni en ninguna norma se disponga que la facultad quede restringida al ámbito territorial que las Comunidades Autónomas estimen por conveniente, determinado por el diferencial de aquellas que no establezcan sus propios Planes autonómicos.</w:t>
      </w:r>
    </w:p>
    <w:p w:rsidR="00163957" w:rsidRDefault="00163957" w:rsidP="00163957">
      <w:pPr>
        <w:pStyle w:val="TextoNormal"/>
      </w:pPr>
    </w:p>
    <w:p w:rsidR="00163957" w:rsidRDefault="00163957" w:rsidP="00163957">
      <w:pPr>
        <w:pStyle w:val="TextoNormal"/>
      </w:pPr>
      <w:r>
        <w:t>Considera el Abogado del Estado que la Comunidad Autónoma, por vía oblicua, pretende dirigir a las mutuas en sus actividades preventivas de la Seguridad Social que desarrollen en Cataluña, lo que supone infringir el art. 71.1 LGSS que atribuye al Estado, a través del Ministerio de Empleo y Seguridad Social, las competencias de dirección y tutela de las entidades y de las funciones que desarrollan. Dichas funciones son funciones públicas de la Seguridad Social delegadas por el Estado titular de las mismas, quien por este motivo se reserva la facultad de dirigir sus funciones delegadas, así como el tutelar las entidades en quien ha delegado.</w:t>
      </w:r>
    </w:p>
    <w:p w:rsidR="00163957" w:rsidRDefault="00163957" w:rsidP="00163957">
      <w:pPr>
        <w:pStyle w:val="TextoNormal"/>
      </w:pPr>
    </w:p>
    <w:p w:rsidR="00163957" w:rsidRDefault="00163957" w:rsidP="00163957">
      <w:pPr>
        <w:pStyle w:val="TextoNormal"/>
      </w:pPr>
      <w:r>
        <w:t>Afirma que resulta evidente que de admitirse la pretensión formulada, en orden a que la Secretaría de Estado de la Seguridad Social se abstenga de establecer los servicios a dispensar en Cataluña, obviamente recibirían las empresas y trabajadores cuyos establecimientos radiquen en aquel ámbito, un tratamiento dispar frente al que reciban las empresas y trabajadores cuyos establecimientos radiquen en otros lugar, incluso aunque correspondan a la misma empresa. Desconoce, a su juicio, que nos encontramos en el ámbito de la Seguridad Social pública y contributiva, por lo que la pretensión supone que la Comunidad Autónoma desea financiar sus políticas del ámbito de riesgos laborales con los recursos públicos de la Seguridad Social.</w:t>
      </w:r>
    </w:p>
    <w:p w:rsidR="00163957" w:rsidRDefault="00163957" w:rsidP="00163957">
      <w:pPr>
        <w:pStyle w:val="TextoNormal"/>
      </w:pPr>
    </w:p>
    <w:p w:rsidR="00163957" w:rsidRDefault="00163957" w:rsidP="00163957">
      <w:pPr>
        <w:pStyle w:val="TextoNormal"/>
      </w:pPr>
      <w:r>
        <w:lastRenderedPageBreak/>
        <w:t>Insiste en señalar que el ámbito de la resolución de 13 de mayo de 2013 impugnada es totalmente ajeno e independiente al de la prevención de riesgos laborales. La Seguridad Social ostenta un interés público, propio y diferenciado en el control y reducción de las contingencias profesionales que protege, por lo que le es legítimo y autorizado establecer servicios a su población protegida para evitar la actualización de las contingencias que protege y con ello el gasto que generan. Además, añade, el concepto de contingencia profesional, es decir, los conceptos de accidente de trabajo y de enfermedad profesional, son conceptos diferentes del concepto “riesgo laboral”. Por ello los servicios de la Seguridad Social son por naturaleza y objeto diferentes a los que debería dispensar la Comunidad Autónoma con sus propios medios y recursos.</w:t>
      </w:r>
    </w:p>
    <w:p w:rsidR="00163957" w:rsidRDefault="00163957" w:rsidP="00163957">
      <w:pPr>
        <w:pStyle w:val="TextoNormal"/>
      </w:pPr>
    </w:p>
    <w:p w:rsidR="00163957" w:rsidRDefault="00163957" w:rsidP="00163957">
      <w:pPr>
        <w:pStyle w:val="TextoNormal"/>
      </w:pPr>
      <w:r>
        <w:t>A su entender, no resulta asumible el que se invoquen las competencias en materia laboral para intentar justificar las pretensiones de la Comunidad Autónoma. El art. 165 EAC atribuye a la Comunidad Autónoma competencia compartida “en la coordinación de las actividades de prevención de riesgos laborales que desarrollen en Cataluña las Mutuas de Accidentes de Trabajo y Enfermedades Profesionales de la Seguridad Social”. La coordinación de las actividades supone la “aplicación” o “ejecución” de las mismas, previamente diseñadas por la Secretaría de Estado de la Seguridad Social. Esta interpretación, indica, se ajusta a la literalidad de la norma. Por el contrario, la interpretación que realiza la Comunidad Autónoma, invade las competencias de la Administración General del Estado en la materia, porque privaría a la misma de toda facultad para establecer, priorizar o determinar sus servicios propios, así como para determinar el modo y alcance con el que deben aplicarse sus recursos económicos, cuando los servicios y actividades se desarrollen en Cataluña. Por ello, afirma, la interpretación recta y legal es la que incorpora el apartado noveno de la resolución de la Secretaría de Estado de la Seguridad Social de 13 de mayo de 2013: la Administración General del Estado establece la planificación general y nacional y la Comunidad Autónoma adapta la misma a sus criterios y especificidades.</w:t>
      </w:r>
    </w:p>
    <w:p w:rsidR="00163957" w:rsidRDefault="00163957" w:rsidP="00163957">
      <w:pPr>
        <w:pStyle w:val="TextoNormal"/>
      </w:pPr>
    </w:p>
    <w:p w:rsidR="00163957" w:rsidRDefault="00163957" w:rsidP="00163957">
      <w:pPr>
        <w:pStyle w:val="TextoNormal"/>
      </w:pPr>
      <w:r w:rsidRPr="00163957">
        <w:rPr>
          <w:rStyle w:val="NumeroAFNegritaCaracter"/>
        </w:rPr>
        <w:t>5</w:t>
      </w:r>
      <w:r>
        <w:t>. El Pleno del Tribunal, por ATC 180/2013, de 17 de septiembre, inadmitió a trámite la recusación formulada en el primer otrosí del escrito por el que se plantea el presente conflicto positivo de competencia. Interpuesto recurso de súplica contra el anterior Auto por el Parlamento y la Generalitat de Cataluña, el Pleno, en providencia de 12 de octubre de 2013 acordó su inadmisión a trámite.</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19 de enero de 2016, se señaló para la deliberación y votación de la presente Sentencia el día 21 del mismo mes y año, trámite que ha finalizado en el día de hoy.</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proceso constitucional tiene por objeto resolver el conflicto positivo de competencia planteado por la Generalitat de Cataluña contra el apartado noveno de la resolución de 13 de mayo de 2013, de la Secretaría de Estado de la Seguridad Social, por la que se establece el plan general de actividades preventivas de la Seguridad Social, a aplicar por las mutuas de accidentes de trabajo y enfermedades profesionales de la Seguridad Social en la planificación de sus actividades para el año 2013.</w:t>
      </w:r>
    </w:p>
    <w:p w:rsidR="00163957" w:rsidRDefault="00163957" w:rsidP="00163957">
      <w:pPr>
        <w:pStyle w:val="TextoNormal"/>
      </w:pPr>
    </w:p>
    <w:p w:rsidR="00163957" w:rsidRDefault="00163957" w:rsidP="00163957">
      <w:pPr>
        <w:pStyle w:val="TextoNormal"/>
      </w:pPr>
      <w:r>
        <w:lastRenderedPageBreak/>
        <w:t>Para la Generalitat de Cataluña el apartado noveno de la citada resolución reserva al Estado unas funciones de ejecución en materia de Seguridad Social que corresponden a la Generalitat de Cataluña y vacía de contenido la competencia de coordinación de las actividades de prevención de riesgos laborales que desarrollen en Cataluña las mutuas de accidentes de trabajo y enfermedades profesionales, lo que vulnera el art. 165.1 d) del Estatuto de Autonomía de Cataluña (EAC) y excede de la reserva competencial establecida en el art. 149.1.17 CE.</w:t>
      </w:r>
    </w:p>
    <w:p w:rsidR="00163957" w:rsidRDefault="00163957" w:rsidP="00163957">
      <w:pPr>
        <w:pStyle w:val="TextoNormal"/>
      </w:pPr>
    </w:p>
    <w:p w:rsidR="00163957" w:rsidRDefault="00163957" w:rsidP="00163957">
      <w:pPr>
        <w:pStyle w:val="TextoNormal"/>
      </w:pPr>
      <w:r>
        <w:t>Por su parte, el Abogado del Estado considera que no resulta contrario al orden constitucional de competencias atribuir al Estado la competencia para establecer el plan general de actividades preventivas de la Seguridad Social, a aplicar por las mutuas de accidentes de trabajo y enfermedades profesionales de la Seguridad Social en la planificación de sus actividades para el año 2013, tal como está previsto en el apartado noveno de la resolución de 13 de mayo de 2013, de la Secretaría de Estado de la Seguridad Social. A su juicio, la interpretación que realiza la Comunidad Autónoma invade las competencias de la Administración General del Estado en la materia, porque priva a la misma de toda facultad para establecer, priorizar o determinar sus servicios propios, así como para determinar el modo y alcance con que deben aplicarse sus recursos económicos, cuando los servicios y las actividades se desarrollen en Cataluña.</w:t>
      </w:r>
    </w:p>
    <w:p w:rsidR="00163957" w:rsidRDefault="00163957" w:rsidP="00163957">
      <w:pPr>
        <w:pStyle w:val="TextoNormal"/>
      </w:pPr>
    </w:p>
    <w:p w:rsidR="00163957" w:rsidRDefault="00163957" w:rsidP="00163957">
      <w:pPr>
        <w:pStyle w:val="TextoNormal"/>
      </w:pPr>
      <w:r w:rsidRPr="00163957">
        <w:rPr>
          <w:rStyle w:val="NumeroAFNegritaCaracter"/>
        </w:rPr>
        <w:t>2</w:t>
      </w:r>
      <w:r>
        <w:t>. Una vez expuestas sintéticamente las posiciones de las partes, conviene realizar algunas precisiones de orden procesal, antes de proceder al examen de la cuestión de fondo.</w:t>
      </w:r>
    </w:p>
    <w:p w:rsidR="00163957" w:rsidRDefault="00163957" w:rsidP="00163957">
      <w:pPr>
        <w:pStyle w:val="TextoNormal"/>
      </w:pPr>
    </w:p>
    <w:p w:rsidR="00163957" w:rsidRDefault="00163957" w:rsidP="00163957">
      <w:pPr>
        <w:pStyle w:val="TextoNormal"/>
      </w:pPr>
      <w:r>
        <w:t>De acuerdo con nuestra doctrina sobre el ius superveniens, en procesos de naturaleza competencial, el control de las normas impugnadas por incurrir en un posible exceso competencial ha de hacerse de acuerdo con el bloque de constitucionalidad y con las demás normas que operan como parámetro de enjuiciamiento que estén vigentes en el momento de dictar sentencia (por todas, STC 148/2012, de 5 de julio, FJ 2).</w:t>
      </w:r>
    </w:p>
    <w:p w:rsidR="00163957" w:rsidRDefault="00163957" w:rsidP="00163957">
      <w:pPr>
        <w:pStyle w:val="TextoNormal"/>
      </w:pPr>
    </w:p>
    <w:p w:rsidR="00163957" w:rsidRDefault="00163957" w:rsidP="00163957">
      <w:pPr>
        <w:pStyle w:val="TextoNormal"/>
      </w:pPr>
      <w:r>
        <w:t>A estos efectos, ha de tenerse presente que, con posterioridad a la interposición de este conflicto se ha producido la modificación del régimen jurídico de las mutuas de accidentes de trabajo y enfermedades profesionales de la Seguridad Social previsto en el texto refundido de la Ley general del Seguridad Social por la Ley 35/2014, de 26 de diciembre, por lo que, al formar parte dicha norma del canon de constitucionalidad aplicable en esta materia, el análisis de la presente controversia ha de hacerse a la luz de la regulación que deriva de la mencionada reforma. El contenido de dicha Ley aparece recogido actualmente en los arts. 80 a 102 del texto refundido de la Ley general de la Seguridad Social aprobado por Real Decreto Legislativo 8/2015, de 30 de octubre (en adelante, LGSS), que ha entrado en vigor el 2 de enero de este año.</w:t>
      </w:r>
    </w:p>
    <w:p w:rsidR="00163957" w:rsidRDefault="00163957" w:rsidP="00163957">
      <w:pPr>
        <w:pStyle w:val="TextoNormal"/>
      </w:pPr>
    </w:p>
    <w:p w:rsidR="00163957" w:rsidRDefault="00163957" w:rsidP="00163957">
      <w:pPr>
        <w:pStyle w:val="TextoNormal"/>
      </w:pPr>
      <w:r>
        <w:t>Asimismo, debemos referirnos también a la posible pérdida de objeto del conflicto positivo de competencia, como consecuencia del carácter temporal de la resolución impugnada.</w:t>
      </w:r>
    </w:p>
    <w:p w:rsidR="00163957" w:rsidRDefault="00163957" w:rsidP="00163957">
      <w:pPr>
        <w:pStyle w:val="TextoNormal"/>
      </w:pPr>
    </w:p>
    <w:p w:rsidR="00163957" w:rsidRDefault="00163957" w:rsidP="00163957">
      <w:pPr>
        <w:pStyle w:val="TextoNormal"/>
      </w:pPr>
      <w:r>
        <w:t xml:space="preserve">En efecto, la resolución de 13 de mayo de 2013 ha agotado ya sus efectos. Ahora bien, a pesar de ello no cabe sino afirmar que el conflicto de competencia mantiene vivo su objeto, “pues lo relevante no es tanto el agotamiento de los efectos de la concreta norma impugnada cuanto determinar si con ese agotamiento ha cesado o no la controversia competencial, toda vez que el objetivo al que sirven los procesos competenciales es poner fin a la misma a la </w:t>
      </w:r>
      <w:r>
        <w:lastRenderedPageBreak/>
        <w:t>luz del orden constitucional de reparto de competencias” (STC 26/2013, de 31 de enero, FJ 2). En este caso el conflicto competencial sigue vivo pues las resoluciones posteriores —resolución de 21 de mayo de 2014 y resolución de 4 de mayo de 2015— reproducen literalmente la redacción del apartado noveno de la resolución impugnada.</w:t>
      </w:r>
    </w:p>
    <w:p w:rsidR="00163957" w:rsidRDefault="00163957" w:rsidP="00163957">
      <w:pPr>
        <w:pStyle w:val="TextoNormal"/>
      </w:pPr>
    </w:p>
    <w:p w:rsidR="00163957" w:rsidRDefault="00163957" w:rsidP="00163957">
      <w:pPr>
        <w:pStyle w:val="TextoNormal"/>
      </w:pPr>
      <w:r w:rsidRPr="00163957">
        <w:rPr>
          <w:rStyle w:val="NumeroAFNegritaCaracter"/>
        </w:rPr>
        <w:t>3</w:t>
      </w:r>
      <w:r>
        <w:t>. La resolución de 13 de mayo de 2013, de la Secretaría de Estado de la Seguridad Social, se enmarca, como su propia exposición de motivos señala, en la acción protectora de la Seguridad Social. El art. 80.2 a) LGSS prevé que es objeto de las mutuas colaboradoras con la Seguridad Social —las denominadas mutuas de accidentes de trabajo y enfermedades profesionales de la Seguridad Social han pasado a denominarse por la Ley 35/2014, de 26 de diciembre, mutuas colaboradoras con la Seguridad Social— el desarrollo, mediante la colaboración con el Ministerio de Empleo y Seguridad Social, de las actividades de prevención de las mismas contingencias que dispensa la acción protectora. Y por su parte, el art. 82 LGSS, afirma que las prestaciones y los servicios atribuidos a la gestión de las mutuas colaboradoras con la Seguridad Social forman parte de la acción protectora del sistema.</w:t>
      </w:r>
    </w:p>
    <w:p w:rsidR="00163957" w:rsidRDefault="00163957" w:rsidP="00163957">
      <w:pPr>
        <w:pStyle w:val="TextoNormal"/>
      </w:pPr>
    </w:p>
    <w:p w:rsidR="00163957" w:rsidRDefault="00163957" w:rsidP="00163957">
      <w:pPr>
        <w:pStyle w:val="TextoNormal"/>
      </w:pPr>
      <w:r>
        <w:t>Las actividades preventivas a desarrollar por las mutuas en el ámbito de la colaboración en la gestión de la Seguridad Social están reguladas en la Orden TAS/3623/2006, de 28 de noviembre, por la que se regulan las actividades preventivas en el ámbito de la Seguridad Social y la financiación de la Fundación para la Prevención de Riesgos Laborales. Según establece el art. 3.2 de la citada Orden, corresponde a la Secretaría de Estado de la Seguridad Social, consultadas las organizaciones sindicales y empresariales más representativas, la planificación anual de dichas actividades, el establecimiento de los criterios a seguir y la asignación de las prioridades en su ejecución, conforme a las propuestas y objetivos fijados por la Secretaría General de Empleo o que se deriven de la estrategia española de seguridad y salud en el trabajo en cada momento. En cumplimiento de este mandato se dictó la resolución de 13 de mayo de 2013, de la Secretaría de Estado de la Seguridad Social, por la que se establece el plan general de actividades preventivas de la Seguridad Social, a aplicar por las mutas de accidentes de trabajo y enfermedades profesionales de la Seguridad Social en la planificación de sus actividades para el año 2013, cuyo apartado noveno es objeto del presente conflicto positivo de competencia.</w:t>
      </w:r>
    </w:p>
    <w:p w:rsidR="00163957" w:rsidRDefault="00163957" w:rsidP="00163957">
      <w:pPr>
        <w:pStyle w:val="TextoNormal"/>
      </w:pPr>
    </w:p>
    <w:p w:rsidR="00163957" w:rsidRDefault="00163957" w:rsidP="00163957">
      <w:pPr>
        <w:pStyle w:val="TextoNormal"/>
      </w:pPr>
      <w:r>
        <w:t>El contenido del apartado noveno de la resolución de 13 de mayo de 2013, de la Secretaría de Estado de la Seguridad Social, es el siguiente:</w:t>
      </w:r>
    </w:p>
    <w:p w:rsidR="00163957" w:rsidRDefault="00163957" w:rsidP="00163957">
      <w:pPr>
        <w:pStyle w:val="TextoNormal"/>
      </w:pPr>
    </w:p>
    <w:p w:rsidR="00163957" w:rsidRDefault="00163957" w:rsidP="00163957">
      <w:pPr>
        <w:pStyle w:val="TextoNormal"/>
      </w:pPr>
      <w:r>
        <w:t>“Noveno. Coordinación con las comunidades autónomas</w:t>
      </w:r>
    </w:p>
    <w:p w:rsidR="00163957" w:rsidRDefault="00163957" w:rsidP="00163957">
      <w:pPr>
        <w:pStyle w:val="TextoNormal"/>
      </w:pPr>
    </w:p>
    <w:p w:rsidR="00163957" w:rsidRDefault="00163957" w:rsidP="00163957">
      <w:pPr>
        <w:pStyle w:val="TextoNormal"/>
      </w:pPr>
      <w:r>
        <w:t>Esta resolución establece la planificación anual de las actividades de la Seguridad Social en materia de control y prevención de las contingencias profesionales que ampara, de conformidad con lo dispuesto en los artículos 68.2.b) del texto refundido de la Ley General de la Seguridad Social, y 3.2 de la Orden TAS/3623/2006, de 28 de noviembre, normas que, asimismo, atribuyen a la Secretaría de Estado de la Seguridad Social la competencia para su determinación y para el establecimiento de los criterios y prioridades a seguir. Estas actividades son distintas y ajenas a las de prevención de riesgos laborales reguladas en la Ley 31/1995, de 8 de noviembre.</w:t>
      </w:r>
    </w:p>
    <w:p w:rsidR="00163957" w:rsidRDefault="00163957" w:rsidP="00163957">
      <w:pPr>
        <w:pStyle w:val="TextoNormal"/>
      </w:pPr>
    </w:p>
    <w:p w:rsidR="00163957" w:rsidRDefault="00163957" w:rsidP="00163957">
      <w:pPr>
        <w:pStyle w:val="TextoNormal"/>
      </w:pPr>
      <w:r>
        <w:t xml:space="preserve">Las comunidades autónomas que, en virtud de sus respectivos estatutos de autonomía, ostenten competencia de ejecución compartida con la Secretaría de Estado de la Seguridad </w:t>
      </w:r>
      <w:r>
        <w:lastRenderedPageBreak/>
        <w:t>Social en materia de coordinación de las actividades preventivas de este ámbito, podrán interesar, de entre los programas de actividades establecidos en el resuelve primero de esta resolución y respetando los destinatarios, actividades, criterios y objetivos de los mismos, el desarrollo de aquellas particularidades que les interesen. A tales fines, deberán comunicar al Ministerio de Empleo y Seguridad Social, en el plazo máximo de un mes desde la publicación de esta resolución en el ‘Boletín Oficial del Estado’, las mencionadas actividades de desarrollo a realizar por las mutuas en el territorio de la correspondiente comunidad autónoma.”</w:t>
      </w:r>
    </w:p>
    <w:p w:rsidR="00163957" w:rsidRDefault="00163957" w:rsidP="00163957">
      <w:pPr>
        <w:pStyle w:val="TextoNormal"/>
      </w:pPr>
    </w:p>
    <w:p w:rsidR="00163957" w:rsidRDefault="00163957" w:rsidP="00163957">
      <w:pPr>
        <w:pStyle w:val="TextoNormal"/>
      </w:pPr>
      <w:r>
        <w:t>La resolución de 13 de mayo de 2013 establece en el resuelve primero los programas de actividades preventivas de la Seguridad Social, en los que se determinan las actividades de la indicada naturaleza que deben ejecutar las mutuas de accidentes de trabajo y enfermedades profesionales de la Seguridad Social durante el año 2013, así como sus destinatarios, los criterios que los informan y sus objetivos. Estos programas son cuatro: programa de asesoramiento técnico a PYMES (empresas de menos de 50 trabajadores cuya actividad se realice en las divisiones de actividad del anexo 1 de la resolución, que se corresponden con las de mayor número de accidentes de trabajo graves y mortales producidos en el año 2012) y empresas de sectores preferentes (empresas que en 2012 hayan tenido un índice de accidentalidad propio superior al del año 2011 o bien hayan presentado accidentes mortales o graves durante la jornada de trabajo y empresas que en 2012 hayan declarado enfermedades profesionales con baja causadas por los agentes y en los sectores de actividad relacionados en el anexo 2 de la resolución); programa de asesoramiento a empresas o actividades concurrentes (centros de trabajo en los que concurran trabajadores de dos o más empresas, incluidas contratistas y subcontratistas, o trabajadores autónomos); programa de difusión del servicio “prevención10.es” (realización de jornadas entre las empresas asociadas de hasta 10 trabajadores y autónomos adheridos al objeto de informarles sobre las funcionalidades que ofrece el servicio “prevención10.es”, que dispensa la acción protectora de la Seguridad Social y mostrarles su utilización); programa para el control del gasto en prestaciones económicas de la Seguridad Social por contingencias profesionales.</w:t>
      </w:r>
    </w:p>
    <w:p w:rsidR="00163957" w:rsidRDefault="00163957" w:rsidP="00163957">
      <w:pPr>
        <w:pStyle w:val="TextoNormal"/>
      </w:pPr>
    </w:p>
    <w:p w:rsidR="00163957" w:rsidRDefault="00163957" w:rsidP="00163957">
      <w:pPr>
        <w:pStyle w:val="TextoNormal"/>
      </w:pPr>
      <w:r>
        <w:t>Las mutuas elaborarán sus respectivos planes de actividades preventivas ajustándose estrictamente a los programas, actividades, criterios, prioridades y objetivos señalados, si bien, de conformidad con lo dispuesto en el apartado noveno de la resolución, “las Comunidades Autónomas que, en virtud de sus respectivos Estatutos de Autonomía, ostenten competencia de ejecución compartida con la Secretaría de Estado de la Seguridad Social en materia de coordinación de las actividades preventivas de este ámbito, podrán interesar”, dentro de los programas señalados y respetando los destinatarios, actividades, criterios y objetivos de los mismos, “el desarrollo de aquellas particularidades que les interesen”. Estas particularidades deberán comunicarse al Ministerio de Empleo y Seguridad Social.</w:t>
      </w:r>
    </w:p>
    <w:p w:rsidR="00163957" w:rsidRDefault="00163957" w:rsidP="00163957">
      <w:pPr>
        <w:pStyle w:val="TextoNormal"/>
      </w:pPr>
    </w:p>
    <w:p w:rsidR="00163957" w:rsidRDefault="00163957" w:rsidP="00163957">
      <w:pPr>
        <w:pStyle w:val="TextoNormal"/>
      </w:pPr>
      <w:r>
        <w:t xml:space="preserve">Pues bien, a juicio de la Generalitat de Cataluña, la resolución de 13 de mayo de 2013 se separa claramente de las resoluciones precedentes y sustrae a esta Comunidad Autónoma la capacidad de determinar cuáles sean los concretos programas y medidas de prevención que han de desarrollar las mutuas en Cataluña, reduciendo su función a la sola posibilidad de instar al Ministerio la adopción de particularidades dentro de los programas estatales de actividades que han quedado previamente determinados en la propia resolución. Así, señala que en aquellas Comunidades Autónomas cuyos Estatutos de Autonomía les atribuyen la </w:t>
      </w:r>
      <w:r>
        <w:lastRenderedPageBreak/>
        <w:t>competencia compartida de coordinación de las actividades de prevención de riesgos laborales que lleven a cabo las mutuas en su territorio, las anteriores resoluciones dictadas por la Secretaría de Estado de la Seguridad Social preveían que las mismas podían determinar y comunicar a las mutuas “la especificación de las actividades preventivas a realizar por éstas susceptibles de desarrollo en el ámbito de la Seguridad Social y en el de (la correspondiente) resolución”. Por el contrario, la resolución del año 2013 en su apartado noveno sólo permite a las Comunidades Autónomas establecer particularidades en los programas que la propia resolución enumera respetando en todo caso los destinatarios, actividades, criterios y objetivos de los mismos. Esta regla, a juicio de la Generalitat de Cataluña, excede de la reserva competencial establecida en el art. 149.1.17 CE y vulnera la competencia establecida en el art. 165 EAC, que atribuye a la Generalitat la competencia compartida sobre Seguridad Social, incluyendo de forma específica la coordinación de las actividades de prevención de riesgos laborales que desarrollen en Cataluña las mutuas de accidentes de trabajo y enfermedades profesionales.</w:t>
      </w:r>
    </w:p>
    <w:p w:rsidR="00163957" w:rsidRDefault="00163957" w:rsidP="00163957">
      <w:pPr>
        <w:pStyle w:val="TextoNormal"/>
      </w:pPr>
    </w:p>
    <w:p w:rsidR="00163957" w:rsidRDefault="00163957" w:rsidP="00163957">
      <w:pPr>
        <w:pStyle w:val="TextoNormal"/>
      </w:pPr>
      <w:r w:rsidRPr="00163957">
        <w:rPr>
          <w:rStyle w:val="NumeroAFNegritaCaracter"/>
        </w:rPr>
        <w:t>4</w:t>
      </w:r>
      <w:r>
        <w:t>. El enjuiciamiento de fondo de la cuestión controvertida exige proceder, en primer lugar, al encuadramiento competencial de la materia objeto de la disposición impugnada, tomando en consideración que ambas partes coinciden en considerar que la norma se inserta en el ámbito de las competencias que, en materia de Seguridad Social atribuye al Estado el art. 149.1.17 CE y a la Comunidad Autónoma el art. 165 de su Estatuto de Autonomía.</w:t>
      </w:r>
    </w:p>
    <w:p w:rsidR="00163957" w:rsidRDefault="00163957" w:rsidP="00163957">
      <w:pPr>
        <w:pStyle w:val="TextoNormal"/>
      </w:pPr>
    </w:p>
    <w:p w:rsidR="00163957" w:rsidRDefault="00163957" w:rsidP="00163957">
      <w:pPr>
        <w:pStyle w:val="TextoNormal"/>
      </w:pPr>
      <w:r>
        <w:t>Es cierto que este Tribunal ha considerado dentro del contenido propio de la materia laboral a los efectos del art. 149.1.7 CE el subsector de la seguridad e higiene en el trabajo (STC 195/1996, de 28 de noviembre, FJ 11). Ahora bien, hay que recordar, como ya hemos señalado, que el art. 80.2 a) LGSS, incluye en el ámbito de la colaboración en la gestión de la Seguridad Social que desarrollan las mutuas colaboradoras con la Seguridad Social, las actividades de prevención. Este servicio o asistencia objeto de la colaboración forma parte de la acción protectora de la Seguridad Social y está sujeto al régimen establecido en el texto refundido de la Ley general de la Seguridad Social y en sus normas de aplicación y desarrollo (art. 82 LGSS), lo que justifica que el ámbito competencial propio de la norma recurrida sea el de la Seguridad Social.</w:t>
      </w:r>
    </w:p>
    <w:p w:rsidR="00163957" w:rsidRDefault="00163957" w:rsidP="00163957">
      <w:pPr>
        <w:pStyle w:val="TextoNormal"/>
      </w:pPr>
    </w:p>
    <w:p w:rsidR="00163957" w:rsidRDefault="00163957" w:rsidP="00163957">
      <w:pPr>
        <w:pStyle w:val="TextoNormal"/>
      </w:pPr>
      <w:r>
        <w:t>En el ámbito material de la Seguridad Social, el art. 149.1.17 CE declara que el Estado tiene competencia exclusiva en materia de “legislación básica y régimen económico de la Seguridad Social, sin perjuicio de la ejecución de sus servicios por las Comunidades Autónomas”. En relación con este título competencial hemos afirmado que las diferentes prestaciones “de la materia ‘Seguridad Social’ conforman un entramado dirigido a la cobertura de riesgos y a la atención de otras situaciones de necesidad que presentan una tendencia de unidad y estabilidad en el tiempo y en el conjunto del territorio nacional” (STC 239/2002, de 11 de diciembre, FJ 8) y que el régimen público de Seguridad Social debe ser único y unitario para todos los ciudadanos (art. 41 CE), y garantizar al tiempo la igualdad de todos los españoles en el ejercicio de los derechos y deberes en materia de Seguridad Social (STC 124/1989, de 7 de julio, FJ 3). De acuerdo con lo anterior, entendimos en STC 40/2014, de 11 de marzo, que la determinación de una prestación de la Seguridad Social constituye una norma básica que corresponde establecer al Estado ex art. 149.1.17 CE y debe hacerlo de forma unitaria para todos los sujetos comprendidos dentro de su ámbito de cobertura, salvo razones excepcionales debidamente justificadas y vinculadas a la situación de necesidad que se trata de proteger.</w:t>
      </w:r>
    </w:p>
    <w:p w:rsidR="00163957" w:rsidRDefault="00163957" w:rsidP="00163957">
      <w:pPr>
        <w:pStyle w:val="TextoNormal"/>
      </w:pPr>
    </w:p>
    <w:p w:rsidR="00163957" w:rsidRDefault="00163957" w:rsidP="00163957">
      <w:pPr>
        <w:pStyle w:val="TextoNormal"/>
      </w:pPr>
      <w:r>
        <w:t>Por lo que se refiere al régimen económico de la Seguridad Social este Tribunal ha señalado que “del art. 149.1.17. de la Constitución no puede extraerse la apresurada conclusión de que en materia de régimen económico de Seguridad Social el Estado retenga sólo potestades normativas. Que ello no es así se deduce sin dificultad de un análisis sistemático, histórico y teleológico del precepto constitucional. El designio perseguido con el acantonamiento del ‘régimen económico’ dentro de la competencia exclusiva del Estado no ha sido otro, con toda claridad, que el de preservar la unidad del sistema español de Seguridad Social y el mantenimiento de ‘un régimen público’, es decir, único y unitario de Seguridad Social para todos los ciudadanos (art. 41 de la Constitución), que garantice al tiempo la igualdad de todos los españoles en el ejercicio de los derechos y deberes en materia de Seguridad Social (art. 149.1.1 de la Constitución). Debe tenerse en cuenta a este propósito que en el momento de aprobarse la Constitución había sido ya creada la Tesorería General de la Seguridad Social para hacer efectivos los principios de solidaridad financiera y de unidad de caja, y este dato resulta relevante para la correcta interpretación del art. 149.1.17, en la medida en que, como cabe deducir de los antecedentes y de los debates parlamentarios que culminaron en la aprobación del texto del citado precepto constitucional, la mención separada del ‘régimen económico’ como función exclusiva del Estado trataba de garantizar la unidad del sistema de la Seguridad Social, y no sólo la unidad de su regulación jurídica, impidiendo diversas políticas territoriales de Seguridad Social en cada una de las Comunidades Autónomas … En consecuencia, las concretas facultades que integran la competencia estatutaria de gestión del régimen económico de la Seguridad Social serán sólo aquellas que no puedan comprometer la unidad del sistema o perturbar su funcionamiento económico uniforme, ni cuestionar la titularidad estatal de todos los recursos de la Seguridad Social o engendrar directa o indirectamente desigualdades entre los ciudadanos en lo que atañe a la satisfacción de sus derechos y al cumplimiento de sus obligaciones de seguridad social. Tales facultades autonómicas deben, en suma, conciliarse con las competencias exclusivas que sobre la gestión del régimen económico la Constitución ha reservado al Estado, en garantía de la unidad y solidaridad del sistema público de Seguridad Social” (STC 124/1989, de 7 de julio, FJ 3).</w:t>
      </w:r>
    </w:p>
    <w:p w:rsidR="00163957" w:rsidRDefault="00163957" w:rsidP="00163957">
      <w:pPr>
        <w:pStyle w:val="TextoNormal"/>
      </w:pPr>
    </w:p>
    <w:p w:rsidR="00163957" w:rsidRDefault="00163957" w:rsidP="00163957">
      <w:pPr>
        <w:pStyle w:val="TextoNormal"/>
      </w:pPr>
      <w:r>
        <w:t>Por su parte, el art. 165.1 d) EAC prevé que “corresponde a la Generalitat, en materia de seguridad social, respetando los principios de unidad económico-patrimonial y solidaridad financiera de la Seguridad Social, la competencia compartida, que incluye: d) … la coordinación de las actividades de prevención de riesgos laborales que desarrollen en Cataluña las mutuas de accidentes de trabajo y enfermedades profesionales”. Dicha competencia comprende, tal y como dispone el art. 111 del Estatuto de Autonomía, “la potestad legislativa, la potestad reglamentaria y la función ejecutiva, en el marco de las bases que fije el Estado”. Podemos decir, pues, como señalamos en la STC 31/2010, de 28 de junio, FJ 60, que este último artículo estatutario, después de la supresión de un inciso del mismo declarado inconstitucional en aquella resolución por introducir una definición de las bases que incidía sobre el ámbito competencial del Estado, “se limita a describir correctamente las facultades comprendidas en la competencia de desarrollo de unas bases estatales cuyo contenido y alcance serán siempre, y sólo, las que se desprenden de la Constitución interpretada por este Tribunal”.</w:t>
      </w:r>
    </w:p>
    <w:p w:rsidR="00163957" w:rsidRDefault="00163957" w:rsidP="00163957">
      <w:pPr>
        <w:pStyle w:val="TextoNormal"/>
      </w:pPr>
    </w:p>
    <w:p w:rsidR="00163957" w:rsidRDefault="00163957" w:rsidP="00163957">
      <w:pPr>
        <w:pStyle w:val="TextoNormal"/>
      </w:pPr>
      <w:r>
        <w:t xml:space="preserve">El carácter de competencia compartida implica que sobre ese mismo objeto jurídico recaen también las competencias atribuidas al Estado en la materia, pues, en palabras de este </w:t>
      </w:r>
      <w:r>
        <w:lastRenderedPageBreak/>
        <w:t>Tribunal, estamos ante una “competencia compartida que, como resulta de nuestra doctrina, no limita el pleno desenvolvimiento de las competencias estatales con las que se relaciona” (STC 213/2013, de 19 de diciembre, FJ 3). Se produce así una coexistencia, entre el Estado y la Comunidad Autónoma, en el ejercicio de las funciones de coordinación de las actividades de prevención de riesgos laborales, pero en el ejercicio de esta función la Comunidad Autónoma deberá respetar las bases que fije 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La Generalitat de Cataluña sostiene que la planificación para el corriente ejercicio anual de las actividades preventivas que han de aplicar las mutuas no es más que un instrumento de naturaleza ejecutiva que formal y funcionalmente se inscribe en el nivel de las competencias ejecutivas asumidas por la Generalitat de Cataluña en materia de Seguridad Social.</w:t>
      </w:r>
    </w:p>
    <w:p w:rsidR="00163957" w:rsidRDefault="00163957" w:rsidP="00163957">
      <w:pPr>
        <w:pStyle w:val="TextoNormal"/>
      </w:pPr>
    </w:p>
    <w:p w:rsidR="00163957" w:rsidRDefault="00163957" w:rsidP="00163957">
      <w:pPr>
        <w:pStyle w:val="TextoNormal"/>
      </w:pPr>
      <w:r>
        <w:t>Un análisis detenido de la norma impugnada y de la naturaleza jurídica que tienen las actividades de prevención desarrolladas por las mutuas de la Seguridad Social, nos lleva a afirmar que la fijación de los criterios y prioridades a aplicar por las mutuas en la planificación de sus actividades preventivas constituye legislación en materia de Seguridad Social al regular el contenido de una prestación de la Seguridad Social. La resolución de la Secretaría de Estado de la Seguridad Social regula las actividades preventivas a realizar por las mutuas desarrollando así el régimen jurídico de una prestación asistencial que forma parte de la acción protectora de la Seguridad Social. En consecuencia, la planificación de las actividades preventivas no tiene naturaleza ejecutiva, como alega la Generalitat de Cataluña, pues no se trata de ejecutar o cumplir lo dispuesto en la legislación estatal sino de desarrollarla teniendo en cuenta las particularidades de este servicio y la necesidad de alcanzar la mayor eficacia posible en la prevención de las contingencias profesionales de la Seguridad Social.</w:t>
      </w:r>
    </w:p>
    <w:p w:rsidR="00163957" w:rsidRDefault="00163957" w:rsidP="00163957">
      <w:pPr>
        <w:pStyle w:val="TextoNormal"/>
      </w:pPr>
    </w:p>
    <w:p w:rsidR="00163957" w:rsidRDefault="00163957" w:rsidP="00163957">
      <w:pPr>
        <w:pStyle w:val="TextoNormal"/>
      </w:pPr>
      <w:r>
        <w:t>De este modo, si el apartado noveno de la resolución impugnada tiene naturaleza legislativa y no ejecutiva, para que pueda considerarse conforme con el orden competencial debe tener el carácter de básico en la doble perspectiva formal y material pues, como acabamos de señalar, en la materia Seguridad Social al Estado le corresponde el establecimiento de la legislación básica.</w:t>
      </w:r>
    </w:p>
    <w:p w:rsidR="00163957" w:rsidRDefault="00163957" w:rsidP="00163957">
      <w:pPr>
        <w:pStyle w:val="TextoNormal"/>
      </w:pPr>
    </w:p>
    <w:p w:rsidR="00163957" w:rsidRDefault="00163957" w:rsidP="00163957">
      <w:pPr>
        <w:pStyle w:val="TextoNormal"/>
      </w:pPr>
      <w:r>
        <w:t xml:space="preserve">Por lo que se refiere, en primer lugar, a la perspectiva formal, es doctrina reiterada de este Tribunal que a la dimensión formal de la normativa básica atiende el principio de ley formal en razón a que sólo a través de este instrumento normativo se alcanzará una determinación cierta y estable de los ámbitos de ordenación de las materias en las que concurren y se articulan las competencias básicas estatales y reglamentarias autonómicas. También ha precisado este Tribunal que como excepción a dicho principio de ley formal “el Gobierno puede hacer uso de la potestad reglamentaria, para regular por Decreto alguno de los preceptos básicos de una materia, cuando resulten, por la competencia de ésta, complemento necesario para garantizar el fin a que responde la competencia sobre las bases” (STC 175/2003, de 30 de septiembre, FJ 9). De este modo, desde un punto de vista formal nuestra doctrina ha reconocido que es posible predicar el carácter básico de normas reglamentarias cuando éstas resultan “complemento necesario para garantizar la consecución de la finalidad objetiva a que responde la competencia estatal sobre las bases” (por todas, STC 109/2003, de 5 de junio, FJ 4). En definitiva, se ha aceptado que las normas básicas sean de rango reglamentario siempre que tengan una conexión clara con una norma legal y que la remisión </w:t>
      </w:r>
      <w:r>
        <w:lastRenderedPageBreak/>
        <w:t>a la norma reglamentaria se justifique por la naturaleza de la materia (STC 8/2012, de 18 de enero, FJ 6).</w:t>
      </w:r>
    </w:p>
    <w:p w:rsidR="00163957" w:rsidRDefault="00163957" w:rsidP="00163957">
      <w:pPr>
        <w:pStyle w:val="TextoNormal"/>
      </w:pPr>
    </w:p>
    <w:p w:rsidR="00163957" w:rsidRDefault="00163957" w:rsidP="00163957">
      <w:pPr>
        <w:pStyle w:val="TextoNormal"/>
      </w:pPr>
      <w:r>
        <w:t>Desde dicha perspectiva formal, hay que partir de que en las materias de competencia compartida en las que, como ocurre en este caso, corresponde al Estado el establecimiento de las normas básicas y a las Comunidades Autónomas el desarrollo normativo y la ejecución de dichas bases, la fijación de las bases debe hacerse con el soporte de la ley formal siempre que sea posible, o, en todo caso, a través de norma reglamentaria del Gobierno que regule los aspectos centrales del régimen jurídico de la materia correspondiente.</w:t>
      </w:r>
    </w:p>
    <w:p w:rsidR="00163957" w:rsidRDefault="00163957" w:rsidP="00163957">
      <w:pPr>
        <w:pStyle w:val="TextoNormal"/>
      </w:pPr>
    </w:p>
    <w:p w:rsidR="00163957" w:rsidRDefault="00163957" w:rsidP="00163957">
      <w:pPr>
        <w:pStyle w:val="TextoNormal"/>
      </w:pPr>
      <w:r>
        <w:t>En este sentido, es necesario tener en cuenta que las actividades de prevención de riesgos laborales a realizar por las mutuas son prestaciones de la Seguridad Social cuyo contenido debe concretarse periódicamente por su carácter, precisamente, preventivo, que exige valorar las circunstancias concretas existentes en cada momento, de ahí que el art. 82.3 LGSS encomiende al “órgano de dirección y tutela de las Mutuas Colaboradoras con la Seguridad Social, dependiente del Ministerio de Empleo y Seguridad Social, establecer la planificación periódica de las actividades preventivas de la Seguridad Social que desarrollarán aquéllas, sus criterios contenido y orden de preferencias”. Y en este mismo sentido, la Orden TAS/3623/2006, de 28 de noviembre, por la que se regulan las actividades preventivas en el ámbito de la Seguridad Social y la financiación de la Fundación para la Prevención de Riesgos Laborales, atribuye a la Secretaría de Estado de la Seguridad Social la competencia para establecer la planificación anual de las actividades preventivas de las mutuas, el establecimiento de los criterios a seguir y la asignación de las prioridades en su ejecución, lo que viene haciendo mediante la aprobación de resoluciones anuales.</w:t>
      </w:r>
    </w:p>
    <w:p w:rsidR="00163957" w:rsidRDefault="00163957" w:rsidP="00163957">
      <w:pPr>
        <w:pStyle w:val="TextoNormal"/>
      </w:pPr>
    </w:p>
    <w:p w:rsidR="00163957" w:rsidRDefault="00163957" w:rsidP="00163957">
      <w:pPr>
        <w:pStyle w:val="TextoNormal"/>
      </w:pPr>
      <w:r>
        <w:t>De este modo, el art. 82.3 LGSS, y ya antes de la reforma de este precepto la Orden TAS/3623/2006, de 28 de noviembre, hace una llamada al desarrollo reglamentario para establecer la planificación anual de las actividades preventivas a realizar por las mutuas, pero este desarrollo reglamentario se ha llevado a cabo por una resolución del Secretario de Estado de la Seguridad Social que no se ajusta a las exigencias formales que exige la doctrina constitucional para entender que su contenido constituye legislación básica.</w:t>
      </w:r>
    </w:p>
    <w:p w:rsidR="00163957" w:rsidRDefault="00163957" w:rsidP="00163957">
      <w:pPr>
        <w:pStyle w:val="TextoNormal"/>
      </w:pPr>
    </w:p>
    <w:p w:rsidR="00163957" w:rsidRDefault="00163957" w:rsidP="00163957">
      <w:pPr>
        <w:pStyle w:val="TextoNormal"/>
      </w:pPr>
      <w:r>
        <w:t xml:space="preserve">En efecto, el carácter básico en su perspectiva formal ha sido atribuido a determinadas órdenes ministeriales con carácter excepcional cuando una norma reglamentaria con rango de real decreto ha fijado las condiciones generales y después lo que han hecho las órdenes ministeriales es complementar dicho régimen jurídico (SSTC 213/1994, de 14 de julio, FJ 10; 242/1999, de 21 de diciembre, FJ 9; 98/2001, de 5 de abril, FJ 7; 188/2001, de 20 de septiembre, FJ 8; 126/2002, de 23 de julio, FJ 8; 156/2011, de 18 de octubre, FJ 7). Sin embargo, en este caso, la planificación anual de las actividades preventivas a realizar por las mutuas no ha sido desarrollada, en cuanto a las condiciones más genéricas, ni en la ley ni en norma reglamentaria. Así, nada dice el LGSS, ni el Real Decreto 1993/1995, de 7 de diciembre, por el que se aprueba el Reglamento sobre colaboración de las mutuas de accidentes de trabajo y enfermedades profesionales de la Seguridad Social, ni la citada Orden TAS/3623/2006, que se limita a señalar que “las actuaciones se orientarán preferentemente a coadyuvar en las pequeñas empresas y en las empresas y sectores con mayores indicadores de siniestralidad a la mejor incardinación en los planes y programas preventivos de las distintas administraciones competentes, al desarrollo de la I+D+i, a la divulgación, educación y sensibilización en prevención de accidentes de trabajo y enfermedades profesionales” (art. </w:t>
      </w:r>
      <w:r>
        <w:lastRenderedPageBreak/>
        <w:t>2.2). De este modo, el apartado noveno de la resolución impugnada no se limita a complementar el régimen jurídico fijado en la Ley, en el Real Decreto o en la orden. La débil cobertura legal que le otorga el art. 82.3 LGSS no tiene el complemento normativo necesario, esto es, una norma reglamentaria reguladora del marco mínimamente exigible en la planificación anual de las actividades preventivas a realizar por las mutuas. Ello determina que el apartado noveno de la resolución de la Secretaría de Estado de la Seguridad Social de 13 de mayo de 2013, por su notoria insuficiencia de rango, no pueda ser calificado de norma básica, vulnerando por tal razón las competencias de la Generalitat de Cataluña, parte actora en este proceso. En consecuencia, no resulta ya necesario analizar si el precepto impugnado puede considerarse básico desde un punto de vista material.</w:t>
      </w:r>
    </w:p>
    <w:p w:rsidR="00163957" w:rsidRDefault="00163957" w:rsidP="00163957">
      <w:pPr>
        <w:pStyle w:val="TextoNormal"/>
      </w:pPr>
    </w:p>
    <w:p w:rsidR="00163957" w:rsidRDefault="00163957" w:rsidP="00163957">
      <w:pPr>
        <w:pStyle w:val="TextoNormal"/>
      </w:pPr>
      <w:r w:rsidRPr="00163957">
        <w:rPr>
          <w:rStyle w:val="NumeroAFNegritaCaracter"/>
        </w:rPr>
        <w:t>6</w:t>
      </w:r>
      <w:r>
        <w:t>. En cuanto a los efectos del fallo, teniendo en cuenta que la resolución de 13 de mayo de 2013 ha agotado todos sus efectos, hay que entender que la pretensión de la Generalitat de Cataluña se satisface con la declaración de que el apartado noveno de la misma vulnera sus competencias.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conflicto positivo de competencia núm. 5107-2013 y, en consecuencia declarar que el apartado noveno de la resolución de 13 de mayo de 2013, de la Secretaría de Estado de la Seguridad Social por la que se establece el plan general de actividades preventivas de la Seguridad Social, a aplicar por las mutuas de accidentes de trabajo y enfermedades profesionales de la Seguridad Social en la planificación de sus actividades para el año 2013, vulnera las competencias de la Generalitat de Cataluña.</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veintiuno de enero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1" w:name="SENTENCIA_2016_8"/>
      <w:r>
        <w:lastRenderedPageBreak/>
        <w:t>SENTENCIA 8/2016, de 21 de enero de 2016</w:t>
      </w:r>
    </w:p>
    <w:bookmarkEnd w:id="11"/>
    <w:p w:rsidR="00163957" w:rsidRDefault="00163957" w:rsidP="00163957">
      <w:pPr>
        <w:pStyle w:val="TtuloResolucin"/>
      </w:pPr>
      <w:r>
        <w:t>Pleno</w:t>
      </w:r>
    </w:p>
    <w:p w:rsidR="00163957" w:rsidRDefault="00163957" w:rsidP="00163957">
      <w:pPr>
        <w:pStyle w:val="TtuloBOE"/>
      </w:pPr>
      <w:r>
        <w:t>(BOE núm. 45, de 22 de febrero de 2016)</w:t>
      </w:r>
    </w:p>
    <w:p w:rsidR="00163957" w:rsidRDefault="00163957" w:rsidP="00163957">
      <w:pPr>
        <w:pStyle w:val="TextoNormalCentrado"/>
      </w:pPr>
      <w:r>
        <w:t>ECLI:ES:TC:2016:8</w:t>
      </w:r>
    </w:p>
    <w:p w:rsidR="00163957" w:rsidRDefault="00163957" w:rsidP="00163957">
      <w:pPr>
        <w:pStyle w:val="TextoNormalCentrado"/>
      </w:pPr>
    </w:p>
    <w:p w:rsidR="00163957" w:rsidRDefault="00163957" w:rsidP="00163957">
      <w:pPr>
        <w:pStyle w:val="SntesisDescriptiva"/>
      </w:pPr>
      <w:r>
        <w:t>Recurso de inconstitucionalidad 1424-2014. Interpuesto por el Presidente del Gobierno en relación con diversos preceptos de la Ley 3/2013, de 20 de mayo, de impulso y ordenación de las infraestructuras de telecomunicaciones de Galicia.</w:t>
      </w:r>
    </w:p>
    <w:p w:rsidR="00163957" w:rsidRDefault="00163957" w:rsidP="00163957">
      <w:pPr>
        <w:pStyle w:val="SntesisDescriptiva"/>
      </w:pPr>
    </w:p>
    <w:p w:rsidR="00163957" w:rsidRDefault="00163957" w:rsidP="00163957">
      <w:pPr>
        <w:pStyle w:val="SntesisAnaltica"/>
      </w:pPr>
      <w:r>
        <w:t>Competencias sobre telecomunicaciones: nulidad de diferentes preceptos legales que establecen los principios rectores de la intervención pública en el impulso y ordenación de las infraestructuras de telecomunicaciones y redes públicas de comunicaciones electrónicas, regulan los instrumentos de ordenación y planificación de las infraestructuras de telecomunicaciones, y las normas de protección ambiental; interpretación conforme de los preceptos legales relativos al principio de sostenibilidad ambiental, plan sectorial de infraestructuras de telecomunicaciones, determinaciones mínimas de los instrumentos de planeamiento urbanístico y tipificación de infracciones.</w:t>
      </w:r>
    </w:p>
    <w:p w:rsidR="00163957" w:rsidRDefault="00163957" w:rsidP="00163957">
      <w:pPr>
        <w:pStyle w:val="SntesisAnaltica"/>
      </w:pPr>
    </w:p>
    <w:p w:rsidR="00163957" w:rsidRDefault="00163957" w:rsidP="00163957">
      <w:pPr>
        <w:pStyle w:val="Extracto"/>
      </w:pPr>
      <w:r>
        <w:t>1.</w:t>
      </w:r>
      <w:r>
        <w:tab/>
        <w:t>El objeto de la Ley impugnada no impide ni menoscaba la competencia exclusiva del Estado en materia de telecomunicaciones, sino que se adecúa a las competencias autonómicas de ordenación de territorio, urbanismo y normas adicionales de protección de medio ambiente [FJ 5].</w:t>
      </w:r>
    </w:p>
    <w:p w:rsidR="00163957" w:rsidRDefault="00163957" w:rsidP="00163957">
      <w:pPr>
        <w:pStyle w:val="Extracto"/>
      </w:pPr>
    </w:p>
    <w:p w:rsidR="00163957" w:rsidRDefault="00163957" w:rsidP="00163957">
      <w:pPr>
        <w:pStyle w:val="Extracto"/>
      </w:pPr>
      <w:r>
        <w:t>2.</w:t>
      </w:r>
      <w:r>
        <w:tab/>
        <w:t>La fijación de diversos objetivos de carácter general resulta neutra o inocua desde una perspectiva competencial, pues no establece ninguna regla material de actuación ni supone la imposición a los operadores de una determinada infraestructura o tecnología [FJ 5].</w:t>
      </w:r>
    </w:p>
    <w:p w:rsidR="00163957" w:rsidRDefault="00163957" w:rsidP="00163957">
      <w:pPr>
        <w:pStyle w:val="Extracto"/>
      </w:pPr>
    </w:p>
    <w:p w:rsidR="00163957" w:rsidRDefault="00163957" w:rsidP="00163957">
      <w:pPr>
        <w:pStyle w:val="Extracto"/>
      </w:pPr>
      <w:r>
        <w:t>3.</w:t>
      </w:r>
      <w:r>
        <w:tab/>
        <w:t>Ningún reproche puede realizarse a la voluntad de contribuir a un mayor despliegue de infraestructuras que permita la instalación e implementación de redes, siendo que el desarrollo económico, social y territorial de la Comunidad Autónoma también depende de la conectividad [FJ 5].</w:t>
      </w:r>
    </w:p>
    <w:p w:rsidR="00163957" w:rsidRDefault="00163957" w:rsidP="00163957">
      <w:pPr>
        <w:pStyle w:val="Extracto"/>
      </w:pPr>
    </w:p>
    <w:p w:rsidR="00163957" w:rsidRDefault="00163957" w:rsidP="00163957">
      <w:pPr>
        <w:pStyle w:val="Extracto"/>
      </w:pPr>
      <w:r>
        <w:t>4.</w:t>
      </w:r>
      <w:r>
        <w:tab/>
        <w:t>Los poderes públicos autonómicos pueden construir infraestructuras auxiliares y previas a la red de comunicaciones electrónicas, ya que se garantizan las competencias exclusivas del Estado mediante la sujeción de esta actividad al marco normativo general en materia de telecomunicaciones [FJ 6].</w:t>
      </w:r>
    </w:p>
    <w:p w:rsidR="00163957" w:rsidRDefault="00163957" w:rsidP="00163957">
      <w:pPr>
        <w:pStyle w:val="Extracto"/>
      </w:pPr>
    </w:p>
    <w:p w:rsidR="00163957" w:rsidRDefault="00163957" w:rsidP="00163957">
      <w:pPr>
        <w:pStyle w:val="Extracto"/>
      </w:pPr>
      <w:r>
        <w:t>5.</w:t>
      </w:r>
      <w:r>
        <w:tab/>
        <w:t>El legislador autonómico no puede incidir directamente en el régimen de explotación de redes y de prestación de los servicios de comunicaciones electrónicas, por cuanto es materia reservada al Estado en virtud del art. 149.1.21 CE [FJ 6].</w:t>
      </w:r>
    </w:p>
    <w:p w:rsidR="00163957" w:rsidRDefault="00163957" w:rsidP="00163957">
      <w:pPr>
        <w:pStyle w:val="Extracto"/>
      </w:pPr>
    </w:p>
    <w:p w:rsidR="00163957" w:rsidRDefault="00163957" w:rsidP="00163957">
      <w:pPr>
        <w:pStyle w:val="Extracto"/>
      </w:pPr>
      <w:r>
        <w:t>6.</w:t>
      </w:r>
      <w:r>
        <w:tab/>
        <w:t xml:space="preserve">Aplica la doctrina sobre </w:t>
      </w:r>
      <w:r w:rsidRPr="00163957">
        <w:rPr>
          <w:i/>
        </w:rPr>
        <w:t xml:space="preserve">lex repetita </w:t>
      </w:r>
      <w:r>
        <w:t>de las SSTC 10/1982, 47/2004, 5/2015 y 341/2005 [FFJJ 3, 6].</w:t>
      </w:r>
    </w:p>
    <w:p w:rsidR="00163957" w:rsidRDefault="00163957" w:rsidP="00163957">
      <w:pPr>
        <w:pStyle w:val="Extracto"/>
      </w:pPr>
    </w:p>
    <w:p w:rsidR="00163957" w:rsidRDefault="00163957" w:rsidP="00163957">
      <w:pPr>
        <w:pStyle w:val="Extracto"/>
      </w:pPr>
      <w:r>
        <w:t>7.</w:t>
      </w:r>
      <w:r>
        <w:tab/>
        <w:t xml:space="preserve">Las Comunidades Autónomas pueden efectuar un control de implantación de infraestructuras de telecomunicaciones, dado que es necesaria para preservar otros </w:t>
      </w:r>
      <w:r>
        <w:lastRenderedPageBreak/>
        <w:t>intereses públicos que le están encomendados, siempre que no suponga una ordenación material del sector de telecomunicaciones [FJ 7].</w:t>
      </w:r>
    </w:p>
    <w:p w:rsidR="00163957" w:rsidRDefault="00163957" w:rsidP="00163957">
      <w:pPr>
        <w:pStyle w:val="Extracto"/>
      </w:pPr>
    </w:p>
    <w:p w:rsidR="00163957" w:rsidRDefault="00163957" w:rsidP="00163957">
      <w:pPr>
        <w:pStyle w:val="Extracto"/>
      </w:pPr>
      <w:r>
        <w:t>8.</w:t>
      </w:r>
      <w:r>
        <w:tab/>
        <w:t>Prima, por encima de la competencia estatal en materia de telecomunicaciones, la ordenación del territorio por parte de la Comunidad Autónoma, cuyo objetivo es garantizar una extensión coherente de las infraestructuras de telecomunicaciones y redes de comunicaciones electrónicas, en aras a conseguir una mayor cohesión territorial y social [FJ 7].</w:t>
      </w:r>
    </w:p>
    <w:p w:rsidR="00163957" w:rsidRDefault="00163957" w:rsidP="00163957">
      <w:pPr>
        <w:pStyle w:val="Extracto"/>
      </w:pPr>
    </w:p>
    <w:p w:rsidR="00163957" w:rsidRDefault="00163957" w:rsidP="00163957">
      <w:pPr>
        <w:pStyle w:val="Extracto"/>
      </w:pPr>
      <w:r>
        <w:t>9.</w:t>
      </w:r>
      <w:r>
        <w:tab/>
        <w:t>Los planes y la forma de ejercer las competencias urbanísticas pueden incidir en el sector de las telecomunicaciones, siempre que no se pretenda su ordenación ni se condicione la política que en dicho ámbito pueda desarrollar el Estado y se respeten los parámetros y requerimientos técnicos esenciales y necesarios para garantizar el funcionamiento de las redes [FJ 7].</w:t>
      </w:r>
    </w:p>
    <w:p w:rsidR="00163957" w:rsidRDefault="00163957" w:rsidP="00163957">
      <w:pPr>
        <w:pStyle w:val="Extracto"/>
      </w:pPr>
    </w:p>
    <w:p w:rsidR="00163957" w:rsidRDefault="00163957" w:rsidP="00163957">
      <w:pPr>
        <w:pStyle w:val="Extracto"/>
      </w:pPr>
      <w:r>
        <w:t>10.</w:t>
      </w:r>
      <w:r>
        <w:tab/>
        <w:t>Aplica la doctrina sobre la necesidad de cohonestar la competencia estatal en materia de telecomunicaciones y las competencias sectoriales autonómicas en materia de ordenación del territorio y de urbanismo (STC 8/2012) [FJ 7].</w:t>
      </w:r>
    </w:p>
    <w:p w:rsidR="00163957" w:rsidRDefault="00163957" w:rsidP="00163957">
      <w:pPr>
        <w:pStyle w:val="Extracto"/>
      </w:pPr>
    </w:p>
    <w:p w:rsidR="00163957" w:rsidRDefault="00163957" w:rsidP="00163957">
      <w:pPr>
        <w:pStyle w:val="Extracto"/>
      </w:pPr>
      <w:r>
        <w:t>11.</w:t>
      </w:r>
      <w:r>
        <w:tab/>
        <w:t>Tanto las condiciones de prestación de los servicios de comunicaciones electrónicas como la regulación de la interconexión y el acceso a las redes de comunicaciones electrónicas constituyen el núcleo de la competencia exclusiva del Estado en materia de telecomunicaciones [FJ 7].</w:t>
      </w:r>
    </w:p>
    <w:p w:rsidR="00163957" w:rsidRDefault="00163957" w:rsidP="00163957">
      <w:pPr>
        <w:pStyle w:val="Extracto"/>
      </w:pPr>
    </w:p>
    <w:p w:rsidR="00163957" w:rsidRDefault="00163957" w:rsidP="00163957">
      <w:pPr>
        <w:pStyle w:val="Extracto"/>
      </w:pPr>
      <w:r>
        <w:t>12.</w:t>
      </w:r>
      <w:r>
        <w:tab/>
        <w:t>La inclusión de un catálogo de infraestructuras en el plan sectorial de infraestructuras de telecomunicaciones de Galicia ha de considerarse comprendido en las competencias autonómicas de ordenación del territorio y urbanismo [FJ 8].</w:t>
      </w:r>
    </w:p>
    <w:p w:rsidR="00163957" w:rsidRDefault="00163957" w:rsidP="00163957">
      <w:pPr>
        <w:pStyle w:val="Extracto"/>
      </w:pPr>
    </w:p>
    <w:p w:rsidR="00163957" w:rsidRDefault="00163957" w:rsidP="00163957">
      <w:pPr>
        <w:pStyle w:val="Extracto"/>
      </w:pPr>
      <w:r>
        <w:t>13.</w:t>
      </w:r>
      <w:r>
        <w:tab/>
        <w:t>No se plantea objeción de distribución competencial en la adaptación del catálogo del plan sectorial de telecomunicaciones de Galicia en función de las necesidades sociales, económicas y culturales de cada municipio, ya que la referencia a los servicios mínimos obligatorios se remite a lo dispuesto por el legislador estatal [FJ 8].</w:t>
      </w:r>
    </w:p>
    <w:p w:rsidR="00163957" w:rsidRDefault="00163957" w:rsidP="00163957">
      <w:pPr>
        <w:pStyle w:val="Extracto"/>
      </w:pPr>
    </w:p>
    <w:p w:rsidR="00163957" w:rsidRDefault="00163957" w:rsidP="00163957">
      <w:pPr>
        <w:pStyle w:val="Extracto"/>
      </w:pPr>
      <w:r>
        <w:t>14.</w:t>
      </w:r>
      <w:r>
        <w:tab/>
        <w:t>Es competencia exclusiva del Estado definir las obligaciones de servicio público en el sector de las telecomunicaciones, a fin de garantizar la cobertura universal del servicio en determinados estándares de calidad y a precios asequibles [FJ 8].</w:t>
      </w:r>
    </w:p>
    <w:p w:rsidR="00163957" w:rsidRDefault="00163957" w:rsidP="00163957">
      <w:pPr>
        <w:pStyle w:val="Extracto"/>
      </w:pPr>
    </w:p>
    <w:p w:rsidR="00163957" w:rsidRDefault="00163957" w:rsidP="00163957">
      <w:pPr>
        <w:pStyle w:val="Extracto"/>
      </w:pPr>
      <w:r>
        <w:t>15.</w:t>
      </w:r>
      <w:r>
        <w:tab/>
        <w:t>Doctrina sobre la posibilidad de imponer obligaciones de servicio público a los operadores privados en un entorno liberalizado  por razones de interés general (STC 72/2014) [FJ 8].</w:t>
      </w:r>
    </w:p>
    <w:p w:rsidR="00163957" w:rsidRDefault="00163957" w:rsidP="00163957">
      <w:pPr>
        <w:pStyle w:val="Extracto"/>
      </w:pPr>
    </w:p>
    <w:p w:rsidR="00163957" w:rsidRDefault="00163957" w:rsidP="00163957">
      <w:pPr>
        <w:pStyle w:val="Extracto"/>
      </w:pPr>
      <w:r>
        <w:t>16.</w:t>
      </w:r>
      <w:r>
        <w:tab/>
        <w:t>El acceso e interconexión de las redes de telecomunicaciones se inscribe en la competencia exclusiva del Estado reconocida en el art. 149.1.21 CE [FJ 9].</w:t>
      </w:r>
    </w:p>
    <w:p w:rsidR="00163957" w:rsidRDefault="00163957" w:rsidP="00163957">
      <w:pPr>
        <w:pStyle w:val="Extracto"/>
      </w:pPr>
    </w:p>
    <w:p w:rsidR="00163957" w:rsidRDefault="00163957" w:rsidP="00163957">
      <w:pPr>
        <w:pStyle w:val="Extracto"/>
      </w:pPr>
      <w:r>
        <w:t>17.</w:t>
      </w:r>
      <w:r>
        <w:tab/>
        <w:t xml:space="preserve">La posibilidad de que la Administración autonómica exceptúe unilateralmente la coubicación o el uso compartido con fundamento en inviabilidad técnica incurre </w:t>
      </w:r>
      <w:r>
        <w:lastRenderedPageBreak/>
        <w:t>en un exceso competencial, pues la regulación de los aspectos técnicos de las telecomunicaciones o de la conformación técnica de las infraestructuras competen en exclusiva al Estado ex art. 149. 1. 21 CE [FJ 10].</w:t>
      </w:r>
    </w:p>
    <w:p w:rsidR="00163957" w:rsidRDefault="00163957" w:rsidP="00163957">
      <w:pPr>
        <w:pStyle w:val="Extracto"/>
      </w:pPr>
    </w:p>
    <w:p w:rsidR="00163957" w:rsidRDefault="00163957" w:rsidP="00163957">
      <w:pPr>
        <w:pStyle w:val="Extracto"/>
      </w:pPr>
      <w:r>
        <w:t>18.</w:t>
      </w:r>
      <w:r>
        <w:tab/>
        <w:t>El principio de neutralidad tecnológica no puede ser modulado por las Comunidades Autónomas, ya que imponer una tecnología concreta alude a una materia netamente propia del sector de las telecomunicaciones, que afecta a la prestación del servicio y al régimen jurídico del operador, que no se vincula a ninguna competencia autonómica [FJ 11].</w:t>
      </w:r>
    </w:p>
    <w:p w:rsidR="00163957" w:rsidRDefault="00163957" w:rsidP="00163957">
      <w:pPr>
        <w:pStyle w:val="Extracto"/>
      </w:pPr>
    </w:p>
    <w:p w:rsidR="00163957" w:rsidRDefault="00163957" w:rsidP="00163957">
      <w:pPr>
        <w:pStyle w:val="Extracto"/>
      </w:pPr>
      <w:r>
        <w:t>19.</w:t>
      </w:r>
      <w:r>
        <w:tab/>
        <w:t>No se incurre en una extralimitación competencial al garantizar la interoperabilidad de servicios y la conectividad de redes, ya que se trata de un principio rector para la actuación de la Administración pública gallega  que no es relevante en la prestación del servicio [FJ 11].</w:t>
      </w:r>
    </w:p>
    <w:p w:rsidR="00163957" w:rsidRDefault="00163957" w:rsidP="00163957">
      <w:pPr>
        <w:pStyle w:val="Extracto"/>
      </w:pPr>
    </w:p>
    <w:p w:rsidR="00163957" w:rsidRDefault="00163957" w:rsidP="00163957">
      <w:pPr>
        <w:pStyle w:val="Extracto"/>
      </w:pPr>
      <w:r>
        <w:t>20.</w:t>
      </w:r>
      <w:r>
        <w:tab/>
        <w:t>Se reitera la interpretación conforme de la STC 8/2012 a propósito de la obligación que se impone a los operadores de incorporar las mejoras tecnológicas [FJ 11].</w:t>
      </w:r>
    </w:p>
    <w:p w:rsidR="00163957" w:rsidRDefault="00163957" w:rsidP="00163957">
      <w:pPr>
        <w:pStyle w:val="Extracto"/>
      </w:pPr>
    </w:p>
    <w:p w:rsidR="00163957" w:rsidRDefault="00163957" w:rsidP="00163957">
      <w:pPr>
        <w:pStyle w:val="Extracto"/>
      </w:pPr>
      <w:r>
        <w:t>22.</w:t>
      </w:r>
      <w:r>
        <w:tab/>
        <w:t>El régimen sancionador, establecido a propósito de las obligaciones de coubicación y uso compartido de infraestructuras, sólo resultará constitucional en la medida en que la referencia al incumplimiento de dichas obligaciones se incardina en el marco normativo general vigente en materia de comunicaciones [FJ 12].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1424-2014, interpuesto por el Presidente del Gobierno contra diversos preceptos de la Ley 3/2013, de 20 de mayo, de impulso y ordenación de las infraestructuras de telecomunicaciones de Galicia; en particular contra los siguientes preceptos: art. 1; art. 2.2 apartados b), c) y d); art. 5, apartados 3, 5, 6 y 7; art. 6.2; art. 7.2, art. 8; art. 12, apartados 2, 3 y 4; art. 13; art. 14.1, apartados a), b) y c); art. 14.2; art. 15.2, apartados a), b), d), f), g) y h); art. 15.3; art. 17.1 y 2; art. 18; art. 19.2 a) y c), título V, disposición adicional primera y disposición transitoria primera. Han intervenido y for</w:t>
      </w:r>
      <w:r>
        <w:lastRenderedPageBreak/>
        <w:t>mulado alegaciones el Letrado del Parlamento de Galicia y el Abogado de la Xunta de Galicia. Ha sido Ponente el Magistrado don Juan Antonio Xiol Ríos,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Constitucional el día 7 de marzo de 2014, el Abogado del Estado, en representación del Presidente del Gobierno, interpuso recurso de inconstitucionalidad contra los arts. 1; 2.2 apartados b), c) y d); 5 apartados 3, 5, 6 y 7; 6. 2; 7.2; 8; 12 apartados 2, 3 y 4; 13; 14. 1 apartados a), b) y c); 14. 2; 15. 2 apartados a), b), d), f), g) y h) y 15. 3; 17.1 y 2; 18; 19. 2 a) y c); título V; disposición adicional primera y disposición transitoria primera de la Ley 3/2013, de 20 de mayo, de impulso y ordenación de las infraestructuras de telecomunicaciones en Galicia (en adelante, Ley 3/2013), con la fundamentación que seguidamente se expone.</w:t>
      </w:r>
    </w:p>
    <w:p w:rsidR="00163957" w:rsidRDefault="00163957" w:rsidP="00163957">
      <w:pPr>
        <w:pStyle w:val="TextoNormal"/>
      </w:pPr>
    </w:p>
    <w:p w:rsidR="00163957" w:rsidRDefault="00163957" w:rsidP="00163957">
      <w:pPr>
        <w:pStyle w:val="TextoNormal"/>
      </w:pPr>
      <w:r>
        <w:t>Inicia su escrito el Abogado del Estado con el previo encuadramiento de la normativa comunitaria y estatal en esta materia, relatando el proceso de liberalización seguido en el sector de las telecomunicaciones y comunicaciones electrónicas. Destaca, en esta introducción, que la Ley 32/2003, de 3 de noviembre, general de telecomunicaciones, al incorporar las Directivas comunitarias (Directiva marco y Directivas específicas de 2002), toma como punto de partida los principios de libre competencia, mínima intervención de la Administración en el sector, autonomía de las partes y supervisión administrativa de los aspectos relacionados con el servicio público, el dominio público y la defensa de la competencia. En este sentido, señala el representante del Presidente del Gobierno, la Ley general de telecomunicaciones de 2003 supone la definitiva liberalización de las telecomunicaciones suprimiendo la necesidad de títulos habilitantes previos, ampliando las prestaciones que deben ser garantizadas a todos los ciudadanos por los operadores con peso significativo en el mercado (servicio universal) y estableciendo las pautas de utilización del espectro radioeléctrico. Todo esto en un mercado, concluye, conformado por la explotación de redes (por cable e inalámbricas); la explotación de servicios de comunicaciones fijas (teléfono fijo y ADSL) y móviles; los servicios audiovisuales; la explotación de terminales; la prestación de servicios integrados por parte de los operadores de cable y los usuarios finales.</w:t>
      </w:r>
    </w:p>
    <w:p w:rsidR="00163957" w:rsidRDefault="00163957" w:rsidP="00163957">
      <w:pPr>
        <w:pStyle w:val="TextoNormal"/>
      </w:pPr>
    </w:p>
    <w:p w:rsidR="00163957" w:rsidRDefault="00163957" w:rsidP="00163957">
      <w:pPr>
        <w:pStyle w:val="TextoNormal"/>
      </w:pPr>
      <w:r>
        <w:t xml:space="preserve">A continuación el Abogado del Estado resume la doctrina constitucional sobre el título competencial que, en materia de telecomunicaciones, ostenta el Estado conforme a lo dispuesto en el art. 149.1.21 CE, en virtud del cual aprobó la Ley general de telecomunicaciones de 2003. La regla establecida en el apartado 21 del art. 149 CE, subraya el Abogado del Estado, supone la atribución la competencia de forma total sin que, por tanto, pueda ser complementada por las Comunidades Autónomas (SSTC 214/2012, de 12 de noviembre, FJ 3; 184/2012, de 17 de octubre, FJ 3, y 111/2012, de 24 de mayo, FJ 5). Recuerda en este punto que la competencia estatal en materia de telecomunicaciones se conecta, según doctrina constitucional, con los aspectos técnicos de la emisión relativos al uso del dominio público radioeléctrico; ámbito material que requiere de una ordenación conjunta de la asignación de frecuencias y potencias para cada uno de los usos; de la previsión y solución de interferencias; del régimen de autorización administrativa para la tenencia y el uso de equipos y de aparatos radioeléctricos y para el funcionamiento de red o estación de redes radioeléctricas; la fijación de las condiciones y características de cada estación o cada tipo de </w:t>
      </w:r>
      <w:r>
        <w:lastRenderedPageBreak/>
        <w:t>equipo o aparato radioeléctrico; la autorización para la instalación y funcionamiento de estaciones radioeléctricas receptoras de emisión por satélite y el régimen sancionador (SSTC 26/1982, 108/1993, 167/1993, 168/1993 y 244/1993). Seguidamente, el Abogado del Estado trae a colación la STC 8/2012 en la que se pone de relieve el entrecruzamiento que se produce entre la competencia estatal en telecomunicaciones, de gran potencial expansivo, y las competencias autonómicas en materia de medios de comunicación y ordenación del territorio o urbanismo; entrecruzamiento cuya resolución debe venir presidida por el principio de ejercicio con pleno respeto a las competencias propias y ajenas y el recurso a técnicas de cooperación para lograr su integración.</w:t>
      </w:r>
    </w:p>
    <w:p w:rsidR="00163957" w:rsidRDefault="00163957" w:rsidP="00163957">
      <w:pPr>
        <w:pStyle w:val="TextoNormal"/>
      </w:pPr>
    </w:p>
    <w:p w:rsidR="00163957" w:rsidRDefault="00163957" w:rsidP="00163957">
      <w:pPr>
        <w:pStyle w:val="TextoNormal"/>
      </w:pPr>
      <w:r>
        <w:t>El representante del Gobierno finaliza esta primera parte introductoria del recurso realizando una descripción del mercado de las telecomunicaciones desde la perspectiva de la definición de infraestructuras de telecomunicaciones como algo distinto de los servicios de telecomunicaciones. El desarrollo del sector de las telecomunicaciones, señala, necesita como presupuesto indispensable de funcionamiento que los operadores puedan desplegar libremente sus redes. Y en este sentido, sostiene, las infraestructuras de telecomunicaciones son soporte, sustrato y base sobre la que se erige todo el sistema y, por ello, como se manifestó en la STC 31/2010 (FJ 85) “se inscriben con naturalidad en el señalado régimen general de comunicaciones, en cuanto aseguran la efectividad de las comunicaciones en todo el territorio nacional” por lo que la competencia atribuida al Estado “comprende, desde luego, la totalidad de las competencias normativas sobre la misma … y puede comportar la atribución de competencias de ejecución necesarias para configurar un sistema materialmente unitario”. Partiendo de lo anterior, el Abogado del Estado sostiene que no le corresponde a la Comunidad Autónoma de Galicia el impulso de las infraestructuras de telecomunicaciones ni la ordenación directa de su instalación, modificación, actualización o retirada, pudiendo intervenir sólo de forma indirecta y en colaboración con el Estado.</w:t>
      </w:r>
    </w:p>
    <w:p w:rsidR="00163957" w:rsidRDefault="00163957" w:rsidP="00163957">
      <w:pPr>
        <w:pStyle w:val="TextoNormal"/>
      </w:pPr>
    </w:p>
    <w:p w:rsidR="00163957" w:rsidRDefault="00163957" w:rsidP="00163957">
      <w:pPr>
        <w:pStyle w:val="TextoNormal"/>
      </w:pPr>
      <w:r>
        <w:t>Entrando ya en las cuestiones de orden sustantivo que atañen a los concretos preceptos de la norma autonómica impugnados por vulnerar la competencia exclusiva del Estado en materia de telecomunicaciones, el Abogado del Estado estructura su recurso en lo los siguientes bloques temáticos: a) ordenación e impulso de las infraestructuras, b) planificación de infraestructuras, c) servicio público, d) acceso e interconexión, e) coubicación y compartición de recursos, f) neutralidad tecnológica y g) régimen sancionador de la ley.</w:t>
      </w:r>
    </w:p>
    <w:p w:rsidR="00163957" w:rsidRDefault="00163957" w:rsidP="00163957">
      <w:pPr>
        <w:pStyle w:val="TextoNormal"/>
      </w:pPr>
    </w:p>
    <w:p w:rsidR="00163957" w:rsidRDefault="00163957" w:rsidP="00163957">
      <w:pPr>
        <w:pStyle w:val="TextoNormal"/>
      </w:pPr>
      <w:r>
        <w:t xml:space="preserve">a) Se aduce, así, en primer lugar, la inconstitucionalidad del artículo 1 de la Ley autonómica por cuanto, al determinar que el objeto de la norma es “el impulso y la ordenación de las infraestructuras de telecomunicaciones en el ámbito de la Comunidad Autónoma de Galicia”, la ley asume un objeto omnicomprensivo de la regulación de las infraestructuras estableciendo un régimen diverso e incompatible con el diseñado por el Estado. En este sentido, puntualiza, la garantía de instalación de infraestructuras de telecomunicaciones, en un mercado regido por el principio de libre competencia, no puede corresponder a las administraciones públicas. El principio de intervención mínima que rige en este ámbito sólo se ve matizado en aquellos casos en que se pretende salvaguardar intereses prevalentes al propio funcionamiento del mercado mediante, por ejemplo, la obligación de prestar el servicio universal, la fijación de obligaciones adicionales para operadores significativos, etc. El impulso, por tanto, corresponde a los propios operadores privados respetando las limitaciones establecidas por el Estado como titular de la competencia en materia de telecomunicaciones </w:t>
      </w:r>
      <w:r>
        <w:lastRenderedPageBreak/>
        <w:t>y las condiciones que impongan las Comunidades Autónomas en ejercicio de sus competencias.</w:t>
      </w:r>
    </w:p>
    <w:p w:rsidR="00163957" w:rsidRDefault="00163957" w:rsidP="00163957">
      <w:pPr>
        <w:pStyle w:val="TextoNormal"/>
      </w:pPr>
    </w:p>
    <w:p w:rsidR="00163957" w:rsidRDefault="00163957" w:rsidP="00163957">
      <w:pPr>
        <w:pStyle w:val="TextoNormal"/>
      </w:pPr>
      <w:r>
        <w:t>En segundo lugar, impugna el art. 2.2 d) de la Ley 3/2003 que prevé la garantía “de la instalación de infraestructuras de telecomunicaciones mediante una ordenación coherente, que asegure la protección del territorio, de los recursos naturales y del ámbito paisajístico, y que promueva la cohesión social y la igualdad económica”; garantía que se configura como uno de los objetivos previstos en el citado art. 2 de la ley autonómica para conseguir la finalidad de “contribuir a la integración de Galicia en la sociedad de la información, a través del desarrollo de las infraestructuras de telecomunicaciones, como un factor esencial para lograr el crecimiento económico sostenible, la reducción del desequilibrio territorial y la cohesión social”. Señala el Abogado del Estado en este punto que el Estado puede imponer a determinados operadores (dominantes o significativos) la prestación de un nivel mínimo de servicios de telecomunicaciones accesibles y de calidad a través del servicio universal, pero no se puede garantizar la instalación de un nivel mínimo de infraestructuras pues será el propio operador quien determinará el nivel de tecnología y de infraestructura necesario para la prestación del servicio.</w:t>
      </w:r>
    </w:p>
    <w:p w:rsidR="00163957" w:rsidRDefault="00163957" w:rsidP="00163957">
      <w:pPr>
        <w:pStyle w:val="TextoNormal"/>
      </w:pPr>
    </w:p>
    <w:p w:rsidR="00163957" w:rsidRDefault="00163957" w:rsidP="00163957">
      <w:pPr>
        <w:pStyle w:val="TextoNormal"/>
      </w:pPr>
      <w:r>
        <w:t>En lo concerniente a la promoción de las infraestructuras, el Abogado del Estado impugna el art. 5 de la Ley 3/2013 concerniente a la intervención del sector público autonómico en la promoción de infraestructuras de telecomunicaciones y redes públicas de comunicaciones electrónicas; en particular, lo dispuesto en su apartado 3, según el cual la actividad de promoción se limita, inicialmente, “a la construcción y al despliegue de infraestructuras de soporte … que permitan a los demás operadores, tanto públicos como privados, implementar sus redes públicas de comunicación” y en caso de insuficiencia de tales infraestructura para “fomentar la implementación por los demás operadores de sus redes, el sector público autonómico podrá llevar a cabo la ejecución de la totalidad de la red”. En ese segundo caso, el precepto autonómico prevé que “la explotación o prestación de servicios disponibles para el público la llevará a cabo un operador que no forme parte del sector público autonómico, para lo cual deberá convocarse el correspondiente procedimiento de concurrencia pública” pudiendo asumir la explotación de redes o prestación de servicios un operador del sector público autonómico si el concurso queda desierto, excluyéndose de esta regulación los servicios en “régimen de autoprestación, por el sector público autonómico para la satisfacción de sus necesidades y el cumplimiento de los fines que le son propios, o que no afecten a la competencia en los términos definidos por la Comisión del Mercado de las Telecomunicaciones”.</w:t>
      </w:r>
    </w:p>
    <w:p w:rsidR="00163957" w:rsidRDefault="00163957" w:rsidP="00163957">
      <w:pPr>
        <w:pStyle w:val="TextoNormal"/>
      </w:pPr>
    </w:p>
    <w:p w:rsidR="00163957" w:rsidRDefault="00163957" w:rsidP="00163957">
      <w:pPr>
        <w:pStyle w:val="TextoNormal"/>
      </w:pPr>
      <w:r>
        <w:t xml:space="preserve">La relación entre el apartado tercero transcrito y el apartado séptimo del mismo precepto implica, para el Abogado del Estado, que la actividad de promoción se realiza a través del otorgamiento de subvenciones para el despliegue de infraestructuras de telecomunicaciones y redes de comunicaciones electrónicas, lo que rompe “radicalmente” el equilibro del mercado (como evidencia, señala, el hecho de que se excluya de tales previsiones a los servicios en régimen de autoprestación o que no afecten a la competencia). Se altera, pues, la libertad de instalación y despliegue de redes convirtiéndose la comunidad Autónoma en actor protagonista del mercado que asume directamente la instalación y la prestación del servicio de telecomunicaciones como si se tratara de un servicio público, previendo su gestión indirecta mediante la convocatoria del oportuno concurso entre operadores. Este precepto, concluye, </w:t>
      </w:r>
      <w:r>
        <w:lastRenderedPageBreak/>
        <w:t>choca frontalmente con la proclamación de los servicios de telecomunicaciones como servicios de interés general que se prestan en libre competencia del art. 2 de la Ley general de telecomunicaciones de 2003.</w:t>
      </w:r>
    </w:p>
    <w:p w:rsidR="00163957" w:rsidRDefault="00163957" w:rsidP="00163957">
      <w:pPr>
        <w:pStyle w:val="TextoNormal"/>
      </w:pPr>
    </w:p>
    <w:p w:rsidR="00163957" w:rsidRDefault="00163957" w:rsidP="00163957">
      <w:pPr>
        <w:pStyle w:val="TextoNormal"/>
      </w:pPr>
      <w:r>
        <w:t>También en este bloque de alegaciones, y todavía en referencia al art. 5 de la Ley 3/2013, se impugna el apartado 5 —cuyo tenor estipula que los precios que abonarán las personas usuarias de las redes públicas de comunicaciones de titularidad autonómica “serán precios de mercado, sin perjuicio de las excepciones recogidas en el marco normativo general en materia de telecomunicaciones”— pues, argumenta el Abogado del Estado, la fijación de precios ex ante pervierte el sistema de libertad de mercado, una de cuyas intrínsecas características es la fijación libre de precios, sin perjuicio de que el Estado, único competente, pueda establecer medidas correctoras de tales precios en atención a circunstancias de interés general [como es el caso del art. 13.1 g) de la Ley general de telecomunicaciones de 2003].</w:t>
      </w:r>
    </w:p>
    <w:p w:rsidR="00163957" w:rsidRDefault="00163957" w:rsidP="00163957">
      <w:pPr>
        <w:pStyle w:val="TextoNormal"/>
      </w:pPr>
    </w:p>
    <w:p w:rsidR="00163957" w:rsidRDefault="00163957" w:rsidP="00163957">
      <w:pPr>
        <w:pStyle w:val="TextoNormal"/>
      </w:pPr>
      <w:r>
        <w:t>b) Se impugnan, a continuación, los preceptos que se refieren a la planificación de las infraestructuras pues, según se alega por el Abogado del Estado, con el pretexto de regular las obligaciones de información de los operadores, la Comunidad Autónoma de Galicia asume la competencia en planificación de infraestructuras sin que las referencias que contiene la norma gallega a la perspectiva urbanística, de ordenación territorial y de protección del medio ambiente, del entorno y del patrimonio cultural resten intensidad a la vulneración competencial. Las competencias que ostenta la Comunidad Autónoma en materia de urbanismo no son tan intensas como para entender subsumida en ella la competencia de planificación de infraestructuras; planificación que, por otra parte, trasciende de la cooperación y la colaboración que sirven de cauce al legítimo ejercicio de las competencias autonómicas, poniendo de manifiesto la previsión de una intervención pública integral y multidisplicinar. Invoca en este punto el Abogado del Estado la STC 36/1994, de 10 de febrero, en la que se manifestó que la administración competente en materia de ordenación territorial y urbanística, al ejercer su actividad ordenadora, deberá respetar las competencias ajenas que tienen repercusión sobre el territorio; viéndose por tanto condicionada esa competencia de ordenación del territorio sin que, sin embargo, ese legítimo condicionamiento pueda convertirse en una usurpación ilegítima (con cita de la STC 149/1991).</w:t>
      </w:r>
    </w:p>
    <w:p w:rsidR="00163957" w:rsidRDefault="00163957" w:rsidP="00163957">
      <w:pPr>
        <w:pStyle w:val="TextoNormal"/>
      </w:pPr>
    </w:p>
    <w:p w:rsidR="00163957" w:rsidRDefault="00163957" w:rsidP="00163957">
      <w:pPr>
        <w:pStyle w:val="TextoNormal"/>
      </w:pPr>
      <w:r>
        <w:t>Partiendo de esta premisa, apunta el Abogado del Estado, la previsión contenida en el art. 7.2 de la Ley gallega que exige a los titulares de infraestructuras de telecomunicaciones y a los operadores de redes y servicios de comunicaciones electrónicas que faciliten determinada información a la Agencia para la Modernización Tecnológica de Galicia —en particular, “la necesaria para que la Administración general y el resto del sector público autonómico de Galicia puedan, de un lado, elaborar un inventario de las infraestructuras de telecomunicaciones y redes públicas de comunicaciones electrónicas existentes” (apartado a) así como “los planes de despliegue o implantación en los que se especifiquen las necesidades de suelo para la implantación de los servicios que se pretenden prestar” (apartado b)—. Tal regulación, añade, supone una invasión de la competencia exclusiva en materia de telecomunicaciones del Estado reconocida en el art. 149.1.21 CE y resulta incluso ajena a la competencia reguladora del Estado que no debe intervenir, con la configuración actual del mercado, en la planificación del despliegue que, de sus infraestructuras, realicen los operadores. La información que se pide, concluye, resulta, además, indeterminada y en nada se relaciona con las competencias de urbanismo, ordenación del territorio, medio ambiente y protección del entorno y del patrimonio cultural.</w:t>
      </w:r>
    </w:p>
    <w:p w:rsidR="00163957" w:rsidRDefault="00163957" w:rsidP="00163957">
      <w:pPr>
        <w:pStyle w:val="TextoNormal"/>
      </w:pPr>
    </w:p>
    <w:p w:rsidR="00163957" w:rsidRDefault="00163957" w:rsidP="00163957">
      <w:pPr>
        <w:pStyle w:val="TextoNormal"/>
      </w:pPr>
      <w:r>
        <w:t>El art. 12.4 de la Ley 3/2013 dispone que “los proyectos de ejecución de las infraestructuras de telecomunicaciones recogerán la solución constructiva o de ejecución más eficiente desde un punto de vista ambiental y paisajístico, en función de la finalidad que se persiga con la ejecución de las infraestructuras” y se impugna por el Abogado del Estado por resultar, no sólo contrario al principio de neutralidad tecnológica consagrado en el art. 3 g) de la Ley general de telecomunicaciones de 2013 —ya que se interviene y se discriminan las soluciones técnicas a adoptar por el operador— sino porque se imponen soluciones constructivas determinadas, lo que no se compadece con la libertad de mercado y el principio de abstención del Estado.</w:t>
      </w:r>
    </w:p>
    <w:p w:rsidR="00163957" w:rsidRDefault="00163957" w:rsidP="00163957">
      <w:pPr>
        <w:pStyle w:val="TextoNormal"/>
      </w:pPr>
    </w:p>
    <w:p w:rsidR="00163957" w:rsidRDefault="00163957" w:rsidP="00163957">
      <w:pPr>
        <w:pStyle w:val="TextoNormal"/>
      </w:pPr>
      <w:r>
        <w:t>La necesidad de obtener un informe favorable de la Agencia de Modernización Tecnológica de Galicia para todos aquellos “planes, proyectos o autorizaciones que tengan por objeto infraestructuras o instalaciones susceptibles de afectar a las infraestructuras de telecomunicaciones o a la prestación de los servicios de comunicaciones” con el fin “de preservar la cobertura y la calidad de la prestación de los servicios de comunicaciones electrónicas y de garantizar la compatibilidad de las infraestructuras” (art. 13.1 de la Ley 3/2013) vulnera las competencias estatales porque, de un lado, supone una regulación frontal y directa de las infraestructuras de telecomunicaciones, al establecerse la necesidad de un informe del órgano competente autonómico favorable (preceptivo y vinculante) que atenta contra el principio de cooperación a que han de someterse Estado y Comunidades Autónomas para armonizar el ejercicio de competencias concurrentes. De otro lado, la Comunidad Autónoma, al establecer como justificación y fin de ese informe la cobertura y calidad de los servicios, está regulando el contenido del servicio universal, extremo éste que compete en exclusiva al Estado.</w:t>
      </w:r>
    </w:p>
    <w:p w:rsidR="00163957" w:rsidRDefault="00163957" w:rsidP="00163957">
      <w:pPr>
        <w:pStyle w:val="TextoNormal"/>
      </w:pPr>
    </w:p>
    <w:p w:rsidR="00163957" w:rsidRDefault="00163957" w:rsidP="00163957">
      <w:pPr>
        <w:pStyle w:val="TextoNormal"/>
      </w:pPr>
      <w:r>
        <w:t>El art. 14.1 de la norma autonómica, al regular los criterios de planificación y ordenación de infraestructuras —asegurando la extensión de las redes de telecomunicaciones en todo el territorio de la Comunidad Autónoma, en especial en el ámbito rural y en las áreas más aisladas (apartado a)— resulta contrario, según argumenta el Abogado del Estado, a la libertad de despliegue de redes de los operadores y a la competencia del Estado para la fijación del servicio universal (a través del cual se determinan los servicios de obligada prestación).</w:t>
      </w:r>
    </w:p>
    <w:p w:rsidR="00163957" w:rsidRDefault="00163957" w:rsidP="00163957">
      <w:pPr>
        <w:pStyle w:val="TextoNormal"/>
      </w:pPr>
    </w:p>
    <w:p w:rsidR="00163957" w:rsidRDefault="00163957" w:rsidP="00163957">
      <w:pPr>
        <w:pStyle w:val="TextoNormal"/>
      </w:pPr>
      <w:r>
        <w:t>En la misma línea se impugna el segundo apartado del art. 14 de la Ley gallega según cuyo tenor “el resultado de la planificación y de la ordenación territorial de las telecomunicaciones en Galicia se plasmará en un plan sectorial de infraestructuras de telecomunicaciones que favorecerá la cohesión territorial y social de Galicia a través del despliegue ordenado, coherente y eficiente de las infraestructuras de telecomunicaciones y redes públicas de comunicaciones electrónicas”. Entiende el Abogado del Estado que se trata de una previsión que no sólo implica la asunción de la planificación y ordenación integral de las infraestructuras de telecomunicaciones (lo que compete al Estado), sino que, además, tal regulación no contiene ninguna referencia, conexión o mención a la competencia autonómica (o competencias) que sirven de título legitimador.</w:t>
      </w:r>
    </w:p>
    <w:p w:rsidR="00163957" w:rsidRDefault="00163957" w:rsidP="00163957">
      <w:pPr>
        <w:pStyle w:val="TextoNormal"/>
      </w:pPr>
    </w:p>
    <w:p w:rsidR="00163957" w:rsidRDefault="00163957" w:rsidP="00163957">
      <w:pPr>
        <w:pStyle w:val="TextoNormal"/>
      </w:pPr>
      <w:r>
        <w:t xml:space="preserve">El art. 15.2 de la Ley 3/2013, regulador del plan sectorial de infraestructuras de telecomunicaciones de Galicia se impugna, en primer lugar, por realizar una proclamación genérica, una asunción de competencia global en esta materia, y, en segundo lugar, por incluir </w:t>
      </w:r>
      <w:r>
        <w:lastRenderedPageBreak/>
        <w:t>como contenido necesario del mencionado plan, y con el objetivo de “garantizar el despliegue ordenado y eficiente de las infraestructuras de telecomunicaciones y redes públicas de comunicaciones electrónicas”, determinaciones estrictas de las condiciones técnicas de las instalaciones que atentan contra el principio de libre competencia (art. 2 de la Ley general de telecomunicaciones de 2013) y el principio de neutralidad tecnológica [art. 3 g) de la Ley general de telecomunicaciones de 2013].</w:t>
      </w:r>
    </w:p>
    <w:p w:rsidR="00163957" w:rsidRDefault="00163957" w:rsidP="00163957">
      <w:pPr>
        <w:pStyle w:val="TextoNormal"/>
      </w:pPr>
    </w:p>
    <w:p w:rsidR="00163957" w:rsidRDefault="00163957" w:rsidP="00163957">
      <w:pPr>
        <w:pStyle w:val="TextoNormal"/>
      </w:pPr>
      <w:r>
        <w:t xml:space="preserve">En la misma línea se rebate el contenido de los dos apartados del art. 17 de la Ley de telecomunicaciones de Galicia que, al regular las “determinaciones mínimas de los instrumentos de planificación urbanística” parece olvidar, al entender del Abogado del Estado, el contenido propio de los planes urbanísticos para adentrarse en una regulación pura y netamente sectorial, la de las telecomunicaciones, que vacía la competencia del Estado. Así, las determinaciones relativas a “a) la ordenación de los equipos y dotaciones de telecomunicaciones” que, incluye, por tanto, equipos receptores y emisores no tiene en cuenta la STC 8/2010, de 18 de enero, FJ 14, que incardina dentro de la competencia estatal </w:t>
      </w:r>
      <w:r w:rsidRPr="00163957">
        <w:rPr>
          <w:i/>
        </w:rPr>
        <w:t>ex</w:t>
      </w:r>
      <w:r>
        <w:t xml:space="preserve"> art. 149.1.21 CE la regulación del régimen de la autorización administrativa para tenencia y uso de equipos y aparatos eléctricos, así como para hacer funcionar una estación radioeléctrica o una red de estaciones, con el fin de que el Gobierno pueda proceder a la asignación de frecuencias y la fijación de las condiciones y características técnicas de cada estación o de cada tipo de equipo o aparato radioeléctrico, impidiendo interferencias perjudiciales.</w:t>
      </w:r>
    </w:p>
    <w:p w:rsidR="00163957" w:rsidRDefault="00163957" w:rsidP="00163957">
      <w:pPr>
        <w:pStyle w:val="TextoNormal"/>
      </w:pPr>
    </w:p>
    <w:p w:rsidR="00163957" w:rsidRDefault="00163957" w:rsidP="00163957">
      <w:pPr>
        <w:pStyle w:val="TextoNormal"/>
      </w:pPr>
      <w:r>
        <w:t xml:space="preserve">También resulta vulneradora del régimen de libre mercado y de la competencia del Estado en materia de fijación del servicio universal </w:t>
      </w:r>
      <w:r w:rsidRPr="00163957">
        <w:rPr>
          <w:i/>
        </w:rPr>
        <w:t>ex</w:t>
      </w:r>
      <w:r>
        <w:t xml:space="preserve"> art. 22 y ss. de la Ley general de telecomunicaciones de 2013 “la definición y ampliación de las infraestructuras que permitan soportar las necesidades actuales de servicios de comunicaciones electrónicas y prevean el crecimiento de sus necesidades” [art. 17.1 b) de la Ley 3/2013] que dispone la norma autonómica. Por su parte, la previsión de “la eliminación o actualización de las instalaciones obsoletas, inseguras o en desuso” [art. 17.1 c) de la Ley de telecomunicaciones de Galicia] permite la intervención autonómica en la determinación de las características de la redes, en lo relativo a las condiciones de explotación y prestación del servicio, bajo un pretendido prisma urbanístico relativo a mejora y reparación de instalaciones, lo que queda reservado al Estado.</w:t>
      </w:r>
    </w:p>
    <w:p w:rsidR="00163957" w:rsidRDefault="00163957" w:rsidP="00163957">
      <w:pPr>
        <w:pStyle w:val="TextoNormal"/>
      </w:pPr>
    </w:p>
    <w:p w:rsidR="00163957" w:rsidRDefault="00163957" w:rsidP="00163957">
      <w:pPr>
        <w:pStyle w:val="TextoNormal"/>
      </w:pPr>
      <w:r>
        <w:t>El segundo apartado del art. 17 de la Ley 3/2013 declara como un criterio básico para la implantación de redes públicas de comunicaciones electrónicas (que debe trasladarse a los instrumentos de planificación urbanística correspondientes) el cumplimiento de toda una serie de requisitos que implica, nuevamente y según se argumenta en el recurso, una regulación de los requisitos que deben cumplir redes e infraestructuras de telecomunicaciones, asumiendo la Comunidad Autónoma de Galicia, a través de la aprobación de planes urbanísticos, un poder sustancial de regulación de mercado. Así, en lugar de intervenir indirectamente mediante el principio de cooperación, asume directamente su intervención en la regulación sectorial. Por conexión con el art. 17 de la Ley 3/2013 se cuestiona la disposición transitoria primera que difiere la aplicación de lo dispuesto en el artículo 17 hasta la entrada en vigor el plan sectorial de infraestructuras de telecomunicaciones de Galicia.</w:t>
      </w:r>
    </w:p>
    <w:p w:rsidR="00163957" w:rsidRDefault="00163957" w:rsidP="00163957">
      <w:pPr>
        <w:pStyle w:val="TextoNormal"/>
      </w:pPr>
    </w:p>
    <w:p w:rsidR="00163957" w:rsidRDefault="00163957" w:rsidP="00163957">
      <w:pPr>
        <w:pStyle w:val="TextoNormal"/>
      </w:pPr>
      <w:r>
        <w:t>La disposición adicional primera, reguladora de los planes de ordenación de las infraestructuras de telecomunicaciones de titularidad pública autonómica, supone también, al en</w:t>
      </w:r>
      <w:r>
        <w:lastRenderedPageBreak/>
        <w:t>tender del Abogado del Estado, una extralimitación competencial que permite ordenar indebidamente infraestructuras a través de “instrumentos de ordenación territorial específicos” que pueden aprobar la Administración general y el resto del sector público autonómico de Galicia o alguna de sus entidades dependientes al margen del Plan Sectorial y con una total indeterminación del instrumento normativo que sirva de cauce a esa regulación, del órgano competente o del rango o naturaleza de la previsión normativa.</w:t>
      </w:r>
    </w:p>
    <w:p w:rsidR="00163957" w:rsidRDefault="00163957" w:rsidP="00163957">
      <w:pPr>
        <w:pStyle w:val="TextoNormal"/>
      </w:pPr>
    </w:p>
    <w:p w:rsidR="00163957" w:rsidRDefault="00163957" w:rsidP="00163957">
      <w:pPr>
        <w:pStyle w:val="TextoNormal"/>
      </w:pPr>
      <w:r>
        <w:t>c) Desde la perspectiva del servicio público, el Abogado del Estado inicia sus alegatos recordando que los operadores con un poder significativo en el mercado están sometidos a una serie de obligaciones que tienen como finalidad garantizar el derecho de todos los ciudadanos a recibir un determinado nivel de servicios de telecomunicaciones de calidad y a un precio asequible. El cumplimiento de esa misión es, precisamente, lo que justifica la intervención de la Administración para garantizar la prestación de servicios de comunicaciones electrónicas también allí donde no sea rentable, configurándose entonces no como servicios públicos (en el sentido clásico del derecho administrativo) sino como servicios de interés general que se prestan en régimen de libre competencia. La determinación de esta obligaciones de servicio público compete al Estado en ejercicio de su competencia exclusiva en materia de telecomunicaciones, asegurando, así, subraya el Abogado del Estado, un regulación uniforme en todo el territorio nacional que, de un lado, mantiene la unidad de mercado y, de otro, preserva las condiciones de igualdad de acceso a este tipo de servicios de todos los ciudadanos.</w:t>
      </w:r>
    </w:p>
    <w:p w:rsidR="00163957" w:rsidRDefault="00163957" w:rsidP="00163957">
      <w:pPr>
        <w:pStyle w:val="TextoNormal"/>
      </w:pPr>
    </w:p>
    <w:p w:rsidR="00163957" w:rsidRDefault="00163957" w:rsidP="00163957">
      <w:pPr>
        <w:pStyle w:val="TextoNormal"/>
      </w:pPr>
      <w:r>
        <w:t>En la línea mencionada, y fiel al principio de intervención mínima, la Ley general de telecomunicaciones de 2003 establece, por un lado, obligaciones de servicio universal (arts. 22 y 23 de la Ley general de telecomunicaciones 2003) —en relación a un nivel mínimo de acceso de todos los españoles, regulándose en el Real Decreto 424/2005, de 15 de abril, el procedimiento del operador obligado a asumir la prestación del servicio universal, el coste del servicio y la financiación del mismo— y, por otro lado, obligaciones que responden a necesidades de defensa nacional, seguridad pública o protección civil (art. 25 de la Ley general de telecomunicaciones). Más allá de estas obligaciones, señala el Abogado del Estado, la prestación de los servicios de comunicaciones electrónicas se rige por el principio de libre competencia por lo que las obligaciones de prestación de servicios adicionales o de cobertura de zonas no cubiertas por libre iniciativa empresarial que recoge la Ley gallega rompen artificialmente el mercado en una zona del territorio nacional, asumiendo la Comunidad Autónoma funciones esenciales de la materia que el art. 149.1. 21 CE reserva al Estado.</w:t>
      </w:r>
    </w:p>
    <w:p w:rsidR="00163957" w:rsidRDefault="00163957" w:rsidP="00163957">
      <w:pPr>
        <w:pStyle w:val="TextoNormal"/>
      </w:pPr>
    </w:p>
    <w:p w:rsidR="00163957" w:rsidRDefault="00163957" w:rsidP="00163957">
      <w:pPr>
        <w:pStyle w:val="TextoNormal"/>
      </w:pPr>
      <w:r>
        <w:t>Esto es lo que ocurre, por ejemplo, con el art. 2.2 de la Ley 3/2013, cuyos apartados b) y c) definen como objetivos de la ley la garantía a ciudadanos, empresas y administraciones de “la cobertura de las necesidades, actuales y futuras, de los servicios y tecnologías de la información y de la comunicación, a fin de fomentar la competitividad basada en el conocimiento” así como de “un acceso de calidad a las nuevas tecnologías de la información y de la comunicación”. La multiplicidad de obligaciones de servicio público en diversas partes del territorio alteraría la competencia, imponiendo servicios asimétricos en función del lugar de prestación.</w:t>
      </w:r>
    </w:p>
    <w:p w:rsidR="00163957" w:rsidRDefault="00163957" w:rsidP="00163957">
      <w:pPr>
        <w:pStyle w:val="TextoNormal"/>
      </w:pPr>
    </w:p>
    <w:p w:rsidR="00163957" w:rsidRDefault="00163957" w:rsidP="00163957">
      <w:pPr>
        <w:pStyle w:val="TextoNormal"/>
      </w:pPr>
      <w:r>
        <w:t xml:space="preserve">Lo mismo sucede, continúa argumentando el Abogado del Estado, con el art. 14.1 b) de la Ley 3/2013 que, al establecer como criterio de la planificación y la ordenación territorial </w:t>
      </w:r>
      <w:r>
        <w:lastRenderedPageBreak/>
        <w:t>de las telecomunicaciones en Galicia el aseguramiento de “las condiciones adecuadas para posibilitar el acceso de calidad de toda la ciudadanía a los servicios de telecomunicaciones y a las nuevas tecnologías de la información y de la comunicación”, asume la función estatal de fijación de obligaciones de servicio universal (niveles de servicios mínimos).</w:t>
      </w:r>
    </w:p>
    <w:p w:rsidR="00163957" w:rsidRDefault="00163957" w:rsidP="00163957">
      <w:pPr>
        <w:pStyle w:val="TextoNormal"/>
      </w:pPr>
    </w:p>
    <w:p w:rsidR="00163957" w:rsidRDefault="00163957" w:rsidP="00163957">
      <w:pPr>
        <w:pStyle w:val="TextoNormal"/>
      </w:pPr>
      <w:r>
        <w:t>El Abogado del Estado tacha también de inconstitucional el art. 15.2 h) de la Ley gallega que incluye como contenido necesario del Plan sectorial de infraestructuras de telecomunicaciones de Galicia “la definición de un catálogo de infraestructuras necesarias para la prestación de los servicios mínimos obligatorios de telecomunicaciones”, asumiendo la Comunidad Autónoma como propia la definición de infraestructuras —cuando este extremo forma parte del contenido de la libertad de concurrencia en el mercado— y refiriéndose nuevamente a la prestación de servicios mínimos, vulnerando la competencia del Estado respecto a la acotación de lo que haya de garantizarse como servicio universal. Y en la misma línea, resulta inconstitucional la indebida reserva de una garantía de servicios mínimos que puede leerse en el artículo 15.3 (inicio) según cuyo tenor, sin perjuicio de garantizar la prestación de los servicios mínimos obligatorios de telecomunicaciones, el plan sectorial de infraestructuras de telecomunicaciones de Galicia establecerá las limitaciones, las condiciones y los requisitos tendentes a minimizar el impacto sobre el medio ambiente y el patrimonio cultural para la instalación de infraestructuras.</w:t>
      </w:r>
    </w:p>
    <w:p w:rsidR="00163957" w:rsidRDefault="00163957" w:rsidP="00163957">
      <w:pPr>
        <w:pStyle w:val="TextoNormal"/>
      </w:pPr>
    </w:p>
    <w:p w:rsidR="00163957" w:rsidRDefault="00163957" w:rsidP="00163957">
      <w:pPr>
        <w:pStyle w:val="TextoNormal"/>
      </w:pPr>
      <w:r>
        <w:t>Con los mismos argumentos ya expuestos se impugna el art. 18.1 Ley 3/2013 por cuanto refiere que “el Plan sectorial de infraestructuras de telecomunicaciones de Galicia incluirá la definición de un catálogo de infraestructuras necesarias para la prestación de los servicios mínimos obligatorios de telecomunicaciones”; catálogo que podrá ser adaptado en cada municipio a través de sus instrumentos de planeamiento urbanístico “respetando en todo caso los servicios mínimos obligatorios” (art. 18.2 de la Ley 3/2013); lo que vuelve a exigirse en el art. 19.2 de la Ley 3/2013 al determinar, como primera de las condiciones generales para la instalación y el funcionamiento de infraestructuras de telecomunicaciones y redes públicas de comunicaciones electrónicas, la de “a) Garantizar a la población de la Comunidad Autónoma de Galicia un acceso a servicios de telecomunicación de calidad”.</w:t>
      </w:r>
    </w:p>
    <w:p w:rsidR="00163957" w:rsidRDefault="00163957" w:rsidP="00163957">
      <w:pPr>
        <w:pStyle w:val="TextoNormal"/>
      </w:pPr>
    </w:p>
    <w:p w:rsidR="00163957" w:rsidRDefault="00163957" w:rsidP="00163957">
      <w:pPr>
        <w:pStyle w:val="TextoNormal"/>
      </w:pPr>
      <w:r>
        <w:t>En todos estos casos, señala el Abogado del Estado, la ley autonómica no prevé que la Comunidad Autónoma garantice los servicios mínimos establecidos por el Estado sino que fija directamente esos servicios, tal como se desprende del art. 2.2 b) y c) de la Ley 3/2013; imponiendo además a los operadores, al determinar los principios que han de regir la instalación de infraestructura, una determinada política de servicio tecnológico.</w:t>
      </w:r>
    </w:p>
    <w:p w:rsidR="00163957" w:rsidRDefault="00163957" w:rsidP="00163957">
      <w:pPr>
        <w:pStyle w:val="TextoNormal"/>
      </w:pPr>
    </w:p>
    <w:p w:rsidR="00163957" w:rsidRDefault="00163957" w:rsidP="00163957">
      <w:pPr>
        <w:pStyle w:val="TextoNormal"/>
      </w:pPr>
      <w:r>
        <w:t xml:space="preserve">d) Se centra a continuación el Abogado del Estado en los preceptos de la Ley 3/2013 que, a su entender, inciden en aspectos de la regulación del acceso a redes de terceros y de interconexión de redes para garantizar la interoperabilidad de los servicios de comunicación que se encuentra reservada al Estado. Tras diferenciar ambos conceptos, el del acceso a redes de terceros y/o infraestructuras por un lado, y el de interconexión de redes (como conexión física de las redes públicas de comunicaciones de manera que los abonados de un operador puedan comunicarse con los de otro accediendo a los servicios prestados por este segundo operador) por otro, se resume la regulación que, sobre ambos aspectos y partiendo de un mismo régimen, se contiene en la Ley general de telecomunicaciones de 2003. Tal regulación, se dice, parte de la premisa de que la libertad de acceso e interconexión es uno de los pilares del funcionamiento del mercado de las telecomunicaciones, tal como se reguló en la </w:t>
      </w:r>
      <w:r>
        <w:lastRenderedPageBreak/>
        <w:t>Directiva 2002/19/CE, del Parlamento y del Consejo (Directiva de acceso) que estableció el marco regulador de las relaciones entre operadores para garantizar la libre competencia y la interoperabilidad de las comunicaciones en beneficio del consumidor final.</w:t>
      </w:r>
    </w:p>
    <w:p w:rsidR="00163957" w:rsidRDefault="00163957" w:rsidP="00163957">
      <w:pPr>
        <w:pStyle w:val="TextoNormal"/>
      </w:pPr>
    </w:p>
    <w:p w:rsidR="00163957" w:rsidRDefault="00163957" w:rsidP="00163957">
      <w:pPr>
        <w:pStyle w:val="TextoNormal"/>
      </w:pPr>
      <w:r>
        <w:t>La Ley general de telecomunicaciones incorpora estos principios en su Título II, dedicado a la explotación de redes y prestación de servicios de comunicaciones electrónicas en régimen de libre competencia, cuyo capítulo III regula el acceso a redes y recursos asociados y la interconexión. En particular el art. 11.2 de la Ley general de telecomunicaciones (desarrollado en el Real Decreto 2296/2003, de 10 de diciembre, que regula el mercado de comunicaciones electrónicas) donde se establece el derecho y la obligación de los operadores a/de negociar las condiciones de la interconexión (art. 11.2 de la Ley general de telecomunicaciones) y se atribuye al Ministerio de Industria la facultad e intervención en casos justificados, imponiendo obligaciones a las empresas que controlen el acceso a los usuarios (art. 11.3 de la Ley general de telecomunicaciones) y otorgando a la, ahora, Comisión Nacional de los Mercados y la Competencia la facultad de determinar las condiciones en caso de desacuerdo [12.1 c) de la Ley general de telecomunicaciones] como órgano regulador competente del sector (art. 14 de la Ley general de telecomunicaciones).</w:t>
      </w:r>
    </w:p>
    <w:p w:rsidR="00163957" w:rsidRDefault="00163957" w:rsidP="00163957">
      <w:pPr>
        <w:pStyle w:val="TextoNormal"/>
      </w:pPr>
    </w:p>
    <w:p w:rsidR="00163957" w:rsidRDefault="00163957" w:rsidP="00163957">
      <w:pPr>
        <w:pStyle w:val="TextoNormal"/>
      </w:pPr>
      <w:r>
        <w:t>Teniendo en cuenta lo anterior, el Abogado del Estado desgrana los preceptos de la Ley 3/2013 de Galicia que considera inconstitucionales por invadir la competencia estatal en materia de telecomunicaciones. Es el caso, en primer lugar, del art. 5.6 de la Ley 3/2013 que, al establecer que “los operadores, tanto públicos como privados, tendrán acceso a las redes públicas de comunicaciones electrónicas de titularidad autonómica de conformidad con los principios de neutralidad, transparencia, igualdad y no discriminación”, evidencia el ejercicio de una potestad normativa sobre el acceso a las redes que no corresponde a la Comunidad Autónoma.</w:t>
      </w:r>
    </w:p>
    <w:p w:rsidR="00163957" w:rsidRDefault="00163957" w:rsidP="00163957">
      <w:pPr>
        <w:pStyle w:val="TextoNormal"/>
      </w:pPr>
    </w:p>
    <w:p w:rsidR="00163957" w:rsidRDefault="00163957" w:rsidP="00163957">
      <w:pPr>
        <w:pStyle w:val="TextoNormal"/>
      </w:pPr>
      <w:r>
        <w:t>La obligación de “suministrar acceso efectivo al por mayor a terceros operadores sobre las infraestructuras de telecomunicaciones subvencionadas” que establece el art. 5.7 de la Ley 3/2013 para aquellos operadores que hayan resultado “beneficiarios de las ayudas que desde el sector público autonómico se otorguen para el despliegue de infraestructuras de telecomunicaciones y redes públicas de comunicaciones electrónicas de banda ancha o de acceso de nueva generación” resulta también inconstitucional puesto que, según se sostiene en el recurso, no sólo se altera el sistema general de acceso e interconexión al establecer una obligación donde el régimen regulador general remite al acuerdo de los operadores sobre estas condiciones, sino que prevé la posibilidad de subvencionar el despliegue de redes de infraestructuras lo que, además de alterar sustantivamente la libertad de mercado, resulta contrario a la doctrina constitucional según la cual no existe una competencia de fomento desvinculada del orden competencial o competencia sustantiva en la materia (cita la STC 113/2013, de 9 de mayo, FJ 3).</w:t>
      </w:r>
    </w:p>
    <w:p w:rsidR="00163957" w:rsidRDefault="00163957" w:rsidP="00163957">
      <w:pPr>
        <w:pStyle w:val="TextoNormal"/>
      </w:pPr>
    </w:p>
    <w:p w:rsidR="00163957" w:rsidRDefault="00163957" w:rsidP="00163957">
      <w:pPr>
        <w:pStyle w:val="TextoNormal"/>
      </w:pPr>
      <w:r>
        <w:t>En la misma línea se solicita la declaración de inconstitucionalidad del art. 14.1 c) de la Ley 3/2013 que establece como criterio de planificación y ordenación territorial de las telecomunicaciones en Galicia el de “asegurar la integración y la interconexión de las redes de telecomunicaciones a escala internacional, nacional, autonómica y local”; ámbito en el que la Ley general de telecomunicaciones se abstiene de intervenir dejando su concreción al libre acuerdo de los operadores por lo que la Comunidad Autónoma no puede adoptar medida alguna de aseguramiento, promoción o intervención.</w:t>
      </w:r>
    </w:p>
    <w:p w:rsidR="00163957" w:rsidRDefault="00163957" w:rsidP="00163957">
      <w:pPr>
        <w:pStyle w:val="TextoNormal"/>
      </w:pPr>
    </w:p>
    <w:p w:rsidR="00163957" w:rsidRDefault="00163957" w:rsidP="00163957">
      <w:pPr>
        <w:pStyle w:val="TextoNormal"/>
      </w:pPr>
      <w:r>
        <w:t>e) Señala el Abogado del Estado, a continuación, la regulación de la ley autonómica que, desde la perspectiva ahora de la coubicación —que define como la compartición de una instalación de telecomunicaciones para prestar sus servicios en un mismo punto del dominio público o dominio privado al concurrir circunstancias que hacen inviable o inconveniente el asiento de varias redes en ubicaciones diferentes— invade las competencias del Estado en materia de telecomunicaciones. Trae a colación la STC 8/2012, de 8 de enero, en la que se alertó del estrecho cruce competencial en esta materia entre Estado y Comunidades Autónomas y la necesidad de acudir a fórmulas de cooperación.</w:t>
      </w:r>
    </w:p>
    <w:p w:rsidR="00163957" w:rsidRDefault="00163957" w:rsidP="00163957">
      <w:pPr>
        <w:pStyle w:val="TextoNormal"/>
      </w:pPr>
    </w:p>
    <w:p w:rsidR="00163957" w:rsidRDefault="00163957" w:rsidP="00163957">
      <w:pPr>
        <w:pStyle w:val="TextoNormal"/>
      </w:pPr>
      <w:r>
        <w:t>En esta materia, continua argumentando el Abogado del Estado, el art. 30 de la Ley general de telecomunicaciones de 2003 establece, de un lado, la previsión de que el Ministro de Industria, Energía y Turismo pueda imponer la coubicación, motivadamente y previa audiencia pública y, de otro lado, el supuesto en que la Administración competente en materia de ordenación urbana y territorial, salud pública, seguridad pública o medio ambiente, acuerde la coubicación previo trámite de información pública. En ambos casos, la Ley general de telecomunicaciones, una vez impuesta o acordada la necesidad de coubicación, deja a la autonomía de la voluntad de los operadores la determinación de las condiciones en que se debe realizar, interviniendo la Comisión Nacional de los Mercados y la Competencia en caso de desacuerdo siempre previo informe de la Administración competente.</w:t>
      </w:r>
    </w:p>
    <w:p w:rsidR="00163957" w:rsidRDefault="00163957" w:rsidP="00163957">
      <w:pPr>
        <w:pStyle w:val="TextoNormal"/>
      </w:pPr>
    </w:p>
    <w:p w:rsidR="00163957" w:rsidRDefault="00163957" w:rsidP="00163957">
      <w:pPr>
        <w:pStyle w:val="TextoNormal"/>
      </w:pPr>
      <w:r>
        <w:t>En este punto, se resalta, la mencionada STC 8/2012 ya puso de manifiesto que la legislación estatal incorpora una regulación acorde a la concurrencia competencial en la que se prevé la intervención de administraciones autonómicas y locales, declarando acorde a la distribución de competencias y no invasivo de la competencia estatal, la previsión de que la Administración autonómica, en caso de no conseguirse un acuerdo con los operadores, determine en la aprobación de los planes los emplazamientos que aquéllos deberán compartir en atención a la protección de la salud, del medio ambiente y del paisaje, respetando lo dispuesto en la legislación estatal (trámite de información pública).</w:t>
      </w:r>
    </w:p>
    <w:p w:rsidR="00163957" w:rsidRDefault="00163957" w:rsidP="00163957">
      <w:pPr>
        <w:pStyle w:val="TextoNormal"/>
      </w:pPr>
    </w:p>
    <w:p w:rsidR="00163957" w:rsidRDefault="00163957" w:rsidP="00163957">
      <w:pPr>
        <w:pStyle w:val="TextoNormal"/>
      </w:pPr>
      <w:r>
        <w:t>Teniendo en cuenta las consideraciones anteriores, se impugna el art. 6.2 de la Ley 3/2013 de Galicia por contener una regulación sustancial de las condiciones de la coubicación y uso compartido de redes al atribuir a la Comunidad Autónoma de Galicia la posibilidad de exceptuar la imposición de uso compartido o de coubicación en aquellos casos en que “no sea viable desde un punto de vista técnico, circunstancia que tendrá que ser acreditada por el titular de la infraestructura” y remitiéndose al desarrollo reglamentario el procedimiento que deberá seguirse para el reconocimiento de esta excepción. Esta regulación, puntualiza el Abogado del Estado, excluye, además, el acuerdo alcanzado entre los operadores, la intervención de la Comisión Nacional de los Mercados y la Competencia en defecto del pacto y el trámite de información pública. En definitiva, la regulación de la ley autonómica no respeta ni la regulación del Estado ni los criterios establecidos por el Tribunal Constitucional para que tal regulación sea acorde a las técnicas de cooperación y coordinación en casos de ejercicio conjunto de competencias.</w:t>
      </w:r>
    </w:p>
    <w:p w:rsidR="00163957" w:rsidRDefault="00163957" w:rsidP="00163957">
      <w:pPr>
        <w:pStyle w:val="TextoNormal"/>
      </w:pPr>
    </w:p>
    <w:p w:rsidR="00163957" w:rsidRDefault="00163957" w:rsidP="00163957">
      <w:pPr>
        <w:pStyle w:val="TextoNormal"/>
      </w:pPr>
      <w:r>
        <w:t xml:space="preserve">Con la misma línea argumentativa se tacha de inconstitucional el art. 15.2 g) de la Ley 13/2013 en tanto dispone que en el plan sectorial de infraestructuras de telecomunicaciones de Galicia se determinen “los supuestos y de las condiciones en los que procede el uso compartido obligatorio de infraestructuras de telecomunicaciones, de elementos de redes y </w:t>
      </w:r>
      <w:r>
        <w:lastRenderedPageBreak/>
        <w:t>recursos o la adopción de medidas análogas, por razones de protección del medio ambiente, del paisaje, de seguridad pública o para alcanzar los objetivos de planificación urbana y ordenación territorial” sin respetar la regulación del Estado. Asimismo, resulta inconstitucional el art. 19.2 c) de la Ley 3/2013 por establecer de forma genérica y prescindiendo del acuerdo entre operadores o de las necesidades derivadas de la protección de medio ambiente, de la salud o del paisaje, que “la instalación de las infraestructuras de telecomunicaciones y la explotación de las redes públicas de telecomunicaciones se llevarán a cabo con sometimiento al principio de compartición de las infraestructuras de telecomunicaciones en los términos establecidos en la planificación territorial y urbanística”.</w:t>
      </w:r>
    </w:p>
    <w:p w:rsidR="00163957" w:rsidRDefault="00163957" w:rsidP="00163957">
      <w:pPr>
        <w:pStyle w:val="TextoNormal"/>
      </w:pPr>
    </w:p>
    <w:p w:rsidR="00163957" w:rsidRDefault="00163957" w:rsidP="00163957">
      <w:pPr>
        <w:pStyle w:val="TextoNormal"/>
      </w:pPr>
      <w:r>
        <w:t>f) Son varios los preceptos de la ley autonómica que impugna el representante del Presidente del Gobierno desde la perspectiva del principio de neutralidad tecnológica. El Abogado del Estado inicia su argumentación en este punto recordando que el principio de neutralidad tecnológica (art. 3 de la Ley general de telecomunicaciones) es un principio básico según el cual la regulación del sector de las telecomunicaciones debe limitase a definir los objetivos a conseguir sin imponer, ni discriminar, el uso de uno u otro tipo de tecnología. Se garantiza, de esta manera, un desarrollo eficiente y transparente de las tecnologías de la información evitando la obsolescencia de la regulación que supondría la opción del legislador por una determinada tecnología. La neutralidad tecnológica, además, favorece al usuario final del servicio puesto que la prestación del servicio universal queda garantizada con abstracción de la tecnología que se utilice.</w:t>
      </w:r>
    </w:p>
    <w:p w:rsidR="00163957" w:rsidRDefault="00163957" w:rsidP="00163957">
      <w:pPr>
        <w:pStyle w:val="TextoNormal"/>
      </w:pPr>
    </w:p>
    <w:p w:rsidR="00163957" w:rsidRDefault="00163957" w:rsidP="00163957">
      <w:pPr>
        <w:pStyle w:val="TextoNormal"/>
      </w:pPr>
      <w:r>
        <w:t xml:space="preserve">Se impugnan, a este respecto y en primer lugar, los dos apartados del art. 8 de la Ley 3/2013, enunciador del principio de neutralidad e interoperabilidad, puesto que, señala el Abogado del Estado, bajo la aparente proclamación del respeto al principio de neutralidad tecnológica se contempla en el primer apartado del precepto su posible inobservancia, al disponer que “podrá seleccionarse la solución tecnológica o combinación de soluciones tecnológicas que se consideren más adecuadas” a efectos de “garantizar, por razones debidamente justificadas y de conformidad con el marco normativo general en materia de telecomunicaciones, la consecución de un objetivo de interés general, en particular la cobertura de las zonas en que la demanda esté insuficientemente atendida por el sector privado” (art. 8.1 de la Ley 3/2013). Inobservancia del principio que la Comunidad Autónoma justifica a través de la asunción de objetivos propios del servicio universal (y por tanto, de competencia estatal), permitiendo, además, la intervención de las entidades locales en la regulación de las telecomunicaciones, función ajena a las competencias encomendadas por la Ley de bases de régimen local (diseño legislativo de las competencias de las entidades locales contrario a las reglas de distribución competencial y por tanto inconstitucional </w:t>
      </w:r>
      <w:r w:rsidRPr="00163957">
        <w:rPr>
          <w:i/>
        </w:rPr>
        <w:t>ex</w:t>
      </w:r>
      <w:r>
        <w:t xml:space="preserve"> STC 103/2013). El segundo apartado, arguye el Abogado del Estado, vulnera el principio de neutralidad al establecer, con la pretendida finalidad de garantizar la interoperabilidad de servicios y la conectividad de redes, que la Administración general y el resto del sector público autonómico “procurarán limitar el uso de soluciones no sujetas a un estándar reconocido”, olvidando dicho precepto que la libre utilización de tecnologías es lo que posibilita y promueve la interconexión, sin especificar las características delimitadoras del citado estándar.</w:t>
      </w:r>
    </w:p>
    <w:p w:rsidR="00163957" w:rsidRDefault="00163957" w:rsidP="00163957">
      <w:pPr>
        <w:pStyle w:val="TextoNormal"/>
      </w:pPr>
    </w:p>
    <w:p w:rsidR="00163957" w:rsidRDefault="00163957" w:rsidP="00163957">
      <w:pPr>
        <w:pStyle w:val="TextoNormal"/>
      </w:pPr>
      <w:r>
        <w:t xml:space="preserve">Tampoco las Comunidades Autónomas tienen competencia para discriminar la utilización de algunas tecnologías, máxime si se utilizan criterios tan abiertos e indeterminados como los mencionados en el art. 12.2 de la Ley 3/2013 que, bajo la rúbrica principio de sostenibilidad ambiental, establece el deber de utilizar, “en la medida de lo posible” y en “la </w:t>
      </w:r>
      <w:r>
        <w:lastRenderedPageBreak/>
        <w:t>instalación, el mantenimiento, la reparación o la sustitución de las infraestructuras de telecomunicaciones y redes públicas de comunicaciones electrónicas las mejores tecnologías disponibles que sean respetuosas con el medio ambiente, especialmente aquellas que sean eficientes desde un punto de vista energético”. Este precepto supone una reserva a la Comunidad Autónoma para elegir y discriminar libremente una determinada tecnología quebrando el principio de neutralidad tecnológica. En la misma línea argumentativa, el apartado tercero del art. 12 de la Ley autonómica, al determinar que “la mejor tecnología disponible será aquella que resulte de las determinaciones integrantes del marco normativo general en materia de telecomunicaciones”, se reserva el control de tal determinación, reserva que contraría la neutralidad tecnológica exigible a la regulación.</w:t>
      </w:r>
    </w:p>
    <w:p w:rsidR="00163957" w:rsidRDefault="00163957" w:rsidP="00163957">
      <w:pPr>
        <w:pStyle w:val="TextoNormal"/>
      </w:pPr>
    </w:p>
    <w:p w:rsidR="00163957" w:rsidRDefault="00163957" w:rsidP="00163957">
      <w:pPr>
        <w:pStyle w:val="TextoNormal"/>
      </w:pPr>
      <w:r>
        <w:t>Finalmente, en este apartado de alegaciones, se impugna el art. 15.2 f) de la Ley 3/2013 que declara como contenido necesario del plan sectorial de infraestructuras de telecomunicaciones “la delimitación de los supuestos excepcionales en los que sea posible determinar el uso de una concreta tecnología, o la renovación de las implantadas, por exigirlo así la consecución de un objetivo de interés general en el marco normativo general del ámbito de las telecomunicaciones”, permitiendo, por tanto, no sólo la discriminación de tecnología sino directamente la determinación de una concreta.</w:t>
      </w:r>
    </w:p>
    <w:p w:rsidR="00163957" w:rsidRDefault="00163957" w:rsidP="00163957">
      <w:pPr>
        <w:pStyle w:val="TextoNormal"/>
      </w:pPr>
    </w:p>
    <w:p w:rsidR="00163957" w:rsidRDefault="00163957" w:rsidP="00163957">
      <w:pPr>
        <w:pStyle w:val="TextoNormal"/>
      </w:pPr>
      <w:r>
        <w:t>g) Por último, el representante del Presidente del Gobierno impugna todo el título V de la Ley 3/2013 concerniente al régimen sancionador de la Ley; en particular la tipificación de infracciones por incumplimiento de las obligaciones impuestas a los operadores en materia de instalación y utilización de infraestructuras, obligaciones de información y obligaciones de coubicación [art. 23.3 a), b) y c)]. La Comunidad Autónoma de Galicia, se afirma, carece de competencia para dictar normas sancionadoras en materias sobre la que no posee competencia sustantiva alguna (se invoca y reproduce un fragmento de la STC 8/2012, de 18 de enero).</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8 de abril de 2014 el Pleno de este Tribunal acordó admitir a trámite el presente recurso de inconstitucionalidad, así como dar traslado de la demanda y documentos presentados, de conformidad con el art. 34 de la Ley Orgánica del Tribunal Constitucional (LOTC), al Congreso de los Diputados y al Senado, así como a la Xunta y al Parlamento de Galicia, por conducto de sus Presidentes, al objeto de que en el plazo de quince días pudiesen personarse en el proceso y formular las alegaciones que estimaran convenientes.</w:t>
      </w:r>
    </w:p>
    <w:p w:rsidR="00163957" w:rsidRDefault="00163957" w:rsidP="00163957">
      <w:pPr>
        <w:pStyle w:val="TextoNormal"/>
      </w:pPr>
    </w:p>
    <w:p w:rsidR="00163957" w:rsidRDefault="00163957" w:rsidP="00163957">
      <w:pPr>
        <w:pStyle w:val="TextoNormal"/>
      </w:pPr>
      <w:r>
        <w:t>Esta providencia se publicó en el “Boletín Oficial del Estado” núm. 89, de 12 de abril de 2014, y en el “Diario Oficial de la Xunta de Galicia”.</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registrado en este Tribunal Constitucional el 21 de abril de 2014, el Letrado de la Xunta de Galicia se personó en el presente recurso de inconstitucionalidad solicitando se conceda una prórroga por el máximo legal del plazo concedido para formular alegaciones. Asimismo, por escrito presentado el 22 de abril de 2014, el Letrado oficial mayor del Parlamento de Galicia, se persona en el recurso solicitando a su vez la prórroga del plazo para formular alegaciones en una extensión de ocho días más.</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4</w:t>
      </w:r>
      <w:r>
        <w:t>. Mediante providencia de 22 de abril de 2014 el Pleno del Tribunal Constitucional tiene por personados al Letrado de la Xunta de Galicia y al Letrado del Parlamento y se les prorroga en ocho días más el plazo concedido para realizar alegaciones.</w:t>
      </w:r>
    </w:p>
    <w:p w:rsidR="00163957" w:rsidRDefault="00163957" w:rsidP="00163957">
      <w:pPr>
        <w:pStyle w:val="TextoNormal"/>
      </w:pPr>
    </w:p>
    <w:p w:rsidR="00163957" w:rsidRDefault="00163957" w:rsidP="00163957">
      <w:pPr>
        <w:pStyle w:val="TextoNormal"/>
      </w:pPr>
      <w:r w:rsidRPr="00163957">
        <w:rPr>
          <w:rStyle w:val="NumeroAFNegritaCaracter"/>
        </w:rPr>
        <w:t>5</w:t>
      </w:r>
      <w:r>
        <w:t>. El Presidente del Senado interesó el día 23 de abril de 2014 que se tuviera por personada a dicha Cámara y por ofrecida su colaboración a los efectos del art. 88.1 LOTC. A su vez, el Presidente del Congreso de los Diputados comunicó que la Mesa de la Cámara había acordado dar por personada a la Cámara y por ofrecida su colaboración en los términos del citado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escrito de alegaciones del Letrado del Parlamento de Galicia tuvo su entrada en el Registro General del Tribunal Constitucional el día 16 de mayo de 2014. El Letrado mayor inicia sus alegatos subrayando que el objetivo de la Ley impugnada, tal como se señala en su exposición de motivos, es el impulso y desarrollo de las infraestructuras de telecomunicaciones y de la sociedad de la información como uno de los motores principales para la modernización de la Comunidad, el bienestar de la ciudadanía y el desarrollo de su tejido industrial y económico, logrando una penetración generalizada de las nuevas redes que atienda a la realidad territorial existente y se efectúe con pleno respeto al entorno, al medio ambiente y al paisaje, de un lado, y con pleno respeto de las competencias estatales, por otro.</w:t>
      </w:r>
    </w:p>
    <w:p w:rsidR="00163957" w:rsidRDefault="00163957" w:rsidP="00163957">
      <w:pPr>
        <w:pStyle w:val="TextoNormal"/>
      </w:pPr>
    </w:p>
    <w:p w:rsidR="00163957" w:rsidRDefault="00163957" w:rsidP="00163957">
      <w:pPr>
        <w:pStyle w:val="TextoNormal"/>
      </w:pPr>
      <w:r>
        <w:t xml:space="preserve">A continuación, el Letrado deslinda los títulos competenciales previstos en el Estatuto de Autonomía para Galicia (en adelante, EAG) que sirven de fundamento a la Ley 3/2013: así, el art. 30.1.1 EAG le atribuye la competencia para el fomento y la planificación económica en Galicia, conforme a lo dispuesto en las bases y la ordenación de la actuación económica y general </w:t>
      </w:r>
      <w:r w:rsidRPr="00163957">
        <w:rPr>
          <w:i/>
        </w:rPr>
        <w:t>ex</w:t>
      </w:r>
      <w:r>
        <w:t xml:space="preserve"> arts. 38, 131, 149.1.11 y 13 CE. Igualmente corresponde a la Comunidad de Galicia la competencia exclusiva en materia de ordenación del territorio y litoral, urbanismo y vivienda </w:t>
      </w:r>
      <w:r w:rsidRPr="00163957">
        <w:rPr>
          <w:i/>
        </w:rPr>
        <w:t>ex</w:t>
      </w:r>
      <w:r>
        <w:t xml:space="preserve"> art. 27.3 EAG, la competencia compartida en materia de sanidad </w:t>
      </w:r>
      <w:r w:rsidRPr="00163957">
        <w:rPr>
          <w:i/>
        </w:rPr>
        <w:t>ex</w:t>
      </w:r>
      <w:r>
        <w:t xml:space="preserve"> art. 33.1 EAG y la competencia exclusiva para dictar normas adicionales en materia de protección del medio ambiente y del paisaje en el marco de la legislación básica sobre la materia </w:t>
      </w:r>
      <w:r w:rsidRPr="00163957">
        <w:rPr>
          <w:i/>
        </w:rPr>
        <w:t>ex</w:t>
      </w:r>
      <w:r>
        <w:t xml:space="preserve"> art. 27.30 EAG, en los términos del art. 149.1.23 CE.</w:t>
      </w:r>
    </w:p>
    <w:p w:rsidR="00163957" w:rsidRDefault="00163957" w:rsidP="00163957">
      <w:pPr>
        <w:pStyle w:val="TextoNormal"/>
      </w:pPr>
    </w:p>
    <w:p w:rsidR="00163957" w:rsidRDefault="00163957" w:rsidP="00163957">
      <w:pPr>
        <w:pStyle w:val="TextoNormal"/>
      </w:pPr>
      <w:r>
        <w:t xml:space="preserve">Ciertamente, señala el Letrado del Parlamento, el Estado tiene competencia exclusiva en materia de telecomunicaciones ex art. 149.1.21 CE, pero esta competencia ha sido matizada por el Tribunal Constitucional para evitar que se convierta en un título horizontal que vacíe de contenido las competencias autonómicas: así, señala el Letrado, en la STC 168/1993 se recuerda que la citada regla competencial debe interpretarse restrictivamente para evitar la exclusión de las competencias autonómicas sobre radio y televisión y de la STC 31/2010, de 28 de junio, se desprende que la exclusividad estatal se limita a la regulación y la gestión del dominio público radioeléctrico y que esa competencia debe ser interpretada de forma restrictiva. El alcance de las competencias estatales, sigue argumentándose, también ha sido analizado por el Tribunal Supremo que, si bien ha puesto hincapié en que el ejercicio de competencias propias autonómicas no puede desvirtuar la competencia estatal sobre telecomunicaciones (cuyo fin último es el de garantizar la unidad de mercado y evitar la fragmentación de la materia) subraya también que ello no significa que la competencia del Estado deba prevalecer necesaria e incondicionalmente sobre las demás competencias sectoriales autonómicas o locales, pues, al coexistir títulos competenciales sobre un mismo espacio </w:t>
      </w:r>
      <w:r>
        <w:lastRenderedPageBreak/>
        <w:t>físico, es necesario articular técnicas de cooperación y colaboración. En su STC 8/2012, de 18 de enero —señala— el Tribunal Constitucional puso de manifiesto que cuando concurren sobre un mismo espacio físico la competencia exclusiva estatal en materia de telecomunicaciones y una competencia autonómica horizontal como la ordenación del territorio (que asegura que su titular pueda formular una política global para su territorio coordinando actuaciones públicas y privadas que inciden en el mismo), esta competencia autonómica no puede ser obviada por la Administración estatal. Y en consecuencia, el Alto Tribunal consideró en la citada Sentencia que los planes de despliegue de red sobre suelo rústico de Castilla-La Mancha no suponían una ordenación del espectro radioeléctrico sino la ordenación de los emplazamientos en el suelo de las instalaciones de radiocomunicación, desde un contexto más general; y que en materia de coubicación y compartición de redes, corresponde a las Comunidades Autónomas la decisión sobre su pertinencia, sin perjuicio de que, en aras de la protección de la competencia entre operadores, el Estado deba mantener las competencias que, en esta materia, derivan de su competencia exclusiva sobre telecomunicaciones, correspondiendo a la Comisión del mercado de las telecomunicaciones la determinación concreta de los términos y condiciones de ese uso compartido.</w:t>
      </w:r>
    </w:p>
    <w:p w:rsidR="00163957" w:rsidRDefault="00163957" w:rsidP="00163957">
      <w:pPr>
        <w:pStyle w:val="TextoNormal"/>
      </w:pPr>
    </w:p>
    <w:p w:rsidR="00163957" w:rsidRDefault="00163957" w:rsidP="00163957">
      <w:pPr>
        <w:pStyle w:val="TextoNormal"/>
      </w:pPr>
      <w:r>
        <w:t>A continuación invoca el Letrado la competencia de la Comunidad Autónoma de Galicia (en el marco de lo dispuesto en los arts. 148 y 149 CE) en relación al fomento del desarrollo económico de Galicia que, dentro de la política económica general, le permite ejercer potestades normativas y ejecutivas. De acuerdo con lo manifestado en la STC 22/2003, la competencia del Estado en materia de “ordenación general de la economía” no alcanza a incluir cualquier acción de naturaleza económica si no posee una incidencia directa y significativa sobre la actividad económica general. La competencia autonómica en materia de desarrollo económico de Galicia deberá ejercerse, además, sin afectar a la unidad de mercado y sin tener un impacto directo y significativo sobre la economía general del Estado. En cuanto a la competencia en materia de ordenación del territorio, el Alto Tribunal ha indicado que la misma tiene por objeto la actividad consistente en la delimitación de los diversos usos del suelo o del espacio físico territorial, siendo su núcleo fundamental una actividad pública de contenido planificador; la competencia en materia de urbanismo dota a la Comunidad de la potestad para determinar cómo, cuándo y dónde deben surgir o desarrollarse los asentamientos humanos; la competencia en materia de vivienda faculta a las Comunidades Autónomas a establecer una política propia incluyendo el fomento y promoción de construcción de viviendas; la competencia en materia de medio ambiente es compartida con el Estado, pudiendo desarrollar el mínimo común denominador establecido por el Estado pudiendo establecer normas adicionales de protección; y, finalmente, la competencia en materia de sanidad otorga a las Comunidades Autónomas potestades de desarrollo legislativo y ejecución.</w:t>
      </w:r>
    </w:p>
    <w:p w:rsidR="00163957" w:rsidRDefault="00163957" w:rsidP="00163957">
      <w:pPr>
        <w:pStyle w:val="TextoNormal"/>
      </w:pPr>
    </w:p>
    <w:p w:rsidR="00163957" w:rsidRDefault="00163957" w:rsidP="00163957">
      <w:pPr>
        <w:pStyle w:val="TextoNormal"/>
      </w:pPr>
      <w:r>
        <w:t xml:space="preserve">Todavía en el marco de estas consideraciones generales, el Letrado del Parlamento se refiere a las previsiones del Derecho comunitario europeo en esta materia, partiendo del objetivo de la Agenda de Lisboa de maximizar el potencial económico de las nuevas tecnologías de la información y de la comunicación, en especial internet, como soporte esencial de la actividad económica y social. Galicia está inmersa, se destaca, en un proceso de desarrollo tecnológico indispensable para posibilitar su modernización, impulsando el desarrollo de las infraestructuras y comunicaciones electrónicas en el marco de lo dispuesto en la Directiva 2009/140/CE que modifica el anterior paquete de directivas del año 2002 regulador del mercado, el acceso y la interconexión de las comunicaciones electrónicas, introduciendo </w:t>
      </w:r>
      <w:r>
        <w:lastRenderedPageBreak/>
        <w:t>una nueva regulación en materia de coubicación y uso compartido como medida para fomentar la de las obras púbicas con la protección del medio ambiente, la salud pública, la planificación urbana y la ordenación territorial (art. 12 de la Directiva). Habiendo entrado en vigor esta previsión (por transcurso del plazo de trasposición) que faculta la imposición del uso compartido por razones de medio ambiente, seguridad pública, planificación urbana y ordenación del territorio, la Comunidad Autónoma de Galicia, competente en estas materias, puede aplicar la normativa comunitaria correspondiente conforme a una consolidada doctrina constitucional según la cual debe atenderse al criterio constitucional de reparto de competencias, pues no existe una competencia específica de ejecución del derecho comunitario (SSTC 102/1995 y 96/2002).</w:t>
      </w:r>
    </w:p>
    <w:p w:rsidR="00163957" w:rsidRDefault="00163957" w:rsidP="00163957">
      <w:pPr>
        <w:pStyle w:val="TextoNormal"/>
      </w:pPr>
    </w:p>
    <w:p w:rsidR="00163957" w:rsidRDefault="00163957" w:rsidP="00163957">
      <w:pPr>
        <w:pStyle w:val="TextoNormal"/>
      </w:pPr>
      <w:r>
        <w:t>Entrando ya en la cuestión relativa a los preceptos impugnados, el Letrado del Parlamento gallego advierte, con cita de la STC 8/2012, que el entrecruzamiento competencial entre las telecomunicaciones y la ordenación del territorio, urbanismo, protección del medio ambiente y protección de la salud no puede dar lugar a un vaciamiento de los respectivos títulos competenciales debiéndose recurrir a técnicas de cooperación y colaboración en relación al despliegue de redes públicas de comunicaciones electrónicas tal como viene establecido en los arts. 34 y 35 de la Ley 9/2014, de 9 de mayo, general de telecomunicaciones. El recurso de inconstitucionalidad interpuesto no tiene en cuenta que la Ley 3/2013 tiene como finalidad la protección de bienes jurídicos que forman parte de materias sobre las que la Comunidad Autónoma de Galicia tiene competencia, aunque se incida o se afecte al objeto materia de las telecomunicaciones: esto es, que cualquier infraestructura de telecomunicaciones se realice con respeto a la ordenación del territorio y al urbanismo.</w:t>
      </w:r>
    </w:p>
    <w:p w:rsidR="00163957" w:rsidRDefault="00163957" w:rsidP="00163957">
      <w:pPr>
        <w:pStyle w:val="TextoNormal"/>
      </w:pPr>
    </w:p>
    <w:p w:rsidR="00163957" w:rsidRDefault="00163957" w:rsidP="00163957">
      <w:pPr>
        <w:pStyle w:val="TextoNormal"/>
      </w:pPr>
      <w:r>
        <w:t>Así, lo previsto en el art. 1 Ley 3/2013 debe interpretarse en su debido contexto: no pretende una regulación omnicomprensiva de las telecomunicaciones sino que el despliegue de infraestructuras en Galicia se realice de manera ágil, ordenada, eficiente, segura y respetuosa con el medio ambiente. La ordenación de la Ley es fundamentalmente territorial y de protección, tal como se señala en la propia exposición de motivos, que tiene un valor interpretativo. El Estado regula la materia de telecomunicaciones, concluye el Letrado, y la Comunidad Autónoma de Galicia dicta las normas necesarias para que esa infraestructura sea respetuosa con el medio ambiente, cohonestando los diversos títulos competenciales.</w:t>
      </w:r>
    </w:p>
    <w:p w:rsidR="00163957" w:rsidRDefault="00163957" w:rsidP="00163957">
      <w:pPr>
        <w:pStyle w:val="TextoNormal"/>
      </w:pPr>
    </w:p>
    <w:p w:rsidR="00163957" w:rsidRDefault="00163957" w:rsidP="00163957">
      <w:pPr>
        <w:pStyle w:val="TextoNormal"/>
      </w:pPr>
      <w:r>
        <w:t xml:space="preserve">Por lo que concierne a la impugnación del art. 2.2, apartados b), c) y d) de la Ley 3/2013 donde se enumeran los objetivos para la consecución de las finalidades perseguidas por la ley, subraya el Letrado del Parlamento autonómico, que uno de esos objetivos—en ejercicio de la competencia de fomento y planificación de la actividad económica en su territorio </w:t>
      </w:r>
      <w:r w:rsidRPr="00163957">
        <w:rPr>
          <w:i/>
        </w:rPr>
        <w:t>ex</w:t>
      </w:r>
      <w:r>
        <w:t xml:space="preserve"> art. 30.1.1 EAG— es contribuir al crecimiento económico sostenible de Galicia, contribuyendo a su integración en la sociedad de la información con reducción del desequilibrio territorial y logrando una mayor cohesión social (art. 2.1, no impugnado) para cuya consecución es imprescindible asegurar un nivel mínimo de infraestructuras de telecomunicaciones sin que pueda dejarse, sin más, al puro arbitrio de los operadores el establecimiento de estas instalaciones tecnológicas.</w:t>
      </w:r>
    </w:p>
    <w:p w:rsidR="00163957" w:rsidRDefault="00163957" w:rsidP="00163957">
      <w:pPr>
        <w:pStyle w:val="TextoNormal"/>
      </w:pPr>
    </w:p>
    <w:p w:rsidR="00163957" w:rsidRDefault="00163957" w:rsidP="00163957">
      <w:pPr>
        <w:pStyle w:val="TextoNormal"/>
      </w:pPr>
      <w:r>
        <w:t xml:space="preserve">La impugnación de los apartados 3, 5, 6 y 7 del art. 5 de la Ley 3/2013 relativo a la intervención del sector público autonómico en la promoción de infraestructuras de telecomunicación y redes de comunicaciones electrónicas, se fundamenta, resume el Letrado del Parlamento gallego, en la teórica ruptura del equilibro del mercado pues corresponde a los </w:t>
      </w:r>
      <w:r>
        <w:lastRenderedPageBreak/>
        <w:t>propios operadores la instalación y la extensión de las redes (apartado 3), sin que puedan determinarse ex ante los criterios de fijación de precios cuya fijación ha de ser libre (apartado 5), correspondiendo al Estado la potestad de normar sobre el acceso a las redes (apartado 6) y no pudiendo la Comunidad Autónoma obligar a los operadores a suministrar acceso efectivo (apartado 7). Se subraya, a este respecto, que la Ley 13/2013 responde, contra lo sostenido en el recurso de inconstitucionalidad, al principio de intervención mínima en el mercado de las telecomunicaciones partiendo de su consideración como servicios de interés general tal como se configuran en la Ley general de telecomunicaciones vigente en el momento de aprobarse la ley autonómica y tal como se prevé en la actualmente vigente Ley general de telecomunicaciones de 2014. Pero, ante los fallos del mercado, señala el Letrado, los poderes públicos autonómicos han de intervenir subsidiariamente para satisfacer ese interés público y favorecer el crecimiento de la economía gallega, sin que ello suponga que se esté regulando el otorgamiento de subvenciones sino, simplemente, determinando los supuestos en que el sector público autonómico puede llevar a cabo ese despliegue. Tampoco se están fijando criterios para la determinación de los precios, pues la ley autonómica se limita a indicar, respecto de la red de titularidad pública autonómica, que los precios serán de mercado sin intervención pública alguna al respecto. Asimismo, el apartado 6 no regula el acceso a las infraestructuras sino que se limita a establecer una serie de principios que permitan a los operadores utilizar redes públicas autonómicas dentro de los fines definidos por la ley. No se está regulando, en fin, la concesión de ayudas para la promoción de instalaciones en materia de telecomunicaciones sino que las subvenciones que podría conceder la Comunidad Autónoma son una actuación instrumental respecto de las competencias autonómicas sobre las que se ha dictado la Ley.</w:t>
      </w:r>
    </w:p>
    <w:p w:rsidR="00163957" w:rsidRDefault="00163957" w:rsidP="00163957">
      <w:pPr>
        <w:pStyle w:val="TextoNormal"/>
      </w:pPr>
    </w:p>
    <w:p w:rsidR="00163957" w:rsidRDefault="00163957" w:rsidP="00163957">
      <w:pPr>
        <w:pStyle w:val="TextoNormal"/>
      </w:pPr>
      <w:r>
        <w:t>En lo relativo a la coubicación y el uso compartido de las infraestructuras que se prevé en el impugnado art. 6.2 de la Ley 3/2013 —y los arts. 15.2 g) y 19.2 c)—, señala el Letrado Autonómico que la Ley gallega se limita a establecer unos criterios y el contenido mínimo que, en relación a las infraestructuras de telecomunicaciones y comunicaciones electrónicas, deben contener los instrumentos de ordenación territorial y urbanística para garantizar la consecución de los objetivos establecidos en dichos planes (perfilando asimismo instrumentos de colaboración y cooperación), operando de esta forma como una norma de habilitación legal para el futuro plan sectorial de ordenación de infraestructuras desde el punto de vista territorial, urbanístico, paisajístico y de protección del medio ambiente y del patrimonio (tal como se prevé en la propia Directiva 2009/140/CE, considerandos 35 y 43; y arts. 9.3 y 12). En este punto se insiste en que la regulación comunitaria prevé dos niveles de intervención: el de los organismos reguladores (autoridades nacionales de reglamentación) y el de las administraciones territoriales cuya intervención viene motivada por la protección del medio ambiente, la salud o la seguridad pública o la planificación urbana y territorial (Comunidades Autónomas y entes locales).</w:t>
      </w:r>
    </w:p>
    <w:p w:rsidR="00163957" w:rsidRDefault="00163957" w:rsidP="00163957">
      <w:pPr>
        <w:pStyle w:val="TextoNormal"/>
      </w:pPr>
    </w:p>
    <w:p w:rsidR="00163957" w:rsidRDefault="00163957" w:rsidP="00163957">
      <w:pPr>
        <w:pStyle w:val="TextoNormal"/>
      </w:pPr>
      <w:r>
        <w:t xml:space="preserve">El art. 7 de la Ley autonómica, regulador de los principios de coordinación y cooperación en materia de implantación de infraestructuras de telecomunicaciones y despliegue de redes públicas de comunicaciones electrónicas a efectos de su planificación y uso, se impugna por la vulneración de la competencia estatal en materia de telecomunicaciones cuando, subraya el Letrado, los requerimientos de información a los operadores no se establecen en ejercicio de una supuesta competencia en materia de telecomunicaciones sino para posibilitar el desarrollo de las competencias autonómicas que se mencionan a lo largo de la ley, no de forma </w:t>
      </w:r>
      <w:r>
        <w:lastRenderedPageBreak/>
        <w:t>baladí o estéril, sino para dejar meridianamente claro que esos actos de ejercicio competencial son subsumibles en dichos materias. Se trata de especificar las necesidades de suelo para la implantación de los servicios que se pretenden prestar, cuya finalidad es la aplicación de las competencias sobre ordenación del territorio y urbanismo, reenviándose al reglamento la determinación de esa concreta información y siendo conciliable el ejercicio títulos competenciales autonómicos y estatales sobre un mismo territorio (STC 36/1994).</w:t>
      </w:r>
    </w:p>
    <w:p w:rsidR="00163957" w:rsidRDefault="00163957" w:rsidP="00163957">
      <w:pPr>
        <w:pStyle w:val="TextoNormal"/>
      </w:pPr>
    </w:p>
    <w:p w:rsidR="00163957" w:rsidRDefault="00163957" w:rsidP="00163957">
      <w:pPr>
        <w:pStyle w:val="TextoNormal"/>
      </w:pPr>
      <w:r>
        <w:t>Sobre la impugnación del art. 8 de la Ley 3/2013, regulador del principio de neutralidad tecnológica, alega el Letrado que el citado precepto permite la intervención pública (imponiendo el uso de una tecnología) cuando, por razones debidamente justificadas y dentro del marco regulador de las telecomunicaciones, ello sea necesario para la consecución de objetivos de interés general. No se vulnera el principio de neutralidad tecnológica cuando se establecen restricciones proporcionadas y no discriminatorias, tal como posibilita la nueva redacción de la Directiva 2009/140/CE. En este caso, se trata de asegurar la cobertura de toda la comunidad autónoma en aquellas zonas en que la demanda esté insuficientemente atendida, obligación que se proyecta sobre el sector público autonómico y local pero no sobre los privados.</w:t>
      </w:r>
    </w:p>
    <w:p w:rsidR="00163957" w:rsidRDefault="00163957" w:rsidP="00163957">
      <w:pPr>
        <w:pStyle w:val="TextoNormal"/>
      </w:pPr>
    </w:p>
    <w:p w:rsidR="00163957" w:rsidRDefault="00163957" w:rsidP="00163957">
      <w:pPr>
        <w:pStyle w:val="TextoNormal"/>
      </w:pPr>
      <w:r>
        <w:t>En lo concerniente a la contestación por parte del Abogado del Estado del artículo 12, apartados 2, 3 y 4 (principio de sostenibilidad ambiental), sostiene el Letrado del Parlamento autonómico que la alusión a la utilización, “en la medida de lo posible”, de la “mejor tecnología disponible” no supone la imposición de una tecnología determinada manteniendo, por tanto, la libertad de elección de los operadores. Tampoco la disposición de que los proyectos de ejecución de las infraestructuras recojan la solución constructiva o de ejecución más eficiente desde el punto de vista ambiental o paisajístico supone una vulneración del principio de neutralidad tecnológica como se pretende en el recuso pues sólo se obliga a que, entre las diversas opciones existentes, se adopte aquélla que cumpla con el principio de sostenibilidad ambiental.</w:t>
      </w:r>
    </w:p>
    <w:p w:rsidR="00163957" w:rsidRDefault="00163957" w:rsidP="00163957">
      <w:pPr>
        <w:pStyle w:val="TextoNormal"/>
      </w:pPr>
    </w:p>
    <w:p w:rsidR="00163957" w:rsidRDefault="00163957" w:rsidP="00163957">
      <w:pPr>
        <w:pStyle w:val="TextoNormal"/>
      </w:pPr>
      <w:r>
        <w:t>La desestimación de la impugnación del art. 13 de la Ley 3/2013, aduce el Letrado autonómico, sólo tiene que atender a su tenor literal pues alude a “las instalaciones susceptibles de afectar a las infraestructuras de telecomunicaciones o a la prestación de los servicios de comunicaciones electrónicas” y, por tanto, no regula el procedimiento de autorización y despliegue de infraestructuras de telecomunicaciones sino otro tipo de instalaciones, como puedan ser los parques eólicos.</w:t>
      </w:r>
    </w:p>
    <w:p w:rsidR="00163957" w:rsidRDefault="00163957" w:rsidP="00163957">
      <w:pPr>
        <w:pStyle w:val="TextoNormal"/>
      </w:pPr>
    </w:p>
    <w:p w:rsidR="00163957" w:rsidRDefault="00163957" w:rsidP="00163957">
      <w:pPr>
        <w:pStyle w:val="TextoNormal"/>
      </w:pPr>
      <w:r>
        <w:t xml:space="preserve">Continúa argumentando el Letrado del Parlamento autonómico, ya en relación a los criterios de planificación y ordenación territorial de las telecomunicaciones establecidos en el artículo 14.1 a), b), c) y 2 de la Ley 3/2013, que las razones que justifican la intervención de los poderes públicos de Galicia vienen determinadas en la normativa sectorial correspondiente: esto es, la minimización de impactos visuales, ambientales y paisajísticos sin afectar ni a la libertad de despliegue de redes ni a la fijación de un servicio universal, teniendo por objeto tal planificación la ordenación territorial. En la misma línea, y en cuanto a algunas de las previsiones del contenido mínimo de los planes sectoriales de infraestructuras de telecomunicaciones en Galicia contenidas en el art. 15.2 a), b), d,) f), g), h) y 15.3 de la Ley gallega se reitera que la Directiva 2009/140/CE justifica la intervención de las Administraciones territoriales en el despliegue de infraestructuras y redes de telecomunicaciones por </w:t>
      </w:r>
      <w:r>
        <w:lastRenderedPageBreak/>
        <w:t>razones de protección del medio ambiente y salud pública, remitiendo a anteriores alegaciones en lo relativo a la neutralidad tecnológica y la coubicación. Respecto del art. 17 de la ley 3/2013, también impugnado en sus dos apartados, afirma el Letrado que dicho precepto define el contenido mínimo del uso instrumentos de planeamiento urbanístico que inciden en las infraestructuras de telecomunicaciones y de redes de comunicación, una vez aprobado el Plan sectorial y en el marco general de las competencias de la Comunidad gallega en materias de urbanismo y ordenación del territorio. Y con idénticos argumentos y remisiones se rechaza la impugnación del art. 18 y 19.2 a) y b); disposición adicional primera y disposición transitoria primera de la ley autonómica.</w:t>
      </w:r>
    </w:p>
    <w:p w:rsidR="00163957" w:rsidRDefault="00163957" w:rsidP="00163957">
      <w:pPr>
        <w:pStyle w:val="TextoNormal"/>
      </w:pPr>
    </w:p>
    <w:p w:rsidR="00163957" w:rsidRDefault="00163957" w:rsidP="00163957">
      <w:pPr>
        <w:pStyle w:val="TextoNormal"/>
      </w:pPr>
      <w:r>
        <w:t>En cuanto a la impugnación del título V de la Ley autonómica, regulador del régimen sancionador establecido para el caso de que se incumplan las disposiciones de la ley, concluye sus alegaciones el Letrado señalando que se trata de una competencia instrumental de las competencias autonómicas en materia de ordenación urbanística (control e inspección periódico de instalaciones) y de ordenación urbanística y protección del medio rural de Galicia tal como se señala en el art. 21 y 22.3 de la Ley 3/2013.</w:t>
      </w:r>
    </w:p>
    <w:p w:rsidR="00163957" w:rsidRDefault="00163957" w:rsidP="00163957">
      <w:pPr>
        <w:pStyle w:val="TextoNormal"/>
      </w:pPr>
    </w:p>
    <w:p w:rsidR="00163957" w:rsidRDefault="00163957" w:rsidP="00163957">
      <w:pPr>
        <w:pStyle w:val="TextoNormal"/>
      </w:pPr>
      <w:r w:rsidRPr="00163957">
        <w:rPr>
          <w:rStyle w:val="NumeroAFNegritaCaracter"/>
        </w:rPr>
        <w:t>7</w:t>
      </w:r>
      <w:r>
        <w:t>. En fecha de 21 de mayo de 2014 tuvo entrada en el Registro General de este Tribunal el escrito de alegaciones del Letrado de la Xunta cuyo contenido se inicia con una crítica a la estructura formal del recurso del recurso de inconstitucional promovido por el Presidente del Gobierno, recordando que, para un recurso similar del Estado, el Tribunal constitucional señaló (STC 8/2012) que “la carga argumentar en torno a la inconstitucionalidad del precepto corresponda la parte que lo impugna y que la presunción de constitucionalidad de las normas con rango de ley no puede desvirtuarse sin un mínimo de argumentación, no siendo suficientes impugnaciones globales que no se apoyan en motivos suficientemente razonados (STC 43/1996, de 14 de marzo, FJ 5)”.</w:t>
      </w:r>
    </w:p>
    <w:p w:rsidR="00163957" w:rsidRDefault="00163957" w:rsidP="00163957">
      <w:pPr>
        <w:pStyle w:val="TextoNormal"/>
      </w:pPr>
    </w:p>
    <w:p w:rsidR="00163957" w:rsidRDefault="00163957" w:rsidP="00163957">
      <w:pPr>
        <w:pStyle w:val="TextoNormal"/>
      </w:pPr>
      <w:r>
        <w:t>A continuación, el Letrado de la Xunta resume la doctrina constitucional sobre el contenido del título competencial consagrado en el art. 149.1.21 CE subrayando que en materia de telecomunicaciones la competencia exclusiva del Estado se ciñe a la regulación y gestión del dominio público radioeléctrico, debiendo ser la misma interpretada restrictivamente (SSTC 168/1993 y 31/2010). Existen, se señala, dos vertientes en la regulación de la materia de telecomunicaciones: la relativa a la gestión y regulación del dominio público radioeléctrico (exclusiva del Estado) y la relativa a la ordenación territorial, urbanística y ambiental del despliegue de redes de telecomunicaciones (materia sobre la que las Comunidades Autónomas tienen indiscutibles competencias). Se invoca, en este sentido, la STC 8/2012, de 18 de enero, que, con ocasión del recurso de inconstitucionalidad promovido por el Gobierno contra la Ley 8/2001, de 28 de junio, de Castilla-La Mancha para la ordenación de las instalaciones de radiocomunicación delimita claramente las competencias estatal y autonómica concernidas cuando se produce una coexistencia sobre un mismo espacio físico pero tienen distinto objeto jurídico.</w:t>
      </w:r>
    </w:p>
    <w:p w:rsidR="00163957" w:rsidRDefault="00163957" w:rsidP="00163957">
      <w:pPr>
        <w:pStyle w:val="TextoNormal"/>
      </w:pPr>
    </w:p>
    <w:p w:rsidR="00163957" w:rsidRDefault="00163957" w:rsidP="00163957">
      <w:pPr>
        <w:pStyle w:val="TextoNormal"/>
      </w:pPr>
      <w:r>
        <w:t xml:space="preserve">Desde la perspectiva anterior, se adelanta, la Comunidad Autónoma de Galicia puede asumir competencias en relación con las infraestructuras de telecomunicaciones si se ponen en conexión con el fomento del desarrollo económico de Galicia dentro de los objetivos fijados por la política económica general (art. 30.1.1 EAG), la ordenación del territorio, urbanismo y vivienda (art. 27.3 EAG), sanidad e higiene y protección del medio ambiente </w:t>
      </w:r>
      <w:r>
        <w:lastRenderedPageBreak/>
        <w:t>(art. 27.30 EAG); competencias, todas ellas, en las que se sustenta (con excepción de la de sanidad e higiene) la ley autonómica que ahora se impugna.</w:t>
      </w:r>
    </w:p>
    <w:p w:rsidR="00163957" w:rsidRDefault="00163957" w:rsidP="00163957">
      <w:pPr>
        <w:pStyle w:val="TextoNormal"/>
      </w:pPr>
    </w:p>
    <w:p w:rsidR="00163957" w:rsidRDefault="00163957" w:rsidP="00163957">
      <w:pPr>
        <w:pStyle w:val="TextoNormal"/>
      </w:pPr>
      <w:r>
        <w:t>Continúa el Letrado de la Xunta con unas disquisiciones previas sobre el alcance de las competencias autonómicas según doctrina constitucional y sobre la regulación contenida en la Ley general de telecomunicaciones de 2014 que, se advierte, no puede ser parámetro de constitucionalidad pero que, precisamente, da carta blanca a la regulación contenida en la Ley 3/2013, avalando la opción del legislador autonómico.</w:t>
      </w:r>
    </w:p>
    <w:p w:rsidR="00163957" w:rsidRDefault="00163957" w:rsidP="00163957">
      <w:pPr>
        <w:pStyle w:val="TextoNormal"/>
      </w:pPr>
    </w:p>
    <w:p w:rsidR="00163957" w:rsidRDefault="00163957" w:rsidP="00163957">
      <w:pPr>
        <w:pStyle w:val="TextoNormal"/>
      </w:pPr>
      <w:r>
        <w:t>A continuación rechaza las impugnaciones contenidas en el recurso siguiendo el bloque temático planteado por el Abogado del Estado:</w:t>
      </w:r>
    </w:p>
    <w:p w:rsidR="00163957" w:rsidRDefault="00163957" w:rsidP="00163957">
      <w:pPr>
        <w:pStyle w:val="TextoNormal"/>
      </w:pPr>
    </w:p>
    <w:p w:rsidR="00163957" w:rsidRDefault="00163957" w:rsidP="00163957">
      <w:pPr>
        <w:pStyle w:val="TextoNormal"/>
      </w:pPr>
      <w:r>
        <w:t>a) En relación a los preceptos que se refieren a la ordenación e impulso de infraestructuras señala el Letrado de la Xunta que la impugnación del art. 1 de la Ley 2/2013 en el que se determina que su objeto es el de regular el impulso y la ordenación de las infraestructuras de telecomunicaciones estableciendo las condiciones adecuadas para que su despliegue territorial se realice de forma ágil, ordenada, segura, eficiente y respetuosa con el medio ambiente se fundamenta, únicamente, en el hecho de que se menciona la palabra telecomunicaciones, obviando que lo que se regula son las instalaciones y su incidencia en el territorio de la Comunidad Autónoma de Galicia. La ley impugnada no pretende regular el sector de las telecomunicaciones como se sugiere en el recurso; de hecho, concluye en este punto el Letrado, preceptos similares se encuentran en otras normas autonómicas que no han sido impugnadas por el Estado (Ley canaria de ordenación territorial de las comunicaciones o Ley de instalaciones de radiocomunicación de Castilla-La Mancha), pecando la impugnación de este precepto de una excesiva generalidad.</w:t>
      </w:r>
    </w:p>
    <w:p w:rsidR="00163957" w:rsidRDefault="00163957" w:rsidP="00163957">
      <w:pPr>
        <w:pStyle w:val="TextoNormal"/>
      </w:pPr>
    </w:p>
    <w:p w:rsidR="00163957" w:rsidRDefault="00163957" w:rsidP="00163957">
      <w:pPr>
        <w:pStyle w:val="TextoNormal"/>
      </w:pPr>
      <w:r>
        <w:t>No puede negarse que las instalaciones de telecomunicaciones son elementos que afectan a la ordenación territorial, que pueden afectar al medio ambiente y al patrimonio cultural, así como que el Estado tiene limitadas sus competencias en la materia de telecomunicaciones al espectro radioeléctrico, tratándose de un título expansivo cuya interpretación debe ser restrictiva. La ordenación del territorio, se alega, no comprende sólo el urbanismo, sino la creación de las condiciones para que todos los ciudadanos, estén en ámbito rural o urbano, dispongan de unos servicios que permitan su desarrollo personal y profesional. Mediante la planificación se dota de seguridad jurídica al proceso, promoviendo el desarrollo comunitario (art. 27.14 EAG). Precisamente porque los servicios de telecomunicaciones son servicios de interés general, los poderes públicos han de tener la posibilidad de promover o impulsar el despliegue garantizando así la cohesión social, territorial y económica, tal como de hecho prevé la propia Ley general de telecomunicaciones en su artículo 34 con un mandato a las Administraciones públicas competentes en materia de planificación territorial y urbanística, como también la Ley estatal 45/2007, de desarrollo sostenible del medio rural (de carácter básico) cuyo art. 2.2 establece como objetivo de las Administraciones públicas el dotar al medio rural y a sus núcleos de población de las infraestructuras básicas, especialmente de telecomunicaciones y mejorar la extensión y la calidad de la cobertura de las telecomunicaciones [art. 26.2 a)]. Política de impulso que el propio Estado asume convocando anualmente ayudas al despliegue de redes de banda ancha a través de diversos instrumentos como el Plan de banda ancha, el plan avanza infraestructuras etc. o la firma de convenios con Comunidades Autónomas, entre ellas la gallega, para el impulso de las tecnologías de la información.</w:t>
      </w:r>
    </w:p>
    <w:p w:rsidR="00163957" w:rsidRDefault="00163957" w:rsidP="00163957">
      <w:pPr>
        <w:pStyle w:val="TextoNormal"/>
      </w:pPr>
    </w:p>
    <w:p w:rsidR="00163957" w:rsidRDefault="00163957" w:rsidP="00163957">
      <w:pPr>
        <w:pStyle w:val="TextoNormal"/>
      </w:pPr>
      <w:r>
        <w:t>En lo que concierne al art. 2 d) de la Ley 3/2013, señala el Letrado que la crítica del Estado se circunscribe a que la Comunidad Autónoma no puede garantizar la instalación de un nivel mínimo de infraestructuras, cuando, en realidad, el precepto se refiere a la garantía de la instalación de las infraestructuras mediante una ordenación coherente que asegure la protección del territorio y el ámbito paisajístico, sin que ello afecte a la libertad de los operadores que ha de entenderse sometida a la planificación territorial (art. 38 CE) para salvaguardar otros intereses públicos.</w:t>
      </w:r>
    </w:p>
    <w:p w:rsidR="00163957" w:rsidRDefault="00163957" w:rsidP="00163957">
      <w:pPr>
        <w:pStyle w:val="TextoNormal"/>
      </w:pPr>
    </w:p>
    <w:p w:rsidR="00163957" w:rsidRDefault="00163957" w:rsidP="00163957">
      <w:pPr>
        <w:pStyle w:val="TextoNormal"/>
      </w:pPr>
      <w:r>
        <w:t>b) La impugnación de los preceptos relativos a la promoción y planificación de infraestructuras se basa en la pretendida vulneración de la proclamación de los servicios de telecomunicaciones como servicios de interés general (no públicos) sometidos al principio de libre competencia según la Ley general de telecomunicaciones; consideración, ésta, que no tiene en cuenta, según argumenta el Letrado de la Xunta, que tal declaración no es incompatible con la existencia de un sector público autonómico que intervenga en el despliegue de infraestructuras. Precisamente la caracterización del sector de las telecomunicaciones como servicio de interés general es lo que avala la intervención de los poderes públicos allí donde el mercado no quiere o no puede actuar. La promoción del despliegue de infraestructuras de soporte y la autorización al sector público para “llevar a cabo la ejecución de la totalidad de la red” cuya explotación realizará un operador previo procedimiento de concurrencia competitiva previsto en el art. 5.3 de la Ley gallega, se configura (como deriva claramente de una interpretación contextualizada de los dos primeros apartados del precepto no impugnados) como una intervención pública residual y subsidiaria que, por tanto, no “rompe” el mercado como se pretende en el recurso. Se trata, además, de previsiones dirigidas al sector público autonómico que no se aplican a la actuación de los operadores privados y que concuerdan plenamente no sólo con las intervenciones previstas en las Directrices de la Unión Europea para la aplicación de las normas sobre ayudas estatales al despliegue rápido de redes de banda ancha (Comunicación de la Comisión 2013/C 21/UE) sino con la propia actuación del Estado que prevé este tipo de actuaciones en el Convenio firmado con la Comunidad Autónoma de Galicia para el desarrollo del programa de infraestructuras de telecomunicaciones en el ámbito del plan Avanza, o la propia postura de la Secretaría de Estado de Telecomunicaciones y Sociedad de la Información que prevé la posibilidad de que las Administraciones se conviertan en operadores de comunicaciones electrónicas cuando esta iniciativa pública responde, efectivamente, a un interés público y no existen otras alternativas menos costosas. Además, el apartado 3 del artículo 5 debe leerse en interpretación conjunta con el resto de apartados del precepto en los que se establecen diversas cautelas para garantizar que no se altere el mercado; especialmente el respeto a los principios de neutralidad, transparencia, igualdad y no discriminación. Se pone de manifiesto, por último, que la propia ley estatal recoge con naturalidad este tipo de previsiones en su art. 9 relativo a la instalación y explotación de redes públicas.</w:t>
      </w:r>
    </w:p>
    <w:p w:rsidR="00163957" w:rsidRDefault="00163957" w:rsidP="00163957">
      <w:pPr>
        <w:pStyle w:val="TextoNormal"/>
      </w:pPr>
    </w:p>
    <w:p w:rsidR="00163957" w:rsidRDefault="00163957" w:rsidP="00163957">
      <w:pPr>
        <w:pStyle w:val="TextoNormal"/>
      </w:pPr>
      <w:r>
        <w:t>Como corolario de lo anterior el art. 5.5 de la ley autonómica contempla que los precios que abonarán los usuarios que accedan a las redes de titularidad pública serán precios de mercado —salvo las excepciones que puedan recogerse en el marco general de telecomunicaciones (remisión, por tanto, al marco estatal)— para garantizar que no se produzca una competencia desleal con la iniciativa privada.</w:t>
      </w:r>
    </w:p>
    <w:p w:rsidR="00163957" w:rsidRDefault="00163957" w:rsidP="00163957">
      <w:pPr>
        <w:pStyle w:val="TextoNormal"/>
      </w:pPr>
    </w:p>
    <w:p w:rsidR="00163957" w:rsidRDefault="00163957" w:rsidP="00163957">
      <w:pPr>
        <w:pStyle w:val="TextoNormal"/>
      </w:pPr>
      <w:r>
        <w:lastRenderedPageBreak/>
        <w:t>En lo concerniente a los preceptos de la Ley 13/2013 relativos a planificación de infraestructuras, señala el Letrado de la Xunta que el recuso obvia la neta diferenciación establecida en la STC 8/2012 (FJ 8) entre la competencia autonómica para la planificación territorial y la planificación estatal en materia de telecomunicaciones (referida a la asignación de usos, bandas y frecuencias del espectro radioeléctrico, y en definitiva de numeración), que sí se recoge en los arts. 34, 35 y 36 de la Ley general de telecomunicaciones de 2014.</w:t>
      </w:r>
    </w:p>
    <w:p w:rsidR="00163957" w:rsidRDefault="00163957" w:rsidP="00163957">
      <w:pPr>
        <w:pStyle w:val="TextoNormal"/>
      </w:pPr>
    </w:p>
    <w:p w:rsidR="00163957" w:rsidRDefault="00163957" w:rsidP="00163957">
      <w:pPr>
        <w:pStyle w:val="TextoNormal"/>
      </w:pPr>
      <w:r>
        <w:t>La impugnación del art. 7.2 de la Ley 3/2013 no tiene en cuenta que el deber de facilitar determinada información a la Agencia para la Modernización Tecnológica de Galicia que recae sobre los titulares de infraestructuras de telecomunicaciones y de operadores de redes y servicios públicos o privados tiene como finalidad la de poder llevar a cabo la ordenación territorial y urbanística de las infraestructuras de telecomunicaciones de Galicia. Se trata de información dirigida a la elaboración de un inventario de las infraestructuras y redes [apartado a) del precepto] y de los planes de despliegue e implantación en los que se especifiquen las necesidades de suelo para la implantación de los servicios que se pretenden prestar [apartado b) del precepto]. Un precepto similar en la Ley de Castilla-La Mancha fue avalado por el Tribunal Constitucional en su STC 8/2012, teniendo en cuenta que se trata de una información necesaria al efecto del ejercicio de las competencias en materia de ordenación del territorio, urbanismo y medio ambiente de la Comunidad Autónoma, en orden a compatibilizar las previsiones de nuevas instalaciones con la normativa sectorial que haya dictado en ejercicio de sus competencias.</w:t>
      </w:r>
    </w:p>
    <w:p w:rsidR="00163957" w:rsidRDefault="00163957" w:rsidP="00163957">
      <w:pPr>
        <w:pStyle w:val="TextoNormal"/>
      </w:pPr>
    </w:p>
    <w:p w:rsidR="00163957" w:rsidRDefault="00163957" w:rsidP="00163957">
      <w:pPr>
        <w:pStyle w:val="TextoNormal"/>
      </w:pPr>
      <w:r>
        <w:t>Tampoco tiene cabida la pretensión de total indeterminación de la información que se requiera para la elaboración de un inventario, puesto que es el complemento reglamentario el que fijará el alcance, las condiciones, la periodicidad y los límites de ese requerimiento de información en la línea de lo dispuesto en la Ley general de telecomunicaciones de 2014 (artículo 37.5).</w:t>
      </w:r>
    </w:p>
    <w:p w:rsidR="00163957" w:rsidRDefault="00163957" w:rsidP="00163957">
      <w:pPr>
        <w:pStyle w:val="TextoNormal"/>
      </w:pPr>
    </w:p>
    <w:p w:rsidR="00163957" w:rsidRDefault="00163957" w:rsidP="00163957">
      <w:pPr>
        <w:pStyle w:val="TextoNormal"/>
      </w:pPr>
      <w:r>
        <w:t>De otro lado, el art. 12.4 de la Ley 3/2013, también impugnado, sólo alude, argumenta el Abogado de la Xunta, a la dimensión ambiental y paisajística de la ejecución de las infraestructuras, estableciendo que los proyectos de ejecución “recogerán la solución constructiva o de ejecución más eficiente” desde el punto de vista del respeto al entorno (por ejemplo, se dice, el color adecuado en el pintado de una torre de telecomunicaciones o el adecuado tratamiento de residuos al ejecutar la canalización). El precepto no recoge ninguna consideración tecnológica o de servicios que pueda considerarse que invada las competencias estatales, a lo que debe añadirse que el apartado tercero del precepto remite a las previsiones del marco normativo general de telecomunicaciones. De hecho, subraya el Letrado de la Xunta, el art. 12.4 de la Ley 3/2013 es la previsión general de lo que luego se concreta en el art. 19.3 de la Ley gallega; precepto cuya impugnación fue rechazada en el Dictamen del Consejo de Estado al no apreciarse más que el ejercicio de competencias exclusivas autonómicas en relación a la protección del patrimonio cultural y la ordenación del territorio y que va en la línea de lo dispuesto en el art. 29.6 de la Ley general de telecomunicaciones.</w:t>
      </w:r>
    </w:p>
    <w:p w:rsidR="00163957" w:rsidRDefault="00163957" w:rsidP="00163957">
      <w:pPr>
        <w:pStyle w:val="TextoNormal"/>
      </w:pPr>
    </w:p>
    <w:p w:rsidR="00163957" w:rsidRDefault="00163957" w:rsidP="00163957">
      <w:pPr>
        <w:pStyle w:val="TextoNormal"/>
      </w:pPr>
      <w:r>
        <w:t xml:space="preserve">Continúa su argumentación el Letrado de la Xunta en relación al art. 13 de la Ley gallega, también impugnado, que establecer la necesidad de que aquellas infraestructuras o instalaciones (que se especificarán reglamentariamente) susceptibles de afectar a la infraestructuras de telecomunicaciones o las redes de infraestructuras y servicios, deberán contar con informe favorable de la Agencia para la Modernización Tecnológica de Galicia “con el fin </w:t>
      </w:r>
      <w:r>
        <w:lastRenderedPageBreak/>
        <w:t>de preservar la cobertura y la calidad de la prestación de los servicios de comunicaciones electrónicas y de garantizar la compatibilidad de las infraestructuras”. Se trata, en definitiva, subraya el Letrado, de contribuir a que las infraestructuras de telecomunicaciones y de comunicaciones electrónicas no se vean afectadas por la instalación de otro tipo de infraestructuras, como puedan ser, por ejemplo, los parques eólicos. Se establece además un plazo de resolución breve, de dos meses, y el carácter positivo del silencio administrativo.</w:t>
      </w:r>
    </w:p>
    <w:p w:rsidR="00163957" w:rsidRDefault="00163957" w:rsidP="00163957">
      <w:pPr>
        <w:pStyle w:val="TextoNormal"/>
      </w:pPr>
    </w:p>
    <w:p w:rsidR="00163957" w:rsidRDefault="00163957" w:rsidP="00163957">
      <w:pPr>
        <w:pStyle w:val="TextoNormal"/>
      </w:pPr>
      <w:r>
        <w:t>En lo concerniente a la previsión contenida en el art. 14.1 a) de la Ley 13/2013 relativa a que la planificación y la ordenación territorial de las telecomunicaciones se realizará asegurando la extensión de tales redes “en todo el territorio de la Comunidad Autónoma, en especial en el ámbito rural y en las áreas más aisladas”, sostiene el Letrado de la Xunta que tal precepto debe interpretarse, no como una interferencia en competencias ajenas, sino como la voluntad de eliminar escollos desde la perspectiva de la ordenación territorial. No se trata, además, de una innovación normativa pues tal previsión se encuentra en otras normas autonómicas que no han sido impugnadas por el Estado y se sitúa en la línea de lo dispuesto en el art. 34.3 de la Ley general de telecomunicaciones (“la normativa autonómica incluirá las previsiones necesarias para facilitar el despliegue de infraestructuras de redes en su territorio garantizando la libre competencia y la disponibilidad de una oferta suficiente”). En relación al segundo apartado del art. 14 de la ley autonómica, señala el Letrado que el resultado de la planificación y de la ordenación del territorio se plasmará en un plan sectorial de infraestructuras de telecomunicaciones, para garantizar ese despliegue ordenado, coherente y eficiente; instrumento normativo ya previsto en la Ley 10/1995, de 23 de noviembre, de ordenación del territorio de Galicia en ejercicio de competencias autonómicas.</w:t>
      </w:r>
    </w:p>
    <w:p w:rsidR="00163957" w:rsidRDefault="00163957" w:rsidP="00163957">
      <w:pPr>
        <w:pStyle w:val="TextoNormal"/>
      </w:pPr>
    </w:p>
    <w:p w:rsidR="00163957" w:rsidRDefault="00163957" w:rsidP="00163957">
      <w:pPr>
        <w:pStyle w:val="TextoNormal"/>
      </w:pPr>
      <w:r>
        <w:t>A continuación se centra el Abogado de la Xunta en el art. 15 de la ley autonómica que prevé un contenido mínimo del plan sectorial de infraestructuras de telecomunicaciones, del que se impugnan los apartados a), b), d) y h), sin cuestionarse en el recurso ni la misma existencia del plan sectorial ni las directrices contenidas en los apartados c) y e). Los apartados impugnados son, sin embargo, contenido oportuno de estos planes sectoriales. Así, el apartado a) se refiere a la inclusión de los objetivos y principios de esa planificación y ordenación del territorio en materia de infraestructuras; el apartado b) se refiere a la inclusión de medidas y políticas de carácter territorial para fomentar el desarrollo de las infraestructuras sin colisionar con ninguna competencia estatal; el apartado d) se refiere a criterios para la minimización del impacto visual, ambiental y paisajístico lo que constituye competencia autonómica estableciendo criterios homogéneos y públicos para todos los operadores (avalado por la STC 8/2012) y el apartado h) se refiere a la inclusión de un catálogo de infraestructuras de telecomunicaciones que tendrán que tener en cuenta los planificadores urbanísticos, constituyendo por tanto el ejercicio de una competencia urbanística.</w:t>
      </w:r>
    </w:p>
    <w:p w:rsidR="00163957" w:rsidRDefault="00163957" w:rsidP="00163957">
      <w:pPr>
        <w:pStyle w:val="TextoNormal"/>
      </w:pPr>
    </w:p>
    <w:p w:rsidR="00163957" w:rsidRDefault="00163957" w:rsidP="00163957">
      <w:pPr>
        <w:pStyle w:val="TextoNormal"/>
      </w:pPr>
      <w:r>
        <w:t xml:space="preserve">En lo que concierne a la impugnación del art. 17.1 y 2 de la Ley 2/2013, se subraya por el Letrado de la Xunta que se trata de una regulación de índole exclusivamente urbanística, estableciéndose que los planes urbanísticos contengan la ordenación de los equipos y dotaciones de telecomunicaciones, la definición y ampliación de infraestructuras para soportar las necesidades actuales de servicio o la eliminación o actualización de instalaciones obsoletas. Se trata de compatibilizar la ordenación del uso del suelo con la instalación de infraestructuras de telecomunicaciones favoreciendo su ampliación, en caso de ser necesario y en la línea de lo ya apuntado en la STC 8/2012 sobre la competencia autonómica en materia </w:t>
      </w:r>
      <w:r>
        <w:lastRenderedPageBreak/>
        <w:t>de urbanismo para imponer obligaciones genéricas de mantenimiento de las instalaciones en condiciones de seguridad, estabilidad y conservación. De otro lado, alega el Letrado de la Xunta que las obligaciones y criterios contenidos en el art. 17.2 de la Ley general de telecomunicaciones se dirigen a los planificadores urbanísticos quienes deberán incorporar tales criterios en los instrumentos urbanísticos que se redacten (léase, básicamente Ayuntamientos), y no a los operadores. Se trata, argumenta el Letrado, de garantizar que la planificación urbanística permita la implantación de un nivel de infraestructuras que aseguren que los servicios mínimos obligatorios fijados por la normativa estatal sean prestados en todo el territorio (apartado a). No se vulnera ninguna competencia estatal sino que se pretende facilitar su cumplimiento. El apartado b) se refiere a la incorporación de criterios de coordinación que faciliten el despliegue de redes (apertura solidaria de vía pública, por ejemplo). Los apartados c) y el d) se refieren a la garantía de la existencia, disponibilidad y fiabilidad de infraestructuras e instalaciones a efectos de dar soporte a los servicios públicos y resultar suficientes en las nuevas edificaciones, por ejemplo para conectar nuevos edificios públicos o educativos con la vía pública mediante canalizaciones como se hace respecto de otros servicios esenciales como agua, luz o saneamiento. El apartado e) se refiere a la integración en el ámbito urbanístico y territorial de modo que se produzca el mínimo impacto visual y ambiental y el apartado f) se refiere a la incorporación de una ordenación coherente con las necesidades sociales, culturales y económicas procurando un despliegue ordenado, lo que constituye el ejercicio de competencias autonómicas. Por último, el apartado g) no pretende establecer itinerarios concretos para las redes de comunicaciones electrónicas sino evitar, a través del planeamiento, restricciones que fuercen a los operadores a realizar complejos trazados y su consecuente sobrecoste.</w:t>
      </w:r>
    </w:p>
    <w:p w:rsidR="00163957" w:rsidRDefault="00163957" w:rsidP="00163957">
      <w:pPr>
        <w:pStyle w:val="TextoNormal"/>
      </w:pPr>
    </w:p>
    <w:p w:rsidR="00163957" w:rsidRDefault="00163957" w:rsidP="00163957">
      <w:pPr>
        <w:pStyle w:val="TextoNormal"/>
      </w:pPr>
      <w:r>
        <w:t>Respecto de la disposición adicional primera, que permite a la Administración general y al resto del sector público autonómico la formulación de instrumentos de ordenación territorial específicos (especialmente en el despliegue de banda ancha), argumenta el Letrado que se trata de una previsión dirigida a la administración autonómica y sus organismos dependientes que se enmarca en las competencias de ordenación territorial.</w:t>
      </w:r>
    </w:p>
    <w:p w:rsidR="00163957" w:rsidRDefault="00163957" w:rsidP="00163957">
      <w:pPr>
        <w:pStyle w:val="TextoNormal"/>
      </w:pPr>
    </w:p>
    <w:p w:rsidR="00163957" w:rsidRDefault="00163957" w:rsidP="00163957">
      <w:pPr>
        <w:pStyle w:val="TextoNormal"/>
      </w:pPr>
      <w:r>
        <w:t>c) Desde la perspectiva del servicio público se pregunta el Letrado de la Xunta cómo es posible que se tachen de inconstitucionales las previsiones de la Ley gallega donde se recoge el derecho de todos los ciudadanos a un servicio de telecomunicaciones de calidad, reiterando las directrices de la Ley estatal (cuya ausencia precisamente había sido objeto de crítica por el Abogado del Estado en la impugnación de la Ley de Castilla-La Mancha). En este sentido, se continúa argumentando, la STC 8/2012 toma como dato relevante de la constitucionalidad del precepto impugnado la confluencia de la norma autonómica en un objetivo de la Ley estatal.</w:t>
      </w:r>
    </w:p>
    <w:p w:rsidR="00163957" w:rsidRDefault="00163957" w:rsidP="00163957">
      <w:pPr>
        <w:pStyle w:val="TextoNormal"/>
      </w:pPr>
    </w:p>
    <w:p w:rsidR="00163957" w:rsidRDefault="00163957" w:rsidP="00163957">
      <w:pPr>
        <w:pStyle w:val="TextoNormal"/>
      </w:pPr>
      <w:r>
        <w:t xml:space="preserve">No hay precepto, se dice, que obligue a los operadores a prestar servicios adicionales o a cubrir zonas “que no son de su querencia”, sino las condiciones territoriales para que esto sea posible. Se pretende la garantía de acceso a los servicios de telecomunicaciones y a un determinado nivel de calidad a través del establecimiento del marco legal que facilite el despliegue de tales infraestructuras. Se trata, como manifestó el Consejo de Estado en su dictamen respecto del artículo 4 cuya impugnación rechazó, del desarrollo de políticas tendentes a garantizar la cobertura universal que, añade el Letrado, se encuentran presentes en otras normas autonómicas que no han sido impugnadas (Ley 11/2009, de 15 de diciembre, reguladora de la ordenación territorial de las telecomunicaciones en Canarias, y Ley 3/2008 </w:t>
      </w:r>
      <w:r>
        <w:lastRenderedPageBreak/>
        <w:t>de Castilla y León, Ley 8/2001, de Castilla-la Mancha) y cumplen con lo previsto en el art. 34 de la Ley general de telecomunicaciones de 2014 según el cual la normativa que se elabore y afecte al despliegue de infraestructuras deberá contener las disposiciones precisas para impulsar o facilitar su despliegue. En la misma línea argumental se rechaza la impugnación del art. 14.1 b) de la Ley 3/2013 que incluye como criterio de la planificación de la ordenación territorial asegurar las condiciones adecuadas para posibilitar un acceso de calidad a estos servicios. Se trata, pues, de obligaciones impuestas al planificador, y no a los operadores, que permanecen, demás, en un nivel de principios, sin expresar que la definición de lo que haya de ser servicio público deba ser o vaya a ser autonómica.</w:t>
      </w:r>
    </w:p>
    <w:p w:rsidR="00163957" w:rsidRDefault="00163957" w:rsidP="00163957">
      <w:pPr>
        <w:pStyle w:val="TextoNormal"/>
      </w:pPr>
    </w:p>
    <w:p w:rsidR="00163957" w:rsidRDefault="00163957" w:rsidP="00163957">
      <w:pPr>
        <w:pStyle w:val="TextoNormal"/>
      </w:pPr>
      <w:r>
        <w:t>La referencia del art. 15.2 h) de la Ley 3/2013 a la inclusión de un catálogo de infraestructuras necesarias para la prestación de los servicios mínimos obligatorios de telecomunicaciones —previsión que ha de leerse conjuntamente con la del art. 18 de la Ley autonómica que prevé la adaptación del referido catálogo a las necesidades sociales, económicas y culturales de cada municipio a través de los instrumentos de planeamiento urbanístico— es de índole puramente urbanística y su finalidad es la tener en cuenta en el planeamiento urbanístico las infraestructuras de telecomunicaciones para, precisamente, facilitar su implantación mediante una ordenación de los usos del suelo compatible con la instalación. Todas las referencias contenidas en la Ley a servicios mínimos han de entenderse como aquéllos que fije el Estado en su legislación sectorial. Insiste el Letrado de la Xunta que se trata de obligaciones o procedimientos dirigidos al planificador y no a los operadores en el mercado.</w:t>
      </w:r>
    </w:p>
    <w:p w:rsidR="00163957" w:rsidRDefault="00163957" w:rsidP="00163957">
      <w:pPr>
        <w:pStyle w:val="TextoNormal"/>
      </w:pPr>
    </w:p>
    <w:p w:rsidR="00163957" w:rsidRDefault="00163957" w:rsidP="00163957">
      <w:pPr>
        <w:pStyle w:val="TextoNormal"/>
      </w:pPr>
      <w:r>
        <w:t>En relación con el apartado tercero del art. 15 de la Ley gallega según el cual el plan sectorial de infraestructuras establecerá las limitaciones, condiciones y requisitos tendentes a minimizar el impacto sobre el medio ambiente y el patrimonio cultural de la instalación de infraestructuras de telecomunicaciones en los bienes inmuebles declarados de interés cultural y en espacios naturales protegidos, señala el Letrado que el precepto desarrolla claramente competencias autonómicas en materia ambiental y de protección del paisaje, tal como quedó avalado en la STC 8/2012. De hecho, subraya el Abogado, en el recurso sólo se impugna el inciso “sin perjuicio de garantizar la prestación de los servicios mínimos obligatorios de telecomunicaciones”, cuando precisamente la ley autonómica incluye esta referencia para salvaguardar las determinaciones estatales y asegurar la no interferencia por parte de la legislación autonómica. La interpretación sostenida en el recurso de inconstitucional que pretende ver una reserva autonómica para definir servicios obligatorios mínimos no se corresponde con la realidad. En la misma línea, el principio contenido en el art. 19.2 a) de la Ley 3/2013 de instalar las infraestructuras de telecomunicaciones garantizando a la población de la Comunidad Autónoma un acceso a servicios de telecomunicación de calidad, no supone una reserva a la Comunidad Autónoma para definir lo que haya de ser ese servicio de calidad sino una referencia a los servicios mínimos cuya determinación realice el Estado en la legislación sectorial en orden a asegurar su posible implantación territorial —por tanto, desde una perspectiva urbanística, apoyando y protegiendo las condiciones que fijará el Estado cumpliendo el mandato del art. 34 de la Ley general de telecomunicaciones de 2014—.</w:t>
      </w:r>
    </w:p>
    <w:p w:rsidR="00163957" w:rsidRDefault="00163957" w:rsidP="00163957">
      <w:pPr>
        <w:pStyle w:val="TextoNormal"/>
      </w:pPr>
    </w:p>
    <w:p w:rsidR="00163957" w:rsidRDefault="00163957" w:rsidP="00163957">
      <w:pPr>
        <w:pStyle w:val="TextoNormal"/>
      </w:pPr>
      <w:r>
        <w:t xml:space="preserve">d) En lo relativo a los principios de acceso e interconexión, el Letrado de la Xunta muestra su desconcierto pues los tres preceptos impugnados recogen precisamente que los operadores tendrán acceso a las redes de titularidad autonómica; que los operadores que hayan sido beneficiarios de subvenciones tendrán la obligación de suministrar acceso a terceros </w:t>
      </w:r>
      <w:r>
        <w:lastRenderedPageBreak/>
        <w:t>sobre las infraestructuras subvencionadas y que el planificador asegurará la integración y la interconexión de las redes de telecomunicaciones a escala internacional, nacional, autonómica y local.</w:t>
      </w:r>
    </w:p>
    <w:p w:rsidR="00163957" w:rsidRDefault="00163957" w:rsidP="00163957">
      <w:pPr>
        <w:pStyle w:val="TextoNormal"/>
      </w:pPr>
    </w:p>
    <w:p w:rsidR="00163957" w:rsidRDefault="00163957" w:rsidP="00163957">
      <w:pPr>
        <w:pStyle w:val="TextoNormal"/>
      </w:pPr>
      <w:r>
        <w:t>Así, el art. 5.6 recoge un principio general de acceso de los operadores a redes de titularidad autonómica conforme a principios de neutralidad, transparencia, igualdad y no discriminación precisamente para no alterar el equilibrio del mercado y de forma similar a lo previsto en el art. 9.4 de la Ley general de telecomunicaciones y a lo dispuesto en su día en la Circular 1/2010 de la Comisión del Mercado de las Telecomunicaciones, que regula las condiciones de explotación de redes y prestación de servicios de comunicaciones electrónicas por las Administraciones públicas, aludiéndose a los principios de neutralidad, transparencia y no discriminación. Previsiones, en fin, que se adecúan también a las políticas seguidas en la Unión Europea para el despliegue de redes (construcción de una infraestructura de red pasiva propiedad pública con el fin de ponerla a disposición de los operadores de banda ancha mediante la concesión de acceso mayorista). A lo anterior se añade que el Consejo de Estado dictaminó (en relación al art. 10.2 que incorpora una previsión parecida) que “la previsión de la puesta a disposición de los operadores interesados de las infraestructuras y redes de comunicaciones por los órganos competentes en el ámbito de las Comunidades Autónomas y en relación con obras públicas de las Comunidades Autónomas no se considera contrario a la legislación estatal en la materia”.</w:t>
      </w:r>
    </w:p>
    <w:p w:rsidR="00163957" w:rsidRDefault="00163957" w:rsidP="00163957">
      <w:pPr>
        <w:pStyle w:val="TextoNormal"/>
      </w:pPr>
    </w:p>
    <w:p w:rsidR="00163957" w:rsidRDefault="00163957" w:rsidP="00163957">
      <w:pPr>
        <w:pStyle w:val="TextoNormal"/>
      </w:pPr>
      <w:r>
        <w:t>De otro lado, la imposición de la obligación de suministrar acceso a terceros prevista en el art. 5.7 de la Ley 2/2013 se impone sólo a aquéllos operadores que hayan optado por solicitar una ayuda pública y hayan resultado beneficiarios; ayudas al despliegue de redes de banda ancha que está prevista también a nivel europeo como obligación de las Administraciones —siguiendo, desde luego, un determinado procedimiento que incluye la comunicación a la Comisión Europea— y que, en cambio, el Letrado del Estado considera contrarias al libre mercado cuando él mismo las ha convocado de forma anual a través de instrumentos como el plan de extensión de banda ancha, el plan Avanza infraestructuras o el programa de extensión de la banda ancha de nueva generación, o cuando él mismo ha firmado un convenio con la Comunidad Autónoma de Galicia para el despliegue de infraestructuras en zonas no rentables y no cubiertas por operadores privados a través de medidas que incluyen la posibilidad de que la Comunidad Autónoma convoque ayudas. La convocatoria de ayudas se inscribe, además, como poder de gasto relacionado con la competencia autonómica de despliegue territorial de infraestructuras.</w:t>
      </w:r>
    </w:p>
    <w:p w:rsidR="00163957" w:rsidRDefault="00163957" w:rsidP="00163957">
      <w:pPr>
        <w:pStyle w:val="TextoNormal"/>
      </w:pPr>
    </w:p>
    <w:p w:rsidR="00163957" w:rsidRDefault="00163957" w:rsidP="00163957">
      <w:pPr>
        <w:pStyle w:val="TextoNormal"/>
      </w:pPr>
      <w:r>
        <w:t>Finalmente, descarta el Letrado de la Xunta la inconstitucionalidad del art. 14.1 c) de la ley autonómica que, en el marco de la planificación y ordenación territorial, establece como criterio a tener en cuenta la integración e interconexión de redes, formulado desde un plano general sin concreciones técnicas o relativas al dominio público radioeléctrico que no le corresponden y coadyuvando, por tanto, al cumplimiento de los objetivos estatales fijados en la Ley general de telecomunicaciones del 2014 (art. 34).</w:t>
      </w:r>
    </w:p>
    <w:p w:rsidR="00163957" w:rsidRDefault="00163957" w:rsidP="00163957">
      <w:pPr>
        <w:pStyle w:val="TextoNormal"/>
      </w:pPr>
    </w:p>
    <w:p w:rsidR="00163957" w:rsidRDefault="00163957" w:rsidP="00163957">
      <w:pPr>
        <w:pStyle w:val="TextoNormal"/>
      </w:pPr>
      <w:r>
        <w:t>e) Por lo que respecta a la coubicación de redes, subraya el Letrado de la Xunta que el Estado no cuestiona la competencia autonómica para imponer la compartición de infraestructuras —avalada, de hecho, por la STC 8/2012, FJ 9— sino la posibilidad de que pueda excepcionar esa obligatoriedad de uso compartido: excepción que, resulta evidente, sólo se produce cuando, tras obligarse a una compartición, ésta resulte inviable.</w:t>
      </w:r>
    </w:p>
    <w:p w:rsidR="00163957" w:rsidRDefault="00163957" w:rsidP="00163957">
      <w:pPr>
        <w:pStyle w:val="TextoNormal"/>
      </w:pPr>
    </w:p>
    <w:p w:rsidR="00163957" w:rsidRDefault="00163957" w:rsidP="00163957">
      <w:pPr>
        <w:pStyle w:val="TextoNormal"/>
      </w:pPr>
      <w:r>
        <w:t>De otro lado, se alega, no tiene sentido la impugnación del art. 15.2 g) de la Ley 3/2013 que establece como contenido mínimo del plan sectorial de infraestructuras, la determinación de los supuestos en los que procede el uso compartido obligatorio de infraestructuras de redes o de elementos de redes y recursos por razón del medio ambiente, pues supone el desarrollo del art. 6. 1 de la Ley no impugnado y constituye, de acuerdo con la doctrina constitucional mencionada, competencia autonómica que requiere de su previa planificación puesto que la coubicación se plasma en el territorio. Y en la misma línea el hecho de que la instalación de las infraestructuras se someta al principio de compartición de infraestructuras en los términos establecido en la planificación territorial y urbanística en nada afecta a la competencia del Estado y es competencia propia autonómica al relacionarse con la protección del medio ambiente, del paisaje y similares, tal como también ser reconoce en el art. 12 de la Directiva comunitaria 2009/140/CE.</w:t>
      </w:r>
    </w:p>
    <w:p w:rsidR="00163957" w:rsidRDefault="00163957" w:rsidP="00163957">
      <w:pPr>
        <w:pStyle w:val="TextoNormal"/>
      </w:pPr>
    </w:p>
    <w:p w:rsidR="00163957" w:rsidRDefault="00163957" w:rsidP="00163957">
      <w:pPr>
        <w:pStyle w:val="TextoNormal"/>
      </w:pPr>
      <w:r>
        <w:t>f) Desde la perspectiva del principio de neutralidad tecnológica, las previsiones contenidas en el art. 8 de la Ley 3/2013, señala el Letrado autonómico, se dirigen específicamente al sector público autonómico y local partiéndose del respeto y observancia, “en todo caso”, del mencionado principio que sólo podrá exceptuarse para la consecución del objetivo de cobertura de las zonas insuficientemente atendidas por el sector privado “de conformidad con el marco normativo general en materia de telecomunicaciones”. El segundo apartado del art. 8 de la ley, establece una autolimitación de la Administración general autonómica y del sector público autonómico en aras a garantizar objetivos establecidos en la ley estatal (interoperabilidad y conexión de servicios). Previsiones también contenidas en el Decreto 124/2011, de 17 de mayo que aprueba las directrices de ordenación territorial de las telecomunicaciones de Canarias.</w:t>
      </w:r>
    </w:p>
    <w:p w:rsidR="00163957" w:rsidRDefault="00163957" w:rsidP="00163957">
      <w:pPr>
        <w:pStyle w:val="TextoNormal"/>
      </w:pPr>
    </w:p>
    <w:p w:rsidR="00163957" w:rsidRDefault="00163957" w:rsidP="00163957">
      <w:pPr>
        <w:pStyle w:val="TextoNormal"/>
      </w:pPr>
      <w:r>
        <w:t>De otro lado, la referencia contenida en el art. 12.2 de la Ley 3/2013 a la utilización de la mejor tecnología disponible está referida a aquellas que sean mejores desde un punto de vista ambiental pero no desde el punto de vista de calidad de los servicios, tal como se recoge en el precepto que alude expresamente al respeto al medio ambiente y a la eficiencia desde un punto de vista energético, lo que además se aplicará de conformidad con la legislación estatal vigente (apartado 3 del precepto) por lo que difícilmente puede producirse colisión normativa con esta última. Se inscribe, por otra parte, en el contexto de la Ley general de telecomunicaciones de 2014, cuyos arts. 29 o 34 parten de la premisa de que la instalación de infraestructuras de telecomunicaciones puede tener impacto sobre el medio ambiente reconociendo las competencias autonómicas en este ámbito. Recuerda el Letrado de la Xunta que en la STC 8/2012 ya se advirtió que la obligación de actualización tecnológica para minimizar el impacto ambiental y visual de las instalaciones puede suponer la imposición de límites al derecho de ocupación del dominio público y de la propiedad privada que se reconoce a los operadores en la normativa estatal “siempre que sea necesario para preservar los intereses públicos que tiene encomendados, entre ellos medioambientales y paisajísticos”. En consonancia con lo anterior, el art. 15.2 f) de la Ley autonómica tampoco vulnera la legislación estatal pues se refiere a la inclusión en el plan sectorial de esos casos excepcionales en los que puede imponerse una determinada tecnología en el marco de la ordenación general de las telecomunicaciones.</w:t>
      </w:r>
    </w:p>
    <w:p w:rsidR="00163957" w:rsidRDefault="00163957" w:rsidP="00163957">
      <w:pPr>
        <w:pStyle w:val="TextoNormal"/>
      </w:pPr>
    </w:p>
    <w:p w:rsidR="00163957" w:rsidRDefault="00163957" w:rsidP="00163957">
      <w:pPr>
        <w:pStyle w:val="TextoNormal"/>
      </w:pPr>
      <w:r>
        <w:t xml:space="preserve">g) Por último, concluye sus alegaciones el Letrado de la Xunta, no debería ser acogida por incumplir la carga argumental en torno a la inconstitucionalidad del precepto que se </w:t>
      </w:r>
      <w:r>
        <w:lastRenderedPageBreak/>
        <w:t>exige a la parte que interpone el recurso pues, en este caso, se impugna todo un título con base en ideas generales, en diez renglones y mencionado únicamente un apartado de uno de los ocho artículos que lo integran (art. 23.3). De otro lado, afirma, el Estado no puede negar la competencia sancionadora de la Comunidad Autónoma en materia de despliegue territorial de infraestructuras (STC 8/2012, FJ 11) tal como se incluye en otras normas autonómicas similares (Canarias y Navarra) no impugnadas.</w:t>
      </w:r>
    </w:p>
    <w:p w:rsidR="00163957" w:rsidRDefault="00163957" w:rsidP="00163957">
      <w:pPr>
        <w:pStyle w:val="TextoNormal"/>
      </w:pPr>
    </w:p>
    <w:p w:rsidR="00163957" w:rsidRDefault="00163957" w:rsidP="00163957">
      <w:pPr>
        <w:pStyle w:val="TextoNormal"/>
      </w:pPr>
      <w:r w:rsidRPr="00163957">
        <w:rPr>
          <w:rStyle w:val="NumeroAFNegritaCaracter"/>
        </w:rPr>
        <w:t>8</w:t>
      </w:r>
      <w:r>
        <w:t>. El Pleno, por providencia de 22 de mayo de 2014, incorporó a los autos los escritos recibidos, otorgó un plazo de cinco días para oír a las partes personadas acerca de la suspensión de los preceptos objeto del recurso. Presentadas las correspondientes alegaciones del Abogado del Estado, el Letrado mayor del Parlamento de Galicia y el Letrado de la Xunta, el Pleno de Tribunal Constitucional acordó levantar la suspensión de los preceptos impugnados por Auto de 22 de julio de 2014, pues la mera existencia de dos regulaciones diferentes no justifica el mantenimiento de la suspensión si no se ponen de manifiesto qué perjuicios de imposible o difícil reparación pueden producirse por esa duplicidad normativa, o las concretas perturbaciones del mercado o perjuicios a los usuarios que pudieran producirse.</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19 de enero de 2016 se señaló para la deliberación y votación de la presente Sentencia el día 21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inconstitucionalidad se interpone por el Presidente del Gobierno frente a diversos preceptos de la Ley 3/2013, de 20 de mayo, de impulso y ordenación de las infraestructuras de telecomunicaciones de Galicia; en particular contra los preceptos: art. 1; art. 2.2, apartados b), c) y d); art. 5, apartados 3, 5, 6 y 7; art. 6.2; art. 7.2, art. 8; art. 12, apartados 2, 3 y 4; art. 13; art. 14.1, apartados a, b y c; art. 14.2; art. 15.2, apartados a), b), d), f), g) y h); art. 15.3; art. 17.1 y 2; art. 18, art. 19.2 a) y c), título V, disposición adicional primera y disposición transitoria primera.</w:t>
      </w:r>
    </w:p>
    <w:p w:rsidR="00163957" w:rsidRDefault="00163957" w:rsidP="00163957">
      <w:pPr>
        <w:pStyle w:val="TextoNormal"/>
      </w:pPr>
    </w:p>
    <w:p w:rsidR="00163957" w:rsidRDefault="00163957" w:rsidP="00163957">
      <w:pPr>
        <w:pStyle w:val="TextoNormal"/>
      </w:pPr>
      <w:r>
        <w:t>Como se ha visto con más detalle en los antecedentes de esta resolución, el Abogado del Estado, en representación del Presidente del Gobierno, considera que los preceptos impugnados son reflejo de una extralimitación competencial por parte del legislador autonómico, quien, en un pretendido ejercicio de competencias propias, invade o asume competencias en materia de telecomunicaciones, las cuales, según el art. 149.1.21 CE, corresponden en exclusiva al Estado. Por su parte, tanto el Letrado del Parlamento gallego como el Letrado de la Xunta señalan que la Ley autonómica impugnada responde al ejercicio de competencias autonómicas en materia de desarrollo económico de la Comunidad, así como en materia de ordenación del territorio, urbanismo, medio ambiente y protección del paisaje y del patrimonio cultural, sin que la convergencia de esas competencias autonómicas con la competencia estatal en materia de telecomunicaciones, o el mero hecho de utilizar de nomenclatura característica del sector, suponga que se esté regulando sustantivamente dicha materia.</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Derecho sobrevenido. Antes de iniciar el examen de los puntos controvertidos en este proceso constitucional, y como cuestión previa, es preciso referirse a la modificación del </w:t>
      </w:r>
      <w:r>
        <w:lastRenderedPageBreak/>
        <w:t>contexto normativo; pues, si bien el bloque de constitucionalidad stricto sensu (art. 149.1.21 CE y Estatuto de Autonomía de Galicia) conforme al cual debe realizarse el control de las normas que incurren en un posible exceso competencial (entre otras, STC 5/2012, de 17 de enero, FJ 3), no ha sufrido reforma alguna desde la interposición de este recurso hasta su resolución, sí se ha producido la modificación de la Ley general de telecomunicaciones, que es susceptible de ser considerada como un elemento de referencia que debe tomarse en consideración en este proceso. Así, el parámetro de constitucionalidad para dirimir la presente controversia competencial viene constituido, exclusivamente, por la regla de distribución competencial contenida en el art. 149.1.21 CE, en lo atinente a la materia de telecomunicaciones, pero esto no nos impide considerar, como elemento de análisis, la legislación aprobada por el Estado en ejercicio de esa competencia exclusiva, en su versión vigente en el momento del enjuiciamiento, en línea de semejanza con la doctrina que este Tribunal ha establecido en relación con el denominado ius superveniens [en este sentido, SSTC 47/2004, de 25 de marzo, FJ 7; y 8/2012, FJ 2 b)].</w:t>
      </w:r>
    </w:p>
    <w:p w:rsidR="00163957" w:rsidRDefault="00163957" w:rsidP="00163957">
      <w:pPr>
        <w:pStyle w:val="TextoNormal"/>
      </w:pPr>
    </w:p>
    <w:p w:rsidR="00163957" w:rsidRDefault="00163957" w:rsidP="00163957">
      <w:pPr>
        <w:pStyle w:val="TextoNormal"/>
      </w:pPr>
      <w:r>
        <w:t>Debe destacarse así que, con la finalidad de proceder a la trasposición de las Directivas comunitarias reguladoras del sector de las comunicaciones (Directiva Marco y Directivas específicas en materia de autorización, acceso, servicio universal e intimidad y protección de datos) modificadas por las Directivas 2009/136/CE y 2009/140/CE, el legislador estatal aprobó la Ley 9/2014, de 9 de mayo, general de telecomunicaciones que deroga la Ley 32/2003, general de telecomunicaciones y las disposiciones que pervivían de la Ley 11/1998, de 24 de abril, general de telecomunicaciones, vigentes en el momento de plantearse este recurso de inconstitucionalidad. La Ley estatal reproduce los objetivos básicos introducidos en la reforma de la normativa comunitaria: en particular, a) simplificar el acceso al mercado (legislar mejor) reduciendo las intervenciones ex ante a aquellas que resulten imprescindibles y sean proporcionales, b) redefinir y garantizar la prestación del servicio universal, c) flexibilizar la regulación del espectro radioeléctrico, d) atender a la convergencia de servicios y redes, e) profundizar en el desarrollo e implantación de las redes de nueva generación y f) reforzar la protección de los usuarios.</w:t>
      </w:r>
    </w:p>
    <w:p w:rsidR="00163957" w:rsidRDefault="00163957" w:rsidP="00163957">
      <w:pPr>
        <w:pStyle w:val="TextoNormal"/>
      </w:pPr>
    </w:p>
    <w:p w:rsidR="00163957" w:rsidRDefault="00163957" w:rsidP="00163957">
      <w:pPr>
        <w:pStyle w:val="TextoNormal"/>
      </w:pPr>
      <w:r>
        <w:t>En definitiva, en línea con la doctrina constitucional sobre el llamado ius superveniens [entre otras, SSTC 230/2015, de 5 de noviembre, FJ 3; 34/2014, de 27 de febrero, FJ 2 c), y 154/2015, de 9 de julio, FJ 2], en el presente proceso constitucional corresponde tomar en consideración la nueva Ley general de telecomunicaciones como un elemento añadido de análisis, a efectos ilustrativos o de referencia, reiterando, no obstante, que lo planteado en este recurso se refiere directamente al alcance de los respectivos títulos competenciales estatal y autonómico y, por tanto, a la verificación de si la Comunidad Autónoma, que invoca su competencia en materia de desarrollo económico, ordenación de territorio, urbanismo, medio ambiente y protección del paisaje y del patrimonio cultural, ha ejercido correctamente sus competencias. Resulta, en este sentido, indiscutible que, aunque las competencias autonómicas no pueden verse vaciadas de contenido, el Estado no puede verse privado del ejercicio de sus competencias por el mero hecho de la existencia de una competencia autonómica (SSTC 82/2012, de 18 de abril, FJ 4; y 154/2014, FJ 7) y que, por tanto, la Comunidad Autónoma de Galicia no puede ejercer su competencia en las materias citadas de modo que menoscabe o invada la competencia del Estado en materia de telecomunicaciones.</w:t>
      </w:r>
    </w:p>
    <w:p w:rsidR="00163957" w:rsidRDefault="00163957" w:rsidP="00163957">
      <w:pPr>
        <w:pStyle w:val="TextoNormal"/>
      </w:pPr>
    </w:p>
    <w:p w:rsidR="00163957" w:rsidRDefault="00163957" w:rsidP="00163957">
      <w:pPr>
        <w:pStyle w:val="TextoNormal"/>
      </w:pPr>
      <w:r>
        <w:t xml:space="preserve">Para finalizar este apartado de consideraciones previas, es preciso dejar constancia de que la Ley general de telecomunicaciones de 2014 ha sido, por su parte, objeto de un recurso </w:t>
      </w:r>
      <w:r>
        <w:lastRenderedPageBreak/>
        <w:t>de inconstitucionalidad promovido por el Gobierno de la Generalitat (recurso de inconstitucionalidad 709-2015) contra diversos preceptos de la misma. Esas impugnaciones, no obstante, no afectan al recurso de inconstitucionalidad que ahora se resuelve.</w:t>
      </w:r>
    </w:p>
    <w:p w:rsidR="00163957" w:rsidRDefault="00163957" w:rsidP="00163957">
      <w:pPr>
        <w:pStyle w:val="TextoNormal"/>
      </w:pPr>
    </w:p>
    <w:p w:rsidR="00163957" w:rsidRDefault="00163957" w:rsidP="00163957">
      <w:pPr>
        <w:pStyle w:val="TextoNormal"/>
      </w:pPr>
      <w:r w:rsidRPr="00163957">
        <w:rPr>
          <w:rStyle w:val="NumeroAFNegritaCaracter"/>
        </w:rPr>
        <w:t>3</w:t>
      </w:r>
      <w:r>
        <w:t>. Encuadramiento competencial. Tras las precisiones anteriores procede entrar en el fondo del recurso de inconstitucionalidad planteado efectuando el encuadramiento competencial de los preceptos controvertidos. La premisa de partida de nuestro análisis ha de ser, de un lado, la de la exclusividad de la competencia del Estado tanto en materia de telecomunicaciones stricto sensu como en materia de “régimen general de comunicaciones” establecida en el art. 149.1. 21 CE —con el contenido que seguidamente se verá— y, de otro lado, las competencias que el Estatuto de Autonomía para Galicia (EAG) le atribuye en materia de desarrollo económico autonómico (art. 30.1.1 EAG); ordenación del territorio y urbanismo (art. 27.3 EAG); medio ambiente (normas adicionales de protección según el art. 149.123 CE en relación con el art. 27.30 EAG) y regulación del patrimonio histórico, artístico, arquitectónico o arqueológico de interés de Galicia (art. 27.18 EAG).</w:t>
      </w:r>
    </w:p>
    <w:p w:rsidR="00163957" w:rsidRDefault="00163957" w:rsidP="00163957">
      <w:pPr>
        <w:pStyle w:val="TextoNormal"/>
      </w:pPr>
    </w:p>
    <w:p w:rsidR="00163957" w:rsidRDefault="00163957" w:rsidP="00163957">
      <w:pPr>
        <w:pStyle w:val="TextoNormal"/>
      </w:pPr>
      <w:r>
        <w:t>La cuestión, por tanto, reside en el correcto deslinde de los diversos títulos competenciales mencionados que, como se pone de manifiesto en la jurisprudencia constitucional (y como recuerdan todas las partes en sus alegatos) se entrecruzan, siendo necesario encontrar reglas que delimiten el legítimo ejercicio de cada una de ellas sin menoscabar ni vaciar el contenido de competencias ajenas, lo que puede resultar particularmente difícil en los casos en que, como el presente, convergen un título sectorial atribuido en exclusiva al Estado, como el de telecomunicaciones, con otros de carácter transversal u horizontal, de titularidad autonómica, como son la ordenación del territorio o el urbanismo. Esta operación debe realizarse atendiendo a la regulación concreta de cada uno de los preceptos autonómicos impugnados y a su contraposición o cotejo con el contenido que integra la competencia exclusiva en materia de telecomunicaciones según el art. 149.1.21 CE.</w:t>
      </w:r>
    </w:p>
    <w:p w:rsidR="00163957" w:rsidRDefault="00163957" w:rsidP="00163957">
      <w:pPr>
        <w:pStyle w:val="TextoNormal"/>
      </w:pPr>
    </w:p>
    <w:p w:rsidR="00163957" w:rsidRDefault="00163957" w:rsidP="00163957">
      <w:pPr>
        <w:pStyle w:val="TextoNormal"/>
      </w:pPr>
      <w:r>
        <w:t xml:space="preserve">Como este Tribunal ha declarado en numerosas ocasiones la competencia exclusiva del Estado en materia de telecomunicaciones según el art. 149.1.21 CE incluye, de un lado, la regulación de los aspectos técnicos de las comunicaciones —esta delimitación se ha realizado, en general, contraponiendo la regla competencial del art. 149.1.21 CE a la establecida en el art. 149.1.27 CE relativo a los medios de comunicación audiovisual, a la que este Tribunal se ha referido en numerosísimos pronunciamientos [SSTC 167/1993, de 7 de mayo (FJ 3); 168/1993, de 27 de mayo (FJ 4); 127/1994, de 5 de mayo (FJ 8); 31/2010, de 28 de junio (FJ 85); 5/2012, de 17 de enero (FJ 5); 8/2012, de 18 de enero (FJ 3), y 235/2012, de 13 de diciembre (FJ 6)]—. En suma, los aspectos atinentes a la regulación del soporte del cual se sirven la radio y la televisión (las ondas radioeléctricas, hertzianas o electromagnéticas) u otros usos del dominio público radioeléctrico se integran en el título de telecomunicaciones (entre otras, STC 72/2014, de 8 de mayo, FJ 3). De ahí se ha concluido que corresponde al Estado en exclusiva la ordenación de los aspectos técnicos del espectro radioeléctrico, como: a) la asignación de frecuencias y potencias para cada uno de sus diversos usos (en cumplimiento de la disciplina internacional al respecto, para evitar, en definitiva, la producción de interferencias perjudiciales para la comunicación); b) la regulación de la autorización para la tenencia y uso de equipos y aparatos radioeléctricos; c) la autorización de instalación y funcionamiento de una estación o red de estaciones radioeléctricas; y d) la </w:t>
      </w:r>
      <w:r>
        <w:lastRenderedPageBreak/>
        <w:t>aprobación de la planificación técnica de delimitación del espectro, así como su administración, gestión y control (inspección y comprobación técnica, incluyendo la evaluación de conformidad de aparatos), entre otros aspectos.</w:t>
      </w:r>
    </w:p>
    <w:p w:rsidR="00163957" w:rsidRDefault="00163957" w:rsidP="00163957">
      <w:pPr>
        <w:pStyle w:val="TextoNormal"/>
      </w:pPr>
    </w:p>
    <w:p w:rsidR="00163957" w:rsidRDefault="00163957" w:rsidP="00163957">
      <w:pPr>
        <w:pStyle w:val="TextoNormal"/>
      </w:pPr>
      <w:r>
        <w:t>Esta doctrina, extraída de los pronunciamientos de este Tribunal que, en su mayor parte, han recaído en el ámbito en el que se entrecruzan los medios de comunicación social [art. 20.1 a) y d) CE] y las telecomunicaciones, no agota el contenido de las competencias que, en esta última materia corresponden en exclusiva al Estado según el art. 149.1.21 CE. Como cierre del sistema establecido en este título competencial, el art. 149.1.21 CE otorga también la competencia exclusiva al Estado en materia de “régimen general de las comunicaciones” cuyo objeto, como se declara en la STC 31/2010 (FJ 85) es “ordenar normativamente y asegurar la efectividad de las comunicaciones”, para lo cual el Estado dispone no solo, y desde luego, de la totalidad de las competencias normativas sobre la misma (SSTC 84/1982, FJ 4, y 38/1983, FJ 3); sino que también está investido “de las competencias de ejecución necesarias para configurar un sistema materialmente unitario”. Con esta segunda perspectiva el Tribunal ha declarado que compete en exclusiva al Estado la regulación de las infraestructuras de telecomunicaciones. Estas, como se declara en la STC 8/2012 (FJ 4), en la cual se cita la STC 31/2010 (FJ 85), guardan una relación más estrecha con el “régimen general de comunicaciones” que con la materia de telecomunicaciones en sentido estricto o de medios de comunicación social, pues “en puridad, las infraestructuras de las telecomunicaciones ni constituyen un elemento propio del espectro radioeléctrico ni son elemento vinculado a la protección del derecho fundamental previsto en el art. 20 CE”, inscribiéndose con naturalidad “en el señalado ‘régimen general de comunicaciones’ en cuanto aseguran la efectividad de las comunicaciones en todo el territorio nacional y con ello la virtualidad de las competencias estatales afectadas (art. 149.1.21 y 149.1.27)”. Esta precisión es relevante, puesto que la Ley autonómica objeto de enjuiciamiento tiene como objeto la regulación del desarrollo y la promoción de infraestructuras de telecomunicaciones, y sobre esta materia la Comunidad Autónoma solo puede incidir en el ámbito estricto de sus competencias autonómicas, como se precisará más adelante.</w:t>
      </w:r>
    </w:p>
    <w:p w:rsidR="00163957" w:rsidRDefault="00163957" w:rsidP="00163957">
      <w:pPr>
        <w:pStyle w:val="TextoNormal"/>
      </w:pPr>
    </w:p>
    <w:p w:rsidR="00163957" w:rsidRDefault="00163957" w:rsidP="00163957">
      <w:pPr>
        <w:pStyle w:val="TextoNormal"/>
      </w:pPr>
      <w:r>
        <w:t>Desde una última perspectiva, más global, se integra también en la materia de telecomunicaciones y de régimen general de comunicaciones (y corresponde por tanto al Estado la competencia exclusiva conforme al 149.1.21 CE) la conformación, regulación o configuración del propio sector de telecomunicaciones (comunicaciones electrónicas) atendiendo a la convergencia tecnológica (y de servicios) y al marco regulador de las comunicaciones electrónicas de la Unión Europea para asegurar una regulación homogénea en todo el territorio español. Esta homogeneidad resulta necesaria, no solo para el desarrollo e innovación del sector, sino también para la garantía de los derechos de los ciudadanos en el marco de la sociedad de la información (o sociedad del conocimiento), si se tiene en cuenta que el desarrollo de las comunicaciones y de las nuevas tecnologías de la información constituye un factor esencial para lograr la cohesión social, económica y territorial necesarias para evitar, o al menos disminuir, la llamada fractura digital.</w:t>
      </w:r>
    </w:p>
    <w:p w:rsidR="00163957" w:rsidRDefault="00163957" w:rsidP="00163957">
      <w:pPr>
        <w:pStyle w:val="TextoNormal"/>
      </w:pPr>
    </w:p>
    <w:p w:rsidR="00163957" w:rsidRDefault="00163957" w:rsidP="00163957">
      <w:pPr>
        <w:pStyle w:val="TextoNormal"/>
      </w:pPr>
      <w:r>
        <w:t xml:space="preserve">Lo anterior supone que el Estado es competente, en exclusiva, para: a) la caracterización del sector (mercado) de las telecomunicaciones —actualmente, definidas como servicios de interés general que se prestan en régimen de libre competencia (arts. 2 y 5 de la Ley general de telecomunicaciones) frente a su tradicional consideración de servicio público—; b) el establecimiento de las condiciones de explotación de las redes y de prestación de servicios </w:t>
      </w:r>
      <w:r>
        <w:lastRenderedPageBreak/>
        <w:t>de comunicaciones electrónicas así como el régimen jurídico de los operadores (STC 8/2012, FJ 7); c) la definición y delimitación de las prestaciones y servicios concretos que han de incluirse en el llamado servicio universal en orden al cumplimiento de las funciones de regularidad, calidad, asequibilidad, extensión y seguridad de redes y servicios, que antes se entroncaban en el servicio público (STC 72/2014, de 8 de mayo, FJ 6); d) la determinación del operador u operadores que deben asumir la prestación de ese servicio universal y el diseño de su régimen de financiación; e) la asunción directa de la gestión o la intervención en la prestación de los servicios a efectos de garantizar su prestación; f) la regulación de la coubicación y compartición de infraestructuras sin perjuicio de las competencias autonómicas en esta materia (STC 8/2012), y g) el establecimiento de un sistema de protección reforzada de los consumidores y usuarios de servicios de telecomunicaciones (STC 74/2014). Se trata, en definitiva, de la atribución al Estado de la competencia para definir los elementos estructurales del sector a través tanto del establecimiento del marco institucional del mercado (regulación de la competencia) como de la intervención en los procesos del propio mercado (obligaciones de hacer o no hacer de los operadores del sector, en el ámbito del acceso a redes, interconexión o garantía de cobertura, por ejemplo). Ciertamente, el ejercicio de esta competencia por el Estado deberá realizarse evitando que la vis expansiva característica de este título competencial vacíe las competencias propias de las Comunidades Autónomas en otras materias como ordenación del territorio y urbanismo o protección del medio ambiente y paisaje que, necesariamente, van a converger en un mismo espacio físico, como luego se verá.</w:t>
      </w:r>
    </w:p>
    <w:p w:rsidR="00163957" w:rsidRDefault="00163957" w:rsidP="00163957">
      <w:pPr>
        <w:pStyle w:val="TextoNormal"/>
      </w:pPr>
    </w:p>
    <w:p w:rsidR="00163957" w:rsidRDefault="00163957" w:rsidP="00163957">
      <w:pPr>
        <w:pStyle w:val="TextoNormal"/>
      </w:pPr>
      <w:r>
        <w:t>Frente a esa competencia estatal en materia de telecomunicaciones, la Comunidad Autónoma de Galicia busca el fundamento para la regulación del impulso y del desarrollo de las infraestructuras de telecomunicaciones en su territorio en sus competencias en materia de desarrollo económico de la Comunidad (art. 30.1.1 EAG); de ordenación del territorio y urbanismo (art. 27.3 EAG); de normas adicionales de protección del medio ambiente (art. 149.1.23 CE, en relación con el art. 27.30 EAG) y de regulación del patrimonio histórico, artístico, arquitectónico o arqueológico de interés de Galicia (art. 27.18 EAG).</w:t>
      </w:r>
    </w:p>
    <w:p w:rsidR="00163957" w:rsidRDefault="00163957" w:rsidP="00163957">
      <w:pPr>
        <w:pStyle w:val="TextoNormal"/>
      </w:pPr>
    </w:p>
    <w:p w:rsidR="00163957" w:rsidRDefault="00163957" w:rsidP="00163957">
      <w:pPr>
        <w:pStyle w:val="TextoNormal"/>
      </w:pPr>
      <w:r>
        <w:t xml:space="preserve">Este Tribunal ha declarado en numerosas ocasiones que la competencia sobre la ordenación del territorio corresponde a las Comunidades Autónomas. Así, tal como se ha declarado en la STC 57/2015, de 18 de marzo, FJ 14, la competencia sobre ordenación del territorio “tiene por objeto la actividad consistente en la delimitación de los diversos usos a que puede destinarse el suelo o espacio físico territorial [SSTC 77/1984, FJ 2; 149/1991, FJ 1 B)]. Concretamente, dejando al margen otros aspectos normativos y de gestión, su núcleo fundamental ‘está constituido por un conjunto de actuaciones públicas de contenido planificador cuyo objeto consiste en la fijación de los usos del suelo y el equilibrio entre las distintas partes del territorio del mismo’ (SSTC 36/1994, FJ 3; 28/1997, FJ 5).” (STC 149/1998, de 2 de julio, FJ 3). Esto es, como se declara en la STC 8/2012 (FJ 8), la competencia autonómica en materia de ordenación del territorio “tiene, precisamente, la finalidad de que su titular pueda formular una política global para su territorio, con la que se trata de coordinar las actuaciones públicas y privadas que inciden en el mismo”, sin perjuicio de que otras competencias sectoriales del Estado impliquen una disposición “sobre determinadas porciones del mismo que viene a condicionar la capacidad de decisión de las Comunidades Autónomas” (STC 40/1998, FJ 30). En este sentido se precisó entonces (cosa que resulta especialmente útil en el análisis de la norma que ahora se impugna) que “la ordenación del territorio es, en nuestro sistema constitucional, un título competencial específico que tampoco </w:t>
      </w:r>
      <w:r>
        <w:lastRenderedPageBreak/>
        <w:t>puede ser ignorado, reduciéndolo a la simple capacidad de planificar, desde el punto de vista de su incidencia en el territorio, las actuaciones que por otros títulos ha de llevar a cabo el ente titular de aquella competencia, sin que de esta se derive consecuencia alguna para la actuación de otros entes públicos sobre el mismo territorio” (SSTC 77/1984, FJ 2; 149/1991, FJ 1, y 204/2002, FJ 30).</w:t>
      </w:r>
    </w:p>
    <w:p w:rsidR="00163957" w:rsidRDefault="00163957" w:rsidP="00163957">
      <w:pPr>
        <w:pStyle w:val="TextoNormal"/>
      </w:pPr>
    </w:p>
    <w:p w:rsidR="00163957" w:rsidRDefault="00163957" w:rsidP="00163957">
      <w:pPr>
        <w:pStyle w:val="TextoNormal"/>
      </w:pPr>
      <w:r>
        <w:t>La Comunidad Autónoma de Galicia invoca también, como fundamento de la Ley 3/2013, su competencia en materia de urbanismo que, como se ha declarado en la STC 141/2014, de 11 de septiembre, FJ 5 A), extractando lo esencial de la STC 61/1997, de 20 de marzo, “alude a la disciplina jurídica del hecho social o colectivo de los asentamientos de población en el espacio físico, lo que, en el plano jurídico, se traduce en la ordenación urbanística, como objeto normativo de las leyes urbanísticas (STC 61/1997, FJ 6). En definitiva, la competencia en materia de urbanismo abarca, fundamentalmente, ‘las políticas de ordenación de la ciudad’; es decir, la determinación del ‘cómo, cuándo y dónde deben surgir o desarrollarse los asentamientos humanos’ (STC 61/1997, FJ 6)”.</w:t>
      </w:r>
    </w:p>
    <w:p w:rsidR="00163957" w:rsidRDefault="00163957" w:rsidP="00163957">
      <w:pPr>
        <w:pStyle w:val="TextoNormal"/>
      </w:pPr>
    </w:p>
    <w:p w:rsidR="00163957" w:rsidRDefault="00163957" w:rsidP="00163957">
      <w:pPr>
        <w:pStyle w:val="TextoNormal"/>
      </w:pPr>
      <w:r>
        <w:t>La definición del contenido de los títulos competenciales de ordenación del territorio y de urbanismo evidencia que en el ejercicio de tales competencias puede incidir la competencia exclusiva estatal en materia de telecomunicaciones, debiéndose articular los mecanismos de colaboración cuando sea preciso. Así sucederá, por ejemplo, en lo concerniente a la precisión de la ubicación del mínimo de infraestructuras que sean necesarias en nuevos emplazamientos urbanos a fin de asegurar una conectividad mínima (de la misma manera en que se asegura la prestación de servicios básicos de red como el suministro de agua y electricidad a través de la construcción de alcantarillado y conductos y canales de abastecimiento); así como en lo relativo a la determinación de cómo y dónde ubicar las redes necesarias para la prestación de los servicios de nueva generación en zonas ya urbanizadas y con alto nivel de conectividad y asentamiento de infraestructuras e instalaciones. A su vez, la localización concreta (en ámbito urbano o rural) puede afectar, tal como se declara en la STC 8/2012 (FJ 3), al medio ambiente o al paisaje.</w:t>
      </w:r>
    </w:p>
    <w:p w:rsidR="00163957" w:rsidRDefault="00163957" w:rsidP="00163957">
      <w:pPr>
        <w:pStyle w:val="TextoNormal"/>
      </w:pPr>
    </w:p>
    <w:p w:rsidR="00163957" w:rsidRDefault="00163957" w:rsidP="00163957">
      <w:pPr>
        <w:pStyle w:val="TextoNormal"/>
      </w:pPr>
      <w:r>
        <w:t>También invoca la Comunidad Autónoma de Galicia su competencia en materia de protección de medio ambiente —pues, en el marco de lo dispuesto en la legislación del Estado, conforme al art. 149.1.23 CE, puede establecer normas adicionales que supongan la fijación de niveles de protección más altos que los mínimos establecidos por el Estado (STC 69/2013, FJ 1)— así como su competencia en materia de protección del patrimonio cultural e histórico, si bien son pocos los preceptos impugnados en que tal competencia pueda verse controvertida.</w:t>
      </w:r>
    </w:p>
    <w:p w:rsidR="00163957" w:rsidRDefault="00163957" w:rsidP="00163957">
      <w:pPr>
        <w:pStyle w:val="TextoNormal"/>
      </w:pPr>
    </w:p>
    <w:p w:rsidR="00163957" w:rsidRDefault="00163957" w:rsidP="00163957">
      <w:pPr>
        <w:pStyle w:val="TextoNormal"/>
      </w:pPr>
      <w:r>
        <w:t xml:space="preserve">La competencia atribuida al Estado por el art. 149.1.21 CE en materia de telecomunicaciones es exclusiva, en sentido estricto: en el ámbito comprendido en la materia “telecomunicaciones”, las Comunidades Autónomas carecen de toda competencia, sea normativa o de ejecución. “La competencia exclusiva estatal en esta materia, tiene por objeto, en definitiva, ordenar normativamente y asegurar la efectividad de las comunicaciones (SSTC 278/1993, de 23 de septiembre, FJ 2; 127/1994, de 5 de mayo FJ 8; y 31/2010, de 28 de junio, FJ 85), razón por la cual ‘comprende, desde luego, la totalidad de las competencias normativas’ en la materia (SSTC 84/1982, de 23 de diciembre, FJ 4, y 38/1983, de 8 de febrero, FJ 3), pero puede comportar también ‘la atribución de las competencias de ejecución necesarias para </w:t>
      </w:r>
      <w:r>
        <w:lastRenderedPageBreak/>
        <w:t>configurar un sistema materialmente unitario’ (STC 195/1996, de 28 de noviembre, FJ 6)” (STC 72/2014, FJ 4).</w:t>
      </w:r>
    </w:p>
    <w:p w:rsidR="00163957" w:rsidRDefault="00163957" w:rsidP="00163957">
      <w:pPr>
        <w:pStyle w:val="TextoNormal"/>
      </w:pPr>
    </w:p>
    <w:p w:rsidR="00163957" w:rsidRDefault="00163957" w:rsidP="00163957">
      <w:pPr>
        <w:pStyle w:val="TextoNormal"/>
      </w:pPr>
      <w:r>
        <w:t>En la medida en que las infraestructuras de comunicaciones tienen un evidente impacto en el medio físico, se produce un entrecruzamiento con ámbitos materiales de competencia autonómica. Según la STC 8/2012: “Pese a ser el título competencial en materia de telecomunicaciones un título de carácter sectorial, lo cierto es que tiene un gran potencial expansivo puesto que el régimen de las telecomunicaciones incide, con mayor o menor intensidad, en muchas otras materias. Por un lado, en el desenvolvimiento de medios de comunicación social como la radio o la televisión. Por otro lado, en la ordenación del territorio y el urbanismo en la medida en que la faceta de infraestructura de las telecomunicaciones hace preciso adoptar decisiones en torno a su adecuada localización, tanto en el ámbito rural como urbano. Esa localización puede, a su vez, tener un impacto sobre el medio ambiente y el paisaje.” (FJ 6).</w:t>
      </w:r>
    </w:p>
    <w:p w:rsidR="00163957" w:rsidRDefault="00163957" w:rsidP="00163957">
      <w:pPr>
        <w:pStyle w:val="TextoNormal"/>
      </w:pPr>
    </w:p>
    <w:p w:rsidR="00163957" w:rsidRDefault="00163957" w:rsidP="00163957">
      <w:pPr>
        <w:pStyle w:val="TextoNormal"/>
      </w:pPr>
      <w:r>
        <w:t>La consecuencia es que los títulos competenciales estatales y autonómicos que se proyectan sobre el mismo espacio físico, pero que tienen distinto objeto jurídico, se limitan recíprocamente, y se integran preferentemente a través de fórmulas de cooperación o coordinación pues “si, como este Tribunal viene reiterando, el principio de colaboración entre el Estado y las Comunidades Autónomas está implícito en el sistema de autonomías (SSTC 18/1982 y 152/1988, entre otras) y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FJ 7), este tipo de fórmulas son especialmente necesarias en estos supuestos de concurrencia de títulos competenciales en los que deben buscarse aquellas soluciones con las que se consiga optimizar el ejercicio de ambas competencias (SSTC 32/1983, 77/1984, 227/1987 y 36/1994), pudiendo elegirse, en cada caso, las técnicas que resulten más adecuadas: el mutuo intercambio de información, la emisión de informes previos en los ámbitos de la propia competencia, la creación de órganos de composición mixta, etcétera’ (de nuevo, SSTC 40/1998, de 18 de febrero, FJ 30; y 204/2002, de 31 de octubre, FJ 7). No obstante, si esos cauces resultan insuficientes, el Tribunal ha afirmado que ‘la decisión final corresponderá al titular de la competencia prevalente’ (STC 77/1984, de 3 de julio, FJ 3), sin que el Estado pueda ‘verse privado del ejercicio de sus competencias exclusivas por la existencia de una competencia, aunque también sea exclusiva, de una Comunidad Autónoma’ (STC 56/1986, de 13 de mayo, FJ 3; STC 204/2002, de 31 de octubre, FJ 7).” (STC 8/2012, FJ 3).</w:t>
      </w:r>
    </w:p>
    <w:p w:rsidR="00163957" w:rsidRDefault="00163957" w:rsidP="00163957">
      <w:pPr>
        <w:pStyle w:val="TextoNormal"/>
      </w:pPr>
    </w:p>
    <w:p w:rsidR="00163957" w:rsidRDefault="00163957" w:rsidP="00163957">
      <w:pPr>
        <w:pStyle w:val="TextoNormal"/>
      </w:pPr>
      <w:r>
        <w:t xml:space="preserve">Estas técnicas de colaboración y concertación son también recordadas en la STC 192/2014, FJ 4, que añade que para la aplicación preferente de una competencia sobre otra, si resultan insuficientes las técnicas de colaboración, habrá que atender al interés general concernido y “para ello, habrá que tomar en consideración, como señala el fundamento jurídico 30 de la STC 40/1998, de 19 de febrero, cuál sea la competencia estatal de carácter sectorial que pretenda ejercerse, las razones que han llevado al constituyente a reservar esa competencia al Estado o el modo concreto en que éste o la Comunidad Autónoma pretendan ejercer las que les corresponden. En este sentido, hemos declarado que el Estado tiene competencias que pueden incidir de manera importante sobre el territorio... y que no puede verse privado del ejercicio de sus competencias exclusivas por la existencia de una competencia, aunque también sea exclusiva, de una Comunidad Autónoma. … [C]uando la Constitución </w:t>
      </w:r>
      <w:r>
        <w:lastRenderedPageBreak/>
        <w:t>atribuye al Estado una competencia exclusiva lo hace porque bajo la misma subyace —o, al menos, así lo entiende el constituyente— un interés general, interés que debe prevalecer sobre los intereses que puedan tener otras entidades territoriales afectadas. … ‘[D]eterminada la preferencia de la competencia estatal … esa preferencia no ha de ser entendida en términos absolutos (al respecto SSTC 14/2005, de 31 de enero, FJ 5; y 46/2007, de 1 de marzo, FJ 10)’ sino que ‘la atribución de una competencia sobre un ámbito físico determinado no impide necesariamente que se ejerzan otras competencias en ese espacio, siempre que ambas tengan distinto objeto jurídico, y que el ejercicio de las autonómicas no interfieran o perturben el ejercicio de las estatales (al respecto, STC 166/2000, de 15 de junio, FJ 3; y doctrina allí citada)’.”</w:t>
      </w:r>
    </w:p>
    <w:p w:rsidR="00163957" w:rsidRDefault="00163957" w:rsidP="00163957">
      <w:pPr>
        <w:pStyle w:val="TextoNormal"/>
      </w:pPr>
    </w:p>
    <w:p w:rsidR="00163957" w:rsidRDefault="00163957" w:rsidP="00163957">
      <w:pPr>
        <w:pStyle w:val="TextoNormal"/>
      </w:pPr>
      <w:r>
        <w:t xml:space="preserve">En el ámbito de una competencia exclusiva del Estado, resulta asimismo relevante la doctrina constitucional sobre la llamada </w:t>
      </w:r>
      <w:r w:rsidRPr="00163957">
        <w:rPr>
          <w:i/>
        </w:rPr>
        <w:t>lex repetita</w:t>
      </w:r>
      <w:r>
        <w:t xml:space="preserve">. Según la STC 5/2015, FJ 5, “las Comunidades Autónomas no pueden establecer disposición alguna al respecto, ni siquiera para reproducir con exactitud las previsiones estatales, operación que quedaría vedada por la doctrina sobre la </w:t>
      </w:r>
      <w:r w:rsidRPr="00163957">
        <w:rPr>
          <w:i/>
        </w:rPr>
        <w:t>lex repetita</w:t>
      </w:r>
      <w:r>
        <w:t>sistematizada por la STC 341/2005, de 21 de diciembre, FJ 9, y cuyo origen último está en la STC 10/1982, de 23 de marzo, FJ 8, según la cual la reproducción de normas estatales en normas autonómicas es inconstitucional cuando la Comunidad Autónoma carece de la correspondiente competencia, salvo que —lo que no es el caso— la reiteración de la norma estatal sea imprescindible para el entendimiento del precepto (STC 47/2004, de 25 de marzo, FJ 8)”.</w:t>
      </w:r>
    </w:p>
    <w:p w:rsidR="00163957" w:rsidRDefault="00163957" w:rsidP="00163957">
      <w:pPr>
        <w:pStyle w:val="TextoNormal"/>
      </w:pPr>
    </w:p>
    <w:p w:rsidR="00163957" w:rsidRDefault="00163957" w:rsidP="00163957">
      <w:pPr>
        <w:pStyle w:val="TextoNormal"/>
      </w:pPr>
      <w:r>
        <w:t>En suma, el encuadramiento competencial realizado permite concluir que (i) se trata de competencias de titulares diversos y objeto jurídico distinto cuyo ejercicio puede concurrir en un mismo espacio físico. (ii) La concreta articulación de las competencias concurrentes habrá de buscar fórmulas de cooperación que optimicen su ejercicio “pudiendo elegirse la técnica que se estime más adecuada a estos efectos: mutuo intercambio de información, la emisión de informes previos en los ámbitos de la propia competencia, la creación de órganos de composición mixta, entre otros. (STC 204/2002, FJ 30)” (STC 8/2012, FJ 8). (iii) Para el caso de que los cauces de cooperación resulten insuficientes para resolver los conflictos que puedan surgir, será preciso determinar cuál es el título prevalente en función del interés general concernido, que determinará la preferente aplicación de una competencia en detrimento de la otra (STC 82/2012, de 18 de abril, FJ 3, y SSTC 168/1993, de 27 de mayo, FJ 4; y 31/2010, de 28 de junio, FJ 85; y 154/2014, de 25 de septiembre, FJ 5, entre otras). (iv) En cualquier caso, el ejercicio por parte del Estado de una competencia exclusiva “impide de raíz toda posibilidad de una acción autonómica de signo contrario” y las referidas competencias autonómicas no pueden ejercerse de forma que la competencia del Estado para regular el sector de las telecomunicaciones quede menoscabada o invadida (STC 82/2012, de 18 de abril, FJ 4) (STC 154/2014, FJ 7, en materia de defensa nacional). (v) Sin que esto pueda suponer el vaciamiento de las competencias propias de una Comunidad Autónoma. (vi) La reproducción de normas estatales en normas autonómicas es inconstitucional cuando la Comunidad Autónoma carece de la correspondiente competencia, salvo que la reiteración de la norma estatal sea imprescindible para el entendimiento del precepto.</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Determinado, así, el parámetro de constitucionalidad que nos corresponde aplicar en este recurso de inconstitucionalidad contra la Ley 3/2013, abordamos ahora las concretas impugnaciones que contiene. Advertimos previamente que la demanda resulta en bastantes </w:t>
      </w:r>
      <w:r>
        <w:lastRenderedPageBreak/>
        <w:t>ocasiones parca en su fundamentación jurídica y carece en otras de la suficiencia en la argumentación que la jurisprudencia exige. Este Tribunal ha declarado que “cuando se encuentra en juego la depuración del ordenamiento jurídico resulta carga de los recurrentes, no solo abrir la vía para que el Tribunal pueda pronunciarse, sino también colaborar con la justicia del Tribunal mediante un pormenorizado análisis de las cuestiones que se suscitan … y ello porque hay una presunción de constitucionalidad de las normas con rango de ley que no puede desvirtuarse sin más, prescindiendo de una razón suficientemente fundada” (entre otras, STC 74/2014, de 8 de mayo, FJ 4).</w:t>
      </w:r>
    </w:p>
    <w:p w:rsidR="00163957" w:rsidRDefault="00163957" w:rsidP="00163957">
      <w:pPr>
        <w:pStyle w:val="TextoNormal"/>
      </w:pPr>
    </w:p>
    <w:p w:rsidR="00163957" w:rsidRDefault="00163957" w:rsidP="00163957">
      <w:pPr>
        <w:pStyle w:val="TextoNormal"/>
      </w:pPr>
      <w:r>
        <w:t>Emprendemos el examen de las quejas deducidas en el recurso siguiendo el esquema de bloques temáticos establecido por el Abogado del Estado, en aras de una mayor claridad, lo que tendrá su reflejo en la numeración de los fundamentos jurídicos de esta resolución, aun cuando, como toda división conceptual, pueda considerarse artificiosa: objeto y finalidad de la Ley (FJ 5); promoción de infraestructuras (FJ 6); planificación de las infraestructuras (FJ 7); servicio público (FJ 8); acceso e interconexión (FJ 9); coubicación (FJ 10); neutralidad tecnológica y sostenibilidad ambiental (FJ 11) y régimen sancionador (FJ 12).</w:t>
      </w:r>
    </w:p>
    <w:p w:rsidR="00163957" w:rsidRDefault="00163957" w:rsidP="00163957">
      <w:pPr>
        <w:pStyle w:val="TextoNormal"/>
      </w:pPr>
    </w:p>
    <w:p w:rsidR="00163957" w:rsidRDefault="00163957" w:rsidP="00163957">
      <w:pPr>
        <w:pStyle w:val="TextoNormal"/>
      </w:pPr>
      <w:r w:rsidRPr="00163957">
        <w:rPr>
          <w:rStyle w:val="NumeroAFNegritaCaracter"/>
        </w:rPr>
        <w:t>5</w:t>
      </w:r>
      <w:r>
        <w:t>. Objeto de la Ley 3/2013 y objetivos de la norma. En el primer bloque de alegaciones se impugnan los preceptos de la Ley 3/2013 que definen el objeto de la Ley, así como su finalidad y sus objetivos. El Abogado del Estado entiende —como se ha resumido en los antecedentes de esta resolución— que el art. 1 de la Ley gallega, al establecer como objeto el de “regular el impulso y la ordenación de las infraestructuras de telecomunicaciones en el ámbito de la Comunidad Autónoma de Galicia y establecer el marco legal y las condiciones adecuadas para que su despliegue territorial se realice de manera ágil, ordenada, eficiente, segura y respetuosa con el medio ambiente”, constituye una regulación omnicomprensiva de las infraestructuras de telecomunicaciones y asume una función, la de impulsar la instalación de infraestructuras (despliegue de red), que corresponde a los propios operadores del sector en un mercado regido por el principio de libre competencia y, en su caso, al Estado en ejercicio de sus competencias exclusivas en materia de telecomunicaciones. En directa relación con lo anterior el Abogado del Estado impugna el art. 2.2 d) de la Ley 3/2013 que define como uno de los objetivos de la Ley, a efectos de conseguir la finalidad definida en el primer apartado del precepto, el de “garantizar la instalación de las infraestructuras de telecomunicaciones mediante una ordenación coherente, que asegure la protección del territorio, de los recursos naturales y del ámbito paisajístico, y que promueva la cohesión social y la igualdad económica”.</w:t>
      </w:r>
    </w:p>
    <w:p w:rsidR="00163957" w:rsidRDefault="00163957" w:rsidP="00163957">
      <w:pPr>
        <w:pStyle w:val="TextoNormal"/>
      </w:pPr>
    </w:p>
    <w:p w:rsidR="00163957" w:rsidRDefault="00163957" w:rsidP="00163957">
      <w:pPr>
        <w:pStyle w:val="TextoNormal"/>
      </w:pPr>
      <w:r>
        <w:t>El propio Abogado del Estado realiza en sus alegaciones una distinción esencial entre redes y servicios de telecomunicaciones, de la que, sin embargo, no extrae después ninguna consecuencia. Es relevante, por ello, detenerse un momento en la acotación de términos: no solo en la diferenciación entre redes y servicios, sino también entre redes e infraestructuras, pues esto ayuda a comprender cuál es el objeto de la Ley autonómica que el Abogado del Estado define como “objeto omnicomprensivo de la regulación de las infraestructuras”.</w:t>
      </w:r>
    </w:p>
    <w:p w:rsidR="00163957" w:rsidRDefault="00163957" w:rsidP="00163957">
      <w:pPr>
        <w:pStyle w:val="TextoNormal"/>
      </w:pPr>
    </w:p>
    <w:p w:rsidR="00163957" w:rsidRDefault="00163957" w:rsidP="00163957">
      <w:pPr>
        <w:pStyle w:val="TextoNormal"/>
      </w:pPr>
      <w:r>
        <w:t xml:space="preserve">Se ha producido en este ámbito un cambio terminológico a raíz de la convergencia de tecnologías y servicios, difuminando las diferencias entre sectores antes diferenciados como las telecomunicaciones, la informática, el audiovisual e internet, que se plasma en las Directivas comunitarias adoptadas en la segunda fase de liberalización de las telecomunicaciones (Directiva Marco 2002/21/CE del Parlamento Europeo y del Consejo, de 7 de marzo, </w:t>
      </w:r>
      <w:r>
        <w:lastRenderedPageBreak/>
        <w:t>relativa a un marco común de las redes y los servicios de comunicaciones electrónicas, modificada por la Directiva 2009/140/CE, de 25 de noviembre, y Directivas específicas en materia de acceso e interconexión, servicio universal y protección de datos). Las telecomunicaciones (tradicionalmente referidas a la telefonía fija y a la telefonía móvil) son ahora “comunicaciones electrónicas” (referidas a una variedad de servicios, entre ellos, la multiplicidad de funcionalidades de internet) que pueden prestarse a través de diversas redes de distinta configuración (fibra óptica, cable, banda ancha y, ahora, las redes de nueva generación) y con distintas tecnologías (inalámbrica o fija).</w:t>
      </w:r>
    </w:p>
    <w:p w:rsidR="00163957" w:rsidRDefault="00163957" w:rsidP="00163957">
      <w:pPr>
        <w:pStyle w:val="TextoNormal"/>
      </w:pPr>
    </w:p>
    <w:p w:rsidR="00163957" w:rsidRDefault="00163957" w:rsidP="00163957">
      <w:pPr>
        <w:pStyle w:val="TextoNormal"/>
      </w:pPr>
      <w:r>
        <w:t>Así, son “redes de comunicaciones electrónicas” los “sistemas de transmisión —y cuando proceda los equipos de conmutación o encaminamiento y demás recursos, incluidos los elementos de red que no son activos—, que permitan el transporte de señales mediante cables, ondas hertzianas, medios ópticos u otros medios electromagnéticos con inclusión de las redes de satélites, redes terrestres fijas y móviles, sistemas de tendido eléctrico y, en la medida en que se utilicen para la trasmisión de señales, redes utilizadas para la radiodifusión sonora y televisiva y redes de televisión por cable”. De otro lado, son servicios de comunicaciones electrónicas los prestados a cambio de una remuneración y que consisten, total o principalmente, en el transporte de señales a través de redes de comunicaciones electrónicas, excluyendo aquellos servicios que suministren contenidos (los servicios audiovisuales). Por último, el término “infraestructuras de telecomunicaciones” alude a un elemento físico que ayuda a la extensión de redes y la prestación de servicios de comunicación electrónica: se trata, por ejemplo, en terminología de la Ley general de telecomunicaciones, de los llamados “recursos asociados”; esto es, “infraestructuras físicas, dispositivos, servicios asociados u otros recursos o elementos asociados a una red de comunicaciones electrónicas”, como “edificios o entradas de edificios, el cableado de edificios, antenas, torres y otras construcciones de soporte, conductos, mástiles, bocas de acceso y distribuidores”.</w:t>
      </w:r>
    </w:p>
    <w:p w:rsidR="00163957" w:rsidRDefault="00163957" w:rsidP="00163957">
      <w:pPr>
        <w:pStyle w:val="TextoNormal"/>
      </w:pPr>
    </w:p>
    <w:p w:rsidR="00163957" w:rsidRDefault="00163957" w:rsidP="00163957">
      <w:pPr>
        <w:pStyle w:val="TextoNormal"/>
      </w:pPr>
      <w:r>
        <w:t>La diferencia apuntada en el párrafo anterior es relevante, pues el objeto de la Ley 3/2013 no es “la regulación de la explotación de redes y la prestación de servicios de comunicaciones electrónicas y los recursos asociados” —cosa que constituye el objeto de la Ley general de telecomunicaciones de 2014 tal como lo define su artículo 1.1 y evidentemente forma parte de la competencia exclusiva del Estado—, ni siquiera la regulación de las infraestructuras en sí mismas (dispositivos, homologación) o su despliegue como tal, sino la regulación de cómo ha de llevarse a cabo el citado despliegue en el territorio de la Comunidad Autónoma en ejercicio de sus competencias sobre medio ambiente y ordenación del territorio. En particular, se contempla que ese despliegue se realice respetando el medio ambiente, de forma ordenada y eficiente (en relación a costes tanto físicos como económicos) y garantizando la consecución de objetivos propios, plenamente legítimos, como son la cohesión social y económica de la Comunidad Autónoma, minimizando los riesgos de la fractura digital que, aparte de por factores de edad de la población, viene también determinada por factores geográficos y la diferenciación entre zonas rurales y urbanas.</w:t>
      </w:r>
    </w:p>
    <w:p w:rsidR="00163957" w:rsidRDefault="00163957" w:rsidP="00163957">
      <w:pPr>
        <w:pStyle w:val="TextoNormal"/>
      </w:pPr>
    </w:p>
    <w:p w:rsidR="00163957" w:rsidRDefault="00163957" w:rsidP="00163957">
      <w:pPr>
        <w:pStyle w:val="TextoNormal"/>
      </w:pPr>
      <w:r>
        <w:t>No existe, por tanto, ninguna vulneración de la competencia exclusiva del Estado en materia de telecomunicaciones, pues el objeto de la Ley 3/2013 definido en su artículo 1 no impide ni menoscaba la competencia estatal; sino, al contrario, encuentra su acomodo natural en las competencias autonómicas sobre ordenación de territorio, urbanismo y normas adicionales de protección de medio ambiente.</w:t>
      </w:r>
    </w:p>
    <w:p w:rsidR="00163957" w:rsidRDefault="00163957" w:rsidP="00163957">
      <w:pPr>
        <w:pStyle w:val="TextoNormal"/>
      </w:pPr>
    </w:p>
    <w:p w:rsidR="00163957" w:rsidRDefault="00163957" w:rsidP="00163957">
      <w:pPr>
        <w:pStyle w:val="TextoNormal"/>
      </w:pPr>
      <w:r>
        <w:lastRenderedPageBreak/>
        <w:t>En la misma línea, también han de considerarse constitucionales los apartados impugnados del art. 2 de la Ley autonómica. El subapartado primero (no impugnado) establece como finalidad de la norma la de “contribuir a la integración de Galicia en la sociedad de la información” apostando por el desarrollo de las infraestructuras de telecomunicaciones “como un factor esencial para lograr el crecimiento económico sostenible, la reducción del desequilibrio territorial y la cohesión social en el ámbito de la Comunidad Autónoma” para lo cual el apartado segundo fija diversos objetivos, de los que el Abogado del Estado impugna los apartados b), c) y d).</w:t>
      </w:r>
    </w:p>
    <w:p w:rsidR="00163957" w:rsidRDefault="00163957" w:rsidP="00163957">
      <w:pPr>
        <w:pStyle w:val="TextoNormal"/>
      </w:pPr>
    </w:p>
    <w:p w:rsidR="00163957" w:rsidRDefault="00163957" w:rsidP="00163957">
      <w:pPr>
        <w:pStyle w:val="TextoNormal"/>
      </w:pPr>
      <w:r>
        <w:t>Establece el art. 2.2 b) de la Ley gallega el objetivo de “garantizar a la ciudadanía, a las empresas y a las administraciones públicas la cobertura de las necesidades, actuales y futuras, de los servicios y tecnologías de la información y de la comunicación, a fin de fomentar la competitividad basada en el conocimiento”. Por su parte, el artículo 2.2 c) define como otro objetivo el de “garantizar un acceso de calidad a las nuevas tecnologías de la información y de la comunicación” y el apartado d) alude al objetivo de “garantizar la instalación de infraestructuras de telecomunicaciones mediante una ordenación coherente, que asegure la protección del territorio, de los recursos naturales y del ámbito paisajístico y que promueva la cohesión social y económica”.</w:t>
      </w:r>
    </w:p>
    <w:p w:rsidR="00163957" w:rsidRDefault="00163957" w:rsidP="00163957">
      <w:pPr>
        <w:pStyle w:val="TextoNormal"/>
      </w:pPr>
    </w:p>
    <w:p w:rsidR="00163957" w:rsidRDefault="00163957" w:rsidP="00163957">
      <w:pPr>
        <w:pStyle w:val="TextoNormal"/>
      </w:pPr>
      <w:r>
        <w:t>La fijación de estos objetivos, con carácter general, como hace la Ley objeto de enjuiciamiento, resulta neutra o inocua desde una perspectiva competencial pues no establece ninguna regla material de actuación. La alusión en los apartados b) y c) a la cobertura de servicios de las llamadas NTIC o la garantía de un acceso de calidad no supone, por sí misma, ninguna atribución a la Comunidad Autónoma al respecto. Por consiguiente, el análisis deberá proyectarse sobre la constitucionalidad o inconstitucionalidad de los preceptos de la Ley impugnada en que se recoja el desarrollo de tales principios, cuya mera formulación en el plano genérico de los objetivos de la Ley impugnada no puede considerarse que altere el sistema competencial.</w:t>
      </w:r>
    </w:p>
    <w:p w:rsidR="00163957" w:rsidRDefault="00163957" w:rsidP="00163957">
      <w:pPr>
        <w:pStyle w:val="TextoNormal"/>
      </w:pPr>
    </w:p>
    <w:p w:rsidR="00163957" w:rsidRDefault="00163957" w:rsidP="00163957">
      <w:pPr>
        <w:pStyle w:val="TextoNormal"/>
      </w:pPr>
      <w:r>
        <w:t>Por su parte, el apartado d) del artículo 2.2 no supone la imposición a los operadores de una determinada infraestructura o tecnología, sino la previsión de que la instalación de infraestructuras, para el despliegue de las redes de que se trate, se realice de una determinada forma (respetuosa con la normativa de medio ambiente y protección del paisaje) y con la garantía de una ordenación coherente que permita y favorezca la implantación de infraestructuras precisas para garantizar que el despliegue de redes contribuya a la cohesión social, territorial y económica de la Comunidad Autónoma. Parece necesario concluir que la definición de este objetivo no menoscaba ni impide el ejercicio de la competencia estatal y se enmarca en los principios, objetivos y misiones que puede asumir la Comunidad Autónoma.</w:t>
      </w:r>
    </w:p>
    <w:p w:rsidR="00163957" w:rsidRDefault="00163957" w:rsidP="00163957">
      <w:pPr>
        <w:pStyle w:val="TextoNormal"/>
      </w:pPr>
    </w:p>
    <w:p w:rsidR="00163957" w:rsidRDefault="00163957" w:rsidP="00163957">
      <w:pPr>
        <w:pStyle w:val="TextoNormal"/>
      </w:pPr>
      <w:r>
        <w:t xml:space="preserve">En definitiva, ningún reproche puede realizarse, en este sentido, a la voluntad de contribuir a un mayor despliegue de infraestructuras que permite la instalación e implementación de redes que, a su vez, contribuyan no solo al desarrollo económico de la Comunidad Autónoma, sino, como ya hemos apuntado, a luchar contra la llamada fractura digital manteniendo la cohesión social y territorial que, actualmente, no puede garantizarse únicamente por las vías de comunicaciones de transporte tradicionales, sino también por las llamadas autopistas de la información que mantienen la conexión (la conectividad) entre las diversas partes del territorio. La exposición de motivos de la Ley 3/2013 ofrece, en este sentido, claves para interpretar el contenido de la norma autonómica al fundamentar su regulación </w:t>
      </w:r>
      <w:r>
        <w:lastRenderedPageBreak/>
        <w:t>en el necesario desarrollo de la sociedad de la información en la Comunidad Autónoma de Galicia, su modernización, la garantía del bienestar ciudadano y del desarrollo del tejido industrial y económico, entre otros aspectos. Se prevé todo esto, según se expone, en el marco de planes estratégicos como la agenda digital o el plan de banda ancha del Estado.</w:t>
      </w:r>
    </w:p>
    <w:p w:rsidR="00163957" w:rsidRDefault="00163957" w:rsidP="00163957">
      <w:pPr>
        <w:pStyle w:val="TextoNormal"/>
      </w:pPr>
    </w:p>
    <w:p w:rsidR="00163957" w:rsidRDefault="00163957" w:rsidP="00163957">
      <w:pPr>
        <w:pStyle w:val="TextoNormal"/>
      </w:pPr>
      <w:r w:rsidRPr="00163957">
        <w:rPr>
          <w:rStyle w:val="NumeroAFNegritaCaracter"/>
        </w:rPr>
        <w:t>6</w:t>
      </w:r>
      <w:r>
        <w:t>. Intervención del sector público autonómico en promoción de infraestructuras. En el segundo bloque de alegaciones el recurso de inconstitucionalidad se dirige contra determinados preceptos de la Ley 3/2013 cuyo denominador común es el de regular la intervención de los poderes públicos autonómicos en el sector de las telecomunicaciones a través de la promoción de la instalación y del desarrollo de infraestructuras de telecomunicaciones y redes de comunicaciones electrónicas, bien sea de forma directa (asumiendo, por ejemplo, su construcción o ejecución), bien sea mediante acciones de fomento dirigidas a los operadores privados. Considera el Abogado del Estado que los apartados 3, 5 y 7 del art. 5 de la Ley 3/2013 son inconstitucionales por contener una regulación contraria al principio de libre competencia y de libre mercado que rige en el ámbito de las telecomunicaciones, según la normativa estatal, al permitir la intervención del sector público autonómico como si se tratase de un actor más del sector, sin tener en cuenta que la instalación y la extensión de infraestructuras corresponde a los operadores que libremente entran en el mercado.</w:t>
      </w:r>
    </w:p>
    <w:p w:rsidR="00163957" w:rsidRDefault="00163957" w:rsidP="00163957">
      <w:pPr>
        <w:pStyle w:val="TextoNormal"/>
      </w:pPr>
    </w:p>
    <w:p w:rsidR="00163957" w:rsidRDefault="00163957" w:rsidP="00163957">
      <w:pPr>
        <w:pStyle w:val="TextoNormal"/>
      </w:pPr>
      <w:r>
        <w:t>El análisis de la constitucionalidad de los apartados impugnados requiere de una precisión previa impuesta por la necesidad de interpretar las normas de acuerdo con el contexto más amplio en el que se inscriben. El art. 5 de la Ley 3/2013 se ubica en el título II relativo a los “principios rectores de la intervención de las administraciones públicas de Galicia para el impulso y la ordenación de las infraestructuras de telecomunicaciones y redes públicas de comunicaciones electrónicas”, donde se determinan las condiciones específicas que deben respetarse en este caso, y el previo artículo 4.2 de la norma autonómica subraya que la actividad promotora del sector público autonómico en esta materia se desarrollará “con sujeción al marco normativo general en materia de telecomunicaciones, a la normativa de la Unión Europea sobre competencia y ayudas estatales y a las condiciones que se recogen en el artículo siguiente”.</w:t>
      </w:r>
    </w:p>
    <w:p w:rsidR="00163957" w:rsidRDefault="00163957" w:rsidP="00163957">
      <w:pPr>
        <w:pStyle w:val="TextoNormal"/>
      </w:pPr>
    </w:p>
    <w:p w:rsidR="00163957" w:rsidRDefault="00163957" w:rsidP="00163957">
      <w:pPr>
        <w:pStyle w:val="TextoNormal"/>
      </w:pPr>
      <w:r>
        <w:t>A partir de esta afirmación genérica el primer apartado del art. 5 de la Ley 3/2013 (no impugnado) establece el presupuesto necesario para que pueda darse esta intervención pública de promoción, limitándola a dos supuestos: a) aquellas zonas en las que, “atendiendo al nivel de conectividad existente, no existan infraestructuras de telecomunicaciones y redes de comunicaciones electrónicas de banda ancha básica y/o redes de acceso de nueva generación y no esté prevista su ejecución de forma inmediata por otros operadores” (públicos o privados); b) aquellas zonas en las que, aun existiendo infraestructura de banda ancha, “los servicios prestados por el sector privado no son suficientes para satisfacer las necesidades y no esté prevista la inversión privada en redes de acceso de nueva generación, por lo que es necesaria la intervención púbica por motivos de interés público”.</w:t>
      </w:r>
    </w:p>
    <w:p w:rsidR="00163957" w:rsidRDefault="00163957" w:rsidP="00163957">
      <w:pPr>
        <w:pStyle w:val="TextoNormal"/>
      </w:pPr>
    </w:p>
    <w:p w:rsidR="00163957" w:rsidRDefault="00163957" w:rsidP="00163957">
      <w:pPr>
        <w:pStyle w:val="TextoNormal"/>
      </w:pPr>
      <w:r>
        <w:t>Sólo cuando se esté ante uno de esos dos supuestos la Administración autonómica podrá intervenir “promoviendo” la instalación de infraestructuras y redes de la manera prevista en el apartado 3 del art. 5 de la Ley 3/2013 (apartado impugnado); esto es, a través de dos niveles de intervención que examinaremos de forma separada. El primero, en el que “la actividad de promoción se limitará, inicialmente, a la construcción y despliegue de infraes</w:t>
      </w:r>
      <w:r>
        <w:lastRenderedPageBreak/>
        <w:t>tructuras de soporte, tales como conductos, cámaras subterráneas, suministro eléctrico, bocas de inspección, distribuidores, antenas, mástiles, torres y otras estructuras de soporte, edificios o entradas a edificios que permitan a los demás operadores, tanto públicos como privados, implementar sus redes públicas de comunicación”.</w:t>
      </w:r>
    </w:p>
    <w:p w:rsidR="00163957" w:rsidRDefault="00163957" w:rsidP="00163957">
      <w:pPr>
        <w:pStyle w:val="TextoNormal"/>
      </w:pPr>
    </w:p>
    <w:p w:rsidR="00163957" w:rsidRDefault="00163957" w:rsidP="00163957">
      <w:pPr>
        <w:pStyle w:val="TextoNormal"/>
      </w:pPr>
      <w:r>
        <w:t>Partiendo del contenido de este primer inciso del apartado 3 del art. 5 de la ley autonómica y de su inserción en el contexto dibujado por los arts. 5.1 y 4 de la norma (que no han sido impugnados), no se aprecia tacha alguna de inconstitucionalidad. En efecto, la previsión de que la Comunidad Autónoma de Galicia pueda construir infraestructuras de soporte como las descritas en el precepto constituye una medida apropiada para la ejecución de lo estipulado en el primer apartado del art. 5 de la ley 3/2013 que, de otra forma, quedaría sin contenido alguno. Se trata de una actividad de promoción a través de una actuación material consistente en la construcción de infraestructuras auxiliares y previas a la red de comunicaciones electrónicas en aquellas zonas donde todavía no se han implementado y en las que resulta necesaria una intervención pública a fin de evitar la fractura digital, por los motivos establecidos en el mencionado art. 5.1 de la Ley gallega, quedando garantizado el pleno ejercicio de la competencia exclusiva estatal mediante la sujeción de esta actividad de promoción al marco normativo general en materia de telecomunicaciones que impone el art. 4.2 de la Ley impugnada (en relación al art. 36.2 de la Ley general de telecomunicaciones y su normativa de desarrollo).</w:t>
      </w:r>
    </w:p>
    <w:p w:rsidR="00163957" w:rsidRDefault="00163957" w:rsidP="00163957">
      <w:pPr>
        <w:pStyle w:val="TextoNormal"/>
      </w:pPr>
    </w:p>
    <w:p w:rsidR="00163957" w:rsidRDefault="00163957" w:rsidP="00163957">
      <w:pPr>
        <w:pStyle w:val="TextoNormal"/>
      </w:pPr>
      <w:r>
        <w:t>Una conclusión diferente alcanzamos, sin embargo, respecto del segundo inciso del apartado 3 impugnado que regula otro tipo de intervención por parte de la Comunidad Autónoma. Este segundo nivel de intervención resulta más intenso: “En el caso” —dice el precepto autonómico— “de que la instalación de las anteriores infraestructuras no fuere suficiente para fomentar la implementación por los demás operadores de sus redes, el sector público autonómico podrá llevar a cabo la ejecución de la totalidad de la red. En este caso” —se puntualiza— “la explotación o prestación de servicios disponibles para el público la llevará a cabo un operador que no forme parte del sector público autonómico, para lo cual deberá convocarse el correspondiente procedimiento de concurrencia pública. Si este procedimiento quedare desierto, la explotación o prestación de servicios disponibles para el público podrá llevarla a cabo un operador que pertenezca al sector público autonómico”. Finalmente, ese mismo apartado 3 del art. 5 de la Ley 3/2013, en su tercer inciso, exceptúa de lo dispuesto en este punto “la explotación o prestación de servicios, en régimen de autoprestación, por el sector público autonómico para la satisfacción de sus necesidades y el cumplimiento de los fines que le son propios, así como la explotación de redes y prestación de servicios que no afecten a la competencia en los términos definidos por la Comisión de Mercado de las Telecomunicaciones” (ahora Comisión Nacional de los Mercados y la Competencia).</w:t>
      </w:r>
    </w:p>
    <w:p w:rsidR="00163957" w:rsidRDefault="00163957" w:rsidP="00163957">
      <w:pPr>
        <w:pStyle w:val="TextoNormal"/>
      </w:pPr>
    </w:p>
    <w:p w:rsidR="00163957" w:rsidRDefault="00163957" w:rsidP="00163957">
      <w:pPr>
        <w:pStyle w:val="TextoNormal"/>
      </w:pPr>
      <w:r>
        <w:t>La sola lectura del precepto evidencia que, en este caso, el legislador autonómico sí incurre en un exceso competencial pues se trata de una materia que incide en el régimen de explotación de las redes y de prestación de los servicios de comunicaciones electrónicas; régimen que, conforme al encuadre competencial y la determinación del canon de enjuiciamiento aplicable que hemos realizado en el fundamento jurídico tercero de esta resolución, es competencia exclusiva del Estado (STC 8/2012).</w:t>
      </w:r>
    </w:p>
    <w:p w:rsidR="00163957" w:rsidRDefault="00163957" w:rsidP="00163957">
      <w:pPr>
        <w:pStyle w:val="TextoNormal"/>
      </w:pPr>
    </w:p>
    <w:p w:rsidR="00163957" w:rsidRDefault="00163957" w:rsidP="00163957">
      <w:pPr>
        <w:pStyle w:val="TextoNormal"/>
      </w:pPr>
      <w:r>
        <w:lastRenderedPageBreak/>
        <w:t>En efecto, es el legislador estatal el que, tras definir las telecomunicaciones como “servicios de interés general que se prestan en régimen de libre competencia” —teniendo la consideración de servicio público (o estando sometidos a determinadas obligaciones de servicio público) los que la propia ley determine (por ejemplo, en su artículo 4 concerniente a los servicios de telecomunicaciones para la defensa nacional, la seguridad pública, la seguridad vial y la protección civil)— y recordar que “la explotación de las redes y la prestación de servicios de comunicaciones electrónicas se realizará en régimen de libre competencia” (art. 5 de la Ley general de telecomunicaciones), prevé la posibilidad de la instalación y explotación de redes públicas y prestación de servicios de comunicaciones electrónicas por operadores controlados directa e indirectamente por las Administraciones públicas en determinados casos y bajo determinadas condiciones (art. 9 de la Ley general de telecomunicaciones).</w:t>
      </w:r>
    </w:p>
    <w:p w:rsidR="00163957" w:rsidRDefault="00163957" w:rsidP="00163957">
      <w:pPr>
        <w:pStyle w:val="TextoNormal"/>
      </w:pPr>
    </w:p>
    <w:p w:rsidR="00163957" w:rsidRDefault="00163957" w:rsidP="00163957">
      <w:pPr>
        <w:pStyle w:val="TextoNormal"/>
      </w:pPr>
      <w:r>
        <w:t>Así, la intervención en el sector por parte de estos operadores controlados directa o indirectamente por los poderes públicos está concebida como excepción al régimen general de libre competencia y al criterio de actuación con sujeción al principio del inversor privado en el caso de servicios “que no distorsionen la competencia o cuando se confirme un fallo del mercado y no exista interés de concurrencia en el despliegue del sector privado por ausencia o insuficiencia de inversión privada, ajustándose la inversión pública al principio de necesidad con la finalidad de garantizar la necesaria cohesión social y territorial”. Más allá de las condiciones que se establezcan reglamentariamente —pues el art. 9 de la Ley general de telecomunicaciones remite a un posterior desarrollo por real decreto— el art. 9.4 de la Ley general de telecomunicaciones determina que, estos casos, los operadores tienen reconocido directamente el derecho de acceso a infraestructuras y recursos asociados utilizados por las Administraciones públicas para la explotación de redes y prestación de servicios; reconoce el derecho al uso compartido de la infraestructura de red de esos operadores controlados directa o indirectamente por los poderes públicos; y establece que debe respetarse en todo caso la separación estructural entre tales operadores y los órganos encargados de la regulación y gestión de los derechos de utilización del dominio correspondiente. Esta regulación está en la línea de lo establecido en la normativa comunitaria (como evidencia, por ejemplo, la Comunicación de la Comisión Europea 2013/C/25 en la que se establecen las Directrices de la Unión Europea para la aplicación de las normas sobre ayudas estatales al despliegue rápido de redes de banda ancha). En estas disposiciones la intervención pública a través de ayudas estatales (u otras medidas) está prevista para el desarrollo de redes de banda ancha en las llamadas “zonas blancas” en las que no existe tal infraestructura y es poco probable que se desarrolle en un futuro próximo, atendiéndose a los objetivos de cohesión territorial y desarrollo económico (considerando 66 de la Comunicación, “DOCE” C 25, de 26 de enero de 2013).</w:t>
      </w:r>
    </w:p>
    <w:p w:rsidR="00163957" w:rsidRDefault="00163957" w:rsidP="00163957">
      <w:pPr>
        <w:pStyle w:val="TextoNormal"/>
      </w:pPr>
    </w:p>
    <w:p w:rsidR="00163957" w:rsidRDefault="00163957" w:rsidP="00163957">
      <w:pPr>
        <w:pStyle w:val="TextoNormal"/>
      </w:pPr>
      <w:r>
        <w:t xml:space="preserve">Esto es, el Estado, en ejercicio de la competencia exclusiva que le otorga el art.149.1.21 CE para regular las condiciones de explotación de redes y prestación de servicios, ha decidido caracterizarlo como un sector abierto a la libre competencia cuyas particulares características, sin embargo, determinan no solo una regulación más intensa por parte de los poderes públicos, sino también la posibilidad de establecer excepciones a aquel principio cuando sea necesario para alcanzar determinados objetivos, como seguidamente se verá. Y es también la Administración del Estado la que define los servicios cuya prestación por los poderes públicos no supone una distorsión de la libre competencia del sector, bien por tratarse de una autoprestación bien porque, aun prestándose de forma gratuita e ininterrumpida </w:t>
      </w:r>
      <w:r>
        <w:lastRenderedPageBreak/>
        <w:t>por el poder público, se entiende que no alteran la estructura del mercado (así, por ejemplo, y de acuerdo con la Circular 1/2010 de la Comisión del Mercado de las Telecomunicaciones, los servicios de wifi en bibliotecas o el acceso por wifi a webs institucionales de la Administración).</w:t>
      </w:r>
    </w:p>
    <w:p w:rsidR="00163957" w:rsidRDefault="00163957" w:rsidP="00163957">
      <w:pPr>
        <w:pStyle w:val="TextoNormal"/>
      </w:pPr>
    </w:p>
    <w:p w:rsidR="00163957" w:rsidRDefault="00163957" w:rsidP="00163957">
      <w:pPr>
        <w:pStyle w:val="TextoNormal"/>
      </w:pPr>
      <w:r>
        <w:t>En conclusión, no cabe regulación autonómica en esta materia por lo que debemos declarar la inconstitucionalidad del segundo y del tercer inciso del apartado 3 del art. 5 de la Ley 3/2013, aunque no por apreciar una ruptura del mercado con quiebra del principio de la libre competencia como aduce el Abogado del Estado —pues el sector público autonómico, en tanto que habilitado por el legislador competente en materia de telecomunicaciones, podrá llevar a cabo la mencionada intervención (ejecución de la totalidad de la red y prestación de servicios) conforme a los criterios y condiciones establecidos legal y reglamentariamente por el Estado— sino porque el legislador autonómico ha pretendido una regulación propia y autónoma de una materia reservada al Estado en virtud del art. 149.1. 21 CE.</w:t>
      </w:r>
    </w:p>
    <w:p w:rsidR="00163957" w:rsidRDefault="00163957" w:rsidP="00163957">
      <w:pPr>
        <w:pStyle w:val="TextoNormal"/>
      </w:pPr>
    </w:p>
    <w:p w:rsidR="00163957" w:rsidRDefault="00163957" w:rsidP="00163957">
      <w:pPr>
        <w:pStyle w:val="TextoNormal"/>
      </w:pPr>
      <w:r>
        <w:t xml:space="preserve">Debe añadirse que el hecho de que la regulación autonómica controvertida se adecue, ahora, a lo dispuesto en la norma estatal vigente no es óbice para esta declaración de inconstitucionalidad. De acuerdo con la doctrina constitucional sobre la </w:t>
      </w:r>
      <w:r w:rsidRPr="00163957">
        <w:rPr>
          <w:i/>
        </w:rPr>
        <w:t>lex repetita</w:t>
      </w:r>
      <w:r>
        <w:t xml:space="preserve"> la reiteración o “la reproducción de normas estatales en normas autonómicas es inconstitucional cuando la Comunidad Autónoma carece de la correspondiente competencia” (STC 5/2015, de 5 de febrero, FJ 5, con cita de las SSTC 341/2005 y 10/1982). La salvedad a la que está sometida esta regla —que la reiteración de la norma estatal sea imprescindible para el entendimiento del precepto autonómico— no resulta aquí aplicable, puesto que, siendo el objeto de la Ley gallega el impulso y ordenación de las infraestructuras de telecomunicaciones desde la perspectiva de las competencias autonómicas antes mencionadas (ordenación del territorio, urbanismo, medio ambiente y desarrollo económico), la regulación de la construcción de redes y explotación de servicios por parte del sector público en determinados casos no añade (ni forma parte) del propio objeto de la ley ni resulta imprescindible para su comprensión.</w:t>
      </w:r>
    </w:p>
    <w:p w:rsidR="00163957" w:rsidRDefault="00163957" w:rsidP="00163957">
      <w:pPr>
        <w:pStyle w:val="TextoNormal"/>
      </w:pPr>
    </w:p>
    <w:p w:rsidR="00163957" w:rsidRDefault="00163957" w:rsidP="00163957">
      <w:pPr>
        <w:pStyle w:val="TextoNormal"/>
      </w:pPr>
      <w:r>
        <w:t>La conclusión anterior debe proyectarse sobre el resto de apartados del art. 5 de la Ley 3/2013 que han sido impugnados y cuya inconstitucionalidad debemos declarar, de nuevo, no porque la regulación material en sí misma suponga la alteración del mercado como sostiene el Abogado del Estado (aduciendo, por ejemplo, que del art. 5.5 de la Ley gallega se desprende una fijación de precios ex ante), sino porque se trata de una traslación de principios que rigen en el sector de las telecomunicaciones cuya fijación corresponde en exclusiva al Estado en tanto en cuanto forma parte intrínseca de la regulación del sector de las telecomunicaciones sin quepa su reiteración (y menos su reformulación) por parte del legislador autonómico.</w:t>
      </w:r>
    </w:p>
    <w:p w:rsidR="00163957" w:rsidRDefault="00163957" w:rsidP="00163957">
      <w:pPr>
        <w:pStyle w:val="TextoNormal"/>
      </w:pPr>
    </w:p>
    <w:p w:rsidR="00163957" w:rsidRDefault="00163957" w:rsidP="00163957">
      <w:pPr>
        <w:pStyle w:val="TextoNormal"/>
      </w:pPr>
      <w:r>
        <w:t>Esto ocurre, en efecto, con el apartado 5 del art. 5 de la Ley 3/2013 según cuyo tenor “los precios que abonarán las personas usuarias de las redes públicas de comunicaciones de titularidad autonómica serán precios de mercado, sin perjuicio de las excepciones recogidas en el marco normativo general en materia de telecomunicaciones”. Este apartado parece conformarse como un recordatorio del principio de libre competencia que rige en el sector de las telecomunicaciones según lo ha configurado el legislador estatal. Este recordatorio, en aplicación de la doctrina de la</w:t>
      </w:r>
      <w:r w:rsidRPr="00163957">
        <w:rPr>
          <w:i/>
        </w:rPr>
        <w:t>lex repetita</w:t>
      </w:r>
      <w:r>
        <w:t xml:space="preserve">, no está permitido a la Ley autonómica, al carecer la Comunidad Autónoma de competencias en materia de telecomunicaciones, sin que la remisión a lo establecido en la Ley general de telecomunicaciones —excepciones al precio </w:t>
      </w:r>
      <w:r>
        <w:lastRenderedPageBreak/>
        <w:t>de mercado como la contemplada en el art. 25.1 f) que permite la aplicación, en determinados casos, de limitaciones de precios, tarifas comunes o equiparación geográfica— pueda considerarse relevante a estos efectos.</w:t>
      </w:r>
    </w:p>
    <w:p w:rsidR="00163957" w:rsidRDefault="00163957" w:rsidP="00163957">
      <w:pPr>
        <w:pStyle w:val="TextoNormal"/>
      </w:pPr>
    </w:p>
    <w:p w:rsidR="00163957" w:rsidRDefault="00163957" w:rsidP="00163957">
      <w:pPr>
        <w:pStyle w:val="TextoNormal"/>
      </w:pPr>
      <w:r>
        <w:t xml:space="preserve">De igual modo, la inconstitucionalidad del apartado 6 del artículo 5 de la norma que enjuiciamos deriva de la reiteración, en una norma autonómica promulgada con fundamento en competencias de ordenación del territorio y de urbanismo, de principios reguladores que resultan ajenos a tales competencias pues son propios del sector de telecomunicaciones. Como tales principios reguladores han de considerarse las condiciones de acceso a las redes de comunicaciones: equitativas, no discriminatorias, objetivas, transparentes, neutrales y a precios de mercado, y sujetas a intervención de la Comisión Nacional de Mercados y Competencia en caso de conflicto entre las partes (y regulados, por ejemplo, en los arts. 9 y 38 de la Ley general de telecomunicaciones), tal como se ha definido el parámetro de enjuiciamiento en el fundamento jurídico tercero. En definitiva la previsión autonómica de que “los operadores, tanto públicos como privados, tendrán acceso a las redes públicas de comunicaciones electrónicas de titularidad autonómica de conformidad con los principios de neutralidad, transparencia, igualdad y no-discriminación” ha de considerarse inconstitucional por ser </w:t>
      </w:r>
      <w:r w:rsidRPr="00163957">
        <w:rPr>
          <w:i/>
        </w:rPr>
        <w:t>lex repetita</w:t>
      </w:r>
      <w:r>
        <w:t xml:space="preserve"> que no cumple los presupuestos constitucionales para su admisibilidad.</w:t>
      </w:r>
    </w:p>
    <w:p w:rsidR="00163957" w:rsidRDefault="00163957" w:rsidP="00163957">
      <w:pPr>
        <w:pStyle w:val="TextoNormal"/>
      </w:pPr>
    </w:p>
    <w:p w:rsidR="00163957" w:rsidRDefault="00163957" w:rsidP="00163957">
      <w:pPr>
        <w:pStyle w:val="TextoNormal"/>
      </w:pPr>
      <w:r>
        <w:t>Finalmente, por lo que respecta al bloque de alegaciones relativo a la promoción de infraestructuras, ha de declararse también la inconstitucionalidad del apartado 7 del art. 5 de la Ley autonómica. Según el citado apartado todos aquellos operadores (públicos y privados) “que resulten beneficiarios de las ayudas que, desde el sector público autonómico, se otorguen para el despliegue de infraestructuras de telecomunicaciones y redes públicas de comunicaciones electrónicas de banda ancha o de acceso de nueva generación tendrán la obligación de suministrar acceso efectivo al por mayor a terceros operadores sobre las infraestructuras de telecomunicaciones subvencionadas”. Se vienen a plasmar, así, las directrices que la Comisión Europea ha dictado para facilitar el desarrollo de las redes de banda ancha —en las que considera el “acceso mayorista efectivo a terceros a una infraestructura de banda ancha subvencionada” como un componente indispensable de toda medida estatal de apoyo a la banda ancha que, precisamente, permite a terceros operadores competir con el licitador elegido reforzando la competencia [considerando 78 g) de la Comunicación de la Comisión Europea C-25/01 antes citada]— lo que evidencia, con los mismos argumentos utilizados para los apartados anteriores, que se trata de una materia propia de telecomunicaciones y de régimen general de comunicaciones (así hemos calificado la regulación del acceso) que está vedada a la regulación por parte de la Comunidad Autónoma.</w:t>
      </w:r>
    </w:p>
    <w:p w:rsidR="00163957" w:rsidRDefault="00163957" w:rsidP="00163957">
      <w:pPr>
        <w:pStyle w:val="TextoNormal"/>
      </w:pPr>
    </w:p>
    <w:p w:rsidR="00163957" w:rsidRDefault="00163957" w:rsidP="00163957">
      <w:pPr>
        <w:pStyle w:val="TextoNormal"/>
      </w:pPr>
      <w:r>
        <w:t>En conclusión, por lo que se refiere a este bloque de alegaciones, debemos declarar la inconstitucionalidad de los apartados 3, segundo y tercer inciso, 5, 6 y 7, del art. 5 de la Ley 3/2013, por tener como objeto una regulación (sobre la intervención autonómica en la construcción y explotación de redes y prestación de servicios de comunicaciones electrónicas) que no tiene cabida en la norma autonómica de impulso y ordenación de las infraestructuras de telecomunicaciones de Galicia, y cuyo objeto excede de la competencia autonómica, al configurar o conformar el sector de las telecomunicaciones y comunicaciones electrónicas.</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Planificación de infraestructuras. Con el argumento de que los títulos competenciales de ordenación del territorio y urbanismo no permiten a la Comunidad Autónoma de Galicia asumir directamente la competencia en planificación de infraestructuras, pues esto significa, </w:t>
      </w:r>
      <w:r>
        <w:lastRenderedPageBreak/>
        <w:t>según se afirma, la asunción íntegra y “comprensiva de la función nuclear de la competencia en la materia”, el Abogado del Estado impugna los arts. 7. 2, 12. 4, 13, 14. 1 y 2, 15. 2; 17. 1 y 2 y disposición adicional primera de la Ley 3/2013, en lo que constituye el tercer bloque de alegaciones del recurso de inconstitucionalidad. Los tres primeros preceptos impugnados se ubican en el título relativo a los principios rectores que han de regir la intervención de las Administraciones públicas para el impulso y la ordenación de las infraestructuras; mientras los tres restantes se ubican en el título III cuyo objeto es la regulación de “los instrumentos de ordenación y planificación de las infraestructuras de telecomunicaciones”.</w:t>
      </w:r>
    </w:p>
    <w:p w:rsidR="00163957" w:rsidRDefault="00163957" w:rsidP="00163957">
      <w:pPr>
        <w:pStyle w:val="TextoNormal"/>
      </w:pPr>
    </w:p>
    <w:p w:rsidR="00163957" w:rsidRDefault="00163957" w:rsidP="00163957">
      <w:pPr>
        <w:pStyle w:val="TextoNormal"/>
      </w:pPr>
      <w:r>
        <w:t>Antes de abordar el análisis pormenorizado de cada uno de ellos, conviene traer a colación la jurisprudencia constitucional sobre la necesidad de cohonestar la competencia estatal en materia de telecomunicaciones y las competencias sectoriales autonómicas en materia de ordenación del territorio y de urbanismo cuando estas segundas se plasman en instrumentos normativos. Así, en la citada STC 8/2012 (FJ 8) se declara respecto de los planes territoriales de despliegue de red en suelo rústico que “no son un instrumento para la regulación, ordenación o gestión del dominio público radioeléctrico, sino para facilitar la ordenación de los emplazamientos en suelo rústico de las instalaciones de radiocomunicación en el contexto más general de la ordenación territorial, es decir, de la planificación de usos sobre el territorio y de la protección, a través de la misma, de otros intereses públicos sectoriales que también competen a la Comunidad Autónoma (protección medioambiental, sanitaria, del patrimonio histórico-artístico)” y que “la competencia estatal de planificación en materia de telecomunicaciones que se incardina en el art. 149.1.21 CE tiene un objeto bien distinto” —relativo a la ordenación de la numeración telefónica (para garantizar su disponibilidad) y a la ordenación del espectro radioeléctrico— para concluir que “ninguna invasión de estas competencias se produce mediante el sometimiento de los operadores a la presentación de planes territoriales de despliegue de red que han de proporcionar la información necesaria para que la Comunidad Autónoma afectada pueda realizar un control previo de la conformidad de las previsiones de nuevas instalaciones con la normativa sectorial que haya dictado en ejercicio de sus competencias para la preservación de intereses públicos que le están encomendados de forma exclusiva o compartida con el Estado (ordenación del territorio, urbanismo, medio ambiente, sanidad)”.</w:t>
      </w:r>
    </w:p>
    <w:p w:rsidR="00163957" w:rsidRDefault="00163957" w:rsidP="00163957">
      <w:pPr>
        <w:pStyle w:val="TextoNormal"/>
      </w:pPr>
    </w:p>
    <w:p w:rsidR="00163957" w:rsidRDefault="00163957" w:rsidP="00163957">
      <w:pPr>
        <w:pStyle w:val="TextoNormal"/>
      </w:pPr>
      <w:r>
        <w:t xml:space="preserve">Teniendo en cuenta lo anterior, no cabe reproche de inconstitucionalidad alguno al segundo apartado del art. 7 de la Ley 3/2013 cuando establece que, a efectos de que “la Administración General y el sector público autonómico puedan llevar a cabo una correcta planificación de las infraestructuras de telecomunicaciones y de las redes públicas de comunicaciones electrónicas, desde un punto de vista urbanístico, de ordenación del territorio protección del medio ambiente, del entorno y del patrimonio cultural” —esta precisión es relevante, pues trae a colación los títulos materiales en los que se sustenta y determinan el alcance de la regulación— “los titulares de las infraestructuras de telecomunicaciones y los operadores de redes y servicios de comunicaciones electrónicas, ya sean públicos o privados, facilitarán a la Agencia para la Modernización Tecnológica de Galicia” determinada información: en particular, “a) la necesaria para que la Administración general y el resto del sector público autonómico de Galicia pueda elaborar un inventario de las infraestructuras de telecomunicaciones y redes públicas de comunicaciones electrónicas” y “b) planes de despliegue o implantación en los que se especifiquen las necesidades de suelo para la implantación de los servicios que se pretenden prestar”. Finaliza el apartado con una remisión </w:t>
      </w:r>
      <w:r>
        <w:lastRenderedPageBreak/>
        <w:t>al reglamento en orden a determinar el alcance, las condiciones, la periodicidad y los límites de esta obligación de información.</w:t>
      </w:r>
    </w:p>
    <w:p w:rsidR="00163957" w:rsidRDefault="00163957" w:rsidP="00163957">
      <w:pPr>
        <w:pStyle w:val="TextoNormal"/>
      </w:pPr>
    </w:p>
    <w:p w:rsidR="00163957" w:rsidRDefault="00163957" w:rsidP="00163957">
      <w:pPr>
        <w:pStyle w:val="TextoNormal"/>
      </w:pPr>
      <w:r>
        <w:t>El requerimiento de esta información, que resulta útil y necesaria para poder plantear tanto el modelo urbano como rural de desarrollo tecnológico de la Comunidad Autónoma, no supone una ordenación material del sector de las telecomunicaciones ni condiciona las políticas que, en este ámbito, pueda diseñar el Estado y encuentra su natural acomodo en la competencia autonómica en materia de ordenación del territorio y urbanismo. De esta manera, como se acaba de mencionar, las Comunidades Autónomas pueden efectuar un control de implantación de infraestructuras para controlar la preservación de los otros intereses públicos que le están encomendados conociendo, a través del inventario, con qué infraestructuras se cuenta a efectos de su emplazamiento, desde la perspectiva urbanística, de ordenación territorial y de protección medioambiental que corresponde a las Comunidades Autónomas. Esta previsión —la de aportar la información que sea necesaria para el despliegue de red— se inscribe en la lógica de la coordinación y cooperación en materia de implantación de infraestructuras de telecomunicaciones y despliegue de redes públicas de comunicaciones electrónicas a efectos de su planificación y uso, tal como rubrica el propio art. 7 de la Ley 3/2013, no solo entre Administración autonómica y local (apartado primero) sino también entre los propios operadores y la administración territorial, teniendo en cuenta lo dispuesto por la Administración competente en materia de telecomunicaciones.</w:t>
      </w:r>
    </w:p>
    <w:p w:rsidR="00163957" w:rsidRDefault="00163957" w:rsidP="00163957">
      <w:pPr>
        <w:pStyle w:val="TextoNormal"/>
      </w:pPr>
    </w:p>
    <w:p w:rsidR="00163957" w:rsidRDefault="00163957" w:rsidP="00163957">
      <w:pPr>
        <w:pStyle w:val="TextoNormal"/>
      </w:pPr>
      <w:r>
        <w:t>Precisamente el legislador estatal, consciente de la necesidad de obtener esa información, dispone en el art. 10.2 de la Ley general de telecomunicaciones que “las administraciones públicas podrán solicitar la información que sea necesaria en el ejercicio de sus competencias”, siempre que tales informaciones sean “motivadas y proporcionadas al fin perseguido” (art. 10.3 de la Ley general de telecomunicaciones) y siempre que se trate de información de que no disponga la Autoridad nacional de reglamentación (art. 10.2 de la Ley general de telecomunicaciones). Resulta patente, por lo demás, que la información relativa a las necesidades de suelo, así como aquella que sea necesaria para elaborar un inventario de infraestructuras a que se refiere el art. 7 de la Ley 3/2013 resulta adecuada y proporcional a las finalidades perseguidas y, de hecho, es cumplimiento de un mandato establecido por el Estado como titular de la competencia en telecomunicaciones. Así el legislador estatal ha establecido que: (i) la previsión de las redes públicas de telecomunicaciones en los planes urbanísticos tiene carácter de “determinación estructurante” (art. 34. 2 de la Ley general de telecomunicaciones); (ii) tanto la normativa aprobada por las Administraciones públicas que afecte al despliegue de infraestructuras de redes de comunicaciones electrónicas como los instrumentos de planificación territorial o urbanística “deberán contener las disposiciones necesarias para impulsar o facilitar el despliegue de infraestructuras” garantizando “una oferta suficiente de lugares y espacios físicos en los que los operadores decidan ubicar sus infraestructuras”, para lo cual deberán “identificar dichos lugares y espacios físicos” donde los operadores puedan ubicar sus infraestructuras y obtener, a la vez, un despliegue ordenado desde el punto de vista territorial (art. 34.3 de la Ley general de telecomunicaciones). En cualquier caso, el suministro de información que prevé la Ley gallega habrá de adecuarse a lo establecido en la ley sectorial: los operadores no tienen obligación de aportar información que ya obre en manos de la Administración, y el Ministerio de Industria establecerá la forma en que se facilitará a la administraciones públicas la información que precisen para el ejercicio de sus propias competencias.</w:t>
      </w:r>
    </w:p>
    <w:p w:rsidR="00163957" w:rsidRDefault="00163957" w:rsidP="00163957">
      <w:pPr>
        <w:pStyle w:val="TextoNormal"/>
      </w:pPr>
    </w:p>
    <w:p w:rsidR="00163957" w:rsidRDefault="00163957" w:rsidP="00163957">
      <w:pPr>
        <w:pStyle w:val="TextoNormal"/>
      </w:pPr>
      <w:r>
        <w:lastRenderedPageBreak/>
        <w:t>En directa relación con lo anterior, y en el seno del capítulo III de la Ley 3/2013, los arts. 14. 1 y 2 y 15. 2 de la Ley, concernientes a los criterios de planificación y ordenación territorial de las telecomunicaciones y al contenido del plan sectorial de infraestructuras de telecomunicaciones, respectivamente, se muestran como la concreción o desarrollo de esa premisa establecida en el art. 7.2 de la Ley autonómica: esto es, una vez realizado el inventario de infraestructuras y especificadas las necesidades de uso de suelo, puede ya planificarse cómo acomodar el despliegue de red previsto por los operadores a las específicas características del territorio. En definitiva, como se manifestó en la STC 8/2012 (FJ 8) se ordenan, así, los emplazamientos “conciliando los diferentes intereses en juego de competencia autonómica, así como busca[ndo] las soluciones más adecuadas para, respetando el derecho de los operadores, integrar las redes en la ordenación territorial y medioambiental y asegurar el cumplimiento de las limitaciones y condiciones que legítimamente imponga la normativa autonómica."</w:t>
      </w:r>
    </w:p>
    <w:p w:rsidR="00163957" w:rsidRDefault="00163957" w:rsidP="00163957">
      <w:pPr>
        <w:pStyle w:val="TextoNormal"/>
      </w:pPr>
    </w:p>
    <w:p w:rsidR="00163957" w:rsidRDefault="00163957" w:rsidP="00163957">
      <w:pPr>
        <w:pStyle w:val="TextoNormal"/>
      </w:pPr>
      <w:r>
        <w:t>Partiendo de esta premisa genérica debemos descender ahora al análisis de cada uno de los apartados impugnados pues presentan contenidos y alcances diferentes desde la perspectiva del enjuiciamiento competencial que ahora realizamos.</w:t>
      </w:r>
    </w:p>
    <w:p w:rsidR="00163957" w:rsidRDefault="00163957" w:rsidP="00163957">
      <w:pPr>
        <w:pStyle w:val="TextoNormal"/>
      </w:pPr>
    </w:p>
    <w:p w:rsidR="00163957" w:rsidRDefault="00163957" w:rsidP="00163957">
      <w:pPr>
        <w:pStyle w:val="TextoNormal"/>
      </w:pPr>
      <w:r>
        <w:t>Establece el art. 14. 1. a) de la Ley 3/2013 que la planificación y ordenación territorial se realizará atendiendo al criterio de “asegurar la extensión de las redes de telecomunicaciones en todo el territorio de la Comunidad Autónoma, en especial en el ámbito rural y en las áreas más aisladas”. No se aprecia aquí ningún exceso conforme al encuadre competencial descrito en el fundamento jurídico tercero de esta resolución. Prima, en este caso, la perspectiva de la ordenación territorial por parte de la Comunidad Autónoma que tiene, como objetivo legítimo (y propio) el de garantizar, a través de una planificación que tenga en cuenta las particulares características orográficas y poblacionales de su territorio, una extensión coherente de las infraestructuras de telecomunicaciones y redes de comunicaciones electrónicas en aras a conseguir una mayor cohesión territorial (y social) en la Comunidad Autónoma de Galicia.</w:t>
      </w:r>
    </w:p>
    <w:p w:rsidR="00163957" w:rsidRDefault="00163957" w:rsidP="00163957">
      <w:pPr>
        <w:pStyle w:val="TextoNormal"/>
      </w:pPr>
    </w:p>
    <w:p w:rsidR="00163957" w:rsidRDefault="00163957" w:rsidP="00163957">
      <w:pPr>
        <w:pStyle w:val="TextoNormal"/>
      </w:pPr>
      <w:r>
        <w:t xml:space="preserve">A conclusión distinta se llega, sin embargo, respecto de los dos siguientes apartados del art. 14 de la Ley autonómica en los que se establecen los siguientes criterios: “b) Asegurar las condiciones adecuadas para posibilitar el acceso de calidad de toda la ciudadanía a los servicios de telecomunicaciones y a las nuevas tecnologías de la información y la comunicación” y “c) Asegurar la integración y la interconexión de redes de telecomunicaciones a escala internacional, nacional, autonómica y local”. En estos dos casos la Ley 3/2013 se refiere a cuestiones relativas, de un lado, a la prestación de los servicios de comunicaciones electrónicas (criterios de calidad y configuración, en cierta forma, del contenido del servicio universal como ese conjunto de servicios que tiene que ser accesible a todos los ciudadanos) y, de otro lado, a la interconexión de redes de comunicaciones electrónicas. Según el Tribunal ha precisado en el fundamento jurídico tercero de esta resolución, tanto las condiciones de prestación de los servicios de comunicaciones electrónicas como la regulación de la interconexión y el acceso a las redes de comunicaciones electrónicas constituyen el núcleo de la competencia exclusiva del Estado en materia de telecomunicaciones, por lo que ambos apartados deben ser declarados inconstitucionales. En la STC 72/2014 (FFJJ 6 y 7) se señaló que uno de los elementos esenciales que integran la competencia exclusiva del Estado en </w:t>
      </w:r>
      <w:r>
        <w:lastRenderedPageBreak/>
        <w:t>materia de telecomunicaciones es, precisamente y una vez liberalizado el mercado, la determinación de las obligaciones de servicio público y de las que integran el servicio universal, así como la regulación de las condiciones de acceso e interconexión de redes.</w:t>
      </w:r>
    </w:p>
    <w:p w:rsidR="00163957" w:rsidRDefault="00163957" w:rsidP="00163957">
      <w:pPr>
        <w:pStyle w:val="TextoNormal"/>
      </w:pPr>
    </w:p>
    <w:p w:rsidR="00163957" w:rsidRDefault="00163957" w:rsidP="00163957">
      <w:pPr>
        <w:pStyle w:val="TextoNormal"/>
      </w:pPr>
      <w:r>
        <w:t>Impugna a continuación el Abogado del Estado el art. 14.2 de la Ley gallega según el cual “el resultado de esa planificación y ordenación territorial de las telecomunicaciones en Galicia se plasmará en un plan sectorial de infraestructuras de telecomunicaciones que favorecerá la cohesión territorial y social de Galicia a través del despliegue ordenado, coherente y eficiente de las infraestructuras de telecomunicaciones y redes públicas de comunicaciones electrónicas”. El único argumento en que se fundamenta el recurso es que no se contiene, en el citado precepto, referencia o conexión a competencia autonómica propia. Tal razonamiento no solo resulta insuficiente desde la perspectiva de la argumentación necesaria para fundamentar la impugnación de una ley, lo que nos eximiría de su análisis, sino que además resulta poco convincente, puesto que es, precisamente, la competencia en ordenación del territorio y urbanismo la que sustenta la competencia para la elaboración de planes específicos o sectoriales de despliegue de infraestructuras y redes, presupuesto de toda esta regulación, tal como el Tribunal tiene declarado en la STC 8/2012 en relación a los planes de despliegue de redes en suelo rústico a los que nos hemos referido al inicio de este fundamento jurídico. Evidentemente, la ordenación o planificación de un despliegue coherente de infraestructuras siguiendo los criterios establecidos en el primer apartado del artículo 14 cuya inconstitucionalidad no se ha declarado (letra a) o no han sido impugnados —apartados d) y e) del artículo 14.1 relativos a la minimización de los efectos de la presencia de estas infraestructuras sobre el territorio y el medio ambiente y a su integración en el ámbito urbanístico y territorial conforme a parámetros de sostenibilidad respetuosos con la conservación del patrimonio natural y cultural y del paisaje, respectivamente— se relaciona intrínsecamente con el interés propio de la Comunidad Autónoma en el mantenimiento de la cohesión social y territorial de Galicia, a través precisamente de su competencia en materia de ordenación del territorio.</w:t>
      </w:r>
    </w:p>
    <w:p w:rsidR="00163957" w:rsidRDefault="00163957" w:rsidP="00163957">
      <w:pPr>
        <w:pStyle w:val="TextoNormal"/>
      </w:pPr>
    </w:p>
    <w:p w:rsidR="00163957" w:rsidRDefault="00163957" w:rsidP="00163957">
      <w:pPr>
        <w:pStyle w:val="TextoNormal"/>
      </w:pPr>
      <w:r>
        <w:t>El examen de la constitucionalidad de las letras a), b), d), f), g) y h) del art. 15.2 de la Ley 3/2013, impugnadas por el Abogado del Estado por contener una regulación que supone una “determinación estricta de las condiciones técnicas de las instalaciones” que atenta contra el principio de neutralidad tecnológica así como contra el principio de libre competencia, requiere también de un análisis diferenciado de cada una de ellas atendiendo a su concreto contenido, dejando para un fundamento jurídico posterior el análisis de los concretos apartados f) y g) que son impugnados desde una perspectiva distinta, la del servicio público, ajena a este bloque temático.</w:t>
      </w:r>
    </w:p>
    <w:p w:rsidR="00163957" w:rsidRDefault="00163957" w:rsidP="00163957">
      <w:pPr>
        <w:pStyle w:val="TextoNormal"/>
      </w:pPr>
    </w:p>
    <w:p w:rsidR="00163957" w:rsidRDefault="00163957" w:rsidP="00163957">
      <w:pPr>
        <w:pStyle w:val="TextoNormal"/>
      </w:pPr>
      <w:r>
        <w:t>Bajo la rúbrica “Plan sectorial de infraestructuras de telecomunicaciones de Galicia” el art. 15.1 de la Ley 3/2013 prevé la elaboración de este plan como “plan sectorial de incidencia supramunicipal”, estableciendo su segundo apartado “las determinaciones necesarias” o contenido mínimo —desglosado en las letras a) a h)— que deberá recoger el mencionado plan a efectos de “garantizar el despliegue ordenado y eficiente de las infraestructuras de telecomunicaciones y redes públicas de comunicaciones electrónicas”.</w:t>
      </w:r>
    </w:p>
    <w:p w:rsidR="00163957" w:rsidRDefault="00163957" w:rsidP="00163957">
      <w:pPr>
        <w:pStyle w:val="TextoNormal"/>
      </w:pPr>
    </w:p>
    <w:p w:rsidR="00163957" w:rsidRDefault="00163957" w:rsidP="00163957">
      <w:pPr>
        <w:pStyle w:val="TextoNormal"/>
      </w:pPr>
      <w:r>
        <w:t xml:space="preserve">Desde esta perspectiva de planificación territorial de las infraestructuras, ningún problema plantea —pues constituye, de hecho, objeto consustancial a la elaboración de un plan— que la Ley autonómica defina como contenido mínimo de necesaria inclusión en el </w:t>
      </w:r>
      <w:r>
        <w:lastRenderedPageBreak/>
        <w:t>mencionado plan sectorial de “los objetivos básicos y los principios de la planificación y de la ordenación del territorio en materia de telecomunicaciones” [art. 15.2 a) de la Ley 3/2013]. En toda actividad planificadora la determinación de estrategias y medidas concretas de actuación requiere de la previa fijación de los objetivos generales que se persiguen y los principios rectores que permitirán diseñar después las concretas áreas y sectores de actuación. La referencia, aquí, a la “materia de telecomunicaciones” no alude al objeto de esa actividad planificadora, como parece entenderse de las alegaciones del recurso de inconstitucionalidad, pues el objeto de dicha planificación es la ordenación del territorio y la necesidad de articular mecanismos para un adecuado encaje de las infraestructuras de telecomunicaciones. Se tiene así en cuenta que no solo las redes de comunicaciones electrónicas tienen carácter de equipamiento básico (y su previsión en los planes urbanísticos el carácter de determinación “estructurante”), sino que su instalación y despliegue se califican como obras de interés general (art. 34. 2 Ley general de telecomunicaciones) por lo que los planes de ordenación territorial o urbanística deben contener las disposiciones necesarias para impulsar o facilitar el despliegue de redes de comunicación electrónica en su ámbito territorial (art. 34.1 de la Ley general de telecomunicaciones).</w:t>
      </w:r>
    </w:p>
    <w:p w:rsidR="00163957" w:rsidRDefault="00163957" w:rsidP="00163957">
      <w:pPr>
        <w:pStyle w:val="TextoNormal"/>
      </w:pPr>
    </w:p>
    <w:p w:rsidR="00163957" w:rsidRDefault="00163957" w:rsidP="00163957">
      <w:pPr>
        <w:pStyle w:val="TextoNormal"/>
      </w:pPr>
      <w:r>
        <w:t>Por lo que respecta a la letra b) del art. 15. 2 de la Ley autonómica gallega, según el cual el plan sectorial de infraestructuras de Galicia deberá incluir “las medidas y políticas territoriales que fomenten la innovación y el desarrollo de las infraestructuras de telecomunicaciones en el territorio, al objeto de posibilitar el acceso a nuevos servicios”, debemos declarar la inconstitucionalidad del último inciso pues, ciertamente, aunque esté enunciado como objetivo que, desde luego, puede perseguir la Comunidad Autónoma en su concreta actuación, no es materia de competencia autonómica determinar o planificar qué nuevos servicios de telecomunicaciones se prestarán a través de determinadas redes. La alusión a “nuevos servicios” parece referirse a los llamados servicios de “nueva generación” a través de banda ancha ultrarrápida cuya implantación es objetivo prioritario de la agenda digital 2010 y a lo que, precisamente, responde la modificación de la Ley general de telecomunicaciones estatal. Se trata, por tanto, de una cuestión relativa a la prestación de servicios de comunicaciones electrónicas propia del legislador estatal virtud del art. 149.1.21 CE. Será él quien deberá definir cuáles son las características que deben reunir las redes de comunicaciones electrónicas e infraestructuras de telecomunicaciones a efectos de poder garantizar estos servicios. La Comunidad Autónoma solo puede prever medidas que coadyuven a esa innovación desde su competencia urbanística o de ordenación territorial. Por esta razón el inciso “al objeto de posibilitar el acceso a nuevos servicios” es inconstitucional.</w:t>
      </w:r>
    </w:p>
    <w:p w:rsidR="00163957" w:rsidRDefault="00163957" w:rsidP="00163957">
      <w:pPr>
        <w:pStyle w:val="TextoNormal"/>
      </w:pPr>
    </w:p>
    <w:p w:rsidR="00163957" w:rsidRDefault="00163957" w:rsidP="00163957">
      <w:pPr>
        <w:pStyle w:val="TextoNormal"/>
      </w:pPr>
      <w:r>
        <w:t xml:space="preserve">En la misma línea debe declararse inconstitucional el último inciso del apartado h) del art. 15 de la ley 3/2013, que configura como contenido mínimo del plan “la definición de un catálogo de infraestructuras necesarias para la prestación de servicios mínimos obligatorios de telecomunicaciones”. En efecto, si bien no hay óbice constitucional a que el plan sectorial contenga un inventario de infraestructuras —como elemento necesario de información para una mejor planificación y ordenación del territorio— este inventario no puede serlo a efectos de determinar qué infraestructuras son necesarias para prestar los servicios mínimos obligatorios —nomenclatura, por otra parte, desfasada que parece evocar a la Ley general de telecomunicaciones de 1998 (que incluía dentro de esta categoría el télex, los servicios telegráficos y que dan fehaciencia del contenido del mensaje o el encaminamiento a los servicios de urgencia)—, que ahora se incluyen en la categoría más genérica de “otras </w:t>
      </w:r>
      <w:r>
        <w:lastRenderedPageBreak/>
        <w:t>obligaciones de servicio público”. La definición y determinación de los servicios que cumplen obligaciones de servicio público o conforman el servicio universal es competencia exclusiva del Estado en virtud del art. 149.1.21 CE. De acuerdo con este mismo parámetro de constitucionalidad, también ha de reputarse inconstitucional el inciso del art. 15.3 de la Ley 2/2013 “sin perjuicio de garantizar la prestación de los servicios mínimos obligatorios de telecomunicaciones”, sin objeción ninguna, en cambio, en relación al resto del precepto, cuyo tenor, eliminado el inciso inconstitucional, refiere que el plan sectorial “establecerá las limitaciones, las condiciones y los requisitos tendentes a minimizar el impacto sobre el medio ambiente y el patrimonio cultural para la instalación de infraestructuras de telecomunicaciones en los bienes inmuebles declarados de interés cultural, de conformidad con la legislación en materia de patrimonio cultural, y en los espacios naturales protegidos declarados conforme a la legislación en materia de conservación de la naturaleza”.</w:t>
      </w:r>
    </w:p>
    <w:p w:rsidR="00163957" w:rsidRDefault="00163957" w:rsidP="00163957">
      <w:pPr>
        <w:pStyle w:val="TextoNormal"/>
      </w:pPr>
    </w:p>
    <w:p w:rsidR="00163957" w:rsidRDefault="00163957" w:rsidP="00163957">
      <w:pPr>
        <w:pStyle w:val="TextoNormal"/>
      </w:pPr>
      <w:r>
        <w:t>Ninguna objeción desde una perspectiva constitucional cabe plantear, de otro lado, al contenido del apartado d) del art. 15 de la Ley autonómica, también impugnado, pues se limita a hacer constar que el plan sectorial de infraestructuras contendrá “los criterios que deben cumplir las instalaciones desde la perspectiva de ordenación del territorio y minimización de impactos visuales, ambientales y paisajísticos”, lo que supone, de forma evidente, el ejercicio de una competencia propiamente autonómica (en materia de ordenación del territorio, urbanismo y medio ambiente).</w:t>
      </w:r>
    </w:p>
    <w:p w:rsidR="00163957" w:rsidRDefault="00163957" w:rsidP="00163957">
      <w:pPr>
        <w:pStyle w:val="TextoNormal"/>
      </w:pPr>
    </w:p>
    <w:p w:rsidR="00163957" w:rsidRDefault="00163957" w:rsidP="00163957">
      <w:pPr>
        <w:pStyle w:val="TextoNormal"/>
      </w:pPr>
      <w:r>
        <w:t>La siguiente impugnación en el bloque relativo a la planificación de infraestructuras tiene como objeto el art. 17 de la Ley 3/2013 que, bajo la rúbrica “determinaciones mínimas de los instrumentos de planificación urbanística”, incluye un contenido que, en palabras del Abogado del Estado, implica que la Comunidad Autónoma de Galicia asume directamente la regulación sectorial de telecomunicaciones en vez de intervenir indirectamente en aplicación de la lógica de cooperación. El art. 17. 1 de la Ley 3/2013 determina las especificaciones que, en materia de infraestructuras de telecomunicaciones y redes de comunicaciones electrónicas, deben incluir los planes urbanísticos. Aunque se impugna la totalidad del precepto, las alegaciones materiales del recurso se centran en la letra a) —“la ordenación de los equipos y dotaciones de telecomunicaciones”— y la letra c) —“la eliminación o actualización de las instalaciones obsoletas, inseguras o en desuso”—; sin que se haga referencia a los motivos por los que el Abogado del Estado considera inconstitucional el art. 17.1 b) relativo a “la definición y ampliación de las infraestructuras que permitan soportar las necesidades actuales de servicios de comunicaciones electrónicas y prevean el crecimiento de estas necesidades”. Desde una perspectiva general, considera el Abogado del Estado, de un lado, que el legislador autonómico se está inmiscuyendo en la regulación de los aspectos técnicos de las telecomunicaciones que compete al Estado, conforme a la STC 8/2012 (FJ 4) y, de otro lado, que la “actualización” de instalaciones a la que alude la norma autonómica permite “la intervención en la determinación de las características de las redes y en sus condiciones de explotación y prestación del servicio”.</w:t>
      </w:r>
    </w:p>
    <w:p w:rsidR="00163957" w:rsidRDefault="00163957" w:rsidP="00163957">
      <w:pPr>
        <w:pStyle w:val="TextoNormal"/>
      </w:pPr>
    </w:p>
    <w:p w:rsidR="00163957" w:rsidRDefault="00163957" w:rsidP="00163957">
      <w:pPr>
        <w:pStyle w:val="TextoNormal"/>
      </w:pPr>
      <w:r>
        <w:t>Impugna también el Abogado del Estado segundo apartado del art. 17 de la Ley 3/2013 concerniente a “los criterios básicos de implantación de redes públicas de comunicaciones electrónicas que deberán trasladarse a los instrumentos de planificación urbanística”, al entender que la fijación de estos criterios supone una regulación de los requisitos que deben cumplir las redes y servicios de comunicaciones electrónicas, asumiendo la Comunidad Au</w:t>
      </w:r>
      <w:r>
        <w:lastRenderedPageBreak/>
        <w:t>tónoma de Galicia una regulación sustancial del mercado que no le corresponde. Por conexión se impugna la disposición transitoria primera de la Ley gallega que difiere la aplicación de lo previsto en el artículo 17 a la entrada en vigor del plan sectorial de infraestructuras de telecomunicaciones de Galicia.</w:t>
      </w:r>
    </w:p>
    <w:p w:rsidR="00163957" w:rsidRDefault="00163957" w:rsidP="00163957">
      <w:pPr>
        <w:pStyle w:val="TextoNormal"/>
      </w:pPr>
    </w:p>
    <w:p w:rsidR="00163957" w:rsidRDefault="00163957" w:rsidP="00163957">
      <w:pPr>
        <w:pStyle w:val="TextoNormal"/>
      </w:pPr>
      <w:r>
        <w:t>El examen de los diversos apartados y letras impugnados requiere de una contextualización previa. Hay que recordar que el artículo 17 se encuentra ubicado en el título relativo a los instrumentos de ordenación y planificación de las infraestructuras y, por tanto, no tiene como destinatarios a los operadores que exploten redes o que presten servicios de comunicaciones electrónicas sino a los operadores jurídicos, a los poderes públicos cuando elaboran instrumentos normativos. Esto supone que tales preceptos no contienen una regulación que implique la imposición de obligaciones a los operadores del sector en cuanto tales. Tanto los artículos 14 y 15 analizados supra como el artículo 17 se refieren al contenido y estructuración formal de instrumentos normativos específicos, como son los planes (de infraestructuras o de urbanismo), una de cuyas características es la de afrontar la conformación de un territorio desde diversas perspectivas, y por tanto con un enfoque convergente o multidisplicinar que tiene en cuenta el objeto de planificación desde diversas perspectivas (por ejemplo, ubicación de instalaciones eléctricas o de telecomunicaciones, presencia de ríos o de cultivos) y que supone la adopción de medidas de muy diversa índole y su programación temporal. Lo que regula, en definitiva, la Ley 3/2013 en su artículo 17 es la determinación del contenido de los planes y la forma de ejercer las competencias urbanísticas, competencia que no corresponde al Estado, y esto no significa que no pueda incidirse en el sector de las telecomunicaciones, siempre que no se pretenda su ordenación ni se condicione la política que en dicho ámbito pueda desarrollar el Estado [STC 141/2014, de 11 de septiembre, FJ 8 D) b) sensu contrario] y se respeten los parámetros y requerimientos técnicos esenciales y necesarios para garantizar el funcionamiento de las redes, tal como exige el art. 34.4 de la Ley general de telecomunicaciones.</w:t>
      </w:r>
    </w:p>
    <w:p w:rsidR="00163957" w:rsidRDefault="00163957" w:rsidP="00163957">
      <w:pPr>
        <w:pStyle w:val="TextoNormal"/>
      </w:pPr>
    </w:p>
    <w:p w:rsidR="00163957" w:rsidRDefault="00163957" w:rsidP="00163957">
      <w:pPr>
        <w:pStyle w:val="TextoNormal"/>
      </w:pPr>
      <w:r>
        <w:t>Teniendo en cuenta lo anterior, la previsión contenida en el art. 17.1 a) de la Ley impugnada (que caracteriza como especificación mínima a incluir en el plan “la ordenación de equipos y dotaciones de telecomunicaciones) resulta constitucional en la medida en que tal inclusión se vincule con la perspectiva de su ubicación desde el punto de vista urbanístico y paisajístico y no con la regulación de los requisitos técnicos de esos equipos o de las condiciones de las instalaciones, cuestiones estas últimas que se enmarcan en la competencia exclusiva del Estado en materia de telecomunicaciones. Esta interpretación se llevará al fallo”.</w:t>
      </w:r>
    </w:p>
    <w:p w:rsidR="00163957" w:rsidRDefault="00163957" w:rsidP="00163957">
      <w:pPr>
        <w:pStyle w:val="TextoNormal"/>
      </w:pPr>
    </w:p>
    <w:p w:rsidR="00163957" w:rsidRDefault="00163957" w:rsidP="00163957">
      <w:pPr>
        <w:pStyle w:val="TextoNormal"/>
      </w:pPr>
      <w:r>
        <w:t>Por lo que respecta al art. 17.1 b) de la norma autonómica, no se especifican en el recurso los motivos por los que el Abogado del Estado considera que la inclusión en los planes urbanísticos de las infraestucturas (y su posible ampliación) en aras a soportar los (eventuales) nuevos servicios, afectan al mercado (cuando, de hecho, lo que permiten es, precisamente, que el mercado pueda diversificarse) o suponen una regulación del servicio universal (cuando el precepto ni determina ni pretende regular los servicios de telecomunicaciones).</w:t>
      </w:r>
    </w:p>
    <w:p w:rsidR="00163957" w:rsidRDefault="00163957" w:rsidP="00163957">
      <w:pPr>
        <w:pStyle w:val="TextoNormal"/>
      </w:pPr>
    </w:p>
    <w:p w:rsidR="00163957" w:rsidRDefault="00163957" w:rsidP="00163957">
      <w:pPr>
        <w:pStyle w:val="TextoNormal"/>
      </w:pPr>
      <w:r>
        <w:t xml:space="preserve">Tampoco supone invasión de la competencia exclusiva estatal reconocida en el art. 149.1.21 CE la disposición autonómica de que los planes urbanísticos contengan o especifiquen las instalaciones que, por hallarse en desuso, deban eliminarse o aquellas que, por </w:t>
      </w:r>
      <w:r>
        <w:lastRenderedPageBreak/>
        <w:t>razones de seguridad, deban actualizarse. Tales previsiones no afectan al régimen de despliegue y explotación de redes de comunicaciones electrónicas ni a las condiciones de prestación del servicio. Como se declara en la ya citada STC 8/2012, las “obligaciones genéricas de mantenimiento de sus instalaciones en condiciones adecuadas de seguridad, estabilidad y conservación, así como de revisión periódica y subsanación de las deficiencias de conservación entran dentro de las competencias autonómicas en materia de urbanismo (art. 148.1.3 CE; art. 31.1.2 EACM), siendo esta previsión una regulación especial, en atención a las características de las instalaciones de telecomunicaciones, de la regulación urbanística clásica del deber general de los propietarios de conservar y mantener sus construcciones e instalaciones en condiciones adecuadas” (FJ 6). Se trata en definitiva de obligaciones que, ni en el caso de la legislación castellano-manchega que se enjuició en su momento, ni en el caso de la legislación gallega que ahora se enjuicia, pueden considerarse referidas “a aspectos relativos a la utilización del espectro radioeléctrico” o “al cumplimiento de las condiciones técnicas o a las características de las emisiones, aspectos todos ellos de competencia estatal” que no aborda la Ley autonómica y en los que, por tanto, no interfiere.</w:t>
      </w:r>
    </w:p>
    <w:p w:rsidR="00163957" w:rsidRDefault="00163957" w:rsidP="00163957">
      <w:pPr>
        <w:pStyle w:val="TextoNormal"/>
      </w:pPr>
    </w:p>
    <w:p w:rsidR="00163957" w:rsidRDefault="00163957" w:rsidP="00163957">
      <w:pPr>
        <w:pStyle w:val="TextoNormal"/>
      </w:pPr>
      <w:r>
        <w:t>Ciertamente esta afirmación requiere de una última precisión: la referencia al carácter “obsoleto” de las instalaciones sí debe considerarse un exceso competencial en tanto en cuanto, en este caso, la definición de obsolescencia ha de referirse necesariamente bien a la adecuación de la instalación a las especificaciones técnicas de la red, bien a la propia infraestructura de telecomunicación desde una perspectiva técnica. Esta regulación constituye materia de telecomunicaciones y por ello debe ser declarada la inconstitucionalidad de la palabra “obsoletas” de la letra c) del art. 17. 1.</w:t>
      </w:r>
    </w:p>
    <w:p w:rsidR="00163957" w:rsidRDefault="00163957" w:rsidP="00163957">
      <w:pPr>
        <w:pStyle w:val="TextoNormal"/>
      </w:pPr>
    </w:p>
    <w:p w:rsidR="00163957" w:rsidRDefault="00163957" w:rsidP="00163957">
      <w:pPr>
        <w:pStyle w:val="TextoNormal"/>
      </w:pPr>
      <w:r>
        <w:t>La impugnación del segundo apartado del art. 17 de Ley 3/2013 se fundamenta, como hemos señalado, en una supuesta intervención directa de la Comunidad en la regulación sectorial de telecomunicaciones. El artículo 17. 2 contiene los criterios que deben plasmarse en los instrumentos de planificación urbanística por parte de sus redactores. Así, la letra a) del artículo 17.2 indica como criterio trasladable al plan urbanístico de que se trate “el cumplimiento de las necesidades mínimas de infraestructuras de telecomunicaciones que aseguren la viabilidad de los servicios mínimos requeridos”. Esta disposición no puede ser tachada de inconstitucional, pues se enmarca en la competencia autonómica de ordenación del territorio en el sentido ya apuntado de incluir en la planificación urbanística, y desde esta perspectiva, las previsiones de emplazamiento de infraestructuras de telecomunicaciones necesarias en el territorio para facilitar el despliegue de redes y su correcto trazado.</w:t>
      </w:r>
    </w:p>
    <w:p w:rsidR="00163957" w:rsidRDefault="00163957" w:rsidP="00163957">
      <w:pPr>
        <w:pStyle w:val="TextoNormal"/>
      </w:pPr>
    </w:p>
    <w:p w:rsidR="00163957" w:rsidRDefault="00163957" w:rsidP="00163957">
      <w:pPr>
        <w:pStyle w:val="TextoNormal"/>
      </w:pPr>
      <w:r>
        <w:t xml:space="preserve">Por lo que respecta a la letra b) del art. 17.2 de la Ley enjuiciada, que señala como criterio de planificación urbanística “la actuación coordinada de los titulares del dominio público, y de estos con los operadores, para el despliegue de redes de comunicaciones electrónicas, de modo que redunden en un menor coste para todos los agentes implicados y contribuyan a la mejora de las infraestructuras presentes en el territorio y de las tecnologías empleadas, adelanten el despliegue en zonas deficitarias y, en general, faciliten la prestación de servicios públicos”, debemos declarar inconstitucional el inciso “y de estos con los operadores” pues, si bien de manera directa no se refiere a la materia de telecomunicaciones, la previsión de una actuación coordinada de los titulares del dominio público en aras al trazado y la ubicación de las infraestructuras, cuando esta se proyecta sobre los operadores, afecta al ámbito </w:t>
      </w:r>
      <w:r>
        <w:lastRenderedPageBreak/>
        <w:t>de disposición de estos, en cuanto se refiere al régimen de explotación de redes de comunicaciones electrónicas, por lo que, si procede, solo puede ser modulado por el legislador estatal.</w:t>
      </w:r>
    </w:p>
    <w:p w:rsidR="00163957" w:rsidRDefault="00163957" w:rsidP="00163957">
      <w:pPr>
        <w:pStyle w:val="TextoNormal"/>
      </w:pPr>
    </w:p>
    <w:p w:rsidR="00163957" w:rsidRDefault="00163957" w:rsidP="00163957">
      <w:pPr>
        <w:pStyle w:val="TextoNormal"/>
      </w:pPr>
      <w:r>
        <w:t>En lo demás, no existe dificultad alguna, pues la competencia autonómica, en cuanto se refiere a la materia de ordenación territorial y urbanística y puede proyectarse especialmente sobre bienes de titularidad autonómica o local, ofrece suficiente soporte constitucional para la planificación de una actuación coordinada de los titulares del dominio público, entendida dentro de los límites infranqueables que resultan de las competencias exclusivas del Estado, entre otras, en materia de dominio público y de telecomunicaciones.</w:t>
      </w:r>
    </w:p>
    <w:p w:rsidR="00163957" w:rsidRDefault="00163957" w:rsidP="00163957">
      <w:pPr>
        <w:pStyle w:val="TextoNormal"/>
      </w:pPr>
    </w:p>
    <w:p w:rsidR="00163957" w:rsidRDefault="00163957" w:rsidP="00163957">
      <w:pPr>
        <w:pStyle w:val="TextoNormal"/>
      </w:pPr>
      <w:r>
        <w:t>No podemos obviar en este punto que es el legislador competente en materia de telecomunicaciones el que realiza un llamamiento a la colaboración del resto de las Administraciones públicas (autonómicas y locales) en lo relativo al despliegue de redes. Así, el art. 35.4 de la Ley general de telecomunicaciones recuerda que “en la medida en que la instalación y el despliegue de las redes de comunicaciones electrónicas constituyen obras de interés general, el conjunto de las administraciones públicas tienen la obligación de facilitar el despliegue de infraestructuras de redes de comunicaciones electrónicas en su ámbito territorial, para lo cual deben dar debido cumplimiento a los deberes de recíproca información y de colaboración y cooperación mutuas en el ejercicio de sus actuaciones y de sus competencias” (previéndose una actuación residual del Ministerio para el caso de no haber acuerdo en el trazado).</w:t>
      </w:r>
    </w:p>
    <w:p w:rsidR="00163957" w:rsidRDefault="00163957" w:rsidP="00163957">
      <w:pPr>
        <w:pStyle w:val="TextoNormal"/>
      </w:pPr>
    </w:p>
    <w:p w:rsidR="00163957" w:rsidRDefault="00163957" w:rsidP="00163957">
      <w:pPr>
        <w:pStyle w:val="TextoNormal"/>
      </w:pPr>
      <w:r>
        <w:t>En lo concerniente a la letra c) del artículo 17.2, sólo la palabra “fiabilidad” ha de declararse inconstitucional. En efecto, el criterio consistente en “el aseguramiento de la disponibilidad y la fiabilidad de las infraestructuras de telecomunicaciones necesarias para dar soporte a los servicios públicos” solo incurre en exceso competencial en aquello relativo a la seguridad o fiabilidad de las infraestructuras, por cuanto supone o puede suponer la imposición o regulación de determinaciones técnicas que, como hemos reiterado, corresponden en exclusiva al Estado en virtud del art. 149.1.21 CE. En definitiva, corresponde al legislador estatal la regulación de las especificaciones técnicas y la Comunidad Autónoma solo puede intervenir en la regulación de la disponibilidad, entendida en la perspectiva territorial y urbanística, de infraestructuras de telecomunicaciones a efectos de favorecer la implantación de redes de comunicaciones electrónicas.</w:t>
      </w:r>
    </w:p>
    <w:p w:rsidR="00163957" w:rsidRDefault="00163957" w:rsidP="00163957">
      <w:pPr>
        <w:pStyle w:val="TextoNormal"/>
      </w:pPr>
    </w:p>
    <w:p w:rsidR="00163957" w:rsidRDefault="00163957" w:rsidP="00163957">
      <w:pPr>
        <w:pStyle w:val="TextoNormal"/>
      </w:pPr>
      <w:r>
        <w:t xml:space="preserve">El resto de criterios que deben reflejarse en la planificación urbanística contenidos en el art. 17.2 de la Ley autonómica —“la existencia y disponibilidad de infraestructuras suficientes que den servicio a las instalaciones comunes de telecomunicaciones de las nuevas edificaciones”, que “deberán estar previstas en los proyectos de urbanización en los términos que reglamentariamente se determinen” [artículo 17.2 d)]; la integración en el ámbito urbanístico y territorial de las infraestructuras para minimizar el impacto visual y en el paisaje [artículo 17.2 e)]; la ordenación coherente con las necesidades sociales, económicas y culturales [artículo 17.2 f)] y la simplificación del trazado de las instalaciones de telecomunicaciones [artículo 17.2 g)]— son impugnados por el Abogado del Estado sin cumplir con la carga mínima de argumentación que este Tribunal habitualmente exige, lo que puede eximirnos de todo pronunciamiento al respecto. En cualquier caso, se trata de criterios que </w:t>
      </w:r>
      <w:r>
        <w:lastRenderedPageBreak/>
        <w:t>encuentran acomodo natural en la competencia autonómica de urbanismo y ordenación territorial, como se desprende de su sola lectura, a tenor de los criterios que el Tribunal viene sentando en esta resolución.</w:t>
      </w:r>
    </w:p>
    <w:p w:rsidR="00163957" w:rsidRDefault="00163957" w:rsidP="00163957">
      <w:pPr>
        <w:pStyle w:val="TextoNormal"/>
      </w:pPr>
    </w:p>
    <w:p w:rsidR="00163957" w:rsidRDefault="00163957" w:rsidP="00163957">
      <w:pPr>
        <w:pStyle w:val="TextoNormal"/>
      </w:pPr>
      <w:r>
        <w:t>En conjunto, nos encontramos ante una lógica de colaboración entre la competencia sectorial del Estado y las competencias horizontales autonómicas, entre la Administración del Estado y el resto de Administraciones públicas (art. 34.1 de la Ley general de telecomunicaciones). El tercer apartado del art. 34 de la Ley general de telecomunicaciones establece que la normativa elaborada por las Administraciones públicas que afecte al despliegue de redes y los instrumentos de planificación territorial o urbanística debe contener las disposiciones necesarias “para impulsar o facilitar el despliegue de infraestructuras y redes de comunicaciones electrónicas en su ámbito territorial”, garantizando la libre competencia así como “una oferta suficiente de lugares y espacios físicos en los que los operadores decidan ubicar sus infraestructuras”. Para hacer “real” esa oferta suficiente, sigue estipulando la Ley general de telecomunicaciones, las Administraciones públicas identificarán los lugares donde los operadores puedan ubicar sus infraestructuras de redes y obtener un despliegue ordenado. Asimismo, el art. 34.4 de la Ley general de telecomunicaciones prescribe que la normativa que afecte al despliegue de redes elaborada por las Administraciones públicas en ejercicio de sus competencias y los instrumentos de planificación territorial y urbanística “deberán cumplir con lo dispuesto en la normativa sectorial de telecomunicaciones”; en particular, con “los parámetros y requerimientos esenciales o necesarios para garantizar el funcionamiento de las distintas redes y servicios de comunicaciones electrónicas” que se establecen por Decreto del Consejo de Ministros y actuar, en el ejercicio de su iniciativa normativa, “de acuerdo con los principios de necesidad, proporcionalidad, seguridad jurídica, transparencia, accesibilidad, simplicidad y eficacia”.</w:t>
      </w:r>
    </w:p>
    <w:p w:rsidR="00163957" w:rsidRDefault="00163957" w:rsidP="00163957">
      <w:pPr>
        <w:pStyle w:val="TextoNormal"/>
      </w:pPr>
    </w:p>
    <w:p w:rsidR="00163957" w:rsidRDefault="00163957" w:rsidP="00163957">
      <w:pPr>
        <w:pStyle w:val="TextoNormal"/>
      </w:pPr>
      <w:r>
        <w:t>Teniendo en cuenta lo manifestado en relación con el art. 17.1 y 2 de la Ley 3/2013, debe decaer asimismo la queja relativa a la disposición transitoria primera cuya impugnación lo era, exclusivamente, por conexión con el artículo 17 (dado que se trata de diferir su entrada en vigor hasta el momento en que se apruebe el plan sectorial de infraestructuras).</w:t>
      </w:r>
    </w:p>
    <w:p w:rsidR="00163957" w:rsidRDefault="00163957" w:rsidP="00163957">
      <w:pPr>
        <w:pStyle w:val="TextoNormal"/>
      </w:pPr>
    </w:p>
    <w:p w:rsidR="00163957" w:rsidRDefault="00163957" w:rsidP="00163957">
      <w:pPr>
        <w:pStyle w:val="TextoNormal"/>
      </w:pPr>
      <w:r>
        <w:t>Se impugna también, en este bloque de alegaciones, la disposición adicional primera por prever, aparte de los instrumentos de ordenación ya mencionados, la posibilidad de que la Administración general y el resto del sector público autonómico de Galicia puedan promover la formulación de instrumentos de ordenación territorial específicos para ordenar redes e infraestructuras de telecomunicaciones de titularidad pública autonómica y facilitar la toma de decisiones de inversión para el despliegue de banda ancha, especialmente en las áreas geográficamente más aisladas. El fundamento de la impugnación, según alega el Abogado del Estado, es que la disposición adicional primera no determina ni el rango, ni la naturaleza, ni las determinaciones concretas que podrían incluirse en tales instrumentos normativos, lo que podría derivar en una ordenación indebida de las telecomunicaciones. La impugnación debe desestimarse no solo por su propia parquedad o insuficiencia (que fuerza a considerar que se presenta con un carácter preventivo), sino porque la norma impugnada no afecta a la competencia estatal exclusiva en materia de telecomunicaciones, tal como el Tribunal la ha definido en el fundamento jurídico tercero de esta resolución, con independencia de que, como acabamos de señalar supra, cualquier instrumento de ordenación del territorio deberá respetar las obligaciones establecidas en la legislación sectorial de telecomunicaciones.</w:t>
      </w:r>
    </w:p>
    <w:p w:rsidR="00163957" w:rsidRDefault="00163957" w:rsidP="00163957">
      <w:pPr>
        <w:pStyle w:val="TextoNormal"/>
      </w:pPr>
    </w:p>
    <w:p w:rsidR="00163957" w:rsidRDefault="00163957" w:rsidP="00163957">
      <w:pPr>
        <w:pStyle w:val="TextoNormal"/>
      </w:pPr>
      <w:r>
        <w:t>Abordamos, en último lugar dentro del bloque que estamos examinando, el análisis del art. 13 de la Ley 3/2013 —impugnado en sus dos apartados— que, bajo la rúbrica “instalaciones susceptibles de afectar a las infraestructuras de telecomunicaciones o a la prestación de los servicios de comunicaciones electrónicas”, establece en su primer apartado que “con el fin de preservar la cobertura y calidad de los servicios de comunicaciones electrónicas y de garantizar la compatibilidad de las infraestructuras, todos aquellos planes, proyectos o autorizaciones que tengan por objeto infraestructuras o instalaciones susceptibles de afectar a las infraestructuras de telecomunicaciones o a la prestación de los servicios de comunicaciones electrónicas deberán obtener, con carácter previo a su aprobación u otorgamiento, informe favorable de la Agencia para la Modernización Tecnológica de Galicia.” El segundo apartado del precepto reenvía al reglamento la determinación del tipo de infraestructuras o instalaciones que requerirán de dicho informe previo y el carácter positivo del silencio administrativo (transcurridos dos meses sin emisión de informe).</w:t>
      </w:r>
    </w:p>
    <w:p w:rsidR="00163957" w:rsidRDefault="00163957" w:rsidP="00163957">
      <w:pPr>
        <w:pStyle w:val="TextoNormal"/>
      </w:pPr>
    </w:p>
    <w:p w:rsidR="00163957" w:rsidRDefault="00163957" w:rsidP="00163957">
      <w:pPr>
        <w:pStyle w:val="TextoNormal"/>
      </w:pPr>
      <w:r>
        <w:t>Debe indicarse, en primer lugar, que el ámbito objetivo del art. 13 de la Ley de telecomunicaciones de Galicia son las obras promovidas o autorizadas por la Comunidad Autónoma de Galicia o por los ayuntamientos de esa Comunidad, pero no las obras promovidas o autorizadas por el Estado.</w:t>
      </w:r>
    </w:p>
    <w:p w:rsidR="00163957" w:rsidRDefault="00163957" w:rsidP="00163957">
      <w:pPr>
        <w:pStyle w:val="TextoNormal"/>
      </w:pPr>
    </w:p>
    <w:p w:rsidR="00163957" w:rsidRDefault="00163957" w:rsidP="00163957">
      <w:pPr>
        <w:pStyle w:val="TextoNormal"/>
      </w:pPr>
      <w:r>
        <w:t>Conforme al parámetro de enjuiciamiento que resulta de aplicación debemos declarar la inconstitucionalidad de los incisos “de preservar la cobertura y la calidad de la prestación de los servicios de comunicaciones electrónicas” y “o a la prestación de los servicios de comunicaciones electrónicas” del art. 13.1 de la Ley 3/2013 por cuanto supone un exceso competencial al incluir en la norma autonómica cuestiones relativas a la explotación de redes y a la prestación de servicios de comunicaciones electrónicas que corresponden en exclusiva al Estado. El resto del precepto, sin embargo (en sus dos apartados), resulta conforme al reparto constitucional de competencias puesto que su ámbito objetivo son infraestructuras e instalaciones distintas de las de telecomunicaciones (“infraestructuras o instalaciones susceptibles de afectar a las infraestructuras de telecomunicaciones”), cuya instalación, no obstante, pueda afectar a otras infraestructuras de telecomunicaciones o a la propia prestación de los servicios de comunicaciones electrónicas. Tanto el Letrado de la Xunta como el Letrado del Parlamento autonómico de Galicia ponen como ejemplo la instalación de parques eólicos o las instalaciones para el suministro eléctrico o hidráulico. Desde esta perspectiva nada hay que objetar al precepto impugnado, puesto que la Comunidad Autónoma se mueve en el margen de sus competencias relativas a la ordenación territorial y urbanística sin invadir la competencia estatal de telecomunicaciones.</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Obligaciones de servicio público. Desde la perspectiva del servicio universal o de la imposición de obligaciones de servicio público se impugnan diversos preceptos de la Ley 3/2013 ubicados en capítulos muy diferentes de la norma autonómica: objetivos de la ley, principios de la planificación de infraestructuras, contenido del plan sectorial de infraestructuras y principios de instalación de infraestructuras, entre otros. El reproche de inconstitucionalidad se fundamenta en que tales preceptos (a los que seguidamente haremos referencia) contienen una definición del servicio universal y de los servicios mínimos obligatorios de telecomunicaciones que corresponde en exclusiva al Estado, pues solo así puede garantizarse la uniformidad en lo relativo a las concretas prestaciones que cumplen funciones de servicio público y evitarse la distorsión de la libre competencia que se produciría en caso </w:t>
      </w:r>
      <w:r>
        <w:lastRenderedPageBreak/>
        <w:t>de imponerse a los operadores obligaciones asimétricas en función de la Comunidad Autónoma que en la que operen, tal como hace la Ley gallega impugnada.</w:t>
      </w:r>
    </w:p>
    <w:p w:rsidR="00163957" w:rsidRDefault="00163957" w:rsidP="00163957">
      <w:pPr>
        <w:pStyle w:val="TextoNormal"/>
      </w:pPr>
    </w:p>
    <w:p w:rsidR="00163957" w:rsidRDefault="00163957" w:rsidP="00163957">
      <w:pPr>
        <w:pStyle w:val="TextoNormal"/>
      </w:pPr>
      <w:r>
        <w:t>Conviene señalar que sobre algunos de estos preceptos el Tribunal Constitucional ya se ha pronunciado en esta resolución al resolver otras impugnaciones. Esto ocurre, por ejemplo, con las letras b) y c) del art. 2.2 de la Ley —que fijan como objetivos de la norma, respectivamente, garantizar a la ciudadanía, a las empresas y a las administraciones públicas “la cobertura de las necesidades actuales y futuras, de los servicios y tecnologías de la información y de la comunicación, a fin de fomentar la competitividad basada en el conocimiento” o la garantía de un “acceso de calidad”— que hemos considerado constitucionales en atención a su carácter inocuo desde el enfoque competencial que asumimos, dada su ubicación en la propia norma (fijación de objetivos generales) y la carencia de repercusión material alguna que incida en la conformación del régimen de prestación de los servicios de comunicaciones electrónicas. Del mismo modo nos hemos pronunciado ya, declarando su inconstitucionalidad, sobre el artículo 14.1 b) —que establece como criterio de la planificación y ordenación de las telecomunicaciones en Galicia el de “asegurar las condiciones adecuadas para posibilitar el acceso de calidad de toda la ciudadanía a los servicios de telecomunicaciones y a las nuevas tecnologías de la información y la comunicación”— recordando lo señalado en la STC 72/2014 (FFJJ 6 y 7), pues la determinación de los parámetros de calidad que han de cumplir los servicios de comunicaciones electrónicas como servicios económicos de interés general es materia de telecomunicaciones, exclusiva del Estado. Con el mismo argumento el Tribunal ha considerado procedente declarar la inconstitucionalidad del inciso del artículo 15.2 h) relativo a “la prestación de los servicios mínimos obligatorios de telecomunicaciones” y del inciso “sin perjuicio de garantizar la prestación de los servicios mínimos obligatorios de telecomunicaciones” del art. 15.3 de la Ley.</w:t>
      </w:r>
    </w:p>
    <w:p w:rsidR="00163957" w:rsidRDefault="00163957" w:rsidP="00163957">
      <w:pPr>
        <w:pStyle w:val="TextoNormal"/>
      </w:pPr>
    </w:p>
    <w:p w:rsidR="00163957" w:rsidRDefault="00163957" w:rsidP="00163957">
      <w:pPr>
        <w:pStyle w:val="TextoNormal"/>
      </w:pPr>
      <w:r>
        <w:t>Las consideraciones anteriores han de servirnos también para el resto de preceptos que el Abogado del Estado impugna en el bloque relativo a las obligaciones de servicio público. En efecto, el parámetro de enjuiciamiento que se define en el fundamento jurídico tercero nos conduce a la declaración de inconstitucionalidad del inciso del artículo 18.1 que, tras reiterar que el plan sectorial de infraestructuras de Galicia “incluirá la definición de un catálogo de infraestructuras necesarias” añade “para la prestación de los servicios mínimos obligatorios de telecomunicaciones”. Tras la eliminación de esta referencia a los servicios mínimos obligatorios el tenor del apartado primero del art. 18 de la Ley autonómica se limita a enunciar la inclusión de un catálogo de infraestructuras en el plan sectorial de infraestructuras de telecomunicaciones de Galicia —en la misma línea que el artículo 15.2 h)— que, por lo expresado en el fundamento jurídico séptimo de esta resolución, al que nos remitimos, ha de considerarse comprendido en las competencias autonómicas de ordenación del territorio y urbanismo.</w:t>
      </w:r>
    </w:p>
    <w:p w:rsidR="00163957" w:rsidRDefault="00163957" w:rsidP="00163957">
      <w:pPr>
        <w:pStyle w:val="TextoNormal"/>
      </w:pPr>
    </w:p>
    <w:p w:rsidR="00163957" w:rsidRDefault="00163957" w:rsidP="00163957">
      <w:pPr>
        <w:pStyle w:val="TextoNormal"/>
      </w:pPr>
      <w:r>
        <w:t>En la misma línea el segundo apartado del art. 18 de la Ley autonómica, según el cual “en función de las necesidades sociales, económicas y culturales de cada municipio, los instrumentos de planeamiento urbanístico adaptarán el catálogo previsto en el referido plan sectorial, respetando en todo caso los servicios mínimos obligatorios”, tampoco plantea objeción alguna desde la perspectiva de distribución competencial apuntada. Se trata, en efecto, de una previsión de adaptación del catálogo a las especificidades de los municipios que conforman la Comunidad Autónoma que encuentra su encaje en la competencia de or</w:t>
      </w:r>
      <w:r>
        <w:lastRenderedPageBreak/>
        <w:t>denación territorial sin que, en este caso, sea necesaria la declaración de inconstitucionalidad de la referencia al respeto de los servicios mínimos obligatorios en tanto que remisión a lo dispuesto por el legislador estatal (y no autonómico), dado que esta referencia resulta lógica como elemento de información para la formación del catálogo.</w:t>
      </w:r>
    </w:p>
    <w:p w:rsidR="00163957" w:rsidRDefault="00163957" w:rsidP="00163957">
      <w:pPr>
        <w:pStyle w:val="TextoNormal"/>
      </w:pPr>
    </w:p>
    <w:p w:rsidR="00163957" w:rsidRDefault="00163957" w:rsidP="00163957">
      <w:pPr>
        <w:pStyle w:val="TextoNormal"/>
      </w:pPr>
      <w:r>
        <w:t>Debemos declarar también, por último, la inconstitucionalidad de la letra a) del art. 19.2 de la Ley 3/2013 que establece como principio al que debe someterse la instalación de infraestructuras de telecomunicaciones y la explotación de las redes públicas de telecomunicaciones el de “garantizar a la población de la Comunidad Autónoma de Galicia un acceso a servicios de telecomunicación de calidad”, puesto que, reiteramos, la garantía y regulación de la calidad de los servicios (como estándar que integra la noción de servicio universal) corresponde en exclusiva al Estado en ejercicio de su competencia en materia de telecomunicaciones. En este caso, el Tribunal entiende que la referencia a la calidad de los servicios referida a concretas previsiones sobre instalación y funcionamiento de infraestructuras de telecomunicaciones y redes públicas de comunicaciones electrónicas no permite entender que el precepto es inocuo desde el punto de vista competencial, a diferencia de lo que en su momento se ha apreciado respecto del art. 2.2 c) de la Ley impugnada.</w:t>
      </w:r>
    </w:p>
    <w:p w:rsidR="00163957" w:rsidRDefault="00163957" w:rsidP="00163957">
      <w:pPr>
        <w:pStyle w:val="TextoNormal"/>
      </w:pPr>
    </w:p>
    <w:p w:rsidR="00163957" w:rsidRDefault="00163957" w:rsidP="00163957">
      <w:pPr>
        <w:pStyle w:val="TextoNormal"/>
      </w:pPr>
      <w:r>
        <w:t>En conclusión, la regulación de la explotación de redes y de la prestación del servicio de comunicaciones electrónicas, como ya hemos señalado, es el núcleo de la competencia exclusiva del Estado en materia de telecomunicaciones (independientemente ahora de la red empleada) lo que comporta que la configuración del sector (bien sea como sector reservado, bien como sector abierto a la libre competencia) solo a él le corresponde. Y a esta configuración del sector, definidas las telecomunicaciones como servicios de interés general que se prestan en régimen de libre competencia (art. 2.1 de la Ley general de telecomunicaciones), le es consustancial la definición de aquellas obligaciones que, para garantizar la cobertura universal del servicio en determinados estándares de calidad y a precios asequibles, pueden imponerse a los operadores (arts. 25 y ss. de la Ley general de telecomunicaciones). En este sentido se pronunció este Tribunal en la STC 72/2014 (FJ 6), en la que se define como “un elemento esencial del modelo regulatorio” (que obedece, asimismo, a las directivas comunitarias en esta materia) la posibilidad de imponer obligaciones de servicio público a los operadores privados en un entorno liberalizado, bien a través de la técnica del servicio universal —conjunto definido de servicios cuya prestación se garantiza a todos los usuarios finales con independencia de su localización geográfica en unas determinadas condiciones de calidad y a un precio asequible, según el art. 25 de la Ley general de telecomunicaciones—, bien a través de la imposición de “otras obligaciones de servicio público por razones de interés general” a tenor del art. 24 b) de la Ley general de telecomunicaciones —obligaciones específicas de servicio público por razones de seguridad pública o vial, defensa nacional o protección civil (art. 28.1 de la Ley general de telecomunicaciones)—, bien en torno a la posibilidad de imponer otras obligaciones de servicio público por razones de cohesión territorial, extensión del uso de las nuevas tecnologías de la comunicación a la sanidad, educación, acción social y cultura y por la necesidad de garantizar la comunicación entre colectivos que se encuentren en circunstancia especiales y se encuentren insuficientemente atendidos (art. 28 de la Ley general de telecomunicaciones). En definitiva, la regulación de todos estos aspectos cae bajo el prisma proyectado por los arts. 149.1.1 y 149.1.21 CE, sin que, en realidad, ninguna de las partes discuta la competencia estatal.</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9</w:t>
      </w:r>
      <w:r>
        <w:t>. Acceso e Interconexión. Bajo el prisma, ahora, del acceso de terceros a redes e infraestructuras y de la interconexión de redes de comunicaciones electrónicas, impugna nuevamente el Abogado del Estado los apartados 6 y 7 del art. 5 de la Ley 3/2013, cuya inconstitucionalidad ya hemos concluido en el fundamento jurídico 6 de esta resolución¸ sin que proceda ahora un nuevo análisis.</w:t>
      </w:r>
    </w:p>
    <w:p w:rsidR="00163957" w:rsidRDefault="00163957" w:rsidP="00163957">
      <w:pPr>
        <w:pStyle w:val="TextoNormal"/>
      </w:pPr>
    </w:p>
    <w:p w:rsidR="00163957" w:rsidRDefault="00163957" w:rsidP="00163957">
      <w:pPr>
        <w:pStyle w:val="TextoNormal"/>
      </w:pPr>
      <w:r>
        <w:t>En cualquier caso, y desde este nuevo enfoque de tales preceptos, conviene recordar que se entiende por interconexión “la conexión física y lógica de las redes públicas de comunicaciones utilizadas por un mismo operador o por otro distinto, de manera que los usuarios de un operador puedan comunicarse con los usuarios del mismo operador o de otro distinto, o acceder a los servicios prestados por otro operador”; que la interconexión constituye una modalidad concreta del, más genérico, acceso a redes e infraestructuras por parte de terceros, que supone “la puesta a disposición de otro operador, en condiciones definidas y sobre una base exclusiva o no exclusivas, de recursos o servicios con fines de prestación de servicios de comunicaciones electrónicas”, e incluye el acceso a redes, el acceso a elementos de redes y recursos asociados, el acceso a infraestructuras físicas (como edificios, mástiles y similares), y el acceso a sistemas informáticos, de información o bases de datos.</w:t>
      </w:r>
    </w:p>
    <w:p w:rsidR="00163957" w:rsidRDefault="00163957" w:rsidP="00163957">
      <w:pPr>
        <w:pStyle w:val="TextoNormal"/>
      </w:pPr>
    </w:p>
    <w:p w:rsidR="00163957" w:rsidRDefault="00163957" w:rsidP="00163957">
      <w:pPr>
        <w:pStyle w:val="TextoNormal"/>
      </w:pPr>
      <w:r>
        <w:t>El derecho/obligación de los operadores de redes públicas de comunicaciones electrónicas a solicitar/proporcionar el acceso de terceros y la interconexión de redes constituyen elementos clave para garantizar la libre competencia en el sector así como la interoperabilidad de los servicios. Se parte, así, del principio de libertad de contratación (ostentando tal naturaleza los acuerdos a que lleguen los operadores privados entre sí) pero, dada la importancia de los fines que se persiguen, se permite la intervención pública para garantizar su consecución en caso de desacuerdo privado. Esta regulación (esencial) del mercado de las comunicaciones electrónicas —que debe prever, además, que las condiciones impuestas a los operadores sean objetivas, transparentes, proporcionadas y no discriminatorias, conforme a la propia regulación comunitaria sobre esta materia (art. 12 de la Directiva 2002/19/CE modificada por la 2009/140/CE) y establecer mecanismos de resolución de conflictos en caso de desacuerdo entre operadores (sistema de arbitraje por la Comisión Nacional de los Mercados y la Competencia)— se inscribe, de forma natural, en la competencia exclusiva del Estado reconocida en el art. 149.1.21 CE que la ha ejercido a través de la regulación contenida en el art. 12 de la Ley general de telecomunicaciones así como en el todavía vigente Real Decreto 2296/2004, de 10 de diciembre, por el que se aprueba el Reglamento sobre mercados de comunicaciones electrónicas, acceso a las redes y numeración.</w:t>
      </w:r>
    </w:p>
    <w:p w:rsidR="00163957" w:rsidRDefault="00163957" w:rsidP="00163957">
      <w:pPr>
        <w:pStyle w:val="TextoNormal"/>
      </w:pPr>
    </w:p>
    <w:p w:rsidR="00163957" w:rsidRDefault="00163957" w:rsidP="00163957">
      <w:pPr>
        <w:pStyle w:val="TextoNormal"/>
      </w:pPr>
      <w:r>
        <w:t xml:space="preserve">De lo anterior deriva la imposibilidad de que, conforme a la doctrina acerca de la </w:t>
      </w:r>
      <w:r w:rsidRPr="00163957">
        <w:rPr>
          <w:i/>
        </w:rPr>
        <w:t>lex repetita</w:t>
      </w:r>
      <w:r>
        <w:t xml:space="preserve"> que el Tribunal trae a colación en esta Sentencia, el legislador autonómico pueda reproducir (o parafrasear a modo de recordatorio) disposiciones estatales cuando carece de toda competencia sobre la materia de telecomunicaciones; esta reiteración de principios se encuentra en los preceptos impugnados que, por los motivos antes aducidos, ya han sido declarados inconstitucionales.</w:t>
      </w:r>
    </w:p>
    <w:p w:rsidR="00163957" w:rsidRDefault="00163957" w:rsidP="00163957">
      <w:pPr>
        <w:pStyle w:val="TextoNormal"/>
      </w:pPr>
    </w:p>
    <w:p w:rsidR="00163957" w:rsidRDefault="00163957" w:rsidP="00163957">
      <w:pPr>
        <w:pStyle w:val="TextoNormal"/>
      </w:pPr>
      <w:r w:rsidRPr="00163957">
        <w:rPr>
          <w:rStyle w:val="NumeroAFNegritaCaracter"/>
        </w:rPr>
        <w:t>10</w:t>
      </w:r>
      <w:r>
        <w:t xml:space="preserve">. Coubicación o uso compartido de dominio público e infraestructuras. Debemos abordar ahora el reproche de inconstitucionalidad que se formula sobre el art. 6.2 de la Ley 3/2013; precepto que contempla la posibilidad de exceptuar la obligación de coubicación o </w:t>
      </w:r>
      <w:r>
        <w:lastRenderedPageBreak/>
        <w:t>de uso compartido de dominio público y/o infraestructuras o recursos asociados (lógicamente tras su previa imposición) en determinados casos, como seguidamente verá.</w:t>
      </w:r>
    </w:p>
    <w:p w:rsidR="00163957" w:rsidRDefault="00163957" w:rsidP="00163957">
      <w:pPr>
        <w:pStyle w:val="TextoNormal"/>
      </w:pPr>
    </w:p>
    <w:p w:rsidR="00163957" w:rsidRDefault="00163957" w:rsidP="00163957">
      <w:pPr>
        <w:pStyle w:val="TextoNormal"/>
      </w:pPr>
      <w:r>
        <w:t>El apartado impugnado es concreción de la previsión más general, relativa a la posibilidad de imponer a los operadores la coubicación o el uso compartido de recursos, contenida en el art. 6.1 de la Ley 3/2013 que no ha sido impugnado. Según este primer apartado del artículo 6, “basándose en la protección de medio ambiente, del paisaje, en la seguridad pública o para alcanzar los objetivos de planificación urbana y ordenación territorial” la Administración autonómica “podrá exigir a los operadores, en los términos establecidos en la presente ley y de acuerdo con lo dispuesto en el marco normativo general en materia de telecomunicaciones, la utilización compartida del dominio público o la propiedad privada en la que se van a establecer las redes públicas de comunicaciones electrónicas, el uso compartido de los elementos de redes y recursos asociados, como los conductos, cámaras subterráneas, bocas de inspección, distribuidores, antenas, mástiles, torres y otras estructuras de entrada o soporte de entrada a edificios, o la adopción de medidas para facilitar la coordinación de las obras públicas, según resulte necesario en cada caso”. Como concreción o cláusula de cierre de esta previsión general, el apartado 2 del artículo 6 (que se impugna) estipula que “la Administración General y las entidades públicas instrumentales de Galicia podrán exceptuar la obligación de coubicación y uso compartido de infraestructuras en aquellos casos en los que dicha coubicación y uso compartido no sean viables desde un punto de vista técnico, circunstancia que tendrá que ser acreditada por el titular de la infraestructura. Reglamentariamente se determinará el procedimiento que se deberá seguir para el reconocimiento de esta excepción”.</w:t>
      </w:r>
    </w:p>
    <w:p w:rsidR="00163957" w:rsidRDefault="00163957" w:rsidP="00163957">
      <w:pPr>
        <w:pStyle w:val="TextoNormal"/>
      </w:pPr>
    </w:p>
    <w:p w:rsidR="00163957" w:rsidRDefault="00163957" w:rsidP="00163957">
      <w:pPr>
        <w:pStyle w:val="TextoNormal"/>
      </w:pPr>
      <w:r>
        <w:t>El análisis del precepto impugnado ha de partir de la premisa, tal como declaramos en la STC 8/2012, de 18 de enero (FJ 9), de que “la regulación de la coubicación y compartición de infraestructuras cae, sin lugar a dudas, dentro de la esfera de competencias del Estado … en la medida en que persigue hacer efectivo el derecho de ocupación de los operadores necesario para el establecimiento de la red y afecta a las condiciones de prestación de los servicios de telecomunicaciones y al régimen jurídico de los operadores”. En ejercicio de esa competencia exclusiva, el legislador estatal reconoce a los operadores (privados) el derecho a la ocupación del dominio público, a ser beneficiarios en el procedimiento de expropiación forzosa y al establecimiento de servidumbres y limitaciones a la propiedad (sección primera del capítulo II de la Ley general de telecomunicaciones, arts. 29 a 33). Lo hace, precisamente, a efectos de garantizar un despliegue ordenado y coherente de redes en todo el territorio que permita prestar los servicios de comunicaciones electrónicas con la calidad definida por el legislador haciendo factible, así, la implantación de la llamada sociedad del conocimiento y asegurando la efectividad de las comunicaciones. En este contexto tanto la compartición de recursos como la coubicación se configuran como técnicas que pretenden, en primer término, garantizar la racionalidad en el despliegue de redes —pues, en caso contrario, podrían consolidarse situaciones de sobresaturación de tendidos de redes— y, en segundo término, fomentar la competencia en el sector, cohonestando los diversos intereses en juego. En definitiva, se trata de articular ese derecho de ocupación con otros intereses públicos en juego.</w:t>
      </w:r>
    </w:p>
    <w:p w:rsidR="00163957" w:rsidRDefault="00163957" w:rsidP="00163957">
      <w:pPr>
        <w:pStyle w:val="TextoNormal"/>
      </w:pPr>
    </w:p>
    <w:p w:rsidR="00163957" w:rsidRDefault="00163957" w:rsidP="00163957">
      <w:pPr>
        <w:pStyle w:val="TextoNormal"/>
      </w:pPr>
      <w:r>
        <w:t xml:space="preserve">La posibilidad de imponer la utilización compartida del dominio público o el uso compartido de infraestructuras (sean canalizaciones, conductos, como infraestructuras de otros servicios de red para distribución de agua o electricidad, o fibra oscura) como consecuencia </w:t>
      </w:r>
      <w:r>
        <w:lastRenderedPageBreak/>
        <w:t>de imperativos o exigencias esenciales (de carácter no económico) tales como la protección del medio ambiente y del paisaje o la ordenación urbana, pero también la salud o la seguridad pública es una constante regulatoria del sector de las comunicaciones electrónicas (telecomunicaciones) que se configura como una excepción al principio general de mínima intervención (pública) y de favorecimiento de los acuerdos que, sobre estos extremos, acuerden los propios operadores. Las Directivas comunitarias al diseñar el marco regulador común del mercado de las comunicaciones electrónicas ponen el acento en que “un mejor uso compartido de los recursos puede mejorar significativamente la competencia y rebajar los costes financieros y ambientales” —en particular en relación al despliegue de nuevas infraestructuras y nuevas redes de acceso— estableciéndose en esa línea que “las autoridades nacionales de reglamentación deberían estar facultadas para imponer a los titulares de derechos de instalación de recursos en una propiedad pública o privada … o la obligación de compartir dichos recursos o propiedades, incluida la coubicación física” (Considerando 43 de la Directiva 2009/140/CE, de 25 de noviembre) tras un periodo de consulta pública (que tenga en cuenta a operadores y administraciones implicadas), de forma coordinada con las autoridades locales y con pleno respeto al principio de proporcionalidad (art. 12 de la Directiva 2009/20/CE, modificada por la Directiva 2009/140/CE).</w:t>
      </w:r>
    </w:p>
    <w:p w:rsidR="00163957" w:rsidRDefault="00163957" w:rsidP="00163957">
      <w:pPr>
        <w:pStyle w:val="TextoNormal"/>
      </w:pPr>
    </w:p>
    <w:p w:rsidR="00163957" w:rsidRDefault="00163957" w:rsidP="00163957">
      <w:pPr>
        <w:pStyle w:val="TextoNormal"/>
      </w:pPr>
      <w:r>
        <w:t>Si bien como principio general la coubicación se acuerda libremente entre operadores que pactan entre ellos las condiciones, poniendo el acento el regulador en el fomento de este tipo de acuerdos (art. 32.1 de la Ley general de telecomunicaciones, en la línea de las Directivas en esta materia, ya citadas), en ocasiones puede ser necesaria la imposición de esa utilización compartida de recursos en aras a proteger otros intereses públicos, supuestos en los que puede producirse una concurrencia de competencias de diverso objeto jurídico sobre un mismo espacio físico debiendo articularse las técnicas de cooperación que resulten necesarias para su ejercicio.</w:t>
      </w:r>
    </w:p>
    <w:p w:rsidR="00163957" w:rsidRDefault="00163957" w:rsidP="00163957">
      <w:pPr>
        <w:pStyle w:val="TextoNormal"/>
      </w:pPr>
    </w:p>
    <w:p w:rsidR="00163957" w:rsidRDefault="00163957" w:rsidP="00163957">
      <w:pPr>
        <w:pStyle w:val="TextoNormal"/>
      </w:pPr>
      <w:r>
        <w:t xml:space="preserve">Y en este sentido se puso de manifiesto en la citada STC 8/2012 que la valoración de esos intereses públicos cuya imperativa protección determina, en ocasiones, la inviabilidad del despliegue de infraestructura y la necesidad de la compartición de recursos “corresponde a las Comunidades Autónomas en virtud de las competencias exclusivas o compartidas que ostentan en estas materias (arts. 148.1.3 y 21 y 149.1.16 y 23 CE)” cuando se trata de ordenación territorial y urbana, así como de la salud y el medio ambiente. “la regulación estatal de la coubicación y compartición de infraestructuras”, se concluye en aquella sentencia, “no puede, por tanto, eliminar la esfera de decisión y regulación que ostentan, en virtud de sus competencias, las Comunidades Autónomas acerca de la localización de las infraestructuras de telecomunicaciones. Ahora bien, tampoco puede obviarse, ni por tanto olvidarse en la regulación autonómica, que la técnica de la coubicación y compartición de infraestructuras tiene también incidencia en ciertos intereses públicos que corresponde preservar al Estado en el ejercicio de sus competencias en materia de telecomunicaciones, singularmente, la preservación de la competencia entre operadores”. Resulta preciso, entonces, deslindar adecuadamente las esferas de decisión correspondientes a las distintas instancias territoriales regulando, allí donde sea preciso, mecanismos de cooperación, como puedan ser los informes sectoriales (STC 8/2012, FJ 9). La vigente Ley general de telecomunicaciones de 2014 articula el ejercicio de las diversas competencias afectadas en este ámbito reservando a las Comunidades Autónomas la facultad de incoación del procedimiento regulado para la imposición de la coubicación o compartición de recursos, o la de presentación de alegaciones, </w:t>
      </w:r>
      <w:r>
        <w:lastRenderedPageBreak/>
        <w:t>y al Ministerio de Industria, Energía y Turismo la decisión final sobre dicha imposición (art. 32 de la Ley general de telecomunicaciones).</w:t>
      </w:r>
    </w:p>
    <w:p w:rsidR="00163957" w:rsidRDefault="00163957" w:rsidP="00163957">
      <w:pPr>
        <w:pStyle w:val="TextoNormal"/>
      </w:pPr>
    </w:p>
    <w:p w:rsidR="00163957" w:rsidRDefault="00163957" w:rsidP="00163957">
      <w:pPr>
        <w:pStyle w:val="TextoNormal"/>
      </w:pPr>
      <w:r>
        <w:t>En este marco de concurrencia de la competencia sectorial estatal y las competencias de carácter transversal de la Comunidad Autónoma de Galicia no encuentra un encaje adecuado el precepto enjuiciado. En efecto, la posibilidad de que la Administración autonómica exceptúe, de forma unilateral, la coubicación o el uso compartido previamente impuesto por razones de interés público (que, como hemos visto, supone la participación en el procedimiento de diferentes Administraciones) con fundamento en una inviabilidad de tipo técnico incurre en un exceso competencial. La regulación y comprobación de la viabilidad técnica, en definitiva, de los aspectos técnicos de las telecomunicaciones o de la conformación técnica de las infraestructuras (en aras a proteger la efectividad de las comunicaciones) competen en exclusiva al Estado de acuerdo con el art. 149. 1. 21 CE. No hay duda, además, de que estas consideraciones de tipo técnico —razones de cobertura, potencia de emisión que requiera de nuevos emplazamientos, entre otras— pueden afectar a la propia prestación del servicio de comunicaciones electrónicas o al régimen general de las comunicaciones, por lo que, conforme al parámetro descrito en el fundamento jurídico tercero, el art. 6.2 de la Ley gallega debe declararse inconstitucional.</w:t>
      </w:r>
    </w:p>
    <w:p w:rsidR="00163957" w:rsidRDefault="00163957" w:rsidP="00163957">
      <w:pPr>
        <w:pStyle w:val="TextoNormal"/>
      </w:pPr>
    </w:p>
    <w:p w:rsidR="00163957" w:rsidRDefault="00163957" w:rsidP="00163957">
      <w:pPr>
        <w:pStyle w:val="TextoNormal"/>
      </w:pPr>
      <w:r>
        <w:t>Esta declaración de inconstitucionalidad no afecta, sin embargo, al art. 19.2 c) de la Ley 3/2013 que establece como criterio para la instalación de infraestructuras y explotación de redes el de “compartir las infraestructuras de telecomunicaciones en los términos establecidos en la planificación territorial y urbanística” en tanto debe entenderse como una concreción del art. 6.1 de la Ley (posibilidad de exigir la coubicación fundándose en circunstancias incluidas en el ámbito de la competencia de la Comunidad Autónoma) y no del segundo apartado (relativo a la excepción técnica).</w:t>
      </w:r>
    </w:p>
    <w:p w:rsidR="00163957" w:rsidRDefault="00163957" w:rsidP="00163957">
      <w:pPr>
        <w:pStyle w:val="TextoNormal"/>
      </w:pPr>
    </w:p>
    <w:p w:rsidR="00163957" w:rsidRDefault="00163957" w:rsidP="00163957">
      <w:pPr>
        <w:pStyle w:val="TextoNormal"/>
      </w:pPr>
      <w:r>
        <w:t>De otro lado, el art. 15.2 g) de la Ley impugnada define como uno de los contenidos mínimos del plan sectorial de infraestructuras “la determinación de los supuestos y de las condiciones en los que procede el uso compartido obligatorio de infraestructuras de telecomunicaciones, de elementos de redes y recursos o la adopción de medidas análogas, por razones de protección del medio ambiente, del paisaje, de seguridad pública o para alcanzar los objetivos de planificación urbana y ordenación territorial”. Esta previsión ha de entenderse constitucional en la medida en que, conforme a lo dispuesto en el ya mencionado art. 6.1 de la Ley autonómica, con el que entronca, se interprete que está subordinada a lo dispuesto sobre esta materia en el marco normativo general en materia de telecomunicaciones. Esta interpretación se llevará al fallo.</w:t>
      </w:r>
    </w:p>
    <w:p w:rsidR="00163957" w:rsidRDefault="00163957" w:rsidP="00163957">
      <w:pPr>
        <w:pStyle w:val="TextoNormal"/>
      </w:pPr>
    </w:p>
    <w:p w:rsidR="00163957" w:rsidRDefault="00163957" w:rsidP="00163957">
      <w:pPr>
        <w:pStyle w:val="TextoNormal"/>
      </w:pPr>
      <w:r w:rsidRPr="00163957">
        <w:rPr>
          <w:rStyle w:val="NumeroAFNegritaCaracter"/>
        </w:rPr>
        <w:t>11</w:t>
      </w:r>
      <w:r>
        <w:t xml:space="preserve">. Neutralidad tecnológica y sostenibilidad ambiental. Nos corresponde ahora analizar los preceptos de la Ley autonómica que el Abogado del Estado considera contrarios al principio de neutralidad tecnológica de la regulación [arts. 8, 12.2 y 3, y 15.2 f) de la Ley 3/2013]. La característica común de estos preceptos es la de prescribir el uso de las tecnologías más adecuadas para satisfacer la consecución de objetivos de interés general, entre ellos la sostenibilidad ambiental. El Abogado del Estado considera, en resumen, que tales previsiones suponen la imposición de una determinada tecnología “bajo la apariencia de circunstancias excepcionales”, en persecución, bien de objetivos relativos a la garantía del </w:t>
      </w:r>
      <w:r>
        <w:lastRenderedPageBreak/>
        <w:t>servicio universal o de la interoperabilidad e interconexión de las comunicaciones electrónicas, cuya garantía solo corresponde al Estado; bien de objetivos de enunciación excesivamente genérica (como “respeto a medio ambiente” o “eficiencia energética”).</w:t>
      </w:r>
    </w:p>
    <w:p w:rsidR="00163957" w:rsidRDefault="00163957" w:rsidP="00163957">
      <w:pPr>
        <w:pStyle w:val="TextoNormal"/>
      </w:pPr>
    </w:p>
    <w:p w:rsidR="00163957" w:rsidRDefault="00163957" w:rsidP="00163957">
      <w:pPr>
        <w:pStyle w:val="TextoNormal"/>
      </w:pPr>
      <w:r>
        <w:t>Aunque bajo la misma perspectiva, los preceptos impugnados hacen referencia a dos situaciones diversas: de un lado, a los posibles límites del principio de neutralidad tecnológica de la regulación que rige en el ámbito de las telecomunicaciones y, de otro lado, a la utilización de las cláusulas relativas a las “mejores técnicas disponibles” en orden a preservar el medio ambiente, el paisaje o la política de ordenación territorial y urbana de la Comunidad Autónoma. Por ese motivo abordamos su análisis en dos apartados diferenciados.</w:t>
      </w:r>
    </w:p>
    <w:p w:rsidR="00163957" w:rsidRDefault="00163957" w:rsidP="00163957">
      <w:pPr>
        <w:pStyle w:val="TextoNormal"/>
      </w:pPr>
    </w:p>
    <w:p w:rsidR="00163957" w:rsidRDefault="00163957" w:rsidP="00163957">
      <w:pPr>
        <w:pStyle w:val="TextoNormal"/>
      </w:pPr>
      <w:r>
        <w:t>a) Conviene recordar, en primer lugar, el significado del principio de neutralidad tecnológica que se introdujo como principio rector en el ámbito comunitario ya en el libro verde para la regulación de un mercado común de servicios y equipos de telecomunicaciones de 1987 y que se eleva a principio con rango normativo en la Directiva 2009/140/CE, en la que se añade, además, el principio de neutralidad de servicios (artículos 9.3 y 9.4 Directiva 2002/21/CE, modificada por la ya mencionada 2009/140/CE). El principio de neutralidad tecnológica (o regulación tecnológicamente neutra) supone que la legislación en el sector de las telecomunicaciones debe centrarse en los objetivos que se fijen sin imponer tecnologías concretas —y, como contrapartida, sin discriminar el uso de cualquier tipo de tecnología que sea susceptible y adecuada para conseguir los objetivos fijados—. En definitiva, lo que se pretende es que la regulación sea neutra y su eje gire en torno a los objetivos que se pretenden conseguir (por ejemplo, prestación del servicio universal) garantizando, de un lado, una regulación flexible (o sostenible) que permita soportar el impacto de la evolución y la convergencia tecnológicas (evitando la obsolescencia predecible de una regulación asociada al uso de una determinada tecnología); de otro lado, la libre competencia en el mercado y el fomento de la innovación tecnológica; y, en tercer lugar y como colofón, la protección del consumidor final, al garantizarle una libertad de elección que no se ve lastrada en función de la tecnología utilizada. Junto al principio de neutralidad tecnológica de la regulación se establece ahora en las directivas comunitarias, el principio de neutralidad de los servicios; esto es, que no se predetermine normativamente el servicio concreto que puede prestarse en una determinada banda de frecuencia, sino que por ella puedan prestarse todos los servicios de comunicaciones electrónicas.</w:t>
      </w:r>
    </w:p>
    <w:p w:rsidR="00163957" w:rsidRDefault="00163957" w:rsidP="00163957">
      <w:pPr>
        <w:pStyle w:val="TextoNormal"/>
      </w:pPr>
    </w:p>
    <w:p w:rsidR="00163957" w:rsidRDefault="00163957" w:rsidP="00163957">
      <w:pPr>
        <w:pStyle w:val="TextoNormal"/>
      </w:pPr>
      <w:r>
        <w:t>Tanto el principio de neutralidad tecnológica como el principio de neutralidad de servicios, claves actualmente en la regulación del mercado de las comunicaciones electrónicas, pueden, sin embargo, verse sometidos a excepciones basadas, precisamente, en el interés público de los objetivos que se deben conseguir (en términos comunitarios, “exigencias esenciales”). Según el art. 9.3 de la Directiva 2002/21/CE (modificada por la ya mencionada 2009/140/CE) el principio de neutralidad puede verse limitado (con medidas proporcionadas, no discriminatorias y necesarias) para evitar interferencias perjudiciales, proteger la salud pública, asegurar la calidad técnica del servicio, garantizar un uso eficiente del espectro radioeléctrico o garantizar el logro de un interés general. El principio de neutralidad de servicios puede verse modulado siempre que tales limitaciones estén justificadas por razones de “seguridad en la vida, la promoción de la cohesión social, regional o territorial, la evitación del uso ineficiente de las radiofrecuencias o la promoción de la diversidad cultural y lingüística y del pluralismo en los medios de comunicación” (art. 9. 4 de la Directiva 2009/140/CE).</w:t>
      </w:r>
    </w:p>
    <w:p w:rsidR="00163957" w:rsidRDefault="00163957" w:rsidP="00163957">
      <w:pPr>
        <w:pStyle w:val="TextoNormal"/>
      </w:pPr>
    </w:p>
    <w:p w:rsidR="00163957" w:rsidRDefault="00163957" w:rsidP="00163957">
      <w:pPr>
        <w:pStyle w:val="TextoNormal"/>
      </w:pPr>
      <w:r>
        <w:t>En nuestro ordenamiento, el art. 3 h) de la Ley general de telecomunicaciones de 2014 define como uno de los “objetivos y principios” de la norma el de “fomentar, en la medida de lo posible, la neutralidad tecnológica en la regulación”, lo que implica, como acabamos de subrayar y se declara en la citada STC 8/2012, que “en un contexto de libre mercado y competencia, es a los operadores a quienes corresponde la elección de la tecnología que estimen más acorde a sus intereses”. Insiste en esta misma idea “el Real Decreto 863/2008, de 23 de mayo, por el que se aprueba el reglamento de desarrollo de la Ley general de telecomunicaciones de 2003 en lo relativo al uso del dominio público radioeléctrico, pues en su artículo 2 enuncia, como objetivo y principio de la regulación, ‘fomentar la neutralidad tecnológica y de los servicios como elementos flexibilizadores en el uso eficiente del dominio público radioeléctrico’” (FJ 7).</w:t>
      </w:r>
    </w:p>
    <w:p w:rsidR="00163957" w:rsidRDefault="00163957" w:rsidP="00163957">
      <w:pPr>
        <w:pStyle w:val="TextoNormal"/>
      </w:pPr>
    </w:p>
    <w:p w:rsidR="00163957" w:rsidRDefault="00163957" w:rsidP="00163957">
      <w:pPr>
        <w:pStyle w:val="TextoNormal"/>
      </w:pPr>
      <w:r>
        <w:t>Teniendo en cuenta lo anterior, procede analizar el primero de los preceptos impugnados desde el enfoque de vulneración del principio de neutralidad tecnológica. Bajo la rúbrica de “principio de neutralidad e interoperabilidad”, ubicado en el título II de la norma autonómica regulador de “principios rectores de la intervención de las administraciones públicas de Galicia para el impulso y la ordenación de infraestructuras de telecomunicaciones y redes públicas de comunicaciones electrónicas”, el art. 8.1 de la Ley 3/2013 afirma que la intervención del sector público autonómico en el ámbito de las telecomunicaciones “respetará en todo caso, el principio de neutralidad tecnológica”. Añade a continuación (y este es el inciso impugnado) que “cuando sea necesario para garantizar, por razones debidamente justificadas y de conformidad con el marco general en materia de telecomunicaciones, la consecución de un objetivo de interés general, en particular la cobertura de las zonas en que la demanda esté insuficientemente atendida por el sector privado, podrá seleccionarse la solución tecnológica o combinación de soluciones tecnológicas que se consideren más adecuadas”. Este enunciado tiene su réplica en el art. 15.2 f) de la Ley 3/2013, también impugnado por este motivo —y que debe traerse a colación pues contextualiza el significado de la norma—, en el que se especifica que el plan sectorial de infraestructuras de telecomunicaciones de Galicia incluirá, por lo menos, “la delimitación de los supuestos excepcionales en los que sea posible determinar el uso de una concreta tecnología, o la renovación de las implantadas, por exigirlo así la consecución de un objetivo de interés general en el marco normativo general del ámbito de las telecomunicaciones”. No podemos obviar en este punto, como criterio teleológico especialmente adecuado, la exposición de motivos de la norma autonómica en la que, al resumir la estructura de la Ley y referirse a su título II, se subraya que en el mismo “se establece el régimen jurídico al que se somete la promoción de infraestructuras de telecomunicaciones y de redes públicas de comunicaciones electrónicas por parte de las entidades que integran el sector público autonómico y se determinan las condiciones específicas para ello” y se añade que “se establece la obligación de las administraciones públicas de Galicia de someter su actuación a los principios de neutralidad e interoperabilidad y la promoción de las tecnologías de la información y la comunicación”.</w:t>
      </w:r>
    </w:p>
    <w:p w:rsidR="00163957" w:rsidRDefault="00163957" w:rsidP="00163957">
      <w:pPr>
        <w:pStyle w:val="TextoNormal"/>
      </w:pPr>
    </w:p>
    <w:p w:rsidR="00163957" w:rsidRDefault="00163957" w:rsidP="00163957">
      <w:pPr>
        <w:pStyle w:val="TextoNormal"/>
      </w:pPr>
      <w:r>
        <w:t xml:space="preserve">Ningún problema plantea el enunciado general de sometimiento de la actuación de los poderes públicos al principio de neutralidad tecnológica como uno de los principios rectores que, junto al de interoperabilidad, presiden la actuación de los poderes públicos autonómicos cuando intervienen en este sector —este enunciado general, de hecho, no se impugna—, pero el inciso transcrito, relativo a la posible excepción de su aplicación, plantea una cuestión distinta. Si bien es cierto que, conforme a la regulación que se acaba de transcribir, las </w:t>
      </w:r>
      <w:r>
        <w:lastRenderedPageBreak/>
        <w:t>excepciones al principio de neutralidad tecnológica son posibles en determinadas circunstancias (justificadas por la necesidad de alcanzar un objetivo de interés general y de ámbito autonómico), la posibilidad contemplada en la Ley 3/2013 ha de incardinarse en la competencia exclusiva del Estado, pues el fundamento para la posible imposición de una concreta tecnología no se vincula a competencia alguna de la Comunidad Autónoma (bien en medio ambiente, paisaje o protección del patrimonio cultural) sino que, en este caso, alude a una materia netamente propia del sector de las telecomunicaciones, que afecta a la prestación del servicio y a la propia actuación y régimen jurídico del operador. En definitiva, son posibles las excepciones al principio de neutralidad con la finalidad de garantizar la cobertura general del mismo, especialmente en las zonas donde se produce en el mercado el fenómeno llamado “descreme”, pero no corresponde a la Comunidad Autónoma de Galicia su determinación en estos casos, o al menos, no sin previsión y coordinación por parte de la autoridad competente en materia de telecomunicaciones —el art. 34. 3 Ley general de telecomunicaciones establece que la normativa elaborada por las Administraciones públicas que afecte al despliegue de redes y los instrumentos de planificación urbanística no podrá imponer soluciones tecnológicas concretas—.</w:t>
      </w:r>
    </w:p>
    <w:p w:rsidR="00163957" w:rsidRDefault="00163957" w:rsidP="00163957">
      <w:pPr>
        <w:pStyle w:val="TextoNormal"/>
      </w:pPr>
    </w:p>
    <w:p w:rsidR="00163957" w:rsidRDefault="00163957" w:rsidP="00163957">
      <w:pPr>
        <w:pStyle w:val="TextoNormal"/>
      </w:pPr>
      <w:r>
        <w:t>Los anteriores argumentos nos conducen a entender procedente la declaración de la inconstitucionalidad del inciso del art. 8.1 transcrito, que, en consecuencia, ha de llevar consigo la del art. 15.2 f) de la Ley 3/2013 en tanto prevé como contenido mínimo del Plan Sectorial de Infraestructuras la plasmación de la imposición de una determinada tecnología cuando sea necesario.</w:t>
      </w:r>
    </w:p>
    <w:p w:rsidR="00163957" w:rsidRDefault="00163957" w:rsidP="00163957">
      <w:pPr>
        <w:pStyle w:val="TextoNormal"/>
      </w:pPr>
    </w:p>
    <w:p w:rsidR="00163957" w:rsidRDefault="00163957" w:rsidP="00163957">
      <w:pPr>
        <w:pStyle w:val="TextoNormal"/>
      </w:pPr>
      <w:r>
        <w:t>Debe desestimarse, sin embargo, la impugnación del segundo apartado del art. 8 de la Ley 3/2013 pues la exigencia a las Administraciones públicas y al resto del sector público autonómico de Galicia de que, “en sus actuaciones e iniciativas” garanticen “la interoperabilidad de servicios y la conectividad de redes” procurando “limitar el uso de soluciones no sujetas a un estándar reconocido” no supone ninguna extralimitación competencial. Podría cuestionarse el hecho de que esta regulación se incluya en la Ley de promoción e impulso de infraestructuras pues su objeto, finalmente, tiene más relación con la neutralidad en el acceso a los servicios y procedimientos administrativos por parte de los ciudadanos (de ahí la referencia a estándares) que con la instalación de infraestructuras o redes públicas de comunicaciones electrónicas. En cualquier caso, el segundo apartado del art. 8 de la Ley 3/2013, como enunciado general o principio rector de la actuación de las Administraciones en el sector de las comunicaciones electrónicas no presenta tacha de inconstitucionalidad alguna, pues, como principio referido genéricamente a la actuación de las Administraciones públicas debe considerarse inocuo desde el punto de vista competencial y, por ello, no supone ninguna invasión de la competencia estatal en materia de telecomunicaciones.</w:t>
      </w:r>
    </w:p>
    <w:p w:rsidR="00163957" w:rsidRDefault="00163957" w:rsidP="00163957">
      <w:pPr>
        <w:pStyle w:val="TextoNormal"/>
      </w:pPr>
    </w:p>
    <w:p w:rsidR="00163957" w:rsidRDefault="00163957" w:rsidP="00163957">
      <w:pPr>
        <w:pStyle w:val="TextoNormal"/>
      </w:pPr>
      <w:r>
        <w:t xml:space="preserve">b) Con un ligero cambio de perspectiva se impugnan algunos apartados del art. 12 de la Ley 3/2013 que, bajo la rúbrica “principio de sostenibilidad ambiental” y tras un enunciado general según el cual tanto los operadores públicos como los privados utilizarán las nuevas tecnologías de información y comunicación de acuerdo con el mencionado principio (apartado primero) estipula a continuación (apartado segundo) que “el sector público autonómico, los entes locales y sus organismos públicos así como los operadores, tanto públicos como privados, deberán utilizar en la medida de lo posible, en la instalación, el mantenimiento, la reparación o la sustitución de las infraestructuras de comunicaciones y de las redes públicas de comunicaciones electrónicas, las mejores tecnologías disponibles que sean </w:t>
      </w:r>
      <w:r>
        <w:lastRenderedPageBreak/>
        <w:t>respetuosas con el medio ambiente, especialmente aquellas que sean eficientes desde un punto de vista energético”. El art. 12.3 de la Ley gallega añade que el principio de sostenibilidad ambiental se aplicará “de conformidad con la legislación estatal en materia de telecomunicaciones, de tal forma que la mejor tecnología disponible será aquella que resulte de las determinaciones integrantes del marco normativo general de las telecomunicaciones”. Por último el art. 12.4 de la Ley 3/2013 recoge una obligación específica en la redacción y elaboración de los proyectos de ejecución de las infraestructuras: “recogerán la solución constructiva o de ejecución más eficiente desde un punto de vista ambiental y paisajística, en función de la finalidad que se persiga con la ejecución de las infraestructuras”.</w:t>
      </w:r>
    </w:p>
    <w:p w:rsidR="00163957" w:rsidRDefault="00163957" w:rsidP="00163957">
      <w:pPr>
        <w:pStyle w:val="TextoNormal"/>
      </w:pPr>
    </w:p>
    <w:p w:rsidR="00163957" w:rsidRDefault="00163957" w:rsidP="00163957">
      <w:pPr>
        <w:pStyle w:val="TextoNormal"/>
      </w:pPr>
      <w:r>
        <w:t>La estructura del precepto impugnado, en sus diferentes apartados, resulta clara: se establece la obligación de utilizar las mejores tecnologías disponibles; obligación cuyo fin es la preservación del medio ambiente y del paisaje (incorporando criterios energéticos); cuyo ámbito, desde un punto de vista de aplicación territorial, queda circunscrito al ámbito de la Comunidad Autónoma y, desde un punto de vista material, a determinadas operaciones (instalación, mantenimiento y reparación o sustitución); esta obligación, además, viene relativizada por cuanto la propia norma introduce la cautela de “en la medida de lo posible” (incorporando por tanto el criterio del avance de la ciencia y de la incorporación de soluciones que no resulten excesivamente onerosas) y se sitúa en el marco de lo dispuesto en la legislación adoptada por la autoridad competente (pues será la normativa estatal la que pueda determinar cuál es esa “mejor tecnología disponible”). Teniendo en cuenta lo anterior, y sin necesidad de reiterar de nuevo nuestra doctrina sobre competencias autonómicas en materia de medio ambiente y protección del paisaje, las alegaciones del Abogado del Estado en este punto no pueden ser acogidas. Contra lo pretendido en el recurso de inconstitucionalidad no se impone en la norma autonómica ninguna solución tecnológica concreta, sino que se establece lo que podría llamarse una cláusula de progreso o adecuación en el sentido de garantizar que la instalación, mantenimiento o sustitución de infraestructuras de telecomunicaciones afecte lo más mínimamente al paisaje y al medio ambiente. La referencia a la mejor tecnología disponible no implica problema alguno pues, de un lado, se remite a lo establecido por la normativa estatal de telecomunicaciones y, de otro lado, no se trata de la tecnología relativa a la prestación de servicios, sino a la ubicación de las infraestructuras. Se trata, en definitiva, de obligar tanto a los operadores públicos como a los privados a que incorporen en sus procesos productivos y de prestación de servicios las mejoras y los conocimientos científicos más avanzados a fin de salvaguardar mejor el interés general y siempre teniendo en cuenta el coste económico de tal incorporación (“en la medida de lo posible”).</w:t>
      </w:r>
    </w:p>
    <w:p w:rsidR="00163957" w:rsidRDefault="00163957" w:rsidP="00163957">
      <w:pPr>
        <w:pStyle w:val="TextoNormal"/>
      </w:pPr>
    </w:p>
    <w:p w:rsidR="00163957" w:rsidRDefault="00163957" w:rsidP="00163957">
      <w:pPr>
        <w:pStyle w:val="TextoNormal"/>
      </w:pPr>
      <w:r>
        <w:t xml:space="preserve">Conviene puntualizar que, tal como se declara en la STC 8/2012 (FJ 7), “hay que entender que la obligación que se impone a los operadores de incorporar las mejoras tecnológicas que vayan apareciendo queda circunscrita a aquellos supuestos en los que, estando justificado en aras de la protección medioambiental o urbanística, el uso de una nueva tecnología no afecte, incida o altere las características técnicas de la red, las condiciones de prestación del servicio y de explotación de la red, ni modifique las condiciones de gestión del espacio radioeléctrico, pues, en caso contrario, se estaría invadiendo la competencia estatal en materia de telecomunicaciones”. Se declara en esta Sentencia que se impone una interpretación conforme del precepto impugnado de la norma castellano-manchega, acorde con la legislación estatal de telecomunicaciones, “conforme a la cual este artículo lo que establece es una obligación de actualización tecnológica debidamente justificada en aras de la protección de </w:t>
      </w:r>
      <w:r>
        <w:lastRenderedPageBreak/>
        <w:t>intereses ambientales o urbanísticos y siempre que ello sea acorde con el principio de proporcionalidad y no se incida en las competencias del Estado, perturbándolas o menoscabándolas, esto es, siempre que no se incida o se alteren las competencias estatales sobre las características técnicas de la red y las condiciones de prestación del servicio, de gestión del espacio radioeléctrico o de explotación de la red” y se instrumenten las medidas de cooperación entre el Estado y la Comunidad Autónoma que sean menester y que a este Tribunal no le corresponde determinar, en orden a articular el conocimiento por parte del Estado de esa actualización tecnológica. Procede reiterar aquí esta interpretación de conformidad, que se llevará al fallo.</w:t>
      </w:r>
    </w:p>
    <w:p w:rsidR="00163957" w:rsidRDefault="00163957" w:rsidP="00163957">
      <w:pPr>
        <w:pStyle w:val="TextoNormal"/>
      </w:pPr>
    </w:p>
    <w:p w:rsidR="00163957" w:rsidRDefault="00163957" w:rsidP="00163957">
      <w:pPr>
        <w:pStyle w:val="TextoNormal"/>
      </w:pPr>
      <w:r w:rsidRPr="00163957">
        <w:rPr>
          <w:rStyle w:val="NumeroAFNegritaCaracter"/>
        </w:rPr>
        <w:t>12</w:t>
      </w:r>
      <w:r>
        <w:t>. Resta por analizar, en último lugar, la impugnación del título V de la Ley 3/2013 relativo al régimen sancionador (inspección, infracciones y sanciones, según su rúbrica). No puede menos que compartirse, en este caso, la alegación sobre la insuficiencia de la argumentación jurídica del recurso que, a este respecto, esgrimen tanto el Letrado de la Xunta de Galicia como el Letrado del Parlamento de Galicia. En efecto, tras reproducir un fragmento de la STC 8/2012, de 18 de enero, en el que se declara que “la titularidad de la potestad sancionadora va normalmente pareja, como instrumental, a la competencia sustantiva de que se trate”, el Abogado del Estado alude al art. 23.3 de la Ley autonómica que recoge los supuestos de incumplimiento de las obligaciones de utilización e instalación de infraestructuras de telecomunicaciones y de las redes públicas de comunicaciones electrónicas [23.3 a)], de las obligaciones de información para la ordenación de las infraestructuras [23.3 b)] y de las obligaciones de coubicación y uso compartido de las infraestructuras [23.3 c)], tipificándolas como infracciones graves, para añadir a continuación que, conforme a lo expuesto sobre la titularidad de la competencia en dichas materias, la Comunidad Autónoma de Galicia “carece de competencia para establecer la tipificación de infracciones construida sobre el incumplimiento de normas dictadas sin título competencia y para la regulación de las cuestiones procedimentales atinentes a la imposición de estas sanciones”.</w:t>
      </w:r>
    </w:p>
    <w:p w:rsidR="00163957" w:rsidRDefault="00163957" w:rsidP="00163957">
      <w:pPr>
        <w:pStyle w:val="TextoNormal"/>
      </w:pPr>
    </w:p>
    <w:p w:rsidR="00163957" w:rsidRDefault="00163957" w:rsidP="00163957">
      <w:pPr>
        <w:pStyle w:val="TextoNormal"/>
      </w:pPr>
      <w:r>
        <w:t>Partiendo de esta parca alegación solo cabe añadir que, en la medida en que hemos argumentado que la Comunidad Autónoma de Galicia tiene competencia en las materias precisamente citadas en el art. 23.3 de la Ley 3/2013 (con los límites que se han ido precisando a lo largo de esta resolución), decae la impugnación relativa a este concreto precepto, y no puede considerarse suficiente la argumentación a efectos de entender impugnado el resto del título V como régimen sancionador, tal como ya adelantamos en el fundamento jurídico cuarto de esta resolución respecto de algunas de las concretas impugnaciones de este recurso. Conviene, no obstante, remarcar, que el art. 23.3 c) de la Ley impugnada solo resultará constitucional en la medida en que se entienda que su referencia al incumplimiento de las obligaciones en materia de coubicación y compartición de infraestructuras, obligaciones establecidas en el art. 6.1 de la Ley autonómica, lo es en el marco normativo general en materia de telecomunicaciones vigente al que, precisamente, remite el citado art. 6.1 de la Ley 3/2013. Esta interpretación se llevará al fallo.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lastRenderedPageBreak/>
        <w:t>Ha decidido</w:t>
      </w:r>
    </w:p>
    <w:p w:rsidR="00163957" w:rsidRDefault="00163957" w:rsidP="00163957">
      <w:pPr>
        <w:pStyle w:val="TextoNormalCentrado"/>
        <w:keepNext/>
      </w:pPr>
    </w:p>
    <w:p w:rsidR="00163957" w:rsidRDefault="00163957" w:rsidP="00163957">
      <w:pPr>
        <w:pStyle w:val="TextoNormal"/>
      </w:pPr>
      <w:r>
        <w:t>1. Estimar parcialmente el presente recurso de inconstitucionalidad y declarar la inconstitucionalidad y nulidad de los siguientes preceptos, letras e incisos:</w:t>
      </w:r>
    </w:p>
    <w:p w:rsidR="00163957" w:rsidRDefault="00163957" w:rsidP="00163957">
      <w:pPr>
        <w:pStyle w:val="TextoNormal"/>
      </w:pPr>
    </w:p>
    <w:p w:rsidR="00163957" w:rsidRDefault="00163957" w:rsidP="00163957">
      <w:pPr>
        <w:pStyle w:val="TextoNormal"/>
      </w:pPr>
      <w:r>
        <w:t>— El apartado 3 del art. 5 de la Ley 3/2013, excepto el primer inciso, según el cual “la actividad de promoción se limitará, inicialmente, a la construcción y al despliegue de infraestructuras de soporte, tales como conductos, cámaras subterráneas, suministro eléctrico, bocas de inspección, distribuidores, antenas, mástiles, torres y otras estructuras de soporte, edificios o entradas a edificios que permitan a los demás operadores, tanto públicos como privados, implementar sus redes públicas de comunicación”, que se declara constitucional.</w:t>
      </w:r>
    </w:p>
    <w:p w:rsidR="00163957" w:rsidRDefault="00163957" w:rsidP="00163957">
      <w:pPr>
        <w:pStyle w:val="TextoNormal"/>
      </w:pPr>
    </w:p>
    <w:p w:rsidR="00163957" w:rsidRDefault="00163957" w:rsidP="00163957">
      <w:pPr>
        <w:pStyle w:val="TextoNormal"/>
      </w:pPr>
      <w:r>
        <w:t>— Los apartados, 5, 6 y 7 del art. 5 de la Ley 3/2013.</w:t>
      </w:r>
    </w:p>
    <w:p w:rsidR="00163957" w:rsidRDefault="00163957" w:rsidP="00163957">
      <w:pPr>
        <w:pStyle w:val="TextoNormal"/>
      </w:pPr>
    </w:p>
    <w:p w:rsidR="00163957" w:rsidRDefault="00163957" w:rsidP="00163957">
      <w:pPr>
        <w:pStyle w:val="TextoNormal"/>
      </w:pPr>
      <w:r>
        <w:t>— El art. 6.2 de la Ley 3/2013.</w:t>
      </w:r>
    </w:p>
    <w:p w:rsidR="00163957" w:rsidRDefault="00163957" w:rsidP="00163957">
      <w:pPr>
        <w:pStyle w:val="TextoNormal"/>
      </w:pPr>
    </w:p>
    <w:p w:rsidR="00163957" w:rsidRDefault="00163957" w:rsidP="00163957">
      <w:pPr>
        <w:pStyle w:val="TextoNormal"/>
      </w:pPr>
      <w:r>
        <w:t>— El segundo inciso del art. 8.1 de la Ley 3/2013, con el siguiente tenor: “cuando sea necesario para garantizar, por razones debidamente justificadas y de conformidad con el marco general en materia de telecomunicaciones, la consecución de un objetivo de interés general, en particular la cobertura de las zonas en que la demanda esté insuficientemente atendida por el sector privado, podrá seleccionarse la solución tecnológica o combinación de soluciones tecnológicas que se consideren más adecuadas”.</w:t>
      </w:r>
    </w:p>
    <w:p w:rsidR="00163957" w:rsidRDefault="00163957" w:rsidP="00163957">
      <w:pPr>
        <w:pStyle w:val="TextoNormal"/>
      </w:pPr>
    </w:p>
    <w:p w:rsidR="00163957" w:rsidRDefault="00163957" w:rsidP="00163957">
      <w:pPr>
        <w:pStyle w:val="TextoNormal"/>
      </w:pPr>
      <w:r>
        <w:t>— Los incisos “preservar la cobertura y la calidad de la prestación de los servicios de comunicaciones electrónicas” y “o a la prestación de los servicios de comunicaciones electrónicas” del apartado 1 del art. 13 de la Ley 3/2013.</w:t>
      </w:r>
    </w:p>
    <w:p w:rsidR="00163957" w:rsidRDefault="00163957" w:rsidP="00163957">
      <w:pPr>
        <w:pStyle w:val="TextoNormal"/>
      </w:pPr>
    </w:p>
    <w:p w:rsidR="00163957" w:rsidRDefault="00163957" w:rsidP="00163957">
      <w:pPr>
        <w:pStyle w:val="TextoNormal"/>
      </w:pPr>
      <w:r>
        <w:t>— Las letras b) y c) del art. 14.1 de la Ley 3/2013.</w:t>
      </w:r>
    </w:p>
    <w:p w:rsidR="00163957" w:rsidRDefault="00163957" w:rsidP="00163957">
      <w:pPr>
        <w:pStyle w:val="TextoNormal"/>
      </w:pPr>
    </w:p>
    <w:p w:rsidR="00163957" w:rsidRDefault="00163957" w:rsidP="00163957">
      <w:pPr>
        <w:pStyle w:val="TextoNormal"/>
      </w:pPr>
      <w:r>
        <w:t>— El inciso “al objeto de posibilitar el acceso a nuevos servicios” de la letra b) del art. 15. 2 de la Ley 3/2013.</w:t>
      </w:r>
    </w:p>
    <w:p w:rsidR="00163957" w:rsidRDefault="00163957" w:rsidP="00163957">
      <w:pPr>
        <w:pStyle w:val="TextoNormal"/>
      </w:pPr>
    </w:p>
    <w:p w:rsidR="00163957" w:rsidRDefault="00163957" w:rsidP="00163957">
      <w:pPr>
        <w:pStyle w:val="TextoNormal"/>
      </w:pPr>
      <w:r>
        <w:t>— La letra f) del art. 15.2 de la Ley.</w:t>
      </w:r>
    </w:p>
    <w:p w:rsidR="00163957" w:rsidRDefault="00163957" w:rsidP="00163957">
      <w:pPr>
        <w:pStyle w:val="TextoNormal"/>
      </w:pPr>
    </w:p>
    <w:p w:rsidR="00163957" w:rsidRDefault="00163957" w:rsidP="00163957">
      <w:pPr>
        <w:pStyle w:val="TextoNormal"/>
      </w:pPr>
      <w:r>
        <w:t>— El inciso “para la prestación de los servicios mínimos obligatorios de telecomunicaciones” de la letra h) del mismo art. 15.2 de la Ley autonómica.</w:t>
      </w:r>
    </w:p>
    <w:p w:rsidR="00163957" w:rsidRDefault="00163957" w:rsidP="00163957">
      <w:pPr>
        <w:pStyle w:val="TextoNormal"/>
      </w:pPr>
    </w:p>
    <w:p w:rsidR="00163957" w:rsidRDefault="00163957" w:rsidP="00163957">
      <w:pPr>
        <w:pStyle w:val="TextoNormal"/>
      </w:pPr>
      <w:r>
        <w:t>— El inciso “sin perjuicio de garantizar la prestación de los servicios mínimos obligatorios de telecomunicaciones” del art. 15.3 de la Ley 3/2013.</w:t>
      </w:r>
    </w:p>
    <w:p w:rsidR="00163957" w:rsidRDefault="00163957" w:rsidP="00163957">
      <w:pPr>
        <w:pStyle w:val="TextoNormal"/>
      </w:pPr>
    </w:p>
    <w:p w:rsidR="00163957" w:rsidRDefault="00163957" w:rsidP="00163957">
      <w:pPr>
        <w:pStyle w:val="TextoNormal"/>
      </w:pPr>
      <w:r>
        <w:t>— La palabra “obsoletas” del apartado c) del art. 17.1 de la Ley.</w:t>
      </w:r>
    </w:p>
    <w:p w:rsidR="00163957" w:rsidRDefault="00163957" w:rsidP="00163957">
      <w:pPr>
        <w:pStyle w:val="TextoNormal"/>
      </w:pPr>
    </w:p>
    <w:p w:rsidR="00163957" w:rsidRDefault="00163957" w:rsidP="00163957">
      <w:pPr>
        <w:pStyle w:val="TextoNormal"/>
      </w:pPr>
      <w:r>
        <w:t>— El inciso “y de estos con los operadores” de la letra b) del art. 17.2 de la Ley 3/2013.</w:t>
      </w:r>
    </w:p>
    <w:p w:rsidR="00163957" w:rsidRDefault="00163957" w:rsidP="00163957">
      <w:pPr>
        <w:pStyle w:val="TextoNormal"/>
      </w:pPr>
    </w:p>
    <w:p w:rsidR="00163957" w:rsidRDefault="00163957" w:rsidP="00163957">
      <w:pPr>
        <w:pStyle w:val="TextoNormal"/>
      </w:pPr>
      <w:r>
        <w:t>— El inciso “y fiabilidad” de la letra c) del art. 17.2 de la Ley.</w:t>
      </w:r>
    </w:p>
    <w:p w:rsidR="00163957" w:rsidRDefault="00163957" w:rsidP="00163957">
      <w:pPr>
        <w:pStyle w:val="TextoNormal"/>
      </w:pPr>
    </w:p>
    <w:p w:rsidR="00163957" w:rsidRDefault="00163957" w:rsidP="00163957">
      <w:pPr>
        <w:pStyle w:val="TextoNormal"/>
      </w:pPr>
      <w:r>
        <w:t>— El inciso “para la prestación de los servicios mínimos obligatorios de telecomunicaciones” del art. 18.1 de la Ley.</w:t>
      </w:r>
    </w:p>
    <w:p w:rsidR="00163957" w:rsidRDefault="00163957" w:rsidP="00163957">
      <w:pPr>
        <w:pStyle w:val="TextoNormal"/>
      </w:pPr>
    </w:p>
    <w:p w:rsidR="00163957" w:rsidRDefault="00163957" w:rsidP="00163957">
      <w:pPr>
        <w:pStyle w:val="TextoNormal"/>
      </w:pPr>
      <w:r>
        <w:t>— La letra a) del art. 19.2 de la Ley.</w:t>
      </w:r>
    </w:p>
    <w:p w:rsidR="00163957" w:rsidRDefault="00163957" w:rsidP="00163957">
      <w:pPr>
        <w:pStyle w:val="TextoNormal"/>
      </w:pPr>
    </w:p>
    <w:p w:rsidR="00163957" w:rsidRDefault="00163957" w:rsidP="00163957">
      <w:pPr>
        <w:pStyle w:val="TextoNormal"/>
      </w:pPr>
      <w:r>
        <w:t>2. Declarar que no son inconstitucionales los arts. 12; 15.2 g); 17.1 a) y 23.3 c) de la Ley 3/2013, interpretados en los términos expuestos, respectivamente, en los fundamentos jurídicos 11 b); 10; 7 y 12 de esta resolución.</w:t>
      </w:r>
    </w:p>
    <w:p w:rsidR="00163957" w:rsidRDefault="00163957" w:rsidP="00163957">
      <w:pPr>
        <w:pStyle w:val="TextoNormal"/>
      </w:pPr>
    </w:p>
    <w:p w:rsidR="00163957" w:rsidRDefault="00163957" w:rsidP="00163957">
      <w:pPr>
        <w:pStyle w:val="TextoNormal"/>
      </w:pPr>
      <w:r>
        <w:t>3.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veintiuno de enero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2" w:name="SENTENCIA_2016_9"/>
      <w:r>
        <w:lastRenderedPageBreak/>
        <w:t>SENTENCIA 9/2016, de 21 de enero de 2016</w:t>
      </w:r>
    </w:p>
    <w:bookmarkEnd w:id="12"/>
    <w:p w:rsidR="00163957" w:rsidRDefault="00163957" w:rsidP="00163957">
      <w:pPr>
        <w:pStyle w:val="TtuloResolucin"/>
      </w:pPr>
      <w:r>
        <w:t>Pleno</w:t>
      </w:r>
    </w:p>
    <w:p w:rsidR="00163957" w:rsidRDefault="00163957" w:rsidP="00163957">
      <w:pPr>
        <w:pStyle w:val="TtuloBOE"/>
      </w:pPr>
      <w:r>
        <w:t>(BOE núm. 45, de 22 de febrero de 2016)</w:t>
      </w:r>
    </w:p>
    <w:p w:rsidR="00163957" w:rsidRDefault="00163957" w:rsidP="00163957">
      <w:pPr>
        <w:pStyle w:val="TextoNormalCentrado"/>
      </w:pPr>
      <w:r>
        <w:t>ECLI:ES:TC:2016:9</w:t>
      </w:r>
    </w:p>
    <w:p w:rsidR="00163957" w:rsidRDefault="00163957" w:rsidP="00163957">
      <w:pPr>
        <w:pStyle w:val="TextoNormalCentrado"/>
      </w:pPr>
    </w:p>
    <w:p w:rsidR="00163957" w:rsidRDefault="00163957" w:rsidP="00163957">
      <w:pPr>
        <w:pStyle w:val="SntesisDescriptiva"/>
      </w:pPr>
      <w:r>
        <w:t>Cuestión de inconstitucionalidad 6423-2014. Planteada por la Sala de lo Contencioso-Administrativo del Tribunal Superior de Justicia del País Vasco en relación con el artículo 48 k) de la Ley del estatuto básico del empleado público, en la redacción dada por el Real Decreto-ley 20/2012, de 13 de julio.</w:t>
      </w:r>
    </w:p>
    <w:p w:rsidR="00163957" w:rsidRDefault="00163957" w:rsidP="00163957">
      <w:pPr>
        <w:pStyle w:val="SntesisDescriptiva"/>
      </w:pPr>
    </w:p>
    <w:p w:rsidR="00163957" w:rsidRDefault="00163957" w:rsidP="00163957">
      <w:pPr>
        <w:pStyle w:val="SntesisAnaltica"/>
      </w:pPr>
      <w:r>
        <w:t>Competencias sobre función pública: constitucionalidad del precepto legal estatal que reduce a tres días el permiso por asuntos particulares que pueden disfrutar los funcionarios públicos. Voto particular.</w:t>
      </w:r>
    </w:p>
    <w:p w:rsidR="00163957" w:rsidRDefault="00163957" w:rsidP="00163957">
      <w:pPr>
        <w:pStyle w:val="SntesisAnaltica"/>
      </w:pPr>
    </w:p>
    <w:p w:rsidR="00163957" w:rsidRDefault="00163957" w:rsidP="00163957">
      <w:pPr>
        <w:pStyle w:val="Extracto"/>
      </w:pPr>
      <w:r>
        <w:t>1.</w:t>
      </w:r>
      <w:r>
        <w:tab/>
        <w:t>La determinación de lo que deba reputarse como básico para delimitar el ámbito correspondiente del título competencial del Estado aplicable a una materia no puede hacerse en términos de relación, por cuanto el perfil de lo básico ha de construirse sobre los principios de igualdad y solidaridad al tiempo que ha de tenerse en cuenta su vocación armonizadora (STC 156/2015) [FJ 3].</w:t>
      </w:r>
    </w:p>
    <w:p w:rsidR="00163957" w:rsidRDefault="00163957" w:rsidP="00163957">
      <w:pPr>
        <w:pStyle w:val="Extracto"/>
      </w:pPr>
    </w:p>
    <w:p w:rsidR="00163957" w:rsidRDefault="00163957" w:rsidP="00163957">
      <w:pPr>
        <w:pStyle w:val="Extracto"/>
      </w:pPr>
      <w:r>
        <w:t>2.</w:t>
      </w:r>
      <w:r>
        <w:tab/>
        <w:t>La duración de los permisos o licencias de los funcionarios públicos es materia básica, correspondiendo al Estado su fijación, en la medida en que, a través de las bases se establece un régimen común (STC 156/2015) [FJ 3].</w:t>
      </w:r>
    </w:p>
    <w:p w:rsidR="00163957" w:rsidRDefault="00163957" w:rsidP="00163957">
      <w:pPr>
        <w:pStyle w:val="Extracto"/>
      </w:pPr>
    </w:p>
    <w:p w:rsidR="00163957" w:rsidRDefault="00163957" w:rsidP="00163957">
      <w:pPr>
        <w:pStyle w:val="Extracto"/>
      </w:pPr>
      <w:r>
        <w:t>3.</w:t>
      </w:r>
      <w:r>
        <w:tab/>
        <w:t>El objetivo de lograr una mínima y fundamental homogeneidad en materia básica de permisos y vacaciones de los funcionarios no impide a las Comunidades Autónomas el margen de actuación necesario para el desarrollo y ejecución de dichas bases, pues permite a aquéllas optar por fijar la forma y manera de su utilización (STC 156/2015) [FJ 3].</w:t>
      </w:r>
    </w:p>
    <w:p w:rsidR="00163957" w:rsidRDefault="00163957" w:rsidP="00163957">
      <w:pPr>
        <w:pStyle w:val="Extracto"/>
      </w:pPr>
    </w:p>
    <w:p w:rsidR="00163957" w:rsidRDefault="00163957" w:rsidP="00163957">
      <w:pPr>
        <w:pStyle w:val="Extracto"/>
      </w:pPr>
      <w:r>
        <w:t>4.</w:t>
      </w:r>
      <w:r>
        <w:tab/>
        <w:t>La nueva regulación halla su fundamento en la competencia del Estado sobre las bases del régimen de derechos y deberes de los funcionarios públicos (art. 149.1.18 CE) y posibilita un margen de desarrollo a las Comunidades Autónomas, por lo que la impugnación debe ser desestimada (STC 156/2015)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la cuestión de inconstitucionalidad núm. 6423-2014, promovida por la Sala de lo Contencioso-Administrativo del Tribunal Superior de Justicia del País Vasco en relación con el art. 8.1 del Real Decreto-ley 20/2012, de 13 de julio, de medidas para garantizar la estabilidad presupuestaria y de fomento de la competitividad, en el particular que modifica el art. 48 k) de la Ley 7/2007, de 12 de abril, del estatuto básico del empleado público. Han intervenido y formulado alegaciones el Abogado del Estado y el Fiscal General del Estado. Ha sido Ponente el Magistrado don Ricardo Enríquez Sancho,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28 de octubre de 2014 tuvo entrada en este Tribunal oficio de la Sala de lo Contencioso-Administrativo del Tribunal Superior de Justicia del País Vasco (Sección Tercera) por el que se remite testimonio íntegro del procedimiento ordinario núm. 305-2013 y del Auto de 14 de octubre de 2014, dictado en su seno, por el que la Sala acuerda “[p]lantear ante el Tribunal Constitucional cuestión de inconstitucionalidad en relación con el art. 8.1 del Real Decreto-ley 20/2012, de 13 de julio, de medidas para garantizar la estabilidad presupuestaria y de fomento de la competitividad, por posible vulneración de los arts. 149.1.13, 149.1.18 y 156.1 CE, en relación con el art. 10.4 de la Ley Orgánica 3/1979, de 18 de diciembre, de Estatuto de Autonomía del País Vasco”.</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que interesa destacar a los efectos de este proceso constitucional son los siguientes:</w:t>
      </w:r>
    </w:p>
    <w:p w:rsidR="00163957" w:rsidRDefault="00163957" w:rsidP="00163957">
      <w:pPr>
        <w:pStyle w:val="TextoNormal"/>
      </w:pPr>
    </w:p>
    <w:p w:rsidR="00163957" w:rsidRDefault="00163957" w:rsidP="00163957">
      <w:pPr>
        <w:pStyle w:val="TextoNormal"/>
      </w:pPr>
      <w:r>
        <w:t>a) Don J.L.C.G, funcionario de la policía autónoma del País Vasco, afiliado del sindicato Ertzainen Nazional Elkartasuna, actuando en nombre de la referida organización y debidamente apoderado al efecto, interpuso ante la Sala de lo Contencioso-Administrativo del Tribunal Superior de Justicia del País Vasco, recurso contencioso-administrativo contra el Decreto del Gobierno Vasco 173/2013, de 5 de marzo, por el que se establece la jornada de trabajo anual, para el ejercicio 2013, para el personal funcionario, estatutario y laboral de la Administración de la Comunidad Autónoma de Euskadi.</w:t>
      </w:r>
    </w:p>
    <w:p w:rsidR="00163957" w:rsidRDefault="00163957" w:rsidP="00163957">
      <w:pPr>
        <w:pStyle w:val="TextoNormal"/>
      </w:pPr>
    </w:p>
    <w:p w:rsidR="00163957" w:rsidRDefault="00163957" w:rsidP="00163957">
      <w:pPr>
        <w:pStyle w:val="TextoNormal"/>
      </w:pPr>
      <w:r>
        <w:t>En concreto, impugnaba las dos siguientes medidas adoptadas en el citado Decreto:</w:t>
      </w:r>
    </w:p>
    <w:p w:rsidR="00163957" w:rsidRDefault="00163957" w:rsidP="00163957">
      <w:pPr>
        <w:pStyle w:val="TextoNormal"/>
      </w:pPr>
    </w:p>
    <w:p w:rsidR="00163957" w:rsidRDefault="00163957" w:rsidP="00163957">
      <w:pPr>
        <w:pStyle w:val="TextoNormal"/>
      </w:pPr>
      <w:r>
        <w:t>(i) Por un lado, el incremento para el año 2013 de la jornada anual hasta entonces acordada en el art. 16.2 del Decreto 4/2012, de 17 de enero, por el que se aprueba el acuerdo regulador de las jornadas de trabajo del personal de la Ertzaintza para los años 2011, 2012 y 2013, que era de 1.592 horas, equivalente a una jornada de 35 horas semanales, y que en el Decreto recurrido se fija en 1.614 horas y 30 minutos (art. 2.1), es decir, en 22 horas y 30 minutos más que las fijadas en el Decreto 4/2012.</w:t>
      </w:r>
    </w:p>
    <w:p w:rsidR="00163957" w:rsidRDefault="00163957" w:rsidP="00163957">
      <w:pPr>
        <w:pStyle w:val="TextoNormal"/>
      </w:pPr>
    </w:p>
    <w:p w:rsidR="00163957" w:rsidRDefault="00163957" w:rsidP="00163957">
      <w:pPr>
        <w:pStyle w:val="TextoNormal"/>
      </w:pPr>
      <w:r>
        <w:t>(ii) Y por otro, la reducción del permiso por asuntos particulares de los seis días previstos en el mismo Decreto 4/2012 (art. 52), a solamente tres (art. 2.2 del Decreto 173/2013).</w:t>
      </w:r>
    </w:p>
    <w:p w:rsidR="00163957" w:rsidRDefault="00163957" w:rsidP="00163957">
      <w:pPr>
        <w:pStyle w:val="TextoNormal"/>
      </w:pPr>
    </w:p>
    <w:p w:rsidR="00163957" w:rsidRDefault="00163957" w:rsidP="00163957">
      <w:pPr>
        <w:pStyle w:val="TextoNormal"/>
      </w:pPr>
      <w:r>
        <w:lastRenderedPageBreak/>
        <w:t>Efectivamente, el citado Decreto 173/2013 objeto del recurso contencioso-administrativo interpuesto, después de señalar en su artículo 1 que incluye en su ámbito de aplicación al “[p]ersonal de la Ertzaintza”, establece en su artículo 2, apartados 1 y 2, lo siguiente:</w:t>
      </w:r>
    </w:p>
    <w:p w:rsidR="00163957" w:rsidRDefault="00163957" w:rsidP="00163957">
      <w:pPr>
        <w:pStyle w:val="TextoNormal"/>
      </w:pPr>
    </w:p>
    <w:p w:rsidR="00163957" w:rsidRDefault="00163957" w:rsidP="00163957">
      <w:pPr>
        <w:pStyle w:val="TextoNormal"/>
      </w:pPr>
      <w:r>
        <w:t>“Artículo 2.– Jornada de trabajo anual para el ejercicio 2013.</w:t>
      </w:r>
    </w:p>
    <w:p w:rsidR="00163957" w:rsidRDefault="00163957" w:rsidP="00163957">
      <w:pPr>
        <w:pStyle w:val="TextoNormal"/>
      </w:pPr>
    </w:p>
    <w:p w:rsidR="00163957" w:rsidRDefault="00163957" w:rsidP="00163957">
      <w:pPr>
        <w:pStyle w:val="TextoNormal"/>
      </w:pPr>
      <w:r>
        <w:t>1.– La jornada de trabajo anual del personal incluido en el ámbito de aplicación del presente Decreto para el ejercicio 2013 será de 1.614 horas y 30 minutos.</w:t>
      </w:r>
    </w:p>
    <w:p w:rsidR="00163957" w:rsidRDefault="00163957" w:rsidP="00163957">
      <w:pPr>
        <w:pStyle w:val="TextoNormal"/>
      </w:pPr>
    </w:p>
    <w:p w:rsidR="00163957" w:rsidRDefault="00163957" w:rsidP="00163957">
      <w:pPr>
        <w:pStyle w:val="TextoNormal"/>
      </w:pPr>
      <w:r>
        <w:t>2.– El personal tendrá derecho a tres días de permiso por asuntos particulares, cuantificados en 22 horas y 30 minutos, que computará como trabajo efectivo y que se deducirán de la jornada anual establecida en el párrafo primero. En consecuencia, la jornada anual de presencia efectiva será de 1.592 horas.”</w:t>
      </w:r>
    </w:p>
    <w:p w:rsidR="00163957" w:rsidRDefault="00163957" w:rsidP="00163957">
      <w:pPr>
        <w:pStyle w:val="TextoNormal"/>
      </w:pPr>
    </w:p>
    <w:p w:rsidR="00163957" w:rsidRDefault="00163957" w:rsidP="00163957">
      <w:pPr>
        <w:pStyle w:val="TextoNormal"/>
      </w:pPr>
      <w:r>
        <w:t>Continuaba la demanda argumentando que las únicas razones que ofrecía el preámbulo del Decreto para esta modificación eran las vinculadas al contenido del Real Decreto-ley 20/2012, de 13 de julio, de medidas para garantizar la estabilidad presupuestaria y de fomento de la competitividad, y a su necesario acatamiento por la Comunidad Autónoma del País Vasco, pero defendía el actor que el citado Real Decreto-ley estaba viciado de inconstitucionalidad, remitiéndose a las razones esgrimidas en el Auto del mismo Tribunal Superior de Justicia (Sala de lo Social) de 8 de octubre de 2013, dictado en el recurso de suplicación 1059-2013, en el que se planteó cuestión de inconstitucionalidad en relación con el mismo, y terminaba suplicando expresamente en su escrito su demanda que se plantease por la Sala cuestión de inconstitucionalidad en relación con el concreto precepto que a él le afectaba —esto es, el art. 8.1 del Real Decreto-ley 20/2012 en cuanto modifica el art. 48 k) de la Ley 7/2007, de 12 de abril, del estatuto básico del empleado público (LEEP)—, por tres motivos: en primer lugar, por vulneración del art. 86.1 CE por falta de presupuesto habilitante; en segundo lugar, por vulneración del derecho a la negociación colectiva y del principio de confianza legítima como manifestación del de seguridad jurídica, consagrados en los arts. 37 y 9.3 CE, respectivamente; y en tercer y último lugar, por vulneración de las competencias de la Comunidad Autónoma derivadas de los arts. 149.1.13 y 18 CE y 10.4 del Estatuto de Autonomía para el País Vasco.</w:t>
      </w:r>
    </w:p>
    <w:p w:rsidR="00163957" w:rsidRDefault="00163957" w:rsidP="00163957">
      <w:pPr>
        <w:pStyle w:val="TextoNormal"/>
      </w:pPr>
    </w:p>
    <w:p w:rsidR="00163957" w:rsidRDefault="00163957" w:rsidP="00163957">
      <w:pPr>
        <w:pStyle w:val="TextoNormal"/>
      </w:pPr>
      <w:r>
        <w:t xml:space="preserve">b) Tramitado el procedimiento, y comparecido el Letrado de la Comunidad Autónoma en defensa del Decreto impugnado, una vez concluso y dentro del plazo para dictar Sentencia, la Sala acordó, por providencia de 9 de septiembre de 2014, dar audiencia a las partes personadas y al Ministerio Fiscal “sobre la pertinencia de plantear cuestión de inconstitucionalidad, o sobre el fondo de ésta, en relación con los siguientes extremos: a) si el art. 8.Uno del Real Decreto-ley 20/2012, de 13 de julio, de medidas para garantizar la estabilidad presupuestaria y de fomento de la competitividad, al modificar el art. 48.1 k) (sic) de la Ley 7/2007, de 12 de abril, del Estatuto Básico del Empleado Público, vulnera lo previsto en el art. 86 CE respecto de los presupuestos habilitantes para la regulación de la cuestión por el cauce del Decreto-ley, b) si el art. 8.Uno del Real Decreto-ley 20/2012, de 13 de julio, de medidas para garantizar la estabilidad presupuestaria y de fomento de la competitividad, al modificar el art. 48.1 k) (sic) de la Ley 7/2007, de 12 de abril, del Estatuto Básico del Empleado Público, vulnera lo previsto en los arts. 37 y 9.3 CE respecto del derecho a la negociación colectiva y confianza legítima como manifestación del principio de seguridad jurídica, c) si el art. 8.Uno del Real Decreto-Ley 20/2012, de 13 de julio, de medidas para </w:t>
      </w:r>
      <w:r>
        <w:lastRenderedPageBreak/>
        <w:t>garantizar la estabilidad presupuestaria y de fomento de la competitividad, en relación con su Disposición Final Cuarta, al modificar el art. 48.1.k) (sic) de la Ley 7/2007, de 12 de abril, del Estatuto Básico del Empleado Público, vulnera el reparto competencial entre el Estado y la Comunidad Autónoma del País Vasco según resulta de los artículos 149.1.13, 149.1.18 y 156.1 CE, en relación con el art. 10.4 de la Ley Orgánica 3/1979, de 18 de diciembre, de Estatuto de Autonomía del País Vasco”.</w:t>
      </w:r>
    </w:p>
    <w:p w:rsidR="00163957" w:rsidRDefault="00163957" w:rsidP="00163957">
      <w:pPr>
        <w:pStyle w:val="TextoNormal"/>
      </w:pPr>
    </w:p>
    <w:p w:rsidR="00163957" w:rsidRDefault="00163957" w:rsidP="00163957">
      <w:pPr>
        <w:pStyle w:val="TextoNormal"/>
      </w:pPr>
      <w:r>
        <w:t>c) Todas las partes emplazadas presentaron sus escritos: las partes remitiéndose a la posición ya manifestada en sus escritos anteriores, y el Fiscal entendiendo pertinente el planteamiento de la cuestión.</w:t>
      </w:r>
    </w:p>
    <w:p w:rsidR="00163957" w:rsidRDefault="00163957" w:rsidP="00163957">
      <w:pPr>
        <w:pStyle w:val="TextoNormal"/>
      </w:pPr>
    </w:p>
    <w:p w:rsidR="00163957" w:rsidRDefault="00163957" w:rsidP="00163957">
      <w:pPr>
        <w:pStyle w:val="TextoNormal"/>
      </w:pPr>
      <w:r>
        <w:t>d) Por Auto de 14 de octubre de 2014, la Sala acordó plantear cuestión de inconstitucionalidad “en relación con el art. 8.1 del Real Decreto-ley 20/2012, de 13 de julio, de medidas para garantizar la estabilidad presupuestaria y de fomento de la competitividad, por posible vulneración de los arts. 149.1.13, 149.1.18 y 156.1 CE, en relación con el art. 10.4 de la Ley Orgánica 3/1979, de 18 de diciembre, de Estatuto de Autonomía del País Vasco”, y en cambio “[n]o haber lugar al planteamiento de las restantes cuestiones de inconstitucionalidad sobre las que se concedió audiencia a las partes y al Ministerio Fiscal en la Providencia de 9 de septiembre de 2014”.</w:t>
      </w:r>
    </w:p>
    <w:p w:rsidR="00163957" w:rsidRDefault="00163957" w:rsidP="00163957">
      <w:pPr>
        <w:pStyle w:val="TextoNormal"/>
      </w:pPr>
    </w:p>
    <w:p w:rsidR="00163957" w:rsidRDefault="00163957" w:rsidP="00163957">
      <w:pPr>
        <w:pStyle w:val="TextoNormal"/>
      </w:pPr>
      <w:r w:rsidRPr="00163957">
        <w:rPr>
          <w:rStyle w:val="NumeroAFNegritaCaracter"/>
        </w:rPr>
        <w:t>3</w:t>
      </w:r>
      <w:r>
        <w:t>. El Auto de planteamiento comienza haciendo un extenso resumen de los antecedentes del proceso (posiciones de las partes, objeto del trámite de audiencia sobre la cuestión de inconstitucionalidad y resultado del mismo); a continuación, proclama que de acuerdo con esos antecedentes considera cumplidos los trámites procesales previos al planteamiento de la cuestión de inconstitucionalidad exigidos por el art. 35 de la Ley Orgánica del Tribunal Constitucional (LOTC). Inmediatamente identifica la norma con rango de ley cuya constitucionalidad se cuestiona, que es el ya citado art. 8.1 del Real Decreto-ley 20/2012, de 13 de julio, solamente en cuanto modifica el art. 48 k) LEEP que reconoce a los funcionarios tres días de permiso por asuntos particulares, y pasa seguidamente a explicar por qué es aplicable al caso el precepto cuestionado por qué su constitucionalidad es determinante para la resolución del recurso, en los siguientes términos.</w:t>
      </w:r>
    </w:p>
    <w:p w:rsidR="00163957" w:rsidRDefault="00163957" w:rsidP="00163957">
      <w:pPr>
        <w:pStyle w:val="TextoNormal"/>
      </w:pPr>
    </w:p>
    <w:p w:rsidR="00163957" w:rsidRDefault="00163957" w:rsidP="00163957">
      <w:pPr>
        <w:pStyle w:val="TextoNormal"/>
      </w:pPr>
      <w:r>
        <w:t xml:space="preserve">El art. 2.2 del Decreto 173/2013, dice la Sala promovente, tiene como único fundamento, así explicitado tanto por el preámbulo del Decreto como por el Letrado de la Comunidad Autónoma en su contestación a la demanda, la necesidad de que la normativa de la comunidad autónoma se ajuste a la normativa básica de los empleados públicos dictada por el Estado, contenida en el citado art. 48 k) LEEP según su nueva redacción dada por el art. 8.1 del Real Decreto-ley 20/2012. De este modo, el precepto reglamentario impugnado no hace otra cosa que reproducir el tenor de la norma con rango de ley cuya constitucionalidad se cuestiona, “de suerte que si ésta es conforme a la Constitución, de aquél no podrá predicarse tacha alguna; mientras que, por el contrario, si aquélla es inconstitucional, también lo será el precepto reglamentario impugnado sobre el que ha de pronunciarse la sentencia que se dicte en el pez en el presente recurso contencioso administrativo”. Y “[d]ado que uno de los motivos de impugnación suscitados por la parte actora es precisamente la inconstitucionalidad del art. 8.Uno del Real Decreto-Ley 20/2012 —prosigue la Sala cuestionante— la decisión del proceso, en el particular referido a la impugnación dirigida contra la artículo 2.2 del Decreto 173/2013, depende así, sólo, de la validez constitucional del citado art. 8.1 </w:t>
      </w:r>
      <w:r>
        <w:lastRenderedPageBreak/>
        <w:t>del Real Decreto-Ley 20/2012. Validez invalidez que únicamente puede decidir el Tribunal Constitucional”.</w:t>
      </w:r>
    </w:p>
    <w:p w:rsidR="00163957" w:rsidRDefault="00163957" w:rsidP="00163957">
      <w:pPr>
        <w:pStyle w:val="TextoNormal"/>
      </w:pPr>
    </w:p>
    <w:p w:rsidR="00163957" w:rsidRDefault="00163957" w:rsidP="00163957">
      <w:pPr>
        <w:pStyle w:val="TextoNormal"/>
      </w:pPr>
      <w:r>
        <w:t>Abordando ya la exposición de las dudas de constitucionalidad, el Auto comienza aclarando que el art. 8.1 del Real Decreto-ley 20/2012, en cuanto modifica el art. 48 k) LEEP, tiene carácter básico, según la disposición final cuarta del citado Real Decreto-ley 20/2012, y se ampara en los arts. 149.1.13, 149.1.18 y 156.1 CE, del mismo modo que según la disposición final primera LEEP las normas de esta Ley tienen carácter básico al amparo de los mismos títulos competenciales.</w:t>
      </w:r>
    </w:p>
    <w:p w:rsidR="00163957" w:rsidRDefault="00163957" w:rsidP="00163957">
      <w:pPr>
        <w:pStyle w:val="TextoNormal"/>
      </w:pPr>
    </w:p>
    <w:p w:rsidR="00163957" w:rsidRDefault="00163957" w:rsidP="00163957">
      <w:pPr>
        <w:pStyle w:val="TextoNormal"/>
      </w:pPr>
      <w:r>
        <w:t>A continuación, explica que la modificación introducida en el art. 48 LEEP por el precepto cuestionado “… ha supuesto la desaparición de la referencia al carácter supletorio de la normativa básica estatal en defecto de normativa aplicable (como recuerdan las sentencias del Tribunal Constitucional 181/2012, de 5 octubre, FJ 4 y 191/2012 y 29 octubre, FJ 4). De este modo, como afirma el Preámbulo del Real Decreto-Ley, ‘se homogeneiza, asimismo, el régimen de permisos para todas las administraciones públicas. Con la misma finalidad de racionalizar el gasto de personal, se limita el número de días por asuntos particulares y de días adicionales a los de libre disposición que puedan haber establecido las administraciones públicas’”. Sin embargo, para la Sala proponente, tanto desde la perspectiva del art. 149.1.13 y 156.1, como desde la del art. 149.1.18, existen determinados límites a la competencia estatal que no respeta el precepto cuestionado. Con cita de las SSTC 171/1996, de 30 de octubre, FJ 3, y 50/1999, de 6 de abril FJ 3, se refiere a la doctrina de que las “bases” no pueden regular agotadoramente una materia, y deben siempre dejar margen a las comunidades autónomas para desarrollar políticas propias, y a partir de ahí se plantea si el Estado no se ha excedido en este concreto caso privando de todo margen a las comunidades autónomas desarrollar sus propias políticas de gasto y personal. Le parece, asimismo, que la repercusión más o menos directa e inmediata que la reducción de los días de permiso tiene en el gasto público tampoco justifica o ampara la medida, pues el Estado podía haber optado por otras alternativas que sí respetaban ese margen de actuación de las comunidades autónomas que exige el binomio bases-desarrollo. Apunta así, “a efectos puramente dialécticos y sin pretender en ningún momento ejercitar por sustitución funciones constitucionales que no le corresponden a este órgano jurisdiccional, [al] establecimiento de topes máximos en la legislación básica a partir de los cuales cada Administración Pública pudiera haber concretado e individualizado sus propias decisiones ponderadas de contención del gasto público en materia de personal en relación con esta u otras partidas. De hecho, esa homogeneización estatal impide a una Comunidad Autónoma que, en ejercicio de sus competencias sobre régimen estatutario de los funcionarios públicos y en atención a sus propias políticas de reducción del gasto público, quisiera reducir aún más el permiso por asuntos particulares, hacerlo por debajo de ese límite de tres días”.</w:t>
      </w:r>
    </w:p>
    <w:p w:rsidR="00163957" w:rsidRDefault="00163957" w:rsidP="00163957">
      <w:pPr>
        <w:pStyle w:val="TextoNormal"/>
      </w:pPr>
    </w:p>
    <w:p w:rsidR="00163957" w:rsidRDefault="00163957" w:rsidP="00163957">
      <w:pPr>
        <w:pStyle w:val="TextoNormal"/>
      </w:pPr>
      <w:r>
        <w:t>Además, subraya que la reducción del permiso por asuntos particulares de seis a tres días, y su homogeneización para todas las Administraciones públicas, no es la única medida adoptada en el Real Decreto-ley 20/2012 para la racionalización de reducción del gasto de personal, por lo que, a su juicio, el legislador estatal debería haber justificado que la desaparición del margen de decisión de las comunidades autónomas en relación a dicha concreta y específica materia era también “estrictamente indispensable” para la consecución de los objetivos de política económica que persigue el artículo 8.1 del Real Decreto-ley, y no simplemente oportuna o conveniente desde la perspectiva estatal.</w:t>
      </w:r>
    </w:p>
    <w:p w:rsidR="00163957" w:rsidRDefault="00163957" w:rsidP="00163957">
      <w:pPr>
        <w:pStyle w:val="TextoNormal"/>
      </w:pPr>
    </w:p>
    <w:p w:rsidR="00163957" w:rsidRDefault="00163957" w:rsidP="00163957">
      <w:pPr>
        <w:pStyle w:val="TextoNormal"/>
      </w:pPr>
      <w:r>
        <w:t>Todo ello le lleva a entender que el Estado, a través del art. 8.1 del Real Decreto-ley 20/2012, ha vulnerado el régimen de distribución de competencias que respecto de la concreta materia regulada —permisos de los funcionarios públicos— se deriva del bloque de constitucionalidad. En sus propias palabras: “como declaró el Tribunal Constitucional en Sentencia 57/1982, de 27 julio, FJ 4, ‘El art. 10.4 del Estatuto Vasco, confiere competencia exclusiva la Comunidad Autónoma en materia de estatuto de los funcionarios de la administración local, pero señalando que ello es ‘sin perjuicio de lo establecido en el artículo 149.1.18 de la Constitución’, según el cual, el estado posee competencia exclusiva para establecer las bases del régimen estatutario de los funcionarios de las Administraciones Públicas. De esta complementación de normas resulta, que al Estado corresponde establecer las normas básicas en esta materia, y a la Comunidad Autónoma le corresponde la competencia legislativa respetando dichas bases’. Pues bien”, a juicio de la Sala, “en el presente caso, el Estado ha incurrido en un exceso en la regulación de las bases del régimen estatutario de los funcionarios públicos (artículo 149.1.18 CE) al modificar el artículo 48.1 k) (sic) de la Ley 7/2007, de 12 abril, del Estatuto Básico del Empleado Público a través del artículo 8.1 (sic) del Real Decreto Ley 20/2012, que no está tampoco justificado por la invocación de los artículos 149.1.13 y 156.1 CE y que supone vulnerar la competencia reconocida la Comunidad Autónoma del País Vasco por el artículo 10.4 del Estatuto de Autonomía”.</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2 de diciembre de 2014, el Pleno del Tribunal, a propuesta de la Sección Cuarta, acordó admitir a trámite la cuestión planteada por la Sala de lo Contencioso-Administrativo del Tribunal Superior de Justicia del País Vasco en relación con el art. 8.1 del Real Decreto-ley 20/2012, de 13 de julio, de medidas para garantizar la estabilidad presupuestaria y de fomento de la competitividad, por posible vulneración de los arts. 149.1.13, 149.1.18 y 156.1 CE; acordó también, de conformidad con lo dispuesto en el art. 10.1 c) LOTC, reservar para sí el conocimiento de la presente cuestión, así como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 la Sala de lo Contencioso-Administrativo del Tribunal Superior de Justicia del País Vasco a fin de que, de conformidad con lo dispuesto en el art. 35.3 LOTC, permanezca suspendido el proceso hasta que este Tribunal resuelva definitivamente la presente cuestión; y finalmente publicar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de 16 de diciembre de 2014, registrado en el Tribunal el siguiente día 17, el Presidente del Senado comunicó al Tribunal el acuerdo de la Mesa de la Cámara, de igual fecha, en orden a que se tuviera por personado al Senado en el procedimiento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Por escrito de la misma fecha y también registrado el día 17 de diciembre de 2014, el Presidente del Congreso de los Diputados comunicó al Tribunal el acuerdo de la Mesa de la Cámara de 16 de diciembre de 2015 en orden a que se tuviera por personado al Congreso de los Diputados en el procedimiento y por ofrecida su colaboración a los efectos del art. </w:t>
      </w:r>
      <w:r>
        <w:lastRenderedPageBreak/>
        <w:t>88.1 LOTC, así como remitir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rsidRPr="00163957">
        <w:rPr>
          <w:rStyle w:val="NumeroAFNegritaCaracter"/>
        </w:rPr>
        <w:t>7</w:t>
      </w:r>
      <w:r>
        <w:t>. El 2 de enero de 2015 tuvo entrada en este Tribunal el escrito de alegaciones del Abogado del Estado, en representación del Gobierno de la Nación, en el que se interesa la inadmisión y, subsidiariamente, la desestimación de la presente cuestión de inconstitucionalidad.</w:t>
      </w:r>
    </w:p>
    <w:p w:rsidR="00163957" w:rsidRDefault="00163957" w:rsidP="00163957">
      <w:pPr>
        <w:pStyle w:val="TextoNormal"/>
      </w:pPr>
    </w:p>
    <w:p w:rsidR="00163957" w:rsidRDefault="00163957" w:rsidP="00163957">
      <w:pPr>
        <w:pStyle w:val="TextoNormal"/>
      </w:pPr>
      <w:r>
        <w:t>a) El Abogado del Estado comienza alegando la deficitaria exteriorización por el órgano proponente de los juicios de aplicabilidad y relevancia del precepto cuestionado, que son requisitos de admisión de conformidad con el art. 35.1 y 2 LOTC.</w:t>
      </w:r>
    </w:p>
    <w:p w:rsidR="00163957" w:rsidRDefault="00163957" w:rsidP="00163957">
      <w:pPr>
        <w:pStyle w:val="TextoNormal"/>
      </w:pPr>
    </w:p>
    <w:p w:rsidR="00163957" w:rsidRDefault="00163957" w:rsidP="00163957">
      <w:pPr>
        <w:pStyle w:val="TextoNormal"/>
      </w:pPr>
      <w:r>
        <w:t>Por lo que respecta al juicio de relevancia, no está adecuadamente exteriorizado porque en realidad, a juicio del Abogado del Estado, el fallo de la Sala en el proceso a quo no depende de la constitucionalidad del art. 48 k) LEEP, por tres razones. En primer lugar, porque el objeto del recurso contencioso-administrativo no es solo el art. 2.2 del Decreto 173/2013, sino todo el reglamento, de modo que se somete a enjuiciamiento de la Sala cuestiones que trascienden de la mera fijación del permiso por asuntos particulares del citado art. 48 k). En segundo lugar, porque el citado art. 2.2 del Decreto173/2013 no coincide con el art. 48 k) LEEP, ni en su ámbito de aplicación, ni en su regulación sustantiva. En su ámbito de aplicación porque mientras el art. 48 k) es de aplicación a “los funcionarios” el precepto reglamentario se refiere al personal representado en la mesa general de negociación de la administración de la comunidad autónoma (funcionario, estatutario y laboral), y en su regulación sustantiva porque mientras el art. 48 k) LEEP fija en tres días el permiso por asuntos particulares el art. 2.2 del Decreto 173/2013 cuantifica la duración de los permisos, los deduce de la jornada anual y determina en consecuencia el tiempo de presencia efectiva durante el año. Y finalmente, en tercer lugar, porque se esgrimen en el recurso otros motivos de impugnación que de ser acogidos desembocarían igualmente en la estimación del recurso contencioso-administrativo, como son (i) el incumplimiento del art. 38.10 LEEP, (ii) la vulneración del art. 103 de la Ley de policía del País Vasco, y (iii) defectos de carácter formal invalidantes de conformidad con los arts. 62 e) de la Ley 30/1992, de 26 de noviembre, y 17 e) de la Ley 4/1992, de 17 de julio, de policía del País Vasco. De todo ello concluye el Abogado del Estado que el fallo no depende de la “validez” de la norma cuestionada, como impone el antes citado art. 35 LOTC.</w:t>
      </w:r>
    </w:p>
    <w:p w:rsidR="00163957" w:rsidRDefault="00163957" w:rsidP="00163957">
      <w:pPr>
        <w:pStyle w:val="TextoNormal"/>
      </w:pPr>
    </w:p>
    <w:p w:rsidR="00163957" w:rsidRDefault="00163957" w:rsidP="00163957">
      <w:pPr>
        <w:pStyle w:val="TextoNormal"/>
      </w:pPr>
      <w:r>
        <w:t xml:space="preserve">En cuanto al juicio de aplicación, le parece que el art. 35.1 LOTC exige que la norma legal cuestionada sea “concreta o directamente aplicable al supuesto de hecho controvertido, no abstractamente aplicable”. Diferencia en este sentido los casos de recurso contencioso-administrativo contra actos, donde el reglamento sí es directa o concretamente aplicable pero los órganos jurisdiccionales tienen la potestad de inaplicar ese reglamento supuestamente ilegal, precisamente para evitar la confirmación de actos jurídicos ilegales, y el caso de los recursos directos contra reglamentos, donde los órganos jurisdiccionales, sostiene, no ejercen un control material o concreto, sino formal o abstracto, no haciendo una aplicación concreta y material de la ley, sino formal. Es decir, en estos casos de recurso directo contra reglamentos el órgano jurisdiccional no hace aplicación directa de la ley, sino que enjuicia la conformidad con ella del reglamento, de modo que si el reglamento se adapta a la ley desestimará el recurso y si por el contrario contradice sus determinaciones lo estimará. Pero </w:t>
      </w:r>
      <w:r>
        <w:lastRenderedPageBreak/>
        <w:t>en esta tarea, dice el Abogado del Estado, la ley no es “aplicable” al caso en el sentido exigido por el art. 35 LOTC.</w:t>
      </w:r>
    </w:p>
    <w:p w:rsidR="00163957" w:rsidRDefault="00163957" w:rsidP="00163957">
      <w:pPr>
        <w:pStyle w:val="TextoNormal"/>
      </w:pPr>
    </w:p>
    <w:p w:rsidR="00163957" w:rsidRDefault="00163957" w:rsidP="00163957">
      <w:pPr>
        <w:pStyle w:val="TextoNormal"/>
      </w:pPr>
      <w:r>
        <w:t>b) Entrando ya en el examen del contenido de la norma cuestionada, tras recordar la condición formalmente básica de la norma controvertida de conformidad con la disposición final cuarta del mismo Real Decreto-ley 20/2012, explica por qué a su juicio la norma cuestionada debe ser considerada asimismo como materialmente básica. Recuerda que conforme a la doctrina de este Tribunal Constitucional a propósito del art. 149.1.18 CE la expresión “régimen estatutario de los funcionarios” contenida en el citado precepto comprende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y al modo de provisión de puestos de trabajo al servicio de las Administraciones Públicas” [SSTC 99/1987, de 11 de junio FJ 3 c), 56/1990, de 29 de marzo, FJ 10; 37/2002, de 14 de febrero, FJ 5; 31/2010, de 28 de junio, FJ 82; 113/2010, de 24 de noviembre, FJ 3, y 175/2011, de 8 de noviembre, FJ 5, entre otras]. Le parece entonces obvio que la regulación de las licencias, vacaciones y permisos forma parte de las bases reservadas al Estado en el citado art. 149.1.18 CE, como ha recordado la STC 294/2006, de 11 de octubre, FJ 8, y al contrario, reputa “inconcebible” que los funcionarios de las distintas Administraciones pudiera disfrutar de un diferente régimen de permisos. Así, el título III LEEP regula el “código de conducta de los empleados públicos” y su artículo 14 m) incluye entre los “derechos de carácter individual” el de disfrutar de “vacaciones, descansos, permisos y licencias”; y en el capítulo V de este título III, se regulan los derechos “a la jornada de trabajo, permisos y vacaciones”, capítulo en que se integran los arts. 48 y 50 a que da nueva redacción el art. 8 del Real Decreto-ley 20/2012.</w:t>
      </w:r>
    </w:p>
    <w:p w:rsidR="00163957" w:rsidRDefault="00163957" w:rsidP="00163957">
      <w:pPr>
        <w:pStyle w:val="TextoNormal"/>
      </w:pPr>
    </w:p>
    <w:p w:rsidR="00163957" w:rsidRDefault="00163957" w:rsidP="00163957">
      <w:pPr>
        <w:pStyle w:val="TextoNormal"/>
      </w:pPr>
      <w:r>
        <w:t>Para el Abogado del Estado la regulación uniforme de los permisos entronca con los mandatos que la CE impone a todas las Administraciones (art. 103.1 CE) y con el principio de estabilidad presupuestaria del artículo 135. Esto sentado, le parece que las comunidades autónomas sí tienen margen de desarrollo de la legislación estatal, no solo para “fijar límites máximos aún más estrictos” que los fijados por la normativa básica del Estado “que contribuyan a incrementar su productividad interna y a reducir sus déficits”, sino también fijando “la forma en que se disfrutan las vacaciones (por días sueltos o estableciendo un mínimo de días consecutivos), la posibilidad de unir los días de vacaciones a los de los distintos permisos, la de disfrutar permisos y vacaciones de un año en el mes de enero siguiente, etc.”</w:t>
      </w:r>
    </w:p>
    <w:p w:rsidR="00163957" w:rsidRDefault="00163957" w:rsidP="00163957">
      <w:pPr>
        <w:pStyle w:val="TextoNormal"/>
      </w:pPr>
    </w:p>
    <w:p w:rsidR="00163957" w:rsidRDefault="00163957" w:rsidP="00163957">
      <w:pPr>
        <w:pStyle w:val="TextoNormal"/>
      </w:pPr>
      <w:r>
        <w:t xml:space="preserve">Pero no solo es el título competencial del art. 149.1.18 CE el que justifica la regulación impugnada. Para el Abogado del Estado, el art. 149.1.13 CE también ampara la reforma, al estar dirigida a reducir el gasto público a través de unos de sus capítulos más importantes, como es el capítulo de personal. Para él, la doctrina de este Tribunal Constitucional no deja margen de duda: todas las medidas de contención de gastos de personal que hayan de aplicase a todo el sector público, incluido el autonómico sin excepción, competen al Estado en virtud de los art. 149.1.13 y 156.1 CE, al que debe añadirse, hoy, el nuevo art. 135 CE (cita en apoyo de esta tesis, entre otras, las SSTC 63/1986, de 21 de mayo, FJ 11; 96/1990, de 24 de mayo, FJ 3; 171/1996, de 30 de octubre, FJ 4; 62/2001, de 1 de marzo, FJ 6; 24/2002, de 31 de enero, FJ 5; 139/2005, de 26 de mayo, FJ 7; 148/2006, de 11 de mayo, FFJJ 4 y ss.; </w:t>
      </w:r>
      <w:r>
        <w:lastRenderedPageBreak/>
        <w:t>178/2006, de 6 de junio, FJ 3; 195/2006, de 22 de junio, FJ 6; 222/2006, de 6 de julio, y 297/2006, de 11 de octubre, FJ 5).</w:t>
      </w:r>
    </w:p>
    <w:p w:rsidR="00163957" w:rsidRDefault="00163957" w:rsidP="00163957">
      <w:pPr>
        <w:pStyle w:val="TextoNormal"/>
      </w:pPr>
    </w:p>
    <w:p w:rsidR="00163957" w:rsidRDefault="00163957" w:rsidP="00163957">
      <w:pPr>
        <w:pStyle w:val="TextoNormal"/>
      </w:pPr>
      <w:r>
        <w:t>Concluye, por todo ello, que la presente cuestión de inconstitucionalidad debe ser desestimada.</w:t>
      </w:r>
    </w:p>
    <w:p w:rsidR="00163957" w:rsidRDefault="00163957" w:rsidP="00163957">
      <w:pPr>
        <w:pStyle w:val="TextoNormal"/>
      </w:pPr>
    </w:p>
    <w:p w:rsidR="00163957" w:rsidRDefault="00163957" w:rsidP="00163957">
      <w:pPr>
        <w:pStyle w:val="TextoNormal"/>
      </w:pPr>
      <w:r w:rsidRPr="00163957">
        <w:rPr>
          <w:rStyle w:val="NumeroAFNegritaCaracter"/>
        </w:rPr>
        <w:t>8</w:t>
      </w:r>
      <w:r>
        <w:t>. El 13 de enero de 2015 tuvo entrada en este Tribunal el escrito de alegaciones del Fiscal General del Estado. Tras una pormenorizada exposición de los antecedentes y del contenido del Auto impugnado, el representante del Ministerio público se pronuncia sobre los diferentes motivos de inconstitucionalidad planteados.</w:t>
      </w:r>
    </w:p>
    <w:p w:rsidR="00163957" w:rsidRDefault="00163957" w:rsidP="00163957">
      <w:pPr>
        <w:pStyle w:val="TextoNormal"/>
      </w:pPr>
    </w:p>
    <w:p w:rsidR="00163957" w:rsidRDefault="00163957" w:rsidP="00163957">
      <w:pPr>
        <w:pStyle w:val="TextoNormal"/>
      </w:pPr>
      <w:r>
        <w:t>a) Así, en primer lugar considera que el Auto de planteamiento no concreta el modo en que la norma estatal habría invadido la competencia autonómicas derivada del art. 156.1 CE (autonomía financiera); en rigor, le parece que la única duda de constitucionalidad explicitada en el Auto de planteamiento es la de la posible extralimitación del Estado en el ejercicio de la competencia del art. 149.1.18 CE (bases del régimen estatutario de los funcionarios). En consecuencia, solo se pronuncia en sus alegaciones sobre esta última.</w:t>
      </w:r>
    </w:p>
    <w:p w:rsidR="00163957" w:rsidRDefault="00163957" w:rsidP="00163957">
      <w:pPr>
        <w:pStyle w:val="TextoNormal"/>
      </w:pPr>
    </w:p>
    <w:p w:rsidR="00163957" w:rsidRDefault="00163957" w:rsidP="00163957">
      <w:pPr>
        <w:pStyle w:val="TextoNormal"/>
      </w:pPr>
      <w:r>
        <w:t>b) En lo que respecta a este único objeto de la cuestión suscitada, le parece que la técnica seguida por el Auto de planteamiento es inadecuada, pues ha formulado sus dudas como una “mera confrontación entre una norma derogada y otra vigente, atribuyendo carácter constitucional a la primera para negárselo a la segunda”. Así, para la Sala promovente (según el Fiscal) la desaparición del carácter supletorio de la regulación anterior producida como consecuencia de la reforma cuestionada convertiría en inconstitucional esa reforma. Tal planteamiento, sin embargo, adolece de graves defectos que según el Fiscal General del Estado no pueden ser obviados, como son (i) prescindir de la confrontación del texto vigente con la Constitución, comparándolo solo con la normativa anterior que ese nuevo texto deroga, y (ii) no abordar tampoco la cuestión relativa a la titularidad de la competencia para regular la duración de los permisos de los funcionarios. De ello deduce que la cuestión ha de ser inadmitida por ser notoriamente infundada (art. 37.1 LOTC).</w:t>
      </w:r>
    </w:p>
    <w:p w:rsidR="00163957" w:rsidRDefault="00163957" w:rsidP="00163957">
      <w:pPr>
        <w:pStyle w:val="TextoNormal"/>
      </w:pPr>
    </w:p>
    <w:p w:rsidR="00163957" w:rsidRDefault="00163957" w:rsidP="00163957">
      <w:pPr>
        <w:pStyle w:val="TextoNormal"/>
      </w:pPr>
      <w:r>
        <w:t>c) En todo caso, y penetrando en el fondo de la cuestión planteada, partiendo de la doctrina contenida en la STC 37/2002, de 14 de febrero, el Fiscal General del Estado concluye que las “bases del régimen estatutario de los funcionarios” (art. 149.1.18 CE) comprenden la normación relativa a sus derechos y deberes, dentro de la cual, sin duda alguna, debe caber la relativa a las licencias y permisos.</w:t>
      </w:r>
    </w:p>
    <w:p w:rsidR="00163957" w:rsidRDefault="00163957" w:rsidP="00163957">
      <w:pPr>
        <w:pStyle w:val="TextoNormal"/>
      </w:pPr>
    </w:p>
    <w:p w:rsidR="00163957" w:rsidRDefault="00163957" w:rsidP="00163957">
      <w:pPr>
        <w:pStyle w:val="TextoNormal"/>
      </w:pPr>
      <w:r>
        <w:t>Esto sentado, y asumido también el carácter formalmente básico del precepto cuestionado, establecido en la disposición final cuarta del Real Decreto-ley 20/2012, le parece que el precepto analizado cumple también la función material que la Constitución asigna a normativa básica del Estado, por incidir de manera frontal en la regulación de un ámbito verdaderamente nuclear del régimen estatutario de los funcionarios públicos: los permisos y licencias.</w:t>
      </w:r>
    </w:p>
    <w:p w:rsidR="00163957" w:rsidRDefault="00163957" w:rsidP="00163957">
      <w:pPr>
        <w:pStyle w:val="TextoNormal"/>
      </w:pPr>
    </w:p>
    <w:p w:rsidR="00163957" w:rsidRDefault="00163957" w:rsidP="00163957">
      <w:pPr>
        <w:pStyle w:val="TextoNormal"/>
      </w:pPr>
      <w:r>
        <w:t>Recuerda, para terminar, que es al Estado al que corresponde fijar el común denominador normativo necesario para asegurar la unidad fundamental prevista en las normas del bloque de la constitucionalidad, de acuerdo con la doctrina de este Tribunal (cita, entre otras, la STC 48/1988, FJ 3).</w:t>
      </w:r>
    </w:p>
    <w:p w:rsidR="00163957" w:rsidRDefault="00163957" w:rsidP="00163957">
      <w:pPr>
        <w:pStyle w:val="TextoNormal"/>
      </w:pPr>
    </w:p>
    <w:p w:rsidR="00163957" w:rsidRDefault="00163957" w:rsidP="00163957">
      <w:pPr>
        <w:pStyle w:val="TextoNormal"/>
      </w:pPr>
      <w:r>
        <w:t>Por todo ello termina solicitando la desestimación de la presente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19 de enero de 2016, se acordó señalar para deliberación y votación de la presente Sentencia el día 21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Sala de lo Contencioso-Administrativo del Tribunal Superior de Justicia del País Vasco promueve cuestión de inconstitucionalidad en relación con el art. 48 k) de la Ley 7/2007, de 12 de abril, del estatuto básico del empleado público (LEEP, en adelante), en la redacción temporalmente aplicable al proceso que debe resolver, que es la que dio al precepto el art. 8.1 del Real Decreto-ley 20/2012, de 13 de julio, de medidas para garantizar la estabilidad presupuestaria y de fomento de la competitividad: “Los funcionarios públicos tendrán los siguientes permisos: k) Por asuntos particulares, tres días”.</w:t>
      </w:r>
    </w:p>
    <w:p w:rsidR="00163957" w:rsidRDefault="00163957" w:rsidP="00163957">
      <w:pPr>
        <w:pStyle w:val="TextoNormal"/>
      </w:pPr>
    </w:p>
    <w:p w:rsidR="00163957" w:rsidRDefault="00163957" w:rsidP="00163957">
      <w:pPr>
        <w:pStyle w:val="TextoNormal"/>
      </w:pPr>
      <w:r>
        <w:t>Para el órgano promovente, la regulación imperativa que establece el citado art. 48 LEEP puede representar una regulación agotadora de la materia contraria, por ello (por exceso), a la competencia exclusivamente básica que sobre el régimen estatutario de los funcionarios públicos reconoce al Estado el art. 149.1.18 CE. Recuerda que en su redacción originaria el estatuto básico del empleado público incluía una regulación simplemente supletoria de los permisos de los funcionarios públicos, pues decía el citado artículo 48: “1. Las Administraciones Públicas determinarán los supuestos de concesión de permisos a los funcionarios públicos y sus requisitos, efectos y duración. En defecto de legislación aplicable los permisos y su duración serán, al menos, los siguientes: … k) Por asuntos particulares, seis días”. De manera que antes de la reforma las comunidades autónomas tenían margen para regular esta materia, un margen que ha desaparecido tras la modificación operada por el art. 8.1 del Real Decreto-ley 20/2012. Y ello, para la Sala promovente, puede representar una vulneración de las competencias estatutariamente asumidas por la comunidad autónoma del País Vasco sobre el desarrollo de las citadas bases sobre el régimen estatutario de los funcionarios (art. 10.4 del Estatuto de Autonomía para el País Vasco).</w:t>
      </w:r>
    </w:p>
    <w:p w:rsidR="00163957" w:rsidRDefault="00163957" w:rsidP="00163957">
      <w:pPr>
        <w:pStyle w:val="TextoNormal"/>
      </w:pPr>
    </w:p>
    <w:p w:rsidR="00163957" w:rsidRDefault="00163957" w:rsidP="00163957">
      <w:pPr>
        <w:pStyle w:val="TextoNormal"/>
      </w:pPr>
      <w:r w:rsidRPr="00163957">
        <w:rPr>
          <w:rStyle w:val="NumeroAFNegritaCaracter"/>
        </w:rPr>
        <w:t>2</w:t>
      </w:r>
      <w:r>
        <w:t>. El Abogado del Estado y el Fiscal General del Estado han solicitado en sus alegaciones la inadmisión de la presente cuestión de inconstitucionalidad por diferentes motivos, sin que exista impedimento alguno para que puedan ser examinados y apreciados fuera del trámite de admisión del art. 37.1 de la Ley Orgánica del Tribunal Constitucional (LOTC) y en el momento de dictar Sentencia [así, por todas, STC 41/2010, de 22 de julio, FJ 2 a)].</w:t>
      </w:r>
    </w:p>
    <w:p w:rsidR="00163957" w:rsidRDefault="00163957" w:rsidP="00163957">
      <w:pPr>
        <w:pStyle w:val="TextoNormal"/>
      </w:pPr>
    </w:p>
    <w:p w:rsidR="00163957" w:rsidRDefault="00163957" w:rsidP="00163957">
      <w:pPr>
        <w:pStyle w:val="TextoNormal"/>
      </w:pPr>
      <w:r>
        <w:t>a) En primer lugar, el Fiscal General del Estado postula la inadmisión de la cuestión por considerar que es notoriamente infundada (art. 37.1 LOTC) debido a la forma en que ha sido construida y razonada en el Auto de planteamiento. Para el Ministerio público, el órgano promotor de la cuestión se ha limitado a contrastar el precepto cuestionado con su redacción anterior, ya comentada, y no con los preceptos constitucionales que luego se dicen vulnerados (señaladamente, el art. 149.1.18 CE).</w:t>
      </w:r>
    </w:p>
    <w:p w:rsidR="00163957" w:rsidRDefault="00163957" w:rsidP="00163957">
      <w:pPr>
        <w:pStyle w:val="TextoNormal"/>
      </w:pPr>
    </w:p>
    <w:p w:rsidR="00163957" w:rsidRDefault="00163957" w:rsidP="00163957">
      <w:pPr>
        <w:pStyle w:val="TextoNormal"/>
      </w:pPr>
      <w:r>
        <w:lastRenderedPageBreak/>
        <w:t>Una lectura atenta y sistemática del Auto de planteamiento revela que no es así. El órgano promovente, es cierto, compara el precepto impugnado con su redacción anterior, pero no lo hace para sostener que la redacción cuestionada sea inconstitucional por ese motivo, sino que justifica sus dudas acerca de la constitucionalidad de la nueva redacción citando ampliamente la doctrina de este Tribunal sobre los arts. 149.1.13 y 149.1.18, en concreto la STC 50/1999, de 6 de abril, FJ 3, entre otras, en las que este Tribunal se pronunció acerca de las materias comprendidas en las “bases del régimen estatutario de los funcionarios” (art. 149.1.18 CE), y que no menciona expresamente los permisos, y también la STC 57/1982, de 27 de julio, FJ 4, en la que este Tribunal delimitó el alcance y los límites de esta competencia, que no puede ser agotadora y debe dejar un margen de actuación a las comunidades autónomas. Y como le parece que el precepto cuestionado no cumple con estas exigencias, eleva cuestión de inconstitucionalidad a este Tribunal Constitucional en un ejercicio impecable de la potestad que le confiere el art. 163 CE (y el art. 5.2 de la Ley Orgánica del Poder Judicial).</w:t>
      </w:r>
    </w:p>
    <w:p w:rsidR="00163957" w:rsidRDefault="00163957" w:rsidP="00163957">
      <w:pPr>
        <w:pStyle w:val="TextoNormal"/>
      </w:pPr>
    </w:p>
    <w:p w:rsidR="00163957" w:rsidRDefault="00163957" w:rsidP="00163957">
      <w:pPr>
        <w:pStyle w:val="TextoNormal"/>
      </w:pPr>
      <w:r>
        <w:t>En consecuencia, esta primera causa de inadmisión debe ser rechazada.</w:t>
      </w:r>
    </w:p>
    <w:p w:rsidR="00163957" w:rsidRDefault="00163957" w:rsidP="00163957">
      <w:pPr>
        <w:pStyle w:val="TextoNormal"/>
      </w:pPr>
    </w:p>
    <w:p w:rsidR="00163957" w:rsidRDefault="00163957" w:rsidP="00163957">
      <w:pPr>
        <w:pStyle w:val="TextoNormal"/>
      </w:pPr>
      <w:r>
        <w:t>b) El Abogado del Estado añade un segundo óbice a la admisibilidad de la presente cuestión de inconstitucionalidad. Para él, el órgano promovente no ha exteriorizado adecuadamente los juicios de aplicación y relevancia exigidos por el art. 35.2 LOTC.</w:t>
      </w:r>
    </w:p>
    <w:p w:rsidR="00163957" w:rsidRDefault="00163957" w:rsidP="00163957">
      <w:pPr>
        <w:pStyle w:val="TextoNormal"/>
      </w:pPr>
    </w:p>
    <w:p w:rsidR="00163957" w:rsidRDefault="00163957" w:rsidP="00163957">
      <w:pPr>
        <w:pStyle w:val="TextoNormal"/>
      </w:pPr>
      <w:r>
        <w:t>Por lo que respecta al primero, la posibilidad de plantear cuestiones de inconstitucionalidad en el seno de procesos que tengan por objeto recursos directos contra reglamentos, que es lo que niega el Abogado del Estado, ha sido ya expresamente admitida por este Tribunal en las SSTC 76/1990, de 26 de abril, FJ 1; 183/1992, de 16 de noviembre, FJ 2; y 337/1994, de 23 de diciembre, FJ 4 a), exigiendo simplemente que el órgano judicial exteriorice la conexión entre la norma de rango reglamentario cuya legalidad ha de juzgar con la de rango legal cuya constitucionalidad cuestiona. Y esta especialidad de la cuestión de inconstitucionalidad en estos casos es cumplida por el órgano proponente, como puede comprobarse en el apartado de los antecedentes. Carece así de sentido sostener, como hace el Abogado del Estado, que en esa clase de recursos (directos contra disposiciones generales) el precepto legal de contraste no es “aplicable al caso”, como exigen los arts. 163 CE y 35.1 LOTC, y que en ellos la aplicación de la ley es “formal o abstract[a]”, a diferencia de lo que sucede en los recursos contra actos administrativos de aplicación, donde la jurisdicción ordinaria sí efectúa —en su opinión— una aplicación “concreta o material” de la ley. La realidad es que tanto en un caso como en otro la sujeción del órgano jurisdiccional a la ley es la misma (art. 117.1 CE), y esa es la razón por la que no pueden declarar contraria al “ordenamiento jurídico” (art. 70.2 de la Ley reguladora de la jurisdicción contencioso-administrativa) y anular la actuación administrativa impugnada (sea un acto o una disposición general) si una ley, expresamente, la ampara. Resulta artificioso distinguir así entre uno y otro supuesto, cuando ambos están encomendados a la jurisdicción contencioso-administrativa. Como dice la STC 76/1990, ya citada, “es claro que también en estos casos el proceso judicial no puede resolverse si antes no se despeja la duda acerca de la adecuación o no a la Constitución de los preceptos legales que las normas reglamentarias impugnadas desarrollan o ejecutan” (FJ 1). Tanto es así que, de hecho, es habitual que este Tribunal admitida y examine sin reparo alguno cuestiones de inconstitucionalidad promovidas en el seno de recursos directos contra reglamentos (así, entre otras, SSTC 117/2011, de 4 de julio, o 147/2012, de 5 de julio). No es posible por tanto asumir la causa de inadmisión alegada.</w:t>
      </w:r>
    </w:p>
    <w:p w:rsidR="00163957" w:rsidRDefault="00163957" w:rsidP="00163957">
      <w:pPr>
        <w:pStyle w:val="TextoNormal"/>
      </w:pPr>
    </w:p>
    <w:p w:rsidR="00163957" w:rsidRDefault="00163957" w:rsidP="00163957">
      <w:pPr>
        <w:pStyle w:val="TextoNormal"/>
      </w:pPr>
      <w:r>
        <w:t>Por lo que hace al juicio de relevancia, entendido como “el esquema argumental dirigido a probar que el fallo del proceso judicial depende de la validez de la norma cuestionada” (por todos, ATC 21/2001, de 30 de enero, FJ 1), este Tribunal ha reiterado que de acuerdo con el tenor del propio art. 35.2 LOTC compete, en principio, al promotor de la cuestión comprobar y exteriorizar la existencia del citado nexo de causalidad o dependencia entre el fallo del proceso y la norma cuestionada, sin que, por ello, este Tribunal Constitucional pueda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(por todas, STC 139/2005, de 26 de mayo, FJ 5).</w:t>
      </w:r>
    </w:p>
    <w:p w:rsidR="00163957" w:rsidRDefault="00163957" w:rsidP="00163957">
      <w:pPr>
        <w:pStyle w:val="TextoNormal"/>
      </w:pPr>
    </w:p>
    <w:p w:rsidR="00163957" w:rsidRDefault="00163957" w:rsidP="00163957">
      <w:pPr>
        <w:pStyle w:val="TextoNormal"/>
      </w:pPr>
      <w:r>
        <w:t>En este caso, tal y como ha quedado debidamente detallado en los antecedentes, la demanda del proceso contencioso-administrativo a quo cuestiona, directamente, la conformidad con el art. 149.1.18 CE de la reducción de seis a tres días del permiso por asuntos propios operada por el Decreto del Gobierno vasco 173/2013, de 5 de marzo (art. 2.2); y tanto el preámbulo del Decreto como el letrado de la comunidad autónoma en su contestación a la demanda defienden la medida aprobada por el obligado acatamiento y aplicación de la normativa formalmente básica aprobada por el Estado, que es el repetido Real Decreto-ley 20/2012 que en su art. 8.1 dio nueva redacción al art. 48 LEEP. Y así lo recoge el auto de planteamiento. De este modo, y desde la perspectiva externa y formal de verificación que corresponde a este Tribunal, la relación de dependencia entre la constitucionalidad del precepto legal cuestionado y el fallo que haya de dictarse aparece suficientemente justificada, a los efectos de admitir la presente cuestión de inconstitucionalidad. En contra de lo que pretende el Abogado del Estado, no corresponde a este Tribunal examinar la concurrencia de otros motivos de impugnación del Decreto impugnado, cuestión de estricta legalidad ordinaria para la que, obviamente, carece de jurisdicción y de competencia (STC 84/2012, de 18 de abril, FJ 3); por otra parte, como igualmente recuerda el ATC 39/2012, de 28 de febrero, FJ 5, “no puede pretenderse que las cuestiones de previas de legalidad ordinaria sean resueltas en el Auto de planteamiento de la cuestión de inconstitucionalidad”.</w:t>
      </w:r>
    </w:p>
    <w:p w:rsidR="00163957" w:rsidRDefault="00163957" w:rsidP="00163957">
      <w:pPr>
        <w:pStyle w:val="TextoNormal"/>
      </w:pPr>
    </w:p>
    <w:p w:rsidR="00163957" w:rsidRDefault="00163957" w:rsidP="00163957">
      <w:pPr>
        <w:pStyle w:val="TextoNormal"/>
      </w:pPr>
      <w:r>
        <w:t>En consecuencia, también la falta de condiciones procesales alegada por el Abogado del Estado (art. 37.1 LOTC, en relación con el artículo 35.2) debe ser rechazada.</w:t>
      </w:r>
    </w:p>
    <w:p w:rsidR="00163957" w:rsidRDefault="00163957" w:rsidP="00163957">
      <w:pPr>
        <w:pStyle w:val="TextoNormal"/>
      </w:pPr>
    </w:p>
    <w:p w:rsidR="00163957" w:rsidRDefault="00163957" w:rsidP="00163957">
      <w:pPr>
        <w:pStyle w:val="TextoNormal"/>
      </w:pPr>
      <w:r w:rsidRPr="00163957">
        <w:rPr>
          <w:rStyle w:val="NumeroAFNegritaCaracter"/>
        </w:rPr>
        <w:t>3</w:t>
      </w:r>
      <w:r>
        <w:t>. Llegados a este punto, y entrando ya en el examen de la duda de constitucionalidad suscitada, es de obligada referencia la STC 156/2015, de 9 de julio, dictada en el recurso de inconstitucionalidad núm. 5741-2012 interpuesto por el Consejo de Gobierno de la Junta de Andalucía y que era uno de los que el propio Auto de planteamiento consideraba vinculados a la presente cuestión de inconstitucionalidad.</w:t>
      </w:r>
    </w:p>
    <w:p w:rsidR="00163957" w:rsidRDefault="00163957" w:rsidP="00163957">
      <w:pPr>
        <w:pStyle w:val="TextoNormal"/>
      </w:pPr>
    </w:p>
    <w:p w:rsidR="00163957" w:rsidRDefault="00163957" w:rsidP="00163957">
      <w:pPr>
        <w:pStyle w:val="TextoNormal"/>
      </w:pPr>
      <w:r>
        <w:t xml:space="preserve">En concreto, en el fundamento jurídico 8 de la citada STC 156/2015 este Tribunal ha rechazado que el régimen de licencias y permisos introducido por el art. 8 del Real Decreto-ley 20/2012 haya supuesto una extralimitación competencial del Estado. Según recuerda la Sentencia y fundamento citados, es cierto que “el nuevo régimen jurídico de los permisos, licencias y vacaciones de los funcionarios públicos difiere notablemente del anterior, en el </w:t>
      </w:r>
      <w:r>
        <w:lastRenderedPageBreak/>
        <w:t>que … la precedente redacción del art. 48.1, que se corresponde con el actual art. 48 apartado único, le proporcionaba a la materia un tratamiento de normativa supletoria ‘en defecto de legislación aplicable’ (art. 48.1 LEEP)”. Sin embargo, ello no se consideró determinante de la inconstitucionalidad de ese nuevo régimen jurídico, pues “la determinación de lo que deba reputarse como básico para delimitar el ámbito correspondiente del título competencial del Estado aplicable a una materia no puede hacerse en términos de relación, por cuanto el perfil de lo básico ha de construirse sobre los principios de igualdad y solidaridad al tiempo que ha de tenerse en cuenta la vocación armonizadora de generalidad que debe reunir esta normativa básica”.</w:t>
      </w:r>
    </w:p>
    <w:p w:rsidR="00163957" w:rsidRDefault="00163957" w:rsidP="00163957">
      <w:pPr>
        <w:pStyle w:val="TextoNormal"/>
      </w:pPr>
    </w:p>
    <w:p w:rsidR="00163957" w:rsidRDefault="00163957" w:rsidP="00163957">
      <w:pPr>
        <w:pStyle w:val="TextoNormal"/>
      </w:pPr>
      <w:r>
        <w:t>Con apoyo en esta premisa, la citada STC 156/2015, FJ 8, encontró amparo en los citados principios de igualdad y solidaridad para la nueva regulación de los permisos y licencias de los funcionarios públicos establecida por el art. 8.1 del Real Decreto-ley 20/2012, descartando así su denunciada inconstitucionalidad, en los siguientes términos:</w:t>
      </w:r>
    </w:p>
    <w:p w:rsidR="00163957" w:rsidRDefault="00163957" w:rsidP="00163957">
      <w:pPr>
        <w:pStyle w:val="TextoNormal"/>
      </w:pPr>
    </w:p>
    <w:p w:rsidR="00163957" w:rsidRDefault="00163957" w:rsidP="00163957">
      <w:pPr>
        <w:pStyle w:val="TextoNormal"/>
      </w:pPr>
      <w:r>
        <w:t>“Pues bien, a la luz de estos planteamientos la recurrente plantea que la normativa estatal ha agotado toda posibilidad de desarrollo normativo localizando su impugnación en que los dos preceptos de la Ley del estatuto básico del empleado público introducidos por el art. 8 del Real Decreto-ley 20/2012 establecen una duración determinada sin posibilidad de modificación alguna del número de días que se prevén para cada tipo de permiso o licencia.</w:t>
      </w:r>
    </w:p>
    <w:p w:rsidR="00163957" w:rsidRDefault="00163957" w:rsidP="00163957">
      <w:pPr>
        <w:pStyle w:val="TextoNormal"/>
      </w:pPr>
    </w:p>
    <w:p w:rsidR="00163957" w:rsidRDefault="00163957" w:rsidP="00163957">
      <w:pPr>
        <w:pStyle w:val="TextoNormal"/>
      </w:pPr>
      <w:r>
        <w:t>Sin embargo, la duración de tales permisos o licencias de los funcionarios públicos entra dentro de lo básico, correspondiendo al Estado su fijación, en la medida en que, a través de las bases, se establece un régimen común, tanto de los diferentes conceptos de ausencia temporal justificada al puesto de trabajo, como de la duración de aquellos. Con tal planteamiento no se persigue otro objetivo que lograr una mínima y fundamental homogeneidad en este aspecto sustancial del régimen funcionarial que es el de los permisos y vacaciones, sin que tal delimitación impida a las Comunidades Autónomas el margen de actuación necesario para el desarrollo y ejecución de dichas bases, pues permite a aquellas optar por fijar la forma y manera de su utilización estableciendo, por ejemplo, si los permisos del art. 48 o los turnos de vacaciones del art. 50 LEEP pueden, los primeros, disfrutarse dentro o fuera de determinadas fechas del calendario anual o sin unirlos a los de vacaciones; y los segundos, en determinados períodos de tiempo, por días sueltos o estableciendo un mínimo de días consecutivos etc. Es decir, la norma estatal, aun fijando la duración de los diferentes tipos de permisos, no cierra toda posibilidad de desarrollo y aplicación a las Comunidades Autónomas de la normativa básica sobre esta materia.</w:t>
      </w:r>
    </w:p>
    <w:p w:rsidR="00163957" w:rsidRDefault="00163957" w:rsidP="00163957">
      <w:pPr>
        <w:pStyle w:val="TextoNormal"/>
      </w:pPr>
    </w:p>
    <w:p w:rsidR="00163957" w:rsidRDefault="00163957" w:rsidP="00163957">
      <w:pPr>
        <w:pStyle w:val="TextoNormal"/>
      </w:pPr>
      <w:r>
        <w:t>En definitiva, la nueva regulación halla su fundamento en la competencia del Estado sobre las bases del régimen de derechos y deberes de los funcionarios públicos (art. 149.1.18 CE) y posibilita un margen de desarrollo a las Comunidades Autónomas, por lo que la impugnación en este punto debe ser desestimada.”</w:t>
      </w:r>
    </w:p>
    <w:p w:rsidR="00163957" w:rsidRDefault="00163957" w:rsidP="00163957">
      <w:pPr>
        <w:pStyle w:val="TextoNormal"/>
      </w:pPr>
    </w:p>
    <w:p w:rsidR="00163957" w:rsidRDefault="00163957" w:rsidP="00163957">
      <w:pPr>
        <w:pStyle w:val="TextoNormal"/>
      </w:pPr>
      <w:r>
        <w:t>La identidad del precepto impugnado en el citado recurso de inconstitucionalidad y el aquí cuestionado, así como de los motivos de inconstitucionalidad alegados en uno y otro caso obligan, como es natural, a desestimar la presente cuestión de inconstitucionalidad.</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la presente cuestión de inconstitucionalidad.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veintiuno de enero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Antonio Narváez Rodríguez en relación con la Sentencia dictada en la cuestión de inconstitucionalidad núm. 6423-2014, y al que se adhieren los Magistrados doña Adela Asua Batarrita, don Fernando Valdés Dal-Ré y don Juan Antonio Xiol Ríos.</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emito este Voto particular discrepante porque entiendo que el art. 8.1 del Real Decreto-ley 20/2012, de 13 de julio, de medidas para garantizar la estabilidad presupuestaria y de fomento de la competitividad, en el particular que ha dado nueva redacción al art. 48 k) de la Ley 7/2007, de 12 de abril, del estatuto básico del empleado público, es inconstitucional en lo que se refiere a la específica duración del permiso de tres días por asuntos particulares, que ha regulado temporalmente este precepto respecto de los funcionarios de todas las Administraciones públicas, incluidos los de las Comunidades Autónomas y de las corporaciones locales, sin que deba ser declarado nulo en lo que atañe a los funcionarios de la Administración General del Estado.</w:t>
      </w:r>
    </w:p>
    <w:p w:rsidR="00163957" w:rsidRDefault="00163957" w:rsidP="00163957">
      <w:pPr>
        <w:pStyle w:val="TextoNormal"/>
      </w:pPr>
    </w:p>
    <w:p w:rsidR="00163957" w:rsidRDefault="00163957" w:rsidP="00163957">
      <w:pPr>
        <w:pStyle w:val="TextoNormal"/>
      </w:pPr>
      <w:r>
        <w:t>Las razones de mi discrepancia son coincidentes con las que ya fueron expuestas en el Voto particular formulado a la STC 156/2015, de 9 de julio, al que me remito para evitar reiteraciones innecesarias.</w:t>
      </w:r>
    </w:p>
    <w:p w:rsidR="00163957" w:rsidRDefault="00163957" w:rsidP="00163957">
      <w:pPr>
        <w:pStyle w:val="TextoNormal"/>
      </w:pPr>
    </w:p>
    <w:p w:rsidR="00163957" w:rsidRDefault="00163957" w:rsidP="00163957">
      <w:pPr>
        <w:pStyle w:val="TextoNormal"/>
      </w:pPr>
      <w:r>
        <w:t>Madrid, a veintiuno de enero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3" w:name="SENTENCIA_2016_10"/>
      <w:r>
        <w:lastRenderedPageBreak/>
        <w:t>SENTENCIA 10/2016, de 1 de febrero de 2016</w:t>
      </w:r>
    </w:p>
    <w:bookmarkEnd w:id="13"/>
    <w:p w:rsidR="00163957" w:rsidRDefault="00163957" w:rsidP="00163957">
      <w:pPr>
        <w:pStyle w:val="TtuloResolucin"/>
      </w:pPr>
      <w:r>
        <w:t>Sala Primera</w:t>
      </w:r>
    </w:p>
    <w:p w:rsidR="00163957" w:rsidRDefault="00163957" w:rsidP="00163957">
      <w:pPr>
        <w:pStyle w:val="TtuloBOE"/>
      </w:pPr>
      <w:r>
        <w:t>(BOE núm. 57, de 7 de marzo de 2016)</w:t>
      </w:r>
    </w:p>
    <w:p w:rsidR="00163957" w:rsidRDefault="00163957" w:rsidP="00163957">
      <w:pPr>
        <w:pStyle w:val="TextoNormalCentrado"/>
      </w:pPr>
      <w:r>
        <w:t>ECLI:ES:TC:2016:10</w:t>
      </w:r>
    </w:p>
    <w:p w:rsidR="00163957" w:rsidRDefault="00163957" w:rsidP="00163957">
      <w:pPr>
        <w:pStyle w:val="TextoNormalCentrado"/>
      </w:pPr>
    </w:p>
    <w:p w:rsidR="00163957" w:rsidRDefault="00163957" w:rsidP="00163957">
      <w:pPr>
        <w:pStyle w:val="SntesisDescriptiva"/>
      </w:pPr>
      <w:r>
        <w:t>Recurso de amparo 2870-2013. Promovido por el Grupo Parlamentario Socialista (PSOE-Regionalistas) en la Asamblea de Extremadura y por su portavoz, don Valentín García Gómez respecto de los acuerdos de la Mesa de la Cámara que inadmitieron a trámite una propuesta de Ley de defensa de la sanidad pública.</w:t>
      </w:r>
    </w:p>
    <w:p w:rsidR="00163957" w:rsidRDefault="00163957" w:rsidP="00163957">
      <w:pPr>
        <w:pStyle w:val="SntesisDescriptiva"/>
      </w:pPr>
    </w:p>
    <w:p w:rsidR="00163957" w:rsidRDefault="00163957" w:rsidP="00163957">
      <w:pPr>
        <w:pStyle w:val="SntesisAnaltica"/>
      </w:pPr>
      <w:r>
        <w:t>Vulneración del derecho al ejercicio de los cargos públicos en condiciones de igualdad: inadmisión de una iniciativa legislativa incursa en extralimitación en el ejercicio de las funciones de calificación y admisión de escritos atribuidas por el Reglamento parlamentario a la Mesa de la Asamblea de Extremadura (STC 95/1994).</w:t>
      </w:r>
    </w:p>
    <w:p w:rsidR="00163957" w:rsidRDefault="00163957" w:rsidP="00163957">
      <w:pPr>
        <w:pStyle w:val="SntesisAnaltica"/>
      </w:pPr>
    </w:p>
    <w:p w:rsidR="00163957" w:rsidRDefault="00163957" w:rsidP="00163957">
      <w:pPr>
        <w:pStyle w:val="Extracto"/>
      </w:pPr>
      <w:r>
        <w:t>1.</w:t>
      </w:r>
      <w:r>
        <w:tab/>
        <w:t>El defecto de motivación se aprecia de modo claro en el acuerdo de la Mesa de la Asamblea de Extremadura impugnado, pues en él solamente se da cuenta de los antecedentes que preceden a su adopción, entre ellos, la audiencia que, a la vista del informe elevado por el Letrado Mayor, se había conferido a la Junta de portavoces [FJ 3].</w:t>
      </w:r>
    </w:p>
    <w:p w:rsidR="00163957" w:rsidRDefault="00163957" w:rsidP="00163957">
      <w:pPr>
        <w:pStyle w:val="Extracto"/>
      </w:pPr>
    </w:p>
    <w:p w:rsidR="00163957" w:rsidRDefault="00163957" w:rsidP="00163957">
      <w:pPr>
        <w:pStyle w:val="Extracto"/>
      </w:pPr>
      <w:r>
        <w:t>2.</w:t>
      </w:r>
      <w:r>
        <w:tab/>
        <w:t>Las decisiones de inadmisión de las propuestas de ley deben estar formal y materialmente motivadas, a fin de que tras ellas no se esconda un juicio sobre la oportunidad política, en los casos en que ese juicio esté atribuido a la Cámara parlamentaria en el correspondiente trámite de toma en consideración o en el debate plenario y teniendo en cuenta que la motivación de la inadmisión de la proposición de Ley es la que hace posible su reconsideración ante la propia Mesa primero y su posterior impugnación ante el Tribunal Constitucional (STC 242/2006) [FJ 3].</w:t>
      </w:r>
    </w:p>
    <w:p w:rsidR="00163957" w:rsidRDefault="00163957" w:rsidP="00163957">
      <w:pPr>
        <w:pStyle w:val="Extracto"/>
      </w:pPr>
    </w:p>
    <w:p w:rsidR="00163957" w:rsidRDefault="00163957" w:rsidP="00163957">
      <w:pPr>
        <w:pStyle w:val="Extracto"/>
      </w:pPr>
      <w:r>
        <w:t>3.</w:t>
      </w:r>
      <w:r>
        <w:tab/>
        <w:t>La injustificada inadmisión a trámite hurtó juicios de oportunidad política que sólo correspondían al Pleno de la Cámara, infringiendo, por ello el</w:t>
      </w:r>
      <w:r w:rsidRPr="00163957">
        <w:rPr>
          <w:i/>
        </w:rPr>
        <w:t xml:space="preserve"> ius ut procedatur </w:t>
      </w:r>
      <w:r>
        <w:t>de los parlamentarios autonómicos del Grupo Parlamentario recurrente, en la medida en que excluyó su derecho a que la propuesta presentada fuera convenientemente discutida y deliberada por la Cámara, sea cual fuere el resultado de esa deliberación [FJ 5].</w:t>
      </w:r>
    </w:p>
    <w:p w:rsidR="00163957" w:rsidRDefault="00163957" w:rsidP="00163957">
      <w:pPr>
        <w:pStyle w:val="Extracto"/>
      </w:pPr>
    </w:p>
    <w:p w:rsidR="00163957" w:rsidRDefault="00163957" w:rsidP="00163957">
      <w:pPr>
        <w:pStyle w:val="Extracto"/>
      </w:pPr>
      <w:r>
        <w:t>4.</w:t>
      </w:r>
      <w:r>
        <w:tab/>
        <w:t>Puesto que la participación en el ejercicio de la función legislativa y el desempeño de los derechos y facultades que la acompañan constituyen una manifestación constitucionalmente relevante del</w:t>
      </w:r>
      <w:r w:rsidRPr="00163957">
        <w:rPr>
          <w:i/>
        </w:rPr>
        <w:t xml:space="preserve"> ius in officium </w:t>
      </w:r>
      <w:r>
        <w:t>del representante, toda decisión de la Mesa sobre la admisibilidad y tramitación de una iniciativa legislativa promovida por un representante de los ciudadanos afecta a su derecho al libre e igual ejercicio de su cargo público, de forma que, perturbado o coartado éste, se perturba y coarta la participación de los ciudadanos en los asuntos públicos [FJ 4].</w:t>
      </w:r>
    </w:p>
    <w:p w:rsidR="00163957" w:rsidRDefault="00163957" w:rsidP="00163957">
      <w:pPr>
        <w:pStyle w:val="Extracto"/>
      </w:pPr>
    </w:p>
    <w:p w:rsidR="00163957" w:rsidRDefault="00163957" w:rsidP="00163957">
      <w:pPr>
        <w:pStyle w:val="Extracto"/>
      </w:pPr>
      <w:r>
        <w:t>5.</w:t>
      </w:r>
      <w:r>
        <w:tab/>
        <w:t>Reitera la doctrina de la STC 95/1994 en relación con la posibilidad excepcional de que las Mesas rechacen la admisión a trámite de una propuesta de ley cuando sea contraria a la Constitución o a Derecho [FJ 4].</w:t>
      </w:r>
    </w:p>
    <w:p w:rsidR="00163957" w:rsidRDefault="00163957" w:rsidP="00163957">
      <w:pPr>
        <w:pStyle w:val="Extracto"/>
      </w:pPr>
    </w:p>
    <w:p w:rsidR="00163957" w:rsidRDefault="00163957" w:rsidP="00163957">
      <w:pPr>
        <w:pStyle w:val="Extracto"/>
      </w:pPr>
      <w:r>
        <w:lastRenderedPageBreak/>
        <w:t>6.</w:t>
      </w:r>
      <w:r>
        <w:tab/>
        <w:t xml:space="preserve">La posible afectación del ejercicio del </w:t>
      </w:r>
      <w:r w:rsidRPr="00163957">
        <w:rPr>
          <w:i/>
        </w:rPr>
        <w:t xml:space="preserve">ius in officium </w:t>
      </w:r>
      <w:r>
        <w:t>por parte de los representantes políticos sin perturbaciones ilegítimas y, en última instancia, del derecho de los propios ciudadanos a participar en los asuntos públicos mediante sus representantes, ha resultado determinante a la hora de considerar que la demanda presenta una especial trascendencia constitucional, por sus posibles consecuencias políticas generales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2870-2013, promovido por el Grupo Parlamentario Socialista (PSOE-Regionalistas) en la Asamblea de Extremadura y por su Portavoz, don Valentín García Gómez, representados por la Procuradora de los Tribunales doña Virginia Aragón Segura, contra el acuerdo de la Mesa de la Asamblea de Extremadura de 5 de marzo de 2013 (MA126/Al/13-VIII), por el que se desestima el recurso de reconsideración frente al acuerdo de la Mesa de 27 de febrero de ese mismo año (MA124/Al/13-VIII), que inadmitió a trámite la propuesta de Ley (PRL-11) “de defensa de la Sanidad Pública, por la que se modifica la Ley 10/2001, de 28 de junio, de Salud de Extremadura”. Han comparecido la Asamblea de Extremadura, a través de sus representantes y el Ministerio Fiscal. Ha sido Ponente el Magistrado don Santiago Martínez-Vares García,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el día 14 de mayo de 2013, la Procuradora de los Tribunales doña Virginia Aragón Segura, en nombre y representación del Grupo Parlamentario Socialista (PSOE-Regionalistas) en la Asamblea de Extremadura y de su portavoz, don Valentín García Gómez, interpuso recurso de amparo contra los acuerdos parlamentarios a los que se ha hecho mención en el encabezamiento de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que dan lugar a la presente demanda son, sucintamente expuestos, los siguientes:</w:t>
      </w:r>
    </w:p>
    <w:p w:rsidR="00163957" w:rsidRDefault="00163957" w:rsidP="00163957">
      <w:pPr>
        <w:pStyle w:val="TextoNormal"/>
      </w:pPr>
    </w:p>
    <w:p w:rsidR="00163957" w:rsidRDefault="00163957" w:rsidP="00163957">
      <w:pPr>
        <w:pStyle w:val="TextoNormal"/>
      </w:pPr>
      <w:r>
        <w:t xml:space="preserve">a) El 8 de febrero de 2013, el Grupo Parlamentario Socialista (PSOE-Regionalistas) de la Asamblea de Extremadura presentó en el registro de dicha Cámara “Propuesta de Ley de Defensa de la Sanidad Pública, por la que se modifica la Ley 10/2001, de 28 de junio, de </w:t>
      </w:r>
      <w:r>
        <w:lastRenderedPageBreak/>
        <w:t>Salud de Extremadura”, al amparo de lo dispuesto en el art. 161 y concordantes del Reglamento de la Asamblea de Extremadura y cumpliendo los requisitos formales que en ellos se exigen.</w:t>
      </w:r>
    </w:p>
    <w:p w:rsidR="00163957" w:rsidRDefault="00163957" w:rsidP="00163957">
      <w:pPr>
        <w:pStyle w:val="TextoNormal"/>
      </w:pPr>
    </w:p>
    <w:p w:rsidR="00163957" w:rsidRDefault="00163957" w:rsidP="00163957">
      <w:pPr>
        <w:pStyle w:val="TextoNormal"/>
      </w:pPr>
      <w:r>
        <w:t>El mencionado texto articulado se componía de un artículo único, por el cual se venía a introducir una nueva disposición adicional séptima en la Ley 10/2001, de 28 de junio, de salud de Extremadura. En esencia, dicho artículo suponía la exigencia de un plan estratégico previo a la utilización por la Administración de la Comunidad Autónoma de Extremadura de cualquier forma de gestión prevista en el art. 1.2 de la Ley 15/1997, de 25 de abril, sobre habilitación de nuevas formas de gestión del Sistema nacional de salud. El plan debía ser elaborado por la Administración y aprobado por Ley de la Asamblea de Extremadura por mayoría absoluta, previo informe del Consejo Extremeño de Salud y tras ser sometido a información pública por un plazo mínimo de tres meses. Toda forma contractual suscrita en los términos establecidos en el citado art. 1.2 de la Ley 15/1997 que no estuviera expresamente prevista en su plan estratégico aprobado por Ley de la Asamblea de Extremadura sería nula y no desplegaría efecto alguno.</w:t>
      </w:r>
    </w:p>
    <w:p w:rsidR="00163957" w:rsidRDefault="00163957" w:rsidP="00163957">
      <w:pPr>
        <w:pStyle w:val="TextoNormal"/>
      </w:pPr>
    </w:p>
    <w:p w:rsidR="00163957" w:rsidRDefault="00163957" w:rsidP="00163957">
      <w:pPr>
        <w:pStyle w:val="TextoNormal"/>
      </w:pPr>
      <w:r>
        <w:t>b) La Mesa de la Cámara autonómica, en sesión de 13 de febrero de 2013, en el trámite previsto en el art. 162 del Reglamento de la Asamblea de Extremadura, de calificación y admisión a trámite de la iniciativa, acordó —con el voto en contra del Vicepresidente Segundo y de la Secretaria Segunda— posponer la admisión a trámite de la propuesta “hasta tanto se cuente con un Informe Jurídico sobre la adecuación de su contenido a la Constitución”.</w:t>
      </w:r>
    </w:p>
    <w:p w:rsidR="00163957" w:rsidRDefault="00163957" w:rsidP="00163957">
      <w:pPr>
        <w:pStyle w:val="TextoNormal"/>
      </w:pPr>
    </w:p>
    <w:p w:rsidR="00163957" w:rsidRDefault="00163957" w:rsidP="00163957">
      <w:pPr>
        <w:pStyle w:val="TextoNormal"/>
      </w:pPr>
      <w:r>
        <w:t>En reunión de la Mesa de la Asamblea de 25 de febrero de 2013, se acordó —“a la vista del Informe elevado por el Letrado Mayor”— posponer nuevamente el trámite de calificación y admisión a trámite a efectos de dar traslado de la misma a la Junta de portavoces, para audiencia, de conformidad con lo previsto en el art. 49.3 c) del Reglamento de la Asamblea de Extremadura, con carácter previo a la adopción del acuerdo definitivo sobre la cuestión. Una vez oída la Junta de Portavoces, el día 27 de febrero de 2013, se acordó no admitir a trámite la propuesta de Ley formulada por el Grupo Parlamentario Socialista. Dado que, a esa fecha, este grupo parlamentario no había recibido el informe del Letrado Mayor, su portavoz interesó de su redactor que en el acta de la sesión de la Junta de Portavoces celebrada el 27 de febrero de 2013 se transcribiera íntegramente el informe jurídico leído por el Letrado Mayor en el transcurso de aquella, solicitando que se les hiciera llegar copia literal del mismo. En dicho informe, el Letrado pone de manifiesto la libertad con la que cuenta la Mesa de la Cámara para comprobar que las iniciativas legislativas se ajustan a los requisitos formales exigidos reglamentariamente, así como para inadmitirlas cuando tengan un contenido manifiestamente contrario a Derecho. A este último respecto, analiza el Letrado Mayor el contenido de la propuesta de Ley, llegando a la conclusión de que podía incardinarse en el supuesto establecido en el art.49.3 c) del Reglamento de la Asamblea de Extremadura, que exigía la solicitud del informe jurídico a los servicios de la Cámara cuando se susciten “dudas en relación con las competencias de la Comunidad Autónoma en la materia, por otorgar al poder legislativo competencias que en la ley básica estatal se otorgan al poder ejecutivo”.</w:t>
      </w:r>
    </w:p>
    <w:p w:rsidR="00163957" w:rsidRDefault="00163957" w:rsidP="00163957">
      <w:pPr>
        <w:pStyle w:val="TextoNormal"/>
      </w:pPr>
    </w:p>
    <w:p w:rsidR="00163957" w:rsidRDefault="00163957" w:rsidP="00163957">
      <w:pPr>
        <w:pStyle w:val="TextoNormal"/>
      </w:pPr>
      <w:r>
        <w:lastRenderedPageBreak/>
        <w:t>c) El 1 de marzo de 2013, en tiempo y forma previstos en el art. 49.4 del Reglamento de la Asamblea de Extremadura, el portavoz del Grupo Parlamentario Socialista presentó recurso de reconsideración, invocando expresamente la vulneración del derecho fundamental contenido en el art. 23 CE, así como las competencias exclusivas de la Comunidad Autónoma de Extremadura en materia de planificación y promoción de la salud y de desarrollo normativo y ejecución en materia de sanidad y salud pública, al amparo de los arts. 9.1.24 y 10.1.9 del Estatuto de Autonomía de Extremadura.</w:t>
      </w:r>
    </w:p>
    <w:p w:rsidR="00163957" w:rsidRDefault="00163957" w:rsidP="00163957">
      <w:pPr>
        <w:pStyle w:val="TextoNormal"/>
      </w:pPr>
    </w:p>
    <w:p w:rsidR="00163957" w:rsidRDefault="00163957" w:rsidP="00163957">
      <w:pPr>
        <w:pStyle w:val="TextoNormal"/>
      </w:pPr>
      <w:r>
        <w:t>Tras la preceptiva audiencia de la Junta de Portavoces y, “a la vista del Dictamen evacuado por los servicios jurídicos”, se desestimó el recurso de reconsideración, poniendo de manifiesto que el empate que se había producido en el seno de la Mesa se dirimió mediante el voto de calidad del Presidente de la Cámara, en aplicación de lo previsto en el art. 44 del Reglamento de la Asamblea de Extremadura. El acuerdo se publica en el “Boletín Oficial de la Asamblea de Extremadura” el 7 de marzo de 2013, alcanzando el carácter de firme, ya que contra el mismo no cabe recurso alguno en la vía parlamentaria o en la jurisdiccional ordinaria.</w:t>
      </w:r>
    </w:p>
    <w:p w:rsidR="00163957" w:rsidRDefault="00163957" w:rsidP="00163957">
      <w:pPr>
        <w:pStyle w:val="TextoNormal"/>
      </w:pPr>
    </w:p>
    <w:p w:rsidR="00163957" w:rsidRDefault="00163957" w:rsidP="00163957">
      <w:pPr>
        <w:pStyle w:val="TextoNormal"/>
      </w:pPr>
      <w:r w:rsidRPr="00163957">
        <w:rPr>
          <w:rStyle w:val="NumeroAFNegritaCaracter"/>
        </w:rPr>
        <w:t>3</w:t>
      </w:r>
      <w:r>
        <w:t>. El día 14 de mayo de 2013 se presentó, en nombre del Grupo Parlamentario Socialista en la Asamblea de Extremadura y de su portavoz, recurso ante este Tribunal, impugnándose el acuerdo de la Mesa de la Asamblea de Extremadura de 5 de marzo de 2013, por el que se desestima el recurso de reconsideración frente al acuerdo de la Mesa de 27 de febrero de ese mismo año, por el que se inadmitió a trámite la propuesta de Ley formulada por aquel grupo parlamentario.</w:t>
      </w:r>
    </w:p>
    <w:p w:rsidR="00163957" w:rsidRDefault="00163957" w:rsidP="00163957">
      <w:pPr>
        <w:pStyle w:val="TextoNormal"/>
      </w:pPr>
    </w:p>
    <w:p w:rsidR="00163957" w:rsidRDefault="00163957" w:rsidP="00163957">
      <w:pPr>
        <w:pStyle w:val="TextoNormal"/>
      </w:pPr>
      <w:r>
        <w:t>Se alega en el mismo la vulneración del derecho de los cargos públicos libremente elegidos a ser mantenidos en su cargo y a desempeñarlo de conformidad con lo que la Ley disponga, así como el derecho de los ciudadanos a participar en los asuntos públicos a través de sus representantes (art. 23 CE).</w:t>
      </w:r>
    </w:p>
    <w:p w:rsidR="00163957" w:rsidRDefault="00163957" w:rsidP="00163957">
      <w:pPr>
        <w:pStyle w:val="TextoNormal"/>
      </w:pPr>
    </w:p>
    <w:p w:rsidR="00163957" w:rsidRDefault="00163957" w:rsidP="00163957">
      <w:pPr>
        <w:pStyle w:val="TextoNormal"/>
      </w:pPr>
      <w:r>
        <w:t xml:space="preserve">a) Para fundamentar su alegación, la parte recurrente se refiere, en primer lugar, a la doctrina constitucional en la materia (entre otras, SSTC 124/1995, 38/1999 y 88/2012), extrayendo de ella la necesidad de que los representantes políticos puedan desempeñar sus funciones de conformidad con la ley sin más límites ni trabas que los que esta establece. A ello se añade que la interpretación de los requisitos exigidos para la realización de tal actividad no puede ser restrictiva, sino siempre la más favorable a su ejercicio, pues de lo contrario podría quedar vacío de contenido el derecho de los ciudadanos a participar en los asuntos públicos a través de sus representantes políticos. Concretamente, en lo que se refiere a la proposición de iniciativas legislativas, se admite que la Mesa, en el ejercicio de sus funciones de calificación de los escritos presentados por los distintos grupos parlamentarios o los diputados, goza de una función de verificación “liminar” de la conformidad a Derecho de la pretensión deducida, que va más allá de la calificación formal de la propuesta. Pero, al mismo tiempo, se considera que ese análisis liminar no puede en modo alguno servir de base y justificación a la vulneración de derechos fundamentales ni hacerse extensible a un juicio de inconstitucionalidad que vaya más allá de la apreciación de una grosera confrontación con las normas que se incluyen en el bloque de constitucionalidad y en la propia Constitución. De otro modo —se afirma—, la labor de calificación de la Mesa se convertiría </w:t>
      </w:r>
      <w:r>
        <w:lastRenderedPageBreak/>
        <w:t>en un juicio sobre la constitucionalidad de toda propuesta presentada, sustrayendo ese enjuiciamiento, en primer término al debate parlamentario y, finalmente, a la competencia del Tribunal Constitucional.</w:t>
      </w:r>
    </w:p>
    <w:p w:rsidR="00163957" w:rsidRDefault="00163957" w:rsidP="00163957">
      <w:pPr>
        <w:pStyle w:val="TextoNormal"/>
      </w:pPr>
    </w:p>
    <w:p w:rsidR="00163957" w:rsidRDefault="00163957" w:rsidP="00163957">
      <w:pPr>
        <w:pStyle w:val="TextoNormal"/>
      </w:pPr>
      <w:r>
        <w:t>b) De acuerdo con la jurisprudencia reseñada, se denuncia un exceso por parte de la Mesa de la Cámara en el ejercicio de sus funciones. El Reglamento de la Cámara atribuye a la Mesa en su artículo 49.1 la función de “verificar que las iniciativas se corresponden con las previstas expresamente en el Reglamento y que cumplen los requisitos formales y de legitimación exigidos” y ello sin perjuicio, como señala el artículo 49.3 c), de que “antes de decidir sobre la calificación y posterior admisión a trámite, oirá a la Junta de Protavoces … c) cuando se susciten dudas en relación con las competencias de la Comunidad Autónoma en la materia”. Pero dichas competencias generales han de interpretarse a la luz de lo dispuesto en el art. 162 del Reglamento de la Asamblea de Extremadura, que dispone simplemente que, una vez recibida la propuesta de Ley, cumplidos los requisitos formales y de legitimación —como fue el caso— previstos en el art. 161 del Reglamento de la Asamblea de Extremadura, la Mesa la calificará y admitirá a trámite para, acto seguido, ordenar su remisión a la Junta de Extremadura para que por esta se manifieste su conformidad o no a la tramitación, si implicara aumento de los créditos o disminución de los ingresos presupuestarios y su publicación en el “Boletín Oficial de la Cámara” y en la página web del Parlamento a efectos informativos. En definitiva, se considera que la Mesa, de acuerdo con lo dispuesto en los arts. 161 y 162 del Reglamento de la Asamblea de Extremadura, sólo tiene competencia, en relación con las propuestas de ley, para comprobar la concurrencia de los requisitos formales y subjetivos y no para examinar el fondo de las mismas, como ocurrió en este caso. Únicamente si se tratara de un despropósito jurídico (como sería, por ejemplo, proponer una ley autonómica de secesión de un territorio, una regulación autonómica de las fuerzas armadas o de atribución de funciones jurisdiccionales al Letrado Mayor de la Asamblea) podría admitirse un rechazo de la propuesta por parte de la Mesa basándose en cuestiones materiales. En el presente supuesto, en cambio, la inadmisión se basó supuestamente en un informe del Letrado Mayor que lo que expone son, simplemente, dudas acerca de la constitucionalidad de la propuesta, sin alcanzar siquiera un pronunciamiento rotundo, expreso y sin vacilaciones en orden a su inadecuación a la Constitución.</w:t>
      </w:r>
    </w:p>
    <w:p w:rsidR="00163957" w:rsidRDefault="00163957" w:rsidP="00163957">
      <w:pPr>
        <w:pStyle w:val="TextoNormal"/>
      </w:pPr>
    </w:p>
    <w:p w:rsidR="00163957" w:rsidRDefault="00163957" w:rsidP="00163957">
      <w:pPr>
        <w:pStyle w:val="TextoNormal"/>
      </w:pPr>
      <w:r>
        <w:t xml:space="preserve">c) Entienden también los recurrentes que los acuerdos impugnados no cumplirían con el deber de motivación que, conforme a la doctrina constitucional (se cita la STC 44/2010), habría resultado exigible a la Mesa. Estos, al parecer, se fundamentaron en el informe del Letrado Mayor de 25 de febrero de 2013 (aunque no fue notificado al grupo parlamentario recurrente —y a requerimiento expreso de este— hasta el día 28 de febrero, un día después de la publicación del primer acuerdo adoptado por la Mesa). Pero, la única referencia que en el acuerdo de inadmisión, de fecha 27 de febrero de 2013, se realiza al citado informe se halla en los antecedentes, para justificar el trámite de audiencia a la Junta de portavoces, pero sin que se incorporase su contenido siquiera por remisión para motivar el acuerdo de inadmisión. Por su parte, el acuerdo desestimatorio del recurso de reconsideración se limita a utilizar la expresión “a la vista del Dictamen evacuado por los servicios jurídicos…”, sin entrar a valorar las alegaciones de los recurrentes respecto al informe del Letrado Mayor formuladas en el escrito de reconsideración. En cualquier caso, entiende el grupo parlamentario recurrente que la decisión mayoritaria de la Mesa se tomó, en realidad, sin tener en </w:t>
      </w:r>
      <w:r>
        <w:lastRenderedPageBreak/>
        <w:t>cuenta el citado informe, pues las “dudas” sobre la constitucionalidad material de la propuesta fueron expresadas por el Presidente desde el primer momento, en el que se tomó la decisión de posponer su tramitación, aunque no se concretó en qué consistían dichas dudas.</w:t>
      </w:r>
    </w:p>
    <w:p w:rsidR="00163957" w:rsidRDefault="00163957" w:rsidP="00163957">
      <w:pPr>
        <w:pStyle w:val="TextoNormal"/>
      </w:pPr>
    </w:p>
    <w:p w:rsidR="00163957" w:rsidRDefault="00163957" w:rsidP="00163957">
      <w:pPr>
        <w:pStyle w:val="TextoNormal"/>
      </w:pPr>
      <w:r>
        <w:t>d) Llaman la atención los recurrentes sobre el hecho de que, en situaciones precedentes cercanas en el tiempo, se presentaron por el Gobierno regional proyectos de ley en los que se aportaba informe del Consejo Consultivo de Extremadura desfavorable a su aprobación, en los que se ponían de manifiesto tachas de inconstitucionalidad bien fundadas. Sin embargo, en estos supuestos, la Mesa no apreció impedimento alguno, al amparo de lo dispuesto en el art. 49.3 c) del Reglamento de la Asamblea de Extremadura, en orden a admitir a trámite el proyecto en cuestión. Y ello, sin necesidad de solicitar ningún informe al Letrado Mayor o de suspender la tramitación del proyecto.</w:t>
      </w:r>
    </w:p>
    <w:p w:rsidR="00163957" w:rsidRDefault="00163957" w:rsidP="00163957">
      <w:pPr>
        <w:pStyle w:val="TextoNormal"/>
      </w:pPr>
    </w:p>
    <w:p w:rsidR="00163957" w:rsidRDefault="00163957" w:rsidP="00163957">
      <w:pPr>
        <w:pStyle w:val="TextoNormal"/>
      </w:pPr>
      <w:r>
        <w:t>Con todo ello, se quiere poner de manifiesto que el informe del Letrado Mayor no fue la causa de la decisión de la Mesa, sino, más bien, sirvió de excusa o revestimiento de una decisión política preconcebida, alejada de las funciones estrictamente técnicas de dicho órgano parlamentario. Si no es la causa, mucho menos puede servirle de fundamento, por lo que los acuerdos adoptados se reputan inmotivados, vulnerando el art. 23.2, en relación con el art. 23.1 CE.</w:t>
      </w:r>
    </w:p>
    <w:p w:rsidR="00163957" w:rsidRDefault="00163957" w:rsidP="00163957">
      <w:pPr>
        <w:pStyle w:val="TextoNormal"/>
      </w:pPr>
    </w:p>
    <w:p w:rsidR="00163957" w:rsidRDefault="00163957" w:rsidP="00163957">
      <w:pPr>
        <w:pStyle w:val="TextoNormal"/>
      </w:pPr>
      <w:r>
        <w:t>e) La representación procesal del grupo recurrente, entra, seguidamente, a analizar el contenido de la propuesta de Ley rechazada. Al respecto, se pone de manifiesto que la propuesta de Ley se circunscribe al ámbito de lo dispuesto en el apartado segundo del artículo único de la Ley estatal 15/1997, que se refiere a la gestión indirecta privada (y no al apartado primero, como se señala en el informe del Letrado Mayor, que se refiere a la gestión pública de la atención sanitaria y respecto de la cual, la ley se remite al Gobierno y a los ejecutivos de las Comunidades Autónomas, en el ámbito de sus respectivas competencias, para que determinen sus condiciones). Según este apartado segundo, la prestación y gestión de los servicios sanitarios y sociosanitarios podrá llevarse a cabo, además de con medios propios, mediante acuerdos, convenios o contratos con personas o entidades públicas o privadas, en los términos previstos en la Ley general de sanidad. A diferencia de lo que ocurre en el apartado primero, que se remite a la competencia del Gobierno de la Nación y de los ejecutivos autonómicos, del apartado segundo no se desprende limitación alguna en este sentido, salvo la remisión a la Ley general de sanidad. En el caso de Extremadura, la Ley de salud de Extremadura puede fijar otros límites.</w:t>
      </w:r>
    </w:p>
    <w:p w:rsidR="00163957" w:rsidRDefault="00163957" w:rsidP="00163957">
      <w:pPr>
        <w:pStyle w:val="TextoNormal"/>
      </w:pPr>
    </w:p>
    <w:p w:rsidR="00163957" w:rsidRDefault="00163957" w:rsidP="00163957">
      <w:pPr>
        <w:pStyle w:val="TextoNormal"/>
      </w:pPr>
      <w:r>
        <w:t>Se cuestiona, asimismo, el carácter de normativa básica de la Ley 15/1997, pues no cumple con los requisitos formales que el Tribunal Constitucional ha impuesto a ese tipo de normas, que determinan la exigencia de que declaren expresamente el alcance de lo básico o que, en su defecto, estén dotadas de una estructura que permita inferir esa naturaleza.</w:t>
      </w:r>
    </w:p>
    <w:p w:rsidR="00163957" w:rsidRDefault="00163957" w:rsidP="00163957">
      <w:pPr>
        <w:pStyle w:val="TextoNormal"/>
      </w:pPr>
    </w:p>
    <w:p w:rsidR="00163957" w:rsidRDefault="00163957" w:rsidP="00163957">
      <w:pPr>
        <w:pStyle w:val="TextoNormal"/>
      </w:pPr>
      <w:r>
        <w:t>También sorprende a los recurrentes que si la causa de la inadmisión de la propuesta fue una “duda competencial”, no se haga ninguna mención a algún precepto estatutario o del bloque de la constitucionalidad. Además, no puede olvidarse —señalan— que la propuesta tenía por objeto la modificación de una ley preexistente, aprobada por la misma Asamblea cuya Mesa se niega a tramitar una modificación menor.</w:t>
      </w:r>
    </w:p>
    <w:p w:rsidR="00163957" w:rsidRDefault="00163957" w:rsidP="00163957">
      <w:pPr>
        <w:pStyle w:val="TextoNormal"/>
      </w:pPr>
    </w:p>
    <w:p w:rsidR="00163957" w:rsidRDefault="00163957" w:rsidP="00163957">
      <w:pPr>
        <w:pStyle w:val="TextoNormal"/>
      </w:pPr>
      <w:r>
        <w:lastRenderedPageBreak/>
        <w:t>Todo ello abonaría la tesis de que la decisión de la Mesa fue arbitraria, ilegítima e inadecuada, cercenando el derecho del grupo parlamentario y el Diputado recurrentes al desempeño de sus cargos públicos en condiciones de igualdad y de acuerdo con lo establecido en las leyes y, en íntima conexión, el derecho de los ciudadanos a participar en los asuntos públicos.</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21 de septiembre de 2015, la Sala Primera de este Tribunal acordó admitir a trámite la demanda, apreciando que concurre en la misma una especial trascendencia constitucional (art. 50.1 de la Ley Orgánica del Tribunal Constitucional: LOTC), al trascender del caso concreto por sus posibles consecuencias políticas generales [STC 155/2009, FJ 2 g)]. En aplicación de lo dispuesto en el art. 51 LOTC, se ordenó dirigir atenta comunicación al Presidente de la Asamblea de Extremadura a fin de que, en un plazo no superior a diez días, remitiese certificación o fotocopia adverada de las actuaciones correspondientes al expediente administrativo relativo a los acuerdos de la Mesa de dicha Asamblea núms. MA124/A1/13-VIII y MA126/A1/13-VIII, acompañándose a la mencionada comunicación copia de la demanda para conocimiento de la Mesa de la Asamblea de Extremadura, a efectos de su personación en el presente proceso constitucional.</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diligencia de ordenación de la Secretaría de Justicia de la Sala Primera de tres de noviembre de 2015, se tuvo por personada y parte en la representación que ostenta a la Letrada Mayor de dicha Asamblea; y, a tenor de lo dispuesto en el art. 52 LOTC, se dio vista de las actuaciones por un plazo común de veinte días al Ministerio Fiscal y a las partes personadas para que pudieran presentar las alegaciones que a su derecho convinieran.</w:t>
      </w:r>
    </w:p>
    <w:p w:rsidR="00163957" w:rsidRDefault="00163957" w:rsidP="00163957">
      <w:pPr>
        <w:pStyle w:val="TextoNormal"/>
      </w:pPr>
    </w:p>
    <w:p w:rsidR="00163957" w:rsidRDefault="00163957" w:rsidP="00163957">
      <w:pPr>
        <w:pStyle w:val="TextoNormal"/>
      </w:pPr>
      <w:r w:rsidRPr="00163957">
        <w:rPr>
          <w:rStyle w:val="NumeroAFNegritaCaracter"/>
        </w:rPr>
        <w:t>6</w:t>
      </w:r>
      <w:r>
        <w:t>. La Letrada de la Asamblea de Extremadura, mediante escrito registrado el 4 de diciembre de 2015, presentó las alegaciones formuladas por dicha Asamblea solicitando la desestimación de la demanda de amparo. Tras exponer los antecedentes que dieron lugar al recurso por parte del Grupo Parlamentario Socialista, se afirma que la Mesa de la Asamblea regional “actuó en uso de las competencias que el ordenamiento jurídico le atribuía, dándose por reproducidos en este trámite los argumentos que en su día sirvieron al referido órgano para adoptar los acuerdos ahora recurridos en amparo, con base en los informes jurídicos que obran en el expediente remitido a la Sala del Tribunal Constitucional”.</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El Ministerio Fiscal cumplimentó el trámite con fecha 11 de diciembre de 2015, solicitando que se dicte sentencia en la que se otorgue el amparo. Comienza los fundamentos jurídicos de su escrito descartando que pueda existir problema alguno de legitimación por parte de los recurrentes, al ser estos tanto el portavoz del Grupo Parlamentario Socialista en la Asamblea de Extremadura, como este mismo. A continuación, pasa a resumir la doctrina constitucional en materia de facultades de control de la Mesa en relación con las distintas iniciativas parlamentarias que se presenten y, en particular, en el específico caso de las proposiciones de Ley, tras de lo cual, analiza si el acuerdo de la Mesa de la Asamblea de 27 de febrero de 2013 —por el que se resolvió inadmitir a trámite la “Propuesta de Ley de defensa de la Sanidad Pública, por la que se modifica la Ley 10/2001, de 28 de junio, de Salud de Extremadura” formulada por el Grupo Parlamentario Socialista— cumplió con el deber de motivación que, conforme a la doctrina constitucional (se cita, en concreto, la STC 44/2010), habría resultado exigible a la Mesa. En este sentido, señala el Fiscal que dicho acuerdo se basó, en último extremo, en las argumentaciones contenidas en el informe del </w:t>
      </w:r>
      <w:r>
        <w:lastRenderedPageBreak/>
        <w:t>Letrado Mayor de fecha 25 de febrero de 2013. Y dicho informe, en rigor, únicamente vino a sostener que la propuesta de Ley que se estaba considerando podía estar incardinada dentro del supuesto establecido en el art. 49.3 c) del Reglamento de la Asamblea de Extremadura —que se suscitaran dudas en relación con las competencias de la Comunidad Autónoma en la materia—, lo que obligaba a la Mesa, antes de decidir sobre la calificación y posterior admisión a trámite, a oír a la Junta de Portavoces. Dicho dictamen, sin embargo, no resolvió categóricamente las dudas de constitucionalidad que, de acuerdo con el mismo, concurrían en la propuesta de Ley, ni dictaminó nada acerca de la conveniencia de inadmitirla debido a su posible inconstitucionalidad.</w:t>
      </w:r>
    </w:p>
    <w:p w:rsidR="00163957" w:rsidRDefault="00163957" w:rsidP="00163957">
      <w:pPr>
        <w:pStyle w:val="TextoNormal"/>
      </w:pPr>
    </w:p>
    <w:p w:rsidR="00163957" w:rsidRDefault="00163957" w:rsidP="00163957">
      <w:pPr>
        <w:pStyle w:val="TextoNormal"/>
      </w:pPr>
      <w:r>
        <w:t>De este modo, para el Fiscal, el informe del Letrado Mayor de fecha 25 de febrero de 2013 ni daba ni podía dar cobertura suficiente a la decisión de inadmisión de la Mesa de la Asamblea. Además, pone de relieve que la Mesa de la Asamblea tampoco dio una motivación propia y distinta a su acuerdo A124/Al/13-VIII. Por ello, entiende que la inadmisión de esa iniciativa parlamentaria careció pura y simplemente de cualquier motivación. De esta manera, la Mesa habría infringido la doctrina constitucional en la materia, vulnerando el derecho de los recurrentes a ejercer su cargo representativo en condiciones de igualdad (art. 23.2 CE) y, consecuentemente, el derecho de los ciudadanos a verse representados y a participar a través de sus representantes en los asuntos públicos (art. 23.1 CE).</w:t>
      </w:r>
    </w:p>
    <w:p w:rsidR="00163957" w:rsidRDefault="00163957" w:rsidP="00163957">
      <w:pPr>
        <w:pStyle w:val="TextoNormal"/>
      </w:pPr>
    </w:p>
    <w:p w:rsidR="00163957" w:rsidRDefault="00163957" w:rsidP="00163957">
      <w:pPr>
        <w:pStyle w:val="TextoNormal"/>
      </w:pPr>
      <w:r>
        <w:t>Señala, asimismo, el Ministerio público que no corresponde a este Tribunal pronunciarse en relación con la supuesta inconstitucionalidad de la proposición de Ley presentada, pues lo contrario supondría convertir al recurso de amparo en una especie de recurso previo de inconstitucionalidad, así como suplantar al Pleno de la Cámara extremeña, que podría rechazarla por esa u otra razón o, por el contrario, decidir, pese a ello, su toma en consideración y depurarla de eventuales vicios de inconstitucionalidad a lo largo de las distintas fases que integran el procedimiento legislativo.</w:t>
      </w:r>
    </w:p>
    <w:p w:rsidR="00163957" w:rsidRDefault="00163957" w:rsidP="00163957">
      <w:pPr>
        <w:pStyle w:val="TextoNormal"/>
      </w:pPr>
    </w:p>
    <w:p w:rsidR="00163957" w:rsidRDefault="00163957" w:rsidP="00163957">
      <w:pPr>
        <w:pStyle w:val="TextoNormal"/>
      </w:pPr>
      <w:r>
        <w:t>En definitiva, afirma el Fiscal —siguiendo lo dispuesto en la STC 124/1995— que habiéndose constatado que la Mesa de la Cámara inadmitió la referida proposición de Ley, cuando la misma cumplía con todas las formalidades reglamentariamente establecidas, mediante un pretendido juicio de constitucionalidad acerca de sus contenidos, la presente demanda de amparo debe ser estimada. Porque, con tal proceder, la Mesa se extralimitó en sus funciones reglamentarias de calificación y admisión a trámite de documentos parlamentarios que, cuando de proposiciones de Ley de origen parlamentario se trata, se circunscriben exclusivamente a un control de constatación formal y no del contenido de aquellas, vulnerando, así, los derechos fundamentales reconocidos en el art. 23 CE.</w:t>
      </w:r>
    </w:p>
    <w:p w:rsidR="00163957" w:rsidRDefault="00163957" w:rsidP="00163957">
      <w:pPr>
        <w:pStyle w:val="TextoNormal"/>
      </w:pPr>
    </w:p>
    <w:p w:rsidR="00163957" w:rsidRDefault="00163957" w:rsidP="00163957">
      <w:pPr>
        <w:pStyle w:val="TextoNormal"/>
      </w:pPr>
      <w:r>
        <w:t>Finalmente, en cuanto al alcance del fallo estimatorio, recuerda que ha de tenerse en cuenta que la adopción de los acuerdos impugnados ha tenido lugar en una legislatura ya finalizada, por lo que no es posible adoptar medida alguna de restablecimiento en el disfrute del derecho vulnerado, dirigida a órganos de una legislatura fenecida, motivo por el cual —considera el Fiscal— se ha de optar por satisfacer, en la medida de lo posible, la pretensión de los demandantes de amparo mediante la declaración de la lesión del derecho de los recurrentes conforme a lo establecido en el art. 23.2 CE y la nulidad de los acuerdos que impidieron su ejercicio.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8</w:t>
      </w:r>
      <w:r>
        <w:t>. Por providencia de 28 de enero de 2016 se señaló para la deliberación y votación de la presente Sentencia el día 1 de febrero del mismo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Como se ha expuesto con detalle en los antecedentes de esta Sentencia, el recurso de amparo se dirige contra el acuerdo de la Mesa de la Asamblea de Extremadura de 5 de marzo de 2013, por el que se desestima el recurso de reconsideración frente al acuerdo de la Mesa de 27 de febrero de ese mismo año, que inadmitió a trámite la “Propuesta de Ley de defensa de la Sanidad Pública, por la que se modifica la Ley 10/2001, de 28 de junio, de Salud de Extremadura”, presentada por el Grupo Parlamentario Socialista (PSOE-Regionalistas), hoy recurrente en amparo. Con dicha propuesta, se venía a introducir una nueva disposición adicional séptima en la Ley 10/2001, de 28 de junio, de salud de Extremadura, que venía a suponer la exigencia de un plan estratégico previo a la utilización por la Administración de la Comunidad Autónoma de Extremadura de cualquier forma de gestión prevista en el art. 1.2 de la Ley 15/1997, de 25 de abril, sobre habilitación de nuevas formas de gestión del Sistema nacional de salud (es decir, de las formas de gestión indirecta privada de la atención sanitaria, que son a las que se refiere dicho artículo). El plan debía ser elaborado por la Administración y aprobado por Ley de la Asamblea de Extremadura por mayoría absoluta, previo informe del Consejo Extremeño de Salud y tras ser sometido a información pública por un plazo mínimo de tres meses. Toda forma contractual suscrita en los términos establecidos en el citado art. 1.2 de la Ley 15/1997 que no estuviera expresamente prevista en su plan estratégico aprobado por Ley de la Asamblea de Extremadura sería nula y no desplegaría efecto alguno.</w:t>
      </w:r>
    </w:p>
    <w:p w:rsidR="00163957" w:rsidRDefault="00163957" w:rsidP="00163957">
      <w:pPr>
        <w:pStyle w:val="TextoNormal"/>
      </w:pPr>
    </w:p>
    <w:p w:rsidR="00163957" w:rsidRDefault="00163957" w:rsidP="00163957">
      <w:pPr>
        <w:pStyle w:val="TextoNormal"/>
      </w:pPr>
      <w:r>
        <w:t>Los demandantes de amparo denuncian que los acuerdos impugnados vulneran su derecho a acceder en condiciones de igualdad a las funciones y cargos públicos según lo dispuesto en el art. 23.2 CE, en relación con el derecho de los ciudadanos a participar en los asuntos públicos a través de sus representantes, previsto en el art. 23.1 CE, de acuerdo con las alegaciones que se han resumido también en el apartado dedicado a los antecedentes.</w:t>
      </w:r>
    </w:p>
    <w:p w:rsidR="00163957" w:rsidRDefault="00163957" w:rsidP="00163957">
      <w:pPr>
        <w:pStyle w:val="TextoNormal"/>
      </w:pPr>
    </w:p>
    <w:p w:rsidR="00163957" w:rsidRDefault="00163957" w:rsidP="00163957">
      <w:pPr>
        <w:pStyle w:val="TextoNormal"/>
      </w:pPr>
      <w:r>
        <w:t>La Asamblea de Extremadura, por su parte, considera que la Mesa actuó en ejercicio de las funciones que el ordenamiento parlamentario le atribuía —remitiéndose a los argumentos que en su día sirvieron al referido órgano para adoptar los acuerdos ahora recurridos en amparo—, por lo que solicita la desestimación de la demanda.</w:t>
      </w:r>
    </w:p>
    <w:p w:rsidR="00163957" w:rsidRDefault="00163957" w:rsidP="00163957">
      <w:pPr>
        <w:pStyle w:val="TextoNormal"/>
      </w:pPr>
    </w:p>
    <w:p w:rsidR="00163957" w:rsidRDefault="00163957" w:rsidP="00163957">
      <w:pPr>
        <w:pStyle w:val="TextoNormal"/>
      </w:pPr>
      <w:r>
        <w:t>El Ministerio Fiscal —según se ha dado cuenta igualmente en los antecedentes— interesa que se dicte sentencia estimando el recurso de amparo y declarando la nulidad de los acuerdos impugnados, por haber vulnerado los derechos de los recurrentes a ejercer en condiciones de igualdad el cargo público representativo reconocido en el art. 23.2 CE y, con ello, el derecho de los ciudadanos a participar en los asuntos públicos a través de sus representantes (art. 23.1 CE).</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Con carácter previo al análisis del fondo, ha de destacarse que el Reglamento de la Asamblea de Extremadura ha sido reformado por el Pleno de la Cámara en sesión celebrada el día 19 de marzo de 2015, habiendo afectado dicha reforma a los preceptos reglamentarios </w:t>
      </w:r>
      <w:r>
        <w:lastRenderedPageBreak/>
        <w:t>que resultan de aplicación aquí. Dado que los hechos a enjuiciar tuvieron lugar bajo la vigencia del Reglamento aprobado en sesión plenaria el día 19 de junio de 2008, será a este último al que haremos siempre alusión (refiriéndonos a él como Reglamento de la Asamblea de Extremadura 2008). En concreto, tres son los artículos que presentan mayor relevancia en el caso enjuiciado. En primer lugar, el artículo 48, que otorgaba a la Mesa de la Cámara la función de “calificar y admitir a trámite las iniciativas parlamentarias en los términos previstos por este Reglamento”. De otra parte, el artículo 49, en cuyo apartado primero se señalaba que “en el trámite de calificación, la Mesa verificará que las iniciativas se corresponden con las previstas expresamente en el reglamento y cumplen con los requisitos formales y de legitimación exigidos” y, en su apartado tercero, se establecía que, “sin perjuicio de lo establecido en el párrafo primero, la Mesa, antes de decidir sobre la calificación y posterior admisión a trámite, oirá a la Junta de Portavoces”, entre otros casos, “cuando se susciten dudas en relación con las competencias de la Comunidad Autónoma en la materia” [apartado c)]. Y, por último, el artículo 162.1, el cual, respecto a las iniciativas legislativas en concreto, señala que “la Mesa calificará la iniciativa legislativa y la admitirá a trámite, si reúne los requisitos exigidos en el artículo anterior”, debiendo advertirse que todos esos requisitos exigidos en el art. 161 del Reglamento de la Asamblea de Extremadura 2008 eran de carácter formal, en concreto: que el texto articulado fuera remitido a la Cámara mediante escrito dirigido al Presidente, especificándose el título de la iniciativa legislativa y los motivos de su presentación y que, de adjuntarse algún documento para su mejor conocimiento por la Cámara, se relacionara en el escrito de presentación.</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La cuestión de fondo suscitada en el presente recurso de amparo se contrae a determinar si el acuerdo de la Mesa de la Asamblea extremeña de 27 de febrero de 2013, en el que se inadmite a trámite la propuesta de Ley de defensa de la sanidad pública, por la que se modifica la Ley 10/2001, de 28 de junio, de salud de Extremadura y el posterior acuerdo de ese mismo órgano de 5 de marzo de 2013, que desestimó el recurso de reconsideración, han vulnerado el derecho de los miembros del grupo parlamentario que presentó dicha propuesta (Grupo Parlamentario Socialista) a acceder en condiciones de igualdad a las funciones y cargos públicos con los requisitos que señalen las leyes (art. 23.2 CE), en relación con el derecho de los ciudadanos a participar en los asuntos públicos (art. 23.1 CE). La posible afectación del ejercicio del </w:t>
      </w:r>
      <w:r w:rsidRPr="00163957">
        <w:rPr>
          <w:i/>
        </w:rPr>
        <w:t>ius in officium</w:t>
      </w:r>
      <w:r>
        <w:t xml:space="preserve"> por parte de los representantes políticos sin perturbaciones ilegítimas y, en última instancia, del derecho de los propios ciudadanos a participar en los asuntos públicos mediante sus representantes, ha resultado determinante a la hora de considerar que la demanda presenta una especial trascendencia constitucional, por sus posibles consecuencias políticas generales [STC 155/2009, FJ 2 g)].</w:t>
      </w:r>
    </w:p>
    <w:p w:rsidR="00163957" w:rsidRDefault="00163957" w:rsidP="00163957">
      <w:pPr>
        <w:pStyle w:val="TextoNormal"/>
      </w:pPr>
    </w:p>
    <w:p w:rsidR="00163957" w:rsidRDefault="00163957" w:rsidP="00163957">
      <w:pPr>
        <w:pStyle w:val="TextoNormal"/>
      </w:pPr>
      <w:r>
        <w:t>En aras de una mayor claridad expositiva, comenzaremos con el análisis de la alegación que se refiere a la falta de motivación de los acuerdos recurridos.</w:t>
      </w:r>
    </w:p>
    <w:p w:rsidR="00163957" w:rsidRDefault="00163957" w:rsidP="00163957">
      <w:pPr>
        <w:pStyle w:val="TextoNormal"/>
      </w:pPr>
    </w:p>
    <w:p w:rsidR="00163957" w:rsidRDefault="00163957" w:rsidP="00163957">
      <w:pPr>
        <w:pStyle w:val="TextoNormal"/>
      </w:pPr>
      <w:r>
        <w:t xml:space="preserve">Al respecto, no hace falta insistir en que, dado que las decisiones de inadmisión de las propuestas de ley pueden implicar una limitación del derecho a ejercer la función parlamentaria y —con él— del derecho de participación ciudadana, este Tribunal ha exigido que las mismas estén formal y materialmente motivadas, “a fin de que tras ellas no se esconda un juicio sobre la oportunidad política, en los casos en que ese juicio esté atribuido a la Cámara parlamentaria en el correspondiente trámite de toma en consideración o en el debate plenario” y teniendo en cuenta que “la motivación de la inadmisión de la proposición de Ley es </w:t>
      </w:r>
      <w:r>
        <w:lastRenderedPageBreak/>
        <w:t>la que hace posible su reconsideración ante la propia Mesa primero y su posterior impugnación ante el Tribunal Constitucional” (STC 242/2006, de 24 de julio, FJ 4).</w:t>
      </w:r>
    </w:p>
    <w:p w:rsidR="00163957" w:rsidRDefault="00163957" w:rsidP="00163957">
      <w:pPr>
        <w:pStyle w:val="TextoNormal"/>
      </w:pPr>
    </w:p>
    <w:p w:rsidR="00163957" w:rsidRDefault="00163957" w:rsidP="00163957">
      <w:pPr>
        <w:pStyle w:val="TextoNormal"/>
      </w:pPr>
      <w:r>
        <w:t>En este caso, el defecto de motivación denunciado se aprecia de modo claro en el acuerdo de 27 de febrero de 2013, pues en él solamente se da cuenta de los antecedentes que preceden a su adopción, entre ellos, la audiencia que, a la vista del informe elevado por el Letrado Mayor, se había dado a la Junta de portavoces de conformidad con lo dispuesto en el art. 49.3 c) del Reglamento de la Asamblea de Extremadura 2008. A continuación, se pasa directamente a acordar la inadmisión a trámite de la propuesta de Ley, señalando que dos de los miembros de la Mesa (el Vicepresidente Segundo y la Secretaria Segunda, Grupo Parlamentario Socialista) votaron a favor, uno (el Secretario Primero, IU-Verdes-SIEx) se abstuvo y otros dos miembros (el Presidente y la Vicepresidenta Primera, PP) votaron en contra, dirimiéndose el empate, en consecuencia, mediante el voto de calidad del Presidente de la Cámara, en aplicación de lo dispuesto en el art. 44 del Reglamento de la Asamblea de Extremadura 2008. Ninguna razón se ofrece, fuera de lo dicho, acerca de por qué se decidió inadmitir la propuesta.</w:t>
      </w:r>
    </w:p>
    <w:p w:rsidR="00163957" w:rsidRDefault="00163957" w:rsidP="00163957">
      <w:pPr>
        <w:pStyle w:val="TextoNormal"/>
      </w:pPr>
    </w:p>
    <w:p w:rsidR="00163957" w:rsidRDefault="00163957" w:rsidP="00163957">
      <w:pPr>
        <w:pStyle w:val="TextoNormal"/>
      </w:pPr>
      <w:r>
        <w:t xml:space="preserve">Pues bien, dicha falta de motivación no puede considerarse sanada mediante el acuerdo de la Mesa de 5 de marzo de 2013, por el que se desestima el recurso de reconsideración. En él se señala que el acuerdo se adopta “tras la preceptiva audiencia de la Junta de Portavoces y a la vista del Dictamen evacuado por los servicios jurídicos, que se incorpora al presente Acta”. Podría en principio estimarse que, con ello, el acuerdo en cuestión contendría una motivación por remisión o </w:t>
      </w:r>
      <w:r w:rsidRPr="00163957">
        <w:rPr>
          <w:i/>
        </w:rPr>
        <w:t>aliunde</w:t>
      </w:r>
      <w:r>
        <w:t xml:space="preserve"> —admitida en diversas ocasiones por este Tribunal (entre otras, SSTC 59/2011, de 3 de mayo, FJ 3, y 140/2009, de 15 de junio, FJ 3)—, en tanto que se estaría remitiendo al contenido del informe del Letrado mayor, que se incorpora —además— al acta. Sin embargo, si se observa el contenido de dicho informe, puede comprobarse que este sólo se refiere —como advierte el Fiscal— a la necesidad de que fuera “oída la Junta de Portavoces antes de que la Mesa tome una decisión definitiva al respecto”, al entenderse que la propuesta de Ley “puede estar incardinada dentro del supuesto establecido en el artículo 49. 3 c) del Reglamento de la Asamblea de Extremadura” al “suscitarse dudas en relación con las competencias de la Comunidad Autónoma en la materia, por otorgar al poder legislativo competencias que en la ley básica estatal se otorgan al poder ejecutivo”. Como no podría ser de otro modo, el informe nada dice, en cambio, sobre la necesidad de inadmitir la propuesta, pues tal decisión corresponde a la Mesa y, por tanto, ésta debería haber aportado alguna razón al respecto.</w:t>
      </w:r>
    </w:p>
    <w:p w:rsidR="00163957" w:rsidRDefault="00163957" w:rsidP="00163957">
      <w:pPr>
        <w:pStyle w:val="TextoNormal"/>
      </w:pPr>
    </w:p>
    <w:p w:rsidR="00163957" w:rsidRDefault="00163957" w:rsidP="00163957">
      <w:pPr>
        <w:pStyle w:val="TextoNormal"/>
      </w:pPr>
      <w:r>
        <w:t>Pero es que, aunque se admitiese que la Mesa con su escueta referencia al informe citado pudiera estar haciendo suya —en términos ya indubitados— la argumentación del Letrado Mayor en relación con la posible inadecuación a Derecho de la propuesta rechazada, tal motivación —y esto es lo que vienen a denunciar los recurrentes en segundo lugar— tampoco sería adecuada para sustentar la decisión de inadmisión, conforme a las exigencias fijadas en la jurisprudencia constitucional en relación con las facultades de las Mesas de calificación y admisión a trámite de los distintos escritos de índole parlamentaria que se presenten ante ellas. Y ello por las razones que pasamos a exponer.</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En relación con el ejercicio de la iniciativa legislativa parlamentaria, este Tribunal ha señalado que “a la Mesa le compete, por estar sujeta al Ordenamiento jurídico, en particular </w:t>
      </w:r>
      <w:r>
        <w:lastRenderedPageBreak/>
        <w:t xml:space="preserve">a la Constitución y a los Reglamentos Parlamentarios que regulan sus atribuciones y funcionamiento, y en aras de la mencionada eficiencia del trabajo parlamentario, verificar la regularidad jurídica y la viabilidad procesal de la iniciativa (STC 205/1990), esto es, examinar si la iniciativa cumple con los requisitos formales exigidos por la norma parlamentaria. En cualquier caso, dicho examen no debe suplantar las funciones que le corresponden a la Asamblea legislativa, y que gozan de relevancia constitucional cuando consisten, precisamente, en ejercer la función legislativa por los representantes de los ciudadanos, máxima expresión del ejercicio de la soberanía popular en el Estado democrático. Puesto que la participación en el ejercicio de dicha función y el desempeño de los derechos y facultades que la acompañan, entre los que indudablemente debe contarse con el derecho a la iniciativa legislativa, constituyen una manifestación constitucionalmente relevante del </w:t>
      </w:r>
      <w:r w:rsidRPr="00163957">
        <w:rPr>
          <w:i/>
        </w:rPr>
        <w:t>ius in officium</w:t>
      </w:r>
      <w:r>
        <w:t xml:space="preserve"> del representante, toda decisión de la Mesa sobre la admisibilidad y tramitación de una iniciativa legislativa promovida por un representante de los ciudadanos afecta a su derecho al libre e igual ejercicio de su cargo público, de forma que, perturbado o coartado éste, se perturba y coarta la participación de los ciudadanos en los asuntos públicos, infringiendo, así pues, el art. 23.1 y 2 CE.</w:t>
      </w:r>
    </w:p>
    <w:p w:rsidR="00163957" w:rsidRDefault="00163957" w:rsidP="00163957">
      <w:pPr>
        <w:pStyle w:val="TextoNormal"/>
      </w:pPr>
    </w:p>
    <w:p w:rsidR="00163957" w:rsidRDefault="00163957" w:rsidP="00163957">
      <w:pPr>
        <w:pStyle w:val="TextoNormal"/>
      </w:pPr>
      <w:r>
        <w:t>… El Reglamento Parlamentario, no obstante lo dicho,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materialmente por la Constitución, el bloque de la constitucionalidad o el Reglamento Parlamentario pertinente, como es el caso de la calificación en ciertos Derechos autonómicos de lo que han de considerarse mociones o interpelaciones, o el de la iniciativa legislativa popular que tiene vedadas ciertas materias por imposición del art. 87.3 C.E. (SSTC 95/1994, 41/1995 y 124/1995; ATC 304/1996). Si la legalidad aplicable no impone límite material alguno a la iniciativa, la verificación de su admisibilidad ha de ser siempre formal, cuidando únicamente de que la iniciativa cumpla con los requisitos de forma que le exige esa legalidad (STC 124/1995).</w:t>
      </w:r>
    </w:p>
    <w:p w:rsidR="00163957" w:rsidRDefault="00163957" w:rsidP="00163957">
      <w:pPr>
        <w:pStyle w:val="TextoNormal"/>
      </w:pPr>
    </w:p>
    <w:p w:rsidR="00163957" w:rsidRDefault="00163957" w:rsidP="00163957">
      <w:pPr>
        <w:pStyle w:val="TextoNormal"/>
      </w:pPr>
      <w:r>
        <w:t>Esta exigencia de rigor es aún más intensa, si cabe, cuando el examen de admisibilidad que le compete a la Mesa recae sobre iniciativas legislativas de origen parlamentario, pues la Mesa debe cuidarse de no perturbar con su decisión el derecho de los representantes a suscitar el debate parlamentario sobre una materia determinada mediante el recurso a la iniciativa legislativa (STC 124/1995). Si no fuese así, la Mesa dejaría de obrar como un órgano de gobierno de la Cámara ejerciendo el debido control legal sobre la regularidad jurídica de la iniciativa, para mutarse en un órgano netamente político, impidiendo, además, que las iniciativas promovidas por las minorías parlamentarias se sometiesen al debate público en la Cámara. Lo que colocaría a estos representantes en una posición de inferioridad y desigualdad lesiva del art.23.2 CE. (STC 118/1995)” (STC 38/1999, de 22 de marzo, FJ 3).</w:t>
      </w:r>
    </w:p>
    <w:p w:rsidR="00163957" w:rsidRDefault="00163957" w:rsidP="00163957">
      <w:pPr>
        <w:pStyle w:val="TextoNormal"/>
      </w:pPr>
    </w:p>
    <w:p w:rsidR="00163957" w:rsidRDefault="00163957" w:rsidP="00163957">
      <w:pPr>
        <w:pStyle w:val="TextoNormal"/>
      </w:pPr>
      <w:r>
        <w:t xml:space="preserve">Por tanto, conforme a lo dicho y con carácter general, las Mesas han de abstenerse de realizar un pretendido juicio de constitucionalidad acerca de los contenidos de las propuestas de ley, admitiendo a trámite cuando se cumplan todas las formalidades reglamentariamente establecidas (STC 124/1995, de 18 de julio, FJ 2). Pero no puede olvidarse tampoco que, excepcionalmente, en la STC 95/1994, de 21 de marzo (FJ 4) admitimos la posibilidad </w:t>
      </w:r>
      <w:r>
        <w:lastRenderedPageBreak/>
        <w:t>de rechazar una propuesta de ley cuando sea “contraria a la Constitución o ajena a las competencias atribuidas al ordenamiento en cuyo seno pretende integrarse”, exigiéndose para ello, con base en lo dispuesto en la STC 205/1990, de 13 de diciembre, que “la contradicción a Derecho o la inconstitucionalidad de la proposición sean palmarias y evidentes”. Fuera de dichos supuestos excepcionales, correspondería al Pleno de la Cámara rechazarla por esa u otra razón o, por el contrario, decidir, pese a ello, su toma en consideración y depurarla de eventuales vicios de inconstitucionalidad a lo largo de las distintas fases que integran el procedimiento legislativo (STC 124/1995, de 18 de julio, FJ 4).</w:t>
      </w:r>
    </w:p>
    <w:p w:rsidR="00163957" w:rsidRDefault="00163957" w:rsidP="00163957">
      <w:pPr>
        <w:pStyle w:val="TextoNormal"/>
      </w:pPr>
    </w:p>
    <w:p w:rsidR="00163957" w:rsidRDefault="00163957" w:rsidP="00163957">
      <w:pPr>
        <w:pStyle w:val="TextoNormal"/>
      </w:pPr>
      <w:r w:rsidRPr="00163957">
        <w:rPr>
          <w:rStyle w:val="NumeroAFNegritaCaracter"/>
        </w:rPr>
        <w:t>5</w:t>
      </w:r>
      <w:r>
        <w:t>. En el supuesto aquí enjuiciado, nos encontramos con una normativa reglamentaria que prevé, respecto a las funciones de calificación y admisión a trámite de la Mesa, que esta, antes de decidir sobre la calificación y posterior admisión a trámite, oirá a la Junta de portavoces, entre otros casos, “cuando se susciten dudas en relación con las competencias de la Comunidad Autónoma en la materia” [art. 49.3 c) del Reglamento de la Asamblea de Extremadura 2008]. Los recurrentes discuten su aplicación a las propuestas de ley, pues su calificación y admisión a trámite cuentan con una regulación propia en el art. 162 del Reglamento de la Asamblea de Extremadura 2008, según el cual “la Mesa calificará la iniciativa y la admitirá a trámite si reúne los requisitos exigidos en el artículo anterior”. Es decir, para los recurrentes, la Mesa estaría obligada a admitir la iniciativa si cumple con los requisitos de carácter formal exigidos por el art. 161 del Reglamento de la Asamblea de Extremadura 2008, sin que sea posible inadmitir por razones materiales.</w:t>
      </w:r>
    </w:p>
    <w:p w:rsidR="00163957" w:rsidRDefault="00163957" w:rsidP="00163957">
      <w:pPr>
        <w:pStyle w:val="TextoNormal"/>
      </w:pPr>
    </w:p>
    <w:p w:rsidR="00163957" w:rsidRDefault="00163957" w:rsidP="00163957">
      <w:pPr>
        <w:pStyle w:val="TextoNormal"/>
      </w:pPr>
      <w:r>
        <w:t>No nos corresponde dilucidar si el art. 49. 3 c) del Reglamento de la Asamblea de Extremadura resulta o no aplicable al caso, pues esta es una decisión que pertenece a la Mesa y que no podemos revisar en esta sede, salvo que tal decisión fuera arbitraria, ilógica o desproporcionada, lo que no es el caso. Pues, como se señala, entre otras resoluciones, en el ATC 142/2002, de 23 de julio, FJ 1 “que el derecho del art. 23.2 CE sea un derecho de configuración legal no significa que sea un derecho a la legalidad parlamentaria, de suerte que a su través el Tribunal Constitucional pueda hacer valer su criterio frente al adoptado por los órganos competentes de la Cámara en el ejercicio de las facultades que tienen constitucional y reglamentariamente encomendadas”. Ahora bien, de lo que no cabe duda es que la normativa reglamentaria aplicada ha de interpretarse conforme a nuestra jurisprudencia en la materia.</w:t>
      </w:r>
    </w:p>
    <w:p w:rsidR="00163957" w:rsidRDefault="00163957" w:rsidP="00163957">
      <w:pPr>
        <w:pStyle w:val="TextoNormal"/>
      </w:pPr>
    </w:p>
    <w:p w:rsidR="00163957" w:rsidRDefault="00163957" w:rsidP="00163957">
      <w:pPr>
        <w:pStyle w:val="TextoNormal"/>
      </w:pPr>
      <w:r>
        <w:t xml:space="preserve">Así, nada puede objetarse a que la Mesa decidiera acogerse a lo dispuesto en el art. 49.3 c) del Reglamento de la Asamblea de Extremadura y dar audiencia a la Junta de portavoces antes de decidir sobre la calificación y posterior admisión a trámite de la propuesta de Ley controvertida, por considerar que suscitaba “dudas en relación con las competencias de la Comunidad Autónoma en la materia”. Pero eso no empece para que, de acuerdo con la doctrina constitucional antes mencionada, la inadmisión sólo pueda sustentarse en una contradicción a Derecho o en una inconstitucionalidad de la proposición cuando estas sean “palmarias y evidentes” (STC 95/1994, de 21 de marzo, FJ 4). Y esa condición no concurre aquí. En primer lugar porque, según ya hemos puesto de manifiesto, la Mesa se remite, como único apoyo de su decisión de inadmisión, a lo expresado por el Letrado Mayor en su informe, que no contiene sino meras “dudas en relación con las competencias de la Comunidad Autónoma en la materia, por otorgar al poder legislativo competencias que en la ley básica estatal se otorgan al poder ejecutivo”. Pero es que, además, como advierten con razón </w:t>
      </w:r>
      <w:r>
        <w:lastRenderedPageBreak/>
        <w:t>los recurrentes, dichas dudas ni siquiera se encuentran suficientemente fundadas en el referido informe, pues no se justifica el carácter básico de la Ley 15/1997 de 25 de abril, sobre habilitación de nuevas formas de gestión del Sistema Nacional de Salud, con la que se confronta la propuesta de Ley, ni se hace alusión alguna a la distribución constitucional y estatutaria de competencias en materia sanitaria, dentro de la cual, el Estatuto de Autonomía extremeño otorga diversas competencias exclusivas a la Comunidad Autónoma, así como de desarrollo normativo y ejecución (arts. 9.1.24 y 10.1.9 del Estatuto de Autonomía de Extremadura, respectivamente). Y, por último —también lo indican los recurrentes—, dicha confrontación se lleva a cabo, erróneamente, respecto al apartado primero del artículo único de la citada Ley 15/1997, que se refiere a la gestión pública de la atención sanitaria, cuando la propuesta de Ley se circunscribe en realidad —como expresamente se dice en su artículo único— al ámbito de lo dispuesto en el apartado segundo de aquella Ley estatal, relativo a la gestión indirecta privada. En tanto que, respecto a la gestión pública, la ley estatal se remite al Gobierno y a los ejecutivos de las Comunidades Autónomas para que, en el ámbito de sus respectivas competencias, determinen sus condiciones, respecto a la gestión privada nada se dice en ese sentido.</w:t>
      </w:r>
    </w:p>
    <w:p w:rsidR="00163957" w:rsidRDefault="00163957" w:rsidP="00163957">
      <w:pPr>
        <w:pStyle w:val="TextoNormal"/>
      </w:pPr>
    </w:p>
    <w:p w:rsidR="00163957" w:rsidRDefault="00163957" w:rsidP="00163957">
      <w:pPr>
        <w:pStyle w:val="TextoNormal"/>
      </w:pPr>
      <w:r>
        <w:t xml:space="preserve">De acuerdo con todo lo dicho y de modo análogo a como se sostuvo en la STC 95/1994, de 21 de marzo, FJ 5, ha de concluirse aquí que la Mesa se excedió en sus funciones al inadmitir la proposición de Ley, pues “[u]n control material como el verificado por la Mesa sólo sería admisible si resultara evidente la inconstitucionalidad —material o competencial— de la proposición, lo que no es, desde luego, el caso”. La injustificada inadmisión a trámite hurtó juicios de oportunidad política que sólo correspondían al Pleno de la Cámara, infringiendo, por ello el </w:t>
      </w:r>
      <w:r w:rsidRPr="00163957">
        <w:rPr>
          <w:i/>
        </w:rPr>
        <w:t>ius ut procedatur</w:t>
      </w:r>
      <w:r>
        <w:t xml:space="preserve"> de los parlamentarios autonómicos del Grupo Parlamentario recurrente, en la medida en que excluyó su derecho a que la propuesta presentada fuera convenientemente discutida y deliberada por la Cámara, sea cual fuere el resultado de esa deliberación (en términos parecidos, SSTC 205/1990, de 13 de diciembre, FJ 7, respecto a la inadmisión a trámite por la Mesa del Senado de una moción, y 124/1995, de 18 de julio, FJ 3, en relación con la inadmisión a trámite de una proposición de Ley por la Mesa de la Asamblea Regional de Murcia).</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Procede ahora delimitar el alcance de los efectos de esta Sentencia, lo cual es necesario porque los hechos sobre los que versa el presente recurso se produjeron durante la VIII legislatura, finalizada por Decreto del Presidente de la Comunidad Autónoma 5/2015, de 30 de marzo. No cabe por ello adoptar medida alguna de restablecimiento en el disfrute del derecho vulnerado, dirigida a órganos de una Legislatura fenecida y, por tanto, no existente y en relación con una tarea legislativa asimismo precluída. Pero esto no resta importancia al </w:t>
      </w:r>
      <w:r w:rsidRPr="00163957">
        <w:rPr>
          <w:i/>
        </w:rPr>
        <w:t>petitum</w:t>
      </w:r>
      <w:r>
        <w:t xml:space="preserve"> que en este proceso se sustancia, ni impide satisfacer, en lo que sea posible, la pretensión que se deduce, mediante la declaración de reconocimiento del derecho de los parlamentarios del Grupo demandante al ejercicio del derecho establecido en el art. 23.2 de la Constitución y la anulación de las resoluciones que impidieron su ejercicio, al igual que ha ocurrido en anteriores Sentencias declarativas dictadas por este Tribunal (entre otras, SSTC 205/1990 y 95/1994).</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el Grupo Parlamentario Socialista (PSOE-Regionalistas) en la Asamblea de Extremadura y por su portavoz, don Valentín García Gómez y, en consecuencia, declarar la nulidad de los acuerdos de la Mesa de dicha Asamblea de 27 de febrero y 5 de marzo de 2013.</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uno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4" w:name="SENTENCIA_2016_11"/>
      <w:r>
        <w:lastRenderedPageBreak/>
        <w:t>SENTENCIA 11/2016, de 1 de febrero de 2016</w:t>
      </w:r>
    </w:p>
    <w:bookmarkEnd w:id="14"/>
    <w:p w:rsidR="00163957" w:rsidRDefault="00163957" w:rsidP="00163957">
      <w:pPr>
        <w:pStyle w:val="TtuloResolucin"/>
      </w:pPr>
      <w:r>
        <w:t>Sala Primera</w:t>
      </w:r>
    </w:p>
    <w:p w:rsidR="00163957" w:rsidRDefault="00163957" w:rsidP="00163957">
      <w:pPr>
        <w:pStyle w:val="TtuloBOE"/>
      </w:pPr>
      <w:r>
        <w:t>(BOE núm. 57, de 7 de marzo de 2016)</w:t>
      </w:r>
    </w:p>
    <w:p w:rsidR="00163957" w:rsidRDefault="00163957" w:rsidP="00163957">
      <w:pPr>
        <w:pStyle w:val="TextoNormalCentrado"/>
      </w:pPr>
      <w:r>
        <w:t>ECLI:ES:TC:2016:11</w:t>
      </w:r>
    </w:p>
    <w:p w:rsidR="00163957" w:rsidRDefault="00163957" w:rsidP="00163957">
      <w:pPr>
        <w:pStyle w:val="TextoNormalCentrado"/>
      </w:pPr>
    </w:p>
    <w:p w:rsidR="00163957" w:rsidRDefault="00163957" w:rsidP="00163957">
      <w:pPr>
        <w:pStyle w:val="SntesisDescriptiva"/>
      </w:pPr>
      <w:r>
        <w:t>Recurso de amparo 533-2014. Promovido por doña Nerea Mendicute San Miguel en relación con los Autos de la Audiencia Provincial de Guipúzcoa y de un Juzgado de Primera Instancia e Instrucción de Eibar que denegaron la licencia de incineración de los restos resultantes del aborto padecido por la demandante.</w:t>
      </w:r>
    </w:p>
    <w:p w:rsidR="00163957" w:rsidRDefault="00163957" w:rsidP="00163957">
      <w:pPr>
        <w:pStyle w:val="SntesisDescriptiva"/>
      </w:pPr>
    </w:p>
    <w:p w:rsidR="00163957" w:rsidRDefault="00163957" w:rsidP="00163957">
      <w:pPr>
        <w:pStyle w:val="SntesisAnaltica"/>
      </w:pPr>
      <w:r>
        <w:t>Vulneración del derecho a la intimidad personal y familiar: resoluciones judiciales que rechazaron, sin fundamento normativo y de manera desproporcionada, el permiso de incineración solicitado. Votos particulares.</w:t>
      </w:r>
    </w:p>
    <w:p w:rsidR="00163957" w:rsidRDefault="00163957" w:rsidP="00163957">
      <w:pPr>
        <w:pStyle w:val="SntesisAnaltica"/>
      </w:pPr>
    </w:p>
    <w:p w:rsidR="00163957" w:rsidRDefault="00163957" w:rsidP="00163957">
      <w:pPr>
        <w:pStyle w:val="Extracto"/>
      </w:pPr>
      <w:r>
        <w:t>1.</w:t>
      </w:r>
      <w:r>
        <w:tab/>
        <w:t>Las resoluciones impugnadas han vulnerado el derecho fundamental a la intimidad personal y familiar de la actora, pues imponen un sacrificio desproporcionado sin que existan bienes constitucionales cuya preservación justifique la denegación del permiso de incineración solicitado [FJ 5].</w:t>
      </w:r>
    </w:p>
    <w:p w:rsidR="00163957" w:rsidRDefault="00163957" w:rsidP="00163957">
      <w:pPr>
        <w:pStyle w:val="Extracto"/>
      </w:pPr>
    </w:p>
    <w:p w:rsidR="00163957" w:rsidRDefault="00163957" w:rsidP="00163957">
      <w:pPr>
        <w:pStyle w:val="Extracto"/>
      </w:pPr>
      <w:r>
        <w:t>2.</w:t>
      </w:r>
      <w:r>
        <w:tab/>
        <w:t>De la imposición de un deber de inscripción a partir de un determinado tiempo de gestación no cabe deducir extensivamente la prohibición de entrega para su enterramiento o incineración de criaturas abortivas de menor tiempo: la norma no impide la anotación de criaturas abortivas de menos de 180 días [FJ 4].</w:t>
      </w:r>
    </w:p>
    <w:p w:rsidR="00163957" w:rsidRDefault="00163957" w:rsidP="00163957">
      <w:pPr>
        <w:pStyle w:val="Extracto"/>
      </w:pPr>
    </w:p>
    <w:p w:rsidR="00163957" w:rsidRDefault="00163957" w:rsidP="00163957">
      <w:pPr>
        <w:pStyle w:val="Extracto"/>
      </w:pPr>
      <w:r>
        <w:t>3.</w:t>
      </w:r>
      <w:r>
        <w:tab/>
        <w:t>De las actuaciones no resulta impedimento alguno de orden público general o sanitario que pudiera justificar la injerencia en el derecho de la demandante a decidir sobre el enterramiento o incineración de una criatura abortiva [FJ 5].</w:t>
      </w:r>
    </w:p>
    <w:p w:rsidR="00163957" w:rsidRDefault="00163957" w:rsidP="00163957">
      <w:pPr>
        <w:pStyle w:val="Extracto"/>
      </w:pPr>
    </w:p>
    <w:p w:rsidR="00163957" w:rsidRDefault="00163957" w:rsidP="00163957">
      <w:pPr>
        <w:pStyle w:val="Extracto"/>
      </w:pPr>
      <w:r>
        <w:t>4.</w:t>
      </w:r>
      <w:r>
        <w:tab/>
        <w:t>El Reglamento de sanidad mortuoria de la Comunidad Autónoma del País Vasco no sólo no prohíbe la incineración o enterramiento de los cadáveres y restos humanos que no presenten riesgo sanitario sino que la establece como obligatoria [FJ 5].</w:t>
      </w:r>
    </w:p>
    <w:p w:rsidR="00163957" w:rsidRDefault="00163957" w:rsidP="00163957">
      <w:pPr>
        <w:pStyle w:val="Extracto"/>
      </w:pPr>
    </w:p>
    <w:p w:rsidR="00163957" w:rsidRDefault="00163957" w:rsidP="00163957">
      <w:pPr>
        <w:pStyle w:val="Extracto"/>
      </w:pPr>
      <w:r>
        <w:t>5.</w:t>
      </w:r>
      <w:r>
        <w:tab/>
        <w:t>Doctrina del Tribunal Europeo de Derechos Humanos sobre el derecho a disponer de los restos humanos para su enterramiento como contenido del derecho al respeto a la vida privada y familiar [FJ 3].</w:t>
      </w:r>
    </w:p>
    <w:p w:rsidR="00163957" w:rsidRDefault="00163957" w:rsidP="00163957">
      <w:pPr>
        <w:pStyle w:val="Extracto"/>
      </w:pPr>
    </w:p>
    <w:p w:rsidR="00163957" w:rsidRDefault="00163957" w:rsidP="00163957">
      <w:pPr>
        <w:pStyle w:val="Extracto"/>
      </w:pPr>
      <w:r>
        <w:t>6.</w:t>
      </w:r>
      <w:r>
        <w:tab/>
        <w:t>Doctrina sobre los requisitos que deben satisfacer las medidas restrictivas de derechos fundamentales (SSTC 66/1995 y 60/2010)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lastRenderedPageBreak/>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533-2014, promovido por doña Nerea Mendicute San Miguel, representada por la Procuradora de los Tribunales doña Raquel Cano Cuadrado y asistida por el Letrado don Aitor Canales Santander, contra el Auto de la Sección Tercera de la Audiencia Provincial de Guipúzcoa de 23 de diciembre de 2013, dictado en apelación núm. 3300-2013, por el que se confirma el Auto del Juzgado de Primera Instancia e Instrucción núm. 1 de Éibar, de 12 de noviembre de 2013, que confirmó en reforma el Auto de 17 de octubre de 2013, dictado en las diligencias previas núm. 1060-2013. Ha intervenido el Ministerio Fiscal. Ha sido Ponente el Magistrado don Andrés Ollero Tassara,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28 de enero de 2014, doña Raquel Cano Cuadrado, Procuradora de los Tribunales y de doña Nerea Mendicute San Miguel, interpuso recurso de amparo contra las resoluciones judiciales que se citan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relevantes para la resolución del caso, son, en síntesis, los siguientes:</w:t>
      </w:r>
    </w:p>
    <w:p w:rsidR="00163957" w:rsidRDefault="00163957" w:rsidP="00163957">
      <w:pPr>
        <w:pStyle w:val="TextoNormal"/>
      </w:pPr>
    </w:p>
    <w:p w:rsidR="00163957" w:rsidRDefault="00163957" w:rsidP="00163957">
      <w:pPr>
        <w:pStyle w:val="TextoNormal"/>
      </w:pPr>
      <w:r>
        <w:t>a) La actual demandante de amparo, estando en periodo de gestación, obtiene un diagnóstico de polimalformaciones del feto con hallazgos sugestivos de cromosomopatía, de improbable viabilidad. El 4 de octubre de 2013 acude al Hospital de Mendaro (Guipúzcoa), donde le provocan el aborto. El feto contaba con 22 semanas de gestación y 362 gramos de peso.</w:t>
      </w:r>
    </w:p>
    <w:p w:rsidR="00163957" w:rsidRDefault="00163957" w:rsidP="00163957">
      <w:pPr>
        <w:pStyle w:val="TextoNormal"/>
      </w:pPr>
    </w:p>
    <w:p w:rsidR="00163957" w:rsidRDefault="00163957" w:rsidP="00163957">
      <w:pPr>
        <w:pStyle w:val="TextoNormal"/>
      </w:pPr>
      <w:r>
        <w:t xml:space="preserve">b) Tras ser dada de alta, la demandante solicita los restos humanos con el fin de incinerarlos. Los responsables del centro hospitalario le indican que, conforme a su protocolo interno de 4 de marzo de 1998, revisado el 28 de abril de 2006, para acceder a lo pedido se precisa la correspondiente licencia judicial de enterramiento-incineración. El indicado protocolo ordena una serie de trámites internos para la salida y eliminación de restos humanos que “será distinta según el peso y tiempo de gestación”. Los fetos de más de 500 gramos o tiempo de gestación superior a 180 días se consideran sujetos a la normativa mortuoria por tratarse de “restos humanos de entidad suficiente”. Los de peso y vida fetal inferior “no están sujetos a la normativa mortuoria” por considerarse “restos quirúrgicos”. Conforme al protocolo, la salida de los primeros (“restos humanos de entidad suficiente”) se somete a una serie de trámites, entre ellos, la solicitud del permiso judicial para el enterramiento o incineración. Respecto de la salida de los segundos (“restos quirúrgicos”), el protocolo alivia la tramitación, señalando que no son ya precisos determinados documentos, aunque sí el relativo a “Fetos. Origen y solicitud incineración/enterramiento”, por el que “se ofrecerá </w:t>
      </w:r>
      <w:r>
        <w:lastRenderedPageBreak/>
        <w:t>a los familiares la posibilidad de que los restos sean inhumados, a cargo del hospital, en el cementerio de Mendaro (fosa común)”. El protocolo prevé la incineración como destino final de estos “restos quirúrgicos”.</w:t>
      </w:r>
    </w:p>
    <w:p w:rsidR="00163957" w:rsidRDefault="00163957" w:rsidP="00163957">
      <w:pPr>
        <w:pStyle w:val="TextoNormal"/>
      </w:pPr>
    </w:p>
    <w:p w:rsidR="00163957" w:rsidRDefault="00163957" w:rsidP="00163957">
      <w:pPr>
        <w:pStyle w:val="TextoNormal"/>
      </w:pPr>
      <w:r>
        <w:t>c) El 7 de octubre de 2013 la demandante presenta un escrito en el Juzgado de Primera Instancia e Instrucción núm. 1 de Éibar, en funciones de guardia, tramitado como diligencias previas penales (núm. 1060-2013), solicitando autorización judicial para “despedirse del feto con su pareja” y para “poder incinerarlo”. Aporta informe médico-forense de la Subdirección de Guipúzcoa del Instituto Vasco de Medicina Legal, que afirma que “lo que se solicita no tiene ningún impedimento médico-legal ni sanitario” y que “según la ley de Policía Sanitaria Mortuoria vigente en la CCAA [sic] del País Vasco, el destino de todo resto humano y/o cadáver debe ser el enterramiento, la incineración o arrojar los restos al mar”.</w:t>
      </w:r>
    </w:p>
    <w:p w:rsidR="00163957" w:rsidRDefault="00163957" w:rsidP="00163957">
      <w:pPr>
        <w:pStyle w:val="TextoNormal"/>
      </w:pPr>
    </w:p>
    <w:p w:rsidR="00163957" w:rsidRDefault="00163957" w:rsidP="00163957">
      <w:pPr>
        <w:pStyle w:val="TextoNormal"/>
      </w:pPr>
      <w:r>
        <w:t>d) El Juzgado resuelve la petición por Auto de 17 de octubre de 2013, rectificado el 21 de octubre. Declara que en la práctica de la interrupción del embarazo no existe indicio alguno de criminalidad [al haberse cumplido los requisitos del art. 15 b) de la Ley Orgánica 2/2010, de 3 de marzo, de salud sexual y reproductiva de la interrupción voluntaria del embarazo]. Sin embargo, el órgano judicial desestima la solicitud en contra del informe médico-forense de la subdirección de Guipúzcoa del Instituto Vasco de Medicina Legal.</w:t>
      </w:r>
    </w:p>
    <w:p w:rsidR="00163957" w:rsidRDefault="00163957" w:rsidP="00163957">
      <w:pPr>
        <w:pStyle w:val="TextoNormal"/>
      </w:pPr>
    </w:p>
    <w:p w:rsidR="00163957" w:rsidRDefault="00163957" w:rsidP="00163957">
      <w:pPr>
        <w:pStyle w:val="TextoNormal"/>
      </w:pPr>
      <w:r>
        <w:t>El Auto da por supuesto que la inscripción del feto en el Registro civil constituye un presupuesto legal para su entrega a los fines de la incineración o enterramiento. Sobre esta base, interpreta la solicitud de entrega del feto para su incineración formulada por la demandante como una solicitud de inscripción en el Registro civil. Pasa después a examinar una serie de disposiciones con el fin de calibrar si impiden la señalada inscripción y, con ello, el posible libramiento del correspondiente permiso judicial de incineración. Así se deduce de la legislación en materia de sanidad mortuoria dictada a efectos de seguridad pública (Reglamento de policía sanitaria mortuoria aprobado por Decreto 2263/1974, de 20 de julio, y Reglamento de sanidad mortuoria del País Vasco aprobado por Decreto 202/2004, de 19 de octubre), el protocolo del hospital de 4 de marzo de 1998, revisado el 28 de abril de 2006, aportado por la Directora coordinadora asistencial del área médica del señalado hospital y el art. 45 de la Ley de 8 de junio de 1957 del Registro civil que establece: “Las personas obligadas a declarar o dar el parte de nacimiento están también obligadas a comunicar en la misma forma el alumbramiento de las criaturas abortivas de más de ciento ochenta días de vida fetal, aproximadamente. En el Registro Civil se llevará un legajo con las declaraciones y partes de estos abortos.”</w:t>
      </w:r>
    </w:p>
    <w:p w:rsidR="00163957" w:rsidRDefault="00163957" w:rsidP="00163957">
      <w:pPr>
        <w:pStyle w:val="TextoNormal"/>
      </w:pPr>
    </w:p>
    <w:p w:rsidR="00163957" w:rsidRDefault="00163957" w:rsidP="00163957">
      <w:pPr>
        <w:pStyle w:val="TextoNormal"/>
      </w:pPr>
      <w:r>
        <w:t xml:space="preserve">Respecto de la legislación en materia de sanidad mortuoria, el Juzgado considera que no prohíbe la inscripción de los fetos con menos de 180 días. En cuanto al art. 45 de la Ley del registro civil, el fundamento jurídico primero del Auto entiende que “impone una obligación para inscribir a las criaturas abortivas”, pero, interpretada conforme al contexto y la realidad social (art. 3 del Código civil), “no prohíbe en ningún caso la inscripción” de los fetos que “no alcancen los 180 días”, sin que exista norma legal que exija un peso mínimo. No obstante, el fundamento jurídico segundo afirma: “no puede obviarse la aplicación del art. 45 de la Ley del registro civil, que aun sin entender esta juzgadora por qué se establece el límite de 180 días y no otro, es el que está legalmente previsto para inscribir y obtener la pertinente licencia de enterramiento-incineración solicitada”. Respecto del protocolo hospitalario, el órgano judicial interpreta que impide la inscripción registral al recoger el límite de los 180 </w:t>
      </w:r>
      <w:r>
        <w:lastRenderedPageBreak/>
        <w:t>días “por analogía” con el art. 45 de la Ley del registro civil. El Auto, tras señalar que el citado protocolo “no es una norma jurídica vinculante en el sentido del art. 1 del Código Civil”, razona que no puede procederse a la inscripción del feto, no sólo porque lo impide el art. 45 de la Ley del registro civil, sino también porque no pueden “obviarse en este caso los protocolos establecidos que aunque no constituyan norma jurídica sino establecen los métodos de actuación para el personal sanitario que han de cumplimentarse o que en todo caso quedan fuera de la jurisdicción”.</w:t>
      </w:r>
    </w:p>
    <w:p w:rsidR="00163957" w:rsidRDefault="00163957" w:rsidP="00163957">
      <w:pPr>
        <w:pStyle w:val="TextoNormal"/>
      </w:pPr>
    </w:p>
    <w:p w:rsidR="00163957" w:rsidRDefault="00163957" w:rsidP="00163957">
      <w:pPr>
        <w:pStyle w:val="TextoNormal"/>
      </w:pPr>
      <w:r>
        <w:t>El Auto añade que es “cierto” que “en otra ocasión se ha autorizado dicha inscripción por este juzgado pero en un supuesto sensiblemente distinto al tratarse de aborto espontáneo de 440 gramos de peso y por conflicto con el derecho de libertad religiosa consagrada en el art. 16 de nuestra Norma Fundamental”. Sin embargo, razona, “en el presente caso no existe conflicto entre derechos fundamentales”. Concluye denegando la inscripción “por todo lo expuesto, ponderando todos los intereses en conflicto y la normativa aplicable al caso”, por más que estemos “ante una evidente situación dolorosa de pérdida en el que la solicitante desea incinerar al feto para despedirse de él”.</w:t>
      </w:r>
    </w:p>
    <w:p w:rsidR="00163957" w:rsidRDefault="00163957" w:rsidP="00163957">
      <w:pPr>
        <w:pStyle w:val="TextoNormal"/>
      </w:pPr>
    </w:p>
    <w:p w:rsidR="00163957" w:rsidRDefault="00163957" w:rsidP="00163957">
      <w:pPr>
        <w:pStyle w:val="TextoNormal"/>
      </w:pPr>
      <w:r>
        <w:t xml:space="preserve">e) La actual demandante de amparo interpone recurso de reforma contra el Auto de 17 de octubre de 2013, solicitando nuevamente la entrega de los restos humanos de su hijo. Razona que a ello conduce la legislación ordinaria [arts. 6 y 52 d) del Reglamento de policía sanitaria mortuoria aprobado por Decreto 2263/1974, art. 5.1 del Reglamento de sanidad mortuoria del País Vasco aprobado por Decreto 202/2004] así como los derechos fundamentales regulados en los arts. 16 y 18.1 CE. Razona igualmente que “siendo que en un caso semejante el juzgado reconoce haber accedido a la entrega del cuerpo en atención a que la madre practicaba la religión musulmana”, que obliga a sepultar los cadáveres en la tierra, excluyendo su incineración, “resultaría totalmente discriminatorio no respetar de igual modo los valores y creencias (religiosas o no), de la Sra. Mendicute”. Invoca también las Sentencias del Tribunal Europeo de Derechos Humanos de 14 de febrero de 2008 en el asunto </w:t>
      </w:r>
      <w:r w:rsidRPr="00163957">
        <w:rPr>
          <w:i/>
        </w:rPr>
        <w:t>Hadri-Vionnet c. Suiza</w:t>
      </w:r>
      <w:r>
        <w:t xml:space="preserve"> (que reconoció la vulneración del derecho a la vida privada y familiar por realizarse el enterramiento del cuerpo del hijo de la recurrente, nacido muerto, sin que ésta hubiera prestado su consentimiento) y de 30 de octubre de 2001 en el caso </w:t>
      </w:r>
      <w:r w:rsidRPr="00163957">
        <w:rPr>
          <w:i/>
        </w:rPr>
        <w:t>Pannullo y Forte c. Francia</w:t>
      </w:r>
      <w:r>
        <w:t xml:space="preserve"> (que calificó de injerencia en la vida privada y familiar de los actores el retraso excesivo de las autoridades en la devolución del cuerpo del hijo tras una autopsia).</w:t>
      </w:r>
    </w:p>
    <w:p w:rsidR="00163957" w:rsidRDefault="00163957" w:rsidP="00163957">
      <w:pPr>
        <w:pStyle w:val="TextoNormal"/>
      </w:pPr>
    </w:p>
    <w:p w:rsidR="00163957" w:rsidRDefault="00163957" w:rsidP="00163957">
      <w:pPr>
        <w:pStyle w:val="TextoNormal"/>
      </w:pPr>
      <w:r>
        <w:t xml:space="preserve">f) El Juzgado de Primera Instancia e Instrucción núm. 1 de Éibar desestima el recurso de reforma. El Auto, de 12 de noviembre de 2013, admite en primer término que “efectivamente esta instructora en funciones de guardia ha concedido en una única ocasión la citada inscripción en el Registro Civil y expedido la licencia de enterramiento” (diligencias previas 916-2013) ante un supuesto de vida fetal inferior a los 180 días. No obstante, afirma, “el supuesto de hecho era diferente” porque “de un lado estábamos ante un aborto espontáneo, de 22 semanas y 440 gramos lo que aproxima en mayor medida tanto al art. 45 de la Ley del Registro Civil como a los límites previstos en el protocolo y de otro lado porque en la propia comparecencia recogida a los padres en el Juzgado de guardia se invoca como motivo el ser musulmanes y el hecho de que esta religión prohíbe la incineración por lo que desean enterrar al feto”. Añade que “en el presente caso nada de esto se ha invocado, ni la solicitante invoca religión católica alguna, ni solicitarlo por motivos religiosos, señala exclusivamente que su pareja se encuentra fuera del país y que desea despedirse del feto junto a él, así como </w:t>
      </w:r>
      <w:r>
        <w:lastRenderedPageBreak/>
        <w:t>incinerarlo”; “así que no existe conflicto con la libertad religiosa en el sentido en el que se resolvió en el auto de las DP 916/13”; la petición es pues “perfectamente comprensible desde el punto de vista personal y humano, teniendo en cuenta la delicadeza que esta materia precisa, pero no resulta legítima”. Más adelante, tras descartar que el Auto impugnado vulnere el derecho a la intimidad familiar, el Juzgado insiste en que no puede otorgar licencia de enterramiento o incineración sin inscribir previamente al feto en el legajo correspondiente y que tal inscripción sólo está prevista para los fetos de más de 180 días.</w:t>
      </w:r>
    </w:p>
    <w:p w:rsidR="00163957" w:rsidRDefault="00163957" w:rsidP="00163957">
      <w:pPr>
        <w:pStyle w:val="TextoNormal"/>
      </w:pPr>
    </w:p>
    <w:p w:rsidR="00163957" w:rsidRDefault="00163957" w:rsidP="00163957">
      <w:pPr>
        <w:pStyle w:val="TextoNormal"/>
      </w:pPr>
      <w:r>
        <w:t>La exigencia de inscripción resultaría de previsiones de la Ley del registro civil sobre “defunciones”: los arts. 83 (“En tanto no se practique la inscripción no se expedirá la licencia para el entierro, que tendrá lugar transcurridas al menos veinticuatro horas desde el momento de la muerte”) y 86 (“Será necesaria sentencia firme, expediente gubernativo u orden de la autoridad judicial que instruya las diligencias seguidas por muerte violenta, que afirmen sin duda alguna el fallecimiento, para inscribir éste cuando el cadáver hubiere desaparecido o se hubiere inhumado antes de la inscripción”). También del Decreto de 14 de noviembre de 1958, por el que se aprueba el Reglamento para la aplicación de la Ley del registro civil: arts. 173 (“La declaración y parte expresarán el aborto o, en su caso, el alumbramiento y muerte; contendrán, en cuanto sea posible, las circunstancias exigidas para la inscripción de nacimiento y defunción y, particularmente, el tiempo aproximado de vida fetal y si la muerte de la criatura se produjo antes, al tiempo o después del alumbramiento, indicando, en este último caso, con toda exactitud, las horas del alumbramiento y muerte”) y 174 (“El Encargado, con los requisitos de inscripción, pero en folio suelto, levantará acta de la declaración con referencia precisa al parte o a la información supletoria. Inmediatamente incorporará al Legajo de abortos, con el acta, los documentos relativos al declarado, cuya entrada debe constar, con la propia declaración, en el Libro Diario. Hecha la incorporación, expedirá la licencia de sepultura”).</w:t>
      </w:r>
    </w:p>
    <w:p w:rsidR="00163957" w:rsidRDefault="00163957" w:rsidP="00163957">
      <w:pPr>
        <w:pStyle w:val="TextoNormal"/>
      </w:pPr>
    </w:p>
    <w:p w:rsidR="00163957" w:rsidRDefault="00163957" w:rsidP="00163957">
      <w:pPr>
        <w:pStyle w:val="TextoNormal"/>
      </w:pPr>
      <w:r>
        <w:t>La imposibilidad de inscribir fetos con menos de 180 días y, por ende, de otorgar la oportuna licencia de enterramiento derivaría del art. 45 de la Ley del registro civil, por más que, según se afirma, la obligación registral responda a la finalidad de controlar la legalidad de los abortos que se han producido cuando ha avanzado en determinada medida el periodo de gestación, dejando al margen los supuestos de vida fetal inferior. El Auto trae a colación en este sentido el art. 15 b) de la Ley Orgánica 2/2010, de 3 de marzo, de salud sexual y reproductiva y de la interrupción voluntaria del embarazo, que prevé la posibilidad excepcional de interrumpir el embarazo por causas médicas cuando “no se superen las veintidós semanas de gestación y siempre que exista riesgo de graves anomalías en el feto y así conste en un dictamen emitido con anterioridad a la intervención por dos médicos especialistas distintos del que la practique o dirija”. Según el órgano judicial, este precepto implica que no es necesaria la inscripción cuando el plazo es inferior a 180 días, debiendo tan sólo controlarse aquellos que pudieran ser delictivos.</w:t>
      </w:r>
    </w:p>
    <w:p w:rsidR="00163957" w:rsidRDefault="00163957" w:rsidP="00163957">
      <w:pPr>
        <w:pStyle w:val="TextoNormal"/>
      </w:pPr>
    </w:p>
    <w:p w:rsidR="00163957" w:rsidRDefault="00163957" w:rsidP="00163957">
      <w:pPr>
        <w:pStyle w:val="TextoNormal"/>
      </w:pPr>
      <w:r>
        <w:t xml:space="preserve">g) Interpuesto recurso de apelación, es desestimado por Auto de 23 de diciembre de 2013 de la Sección Tercera de la Audiencia Provincial de Guipúzcoa. Según el órgano judicial, el art. 45 de la Ley del registro civil, la legislación en materia de policía sanitaria mortuoria, el art. 7 de la Convención sobre los derechos del niño de 20 de noviembre de 1989 (que recoge el derecho del niño a la inscripción “inmediatamente después de su nacimiento”), el art. 15 de la Ley Orgánica 2/2010 y el protocolo hospitalario, interpretados conjuntamente, implican que en este supuesto “no sea preceptiva la inscripción en el Legajo de criaturas </w:t>
      </w:r>
      <w:r>
        <w:lastRenderedPageBreak/>
        <w:t>abortivas, necesaria para expedir la licencia de enterramiento, ni su tratamiento como resto cadavérico”, sin que puedan atenderse a las resoluciones alegadas del Tribunal Europeo de Derechos Humanos, por referirse a un supuesto fáctico distinto.</w:t>
      </w:r>
    </w:p>
    <w:p w:rsidR="00163957" w:rsidRDefault="00163957" w:rsidP="00163957">
      <w:pPr>
        <w:pStyle w:val="TextoNormal"/>
      </w:pPr>
    </w:p>
    <w:p w:rsidR="00163957" w:rsidRDefault="00163957" w:rsidP="00163957">
      <w:pPr>
        <w:pStyle w:val="TextoNormal"/>
      </w:pPr>
      <w:r w:rsidRPr="00163957">
        <w:rPr>
          <w:rStyle w:val="NumeroAFNegritaCaracter"/>
        </w:rPr>
        <w:t>3</w:t>
      </w:r>
      <w:r>
        <w:t>. La demanda de amparo se dirige contra las resoluciones judiciales citadas, al entenderse que lesionan el derecho fundamental a la libertad ideológica, religiosa y de culto (art.16.1 CE), a la igualdad (art. 14 CE) y a la intimidad familiar (art. 18.1 CE) de la recurrente.</w:t>
      </w:r>
    </w:p>
    <w:p w:rsidR="00163957" w:rsidRDefault="00163957" w:rsidP="00163957">
      <w:pPr>
        <w:pStyle w:val="TextoNormal"/>
      </w:pPr>
    </w:p>
    <w:p w:rsidR="00163957" w:rsidRDefault="00163957" w:rsidP="00163957">
      <w:pPr>
        <w:pStyle w:val="TextoNormal"/>
      </w:pPr>
      <w:r>
        <w:t xml:space="preserve">El recurso razona que, según el art. 6 del Reglamento de policía sanitaria mortuoria, el destino final de los restos humanos es necesariamente uno de los tres siguientes: enterramiento en lugar autorizado, incineración o inmersión en alta mar. La legislación en esta materia presupone claramente la posibilidad de entregar cualesquiera restos humanos para su enterramiento o incineración al exigir que todos los cementerios municipales dispongan de un sector destinado a restos procedentes de abortos, intervenciones quirúrgicas y mutilaciones [arts. 52 d) del citado Reglamento y 5.1 del Reglamento de sanidad mortuoria aprobado por Decreto 202/2004, de 19 de octubre]. El Juzgado de Primera Instancia e Instrucción núm. 1 de Éibar lo entendió así en el fundamento jurídico primero de su Auto de 17 de octubre de 2013 al declarar, a la vista de esta normativa, que “no se encuentra prohibición alguna respecto a lo solicitado”. Según la demanda de amparo, esta legislación específica no puede ceder ante la normativa del Registro civil. El art. 1 de la Ley del registro civil se refiere a la inscripción de hechos concernientes a las personas. Los arts. 83 y 86 tampoco hablan de restos humanos; se refieren a defunciones de personas. Sin embargo, las resoluciones judiciales rechazaron la entrega de los restos humanos con vulneración de derechos fundamentales de la demandada a través de “construcciones jurídicas artificiosas”, “una suerte de </w:t>
      </w:r>
      <w:r w:rsidRPr="00163957">
        <w:rPr>
          <w:i/>
        </w:rPr>
        <w:t>bricolaje jurídico</w:t>
      </w:r>
      <w:r>
        <w:t>” armado con resoluciones de la Dirección General de los Registros y del Notariado, protocolos, legislación registral y la referencia “sorprendente” a la Convención sobre derechos del niño.</w:t>
      </w:r>
    </w:p>
    <w:p w:rsidR="00163957" w:rsidRDefault="00163957" w:rsidP="00163957">
      <w:pPr>
        <w:pStyle w:val="TextoNormal"/>
      </w:pPr>
    </w:p>
    <w:p w:rsidR="00163957" w:rsidRDefault="00163957" w:rsidP="00163957">
      <w:pPr>
        <w:pStyle w:val="TextoNormal"/>
      </w:pPr>
      <w:r>
        <w:t>El derecho a la libertad ideológica, religiosa y de culto está reconocido en la Declaración universal de derechos humanos, el Pacto internacional de derechos civiles y políticos, la Constitución española y todas las de nuestra órbita cultural. Según Tribunal Europeo de Derechos Humanos, “la libertad de pensamiento, de conciencia y de religión representa uno de los logros de las sociedades democráticas” (STEDH de 20 de agosto de 1994), “uno de los fundamentos de las sociedades democráticas” (STEDH de 25 de mayo de 1993). La Constitución española le concede un lugar preferente, recogiéndolo en su art. 16, inmediatamente después del derecho a la vida como derecho troncal soporte de todos los demás (STC 53/1985, de 11 de abril). Este fundamental derecho protege las convicciones personales con independencia de su origen ideológico o religioso. Se refiere al conjunto de elaboraciones de la mente, esto es, al conjunto sistemático de representaciones, valores y creencias que refleja la forma en que los miembros de la formación social viven sus condiciones de existencia. Esta libertad se ejerce sin más limitación, en sus manifestaciones, que las necesarias para el mantenimiento del orden público protegido por la ley (STC 46/2001, FJ 11).</w:t>
      </w:r>
    </w:p>
    <w:p w:rsidR="00163957" w:rsidRDefault="00163957" w:rsidP="00163957">
      <w:pPr>
        <w:pStyle w:val="TextoNormal"/>
      </w:pPr>
    </w:p>
    <w:p w:rsidR="00163957" w:rsidRDefault="00163957" w:rsidP="00163957">
      <w:pPr>
        <w:pStyle w:val="TextoNormal"/>
      </w:pPr>
      <w:r>
        <w:t xml:space="preserve">Por virtud del art. 16.1 CE, la demandante de amparo razona que tenía derecho a dar digna sepultura a su creación física y espiritual y a despedirla en compañía de su pareja, en una ceremonia de carácter civil y familiar. Ya el Derecho romano configuró el </w:t>
      </w:r>
      <w:r w:rsidRPr="00163957">
        <w:rPr>
          <w:i/>
        </w:rPr>
        <w:t>ius sepulchri</w:t>
      </w:r>
      <w:r>
        <w:t xml:space="preserve">, </w:t>
      </w:r>
      <w:r>
        <w:lastRenderedPageBreak/>
        <w:t>el derecho a enterrar a los fallecidos, como derecho de la persona. Las resoluciones judiciales impugnadas habrían vulnerado el art. 16.1 CE porque la denegación del permiso judicial de incineración carecía de todo fundamento legal, porque los valores y creencias de la demandante no podían merecer menos respeto que aquellos que pudieran adjetivarse como “religiosos” o “confesionales” y porque no había razón alguna de orden público que pudiera justificar la denegación de la entrega solicitada; el destino que la demandante quería dar a los restos humanos era el que indicaba la normativa de policía mortuoria. Se afirma en este sentido que los protocolos son documentos internos que ordenan la actuación de los profesionales sanitarios y enfocan los fetos como meros residuos biológicos, sin tomar en consideración otros intereses, derechos o bienes jurídicos. No son normas, y aunque pueden tener relevancia jurídica, no pueden impedir la realización de los derechos fundamentales, que obviamente son de jerarquía y dimensión mucho mayor.</w:t>
      </w:r>
    </w:p>
    <w:p w:rsidR="00163957" w:rsidRDefault="00163957" w:rsidP="00163957">
      <w:pPr>
        <w:pStyle w:val="TextoNormal"/>
      </w:pPr>
    </w:p>
    <w:p w:rsidR="00163957" w:rsidRDefault="00163957" w:rsidP="00163957">
      <w:pPr>
        <w:pStyle w:val="TextoNormal"/>
      </w:pPr>
      <w:r>
        <w:t>Estaría igualmente concernido el principio de igualdad y la proscripción de discriminación (art. 14 CE). En las diligencias previas 916-2013, el mismo Juzgado accedió a entregar a otra madre los restos humanos de su hijo, también de 22 de semanas. En el presente caso, el Juzgado reconoció que en esa ocasión accedió a la entrega en atención a la religión de la solicitante (musulmana), el tipo de aborto (espontáneo) y el peso de los restos biológicos (mayor que en el presente caso). Ello supone una “discriminación intolerable por arbitraria”. Resulta totalmente discriminatorio que no se respetaran de igual modo los valores y creencias de la demandante de amparo: “no se acierta a comprender por qué el hecho de ser musulmana es considerado como más digno de protección que la espiritualidad o concepción del mundo (ideología) que no está adscrita a una confesión o religión determinada”. Ambas madres tenían los mismos derechos fundamentales sin que en ninguno de los dos casos se hubieran superado los 180 días de vida fetal a que hace referencia el art. 45 de la Ley del registro civil. Razona en este orden de ideas que no se puede resolver un conflicto de derechos fundamentales en función del peso de los restos humanos ni en relación con la causa que motivó la interrupción del embarazo, que se efectuó legalmente por motivos puramente médicos y con gran pesar de la recurrente.</w:t>
      </w:r>
    </w:p>
    <w:p w:rsidR="00163957" w:rsidRDefault="00163957" w:rsidP="00163957">
      <w:pPr>
        <w:pStyle w:val="TextoNormal"/>
      </w:pPr>
    </w:p>
    <w:p w:rsidR="00163957" w:rsidRDefault="00163957" w:rsidP="00163957">
      <w:pPr>
        <w:pStyle w:val="TextoNormal"/>
      </w:pPr>
      <w:r>
        <w:t xml:space="preserve">La demanda razona igualmente la lesión del derecho a la intimidad familiar (art. 18.1 CE) a través de la STEDH de 14 de febrero de 2008 (asunto </w:t>
      </w:r>
      <w:r w:rsidRPr="00163957">
        <w:rPr>
          <w:i/>
        </w:rPr>
        <w:t>Hadri-Vionnet c. Suiza</w:t>
      </w:r>
      <w:r>
        <w:t>), que apreció violación del artículo 8 (derecho al respeto de la vida privada y familiar) del Convenio europeo para la protección de los derechos humanos y de las libertades fundamentales (CEDH) por haberse privado a la madre del derecho a estar presente en el traslado y entierro de su hijo nacido muerto en un parto prematuro. Al desestimar el recurso de apelación, la Audiencia Provincial se habría desvinculado de esta jurisprudencia sin razón, limitándose a declarar que “lo prevenido en dicha resolución no resulta aplicable al referirse a un supuesto distinto y diferenciado del presente, ya que se ha producido el nacimiento y los restos tienen la consideración de cadáver a los efectos, tanto de inscripción como de enterramiento, lo que no se produce en el presente supuesto”.</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Por providencia de 16 de febrero de 2015, la Sala Primera de este Tribunal acuerda admitir a trámite la demanda de amparo, apreciando que ofrece especial trascendencia constitucional [art. 50.1 de la Ley Orgánica del Tribunal Constitucional (LOTC)] porque plantea un problema o afecta a una faceta del derecho fundamental sobre el que no hay doctrina constitucional [STC 155/2009, FJ 2 a)]. En aplicación de lo dispuesto por el art. 51 LOTC, la providencia dirige atenta comunicación a la Sección Tercera de la Audiencia Provincial </w:t>
      </w:r>
      <w:r>
        <w:lastRenderedPageBreak/>
        <w:t>de Guipúzcoa y al Juzgado de Primera Instancia e Instrucción núm. 1 de Éibar a fin de que en menos de diez días remitan certificación o fotocopia adverada de las actuaciones correspondientes al recurso de apelación núm. 3300-2013 y a las diligencias previas núm. 1060-2013, respectivamente. Acuerda igualmente emplazar a quienes hubieran sido parte en el procedimiento, excepto la recurrente en amparo, para que en el plazo de diez días comparezcan, si lo desean.</w:t>
      </w:r>
    </w:p>
    <w:p w:rsidR="00163957" w:rsidRDefault="00163957" w:rsidP="00163957">
      <w:pPr>
        <w:pStyle w:val="TextoNormal"/>
      </w:pPr>
    </w:p>
    <w:p w:rsidR="00163957" w:rsidRDefault="00163957" w:rsidP="00163957">
      <w:pPr>
        <w:pStyle w:val="TextoNormal"/>
      </w:pPr>
      <w:r w:rsidRPr="00163957">
        <w:rPr>
          <w:rStyle w:val="NumeroAFNegritaCaracter"/>
        </w:rPr>
        <w:t>5</w:t>
      </w:r>
      <w:r>
        <w:t>. La Sala Primera de este Tribunal Constitucional, mediante diligencia de ordenación de 26 de marzo de 2015, acuerda dar vista de las actuaciones recibidas al Ministerio Fiscal y a la Procuradora de la demandante de amparo, por plazo común de veinte días, conforme establece el art. 52.1 LOTC, para que puedan presentar alegaciones.</w:t>
      </w:r>
    </w:p>
    <w:p w:rsidR="00163957" w:rsidRDefault="00163957" w:rsidP="00163957">
      <w:pPr>
        <w:pStyle w:val="TextoNormal"/>
      </w:pPr>
    </w:p>
    <w:p w:rsidR="00163957" w:rsidRDefault="00163957" w:rsidP="00163957">
      <w:pPr>
        <w:pStyle w:val="TextoNormal"/>
      </w:pPr>
      <w:r w:rsidRPr="00163957">
        <w:rPr>
          <w:rStyle w:val="NumeroAFNegritaCaracter"/>
        </w:rPr>
        <w:t>6</w:t>
      </w:r>
      <w:r>
        <w:t>. Evacuando el referido trámite, la recurrente en amparo presenta el 22 de abril de 2015 escrito, ratificando íntegramente la demanda e invocando el art. 10.2 CE, que establece que las normas relativas a los derechos fundamentales y a las libertades han de interpretarse a la luz de los tratados internacionales suscritos. Cita igualmente el art. 29.2 de la Declaración universal de derechos humanos, que garantiza que, en el ejercicio de sus derechos, toda persona estará sujeta nada más que a las limitaciones establecidas por la ley con el único fin de asegurar el reconocimiento y el respeto de los derechos y libertades de los demás y de satisfacer las justas exigencias de la moral, del orden público y del bienestar general en una sociedad democrática. También el art. 30 del mismo texto internacional conforme al que nada en la presente declaración puede interpretarse en el sentido de que confiere derecho alguno al Estado a realizar actos tendentes a la supresión de cualquiera de los derechos y libertades proclamados. Asimismo, critica que las resoluciones judiciales impugnadas hayan delimitado la dignidad humana en términos de peso y días de gestación.</w:t>
      </w:r>
    </w:p>
    <w:p w:rsidR="00163957" w:rsidRDefault="00163957" w:rsidP="00163957">
      <w:pPr>
        <w:pStyle w:val="TextoNormal"/>
      </w:pPr>
    </w:p>
    <w:p w:rsidR="00163957" w:rsidRDefault="00163957" w:rsidP="00163957">
      <w:pPr>
        <w:pStyle w:val="TextoNormal"/>
      </w:pPr>
      <w:r w:rsidRPr="00163957">
        <w:rPr>
          <w:rStyle w:val="NumeroAFNegritaCaracter"/>
        </w:rPr>
        <w:t>7</w:t>
      </w:r>
      <w:r>
        <w:t>. El Ministerio Fiscal, en escrito registrado el 8 de mayo de 2015, interesa la estimación del recurso de amparo. Analiza en primer término la denuncia de lesión del art. 14 CE. Considera que la demanda materializa la denuncia de desigualdad en la aplicación de la ley, al haber resuelto el Juez de instrucción de forma diversa un asunto semejante sin que la Audiencia Provincial haya reparado la desigualdad de tratamiento. El Fiscal aborda esta queja desde dos puntos de vista: entendida como lesión autónoma del derecho fundamental y como vulneración interrelacionada con la de los arts. 16 y 18.1 CE.</w:t>
      </w:r>
    </w:p>
    <w:p w:rsidR="00163957" w:rsidRDefault="00163957" w:rsidP="00163957">
      <w:pPr>
        <w:pStyle w:val="TextoNormal"/>
      </w:pPr>
    </w:p>
    <w:p w:rsidR="00163957" w:rsidRDefault="00163957" w:rsidP="00163957">
      <w:pPr>
        <w:pStyle w:val="TextoNormal"/>
      </w:pPr>
      <w:r>
        <w:t>Tras recordar los requisitos necesarios para declarar la vulneración del derecho de igualdad (acreditación de un término de comparación, identidad del órgano judicial, existencia de alteridad de los supuestos contrastados y, en fin, ausencia de toda motivación que justifique el cambio), considera el Fiscal que las resoluciones judiciales justifican y razonan el cambio de criterio; no se había invocado en este caso la libertad religiosa, sino la libertad ideológica o proyección espiritual de la persona. Desde esta perspectiva, no se habría lesionado el derecho fundamental.</w:t>
      </w:r>
    </w:p>
    <w:p w:rsidR="00163957" w:rsidRDefault="00163957" w:rsidP="00163957">
      <w:pPr>
        <w:pStyle w:val="TextoNormal"/>
      </w:pPr>
    </w:p>
    <w:p w:rsidR="00163957" w:rsidRDefault="00163957" w:rsidP="00163957">
      <w:pPr>
        <w:pStyle w:val="TextoNormal"/>
      </w:pPr>
      <w:r>
        <w:t xml:space="preserve">A diferente conclusión se llega desde el otro punto de vista, a partir de la apreciación de la lesión del art. 14 CE en relación con la de los arts. 16.1 y 18.1 CE. Es lo que, a juicio del Fiscal, sugiere la demanda de amparo cuando concluye que la denegación de lo solicitado quebranta la libertad ideológica, religiosa y de culto, en relación con el derecho a la intimidad familiar, con la consecuencia de discriminar “por razones de gramos de religión”. El </w:t>
      </w:r>
      <w:r>
        <w:lastRenderedPageBreak/>
        <w:t>escrito del Fiscal considera que la base del recurso es la vulneración del derecho a la libertad ideológica (art. 16.1 CE), porque lo que se denuncia es que las resoluciones judiciales han provocado el cercenamiento de la dimensión espiritual de la persona y de su capacidad de conducirse conforme a determinadas ideas, lo cual, por derivar precisamente de un proceso interno de convicción, afecta al mismo tiempo al derecho a la intimidad personal del art. 18.1 CE; como argumento de autoridad, se habría alegado la resolución contradictoria dictada en un caso igual o similar por la misma Juez, que es lo que abonaría la tesis de lesión del derecho de igualdad (art. 14 CE).</w:t>
      </w:r>
    </w:p>
    <w:p w:rsidR="00163957" w:rsidRDefault="00163957" w:rsidP="00163957">
      <w:pPr>
        <w:pStyle w:val="TextoNormal"/>
      </w:pPr>
    </w:p>
    <w:p w:rsidR="00163957" w:rsidRDefault="00163957" w:rsidP="00163957">
      <w:pPr>
        <w:pStyle w:val="TextoNormal"/>
      </w:pPr>
      <w:r>
        <w:t>Continúa el escrito del Fiscal aludiendo al contenido del derecho fundamental del art. 16.1 CE, como manifestación concreta de la libertad abstracta y genérica a que se refiere el art. 1.1 CE cuando enumera los valores superiores del ordenamiento jurídico español. Recuerda su trascendencia objetiva, que impone la neutralidad ideológica de los poderes públicos y, por tanto, la renuncia del ordenamiento jurídico a cualquier valoración de las variadas expresiones ideológicas de los ciudadanos (lo que no significa que el propio ordenamiento constitucional no se inspire y acoja determinados valores superiores como son la libertad, la justicia, la igualdad y el pluralismo político). Ello supone una garantía que protege al sujeto frente a posibles perturbaciones de los poderes públicos y de terceros, así como la salvaguarda para la libre manifestación de la particular opción ideológica. El derecho a la libertad ideológica no se agota en una dimensión interna a la hora de adoptar una determinada posición intelectual ante la vida; alcanza igualmente a una dimensión que permite a los ciudadanos exteriorizar ese claustro íntimo con arreglo a sus propias convicciones, manteniéndolas frente a terceros, lo que supone que tal actuar no puede llevar aparejado sanción o demérito. Esa libertad no puede tener más limitación que la necesaria para el mantenimiento del orden público protegido por la ley.</w:t>
      </w:r>
    </w:p>
    <w:p w:rsidR="00163957" w:rsidRDefault="00163957" w:rsidP="00163957">
      <w:pPr>
        <w:pStyle w:val="TextoNormal"/>
      </w:pPr>
    </w:p>
    <w:p w:rsidR="00163957" w:rsidRDefault="00163957" w:rsidP="00163957">
      <w:pPr>
        <w:pStyle w:val="TextoNormal"/>
      </w:pPr>
      <w:r>
        <w:t>El escrito del Fiscal ilustra esta conclusión con cita de jurisprudencia del Tribunal Supremo y del Tribunal Constitucional, tanto en cuanto la dimensión externa del derecho fundamental como en cuanto a los límites que se pueden imponer por los poderes públicos. Asimismo, se citan precedentes del Tribunal Europeo de Derechos Humanos en casos similares al presente, aunque se reconoce que éste no ha enfocado la cuestión desde la óptica del art. 9.2 CEDH (derecho a libertad de pensamiento, de conciencia o de religión), sino como manifestación del derecho a la vida privada y familiar del art. 8 CEDH. Las SSTEDH 16 de enero de 2014 (</w:t>
      </w:r>
      <w:r w:rsidRPr="00163957">
        <w:rPr>
          <w:i/>
        </w:rPr>
        <w:t>caso Abdulayeva c. Rusia</w:t>
      </w:r>
      <w:r>
        <w:t>); 17 de enero de 2006 (</w:t>
      </w:r>
      <w:r w:rsidRPr="00163957">
        <w:rPr>
          <w:i/>
        </w:rPr>
        <w:t>caso Ellipoluhas Dödsbo c. Suecia</w:t>
      </w:r>
      <w:r>
        <w:t>); 14 de febrero de 2008 (</w:t>
      </w:r>
      <w:r w:rsidRPr="00163957">
        <w:rPr>
          <w:i/>
        </w:rPr>
        <w:t>caso Hadri-Vionnet c. Suiza</w:t>
      </w:r>
      <w:r>
        <w:t>) reconocieron como injerencia en la vida privada y familiar la excesiva demora en la restitución del cuerpo de un hijo después de una autopsia o de la terminación de las actuaciones penales así como la negativa a entregar una urna que contiene las cenizas del marido o que la demandante estuviera presente en el entierro de su hijo, que nació muerto tras treinta y seis semanas de gestación.</w:t>
      </w:r>
    </w:p>
    <w:p w:rsidR="00163957" w:rsidRDefault="00163957" w:rsidP="00163957">
      <w:pPr>
        <w:pStyle w:val="TextoNormal"/>
      </w:pPr>
    </w:p>
    <w:p w:rsidR="00163957" w:rsidRDefault="00163957" w:rsidP="00163957">
      <w:pPr>
        <w:pStyle w:val="TextoNormal"/>
      </w:pPr>
      <w:r>
        <w:t xml:space="preserve">Con respecto al caso, aunque existen similitudes en sus ámbitos de protección, entiende el informe del Fiscal que la demanda de amparo se ciñe en exclusiva al derecho a la libertad ideológica y no al derecho a libertad de culto, toda vez que la actora en ningún momento ha llegado invocar creencias religiosas como fundamento de su solicitud; es esa circunstancia la que justificaría la diferencia de tratamiento por parte de los órganos judiciales, como si la libertad religiosa mereciera protección constitucional más profunda que la libertad ideológica. El tratamiento de ambas libertades desde la óptica constitucional debería ser idéntico. En el caso presente la pretensión se funda en una construcción ideológica de la actora que </w:t>
      </w:r>
      <w:r>
        <w:lastRenderedPageBreak/>
        <w:t>se vincula con un valor trascendente como es la vida, que para la actora existe desde el momento en que dota de sentido filosófico espiritual al hecho de haber gestado un ser al que no deja de reconocer dicha trascendentalidad.</w:t>
      </w:r>
    </w:p>
    <w:p w:rsidR="00163957" w:rsidRDefault="00163957" w:rsidP="00163957">
      <w:pPr>
        <w:pStyle w:val="TextoNormal"/>
      </w:pPr>
    </w:p>
    <w:p w:rsidR="00163957" w:rsidRDefault="00163957" w:rsidP="00163957">
      <w:pPr>
        <w:pStyle w:val="TextoNormal"/>
      </w:pPr>
      <w:r>
        <w:t>Desde este punto de vista, atendiendo a la doctrina constitucional sobre la libertad ideológica, concluye el Fiscal que, considerando que las leyes aplicables no prohíben la posibilidad de inscripción de criaturas abortivas ni su enterramiento, sino que tan sólo imponen un deber de inscripción cuando el feto alcanza un determinado grado de desarrollo, la actuación de los órganos judiciales ha sido lesiva del derecho fundamental, al no existir interés público o constitucionalmente relevante afectado por la inscripción en el Registro civil del alumbramiento de la criatura abortiva. En consecuencia, se interesa el otorgamiento del amparo con reconocimiento del derecho fundamental de la actora a la libertad ideológica (art. 16.1 CE) en relación con los derechos de intimidad personal y familiar (art. 18.1 CE).</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28 de enero de 2016 se señaló para deliberación y votación de la presente Sentencia el día 1 de febrero del mismo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demanda de amparo impugna el Auto del Juzgado de Primera Instancia e Instrucción núm. 1 de Éibar —que denegó la licencia de incineración de los restos resultantes del aborto padecido por la actora— y los Autos que lo confirman, del propio Juzgado y de la Audiencia Provincial de Guipúzcoa, por vulneración de los derechos fundamentales a la libertad ideológica (art. 16.1 CE), a la intimidad familiar (art. 18.1 CE) y a la igualdad (art. 14 CE).</w:t>
      </w:r>
    </w:p>
    <w:p w:rsidR="00163957" w:rsidRDefault="00163957" w:rsidP="00163957">
      <w:pPr>
        <w:pStyle w:val="TextoNormal"/>
      </w:pPr>
    </w:p>
    <w:p w:rsidR="00163957" w:rsidRDefault="00163957" w:rsidP="00163957">
      <w:pPr>
        <w:pStyle w:val="TextoNormal"/>
      </w:pPr>
      <w:r>
        <w:t xml:space="preserve">Según el recurso, la denegación del permiso que la actora solicitó para incinerar y despedir a su hijo no nato en compañía de su pareja en una ceremonia de carácter civil y familiar y darle digna sepultura habría vulnerado el art. 16.1 CE por carecer de todo fundamento legal. Los valores y creencias de la demandante no podían merecer menos respeto que aquellos que pudieran adjetivarse como “religiosos” o “confesionales” y porque no había razón alguna de orden público que pudiera justificar la denegación de la entrega solicitada. El destino final que la demandante quería dar a los restos humanos de su hijo era, precisamente, el indicado por la normativa de policía mortuoria. Estaría igualmente concernido el principio de igualdad y la proscripción de discriminación (art. 14 CE) porque en un asunto anterior, el mismo Juzgado accedió entregar a otra madre los restos humanos de su hijo, también de 22 de semanas, atendiendo a la religión de la solicitante (musulmana), el tipo de aborto (espontáneo) y el peso del feto (mayor que en el presente caso), lo que resultaría “totalmente discriminatorio”. La demanda razona igualmente la lesión del derecho a la intimidad familiar (art. 18.1 CE) a través de la STEDH de 14 de febrero de 2008 (Asunto </w:t>
      </w:r>
      <w:r w:rsidRPr="00163957">
        <w:rPr>
          <w:i/>
        </w:rPr>
        <w:t>Hadri-Vionnet c. Suiza</w:t>
      </w:r>
      <w:r>
        <w:t>), que apreció violación del artículo 8 (derecho al respeto de la vida privada y familiar) del Convenio europeo para la protección de los derechos humanos y de las libertades fundamentales (CEDH) por haberse lesionado el derecho de la madre a estar presente en el traslado y entierro de su hijo nacido muerto en un parto prematuro.</w:t>
      </w:r>
    </w:p>
    <w:p w:rsidR="00163957" w:rsidRDefault="00163957" w:rsidP="00163957">
      <w:pPr>
        <w:pStyle w:val="TextoNormal"/>
      </w:pPr>
    </w:p>
    <w:p w:rsidR="00163957" w:rsidRDefault="00163957" w:rsidP="00163957">
      <w:pPr>
        <w:pStyle w:val="TextoNormal"/>
      </w:pPr>
      <w:r>
        <w:t xml:space="preserve">Conviene precisar que queda al margen de este proceso constitucional la decisión de la Administración sanitaria de rechazar la solicitud formulada por la demandante de amparo </w:t>
      </w:r>
      <w:r>
        <w:lastRenderedPageBreak/>
        <w:t>—la entrega del cuerpo de su hijo no nato para poder incinerarlo y despedirse de él—, basada en la consideración de que era precisa una autorización judicial. El recurso de amparo no se dirige contra ella sin que, por tanto, nos corresponda valorar si la Administración vulneró algún derecho fundamental al rechazar la entrega. La demandante impugna sólo el Auto de 17 de octubre de 2013 del Juzgado de Primera Instancia e Instrucción núm. 1 de Éibar, por denegar la licencia de incineración con vulneración de sus derechos a la libertad ideológica (art. 16.1 CE), a la intimidad familiar (art. 18.1 CE) y a la igualdad (art. 14 CE), así como los Autos posteriores resolutorios de los recursos de reforma y apelación, por no reparar la indicada vulneración.</w:t>
      </w:r>
    </w:p>
    <w:p w:rsidR="00163957" w:rsidRDefault="00163957" w:rsidP="00163957">
      <w:pPr>
        <w:pStyle w:val="TextoNormal"/>
      </w:pPr>
    </w:p>
    <w:p w:rsidR="00163957" w:rsidRDefault="00163957" w:rsidP="00163957">
      <w:pPr>
        <w:pStyle w:val="TextoNormal"/>
      </w:pPr>
      <w:r>
        <w:t>El Ministerio Fiscal interesa la estimación del recurso en los términos expuestos en los antecedentes.</w:t>
      </w:r>
    </w:p>
    <w:p w:rsidR="00163957" w:rsidRDefault="00163957" w:rsidP="00163957">
      <w:pPr>
        <w:pStyle w:val="TextoNormal"/>
      </w:pPr>
    </w:p>
    <w:p w:rsidR="00163957" w:rsidRDefault="00163957" w:rsidP="00163957">
      <w:pPr>
        <w:pStyle w:val="TextoNormal"/>
      </w:pPr>
      <w:r w:rsidRPr="00163957">
        <w:rPr>
          <w:rStyle w:val="NumeroAFNegritaCaracter"/>
        </w:rPr>
        <w:t>2</w:t>
      </w:r>
      <w:r>
        <w:t>. No hay precedente de sentencia constitucional sobre casos análogos. El Tribunal Europeo de Derechos Humanos sí ha resuelto asuntos similares en un sentido favorable al reconocimiento del derecho a disponer de los restos humanos para su enterramiento como contenido del derecho al respeto de la vida privada y familiar (art. 8 CEDH).</w:t>
      </w:r>
    </w:p>
    <w:p w:rsidR="00163957" w:rsidRDefault="00163957" w:rsidP="00163957">
      <w:pPr>
        <w:pStyle w:val="TextoNormal"/>
      </w:pPr>
    </w:p>
    <w:p w:rsidR="00163957" w:rsidRDefault="00163957" w:rsidP="00163957">
      <w:pPr>
        <w:pStyle w:val="TextoNormal"/>
      </w:pPr>
      <w:r>
        <w:t xml:space="preserve">El indicado Tribunal ha considerado contraria al Convenio europeo para la protección de los derechos humanos y de las libertades fundamentales la decisión de las autoridades rusas de no entregar, para su enterramiento, los cadáveres de los fallecidos en una operación antiterrorista. Tal decisión se amparaba en la legislación estatal aplicable, pero se adoptó sin hacer una evaluación individual de las circunstancias que, en cada caso, justificaban la negativa —asuntos </w:t>
      </w:r>
      <w:r w:rsidRPr="00163957">
        <w:rPr>
          <w:i/>
        </w:rPr>
        <w:t>Sabanchiyeva y otros c. Rusia</w:t>
      </w:r>
      <w:r>
        <w:t xml:space="preserve"> (núm. 38450-2005, STEDH de 6 de junio de 2013), </w:t>
      </w:r>
      <w:r w:rsidRPr="00163957">
        <w:rPr>
          <w:i/>
        </w:rPr>
        <w:t>Maskhadova y Otros c. Rusia</w:t>
      </w:r>
      <w:r>
        <w:t xml:space="preserve"> (núm. 8071-2005, STEDH también de 6 de junio de 2013) y </w:t>
      </w:r>
      <w:r w:rsidRPr="00163957">
        <w:rPr>
          <w:i/>
        </w:rPr>
        <w:t>Abdulayeva c. Rusia</w:t>
      </w:r>
      <w:r>
        <w:t xml:space="preserve"> (núm. 8552-2005, STEDH de 16 de enero de 2014). En alguno de estos casos se invocó concurrentemente la lesión del derecho a la libertad de pensamiento y de conciencia (art. 9 CEDH) —equivalente al establecido en el art. 16.1 CE—, si bien el Tribunal Europeo de Derechos Humanos no halló razones para hacer un examen separado de ambas lesiones (</w:t>
      </w:r>
      <w:r w:rsidRPr="00163957">
        <w:rPr>
          <w:i/>
        </w:rPr>
        <w:t>Abdulayeva c. Rusia, § 60; Sabanchiyeva y otros c. Rusia</w:t>
      </w:r>
      <w:r>
        <w:t xml:space="preserve">, §§ 157 y 158; y </w:t>
      </w:r>
      <w:r w:rsidRPr="00163957">
        <w:rPr>
          <w:i/>
        </w:rPr>
        <w:t>Maskhadova y otros c. Rusia</w:t>
      </w:r>
      <w:r>
        <w:t>, §§ 248 y 249).</w:t>
      </w:r>
    </w:p>
    <w:p w:rsidR="00163957" w:rsidRDefault="00163957" w:rsidP="00163957">
      <w:pPr>
        <w:pStyle w:val="TextoNormal"/>
      </w:pPr>
    </w:p>
    <w:p w:rsidR="00163957" w:rsidRDefault="00163957" w:rsidP="00163957">
      <w:pPr>
        <w:pStyle w:val="TextoNormal"/>
      </w:pPr>
      <w:r>
        <w:t xml:space="preserve">El Tribunal Europeo de Derechos Humanos ha enjuiciado asimismo el excesivo retraso en la restitución a los miembros sobrevivientes del cuerpo de un familiar tras la práctica de la autopsia y recogida de muestras corporales en una investigación criminal —entre otros, en los asuntos </w:t>
      </w:r>
      <w:r w:rsidRPr="00163957">
        <w:rPr>
          <w:i/>
        </w:rPr>
        <w:t>Girard c. Francia</w:t>
      </w:r>
      <w:r>
        <w:t xml:space="preserve"> (núm. 22590-2004, STEDH de 30 de junio de 2011) y </w:t>
      </w:r>
      <w:r w:rsidRPr="00163957">
        <w:rPr>
          <w:i/>
        </w:rPr>
        <w:t>Pannullo y Forte c. Francia</w:t>
      </w:r>
      <w:r>
        <w:t xml:space="preserve"> (núm. 37794-1997, STEDH de 30 de enero de 2002)– o el rechazo a entregar a la esposa la urna con las cenizas de su esposo –asunto </w:t>
      </w:r>
      <w:r w:rsidRPr="00163957">
        <w:rPr>
          <w:i/>
        </w:rPr>
        <w:t>Elli Poluhas Dödsbo c. Suecia</w:t>
      </w:r>
      <w:r>
        <w:t xml:space="preserve"> (núm. 61564-2000, STEDH de 17 de enero de 2006).</w:t>
      </w:r>
    </w:p>
    <w:p w:rsidR="00163957" w:rsidRDefault="00163957" w:rsidP="00163957">
      <w:pPr>
        <w:pStyle w:val="TextoNormal"/>
      </w:pPr>
    </w:p>
    <w:p w:rsidR="00163957" w:rsidRDefault="00163957" w:rsidP="00163957">
      <w:pPr>
        <w:pStyle w:val="TextoNormal"/>
      </w:pPr>
      <w:r>
        <w:t xml:space="preserve">El asunto </w:t>
      </w:r>
      <w:r w:rsidRPr="00163957">
        <w:rPr>
          <w:i/>
        </w:rPr>
        <w:t>Hadri-Vionnet c. Suiza</w:t>
      </w:r>
      <w:r>
        <w:t xml:space="preserve"> (núm. 55525-2000, STEDH de 14 de febrero de 2008) reviste singular relieve a los efectos del presente proceso constitucional. Tras un parto prematuro, los médicos certificaron que el hijo de la demandante nació muerto, procediéndose al enterramiento en una fosa común sin celebración de ceremonia funeraria alguna. Según la demanda, los padres tenían derechos sobre los restos mortales de sus hijos que fueron vulnerados, en particular, el derecho a decidir el lugar, la hora y las modalidades de inhumación. EL Tribunal Europeo de Derechos Humanos consideró que el art. 8 CEDH resulta aplicable para determinar “si asistía a la demandante el derecho de asistir al enterramiento </w:t>
      </w:r>
      <w:r>
        <w:lastRenderedPageBreak/>
        <w:t>de su hijo eventualmente acompañado de una ceremonia así como a ver que los restos eran transportados en un vehículo apropiado” (§ 52). A tal efecto, afirma, hay que examinar “si la injerencia estaba ‘prevista por la ley’”, si era “necesaria en una sociedad democrática” y si respondía a “objetivos legítimos” (párrafo 58). En aplicación de esta doctrina, el Tribunal resolvió que las autoridades suizas vulneraron el art. 8 CEDH porque interfirieron en el derecho a la vida privada y familiar de la demandante sin base legal suficiente en el Derecho suizo (§§ 53-62).</w:t>
      </w:r>
    </w:p>
    <w:p w:rsidR="00163957" w:rsidRDefault="00163957" w:rsidP="00163957">
      <w:pPr>
        <w:pStyle w:val="TextoNormal"/>
      </w:pPr>
    </w:p>
    <w:p w:rsidR="00163957" w:rsidRDefault="00163957" w:rsidP="00163957">
      <w:pPr>
        <w:pStyle w:val="TextoNormal"/>
      </w:pPr>
      <w:r>
        <w:t xml:space="preserve">En el asunto </w:t>
      </w:r>
      <w:r w:rsidRPr="00163957">
        <w:rPr>
          <w:i/>
        </w:rPr>
        <w:t>Marić c. Croacia</w:t>
      </w:r>
      <w:r>
        <w:t xml:space="preserve"> (núm. 50132-2012), resuelto por la STEDH de 12 de junio de 2014, tras un periodo de gestación de nueve meses, médicos de un hospital público asistieron un parto con complicaciones. Como consecuencia de tales complicaciones nació muerto el hijo del demandante y su esposa, quienes optaron por no hacerse cargo de los restos, consintiendo que lo hiciera el hospital. Después solicitaron sin éxito información sobre el lugar del enterramiento. En su demanda, el recurrente razona que las autoridades croatas vulneraron el art. 8 CEDH por privarle de aquella información y que tal vulneración trae causa de que el cuerpo de su hijo no nato fue desechado indebidamente. El Tribunal identifica como “cuestión central” valorar si el hospital estaba autorizado a deshacerse del cuerpo tratándolo como residuo clínico, sin dejar rastro de su paradero (§ 62). Señala que la circunstancia de que el demandante consintiera verbalmente que el hospital se hiciera cargo del enterramiento no significa que aceptara tácitamente que el cuerpo del niño se desechara sin dejar rastro de su paradero, máxime cuando la legislación interna dispone que los cementerios deben llevar un libro de registros de todos los entierros con indicación del lugar en el que se producen (§ 64). Tras citar el asunto </w:t>
      </w:r>
      <w:r w:rsidRPr="00163957">
        <w:rPr>
          <w:i/>
        </w:rPr>
        <w:t>Hadrid-Vionnet</w:t>
      </w:r>
      <w:r>
        <w:t>, declara que debe examinarse en primer lugar si existía una base legal suficiente (§ 67). Observa a este respecto que el Gobierno croata no ha citado legislación aplicable alguna y que, en cualquier caso, entre los “residuos clínicos” cuya eliminación regulan las instrucciones del Ministerio de Sanidad están sólo los fetos de menos de 22 semanas de edad, que claramente no era el caso del hijo nacido muerto del demandante (§§ 68-69). Concluye: “el Tribunal encuentra que la injerencia en el derecho del demandante garantizado por el artículo 8 del Convenio no era conforme a la ley, como requiere esta disposición, por lo que se hace innecesario examinar si la injerencia perseguía un ‘legítimo objetivo’ y si era ‘necesaria para una sociedad democrática’” (§ 71).</w:t>
      </w:r>
    </w:p>
    <w:p w:rsidR="00163957" w:rsidRDefault="00163957" w:rsidP="00163957">
      <w:pPr>
        <w:pStyle w:val="TextoNormal"/>
      </w:pPr>
    </w:p>
    <w:p w:rsidR="00163957" w:rsidRDefault="00163957" w:rsidP="00163957">
      <w:pPr>
        <w:pStyle w:val="TextoNormal"/>
      </w:pPr>
      <w:r w:rsidRPr="00163957">
        <w:rPr>
          <w:rStyle w:val="NumeroAFNegritaCaracter"/>
        </w:rPr>
        <w:t>3</w:t>
      </w:r>
      <w:r>
        <w:t>. A la vista de la doctrina del Tribunal Europeo de Derechos Humanos, que es criterio de interpretación de las normas constitucionales relativas a las libertades y derechos fundamentales (art. 10.2 CE), cabe afirmar que la pretensión de la demandante que da origen a las resoluciones impugnadas se incardina en el ámbito del derecho a la intimidad personal y familiar reconocido en el art. 18.1 CE. Ahora bien, como todo derecho fundamental, también éste admite restricciones que respondan a “un fin constitucionalmente legítimo” y que sean necesarias y adecuadas “para alcanzar dicho objetivo” (por todas, SSTC 62/1982, de 15 de octubre, FFJJ 3, 4 y 5; 175/1997, de 27 de octubre, FJ 4; 49/1999, de 5 de abril, FJ 7, y 64/2001, de 17 de marzo).</w:t>
      </w:r>
    </w:p>
    <w:p w:rsidR="00163957" w:rsidRDefault="00163957" w:rsidP="00163957">
      <w:pPr>
        <w:pStyle w:val="TextoNormal"/>
      </w:pPr>
    </w:p>
    <w:p w:rsidR="00163957" w:rsidRDefault="00163957" w:rsidP="00163957">
      <w:pPr>
        <w:pStyle w:val="TextoNormal"/>
      </w:pPr>
      <w:r>
        <w:t xml:space="preserve">Todo lo anterior se resume en la necesidad de constatar el cumplimiento de cuatro requisitos o condiciones que, según reiterada doctrina, se erigen en canon de control para estos casos: si la medida restrictiva disponía de la correspondiente cobertura legal; si era susceptible de conseguir el objetivo propuesto —es decir, si es idónea o conducente para cumplir los fines pretendidos—; si era necesaria en el sentido de que no existía otra medida más </w:t>
      </w:r>
      <w:r>
        <w:lastRenderedPageBreak/>
        <w:t>moderada para la consecución de tal propósito con igual eficacia y, finalmente, si era proporcionada en sentido estricto, es decir, ponderada o equilibrada “por derivarse de ella más beneficios o ventajas para el interés general que perjuicios sobre otros bienes o valores en conflicto” (STC 66/1995, de 8 de mayo, FJ 5; en el mismo sentido, p.ej., las SSTC 206/2007, de 24 de septiembre, FJ 6; 159/2009, de 29 de junio, FJ 3, o 60/2010, de 7 de octubre, FJ 9, o entre otras).</w:t>
      </w:r>
    </w:p>
    <w:p w:rsidR="00163957" w:rsidRDefault="00163957" w:rsidP="00163957">
      <w:pPr>
        <w:pStyle w:val="TextoNormal"/>
      </w:pPr>
    </w:p>
    <w:p w:rsidR="00163957" w:rsidRDefault="00163957" w:rsidP="00163957">
      <w:pPr>
        <w:pStyle w:val="TextoNormal"/>
      </w:pPr>
      <w:r w:rsidRPr="00163957">
        <w:rPr>
          <w:rStyle w:val="NumeroAFNegritaCaracter"/>
        </w:rPr>
        <w:t>4</w:t>
      </w:r>
      <w:r>
        <w:t>. Hay que empezar por reconocer que los órganos judiciales tropezaban con la dificultad de la falta de una regulación clara en esta materia; no contaban con previsiones específicas que determinaran si puede la Administración hospitalaria entregar por sí los restos humanos sin necesidad de autorización judicial o, en la hipótesis de que sea necesario el permiso judicial de incineración, si éste presupone o no la inscripción en el legajo de criaturas abortivas del Registro civil.</w:t>
      </w:r>
    </w:p>
    <w:p w:rsidR="00163957" w:rsidRDefault="00163957" w:rsidP="00163957">
      <w:pPr>
        <w:pStyle w:val="TextoNormal"/>
      </w:pPr>
    </w:p>
    <w:p w:rsidR="00163957" w:rsidRDefault="00163957" w:rsidP="00163957">
      <w:pPr>
        <w:pStyle w:val="TextoNormal"/>
      </w:pPr>
      <w:r>
        <w:t>Partiendo de la interpretación de que el permiso judicial es preceptivo y de que su obtención presupone la inscripción registral, los Autos impugnados han justificado la imposibilidad de practicar esa inscripción (y, por ende, la de acceder a lo solicitado) en el art. 45 de la Ley del registro civil: “Las personas obligadas a declarar o dar el parte de nacimiento están también obligadas a comunicar en la misma forma el alumbramiento de las criaturas abortivas de más de ciento ochenta días de vida fetal, aproximadamente”. Tanto el Juzgado como la Audiencia Provincial han derivado de la obligación de inscribir criaturas abortivas de más de 180 días, la prohibición de inscribir las de menor tiempo, aunque ello suponga que los padres no puedan asistir a la incineración de su hijo no nato en una ceremonia funeraria íntima o familiar.</w:t>
      </w:r>
    </w:p>
    <w:p w:rsidR="00163957" w:rsidRDefault="00163957" w:rsidP="00163957">
      <w:pPr>
        <w:pStyle w:val="TextoNormal"/>
      </w:pPr>
    </w:p>
    <w:p w:rsidR="00163957" w:rsidRDefault="00163957" w:rsidP="00163957">
      <w:pPr>
        <w:pStyle w:val="TextoNormal"/>
      </w:pPr>
      <w:r>
        <w:t>Sin embargo, de la imposición de un deber de inscripción a partir de un determinado tiempo de gestación no cabe deducir extensivamente la prohibición de entrega para su enterramiento o incineración de criaturas abortivas de menor tiempo: la norma no somete el enterramiento o incineración a las exigencias de permiso judicial e inscripción registral ni impide por sí la anotación de criaturas abortivas de menos de 180 días.</w:t>
      </w:r>
    </w:p>
    <w:p w:rsidR="00163957" w:rsidRDefault="00163957" w:rsidP="00163957">
      <w:pPr>
        <w:pStyle w:val="TextoNormal"/>
      </w:pPr>
    </w:p>
    <w:p w:rsidR="00163957" w:rsidRDefault="00163957" w:rsidP="00163957">
      <w:pPr>
        <w:pStyle w:val="TextoNormal"/>
      </w:pPr>
      <w:r>
        <w:t>Téngase en cuenta que el propio órgano judicial reconoce haber realizado la inscripción y concedido la licencia judicial de enterramiento en otro caso en que tampoco se alcanzaban los 180 días de vida fetal. El Auto de 17 de octubre de 2013 afirma expresamente en su fundamento jurídico primero que no existe aquella prohibición legal de inscripción de criaturas abortivas de menos de 180 días. Sin embargo, en el fundamento jurídico siguiente, suscribe lo contrario.</w:t>
      </w:r>
    </w:p>
    <w:p w:rsidR="00163957" w:rsidRDefault="00163957" w:rsidP="00163957">
      <w:pPr>
        <w:pStyle w:val="TextoNormal"/>
      </w:pPr>
    </w:p>
    <w:p w:rsidR="00163957" w:rsidRDefault="00163957" w:rsidP="00163957">
      <w:pPr>
        <w:pStyle w:val="TextoNormal"/>
      </w:pPr>
      <w:r>
        <w:t>Cabe, pues, concluir que las resoluciones judiciales impugnadas han restringido el derecho a que la vida personal y familiar sea respetada (art. 18.1 CE) sin esgrimir una norma verdaderamente habilitante y, por tanto, sin la suficiente cobertura legal.</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En cualquier caso, de las actuaciones no resulta impedimento alguno de orden público general o sanitario que pudiera justificar la injerencia en el derecho de la demandante a decidir sobre el enterramiento o incineración de su criatura abortiva </w:t>
      </w:r>
      <w:r w:rsidRPr="00163957">
        <w:rPr>
          <w:i/>
        </w:rPr>
        <w:t>ex</w:t>
      </w:r>
      <w:r>
        <w:t xml:space="preserve"> art. 18.1 CE. Antes bien, de ellas se desprende la radical ausencia de riesgos para los bienes jurídicos protegidos a través de la regulación de la interrupción voluntaria del embarazo, por un lado, y de la policía sanitaria mortuoria, por otro.</w:t>
      </w:r>
    </w:p>
    <w:p w:rsidR="00163957" w:rsidRDefault="00163957" w:rsidP="00163957">
      <w:pPr>
        <w:pStyle w:val="TextoNormal"/>
      </w:pPr>
    </w:p>
    <w:p w:rsidR="00163957" w:rsidRDefault="00163957" w:rsidP="00163957">
      <w:pPr>
        <w:pStyle w:val="TextoNormal"/>
      </w:pPr>
      <w:r>
        <w:t>Ante el diagnóstico de polimalformaciones del feto con improbable viabilidad, se practicó la interrupción del embarazo conforme al art. 15 b) de la Ley Orgánica 2/2010, que prevé la posibilidad de interrumpir el embarazo por causas médicas cuando “no se superen las veintidós semanas de gestación y siempre que exista riesgo de graves anomalías en el feto y así conste en un dictamen emitido con anterioridad a la intervención por dos médicos especialistas distintos del que la practique o dirija”. El propio Juzgado afirmó la ausencia de indicio alguno de criminalidad.</w:t>
      </w:r>
    </w:p>
    <w:p w:rsidR="00163957" w:rsidRDefault="00163957" w:rsidP="00163957">
      <w:pPr>
        <w:pStyle w:val="TextoNormal"/>
      </w:pPr>
    </w:p>
    <w:p w:rsidR="00163957" w:rsidRDefault="00163957" w:rsidP="00163957">
      <w:pPr>
        <w:pStyle w:val="TextoNormal"/>
      </w:pPr>
      <w:r>
        <w:t>Por otra parte, de las actuaciones se deriva igualmente la inexistencia de riesgos para la salud pública: constaba incluso un informe médico-forense de la Subdirección de Guipúzcoa del Instituto Vasco de Medicina Legal según el cual “lo que se solicita no tiene ningún impedimento médico-legal ni sanitario” y que “según la ley de Policía Sanitaria Mortuoria vigente en la CCAA [sic] del País Vasco, el destino de todo resto humano y/o cadáver debe ser el enterramiento, la incineración o arrojar los restos al mar”. El propio Juzgado parte de la ausencia de riesgos sanitarios o de otro tipo cuando, sin discutir las conclusiones de aquel informe y admitiendo que la legislación sobre policía sanitaria mortuoria no impediría la entrega, concluye que es una condición legal a la que se siente vinculado, pero que no comparte, lo que conduce a la postre a la denegación. Afirma, literalmente, que “no puede obviarse la aplicación del art. 45 de la Ley del registro civil, que aun sin entender esta juzgadora por qué se establece el límite de 180 días y no otro, es el que está legalmente previsto para inscribir y obtener la pertinente licencia de enterramiento-incineración solicitada”.</w:t>
      </w:r>
    </w:p>
    <w:p w:rsidR="00163957" w:rsidRDefault="00163957" w:rsidP="00163957">
      <w:pPr>
        <w:pStyle w:val="TextoNormal"/>
      </w:pPr>
    </w:p>
    <w:p w:rsidR="00163957" w:rsidRDefault="00163957" w:rsidP="00163957">
      <w:pPr>
        <w:pStyle w:val="TextoNormal"/>
      </w:pPr>
      <w:r>
        <w:t>El análisis de la legislación sobre traslado y tratamiento de cadáveres y restos quirúrgicos manejada por las resoluciones judiciales confirma esta conclusión. El art. 6 del Decreto 2263/1974, de 20 de julio, por el que se aprueba el Reglamento de policía sanitaria mortuoria, dispone, sin perjuicio de lo establecido por la legislación especial vigente sobre obtención de piezas anatómicas para trasplante y utilización de cadáveres para fines científicos y de enseñanza, que el destino final de todo cadáver será uno de los tres siguientes: enterramiento en lugar autorizado, incineración o inmersión en alta mar. Esta disposición resulta aplicable a “los restos humanos de entidad suficiente procedentes de abortos, mutilaciones y operaciones quirúrgicas, sin otro requisito, en el orden sanitario, que el certificado facultativo en que se acredite la causa y procedencia de tales restos”. En esta línea, el Decreto 202/2004, de 19 de octubre, por el que se aprueba el Reglamento de sanidad mortuoria de la Comunidad Autónoma del País Vasco (donde ocurrieron los hechos) —aplicable, según su art. 2, a “toda clase de prácticas sanitarias sobre cadáveres, restos cadavéricos y restos humanos de entidad suficiente, incluyendo los aspectos relativos a su transporte” (noción en la que se incluyen los procedentes de los abortos con entidad suficiente, según su art. 3)—, contempla también el enterramiento o la cremación como destino de los cadáveres y restos humanos que no presenten riesgo sanitario (art. 5.1). Es decir, esta normativa, para proteger la salud pública, no sólo no prohíbe la incineración o enterramiento, sino que la establece como obligatoria.</w:t>
      </w:r>
    </w:p>
    <w:p w:rsidR="00163957" w:rsidRDefault="00163957" w:rsidP="00163957">
      <w:pPr>
        <w:pStyle w:val="TextoNormal"/>
      </w:pPr>
    </w:p>
    <w:p w:rsidR="00163957" w:rsidRDefault="00163957" w:rsidP="00163957">
      <w:pPr>
        <w:pStyle w:val="TextoNormal"/>
      </w:pPr>
      <w:r>
        <w:t>En conclusión, las resoluciones impugnadas han vulnerado el derecho fundamental a la intimidad personal y familiar (art. 18.1 CE) de la actora, por no esgrimir normas que pudieran dar cobertura jurídica suficiente a su decisión e imponer un sacrificio desproporcionado, sin que se vislumbren bienes constitucionales cuya preservación justifique la denegación del permiso de incineración solicitado.</w:t>
      </w:r>
    </w:p>
    <w:p w:rsidR="00163957" w:rsidRDefault="00163957" w:rsidP="00163957">
      <w:pPr>
        <w:pStyle w:val="TextoNormal"/>
      </w:pPr>
    </w:p>
    <w:p w:rsidR="00163957" w:rsidRDefault="00163957" w:rsidP="00163957">
      <w:pPr>
        <w:pStyle w:val="TextoNormal"/>
      </w:pPr>
      <w:r w:rsidRPr="00163957">
        <w:rPr>
          <w:rStyle w:val="NumeroAFNegritaCaracter"/>
        </w:rPr>
        <w:t>6</w:t>
      </w:r>
      <w:r>
        <w:t>. La estimación de este motivo de amparo hace innecesario que nos pronunciemos sobre la pretendida vulneración de los derechos a la libertad ideológica (art. 16.1 CE) y a la igualdad (art. 14 CE).</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doña Nerea Mendicute San Miguel y, en su virtud:</w:t>
      </w:r>
    </w:p>
    <w:p w:rsidR="00163957" w:rsidRDefault="00163957" w:rsidP="00163957">
      <w:pPr>
        <w:pStyle w:val="TextoNormal"/>
      </w:pPr>
    </w:p>
    <w:p w:rsidR="00163957" w:rsidRDefault="00163957" w:rsidP="00163957">
      <w:pPr>
        <w:pStyle w:val="TextoNormal"/>
      </w:pPr>
      <w:r>
        <w:t>1º Declarar que ha sido vulnerado su derecho fundamental a la intimidad personal y familiar (art. 18.1 CE).</w:t>
      </w:r>
    </w:p>
    <w:p w:rsidR="00163957" w:rsidRDefault="00163957" w:rsidP="00163957">
      <w:pPr>
        <w:pStyle w:val="TextoNormal"/>
      </w:pPr>
    </w:p>
    <w:p w:rsidR="00163957" w:rsidRDefault="00163957" w:rsidP="00163957">
      <w:pPr>
        <w:pStyle w:val="TextoNormal"/>
      </w:pPr>
      <w:r>
        <w:t>2º Restablecerla en su derecho y, en consecuencia, anular el Auto del Juzgado de Primera Instancia e Instrucción núm. 1 de Éibar de 17 de octubre de 2013, el Auto del mismo órgano judicial de 12 de noviembre de 2013, que resolvió el recurso de reforma interpuesto contra la resolución anterior, y el Auto de la Audiencia Provincial de Guipúzcoa, Sección Tercera, núm. 295-2013, de 23 de diciembre de 2013, dictado en rollo de apelación núm. 3300-2013.</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uno de febrero de dos mil dieciséis.</w:t>
      </w:r>
    </w:p>
    <w:p w:rsidR="00163957" w:rsidRDefault="00163957" w:rsidP="00163957">
      <w:pPr>
        <w:pStyle w:val="ParrafoNormal"/>
      </w:pPr>
    </w:p>
    <w:p w:rsidR="00163957" w:rsidRDefault="00163957" w:rsidP="00163957">
      <w:pPr>
        <w:pStyle w:val="TextoNormalNegritaCentrado"/>
        <w:keepNext/>
      </w:pPr>
      <w:r>
        <w:t>Voto particular que formula el Presidente, don Francisco Pérez de los Cobos Orihuel, a la Sentencia dictada por la Sala Primera resolviendo el recurso de amparo núm. 533-2014.</w:t>
      </w:r>
    </w:p>
    <w:p w:rsidR="00163957" w:rsidRDefault="00163957" w:rsidP="00163957">
      <w:pPr>
        <w:pStyle w:val="TextoNormalNegritaCentrado"/>
        <w:keepNext/>
      </w:pPr>
    </w:p>
    <w:p w:rsidR="00163957" w:rsidRDefault="00163957" w:rsidP="00163957">
      <w:pPr>
        <w:pStyle w:val="TextoNormal"/>
      </w:pPr>
      <w:r>
        <w:t>Con el debido respeto al parecer mayoritario de la Sala, en uso de la facultad que me atribuye el art. 90.2 de la Ley Orgánica del Tribunal Constitucional, me siento en la obligación de manifestar a través de este Voto particular mi discrepancia con el fallo y la fundamentación jurídica de la Sentencia que ha estimado el presente recurso de amparo.</w:t>
      </w:r>
    </w:p>
    <w:p w:rsidR="00163957" w:rsidRDefault="00163957" w:rsidP="00163957">
      <w:pPr>
        <w:pStyle w:val="TextoNormal"/>
      </w:pPr>
    </w:p>
    <w:p w:rsidR="00163957" w:rsidRDefault="00163957" w:rsidP="00163957">
      <w:pPr>
        <w:pStyle w:val="TextoNormal"/>
      </w:pPr>
      <w:r>
        <w:t>El principal motivo de mi desacuerdo radica en que, a mi entender, la pretensión de la demandante de obtener autorización para incinerar los restos resultantes del aborto padecido no puede ser reconducida al contenido protegido por el derecho a la intimidad personal y familiar reconocido en el art. 18.1 CE.</w:t>
      </w:r>
    </w:p>
    <w:p w:rsidR="00163957" w:rsidRDefault="00163957" w:rsidP="00163957">
      <w:pPr>
        <w:pStyle w:val="TextoNormal"/>
      </w:pPr>
    </w:p>
    <w:p w:rsidR="00163957" w:rsidRDefault="00163957" w:rsidP="00163957">
      <w:pPr>
        <w:pStyle w:val="TextoNormal"/>
      </w:pPr>
      <w:r>
        <w:t xml:space="preserve">A mi modo de ver, el derecho a la intimidad proclamado en el art. 18.1 de nuestro texto constitucional se incluye “dentro del más genérico derecho ‘al respeto de la vida privada y familiar’” proclamado en el art. 8.1 del Convenio europeo para la protección de los derechos humanos y de las libertades fundamentales (SSTC 207/1996, de 16 de diciembre, FJ 4; 233/2005, de 26 de septiembre, FJ 6). Ahora bien, precisamente por la mayor amplitud de </w:t>
      </w:r>
      <w:r>
        <w:lastRenderedPageBreak/>
        <w:t xml:space="preserve">este último, los respectivos ámbitos de protección de uno y otro precepto no resultan totalmente coincidentes. Por lo que se refiere específicamente a la intimidad familiar, así lo ha declarado de manera expresa el Tribunal Constitucional en algunos de sus pronunciamientos, al afirmar que “nuestra Constitución no reconoce un ‘derecho a la vida familiar’ en los mismos términos en que la jurisprudencia del Tribunal Europeo de Derechos Humanos ha interpretado el art. 8.1 CEDH” (SSTC 236/2007, de 7 de noviembre, FJ 11; y 60/2010, de 7 de octubre, FJ 8), y que “es jurisprudencia constitucional reiterada…que el ‘derecho a la vida familiar’ derivado de los arts. 8.1 CEDH y 7 de la Carta de los derechos fundamentales de la Unión Europea no es una de las dimensiones comprendidas en el derecho a la intimidad familiar </w:t>
      </w:r>
      <w:r w:rsidRPr="00163957">
        <w:rPr>
          <w:i/>
        </w:rPr>
        <w:t>ex</w:t>
      </w:r>
      <w:r>
        <w:t xml:space="preserve"> art. 18.1 CE” (STC 186/2013, de 4 de noviembre, FJ 7).</w:t>
      </w:r>
    </w:p>
    <w:p w:rsidR="00163957" w:rsidRDefault="00163957" w:rsidP="00163957">
      <w:pPr>
        <w:pStyle w:val="TextoNormal"/>
      </w:pPr>
    </w:p>
    <w:p w:rsidR="00163957" w:rsidRDefault="00163957" w:rsidP="00163957">
      <w:pPr>
        <w:pStyle w:val="TextoNormal"/>
      </w:pPr>
      <w:r>
        <w:t xml:space="preserve">Estos presupuestos permiten, a mi juicio, concluir que el criterio interpretativo prescrito en el art. 10.2 CE no puede conducir a integrar el contenido del derecho a la intimidad </w:t>
      </w:r>
      <w:r w:rsidRPr="00163957">
        <w:rPr>
          <w:i/>
        </w:rPr>
        <w:t>ex</w:t>
      </w:r>
      <w:r>
        <w:t xml:space="preserve"> art. 18.1 CE mediante una traslación automática e indiscriminada de la doctrina sentada por el Tribunal Europeo de Derechos Humanos en relación con el derecho al respeto de la vida privada y familiar a que hace referencia el art. 8.1 del Convenio de Roma. El art. 10.2 CE ciñe su mandato a los derechos fundamentales y a las libertades “que la Constitución reconoce”, de modo que, como la propia doctrina constitucional ha advertido, no es posible ignorar en su aplicación “las diferencias normativas existentes entre la Constitución Española y el Convenio Europeo de Derechos Humanos” (SSTC 119/2001, de 24 de mayo, FJ 6; 16/2004, de 23 de febrero, FJ 3). Pues bien, en mi opinión, esta exigencia no ha sido observada por la Sentencia de la que discrepo cuando, con apoyo en resoluciones del Tribunal Europeo de Derechos Humanos dictadas en relación con el art. 8.1 del Convenio, sitúa la pretensión de la recurrente dentro del contenido del derecho a la intimidad personal y familiar reconocido en nuestra Constitución, dando así lugar a lo que considero constituye una indebida ampliación del ámbito protegido por el art. 18.1 CE, que no se acomoda a la lectura que de él ha venido haciendo el Tribunal Constitucional (entre otras, SSTC 134/1999, de 15 de julio, FJ 5; 190/2013, de 18 de noviembre, FJ 2).</w:t>
      </w:r>
    </w:p>
    <w:p w:rsidR="00163957" w:rsidRDefault="00163957" w:rsidP="00163957">
      <w:pPr>
        <w:pStyle w:val="TextoNormal"/>
      </w:pPr>
    </w:p>
    <w:p w:rsidR="00163957" w:rsidRDefault="00163957" w:rsidP="00163957">
      <w:pPr>
        <w:pStyle w:val="TextoNormal"/>
      </w:pPr>
      <w:r>
        <w:t xml:space="preserve">Este razonamiento es el que, a mi parecer, determina que en el supuesto enjuiciado no resulte posible apreciar vulneración del art. 18.1 CE, de la misma manera que tampoco entiendo que las resoluciones impugnadas resulten lesivas de los otros dos derechos alegados en la demanda de amparo: ni de la libertad ideológica </w:t>
      </w:r>
      <w:r w:rsidRPr="00163957">
        <w:rPr>
          <w:i/>
        </w:rPr>
        <w:t>ex</w:t>
      </w:r>
      <w:r>
        <w:t xml:space="preserve"> art. 16.1 CE —por no integrarse tampoco la voluntad de la actora en el contenido propio de este derecho—, ni del derecho a la igualdad y no discriminación </w:t>
      </w:r>
      <w:r w:rsidRPr="00163957">
        <w:rPr>
          <w:i/>
        </w:rPr>
        <w:t>ex</w:t>
      </w:r>
      <w:r>
        <w:t xml:space="preserve"> art. 14 CE —por no concurrir los presupuestos exigibles—.</w:t>
      </w:r>
    </w:p>
    <w:p w:rsidR="00163957" w:rsidRDefault="00163957" w:rsidP="00163957">
      <w:pPr>
        <w:pStyle w:val="TextoNormal"/>
      </w:pPr>
    </w:p>
    <w:p w:rsidR="00163957" w:rsidRDefault="00163957" w:rsidP="00163957">
      <w:pPr>
        <w:pStyle w:val="TextoNormal"/>
      </w:pPr>
      <w:r>
        <w:t>En definitiva, por respetable y comprensible que pueda resultar la pretensión de la demandante, y por más que su solicitud pudiera encontrar conexión con otros preceptos constitucionales, la argumentación expuesta me lleva a concluir que la inexistencia de lesión de los derechos fundamentales invocados debió conducir en su momento a la inadmisión del recurso de amparo, y ahora en fase de sentencia, a su desestimación.</w:t>
      </w:r>
    </w:p>
    <w:p w:rsidR="00163957" w:rsidRDefault="00163957" w:rsidP="00163957">
      <w:pPr>
        <w:pStyle w:val="TextoNormal"/>
      </w:pPr>
    </w:p>
    <w:p w:rsidR="00163957" w:rsidRDefault="00163957" w:rsidP="00163957">
      <w:pPr>
        <w:pStyle w:val="TextoNormal"/>
      </w:pPr>
      <w:r>
        <w:t>Madrid, a uno de febrero de dos mil dieciséis.</w:t>
      </w:r>
    </w:p>
    <w:p w:rsidR="00163957" w:rsidRDefault="00163957" w:rsidP="00163957">
      <w:pPr>
        <w:pStyle w:val="TextoNormal"/>
      </w:pPr>
    </w:p>
    <w:p w:rsidR="00163957" w:rsidRDefault="00163957" w:rsidP="00163957">
      <w:pPr>
        <w:pStyle w:val="TextoNormalNegritaCentrado"/>
        <w:keepNext/>
      </w:pPr>
      <w:r>
        <w:lastRenderedPageBreak/>
        <w:t>Voto particular concurrente que formula el Magistrado don Andrés Ollero Tassara en relación con la Sentencia de la Sala Primera de 1 de febrero de 2016 dictada en el recurso de amparo núm. 533-2014.</w:t>
      </w:r>
    </w:p>
    <w:p w:rsidR="00163957" w:rsidRDefault="00163957" w:rsidP="00163957">
      <w:pPr>
        <w:pStyle w:val="TextoNormalNegritaCentrado"/>
        <w:keepNext/>
      </w:pPr>
    </w:p>
    <w:p w:rsidR="00163957" w:rsidRDefault="00163957" w:rsidP="00163957">
      <w:pPr>
        <w:pStyle w:val="TextoNormal"/>
      </w:pPr>
      <w:r>
        <w:t>Comparto la decisión mayoritaria de amparar a la vulnerada recurrente, tras haber tenido el honor de expresar como Ponente el parecer del Tribunal. Discrepo sin embargo de la fundamentación del fallo, resultado de una amplia deliberación. De ahí que, en ejercicio de la facultad conferida por el art. 90.2 de la Ley Orgánica del Tribunal Constitucional , formule Voto particular concurrente respecto de la Sentencia citada en el encabezamiento, por las razones siguientes.</w:t>
      </w:r>
    </w:p>
    <w:p w:rsidR="00163957" w:rsidRDefault="00163957" w:rsidP="00163957">
      <w:pPr>
        <w:pStyle w:val="TextoNormal"/>
      </w:pPr>
    </w:p>
    <w:p w:rsidR="00163957" w:rsidRDefault="00163957" w:rsidP="00163957">
      <w:pPr>
        <w:pStyle w:val="TextoNormal"/>
      </w:pPr>
      <w:r>
        <w:t>1. Como se desprende de los antecedentes recogidos en el texto de la Sentencia, la recurrente centra su demanda en la vulneración de su libertad ideológica (art. 16.1 CE), que considera fruto de una desigualdad de trato (art. 14 CE) con incidencia en su derecho a la intimidad familiar (art. 18.1 CE).</w:t>
      </w:r>
    </w:p>
    <w:p w:rsidR="00163957" w:rsidRDefault="00163957" w:rsidP="00163957">
      <w:pPr>
        <w:pStyle w:val="TextoNormal"/>
      </w:pPr>
    </w:p>
    <w:p w:rsidR="00163957" w:rsidRDefault="00163957" w:rsidP="00163957">
      <w:pPr>
        <w:pStyle w:val="TextoNormal"/>
      </w:pPr>
      <w:r>
        <w:t>El fallo de la Sentencia, sin embargo, apunta a la discutida vulneración del último de estos derechos ahorrándose todo argumento a la hora de descartar el principal motivo de impugnación de las resoluciones que niegan a la recurrente la posibilidad ver satisfecha su demanda: que se le entregue el feto fruto de su embarazo. Queda así sin respuesta la sorprendente argumentación del órgano judicial al que se dirigió, que considera que el caso es sustancialmente diverso de otro anterior de cuya solución se aparta.</w:t>
      </w:r>
    </w:p>
    <w:p w:rsidR="00163957" w:rsidRDefault="00163957" w:rsidP="00163957">
      <w:pPr>
        <w:pStyle w:val="TextoNormal"/>
      </w:pPr>
    </w:p>
    <w:p w:rsidR="00163957" w:rsidRDefault="00163957" w:rsidP="00163957">
      <w:pPr>
        <w:pStyle w:val="TextoNormal"/>
      </w:pPr>
      <w:r>
        <w:t>2. El primero de los dos motivos aducidos por el órgano judicial para justificar su negativa es que el feto, cuya entrega la recurrente reclama, ha sido objeto de un aborto programado con su consentimiento tras diagnosticarse polimalformaciones con hallazgos sugestivos de cromosomopatía, de improbable viabilidad. En el caso anterior, que considera tan “sensiblemente distinto” como para fundamentar una desigualdad de trato, la interrupción del embarazo fue consecuencia de un aborto espontáneo.</w:t>
      </w:r>
    </w:p>
    <w:p w:rsidR="00163957" w:rsidRDefault="00163957" w:rsidP="00163957">
      <w:pPr>
        <w:pStyle w:val="TextoNormal"/>
      </w:pPr>
    </w:p>
    <w:p w:rsidR="00163957" w:rsidRDefault="00163957" w:rsidP="00163957">
      <w:pPr>
        <w:pStyle w:val="TextoNormal"/>
      </w:pPr>
      <w:r>
        <w:t xml:space="preserve">Sea cual sea la valoración que —por motivos morales o religiosos— la primera circunstancia merezca, queda fuera de toda duda que el tratamiento legal en vigor considera ambas conductas jurídicamente equiparables; por más que la primera fuera fortuita y la segunda expresiva de un </w:t>
      </w:r>
      <w:r w:rsidRPr="00163957">
        <w:rPr>
          <w:i/>
        </w:rPr>
        <w:t>agere licere</w:t>
      </w:r>
      <w:r>
        <w:t>, aunque no llegara a implicar el ejercicio de un derecho. La recurrente solicitaba autorización judicial para “despedirse del feto con su pareja” y para “poder incinerarlo”, “en una ceremonia de carácter civil y familiar”. Dado que en ninguno de los dos casos se cumplían las condiciones que obligarían a una inscripción registral (ciento ochenta días de gestación), ni las fijadas por un protocolo sanitario de problemática relevancia (500 gramos de peso), no hay motivo que justifique la diferencia de trato que llevó al órgano judicial a ordenar la entrega del feto a la primera madre y negarlo a la ahora recurrente, impidiendo su legítimo deseo de tratarlo como hijo dándole “digna sepultura a su creación física y espiritual”.</w:t>
      </w:r>
    </w:p>
    <w:p w:rsidR="00163957" w:rsidRDefault="00163957" w:rsidP="00163957">
      <w:pPr>
        <w:pStyle w:val="TextoNormal"/>
      </w:pPr>
    </w:p>
    <w:p w:rsidR="00163957" w:rsidRDefault="00163957" w:rsidP="00163957">
      <w:pPr>
        <w:pStyle w:val="TextoNormal"/>
      </w:pPr>
      <w:r>
        <w:t xml:space="preserve">3. El segundo de los motivos reconocido por el órgano judicial, de especial transcendencia constitucional, es el que sin duda constituye el centro de la polémica situación, pese a que la Sentencia opte por ignorarlo. Se satisface pues en el primer caso la entrega del feto a solicitud de la madre, porque esta se confiesa vinculada a la religión musulmana, lo que le </w:t>
      </w:r>
      <w:r>
        <w:lastRenderedPageBreak/>
        <w:t>lleva a oponerse a la incineración del fruto de su vientre por considerar obligado darle sepultura en la tierra. Se le niega sin embargo trato similar a la recurrente, porque la solicitante no “invoca religión católica alguna, ni solicitarlo por motivos religiosos”; lo que le lleva a constatar que no se respetan “de igual modo los valores y creencias (religiosas o no)” que le mueven, generando una desigualdad de trato carente de fundamento objetivo y razonable con resultado discriminatorio.</w:t>
      </w:r>
    </w:p>
    <w:p w:rsidR="00163957" w:rsidRDefault="00163957" w:rsidP="00163957">
      <w:pPr>
        <w:pStyle w:val="TextoNormal"/>
      </w:pPr>
    </w:p>
    <w:p w:rsidR="00163957" w:rsidRDefault="00163957" w:rsidP="00163957">
      <w:pPr>
        <w:pStyle w:val="TextoNormal"/>
      </w:pPr>
      <w:r>
        <w:t>No falta precedente en la doctrina del Tribunal que avala dicha conclusión. Ya desde la Sentencia 15/1982 de 23 de abril, en su FJ 7, se rechaza la negativa a reconocer la condición de objetor al servicio militar a un ciudadano por no constar motivaciones religiosas en la fundamentación ética de su actitud. Tanto aquel caso como el ahora resuelto pueden producir cierta sorpresa, ya que suele transcender con más frecuencia —como fruto de querencias laicistas ajenas a nuestro texto constitucional— desigualdades de trato a motivos religiosos respecto a los ideológicos, pese a estar ambos claramente equiparados en el primer epígrafe del art. 16 CE.</w:t>
      </w:r>
    </w:p>
    <w:p w:rsidR="00163957" w:rsidRDefault="00163957" w:rsidP="00163957">
      <w:pPr>
        <w:pStyle w:val="TextoNormal"/>
      </w:pPr>
    </w:p>
    <w:p w:rsidR="00163957" w:rsidRDefault="00163957" w:rsidP="00163957">
      <w:pPr>
        <w:pStyle w:val="TextoNormal"/>
      </w:pPr>
      <w:r>
        <w:t>No deja de resultar llamativa la aparente dificultad para conceder amparo a los derechos y libertades relacionados con la conciencia personal, que he tenido ya ocasión de detectar en anteriores Votos particulares. Ello me lleva a pensar que el Tribunal ha desaprovechado una clara oportunidad de resaltar el obligado respeto a convicciones personales que —se compartan y consideren coherentes o no— respetan el ordenamiento legal y no afectan al orden público, único límite aceptado por el art. 16.1 CE.</w:t>
      </w:r>
    </w:p>
    <w:p w:rsidR="00163957" w:rsidRDefault="00163957" w:rsidP="00163957">
      <w:pPr>
        <w:pStyle w:val="TextoNormal"/>
      </w:pPr>
    </w:p>
    <w:p w:rsidR="00163957" w:rsidRDefault="00163957" w:rsidP="00163957">
      <w:pPr>
        <w:pStyle w:val="TextoNormal"/>
      </w:pPr>
      <w:r>
        <w:t>4. Marginada por la Sentencia la posible vulneración de la libertad ideológica, sería la del derecho a la igualdad la que pasa a reclamar primordial atención. No ha ocurrido tampoco así, lo que no deja de resultar razonable por doble motivo. Por una parte, ante la dificultad de aplicar al caso la doctrina del Tribunal sobre igualdad en la aplicación de la ley, al explicitar el órgano judicial con nitidez el cambio de criterio adoptado. Por otra, dada la imposibilidad de aludir a la desigualdad de trato sin proyectar a la vez luz sobre la libertad ideológica, cuya consideración se ha optado por rehuir.</w:t>
      </w:r>
    </w:p>
    <w:p w:rsidR="00163957" w:rsidRDefault="00163957" w:rsidP="00163957">
      <w:pPr>
        <w:pStyle w:val="TextoNormal"/>
      </w:pPr>
    </w:p>
    <w:p w:rsidR="00163957" w:rsidRDefault="00163957" w:rsidP="00163957">
      <w:pPr>
        <w:pStyle w:val="TextoNormal"/>
      </w:pPr>
      <w:r>
        <w:t xml:space="preserve">5. No quedaba pues ya otra vía para otorgar amparo que la apelación —como criterio interpretativo </w:t>
      </w:r>
      <w:r w:rsidRPr="00163957">
        <w:rPr>
          <w:i/>
        </w:rPr>
        <w:t>ex</w:t>
      </w:r>
      <w:r>
        <w:t xml:space="preserve"> art. 10.2— al art. 8 del Convenio de Roma; remisión no exenta por lo demás de dificultades, al ser constante la doctrina del Tribunal sobre el art. 18.1 CE, en la que se le ha reconocido reiteradamente (por todas STC 186/2013, de 4 de noviembre) alcance menor que el conferido por el Tribunal de Estrasburgo al paralelo artículo del citado convenio.</w:t>
      </w:r>
    </w:p>
    <w:p w:rsidR="00163957" w:rsidRDefault="00163957" w:rsidP="00163957">
      <w:pPr>
        <w:pStyle w:val="TextoNormal"/>
      </w:pPr>
    </w:p>
    <w:p w:rsidR="00163957" w:rsidRDefault="00163957" w:rsidP="00163957">
      <w:pPr>
        <w:pStyle w:val="TextoNormal"/>
      </w:pPr>
      <w:r>
        <w:t>Por todo ello emito mi Voto particular concurrente.</w:t>
      </w:r>
    </w:p>
    <w:p w:rsidR="00163957" w:rsidRDefault="00163957" w:rsidP="00163957">
      <w:pPr>
        <w:pStyle w:val="TextoNormal"/>
      </w:pPr>
    </w:p>
    <w:p w:rsidR="00163957" w:rsidRDefault="00163957" w:rsidP="00163957">
      <w:pPr>
        <w:pStyle w:val="TextoNormal"/>
      </w:pPr>
      <w:r>
        <w:t>Madrid, a uno de febrero de dos mil dieciséis.</w:t>
      </w:r>
    </w:p>
    <w:p w:rsidR="00163957" w:rsidRDefault="00163957" w:rsidP="00163957">
      <w:pPr>
        <w:pStyle w:val="TextoNormal"/>
      </w:pPr>
    </w:p>
    <w:p w:rsidR="00163957" w:rsidRDefault="00163957" w:rsidP="00163957">
      <w:pPr>
        <w:pStyle w:val="TextoNormalNegritaCentrado"/>
        <w:keepNext/>
      </w:pPr>
      <w:r>
        <w:t>Voto particular que formula la Magistrada doña Encarnación Roca Trias a la Sentencia dictada en el recurso de amparo núm. 533-2014.</w:t>
      </w:r>
    </w:p>
    <w:p w:rsidR="00163957" w:rsidRDefault="00163957" w:rsidP="00163957">
      <w:pPr>
        <w:pStyle w:val="TextoNormalNegritaCentrado"/>
        <w:keepNext/>
      </w:pPr>
    </w:p>
    <w:p w:rsidR="00163957" w:rsidRDefault="00163957" w:rsidP="00163957">
      <w:pPr>
        <w:pStyle w:val="TextoNormal"/>
      </w:pPr>
      <w:r>
        <w:t>En ejercicio de la facultad que me confiere el art. 90.2 de la Ley Orgánica del Tribunal Constitucional (LOTC) y con pleno respeto a la opinión de la mayoría de la Sala, expreso mi discrepancia con la Sentencia.</w:t>
      </w:r>
    </w:p>
    <w:p w:rsidR="00163957" w:rsidRDefault="00163957" w:rsidP="00163957">
      <w:pPr>
        <w:pStyle w:val="TextoNormal"/>
      </w:pPr>
    </w:p>
    <w:p w:rsidR="00163957" w:rsidRDefault="00163957" w:rsidP="00163957">
      <w:pPr>
        <w:pStyle w:val="TextoNormal"/>
      </w:pPr>
      <w:r>
        <w:t>1. A los efectos de la mejor comprensión de la argumentación de este Voto disidente, debo hacer un breve resumen de los hechos que dan lugar a este recurso de amparo.</w:t>
      </w:r>
    </w:p>
    <w:p w:rsidR="00163957" w:rsidRDefault="00163957" w:rsidP="00163957">
      <w:pPr>
        <w:pStyle w:val="TextoNormal"/>
      </w:pPr>
    </w:p>
    <w:p w:rsidR="00163957" w:rsidRDefault="00163957" w:rsidP="00163957">
      <w:pPr>
        <w:pStyle w:val="TextoNormal"/>
      </w:pPr>
      <w:r>
        <w:t>a) Doña Nerea Mendicute se sometió a una interrupción voluntaria legal del embarazo, consecuencia de las malformaciones que afectaban al feto. En aquel momento se hallaba en las 22 semanas de la gestación.</w:t>
      </w:r>
    </w:p>
    <w:p w:rsidR="00163957" w:rsidRDefault="00163957" w:rsidP="00163957">
      <w:pPr>
        <w:pStyle w:val="TextoNormal"/>
      </w:pPr>
    </w:p>
    <w:p w:rsidR="00163957" w:rsidRDefault="00163957" w:rsidP="00163957">
      <w:pPr>
        <w:pStyle w:val="TextoNormal"/>
      </w:pPr>
      <w:r>
        <w:t>b) Pidió que se le entregaran los restos para poder incinerar el feto abortado y poder despedirlo en una ceremonia íntima. No consta la religión de la demandante.</w:t>
      </w:r>
    </w:p>
    <w:p w:rsidR="00163957" w:rsidRDefault="00163957" w:rsidP="00163957">
      <w:pPr>
        <w:pStyle w:val="TextoNormal"/>
      </w:pPr>
    </w:p>
    <w:p w:rsidR="00163957" w:rsidRDefault="00163957" w:rsidP="00163957">
      <w:pPr>
        <w:pStyle w:val="TextoNormal"/>
      </w:pPr>
      <w:r>
        <w:t>c) Por auto de fecha 17 de octubre de 2013, rectificado el 21 de octubre, se resuelve negativamente la petición con los argumentos que figuran en los antecedentes de la Sentencia. Es también rechazado por un posterior recurso de reforma. En éste, la Juez alega un caso anterior ocurrido con una mujer musulmana a la que entregó el producto del aborto debido a su religión, que impide la incineración.</w:t>
      </w:r>
    </w:p>
    <w:p w:rsidR="00163957" w:rsidRDefault="00163957" w:rsidP="00163957">
      <w:pPr>
        <w:pStyle w:val="TextoNormal"/>
      </w:pPr>
    </w:p>
    <w:p w:rsidR="00163957" w:rsidRDefault="00163957" w:rsidP="00163957">
      <w:pPr>
        <w:pStyle w:val="TextoNormal"/>
      </w:pPr>
      <w:r>
        <w:t>d) Apelado dicho auto, es desestimado por Auto de 23 de diciembre de 2013 de la Sección Tercera de la Audiencia Provincial de Guipúzcoa.</w:t>
      </w:r>
    </w:p>
    <w:p w:rsidR="00163957" w:rsidRDefault="00163957" w:rsidP="00163957">
      <w:pPr>
        <w:pStyle w:val="TextoNormal"/>
      </w:pPr>
    </w:p>
    <w:p w:rsidR="00163957" w:rsidRDefault="00163957" w:rsidP="00163957">
      <w:pPr>
        <w:pStyle w:val="TextoNormal"/>
      </w:pPr>
      <w:r>
        <w:t>Contra esta decisión plantea la recurrente el presente recurso de amparo, por vulneración de los derechos fundamentales a la libertad ideológica (art. 16.1 CE), a la intimidad familiar (art. 18.1 CE) y a la igualdad (art. 14 CE). El recurso es estimado en la Sentencia cuyo fallo y motivación, respetuosamente, no comparto.</w:t>
      </w:r>
    </w:p>
    <w:p w:rsidR="00163957" w:rsidRDefault="00163957" w:rsidP="00163957">
      <w:pPr>
        <w:pStyle w:val="TextoNormal"/>
      </w:pPr>
    </w:p>
    <w:p w:rsidR="00163957" w:rsidRDefault="00163957" w:rsidP="00163957">
      <w:pPr>
        <w:pStyle w:val="TextoNormal"/>
      </w:pPr>
      <w:r>
        <w:t>La razón radica fundamentalmente en que, tal y como expuse en la deliberación de la Sala, con la aprobación de esta Sentencia se ha dotado de un nuevo contenido constitucional al art. 18.1 CE, sin el necesario respaldo legal ni jurisprudencial mínimamente exigible y sin medir, además, las consecuencias legales que de este reconocimiento se pueden derivar.</w:t>
      </w:r>
    </w:p>
    <w:p w:rsidR="00163957" w:rsidRDefault="00163957" w:rsidP="00163957">
      <w:pPr>
        <w:pStyle w:val="TextoNormal"/>
      </w:pPr>
    </w:p>
    <w:p w:rsidR="00163957" w:rsidRDefault="00163957" w:rsidP="00163957">
      <w:pPr>
        <w:pStyle w:val="TextoNormal"/>
      </w:pPr>
      <w:r>
        <w:t>2. Para llegar a las anteriores conclusiones que van a dar lugar a la estimación del recurso, la argumentación de la presente sentencia se apoya en la jurisprudencia del Tribunal Europeo de Derechos Humanos de forma prácticamente exclusiva, al entender que no existen precedentes sobre casos semejantes en la doctrina del Tribunal.</w:t>
      </w:r>
    </w:p>
    <w:p w:rsidR="00163957" w:rsidRDefault="00163957" w:rsidP="00163957">
      <w:pPr>
        <w:pStyle w:val="TextoNormal"/>
      </w:pPr>
    </w:p>
    <w:p w:rsidR="00163957" w:rsidRDefault="00163957" w:rsidP="00163957">
      <w:pPr>
        <w:pStyle w:val="TextoNormal"/>
      </w:pPr>
      <w:r>
        <w:t xml:space="preserve">(i) En primer lugar, en el fundamento jurídico 3 de la Sentencia se citan los siguientes casos: </w:t>
      </w:r>
      <w:r w:rsidRPr="00163957">
        <w:rPr>
          <w:i/>
        </w:rPr>
        <w:t>Sabanchiyeva y otros c. Rusia</w:t>
      </w:r>
      <w:r>
        <w:t xml:space="preserve"> (núm. 38450-2005, STEDH de 6 de junio de 2013), </w:t>
      </w:r>
      <w:r w:rsidRPr="00163957">
        <w:rPr>
          <w:i/>
        </w:rPr>
        <w:t>Maskhadova y otros c. Rusia</w:t>
      </w:r>
      <w:r>
        <w:t xml:space="preserve"> (núm. 8071-2005, STEDH también de 6 de junio de 2013) y </w:t>
      </w:r>
      <w:r w:rsidRPr="00163957">
        <w:rPr>
          <w:i/>
        </w:rPr>
        <w:t>Abdulayeva c. Rusia</w:t>
      </w:r>
      <w:r>
        <w:t xml:space="preserve"> (núm. 8552-2005, STEDH de 16 de enero de 2014), en los que se invocó concurrentemente “la lesión del derecho a la libertad de pensamiento y de conciencia [art. 9 del Convenio europeo para la protección de los derechos humanos y de las libertades fundamentales (CEDH)] —equivalente al establecido en el art. 16.1 CE—, si bien el Tribunal Europeo de Derechos Humanos no halló razones para hacer un examen separado de ambas lesiones (</w:t>
      </w:r>
      <w:r w:rsidRPr="00163957">
        <w:rPr>
          <w:i/>
        </w:rPr>
        <w:t>Abdulayeva c. Rusia, § 60; Sabanchiyeva y otros c. Rusia</w:t>
      </w:r>
      <w:r>
        <w:t xml:space="preserve">, §§ 157 y 158; y </w:t>
      </w:r>
      <w:r w:rsidRPr="00163957">
        <w:rPr>
          <w:i/>
        </w:rPr>
        <w:t>Maskhadova y otros c. Rusia</w:t>
      </w:r>
      <w:r>
        <w:t>, §§ 248 y 249)”. También se alegan las sentencias “</w:t>
      </w:r>
      <w:r w:rsidRPr="00163957">
        <w:rPr>
          <w:i/>
        </w:rPr>
        <w:t>Girard c. Francia</w:t>
      </w:r>
      <w:r>
        <w:t xml:space="preserve"> (núm. 22590-2004, STEDH de 30 de junio de 2011) y </w:t>
      </w:r>
      <w:r w:rsidRPr="00163957">
        <w:rPr>
          <w:i/>
        </w:rPr>
        <w:t>Pannullo y Forte c. Francia</w:t>
      </w:r>
      <w:r>
        <w:t xml:space="preserve"> (núm. 37794-1997, STEDH de 30 de enero de 2002) —o el rechazo a entregar a la esposa la urna con las cenizas de su esposo— asunto </w:t>
      </w:r>
      <w:r w:rsidRPr="00163957">
        <w:rPr>
          <w:i/>
        </w:rPr>
        <w:t>Elli Poluhas Dödsbo c. Suecia</w:t>
      </w:r>
      <w:r>
        <w:t xml:space="preserve"> (núm. 61564-</w:t>
      </w:r>
      <w:r>
        <w:lastRenderedPageBreak/>
        <w:t>2000, STEDH de 17 de enero de 2006)”. Mi discrepancia en este primer bloque de citas se basa en que el supuesto de hecho sobre los que tuvo que pronunciarse el Tribunal Europeo de Derechos Humanos era diferente, al tratarse de la entrega de cadáveres, es decir, personas muertas, por lo que y para proteger la dignidad personal, están habilitados sus familiares para reclamar sus restos mortales, lo que no ocurre con los fetos fallecidos antes del nacimiento, porque aún no han adquirido personalidad, de acuerdo con lo declarado en las SSTC 35/1985, 212/1996 y 116/1999.</w:t>
      </w:r>
    </w:p>
    <w:p w:rsidR="00163957" w:rsidRDefault="00163957" w:rsidP="00163957">
      <w:pPr>
        <w:pStyle w:val="TextoNormal"/>
      </w:pPr>
    </w:p>
    <w:p w:rsidR="00163957" w:rsidRDefault="00163957" w:rsidP="00163957">
      <w:pPr>
        <w:pStyle w:val="TextoNormal"/>
      </w:pPr>
      <w:r>
        <w:t>Por estas razones, deberían haberse obviado las citas de estas Sentencias.</w:t>
      </w:r>
    </w:p>
    <w:p w:rsidR="00163957" w:rsidRDefault="00163957" w:rsidP="00163957">
      <w:pPr>
        <w:pStyle w:val="TextoNormal"/>
      </w:pPr>
    </w:p>
    <w:p w:rsidR="00163957" w:rsidRDefault="00163957" w:rsidP="00163957">
      <w:pPr>
        <w:pStyle w:val="TextoNormal"/>
      </w:pPr>
      <w:r>
        <w:t xml:space="preserve">(ii) En segundo lugar, la presente Sentencia basa su argumentación para reconocer la existencia en España de un derecho a la intimidad familiar en el sentido del art. 8.1 CEDH, en las SSTEDH asuntos </w:t>
      </w:r>
      <w:r w:rsidRPr="00163957">
        <w:rPr>
          <w:i/>
        </w:rPr>
        <w:t>Hadri-Vionnet c. Suiza</w:t>
      </w:r>
      <w:r>
        <w:t xml:space="preserve"> (núm 55525-2000, de 14 de febrero de 2008) y </w:t>
      </w:r>
      <w:r w:rsidRPr="00163957">
        <w:rPr>
          <w:i/>
        </w:rPr>
        <w:t>Marić c. Croacia</w:t>
      </w:r>
      <w:r>
        <w:t xml:space="preserve"> (núm 50132-2012, de 12 de junio de 2014), con una interpretación voluntarista de las mismas. Es cierto que, como en el presente recurso, ambas resoluciones se refieren a concebidos con diferentes periodos de desarrollo gestacional, pero la </w:t>
      </w:r>
      <w:r w:rsidRPr="00163957">
        <w:rPr>
          <w:i/>
        </w:rPr>
        <w:t>ratio decidendi</w:t>
      </w:r>
      <w:r>
        <w:t xml:space="preserve"> no puede trasladarse sólo por ello, automáticamente, al presente caso.</w:t>
      </w:r>
    </w:p>
    <w:p w:rsidR="00163957" w:rsidRDefault="00163957" w:rsidP="00163957">
      <w:pPr>
        <w:pStyle w:val="TextoNormal"/>
      </w:pPr>
    </w:p>
    <w:p w:rsidR="00163957" w:rsidRDefault="00163957" w:rsidP="00163957">
      <w:pPr>
        <w:pStyle w:val="TextoNormal"/>
      </w:pPr>
      <w:r>
        <w:t xml:space="preserve">En el asunto </w:t>
      </w:r>
      <w:r w:rsidRPr="00163957">
        <w:rPr>
          <w:i/>
        </w:rPr>
        <w:t>Hadri-Vionnet c. Suiza</w:t>
      </w:r>
      <w:r>
        <w:t xml:space="preserve">, el Tribunal Europeo de Derechos Humanos apreció la vulneración del art. 8 CEDH, porque consideró que la injerencia en el derecho a la vida privada y familiar se produjo por el incumplimiento, por parte de la Administración, de una norma legal vigente y clara relativa al tratamiento de estos restos. En concreto, la decisión de la Administración de proceder al enterramiento del hijo de la demandante, que tras 26 semanas de gestión, nació muerto, y ello sin comunicárselo a los padres, y, además, trasladar sus restos en un vehículo de transporte comercial (§ 61). Por su parte, la STEDH </w:t>
      </w:r>
      <w:r w:rsidRPr="00163957">
        <w:rPr>
          <w:i/>
        </w:rPr>
        <w:t>Marić c. Croacia</w:t>
      </w:r>
      <w:r>
        <w:t>, tras citar la mencionada, concluyó, en el mismo sentido, que la injerencia consistente en este caso en deshacerse del cuerpo del concebido como residuo clínico sin dejar rastro de los restos o de su paradero, se produjo como consecuencia de no haber actuado la Administración conforme a la ley, como requiere el art. 8 CEDH, dado que las instrucciones del Ministerio de Sanidad sobre eliminación de residuos clínicos y las ordenanzas sobre las medidas de prevención y lucha contra infecciones hospitalarias, sólo se referían a fetos de hasta 22 semanas de gestión, y claramente no era el supuesto del demandante (§ 69).</w:t>
      </w:r>
    </w:p>
    <w:p w:rsidR="00163957" w:rsidRDefault="00163957" w:rsidP="00163957">
      <w:pPr>
        <w:pStyle w:val="TextoNormal"/>
      </w:pPr>
    </w:p>
    <w:p w:rsidR="00163957" w:rsidRDefault="00163957" w:rsidP="00163957">
      <w:pPr>
        <w:pStyle w:val="TextoNormal"/>
      </w:pPr>
      <w:r>
        <w:t>Basta la simple lectura de las resoluciones judiciales impugnadas, para constatar que no nos encontramos ante la misma situación. La Sentencia, de la que discrepo, aplica, sin embargo, los argumentos del Tribunal Europeo de Derechos Humanos y equipara el incumplimiento de una norma legal (como la suiza o la croata), al que dice que, en el caso español, es una “falta de una regulación clara en esta materia”. Tal equiparación le lleva a concluir que “las resoluciones judiciales impugnadas han restringido el derecho a que la vida personal y familiar sea respetada (art. 18.1 CE)”, pues no existe una norma verdaderamente habilitante y, por tanto, la jueza no contaba con la suficiente cobertura legal (FJ 4).</w:t>
      </w:r>
    </w:p>
    <w:p w:rsidR="00163957" w:rsidRDefault="00163957" w:rsidP="00163957">
      <w:pPr>
        <w:pStyle w:val="TextoNormal"/>
      </w:pPr>
    </w:p>
    <w:p w:rsidR="00163957" w:rsidRDefault="00163957" w:rsidP="00163957">
      <w:pPr>
        <w:pStyle w:val="TextoNormal"/>
      </w:pPr>
      <w:r>
        <w:t xml:space="preserve">Parece insuficiente y arriesgado decidir que a la recurrente se le había violado un derecho que, en realidad se instituye de nuevo a partir de una lectura del art. 18.1 CE, con base únicamente en la existencia de las dos resoluciones del Tribunal Europeo de Derechos Humanos —asuntos </w:t>
      </w:r>
      <w:r w:rsidRPr="00163957">
        <w:rPr>
          <w:i/>
        </w:rPr>
        <w:t>Hadri-Vionnet c. Suiza y Maric c. Croacia</w:t>
      </w:r>
      <w:r>
        <w:t xml:space="preserve">, que constatan la vulneración del art. 8 CEDH, derecho a la vida privada y familiar por el incumplimiento de la normativa suiza y la croata, respectivamente. A diferencia de la española, las Constituciones de los </w:t>
      </w:r>
      <w:r>
        <w:lastRenderedPageBreak/>
        <w:t>citados Estados reconocen, expresamente el derecho al respeto a la vida familiar (arts. 13 y 35, respectivamente). Echo de menos, por tanto una construcción sobre el encaje constitucional de este “nuevo” derecho derivado del art. 8 CEDH, pero no incluido en el art. 18.1 CE, construcción en la que hubieran debido tener en cuenta, al menos, las diferencias jurídicas entre conceptos tan distintos como los implicados: “resto quirúrgico”, "feto”, “hijo no nato”, “mortinato” o “hijo nacido muerto”, “alumbramiento”, “nacimiento”. A mi juicio, se hacía imprescindible, una valoración de todas ellas en relación con su posible integración en el concepto de intimidad privada y familiar protegido por el art. 18.1 CE. Según el apartado 2 del art. 8 CEDH no podrá haber injerencia de la autoridad pública en el ejercicio del derecho al respeto de la vida privada y familiar, de su domicilio y correspondencia, “sino en tanto en cuanto esta injerencia esté prevista por la ley y constituya una medida que, en una sociedad democrática, sea necesaria para la seguridad nacional, la seguridad pública, el bienestar económico del país, la defensa del orden y la prevención del delito, la protección de la salud o de la moral, o la protección de los derechos y las libertades de los demás”. En aplicación de tal norma, el Tribunal Europeo de Derechos Humanos tan solo constató formalmente en los casos citados la existencia de la injerencia para, una vez superado el trámite de admisión, analizar si existía o no la lesión del derecho, de conformidad con la normativa citada, concluyendo que la violación de las normas de derecho positivo que desarrollaban el derecho a la intimidad familiar en los respectivos países, había producido la lesión de dicho derecho.</w:t>
      </w:r>
    </w:p>
    <w:p w:rsidR="00163957" w:rsidRDefault="00163957" w:rsidP="00163957">
      <w:pPr>
        <w:pStyle w:val="TextoNormal"/>
      </w:pPr>
    </w:p>
    <w:p w:rsidR="00163957" w:rsidRDefault="00163957" w:rsidP="00163957">
      <w:pPr>
        <w:pStyle w:val="TextoNormal"/>
      </w:pPr>
      <w:r>
        <w:t>Si en España el derecho no está directamente reconocido, como veremos a continuación y la normativa existente se cumplió, no pueden servir de fundamento para la Sentencia los argumentos derivados de supuestos distintos al aquí examinado.</w:t>
      </w:r>
    </w:p>
    <w:p w:rsidR="00163957" w:rsidRDefault="00163957" w:rsidP="00163957">
      <w:pPr>
        <w:pStyle w:val="TextoNormal"/>
      </w:pPr>
    </w:p>
    <w:p w:rsidR="00163957" w:rsidRDefault="00163957" w:rsidP="00163957">
      <w:pPr>
        <w:pStyle w:val="TextoNormal"/>
      </w:pPr>
      <w:r>
        <w:t xml:space="preserve">3. Dicho lo anterior, tengo que poner de relieve que en la Sentencia de la que discrepo, se echa de menos un detallado análisis de la jurisprudencia de este Tribunal sobre el contenido del derecho reconocido en el art. 18.1 CE, es decir, el derecho a la “intimidad privada y familiar” y no a la “vida privada y familiar” del art. 8 CEDH. En realidad se equipara el art. 18.1 CE a lo dispuesto en el art. 8 CEDH, olvidando que lo que el art. 10.2 CE establece es la obligación de la interpretación de los derechos fundamentales de conformidad con los Tratados Internacionales ratificados por España, pero no obliga a transponer exactamente al ordenamiento interno los distintos tipos de Derechos recogidos en cada texto legal. La sentencia acoge acríticamente los argumentos de las sentencias Tribunal Europeo de Derechos Humanos dictadas en los casos </w:t>
      </w:r>
      <w:r w:rsidRPr="00163957">
        <w:rPr>
          <w:i/>
        </w:rPr>
        <w:t>Hadri-Vionnet</w:t>
      </w:r>
      <w:r>
        <w:t xml:space="preserve"> y </w:t>
      </w:r>
      <w:r w:rsidRPr="00163957">
        <w:rPr>
          <w:i/>
        </w:rPr>
        <w:t>Marić</w:t>
      </w:r>
      <w:r>
        <w:t xml:space="preserve"> sin una justificación sólida que avale la implantación, de un derecho fundamental, que, según nuestra jurisprudencia, parece encontrar mejor acomodo en el art. 10 CE: libre desarrollo de la personalidad.</w:t>
      </w:r>
    </w:p>
    <w:p w:rsidR="00163957" w:rsidRDefault="00163957" w:rsidP="00163957">
      <w:pPr>
        <w:pStyle w:val="TextoNormal"/>
      </w:pPr>
    </w:p>
    <w:p w:rsidR="00163957" w:rsidRDefault="00163957" w:rsidP="00163957">
      <w:pPr>
        <w:pStyle w:val="TextoNormal"/>
      </w:pPr>
      <w:r>
        <w:t xml:space="preserve">Efectivamente, ya en la STC 236/2007, FJ 11, el Pleno de este Tribunal afirmó que “nuestra Constitución no reconoce un ‘derecho a la vida familiar’ en los términos en que la jurisprudencia del TEDH ha interpretado el art. 8.1 CEDH … lo que en modo alguno supone que el espacio vital protegido por ese ‘derecho a la vida familiar’ derivado de los arts. 8.1 CEDH y 7 de la Carta de derechos fundamentales de la Unión europea, y, en lo que aquí importa, la configuración autónoma de las relaciones afectivas, familiares y de convivencia, carezca de protección dentro de nuestro ordenamiento constitucional ”, y que la intimidad familiar se muestra como una dimensión adicional de la intimidad personal, que “implica ‘la existencia de un ámbito propio y reservado frente a la acción y conocimiento de los demás, necesario —según las pautas de nuestra cultura— para mantener una calidad mínima </w:t>
      </w:r>
      <w:r>
        <w:lastRenderedPageBreak/>
        <w:t>de la vida humana’ (STC 231/1988, de 2 de diciembre, FJ 3)”. Por lo tanto, consideramos que la libertad de procreación constituye, al igual que la relativa a la decisión de continuar o no una relación afectiva o de convivencia, una manifestación del libre desarrollo de la personalidad (STC 215/1994, de 14 de julio, FJ 4). Y que “la imposición de la pena de alejamiento afecta al libre desarrollo de la personalidad (art. 10.1 CE) pero no a la intimidad familiar, porque lo que el derecho reconocido en el art. 18.1 CE protege ‘es la intimidad misma, no las acciones privadas e íntimas de los hombres’ (STC 89/1987, de 3 de junio, FJ 2)” (STC 60/2010, de 7 de octubre, FJ 8). Más recientemente, hemos distinguido los derechos a la intimidad familiar y el derecho a la vida familiar, declarando que éste último no se encuentra comprendido en el art. 18.1 CE (STC 186/2013, de 4 de noviembre). De este modo considero que la argumentación de la Sentencia contra la que formulo el presente voto particular modifica la doctrina hasta ahora mantenida por este Tribunal, sin aportar argumentos que justifiquen el cambio.</w:t>
      </w:r>
    </w:p>
    <w:p w:rsidR="00163957" w:rsidRDefault="00163957" w:rsidP="00163957">
      <w:pPr>
        <w:pStyle w:val="TextoNormal"/>
      </w:pPr>
    </w:p>
    <w:p w:rsidR="00163957" w:rsidRDefault="00163957" w:rsidP="00163957">
      <w:pPr>
        <w:pStyle w:val="TextoNormal"/>
      </w:pPr>
      <w:r>
        <w:t>4. He de añadir que la conclusión sobre la falta de claridad de la regulación existente a la que llega la Sentencia, no es correcta.</w:t>
      </w:r>
    </w:p>
    <w:p w:rsidR="00163957" w:rsidRDefault="00163957" w:rsidP="00163957">
      <w:pPr>
        <w:pStyle w:val="TextoNormal"/>
      </w:pPr>
    </w:p>
    <w:p w:rsidR="00163957" w:rsidRDefault="00163957" w:rsidP="00163957">
      <w:pPr>
        <w:pStyle w:val="TextoNormal"/>
      </w:pPr>
      <w:r>
        <w:t xml:space="preserve">La Sentencia afirma que los órganos judiciales “no contaban con previsiones específicas que determinaran si puede la Administración hospitalaria entregar por sí los restos humanos sin necesidad de autorización judicial o, en la hipótesis de que sea necesario el permiso judicial de incineración, si éste presupone o no la inscripción en el Legajo de criaturas abortivas del Registro civil” (FJ 4). Por lo que “no cabe deducir extensivamente la prohibición de entrega para su enterramiento o incineración de criaturas abortivas de menor tiempo: la norma no somete el enterramiento o incineración a las exigencias de permiso judicial e inscripción registral ni impide por sí la anotación de criaturas abortivas de menos de 180 días” (FJ 4). Apreciación que se confirma con el hecho de que el propio órgano judicial reconozca haber realizado la inscripción y concedido la licencia judicial de enterramiento en otro caso, en el que tampoco se alcanzaban los 180 días de vida fetal (FJ 4). Sin embargo, no se ha tenido en cuenta que en el FJ 2 </w:t>
      </w:r>
      <w:r w:rsidRPr="00163957">
        <w:rPr>
          <w:i/>
        </w:rPr>
        <w:t>in fine</w:t>
      </w:r>
      <w:r>
        <w:t xml:space="preserve"> del Auto de 19 de diciembre de 2013, que obra en las actuaciones, se afirma lo siguiente: “nótese que ni esta instructora a salvo del caso previo que resolvió ni el recurrente han sido capaces de encontrar e invocar resoluciones similares, sin perjuicio de que este Protocolo lleva vigente desde 1998 en el País Vasco y se al menos (sic) existen indicios de que en Barcelona se aplica en algún Hospital procedimientos similares”.</w:t>
      </w:r>
    </w:p>
    <w:p w:rsidR="00163957" w:rsidRDefault="00163957" w:rsidP="00163957">
      <w:pPr>
        <w:pStyle w:val="TextoNormal"/>
      </w:pPr>
    </w:p>
    <w:p w:rsidR="00163957" w:rsidRDefault="00163957" w:rsidP="00163957">
      <w:pPr>
        <w:pStyle w:val="TextoNormal"/>
      </w:pPr>
      <w:r>
        <w:t xml:space="preserve">Tampoco las dudas que se manifiestan sobre la falta de claridad de la regulación legal española, se desprenden del Auto de desestimación del recurso de apelación, de fecha de 23 de diciembre de 2014. Por el contrario, se razona suficientemente por qué entiende que no es preceptiva la inscripción en el legajo de criaturas abortivas, necesaria para expedir la licencia de enterramiento, ni su tratamiento como resto cadavérico a los efectos de la normativa mortuoria, en aplicación del art. 2 del Decreto 202/2004. Considera que sólo se les atribuye el mismo destino que a los cadáveres, en aquellos supuestos en que no se ha producido el nacimiento, si son “restos humanos de entidad suficiente”. Dado que éste constituye un concepto jurídico indeterminado, lo integra a partir de lo dispuesto en la Convención sobre los Derechos del Niño adoptada por la Asamblea General de Naciones Unidas de 20 de noviembre de 1989 que en su artículo 7 recoge el derecho del niño a la inscripción “inmediatamente después de su nacimiento” y la resolución de la Dirección General de Registros y Notariado de 21 de mayo de 1998 que establece que “la ley es clara y tajante cuando </w:t>
      </w:r>
      <w:r>
        <w:lastRenderedPageBreak/>
        <w:t xml:space="preserve">impone únicamente la obligación de declarar el nacimiento de criaturas abortivas de más de 180 de vida fetal, art. 45 LRC”; lo anterior se relaciona con el art. 15 de la Ley Orgánica 2/2010 que cifra en que no se superen las veintidós semanas, el plazo para el aborto siempre que exista riesgo de graves anomalías en el feto y el contenido del protocolo de Osakidetza y la consideración de restos quirúrgicos de los que no superen los 500 gramos y 180 días de gestación. Por último, hay que subrayar que descarta la aplicación de la STEDH </w:t>
      </w:r>
      <w:r w:rsidRPr="00163957">
        <w:rPr>
          <w:i/>
        </w:rPr>
        <w:t>Hadri-Vionnet c. Suiza</w:t>
      </w:r>
      <w:r>
        <w:t>, por referirse a un “supuesto distinto y diferenciado”, al haberse producido el nacimiento y, por ello, tener los restos la consideración de cadáver, tanto a efectos de inscripción como de enterramiento.</w:t>
      </w:r>
    </w:p>
    <w:p w:rsidR="00163957" w:rsidRDefault="00163957" w:rsidP="00163957">
      <w:pPr>
        <w:pStyle w:val="TextoNormal"/>
      </w:pPr>
    </w:p>
    <w:p w:rsidR="00163957" w:rsidRDefault="00163957" w:rsidP="00163957">
      <w:pPr>
        <w:pStyle w:val="TextoNormal"/>
      </w:pPr>
      <w:r>
        <w:t>5. Desde el inicio de la tramitación del presente recurso, defendí que el problema que planteaba el recurso podría haber sido un problema de tutela judicial efectiva (art. 24.1 CE), en relación con la arbitrariedad o no de las decisiones del órgano judicial interpretativas de la legalidad vigente. Esta vulneración no ha sido invocada, sin embargo, por la recurrente. En consecuencia, no se trataba de un caso de vulneración de los derechos fundamentales alegados: derecho a la igualdad en la aplicación de la ley (art. 14), libertad ideológica y derecho a la intimidad familiar y personal (art. 18.1 CE). El recurso no tenía la especial trascendencia constitucional de acuerdo con lo dispuesto en el art. 49.1 de la Ley Orgánica del Tribunal Constitucional, que obligara a este Tribunal a admitirlo a trámite, puesto que la lesión de los derechos alegados en la demanda no podía justificar un pronunciamiento.</w:t>
      </w:r>
    </w:p>
    <w:p w:rsidR="00163957" w:rsidRDefault="00163957" w:rsidP="00163957">
      <w:pPr>
        <w:pStyle w:val="TextoNormal"/>
      </w:pPr>
    </w:p>
    <w:p w:rsidR="00163957" w:rsidRDefault="00163957" w:rsidP="00163957">
      <w:pPr>
        <w:pStyle w:val="TextoNormal"/>
      </w:pPr>
      <w:r>
        <w:t>Pero, incluso, si se hubiese reclamado alegando la vulneración del art. 24.1 CE, no debería haberse apreciado dicha vulneración, porque el órgano judicial aplicó la normativa vigente y ésta no ha sido impugnada constitucionalmente ni antes ni con ocasión del presente recurso. Se muestra, por tanto, estéril el esfuerzo realizado en el último fundamento jurídico de la Sentencia, intentando justificar la injerencia producida en el derecho a la intimidad familiar por los órganos judiciales, en la ausencia de impedimento alguno de orden público general o sanitario, o de riesgo, de haber adoptado la decisión contraria.</w:t>
      </w:r>
    </w:p>
    <w:p w:rsidR="00163957" w:rsidRDefault="00163957" w:rsidP="00163957">
      <w:pPr>
        <w:pStyle w:val="TextoNormal"/>
      </w:pPr>
      <w:r>
        <w:t>Y en este sentido emito mi Voto particular.</w:t>
      </w:r>
    </w:p>
    <w:p w:rsidR="00163957" w:rsidRDefault="00163957" w:rsidP="00163957">
      <w:pPr>
        <w:pStyle w:val="TextoNormal"/>
      </w:pPr>
      <w:r>
        <w:t>Madrid, a uno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5" w:name="SENTENCIA_2016_12"/>
      <w:r>
        <w:lastRenderedPageBreak/>
        <w:t>SENTENCIA 12/2016, de 1 de febrero de 2016</w:t>
      </w:r>
    </w:p>
    <w:bookmarkEnd w:id="15"/>
    <w:p w:rsidR="00163957" w:rsidRDefault="00163957" w:rsidP="00163957">
      <w:pPr>
        <w:pStyle w:val="TtuloResolucin"/>
      </w:pPr>
      <w:r>
        <w:t>Sala Segunda</w:t>
      </w:r>
    </w:p>
    <w:p w:rsidR="00163957" w:rsidRDefault="00163957" w:rsidP="00163957">
      <w:pPr>
        <w:pStyle w:val="TtuloBOE"/>
      </w:pPr>
      <w:r>
        <w:t>(BOE núm. 57, de 7 de marzo de 2016)</w:t>
      </w:r>
    </w:p>
    <w:p w:rsidR="00163957" w:rsidRDefault="00163957" w:rsidP="00163957">
      <w:pPr>
        <w:pStyle w:val="TextoNormalCentrado"/>
      </w:pPr>
      <w:r>
        <w:t>ECLI:ES:TC:2016:12</w:t>
      </w:r>
    </w:p>
    <w:p w:rsidR="00163957" w:rsidRDefault="00163957" w:rsidP="00163957">
      <w:pPr>
        <w:pStyle w:val="TextoNormalCentrado"/>
      </w:pPr>
    </w:p>
    <w:p w:rsidR="00163957" w:rsidRDefault="00163957" w:rsidP="00163957">
      <w:pPr>
        <w:pStyle w:val="SntesisDescriptiva"/>
      </w:pPr>
      <w:r>
        <w:t>Recurso de amparo 3719-2014. Promovido por don Juan Blas López Rodríguez en relación con los Autos dictados por la Audiencia Provincial y un Juzgado de lo Penal de Huelva en ejecutoria de condena penal.</w:t>
      </w:r>
    </w:p>
    <w:p w:rsidR="00163957" w:rsidRDefault="00163957" w:rsidP="00163957">
      <w:pPr>
        <w:pStyle w:val="SntesisDescriptiva"/>
      </w:pPr>
    </w:p>
    <w:p w:rsidR="00163957" w:rsidRDefault="00163957" w:rsidP="00163957">
      <w:pPr>
        <w:pStyle w:val="SntesisAnaltica"/>
      </w:pPr>
      <w:r>
        <w:t>Vulneración del derecho a la legalidad penal en relación con los derechos a la tutela judicial efectiva y a la libertad personal: resoluciones judiciales que no satisfacen el canon de motivación reforzada exigible en materia de prescripción de las penas (STC 63/2015).</w:t>
      </w:r>
    </w:p>
    <w:p w:rsidR="00163957" w:rsidRDefault="00163957" w:rsidP="00163957">
      <w:pPr>
        <w:pStyle w:val="SntesisAnaltica"/>
      </w:pPr>
    </w:p>
    <w:p w:rsidR="00163957" w:rsidRDefault="00163957" w:rsidP="00163957">
      <w:pPr>
        <w:pStyle w:val="Extracto"/>
      </w:pPr>
      <w:r>
        <w:t>1.</w:t>
      </w:r>
      <w:r>
        <w:tab/>
        <w:t>Afirmar que las peticiones del propio penado interrumpen la prescripción  supone crear</w:t>
      </w:r>
      <w:r w:rsidRPr="00163957">
        <w:rPr>
          <w:i/>
        </w:rPr>
        <w:t xml:space="preserve"> ex novo </w:t>
      </w:r>
      <w:r>
        <w:t>una causa de interrupción no prevista en la norma; interpretación que deviene arbitraria por opuesta a la legalidad aplicable y lesiona el derecho a la legalidad penal en relación con los derechos a la tutela judicial efectiva y a la libertad personal [FJ 5].</w:t>
      </w:r>
    </w:p>
    <w:p w:rsidR="00163957" w:rsidRDefault="00163957" w:rsidP="00163957">
      <w:pPr>
        <w:pStyle w:val="Extracto"/>
      </w:pPr>
    </w:p>
    <w:p w:rsidR="00163957" w:rsidRDefault="00163957" w:rsidP="00163957">
      <w:pPr>
        <w:pStyle w:val="Extracto"/>
      </w:pPr>
      <w:r>
        <w:t>2.</w:t>
      </w:r>
      <w:r>
        <w:tab/>
        <w:t>En el presente caso, se otorga efecto interruptivo de la prescripción de la pena a aquellas decisiones judiciales que sucesivamente denegaron al demandante un cumplimiento alternativo a la prisión, en las diversas modalidades legalmente previstas y progresivamente solicitadas [FJ 5].</w:t>
      </w:r>
    </w:p>
    <w:p w:rsidR="00163957" w:rsidRDefault="00163957" w:rsidP="00163957">
      <w:pPr>
        <w:pStyle w:val="Extracto"/>
      </w:pPr>
    </w:p>
    <w:p w:rsidR="00163957" w:rsidRDefault="00163957" w:rsidP="00163957">
      <w:pPr>
        <w:pStyle w:val="Extracto"/>
      </w:pPr>
      <w:r>
        <w:t>3.</w:t>
      </w:r>
      <w:r>
        <w:tab/>
        <w:t>Las distintas y sucesivas resoluciones judiciales que denegaron al demandante cada forma de cumplimiento alternativo se limitaron a decidir sobre su solicitud, sin comportar en momento alguno una efectiva ejecución de las penas de prisión impuestas, por lo que el razonamiento judicial que vino a entender interrumpida la prescripción de estas penas por el mero dictado de las referidas decisiones judiciales se basa en una hipótesis ajena al artículo que las contempla [FJ 5].</w:t>
      </w:r>
    </w:p>
    <w:p w:rsidR="00163957" w:rsidRDefault="00163957" w:rsidP="00163957">
      <w:pPr>
        <w:pStyle w:val="Extracto"/>
      </w:pPr>
    </w:p>
    <w:p w:rsidR="00163957" w:rsidRDefault="00163957" w:rsidP="00163957">
      <w:pPr>
        <w:pStyle w:val="Extracto"/>
      </w:pPr>
      <w:r>
        <w:t>4.</w:t>
      </w:r>
      <w:r>
        <w:tab/>
        <w:t>Siendo que el legislador no incluyó nuevos supuestos de suspensión de ejecución de la pena como causas de interrupción de la prescripción de la misma, no resulta constitucionalmente aceptable una interpretación de los preceptos legales aplicables que excede de su más directo significado gramatical (STC 97/2010) [FJ 4].</w:t>
      </w:r>
    </w:p>
    <w:p w:rsidR="00163957" w:rsidRDefault="00163957" w:rsidP="00163957">
      <w:pPr>
        <w:pStyle w:val="Extracto"/>
      </w:pPr>
    </w:p>
    <w:p w:rsidR="00163957" w:rsidRDefault="00163957" w:rsidP="00163957">
      <w:pPr>
        <w:pStyle w:val="Extracto"/>
      </w:pPr>
      <w:r>
        <w:t>5.</w:t>
      </w:r>
      <w:r>
        <w:tab/>
        <w:t>No puede eludirse la declaración de inconstitucionalidad o la apreciación de lesión en los derechos fundamentales cuando la interpretación judicial de la norma reguladora de la prescripción de la pena suponga una aplicación extensiva o analógica en perjuicio del reo (STC 63/2015) [FJ 3].</w:t>
      </w:r>
    </w:p>
    <w:p w:rsidR="00163957" w:rsidRDefault="00163957" w:rsidP="00163957">
      <w:pPr>
        <w:pStyle w:val="Extracto"/>
      </w:pPr>
    </w:p>
    <w:p w:rsidR="00163957" w:rsidRDefault="00163957" w:rsidP="00163957">
      <w:pPr>
        <w:pStyle w:val="Extracto"/>
      </w:pPr>
      <w:r>
        <w:t>6.</w:t>
      </w:r>
      <w:r>
        <w:tab/>
        <w:t>Cuando entre en juego la libertad personal, el control de la resolución impugnada amparado en la tutela judicial efectiva actuará bajo el canon de la motivación reforzada, que deberá abarcar: la exteriorización del razonamiento por el que se estima que concurre —o no— el supuesto previsto en la ley, el nexo de coherencia entre la decisión adoptada, la norma que le sirve de fundamento y los fines que la justifican. (STC 63/2005) [FJ 3].</w:t>
      </w:r>
    </w:p>
    <w:p w:rsidR="00163957" w:rsidRDefault="00163957" w:rsidP="00163957">
      <w:pPr>
        <w:pStyle w:val="Extracto"/>
      </w:pPr>
    </w:p>
    <w:p w:rsidR="00163957" w:rsidRDefault="00163957" w:rsidP="00163957">
      <w:pPr>
        <w:pStyle w:val="Extracto"/>
      </w:pPr>
      <w:r>
        <w:lastRenderedPageBreak/>
        <w:t>7.</w:t>
      </w:r>
      <w:r>
        <w:tab/>
        <w:t>Las particularidades del caso permiten a este Tribunal consolidar la doctrina iniciada en un supuesto con notables semejanzas al presente, lo que permite garantizar su mejor cumplimiento al abundar en sus parámetros generales y en su concreción aplicativa; circunstancias que dotan a la demanda de amparo de trascendencia constitucional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3719-2014, promovido por don Juan Blas López Rodríguez, representado por el Procurador de los Tribunales don Pedro Antonio González Sánchez y asistido por el Abogado don Juan López Rueda, contra los Autos de 20 de diciembre de 2013 y 17 de febrero de 2014, dictados por el Juzgado de lo Penal núm. 4 de Huelva en la ejecutoria núm. 445-2008, así como contra el Auto de 2 de mayo de 2014 de la Audiencia Provincial de Huelva (Sección Tercera) en el rollo de apelación núm. 199-2014, desestimatorio del recurso interpuesto por el demandante frente a los anteriores. Ha intervenido el Ministerio Fiscal. Ha sido Ponente la Magistrada doña Adela Asua Batarrita,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11 de junio de 2014, el Procurador de los Tribunales don Pedro Antonio González Sánchez, en nombre y representación de don Juan Blas López Rodríguez, interpuso recurso de amparo contra las resoluciones judiciales que se citan en el encabezamiento. Por otrosí solicitó la suspensión de la ejecución de la pena.</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de los que trae causa la demanda de amparo son, en síntesis, los que siguen:</w:t>
      </w:r>
    </w:p>
    <w:p w:rsidR="00163957" w:rsidRDefault="00163957" w:rsidP="00163957">
      <w:pPr>
        <w:pStyle w:val="TextoNormal"/>
      </w:pPr>
    </w:p>
    <w:p w:rsidR="00163957" w:rsidRDefault="00163957" w:rsidP="00163957">
      <w:pPr>
        <w:pStyle w:val="TextoNormal"/>
      </w:pPr>
      <w:r>
        <w:t>a) Con fecha 27 de marzo de 2007 el demandante de amparo fue condenado por el Juzgado de lo Penal núm. 4 de Huelva a una pena de tres años de prisión por un delito de atentado a agente de la autoridad y a otra de dos años de prisión por un delito de lesiones, hechos cometidos en junio de 2003.</w:t>
      </w:r>
    </w:p>
    <w:p w:rsidR="00163957" w:rsidRDefault="00163957" w:rsidP="00163957">
      <w:pPr>
        <w:pStyle w:val="TextoNormal"/>
      </w:pPr>
    </w:p>
    <w:p w:rsidR="00163957" w:rsidRDefault="00163957" w:rsidP="00163957">
      <w:pPr>
        <w:pStyle w:val="TextoNormal"/>
      </w:pPr>
      <w:r>
        <w:lastRenderedPageBreak/>
        <w:t>Confirmado íntegramente el fallo por la Audiencia Provincial de Huelva (Sección. Tercera) mediante Sentencia de 27 de junio de 2008, desestimatoria del recurso de apelación formalizado por el demandante de amparo, el 31 de julio de 2008 el Juzgado de lo Penal declaraba firme la condena y abría con ella la ejecutoria núm. 445-2008.</w:t>
      </w:r>
    </w:p>
    <w:p w:rsidR="00163957" w:rsidRDefault="00163957" w:rsidP="00163957">
      <w:pPr>
        <w:pStyle w:val="TextoNormal"/>
      </w:pPr>
    </w:p>
    <w:p w:rsidR="00163957" w:rsidRDefault="00163957" w:rsidP="00163957">
      <w:pPr>
        <w:pStyle w:val="TextoNormal"/>
      </w:pPr>
      <w:r>
        <w:t>b) El 1 de octubre siguiente, después de haber informado el Fiscal desfavorablemente a la concesión de la suspensión ordinaria de la condena a penas privativas de libertad por no reunir el penado los requisitos del art. 80 del Código penal (CP), el Juzgado de lo Penal dictó Auto denegando la señalada suspensión y ordenando el cumplimiento, en su lugar, de las penas impuestas. El 16 de octubre, la defensa del penado recurría esta decisión en reforma y subsidiaria apelación, al tiempo que promovía la petición de suspensión extraordinaria prevista en el art. 87 CP, junto con la de que no se diera cumplimiento a la condena en tanto la Audiencia Provincial no hubiera resuelto sobre la nulidad anteriormente interesada.</w:t>
      </w:r>
    </w:p>
    <w:p w:rsidR="00163957" w:rsidRDefault="00163957" w:rsidP="00163957">
      <w:pPr>
        <w:pStyle w:val="TextoNormal"/>
      </w:pPr>
    </w:p>
    <w:p w:rsidR="00163957" w:rsidRDefault="00163957" w:rsidP="00163957">
      <w:pPr>
        <w:pStyle w:val="TextoNormal"/>
      </w:pPr>
      <w:r>
        <w:t>El 20 de noviembre de 2008 el Juzgado dictó Auto desestimatorio de la reforma, si bien acordó el examen médico-forense del penado a los efectos de valorar la eventual aplicación del solicitado art. 87 CP. Tras recibir el informe desfavorable del Fiscal a la suspensión extraordinaria, el 15 de octubre de 2009 el Juzgado dictaba Auto denegatorio de la misma, resolución que el penado recurriría el 27 de octubre siguiente.</w:t>
      </w:r>
    </w:p>
    <w:p w:rsidR="00163957" w:rsidRDefault="00163957" w:rsidP="00163957">
      <w:pPr>
        <w:pStyle w:val="TextoNormal"/>
      </w:pPr>
    </w:p>
    <w:p w:rsidR="00163957" w:rsidRDefault="00163957" w:rsidP="00163957">
      <w:pPr>
        <w:pStyle w:val="TextoNormal"/>
      </w:pPr>
      <w:r>
        <w:t>El 25 de noviembre de 2009 la Audiencia Provincial desestimó en apelación ambas peticiones de suspensión, ordinaria y extraordinaria, basándose en cuanto a la primera en la no concurrencia de los presupuestos exigibles y, en cuanto a la segunda, en la falta de planteamiento en la instancia previa al recurso. Con fecha 26 de febrero de 2010, el Juzgado de lo Penal confirmaba, en reforma, lo decidido por Auto de 15 de octubre de 2009 sobre la suspensión extraordinaria.</w:t>
      </w:r>
    </w:p>
    <w:p w:rsidR="00163957" w:rsidRDefault="00163957" w:rsidP="00163957">
      <w:pPr>
        <w:pStyle w:val="TextoNormal"/>
      </w:pPr>
    </w:p>
    <w:p w:rsidR="00163957" w:rsidRDefault="00163957" w:rsidP="00163957">
      <w:pPr>
        <w:pStyle w:val="TextoNormal"/>
      </w:pPr>
      <w:r>
        <w:t>c) El 25 de enero de 2011 la defensa del penado solicitaba la suspensión de la ejecución de la pena a la espera de presentar solicitud de indulto —total o parcial— de las penas impuestas, petición que el 2 de marzo de 2011 efectivamente registró ante el Ministerio Justicia.</w:t>
      </w:r>
    </w:p>
    <w:p w:rsidR="00163957" w:rsidRDefault="00163957" w:rsidP="00163957">
      <w:pPr>
        <w:pStyle w:val="TextoNormal"/>
      </w:pPr>
    </w:p>
    <w:p w:rsidR="00163957" w:rsidRDefault="00163957" w:rsidP="00163957">
      <w:pPr>
        <w:pStyle w:val="TextoNormal"/>
      </w:pPr>
      <w:r>
        <w:t>Tras conferir nuevo traslado al Fiscal, el 23 de marzo de 2011, el Juzgado de lo Penal dictó Auto por el que denegó al penado tal petición de dejar en suspenso la ejecución de la pena durante la resolución del expediente de indulto, decisión que resultó confirmada en reforma el 10 de junio siguiente y en apelación el 5 de marzo de 2012.</w:t>
      </w:r>
    </w:p>
    <w:p w:rsidR="00163957" w:rsidRDefault="00163957" w:rsidP="00163957">
      <w:pPr>
        <w:pStyle w:val="TextoNormal"/>
      </w:pPr>
    </w:p>
    <w:p w:rsidR="00163957" w:rsidRDefault="00163957" w:rsidP="00163957">
      <w:pPr>
        <w:pStyle w:val="TextoNormal"/>
      </w:pPr>
      <w:r>
        <w:t>d) El 8 de marzo de 2013 el Juzgado de lo Penal ordenaba por providencia la detención e ingreso en prisión del penado, remitiendo oficio de igual fecha a la Policía Judicial para su ejecución. Tres días más tarde el penado solicitaba ante el órgano judicial un aplazamiento del ingreso en prisión fundamentado en la pendencia del expediente de indulto, lo que le fue denegado por providencia de esa misma fecha sobre la base del art. 988 de la Ley de enjuiciamiento criminal, acordándose en ella estar “a lo dispuesto en la providencia de fecha 8 de marzo del corriente”.</w:t>
      </w:r>
    </w:p>
    <w:p w:rsidR="00163957" w:rsidRDefault="00163957" w:rsidP="00163957">
      <w:pPr>
        <w:pStyle w:val="TextoNormal"/>
      </w:pPr>
    </w:p>
    <w:p w:rsidR="00163957" w:rsidRDefault="00163957" w:rsidP="00163957">
      <w:pPr>
        <w:pStyle w:val="TextoNormal"/>
      </w:pPr>
      <w:r>
        <w:lastRenderedPageBreak/>
        <w:t>e) El 20 de marzo siguiente la representación del penado presentaba un nuevo escrito por el que, “siguiendo expresas instrucciones de su mandante” (sic) y en aplicación de la disposición transitoria segunda de la Ley Orgánica 5/2010, solicitaba del Juzgado de lo Penal la revisión de su condena, con el fin de que le fuera reconocida la atenuante de dilaciones indebidas, que dicha reforma legislativa había venido a introducir expresamente como tal en el art. 21.6 CP.</w:t>
      </w:r>
    </w:p>
    <w:p w:rsidR="00163957" w:rsidRDefault="00163957" w:rsidP="00163957">
      <w:pPr>
        <w:pStyle w:val="TextoNormal"/>
      </w:pPr>
    </w:p>
    <w:p w:rsidR="00163957" w:rsidRDefault="00163957" w:rsidP="00163957">
      <w:pPr>
        <w:pStyle w:val="TextoNormal"/>
      </w:pPr>
      <w:r>
        <w:t>f) El 11 de julio de 2013 el Juzgado emitía requisitoria reiterando la orden de detención e ingreso en prisión del penado, que trasladaba a la Policía Judicial mediante oficio de igual fecha. Ante el resultado negativo de las pesquisas dirigidas a la localización del penado con el fin anterior, por Auto de 2 de diciembre de 2013 el Juzgado lo declaró en situación de rebeldía procesal.</w:t>
      </w:r>
    </w:p>
    <w:p w:rsidR="00163957" w:rsidRDefault="00163957" w:rsidP="00163957">
      <w:pPr>
        <w:pStyle w:val="TextoNormal"/>
      </w:pPr>
    </w:p>
    <w:p w:rsidR="00163957" w:rsidRDefault="00163957" w:rsidP="00163957">
      <w:pPr>
        <w:pStyle w:val="TextoNormal"/>
      </w:pPr>
      <w:r>
        <w:t>Entretanto, el Consejo de Ministros de 27 de septiembre de 2013 denegaba el indulto al demandante de amparo.</w:t>
      </w:r>
    </w:p>
    <w:p w:rsidR="00163957" w:rsidRDefault="00163957" w:rsidP="00163957">
      <w:pPr>
        <w:pStyle w:val="TextoNormal"/>
      </w:pPr>
    </w:p>
    <w:p w:rsidR="00163957" w:rsidRDefault="00163957" w:rsidP="00163957">
      <w:pPr>
        <w:pStyle w:val="TextoNormal"/>
      </w:pPr>
      <w:r>
        <w:t>g) El 4 de diciembre de 2013 el Juzgado de lo Penal dejó sin efecto la declaración de rebeldía, librando mandamiento de prisión dirigido al director del centro penitenciario de Huelva, en el que había sido localizado el demandante como interno, con el fin de que quedara retenido en el mismo en calidad de penado para el cumplimiento de la condena impuesta en la presente causa.</w:t>
      </w:r>
    </w:p>
    <w:p w:rsidR="00163957" w:rsidRDefault="00163957" w:rsidP="00163957">
      <w:pPr>
        <w:pStyle w:val="TextoNormal"/>
      </w:pPr>
    </w:p>
    <w:p w:rsidR="00163957" w:rsidRDefault="00163957" w:rsidP="00163957">
      <w:pPr>
        <w:pStyle w:val="TextoNormal"/>
      </w:pPr>
      <w:r>
        <w:t>Ese mismo día la Audiencia desestimó la petición de revisión de condena amparada en la Ley Orgánica 5/2010.</w:t>
      </w:r>
    </w:p>
    <w:p w:rsidR="00163957" w:rsidRDefault="00163957" w:rsidP="00163957">
      <w:pPr>
        <w:pStyle w:val="TextoNormal"/>
      </w:pPr>
    </w:p>
    <w:p w:rsidR="00163957" w:rsidRDefault="00163957" w:rsidP="00163957">
      <w:pPr>
        <w:pStyle w:val="TextoNormal"/>
      </w:pPr>
      <w:r>
        <w:t xml:space="preserve">h) Con fecha 11 de diciembre de 2013 el penado solicitó del Juzgado ejecutante que declarara prescritas las penas de prisión a las que fue condenado, estimando extinguida su responsabilidad criminal desde el 28 de junio de 2013, al haber sido condenado a dos penas de prisión catalogadas, por su duración, como “menos graves” y cuyo periodo de prescripción con fines de cumplimiento deviene a los cinco años, </w:t>
      </w:r>
      <w:r w:rsidRPr="00163957">
        <w:rPr>
          <w:i/>
        </w:rPr>
        <w:t>ex</w:t>
      </w:r>
      <w:r>
        <w:t xml:space="preserve"> arts. 130.1.7 y 133.1 CP, si no se han producido circunstancias que justifiquen una interrupción del plazo señalado.</w:t>
      </w:r>
    </w:p>
    <w:p w:rsidR="00163957" w:rsidRDefault="00163957" w:rsidP="00163957">
      <w:pPr>
        <w:pStyle w:val="TextoNormal"/>
      </w:pPr>
    </w:p>
    <w:p w:rsidR="00163957" w:rsidRDefault="00163957" w:rsidP="00163957">
      <w:pPr>
        <w:pStyle w:val="TextoNormal"/>
      </w:pPr>
      <w:r>
        <w:t>Una vez recibidas las alegaciones del Fiscal, oponiéndose a la apreciación de prescripción de la pena impuesta, por Auto de 20 de diciembre de 2013 el Juzgado de lo Penal desestimó la petición. Tras señalar las principales vicisitudes de la ejecutoria —en línea con las expuestas en estos antecedentes— y con apoyo expreso en la Sentencia dictada por la Sala Segunda del Tribunal Supremo núm. 450/2012, de 24 de mayo, así como en diversos pronunciamientos procedentes de Audiencias Provinciales, la resolución judicial hace hincapié en las sucesivas peticiones de suspensión de condena cursadas por el solicitante, con sus respectivos recursos, que obligaban a la consiguiente respuesta judicial particularizada en cada caso, así como en las órdenes de ingreso en prisión decretadas, estimando a través de ello interrumpido el plazo de cinco años preceptivo para entender prescritas las penas impuestas. En concreto, el Auto expresa lo siguiente:</w:t>
      </w:r>
    </w:p>
    <w:p w:rsidR="00163957" w:rsidRDefault="00163957" w:rsidP="00163957">
      <w:pPr>
        <w:pStyle w:val="TextoNormal"/>
      </w:pPr>
    </w:p>
    <w:p w:rsidR="00163957" w:rsidRDefault="00163957" w:rsidP="00163957">
      <w:pPr>
        <w:pStyle w:val="TextoNormal"/>
      </w:pPr>
      <w:r>
        <w:t xml:space="preserve">“[S]on numerosas las resoluciones dictadas desde la fecha de firmeza de la sentencia condenatoria y orientadas a intentar ejecutar las penas de prisión impuestas … Pues lo son los autos denegatorios de los beneficios de la suspensión tanto ordinaria como extraordinaria de la pena (estos últimos fechados el 15 de octubre de 2009 y el 26 de febrero de 2010) y </w:t>
      </w:r>
      <w:r>
        <w:lastRenderedPageBreak/>
        <w:t>acordando ejecutar las penas, y lo es también por supuesto la providencia de fecha 8 de marzo de 2013 mediante la que se libraron mandamientos de prisión con la misma finalidad ejecutiva. Tales resoluciones sustanciales de ejecución de la pena tuvieron, en consecuencia, virtualidad interruptora del plazo prescriptivo, lo que conforme a la doctrina expuesta impide concluir que el plazo de inacción procesal de cinco años, necesario en orden a la prescripción interesada, haya transcurrido, debiendo en consecuencia estarse al trámite de ejecución en curso” (FJ 3).</w:t>
      </w:r>
    </w:p>
    <w:p w:rsidR="00163957" w:rsidRDefault="00163957" w:rsidP="00163957">
      <w:pPr>
        <w:pStyle w:val="TextoNormal"/>
      </w:pPr>
    </w:p>
    <w:p w:rsidR="00163957" w:rsidRDefault="00163957" w:rsidP="00163957">
      <w:pPr>
        <w:pStyle w:val="TextoNormal"/>
      </w:pPr>
      <w:r>
        <w:t>Y añade en su fundamento jurídico 5:</w:t>
      </w:r>
    </w:p>
    <w:p w:rsidR="00163957" w:rsidRDefault="00163957" w:rsidP="00163957">
      <w:pPr>
        <w:pStyle w:val="TextoNormal"/>
      </w:pPr>
    </w:p>
    <w:p w:rsidR="00163957" w:rsidRDefault="00163957" w:rsidP="00163957">
      <w:pPr>
        <w:pStyle w:val="TextoNormal"/>
      </w:pPr>
      <w:r>
        <w:t>“Tales resoluciones denegatorias, que se dictaron dentro de unos plazos razonables atendido su contenido y preceptiva tramitación legal, determinaron una nueva interrupción del plazo prescriptivo, que habría comenzado a contarse de nuevo a partir de la firmeza del auto de fecha 26 de febrero de 2010, denegatorio del último beneficio interesado (a saber, el del art. 87 CP), momento a partir del cual la pena habría resultado efectivamente ejecutable. Nunca antes, merced a las peticiones y recursos interpuestos por el propio interesado y a la falta de firmeza de la resolución ejecutiva. Nótese, por otro lado, que el Juzgado actuó con premura, tramitando incluso las dos peticiones a la par en vez de aguardar la desestimación de la primera para dar trámite a la segunda, tratando así de dar cierta respuesta al propósito dilatorio latente en ambas.</w:t>
      </w:r>
    </w:p>
    <w:p w:rsidR="00163957" w:rsidRDefault="00163957" w:rsidP="00163957">
      <w:pPr>
        <w:pStyle w:val="TextoNormal"/>
      </w:pPr>
    </w:p>
    <w:p w:rsidR="00163957" w:rsidRDefault="00163957" w:rsidP="00163957">
      <w:pPr>
        <w:pStyle w:val="TextoNormal"/>
      </w:pPr>
      <w:r>
        <w:t>Como fuere, la naturaleza interruptiva de tales resoluciones impide concluir el efectivo transcurso del plazo legal de cinco años previsto en el art. 134 CP, desestimándose en consecuencia la petición de prescripción de las penas impuestas a los efectos oportunos.”</w:t>
      </w:r>
    </w:p>
    <w:p w:rsidR="00163957" w:rsidRDefault="00163957" w:rsidP="00163957">
      <w:pPr>
        <w:pStyle w:val="TextoNormal"/>
      </w:pPr>
    </w:p>
    <w:p w:rsidR="00163957" w:rsidRDefault="00163957" w:rsidP="00163957">
      <w:pPr>
        <w:pStyle w:val="TextoNormal"/>
      </w:pPr>
      <w:r>
        <w:t>i) El 10 de enero de 2014 la defensa del penado recurrió el Auto anterior, desestimándose la reforma por Auto de 17 de febrero de 2014 del Juzgado de lo Penal y la apelación por Auto de 2 de mayo de 2014 de la Audiencia Provincial (Sección Tercera).</w:t>
      </w:r>
    </w:p>
    <w:p w:rsidR="00163957" w:rsidRDefault="00163957" w:rsidP="00163957">
      <w:pPr>
        <w:pStyle w:val="TextoNormal"/>
      </w:pPr>
    </w:p>
    <w:p w:rsidR="00163957" w:rsidRDefault="00163957" w:rsidP="00163957">
      <w:pPr>
        <w:pStyle w:val="TextoNormal"/>
      </w:pPr>
      <w:r>
        <w:t>El primero de estos dos Autos no aprecia razones por las que rectificar la resolución recurrida, que el Juzgado de lo Penal estima debe mantenerse en su integridad por sus mismos fundamentos, a los que “[ú]nicamente cabe agregar que, contra lo manifestado por el recurrente, y conforme a la jurisprudencia constitucional invocada, el condenado no estuvo a disposición de este Juzgado para la ejecución de las penas impuestas; muy al contrario, el 8 de marzo de 2013 —antes, por tanto, de la posible consumación de la prescripción, según la argumentación del recurso— se acordó por este Juzgado librar oficios a la Policía para proceder al ingreso en prisión del penado, sin resultado alguno al no ser éste habido. La defensa presentó, sin embargo, un escrito solicitando un aplazamiento del ingreso en prisión y, con fecha 21 de marzo de 2013, otro interesando la revisión de la sentencia condenatoria, declarándose con posterioridad”.</w:t>
      </w:r>
    </w:p>
    <w:p w:rsidR="00163957" w:rsidRDefault="00163957" w:rsidP="00163957">
      <w:pPr>
        <w:pStyle w:val="TextoNormal"/>
      </w:pPr>
    </w:p>
    <w:p w:rsidR="00163957" w:rsidRDefault="00163957" w:rsidP="00163957">
      <w:pPr>
        <w:pStyle w:val="TextoNormal"/>
      </w:pPr>
      <w:r>
        <w:t xml:space="preserve">El Auto de apelación se desmarca de la doctrina constitucional invocada por el recurrente (STC 187/2013, de 4 de noviembre), en tanto que vinculada a la pendencia de la decisión sobre una petición de indulto, que la Audiencia Provincial no considera aplicable al caso. Estima, por último, que las actuaciones no han sufrido paralización determinante de prescripción “toda vez que desde que la sentencia condenatoria devino firme el 13 de julio de 2008 se han venido realizando actuaciones de contenido, y no de mero trámite, encaminadas </w:t>
      </w:r>
      <w:r>
        <w:lastRenderedPageBreak/>
        <w:t xml:space="preserve">a determinar la procedencia de suspender condicionalmente la ejecución de la pena de suspensión”, haciendo expresa mención de las distintas resoluciones dictadas a tal fin. Y concluye: “Con todas estas resoluciones, provocadas por las peticiones del propio penado, se interrumpe la prescripción, que no puede ni comprenderse ni computarse de manera mecanicista como mero transcurso del tiempo, sino que necesita de la inacción procesal para desplegar sus efectos” (FJ </w:t>
      </w:r>
      <w:r w:rsidRPr="00163957">
        <w:rPr>
          <w:i/>
        </w:rPr>
        <w:t>1 in fi</w:t>
      </w:r>
      <w:r>
        <w:t>ne).</w:t>
      </w:r>
    </w:p>
    <w:p w:rsidR="00163957" w:rsidRDefault="00163957" w:rsidP="00163957">
      <w:pPr>
        <w:pStyle w:val="TextoNormal"/>
      </w:pPr>
    </w:p>
    <w:p w:rsidR="00163957" w:rsidRDefault="00163957" w:rsidP="00163957">
      <w:pPr>
        <w:pStyle w:val="TextoNormal"/>
      </w:pPr>
      <w:r>
        <w:t>j) El 18 de julio de 2014 el Juzgado ejecutante aprobaba la propuesta de liquidación de condena efectuada por el Secretario Judicial, señalándose el 30 de noviembre de 2018 como fecha de extinción de la misma. En un posterior Auto de 16 de septiembre de 2014, acordó la acumulación de las condenas que gravitan sobre el demandante en las ejecutorias núm. 447-2008 del Juzgado de lo Penal núm. 4 de Huelva y núm. 198-2011 del Juzgado de lo Penal núm. 1 de Huelva, señalando como fecha de extinción común a ambas el 28 de marzo de 2021.</w:t>
      </w:r>
    </w:p>
    <w:p w:rsidR="00163957" w:rsidRDefault="00163957" w:rsidP="00163957">
      <w:pPr>
        <w:pStyle w:val="TextoNormal"/>
      </w:pPr>
    </w:p>
    <w:p w:rsidR="00163957" w:rsidRDefault="00163957" w:rsidP="00163957">
      <w:pPr>
        <w:pStyle w:val="TextoNormal"/>
      </w:pPr>
      <w:r w:rsidRPr="00163957">
        <w:rPr>
          <w:rStyle w:val="NumeroAFNegritaCaracter"/>
        </w:rPr>
        <w:t>3</w:t>
      </w:r>
      <w:r>
        <w:t>. Con fecha 11 de junio de 2014 tuvo entrada en el Registro General de este Tribunal la demanda por la que el recurrente en amparo estima vulnerado su derecho a la tutela judicial efectiva (art. 24.1 CE), que relaciona con el derecho a la libertad (art. 17.1 CE) y a la legalidad penal (art. 25.1 CE).</w:t>
      </w:r>
    </w:p>
    <w:p w:rsidR="00163957" w:rsidRDefault="00163957" w:rsidP="00163957">
      <w:pPr>
        <w:pStyle w:val="TextoNormal"/>
      </w:pPr>
    </w:p>
    <w:p w:rsidR="00163957" w:rsidRDefault="00163957" w:rsidP="00163957">
      <w:pPr>
        <w:pStyle w:val="TextoNormal"/>
      </w:pPr>
      <w:r>
        <w:t>El demandante parte de la doctrina establecida por este Tribunal en sus SSTC 97/2010, de 15 de noviembre; 109/2013, de 6 de mayo; 187/2013, de 4 de noviembre, y 192/2013, de 18 de noviembre, para sostener que la motivación que ofrecen las tres resoluciones judiciales por las que se le denegó, primero, y confirmó, después, tener por prescritas las penas de prisión impuestas no superan el canon constitucionalmente exigible en estos casos, pues introducen causas de interrupción de la prescripción distintas de las expresamente previstas en el art. 134 CP, que simplemente se refiere al inicio del efectivo cumplimiento de la pena desde la firmeza de la sentencia o bien, en su caso, desde el quebrantamiento de la condena si aquél se hubiera iniciado. Entiende el demandante manifiestamente incoherente con la norma aplicable, así como ajeno a los fines de la prescripción de la pena, que ambos órganos judiciales otorguen efecto interruptor del plazo a las diversas resoluciones dictadas en la ejecutoria de la que trae causa la petición de amparo, bien con un contenido negativo al resolver en forma desestimatoria las distintas formas de suspensión de la condena privativa de libertad solicitadas por el demandante, bien en un sentido positivo al ordenar su busca y captura, siendo así que no figuran como tales en el único precepto legal de cobertura.</w:t>
      </w:r>
    </w:p>
    <w:p w:rsidR="00163957" w:rsidRDefault="00163957" w:rsidP="00163957">
      <w:pPr>
        <w:pStyle w:val="TextoNormal"/>
      </w:pPr>
    </w:p>
    <w:p w:rsidR="00163957" w:rsidRDefault="00163957" w:rsidP="00163957">
      <w:pPr>
        <w:pStyle w:val="TextoNormal"/>
      </w:pPr>
      <w:r>
        <w:t xml:space="preserve">De este modo, su responsabilidad criminal por los hechos objeto de condena habría quedado extinguida el 29 de junio de 2013, fecha en la que habrían transcurrido los cinco años de plazo que, en función de la gravedad de las penas concretamente impuestas, resultaba de aplicación, </w:t>
      </w:r>
      <w:r w:rsidRPr="00163957">
        <w:rPr>
          <w:i/>
        </w:rPr>
        <w:t>ex</w:t>
      </w:r>
      <w:r>
        <w:t xml:space="preserve"> arts. 133.1 y 134 CP.</w:t>
      </w:r>
    </w:p>
    <w:p w:rsidR="00163957" w:rsidRDefault="00163957" w:rsidP="00163957">
      <w:pPr>
        <w:pStyle w:val="TextoNormal"/>
      </w:pPr>
    </w:p>
    <w:p w:rsidR="00163957" w:rsidRDefault="00163957" w:rsidP="00163957">
      <w:pPr>
        <w:pStyle w:val="TextoNormal"/>
      </w:pPr>
      <w:r w:rsidRPr="00163957">
        <w:rPr>
          <w:rStyle w:val="NumeroAFNegritaCaracter"/>
        </w:rPr>
        <w:t>4</w:t>
      </w:r>
      <w:r>
        <w:t>. El 27 de abril de 2015 la Sala Segunda de este Tribunal acordó admitir a trámite el recurso de amparo, apreciando en el mismo especial trascendencia constitucional (art. 50.1 de la Ley Orgánica del Tribunal Constitucional (LOTC) al plantear la demanda un problema o afectar a una faceta de un derecho fundamental sobre el que no hay doctrina de este Tribunal [STC 155/2009, FJ 2 a)].</w:t>
      </w:r>
    </w:p>
    <w:p w:rsidR="00163957" w:rsidRDefault="00163957" w:rsidP="00163957">
      <w:pPr>
        <w:pStyle w:val="TextoNormal"/>
      </w:pPr>
    </w:p>
    <w:p w:rsidR="00163957" w:rsidRDefault="00163957" w:rsidP="00163957">
      <w:pPr>
        <w:pStyle w:val="TextoNormal"/>
      </w:pPr>
      <w:r>
        <w:lastRenderedPageBreak/>
        <w:t>Dirigió, asimismo, atenta comunicación a la Sección Tercera de la Audiencia Provincial de Huelva, con el fin de que remitiera certificación o copia adverada del rollo de apelación núm. 199-2014. Constando en autos testimoniada la ejecutoria núm. 445-2008, acordó también dirigir oficio al Juzgado de lo Penal núm. 4 de Huelva a los solos efectos de emplazar a quienes hubieran sido parte en el procedimiento de procedencia, por si desearan comparecer en el presente recurso.</w:t>
      </w:r>
    </w:p>
    <w:p w:rsidR="00163957" w:rsidRDefault="00163957" w:rsidP="00163957">
      <w:pPr>
        <w:pStyle w:val="TextoNormal"/>
      </w:pPr>
    </w:p>
    <w:p w:rsidR="00163957" w:rsidRDefault="00163957" w:rsidP="00163957">
      <w:pPr>
        <w:pStyle w:val="TextoNormal"/>
      </w:pPr>
      <w:r>
        <w:t>Decidió, finalmente, la suspensión cautelar de la ejecución de la pena, toda vez que en otro caso podría seguirse para el demandante un perjuicio de imposible o muy difícil reparación, ordenando al tiempo la formación de pieza separada para la sustanciación del incidente de suspensión. Despachados los trámites oportunos, por Auto de 25 de mayo de 2015 este Tribunal acordó mantener dicha suspensión.</w:t>
      </w:r>
    </w:p>
    <w:p w:rsidR="00163957" w:rsidRDefault="00163957" w:rsidP="00163957">
      <w:pPr>
        <w:pStyle w:val="TextoNormal"/>
      </w:pPr>
    </w:p>
    <w:p w:rsidR="00163957" w:rsidRDefault="00163957" w:rsidP="00163957">
      <w:pPr>
        <w:pStyle w:val="TextoNormal"/>
      </w:pPr>
      <w:r w:rsidRPr="00163957">
        <w:rPr>
          <w:rStyle w:val="NumeroAFNegritaCaracter"/>
        </w:rPr>
        <w:t>5</w:t>
      </w:r>
      <w:r>
        <w:t>. El Ministerio Fiscal cumplimentó el trámite de alegaciones mediante escrito presentado el 3 de julio de 2015, interesando la estimación del amparo por considerar de aplicación la doctrina recientemente establecida por este Tribunal en la STC 63/2015, de 13 de abril, que aborda un supuesto similar. Conforme a ella, los razonamientos esgrimidos en los tres Autos objeto de recurso serían contrarios al canon de motivación exigible al apartarse de la normativa legal de aplicación (art. 134 CP), que no incluye como causas interruptoras del plazo de prescripción de la pena ninguna de las concretamente atendidas a tal fin tanto por el Juzgado de lo Penal como por la Audiencia Provincial. Así, en cuanto a las distintas resoluciones dictadas en orden a resolver cada petición suspensiva cursada por el penado, subraya el Fiscal que la mera emisión de tales resoluciones, no conforman en sí mismas causas interruptoras del plazo. Igual consideración le merece la especial relevancia que, como argumento de refuerzo, se otorga en la instancia al escaso fundamento de cada concreta solicitud, lo que considera que tampoco colma la motivación exigible en estos casos. A análoga conclusión llega respecto de las órdenes de busca y captura, en la medida en que ninguna de ellas comportó el efectivo ingreso en prisión del penado para el cumplimiento de la pena firme y ejecutoria.</w:t>
      </w:r>
    </w:p>
    <w:p w:rsidR="00163957" w:rsidRDefault="00163957" w:rsidP="00163957">
      <w:pPr>
        <w:pStyle w:val="TextoNormal"/>
      </w:pPr>
    </w:p>
    <w:p w:rsidR="00163957" w:rsidRDefault="00163957" w:rsidP="00163957">
      <w:pPr>
        <w:pStyle w:val="TextoNormal"/>
      </w:pPr>
      <w:r>
        <w:t>Estima, por ello, lesionado el derecho a la tutela judicial efectiva del demandante (art. 24.1 CE), vulneración que a su vez incide en su derecho a la libertad y a la legalidad penal (arts. 17.1 y 25.1 CE). Razones por las que, de acuerdo con lo dispuesto en el inciso primero del art. 86.1 LOTC, interesa que se anulen los tres Autos impugnados y se acuerde la retroacción de las actuaciones al momento inmediatamente anterior al dictado de la primera resolución, con el fin de que por el Juzgado de lo Penal concernido se dicte otra respetuosa con los derechos fundamentales lesionados.</w:t>
      </w:r>
    </w:p>
    <w:p w:rsidR="00163957" w:rsidRDefault="00163957" w:rsidP="00163957">
      <w:pPr>
        <w:pStyle w:val="TextoNormal"/>
      </w:pPr>
    </w:p>
    <w:p w:rsidR="00163957" w:rsidRDefault="00163957" w:rsidP="00163957">
      <w:pPr>
        <w:pStyle w:val="TextoNormal"/>
      </w:pPr>
      <w:r w:rsidRPr="00163957">
        <w:rPr>
          <w:rStyle w:val="NumeroAFNegritaCaracter"/>
        </w:rPr>
        <w:t>6</w:t>
      </w:r>
      <w:r>
        <w:t>. El recurrente en amparo evacuó el trámite de alegaciones el 9 de julio de 2015, remitiéndose en esencia al contenido de su demanda, cuyos argumentos de fondo dio por reproducidos.</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28 de enero de 2016 se señaló para la deliberación y votación de la presente Sentencia el día 1 de febrero del mismo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Se interpone el presente recurso de amparo contra los Autos de 20 de diciembre de 2013 y 17 de febrero de 2014, del Juzgado de lo Penal núm. 4 de Huelva en la ejecutoria núm. 445-2008, así como contra el Auto de 2 de mayo de 2014 de la Audiencia Provincial de Huelva (Sección Tercera), desestimatorio del recurso de apelación interpuesto frente a los anteriores, que rechazaron la solicitud formulada por el demandante de declaración de la prescripción de las penas de tres años y dos años que le habían sido impuestas por Sentencia firme que devino ejecutoria el 31 de julio de 2008.</w:t>
      </w:r>
    </w:p>
    <w:p w:rsidR="00163957" w:rsidRDefault="00163957" w:rsidP="00163957">
      <w:pPr>
        <w:pStyle w:val="TextoNormal"/>
      </w:pPr>
    </w:p>
    <w:p w:rsidR="00163957" w:rsidRDefault="00163957" w:rsidP="00163957">
      <w:pPr>
        <w:pStyle w:val="TextoNormal"/>
      </w:pPr>
      <w:r>
        <w:t>En los antecedentes han quedado expuestas con detalle las actuaciones que tuvieron lugar desde la firmeza de la Sentencia, tanto en cuanto a las denegaciones de las solicitudes del demandante respecto a la concesión de la suspensión condicional de la pena, como a la denegación del aplazamiento del ingreso en prisión durante la tramitación de la solicitud de indulto, y otras incidencias consistentes en requisitoria judicial de búsqueda y detención que no lograron su cometido, hasta finalmente el mandamiento de prisión de fecha de 4 de diciembre de 2013 que se hizo efectivo en el centro penitenciario en el que se encontraba el recurrente ingresado por otra causa.</w:t>
      </w:r>
    </w:p>
    <w:p w:rsidR="00163957" w:rsidRDefault="00163957" w:rsidP="00163957">
      <w:pPr>
        <w:pStyle w:val="TextoNormal"/>
      </w:pPr>
    </w:p>
    <w:p w:rsidR="00163957" w:rsidRDefault="00163957" w:rsidP="00163957">
      <w:pPr>
        <w:pStyle w:val="TextoNormal"/>
      </w:pPr>
      <w:r>
        <w:t>A juicio del demandante, las resoluciones judiciales impugnadas infringen su derecho a la tutela judicial efectiva en relación con el derecho a la libertad y a la legalidad penal (arts. 24.1, 17.1 y 25.1 CE) al haber apreciado como causas de interrupción de la prescripción de la pena supuestos no previstos en el art. 134 CP. Lo cual se aparta de la doctrina constitucional establecida en las SSTC 97/2010, de 15 de noviembre, 109/2013, de 6 de mayo, 187/2013, de 4 de noviembre, y 192/2013, de 8 de noviembre, de las que se desprende que, dado el tenor del art 134 CP, el transcurso del plazo de prescripción de la pena solo se interrumpe cuando se inicia el cumplimiento de ésta.</w:t>
      </w:r>
    </w:p>
    <w:p w:rsidR="00163957" w:rsidRDefault="00163957" w:rsidP="00163957">
      <w:pPr>
        <w:pStyle w:val="TextoNormal"/>
      </w:pPr>
    </w:p>
    <w:p w:rsidR="00163957" w:rsidRDefault="00163957" w:rsidP="00163957">
      <w:pPr>
        <w:pStyle w:val="TextoNormal"/>
      </w:pPr>
      <w:r>
        <w:t>El Ministerio Fiscal interesa la estimación del recurso, entendiendo efectivamente vulnerados los derechos que se invocan sobre la base de los argumentos anteriormente expuestos en esta resolución, coincidentes en líneas generales con los expresados por el demandante.</w:t>
      </w:r>
    </w:p>
    <w:p w:rsidR="00163957" w:rsidRDefault="00163957" w:rsidP="00163957">
      <w:pPr>
        <w:pStyle w:val="TextoNormal"/>
      </w:pPr>
    </w:p>
    <w:p w:rsidR="00163957" w:rsidRDefault="00163957" w:rsidP="00163957">
      <w:pPr>
        <w:pStyle w:val="TextoNormal"/>
      </w:pPr>
      <w:r w:rsidRPr="00163957">
        <w:rPr>
          <w:rStyle w:val="NumeroAFNegritaCaracter"/>
        </w:rPr>
        <w:t>2</w:t>
      </w:r>
      <w:r>
        <w:t>. Como paso previo al examen de fondo del recurso de amparo, hemos de referirnos a las razones de su admisión a trámite, apuntadas en la providencia de 27 de abril de 2015, en el sentido de apreciar que la demanda viene a plantear un problema vinculado a una faceta de un derecho fundamental sobre el que no hay doctrina previa de este Tribunal [STC 155/2009, FJ 2 a)].</w:t>
      </w:r>
    </w:p>
    <w:p w:rsidR="00163957" w:rsidRDefault="00163957" w:rsidP="00163957">
      <w:pPr>
        <w:pStyle w:val="TextoNormal"/>
      </w:pPr>
    </w:p>
    <w:p w:rsidR="00163957" w:rsidRDefault="00163957" w:rsidP="00163957">
      <w:pPr>
        <w:pStyle w:val="TextoNormal"/>
      </w:pPr>
      <w:r>
        <w:t xml:space="preserve">Precisión que formulamos en salvaguarda del principio de seguridad jurídica que, conforme a la Sentencia del Tribunal Europeo de Derechos Humanos de 20 de enero de 2015, dictada en el caso </w:t>
      </w:r>
      <w:r w:rsidRPr="00163957">
        <w:rPr>
          <w:i/>
        </w:rPr>
        <w:t>Arribas Antón c. España</w:t>
      </w:r>
      <w:r>
        <w:t xml:space="preserve">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169/2015, de 20 de julio, FJ 1, y posteriores).</w:t>
      </w:r>
    </w:p>
    <w:p w:rsidR="00163957" w:rsidRDefault="00163957" w:rsidP="00163957">
      <w:pPr>
        <w:pStyle w:val="TextoNormal"/>
      </w:pPr>
    </w:p>
    <w:p w:rsidR="00163957" w:rsidRDefault="00163957" w:rsidP="00163957">
      <w:pPr>
        <w:pStyle w:val="TextoNormal"/>
      </w:pPr>
      <w:r>
        <w:lastRenderedPageBreak/>
        <w:t>Las particularidades del caso permiten a este Tribunal consolidar la doctrina iniciada con la STC 63/2015, de 13 de abril, en un supuesto con notables semejanzas al presente. La citada Sentencia, al ser de fecha posterior a las resoluciones impugnadas en la demanda de amparo, no pudo ser conocida por los órganos judiciales que las dictaron, como tampoco por el recurrente al presentar la demanda. Por ello, el actual supuesto permite a este Tribunal reforzar la doctrina allí señalada, garantizando su mejor cumplimiento al abundar en sus parámetros generales y en su concreción aplicativa, en los términos que luego se verán (STC 203/2015, de 5 de octubre). Tales circunstancias dotan a la demanda de amparo de trascendencia constitucional a estos efectos [arts. 49.1 y 50.1 b) de la Ley Orgánica del Tribunal Constitucional: LOTC].</w:t>
      </w:r>
    </w:p>
    <w:p w:rsidR="00163957" w:rsidRDefault="00163957" w:rsidP="00163957">
      <w:pPr>
        <w:pStyle w:val="TextoNormal"/>
      </w:pPr>
    </w:p>
    <w:p w:rsidR="00163957" w:rsidRDefault="00163957" w:rsidP="00163957">
      <w:pPr>
        <w:pStyle w:val="TextoNormal"/>
      </w:pPr>
      <w:r w:rsidRPr="00163957">
        <w:rPr>
          <w:rStyle w:val="NumeroAFNegritaCaracter"/>
        </w:rPr>
        <w:t>3</w:t>
      </w:r>
      <w:r>
        <w:t>. La impugnación sustancial del presente recurso versa sobre la vulneración del derecho a la legalidad penal (art. 25.1 CE) en relación a los supuestos de interrupción del plazo de prescripción de una pena, atendiendo a las previsiones que el propio Código penal establece al efecto en su art. 134. El recurrente aduce, asimismo, que se ha producido lesión de la tutela judicial por apartamiento del canon de motivación exigible en esta materia, alegación que comparte el Ministerio Fiscal.</w:t>
      </w:r>
    </w:p>
    <w:p w:rsidR="00163957" w:rsidRDefault="00163957" w:rsidP="00163957">
      <w:pPr>
        <w:pStyle w:val="TextoNormal"/>
      </w:pPr>
    </w:p>
    <w:p w:rsidR="00163957" w:rsidRDefault="00163957" w:rsidP="00163957">
      <w:pPr>
        <w:pStyle w:val="TextoNormal"/>
      </w:pPr>
      <w:r>
        <w:t xml:space="preserve">Con carácter preliminar procede recordar que —como se señalaba en la STC 63/2015, de 13 de abril, por remisión a las SSTC 47/2014, de 7 de abril, y 37/2010, de 19 de julio, entre otras— el instituto de la prescripción penal supone una autolimitación o renuncia del Estado al ejercicio del </w:t>
      </w:r>
      <w:r w:rsidRPr="00163957">
        <w:rPr>
          <w:i/>
        </w:rPr>
        <w:t>ius puniendi</w:t>
      </w:r>
      <w:r>
        <w:t xml:space="preserve"> en consideración a los incidencia que tiene el transcurso de un determinado tiempo en las funciones y fines de la intervención penal, así como por razones de seguridad jurídica que conducen a fijar un límite temporal para que no se dilate indefinidamente la incertidumbre de la inculpación o de la persecución penal. Fundamentos que explican el instituto de la prescripción en el ámbito punitivo en general, pero que requieren ciertas precisiones a efectos de diferenciar la prescripción de la acción penal —o prescripción del delito— frente a la prescripción del cumplimiento de la pena adjudicada en sentencia condenatoria. La prescripción del delito opera como obstáculo procesal que impide la investigación judicial, y por ello puede decirse que la sociedad —en decisión del legislador que le representa— renuncia al </w:t>
      </w:r>
      <w:r w:rsidRPr="00163957">
        <w:rPr>
          <w:i/>
        </w:rPr>
        <w:t>ius puniendi</w:t>
      </w:r>
      <w:r>
        <w:t xml:space="preserve">, renuncia a una investigación tardía del delito y exime de responsabilidad penal a los eventuales responsables, por razones pragmáticas y jurídicas. Por el contrario, la institución de la prescripción de la pena se sitúa temporalmente en el espacio posterior al efectivo enjuiciamiento de los hechos y a la declaración de responsabilidad criminal, por lo que en esta vertiente de la prescripción no se produce en sentido estricto una renuncia al </w:t>
      </w:r>
      <w:r w:rsidRPr="00163957">
        <w:rPr>
          <w:i/>
        </w:rPr>
        <w:t>ius puniendi</w:t>
      </w:r>
      <w:r>
        <w:t>, sino una renuncia a una ejecución tardía de la pena. Diferencias que tiene su reflejo en el distinto tratamiento que la ley establece para ambos supuestos en cuanto a su alcance, requisitos y efectos, aspectos de configuración legislativa que sirven a la garantía de seguridad jurídica como sustrato del derecho fundamental a la legalidad (art 25.1 CE).</w:t>
      </w:r>
    </w:p>
    <w:p w:rsidR="00163957" w:rsidRDefault="00163957" w:rsidP="00163957">
      <w:pPr>
        <w:pStyle w:val="TextoNormal"/>
      </w:pPr>
    </w:p>
    <w:p w:rsidR="00163957" w:rsidRDefault="00163957" w:rsidP="00163957">
      <w:pPr>
        <w:pStyle w:val="TextoNormal"/>
      </w:pPr>
      <w:r>
        <w:t xml:space="preserve">Al igual que en la regulación de la prescripción del delito, la concreta regulación de la prescripción de la pena constituye una opción de política criminal del legislador, quien debe fijar las peculiaridades de su régimen jurídico y decidir sobre la clase de delitos y de penas que quedan sometidos al régimen de prescripción, en qué condiciones, con qué plazos, y cómo deben computarse éstos. Una vez configurado normativamente el alcance de la prescripción, la aplicación de la previsión legal no puede entenderse como lesión o merma del derecho a la acción penal o del derecho a la persecución penal del delito que aleguen las </w:t>
      </w:r>
      <w:r>
        <w:lastRenderedPageBreak/>
        <w:t xml:space="preserve">partes acusadoras (STEDH de 22 de octubre de 1996, caso </w:t>
      </w:r>
      <w:r w:rsidRPr="00163957">
        <w:rPr>
          <w:i/>
        </w:rPr>
        <w:t>Stubbings y otros c. Reino Unido</w:t>
      </w:r>
      <w:r>
        <w:t>, § 46 y ss.). Del mismo modo que las peculiaridades del régimen jurídico de la prescripción, así determinado, no pueden considerarse, en sí mismas, lesivas de ningún derecho fundamental de los acusados (en este sentido, STC 157/1990, de 18 de octubre, FJ 3, y otras posteriores, así como a la STC 63/2015, de 13 de abril, FJ 3, referida a un caso prácticamente idéntico al que nos ocupa).</w:t>
      </w:r>
    </w:p>
    <w:p w:rsidR="00163957" w:rsidRDefault="00163957" w:rsidP="00163957">
      <w:pPr>
        <w:pStyle w:val="TextoNormal"/>
      </w:pPr>
    </w:p>
    <w:p w:rsidR="00163957" w:rsidRDefault="00163957" w:rsidP="00163957">
      <w:pPr>
        <w:pStyle w:val="TextoNormal"/>
      </w:pPr>
      <w:r>
        <w:t>Conforme a consolidada doctrina constitucional, reiterada en la STC 63/2015, la apreciación de la prescripción en cada caso concreto, como causa extintiva del cumplimiento de la pena conforme a la previsión legal, es una cuestión de legalidad ordinaria, carente por su propio contenido de relevancia constitucional. Cuestión distinta es que la concreta decisión judicial que aprecia o rechaza la prescripción ignore los términos de la norma aplicable o no se ajuste al canon de motivación constitucionalmente exigible, en cuyo caso esa resolución será susceptible de impugnación a través de recurso de amparo. Impugnación que este Tribunal deberá examinar tanto desde el derecho a la legalidad penal (art. 25.1 CE) como desde el derecho a la tutela judicial efectiva (art. 24.1 CE), con repercusión última en ambos casos en el derecho a la libertad personal (art. 17.1 CE; SSTC 214/1999, de 29 de noviembre, FJ 4; 63/2001, de 17 de marzo, FJ 7; 63/2005, de 14 de marzo, FJ 3; 82/2006, de 13 de marzo, FJ 10, y 79/2008, de 14 de julio, FJ 2).</w:t>
      </w:r>
    </w:p>
    <w:p w:rsidR="00163957" w:rsidRDefault="00163957" w:rsidP="00163957">
      <w:pPr>
        <w:pStyle w:val="TextoNormal"/>
      </w:pPr>
    </w:p>
    <w:p w:rsidR="00163957" w:rsidRDefault="00163957" w:rsidP="00163957">
      <w:pPr>
        <w:pStyle w:val="TextoNormal"/>
      </w:pPr>
      <w:r>
        <w:t xml:space="preserve">Como hemos reiterado en numerosas ocasiones, desde el derecho a la legalidad penal (art. 25.1 CE) resultará conculcada la libertad “tanto cuando se actúe bajo la cobertura improcedente de la ley, como cuando se proceda contra lo que la misma dispone” (SSTC 127/1984, de 26 de diciembre, FJ 4; 28/1985, de 27 de marzo, FJ 2; 241/1994, de 20 de julio, FJ 4; 322/2005, de 12 de diciembre, FJ 3, y 57/2008, de 28 de abril, FJ 2). Los términos en los que el instituto de la prescripción penal venga regulado deberán ser interpretados con particular rigor “en tanto que perjudiquen al reo” (SSTC 29/2008, de 20 de febrero, FFJJ 10 y 12, y 37/2010, de 19 de julio, FJ 5). Debe tenerse en cuenta que puede haber interpretaciones que, aunque respondan a una racionalidad acorde con un determinado entendimiento que el Juzgador considere asumible, en tanto se separen o desconozcan los estrictos términos de la previsión legal y de la racionalidad legislativa que la sustenta, se convierten en interpretaciones irracionales e incoherentes por vulneradoras de las estrictas garantías de la motivación en el marco de la legalidad penal. No puede eludirse la declaración de inconstitucionalidad o la apreciación de lesión en los señalados derechos fundamentales cuando la interpretación judicial de la norma reguladora de la prescripción de la pena, suponga una aplicación extensiva o analógica en perjuicio del reo (STC 63/2005, FJ 3; y otras posteriores recogidas en la más reciente STC 63/2015, FJ 3). El control de la prescripción de la pena en sede constitucional partirá, por tanto, de la prohibición de interpretaciones </w:t>
      </w:r>
      <w:r w:rsidRPr="00163957">
        <w:rPr>
          <w:i/>
        </w:rPr>
        <w:t>contra legem</w:t>
      </w:r>
      <w:r>
        <w:t xml:space="preserve">, y de interpretaciones extensivas </w:t>
      </w:r>
      <w:r w:rsidRPr="00163957">
        <w:rPr>
          <w:i/>
        </w:rPr>
        <w:t>in malam partem</w:t>
      </w:r>
      <w:r>
        <w:t>.</w:t>
      </w:r>
    </w:p>
    <w:p w:rsidR="00163957" w:rsidRDefault="00163957" w:rsidP="00163957">
      <w:pPr>
        <w:pStyle w:val="TextoNormal"/>
      </w:pPr>
    </w:p>
    <w:p w:rsidR="00163957" w:rsidRDefault="00163957" w:rsidP="00163957">
      <w:pPr>
        <w:pStyle w:val="TextoNormal"/>
      </w:pPr>
      <w:r>
        <w:t xml:space="preserve">Es, asimismo, doctrina del Tribunal que, dada la trascendencia de los valores constitucionales y derechos fundamentales concernidos, cuando entre en juego la libertad personal el control de la resolución impugnada amparado en la tutela judicial efectiva actuará bajo el canon de la motivación reforzada (art. 24.1 CE). La decisión judicial deberá así razonar los elementos tomados en cuenta a la hora de interpretar las normas relativas a la prescripción de la sanción penal respetando, al propio tiempo, los fines que dicho instituto persigue (SSTC 63/2005, de 14 de marzo, FJ 3; 29/2008, de 20 de febrero, FJ 10; 79/2008, de 14 de julio, FJ 2; y 195/2009, de 28 de septiembre, FJ 2). El estándar de motivación aplicable a </w:t>
      </w:r>
      <w:r>
        <w:lastRenderedPageBreak/>
        <w:t>estos casos será, pues, especialmente riguroso, debiendo abarcar tanto la exteriorización del razonamiento por el que se estima que concurre —o no— el supuesto previsto en la ley, como el nexo de coherencia entre la decisión adoptada, la norma que le sirve de fundamento y los fines que la justifican (STC 63/2001, de 17 de marzo, FJ 7; seguida entre otras, por STC 63/2005).</w:t>
      </w:r>
    </w:p>
    <w:p w:rsidR="00163957" w:rsidRDefault="00163957" w:rsidP="00163957">
      <w:pPr>
        <w:pStyle w:val="TextoNormal"/>
      </w:pPr>
    </w:p>
    <w:p w:rsidR="00163957" w:rsidRDefault="00163957" w:rsidP="00163957">
      <w:pPr>
        <w:pStyle w:val="TextoNormal"/>
      </w:pPr>
      <w:r w:rsidRPr="00163957">
        <w:rPr>
          <w:rStyle w:val="NumeroAFNegritaCaracter"/>
        </w:rPr>
        <w:t>4</w:t>
      </w:r>
      <w:r>
        <w:t>. El art. 134 del Código penal en la redacción entonces vigente para su aplicación al presente caso, decía textualmente: “El tiempo de la prescripción de la pena se computará desde la fecha de la sentencia firme, o desde el quebrantamiento de la condena, si ésta hubiese comenzado a cumplirse”.</w:t>
      </w:r>
    </w:p>
    <w:p w:rsidR="00163957" w:rsidRDefault="00163957" w:rsidP="00163957">
      <w:pPr>
        <w:pStyle w:val="TextoNormal"/>
      </w:pPr>
    </w:p>
    <w:p w:rsidR="00163957" w:rsidRDefault="00163957" w:rsidP="00163957">
      <w:pPr>
        <w:pStyle w:val="TextoNormal"/>
      </w:pPr>
      <w:r>
        <w:t>El precepto parte lógicamente de lo que constituye el presupuesto natural para que pueda entrar en juego el instituto de la prescripción, que no es otro que el transcurso del tiempo sin que haya empezado a ejecutarse la pena impuesta, independientemente de la razón de esa tardanza, sea por elusión de la orden judicial o huida de la justicia, sea por posposición del inicio de la ejecución por otras razones, incluidas las previstas en la ley. El inicio del cumplimiento de la pena es por tanto la primera causa natural de interrupción de la prescripción, cuando por alguna razón se hubiera producido una tardanza. Tardanza a computar a partir de la fecha de la sentencia firme, fecha que, como explicita el art. 134 CP, determina el arranque del plazo de la prescripción. En caso de quebrantamiento de la pena que ya estaba cumpliéndose, vuelve a entrar en juego el cómputo de los plazos a efectos de la eventual prescripción.</w:t>
      </w:r>
    </w:p>
    <w:p w:rsidR="00163957" w:rsidRDefault="00163957" w:rsidP="00163957">
      <w:pPr>
        <w:pStyle w:val="TextoNormal"/>
      </w:pPr>
    </w:p>
    <w:p w:rsidR="00163957" w:rsidRDefault="00163957" w:rsidP="00163957">
      <w:pPr>
        <w:pStyle w:val="TextoNormal"/>
      </w:pPr>
      <w:r>
        <w:t xml:space="preserve">Este Tribunal, en su STC 97/2010, de 15 de noviembre, FJ 4, ya descartó que la suspensión de la ejecución de la pena durante la tramitación de una solicitud de indulto —como también de un recurso de amparo— despliegue un efecto interruptor sobre el plazo señalado a la prescripción de la pena, poniendo de relieve la carencia de específica previsión legal al efecto, en la medida en que el art. 134 CP se limita a indicar como </w:t>
      </w:r>
      <w:r w:rsidRPr="00163957">
        <w:rPr>
          <w:i/>
        </w:rPr>
        <w:t>dies a quo</w:t>
      </w:r>
      <w:r>
        <w:t xml:space="preserve"> para el cómputo del plazo de prescripción de la pena la fecha en que la Sentencia deviene firme o bien aquélla en que la condena es quebrantada.</w:t>
      </w:r>
    </w:p>
    <w:p w:rsidR="00163957" w:rsidRDefault="00163957" w:rsidP="00163957">
      <w:pPr>
        <w:pStyle w:val="TextoNormal"/>
      </w:pPr>
    </w:p>
    <w:p w:rsidR="00163957" w:rsidRDefault="00163957" w:rsidP="00163957">
      <w:pPr>
        <w:pStyle w:val="TextoNormal"/>
      </w:pPr>
      <w:r>
        <w:t>De acuerdo con la citada STC 97/2010, “la contemplación de nuevas causas interruptivas de la prescripción de las penas distintas a las recogidas en los preceptos legales reguladores de dicho instituto no es un supuesto que, lógicamente, teniendo en cuenta los precedentes del Código penal de 1995, pudiera haber pasado inadvertido al legislador al regular dicha materia, lo que ‘desde la obligada pauta de la interpretación en el sentido de la mayor efectividad del derecho fundamental y de la correlativa interpretación restrictiva de sus límites’ (SSTC 19/1999, de 22 de enero, FJ 5; 57/2008, de 28 de abril, FJ 6), permite entender que si el legislador no incluyó aquellos supuestos de suspensión de ejecución de la pena como causas de interrupción de la prescripción de las mismas fue sencillamente porque no quiso hacerlo. En todo caso, y al margen de problemáticas presunciones sobre la intención del legislador, el dato negativo de la no previsión de esa situación es indudable y, a partir de él, no resulta constitucionalmente aceptable una interpretación de los preceptos legales aplicables que excede de su más directo significado gramatical.” (FJ 5).</w:t>
      </w:r>
    </w:p>
    <w:p w:rsidR="00163957" w:rsidRDefault="00163957" w:rsidP="00163957">
      <w:pPr>
        <w:pStyle w:val="TextoNormal"/>
      </w:pPr>
    </w:p>
    <w:p w:rsidR="00163957" w:rsidRDefault="00163957" w:rsidP="00163957">
      <w:pPr>
        <w:pStyle w:val="TextoNormal"/>
      </w:pPr>
      <w:r>
        <w:t xml:space="preserve">La doctrina anterior es reiterada, entre otras, en las SSTC 109/2013, de 6 de mayo, 152/2013, de 9 de septiembre, 187/2013, de 4 de noviembre, 192/2013, de 18 de noviembre, 49/2014, de 7 de abril, y 63/2015, de 13 de abril, en las que se insiste en que en el ámbito </w:t>
      </w:r>
      <w:r>
        <w:lastRenderedPageBreak/>
        <w:t>de ejecución de la pena no cabe hablar de otras formas de interrupción de la prescripción de la pena o de supuestos de reinicio del cómputo del plazo distinto al del quebrantamiento de condena; el actual Código penal no contempla otras causas de interrupción, a diferencia del anterior Código penal de 1973 que contemplaba la comisión de un nuevo delito como causa interruptiva (SSTC 97/2010, de 15 de noviembre, FJ 4; 109/2013, de 6 de mayo, FJ 4; 187/2013, de 4 de noviembre, FJ 4; 192/2013, de 18 de noviembre, FJ 4, y 49/2014, de 7 de abril, FJ 3).</w:t>
      </w:r>
    </w:p>
    <w:p w:rsidR="00163957" w:rsidRDefault="00163957" w:rsidP="00163957">
      <w:pPr>
        <w:pStyle w:val="TextoNormal"/>
      </w:pPr>
    </w:p>
    <w:p w:rsidR="00163957" w:rsidRDefault="00163957" w:rsidP="00163957">
      <w:pPr>
        <w:pStyle w:val="TextoNormal"/>
      </w:pPr>
      <w:r>
        <w:t xml:space="preserve">De ahí que este Tribunal haya determinado, desde la perspectiva constitucional aludida y bajo la vigencia del citado tenor del art. 134 CP, que los actos de emplazamiento o las órdenes concernientes a la ejecución de la pena, en tanto no determinen el inicio de su cumplimiento, </w:t>
      </w:r>
      <w:r w:rsidRPr="00163957">
        <w:rPr>
          <w:i/>
        </w:rPr>
        <w:t>in natura</w:t>
      </w:r>
      <w:r>
        <w:t xml:space="preserve"> o como sustitutivo, carezcan de relevancia interruptora de la prescripción (STC 187/2013, de 4 de noviembre, FJ 4, con cita de la STC 109/2013, de 6 de mayo, FJ 5; y posteriores; y, de forma particular, la STC 63/2015, FJ 5). Precisamente por apreciar que se trataba de supuestos de cumplimiento sustitutivo, tal y como había adelantado este Tribunal en STC 109/2013, de 6 de mayo, FJ 5, destacó la STC 81/2014, de 28 de mayo, FJ 3, </w:t>
      </w:r>
      <w:r w:rsidRPr="00163957">
        <w:rPr>
          <w:i/>
        </w:rPr>
        <w:t>in fine</w:t>
      </w:r>
      <w:r>
        <w:t>, y reiteró la STC 180/2014, de 3 de noviembre, FFJJ 2 y 3, que la doctrina establecida en la STC 97/2010, de 15 de noviembre, no resulta directamente trasladable a aquellos supuestos de paralización de la ejecución natural de la pena derivados de cuantas formas alternativas de cumplimiento reconoce expresamente el legislador, dada su diferente naturaleza jurídica y efectos. Tal es el caso de la suspensión y la sustitución de las penas privativas de libertad previstas en los arts. 80 y ss. CP, figuras que han sido calificadas como formas de cumplimiento sustitutivas o alternativas a la pena de prisión (SSTC 109/2013, de 6 de mayo, FJ 5, y 63/2015, de 13 de abril, FJ 5).</w:t>
      </w:r>
    </w:p>
    <w:p w:rsidR="00163957" w:rsidRDefault="00163957" w:rsidP="00163957">
      <w:pPr>
        <w:pStyle w:val="TextoNormal"/>
      </w:pPr>
    </w:p>
    <w:p w:rsidR="00163957" w:rsidRDefault="00163957" w:rsidP="00163957">
      <w:pPr>
        <w:pStyle w:val="TextoNormal"/>
      </w:pPr>
      <w:r w:rsidRPr="00163957">
        <w:rPr>
          <w:rStyle w:val="NumeroAFNegritaCaracter"/>
        </w:rPr>
        <w:t>5</w:t>
      </w:r>
      <w:r>
        <w:t>. En el presente caso, se otorga efecto interruptivo de la prescripción de la pena a aquellas decisiones judiciales que sucesivamente denegaron al demandante un cumplimiento alternativo a la prisión, en las diversas modalidades legalmente previstas y progresivamente solicitadas por éste. Asimismo, a las órdenes de busca y captura para su detención e ingreso en prisión, que devinieron de imposible ejecución hasta que se constató su presencia en el centro penitenciario de Huelva, por orden cursada en diferente procedimiento. En ningún momento se inició, por tanto, la ejecución de las penas de prisión cuya prescripción es objeto del presente amparo.</w:t>
      </w:r>
    </w:p>
    <w:p w:rsidR="00163957" w:rsidRDefault="00163957" w:rsidP="00163957">
      <w:pPr>
        <w:pStyle w:val="TextoNormal"/>
      </w:pPr>
    </w:p>
    <w:p w:rsidR="00163957" w:rsidRDefault="00163957" w:rsidP="00163957">
      <w:pPr>
        <w:pStyle w:val="TextoNormal"/>
      </w:pPr>
      <w:r>
        <w:t>Tal y como se ha hecho constar en los antecedentes, después de dictarse Sentencia condenatoria y de declararse su firmeza, por Auto de 1 de octubre de 2008 se desestimó una primera solicitud de suspensión de la pena privativa de libertad, disponiéndose el cumplimiento de las penas impuestas, lo cual sin embargo no se llevó a término. A ello siguieron una solicitud de sustitución extraordinaria (art. 87 CP) y una petición de suspensión durante la tramitación del indulto, con igual resultado judicial desestimatorio e idéntica posposición del inicio de la ejecución de ambas penas de prisión durante la tramitación y resolución de los recursos interpuestos frente a cada decisión. Mediante dos mandamientos judiciales posteriores, de 8 de marzo y 11 de julio de 2013, el órgano judicial dispuso la detención e ingreso en prisión del penado, mandato que en ambos casos quedó frustrado hasta el 4 de diciembre de 2013, fecha en la que el demandante fue finalmente localizado, dictándose en ese momento su retención penitenciaria en calidad de penado para el cumplimiento de las penas aquí impuestas.</w:t>
      </w:r>
    </w:p>
    <w:p w:rsidR="00163957" w:rsidRDefault="00163957" w:rsidP="00163957">
      <w:pPr>
        <w:pStyle w:val="TextoNormal"/>
      </w:pPr>
    </w:p>
    <w:p w:rsidR="00163957" w:rsidRDefault="00163957" w:rsidP="00163957">
      <w:pPr>
        <w:pStyle w:val="TextoNormal"/>
      </w:pPr>
      <w:r>
        <w:lastRenderedPageBreak/>
        <w:t>El demandante sostiene que las resoluciones recurridas en amparo, desestimatorias de su pretensión de entender prescritas las penas de prisión por el simple transcurso del plazo fijado legalmente, contravienen la doctrina establecida por este Tribunal en la STC 97/2010, de 15 de noviembre, y reiterada en otras posteriores. En ellas, como hemos visto, este Tribunal consideró inconstitucional la ampliación de las causas de interrupción de la pena a supuestos no recogidos en el tenor del precepto aplicable y, por ello mismo, su extensión a la tramitación del indulto. La doctrina así instituida conforme a las exigencias de la legalidad penal (art. 25.1 CE) resulta, en efecto, aplicable al periodo afectado por la petición del demandante, lo cual conduce al otorgamiento del amparo.</w:t>
      </w:r>
    </w:p>
    <w:p w:rsidR="00163957" w:rsidRDefault="00163957" w:rsidP="00163957">
      <w:pPr>
        <w:pStyle w:val="TextoNormal"/>
      </w:pPr>
    </w:p>
    <w:p w:rsidR="00163957" w:rsidRDefault="00163957" w:rsidP="00163957">
      <w:pPr>
        <w:pStyle w:val="TextoNormal"/>
      </w:pPr>
      <w:r>
        <w:t>Las distintas y sucesivas resoluciones judiciales que denegaron al demandante cada forma de cumplimiento alternativo se limitaron a decidir sobre su solicitud, sin comportar en momento alguno una efectiva ejecución de las penas de prisión impuestas al recurrente en amparo. Por tal motivo, el razonamiento judicial que vino a entender interrumpida la prescripción de estas penas por el mero dictado de las referidas decisiones judiciales se basa en una hipótesis ajena al art. 134 CP. De igual modo, los argumentos postulados en ambas instancias judiciales como “de refuerzo”, tales como la escasa solidez de lo interesado en cada ocasión o la prontitud en la respuesta judicial, no guardan conexión con el tenor del criterio legalmente aplicable, que no admite dudas sobre el inicio del plazo de prescripción y sobre el eventual reinicio del cómputo en supuesto de quebrantamiento, que no es el caso.</w:t>
      </w:r>
    </w:p>
    <w:p w:rsidR="00163957" w:rsidRDefault="00163957" w:rsidP="00163957">
      <w:pPr>
        <w:pStyle w:val="TextoNormal"/>
      </w:pPr>
    </w:p>
    <w:p w:rsidR="00163957" w:rsidRDefault="00163957" w:rsidP="00163957">
      <w:pPr>
        <w:pStyle w:val="TextoNormal"/>
      </w:pPr>
      <w:r>
        <w:t>Las distintas líneas argumentativas utilizadas en las resoluciones impugnadas para dar sustento a cada decisión contraria a la prescripción no se ajustan a la legalidad aplicable. El intento o conato de ejecución al que alude el Juzgado de lo Penal no guarda equivalencia con el inicio efectivo de ejecución exigido en el art. 134 CP. Tampoco la premura judicial en la respuesta ofrecida a cada petición es un parámetro de referencia a efectos de interrupción del cómputo del plazo, si no conlleva en paralelo un auténtico comienzo del cumplimiento de la pena, que las propias resoluciones recurridas descartan.</w:t>
      </w:r>
    </w:p>
    <w:p w:rsidR="00163957" w:rsidRDefault="00163957" w:rsidP="00163957">
      <w:pPr>
        <w:pStyle w:val="TextoNormal"/>
      </w:pPr>
    </w:p>
    <w:p w:rsidR="00163957" w:rsidRDefault="00163957" w:rsidP="00163957">
      <w:pPr>
        <w:pStyle w:val="TextoNormal"/>
      </w:pPr>
      <w:r>
        <w:t xml:space="preserve">Afirmar, como hace la Audiencia Provincial que “[c]on todas estas resoluciones, provocadas por las peticiones del propio penado, se interrumpe la prescripción, que no puede ni comprenderse ni computarse de manera mecanicista como mero transcurso del tiempo, sino que necesita de la inacción procesal para desplegar sus efectos”, supone crear </w:t>
      </w:r>
      <w:r w:rsidRPr="00163957">
        <w:rPr>
          <w:i/>
        </w:rPr>
        <w:t>ex novo</w:t>
      </w:r>
      <w:r>
        <w:t xml:space="preserve"> una causa de interrupción no prevista en la norma. Dicha interpretación deviene arbitraria por opuesta a la legalidad aplicable y lesiona, en tal medida, el art. 25.1 CE. Desatiende a su vez el canon de motivación exigible (art. 24.1 CE), que debe comenzar por respetar el contenido del precepto penal. Repercute, en último término, en el derecho a la libertad personal del demandante (art. 17.1 CE).</w:t>
      </w:r>
    </w:p>
    <w:p w:rsidR="00163957" w:rsidRDefault="00163957" w:rsidP="00163957">
      <w:pPr>
        <w:pStyle w:val="TextoNormal"/>
      </w:pPr>
    </w:p>
    <w:p w:rsidR="00163957" w:rsidRDefault="00163957" w:rsidP="00163957">
      <w:pPr>
        <w:pStyle w:val="TextoNormal"/>
      </w:pPr>
      <w:r w:rsidRPr="00163957">
        <w:rPr>
          <w:rStyle w:val="NumeroAFNegritaCaracter"/>
        </w:rPr>
        <w:t>6</w:t>
      </w:r>
      <w:r>
        <w:t>. Los razonamientos expuestos, de conformidad con el art. 55 LOTC, conducen a estimar el recurso de amparo por vulneración del art. 25.1, conectado asimismo a los arts. 24.1 y 17 CE. El restablecimiento al recurrente en la integridad de los derechos fundamentales vulnerados debe conducir a la anulación de los tres Autos impugnados, y a la retroacción de las actuaciones al momento anterior al dictado por el Juzgado de lo Penal núm. 4 de Huelva del Auto de 20 de diciembre de 2013, que desestimó la petición de prescripción de las penas de prisión interesada por el recurrente, para que dicte una nueva resolución judicial respetuosa con los derechos fundamentales vulnerados.</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don Juan Blas López Rodríguez, y en su virtud:</w:t>
      </w:r>
    </w:p>
    <w:p w:rsidR="00163957" w:rsidRDefault="00163957" w:rsidP="00163957">
      <w:pPr>
        <w:pStyle w:val="TextoNormal"/>
      </w:pPr>
    </w:p>
    <w:p w:rsidR="00163957" w:rsidRDefault="00163957" w:rsidP="00163957">
      <w:pPr>
        <w:pStyle w:val="TextoNormal"/>
      </w:pPr>
      <w:r>
        <w:t>1º Declarar vulnerado su derecho a la legalidad penal (art. 25.1 CE), en relación con el derecho a la tutela judicial efectiva (art. 24.1 CE) y el derecho a la libertad (art. 17.1 CE).</w:t>
      </w:r>
    </w:p>
    <w:p w:rsidR="00163957" w:rsidRDefault="00163957" w:rsidP="00163957">
      <w:pPr>
        <w:pStyle w:val="TextoNormal"/>
      </w:pPr>
    </w:p>
    <w:p w:rsidR="00163957" w:rsidRDefault="00163957" w:rsidP="00163957">
      <w:pPr>
        <w:pStyle w:val="TextoNormal"/>
      </w:pPr>
      <w:r>
        <w:t>2º Restablecer sus derechos y, a tal fin, anular los Autos dictados el 20 de diciembre de 2013 y el 17 de febrero de 2014, por el Juzgado de lo Penal núm. 4 de Huelva en la ejecutoria núm. 445-2008, así como el Auto dictado el 2 de mayo de 2014 por la Sección Tercera de la Audiencia Provincial de Huelva en el rollo de apelación núm. 199-2014.</w:t>
      </w:r>
    </w:p>
    <w:p w:rsidR="00163957" w:rsidRDefault="00163957" w:rsidP="00163957">
      <w:pPr>
        <w:pStyle w:val="TextoNormal"/>
      </w:pPr>
    </w:p>
    <w:p w:rsidR="00163957" w:rsidRDefault="00163957" w:rsidP="00163957">
      <w:pPr>
        <w:pStyle w:val="TextoNormal"/>
      </w:pPr>
      <w:r>
        <w:t>3º Retrotraer las actuaciones al momento inmediatamente anterior al dictado de la primera de las mencionadas resoluciones para que se dicte otra respetuosa con los derechos fundamentales vulnerados.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uno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6" w:name="SENTENCIA_2016_13"/>
      <w:r>
        <w:lastRenderedPageBreak/>
        <w:t>SENTENCIA 13/2016, de 1 de febrero de 2016</w:t>
      </w:r>
    </w:p>
    <w:bookmarkEnd w:id="16"/>
    <w:p w:rsidR="00163957" w:rsidRDefault="00163957" w:rsidP="00163957">
      <w:pPr>
        <w:pStyle w:val="TtuloResolucin"/>
      </w:pPr>
      <w:r>
        <w:t>Sala Primera</w:t>
      </w:r>
    </w:p>
    <w:p w:rsidR="00163957" w:rsidRDefault="00163957" w:rsidP="00163957">
      <w:pPr>
        <w:pStyle w:val="TtuloBOE"/>
      </w:pPr>
      <w:r>
        <w:t>(BOE núm. 57, de 7 de marzo de 2016)</w:t>
      </w:r>
    </w:p>
    <w:p w:rsidR="00163957" w:rsidRDefault="00163957" w:rsidP="00163957">
      <w:pPr>
        <w:pStyle w:val="TextoNormalCentrado"/>
      </w:pPr>
      <w:r>
        <w:t>ECLI:ES:TC:2016:13</w:t>
      </w:r>
    </w:p>
    <w:p w:rsidR="00163957" w:rsidRDefault="00163957" w:rsidP="00163957">
      <w:pPr>
        <w:pStyle w:val="TextoNormalCentrado"/>
      </w:pPr>
    </w:p>
    <w:p w:rsidR="00163957" w:rsidRDefault="00163957" w:rsidP="00163957">
      <w:pPr>
        <w:pStyle w:val="SntesisDescriptiva"/>
      </w:pPr>
      <w:r>
        <w:t>Recurso de amparo 6167-2014. Promovido por doña M.S.S., respecto de los Autos de la Audiencia Provincial y de un Juzgado de Primera Instancia de Madrid que confirmaron la medida de internamiento urgente por trastorno psíquico.</w:t>
      </w:r>
    </w:p>
    <w:p w:rsidR="00163957" w:rsidRDefault="00163957" w:rsidP="00163957">
      <w:pPr>
        <w:pStyle w:val="SntesisDescriptiva"/>
      </w:pPr>
    </w:p>
    <w:p w:rsidR="00163957" w:rsidRDefault="00163957" w:rsidP="00163957">
      <w:pPr>
        <w:pStyle w:val="SntesisAnaltica"/>
      </w:pPr>
      <w:r>
        <w:t>Vulneración del derecho a la libertad personal: resolución judicial tardía y adoptada sin la existencia de informe médico que justificara la medida adoptada (STC 141/2012).</w:t>
      </w:r>
    </w:p>
    <w:p w:rsidR="00163957" w:rsidRDefault="00163957" w:rsidP="00163957">
      <w:pPr>
        <w:pStyle w:val="SntesisAnaltica"/>
      </w:pPr>
    </w:p>
    <w:p w:rsidR="00163957" w:rsidRDefault="00163957" w:rsidP="00163957">
      <w:pPr>
        <w:pStyle w:val="Extracto"/>
      </w:pPr>
      <w:r>
        <w:t>1.</w:t>
      </w:r>
      <w:r>
        <w:tab/>
        <w:t>La privación ilegítima de libertad se ha consumado, al faltar el doble presupuesto requerido para llevar a cabo la medida sin la previa autorización del Juez, tanto de orden material [comunicación del internamiento y de sus motivos al Juez competente por el responsable del centro, con fundamento en un informe médico] como temporal [plazo máximo de 24 horas, contadas desde que se produce materialmente el hecho del internamiento involuntario] (STC 141/2012) [FJ 4].</w:t>
      </w:r>
    </w:p>
    <w:p w:rsidR="00163957" w:rsidRDefault="00163957" w:rsidP="00163957">
      <w:pPr>
        <w:pStyle w:val="Extracto"/>
      </w:pPr>
    </w:p>
    <w:p w:rsidR="00163957" w:rsidRDefault="00163957" w:rsidP="00163957">
      <w:pPr>
        <w:pStyle w:val="Extracto"/>
      </w:pPr>
      <w:r>
        <w:t>2.</w:t>
      </w:r>
      <w:r>
        <w:tab/>
        <w:t>La obligación del Centro de comunicar al Juez competente el internamiento y los motivos que lo justificaron constituye una exigencia básica derivada del respeto al derecho fundamental a la libertad personal (STC 141/2012) [FJ 3].</w:t>
      </w:r>
    </w:p>
    <w:p w:rsidR="00163957" w:rsidRDefault="00163957" w:rsidP="00163957">
      <w:pPr>
        <w:pStyle w:val="Extracto"/>
      </w:pPr>
    </w:p>
    <w:p w:rsidR="00163957" w:rsidRDefault="00163957" w:rsidP="00163957">
      <w:pPr>
        <w:pStyle w:val="Extracto"/>
      </w:pPr>
      <w:r>
        <w:t>3.</w:t>
      </w:r>
      <w:r>
        <w:tab/>
        <w:t>El plazo de 24 horas para efectuar la comunicación se considera plazo máximo por lo que no cabe agotarlo discrecionalmente (STC 141/2012) [FJ 3].</w:t>
      </w:r>
    </w:p>
    <w:p w:rsidR="00163957" w:rsidRDefault="00163957" w:rsidP="00163957">
      <w:pPr>
        <w:pStyle w:val="Extracto"/>
      </w:pPr>
    </w:p>
    <w:p w:rsidR="00163957" w:rsidRDefault="00163957" w:rsidP="00163957">
      <w:pPr>
        <w:pStyle w:val="Extracto"/>
      </w:pPr>
      <w:r>
        <w:t>4.</w:t>
      </w:r>
      <w:r>
        <w:tab/>
        <w:t>La comunicación al Tribunal habrá de efectuarla el director del centro en cuanto se disponga del diagnóstico que justifique el internamiento, sin más demora, siendo que las 24 horas empiezan a contar desde el momento en que se produce materialmente el ingreso del afectado en el interior del recinto y contra su voluntad (STC 141/2012) [FJ 3].</w:t>
      </w:r>
    </w:p>
    <w:p w:rsidR="00163957" w:rsidRDefault="00163957" w:rsidP="00163957">
      <w:pPr>
        <w:pStyle w:val="Extracto"/>
      </w:pPr>
    </w:p>
    <w:p w:rsidR="00163957" w:rsidRDefault="00163957" w:rsidP="00163957">
      <w:pPr>
        <w:pStyle w:val="Extracto"/>
      </w:pPr>
      <w:r>
        <w:t>5.</w:t>
      </w:r>
      <w:r>
        <w:tab/>
        <w:t>Una de las exigencias básicas para la validez del internamiento urgente no voluntario es la existencia de un informe médico que acredite el trastorno psíquico justificante del internamiento inmediato (STC 141/2012) [FJ 4].</w:t>
      </w:r>
    </w:p>
    <w:p w:rsidR="00163957" w:rsidRDefault="00163957" w:rsidP="00163957">
      <w:pPr>
        <w:pStyle w:val="Extracto"/>
      </w:pPr>
    </w:p>
    <w:p w:rsidR="00163957" w:rsidRDefault="00163957" w:rsidP="00163957">
      <w:pPr>
        <w:pStyle w:val="Extracto"/>
      </w:pPr>
      <w:r>
        <w:t>6.</w:t>
      </w:r>
      <w:r>
        <w:tab/>
        <w:t>El significado de lo que ha de entenderse por trastorno psíquico, transitorio o permanente, en línea con lo dispuesto en instrumentos internacionales, remite a los conocimientos propios de la ciencia médica; sin que en ningún caso puedan considerarse como expresión de trastorno o enfermedad mental la discrepancia del afectado con los valores sociales, culturales, políticos o religiosos imperantes (STC 141/2012) [FJ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6167-2014, promovido por doña M.S.S., representada por el Procurador de los Tribunales don José María Rico Maesso y asistida por el abogado don Fernando Rodríguez Rodríguez, contra el Auto del Juzgado de Primera Instancia núm. 30 de Madrid, de 25 de febrero de 2014, que confirmó la medida de internamiento urgente por trastorno psíquico de la recurrente, en procedimiento núm. 333-2014; contra el Auto de la Sección Vigesimosegunda de la Audiencia Provincial de Madrid, de 22 de julio de 2014, que desestimó el recurso de apelación interpuesto contra la anterior resolución y contra el Auto de la misma Sección de la Audiencia, de 31 de julio de 2014, que acordó no haber lugar a la aclaración solicitada contra aquel Auto de 22 de julio. Han intervenido el Ministerio Fiscal y el Ayuntamiento de Madrid, representado y defendido por su Letrado. Ha sido Ponente el Magistrado don Andrés Ollero Tassara,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el 14 de octubre de 2014, don José María Rico Maesso, Procurador de los Tribunales, actuando en nombre y representación de doña M.S.S., promovió recurso de amparo contra las resoluciones a las que se ha hecho referencia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con relevancia para la resolución del presente recurso de amparo y a los que se refiere la demanda presentada, son los siguientes:</w:t>
      </w:r>
    </w:p>
    <w:p w:rsidR="00163957" w:rsidRDefault="00163957" w:rsidP="00163957">
      <w:pPr>
        <w:pStyle w:val="TextoNormal"/>
      </w:pPr>
    </w:p>
    <w:p w:rsidR="00163957" w:rsidRDefault="00163957" w:rsidP="00163957">
      <w:pPr>
        <w:pStyle w:val="TextoNormal"/>
      </w:pPr>
      <w:r>
        <w:t>a) El 17 de febrero de 2014, dos trabajadoras sociales integrantes del “equipo de internamientos involuntarios” de la Central Samur social de Madrid, remitieron escrito al Registro de Decanato y al “Juzgado de Incapacidades, C/ Ventura Rodríguez nº 7” de Madrid, solicitando la ratificación del internamiento involuntario de doña M.S.S., quien se encuentra en la Residencia Margarita Retuerto de la capital, “donde ha tenido que ser ingresada debido a la grave situación de riesgo en que se encontraba”. No se precisa en esta solicitud en qué fecha se produjo el ingreso.</w:t>
      </w:r>
    </w:p>
    <w:p w:rsidR="00163957" w:rsidRDefault="00163957" w:rsidP="00163957">
      <w:pPr>
        <w:pStyle w:val="TextoNormal"/>
      </w:pPr>
    </w:p>
    <w:p w:rsidR="00163957" w:rsidRDefault="00163957" w:rsidP="00163957">
      <w:pPr>
        <w:pStyle w:val="TextoNormal"/>
      </w:pPr>
      <w:r>
        <w:t>Se adjuntan como soporte de la petición un “informe social” del propio Samur social sobre la afectada y una solicitud (sin respuesta) cursada el mismo día 17 de febrero de 2014 por el “equipo de internamientos involuntarios” a la Fiscalía de incapacidades de Madrid, para que esta le remita los informes médicos que pudieran tener sobre la recurrente, al tener conocimiento de que existe en dicha Fiscalía un expediente abierto sobre ella.</w:t>
      </w:r>
    </w:p>
    <w:p w:rsidR="00163957" w:rsidRDefault="00163957" w:rsidP="00163957">
      <w:pPr>
        <w:pStyle w:val="TextoNormal"/>
      </w:pPr>
    </w:p>
    <w:p w:rsidR="00163957" w:rsidRDefault="00163957" w:rsidP="00163957">
      <w:pPr>
        <w:pStyle w:val="TextoNormal"/>
      </w:pPr>
      <w:r>
        <w:t xml:space="preserve">El informe del Samur social, suscrito por una trabajadora social del mismo, explica que tras recibirse una llamada del “técnico de inspección del Depto. de Salud Ambiental de </w:t>
      </w:r>
      <w:r>
        <w:lastRenderedPageBreak/>
        <w:t>Madrid Salud” acerca de la posible situación de riesgo en la que podría encontrarse una mujer de 72 años que padece “síndrome de Diógenes”, presenta “extrema delgadez” y “posible deterioro cognitivo”, se trasladaron a su domicilio, donde se entrevistaron con ella. Se exponen las apreciaciones de la trabajadora social acerca de la dificultad para entablar una conversación coherente con la recurrente, su carácter desconfiado, las “pésimas condiciones de la vivienda” y la información brindada por una vecina, a partir de todo lo cual se hace constar que: “dado que se trata de una situación de alto riesgo para la mayor se procede a trasladar a la afectada a la residencia Margarita Retuerto para que ocupe plaza de emergencia. Aunque en un principio la afectada se mostraba reticente a abandonar su domicilio finalmente acepta”. Al final del informe se anota que en función de su estado, se “valora alojar a la afectada en plaza de emergencia” en la residencia mencionada, “para garantizar el bienestar de la mayor”.</w:t>
      </w:r>
    </w:p>
    <w:p w:rsidR="00163957" w:rsidRDefault="00163957" w:rsidP="00163957">
      <w:pPr>
        <w:pStyle w:val="TextoNormal"/>
      </w:pPr>
    </w:p>
    <w:p w:rsidR="00163957" w:rsidRDefault="00163957" w:rsidP="00163957">
      <w:pPr>
        <w:pStyle w:val="TextoNormal"/>
      </w:pPr>
      <w:r>
        <w:t>b) La Secretaria judicial del Juzgado de Primera Instancia núm. 30 de Madrid extendió diligencia de constancia el 18 de febrero de 2014, en el sentido de que “en el día de la fecha, se recibe procedente de la oficina de reparto del Decanato, la anterior solicitud de autorización para internamiento involuntario de doña M.S.S.”.</w:t>
      </w:r>
    </w:p>
    <w:p w:rsidR="00163957" w:rsidRDefault="00163957" w:rsidP="00163957">
      <w:pPr>
        <w:pStyle w:val="TextoNormal"/>
      </w:pPr>
    </w:p>
    <w:p w:rsidR="00163957" w:rsidRDefault="00163957" w:rsidP="00163957">
      <w:pPr>
        <w:pStyle w:val="TextoNormal"/>
      </w:pPr>
      <w:r>
        <w:t>En la misma fecha se dictó providencia por el Juzgado en la que se acordó citar a una comparecencia en el Juzgado el día 24 de febrero de 2014, a las 11:00 horas, a las trabajadoras sociales de la Central Samur, para ratificarse en su solicitud; citar a doña M.S.S., “mediante fax a la Residencia Margarita Retuerto, donde se encuentra ingresada, a fin de que comparezca en este Juzgado” el mismo día y a la misma hora para examen judicial y forense; y citar a una vecina de doña M.S.S (que se identifica), para que comparezca en el Juzgado el mismo día y hora, a fin de ser oída sobre el internamiento de esta última.</w:t>
      </w:r>
    </w:p>
    <w:p w:rsidR="00163957" w:rsidRDefault="00163957" w:rsidP="00163957">
      <w:pPr>
        <w:pStyle w:val="TextoNormal"/>
      </w:pPr>
    </w:p>
    <w:p w:rsidR="00163957" w:rsidRDefault="00163957" w:rsidP="00163957">
      <w:pPr>
        <w:pStyle w:val="TextoNormal"/>
      </w:pPr>
      <w:r>
        <w:t>c) Por providencia del Juzgado de 21 de febrero de 2014, se requirió a la Fiscalía de Incapacidades la entrega de los informes médicos que obraran en su poder, relativos a la recurrente.</w:t>
      </w:r>
    </w:p>
    <w:p w:rsidR="00163957" w:rsidRDefault="00163957" w:rsidP="00163957">
      <w:pPr>
        <w:pStyle w:val="TextoNormal"/>
      </w:pPr>
    </w:p>
    <w:p w:rsidR="00163957" w:rsidRDefault="00163957" w:rsidP="00163957">
      <w:pPr>
        <w:pStyle w:val="TextoNormal"/>
      </w:pPr>
      <w:r>
        <w:t>Al respecto obra en las actuaciones un “informe clínico” fechado el 14 de febrero de 2014 y que suscribe don A.H.P.V., facultativo del Hospital Clínico San Carlos, donde señala que la recurrente fue atendida en ese centro desde mayo de 2010, asistiendo a consultas de manera irregular, con intervalos en ocasiones de un año. Se describen rasgos de su personalidad observados en esas consultas, opinando que “pudiera existir un trastorno delirante crónico” sin descartar un “deterioro cognitivo en progresión”, llegando en su momento a solicitar valoración por la trabajadora social y por neurología. Sin embargo, añade que: “Al cabo de unos meses dejó de asistir a la consulta y no completó la evaluación neurológica”. Al final del informe se expresa que: “Tras haber reevaluado el caso y realizadas las exploraciones necesarias (analíticas, radiológicas, neuropsicológicas) se considera que sufre un trastorno neurocognitivo mayor de tipo demencia, de características fronto-temporales, en estadio leve-moderado. Dada la repercusión que dicho trastorno tiene en su capacidad de autocuidado se solicita de la autoridad judicial competente la valoración del caso y el establecimiento de las medidas jurídicas de protección que considere necesarias”.</w:t>
      </w:r>
    </w:p>
    <w:p w:rsidR="00163957" w:rsidRDefault="00163957" w:rsidP="00163957">
      <w:pPr>
        <w:pStyle w:val="TextoNormal"/>
      </w:pPr>
    </w:p>
    <w:p w:rsidR="00163957" w:rsidRDefault="00163957" w:rsidP="00163957">
      <w:pPr>
        <w:pStyle w:val="TextoNormal"/>
      </w:pPr>
      <w:r>
        <w:t>d) Constan además en el procedimiento de internamiento no voluntario núm. 333-2014, seguido ante el Juzgado de Primera Instancia núm. 30 de Madrid las siguientes actuaciones:</w:t>
      </w:r>
    </w:p>
    <w:p w:rsidR="00163957" w:rsidRDefault="00163957" w:rsidP="00163957">
      <w:pPr>
        <w:pStyle w:val="TextoNormal"/>
      </w:pPr>
    </w:p>
    <w:p w:rsidR="00163957" w:rsidRDefault="00163957" w:rsidP="00163957">
      <w:pPr>
        <w:pStyle w:val="TextoNormal"/>
      </w:pPr>
      <w:r>
        <w:lastRenderedPageBreak/>
        <w:t>-Acta de interrogatorio judicial de las trabajadoras sociales del Samur social, de 24 de febrero de 2014.</w:t>
      </w:r>
    </w:p>
    <w:p w:rsidR="00163957" w:rsidRDefault="00163957" w:rsidP="00163957">
      <w:pPr>
        <w:pStyle w:val="TextoNormal"/>
      </w:pPr>
    </w:p>
    <w:p w:rsidR="00163957" w:rsidRDefault="00163957" w:rsidP="00163957">
      <w:pPr>
        <w:pStyle w:val="TextoNormal"/>
      </w:pPr>
      <w:r>
        <w:t>-“Nota informativa” de la “Residencia y Centro de día para enfermos de Alzheimer Margarita Retuerto”, sin autor identificado, detallando el comportamiento de la recurrente con las visitas que acuden a verla los días 19 y 20 de febrero de 2014. Se añade un diagnóstico de un trastorno que se califica como “deterioro cognitivo leve”, sin que se registren “alteraciones de conducta que alteren el funcionamiento del Centro ni que pongan en peligro la integridad física de la mayor, ni del resto de residentes”.</w:t>
      </w:r>
    </w:p>
    <w:p w:rsidR="00163957" w:rsidRDefault="00163957" w:rsidP="00163957">
      <w:pPr>
        <w:pStyle w:val="TextoNormal"/>
      </w:pPr>
    </w:p>
    <w:p w:rsidR="00163957" w:rsidRDefault="00163957" w:rsidP="00163957">
      <w:pPr>
        <w:pStyle w:val="TextoNormal"/>
      </w:pPr>
      <w:r>
        <w:t>-Informe médico de la Dra. P.P.B., del Centro de Salud Espronceda (Madrid), figurando como fecha de reconocimiento el 19 de febrero de 2014 (ilegible la de expedición del informe), que diagnostica a la recurrente “demencia frontotemporal leve-moderada”, recomendando que se realicen pruebas complementarias.</w:t>
      </w:r>
    </w:p>
    <w:p w:rsidR="00163957" w:rsidRDefault="00163957" w:rsidP="00163957">
      <w:pPr>
        <w:pStyle w:val="TextoNormal"/>
      </w:pPr>
    </w:p>
    <w:p w:rsidR="00163957" w:rsidRDefault="00163957" w:rsidP="00163957">
      <w:pPr>
        <w:pStyle w:val="TextoNormal"/>
      </w:pPr>
      <w:r>
        <w:t>-Acta de exploración judicial a la recurrente, de fecha 24 de febrero de 2014.</w:t>
      </w:r>
    </w:p>
    <w:p w:rsidR="00163957" w:rsidRDefault="00163957" w:rsidP="00163957">
      <w:pPr>
        <w:pStyle w:val="TextoNormal"/>
      </w:pPr>
    </w:p>
    <w:p w:rsidR="00163957" w:rsidRDefault="00163957" w:rsidP="00163957">
      <w:pPr>
        <w:pStyle w:val="TextoNormal"/>
      </w:pPr>
      <w:r>
        <w:t>-Acta de interrogatorio judicial de la vecina de doña M.S.S., practicado el mismo día 24 de febrero de 2014.</w:t>
      </w:r>
    </w:p>
    <w:p w:rsidR="00163957" w:rsidRDefault="00163957" w:rsidP="00163957">
      <w:pPr>
        <w:pStyle w:val="TextoNormal"/>
      </w:pPr>
    </w:p>
    <w:p w:rsidR="00163957" w:rsidRDefault="00163957" w:rsidP="00163957">
      <w:pPr>
        <w:pStyle w:val="TextoNormal"/>
      </w:pPr>
      <w:r>
        <w:t>-Informe médico-forense, también de 24 de febrero de 2014, en el que se concluye respecto de la recurrente que: “Por la exploración clínica y el minimental [escala para evaluar el estado cognitivo] aplicado se determina la existencia de deterioro cognitivo que deberá ser valorado por especialista en la materia. Dadas las circunstancias ya referidas en los informes sociales considero adecuado su traslado a un centro geriátrico donde pueda ser atendida adecuadamente”.</w:t>
      </w:r>
    </w:p>
    <w:p w:rsidR="00163957" w:rsidRDefault="00163957" w:rsidP="00163957">
      <w:pPr>
        <w:pStyle w:val="TextoNormal"/>
      </w:pPr>
    </w:p>
    <w:p w:rsidR="00163957" w:rsidRDefault="00163957" w:rsidP="00163957">
      <w:pPr>
        <w:pStyle w:val="TextoNormal"/>
      </w:pPr>
      <w:r>
        <w:t>e) El 25 de febrero de 2014, la Secretaria judicial del Juzgado dictó diligencia de ordenación dando traslado al Ministerio Fiscal para informe. Lo emitió la Fiscalía ese mismo día, interesando la ratificación del internamiento.</w:t>
      </w:r>
    </w:p>
    <w:p w:rsidR="00163957" w:rsidRDefault="00163957" w:rsidP="00163957">
      <w:pPr>
        <w:pStyle w:val="TextoNormal"/>
      </w:pPr>
    </w:p>
    <w:p w:rsidR="00163957" w:rsidRDefault="00163957" w:rsidP="00163957">
      <w:pPr>
        <w:pStyle w:val="TextoNormal"/>
      </w:pPr>
      <w:r>
        <w:t>f) En la misma fecha, 25 de febrero de 2014, el Juzgado dictó Auto acordando ratificar el ingreso no voluntario por razón de trastorno psíquico (“demencia fronto-temporal”) de doña M.S.S. en el centro geriátrico donde ya se encontraba recluida, haciendo saber al responsable de este último que el facultativo que atienda a la enferma debe informar al Juzgado cada seis meses sobre la necesidad de proseguir el internamiento, a no ser que antes proceda el alta médica. Asimismo se ordena notificar este Auto al Ministerio Fiscal y a doña M.S.S., haciéndoles saber que no es firme y contra el mismo cabe recurso de apelación en un solo efecto ante este Juzgado en el plazo de veinte días.</w:t>
      </w:r>
    </w:p>
    <w:p w:rsidR="00163957" w:rsidRDefault="00163957" w:rsidP="00163957">
      <w:pPr>
        <w:pStyle w:val="TextoNormal"/>
      </w:pPr>
    </w:p>
    <w:p w:rsidR="00163957" w:rsidRDefault="00163957" w:rsidP="00163957">
      <w:pPr>
        <w:pStyle w:val="TextoNormal"/>
      </w:pPr>
      <w:r>
        <w:t xml:space="preserve">Luego de razonar que el internamiento no voluntario “constituye una clara limitación al principio de libertad personal reconocido en el art. 17 de la CE”, y que el procedimiento del art. 763 de la Ley de enjuiciamiento civil (LEC) resulta idóneo “…en los supuestos de internamientos geriátricos, teniendo en cuenta que las enfermedades degenerativas —como la demencia senil o las enfermedades de Alzheimer—, son trastornos psíquicos que no solo limitan sino que en ocasiones anulan la capacidad de juicio y la voluntad del paciente, así como sus habilidades funcionales en orden a su autocuidado…”, el Auto señala en su razonamiento jurídico segundo las pruebas que justifican ratificar la medida de internamiento: </w:t>
      </w:r>
      <w:r>
        <w:lastRenderedPageBreak/>
        <w:t>el informe médico-forense, el acta de exploración judicial, y el informe de los servicios sociales cuyo contenido reproduce.</w:t>
      </w:r>
    </w:p>
    <w:p w:rsidR="00163957" w:rsidRDefault="00163957" w:rsidP="00163957">
      <w:pPr>
        <w:pStyle w:val="TextoNormal"/>
      </w:pPr>
    </w:p>
    <w:p w:rsidR="00163957" w:rsidRDefault="00163957" w:rsidP="00163957">
      <w:pPr>
        <w:pStyle w:val="TextoNormal"/>
      </w:pPr>
      <w:r>
        <w:t>De tales pruebas deduce el Juzgado:</w:t>
      </w:r>
    </w:p>
    <w:p w:rsidR="00163957" w:rsidRDefault="00163957" w:rsidP="00163957">
      <w:pPr>
        <w:pStyle w:val="TextoNormal"/>
      </w:pPr>
    </w:p>
    <w:p w:rsidR="00163957" w:rsidRDefault="00163957" w:rsidP="00163957">
      <w:pPr>
        <w:pStyle w:val="TextoNormal"/>
      </w:pPr>
      <w:r>
        <w:t>“[L]a presencia de una probable ideación delirante de perjuicio que lleva a la demandada a sospechar que todas las personas de su entorno le han robado sus bienes o están dispuestas [a] hacerlo, por lo que al ser preguntada con ocasión de su examen judicial sobre si contaba con algún familiar o allegado en España en cuyo domicilio pudiera ser atendida, refirió que no porque no confía en nadie y antes vivió en casa de un matrimonio de Zaragoza pero la desilusionaron.</w:t>
      </w:r>
    </w:p>
    <w:p w:rsidR="00163957" w:rsidRDefault="00163957" w:rsidP="00163957">
      <w:pPr>
        <w:pStyle w:val="TextoNormal"/>
      </w:pPr>
    </w:p>
    <w:p w:rsidR="00163957" w:rsidRDefault="00163957" w:rsidP="00163957">
      <w:pPr>
        <w:pStyle w:val="TextoNormal"/>
      </w:pPr>
      <w:r>
        <w:t>Resulta evidente que la Sra. S. está impedida actualmente para cuidar de sí misma y llevar una vida independiente a consecuencia del grave deterioro psicofísico que sufre, por lo que precisa permanecer en un entorno protegido donde le garanticen las condiciones de vida dignas y seguras que por sí misma ella misma no puede alcanzar.</w:t>
      </w:r>
    </w:p>
    <w:p w:rsidR="00163957" w:rsidRDefault="00163957" w:rsidP="00163957">
      <w:pPr>
        <w:pStyle w:val="TextoNormal"/>
      </w:pPr>
    </w:p>
    <w:p w:rsidR="00163957" w:rsidRDefault="00163957" w:rsidP="00163957">
      <w:pPr>
        <w:pStyle w:val="TextoNormal"/>
      </w:pPr>
      <w:r>
        <w:t>La permanencia en su domicilio actualmente resulta inviable por las malas condiciones de la vivienda y tampoco ha expresado su deseo de trasladarse a vivir al domicilio de ninguna persona allegada.</w:t>
      </w:r>
    </w:p>
    <w:p w:rsidR="00163957" w:rsidRDefault="00163957" w:rsidP="00163957">
      <w:pPr>
        <w:pStyle w:val="TextoNormal"/>
      </w:pPr>
    </w:p>
    <w:p w:rsidR="00163957" w:rsidRDefault="00163957" w:rsidP="00163957">
      <w:pPr>
        <w:pStyle w:val="TextoNormal"/>
      </w:pPr>
      <w:r>
        <w:t>En consecuencia procede ratificar su ingreso en el centro geriátrico, en el que por motivos de emergencia social fue internada el pasado 14 de febrero por los Servicios Sociales; sin perjuicio de que pueda ser trasladada posteriormente a otro centro geriátrico o pueda pasar a vivir en un domicilio particular siempre y cuando cuente con la asistencia que necesita durante las 24 horas del día.”</w:t>
      </w:r>
    </w:p>
    <w:p w:rsidR="00163957" w:rsidRDefault="00163957" w:rsidP="00163957">
      <w:pPr>
        <w:pStyle w:val="TextoNormal"/>
      </w:pPr>
    </w:p>
    <w:p w:rsidR="00163957" w:rsidRDefault="00163957" w:rsidP="00163957">
      <w:pPr>
        <w:pStyle w:val="TextoNormal"/>
      </w:pPr>
      <w:r>
        <w:t xml:space="preserve">g) Con fecha 3 de marzo de 2014 se presenta en el Juzgado escrito del Procurador don José María Rico Maesso, quien dice actuar en representación de la recurrente, alegando que el viernes “28 de noviembre de 2014” [se entiende 28 de febrero de 2014], don Fernando Rodríguez Rodríguez, Abogado, acudió “a requerimiento de la familia y amigos” de aquélla, a visitarla en el centro donde se encuentra internada “en contra de su voluntad”, percibiendo que se trataba de una persona “con plena capacidad y entendimiento”, por lo que pide un reconocimiento “inmediato” y que sea “puesta en libertad, sin perjuicio de que los Servicios Sociales le puedan brindar la ayuda necesaria para la limpieza de su casa algo en lo que se está de acuerdo” y, “previa comprobación de su estado, y citándola a fin de otorgar poder </w:t>
      </w:r>
      <w:r w:rsidRPr="00163957">
        <w:rPr>
          <w:i/>
        </w:rPr>
        <w:t>apud acta</w:t>
      </w:r>
      <w:r>
        <w:t xml:space="preserve"> ente el Juzgado” en favor de dicho Procurador.</w:t>
      </w:r>
    </w:p>
    <w:p w:rsidR="00163957" w:rsidRDefault="00163957" w:rsidP="00163957">
      <w:pPr>
        <w:pStyle w:val="TextoNormal"/>
      </w:pPr>
    </w:p>
    <w:p w:rsidR="00163957" w:rsidRDefault="00163957" w:rsidP="00163957">
      <w:pPr>
        <w:pStyle w:val="TextoNormal"/>
      </w:pPr>
      <w:r>
        <w:t xml:space="preserve">A esta última petición proveyó la Secretaria judicial del Juzgado por diligencia de ordenación de 5 de marzo de 2014, señalando para el día 7 el apoderamiento </w:t>
      </w:r>
      <w:r w:rsidRPr="00163957">
        <w:rPr>
          <w:i/>
        </w:rPr>
        <w:t>apud acta</w:t>
      </w:r>
      <w:r>
        <w:t xml:space="preserve">, “que se practicará en la Residencia Margarita Retuerto al resultar contraproducente, según informe del Samur social, realizar traslados de doña M.S.S. fuera de la misma”. Practicado el apoderamiento </w:t>
      </w:r>
      <w:r w:rsidRPr="00163957">
        <w:rPr>
          <w:i/>
        </w:rPr>
        <w:t>apud acta</w:t>
      </w:r>
      <w:r>
        <w:t xml:space="preserve"> en la fecha indicada, según acta obrante en las actuaciones, la Secretaria judicial del Juzgado dictó nueva diligencia de ordenación el 10 de marzo de 2014, teniendo por efectuada la designación de profesionales.</w:t>
      </w:r>
    </w:p>
    <w:p w:rsidR="00163957" w:rsidRDefault="00163957" w:rsidP="00163957">
      <w:pPr>
        <w:pStyle w:val="TextoNormal"/>
      </w:pPr>
    </w:p>
    <w:p w:rsidR="00163957" w:rsidRDefault="00163957" w:rsidP="00163957">
      <w:pPr>
        <w:pStyle w:val="TextoNormal"/>
      </w:pPr>
      <w:r>
        <w:lastRenderedPageBreak/>
        <w:t>h) El 14 de marzo de 2014, la representación procesal de la recurrente formalizó escrito en solicitud de “declaración de nulidad de actuaciones ante la clara vulneración del procedimiento establecido en el art. 763 de la LEC y el art. 10, 13, 15, 17, 19 y 24 de la Constitución Española”. Se afirma que fue internada el 14 de febrero de ese año, sin la correspondiente autorización judicial, y que diez días después se la citó para interrogatorio y para ser recibida por el médico forense, dictándose auto “11 días después” ratificando el internamiento. Se pide la nulidad de todo lo actuado “y que se adopten las medidas necesarias para su salida del centro sin perjuicio de establecer si es preciso que personal municipal le ayude a la limpieza de su domicilio”. Como última cuestión, el escrito “anuncia que se interpondrá apelación tan pronto se nos sea entregada información médica”.</w:t>
      </w:r>
    </w:p>
    <w:p w:rsidR="00163957" w:rsidRDefault="00163957" w:rsidP="00163957">
      <w:pPr>
        <w:pStyle w:val="TextoNormal"/>
      </w:pPr>
    </w:p>
    <w:p w:rsidR="00163957" w:rsidRDefault="00163957" w:rsidP="00163957">
      <w:pPr>
        <w:pStyle w:val="TextoNormal"/>
      </w:pPr>
      <w:r>
        <w:t>En respuesta al anterior escrito, la Secretaria judicial del Juzgado dictó diligencia de ordenación el 26 de marzo de 2014, acordando lo siguiente: “únase y de conformidad con lo dispuesto en el art. 227.1 de la L.E.C., la nulidad que se pretende de las actuaciones practicadas deberá hacerse valer por medio de los recursos establecidos en la ley contra la resolución de que se trate, que en el presente caso, no es otra que el recurso de apelación contra el auto de fecha 25 de febrero de 2014, cuyo plazo de interposición vence el próximo 2 de abril (s.e.u.o.)”.</w:t>
      </w:r>
    </w:p>
    <w:p w:rsidR="00163957" w:rsidRDefault="00163957" w:rsidP="00163957">
      <w:pPr>
        <w:pStyle w:val="TextoNormal"/>
      </w:pPr>
    </w:p>
    <w:p w:rsidR="00163957" w:rsidRDefault="00163957" w:rsidP="00163957">
      <w:pPr>
        <w:pStyle w:val="TextoNormal"/>
      </w:pPr>
      <w:r>
        <w:t>i) La representación procesal de la recurrente formalizó recurso de apelación con fecha 26 de marzo de 2014, denunciando la vulneración por el Auto impugnado de los arts. 17 y 19 CE y del art. 763 LEC.</w:t>
      </w:r>
    </w:p>
    <w:p w:rsidR="00163957" w:rsidRDefault="00163957" w:rsidP="00163957">
      <w:pPr>
        <w:pStyle w:val="TextoNormal"/>
      </w:pPr>
    </w:p>
    <w:p w:rsidR="00163957" w:rsidRDefault="00163957" w:rsidP="00163957">
      <w:pPr>
        <w:pStyle w:val="TextoNormal"/>
      </w:pPr>
      <w:r>
        <w:t>En primer lugar, se opone a que se haya acordado la ratificación del internamiento con fundamento en el informe del Samur social, pues “el hecho de llevar una vida más o menos bohemia o desordenada no es motivo suficiente para privar a nadie de libertad. Se podrán tomar las medidas que se quiera. Se le podrá obligar que limpie su casa. A que arregle la luz. A que se vista de otro modo, al gusto de cualquier patrón determinado, pero nunca, nunca puede aherrojarse o confinar a una persona por una conducta atípica. Es sencillamente un crimen. Una barbaridad y más si la privación de libertad de la persona en el ingreso o internamiento no se produce o va seguida de la inmediata puesta a disposición del Juez, lo que aquí no ha sucedido. Sólo por eso es insostenible que se mantenga la privación de libertad”.</w:t>
      </w:r>
    </w:p>
    <w:p w:rsidR="00163957" w:rsidRDefault="00163957" w:rsidP="00163957">
      <w:pPr>
        <w:pStyle w:val="TextoNormal"/>
      </w:pPr>
    </w:p>
    <w:p w:rsidR="00163957" w:rsidRDefault="00163957" w:rsidP="00163957">
      <w:pPr>
        <w:pStyle w:val="TextoNormal"/>
      </w:pPr>
      <w:r>
        <w:t>En segundo lugar, se alega que el art. 763 LEC fija exactamente un plazo máximo de 24 horas para la ratificación judicial de los internamientos urgentes previos, siendo evidente que aquí no se ha respetado ese plazo.</w:t>
      </w:r>
    </w:p>
    <w:p w:rsidR="00163957" w:rsidRDefault="00163957" w:rsidP="00163957">
      <w:pPr>
        <w:pStyle w:val="TextoNormal"/>
      </w:pPr>
    </w:p>
    <w:p w:rsidR="00163957" w:rsidRDefault="00163957" w:rsidP="00163957">
      <w:pPr>
        <w:pStyle w:val="TextoNormal"/>
      </w:pPr>
      <w:r>
        <w:t>Con el escrito se aporta un informe de un doctor en psiquiatría que ha examinado a la recurrente, en el que se concluye que no hay razones que justifiquen su internamiento; interesando en el suplico del recurso de apelación el recibimiento a prueba para que se cite a dicho facultativo a ratificar su informe.</w:t>
      </w:r>
    </w:p>
    <w:p w:rsidR="00163957" w:rsidRDefault="00163957" w:rsidP="00163957">
      <w:pPr>
        <w:pStyle w:val="TextoNormal"/>
      </w:pPr>
    </w:p>
    <w:p w:rsidR="00163957" w:rsidRDefault="00163957" w:rsidP="00163957">
      <w:pPr>
        <w:pStyle w:val="TextoNormal"/>
      </w:pPr>
      <w:r>
        <w:t>j) Recibidas las actuaciones, la Sección Vigesimosegunda de la Audiencia Provincial de Madrid dictó Auto el 23 de mayo de 2014 denegando la prueba solicitada en el escrito de apelación, no constado que la parte apelante recurriese este Auto en reposición.</w:t>
      </w:r>
    </w:p>
    <w:p w:rsidR="00163957" w:rsidRDefault="00163957" w:rsidP="00163957">
      <w:pPr>
        <w:pStyle w:val="TextoNormal"/>
      </w:pPr>
    </w:p>
    <w:p w:rsidR="00163957" w:rsidRDefault="00163957" w:rsidP="00163957">
      <w:pPr>
        <w:pStyle w:val="TextoNormal"/>
      </w:pPr>
      <w:r>
        <w:lastRenderedPageBreak/>
        <w:t>k) Con fecha 22 de julio de 2014, la Audiencia Provincial de Madrid dictó Auto por la que desestimó el recurso de apelación interpuesto, con la fundamentación que se contiene en su razonamiento jurídico segundo:</w:t>
      </w:r>
    </w:p>
    <w:p w:rsidR="00163957" w:rsidRDefault="00163957" w:rsidP="00163957">
      <w:pPr>
        <w:pStyle w:val="TextoNormal"/>
      </w:pPr>
    </w:p>
    <w:p w:rsidR="00163957" w:rsidRDefault="00163957" w:rsidP="00163957">
      <w:pPr>
        <w:pStyle w:val="TextoNormal"/>
      </w:pPr>
      <w:r>
        <w:t>“En el caso que se somete a la consideración del Tribunal las pruebas practicadas en la primera instancia ponen de manifiesto que la persona ingresada de forma no voluntaria en el centro en cuestión presenta graves limitaciones de forma tal que no puede prestar consentimiento para la finalidad curativa, temporal o provisional, de que se trata.</w:t>
      </w:r>
    </w:p>
    <w:p w:rsidR="00163957" w:rsidRDefault="00163957" w:rsidP="00163957">
      <w:pPr>
        <w:pStyle w:val="TextoNormal"/>
      </w:pPr>
    </w:p>
    <w:p w:rsidR="00163957" w:rsidRDefault="00163957" w:rsidP="00163957">
      <w:pPr>
        <w:pStyle w:val="TextoNormal"/>
      </w:pPr>
      <w:r>
        <w:t>En este sentido además de los informes sociales que dieron inicio a este procedimiento que reseñan la deficiente situación en la que se encontraba la interna en su condición física y habitacional, se practicó la prueba testifical de convecinos de la interna, su propia exploración y el dictamen médico forense, altamente ilustrativo al respecto, que entre otras consideraciones destaca que doña M. de 72 años alude a que ‘le adormilan por gases que dejan en el aire’ o por medicamentos que le dan en la residencia. Se dictamina que la reconocida e informada está desorientada en tiempo y en espacio siendo incapaz de determinar correlativamente hechos del pasado reciente y remoto, comentando que alquile [sic] le quiere quitar el piso donde vive, no estando segura de si es de su propiedad.</w:t>
      </w:r>
    </w:p>
    <w:p w:rsidR="00163957" w:rsidRDefault="00163957" w:rsidP="00163957">
      <w:pPr>
        <w:pStyle w:val="TextoNormal"/>
      </w:pPr>
    </w:p>
    <w:p w:rsidR="00163957" w:rsidRDefault="00163957" w:rsidP="00163957">
      <w:pPr>
        <w:pStyle w:val="TextoNormal"/>
      </w:pPr>
      <w:r>
        <w:t>Se concluye por exploración clínica la existencia de un deterioro cognitivo que deberá ser valorado de manera que dadas todas aquellas circunstancias considera adecuado su traslado a un centro geriátrico donde pueda ser atendida adecuadamente, considerando finalmente que debe ser objeto de incapacidad civil, procedimiento éste ya iniciado en el Juzgado de Primera Instancia número 95 de los de Madrid.</w:t>
      </w:r>
    </w:p>
    <w:p w:rsidR="00163957" w:rsidRDefault="00163957" w:rsidP="00163957">
      <w:pPr>
        <w:pStyle w:val="TextoNormal"/>
      </w:pPr>
    </w:p>
    <w:p w:rsidR="00163957" w:rsidRDefault="00163957" w:rsidP="00163957">
      <w:pPr>
        <w:pStyle w:val="TextoNormal"/>
      </w:pPr>
      <w:r>
        <w:t>Por todo ello la Sala a la vista de cuanto se ha actuado considera pertinente la medida adoptada que ha de ser confirmada en los términos establecidos, argumentando a tal fin el propio auto ahora apelado, la eventualidad de un traslado posterior a otro centro geriátrico o la posibilidad de pasar a vivir en un domicilio particular siempre y cuando la interesada cuente con la asistencia que necesita durante las 24 horas del día, debiendo informar en todo caso los facultativos que la atienden cada 6 meses, a no ser que antes proceda su alta médica.</w:t>
      </w:r>
    </w:p>
    <w:p w:rsidR="00163957" w:rsidRDefault="00163957" w:rsidP="00163957">
      <w:pPr>
        <w:pStyle w:val="TextoNormal"/>
      </w:pPr>
    </w:p>
    <w:p w:rsidR="00163957" w:rsidRDefault="00163957" w:rsidP="00163957">
      <w:pPr>
        <w:pStyle w:val="TextoNormal"/>
      </w:pPr>
      <w:r>
        <w:t>Procede confirmar por todo ello la medida acordada y desestimar el motivo de apelación y ello sin perjuicio de las medidas que sea pertinente adoptar en el interés y beneficio de la interna o en la sede del procedimiento de incapacidad.”</w:t>
      </w:r>
    </w:p>
    <w:p w:rsidR="00163957" w:rsidRDefault="00163957" w:rsidP="00163957">
      <w:pPr>
        <w:pStyle w:val="TextoNormal"/>
      </w:pPr>
    </w:p>
    <w:p w:rsidR="00163957" w:rsidRDefault="00163957" w:rsidP="00163957">
      <w:pPr>
        <w:pStyle w:val="TextoNormal"/>
      </w:pPr>
      <w:r>
        <w:t>l) El 28 de julio de 2014, la representación procesal de la recurrente presentó escrito de aclaración del Auto, puesto que en él “no se dice absolutamente nada sobre los 6 días que permaneció ingresada sin que se le fuese notificado por parte del Juzgado Auto alguno de internamiento, tal y como se manifestó en el Recurso de Apelación y que ha sido omitido en todo momento por esta Sala”.</w:t>
      </w:r>
    </w:p>
    <w:p w:rsidR="00163957" w:rsidRDefault="00163957" w:rsidP="00163957">
      <w:pPr>
        <w:pStyle w:val="TextoNormal"/>
      </w:pPr>
    </w:p>
    <w:p w:rsidR="00163957" w:rsidRDefault="00163957" w:rsidP="00163957">
      <w:pPr>
        <w:pStyle w:val="TextoNormal"/>
      </w:pPr>
      <w:r>
        <w:t>En respuesta a lo solicitado, la Audiencia Provincial de Madrid dictó Auto el 31 de julio de 2014 acordando no haber lugar a la aclaración, por cuanto “en el Auto recurrido se razona y motiva respecto de la privación de libertad conforme a lo dispuesto en el art. 17 de la Constitución española, habiéndose dado respuesta a las pretensiones que se articulaban en el suplico del recurso así como a las alegaciones que en el mismo se desarrollan”.</w:t>
      </w:r>
    </w:p>
    <w:p w:rsidR="00163957" w:rsidRDefault="00163957" w:rsidP="00163957">
      <w:pPr>
        <w:pStyle w:val="TextoNormal"/>
      </w:pPr>
    </w:p>
    <w:p w:rsidR="00163957" w:rsidRDefault="00163957" w:rsidP="00163957">
      <w:pPr>
        <w:pStyle w:val="TextoNormal"/>
      </w:pPr>
      <w:r>
        <w:lastRenderedPageBreak/>
        <w:t>m) En lo que interesa también a este recurso de amparo, consta en las actuaciones que el 18 de marzo de 2014 la Secretaria judicial del Juzgado de Primera Instancia núm. 30 de Madrid extendió diligencia de constancia en la que se pone de manifiesto que “consultado el sistema informático de este Juzgado, consta que se sigue expediente de incapacidad de Dª M.S.S., en el Juzgado de Primera Instancia nº 95 de Madrid con nº 344/14”.</w:t>
      </w:r>
    </w:p>
    <w:p w:rsidR="00163957" w:rsidRDefault="00163957" w:rsidP="00163957">
      <w:pPr>
        <w:pStyle w:val="TextoNormal"/>
      </w:pPr>
    </w:p>
    <w:p w:rsidR="00163957" w:rsidRDefault="00163957" w:rsidP="00163957">
      <w:pPr>
        <w:pStyle w:val="TextoNormal"/>
      </w:pPr>
      <w:r>
        <w:t>En la misma fecha, el Juzgado de Primera Instancia núm. 30 de Madrid dictó providencia remitiendo testimonio de todo lo actuado al Juzgado de Primera Instancia núm. 95 de Madrid, “para su constancia en el expediente de incapacidad nº 344/14”.</w:t>
      </w:r>
    </w:p>
    <w:p w:rsidR="00163957" w:rsidRDefault="00163957" w:rsidP="00163957">
      <w:pPr>
        <w:pStyle w:val="TextoNormal"/>
      </w:pPr>
    </w:p>
    <w:p w:rsidR="00163957" w:rsidRDefault="00163957" w:rsidP="00163957">
      <w:pPr>
        <w:pStyle w:val="TextoNormal"/>
      </w:pPr>
      <w:r w:rsidRPr="00163957">
        <w:rPr>
          <w:rStyle w:val="NumeroAFNegritaCaracter"/>
        </w:rPr>
        <w:t>3</w:t>
      </w:r>
      <w:r>
        <w:t>. La demanda de amparo señala en su encabezamiento que se interpone contra las resoluciones ya identificadas, “por infracción de lo dispuesto en los artículos 14, 17 y 24.1 de la Constitución”, si bien en el apartado de “motivos” de la demanda solo argumenta sobre la vulneración de los derechos a la libertad personal (art. 17.1 CE) y a la tutela judicial efectiva (art. 24.1 CE), conforme a los razonamientos que seguidamente se resumen.</w:t>
      </w:r>
    </w:p>
    <w:p w:rsidR="00163957" w:rsidRDefault="00163957" w:rsidP="00163957">
      <w:pPr>
        <w:pStyle w:val="TextoNormal"/>
      </w:pPr>
    </w:p>
    <w:p w:rsidR="00163957" w:rsidRDefault="00163957" w:rsidP="00163957">
      <w:pPr>
        <w:pStyle w:val="TextoNormal"/>
      </w:pPr>
      <w:r>
        <w:t>a) El primer motivo aduce la vulneración por las resoluciones impugnadas de los derechos fundamentales a la libertad personal (art. 17.1 CE) y a la tutela judicial efectiva (art. 24.1 CE). En tal sentido, y tras reproducir el texto del art. 763 LEC, se fundamenta dicha vulneración en tres circunstancias:</w:t>
      </w:r>
    </w:p>
    <w:p w:rsidR="00163957" w:rsidRDefault="00163957" w:rsidP="00163957">
      <w:pPr>
        <w:pStyle w:val="TextoNormal"/>
      </w:pPr>
    </w:p>
    <w:p w:rsidR="00163957" w:rsidRDefault="00163957" w:rsidP="00163957">
      <w:pPr>
        <w:pStyle w:val="TextoNormal"/>
      </w:pPr>
      <w:r>
        <w:t>La primera es de orden temporal y se refiere al incumplimiento del plazo previsto para comunicar y resolver el internamiento involuntario, lo que conculca el derecho a la libertad personal (art. 17.1 CE). Se alega que el Juzgado tiene por ley el límite de 72 horas para resolver sobre la ratificación de la medida desde que tuvo conocimiento del internamiento, plazo improrrogable que no fue respetado, pues el internamiento se produce el 14 de febrero de 2014 y el Auto de ratificación fue dictado el 25 de febrero. Por su parte, la Audiencia Provincial “se limita a ratificar el Auto de internamiento sin ni siquiera resolver dicha cuestión, lo que hace que esta parte deba presentar escrito de aclaración a fin de ser resuelto, sin que se obtenga nuevamente pronunciamiento alguno”. Por lo que en definitiva hay.</w:t>
      </w:r>
    </w:p>
    <w:p w:rsidR="00163957" w:rsidRDefault="00163957" w:rsidP="00163957">
      <w:pPr>
        <w:pStyle w:val="TextoNormal"/>
      </w:pPr>
    </w:p>
    <w:p w:rsidR="00163957" w:rsidRDefault="00163957" w:rsidP="00163957">
      <w:pPr>
        <w:pStyle w:val="TextoNormal"/>
      </w:pPr>
      <w:r>
        <w:t>La segunda circunstancia es la falta de prueba de la necesidad del internamiento. Se cita la STC 141/2012, de 2 de julio, FJ 4, a cuyo tenor la medida del art. 763 LEC exige la acreditación de la existencia de un trastorno psíquico, concepto que, por ser propio de la ciencia médica, supone que el diagnóstico se realice por “profesionales cualificados, siendo necesario que el facultativo que materializa el ingreso sea un especialista en psiquiatría siendo este quien emite el dictamen facultativo”. Partiendo de esta premisa, se sostiene que en este caso ningún médico examinó a la recurrente, pues el informe de 14 de febrero de 2014 firmado por don A.H.P.V., facultativo del Hospital Clínico San Carlos, lo elabora este médico sin ver a la paciente, limitándose a utilizar una información parcial, pues señala que la recurrente no acudió con regularidad a las visitas médicas. Se invoca de nuevo la STC 141/2012, FJ 5, en cuanto a la exigencia de un informe médico que acredite el trastorno psíquico y se cita el art. 9.2 de la Ley 41/2002, de 14 de noviembre, sobre el deber de obtención previa de la conformidad del paciente respecto al tratamiento que deba aplicársele.</w:t>
      </w:r>
    </w:p>
    <w:p w:rsidR="00163957" w:rsidRDefault="00163957" w:rsidP="00163957">
      <w:pPr>
        <w:pStyle w:val="TextoNormal"/>
      </w:pPr>
    </w:p>
    <w:p w:rsidR="00163957" w:rsidRDefault="00163957" w:rsidP="00163957">
      <w:pPr>
        <w:pStyle w:val="TextoNormal"/>
      </w:pPr>
      <w:r>
        <w:t xml:space="preserve">La tercera queja, que se incluye dentro del primer motivo del recurso, plantea la falta de información a la recurrente sobre el internamiento y sus causas, pues hasta que no tuvo lugar </w:t>
      </w:r>
      <w:r>
        <w:lastRenderedPageBreak/>
        <w:t>la notificación del Auto de 25 de febrero de 2014 aquella no tuvo conocimiento del porqué de la medida; y tampoco se informó de la misma a sus parientes o amigos.</w:t>
      </w:r>
    </w:p>
    <w:p w:rsidR="00163957" w:rsidRDefault="00163957" w:rsidP="00163957">
      <w:pPr>
        <w:pStyle w:val="TextoNormal"/>
      </w:pPr>
    </w:p>
    <w:p w:rsidR="00163957" w:rsidRDefault="00163957" w:rsidP="00163957">
      <w:pPr>
        <w:pStyle w:val="TextoNormal"/>
      </w:pPr>
      <w:r>
        <w:t>b) En el segundo motivo de la demanda de amparo alega la vulneración del derecho fundamental a la tutela judicial efectiva (art. 24.1 CE), en cuanto que la recurrente tenía derecho a disponer de representación y defensa durante el procedimiento, lo que exige de una previa información a la persona ingresada para que pueda ejercer ese derecho, exigencia que en este caso no se cumplió en el momento del internamiento, no siendo hasta la comparecencia del día 24 de febrero cuando se le hace dicho ofrecimiento.</w:t>
      </w:r>
    </w:p>
    <w:p w:rsidR="00163957" w:rsidRDefault="00163957" w:rsidP="00163957">
      <w:pPr>
        <w:pStyle w:val="TextoNormal"/>
      </w:pPr>
    </w:p>
    <w:p w:rsidR="00163957" w:rsidRDefault="00163957" w:rsidP="00163957">
      <w:pPr>
        <w:pStyle w:val="TextoNormal"/>
      </w:pPr>
      <w:r>
        <w:t>Se solicita en el suplico de la demanda el otorgamiento del amparo, “declarando vulnerado el derecho fundamental a la libertad personal de la recurrente”, con nulidad de los Autos recurridos, y que se “proceda a dejar sin efecto de forma inmediata el internamiento involuntario”.</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Con fecha 20 de octubre de 2014, la Secretaría de Justicia de la Sala Primera del Tribunal Constitucional dictó diligencia de ordenación por la que se tuvo por presentada la demanda y, antes de proveer a su admisión, concedió al Procurador el plazo de diez días para personarse la recurrente en la Secretaría de la Sala o en cualquier otra oficina judicial, a fin de otorgar el apoderamiento </w:t>
      </w:r>
      <w:r w:rsidRPr="00163957">
        <w:rPr>
          <w:i/>
        </w:rPr>
        <w:t>apud acta</w:t>
      </w:r>
      <w:r>
        <w:t xml:space="preserve"> en su favor, advirtiendo que se acordaría la inadmisión del recurso de no subsanarse el defecto.</w:t>
      </w:r>
    </w:p>
    <w:p w:rsidR="00163957" w:rsidRDefault="00163957" w:rsidP="00163957">
      <w:pPr>
        <w:pStyle w:val="TextoNormal"/>
      </w:pPr>
    </w:p>
    <w:p w:rsidR="00163957" w:rsidRDefault="00163957" w:rsidP="00163957">
      <w:pPr>
        <w:pStyle w:val="TextoNormal"/>
      </w:pPr>
      <w:r>
        <w:t xml:space="preserve">Consta unida a las actuaciones acta de apoderamiento de fecha 4 de noviembre de 2014, en la que comparece ante el Secretario de Justicia “quien expresa ser doña M.S.S.”, confiriendo apoderamiento </w:t>
      </w:r>
      <w:r w:rsidRPr="00163957">
        <w:rPr>
          <w:i/>
        </w:rPr>
        <w:t>apud acta</w:t>
      </w:r>
      <w:r>
        <w:t xml:space="preserve"> en favor del Procurador actuante, para el presente recurso de amparo.</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Por nueva diligencia de ordenación de la Secretaría de Justicia de la Sala Primera de este Tribunal de 12 de diciembre de 2014, se acordó </w:t>
      </w:r>
      <w:r w:rsidRPr="00163957">
        <w:rPr>
          <w:i/>
        </w:rPr>
        <w:t>ex</w:t>
      </w:r>
      <w:r>
        <w:t xml:space="preserve"> art. 88 de la Ley Orgánica del Tribunal Constitucional (LOTC), requerir al Juzgado de Primera Instancia núm. 30 de Madrid y a la Sección Vigesimosegunda de la Audiencia Provincial de Madrid, para que en el plazo de diez días remitieran, respectivamente, testimonio de los autos núm. 333-2014 y recurso de apelación núm. 640-2014.</w:t>
      </w:r>
    </w:p>
    <w:p w:rsidR="00163957" w:rsidRDefault="00163957" w:rsidP="00163957">
      <w:pPr>
        <w:pStyle w:val="TextoNormal"/>
      </w:pPr>
    </w:p>
    <w:p w:rsidR="00163957" w:rsidRDefault="00163957" w:rsidP="00163957">
      <w:pPr>
        <w:pStyle w:val="TextoNormal"/>
      </w:pPr>
      <w:r>
        <w:t>En virtud de diligencia de constancia de 5 de febrero de 2015, la Secretaría de Justicia de la Sala Primera de este Tribunal tuvo por recibidos los oficios y testimonios solicitados al Juzgado y la Sección de la Audiencia.</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Con fecha 25 de mayo de 2015, la Sala Primera de este Tribunal dictó providencia admitiendo a trámite la demanda de amparo, “apreciando que concurre en el mismo una especial trascendencia constitucional (art. 50.1 LOTC) como consecuencia de que el recurso puede dar ocasión al Tribunal para aclarar o cambiar su doctrina, como consecuencia del surgimiento de nuevas realidades sociales [STC 155/2009, FJ 2 b)]”. Asimismo, se acordó conforme a lo dispuesto en el art. 51 LOTC, dirigir atenta comunicación al Juzgado de Primera Instancia núm. 30 de Madrid “a fin de que, en relación con su procedimiento de internamiento número 333-14 emplace, para que en el plazo de diez días puedan comparecer, si </w:t>
      </w:r>
      <w:r>
        <w:lastRenderedPageBreak/>
        <w:t>lo desean, en el recurso de amparo a quienes hubieran sido parte en el procedimiento, excepto la parte recurrente en amparo. En cuanto a las actuaciones no se solicitan por encontrarse ya incorporadas en el presente recurso de amparo”.</w:t>
      </w:r>
    </w:p>
    <w:p w:rsidR="00163957" w:rsidRDefault="00163957" w:rsidP="00163957">
      <w:pPr>
        <w:pStyle w:val="TextoNormal"/>
      </w:pPr>
    </w:p>
    <w:p w:rsidR="00163957" w:rsidRDefault="00163957" w:rsidP="00163957">
      <w:pPr>
        <w:pStyle w:val="TextoNormal"/>
      </w:pPr>
      <w:r>
        <w:t>Asimismo acordó la Sala en la misma fecha la formación de la correspondiente pieza separada de suspensión y conceder un plazo común de tres días al Ministerio Fiscal y a la solicitante de amparo, para que dentro de dicho término aleguen lo que estimen pertinente sobre dicha suspensión (art. 56 LOTC). Evacuado el trámite de alegaciones, por Auto 127/2015, de 20 de julio, la Sala Primera acordó denegar la suspensión de la medida de internamiento no voluntario de la demandante de amparo, “sin perjuicio de las medidas que puedan adoptarse al respecto por la jurisdicción ordinaria”.</w:t>
      </w:r>
    </w:p>
    <w:p w:rsidR="00163957" w:rsidRDefault="00163957" w:rsidP="00163957">
      <w:pPr>
        <w:pStyle w:val="TextoNormal"/>
      </w:pPr>
    </w:p>
    <w:p w:rsidR="00163957" w:rsidRDefault="00163957" w:rsidP="00163957">
      <w:pPr>
        <w:pStyle w:val="TextoNormal"/>
      </w:pPr>
      <w:r w:rsidRPr="00163957">
        <w:rPr>
          <w:rStyle w:val="NumeroAFNegritaCaracter"/>
        </w:rPr>
        <w:t>7</w:t>
      </w:r>
      <w:r>
        <w:t>. Mediante escrito registrado el 30 de junio de 2015, el Letrado del Ayuntamiento de Madrid, en la representación que ostenta conforme a lo dispuesto en el art. 29 de la Ley 22/2006, de 4 de julio, de capitalidad y de régimen especial de Madrid y el art. 551.3 de la Ley Orgánica del Poder Judicial, solicita comparecer y personarse en nombre del Ayuntamiento de Madrid en el presente recurso de amparo.</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La Secretaría de Justicia de la Sala Primera de este Tribunal dictó diligencia de ordenación el 2 de julio de 2015 teniendo al Letrado del Ayuntamiento de Madrid por personado y parte en la representación que ostenta, con quien se entenderán la presente y sucesivas diligencias. Asimismo, se acordó conceder audiencia a las partes y al Ministerio Fiscal por plazo común de veinte días, </w:t>
      </w:r>
      <w:r w:rsidRPr="00163957">
        <w:rPr>
          <w:i/>
        </w:rPr>
        <w:t>ex</w:t>
      </w:r>
      <w:r>
        <w:t xml:space="preserve"> art. 52 LOTC, con el fin de poder formular las alegaciones que a su derecho convengan.</w:t>
      </w:r>
    </w:p>
    <w:p w:rsidR="00163957" w:rsidRDefault="00163957" w:rsidP="00163957">
      <w:pPr>
        <w:pStyle w:val="TextoNormal"/>
      </w:pPr>
    </w:p>
    <w:p w:rsidR="00163957" w:rsidRDefault="00163957" w:rsidP="00163957">
      <w:pPr>
        <w:pStyle w:val="TextoNormal"/>
      </w:pPr>
      <w:r w:rsidRPr="00163957">
        <w:rPr>
          <w:rStyle w:val="NumeroAFNegritaCaracter"/>
        </w:rPr>
        <w:t>9</w:t>
      </w:r>
      <w:r>
        <w:t>. El Letrado del Ayuntamiento de Madrid registró su escrito de alegaciones el 28 de agosto de 2015, en el que interesó la desestimación del recurso de amparo, por estimar que no concurren las lesiones denunciadas.</w:t>
      </w:r>
    </w:p>
    <w:p w:rsidR="00163957" w:rsidRDefault="00163957" w:rsidP="00163957">
      <w:pPr>
        <w:pStyle w:val="TextoNormal"/>
      </w:pPr>
    </w:p>
    <w:p w:rsidR="00163957" w:rsidRDefault="00163957" w:rsidP="00163957">
      <w:pPr>
        <w:pStyle w:val="TextoNormal"/>
      </w:pPr>
      <w:r>
        <w:t>Afirma que la recurrente padece desde el 14 de febrero de 2014 una patología psíquica diagnosticada como trastorno neurocognitivo, tipo de demencia de características fronto temporales, con síntomas de evidente desorientación temporal y espacial, pérdidas de memoria de fijación y déficit de memoria evocativa, situación que en la actualidad persiste, según los informes médicos. Por otra parte el Samur social hace constar en su informe de la misma fecha que doña M.S.S. se encuentra en una “posible situación de riesgo mayor (no solo para ella sino de incendio), padece síndrome de Diógenes, presenta extrema delgadez y síntomas de deterioro cognitivo”, y pone asimismo de relieve que se encuentra en situación de vulnerabilidad social, con problemática de salud mental, limitación en su autocuidado y existencia en curso de un procedimiento de incapacidad.</w:t>
      </w:r>
    </w:p>
    <w:p w:rsidR="00163957" w:rsidRDefault="00163957" w:rsidP="00163957">
      <w:pPr>
        <w:pStyle w:val="TextoNormal"/>
      </w:pPr>
    </w:p>
    <w:p w:rsidR="00163957" w:rsidRDefault="00163957" w:rsidP="00163957">
      <w:pPr>
        <w:pStyle w:val="TextoNormal"/>
      </w:pPr>
      <w:r>
        <w:t>A juicio del Letrado del Ayuntamiento de Madrid la situación que se recoge en las resoluciones recurridas pone de manifiesto con toda claridad y contundencia que la recurrente se halla impedida para llevar una vida independiente y que precisa vivir en un entorno protegido salubremente, incompatible con las malas condiciones de su vivienda; asimismo dejan entrever estas resoluciones la absoluta necesidad de protegerla de terceras personas que pudieran beneficiarse económicamente de su precariedad mental.</w:t>
      </w:r>
    </w:p>
    <w:p w:rsidR="00163957" w:rsidRDefault="00163957" w:rsidP="00163957">
      <w:pPr>
        <w:pStyle w:val="TextoNormal"/>
      </w:pPr>
    </w:p>
    <w:p w:rsidR="00163957" w:rsidRDefault="00163957" w:rsidP="00163957">
      <w:pPr>
        <w:pStyle w:val="TextoNormal"/>
      </w:pPr>
      <w:r>
        <w:lastRenderedPageBreak/>
        <w:t>Por todo ello, luego de reproducir los fundamentos jurídicos 3 a 6 de la STC 141/2012, acerca de las garantías del procedimiento de internamiento urgente no voluntario por trastorno psíquico del art. 763 LEC, el Letrado del Ayuntamiento de Madrid señala que esta doctrina justifica plenamente la decisión adoptada en el presente caso, en tanto persistan las circunstancias de limitación cognitiva de la recurrente que dio lugar a ella, pues de otro modo se daría lugar a una situación de desprotección de su salud y desamparo personal, por lo que interesa la desestimación del recurso de amparo.</w:t>
      </w:r>
    </w:p>
    <w:p w:rsidR="00163957" w:rsidRDefault="00163957" w:rsidP="00163957">
      <w:pPr>
        <w:pStyle w:val="TextoNormal"/>
      </w:pPr>
    </w:p>
    <w:p w:rsidR="00163957" w:rsidRDefault="00163957" w:rsidP="00163957">
      <w:pPr>
        <w:pStyle w:val="TextoNormal"/>
      </w:pPr>
      <w:r w:rsidRPr="00163957">
        <w:rPr>
          <w:rStyle w:val="NumeroAFNegritaCaracter"/>
        </w:rPr>
        <w:t>10</w:t>
      </w:r>
      <w:r>
        <w:t>. La representación procesal de la recurrente registró su escrito de alegaciones el 2 de septiembre de 2015, en el que, con resumen de lo argumentado en la demanda, se ratificó en los pedimentos de esta.</w:t>
      </w:r>
    </w:p>
    <w:p w:rsidR="00163957" w:rsidRDefault="00163957" w:rsidP="00163957">
      <w:pPr>
        <w:pStyle w:val="TextoNormal"/>
      </w:pPr>
    </w:p>
    <w:p w:rsidR="00163957" w:rsidRDefault="00163957" w:rsidP="00163957">
      <w:pPr>
        <w:pStyle w:val="TextoNormal"/>
      </w:pPr>
      <w:r w:rsidRPr="00163957">
        <w:rPr>
          <w:rStyle w:val="NumeroAFNegritaCaracter"/>
        </w:rPr>
        <w:t>11</w:t>
      </w:r>
      <w:r>
        <w:t>. El Ministerio Fiscal presentó su escrito de alegaciones el 24 de septiembre de 2015, interesando la estimación del recurso de amparo.</w:t>
      </w:r>
    </w:p>
    <w:p w:rsidR="00163957" w:rsidRDefault="00163957" w:rsidP="00163957">
      <w:pPr>
        <w:pStyle w:val="TextoNormal"/>
      </w:pPr>
    </w:p>
    <w:p w:rsidR="00163957" w:rsidRDefault="00163957" w:rsidP="00163957">
      <w:pPr>
        <w:pStyle w:val="TextoNormal"/>
      </w:pPr>
      <w:r>
        <w:t>Tras referirse a los antecedentes del caso, el Fiscal entra a examinar el fondo del asunto formulando dos precisiones previas: de un lado, que de los tres preceptos constitucionales que se denuncian como vulnerados por la demanda de amparo (arts. 14, 17 y 24.1 CE), la invocación del art. 14 CE carece de todo desarrollo argumental, por lo que debe quedar excluido del objeto del recurso. De otro lado, con cita de la STC 141/2012, afirma que la queja relativa a la vulneración del derecho a la tutela judicial efectiva (art. 24.1 CE), por incumplimiento de los presupuestos y garantías del procedimiento del art. 763 LEC, ha de reconducirse al ámbito de la lesión del derecho a la libertad personal (art. 17.1 CE).</w:t>
      </w:r>
    </w:p>
    <w:p w:rsidR="00163957" w:rsidRDefault="00163957" w:rsidP="00163957">
      <w:pPr>
        <w:pStyle w:val="TextoNormal"/>
      </w:pPr>
    </w:p>
    <w:p w:rsidR="00163957" w:rsidRDefault="00163957" w:rsidP="00163957">
      <w:pPr>
        <w:pStyle w:val="TextoNormal"/>
      </w:pPr>
      <w:r>
        <w:t>Siguen después unas consideraciones generales sobre el internamiento psiquiátrico entendido como modalidad de privación de la libertad y su tratamiento en diversos instrumentos jurídicos internacionales, y se citan resoluciones del Tribunal Europeo de Derechos Humanos en interpretación de los arts. 5.1 y 5.4 del Convenio europeo para la protección de los derechos humanos y de las libertades fundamentales (CEDH), en torno a las garantías y control judicial al que debe quedar sometida la citada medida de internamiento por trastorno mental. En torno a esta misma materia, el escrito del Fiscal hace una recapitulación de diversos pronunciamientos de la doctrina constitucional (con cita de las SSTC 112/1988, 104/1990, 124/2010, 129/1999 y 132/2010), para detenerse en la STC 141/2012, de 2 de julio, sintetizando las garantías que ahí se reconocen en cuanto a las fases extrajudicial y judicial del procedimiento. Entiende así que la aplicación de esta doctrina, lleva a solicitar de este Tribunal el otorgamiento del amparo, razonando tal solicitud a la luz de las circunstancias concurrentes, que explica:</w:t>
      </w:r>
    </w:p>
    <w:p w:rsidR="00163957" w:rsidRDefault="00163957" w:rsidP="00163957">
      <w:pPr>
        <w:pStyle w:val="TextoNormal"/>
      </w:pPr>
    </w:p>
    <w:p w:rsidR="00163957" w:rsidRDefault="00163957" w:rsidP="00163957">
      <w:pPr>
        <w:pStyle w:val="TextoNormal"/>
      </w:pPr>
      <w:r>
        <w:t>a) Por incumplimiento del plazo improrrogable de 24 horas (art. 763.1 LEC) que tiene el centro donde se interna a la persona para comunicar a la autoridad judicial la adopción de la medida: en este caso el plazo empezaba a computar desde el momento en que se produjo materialmente el internamiento [STC 141/2012, FJ 5 c)], por lo que la comunicación debió hacerse el 15 de febrero de 2014, retrasándose hasta el día 17 de febrero.</w:t>
      </w:r>
    </w:p>
    <w:p w:rsidR="00163957" w:rsidRDefault="00163957" w:rsidP="00163957">
      <w:pPr>
        <w:pStyle w:val="TextoNormal"/>
      </w:pPr>
    </w:p>
    <w:p w:rsidR="00163957" w:rsidRDefault="00163957" w:rsidP="00163957">
      <w:pPr>
        <w:pStyle w:val="TextoNormal"/>
      </w:pPr>
      <w:r>
        <w:t xml:space="preserve">b) Incumplimiento del plazo improrrogable de 72 horas que tiene el Juez para ratificar o no el internamiento (art. 763.1 LEC); recibida la comunicación del Samur social el día 17 de febrero de 2014, el Decanato no turnó la causa al Juzgado competente (el núm. 30 de Primera Instancia), hasta el día siguiente, 18 de febrero, y el Auto de ratificación no se dictó </w:t>
      </w:r>
      <w:r>
        <w:lastRenderedPageBreak/>
        <w:t>hasta el 25 de febrero de 2014. En aplicación de la doctrina sentada por la STC 182/2015, el plazo de las 72 horas empezaba a contar desde la entrada de la comunicación en el Decanato, por lo que el Auto debió haberse dictado, a más tardar, el 20 de febrero de 2014.</w:t>
      </w:r>
    </w:p>
    <w:p w:rsidR="00163957" w:rsidRDefault="00163957" w:rsidP="00163957">
      <w:pPr>
        <w:pStyle w:val="TextoNormal"/>
      </w:pPr>
    </w:p>
    <w:p w:rsidR="00163957" w:rsidRDefault="00163957" w:rsidP="00163957">
      <w:pPr>
        <w:pStyle w:val="TextoNormal"/>
      </w:pPr>
      <w:r>
        <w:t>c) Incumplimiento del deber de informar a la recurrente de las razones de su ingreso y de los derechos que le asisten. Con cita del art. 763.3 LEC y de la STC 141/2012, se recuerda en la demanda de amparo que la persona sometida a una medida de internamiento por trastorno mental tiene derecho a conocer los motivos del internamiento, no solamente en la fase judicial, a fin de poder solicitar la debida asistencia jurídica, sino incluso desde el momento inicial en que se produce el internamiento por el centro donde queda recluida, sin que haya constancia de que se hubiere cumplido con este deber de información.</w:t>
      </w:r>
    </w:p>
    <w:p w:rsidR="00163957" w:rsidRDefault="00163957" w:rsidP="00163957">
      <w:pPr>
        <w:pStyle w:val="TextoNormal"/>
      </w:pPr>
    </w:p>
    <w:p w:rsidR="00163957" w:rsidRDefault="00163957" w:rsidP="00163957">
      <w:pPr>
        <w:pStyle w:val="TextoNormal"/>
      </w:pPr>
      <w:r>
        <w:t>d) Ausencia de juicio de proporcionalidad y necesidad de la medida de ingreso no voluntario de la recurrente. El informe médico de 14 de febrero de 2014 suscrito por el psiquiatra don A.H.P.V., ha sido emitido sin que este haya examinado personalmente a doña M.S.S., basándose únicamente en su historial clínico. Además, este informe no justifica la idoneidad del ingreso, ni explica, con argumentos médicos, que la recurrente fuera un riesgo para sí misma. Añade que la doctrina constitucional, en la misma STC 141/2012, exige que el internamiento urgente satisfaga los requisitos de necesidad (que no existe otra medida menos gravosa) y proporcionalidad para el sacrificio del derecho a la libertad, los cuales debe controlar después el Juez.</w:t>
      </w:r>
    </w:p>
    <w:p w:rsidR="00163957" w:rsidRDefault="00163957" w:rsidP="00163957">
      <w:pPr>
        <w:pStyle w:val="TextoNormal"/>
      </w:pPr>
    </w:p>
    <w:p w:rsidR="00163957" w:rsidRDefault="00163957" w:rsidP="00163957">
      <w:pPr>
        <w:pStyle w:val="TextoNormal"/>
      </w:pPr>
      <w:r>
        <w:t>Advierte que la solicitud de internamiento se acompañó simplemente de un informe de atención del Samur social elaborado por una trabajadora social, el cual ni siquiera fue firmado por el director del centro donde estaba ingresada la recurrente, como exige el art. 763.1 LEC, y que en su contenido ese informe no parece afirmar la existencia de un trastorno mental, sino más bien razones de urgencia o emergencia social, por lo que no resultaba idóneo para dar soporte a la medida. Por otra parte el informe del doctor A.H.P.V. ni siquiera considera procedente el ingreso no voluntario urgente de la demandante de amparo, sino que se limita a solicitar de la autoridad judicial que valore el caso y establezca las medidas judiciales de protección que considere necesarias.</w:t>
      </w:r>
    </w:p>
    <w:p w:rsidR="00163957" w:rsidRDefault="00163957" w:rsidP="00163957">
      <w:pPr>
        <w:pStyle w:val="TextoNormal"/>
      </w:pPr>
    </w:p>
    <w:p w:rsidR="00163957" w:rsidRDefault="00163957" w:rsidP="00163957">
      <w:pPr>
        <w:pStyle w:val="TextoNormal"/>
      </w:pPr>
      <w:r>
        <w:t>Por lo que toca al Auto dictado por la Audiencia en apelación, adolece de la misma falta de motivación reforzada, según el Fiscal. Este Auto toma como fundamento el informe de la médico forense, inidóneo, mientras que rechazó sin motivo el aportado por la defensa de la recurrente, redactado por un doctor en psiquiatría y que cuestionaba la medida de internamiento. Asimismo, el Auto de apelación omitió dar respuesta a la queja de incumplimiento de los plazos y sus consecuencias, formulada por la apelante en su recurso, silenciando esta cuestión como si el trámite se hubiera desarrollado correctamente, respetándose los plazos. La Audiencia, por tanto, no reparó la vulneración del derecho fundamental a la libertad personal de la recurrente en amparo.</w:t>
      </w:r>
    </w:p>
    <w:p w:rsidR="00163957" w:rsidRDefault="00163957" w:rsidP="00163957">
      <w:pPr>
        <w:pStyle w:val="TextoNormal"/>
      </w:pPr>
    </w:p>
    <w:p w:rsidR="00163957" w:rsidRDefault="00163957" w:rsidP="00163957">
      <w:pPr>
        <w:pStyle w:val="TextoNormal"/>
      </w:pPr>
      <w:r>
        <w:t xml:space="preserve">Finalmente, en cuanto a los efectos del otorgamiento del amparo que se interesa, precisa el Ministerio Fiscal que, además de declararse la nulidad de las resoluciones impugnadas, procede acordar la puesta en libertad de la recurrente, puesto que conforme a los datos de los que se dispone la misma sigue internada. Ello sin perjuicio de que, una vez en libertad la recurrente, la autoridad judicial pudiera acordar un nuevo internamiento si se cumplen </w:t>
      </w:r>
      <w:r>
        <w:lastRenderedPageBreak/>
        <w:t>los requisitos que lo justifiquen. Añade el Fiscal que tal puesta en libertad podría estar condicionada por lo que haya podido acordarse en el proceso de incapacitación que se sigue en relación con la recurrente, ante el Juzgado de Primera Instancia núm. 95 de Madrid.</w:t>
      </w:r>
    </w:p>
    <w:p w:rsidR="00163957" w:rsidRDefault="00163957" w:rsidP="00163957">
      <w:pPr>
        <w:pStyle w:val="TextoNormal"/>
      </w:pPr>
    </w:p>
    <w:p w:rsidR="00163957" w:rsidRDefault="00163957" w:rsidP="00163957">
      <w:pPr>
        <w:pStyle w:val="TextoNormal"/>
      </w:pPr>
      <w:r w:rsidRPr="00163957">
        <w:rPr>
          <w:rStyle w:val="NumeroAFNegritaCaracter"/>
        </w:rPr>
        <w:t>12</w:t>
      </w:r>
      <w:r>
        <w:t>. Por providencia de 28 de enero de 2016, se señaló para deliberación y votación de la presente Sentencia el día 1 de febrero del mismo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Se interpone el presente recurso de amparo contra el Auto del Juzgado de Primera Instancia núm. 30 de Madrid de 25 de febrero de 2014, que ratificó la medida de internamiento urgente por trastorno psíquico de la recurrente; también contra el Auto de la Sección Vigesimosegunda de la Audiencia Provincial de Madrid, de 22 de julio de 2014, que desestimó el recurso de apelación interpuesto frente a aquella resolución, y por último contra el Auto de la misma Sección de la Audiencia, de 31 de julio de 2014, que desestimó la solicitud de aclaración promovida respecto del citado Auto de apelación. En síntesis, se alega que dichas resoluciones han vulnerado los derechos a la libertad (art. 17.1 CE) y a la tutela judicial efectiva (art. 24.1 CE) de la recurrente, por los motivos que luego examinaremos.</w:t>
      </w:r>
    </w:p>
    <w:p w:rsidR="00163957" w:rsidRDefault="00163957" w:rsidP="00163957">
      <w:pPr>
        <w:pStyle w:val="TextoNormal"/>
      </w:pPr>
    </w:p>
    <w:p w:rsidR="00163957" w:rsidRDefault="00163957" w:rsidP="00163957">
      <w:pPr>
        <w:pStyle w:val="TextoNormal"/>
      </w:pPr>
      <w:r>
        <w:t>En el encabezamiento de la demanda se cita también como infringido el art. 14 CE, pero ha de darse la razón al Ministerio Fiscal cuando afirma que esta denuncia se halla huérfana de toda argumentación en el escrito, por lo que resulta directamente inatendible, pues a este Tribunal no le corresponde suplir las razones de los recurrentes en amparo cuando estas no se aportan al recurso (por todas, SSTC 7/1998, de 13 de enero, FJ 3; 52/1999, de 12 de abril, FJ 3; y 189/2002, de 14 de octubre, FJ 3).</w:t>
      </w:r>
    </w:p>
    <w:p w:rsidR="00163957" w:rsidRDefault="00163957" w:rsidP="00163957">
      <w:pPr>
        <w:pStyle w:val="TextoNormal"/>
      </w:pPr>
    </w:p>
    <w:p w:rsidR="00163957" w:rsidRDefault="00163957" w:rsidP="00163957">
      <w:pPr>
        <w:pStyle w:val="TextoNormal"/>
      </w:pPr>
      <w:r>
        <w:t>Debemos asimismo indicar que, de acuerdo con las potestades atribuidas a este Tribunal por el art. 86.3 de la Ley Orgánica del Tribunal Constitucional (LOTC) y el Acuerdo del Pleno de 23 de julio de 2015 en materia de protección de datos de carácter personal en el ámbito de la publicación y difusión de sus resoluciones jurisdiccionales, la presente Sentencia no incluye la identificación completa de la demandante de amparo, sometida a internamiento por razón de trastorno psíquico, con el fin de proteger así su intimidad “…teniendo en cuenta los hechos del caso (SSTC 114/2006, de 5 de abril, FJ 7; 176/2008, de 22 de diciembre, FJ 9; y 77/2009, de 23 de marzo, FJ 5)” [STC 141/2012, de 2 de julio, FJ 8; igualmente, STC 182/2015, de 7 de septiembre].</w:t>
      </w:r>
    </w:p>
    <w:p w:rsidR="00163957" w:rsidRDefault="00163957" w:rsidP="00163957">
      <w:pPr>
        <w:pStyle w:val="TextoNormal"/>
      </w:pPr>
    </w:p>
    <w:p w:rsidR="00163957" w:rsidRDefault="00163957" w:rsidP="00163957">
      <w:pPr>
        <w:pStyle w:val="TextoNormal"/>
      </w:pPr>
      <w:r w:rsidRPr="00163957">
        <w:rPr>
          <w:rStyle w:val="NumeroAFNegritaCaracter"/>
        </w:rPr>
        <w:t>2</w:t>
      </w:r>
      <w:r>
        <w:t>. Como punto previo al análisis de fondo, debemos efectuar la correcta delimitación del objeto del presente recurso. Únicamente las quejas de contenido constitucional deducidas por la representación procesal de doña M.S.S. en la vía judicial previa, en tiempo y forma oportunos, y traídas luego a su demanda de amparo, son las que pueden ser sometidas a nuestro enjuiciamiento. Las quejas así planteadas en el recurso de apelación fueron dos: el incumplimiento de “un plazo máximo de 24 horas en los internamientos urgentes previos … que aquí eso no se ha respetado”, lo que hace clara referencia al plazo del art. 763.1 de la Ley de enjuiciamiento civil (LEC) relativo a la fase extrajudicial del procedimiento, y la ausencia del presupuesto de trastorno psíquico como justificación de la medida de internamiento.</w:t>
      </w:r>
    </w:p>
    <w:p w:rsidR="00163957" w:rsidRDefault="00163957" w:rsidP="00163957">
      <w:pPr>
        <w:pStyle w:val="TextoNormal"/>
      </w:pPr>
    </w:p>
    <w:p w:rsidR="00163957" w:rsidRDefault="00163957" w:rsidP="00163957">
      <w:pPr>
        <w:pStyle w:val="TextoNormal"/>
      </w:pPr>
      <w:r>
        <w:lastRenderedPageBreak/>
        <w:t>Resulta extemporánea la queja nueva vertida en el escrito de aclaración del Auto de apelación, acerca de la falta de notificación a la recurrente del Auto de ratificación del internamiento. El incidente de los arts. 214 y 215 LEC y 267 de la Ley Orgánica del Poder Judicial no tiene por finalidad conocer de nuevas pretensiones sino aclarar conceptos oscuros, corregir errores materiales o subsanar omisiones de pronunciamiento, justamente respecto de cuestiones planteadas en el debate de manera oportuna. Esto explica sin duda el tenor de la respuesta dada por la Sección juzgadora al rechazar la aclaración impetrada, afirmando que el Auto de apelación había “dado respuesta a las pretensiones que se articulaban en el suplico del recurso así como a las alegaciones que en el mismo se desarrollan”. Nos encontramos por tanto con el óbice de la falta de denuncia de la lesión del derecho fundamental, “tan pronto como, una vez conocida, hubiera lugar para ello” [art. 44.1 c) LOTC]; requisito este que la doctrina de este Tribunal considera inherente al carácter esencialmente subsidiario de esta jurisdicción constitucional. En este caso no se trata de una falta de denuncia absoluta en la vía judicial, pero sí tardía dentro de esta, es decir, formalizada cuando el trámite procesal ya no permitía introducir nuevas pretensiones [entre otras, SSTC 190/2006, de 19 de junio, FJ 2; 93/2007, de 7 de mayo, FJ 3; 178/2014, de 3 de noviembre, FJ 3, y 242/2015, de 30 de noviembre, FFJJ 5 y 6].</w:t>
      </w:r>
    </w:p>
    <w:p w:rsidR="00163957" w:rsidRDefault="00163957" w:rsidP="00163957">
      <w:pPr>
        <w:pStyle w:val="TextoNormal"/>
      </w:pPr>
    </w:p>
    <w:p w:rsidR="00163957" w:rsidRDefault="00163957" w:rsidP="00163957">
      <w:pPr>
        <w:pStyle w:val="TextoNormal"/>
      </w:pPr>
      <w:r>
        <w:t xml:space="preserve">Finalmente, también por concurrir el óbice de falta de denuncia temporánea de la lesión [art. 44.1.c) LOTC], ahora sí de modo absoluto en la vía judicial [entre otras, SSTC 133/2010, de 2 de diciembre, FJ 2; 45/2011, de 11 de abril, FJ 2; 2/2013, de 14 de enero, FJ 4; 44/2013, de 25 de febrero, FJ 3; 126/2013, de 3 de junio, FJ 2 d); 47/2014, de 7 de abril, FJ 2 c), y 118/2014, de 8 de julio, FJ 2 a)], quedan fuera de nuestro enjuiciamiento las quejas deducidas </w:t>
      </w:r>
      <w:r w:rsidRPr="00163957">
        <w:rPr>
          <w:i/>
        </w:rPr>
        <w:t>ex novo</w:t>
      </w:r>
      <w:r>
        <w:t xml:space="preserve"> en la demanda de amparo relativas al incumplimiento del plazo de las 72 horas del órgano judicial y a la falta de información a la recurrente de la causa que motivó su internamiento (que no tuvo lugar hasta la práctica de la exploración judicial) y de su derecho a disponer de representación procesal y defensa.</w:t>
      </w:r>
    </w:p>
    <w:p w:rsidR="00163957" w:rsidRDefault="00163957" w:rsidP="00163957">
      <w:pPr>
        <w:pStyle w:val="TextoNormal"/>
      </w:pPr>
    </w:p>
    <w:p w:rsidR="00163957" w:rsidRDefault="00163957" w:rsidP="00163957">
      <w:pPr>
        <w:pStyle w:val="TextoNormal"/>
      </w:pPr>
      <w:r w:rsidRPr="00163957">
        <w:rPr>
          <w:rStyle w:val="NumeroAFNegritaCaracter"/>
        </w:rPr>
        <w:t>3</w:t>
      </w:r>
      <w:r>
        <w:t>. Sentadas las precisiones que anteceden, entramos ya a examinar las dos quejas correctamente formalizadas en este recurso, a las cuales daremos una respuesta conjunta por las razones que de inmediato se expondrán.</w:t>
      </w:r>
    </w:p>
    <w:p w:rsidR="00163957" w:rsidRDefault="00163957" w:rsidP="00163957">
      <w:pPr>
        <w:pStyle w:val="TextoNormal"/>
      </w:pPr>
    </w:p>
    <w:p w:rsidR="00163957" w:rsidRDefault="00163957" w:rsidP="00163957">
      <w:pPr>
        <w:pStyle w:val="TextoNormal"/>
      </w:pPr>
      <w:r>
        <w:t xml:space="preserve">Denuncia la demanda la lesión de los derechos fundamentales a la libertad personal (art. 17.1 CE) y a la tutela judicial efectiva (art. 24.1 CE), por el incumplimiento de dos de los presupuestos para el internamiento urgente por trastorno psíquico de la recurrente: en primer lugar, que el Samur social se dirigió al Decanato de los Juzgados de Madrid el 17 de febrero de 2014 solicitando la ratificación del internamiento, el cual ya se había producido tres días antes, el 14 de febrero de 2014, cuando miembros del “Equipo de Internamientos Involuntarios” del Samur social trasladaron a la recurrente desde su domicilio a la residencia geriátrica “Margarita Retuerto”, rebasándose el límite legal e improrrogable de 24 horas para realizar la comunicación al órgano judicial. Y en segundo lugar, que la ratificación del internamiento se solicitó sin aportar un informe médico que motivara la procedencia de la medida, pues no tiene tal carácter el informe firmado por las trabajadoras sociales del Samur, en el que únicamente se describen ciertos hábitos de vida de la recurrente que podrán acaso requerir la ayuda de asistentes sociales, pero no su internamiento forzoso en una residencia. Tampoco ofrece la debida justificación de la medida el informe médico del doctor A.H.P.V., facultativo del Hospital Clínico San Carlos —que no examinó a la paciente—, </w:t>
      </w:r>
      <w:r>
        <w:lastRenderedPageBreak/>
        <w:t>incorporado en la fase judicial, el cual tampoco motiva expresamente la necesidad de tenerla internada.</w:t>
      </w:r>
    </w:p>
    <w:p w:rsidR="00163957" w:rsidRDefault="00163957" w:rsidP="00163957">
      <w:pPr>
        <w:pStyle w:val="TextoNormal"/>
      </w:pPr>
    </w:p>
    <w:p w:rsidR="00163957" w:rsidRDefault="00163957" w:rsidP="00163957">
      <w:pPr>
        <w:pStyle w:val="TextoNormal"/>
      </w:pPr>
      <w:r>
        <w:t>Así, planteada la doble queja de la recurrente, debemos precisar que, tal como señala el Ministerio Fiscal, la alegada vulneración del derecho a la tutela judicial efectiva (art. 24.1 CE), por incumplimiento de los presupuestos y garantías del procedimiento del art. 763 LEC, ha de reconducirse al ámbito de la lesión del derecho a la libertad personal (art. 17.1 CE), como hemos tenido ocasión de precisar para supuestos similares en materia de internamiento (SSTC 104/1990, de 4 de junio, FJ 1; y 141/2012, de 2 de julio, FJ 1).</w:t>
      </w:r>
    </w:p>
    <w:p w:rsidR="00163957" w:rsidRDefault="00163957" w:rsidP="00163957">
      <w:pPr>
        <w:pStyle w:val="TextoNormal"/>
      </w:pPr>
    </w:p>
    <w:p w:rsidR="00163957" w:rsidRDefault="00163957" w:rsidP="00163957">
      <w:pPr>
        <w:pStyle w:val="TextoNormal"/>
      </w:pPr>
      <w:r>
        <w:t>Para dar respuesta a esta doble queja, hemos de empezar recordando el tenor literal del art. 763.1 LEC, en lo que concierne a la regulación de la fase extrajudicial de este mecanismo de tutela de la libertad personal:</w:t>
      </w:r>
    </w:p>
    <w:p w:rsidR="00163957" w:rsidRDefault="00163957" w:rsidP="00163957">
      <w:pPr>
        <w:pStyle w:val="TextoNormal"/>
      </w:pPr>
    </w:p>
    <w:p w:rsidR="00163957" w:rsidRDefault="00163957" w:rsidP="00163957">
      <w:pPr>
        <w:pStyle w:val="TextoNormal"/>
      </w:pPr>
      <w:r>
        <w:t>“1. El internamiento, por razón de trastorno psíquico, de una persona que no esté en condiciones de decidirlo por sí, aunque esté sometida a la patria potestad o a tutela, requerirá autorización judicial, que será recabada del tribunal del lugar donde resida la persona afectada por el internamiento.</w:t>
      </w:r>
    </w:p>
    <w:p w:rsidR="00163957" w:rsidRDefault="00163957" w:rsidP="00163957">
      <w:pPr>
        <w:pStyle w:val="TextoNormal"/>
      </w:pPr>
    </w:p>
    <w:p w:rsidR="00163957" w:rsidRDefault="00163957" w:rsidP="00163957">
      <w:pPr>
        <w:pStyle w:val="TextoNormal"/>
      </w:pPr>
      <w:r>
        <w:t>La autorización será previa a dicho internamiento, salvo que razones de urgencia hicieren necesaria la inmediata adopción de la medida. En este caso, el responsable del centro en que se hubiere producido el internamiento deberá dar cuenta de éste al tribunal competente lo antes posible y, en todo caso, dentro del plazo de veinticuatro horas, a los efectos de que se proceda a la preceptiva ratificación de dicha medida…”</w:t>
      </w:r>
    </w:p>
    <w:p w:rsidR="00163957" w:rsidRDefault="00163957" w:rsidP="00163957">
      <w:pPr>
        <w:pStyle w:val="TextoNormal"/>
      </w:pPr>
    </w:p>
    <w:p w:rsidR="00163957" w:rsidRDefault="00163957" w:rsidP="00163957">
      <w:pPr>
        <w:pStyle w:val="TextoNormal"/>
      </w:pPr>
      <w:r>
        <w:t>Así, en los casos en que por razones de urgencia deba practicarse el internamiento involuntario con carácter previo a obtenerse la necesaria autorización judicial, el precepto es del todo claro al imponer el deber de comunicar la adopción de la medida “al responsable del centro en que se hubiere producido el internamiento” y con el límite temporal de las 24 horas. La “obligación del centro de comunicar al Juez competente el internamiento y los motivos que lo justificaron” constituye una exigencia básica derivada del respeto al derecho fundamental a la libertad personal (art. 17.1 CE), como recuerda la citada STC 141/2012, FJ 5 c), que asimismo advierte de que el plazo de 24 horas para efectuar la comunicación “se trata, en todo caso, no de un plazo fijo, sino máximo, que por ende no tiene que agotarse necesariamente en el supuesto concreto ni cabe agotarlo discrecionalmente. De este modo la comunicación al Tribunal habrá de efectuarla el director del centro en cuanto se disponga del diagnóstico que justifique el internamiento, sin más demora, siendo que las veinticuatro horas empiezan a contar desde el momento en que se produce materialmente el ingreso del afectado en el interior del recinto y contra su voluntad” [STC 141/2012, FJ 5 c)].</w:t>
      </w:r>
    </w:p>
    <w:p w:rsidR="00163957" w:rsidRDefault="00163957" w:rsidP="00163957">
      <w:pPr>
        <w:pStyle w:val="TextoNormal"/>
      </w:pPr>
    </w:p>
    <w:p w:rsidR="00163957" w:rsidRDefault="00163957" w:rsidP="00163957">
      <w:pPr>
        <w:pStyle w:val="TextoNormal"/>
      </w:pPr>
      <w:r>
        <w:t xml:space="preserve">Es pues este último, el responsable de cada centro, quién permite que se materialice la privación de libertad de quien ingresa (o ya residía antes, por entrada voluntaria), si el centro dispone de médicos psiquiatras que puedan emitir informe que diagnostique el trastorno mental del afectado y motive en su caso la necesidad del internamiento, y si el centro cuenta con los equipos y recursos materiales (medicinas, etc.) que se requieran para el cuidado integral del interno y para iniciar el tratamiento terapéutico que precise. En este contexto, nada obsta a que una residencia geriátrica pueda ser el “centro” al que se refiere el art. 763.1 </w:t>
      </w:r>
      <w:r>
        <w:lastRenderedPageBreak/>
        <w:t>LEC, siempre que, además de cumplir con todos los requerimientos legales y administrativos para su funcionamiento, se halle en condiciones de cumplir con esas condiciones imprescindibles para el tratamiento psiquiátrico.</w:t>
      </w:r>
    </w:p>
    <w:p w:rsidR="00163957" w:rsidRDefault="00163957" w:rsidP="00163957">
      <w:pPr>
        <w:pStyle w:val="TextoNormal"/>
      </w:pPr>
    </w:p>
    <w:p w:rsidR="00163957" w:rsidRDefault="00163957" w:rsidP="00163957">
      <w:pPr>
        <w:pStyle w:val="TextoNormal"/>
      </w:pPr>
      <w:r>
        <w:t>La norma citada (art. 763.1 LEC) no contempla por tanto que la comunicación al órgano judicial la efectúen quienes intervienen en un momento anterior al inicio del internamiento, como sucede con el traslado del afectado al centro, tarea ésta que puede corresponder en la casuística diaria a diversidad de personas, según las circunstancias (agentes policiales, personal de ambulancias, trabajadores sociales, o los propios parientes o conocidos de aquél). No de otro modo lo ha entendido la doctrina constitucional, que en la misma STC 141/2012, FJ 5 d), tras exponer los condicionantes que caracterizan a esta fase extrajudicial del procedimiento de internamiento urgente no voluntario por trastorno psíquico, en cuanto a la comunicación que corresponde realizar, se insiste, al responsable del centro, señala que “En todo caso, el director de este último sigue siendo responsable de la vida e integridad física y psíquica del interno mientras no acuerde el alta, bien por orden judicial o porque a criterio de los facultativos encargados se aprecie que han desaparecido o mitigado suficientemente las causas que motivaban el internamiento; incluso cuando tal ratificación judicial ya se hubiere producido”.</w:t>
      </w:r>
    </w:p>
    <w:p w:rsidR="00163957" w:rsidRDefault="00163957" w:rsidP="00163957">
      <w:pPr>
        <w:pStyle w:val="TextoNormal"/>
      </w:pPr>
    </w:p>
    <w:p w:rsidR="00163957" w:rsidRDefault="00163957" w:rsidP="00163957">
      <w:pPr>
        <w:pStyle w:val="TextoNormal"/>
      </w:pPr>
      <w:r>
        <w:t>En el caso que nos ocupa ha de convenirse en que hubo un incumplimiento del trámite de comunicación al órgano judicial, si bien el problema no consistió sólo en que se rebasara el plazo máximo de las 24 horas previsto en el art. 763.1 LEC por quien debía efectuar tal comunicación, sino que esta última tampoco se llevó a cabo por quien tenía que hacerlo. En efecto, el responsable o director de la residencia “Margarita Retuerto” en la que se internó a la recurrente en ningún momento se dirigió a los tribunales de Madrid para solicitar la ratificación del internamiento. En su lugar, actuando en una especie de sustitución oficiosa, lo hicieron dos de las trabajadoras sociales del “equipo de internamientos involuntarios” del Samur social, que habían trasladado a la recurrente a dicha residencia.</w:t>
      </w:r>
    </w:p>
    <w:p w:rsidR="00163957" w:rsidRDefault="00163957" w:rsidP="00163957">
      <w:pPr>
        <w:pStyle w:val="TextoNormal"/>
      </w:pPr>
    </w:p>
    <w:p w:rsidR="00163957" w:rsidRDefault="00163957" w:rsidP="00163957">
      <w:pPr>
        <w:pStyle w:val="TextoNormal"/>
      </w:pPr>
      <w:r>
        <w:t>Tal delegación de responsabilidades, carente de validez a los relevantes efectos de la tutela del derecho a la libertad (art. 17.1 CE) que aquí está en juego, no queda subsanada por la aportación de una “nota informativa” con membrete de la residencia en cuestión, sin fecha ni autor conocido, que aparece entre la documentación obrante en las actuaciones del día 24 de febrero de 2014 y en la que no se emiten conclusiones médicas acerca de la necesidad del internamiento de la recurrente, limitándose a narrar su quehacer diario y las visitas recibidas en la residencia, con una mención a que presenta “deterioro cognitivo leve”. Así las cosas, situar el debate en determinar cuántos días se demoró el Samur social en solicitar la ratificación del internamiento implicaría aceptar la traslación de un deber que legalmente corresponde al responsable del centro, de acuerdo con lo expresado por el art. 763.1 LEC, precepto que lo configura como una de las garantías esenciales de la fase extrajudicial del procedimiento que regula, como señala la citada STC 141/2012, FJ 5 c). Y ese deber, tal como advierte el Fiscal en su escrito de alegaciones, no fue cumplido en el presente caso.</w:t>
      </w:r>
    </w:p>
    <w:p w:rsidR="00163957" w:rsidRDefault="00163957" w:rsidP="00163957">
      <w:pPr>
        <w:pStyle w:val="TextoNormal"/>
      </w:pPr>
    </w:p>
    <w:p w:rsidR="00163957" w:rsidRDefault="00163957" w:rsidP="00163957">
      <w:pPr>
        <w:pStyle w:val="TextoNormal"/>
      </w:pPr>
      <w:r w:rsidRPr="00163957">
        <w:rPr>
          <w:rStyle w:val="NumeroAFNegritaCaracter"/>
        </w:rPr>
        <w:t>4</w:t>
      </w:r>
      <w:r>
        <w:t>. La indicada confusión de funciones explica también el incumplimiento del otro presupuesto de la fase extrajudicial, la existencia previa de un informe médico que justificara la medida de internamiento.</w:t>
      </w:r>
    </w:p>
    <w:p w:rsidR="00163957" w:rsidRDefault="00163957" w:rsidP="00163957">
      <w:pPr>
        <w:pStyle w:val="TextoNormal"/>
      </w:pPr>
    </w:p>
    <w:p w:rsidR="00163957" w:rsidRDefault="00163957" w:rsidP="00163957">
      <w:pPr>
        <w:pStyle w:val="TextoNormal"/>
      </w:pPr>
      <w:r>
        <w:lastRenderedPageBreak/>
        <w:t xml:space="preserve">Conforme tiene señalado este Tribunal en la STC 141/2012, FJ 4 a), “se configura como presupuesto objetivo de la medida la existencia en la persona de un trastorno psíquico, al que viene a sumarse la circunstancia de la ‘urgencia’ o necesidad inmediata de la intervención médica para su protección. El significado de lo que ha de entenderse por trastorno psíquico, transitorio o permanente, en línea con lo dispuesto en instrumentos internacionales, remite a los conocimientos propios de la ciencia médica; sin que en ningún caso puedan considerarse como expresión de trastorno o enfermedad mental la discrepancia del afectado con los valores sociales, culturales, políticos o religiosos imperantes en la comunidad”. De esta suerte, la misma STC 141/2012, FJ 5 a), considera como una de las exigencias básicas en la fase extrajudicial (derivadas del respeto al derecho a la libertad personal que garantiza el art. 17.1 CE) para la validez del internamiento urgente no voluntario, la “existencia de un informe médico que acredite el trastorno psíquico justificante del internamiento inmediato: si bien el responsable del centro médico está facultado para tomar </w:t>
      </w:r>
      <w:r w:rsidRPr="00163957">
        <w:rPr>
          <w:i/>
        </w:rPr>
        <w:t>ab initio</w:t>
      </w:r>
      <w:r>
        <w:t xml:space="preserve"> la decisión de internar a la persona, es evidente que esto se condiciona al hecho de que consten acreditadas en ese momento y tras su reconocimiento, la necesidad y proporcionalidad de la medida, de la que ha de informarse al interesado hasta donde le sea comprensible, debiendo quedar plasmado por escrito el juicio médico para su posterior control por la autoridad judicial”.</w:t>
      </w:r>
    </w:p>
    <w:p w:rsidR="00163957" w:rsidRDefault="00163957" w:rsidP="00163957">
      <w:pPr>
        <w:pStyle w:val="TextoNormal"/>
      </w:pPr>
    </w:p>
    <w:p w:rsidR="00163957" w:rsidRDefault="00163957" w:rsidP="00163957">
      <w:pPr>
        <w:pStyle w:val="TextoNormal"/>
      </w:pPr>
      <w:r>
        <w:t>El Samur social aportó con la solicitud el informe propio de los profesionales que desarrollan sus actividades en el “equipo de internamientos involuntarios”, que son trabajadores sociales, cuyo cometido no es examinar a la persona bajo “los conocimientos propios de la ciencia médica” [STC 141/2012, FJ 4 a)] y convencer al Juez si es el caso de la necesidad del internamiento, sino que aplican el saber adquirido en su titulación (derecho, psicología, sociología, etc.) y la experiencia adquirida, para establecer en su trabajo diario si se está o no en presencia de una “emergencia social” (utilizando la terminología propia de estos trabajadores sociales), a fin de brindar una solución, en este caso trasladando a la recurrente a un centro donde, justamente, debía llevarse a cabo el pertinente control médico a los efectos mencionados.</w:t>
      </w:r>
    </w:p>
    <w:p w:rsidR="00163957" w:rsidRDefault="00163957" w:rsidP="00163957">
      <w:pPr>
        <w:pStyle w:val="TextoNormal"/>
      </w:pPr>
    </w:p>
    <w:p w:rsidR="00163957" w:rsidRDefault="00163957" w:rsidP="00163957">
      <w:pPr>
        <w:pStyle w:val="TextoNormal"/>
      </w:pPr>
      <w:r>
        <w:t xml:space="preserve">No cabe por tanto reprochar al Samur social la remisión de ese informe, pero sí al Juzgado </w:t>
      </w:r>
      <w:r w:rsidRPr="00163957">
        <w:rPr>
          <w:i/>
        </w:rPr>
        <w:t>a quo</w:t>
      </w:r>
      <w:r>
        <w:t xml:space="preserve"> el haberlo considerado suficiente para, tras incoar el procedimiento, no ordenar de inmediato la puesta en libertad de la recurrente sino continuar su tramitación, cuando era evidente que la privación ilegítima de libertad ya se había consumado, al faltar el doble presupuesto requerido para llevar a cabo la medida sin la previa autorización del Juez, tanto de orden material [comunicación del internamiento y de sus motivos al Juez competente por el responsable del centro, con fundamento en un informe médico que acredite el trastorno psíquico justificante del internamiento urgente: STC 141/2012, FJ 4 a) y 5 a) y c)] como temporal [efectuar dicha comunicación en el plazo máximo de 24 horas, contadas desde que se produce materialmente el hecho del internamiento involuntario: STC 141/2012, FJ 5.c)].</w:t>
      </w:r>
    </w:p>
    <w:p w:rsidR="00163957" w:rsidRDefault="00163957" w:rsidP="00163957">
      <w:pPr>
        <w:pStyle w:val="TextoNormal"/>
      </w:pPr>
    </w:p>
    <w:p w:rsidR="00163957" w:rsidRDefault="00163957" w:rsidP="00163957">
      <w:pPr>
        <w:pStyle w:val="TextoNormal"/>
      </w:pPr>
      <w:r>
        <w:t>Por su parte, el auto de apelación dictado por la Audiencia Provincial de Madrid (y el ulterior que rechaza la solicitud de aclaración), no repara la lesión del derecho a la libertad de la recurrente en amparo, al limitase a dar por buena la resolución impugnada del Juzgado de Primera Instancia núm. 30 de Madrid.</w:t>
      </w:r>
    </w:p>
    <w:p w:rsidR="00163957" w:rsidRDefault="00163957" w:rsidP="00163957">
      <w:pPr>
        <w:pStyle w:val="TextoNormal"/>
      </w:pPr>
    </w:p>
    <w:p w:rsidR="00163957" w:rsidRDefault="00163957" w:rsidP="00163957">
      <w:pPr>
        <w:pStyle w:val="TextoNormal"/>
      </w:pPr>
      <w:r w:rsidRPr="00163957">
        <w:rPr>
          <w:rStyle w:val="NumeroAFNegritaCaracter"/>
        </w:rPr>
        <w:t>5</w:t>
      </w:r>
      <w:r>
        <w:t>. Ha de estimarse, por tanto, la doble queja de la demanda de amparo por la vulneración del derecho a la libertad personal (art. 17.1 CE) de la recurrente, acordando la nulidad de las resoluciones impugnadas.</w:t>
      </w:r>
    </w:p>
    <w:p w:rsidR="00163957" w:rsidRDefault="00163957" w:rsidP="00163957">
      <w:pPr>
        <w:pStyle w:val="TextoNormal"/>
      </w:pPr>
    </w:p>
    <w:p w:rsidR="00163957" w:rsidRDefault="00163957" w:rsidP="00163957">
      <w:pPr>
        <w:pStyle w:val="TextoNormal"/>
      </w:pPr>
      <w:r>
        <w:t>A diferencia de lo que sucedía en otros pronunciamientos dictados por este Tribunal en materia de internamiento no voluntario por razón de trastorno psíquico del art. 763 LEC [así, SSTC 141/2012 y 182/2015], no consta en las actuaciones del presente recurso de amparo que la recurrente haya sido dada de alta por el centro asistencial donde fue internada, por lo que hemos de acordar su libertad inmediata. Esto sin perjuicio de lo que haya podido decidirse respecto de su situación personal en el proceso de incapacitación seguido ante el Juzgado de Primera Instancia núm. 95 de Madrid (procedimiento núm. 344-2014), bien sea como medida cautelar o incluso como pronunciamiento definitivo en sentencia.</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doña M.S.S. y, en consecuencia:</w:t>
      </w:r>
    </w:p>
    <w:p w:rsidR="00163957" w:rsidRDefault="00163957" w:rsidP="00163957">
      <w:pPr>
        <w:pStyle w:val="TextoNormal"/>
      </w:pPr>
    </w:p>
    <w:p w:rsidR="00163957" w:rsidRDefault="00163957" w:rsidP="00163957">
      <w:pPr>
        <w:pStyle w:val="TextoNormal"/>
      </w:pPr>
      <w:r>
        <w:t>1º Declarar que se ha vulnerado su derecho a la libertad personal (art. 17.1 CE).</w:t>
      </w:r>
    </w:p>
    <w:p w:rsidR="00163957" w:rsidRDefault="00163957" w:rsidP="00163957">
      <w:pPr>
        <w:pStyle w:val="TextoNormal"/>
      </w:pPr>
    </w:p>
    <w:p w:rsidR="00163957" w:rsidRDefault="00163957" w:rsidP="00163957">
      <w:pPr>
        <w:pStyle w:val="TextoNormal"/>
      </w:pPr>
      <w:r>
        <w:t>2º Restablecerla en la integridad de su derecho y, a tal fin, declarar la nulidad del Auto del Juzgado de Primera Instancia núm. 30 de Madrid, de 25 de febrero de 2014, dictado en el procedimiento de internamiento núm. 333-2014; y de los Autos de la Sección Vigesimosegunda de 22 de julio de 2014 y 31 de julio de 2014, recaídos en el recurso de apelación núm. 640-2014.</w:t>
      </w:r>
    </w:p>
    <w:p w:rsidR="00163957" w:rsidRDefault="00163957" w:rsidP="00163957">
      <w:pPr>
        <w:pStyle w:val="TextoNormal"/>
      </w:pPr>
    </w:p>
    <w:p w:rsidR="00163957" w:rsidRDefault="00163957" w:rsidP="00163957">
      <w:pPr>
        <w:pStyle w:val="TextoNormal"/>
      </w:pPr>
      <w:r>
        <w:t>3º Acordar la inmediata puesta en libertad de la recurrente, sin perjuicio de lo razonado en el anterior fundamento jurídico 5.</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uno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7" w:name="SENTENCIA_2016_14"/>
      <w:r>
        <w:lastRenderedPageBreak/>
        <w:t>SENTENCIA 14/2016, de 1 de febrero de 2016</w:t>
      </w:r>
    </w:p>
    <w:bookmarkEnd w:id="17"/>
    <w:p w:rsidR="00163957" w:rsidRDefault="00163957" w:rsidP="00163957">
      <w:pPr>
        <w:pStyle w:val="TtuloResolucin"/>
      </w:pPr>
      <w:r>
        <w:t>Sala Segunda</w:t>
      </w:r>
    </w:p>
    <w:p w:rsidR="00163957" w:rsidRDefault="00163957" w:rsidP="00163957">
      <w:pPr>
        <w:pStyle w:val="TtuloBOE"/>
      </w:pPr>
      <w:r>
        <w:t>(BOE núm. 57, de 7 de marzo de 2016)</w:t>
      </w:r>
    </w:p>
    <w:p w:rsidR="00163957" w:rsidRDefault="00163957" w:rsidP="00163957">
      <w:pPr>
        <w:pStyle w:val="TextoNormalCentrado"/>
      </w:pPr>
      <w:r>
        <w:t>ECLI:ES:TC:2016:14</w:t>
      </w:r>
    </w:p>
    <w:p w:rsidR="00163957" w:rsidRDefault="00163957" w:rsidP="00163957">
      <w:pPr>
        <w:pStyle w:val="TextoNormalCentrado"/>
      </w:pPr>
    </w:p>
    <w:p w:rsidR="00163957" w:rsidRDefault="00163957" w:rsidP="00163957">
      <w:pPr>
        <w:pStyle w:val="SntesisDescriptiva"/>
      </w:pPr>
      <w:r>
        <w:t>Recurso de amparo 7419-2014. Promovido por doña Pilar Fernández Suárez en relación con las resoluciones dictadas por la Sala de lo Penal de la Audiencia Nacional en ejecutoria de condena penal.</w:t>
      </w:r>
    </w:p>
    <w:p w:rsidR="00163957" w:rsidRDefault="00163957" w:rsidP="00163957">
      <w:pPr>
        <w:pStyle w:val="SntesisDescriptiva"/>
      </w:pPr>
    </w:p>
    <w:p w:rsidR="00163957" w:rsidRDefault="00163957" w:rsidP="00163957">
      <w:pPr>
        <w:pStyle w:val="SntesisAnaltica"/>
      </w:pPr>
      <w:r>
        <w:t>Vulneración del derecho a la legalidad penal en relación con los derechos a la tutela judicial efectiva y a la libertad personal: resoluciones judiciales que no satisfacen el canon de motivación reforzada exigible en materia de prescripción de las penas (STC 63/2015).</w:t>
      </w:r>
    </w:p>
    <w:p w:rsidR="00163957" w:rsidRDefault="00163957" w:rsidP="00163957">
      <w:pPr>
        <w:pStyle w:val="SntesisAnaltica"/>
      </w:pPr>
    </w:p>
    <w:p w:rsidR="00163957" w:rsidRDefault="00163957" w:rsidP="00163957">
      <w:pPr>
        <w:pStyle w:val="Extracto"/>
      </w:pPr>
      <w:r>
        <w:t>1.</w:t>
      </w:r>
      <w:r>
        <w:tab/>
        <w:t>El criterio interpretativo que supuso entender que el computo del plazo de prescripción de la pena de prisión impuesta a la recurrente en amparo comenzaría una vez desestimada la petición de indulto y se habría interrumpido con el requerimiento personal a la penada para el ingreso en prisión y por la orden de detención e ingreso en prisión, no puede entenderse amparado en la literalidad de la norma aplicable, lo que incide en el derecho a la legalidad penal y repercute en los derechos de la demandante a la tutela judicial efectiva y a la libertad personal, impidiendo estimar debidamente satisfecho el canon de motivación reforzada exigible en estos casos. [FJ 4].</w:t>
      </w:r>
    </w:p>
    <w:p w:rsidR="00163957" w:rsidRDefault="00163957" w:rsidP="00163957">
      <w:pPr>
        <w:pStyle w:val="Extracto"/>
      </w:pPr>
    </w:p>
    <w:p w:rsidR="00163957" w:rsidRDefault="00163957" w:rsidP="00163957">
      <w:pPr>
        <w:pStyle w:val="Extracto"/>
      </w:pPr>
      <w:r>
        <w:t>2.</w:t>
      </w:r>
      <w:r>
        <w:tab/>
        <w:t xml:space="preserve">No resulta factible afirmar que los actos de ejecución dirigidos contra la ahora demandante, siendo distintos al cumplimiento </w:t>
      </w:r>
      <w:r w:rsidRPr="00163957">
        <w:rPr>
          <w:i/>
        </w:rPr>
        <w:t xml:space="preserve">in natura </w:t>
      </w:r>
      <w:r>
        <w:t>o sustitutivo, pueden entenderse asimilables al comienzo de la ejecución que determinaría la interrupción de la prescripción, dado que el legislador no los ha contemplado [FJ 4].</w:t>
      </w:r>
    </w:p>
    <w:p w:rsidR="00163957" w:rsidRDefault="00163957" w:rsidP="00163957">
      <w:pPr>
        <w:pStyle w:val="Extracto"/>
      </w:pPr>
    </w:p>
    <w:p w:rsidR="00163957" w:rsidRDefault="00163957" w:rsidP="00163957">
      <w:pPr>
        <w:pStyle w:val="Extracto"/>
      </w:pPr>
      <w:r>
        <w:t>3.</w:t>
      </w:r>
      <w:r>
        <w:tab/>
        <w:t xml:space="preserve">El Código Penal se limita a indicar como </w:t>
      </w:r>
      <w:r w:rsidRPr="00163957">
        <w:rPr>
          <w:i/>
        </w:rPr>
        <w:t xml:space="preserve">dies a quo </w:t>
      </w:r>
      <w:r>
        <w:t>para el cómputo del plazo de prescripción de la pena la fecha en que la sentencia deviene firme o bien aquélla en que la condena es quebrantada, por lo que no resulta constitucionalmente aceptable una interpretación de los preceptos legales aplicables que excede de su más directo significado gramatical (STC 97/2010) [FJ 3].</w:t>
      </w:r>
    </w:p>
    <w:p w:rsidR="00163957" w:rsidRDefault="00163957" w:rsidP="00163957">
      <w:pPr>
        <w:pStyle w:val="Extracto"/>
      </w:pPr>
    </w:p>
    <w:p w:rsidR="00163957" w:rsidRDefault="00163957" w:rsidP="00163957">
      <w:pPr>
        <w:pStyle w:val="Extracto"/>
      </w:pPr>
      <w:r>
        <w:t>4.</w:t>
      </w:r>
      <w:r>
        <w:tab/>
        <w:t>La jurisdicción constitucional no puede eludir la declaración de inconstitucionalidad o la apreciación de lesión de los derechos fundamentales cuando la interpretación judicial de la norma reguladora de la prescripción, aun no siendo irrazonable o arbitraria, lleve consigo una aplicación extensiva o analógica en perjuicio del reo que exceda de su significado gramatical (STC 63/2015) [FJ 2].</w:t>
      </w:r>
    </w:p>
    <w:p w:rsidR="00163957" w:rsidRDefault="00163957" w:rsidP="00163957">
      <w:pPr>
        <w:pStyle w:val="Extracto"/>
      </w:pPr>
    </w:p>
    <w:p w:rsidR="00163957" w:rsidRDefault="00163957" w:rsidP="00163957">
      <w:pPr>
        <w:pStyle w:val="Extracto"/>
      </w:pPr>
      <w:r>
        <w:t>5.</w:t>
      </w:r>
      <w:r>
        <w:tab/>
        <w:t>El control de la prescripción penal se funda en el derecho a la tutela judicial efectiva y en la conexión de la prescripción en el ámbito punitivo con el derecho a la libertad, lo que determina el control de la resolución impugnada bajo un canon de motivación reforzada, resultando conculcado el derecho a la libertad tanto cuando se actúa bajo la cobertura improcedente de la ley, como cuando se proceda contra lo que la misma dispone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lastRenderedPageBreak/>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7419-2014, promovido por doña Pilar Fernández Suárez, representada por el Procurador de los Tribunales don José Ángel Donaire Gómez y defendida por el Letrado don Juan Carlos Sánchez Peribáñez, contra el Auto de la Sección Cuarta de la Sala de lo Penal de la Audiencia Nacional de fecha 14 de noviembre de 2014, recaído en la ejecutoria núm. 110-2008, desestimatorio del recurso de súplica interpuesto contra la providencia de la misma Sala y Sección de fecha 18 de julio de 2014, que acordó rechazar la solicitud de declaración de prescripción de la pena. Ha comparecido el Ministerio Fiscal. Ha sido Ponente el Magistrado don Juan José González Rivas,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9 de diciembre de 2014, el Procurador de los Tribunales don José Ángel Donaire Gómez, en nombre y representación de doña Pilar Fernández Suárez, interpuso recurso de amparo contra las resoluciones referidas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en que se fundamenta la demanda de amparo son, sucintamente expuestos, los siguientes:</w:t>
      </w:r>
    </w:p>
    <w:p w:rsidR="00163957" w:rsidRDefault="00163957" w:rsidP="00163957">
      <w:pPr>
        <w:pStyle w:val="TextoNormal"/>
      </w:pPr>
    </w:p>
    <w:p w:rsidR="00163957" w:rsidRDefault="00163957" w:rsidP="00163957">
      <w:pPr>
        <w:pStyle w:val="TextoNormal"/>
      </w:pPr>
      <w:r>
        <w:t>a) La Sección Cuarta de la Sala de lo Penal de la Audiencia Nacional, en fecha de 16 de abril de 2007, dictó Sentencia en la que, entre otros pronunciamientos, condenó a doña Pilar Fernández Suárez como cómplice criminalmente responsable de un delito contra la salud pública, en su modalidad de tráfico de drogas que causan grave daño a la salud, subtipo agravado de notoria importancia, sin la concurrencia de circunstancias modificativas de la responsabilidad criminal, a la pena de cuatro años y siete meses de prisión, multa de un millón de euros, con la accesoria de inhabilitación especial para el ejercicio de sufragio pasivo durante el tiempo de la condena y pago proporcional de las costas procesales.</w:t>
      </w:r>
    </w:p>
    <w:p w:rsidR="00163957" w:rsidRDefault="00163957" w:rsidP="00163957">
      <w:pPr>
        <w:pStyle w:val="TextoNormal"/>
      </w:pPr>
    </w:p>
    <w:p w:rsidR="00163957" w:rsidRDefault="00163957" w:rsidP="00163957">
      <w:pPr>
        <w:pStyle w:val="TextoNormal"/>
      </w:pPr>
      <w:r>
        <w:t>b) Contra dicha Sentencia la ahora demandante interpuso recurso de casación que fue desestimado por Sentencia de fecha 28 de octubre de 2008, dictada por la Sala de lo Penal del Tribunal Supremo en el recurso de casación núm. 1663-2007, que le impuso las costas del recurso.</w:t>
      </w:r>
    </w:p>
    <w:p w:rsidR="00163957" w:rsidRDefault="00163957" w:rsidP="00163957">
      <w:pPr>
        <w:pStyle w:val="TextoNormal"/>
      </w:pPr>
    </w:p>
    <w:p w:rsidR="00163957" w:rsidRDefault="00163957" w:rsidP="00163957">
      <w:pPr>
        <w:pStyle w:val="TextoNormal"/>
      </w:pPr>
      <w:r>
        <w:lastRenderedPageBreak/>
        <w:t>c) Por Auto de 26 de noviembre de 2008, la Sección Cuarta de la Sala de lo Penal de la Audiencia Nacional declaró la firmeza de la Sentencia condenatoria dictada respecto de la demandante. Incoada la ejecutoria núm. 110-2008, por providencia de 3 de diciembre de 2008 se ordenó su ejecución, acordándose remitir nota de condena al Registro Central de Penados y Rebeldes y requerir a la condenada a través de su representante procesal a fin de informarle de que en el plazo máximo de cinco días debía ingresar en un centro penitenciario para el cumplimiento de la pena impuesta y que, al término del mismo y en caso negativo, se darían las órdenes oportunas de busca, captura e ingreso en prisión.</w:t>
      </w:r>
    </w:p>
    <w:p w:rsidR="00163957" w:rsidRDefault="00163957" w:rsidP="00163957">
      <w:pPr>
        <w:pStyle w:val="TextoNormal"/>
      </w:pPr>
    </w:p>
    <w:p w:rsidR="00163957" w:rsidRDefault="00163957" w:rsidP="00163957">
      <w:pPr>
        <w:pStyle w:val="TextoNormal"/>
      </w:pPr>
      <w:r>
        <w:t>d) Por escrito registrado el 16 de diciembre de 2008, al amparo de la previsión contenida en el art. 4.4 del Código penal, doña Pilar Fernández Suárez solicitó la suspensión provisional de la ejecución de la condena en tanto se resolviera sobre la petición de indulto presentada en el Ministerio de Justicia, solicitud a la que, previa audiencia del Ministerio Fiscal, accedió la Sección Cuarta de la Sala de lo Penal de la Audiencia Nacional por Auto de fecha 29 de diciembre de 2008, que acordó la suspensión de la ejecución de la pena privativa de libertad “en tanto se tramita el indulto solicitado”.</w:t>
      </w:r>
    </w:p>
    <w:p w:rsidR="00163957" w:rsidRDefault="00163957" w:rsidP="00163957">
      <w:pPr>
        <w:pStyle w:val="TextoNormal"/>
      </w:pPr>
    </w:p>
    <w:p w:rsidR="00163957" w:rsidRDefault="00163957" w:rsidP="00163957">
      <w:pPr>
        <w:pStyle w:val="TextoNormal"/>
      </w:pPr>
      <w:r>
        <w:t>e) El Ministerio de Justicia comunicó al citado Tribunal que el Consejo de Ministros de fecha 20 de noviembre de 2009 no consideró la concesión del indulto solicitado. Por providencia de fecha 3 de febrero de 2010, corregida en cuanto al error en el nombre por providencia de 16 de febrero de 2010, se ordenó requerir a doña Pilar Fernández Suárez, a través de telegrama, para su ingreso en prisión, por un plazo de diez días, a fin de cumplir la pena privativa de libertad impuesta. Dicho telegrama no fue entregado a su destinataria, haciéndose constar: “casa cerrada, enviado aviso postal”.</w:t>
      </w:r>
    </w:p>
    <w:p w:rsidR="00163957" w:rsidRDefault="00163957" w:rsidP="00163957">
      <w:pPr>
        <w:pStyle w:val="TextoNormal"/>
      </w:pPr>
    </w:p>
    <w:p w:rsidR="00163957" w:rsidRDefault="00163957" w:rsidP="00163957">
      <w:pPr>
        <w:pStyle w:val="TextoNormal"/>
      </w:pPr>
      <w:r>
        <w:t>f) En fecha 12 de febrero de 2010, doña Pilar Fernández Suárez compareció en la Secretaría del Tribunal y se le notificó personalmente la providencia de fecha 3 de febrero de 2010, por la que se le requiere para que, en el plazo de diez días, ingrese en prisión.</w:t>
      </w:r>
    </w:p>
    <w:p w:rsidR="00163957" w:rsidRDefault="00163957" w:rsidP="00163957">
      <w:pPr>
        <w:pStyle w:val="TextoNormal"/>
      </w:pPr>
    </w:p>
    <w:p w:rsidR="00163957" w:rsidRDefault="00163957" w:rsidP="00163957">
      <w:pPr>
        <w:pStyle w:val="TextoNormal"/>
      </w:pPr>
      <w:r>
        <w:t>g) La ahora demandante, por escrito cuya fecha de registro no consta, solicitó la suspensión de la ejecución de la pena al amparo del art. 80.4 del Código penal, solicitud que le fue denegada por Auto de fecha 7 de mayo de 2010 dictado por la misma Sección Cuarta de la Sala de lo Penal de la Audiencia Nacional y confirmado, tras la interposición y sustanciación de recurso de súplica, por Auto de fecha 24 de mayo de 2010.</w:t>
      </w:r>
    </w:p>
    <w:p w:rsidR="00163957" w:rsidRDefault="00163957" w:rsidP="00163957">
      <w:pPr>
        <w:pStyle w:val="TextoNormal"/>
      </w:pPr>
    </w:p>
    <w:p w:rsidR="00163957" w:rsidRDefault="00163957" w:rsidP="00163957">
      <w:pPr>
        <w:pStyle w:val="TextoNormal"/>
      </w:pPr>
      <w:r>
        <w:t>h) Por providencia del mismo órgano judicial de fecha 27 de julio de 2010, se acordó: “Dada cuenta, visto el estado de las actuaciones y comprobado que ha transcurrido el plazo para el ingreso en prisión de la condenada PILAR FERNÁNDEZ SUÁREZ, para el cumplimiento de la pena privativa de libertad impuesta en sentencia de 16 de abril de 2007, firme el 26 de noviembre de 2008, se acuerda la detención e ingreso en prisión de la condenada y a estos efectos líbrese el oportuno oficio a la Unidad de Policía Judicial de la Audiencia Nacional”. Para la efectividad de dicha orden se libraron los despachos oportunos, quedando dada de alta la requisitoria con fecha de 30 de julio siguiente, según puso en conocimiento del Tribunal la Dirección General de la Policía y de la Guardia Civil.</w:t>
      </w:r>
    </w:p>
    <w:p w:rsidR="00163957" w:rsidRDefault="00163957" w:rsidP="00163957">
      <w:pPr>
        <w:pStyle w:val="TextoNormal"/>
      </w:pPr>
    </w:p>
    <w:p w:rsidR="00163957" w:rsidRDefault="00163957" w:rsidP="00163957">
      <w:pPr>
        <w:pStyle w:val="TextoNormal"/>
      </w:pPr>
      <w:r>
        <w:t xml:space="preserve">i) Por escrito fechado del 15 de noviembre de 2010 doña Pilar Fernández Suárez solicitó la revisión, con motivo en la entrada en vigor, el 23 de diciembre de 2010, de la reforma del Código penal por Ley Orgánica 5/2010, de 22 de junio, de la Sentencia de 16 de abril de </w:t>
      </w:r>
      <w:r>
        <w:lastRenderedPageBreak/>
        <w:t>2007, lo que fue denegado por Auto de 23 de diciembre de 2010, corregido en cuanto al error en el nombre por Auto de 6 de abril de 2011. Intentado el recurso de casación, el mismo fue inadmitido por Auto de la Sala de lo Penal del Tribunal Supremo de 29 de septiembre de 2011 (recurso de casación núm. 11389-2011).</w:t>
      </w:r>
    </w:p>
    <w:p w:rsidR="00163957" w:rsidRDefault="00163957" w:rsidP="00163957">
      <w:pPr>
        <w:pStyle w:val="TextoNormal"/>
      </w:pPr>
    </w:p>
    <w:p w:rsidR="00163957" w:rsidRDefault="00163957" w:rsidP="00163957">
      <w:pPr>
        <w:pStyle w:val="TextoNormal"/>
      </w:pPr>
      <w:r>
        <w:t>j) Por escrito fechado el 29 de abril de 2014 y registrado el 12 de mayo siguiente, doña Pilar Fernández Suárez solicitó la declaración de prescripción de la pena en virtud de lo prevenido en los arts. 133, 33.3 a) y 134 del Código penal, al haber transcurrido cinco años desde la firmeza de la sentencia. En fecha 18 de julio de 2014, la Sección Cuarta de la Sala de lo Penal de la Audiencia Nacional dictó providencia con el siguiente contenido:</w:t>
      </w:r>
    </w:p>
    <w:p w:rsidR="00163957" w:rsidRDefault="00163957" w:rsidP="00163957">
      <w:pPr>
        <w:pStyle w:val="TextoNormal"/>
      </w:pPr>
    </w:p>
    <w:p w:rsidR="00163957" w:rsidRDefault="00163957" w:rsidP="00163957">
      <w:pPr>
        <w:pStyle w:val="TextoNormal"/>
      </w:pPr>
      <w:r>
        <w:t>“Dada cuenta, por evacuado el traslado conferido al Ministerio Fiscal, únase el informe emitido y conforme a su contenido, se acuerda no admitir a trámite escrito ni petición alguna que se realice en representación de la condenada PILAR FERNÁNDEZ SUÁREZ al encontrarse la misma en situación de busca y captura, no estando a disposición de este Tribunal.</w:t>
      </w:r>
    </w:p>
    <w:p w:rsidR="00163957" w:rsidRDefault="00163957" w:rsidP="00163957">
      <w:pPr>
        <w:pStyle w:val="TextoNormal"/>
      </w:pPr>
    </w:p>
    <w:p w:rsidR="00163957" w:rsidRDefault="00163957" w:rsidP="00163957">
      <w:pPr>
        <w:pStyle w:val="TextoNormal"/>
      </w:pPr>
      <w:r>
        <w:t>Sin perjuicio de lo anterior y examinadas que han sido las presentes actuaciones, no procede la prescripción de la pena de prisión de 4 años y 7 meses impuesta a la condenada en sentencia, por un delito contra la salud pública, toda vez que una vez desestimada la petición de indulto solicitada por la parte —que dio lugar a la suspensión de la ejecución de la pena privativa de libertad mientras se tramitaba el mismo, acordada que fue mediante auto de fecha 29/12/08— la prescripción se interrumpió con el requerimiento de Pilar Fernández el día 12/02/10, para su ingreso en prisión y la orden de busca y captura para el cumplimiento de la pena, no habiendo transcurrido por lo tanto más de 5 años que establece el artículo 133 y siguientes del Código Penal para la prescripción de la pena de prisión.”</w:t>
      </w:r>
    </w:p>
    <w:p w:rsidR="00163957" w:rsidRDefault="00163957" w:rsidP="00163957">
      <w:pPr>
        <w:pStyle w:val="TextoNormal"/>
      </w:pPr>
    </w:p>
    <w:p w:rsidR="00163957" w:rsidRDefault="00163957" w:rsidP="00163957">
      <w:pPr>
        <w:pStyle w:val="TextoNormal"/>
      </w:pPr>
      <w:r>
        <w:t>k) Doña Pilar Fernández Suárez, con fecha 24 de julio de 2014, interpuso recurso de súplica contra la anterior providencia. Alegaba, en primer lugar, vulneración del derecho a la tutela judicial efectiva generadora de indefensión, con apoyo en la jurisprudencia del Tribunal Supremo, afirmando, en síntesis, que la situación de rebeldía no debía impedir resolver sobre una cuestión de orden público, cual era la prescripción, y que era unánime la doctrina del Tribunal Supremo relativa a que la paralización del procedimiento penal, en razón a la situación de rebeldía, podría generar y perfeccionar un estado de prescripción de la infracción criminal; en segundo lugar, vulneración del derecho a la tutela judicial efectiva (art. 24.1 CE), por vulneración del derecho fundamental al principio de legalidad (art. 25.1 CE) en relación con el derecho fundamental a la libertad (17.1 CE), citando en su apoyo la STC 97/2010, de 15 de noviembre, que parcialmente transcribía; en tercer lugar, la vulneración de esos mismos derechos, por deberse realizar el cómputo de la prescripción de la pena desde la firmeza de la sentencia.</w:t>
      </w:r>
    </w:p>
    <w:p w:rsidR="00163957" w:rsidRDefault="00163957" w:rsidP="00163957">
      <w:pPr>
        <w:pStyle w:val="TextoNormal"/>
      </w:pPr>
    </w:p>
    <w:p w:rsidR="00163957" w:rsidRDefault="00163957" w:rsidP="00163957">
      <w:pPr>
        <w:pStyle w:val="TextoNormal"/>
      </w:pPr>
      <w:r>
        <w:t>l) El recurso de súplica fue desestimado por Auto dictado por la misma Sección Cuarta de la Sala de lo Penal de la Audiencia Nacional en fecha 14 de noviembre de 2014. En su razonamiento jurídico único se dice:</w:t>
      </w:r>
    </w:p>
    <w:p w:rsidR="00163957" w:rsidRDefault="00163957" w:rsidP="00163957">
      <w:pPr>
        <w:pStyle w:val="TextoNormal"/>
      </w:pPr>
    </w:p>
    <w:p w:rsidR="00163957" w:rsidRDefault="00163957" w:rsidP="00163957">
      <w:pPr>
        <w:pStyle w:val="TextoNormal"/>
      </w:pPr>
      <w:r>
        <w:t xml:space="preserve">“[A] esta cuestión, ya se ha otorgado reiteradas respuestas, la última mediante providencia de 18 de julio de 2014, en la que decíamos ‘examinadas que han sido las precedentes actuaciones, no procede la prescripción de la pena de prisión de 4 años y 7 meses impuesta a la condenada en sentencia, por un delito contra la salud pública, toda vez que una vez </w:t>
      </w:r>
      <w:r>
        <w:lastRenderedPageBreak/>
        <w:t>desestimada la petición de indulto solicitado por la parte, —que dio lugar a la suspensión de la ejecución de la pena privativa de libertad mientras se tramitaba el mismo—, acordada que fue mediante auto de fecha 29/12/08, la prescripción se interrumpió con el requerimiento de Pilar Fernández el día 12/02/10, para su ingreso en prisión y la orden de busca y captura para el cumplimiento de la pena, no habiendo transcurrido por lo tanto más de 5 años que establece el artículo 133 y siguientes del Código Penal para la prescripción de la pena de prisión’.</w:t>
      </w:r>
    </w:p>
    <w:p w:rsidR="00163957" w:rsidRDefault="00163957" w:rsidP="00163957">
      <w:pPr>
        <w:pStyle w:val="TextoNormal"/>
      </w:pPr>
    </w:p>
    <w:p w:rsidR="00163957" w:rsidRDefault="00163957" w:rsidP="00163957">
      <w:pPr>
        <w:pStyle w:val="TextoNormal"/>
      </w:pPr>
      <w:r>
        <w:t>Respuesta que volvemos a reproducir sin más aditamento.”</w:t>
      </w:r>
    </w:p>
    <w:p w:rsidR="00163957" w:rsidRDefault="00163957" w:rsidP="00163957">
      <w:pPr>
        <w:pStyle w:val="TextoNormal"/>
      </w:pPr>
    </w:p>
    <w:p w:rsidR="00163957" w:rsidRDefault="00163957" w:rsidP="00163957">
      <w:pPr>
        <w:pStyle w:val="TextoNormal"/>
      </w:pPr>
      <w:r w:rsidRPr="00163957">
        <w:rPr>
          <w:rStyle w:val="NumeroAFNegritaCaracter"/>
        </w:rPr>
        <w:t>3</w:t>
      </w:r>
      <w:r>
        <w:t>. La parte recurrente aduce en su demanda de amparo que las resoluciones judiciales impugnadas infringen el derecho a la tutela judicial efectiva sin indefensión (art. 24.1 CE) en relación con el principio de legalidad penal (art. 25 CE) y con el derecho a la libertad personal (art. 17.1 CE). Sostiene la demandante, en síntesis, que se ha realizado una aplicación extensiva y en contra del reo de lo previsto en los arts. 133 y 134 del Código penal al considerarse interrumpida la prescripción de la pena durante la suspensión de la ejecución de la condena privativa de libertad mientras se tramitaba el indulto, y, alzada la suspensión, por la comparecencia de requerimiento de ingreso en prisión o por la orden de busca, captura e ingreso en prisión, lo que carece de apoyatura legal y contraviene la doctrina constitucional asentada en las SSTC 97/2010 y 49/2014. Termina suplicando que se declare vulnerado el derecho de la recurrente a la tutela judicial efectiva (art. 24 CE) tanto por vulneración del principio de legalidad (art. 25. 1 CE), como de libertad, (art. 17.1 CE), y se restablezca a la recurrente en la integridad de sus derechos declarando la nulidad del Auto de 14 de noviembre de 2014 resolutorio del recurso de súplica, interpuesto contra la providencia de fecha 18 de julio de 2014, a fin de que se dicte nueva resolución respetuosa con los derechos fundamentales vulnerados.</w:t>
      </w:r>
    </w:p>
    <w:p w:rsidR="00163957" w:rsidRDefault="00163957" w:rsidP="00163957">
      <w:pPr>
        <w:pStyle w:val="TextoNormal"/>
      </w:pPr>
    </w:p>
    <w:p w:rsidR="00163957" w:rsidRDefault="00163957" w:rsidP="00163957">
      <w:pPr>
        <w:pStyle w:val="TextoNormal"/>
      </w:pPr>
      <w:r>
        <w:t>Argumenta, para ello, lo que a continuación se sintetiza:</w:t>
      </w:r>
    </w:p>
    <w:p w:rsidR="00163957" w:rsidRDefault="00163957" w:rsidP="00163957">
      <w:pPr>
        <w:pStyle w:val="TextoNormal"/>
      </w:pPr>
    </w:p>
    <w:p w:rsidR="00163957" w:rsidRDefault="00163957" w:rsidP="00163957">
      <w:pPr>
        <w:pStyle w:val="TextoNormal"/>
      </w:pPr>
      <w:r>
        <w:t>a) El Tribunal de instancia está tratando la suspensión de la ejecución de la condena mientras se tramita el indulto de la misma manera que la suspensión de la ejecución de la pena de los arts. 80 y 81 del Código penal (CP), cuando existe una gran diferencia entre ambas, pues, en la suspensión mientras se tramita el indulto, la pena no ha comenzado a cumplirse, mientras que en la suspensión de los arts. 80 y 81 CP, la pena sí ha comenzado su ejecución, aunque de forma distinta al ingreso en prisión, de tal modo que ante el quebrantamiento de la suspensión de la ejecución de la condena de los arts. 80 y 81 CP, la comparecencia de ingreso en prisión o la providencia decretando la busca y captura interrumpirían la prescripción de la pena, ya que la condena habría comenzado a ejecutarse, a diferencia del alzamiento de la suspensión de la ejecución de la condena mientras se tramita el indulto, en que la pena no habría comenzado a cumplirse, supuesto en que el cómputo de la prescripción de la pena deberá realizarse desde la fecha de firmeza de la sentencia. Las SSTC 97/2010, 187/2013 y 192/2013 parten de la afirmación de que la suspensión de la ejecución de la pena como consecuencia de la tramitación de un indulto o de un recurso de amparo no está configurada legalmente como causa de interrupción de su prescripción y que los efectos de dicha suspensión no pueden ser equivalentes a los de la interrupción de la prescripción en cuanto a la supresión o pérdida del plazo ya transcurrido, pues a partir del Código penal de 1995 no se contemplan causas de interrupción de la prescripción de la pena, salvo el quebrantamiento de condena (STC 49/2014, FJ 4, que transcribe).</w:t>
      </w:r>
    </w:p>
    <w:p w:rsidR="00163957" w:rsidRDefault="00163957" w:rsidP="00163957">
      <w:pPr>
        <w:pStyle w:val="TextoNormal"/>
      </w:pPr>
    </w:p>
    <w:p w:rsidR="00163957" w:rsidRDefault="00163957" w:rsidP="00163957">
      <w:pPr>
        <w:pStyle w:val="TextoNormal"/>
      </w:pPr>
      <w:r>
        <w:t>b) La prescripción de la pena ha de computarse desde la firmeza de la sentencia, y no se interrumpe por la comparecencia de requerimiento de ingreso en prisión o por la orden de busca, captura e ingreso en prisión. En el ámbito de la ejecución de la pena, de acuerdo con el art. 134 CP, no cabe hablar de la interrupción de la prescripción por no existir una regulación sustantiva de la interrupción de la prescripción de la pena, con la excepción del quebrantamiento de condena. Subraya que en la providencia de 18 de julio de 2014 se dice que la prescripción de la pena se interrumpió con el requerimiento de ingreso en prisión de 12 de febrero de 2010, mientras que en el Auto de 14 de noviembre de 2014 se dice que, además, se interrumpió por la orden de busca y captura, que data de 27 de julio de 2010, con lo que la interrupción de la prescripción queda sujeta a dos fechas distintas a criterio del Tribunal de instancia.</w:t>
      </w:r>
    </w:p>
    <w:p w:rsidR="00163957" w:rsidRDefault="00163957" w:rsidP="00163957">
      <w:pPr>
        <w:pStyle w:val="TextoNormal"/>
      </w:pPr>
    </w:p>
    <w:p w:rsidR="00163957" w:rsidRDefault="00163957" w:rsidP="00163957">
      <w:pPr>
        <w:pStyle w:val="TextoNormal"/>
      </w:pPr>
      <w:r>
        <w:t xml:space="preserve">c) El principio de legalidad en el ámbito sancionador es un principio inherente al Estado, configurado por la Constitución como un derecho fundamental (art. 25.1 CE) que impone, por razones de seguridad jurídica y legitimidad, no solo la sujeción de la jurisdicción sancionadora a los dictados de las leyes que describen ilícitos e imponen sanciones, sino la sujeción estricta, impidiendo la sanción de comportamientos no previstos en la norma correspondiente pero similares a los que sí contempla. Se impide la aplicación analógica </w:t>
      </w:r>
      <w:r w:rsidRPr="00163957">
        <w:rPr>
          <w:i/>
        </w:rPr>
        <w:t>in peius</w:t>
      </w:r>
      <w:r>
        <w:t xml:space="preserve"> de las normas penales y se exige la aplicación rigurosa del texto legal. Desde el punto de vista del enjuiciamiento constitucional cabe hablar de aplicación extensiva </w:t>
      </w:r>
      <w:r w:rsidRPr="00163957">
        <w:rPr>
          <w:i/>
        </w:rPr>
        <w:t>in malam partem</w:t>
      </w:r>
      <w:r>
        <w:t>, al igual que de interpretación analógica vulneradora del principio de legalidad penal, cuando dicha aplicación carezca de tal modo de razonabilidad que resulte imprevisible para sus destinatarios, sea por apartamiento de la posible literalidad del precepto, sea por la utilización de pautas interpretativas extravagantes en relación al ordenamiento constitucional vigente.</w:t>
      </w:r>
    </w:p>
    <w:p w:rsidR="00163957" w:rsidRDefault="00163957" w:rsidP="00163957">
      <w:pPr>
        <w:pStyle w:val="TextoNormal"/>
      </w:pPr>
    </w:p>
    <w:p w:rsidR="00163957" w:rsidRDefault="00163957" w:rsidP="00163957">
      <w:pPr>
        <w:pStyle w:val="TextoNormal"/>
      </w:pPr>
      <w:r>
        <w:t xml:space="preserve">En el presente caso, se ha vulnerado la tutela judicial efectiva (art. 24 CE), en relación con el principio de legalidad (art. 25.1 CE), pues el razonamiento ha sorprendido al reo, de modo que es imposible para el justiciable adecuar su conducta a un inicio del cómputo de la prescripción de la pena del art. 134 CP, aunque haya observado la literalidad del texto legal, la jurisprudencia y la doctrina, pues el Auto cuestionado se aparta de toda la legalidad para hacer una valoración analógica extensiva de lo que debe entenderse por “el tiempo de la prescripción de la pena se computará desde la fecha de la sentencia firme, o desde el quebrantamiento de la condena, si ésta hubiera comenzado a cumplirse”, como si dicha suspensión de la ejecución de la condena mientras se tramita el indulto significase que la pena hubiera empezado a cumplirse. La necesidad de una resolución constitucional viene dada por ser la prescripción una institución de derecho material, siendo necesario que los justiciables tengan por seguro el tiempo de persecución del </w:t>
      </w:r>
      <w:r w:rsidRPr="00163957">
        <w:rPr>
          <w:i/>
        </w:rPr>
        <w:t>ius puniendi</w:t>
      </w:r>
      <w:r>
        <w:t xml:space="preserve"> del Estado y no que la duración venga determinada por la Sala en la que recaiga. Para unas Salas la fecha de inicio del cómputo es desde la firmeza de la sentencia, mientras que para otras desde el requerimiento de ingreso en prisión o desde la orden de busca y captura, lo que quiebra del derecho a la tutela judicial efectiva en cuanto al principio de legalidad y libertad.</w:t>
      </w:r>
    </w:p>
    <w:p w:rsidR="00163957" w:rsidRDefault="00163957" w:rsidP="00163957">
      <w:pPr>
        <w:pStyle w:val="TextoNormal"/>
      </w:pPr>
    </w:p>
    <w:p w:rsidR="00163957" w:rsidRDefault="00163957" w:rsidP="00163957">
      <w:pPr>
        <w:pStyle w:val="TextoNormal"/>
      </w:pPr>
      <w:r>
        <w:t>d) Dado que el derecho reconocido en el art. 17.1 CE permite la privación de libertad sólo “en los casos y en las formas previstas por la Ley”, y que la prescripción es una figura de orden público, no puede excluirse que se vulnere el derecho a la libertad como conse</w:t>
      </w:r>
      <w:r>
        <w:lastRenderedPageBreak/>
        <w:t>cuencia de la ejecución de la condena, en relación con un inicio del cómputo de la prescripción de la pena, tras el levantamiento de la suspensión, al denegarse el indulto, extensivo, analógico como si de la suspensión de los arts. 80 y 81 CP se tratase, pues en el primer supuesto no había comenzado a ejecutarse la pena privativa de libertad. En el mismo sentido, tampoco interrumpirían la prescripción las órdenes de busca y captura o requerimientos de ingreso en prisión, puesto que la pena no ha comenzado a ejecutarse, por lo que, tras la denegación del indulto, el cómputo debe ejecutarse desde la fecha de la firmeza de la sentencia. Se vulnera el derecho a la libertad previsto en el art. 17.1 CE en la ejecución de la condena en cuanto suponga un alargamiento ilegítimo de la prescripción, y, por tanto, de la pérdida de libertad.</w:t>
      </w:r>
    </w:p>
    <w:p w:rsidR="00163957" w:rsidRDefault="00163957" w:rsidP="00163957">
      <w:pPr>
        <w:pStyle w:val="TextoNormal"/>
      </w:pPr>
    </w:p>
    <w:p w:rsidR="00163957" w:rsidRDefault="00163957" w:rsidP="00163957">
      <w:pPr>
        <w:pStyle w:val="TextoNormal"/>
      </w:pPr>
      <w:r>
        <w:t>e) Finalmente, cualquier justiciable tiene el derecho fundamental, y así lo reconoce la Constitución, a saber sin género de dudas ni fisuras cuál es el inicio del cómputo del plazo en que su pena prescribe y vuelve a alcanzar la libertad. El derecho a la tutela judicial efectiva está integrado por la expectativa legítima a obtener para una misma cuestión una respuesta inequívoca de los órganos jurisdiccionales (STC 62/1984). Las resoluciones cuestionadas —concluye— no satisfacen el canon de motivación reforzada exigible a toda decisión judicial en materia de prescripción penal, habiendo vulnerado, por tanto, el derecho a la tutela judicial efectiva en relación con el derecho a la libertad y a la legalidad.</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providencia de 12 de mayo de 2015, la Sala Segunda de este Tribunal acordó la admisión a trámite de la demanda de amparo presentada, “apreciando que concurre en el mismo una especial trascendencia constitucional (art. 50.1 LOTC) porque el recurso puede dar ocasión al Tribunal para aclarar o cambiar su doctrina, como consecuencia de un proceso de reflexión interna [STC 155/2009, FJ 2, b)]”, y, de conformidad con lo dispuesto en el art. 51 de la Ley Orgánica del Tribunal Constitucional (LOTC), dirigir atenta comunicación a la Sala de lo Penal del Tribunal Supremo, a fin de que, en plazo que no exceda de diez días, remitiera certificación o fotocopia adverada de las actuaciones correspondientes al recurso de casación núm. 1663-2007, así como a la Sección Cuarta de la Sala de lo Penal de la Audiencia Nacional a fin de que, en igual plazo, remitiera certificación o fotocopia adverada de las actuaciones correspondiente a la ejecutoria núm. 110-2008 y emplazase a quienes hubieran sido parte en el procedimiento, excepto a la parte recurrente en amparo, para que en el plazo de diez días pudieran comparecer en el recurso de amparo.</w:t>
      </w:r>
    </w:p>
    <w:p w:rsidR="00163957" w:rsidRDefault="00163957" w:rsidP="00163957">
      <w:pPr>
        <w:pStyle w:val="TextoNormal"/>
      </w:pPr>
    </w:p>
    <w:p w:rsidR="00163957" w:rsidRDefault="00163957" w:rsidP="00163957">
      <w:pPr>
        <w:pStyle w:val="TextoNormal"/>
      </w:pPr>
      <w:r w:rsidRPr="00163957">
        <w:rPr>
          <w:rStyle w:val="NumeroAFNegritaCaracter"/>
        </w:rPr>
        <w:t>5</w:t>
      </w:r>
      <w:r>
        <w:t>. Por diligencia de ordenación del Secretario de Justicia de la Sala Segunda de este Tribunal de fecha 16 de julio de 2015 se acordó, con arreglo al art. 52 LOTC, conceder a las partes personadas y el Ministerio Fiscal el plazo común de veinte días para que, con vista de las actuaciones, formulasen alegaciones.</w:t>
      </w:r>
    </w:p>
    <w:p w:rsidR="00163957" w:rsidRDefault="00163957" w:rsidP="00163957">
      <w:pPr>
        <w:pStyle w:val="TextoNormal"/>
      </w:pPr>
    </w:p>
    <w:p w:rsidR="00163957" w:rsidRDefault="00163957" w:rsidP="00163957">
      <w:pPr>
        <w:pStyle w:val="TextoNormal"/>
      </w:pPr>
      <w:r w:rsidRPr="00163957">
        <w:rPr>
          <w:rStyle w:val="NumeroAFNegritaCaracter"/>
        </w:rPr>
        <w:t>6</w:t>
      </w:r>
      <w:r>
        <w:t>. La parte recurrente presentó escrito en que se solicitó que se oficiase a la Sala Segunda del Tribunal Supremo a fin que remitiera testimonio íntegro de la Sentencia dictada en fecha 28 de octubre de 2008, lo que se acordó, con suspensión del plazo de alegaciones, por diligencia de ordenación del Secretario de Justicia de la Sala Segunda de este Tribunal de fecha 2 de septiembre de 2015.</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En fecha 10 de septiembre de 2015 el Ministerio Fiscal presentó su escrito de alegaciones en el que termina solicitando que se otorgue el amparo, se declare la vulneración del </w:t>
      </w:r>
      <w:r>
        <w:lastRenderedPageBreak/>
        <w:t>derecho a la tutela judicial efectiva en relación con el derecho a la libertad y a la legalidad penal (arts. 24.1, 17.1 y 25. 1 CE), se anulen la providencia de 18 de julio de 2014 y el Auto de 14 de noviembre de 2014, dictados por la Sección Cuarta de la Sala de lo Penal de la Audiencia Nacional, y se retrotraigan las actuaciones al momento inmediatamente anterior al dictado de la primera resolución a fin de que se dicte otra resolución respetuosa con los derechos fundamentales vulnerados.</w:t>
      </w:r>
    </w:p>
    <w:p w:rsidR="00163957" w:rsidRDefault="00163957" w:rsidP="00163957">
      <w:pPr>
        <w:pStyle w:val="TextoNormal"/>
      </w:pPr>
    </w:p>
    <w:p w:rsidR="00163957" w:rsidRDefault="00163957" w:rsidP="00163957">
      <w:pPr>
        <w:pStyle w:val="TextoNormal"/>
      </w:pPr>
      <w:r>
        <w:t>Después de relatar los antecedentes fácticos del asunto y las alegaciones efectuadas por el demandante, considera el Ministerio público que la aplicación al supuesto objeto de examen de la doctrina constitucional contenida, entre otras, en la STC 63/2015, de 13 de abril, que trascribe parcialmente, debe conllevar al otorgamiento del amparo. Argumenta lo que sigue:</w:t>
      </w:r>
    </w:p>
    <w:p w:rsidR="00163957" w:rsidRDefault="00163957" w:rsidP="00163957">
      <w:pPr>
        <w:pStyle w:val="TextoNormal"/>
      </w:pPr>
    </w:p>
    <w:p w:rsidR="00163957" w:rsidRDefault="00163957" w:rsidP="00163957">
      <w:pPr>
        <w:pStyle w:val="TextoNormal"/>
      </w:pPr>
      <w:r>
        <w:t>a) Tanto la providencia como el Auto cuestionados otorgan virtualidad interruptora de la prescripción de la pena —tras la suspensión de la ejecución de la pena privativa de libertad durante la tramitación del indulto, luego levantada tras su denegación— al requerimiento realizado a la penada, ahora demandante, para que procediese a su ingreso voluntario en prisión, y al posterior dictado de orden de busca y captura contra la misma.</w:t>
      </w:r>
    </w:p>
    <w:p w:rsidR="00163957" w:rsidRDefault="00163957" w:rsidP="00163957">
      <w:pPr>
        <w:pStyle w:val="TextoNormal"/>
      </w:pPr>
    </w:p>
    <w:p w:rsidR="00163957" w:rsidRDefault="00163957" w:rsidP="00163957">
      <w:pPr>
        <w:pStyle w:val="TextoNormal"/>
      </w:pPr>
      <w:r>
        <w:t xml:space="preserve">b) Este modo de razonar no se acomoda al canon de motivación reforzada exigido en estos supuestos, pues dichas resoluciones judiciales se apartan de la normativa legal de aplicación, ya que el art. 134 CP no otorga efectos interruptores de la prescripción de la pena a ninguna de las resoluciones judiciales ni actuaciones procesales que han sido tenidas en cuenta por la Sala de lo Penal de la Audiencia Nacional para denegar dicha prescripción, por lo que, al igual de lo acontecido en el supuesto examinado en la STC 63/2015, no resulta factible afirmar que ni la suspensión mientras se tramitaba el indulto, ni los actos de ejecución dirigidos contra la ahora demandante, siendo distintos al cumplimiento </w:t>
      </w:r>
      <w:r w:rsidRPr="00163957">
        <w:rPr>
          <w:i/>
        </w:rPr>
        <w:t>in natura</w:t>
      </w:r>
      <w:r>
        <w:t xml:space="preserve"> o sustitutivo, pueden entenderse asimilables al comienzo de la ejecución que determinaría la interrupción de la prescripción. El legislador no ha contemplado ni contempla en la regulación ahora vigente tales causas de interrupción.</w:t>
      </w:r>
    </w:p>
    <w:p w:rsidR="00163957" w:rsidRDefault="00163957" w:rsidP="00163957">
      <w:pPr>
        <w:pStyle w:val="TextoNormal"/>
      </w:pPr>
    </w:p>
    <w:p w:rsidR="00163957" w:rsidRDefault="00163957" w:rsidP="00163957">
      <w:pPr>
        <w:pStyle w:val="TextoNormal"/>
      </w:pPr>
      <w:r>
        <w:t>c) La Sala de lo Penal ha otorgado eficacia suspensiva al requerimiento de ingreso en prisión y al dictado de las órdenes de busca y captura, pero ninguna de tales actuaciones conllevó el ingreso de la condenada en el establecimiento penitenciario para el cumplimiento de la sentencia condenatoria que por ello mismo no llegó a ejecutarse.</w:t>
      </w:r>
    </w:p>
    <w:p w:rsidR="00163957" w:rsidRDefault="00163957" w:rsidP="00163957">
      <w:pPr>
        <w:pStyle w:val="TextoNormal"/>
      </w:pPr>
    </w:p>
    <w:p w:rsidR="00163957" w:rsidRDefault="00163957" w:rsidP="00163957">
      <w:pPr>
        <w:pStyle w:val="TextoNormal"/>
      </w:pPr>
      <w:r>
        <w:t>El órgano judicial, en contra de las previsiones del legislador y en contra de la penada, ha creado mecanismos suspensivos para dotar de eficacia interruptora a las actuaciones procesales antes reseñadas, lo que ha sido desautorizado con reiteración por este Tribunal cuya doctrina ha sido desconocida pese a haber sido alegada.</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Recibido el testimonio solicitado de la Sala de lo Penal del Tribunal Supremo, por diligencia de ordenación del Secretario de Justicia de la Sala Segunda de este Tribunal de fecha 28 de septiembre de 2015 se acordó, con arreglo al art. 52 LOTC, dar vista nuevamente de las actuaciones recibidas a la parte recurrente y al Ministerio Fiscal para que en el plazo común de veinte días pudiesen presentar las alegaciones que estimasen pertinentes. </w:t>
      </w:r>
      <w:r>
        <w:lastRenderedPageBreak/>
        <w:t>El trámite fue evacuado únicamente por el Fiscal ante el Tribunal Constitucional, que presentó escrito en el que aduce que el testimonio no aporta dato nuevo alguno que no hubiera sido tomado en cuenta.</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28 de enero de 2016 se señaló para deliberación y votación de la presente Sentencia el día 1 de febrero del mismo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Se interpone el presente recurso de amparo contra el Auto de la Sección Cuarta de la Sala de lo Penal de la Audiencia Nacional de fecha 14 de noviembre de 2014, desestimatorio del recurso de súplica interpuesto contra la providencia de la misma Sala y Sección de fecha 18 de julio de 2014, que acordó rechazar la solicitud formulada por la demandante de declaración de prescripción de la pena de cuatro años y siete meses de prisión que le había sido impuesta.</w:t>
      </w:r>
    </w:p>
    <w:p w:rsidR="00163957" w:rsidRDefault="00163957" w:rsidP="00163957">
      <w:pPr>
        <w:pStyle w:val="TextoNormal"/>
      </w:pPr>
    </w:p>
    <w:p w:rsidR="00163957" w:rsidRDefault="00163957" w:rsidP="00163957">
      <w:pPr>
        <w:pStyle w:val="TextoNormal"/>
      </w:pPr>
      <w:r>
        <w:t>En el apartado de antecedentes han quedado expuestas con detalle las actuaciones llevadas a cabo en ejecución de la citada pena privativa de libertad, de las que las resoluciones impugnadas, según se ha visto, destacan la suspensión de la ejecución de la pena durante la tramitación de indulto, el requerimiento para el ingreso de la demandante en un centro penitenciario otorgándole un plazo y la orden de busca, detención e ingreso en prisión para el cumplimiento de tal pena. Del tenor de las resoluciones impugnadas se desprende que, según el Tribunal encargado de la ejecución, el computo del plazo de prescripción de la pena comenzaría “una vez desestimada la petición de indulto” y se habría interrumpido en fecha 12 de febrero de 2010, cuando doña Pilar Fernández Suárez compareció en la Secretaría del Tribunal y se le notificó personalmente la providencia de fecha 3 de febrero de 2010 por la que se le requiere para que, en el plazo de diez días, ingrese en prisión, así como, con posterioridad, por la orden de búsqueda, detención e ingreso en prisión para el cumplimiento de la pena acordada el 27 de julio de 2010.</w:t>
      </w:r>
    </w:p>
    <w:p w:rsidR="00163957" w:rsidRDefault="00163957" w:rsidP="00163957">
      <w:pPr>
        <w:pStyle w:val="TextoNormal"/>
      </w:pPr>
    </w:p>
    <w:p w:rsidR="00163957" w:rsidRDefault="00163957" w:rsidP="00163957">
      <w:pPr>
        <w:pStyle w:val="TextoNormal"/>
      </w:pPr>
      <w:r>
        <w:t xml:space="preserve">A juicio de la parte recurrente, tal pronunciamiento infringe el derecho a la tutela judicial efectiva en relación con el derecho a la libertad y a la legalidad penal (arts. 24.1, 17.1 y 25.1 CE), al apreciar las resoluciones impugnadas causas de interrupción de la prescripción de la pena no previstas en el art. 134 del Código penal (CP), posibilidad que se aparta de la doctrina constitucional establecida en las SSTC 97/2010, 187/2013, 192/2013 y 49/2014, entre otras, de las que se desprende que el cumplimiento es la única hipótesis impeditiva del transcurso del plazo de prescripción de la pena </w:t>
      </w:r>
      <w:r w:rsidRPr="00163957">
        <w:rPr>
          <w:i/>
        </w:rPr>
        <w:t>ex</w:t>
      </w:r>
      <w:r>
        <w:t xml:space="preserve"> art. 134 CP.</w:t>
      </w:r>
    </w:p>
    <w:p w:rsidR="00163957" w:rsidRDefault="00163957" w:rsidP="00163957">
      <w:pPr>
        <w:pStyle w:val="TextoNormal"/>
      </w:pPr>
    </w:p>
    <w:p w:rsidR="00163957" w:rsidRDefault="00163957" w:rsidP="00163957">
      <w:pPr>
        <w:pStyle w:val="TextoNormal"/>
      </w:pPr>
      <w:r>
        <w:t xml:space="preserve">El Ministerio Fiscal interesa la estimación del recurso de amparo al entender, en síntesis, que las resoluciones impugnadas no se acomodan al canon de motivación reforzada exigido en estos supuestos. Entiende el Fiscal que dichas resoluciones judiciales se apartan de la normativa legal de aplicación, ya que el art. 134 CP no otorga efectos interruptivos de la prescripción de la pena a ninguna de las actuaciones procesales que han sido tenidas en cuenta por la Sala de lo Penal de la Audiencia Nacional para denegar dicha prescripción, por lo que, al igual que lo acontecido en el supuesto examinado en la STC 63/2015, no resulta factible afirmar que la suspensión mientras se tramitaba el indulto ni los actos de ejecución dirigidos contra la ahora demandante, siendo distintos al cumplimiento in natura </w:t>
      </w:r>
      <w:r>
        <w:lastRenderedPageBreak/>
        <w:t>o sustitutivo, pueden entenderse asimilables al comienzo de la ejecución que determinaría la interrupción de la prescripción.</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Con carácter preliminar procede recordar que como se señalaba en la STC 63/2015, de 13 de abril y en las precedentes SSTC 37/2010, de 19 de julio, y 47/2014, de 7 de abril, entre otras, el instituto de la prescripción penal supone una autolimitación o renuncia del Estado al ejercicio del </w:t>
      </w:r>
      <w:r w:rsidRPr="00163957">
        <w:rPr>
          <w:i/>
        </w:rPr>
        <w:t>ius puniendi</w:t>
      </w:r>
      <w:r>
        <w:t xml:space="preserve"> en consideración a los incidencia que tiene el transcurso de un determinado tiempo en las funciones y fines de la intervención penal, así como por razones de seguridad jurídica que conducen a fijar un límite temporal para que no se dilate indefinidamente la incertidumbre de la inculpación o de la persecución penal. Fundamentos que explican el instituto de la prescripción en el ámbito punitivo en general, pero que requieren ciertas precisiones a efectos de diferenciar la prescripción de la acción penal —o prescripción del delito— frente a la prescripción del cumplimiento de la pena adjudicada en sentencia condenatoria. La prescripción del delito opera como obstáculo procesal que impide la investigación judicial, y por ello puede decirse que la sociedad —en decisión del legislador que le representa— renuncia al </w:t>
      </w:r>
      <w:r w:rsidRPr="00163957">
        <w:rPr>
          <w:i/>
        </w:rPr>
        <w:t>ius puniendi</w:t>
      </w:r>
      <w:r>
        <w:t xml:space="preserve">, renuncia a una investigación tardía del delito y exime de responsabilidad penal a los eventuales responsables, por razones pragmáticas y jurídicas. Por el contrario, la institución de la prescripción de la pena se sitúa temporalmente en el espacio posterior al efectivo enjuiciamiento de los hechos y a la declaración de responsabilidad criminal, por lo que en esta vertiente de la prescripción no se produce en sentido estricto una renuncia al </w:t>
      </w:r>
      <w:r w:rsidRPr="00163957">
        <w:rPr>
          <w:i/>
        </w:rPr>
        <w:t>ius puniendi</w:t>
      </w:r>
      <w:r>
        <w:t>, sino una renuncia a una ejecución tardía de la pena. Diferencias que tiene su reflejo en el distinto tratamiento que la ley establece para ambos supuestos en cuanto a su alcance, requisitos y efectos, aspectos de configuración legislativa que sirven a la garantía de seguridad jurídica como sustrato del derecho fundamental a la legalidad (art 25.1 CE).</w:t>
      </w:r>
    </w:p>
    <w:p w:rsidR="00163957" w:rsidRDefault="00163957" w:rsidP="00163957">
      <w:pPr>
        <w:pStyle w:val="TextoNormal"/>
      </w:pPr>
    </w:p>
    <w:p w:rsidR="00163957" w:rsidRDefault="00163957" w:rsidP="00163957">
      <w:pPr>
        <w:pStyle w:val="TextoNormal"/>
      </w:pPr>
      <w:r>
        <w:t xml:space="preserve">Por tratarse de una situación de libre configuración legal, no cabe concluir que su establecimiento suponga una merma del derecho de acción de los acusadores (STEDH de 22 de octubre de 1996, caso </w:t>
      </w:r>
      <w:r w:rsidRPr="00163957">
        <w:rPr>
          <w:i/>
        </w:rPr>
        <w:t>Stubbings</w:t>
      </w:r>
      <w:r>
        <w:t>, § 46 y ss.), como tampoco que las peculiaridades del régimen jurídico que el legislador decida adoptar —delitos a los que se refiere, plazos de prescripción, momento inicial de cómputo del plazo o causas de interrupción del mismo— afecten, en sí mismas, a derecho fundamental alguno de los acusados (en este sentido, SSTC 63/2005, de 14 de marzo, FJ 2; 29/2008, de 20 de febrero, FJ 7; 79/2008, de 14 de julio, FJ 2, o 157/1990, de 18 de octubre, FJ 3, entre otras).</w:t>
      </w:r>
    </w:p>
    <w:p w:rsidR="00163957" w:rsidRDefault="00163957" w:rsidP="00163957">
      <w:pPr>
        <w:pStyle w:val="TextoNormal"/>
      </w:pPr>
    </w:p>
    <w:p w:rsidR="00163957" w:rsidRDefault="00163957" w:rsidP="00163957">
      <w:pPr>
        <w:pStyle w:val="TextoNormal"/>
      </w:pPr>
      <w:r>
        <w:t xml:space="preserve">Constituye, asimismo, una consolidada doctrina constitucional la que considera que la apreciación en cada caso concreto de la prescripción como causa extintiva de la responsabilidad criminal es, en principio, una cuestión de legalidad ordinaria, carente por su propio contenido de relevancia constitucional (SSTC 195/2009, de 28 de septiembre, FJ 2; o 206/2009, de 23 de noviembre, FJ 2; por remisión a las SSTC 63/2001, de 17 de marzo, FJ 7; 63/2005, de 14 de marzo, FJ 2; 82/2006, de 13 de marzo, FJ 10; 79/2008, de 14 de julio, FJ 2, y 195/2009, de 28 de septiembre, FJ 2). Cuestión distinta es que la concreta decisión judicial que aprecia o rechaza tal prescripción resulte susceptible de acceder al amparo, estando, en efecto, legitimado este Tribunal para revisar si la motivación concretamente empleada cumple con el canon de motivación reforzada exigible en estos casos (SSTC 214/1999, de 29 de noviembre, FJ 4; 63/2001, de 17 de marzo, FJ 7; 63/2005, de 14 de marzo, FJ 3; 82/2006, de 13 de marzo, FJ 10, o 79/2008, de 14 de julio, FJ 2), dada la </w:t>
      </w:r>
      <w:r>
        <w:lastRenderedPageBreak/>
        <w:t>trascendencia de los valores constitucionales y derechos fundamentales en juego, entre los cuales destacan la libertad personal (art. 17.1 CE) y la legalidad penal (art. 25.1 CE).</w:t>
      </w:r>
    </w:p>
    <w:p w:rsidR="00163957" w:rsidRDefault="00163957" w:rsidP="00163957">
      <w:pPr>
        <w:pStyle w:val="TextoNormal"/>
      </w:pPr>
    </w:p>
    <w:p w:rsidR="00163957" w:rsidRDefault="00163957" w:rsidP="00163957">
      <w:pPr>
        <w:pStyle w:val="TextoNormal"/>
      </w:pPr>
      <w:r>
        <w:t xml:space="preserve">Como recuerdan las SSTC 109/2013, de 6 de mayo, y 192/2013, de 18 de noviembre, el control de la prescripción penal en sede de jurisdicción constitucional se funda en el derecho a la tutela judicial efectiva y en la conexión de la prescripción en el ámbito punitivo con el derecho a la libertad (art. 17.1 CE), sin posibilidad de interpretaciones </w:t>
      </w:r>
      <w:r w:rsidRPr="00163957">
        <w:rPr>
          <w:i/>
        </w:rPr>
        <w:t>in malam partem</w:t>
      </w:r>
      <w:r>
        <w:t xml:space="preserve"> en virtud del art. 25.1 CE (STC 29/2008, de 20 de febrero, FJ 12), lo que determina el control de la resolución impugnada bajo un canon de motivación reforzada, resultando conculcado el derecho a la libertad “tanto cuando se actúa bajo la cobertura improcedente de la ley, como cuando se proceda contra lo que la misma dispone” (SSTC 127/1984, de 26 de diciembre, FJ 4; 28/1985, de 27 de marzo, FJ 2; 241/1994, de 20 de julio, FJ 4; 322/2005, de 12 de diciembre, FJ 3, y 57/2008, de 28 de abril, FJ 2) y, por ello, los términos en los que el instituto de la prescripción penal venga regulado deben ser interpretados con particular rigor “en tanto que perjudiquen al reo” (SSTC 29/2008, de 20 de febrero, FFJJ 10 y 12, y 37/2010, de 19 de julio, FJ 5).</w:t>
      </w:r>
    </w:p>
    <w:p w:rsidR="00163957" w:rsidRDefault="00163957" w:rsidP="00163957">
      <w:pPr>
        <w:pStyle w:val="TextoNormal"/>
      </w:pPr>
    </w:p>
    <w:p w:rsidR="00163957" w:rsidRDefault="00163957" w:rsidP="00163957">
      <w:pPr>
        <w:pStyle w:val="TextoNormal"/>
      </w:pPr>
      <w:r>
        <w:t>Señala la propia STC 63/2015, de 13 de abril, que: “La decisión judicial deberá así razonar los elementos tomados en cuenta a la hora de interpretar las normas relativas a la prescripción respetando, al propio tiempo, los fines que dicho instituto persigue (en este sentido, nuevamente, SSTC 63/2005, de 14 de marzo, FJ 3; 29/2008, de 20 de febrero, FJ 10; 79/2008, de 14 de julio, FJ 2, o 195/2009, de 28 de septiembre, FJ 2). El estándar de motivación exigible a la respuesta judicial en estos casos será, pues, especialmente riguroso, debiendo abarcar tanto la exteriorización del razonamiento por el que se estima que concurre -o no- el supuesto previsto en la ley, como el nexo de coherencia entre la decisión adoptada, la norma que le sirve de fundamento y los fines que justifican la institución (STC 63/2001, de 17 de marzo, FJ 7, seguida, entre otras, por STC 63/2005, de 14 de marzo y demás citadas)”, por lo que interpretaciones que se separen o desconozcan los estrictos términos de la previsión legal y de la racionalidad legislativa, se convierten en interpretaciones irracionales por vulneradoras de las estrictas garantías de la motivación en el marco de la legalidad penal. Y añade el fundamento jurídico 3 de la STC 63/2015: “Es ésta la razón por la que la jurisdicción constitucional no puede eludir la declaración de inconstitucionalidad o la apreciación de lesión en los señalados derechos fundamentales cuando la interpretación judicial de la norma reguladora de la prescripción, aun no siendo irrazonable o arbitraria, lleve consigo una aplicación extensiva o analógica en perjuicio del reo que exceda de su significado gramatical (SSTC 63/2005, de 14 de marzo, FJ 3; 29/2008, de 20 de febrero, FFJJ 7 y 10; 195/2009, de 28 de septiembre, FJ 2; 207/2009, de 23 de noviembre, FJ 2; 37/2010, de 19 de julio, FJ 2; 97/2010, de 15 de noviembre, FJ 2; o 152/2013, de 9 de septiembre, FJ 3)”.</w:t>
      </w:r>
    </w:p>
    <w:p w:rsidR="00163957" w:rsidRDefault="00163957" w:rsidP="00163957">
      <w:pPr>
        <w:pStyle w:val="TextoNormal"/>
      </w:pPr>
    </w:p>
    <w:p w:rsidR="00163957" w:rsidRDefault="00163957" w:rsidP="00163957">
      <w:pPr>
        <w:pStyle w:val="TextoNormal"/>
      </w:pPr>
      <w:r w:rsidRPr="00163957">
        <w:rPr>
          <w:rStyle w:val="NumeroAFNegritaCaracter"/>
        </w:rPr>
        <w:t>3</w:t>
      </w:r>
      <w:r>
        <w:t>. El art. 134 CP, en su redacción originaria dada por la Ley Orgánica 10/1995, de 23 de noviembre, aquí aplicable, disponía que “el tiempo de la prescripción de la pena se computará desde la fecha de la sentencia firme, o desde el quebrantamiento de la condena, si ésta hubiese comenzado a cumplirse.”</w:t>
      </w:r>
    </w:p>
    <w:p w:rsidR="00163957" w:rsidRDefault="00163957" w:rsidP="00163957">
      <w:pPr>
        <w:pStyle w:val="TextoNormal"/>
      </w:pPr>
    </w:p>
    <w:p w:rsidR="00163957" w:rsidRDefault="00163957" w:rsidP="00163957">
      <w:pPr>
        <w:pStyle w:val="TextoNormal"/>
      </w:pPr>
      <w:r>
        <w:t xml:space="preserve">Este Tribunal, en su STC 97/2010, de 15 de noviembre, FJ 4, descartó que la suspensión de la ejecución de la pena durante la tramitación de una solicitud de indulto —como también de un recurso de amparo— despliegue un efecto interruptivo sobre el plazo señalado a la prescripción de la pena, poniendo de relieve la carencia de específica previsión legal al </w:t>
      </w:r>
      <w:r>
        <w:lastRenderedPageBreak/>
        <w:t xml:space="preserve">efecto, en la medida en que el art. 134 CP se limita a indicar como </w:t>
      </w:r>
      <w:r w:rsidRPr="00163957">
        <w:rPr>
          <w:i/>
        </w:rPr>
        <w:t>dies a quo</w:t>
      </w:r>
      <w:r>
        <w:t xml:space="preserve"> para el cómputo del plazo de prescripción de la pena la fecha en que la sentencia deviene firme o bien aquélla en que la condena es quebrantada.</w:t>
      </w:r>
    </w:p>
    <w:p w:rsidR="00163957" w:rsidRDefault="00163957" w:rsidP="00163957">
      <w:pPr>
        <w:pStyle w:val="TextoNormal"/>
      </w:pPr>
    </w:p>
    <w:p w:rsidR="00163957" w:rsidRDefault="00163957" w:rsidP="00163957">
      <w:pPr>
        <w:pStyle w:val="TextoNormal"/>
      </w:pPr>
      <w:r>
        <w:t>De acuerdo con la citada STC 97/2010, de 15 de noviembre, “la contemplación de nuevas causas de interruptivas de la prescripción de las penas distintas a las recogidas en los preceptos legales reguladores de dicho instituto no es un supuesto que, lógicamente, teniendo en cuenta los precedentes del CP de 1995, pudiera haber pasado inadvertido al legislador al regular dicha materia, lo que ‘desde la obligada pauta de la interpretación en el sentido de la mayor efectividad del derecho fundamental y de la correlativa interpretación restrictiva de sus límites’ (SSTC 19/1999, de 22 de enero, FJ 5; 57/2008, de 28 de abril, FJ 6), permite entender que si el legislador no incluyó aquellos supuestos de suspensión de ejecución de la pena como causas de interrupción de la prescripción de las mismas fue sencillamente porque no quiso hacerlo. En todo caso, y al margen de problemáticas presunciones sobre la intención del legislador, el dato negativo de la no previsión de esa situación es indudable y, a partir de él, no resulta constitucionalmente aceptable una interpretación de los preceptos legales aplicables que excede de su más directo significado gramatical.” (FJ 5).</w:t>
      </w:r>
    </w:p>
    <w:p w:rsidR="00163957" w:rsidRDefault="00163957" w:rsidP="00163957">
      <w:pPr>
        <w:pStyle w:val="TextoNormal"/>
      </w:pPr>
    </w:p>
    <w:p w:rsidR="00163957" w:rsidRDefault="00163957" w:rsidP="00163957">
      <w:pPr>
        <w:pStyle w:val="TextoNormal"/>
      </w:pPr>
      <w:r>
        <w:t>La doctrina anterior es reiterada, entre otras, en las SSTC 192/2013, de 18 de noviembre, 49/2014, de 7 de abril, y 63/2015, de 13 de abril, en las que se insiste en que en el ámbito de ejecución de la pena no cabe hablar de otras formas de interrupción de la prescripción de la pena distintas del quebrantamiento de condena, por no existir una regulación sustantiva en tal sentido, como en cambio sí existía en el Código penal de 1973 (SSTC 97/2010, de 15 de noviembre, FJ 4; 109/2013, de 6 de mayo, FJ 4; 187/2013, de 4 de noviembre, FJ 4; 192/2013, de 18 de noviembre, FJ 4, y 49/2014, de 7 de abril, FJ 3).</w:t>
      </w:r>
    </w:p>
    <w:p w:rsidR="00163957" w:rsidRDefault="00163957" w:rsidP="00163957">
      <w:pPr>
        <w:pStyle w:val="TextoNormal"/>
      </w:pPr>
    </w:p>
    <w:p w:rsidR="00163957" w:rsidRDefault="00163957" w:rsidP="00163957">
      <w:pPr>
        <w:pStyle w:val="TextoNormal"/>
      </w:pPr>
      <w:r>
        <w:t xml:space="preserve">De ahí que este Tribunal haya considerado razonable, desde la perspectiva constitucional aludida y bajo la vigencia del citado art. 134 CP, que los actos de ejecución dirigidos contra el condenado distintos del cumplimiento, in natura o sustitutivo, carezcan de relevancia interruptora de la prescripción (SSTC 187/2013, de 4 de noviembre, FJ 4; con cita de la STC 109/2013, de 6 de mayo, FJ 5; 192/2013, de 18 de noviembre, FJ 4; 49/2014, de 7 de abril, FJ 3, y 63/2015, de 13 de abril, FJ 5). Precisamente por apreciar que se trataba de supuestos de cumplimiento sustitutivo, tal y como había adelantado este Tribunal en STC 109/2013, de 6 de mayo, FJ 5, destacó la STC 81/2014, de 28 de mayo, FJ 3, </w:t>
      </w:r>
      <w:r w:rsidRPr="00163957">
        <w:rPr>
          <w:i/>
        </w:rPr>
        <w:t>in fine</w:t>
      </w:r>
      <w:r>
        <w:t>, y reiteró la STC 180/2014, de 3 de noviembre, FFJJ 2 y 3, que la doctrina establecida en la STC 97/2010, de 15 de noviembre, no resulta directamente trasladable a aquellos supuestos de paralización de la ejecución natural de la pena derivados de cuantas formas alternativas de cumplimiento reconoce expresamente el legislador, dada su diferente naturaleza jurídica y efectos. Tal es el caso de la suspensión y la sustitución de las penas privativas de libertad previstas en los arts. 80 y ss. CP, figuras que han sido calificadas como formas de cumplimiento sustitutivas o alternativas a la pena de prisión.</w:t>
      </w:r>
    </w:p>
    <w:p w:rsidR="00163957" w:rsidRDefault="00163957" w:rsidP="00163957">
      <w:pPr>
        <w:pStyle w:val="TextoNormal"/>
      </w:pPr>
    </w:p>
    <w:p w:rsidR="00163957" w:rsidRDefault="00163957" w:rsidP="00163957">
      <w:pPr>
        <w:pStyle w:val="TextoNormal"/>
      </w:pPr>
      <w:r w:rsidRPr="00163957">
        <w:rPr>
          <w:rStyle w:val="NumeroAFNegritaCaracter"/>
        </w:rPr>
        <w:t>4</w:t>
      </w:r>
      <w:r>
        <w:t>. La aplicación de la doctrina constitucional expuesta al supuesto de hecho examinado conduce al otorgamiento del amparo.</w:t>
      </w:r>
    </w:p>
    <w:p w:rsidR="00163957" w:rsidRDefault="00163957" w:rsidP="00163957">
      <w:pPr>
        <w:pStyle w:val="TextoNormal"/>
      </w:pPr>
    </w:p>
    <w:p w:rsidR="00163957" w:rsidRDefault="00163957" w:rsidP="00163957">
      <w:pPr>
        <w:pStyle w:val="TextoNormal"/>
      </w:pPr>
      <w:r>
        <w:t xml:space="preserve">Desde los estrictos términos en que aparecía redactado el art. 134 CP, no resulta conforme al canon constitucional sostener que cuantos actos de ejecución se dirigieron aquí </w:t>
      </w:r>
      <w:r>
        <w:lastRenderedPageBreak/>
        <w:t xml:space="preserve">contra la penada, siendo distintos del cumplimiento </w:t>
      </w:r>
      <w:r w:rsidRPr="00163957">
        <w:rPr>
          <w:i/>
        </w:rPr>
        <w:t>in natura</w:t>
      </w:r>
      <w:r>
        <w:t xml:space="preserve"> o sustitutivo, puedan entenderse compatibles con el comienzo de ejecución al que alude el citado precepto. Tal y como consta en los antecedentes de esta resolución, después de dictarse Sentencia condenatoria y de declararse su firmeza, por Auto de fecha 29 de diciembre de 2008 se estimó la solicitud de suspensión de la ejecución en tanto se tramitaba el indulto; alzada la suspensión por providencia de 3 de diciembre de 2010, siguieron, de forma sucesiva, una solicitud de suspensión de la ejecución de la pena amparada en el art. 80.4 del Código penal, así como una petición de revisión con fundamento en la reforma del Código penal por Ley Orgánica 5/2010, peticiones que fueron desestimadas. El órgano judicial ordenó el ingreso voluntario en prisión, siendo requerida la recurrente a tal fin, y, al no producirse, ordenó la búsqueda, detención e ingreso en prisión, que tampoco llegó a materializarse, sin que existiera, por tanto, ninguna actuación de cumplimiento efectivo de la pena.</w:t>
      </w:r>
    </w:p>
    <w:p w:rsidR="00163957" w:rsidRDefault="00163957" w:rsidP="00163957">
      <w:pPr>
        <w:pStyle w:val="TextoNormal"/>
      </w:pPr>
    </w:p>
    <w:p w:rsidR="00163957" w:rsidRDefault="00163957" w:rsidP="00163957">
      <w:pPr>
        <w:pStyle w:val="TextoNormal"/>
      </w:pPr>
      <w:r>
        <w:t>Como hemos señalado, la suspensión de la ejecución durante la tramitación de una solicitud de indulto ni interrumpe la prescripción de la pena ni suspendía el cómputo del plazo. Tampoco el requerimiento para el ingreso en prisión y la orden misma, no materializada, provocan la interrupción en tanto en cuanto no pueden asimilarse al cumplimiento, in natura o por sustitución, de la pena de prisión.</w:t>
      </w:r>
    </w:p>
    <w:p w:rsidR="00163957" w:rsidRDefault="00163957" w:rsidP="00163957">
      <w:pPr>
        <w:pStyle w:val="TextoNormal"/>
      </w:pPr>
    </w:p>
    <w:p w:rsidR="00163957" w:rsidRDefault="00163957" w:rsidP="00163957">
      <w:pPr>
        <w:pStyle w:val="TextoNormal"/>
      </w:pPr>
      <w:r>
        <w:t>Conforme a la doctrina expuesta, el criterio interpretativo sostenido por la Sala de lo Penal de la Audiencia Nacional en las resoluciones recurridas, que supuso entender que el computo del plazo de prescripción de la pena de cuatro años y siete meses de prisión impuesta a la recurrente en amparo comenzaría “una vez desestimada la petición de indulto” y se habría interrumpido con el requerimiento personal a la penada para el ingreso en prisión y por la orden de detención e ingreso en prisión, no puede entenderse amparado en la literalidad de la norma aplicable, lo que incide en el derecho a la legalidad penal (art. 25.1 CE) y repercute en los derechos de la demandante a la tutela judicial efectiva (art. 24.1 CE) y a la libertad (art. 17.1 CE), impidiendo estimar debidamente satisfecho el canon de motivación reforzada exigible en estos casos.</w:t>
      </w:r>
    </w:p>
    <w:p w:rsidR="00163957" w:rsidRDefault="00163957" w:rsidP="00163957">
      <w:pPr>
        <w:pStyle w:val="TextoNormal"/>
      </w:pPr>
    </w:p>
    <w:p w:rsidR="00163957" w:rsidRDefault="00163957" w:rsidP="00163957">
      <w:pPr>
        <w:pStyle w:val="TextoNormal"/>
      </w:pPr>
      <w:r w:rsidRPr="00163957">
        <w:rPr>
          <w:rStyle w:val="NumeroAFNegritaCaracter"/>
        </w:rPr>
        <w:t>5</w:t>
      </w:r>
      <w:r>
        <w:t>. Los razonamientos expuestos, de conformidad con el art. 55.1 de la Ley Orgánica del Tribunal Constitucional, conducen a estimar el recurso de amparo por vulneración del art. 24.1 CE en relación con el derecho a la libertad (art. 17.1 CE) y con el derecho a la legalidad penal (art. 25.1 CE), y a anular las resoluciones judiciales impugnadas, retrotrayendo las actuaciones al momento anterior al dictado de la providencia de 18 de julio de 2014 para que se dicte nueva resolución con respeto a los derechos fundamentales reconocidos.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doña Pilar Fernández Suarez y, en su virtud:</w:t>
      </w:r>
    </w:p>
    <w:p w:rsidR="00163957" w:rsidRDefault="00163957" w:rsidP="00163957">
      <w:pPr>
        <w:pStyle w:val="TextoNormal"/>
      </w:pPr>
    </w:p>
    <w:p w:rsidR="00163957" w:rsidRDefault="00163957" w:rsidP="00163957">
      <w:pPr>
        <w:pStyle w:val="TextoNormal"/>
      </w:pPr>
      <w:r>
        <w:lastRenderedPageBreak/>
        <w:t>1º Declarar vulnerado el derecho de la recurrente en amparo a la legalidad penal (art. 25.1 CE) en relación con el derecho a la tutela judicial efectiva (art. 24.1 CE) y el derecho a la libertad (art. 17.1 CE).</w:t>
      </w:r>
    </w:p>
    <w:p w:rsidR="00163957" w:rsidRDefault="00163957" w:rsidP="00163957">
      <w:pPr>
        <w:pStyle w:val="TextoNormal"/>
      </w:pPr>
    </w:p>
    <w:p w:rsidR="00163957" w:rsidRDefault="00163957" w:rsidP="00163957">
      <w:pPr>
        <w:pStyle w:val="TextoNormal"/>
      </w:pPr>
      <w:r>
        <w:t>2º Restablecer su derecho y, a tal fin, anular el Auto de la Sección Cuarta de la Sala de lo Penal de la Audiencia Nacional de fecha 14 de noviembre de 2014 y la providencia de la misma Sala y Sección de fecha 18 de julio de 2014, resoluciones recaídas en la ejecutoria núm. 110-2008.</w:t>
      </w:r>
    </w:p>
    <w:p w:rsidR="00163957" w:rsidRDefault="00163957" w:rsidP="00163957">
      <w:pPr>
        <w:pStyle w:val="TextoNormal"/>
      </w:pPr>
    </w:p>
    <w:p w:rsidR="00163957" w:rsidRDefault="00163957" w:rsidP="00163957">
      <w:pPr>
        <w:pStyle w:val="TextoNormal"/>
      </w:pPr>
      <w:r>
        <w:t>3º Retrotraer las actuaciones al momento anterior al de dictarse la primera de las mencionadas resoluciones para que se dicte otra respetuosa con los derechos fundamentales vulnerados.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uno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8" w:name="SENTENCIA_2016_15"/>
      <w:r>
        <w:lastRenderedPageBreak/>
        <w:t>SENTENCIA 15/2016, de 1 de febrero de 2016</w:t>
      </w:r>
    </w:p>
    <w:bookmarkEnd w:id="18"/>
    <w:p w:rsidR="00163957" w:rsidRDefault="00163957" w:rsidP="00163957">
      <w:pPr>
        <w:pStyle w:val="TtuloResolucin"/>
      </w:pPr>
      <w:r>
        <w:t>Sala Segunda</w:t>
      </w:r>
    </w:p>
    <w:p w:rsidR="00163957" w:rsidRDefault="00163957" w:rsidP="00163957">
      <w:pPr>
        <w:pStyle w:val="TtuloBOE"/>
      </w:pPr>
      <w:r>
        <w:t>(BOE núm. 57, de 7 de marzo de 2016)</w:t>
      </w:r>
    </w:p>
    <w:p w:rsidR="00163957" w:rsidRDefault="00163957" w:rsidP="00163957">
      <w:pPr>
        <w:pStyle w:val="TextoNormalCentrado"/>
      </w:pPr>
      <w:r>
        <w:t>ECLI:ES:TC:2016:15</w:t>
      </w:r>
    </w:p>
    <w:p w:rsidR="00163957" w:rsidRDefault="00163957" w:rsidP="00163957">
      <w:pPr>
        <w:pStyle w:val="TextoNormalCentrado"/>
      </w:pPr>
    </w:p>
    <w:p w:rsidR="00163957" w:rsidRDefault="00163957" w:rsidP="00163957">
      <w:pPr>
        <w:pStyle w:val="SntesisDescriptiva"/>
      </w:pPr>
      <w:r>
        <w:t>Recurso de amparo 7465-2014. Promovido por don Pere Nolla Aguilar frente a las resoluciones dictadas por la Sala de lo Contencioso-Administrativo del Tribunal Superior de Justicia de Cataluña en procedimiento de responsabilidad patrimonial de un ayuntamiento.</w:t>
      </w:r>
    </w:p>
    <w:p w:rsidR="00163957" w:rsidRDefault="00163957" w:rsidP="00163957">
      <w:pPr>
        <w:pStyle w:val="SntesisDescriptiva"/>
      </w:pPr>
    </w:p>
    <w:p w:rsidR="00163957" w:rsidRDefault="00163957" w:rsidP="00163957">
      <w:pPr>
        <w:pStyle w:val="SntesisAnaltica"/>
      </w:pPr>
      <w:r>
        <w:t>Supuesta vulneración del derecho a la tutela judicial sin indefensión: resoluciones judiciales que apreciaron, motivadamente, la falta de legitimación del demandante para ser parte en un proceso de responsabilidad objetiva de la Administración por ausencia de interés legítimo.</w:t>
      </w:r>
    </w:p>
    <w:p w:rsidR="00163957" w:rsidRDefault="00163957" w:rsidP="00163957">
      <w:pPr>
        <w:pStyle w:val="SntesisAnaltica"/>
      </w:pPr>
    </w:p>
    <w:p w:rsidR="00163957" w:rsidRDefault="00163957" w:rsidP="00163957">
      <w:pPr>
        <w:pStyle w:val="Extracto"/>
      </w:pPr>
      <w:r>
        <w:t>1.</w:t>
      </w:r>
      <w:r>
        <w:tab/>
        <w:t>Las resoluciones impugnadas, que apreciaron la falta de legitimación del demandante de amparo para ser parte en el proceso de responsabilidad objetiva de la Administración por ausencia de interés legítimo, no causaron indefensión, dado que la declaración de responsabilidad de la Administración no comporta, automáticamente, un beneficio o perjuicio en su esfera jurídica [FJ 3].</w:t>
      </w:r>
    </w:p>
    <w:p w:rsidR="00163957" w:rsidRDefault="00163957" w:rsidP="00163957">
      <w:pPr>
        <w:pStyle w:val="Extracto"/>
      </w:pPr>
    </w:p>
    <w:p w:rsidR="00163957" w:rsidRDefault="00163957" w:rsidP="00163957">
      <w:pPr>
        <w:pStyle w:val="Extracto"/>
      </w:pPr>
      <w:r>
        <w:t>2.</w:t>
      </w:r>
      <w:r>
        <w:tab/>
        <w:t>El contenido de una sentencia en un primer proceso sobre responsabilidad objetiva de la Administración no podrá acarrear en ninguna circunstancia, en tanto que no constituyen el objeto del proceso de responsabilidad objetiva, un efecto positivo de cosa juzgada material en los procedimientos ulteriores que enjuicien la responsabilidad subjetiva de los empleados públicos [FJ 3].</w:t>
      </w:r>
    </w:p>
    <w:p w:rsidR="00163957" w:rsidRDefault="00163957" w:rsidP="00163957">
      <w:pPr>
        <w:pStyle w:val="Extracto"/>
      </w:pPr>
    </w:p>
    <w:p w:rsidR="00163957" w:rsidRDefault="00163957" w:rsidP="00163957">
      <w:pPr>
        <w:pStyle w:val="Extracto"/>
      </w:pPr>
      <w:r>
        <w:t>3.</w:t>
      </w:r>
      <w:r>
        <w:tab/>
        <w:t>En la acción de responsabilidad contra la Administración, el derecho o interés legítimo afectado es el de la persona perjudicada que ejercita la acción para ver reparado el daño objetivo sufrido, sin que se juzgue una responsabilidad añadida, distinta y de carácter subjetivo del personal al servicio de la Administración pública que haya intervenido en la situación controvertida [FJ 3].</w:t>
      </w:r>
    </w:p>
    <w:p w:rsidR="00163957" w:rsidRDefault="00163957" w:rsidP="00163957">
      <w:pPr>
        <w:pStyle w:val="Extracto"/>
      </w:pPr>
    </w:p>
    <w:p w:rsidR="00163957" w:rsidRDefault="00163957" w:rsidP="00163957">
      <w:pPr>
        <w:pStyle w:val="Extracto"/>
      </w:pPr>
      <w:r>
        <w:t>4.</w:t>
      </w:r>
      <w:r>
        <w:tab/>
        <w:t>El ejercicio de la acción de regreso se articula en procesos que tienen como finalidad específica repercutir sobre el empleado público subjetivamente responsable la cantidad abonada por el funcionamiento de sus servicios públicos [FJ 3].</w:t>
      </w:r>
    </w:p>
    <w:p w:rsidR="00163957" w:rsidRDefault="00163957" w:rsidP="00163957">
      <w:pPr>
        <w:pStyle w:val="Extracto"/>
      </w:pPr>
    </w:p>
    <w:p w:rsidR="00163957" w:rsidRDefault="00163957" w:rsidP="00163957">
      <w:pPr>
        <w:pStyle w:val="Extracto"/>
      </w:pPr>
      <w:r>
        <w:t>5.</w:t>
      </w:r>
      <w:r>
        <w:tab/>
        <w:t>Doctrina constitucional sobre la efectividad de los actos de comunicación procesal y, en particular, del emplazamiento (SSTC 136/2014, 241/2006, 97/1991)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Vicepresidenta,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lastRenderedPageBreak/>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7465-2014, promovido por don Pere Nolla Aguilar, representado por la Procuradora de los Tribunales doña Ana Julia Vaquero Blanco y asistido por el Abogado don Ramón Figuera Palacios, contra el Auto dictado por el Tribunal Superior de Justicia de Cataluña, de 30 de octubre de 2014, que declara la inadmisión del recurso de apelación contra el previo Auto de 4 abril de 2014 que, a su vez, inadmite la legitimación del demandante de amparo para recurrir la Sentencia del Tribunal de Justicia de Cataluña 284/2013, dictada en procedimiento de responsabilidad patrimonial contra el Ayuntamiento de Canet de Mar. Han comparecido don Antonio Sorribes Calle, en nombre y representación del Ayuntamiento de Canet y don Joaquín Bernard Trullenque, representado por el Procurador de los Tribunales don Carmelo Olmos Gómez. Ha actuado como Ponente el Magistrado don Fernando Valdés Dal-Ré,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Por escrito presentado en el Registro General de este Tribunal, el día 10 de diciembre de 2014, doña Ana Julia Vaquero Blanco, en nombre y representación de don Pere Nolla Aguilar, interpuso recurso de amparo contra las resoluciones judiciales del Tribunal Superior de Justicia de Cataluña mencionadas en el encabezamiento de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en que su fundamenta el presente recurso de amparo son, en síntesis, los siguientes:</w:t>
      </w:r>
    </w:p>
    <w:p w:rsidR="00163957" w:rsidRDefault="00163957" w:rsidP="00163957">
      <w:pPr>
        <w:pStyle w:val="TextoNormal"/>
      </w:pPr>
    </w:p>
    <w:p w:rsidR="00163957" w:rsidRDefault="00163957" w:rsidP="00163957">
      <w:pPr>
        <w:pStyle w:val="TextoNormal"/>
      </w:pPr>
      <w:r>
        <w:t>a) En su día, don Joaquín Bernad Trullenque, funcionario de la Policía Local del Ayuntamiento de Canet de Mar (actualmente jubilado por incapacidad permanente absoluta) fue objeto de un expediente disciplinario del que fue instructor el hoy demandante de amparo, por entonces jefe de la Policía Local del mencionado municipio. El expediente disciplinario concluyó con un decreto de alcaldía por el que se le impusieron tres sanciones por la comisión de tres faltas graves. Interpuesto recurso contencioso-administrativo por don Joaquín Bernard Trullenque, el Juzgado de lo Contencioso-Administrativo núm. 9 de Barcelona lo estima anulando las sanciones impuestas y dejando constancia en la sentencia de la falta de imparcialidad y objetividad del instructor.</w:t>
      </w:r>
    </w:p>
    <w:p w:rsidR="00163957" w:rsidRDefault="00163957" w:rsidP="00163957">
      <w:pPr>
        <w:pStyle w:val="TextoNormal"/>
      </w:pPr>
    </w:p>
    <w:p w:rsidR="00163957" w:rsidRDefault="00163957" w:rsidP="00163957">
      <w:pPr>
        <w:pStyle w:val="TextoNormal"/>
      </w:pPr>
      <w:r>
        <w:t xml:space="preserve">b) El demandante en la instancia formuló entonces reclamación de responsabilidad patrimonial contra el Ayuntamiento de Canet por las secuelas psíquicas padecidas como consecuencia del hostigamiento laboral a que fue sometido durante años por el demandante de amparo y por el subjefe de la Policía Local, con el beneplácito del Alcalde. Contra la desestimación presunta de la citada reclamación, pues la Administración no se pronunció sobre la misma en el plazo estipulado, interpuso recurso contencioso-administrativo que fue estimado por Sentencia del Juzgado Contencioso-Administrativo núm. 15 de los de Barcelona </w:t>
      </w:r>
      <w:r>
        <w:lastRenderedPageBreak/>
        <w:t>que condena al Ayuntamiento de Canet a abonar al reclamante la cantidad de 323.088,58 € y sus intereses legales. Considera el Juzgado acreditado el funcionamiento anormal del servicio público y su incidencia (o nexo causal) en el cuadro de lesiones que presenta el demandante. A esta conclusión llega tras “un sólido acervo probatorio favorable a la tesis de la parte recurrente” consistente, de un lado, en las periciales médicas que constatan la presencia de un trastorno paranoide de la personalidad y de una psicosis paranoica crónica vinculada al estrés laboral sufrido y , de otro lado, en las testificales de otros dos miembros de la policía local, que ya no forman parte del cuerpo, en las que se describen algunas situaciones a las que fue sometido el reclamante a partir de un determinado momento (intentos de que no se formara como monitor de tiro; adopción de medidas cautelares desproporcionadas; confinamiento a un cuarto, sin ordenador ni tareas y sin permitirle uniformarse; afirmación continuada de su incapacidad para el servicio; etc.). En concreto, sostiene en su sentencia el Juzgado que el entorno laboral “lo fue … de hostigamiento, destinado a laminar la autoestima del recurrente, aislándolo y menoscabando su promoción profesional, habiéndolo creado y sostenido sus superiores, Sres. Nolla Aguilar, Inspector de Policía y Jesús Martínez, cabo, de forma gratuita y sin justificación ninguna”. Concluye el Juzgado afirmando la claridad de dos extremos: “la evidente situación laboral degradante y angustiosa a que jefe y subjefe sometieron de forma gratuita y deleznable, por abuso de jerarquía laboral, al actor, durante años, y la publicidad con que, con manifiesta estulticia, perpetraron su actos, pues de ellos difícilmente pudo haber más testigos, siendo lógico que los dos únicos que se hayan atrevido a deponer al respecto optaran hace años por un cambio de cuerpo policial. Poco más cabe añadir a los efectos de dar por acreditada la relación de causalidad entre el anormal funcionamiento del servicio, y el trastorno que aqueja al actor”.</w:t>
      </w:r>
    </w:p>
    <w:p w:rsidR="00163957" w:rsidRDefault="00163957" w:rsidP="00163957">
      <w:pPr>
        <w:pStyle w:val="TextoNormal"/>
      </w:pPr>
    </w:p>
    <w:p w:rsidR="00163957" w:rsidRDefault="00163957" w:rsidP="00163957">
      <w:pPr>
        <w:pStyle w:val="TextoNormal"/>
      </w:pPr>
      <w:r>
        <w:t>c) En fecha de 8 de noviembre de 2013 tuvo entrada en el Registro del Juzgado de lo Contencioso-Administrativo núm. 15 de Barcelona escrito del hoy demandante de amparo en el que solicita, tras haber tenido conocimiento extraprocesal de la Sentencia dictada en el procedimiento de responsabilidad patrimonial, que se le notifique y se le confiera plazo para formular recurso de apelación, por cuanto era el jefe de Policía Local en el momento de los hechos, hallándose actualmente de baja por incapacidad permanente absoluta. Añade que ha tenido conocimiento, también extraprocesal, de que el Ayuntamiento de Canet “no piensa recurrir la sentencia” pero sí “iniciar un expediente para depurar responsabilidades” por lo que, al margen de lo que le afecta en cuanto a su honorabilidad personal, tal resolución le afecta y tenía derecho a estar presente en el procedimiento, conociendo perfectamente la Administración sus datos para notificación y emplazamiento.</w:t>
      </w:r>
    </w:p>
    <w:p w:rsidR="00163957" w:rsidRDefault="00163957" w:rsidP="00163957">
      <w:pPr>
        <w:pStyle w:val="TextoNormal"/>
      </w:pPr>
    </w:p>
    <w:p w:rsidR="00163957" w:rsidRDefault="00163957" w:rsidP="00163957">
      <w:pPr>
        <w:pStyle w:val="TextoNormal"/>
      </w:pPr>
      <w:r>
        <w:t>d) Por diligencia de ordenación de 21 de noviembre de 2013 el Juzgado Contencioso-Administrativo núm. 15 de Barcelona declara no haber lugar a la notificación al no ser el solicitante parte en el procedimiento. Contra la mencionada resolución el Sr. Nolla interpuso recurso de reposición invocando la infracción del art. 24 CE pues ni Ayuntamiento ni órgano judicial le han emplazado a pesar de conocer las acusaciones que, contra él, se vertían la demanda así como sus datos para la notificación y emplazamiento, permitiendo el art. 82 de la Ley reguladora de la jurisdicción contencioso-administrativa (LJCA) el recurso de apelación por quienes fueron parte y por quienes resultan afectados por la resolución.</w:t>
      </w:r>
    </w:p>
    <w:p w:rsidR="00163957" w:rsidRDefault="00163957" w:rsidP="00163957">
      <w:pPr>
        <w:pStyle w:val="TextoNormal"/>
      </w:pPr>
    </w:p>
    <w:p w:rsidR="00163957" w:rsidRDefault="00163957" w:rsidP="00163957">
      <w:pPr>
        <w:pStyle w:val="TextoNormal"/>
      </w:pPr>
      <w:r>
        <w:t xml:space="preserve">e) El 19 de febrero de 2014, habiendo llegado ambas partes a un acuerdo, la representación de don Joaquín Bernard Trullenque pone en conocimiento del Juzgado el convenio firmado con el Ayuntamiento a efectos de satisfacer la indemnización fijada en la Sentencia </w:t>
      </w:r>
      <w:r>
        <w:lastRenderedPageBreak/>
        <w:t>de responsabilidad patrimonial, solicitando su homologación. En dicho convenio se pone de manifiesto que la comisión especial de la policía de Canet acordó, en sesión extraordinaria de 31 de octubre de 2013, no interponer recurso de apelación, aprobando el mencionado convenio en fecha de 16 de enero que supone la asunción por el Ayuntamiento del pago del principal e intereses, renunciando el Sr. Trullenque a solicitar la ejecución de la Sentencia.</w:t>
      </w:r>
    </w:p>
    <w:p w:rsidR="00163957" w:rsidRDefault="00163957" w:rsidP="00163957">
      <w:pPr>
        <w:pStyle w:val="TextoNormal"/>
      </w:pPr>
    </w:p>
    <w:p w:rsidR="00163957" w:rsidRDefault="00163957" w:rsidP="00163957">
      <w:pPr>
        <w:pStyle w:val="TextoNormal"/>
      </w:pPr>
      <w:r>
        <w:t xml:space="preserve">f) En fecha de 4 de abril de 2014, el Juzgado de lo Contencioso-Administrativo núm. 15 de Barcelona declara no haber lugar a tener como parte y legitimado al Sr. Nolla Aguilar, pues, aparte de que su reclamación se basa en meras hipótesis (que el Ayuntamiento no va a recurrir y que iniciará un expediente para depurar responsabilidades contra el solicitante), “lo que queda patente y manifiesto en este momento procesal, es que, de las alegaciones genéricas —no documentadas en ningún sentido—, manifestadas por el citado Sr. Nolla, no cabe vislumbrar </w:t>
      </w:r>
      <w:r w:rsidRPr="00163957">
        <w:rPr>
          <w:i/>
        </w:rPr>
        <w:t>a priori</w:t>
      </w:r>
      <w:r>
        <w:t xml:space="preserve"> que éste sea una persona afectada directa o indirectamente por la Sentencia ni que se le cause indefensión material por no notificarle dicha Sentencia”. Es por esta razón, concluye la Sala, que no se le puede tener por parte, “careciendo de legitimación en este concreto caso … máxime cuando no ha acreditado qué concretos perjuicios en su caso se le pudieran irrogar con la no notificación de dicha Sentencia”.</w:t>
      </w:r>
    </w:p>
    <w:p w:rsidR="00163957" w:rsidRDefault="00163957" w:rsidP="00163957">
      <w:pPr>
        <w:pStyle w:val="TextoNormal"/>
      </w:pPr>
    </w:p>
    <w:p w:rsidR="00163957" w:rsidRDefault="00163957" w:rsidP="00163957">
      <w:pPr>
        <w:pStyle w:val="TextoNormal"/>
      </w:pPr>
      <w:r>
        <w:t>g) Interpuso entonces el demandante recurso de apelación, presentando escrito en fecha de 9 de octubre de 2014 en el que, al amparo del art. 286 de la Ley de enjuiciamiento civil (LEC) aporta como hecho nuevo o de nueva noticia la notificación por parte del Ayuntamiento de Canet del Acuerdo del pleno municipal, de 25 de septiembre de 2014, en el que se acuerda incoar al demandante un expediente de responsabilidad patrimonial personal por importe de 323.088,58 € (expediente que se suspende mientras se resuelve el recurso de apelación). Subraya el demandante en su escrito cómo, efectivamente, el resultado del pleito de responsabilidad patrimonial le afecta directamente sin haber podido ser parte en el procedimiento ni haberse podido defender.</w:t>
      </w:r>
    </w:p>
    <w:p w:rsidR="00163957" w:rsidRDefault="00163957" w:rsidP="00163957">
      <w:pPr>
        <w:pStyle w:val="TextoNormal"/>
      </w:pPr>
    </w:p>
    <w:p w:rsidR="00163957" w:rsidRDefault="00163957" w:rsidP="00163957">
      <w:pPr>
        <w:pStyle w:val="TextoNormal"/>
      </w:pPr>
      <w:r>
        <w:t>h) Mediante Auto de 30 de octubre de 2014, el Tribunal Superior de Justicia de Cataluña declara la inadmisibilidad del recurso de apelación, confirmando la resolución dictada en fecha de 4 de abril por el Juzgado. En resumen señala la Sala que el Sr. Nolla pretende impugnar la Sentencia condenatoria contra el Ayuntamiento cuando resulta evidente, a juicio del Tribunal, que carece de legitimación activa para ello al no haber sido parte en la primera instancia donde “lo que se discutía era una determinada actividad administrativa imputable al Ayuntamiento mencionado, que afectó al recurrente Sr. Bernard Trullenque y a nadie más, máxime cuando ni siquiera interpuso él acción jurisdiccional ninguna”.</w:t>
      </w:r>
    </w:p>
    <w:p w:rsidR="00163957" w:rsidRDefault="00163957" w:rsidP="00163957">
      <w:pPr>
        <w:pStyle w:val="TextoNormal"/>
      </w:pPr>
    </w:p>
    <w:p w:rsidR="00163957" w:rsidRDefault="00163957" w:rsidP="00163957">
      <w:pPr>
        <w:pStyle w:val="TextoNormal"/>
      </w:pPr>
      <w:r w:rsidRPr="00163957">
        <w:rPr>
          <w:rStyle w:val="NumeroAFNegritaCaracter"/>
        </w:rPr>
        <w:t>3</w:t>
      </w:r>
      <w:r>
        <w:t>. Por lo que respecta a la fundamentación jurídica del recurso de amparo, el demandante solicita la retroacción de las actuaciones hasta el momento en que debió ser emplazado, aduciendo la vulneración del derecho a la tutela judicial efectiva (art. 24.1 CE) por falta de emplazamiento a un proceso en el que han resultado afectados intereses legítimos. Alega, en este sentido, que se tramitó un procedimiento en el que, si bien formalmente no era parte, al no haberlo sido en vía administrativa, pues la condena no se dirigía contra él sino contra el Ayuntamiento, hubo de ser emplazado pues tal procedimiento ha tenido claras repercusiones sobre el demandante que padece, ahora, un proceso de acción de regreso por parte del Ayuntamiento de Canet en el que debe soportar los hechos declarados probados en un proceso judicial en el que no ha sido parte procesal y en el que, por tanto, no ha podido defenderse.</w:t>
      </w:r>
    </w:p>
    <w:p w:rsidR="00163957" w:rsidRDefault="00163957" w:rsidP="00163957">
      <w:pPr>
        <w:pStyle w:val="TextoNormal"/>
      </w:pPr>
    </w:p>
    <w:p w:rsidR="00163957" w:rsidRDefault="00163957" w:rsidP="00163957">
      <w:pPr>
        <w:pStyle w:val="TextoNormal"/>
      </w:pPr>
      <w:r>
        <w:t>Considera el demandante que la especial trascendencia constitucional del recurso viene determinada, de un parte, por el incumplimiento de la doctrina constitucional sobre emplazamiento personal de cuántos ostenten derechos e intereses legítimos y, de otra parte, por la indebida denegación de personación de un titular de un interés legítimo en un procedimiento judicial que podría culminar con una sentencia con efectos positivos de cosa juzgada material adversos para el demandante.</w:t>
      </w:r>
    </w:p>
    <w:p w:rsidR="00163957" w:rsidRDefault="00163957" w:rsidP="00163957">
      <w:pPr>
        <w:pStyle w:val="TextoNormal"/>
      </w:pPr>
    </w:p>
    <w:p w:rsidR="00163957" w:rsidRDefault="00163957" w:rsidP="00163957">
      <w:pPr>
        <w:pStyle w:val="TextoNormal"/>
      </w:pPr>
      <w:r w:rsidRPr="00163957">
        <w:rPr>
          <w:rStyle w:val="NumeroAFNegritaCaracter"/>
        </w:rPr>
        <w:t>4</w:t>
      </w:r>
      <w:r>
        <w:t>. En fecha de 15 de abril de 2015, el demandante de amparo presentó en el Registro General de este Tribunal escrito complementario en el que ponía de manifiesto que el Ayuntamiento de Canet ha iniciado expediente de responsabilidad patrimonial contra su persona, solicitando la paralización de dicho procedimiento atendidos los graves perjuicios económicos que puede originarle su conclusión.</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providencia de 9 de junio de 2015 la Sala Segunda del Tribunal Constitucional acordó admitir a trámite la demanda apreciando que ofrece especial trascendencia constitucional art. 50.1 de la Ley Orgánica del Tribunal Constitucional (LOTC) porque el recurso plantea un problema o afecta a una faceta de un derecho fundamental sobre el que no hay doctrina en este Tribunal. Asimismo, habiéndose solicitado ya las actuaciones jurisdiccionales, se dirige atenta comunicación al Juzgado de lo Contencioso-Administrativo núm. 15 de Barcelona a fin, de que en plazo de diez días, emplace a quienes hubieron sido parte en el procedimiento.</w:t>
      </w:r>
    </w:p>
    <w:p w:rsidR="00163957" w:rsidRDefault="00163957" w:rsidP="00163957">
      <w:pPr>
        <w:pStyle w:val="TextoNormal"/>
      </w:pPr>
    </w:p>
    <w:p w:rsidR="00163957" w:rsidRDefault="00163957" w:rsidP="00163957">
      <w:pPr>
        <w:pStyle w:val="TextoNormal"/>
      </w:pPr>
      <w:r w:rsidRPr="00163957">
        <w:rPr>
          <w:rStyle w:val="NumeroAFNegritaCaracter"/>
        </w:rPr>
        <w:t>6</w:t>
      </w:r>
      <w:r>
        <w:t>. El Ayuntamiento de Canet, por medio de su Procurador don Antonio Sorribes Calle, se personó en este proceso constitucional mediante escrito registrado el 6 de julio de 2015. A su vez, mediante escrito presentado el 8 de julio, el Procurador don Carmelo Olmos Gómez, se persona en este proceso constitucional en representación de don Joaquín Bernard Trullenque. Por diligencia de ordenación de 16 de julio de 2015 se tuvo por personado y parte en el procedimiento acordándose dar vista de las actuaciones a las partes personadas y al Ministerio Fiscal para que, en el plazo común de 20 días, formularan las alegaciones que estimasen convenientes, conforme a lo dispuesto en el art. 52.1 LOTC.</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El día 8 de septiembre de 2015 el Procurador don Carmelo Olmos Gómez, en representación de Joaquín Bernard Trullenque, presento su escrito de alegaciones subrayando que la petición del demandante de amparo de ser parte en el previo proceso de responsabilidad administrativa patrimonial contra el Ayuntamiento ya ha sido resuelta por el Juzgado Contencioso-Administrativo núm. 15 de Barcelona y la Sección Cuarta de la Sala de lo Contencioso-Administrativo del Tribunal Superior de Justicia; resoluciones, ambas, que subrayan que el ahora demandante de amparo carecía de legitimación pasiva para poder comparecer en el procedimiento. Se reitera, en este sentido (y en resumen), que en una acción de responsabilidad patrimonial por un inadecuado o mal funcionamiento de la Administración la legitimación pasiva únicamente corresponde a la Administración reclamada, que es la que asume los perjuicios que su actuación —en la que inevitablemente ha participado alguno de sus funcionarios o empleados, pero sin que tales personas físicas ostenten legitimación pasiva—. Cuestión distinta, se señala, es la repercusión que </w:t>
      </w:r>
      <w:r w:rsidRPr="00163957">
        <w:rPr>
          <w:i/>
        </w:rPr>
        <w:t>a posteriori</w:t>
      </w:r>
      <w:r>
        <w:t xml:space="preserve"> pueda tener la declaración de responsabilidad patrimonial respecto de las personas responsables de ese mal funcionamiento de la administración, proceso en el que el demandante de amparo </w:t>
      </w:r>
      <w:r>
        <w:lastRenderedPageBreak/>
        <w:t>podrá hacer valer sus pretensiones y alegar lo que considere conveniente para la defensa de sus derechos. Pretender comparecer en un procedimiento concluso en el que la sentencia ya ha adquirido firmeza, sin tener legitimación para ello, supondría una modificación de las reglas procesales que, esta sí, se afirma, causaría indefensión.</w:t>
      </w:r>
    </w:p>
    <w:p w:rsidR="00163957" w:rsidRDefault="00163957" w:rsidP="00163957">
      <w:pPr>
        <w:pStyle w:val="TextoNormal"/>
      </w:pPr>
    </w:p>
    <w:p w:rsidR="00163957" w:rsidRDefault="00163957" w:rsidP="00163957">
      <w:pPr>
        <w:pStyle w:val="TextoNormal"/>
      </w:pPr>
      <w:r w:rsidRPr="00163957">
        <w:rPr>
          <w:rStyle w:val="NumeroAFNegritaCaracter"/>
        </w:rPr>
        <w:t>8</w:t>
      </w:r>
      <w:r>
        <w:t>. El demandante de amparo presentó escrito de alegaciones ratificándose en su demanda de amparo pero precisando que “por los órganos judiciales se ha realizado una interpretación contraria al art. 24 CE del art. 21.1” de la Ley reguladora de la jurisdicción contencioso-administrativa (LJCA), puesto que “el actor debió requerir [del] Juzgado el emplazamiento personal del Sr. Pérez Nolla”. Destaca, de otra parte, que la lesión de aquel derecho fundamental también encuentra fundamento en el incumplimiento de lo prescrito en los arts. 49.1, segundo párrafo, y 82 LJCA, éste último en cuanto afecta a su derecho a formalizar recurso de apelación.</w:t>
      </w:r>
    </w:p>
    <w:p w:rsidR="00163957" w:rsidRDefault="00163957" w:rsidP="00163957">
      <w:pPr>
        <w:pStyle w:val="TextoNormal"/>
      </w:pPr>
    </w:p>
    <w:p w:rsidR="00163957" w:rsidRDefault="00163957" w:rsidP="00163957">
      <w:pPr>
        <w:pStyle w:val="TextoNormal"/>
      </w:pPr>
      <w:r w:rsidRPr="00163957">
        <w:rPr>
          <w:rStyle w:val="NumeroAFNegritaCaracter"/>
        </w:rPr>
        <w:t>9</w:t>
      </w:r>
      <w:r>
        <w:t>. El Ministerio Fiscal evacuó el trámite de alegaciones conferido mediante escrito registrado el día 14 de septiembre de 2015 en el que, tras resumir los antecedentes mediatos e inmediatos del recurso, solicita la estimación del recurso de amparo y la declaración de la vulneración del derecho a la tutela judicial efectiva con la siguiente argumentación:</w:t>
      </w:r>
    </w:p>
    <w:p w:rsidR="00163957" w:rsidRDefault="00163957" w:rsidP="00163957">
      <w:pPr>
        <w:pStyle w:val="TextoNormal"/>
      </w:pPr>
    </w:p>
    <w:p w:rsidR="00163957" w:rsidRDefault="00163957" w:rsidP="00163957">
      <w:pPr>
        <w:pStyle w:val="TextoNormal"/>
      </w:pPr>
      <w:r>
        <w:t>a) Señala, en primer lugar, el Ministerio Fiscal que, aunque pudiera parecer que la pretensión deducida en amparo no es la misma que se ejercitó en la vía jurisdiccional ordinaria (en la que solicitó la notificación de la Sentencia dictada en el procedimiento de responsabilidad patrimonial a efectos de interponer recurso de apelación; pretendiendo, ahora, sin embargo, la nulidad de todas las actuaciones y la retroacción al momento del emplazamiento para poder comparecer), lo cierto es que la queja por no haber sido emplazado se aprecia ya en el primer escrito procesal de la parte, en el que solicitaba, tras haber tenido conocimiento extraprocesal de la Sentencia dictada en el procedimiento de responsabilidad patrimonial de la Administración, que se le notificase la Sentencia y se le confiriese plazo para formular recurso de apelación.</w:t>
      </w:r>
    </w:p>
    <w:p w:rsidR="00163957" w:rsidRDefault="00163957" w:rsidP="00163957">
      <w:pPr>
        <w:pStyle w:val="TextoNormal"/>
      </w:pPr>
    </w:p>
    <w:p w:rsidR="00163957" w:rsidRDefault="00163957" w:rsidP="00163957">
      <w:pPr>
        <w:pStyle w:val="TextoNormal"/>
      </w:pPr>
      <w:r>
        <w:t xml:space="preserve">b) En segundo lugar, manifiesta el Ministerio Fiscal que, a pesar de que no se acaba de concretar en la demanda cuál es el derecho fundamental que se considera vulnerado, parece que no puede ser otro que el derecho a la tutela judicial efectiva en su vertiente de derecho de acceso a la jurisdicción (art. 24.1 CE) a cuya configuración se han referido numerosas Sentencias del Tribunal Constitucional, destacando el Fiscal la STC 67/2010. Resume a continuación la mencionada doctrina, indicando el contenido del derecho de acceso a la jurisdicción: la aplicabilidad en este ámbito del principio </w:t>
      </w:r>
      <w:r w:rsidRPr="00163957">
        <w:rPr>
          <w:i/>
        </w:rPr>
        <w:t>pro actione</w:t>
      </w:r>
      <w:r>
        <w:t xml:space="preserve">; la necesidad de motivación reforzada de las decisiones de inadmisión fundadas siempre en causa legal, pudiendo ser una de estas causas la falta de legitimación activa por ausencia de derecho o interés legítimo; la caracterización del interés legítimo en el orden contencioso-administrativo como una relación material unívoca entre el sujeto y el objeto de la pretensión (acto o disposición) de forma tal que su anulación produzca automáticamente un efecto positivo (beneficio) o negativo (perjuicio) actual o futuro pero cierto, tratándose de un interés específico, actual y real y no hipotético o futuro; la verificación de que la titularidad potencial de una ventaja o de una utilidad jurídica no equivale necesariamente a un contenido patrimonial; la constatación de que la apreciación de quién posee legitimación activa es, en principio, una cuestión de legalidad ordinaria que, sin embargo, debe ser interpretada conforme </w:t>
      </w:r>
      <w:r>
        <w:lastRenderedPageBreak/>
        <w:t xml:space="preserve">al principio </w:t>
      </w:r>
      <w:r w:rsidRPr="00163957">
        <w:rPr>
          <w:i/>
        </w:rPr>
        <w:t>pro actione</w:t>
      </w:r>
      <w:r>
        <w:t xml:space="preserve"> evitando decisiones de inadmisión que por su rigorismo o formalismo excesivo se revelen desfavorables para la efectividad del derecho concernido o resulten desproporcionadas; y en fin, que lo anterior, no significa en modo alguno la relativización o devaluación de los presupuestos y requisitos procesales establecidos por las leyes.</w:t>
      </w:r>
    </w:p>
    <w:p w:rsidR="00163957" w:rsidRDefault="00163957" w:rsidP="00163957">
      <w:pPr>
        <w:pStyle w:val="TextoNormal"/>
      </w:pPr>
    </w:p>
    <w:p w:rsidR="00163957" w:rsidRDefault="00163957" w:rsidP="00163957">
      <w:pPr>
        <w:pStyle w:val="TextoNormal"/>
      </w:pPr>
      <w:r>
        <w:t>c) Ya en lo concerniente, específicamente, al cumplimiento del deber de emplazamiento en los procesos contencioso-administrativos, recuerda en sus alegaciones el Ministerio fiscal, con cita de la STC 242/2012, de 17 de diciembre, FJ 3, que la garantía del derecho reconocido en el art. 24.1 CE exige la efectividad de la comunicación de los actos procesales a quienes ostenten algún derecho o interés legítimo; que la obligación de velar sobre la correcta constitución de la relación jurídico-procesal pesa sobre los órganos judiciales; que para que la falta de emplazamiento tenga relevancia constitucional es necesaria la concurrencia de tres requisitos: que el demandante de amparo sea titular de un interés legítimo o de un derecho propio, que sea identificable por el órgano jurisdiccional (con base en la información que figure en el expediente administrativo, escrito de interposición del recurso o demanda) y que se haya causado al demandante una indefensión material, que no puede apreciarse cuando el demandante tuvo conocimiento extraprocesal del asunto y por su propia pasividad no se personara.</w:t>
      </w:r>
    </w:p>
    <w:p w:rsidR="00163957" w:rsidRDefault="00163957" w:rsidP="00163957">
      <w:pPr>
        <w:pStyle w:val="TextoNormal"/>
      </w:pPr>
    </w:p>
    <w:p w:rsidR="00163957" w:rsidRDefault="00163957" w:rsidP="00163957">
      <w:pPr>
        <w:pStyle w:val="TextoNormal"/>
      </w:pPr>
      <w:r>
        <w:t>d) Trasladando la doctrina constitucional resumida al caso aquí planteado resulta, a juicio del Ministerio Fiscal, lo siguiente: i) que la Sentencia dictada en el procedimiento de responsabilidad patrimonial por la que se condena al Ayuntamiento de Canet afectaba a los derechos e intereses legítimos del demandante de amparo puesto que en ella se atribuía al demandante una participación relevante en el hostigamiento que desembocó causalmente en el resultado lesivo sufrido por el Sr. Joaquín Bernard Trullenque; ii) que ya del escrito de responsabilidad dirigido por éste al Ayuntamiento de Canet resultaba evidente la atribución al jefe de la Policía Local, Sr. Pere Nolla, de una muy importante participación en los hechos que fundaban esa reclamación de modo que era fácilmente imaginable que el procedimiento ordinario pudiera desembocar en una resolución como la indicada; iii) que el demandante de amparo era fácilmente identificable tanto por la Administración demandada como por el Juzgado Contencioso-Administrativo y que iv) no obra ningún dato en las actuaciones que permita afirmar que el demandante de amparo tuviera un conocimiento extraprocesal del pleito. Por todo ello la demanda, concluye el Fiscal, debe ser estimada.</w:t>
      </w:r>
    </w:p>
    <w:p w:rsidR="00163957" w:rsidRDefault="00163957" w:rsidP="00163957">
      <w:pPr>
        <w:pStyle w:val="TextoNormal"/>
      </w:pPr>
    </w:p>
    <w:p w:rsidR="00163957" w:rsidRDefault="00163957" w:rsidP="00163957">
      <w:pPr>
        <w:pStyle w:val="TextoNormal"/>
      </w:pPr>
      <w:r>
        <w:t>e) La conclusión anterior sería todavía más evidente, arguye el Fiscal, si se centrara la cuestión en la negativa del Juzgado a notificarle la Sentencia para la eventual interposición de un recurso de apelación, puesto que en ese momento, con la información ofrecida por la representación del demandante, en modo alguno podía deducirse que careciese de legitimación a los fines por él solicitados. Y lo mismo puede decirse, continúa argumentando el Fiscal, del Tribunal Superior de Justicia de Cataluña que ignoró el escrito presentado por el demandante en el que comunicaba que se había iniciado una acción de regreso contra él.</w:t>
      </w:r>
    </w:p>
    <w:p w:rsidR="00163957" w:rsidRDefault="00163957" w:rsidP="00163957">
      <w:pPr>
        <w:pStyle w:val="TextoNormal"/>
      </w:pPr>
    </w:p>
    <w:p w:rsidR="00163957" w:rsidRDefault="00163957" w:rsidP="00163957">
      <w:pPr>
        <w:pStyle w:val="TextoNormal"/>
      </w:pPr>
      <w:r>
        <w:t xml:space="preserve">f) En definitiva, entiende el Fiscal que la ausencia de emplazamiento personal del demandante supuso la infracción de su derecho a la tutela judicial efectiva (art. 24.1 CE) originada tanto por la actividad de la Administración —al no llevar a cabo los emplazamientos debidos— como por la del órgano judicial —que no comprobó que se realizaran las debidas notificaciones—. El reconocimiento del amparo habrá de dar lugar, concluye el Fiscal, a la </w:t>
      </w:r>
      <w:r>
        <w:lastRenderedPageBreak/>
        <w:t>anulación de la sentencia y autos impugnados, con retroacción de las actuaciones al momento en que hubo de ser emplazado.</w:t>
      </w:r>
    </w:p>
    <w:p w:rsidR="00163957" w:rsidRDefault="00163957" w:rsidP="00163957">
      <w:pPr>
        <w:pStyle w:val="TextoNormal"/>
      </w:pPr>
    </w:p>
    <w:p w:rsidR="00163957" w:rsidRDefault="00163957" w:rsidP="00163957">
      <w:pPr>
        <w:pStyle w:val="TextoNormal"/>
      </w:pPr>
      <w:r w:rsidRPr="00163957">
        <w:rPr>
          <w:rStyle w:val="NumeroAFNegritaCaracter"/>
        </w:rPr>
        <w:t>10</w:t>
      </w:r>
      <w:r>
        <w:t>. No formuló alegaciones el Ayuntamiento de Canet de Mar.</w:t>
      </w:r>
    </w:p>
    <w:p w:rsidR="00163957" w:rsidRDefault="00163957" w:rsidP="00163957">
      <w:pPr>
        <w:pStyle w:val="TextoNormal"/>
      </w:pPr>
    </w:p>
    <w:p w:rsidR="00163957" w:rsidRDefault="00163957" w:rsidP="00163957">
      <w:pPr>
        <w:pStyle w:val="TextoNormal"/>
      </w:pPr>
      <w:r w:rsidRPr="00163957">
        <w:rPr>
          <w:rStyle w:val="NumeroAFNegritaCaracter"/>
        </w:rPr>
        <w:t>11</w:t>
      </w:r>
      <w:r>
        <w:t>. Por providencia de 28 de enero de 2016 se señaló para la deliberación y votación de la presente Sentencia el día 1 de febrero del mismo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demandante de amparo impugna el Auto de 30 de octubre de 2014, dictado por la Sección Cuarta del Tribunal Superior de Justicia de Cataluña, que declara la inadmisión del recurso de apelación contra el previo Auto de 4 abril de 2014, del Juzgado Contencioso-Administrativo núm. 15 de Barcelona, que le negó la legitimación para recurrir la Sentencia del citado Juzgado dictada en procedimiento de responsabilidad patrimonial contra el Ayuntamiento de Canet de Mar, habiéndole denegado la notificación de la Sentencia mediante diligencia de ordenación de 21 de noviembre de 2013. Denuncia el demandante la vulneración de su derecho a la tutela judicial efectiva (art. 24.1 CE), al no haber sido emplazado en el procedimiento de responsabilidad dirigido contra la Administración, sin aceptarse su personación cuando tuvo conocimiento del mismo, argumentando los órganos judiciales su carencia de legitimación por ausencia de interés legítimo. Sin embargo, a su juicio, la concurrencia de éste resulta evidente, toda vez que, tras resultar condenado el Ayuntamiento al abono de una indemnización y renunciar a apelar tal condena, se ha incoado una acción de regreso contra su persona (que se encuentra actualmente suspendida mientras se resuelve este recurso de amparo, por resolución de la instructora del expediente).</w:t>
      </w:r>
    </w:p>
    <w:p w:rsidR="00163957" w:rsidRDefault="00163957" w:rsidP="00163957">
      <w:pPr>
        <w:pStyle w:val="TextoNormal"/>
      </w:pPr>
    </w:p>
    <w:p w:rsidR="00163957" w:rsidRDefault="00163957" w:rsidP="00163957">
      <w:pPr>
        <w:pStyle w:val="TextoNormal"/>
      </w:pPr>
      <w:r>
        <w:t>El Fiscal solicita el otorgamiento del amparo por entender efectivamente producida la lesión denunciada por el actor, con los argumentos expuestos en los antecedentes de hecho de esta resolución. Por su parte, la representación del reclamante, que vio satisfecha la responsabilidad patrimonial solicitada en la instancia, se opone a la estimación del recurso de amparo aduciendo que la vulneración invocada no ha tenido lugar, al carecer el demandante de legitimación en el procedimiento de responsabilidad patrimonial y disponer todavía del procedimiento de la acción de regreso para hacer valer sus derechos e intereses.</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Conviene precisar con carácter previo que, pese a la cierta confusión que se advierte en el recurso en este punto, el derecho que el demandante de amparo viene a considerar materialmente vulnerado es el de la tutela judicial efectiva sin indefensión (art. 24.1 CE). Este es el prisma bajo el que debe analizarse y resolverse la problemática suscitada, pues la declaración de ausencia de legitimación a la que se opone el recurrente le habría supuesto, en esencia, según se desprende de su alegato, la imposibilidad de participar en el proceso judicial en defensa de sus intereses. Así lo afirma en su escrito de demanda, concretando el objeto de su discrepancia en lo que considera una “indebida denegación de personación de un titular de un interés legítimo en un procedimiento judicial que podría culminar con una Sentencia con efectos positivos de cosa juzgada material adversos para él”, circunstancia que su escrito de alegaciones evacuando el trámite del art. 51 LOTC —en el que precisa el inicial y más confuso del recurso de amparo— relaciona con la inaplicación de los arts. 21.1 </w:t>
      </w:r>
      <w:r>
        <w:lastRenderedPageBreak/>
        <w:t>y 49.1 LJCA en cuanto al emplazamiento al proceso, aunque cite también, de una manera que parece accesoria o subordinada y por lo que atañe al derecho a formalizar un sucesivo recurso de apelación, la infracción del art. 82 LJCA.</w:t>
      </w:r>
    </w:p>
    <w:p w:rsidR="00163957" w:rsidRDefault="00163957" w:rsidP="00163957">
      <w:pPr>
        <w:pStyle w:val="TextoNormal"/>
      </w:pPr>
    </w:p>
    <w:p w:rsidR="00163957" w:rsidRDefault="00163957" w:rsidP="00163957">
      <w:pPr>
        <w:pStyle w:val="TextoNormal"/>
      </w:pPr>
      <w:r>
        <w:t>Al respecto es necesario traer a colación una reiterada doctrina constitucional que ha venido resaltando la importancia, en todos los órdenes jurisdiccionales, de la efectividad de los actos de comunicación procesal y, en particular, del emplazamiento, a través del cual el órgano judicial pone en conocimiento de quienes ostentan algún derecho o interés la existencia misma del proceso, dada la trascendencia que estos actos revisten para garantizar el derecho reconocido en el art. 24.1 CE. Por esta razón pesa sobre los órganos judiciales la responsabilidad de velar por la correcta constitución de la relación jurídico-procesal, sin que, claro está, ello signifique exigir al Juez o Tribunal correspondiente el despliegue de una desmedida labor investigadora (entre otras, STC 136/2014, de 8 de septiembre, FJ 2).</w:t>
      </w:r>
    </w:p>
    <w:p w:rsidR="00163957" w:rsidRDefault="00163957" w:rsidP="00163957">
      <w:pPr>
        <w:pStyle w:val="TextoNormal"/>
      </w:pPr>
    </w:p>
    <w:p w:rsidR="00163957" w:rsidRDefault="00163957" w:rsidP="00163957">
      <w:pPr>
        <w:pStyle w:val="TextoNormal"/>
      </w:pPr>
      <w:r>
        <w:t>En particular, en relación con los emplazamientos en la jurisdicción contenciosa-administrativa, hemos insistido en numerosas resoluciones en la necesidad del emplazamiento personal de quienes están legitimados para comparecer como demandados o coadyuvantes en procesos que inciden directamente en sus derechos e intereses cuando fueran conocidos e identificables a partir de los datos que figuren en el escrito de interposición del recurso contencioso-administrativo, en el expediente administrativo o en la demanda, suponiendo la falta de dicho emplazamiento en estos casos una vulneración del derecho a la tutela judicial efectiva (por todas, STC 241/2006, de 20 de julio, FJ 4, y las que allí se citan: SSTC 97/1991, de 9 de mayo, FJ 2; 100/1994, de 11 de abril, FJ 2; 122/1998, de 15 de junio, FJ 3; 126/1999, de 8 de marzo, FJ 3; 1/2000, de 17 de enero, FJ 3; 102/2003, de 2 de junio, FJ 2; 102/2004, de 2 de junio, FJ 3; 207/2005, de 18 de junio, FJ 2; 246/2005, de 10 de octubre, FJ 3, y 124/2006, de 24 de abril, FJ 2).</w:t>
      </w:r>
    </w:p>
    <w:p w:rsidR="00163957" w:rsidRDefault="00163957" w:rsidP="00163957">
      <w:pPr>
        <w:pStyle w:val="TextoNormal"/>
      </w:pPr>
    </w:p>
    <w:p w:rsidR="00163957" w:rsidRDefault="00163957" w:rsidP="00163957">
      <w:pPr>
        <w:pStyle w:val="TextoNormal"/>
      </w:pPr>
      <w:r>
        <w:t>En consonancia con ello, desde ese prisma que, como se observa, vincula el derecho a la legitimación pasiva con el derecho a la tutela judicial efectiva sin indefensión (art. 24.1 CE), para el otorgamiento del amparo por falta de emplazamiento personal en el proceso contencioso-administrativo tres son los requisitos que viene exigiendo la doctrina constitucional que ha sido citada:</w:t>
      </w:r>
    </w:p>
    <w:p w:rsidR="00163957" w:rsidRDefault="00163957" w:rsidP="00163957">
      <w:pPr>
        <w:pStyle w:val="TextoNormal"/>
      </w:pPr>
    </w:p>
    <w:p w:rsidR="00163957" w:rsidRDefault="00163957" w:rsidP="00163957">
      <w:pPr>
        <w:pStyle w:val="TextoNormal"/>
      </w:pPr>
      <w:r>
        <w:t>a) La titularidad por el demandante de amparo, al tiempo de la iniciación del proceso, de un derecho o interés legítimo y propio susceptible de afectación en el proceso contencioso-administrativo en cuestión, lo que determina su condición de demandado o coadyuvante.</w:t>
      </w:r>
    </w:p>
    <w:p w:rsidR="00163957" w:rsidRDefault="00163957" w:rsidP="00163957">
      <w:pPr>
        <w:pStyle w:val="TextoNormal"/>
      </w:pPr>
    </w:p>
    <w:p w:rsidR="00163957" w:rsidRDefault="00163957" w:rsidP="00163957">
      <w:pPr>
        <w:pStyle w:val="TextoNormal"/>
      </w:pPr>
      <w:r>
        <w:t>b) La posibilidad de identificación del interesado por el órgano jurisdiccional, atendiendo especialmente a la información contenida en el escrito de interposición del recurso, en el expediente administrativo o en la demanda.</w:t>
      </w:r>
    </w:p>
    <w:p w:rsidR="00163957" w:rsidRDefault="00163957" w:rsidP="00163957">
      <w:pPr>
        <w:pStyle w:val="TextoNormal"/>
      </w:pPr>
    </w:p>
    <w:p w:rsidR="00163957" w:rsidRDefault="00163957" w:rsidP="00163957">
      <w:pPr>
        <w:pStyle w:val="TextoNormal"/>
      </w:pPr>
      <w:r>
        <w:t>c) Por último, que el recurrente en amparo haya sufrido como consecuencia de la omisión del emplazamiento una situación de indefensión real y efectiva, conectándose así legitimación pasiva y prohibición de indefensión. Indefensión que, en cambio, no concurre cuando el interesado tenga conocimiento extraprocesal del asunto y, por su propia falta de diligencia, no se persone en la causa.</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3</w:t>
      </w:r>
      <w:r>
        <w:t>. Efectuadas las anteriores consideraciones, debemos responder ahora a la cuestión de si la consideración de que el demandante de amparo carece de legitimación pasiva para ser parte en el proceso de responsabilidad patrimonial promovido contra la Administración por ausencia de un interés legítimo, sostenida por las resoluciones judiciales impugnadas, resulta o no conforme a la doctrina constitucional expuesta.</w:t>
      </w:r>
    </w:p>
    <w:p w:rsidR="00163957" w:rsidRDefault="00163957" w:rsidP="00163957">
      <w:pPr>
        <w:pStyle w:val="TextoNormal"/>
      </w:pPr>
    </w:p>
    <w:p w:rsidR="00163957" w:rsidRDefault="00163957" w:rsidP="00163957">
      <w:pPr>
        <w:pStyle w:val="TextoNormal"/>
      </w:pPr>
      <w:r>
        <w:t>Para ello conviene partir de una premisa básica: lo que se depura en un proceso de responsabilidad patrimonial, entablado por el perjudicado contra la Administración, no es la eventual responsabilidad del empleado público que haya participado o contribuido a la producción del daño (</w:t>
      </w:r>
      <w:r w:rsidRPr="00163957">
        <w:rPr>
          <w:i/>
        </w:rPr>
        <w:t>lato sensu</w:t>
      </w:r>
      <w:r>
        <w:t>), sino la responsabilidad objetiva de la Administración por cualquier funcionamiento normal o anormal del servicio público, según viene caracterizada en el art. 32.1 de la reciente Ley 40/2015, de 1 de octubre, de regulación del régimen jurídico del sector público, que entrará en vigor en octubre de 2016, con las salvedades contenidas en su disposición final decimoctava, o en el art. 139 de la Ley 30/1992, de 26 de noviembre, de régimen jurídico de las Administraciones públicas y del procedimiento administrativo común (LPC), aplicable al caso (Ley a la que haremos referencia a partir de este momento), y plasmando en ese marco específico el enunciado del art. 106.2 CE, siempre que la responsabilidad de la Administración sea atribuible al funcionamiento del servicio público y, además, haya dado lugar a una lesión efectiva (STC 141/2014, de 11 de septiembre, FJ 8).</w:t>
      </w:r>
    </w:p>
    <w:p w:rsidR="00163957" w:rsidRDefault="00163957" w:rsidP="00163957">
      <w:pPr>
        <w:pStyle w:val="TextoNormal"/>
      </w:pPr>
    </w:p>
    <w:p w:rsidR="00163957" w:rsidRDefault="00163957" w:rsidP="00163957">
      <w:pPr>
        <w:pStyle w:val="TextoNormal"/>
      </w:pPr>
      <w:r>
        <w:t>Precisamente como consecuencia de la voluntad del legislador de clarificar lo concerniente al sistema de responsabilidad patrimonial de la Administración y su control jurisdiccional, con la aprobación de la Ley 30/1992, de 26 de noviembre (y su posterior modificación en el año 1999) se optó por un régimen centralizado en el que las reclamaciones de indemnización contra la Administración, por los daños y perjuicios causados por su personal, han de dirigirse directamente, y en todo caso, contra aquélla, suprimiéndose la posibilidad de promover la acción contra el empleado público causante del daño (excepto en los casos de una eventual responsabilidad por vía penal).</w:t>
      </w:r>
    </w:p>
    <w:p w:rsidR="00163957" w:rsidRDefault="00163957" w:rsidP="00163957">
      <w:pPr>
        <w:pStyle w:val="TextoNormal"/>
      </w:pPr>
    </w:p>
    <w:p w:rsidR="00163957" w:rsidRDefault="00163957" w:rsidP="00163957">
      <w:pPr>
        <w:pStyle w:val="TextoNormal"/>
      </w:pPr>
      <w:r>
        <w:t>En ese contexto de evolución normativa, el art. 139 LPC ha precisado el elemento causal desencadenante del principio de la responsabilidad objetiva de la Administración por funcionamiento de los servicios públicos, a saber: que la lesión sea consecuencia del funcionamiento normal o anormal de dichos servicios, salvo en casos de fuerza mayor o de daños que el particular tenga el deber jurídico de soportar de acuerdo con la Ley. No hace mención la Ley de régimen jurídico de las Administraciones públicas y del procedimiento administrativo común, y no es por tanto objeto que se sustancie en ese proceso, a la identificación del empleado público que haya podido causar el daño que genera la responsabilidad administrativa, ni condiciona la apreciación de ésta a la verificación de la negligencia, culpa o dolo de aquél , perspectiva cuyo examen ni siquiera exige, bastando la acreditación del perjuicio y del nexo entre el funcionamiento del servicio público y el daño producido, que habrá de ser efectivo, evaluable económicamente e individualizado con relación a una persona o grupo de personas, según señala la disposición normativa.</w:t>
      </w:r>
    </w:p>
    <w:p w:rsidR="00163957" w:rsidRDefault="00163957" w:rsidP="00163957">
      <w:pPr>
        <w:pStyle w:val="TextoNormal"/>
      </w:pPr>
    </w:p>
    <w:p w:rsidR="00163957" w:rsidRDefault="00163957" w:rsidP="00163957">
      <w:pPr>
        <w:pStyle w:val="TextoNormal"/>
      </w:pPr>
      <w:r>
        <w:t xml:space="preserve">La regulación de la acción de responsabilidad contra la Administración diseñada por el legislador, en definitiva, implica que el derecho o interés legítimo afectado es el de la persona perjudicada que ejercita la acción para ver reparado el daño objetivo sufrido, siendo la Administración la que actuará en calidad de demandada, sin juzgarse una responsabilidad </w:t>
      </w:r>
      <w:r>
        <w:lastRenderedPageBreak/>
        <w:t>añadida, distinta y de carácter subjetivo del personal al servicio de la Administración pública que haya intervenido por acción u omisión en la situación controvertida.</w:t>
      </w:r>
    </w:p>
    <w:p w:rsidR="00163957" w:rsidRDefault="00163957" w:rsidP="00163957">
      <w:pPr>
        <w:pStyle w:val="TextoNormal"/>
      </w:pPr>
    </w:p>
    <w:p w:rsidR="00163957" w:rsidRDefault="00163957" w:rsidP="00163957">
      <w:pPr>
        <w:pStyle w:val="TextoNormal"/>
      </w:pPr>
      <w:r>
        <w:t>El régimen jurídico de la responsabilidad en esta tipología de casos prevé sin embargo, como cláusula de cierre, que la Administración pueda repercutir sobre el empleado público subjetivamente responsable la cantidad abonada por el funcionamiento de sus servicios públicos, mediante el ejercicio de la acción de regreso prevista en el art. 145 LPC. Una acción de ejercicio obligatorio por la Administración cuando se aprecie la concurrencia de un doble presupuesto: que la acción u omisión del empleado público concernido se haya realizado con dolo, culpa o negligencia graves y, en segundo lugar, que la Administración haya procedido al abono de la indemnización por el daño objetivo causado en razón de ella (acordada bien en una resolución administrativa no impugnada, bien en una sentencia judicial firme).</w:t>
      </w:r>
    </w:p>
    <w:p w:rsidR="00163957" w:rsidRDefault="00163957" w:rsidP="00163957">
      <w:pPr>
        <w:pStyle w:val="TextoNormal"/>
      </w:pPr>
    </w:p>
    <w:p w:rsidR="00163957" w:rsidRDefault="00163957" w:rsidP="00163957">
      <w:pPr>
        <w:pStyle w:val="TextoNormal"/>
      </w:pPr>
      <w:r>
        <w:t>De los arts. 139 y 145 LPC se sigue, a modo de síntesis, la consideración de dos momentos y la configuración jurídica de dos acciones diferentes, con objetos distintos, aunque secuenciales y encadenadas: la reclamación del perjudicado, primero (garantizando que, de apreciarse un nexo causal entre perjuicio y funcionamiento del servicio público, pueda ser reparado de forma íntegra e inmediata por el daño objetivo que se le haya ocasionado) y la eventual acción de regreso contra el empleado público, después, si se dan los presupuestos establecidos en la norma (responsabilidad subjetiva por dolo, culpa o negligencia graves, de haberse reparado económicamente el daño objetivo derivado del funcionamiento de los servicios públicos).</w:t>
      </w:r>
    </w:p>
    <w:p w:rsidR="00163957" w:rsidRDefault="00163957" w:rsidP="00163957">
      <w:pPr>
        <w:pStyle w:val="TextoNormal"/>
      </w:pPr>
    </w:p>
    <w:p w:rsidR="00163957" w:rsidRDefault="00163957" w:rsidP="00163957">
      <w:pPr>
        <w:pStyle w:val="TextoNormal"/>
      </w:pPr>
      <w:r>
        <w:t>En suma, el tenor literal de los preceptos de la Ley de régimen jurídico de las Administraciones públicas y del procedimiento administrativo común concernidos acredita inequívocamente que no es condición de la segunda acción, o de regreso, que la acción u omisión dañosa, el dolo, culpa o negligencia graves, potencialmente imputables a un concreto empleado público, fueran objeto de enjuiciamiento, ni de declaración probatoria como causante del perjuicio, en el primer proceso de responsabilidad objetiva de la Administración. En lo referido a ese proceso antecedente únicamente se dispone, y es cuestión bien distinta sin sombra de incertidumbre, que los particulares afectados hayan demandado a la Administración “las indemnizaciones por los daños y perjuicios causados por las autoridades y personal a su servicio” (art. 145.1 LPC); esto es, por el daño objetivo, con el resultado de una reparación económica reconocida.</w:t>
      </w:r>
    </w:p>
    <w:p w:rsidR="00163957" w:rsidRDefault="00163957" w:rsidP="00163957">
      <w:pPr>
        <w:pStyle w:val="TextoNormal"/>
      </w:pPr>
    </w:p>
    <w:p w:rsidR="00163957" w:rsidRDefault="00163957" w:rsidP="00163957">
      <w:pPr>
        <w:pStyle w:val="TextoNormal"/>
      </w:pPr>
      <w:r>
        <w:t xml:space="preserve">Esto así, conforme a una lectura sistemática de la regulación legal, la tutela propia del derecho a no sufrir indefensión impone de manera natural la siguiente conclusión: los razonamientos que pueda contener la fundamentación jurídica de la Sentencia del primer proceso (responsabilidad objetiva de la Administración) o las afirmaciones de la resultancia fáctica derivadas de la prueba practicada que puedan referirse a la responsabilidad subjetiva de autoridades o personal de la Administración, si se hubiera llegado a formular o desplegar con ocasión del examen el daño objetivo aducido, no podrán acarrear en ninguna circunstancia, en tanto que no constituyen el objeto del proceso de responsabilidad objetiva, un efecto positivo de cosa juzgada material en los procedimientos ulteriores que enjuicien la responsabilidad subjetiva de los empleados públicos. O por expresar la idea en palabras de nuestra jurisprudencia: no se produce un efecto de predeterminación o vinculación conforme al cual el Juez posterior haya de partir necesariamente de la previa declaración judicial firme, cuando tenga que decidir sobre una pretensión de la que sea elemento prejudicial </w:t>
      </w:r>
      <w:r>
        <w:lastRenderedPageBreak/>
        <w:t>lo ya juzgado por aquélla, ni tampoco, por igual razón, el juzgador quedará sujeto a los hechos que hubieran sido declarados probados a la hora de abordar, en el proceso sucesivo, la imputación subjetiva del daño.</w:t>
      </w:r>
    </w:p>
    <w:p w:rsidR="00163957" w:rsidRDefault="00163957" w:rsidP="00163957">
      <w:pPr>
        <w:pStyle w:val="TextoNormal"/>
      </w:pPr>
    </w:p>
    <w:p w:rsidR="00163957" w:rsidRDefault="00163957" w:rsidP="00163957">
      <w:pPr>
        <w:pStyle w:val="TextoNormal"/>
      </w:pPr>
      <w:r>
        <w:t>Ciertamente, no hay determinación clara en la regulación legal en cuanto al cauce a través de cual apreciar la posible concurrencia del dolo, culpa o negligencia graves de autoridades y personal de la Administración. Ante tal silencio, no cabe descartar que la Administración pudiera querer sostener su existencia en lo que pudo razonarse o probarse en el proceso de responsabilidad objetiva. Pero incluso si fuera de ese modo, convirtiendo aquellas declaraciones en el soporte aducido para dinamizar el procedimiento del art. 145 LPC, tal circunstancia no permitiría soslayar que el primer proceso no sustanció responsabilidad subjetiva alguna que opere con el efecto positivo de la cosa juzgada material. Prueba de ello es el propio procedimiento que regula el art. 21 del Real Decreto 429/1993, de 26 de marzo, en desarrollo del art. 145.2 LPC; trámite y garantías que carecerían de sentido si existiera predeterminación fáctica o vinculación jurídica, desde un prisma de imputación subjetiva, a lo declarado, en su caso, por la Sentencia que juzgo la responsabilidad objetiva de la Administración.</w:t>
      </w:r>
    </w:p>
    <w:p w:rsidR="00163957" w:rsidRDefault="00163957" w:rsidP="00163957">
      <w:pPr>
        <w:pStyle w:val="TextoNormal"/>
      </w:pPr>
    </w:p>
    <w:p w:rsidR="00163957" w:rsidRDefault="00163957" w:rsidP="00163957">
      <w:pPr>
        <w:pStyle w:val="TextoNormal"/>
      </w:pPr>
      <w:r>
        <w:t>De acuerdo con esa conclusión, no causaron indefensión las resoluciones impugnadas que apreciaron la falta de legitimación del demandante de amparo para ser parte en el proceso de responsabilidad objetiva de la Administración por ausencia de interés legítimo, toda vez que la declaración de responsabilidad de la Administración no comporta, automáticamente, beneficio o perjuicio alguno en su esfera jurídica. Será en un momento posterior, en el del ejercicio de la acción de regreso (iniciada en este caso según consta en la documentación aportada en la demanda de amparo) o en el de la eventual incoación de un expediente sancionador, donde el demandante podrá formular alegaciones, proponer y practicar la prueba admitida y, en su caso, recurrir en la vía jurisdiccional contencioso-administrativa la resolución definitiva y firme que se dicte, manteniéndose así indemnes sus posibilidades de defensa.</w:t>
      </w:r>
    </w:p>
    <w:p w:rsidR="00163957" w:rsidRDefault="00163957" w:rsidP="00163957">
      <w:pPr>
        <w:pStyle w:val="TextoNormal"/>
      </w:pPr>
    </w:p>
    <w:p w:rsidR="00163957" w:rsidRDefault="00163957" w:rsidP="00163957">
      <w:pPr>
        <w:pStyle w:val="TextoNormal"/>
      </w:pPr>
      <w:r>
        <w:t>Descartada, pues, la lesión del derecho fundamental denunciada en esta sede constitucional, procede desestimar el amparo solicitado.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amparo interpuesto por don Pere Nolla.</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uno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9" w:name="SENTENCIA_2016_16"/>
      <w:r>
        <w:lastRenderedPageBreak/>
        <w:t>SENTENCIA 16/2016, de 1 de febrero de 2016</w:t>
      </w:r>
    </w:p>
    <w:bookmarkEnd w:id="19"/>
    <w:p w:rsidR="00163957" w:rsidRDefault="00163957" w:rsidP="00163957">
      <w:pPr>
        <w:pStyle w:val="TtuloResolucin"/>
      </w:pPr>
      <w:r>
        <w:t>Sala Segunda</w:t>
      </w:r>
    </w:p>
    <w:p w:rsidR="00163957" w:rsidRDefault="00163957" w:rsidP="00163957">
      <w:pPr>
        <w:pStyle w:val="TtuloBOE"/>
      </w:pPr>
      <w:r>
        <w:t>(BOE núm. 57, de 7 de marzo de 2016)</w:t>
      </w:r>
    </w:p>
    <w:p w:rsidR="00163957" w:rsidRDefault="00163957" w:rsidP="00163957">
      <w:pPr>
        <w:pStyle w:val="TextoNormalCentrado"/>
      </w:pPr>
      <w:r>
        <w:t>ECLI:ES:TC:2016:16</w:t>
      </w:r>
    </w:p>
    <w:p w:rsidR="00163957" w:rsidRDefault="00163957" w:rsidP="00163957">
      <w:pPr>
        <w:pStyle w:val="TextoNormalCentrado"/>
      </w:pPr>
    </w:p>
    <w:p w:rsidR="00163957" w:rsidRDefault="00163957" w:rsidP="00163957">
      <w:pPr>
        <w:pStyle w:val="SntesisDescriptiva"/>
      </w:pPr>
      <w:r>
        <w:t>Recurso de amparo 2937-2015. Promovido por doña D.V.D., en relación con las resoluciones de la Audiencia Provincial de Madrid y de un Juzgado de Violencia contra la Mujer dictadas en autos de sustracción internacional de menores.</w:t>
      </w:r>
    </w:p>
    <w:p w:rsidR="00163957" w:rsidRDefault="00163957" w:rsidP="00163957">
      <w:pPr>
        <w:pStyle w:val="SntesisDescriptiva"/>
      </w:pPr>
    </w:p>
    <w:p w:rsidR="00163957" w:rsidRDefault="00163957" w:rsidP="00163957">
      <w:pPr>
        <w:pStyle w:val="SntesisAnaltica"/>
      </w:pPr>
      <w:r>
        <w:t>Vulneración del derecho a la tutela judicial efectiva (resolución fundada en Derecho): resoluciones judiciales que acuerdan la restitución de una menor con su padre, residente en Suiza, carentes de ponderación de la situación actual de la menor en la determinación de su interés superior.</w:t>
      </w:r>
    </w:p>
    <w:p w:rsidR="00163957" w:rsidRDefault="00163957" w:rsidP="00163957">
      <w:pPr>
        <w:pStyle w:val="SntesisAnaltica"/>
      </w:pPr>
    </w:p>
    <w:p w:rsidR="00163957" w:rsidRDefault="00163957" w:rsidP="00163957">
      <w:pPr>
        <w:pStyle w:val="Extracto"/>
      </w:pPr>
      <w:r>
        <w:t>1.</w:t>
      </w:r>
      <w:r>
        <w:tab/>
        <w:t>Conforme a las exigencias derivadas del derecho al respeto a la vida privada y familiar, se vulnera el derecho fundamental de la demandante en amparo a la tutela judicial efectiva sin indefensión [FJ 10].</w:t>
      </w:r>
    </w:p>
    <w:p w:rsidR="00163957" w:rsidRDefault="00163957" w:rsidP="00163957">
      <w:pPr>
        <w:pStyle w:val="Extracto"/>
      </w:pPr>
    </w:p>
    <w:p w:rsidR="00163957" w:rsidRDefault="00163957" w:rsidP="00163957">
      <w:pPr>
        <w:pStyle w:val="Extracto"/>
      </w:pPr>
      <w:r>
        <w:t>2.</w:t>
      </w:r>
      <w:r>
        <w:tab/>
        <w:t>A fin de hacer efectivo el principio de superior interés de la menor, es valorable que, en los casi veinte meses trascurridos desde los hechos hasta la finalización del procedimiento, debido a su corta edad ha podido integrarse plenamente en su nuevo medio [FJ 10].</w:t>
      </w:r>
    </w:p>
    <w:p w:rsidR="00163957" w:rsidRDefault="00163957" w:rsidP="00163957">
      <w:pPr>
        <w:pStyle w:val="Extracto"/>
      </w:pPr>
    </w:p>
    <w:p w:rsidR="00163957" w:rsidRDefault="00163957" w:rsidP="00163957">
      <w:pPr>
        <w:pStyle w:val="Extracto"/>
      </w:pPr>
      <w:r>
        <w:t>3.</w:t>
      </w:r>
      <w:r>
        <w:tab/>
        <w:t>La resolución impugnada carece de motivación suficiente, pues no ha ponderado el conjunto de circunstancias como la edad, el entorno y la convivencia habitual de la niña, cuya valoración era necesaria por exigencia del principio del interés superior del menor [FJ 10].</w:t>
      </w:r>
    </w:p>
    <w:p w:rsidR="00163957" w:rsidRDefault="00163957" w:rsidP="00163957">
      <w:pPr>
        <w:pStyle w:val="Extracto"/>
      </w:pPr>
    </w:p>
    <w:p w:rsidR="00163957" w:rsidRDefault="00163957" w:rsidP="00163957">
      <w:pPr>
        <w:pStyle w:val="Extracto"/>
      </w:pPr>
      <w:r>
        <w:t>4.</w:t>
      </w:r>
      <w:r>
        <w:tab/>
        <w:t>Cuando la resolución judicial controvertida afecta a un menor, la adecuación constitucional de la motivación debe evaluarse en función del principio del interés superior del menor que proclama la Convención de las Naciones Unidas sobre los derechos del niño [FJ 6].</w:t>
      </w:r>
    </w:p>
    <w:p w:rsidR="00163957" w:rsidRDefault="00163957" w:rsidP="00163957">
      <w:pPr>
        <w:pStyle w:val="Extracto"/>
      </w:pPr>
    </w:p>
    <w:p w:rsidR="00163957" w:rsidRDefault="00163957" w:rsidP="00163957">
      <w:pPr>
        <w:pStyle w:val="Extracto"/>
      </w:pPr>
      <w:r>
        <w:t>5.</w:t>
      </w:r>
      <w:r>
        <w:tab/>
        <w:t>Doctrina sobre el derecho fundamental a la tutela judicial efectiva en la vertiente del derecho a una resolución judicial motivada y fundada en derecho (SSTC 147/1999 y 276/2006) [FJ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el recurso de amparo núm. 2937-2015, promovido por doña D.V.D., representada por la Procuradora de los Tribunales doña Celia Fernández Redondo y asistida por el Abogado don Juan Ramón Montero Estévez, contra el Auto de la Audiencia Provincial de Madrid (Sección Vigésima Segunda) de 31 de marzo de 2015, recaído en recurso de apelación núm. 960-2014, y el Auto de la misma Sección de 13 de abril de 2015, que deniega aclaración contra el Auto del Juzgado de Violencia contra la Mujer núm. 11 de Madrid, de 14 de abril de 2014, en autos de sustracción internacional de menores 1-2013. Ha intervenido el Ministerio Fiscal. Ha comparecido don Ph.K., representado por la Procuradora de los Tribunales doña Margarita López Jiménez y asistido por el Abogado don Adolfo Alonso Carvajal. Ha sido Ponente don Juan José González Rivas,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22 de mayo de 2015, la Procuradora de los Tribunales doña Celia Fernández Redondo, en nombre y representación de doña D.V.D., interpuso recurso de amparo contra las resoluciones judiciales que se citan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en los que tiene su origen el presente recurso y relevantes para su resolución son, sucintamente expuestos, los siguientes:</w:t>
      </w:r>
    </w:p>
    <w:p w:rsidR="00163957" w:rsidRDefault="00163957" w:rsidP="00163957">
      <w:pPr>
        <w:pStyle w:val="TextoNormal"/>
      </w:pPr>
    </w:p>
    <w:p w:rsidR="00163957" w:rsidRDefault="00163957" w:rsidP="00163957">
      <w:pPr>
        <w:pStyle w:val="TextoNormal"/>
      </w:pPr>
      <w:r>
        <w:t>a) El 7 de noviembre de 2013 el padre de la menor O.K.V. promovió expediente de sustracción internacional de menores para la restitución de la menor a Suiza. La menor, que había nacido el 17 de diciembre de 2009, había sido desplazada a España por la madre en agosto de 2013. Ante la oposición de la madre, el expediente se hizo contencioso y se remitió a los trámites del juicio verbal ante el Juzgado de Primera Instancia núm. 29 de Madrid. Planteada cuestión de competencia objetiva, el Juzgado de Primera Instancia se inhibió en favor del Juzgado de Violencia sobre la Mujer núm. 11 de Madrid donde se siguió el procedimiento, autos de sustracción internacional de menores 1-2013.</w:t>
      </w:r>
    </w:p>
    <w:p w:rsidR="00163957" w:rsidRDefault="00163957" w:rsidP="00163957">
      <w:pPr>
        <w:pStyle w:val="TextoNormal"/>
      </w:pPr>
    </w:p>
    <w:p w:rsidR="00163957" w:rsidRDefault="00163957" w:rsidP="00163957">
      <w:pPr>
        <w:pStyle w:val="TextoNormal"/>
      </w:pPr>
      <w:r>
        <w:t>b) Por Auto del Juzgado de Violencia sobre la Mujer núm. 11 de Madrid, de 14 de abril de 2014, se desestimó la solicitud de restitución. El Auto, en aplicación del Convenio de La Haya de 25 de octubre de 1980, sobre los aspectos civiles de la sustracción internacional de menores, considera incuestionable que la menor tenía su residencia habitual en Suiza, donde convivía con sus padres, establece que se ha producido un traslado ilícito en los términos del convenio, descarta la concurrencia de la excepción prevista en el art. 13 a), esto es, consentimiento o aceptación del traslado o retención, y estima la excepción prevista en el art. 13 b), de conformidad con el cual, la autoridad del Estado requerido no está obligada a ordenar la restitución del menor si “existe un grave riesgo de que la restitución del menor lo exponga a un peligro físico o psíquico o de cualquier otra manera ponga al menor en una situación intolerable”.</w:t>
      </w:r>
    </w:p>
    <w:p w:rsidR="00163957" w:rsidRDefault="00163957" w:rsidP="00163957">
      <w:pPr>
        <w:pStyle w:val="TextoNormal"/>
      </w:pPr>
    </w:p>
    <w:p w:rsidR="00163957" w:rsidRDefault="00163957" w:rsidP="00163957">
      <w:pPr>
        <w:pStyle w:val="TextoNormal"/>
      </w:pPr>
      <w:r>
        <w:t xml:space="preserve">En síntesis, el Juzgado valora las denuncias formuladas por la madre contra el padre por violencia de género, tanto en España como en Suiza, y, toma particularmente en consideración “que, al ser preguntado por los sucesos inmediatamente anteriores al traslado de su </w:t>
      </w:r>
      <w:r>
        <w:lastRenderedPageBreak/>
        <w:t>hija, el Sr. K., en su declaración prestada el 17 de septiembre ante la policía de Neuchatel —poco después de acordarse las medidas provisionalísimas impuestas en Suiza y antes de la promoción de este expediente en España— admitió haber arrancado las gafas de su compañera y haberlas tirado al suelo, provocándole una rozadura en la nariz” (FJ 3). A ello anuda el Juzgado que “no es razonable desvincular la actual estancia de la niña en España de las poderosas razones que llevaron a su madre en agosto de 2013 a desplazarse hasta este país y renunciar a regresar a Suiza tras las vacaciones”, para finalmente invocar el interés superior del menor y concluir en el riesgo de acceder a la restitución antes de que los tribunales penales se pronuncien sobre la cuestión.</w:t>
      </w:r>
    </w:p>
    <w:p w:rsidR="00163957" w:rsidRDefault="00163957" w:rsidP="00163957">
      <w:pPr>
        <w:pStyle w:val="TextoNormal"/>
      </w:pPr>
    </w:p>
    <w:p w:rsidR="00163957" w:rsidRDefault="00163957" w:rsidP="00163957">
      <w:pPr>
        <w:pStyle w:val="TextoNormal"/>
      </w:pPr>
      <w:r>
        <w:t>c) El padre de la menor interpuso recurso de apelación, que se siguió ante la Audiencia Provincial de Madrid (Sección Vigésima Segunda), rollo 960-2014. Se pedía la declaración de nulidad del Auto de 14 de abril de 2014 y, como consecuencia, también la nulidad de un Auto de 3 de marzo de 2014, de denegación de la declinatoria de jurisdicción, pendiente de queja, ambos del Juzgado de Violencia núm. 11 de Madrid y, subsidiariamente, la revocación del Auto de 14 de abril de 2014 en cuanto al fondo, en el sentido de acordar la restitución. El recurso fue estimado por Auto de la Audiencia Provincial de Madrid (Sección Vigésima Segunda) de 31 de marzo de 2015.</w:t>
      </w:r>
    </w:p>
    <w:p w:rsidR="00163957" w:rsidRDefault="00163957" w:rsidP="00163957">
      <w:pPr>
        <w:pStyle w:val="TextoNormal"/>
      </w:pPr>
    </w:p>
    <w:p w:rsidR="00163957" w:rsidRDefault="00163957" w:rsidP="00163957">
      <w:pPr>
        <w:pStyle w:val="TextoNormal"/>
      </w:pPr>
      <w:r>
        <w:t>El Auto de la Audiencia refiere el conjunto de procedimientos seguidos en España y Suiza en que se enmarca el proceso de restitución y descarta de forma motivada la nulidad. Respecto a la nulidad del Auto de 3 de marzo que se solicita, el Auto aclara que el objeto de la apelación es el Auto del Juzgado de 14 de abril de 2014 que resuelve exclusivamente desestimar la solicitud de retorno de la menor, sin acordar pronunciamiento sobre jurisdicción y competencia y confirma de forma motivada la competencia del Juzgado de Violencia núm. 11 de Madrid.</w:t>
      </w:r>
    </w:p>
    <w:p w:rsidR="00163957" w:rsidRDefault="00163957" w:rsidP="00163957">
      <w:pPr>
        <w:pStyle w:val="TextoNormal"/>
      </w:pPr>
    </w:p>
    <w:p w:rsidR="00163957" w:rsidRDefault="00163957" w:rsidP="00163957">
      <w:pPr>
        <w:pStyle w:val="TextoNormal"/>
      </w:pPr>
      <w:r>
        <w:t>Una síntesis de los criterios esenciales de esta resolución pueden concretarse del siguiente modo:</w:t>
      </w:r>
    </w:p>
    <w:p w:rsidR="00163957" w:rsidRDefault="00163957" w:rsidP="00163957">
      <w:pPr>
        <w:pStyle w:val="TextoNormal"/>
      </w:pPr>
    </w:p>
    <w:p w:rsidR="00163957" w:rsidRDefault="00163957" w:rsidP="00163957">
      <w:pPr>
        <w:pStyle w:val="TextoNormal"/>
      </w:pPr>
      <w:r>
        <w:t>1. El Auto analiza la cuestión central, esto es, la decisión relativa a la solicitud de restitución de la menor al amparo del Convenio de La Haya de 1980 y reproduce los arts. 1, 3, 4 y 5 del Convenio, señalando literalmente: “Acorde con todo ello para el caso de que se produzca aquella previsión legal del traslado o retención así definida en el Convenio como ilícita el art. 12 estipula que: ‘Cuando un menor haya sido trasladado o retenido ilícitamente en el sentido previsto en el artículo 3 y, en la fecha de la iniciación del procedimiento ante la autoridad judicial o administrativa del Estado contratante donde se halle el menor, hubiera transcurrido un periodo inferior a un año desde el momento en que se produjo el traslado o retención ilícitos, la autoridad competente ordenará la restitución inmediata del menor. La autoridad judicial o administrativa, aún en el caso de que se hubieren iniciado los procedimientos después de la expiración del plazo de un año a que se hace referencia en el párrafo precedente, ordenará asimismo la restitución del menor salvo que quede demostrado que el menor ha quedado integrado en su nuevo ambiente. Cuando la autoridad judicial o administrativa del Estado requerido tenga razones para creer que el menor ha sido trasladado a otro Estado, podrá suspender el procedimiento o rechazar la solicitud de retorno del menor’.” Y ello, sin embargo, con las excepciones que se contemplan en el siguiente precepto al descartar que “no obstante lo dispuesto en el artículo precedente, la autoridad judicial o admi</w:t>
      </w:r>
      <w:r>
        <w:lastRenderedPageBreak/>
        <w:t>nistrativa del Estado requerido no está obligada a ordenar la restitución del menor si la persona, institución u otro organismo que se opone a su restitución demuestra que: a) la persona, institución u organismo que se hubiera hecho cargo de la persona del menor no ejercía de modo efectivo el derecho de custodia en el momento en que fue trasladado o retenido o había consentido o posteriormente aceptado el traslado o retención; o, b) existe un grave riesgo de que la restitución del menor lo exponga a un peligro grave físico o psíquico o que de cualquier otra manera ponga al menor en una situación intolerable. La autoridad judicial o administrativa podrá asimismo negarse a ordenar la restitución del menor si comprueba que el propio menor se opone a la restitución, cuando el menor haya alcanzado una edad y un grado de madurez en que resulte apropiado tener en cuenta sus opiniones. Al examinar las circunstancias a que se hace referencia en el presente artículo, las autoridades judiciales y administrativas tendrán en cuenta la información que sobre la situación social del menor proporcione la Autoridad Central u otra autoridad competente del lugar de residencia habitual del menor”. Y para un mayor esclarecimiento de toda la situación fáctica y jurídica que concierne y afecta al menor y dada la concreta y precisa finalidad del procedimiento que nos ocupa el art. 14, permite que: “Para determinar la existencia de un traslado o de una retención ilícitos en el sentido del artículo 3, las autoridades judiciales o administrativas del Estado requerido podrá tener en cuenta directamente la legislación y las decisiones judiciales o administrativas, ya estén reconocidas formalmente o no en el Estado de la residencia habitual del menor, sin tener que recurrir a procedimientos concretos para probar la vigencia de esa legislación o para el reconocimiento de las decisiones extranjeras que de lo contrario serían aplicables”. Y por último y como no podía ser de otra forma el art. 19 concluye que “una decisión adoptada en el marco del presente Convenio sobre la restitución del menor no afectará a la cuestión de fondo del derecho de custodia” (FJ 3).</w:t>
      </w:r>
    </w:p>
    <w:p w:rsidR="00163957" w:rsidRDefault="00163957" w:rsidP="00163957">
      <w:pPr>
        <w:pStyle w:val="TextoNormal"/>
      </w:pPr>
    </w:p>
    <w:p w:rsidR="00163957" w:rsidRDefault="00163957" w:rsidP="00163957">
      <w:pPr>
        <w:pStyle w:val="TextoNormal"/>
      </w:pPr>
      <w:r>
        <w:t xml:space="preserve">2. El Auto confirma la existencia de un traslado ilícito y la ausencia de consentimiento al traslado en los términos del Convenio, si bien, en contra de lo concluido por el Juzgado, descarta la concurrencia en el caso de la excepción del art. 13 b) del Convenio en el fundamento jurídico 6, al subrayar: “Y resta por examinar la segunda de las excepciones reguladas que concierne a la existencia de riesgo de peligro alguno para la menor o la posibilidad de ponerla en situación intolerable, excepción habilitante que finalmente se acoge en el auto recurrido que bajo la premisa de no entremezclar los procedimientos penales con el objeto litigioso que nos ocupa —lo que ya se apunta en la vista oral— para salvaguardar la integridad psíquica de la menor estima finalmente la existencia de esta excepción, señalando, sin embargo, como conclusión, que el desplazamiento de la menor pudo estar motivado por la necesidad defensiva de poner fin a una supuesta actividad delictiva imputable al solicitante de la restitución que, en caso de haberse producido, habría sido gravemente perjudicial para la menor durante una etapa crucial de su formación… Y es que, en definitiva, solamente en el rastreo de la abundante y prolija documentación cabe averiguar y finalmente detectar —y sin que ello, en modo alguno signifique prejuzgar cuestiones ajenas a esta jurisdicción que no son de nuestra competencia valorar— la posible existencia de ese grave riesgo de que la restitución de O. la exponga a un peligro físico o psíquico o de cualquier otra manera ponga al menor en una situación intolerable” tal y como establece la excepción del convenio. Y en este sentido el examen de cuanto se ha actuado, conforme a la exigencias del artículo 217 de la LEC, no permite concluir en la forma razonada en el auto apelado por cuanto los numerosos datos, informaciones, dictámenes, declaraciones, en definitiva, confusos, contradictorios en alcance y contenido —por lo que ahora importa y solo a los efectos </w:t>
      </w:r>
      <w:r>
        <w:lastRenderedPageBreak/>
        <w:t>que nos ocupan— no evidencian la existencia del riesgo al que se alude en el citado precepto.</w:t>
      </w:r>
    </w:p>
    <w:p w:rsidR="00163957" w:rsidRDefault="00163957" w:rsidP="00163957">
      <w:pPr>
        <w:pStyle w:val="TextoNormal"/>
      </w:pPr>
    </w:p>
    <w:p w:rsidR="00163957" w:rsidRDefault="00163957" w:rsidP="00163957">
      <w:pPr>
        <w:pStyle w:val="TextoNormal"/>
      </w:pPr>
      <w:r>
        <w:t>3. El Auto procede a comprobar en la documentación la eventualidad de aquella situación y repasa el caudal probatorio: el documento relativo al altercado ocurrido el 3 de agosto de 2013 en Grecia, en el que la apelada pone de manifiesto que fue el padre del apelante el que le agredió y amenazó y que el apelante se negó a entregar el pasaporte de la hija, que se verbaliza agresión por el apelante en el parte médico del Aeropuerto de Madrid-Barajas, donde se denuncian amenazas por su pareja; la exploración clínica al efecto y el parte del servicio de urgencias del Hospital Gregorio Marañón, ambos de 4 de agosto de 2014, cuyo contenido se recoge, todo lo cual avala una situación de alerta, infiriéndose asimismo una actitud vigilante o de atención y significándose que el informe médico refleja “los datos ofrecidos por la usuaria, y, en ningún caso, constituyen un peritaje forense”; el certificado médico relativo al padre, que reseña tratamiento por ansiedad debido a la pérdida de todo contacto con su hija y en el que el médico concluye que no “debe confundirse con el tratamiento de una eventual propensión a la violencia conyugal, sobre la cual no encontré ningún indicio durante nuestras entrevistas”. Sigue el informe de urgencias del SAR de Cercedilla en el que se refiere ya una agresión física por su marido y suegro, la denuncia ante la policía el 4 de agosto en que relata que su pareja “le arranca de manera agresiva el teléfono de la oreja... propinando un golpe fuertemente en el rostro a la altura del ojo izquierdo arrancándole las gafas de sol que porta”, y que en el informe forense del Juzgado de Violencia núm. 11 se relata que “su pareja la agrede mediante la sujeción por el brazo izquierdo y al ir a quitarle las gafas la araña en la cara”. “Y en este mismo orden de cosas”, la declaración prestada por el interesado ante las autoridades suizas en que manifestó que cuando le contestó doña D. con quien hablaba “entonces tuve un gesto y le arranqué las gafas y las tiré al suelo. Tuvo en esta ocasión una rozadura en la nariz. No puedo explicar por qué elegí las gafas, no lo sé. Fue un gesto reflejo. Estaba preso de una fuerte emoción. D. se envalentó y llamó a la policía” y precisa que la niña es la primera vez que había sido testigo de tensiones entre ellos.</w:t>
      </w:r>
    </w:p>
    <w:p w:rsidR="00163957" w:rsidRDefault="00163957" w:rsidP="00163957">
      <w:pPr>
        <w:pStyle w:val="TextoNormal"/>
      </w:pPr>
    </w:p>
    <w:p w:rsidR="00163957" w:rsidRDefault="00163957" w:rsidP="00163957">
      <w:pPr>
        <w:pStyle w:val="TextoNormal"/>
      </w:pPr>
      <w:r>
        <w:t>4. El Auto reconoce que se activó el protocolo de violencia de género, que incoadas diligencias previas ante el Juzgado de Violencia núm. 11 por denunciados malos tratos durante la larga convivencia de la pareja la propia interesada alegó su falta de denuncia previa, que el Juzgado rechazó la adopción de medidas de protección por “indicios todavía muy débiles pudiendo investigar solo los hechos ocurridos en Maspalomas en el año 2011”, que en Auto del Juzgado de Violencia núm. 11 de 9 de diciembre de 2012 sobre la misma cuestión se refieren “motivaciones espurias o, como mínimo, demasiados vinculadas a la problemática civil de fondo, sobre todo cuando se detecta que esa contienda ha podido actuar como factor desencadenante de los sucesos que dan lugar a la denuncia” y se refiere al Auto de 5 de agosto de 2013, confirmado por la Audiencia Provincial de Madrid en auto de 7 de octubre de 2013 en el que se concluye que “no existen elementos probatorios que permitan inferir la existencia de la situación objetiva de riesgo para la recurrente —quien había instado la adopción de orden de protección— ni y por lo que ahora importa para su hija menor”.</w:t>
      </w:r>
    </w:p>
    <w:p w:rsidR="00163957" w:rsidRDefault="00163957" w:rsidP="00163957">
      <w:pPr>
        <w:pStyle w:val="TextoNormal"/>
      </w:pPr>
    </w:p>
    <w:p w:rsidR="00163957" w:rsidRDefault="00163957" w:rsidP="00163957">
      <w:pPr>
        <w:pStyle w:val="TextoNormal"/>
      </w:pPr>
      <w:r>
        <w:t xml:space="preserve">5. La fundamentación concluye: “De todo ello la Sala —y solo a los fines que ahora nos ocupan— no puede vislumbrar la situación de riesgo que se menciona en el precepto, debiendo adoptar medidas para proteger al menor, en el plano internacional, de los efectos </w:t>
      </w:r>
      <w:r>
        <w:lastRenderedPageBreak/>
        <w:t>perjudiciales que podría ocasionarle un traslado o una retención ilícita procediendo establecer los mecanismos que permitan garantizar la restitución del menor al Estado en que tenga su residencia habitual. Como conclusión de todo ello se significa que ha quedado acreditado el hecho de la retención ilícita, dado que el padre jamás consintió el traslado de la niña en calidad de cotitular de la patria potestad, y a la que no ha vuelto a ver desde hace varios meses, hecho incuestionable cuya modificación, ha de acordarse debiendo de estarse al interés superior de la menor, interés que constituye el principio base de todo el derecho relativo a los mismos, y que se ha conformado como uno de los principios esenciales del derecho moderno de la persona y de la familia, como se desprende, entre otras normativas, de la LO 1/1996, del 15 de enero, y de la Convención sobre los Derechos del Niño hecha en Nueva York el 20-11-1989 (BOE núm. 313 de 31 de diciembre de 1990), en vigor para España desde el 5 de enero de 1991. Por todo cuanto se ha razonado y sin que tales pronunciamientos alcancen a otros procedimientos ajenos a esta jurisdicción recordando, en todo caso los contenidos de los artículos 16 y 17 del Convenio de La Haya, procede estimar la solicitud formulada por D. Ph.K. y en consecuencia se ordenará la restitución inmediata de la menor O.K.V. a Suiza, a su residencia habitual, en el domicilio paterno”.</w:t>
      </w:r>
    </w:p>
    <w:p w:rsidR="00163957" w:rsidRDefault="00163957" w:rsidP="00163957">
      <w:pPr>
        <w:pStyle w:val="TextoNormal"/>
      </w:pPr>
    </w:p>
    <w:p w:rsidR="00163957" w:rsidRDefault="00163957" w:rsidP="00163957">
      <w:pPr>
        <w:pStyle w:val="TextoNormal"/>
      </w:pPr>
      <w:r>
        <w:t>Como consecuencia de la estimación del recurso de apelación la Audiencia deja sin efecto la prohibición de salida del territorio español de la menor acordada en Auto de 15 de abril de 2014 por el Juzgado de Violencia sobre la Mujer núm. 11 de Madrid en autos de medidas provisionales previas 1-2014.</w:t>
      </w:r>
    </w:p>
    <w:p w:rsidR="00163957" w:rsidRDefault="00163957" w:rsidP="00163957">
      <w:pPr>
        <w:pStyle w:val="TextoNormal"/>
      </w:pPr>
    </w:p>
    <w:p w:rsidR="00163957" w:rsidRDefault="00163957" w:rsidP="00163957">
      <w:pPr>
        <w:pStyle w:val="TextoNormal"/>
      </w:pPr>
      <w:r>
        <w:t>d) Ambas partes solicitaron aclaración, que fueron desestimadas por Auto de la Audiencia Provincial de Madrid (Sección Vigésima Segunda) de 13 de abril de 2015.</w:t>
      </w:r>
    </w:p>
    <w:p w:rsidR="00163957" w:rsidRDefault="00163957" w:rsidP="00163957">
      <w:pPr>
        <w:pStyle w:val="TextoNormal"/>
      </w:pPr>
    </w:p>
    <w:p w:rsidR="00163957" w:rsidRDefault="00163957" w:rsidP="00163957">
      <w:pPr>
        <w:pStyle w:val="TextoNormal"/>
      </w:pPr>
      <w:r>
        <w:t>e) La madre de la menor formuló incidente extraordinario de nulidad de actuaciones, con invocación de vulneración del derecho fundamental a la tutela judicial efectiva sin indefensión (art. 24.1 CE). El incidente fue inadmitido por providencia de la Audiencia Provincial de Madrid (Sección Vigésima Segunda) de 21 de mayo de 2015, porque las cuestiones suscitadas pretendían en realidad una revisión y nueva valoración de lo razonado en el Auto de 31 de marzo de 2015.</w:t>
      </w:r>
    </w:p>
    <w:p w:rsidR="00163957" w:rsidRDefault="00163957" w:rsidP="00163957">
      <w:pPr>
        <w:pStyle w:val="TextoNormal"/>
      </w:pPr>
    </w:p>
    <w:p w:rsidR="00163957" w:rsidRDefault="00163957" w:rsidP="00163957">
      <w:pPr>
        <w:pStyle w:val="TextoNormal"/>
      </w:pPr>
      <w:r>
        <w:t>f) El procedimiento de sustracción internacional de menores 1-2013 seguido ante el Juzgado de Violencia contra la Mujer núm. 11 de Madrid se encuadra en un entramado de procedimientos subsiguientes a la sustracción, que pueden concretarse del siguiente modo:</w:t>
      </w:r>
    </w:p>
    <w:p w:rsidR="00163957" w:rsidRDefault="00163957" w:rsidP="00163957">
      <w:pPr>
        <w:pStyle w:val="TextoNormal"/>
      </w:pPr>
    </w:p>
    <w:p w:rsidR="00163957" w:rsidRDefault="00163957" w:rsidP="00163957">
      <w:pPr>
        <w:pStyle w:val="TextoNormal"/>
      </w:pPr>
      <w:r>
        <w:t>1. En el orden civil, ante los tribunales suizos, procedimiento de medidas previas superprovisionales, resuelto por providencia del Tribunal Regional de las Montañas y Val-de Ruz de 12 de septiembre de 2013, y de medidas provisionales, resuelto por Auto del mismo órgano judicial de 11 de diciembre de 2013, confirmada por resolución del Tribunal Cantonal de Neuchâtel de 10 de febrero de 2014 y finalmente por Sentencia del Tribunal Federal de Laussanne, de 25 de junio de 2014. Estas resoluciones judiciales otorgan la guarda y custodia de la menor al padre.</w:t>
      </w:r>
    </w:p>
    <w:p w:rsidR="00163957" w:rsidRDefault="00163957" w:rsidP="00163957">
      <w:pPr>
        <w:pStyle w:val="TextoNormal"/>
      </w:pPr>
    </w:p>
    <w:p w:rsidR="00163957" w:rsidRDefault="00163957" w:rsidP="00163957">
      <w:pPr>
        <w:pStyle w:val="TextoNormal"/>
      </w:pPr>
      <w:r>
        <w:t xml:space="preserve">2. En el orden civil, ante los tribunales españoles, procedimiento de medidas paternofiliales ante el Juzgado de Violencia sobre la Mujer núm. 11 de Madrid (autos guarda y custodia 5-2014) en el que la demanda fue admitida a trámite por Decreto del Juzgado de 26 de junio de 2014. Esta demanda fue precedida de demanda de medidas provisionales previas </w:t>
      </w:r>
      <w:r>
        <w:lastRenderedPageBreak/>
        <w:t xml:space="preserve">1-2014. En el curso de las medidas provisionales previas se desestimó una declinatoria de jurisdicción planteada por el padre por el Auto de 3 de marzo de 2014, confirmado por Auto de 2 de junio de 2014. También en autos de medidas provisionales 1-2014 se dictó Auto de 15 de abril de 2014 que establece una regulación provisional de los derechos de guarda y alimentos por la que se atribuye la guarda y custodia a la madre, con sujeción a la patria potestad ejercida por ambos progenitores, establece un régimen de visitas para el padre y obligación de alimentos, y prohíbe la salida del territorio nacional de la menor sin consentimiento expreso de ambos progenitores o, en su defecto, sin autorización judicial. Igualmente en el orden civil, ante los tribunales españoles, existe un procedimiento de </w:t>
      </w:r>
      <w:r w:rsidRPr="00163957">
        <w:rPr>
          <w:i/>
        </w:rPr>
        <w:t>exequatur</w:t>
      </w:r>
      <w:r>
        <w:t>, entre otras, de las resoluciones suizas de 12 de septiembre de 2013 y 11 de diciembre de 2013, seguido ante el Juzgado de Primera Instancia núm. 29 de Madrid (autos 911-2013). La solicitud fue desestimada por Auto de 23 de junio de 2014 dictado por dicho Juzgado.</w:t>
      </w:r>
    </w:p>
    <w:p w:rsidR="00163957" w:rsidRDefault="00163957" w:rsidP="00163957">
      <w:pPr>
        <w:pStyle w:val="TextoNormal"/>
      </w:pPr>
    </w:p>
    <w:p w:rsidR="00163957" w:rsidRDefault="00163957" w:rsidP="00163957">
      <w:pPr>
        <w:pStyle w:val="TextoNormal"/>
      </w:pPr>
      <w:r>
        <w:t>3. En lo atinente al orden penal, se han promovido diversos procedimientos, tanto ante los tribunales suizos como ante los tribunales españoles, ya contra el padre, ya contra la madre. Entre ellos, en España, contra don Ph.K. ante el Juzgado de Violencia sobre la Mujer núm. 11 de Madrid (diligencias previas 362-2013). En dichas diligencias se ha aceptado por Auto de 22 de junio de 2015 la inhibición efectuada por Auto del Juzgado mixto núm. 4 de Linares y en precedente Auto de 29 de noviembre de 2013 se han acumulado las diligencias previas núm. 694-2013 procedentes del Juzgado de Violencia de la Mujer núm. 6 de Madrid. En el curso de este procedimiento se denegó a la recurrente la orden de protección solicitada: una primera solicitud, por Auto del Juzgado de 5 de agosto de 2013, confirmado por Auto del Juzgado de 18 de septiembre de 2013 y finalmente por Auto de la Audiencia Provincial de Madrid (Sección Séptima) de 7 de octubre de 2013; también una segunda solicitud, por Auto del Juzgado de 9 de diciembre de 2013.</w:t>
      </w:r>
    </w:p>
    <w:p w:rsidR="00163957" w:rsidRDefault="00163957" w:rsidP="00163957">
      <w:pPr>
        <w:pStyle w:val="TextoNormal"/>
      </w:pPr>
    </w:p>
    <w:p w:rsidR="00163957" w:rsidRDefault="00163957" w:rsidP="00163957">
      <w:pPr>
        <w:pStyle w:val="TextoNormal"/>
      </w:pPr>
      <w:r>
        <w:t>Los tribunales españoles han acotado su conocimiento a los hechos denunciados cometidos en España, con exclusión de los cometidos en Suiza y Grecia, según consta en los Autos del Juzgado de 7 de enero de 2014 y de 24 de febrero de 2014. Inicialmente fueron objeto de un Auto dictado por el Juzgado de Violencia núm. 11 de Madrid que en fecha 30 de septiembre de 2013 decretó el sobreseimiento provisional y procedida la reapertura de las actuaciones en Auto de 27 de noviembre de 2013, penden de conclusión, según providencia de 20 de agosto de 2015.</w:t>
      </w:r>
    </w:p>
    <w:p w:rsidR="00163957" w:rsidRDefault="00163957" w:rsidP="00163957">
      <w:pPr>
        <w:pStyle w:val="TextoNormal"/>
      </w:pPr>
    </w:p>
    <w:p w:rsidR="00163957" w:rsidRDefault="00163957" w:rsidP="00163957">
      <w:pPr>
        <w:pStyle w:val="TextoNormal"/>
      </w:pPr>
      <w:r>
        <w:t>Los hechos ocurridos en Grecia en agosto de 2013 fueron objeto de investigación por los tribunales suizos y así consta en Auto de desestimación de 12 de agosto de 2014.</w:t>
      </w:r>
    </w:p>
    <w:p w:rsidR="00163957" w:rsidRDefault="00163957" w:rsidP="00163957">
      <w:pPr>
        <w:pStyle w:val="TextoNormal"/>
      </w:pPr>
    </w:p>
    <w:p w:rsidR="00163957" w:rsidRDefault="00163957" w:rsidP="00163957">
      <w:pPr>
        <w:pStyle w:val="TextoNormal"/>
      </w:pPr>
      <w:r w:rsidRPr="00163957">
        <w:rPr>
          <w:rStyle w:val="NumeroAFNegritaCaracter"/>
        </w:rPr>
        <w:t>3</w:t>
      </w:r>
      <w:r>
        <w:t>. La parte recurrente fundamenta su demanda de amparo en la vulneración del derecho a la tutela judicial efectiva sin indefensión (art. 24.1 CE) y del derecho a un proceso con todas las garantías (art. 24.2 CE).</w:t>
      </w:r>
    </w:p>
    <w:p w:rsidR="00163957" w:rsidRDefault="00163957" w:rsidP="00163957">
      <w:pPr>
        <w:pStyle w:val="TextoNormal"/>
      </w:pPr>
    </w:p>
    <w:p w:rsidR="00163957" w:rsidRDefault="00163957" w:rsidP="00163957">
      <w:pPr>
        <w:pStyle w:val="TextoNormal"/>
      </w:pPr>
      <w:r>
        <w:t>En relación con la inadmisión del incidente extraordinario de nulidad de actuaciones la parte recurrente denuncia la indebida inadmisión del incidente, sin motivación alguna y sin entrar en las pretensiones deducidas, así como que dicha decisión debió revestir la forma de Auto.</w:t>
      </w:r>
    </w:p>
    <w:p w:rsidR="00163957" w:rsidRDefault="00163957" w:rsidP="00163957">
      <w:pPr>
        <w:pStyle w:val="TextoNormal"/>
      </w:pPr>
    </w:p>
    <w:p w:rsidR="00163957" w:rsidRDefault="00163957" w:rsidP="00163957">
      <w:pPr>
        <w:pStyle w:val="TextoNormal"/>
      </w:pPr>
      <w:r>
        <w:t xml:space="preserve">En relación con la orden de restitución de la menor la recurrente denuncia la vulneración del derecho fundamental a la tutela judicial efectiva sin indefensión (art. 24.1 CE) con cita </w:t>
      </w:r>
      <w:r>
        <w:lastRenderedPageBreak/>
        <w:t>de las vertientes de acceso a la jurisdicción, incongruencia omisiva y derecho a una resolución judicial razonada y fundada en derecho sobre el fondo de las pretensiones. En este sentido alega que el Auto recurrido en amparo acuerda la restitución de la menor en contradicción con el Auto del Juzgado de Violencia contra la Mujer núm. 11, de 15 de abril de 2014, Auto firme que atribuye la guarda y custodia a la madre, y con el Auto de 26 [</w:t>
      </w:r>
      <w:r w:rsidRPr="00163957">
        <w:rPr>
          <w:i/>
        </w:rPr>
        <w:t>sic</w:t>
      </w:r>
      <w:r>
        <w:t xml:space="preserve">] de junio de 2014, que deniega el </w:t>
      </w:r>
      <w:r w:rsidRPr="00163957">
        <w:rPr>
          <w:i/>
        </w:rPr>
        <w:t>exequatur</w:t>
      </w:r>
      <w:r>
        <w:t xml:space="preserve"> de las resoluciones suizas. A ello anuda igualmente la vulneración del principio de seguridad jurídica (art. 9.3 CE).</w:t>
      </w:r>
    </w:p>
    <w:p w:rsidR="00163957" w:rsidRDefault="00163957" w:rsidP="00163957">
      <w:pPr>
        <w:pStyle w:val="TextoNormal"/>
      </w:pPr>
    </w:p>
    <w:p w:rsidR="00163957" w:rsidRDefault="00163957" w:rsidP="00163957">
      <w:pPr>
        <w:pStyle w:val="TextoNormal"/>
      </w:pPr>
      <w:r>
        <w:t>También denuncia que el Auto recurrido no analiza la labor del Juzgado ni la documentación, que incurre en falta de claridad, precisión e incongruencia, y que soslaya el análisis del complejo conjunto procedimental en que se incardina; que la competencia del Juzgado de Violencia no fue cuestionada en la apelación y, sin embargo, el auto recurrido resolvió sobre ello, por lo que incurre en incongruencia; que el Auto descarta la existencia de riesgo para la menor de forma imprecisa, sin concretar los datos en que se basa, para, a continuación, entrar a valorar hechos pendientes ante el Juzgado de Violencia contra la Mujer, cuyas decisiones se cuestionan, que el padre de la menor está imputado, que ha reconocido los malos tratos y que el Auto obvia que la madre tiene la custodia legalmente en España.</w:t>
      </w:r>
    </w:p>
    <w:p w:rsidR="00163957" w:rsidRDefault="00163957" w:rsidP="00163957">
      <w:pPr>
        <w:pStyle w:val="TextoNormal"/>
      </w:pPr>
    </w:p>
    <w:p w:rsidR="00163957" w:rsidRDefault="00163957" w:rsidP="00163957">
      <w:pPr>
        <w:pStyle w:val="TextoNormal"/>
      </w:pPr>
      <w:r>
        <w:t>A continuación, la parte recurrente subraya que la Audiencia confunde la peligrosidad para la madre con la de la niña y sostiene que el hecho de que la orden de protección fuera denegada respecto de la madre no significa que no exista riesgo para la menor.</w:t>
      </w:r>
    </w:p>
    <w:p w:rsidR="00163957" w:rsidRDefault="00163957" w:rsidP="00163957">
      <w:pPr>
        <w:pStyle w:val="TextoNormal"/>
      </w:pPr>
    </w:p>
    <w:p w:rsidR="00163957" w:rsidRDefault="00163957" w:rsidP="00163957">
      <w:pPr>
        <w:pStyle w:val="TextoNormal"/>
      </w:pPr>
      <w:r>
        <w:t>A todo ello anuda “error notorio”, arbitrariedad, motivación insuficiente e incongruencia interna.</w:t>
      </w:r>
    </w:p>
    <w:p w:rsidR="00163957" w:rsidRDefault="00163957" w:rsidP="00163957">
      <w:pPr>
        <w:pStyle w:val="TextoNormal"/>
      </w:pPr>
    </w:p>
    <w:p w:rsidR="00163957" w:rsidRDefault="00163957" w:rsidP="00163957">
      <w:pPr>
        <w:pStyle w:val="TextoNormal"/>
      </w:pPr>
      <w:r>
        <w:t>Finalmente, denuncia la contravención del principio de interés superior del menor, con cita de la Ley Orgánica 1/1996 de 15 de enero de protección jurídica del menor, y de la Convención sobre los derechos del niño, de Naciones Unidas de 20 de noviembre de 1989. Así, argumenta que no se han tenido en cuenta las circunstancias actuales de la menor: su edad, el tiempo que lleva residiendo en España, el cuidado de su madre, arraigo, escolarización, estabilidad, el nacimiento de un hermano en España, que el padre lleva veinte meses sin ver a su hija y la imposibilidad que tendría la madre para ejercer sus derechos inherentes a la patria potestad y régimen de visitas en Suiza (por las resoluciones judiciales dictadas en Suiza en los procesos subsiguientes a la sustracción de la menor por la madre seguidos tanto en el orden civil como penal; procesos en los que dice haber sufrido indefensión).</w:t>
      </w:r>
    </w:p>
    <w:p w:rsidR="00163957" w:rsidRDefault="00163957" w:rsidP="00163957">
      <w:pPr>
        <w:pStyle w:val="TextoNormal"/>
      </w:pPr>
    </w:p>
    <w:p w:rsidR="00163957" w:rsidRDefault="00163957" w:rsidP="00163957">
      <w:pPr>
        <w:pStyle w:val="TextoNormal"/>
      </w:pPr>
      <w:r>
        <w:t>Hay que reseñar que, al referir la especial trascendencia constitucional del recurso, la recurrente invoca “los imperativos que determinan la igualdad ante la ley o en su aplicación” y el derecho fundamental a un proceso con todas las garantías y el derecho a la presunción de inocencia (art. 24.2 CE) “en supuestos de condena en segunda instancia”. Y que en un apartado “Primero. Antecedentes de hecho, conflicto real que se plantea y antecedentes procesales”, además de avanzar otras denuncias, refiere reforma peyorativa, por haberse dejado sin efecto el Auto de 15 de abril de 2014 dictado en otro procedimiento y sin que haya sido interesado por ninguna de las partes.</w:t>
      </w:r>
    </w:p>
    <w:p w:rsidR="00163957" w:rsidRDefault="00163957" w:rsidP="00163957">
      <w:pPr>
        <w:pStyle w:val="TextoNormal"/>
      </w:pPr>
    </w:p>
    <w:p w:rsidR="00163957" w:rsidRDefault="00163957" w:rsidP="00163957">
      <w:pPr>
        <w:pStyle w:val="TextoNormal"/>
      </w:pPr>
      <w:r>
        <w:t xml:space="preserve">Por todo ello, la parte recurrente solicita que se declare que la resolución judicial recurrida y las que traen causa de la misma vulneran los derechos a la tutela judicial efectiva, a la prohibición de indefensión (art. 24.1 CE) y al derecho al proceso con todas las garantías </w:t>
      </w:r>
      <w:r>
        <w:lastRenderedPageBreak/>
        <w:t>(art. 24.2 CE), que se restablezca al demandante de amparo en sus derechos, que se declare la nulidad del Auto de 31 de marzo de 2015 y de cuantas resoluciones traen causa del mismo, y que se retrotraigan las actuaciones al momento previo al dictado del Auto de 31 de marzo de 2015. Mediante otrosí en la propia demanda de amparo se solicitó la suspensión del auto recurrido.</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25 de mayo de 2015, la Sección Tercera de la Sala Segunda de este Tribunal acordó la admisión a trámite de la demanda y, a tenor de lo dispuesto en el art. 51 de la Ley Orgánica del Tribunal Constitucional (LOTC), requerir a la Sección Vigésimo Segunda de la Audiencia Provincial de Madrid para que en plazo de diez días remitiera testimonio de la apelación núm. 960-2014, así como al Juzgado de Violencia sobre la Mujer núm. 11 de Madrid, para que en el mismo plazo remitiera testimonio de las actuaciones correspondientes a los autos núm. 1-2013 (sustracción de menores), interesándose al tiempo que se emplazara a quienes fueron parte en el procedimiento, a excepción de la recurrente en amparo, para que en el plazo de diez días pudieran comparecer en este proceso constitucional. En la misma providencia de 25 de mayo de 2015 se acordó la suspensión cautelar de las resoluciones impugnadas al apreciar la urgencia excepcional a que se refiere el art. 56.6 LOTC, toda vez que dicha ejecución produciría un perjuicio de imposible o muy difícil reparación que haría perder su finalidad al amparo; asimismo, acordó formar la correspondiente pieza separada de suspensión.</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la misma fecha se acordó la apertura de la correspondiente pieza separada para la tramitación del incidente de suspensión, concediéndose un plazo común de tres días a la recurrente y al Ministerio Fiscal para que formularan alegaciones sobre el particular, conforme a lo previsto en el art. 56 LOTC.</w:t>
      </w:r>
    </w:p>
    <w:p w:rsidR="00163957" w:rsidRDefault="00163957" w:rsidP="00163957">
      <w:pPr>
        <w:pStyle w:val="TextoNormal"/>
      </w:pPr>
    </w:p>
    <w:p w:rsidR="00163957" w:rsidRDefault="00163957" w:rsidP="00163957">
      <w:pPr>
        <w:pStyle w:val="TextoNormal"/>
      </w:pPr>
      <w:r>
        <w:t>Por diligencia de ordenación de 11 de junio de 2015 se tuvo por personada a la Procuradora doña Margarita López Jiménez, en nombre y representación de don Ph.K., concediéndose el plazo de tres días para que alegara lo pertinente sobre la suspensión.</w:t>
      </w:r>
    </w:p>
    <w:p w:rsidR="00163957" w:rsidRDefault="00163957" w:rsidP="00163957">
      <w:pPr>
        <w:pStyle w:val="TextoNormal"/>
      </w:pPr>
    </w:p>
    <w:p w:rsidR="00163957" w:rsidRDefault="00163957" w:rsidP="00163957">
      <w:pPr>
        <w:pStyle w:val="TextoNormal"/>
      </w:pPr>
      <w:r>
        <w:t>Evacuados los trámites correspondientes, mediante Auto de 6 de julio de 2015 la Sala Segunda acordó mantener la medida cautelar de suspensión acordada por la providencia de 25 de mayo de 2015, de acuerdo con lo interesado por el Ministerio Fiscal y la recurrente.</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En fecha 6 de julio de 2015 tuvo entrada en este Tribunal escrito de la procuradora doña Margarita López Jiménez, en nombre y representación de don Ph.K., en el que se suplica “me tenga por personado y por contestada la demanda de amparo solicitada, y ya contestada previamente la suspensión del acto recurrido, evacuado en tiempo y forma el trámite de alegaciones sobre la suspensión de la restitución de la menor a Suiza, y acuerde levantar la misma y poner fin a ella, y seguir la ejecución por sus trámites en el momento en que quedaron suspendidos los mismos, y desestimar el recurso de amparo interpuesto por doña D. con expresa imposición de las costas procesales a la demandante”. En el escrito se reproducen los argumentos esgrimidos en la oposición a la suspensión, se establece la frontal discrepancia con las vulneraciones imputadas a la resolución de la Audiencia Provincial de Madrid y se refiere, a su vez, la vulneración de derechos fundamentales del padre y de la menor, con invocación del art. 8 del Convenio europeo para la protección de los derechos </w:t>
      </w:r>
      <w:r>
        <w:lastRenderedPageBreak/>
        <w:t>humanos y de las libertades fundamentales y jurisprudencia del Tribunal Europeo de Derechos Humanos, por el Juzgado de Violencia núm. 11 de Madrid y este Tribunal.</w:t>
      </w:r>
    </w:p>
    <w:p w:rsidR="00163957" w:rsidRDefault="00163957" w:rsidP="00163957">
      <w:pPr>
        <w:pStyle w:val="TextoNormal"/>
      </w:pPr>
    </w:p>
    <w:p w:rsidR="00163957" w:rsidRDefault="00163957" w:rsidP="00163957">
      <w:pPr>
        <w:pStyle w:val="TextoNormal"/>
      </w:pPr>
      <w:r w:rsidRPr="00163957">
        <w:rPr>
          <w:rStyle w:val="NumeroAFNegritaCaracter"/>
        </w:rPr>
        <w:t>7</w:t>
      </w:r>
      <w:r>
        <w:t>. Por diligencia de ordenación de 8 de julio de 2015 del Secretario de Justicia de la Sala Segunda se acordó unir el escrito y documentos de la procuradora doña Margarita López Jiménez, a quien ya se tuvo por personada y parte en nombre y representación de don Ph.K., en diligencia de ordenación de 11 de junio de 2015, y se acordó, a tenor de lo dispuesto en el art. 52 LOTC, dar vista de todas las actuaciones del presente recurso de amparo, por un plazo común de veinte días, al Ministerio Fiscal y a las partes personadas, para que dentro de dicho término pudieran presentar las alegaciones que estimaran pertinentes.</w:t>
      </w:r>
    </w:p>
    <w:p w:rsidR="00163957" w:rsidRDefault="00163957" w:rsidP="00163957">
      <w:pPr>
        <w:pStyle w:val="TextoNormal"/>
      </w:pPr>
    </w:p>
    <w:p w:rsidR="00163957" w:rsidRDefault="00163957" w:rsidP="00163957">
      <w:pPr>
        <w:pStyle w:val="TextoNormal"/>
      </w:pPr>
      <w:r w:rsidRPr="00163957">
        <w:rPr>
          <w:rStyle w:val="NumeroAFNegritaCaracter"/>
        </w:rPr>
        <w:t>8</w:t>
      </w:r>
      <w:r>
        <w:t>. La representación procesal de la demandante de amparo formuló sus alegaciones mediante escrito que tuvo su entrada en el Registro General de este Tribunal el día 8 de septiembre de 2015, en el que se remite a los argumentos expuestos en la demanda y, siguiendo su propia denominación, contesta al escrito de contrario que tuvo entrada en este Tribunal el 6 de julio de 2015.</w:t>
      </w:r>
    </w:p>
    <w:p w:rsidR="00163957" w:rsidRDefault="00163957" w:rsidP="00163957">
      <w:pPr>
        <w:pStyle w:val="TextoNormal"/>
      </w:pPr>
    </w:p>
    <w:p w:rsidR="00163957" w:rsidRDefault="00163957" w:rsidP="00163957">
      <w:pPr>
        <w:pStyle w:val="TextoNormal"/>
      </w:pPr>
      <w:r w:rsidRPr="00163957">
        <w:rPr>
          <w:rStyle w:val="NumeroAFNegritaCaracter"/>
        </w:rPr>
        <w:t>9</w:t>
      </w:r>
      <w:r>
        <w:t>. Por diligencia de ordenación de 22 de septiembre de 2015 se acordó unir el escrito de la Procuradora doña Margarita López Jiménez, en nombre y representación de don Ph.K. Al escrito acompaña carta enviada por el representado directamente.</w:t>
      </w:r>
    </w:p>
    <w:p w:rsidR="00163957" w:rsidRDefault="00163957" w:rsidP="00163957">
      <w:pPr>
        <w:pStyle w:val="TextoNormal"/>
      </w:pPr>
    </w:p>
    <w:p w:rsidR="00163957" w:rsidRDefault="00163957" w:rsidP="00163957">
      <w:pPr>
        <w:pStyle w:val="TextoNormal"/>
      </w:pPr>
      <w:r w:rsidRPr="00163957">
        <w:rPr>
          <w:rStyle w:val="NumeroAFNegritaCaracter"/>
        </w:rPr>
        <w:t>10</w:t>
      </w:r>
      <w:r>
        <w:t>. El Fiscal ante el Tribunal Constitucional presentó sus alegaciones mediante escrito registrado el día 28 de septiembre de 2015, interesando el otorgamiento del amparo por vulneración del derecho a la tutela judicial efectiva sin indefensión (art. 24.1 CE) con declaración de nulidad del Auto de la Audiencia Provincial de Madrid (Sección Vigésima Segunda) de 31 de marzo de 2015 y retroacción de actuaciones al momento inmediatamente anterior al de dictarse, para que se dicte nueva resolución judicial respetuosa con el derecho fundamental.</w:t>
      </w:r>
    </w:p>
    <w:p w:rsidR="00163957" w:rsidRDefault="00163957" w:rsidP="00163957">
      <w:pPr>
        <w:pStyle w:val="TextoNormal"/>
      </w:pPr>
    </w:p>
    <w:p w:rsidR="00163957" w:rsidRDefault="00163957" w:rsidP="00163957">
      <w:pPr>
        <w:pStyle w:val="TextoNormal"/>
      </w:pPr>
      <w:r>
        <w:t>El escrito parte de la necesidad de precisar las resoluciones recurridas, que concreta, no sólo en los Autos de la Audiencia Provincial de Madrid (Sección Vigésima Segunda) de 31 de marzo de 2015 y de 13 de abril de 2015, sino también en la providencia de 21 de mayo de 2015, si bien para afirmar la accesoriedad del Auto de 13 de abril de 2015 y la providencia de 21 de mayo de 2015 respecto del Auto de 31 de marzo de 2015. También aclara que el objeto de la demanda de amparo se constriñe a la vulneración del derecho a la tutela judicial efectiva sin indefensión (art. 24.1 CE) en las vertientes de derecho a una resolución judicial motivada y a una resolución judicial congruente.</w:t>
      </w:r>
    </w:p>
    <w:p w:rsidR="00163957" w:rsidRDefault="00163957" w:rsidP="00163957">
      <w:pPr>
        <w:pStyle w:val="TextoNormal"/>
      </w:pPr>
    </w:p>
    <w:p w:rsidR="00163957" w:rsidRDefault="00163957" w:rsidP="00163957">
      <w:pPr>
        <w:pStyle w:val="TextoNormal"/>
      </w:pPr>
      <w:r>
        <w:t>El Fiscal expone la discrepancia entre los órganos judiciales en cuanto a la situación de peligro para la menor y a ello anuda dos argumentos que le conducen a interesar la estimación del amparo. Sostiene que los tribunales españoles han otorgado la guarda y custodia a la madre, con régimen de visitas para el padre, resolución ante la que el padre se aquietó y con la que el Auto de la Audiencia Provincial resultaría contradictorio y comprometería el derecho fundamental de quien la ha obtenido a su ejecución. Además, mantiene que la decisión debió ponderar debidamente el interés del menor. En este sentido, el Fiscal pone de relieve que la menor está en España desde agosto de 2013, que dicha situación fue recono</w:t>
      </w:r>
      <w:r>
        <w:lastRenderedPageBreak/>
        <w:t>cida como ajustada a derecho por las autoridades judiciales españolas que, a su vez, denegaron la ejecución de las resoluciones judiciales suizas, para concluir que esta situación habría debido ser analizada en la resolución recurrida en amparo. Todo ello, sigue el Fiscal, sin perjuicio de la ausencia de alegación de otra vulneración de derechos fundamentales relacionados con la protección de la vida familiar, que no pueden ser objeto de análisis por falta de invocación.</w:t>
      </w:r>
    </w:p>
    <w:p w:rsidR="00163957" w:rsidRDefault="00163957" w:rsidP="00163957">
      <w:pPr>
        <w:pStyle w:val="TextoNormal"/>
      </w:pPr>
    </w:p>
    <w:p w:rsidR="00163957" w:rsidRDefault="00163957" w:rsidP="00163957">
      <w:pPr>
        <w:pStyle w:val="TextoNormal"/>
      </w:pPr>
      <w:r w:rsidRPr="00163957">
        <w:rPr>
          <w:rStyle w:val="NumeroAFNegritaCaracter"/>
        </w:rPr>
        <w:t>11</w:t>
      </w:r>
      <w:r>
        <w:t>. Por diligencia de ordenación de 8 de octubre de 2015 se acordó unir escrito y documentos presentados por la procuradora doña Margarita López Jiménez, en nombre y representación de don Ph.K. Por sucesivos escritos se aporta nueva documentación presentada por ambas partes, quedando el recurso de amparo pendiente para deliberación.</w:t>
      </w:r>
    </w:p>
    <w:p w:rsidR="00163957" w:rsidRDefault="00163957" w:rsidP="00163957">
      <w:pPr>
        <w:pStyle w:val="TextoNormal"/>
      </w:pPr>
    </w:p>
    <w:p w:rsidR="00163957" w:rsidRDefault="00163957" w:rsidP="00163957">
      <w:pPr>
        <w:pStyle w:val="TextoNormal"/>
      </w:pPr>
      <w:r w:rsidRPr="00163957">
        <w:rPr>
          <w:rStyle w:val="NumeroAFNegritaCaracter"/>
        </w:rPr>
        <w:t>12</w:t>
      </w:r>
      <w:r>
        <w:t>. Por providencia de 28 de enero de 2016 se señaló para deliberación y votación de la presente Sentencia el día 1 de febrero del mismo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amparo se dirige contra el Auto de la Audiencia Provincial de Madrid (Sección Vigésima Segunda) de 31 de marzo de 2015, recaído en recurso de apelación núm. 960-2014, y el Auto de la misma Sección de 13 de abril de 2015, que deniega aclaración.</w:t>
      </w:r>
    </w:p>
    <w:p w:rsidR="00163957" w:rsidRDefault="00163957" w:rsidP="00163957">
      <w:pPr>
        <w:pStyle w:val="TextoNormal"/>
      </w:pPr>
    </w:p>
    <w:p w:rsidR="00163957" w:rsidRDefault="00163957" w:rsidP="00163957">
      <w:pPr>
        <w:pStyle w:val="TextoNormal"/>
      </w:pPr>
      <w:r>
        <w:t>En la demanda de amparo se alega la vulneración del derecho fundamental a la tutela judicial efectiva sin indefensión (art. 24.1 CE) y del derecho fundamental a un proceso con todas las garantías (art. 24.2 CE), con invocación del principio de seguridad jurídica (art. 9.3 CE). La parte recurrente denuncia la inadmisión del incidente extraordinario de nulidad de actuaciones formulado contra el Auto de 31 de marzo de 2015, de forma inmotivada y mediante providencia, y, respecto al Auto de 31 de marzo de 2015, se opone a la estimación del recurso de apelación y la consecuente orden de restitución de la menor a Suiza. A ello anuda la vulneración del derecho fundamental a la tutela judicial efectiva sin indefensión (art. 24.1 CE) en varias vertientes y en particular, en el derecho a una resolución judicial congruente y el derecho a una resolución judicial motivada. Respecto a esta última vertiente afirma que el Auto de la Audiencia incurre en múltiples vicios de motivación; en concreto, argumenta que soslaya la existencia de otras resoluciones judiciales contradictorias, que no contempla las circunstancias actuales de la menor y que no valora debidamente las denuncias de la recurrente por violencia doméstica.</w:t>
      </w:r>
    </w:p>
    <w:p w:rsidR="00163957" w:rsidRDefault="00163957" w:rsidP="00163957">
      <w:pPr>
        <w:pStyle w:val="TextoNormal"/>
      </w:pPr>
    </w:p>
    <w:p w:rsidR="00163957" w:rsidRDefault="00163957" w:rsidP="00163957">
      <w:pPr>
        <w:pStyle w:val="TextoNormal"/>
      </w:pPr>
      <w:r>
        <w:t>El Ministerio Fiscal interesa la estimación del recurso por entender que concurre la vulneración del derecho a la tutela judicial efectiva sin indefensión (art. 24.1 CE) por el Auto de la Audiencia Provincial de Madrid (Sección Vigésima Segunda) de 31 de marzo de 2015, por contradicción con las resoluciones judiciales que otorgan la guarda y custodia a la madre, y por no valorar la situación de la menor.</w:t>
      </w:r>
    </w:p>
    <w:p w:rsidR="00163957" w:rsidRDefault="00163957" w:rsidP="00163957">
      <w:pPr>
        <w:pStyle w:val="TextoNormal"/>
      </w:pPr>
    </w:p>
    <w:p w:rsidR="00163957" w:rsidRDefault="00163957" w:rsidP="00163957">
      <w:pPr>
        <w:pStyle w:val="TextoNormal"/>
      </w:pPr>
      <w:r>
        <w:t xml:space="preserve">La circunstancia de que esté involucrada una menor de edad en el presente recurso de amparo explica que, de conformidad con el art. 8 de las reglas mínimas de las Naciones Unidas para la Administración de justicia de menores, conocidas como Reglas de Beijing y contenidas en la resolución de la Asamblea General 40/33, de 28 de noviembre de 1985, no </w:t>
      </w:r>
      <w:r>
        <w:lastRenderedPageBreak/>
        <w:t>se incluyan en esta resolución el nombre y apellidos completos de la menor de edad ni el de sus padres, al objeto de respetar su intimidad (SSTC 114/2006, de 5 de abril, FJ 7; 41/2009, de 9 de febrero, FJ 1, y 57/2013, de 11 de marzo, FJ 1).</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así como exigencias de certeza y buena administración de justicia (STEDH de 20 de enero de 2015, caso </w:t>
      </w:r>
      <w:r w:rsidRPr="00163957">
        <w:rPr>
          <w:i/>
        </w:rPr>
        <w:t>Arribas Antón c. España</w:t>
      </w:r>
      <w:r>
        <w:t>, apartado 46) obligan a explicitar el cumplimiento de ese requisito para hacer así recognoscibles los criterios empleados al efecto por este Tribunal.</w:t>
      </w:r>
    </w:p>
    <w:p w:rsidR="00163957" w:rsidRDefault="00163957" w:rsidP="00163957">
      <w:pPr>
        <w:pStyle w:val="TextoNormal"/>
      </w:pPr>
    </w:p>
    <w:p w:rsidR="00163957" w:rsidRDefault="00163957" w:rsidP="00163957">
      <w:pPr>
        <w:pStyle w:val="TextoNormal"/>
      </w:pPr>
      <w:r>
        <w:t>En el presente caso, este Tribunal decidió admitir este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w:t>
      </w:r>
    </w:p>
    <w:p w:rsidR="00163957" w:rsidRDefault="00163957" w:rsidP="00163957">
      <w:pPr>
        <w:pStyle w:val="TextoNormal"/>
      </w:pPr>
    </w:p>
    <w:p w:rsidR="00163957" w:rsidRDefault="00163957" w:rsidP="00163957">
      <w:pPr>
        <w:pStyle w:val="TextoNormal"/>
      </w:pPr>
      <w:r w:rsidRPr="00163957">
        <w:rPr>
          <w:rStyle w:val="NumeroAFNegritaCaracter"/>
        </w:rPr>
        <w:t>3</w:t>
      </w:r>
      <w:r>
        <w:t>. El recurso de amparo se dirige formalmente contra el Auto de la Audiencia Provincial de Madrid (Sección Vigésima Segunda) de 31 de marzo de 2015, recaído en recurso de apelación núm. 960-2014, y el Auto de la misma Sección de 13 de abril de 2015, que deniega aclaración. Habida cuenta de que la fundamentación del recurso contiene una motivación específica respecto de la providencia de la Audiencia Provincial de Madrid (Sección Vigésima Segunda) de 21 de mayo de 2015, que inadmite el incidente extraordinario de nulidad de actuaciones, como sostiene el Fiscal, hay que considerar también esta providencia objeto del recurso. A este entendimiento coadyuva el suplico de la demanda de amparo, que se refiere al Auto de la Audiencia de 31 de marzo de 2015 y a las resoluciones que traen causa del mismo.</w:t>
      </w:r>
    </w:p>
    <w:p w:rsidR="00163957" w:rsidRDefault="00163957" w:rsidP="00163957">
      <w:pPr>
        <w:pStyle w:val="TextoNormal"/>
      </w:pPr>
    </w:p>
    <w:p w:rsidR="00163957" w:rsidRDefault="00163957" w:rsidP="00163957">
      <w:pPr>
        <w:pStyle w:val="TextoNormal"/>
      </w:pPr>
      <w:r>
        <w:t>En relación con la providencia de la Audiencia Provincial de Madrid (Sección Vigésima Segunda) de 21 de mayo de 2015, hay que recordar que en las SSTC 107/2011, de 20 de junio, y 153/2012, de 16 de julio, hemos diferenciado dos situaciones. De una parte, aquellas en las que la respuesta judicial sea contraria a la nueva función institucional del incidente del art. 241 de la Ley Orgánica del Poder Judicial (LOPJ) pero sólo evidencie que la petición de nulidad no surtió el efecto que estaba llamada a producir, sin que de ello se derive una vulneración autónoma de los derechos alegados; esto es, las situaciones en las que quepa calificar el incidente interpuesto como un instrumento necesario para el agotamiento de la vía judicial previa pero no determinante de una lesión adicional a la que en él se denunciaba. De otra parte, los supuestos en los que el recurso de amparo se dirige en exclusiva contra el Auto o providencia resolutorios de dicho remedio procesal, en tanto que en ellos se habría cometido la vulneración de que se trate. En un caso, entonces, el órgano judicial no repara la lesión previa; en el otro, antes bien, causa una vulneración autónoma con ocasión de la nulidad solicitada (en ese sentido, STC 153/2012), siendo sólo en este último supuesto cuando la resolución judicial adquiere dimensión constitucional en orden a la denuncia de una lesión diferenciada en amparo, resultando en cambio una mera expresión de agotamiento de la vía judicial en la primera hipótesis enunciada (STC 169/2013, de 7 de octubre, FJ 2).</w:t>
      </w:r>
    </w:p>
    <w:p w:rsidR="00163957" w:rsidRDefault="00163957" w:rsidP="00163957">
      <w:pPr>
        <w:pStyle w:val="TextoNormal"/>
      </w:pPr>
    </w:p>
    <w:p w:rsidR="00163957" w:rsidRDefault="00163957" w:rsidP="00163957">
      <w:pPr>
        <w:pStyle w:val="TextoNormal"/>
      </w:pPr>
      <w:r>
        <w:lastRenderedPageBreak/>
        <w:t>En el caso de autos, la providencia de 21 de mayo de 2015 que resuelve el incidente se limita a reiterar el razonamiento del Auto de 31 de marzo de 2015 y el recurso de amparo a imputar a esta respuesta un vicio de motivación, por lo que se corresponde con el primer supuesto contemplado en la doctrina precitada. El recurso añade otra queja contra la providencia en cuanto sostiene que debió adoptar la forma de Auto. Pues bien, aun en el entendimiento de considerar esta queja como una queja autónoma, cuyo análisis, en todo caso, quedaría postergado para el caso de ser desestimado el primero y principal, conforme al criterio de “mayor retroacción” habitual en este Tribunal (STC 180/2015, de 7 de septiembre, FJ 3), puede rechazarse de raíz desde el momento en que, a la pretendida infracción procesal, no se anuda la consecución de indefensión material alguna, ya que sólo es causante de la vulneración del derecho recogido en el art. 24.1 CE aquella que, por anular las posibilidades de alegación, defensa y prueba cause una verdadera y real situación de indefensión material (por todas, STC 122/2007, de 21 de mayo, FJ 3). En cuanto al Auto de 13 de abril de 2015, que deniega aclaración, el recurso no realiza alegaciones concretas en su contra, lo que, además de impedir su análisis por este Tribunal, confirma el carácter accesorio de su invocación formal en tanto que resolución judicial recurrida en amparo, como argumenta el Fiscal.</w:t>
      </w:r>
    </w:p>
    <w:p w:rsidR="00163957" w:rsidRDefault="00163957" w:rsidP="00163957">
      <w:pPr>
        <w:pStyle w:val="TextoNormal"/>
      </w:pPr>
    </w:p>
    <w:p w:rsidR="00163957" w:rsidRDefault="00163957" w:rsidP="00163957">
      <w:pPr>
        <w:pStyle w:val="TextoNormal"/>
      </w:pPr>
      <w:r w:rsidRPr="00163957">
        <w:rPr>
          <w:rStyle w:val="NumeroAFNegritaCaracter"/>
        </w:rPr>
        <w:t>4</w:t>
      </w:r>
      <w:r>
        <w:t>. Centrado nuestro análisis en el Auto de la Audiencia Provincial de Madrid (Sección Vigésima Segunda) de 31 de marzo de 2015, y habida cuenta de las múltiples alegaciones que se hacen en el recurso, es necesario delimitar el alcance de las quejas y su encuadramiento. En este sentido, hay que recordar que para resolver este proceso constitucional hemos de dejar fuera de nuestro enjuiciamiento las alegaciones formuladas en la demanda de amparo sin adecuado desarrollo argumental, pues no corresponde a este Tribunal la reconstrucción de oficio de las demandas de amparo (por todas, SSTC 93/2002, de 22 de abril, FJ 3; 128/2003, de 30 de junio, FJ 3; 346/2006, de 11 de diciembre, FJ 1; y 89/2010, de 15 de noviembre, FJ 2). No examinaremos, por tanto, la referencia a “los imperativos que determinan la igualdad ante la ley o en su aplicación”, la cita de doctrina constitucional relativa al derecho fundamental de acceso a la jurisdicción y la invocación del derecho fundamental a un proceso con todas las garantías y del derecho a la presunción de inocencia (art. 24.2 CE).</w:t>
      </w:r>
    </w:p>
    <w:p w:rsidR="00163957" w:rsidRDefault="00163957" w:rsidP="00163957">
      <w:pPr>
        <w:pStyle w:val="TextoNormal"/>
      </w:pPr>
    </w:p>
    <w:p w:rsidR="00163957" w:rsidRDefault="00163957" w:rsidP="00163957">
      <w:pPr>
        <w:pStyle w:val="TextoNormal"/>
      </w:pPr>
      <w:r>
        <w:t xml:space="preserve">Igualmente, por apreciarse de forma inmediata su inviabilidad cabe descartar la denuncia de </w:t>
      </w:r>
      <w:r w:rsidRPr="00163957">
        <w:rPr>
          <w:i/>
        </w:rPr>
        <w:t>reformatio in peius</w:t>
      </w:r>
      <w:r>
        <w:t xml:space="preserve"> por la demandante de amparo, que fue parte apelada y no apelante en el recurso de apelación, pues la doctrina de este Tribunal Constitucional ha identificado la </w:t>
      </w:r>
      <w:r w:rsidRPr="00163957">
        <w:rPr>
          <w:i/>
        </w:rPr>
        <w:t>reformatio in peius</w:t>
      </w:r>
      <w:r>
        <w:t xml:space="preserve"> con el empeoramiento o agravación de la situación jurídica del recurrente declarada en la resolución impugnada en virtud de su propio recurso, de modo que la decisión judicial que lo resuelve conduce a un efecto contrario al perseguido por la parte recurrente, cual es anular o suavizar la situación aplicada en la resolución objeto de impugnación (entre otras, SSTC 9/1998, de 13 de enero, FJ 2; 196/1999, de 25 de octubre, FJ 3; 203/2007, de 24 de septiembre, FJ 2, o 126/2010, de 20 de noviembre, FJ 3); también la queja por incongruencia que se imputa al Auto recurrido por afirmar (a mayor abundamiento) la competencia del Juzgado de Violencia contra la Mujer, cuando dicho pronunciamiento no causa perjuicio alguno a la demandante.</w:t>
      </w:r>
    </w:p>
    <w:p w:rsidR="00163957" w:rsidRDefault="00163957" w:rsidP="00163957">
      <w:pPr>
        <w:pStyle w:val="TextoNormal"/>
      </w:pPr>
    </w:p>
    <w:p w:rsidR="00163957" w:rsidRDefault="00163957" w:rsidP="00163957">
      <w:pPr>
        <w:pStyle w:val="TextoNormal"/>
      </w:pPr>
      <w:r>
        <w:t>Al fin, respecto a la cita de doctrina sobre incongruencia omisiva, en cuanto podría vincularse con la alegación relativa a la falta de consideración de la situación actual de la me</w:t>
      </w:r>
      <w:r>
        <w:lastRenderedPageBreak/>
        <w:t>nor, ha de situarse en el encuadramiento más acorde pues “el vicio de incongruencia requiere, en todo caso, un defecto del fallo o de la parte dispositiva, no de los fundamentos que la nutren para dar respuesta a las alegaciones de las partes (STC 36/2006, de 13 de febrero, FJ 1). Es esencial, en este punto, la distinción efectuada en nuestra doctrina entre las meras alegaciones de los litigantes, que sólo pueden afectar a la motivación de la resolución, y las auténticas pretensiones formuladas, que son las únicas que pueden determinar un desajuste del fallo con aquellas —y, por ende, un vicio de incongruencia omisiva— (SSTC 174/2004, de 18 de octubre, FJ 3; 36/2006, de 13 de febrero, FJ 3, y 25/2012, de 27 de febrero, FJ 3).” (STC 152/2015, de 6 de julio, FJ 6).</w:t>
      </w:r>
    </w:p>
    <w:p w:rsidR="00163957" w:rsidRDefault="00163957" w:rsidP="00163957">
      <w:pPr>
        <w:pStyle w:val="TextoNormal"/>
      </w:pPr>
    </w:p>
    <w:p w:rsidR="00163957" w:rsidRDefault="00163957" w:rsidP="00163957">
      <w:pPr>
        <w:pStyle w:val="TextoNormal"/>
      </w:pPr>
      <w:r>
        <w:t>En consecuencia, el análisis constitucional en este proceso se ciñe a la vulneración del derecho fundamental a la tutela judicial efectiva sin indefensión (art. 24.1 CE) en la vertiente de derecho a una resolución judicial motivada y fundada en derecho, que el recurso de amparo sustenta sobre una alegación general de falta de motivación y motivación defectuosa del Auto recurrido y, en particular, sobre las siguientes alegaciones concretas: la contradicción del Auto con otras resoluciones judiciales, la falta de ponderación de la situación actual de la menor en la determinación del interés superior del menor y la discrepancia con la valoración efectuada por la Audiencia sobre la denuncia de la recurrente por violencia doméstica, en orden a determinar la excepción a la restitución del art. 13 b) del Convenio.</w:t>
      </w:r>
    </w:p>
    <w:p w:rsidR="00163957" w:rsidRDefault="00163957" w:rsidP="00163957">
      <w:pPr>
        <w:pStyle w:val="TextoNormal"/>
      </w:pPr>
    </w:p>
    <w:p w:rsidR="00163957" w:rsidRDefault="00163957" w:rsidP="00163957">
      <w:pPr>
        <w:pStyle w:val="TextoNormal"/>
      </w:pPr>
      <w:r>
        <w:t>En cuanto a la perspectiva de análisis, hay que poner de relieve que el recurso de amparo plantea exclusivamente la vulneración de derechos fundamentales procesales, art. 24 CE, no de derechos sustantivos. Asimismo, que la demanda de amparo, que invoca la LO 1/1996 de 15 de enero, de protección jurídica del menor, y la Convención sobre los derechos del niño, de Naciones Unidas de 20 de noviembre de 1989, no anuda expresamente la vulneración de derechos fundamentales procesales al mandato constitucional de protección a la familia y a la infancia, art. 39 CE, bien que los principios rectores consagrados en el capítulo III del título I de la Constitución Española, aunque no son por sí mismos susceptibles de amparo, constituyen elementos hermenéuticos de primer orden para delimitar el contenido y alcance de los derechos fundamentales (SSTC 95/2000, de 10 de abril, FJ 5; 192/2003, de 27 de octubre, FJ 3; 154/2006, de 22 de mayo, FJ 3, y 186/2013, de 4 de noviembre, FJ 5).</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Centrado el objeto de impugnación y a la hora de examinar la esencial vulneración constitucional aducida, en relación con el derecho fundamental a la tutela judicial efectiva sin indefensión (art. 24.1 CE) en la vertiente de derecho a una resolución judicial motivada y fundada en derecho hemos afirmado lo siguiente: “Como hemos recordado en la STC 64/2010 de 18 de octubre, FJ 3, ‘el derecho fundamental a la tutela judicial efectiva (art. 24.1 CE) no incluye un pretendido derecho al acierto judicial en la selección, interpretación y aplicación de las disposiciones legales, pero sí comprende, entre otras dimensiones, el derecho a obtener una resolución judicial motivada que, a su vez, según la doctrina constitucional, presenta varias manifestaciones. Supone, en primer lugar, que la resolución ha de estar suficientemente motivada, es decir, contener los elementos y razones de juicio que permitan conocer cuáles han sido los criterios jurídicos que fundamentan la decisión; y en segundo lugar, que la motivación debe contener una fundamentación en derecho, lo que conlleva la garantía de que la decisión no sea consecuencia de una aplicación arbitraria de la legalidad, ni resulte manifiestamente irrazonable, incursa en un error patente o en una evidente contradicción entre los fundamentos jurídicos, o entre éstos y el fallo, ya que, en tal caso, la aplicación de la legalidad sería tan sólo una mera apariencia’ (SSTC 147/1999, </w:t>
      </w:r>
      <w:r>
        <w:lastRenderedPageBreak/>
        <w:t>de 4 de agosto, FJ 3; 25/2000, de 31 de enero, FJ 2; 87/2000, de 27 de marzo, FJ 3; 82/2001, de 26 de marzo, FJ 2; 221/2001, de 31 de octubre, FJ 6; 55/2003, de 24 de marzo, FJ 6; 223/2005, de 12 de septiembre, FJ 3; y 276/2006, de 25 de septiembre, FJ 2, entre otras muchas). Asimismo, hemos venido afirmando que son los órganos judiciales los únicos competentes, ex art. 117.3 CE, para resolver sobre las materias de estricta legalidad ordinaria, si bien también hemos advertido que sus decisiones pueden ser objeto de revisión en vía de amparo si resultan inmotivadas o manifiestamente irrazonables o arbitrarias, pues, en tal caso, vulnerarían el derecho fundamental a la tutela judicial efectiva del art. 24.1 CE” (STC 138/2014, de 7 de octubre, FJ 2).</w:t>
      </w:r>
    </w:p>
    <w:p w:rsidR="00163957" w:rsidRDefault="00163957" w:rsidP="00163957">
      <w:pPr>
        <w:pStyle w:val="TextoNormal"/>
      </w:pPr>
    </w:p>
    <w:p w:rsidR="00163957" w:rsidRDefault="00163957" w:rsidP="00163957">
      <w:pPr>
        <w:pStyle w:val="TextoNormal"/>
      </w:pPr>
      <w:r>
        <w:t>Y, en lo atinente a la valoración del caudal probatorio, es doctrina constitucional que a este Tribunal “no le corresponde revisar la valoración de las pruebas a través de las cuales el órgano judicial alcanza su íntima convicción, dado que el art. 117.3 CE atribuye dicha tarea a los Jueces y Tribunales ordinarios. A la jurisdicción constitucional corresponde únicamente, a los efectos que ahora interesan,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lo que impide valorar nuevamente la prueba practicada o enjuiciar la valoración realizada por los Jueces o Tribunales que integran el Poder Judicial, salvo en caso de arbitrariedad o irrazonabilidad manifiesta (SSTC 81/1998, de 2 de abril, FJ 3; 189/1998, de 29 de septiembre, FJ 2; 220/1998, de 17 de diciembre, FJ 3; 120/1990, de 28 de junio, FJ 2; 220/2001, de 5 de noviembre, FJ 3; 125/2002, de 20 de mayo, FJ 2; 57/2002 de 11 de marzo, FJ 2; 125/2002 de 20 de mayo, FJ 2; 137/2002, de 3 de junio, FJ 8; 43/2003, de 3 de marzo, FJ 4, y 119/2003, de 16 de junio, FJ 2)” (SSTC 159/2004, de 4 de octubre, FJ 9, y 129/2005, de 23 de mayo, FJ 9).</w:t>
      </w:r>
    </w:p>
    <w:p w:rsidR="00163957" w:rsidRDefault="00163957" w:rsidP="00163957">
      <w:pPr>
        <w:pStyle w:val="TextoNormal"/>
      </w:pPr>
    </w:p>
    <w:p w:rsidR="00163957" w:rsidRDefault="00163957" w:rsidP="00163957">
      <w:pPr>
        <w:pStyle w:val="TextoNormal"/>
      </w:pPr>
      <w:r w:rsidRPr="00163957">
        <w:rPr>
          <w:rStyle w:val="NumeroAFNegritaCaracter"/>
        </w:rPr>
        <w:t>6</w:t>
      </w:r>
      <w:r>
        <w:t>. Asimismo, cuando, como ocurre en el caso de autos, la resolución judicial controvertida afecta a un menor, la adecuación constitucional de la motivación debe evaluarse en función del principio del interés superior del menor, que “con carácter general proclama la Convención de las Naciones Unidas sobre los derechos del niño de 20 de noviembre de 1989, al disponer que “en todas las medidas concernientes a los niños que tomen las instituciones públicas o privadas de bienestar social, los tribunales, las autoridades administrativas o los órganos legislativos, una consideración primordial a que se atenderá será el interés superior del niño” (art. 3.1). Y que nuestra legislación en materia de menores define como rector e inspirador de todas las actuaciones de los poderes públicos relacionadas con el niño, tanto administrativas como judiciales (SSTC 124/2002, de 20 de mayo, FJ 4, y 47/2009, de febrero, FJ, 3 entre otras)” (STC 127/2013, de 3 de junio, FJ 6).</w:t>
      </w:r>
    </w:p>
    <w:p w:rsidR="00163957" w:rsidRDefault="00163957" w:rsidP="00163957">
      <w:pPr>
        <w:pStyle w:val="TextoNormal"/>
      </w:pPr>
    </w:p>
    <w:p w:rsidR="00163957" w:rsidRDefault="00163957" w:rsidP="00163957">
      <w:pPr>
        <w:pStyle w:val="TextoNormal"/>
      </w:pPr>
      <w:r>
        <w:t xml:space="preserve">De esta suerte, “el criterio que ha de presidir la decisión que en cada caso corresponda adoptar al Juez, a la vista de las circunstancias concretas, debe ser necesariamente el del interés prevalente del menor, ponderándolo con el de sus progenitores, que aun siendo de menor rango, no por ello resulta desdeñable (SSTC 141/2000, de 29 de mayo, FJ 5; 124/2002, de 20 de mayo, FJ 4; 144/2003, de 14 de julio, FJ 2; 71/2004, de 19 de abril, FJ 8; 11/2008, de 21 de enero, FJ 7). En el mismo sentido se ha pronunciado el Tribunal Europeo de Derechos Humanos (entre otras, SSTEDH de 24 de marzo de 1988, </w:t>
      </w:r>
      <w:r w:rsidRPr="00163957">
        <w:rPr>
          <w:i/>
        </w:rPr>
        <w:t>caso Olsson</w:t>
      </w:r>
      <w:r>
        <w:t xml:space="preserve">; 28 de noviembre de 1988, </w:t>
      </w:r>
      <w:r w:rsidRPr="00163957">
        <w:rPr>
          <w:i/>
        </w:rPr>
        <w:t>caso Nielsen</w:t>
      </w:r>
      <w:r>
        <w:t xml:space="preserve">; de 25 de febrero de 1992, </w:t>
      </w:r>
      <w:r w:rsidRPr="00163957">
        <w:rPr>
          <w:i/>
        </w:rPr>
        <w:t>caso Andersson</w:t>
      </w:r>
      <w:r>
        <w:t xml:space="preserve">; de 23 de junio de 1993, </w:t>
      </w:r>
      <w:r w:rsidRPr="00163957">
        <w:rPr>
          <w:i/>
        </w:rPr>
        <w:t>caso Hoffmann</w:t>
      </w:r>
      <w:r>
        <w:t xml:space="preserve">; de 23 de septiembre de 1994, </w:t>
      </w:r>
      <w:r w:rsidRPr="00163957">
        <w:rPr>
          <w:i/>
        </w:rPr>
        <w:t>caso Hokkanen</w:t>
      </w:r>
      <w:r>
        <w:t xml:space="preserve">; de 24 de febrero de 1995, </w:t>
      </w:r>
      <w:r w:rsidRPr="00163957">
        <w:rPr>
          <w:i/>
        </w:rPr>
        <w:t>caso McMichael</w:t>
      </w:r>
      <w:r>
        <w:t xml:space="preserve">; de 9 de junio de 1998, </w:t>
      </w:r>
      <w:r w:rsidRPr="00163957">
        <w:rPr>
          <w:i/>
        </w:rPr>
        <w:t>caso Bronda</w:t>
      </w:r>
      <w:r>
        <w:t xml:space="preserve">; de 16 de noviembre </w:t>
      </w:r>
      <w:r>
        <w:lastRenderedPageBreak/>
        <w:t xml:space="preserve">de 1999, caso </w:t>
      </w:r>
      <w:r w:rsidRPr="00163957">
        <w:rPr>
          <w:i/>
        </w:rPr>
        <w:t>E.P. contra Italia</w:t>
      </w:r>
      <w:r>
        <w:t xml:space="preserve">; y de 21 de diciembre de 1999, caso </w:t>
      </w:r>
      <w:r w:rsidRPr="00163957">
        <w:rPr>
          <w:i/>
        </w:rPr>
        <w:t>Salgueiro Da Silva Mouta contra Portugal</w:t>
      </w:r>
      <w:r>
        <w:t>)” (STC 176/2008, de 22 de diciembre, FJ 6).</w:t>
      </w:r>
    </w:p>
    <w:p w:rsidR="00163957" w:rsidRDefault="00163957" w:rsidP="00163957">
      <w:pPr>
        <w:pStyle w:val="TextoNormal"/>
      </w:pPr>
    </w:p>
    <w:p w:rsidR="00163957" w:rsidRDefault="00163957" w:rsidP="00163957">
      <w:pPr>
        <w:pStyle w:val="TextoNormal"/>
      </w:pPr>
      <w:r>
        <w:t>En consonancia con ello, hemos considerado que la fundamentación “debe entenderse lesiva desde la perspectiva constitucional desde el momento en que hay una absoluta falta de ponderación del citado principio” (STC 138/2014, de 8 de septiembre, FJ 5) o que es legal y constitucionalmente inviable una motivación y fundamentación en derecho ajena a este criterio (STC 127/2013, de 3 de junio, FJ 6), y hemos afirmado que el interés superior del niño obliga a la autoridad judicial a un juicio de ponderación que debe constar expresamente en la resolución judicial, identificando los bienes y derechos en juego que pugnan de cada lado, a fin de poder calibrar la necesidad y proporcionalidad de la medida adoptada (STC 176/2008, de 22 de diciembre, FJ 6).</w:t>
      </w:r>
    </w:p>
    <w:p w:rsidR="00163957" w:rsidRDefault="00163957" w:rsidP="00163957">
      <w:pPr>
        <w:pStyle w:val="TextoNormal"/>
      </w:pPr>
    </w:p>
    <w:p w:rsidR="00163957" w:rsidRDefault="00163957" w:rsidP="00163957">
      <w:pPr>
        <w:pStyle w:val="TextoNormal"/>
      </w:pPr>
      <w:r w:rsidRPr="00163957">
        <w:rPr>
          <w:rStyle w:val="NumeroAFNegritaCaracter"/>
        </w:rPr>
        <w:t>7</w:t>
      </w:r>
      <w:r>
        <w:t>. En síntesis, el análisis constitucional del caso de autos se constriñe a la vulneración del derecho fundamental a la tutela judicial efectiva sin indefensión (art. 24.1 CE) en la vertiente de derecho a una resolución judicial motivada y fundada en derecho, respecto de la que este Tribunal sólo puede practicar un control externo, que se limita a la constatación de una motivación suficiente, razonable, no arbitraria ni incursa en error patente, con expresa exclusión de un pretendido derecho al acierto en la selección, interpretación y aplicación de la norma aplicada; y, si de la valoración del caudal probatorio se trata, a la constatación de la razonabilidad del discurso que une la actividad probatoria y el relato fáctico que de ella resulta. Habida cuenta de la afectación de una menor, el control de este Tribunal se extiende a comprobar que la motivación incluye de forma expresa un juicio de ponderación que identifique en el caso el interés superior del menor.</w:t>
      </w:r>
    </w:p>
    <w:p w:rsidR="00163957" w:rsidRDefault="00163957" w:rsidP="00163957">
      <w:pPr>
        <w:pStyle w:val="TextoNormal"/>
      </w:pPr>
    </w:p>
    <w:p w:rsidR="00163957" w:rsidRDefault="00163957" w:rsidP="00163957">
      <w:pPr>
        <w:pStyle w:val="TextoNormal"/>
      </w:pPr>
      <w:r>
        <w:t>Pues bien, vista la motivación del Auto recurrido que consta resumida en los antecedentes, se observa que el Auto de la Audiencia parte del marco normativo del Convenio de La Haya de 1980, que reproduce, y explica de forma motivada las razones por las que considera que concurre un traslado ilícito, así como por las que entiende que no estamos ante un consentimiento al traslado en los términos del Convenio, lo que conduce a la desestimación de la excepción al retorno prevista en el art. 13 a). El Auto también descarta la excepción al retorno prevista en el art. 13 b), grave riesgo para el menor, para culminar ordenando el retorno en atención al interés del menor. Es respecto de la motivación relativa a estas dos cuestiones que la demandante en amparo hace alegaciones concretas y a ellas nos referiremos inmediatamente.</w:t>
      </w:r>
    </w:p>
    <w:p w:rsidR="00163957" w:rsidRDefault="00163957" w:rsidP="00163957">
      <w:pPr>
        <w:pStyle w:val="TextoNormal"/>
      </w:pPr>
    </w:p>
    <w:p w:rsidR="00163957" w:rsidRDefault="00163957" w:rsidP="00163957">
      <w:pPr>
        <w:pStyle w:val="TextoNormal"/>
      </w:pPr>
      <w:r w:rsidRPr="00163957">
        <w:rPr>
          <w:rStyle w:val="NumeroAFNegritaCaracter"/>
        </w:rPr>
        <w:t>8</w:t>
      </w:r>
      <w:r>
        <w:t>. Con carácter previo conviene abordar la otra queja específica que acompaña la denuncia genérica por vicio de motivación y que es la referida a la contradicción del Auto recurrido con otras resoluciones judiciales dictadas por los tribunales españoles, en concreto, el Auto del Juzgado de Violencia contra la Mujer núm. 11, de 15 de abril de 2014, Auto firme que atribuye la guarda y custodia a la madre, y con el Auto de 23 de junio de 2014, que deniega el reconocimiento en España de las resoluciones judiciales suizas que otorgan la guarda y custodia al padre. El mismo sentido tiene otro argumento expresado en la demanda, consistente en subrayar que el Auto ignora el denominado “laberinto procedimental” en que se incardina el procedimiento de restitución.</w:t>
      </w:r>
    </w:p>
    <w:p w:rsidR="00163957" w:rsidRDefault="00163957" w:rsidP="00163957">
      <w:pPr>
        <w:pStyle w:val="TextoNormal"/>
      </w:pPr>
    </w:p>
    <w:p w:rsidR="00163957" w:rsidRDefault="00163957" w:rsidP="00163957">
      <w:pPr>
        <w:pStyle w:val="TextoNormal"/>
      </w:pPr>
      <w:r>
        <w:t xml:space="preserve">Con este planteamiento, y habida cuenta de que la perspectiva de análisis es el derecho fundamental a una resolución judicial motivada, puede entenderse que una denuncia no es </w:t>
      </w:r>
      <w:r>
        <w:lastRenderedPageBreak/>
        <w:t>irrazonable, por no ser decisiones inconciliables, denegar el reconocimiento en España de las resoluciones judiciales suizas que establecen medidas provisionales y ordenar la restitución de la menor, ni puede apreciarse irrazonabilidad en la motivación cuando la resolución española de guarda y custodia que se reputa como contradictoria con la orden de restitución se ha dictado en un procedimiento de medidas puramente provisionales (autos de medidas provisionales previas 1-2014) cuya vocación no es, ni prejuzgar las definitivas, ni, con mayor motivo, comprometer la obligación de inmediata restitución del menor. En este sentido, el Auto recurrido culmina la fundamentación “recordando, en todo caso los contenidos de los artículos 16 y 17 del Convenio de La Haya” y conforme a éste último, en lo que ahora interesa, el solo hecho de que se haya dictado una decisión relativa a la custodia del menor no podrá justificar la negativa a la restitución.</w:t>
      </w:r>
    </w:p>
    <w:p w:rsidR="00163957" w:rsidRDefault="00163957" w:rsidP="00163957">
      <w:pPr>
        <w:pStyle w:val="TextoNormal"/>
      </w:pPr>
    </w:p>
    <w:p w:rsidR="00163957" w:rsidRDefault="00163957" w:rsidP="00163957">
      <w:pPr>
        <w:pStyle w:val="TextoNormal"/>
      </w:pPr>
      <w:r>
        <w:t>Antes al contrario y al margen de un análisis de legalidad ordinaria sobre las resoluciones judiciales que nos está vetado, en un análisis constitucional de motivación presidido por el interés superior del menor lo relevante es que las medidas provisionales fueron adoptadas por el Juzgado de Violencia tras la denegación de la restitución, pero con la oportunidad defensiva del recurso de apelación abierta, que efectivamente se utilizó y que dilató la situación de pendencia hasta el Auto ahora recurrido de 31 de marzo de 2015.</w:t>
      </w:r>
    </w:p>
    <w:p w:rsidR="00163957" w:rsidRDefault="00163957" w:rsidP="00163957">
      <w:pPr>
        <w:pStyle w:val="TextoNormal"/>
      </w:pPr>
    </w:p>
    <w:p w:rsidR="00163957" w:rsidRDefault="00163957" w:rsidP="00163957">
      <w:pPr>
        <w:pStyle w:val="TextoNormal"/>
      </w:pPr>
      <w:r>
        <w:t>De esta suerte, estas medidas provisionales sirvieron para estabilizar la frágil situación provisional de la menor, incursa en un procedimiento de restitución que se prolongaba, así como a preservar, en estas circunstancias complejas, su derecho a relacionarse con ambos progenitores [art. 8 del Convenio europeo para la protección de los derechos humanos y de las libertades fundamentales (CEDH)] y de la misma manera, sirvieron al interés del padre que ha tenido un régimen de visitas en España durante la tramitación del procedimiento de restitución.</w:t>
      </w:r>
    </w:p>
    <w:p w:rsidR="00163957" w:rsidRDefault="00163957" w:rsidP="00163957">
      <w:pPr>
        <w:pStyle w:val="TextoNormal"/>
      </w:pPr>
    </w:p>
    <w:p w:rsidR="00163957" w:rsidRDefault="00163957" w:rsidP="00163957">
      <w:pPr>
        <w:pStyle w:val="TextoNormal"/>
      </w:pPr>
      <w:r w:rsidRPr="00163957">
        <w:rPr>
          <w:rStyle w:val="NumeroAFNegritaCaracter"/>
        </w:rPr>
        <w:t>9</w:t>
      </w:r>
      <w:r>
        <w:t>. Como se ha establecido, la vulneración denunciada se sustenta principalmente sobre dos alegaciones: a) la falta de valoración de las circunstancias actuales de la menor, en orden a ponderar el interés superior de ésta para detener la restitución inmediata prevista por el Convenio, y b) la discrepancia con la valoración de la Audiencia de la denuncia de la parte recurrente por violencia doméstica, en orden a determinar la excepción a la restitución del art. 13 b) del Convenio.</w:t>
      </w:r>
    </w:p>
    <w:p w:rsidR="00163957" w:rsidRDefault="00163957" w:rsidP="00163957">
      <w:pPr>
        <w:pStyle w:val="TextoNormal"/>
      </w:pPr>
    </w:p>
    <w:p w:rsidR="00163957" w:rsidRDefault="00163957" w:rsidP="00163957">
      <w:pPr>
        <w:pStyle w:val="TextoNormal"/>
      </w:pPr>
      <w:r>
        <w:t>Al objeto de valorar la suficiencia y razonabilidad de la motivación del Auto hay que partir del sistema del Convenio de La Haya de 25 de octubre de 1980 sobre aspectos civiles de la sustracción internacional de menores. Así, conforme a la exposición de motivos, el Convenio obedece al deseo “de proteger al menor, en el plano internacional, de los efectos perjudiciales que podría ocasionarle un traslado o una retención ilícita y de establecer los procedimientos que permitan garantizar la restitución inmediata del menor al Estado en que tenga su residencia habitual, así como de asegurar la protección del derecho de visita”. En consonancia con ello, el art. 1 establece que: “La finalidad del presente Convenio será la siguiente: a) Garantizar la restitución inmediata de los menores trasladados o retenidos de manera ilícita en cualquier Estado Contratante. b) Velar porque los derechos de custodia y de visita vigentes en uno de los Estados contratantes se respeten en los demás Estados Contratantes”.</w:t>
      </w:r>
    </w:p>
    <w:p w:rsidR="00163957" w:rsidRDefault="00163957" w:rsidP="00163957">
      <w:pPr>
        <w:pStyle w:val="TextoNormal"/>
      </w:pPr>
    </w:p>
    <w:p w:rsidR="00163957" w:rsidRDefault="00163957" w:rsidP="00163957">
      <w:pPr>
        <w:pStyle w:val="TextoNormal"/>
      </w:pPr>
      <w:r>
        <w:lastRenderedPageBreak/>
        <w:t>Este Tribunal ha tenido ocasión de recordar la finalidad del Convenio y que, en aras de esta finalidad, el ordenamiento español “arbitra un procedimiento cuya duración no debería exceder de seis semanas (art. 11), que pretende, simplemente, la restitución del menor trasladado ilegalmente, pero sin que la decisión adoptada en este procedimiento afecte al fondo de los derechos de custodia que sobre el menor puedan ostentarse (art. 19). De ello se sigue que nos hallamos ante un proceso de tramitación urgente y de carácter sumario o provisional, ya que la resolución que se dicte no prejuzga los derechos de custodia sobre el menor, que deberán dilucidarse en otro proceso y por el Tribunal que resulte competente en cada caso” (STC 120/2002, de 20 de mayo, FJ 4).</w:t>
      </w:r>
    </w:p>
    <w:p w:rsidR="00163957" w:rsidRDefault="00163957" w:rsidP="00163957">
      <w:pPr>
        <w:pStyle w:val="TextoNormal"/>
      </w:pPr>
    </w:p>
    <w:p w:rsidR="00163957" w:rsidRDefault="00163957" w:rsidP="00163957">
      <w:pPr>
        <w:pStyle w:val="TextoNormal"/>
      </w:pPr>
      <w:r>
        <w:t xml:space="preserve">También el Tribunal Europeo de Derechos Humanos, en jurisprudencia posterior a la STEDH (Gran Sala) de 6 de julio de 2010 (asunto </w:t>
      </w:r>
      <w:r w:rsidRPr="00163957">
        <w:rPr>
          <w:i/>
        </w:rPr>
        <w:t>Neulinger y Shuruk c. Suiza</w:t>
      </w:r>
      <w:r>
        <w:t xml:space="preserve">), que requería un examen en profundidad del conjunto de la situación familiar (apartado 139; STEDH (Sección Tercera) de 6 de diciembre de 2007, asunto </w:t>
      </w:r>
      <w:r w:rsidRPr="00163957">
        <w:rPr>
          <w:i/>
        </w:rPr>
        <w:t>Maumousseau y Washington c. Francia</w:t>
      </w:r>
      <w:r>
        <w:t xml:space="preserve">, apartado 74), ha considerado que se puede conseguir una interpretación armónica del Convenio de La Haya de 1980 y del derecho al respeto a la vida privada y familiar, art. 8 CEDH, siempre que se cumplan las dos condiciones siguientes. En primer lugar, que los factores que pueden constituir una excepción al retorno inmediato del niño en aplicación de los arts. 12, 13 y 20 del Convenio de La Haya, en particular cuando son invocados por una de las partes, sean realmente tenidos en cuenta por el órgano jurisdiccional requerido. Este órgano jurisdiccional debe adoptar una decisión suficientemente motivada sobre este punto, que permita al Tribunal verificar que estas cuestiones se han examinado de manera eficaz. En segundo lugar, estos factores deben ser evaluados a la luz del artículo 8 del Convenio Europeo, con cita de las SSTEDH (Gran Sala) de 6 de julio de 2010, asunto </w:t>
      </w:r>
      <w:r w:rsidRPr="00163957">
        <w:rPr>
          <w:i/>
        </w:rPr>
        <w:t>Neulinger y Shuruk c. Suiza</w:t>
      </w:r>
      <w:r>
        <w:t xml:space="preserve">; (Gran Sala) de 26 de noviembre de 2013, asunto </w:t>
      </w:r>
      <w:r w:rsidRPr="00163957">
        <w:rPr>
          <w:i/>
        </w:rPr>
        <w:t>X. c. Letonia</w:t>
      </w:r>
      <w:r>
        <w:t xml:space="preserve">, apartado 106; 1 de julio de 2014, asunto </w:t>
      </w:r>
      <w:r w:rsidRPr="00163957">
        <w:rPr>
          <w:i/>
        </w:rPr>
        <w:t>Blaga c. Rumania</w:t>
      </w:r>
      <w:r>
        <w:t xml:space="preserve">, apartado 69 y 28 de abril de 2015, asunto </w:t>
      </w:r>
      <w:r w:rsidRPr="00163957">
        <w:rPr>
          <w:i/>
        </w:rPr>
        <w:t>Ferrari c. Rumanía</w:t>
      </w:r>
      <w:r>
        <w:t>, apartado 47.</w:t>
      </w:r>
    </w:p>
    <w:p w:rsidR="00163957" w:rsidRDefault="00163957" w:rsidP="00163957">
      <w:pPr>
        <w:pStyle w:val="TextoNormal"/>
      </w:pPr>
    </w:p>
    <w:p w:rsidR="00163957" w:rsidRDefault="00163957" w:rsidP="00163957">
      <w:pPr>
        <w:pStyle w:val="TextoNormal"/>
      </w:pPr>
      <w:r w:rsidRPr="00163957">
        <w:rPr>
          <w:rStyle w:val="NumeroAFNegritaCaracter"/>
        </w:rPr>
        <w:t>10</w:t>
      </w:r>
      <w:r>
        <w:t>. En este contexto, abordando ya la alegación de falta de ponderación de la situación actual de la menor que la demanda anuda a una indebida valoración del interés superior de la misma, hay que añadir que, en consonancia con su objeto y fin, el Convenio de La Haya de 1980 incluye en su art. 12 una previsión específica sobre la valoración de la integración del menor en el nuevo medio y determina que, ante un traslado o retención ilícitos, si “en la fecha de la iniciación del procedimiento ante la autoridad judicial o administrativa del Estado contratante donde se halle el menor hubiera transcurrido un periodo inferior a un año desde el momento en que se produjo el traslado o retención ilícitos, la autoridad competente ordenara la restitución inmediata del menor”, mientras que “la autoridad judicial o administrativa, aun en el caso de que se hubieren iniciado los procedimientos después de la expiración del plazo de un año a que se hace referencia en el párrafo precedente, ordenará asimismo la restitución del menor, salvo que quede demostrado que el menor ha quedado integrado en su nuevo medio”.</w:t>
      </w:r>
    </w:p>
    <w:p w:rsidR="00163957" w:rsidRDefault="00163957" w:rsidP="00163957">
      <w:pPr>
        <w:pStyle w:val="TextoNormal"/>
      </w:pPr>
    </w:p>
    <w:p w:rsidR="00163957" w:rsidRDefault="00163957" w:rsidP="00163957">
      <w:pPr>
        <w:pStyle w:val="TextoNormal"/>
      </w:pPr>
      <w:r>
        <w:t>Por todo ello, la integración del menor constituye un elemento de ponderación imprescindible en relación con el objeto y fin del Convenio y de conformidad con sus previsiones, por lo que su valoración es esencial, cuando se trata del procedimiento de inmediata restitución.</w:t>
      </w:r>
    </w:p>
    <w:p w:rsidR="00163957" w:rsidRDefault="00163957" w:rsidP="00163957">
      <w:pPr>
        <w:pStyle w:val="TextoNormal"/>
      </w:pPr>
    </w:p>
    <w:p w:rsidR="00163957" w:rsidRDefault="00163957" w:rsidP="00163957">
      <w:pPr>
        <w:pStyle w:val="TextoNormal"/>
      </w:pPr>
      <w:r>
        <w:lastRenderedPageBreak/>
        <w:t>En estas condiciones, el Auto reproduce textualmente el art. 12 del Convenio, que otorga un valor determinado a la integración del menor en el nuevo medio como elemento de ponderación de la decisión sobre la restitución, y aprecia que, confirmado el traslado ilícito y sin que concurran las causas excepcionales para detenerlo previstas en el art. 13 a) y b), unido a la constatación de la pérdida de relación con el padre durante meses, el interés del menor se corresponde con el retorno, lo cual constituye la asunción de la valoración del interés del menor que subyace en el sistema del Convenio.</w:t>
      </w:r>
    </w:p>
    <w:p w:rsidR="00163957" w:rsidRDefault="00163957" w:rsidP="00163957">
      <w:pPr>
        <w:pStyle w:val="TextoNormal"/>
      </w:pPr>
    </w:p>
    <w:p w:rsidR="00163957" w:rsidRDefault="00163957" w:rsidP="00163957">
      <w:pPr>
        <w:pStyle w:val="TextoNormal"/>
      </w:pPr>
      <w:r>
        <w:t>En este punto, el art. 12 permite valorar “la integración del menor en el nuevo medio”, a fin de rechazar la devolución, cuando ha transcurrido más de un año desde la sustracción del menor hasta el inicio del procedimiento, lo que no sucede en este caso. Se trata, como se adelantaba, de una previsión que trata de hacer efectivo el superior interés del menor de modo coherente con el carácter urgente del procedimiento de devolución configurado en el propio Convenio y que, por razón del tiempo, no permitiría, de haberse interpuesto y resuelto el procedimiento diligentemente en el plazo máximo de seis semanas (art. 11 del Convenio), una integración real del menor en un nuevo medio.</w:t>
      </w:r>
    </w:p>
    <w:p w:rsidR="00163957" w:rsidRDefault="00163957" w:rsidP="00163957">
      <w:pPr>
        <w:pStyle w:val="TextoNormal"/>
      </w:pPr>
    </w:p>
    <w:p w:rsidR="00163957" w:rsidRDefault="00163957" w:rsidP="00163957">
      <w:pPr>
        <w:pStyle w:val="TextoNormal"/>
      </w:pPr>
      <w:r>
        <w:t>En el supuesto que enjuiciamos, tal y como se ha dejado constancia, el procedimiento se promueve trascurridos apenas tres meses desde que tuvo lugar el hecho que le da origen. Su definitiva terminación, sin embargo, hasta la resolución del recurso de apelación, se retrasa a abril de 2015, lo que supone que desde los hechos acaecidos en agosto de 2013 hasta la finalización del procedimiento han trascurrido casi veinte meses. En este prolongado periodo de tiempo, y sin olvidar la corta edad con que cuenta la menor (seis años en la actualidad), resulta patente que ha podido producirse una plena integración de la niña en su nuevo medio, lo que es necesario, en todo caso, valorar, a fin de hacer efectivo el principio de superior interés de la menor al que antes nos referíamos.</w:t>
      </w:r>
    </w:p>
    <w:p w:rsidR="00163957" w:rsidRDefault="00163957" w:rsidP="00163957">
      <w:pPr>
        <w:pStyle w:val="TextoNormal"/>
      </w:pPr>
    </w:p>
    <w:p w:rsidR="00163957" w:rsidRDefault="00163957" w:rsidP="00163957">
      <w:pPr>
        <w:pStyle w:val="TextoNormal"/>
      </w:pPr>
      <w:r>
        <w:t>Hemos de reparar en que en el caso examinado, circunstancialmente excepcional, la dilación del procedimiento judicial no se ha debido ni a la tardanza en su iniciación ni al comportamiento del promotor del incidente sino a diversas vicisitudes procesales entre las que destaca la declinatoria por falta de competencia objetiva, al existir denuncias de violencia de género. En todo caso, este Tribunal, con la decisión que ahora adopta, se limita a constatar que la lamentable dilación del procedimiento tendente a la restitución, en las circunstancias excepcionales que presenta el caso enjuiciado, cualesquiera que fuesen las causas y los responsables de dicha demora, no puede menoscabar el interés superior de la menor impidiendo valorar su situación actual de integración en el nuevo medio. Resulta obligada, por tanto, que esta valoración sea decisiva.</w:t>
      </w:r>
    </w:p>
    <w:p w:rsidR="00163957" w:rsidRDefault="00163957" w:rsidP="00163957">
      <w:pPr>
        <w:pStyle w:val="TextoNormal"/>
      </w:pPr>
    </w:p>
    <w:p w:rsidR="00163957" w:rsidRDefault="00163957" w:rsidP="00163957">
      <w:pPr>
        <w:pStyle w:val="TextoNormal"/>
      </w:pPr>
      <w:r>
        <w:t>En consecuencia, la situación de integración de la menor, por exigencia del principio de interés superior de la misma, imponía una valoración, omitida en la resolución impugnada, que ponderase el conjunto de circunstancias como la edad, el entorno y la convivencia habitual, incrementada con la presencia de un nuevo miembro en el contexto familiar y la escolarización desde el año 2013 de la niña en España, lo que genera el reconocimiento de la insuficiencia de motivación en la resolución impugnada que es inherente al contenido constitucional del art. 24.1 CE.</w:t>
      </w:r>
    </w:p>
    <w:p w:rsidR="00163957" w:rsidRDefault="00163957" w:rsidP="00163957">
      <w:pPr>
        <w:pStyle w:val="TextoNormal"/>
      </w:pPr>
    </w:p>
    <w:p w:rsidR="00163957" w:rsidRDefault="00163957" w:rsidP="00163957">
      <w:pPr>
        <w:pStyle w:val="TextoNormal"/>
      </w:pPr>
      <w:r>
        <w:lastRenderedPageBreak/>
        <w:t>Esta conclusión es, por lo demás, acorde con las exigencias derivadas del derecho al respeto a la vida privada y familiar (art. 8 CEDH) en los términos expresados en la jurisprudencia del Tribunal Europeo de Derechos Humanos precitada, en cuanto obliga a los órganos judiciales nacionales a expresar una decisión suficientemente motivada que refleje un examen eficaz de las causas alegadas como excepción al retorno del menor. Tales omisiones son determinantes para concluir estimando la vulneración del derecho fundamental de la demandante en amparo a la tutela judicial efectiva sin indefensión, por lesión del art. 24 CE.</w:t>
      </w:r>
    </w:p>
    <w:p w:rsidR="00163957" w:rsidRDefault="00163957" w:rsidP="00163957">
      <w:pPr>
        <w:pStyle w:val="TextoNormal"/>
      </w:pPr>
    </w:p>
    <w:p w:rsidR="00163957" w:rsidRDefault="00163957" w:rsidP="00163957">
      <w:pPr>
        <w:pStyle w:val="TextoNormal"/>
      </w:pPr>
      <w:r w:rsidRPr="00163957">
        <w:rPr>
          <w:rStyle w:val="NumeroAFNegritaCaracter"/>
        </w:rPr>
        <w:t>11</w:t>
      </w:r>
      <w:r>
        <w:t>. Los razonamientos expuestos conducen a la estimación del recurso de amparo en la forma prevista en la parte dispositiva de esta resolución.</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amparo solicitado por doña D.V.D., y, en su virtud:</w:t>
      </w:r>
    </w:p>
    <w:p w:rsidR="00163957" w:rsidRDefault="00163957" w:rsidP="00163957">
      <w:pPr>
        <w:pStyle w:val="TextoNormal"/>
      </w:pPr>
    </w:p>
    <w:p w:rsidR="00163957" w:rsidRDefault="00163957" w:rsidP="00163957">
      <w:pPr>
        <w:pStyle w:val="TextoNormal"/>
      </w:pPr>
      <w:r>
        <w:t>1º Declarar que ha sido vulnerado el derecho fundamental de la demandante de amparo a la tutela judicial efectiva sin indefensión (art. 24.1 CE).</w:t>
      </w:r>
    </w:p>
    <w:p w:rsidR="00163957" w:rsidRDefault="00163957" w:rsidP="00163957">
      <w:pPr>
        <w:pStyle w:val="TextoNormal"/>
      </w:pPr>
    </w:p>
    <w:p w:rsidR="00163957" w:rsidRDefault="00163957" w:rsidP="00163957">
      <w:pPr>
        <w:pStyle w:val="TextoNormal"/>
      </w:pPr>
      <w:r>
        <w:t>2º Restablecerle en su derecho y, en consecuencia, declarar la nulidad del Auto de 31 de marzo de 2015 dictado por la Audiencia Provincial de Madrid (Sección Vigésima Segunda), recaído en recurso de apelación núm. 960-2014, así como del Auto de la misma Sección de 13 de abril de 2015 y providencia de 21 de mayo de 2015, que inadmite el incidente de nulidad de actuaciones formulado por la demandante de amparo.</w:t>
      </w:r>
    </w:p>
    <w:p w:rsidR="00163957" w:rsidRDefault="00163957" w:rsidP="00163957">
      <w:pPr>
        <w:pStyle w:val="TextoNormal"/>
      </w:pPr>
    </w:p>
    <w:p w:rsidR="00163957" w:rsidRDefault="00163957" w:rsidP="00163957">
      <w:pPr>
        <w:pStyle w:val="TextoNormal"/>
      </w:pPr>
      <w:r>
        <w:t>3º Retrotraer las actuaciones al momento inmediatamente anterior al pronunciamiento de la primera de las citadas resoluciones para que el órgano judicial dicte una nueva, respetuosa con el derecho fundamental vulnerado.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uno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20" w:name="SENTENCIA_2016_17"/>
      <w:r>
        <w:lastRenderedPageBreak/>
        <w:t>SENTENCIA 17/2016, de 4 de febrero de 2016</w:t>
      </w:r>
    </w:p>
    <w:bookmarkEnd w:id="20"/>
    <w:p w:rsidR="00163957" w:rsidRDefault="00163957" w:rsidP="00163957">
      <w:pPr>
        <w:pStyle w:val="TtuloResolucin"/>
      </w:pPr>
      <w:r>
        <w:t>Pleno</w:t>
      </w:r>
    </w:p>
    <w:p w:rsidR="00163957" w:rsidRDefault="00163957" w:rsidP="00163957">
      <w:pPr>
        <w:pStyle w:val="TtuloBOE"/>
      </w:pPr>
      <w:r>
        <w:t>(BOE núm. 57, de 7 de marzo de 2016)</w:t>
      </w:r>
    </w:p>
    <w:p w:rsidR="00163957" w:rsidRDefault="00163957" w:rsidP="00163957">
      <w:pPr>
        <w:pStyle w:val="TextoNormalCentrado"/>
      </w:pPr>
      <w:r>
        <w:t>ECLI:ES:TC:2016:17</w:t>
      </w:r>
    </w:p>
    <w:p w:rsidR="00163957" w:rsidRDefault="00163957" w:rsidP="00163957">
      <w:pPr>
        <w:pStyle w:val="TextoNormalCentrado"/>
      </w:pPr>
    </w:p>
    <w:p w:rsidR="00163957" w:rsidRDefault="00163957" w:rsidP="00163957">
      <w:pPr>
        <w:pStyle w:val="SntesisDescriptiva"/>
      </w:pPr>
      <w:r>
        <w:t>Recurso de inconstitucionalidad 6777-2012. Interpuesto por el Presidente del Gobierno en relación con varios preceptos de la Ley del Parlamento de Cataluña 3/2012, de 22 de febrero, de modificación del texto refundido de la Ley de urbanismo, aprobado por el Decreto Legislativo 1/2010, de 3 de agosto.</w:t>
      </w:r>
    </w:p>
    <w:p w:rsidR="00163957" w:rsidRDefault="00163957" w:rsidP="00163957">
      <w:pPr>
        <w:pStyle w:val="SntesisDescriptiva"/>
      </w:pPr>
    </w:p>
    <w:p w:rsidR="00163957" w:rsidRDefault="00163957" w:rsidP="00163957">
      <w:pPr>
        <w:pStyle w:val="SntesisAnaltica"/>
      </w:pPr>
      <w:r>
        <w:t>Competencias sobre urbanismo, condiciones básicas de igualdad y ordenación general de la economía: interpretación constitucionalmente conforme del precepto legal autonómico relativo a la cesión gratuita y enajenación onerosa, por precio inferior al de su valoración, de bienes integrantes del patrimonio público de suelo y vivienda.</w:t>
      </w:r>
    </w:p>
    <w:p w:rsidR="00163957" w:rsidRDefault="00163957" w:rsidP="00163957">
      <w:pPr>
        <w:pStyle w:val="SntesisAnaltica"/>
      </w:pPr>
    </w:p>
    <w:p w:rsidR="00163957" w:rsidRDefault="00163957" w:rsidP="00163957">
      <w:pPr>
        <w:pStyle w:val="Extracto"/>
      </w:pPr>
      <w:r>
        <w:t>1.</w:t>
      </w:r>
      <w:r>
        <w:tab/>
        <w:t>La previsión autonómica, que, sin ninguna otra especificidad, se limita a disponer, entre otros fines, el destino del patrimonio público de suelo a la generación de actividad económica en áreas deprimidas, solo podrá desplegarse cuando se cumplan las condiciones previstas en la normativa básica estatal para destinar el patrimonio público de suelo a fines de carácter socio-económico [FJ 4].</w:t>
      </w:r>
    </w:p>
    <w:p w:rsidR="00163957" w:rsidRDefault="00163957" w:rsidP="00163957">
      <w:pPr>
        <w:pStyle w:val="Extracto"/>
      </w:pPr>
    </w:p>
    <w:p w:rsidR="00163957" w:rsidRDefault="00163957" w:rsidP="00163957">
      <w:pPr>
        <w:pStyle w:val="Extracto"/>
      </w:pPr>
      <w:r>
        <w:t>2.</w:t>
      </w:r>
      <w:r>
        <w:tab/>
        <w:t>La nueva regulación estatal del régimen de control administrativo en los supuestos de primera ocupación o utilización de las edificaciones prescinde de la regla del acto expreso de autorización administrativa, lo que abre la posibilidad a que tal control sea regulado mediante normativa autonómica [FJ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inconstitucionalidad 6777-2012, promovido por el Presidente del Gobierno, contra los artículos 59, 64.4 y apartado séptimo de la disposición adicional sexta de la Ley del Parlamento de Cataluña 3/2012, de 22 de febrero, de modificación del texto refundido de la Ley de urbanismo, aprobado por el Decreto Legislativo 1/2010, de 3 de agosto. Han comparecido el Congreso de los Diputados y el Senado y formulado alegaciones la </w:t>
      </w:r>
      <w:r>
        <w:lastRenderedPageBreak/>
        <w:t>Generalitat de Cataluña y el Parlamento de Cataluña. Ha sido Ponente el Magistrado don Antonio Narváez Rodríguez,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30 de noviembre de 2012, el Abogado del Estado, en nombre del Presidente del Gobierno, presentó recurso de inconstitucionalidad contra los arts. 59, 64.4 y apartado séptimo de la disposición adicional sexta de la Ley del Parlamento de Cataluña 3/2012, de 22 de febrero, de modificación del texto refundido de la Ley de urbanismo, aprobado por el Decreto Legislativo 1/2010, de 3 de agosto. En el escrito de demanda se hizo invocación expresa del art. 161.2 CE y del art. 30 de la Ley Orgánica del Tribunal Constitucional (LOTC), a los efectos de que se acordase la suspensión de la vigencia y aplicación de los preceptos legales impugnados.</w:t>
      </w:r>
    </w:p>
    <w:p w:rsidR="00163957" w:rsidRDefault="00163957" w:rsidP="00163957">
      <w:pPr>
        <w:pStyle w:val="TextoNormal"/>
      </w:pPr>
    </w:p>
    <w:p w:rsidR="00163957" w:rsidRDefault="00163957" w:rsidP="00163957">
      <w:pPr>
        <w:pStyle w:val="TextoNormal"/>
      </w:pPr>
      <w:r>
        <w:t>El Abogado del Estado, en el relato de los antecedentes de la presentación del recurso de inconstitucionalidad, expone que la Subcomisión de seguimiento normativo, prevención y solución de conflictos de la comisión bilateral Generalitat-Estado, en su reunión celebrada el 23 de mayo de 2012, decidió aplicar el procedimiento previsto en el art. 33.2 LOTC, en la redacción dada por la Ley Orgánica 1/2000, resultando infructuoso dicho trámite. Acto seguido destaca que el Consejo de Ministros celebrado el día 30 de noviembre de 2012 decidió solicitar del Sr. Presidente del Gobierno la promoción del presente recurso de inconstitucionalidad, con expresa invocación del art. 161.2 CE, formalizándose la decisión en la misma fecha. Posteriormente, la comisión permanente del Consejo de Estado emitió el dictamen 1241-2012 sobre la interposición del presente recurso de inconstitucionalidad, que se sustenta en los siguientes argumentos.</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El recurrente admite que se dicta la Ley 3/2012, en ejercicio de la competencia exclusiva que ostenta la Comunidad Autónoma de Cataluña en materia de urbanismo </w:t>
      </w:r>
      <w:r w:rsidRPr="00163957">
        <w:rPr>
          <w:i/>
        </w:rPr>
        <w:t>ex</w:t>
      </w:r>
      <w:r>
        <w:t xml:space="preserve"> art.149.5 del Estatuto de Autonomía de Cataluña (EAC), pero entiende que la Ley autonómica incurre en inconstitucionalidad mediata o indirecta por vulnerar el orden de distribución de competencias articulado legítimamente por el Estado a través de la legislación básica, que el Abogado del Estado identifica en relación con cada uno de los preceptos impugnados.</w:t>
      </w:r>
    </w:p>
    <w:p w:rsidR="00163957" w:rsidRDefault="00163957" w:rsidP="00163957">
      <w:pPr>
        <w:pStyle w:val="TextoNormal"/>
      </w:pPr>
    </w:p>
    <w:p w:rsidR="00163957" w:rsidRDefault="00163957" w:rsidP="00163957">
      <w:pPr>
        <w:pStyle w:val="TextoNormal"/>
      </w:pPr>
      <w:r>
        <w:t>a) El art. 59 de la Ley 3/2012, que confiere nueva redacción al apartado 1 del art. 167 del Decreto Legislativo 1/2010, al regular el destino de los ingresos de la enajenación de suelo público y de los suelos cedidos, a juicio del Abogado del Estado, pone de manifiesto una extralimitación competencial, vulnerando la legislación básica estatal en materia de suelo dictada al amparo del art. 149.1.13 CE, y recogida en los arts. 38 y 39 del Real Decreto Legislativo 2/2008, de 20 de junio. Destacados los elementos formales (con referencia a la disposición final primera del Real Decreto Legislativo 2/2008, de 20 de junio) y materiales (con llamamiento a la doctrina contenida en las SSTC 61/1997, 164/2001 y 46/2007) que configura ambos preceptos como normativa básica, el Abogado del Estado pone de relieve la contradicción, que deriva en inconstitucionalidad mediata, existente entre el art. 59 de la Ley 3/2012 y los arts. 38 y 39 del Real Decreto Legislativo 2/2008, de 20 de junio.</w:t>
      </w:r>
    </w:p>
    <w:p w:rsidR="00163957" w:rsidRDefault="00163957" w:rsidP="00163957">
      <w:pPr>
        <w:pStyle w:val="TextoNormal"/>
      </w:pPr>
    </w:p>
    <w:p w:rsidR="00163957" w:rsidRDefault="00163957" w:rsidP="00163957">
      <w:pPr>
        <w:pStyle w:val="TextoNormal"/>
      </w:pPr>
      <w:r>
        <w:lastRenderedPageBreak/>
        <w:t>La legislación básica estatal, más precisamente el art. 39.1 del Real Decreto Legislativo 2/2008, de 20 de junio, exige que los ingresos obtenidos con la enajenación y sustitución por dinero de los bienes, recursos y derechos que constituyen los patrimonios públicos de suelo y vivienda, se destinen a la construcción de viviendas públicas, o a otros usos de interés social, siempre que estos últimos se refieran a fines urbanísticos o de protección o mejora de espacios naturales y bienes inmuebles del patrimonio cultural. Frente a ello, la nueva redacción del art. 167.1 del Decreto Legislativo 1/2010, incluye entre los usos a los que pueden destinarse los bienes o recursos del patrimonio público de suelo y de vivienda que se cedan gratuitamente o se enajenen por un precio inferior al de su valoración, el de “generar actividad económica en áreas deprimidas”, destino en el que claramente no concurre la finalidad urbanística ni la de protección o mejora medioambiental o cultural exigida por la normativa básica.</w:t>
      </w:r>
    </w:p>
    <w:p w:rsidR="00163957" w:rsidRDefault="00163957" w:rsidP="00163957">
      <w:pPr>
        <w:pStyle w:val="TextoNormal"/>
      </w:pPr>
    </w:p>
    <w:p w:rsidR="00163957" w:rsidRDefault="00163957" w:rsidP="00163957">
      <w:pPr>
        <w:pStyle w:val="TextoNormal"/>
      </w:pPr>
      <w:r>
        <w:t xml:space="preserve">El argumento se completa al afirmar que la previsión del art. 39.1 del Real Decreto Legislativo 2/2008, de 20 de junio, constituye una clara base de ordenación económica </w:t>
      </w:r>
      <w:r w:rsidRPr="00163957">
        <w:rPr>
          <w:i/>
        </w:rPr>
        <w:t>ex</w:t>
      </w:r>
      <w:r>
        <w:t xml:space="preserve"> art. 149.1.13 CE, según nuestra doctrina constitucional, como lo son también los dos apartados del art. 38 del Real Decreto Legislativo 2/2008, de 20 de junio, que contienen los rasgos definitorios y esenciales del patrimonio público del suelo. Las razones que avalan esa conclusión se congregan en torno a la consideración de que el art. 38 del Real Decreto Legislativo 2/2008, de 20 de junio, establece reglas de estructuración del mercado del suelo que se alejan del principio de obtención del máximo beneficio, vinculando a uno de los principales oferentes en ese mercado, esto es la Administración actuante, a emplear este suelo para satisfacer el derecho a la vivienda de las capas sociales que más lo necesitan y para los mencionados usos de interés social, debiendo por ello revertir los ingresos obtenidos por enajenación o sustitución, en la “conservación, administración y ampliación” del propio patrimonio público separado o en “los usos propios de su destino” (art. 38.2 del Real Decreto Legislativo 2/2008, de 20 de junio).</w:t>
      </w:r>
    </w:p>
    <w:p w:rsidR="00163957" w:rsidRDefault="00163957" w:rsidP="00163957">
      <w:pPr>
        <w:pStyle w:val="TextoNormal"/>
      </w:pPr>
    </w:p>
    <w:p w:rsidR="00163957" w:rsidRDefault="00163957" w:rsidP="00163957">
      <w:pPr>
        <w:pStyle w:val="TextoNormal"/>
      </w:pPr>
      <w:r>
        <w:t>El Abogado del Estado especifica asimismo que el primer inciso del art. 39.1 del Real Decreto Legislativo 2/2008, de 20 de junio que prescribe un destino obligatorio, aunque no único, para “los bienes y recursos que integran necesariamente los patrimonios públicos del suelo en virtud de lo dispuesto en el apartado 1 del artículo anterior”, ha de considerarse norma básica sobre la actividad económica general (art. 149.1.13 CE) “en relación con la vivienda”, puesto que así se desprende con toda claridad de la STC 61/1997, concretamente de su fundamento jurídico 36, que también sostendría el carácter de norma básica del segundo inciso del art. 39.1 del Real Decreto Legislativo 2/2008, de 20 de junio, que permite que los terrenos de los patrimonios públicos alcancen otros “usos de interés social”. Esta última previsión se refiere a usos excepcionales para los terrenos adquiridos en virtud del deber regulado en el art. 16.1 b) del Real Decreto Legislativo 2/2008, de 20 de junio, y su objetivo es preservar la efectividad de la norma básica, es decir, garantizar que los terrenos de los patrimonios públicos se destinen a la construcción de viviendas protegidas, exigiendo que el apartamiento de esta finalidad por obra del legislador autonómico esté objetivamente justificado en una finalidad de interés urbanístico, ambiental o cultural y no de otro tipo. Por tanto, si se admite como básica la prescripción del fin (esto es la construcción de viviendas protegidas), igualmente básica ha de ser una norma complementaria con la que se protege la consecución de la finalidad prescrita (excepcionalidad tasada de otros usos de interés social).</w:t>
      </w:r>
    </w:p>
    <w:p w:rsidR="00163957" w:rsidRDefault="00163957" w:rsidP="00163957">
      <w:pPr>
        <w:pStyle w:val="TextoNormal"/>
      </w:pPr>
    </w:p>
    <w:p w:rsidR="00163957" w:rsidRDefault="00163957" w:rsidP="00163957">
      <w:pPr>
        <w:pStyle w:val="TextoNormal"/>
      </w:pPr>
      <w:r>
        <w:lastRenderedPageBreak/>
        <w:t>La argumentación del recurrente concluye con la afirmación de que, resultando materialmente básicos y debidamente amparados en la competencia reservada al Estado por el art. 149.1.13 CE, los arts. 38 y 39.1 del Real Decreto Legislativo 2/2008, de 20 de junio, que actúan como norma de contraste, la previsión contenida en el art. 167.1 del Decreto Legislativo 1/2010, tras la redacción dada por el art. 59 de la Ley 3/2012, objeto del presente recurso, de que pueden destinarse los bienes o recursos del patrimonio público de suelo y de vivienda a la finalidad de generar actividad económica en áreas deprimidas, hace que el precepto impugnado adolezca de la inconstitucionalidad mediata que se denuncia, pues con dicho destino no se persigue finalidad urbanística alguna ni de protección o mejora del medioambiente o del patrimonio cultural, finalidades, todas ellas, previstas en la legislación básica.</w:t>
      </w:r>
    </w:p>
    <w:p w:rsidR="00163957" w:rsidRDefault="00163957" w:rsidP="00163957">
      <w:pPr>
        <w:pStyle w:val="TextoNormal"/>
      </w:pPr>
    </w:p>
    <w:p w:rsidR="00163957" w:rsidRDefault="00163957" w:rsidP="00163957">
      <w:pPr>
        <w:pStyle w:val="TextoNormal"/>
      </w:pPr>
      <w:r>
        <w:t>b) El art. 64.4 de la Ley 3/2012, al dar nueva redacción al apartado 5 del art. 187 del Decreto Legislativo 1/2010, afecta a la regulación básica estatal sobre procedimiento administrativo común, invadiendo las competencias que otorga al Estado el núm. 18 del art. 149.1 CE.</w:t>
      </w:r>
    </w:p>
    <w:p w:rsidR="00163957" w:rsidRDefault="00163957" w:rsidP="00163957">
      <w:pPr>
        <w:pStyle w:val="TextoNormal"/>
      </w:pPr>
    </w:p>
    <w:p w:rsidR="00163957" w:rsidRDefault="00163957" w:rsidP="00163957">
      <w:pPr>
        <w:pStyle w:val="TextoNormal"/>
      </w:pPr>
      <w:r>
        <w:t>El Abogado del Estado afirma que el juego combinado de los arts. 187.5 del Decreto Legislativo 1/2010 y 36.2 de la Ley 26/2010, de 3 de agosto, de régimen jurídico y de procedimiento de las Administraciones públicas de Cataluña, resulta contradictorio con el contenido del art. 23 del Real Decreto-ley 8/2011 de 1 de julio, de medidas de apoyo a los deudores hipotecarios, de control del gasto público y cancelación de deudas con empresas y autónomos contraídas por las entidades locales, de fomento de la actividad empresarial e impulso de la rehabilitación y simplificación administrativa (Real Decreto Legislativo 8/2011), que se erige, en este ámbito como norma básica estatal.</w:t>
      </w:r>
    </w:p>
    <w:p w:rsidR="00163957" w:rsidRDefault="00163957" w:rsidP="00163957">
      <w:pPr>
        <w:pStyle w:val="TextoNormal"/>
      </w:pPr>
    </w:p>
    <w:p w:rsidR="00163957" w:rsidRDefault="00163957" w:rsidP="00163957">
      <w:pPr>
        <w:pStyle w:val="TextoNormal"/>
      </w:pPr>
      <w:r>
        <w:t xml:space="preserve">El art. 23 del Real Decreto Legislativo 8/2011 requiere, para la primera ocupación de edificaciones de nueva construcción, incluidas casas prefabricadas e instalaciones similares, un acto expreso de conformidad, aprobación o autorización administrativa, el que sea preceptivo según la legislación de ordenación territorial y urbanística, estableciéndose además el sentido negativo del silencio administrativo si, tras el vencimiento del plazo máximo, no se notificara la resolución expresa. En cambio el art. 187.5 del Decreto Legislativo 1/2010, en la redacción dada por el art. 64.4 de la Ley 3/2012, frente al criterio contenido en la legislación estatal, permite la primera utilización y ocupación de los edificios y construcciones con el único requisito de su comunicación previa al ayuntamiento, lo que supone reconocer </w:t>
      </w:r>
      <w:r w:rsidRPr="00163957">
        <w:rPr>
          <w:i/>
        </w:rPr>
        <w:t>ex lege</w:t>
      </w:r>
      <w:r>
        <w:t xml:space="preserve"> un derecho a la ocupación de la edificación remitiendo la verificación del cumplimiento de los requisitos legalmente previstos a tal efecto a un momento posterior, el de su comprobación por la Administración competente, impidiendo con ello que opere la técnica del silencio negativo que establece la legislación básica estatal.</w:t>
      </w:r>
    </w:p>
    <w:p w:rsidR="00163957" w:rsidRDefault="00163957" w:rsidP="00163957">
      <w:pPr>
        <w:pStyle w:val="TextoNormal"/>
      </w:pPr>
    </w:p>
    <w:p w:rsidR="00163957" w:rsidRDefault="00163957" w:rsidP="00163957">
      <w:pPr>
        <w:pStyle w:val="TextoNormal"/>
      </w:pPr>
      <w:r>
        <w:t xml:space="preserve">Expresada la incompatibilidad normativa, el Abogado del Estado justifica el carácter formal y materialmente básico del art. 23 del Real Decreto Legislativo 8/2011. Formalmente, constituye una norma legal que se dicta en virtud de los apartados 1 y 18 del art. 149.1 CE, que atribuyen al Estado competencia exclusiva en materia de regulación de las condiciones básicas de la igualdad en el ejercicio de los derechos y el cumplimiento de los correspondientes deberes constitucionales y sobre las bases del régimen jurídico de las Administraciones públicas y el procedimiento administrativo común [disposición final primera apartado 1 d) del Real Decreto Legislativo 8/2011]. Por lo que hace al carácter materialmente </w:t>
      </w:r>
      <w:r>
        <w:lastRenderedPageBreak/>
        <w:t>básico del art. 23 del Real Decreto Legislativo 8/2011, se justifica en la cobertura que le da el art. 149.1.18 CE, invocando la jurisprudencia constitucional que concreta su contenido (con cita de las SSTC 32/1981, 227/1988, y 50/1999) y determina que el Estado ostenta competencia exclusiva sobre el procedimiento administrativo común así como para el dictado de las bases del régimen jurídico de las Administraciones públicas. Según la Abogacía del Estado ambas competencias se inspiran en la necesidad de garantizar a los ciudadanos un tratamiento común ante todas las Administraciones, de modo que este elemento teleológico conduce decisivamente a definir, tanto los aspectos básicos del régimen jurídico de las Administraciones, como el procedimiento administrativo común. Esta parte continúa su argumentación afirmando que la regulación estatal de ciertos procedimientos formalizados se ha justificado en atención al título competencial recogido en el art. 149.1.1 CE, plenamente vinculado al régimen constitucional de los derechos y deberes de los ciudadanos, en la medida en que es posible afirmar que la concepción constitucional del procedimiento administrativo común viene esencialmente determinada por un elemento finalista garantista, que permite la regulación común de ciertos procedimientos especiales (con cita de la STC 23/1993). Sintetizando sus argumentos, el Abogado del Estado afirma que la correcta cobertura competencial del art. 23.2 del Real Decreto Legislativo 8/2011, por el art. 149.1.18 CE no puede cuestionarse, por la naturaleza esencialmente garantista que concurre en la técnica administrativa que recoge el artículo 23, que persigue la protección del interés general en la medida en que el carácter negativo del silencio constituye una garantía encaminada a preservar la legalidad urbanística.</w:t>
      </w:r>
    </w:p>
    <w:p w:rsidR="00163957" w:rsidRDefault="00163957" w:rsidP="00163957">
      <w:pPr>
        <w:pStyle w:val="TextoNormal"/>
      </w:pPr>
    </w:p>
    <w:p w:rsidR="00163957" w:rsidRDefault="00163957" w:rsidP="00163957">
      <w:pPr>
        <w:pStyle w:val="TextoNormal"/>
      </w:pPr>
      <w:r>
        <w:t>Constatado el carácter formal y materialmente básico del art. 23.2 del Real Decreto Legislativo 8/2011, considera el Abogado del Estado que deviene inconstitucional por oposición con aquel, el art. 64.4 de la Ley catalana 3/2012, dado que, al sujetar a comunicación previa la primera utilización y ocupación de los edificios y construcciones, impide que opere el silencio negativo básicamente establecido.</w:t>
      </w:r>
    </w:p>
    <w:p w:rsidR="00163957" w:rsidRDefault="00163957" w:rsidP="00163957">
      <w:pPr>
        <w:pStyle w:val="TextoNormal"/>
      </w:pPr>
    </w:p>
    <w:p w:rsidR="00163957" w:rsidRDefault="00163957" w:rsidP="00163957">
      <w:pPr>
        <w:pStyle w:val="TextoNormal"/>
      </w:pPr>
      <w:r>
        <w:t>c) Por último, argumenta el Abogado del Estado, que el apartado 7 de la disposición adicional sexta de la Ley 3/2012, vulnera la titularidad estatal sobre el dominio público marítimo-terrestre (art. 132.2 CE), resultando contrario a lo establecido por el Estado en la Ley 22/1988, de 28 de julio, de costas (LC).</w:t>
      </w:r>
    </w:p>
    <w:p w:rsidR="00163957" w:rsidRDefault="00163957" w:rsidP="00163957">
      <w:pPr>
        <w:pStyle w:val="TextoNormal"/>
      </w:pPr>
    </w:p>
    <w:p w:rsidR="00163957" w:rsidRDefault="00163957" w:rsidP="00163957">
      <w:pPr>
        <w:pStyle w:val="TextoNormal"/>
      </w:pPr>
      <w:r>
        <w:t>El Abogado del Estado arranca su argumentación recordando que el art. 132.2 CE atribuye al Estado la titularidad del dominio público marítimo-terrestre, no sólo declarando el carácter demanial de los espacios costeros, sino indicando también que la propiedad de los mismos es estatal, lo que si bien no implica la atribución de ningún título competencial, ni altera la distribución de competencias estatales y autonómicas que la Constitución fija (con cita de las SSTC 58/1982, 77/1984, 227/1988 y 149/1991), sí habilita al Estado, como titular del dominio, para incidir sobre las competencias que ostentan las Comunidades Autónomas costeras respecto de la ordenación del territorio (con cita de la STC 162/2012).</w:t>
      </w:r>
    </w:p>
    <w:p w:rsidR="00163957" w:rsidRDefault="00163957" w:rsidP="00163957">
      <w:pPr>
        <w:pStyle w:val="TextoNormal"/>
      </w:pPr>
    </w:p>
    <w:p w:rsidR="00163957" w:rsidRDefault="00163957" w:rsidP="00163957">
      <w:pPr>
        <w:pStyle w:val="TextoNormal"/>
      </w:pPr>
      <w:r>
        <w:t xml:space="preserve">El Abogado del Estado se refiere al art. 149.3 EAC, que atribuye a la Generalitat la competencia sobre ordenación del litoral, recordando que la STC 31/2010, interpreta el apartado b) del citado precepto estableciendo que se trata de una competencia de naturaleza ejecutiva, sujeta por tanto a las potestades estatales, estableciéndose de ese modo que la actividad normativa de determinación de los títulos habilitantes para el uso del dominio público marítimo-terrestre no corresponde al título competencial de ordenación del territorio, sino al </w:t>
      </w:r>
      <w:r>
        <w:lastRenderedPageBreak/>
        <w:t>derivado de la titularidad de ese dominio público, no pudiendo la Generalitat entrar a regular la comunicación previa como forma de ocupación del dominio público marítimo-terrestre. De lo anterior se concluye que corresponde al Estado definir legislativamente en la Ley de costas, el dominio público estatal y establecer el régimen jurídico de los bienes que lo integran, así como adoptar las medidas precisas para proteger la integridad del demanio, preservar sus características naturales y su libre utilización. A partir de ahí el Abogado del Estado cita los arts. 2.2, 31.1 y 2, 32, 51.1, 53.1 y 110 b) de la Ley de costas, para concluir que es competencia estatal la gestión del dominio público marítimo-terrestre, incluyendo el otorgamiento de adscripciones, concesiones y autorizaciones para su ocupación y aprovechamiento, las declaraciones de zona de reserva y, en todo caso, las concesiones de obras fijas en el mar, así como las instalaciones marítimas menores como embarcaderos, pantalanes, varaderos y otras análogas que no formen parte de un puerto o estén adscritas al mismo. De tal competencia que delimita las reservas o adscripciones, concesiones y autorizaciones como títulos habilitantes únicos para articular la ocupación y aprovechamiento del demanio, en la medida en que tales títulos prevén manifestaciones de la titularidad del dominio público, se deriva que la Comunidad Autónoma no puede hacer uso de un título adicional o fórmula de ocupación y explotación del dominio público marítimo-terrestre como es la comunicación de ocupación, en la medida en que el Estado no la contempla, siendo quien tiene la competencia para ello. Esta actividad normativa de la Comunidad Autónoma supone, a juicio del Abogado del Estado, la regulación de un nuevo título habilitante distinto de la autorización o concesión que prevé la Ley de costas y el ejercicio de una competencia normativa de la que carece la Generalitat.</w:t>
      </w:r>
    </w:p>
    <w:p w:rsidR="00163957" w:rsidRDefault="00163957" w:rsidP="00163957">
      <w:pPr>
        <w:pStyle w:val="TextoNormal"/>
      </w:pPr>
    </w:p>
    <w:p w:rsidR="00163957" w:rsidRDefault="00163957" w:rsidP="00163957">
      <w:pPr>
        <w:pStyle w:val="TextoNormal"/>
      </w:pPr>
      <w:r w:rsidRPr="00163957">
        <w:rPr>
          <w:rStyle w:val="NumeroAFNegritaCaracter"/>
        </w:rPr>
        <w:t>3</w:t>
      </w:r>
      <w:r>
        <w:t>. A propuesta de la Sección Cuarta, el Pleno del Tribunal Constitucional, por providencia de 11 de diciembre de 2012, acordó admitir a trámite el recurso de inconstitucionalidad promovido por el Presidente del Gobierno, contra los artículos 59, 64.4 y apartado séptimo de la disposición adicional sexta de la Ley del Parlamento de Cataluña 3/2012, de 22 de febrero, de modificación del texto refundido de la Ley de urbanismo, aprobado por el Decreto Legislativo 1/2010, de 3 de agosto. Acordó, asimismo, dar traslado de la demanda y documentos presentados, conforme establece el art. 34 LOTC, al Congreso de los Diputados y al Senado, por conducto de sus Presidentes, así como a la Generalitat de Cataluña y al Parlamento de Cataluña, por conducto de sus Presidentes, al objeto de que, en el plazo de quince días, pudieran personarse en el proceso y formular las alegaciones que estimaren convenientes. Asimismo, en la providencia se hace constar que el Presidente del Gobierno ha invocado el art. 161.2 CE, lo que produce la suspensión de la vigencia y aplicación de los preceptos impugnados desde la fecha de interposición del recurso —30 de noviembre de 2012—, para las partes del proceso, y desde la publicación del correspondiente edicto en el “Boletín Oficial del Estado” para los terceros. Finalmente, se ordena la publicación de la incoación del recurso en el “Boletín Oficial del Estado” y en el “Diari Oficial de la Generalitat de Catalunya”.</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sendos escritos presentados en el Registro General de este Tribunal los días 19 y 20 de diciembre de 2012, los Presidentes del Senado y del Congreso de los Diputados respectivamente, comunicaron los acuerdos de las Mesas de una y otra Cámara de personarse en el procedimiento, dando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5</w:t>
      </w:r>
      <w:r>
        <w:t>. La Abogada de la Generalitat de Cataluña, en nombre y representación del gobierno autonómico, se opone a la demanda formulada por el Abogado del Estado, interesando del Tribunal Constitucional su total desestimación.</w:t>
      </w:r>
    </w:p>
    <w:p w:rsidR="00163957" w:rsidRDefault="00163957" w:rsidP="00163957">
      <w:pPr>
        <w:pStyle w:val="TextoNormal"/>
      </w:pPr>
    </w:p>
    <w:p w:rsidR="00163957" w:rsidRDefault="00163957" w:rsidP="00163957">
      <w:pPr>
        <w:pStyle w:val="TextoNormal"/>
      </w:pPr>
      <w:r>
        <w:t>Las alegaciones de la Generalitat parten de la consideración de que los preceptos autonómicos impugnados inciden en las materias de urbanismo y ordenación del territorio, ambas de competencia autonómica exclusiva en virtud de lo dispuesto en el art. 149.5 EAC, con particular incidencia del art. 59 de la Ley 3/2012 en la submateria de patrimonio público de suelo; del artículo 64.4 de la misma norma en la submateria de intervención sobre la edificación y uso del suelo; y de la disposición adicional sexta, apartado 7, en las materias de ordenación del territorio y del litoral y urbanismo, sin descartar su relación con las materias de protección del dominio público marítimo terrestre y protección del medio ambiente.</w:t>
      </w:r>
    </w:p>
    <w:p w:rsidR="00163957" w:rsidRDefault="00163957" w:rsidP="00163957">
      <w:pPr>
        <w:pStyle w:val="TextoNormal"/>
      </w:pPr>
    </w:p>
    <w:p w:rsidR="00163957" w:rsidRDefault="00163957" w:rsidP="00163957">
      <w:pPr>
        <w:pStyle w:val="TextoNormal"/>
      </w:pPr>
      <w:r>
        <w:t>La Abogada de la Generalitat, con la pretensión de definir el ámbito competencial de la controversia planteada, recuerda el contenido que se ha dado a la competencia de urbanismo, acudiendo a la STC 61/1997 que interpreta, afirmando que la misma se refiere al urbanismo objetivo entendido como disciplina de ordenación de la ciudad, que incluye la competencia normativa para regular los criterios y los procesos de transformación urbanística, así como para determinar los instrumentos de planificación y de gestión y ejecución a su servicio, sin perjuicio de su eventual condicionamiento por las competencias estatales concurrentes [STC 61/1997, FJ 9.b)]. En este marco, afirma que el art. 149.5, apartado b) EAC atribuye de forma expresa a la Generalitat la competencia exclusiva respecto a dos de las submaterias sobre las que versa la presente controversia, que son, de una parte, los patrimonios públicos de suelo y vivienda, en la que incide el art. 59 de la Ley 3/2012 y, de otra parte, el régimen de la intervención administrativa en la edificación, la urbanización y el uso del suelo y el subsuelo, submateria en la que se encuadra la regulación del art. 64.4 de la Ley 3/2012.</w:t>
      </w:r>
    </w:p>
    <w:p w:rsidR="00163957" w:rsidRDefault="00163957" w:rsidP="00163957">
      <w:pPr>
        <w:pStyle w:val="TextoNormal"/>
      </w:pPr>
    </w:p>
    <w:p w:rsidR="00163957" w:rsidRDefault="00163957" w:rsidP="00163957">
      <w:pPr>
        <w:pStyle w:val="TextoNormal"/>
      </w:pPr>
      <w:r>
        <w:t xml:space="preserve">Por lo que hace a la ordenación del litoral, la Generalitat afirma, citando la STC 149/1991, que esta competencia forma parte de la ordenación del territorio, siendo por ello atribuible a la Comunidad Autónoma, que la ejercerá teniendo en cuenta la necesaria relativización de la misma por obra de los títulos competenciales del Estado que concurren en el litoral y del contenido del art. 132.2 CE. Así, esta parte admite que mientras que la incidencia del Estado sobre el espacio integrante del dominio público marítimo-terrestre al que se refiere el art. 132.2 CE se halla habilitada por la titularidad estatal sobre dicho espacio territorial, que incluye la competencia para su protección y para garantizar su libre utilización por los ciudadanos, en el caso de los terrenos de propiedad privada colindantes con el dominio público marítimo-terrestre, en los que dicha titularidad pública no existe, la intervención del Estado para proteger las características propias del dominio público marítimo-terrestre y asegurar su libre uso público, descansa en la competencia que el art. 149.1 CE reserva al Estado, de una parte en su apartado 1 para fijar las condiciones básicas de igualdad en el ejercicio de los derechos y en el cumplimiento de los deberes constitucionales, y de otro lado, en su apartado 23, que reserva al Estado la competencia para dictar la legislación básica sobre protección del medio ambiente. De la lectura combinada de ambos preceptos realizada por las SSTC 149/1991, 46/2007, 87/2012 y 162/2012, se infiere que el Estado es titular del dominio público marítimo-terrestre, teniendo competencia para su delimitación, el establecimiento del régimen jurídico de los bienes que lo integran y la adopción de las </w:t>
      </w:r>
      <w:r>
        <w:lastRenderedPageBreak/>
        <w:t>medidas necesarias para garantizar su integridad y su libre utilización, sumando a esas competencias, respecto de la servidumbre de protección, la de sujetar dichos terrenos a limitaciones de utilización con el objetivo de establecer las condiciones básicas de igualdad de los ciudadanos en su derecho al disfrute del dominio público costero, así como las condiciones básicas de igualdad de los titulares de dichos terrenos en el ejercicio de su derecho de propiedad (</w:t>
      </w:r>
      <w:r w:rsidRPr="00163957">
        <w:rPr>
          <w:i/>
        </w:rPr>
        <w:t>ex</w:t>
      </w:r>
      <w:r>
        <w:t xml:space="preserve"> art. 149.1.1 CE), así como la de imponer limitaciones a la utilización de los referidos terrenos de propiedad privada para asegurar la protección de los valores paisajísticos y ambientales del dominio público marítimo-terrestre (</w:t>
      </w:r>
      <w:r w:rsidRPr="00163957">
        <w:rPr>
          <w:i/>
        </w:rPr>
        <w:t>ex</w:t>
      </w:r>
      <w:r>
        <w:t xml:space="preserve"> art. 149.1.23 CE), sin que el establecimiento de tales limitaciones pueda comportar, sin embargo, una ordenación de los usos del suelo. Por su parte, corresponde a las comunidades autónomas el ejercicio de sus competencias en materia de urbanismo, ordenación del territorio y del litoral y de desarrollo legislativo de la legislación estatal básica sobre protección del medio ambiente, tanto en relación con los terrenos de la servidumbre de protección, como respecto al propio demanio público marítimo-terrestre (con cita de la SSTC 87/2012, FJ 4, y 162/2012, FJ 7).</w:t>
      </w:r>
    </w:p>
    <w:p w:rsidR="00163957" w:rsidRDefault="00163957" w:rsidP="00163957">
      <w:pPr>
        <w:pStyle w:val="TextoNormal"/>
      </w:pPr>
    </w:p>
    <w:p w:rsidR="00163957" w:rsidRDefault="00163957" w:rsidP="00163957">
      <w:pPr>
        <w:pStyle w:val="TextoNormal"/>
      </w:pPr>
      <w:r>
        <w:t>A partir de la definición del marco competencial descrito, la Abogada de la Generalitat analiza cada uno de los preceptos impugnados, realizando las siguientes consideraciones:</w:t>
      </w:r>
    </w:p>
    <w:p w:rsidR="00163957" w:rsidRDefault="00163957" w:rsidP="00163957">
      <w:pPr>
        <w:pStyle w:val="TextoNormal"/>
      </w:pPr>
    </w:p>
    <w:p w:rsidR="00163957" w:rsidRDefault="00163957" w:rsidP="00163957">
      <w:pPr>
        <w:pStyle w:val="TextoNormal"/>
      </w:pPr>
      <w:r>
        <w:t>a) El art. 59 de la Ley 3/2012 está amparado en la competencia exclusiva que el art. 149.5 d) EAC atribuye a la Generalitat en materia de patrimonios públicos de suelo y vivienda, siendo este de los patrimonios públicos de suelo un instrumento urbanístico creado al servicio de las políticas de suelo y vivienda de las Administraciones autonómicas y locales competentes en materia de urbanismo y vivienda.</w:t>
      </w:r>
    </w:p>
    <w:p w:rsidR="00163957" w:rsidRDefault="00163957" w:rsidP="00163957">
      <w:pPr>
        <w:pStyle w:val="TextoNormal"/>
      </w:pPr>
    </w:p>
    <w:p w:rsidR="00163957" w:rsidRDefault="00163957" w:rsidP="00163957">
      <w:pPr>
        <w:pStyle w:val="TextoNormal"/>
      </w:pPr>
      <w:r>
        <w:t xml:space="preserve">La Abogada de la Generalitat glosa el fundamento jurídico 36 de la STC 61/1997, afirmando que en el mismo se reconoce la competencia estatal </w:t>
      </w:r>
      <w:r w:rsidRPr="00163957">
        <w:rPr>
          <w:i/>
        </w:rPr>
        <w:t>ex</w:t>
      </w:r>
      <w:r>
        <w:t xml:space="preserve"> art. 149.1.13 CE para fijar algunos criterios generales sobre política del suelo dado su impacto directo sobre la política económica general; para imponer la constitución de los patrimonios municipales de suelo (que no los autonómicos), con los objetivos indicados en el art. 276 del Real Decreto Legislativo 7/1992, del texto refundido de la Ley del suelo, de regular el mercado de terrenos, obtener reservas de suelo para actuaciones de iniciativa pública y facilitar la ejecución del planeamiento; y para prever el destino a vivienda protegida u otros usos de interés social de aquellos bienes, integrantes de los patrimonios municipales de suelo, ya incorporados al proceso urbanizador y edificatorio, cuya calificación urbanística fuera compatible con tales destinos (art. 280 del Real Decreto Legislativo 7/1992), dejando abierta la posibilidad de destinar el resto de bienes integrantes de dichos patrimonios no incorporados al proceso urbanizador y edificatorio o cuya ordenación urbanística sea incompatible con los referidos destinos de vivienda protegida u otros usos de interés social, a las finalidades genéricas establecidas en el art. 276 del Real Decreto Legislativo 7/1992. Asimismo, recuerda esta parte que el Tribunal negó competencia al legislador estatal para: fijar los bienes que debían integrar los patrimonios municipales de suelo (art. 277 del Real Decreto Legislativo 7/1992); regular las reservas de terrenos de posible adquisición con destino a los patrimonios municipales de suelo (art. 278.1 del Real Decreto Legislativo 7/1992); y establecer la regulación contenida en los arts. 282.2, 284.3, 285 y 286 del Real Decreto Legislativo 7/1992 relativos a las cesiones de terrenos integrantes de los patrimonios municipales de suelo, siendo el art. 286.2 del Real Decreto Legislativo 7/1992 altamente coincidente con el contenido del art. 59 de la Ley catalana 3/2012.</w:t>
      </w:r>
    </w:p>
    <w:p w:rsidR="00163957" w:rsidRDefault="00163957" w:rsidP="00163957">
      <w:pPr>
        <w:pStyle w:val="TextoNormal"/>
      </w:pPr>
    </w:p>
    <w:p w:rsidR="00163957" w:rsidRDefault="00163957" w:rsidP="00163957">
      <w:pPr>
        <w:pStyle w:val="TextoNormal"/>
      </w:pPr>
      <w:r>
        <w:lastRenderedPageBreak/>
        <w:t xml:space="preserve">Continúa la argumentación de esta parte negando carácter materialmente básico a los arts. 38 y 39, apartados 1 y 2 del Real Decreto Legislativo 2/2008, de 20 de junio, en los puntos en que entran en conflicto con la legislación autonómica. Al respecto, entiende que el art. 38.1 del Real Decreto Legislativo 2/2008, de 20 de junio, halla cobertura en el apartado 13 del art. 149.1 CE excepto en lo relativo a la determinación de los bienes que deben integrarse preceptivamente en los patrimonios públicos de suelo y en lo que hace a la previsión de su constitución como patrimonio separado y el destino de los ingresos de su gestión (art. 38.2 del Real Decreto Legislativo 2/2008, de 20 de junio), dado que se trata de prescripciones sobre el régimen jurídico de los patrimonios públicos de suelo que no guardan relación con la planificación general de la economía, sino que forman parte de la competencia exclusiva de la Generalitat de Cataluña </w:t>
      </w:r>
      <w:r w:rsidRPr="00163957">
        <w:rPr>
          <w:i/>
        </w:rPr>
        <w:t>ex</w:t>
      </w:r>
      <w:r>
        <w:t xml:space="preserve"> art. 149.5 d) EAC sobre los patrimonios públicos de suelo y vivienda, y en el caso de los patrimonios públicos autonómicos, de la competencia de autoorganización atribuida por el art. 150 EAC. Los argumentos anteriores se completan con la invocación del apartado 2 de la disposición final primera del texto refundido de la Ley del suelo de 2008, redactado conforme a la enmienda transaccional aprobada por el Senado el 11 de abril de 2007, con objeto, justamente, de salvar la competencia exclusiva sobre los patrimonios públicos de suelo de las comunidades autónomas que la tuvieran reconocida estatutariamente. En consonancia con la argumentación anterior, esta parte niega también el carácter materialmente básico del art. 39 del Real Decreto Legislativo 2/2008, de 20 de junio, al entender que este precepto incurre en exceso competencial, con la subsiguiente vulneración de la competencia exclusiva que el art. 149.5 d) EAC atribuye a la Generalitat de Cataluña sobre los patrimonios públicos de suelo y vivienda, porque la regulación que contiene no posee incidencia directa e inmediata en la actividad económica general.</w:t>
      </w:r>
    </w:p>
    <w:p w:rsidR="00163957" w:rsidRDefault="00163957" w:rsidP="00163957">
      <w:pPr>
        <w:pStyle w:val="TextoNormal"/>
      </w:pPr>
    </w:p>
    <w:p w:rsidR="00163957" w:rsidRDefault="00163957" w:rsidP="00163957">
      <w:pPr>
        <w:pStyle w:val="TextoNormal"/>
      </w:pPr>
      <w:r>
        <w:t>A pesar de negar el carácter materialmente básico de las normas estatales que el Abogado del Estado define como básicas y determinantes de la inconstitucionalidad mediata del art. 59 de la ley catalana 3/2012, la Abogada de la Generalitat no concluye ahí su argumentación, pasando a negar la contradicción entre el precepto impugnado y los arts. 38 y 39 del Real Decreto Legislativo 2/2008, de 20 de junio.</w:t>
      </w:r>
    </w:p>
    <w:p w:rsidR="00163957" w:rsidRDefault="00163957" w:rsidP="00163957">
      <w:pPr>
        <w:pStyle w:val="TextoNormal"/>
      </w:pPr>
    </w:p>
    <w:p w:rsidR="00163957" w:rsidRDefault="00163957" w:rsidP="00163957">
      <w:pPr>
        <w:pStyle w:val="TextoNormal"/>
      </w:pPr>
      <w:r>
        <w:t>De un lado, se rebate la contradicción entre el art. 38.2 del Real Decreto Legislativo 2/2008, de 20 de junio, y el apartado 1 del art. 167 del Decreto Legislativo 1/2010 (en la redacción otorgada por el art. 59 de la Ley 3/2012), por referirse uno y otro precepto a supuestos distintos. Así, el art. 38.2 del Real Decreto Legislativo 2/2008, de 20 de junio, entiende la parte que se referiría al destino de unas cantidades dinerarias específicas (los ingresos obtenidos por la venta onerosa de terrenos y los importes dinerarios substitutorios del deber de cesión de suelo con aprovechamiento), mientras que el precepto impugnado lo haría a los destinos específicos, dentro de las finalidades genéricas de los patrimonios públicos de suelo, que justifican que los terrenos integrantes de los patrimonios públicos de suelo y vivienda puedan ser cedidos gratuitamente o enajenados a precio inferior a su valor.</w:t>
      </w:r>
    </w:p>
    <w:p w:rsidR="00163957" w:rsidRDefault="00163957" w:rsidP="00163957">
      <w:pPr>
        <w:pStyle w:val="TextoNormal"/>
      </w:pPr>
    </w:p>
    <w:p w:rsidR="00163957" w:rsidRDefault="00163957" w:rsidP="00163957">
      <w:pPr>
        <w:pStyle w:val="TextoNormal"/>
      </w:pPr>
      <w:r>
        <w:t xml:space="preserve">De otro lado, el precepto impugnado tampoco entraría en contradicción con lo establecido en el art. 39.1 del Real Decreto Legislativo 2/2008, de 20 de junio, ya que, al determinar el destino a vivienda protegida u otros usos de interés social, este precepto remite al legislador urbanístico autonómico la determinación de los otros usos de interés social a los que, alternativamente a la construcción de vivienda protegida, pueden destinarse los bienes procedentes del deber de cesión regulado en el art. 16.1 b) del Real Decreto Legislativo 2/2008, </w:t>
      </w:r>
      <w:r>
        <w:lastRenderedPageBreak/>
        <w:t>de 20 de junio, remisión que habilita la previsión establecida en el art. 59 de la Ley 3/2012, de destinar tales terrenos a generar actividad económica en áreas deprimidas. La Abogada de la Generalitat completa el argumento anterior afirmando que, en último término, es posible efectuar una interpretación del art. 59 de la Ley 3/2012 acorde con el art. 39.1 del Real Decreto Legislativo 2/2008, de 20 de junio, entendiendo que quedan excluidos de la cesión o enajenación por precio inferior a su valor reguladas en el precepto autonómico, los terrenos que se hayan integrado en los patrimonios públicos de suelo procedentes del cumplimiento del deber de cesión de suelo con aprovechamiento establecido en el art. 16.1 b) del Real Decreto Legislativo 2/2008, de 20 de junio.</w:t>
      </w:r>
    </w:p>
    <w:p w:rsidR="00163957" w:rsidRDefault="00163957" w:rsidP="00163957">
      <w:pPr>
        <w:pStyle w:val="TextoNormal"/>
      </w:pPr>
    </w:p>
    <w:p w:rsidR="00163957" w:rsidRDefault="00163957" w:rsidP="00163957">
      <w:pPr>
        <w:pStyle w:val="TextoNormal"/>
      </w:pPr>
      <w:r>
        <w:t>b) El art. 64.4 de la Ley 3/2012 está amparado en la competencia exclusiva que el art. 149.1.5 d) EAC atribuye a la Generalitat en materia de intervención sobre la edificación y el uso del suelo, mientras que el art. 23.1 e) del Real Decreto Legislativo 8/2011, que el Abogado del Estado invoca como norma básica que determina la inconstitucionalidad mediata de la norma impugnada, es desposeído por la Abogada de la Generalitat del carácter materialmente básico.</w:t>
      </w:r>
    </w:p>
    <w:p w:rsidR="00163957" w:rsidRDefault="00163957" w:rsidP="00163957">
      <w:pPr>
        <w:pStyle w:val="TextoNormal"/>
      </w:pPr>
    </w:p>
    <w:p w:rsidR="00163957" w:rsidRDefault="00163957" w:rsidP="00163957">
      <w:pPr>
        <w:pStyle w:val="TextoNormal"/>
      </w:pPr>
      <w:r>
        <w:t>Esta parte admite la evidente contradicción entre el precepto estatal y el autonómico impugnado, ya que, mientras que el art. 23.1 e) del Real Decreto Legislativo 8/2011 somete la primera ocupación a un acto expreso de conformidad, cuya falta de notificación tiene, según establece el apartado 2 del precepto, efectos negativos desestimatorios de la solicitud, el nuevo apartado 5 del art. 187 del Decreto Legislativo 1/2010, incorporado por el art. 64.4 de la Ley 3/2012, subordina la primera ocupación del edificio a una simple comunicación previa, que permite llevar a cabo desde el día de su presentación. No obstante tal reconocimiento, la Abogada de la Generalitat niega que semejante contradicción suponga la inconstitucionalidad mediata del precepto impugnado, al afirmar que es el art. 23.1 e) y 2 del Real Decreto Legislativo 8/2011, el que incurre en exceso competencial, habiendo invadido la competencia autonómica exclusiva en materia de urbanismo, así como la relativa a la determinación de las peculiaridades procedimentales requeridas por el derecho sustantivo propio que le atribuye el art. 159.1 c) EAC, tal como en su día puso de manifiesto el Gobierno de la Generalitat de Cataluña en el recurso de inconstitucionalidad núm.1886-2012, interpuesto contra diversos preceptos del citado Real Decreto Ley 8/2011, entre ellos su artículo 23.</w:t>
      </w:r>
    </w:p>
    <w:p w:rsidR="00163957" w:rsidRDefault="00163957" w:rsidP="00163957">
      <w:pPr>
        <w:pStyle w:val="TextoNormal"/>
      </w:pPr>
    </w:p>
    <w:p w:rsidR="00163957" w:rsidRDefault="00163957" w:rsidP="00163957">
      <w:pPr>
        <w:pStyle w:val="TextoNormal"/>
      </w:pPr>
      <w:r>
        <w:t>La Abogada de la Generalitat descarta que el art. 23.1 e) y 2 del Real Decreto Legislativo 8/2011 tenga cobertura ni en el apartado 1, ni en el apartado 18 del art. 149.1 CE. Por lo que hace al primer precepto, trae a colación el fundamento jurídico 34 a) de la STC 61/1997 y descarta que la exigencia contenida en el art. 23 del Real Decreto Legislativo 8/2011 quede amparada en la competencia reservada al Estado en el art. 149.1.1 CE, al carecer el acto expreso de conformidad, recogido en el citado artículo 23, de carácter constitutivo y ser un mero acto declarativo de un derecho preexistente, destinado a ejercer el control administrativo de la actividad de edificación. Incluso aunque no se admitiera la interpretación que diferencia entre actos constitutivos y actos declarativos de derechos preexistentes, el art. 23 del Real Decreto Legislativo 8/2011, seguiría sin hallar cobertura en el art. 149.1.1 CE, puesto que, según la STC 61/1997, FJ 34 a), dicho título competencial únicamente ampararía la sujeción a intervención administrativa de los actos de edificación, dada su conexión con el derecho de propiedad y la materialización del aprovechamiento urbanístico, pero no habilitaría el sometimiento a licencia de los restantes usos del suelo, como es el caso de la licencia de primera ocupación de los edificios.</w:t>
      </w:r>
    </w:p>
    <w:p w:rsidR="00163957" w:rsidRDefault="00163957" w:rsidP="00163957">
      <w:pPr>
        <w:pStyle w:val="TextoNormal"/>
      </w:pPr>
    </w:p>
    <w:p w:rsidR="00163957" w:rsidRDefault="00163957" w:rsidP="00163957">
      <w:pPr>
        <w:pStyle w:val="TextoNormal"/>
      </w:pPr>
      <w:r>
        <w:t xml:space="preserve">La Abogada de la Generalitat también descarta el encaje del art. 23.1 e) y 2 del Real Decreto Legislativo 8/2011 en el art. 149.1.18 CE. Por un lado y, en lo que hace al régimen jurídico de las Administraciones públicas previsto en el citado apartado 18, la sujeción de la primera ocupación de los edificios a un acto expreso de conformidad, cuya falta de notificación en plazo permite entender desestimada la solicitud por silencio, no establece ningún régimen jurídico unitario de las Administraciones públicas, sino que incorpora una medida de intervención administrativa destinada a incrementar la seguridad jurídica en el mercado inmobiliario, impidiendo el otorgamiento de facultades urbanísticas relevantes mediante la técnica del silencio positivo, medida que se incluye dentro del urbanismo objetivo, de competencia exclusiva de la Comunidad Autónoma de Cataluña </w:t>
      </w:r>
      <w:r w:rsidRPr="00163957">
        <w:rPr>
          <w:i/>
        </w:rPr>
        <w:t>ex</w:t>
      </w:r>
      <w:r>
        <w:t xml:space="preserve"> art. 159.1 c) EAC. Por otro lado, la competencia estatal en materia de procedimiento administrativo común no habilita al Estado para regular todos los aspectos procedimentales (con cita del fundamento jurídico 3 de la STC 50/1999), ni supone una reserva en exclusiva al Estado para que regule todos los procedimientos administrativos especiales aplicables a la realización de cada tipo de actividad administrativa </w:t>
      </w:r>
      <w:r w:rsidRPr="00163957">
        <w:rPr>
          <w:i/>
        </w:rPr>
        <w:t>ratione materiae</w:t>
      </w:r>
      <w:r>
        <w:t xml:space="preserve"> (con cita de la STC 227/1988, FJ 32). El art. 23.1.e) del Real Decreto Legislativo 8/2011, no tiene la condición de regla de procedimiento sino que constituye una técnica de intervención administrativa dirigida, en este caso, a la protección de la legalidad urbanística, cuyo establecimiento corresponde al legislador titular de la competencia substantiva y, por tanto, al legislador urbanístico autonómico, tal como establece el art. 149.5 d) EAC. En cuanto a la determinación del sentido negativo del silencio, se trata de una prescripción que tampoco tiene cobijo en la competencia estatal del art. 149.1.18 CE, porque no establece una norma general sobre el régimen jurídico del silencio administrativo, sino una excepción a la regla general del silencio positivo en los procedimientos iniciados a instancia de parte que contiene el art. 43 de la Ley de régimen jurídico de las Administraciones públicas y del procedimiento administrativo común (LPC), precepto que, junto con el art. 44 LPC, agotaría, según la Generalitat, la regulación general y común del silencio administrativo.</w:t>
      </w:r>
    </w:p>
    <w:p w:rsidR="00163957" w:rsidRDefault="00163957" w:rsidP="00163957">
      <w:pPr>
        <w:pStyle w:val="TextoNormal"/>
      </w:pPr>
    </w:p>
    <w:p w:rsidR="00163957" w:rsidRDefault="00163957" w:rsidP="00163957">
      <w:pPr>
        <w:pStyle w:val="TextoNormal"/>
      </w:pPr>
      <w:r>
        <w:t>Si bien los argumentos anteriores bastarían para predicar la constitucionalidad del art. 64.4 de la Ley 3/2012, la representación procesal del Gobierno autonómico añade que el legislador estatal ha impuesto en el art. 43.1 LPC una condición para invertir la regla general del silencio positivo que no ha sido respetada por el art. 23.2 del Real Decreto Legislativo 8/2011, y que se refiere a la necesidad de motivar la concurrencia de razones imperiosas de interés general que justifiquen la inversión de la regla, omisión que implica una vulneración del principio de interdicción de la arbitrariedad de los poderes públicos contenido en el art. 9.3 CE. Las razones expuestas avalarían la afirmación de la Abogada de la Generalitat de que el art. 23.1 e) y 2 del Real Decreto Legislativo 8/2011 no pueda esgrimirse como parámetro de constitucionalidad para sostener la inconstitucionalidad indirecta o mediata del art. 64.4 de la Ley 3/2012.</w:t>
      </w:r>
    </w:p>
    <w:p w:rsidR="00163957" w:rsidRDefault="00163957" w:rsidP="00163957">
      <w:pPr>
        <w:pStyle w:val="TextoNormal"/>
      </w:pPr>
    </w:p>
    <w:p w:rsidR="00163957" w:rsidRDefault="00163957" w:rsidP="00163957">
      <w:pPr>
        <w:pStyle w:val="TextoNormal"/>
      </w:pPr>
      <w:r>
        <w:t xml:space="preserve">c) Por último el apartado 7 de la disposición adicional sexta de la Ley 3/2012, se ampara, a juicio de la Abogada de la Generalitat, en las competencias autonómicas exclusivas en materia de ordenación del territorio y urbanismo y en la competencia compartida sobre protección del medio ambiente. Se estima que la norma impugnada no tiene por objeto, frente a lo referido por el Abogado del Estado en su escrito de demanda, el control de las actuaciones que se desarrollan en el dominio público marítimo-terrestre, sino que el régimen de comunicación previa que establece se dirige a determinadas actuaciones menores que se </w:t>
      </w:r>
      <w:r>
        <w:lastRenderedPageBreak/>
        <w:t>pretendan realizar en los terrenos privados colindantes al dominio público marítimo-terrestre, comprendidos en la zona de servidumbre de protección, cuya regulación estatal se contiene en los arts. 25 y 26 LC. En otros términos, la Abogada de la Generalitat afirma que la interpretación del precepto controvertido hecha por el Abogado del Estado es errónea al basarse en una errata tipográfica que apareció en la publicación en el “BOE” de la primera versión en castellano de la ley (“BOE” núm. 60, de 10 de marzo de 2012), posteriormente corregida (“BOE” núm. 283, de 24 de noviembre de 2012), insistiendo en el hecho de que la disposición impugnada no se aplica al dominio público marítimo terrestre, sino a la servidumbre de protección, razón por la cual los preceptos invocados por el Abogado del Estado como parámetro de constitucionalidad mediata (arts. 31, 32, 51.1, 53.1 de la Ley 22/1988, de costas) no serían aplicables, de modo que los argumentos aducidos por el Abogado del Estado en base a los referidos preceptos no satisfarían la carga que incumbe a la parte demandante de exponer los motivos en que se fundamenta su impugnación. Tal argumentación lleva a la Abogada de la Generalitat a afirmar que el apartado 7 de la disposición adicional sexta de la Ley 3/2012 debería quedar fuera de la controversia (con cita de las SSTC 11/1981, de 8 de abril FJ 3; 43/1996, de 14 de marzo, FJ 3; 104/2000 de 13 de abril, FJ 5; y 13/2007 de 18 de enero FJ 1).</w:t>
      </w:r>
    </w:p>
    <w:p w:rsidR="00163957" w:rsidRDefault="00163957" w:rsidP="00163957">
      <w:pPr>
        <w:pStyle w:val="TextoNormal"/>
      </w:pPr>
    </w:p>
    <w:p w:rsidR="00163957" w:rsidRDefault="00163957" w:rsidP="00163957">
      <w:pPr>
        <w:pStyle w:val="TextoNormal"/>
      </w:pPr>
      <w:r>
        <w:t xml:space="preserve">Sin perjuicio de lo dicho, esta parte desarrolla una serie de argumentos en defensa de la constitucionalidad de la norma impugnada, afirmando que la misma tiene cobertura en las competencias autonómicas en materia de ordenación del territorio y urbanismo (art. 149.1 y 5 EAC) y en materia de desarrollo legislativo de la legislación estatal básica sobre protección del medio ambiente (art. 144 EAC), respetando las limitaciones derivadas de las competencias estatales recogidas en los arts. 149.1.1 CE y 149.1.23 CE, en la interpretación que a los mismos da la STC 149/1991, al referirse al alcance de los arts. 25 y 26 de la Ley 22/1988, de costas. Afirma la Abogada de la Generalitat que la disposición adicional sexta, apartado 7, de la Ley 3/2012 no autoriza el inicio de la actividad de que se trate con la mera presentación de la comunicación previa, sino que impone un plazo de dos meses para que la autoridad competente en la materia se oponga a su realización si resulta disconforme con el régimen de usos que rige en la zona de servidumbre de protección del dominio público, transcurridos los cuales sin que se notifique al interesado una resolución motivada de disconformidad, éste queda autorizado para llevarla a cabo. Esta regulación pondría de relieve, a juicio de esta parte, que bajo la denominación de comunicación previa, lo que en realidad establece la norma impugnada es una modalidad singular de intervención administrativa, análoga a la licencia o autorización, en la que la exigencia de resolución expresa se sustituye por una facultad de veto que, si la autoridad competente no ejerce dentro del plazo de dos meses, presupone el otorgamiento de la autorización por silencio administrativo. Insiste la Generalitat en que la norma autonómica se limita a establecer la técnica de intervención administrativa que considera más idónea para controlar que los usos que se desarrollen en la zona de servidumbre de protección del dominio público marítimo-terrestre se ajusten a las limitaciones que, por razones de protección medioambiental, se establecen en el art. 25 LC y que dicha regulación se ampara en lo previsto en los arts. 149.1 y 5 EAC y 144 EAC. Esta parte concluye su argumentación afirmando que las autorizaciones en la zona de servidumbre de protección del dominio público marítimo-terrestre se inscriben en las materias de protección del medio ambiente, ordenación del territorio y urbanismo [STC 149/1991, FJ 1 D)], y que las Comunidades Autónomas poseen competencias de desarrollo legislativo de la legislación básica estatal sobre protección del medio ambiente (STC 102/1995, FJ 8), lo que habilita a la Generalitat, en desarrollo de la normativa estatal básica, a establecer que </w:t>
      </w:r>
      <w:r>
        <w:lastRenderedPageBreak/>
        <w:t>las actuaciones menores sobre implantaciones establecidas legalmente en la zona de servidumbre de protección del dominio público marítimo-terrestre se sujeten a un régimen singular de intervención administrativa, consistente en la previa comunicación y en el establecimiento de un plazo de dos meses, transcurridos los cuales sin que la autoridad de costas competente manifieste su disconformidad con el régimen legal de usos, el interesado pueda entender concedida la autorización por silencio administrativo.</w:t>
      </w:r>
    </w:p>
    <w:p w:rsidR="00163957" w:rsidRDefault="00163957" w:rsidP="00163957">
      <w:pPr>
        <w:pStyle w:val="TextoNormal"/>
      </w:pPr>
    </w:p>
    <w:p w:rsidR="00163957" w:rsidRDefault="00163957" w:rsidP="00163957">
      <w:pPr>
        <w:pStyle w:val="TextoNormal"/>
      </w:pPr>
      <w:r>
        <w:t>d) Adicionalmente, mediante otrosí, la representación procesal de la Generalitat de Cataluña solicita el levantamiento anticipado de la suspensión de los preceptos impugnados antes del transcurso del plazo de cinco meses establecido en el art. 161.2 CE.</w:t>
      </w:r>
    </w:p>
    <w:p w:rsidR="00163957" w:rsidRDefault="00163957" w:rsidP="00163957">
      <w:pPr>
        <w:pStyle w:val="TextoNormal"/>
      </w:pPr>
    </w:p>
    <w:p w:rsidR="00163957" w:rsidRDefault="00163957" w:rsidP="00163957">
      <w:pPr>
        <w:pStyle w:val="TextoNormal"/>
      </w:pPr>
      <w:r w:rsidRPr="00163957">
        <w:rPr>
          <w:rStyle w:val="NumeroAFNegritaCaracter"/>
        </w:rPr>
        <w:t>6</w:t>
      </w:r>
      <w:r>
        <w:t>. El Parlamento de Cataluña, se personó en el procedimiento y presentó sus alegaciones mediante escrito registrado en este Tribunal, el día 8 de enero de 2013, habiendo interesado la desestimación del recurso de inconstitucionalidad, así como el levantamiento anticipado de la suspensión de los artículos impugnados.</w:t>
      </w:r>
    </w:p>
    <w:p w:rsidR="00163957" w:rsidRDefault="00163957" w:rsidP="00163957">
      <w:pPr>
        <w:pStyle w:val="TextoNormal"/>
      </w:pPr>
    </w:p>
    <w:p w:rsidR="00163957" w:rsidRDefault="00163957" w:rsidP="00163957">
      <w:pPr>
        <w:pStyle w:val="TextoNormal"/>
      </w:pPr>
      <w:r>
        <w:t>Esta parte introduce sus alegaciones, contrarias a las que expone el Abogado del Estado en el escrito de demanda, recordando que la Ley 3/2012 se limita a modificar aspectos puntuales de la regulación integral del urbanismo establecida anteriormente, lo que significa que se inscribe plenamente dentro de la materia que aparece descrita en el art. 149.5 EAC, tratándose, pues, de una norma que se ha producido dentro del marco competencial correspondiente, de la misma manera que la Ley modificada. Ello no significa que el Estado carezca de competencias que puedan incidir sobre el sector material del urbanismo, ni permite impedir al mismo el ejercicio de sus competencias sectoriales, también exclusivas, con proyección territorial, contándose entre esas competencias estatales con incidencia en el sector urbanístico, las recogidas en los apartados, 8, 13, 18 y 23 del art. 149.1 CE (con cita de las SSTC 61/1997, de 20 de marzo; 164/2001, de 11 de julio, y 178/2004, de 21 de octubre).</w:t>
      </w:r>
    </w:p>
    <w:p w:rsidR="00163957" w:rsidRDefault="00163957" w:rsidP="00163957">
      <w:pPr>
        <w:pStyle w:val="TextoNormal"/>
      </w:pPr>
    </w:p>
    <w:p w:rsidR="00163957" w:rsidRDefault="00163957" w:rsidP="00163957">
      <w:pPr>
        <w:pStyle w:val="TextoNormal"/>
      </w:pPr>
      <w:r>
        <w:t>A partir de las consideraciones anteriores, la representación procesal del Parlamento defiende el ajuste constitucional de los preceptos impugnados con los siguientes argumentos:</w:t>
      </w:r>
    </w:p>
    <w:p w:rsidR="00163957" w:rsidRDefault="00163957" w:rsidP="00163957">
      <w:pPr>
        <w:pStyle w:val="TextoNormal"/>
      </w:pPr>
    </w:p>
    <w:p w:rsidR="00163957" w:rsidRDefault="00163957" w:rsidP="00163957">
      <w:pPr>
        <w:pStyle w:val="TextoNormal"/>
      </w:pPr>
      <w:r>
        <w:t xml:space="preserve">a) El art. 59.1 de la Ley 3/2012 es compatible con la legislación básica estatal. Entiende el Parlamento de Cataluña que la discrepancia planteada por el Abogado del Estado se centra en los destinos a los que obligatoriamente deben sujetarse los patrimonios públicos del suelo, teniendo en cuenta lo que dispone el art. 39 del Real Decreto Legislativo 2/2008, de 20 de junio, aunque en algún momento del recurso se alude también a la afectación de los recursos obtenidos a partir de los citados patrimonios, y considera que la contradicción no existe pues entiende que el art. 39 del Real Decreto Legislativo 2/2008, de 20 de junio, y el art. 59 de la Ley 3/2012, no son plenamente coincidentes. Así, se afirma que el art. 39.1 del Real Decreto Legislativo 2/2008, de 20 de junio, determina una afectación obligatoria: “la construcción de viviendas sujetas a algún régimen de protección pública”, sin excluir otras posibles, pero no para todos los bienes que integran los patrimonios públicos del suelo, sino sólo para una parte de los mismos: “los que integran necesariamente los patrimonios públicos del suelo en virtud de lo dispuesto en el apartado 1 del artículo anterior”. Por tanto, los bienes no incluidos en la categoría referida en el artículo 38.1, no se hallan afectos a la limitación de destino que se prescribe en esta norma. La limitación de destino se refiere a los bienes inmuebles incluidos en el suelo de cesión obligatoria y gratuita correspondiente al porcentaje de aprovechamiento que fije la legislación urbanística en cada caso, dentro de </w:t>
      </w:r>
      <w:r>
        <w:lastRenderedPageBreak/>
        <w:t>los procesos de transformación urbanística. Para los bienes “residuales”, se pueden determinar otras finalidades, dentro de la amplitud de las generales a las que deben destinarse los patrimonios públicos del suelo, de acuerdo con el primer inciso del art. 38.1 del Real Decreto Legislativo 2/2008, de 20 de junio; señala la parte que, entre esas otras finalidades, cabe perfectamente la prescrita en el art. 59.1 de la Ley 3/2012, antes contenida en el art. 167.1 del Decreto Legislativo 1/2010, que nunca fue recurrido. Por tanto, considera el Parlamento que solo un grupo de bienes de los que forman parte los patrimonios públicos del suelo, aquellos de integración obligatoria en este tipo de patrimonio especifico, están afectos a las finalidades determinadas por la legislación básica, pero los restantes bienes incluidos en dicho patrimonio y contemplados, en el ordenamiento de Cataluña, en el capítulo II del título V de la Ley del Parlamento de Cataluña 3/2012 y en el Decreto 305/2006, de 18 de julio, particularmente el art. 223.1 c), pueden afectarse a otras finalidades determinadas por la legislación urbanística, las cuales serán de carácter urbanístico y vinculadas a lo que disponga el planeamiento correspondiente. Que la legislación básica determine una finalidad concreta no excluye otras coherentes con la función del patrimonio público del suelo, como instrumento para la ejecución de las previsiones urbanísticas.</w:t>
      </w:r>
    </w:p>
    <w:p w:rsidR="00163957" w:rsidRDefault="00163957" w:rsidP="00163957">
      <w:pPr>
        <w:pStyle w:val="TextoNormal"/>
      </w:pPr>
    </w:p>
    <w:p w:rsidR="00163957" w:rsidRDefault="00163957" w:rsidP="00163957">
      <w:pPr>
        <w:pStyle w:val="TextoNormal"/>
      </w:pPr>
      <w:r>
        <w:t>Sin perjuicio de las anteriores consideraciones, el Parlamento de Cataluña también propone una lectura de la legislación básica estatal en lo relativo a la determinación de las finalidades a las que debe destinarse el patrimonio público del suelo, conciliable con la norma autonómica. Así, se entiende que el art. 39.1 del Real Decreto Legislativo 2/2008, de 20 de junio, establece una finalidad específica a la que se hallan afectos los patrimonios públicos del suelo, pero esta no es la única posible, sino que el mismo precepto permite una ampliación a otras finalidades, cumpliéndose diversos requisitos: que se trate de usos de interés social, se prevea en la legislación urbanística y que sean fines urbanísticos o de protección o mejora de los espacios naturales o de bienes inmuebles del patrimonio cultural. En este marco, la previsión impugnada, esto es la posible afectación de bienes del patrimonio público del suelo a fin de “generar actividad económica en áreas deprimidas” no contradice, frente a lo que afirma la representación de la parte recurrente, las condiciones establecidas por el art. 39.1 del Real Decreto Legislativo 2/2008, de 20 de junio, porque se trata de un uso del suelo de interés social, se halla previsto en la legislación urbanística y constituye también una finalidad urbanística, pues el destino de este suelo se halla previsto y determinado por el planeamiento urbanístico, el cual no establece una ordenación en función de la titularidad del suelo, sino que se trata de un modelo de desarrollo urbanístico. Dicho de otra manera, no puede obviarse que el patrimonio público del suelo se inscribe en un marco urbanístico que le atribuye una calificación concreta en orden a conseguir unos objetivos urbanísticos mediante su puesta en práctica, de modo que el interés social y económico de la operación de transformación urbanística que pretende generar actividad económica en un área deprimida no excluye la finalidad urbanística, al contrario, la supone. El patrimonio público del suelo se constituye como un instrumento de carácter urbanístico, no económico, para llevar a cabo unas previsiones contenidas en el planeamiento, con el que guardan coherencia y del que no se pueden aislar.</w:t>
      </w:r>
    </w:p>
    <w:p w:rsidR="00163957" w:rsidRDefault="00163957" w:rsidP="00163957">
      <w:pPr>
        <w:pStyle w:val="TextoNormal"/>
      </w:pPr>
    </w:p>
    <w:p w:rsidR="00163957" w:rsidRDefault="00163957" w:rsidP="00163957">
      <w:pPr>
        <w:pStyle w:val="TextoNormal"/>
      </w:pPr>
      <w:r>
        <w:t xml:space="preserve">En síntesis, considera esta parte que debe prevalecer una interpretación teleológica del art. 39.1 del Real Decreto Legislativo 2/2008, de 20 de junio, so pena de traspasar el ámbito material al que se refiere el art. 149.1.13 CE, y por tanto debe entenderse que el precepto básico pretende que la posible intervención pública en el mercado del suelo no tenga una </w:t>
      </w:r>
      <w:r>
        <w:lastRenderedPageBreak/>
        <w:t>finalidad especulativa, sino que se justifique en un criterio social y urbanístico, siendo exactamente esto lo que se prevé en el artículo 59 impugnado, por lo que resulta plenamente compatible con la legislación básica estatal. Acudiendo a la cita del fundamento jurídico 36 de la STC 61/1997, la representación del Parlamento deduce que el art. 149.1.13 CE ampara una determinación genérica mediante legislación básica, pero no una concreción, en lo que se refiere al patrimonio público del suelo, so pena de vaciar de contenido la competencia autonómica sobre urbanismo, de modo que una interpretación del art. 39.1 del Real Decreto Legislativo 2/2008, de 20 de junio, como la que fundamenta el recurso, al excluir la posibilidad que establece el art. 59 de la Ley 3/2012, incurriría en una restricción concreta contraria a lo sostenido en la jurisprudencia constitucional.</w:t>
      </w:r>
    </w:p>
    <w:p w:rsidR="00163957" w:rsidRDefault="00163957" w:rsidP="00163957">
      <w:pPr>
        <w:pStyle w:val="TextoNormal"/>
      </w:pPr>
    </w:p>
    <w:p w:rsidR="00163957" w:rsidRDefault="00163957" w:rsidP="00163957">
      <w:pPr>
        <w:pStyle w:val="TextoNormal"/>
      </w:pPr>
      <w:r>
        <w:t>b) El art. 64 de Ley 3/2012 se adecúa al reparto constitucional de competencias, puesto que la legislación básica de contraste propuesta por el Abogado del Estado (art. 23 del Real Decreto Legislativo 8/2011) es la que excede los límites competenciales que corresponden al Estado en esta materia. El Letrado del Parlamento entiende, por un lado, que el art. 149.1.1 CE no ofrece cobertura al Estado para regular el “derecho a la primera ocupación de una edificación o una casa prefabricada o instalación similar”, porque esto no se inscribe dentro del “contenido primario” de un derecho constitucional, que deba ser objeto de garantía. Aún en el caso de que la sujeción de tal derecho a intervención administrativa pudiera entenderse comprendida dentro del mencionado “contenido primario”, el art. 149.1.1 CE no habilita para determinar qué modalidad deba adoptar la misma, o cuál deba ser el sentido de la falta de pronunciamiento de la Administración [con cita de las SSTC 61/1997, FJ 6 a) y FJ 8; y 133/2006, de 27 de abril, FJ 3].</w:t>
      </w:r>
    </w:p>
    <w:p w:rsidR="00163957" w:rsidRDefault="00163957" w:rsidP="00163957">
      <w:pPr>
        <w:pStyle w:val="TextoNormal"/>
      </w:pPr>
    </w:p>
    <w:p w:rsidR="00163957" w:rsidRDefault="00163957" w:rsidP="00163957">
      <w:pPr>
        <w:pStyle w:val="TextoNormal"/>
      </w:pPr>
      <w:r>
        <w:t xml:space="preserve">Por otro lado, se descarta también que el art. 149.1.18 de cobertura al art. 23 del Real Decreto Legislativo 8/2011, al considerar que el mismo no encaja dentro de la regulación de las bases del régimen jurídico de las Administraciones públicas y el procedimiento administrativo común (con cita de las SSTC 227/1988, de 29 de noviembre, y 50/1999, de 6 de abril). Expone esta parte que la regulación del silencio administrativo, en términos generales, y sus efectos, o incluso la definición del régimen de comunicación previa, corresponderán al Estado, pero no la determinación de los casos en que en un ámbito sectorial de la actividad administrativa, proceda un tipo de silencio u otro, o el modo de intervención administrativa concreta, cuando la regulación de dicha actividad se encuadre dentro de una competencia de titularidad autonómica. Por lo tanto, dado que la materia de urbanismo, que comprende la regulación de las modalidades de intervención administrativa, </w:t>
      </w:r>
      <w:r w:rsidRPr="00163957">
        <w:rPr>
          <w:i/>
        </w:rPr>
        <w:t>ex</w:t>
      </w:r>
      <w:r>
        <w:t xml:space="preserve"> art. 149.5 d) EAC, corresponde a la Generalitat de Cataluña, el Estado no puede imponerle a ésta una regulación como la establecida en el art. 23 del Real Decreto Legislativo 8/2011, invadiendo la competencia autonómica al determinar la técnica de intervención concreta en éste ámbito. Asimismo, descarta el Letrado del Parlamento de Cataluña que pueda servir de justificación al legislador estatal para regular con carácter básico las modalidades de intervención administrativa, respecto de los actos de primera ocupación o uso de edificación, la consideración como básica de la norma contenida en el artículo 8.1 b) del Real Decreto Legislativo 2/2008, de 20 de junio, que dispone la imposible adquisición por silencio administrativo de facultades o derechos que contravengan la ordenación territorial o urbanística, que determinan la nulidad de pleno derecho de estos actos, puesto que existen disposiciones autonómicas que reproducen lo establecido en aquel precepto (art. 5.2 de la Ley del Parlamento de Cataluña 3/2012 de Cataluña). Finalmente, esta representación considera oportuno añadir que el presunto carácter materialmente básico del art. 23.1 del Real Decreto Legislativo 8/2011 queda </w:t>
      </w:r>
      <w:r>
        <w:lastRenderedPageBreak/>
        <w:t>en entredicho, por lo que se refiere a su apartado e), relativo a las licencias de primera ocupación o utilización de edificios y casas, al resultar incongruente con otras regulaciones adoptadas por el Estado, particularmente con el art. 41 de la Ley 2/2011, de 4 de marzo, de economía sostenible.</w:t>
      </w:r>
    </w:p>
    <w:p w:rsidR="00163957" w:rsidRDefault="00163957" w:rsidP="00163957">
      <w:pPr>
        <w:pStyle w:val="TextoNormal"/>
      </w:pPr>
    </w:p>
    <w:p w:rsidR="00163957" w:rsidRDefault="00163957" w:rsidP="00163957">
      <w:pPr>
        <w:pStyle w:val="TextoNormal"/>
      </w:pPr>
      <w:r>
        <w:t>c) Por último, el Letrado del Parlamento inscribe la disposición adicional sexta, apartado 7 de la Ley 3/2012 dentro del ámbito competencial de la Generalitat de Cataluña. Entiende esta parte que el precepto impugnado no se refiere al dominio público marítimo-terrestre, sino a una parte de los terrenos colindantes al mismo, que se hallan en las zonas de servidumbre de protección, que pueden ser de propiedad privada y sobre los que pueden existir edificaciones e instalaciones, de acuerdo con el art. 25.2 y 3 y la disposición transitoria tercera LC. Además, el precepto impugnado no regula los títulos habilitantes para la ocupación y uso del dominio público marítimo-terrestre, por lo que no incurre en ninguna invasión competencial por este motivo, careciendo de sentido la invocación de los arts. 51 y 110 LC, dado que no resultan aplicables en el presente caso.</w:t>
      </w:r>
    </w:p>
    <w:p w:rsidR="00163957" w:rsidRDefault="00163957" w:rsidP="00163957">
      <w:pPr>
        <w:pStyle w:val="TextoNormal"/>
      </w:pPr>
    </w:p>
    <w:p w:rsidR="00163957" w:rsidRDefault="00163957" w:rsidP="00163957">
      <w:pPr>
        <w:pStyle w:val="TextoNormal"/>
      </w:pPr>
      <w:r>
        <w:t>El Letrado del Parlamento afirma que, sin perjuicio de la competencia estatal para regular sobre la zona de la servidumbre de protección del dominio público marítimo-terrestre, con amparo en el art. 149.1.1 y 23 CE [con cita de las SSTC 149/1991, FJ 18; y 7/2012, FJ 4)], la jurisprudencia constitucional admite también la posibilidad de una regulación autonómica fundamentada en la competencia sobre ordenación del territorio y urbanismo, coexistente con la legislación estatal relativa a la zona de servidumbre de protección colindante con el dominio público (STC 149/1991, FJ 1). Asimismo, esta parte recuerda que la STC 102/1995, así como la STC 87/2012, admiten la competencia legislativa autonómica en materia de medio ambiente.</w:t>
      </w:r>
    </w:p>
    <w:p w:rsidR="00163957" w:rsidRDefault="00163957" w:rsidP="00163957">
      <w:pPr>
        <w:pStyle w:val="TextoNormal"/>
      </w:pPr>
    </w:p>
    <w:p w:rsidR="00163957" w:rsidRDefault="00163957" w:rsidP="00163957">
      <w:pPr>
        <w:pStyle w:val="TextoNormal"/>
      </w:pPr>
      <w:r>
        <w:t>En el presente recurso, entiende el Letrado del Parlamento que no existe contradicción entre la norma estatal y la autonómica, porque el art. 26 LC determina que los “usos permitidos en la zona de servidumbre de protección estarán sujetos a autorización de la Administración del Estado”, y la disposición adicional sexta, apartado 7 de la Ley 3/2012, establece que las actuaciones en la zona de servidumbre que no supongan el incremento de la superficie ocupada o de la volumetría existente, ni cambio del uso autorizado, se sujeten al régimen de comunicación previa. A su juicio, esta regulación supone que la autorización de usos (tanto nuevos, como si se trata de un cambio) continua sometida al mismo sistema de intervención existente, definido en el art. 26 LC, mientras que la norma autonómica contempla unos supuestos a los que no se refiere la norma estatal, las obras, aunque se utilice el término más genérico de “actuaciones”, que cumplan determinados requisitos negativos; para las mismas dispone un determinado régimen de intervención administrativa que se basa en su competencia sobre urbanismo y ordenación territorial.</w:t>
      </w:r>
    </w:p>
    <w:p w:rsidR="00163957" w:rsidRDefault="00163957" w:rsidP="00163957">
      <w:pPr>
        <w:pStyle w:val="TextoNormal"/>
      </w:pPr>
    </w:p>
    <w:p w:rsidR="00163957" w:rsidRDefault="00163957" w:rsidP="00163957">
      <w:pPr>
        <w:pStyle w:val="TextoNormal"/>
      </w:pPr>
      <w:r>
        <w:t>d) Mediante otrosí digo, el Parlamento de Cataluña solicitó también el levantamiento anticipado de la suspensión por lo que respecta al artículo 59 impugnado.</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El Pleno del Tribunal, por providencia de 9 de enero de 2013, acordó dar traslado al Abogado del Estado de los escritos presentados en fechas 4 y 8 de enero de 2013, por la Abogada de la Generalitat de Cataluña y por el Letrado del Parlamento de Cataluña, respectivamente, en los que se interesaba el levantamiento de la suspensión de los preceptos objeto </w:t>
      </w:r>
      <w:r>
        <w:lastRenderedPageBreak/>
        <w:t>del presente recurso, concediéndole un plazo de cinco días para que expusiera lo que estimara procedente al respecto. El Abogado del Estado evacuó el trámite de alegaciones conferido mediante escrito registrado en fecha 18 de enero de 2013, en el que interesó el mantenimiento de la suspensión de los arts. 59, 64.4 y el apartado séptimo de la disposición adicional sexta de la Ley 3/2012, de 22 de febrero, de modificación del texto refundido de la Ley de urbanismo de Cataluña, aprobado por el Decreto Legislativo 1/2010, de 3 de agosto.</w:t>
      </w:r>
    </w:p>
    <w:p w:rsidR="00163957" w:rsidRDefault="00163957" w:rsidP="00163957">
      <w:pPr>
        <w:pStyle w:val="TextoNormal"/>
      </w:pPr>
    </w:p>
    <w:p w:rsidR="00163957" w:rsidRDefault="00163957" w:rsidP="00163957">
      <w:pPr>
        <w:pStyle w:val="TextoNormal"/>
      </w:pPr>
      <w:r>
        <w:t>Mediante ATC 80/2013, de 9 de abril de 2013, el Pleno acordó levantar la suspensión del apartado 7 de la disposición adicional sexta de la Ley 3/2012, de 22 de febrero, de modificación del texto refundido de la Ley de urbanismo de Cataluña aprobado por el Decreto Legislativo 1/2010, de 3 de agosto, así como la nueva redacción dada al artículo 167 de este texto refundido por el art. 59 de la misma Ley 3/2012, salvo en el inciso de su apartado 1 “para generar actividad económica en áreas deprimidas”, cuya suspensión se mantiene. Asimismo, acordó mantener la suspensión del nuevo apartado 5 del art. 187 del Decreto Legislativo 1/2010 introducido por el apartado 4 del art. 64 de la Ley 3/2012, de 22 de febrero.</w:t>
      </w:r>
    </w:p>
    <w:p w:rsidR="00163957" w:rsidRDefault="00163957" w:rsidP="00163957">
      <w:pPr>
        <w:pStyle w:val="TextoNormal"/>
      </w:pPr>
    </w:p>
    <w:p w:rsidR="00163957" w:rsidRDefault="00163957" w:rsidP="00163957">
      <w:pPr>
        <w:pStyle w:val="TextoNormal"/>
      </w:pPr>
      <w:r w:rsidRPr="00163957">
        <w:rPr>
          <w:rStyle w:val="NumeroAFNegritaCaracter"/>
        </w:rPr>
        <w:t>8</w:t>
      </w:r>
      <w:r>
        <w:t>. Por escrito registrado en la sede de este Tribunal el 17 de julio de 2013, la Abogada de la Generalitat de Cataluña solicitó el levantamiento de la suspensión del apartado 4 del art. 64 de la Ley 3/2012, de 22 de febrero, señalando al respecto que, con posterioridad al ATC 80/2013, de 9 de abril, se aprobó la Ley 8/2013, de 26 de junio, de rehabilitación, regeneración y renovación urbanas, que altera el marco normativo tomado en consideración por este Tribunal Constitucional para mantener la suspensión cautelar del referido precepto. Por providencia de 22 de julio de 2013, el Pleno del Tribunal Constitucional acordó dar traslado al Abogado del Estado y a la representación legal del Parlamento de Cataluña del escrito presentado por la Abogada de la Generalitat de Cataluña, concediéndoles un plazo de cinco días para presentar alegaciones. El Abogado del Estado, mediante escrito registrado en este Tribunal el día 30 de julio de 2013, se mostró conforme al levantamiento solicitado y en el mismo sentido se pronunció el Letrado del Parlamento de Cataluña, mediante escrito registrado en este Tribunal el 2 de agosto de 2013. El Pleno del Tribunal Constitucional, en virtud de ATC 266/2013, de 19 de noviembre, acordó levantar la suspensión del nuevo apartado 5 del art. 187 del texto refundido de la Ley de urbanismo de Cataluña, introducido por el apartado 4 del art. 64 de la Ley 3/2012, de 22 de febrero.</w:t>
      </w:r>
    </w:p>
    <w:p w:rsidR="00163957" w:rsidRDefault="00163957" w:rsidP="00163957">
      <w:pPr>
        <w:pStyle w:val="TextoNormal"/>
      </w:pPr>
    </w:p>
    <w:p w:rsidR="00163957" w:rsidRDefault="00163957" w:rsidP="00163957">
      <w:pPr>
        <w:pStyle w:val="TextoNormal"/>
      </w:pPr>
      <w:r w:rsidRPr="00163957">
        <w:rPr>
          <w:rStyle w:val="NumeroAFNegritaCaracter"/>
        </w:rPr>
        <w:t>9</w:t>
      </w:r>
      <w:r>
        <w:t>. Por medio de escrito registrado en fecha 2 de agosto de 2013, el Letrado del Parlamento de Cataluña, dando cumplimiento al acuerdo adoptado por la Mesa el día 31 de julio anterior, formuló la recusación del Excmo. Sr. Presidente del Tribunal Constitucional, entre otros, en el presente proceso constitucional. El Pleno del Tribunal, por ATC 180/2013, de 17 de septiembre, inadmitió a trámite la recusación formulada.</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2 de febrero de 2016, se acordó señalar para la deliberación y votación de la presente Sentencia el día 4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recurso de inconstitucionalidad planteado por el Abogado del Estado, en representación del Presidente del Gobierno, tiene por objeto los arts. 59, 64.4 y apartado séptimo de la disposición adicional sexta, apartado 7 de la Ley del Parlamento de Cataluña 3/2012, de 22 de febrero, de modificación del texto refundido de la Ley de urbanismo, aprobado por el Decreto Legislativo 1/2010, de 3 de agosto.</w:t>
      </w:r>
    </w:p>
    <w:p w:rsidR="00163957" w:rsidRDefault="00163957" w:rsidP="00163957">
      <w:pPr>
        <w:pStyle w:val="TextoNormal"/>
      </w:pPr>
    </w:p>
    <w:p w:rsidR="00163957" w:rsidRDefault="00163957" w:rsidP="00163957">
      <w:pPr>
        <w:pStyle w:val="TextoNormal"/>
      </w:pPr>
      <w:r>
        <w:t>Al artículo 59 se le reprocha que permita que los bienes que integran el patrimonio público del suelo puedan destinarse a la generación de actividad económica en áreas deprimidas, destino no incluido entre las finalidades previstas en los arts. 38 y 39 del Real Decreto Legislativo 2/2008, de 20 de junio, que se invocan como legislación básica dictada al amparo del art. 149.1 apartados 1 y 13 CE. La impugnación del artículo 64.4 se basa en la contradicción con la normativa básica estatal dictada al amparo del art. 149.1.18 CE, contenida en el art. 23 del Real Decreto-ley 8/2011. Se entiende que el régimen de comunicación previa al ayuntamiento, en el caso de licencias de primera ocupación, contradice lo previsto en el citado artículo 23, que establece la necesidad de un acto expreso de conformidad, aprobación o autorización (con régimen de silencio negativo) para la primera utilización y ocupación de los edificios y construcciones. Por último, el Abogado del Estado considera que la disposición adicional sexta, apartado 7, vulnera la titularidad estatal de dominio público marítimo-terrestre y lo dispuesto en la Ley de costas, al determinar que, en la zona de la servidumbre de protección del dominio público marítimo-terrestre, se pueden realizar determinadas obras, en instalaciones ya autorizadas, bajo un régimen de comunicación sujeta a veto administrativo en el plazo de dos meses, difiriendo este sistema del previsto con carácter general en la Ley 22/1988 de costas.</w:t>
      </w:r>
    </w:p>
    <w:p w:rsidR="00163957" w:rsidRDefault="00163957" w:rsidP="00163957">
      <w:pPr>
        <w:pStyle w:val="TextoNormal"/>
      </w:pPr>
    </w:p>
    <w:p w:rsidR="00163957" w:rsidRDefault="00163957" w:rsidP="00163957">
      <w:pPr>
        <w:pStyle w:val="TextoNormal"/>
      </w:pPr>
      <w:r>
        <w:t>La Abogada de la Generalitat niega el carácter materialmente básico de los arts. 38 y 39 del Real Decreto Legislativo 2/2008, de 20 de junio, así como del art. 23 del Real Decreto Legislativo 8/2011, oponiéndose de este modo a la existencia de inconstitucionalidad mediata respecto de los impugnados arts. 59 y 64.4 de la Ley de Cataluña 3/2012, mientras que, en lo relativo al apartado 7 de la disposición adicional sexta, considera que su redacción está amparada en las competencias exclusivas de la Generalitat en materia de ordenación del territorio y urbanismo y en la competencia compartida sobre protección del medio ambiente, negando la competencia estatal en el ámbito del dominio público marítimo-terrestre a que alude la Abogacía del Estado, por tratarse de una regulación relativa a la servidumbre de protección del dominio público y no al dominio público marítimo terrestre en sentido estricto. Por su parte, el Letrado del Parlamento de Cataluña considera que no existe la contradicción denunciada entre el art. 39 del Real Decreto Legislativo 2/2008 y el art. 59 de la Ley 3/2012, al no ser ambos plenamente coincidentes; añade que el art. 64 de la Ley 3/2012 se adecúa al reparto constitucional de competencias, puesto que es el art. 23 del Real Decreto Legislativo 8/2011 la norma que excede los límites competenciales que corresponden al Estado en esta materia; y que la disposición adicional sexta, apartado 7, no se refiere al dominio público marítimo terrestre sino a la zona de servidumbre de protección, en la que la Comunidad autónoma puede ejercer sus competencias en materia de urbanismo y medio ambiente en los términos contenidos en la disposición impugnada.</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2</w:t>
      </w:r>
      <w:r>
        <w:t xml:space="preserve">. Por razones metodológicas, antes de proceder al examen de los diferentes motivos de impugnación que se recogen en el recurso del Abogado del Estado, debemos analizar, como cuestión previa y para su desestimación </w:t>
      </w:r>
      <w:r w:rsidRPr="00163957">
        <w:rPr>
          <w:i/>
        </w:rPr>
        <w:t>a limine</w:t>
      </w:r>
      <w:r>
        <w:t>, la que hace referencia a la invocada inconstitucionalidad de la disposición adicional sexta, apartado 7 de la Ley 3/2012, citada por aquél en su demanda de inconstitucionalidad, por los argumentos que, a continuación, se exponen.</w:t>
      </w:r>
    </w:p>
    <w:p w:rsidR="00163957" w:rsidRDefault="00163957" w:rsidP="00163957">
      <w:pPr>
        <w:pStyle w:val="TextoNormal"/>
      </w:pPr>
    </w:p>
    <w:p w:rsidR="00163957" w:rsidRDefault="00163957" w:rsidP="00163957">
      <w:pPr>
        <w:pStyle w:val="TextoNormal"/>
      </w:pPr>
      <w:r>
        <w:t>Tal y como se detalla en los antecedentes, el Abogado del Estado sostiene que esta disposición actúa sobre el dominio público marítimo terrestre y desarrolla sus argumentos en relación con la vulneración, por parte de la norma impugnada, de las competencias estatales en este ámbito. Frente a ello, las representaciones de la Generalitat y del Parlamento de Cataluña sostienen que tal lectura es producto de un error de transcripción al castellano de la versión en catalán de la norma autonómica, error superado con una corrección publicada posteriormente en el “BOE”.</w:t>
      </w:r>
    </w:p>
    <w:p w:rsidR="00163957" w:rsidRDefault="00163957" w:rsidP="00163957">
      <w:pPr>
        <w:pStyle w:val="TextoNormal"/>
      </w:pPr>
    </w:p>
    <w:p w:rsidR="00163957" w:rsidRDefault="00163957" w:rsidP="00163957">
      <w:pPr>
        <w:pStyle w:val="TextoNormal"/>
      </w:pPr>
      <w:r>
        <w:t>En efecto, mientras que la primera versión del texto impugnado (“BOE” núm. 60, del 12 de marzo de 2012) recogía lo siguiente:</w:t>
      </w:r>
    </w:p>
    <w:p w:rsidR="00163957" w:rsidRDefault="00163957" w:rsidP="00163957">
      <w:pPr>
        <w:pStyle w:val="TextoNormal"/>
      </w:pPr>
    </w:p>
    <w:p w:rsidR="00163957" w:rsidRDefault="00163957" w:rsidP="00163957">
      <w:pPr>
        <w:pStyle w:val="TextoNormal"/>
      </w:pPr>
      <w:r>
        <w:t>“Corresponde al departamento competente en materia de costas autorizar nuevas actuaciones con relación a las obras, las instalaciones y las actividades implantadas legalmente en la zona de servidumbre de protección o del dominio público marítimo-terrestre.”</w:t>
      </w:r>
    </w:p>
    <w:p w:rsidR="00163957" w:rsidRDefault="00163957" w:rsidP="00163957">
      <w:pPr>
        <w:pStyle w:val="TextoNormal"/>
      </w:pPr>
    </w:p>
    <w:p w:rsidR="00163957" w:rsidRDefault="00163957" w:rsidP="00163957">
      <w:pPr>
        <w:pStyle w:val="TextoNormal"/>
      </w:pPr>
      <w:r>
        <w:t>La versión corregida (“BOE” núm. 283, de 24 de noviembre de 2012) dice:</w:t>
      </w:r>
    </w:p>
    <w:p w:rsidR="00163957" w:rsidRDefault="00163957" w:rsidP="00163957">
      <w:pPr>
        <w:pStyle w:val="TextoNormal"/>
      </w:pPr>
    </w:p>
    <w:p w:rsidR="00163957" w:rsidRDefault="00163957" w:rsidP="00163957">
      <w:pPr>
        <w:pStyle w:val="TextoNormal"/>
      </w:pPr>
      <w:r>
        <w:t>“Corresponde al departamento competente en materia de costas autorizar nuevas actuaciones con relación a las obras, las instalaciones y las actividades implantadas legalmente en la zona de servidumbre de protección del dominio público marítimo-terrestre.”</w:t>
      </w:r>
    </w:p>
    <w:p w:rsidR="00163957" w:rsidRDefault="00163957" w:rsidP="00163957">
      <w:pPr>
        <w:pStyle w:val="TextoNormal"/>
      </w:pPr>
    </w:p>
    <w:p w:rsidR="00163957" w:rsidRDefault="00163957" w:rsidP="00163957">
      <w:pPr>
        <w:pStyle w:val="TextoNormal"/>
      </w:pPr>
      <w:r>
        <w:t>Por tanto, y así se puede deducir también de nuestro pronunciamiento en el ATC 80/2013, de 9 de abril, relativo al mantenimiento de la suspensión de este precepto, la norma autonómica de referencia regula el régimen de utilización de la zona de servidumbre de protección del dominio público marítimo terrestre y no la utilización del demanio en sí mismo considerado.</w:t>
      </w:r>
    </w:p>
    <w:p w:rsidR="00163957" w:rsidRDefault="00163957" w:rsidP="00163957">
      <w:pPr>
        <w:pStyle w:val="TextoNormal"/>
      </w:pPr>
    </w:p>
    <w:p w:rsidR="00163957" w:rsidRDefault="00163957" w:rsidP="00163957">
      <w:pPr>
        <w:pStyle w:val="TextoNormal"/>
      </w:pPr>
      <w:r>
        <w:t xml:space="preserve">El Abogado del Estado impugna la norma autonómica entendiendo que la misma se proyecta sobre el dominio público marítimo terrestre y toda la argumentación desarrollada en el recurso tiene que ver con la exclusividad de la competencia estatal para actuar sobre esta zona, sin incluir referencia ni alegato alguno relacionado con las competencias estatales sobre la servidumbre de protección, o con la colisión de las competencias estatales y autonómicas cuando ambas actúan, simultáneamente, sobre la zona de la servidumbre de protección. Dicho de otro modo, y aceptando en este punto la alegación de la Generalitat, de la lectura de los términos en que está formulada la impugnación se deduce que la misma se dirige, con carácter exclusivo, a una mención del precepto que, tras la corrección de errores, se refiere a una redacción anterior que no se corresponde con la que fue aprobada en sede parlamentaria. Tal circunstancia determina que la omisión de cualquier alegación en relación con el precepto, tal y como está efectivamente redactado y publicado en el “BOE”, impide a este Tribunal que pueda entrar a pronunciarse sobre la impugnación contenida en </w:t>
      </w:r>
      <w:r>
        <w:lastRenderedPageBreak/>
        <w:t>el recurso, pues toda la carga alegatoria del recurrente se ha encaminado a interesar la inconstitucionalidad del contenido de un precepto legal que, en el caso de autos, incluía una redacción trascrita erróneamente al castellano y publicada inicialmente en el “BOE” de ese mismo modo; este error de trascripción determinó, también, el sentido equivocado de la tesis impugnatoria, que no advirtió el contenido de la redacción corregida, publicada en el diario oficial del Estado seis días antes de la presentación del recurso ante este Tribunal.</w:t>
      </w:r>
    </w:p>
    <w:p w:rsidR="00163957" w:rsidRDefault="00163957" w:rsidP="00163957">
      <w:pPr>
        <w:pStyle w:val="TextoNormal"/>
      </w:pPr>
    </w:p>
    <w:p w:rsidR="00163957" w:rsidRDefault="00163957" w:rsidP="00163957">
      <w:pPr>
        <w:pStyle w:val="TextoNormal"/>
      </w:pPr>
      <w:r>
        <w:t>Por todo ello, procede desestimar el recurso en relación con la disposición adicional sexta, apartado 7 de la Ley del Parlamento de Cataluña 3/2012 impugnada.</w:t>
      </w:r>
    </w:p>
    <w:p w:rsidR="00163957" w:rsidRDefault="00163957" w:rsidP="00163957">
      <w:pPr>
        <w:pStyle w:val="TextoNormal"/>
      </w:pPr>
    </w:p>
    <w:p w:rsidR="00163957" w:rsidRDefault="00163957" w:rsidP="00163957">
      <w:pPr>
        <w:pStyle w:val="TextoNormal"/>
      </w:pPr>
      <w:r w:rsidRPr="00163957">
        <w:rPr>
          <w:rStyle w:val="NumeroAFNegritaCaracter"/>
        </w:rPr>
        <w:t>3</w:t>
      </w:r>
      <w:r>
        <w:t>. Pasando ya al análisis de los vicios de inconstitucionalidad que el Abogado del Estado atribuye a los arts. 59 y 64.4 restantes de la Ley del Parlamento de Cataluña 3/2012, hay que señalar que, caso de ser apreciados, determinarían la existencia de un supuesto de inconstitucionalidad de carácter mediato o indirecto, así calificado de forma reiterada por nuestra jurisprudencia en distintos pronunciamientos (por todos, SSTC 151/1992, de 19 de octubre, FJ 1; 87/2009, de 20 de abril, FJ 2; 162/2009, de 29 de junio, FJ 2, y 246/2012, de 20 de diciembre, FJ 8). La razón es que a tales preceptos se les atribuye la infracción de distintas normas estatales básicas, contradicción que, de verificarse, determinaría la contravención del orden constitucional de distribución de competencias por parte de la normativa autonómica. Por tanto, este recurso de inconstitucionalidad plantea una controversia con alcance competencial, que exige llevar a cabo un encuadramiento de las cuestiones controvertidas, en la medida en que, cada uno de los dos preceptos que restan por enjuiciar, si bien responden ambos al ejercicio de la misma competencia autonómica de carácter exclusivo, esto es la ordenación del territorio, urbanismo y vivienda (y en ese sentido, reafirmando la exclusividad de la competencia, se pronuncia la reciente STC 141/2014, de 11 de septiembre, FJ 4), se corresponden, en cambio, con distintos títulos competenciales del Estado, que pueden coexistir con aquella, habiendo reconocido ya este Tribunal que “la competencia autonómica exclusiva sobre urbanismo ha de integrarse sistemáticamente con aquellas otras estatales que, si bien en modo alguno podrían legitimar una regulación general del entero régimen jurídico del suelo, pueden propiciar, sin embargo, que se afecte puntualmente a la materia urbanística” (STC 61/1997, FJ 6).</w:t>
      </w:r>
    </w:p>
    <w:p w:rsidR="00163957" w:rsidRDefault="00163957" w:rsidP="00163957">
      <w:pPr>
        <w:pStyle w:val="TextoNormal"/>
      </w:pPr>
    </w:p>
    <w:p w:rsidR="00163957" w:rsidRDefault="00163957" w:rsidP="00163957">
      <w:pPr>
        <w:pStyle w:val="TextoNormal"/>
      </w:pPr>
      <w:r>
        <w:t>No obstante, como presupuesto para la determinación de la concurrencia de esta inconstitucionalidad mediata, este Tribunal debe verificar antes si las normas básicas invocadas como parámetro de constitucionalidad siguen estando en vigor en los términos que sirvieron al recurrente para formular la demanda, lo que haremos en los siguientes fundamentos jurídicos, en función de las que fueron ofrecidas por el Abogado del Estado en su recurso, no sin antes advertir que la normativa estatal de referencia ha sufrido importantes modificaciones que han incidido notablemente en el análisis y resolución de este proceso de inconstitucionalidad.</w:t>
      </w:r>
    </w:p>
    <w:p w:rsidR="00163957" w:rsidRDefault="00163957" w:rsidP="00163957">
      <w:pPr>
        <w:pStyle w:val="TextoNormal"/>
      </w:pPr>
    </w:p>
    <w:p w:rsidR="00163957" w:rsidRDefault="00163957" w:rsidP="00163957">
      <w:pPr>
        <w:pStyle w:val="TextoNormal"/>
      </w:pPr>
      <w:r>
        <w:t xml:space="preserve">Así pues, teniendo presente la existencia de un marco normativo de referencia totalmente nuevo, tal y como se expondrá en detalle, es preciso invocar nuestra doctrina sobre el </w:t>
      </w:r>
      <w:r w:rsidRPr="00163957">
        <w:rPr>
          <w:i/>
        </w:rPr>
        <w:t>ius superveniens</w:t>
      </w:r>
      <w:r>
        <w:t xml:space="preserve"> en procesos de naturaleza competencial como el que ahora nos ocupa, a pesar de adoptar la forma de recurso de inconstitucionalidad. Esta doctrina exige que el control de las normas que incurren en un posible exceso competencial deba hacerse de acuerdo con las normas del bloque de la constitucionalidad y con las demás normas que operan como parámetro de enjuiciamiento, que estén vigentes en el momento de dictar sentencia (por </w:t>
      </w:r>
      <w:r>
        <w:lastRenderedPageBreak/>
        <w:t>todas SSTC 1/2011, de 14 de febrero, FJ 2; 5/2012, de 17 de enero, FJ 3; y 148/2012, de 5 de julio, FJ 2, y doctrina en ellas citada).</w:t>
      </w:r>
    </w:p>
    <w:p w:rsidR="00163957" w:rsidRDefault="00163957" w:rsidP="00163957">
      <w:pPr>
        <w:pStyle w:val="TextoNormal"/>
      </w:pPr>
    </w:p>
    <w:p w:rsidR="00163957" w:rsidRDefault="00163957" w:rsidP="00163957">
      <w:pPr>
        <w:pStyle w:val="TextoNormal"/>
      </w:pPr>
      <w:r w:rsidRPr="00163957">
        <w:rPr>
          <w:rStyle w:val="NumeroAFNegritaCaracter"/>
        </w:rPr>
        <w:t>4</w:t>
      </w:r>
      <w:r>
        <w:t>. Se impugna el art. 59 de la Ley del Parlamento de Cataluña 3/2012, de 22 de febrero, de modificación del texto refundido de la Ley de urbanismo, aprobado por Decreto Legislativo 1/2010, de 3 de agosto, al que el Abogado del Estado imputa una eventual contravención con los arts. 38 y 39, particularmente con el apartado 1 de este último, del Real Decreto Legislativo 2/2008, de 20 de junio, que aprobó el texto refundido de la Ley de suelo.</w:t>
      </w:r>
    </w:p>
    <w:p w:rsidR="00163957" w:rsidRDefault="00163957" w:rsidP="00163957">
      <w:pPr>
        <w:pStyle w:val="TextoNormal"/>
      </w:pPr>
    </w:p>
    <w:p w:rsidR="00163957" w:rsidRDefault="00163957" w:rsidP="00163957">
      <w:pPr>
        <w:pStyle w:val="TextoNormal"/>
      </w:pPr>
      <w:r>
        <w:t>Pues bien, el mencionado art. 39.1 del Real Decreto Legislativo 2/2008, fue inicialmente modificado por la disposición final duodécima apartado 15 de la Ley 8/2013, de 26 de junio, de rehabilitación, regeneración y renovación urbanas; ulteriormente, el Real Decreto Legislativo 2/2008 en su conjunto, ha sido derogado por el también Real Decreto Legislativo 7/2015, de 30 de octubre, por el que se aprueba el texto refundido de la Ley de suelo y rehabilitación urbana (disposición derogatoria única). Los arts. 38 y 39 del derogado del Real Decreto Legislativo 2/2008, de 20 de junio, ahora se corresponden, respectivamente, con los arts. 51 y 52 del precitado Real Decreto Legislativo 7/2015, en vigor al tiempo de dictarse esta Sentencia.</w:t>
      </w:r>
    </w:p>
    <w:p w:rsidR="00163957" w:rsidRDefault="00163957" w:rsidP="00163957">
      <w:pPr>
        <w:pStyle w:val="TextoNormal"/>
      </w:pPr>
    </w:p>
    <w:p w:rsidR="00163957" w:rsidRDefault="00163957" w:rsidP="00163957">
      <w:pPr>
        <w:pStyle w:val="TextoNormal"/>
      </w:pPr>
      <w:r>
        <w:t>Por su relevancia para la resolución de este proceso, hay que señalar, igualmente, que la redacción del art. 51 del precitado Real Decreto Legislativo 7/2015, viene a disponer que los patrimonios públicos del suelo, que son integrados por los bienes, recursos y derechos que se entreguen a la Administración competente en aplicación del art. 18.1 b) del Real Decreto Legislativo 7/2015, de 30 de octubre o de otras disposiciones normativas, podrán ser destinados a los usos que prevé el art. 52.1 del Real Decreto Legislativo 7/2015, que establece que “los bienes y recursos que integran necesariamente los patrimonios públicos de suelo en virtud de lo dispuesto en el apartado 1 del artículo anterior, deberán ser destinados a la construcción de viviendas sujetas a algún régimen de protección pública, salvo lo dispuesto en el artículo 18.2 a). Podrán ser destinados también a otros usos de interés social, de acuerdo con lo que dispongan los instrumentos de ordenación urbanística, sólo cuando así lo prevea la legislación en la materia especificando los fines admisibles, que serán urbanísticos, de protección o mejora de espacios naturales o de los bienes inmuebles del patrimonio cultural, o de carácter socio-económico para atender las necesidades que requiera el carácter integrado de operaciones de regeneración urbana”. Por tanto, este último precepto y apartado incluye una relación de finalidades que son las que deben traerse a esta sentencia como parámetro de constitucionalidad mediata del art. 59 de la Ley catalana 3/2012.</w:t>
      </w:r>
    </w:p>
    <w:p w:rsidR="00163957" w:rsidRDefault="00163957" w:rsidP="00163957">
      <w:pPr>
        <w:pStyle w:val="TextoNormal"/>
      </w:pPr>
    </w:p>
    <w:p w:rsidR="00163957" w:rsidRDefault="00163957" w:rsidP="00163957">
      <w:pPr>
        <w:pStyle w:val="TextoNormal"/>
      </w:pPr>
      <w:r>
        <w:t>Por otro lado, además de referirse a los usos a los que podrá ser destinado el patrimonio público de suelo, el precitado art. 52.1 del Real Decreto Legislativo 7/2015 establece criterios sobre el destino de aquel patrimonio a los usos previstos. Así, el precepto establece que deberá hacerse “de acuerdo con lo que dispongan los instrumentos de ordenación urbanística” y que, cuando se trate de destinar tal patrimonio a un fin de carácter socio-económico, lo habrá de ser “para atender las necesidades que requiera el carácter integrado de operaciones de regeneración urbana”.</w:t>
      </w:r>
    </w:p>
    <w:p w:rsidR="00163957" w:rsidRDefault="00163957" w:rsidP="00163957">
      <w:pPr>
        <w:pStyle w:val="TextoNormal"/>
      </w:pPr>
    </w:p>
    <w:p w:rsidR="00163957" w:rsidRDefault="00163957" w:rsidP="00163957">
      <w:pPr>
        <w:pStyle w:val="TextoNormal"/>
      </w:pPr>
      <w:r>
        <w:t xml:space="preserve">Así pues, entrando ya en el análisis de la primera de las cuestiones de fondo del conflicto competencial suscitado, hay que destacar que el art. 167 del Decreto Legislativo 1/2010, en </w:t>
      </w:r>
      <w:r>
        <w:lastRenderedPageBreak/>
        <w:t>la redacción que le da el art. 59 de la Ley de Cataluña 3/2012, de 22 de febrero, establece lo siguiente:</w:t>
      </w:r>
    </w:p>
    <w:p w:rsidR="00163957" w:rsidRDefault="00163957" w:rsidP="00163957">
      <w:pPr>
        <w:pStyle w:val="TextoNormal"/>
      </w:pPr>
    </w:p>
    <w:p w:rsidR="00163957" w:rsidRDefault="00163957" w:rsidP="00163957">
      <w:pPr>
        <w:pStyle w:val="TextoNormal"/>
      </w:pPr>
      <w:r>
        <w:t>“Artículo 167. Cesión gratuita y enajenación onerosa por un precio inferior</w:t>
      </w:r>
    </w:p>
    <w:p w:rsidR="00163957" w:rsidRDefault="00163957" w:rsidP="00163957">
      <w:pPr>
        <w:pStyle w:val="TextoNormal"/>
      </w:pPr>
    </w:p>
    <w:p w:rsidR="00163957" w:rsidRDefault="00163957" w:rsidP="00163957">
      <w:pPr>
        <w:pStyle w:val="TextoNormal"/>
      </w:pPr>
      <w:r>
        <w:t>1. Las Administraciones públicas o las entidades urbanísticas especiales que gestionan el respectivo patrimonio público de suelo y de vivienda pueden ceder gratuitamente los bienes que están integrados en el mismo, o enajenarlos por un precio inferior al de su valoración, a favor de otras Administraciones o entidades públicas, o de entidades privadas sin ánimo de lucro, para atender necesidades de vivienda de carácter social o de equipamiento comunitario, para generar actividad económica en áreas deprimidas o para formar reservas para proteger y tutelar el suelo no urbanizable.</w:t>
      </w:r>
    </w:p>
    <w:p w:rsidR="00163957" w:rsidRDefault="00163957" w:rsidP="00163957">
      <w:pPr>
        <w:pStyle w:val="TextoNormal"/>
      </w:pPr>
    </w:p>
    <w:p w:rsidR="00163957" w:rsidRDefault="00163957" w:rsidP="00163957">
      <w:pPr>
        <w:pStyle w:val="TextoNormal"/>
      </w:pPr>
      <w:r>
        <w:t>2. El órgano competente para acordar la cesión gratuita de los bienes, o la enajenación por un precio inferior al de su valoración, debe concretar en la correspondiente resolución el destino que la justifica, al cual queda vinculado el bien cedido o enajenado, y el plazo para hacerla efectiva. Si el adquirente incumple este plazo o, posteriormente, no destina el bien a la finalidad o el uso vinculados, o no se cumplen las cargas o condiciones impuestas, queda resuelta la cesión o la enajenación y el bien revierte a la administración o la entidad transmisora.”</w:t>
      </w:r>
    </w:p>
    <w:p w:rsidR="00163957" w:rsidRDefault="00163957" w:rsidP="00163957">
      <w:pPr>
        <w:pStyle w:val="TextoNormal"/>
      </w:pPr>
    </w:p>
    <w:p w:rsidR="00163957" w:rsidRDefault="00163957" w:rsidP="00163957">
      <w:pPr>
        <w:pStyle w:val="TextoNormal"/>
      </w:pPr>
      <w:r>
        <w:t>El Abogado del Estado reprocha al art. 59 de la Ley 3/2012, que permita que los bienes que integran el patrimonio público de suelo puedan cederse gratuitamente o enajenarse por un precio inferior al de su valoración, para fines distintos a los previstos en la legislación básica estatal. Más concretamente, le reprocha que permita que aquellos bienes puedan destinarse a la generación de actividad económica en áreas deprimidas, destino no incluido entre las finalidades previstas en la norma estatal vigente en el momento de interposición del recurso. Las alegaciones del recurso se dirigen únicamente a poner en cuestión uno de los fines a los que el precepto impugnado permite destinar el patrimonio público de suelo, por lo que en el presente proceso deberemos ceñirnos al examen de la tacha de inconstitucionalidad alegada.</w:t>
      </w:r>
    </w:p>
    <w:p w:rsidR="00163957" w:rsidRDefault="00163957" w:rsidP="00163957">
      <w:pPr>
        <w:pStyle w:val="TextoNormal"/>
      </w:pPr>
    </w:p>
    <w:p w:rsidR="00163957" w:rsidRDefault="00163957" w:rsidP="00163957">
      <w:pPr>
        <w:pStyle w:val="TextoNormal"/>
      </w:pPr>
      <w:r>
        <w:t>Así, si bien esos fines eran unos en la redacción de los arts. 38 y 39 del Real Decreto Legislativo 2/2008, vigente al momento de interponer el recurso y el conflicto se centraba en la previsión de la Ley autonómica que establece como finalidad posible la generación de “actividad económica en áreas deprimidas”, ante el silencio de la Ley básica actualmente en vigor respecto de esta finalidad específica, hemos visto antes que el artículo 39 ha sido derogado y su contenido se corresponde con el que se encuentra ahora recogido en el art. 52 del Real Decreto Legislativo 7/2015, por lo que este Tribunal deberá, en primer término, pronunciarse sobre el alcance, formal y materialmente básico, de la disposición que sirve de referencia al control mediato de constitucionalidad de la norma impugnada, delimitando, para ello, el ámbito competencial que sustenta la acción normativa del Estado, y, en segundo lugar, comparar la redacción de ambos preceptos, estatal y autonómico, para verificar si la redacción del art. 59 de la Ley catalana 3/2012, encuentra encaje en las nuevas previsiones del art. 52 del Real Decreto Legislativo 7/2015.</w:t>
      </w:r>
    </w:p>
    <w:p w:rsidR="00163957" w:rsidRDefault="00163957" w:rsidP="00163957">
      <w:pPr>
        <w:pStyle w:val="TextoNormal"/>
      </w:pPr>
    </w:p>
    <w:p w:rsidR="00163957" w:rsidRDefault="00163957" w:rsidP="00163957">
      <w:pPr>
        <w:pStyle w:val="TextoNormal"/>
      </w:pPr>
      <w:r>
        <w:t xml:space="preserve">La redacción de este precepto y lo que le confiere su carácter formalmente básico, se ampara en la competencia estatal recogida en la disposición final segunda del Real Decreto </w:t>
      </w:r>
      <w:r>
        <w:lastRenderedPageBreak/>
        <w:t>Legislativo 7/2015. Esta disposición determina que “los artículos 51 y 52, apartados 1 y 2, tienen el carácter de bases de la planificación general de la actividad económica dictadas en ejercicio de la competencia reservada al legislador estatal en el artículo 149.1.13 de la Constitución, sin perjuicio de las competencias exclusivas sobre suelo y urbanismo que tengan atribuidas las Comunidades Autónomas”. Asimismo, la STC 141/2014, de 11 de septiembre, en su fundamento jurídico 11, establece que el inciso inicial del artículo 38.1, el artículo 38.2 y el artículo 39 —que son los preceptos ahora sustituidos por los artículos 51 y 52 del Real Decreto Legislativo 7/2015—, hallan su cobertura en la competencia básica del Estado para proceder a la planificación de la actividad económica general (art. 149.1.13 CE).</w:t>
      </w:r>
    </w:p>
    <w:p w:rsidR="00163957" w:rsidRDefault="00163957" w:rsidP="00163957">
      <w:pPr>
        <w:pStyle w:val="TextoNormal"/>
      </w:pPr>
    </w:p>
    <w:p w:rsidR="00163957" w:rsidRDefault="00163957" w:rsidP="00163957">
      <w:pPr>
        <w:pStyle w:val="TextoNormal"/>
      </w:pPr>
      <w:r>
        <w:t>Desde el punto de vista material, la STC 141/2014, referencia obligada en este ámbito, también afirma el carácter básico de ambas disposiciones, arts. 38 y 39 del Real Decreto Legislativo 2/2008, de 20 de junio, —que ahora han sido sustituidos por los arts. 51 y 52 del Real Decreto Legislativo 7/2015 sin alterar, no obstante, la redacción que ya tenían aquellos cuando se dictó la STC 141/2014— y a ella nos remitimos enteramente para dar respuesta a las dudas que plantean la Generalitat y el Parlamento de Cataluña en relación con el exceso competencial en que habrían podido incurrir los artículos 38 y 39 —cuyo contenido ahora se encuentra recogido en los artículos 51 y 52—, y que ya fue objeto de análisis en aquel pronunciamiento.</w:t>
      </w:r>
    </w:p>
    <w:p w:rsidR="00163957" w:rsidRDefault="00163957" w:rsidP="00163957">
      <w:pPr>
        <w:pStyle w:val="TextoNormal"/>
      </w:pPr>
    </w:p>
    <w:p w:rsidR="00163957" w:rsidRDefault="00163957" w:rsidP="00163957">
      <w:pPr>
        <w:pStyle w:val="TextoNormal"/>
      </w:pPr>
      <w:r>
        <w:t>Recuerda la STC 141/2014, en el fundamento jurídico 2, apartado c), trayendo al texto nuestra jurisprudencia previa, que “el art. 149.1.13 CE atribuye al Estado las bases y coordinación de la planificación de la actividad económica”, competencia para la ordenación general de la economía que “abarca la definición de las líneas de actuación tendentes a alcanzar los objetivos de política económica global o sectorial fijados por la propia Constitución, así como la adopción de las medidas precisas para garantizar la realización de los mismos”. También apela a la necesidad de realizar “una interpretación restrictiva del art. 149.1.13 CE, puesto que una lectura excesivamente amplia del mismo podría constreñir o incluso vaciar las competencias sectoriales legítimas de las Comunidades Autónomas”, de lo que deriva que no toda medida, por el mero hecho de tener incidencia económica, puede incardinarse en este título, siendo necesario que tenga “una incidencia directa y significativa sobre la actividad económica general, pues de no ser así se vaciaría de contenido una materia y un título competencial más específico”. Por último, haciendo aquí referencia a la fundamental STC 61/1997, y a su referencial FJ 36, se reitera que los criterios anteriores resultan “también aplicables al sector de la vivienda y, en particular y dentro del mismo, a la actividad promocional, dada su más estrecha relación con la política económica general, en razón de la incidencia que el impulso de la construcción tiene como factor del desarrollo económico, y en especial, como factor generador de empleo”, y “a la política del suelo en su sentido más amplio, por su impacto directo sobre la política económica general”.</w:t>
      </w:r>
    </w:p>
    <w:p w:rsidR="00163957" w:rsidRDefault="00163957" w:rsidP="00163957">
      <w:pPr>
        <w:pStyle w:val="TextoNormal"/>
      </w:pPr>
    </w:p>
    <w:p w:rsidR="00163957" w:rsidRDefault="00163957" w:rsidP="00163957">
      <w:pPr>
        <w:pStyle w:val="TextoNormal"/>
      </w:pPr>
      <w:r>
        <w:t xml:space="preserve">En lo que hace, concretamente, a los arts. 38 y 39 del Real Decreto Legislativo 2/2008, de 20 de junio, el fundamento jurídico 11 de la STC 141/2014, reconoce que “el inciso inicial del art. 38.1 —‘la finalidad de regular el mercado de terrenos, obtener reservas de suelo para actuaciones de iniciativa pública y facilitar la ejecución de la ordenación territorial y urbanística’— encuentra cobertura, tal y como se deduce de nuestra STC 61/1997 (FJ 36), en la competencia estatal </w:t>
      </w:r>
      <w:r w:rsidRPr="00163957">
        <w:rPr>
          <w:i/>
        </w:rPr>
        <w:t>ex</w:t>
      </w:r>
      <w:r>
        <w:t xml:space="preserve"> art. 149.1.13 CE. Esta regulación tiene como precedente el art. 276 del texto refundido de la Ley de suelo de 1992 entonces no impugnado, pero con el que tenía estrecha relación el art. 280.1 del texto refundido que, precisamente por esta </w:t>
      </w:r>
      <w:r>
        <w:lastRenderedPageBreak/>
        <w:t xml:space="preserve">conexión, se consideró constitucional en cuanto norma básica vinculada a la planificación de la actividad económica general. En cuanto al art. 38.2, el mismo debe declararse igualmente constitucional puesto que la regulación del destino de los bienes ya se calificó como una materia de competencia estatal </w:t>
      </w:r>
      <w:r w:rsidRPr="00163957">
        <w:rPr>
          <w:i/>
        </w:rPr>
        <w:t>ex</w:t>
      </w:r>
      <w:r>
        <w:t xml:space="preserve"> art. 149.1.13 CE. La regla que se establece en este apartado, que configura los patrimonios públicos de suelo como patrimonios separados y que impide que los ingresos que se obtengan mediante su enajenación o en concepto de sustitución de la entrega de suelo se destinen a otros fines que no sean la conservación, administración y ampliación de los mismos o a los usos propios de su destino, constituye una regla de garantía o aseguramiento de la suerte de los bienes que integran el patrimonio público del suelo a los fines previstos en la legislación correspondiente (básica estatal y autonómica de desarrollo)”. Y, por último, e invocando de nuevo nuestra STC 61/1997 (FJ 36), determina que “la regulación del destino de los bienes del patrimonio público de suelo podía considerarse regulación básica directamente vinculada a la planificación de la actividad económica general (art. 149.1.13 CE) en relación con la vivienda (art. 47 CE)”.</w:t>
      </w:r>
    </w:p>
    <w:p w:rsidR="00163957" w:rsidRDefault="00163957" w:rsidP="00163957">
      <w:pPr>
        <w:pStyle w:val="TextoNormal"/>
      </w:pPr>
    </w:p>
    <w:p w:rsidR="00163957" w:rsidRDefault="00163957" w:rsidP="00163957">
      <w:pPr>
        <w:pStyle w:val="TextoNormal"/>
      </w:pPr>
      <w:r>
        <w:t xml:space="preserve">Por tanto, en aplicación de la doctrina, entonces referida a los arts. 38 y 39, pero plenamente trasladable a los arts. 51 y 52 del Real Decreto Legislativo 7/2015, las previsiones de tales preceptos quedan dentro de los márgenes de la competencia estatal </w:t>
      </w:r>
      <w:r w:rsidRPr="00163957">
        <w:rPr>
          <w:i/>
        </w:rPr>
        <w:t>ex</w:t>
      </w:r>
      <w:r>
        <w:t xml:space="preserve"> art. 149.1. 13 CE, porque fijan las líneas directrices y los criterios globales de ordenación de un sector económico concreto, como es el de la ordenación del suelo en relación con la concreta regulación del sector de la vivienda. Afirmado lo anterior, el análisis restante es el de la compatibilidad constitucional entre la normativa básica, conformada por los preceptos referidos, y la normativa autonómica de desarrollo, que se recoge en el art. 167.1 del Decreto Legislativo 1/2010.</w:t>
      </w:r>
    </w:p>
    <w:p w:rsidR="00163957" w:rsidRDefault="00163957" w:rsidP="00163957">
      <w:pPr>
        <w:pStyle w:val="TextoNormal"/>
      </w:pPr>
    </w:p>
    <w:p w:rsidR="00163957" w:rsidRDefault="00163957" w:rsidP="00163957">
      <w:pPr>
        <w:pStyle w:val="TextoNormal"/>
      </w:pPr>
      <w:r>
        <w:t>Llegados a este punto y comparada la dicción literal de las normas básicas y la norma autonómica, así como la identificación del problema competencial realizada por el recurrente, parece posible una lectura del precepto impugnado conforme a la vigente norma básica estatal.</w:t>
      </w:r>
    </w:p>
    <w:p w:rsidR="00163957" w:rsidRDefault="00163957" w:rsidP="00163957">
      <w:pPr>
        <w:pStyle w:val="TextoNormal"/>
      </w:pPr>
    </w:p>
    <w:p w:rsidR="00163957" w:rsidRDefault="00163957" w:rsidP="00163957">
      <w:pPr>
        <w:pStyle w:val="TextoNormal"/>
      </w:pPr>
      <w:r>
        <w:t>Recordemos aquí que la presunción de constitucionalidad de las normas impugnadas ocupa un lugar destacado en nuestro juicio, siendo doctrina reiterada de este Tribunal Constitucional que, en los procesos de control abstracto de constitucionalidad de las normas, que buscan ante todo depurar el ordenamiento de disposiciones incompatibles con la Constitución, “es necesario apurar todas las posibilidades de interpretar los preceptos de conformidad con la Constitución y declarar tan sólo la derogación de aquellos cuya incompatibilidad con ella resulte indudable por ser imposible llevar a cabo dicha interpretación” (STC 101/2008, de 24 de julio, FJ 9, y doctrina allí citada).</w:t>
      </w:r>
    </w:p>
    <w:p w:rsidR="00163957" w:rsidRDefault="00163957" w:rsidP="00163957">
      <w:pPr>
        <w:pStyle w:val="TextoNormal"/>
      </w:pPr>
    </w:p>
    <w:p w:rsidR="00163957" w:rsidRDefault="00163957" w:rsidP="00163957">
      <w:pPr>
        <w:pStyle w:val="TextoNormal"/>
      </w:pPr>
      <w:r>
        <w:t xml:space="preserve">Sabiendo que “la admisibilidad de la interpretación conforme requiere que la interpretación compatible con la Constitución sea efectivamente deducible de la disposición impugnada” (por todas, SSTC 30/2011, de 16 de marzo, FJ 11; y 32/2011, de 17 de marzo de 2011, FJ 9), parece fácil extraer esta del art. 167 del Decreto Legislativo 1/2010, que prevé la cesión gratuita o la enajenación por precio inferior al de su valoración de bienes integrantes del patrimonio público del suelo, para atender necesidades de vivienda de carácter social o de equipamiento comunitario, para generar actividad económica en áreas deprimidas o para formar reservas para proteger y tutelar el suelo no urbanizable; y también parece fácil llegar a la conclusión de que, a diferencia de la norma estatal básica existente en el momento </w:t>
      </w:r>
      <w:r>
        <w:lastRenderedPageBreak/>
        <w:t>de interposición del recurso, que sólo preveía dos finalidades o destinos para esos patrimonios, la nueva redacción contenida en el art. 52.1 del Real Decreto Legislativo 7/2015 amplía dicha previsión. Así, este precepto define actualmente que los bienes, recursos y derechos que adquiera la Administración en virtud del deber a que se refiere el art. 18.1 b) del Real Decreto Legislativo 7/2015, sin perjuicio de los demás que determine la legislación sobre ordenación territorial y urbanística, podrán ser destinados: a) a la construcción de viviendas sujetas a algún régimen de protección pública, salvo lo dispuesto en el artículo 18.2 a) del Real Decreto Legislativo 7/2015; y b) a otros usos de interés social, de acuerdo con lo que dispongan los instrumentos de ordenación urbanística, sólo cuando así lo prevea la legislación en la materia especificando los fines admisibles, que serán bien urbanísticos, bien de protección o mejora de espacios naturales o de los bienes inmuebles del patrimonio cultural, o bien de carácter socio-económico para atender las necesidades que requiera el carácter integrado de operaciones de regeneración urbana.</w:t>
      </w:r>
    </w:p>
    <w:p w:rsidR="00163957" w:rsidRDefault="00163957" w:rsidP="00163957">
      <w:pPr>
        <w:pStyle w:val="TextoNormal"/>
      </w:pPr>
    </w:p>
    <w:p w:rsidR="00163957" w:rsidRDefault="00163957" w:rsidP="00163957">
      <w:pPr>
        <w:pStyle w:val="TextoNormal"/>
      </w:pPr>
      <w:r>
        <w:t>Por tanto, si el recurso del Abogado del Estado centraba de modo exclusivo su impugnación en el diferente destino que, a su juicio, la norma autonómica daba a los bienes o recursos del patrimonio público del suelo cuando aquella permitía orientarlos a la generación de “actividad económica en áreas deprimidas”, el art. 52 del Real Decreto Legislativo 7/2015 admite, en su redacción actual, que los bienes, recursos y derechos que integren el patrimonio público del suelo puedan ser destinados a usos de interés social, entre los que se incluyan las finalidades de carácter socioeconómico vinculadas a las necesidades puestas de manifiesto por el carácter integrado de operaciones de regeneración urbana, por lo que se puede entender que, dentro de este elenco de usos de interés social ligados a la consecución de finalidades de carácter socioeconómico, bien puede incluirse la previsión autonómica de la generación de actividad económica en áreas deprimidas.</w:t>
      </w:r>
    </w:p>
    <w:p w:rsidR="00163957" w:rsidRDefault="00163957" w:rsidP="00163957">
      <w:pPr>
        <w:pStyle w:val="TextoNormal"/>
      </w:pPr>
    </w:p>
    <w:p w:rsidR="00163957" w:rsidRDefault="00163957" w:rsidP="00163957">
      <w:pPr>
        <w:pStyle w:val="TextoNormal"/>
      </w:pPr>
      <w:r>
        <w:t xml:space="preserve">Ciertamente, la base estatal establece una serie de exigencias específicas adicionales cuando se trata de destinar patrimonio público de suelo a fines de carácter socio-económico, pues ello sólo puede realizarse, </w:t>
      </w:r>
      <w:r w:rsidRPr="00163957">
        <w:rPr>
          <w:i/>
        </w:rPr>
        <w:t>ex</w:t>
      </w:r>
      <w:r>
        <w:t xml:space="preserve"> art. 52.1 del Real Decreto Legislativo 7/2015, “de acuerdo con lo que dispongan los instrumentos de ordenación urbanística”, esto es dentro de ordenación y con exclusión de cesiones o enajenaciones individualizadas que no vayan recogidas en un plan, así como “para atender las necesidades que requiera el carácter integrado de operaciones de regeneración urbana”. A este carácter integrado se refiere el art. 2.1 del Real Decreto Legislativo 7/2015 cuando señala que “las actuaciones de regeneración y renovación urbanas (aquellas que según el propio precepto afectan tanto a edificios, como a tejidos urbanos) tendrán, además, carácter integrado, cuando articulen medidas sociales, ambientales y económicas enmarcadas en una estrategia administrativa global y unitaria”. Se debe, por tanto, subrayar que la previsión autonómica, que, sin ninguna otra especificidad, se limita a disponer, entre otros fines, el destino del patrimonio público de suelo a la generación de actividad económica en áreas deprimidas, solo podrá desplegarse cuando se cumplan el resto de las condiciones previstas en la normativa básica estatal.</w:t>
      </w:r>
    </w:p>
    <w:p w:rsidR="00163957" w:rsidRDefault="00163957" w:rsidP="00163957">
      <w:pPr>
        <w:pStyle w:val="TextoNormal"/>
      </w:pPr>
    </w:p>
    <w:p w:rsidR="00163957" w:rsidRDefault="00163957" w:rsidP="00163957">
      <w:pPr>
        <w:pStyle w:val="TextoNormal"/>
      </w:pPr>
      <w:r w:rsidRPr="00163957">
        <w:rPr>
          <w:rStyle w:val="NumeroAFNegritaCaracter"/>
        </w:rPr>
        <w:t>5</w:t>
      </w:r>
      <w:r>
        <w:t>. Por último, hemos de enjuiciar la denunciada inconstitucionalidad del art. 64.4 de la Ley del Parlamento de Cataluña 3/2012, que dio nueva redacción al art. 187.5 del Decreto Legislativo 1/2010. A tal fin y como hemos indicado en los antecedentes, el recurso del Abogado del Estado alegó su contravención con el art. 23 del Real Decreto-ley 8/2011, de 1 de julio.</w:t>
      </w:r>
    </w:p>
    <w:p w:rsidR="00163957" w:rsidRDefault="00163957" w:rsidP="00163957">
      <w:pPr>
        <w:pStyle w:val="TextoNormal"/>
      </w:pPr>
    </w:p>
    <w:p w:rsidR="00163957" w:rsidRDefault="00163957" w:rsidP="00163957">
      <w:pPr>
        <w:pStyle w:val="TextoNormal"/>
      </w:pPr>
      <w:r>
        <w:lastRenderedPageBreak/>
        <w:t>En relación con este precepto legal estatal, invocado como parámetro de constitucionalidad mediata del art. 64.4 de la Ley de Cataluña 3/2012, hay que señalar que fue dejado sin vigencia por la disposición derogatoria de la Ley 8/2013, de 26 de junio, de rehabilitación, regeneración y renovación urbanas, que, en su apartado 6, se refiere expresamente, entre otros, a este precepto; además, fue posteriormente declarado inconstitucional en la STC 29/2015, de 19 de febrero, por vulneración del art. 86.1 CE.</w:t>
      </w:r>
    </w:p>
    <w:p w:rsidR="00163957" w:rsidRDefault="00163957" w:rsidP="00163957">
      <w:pPr>
        <w:pStyle w:val="TextoNormal"/>
      </w:pPr>
    </w:p>
    <w:p w:rsidR="00163957" w:rsidRDefault="00163957" w:rsidP="00163957">
      <w:pPr>
        <w:pStyle w:val="TextoNormal"/>
      </w:pPr>
      <w:r>
        <w:t>Más allá de la derogación expresa referida, se produce una modificación normativa que afecta a la cuestión aquí tratada. El contenido del art. 9 del Real Decreto Legislativo 2/2008, de 20 de junio, se corresponde ahora con el recogido en el art. 11 del Real Decreto Legislativo 7/2015, cuyo apartado 3 establece que “todo acto de edificación requerirá del acto de conformidad, aprobación o autorización administrativa que sea preceptivo, según la legislación de ordenación territorial y urbanística, debiendo ser motivada su denegación. En ningún caso podrán entenderse adquiridas por silencio administrativo facultades o derechos que contravengan la ordenación territorial o urbanística”. El apartado 4 del mismo precepto instituye, a grandes rasgos, que serán expresos los actos que autoricen movimientos de tierras, explanaciones, parcelaciones, segregaciones u otros actos de división de fincas en cualquier clase de suelo, cuando no formen parte de un proyecto de reparcelación; las obras de edificación, construcción e implantación de instalaciones de nueva planta; la ubicación de casas prefabricadas e instalaciones similares, ya sean provisionales o permanentes; y la tala de masas arbóreas o de vegetación arbustiva en terrenos incorporados a procesos de transformación urbanística y, en todo caso, cuando dicha tala se derive de la legislación de protección del dominio público. No se prevé, por tanto, en la nueva regulación, la autorización expresa en supuestos de licencias de primera ocupación, habiendo quedado éstas fuera de la legislación básica que regula las autorizaciones.</w:t>
      </w:r>
    </w:p>
    <w:p w:rsidR="00163957" w:rsidRDefault="00163957" w:rsidP="00163957">
      <w:pPr>
        <w:pStyle w:val="TextoNormal"/>
      </w:pPr>
    </w:p>
    <w:p w:rsidR="00163957" w:rsidRDefault="00163957" w:rsidP="00163957">
      <w:pPr>
        <w:pStyle w:val="TextoNormal"/>
      </w:pPr>
      <w:r>
        <w:t>Junto a ello, el apartado 5 del mismo art. 11 del Real Decreto Legislativo 7/2015, establece que “cuando la legislación de ordenación territorial y urbanística aplicable sujete la primera ocupación o utilización de las edificaciones a un régimen de comunicación previa o de declaración responsable, y de dichos procedimientos no resulte que la edificación cumple los requisitos necesarios para el destino al uso previsto, la Administración a la que se realice la comunicación deberá adoptar las medidas necesarias para el cese de la ocupación o utilización comunicada. Si no adopta dichas medidas en el plazo de seis meses, será responsable de los perjuicios que puedan ocasionarse a terceros de buena fe por la omisión de tales medidas. La Administración podrá repercutir en el sujeto obligado a la presentación de la comunicación previa o declaración responsable el importe de tales perjuicios. Tanto la práctica de la comunicación previa a la Administración competente, como las medidas de restablecimiento de la legalidad urbanística que aquella pudiera adoptar en relación con el acto comunicado, deberán hacerse constar en el Registro de la Propiedad, en los términos establecidos por la legislación hipotecaria y por esta Ley”.</w:t>
      </w:r>
    </w:p>
    <w:p w:rsidR="00163957" w:rsidRDefault="00163957" w:rsidP="00163957">
      <w:pPr>
        <w:pStyle w:val="TextoNormal"/>
      </w:pPr>
    </w:p>
    <w:p w:rsidR="00163957" w:rsidRDefault="00163957" w:rsidP="00163957">
      <w:pPr>
        <w:pStyle w:val="TextoNormal"/>
      </w:pPr>
      <w:r>
        <w:t xml:space="preserve">Esta nueva regulación prescinde de la regla del acto expreso de conformidad, aprobación o autorización administrativa en los supuestos de primera ocupación o utilización de las edificaciones que preveía el art. 23.1 e) del Real Decreto-ley 8/2011, lo que abre ahora la posibilidad de que sea la normativa de ordenación territorial y urbanística (la de la Comunidad Autónoma correspondiente) la que regule con discrecionalidad el régimen de control de los supuestos de primera ocupación o utilización de las edificaciones, admitiéndose, así, </w:t>
      </w:r>
      <w:r>
        <w:lastRenderedPageBreak/>
        <w:t>que dicha normativa disponga un régimen de comunicación previa o de declaración responsable para tales supuestos. No existe, por tanto, como desarrollaremos, una norma básica que sirva como parámetro de constitucionalidad mediata del art. 187.5 del Decreto Legislativo 1/2010, en la redacción dada por el art. 64.4 de la Ley 3/2012.</w:t>
      </w:r>
    </w:p>
    <w:p w:rsidR="00163957" w:rsidRDefault="00163957" w:rsidP="00163957">
      <w:pPr>
        <w:pStyle w:val="TextoNormal"/>
      </w:pPr>
    </w:p>
    <w:p w:rsidR="00163957" w:rsidRDefault="00163957" w:rsidP="00163957">
      <w:pPr>
        <w:pStyle w:val="TextoNormal"/>
      </w:pPr>
      <w:r>
        <w:t xml:space="preserve">Una vez precisado el </w:t>
      </w:r>
      <w:r w:rsidRPr="00163957">
        <w:rPr>
          <w:i/>
        </w:rPr>
        <w:t>ius superveniens</w:t>
      </w:r>
      <w:r>
        <w:t xml:space="preserve"> de la normativa estatal que ha sustituido a la que, en su momento, fue invocada por el recurso del Abogado del Estado para contraponerla a la del precepto autonómico impugnado, hemos de poner de relieve que el art. 187.5 del Decreto Legislativo 1/2010, introducido por el número 4 del artículo 64 de la Ley 3/2012, dice literalmente:</w:t>
      </w:r>
    </w:p>
    <w:p w:rsidR="00163957" w:rsidRDefault="00163957" w:rsidP="00163957">
      <w:pPr>
        <w:pStyle w:val="TextoNormal"/>
      </w:pPr>
    </w:p>
    <w:p w:rsidR="00163957" w:rsidRDefault="00163957" w:rsidP="00163957">
      <w:pPr>
        <w:pStyle w:val="TextoNormal"/>
      </w:pPr>
      <w:r>
        <w:t>“Queda sujeto al régimen de comunicación previa al ayuntamiento, de acuerdo con el procedimiento que establece la legislación de régimen local, la primera utilización y ocupación de los edificios y construcciones. La comunicación ha de acompañarse de la certificación del facultativo director que acredite la fecha de finalización de las obras y de que estas se han efectuado de acuerdo con el proyecto aprobado o con las modificaciones posteriores y las condiciones impuestas, y que la edificación está en condiciones de ser utilizada.”</w:t>
      </w:r>
    </w:p>
    <w:p w:rsidR="00163957" w:rsidRDefault="00163957" w:rsidP="00163957">
      <w:pPr>
        <w:pStyle w:val="TextoNormal"/>
      </w:pPr>
    </w:p>
    <w:p w:rsidR="00163957" w:rsidRDefault="00163957" w:rsidP="00163957">
      <w:pPr>
        <w:pStyle w:val="TextoNormal"/>
      </w:pPr>
      <w:r>
        <w:t xml:space="preserve">Pues bien, respecto de este precepto, hay que señalar, también, que el art. 187 del Decreto Legislativo 1/2010 ha sido recientemente modificado en su integridad por el art. 22 de la Ley del Parlamento de Cataluña 16/2015, de 21 de julio, de simplificación de la actividad administrativa de la Administración de la Generalitat y de los gobiernos locales de Cataluña y de impulso de la actividad económica (“DOGC” núm. 6920, del 24 de julio), que ha entrado en vigor el día 13 de agosto siguiente. Los apartados 2 a 4 del citado precepto han introducido una nueva configuración del régimen de control administrativo de las diferentes actuaciones urbanísticas, de tal manera que el modificado art. 187 del Decreto Legislativo 1/2010, en redacción introducida por el apartado 2, dispone el régimen de los actos sujetos a licencia urbanística; el nuevo art. 187 </w:t>
      </w:r>
      <w:r w:rsidRPr="00163957">
        <w:rPr>
          <w:i/>
        </w:rPr>
        <w:t>bis</w:t>
      </w:r>
      <w:r>
        <w:t xml:space="preserve"> del Decreto Legislativo 1/2010, al que da contenido el apartado 3, dispone otro sistema bajo la rúbrica de los “actos sujetos a comunicación previa”, que incluye en su letra b), el de los actos relativos a “la primera utilización y ocupación de los edificios”; y, por último, el también novedoso artículo 187 </w:t>
      </w:r>
      <w:r w:rsidRPr="00163957">
        <w:rPr>
          <w:i/>
        </w:rPr>
        <w:t>ter</w:t>
      </w:r>
      <w:r>
        <w:t>, en redacción introducida por el apartado 4, atiende a la regulación de los “actos no sujetos a intervención mediante licencia urbanística o comunicación previa”.</w:t>
      </w:r>
    </w:p>
    <w:p w:rsidR="00163957" w:rsidRDefault="00163957" w:rsidP="00163957">
      <w:pPr>
        <w:pStyle w:val="TextoNormal"/>
      </w:pPr>
    </w:p>
    <w:p w:rsidR="00163957" w:rsidRDefault="00163957" w:rsidP="00163957">
      <w:pPr>
        <w:pStyle w:val="TextoNormal"/>
      </w:pPr>
      <w:r>
        <w:t>Por tanto, como puede advertirse de lo expuesto, la modificación legal introducida, que es la vigente en la actualidad, ha establecido otra estructuración de los sistemas de control administrativo de las actuaciones urbanísticas, pero, en lo que ahora es de interés, no ha alterado el sistema de sujeción a comunicación previa de los actos relativos a la primera ocupación y utilización de los edificios.</w:t>
      </w:r>
    </w:p>
    <w:p w:rsidR="00163957" w:rsidRDefault="00163957" w:rsidP="00163957">
      <w:pPr>
        <w:pStyle w:val="TextoNormal"/>
      </w:pPr>
    </w:p>
    <w:p w:rsidR="00163957" w:rsidRDefault="00163957" w:rsidP="00163957">
      <w:pPr>
        <w:pStyle w:val="TextoNormal"/>
      </w:pPr>
      <w:r>
        <w:t xml:space="preserve">Pero, comenzando ya el análisis de la impugnación formalizada por el Abogado del Estado, es preciso destacar que el art. 64.4 de la Ley 3/2012 se recurre por invasión de las competencias estatales </w:t>
      </w:r>
      <w:r w:rsidRPr="00163957">
        <w:rPr>
          <w:i/>
        </w:rPr>
        <w:t>ex</w:t>
      </w:r>
      <w:r>
        <w:t xml:space="preserve"> art. 149.1.18 CE, al sustituir por un sistema de comunicación previa, la necesidad de acto expreso de conformidad, aprobación o autorización (con régimen de silencio negativo) que el art. 23.1 e) del Real Decreto Legislativo 8/2011 exigía para la primera utilización y ocupación de las edificaciones de nueva planta y de las casas prefabricadas e instalaciones similares. Como ya hemos expuesto anteriormente, el parámetro de constitucionalidad mediata del precepto impugnado, el art. 23 del Real Decreto Legislativo </w:t>
      </w:r>
      <w:r>
        <w:lastRenderedPageBreak/>
        <w:t>8/2011 que citaba el recurrente, ha sido derogado por el Real Decreto Legislativo 7/2015. El nuevo artículo 11.5 de esta norma legal alude únicamente a la posibilidad de que, cuando la normativa legal urbanística correspondiente (en este caso, la catalana) sujete la primera ocupación o utilización de edificaciones a “un régimen de comunicación previa” y no se cumplan los requisitos necesarios para el destino al uso previsto, el precepto de referencia prevé las consecuencias derivadas de aquel incumplimiento, lo que permite concluir que la norma estatal contempla el sistema de comunicación previa como uno de los posibles en el control de este tipo de actuaciones urbanísticas, guardando, pues, plena sintonía con el que regula el art. 187.5 del Decreto Legislativo 1/2010, en la redacción proporcionada por el art. 64.4 de la Ley 3/2012 catalana.</w:t>
      </w:r>
    </w:p>
    <w:p w:rsidR="00163957" w:rsidRDefault="00163957" w:rsidP="00163957">
      <w:pPr>
        <w:pStyle w:val="TextoNormal"/>
      </w:pPr>
    </w:p>
    <w:p w:rsidR="00163957" w:rsidRDefault="00163957" w:rsidP="00163957">
      <w:pPr>
        <w:pStyle w:val="TextoNormal"/>
      </w:pPr>
      <w:r>
        <w:t>A la vista de las modificaciones sobrevenidas que han sido introducidas en la normativa estatal, ha desaparecido el eventual conflicto que hubiera podido existir entre la norma autonómica de referencia y la norma estatal de contraste. En efecto, la vigente regulación contenida en la norma estatal modifica el anterior régimen de intervención de la primera ocupación y utilización de los edificios, que aparecía prevista en el art. 23.1 e) del Real Decreto-ley 8/2011 para la licencia de primera ocupación y que consistía en un sistema de autorización administrativa necesaria y correlativo silencio negativo (a este sistema se hacía referencia en el ATC 267/2013, de 19 de noviembre, FJ 4). A diferencia de lo establecido en aquella norma, la regulación actual permite, como se deriva fácilmente de la lectura del art. 11.5 del Real Decreto Legislativo 7/2015, que las Comunidades Autónomas puedan someter la actuación de primera ocupación a simple comunicación previa (así lo reconoce expresamente el ATC 266/2013, de 19 de noviembre, FJ 1), por lo que, no existiendo una norma estatal que imponga en el caso de la primera utilización y ocupación de los edificios y construcciones un concreto mecanismo de intervención administrativa, no existe en este ámbito precepto básico con el que contrastar el precepto en su día impugnado, por lo que no nos encontramos ya ante un supuesto de inconstitucionalidad mediata.</w:t>
      </w:r>
    </w:p>
    <w:p w:rsidR="00163957" w:rsidRDefault="00163957" w:rsidP="00163957">
      <w:pPr>
        <w:pStyle w:val="TextoNormal"/>
      </w:pPr>
    </w:p>
    <w:p w:rsidR="00163957" w:rsidRDefault="00163957" w:rsidP="00163957">
      <w:pPr>
        <w:pStyle w:val="TextoNormal"/>
      </w:pPr>
      <w:r>
        <w:t>Procede, pues, desestimar la impugnación del apartado 4 del art. 64 de la Ley 3/2012, de 22 de febrero, que dio nueva redacción al art. 187.5 del Decreto Legislativo 1/2010.</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Declarar que el art. 59 de la Ley del Parlamento de Cataluña 3/2012, de 22 de febrero, de modificación del texto refundido de la Ley de urbanismo, aprobado por el Decreto Legislativo 1/2010, de 3 de agosto, no es inconstitucional, siempre que se interprete en los términos establecidos en el fundamento jurídico 4 de esta Sentencia.</w:t>
      </w:r>
    </w:p>
    <w:p w:rsidR="00163957" w:rsidRDefault="00163957" w:rsidP="00163957">
      <w:pPr>
        <w:pStyle w:val="TextoNormal"/>
      </w:pPr>
    </w:p>
    <w:p w:rsidR="00163957" w:rsidRDefault="00163957" w:rsidP="00163957">
      <w:pPr>
        <w:pStyle w:val="TextoNormal"/>
      </w:pPr>
      <w:r>
        <w:t>2º Desestimar el recurso de inconstitucionalidad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cuatro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lastRenderedPageBreak/>
        <w:br w:type="page"/>
      </w:r>
    </w:p>
    <w:p w:rsidR="00163957" w:rsidRDefault="00163957" w:rsidP="00163957">
      <w:pPr>
        <w:pStyle w:val="TtuloResolucin"/>
      </w:pPr>
      <w:bookmarkStart w:id="21" w:name="SENTENCIA_2016_18"/>
      <w:r>
        <w:lastRenderedPageBreak/>
        <w:t>SENTENCIA 18/2016, de 4 de febrero de 2016</w:t>
      </w:r>
    </w:p>
    <w:bookmarkEnd w:id="21"/>
    <w:p w:rsidR="00163957" w:rsidRDefault="00163957" w:rsidP="00163957">
      <w:pPr>
        <w:pStyle w:val="TtuloResolucin"/>
      </w:pPr>
      <w:r>
        <w:t>Pleno</w:t>
      </w:r>
    </w:p>
    <w:p w:rsidR="00163957" w:rsidRDefault="00163957" w:rsidP="00163957">
      <w:pPr>
        <w:pStyle w:val="TtuloBOE"/>
      </w:pPr>
      <w:r>
        <w:t>(BOE núm. 57, de 7 de marzo de 2016)</w:t>
      </w:r>
    </w:p>
    <w:p w:rsidR="00163957" w:rsidRDefault="00163957" w:rsidP="00163957">
      <w:pPr>
        <w:pStyle w:val="TextoNormalCentrado"/>
      </w:pPr>
      <w:r>
        <w:t>ECLI:ES:TC:2016:18</w:t>
      </w:r>
    </w:p>
    <w:p w:rsidR="00163957" w:rsidRDefault="00163957" w:rsidP="00163957">
      <w:pPr>
        <w:pStyle w:val="TextoNormalCentrado"/>
      </w:pPr>
    </w:p>
    <w:p w:rsidR="00163957" w:rsidRDefault="00163957" w:rsidP="00163957">
      <w:pPr>
        <w:pStyle w:val="SntesisDescriptiva"/>
      </w:pPr>
      <w:r>
        <w:t>Recurso de inconstitucionalidad 1983-2013. Interpuesto por la Generalitat de Cataluña en relación con varios preceptos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Límites a los decretos-leyes, competencias sobre condiciones básicas de igualdad, ordenación general de la economía, comercio y función pública; autonomía financiera de las Comunidades Autónomas: nulidad de los preceptos legales estatales relativos a los artículos objeto de venta en rebajas, en promoción o en oferta. Voto particular.</w:t>
      </w:r>
    </w:p>
    <w:p w:rsidR="00163957" w:rsidRDefault="00163957" w:rsidP="00163957">
      <w:pPr>
        <w:pStyle w:val="SntesisAnaltica"/>
      </w:pPr>
    </w:p>
    <w:p w:rsidR="00163957" w:rsidRDefault="00163957" w:rsidP="00163957">
      <w:pPr>
        <w:pStyle w:val="Extracto"/>
      </w:pPr>
      <w:r>
        <w:t>1.</w:t>
      </w:r>
      <w:r>
        <w:tab/>
        <w:t>El Gobierno ha justificado correctamente tanto la existencia de la situación habilitante exigida por el art. 86.1 CE  como la conexión de sentido que la medida adoptada guarda en relación a la situación de extraordinaria y urgente necesidad [FJ 5].</w:t>
      </w:r>
    </w:p>
    <w:p w:rsidR="00163957" w:rsidRDefault="00163957" w:rsidP="00163957">
      <w:pPr>
        <w:pStyle w:val="Extracto"/>
      </w:pPr>
    </w:p>
    <w:p w:rsidR="00163957" w:rsidRDefault="00163957" w:rsidP="00163957">
      <w:pPr>
        <w:pStyle w:val="Extracto"/>
      </w:pPr>
      <w:r>
        <w:t>2.</w:t>
      </w:r>
      <w:r>
        <w:tab/>
        <w:t>Doctrina sobre el presupuesto habilitante de la extraordinaria y urgente necesidad de los decretos-leyes (STC 39/2013, FJ 5) [FJ 3].</w:t>
      </w:r>
    </w:p>
    <w:p w:rsidR="00163957" w:rsidRDefault="00163957" w:rsidP="00163957">
      <w:pPr>
        <w:pStyle w:val="Extracto"/>
      </w:pPr>
    </w:p>
    <w:p w:rsidR="00163957" w:rsidRDefault="00163957" w:rsidP="00163957">
      <w:pPr>
        <w:pStyle w:val="Extracto"/>
      </w:pPr>
      <w:r>
        <w:t>3.</w:t>
      </w:r>
      <w:r>
        <w:tab/>
        <w:t>El régimen de incompatibilidades en las retribuciones con cargo a los presupuestos públicos, aunque afecta a la autonomía financiera, no es inconstitucional, ya que el cumplimiento de los objetivos de déficit y de endeudamiento es cuestión de interés general de extraordinaria importancia y debe ser garantizado por el Estado [FJ 6 a)].</w:t>
      </w:r>
    </w:p>
    <w:p w:rsidR="00163957" w:rsidRDefault="00163957" w:rsidP="00163957">
      <w:pPr>
        <w:pStyle w:val="Extracto"/>
      </w:pPr>
    </w:p>
    <w:p w:rsidR="00163957" w:rsidRDefault="00163957" w:rsidP="00163957">
      <w:pPr>
        <w:pStyle w:val="Extracto"/>
      </w:pPr>
      <w:r>
        <w:t>4.</w:t>
      </w:r>
      <w:r>
        <w:tab/>
        <w:t>El régimen de incompatibilidades de pensiones indemnizatorias, prestaciones compensatorias y percepciones similares percibidas como consecuencia del cese de cualquier cargo, puesto o actividad en el sector público y cualquier otra retribución con cargo a los presupuestos públicos no afecta a la autoorganización de la Comunidad Autónoma recurrente en la medida en que no altera a la estructura y funcionamiento de sus instituciones y órganos [FJ 6 a)].</w:t>
      </w:r>
    </w:p>
    <w:p w:rsidR="00163957" w:rsidRDefault="00163957" w:rsidP="00163957">
      <w:pPr>
        <w:pStyle w:val="Extracto"/>
      </w:pPr>
    </w:p>
    <w:p w:rsidR="00163957" w:rsidRDefault="00163957" w:rsidP="00163957">
      <w:pPr>
        <w:pStyle w:val="Extracto"/>
      </w:pPr>
      <w:r>
        <w:t>5.</w:t>
      </w:r>
      <w:r>
        <w:tab/>
        <w:t>Doctrina sobre la posibilidad de restringir la autonomía financiera (SSTC 152/1988 y 201/1988) [FJ 6 a)].</w:t>
      </w:r>
    </w:p>
    <w:p w:rsidR="00163957" w:rsidRDefault="00163957" w:rsidP="00163957">
      <w:pPr>
        <w:pStyle w:val="Extracto"/>
      </w:pPr>
    </w:p>
    <w:p w:rsidR="00163957" w:rsidRDefault="00163957" w:rsidP="00163957">
      <w:pPr>
        <w:pStyle w:val="Extracto"/>
      </w:pPr>
      <w:r>
        <w:t>6.</w:t>
      </w:r>
      <w:r>
        <w:tab/>
        <w:t>La medida de reducción salarial responde al legítimo ejercicio de las competencias que el art. 149.1.13 CE atribuye al Estado, teniendo vigencia temporal y respondiendo a la estricta finalidad de reducir uno de los componentes fundamentales del gasto público en un contexto de exigente contención del mismo (SSTC 81/2015, 141/2014) [FJ 6 b)].</w:t>
      </w:r>
    </w:p>
    <w:p w:rsidR="00163957" w:rsidRDefault="00163957" w:rsidP="00163957">
      <w:pPr>
        <w:pStyle w:val="Extracto"/>
      </w:pPr>
    </w:p>
    <w:p w:rsidR="00163957" w:rsidRDefault="00163957" w:rsidP="00163957">
      <w:pPr>
        <w:pStyle w:val="Extracto"/>
      </w:pPr>
      <w:r>
        <w:t>7.</w:t>
      </w:r>
      <w:r>
        <w:tab/>
        <w:t xml:space="preserve">El mandato a las Administraciones públicas de realizar aportaciones a planes de pensiones o seguros colectivos tiene un carácter genérico y su ejecución se somete </w:t>
      </w:r>
      <w:r>
        <w:lastRenderedPageBreak/>
        <w:t>al cumplimiento de los objetivos de estabilidad presupuestaria y a su posible incorporación a las leyes de presupuestos, de manera que se reconoce un margen de decisión al legislador autonómico [FJ 6 b)].</w:t>
      </w:r>
    </w:p>
    <w:p w:rsidR="00163957" w:rsidRDefault="00163957" w:rsidP="00163957">
      <w:pPr>
        <w:pStyle w:val="Extracto"/>
      </w:pPr>
    </w:p>
    <w:p w:rsidR="00163957" w:rsidRDefault="00163957" w:rsidP="00163957">
      <w:pPr>
        <w:pStyle w:val="Extracto"/>
      </w:pPr>
      <w:r>
        <w:t>8.</w:t>
      </w:r>
      <w:r>
        <w:tab/>
        <w:t xml:space="preserve">El régimen de permisos y vacaciones de los funcionarios públicos halla su fundamento en la competencia del Estado sobre las bases del régimen de derechos y deberes de los funcionarios públicos </w:t>
      </w:r>
      <w:r w:rsidRPr="00163957">
        <w:rPr>
          <w:i/>
        </w:rPr>
        <w:t>ex</w:t>
      </w:r>
      <w:r>
        <w:t xml:space="preserve"> art. art. 149.1.18 CE (STC 156/2015) [FJ 6 c)].</w:t>
      </w:r>
    </w:p>
    <w:p w:rsidR="00163957" w:rsidRDefault="00163957" w:rsidP="00163957">
      <w:pPr>
        <w:pStyle w:val="Extracto"/>
      </w:pPr>
    </w:p>
    <w:p w:rsidR="00163957" w:rsidRDefault="00163957" w:rsidP="00163957">
      <w:pPr>
        <w:pStyle w:val="Extracto"/>
      </w:pPr>
      <w:r>
        <w:t>9.</w:t>
      </w:r>
      <w:r>
        <w:tab/>
        <w:t>El Estado es competente para determinar los criterios de distribución de la financiación para atender el denominado nivel mínimo que le corresponde garantizar, en tanto que núcleo prestacional uniforme en todo el Estado [FJ 8 a)].</w:t>
      </w:r>
    </w:p>
    <w:p w:rsidR="00163957" w:rsidRDefault="00163957" w:rsidP="00163957">
      <w:pPr>
        <w:pStyle w:val="Extracto"/>
      </w:pPr>
    </w:p>
    <w:p w:rsidR="00163957" w:rsidRDefault="00163957" w:rsidP="00163957">
      <w:pPr>
        <w:pStyle w:val="Extracto"/>
      </w:pPr>
      <w:r>
        <w:t>10.</w:t>
      </w:r>
      <w:r>
        <w:tab/>
        <w:t>Considerar como criterio de reparto el número y tipo de prestaciones que reciben los beneficiarios supone ponderar el gasto entre diferentes prestaciones, a fin de que la financiación estatal se aproxime al coste efectivo de la atención prestada [FJ 8 a)].</w:t>
      </w:r>
    </w:p>
    <w:p w:rsidR="00163957" w:rsidRDefault="00163957" w:rsidP="00163957">
      <w:pPr>
        <w:pStyle w:val="Extracto"/>
      </w:pPr>
    </w:p>
    <w:p w:rsidR="00163957" w:rsidRDefault="00163957" w:rsidP="00163957">
      <w:pPr>
        <w:pStyle w:val="Extracto"/>
      </w:pPr>
      <w:r>
        <w:t>11.</w:t>
      </w:r>
      <w:r>
        <w:tab/>
        <w:t>Garantizar una homogeneidad en los órganos de valoración de las Comunidades Autónomas por parte del Consejo Territorial del Sistema para la Autonomía y Atención a la Dependencia no supone una determinación unilateral del Estado, sino un mecanismo de cooperación entre Administraciones [FJ 8 b)].</w:t>
      </w:r>
    </w:p>
    <w:p w:rsidR="00163957" w:rsidRDefault="00163957" w:rsidP="00163957">
      <w:pPr>
        <w:pStyle w:val="Extracto"/>
      </w:pPr>
    </w:p>
    <w:p w:rsidR="00163957" w:rsidRDefault="00163957" w:rsidP="00163957">
      <w:pPr>
        <w:pStyle w:val="Extracto"/>
      </w:pPr>
      <w:r>
        <w:t>12.</w:t>
      </w:r>
      <w:r>
        <w:tab/>
        <w:t>Que la prestación económica de asistencia personal pueda ser reconocida a todas las personas en situación de dependencia no es inconstitucional, toda vez que determinar los posibles beneficiarios del sistema de dependencia forma parte de las competencias del Estado para garantizar la igualdad [FJ 8 c) i)].</w:t>
      </w:r>
    </w:p>
    <w:p w:rsidR="00163957" w:rsidRDefault="00163957" w:rsidP="00163957">
      <w:pPr>
        <w:pStyle w:val="Extracto"/>
      </w:pPr>
    </w:p>
    <w:p w:rsidR="00163957" w:rsidRDefault="00163957" w:rsidP="00163957">
      <w:pPr>
        <w:pStyle w:val="Extracto"/>
      </w:pPr>
      <w:r>
        <w:t>13.</w:t>
      </w:r>
      <w:r>
        <w:tab/>
        <w:t>Exigir que los servicios de ayuda a domicilio se presten conjuntamente con los de atención personal en actividades de la vida diaria no es inconstitucional, en tanto que el Estado actúa dentro del margen que le otorga el art. 149.1.1 CE y no excluye la capacidad de decisión de las Comunidades Autónomas [FJ 8 c) ii)].</w:t>
      </w:r>
    </w:p>
    <w:p w:rsidR="00163957" w:rsidRDefault="00163957" w:rsidP="00163957">
      <w:pPr>
        <w:pStyle w:val="Extracto"/>
      </w:pPr>
    </w:p>
    <w:p w:rsidR="00163957" w:rsidRDefault="00163957" w:rsidP="00163957">
      <w:pPr>
        <w:pStyle w:val="Extracto"/>
      </w:pPr>
      <w:r>
        <w:t>14.</w:t>
      </w:r>
      <w:r>
        <w:tab/>
        <w:t>La regla de incompatibilidad de prestaciones no es inconstitucional: de un lado, es un parámetro que regula las condiciones básicas de igualdad y, de otro, no se excluye que las Comunidades Autónomas establezcan compatibilidades, asumiendo sus consecuencias [FJ 8 c) iii)].</w:t>
      </w:r>
    </w:p>
    <w:p w:rsidR="00163957" w:rsidRDefault="00163957" w:rsidP="00163957">
      <w:pPr>
        <w:pStyle w:val="Extracto"/>
      </w:pPr>
    </w:p>
    <w:p w:rsidR="00163957" w:rsidRDefault="00163957" w:rsidP="00163957">
      <w:pPr>
        <w:pStyle w:val="Extracto"/>
      </w:pPr>
      <w:r>
        <w:t>15.</w:t>
      </w:r>
      <w:r>
        <w:tab/>
        <w:t>Las reformas que se introducen en relación con la prestación económica para cuidados en el entorno familiar y apoyo a cuidadores no profesionales no vulneran la Constitución, dado que fijan criterios de igualdad mínimos y no afectan al reconocimiento de la prestación de independencia que corresponde a las Comunidades Autónomas [FJ 8 d)].</w:t>
      </w:r>
    </w:p>
    <w:p w:rsidR="00163957" w:rsidRDefault="00163957" w:rsidP="00163957">
      <w:pPr>
        <w:pStyle w:val="Extracto"/>
      </w:pPr>
    </w:p>
    <w:p w:rsidR="00163957" w:rsidRDefault="00163957" w:rsidP="00163957">
      <w:pPr>
        <w:pStyle w:val="Extracto"/>
      </w:pPr>
      <w:r>
        <w:t>16.</w:t>
      </w:r>
      <w:r>
        <w:tab/>
        <w:t>Doctrina constitucional en materia de asistencia social (STC 33/2014) [FJ 7].</w:t>
      </w:r>
    </w:p>
    <w:p w:rsidR="00163957" w:rsidRDefault="00163957" w:rsidP="00163957">
      <w:pPr>
        <w:pStyle w:val="Extracto"/>
      </w:pPr>
    </w:p>
    <w:p w:rsidR="00163957" w:rsidRDefault="00163957" w:rsidP="00163957">
      <w:pPr>
        <w:pStyle w:val="Extracto"/>
      </w:pPr>
      <w:r>
        <w:t>17.</w:t>
      </w:r>
      <w:r>
        <w:tab/>
        <w:t xml:space="preserve">Doctrina sobre el carácter autónomo de la competencia del Estado en la regulación de las condiciones básicas de igualdad </w:t>
      </w:r>
      <w:r w:rsidRPr="00163957">
        <w:rPr>
          <w:i/>
        </w:rPr>
        <w:t>ex</w:t>
      </w:r>
      <w:r>
        <w:t xml:space="preserve"> art. 149.1.1 (STC 207/2013) [FJ 7].</w:t>
      </w:r>
    </w:p>
    <w:p w:rsidR="00163957" w:rsidRDefault="00163957" w:rsidP="00163957">
      <w:pPr>
        <w:pStyle w:val="Extracto"/>
      </w:pPr>
    </w:p>
    <w:p w:rsidR="00163957" w:rsidRDefault="00163957" w:rsidP="00163957">
      <w:pPr>
        <w:pStyle w:val="Extracto"/>
      </w:pPr>
      <w:r>
        <w:t>18.</w:t>
      </w:r>
      <w:r>
        <w:tab/>
        <w:t>Es legítimo que el Estado establezca un régimen homogéneo de libertad para todo el territorio nacional, de modo que el empresario decida el régimen de horarios que en cada caso le resulte más conveniente; legitimidad que no se enerva porque no quepa intervención normativa de las Comunidades Autónomas [FJ 9].</w:t>
      </w:r>
    </w:p>
    <w:p w:rsidR="00163957" w:rsidRDefault="00163957" w:rsidP="00163957">
      <w:pPr>
        <w:pStyle w:val="Extracto"/>
      </w:pPr>
    </w:p>
    <w:p w:rsidR="00163957" w:rsidRDefault="00163957" w:rsidP="00163957">
      <w:pPr>
        <w:pStyle w:val="Extracto"/>
      </w:pPr>
      <w:r>
        <w:t>19.</w:t>
      </w:r>
      <w:r>
        <w:tab/>
        <w:t>Los objetivos que persigue la regulación estatal en materia de horarios comerciales determinan el carácter materialmente básico de la norma estatal, por su incidencia directa y significativa sobre la actividad económica en general y la comercial en particular [FJ 9].</w:t>
      </w:r>
    </w:p>
    <w:p w:rsidR="00163957" w:rsidRDefault="00163957" w:rsidP="00163957">
      <w:pPr>
        <w:pStyle w:val="Extracto"/>
      </w:pPr>
    </w:p>
    <w:p w:rsidR="00163957" w:rsidRDefault="00163957" w:rsidP="00163957">
      <w:pPr>
        <w:pStyle w:val="Extracto"/>
      </w:pPr>
      <w:r>
        <w:t>20.</w:t>
      </w:r>
      <w:r>
        <w:tab/>
        <w:t>La relación de los presupuestos que delimitan el concepto de zonas de gran afluencia turística no constituye un catálogo taxativo y cerrado, sino un conjunto de mínimos a los que la Comunidad Autónoma puede añadir otras circunstancias adicionales de carácter especial que justifiquen tal determinación [FJ 9].</w:t>
      </w:r>
    </w:p>
    <w:p w:rsidR="00163957" w:rsidRDefault="00163957" w:rsidP="00163957">
      <w:pPr>
        <w:pStyle w:val="Extracto"/>
      </w:pPr>
    </w:p>
    <w:p w:rsidR="00163957" w:rsidRDefault="00163957" w:rsidP="00163957">
      <w:pPr>
        <w:pStyle w:val="Extracto"/>
      </w:pPr>
      <w:r>
        <w:t>21.</w:t>
      </w:r>
      <w:r>
        <w:tab/>
        <w:t>Son contrarios al orden constitucional de distribución de competencias los preceptos sobre artículos objeto de las ventas en rebajas o de las ventas en promoción o en oferta, dado que su finalidad principal es la protección de los consumidores, que se inscriben en las competencias autonómicas en materia de comercio interior y protección del consumidor y el usuario [FJ 10].</w:t>
      </w:r>
    </w:p>
    <w:p w:rsidR="00163957" w:rsidRDefault="00163957" w:rsidP="00163957">
      <w:pPr>
        <w:pStyle w:val="Extracto"/>
      </w:pPr>
    </w:p>
    <w:p w:rsidR="00163957" w:rsidRDefault="00163957" w:rsidP="00163957">
      <w:pPr>
        <w:pStyle w:val="Extracto"/>
      </w:pPr>
      <w:r>
        <w:t>22.</w:t>
      </w:r>
      <w:r>
        <w:tab/>
        <w:t>En la medida en que la venta de saldos se configura como una excepción a la prohibición genérica de las ventas a pérdida, establecida en virtud del título estatal sobre defensa de la competencia, se habilita al Estado para establecer sus límites definitorios [FJ 10].</w:t>
      </w:r>
    </w:p>
    <w:p w:rsidR="00163957" w:rsidRDefault="00163957" w:rsidP="00163957">
      <w:pPr>
        <w:pStyle w:val="Extracto"/>
      </w:pPr>
    </w:p>
    <w:p w:rsidR="00163957" w:rsidRDefault="00163957" w:rsidP="00163957">
      <w:pPr>
        <w:pStyle w:val="Extracto"/>
      </w:pPr>
      <w:r>
        <w:t>23.</w:t>
      </w:r>
      <w:r>
        <w:tab/>
        <w:t>Sólo al Estado corresponde impedir el ejercicio de una actividad comercial durante un periodo -como es el de la venta en liquidación-, pues equivale a una interdicción del ejercicio del comercio con su contenido propio a tenor del artículo 149.1.6 CE (STC 88/1986) [FJ 10].</w:t>
      </w:r>
    </w:p>
    <w:p w:rsidR="00163957" w:rsidRDefault="00163957" w:rsidP="00163957">
      <w:pPr>
        <w:pStyle w:val="Extracto"/>
      </w:pPr>
    </w:p>
    <w:p w:rsidR="00163957" w:rsidRDefault="00163957" w:rsidP="00163957">
      <w:pPr>
        <w:pStyle w:val="Extracto"/>
      </w:pPr>
      <w:r>
        <w:t>24.</w:t>
      </w:r>
      <w:r>
        <w:tab/>
        <w:t>Doctrina sobre defensa de la competencia (SSTC 26/2012, 106/2009) [FJ 10].</w:t>
      </w:r>
    </w:p>
    <w:p w:rsidR="00163957" w:rsidRDefault="00163957" w:rsidP="00163957">
      <w:pPr>
        <w:pStyle w:val="Extracto"/>
      </w:pPr>
    </w:p>
    <w:p w:rsidR="00163957" w:rsidRDefault="00163957" w:rsidP="00163957">
      <w:pPr>
        <w:pStyle w:val="Extracto"/>
      </w:pPr>
      <w:r>
        <w:t>25.</w:t>
      </w:r>
      <w:r>
        <w:tab/>
        <w:t>Aplica la doctrina de la STC 217/2013 sobre la necesidad de argumentar la contradicción constitucional [FJ 2].</w:t>
      </w:r>
    </w:p>
    <w:p w:rsidR="00163957" w:rsidRDefault="00163957" w:rsidP="00163957">
      <w:pPr>
        <w:pStyle w:val="Extracto"/>
      </w:pPr>
    </w:p>
    <w:p w:rsidR="00163957" w:rsidRDefault="00163957" w:rsidP="00163957">
      <w:pPr>
        <w:pStyle w:val="Extracto"/>
      </w:pPr>
      <w:r>
        <w:t>26.</w:t>
      </w:r>
      <w:r>
        <w:tab/>
        <w:t>Las modificaciones efectuadas sobre la norma recurrida no impiden que el Tribunal Constitucinal controle si el Gobierno ejercitó su potestad para dictar decretos-leyes dentro del marco constitucional y si respetó el orden competencial [FJ 2].</w:t>
      </w:r>
    </w:p>
    <w:p w:rsidR="00163957" w:rsidRDefault="00163957" w:rsidP="00163957">
      <w:pPr>
        <w:pStyle w:val="Extracto"/>
      </w:pPr>
    </w:p>
    <w:p w:rsidR="00163957" w:rsidRDefault="00163957" w:rsidP="00163957">
      <w:pPr>
        <w:pStyle w:val="Extracto"/>
      </w:pPr>
      <w:r>
        <w:t>27.</w:t>
      </w:r>
      <w:r>
        <w:tab/>
        <w:t>Aplica la doctrina sobre el control del respeto de los decretos-leyes al marco constitucional, con independencia de la posterior modificación de la norma, de la STC 182/2013 [FJ 2].</w:t>
      </w:r>
    </w:p>
    <w:p w:rsidR="00163957" w:rsidRDefault="00163957" w:rsidP="00163957">
      <w:pPr>
        <w:pStyle w:val="Extracto"/>
      </w:pPr>
    </w:p>
    <w:p w:rsidR="00163957" w:rsidRDefault="00163957" w:rsidP="00163957">
      <w:pPr>
        <w:pStyle w:val="Extracto"/>
      </w:pPr>
      <w:r>
        <w:t>28.</w:t>
      </w:r>
      <w:r>
        <w:tab/>
        <w:t>Aplica la doctrina sobre la posibilidad de controlar el respeto al orden competencial, con independencia de la posterior modificación de la norma, de la STC 134/2011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Trias, don Andrés Ollero Tassara, don Fernando Valdés Dal-Ré, don Juan José González Rivas, don Santiago Martínez-Vares Garcia, don Juan Antonio Xiol Rios,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1983-2013 interpuesto por la Generalitat de Cataluña contra los arts. 1, 2, 8, 22, 27, 28, disposiciones adicionales séptima, novena y undécima; disposiciones transitorias primera, octava, novena, décima, undécima, duodécima y decimocuarta y disposiciones finales primera, segunda, tercera y cuarta del Real Decreto-ley 20/2012, de 13 de julio, de medidas para garantizar la estabilidad presupuestaria y de fomento de la competitividad. Ha comparecido y formulado alegaciones el Abogado del Estado. Ha sido Ponente el Magistrado don Ricardo Enríquez Sancho,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4 de abril de 2013, los Abogados de la Generalitat de Cataluña, en la representación que ostentan, promueven recurso de inconstitucionalidad contra los arts. 1, 2, 8, 22, 27, 28; disposiciones adicionales séptima, novena y undécima; disposiciones transitorias primera, octava, novena, décima, undécima, duodécima y decimocuarta y disposiciones finales primera, segunda, tercera y cuarta del Real Decreto-ley 20/2012, de 13 de julio, de medidas para garantizar la estabilidad presupuestaria y el fomento de la competitividad.</w:t>
      </w:r>
    </w:p>
    <w:p w:rsidR="00163957" w:rsidRDefault="00163957" w:rsidP="00163957">
      <w:pPr>
        <w:pStyle w:val="TextoNormal"/>
      </w:pPr>
    </w:p>
    <w:p w:rsidR="00163957" w:rsidRDefault="00163957" w:rsidP="00163957">
      <w:pPr>
        <w:pStyle w:val="TextoNormal"/>
      </w:pPr>
      <w:r>
        <w:t>Los motivos del recurso son, resumidamente expuestos, los siguientes:</w:t>
      </w:r>
    </w:p>
    <w:p w:rsidR="00163957" w:rsidRDefault="00163957" w:rsidP="00163957">
      <w:pPr>
        <w:pStyle w:val="TextoNormal"/>
      </w:pPr>
    </w:p>
    <w:p w:rsidR="00163957" w:rsidRDefault="00163957" w:rsidP="00163957">
      <w:pPr>
        <w:pStyle w:val="TextoNormal"/>
      </w:pPr>
      <w:r>
        <w:t xml:space="preserve">a) El escrito de interposición del recurso hace referencia inicialmente a los tres grandes bloques de cuestiones que se plantean en el recurso. Se dirige, en primer término, contra los artículos 1, 2 y 8, en relación este último con la disposición transitoria primera, en los que se adoptan medidas dirigidas a racionalizar y reducir el gasto público, en el ámbito de los gastos de personal de las Administraciones públicas, e incluyen algunas modificaciones de la Ley 7/2007, de 12 de abril, del estatuto básico del empleado público (LEEP). La disposición final cuarta del Real Decreto-ley confiere a estos preceptos el carácter de normas básicas e invoca las competencias reservadas al Estado en los arts. 149.1.13 y 149.1.18 CE así como el art. 156 CE. Un segundo bloque de preceptos lo componen el artículo 22 y las </w:t>
      </w:r>
      <w:r>
        <w:lastRenderedPageBreak/>
        <w:t>disposiciones adicionales séptima y novena, disposiciones transitorias octava, novena, décima, undécima, duodécima y disposición final primera. El art. 22 modifica diversos aspectos de la Ley 39/2006, de 14 de diciembre, de promoción de la autonomía personal y atención a las personas en situación de dependencia, y el resto de las disposiciones modifican asimismo preceptos de la citada Ley, o desarrollan y complementan aspectos concretos de sus prescripciones y de las prestaciones en ella previstas. Se invoca el art. 149.1.1 CE como habilitación constitucional para la aprobación de estos preceptos. El tercer bloque lo componen los artículos 27 y 28, y las disposiciones adicionales undécima, disposición transitoria decimocuarta y disposiciones finales segunda y tercera. Estos preceptos incluyen diversas modificaciones de la Ley 1/2004, de 21 de diciembre, de horarios comerciales, y de la Ley 7/1996, de 15 de enero, de ordenación del comercio minorista. La disposición final cuarta del Real Decreto-ley afirma que los preceptos se dictan al amparo de la competencia estatal sobre bases y coordinación de la planificación general de la actividad económica contemplada en el art. 149.1.13 CE.</w:t>
      </w:r>
    </w:p>
    <w:p w:rsidR="00163957" w:rsidRDefault="00163957" w:rsidP="00163957">
      <w:pPr>
        <w:pStyle w:val="TextoNormal"/>
      </w:pPr>
    </w:p>
    <w:p w:rsidR="00163957" w:rsidRDefault="00163957" w:rsidP="00163957">
      <w:pPr>
        <w:pStyle w:val="TextoNormal"/>
      </w:pPr>
      <w:r>
        <w:t>La representación procesal de la Generalitat de Cataluña considera que dichos preceptos exceden de los referidos ámbitos competenciales del Estado e incurren en diversos motivos de inconstitucionalidad, por invasión o menoscabo de las competencias que a ésta corresponden en materia de organización de la Administración de la Generalitat (art. 150 del Estatuto de Autonomía de Cataluña: EAC), de la función pública y el personal al servicio de las Administraciones públicas catalanas (art. 136 EAC), servicios sociales (art. 166 EAC), comercio (art. 121 EAC), planificación, ordinación y promoción de la actividad económica en Cataluña (art. 152 EAC), y vulneran también la potestad de autoorganización de la Comunidad Autónoma y el principio de autonomía financiera de las Comunidades Autónomas, reconocido en el art. 156 CE y el de autonomía de gasto, contemplado en los arts. 201.2 y 202.2 EAC. A lo anterior añade que la norma no cumple los presupuestos habilitantes exigidos para la aprobación del Decreto-ley en el art. 86.1 CE.</w:t>
      </w:r>
    </w:p>
    <w:p w:rsidR="00163957" w:rsidRDefault="00163957" w:rsidP="00163957">
      <w:pPr>
        <w:pStyle w:val="TextoNormal"/>
      </w:pPr>
    </w:p>
    <w:p w:rsidR="00163957" w:rsidRDefault="00163957" w:rsidP="00163957">
      <w:pPr>
        <w:pStyle w:val="TextoNormal"/>
      </w:pPr>
      <w:r>
        <w:t>b) El escrito de interposición del recurso recuerda la doctrina constitucional en torno al presupuesto habilitante y a los límites constitucionales del decreto-ley, con cita de la STC 39/2013, señalando que, si bien algunas de las medidas adoptadas en el Real Decreto-ley 20/2012 pueden haber sido adecuadas y útiles para cumplir con las finalidades de corregir la coyuntura económica y alcanzar la estabilidad presupuestaria, a su juicio, “se ha aprovechado la oportunidad para introducir en ese paquete de medidas algunas que, como las que son objeto de este recurso, en modo alguno sirven a esas finalidades o que en absoluto requerían de su adopción urgente mediante una norma de carácter extraordinario como es el Real Decreto-ley”.</w:t>
      </w:r>
    </w:p>
    <w:p w:rsidR="00163957" w:rsidRDefault="00163957" w:rsidP="00163957">
      <w:pPr>
        <w:pStyle w:val="TextoNormal"/>
      </w:pPr>
    </w:p>
    <w:p w:rsidR="00163957" w:rsidRDefault="00163957" w:rsidP="00163957">
      <w:pPr>
        <w:pStyle w:val="TextoNormal"/>
      </w:pPr>
      <w:r>
        <w:t>c) En cuanto a los artículos 1, 2, 8 y disposición transitoria primera señala que se integran en una serie de medidas encaminadas a la optimización de recursos, la mejora de la gestión, en la transparencia de la Administración y el incremento de la productividad de los empleados públicos.</w:t>
      </w:r>
    </w:p>
    <w:p w:rsidR="00163957" w:rsidRDefault="00163957" w:rsidP="00163957">
      <w:pPr>
        <w:pStyle w:val="TextoNormal"/>
      </w:pPr>
    </w:p>
    <w:p w:rsidR="00163957" w:rsidRDefault="00163957" w:rsidP="00163957">
      <w:pPr>
        <w:pStyle w:val="TextoNormal"/>
      </w:pPr>
      <w:r>
        <w:t xml:space="preserve">Respecto al artículo 1 indica que regula un aspecto del régimen jurídico de los ex altos cargos de las instituciones y las organizaciones públicas, como es el régimen de incompatibilidades de las retribuciones que les corresponde con ocasión de su cese como alto cargo en el sector público. Esta regulación se sitúa en el ámbito material de su potestad de autoorganización sobre las instituciones de autogobierno, que es inherente y consustancial a la </w:t>
      </w:r>
      <w:r>
        <w:lastRenderedPageBreak/>
        <w:t>autonomía política de la Generalitat y deriva de las determinaciones de los arts. 137, 147.2 y 152.1 CE y los arts. 1, 2 y 3 EAC, en relación con el art. 150 EAC. La demanda considera que el precepto no puede ampararse en el art. 149.1.13 CE, ya que no tiene un impacto significativo en la economía ni en el gasto público. Se trata, en su criterio, de una norma que tiene un efecto ejemplificativo y un impacto en la opinión pública en tiempo de crisis, pero eso no implica que pueda trasladarse al conjunto de administraciones e instituciones del Estado, ignorando el modelo de distribución de competencias y la doctrina constitucional en torno al art. 149.1.13 CE. Se defiende, en consecuencia, que “la potestad de adoptar una medida de estas características para los altos cargos de las instituciones de autogobierno de Catalunya corresponde a la Generalitat y no al legislador estatal, en virtud de su competencia intrínseca de autogobierno y organización de sus instituciones propias”.</w:t>
      </w:r>
    </w:p>
    <w:p w:rsidR="00163957" w:rsidRDefault="00163957" w:rsidP="00163957">
      <w:pPr>
        <w:pStyle w:val="TextoNormal"/>
      </w:pPr>
    </w:p>
    <w:p w:rsidR="00163957" w:rsidRDefault="00163957" w:rsidP="00163957">
      <w:pPr>
        <w:pStyle w:val="TextoNormal"/>
      </w:pPr>
      <w:r>
        <w:t>Sobre el artículo 2 la demanda considera que, si bien resulta constitucionalmente legítimo establecer medidas de reducción de la masa salarial de los empleados públicos, al amparo de los arts. 149.1.13 y 156.1 CE, “el establecimiento de los mecanismos concretos y el procedimiento para llevar a cabo la reducción de las retribuciones del salario de los empleados públicos, no tiene encaje en los referidos títulos competenciales”, dado que su nivel de detalle impide a la Generalitat el ejercicio de sus competencia propias en el ámbito de personal y de su autonomía de gasto, vulnerando así los arts. 202 y 136 EAC. Con cita de la doctrina de la STC 171/1996 indica que “para cumplir el objetivo de reducción del déficit público, tan solo es estrictamente necesario que el Estado imponga la fijación global de la reducción del salario de los empleados del sector público hasta final del año. La minuciosa y completa regulación del Estado en la forma de llevar a cabo la reducción no deja suficiente margen de libertad a la Generalitat de Catalunya para decidir dentro de su propio ámbito de competencias”, defendiendo la demanda que “la reducción salarial se debería haber articulado en términos más abiertos que permitieran a la Generalitat de Catalunya un cierto margen de decisión para llevar a cabo sus políticas propias”. Sobre el artículo 2.4 que establece la obligación de las Administraciones públicas de realizar aportaciones a planes de pensiones o seguros colectivos con la finalidad de compensar las aludidas restricciones retributivas, en ejercicios futuros, tampoco tiene anclaje en el art. 149.1.13 CE, ya que nada tiene que ver con la reducción del gasto público y crea una obligación de compromiso de gasto que limita la autonomía financiera de la Generalitat de Cataluña.</w:t>
      </w:r>
    </w:p>
    <w:p w:rsidR="00163957" w:rsidRDefault="00163957" w:rsidP="00163957">
      <w:pPr>
        <w:pStyle w:val="TextoNormal"/>
      </w:pPr>
    </w:p>
    <w:p w:rsidR="00163957" w:rsidRDefault="00163957" w:rsidP="00163957">
      <w:pPr>
        <w:pStyle w:val="TextoNormal"/>
      </w:pPr>
      <w:r>
        <w:t xml:space="preserve">Por su parte, el artículo 8 invadiría competencias de la Generalitat de Catalunya en materia de función pública y del personal al servicio de la administración catalana del art.136 EAC, en cuanto que enumera y describe de un modo tasado y cerrado la regulación de once permisos de los funcionarios públicos, frente a la normativa anterior en la que la regulación de los permisos era subsidiaria. En la medida en que el artículo 8, que modifica el art. 48 LEEP, no expresa el título competencial en el que se ampara la demanda descarta su encuadramiento en el art. 149.1.13 CE, por carecer de una incidencia económica significativa y por no dejar margen al desarrollo autonómico. Descartado el anterior título competencial, el escrito de recurso examina el art. 149.1.18 CE, pues se trata de derechos individuales de los empleados públicos, señalando que el cambio en la regulación invade la competencia autonómica del art. 136 b) EAC, ya que le impide desarrollar las bases estatales en cuanto éstas se configuran sin margen de desarrollo. Lo mismo sucede con la modificación del art. 50 LEEP, que ha suprimido la posibilidad de desarrollar al alza las vacaciones de los funcionarios. Por último, al establecer la disposición transitoria primera la plena eficacia de la </w:t>
      </w:r>
      <w:r>
        <w:lastRenderedPageBreak/>
        <w:t>reforma de la Ley del estatuto básico del empleado público en materia de permisos y vacaciones, a partir del año 2013 se está posponiendo en casi seis meses la efectividad de esta medida, por lo que no concurre el presupuesto habilitante del art. 86.1 CE.</w:t>
      </w:r>
    </w:p>
    <w:p w:rsidR="00163957" w:rsidRDefault="00163957" w:rsidP="00163957">
      <w:pPr>
        <w:pStyle w:val="TextoNormal"/>
      </w:pPr>
    </w:p>
    <w:p w:rsidR="00163957" w:rsidRDefault="00163957" w:rsidP="00163957">
      <w:pPr>
        <w:pStyle w:val="TextoNormal"/>
      </w:pPr>
      <w:r>
        <w:t xml:space="preserve">d) En cuanto al artículo 22 y las disposiciones adicionales séptima y novena, las disposiciones transitorias octava, novena, décima, undécima y duodécima, y la disposición final primera del Real Decreto-ley 20/2012 conforman un conjunto de medidas mediante las que se introducen profundas modificaciones en el sistema de atención a la dependencia que se articuló a partir de la Ley 39/2006. Por ello, la demanda hace en este punto alusión al objeto y marco competencial de la Ley 39/2006 señalando tanto la existencia de tres niveles de protección como la relación del sistema de atención a la dependencia con las competencias autonómicas en materia de asistencia social. A continuación alude a la doctrina constitucional en torno al art. 149.1.1 CE, señalando que, en la medida que la atención a la dependencia no se vincula a un derecho fundamental sino a los principios rectores de los arts. 49 y 50 CE, resulta lógico entender que la habilitación al legislador estatal </w:t>
      </w:r>
      <w:r w:rsidRPr="00163957">
        <w:rPr>
          <w:i/>
        </w:rPr>
        <w:t>ex</w:t>
      </w:r>
      <w:r>
        <w:t xml:space="preserve"> art. 149.1.1 CE ha de tener una menor intensidad o grado, máxime cuando incide en un ámbito material de exclusiva competencia autonómica como la asistencia social. En consecuencia, para la demanda, “la regulación estatal de las condiciones básicas de la igualdad en el ejercicio de ese derecho a las prestaciones de la dependencia, habrá de ceñirse a la determinación de las posiciones jurídicas fundamentales y a los elementos más esenciales definidores del derecho y sin menoscabo de las competencias asumidas por la Generalitat de Cataluña y las demás Comunidades Autónomas para la regulación de los aspectos organizativos y la gestión de los servicios asistenciales y de las prestaciones a la dependencia y a la promoción de la autonomía personal”. De modo similar la aportación de fondos estatales tampoco debe condicionar indebidamente el ejercicio de las competencias autonómicas. Con arreglo a tales premisas el sistema de atención a la dependencia se articuló mediante un órgano de cooperación específico, denominado ahora consejo territorial de servicios sociales y del sistema para la autonomía y atención a la dependencia, y se articuló mediante el sistema de convenios entre la Administración del Estado y cada una de las Comunidades Autónomas en los que debían acordarse los objetivos, medios y recursos para la aplicación de los servicios y prestaciones del sistema de atención a la dependencia y el incremento sobre el nivel de protección mínimo establecido por la Administración general del Estado. A juicio de la demanda este principio de cooperación se trunca cuando las leyes de presupuestos de 2012 y 2013 suspenden la aplicación de los preceptos de la Ley 39/2006 que regulan la financiación del nivel acordado de protección, suspensión que ha sido impugnada por la Generalitat de Cataluña. La demanda afirma que la regulación estatal invierte el orden competencial de manera que se vacía de contenido la competencia autonómica exclusiva en materia de servicios sociales y se obliga a que las Comunidades Autónomas tengan que poner sus disponibilidades presupuestarias al servicio de una política asistencial a la dependencia determinada por el Estado hasta en sus más pequeños detalles.</w:t>
      </w:r>
    </w:p>
    <w:p w:rsidR="00163957" w:rsidRDefault="00163957" w:rsidP="00163957">
      <w:pPr>
        <w:pStyle w:val="TextoNormal"/>
      </w:pPr>
    </w:p>
    <w:p w:rsidR="00163957" w:rsidRDefault="00163957" w:rsidP="00163957">
      <w:pPr>
        <w:pStyle w:val="TextoNormal"/>
      </w:pPr>
      <w:r>
        <w:t xml:space="preserve">Tras este planteamiento general la demanda argumenta la inconstitucionalidad de los preceptos impugnados en los siguientes términos. En cuanto al artículo 22.2 y la disposición adicional novena del Real Decreto-ley 20/2012 se les reprocha que constituyen un órgano en el que integran a los consejeros competentes en materia de servicios sociales y atención a la dependencia, suprimiendo la conferencia sectorial, por lo que afectan al régimen de las Comunidades Autónomas, vulnerando el art. 86.1 CE, vulneración que también se deriva </w:t>
      </w:r>
      <w:r>
        <w:lastRenderedPageBreak/>
        <w:t>de la falta de extraordinaria y urgente necesidad de la medida puesto que el nuevo consejo territorial tiene un plazo de seis meses para constituirse.</w:t>
      </w:r>
    </w:p>
    <w:p w:rsidR="00163957" w:rsidRDefault="00163957" w:rsidP="00163957">
      <w:pPr>
        <w:pStyle w:val="TextoNormal"/>
      </w:pPr>
    </w:p>
    <w:p w:rsidR="00163957" w:rsidRDefault="00163957" w:rsidP="00163957">
      <w:pPr>
        <w:pStyle w:val="TextoNormal"/>
      </w:pPr>
      <w:r>
        <w:t>Respecto al artículo 22.3 indica que este precepto modifica el art. 9.1 de la Ley 39/2006 para añadir nuevos criterios en función de los cuales se determina la aportación estatal para financiar el nivel mínimo de protección a los beneficiarios del sistema, condicionado de ese modo la actuación en materia de servicios sociales de las Comunidades Autónomas que van a recibir una mayor o menor aportación estatal en función de si ajustan su política asistencial para reconocer las prestaciones del catálogo que más retribuye el Estado. De esta manera con la modificación que se impugna “la asignación entre las Comunidades Autónomas de la aportación estatal para financiar el nivel de protección mínimo, atenderá no sólo al número de beneficiarios y a su grado de dependencia, sino además a la prestación concretamente reconocida a cada uno de ellos”. Este condicionamiento, en la medida en que subsiste la obligación del art. 32.3 de la Ley 39/2006 de que cada Comunidad Autónoma aporte una cantidad igual a la del Estado para la financiación del sistema, se extiende también a la política asistencial autonómica comprometiendo sus propios recursos. Esta nueva determinación comportará una restricción mayor del margen que actualmente dispone la Generalitat de Cataluña y las demás Comunidades Autónomas para determinar una política propia de servicios sociales adaptada a su específica demanda social y sus características propias en la medida en que las prestaciones tiene costes distintos. De esta manera, si el Estado condiciona su aportación en función de la mayor o menor valoración que haga de cada modalidad de prestación asistencial, va a condicionar en la misma medida la aportación de recursos propios de la Comunidad Autónoma y a romper la igualdad entre los beneficiarios del sistema. Finalmente, la demanda alega la falta de concurrencia del presupuesto habilitante del decreto-ley.</w:t>
      </w:r>
    </w:p>
    <w:p w:rsidR="00163957" w:rsidRDefault="00163957" w:rsidP="00163957">
      <w:pPr>
        <w:pStyle w:val="TextoNormal"/>
      </w:pPr>
    </w:p>
    <w:p w:rsidR="00163957" w:rsidRDefault="00163957" w:rsidP="00163957">
      <w:pPr>
        <w:pStyle w:val="TextoNormal"/>
      </w:pPr>
      <w:r>
        <w:t xml:space="preserve">En cuanto a los artículos 22.1, 3, 4, 5, 6, 10, 11, 12, 13, 14, 15 y 16 y la disposición transitoria octava del Real Decreto-ley 20/2012, los Letrados de la Generalitat indican que se trata de un conjunto de preceptos mediante los que se adapta la Ley 39/2006 a la nueva clasificación únicamente en grados de dependencia, como medida de simplificación del sistema, que, sin afectar a los beneficiarios, surte efectos esencialmente frente a las Administraciones autonómicas que llevan a cabo la clasificación en esas categorías. De igual modo, el artículo 22.11 añade un último inciso al art. 27.2 de la Ley 39/2006 al efecto de prohibir la determinación del grado de dependencia a través de procedimientos distintos del baremo que aprueba el Estado. La demanda considera que “la determinación unilateral por parte del Estado de unas reglas comunes, para regular aspectos relativos a la composición y a la actividad de los órganos adscritos a la Administración pública de la Generalitat en materia de servicios sociales, excede del ámbito reservado al Estado en el artículo 149.1.1 de la Constitución”, pues se trata de una cuestión que está vinculada a la potestad organizativa de la Generalitat. La demanda recalca que la decisión estatal de suprimir su aportación al nivel de protección acordado mediante convenios ha comportado la transformación de un sistema basado en un marco cooperativo y de colaboración en un sistema de asistencia social que el Estado define normativamente de forma exhaustiva, dejando a la Generalitat de Cataluña y a las demás Comunidades Autónomas en la posición de meras Administraciones obligadas a seguir ofreciendo las prestaciones reconocidas y a seguir prestando los servicios cuyos costes no han disminuido, pero sin contar ahora con la aportación económica del Estado al segundo nivel de protección. Para los Letrados de la Generalitat una vez se ha roto ese marco de cooperación no pueden mantenerse los mismos criterios de organización del sistema de </w:t>
      </w:r>
      <w:r>
        <w:lastRenderedPageBreak/>
        <w:t>atención a la dependencia  ni imponiendo criterios de coordinación de los procedimientos de clasificación de los dependientes. Igualmente se alega la falta de concurrencia del presupuesto habilitante, pues no se justificaría la urgencia de la medida.</w:t>
      </w:r>
    </w:p>
    <w:p w:rsidR="00163957" w:rsidRDefault="00163957" w:rsidP="00163957">
      <w:pPr>
        <w:pStyle w:val="TextoNormal"/>
      </w:pPr>
    </w:p>
    <w:p w:rsidR="00163957" w:rsidRDefault="00163957" w:rsidP="00163957">
      <w:pPr>
        <w:pStyle w:val="TextoNormal"/>
      </w:pPr>
      <w:r>
        <w:t>Al artículo 22.7, 8 y 9 del Real Decreto-ley 20/2012 se les reprocha en términos equivalentes a lo expuesto anteriormente que superan el alcance permitido por el art. 149.1.1 CE a la normativa estatal, de forma que con esa regulación exhaustiva se priva a la Generalitat de sus competencias en materia de asistencia social, reiterando de nuevo la queja relativa a la desproporción entre los recursos que se ve obligada a aportar la Generalitat en relación a la que se califica como reducida aportación estatal. La demanda reconoce que la titularidad de los recursos económicos no constituye un título competencial pero, atendiendo al carácter exclusivo de las competencias autonómicas en materia de asistencia social y al hecho de que el reconocimiento de las situaciones de dependencia se traduce en puros deberes asistenciales para las Comunidades Autónomas, considera que es palmaria la falta de legitimidad del condicionamiento de las competencias autonómicas mediante la imposición de una regulación uniforme de los servicios asistenciales a la dependencia.</w:t>
      </w:r>
    </w:p>
    <w:p w:rsidR="00163957" w:rsidRDefault="00163957" w:rsidP="00163957">
      <w:pPr>
        <w:pStyle w:val="TextoNormal"/>
      </w:pPr>
    </w:p>
    <w:p w:rsidR="00163957" w:rsidRDefault="00163957" w:rsidP="00163957">
      <w:pPr>
        <w:pStyle w:val="TextoNormal"/>
      </w:pPr>
      <w:r>
        <w:t>Respecto al artículo 22.13, la disposición adicional séptima, la transitoria novena y la final primera se les reprocha que pretenden imponer un determinado procedimiento para el reconocimiento del derecho a las prestaciones así como disponer la aplicación temporal de determinadas previsiones de la Ley 39/2006, mediante las que el Estado está determinando el modo en que las Comunidades Autónomas han de ejercer sus competencias, lo que, a juicio de la demanda, no tiene cobertura competencial en el art. 149.1.1 CE. Tampoco se han aportado las razones o elementos que justifiquen esas medidas, con lo que también se vulnera el art. 86.1 CE.</w:t>
      </w:r>
    </w:p>
    <w:p w:rsidR="00163957" w:rsidRDefault="00163957" w:rsidP="00163957">
      <w:pPr>
        <w:pStyle w:val="TextoNormal"/>
      </w:pPr>
    </w:p>
    <w:p w:rsidR="00163957" w:rsidRDefault="00163957" w:rsidP="00163957">
      <w:pPr>
        <w:pStyle w:val="TextoNormal"/>
      </w:pPr>
      <w:r>
        <w:t xml:space="preserve">La impugnación relacionada con la Ley 39/2006 finaliza con las quejas planteadas respecto al artículo 22.17 y a las disposiciones transitorias décima, undécima y duodécima del Real Decreto-ley 20/2012. Respecto al primero de ellos se argumenta que la modificación del calendario de aplicación de la Ley 39/2006 ya ha sido recurrida por la Generalitat de Cataluña, considerando que el mismo implica la fijación de una pauta precisa sobre la actividad de los servicios sociales de competencia autonómica, vulnerando así las competencias autonómicas así como el art. 86.1 CE, al no haberse aportado razones ni elementos que permitan justificar la medida. En cuanto a las disposiciones transitorias décima y duodécima, apartado 1, estima la demanda que la determinación de un tope máximo para las cuantías económicas, en función del reconocimiento administrativo de un grado y nivel de dependencia; y, por otra parte, la fijación en horas de la intensidad de la atención que deben prestar los servicios de dependencia, no pueden tener encaje en el ámbito competencial que el art. 149.1.1 CE ha reservado al Estado. La fijación de un nivel de protección preciso que define la intensidad de los servicios y la cuantía de las prestaciones económicas, en función del momento en que se han solicitado o resuelto, excedería de la competencia estatal, máxime cuando se trata de un derecho configurado legalmente a partir de los principios rectores reconocidos en el capítulo III del título I CE, cuya garantía y satisfacción se ha de prestar a través de las prestaciones asistenciales de las Comunidades Autónomas que han asumido la competencia exclusiva en esta materia, y cuando además, el Estado aporta sólo una pequeña parte del coste de estas prestaciones y servicios, que en el resto se han de financiar con cargo a recursos propios de cada Comunidad Autónoma. Con ello se está además imponiendo una </w:t>
      </w:r>
      <w:r>
        <w:lastRenderedPageBreak/>
        <w:t>determinada conducta a las Administraciones autonómicas y se vulnera la autonomía financiera de la Generalitat. Esa es la consecuencia que aparece de forma meridiana si se ponen en relación estas prescripciones con la suspensión de los preceptos de la Ley 39/2006 que regulaban el nivel de protección acordado entre el Estado y cada Comunidad Autónoma, pues se está imponiendo como condición para obtener los recursos estatales correspondientes al nivel mínimo de protección de la Ley 39/2006, una aportación económica de la Comunidad Autónoma al menos, para cada año, igual que la de la Administración general del Estado, y habiéndose abandonado la vía convencional de aplicación del sistema de protección de la Ley 39/2006, todo ello comporta que el Estado está condicionando el destino de los recursos propios de la Generalitat de Cataluña, y vulnerando así también el principio de autonomía financiera en la vertiente del gasto.</w:t>
      </w:r>
    </w:p>
    <w:p w:rsidR="00163957" w:rsidRDefault="00163957" w:rsidP="00163957">
      <w:pPr>
        <w:pStyle w:val="TextoNormal"/>
      </w:pPr>
    </w:p>
    <w:p w:rsidR="00163957" w:rsidRDefault="00163957" w:rsidP="00163957">
      <w:pPr>
        <w:pStyle w:val="TextoNormal"/>
      </w:pPr>
      <w:r>
        <w:t>En lo que respecta a la disposición transitoria undécima, reitera la queja de que se ha roto un modelo de atención a la dependencia basado en los principios de colaboración y cooperación pues ese es el efecto que se produce con la reducción de los importes del nivel mínimo cubierto por el Estado, ya que va a determinar que las Comunidades Autónomas, para mantener los previos niveles de protección deban incrementar su aportación, desplazándoles así los costes de la intervención estatal. Decisión que se ha adoptado unilateralmente por el Estado sin intervención autonómica alguna y afectando de forma lesiva a las competencias autonómicas en materia de asistencia social.</w:t>
      </w:r>
    </w:p>
    <w:p w:rsidR="00163957" w:rsidRDefault="00163957" w:rsidP="00163957">
      <w:pPr>
        <w:pStyle w:val="TextoNormal"/>
      </w:pPr>
    </w:p>
    <w:p w:rsidR="00163957" w:rsidRDefault="00163957" w:rsidP="00163957">
      <w:pPr>
        <w:pStyle w:val="TextoNormal"/>
      </w:pPr>
      <w:r>
        <w:t>e) La impugnación de los artículos 27 y 28 y disposiciones adicional undécima, transitoria decimocuarta y finales segunda y tercera se fundamenta en la infracción del art. 86.1 CE y en el exceso competencial en el que incurrirían en cuanto que las medidas liberalizadoras incorporadas a través de los preceptos impugnados carecen de cobertura en el art. 149.1.13 CE. La demanda hace una extensa referencia a los antecedentes y el marco normativo en el que se inserta la reforma del sector de la distribución minorista, señalando la estabilidad de las normas anteriormente vigentes en materia de horarios comerciales. Estabilidad que se habría visto quebrantada con la adopción de la regulación que ahora se controvierte que, a juicio de la demanda, consagra un modelo comercial desregulado sin resquicios para establecer una ordenación administrativa que impulse el equilibrio entre los formatos comerciales y entre empresas y trabajadores autónomos y coadyuve a la efectividad del principio de desarrollo territorial y urbano sostenible. Ese modelo de comercio liberalizado impuesto por el Real Decreto-ley 20/2012 es diametralmente opuesto al modelo comercial que al amparo de las competencias exclusivas en materia de comercio interior y de urbanismo atribuidas por los arts. 121 y 149.5 EAC, ha diseñado el legislador catalán. La demanda pone también de manifiesto la relación del presente recurso con el interpuesto por el Presidente del Gobierno contra el Decreto-ley 4/2012.</w:t>
      </w:r>
    </w:p>
    <w:p w:rsidR="00163957" w:rsidRDefault="00163957" w:rsidP="00163957">
      <w:pPr>
        <w:pStyle w:val="TextoNormal"/>
      </w:pPr>
    </w:p>
    <w:p w:rsidR="00163957" w:rsidRDefault="00163957" w:rsidP="00163957">
      <w:pPr>
        <w:pStyle w:val="TextoNormal"/>
      </w:pPr>
      <w:r>
        <w:t xml:space="preserve">Tras lo anterior la demanda considera que los artículos 27 y 28 y disposiciones adicional undécima, transitoria decimocuarta y finales segunda y tercera vulneran el art. 86.1 CE ya que, ni en la exposición de motivos de la norma, ni en el debate de convalidación se ha acreditado la existencia de una necesidad urgente y extraordinaria, ni tampoco se ha justificado la conexión de sentido entre las medidas y la situación de urgencia. A tal efecto el escrito de interposición recuerda el carácter plurisectorial del Real Decreto-ley 20/2012 así como la necesidad de que la concurrencia del presupuesto habilitante se formule en relación con aquellas disposiciones que hayan sido objeto de un tratamiento diferenciado como es el </w:t>
      </w:r>
      <w:r>
        <w:lastRenderedPageBreak/>
        <w:t>presente caso. La demanda señala que del preámbulo de la norma se desprende que las medidas de liberalización de los horarios y domingos y festivos de apertura no responden a una situación coyuntural o imprevisible que requiera una rápida actuación normativa, sino que se adoptan para satisfacer la reiteradas recomendaciones del Fondo Monetario Internacional y de la Organización para la Cooperación y el Desarrollo Económicos, sin que, sin embargo, se precise en qué se fundamentan tales recomendaciones, ni cuáles son los objetivos que pretenden alcanzar. La desregulación que se propugna “se adopta con la esperanza de que la libertad de horarios tenga efectos positivos sobre la productividad, la competencia entre comerciantes y los precios y de que incremente fas posibilidades de conciliar la vida familiar y laboral”. Tampoco en el debate de convalidación se hace apreciación alguna acerca de la existencia de una extraordinaria y urgente necesidad. Concluye, por tanto, que no ha quedado acreditado que concurra en la medidas desreguladoras aprobadas la extraordinaria y urgente necesidad que exige el art. 86.1 CE ni tampoco la conexión de sentido entre las medidas y la situación a la que pretenden hacer frente.</w:t>
      </w:r>
    </w:p>
    <w:p w:rsidR="00163957" w:rsidRDefault="00163957" w:rsidP="00163957">
      <w:pPr>
        <w:pStyle w:val="TextoNormal"/>
      </w:pPr>
    </w:p>
    <w:p w:rsidR="00163957" w:rsidRDefault="00163957" w:rsidP="00163957">
      <w:pPr>
        <w:pStyle w:val="TextoNormal"/>
      </w:pPr>
      <w:r>
        <w:t xml:space="preserve">Por otra parte las reformas propuestas exceden del ámbito competencial estatal por cuanto carecen de la incidencia directa, inmediata y significativa en la marcha general de la economía que conforme a la doctrina constitucional se requiere para que las medidas tengan amparo en el art. 149.1.13 CE y, en cualquier caso, exceden del ámbito funcional atribuido al Estado por dicho precepto, lo que se traduce en una invasión de la competencia exclusiva de la Generalitat de Cataluña en materia de comercio (art. 121 EAC). Para justificar la existencia de dichas infracciones la demanda recuerda la doctrina constitucional en materia de comercio y, en especial, el alcance de la competencia estatal </w:t>
      </w:r>
      <w:r w:rsidRPr="00163957">
        <w:rPr>
          <w:i/>
        </w:rPr>
        <w:t>ex</w:t>
      </w:r>
      <w:r>
        <w:t xml:space="preserve"> art. 149.1.13 CE cuando concurre con competencias autonómicas exclusivas y su proyección específica sobre la materia comercio, lo que se traduce en la aplicación restrictiva del título competencial estatal, que ha de ir acompañado, además, de una interpretación finalista conforme a la cual únicamente pueden considerarse amparadas en dicho título horizontal aquellas medidas que guarden una relación directa e inmediata con la dirección y planificación de la actividad económica y tengan una incidencia directa y significativa sobre la actividad económica general. Dicha doctrina es puesta en relación con las competencias de la Generalitat de Cataluña en materia de comercio atribuidas por el art. 121.1 EAC y su conformidad constitucional según la STC 31/2010, FJ 68, pronunciamiento del que los Abogados de la Generalitat deducen que corresponde a la Generalitat de Cataluña la regulación de todas las modalidades de venta, incluida la venta en rebajas, y que asimismo es competente para establecer los horarios comerciales, si bien en este caso, la fijación de los horarios y días de apertura debe cohonestarse con las determinaciones que legítimamente pueda establecer el Estado al amparo del art. 149.1.13 CE.</w:t>
      </w:r>
    </w:p>
    <w:p w:rsidR="00163957" w:rsidRDefault="00163957" w:rsidP="00163957">
      <w:pPr>
        <w:pStyle w:val="TextoNormal"/>
      </w:pPr>
    </w:p>
    <w:p w:rsidR="00163957" w:rsidRDefault="00163957" w:rsidP="00163957">
      <w:pPr>
        <w:pStyle w:val="TextoNormal"/>
      </w:pPr>
      <w:r>
        <w:t>De acuerdo con lo anterior se alega que los preceptos impugnados no tienen cobertura en el art. 149.1.13 CE e invaden la competencia exclusiva de la Generalitat de Cataluña en materia de comercio y su competencia compartida en materia de planificación de la actividad económica. Por otra parte, la nueva regulación presenta una densidad normativa que no se compadece con la finalidad de constituir un denominador normativo común que es la propia de la normativa básica. Así, con apoyo en un informe de la Dirección General de Comercio de la Generalitat de Cataluña, se sostiene que la reforma liberalizadora no tiene un impacto relevante sobre la economía en general, ni sobre el sector comercial en particular, ya que la atonía y la fuerte caída de la actividad comercial que las medidas liberaliza</w:t>
      </w:r>
      <w:r>
        <w:lastRenderedPageBreak/>
        <w:t>doras del sector comercial pretenden contrarrestar, se deben, fundamentalmente a la disminución del consumo interno, como consecuencia de la pérdida de poder adquisitivo de las familias a lo largo de la crisis. La liberalización del sector comercial provoca “un desplazamiento de compradores de unos formatos comerciales, a otros y de unos segmentos horarios a otros, lo que se traduce en un desequilibrio competitivo entre formatos, en la medida en que la libertad de horarios favorece a las grandes cadenas de distribución y a los establecimientos grandes y medianos” con las consecuencias negativas que ello supone para el modelo de ciudad compacta, y medioambientalmente sostenible, estructurada en gran medida entorno al comercio de proximidad. La demanda concluye señalando que la doctrina constitucional en torno al art. 149.1.13 CE no puede aplicarse mecánicamente a la reforma de los horarios comerciales, ya que las medidas que establece se limitan a un incremento del régimen de amplia libertad horaria preexistente conforme a la regulación estatal precedente, no ofrece ningún margen significativo para una ampliación real de la actividad comercial, por lo que carece de la incidencia, directa inmediata y significativa sobre la economía requerida para que dicha reforma horaria halle cobertura en el art. 149.1.13 CE. Por otra parte se alega que la densidad normativa de la reforma es tan elevada que en algunos casos (como la determinación del horario semanal de 90 horas, las zonas turísticas preceptivas y los criterios para su delimitación o los criterios de apertura de domingos y festivos), lamina casi por completo el espacio normativo autonómico, mientras que en otros supuestos, la propia desregulación de la submateria (libertad absoluta de horarios y apertura para determinados establecimientos y ventas promocionales), elimina de cuajo el espacio de intervención autonómica.</w:t>
      </w:r>
    </w:p>
    <w:p w:rsidR="00163957" w:rsidRDefault="00163957" w:rsidP="00163957">
      <w:pPr>
        <w:pStyle w:val="TextoNormal"/>
      </w:pPr>
    </w:p>
    <w:p w:rsidR="00163957" w:rsidRDefault="00163957" w:rsidP="00163957">
      <w:pPr>
        <w:pStyle w:val="TextoNormal"/>
      </w:pPr>
      <w:r>
        <w:t>Hecha esta aproximación general la demanda procede a examinar de forma pormenorizada los vicios de inconstitucionalidad en que, a su juicio, incurren los arts. 27 y 28 y las disposiciones adicional undécima, transitoria decimocuarta y finales segunda y tercera del Real Decreto-ley 20/2012. A tal efecto se examina en primer lugar el artículo 27 y las disposiciones adicionales primera y segunda, así como las disposiciones adicional undécima, transitoria decimocuarta, párrafo primero y finales segunda y tercera, que son el precepto y disposiciones que han procedido a la liberalización de los horarios comerciales y la determinación de los domingos y festivos en los que los centros comerciales pueden permanecer abiertos. La demanda recuerda que el régimen de los horarios comerciales se inserta en la materia de comercio interior así como la doctrina constitucional que ha admitido que ciertas normas estatales liberalizadoras de horarios comerciales, semejantes a las que aquí se analizan, no sólo tenían cobertura en el art. 149.1.13 CE, sino que la supresión del espacio normativo que comportaban, fruto de la desregulación horaria que instauraban, no suponía una vulneración de la competencia autonómica en materia de comercio, porque únicamente afectaban ciertos aspectos o submaterias, dejando indemne la competencia autonómica sobre el resto de la materia comercio. El escrito de recurso llama la atención sobre el hecho de que ahora la norma estatal no se limita a liberalizar parcialmente una determinada submateria o un aspecto sectorial concreto, sino que extiende la desregulación de los horarios comerciares y de los domingos y festivos de apertura a la práctica totalidad de establecimientos comerciales de Cataluña, por lo que no se da una mera pérdida parcial del ámbito material de la competencia autonómica, sino un vaciamiento absoluto de la competencia sobre la regulación de los horarios comerciales reconocida en el art. 121.1 c) EAC. Por estas razones la demanda concluye solicitando una modulación de la doctrina constitucional anterior en la línea manifestada por los votos particulares formulados a las SSTC 225/1993, 228/1993 y 284/1993.</w:t>
      </w:r>
    </w:p>
    <w:p w:rsidR="00163957" w:rsidRDefault="00163957" w:rsidP="00163957">
      <w:pPr>
        <w:pStyle w:val="TextoNormal"/>
      </w:pPr>
    </w:p>
    <w:p w:rsidR="00163957" w:rsidRDefault="00163957" w:rsidP="00163957">
      <w:pPr>
        <w:pStyle w:val="TextoNormal"/>
      </w:pPr>
      <w:r>
        <w:t>En concreto, en cuanto a la determinación de los horarios comerciales de los arts. 27.1 y 4 del Real Decreto-ley 20/2012, la demanda señala que las 90 horas de apertura mínima para los seis días laborables de la semana es en realidad un máximo normativo que encubre una modalidad de libertad horaria, de modo que la opción que se deja a las Comunidades autónomas, se contrae a que acepten el horario de 90 horas semanales, a razón de 15 horas diarias de apertura o bien a que declaren la plena liberalización horaria. Vaciamiento del espacio normativo autonómico que no tiene cobertura en el art. 149.1.13 CE y resulta inconstitucional. En cuanto a los domingos y festivos de apertura, a los que se refiere el artículo 27.2 y 5 y disposiciones transitoria decimocuarta, párrafo primero, y final tercera, señala que el primero de ellos no se limita a establecer una horquilla anual de los domingos y festivos en los que los establecimientos comerciales pueden permanecer abiertos, remitiendo a las Comunidades Autónomas la determinación del número de domingos y festivos de apertura comercial en cada Comunidad, sino que, además, fija los criterios que deben respetar las Comunidades Autónomas en la confección de los respectivos calendarios de apertura que tampoco tienen amparo en el art. 149.1.13 CE, pues se trata de prescripciones que no tienen una incidencia directa, inmediata y significativa, en la marcha general de la economía, y predeterminan la elección autonómica de los domingos y festivos de apertura, convirtiéndola en una potestad reglada, sin dejar espacio normativo para la competencia autonómica.</w:t>
      </w:r>
    </w:p>
    <w:p w:rsidR="00163957" w:rsidRDefault="00163957" w:rsidP="00163957">
      <w:pPr>
        <w:pStyle w:val="TextoNormal"/>
      </w:pPr>
    </w:p>
    <w:p w:rsidR="00163957" w:rsidRDefault="00163957" w:rsidP="00163957">
      <w:pPr>
        <w:pStyle w:val="TextoNormal"/>
      </w:pPr>
      <w:r>
        <w:t>En cuanto a los horarios especiales del artículo 27.3 y disposiciones adicional undécima y anexo y final segunda señala que de los mismos se infiere una importantísima ampliación de los establecimientos a los que se otorga plena libertad de horarios y días de apertura respecto de la regulación precedente, lo que supone de facto la desregulación de la práctica totalidad del sector minorista en Cataluña, lo que entraña el vaciamiento de la competencia autonómica. Igualmente se denuncia el incremento de la densidad normativa en la regulación de las zonas de gran afluencia turística ya que establece pormenorizadamente las circunstancias que imponen a las Comunidades Autónomas el deber de declarar zonas de gran afluencia turística y, por otra parte, fija los parámetros de pernoctaciones y de pasajeros cruceristas que obligan a delimitar, como mínimo, una zona de gran afluencia turística. Además el anexo determina las ciudades que, por cumplir dichos parámetros, deben declarar necesariamente una zona de gran influencia turística, y por su parte la disposición final segunda delega en el Gobierno del Estado la revisión de los referidos parámetros de pernoctaciones y de pasajeros cruceristas.</w:t>
      </w:r>
    </w:p>
    <w:p w:rsidR="00163957" w:rsidRDefault="00163957" w:rsidP="00163957">
      <w:pPr>
        <w:pStyle w:val="TextoNormal"/>
      </w:pPr>
    </w:p>
    <w:p w:rsidR="00163957" w:rsidRDefault="00163957" w:rsidP="00163957">
      <w:pPr>
        <w:pStyle w:val="TextoNormal"/>
      </w:pPr>
      <w:r>
        <w:t xml:space="preserve">La denunciada inconstitucionalidad del artículo 28 y de la disposición transitoria decimocuarta, párrafo segundo, se justifica en los términos siguientes. Los preceptos que se modifican de la Ley de ordenación del comercio minorista forman parte de su título II relativo a las actividades de promoción de ventas. Dichos preceptos (arts. 18, 20, 25, 27, 28 y 31) en la versión originaria de la Ley de ordenación del comercio minorista tenían carácter supletorio, excepto los artículos 25, 28.1 y 31.2 que se dictaron al amparo de la competencia exclusiva que el art. 149.1.6 CE atribuye al Estado para regular el derecho mercantil de la competencia. En cambio las modificaciones introducidas se amparan, conforme establece su disposición final cuarta, en la competencia estatal sobre las bases y la coordinación de la planificación general de la actividad económica. Sin embargo, el Letrado de la Generalitat de Cataluña sostiene que el análisis del contenido material de las modificaciones, todas ellas dirigidas a liberalizar las ventas promocionales, pone de relieve que no tienen la incidencia </w:t>
      </w:r>
      <w:r>
        <w:lastRenderedPageBreak/>
        <w:t>directa, inmediata y significativa en la actividad económica requerida para justificar un cambio en el carácter de la regulación, condicionando el ejercicio de la competencia de la Generalitat para establecer la regulación administrativa de todas la modalidades de venta, incluidas las ventas promocionales. Igualmente niega que se trate de normas amparadas en el art. 149.1.6 CE, pues no introduce derechos ni obligaciones en el marco de las relaciones contractuales privadas entre empresarios y consumidores, ni tampoco constituye una norma destinada eliminar trabas a la libre competencia entre los empresarios. Por el contrario y puesto que se trata de medidas destinadas a promover la compra, pero adoptadas desde la perspectiva de la defensa de los consumidores, dado que introducen una serie de cautelas para evitar los fraudes que puedan encubrirse bajo las distintas modalidades de ventas, el escrito de interposición concluye que forman parte de la materia comercio y que corresponden a la competencia exclusiva que el art. 121.1 EAC atribuye a la Generalitat de Cataluña, a la que hay que añadir la competencia exclusiva en materia de consumo atribuida a la Generalitat por el art. 123 a) EAC, que incluye la defensa de los derechos de los consumidores y usuarios.</w:t>
      </w:r>
    </w:p>
    <w:p w:rsidR="00163957" w:rsidRDefault="00163957" w:rsidP="00163957">
      <w:pPr>
        <w:pStyle w:val="TextoNormal"/>
      </w:pPr>
    </w:p>
    <w:p w:rsidR="00163957" w:rsidRDefault="00163957" w:rsidP="00163957">
      <w:pPr>
        <w:pStyle w:val="TextoNormal"/>
      </w:pPr>
      <w:r>
        <w:t>f) Finalmente la disposición final cuarta se impugna en la medida en que invoca unas habilitaciones competenciales que no prestan cobertura a los preceptos impugnados postulando que la misma se resuelva en el mismo sentido que las impugnaciones referidas a los preceptos sustantivos.</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23 de abril de 2013 el Pleno, a propuesta de la Sección Cuarta, acordó admitir a trámite el recurso de inconstitucionalidad promovido por el Gobierno de Cataluña y, en su representación y defensa, por los Letrados del mismo, contra los arts. 1, 2, 8, 22, 27, 28; disposiciones adicionales séptima, novena y undécima; disposiciones transitorias primera, octava, novena, décima, undécima, duodécima y decimocuarta y disposiciones finales primera, segunda, tercera y cuarta del Real Decreto-ley 20/2012, de 13 de julio, de medidas para garantizar la estabilidad presupuestaria y el fomento de la competitividad;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registrado el 10 de mayo de 2013 el Abogado del Estado se personó en nombre del Gobierno solicitando una prórroga en el plazo inicialmente concedido para la formulación de alegaciones, prórroga que le fue concedida por providencia del Pleno de 13 de mayo de 2013.</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escrito registrado con fecha 16 de mayo de 2013 el Presidente del Senado comunicó el acuerdo de la Mesa de la Cámara de personarse en el procedimiento y ofrecer su colaboración a los efectos del art. 88.1 LOTC. Lo mismo hizo el Presidente del Congreso de los Diputados por escrito que tuvo entrada en este Tribunal el día 17 de mayo de 2013.</w:t>
      </w:r>
    </w:p>
    <w:p w:rsidR="00163957" w:rsidRDefault="00163957" w:rsidP="00163957">
      <w:pPr>
        <w:pStyle w:val="TextoNormal"/>
      </w:pPr>
    </w:p>
    <w:p w:rsidR="00163957" w:rsidRDefault="00163957" w:rsidP="00163957">
      <w:pPr>
        <w:pStyle w:val="TextoNormal"/>
      </w:pPr>
      <w:r w:rsidRPr="00163957">
        <w:rPr>
          <w:rStyle w:val="NumeroAFNegritaCaracter"/>
        </w:rPr>
        <w:t>5</w:t>
      </w:r>
      <w:r>
        <w:t>. Las alegaciones presentadas por el Abogado del Estado interesando la desestimación del recurso fueron registradas en este Tribunal el día 7 de junio de 2013.</w:t>
      </w:r>
    </w:p>
    <w:p w:rsidR="00163957" w:rsidRDefault="00163957" w:rsidP="00163957">
      <w:pPr>
        <w:pStyle w:val="TextoNormal"/>
      </w:pPr>
    </w:p>
    <w:p w:rsidR="00163957" w:rsidRDefault="00163957" w:rsidP="00163957">
      <w:pPr>
        <w:pStyle w:val="TextoNormal"/>
      </w:pPr>
      <w:r>
        <w:t>a) El representante del Gobierno señala que el recurso de inconstitucionalidad se dirige contra tres grupos de materias a los que alude la demanda. Destaca también que la demanda alega la vulneración de las competencias autonómicas en materia de organización de la Administración de la Generalitat, función pública, servicios sociales y comercio, así como el principio de autoorganización y el de autonomía financiera. Además se argumenta la carencia del presupuesto habilitante exigido por el art. 86.1 CE. En suma las alegaciones de la demanda se resumen en (i) no concurre el presupuesto habilitante que permite acudir a la legislación de urgencia y, por tanto, se ha infringido el art. 86.1 CE; y (ii) la regulación de los preceptos excede de las competencias básicas ejercitadas por el Estado e invade las competencias autonómicas de desarrollo normativo.</w:t>
      </w:r>
    </w:p>
    <w:p w:rsidR="00163957" w:rsidRDefault="00163957" w:rsidP="00163957">
      <w:pPr>
        <w:pStyle w:val="TextoNormal"/>
      </w:pPr>
    </w:p>
    <w:p w:rsidR="00163957" w:rsidRDefault="00163957" w:rsidP="00163957">
      <w:pPr>
        <w:pStyle w:val="TextoNormal"/>
      </w:pPr>
      <w:r>
        <w:t>b) Procede, a continuación, a argumentar la inexistencia de infracción del art. 86.1 CE. Tras recordar la doctrina constitucional sobre el presupuesto habilitante, el Abogado del Estado entra a examinar las razones de urgencia exteriorizadas por los órganos políticos para legitimar la utilización del decreto-ley en este concreto caso. Así, con reproducción del contenido de la exposición de motivos y de la intervención del Ministro de Hacienda en el debate de convalidación, destaca que el Real Decreto-ley de referencia se adopta en el marco de una crisis económica sin precedentes que exige fuertes ajustes presupuestarios y que, como señala su exposición de motivos, supone la adopción de una estrategia político económica “sobre dos ejes: la consolidación fiscal y el impulso de nuevas reformas estructurales. Las medidas de ajuste fiscal son imprescindibles … para garantizar que España cumple rigurosamente sus compromisos fiscales dentro del marco del déficit excesivo establecido por la Unión Europea. Además, resultan necesarias para recuperar la confianza y el crédito de las Administraciones Públicas”. “Las nuevas reformas estructurales son también claves, no sólo para garantizar que nuestro país flexibiliza su estructura productiva y se prepara de modo óptimo para la siguiente fase expansiva del ciclo, sino también para generar crecimiento adicional y compensar parcialmente de esta forma el impacto restrictivo de la política fiscal a corto plazo”. Para fundamentar la gravedad del contexto de crisis en el que se adopta el Real Decreto-ley impugnado, se refiere el escrito del Abogado del Estado a una serie de informes del Banco de España (2008, 2009, 2010 y 2011).</w:t>
      </w:r>
    </w:p>
    <w:p w:rsidR="00163957" w:rsidRDefault="00163957" w:rsidP="00163957">
      <w:pPr>
        <w:pStyle w:val="TextoNormal"/>
      </w:pPr>
    </w:p>
    <w:p w:rsidR="00163957" w:rsidRDefault="00163957" w:rsidP="00163957">
      <w:pPr>
        <w:pStyle w:val="TextoNormal"/>
      </w:pPr>
      <w:r>
        <w:t>Después de recordar la senda de corrección del déficit público a la que se ha comprometido nuestro país con la Unión Europea, concluye afirmando que los órganos políticos han exteriorizado las circunstancias de extraordinaria y urgente necesidad que obligan al dictado de la norma impugnada.</w:t>
      </w:r>
    </w:p>
    <w:p w:rsidR="00163957" w:rsidRDefault="00163957" w:rsidP="00163957">
      <w:pPr>
        <w:pStyle w:val="TextoNormal"/>
      </w:pPr>
    </w:p>
    <w:p w:rsidR="00163957" w:rsidRDefault="00163957" w:rsidP="00163957">
      <w:pPr>
        <w:pStyle w:val="TextoNormal"/>
      </w:pPr>
      <w:r>
        <w:t>c) El escrito del Abogado del Estado defiende la constitucionalidad de los arts. 1, 2 y 8, en relación éste último con la disposición transitoria primera impugnados por carecer de conexión con la circunstancia de urgencia a que obedece el Real Decreto-ley, por exceder materialmente de lo básico en su regulación y por incidir en el ámbito de la autoorganización de la Generalitat de Cataluña.</w:t>
      </w:r>
    </w:p>
    <w:p w:rsidR="00163957" w:rsidRDefault="00163957" w:rsidP="00163957">
      <w:pPr>
        <w:pStyle w:val="TextoNormal"/>
      </w:pPr>
    </w:p>
    <w:p w:rsidR="00163957" w:rsidRDefault="00163957" w:rsidP="00163957">
      <w:pPr>
        <w:pStyle w:val="TextoNormal"/>
      </w:pPr>
      <w:r>
        <w:t xml:space="preserve">En cuanto a la conexión con la extraordinaria y urgente necesidad, resalta que, de acuerdo con la exposición de motivos de la norma, “el proceso de consolidación fiscal y de sostenibilidad de las cuentas públicas exige de las Administraciones Públicas continuar adaptando una serie de medidas extraordinarias y cuya adopción debe ser urgente, dirigidas a racionalizar y reducir el gasto de personal de las Administraciones Públicas y a incrementar la </w:t>
      </w:r>
      <w:r>
        <w:lastRenderedPageBreak/>
        <w:t>eficiencia de su gestión”, debiéndose “adoptar medidas que ahorren gastos de personal e incrementen la calidad y productividad del empleo público”. Subraya el Abogado del Estado que se trata de medidas que se deben adoptar de manera conjunta para ofrecer un cambio estructural y coherente que permita, contemplado en su totalidad, la satisfacción de los mencionados objetivos de austeridad y eficiencia en las Administraciones públicas. Por ello, tal como señala la exposición de motivos, “se regula con carácter básico la incompatibilidad de pensiones indemnizatorias, prestaciones compensatorias y percepciones similares que perciben determinados ex altos cargos de carácter básico, con el objeto de que se perciba esta prestación sólo en el supuesto de que el ex alto cargo no realice ninguna otra actividad remunerada pública o privada. La medida se aplicará a los altos cargos de todas las Administraciones públicas, incluyendo los que prestan sus servicios en el sector público, entendiendo también por tal la actividad desarrollada por los miembros electivos de las Cortes Generales, Asambleas legislativas autonómicas y de las Corporaciones locales, órganos constitucionales, incluidos el Poder Judicial y el Ministerio Fiscal”. Igualmente afirma que “se suprime durante el año 2012 la paga extraordinaria del mes de diciembre y la paga adicional de complemento específico o pagas adicionales equivalentes del mes de diciembre. Las cantidades derivadas de esa supresión podrán destinarse en ejercicios futuros a realizar aportaciones a planes de pensiones o contratos de seguro colectivo que incluyan la contingencia de jubilación, siempre que se prevea el cumplimiento de los objetivos de estabilidad presupuestaria establecidos en la Ley Orgánica 2/2012, de Estabilidad Presupuestaria y Sostenibilidad Financiera y en los términos y con el alcance que se determine en las correspondientes leyes de presupuestos y finalmente ‘se reducen los días de libre disposición. Además, se suprimen los días adicionales por antigüedad tanto en el caso de las vacaciones como en el de los días por asuntos particulares y se suspenden los pactos y acuerdos que contradigan estas disposiciones. Se homogeniza, asimismo, el régimen de permisos para todas las Administraciones Públicas. Con la misma finalidad de racionalizar el gasto de personal, se limita el número de días de asuntos particulares y de días adicionales a los de libre disposición que puedan haber establecido las Administraciones Públicas y se adoptan medidas con la misma finalidad en relación con el personal laboral, así como respecto de las vacaciones’. La Exposición de Motivos también afirma que ‘El cambio estructural que introduce en las Administraciones Públicas este abanico de medidas, que deben operar de manera conjunta, constituye un instrumento fundamental de política económica, que permitirá mejorar su funcionamiento, adecuarlo más eficazmente a la actual coyuntura y mantener la calidad del servicio que se presta al ciudadano. Las medidas recogidas en este Título suponen un sacrificio de especial intensidad para todos aquellos que perciben retribuciones con cargo a recursos públicos. Razones de Justicia justifican que estas medidas se extiendan a todos los servidores públicos con independencia de la naturaleza de la entidad de la que dependen y de su estatuto. La universalidad que fundamenta esta reforma evita la discriminación entre grupos y sectores’.”</w:t>
      </w:r>
    </w:p>
    <w:p w:rsidR="00163957" w:rsidRDefault="00163957" w:rsidP="00163957">
      <w:pPr>
        <w:pStyle w:val="TextoNormal"/>
      </w:pPr>
    </w:p>
    <w:p w:rsidR="00163957" w:rsidRDefault="00163957" w:rsidP="00163957">
      <w:pPr>
        <w:pStyle w:val="TextoNormal"/>
      </w:pPr>
      <w:r>
        <w:t>Tal conexión de sentido, según refiere, se extrae igualmente del debate de convalidación del Real Decreto-Ley, donde el Ministro de Hacienda puso de manifiesto las razones de urgencia apreciadas por los órganos políticos para aprobar las medidas discutidas, sin que pueda existir duda sobre la relación de causalidad entre las circunstancias de urgencia apreciadas y las concretas medidas adoptadas.</w:t>
      </w:r>
    </w:p>
    <w:p w:rsidR="00163957" w:rsidRDefault="00163957" w:rsidP="00163957">
      <w:pPr>
        <w:pStyle w:val="TextoNormal"/>
      </w:pPr>
    </w:p>
    <w:p w:rsidR="00163957" w:rsidRDefault="00163957" w:rsidP="00163957">
      <w:pPr>
        <w:pStyle w:val="TextoNormal"/>
      </w:pPr>
      <w:r>
        <w:lastRenderedPageBreak/>
        <w:t>El Abogado del Estado defiende el carácter básico de los preceptos impugnados recordando la doctrina constitucional respecto al art. 149.1.18 CE así como la relativa a la extensión del art. 149.1.13 CE en relación con la reducción del gasto público en materia de personal y la importancia del principio de estabilidad presupuestaria. A la luz de esta doctrina contesta los argumentos de la demanda señalando que resulta obvia la competencia estatal para fijar el régimen común de derechos de los empleados públicos para todo el territorio nacional. Defiende que tanto la supresión de la paga extra como la prohibición de compatibilizar indemnizaciones de los altos cargos del sector público tienen como razón de ser el ahorro de gasto público y suponen “una exigencia indudable del principio de solidaridad que, si la norma impone sacrificios económicos sustanciales al personal del sector público no directivo, también imponga estos sacrificios a los niveles directivos de dicho sector en lo que se refiere, además, a una indemnización posterior al ejercicio del cargo que podía, con el régimen anterior concurrir con otras retribuciones privadas e incluso públicas”. En cuanto al régimen de vacaciones y permisos indica que se integran en el núcleo de derechos que al Estado corresponde fijar con carácter básico. Para el Abogado del Estado el legislador estatal respeta el esquema típicamente básico de fijar un máximo de días de vacaciones y de permiso para asuntos particulares, pudiendo las Comunidades Autónomas fijar límites máximos aún más estrictos, que contribuyan a incrementar su productividad interna y a reducir sus déficits. Asimismo, las Comunidades Autónomas pueden optar por fijar la forma en que se disfruten las vacaciones (por días sueltos o estableciendo un mínimo de días consecutivos), la posibilidad de unir los días de vacaciones a los de los distintos permisos, la de disfrutar permisos y vacaciones de un año en el mes de enero del siguiente, etc. Por último el Abogado del Estado niega virtualidad a los argumentos de la demanda basados en la referencia a la exposición de motivos de la Ley del estatuto básico del empleado público o a la comparación con la regulación anterior, pues el concepto de lo básico es dinámico y, por tanto, puede variar en función de las circunstancias y de la apreciación del titular de la competencia.</w:t>
      </w:r>
    </w:p>
    <w:p w:rsidR="00163957" w:rsidRDefault="00163957" w:rsidP="00163957">
      <w:pPr>
        <w:pStyle w:val="TextoNormal"/>
      </w:pPr>
    </w:p>
    <w:p w:rsidR="00163957" w:rsidRDefault="00163957" w:rsidP="00163957">
      <w:pPr>
        <w:pStyle w:val="TextoNormal"/>
      </w:pPr>
      <w:r>
        <w:t>d) El Abogado del Estado se refiere ahora al segundo grupo de preceptos impugnados, el artículo 22 y las disposiciones adicionales séptima y novena; disposiciones transitorias octava, novena, décima, undécima y duodécima y disposición final primera, relativas todas ellas a modificaciones en el régimen de atención a las situaciones de dependencia que persiguen garantizar tanto su sostenibilidad o viabilidad, como la estabilidad presupuestaria, tal como señala la exposición de motivos de la norma impugnada. El Abogado del Estado describe los objetivos y el contenido de la Ley 39/2006, para a continuación examinar los títulos competenciales estatales y su delimitación en relación con la atención a las situaciones de dependencia. Así, recuerda la doctrina constitucional en materia de asistencia social y en relación con el art. 149.1.1 CE en relación con los mandatos de los principios rectores de los arts. 41, 49 y 50 CE. Alude también al art. 149.1.17 CE que atribuye al estado competencias en materia de Seguridad Social, recordando la doctrina constitucional al respecto que entiende aquí aplicable en la medida en que se supera la simple asistencia social y se ha diseñado un sistema completo de apoyo de la dependencia de carácter universal que evoluciona en el sentido de garantizar las mayores coberturas posibles. Finalmente menciona el art. 149.1.13 CE en la medida en que las normas impugnadas persiguen la racionalización del gasto público en relación con la dependencia.</w:t>
      </w:r>
    </w:p>
    <w:p w:rsidR="00163957" w:rsidRDefault="00163957" w:rsidP="00163957">
      <w:pPr>
        <w:pStyle w:val="TextoNormal"/>
      </w:pPr>
    </w:p>
    <w:p w:rsidR="00163957" w:rsidRDefault="00163957" w:rsidP="00163957">
      <w:pPr>
        <w:pStyle w:val="TextoNormal"/>
      </w:pPr>
      <w:r>
        <w:t xml:space="preserve">El Abogado del Estado defiende la constitucionalidad de los preceptos impugnados del modo siguiente. En cuanto al artículo 22.2 y a la disposición adicional novena indica que es </w:t>
      </w:r>
      <w:r>
        <w:lastRenderedPageBreak/>
        <w:t>una medida inspirada en el principio de eficiencia y de racionalización de un órgano que, compuesto por el Estado y las Comunidades Autónomas, tiene, sin embargo, la naturaleza de órgano estatal adscrito al Ministerio de Sanidad, Servicios Sociales e Igualdad. Respecto al artículo 22.3 señala que no supone una extralimitación de las competencias del Estado que éste determine el nivel mínimo de protección garantizado para cada uno de los beneficiarios del sistema, según el criterio del grado de su dependencia. Con ello, se asegura la igualdad en el derecho a la promoción de la autonomía personal y atención a la situación de dependencia, además de que nos hallamos en este caso ante medidas de naturaleza económica dirigidas a lograr la racionalización del gasto público. En cuanto a las modificaciones de los arts. 22.10 y 11 y concordantes estima que la justificación de todas estas medidas tiene como fundamento los títulos competenciales antes invocados, y como justificación material el objetivo de garantizar la sostenibilidad del sistema de dependencia. Sobre los arts 22.7 y 8, relativos a la vinculación de los servicios de atención personal en la realización de actividades de la vida diaria con los de ayuda a domicilio, resalta que la vinculación entre ambos es una medida que una medida que, además de perseguir una homogeneidad en los servicios que reciban las personas dependientes (art. 149.1.1 CE) evitará desigualdades entre Comunidades Autónomas y supondrá sin duda un ahorro. Respecto al régimen de incompatibilidades del artículo 22.9 señala que se trata de medidas de naturaleza económica dictadas por el Estado al amparo del art. 149.1.13 CE que constituyen una normación de mínimos que deja margen de desarrollo a las Comunidades Autónomas. En cuanto al artículo 22.13, disposición adicional séptima, transitoria novena y final primera señala que su propósito es establecer unos principios procedimentales que aseguren la igualdad básica de los ciudadanos en la aplicación de la Ley. Por último, respecto al artículo 22.17 y disposiciones transitorias décima, undécima y duodécima considera que se trata de medidas vinculadas con la disminución del déficit público siendo imprescindibles para garantizar la estabilidad del sistema.</w:t>
      </w:r>
    </w:p>
    <w:p w:rsidR="00163957" w:rsidRDefault="00163957" w:rsidP="00163957">
      <w:pPr>
        <w:pStyle w:val="TextoNormal"/>
      </w:pPr>
    </w:p>
    <w:p w:rsidR="00163957" w:rsidRDefault="00163957" w:rsidP="00163957">
      <w:pPr>
        <w:pStyle w:val="TextoNormal"/>
      </w:pPr>
      <w:r>
        <w:t>e) La constitucionalidad de los artículos 27 y 28 y sus disposiciones asociadas las defiende el Abogado del Estado señalando, en primer lugar, la concurrencia del presupuesto habilitante. Así, indica que, de acuerdo con la exposición de motivos de la norma, en la misma se “recoge, en su Título V, un conjunto de medidas urgentes de carácter liberalizador en el ámbito de la distribución comercial y de fomento de la actividad en el sector exterior… La ampliación de la libertad de horarios tendrá efectos positivos sobre la productividad y la eficiencia en la distribución comercial minorista y los precios y proporcionará a las empresas una nueva variable que permitirá incrementar la competencia efectiva entre los comercios. Asimismo, se incrementan las posibilidades de compra del consumidor y, en consecuencia, sus oportunidades de conciliación de la vida familiar y laboral… Además se introducen medidas urgentes en relación con las promociones de ventas, mediante una modificación del Título II de la Ley 7/1996, de 15 de enero, de ordenación del comercio minorista. Las medidas propuestas son de carácter general, para todo tipo de actividades de promoción de ventas, es decir, rebajas, saldos, liquidaciones o cualquier otra oferta promocional destinada al incremento de las ventas. Con ello se pretende liberalizar el ejercicio de la actividad comercial, dando la posibilidad de realizar a un mismo tiempo y en un mismo establecimiento comercial cualquier tipo de actividad de promoción de ventas, de tal forma que las rebajas puedan convivir con los saldos u otras ofertas comerciales”.</w:t>
      </w:r>
    </w:p>
    <w:p w:rsidR="00163957" w:rsidRDefault="00163957" w:rsidP="00163957">
      <w:pPr>
        <w:pStyle w:val="TextoNormal"/>
      </w:pPr>
    </w:p>
    <w:p w:rsidR="00163957" w:rsidRDefault="00163957" w:rsidP="00163957">
      <w:pPr>
        <w:pStyle w:val="TextoNormal"/>
      </w:pPr>
      <w:r>
        <w:lastRenderedPageBreak/>
        <w:t>El Ministro de Hacienda añadió en el debate de convalidación que “el decreto-ley incorpora igualmente actuaciones de reformas estructurales, como es la liberalización de horarios comerciales y de rebajas para favorecer nuestro comercio exterior”.</w:t>
      </w:r>
    </w:p>
    <w:p w:rsidR="00163957" w:rsidRDefault="00163957" w:rsidP="00163957">
      <w:pPr>
        <w:pStyle w:val="TextoNormal"/>
      </w:pPr>
    </w:p>
    <w:p w:rsidR="00163957" w:rsidRDefault="00163957" w:rsidP="00163957">
      <w:pPr>
        <w:pStyle w:val="TextoNormal"/>
      </w:pPr>
      <w:r>
        <w:t>Tras reproducir ampliamente la Memoria del análisis del impacto normativo del Real Decreto-ley 20/2012, considera el Abogado del Estado que se justifica sobradamente la concurrencia del presupuesto de hecho habilitante.</w:t>
      </w:r>
    </w:p>
    <w:p w:rsidR="00163957" w:rsidRDefault="00163957" w:rsidP="00163957">
      <w:pPr>
        <w:pStyle w:val="TextoNormal"/>
      </w:pPr>
    </w:p>
    <w:p w:rsidR="00163957" w:rsidRDefault="00163957" w:rsidP="00163957">
      <w:pPr>
        <w:pStyle w:val="TextoNormal"/>
      </w:pPr>
      <w:r>
        <w:t>A continuación, entra a examinar el carácter básico del art. 27 del Real Decreto-ley 20/2012. Luego de recordar la doctrina del Tribunal Constitucional referida al régimen de horarios comerciales, considera que el precepto impugnado otorga a las Comunidades Autónomas multitud de posibilidades de desarrollo. El art. 27 del Real Decreto-ley 20/2012 únicamente pretende establecer un régimen mínimo de libertad de horarios, dentro del cual el legislador autonómico podrá optar por grados superiores de liberalización. Según el Abogado del Estado la demanda únicamente discute el nuevo apartado 5, que establece los criterios mínimos dentro de los cuales las Comunidades Autónomas deberán decidir, en ejercicio de su autonomía, qué concretos domingos y festivos permiten a los comercios abrir en sus territorios. Al dejar un ámbito al desarrollo autonómico el precepto sería materialmente básico. Por su parte, en lo que se refiere a la impugnación de la nueva redacción del art. 5 de la Ley 1/2004, sólo se discuten los apartados 4 y 5, en los que la novedad introducida consiste en que el legislador estatal ha precisado los criterios mínimos que deben seguir las Comunidades Autónomas para determinar las zonas de gran afluencia turística. Para el Abogado del Estado el nuevo precepto fija criterios mínimos susceptibles de ser ampliados por las Comunidades Autónomas, criterios que, por otro lado, permiten un grado de apreciación autonómico para su adaptación a las circunstancias de cada región.</w:t>
      </w:r>
    </w:p>
    <w:p w:rsidR="00163957" w:rsidRDefault="00163957" w:rsidP="00163957">
      <w:pPr>
        <w:pStyle w:val="TextoNormal"/>
      </w:pPr>
    </w:p>
    <w:p w:rsidR="00163957" w:rsidRDefault="00163957" w:rsidP="00163957">
      <w:pPr>
        <w:pStyle w:val="TextoNormal"/>
      </w:pPr>
      <w:r>
        <w:t>En conclusión, no puede imputarse un vaciamiento competencial a una normativa desreguladora, que sólo incide parcialmente en un subsector de un título competencial autonómico más amplio. Pero es que, además, las bases impugnadas no son ni mucho menos agotadoras, permitiendo que, dentro de ellas, las Comunidades Autónomas puedan optar por establecer grados superiores de libertad de horarios comerciales.</w:t>
      </w:r>
    </w:p>
    <w:p w:rsidR="00163957" w:rsidRDefault="00163957" w:rsidP="00163957">
      <w:pPr>
        <w:pStyle w:val="TextoNormal"/>
      </w:pPr>
    </w:p>
    <w:p w:rsidR="00163957" w:rsidRDefault="00163957" w:rsidP="00163957">
      <w:pPr>
        <w:pStyle w:val="TextoNormal"/>
      </w:pPr>
      <w:r>
        <w:t>Respecto a las modificaciones introducidas por el art. 28 del Real Decreto-ley 20/2012 señala que las mismas persiguen un objetivo liberalizador con incidencia directa y significativa en la actividad económica general, dinamizando la actividad comercial, que justifica un cambio en el carácter de la regulación, condicionando así las competencias autonómicas para establecer la regulación administrativa de las distintas modalidades de venta. Se trata de adoptar medidas que dinamicen en toda España el comercio, y que exigen una uniformidad en todo el territorio.</w:t>
      </w:r>
    </w:p>
    <w:p w:rsidR="00163957" w:rsidRDefault="00163957" w:rsidP="00163957">
      <w:pPr>
        <w:pStyle w:val="TextoNormal"/>
      </w:pPr>
    </w:p>
    <w:p w:rsidR="00163957" w:rsidRDefault="00163957" w:rsidP="00163957">
      <w:pPr>
        <w:pStyle w:val="TextoNormal"/>
      </w:pPr>
      <w:r>
        <w:t>f) Finalmente considera que la impugnación de la disposición final cuarta ha de ser desestimada en la medida que invoca unas habilitaciones competenciales que dan cobertura a los preceptos objeto de este recurso.</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Mediante escritos presentados en el registro general de este Tribunal en fechas 1 y 2 de agosto de 2013, el Parlamento y el Gobierno de la Generalitat de Cataluña formulan incidente de recusación del Presidente del Tribunal Constitucional en una serie de procesos, entre los que se incluye el presente recurso de inconstitucionalidad, por las causas 9 y 10 </w:t>
      </w:r>
      <w:r>
        <w:lastRenderedPageBreak/>
        <w:t>del art. 219 de la Ley Orgánica del Poder Judicial, en relación con el art. 80 de la Ley Orgánica del Tribunal Constitucional. Por ATC 180/2013, de 17 de septiembre, se acuerda la inadmisión a trámite de las recusaciones promovidas y, formulado recurso de súplica contra el anterior Auto por el Parlamento y la Generalitat de Cataluña, el Pleno, en providencia de 2 de octubre de 2013 acordó su inadmisión a trámite.</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2 de febrero de 2016, se señaló para deliberación y votación de la presente Sentencia el día 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el presente proceso constitucional debemos resolver el recurso de inconstitucionalidad interpuesto por la Generalitat de Cataluña contra los arts. 1, 2, 8, 22, 27, 28, disposiciones adicionales séptima, novena y undécima; disposiciones transitorias primera, octava, novena, décima, undécima, duodécima y decimocuarta y disposiciones finales primera, segunda, tercera y cuarta del Real Decreto-ley 20/2012, de 13 de julio, de medidas para garantizar la estabilidad presupuestaria y de fomento de la competitividad.</w:t>
      </w:r>
    </w:p>
    <w:p w:rsidR="00163957" w:rsidRDefault="00163957" w:rsidP="00163957">
      <w:pPr>
        <w:pStyle w:val="TextoNormal"/>
      </w:pPr>
    </w:p>
    <w:p w:rsidR="00163957" w:rsidRDefault="00163957" w:rsidP="00163957">
      <w:pPr>
        <w:pStyle w:val="TextoNormal"/>
      </w:pPr>
      <w:r>
        <w:t>El recurso de inconstitucionalidad se dirige, en primer término, contra los artículos 1, 2 y 8, en relación este último con la disposición transitoria primera, en los que se adoptan medidas dirigidas a racionalizar y reducir el gasto público, en el ámbito de los gastos de personal de las Administraciones públicas, e incluyen algunas modificaciones de la Ley 7/2007, de 12 de abril, del estatuto básico del empleado público (LEEP). La disposición final cuarta del Real Decreto-ley confiere a estos preceptos el carácter de normas básicas e invoca las competencias reservadas al Estado en los arts. 149.1.13 y 149.1.18 CE así como el art. 156 CE.</w:t>
      </w:r>
    </w:p>
    <w:p w:rsidR="00163957" w:rsidRDefault="00163957" w:rsidP="00163957">
      <w:pPr>
        <w:pStyle w:val="TextoNormal"/>
      </w:pPr>
    </w:p>
    <w:p w:rsidR="00163957" w:rsidRDefault="00163957" w:rsidP="00163957">
      <w:pPr>
        <w:pStyle w:val="TextoNormal"/>
      </w:pPr>
      <w:r>
        <w:t>Un segundo bloque de preceptos impugnados lo componen el artículo 22 y las disposiciones adicionales séptima y novena, disposiciones transitorias octava, novena, décima, undécima, duodécima y disposición final primera, relativos todos ellos a la Ley 39/2006, de 14 de diciembre, de promoción de la autonomía personal y atención a las personas en situación de dependencia. Se invoca el art. 149.1.1 CE como habilitación constitucional para la aprobación de estos preceptos.</w:t>
      </w:r>
    </w:p>
    <w:p w:rsidR="00163957" w:rsidRDefault="00163957" w:rsidP="00163957">
      <w:pPr>
        <w:pStyle w:val="TextoNormal"/>
      </w:pPr>
    </w:p>
    <w:p w:rsidR="00163957" w:rsidRDefault="00163957" w:rsidP="00163957">
      <w:pPr>
        <w:pStyle w:val="TextoNormal"/>
      </w:pPr>
      <w:r>
        <w:t>El tercer bloque lo componen los artículos 27 y 28, y la disposición adicional undécima, disposición transitoria decimocuarta y disposiciones finales segunda y tercera. Estos preceptos incluyen diversas modificaciones de la Ley 1/2004, de 21 de diciembre, de horarios comerciales y de la Ley 7/1996, de 15 de enero, de ordenación del comercio minorista. La disposición final cuarta del Real Decreto-ley afirma que los preceptos se dictan al amparo de la competencia estatal sobre bases y coordinación de la planificación general de la actividad económica contemplada en el art. 149.1.13 CE.</w:t>
      </w:r>
    </w:p>
    <w:p w:rsidR="00163957" w:rsidRDefault="00163957" w:rsidP="00163957">
      <w:pPr>
        <w:pStyle w:val="TextoNormal"/>
      </w:pPr>
    </w:p>
    <w:p w:rsidR="00163957" w:rsidRDefault="00163957" w:rsidP="00163957">
      <w:pPr>
        <w:pStyle w:val="TextoNormal"/>
      </w:pPr>
      <w:r>
        <w:t xml:space="preserve">La Generalitat considera que dichos preceptos exceden de los referidos ámbitos competenciales del Estado e incurren en diversos motivos de inconstitucionalidad, por invasión o menoscabo de las competencias que a ésta corresponden en materia de organización de la Administración de la Generalitat (art. 150 del Estatuto de Autonomía de Cataluña: EAC), de la función pública y el personal al servicio de las Administraciones públicas catalanas </w:t>
      </w:r>
      <w:r>
        <w:lastRenderedPageBreak/>
        <w:t>(art. 136 EAC), servicios sociales (art. 166 EAC), comercio (art. 121 EAC), planificación, ordinación y promoción de la actividad económica en Cataluña (art. 152 EAC), y vulneran también la potestad de autoorganización de la Comunidad Autónoma y el principio de autonomía financiera de las Comunidades Autónomas, reconocido en el art. 156 CE y el de autonomía de gasto, contemplado en los arts. 201.2 y 202.2 EAC. Considera asimismo la Comunidad Autónoma que determinados preceptos impugnados no cumplen los presupuestos habilitantes exigidos en el art. 86.1 CE contraviniendo el citado precepto constitucional.</w:t>
      </w:r>
    </w:p>
    <w:p w:rsidR="00163957" w:rsidRDefault="00163957" w:rsidP="00163957">
      <w:pPr>
        <w:pStyle w:val="TextoNormal"/>
      </w:pPr>
    </w:p>
    <w:p w:rsidR="00163957" w:rsidRDefault="00163957" w:rsidP="00163957">
      <w:pPr>
        <w:pStyle w:val="TextoNormal"/>
      </w:pPr>
      <w:r>
        <w:t>El Abogado del Estado ha defendido la desestimación íntegra del recurso, pues estima que resulta de todo punto indiscutible la concurrencia de una situación de extraordinaria y urgente necesidad derivada de la situación de crisis económica en la que se hallaba nuestro país y defiende igualmente, desde el punto de vista competencial, que los preceptos impugnados han de entenderse dictados al amparo de los títulos competenciales que explicita la disposición final cuarta.</w:t>
      </w:r>
    </w:p>
    <w:p w:rsidR="00163957" w:rsidRDefault="00163957" w:rsidP="00163957">
      <w:pPr>
        <w:pStyle w:val="TextoNormal"/>
      </w:pPr>
    </w:p>
    <w:p w:rsidR="00163957" w:rsidRDefault="00163957" w:rsidP="00163957">
      <w:pPr>
        <w:pStyle w:val="TextoNormal"/>
      </w:pPr>
      <w:r w:rsidRPr="00163957">
        <w:rPr>
          <w:rStyle w:val="NumeroAFNegritaCaracter"/>
        </w:rPr>
        <w:t>2</w:t>
      </w:r>
      <w:r>
        <w:t>. Expuestas las posiciones de las partes en el proceso, antes de comenzar a resolverlo hemos de atender a dos cuestiones previas: la delimitación precisa de su objeto a la vista de las alegaciones de la demanda y la incidencia que modificaciones normativas posteriores hayan podido tener sobre su pervivencia.</w:t>
      </w:r>
    </w:p>
    <w:p w:rsidR="00163957" w:rsidRDefault="00163957" w:rsidP="00163957">
      <w:pPr>
        <w:pStyle w:val="TextoNormal"/>
      </w:pPr>
    </w:p>
    <w:p w:rsidR="00163957" w:rsidRDefault="00163957" w:rsidP="00163957">
      <w:pPr>
        <w:pStyle w:val="TextoNormal"/>
      </w:pPr>
      <w:r>
        <w:t>a) En cuanto a lo primero, teniendo en cuenta las alegaciones formuladas en la demanda, debemos tener presente nuestra doctrina según la que “no basta con postular la inconstitucionalidad de una norma mediante la mera invocación formal de una serie de preceptos del bloque de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(por todas, STC 217/2013, de 19 de diciembre, FJ 1).</w:t>
      </w:r>
    </w:p>
    <w:p w:rsidR="00163957" w:rsidRDefault="00163957" w:rsidP="00163957">
      <w:pPr>
        <w:pStyle w:val="TextoNormal"/>
      </w:pPr>
    </w:p>
    <w:p w:rsidR="00163957" w:rsidRDefault="00163957" w:rsidP="00163957">
      <w:pPr>
        <w:pStyle w:val="TextoNormal"/>
      </w:pPr>
      <w:r>
        <w:t>Por tanto, atendiendo al criterio que hemos enunciado sobre la necesaria fundamentación del recurso de inconstitucionalidad hemos de delimitar el objeto del recurso a la vista de las alegaciones formuladas por la representación procesal de la Generalitat de Cataluña. Así, comenzando por la denunciada infracción del art. 86.1 CE resulta que está se presenta fundamentada en relación al artículo 8; el artículo 22.2, 10, 11 y conexos y 13, así como, por relación con aquellos, respecto a las disposiciones adicionales séptima y novena, transitorias octava y novena y final primera; los artículos 27 y 28 y disposiciones adicional undécima, transitoria decimocuarta y finales segunda y tercera. Sobre el resto de preceptos impugnados en el presente proceso, o bien no hay una alegación específica de vulneración del art. 86.1 CE o bien esta no resulta suficiente, caso del artículo 22.3, respecto al que la demanda se limita a afirmar que “este precepto incurre igualmente en un vicio de inconstitucionalidad por haberse aprobado mediante un Real Decreto-ley, cuando no concurría el presupuesto habilitante de la extraordinaria y urgente necesidad, ni se justificó en su momento”.</w:t>
      </w:r>
    </w:p>
    <w:p w:rsidR="00163957" w:rsidRDefault="00163957" w:rsidP="00163957">
      <w:pPr>
        <w:pStyle w:val="TextoNormal"/>
      </w:pPr>
    </w:p>
    <w:p w:rsidR="00163957" w:rsidRDefault="00163957" w:rsidP="00163957">
      <w:pPr>
        <w:pStyle w:val="TextoNormal"/>
      </w:pPr>
      <w:r>
        <w:t>Respecto a las quejas competenciales de la demanda basta con enunciar aquí que resulta también preciso delimitar su concreto alcance en relación con algunos de los preceptos impugnados, lo que se realizará con ocasión de su examen individualizado.</w:t>
      </w:r>
    </w:p>
    <w:p w:rsidR="00163957" w:rsidRDefault="00163957" w:rsidP="00163957">
      <w:pPr>
        <w:pStyle w:val="TextoNormal"/>
      </w:pPr>
    </w:p>
    <w:p w:rsidR="00163957" w:rsidRDefault="00163957" w:rsidP="00163957">
      <w:pPr>
        <w:pStyle w:val="TextoNormal"/>
      </w:pPr>
      <w:r>
        <w:t xml:space="preserve">b) En cuanto a la incidencia que modificaciones normativas sobrevenidas hayan podido tener sobre la pervivencia del recurso debemos señalar lo siguiente. La letra k) del art. 48 </w:t>
      </w:r>
      <w:r>
        <w:lastRenderedPageBreak/>
        <w:t>LEEP que fue modificada por el art. 8 del Real Decreto-ley 20/2012, aquí impugnado, ha sido posteriormente modificada, en primer lugar, por la disposición adicional cuarta, primero de la Ley Orgánica 9/2013, de 20 de diciembre, de control de la deuda comercial en el sector público, que amplió a cuatro el número de días por asuntos particulares de los funcionarios públicos; por el art. 28,3, y por la disposición adicional duodécima de la Ley 15/2014, de 16 de septiembre, de racionalización del sector público y otras medidas de reforma administrativa, que, amplió hasta cinco el número de días de los funcionarios públicos por asuntos particulares y, por el Real Decreto-ley 10/2015, de 11 de septiembre, por el que se conceden créditos extraordinarios y suplementos de crédito en el presupuesto del Estado y se adoptan otras medidas en materia de empleo público y de estímulo a la economía, que fija dicho número en seis. Finalmente, la totalidad de la Ley del estatuto básico del empleado público ha sido derogado por el Real Decreto Legislativo 5/2015, de 30 de octubre, que aprueba el texto refundido de la Ley del estatuto básico del empleado público, norma que, en su art. 48 k), establece que los funcionarios públicos tendrán seis días al año de permiso por asuntos particulares.</w:t>
      </w:r>
    </w:p>
    <w:p w:rsidR="00163957" w:rsidRDefault="00163957" w:rsidP="00163957">
      <w:pPr>
        <w:pStyle w:val="TextoNormal"/>
      </w:pPr>
    </w:p>
    <w:p w:rsidR="00163957" w:rsidRDefault="00163957" w:rsidP="00163957">
      <w:pPr>
        <w:pStyle w:val="TextoNormal"/>
      </w:pPr>
      <w:r>
        <w:t>Por su parte, el art. 23 de la Ley 39/2006, impugnado en la redacción dada por el artículo 22.8 ha sido modificado por la disposición final decimosexta de la Ley 17/2012, de 27 de diciembre, de presupuestos generales del Estado para 2013. Finalmente los apartados 4 y 5 del art. 5 de la Ley 1/2004, de 21 de diciembre, de horarios comerciales, que fueron modificados por el art. 27 del Real Decreto-ley 20/2012, de 13 de julio, aquí impugnado, han sido posteriormente modificados, primero, por el art. 7, apartados 1 y 2, del Real Decreto-ley 8/2014, de 4 de julio, de aprobación de medidas urgentes para el crecimiento, la competitividad y la eficiencia y, finalmente, por el art. 7, apartados 1 y 2 de la Ley 18/2014, de 15 de octubre, de la misma denominación, que, respectivamente, añadió el primero de aquellos dos nuevos párrafos al apartado 4 del art. 5 de la Ley 1/2004, de 21 de diciembre, de horarios comerciales; y el segundo, modificó el texto del apartado 5 del art. 5 de la misma Ley 1/2004.</w:t>
      </w:r>
    </w:p>
    <w:p w:rsidR="00163957" w:rsidRDefault="00163957" w:rsidP="00163957">
      <w:pPr>
        <w:pStyle w:val="TextoNormal"/>
      </w:pPr>
    </w:p>
    <w:p w:rsidR="00163957" w:rsidRDefault="00163957" w:rsidP="00163957">
      <w:pPr>
        <w:pStyle w:val="TextoNormal"/>
      </w:pPr>
      <w:r>
        <w:t>Las anteriores modificaciones no afectan, sin embargo, al objeto del presente proceso constitucional. En efecto, no tienen incidencia alguna en el motivo relativo a la inexistencia del presupuesto habilitante de la norma del Gobierno, pues no impiden a este Tribunal controlar si el ejercicio de la potestad reconocida al Gobierno por el art. 86.1 CE se realizó siguiendo los requisitos establecidos en dicho precepto constitucional, en la medida en que, al hacerlo, se trata de velar por el recto ejercicio de la potestad de dictar decretos-leyes dentro del marco constitucional, decidiendo la validez o invalidez de las normas impugnadas sin atender a su vigencia o derogación en el momento en que se pronuncia el fallo [por todas, STC 182/2013, de 23 de octubre, FJ 2 b)].</w:t>
      </w:r>
    </w:p>
    <w:p w:rsidR="00163957" w:rsidRDefault="00163957" w:rsidP="00163957">
      <w:pPr>
        <w:pStyle w:val="TextoNormal"/>
      </w:pPr>
    </w:p>
    <w:p w:rsidR="00163957" w:rsidRDefault="00163957" w:rsidP="00163957">
      <w:pPr>
        <w:pStyle w:val="TextoNormal"/>
      </w:pPr>
      <w:r>
        <w:t xml:space="preserve">Algo similar sucede con los motivos relacionados con la infracción del orden competencial, por cuanto las normas posteriores vienen a plantear, en esencia, los mismos problemas competenciales que la norma impugnada. Resulta entonces de aplicación nuestra doctrina respecto a los procesos promovidos por causa de vulneración del orden constitucional de distribución de competencias en la que hemos insistido, como excepción a la regla general sobre la carencia de sentido que tiene para el Tribunal pronunciarse en un recurso de inconstitucionalidad sobre normas que el legislador ha expulsado del ordenamiento mediante su derogación, en que “‘la función de preservar los ámbitos respectivos de competencias no puede quedar enervada por la sola derogación o modificación de las disposiciones cuya </w:t>
      </w:r>
      <w:r>
        <w:lastRenderedPageBreak/>
        <w:t>adopción dio lugar al litigio (SSTC 182/1988, FJ 1; 248/1988, FJ 2; y 167/1993, FJ 2; 329/1993, FJ 1; 165/1994, FJ 2; y 196/1993, FJ 2)’ (STC 109/2003, de 5 de junio, FJ 2)” [STC 134/2011, de 20 de julio, FJ 2 b)].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147/1998, fundamento jurídico 5)’ (STC 128/1999, de 1 de julio, FJ 4)” [STC 134/2011, FJ 2 b)].</w:t>
      </w:r>
    </w:p>
    <w:p w:rsidR="00163957" w:rsidRDefault="00163957" w:rsidP="00163957">
      <w:pPr>
        <w:pStyle w:val="TextoNormal"/>
      </w:pPr>
    </w:p>
    <w:p w:rsidR="00163957" w:rsidRDefault="00163957" w:rsidP="00163957">
      <w:pPr>
        <w:pStyle w:val="TextoNormal"/>
      </w:pPr>
      <w:r>
        <w:t>Por tanto, en la medida en que el recurso se fundamenta, de un lado, en el posible desconocimiento del presupuesto de hecho habilitante del decreto-ley y, de otro, en la eventual extralimitación competencial del Estado en el ejercicio de sus competencias, no cabe sino apreciar que subsiste el interés constitucional, tanto de velar por el recto ejercicio de la potestad de dictar decretos-leyes como por determinar el alcance de las competencias controvertidas.</w:t>
      </w:r>
    </w:p>
    <w:p w:rsidR="00163957" w:rsidRDefault="00163957" w:rsidP="00163957">
      <w:pPr>
        <w:pStyle w:val="TextoNormal"/>
      </w:pPr>
    </w:p>
    <w:p w:rsidR="00163957" w:rsidRDefault="00163957" w:rsidP="00163957">
      <w:pPr>
        <w:pStyle w:val="TextoNormal"/>
      </w:pPr>
      <w:r w:rsidRPr="00163957">
        <w:rPr>
          <w:rStyle w:val="NumeroAFNegritaCaracter"/>
        </w:rPr>
        <w:t>3</w:t>
      </w:r>
      <w:r>
        <w:t>. En lo que respecta al fondo del asunto debe examinarse, en primer término, la tacha de inconstitucionalidad relativa a la vulneración del art. 86.1 CE que se formula a algunos de los preceptos impugnados en el presente recurso.</w:t>
      </w:r>
    </w:p>
    <w:p w:rsidR="00163957" w:rsidRDefault="00163957" w:rsidP="00163957">
      <w:pPr>
        <w:pStyle w:val="TextoNormal"/>
      </w:pPr>
    </w:p>
    <w:p w:rsidR="00163957" w:rsidRDefault="00163957" w:rsidP="00163957">
      <w:pPr>
        <w:pStyle w:val="TextoNormal"/>
      </w:pPr>
      <w:r>
        <w:t>Este Tribunal tiene al respecto una doctrina consolidada sobre el presupuesto que, según el art. 86.1 CE, habilita al Gobierno para dictar decretos-leyes. Dicha doctrina parte de considerar que el concepto de extraordinaria y urgente necesidad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(SSTC 96/2014, de 12 de junio, FJ 5, y 83/2014, de 29 de mayo, FJ 4, entre otras). Y, en este sentido, “sin perjuicio del peso que en la apreciación de lo que haya de considerarse como caso de extraordinaria y urgente necesidad haya de concederse al juicio puramente político de los órganos a los que incumbe la dirección del Estado, es función propia de este Tribunal el aseguramiento de estos límites, la garantía de que en el ejercicio de esta facultad, como cualquier otra, los poderes públicos se mueven dentro del marco trazado por la Constitución, de forma que este Tribunal puede, en supuestos de uso abusivo o arbitrario, rechazar la definición que los órganos políticos hagan de una situación determinada como de ‘extraordinaria y urgente necesidad’ y, en consecuencia, declarar la inconstitucionalidad por inexistencia del presupuesto habilitante por invasión de las facultades reservadas a las Cortes Generales por la Constitución” (SSTC 100/2012, de 8 de mayo, FJ 8; 237/2012, de 13 de diciembre, FJ 4; 39/2013, de 14 de febrero, FJ 5, y 49/2015, de 5 de marzo, FJ 3, entre otras).</w:t>
      </w:r>
    </w:p>
    <w:p w:rsidR="00163957" w:rsidRDefault="00163957" w:rsidP="00163957">
      <w:pPr>
        <w:pStyle w:val="TextoNormal"/>
      </w:pPr>
    </w:p>
    <w:p w:rsidR="00163957" w:rsidRDefault="00163957" w:rsidP="00163957">
      <w:pPr>
        <w:pStyle w:val="TextoNormal"/>
      </w:pPr>
      <w:r>
        <w:t>Este Tribunal ha venido estableciendo que su función se limita a un “control externo”, que viene a verificar, pero no a sustituir el juicio político o de oportunidad que corresponde efectuar, en primer término, al Gobierno (titular constitucional de la potestad legislativa de urgencia) y, en segundo lugar, al Congreso (titular de la potestad de convalidar, derogar o tramitar el texto como proyecto de ley); por todas, STC 137/2011, de 14 de septiembre, FJ 4.</w:t>
      </w:r>
    </w:p>
    <w:p w:rsidR="00163957" w:rsidRDefault="00163957" w:rsidP="00163957">
      <w:pPr>
        <w:pStyle w:val="TextoNormal"/>
      </w:pPr>
    </w:p>
    <w:p w:rsidR="00163957" w:rsidRDefault="00163957" w:rsidP="00163957">
      <w:pPr>
        <w:pStyle w:val="TextoNormal"/>
      </w:pPr>
      <w:r>
        <w:t xml:space="preserve">Nuestra doctrina ha señalado también que la Constitución ha adoptado “una solución flexible y matizada respecto del fenómeno del real decreto-ley que, por una parte, no lleva </w:t>
      </w:r>
      <w:r>
        <w:lastRenderedPageBreak/>
        <w:t>a su completa proscripción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(SSTC 6/1983, de 4 de febrero, FJ 5; 237/2012, de 13 de diciembre, FJ 3, y 48/2015, FJ 3). Y en este contexto, ha venido admitiendo reiteradamente el uso del decreto-ley en situaciones que cabe calificar como “coyunturas económicas problemáticas”, para cuyo tratamiento representa un instrumento constitucionalmente lícito, en tanto que pertinente y adecuado para la consecución del fin que justifica la legislación de urgencia (STC 183/2014, FJ 4).</w:t>
      </w:r>
    </w:p>
    <w:p w:rsidR="00163957" w:rsidRDefault="00163957" w:rsidP="00163957">
      <w:pPr>
        <w:pStyle w:val="TextoNormal"/>
      </w:pPr>
    </w:p>
    <w:p w:rsidR="00163957" w:rsidRDefault="00163957" w:rsidP="00163957">
      <w:pPr>
        <w:pStyle w:val="TextoNormal"/>
      </w:pPr>
      <w:r>
        <w:t>No obstante, el juicio sobre la concurrencia del presupuesto habilitante de la “extraordinaria y urgente necesidad” ha de superar, en todo caso, un doble canon (por todas, STC 39/2013, de 14 de diciembre, FJ 5, y las allí citadas). El primero consiste en la identificación por el Gobierno de manera explícita y razonada de la concurrencia de esa singular situación, la extraordinaria y urgente necesidad, determinante de la aparición del presupuesto que le habilita para dictar con carácter excepcional unas normas dotadas de los atributos, del rango y la fuerza propios de las leyes formales. El segundo canon se concreta en la existencia de una conexión de sentido o relación de adecuación entre ese presupuesto habilitante y las medidas contenidas en la norma de urgencia, de modo que éstas han de guardar una relación directa o de congruencia con la situación que se trata de afrontar. En cuanto al primero de estos aspectos —la definición de la situación de urgencia—, nuestra doctrina ha precisado que no es necesario que tal definición expresa de la extraordinaria y urgente necesidad haya de contenerse siempre en el propio Real Decreto-ley, sino que tal presupuesto cabe deducirlo igualmente de la valoración conjunta de todos aquellos factores que determinaron al Gobierno a dictar la disposición legal excepcional, y que son, básicamente, los que quedan reflejados en la exposición de motivos de la norma, a lo largo del debate parlamentario de su convalidación, y en el propio expediente de elaboración de la misma (SSTC 29/1982, de 31 de mayo, FJ 4; 182/1997, de 28 de octubre, FJ 4; 11/2002, de 17 de enero, FJ 4, y 137/2003, de 3 de julio, FJ 3).</w:t>
      </w:r>
    </w:p>
    <w:p w:rsidR="00163957" w:rsidRDefault="00163957" w:rsidP="00163957">
      <w:pPr>
        <w:pStyle w:val="TextoNormal"/>
      </w:pPr>
    </w:p>
    <w:p w:rsidR="00163957" w:rsidRDefault="00163957" w:rsidP="00163957">
      <w:pPr>
        <w:pStyle w:val="TextoNormal"/>
      </w:pPr>
      <w:r>
        <w:t>En cuanto a la segunda dimensión del presupuesto habilitante de la legislación de urgencia —conexión de sentido entre la situación de necesidad definida y las medidas que en el Real Decreto-ley se adoptan—, nuestra doctrina ha afirmado un doble criterio o perspectiva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00163957" w:rsidRDefault="00163957" w:rsidP="00163957">
      <w:pPr>
        <w:pStyle w:val="TextoNormal"/>
      </w:pPr>
    </w:p>
    <w:p w:rsidR="00163957" w:rsidRDefault="00163957" w:rsidP="00163957">
      <w:pPr>
        <w:pStyle w:val="TextoNormal"/>
      </w:pPr>
      <w:r w:rsidRPr="00163957">
        <w:rPr>
          <w:rStyle w:val="NumeroAFNegritaCaracter"/>
        </w:rPr>
        <w:t>4</w:t>
      </w:r>
      <w:r>
        <w:t>. Expuesta la doctrina constitucional, procede analizar ahora sí, con arreglo a ella, y en función de las concretas circunstancias que rodearon la adopción de las medidas impugnadas contenidas en el Real Decreto-Ley 20/2012, concurre, en el doble sentido señalado, el presupuesto habilitante de la “extraordinaria y urgente necesidad”, exigida por el art. 86.1 CE.</w:t>
      </w:r>
    </w:p>
    <w:p w:rsidR="00163957" w:rsidRDefault="00163957" w:rsidP="00163957">
      <w:pPr>
        <w:pStyle w:val="TextoNormal"/>
      </w:pPr>
    </w:p>
    <w:p w:rsidR="00163957" w:rsidRDefault="00163957" w:rsidP="00163957">
      <w:pPr>
        <w:pStyle w:val="TextoNormal"/>
      </w:pPr>
      <w:r>
        <w:t xml:space="preserve">Para ello, deberemos tener presente que una de las peculiaridades de este recurso radica en que la vulneración del presupuesto de hecho habilitante se atribuye, no al Real Decreto-ley 20/2012 en su totalidad, sino, solamente, a la regulación realizada por los preceptos impugnados que en el mismo se recogen. Ello determina que, de acuerdo con la doctrina de este Tribunal, cuando “se denuncia la vulneración del presupuesto de hecho habilitante respecto, no del correspondiente decreto-ley en su conjunto, sino únicamente en relación con uno o alguno de sus preceptos, la necesaria justificación </w:t>
      </w:r>
      <w:r w:rsidRPr="00163957">
        <w:rPr>
          <w:i/>
        </w:rPr>
        <w:t>ad casum</w:t>
      </w:r>
      <w:r>
        <w:t xml:space="preserve"> de la ‘extraordinaria y urgente necesidad’ ha de ser apreciada en relación precisamente con los preceptos en concreto impugnados” (por todas, STC 29/2015, de 19 de febrero, FJ 3). Nuestro análisis se debe ceñir, por tanto, a examinar la concurrencia del presupuesto hecho habilitante en relación con el artículo 8; el artículo 22.2, 10, 11 y conexos, y 13, así como, por relación con aquellos, respecto a las disposiciones adicionales séptima y novena, transitorias octava y novena y final primera y los artículos 27 y 28 y disposiciones adicional undécima, transitoria decimocuarta y finales segunda y tercera.</w:t>
      </w:r>
    </w:p>
    <w:p w:rsidR="00163957" w:rsidRDefault="00163957" w:rsidP="00163957">
      <w:pPr>
        <w:pStyle w:val="TextoNormal"/>
      </w:pPr>
    </w:p>
    <w:p w:rsidR="00163957" w:rsidRDefault="00163957" w:rsidP="00163957">
      <w:pPr>
        <w:pStyle w:val="TextoNormal"/>
      </w:pPr>
      <w:r>
        <w:t>En relación con el primer elemento que hemos de examinar, esto es, los motivos que, a propósito de la concurrencia del presupuesto habilitante del decreto-ley, debe poner de manifiesto el Gobierno, nuestro análisis ha de referirse a la valoración en su conjunto, tanto de la exposición de motivos del Real Decreto-Ley 20/2012, como del debate parlamentario de convalidación. (Cortes Generales, “Diario de Sesiones del Congreso de los Diputados”, Pleno y Diputación Permanente, X Legislatura, año 2012, núm. 51).</w:t>
      </w:r>
    </w:p>
    <w:p w:rsidR="00163957" w:rsidRDefault="00163957" w:rsidP="00163957">
      <w:pPr>
        <w:pStyle w:val="TextoNormal"/>
      </w:pPr>
    </w:p>
    <w:p w:rsidR="00163957" w:rsidRDefault="00163957" w:rsidP="00163957">
      <w:pPr>
        <w:pStyle w:val="TextoNormal"/>
      </w:pPr>
      <w:r>
        <w:t>La exposición de motivos del Real Decreto-ley 20/2012 comienza aludiendo al nuevo período recesivo que la economía española experimentó a lo largo del año 2011, cuando, tras varios trimestres de leve recuperación, aquella se mostró intensamente vulnerable al deterioro de la zona euro y volvió a caer en recesión, lo que obligó al “diseño de una estrategia de política económica que contenga los elementos adecuados en el presente contexto, sino también su articulación a medio plazo de un modo verosímil y capaz de concitar la credibilidad de los mercados financieros”. Esa estrategia “pivota principalmente sobre dos ejes: la consolidación fiscal y el impulso de nuevas reformas estructurales” a fin de combinar efectos positivos y “recuperar el crecimiento de la economía, de la producción y del empleo”. En cuanto a las medidas de carácter fiscal, la exposición de motivos alude al escenario de consolidación fiscal para corregir el déficit público, en la línea de las recomendaciones de la Unión Europea, para garantizar que España cumple rigurosamente sus compromisos fiscales señalando las medidas adoptadas en el ámbito de los ingresos, destacando el aumento de la imposición indirecta sobre el consumo, así como en relación a los gastos en los que “la incidencia la han soportado especialmente aquellos gastos más superfluos o con efectos más débiles sobre los incentivos de los agentes económicos”. Expone también que “estas medidas dan cumplimiento a buena parte de las Recomendaciones Específicas formuladas por el Consejo Europeo a España en el mes de junio y como colofón al Semestre Europeo: ampliación de las principales bases impositivas, eliminación de desgravaciones y exenciones y sustitución parcial de la imposición sobre el trabajo por imposición indirecta”.</w:t>
      </w:r>
    </w:p>
    <w:p w:rsidR="00163957" w:rsidRDefault="00163957" w:rsidP="00163957">
      <w:pPr>
        <w:pStyle w:val="TextoNormal"/>
      </w:pPr>
    </w:p>
    <w:p w:rsidR="00163957" w:rsidRDefault="00163957" w:rsidP="00163957">
      <w:pPr>
        <w:pStyle w:val="TextoNormal"/>
      </w:pPr>
      <w:r>
        <w:t xml:space="preserve">En cuanto a las medidas estructurales la exposición de motivos señala que son también claves, no sólo para garantizar que nuestro país flexibiliza su estructura productiva y se prepara de modo óptimo para la siguiente fase expansiva del ciclo, sino también para generar crecimiento adicional y compensar parcialmente de esta forma el impacto restrictivo de </w:t>
      </w:r>
      <w:r>
        <w:lastRenderedPageBreak/>
        <w:t>la política fiscal a corto plazo. Afirma, además, que “todas ellas tienen por fin último abrir nuevos mercados al sector privado y fomentar el desarrollo de la innovación y de nuevos servicios en sectores críticos para el crecimiento de la productividad y la reducción de costes empresariales. Por último, aunque no menos importante, los nuevos pasos en el campo de los servicios profesionales facilitarán la permeabilidad de los distintos nichos de mercado a nuevos competidores y al mismo tiempo garantizará la calidad de estos servicios, reduciendo los márgenes en segmentos tradicionalmente menos expuestos a la competencia y sin embargo cruciales para la configuración de costes en el ejercicio de la actividad empresarial”.</w:t>
      </w:r>
    </w:p>
    <w:p w:rsidR="00163957" w:rsidRDefault="00163957" w:rsidP="00163957">
      <w:pPr>
        <w:pStyle w:val="TextoNormal"/>
      </w:pPr>
    </w:p>
    <w:p w:rsidR="00163957" w:rsidRDefault="00163957" w:rsidP="00163957">
      <w:pPr>
        <w:pStyle w:val="TextoNormal"/>
      </w:pPr>
      <w:r>
        <w:t>En el contexto global así definido los sucesivos apartados del preámbulo dan cuenta de las modificaciones introducidas en diversos ámbitos sectoriales como en el de las administraciones públicas y el personal a su servicio (apartado II); en materia de seguridad social y empleo (apartado III); acerca del sistema para la autonomía y atención a la dependencia (apartado IV); en el ámbito tributario (apartado V); en relación con el sector de la distribución minorista (apartado VI); en materia de infraestructuras, transporte y vivienda (apartado VII) y en relación con determinados regímenes jurídicos especiales (apartado IX). Finalmente, el apartado IX de la exposición de motivos alude al presupuesto habilitante, con un párrafo común para todo el Real Decreto-ley 20/2012, en el que señala que “[E]n las medidas que se adoptan en el presente real decreto-ley concurren las circunstancias de extraordinaria y urgente necesidad que exige el artículo 86 de la Constitución Española como premisa para recurrir a esta figura del real decreto-ley. Como se ha expuesto, la actual coyuntura económica y la inexcusable necesidad de reducir el déficit público para alcanzar la estabilidad presupuestaria, hacen necesario que las medidas expuestas se aprueben con la máxima urgencia, con pleno respeto al marco constitucional y al establecido por la Unión Europea”.</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Señalada la justificación global de este Real Decreto-ley, en la que se contiene la situación de necesidad a la que pretende darse respuesta, cabe deducir que la situación de urgencia se define de una forma general, aplicable al conjunto de reformas introducidas por el Real Decreto-ley 20/2012, centrada en el recrudecimiento de la situación de dificultad por la que atravesaba la economía española, lo que reclamaba la introducción de reformas estructurales en diversos sectores. Al igual que en el caso de la STC 27/2015, de 19 de febrero, FJ 5, la justificación general de la adopción de la norma, “la recaída reciente de la economía española” que exige “el diseño de una estrategia de política económica que contenga los elementos adecuados en el presente contexto, sino también su articulación a medio plazo de un modo verosímil y capaz de concitar la credibilidad de los mercados financieros” adquiere pleno sentido en el contexto del conjunto del Real Decreto-ley 20/2012 que, en su heterogeneidad, comprende diversas materias que afectan a distintas iniciativas en varios campos. Igualmente la STC 81/2015, de 30 de abril, FJ 4, con cita de otras, recalca que la situación de recesión y crisis económica y financiera es real y conocida, así como la relevancia de unos compromisos internacionales que son igualmente conocidos, lo que justifica la existencia de una serie de medidas dirigidas a reducir el déficit público, e instrumento, además, para alcanzar el fin (político) de la recuperación, por la doble vía del incremento de los ingresos públicos y reducción del gasto público. En suma, se trata, como destaca la STC 215/2015, de 22 de octubre, FJ 4, “de hacer posible el cumplimiento de los objetivos de déficit comprometidos por España y con esta finalidad se adoptan una serie de medidas </w:t>
      </w:r>
      <w:r>
        <w:lastRenderedPageBreak/>
        <w:t>tanto presupuestarias como tributarias y financieras dirigidas al cumplimiento del mencionado objetivo”, así como de hacer frente al recrudecimiento de la situación de dificultad por la que atravesaba la economía española, lo que reclamaba la introducción de reformas estructurales en diversos sectores (STC 136/2015, de 11 de junio, FJ 5). Sin embargo, estas justificaciones genéricas, que habría que entender aplicables a la totalidad de las normas modificadas por el Real Decreto-ley 20/2012, no resultan suficientes, por sí solas, para apreciar la concurrencia del presupuesto habilitante en las normas impugnadas, pues nuestra doctrina ha exigido con reiteración (por todas, STC 170/2012, FJ 5) que también lo sea de los preceptos concretamente impugnados, ya que solamente a ellos se les reprocha la vulneración del presupuesto de hecho habilitante de la legislación de urgencia.</w:t>
      </w:r>
    </w:p>
    <w:p w:rsidR="00163957" w:rsidRDefault="00163957" w:rsidP="00163957">
      <w:pPr>
        <w:pStyle w:val="TextoNormal"/>
      </w:pPr>
    </w:p>
    <w:p w:rsidR="00163957" w:rsidRDefault="00163957" w:rsidP="00163957">
      <w:pPr>
        <w:pStyle w:val="TextoNormal"/>
      </w:pPr>
      <w:r>
        <w:t>De este modo, para valorar la concurrencia del presupuesto habilitante resulta preciso acudir a la justificación de carácter específico para lo que debemos examinar los concretos motivos proporcionados por el Gobierno para justificar la adopción de las concretas medidas cuestionadas que se recogen en los preceptos del Real Decreto-ley 20/2012 impugnados por vulnerar el art. 86.1 CE.</w:t>
      </w:r>
    </w:p>
    <w:p w:rsidR="00163957" w:rsidRDefault="00163957" w:rsidP="00163957">
      <w:pPr>
        <w:pStyle w:val="TextoNormal"/>
      </w:pPr>
    </w:p>
    <w:p w:rsidR="00163957" w:rsidRDefault="00163957" w:rsidP="00163957">
      <w:pPr>
        <w:pStyle w:val="TextoNormal"/>
      </w:pPr>
      <w:r>
        <w:t>a) El art. 8 del Real Decreto-Ley 20/2012 se inserta en el título I, que tiene por objeto el establecimiento de medidas de reordenación y racionalización de las Administraciones públicas. El apartado 1 del artículo 8 modifica el artículo 48 sobre permisos de los funcionarios públicos de la Ley del estatuto básico del empleado público y el apartado 2 del mencionado art. 8 modifica el art. 50 LEEP, sobre vacaciones de los funcionarios públicos.</w:t>
      </w:r>
    </w:p>
    <w:p w:rsidR="00163957" w:rsidRDefault="00163957" w:rsidP="00163957">
      <w:pPr>
        <w:pStyle w:val="TextoNormal"/>
      </w:pPr>
    </w:p>
    <w:p w:rsidR="00163957" w:rsidRDefault="00163957" w:rsidP="00163957">
      <w:pPr>
        <w:pStyle w:val="TextoNormal"/>
      </w:pPr>
      <w:r>
        <w:t>La tacha de vulneración del art. 86.1 CE se concreta en que, según la parte recurrente, las medidas adoptadas no tienen eficacia inmediata, pues la disposición transitoria primera del propio Real Decreto-ley 20/2103 difiere la entrada en vigor de las previsiones del artículo 8 al 1 de enero de 2013. Así planteada la queja hay que advertir que se refiere no a todo el precepto sino solamente a la determinación de los días de asuntos particulares, los adicionales a los de libre disposición y los de vacaciones, cuya entrada en vigor de su aplicación queda aplazada al 1 de enero de 2013. Siendo esa la queja basta para desestimarla la remisión a la doctrina de la STC 156/2015, de 9 de julio, en cuyo fundamento jurídico 5 señalamos que “no es posible obviar que el art. 8 del Real Decreto-Ley 20/2012 ha realizado una nueva regulación de todo el régimen de permisos y vacaciones de los funcionarios públicos y de que, dentro de esta normativa que se refiere a todas aquellas situaciones en las que se posibilita la no asistencia temporal del funcionario público a su puesto de trabajo, hay determinadas modalidades, como son los permisos de días que puedan concederse por asuntos particulares, días adicionales a los días de libre disposición y los de vacaciones que han quedado aplazados al 1 de enero de 2013, lo que no implica que en tales casos específicos exista desconexión entre las concretas modificaciones operadas y la situación de urgencia invocada, tal y como denuncia la recurrente, porque ha de tomarse en consideración que su aplicación a mitad de año hubiera podido incidir de modo notable en los intereses de las Administraciones Públicas destinatarias del nuevo régimen, que necesariamente han de precisar de un cierto margen de tiempo entre la aprobación de la norma legal y su entrada en vigor para organizar sus estructuras y servicios y adaptarlos al nuevo sistema de permisos y vacaciones, teniendo en cuenta, también, los intereses de los funcionarios públicos dependientes de aquellas”.</w:t>
      </w:r>
    </w:p>
    <w:p w:rsidR="00163957" w:rsidRDefault="00163957" w:rsidP="00163957">
      <w:pPr>
        <w:pStyle w:val="TextoNormal"/>
      </w:pPr>
    </w:p>
    <w:p w:rsidR="00163957" w:rsidRDefault="00163957" w:rsidP="00163957">
      <w:pPr>
        <w:pStyle w:val="TextoNormal"/>
      </w:pPr>
      <w:r>
        <w:lastRenderedPageBreak/>
        <w:t>b) En cuanto a los preceptos cuestionados que introducen modificaciones en la Ley 39/2006, la exposición de motivos alude a la trascendencia de la mencionada norma así como que los datos derivados de la evaluación de la misma, a los cinco años de su vigencia, “muestran que debe corregirse una situación que pone en riesgo la sostenibilidad del Sistema que, además, ha supuesto consecuencias perjudiciales para el empleo y la viabilidad de los sectores productivos de servicios relacionados con la dependencia”. En ese sentido “la intensidad de los problemas detectados y el alcance estructural que precisan la medidas correctoras exigen su inmediata aplicación para una correcta evolución del Sistema. La demora en su aprobación, dada la propia evolución inercial del Sistema, agudizaría sus problemas de cohesión, equidad y financiación, tornándose las medidas propuestas más difíciles de aplicar”.</w:t>
      </w:r>
    </w:p>
    <w:p w:rsidR="00163957" w:rsidRDefault="00163957" w:rsidP="00163957">
      <w:pPr>
        <w:pStyle w:val="TextoNormal"/>
      </w:pPr>
    </w:p>
    <w:p w:rsidR="00163957" w:rsidRDefault="00163957" w:rsidP="00163957">
      <w:pPr>
        <w:pStyle w:val="TextoNormal"/>
      </w:pPr>
      <w:r>
        <w:t>Sobre las concretas disposiciones cuestionadas la exposición de motivos indica detalladamente que “la actual clasificación en grados y niveles de la situación de dependencia no ha significado una diferenciación en las prestaciones y servicios que se reconocen a las personas beneficiarias dentro de un mismo grado e, incluso, entre niveles próximos de distintos grados. Ello ha producido continuos procesos de revisión de la valoración, que ha hecho destinar recursos y tiempo que podrían haberse dedicado a la valoración de las personas con mayor grado de dependencia. Para solventarlo, se establece una nueva estructura manteniendo los tres grados en los que se clasifica la situación de dependencia, pero sin niveles, lo que simplificará la gestión, permitirá atender de forma prioritaria a las personas con un mayor grado de dependencia que están pendientes de recibir atención y mejorará el proceso de valoración de la dependencia y el procedimiento para el acceso a las prestaciones”. Igualmente señala que “la sostenibilidad económica del Sistema para la Autonomía y Atención a la Dependencia, la situación económica por la que atraviesa la economía española y la exigencia de cumplimiento de los objetivos de déficit público, requieren la adopción por el Gobierno de medidas urgentes de naturaleza económica que se traduzcan en ahorros inmediatos en el gasto de las administraciones públicas. En este sentido, el presente real decreto-ley incorpora distintas medidas que generan un ahorro, por una parte, en el gasto de las comunidades autónomas, a través de la reducción de las cuantías máximas de las prestaciones económicas para cuidados en el entorno familiar, y, por otra, en el gasto de la Administración General del Estado, por la vía de la reducción de las cuantías del nivel mínimo de financiación del Sistema para la Autonomía y Atención a la Dependencia”. Medidas de carácter económico que persiguen un reequilibrio sostenible del Sistema, garantizando el derecho a la promoción de la autonomía personal y atención a la situación de dependencia. Por último, respecto a las medidas organizativas resalta que “con el objeto de simplificar las relaciones de coordinación entre la Administración General del Estado y las Comunidades Autónomas se refunden los anteriores Consejos Territoriales del Sistema para la Autonomía y Atención a la Dependencia y la Conferencia Sectorial de Asuntos Sociales en un solo órgano que pasará a denominarse Consejo Territorial de Servicios Sociales y del Sistema para la Autonomía y Atención a la Dependencia”.</w:t>
      </w:r>
    </w:p>
    <w:p w:rsidR="00163957" w:rsidRDefault="00163957" w:rsidP="00163957">
      <w:pPr>
        <w:pStyle w:val="TextoNormal"/>
      </w:pPr>
    </w:p>
    <w:p w:rsidR="00163957" w:rsidRDefault="00163957" w:rsidP="00163957">
      <w:pPr>
        <w:pStyle w:val="TextoNormal"/>
      </w:pPr>
      <w:r>
        <w:t xml:space="preserve">Por su parte, en el debate parlamentario de convalidación el Sr Ministro de Hacienda y Administraciones públicas, aludió a la necesidad de racionalizar el sistema señalando que “lo mismo ocurre en términos de dependencia, y los cambios que se incorporan en la Ley de Dependencia aseguran a los dependientes que realmente lo necesitan ese sistema de prestaciones sociales, pero también modifican normas y financiaciones que hoy tenemos que </w:t>
      </w:r>
      <w:r>
        <w:lastRenderedPageBreak/>
        <w:t>suprimir por mor de conservar lo importante, dentro del planteamiento que hacía al comienzo de mi exposición de que tenemos que decir a los españoles la verdad de lo que nos interesa preservar, y cambiar aquello que no es financiable”, añadiendo a continuación que “por tanto la racionalización de los servicios es absolutamente básica y fundamental, lo que también debe trasladarse al desarrollo que hacen las comunidades autónomas de la Ley de Dependencia.”</w:t>
      </w:r>
    </w:p>
    <w:p w:rsidR="00163957" w:rsidRDefault="00163957" w:rsidP="00163957">
      <w:pPr>
        <w:pStyle w:val="TextoNormal"/>
      </w:pPr>
    </w:p>
    <w:p w:rsidR="00163957" w:rsidRDefault="00163957" w:rsidP="00163957">
      <w:pPr>
        <w:pStyle w:val="TextoNormal"/>
      </w:pPr>
      <w:r>
        <w:t>La motivación ofrecida en la exposición de motivos de la norma, y aludida por el Sr. Ministro en el debate parlamentario de convalidación permite afirmar que el Gobierno ha justificado suficientemente la situación a la que pretende hacer frente referida a la necesidad de asegurar la sostenibilidad futura del sistema de atención a la dependencia lo que, a su vez, ha determinado la adopción de las medidas que aquí se cuestionan. Así pues, desde la perspectiva el control externo que nos corresponde, podemos concluir que la definición de la extraordinaria y urgente necesidad, que fundamenta la aprobación de las normas controvertidas, es explícita, razonada y concreta, no se realiza mediante fórmulas rituales o genéricas, aplicables de modo intercambiable a todo tipo de realidades, sino por referencia a una situación de recesión y de crisis económica y financiera, real y conocida, y a la exigencia de cumplimiento de unos compromisos internacionales de déficit igualmente notorios, que tienen por objeto atender a lo que cabe calificar como una “coyuntura económica problemática”, —en los términos expresamente aceptados por la doctrina constitucional—, concretada, en lo que hace a la presente impugnación en la necesidad urgente de asegurar la sostenibilidad presente y futura del sistema de atención a la dependencia, corrigiendo una situación que, a juicio del Gobierno, ha supuesto consecuencias perjudiciales para el mismo en un contexto de dificultades económicas. Para ello se adoptan medidas de diversa índole, tanto organizativas, caso del artículo 22.2 y de la disposición adicional novena, como relativas a la organización y contenido de las prestaciones a atender por el sistema y el propio gasto en prestaciones, extremo al que, de un modo u otro, se refieren las restantes disposiciones de la Ley 39/2006 cuestionadas por la falta de presupuesto habilitante.</w:t>
      </w:r>
    </w:p>
    <w:p w:rsidR="00163957" w:rsidRDefault="00163957" w:rsidP="00163957">
      <w:pPr>
        <w:pStyle w:val="TextoNormal"/>
      </w:pPr>
    </w:p>
    <w:p w:rsidR="00163957" w:rsidRDefault="00163957" w:rsidP="00163957">
      <w:pPr>
        <w:pStyle w:val="TextoNormal"/>
      </w:pPr>
      <w:r>
        <w:t>Igualmente, sin adentrarnos en el juicio político que este Tribunal tiene vedado, debemos apreciar la conexión de sentido de las medidas impugnadas con la situación de urgencia definida, pues todas ellas buscan, de uno u otro modo, redefinir el sistema de atención a la dependencia en la forma que el Gobierno ha considerado necesaria para asegurar su sostenibilidad, pues se orientan, fundamentalmente, a generar ahorros inmediatos en el gasto público dedicado a dependencia. Específicamente en el caso de la disposición adicional novena, sobre el plazo de seis meses para constituir el Consejo Territorial de Servicios Sociales y del Sistema para la Autonomía y Atención a la Dependencia al que se refiere el art. 22.2, es posible apreciar, en trance de comprobar la existencia de la necesaria conexión de sentido entre las concretas medidas impugnadas y la situación de urgencia explicitada por el Gobierno, que necesariamente las Administraciones públicas destinatarias del mandato, y en especial, la Administración general del Estado, han de precisar de un cierto margen de tiempo entre la aprobación de la norma legal y su entrada en vigor para organizar sus estructuras y servicios y adaptarlos al nuevo modelo de cooperación que se deriva de la supresión de los anteriores consejos territoriales del sistema para la autonomía y atención a la dependencia y la Conferencia Sectorial de Asuntos Sociales, ahora integrados en el nuevo órgano que se crea.</w:t>
      </w:r>
    </w:p>
    <w:p w:rsidR="00163957" w:rsidRDefault="00163957" w:rsidP="00163957">
      <w:pPr>
        <w:pStyle w:val="TextoNormal"/>
      </w:pPr>
    </w:p>
    <w:p w:rsidR="00163957" w:rsidRDefault="00163957" w:rsidP="00163957">
      <w:pPr>
        <w:pStyle w:val="TextoNormal"/>
      </w:pPr>
      <w:r>
        <w:lastRenderedPageBreak/>
        <w:t>Hemos de concluir, por todo lo señalado, que en el caso del artículo 22. 2, 10, 11 y conexos, y 13, así como, por relación con aquellos, en las disposiciones adicionales séptima y novena, transitorias octava y novena y final primera del Real Decreto-ley 20/2012, el Gobierno ha aportado justificación suficiente, que permite apreciar la existencia de la situación habilitante exigida por el art. 86.1 CE, y que la medida adoptada guarda conexión de sentido en relación a la situación de extraordinaria y urgente necesidad, por lo que procede desestimar, en este punto, la impugnación planteada.</w:t>
      </w:r>
    </w:p>
    <w:p w:rsidR="00163957" w:rsidRDefault="00163957" w:rsidP="00163957">
      <w:pPr>
        <w:pStyle w:val="TextoNormal"/>
      </w:pPr>
    </w:p>
    <w:p w:rsidR="00163957" w:rsidRDefault="00163957" w:rsidP="00163957">
      <w:pPr>
        <w:pStyle w:val="TextoNormal"/>
      </w:pPr>
      <w:r>
        <w:t>Igual suerte ha de correr la queja relativa a la infracción del límite material consistente en la afectación al régimen de las Comunidades Autónomas en la que, según la demanda, incurrirían el artículo 22.2 y la disposición adicional novena, relativos a la constitución del Consejo Territorial de Servicios Sociales y del Sistema para la Autonomía y Atención a la Dependencia, pues ya hemos señalado recientemente [STC 81/2015, de 30 de abril, FJ 6 b)] que este límite “no podría nunca llegar a comprender cualquier medida que de algún modo pudiese afectar a las Comunidades Autónomas, o a una Comunidad Autónoma (y no al ‘régimen de las Comunidades Autónomas’ diseñado en general en la Constitución), pues de ser así, y teniendo en cuenta el desarrollo que ha alcanzado la distribución de competencias entre el Estado y las Comunidades Autónomas esbozada en el título VIII de la Constitución, se haría imposible la utilización de ese instrumento normativo por parte del Gobierno de la Nación, comprometiendo incluso el ejercicio de las funciones que también le asigna esa misma Constitución”. En suma, es claro que una disposición del Gobierno, tendente a reestructurar los instrumentos de cooperación necesarios en el ámbito de la promoción de la autonomía y atención a las personas en situación de dependencia, no persigue una delimitación directa y positiva de las competencias mediante el decreto-ley, pues este límite material no impide cualquier regulación que indirectamente incida en las competencias autonómicas. De otro modo, se vaciarían prácticamente de contenido los ámbitos de regulación sobre los que el Decreto-ley puede proyectarse, puesto que es muy difícil encontrar un objeto normativo en el que no incida de uno u otro modo alguna competencia autonómica (STC 23/1993, de 21 de enero, FJ 2; en el mismo sentido, STC 332/2005, de 15 de diciembre, FJ 8).</w:t>
      </w:r>
    </w:p>
    <w:p w:rsidR="00163957" w:rsidRDefault="00163957" w:rsidP="00163957">
      <w:pPr>
        <w:pStyle w:val="TextoNormal"/>
      </w:pPr>
    </w:p>
    <w:p w:rsidR="00163957" w:rsidRDefault="00163957" w:rsidP="00163957">
      <w:pPr>
        <w:pStyle w:val="TextoNormal"/>
      </w:pPr>
      <w:r>
        <w:t>c) Procede analizar, ahora, la concurrencia del presupuesto de hecho habilitante del art. 86.1 CE en el caso de los arts. 27 y 28 del Real Decreto-ley 20/2012 así como de las disposiciones adicional undécima, transitoria decimocuarta y finales segunda y tercera, que complementan a los anteriores. La remisión a la STC 156/2015, FJ 6, ha de llevarnos a la desestimación del recurso en este punto pues, a la vista de las razones señaladas, tanto en la exposición de motivos de la norma cuestionada como en el debate parlamentario de convalidación, es posible apreciar que se ha explicitado la existencia de una situación de extraordinaria y urgente necesidad por referencia a la concreta coyuntura económica y a la necesidad de propiciar el crecimiento de la productividad y la competencia y lo mismo sucede con el requisito de la conexión de sentido entre la situación de urgencia apreciada por el Gobierno y las medidas adoptadas para hacerle frente por las razones allí expuestas.</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Una vez hemos descartado que los preceptos impugnados hayan vulnerado el art. 86.1 CE, debemos examinar la controversia competencial planteada en relación con los preceptos impugnados, lo que haremos siguiendo el orden en el que se formulan los tres grupos de impugnaciones. La primera es la que se plantea contra los artículos 1, 2 y 8, en relación este último con la disposición transitoria primera, en los que se adoptan medidas dirigidas a </w:t>
      </w:r>
      <w:r>
        <w:lastRenderedPageBreak/>
        <w:t>racionalizar y reducir el gasto público, en el ámbito de los gastos de personal de las Administraciones públicas. El segundo bloque lo componen el artículo 22 y las disposiciones adicionales séptima y novena, disposiciones transitorias octava, novena, décima, undécima, duodécima y disposición final primera, en los que se plantean cuestiones relacionadas con la modificación del sistema para la atención a las personas en situación de dependencia. El tercer bloque lo forman los artículos 27 y 28, y las disposiciones adicionales undécima, disposición transitoria decimocuarta y disposiciones finales segunda y tercera, que modifican el régimen de los horarios comerciales y el de las ventas promocionales.</w:t>
      </w:r>
    </w:p>
    <w:p w:rsidR="00163957" w:rsidRDefault="00163957" w:rsidP="00163957">
      <w:pPr>
        <w:pStyle w:val="TextoNormal"/>
      </w:pPr>
    </w:p>
    <w:p w:rsidR="00163957" w:rsidRDefault="00163957" w:rsidP="00163957">
      <w:pPr>
        <w:pStyle w:val="TextoNormal"/>
      </w:pPr>
      <w:r>
        <w:t xml:space="preserve">a) Comenzando por las impugnaciones de los artículos 1, 2 y 8 examinaremos en primer lugar la relativa al artículo 1, precepto que establece un régimen de incompatibilidades de pensiones indemnizatorias, prestaciones compensatorias y percepciones similares percibidas como consecuencia del cese de cualquier cargo, puesto o actividad en el sector público y cualquier otra retribución con cargo a los presupuestos públicos. La norma se aprueba con carácter básico </w:t>
      </w:r>
      <w:r w:rsidRPr="00163957">
        <w:rPr>
          <w:i/>
        </w:rPr>
        <w:t>ex</w:t>
      </w:r>
      <w:r>
        <w:t xml:space="preserve"> arts. 149.1.13 y 156.1 CE y se extiende al conjunto de las personas que se encuentren en la citada situación, en el ámbito tanto de las instituciones y administraciones estatales, como de las autonómicas y locales.</w:t>
      </w:r>
    </w:p>
    <w:p w:rsidR="00163957" w:rsidRDefault="00163957" w:rsidP="00163957">
      <w:pPr>
        <w:pStyle w:val="TextoNormal"/>
      </w:pPr>
    </w:p>
    <w:p w:rsidR="00163957" w:rsidRDefault="00163957" w:rsidP="00163957">
      <w:pPr>
        <w:pStyle w:val="TextoNormal"/>
      </w:pPr>
      <w:r>
        <w:t>La representación procesal de la Generalitat de Cataluña considera que la totalidad del precepto no encuentra fundamento en el art. 149.1.13 CE y, por el contrario, vulnera la potestad de autoorganización inherente a su autonomía política, pues estima que la adopción de una medida de estas características para los altos cargos de las instituciones de autogobierno de Cataluña ha de ser adoptada, en su caso, por la propia Generalitat. El Abogado del Estado ha defendido la desestimación del recurso, considerando que la razón de ser de la medida es el ahorro de gasto público siendo además una exigencia derivada del principio de solidaridad y relacionada con los sacrificios que se imponen al resto del personal del sector público.</w:t>
      </w:r>
    </w:p>
    <w:p w:rsidR="00163957" w:rsidRDefault="00163957" w:rsidP="00163957">
      <w:pPr>
        <w:pStyle w:val="TextoNormal"/>
      </w:pPr>
    </w:p>
    <w:p w:rsidR="00163957" w:rsidRDefault="00163957" w:rsidP="00163957">
      <w:pPr>
        <w:pStyle w:val="TextoNormal"/>
      </w:pPr>
      <w:r>
        <w:t>La impugnación del artículo 1, dados los términos en los que se formula, ha de entenderse circunscrita a la titularidad de la competencia para adoptar la medida incluida en el precepto en relación con “los altos cargos de las instituciones de autogobierno de Catalunya”, pues es así como se formula en la demanda y se deriva, además, de la tacha competencial que se plantea, relacionada con la organización de las instituciones propias de autogobierno de la Comunidad Autónoma.</w:t>
      </w:r>
    </w:p>
    <w:p w:rsidR="00163957" w:rsidRDefault="00163957" w:rsidP="00163957">
      <w:pPr>
        <w:pStyle w:val="TextoNormal"/>
      </w:pPr>
    </w:p>
    <w:p w:rsidR="00163957" w:rsidRDefault="00163957" w:rsidP="00163957">
      <w:pPr>
        <w:pStyle w:val="TextoNormal"/>
      </w:pPr>
      <w:r>
        <w:t>Para resolver esa controversia hemos de delimitar el alcance de la potestad que se dice vulnerada, la organización de las instituciones propias de autogobierno, para comprobar si la misma puede verse limitada, en este caso, por la decisión estatal que se afirma dictada al amparo de los arts. 149.1.13 y 156.1 CE.</w:t>
      </w:r>
    </w:p>
    <w:p w:rsidR="00163957" w:rsidRDefault="00163957" w:rsidP="00163957">
      <w:pPr>
        <w:pStyle w:val="TextoNormal"/>
      </w:pPr>
    </w:p>
    <w:p w:rsidR="00163957" w:rsidRDefault="00163957" w:rsidP="00163957">
      <w:pPr>
        <w:pStyle w:val="TextoNormal"/>
      </w:pPr>
      <w:r>
        <w:t xml:space="preserve">De nuestra doctrina (por todas, STC 76/1983, de 5 de agosto, FJ 38) deriva que a la expresión “instituciones de autogobierno” no puede asignársele un alcance mayor que el que deriva de la Constitución (art. 152.1) y del propio Estatuto (art. 2.2), que puede crear otras en la medida en que lo juzgue necesario para su autogobierno, siempre que no se infrinjan las previsiones constitucionales (por todas, STC 247/2007, de 12 de diciembre, FJ 12). Así, la mencionada competencia ha de entenderse referida, por </w:t>
      </w:r>
      <w:r w:rsidRPr="00163957">
        <w:rPr>
          <w:i/>
        </w:rPr>
        <w:t>mor</w:t>
      </w:r>
      <w:r>
        <w:t xml:space="preserve"> del mencionado art. 2.2 EAC, a la organización del Parlamento, la Presidencia de la Generalitat, el Gobierno y las demás instituciones que establece el capítulo V del título II (Consejo de Garantías </w:t>
      </w:r>
      <w:r>
        <w:lastRenderedPageBreak/>
        <w:t>Estatutarias, Sindic de Greuges, Sindicatura de Cuentas y Consejo Audiovisual de Cataluña), sin que se extienda a la organización de la respectiva Administración pública y el régimen estatutario de sus funcionarios.</w:t>
      </w:r>
    </w:p>
    <w:p w:rsidR="00163957" w:rsidRDefault="00163957" w:rsidP="00163957">
      <w:pPr>
        <w:pStyle w:val="TextoNormal"/>
      </w:pPr>
    </w:p>
    <w:p w:rsidR="00163957" w:rsidRDefault="00163957" w:rsidP="00163957">
      <w:pPr>
        <w:pStyle w:val="TextoNormal"/>
      </w:pPr>
      <w:r>
        <w:t>Así delimitada, dicha competencia para determinar la organización y el funcionamiento de las instituciones de autogobierno de la Comunidad Autónoma deriva de que son los Estatutos de Autonomía, en virtud de lo dispuesto en el art. 147.2 CE, los que han de determinar tanto la organización de las propias instituciones como las competencias que éstas han de ejercer, con las limitaciones derivadas de las competencias reservadas al Estado (STC 159/1991, de 18 de julio, FJ 4). Como también señala nuestra doctrina (entre otras, STC 196/2011, de 13 de diciembre, FJ 5) no puede afectar a las competencias (o potestades o funciones dentro de las mismas) sobre las materias o submaterias reservadas al Estado, que se proyectarán, cuando corresponda, sobre dichas competencias autonómicas con el alcance que les haya otorgado el legislador estatal con plena libertad de configuración.</w:t>
      </w:r>
    </w:p>
    <w:p w:rsidR="00163957" w:rsidRDefault="00163957" w:rsidP="00163957">
      <w:pPr>
        <w:pStyle w:val="TextoNormal"/>
      </w:pPr>
    </w:p>
    <w:p w:rsidR="00163957" w:rsidRDefault="00163957" w:rsidP="00163957">
      <w:pPr>
        <w:pStyle w:val="TextoNormal"/>
      </w:pPr>
      <w:r>
        <w:t>Lo que hemos de determinar ahora es si el art. 149.1.13 CE proporciona cobertura a la medida adoptada o, por el contrario, como se sostiene en la demanda, la medida estatal no puede aplicarse a tales instituciones autonómicas, por cuanto quebrantaría la competencia en materia de régimen de organización de su autogobierno que, como tenemos declarado, se extiende exclusivamente a la organización política fundamental de la Comunidad Autónoma en los términos antes expuestos, sin afectar a la simple organización administrativa.</w:t>
      </w:r>
    </w:p>
    <w:p w:rsidR="00163957" w:rsidRDefault="00163957" w:rsidP="00163957">
      <w:pPr>
        <w:pStyle w:val="TextoNormal"/>
      </w:pPr>
    </w:p>
    <w:p w:rsidR="00163957" w:rsidRDefault="00163957" w:rsidP="00163957">
      <w:pPr>
        <w:pStyle w:val="TextoNormal"/>
      </w:pPr>
      <w:r>
        <w:t xml:space="preserve">Nuestra doctrina (STC 94/2015, de 14 de mayo) ha señalado la directa relación existente entre la fijación de las retribuciones del personal al servicio de las Administraciones públicas y la fijación de la política económica general por parte del Estado, de manera que este Tribunal ha entendido que las medidas de limitación de las retribuciones adoptadas por el Estado deben analizarse desde la perspectiva de los arts. 149.1.13 y 156.1 CE. Así, hemos señalado que aunque no cabe duda de que con esas decisiones se incide en la autonomía presupuestaria de las Comunidades Autónomas, su legitimidad constitucional debe ser admitida. En efecto, hemos destacado la vinculación directa de estos límites con la fijación de la política económica general por parte del Estado </w:t>
      </w:r>
      <w:r w:rsidRPr="00163957">
        <w:rPr>
          <w:i/>
        </w:rPr>
        <w:t>ex</w:t>
      </w:r>
      <w:r>
        <w:t xml:space="preserve"> art. 149.1.13 CE (STC 96/1990, de 24 de mayo, FJ 3) por cuanto se trata de una medida dirigida a contener la expansión relativa de uno de los componentes esenciales del gasto público (STC 63/1986, de 21 de mayo, FJ 11), sin que quepa olvidar que dicha autonomía financiera de las Comunidades Autónomas la concibe nuestra Constitución “con arreglo a los principios de coordinación con la Hacienda estatal y de solidaridad entre todos los españoles” (art. 156.1 CE) precepto éste desarrollado en el art. 2.1 b) de la Ley Orgánica de financiación de las Comunidades Autónomas (LOFCA), de modo que la incidencia en la autonomía financiera y presupuestaria de las Comunidades Autónomas está directamente relacionada con la responsabilidad del Estado de garantizar el equilibrio económico general (SSTC 171/1996, de 30 de octubre, FJ 2; y 103/1997, de 22 de mayo, FJ 1). De ello se deriva la idoneidad de que tales límites se contengan en la Ley de presupuestos generales del Estado en cuanto vehículo de dirección y orientación de la política general que corresponde al Gobierno de la Nación (STC 171/1996, de 30 de octubre, FJ 2). Lo cual, en fin, no sólo justifica que el Estado pueda establecer topes máximos a los incrementos retributivos de los funcionarios autonómicos, sino que pueda decantarse por la congelación salarial en un ejercicio concreto (caso examinado en la STC 94/2015), o por la reducción o supresión de un determinado concepto retributivo en un </w:t>
      </w:r>
      <w:r>
        <w:lastRenderedPageBreak/>
        <w:t>ejercicio presupuestario (así, en las ya citadas STC 81/2015, respecto a la paga extraordinaria del mes de diciembre de 2012, y STC 215/2015, en cuanto a la realización de aportaciones a planes de pensiones o contratos de seguro colectivos durante el año 2012).</w:t>
      </w:r>
    </w:p>
    <w:p w:rsidR="00163957" w:rsidRDefault="00163957" w:rsidP="00163957">
      <w:pPr>
        <w:pStyle w:val="TextoNormal"/>
      </w:pPr>
    </w:p>
    <w:p w:rsidR="00163957" w:rsidRDefault="00163957" w:rsidP="00163957">
      <w:pPr>
        <w:pStyle w:val="TextoNormal"/>
      </w:pPr>
      <w:r>
        <w:t>Sin embargo, el caso que ahora analizamos difiere de los anteriores en cuanto que esta medida de limitación de gasto se aplica a quienes no forman parte, conforme ha quedado expuesto, del personal al servicio de la Administración de la Comunidad Autónoma y, además, no se refiere a una limitación en las retribuciones con ocasión del desempeño del cargo. La norma cuestionada tiene un objeto distinto, al regular la incompatibilidad de pensiones indemnizatorias, prestaciones compensatorias y cualquier otra percepción económica prevista con ocasión del cese en cualquier cargo, puesto o actividad en el sector público, en el sentido de que únicamente puedan cobrarlas si no realizan ninguna otra actividad remunerada en el sector público o privado o no perciben pensión de jubilación o retiro.</w:t>
      </w:r>
    </w:p>
    <w:p w:rsidR="00163957" w:rsidRDefault="00163957" w:rsidP="00163957">
      <w:pPr>
        <w:pStyle w:val="TextoNormal"/>
      </w:pPr>
    </w:p>
    <w:p w:rsidR="00163957" w:rsidRDefault="00163957" w:rsidP="00163957">
      <w:pPr>
        <w:pStyle w:val="TextoNormal"/>
      </w:pPr>
      <w:r>
        <w:t>A juicio del Abogado del Estado, el fundamento de la adopción de esta medida es la contención del gasto público, a lo que cabe añadir, siguiendo la exposición de motivos de la norma, elemento a tener en cuenta en la interpretación de las leyes (SSTC 36/1981, de 12 de noviembre, FJ 7, y 150/1990, de 4 de octubre, FJ 2, entre otras), que su establecimiento se fundamenta en lo que se califica como razones de justicia que “justifican que estas medidas se extiendan a todos los servidores públicos con independencia de la naturaleza de la entidad de la que dependen y de su estatuto. La universalidad que fundamenta esta reforma evita la discriminación entre grupos y sectores”. No obstante, pese a que esta última razón pudiera ser atendible así como el hecho de que esa incompatibilidad pueda resultar, a juicio del Gobierno, deseable o recomendable, no significa que pueda establecerse por cualquier medio, sino que en su establecimiento deben respetarse las competencias de las Comunidades Autónomas, que es lo que corresponde valorar aquí.</w:t>
      </w:r>
    </w:p>
    <w:p w:rsidR="00163957" w:rsidRDefault="00163957" w:rsidP="00163957">
      <w:pPr>
        <w:pStyle w:val="TextoNormal"/>
      </w:pPr>
    </w:p>
    <w:p w:rsidR="00163957" w:rsidRDefault="00163957" w:rsidP="00163957">
      <w:pPr>
        <w:pStyle w:val="TextoNormal"/>
      </w:pPr>
      <w:r>
        <w:t>Recordaremos ahora que este Tribunal ha admitido la posibilidad de establecer esta suerte de restricciones a la autonomía financiera de las Comunidades Autónomas por fundamentar su carácter básico en el art. 149.1.13 CE y, al mismo tiempo, en el límite a la autonomía financiera que establece el principio de coordinación con la Hacienda estatal del art. 156.1 CE. La adopción de limitaciones a la autonomía financiera de las Comunidades Autónomas no supone, naturalmente, que quede a la entera disponibilidad del Estado el alcance e intensidad de tales restricciones, sino que las decisiones que el Estado adopte con base en el art. 149.1.13 CE deben ceñirse a aquellos aspectos estrictamente indispensables para la consecución de los fines de política económica que aquéllas persigan (entre otras muchas, SSTC 152/1988, FJ 4, y 201/1988, FJ 2).</w:t>
      </w:r>
    </w:p>
    <w:p w:rsidR="00163957" w:rsidRDefault="00163957" w:rsidP="00163957">
      <w:pPr>
        <w:pStyle w:val="TextoNormal"/>
      </w:pPr>
    </w:p>
    <w:p w:rsidR="00163957" w:rsidRDefault="00163957" w:rsidP="00163957">
      <w:pPr>
        <w:pStyle w:val="TextoNormal"/>
      </w:pPr>
      <w:r>
        <w:t xml:space="preserve">La norma recurrida resulta, de acuerdo con nuestra doctrina, justificada desde el punto de vista de la autonomía financiera, en la medida en que existe una relación entre esa medida de contención del gasto y la dirección de la política económica general, concretada en el cumplimiento de los compromisos de estabilidad presupuestaria y reducción del déficit público en un momento de especiales dificultades económicas. Aun estando en presencia de una medida afectante a la citada autonomía financiera no puede afirmarse, sin embargo, que dicha injerencia lo sea de una manera inconstitucional, pues el cumplimiento de los objetivos de déficit y de endeudamiento al que debe dirigirse la actuación de todas las Administraciones públicas representa una cuestión de interés general de extraordinaria importancia, respecto de cuya consecución el Estado es el garante último (arts. 128.1, 131.1 y 2, y 138.1 </w:t>
      </w:r>
      <w:r>
        <w:lastRenderedPageBreak/>
        <w:t xml:space="preserve">CE), pudiendo articular, en los términos de nuestra doctrina, las medidas que estime procedentes para la consecución de dicho objetivo. En este sentido, la STC 215/2014, de 18 de diciembre, destaca que la estabilidad presupuestaria es actualmente un principio constitucional que vincula a todos los poderes públicos y que, “en su sentido principal, queda fuera de la disponibilidad —de la competencia— del Estado y de las Comunidades Autónomas” (art. 135.1 CE y SSTC, por todas 157/2011, FJ 3, y 188/2011, de 23 de noviembre, FJ 3), correspondiendo en todo caso al Estado, en el ejercicio de sus facultades de dirección general de la actividad económica (art. 149.1.13 CE) y como titular de la potestad de coordinación de las haciendas autonómicas (art. 156.1 CE), la función de garante último y responsable </w:t>
      </w:r>
      <w:r w:rsidRPr="00163957">
        <w:rPr>
          <w:i/>
        </w:rPr>
        <w:t>ad extra</w:t>
      </w:r>
      <w:r>
        <w:t xml:space="preserve"> del cumplimiento de los objetivos de estabilidad presupuestaria.</w:t>
      </w:r>
    </w:p>
    <w:p w:rsidR="00163957" w:rsidRDefault="00163957" w:rsidP="00163957">
      <w:pPr>
        <w:pStyle w:val="TextoNormal"/>
      </w:pPr>
    </w:p>
    <w:p w:rsidR="00163957" w:rsidRDefault="00163957" w:rsidP="00163957">
      <w:pPr>
        <w:pStyle w:val="TextoNormal"/>
      </w:pPr>
      <w:r>
        <w:t>En todo caso, cumple advertir que el apartado 2 del precepto, en cuanto dispone la incompatibilidad de las indemnizaciones con la percepción de la pensión de jubilación o retiro por derechos pasivos, o por cualquier régimen de seguridad social público y obligatorio, puede ser adoptado por el Estado en el ejercicio de sus competencias sobre régimen económico de la Seguridad Social (art. 149.1.17 CE).</w:t>
      </w:r>
    </w:p>
    <w:p w:rsidR="00163957" w:rsidRDefault="00163957" w:rsidP="00163957">
      <w:pPr>
        <w:pStyle w:val="TextoNormal"/>
      </w:pPr>
    </w:p>
    <w:p w:rsidR="00163957" w:rsidRDefault="00163957" w:rsidP="00163957">
      <w:pPr>
        <w:pStyle w:val="TextoNormal"/>
      </w:pPr>
      <w:r>
        <w:t>Por lo demás, esta exigencia tampoco afecta a la autoorganización de la Comunidad Autónoma recurrente en la medida en que no altera a la estructura y funcionamiento de sus instituciones y órganos, sino que se refiere a una cuestión que, en rigor, no tiene que ver con dichas instituciones sino con una cuestión relacionada con el régimen de incompatibilidades de los cargos públicos, concretamente el aplicable a las retribuciones con motivo del cese en el ejercicio de determinadas posiciones de responsabilidad. Desde ese punto de vista, la norma impugnada no quebranta la competencia autonómica en materia de régimen de organización de su autogobierno, que nuestra doctrina ha identificado con la potestad de las comunidades autónomas para crear, modificar y suprimir los órganos, unidades administrativas o entidades que configuran la respectiva Administración autonómica o dependen de ella (STC 55/1999, de 6 de mayo, FJ 3, y las que allí se citan), sino que tan solo determina el marco presupuestario en el que la Comunidad Autónoma ha de ejercer su actividad, como señala la STC 196/2011, de 13 de diciembre, FJ 7.</w:t>
      </w:r>
    </w:p>
    <w:p w:rsidR="00163957" w:rsidRDefault="00163957" w:rsidP="00163957">
      <w:pPr>
        <w:pStyle w:val="TextoNormal"/>
      </w:pPr>
    </w:p>
    <w:p w:rsidR="00163957" w:rsidRDefault="00163957" w:rsidP="00163957">
      <w:pPr>
        <w:pStyle w:val="TextoNormal"/>
      </w:pPr>
      <w:r>
        <w:t>En conclusión, debemos desestimar el recurso en este punto.</w:t>
      </w:r>
    </w:p>
    <w:p w:rsidR="00163957" w:rsidRDefault="00163957" w:rsidP="00163957">
      <w:pPr>
        <w:pStyle w:val="TextoNormal"/>
      </w:pPr>
    </w:p>
    <w:p w:rsidR="00163957" w:rsidRDefault="00163957" w:rsidP="00163957">
      <w:pPr>
        <w:pStyle w:val="TextoNormal"/>
      </w:pPr>
      <w:r>
        <w:t>b) Respecto a la impugnación del artículo 2 hemos de señalar, en primer lugar, que las tachas que se formulan al artículo 2 se refieren únicamente a sus apartados 2, relativo a las reglas para hacer efectiva la supresión de la paga correspondiente al mes de diciembre de 2012, y 4, que dispone que las cantidades derivadas de la supresión de la paga se destinarán en ejercicios futuros a realizar aportaciones a planes de pensiones o seguros colectivos, de conformidad con lo que determine la correspondiente ley de presupuestos y de acuerdo con la Ley Orgánica 2/2012, de 27 de abril, de estabilidad presupuestaria y sostenibilidad financiera.</w:t>
      </w:r>
    </w:p>
    <w:p w:rsidR="00163957" w:rsidRDefault="00163957" w:rsidP="00163957">
      <w:pPr>
        <w:pStyle w:val="TextoNormal"/>
      </w:pPr>
    </w:p>
    <w:p w:rsidR="00163957" w:rsidRDefault="00163957" w:rsidP="00163957">
      <w:pPr>
        <w:pStyle w:val="TextoNormal"/>
      </w:pPr>
      <w:r>
        <w:t xml:space="preserve">La Generalitat de Cataluña, admitiendo la legitimidad constitucional </w:t>
      </w:r>
      <w:r w:rsidRPr="00163957">
        <w:rPr>
          <w:i/>
        </w:rPr>
        <w:t>ex</w:t>
      </w:r>
      <w:r>
        <w:t xml:space="preserve"> arts. 149.1.13 y 156 CE de la medida de reducción de retribuciones de los empleados públicos, considera que el establecimiento de los mecanismos concretos y el procedimiento para llevarla a cabo no tiene encaje en el referido título competencial y tampoco lo tendría la obligación de las Administraciones públicas de realizar aportaciones a planes de pensiones o seguros colectivos con la finalidad de compensar las aludidas restricciones retributivas, lo que, además, </w:t>
      </w:r>
      <w:r>
        <w:lastRenderedPageBreak/>
        <w:t>crearía un compromiso de gasto que limitaría su autonomía financiera. El Abogado del Estado ha negado tales vulneraciones sosteniendo que ambas decisiones se relacionan directamente con la eficacia de la medida de reducción salarial, reclamada por las circunstancias derivadas de la situación de crisis económica.</w:t>
      </w:r>
    </w:p>
    <w:p w:rsidR="00163957" w:rsidRDefault="00163957" w:rsidP="00163957">
      <w:pPr>
        <w:pStyle w:val="TextoNormal"/>
      </w:pPr>
    </w:p>
    <w:p w:rsidR="00163957" w:rsidRDefault="00163957" w:rsidP="00163957">
      <w:pPr>
        <w:pStyle w:val="TextoNormal"/>
      </w:pPr>
      <w:r>
        <w:t>Nuestro examen ha de comenzar por señalar que, como dejó sentado la STC 81/2015, FJ 8, la medida de reducción salarial responde, por su naturaleza y contenido, al legítimo ejercicio de las competencias que al Estado atribuye el art. 149.1.13 CE. En cuanto a la queja que específicamente se formula al artículo 2.2, como apunta el Abogado del Estado, se trata de reglas necesarias para asegurar la efectividad de la decisión estatal tendente a la contención de los gastos de personal de las Administraciones públicas. En un sentido similar al examinado en la STC 141/2014, de 11 de septiembre, FJ 8 A c), C) y D) d), son normas con vocación de vigencia temporal que responden a la estricta y limitada finalidad de garantizar la efectividad de la regulación establecida legítimamente en ejercicio de competencias del Estado, en la medida en que persigue asegurar la minoración de retribuciones del personal del sector público para así reducir uno de los componentes fundamentales del gasto público en un contexto de exigente contención del mismo.</w:t>
      </w:r>
    </w:p>
    <w:p w:rsidR="00163957" w:rsidRDefault="00163957" w:rsidP="00163957">
      <w:pPr>
        <w:pStyle w:val="TextoNormal"/>
      </w:pPr>
    </w:p>
    <w:p w:rsidR="00163957" w:rsidRDefault="00163957" w:rsidP="00163957">
      <w:pPr>
        <w:pStyle w:val="TextoNormal"/>
      </w:pPr>
      <w:r>
        <w:t>Es, en suma, una norma instrumental de complemento y garantía de la eficacia de la norma principal establecida por el Estado, por lo que procede afirmar que el artículo 2.2 no es contrario a la distribución competencial que perfila nuestro texto constitucional.</w:t>
      </w:r>
    </w:p>
    <w:p w:rsidR="00163957" w:rsidRDefault="00163957" w:rsidP="00163957">
      <w:pPr>
        <w:pStyle w:val="TextoNormal"/>
      </w:pPr>
    </w:p>
    <w:p w:rsidR="00163957" w:rsidRDefault="00163957" w:rsidP="00163957">
      <w:pPr>
        <w:pStyle w:val="TextoNormal"/>
      </w:pPr>
      <w:r>
        <w:t>En cuanto al artículo 2.4 no puede ser considerado contrario a las competencias autonómicas o a la autonomía financiera de la Comunidad Autónoma, dado que el mandato a las Administraciones públicas para que realicen aportaciones a planes de pensiones o seguros colectivos, con la finalidad de compensar las reducciones retributivas previstas en el apartado 1 del mismo artículo 2, tiene un carácter genérico y su ejecución queda sometida al cumplimiento de los objetivos de estabilidad presupuestaria y a su posible incorporación a las correspondientes leyes de presupuestos. No existe, pues, la imposición por parte de la norma estatal en la que la demanda fundamenta la vulneración competencial, por cuanto, en su tenor literal (“en los términos y con el alcance que se determine en las correspondientes leyes de presupuestos”) supone reconocer al legislador, en este caso autonómico, un margen para decidir cuando esas aportaciones resultan procedentes y en qué cuantía (en un sentido similar, STC 49/2015, de 5 de marzo, FJ 5, allí por referencia a la actualización de pensiones). Será entonces la correspondiente ley de presupuestos la que, caso de estimarse procedente, determinará la citada compensación, con sujeción en todo caso a las exigencias derivadas de la estabilidad presupuestaria. Por tanto, en la medida en que los presupuestos autonómicos gozan de libertad, en los términos expuestos, para decidir sobre la procedencia de la medida, no queda sino excluir la vulneración competencial denunciada.</w:t>
      </w:r>
    </w:p>
    <w:p w:rsidR="00163957" w:rsidRDefault="00163957" w:rsidP="00163957">
      <w:pPr>
        <w:pStyle w:val="TextoNormal"/>
      </w:pPr>
    </w:p>
    <w:p w:rsidR="00163957" w:rsidRDefault="00163957" w:rsidP="00163957">
      <w:pPr>
        <w:pStyle w:val="TextoNormal"/>
      </w:pPr>
      <w:r>
        <w:t xml:space="preserve">c) La impugnación del artículo 8 ha de ser desestimada, en atención a la doctrina que este Tribunal ha establecido en la STC 156/2015, FJ 8, en el que, tras encuadrar la cuestión controvertida en la materia sobre el régimen estatutario de los funcionarios públicos y analizar las competencias estatales y autonómicas en relación con los permisos y vacaciones de los funcionarios comunes a todas las Administraciones públicas llegamos a la conclusión de que la regulación del art. 8 del Real Decreto-ley 20/2012 halla su fundamento en la competencia del Estado sobre las bases del régimen de derechos y deberes de los funcionarios </w:t>
      </w:r>
      <w:r>
        <w:lastRenderedPageBreak/>
        <w:t>públicos (art. 149.1.18 CE) y posibilita un margen de desarrollo a las Comunidades Autónomas, en los términos que allí quedaron expuestos.</w:t>
      </w:r>
    </w:p>
    <w:p w:rsidR="00163957" w:rsidRDefault="00163957" w:rsidP="00163957">
      <w:pPr>
        <w:pStyle w:val="TextoNormal"/>
      </w:pPr>
    </w:p>
    <w:p w:rsidR="00163957" w:rsidRDefault="00163957" w:rsidP="00163957">
      <w:pPr>
        <w:pStyle w:val="TextoNormal"/>
      </w:pPr>
      <w:r w:rsidRPr="00163957">
        <w:rPr>
          <w:rStyle w:val="NumeroAFNegritaCaracter"/>
        </w:rPr>
        <w:t>7</w:t>
      </w:r>
      <w:r>
        <w:t>. Cumple ahora resolver la impugnación competencial del artículo 22 y las disposiciones adicionales séptima y novena, disposiciones transitorias octava, novena, décima, undécima, duodécima y disposición final primera, en los que se plantean cuestiones relacionadas con la modificación del sistema para la atención a las personas en situación de dependencia establecido en la Ley 39/2006.</w:t>
      </w:r>
    </w:p>
    <w:p w:rsidR="00163957" w:rsidRDefault="00163957" w:rsidP="00163957">
      <w:pPr>
        <w:pStyle w:val="TextoNormal"/>
      </w:pPr>
    </w:p>
    <w:p w:rsidR="00163957" w:rsidRDefault="00163957" w:rsidP="00163957">
      <w:pPr>
        <w:pStyle w:val="TextoNormal"/>
      </w:pPr>
      <w:r>
        <w:t xml:space="preserve">La demanda considera que el sistema de ayudas a la dependencia forma parte de la materia servicios sociales que el art. 166.1 EAC atribuye a la competencia exclusiva de la Generalitat, sin que el Estado se encuentre habilitado </w:t>
      </w:r>
      <w:r w:rsidRPr="00163957">
        <w:rPr>
          <w:i/>
        </w:rPr>
        <w:t>ex</w:t>
      </w:r>
      <w:r>
        <w:t xml:space="preserve"> art. 149.1.1 CE para llevar a cabo una regulación exhaustiva y completa del sistema de dependencia como la que entiende que realizan los preceptos impugnados. Así, sostiene que la naturaleza del sistema de atención a la dependencia  se ha modificado una vez que el Estado habría roto, al suspender su aportación económica al nivel de protección acordado, el marco de cooperación en el que se basa la Ley 39/2006, con el resultado de que, una vez quebrado dicho marco, el Estado no podría seguir manteniendo en sus propios términos la regulación del sistema de atención a la dependencia ya que con ello se condicionarían las exclusivas competencias autonómicas en materia de asistencia social. El Abogado del Estado ha negado la vulneración competencial denunciada señalando que, además del art. 149.1.1 CE, las competencias estatales de los arts. 149.1.13 y 17 CE fundamentarían las normas impugnadas.</w:t>
      </w:r>
    </w:p>
    <w:p w:rsidR="00163957" w:rsidRDefault="00163957" w:rsidP="00163957">
      <w:pPr>
        <w:pStyle w:val="TextoNormal"/>
      </w:pPr>
    </w:p>
    <w:p w:rsidR="00163957" w:rsidRDefault="00163957" w:rsidP="00163957">
      <w:pPr>
        <w:pStyle w:val="TextoNormal"/>
      </w:pPr>
      <w:r>
        <w:t>a) Al objeto de situar adecuadamente los términos del debate trabado entre las partes es conveniente hacer una, siquiera sucinta, referencia a la Ley 39/2006, norma que se afirma dictada “al amparo de la competencia exclusiva del Estado para regular las condiciones básicas que garanticen la igualdad de todos los españoles en el ejercicio de los derechos y el cumplimiento de los deberes constitucionales, conforme al artículo 149.1.1 de la Constitución”, según reza su disposición final octava. La atención a las personas en situación de dependencia y la promoción de su autonomía personal se define por la Ley 39/2006 como “una nueva modalidad de protección social que amplía y complementa la acción protectora del Estado y del Sistema de la Seguridad Social”. Así configura un derecho subjetivo de los beneficiarios al que se accede mediante la aplicación de un baremo o escala de valoración de la persona dependiente y que se fundamenta en los principios de universalidad, equidad y accesibilidad, desarrollando un modelo de atención integral al ciudadano, a través del sistema de atención a la dependencia, que administrativamente se organiza en tres niveles y que universaliza el acceso a una red pública de servicios descentralizada en su gestión, pero que responderá a una acción coordinada y cooperativa de la Administración general del Estado y las Comunidades Autónomas, con la participación, en su caso, de las entidades locales. (arts. 1 y 6).</w:t>
      </w:r>
    </w:p>
    <w:p w:rsidR="00163957" w:rsidRDefault="00163957" w:rsidP="00163957">
      <w:pPr>
        <w:pStyle w:val="TextoNormal"/>
      </w:pPr>
    </w:p>
    <w:p w:rsidR="00163957" w:rsidRDefault="00163957" w:rsidP="00163957">
      <w:pPr>
        <w:pStyle w:val="TextoNormal"/>
      </w:pPr>
      <w:r>
        <w:t>Asimismo la necesaria cooperación entre Administraciones se concreta en la creación de un consejo territorial, en el que podrán participar las corporaciones locales y la aprobación de un marco de cooperación interadministrativa a desarrollar mediante convenios con cada una de las Comunidades Autónomas.</w:t>
      </w:r>
    </w:p>
    <w:p w:rsidR="00163957" w:rsidRDefault="00163957" w:rsidP="00163957">
      <w:pPr>
        <w:pStyle w:val="TextoNormal"/>
      </w:pPr>
    </w:p>
    <w:p w:rsidR="00163957" w:rsidRDefault="00163957" w:rsidP="00163957">
      <w:pPr>
        <w:pStyle w:val="TextoNormal"/>
      </w:pPr>
      <w:r>
        <w:t xml:space="preserve">Las prestaciones del sistema de atención a la dependencia  pueden tener naturaleza de servicios o de prestaciones económicas y se describen en los arts. 15 a 25 de la Ley 39/2006. </w:t>
      </w:r>
      <w:r>
        <w:lastRenderedPageBreak/>
        <w:t>El catálogo de servicios se recoge en el art. 15 de la Ley (aparte de lo previsto en el art. 14 de la Ley 16/2003, de 28 de mayo, de cohesión y calidad del sistema nacional de salud), y son los siguientes: (i) servicios de prevención de las situaciones de dependencia y de promoción de la autonomía personal; (ii) servicio de tele-asistencia; (iii) servicio de ayuda a domicilio (atención de las necesidades del hogar y cuidados personales); (iv) servicio de centro de día y de noche (centro de día para mayores, centro de día para menores de 65 años, centro de día de atención especializada, y centro de noche); y (v) servicio de atención residencial (residencia de personas mayores en situación de dependencia, centro de atención a personas en situación de dependencia). Por su parte, las prestaciones económicas se contienen en los artículos 17 y siguientes de la Ley y son las siguientes: vinculada a la adquisición de un servicio cuando no sea posible el acceso a un servicio público o concertado de atención y cuidado, en función del grado de dependencia y de la capacidad económica del beneficiario (art. 17); para cuidados en el entorno familiar y apoyo a cuidadores no profesionales de asistencia personal (art. 18) y de asistencia personal, que tiene como finalidad la promoción de la autonomía de las personas en situación de dependencia, mediante la contratación de una asistencia personal, durante un número de horas, que facilite al beneficiario el acceso a la educación y al trabajo, así como una vida más autónoma en el ejercicio de las actividades básicas de la vida diaria (art. 19).</w:t>
      </w:r>
    </w:p>
    <w:p w:rsidR="00163957" w:rsidRDefault="00163957" w:rsidP="00163957">
      <w:pPr>
        <w:pStyle w:val="TextoNormal"/>
      </w:pPr>
    </w:p>
    <w:p w:rsidR="00163957" w:rsidRDefault="00163957" w:rsidP="00163957">
      <w:pPr>
        <w:pStyle w:val="TextoNormal"/>
      </w:pPr>
      <w:r>
        <w:t>La Ley 39/2006 establece un nivel mínimo de protección, definido y garantizado financieramente por la Administración general del Estado en los términos del artículo 9, para lo que destina la pertinente dotación presupuestaria en la Ley anual de presupuestos (art. 32.2 y disposición adicional primera). Asimismo, como un segundo nivel de protección, la Ley contempla un régimen de cooperación y financiación entre la Administración general del Estado y las Comunidades Autónomas mediante convenios para el desarrollo y aplicación de las demás prestaciones y servicios que se contemplan en la Ley 39/2006, introduciendo la previsión, actualmente suspendida en su vigencia, de que durante el período comprendido entre el 1 de enero de 2007 y el 31 de diciembre de 2015, la Administración general del Estado establecerá anualmente en sus presupuestos créditos para la celebración de los convenios con las administraciones de las Comunidades Autónomas de acuerdo con el art. 10 de esta Ley [arts. 7.2, 8.2 a), 10, 32.3 y disposición transitoria primera]. Finalmente, las Comunidades Autónomas podrán desarrollar, si así lo estiman oportuno, un tercer nivel adicional de protección a los ciudadanos, en los términos de los arts. 7.3 y 11.2 de la Ley 39/2006.</w:t>
      </w:r>
    </w:p>
    <w:p w:rsidR="00163957" w:rsidRDefault="00163957" w:rsidP="00163957">
      <w:pPr>
        <w:pStyle w:val="TextoNormal"/>
      </w:pPr>
    </w:p>
    <w:p w:rsidR="00163957" w:rsidRDefault="00163957" w:rsidP="00163957">
      <w:pPr>
        <w:pStyle w:val="TextoNormal"/>
      </w:pPr>
      <w:r>
        <w:t>b) Siendo ese el objeto y finalidad de la Ley 39/2006 no cabe duda de que encaja materialmente en el ámbito de la “asistencia social”, lo que ha de llevarnos a descartar ya la aplicación del título competencial del art. 149.1.17 CE, sugerida por el Abogado del Estado, no sólo por haber sido expresamente excluido por el legislador estatal, al invocar exclusivamente el art. 149.1.1 CE y referirse a la atención a la dependencia como “una nueva modalidad de protección social que amplía y complementa la acción protectora del Estado y del Sistema de la Seguridad Social”, sino porque sus prestaciones no se integran en lo que la STC 239/2002, de 11 de diciembre, FJ 5, calificó como asistencia social “interna” al sistema de Seguridad Social, ya que, por el contrario, protegen situaciones de necesidad específicas mediante técnicas que actúan extramuros del referido sistema. Lo propio sucede con la invocación del art. 149.1.13 CE, pues, sin perjuicio de las finalidades de ahorro de gasto y de garantía de sostenibilidad del sistema que persiguen las modificaciones introdu</w:t>
      </w:r>
      <w:r>
        <w:lastRenderedPageBreak/>
        <w:t>cidas en la Ley 39/2006, es evidente que el art. 149.1.1 CE proporciona un título competencial más específico, dada la materia a la que se refiere la cuestión aquí discutida relacionada con el marco normativo a través del cual se van a reconocer derechos subjetivos de contenido prestacional en relación con la atención a la situación de dependencia.</w:t>
      </w:r>
    </w:p>
    <w:p w:rsidR="00163957" w:rsidRDefault="00163957" w:rsidP="00163957">
      <w:pPr>
        <w:pStyle w:val="TextoNormal"/>
      </w:pPr>
    </w:p>
    <w:p w:rsidR="00163957" w:rsidRDefault="00163957" w:rsidP="00163957">
      <w:pPr>
        <w:pStyle w:val="TextoNormal"/>
      </w:pPr>
      <w:r>
        <w:t>Señalado lo anterior procede hacer referencia a la doctrina constitucional tanto en relación con la materia “asistencia social” como sobre el título estatal del art. 149.1.1 CE que, como se verá, guarda directa relación con dicha materia. En cuanto a lo primero la STC 33/2014, de 27 de febrero, FJ 4, con cita de la STC 36/2012, de 15 de marzo, FJ 4, recuerda que “este Tribunal ya ha tenido ocasión de definir el alcance de la materia asistencia social cuando ha afirmado que atendiendo a las pautas de algunos instrumentos internacionales como la Carta social europea, la asistencia social, en sentido abstracto, abarca a una técnica de protección situada extramuros del sistema de la Seguridad Social, con caracteres propios, que la separan de otras afines o próximas a ella. Se trata de un mecanismo protector de situaciones de necesidad específicas, sentidas por grupos de población a los que no alcanza el sistema de Seguridad Social y que opera mediante técnicas distintas de las propias de ésta. Entre sus caracteres típicos se encuentran, de una parte, su sostenimiento al margen de toda obligación contributiva o previa colaboración económica de los destinatarios o beneficiarios, y, de otra, su dispensación por entes públicos o por organismos dependientes de entes públicos, cualesquiera que éstos sean. De esta forma, la asistencia social vendría conformada como una técnica pública de protección, lo que la distingue de la clásica beneficencia, en la que históricamente halla sus raíces”.</w:t>
      </w:r>
    </w:p>
    <w:p w:rsidR="00163957" w:rsidRDefault="00163957" w:rsidP="00163957">
      <w:pPr>
        <w:pStyle w:val="TextoNormal"/>
      </w:pPr>
    </w:p>
    <w:p w:rsidR="00163957" w:rsidRDefault="00163957" w:rsidP="00163957">
      <w:pPr>
        <w:pStyle w:val="TextoNormal"/>
      </w:pPr>
      <w:r>
        <w:t xml:space="preserve">Acerca de la delimitación de competencias en materia de asistencia social, la misma STC 33/2014 señala que “la Constitución se refiere a la asistencia social en su art. 148.1.20 como una materia sobre la que las Comunidades Autónomas pueden asumir la competencia. Así lo ha hecho Cataluña en el artículo 166 de su vigente Estatuto de Autonomía que caracteriza las competencia de la Comunidad Autónoma en materia de asistencia social como exclusiva; no obstante tal caracterización, y como hemos tenido la oportunidad de reiterar, la competencia de la Comunidad Autónoma ‘no impide el ejercicio de las competencias del Estado </w:t>
      </w:r>
      <w:r w:rsidRPr="00163957">
        <w:rPr>
          <w:i/>
        </w:rPr>
        <w:t>ex</w:t>
      </w:r>
      <w:r>
        <w:t xml:space="preserve"> art. 149.1 CE, sea cuando éstas concurran con las autonómicas sobre el mismo espacio físico o sea sobre el mismo objeto jurídico’ (STC 31/2010, de 28 de junio, FJ 104). Al respecto, debemos insistir una vez más que las competencias autonómicas sobre materias no incluidas en el art. 149.1 CE, aunque se enuncien como ‘competencias exclusivas’, no cierran el paso a las competencias estatales previstas en aquel precepto constitucional. Por tanto, y como ya tuvimos ocasión de afirmar en relación, precisamente, con el artículo 166 del vigente Estatuto de Autonomía de Cataluña, ‘el enunciado de la competencia autonómica como exclusiva no enerva las diferentes competencias del Estado que puedan estar implicadas (art. 149.1.6, 7 y 17 CE, entre otras), debiendo insistir, no obstante, en que de ningún modo se precisa una expresa salvaguarda de las competencias constitucionalmente reservadas al Estado por el art. 149.1 CE, puesto que constituyen límites infranqueables a los enunciados estatutarios’ (STC 31/2010, FJ 104)”.</w:t>
      </w:r>
    </w:p>
    <w:p w:rsidR="00163957" w:rsidRDefault="00163957" w:rsidP="00163957">
      <w:pPr>
        <w:pStyle w:val="TextoNormal"/>
      </w:pPr>
    </w:p>
    <w:p w:rsidR="00163957" w:rsidRDefault="00163957" w:rsidP="00163957">
      <w:pPr>
        <w:pStyle w:val="TextoNormal"/>
      </w:pPr>
      <w:r>
        <w:t xml:space="preserve">Por su parte, la STC 207/2013, de 5 de diciembre, FJ 5, recuerda que el art. 149.1.1 CE es un “‘título competencial autónomo’ (STC 184/2012, de 17 de octubre, FJ 4) ‘se proyecta de un modo genérico sobre todos los derechos fundamentales’ (STC 188/2001, de 20 de septiembre, FJ 6; y 111/2012, de 24 de mayo, FJ 5). Y se proyecta para garantizar su contenido esencial o primario (SSTC 61/1997, de 20 de marzo, FJ 7; y 247/2007, de 12 de </w:t>
      </w:r>
      <w:r>
        <w:lastRenderedPageBreak/>
        <w:t>diciembre, FJ 17), sin que la regulación estatal pueda suponer ‘una normación completa y acabada’ del derecho de que se trate, ‘pudiendo las Comunidades Autónomas, en la medida en que tengan competencia sobre la materia, aprobar normas atinentes’ a su régimen jurídico (SSTC 184/2012, de 17 de octubre, FJ 4; y 3/2013, de 17 de enero, FJ 8). Ahora bien, aquel título competencial no sólo se proyecta sobre las condiciones básicas ‘que afectan a su contenido primario’, a sus ‘posiciones jurídicas fundamentales’, sino también sobre los ‘criterios que guardan una relación necesaria e inmediata con aquéllas’, que sean ‘absolutamente necesarios para asegurar la igualdad en el ejercicio del derecho’ (SSTC 184/2012, de 17 de octubre, FJ 4; y 3/2013, de 17 de enero, FJ 8), tales como el ‘ámbito material sobre el que recaen las facultades que integran el derecho’, las ‘condiciones básicas en que ha de ejercerse un derecho’ o ‘el marco organizativo que posibilita el ejercicio mismo del derecho’ (STC 61/1997, de 20 de marzo, FJ 8), teniendo a tal fin el legislador estatal ‘un cierto margen de apreciación en cuanto a la fijación inicial de las condiciones que, por su carácter de básicas, deben ser objeto de ordenación uniforme en todo el territorio nacional’ (STC 154/1988, de 21 de julio, FJ 3)”.</w:t>
      </w:r>
    </w:p>
    <w:p w:rsidR="00163957" w:rsidRDefault="00163957" w:rsidP="00163957">
      <w:pPr>
        <w:pStyle w:val="TextoNormal"/>
      </w:pPr>
    </w:p>
    <w:p w:rsidR="00163957" w:rsidRDefault="00163957" w:rsidP="00163957">
      <w:pPr>
        <w:pStyle w:val="TextoNormal"/>
      </w:pPr>
      <w:r>
        <w:t>Por otra parte este Tribunal ya ha reconocido la aplicación de este título competencial en relación con principios rectores directamente relacionados con el del sistema de atención a la dependencia, como son los de los arts. 49 y 50 CE. Así, la STC 33/2014, FJ 4, indica que “es, por tanto, posible promover, a través de la competencia reconocida al Estado en el art. 149.1.1 CE, mandatos, no ya genéricos sino específicos, recogidos en la Constitución como son los establecidos en el art. 50 CE, en relación con las personas mayores, o en el art. 49 CE, en relación con las personas discapacitadas; toda vez que se debe entender que los principios rectores de la política social y económica del capítulo III del título I de la Constitución (entre los que se cuentan los recogidos en los citados art. 49 y 50 CE) pueden ponerse en conexión directa con la regla competencial ex art. 149.1.1 CE.”. Y finalmente, la STC 107/2014, de 26 de junio, FJ 7, recuerda, con cita de la STC 290/2000, de 30 de noviembre, FJ 14, que “junto a la normación, como aspecto esencial del art. 149.1.1 CE, las regulaciones estatales dictadas al amparo de este precepto también pueden contener, cuando sea imprescindible para garantizar la eficacia del derecho fundamental o la igualdad de todos los españoles en su disfrute, una dimensión institucional”.</w:t>
      </w:r>
    </w:p>
    <w:p w:rsidR="00163957" w:rsidRDefault="00163957" w:rsidP="00163957">
      <w:pPr>
        <w:pStyle w:val="TextoNormal"/>
      </w:pPr>
    </w:p>
    <w:p w:rsidR="00163957" w:rsidRDefault="00163957" w:rsidP="00163957">
      <w:pPr>
        <w:pStyle w:val="TextoNormal"/>
      </w:pPr>
      <w:r w:rsidRPr="00163957">
        <w:rPr>
          <w:rStyle w:val="NumeroAFNegritaCaracter"/>
        </w:rPr>
        <w:t>8</w:t>
      </w:r>
      <w:r>
        <w:t>. Señalado todo lo anterior estamos ya en condiciones de resolver las concretas impugnaciones que se plantean, siguiendo para ello el orden en el que se formulan por la Generalitat de Cataluña.</w:t>
      </w:r>
    </w:p>
    <w:p w:rsidR="00163957" w:rsidRDefault="00163957" w:rsidP="00163957">
      <w:pPr>
        <w:pStyle w:val="TextoNormal"/>
      </w:pPr>
    </w:p>
    <w:p w:rsidR="00163957" w:rsidRDefault="00163957" w:rsidP="00163957">
      <w:pPr>
        <w:pStyle w:val="TextoNormal"/>
      </w:pPr>
      <w:r>
        <w:t>a) El primer precepto impugnado es el art. 22.3 que modifica el apartado 1 del art. 9 de la Ley 39/2006. Lo cuestionado por la Generalitat de Cataluña es su último inciso, según el cual “la asignación del nivel mínimo a las comunidades autónomas se realizará considerando el número de beneficiarios, el grado de dependencia y la prestación reconocida”. Los dos nuevos criterios de asignación de la financiación estatal son los relativos al número de beneficiarios y la prestación reconocida, si bien lo realmente cuestionado es que en la distribución de los créditos de los presupuestos generales del Estado a transferir a las Comunidades Autónomas para la financiación del nivel mínimo de atención a la dependencia se vaya a tener en cuenta el criterio de la prestación reconocida, pues la demanda admite que dicha aportación estatal ya tiene en cuenta el otro criterio que ahora aparece en la norma relativo al número de beneficiarios.</w:t>
      </w:r>
    </w:p>
    <w:p w:rsidR="00163957" w:rsidRDefault="00163957" w:rsidP="00163957">
      <w:pPr>
        <w:pStyle w:val="TextoNormal"/>
      </w:pPr>
    </w:p>
    <w:p w:rsidR="00163957" w:rsidRDefault="00163957" w:rsidP="00163957">
      <w:pPr>
        <w:pStyle w:val="TextoNormal"/>
      </w:pPr>
      <w:r>
        <w:lastRenderedPageBreak/>
        <w:t>La impugnación ha de ser desestimada. El Estado es competente para determinar los criterios en virtud de los cuales se distribuye la financiación para atender el denominado nivel mínimo que le corresponde garantizar, en tanto que núcleo prestacional uniforme en todo el Estado. El considerar como criterio de reparto, además del grado de dependencia y del número de beneficiarios, el relativo al número y tipo de prestaciones que efectivamente reciben los beneficiarios, no supone sino ponderar el gasto que suponen unas prestaciones frente a otras, de manera que así la financiación estatal, garantía del ejercicio del derecho, consigue aproximarse al coste efectivo de la atención prestada, en el nivel mínimo de protección garantizado para cada uno de los beneficiarios del sistema de atención a la dependencia, en función de su grado de dependencia y de los servicios que precisen. Tampoco puede aceptarse la afirmación de que este nuevo criterio de reparto va a condicionar las competencias autonómicas en materia de asistencia social, pues, conforme a los arts. 27 y 28 de la Ley 39/2006, el reconocimiento del derecho exige la previa valoración de la situación de dependencia mediante un dictamen del correspondiente órgano autonómico acerca del grado de dependencia con especificación de los cuidados que la persona pueda requerir. Reconocimiento que se efectuará mediante resolución expedida por la Administración autonómica que, por tanto, es la que determinará los servicios o prestaciones que corresponden al solicitante según el grado de dependencia.</w:t>
      </w:r>
    </w:p>
    <w:p w:rsidR="00163957" w:rsidRDefault="00163957" w:rsidP="00163957">
      <w:pPr>
        <w:pStyle w:val="TextoNormal"/>
      </w:pPr>
    </w:p>
    <w:p w:rsidR="00163957" w:rsidRDefault="00163957" w:rsidP="00163957">
      <w:pPr>
        <w:pStyle w:val="TextoNormal"/>
      </w:pPr>
      <w:r>
        <w:t>Por lo demás, la adopción de dicho criterio ya se contiene en el acuerdo del Consejo Territorial del Sistema para la Autonomía y Atención a la Dependencia para la mejora del sistema para la autonomía y atención a la dependencia de 10 de julio de 2012, hecho público por resolución de 13 de julio de 2012, de la Secretaría de Estado de Servicios Sociales e Igualdad (“BOE” de 3 de agosto), en el que, además, se señala que para evitar desequilibrios demasiado intensos y acelerados en la financiación de unas Comunidades Autónomas respecto a otras, el reparto del nivel mínimo evolucionará progresivamente a lo largo de cinco años, estableciendo así una evolución temporal en la implantación de la distribución por beneficiarios y por prestaciones. Criterio temporal de implantación luego confirmado por la disposición transitoria primera del Real Decreto 1050/2013, de 27 de diciembre, por el que se regula el nivel mínimo de protección establecido en la Ley 39/2006.</w:t>
      </w:r>
    </w:p>
    <w:p w:rsidR="00163957" w:rsidRDefault="00163957" w:rsidP="00163957">
      <w:pPr>
        <w:pStyle w:val="TextoNormal"/>
      </w:pPr>
    </w:p>
    <w:p w:rsidR="00163957" w:rsidRDefault="00163957" w:rsidP="00163957">
      <w:pPr>
        <w:pStyle w:val="TextoNormal"/>
      </w:pPr>
      <w:r>
        <w:t>b) El segundo grupo de preceptos impugnados son los arts. 22.1, 3, 4, 5, 6, 7, 8, 9, 10, 11, 12, 13, 14, 15 y 16 y la disposición transitoria octava del Real Decreto-ley 20/2012 si bien el único relevante, a la vista de lo argumentación de la demanda, es el art. 22.11, que modifica los tres primeros apartados del art. 27 de la Ley 39/2006, relativo a la valoración de la situación de dependencia. Lo que se cuestiona es el último inciso del artículo 27.1 según el cual “[e]l consejo territorial de Servicios Sociales y del Sistema para la Autonomía y Atención a la Dependencia deberá acordar unos criterios comunes de composición y actuación de los órganos de valoración de las comunidades autónomas que, en todo caso, tendrán carácter público”, pues, según la demanda, “la determinación unilateral por parte del Estado de unas reglas comunes, para regular aspectos relativos a la composición y a la actividad de los órganos adscritos a la Administración pública de la Generalitat en materia de servicios sociales, excede del ámbito reservado al Estado en el artículo 149.1.1 de la Constitución para la regulación de las condiciones básicas que garanticen la igualdad de todos los españoles en el ejercicio de los derechos y en el cumplimientos de los deberes constitucionales”.</w:t>
      </w:r>
    </w:p>
    <w:p w:rsidR="00163957" w:rsidRDefault="00163957" w:rsidP="00163957">
      <w:pPr>
        <w:pStyle w:val="TextoNormal"/>
      </w:pPr>
    </w:p>
    <w:p w:rsidR="00163957" w:rsidRDefault="00163957" w:rsidP="00163957">
      <w:pPr>
        <w:pStyle w:val="TextoNormal"/>
      </w:pPr>
      <w:r>
        <w:lastRenderedPageBreak/>
        <w:t>Sin perjuicio de que pudiera considerarse que la fijación de los criterios mínimos que deben regir el reconocimiento del derecho y la valoración de la dependencia encajan en el concepto condiciones básicas al que se refiere el art. 149.1.1 CE, por tratarse de una delimitación del marco organizativo que posibilita el ejercicio mismo del derecho, resulta que, frente a lo sostenido por la Generalitat de Cataluña, la determinación de tales criterios de composición y actuación no corresponde al Estado sino al Consejo Territorial de Servicios Sociales y del Sistema para la Autonomía y Atención a la Dependencia, máximo exponente de los mecanismos de cooperación entre el Estado y las Comunidades Autónomas que diseña la Ley 39/2006 (al respecto, resolución de 4 de febrero de 2010, de la Secretaría General de Política Social y Consumo, por la que se publica el acuerdo del Consejo Territorial del Sistema para la Autonomía y Atención a la Dependencia, de 25 de enero de 2010, en materia de órganos y procedimientos de valoración de la situación de dependencia, publicado en el “BOE” de 12 de marzo de 2010). En definitiva, corresponde al citado órgano garantizar una cierta homogeneidad en la composición y actuación de estos órganos en el conjunto de las Comunidades Autónomas, que, a su vez, deberán regular, conforme a dichos criterios, la composición y régimen de actuación de los órganos de valoración en su territorio.</w:t>
      </w:r>
    </w:p>
    <w:p w:rsidR="00163957" w:rsidRDefault="00163957" w:rsidP="00163957">
      <w:pPr>
        <w:pStyle w:val="TextoNormal"/>
      </w:pPr>
    </w:p>
    <w:p w:rsidR="00163957" w:rsidRDefault="00163957" w:rsidP="00163957">
      <w:pPr>
        <w:pStyle w:val="TextoNormal"/>
      </w:pPr>
      <w:r>
        <w:t>Es evidente, por tanto, que no concurre aquí la supuesta determinación unilateral por el Estado de los criterios relativos a la composición y a la actividad de los órganos de valoración, lo que conduce derechamente a la desestimación de la queja planteada.</w:t>
      </w:r>
    </w:p>
    <w:p w:rsidR="00163957" w:rsidRDefault="00163957" w:rsidP="00163957">
      <w:pPr>
        <w:pStyle w:val="TextoNormal"/>
      </w:pPr>
    </w:p>
    <w:p w:rsidR="00163957" w:rsidRDefault="00163957" w:rsidP="00163957">
      <w:pPr>
        <w:pStyle w:val="TextoNormal"/>
      </w:pPr>
      <w:r>
        <w:t>Tampoco puede ser estimado el argumento general que plantea la Generalitat de Cataluña que considera que la suspensión de la financiación estatal al denominado segundo nivel de protección, aspecto que, en todo caso, se sitúa extramuros del presente proceso, ha supuesto la ruptura unilateral del marco de cooperación en el que se basaba la Ley 39/2006 lo que, a su vez, determina, que “una vez el Estado ha roto unilateralmente el marco de cooperación, no puede seguir manteniendo en los mismos términos la regulación del sistema de atención a la dependencia” y, por otra parte, la imposición a la Comunidad Autónoma de una nueva obligación de gasto derivada de lo dispuesto en el segundo inciso del art. 32.3 de la Ley 39/2006 (“la aportación de la Comunidad Autónoma será, para cada año, al menos igual a la de la Administración General del Estado como consecuencia de lo previsto en este apartado y en el anterior”).</w:t>
      </w:r>
    </w:p>
    <w:p w:rsidR="00163957" w:rsidRDefault="00163957" w:rsidP="00163957">
      <w:pPr>
        <w:pStyle w:val="TextoNormal"/>
      </w:pPr>
    </w:p>
    <w:p w:rsidR="00163957" w:rsidRDefault="00163957" w:rsidP="00163957">
      <w:pPr>
        <w:pStyle w:val="TextoNormal"/>
      </w:pPr>
      <w:r>
        <w:t>Este planteamiento no puede ser aceptado pues supone confundir el plano de la disposición de fondos estatales con el de la delimitación de competencias en materia de dependencia. En efecto, con independencia de cuál sea la interpretación del art. 32.2 de la Ley 39/2006, cuestión sobre la que luego se volverá, del mismo modo que nuestra doctrina ha reiterado que el poder de gasto no es un título atributivo de competencias, el alcance y extensión de las facultades estatales en relación con el sistema de atención a la dependencia no puede variar, como parece sostener la demanda, en función de la mayor o menor aportación estatal a su financiación. Por tanto, en el enjuiciamiento de la conformidad con el orden competencial de los preceptos de la Ley 39/2006 que han sido aquí cuestionados no puede tomarse en consideración el modo o el grado en que se producen las aportaciones estatales a la financiación de las prestaciones y servicios del sistema de atención a la dependencia, sino, exclusivamente, si esas normas encuentran fundamento en los títulos competenciales estatales, en concreto el del art. 149.1.1 CE.</w:t>
      </w:r>
    </w:p>
    <w:p w:rsidR="00163957" w:rsidRDefault="00163957" w:rsidP="00163957">
      <w:pPr>
        <w:pStyle w:val="TextoNormal"/>
      </w:pPr>
    </w:p>
    <w:p w:rsidR="00163957" w:rsidRDefault="00163957" w:rsidP="00163957">
      <w:pPr>
        <w:pStyle w:val="TextoNormal"/>
      </w:pPr>
      <w:r>
        <w:lastRenderedPageBreak/>
        <w:t xml:space="preserve">c) Se impugnan los apartados 7, 8 y 9 del artículo 22, por entender que exceden del contenido que puede establecer el Estado </w:t>
      </w:r>
      <w:r w:rsidRPr="00163957">
        <w:rPr>
          <w:i/>
        </w:rPr>
        <w:t>ex</w:t>
      </w:r>
      <w:r>
        <w:t xml:space="preserve"> art. 149.1.1. CE. El artículo 22.7 modifica el art. 19 de la Ley 39/2006 para establecer que la prestación económica de asistencia personal pueden percibirla personas en situación de dependencia, en cualquiera de sus grados, cuando anteriormente sólo podían percibirla las personas con gran dependencia. El art. 22.8 reforma el art. 23 de la Ley 39/2006 para exigir que la prestación de los servicios de ayuda a domicilio relacionados con la atención de necesidades domésticas o del hogar, como limpieza, lavado, cocina y otros, sólo puedan prestarse conjuntamente con los que se reconozcan de atención personal en la realización de las actividades de la vida diaria. Finalmente, el art. 22.9 introduce un nuevo art. 25 </w:t>
      </w:r>
      <w:r w:rsidRPr="00163957">
        <w:rPr>
          <w:i/>
        </w:rPr>
        <w:t>bis</w:t>
      </w:r>
      <w:r>
        <w:t xml:space="preserve"> de la Ley 39/2006, relativo al régimen de incompatibilidad tanto de las prestaciones económicas como respecto a los servicios para la atención de las situaciones de dependencia. La queja que se formula respecto a estos tres preceptos es la misma por cuanto la demanda entiende que no encuentran cobertura en el art. 149.1.1 CE.</w:t>
      </w:r>
    </w:p>
    <w:p w:rsidR="00163957" w:rsidRDefault="00163957" w:rsidP="00163957">
      <w:pPr>
        <w:pStyle w:val="TextoNormal"/>
      </w:pPr>
    </w:p>
    <w:p w:rsidR="00163957" w:rsidRDefault="00163957" w:rsidP="00163957">
      <w:pPr>
        <w:pStyle w:val="TextoNormal"/>
      </w:pPr>
      <w:r>
        <w:t>i) En cuanto al primero de ellos ha de señalarse, en primer lugar, que para poder obtener el reconocimiento de los derechos por ella contemplados, la Ley 39/2006 exige que los potencialmente interesados se encuentren en situación de dependencia y, más específicamente, en alguno de los grados legalmente establecidos [art. 5.1 a) de la Ley 39/2006]. La subdivisión de los mencionados grados en niveles ha sido suprimida por el propio Real Decreto-ley 20/2012, de manera que, partiendo siempre de su definición básica (art. 2.2 de la Ley 39/2006), la situación de dependencia habrá de clasificarse en alguno de los tres grados previstos en el art. 26.1 de la Ley 39/2006 (I o dependencia moderada, II o dependencia severa y III o gran dependencia). En dicho contexto el precepto habilita para que una determinada prestación económica, la de asistencia personal, pueda ser reconocida a todas las personas en situación de dependencia con independencia de su grado. Es claro que la ampliación del campo subjetivo de esta prestación que ha introducido la reforma del art. 19 de la Ley 39/2006 no vulnera el art. 149.1.1 CE, en la medida que determinar los posibles beneficiarios de las prestaciones del sistema forma parte de las condiciones básicas para garantizar la igualdad en relación con el acceso a las prestaciones del sistema de atención a la dependencia que al Estado corresponde establecer.</w:t>
      </w:r>
    </w:p>
    <w:p w:rsidR="00163957" w:rsidRDefault="00163957" w:rsidP="00163957">
      <w:pPr>
        <w:pStyle w:val="TextoNormal"/>
      </w:pPr>
    </w:p>
    <w:p w:rsidR="00163957" w:rsidRDefault="00163957" w:rsidP="00163957">
      <w:pPr>
        <w:pStyle w:val="TextoNormal"/>
      </w:pPr>
      <w:r>
        <w:t>ii) En cuanto al artículo 22.8 es posible apreciar que con la regulación del art. 23 de la Ley 39/2006 el Estado pretende de este modo que existan las mismas modalidades de protección a las personas en situación de dependencia regulando la doble dimensión del servicio de ayuda a domicilio y expresando un criterio de preferencia de unos servicios, los relacionados con la atención personal en la realización de las actividades de la vida diaria, frente a los relativos a la atención de las necesidades domésticas o del hogar de manera que no puedan prestarse los unos sin los otros. Así, en la medida en que con ello el legislador estatal perfila los rasgos de uno de los servicios del sistema de atención a la dependencia, actúa dentro del margen que le otorga el art. 149.1.1 CE, al definir los posibles contenidos del derecho de las personas en situación de dependencia, garantizando así una igualdad mínima en su regulación. La decisión estatal no excluye ni que las Comunidades Autónomas puedan establecer servicios adicionales (art. 8.2 del Real Decreto 1051/2013, de 27 de diciembre, por el que se regulan las prestaciones del sistema para la autonomía y atención a la dependencia, establecidas en la Ley 39/2006) ni que puedan excepcionalmente decidir que se prestan de forma separada (último inciso del art. 23 de la Ley 39/2006 y art. 8.5 del Real Decreto 1051/2013).</w:t>
      </w:r>
    </w:p>
    <w:p w:rsidR="00163957" w:rsidRDefault="00163957" w:rsidP="00163957">
      <w:pPr>
        <w:pStyle w:val="TextoNormal"/>
      </w:pPr>
    </w:p>
    <w:p w:rsidR="00163957" w:rsidRDefault="00163957" w:rsidP="00163957">
      <w:pPr>
        <w:pStyle w:val="TextoNormal"/>
      </w:pPr>
      <w:r>
        <w:lastRenderedPageBreak/>
        <w:t xml:space="preserve">iii) Respecto a la regla de incompatibilidad de prestaciones del nuevo art. 25 </w:t>
      </w:r>
      <w:r w:rsidRPr="00163957">
        <w:rPr>
          <w:i/>
        </w:rPr>
        <w:t>bis</w:t>
      </w:r>
      <w:r>
        <w:t xml:space="preserve"> de la Ley 39/2006 se establece que todas las prestaciones económicas del sistema (vinculada al servicio, cuidado familiar y asistencia personal) serán incompatibles entre sí y con los servicios del catálogo y lo mismo sucede con los servicios entre sí con la única excepción del servicio de teleasistencia que será compatible con las prestaciones de servicios de ayuda a domicilio y centros de día y de noche. Es posible apreciar que con esta regulación el Estado fija una regulación unitaria tanto de la intensidad como de la compatibilidad de prestaciones que cumple la función de garantizar un mínimo uniforme en el sistema de atención a la dependencia que puede ser considerado un parámetro que regula las condiciones básicas que garantizan la igualdad en el ejercicio del derecho, evitando así que se generen situaciones de desigualdad relevantes. Dado que el reconocimiento de la situación de dependencia puede dar lugar al disfrute de diversos servicios o prestaciones económicas de manera simultánea, la norma establece una serie de principios comunes sobre incompatibilidad de esas prestaciones y servicios, garantizando la unidad mínima del sistema de atención a la dependencia respecto a la combinación de prestaciones en la que se puede concretar la atención a las personas dependientes. Esa condición de garantía mínima se confirma por el hecho de que, más allá del primer nivel de garantía de responsabilidad estatal, los límites de la norma tampoco excluyen que las Comunidades Autónomas establezcan compatibilidades que puedan dar como consecuencia prestaciones o servicios superiores, asumiendo las consecuencias de dicha compatibilidad, lo que permite, también desde este punto de vista, considerarlo una regla general que garantiza la igualdad en el acceso a las prestaciones y servicios del sistema de atención a la dependencia.</w:t>
      </w:r>
    </w:p>
    <w:p w:rsidR="00163957" w:rsidRDefault="00163957" w:rsidP="00163957">
      <w:pPr>
        <w:pStyle w:val="TextoNormal"/>
      </w:pPr>
    </w:p>
    <w:p w:rsidR="00163957" w:rsidRDefault="00163957" w:rsidP="00163957">
      <w:pPr>
        <w:pStyle w:val="TextoNormal"/>
      </w:pPr>
      <w:r>
        <w:t>d) El artículo 22.13, disposición adicional séptima, disposición transitoria novena y final primera se impugnan conjuntamente en la medida que la demanda considera que las reformas que introducen estos preceptos en relación con la prestación económica para cuidados en el entorno familiar y apoyo a cuidadores no profesionales prevista en el art. 18 de la Ley 39/2006 produce el efecto de desincentivar el uso de esta prestación, condicionando así el ejercicio de las competencias autonómicas en materia de servicios sociales.</w:t>
      </w:r>
    </w:p>
    <w:p w:rsidR="00163957" w:rsidRDefault="00163957" w:rsidP="00163957">
      <w:pPr>
        <w:pStyle w:val="TextoNormal"/>
      </w:pPr>
    </w:p>
    <w:p w:rsidR="00163957" w:rsidRDefault="00163957" w:rsidP="00163957">
      <w:pPr>
        <w:pStyle w:val="TextoNormal"/>
      </w:pPr>
      <w:r>
        <w:t>Debemos advertir ya que la alegación de que las modificaciones normativas que ahora se examinan persiguen desincentivar el uso de esta prestación, calificada de excepcional por la Ley 39/2006 (arts. 14.4 y 18), supone formular un juicio respecto a las intenciones del legislador de urgencia que no puede examinarse en esta sede.</w:t>
      </w:r>
    </w:p>
    <w:p w:rsidR="00163957" w:rsidRDefault="00163957" w:rsidP="00163957">
      <w:pPr>
        <w:pStyle w:val="TextoNormal"/>
      </w:pPr>
    </w:p>
    <w:p w:rsidR="00163957" w:rsidRDefault="00163957" w:rsidP="00163957">
      <w:pPr>
        <w:pStyle w:val="TextoNormal"/>
      </w:pPr>
      <w:r>
        <w:t xml:space="preserve">El art. 22.13 modifica el art. 29.1 de la Ley 39/2006, relativo al programa individual de atención que han de establecer los servicios sociales correspondientes para determinar las modalidades de intervención más adecuadas a las necesidades del dependientes de entre los servicios y prestaciones económicas previstos en la resolución para su grado, estableciéndose la participación del beneficiario o de su familia o entidades tutelares que le representen, mediante la consulta y, en su caso, elección entre las alternativas propuestas. En realidad lo que la reforma del art. 29.1 de la Ley 39/2006 hace es limitar las posibilidades de elección de aquellos, pues respetando la consulta a los mismos, fija que la determinación de la prestación económica corresponde ahora a la Administración, cuestión esta que se relaciona con las condiciones de acceso a una determinada prestación que el Estado puede establecer y que no es sino una consecuencia de lo dispuesto en el art. 28.2y 3 de la Ley 39/2006 conforme a los que la resolución por la que se reconoce la situación de dependencia determinará los servicios o prestaciones que corresponden al solicitante según el grado de dependencia, </w:t>
      </w:r>
      <w:r>
        <w:lastRenderedPageBreak/>
        <w:t>resolución que, además, tiene validez en todo el territorio nacional. Tampoco es posible apreciar aquí el condicionamiento de las competencias autonómicas al que se alude en la demanda, por cuanto el reconocimiento de la prestación corresponde a la Administración autonómica.</w:t>
      </w:r>
    </w:p>
    <w:p w:rsidR="00163957" w:rsidRDefault="00163957" w:rsidP="00163957">
      <w:pPr>
        <w:pStyle w:val="TextoNormal"/>
      </w:pPr>
    </w:p>
    <w:p w:rsidR="00163957" w:rsidRDefault="00163957" w:rsidP="00163957">
      <w:pPr>
        <w:pStyle w:val="TextoNormal"/>
      </w:pPr>
      <w:r>
        <w:t>Por la misma razón tampoco las normas contenidas en la disposición adicional séptima, disposición transitoria novena y final primera vulneran las competencias autonómicas pues en ningún caso afecta a la facultad de la Comunidad Autónoma para reconocer esta prestación caso de estimarla procedente, de suerte que no es posible estimar la queja que se plantea centrada en lo que se considera una limitación para que la Comunidad Autónoma reconozca dicha prestación. Por otra parte, estas normas, que modulan el reconocimiento retroactivo de la prestación, establecen un plazo suspensivo máximo de dos años para su acceso y otorgan un plazo más amplio para el abono de los efectos retroactivos, esto es, desde la fecha de la solicitud de la prestación reconocida, entran dentro del margen de disposición del legislador para fijar la mínima igualdad acerca de los efectos temporales del reconocimiento de una prestación. Además, en el caso de la disposición final primera, la adopción del abono periodificado de la prestación devengada con efectos retroactivos, corresponde a la Administración competente, limitándose la norma estatal a establecer dicha posibilidad. La desestimación de tacha planteada contra la disposición transitoria novena implica, asimismo, dada la relación existente entre ambas, idéntica consecuencia respecto a la disposición final primera.3 de la Ley 39/2006, en la redacción dada al mismo por el impugnado artículo 22.17.</w:t>
      </w:r>
    </w:p>
    <w:p w:rsidR="00163957" w:rsidRDefault="00163957" w:rsidP="00163957">
      <w:pPr>
        <w:pStyle w:val="TextoNormal"/>
      </w:pPr>
    </w:p>
    <w:p w:rsidR="00163957" w:rsidRDefault="00163957" w:rsidP="00163957">
      <w:pPr>
        <w:pStyle w:val="TextoNormal"/>
      </w:pPr>
      <w:r>
        <w:t>e) Restan por examinar las impugnaciones del artículo 22.17 y de las disposiciones transitoria décima, undécima y duodécima.1. En ellas se plantean tres cuestiones distintas que han de tratarse por separado. La primera es la que plantea el artículo 22.17, relativo a las modificaciones introducidas en el calendario de aplicación progresiva de la Ley 39/2006; el segundo aspecto a analizar es el relativo a la definición de las cuantías máximas de las prestaciones económicas así como de la intensidad de protección del servicio de ayuda a domicilio que se contienen en las disposiciones transitoria décima y duodécima.1 y el tercero es el relativo a la aportación de la Administración general del Estado para la financiación del nivel mínimo de protección fijado en la disposición transitoria undécima.</w:t>
      </w:r>
    </w:p>
    <w:p w:rsidR="00163957" w:rsidRDefault="00163957" w:rsidP="00163957">
      <w:pPr>
        <w:pStyle w:val="TextoNormal"/>
      </w:pPr>
    </w:p>
    <w:p w:rsidR="00163957" w:rsidRDefault="00163957" w:rsidP="00163957">
      <w:pPr>
        <w:pStyle w:val="TextoNormal"/>
      </w:pPr>
      <w:r>
        <w:t>i) Comenzando por la relativa a las modificaciones en el calendario de aplicación de la Ley 39/2006, tales modificaciones, introducidas en el apartado 1 de la disposición final primera de la Ley 39/2006, consisten en determinar que la efectividad del derecho a las prestaciones de las personas valoradas en el grado I, nivel 2, que no la tuvieran reconocida antes del 1 de enero de 2012, se realizará a partir del 1 de julio de 2015 mientras que la efectividad del derecho a las prestaciones de las personas valoradas en el grado I, se realizará a partir del 1 de julio de 2015. No es esta la primera vez que se modifica este apartado 1 de la disposición final primera de la Ley 39/2006, sobre la aplicación progresiva de la Ley, pues ya había sido previamente reformado, por la disposición final octava de la Ley 2/2012, de 29 de junio, de presupuestos generales del Estado para el 2012, objeto, entre otros, del recurso de inconstitucionalidad núm. 1743-2013, también interpuesto por la Generalitat de Cataluña. La queja que se formula es la misma, la invasión de la competencia autonómica en materia de servicios sociales reconocida en el art. 166 EAC, dado que impone una pauta temporal sobre la actividad de la Comunidad Autónoma que no encontraría cobertura en el art. 149.1.1 CE.</w:t>
      </w:r>
    </w:p>
    <w:p w:rsidR="00163957" w:rsidRDefault="00163957" w:rsidP="00163957">
      <w:pPr>
        <w:pStyle w:val="TextoNormal"/>
      </w:pPr>
    </w:p>
    <w:p w:rsidR="00163957" w:rsidRDefault="00163957" w:rsidP="00163957">
      <w:pPr>
        <w:pStyle w:val="TextoNormal"/>
      </w:pPr>
      <w:r>
        <w:t xml:space="preserve">La queja no puede ser estimada. La determinación de un calendario de efectividad del reconocimiento de las situaciones de dependencia y del consiguiente acceso a las prestaciones y servicios del sistema de atención a la dependencia se configura como uno de los elementos básicos, en este caso temporales, que determina el nacimiento y la efectividad de dichas prestaciones, suponiendo un presupuesto necesario y esencial para el ejercicio del derecho que forma parte de las condiciones básicas que al Estado </w:t>
      </w:r>
      <w:r w:rsidRPr="00163957">
        <w:rPr>
          <w:i/>
        </w:rPr>
        <w:t>ex</w:t>
      </w:r>
      <w:r>
        <w:t xml:space="preserve"> art. 149.1.1 CE corresponde garantizar mediante, en este caso, la uniformidad temporal y, con ello, la coordinación en la aplicación de la ley. Además viene a asegurar una ordenación unitaria del sistema, evitando divergencias temporales en su implantación que afecten negativamente a las condiciones de ejercicio del mencionado derecho fundamental en las distintas partes del territorio. Razón por la cual esta previsión participa del objetivo de afianzar “las condiciones básicas que garanticen la igualdad de todos los españoles en el ejercicio de sus derechos y deberes constitucionales” lo que justifica la apelación a lo dispuesto en el art. 149.1.1 CE, que constituye un instrumento fundamental para garantizar la homogeneidad en el ejercicio de los derechos en todo el territorio nacional. (STC 162/2013, de 26 de septiembre, FJ 5, allí por referencia al calendario aplicativo de la legislación educativa).</w:t>
      </w:r>
    </w:p>
    <w:p w:rsidR="00163957" w:rsidRDefault="00163957" w:rsidP="00163957">
      <w:pPr>
        <w:pStyle w:val="TextoNormal"/>
      </w:pPr>
    </w:p>
    <w:p w:rsidR="00163957" w:rsidRDefault="00163957" w:rsidP="00163957">
      <w:pPr>
        <w:pStyle w:val="TextoNormal"/>
      </w:pPr>
      <w:r>
        <w:t>La adopción de este calendario responde a indudables necesidades de dotación financiera requeridas por el sistema de atención a la dependencia y aparece “como consecuencia de la prioridad en la atención a las personas dependientes con mayores necesidades de atención, así como de la corrección del déficit público y en virtud de los principios de sostenibilidad, estabilidad y suficiencia, que rigen el Sistema para la Autonomía y Atención a la Dependencia”, según reza el ya mencionado acuerdo del Consejo Territorial del Sistema para la Autonomía y Atención a la Dependencia para la mejora del sistema para la autonomía y atención a la dependencia de 10 de julio de 2012.</w:t>
      </w:r>
    </w:p>
    <w:p w:rsidR="00163957" w:rsidRDefault="00163957" w:rsidP="00163957">
      <w:pPr>
        <w:pStyle w:val="TextoNormal"/>
      </w:pPr>
    </w:p>
    <w:p w:rsidR="00163957" w:rsidRDefault="00163957" w:rsidP="00163957">
      <w:pPr>
        <w:pStyle w:val="TextoNormal"/>
      </w:pPr>
      <w:r>
        <w:t>ii) En lo relativo a la definición de las cuantías máximas de las prestaciones económicas así como de la intensidad de protección del servicio de ayuda a domicilio que se contienen en las disposiciones transitoria décima y duodécima.1 las tachas que formula la Generalitat de Cataluña a estos preceptos son dos. La vulneración del art. 166 EAC, tanto por la determinación de las cuantías máximas de prestaciones y servicios como por la habilitación al Gobierno para su fijación reglamentaria, y la afectación a la autonomía financiera de la Comunidad Autónoma por lo que se considera sobrecoste en las prestaciones y servicios asistenciales consecuencia de la suspensión estatal de los preceptos de la Ley 39/2006 que regulaban la aportación estatal al nivel de protección acordado entre el Estado y las Comunidades Autónomas.</w:t>
      </w:r>
    </w:p>
    <w:p w:rsidR="00163957" w:rsidRDefault="00163957" w:rsidP="00163957">
      <w:pPr>
        <w:pStyle w:val="TextoNormal"/>
      </w:pPr>
    </w:p>
    <w:p w:rsidR="00163957" w:rsidRDefault="00163957" w:rsidP="00163957">
      <w:pPr>
        <w:pStyle w:val="TextoNormal"/>
      </w:pPr>
      <w:r>
        <w:t>Comenzando por esta segunda queja es claro que la misma no puede ser estimada en cuanto que aun cuando la afectación a la autonomía financiera en que se basa se hubiera realmente producido, lo cierto es que la propia demanda no la imputa a los preceptos ahora impugnados sino a aquellos que han determinado la suspensión en la vigencia y aplicación de la financiación estatal al denominado nivel acordado de protección de la dependencia, los cuales no forman parte del presente proceso.</w:t>
      </w:r>
    </w:p>
    <w:p w:rsidR="00163957" w:rsidRDefault="00163957" w:rsidP="00163957">
      <w:pPr>
        <w:pStyle w:val="TextoNormal"/>
      </w:pPr>
    </w:p>
    <w:p w:rsidR="00163957" w:rsidRDefault="00163957" w:rsidP="00163957">
      <w:pPr>
        <w:pStyle w:val="TextoNormal"/>
      </w:pPr>
      <w:r>
        <w:t xml:space="preserve">Por otra parte, respecto a la vulneración de las competencias autonómicas, es posible apreciar que ninguno de los dos aspectos, la determinación de la intensidad de los servicios </w:t>
      </w:r>
      <w:r>
        <w:lastRenderedPageBreak/>
        <w:t>y la cuantía máxima de las prestaciones económicas a reconocer, son novedosos, sino que, por el contrario, formaban parte del sistema de atención a la dependencia desde sus inicios.</w:t>
      </w:r>
    </w:p>
    <w:p w:rsidR="00163957" w:rsidRDefault="00163957" w:rsidP="00163957">
      <w:pPr>
        <w:pStyle w:val="TextoNormal"/>
      </w:pPr>
    </w:p>
    <w:p w:rsidR="00163957" w:rsidRDefault="00163957" w:rsidP="00163957">
      <w:pPr>
        <w:pStyle w:val="TextoNormal"/>
      </w:pPr>
      <w:r>
        <w:t>Así, la intensidad se refiere a determinar los servicios concretos que corresponden a cada grado de dependencia y a determinar el contenido prestacional de cada uno de los servicios asistenciales y la extensión y duración de los mismos según ese grado de dependencia. Según el art. 8.2 b) de la Ley 39/2006, corresponde al consejo territorial de servicios sociales y del sistema para la autonomía y atención a la dependencia establecer los criterios para determinar la intensidad de protección de los servicios, extremo que, para el ahora cuestionado servicio de ayuda a domicilio, se llevó a cabo en el punto 2.2 del ya mencionado acuerdo del Consejo Territorial de 10 de julio de 2012, limitándose la norma ahora cuestionada a incorporar dicho criterio, que, por lo demás, también ha sido reproducido en el anexo II del también citado Real Decreto 1051/2013. En todo caso, dicha forma de proceder encuentra amparo en el art. 149.1.1 CE, pues la norma estatal, bien que a partir del previo acuerdo de un órgano de cooperación, fija así, mediante el establecimiento de márgenes o intervalos, los criterios comunes a partir de los cuales puede determinarse el contenido prestacional de ese concreto servicio asistencial, integrando de esta manera el contenido mínimo del derecho reconocido a todos los dependientes en la medida en que se refieren a la extensión de la acción protectora de dicho servicio del sistema de atención a la dependencia, preservando la igualdad efectiva de las personas en situación de dependencia respecto al disfrute de unos servicios.</w:t>
      </w:r>
    </w:p>
    <w:p w:rsidR="00163957" w:rsidRDefault="00163957" w:rsidP="00163957">
      <w:pPr>
        <w:pStyle w:val="TextoNormal"/>
      </w:pPr>
    </w:p>
    <w:p w:rsidR="00163957" w:rsidRDefault="00163957" w:rsidP="00163957">
      <w:pPr>
        <w:pStyle w:val="TextoNormal"/>
      </w:pPr>
      <w:r>
        <w:t>En cuanto a la determinación de las cuantías máximas debe recordarse que corresponde al aludido Consejo Territorial la función de acordar las condiciones y cuantía de las prestaciones económicas previstas [art. 8.2 c) en relación con el art. 20 y disposición adicional primera de la Ley 39/2006]. De nuevo, como en la forma prevista para la intensidad del servicio, el Estado garantiza, mediante la determinación de tales cuantías máximas, la uniformidad en el reconocimiento de las tres prestaciones económicas que integran el sistema de atención a la dependencia. Por lo demás, cuanto hemos expuesto ha de llevarnos a desestimar la queja relativa a la habilitación al Gobierno para la determinación de ambas cuestiones, pues el art. 10.3 de la Ley 39/2006 dispone que el Gobierno, mediante Real Decreto, aprobará los criterios establecidos por el Consejo Territorial de Servicios Sociales y del Sistema para la Autonomía y Atención a la Dependencia para determinar la intensidad de protección de los servicios y la compatibilidad entre los mismos. Asimismo, el art. 20 de la Ley 39/2006 establece que las cuantías de las prestaciones económicas, una vez acordadas por el Consejo Territorial, serán aprobadas por el Gobierno mediante Real Decreto, marco normativo en el que las referencias que las dos disposiciones impugnadas contienen a la regulación reglamentaria cobra su pleno sentido.</w:t>
      </w:r>
    </w:p>
    <w:p w:rsidR="00163957" w:rsidRDefault="00163957" w:rsidP="00163957">
      <w:pPr>
        <w:pStyle w:val="TextoNormal"/>
      </w:pPr>
    </w:p>
    <w:p w:rsidR="00163957" w:rsidRDefault="00163957" w:rsidP="00163957">
      <w:pPr>
        <w:pStyle w:val="TextoNormal"/>
      </w:pPr>
      <w:r>
        <w:t>iii) La disposición transitoria undécima se refiere, en sus dos apartados, a la aportación de la Administración general del Estado para la financiación del nivel mínimo de protección previsto en el art. 9 de la Ley 39/2006, esto es, la cantidad económica que, según el grado de dependencia, la Administración general del Estado aporta a la financiación del sistema por cada beneficiario reconocido como dependiente.</w:t>
      </w:r>
    </w:p>
    <w:p w:rsidR="00163957" w:rsidRDefault="00163957" w:rsidP="00163957">
      <w:pPr>
        <w:pStyle w:val="TextoNormal"/>
      </w:pPr>
    </w:p>
    <w:p w:rsidR="00163957" w:rsidRDefault="00163957" w:rsidP="00163957">
      <w:pPr>
        <w:pStyle w:val="TextoNormal"/>
      </w:pPr>
      <w:r>
        <w:t xml:space="preserve">La Generalitat no cuestiona que el Estado pueda cuantificar su aportación económica al denominado nivel mínimo del sistema de atención a la dependencia pero alega que se ha determinado unilateralmente por el Estado y que la Comunidad Autónoma, para mantener </w:t>
      </w:r>
      <w:r>
        <w:lastRenderedPageBreak/>
        <w:t>las prestaciones en el nivel adecuado, debe incrementar su aportación de recursos para cubrir su coste, con el consiguiente quebranto de su autonomía financiera.</w:t>
      </w:r>
    </w:p>
    <w:p w:rsidR="00163957" w:rsidRDefault="00163957" w:rsidP="00163957">
      <w:pPr>
        <w:pStyle w:val="TextoNormal"/>
      </w:pPr>
    </w:p>
    <w:p w:rsidR="00163957" w:rsidRDefault="00163957" w:rsidP="00163957">
      <w:pPr>
        <w:pStyle w:val="TextoNormal"/>
      </w:pPr>
      <w:r>
        <w:t>El art. 9 de la Ley 39/2006 dispone que la determinación del nivel mínimo de protección financiado por el Estado para cada uno de los beneficiarios del sistema es acordado por el Gobierno, como condición básica de garantía del derecho. Desde la perspectiva competencial debemos entender que, efectivamente, el Estado puede cuantificar su aportación al sistema de atención a la dependencia, porque la fijación del mínimo estatal no predetermina la cuantía de cada prestación, razón por la cual se mantiene en los términos en que lo habilita la Constitución Español</w:t>
      </w:r>
      <w:r w:rsidRPr="00163957">
        <w:rPr>
          <w:i/>
        </w:rPr>
        <w:t xml:space="preserve">a </w:t>
      </w:r>
      <w:r>
        <w:t>ex art. 149.1.1 CE.</w:t>
      </w:r>
    </w:p>
    <w:p w:rsidR="00163957" w:rsidRDefault="00163957" w:rsidP="00163957">
      <w:pPr>
        <w:pStyle w:val="TextoNormal"/>
      </w:pPr>
    </w:p>
    <w:p w:rsidR="00163957" w:rsidRDefault="00163957" w:rsidP="00163957">
      <w:pPr>
        <w:pStyle w:val="TextoNormal"/>
      </w:pPr>
      <w:r>
        <w:t>En el examen de la queja que se nos plantea debemos advertir que el art. 32.3 de la Ley 39/2006, segundo párrafo, únicamente exige que la aportación autonómica sea, al menos igual a la de la Administración general del Estado, en el segundo nivel de protección, lo que implica que, suspendidos los convenios mediante los que se financiaba ese segundo nivel, la aportación autonómica en aplicación de dicho precepto no es ya obligatoria, por lo que, al menos en teoría, la reducción de la aportación estatal es susceptible de producir el correlativo efecto de reducción de la aportación autonómica, sin que, por esa vía, se produzca irremediablemente un incremento de gasto autonómico. Ahora bien, si esa reducción autonómica se produce o no es una cuestión que corresponde decidir a cada Comunidad Autónoma en el ejercicio de su competencia en materia de asistencia social. Pero no puede pretenderse que el hecho de que una determinada Comunidad Autónoma considere necesario o conveniente mantener las prestaciones del sistema de atención a la dependencia en un determinado nivel, superior al mínimo garantizado por el Estado, implique necesariamente el mantenimiento de las aportaciones estatales a la financiación del sistema de atención a la dependencia en la cuantía suficiente que permita el mantenimiento de dicho nivel prestacional en la Comunidad Autónoma de que se trate. Tal planteamiento no puede ser aceptado porque con él se invierte la lógica del sistema diseñado en la Ley 39/2006, pues se condicionarían unilateralmente las decisiones estatales en relación con la financiación del sistema de atención a la dependencia olvidando que su nivel de cobertura está condicionado por las disponibilidades financieras y la necesidad de equilibrio en el reparto del gasto público, ya que el Estado viene obligado a conjugar un equilibrio entre la cobertura universal de las prestaciones de atención a la dependencia, la suficiencia de la atención ofrecida y la propia sostenibilidad financiera del sistema de atención a la dependencia (en un sentido similar, STC 63/1987, de 21 de mayo, FJ 17, en referencia a la acción protectora de la Seguridad Social, entre muchas otras).</w:t>
      </w:r>
    </w:p>
    <w:p w:rsidR="00163957" w:rsidRDefault="00163957" w:rsidP="00163957">
      <w:pPr>
        <w:pStyle w:val="TextoNormal"/>
      </w:pPr>
    </w:p>
    <w:p w:rsidR="00163957" w:rsidRDefault="00163957" w:rsidP="00163957">
      <w:pPr>
        <w:pStyle w:val="TextoNormal"/>
      </w:pPr>
      <w:r>
        <w:t xml:space="preserve">Por otra parte, sobre la denunciada falta de participación autonómica, mediante la intervención del entonces existente Consejo Territorial del Sistema para la Autonomía y Atención a la Dependencia, en la decisión estatal hay que señalar que, como ya tenemos establecido (STC 31/2010, de 28 de junio, FJ 111) la participación autonómica habrá de ser regulada por la legislación estatal, sin que pueda sustanciarse respecto de los órganos decisorios del Estado ni impedir o menoscabar el libre y pleno ejercicio de las competencias estatales. De acuerdo con ello es necesario advertir que la determinación del nivel mínimo financiado por el Estado no forma parte de las funciones de dicho órgano, conforme al art. 8 de la Ley 39/2006, sino que, según el artículo 9, esa decisión corresponde al Gobierno, oído el mencionado Consejo Territorial y ha de fijarse en la Ley de presupuestos generales del Estado. A este respecto, el ya mencionado acuerdo del Consejo Territorial de 10 de julio de 2012 </w:t>
      </w:r>
      <w:r>
        <w:lastRenderedPageBreak/>
        <w:t>pone de manifiesto (apartado 2.15) la necesidad de adoptar medidas de ahorro con efectos en el gasto del sistema de atención a la dependencia, tanto en los presupuestos de las Comunidades Autónomas como en los presupuestos generales del Estado. Así pues, dicha necesidad no era desconocida en el Consejo Territorial y es patente que una medida como la que examinamos produce el efecto que el Consejo consideraba necesario, en el sentido de producir un ahorro inmediato en el sistema de atención a la dependencia.</w:t>
      </w:r>
    </w:p>
    <w:p w:rsidR="00163957" w:rsidRDefault="00163957" w:rsidP="00163957">
      <w:pPr>
        <w:pStyle w:val="TextoNormal"/>
      </w:pPr>
    </w:p>
    <w:p w:rsidR="00163957" w:rsidRDefault="00163957" w:rsidP="00163957">
      <w:pPr>
        <w:pStyle w:val="TextoNormal"/>
      </w:pPr>
      <w:r>
        <w:t>En suma, por todo lo expuesto, el legislador estatal no ha rebasado el ámbito de las funciones que le corresponden en la apreciación de aquellas circunstancias socioeconómicas que inevitablemente condicionan la adecuación y actualización del sistema de atención a la dependencia, cuyo nivel de cobertura se ve condicionado por las disponibilidades financieras, por lo que no queda sino rechazar la queja que se plantea.</w:t>
      </w:r>
    </w:p>
    <w:p w:rsidR="00163957" w:rsidRDefault="00163957" w:rsidP="00163957">
      <w:pPr>
        <w:pStyle w:val="TextoNormal"/>
      </w:pPr>
    </w:p>
    <w:p w:rsidR="00163957" w:rsidRDefault="00163957" w:rsidP="00163957">
      <w:pPr>
        <w:pStyle w:val="TextoNormal"/>
      </w:pPr>
      <w:r w:rsidRPr="00163957">
        <w:rPr>
          <w:rStyle w:val="NumeroAFNegritaCaracter"/>
        </w:rPr>
        <w:t>9</w:t>
      </w:r>
      <w:r>
        <w:t>. Procede, a continuación, examinar la controversia competencial que se traba en relación con el art. 27 del Real Decreto-ley 20/2012, al que se le reprocha la vulneración de las competencias autonómicas en materia de comercio interior, vulneración que es negada por el Abogado del Estado.</w:t>
      </w:r>
    </w:p>
    <w:p w:rsidR="00163957" w:rsidRDefault="00163957" w:rsidP="00163957">
      <w:pPr>
        <w:pStyle w:val="TextoNormal"/>
      </w:pPr>
    </w:p>
    <w:p w:rsidR="00163957" w:rsidRDefault="00163957" w:rsidP="00163957">
      <w:pPr>
        <w:pStyle w:val="TextoNormal"/>
      </w:pPr>
      <w:r>
        <w:t>La demanda plantea la inconstitucionalidad de los arts. 27.1 y 4, que modifican el art. 3 y la disposición adicional primera de la Ley 1/2004, que tienen por objeto la determinación del horario global semanal en el que los comercios podrán desarrollar su actividad. Igualmente se cuestiona el régimen de domingos y festivos de apertura que deriva de los arts. 27.2 y 5, que dan nueva redacción al art. 4 y a la disposición adicional segunda de la citada Ley 1/2004, así como, por conexión con ellos, la disposición transitoria decimocuarta, párrafo primero, y la disposición final tercera del Real Decreto-ley 20/2012. Finalmente se controvierte el art. 27.3, en cuanto modifica el art. 5 de la Ley 1/2004 para regular los establecimientos con régimen especial de horarios así como para fijar criterios para la determinación de las zonas de gran afluencia turística por parte de las Comunidades Autónomas. Aspecto por el que se impugnan, por conexión, la disposición adicional undécima y anexo así como la disposición final segunda del Real Decreto-ley 20/2012.</w:t>
      </w:r>
    </w:p>
    <w:p w:rsidR="00163957" w:rsidRDefault="00163957" w:rsidP="00163957">
      <w:pPr>
        <w:pStyle w:val="TextoNormal"/>
      </w:pPr>
    </w:p>
    <w:p w:rsidR="00163957" w:rsidRDefault="00163957" w:rsidP="00163957">
      <w:pPr>
        <w:pStyle w:val="TextoNormal"/>
      </w:pPr>
      <w:r>
        <w:t>De acuerdo con la disposición final cuarta del Real Decreto-ley 20/2012, el título V de la propia norma, en el que se inserta el art. 27, “se dicta al amparo del art. 149.1.13 de la Constitución que atribuyen al Estado la competencia sobre las bases y coordinación de la planificación general de la actividad económica”.</w:t>
      </w:r>
    </w:p>
    <w:p w:rsidR="00163957" w:rsidRDefault="00163957" w:rsidP="00163957">
      <w:pPr>
        <w:pStyle w:val="TextoNormal"/>
      </w:pPr>
    </w:p>
    <w:p w:rsidR="00163957" w:rsidRDefault="00163957" w:rsidP="00163957">
      <w:pPr>
        <w:pStyle w:val="TextoNormal"/>
      </w:pPr>
      <w:r>
        <w:t>Tratándose de una disputa de naturaleza competencial debemos, en primer lugar, encuadrar la cuestión discutida en la materia que le sea propia que, en el presente supuesto, no es otra que la del comercio interior en la que, conforme a nuestra doctrina, se integran los horarios comerciales (por todas, STC 88/2010, de 15 de noviembre, FJ 2).</w:t>
      </w:r>
    </w:p>
    <w:p w:rsidR="00163957" w:rsidRDefault="00163957" w:rsidP="00163957">
      <w:pPr>
        <w:pStyle w:val="TextoNormal"/>
      </w:pPr>
    </w:p>
    <w:p w:rsidR="00163957" w:rsidRDefault="00163957" w:rsidP="00163957">
      <w:pPr>
        <w:pStyle w:val="TextoNormal"/>
      </w:pPr>
      <w:r>
        <w:t xml:space="preserve">Por lo que hace a la determinación de las competencias autonómicas en esta materia hemos de tener en cuenta lo dispuesto en el art. 121.1 c) EAC, que atribuye a la Comunidad Autónoma la competencia exclusiva en materia de comercio y ferias, lo que incluye “la regulación de los horarios comerciales respetando en su ejercicio el principio constitucional de unidad de mercado”. Previsión estatutaria sobre la que nos hemos pronunciado ya en la STC 31/2010, de 28 de junio, señalando (FJ 68) que: “en cuanto al apartado 1 c) del art. 121 EAC, que atribuye a la Generalitat “la regulación de los horarios comerciales respetando en </w:t>
      </w:r>
      <w:r>
        <w:lastRenderedPageBreak/>
        <w:t>su ejercicio el principio constitucional de unidad de mercado”, la demanda considera que el precepto resultaría inobjetable si en su enunciado se entendiera salvaguardada la competencia estatal del art. 149.1.13 CE. La regulación de los horarios comerciales se encuadra en la materia de comercio interior, debiendo la competencia autonómica cohonestarse con la competencia que al Estado atribuye el art. 149.1.13 CE (STC 254/2004, de 22 de diciembre, FJ 7 y las allí citadas). Toda vez que, según venimos insistiendo, no es preciso que los preceptos estatutarios salvaguarden las competencias del Estado que el art. 149.1 CE proclama, el art. 121.1 c) EAC no impide ni menoscaba el ejercicio de la competencia estatal del art. 149.1.13 CE, por lo que la impugnación debe ser desestimada”.</w:t>
      </w:r>
    </w:p>
    <w:p w:rsidR="00163957" w:rsidRDefault="00163957" w:rsidP="00163957">
      <w:pPr>
        <w:pStyle w:val="TextoNormal"/>
      </w:pPr>
    </w:p>
    <w:p w:rsidR="00163957" w:rsidRDefault="00163957" w:rsidP="00163957">
      <w:pPr>
        <w:pStyle w:val="TextoNormal"/>
      </w:pPr>
      <w:r>
        <w:t>Por tanto, este Tribunal Constitucional ha afirmado que es posible que, en relación con el comercio interior, incidan competencias estatales y en tal sentido hemos recordado en la STC 88/2010 (FJ 2), con cita de decisiones anteriores, que: “a partir de este encuadramiento material hemos dicho en la STC 284/1993, de 30 de septiembre, que sobre el comercio interior pueden incidir las competencias básicas del Estado previstas en el art. 149.1.13 CE, si bien cada Comunidad Autónoma, dentro de su ámbito territorial, podrá ejercer las competencias de desarrollo normativo y/o ejecución, según lo establecido en el respectivo Estatuto en materia de comercio interior [STC 284/1993, de 30 de septiembre, FJ 4 a), con remisión a la STC 225/1993, de 8 de julio].”</w:t>
      </w:r>
    </w:p>
    <w:p w:rsidR="00163957" w:rsidRDefault="00163957" w:rsidP="00163957">
      <w:pPr>
        <w:pStyle w:val="TextoNormal"/>
      </w:pPr>
    </w:p>
    <w:p w:rsidR="00163957" w:rsidRDefault="00163957" w:rsidP="00163957">
      <w:pPr>
        <w:pStyle w:val="TextoNormal"/>
      </w:pPr>
      <w:r>
        <w:t xml:space="preserve">Así pues, una vez centrado el debate en tales términos, debemos pronunciarnos acerca de si el Estado, al dictar las reglas impugnadas contenidas en el art. 27 del Real Decreto-ley 20/2012, con el carácter de norma básica </w:t>
      </w:r>
      <w:r w:rsidRPr="00163957">
        <w:rPr>
          <w:i/>
        </w:rPr>
        <w:t>ex</w:t>
      </w:r>
      <w:r>
        <w:t xml:space="preserve"> art. 149.1.13 CE que le atribuye la disposición final cuarta, se ha atenido a un ejercicio adecuado de sus competencias o, por el contrario, ha incurrido en un exceso competencial vulnerador de las competencias autonómicas en materia de comercio interior.</w:t>
      </w:r>
    </w:p>
    <w:p w:rsidR="00163957" w:rsidRDefault="00163957" w:rsidP="00163957">
      <w:pPr>
        <w:pStyle w:val="TextoNormal"/>
      </w:pPr>
    </w:p>
    <w:p w:rsidR="00163957" w:rsidRDefault="00163957" w:rsidP="00163957">
      <w:pPr>
        <w:pStyle w:val="TextoNormal"/>
      </w:pPr>
      <w:r>
        <w:t>Siendo evidente que el artículo 27 es un precepto formalmente básico, pues con tal carácter se proclama en la disposición final cuarta del Real Decreto-ley 20/2012, lo que hemos ahora de dilucidar es si aquel puede ser considerado, también, como materialmente básico. Para ello atenderemos a nuestra doctrina según la cual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14/2004, de 13 de febrero, FJ 11, con cita de otras).</w:t>
      </w:r>
    </w:p>
    <w:p w:rsidR="00163957" w:rsidRDefault="00163957" w:rsidP="00163957">
      <w:pPr>
        <w:pStyle w:val="TextoNormal"/>
      </w:pPr>
    </w:p>
    <w:p w:rsidR="00163957" w:rsidRDefault="00163957" w:rsidP="00163957">
      <w:pPr>
        <w:pStyle w:val="TextoNormal"/>
      </w:pPr>
      <w:r>
        <w:t>A tal fin examinaremos los preceptos impugnados siguiendo nuevamente el orden en el que aparecen en la demanda.</w:t>
      </w:r>
    </w:p>
    <w:p w:rsidR="00163957" w:rsidRDefault="00163957" w:rsidP="00163957">
      <w:pPr>
        <w:pStyle w:val="TextoNormal"/>
      </w:pPr>
    </w:p>
    <w:p w:rsidR="00163957" w:rsidRDefault="00163957" w:rsidP="00163957">
      <w:pPr>
        <w:pStyle w:val="TextoNormal"/>
      </w:pPr>
      <w:r>
        <w:t>a) Comenzaremos por el examen de los artículos 27.1 y 4. El apartado 1 modifica el art. 3.1 de la Ley 1/2004 y establece que el horario global en el que los comercios pueden desarrollar su actividad en días laborables no puede ser restringido por las Comunidades Autónomas a menos de 90 horas. El apartado cuatro, modificando la disposición adicional primera de la Ley 1/2004, dispone que, en el caso de que las Comunidades Autónomas no hagan uso de esta facultad, se entenderá que los comerciantes disponen de plena libertad horaria.</w:t>
      </w:r>
    </w:p>
    <w:p w:rsidR="00163957" w:rsidRDefault="00163957" w:rsidP="00163957">
      <w:pPr>
        <w:pStyle w:val="TextoNormal"/>
      </w:pPr>
    </w:p>
    <w:p w:rsidR="00163957" w:rsidRDefault="00163957" w:rsidP="00163957">
      <w:pPr>
        <w:pStyle w:val="TextoNormal"/>
      </w:pPr>
      <w:r>
        <w:lastRenderedPageBreak/>
        <w:t xml:space="preserve">La intervención estatal </w:t>
      </w:r>
      <w:r w:rsidRPr="00163957">
        <w:rPr>
          <w:i/>
        </w:rPr>
        <w:t>ex</w:t>
      </w:r>
      <w:r>
        <w:t xml:space="preserve"> art. 149.1.13 CE en la regulación de los horarios comerciales ya ha sido reconocida por nuestra doctrina por su carácter “particularmente relevante en la ordenación de la actividad comercial minorista, rama o sector de la economía nacional respecto a la cual el Estado puede, conforme a nuestra doctrina, establecer medidas básicas en cuanto lo requiera la adecuada ordenación de la actividad económica” (STC 88/2010, FJ 5, reiterado en la STC 26/2012, de 1 de marzo, FJ 7).</w:t>
      </w:r>
    </w:p>
    <w:p w:rsidR="00163957" w:rsidRDefault="00163957" w:rsidP="00163957">
      <w:pPr>
        <w:pStyle w:val="TextoNormal"/>
      </w:pPr>
    </w:p>
    <w:p w:rsidR="00163957" w:rsidRDefault="00163957" w:rsidP="00163957">
      <w:pPr>
        <w:pStyle w:val="TextoNormal"/>
      </w:pPr>
      <w:r>
        <w:t xml:space="preserve">Cuando la intervención estatal ha consistido en establecer un régimen de libertad total de las empresas para la fijación de los horarios, nuestra doctrina ha considerado que no requería ulteriores desarrollos legislativos porque comportaba una desregulación legal en esta materia que no producía un vaciamiento de la competencia autonómica de comercio interior en la medida en que esta posee un ámbito más extenso y la decisión estatal afectaba únicamente a una materia o subsector específico, el relativo al régimen de horarios comerciales (SSTC 225/1993, de 8 de julio, FJ 3; 264/1993, de 22 de julio, FJ 3; 284/1993, de 30 de septiembre, FJ 4, y 140/2011, de 14 de septiembre, FJ 4). Igualmente hemos considerado básico </w:t>
      </w:r>
      <w:r w:rsidRPr="00163957">
        <w:rPr>
          <w:i/>
        </w:rPr>
        <w:t>ex</w:t>
      </w:r>
      <w:r>
        <w:t xml:space="preserve"> art. 149.1.13 CE un régimen de horarios comerciales fijado por el Estado en el que se impedía que el horario global semanal pudiera restringirse a menos de 72 horas, correspondiendo al propietario, dentro del respeto al límite semanal, determinar el horario diario de apertura y cierre del establecimiento (STC 26/2012, FJ 7). Es cierto que en dicho pronunciamiento señalamos también que la norma estatal permitía desarrollos normativos autonómicos los cuales, en la norma que ahora enjuiciamos, se ven reducidos, al incrementarse el número mínimo de horas de apertura. Sin embargo, tal afirmación se producía al examinar un aspecto meramente instrumental, el modo en que el Estado había concretado el ejercicio de su competencia a partir de un principio general que sienta la misma STC 26/2012, FJ 7, según el cual “la aplicación de nuestra doctrina en relación con el art. 149.1.13 CE en lo que específicamente respecta a los horarios comerciales [al respecto, STC 225/1993, de 8 de julio, FJ 4 b) </w:t>
      </w:r>
      <w:r w:rsidRPr="00163957">
        <w:rPr>
          <w:i/>
        </w:rPr>
        <w:t>in fine</w:t>
      </w:r>
      <w:r>
        <w:t>] permite sostener que la regulación de los horarios globales semanales no supone sino el establecimiento de unas directrices o criterios globales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w:t>
      </w:r>
    </w:p>
    <w:p w:rsidR="00163957" w:rsidRDefault="00163957" w:rsidP="00163957">
      <w:pPr>
        <w:pStyle w:val="TextoNormal"/>
      </w:pPr>
    </w:p>
    <w:p w:rsidR="00163957" w:rsidRDefault="00163957" w:rsidP="00163957">
      <w:pPr>
        <w:pStyle w:val="TextoNormal"/>
      </w:pPr>
      <w:r>
        <w:t xml:space="preserve">En ese sentido la relación de la regulación que se examina con la competencia estatal del art. 149.1.13 CE es puesta también de manifiesto en la exposición de motivos del Real Decreto-ley 20/2012 al señalar que “se modifica el régimen vigente introduciendo una mayor liberalización de horarios y de apertura comercial en domingos y festivos” afirmando posteriormente que “la ampliación de la libertad de horarios tendrá efectos positivos sobre la productividad y la eficiencia en la distribución comercial minorista y los precios y proporcionará a las empresas una nueva variable que permitirá incrementar la competencia efectiva”. En el caso que ahora examinamos el Estado, en el ejercicio de sus competencias </w:t>
      </w:r>
      <w:r w:rsidRPr="00163957">
        <w:rPr>
          <w:i/>
        </w:rPr>
        <w:t>ex</w:t>
      </w:r>
      <w:r>
        <w:t xml:space="preserve"> art. 149.1.13 CE ha decidido que, para la consecución de los objetivos básicos que persigue, resulta preciso establecer un régimen de más amplia liberalización de horarios, lo que, conforme a la doctrina que hemos expuesto, no resulta contrario al orden constitucional de distribución de competencias, debiendo aquí cesar nuestro enjuiciamiento, pues no corresponde a este Tribunal pronunciarse acerca de si la norma va a conseguir o no los objetivos de política económica perseguidos.</w:t>
      </w:r>
    </w:p>
    <w:p w:rsidR="00163957" w:rsidRDefault="00163957" w:rsidP="00163957">
      <w:pPr>
        <w:pStyle w:val="TextoNormal"/>
      </w:pPr>
    </w:p>
    <w:p w:rsidR="00163957" w:rsidRDefault="00163957" w:rsidP="00163957">
      <w:pPr>
        <w:pStyle w:val="TextoNormal"/>
      </w:pPr>
      <w:r>
        <w:lastRenderedPageBreak/>
        <w:t>La desestimación de la queja planteada respecto al artículo 27.1 conlleva la del artículo 27.4 en la medida en que la norma establece simplemente una consecuencia para el caso de falta de ejercicio de las competencias autonómicas en materia de comercio en el subsector de los horarios comerciales, de modo que no impone una libertad horaria —que sería conforme con el orden competencial, de acuerdo con la doctrina antes citada— sino que permite que las Comunidades Autónomas opten por ella en el caso de que decidan no utilizar las posibilidades de regulación que derivan de la norma estatal.</w:t>
      </w:r>
    </w:p>
    <w:p w:rsidR="00163957" w:rsidRDefault="00163957" w:rsidP="00163957">
      <w:pPr>
        <w:pStyle w:val="TextoNormal"/>
      </w:pPr>
    </w:p>
    <w:p w:rsidR="00163957" w:rsidRDefault="00163957" w:rsidP="00163957">
      <w:pPr>
        <w:pStyle w:val="TextoNormal"/>
      </w:pPr>
      <w:r>
        <w:t>b) Debemos resolver ahora la controversia acerca del régimen de domingos y festivos de apertura que deriva de los artículos 27.2 y 5, que dan nueva redacción al artículo 4 y a la disposición adicional segunda de la citada Ley 1/2004, así como, por conexión con ellos, de la disposición transitoria decimocuarta, párrafo primero, y la disposición final tercera del Real Decreto-ley 20/2012.</w:t>
      </w:r>
    </w:p>
    <w:p w:rsidR="00163957" w:rsidRDefault="00163957" w:rsidP="00163957">
      <w:pPr>
        <w:pStyle w:val="TextoNormal"/>
      </w:pPr>
    </w:p>
    <w:p w:rsidR="00163957" w:rsidRDefault="00163957" w:rsidP="00163957">
      <w:pPr>
        <w:pStyle w:val="TextoNormal"/>
      </w:pPr>
      <w:r>
        <w:t>El artículo 27.2 determina que el número mínimo de domingos y días festivos en los que los comercios podrán permanecer abiertos al público será de dieciséis, si bien las Comunidades Autónomas podrán modificar dicho número en atención a sus necesidades comerciales, incrementándolo o reduciéndolo, sin que en ningún caso se pueda limitar por debajo de diez el número mínimo de domingos y festivos de apertura autorizada, cuyo horario concreto de apertura será determinado libremente por cada comerciante. Igualmente se fijan los criterios que deberán tenerse en cuenta por las Comunidades Autónomas para determinar los concretos domingos y festivos de apertura en su territorio.</w:t>
      </w:r>
    </w:p>
    <w:p w:rsidR="00163957" w:rsidRDefault="00163957" w:rsidP="00163957">
      <w:pPr>
        <w:pStyle w:val="TextoNormal"/>
      </w:pPr>
    </w:p>
    <w:p w:rsidR="00163957" w:rsidRDefault="00163957" w:rsidP="00163957">
      <w:pPr>
        <w:pStyle w:val="TextoNormal"/>
      </w:pPr>
      <w:r>
        <w:t>La Generalitat controvierte tanto la fijación por el Estado del número de domingos y festivos de posible apertura de los establecimientos comerciales (arts. 4.1 y 2 de la Ley 1/2004) como el establecimiento de criterios para su determinación (art. 4.5 de la Ley 1/2004). Ambas quejas han de ser desestimadas conforme se expone a continuación.</w:t>
      </w:r>
    </w:p>
    <w:p w:rsidR="00163957" w:rsidRDefault="00163957" w:rsidP="00163957">
      <w:pPr>
        <w:pStyle w:val="TextoNormal"/>
      </w:pPr>
    </w:p>
    <w:p w:rsidR="00163957" w:rsidRDefault="00163957" w:rsidP="00163957">
      <w:pPr>
        <w:pStyle w:val="TextoNormal"/>
      </w:pPr>
      <w:r>
        <w:t>El punto de partida del régimen establecido en el art. 27.2 del Real Decreto-ley 20/2012, al modificar el art. 4 de la Ley 1/2004, es el del reconocimiento de las competencias autonómicas para determinar los domingos o días festivos en los que podrán permanecer abiertos al público los comercios (apartado 4), respetando el mínimo anual (señalado en los apartados 1 y 2). Así, en lo que respecta a la fijación por el Estado de un número de festivos hábiles para el ejercicio de la actividad comercial, debemos remitirnos a la STC 26/2012, FJ 8, en la que señalamos que “teniendo presentes los objetivos que persigue la regulación estatal en materia de horarios comerciales, relacionados con la necesidad de ‘promover unas adecuadas condiciones de competencia en el sector, contribuir a mejorar la eficiencia en la distribución comercial minorista [y] lograr un adecuado nivel de oferta para los consumidores’ es de apreciar que tales circunstancias determinan el carácter materialmente básico de la norma estatal, en la medida en que tal decisión no es indiferente, en cuanto estímulo a la demanda privada de bienes de consumo y al empleo en dicho sector comercial, lo que justifica que puede ser adoptada por el Estado en atención a su incidencia directa y significativa sobre la actividad económica general y la comercial en particular”. Por otra parte, al igual que en el caso allí examinado, la opción legislativa estatal supone el establecimiento de normas básicas en lo relativo a la intervención administrativa en la fijación de los horarios comerciales cuya concreción requiere de la actuación autonómica, para, respetando el mínimo estatal, fijar el número y determinación concreta de los festivos de apertura autorizada, lo que permite excluir la vulneración que se denuncia.</w:t>
      </w:r>
    </w:p>
    <w:p w:rsidR="00163957" w:rsidRDefault="00163957" w:rsidP="00163957">
      <w:pPr>
        <w:pStyle w:val="TextoNormal"/>
      </w:pPr>
    </w:p>
    <w:p w:rsidR="00163957" w:rsidRDefault="00163957" w:rsidP="00163957">
      <w:pPr>
        <w:pStyle w:val="TextoNormal"/>
      </w:pPr>
      <w:r>
        <w:t>La desestimación de esta queja lleva consigo a la del artículo 27.5, que modifica la disposición adicional segunda de la Ley 1/2004, pues la plena libertad de apertura en domingos y festivos es una opción a disposición de la Comunidad Autónoma para el caso de que decida no ejercer las posibilidades de regulación que le ofrece la norma estatal.</w:t>
      </w:r>
    </w:p>
    <w:p w:rsidR="00163957" w:rsidRDefault="00163957" w:rsidP="00163957">
      <w:pPr>
        <w:pStyle w:val="TextoNormal"/>
      </w:pPr>
    </w:p>
    <w:p w:rsidR="00163957" w:rsidRDefault="00163957" w:rsidP="00163957">
      <w:pPr>
        <w:pStyle w:val="TextoNormal"/>
      </w:pPr>
      <w:r>
        <w:t>La nueva redacción del art.4.5 de la Ley 1/2004, establece un régimen mínimo de regulación en materia de apertura de comercios en domingos y festivos, mínimo que, una vez respetado, permite a las Comunidades Autónomas determinar el número y los concretos días de apertura, respondiendo así, en cuanto tiene por finalidad fijar las bases de la regulación en la ordenación de la actividad comercial, a un adecuado ejercicio de las competencias estatales del art. 149.1.13 CE, tal como hemos dejado sentado en la STC 156/2015, FJ 10.</w:t>
      </w:r>
    </w:p>
    <w:p w:rsidR="00163957" w:rsidRDefault="00163957" w:rsidP="00163957">
      <w:pPr>
        <w:pStyle w:val="TextoNormal"/>
      </w:pPr>
    </w:p>
    <w:p w:rsidR="00163957" w:rsidRDefault="00163957" w:rsidP="00163957">
      <w:pPr>
        <w:pStyle w:val="TextoNormal"/>
      </w:pPr>
      <w:r>
        <w:t>Finalmente debemos desestimar las impugnaciones de la disposición transitoria decimocuarta, párrafo primero, y la disposición final tercera del Real Decreto-ley 20/2012 en la medida en que se formulaban por conexión con aquellas relacionadas con preceptos que ya hemos considerado conformes con el orden constitucional de distribución de competencias.</w:t>
      </w:r>
    </w:p>
    <w:p w:rsidR="00163957" w:rsidRDefault="00163957" w:rsidP="00163957">
      <w:pPr>
        <w:pStyle w:val="TextoNormal"/>
      </w:pPr>
    </w:p>
    <w:p w:rsidR="00163957" w:rsidRDefault="00163957" w:rsidP="00163957">
      <w:pPr>
        <w:pStyle w:val="TextoNormal"/>
      </w:pPr>
      <w:r>
        <w:t>c) Por último se controvierte el art. 27.3, en cuanto modifica el art. 5 de la Ley 1/2004 para regular los establecimientos con régimen especial de horarios así como para fijar criterios para la determinación de las zonas de gran afluencia turística por parte de las Comunidades Autónomas, aspecto por el que se impugnan, por conexión, la disposición adicional undécima y anexo así como la disposición final segunda del Real Decreto-ley 20/2012.</w:t>
      </w:r>
    </w:p>
    <w:p w:rsidR="00163957" w:rsidRDefault="00163957" w:rsidP="00163957">
      <w:pPr>
        <w:pStyle w:val="TextoNormal"/>
      </w:pPr>
    </w:p>
    <w:p w:rsidR="00163957" w:rsidRDefault="00163957" w:rsidP="00163957">
      <w:pPr>
        <w:pStyle w:val="TextoNormal"/>
      </w:pPr>
      <w:r>
        <w:t>En cuanto al primero de los aspectos discutidos la Generalitat de Cataluña cuestiona que la nueva regulación del artículo 5 en lo relativo a los establecimientos que gozan de libertad horaria supone el vaciamiento de la competencia autonómica en la materia. Tacha que no puede ser apreciada, pues, en la medida en que se establece una desregulación para determinados tipos de establecimientos es aplicable la doctrina de la STC 140/2011, de 14 de septiembre, FJ 4, en la que consideramos, en relación a determinados establecimientos que resultaba “legítimo que el Estado, por consecuencia, establezca un régimen homogéneo de libertad para todo el territorio nacional, de modo que el empresario decida el régimen de horarios que en cada caso resulta más conveniente para la atención de dicha demanda; legitimidad que no resulta enervada porque en este caso, a diferencia de otras regulaciones de la misma ley, no quepa intervención normativa de las Comunidades Autónomas”.</w:t>
      </w:r>
    </w:p>
    <w:p w:rsidR="00163957" w:rsidRDefault="00163957" w:rsidP="00163957">
      <w:pPr>
        <w:pStyle w:val="TextoNormal"/>
      </w:pPr>
    </w:p>
    <w:p w:rsidR="00163957" w:rsidRDefault="00163957" w:rsidP="00163957">
      <w:pPr>
        <w:pStyle w:val="TextoNormal"/>
      </w:pPr>
      <w:r>
        <w:t xml:space="preserve">La queja sobre la delimitación de las circunstancias por las que determinados lugares (municipios o partes de los mismos) deben ser considerados como “zonas de gran afluencia turística” ha de ser desestimada en aplicación de la doctrina de la STC 156/2015, FJ 10; según la cual “la ley estatal establece, también, un régimen mínimo de regulación en materia de determinación de zonas de gran afluencia turística, pues, con sujeción al mismo las Comunidades Autónomas pueden, también, añadir otras zonas con dicha calificación, haciendo uso de la circunstancia contenida en la letra g) del apartado 4. En efecto, hay que señalar que el precepto permite a las Comunidades Autónomas, no sólo determinar las que deban considerarse como tales, teniendo en cuenta las circunstancias enumeradas en las letras a) a f) del apartado 4, pero, a las anteriores, podrán añadir, también, otras zonas de gran afluencia turística cuando, como establece la letra g), la respectiva Comunidad autónoma aprecie que concurren circunstancias especiales que así lo justifiquen”, lo que hace que “la relación de </w:t>
      </w:r>
      <w:r>
        <w:lastRenderedPageBreak/>
        <w:t xml:space="preserve">los presupuestos que delimitan el concepto de ‘zonas de gran afluencia turística’ no constituyan un catálogo taxativo y cerrado, sino un conjunto de mínimos a los que la Comunidad Autónoma pueda añadir otras circunstancias adicionales de carácter especial que justifiquen tal determinación” Igualmente, en la misma sentencia y fundamento jurídico señalamos que “en el caso del apartado 5 del art. 5, se establece que, cuando concurran las circunstancias que el propio apartado prevé (tratarse de municipios con más de 200.000 habitantes que hayan registrado más de 1.000.000 de pernoctaciones en el año inmediatamente anterior o que cuenten con puertos en los que operen cruceros turísticos que hayan recibido en el año inmediato anterior más de 400.000 pasajeros), se declarará al menos una zona de gran afluencia turística, permitiendo, así que las Comunidades Autónomas puedan establecer zonas adicionales aplicando los criterios previstos en el apartado 4 del propio precepto”. Se trata, por tanto, de reglas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 sin que las normas sean tan exhaustivas o minuciosas “que agoten la regulación de la materia, sino que establecen un </w:t>
      </w:r>
      <w:r w:rsidRPr="00163957">
        <w:rPr>
          <w:i/>
        </w:rPr>
        <w:t>minimum</w:t>
      </w:r>
      <w:r>
        <w:t xml:space="preserve"> sobre el que la Comunidad Autónoma pueda establecer una normativa adicional en el ejercicio de sus competencias”.</w:t>
      </w:r>
    </w:p>
    <w:p w:rsidR="00163957" w:rsidRDefault="00163957" w:rsidP="00163957">
      <w:pPr>
        <w:pStyle w:val="TextoNormal"/>
      </w:pPr>
    </w:p>
    <w:p w:rsidR="00163957" w:rsidRDefault="00163957" w:rsidP="00163957">
      <w:pPr>
        <w:pStyle w:val="TextoNormal"/>
      </w:pPr>
      <w:r>
        <w:t>La desestimación de la tacha formulada contra los art. 5.4 y 5.5 de la Ley 1/2004, en la redacción dada por el Real Decreto-ley 20/2012 lleva consigo la desestimación del recurso respecto a la disposición adicional undécima y anexo y disposición final segunda del Real Decreto-ley 20/2012 en la medida que tales impugnaciones estaban conectadas a la principal.</w:t>
      </w:r>
    </w:p>
    <w:p w:rsidR="00163957" w:rsidRDefault="00163957" w:rsidP="00163957">
      <w:pPr>
        <w:pStyle w:val="TextoNormal"/>
      </w:pPr>
    </w:p>
    <w:p w:rsidR="00163957" w:rsidRDefault="00163957" w:rsidP="00163957">
      <w:pPr>
        <w:pStyle w:val="TextoNormal"/>
      </w:pPr>
      <w:r w:rsidRPr="00163957">
        <w:rPr>
          <w:rStyle w:val="NumeroAFNegritaCaracter"/>
        </w:rPr>
        <w:t>10</w:t>
      </w:r>
      <w:r>
        <w:t>. Restan por examinar las quejas que se formulan al artículo 28, pues la disposición transitoria decimocuarta, párrafo segundo, que se relaciona con aquel, ha de quedar excluida de nuestro enjuiciamiento, en la medida en que la demanda únicamente alude al contenido del precepto, pero no a las razones por las que vulneraría las competencias autonómicas, incumpliendo así la carga alegatoria que pesa sobre el recurrente.</w:t>
      </w:r>
    </w:p>
    <w:p w:rsidR="00163957" w:rsidRDefault="00163957" w:rsidP="00163957">
      <w:pPr>
        <w:pStyle w:val="TextoNormal"/>
      </w:pPr>
    </w:p>
    <w:p w:rsidR="00163957" w:rsidRDefault="00163957" w:rsidP="00163957">
      <w:pPr>
        <w:pStyle w:val="TextoNormal"/>
      </w:pPr>
      <w:r>
        <w:t>La impugnación se circunscribe así al artículo 28, que modifica determinados preceptos de la Ley 7/1996, de 15 de enero, de ordenación del comercio minorista, afectando a la normativa reguladora de todo tipo de actividades de promoción de ventas, es decir, rebajas, saldos, liquidaciones o cualquier otra oferta promocional destinada al incremento de las ventas. Para ello introduce reformas en aquellos preceptos del título II de la citada Ley 7/1996, que se refieren al régimen de promoción de ventas (artículos 18, 20, 25, 26, 27, 28 y 31).</w:t>
      </w:r>
    </w:p>
    <w:p w:rsidR="00163957" w:rsidRDefault="00163957" w:rsidP="00163957">
      <w:pPr>
        <w:pStyle w:val="TextoNormal"/>
      </w:pPr>
    </w:p>
    <w:p w:rsidR="00163957" w:rsidRDefault="00163957" w:rsidP="00163957">
      <w:pPr>
        <w:pStyle w:val="TextoNormal"/>
      </w:pPr>
      <w:r>
        <w:t xml:space="preserve">El apartado 1 añade un apartado 4 al art. 18 de la Ley 7/1996, a fin de permitir que en un mismo comercio puedan simultanearse las actividades de promoción de ventas, excepto la venta por liquidación, teniendo la consideración de actividades de promoción de ventas las ventas en rebajas, las ventas en oferta o promoción, las ventas de saldos, las ventas en liquidación, las ventas con obsequio y las ofertas de venta directa (artículo18.1). El apartado 2 incorpora un nuevo apartado 3 al artículo 20 intitulado “constancia de la reducción de precios” para disponer que en ningún caso pueden condicionarse las actividades de promoción de ventas a la existencia de una reducción porcentual mínima o máxima. El apartado 3 modifica el art. 25 de la Ley 7/1996, que fijaba las temporadas de rebajas y su duración, para </w:t>
      </w:r>
      <w:r>
        <w:lastRenderedPageBreak/>
        <w:t>establecer que cada comerciante podrá decidir libremente los periodos de rebajas y su duración. El apartado 4 dispone que los artículos de rebajas deberán haberse incluido con anterioridad en la oferta habitual de ventas, suprimiendo los requisitos anteriormente fijados en el art. 26.1 de la Ley 7/1996. La modificación introducida por el apartado 5 se limita a añadir al art. 27 de la Ley 7/1996 el inciso “los artículos que vayan a comerciarse como en productos en promoción podrán adquirirse con este exclusivo fin”, a la redacción anterior que establecía que “los productos en promoción no podrán estar deteriorados, ni tampoco ser de peor calidad que los mismos productos que vayan a ser objeto de futura oferta ordinaria a precio normal”. El apartado 6 da nueva redacción al art. 28 de la Ley 7/1996, relativo a la definición de la venta de saldos, suprimiendo su apartado 3, que establecía que “tampoco cabe calificar como venta de saldos aquella en que los productos no pertenecieran al comerciante seis meses antes de la fecha de comienzo de este tipo de actividad comercial, excepción hecha de los establecimientos dedicados específicamente al referido sistema de venta”. Finalmente el apartado 7 modifica el artículo 31, estableciendo, en el apartado 1, que la duración máxima de la venta en liquidación debe ser de un año y en el apartado dos, que “no procederá efectuar una nueva liquidación en el mismo establecimiento de productos similares a la anterior en el curso de los tres años siguientes, excepto cuando esta última tenga lugar en ejecución de decisión judicial o administrativa, por cesación total de la actividad o por causa de fuerza mayor”.</w:t>
      </w:r>
    </w:p>
    <w:p w:rsidR="00163957" w:rsidRDefault="00163957" w:rsidP="00163957">
      <w:pPr>
        <w:pStyle w:val="TextoNormal"/>
      </w:pPr>
    </w:p>
    <w:p w:rsidR="00163957" w:rsidRDefault="00163957" w:rsidP="00163957">
      <w:pPr>
        <w:pStyle w:val="TextoNormal"/>
      </w:pPr>
      <w:r>
        <w:t>La Generalitat de Cataluña considera que las modificaciones del art. 28 del Real Decreto-ley 20/2012, todas ellas dirigidas a liberalizar las ventas promocionales, no tienen la incidencia en la actividad económica requerida para justificar su amparo en el art. 149.1.13 CE, ni tampoco encuentran fundamento en el art. 149.1.6 CE, sino que, por el contrario, se trata de medidas relacionadas con la defensa de los consumidores y usuarios y con la regulación administrativa de las ventas promocionales, extremos ambos de competencia autonómica conforme a los arts. 121.1 y 123 a) EAC. El Abogado del Estado ha defendido que las modificaciones se dictan al amparo de la competencia estatal del art. 149.1.13 CE, en razón de su finalidad liberalizadora que exige una uniformidad en todo el territorio.</w:t>
      </w:r>
    </w:p>
    <w:p w:rsidR="00163957" w:rsidRDefault="00163957" w:rsidP="00163957">
      <w:pPr>
        <w:pStyle w:val="TextoNormal"/>
      </w:pPr>
    </w:p>
    <w:p w:rsidR="00163957" w:rsidRDefault="00163957" w:rsidP="00163957">
      <w:pPr>
        <w:pStyle w:val="TextoNormal"/>
      </w:pPr>
      <w:r>
        <w:t xml:space="preserve">Respecto al encuadramiento competencial de lo aquí discutido, la STC 26/2012, FJ 3, reitera nuestra anterior doctrina y señala que las competencias autonómicas, tanto en materia de comercio interior como de defensa de consumidores y usuarios, no pueden dejar de atemperarse a la disciplina establecida por el Estado en el ejercicio de sus competencias propias, lo que significa que las competencias asumidas por las Comunidades Autónomas han de respetar el legítimo ejercicio de las competencias del Estado relacionadas en el art. 149.1 CE. A la delimitación de competencias en la materia comercio también se refiere la STC 31/2010, de 28 de junio, FJ 68, con cita de doctrina anterior, en los términos siguientes “partiendo de la plena eficacia de las competencias estatales concurrentes relacionadas en el art. 149.1 CE, que no requieren de salvaguarda explícita como hemos tenido ocasión de señalar en los fundamentos jurídicos 59 y 64, debemos diferenciar, de un lado, el ámbito de la regulación administrativa de la actividad comercial, es decir, la disciplina de la proyección y alcance jurídico-público de estas ventas (por todas, STC 124/2003, de 19 de junio, FJ 7), y, de otro, el propio del régimen de derechos y obligaciones específico de las relaciones contractuales privadas. Pues bien, si en el ámbito jurídico-público señalado se proyectan con normalidad las competencias autonómicas, en el jurídico-privado lo hacen las competencias del Estado </w:t>
      </w:r>
      <w:r w:rsidRPr="00163957">
        <w:rPr>
          <w:i/>
        </w:rPr>
        <w:t>ex</w:t>
      </w:r>
      <w:r>
        <w:t xml:space="preserve"> art. 149.1.6 y 8 CE (STC 124/2003, FJ 7). Añadiéndose a los dos ámbitos anteriores un tercer plano que afecta a la defensa de la competencia, es decir a los </w:t>
      </w:r>
      <w:r>
        <w:lastRenderedPageBreak/>
        <w:t xml:space="preserve">aspectos atinentes al ‘régimen de la competencia de los ofertantes’ (STC 157/2004, de 23 de septiembre, FJ 9), que corresponde disciplinar también al Estado </w:t>
      </w:r>
      <w:r w:rsidRPr="00163957">
        <w:rPr>
          <w:i/>
        </w:rPr>
        <w:t>ex</w:t>
      </w:r>
      <w:r>
        <w:t xml:space="preserve"> art. 149.1.13 CE”.</w:t>
      </w:r>
    </w:p>
    <w:p w:rsidR="00163957" w:rsidRDefault="00163957" w:rsidP="00163957">
      <w:pPr>
        <w:pStyle w:val="TextoNormal"/>
      </w:pPr>
    </w:p>
    <w:p w:rsidR="00163957" w:rsidRDefault="00163957" w:rsidP="00163957">
      <w:pPr>
        <w:pStyle w:val="TextoNormal"/>
      </w:pPr>
      <w:r>
        <w:t>Asimismo, en materia de consumidores y usuarios, la STC 31/2010, FJ 70, recuerda que “la materia de defensa de los consumidores es un ámbito de concurrencia competencial de títulos habilitantes diferentes, de manera que la atribución estatutaria de la competencia de carácter exclusivo a la Comunidad Autónoma no puede afectar a las competencias reservadas por la Constitución al Estado (art. 149.1 CE), que se proyectarán cuando materialmente corresponda (STC 15/1989, de 26 de enero, FJ 1), sin necesidad de que el Estatuto incorpore cláusulas de salvaguardia de las competencias estatales (fundamentos jurídicos 59 y 64)”.</w:t>
      </w:r>
    </w:p>
    <w:p w:rsidR="00163957" w:rsidRDefault="00163957" w:rsidP="00163957">
      <w:pPr>
        <w:pStyle w:val="TextoNormal"/>
      </w:pPr>
    </w:p>
    <w:p w:rsidR="00163957" w:rsidRDefault="00163957" w:rsidP="00163957">
      <w:pPr>
        <w:pStyle w:val="TextoNormal"/>
      </w:pPr>
      <w:r>
        <w:t>Finalmente cumple recordar que de la doctrina constitucional en torno a las modalidades de venta (por todas, STC 228/1993, FJ 5) ya ha advertido de las dificultades existentes para deslindar, ante una regulación concreta, lo que sea propio del ámbito “defensa de los consumidores” y lo que corresponda a la “defensa de la competencia”, de modo que, como se confirma en resoluciones posteriores (SSTC 157/2004, de 23 de septiembre; 106/2009, de 4 de mayo; 4/2011, de 14 de febrero, y 26/2012), en la caracterización competencial de una determinada norma lo relevante será atender al “objetivo predominante” de la norma reguladora de una determinada modalidad de venta, con el fin de determinar si el mismo incide en el plano de la situación de las empresas en su actuación en el mercado en relación con otras empresas o más bien en la actuación de la empresa frente a los consumidores.</w:t>
      </w:r>
    </w:p>
    <w:p w:rsidR="00163957" w:rsidRDefault="00163957" w:rsidP="00163957">
      <w:pPr>
        <w:pStyle w:val="TextoNormal"/>
      </w:pPr>
    </w:p>
    <w:p w:rsidR="00163957" w:rsidRDefault="00163957" w:rsidP="00163957">
      <w:pPr>
        <w:pStyle w:val="TextoNormal"/>
      </w:pPr>
      <w:r>
        <w:t>Los preceptos impugnados se afirman dictados al amparo del art. 149.1.13 CE, según reza la disposición final cuarta, pese a que, como hace notar la demanda, en la versión originaria de la Ley 7/1996 tenían carácter supletorio, salvo los arts. 25, 28.1 y 31.2 que se fundamentaban en la competencia exclusiva que el art. 149.1.6 CE atribuye al Estado para regular el Derecho mercantil de la competencia.</w:t>
      </w:r>
    </w:p>
    <w:p w:rsidR="00163957" w:rsidRDefault="00163957" w:rsidP="00163957">
      <w:pPr>
        <w:pStyle w:val="TextoNormal"/>
      </w:pPr>
    </w:p>
    <w:p w:rsidR="00163957" w:rsidRDefault="00163957" w:rsidP="00163957">
      <w:pPr>
        <w:pStyle w:val="TextoNormal"/>
      </w:pPr>
      <w:r>
        <w:t>Con respecto a la trascendencia que tengan los cambios en la calificación competencial de las normas impugnadas debemos realizar dos consideraciones. La primera es que el legislador estatal es libre para determinar el título competencial en el que funda sus decisiones, siendo lo único relevante a la hora de determinar la constitucionalidad o no de la normativa controvertida que responda a un legítimo ejercicio de las competencias estatales. La segunda es que, conforme a reiterada doctrina, corresponde en todo caso a este Tribunal identificar finalmente el título competencial concreto que ofrezca —cuando proceda— cobertura a los preceptos impugnados, sin que en dicha tarea se encuentre vinculado por “las incardinaciones competenciales contenidas en las normas sometidas a su enjuiciamiento” (STC 144/1985, de 25 de abril, FJ 1), ni tampoco “por el encuadramiento competencial que realicen las partes en el proceso” (por todas, STC 74/2014, de 8 de mayo).</w:t>
      </w:r>
    </w:p>
    <w:p w:rsidR="00163957" w:rsidRDefault="00163957" w:rsidP="00163957">
      <w:pPr>
        <w:pStyle w:val="TextoNormal"/>
      </w:pPr>
    </w:p>
    <w:p w:rsidR="00163957" w:rsidRDefault="00163957" w:rsidP="00163957">
      <w:pPr>
        <w:pStyle w:val="TextoNormal"/>
      </w:pPr>
      <w:r>
        <w:t>Señalado todo lo anterior podemos ya comenzar el enjuiciamiento que se nos demanda.</w:t>
      </w:r>
    </w:p>
    <w:p w:rsidR="00163957" w:rsidRDefault="00163957" w:rsidP="00163957">
      <w:pPr>
        <w:pStyle w:val="TextoNormal"/>
      </w:pPr>
    </w:p>
    <w:p w:rsidR="00163957" w:rsidRDefault="00163957" w:rsidP="00163957">
      <w:pPr>
        <w:pStyle w:val="TextoNormal"/>
      </w:pPr>
      <w:r>
        <w:t xml:space="preserve">El artículo 28.1 tiene como objeto permitir la convivencia de distintas modalidades de venta en un único establecimiento comercial. Se trata de un modo de intervención pública que pretende ordenar el mercado, eliminando restricciones existentes en la regulación anterior, que afecta al régimen de competencia entre los ofertantes permitiéndoles el desempeño simultáneo de varias actividades comerciales. En la medida, por tanto, en que se trata de </w:t>
      </w:r>
      <w:r>
        <w:lastRenderedPageBreak/>
        <w:t xml:space="preserve">una regulación que afecta sobre todo a la relación horizontal entre las empresas en una economía de libre mercado y no a la situación del consumidor como destinatario de los productos, su aprobación corresponde al ente territorial competente para legislar en el ámbito de la defensa de la competencia, esto es, el Estado en virtud del art. 149.1.13 CE (en un sentido similar, STC 26/2012, FJ 10). Eso mismo sucede en relación con el artículo 28.2 en cuanto se refiere a los condicionantes necesarios para la puesta en práctica de las actividades de promoción de ventas. Al artículo 28.3, que permite a cada comerciante decidir libremente los periodos de rebajas y su duración, le es aplicable nuestra doctrina según la cual las normas que regulan un marco temporal para el desarrollo de específicas modalidades de ventas, deben considerarse integradas en las normas que velan por la defensa de la competencia (por todas, STC 106/2009, de 4 de mayo, FJ 2), siendo, por tanto, competencia del Estado </w:t>
      </w:r>
      <w:r w:rsidRPr="00163957">
        <w:rPr>
          <w:i/>
        </w:rPr>
        <w:t>ex</w:t>
      </w:r>
      <w:r>
        <w:t xml:space="preserve"> art. 149.1.13 CE.</w:t>
      </w:r>
    </w:p>
    <w:p w:rsidR="00163957" w:rsidRDefault="00163957" w:rsidP="00163957">
      <w:pPr>
        <w:pStyle w:val="TextoNormal"/>
      </w:pPr>
    </w:p>
    <w:p w:rsidR="00163957" w:rsidRDefault="00163957" w:rsidP="00163957">
      <w:pPr>
        <w:pStyle w:val="TextoNormal"/>
      </w:pPr>
      <w:r>
        <w:t>Distinto es el caso de los artículos 28.4 y 5. Ambos contienen disposiciones relativas a los artículos objeto de las ventas en rebajas o de las ventas en promoción o en oferta cuya finalidad principal es la protección de los consumidores que utilicen estas modalidades de venta, haciendo referencia a garantías de autenticidad de los productos objetos de la venta en rebajas para salvaguarda de aquellos, así como estableciendo criterios respecto a los artículos en promoción a fin de evitar engaños o confusiones. Se trata de previsiones jurídico-públicas que atienden fundamentalmente a la situación del consumidor como destinatario de los productos. No forman parte del núcleo normativo que es propio de la figura contractual de la venta en rebajas o de las ventas en promoción o en oferta, ni se sitúan en la defensa de la competencia en el mercado, ni tienen una incidencia significativa en la actividad económica que justifique la invocación del art. 149.1.13 CE. Por el contrario, en tanto que relacionadas directamente con los artículos objeto de las ventas, se inscriben en las competencias autonómicas en materia de comercio interior y protección del consumidor y el usuario. En consecuencia, el art. 28.4, en cuanto que da nueva redacción al art. 26.1 de la Ley 7/1996, y 5, en la redacción que da al art. 27.2 de la Ley 7/1996, son contrarios al orden constitucional de distribución de competencias y, por tanto, inconstitucionales y nulos.</w:t>
      </w:r>
    </w:p>
    <w:p w:rsidR="00163957" w:rsidRDefault="00163957" w:rsidP="00163957">
      <w:pPr>
        <w:pStyle w:val="TextoNormal"/>
      </w:pPr>
    </w:p>
    <w:p w:rsidR="00163957" w:rsidRDefault="00163957" w:rsidP="00163957">
      <w:pPr>
        <w:pStyle w:val="TextoNormal"/>
      </w:pPr>
      <w:r>
        <w:t>La conformidad competencial del artículo 28.6 viene dada por la doctrina de la STC 124/2003, de 19 de junio, FJ 5, en la que ya declaramos que el art. 28.1 de la Ley 7/1996 “tiene encaje en las competencias estatales en la medida en que delimita el ámbito de la excepción que el art. 14.1 de la propia Ley establece a la prohibición general de las ventas a pérdida. En efecto, el citado precepto —no recurrido de inconstitucionalidad— contempla la venta de saldos como supuesto exceptuado de la genérica prohibición de la venta con pérdidas establecida en virtud del título estatal sobre defensa de la competencia; en tales circunstancias, no resulta exorbitante entender que el mismo título habilita al Estado para establecer los límites definitorios de la excepción que la propia norma consagra”. Esa misma consideración es aplicable aquí en la medida en que el subsistente artículo 28.2 cumple esa función de definición de la excepción, sin que con ello se establezca una completa regulación sustantiva de derecho público acerca de la venta de saldos.</w:t>
      </w:r>
    </w:p>
    <w:p w:rsidR="00163957" w:rsidRDefault="00163957" w:rsidP="00163957">
      <w:pPr>
        <w:pStyle w:val="TextoNormal"/>
      </w:pPr>
    </w:p>
    <w:p w:rsidR="00163957" w:rsidRDefault="00163957" w:rsidP="00163957">
      <w:pPr>
        <w:pStyle w:val="TextoNormal"/>
      </w:pPr>
      <w:r>
        <w:t xml:space="preserve">Finalmente, el artículo 28.7 es también conforme con el orden constitucional de delimitación de competencias. En cuanto a la determinación de la duración de la venta en liquidación, es aplicable aquí la doctrina constitucional según la cual las normas que establecen un marco temporal imperativo para el desarrollo de modalidades específicas de venta deben </w:t>
      </w:r>
      <w:r>
        <w:lastRenderedPageBreak/>
        <w:t xml:space="preserve">considerarse integradas en las normas que velan por la defensa de la competencia y su aprobación corresponde al Estado </w:t>
      </w:r>
      <w:r w:rsidRPr="00163957">
        <w:rPr>
          <w:i/>
        </w:rPr>
        <w:t>ex</w:t>
      </w:r>
      <w:r>
        <w:t xml:space="preserve"> art. 149.1.13 CE (STC 228/1993, FJ 6; 157/2004, FJ 9; y 106/2009, FJ 2). Y con respecto a la prohibición de efectuar una nueva liquidación de productos similares en los tres años siguientes, ya la STC 88/1986, de 1 de julio, consideró que un precepto similar excedía de las competencias autonómicas porque suponía impedir el ejercicio de una actividad comercial durante un periodo, lo cual equivalía a “una interdicción del ejercicio del comercio con su contenido propio ... de clara competencia estatal, a tenor del artículo 149.1.6 CE” [FJ 8 f)].</w:t>
      </w:r>
    </w:p>
    <w:p w:rsidR="00163957" w:rsidRDefault="00163957" w:rsidP="00163957">
      <w:pPr>
        <w:pStyle w:val="TextoNormal"/>
      </w:pPr>
    </w:p>
    <w:p w:rsidR="00163957" w:rsidRDefault="00163957" w:rsidP="00163957">
      <w:pPr>
        <w:pStyle w:val="TextoNormal"/>
      </w:pPr>
      <w:r w:rsidRPr="00163957">
        <w:rPr>
          <w:rStyle w:val="NumeroAFNegritaCaracter"/>
        </w:rPr>
        <w:t>11</w:t>
      </w:r>
      <w:r>
        <w:t>. Por último, la impugnación por conexión de la disposición final cuarta que enuncia los títulos competenciales que habilitan al Estado para establecer la regulación que contiene el Real Decreto-ley 20/2012 ha de resolverse en consonancia con las conclusiones alcanzadas en los anteriores fundamentos jurídicos. De esta manera, declarada la inconstitucionalidad y nulidad del artículo 28.4 y 5, la misma suerte ha de correr esa disposición final cuarta, si bien exclusivamente en la medida en que enuncia el título competencial que ya hemos determinado que no presta amparo a esos preceptos.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Estimar parcialmente el presente recurso de inconstitucionalidad y en consecuencia:</w:t>
      </w:r>
    </w:p>
    <w:p w:rsidR="00163957" w:rsidRDefault="00163957" w:rsidP="00163957">
      <w:pPr>
        <w:pStyle w:val="TextoNormal"/>
      </w:pPr>
    </w:p>
    <w:p w:rsidR="00163957" w:rsidRDefault="00163957" w:rsidP="00163957">
      <w:pPr>
        <w:pStyle w:val="TextoNormal"/>
      </w:pPr>
      <w:r>
        <w:t>a) Declarar inconstitucionales y nulos los arts. 28.4 y 28.5 del Real Decreto-ley 20/2012, de 13 de julio, de medidas para garantizar la estabilidad presupuestaria y de fomento de la competitividad, en cuanto que dan nueva redacción a los arts. 26.1 y 27.2 de la Ley 7/1996, de 15 de enero, de ordenación del comercio minorista.</w:t>
      </w:r>
    </w:p>
    <w:p w:rsidR="00163957" w:rsidRDefault="00163957" w:rsidP="00163957">
      <w:pPr>
        <w:pStyle w:val="TextoNormal"/>
      </w:pPr>
    </w:p>
    <w:p w:rsidR="00163957" w:rsidRDefault="00163957" w:rsidP="00163957">
      <w:pPr>
        <w:pStyle w:val="TextoNormal"/>
      </w:pPr>
      <w:r>
        <w:t>b) Declarar que la disposición final cuarta del Real Decreto-ley 20/2012, de 13 de julio, de medidas para garantizar la estabilidad presupuestaria y de fomento de la competitividad es contraria al orden constitucional de distribución de competencias en los términos establecidos en el fundamento jurídico 11.</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cuatro de febrero de dos mil dieciséis.</w:t>
      </w:r>
    </w:p>
    <w:p w:rsidR="00163957" w:rsidRDefault="00163957" w:rsidP="00163957">
      <w:pPr>
        <w:pStyle w:val="ParrafoNormal"/>
      </w:pPr>
    </w:p>
    <w:p w:rsidR="00163957" w:rsidRDefault="00163957" w:rsidP="00163957">
      <w:pPr>
        <w:pStyle w:val="TextoNormalNegritaCentrado"/>
        <w:keepNext/>
      </w:pPr>
      <w:r>
        <w:t xml:space="preserve">Voto particular que formula el Magistrado don Antonio Narváez Rodríguez en relación con la Sentencia dictada en el recurso de inconstitucionalidad núm. </w:t>
      </w:r>
      <w:r>
        <w:lastRenderedPageBreak/>
        <w:t>1983-2013, y al que se adhieren los Magistrados doña Adela Asua Batarrita, don Fernando Valdés Dal-Ré y don Juan Antonio Xiol Ríos.</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emito este Voto particular discrepante porque entiendo que el art. 8, apartado 1 del Real Decreto-ley 20/2012, de 13 de julio, de medidas para garantizar la estabilidad presupuestaria y de fomento de la competitividad, en el particular que ha dado nueva redacción al art. 48 k) de la Ley 7/2007, de 12 de abril, del estatuto básico del empleado público es inconstitucional en lo que se refiere a la específica duración del permiso de tres días por asuntos particulares, que ha regulado temporalmente este precepto respecto de los funcionarios de todas las Administraciones públicas, incluidos los de las Comunidades Autónomas y de las corporaciones locales, sin que deba ser declarado nulo en lo que atañe a los funcionarios de la Administración general del Estado.</w:t>
      </w:r>
    </w:p>
    <w:p w:rsidR="00163957" w:rsidRDefault="00163957" w:rsidP="00163957">
      <w:pPr>
        <w:pStyle w:val="TextoNormal"/>
      </w:pPr>
    </w:p>
    <w:p w:rsidR="00163957" w:rsidRDefault="00163957" w:rsidP="00163957">
      <w:pPr>
        <w:pStyle w:val="TextoNormal"/>
      </w:pPr>
      <w:r>
        <w:t>Las razones de mi discrepancia son coincidentes con las que ya fueron expuestas en el Voto particular formulado a la STC 156/2015, de 9 de julio, al que me remito para evitar reiteraciones innecesarias.</w:t>
      </w:r>
    </w:p>
    <w:p w:rsidR="00163957" w:rsidRDefault="00163957" w:rsidP="00163957">
      <w:pPr>
        <w:pStyle w:val="TextoNormal"/>
      </w:pPr>
    </w:p>
    <w:p w:rsidR="00163957" w:rsidRDefault="00163957" w:rsidP="00163957">
      <w:pPr>
        <w:pStyle w:val="TextoNormal"/>
      </w:pPr>
      <w:r>
        <w:t>Madrid, a cuatro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22" w:name="SENTENCIA_2016_19"/>
      <w:r>
        <w:lastRenderedPageBreak/>
        <w:t>SENTENCIA 19/2016, de 4 de febrero de 2016</w:t>
      </w:r>
    </w:p>
    <w:bookmarkEnd w:id="22"/>
    <w:p w:rsidR="00163957" w:rsidRDefault="00163957" w:rsidP="00163957">
      <w:pPr>
        <w:pStyle w:val="TtuloResolucin"/>
      </w:pPr>
      <w:r>
        <w:t>Pleno</w:t>
      </w:r>
    </w:p>
    <w:p w:rsidR="00163957" w:rsidRDefault="00163957" w:rsidP="00163957">
      <w:pPr>
        <w:pStyle w:val="TtuloBOE"/>
      </w:pPr>
      <w:r>
        <w:t>(BOE núm. 57, de 7 de marzo de 2016)</w:t>
      </w:r>
    </w:p>
    <w:p w:rsidR="00163957" w:rsidRDefault="00163957" w:rsidP="00163957">
      <w:pPr>
        <w:pStyle w:val="TextoNormalCentrado"/>
      </w:pPr>
      <w:r>
        <w:t>ECLI:ES:TC:2016:19</w:t>
      </w:r>
    </w:p>
    <w:p w:rsidR="00163957" w:rsidRDefault="00163957" w:rsidP="00163957">
      <w:pPr>
        <w:pStyle w:val="TextoNormalCentrado"/>
      </w:pPr>
    </w:p>
    <w:p w:rsidR="00163957" w:rsidRDefault="00163957" w:rsidP="00163957">
      <w:pPr>
        <w:pStyle w:val="SntesisDescriptiva"/>
      </w:pPr>
      <w:r>
        <w:t>Recurso de inconstitucionalidad 5851-2013. Interpuesto por el Parlamento de Navarra en relación con diversos preceptos del Real Decreto-ley 9/2013, de 12 de julio, por el que se adoptan medidas urgentes para garantizar la estabilidad financiera del sistema eléctrico.</w:t>
      </w:r>
    </w:p>
    <w:p w:rsidR="00163957" w:rsidRDefault="00163957" w:rsidP="00163957">
      <w:pPr>
        <w:pStyle w:val="SntesisDescriptiva"/>
      </w:pPr>
    </w:p>
    <w:p w:rsidR="00163957" w:rsidRDefault="00163957" w:rsidP="00163957">
      <w:pPr>
        <w:pStyle w:val="SntesisAnaltica"/>
      </w:pPr>
      <w:r>
        <w:t>Límites a los decretos-leyes y principios de irretroactividad y seguridad jurídica: acreditación de la concurrencia del presupuesto habilitante; constitucionalidad de los preceptos legales que establecen un nuevo régimen retributivo para los titulares de las instalaciones de producción de energía eléctrica en régimen primado (STC 270/2015). Voto particular.</w:t>
      </w:r>
    </w:p>
    <w:p w:rsidR="00163957" w:rsidRDefault="00163957" w:rsidP="00163957">
      <w:pPr>
        <w:pStyle w:val="SntesisAnaltica"/>
      </w:pPr>
    </w:p>
    <w:p w:rsidR="00163957" w:rsidRDefault="00163957" w:rsidP="00163957">
      <w:pPr>
        <w:pStyle w:val="Extracto"/>
      </w:pPr>
      <w:r>
        <w:t>1.</w:t>
      </w:r>
      <w:r>
        <w:tab/>
        <w:t>Asunto sustancialmente idéntico al resuelto por la STC 270/2015 [FFJJ 2 a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compuesto por don Francisco Pérez de los Cobos Orihuel,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5851-2013 interpuesto por el Parlamento de Navarra, representado por su Letrado, contra el artículo 1, apartado 2; disposición adicional primera; disposición transitoria tercera; y disposición final segunda del Real Decreto-ley 9/2013, de 12 de julio, por el que se adoptan medidas urgentes para garantizar la estabilidad financiera del sistema eléctrico. Ha comparecido y formulado alegaciones el Abogado del Estado. Ha sido Ponente el Magistrado don Pedro José González-Trevijano Sánchez,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día 11 de octubre de 2013 tuvo entrada en el Registro General de este Tribunal Constitucional, escrito del Letrado del Parlamento de Navarra, por el que, en nombre y representación de dicho Parlamento, interpone recurso de inconstitucionalidad contra el artículo 1, apartado 2; disposición adicional primera; disposición transitoria tercera; y disposición final segunda del Real Decreto-ley 9/2013, de 12 de julio, por el que se adoptan medidas urgentes para garantizar la estabilidad financiera del sistema eléctrico, por infracción </w:t>
      </w:r>
      <w:r>
        <w:lastRenderedPageBreak/>
        <w:t>de los límites establecidos en el art. 86.1 CE y de los principios de irretroactividad de las normas restrictivas de derecho individuales y de seguridad jurídica, garantizados en el art. 9.3 CE.</w:t>
      </w:r>
    </w:p>
    <w:p w:rsidR="00163957" w:rsidRDefault="00163957" w:rsidP="00163957">
      <w:pPr>
        <w:pStyle w:val="TextoNormal"/>
      </w:pPr>
    </w:p>
    <w:p w:rsidR="00163957" w:rsidRDefault="00163957" w:rsidP="00163957">
      <w:pPr>
        <w:pStyle w:val="TextoNormal"/>
      </w:pPr>
      <w:r>
        <w:t>El Letrado del Parlamento de Navarra comienza su escrito aludiendo al contexto regulatorio, con una detallada referencia al conjunto de instrumentos legislativos que desde la Ley 54/1997, de 27 de noviembre, del sector eléctrico, han venido a regular esta actividad de producción de energía eléctrica en régimen especial (renovables, cogeneración y residuos). A su juicio, desde la aparición de la crisis económica se ha llevado a cabo una constante e intensa innovación legislativa del sector eléctrico, verificada primordialmente a través de disposiciones provisionales (reales decretos-leyes), que ha incidido de forma especial en el sector de las energías renovables, cuyo régimen jurídico-económico de incentivación y fomento se ha sacrificado en aras de la reducción del déficit tarifario del sistema eléctrico en su conjunto; sin que esta sucesión de cambios normativos haya contribuido a la seguridad jurídica del sector.</w:t>
      </w:r>
    </w:p>
    <w:p w:rsidR="00163957" w:rsidRDefault="00163957" w:rsidP="00163957">
      <w:pPr>
        <w:pStyle w:val="TextoNormal"/>
      </w:pPr>
    </w:p>
    <w:p w:rsidR="00163957" w:rsidRDefault="00163957" w:rsidP="00163957">
      <w:pPr>
        <w:pStyle w:val="TextoNormal"/>
      </w:pPr>
      <w:r>
        <w:t>El Real Decreto-ley 9/2013, entre otras medidas, afronta una nueva regulación del régimen económico de la producción energética de régimen especial, cuidando de advertir expresamente que el nuevo sistema retributivo lleva aparejada una disminución de la rentabilidad (rebaja de las primas) de las instalaciones renovables y que dicho régimen económico garantiza a las instalaciones de régimen especial una “rentabilidad razonable” de su explotación; pero, si de lo que se trata es de atajar el déficit y lograr la suficiencia tarifaria del sector eléctrico, paliando, entre otros efectos el sobrecoste de las renovables, la reforma no puede desembocar sino en una rebaja de aquella rentabilidad.</w:t>
      </w:r>
    </w:p>
    <w:p w:rsidR="00163957" w:rsidRDefault="00163957" w:rsidP="00163957">
      <w:pPr>
        <w:pStyle w:val="TextoNormal"/>
      </w:pPr>
    </w:p>
    <w:p w:rsidR="00163957" w:rsidRDefault="00163957" w:rsidP="00163957">
      <w:pPr>
        <w:pStyle w:val="TextoNormal"/>
      </w:pPr>
      <w:r>
        <w:t>Procede a continuación el escrito de demanda a exponer las disposiciones constitucionales que resultan infringidas por los preceptos del Real Decreto-ley 9/2013 que son objeto del presente recurso de inconstitucionalidad:</w:t>
      </w:r>
    </w:p>
    <w:p w:rsidR="00163957" w:rsidRDefault="00163957" w:rsidP="00163957">
      <w:pPr>
        <w:pStyle w:val="TextoNormal"/>
      </w:pPr>
    </w:p>
    <w:p w:rsidR="00163957" w:rsidRDefault="00163957" w:rsidP="00163957">
      <w:pPr>
        <w:pStyle w:val="TextoNormal"/>
      </w:pPr>
      <w:r>
        <w:t>a) Vulneración del art. 86.1 CE, por no concurrir el presupuesto habilitante de la extraordinaria y urgente necesidad, en los términos contemplados por la jurisprudencia constitucional; que afecta, en concreto, a la conexión de sentido entre las medidas concretamente adoptadas por la norma de urgencia y la situación extraordinaria que se pretende atender con su aprobación.</w:t>
      </w:r>
    </w:p>
    <w:p w:rsidR="00163957" w:rsidRDefault="00163957" w:rsidP="00163957">
      <w:pPr>
        <w:pStyle w:val="TextoNormal"/>
      </w:pPr>
    </w:p>
    <w:p w:rsidR="00163957" w:rsidRDefault="00163957" w:rsidP="00163957">
      <w:pPr>
        <w:pStyle w:val="TextoNormal"/>
      </w:pPr>
      <w:r>
        <w:t xml:space="preserve">A juicio del Letrado, la reforma del régimen retributivo </w:t>
      </w:r>
      <w:r w:rsidRPr="00163957">
        <w:rPr>
          <w:i/>
        </w:rPr>
        <w:t>pro futuro</w:t>
      </w:r>
      <w:r>
        <w:t xml:space="preserve"> de la producción de energía eléctrica renovable —más allá de su aplicación a las instalaciones existentes de régimen primado— en la forma que se establece en el art. 1, apartado 2 del Real Decreto-ley, es una medida superflua para el fin pretendido, carece de eficacia inmediata alguna y constituye una modificación estructural no indispensable, en tanto se mantenga en vigor la supresión del disfrute del régimen especial primado dispuesto por el Real Decreto-ley 1/2012, toda vez que en la actualidad no existe la posibilidad de poner en funcionamiento instalaciones de régimen especial con derecho a prima.</w:t>
      </w:r>
    </w:p>
    <w:p w:rsidR="00163957" w:rsidRDefault="00163957" w:rsidP="00163957">
      <w:pPr>
        <w:pStyle w:val="TextoNormal"/>
      </w:pPr>
    </w:p>
    <w:p w:rsidR="00163957" w:rsidRDefault="00163957" w:rsidP="00163957">
      <w:pPr>
        <w:pStyle w:val="TextoNormal"/>
      </w:pPr>
      <w:r>
        <w:t xml:space="preserve">La jurisprudencia constitucional ha reclamado que la acción normativa tenga efectos inmediatos, y que su adopción no pueda esperar siquiera a la tramitación de una ley por el procedimiento de urgencia. En este sentido, el proyecto de Ley del sector eléctrico, con un </w:t>
      </w:r>
      <w:r>
        <w:lastRenderedPageBreak/>
        <w:t>contenido idéntico de la regulación futura del régimen económico de las renovables, se tramita actualmente en las Cortes por el procedimiento ordinario, lo que refuerza la inadecuación del Real Decreto-ley para esta regulación estructural. La respuesta a la situación extraordinaria a que pretende hacer frente el Real Decreto-ley 9/2013 debió contraerse al establecimiento de un régimen singular exclusivamente aplicable a las instalaciones de régimen especial existentes a su entrada en vigor, toda vez que sólo aquellas instalaciones, al disfrutar del régimen primado, podían concurrir a la eventual generación del sobrecoste del sistema eléctrico que se trata de atajar.</w:t>
      </w:r>
    </w:p>
    <w:p w:rsidR="00163957" w:rsidRDefault="00163957" w:rsidP="00163957">
      <w:pPr>
        <w:pStyle w:val="TextoNormal"/>
      </w:pPr>
    </w:p>
    <w:p w:rsidR="00163957" w:rsidRDefault="00163957" w:rsidP="00163957">
      <w:pPr>
        <w:pStyle w:val="TextoNormal"/>
      </w:pPr>
      <w:r>
        <w:t>Continúa señalando la demanda que, en relación a las instalaciones existentes a la entrada en vigor del Real Decreto-ley, el nuevo régimen retributivo no tiene una vigencia inmediata. La nueva redacción que el art. 1, apartado 2 da al art. 30.4 de la Ley del sector eléctrico no contiene sino las directrices generales que han de inspirar el modelo, cuya determinación corresponde al Gobierno mediante real decreto (disposición final segunda del Real Decreto-ley 9/2013). No puede oponerse a ello que la disposición adicional primera establezca el concepto de rentabilidad razonable de las instalaciones de régimen especial existentes, porque constituye igualmente una mera directriz inspiradora carente de toda concreción del régimen económico de tales instalaciones. En definitiva, se afirma, la norma controvertida carece de eficacia jurídica inmediata, y buena prueba de ello es que, en tanto no se dicte el Real Decreto que reglamentariamente establezca y desarrolle el nuevo modelo retributivo, rige la normativa reglamentaria anteriormente vigente. Es obvio, por ello, que el Real Decreto-ley carece de la aptitud precisa para modificar de forma inmediata la situación jurídica vigente, por lo que la medida no guarda la debida congruencia con la situación extraordinaria y urgente que trata de atajar, según los parámetros fijados por la doctrina constitucional.</w:t>
      </w:r>
    </w:p>
    <w:p w:rsidR="00163957" w:rsidRDefault="00163957" w:rsidP="00163957">
      <w:pPr>
        <w:pStyle w:val="TextoNormal"/>
      </w:pPr>
    </w:p>
    <w:p w:rsidR="00163957" w:rsidRDefault="00163957" w:rsidP="00163957">
      <w:pPr>
        <w:pStyle w:val="TextoNormal"/>
      </w:pPr>
      <w:r>
        <w:t>b) Vulneración de los principios de irretroactividad y de seguridad jurídica garantizados por el art. 9.3 CE. Dicha vulneración se postula de la disposición transitoria tercera, por conexión con la disposición adicional primera y disposición final segunda del Real Decreto-ley 9/2013.</w:t>
      </w:r>
    </w:p>
    <w:p w:rsidR="00163957" w:rsidRDefault="00163957" w:rsidP="00163957">
      <w:pPr>
        <w:pStyle w:val="TextoNormal"/>
      </w:pPr>
    </w:p>
    <w:p w:rsidR="00163957" w:rsidRDefault="00163957" w:rsidP="00163957">
      <w:pPr>
        <w:pStyle w:val="TextoNormal"/>
      </w:pPr>
      <w:r>
        <w:t>Tras una extensa y detallada referencia a la doctrina constitucional dictada en relación con el art. 9.3 CE, afirma el Letrado del Parlamento de Navarra que las disposiciones mencionadas dotan de retroactividad auténtica al nuevo modelo retributivo de régimen especial.</w:t>
      </w:r>
    </w:p>
    <w:p w:rsidR="00163957" w:rsidRDefault="00163957" w:rsidP="00163957">
      <w:pPr>
        <w:pStyle w:val="TextoNormal"/>
      </w:pPr>
    </w:p>
    <w:p w:rsidR="00163957" w:rsidRDefault="00163957" w:rsidP="00163957">
      <w:pPr>
        <w:pStyle w:val="TextoNormal"/>
      </w:pPr>
      <w:r>
        <w:t xml:space="preserve">Las disposiciones impugnadas dotan de vigencia aplicativa a 13 de julio de 2013, a una normativa reglamentaria que entrará en vigor varios meses después y que, en estos momentos, está pendiente de aprobación, y así se deduce de lo establecido en el apartado 2 de la disposición transitoria tercera del Real Decreto-ley. Las liquidaciones efectuadas durante este interregno con arreglo a la normativa que se deroga, tienen la consideración de pagos a cuenta, pero el devengo real y definitivo de los derechos de cobro por la producción de energía eléctrica renovable durante este período transitorio será el que derive de la nueva normativa reglamentaria pendiente de aprobar, cuyo resultado determinará la presencia de “derechos de cobro u obligaciones de pago” para los productores, que habrán de regularizarse en la forma que la propia disposición transitoria contempla. Esto es, desde el 13 de julio de 2013 regirá un normativa a la sazón inexistente y hoy pendiente de aprobar, siendo la vigencia transitoria de la normativa anterior una mera vigencia virtual, puesta al servicio de la finalidad práctica de realizar los cálculos correspondientes de las liquidaciones de </w:t>
      </w:r>
      <w:r>
        <w:lastRenderedPageBreak/>
        <w:t>energía producida, con un mero carácter provisional. A juicio del representante del Parlamento de Navarra, este resultado no puede conceptuarse sino como la aplicación retroactiva del nuevo régimen retributivo de las energías renovables que se concretará en las normas reglamentarias que corresponde dictar al Gobierno, que aún no han sido aprobadas; tipo de retroactividad que cabe calificar como auténtica o de grado máximo.</w:t>
      </w:r>
    </w:p>
    <w:p w:rsidR="00163957" w:rsidRDefault="00163957" w:rsidP="00163957">
      <w:pPr>
        <w:pStyle w:val="TextoNormal"/>
      </w:pPr>
    </w:p>
    <w:p w:rsidR="00163957" w:rsidRDefault="00163957" w:rsidP="00163957">
      <w:pPr>
        <w:pStyle w:val="TextoNormal"/>
      </w:pPr>
      <w:r>
        <w:t>La nueva redacción del artículo 30.4 establece así de forma genérica directrices que han de servir para la determinación del nuevo modelo retributivo de las energías renovables, con arreglo a conceptos jurídicos indeterminados, cuales son la “rentabilidad razonable” en relación a una “empresa eficiente y bien gestionada”, calculada en virtud de valores estándar respecto a ingresos, costes e inversiones, que deben determinarse en vía reglamentaria. Ello determina que los productores de energía renovable desconocen el régimen retributivo que les corresponde con el mínimo rigor y precisión exigibles, que sólo podrá conocerse tras la aprobación de las disposiciones reglamentarias que serán de aplicación a la producción verificada con anterioridad a su entrada en vigor. Por todo ello, estima el escrito, que los preceptos referidos disponen la aplicación retroactiva a las instalaciones renovables existentes, de un régimen retributivo todavía no establecido a la entrada en vigor del Real Decreto-ley 9/2013, que es susceptible de menoscabar sus derechos adquiridos y consolidados por la producción anterior a la aprobación de las normas reglamentarias que contemplen dicho régimen, resultado que implica la infracción del art. 9.3 CE.</w:t>
      </w:r>
    </w:p>
    <w:p w:rsidR="00163957" w:rsidRDefault="00163957" w:rsidP="00163957">
      <w:pPr>
        <w:pStyle w:val="TextoNormal"/>
      </w:pPr>
    </w:p>
    <w:p w:rsidR="00163957" w:rsidRDefault="00163957" w:rsidP="00163957">
      <w:pPr>
        <w:pStyle w:val="TextoNormal"/>
      </w:pPr>
      <w:r>
        <w:t>Considera el Letrado autonómico que la infracción del principio de irretroactividad, en los términos expuestos, conlleva la vulneración del principio de seguridad jurídica, garantizado también en el art. 9.3 CE, por cuanto la situación generada en el interregno temporal delimitado por la entrada en vigor del Real Decreto-ley 9/2013 y la aprobación de las disposiciones reglamentarias de desarrollo introduce una notoria incertidumbre respecto del régimen jurídico aplicable. Además de lo anterior, la puesta en práctica de una constante e ininterrumpida batería de reformas normativas del sistema retributivo de la producción energética de régimen especial, dirigida a disminuir su coste para el sistema eléctrico, ha afectado a los titulares de las instalaciones de régimen especial actualmente existentes, que realizaron las inversiones y su mantenimiento con arreglo a una normativa legal y reglamentaria que contemplaba un sistema radicalmente distinto de retribución de la explotación del negocio. Las decisiones acerca de las cuantías y la forma de inversión se sustentaban en un marco de expectativas razonables creado por el poder público, lo que hacía legítimo que estos productores confiasen en una mínima estabilidad regulatoria que no frustrase de raíz la rentabilidad de sus inversiones. Así las cosas, existe una justificación razonable para un profundo cambio del régimen económico de las nuevas instalaciones a implantar, pero no lo hay para las existentes con anterioridad, pues las cuantiosas inversiones realizadas inicialmente, no puede pretenderse que sean retribuidas de la misma forma que las nuevas instalaciones que requieren menores costes de inversión, por lo que la modificación del régimen retributivo, respecto de las instalaciones renovables existentes, actúa de manera sorpresiva e imprevisible, vulnerando la confianza legítima que los emprendedores depositaron en el poder público.</w:t>
      </w:r>
    </w:p>
    <w:p w:rsidR="00163957" w:rsidRDefault="00163957" w:rsidP="00163957">
      <w:pPr>
        <w:pStyle w:val="TextoNormal"/>
      </w:pPr>
    </w:p>
    <w:p w:rsidR="00163957" w:rsidRDefault="00163957" w:rsidP="00163957">
      <w:pPr>
        <w:pStyle w:val="TextoNormal"/>
      </w:pPr>
      <w:r>
        <w:t xml:space="preserve">Considera también el Letrado que el Real Decreto-ley 9/2013, al variar de forma radical el régimen económico a que se hallaban sujetas las instalaciones de régimen especial existentes incurre en desconocimiento flagrante del principio de estabilidad regulatoria implícito al Tratado de la carta de la energía, que vincula al Estado español, y, en consecuencia, </w:t>
      </w:r>
      <w:r>
        <w:lastRenderedPageBreak/>
        <w:t>vulnera el principio de seguridad jurídica consagrado en el art. 9.3 CE, menoscabando la confianza legítima en el poder público que tal principio constitucional protege.</w:t>
      </w:r>
    </w:p>
    <w:p w:rsidR="00163957" w:rsidRDefault="00163957" w:rsidP="00163957">
      <w:pPr>
        <w:pStyle w:val="TextoNormal"/>
      </w:pPr>
    </w:p>
    <w:p w:rsidR="00163957" w:rsidRDefault="00163957" w:rsidP="00163957">
      <w:pPr>
        <w:pStyle w:val="TextoNormal"/>
      </w:pPr>
      <w:r w:rsidRPr="00163957">
        <w:rPr>
          <w:rStyle w:val="NumeroAFNegritaCaracter"/>
        </w:rPr>
        <w:t>2</w:t>
      </w:r>
      <w:r>
        <w:t>. El Pleno del Tribunal Constitucional, a propuesta de la Sección Tercera, y mediante providencia de 5 de noviembre de 2013, admitió a trámite el presente recurso de inconstitucionalidad, acordando dar traslado de las actuaciones, conforme establece el art. 34 de la Ley Orgánica del Tribunal Constitucional (LOTC), al Congreso de los Diputados y al Senado, por conducto de sus Presidentes, y al Gobierno de la Nación, a través del Ministerio de Justicia, al objeto de que en el plazo de quince días, pudieran personarse en el proceso y formular las alegaciones que estimaran, así como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El Presidente del Senado, mediante escrito recibido el 20 de noviembre de 2013, comunicó que la Cámara se personaba en el proceso, ofreciendo su colaboración, a los efectos del art. 88.1 LOTC.</w:t>
      </w:r>
    </w:p>
    <w:p w:rsidR="00163957" w:rsidRDefault="00163957" w:rsidP="00163957">
      <w:pPr>
        <w:pStyle w:val="TextoNormal"/>
      </w:pPr>
    </w:p>
    <w:p w:rsidR="00163957" w:rsidRDefault="00163957" w:rsidP="00163957">
      <w:pPr>
        <w:pStyle w:val="TextoNormal"/>
      </w:pPr>
      <w:r>
        <w:t>El Presidente del Congreso de los Diputados, mediante escrito registrado en este Tribunal el 21 de noviembre 2013, comunicó asimismo el acuerdo de la Mesa de la Cámara de personarse en el proceso y dar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4</w:t>
      </w:r>
      <w:r>
        <w:t>. En fecha 3 de diciembre de 2013, tuvo entrada en este Tribunal escrito de alegaciones del Abogado del Estado, en el que solicita se tenga por evacuado el trámite conferido y, en su día, se dicte sentencia desestimatoria del presente recurso en todos sus extremos.</w:t>
      </w:r>
    </w:p>
    <w:p w:rsidR="00163957" w:rsidRDefault="00163957" w:rsidP="00163957">
      <w:pPr>
        <w:pStyle w:val="TextoNormal"/>
      </w:pPr>
    </w:p>
    <w:p w:rsidR="00163957" w:rsidRDefault="00163957" w:rsidP="00163957">
      <w:pPr>
        <w:pStyle w:val="TextoNormal"/>
      </w:pPr>
      <w:r>
        <w:t xml:space="preserve">Comienza señalando el representante estatal, en relación con la alegada vulneración del art. 9.3 CE que, de conformidad con la doctrina constitucional, el concepto de “carácter estable” de las medidas legislativas adoptadas, no significa el derecho a un régimen jurídico inamovible ni la petrificación del ordenamiento, sino que el principio de seguridad jurídica resulta compatible con la alterabilidad del ordenamiento y la libertad de configuración del legislador en orden al desarrollo y evolución del ordenamiento jurídico hasta los límites que puedan considerarse como adecuados a los principios del art. 9 CE. Destaca también que la doctrina ha mantenido que el art. 9.3 CE no contiene en absoluto un límite de carácter general a la retroactividad </w:t>
      </w:r>
      <w:r w:rsidRPr="00163957">
        <w:rPr>
          <w:i/>
        </w:rPr>
        <w:t>in peius</w:t>
      </w:r>
      <w:r>
        <w:t xml:space="preserve"> de las leyes; y que la expresión “restrictiva de derechos individuales” ha de referirse a derechos adquiridos, entendiendo por tales los que surgen de situaciones agotadas o relaciones concluidas, consumadas bajo la anterior legislación, no a las aún vivas o que se hallaren produciendo efectos jurídicos, y de cara a esos efectos futuros, tras la entrada en vigor de la nueva norma.</w:t>
      </w:r>
    </w:p>
    <w:p w:rsidR="00163957" w:rsidRDefault="00163957" w:rsidP="00163957">
      <w:pPr>
        <w:pStyle w:val="TextoNormal"/>
      </w:pPr>
    </w:p>
    <w:p w:rsidR="00163957" w:rsidRDefault="00163957" w:rsidP="00163957">
      <w:pPr>
        <w:pStyle w:val="TextoNormal"/>
      </w:pPr>
      <w:r>
        <w:t xml:space="preserve">En este sentido, la disposición final segunda del Real Decreto-ley 9/2013 establece la vigencia del nuevo régimen de retribución desde la entrada en vigor de dicho Real Decreto-ley, esto es, sin efecto retroactivo alguno, aplicable a la actividad de producción que se lleva a cabo a partir de fuentes de energía renovables, cogeneración y residuos con régimen económico sujeto a prima; no se trata de un régimen jurídico de retribuciones aplazado. El destinatario de la norma sabe qué sistema nuevo de retribuciones, sobre qué bases se asienta y en qué consiste, desde la entrada en vigor del Real Decreto-ley, y cómo se aplicará, es decir, la aplicación provisional con facturaciones a cuenta del sistema vigente; y el por qué </w:t>
      </w:r>
      <w:r>
        <w:lastRenderedPageBreak/>
        <w:t>de la situación: necesidad de precisión reguladora en el sistema de facturación mediante normativa reglamentaria de carácter técnico.</w:t>
      </w:r>
    </w:p>
    <w:p w:rsidR="00163957" w:rsidRDefault="00163957" w:rsidP="00163957">
      <w:pPr>
        <w:pStyle w:val="TextoNormal"/>
      </w:pPr>
    </w:p>
    <w:p w:rsidR="00163957" w:rsidRDefault="00163957" w:rsidP="00163957">
      <w:pPr>
        <w:pStyle w:val="TextoNormal"/>
      </w:pPr>
      <w:r>
        <w:t>A juicio del Abogado del Estado, los elementos normativos básicos o esenciales de la reforma ya están prefijados en la nueva redacción del art. 30.4 de la Ley 54/1997, modificado por el art. 1.3 del Real Decreto-ley. La referencia que se efectúa al Real Decreto que modificará el modelo retributivo, significa el desarrollo, detalle o concreción de ese nuevo régimen retributivo que introduce el Real Decreto-ley 9/2013. Por su parte, la disposición transitoria tercera contiene una norma lógica de derecho transitorio, puesto que la nueva regulación prevé un desarrollo reglamentario para su efectiva aplicación, sin que ello suponga en modo alguno deslegalización o remisión en bloque a la norma reglamentaria, sino, por el contrario, una norma de concreción y ejecución del régimen jurídico esencial ya configurado por el Real Decreto-ley.</w:t>
      </w:r>
    </w:p>
    <w:p w:rsidR="00163957" w:rsidRDefault="00163957" w:rsidP="00163957">
      <w:pPr>
        <w:pStyle w:val="TextoNormal"/>
      </w:pPr>
    </w:p>
    <w:p w:rsidR="00163957" w:rsidRDefault="00163957" w:rsidP="00163957">
      <w:pPr>
        <w:pStyle w:val="TextoNormal"/>
      </w:pPr>
      <w:r>
        <w:t>No se produce, a su juicio, un efecto retroactivo, en tanto que el nuevo régimen jurídico se aplica desde la entrada en vigor del Real Decreto-ley 972013, y así lo prevé de manera explícita la norma, con independencia de que quepa una normativa de desarrollo. La retroactividad que pudiera apreciarse lo sería solo de grado mínimo, pues la aplicación de la nueva ley se produce sólo respecto de los efectos de las situaciones que se generen tras la entrada en vigor de la misma, algo admitido doctrinalmente por la jurisprudencia constitucional, máxime en lo que se refiere al cambio legislativo que experimente el ordenamiento a través de normas con rango de ley, cuya actividad innovadora no contraviene el principio de irretroactividad. Tampoco nos hallamos ante una norma sancionadora en sentido técnico, y la misma no posee alcance expropiatorio alguno, ni incide en derechos patrimoniales ya consolidados e incorporados definitivamente al patrimonio del destinatario de la norma o modificativa de situaciones jurídicas favorables ya agotadas o consumadas.</w:t>
      </w:r>
    </w:p>
    <w:p w:rsidR="00163957" w:rsidRDefault="00163957" w:rsidP="00163957">
      <w:pPr>
        <w:pStyle w:val="TextoNormal"/>
      </w:pPr>
    </w:p>
    <w:p w:rsidR="00163957" w:rsidRDefault="00163957" w:rsidP="00163957">
      <w:pPr>
        <w:pStyle w:val="TextoNormal"/>
      </w:pPr>
      <w:r>
        <w:t>En relación con la alegada infracción del principio de seguridad jurídica, señala el Abogado del Estado que la constatación de la generación e incremento del déficit tarifario y la constante preocupación por su corrección, a fin de garantizar la financiación y viabilidad definitiva del sistema, atestiguan la gravedad de la situación, y frente a ese objetivo patente del legislador, no cabe adoptar una postura de sorpresa acerca de la evolución de las medidas legislativas ni de falta de previsibilidad. Las circunstancias que motivan la regulación de fondo contenida en el Real Decreto-ley, y su condición de norma con rango de ley, disipan la objeción de una supuesta o hipotética falta de seguridad jurídica respecto de la situación regulada, por comparación con la normativa preexistente que viene a modificar. Se recuerda que, conforme a la doctrina constitucional, el principio de seguridad protege la confianza de los ciudadanos, pero no puede entenderse como un supuesto derecho al mantenimiento de una determinado régimen jurídico; la confianza que protege ese principio es únicamente la que puede existir frente a cambios normativos que no sean razonablemente previsibles, y no puede resultar previsible el mantenimiento indefinido e inamovible de una situación, que no conceda al legislador la posibilidad de alteración de ese régimen o la innovación de la realidad jurídica, hacia una situación regida por premisas normales de explotación económica de mercado, en un sector empresarial determinado, es decir no puede pretenderse la permanencia de un sistema protegido.</w:t>
      </w:r>
    </w:p>
    <w:p w:rsidR="00163957" w:rsidRDefault="00163957" w:rsidP="00163957">
      <w:pPr>
        <w:pStyle w:val="TextoNormal"/>
      </w:pPr>
    </w:p>
    <w:p w:rsidR="00163957" w:rsidRDefault="00163957" w:rsidP="00163957">
      <w:pPr>
        <w:pStyle w:val="TextoNormal"/>
      </w:pPr>
      <w:r>
        <w:lastRenderedPageBreak/>
        <w:t>Se rechaza asimismo por el Abogado del Estado la supuesta desigualdad de trato entre empresas del sector eléctrico, pues, como se pone de manifiesto en el informe de la Secretaría General Técnica, “la evolución descontrolada e insostenible del déficit de tarifa ha hecho necesaria la adopción de múltiples medidas…que han afectado a todos los agentes del sistema”. La modificación que ahora se introduce no constituye pues una medida aislada, sino una norma que se integra dentro del conjunto sistemático del ordenamiento.</w:t>
      </w:r>
    </w:p>
    <w:p w:rsidR="00163957" w:rsidRDefault="00163957" w:rsidP="00163957">
      <w:pPr>
        <w:pStyle w:val="TextoNormal"/>
      </w:pPr>
    </w:p>
    <w:p w:rsidR="00163957" w:rsidRDefault="00163957" w:rsidP="00163957">
      <w:pPr>
        <w:pStyle w:val="TextoNormal"/>
      </w:pPr>
      <w:r>
        <w:t>En lo que respecta a la pretendida vulneración del Tratado sobre la carta de la energía, se afirma que la variación del ordenamiento jurídico se ha producido en el ámbito del derecho interno, no por lo que al Tratado respecta. En todo caso, como ha declarado también la jurisprudencia constitucional, los tratados internacionales no constituyen en sí mismos parámetros o premisas de comparación para valorar la constitucionalidad de las leyes. Las posibles consecuencias de su vulneración pertenecen más bien al ámbito de la legislación ordinaria, al no formar parte los tratados en sí del bloque de la constitucionalidad. En todo caso —se añade— el Tratado no ha sido vulnerado por el Real Decreto-ley 9/2013, pues las determinaciones contenidas en aquél en orden a la protección de las inversiones se adecúan a la misma justificación sobre la conformidad con la Constitución Española del Real Decreto-ley, en tanto que de esa adecuación constitucional cabe derivar la consideración de un tratamiento justo y equitativo en lo que a la regulación contenida en el Real Decreto-ley se refiere o al tratamiento de las inversiones procedentes de otros Estados miembros, partes contratantes de la carta, no menos favorable que a las inversiones nacionales en el mismo sector.</w:t>
      </w:r>
    </w:p>
    <w:p w:rsidR="00163957" w:rsidRDefault="00163957" w:rsidP="00163957">
      <w:pPr>
        <w:pStyle w:val="TextoNormal"/>
      </w:pPr>
    </w:p>
    <w:p w:rsidR="00163957" w:rsidRDefault="00163957" w:rsidP="00163957">
      <w:pPr>
        <w:pStyle w:val="TextoNormal"/>
      </w:pPr>
      <w:r>
        <w:t xml:space="preserve">Además, el cambio de situaciones objetivas y la regulación general que modifica la materia bajo cuyo marco se efectuaron las inversiones no supone una expropiación de derechos, pues el inversor materializó su inversión bajo la vigencia de un régimen jurídico concreto, a cuya petrificación o inalterabilidad no tenía derecho. El Real Decreto-ley posee una eficacia </w:t>
      </w:r>
      <w:r w:rsidRPr="00163957">
        <w:rPr>
          <w:i/>
        </w:rPr>
        <w:t>ex nunc</w:t>
      </w:r>
      <w:r>
        <w:t>, lo cual, de acuerdo con la jurisprudencia constitucional, no supone afectación desfavorable a los derechos adquiridos desde la perspectiva constitucional, es decir, la reforma no incide en derechos patrimoniales ya consolidados e incorporados definitivamente al patrimonio del destinatario, o en situaciones jurídicas favorables ya agotadas o consumadas.</w:t>
      </w:r>
    </w:p>
    <w:p w:rsidR="00163957" w:rsidRDefault="00163957" w:rsidP="00163957">
      <w:pPr>
        <w:pStyle w:val="TextoNormal"/>
      </w:pPr>
    </w:p>
    <w:p w:rsidR="00163957" w:rsidRDefault="00163957" w:rsidP="00163957">
      <w:pPr>
        <w:pStyle w:val="TextoNormal"/>
      </w:pPr>
      <w:r>
        <w:t>En cuanto a la alegada vulneración del art. 86.1 CE, el Abogado del Estado se remite de nuevos a los razonamientos expuestos en el informe de la Secretaría General Técnica del Ministerio de Industria, Turismo y Comercio, en el que se manifiesta que: la situación de extraordinaria y urgente necesidad deriva del carácter insostenible del déficit del sector eléctrico y de la necesidad de adoptar medidas urgentes de vigencia inmediata que permitan poner término a dicha situación. En los últimos ejercicios, el déficit tarifario ha continuado su crecimiento, hasta situarse, según los últimos datos disponibles de la Comisión Nacional de la Energía, en un saldo de deuda acumulada de 26.062,51 millones de euros, a 10 de mayo de 2013. De forma complementaria al cálculo de la deuda del sistema eléctrico, dicha Comisión señala que desde el año 2003 hasta el 10 de mayo de 2013, el importe satisfecho para financiar el déficit del sistema eléctrico a través de anualidades que se incorporan en los peajes de acceso de los consumidores, a precios corrientes de cada año, ascienda a 11.823 millones de euros. Por este motivo se han venido adoptando en los últimos años una serie de medidas de carácter urgente que afectan tanto a la partida de costes como a la de ingresos.</w:t>
      </w:r>
    </w:p>
    <w:p w:rsidR="00163957" w:rsidRDefault="00163957" w:rsidP="00163957">
      <w:pPr>
        <w:pStyle w:val="TextoNormal"/>
      </w:pPr>
    </w:p>
    <w:p w:rsidR="00163957" w:rsidRDefault="00163957" w:rsidP="00163957">
      <w:pPr>
        <w:pStyle w:val="TextoNormal"/>
      </w:pPr>
      <w:r>
        <w:t>Acaba señalando el citado informe, que es en definitiva la gravísima situación financiera del sistema eléctrico, motivada por la evolución descontrolada e insostenible del déficit de tarifa, la que ha hecho necesario la adopción de múltiples medidas excepcionales y urgentes que han afectado a todos los agentes del sistema, desde los operadores de instalaciones de negación de redes a los consumidores, pasando por los contribuyentes a través de los presupuestos generales del Estado. Todo ello con el objetivo de contener los costes y, a la vez, dar estabilidad al sistema para evitar en lo posible futuras desviaciones con respecto a las estimaciones.</w:t>
      </w:r>
    </w:p>
    <w:p w:rsidR="00163957" w:rsidRDefault="00163957" w:rsidP="00163957">
      <w:pPr>
        <w:pStyle w:val="TextoNormal"/>
      </w:pPr>
    </w:p>
    <w:p w:rsidR="00163957" w:rsidRDefault="00163957" w:rsidP="00163957">
      <w:pPr>
        <w:pStyle w:val="TextoNormal"/>
      </w:pPr>
      <w:r>
        <w:t>Las anteriores razones se ponen también de relieve en la exposición de motivos del Real Decreto-ley, añadiendo a las mismas el hecho de haber tenido lugar durante el primer semestre del año 2013 una serie de circunstancias que han variado las hipótesis sobre las que se realizaron las estimaciones, lo que podría producir nuevos desajustes al final del ejercicio si no se toman nuevas medidas de urgencia para corregir la situación. Las desviaciones vienen motivadas por la concurrencia de unas condiciones meteorológicas atípicas con índices muy altos de pluviometría y vientos, lo que ha supuesto el hundimiento del precio del mercado diario y un incremento de horas de funcionamiento de determinadas tecnologías y, en particular, la eólica con derecho a régimen primado. A ello se ha añadido también el efecto de la crisis económica sobre las economías domésticas, que ha producido una contracción de la demanda más acusada de lo previsto.</w:t>
      </w:r>
    </w:p>
    <w:p w:rsidR="00163957" w:rsidRDefault="00163957" w:rsidP="00163957">
      <w:pPr>
        <w:pStyle w:val="TextoNormal"/>
      </w:pPr>
    </w:p>
    <w:p w:rsidR="00163957" w:rsidRDefault="00163957" w:rsidP="00163957">
      <w:pPr>
        <w:pStyle w:val="TextoNormal"/>
      </w:pPr>
      <w:r>
        <w:t>Continúa señalando el Abogado del Estado que, expuesta la situación de gravedad en relación con la estabilidad financiera del sistema eléctrico en la exposición de motivos, la tardanza en la adopción de medidas legislativas podría haber afectado muy negativamente al mantenimiento mismo de la producción y suministro de energía eléctrica. No es tanto la imprevisibilidad en sí de las circunstancias, cuanto la gravedad de las mismas como efecto derivado de regulaciones anteriores que introdujeron en el sistema patrones de primas y subvención que devienen excesivamente costosos para unos presupuestos en situación de contracción económica y la consiguiente urgencia de adoptar las medidas normativas adecuadas para su solución.</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2 de febrero de 2016 se acordó señalar para deliberación y votación de la presente Sentencia el día 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el presente proceso constitucional debemos resolver el recurso de inconstitucionalidad interpuesto por el Parlamento de Navarra contra el artículo 1, apartado dos; disposición adicional primera; disposición transitoria tercera; y disposición final segunda del Real Decreto-ley 9/2013, de 12 de julio, por el que se adoptan medidas urgentes para garantizar la estabilidad financiera del sistema eléctrico.</w:t>
      </w:r>
    </w:p>
    <w:p w:rsidR="00163957" w:rsidRDefault="00163957" w:rsidP="00163957">
      <w:pPr>
        <w:pStyle w:val="TextoNormal"/>
      </w:pPr>
    </w:p>
    <w:p w:rsidR="00163957" w:rsidRDefault="00163957" w:rsidP="00163957">
      <w:pPr>
        <w:pStyle w:val="TextoNormal"/>
      </w:pPr>
      <w:r>
        <w:t xml:space="preserve">Los preceptos impugnados vienen, en lo sustancial, a modificar la Ley 54/1997, de 27 de noviembre, del sector eléctrico, en orden al establecimiento de un nuevo régimen retributivo para las instalaciones de producción de energía eléctrica a partir de fuentes de energía renovable, cogeneración y residuos, y a habilitar al Gobierno para la aprobación por real decreto </w:t>
      </w:r>
      <w:r>
        <w:lastRenderedPageBreak/>
        <w:t>del régimen jurídico y económico para estas instalaciones con retribución primada, que modificará el régimen retributivo de las instalaciones existentes, y será de aplicación desde la entrada en vigor del presente Real Decreto-ley.</w:t>
      </w:r>
    </w:p>
    <w:p w:rsidR="00163957" w:rsidRDefault="00163957" w:rsidP="00163957">
      <w:pPr>
        <w:pStyle w:val="TextoNormal"/>
      </w:pPr>
    </w:p>
    <w:p w:rsidR="00163957" w:rsidRDefault="00163957" w:rsidP="00163957">
      <w:pPr>
        <w:pStyle w:val="TextoNormal"/>
      </w:pPr>
      <w:r>
        <w:t>Como ha quedado expuesto en los antecedentes, el Parlamento de Navarra considera que los preceptos impugnados infringen: el art. 86.1 CE, en cuanto que las modificaciones que introducen en el sistema de retribución de las energías de régimen especial carecen de eficacia inmediata, y por lo tanto no guardan conexión de sentido con la situación extraordinaria que se trata de solventar; el principio general de irretroactividad de las disposiciones restrictivas de derechos individuales, que contempla el art. 9.3 CE, en la medida en que dichos preceptos prevén una eficacia retroactiva en grado máximo de la normativa reglamentaria de desarrollo de la norma de urgencia para las instalaciones renovables existentes; y el principio de seguridad jurídica garantizado también por el art. 9.3 CE, en cuanto el nuevo régimen económico de las instalaciones renovables existentes con anterioridad a la entrada en vigor del Real Decreto-ley, menoscaba la debida certeza del ordenamiento jurídico, frustrando la confianza legítima en el poder público que tal principio constitucional protege.</w:t>
      </w:r>
    </w:p>
    <w:p w:rsidR="00163957" w:rsidRDefault="00163957" w:rsidP="00163957">
      <w:pPr>
        <w:pStyle w:val="TextoNormal"/>
      </w:pPr>
    </w:p>
    <w:p w:rsidR="00163957" w:rsidRDefault="00163957" w:rsidP="00163957">
      <w:pPr>
        <w:pStyle w:val="TextoNormal"/>
      </w:pPr>
      <w:r>
        <w:t>El Abogado del Estado defiende, por el contrario, la constitucionalidad de los preceptos impugnados, rechazando, por los motivos que se resumen en los antecedentes de esta Sentencia, la vulneración de los preceptos constitucionales alegados por el Letrado autonómico.</w:t>
      </w:r>
    </w:p>
    <w:p w:rsidR="00163957" w:rsidRDefault="00163957" w:rsidP="00163957">
      <w:pPr>
        <w:pStyle w:val="TextoNormal"/>
      </w:pPr>
    </w:p>
    <w:p w:rsidR="00163957" w:rsidRDefault="00163957" w:rsidP="00163957">
      <w:pPr>
        <w:pStyle w:val="TextoNormal"/>
      </w:pPr>
      <w:r w:rsidRPr="00163957">
        <w:rPr>
          <w:rStyle w:val="NumeroAFNegritaCaracter"/>
        </w:rPr>
        <w:t>2</w:t>
      </w:r>
      <w:r>
        <w:t>. Las cuestiones controvertidas en el presente proceso presentan una sustancial coincidencia con las suscitadas en el recurso de inconstitucionalidad tramitado bajo el número 5347-2013 y resuelto por la reciente STC 270/2015, de 17 de diciembre, cuya doctrina resulta, en consecuencia, de directa aplicación al supuesto que nos ocupa.</w:t>
      </w:r>
    </w:p>
    <w:p w:rsidR="00163957" w:rsidRDefault="00163957" w:rsidP="00163957">
      <w:pPr>
        <w:pStyle w:val="TextoNormal"/>
      </w:pPr>
    </w:p>
    <w:p w:rsidR="00163957" w:rsidRDefault="00163957" w:rsidP="00163957">
      <w:pPr>
        <w:pStyle w:val="TextoNormal"/>
      </w:pPr>
      <w:r>
        <w:t>Con carácter previo al examen de fondo, y en lo que respecta a la pervivencia del proceso tras las modificaciones efectuadas en la norma impugnada por la Ley 24/2013, de 26 de diciembre, del sector eléctrico, hemos tenido ocasión de señalar que tales modificaciones “no han dado lugar a un derogación, o, lo que es lo mismo, a la remoción absoluta de las situaciones jurídicas creadas al amparo de la disposición impugnada, sino, más bien al contrario, a una novación actualizada del régimen retributivo que se contempla en los preceptos impugnados para la actividad de producción a partir de fuentes de energía renovables, cogeneración y residuos con régimen económico primado; régimen jurídico al que expresamente se remite la Ley 24/2013 y que, en consecuencia y en lo sustancial, ha resultado incorporado, en sus propios términos, a una norma con rango formal de ley. Por esta razón la modificación de las normas impugnadas en el presente proceso no permite apreciar la desaparición del objeto del recurso de inconstitucionalidad formulado, siendo procedente, en consecuencia, el examen de fondo de los preceptos impugnados” (STC 270/2015, FJ 2).</w:t>
      </w:r>
    </w:p>
    <w:p w:rsidR="00163957" w:rsidRDefault="00163957" w:rsidP="00163957">
      <w:pPr>
        <w:pStyle w:val="TextoNormal"/>
      </w:pPr>
    </w:p>
    <w:p w:rsidR="00163957" w:rsidRDefault="00163957" w:rsidP="00163957">
      <w:pPr>
        <w:pStyle w:val="TextoNormal"/>
      </w:pPr>
      <w:r w:rsidRPr="00163957">
        <w:rPr>
          <w:rStyle w:val="NumeroAFNegritaCaracter"/>
        </w:rPr>
        <w:t>3</w:t>
      </w:r>
      <w:r>
        <w:t>. Entrando pues en el examen de fondo, procede examinar en primer término la tacha de inconstitucionalidad relativa a la vulneración del art. 86.1 CE que se imputa a los preceptos impugnados y que se fundamenta en la ausencia del presupuesto habilitante de la “extraordinaria y urgente necesidad” y, más en concreto, en la inexistencia de la debida conexión de sentido entre las medidas adoptadas y la situación de urgencia que se pretende subvenir.</w:t>
      </w:r>
    </w:p>
    <w:p w:rsidR="00163957" w:rsidRDefault="00163957" w:rsidP="00163957">
      <w:pPr>
        <w:pStyle w:val="TextoNormal"/>
      </w:pPr>
    </w:p>
    <w:p w:rsidR="00163957" w:rsidRDefault="00163957" w:rsidP="00163957">
      <w:pPr>
        <w:pStyle w:val="TextoNormal"/>
      </w:pPr>
      <w:r>
        <w:lastRenderedPageBreak/>
        <w:t>El cumplimiento de los requisitos previstos en el art. 86.1 CE, fue objeto de examen pormenorizado en el fundamento jurídico 5 de la STC 270/2015, entendiendo que “las razones que motivaron la aprobación de esta norma de urgencia derivan de la evolución expansiva de los costes del sistema eléctrico, unida a las consecuencias de la crisis económica y a la necesidad de cumplimiento de los objetivos de déficit para el año 2014, que determinan la necesidad de adopción de una serie de medidas dirigidas a garantizar la estabilidad financiera del sistema eléctrico, mediante una revisión de su marco regulatorio. Es pues, la situación de crisis económica que ha repercutido en una caída imprevista de la demanda de energía eléctrica, junto con el incremento general de costes, que ha provocado un aumento imprevisto del déficit tarifario, lo que justifica la adopción de las medidas contempladas en la norma que se examina”.</w:t>
      </w:r>
    </w:p>
    <w:p w:rsidR="00163957" w:rsidRDefault="00163957" w:rsidP="00163957">
      <w:pPr>
        <w:pStyle w:val="TextoNormal"/>
      </w:pPr>
    </w:p>
    <w:p w:rsidR="00163957" w:rsidRDefault="00163957" w:rsidP="00163957">
      <w:pPr>
        <w:pStyle w:val="TextoNormal"/>
      </w:pPr>
      <w:r>
        <w:t>Asimismo, y en relación con los concretos preceptos que son objeto del recurso de inconstitucionalidad, “el argumento que sustenta las modificaciones introducidas viene a ser coincidente con el de carácter general, si bien se singulariza en el hecho de que, entre las partidas de costes que han contribuido en mayor medida al incremento del déficit tarifario destacan las primas del régimen especial y las anualidades de déficits acumulados, partidas que se han multiplicado por seis y por nueve respectivamente entre 2004 y 2012. En concreto, en el período 2013 se alude a la concurrencia de unas condiciones meteorológicas atípicas que han ocasionado, por un lado el hundimiento del precio del mercado diario hasta un nivel mínimo, y el incremento de las horas de funcionamiento de determinadas tecnologías con derecho a régimen económico primado, lo que ha determinado una notable desviación al alza del sobrecoste del régimen especial, como consecuencia de los menores precios de mercado registrados; a ello se añade que la difícil situación presupuestaria no permite dotar, en su totalidad, este extracoste, sin comprometer el cumplimiento de los objetivos de déficit para el ejercicio 2014. Sobre esta base, el nuevo régimen jurídico y económico para las instalaciones de producción de energía eléctrica existentes a partir de fuentes de energía renovable, cogeneración y residuos, se basa en la percepción de los ingresos derivados de la participación en el mercado, con una retribución específica que permita la cobertura de los costes adicionales de estas instalaciones respecto de las del resto de tecnologías en el mercado, y les permita competir en el mercado en nivel de igualdad con el resto de las tecnologías y obtener una rentabilidad razonable”.</w:t>
      </w:r>
    </w:p>
    <w:p w:rsidR="00163957" w:rsidRDefault="00163957" w:rsidP="00163957">
      <w:pPr>
        <w:pStyle w:val="TextoNormal"/>
      </w:pPr>
    </w:p>
    <w:p w:rsidR="00163957" w:rsidRDefault="00163957" w:rsidP="00163957">
      <w:pPr>
        <w:pStyle w:val="TextoNormal"/>
      </w:pPr>
      <w:r>
        <w:t>Por lo que respecta a la conexión de sentido, “es evidente que las medidas propuestas, en cuanto persiguen precisamente un ajuste de los costes en el sector eléctrico, guardan la necesaria conexión entre la situación de extraordinaria y urgente necesidad descrita, y las medidas adoptadas para hacerle frente. Además, las medidas previstas modifican de modo inmediato la situación jurídica existente, en cuanto que el nuevo sistema retributivo que la norma inicia, si bien requiere el necesario desarrollo reglamentario, es aplicable desde el momento de la entrada en vigor del Real Decreto-ley 9/2013. Efectivamente, éste establece la aplicación transitoria del régimen retributivo anterior, ahora con el carácter de pagos a cuenta, que se liquidarán definitivamente en el momento en que se apruebe el aludido desarrollo reglamentario”.</w:t>
      </w:r>
    </w:p>
    <w:p w:rsidR="00163957" w:rsidRDefault="00163957" w:rsidP="00163957">
      <w:pPr>
        <w:pStyle w:val="TextoNormal"/>
      </w:pPr>
    </w:p>
    <w:p w:rsidR="00163957" w:rsidRDefault="00163957" w:rsidP="00163957">
      <w:pPr>
        <w:pStyle w:val="TextoNormal"/>
      </w:pPr>
      <w:r>
        <w:t>Procede, por tanto, desestimar el recurso en este punto.</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En segundo lugar, se alega por los recurrentes la infracción del principio de irretroactividad y del principio de seguridad jurídica, contemplados ambos en el art. 9.3 CE. Los </w:t>
      </w:r>
      <w:r>
        <w:lastRenderedPageBreak/>
        <w:t>argumentos expuestos por los recurrentes fueron ya expresamente rechazados en el fundamento jurídico 7 de la STC 270/2015, a la que también procede remitirse en este punto.</w:t>
      </w:r>
    </w:p>
    <w:p w:rsidR="00163957" w:rsidRDefault="00163957" w:rsidP="00163957">
      <w:pPr>
        <w:pStyle w:val="TextoNormal"/>
      </w:pPr>
    </w:p>
    <w:p w:rsidR="00163957" w:rsidRDefault="00163957" w:rsidP="00163957">
      <w:pPr>
        <w:pStyle w:val="TextoNormal"/>
      </w:pPr>
      <w:r>
        <w:t>Así, y en cuanto al primero, hemos afirmado lo siguiente:</w:t>
      </w:r>
    </w:p>
    <w:p w:rsidR="00163957" w:rsidRDefault="00163957" w:rsidP="00163957">
      <w:pPr>
        <w:pStyle w:val="TextoNormal"/>
      </w:pPr>
    </w:p>
    <w:p w:rsidR="00163957" w:rsidRDefault="00163957" w:rsidP="00163957">
      <w:pPr>
        <w:pStyle w:val="TextoNormal"/>
      </w:pPr>
      <w:r>
        <w:t>“[E]l principio de seguridad jurídica, entendido como la certeza sobre el ordenamiento jurídico aplicable, la ausencia de confusión normativa y la previsibilidad en la aplicación de derecho, no resulta afectado por los preceptos que son objeto del presente recurso de inconstitucionalidad. No estamos ante una norma incierta o falta de la indispensable claridad, pues cuenta con un contenido preciso y unos efectos perfectamente determinados.</w:t>
      </w:r>
    </w:p>
    <w:p w:rsidR="00163957" w:rsidRDefault="00163957" w:rsidP="00163957">
      <w:pPr>
        <w:pStyle w:val="TextoNormal"/>
      </w:pPr>
    </w:p>
    <w:p w:rsidR="00163957" w:rsidRDefault="00163957" w:rsidP="00163957">
      <w:pPr>
        <w:pStyle w:val="TextoNormal"/>
      </w:pPr>
      <w:r>
        <w:t>El respeto de dicho principio, y su corolario, el principio de confianza legítima, es compatible pues con las modificaciones en el régimen retributivo de las energías renovables realizado por el Real Decreto-ley 9/2013, más aún —como sucede en el presente caso—, en un ámbito sujeto a un elevada intervención administrativa en virtud de su incidencia en intereses generales, y a un complejo sistema regulatorio que hace inviable la pretensión de que los elementos más favorables estén investidos de permanencia o inalterabilidad frente al ejercicio de una potestad legislativa que obliga a los poderes públicos a la adaptación de dicha regulación a una cambiante realidad económica.</w:t>
      </w:r>
    </w:p>
    <w:p w:rsidR="00163957" w:rsidRDefault="00163957" w:rsidP="00163957">
      <w:pPr>
        <w:pStyle w:val="TextoNormal"/>
      </w:pPr>
    </w:p>
    <w:p w:rsidR="00163957" w:rsidRDefault="00163957" w:rsidP="00163957">
      <w:pPr>
        <w:pStyle w:val="TextoNormal"/>
      </w:pPr>
      <w:r>
        <w:t>Los cambios legislativos producidos no pueden ser así cuestionados desde la óptica del principio de confianza legítima. Este principio no protege de modo absoluto la estabilidad regulatoria, ni la inmutabilidad de las normas precedentes, máxime en el contexto en que se promulgó el Real Decreto-ley que ahora se enjuicia, es decir, de dificultades económicas y de crecimiento del déficit del sistema eléctrico. Los principios de seguridad jurídica y su corolario, el de confianza legítima, no suponen el derecho de los actores económicos a la permanencia de la regulación existente en un momento dado en un determinado sector de actividad. Dicha estabilidad regulatoria es compatible con cambios legislativos, cuando sean previsibles y derivados de exigencias claras del interés general.</w:t>
      </w:r>
    </w:p>
    <w:p w:rsidR="00163957" w:rsidRDefault="00163957" w:rsidP="00163957">
      <w:pPr>
        <w:pStyle w:val="TextoNormal"/>
      </w:pPr>
    </w:p>
    <w:p w:rsidR="00163957" w:rsidRDefault="00163957" w:rsidP="00163957">
      <w:pPr>
        <w:pStyle w:val="TextoNormal"/>
      </w:pPr>
      <w:r>
        <w:t>A este respecto, las medidas cuestionadas implican, ciertamente, una modificación respecto del régimen anterior, decisión que el legislador de urgencia adopta a la vista de la situación en la que se encontraba el sistema eléctrico. No cabe calificar de inesperada la modificación producida, pues la evolución de las circunstancias que afectaban a dicho sector de la economía, hacían necesario acometer ajustes de este marco normativo, como efecto de las difíciles circunstancias del sector en su conjunto y la necesidad de asegurar el necesario equilibrio económico y la adecuada gestión del sistema. No cabe, por tanto, argumentar que la modificación del régimen retributivo que se examina fuera imprevisible para un ‘operador económico prudente y diligente’, atendiendo a las circunstancias económicas y a la insuficiencia de las medidas adoptadas para reducir un déficit persistente y continuamente al alza del sistema eléctrico no suficientemente atajado con disposiciones anteriores.</w:t>
      </w:r>
    </w:p>
    <w:p w:rsidR="00163957" w:rsidRDefault="00163957" w:rsidP="00163957">
      <w:pPr>
        <w:pStyle w:val="TextoNormal"/>
      </w:pPr>
    </w:p>
    <w:p w:rsidR="00163957" w:rsidRDefault="00163957" w:rsidP="00163957">
      <w:pPr>
        <w:pStyle w:val="TextoNormal"/>
      </w:pPr>
      <w:r>
        <w:t xml:space="preserve">El preámbulo del Real Decreto-ley determina que su objeto es evitar la ‘sobre-retribución’ de determinadas instalaciones de régimen especial, sin que los principios invocados por los recurrentes —seguridad jurídica y confianza legítima— puedan constituir un obstáculo insalvable para que el titular de la potestad legislativa pueda introducir medidas de carácter general que impliquen una alteración de determinados aspectos del régimen retributivo anterior. Estamos pues ante una norma clara, que no genera duda sobre sus efectos, </w:t>
      </w:r>
      <w:r>
        <w:lastRenderedPageBreak/>
        <w:t>los presupuestos de hecho a los que se aplica o sus consecuencias jurídicas, por lo que, ni desde una vertiente objetiva ni desde una subjetiva genera incertidumbre sobre su alcance. En una situación de crisis económica generalizada, modificaciones análogas a la presente han sido llevadas a cabo en éste y en otros sectores económicos, que, además, están sometidos a una intervención administrativa más intensa, dada su incidencia en los intereses generales, como lo es la actividad de producción de energía eléctrica. Ello hace particularmente inviable la pretensión de que los elementos más favorables de su régimen económico estén investidos de una pretensión de permanencia e inalterabilidad en el tiempo, pues es precisamente la protección de esos intereses generales la premisa que obliga a los poderes públicos a adaptar su regulación al cambio de las circunstancias.</w:t>
      </w:r>
    </w:p>
    <w:p w:rsidR="00163957" w:rsidRDefault="00163957" w:rsidP="00163957">
      <w:pPr>
        <w:pStyle w:val="TextoNormal"/>
      </w:pPr>
    </w:p>
    <w:p w:rsidR="00163957" w:rsidRDefault="00163957" w:rsidP="00163957">
      <w:pPr>
        <w:pStyle w:val="TextoNormal"/>
      </w:pPr>
      <w:r>
        <w:t>En palabras de este Tribunal, los principios de seguridad jurídica y confianza legítima no permiten consagrar un pretendido derecho a la congelación del ordenamiento jurídico existente (SSTC 182/1997, de 28 de octubre, FJ 13; y 183/2014, de 6 de noviembre, FJ 3) ni evidentemente pueden impedir la introducción de modificaciones legislativas repentinas, máxime cuando lo hace el legislador de urgencia (STC 237/2012, de 13 de diciembre, FJ 6). En estos casos, es precisamente la perentoriedad de la reacción legislativa —cuya concurrencia en este caso ya ha sido examinada— la que abre la puerta a la injerencia del Gobierno en la legislación vigente, al amparo del art. 86.1 CE (STC 81/2015, de 30 de abril, FJ 8). No sería coherente con el carácter dinámico del ordenamiento jurídico y con nuestra doctrina constante acerca de que la realización del principio de seguridad jurídica, aquí en su vertiente de protección de la confianza legítima, no puede dar lugar a la congelación o petrificación de ese mismo ordenamiento (por todas, STC 183/2014, FJ 3), por lo que no cabe sino concluir que la regulación impugnada se enmarca en el margen de configuración del legislador, que tiene plena libertad para elegir entre las distintas opciones posibles, dentro de la Constitución” [FJ 7 a)].</w:t>
      </w:r>
    </w:p>
    <w:p w:rsidR="00163957" w:rsidRDefault="00163957" w:rsidP="00163957">
      <w:pPr>
        <w:pStyle w:val="TextoNormal"/>
      </w:pPr>
    </w:p>
    <w:p w:rsidR="00163957" w:rsidRDefault="00163957" w:rsidP="00163957">
      <w:pPr>
        <w:pStyle w:val="TextoNormal"/>
      </w:pPr>
      <w:r>
        <w:t xml:space="preserve">En este mismo contexto, debe rechazarse también la pretendida contravención de lo dispuesto en los arts. 10 y 13 del Tratado sobre la carta de la energía, pues, como también hemos tenido ocasión de señalar (STC 270/2015, FJ 6), “este Tribunal ha declarado reiteradamente que los tratados internacionales no constituyen por sí mismos parámetro de contraste para valorar la posible inconstitucionalidad de las leyes, pues la supuesta contradicción de los tratados por las leyes o por otras disposiciones normativas posteriores no es cuestión que afecte a la constitucionalidad de éstas y que, por tanto, deba ser resuelto por el Tribunal Constitucional (STC 49/1988, fundamento jurídico 14, </w:t>
      </w:r>
      <w:r w:rsidRPr="00163957">
        <w:rPr>
          <w:i/>
        </w:rPr>
        <w:t>in fine</w:t>
      </w:r>
      <w:r>
        <w:t>), sino que, como puro problema de selección del derecho aplicable al caso concreto, su resolución corresponde a los órganos judiciales en los litigios de que conozcan (STC 28/1991, de 14 de febrero, FJ 5, y 207/2013, de 5 de diciembre, FJ 4). En suma, no corresponde a este Tribunal determinar la compatibilidad o no de un precepto legal con un tratado internacional, ni éstos pueden erigirse en normas fundamentales y criterios de constitucionalidad (STC 142/1993, de 22 de abril, FJ 3).</w:t>
      </w:r>
    </w:p>
    <w:p w:rsidR="00163957" w:rsidRDefault="00163957" w:rsidP="00163957">
      <w:pPr>
        <w:pStyle w:val="TextoNormal"/>
      </w:pPr>
    </w:p>
    <w:p w:rsidR="00163957" w:rsidRDefault="00163957" w:rsidP="00163957">
      <w:pPr>
        <w:pStyle w:val="TextoNormal"/>
      </w:pPr>
      <w:r>
        <w:t xml:space="preserve">En ese sentido tampoco la incorporación de un tratado al ordenamiento jurídico interno, tras su ratificación y publicación oficial, determina —como pretenden los recurrentes—, la supuesta vulneración del principio de jerarquía normativa, puesto que la garantía de la jerarquía normativa proscribe que una norma de rango inferior contravenga lo dispuesto en una de rango superior. Sin embargo, si el criterio de enjuiciamiento en un proceso de constitucionalidad viene proporcionado por la Constitución y, eventualmente, por las normas </w:t>
      </w:r>
      <w:r>
        <w:lastRenderedPageBreak/>
        <w:t>que integran el bloque de constitucionalidad, dado que, por definición, en todo recurso de inconstitucionalidad subyace un problema de jerarquía normativa, resulta que tal jerarquía no es un canon idóneo para esta labor. La apreciación de contradicción entre un texto legal y la Constitución no entraña una mera transgresión por norma de rango inferior de lo establecido en otra de rango superior, sino pura y simplemente, la inconstitucionalidad de la norma con rango de ley [SSTC 91/1998, de 23 de abril, FJ 2 y 198/2012, de 26 de noviembre, FJ 2 a)]”.</w:t>
      </w:r>
    </w:p>
    <w:p w:rsidR="00163957" w:rsidRDefault="00163957" w:rsidP="00163957">
      <w:pPr>
        <w:pStyle w:val="TextoNormal"/>
      </w:pPr>
    </w:p>
    <w:p w:rsidR="00163957" w:rsidRDefault="00163957" w:rsidP="00163957">
      <w:pPr>
        <w:pStyle w:val="TextoNormal"/>
      </w:pPr>
      <w:r w:rsidRPr="00163957">
        <w:rPr>
          <w:rStyle w:val="NumeroAFNegritaCaracter"/>
        </w:rPr>
        <w:t>5</w:t>
      </w:r>
      <w:r>
        <w:t>. Se alega, por último, que la regulación impugnada viene a establecer una retroactividad incompatible con lo dispuesto en el art. 9.3 CE.</w:t>
      </w:r>
    </w:p>
    <w:p w:rsidR="00163957" w:rsidRDefault="00163957" w:rsidP="00163957">
      <w:pPr>
        <w:pStyle w:val="TextoNormal"/>
      </w:pPr>
    </w:p>
    <w:p w:rsidR="00163957" w:rsidRDefault="00163957" w:rsidP="00163957">
      <w:pPr>
        <w:pStyle w:val="TextoNormal"/>
      </w:pPr>
      <w:r>
        <w:t>Conviene precisar a este respecto que, como ya se avanzó, el Real Decreto-ley 9/2013, viene a establecer un nuevo régimen retributivo para determinadas instalaciones de producción de energía eléctrica; deroga expresamente el Real Decreto 661/2007, de 25 de mayo, por el que se regula la actividad de producción de energía eléctrica en régimen especial, así como el Real Decreto 1578/2008, de 26 de septiembre, de retribución de la actividad de producción de energía eléctrica mediante tecnología solar fotovoltaica. Pero, el nuevo sistema retributivo, iniciado por el Real Decreto-ley 9/2013, y asumido por la Ley 24/2013, requiere el necesario desarrollo reglamentario para la aplicación efectiva de dicho régimen retributivo a cada una de las instalaciones de producción de energía eléctrica; y, para resolver la situación de vacío reglamentario provocado por la derogación de los anteriores reglamentos, la disposición transitoria tercera del mismo dispone que temporalmente serán de aplicación los derogados Reales Decretos 661/2007 y1578/2008, con carácter transitorio, hasta la aprobación de las disposiciones necesarias para la plena aplicación del nuevo régimen retributivo.</w:t>
      </w:r>
    </w:p>
    <w:p w:rsidR="00163957" w:rsidRDefault="00163957" w:rsidP="00163957">
      <w:pPr>
        <w:pStyle w:val="TextoNormal"/>
      </w:pPr>
    </w:p>
    <w:p w:rsidR="00163957" w:rsidRDefault="00163957" w:rsidP="00163957">
      <w:pPr>
        <w:pStyle w:val="TextoNormal"/>
      </w:pPr>
      <w:r>
        <w:t>El desarrollo reglamentario de este nuevo régimen retributivo, previsto en la disposición final segunda del Real Decreto-ley 9/2013 y reiterado en la disposición final tercera de la Ley 24/2013, de 26 de diciembre, del sector eléctrico, se ha llevado a cabo a través del Real Decreto 413/2014, de 6 de junio, por el que se regula la actividad de producción de energía eléctrica a partir de fuentes de energía renovables, cogeneración y residuos, y con ello ha cesado la aplicación del régimen transitorio previsto en la disposición transitoria tercera. Como ya afirmamos en las SSTC 96/2014, FJ 3 c) y 183/2014, FJ 2, “lo sucedido durante estos meses es que las instalaciones existentes han recibido los pagos procedentes de ‘liquidaciones a cuenta’ del nuevo sistema, emitidas al amparo de ese régimen transitorio. Este fue previsto al objeto de mantener los flujos retributivos de las instalaciones, evitando los perjuicios que hubiera causado la demora en el desarrollo reglamentario. Una vez aprobadas las disposiciones normativas necesarias para la aplicación definitiva del nuevo régimen retributivo, se procederá a practicar una regularización correspondiente por los derechos de cobro o en su caso las obligaciones de pago resultantes de la aplicación del vigente sistema retributivo, con efectos desde la entrada en vigor del Real Decreto-ley 9/2013, de 12 de julio, tal y como establece su disposición final segunda”.</w:t>
      </w:r>
    </w:p>
    <w:p w:rsidR="00163957" w:rsidRDefault="00163957" w:rsidP="00163957">
      <w:pPr>
        <w:pStyle w:val="TextoNormal"/>
      </w:pPr>
    </w:p>
    <w:p w:rsidR="00163957" w:rsidRDefault="00163957" w:rsidP="00163957">
      <w:pPr>
        <w:pStyle w:val="TextoNormal"/>
      </w:pPr>
      <w:r>
        <w:t xml:space="preserve">En definitiva, el Real Decreto-ley 9/2013 entró en vigor al día siguiente de su publicación en el “Boletín Oficial del Estado” (tal y como establece su disposición final décima), pero sus efectos, en lo relativo a las liquidaciones derivadas del nuevo régimen retributivo, se aplican a partir de la publicación del Real Decreto 413/2014, produciéndose una disociación </w:t>
      </w:r>
      <w:r>
        <w:lastRenderedPageBreak/>
        <w:t>temporal entre la vigencia inmediata de la norma y el ámbito temporal de eficacia, que tiene un efecto retroactivo.</w:t>
      </w:r>
    </w:p>
    <w:p w:rsidR="00163957" w:rsidRDefault="00163957" w:rsidP="00163957">
      <w:pPr>
        <w:pStyle w:val="TextoNormal"/>
      </w:pPr>
    </w:p>
    <w:p w:rsidR="00163957" w:rsidRDefault="00163957" w:rsidP="00163957">
      <w:pPr>
        <w:pStyle w:val="TextoNormal"/>
      </w:pPr>
      <w:r>
        <w:t xml:space="preserve">Recogiendo de nuevo lo señalado en la STC 270/2015, FJ 7 c), procede recordar que “el límite expreso de la retroactividad </w:t>
      </w:r>
      <w:r w:rsidRPr="00163957">
        <w:rPr>
          <w:i/>
        </w:rPr>
        <w:t>in peius</w:t>
      </w:r>
      <w:r>
        <w:t xml:space="preserve"> de las leyes que el art. 9.3 CE garantiza, se circunscribe a las leyes ex post facto sancionadoras o restrictivas de derechos individuales. Fuera de estos dos ámbitos, nada impide al legislador dotar a la ley del grado de retroactividad que considere oportuno, ya que de lo contrario se podrían producir situaciones de congelación o petrificación del ordenamiento jurídico (STC 49/2015, de 5 de marzo, FJ 4). Como ya señalábamos desde nuestros primeros pronunciamientos (SSTC 42/1986, de 10 de abril, FJ 3, y 65/1987, de 21 de mayo, FJ 19), lo que se prohíbe en ese art. 9.3 CE es la retroactividad entendida como incidencia de la nueva ley en los efectos jurídicos ya producidos de situaciones anteriores. La irretroactividad sólo es aplicable a los derechos consolidados, asumidos e integrados en el patrimonio del sujeto y no a los pendientes, futuros, condicionados y expectativas [por todas, SSTC 99/1987, de 11 de junio, FJ 6 b), y 178/1989, de 2 de noviembre, FJ 9], de forma que sólo puede afirmarse que una norma es retroactiva a los efectos del art. 9.3 CE cuando incide sobre relaciones consagradas y afecta a situaciones agotadas [STC 99/1987, FJ 6 b)], supuesto en el que la prohibición de retroactividad operaría plenamente y solo exigencias cualificadas del bien común podrían imponerse excepcionalmente a tal principio. Por el contrario, en el caso de la retroactividad impropia, que incide en situaciones no concluidas, hay que reconocer al legislador un amplio margen de libertad, de suerte que no entran dentro del ámbito de la retroactividad prohibida las disposiciones que, carentes de efectos ablativos o peyorativos hacia el pasado, despliegan su eficacia inmediata hacia el futuro aunque ello suponga incidir en una relación o situación jurídica aún en curso.</w:t>
      </w:r>
    </w:p>
    <w:p w:rsidR="00163957" w:rsidRDefault="00163957" w:rsidP="00163957">
      <w:pPr>
        <w:pStyle w:val="TextoNormal"/>
      </w:pPr>
    </w:p>
    <w:p w:rsidR="00163957" w:rsidRDefault="00163957" w:rsidP="00163957">
      <w:pPr>
        <w:pStyle w:val="TextoNormal"/>
      </w:pPr>
      <w:r>
        <w:t xml:space="preserve">En suma, conforme a la doctrina de este Tribunal, el art. 9.3 CE no contiene una prohibición absoluta de retroactividad que conduciría a situaciones congeladoras del ordenamiento contrarias al art. 9.3 CE (STC 126/1987, de 16 de julio, FJ 11), ni impide que las leyes puedan afectar a derechos e intereses derivados de situaciones jurídicas que siguen produciendo efectos, pues no hay retroactividad proscrita cuando una norma regula </w:t>
      </w:r>
      <w:r w:rsidRPr="00163957">
        <w:rPr>
          <w:i/>
        </w:rPr>
        <w:t>pro futuro</w:t>
      </w:r>
      <w:r>
        <w:t xml:space="preserve"> situaciones jurídicas creadas con anterioridad a su entrada en vigor o cuyos efectos no se han consumado, ya que el legislador puede variar </w:t>
      </w:r>
      <w:r w:rsidRPr="00163957">
        <w:rPr>
          <w:i/>
        </w:rPr>
        <w:t>ex nunc</w:t>
      </w:r>
      <w:r>
        <w:t xml:space="preserve"> el régimen jurídico preexistente de los derechos individuales, siempre que se ajuste a las restantes exigencias de la Constitución (STC 227/1988, de 29 de noviembre, FJ 9).</w:t>
      </w:r>
    </w:p>
    <w:p w:rsidR="00163957" w:rsidRDefault="00163957" w:rsidP="00163957">
      <w:pPr>
        <w:pStyle w:val="TextoNormal"/>
      </w:pPr>
    </w:p>
    <w:p w:rsidR="00163957" w:rsidRDefault="00163957" w:rsidP="00163957">
      <w:pPr>
        <w:pStyle w:val="TextoNormal"/>
      </w:pPr>
      <w:r>
        <w:t>El Real Decreto-ley 9/2013 tiene una vigencia inmediata y produce efectos a partir de su entrada en vigor. Los titulares de las instalaciones de producción de energía eléctrica en régimen primado están sujetos a ese nuevo régimen retributivo desde la fecha de entrada en vigor del Real Decreto-ley 9/2013, sin perjuicio de que la cuantificación precisa de dicha retribución no se produzca hasta la aprobación de la norma reglamentaria correspondiente, y sin que dicha sujeción conlleve una afectación desfavorable a los derechos adquiridos, desde una perspectiva constitucional, esto es, no incide en derechos patrimoniales previamente consolidados e incorporados definitivamente al patrimonio del destinatario, o en situaciones jurídicas ya agotadas o consumadas.</w:t>
      </w:r>
    </w:p>
    <w:p w:rsidR="00163957" w:rsidRDefault="00163957" w:rsidP="00163957">
      <w:pPr>
        <w:pStyle w:val="TextoNormal"/>
      </w:pPr>
    </w:p>
    <w:p w:rsidR="00163957" w:rsidRDefault="00163957" w:rsidP="00163957">
      <w:pPr>
        <w:pStyle w:val="TextoNormal"/>
      </w:pPr>
      <w:r>
        <w:t xml:space="preserve">De este modo una medida normativa como la impugnada no entra en el ámbito de la retroactividad prohibida por el art. 9.3 CE, pues nos hallamos ante relaciones jurídicas no </w:t>
      </w:r>
      <w:r>
        <w:lastRenderedPageBreak/>
        <w:t>concluidas, cuya resistencia a la retroactividad de la ley es menor que en los supuestos de retroactividad auténtica, debiendo reconocérsele al legislador un amplio margen de libertad en la constatación de la concurrencia de circunstancias concretas y razones que pudieran ser discutibles en el debate político, pero que, desde el punto de vista constitucional, aparecen como suficientes para justificar la retroactividad impropia ante la que nos encontramos.</w:t>
      </w:r>
    </w:p>
    <w:p w:rsidR="00163957" w:rsidRDefault="00163957" w:rsidP="00163957">
      <w:pPr>
        <w:pStyle w:val="TextoNormal"/>
      </w:pPr>
    </w:p>
    <w:p w:rsidR="00163957" w:rsidRDefault="00163957" w:rsidP="00163957">
      <w:pPr>
        <w:pStyle w:val="TextoNormal"/>
      </w:pPr>
      <w:r>
        <w:t xml:space="preserve">No estamos, en suma, ante una norma sancionadora o restrictiva de derechos, ni ante una regulación que afecte a una situación “agotada”, consolidada, perfeccionada o patrimonializada —en los términos utilizados por nuestra jurisprudencia— que haya sido revertida </w:t>
      </w:r>
      <w:r w:rsidRPr="00163957">
        <w:rPr>
          <w:i/>
        </w:rPr>
        <w:t>in peius</w:t>
      </w:r>
      <w:r>
        <w:t xml:space="preserve"> con efecto retroactivo, por lo que no concurre un supuesto de retroactividad constitucionalmente prohibida, y, en consecuencia, no se produce una vulneración del art. 9.3 CE."</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presente recurso de inconstitucionalidad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cuatro de febrero de dos mil dieciséis.</w:t>
      </w:r>
    </w:p>
    <w:p w:rsidR="00163957" w:rsidRDefault="00163957" w:rsidP="00163957">
      <w:pPr>
        <w:pStyle w:val="ParrafoNormal"/>
      </w:pPr>
    </w:p>
    <w:p w:rsidR="00163957" w:rsidRDefault="00163957" w:rsidP="00163957">
      <w:pPr>
        <w:pStyle w:val="TextoNormalNegritaCentrado"/>
        <w:keepNext/>
      </w:pPr>
      <w:r>
        <w:t>Voto particular concurrente que formula el Magistrado don Juan Antonio Xiol Ríos respecto de la Sentencia dictada en el recurso de inconstitucionalidad núm. 5851-2013, al que se adhiere el Magistrado don Fernando Valdés Dal-Ré.</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en la que se sustenta la Sentencia, manifiesto mi discrepancia con su fundamentación jurídica, aunque no con el fallo, referida a la invocación de los principios de seguridad jurídica y confianza legítima analizada en el fundamento jurídico 4, respecto de la modificación del régimen de incentivos a las energías renovables.</w:t>
      </w:r>
    </w:p>
    <w:p w:rsidR="00163957" w:rsidRDefault="00163957" w:rsidP="00163957">
      <w:pPr>
        <w:pStyle w:val="TextoNormal"/>
      </w:pPr>
    </w:p>
    <w:p w:rsidR="00163957" w:rsidRDefault="00163957" w:rsidP="00163957">
      <w:pPr>
        <w:pStyle w:val="TextoNormal"/>
      </w:pPr>
      <w:r>
        <w:t>La razón de mi discrepancia es coincidente con la que ya fue expuesta en el Voto particular concurrente a la STC 270/2015, de 17 de diciembre, al que para evitar reiteraciones innecesarias me remito.</w:t>
      </w:r>
    </w:p>
    <w:p w:rsidR="00163957" w:rsidRDefault="00163957" w:rsidP="00163957">
      <w:pPr>
        <w:pStyle w:val="TextoNormal"/>
      </w:pPr>
    </w:p>
    <w:p w:rsidR="00163957" w:rsidRDefault="00163957" w:rsidP="00163957">
      <w:pPr>
        <w:pStyle w:val="TextoNormal"/>
      </w:pPr>
      <w:r>
        <w:t>Madrid, a cuatro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23" w:name="SENTENCIA_2016_20"/>
      <w:r>
        <w:lastRenderedPageBreak/>
        <w:t>SENTENCIA 20/2016, de 4 de febrero de 2016</w:t>
      </w:r>
    </w:p>
    <w:bookmarkEnd w:id="23"/>
    <w:p w:rsidR="00163957" w:rsidRDefault="00163957" w:rsidP="00163957">
      <w:pPr>
        <w:pStyle w:val="TtuloResolucin"/>
      </w:pPr>
      <w:r>
        <w:t>Pleno</w:t>
      </w:r>
    </w:p>
    <w:p w:rsidR="00163957" w:rsidRDefault="00163957" w:rsidP="00163957">
      <w:pPr>
        <w:pStyle w:val="TtuloBOE"/>
      </w:pPr>
      <w:r>
        <w:t>(BOE núm. 57, de 7 de marzo de 2016)</w:t>
      </w:r>
    </w:p>
    <w:p w:rsidR="00163957" w:rsidRDefault="00163957" w:rsidP="00163957">
      <w:pPr>
        <w:pStyle w:val="TextoNormalCentrado"/>
      </w:pPr>
      <w:r>
        <w:t>ECLI:ES:TC:2016:20</w:t>
      </w:r>
    </w:p>
    <w:p w:rsidR="00163957" w:rsidRDefault="00163957" w:rsidP="00163957">
      <w:pPr>
        <w:pStyle w:val="TextoNormalCentrado"/>
      </w:pPr>
    </w:p>
    <w:p w:rsidR="00163957" w:rsidRDefault="00163957" w:rsidP="00163957">
      <w:pPr>
        <w:pStyle w:val="SntesisDescriptiva"/>
      </w:pPr>
      <w:r>
        <w:t>Recurso de inconstitucionalidad 709-2015. Interpuesto por la Generalitat de Cataluña en relación con diversos preceptos de la Ley 9/2014, de 9 de mayo, general de telecomunicaciones.</w:t>
      </w:r>
    </w:p>
    <w:p w:rsidR="00163957" w:rsidRDefault="00163957" w:rsidP="00163957">
      <w:pPr>
        <w:pStyle w:val="SntesisDescriptiva"/>
      </w:pPr>
    </w:p>
    <w:p w:rsidR="00163957" w:rsidRDefault="00163957" w:rsidP="00163957">
      <w:pPr>
        <w:pStyle w:val="SntesisAnaltica"/>
      </w:pPr>
      <w:r>
        <w:t>Competencias sobre telecomunicaciones: nulidad del precepto legal que establece que los planes de despliegue o instalación de red pública de comunicaciones electrónicas se entenderán aprobados si la Administración pública competente no hubiese dictado resolución expresa transcurridos dos meses desde su presentación.</w:t>
      </w:r>
    </w:p>
    <w:p w:rsidR="00163957" w:rsidRDefault="00163957" w:rsidP="00163957">
      <w:pPr>
        <w:pStyle w:val="SntesisAnaltica"/>
      </w:pPr>
    </w:p>
    <w:p w:rsidR="00163957" w:rsidRDefault="00163957" w:rsidP="00163957">
      <w:pPr>
        <w:pStyle w:val="Extracto"/>
      </w:pPr>
      <w:r>
        <w:t>1.</w:t>
      </w:r>
      <w:r>
        <w:tab/>
        <w:t>La ley estatal sobre telecomunicaciones recurrida garantiza el despliegue adecuado de las redes de telecomunicaciones, como base de la prestación del servicio, que podría resultar condicionado o más complejo o costoso, o incluso verse impedido, si las Administraciones autonómicas pudiesen determinar los itinerarios o ubicación de las infraestructuras [FJ 5].</w:t>
      </w:r>
    </w:p>
    <w:p w:rsidR="00163957" w:rsidRDefault="00163957" w:rsidP="00163957">
      <w:pPr>
        <w:pStyle w:val="Extracto"/>
      </w:pPr>
    </w:p>
    <w:p w:rsidR="00163957" w:rsidRDefault="00163957" w:rsidP="00163957">
      <w:pPr>
        <w:pStyle w:val="Extracto"/>
      </w:pPr>
      <w:r>
        <w:t>2.</w:t>
      </w:r>
      <w:r>
        <w:tab/>
        <w:t>Las competencias autonómicas en materia de urbanismo y ordenación del territorio no incluyen condicionar decisivamente el diseño y despliegue de las redes decidiendo su trazado [FJ 5].</w:t>
      </w:r>
    </w:p>
    <w:p w:rsidR="00163957" w:rsidRDefault="00163957" w:rsidP="00163957">
      <w:pPr>
        <w:pStyle w:val="Extracto"/>
      </w:pPr>
    </w:p>
    <w:p w:rsidR="00163957" w:rsidRDefault="00163957" w:rsidP="00163957">
      <w:pPr>
        <w:pStyle w:val="Extracto"/>
      </w:pPr>
      <w:r>
        <w:t>3.</w:t>
      </w:r>
      <w:r>
        <w:tab/>
        <w:t>Los preceptos que permiten despliegues aéreos en fachadas de infraestructuras de red tienen cobertura en el art. 149.1.21 CE, pues dichos despliegues se permiten de forma excepcional y subsidiaria para garantizar la adecuada extensión de las redes de comunicación electrónica [FJ 6].</w:t>
      </w:r>
    </w:p>
    <w:p w:rsidR="00163957" w:rsidRDefault="00163957" w:rsidP="00163957">
      <w:pPr>
        <w:pStyle w:val="Extracto"/>
      </w:pPr>
    </w:p>
    <w:p w:rsidR="00163957" w:rsidRDefault="00163957" w:rsidP="00163957">
      <w:pPr>
        <w:pStyle w:val="Extracto"/>
      </w:pPr>
      <w:r>
        <w:t>4.</w:t>
      </w:r>
      <w:r>
        <w:tab/>
        <w:t>Las competencias autonómicas en materia de urbanismo y ordenación territorial quedan preservadas, dado que se garantiza su intervención, bien mediante la aprobación de un plan de despliegue o instalación, bien mediante la concesión de las licencias o autorizaciones oportunas [FJ 6].</w:t>
      </w:r>
    </w:p>
    <w:p w:rsidR="00163957" w:rsidRDefault="00163957" w:rsidP="00163957">
      <w:pPr>
        <w:pStyle w:val="Extracto"/>
      </w:pPr>
    </w:p>
    <w:p w:rsidR="00163957" w:rsidRDefault="00163957" w:rsidP="00163957">
      <w:pPr>
        <w:pStyle w:val="Extracto"/>
      </w:pPr>
      <w:r>
        <w:t>5.</w:t>
      </w:r>
      <w:r>
        <w:tab/>
        <w:t>No se vulnera la competencia de la Generalitat sobre las condiciones de los edificios, en tanto que no se interfiera en el despliegue de las redes [FJ 6].</w:t>
      </w:r>
    </w:p>
    <w:p w:rsidR="00163957" w:rsidRDefault="00163957" w:rsidP="00163957">
      <w:pPr>
        <w:pStyle w:val="Extracto"/>
      </w:pPr>
    </w:p>
    <w:p w:rsidR="00163957" w:rsidRDefault="00163957" w:rsidP="00163957">
      <w:pPr>
        <w:pStyle w:val="Extracto"/>
      </w:pPr>
      <w:r>
        <w:t>6.</w:t>
      </w:r>
      <w:r>
        <w:tab/>
        <w:t>No se vulnera la competencia ejecutiva de la Generalitat en materia de comunicaciones electrónicas, dado que no perturba la competencia estatal en materia de régimen general de comunicaciones, que tiene por objeto ordenar normativamente y asegurar la efectividad de las comunicaciones (STC 31/2010) [FJ 6].</w:t>
      </w:r>
    </w:p>
    <w:p w:rsidR="00163957" w:rsidRDefault="00163957" w:rsidP="00163957">
      <w:pPr>
        <w:pStyle w:val="Extracto"/>
      </w:pPr>
    </w:p>
    <w:p w:rsidR="00163957" w:rsidRDefault="00163957" w:rsidP="00163957">
      <w:pPr>
        <w:pStyle w:val="Extracto"/>
      </w:pPr>
      <w:r>
        <w:t>7.</w:t>
      </w:r>
      <w:r>
        <w:tab/>
        <w:t>Los planes de despliegue o instalación con efectos liberatorios de la obtención de licencias y autorizaciones son un mecanismo tendente a facilitar el servicio de modo uniforme en el territorio nacional, por lo que tienen cobertura en los títulos competenciales del art. 149.1.13 y 21 CE [FJ 7].</w:t>
      </w:r>
    </w:p>
    <w:p w:rsidR="00163957" w:rsidRDefault="00163957" w:rsidP="00163957">
      <w:pPr>
        <w:pStyle w:val="Extracto"/>
      </w:pPr>
    </w:p>
    <w:p w:rsidR="00163957" w:rsidRDefault="00163957" w:rsidP="00163957">
      <w:pPr>
        <w:pStyle w:val="Extracto"/>
      </w:pPr>
      <w:r>
        <w:lastRenderedPageBreak/>
        <w:t>8.</w:t>
      </w:r>
      <w:r>
        <w:tab/>
        <w:t>Se deja a salvo las competencias autonómicas en materia de urbanismo, ordenación del territorio y medioambiente, al disponer que los planes deberán ser aprobados por la Administración competente para el otorgamiento de las licencias o autorizaciones [FJ 7].</w:t>
      </w:r>
    </w:p>
    <w:p w:rsidR="00163957" w:rsidRDefault="00163957" w:rsidP="00163957">
      <w:pPr>
        <w:pStyle w:val="Extracto"/>
      </w:pPr>
    </w:p>
    <w:p w:rsidR="00163957" w:rsidRDefault="00163957" w:rsidP="00163957">
      <w:pPr>
        <w:pStyle w:val="Extracto"/>
      </w:pPr>
      <w:r>
        <w:t>9.</w:t>
      </w:r>
      <w:r>
        <w:tab/>
        <w:t>Aunque la previsión de silencio positivo es constitucional, no queda amparada la fijación de un concreto plazo de dos meses; toda vez que dicha previsión no es imprescindible para garantizar la virtualidad del sistema e invade las competencias autonómicas [FJ 7].</w:t>
      </w:r>
    </w:p>
    <w:p w:rsidR="00163957" w:rsidRDefault="00163957" w:rsidP="00163957">
      <w:pPr>
        <w:pStyle w:val="Extracto"/>
      </w:pPr>
    </w:p>
    <w:p w:rsidR="00163957" w:rsidRDefault="00163957" w:rsidP="00163957">
      <w:pPr>
        <w:pStyle w:val="Extracto"/>
      </w:pPr>
      <w:r>
        <w:t>10.</w:t>
      </w:r>
      <w:r>
        <w:tab/>
        <w:t>En defecto de acuerdo entre las Administraciones implicadas, prevalece la competencia exclusiva del Estado en materia de telecomunicaciones [FJ 8].</w:t>
      </w:r>
    </w:p>
    <w:p w:rsidR="00163957" w:rsidRDefault="00163957" w:rsidP="00163957">
      <w:pPr>
        <w:pStyle w:val="Extracto"/>
      </w:pPr>
    </w:p>
    <w:p w:rsidR="00163957" w:rsidRDefault="00163957" w:rsidP="00163957">
      <w:pPr>
        <w:pStyle w:val="Extracto"/>
      </w:pPr>
      <w:r>
        <w:t>11.</w:t>
      </w:r>
      <w:r>
        <w:tab/>
        <w:t>El Estado puede aprobar recomendaciones que contengan modelos de ordenanzas municipales, que no se dirijan a dar instrucciones sobre la elaboración de los planes de ordenación territorial y urbanística sino que traten sobre la adecuación de los instrumentos de planificación a la normativa sectorial de telecomunicaciones y sobre las necesidades de las redes públicas de comunicaciones electrónicas [FJ 9].</w:t>
      </w:r>
    </w:p>
    <w:p w:rsidR="00163957" w:rsidRDefault="00163957" w:rsidP="00163957">
      <w:pPr>
        <w:pStyle w:val="Extracto"/>
      </w:pPr>
    </w:p>
    <w:p w:rsidR="00163957" w:rsidRDefault="00163957" w:rsidP="00163957">
      <w:pPr>
        <w:pStyle w:val="Extracto"/>
      </w:pPr>
      <w:r>
        <w:t>12.</w:t>
      </w:r>
      <w:r>
        <w:tab/>
        <w:t>No son inconstitucionales los preceptos que establecen una protección activa del dominio público radioeléctrico, pues las competencias autonómicas sobre medios de comunicación social no incluyen la inspección, control y protección del uso del dominio público radioeléctrico [FJ 10].</w:t>
      </w:r>
    </w:p>
    <w:p w:rsidR="00163957" w:rsidRDefault="00163957" w:rsidP="00163957">
      <w:pPr>
        <w:pStyle w:val="Extracto"/>
      </w:pPr>
    </w:p>
    <w:p w:rsidR="00163957" w:rsidRDefault="00163957" w:rsidP="00163957">
      <w:pPr>
        <w:pStyle w:val="Extracto"/>
      </w:pPr>
      <w:r>
        <w:t>13.</w:t>
      </w:r>
      <w:r>
        <w:tab/>
        <w:t>Las competencias autonómicas sobre medios de comunicación social no incluyen la inspección, control y protección del uso del dominio público radioeléctrico, desvinculado de los medios de comunicación social usuarios del mismo, de sus títulos habilitantes y de los contenidos difundidos [FJ 10].</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inconstitucionalidad núm. 709-2015 interpuesto por la Generalitat de Cataluña contra los arts. 34.3, 5 y 6; 35.4 y 7; 45.4; 65; 69 j).6; y, por conexión, 73 y 74 de la Ley 9/2014, de 9 de mayo, general de telecomunicaciones. Ha comparecido y formulado </w:t>
      </w:r>
      <w:r>
        <w:lastRenderedPageBreak/>
        <w:t>alegaciones el Abogado del Estado. Ha sido Ponente el Magistrado don Pedro José González-Trevijano Sánchez,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5 de febrero de 2015, se ha promovido recurso de inconstitucionalidad por el Gobierno de la Generalitat de Cataluña contra los arts. 34.3, 5 y 6; 35.4 y 7; 45.4; 65; 69 j) 6; y, por conexión, 73 y 74 de la Ley 9/2014, de 9 de mayo, general de telecomunicaciones. La impugnación se fundamenta en los motivos que, en síntesis, se exponen a continuación:</w:t>
      </w:r>
    </w:p>
    <w:p w:rsidR="00163957" w:rsidRDefault="00163957" w:rsidP="00163957">
      <w:pPr>
        <w:pStyle w:val="TextoNormal"/>
      </w:pPr>
    </w:p>
    <w:p w:rsidR="00163957" w:rsidRDefault="00163957" w:rsidP="00163957">
      <w:pPr>
        <w:pStyle w:val="TextoNormal"/>
      </w:pPr>
      <w:r>
        <w:t>a) Tras justificar el cumplimiento de los requisitos procesales y aclarar que, en el acuerdo de inicio de las negociaciones del art. 33.2 de la Ley Orgánica del Tribunal Constitucional (LOTC), se produjo un mero error material al citar el art. 69.6 en lugar del art. 69 j).6 de la Ley 9/2014, el recurso comienza exponiendo la finalidad y objetivos de dicha Ley y dividiendo los preceptos impugnados en dos bloques: el primero, integrado por los arts. 34.3, 5 y 6; 35.4 y 7 y 45.4 de la Ley 9/2014 que, a juicio de la recurrente, vulneran las competencias exclusivas de la Generalitat sobre ordenación del territorio y el paisaje y urbanismo (arts.149.1 y 5 del Estatuto de Autonomía de Cataluña: EAC); y, un segundo bloque, que incluye los arts. 65, 69 j).6 y, por conexión, 73 y 74 que infringen, en su opinión, su competencia sobre regulación y control de los medios de comunicación audiovisual (art. 146 EAC).</w:t>
      </w:r>
    </w:p>
    <w:p w:rsidR="00163957" w:rsidRDefault="00163957" w:rsidP="00163957">
      <w:pPr>
        <w:pStyle w:val="TextoNormal"/>
      </w:pPr>
    </w:p>
    <w:p w:rsidR="00163957" w:rsidRDefault="00163957" w:rsidP="00163957">
      <w:pPr>
        <w:pStyle w:val="TextoNormal"/>
      </w:pPr>
      <w:r>
        <w:t>b) En relación con el primer bloque de preceptos recurridos, el recurso expone los títulos competenciales que inciden sobre la regulación controvertida. Parte de la disposición final novena de la Ley 9/2014, según la cual ésta se dicta al amparo de la competencia exclusiva estatal en materia de telecomunicaciones del art. 149.1.21 CE y, en lo que respecta a las disposiciones dirigidas a garantizar la unidad de mercado en el sector de las telecomunicaciones, al amparo del art. 149.1.1 y 13 CE. Resume la doctrina constitucional sobre el art. 149.1.21 CE con cita, principalmente, de las SSTC 8/2012 y 74/2014. Destaca que el Tribunal ha puesto de relieve el potencial expansivo de este título competencial y la necesidad de interpretarlo estrictamente para evitar el vaciamiento de competencias autonómicas estrechamente relacionadas con él, como la competencia compartida sobre medios de comunicación social del art. 149.1.27 CE, o las competencias autonómicas sobre urbanismo, ordenación del territorio, medio ambiente y sanidad. Señala que el art. 149.1.21 CE se refiere a la regulación de los aspectos técnicos de la emisión y utilización del dominio público radioeléctrico, y cita la doctrina constitucional que, en casos de concurrencia de títulos competenciales, enfatiza la necesaria cooperación entre Administraciones de forma que, si resulta insuficiente, la decisión final será del titular de la competencia prevalente que, normalmente, será la más específica, aunque este criterio no es absoluto.</w:t>
      </w:r>
    </w:p>
    <w:p w:rsidR="00163957" w:rsidRDefault="00163957" w:rsidP="00163957">
      <w:pPr>
        <w:pStyle w:val="TextoNormal"/>
      </w:pPr>
    </w:p>
    <w:p w:rsidR="00163957" w:rsidRDefault="00163957" w:rsidP="00163957">
      <w:pPr>
        <w:pStyle w:val="TextoNormal"/>
      </w:pPr>
      <w:r>
        <w:t xml:space="preserve">La recurrente afirma que los preceptos impugnados no se refieren a la unidad de mercado por lo que no son aplicables los títulos competenciales de los apartados 1 y 13 del art. 149.1 CE. No obstante, para el caso de que el Tribunal discrepe de esta conclusión, alude a la jurisprudencia constitucional relativa a los mismos. Con cita de las SSTC 61/1997, 178/2004, 133/2006, y 170/2012 expone que el art. 149.1.1 CE habilita al Estado para establecer condiciones a fin de garantizar la igualdad de los españoles en sus derechos y deberes </w:t>
      </w:r>
      <w:r>
        <w:lastRenderedPageBreak/>
        <w:t>constitucionales pero no para imponer conductas a otros entes públicos ni instrumentos de planificación o técnicas concretas de intervención. En cuanto al art. 149.1.13 CE, invocando varias sentencias, destaca que es un título de interpretación restrictiva que solo permite la adopción de medidas con incidencia inmediata y significativa sobre la actividad económica general o sectores económicos concretos, dejando espacio normativo a las Comunidades Autónomas para desarrollar políticas sectoriales en ámbitos de su competencia.</w:t>
      </w:r>
    </w:p>
    <w:p w:rsidR="00163957" w:rsidRDefault="00163957" w:rsidP="00163957">
      <w:pPr>
        <w:pStyle w:val="TextoNormal"/>
      </w:pPr>
    </w:p>
    <w:p w:rsidR="00163957" w:rsidRDefault="00163957" w:rsidP="00163957">
      <w:pPr>
        <w:pStyle w:val="TextoNormal"/>
      </w:pPr>
      <w:r>
        <w:t>El escrito de la Generalitat se refiere, a continuación, a las competencias autonómicas en materia de ordenación del territorio y del paisaje y de urbanismo que ostenta en virtud del art. 149. 1 y 5 EAC que se trascriben y que considera vulnerados. La competencia sobre ordenación del territorio, según esta parte procesal, es un título competencial específico y de gran amplitud mientras que la competencia en materia de urbanismo, como dice la STC 170/2012, ha de integrarse sistemáticamente con las competencias estatales que pueden afectar puntualmente a la materia urbanística. Dice que la Generalitat de Cataluña es asimismo titular de la competencia ejecutiva en materia de infraestructuras de comunicaciones electrónicas (art. 140.7 EAC) y puede fijar las condiciones de los edificios para la instalación de infraestructuras comunes de telecomunicaciones (art. 137.2 EAC).</w:t>
      </w:r>
    </w:p>
    <w:p w:rsidR="00163957" w:rsidRDefault="00163957" w:rsidP="00163957">
      <w:pPr>
        <w:pStyle w:val="TextoNormal"/>
      </w:pPr>
    </w:p>
    <w:p w:rsidR="00163957" w:rsidRDefault="00163957" w:rsidP="00163957">
      <w:pPr>
        <w:pStyle w:val="TextoNormal"/>
      </w:pPr>
      <w:r>
        <w:t>c) La Generalitat razona seguidamente la inconstitucionalidad del art. 34.3 de la Ley 9/2014, primero de los artículos recurridos, que se impugna en cuanto impide que la normativa de las Administraciones públicas y los instrumentos de planificación territorial o urbanística puedan establecer itinerarios o ubicaciones concretas en los que instalar infraestructuras de la red de comunicaciones electrónicas. A juicio de la recurrente, esta prohibición excede la competencia estatal del art. 149.1.21 CE y también la de sus apartados 1 y 13 y no es proporcional ni imprescindible para lograr la finalidad de la Ley 9/2014 de garantizar una óptima implantación territorial de las infraestructuras de las redes de telecomunicaciones, pues el art. 35.2 de la misma Ley somete los instrumentos de planificación territorial y urbanística que afecten al despliegue de esas redes a informe preceptivo y vinculante del Ministerio de Industria, Energía y Turismo. La prohibición del art. 34.3 de la Ley 9/2014 limita además las competencias de la Generalitat sobre ordenación del territorio y urbanismo que podrían incluir determinaciones relativas a la implantación territorial de las infraestructuras de telecomunicaciones, como resulta del art. 3.1 de la Ley del suelo y confirman varios preceptos, que transcribe, del Reglamento de planeamiento urbanístico, aprobado por Real Decreto 2159/1978, de 23 de junio, aplicable supletoriamente en Cataluña. Dice que ello ha sido admitido por la STC 8/2012, que también ha reconocido que las Comunidades Autónomas pueden imponer límites al derecho de ocupación del dominio público de los operadores en el ámbito de las telecomunicaciones.</w:t>
      </w:r>
    </w:p>
    <w:p w:rsidR="00163957" w:rsidRDefault="00163957" w:rsidP="00163957">
      <w:pPr>
        <w:pStyle w:val="TextoNormal"/>
      </w:pPr>
    </w:p>
    <w:p w:rsidR="00163957" w:rsidRDefault="00163957" w:rsidP="00163957">
      <w:pPr>
        <w:pStyle w:val="TextoNormal"/>
      </w:pPr>
      <w:r>
        <w:t xml:space="preserve">d) Los arts. 34.5 y 45.4 de la Ley 9/2014 se recurren en cuanto autorizan a los operadores a realizar tendidos aéreos y por las fachadas de los edificios en caso de no existir canalizaciones, o cuando no se puedan realizar en el interior del edificio o finca, o no sea posible su uso o instalación por razones técnicas o económicas lo que, se dice, “ocurrirá en todos los supuestos, puesto que siempre será menos costoso”. Se afirma que estas previsiones exceden el art. 149.1.21 CE pues, como la anterior, no inciden en la ordenación del dominio público radioeléctrico, ni en los aspectos técnicos y títulos habilitantes de su utilización, ni se proyectan sobre las condiciones de prestación del servicio y explotación de las redes. Tampoco tienen amparo en los apartados 1 y 13 del art. 149.1. CE y, en cambio, invaden las competencias autonómicas sobre ordenación del territorio y urbanismo del art. 149.1 y 5 EAC por </w:t>
      </w:r>
      <w:r>
        <w:lastRenderedPageBreak/>
        <w:t xml:space="preserve">su especial incidencia en la preservación de la imagen urbana. Además, estos preceptos ignoran la competencia de la Generalitat </w:t>
      </w:r>
      <w:r w:rsidRPr="00163957">
        <w:rPr>
          <w:i/>
        </w:rPr>
        <w:t>ex</w:t>
      </w:r>
      <w:r>
        <w:t xml:space="preserve"> art. 137.2 EAC.</w:t>
      </w:r>
    </w:p>
    <w:p w:rsidR="00163957" w:rsidRDefault="00163957" w:rsidP="00163957">
      <w:pPr>
        <w:pStyle w:val="TextoNormal"/>
      </w:pPr>
    </w:p>
    <w:p w:rsidR="00163957" w:rsidRDefault="00163957" w:rsidP="00163957">
      <w:pPr>
        <w:pStyle w:val="TextoNormal"/>
      </w:pPr>
      <w:r>
        <w:t>e) El art. 34.6 de la Ley 9/2014 se impugna en cuanto regula la presentación por los operadores ante la Administración pública competente, para el otorgamiento de licencias o autorizaciones de funcionamiento, actividad, medioambientales o similares, de planes de despliegue o instalación de red de comunicaciones electrónicas en los que se contemplen las infraestructuras o estaciones, de forma que, una vez aprobado el plan por dicha Administración, no podrán exigirse las licencias o autorizaciones reseñadas, señalando el precepto que el plan se sujetará al contenido y deberá respetar las condiciones técnicas exigidas por Real Decreto del Consejo de Ministros. La recurrente alega que este precepto no tiene cobertura en el art. 149.1.1, 13 y 21 CE y vulnera las competencias autonómicas del art. 149. 1 y 5 EAC, ya que la aprobación de dichos planes no sujeta su adecuación a la normativa e instrumentos de ordenación territorial, urbanística y medioambiental sino a la observancia de las condiciones técnicas que establezca una norma estatal. Además, al regular el precepto un procedimiento sujeto a plazo de resolución y silencio positivo, vulnera el art. 159 EAC que reconoce a la Generalitat competencia en materia de procedimiento administrativo e infringe los arts. 149.1.23 CE y 144 EAC que establecen una competencia compartida sobre medioambiente.</w:t>
      </w:r>
    </w:p>
    <w:p w:rsidR="00163957" w:rsidRDefault="00163957" w:rsidP="00163957">
      <w:pPr>
        <w:pStyle w:val="TextoNormal"/>
      </w:pPr>
    </w:p>
    <w:p w:rsidR="00163957" w:rsidRDefault="00163957" w:rsidP="00163957">
      <w:pPr>
        <w:pStyle w:val="TextoNormal"/>
      </w:pPr>
      <w:r>
        <w:t>f) El art. 35.4 de la Ley 9/2014 se considera asimismo inconstitucional en cuanto, partiendo de que la instalación y despliegue de las redes de telecomunicaciones electrónicas son obras de interés general (art. 34.2 de la Ley), y afirmando que las Administraciones públicas tienen la obligación de facilitar el despliegue de las infraestructuras correspondientes en su ámbito territorial, señala que, en defecto de acuerdo, cuando quede plenamente justificada la necesidad de las redes y siempre que se cumplan los parámetros y requisitos técnicos esenciales para garantizar el funcionamiento de las redes y servicios, el Consejo de Ministros podrá autorizar la ubicación o el itinerario concreto de una infraestructura en cuyo caso la Administración pública competente deberá incorporar necesariamente en sus instrumentos de ordenación las rectificaciones imprescindibles. Entiende la recurrente que, con esta previsión, se coloca a los legisladores autonómicos en una posición subordinada contraria a la doctrina constitucional conforme a la cual procedería arbitrar fórmulas para el ejercicio simultáneo o mutuamente condicionado de las competencias y, solo cuando ello no sea posible, debería ser el Tribunal Constitucional, como único intérprete de la Constitución, el que habría de pronunciarse sobre la competencia prevalente. El recurso denuncia las diferencias entre el mecanismo del art. 35.4 impugnado y los previstos en las legislaciones del suelo y de contratos para resolver casos en que la Administración del Estado promueve actuaciones disconformes con la ordenación urbanística en vigor, en los que, dice esta parte procesal, se requieren razones de urgencia o de excepcional interés público y la tramitación de un procedimiento con audiencia de la Comunidad Autónoma. Así, se vuelve a afirmar la vulneración del art. 149.1 y 5 EAC.</w:t>
      </w:r>
    </w:p>
    <w:p w:rsidR="00163957" w:rsidRDefault="00163957" w:rsidP="00163957">
      <w:pPr>
        <w:pStyle w:val="TextoNormal"/>
      </w:pPr>
    </w:p>
    <w:p w:rsidR="00163957" w:rsidRDefault="00163957" w:rsidP="00163957">
      <w:pPr>
        <w:pStyle w:val="TextoNormal"/>
      </w:pPr>
      <w:r>
        <w:t xml:space="preserve">g) El art. 35.7 de la Ley 9/2014 se impugna por contemplar la aprobación por el Ministerio de Industria, Energía y Turismo de recomendaciones para la elaboración por las Administraciones competentes de los planes de ordenación territorial y urbanística que podrán contener modelos de ordenanzas municipales, de forma que los municipios podrán reemplazar la solicitud del informe previsto en el art. 35.2 por la presentación del proyecto de </w:t>
      </w:r>
      <w:r>
        <w:lastRenderedPageBreak/>
        <w:t>instrumento y declaración del alcalde acreditativa del cumplimiento de las recomendaciones. A juicio de la recurrente, estas recomendaciones vulneran el art. 149.1 y 5 EAC, pues su finalidad es dar instrucciones sobre la elaboración de los planes de ordenación territorial y urbanística con lo que el Estado, como legislador sectorial de telecomunicaciones, interfiere en las materias de ordenación del territorio y urbanismo, sin que ello tenga cabida en el art. 149.1.1, 13 y 21 CE.</w:t>
      </w:r>
    </w:p>
    <w:p w:rsidR="00163957" w:rsidRDefault="00163957" w:rsidP="00163957">
      <w:pPr>
        <w:pStyle w:val="TextoNormal"/>
      </w:pPr>
    </w:p>
    <w:p w:rsidR="00163957" w:rsidRDefault="00163957" w:rsidP="00163957">
      <w:pPr>
        <w:pStyle w:val="TextoNormal"/>
      </w:pPr>
      <w:r>
        <w:t>h) Finalmente, el recurso analiza el segundo bloque de artículos impugnados: arts. 65, 69 j).6 y, por conexión, 73 y 74 de la Ley 9/2014. Les imputa vulneración de la competencia autonómica compartida sobre medios de comunicación social del art. 149.1.27 CE, por regular una función de protección del dominio público radioeléctrico que se atribuye solo al Estado.</w:t>
      </w:r>
    </w:p>
    <w:p w:rsidR="00163957" w:rsidRDefault="00163957" w:rsidP="00163957">
      <w:pPr>
        <w:pStyle w:val="TextoNormal"/>
      </w:pPr>
    </w:p>
    <w:p w:rsidR="00163957" w:rsidRDefault="00163957" w:rsidP="00163957">
      <w:pPr>
        <w:pStyle w:val="TextoNormal"/>
      </w:pPr>
      <w:r>
        <w:t>Tras destacar la estrecha relación existente entre los títulos competenciales del art. 149.1.21 y 27 CE, el recurso resume la jurisprudencia que ha definido el título del art. 149.1.27 por su relación con el derecho fundamental a la información del art. 20 CE, mientras que la competencia exclusiva sobre telecomunicaciones del art. 149.1.21 CE se refiere a los aspectos técnicos de la utilización del dominio público radioeléctrico. Con cita de las SSTC 26/1982, 108/1993 y 105/2012, afirma la Generalitat que la doctrina constitucional ha admitido que la competencia autonómica sobre medios de comunicación social conlleve el ejercicio de potestades relacionadas con el uso del espacio radioeléctrico como, por ejemplo, las de inspección o sancionadora sobre emisiones clandestinas. Indica que están pendientes de resolución los recursos de inconstitucionalidad núms. 8112-2006 y 6687-2012 interpuestos por el Gobierno contra las Leyes del Parlamento de Cataluña 22/2005, de comunicación audiovisual y 2/2012, de modificación de varias Leyes en materia audiovisual que, a su juicio, reflejan un “entendimiento ilimitado” por el Estado de su competencia en materia de telecomunicaciones que se observa nuevamente, dice, en los artículos ahora recurridos.</w:t>
      </w:r>
    </w:p>
    <w:p w:rsidR="00163957" w:rsidRDefault="00163957" w:rsidP="00163957">
      <w:pPr>
        <w:pStyle w:val="TextoNormal"/>
      </w:pPr>
    </w:p>
    <w:p w:rsidR="00163957" w:rsidRDefault="00163957" w:rsidP="00163957">
      <w:pPr>
        <w:pStyle w:val="TextoNormal"/>
      </w:pPr>
      <w:r>
        <w:t xml:space="preserve">A partir de lo anterior, el art. 65 de la Ley 9/2014 se considera inconstitucional en cuanto autoriza, únicamente a la Secretaría de Estado de Telecomunicaciones y para la Sociedad de la información, a efectuar una protección activa del dominio público radioeléctrico mediante la realización de emisiones sin contenidos sustantivos en frecuencias y canales cuyos derechos de uso, en el ámbito territorial correspondiente, no hayan sido otorgados, sin reconocer las potestades de las Comunidades Autónomas en caso de emisiones audiovisuales clandestinas cuya habilitación les competa. Por la misma razón, se recurre el art. 69 j).6 de la Ley 9/2014 que recoge esta función. No se cuestiona que la competencia sobre telecomunicaciones habilita al Estado para adoptar medidas de protección activa del espectro radioeléctrico, pero sí que esa facultad solo se reconozca a la Administración estatal. Admite la Generalitat que su Consejo de Garantías Estatutarias, en el dictamen 22/2014, de 3 de noviembre, concluyó que los arts. 65, 69 j).6, 73 y 74 de la Ley 9/2014 podrían ser interpretados sin perjuicio de las competencias de las Comunidades Autónomas, pero considera que esta interpretación no es conforme con la literalidad de la Ley, ni es la que realizan el legislador y la Administración, como demuestran, en su opinión, los recursos interpuestos contra las leyes catalanas en materia audiovisual citados y que no fuera posible resolver las discrepancias sobre estos preceptos en la comisión bilateral Estado-Generalitat del art. 33.2 </w:t>
      </w:r>
      <w:r>
        <w:lastRenderedPageBreak/>
        <w:t xml:space="preserve">LOTC. Por ello, concluye que estos artículos vulneran la competencia de la Generalitat sobre inspección y sanción en materia de medios de comunicación social </w:t>
      </w:r>
      <w:r w:rsidRPr="00163957">
        <w:rPr>
          <w:i/>
        </w:rPr>
        <w:t>ex</w:t>
      </w:r>
      <w:r>
        <w:t xml:space="preserve"> art. 146 EAC que incluye la adopción de medidas de protección activa del espectro.</w:t>
      </w:r>
    </w:p>
    <w:p w:rsidR="00163957" w:rsidRDefault="00163957" w:rsidP="00163957">
      <w:pPr>
        <w:pStyle w:val="TextoNormal"/>
      </w:pPr>
    </w:p>
    <w:p w:rsidR="00163957" w:rsidRDefault="00163957" w:rsidP="00163957">
      <w:pPr>
        <w:pStyle w:val="TextoNormal"/>
      </w:pPr>
      <w:r>
        <w:t>El art. 73 de la Ley 9/2014 se recurre porque solo se refiere a las facultades de inspección sobre los operadores de telecomunicaciones de la Secretaría de Estado, omitiendo las que pueden tener los funcionarios autonómicos, siendo este el criterio que también sostiene el Estado en el recurso núm. 6687-2012 precitado. Dice el recurso que el precepto desconoce que la competencia de la Generalitat para otorgar el título habilitante en caso de servicios audiovisuales conlleva, como ha declarado la STC 5/2012, la potestad de inspección de la adecuación por los prestadores de los servicios a la condiciones de la licencia o comunicación.</w:t>
      </w:r>
    </w:p>
    <w:p w:rsidR="00163957" w:rsidRDefault="00163957" w:rsidP="00163957">
      <w:pPr>
        <w:pStyle w:val="TextoNormal"/>
      </w:pPr>
    </w:p>
    <w:p w:rsidR="00163957" w:rsidRDefault="00163957" w:rsidP="00163957">
      <w:pPr>
        <w:pStyle w:val="TextoNormal"/>
      </w:pPr>
      <w:r>
        <w:t>Por último, se recurre el art. 74 de la Ley 9/2014, relativo a la responsabilidad por las infracciones en materia de telecomunicaciones en cuanto, a juicio de la recurrente, regula la responsabilidad administrativa de quienes explotan redes o prestan servicios sin título habilitante, sin distinguir los servicios concretos a que se refiere, con lo que incluye a los operadores de servicios audiovisuales e invade la competencia autonómica en la materia. En particular, se hace referencia al art. 74 b) de la Ley que hace extensiva la responsabilidad a sujetos que no son operadores de telecomunicaciones ni interfieren necesariamente en estos servicios.</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3 de marzo de 2015, el Pleno, a propuesta de la Sección Tercera, acordó admitir a trámite el recurso de inconstitucionalidad del Gobierno de Cataluña contra los arts. 34.3, 5 y 6; 35.4 y 7; 45.4; 65; 69 j).6; y, por conexión, arts. 73 y 74 de la Ley 9/2014, de 9 de mayo, general de telecomunicaciones;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así como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Con fecha de 11 de marzo de 2015, el Abogado del Estado comparece en el proceso en la representación que legalmente ostenta para que el Tribunal le tenga por personado en el recurso de inconstitucionalidad en nombre del Gobierno, al tiempo que solicita una prórroga del plazo concedido para formular sus alegaciones.</w:t>
      </w:r>
    </w:p>
    <w:p w:rsidR="00163957" w:rsidRDefault="00163957" w:rsidP="00163957">
      <w:pPr>
        <w:pStyle w:val="TextoNormal"/>
      </w:pPr>
    </w:p>
    <w:p w:rsidR="00163957" w:rsidRDefault="00163957" w:rsidP="00163957">
      <w:pPr>
        <w:pStyle w:val="TextoNormal"/>
      </w:pPr>
      <w:r w:rsidRPr="00163957">
        <w:rPr>
          <w:rStyle w:val="NumeroAFNegritaCaracter"/>
        </w:rPr>
        <w:t>4</w:t>
      </w:r>
      <w:r>
        <w:t>. El Pleno, mediante diligencia de ordenación de 12 de marzo de 2015, acordó tener por personado al Abogado del Estado y prorrogar en ocho días el plazo en su día concedido para presentar sus alegaciones.</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registrado en este Tribunal el 12 de marzo de 2015, el Presidente del Congreso de los Diputados comunicó el acuerdo de la Mesa de la Cámara de personarse en el procedimiento y ofrecer su colaboración a los efectos del art. 88.1 LOTC. Lo mismo hizo el Vicepresidente Primero del Senado, por escrito registrado en este Tribunal el 18 de marzo del mismo año.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6</w:t>
      </w:r>
      <w:r>
        <w:t>. El escrito de alegaciones del Abogado del Estado, interesando la desestimación del recurso de inconstitucionalidad, tuvo entrada en este Tribunal el día 9 de abril de 2015. La Abogacía del Estado basa su oposición al recurso en los argumentos siguientes:</w:t>
      </w:r>
    </w:p>
    <w:p w:rsidR="00163957" w:rsidRDefault="00163957" w:rsidP="00163957">
      <w:pPr>
        <w:pStyle w:val="TextoNormal"/>
      </w:pPr>
    </w:p>
    <w:p w:rsidR="00163957" w:rsidRDefault="00163957" w:rsidP="00163957">
      <w:pPr>
        <w:pStyle w:val="TextoNormal"/>
      </w:pPr>
      <w:r>
        <w:t>a) La Ley 9/2014, de 9 de mayo, general de telecomunicaciones se dirige a facilitar el despliegue de redes de comunicación electrónica ultrarrápida que, por exigir inversiones muy elevadas, conllevan la necesidad de garantizar normativamente el derecho de los operadores a la ocupación del dominio público o propiedad privada, en condiciones transparentes e iguales, agilizando la obtención de permisos y licencias. Ello, con pleno respeto al marco competencial y en colaboración con las Comunidades Autónomas. Incide en la necesidad de facilitar el despliegue de comunicaciones electrónicas en todo el territorio nacional al amparo de la competencia exclusiva del Estado sobre telecomunicaciones en colaboración con el resto de Administraciones.</w:t>
      </w:r>
    </w:p>
    <w:p w:rsidR="00163957" w:rsidRDefault="00163957" w:rsidP="00163957">
      <w:pPr>
        <w:pStyle w:val="TextoNormal"/>
      </w:pPr>
    </w:p>
    <w:p w:rsidR="00163957" w:rsidRDefault="00163957" w:rsidP="00163957">
      <w:pPr>
        <w:pStyle w:val="TextoNormal"/>
      </w:pPr>
      <w:r>
        <w:t>b) En el apartado segundo de su escrito, el Abogado del Estado razona sobre los títulos competenciales controvertidos, basándose en el informe favorable del Consejo de Estado sobre el anteproyecto de la Ley 9/2014, que entendió oportuna la invocación del art. 149.1.1 y 13 CE por ser numerosos los preceptos de la Ley 9/2014 dirigidos a garantizar la unidad de mercado, y valoró favorablemente la regulación de mecanismos concretos de colaboración con las Comunidades Autónomas. Expone asimismo el contenido de la competencia exclusiva del Estado sobre telecomunicaciones del art. 149.1.21 CE, a partir del dictamen del Consejo de Estado y de la doctrina constitucional. Alude además a la relación de este título competencial con otros autonómicos y a la necesidad de fórmulas de cooperación, correspondiendo la decisión final, si resultaran insuficientes, al titular de la competencia prevalente, y sin que el Estado pueda verse privado del ejercicio de una competencia exclusiva por el ejercicio de otra, también exclusiva, de una Comunidad Autónoma.</w:t>
      </w:r>
    </w:p>
    <w:p w:rsidR="00163957" w:rsidRDefault="00163957" w:rsidP="00163957">
      <w:pPr>
        <w:pStyle w:val="TextoNormal"/>
      </w:pPr>
    </w:p>
    <w:p w:rsidR="00163957" w:rsidRDefault="00163957" w:rsidP="00163957">
      <w:pPr>
        <w:pStyle w:val="TextoNormal"/>
      </w:pPr>
      <w:r>
        <w:t>c) En cuanto al primer bloque de artículos impugnados, el Abogado del Estado discrepa de la afirmación de la recurrente según la cual éstos no persiguen garantizar la unidad de mercado y por tanto no son de aplicación los apartados 1 y 13 del art. 149.1 CE. Afirma que las medidas contempladas en estos artículos son mecanismos dirigidos a evitar que los operadores de telecomunicaciones, al desplegar sus redes e infraestructuras, tengan que cumplir normas autonómicas o locales heterogéneas que impidan un despliegue coherente de dichas infraestructuras. Expone así la doctrina constitucional sobre la unidad de mercado resumida en la STC 96/2002 y añade que es un principio recogido en el Tratado de Funcionamiento de la Unión Europea para cuyo desarrollo se prevé el dictado de directivas al que también se aplica el art. 149.1.1 CE. Alude nuevamente a la competencia estatal del art. 149.1.21 CE citando extensamente la STC 8/2012 sobre relación entre este título y las competencias autonómicas de urbanismo y ordenación del territorio.</w:t>
      </w:r>
    </w:p>
    <w:p w:rsidR="00163957" w:rsidRDefault="00163957" w:rsidP="00163957">
      <w:pPr>
        <w:pStyle w:val="TextoNormal"/>
      </w:pPr>
    </w:p>
    <w:p w:rsidR="00163957" w:rsidRDefault="00163957" w:rsidP="00163957">
      <w:pPr>
        <w:pStyle w:val="TextoNormal"/>
      </w:pPr>
      <w:r>
        <w:t xml:space="preserve">d) El representante de la Administración del Estado rechaza la impugnación del art. 34.3 de la Ley 9/2014. Dice que la prohibición que se recurre, de que los instrumentos de planificación territorial y urbanística, u otra normativa, puedan fijar itinerarios o ubicaciones concretas para la instalación de infraestructuras de telecomunicaciones, parte del mismo presupuesto fáctico y jurídico que otras medidas recogidas en el precepto no recurridas, y las que suponen que las competencias autonómicas y locales de ordenación del territorio y urbanismo no pueden conllevar que se imponga a los operadores de telecomunicaciones una </w:t>
      </w:r>
      <w:r>
        <w:lastRenderedPageBreak/>
        <w:t>tecnología, una ubicación o un itinerario o directamente la imposibilidad de desplegar la red en un determinado territorio.</w:t>
      </w:r>
    </w:p>
    <w:p w:rsidR="00163957" w:rsidRDefault="00163957" w:rsidP="00163957">
      <w:pPr>
        <w:pStyle w:val="TextoNormal"/>
      </w:pPr>
    </w:p>
    <w:p w:rsidR="00163957" w:rsidRDefault="00163957" w:rsidP="00163957">
      <w:pPr>
        <w:pStyle w:val="TextoNormal"/>
      </w:pPr>
      <w:r>
        <w:t>El Abogado del Estado considera obvio que la normativa autonómica urbanística o la normativa sobre ordenación del territorio puede afectar al despliegue de las redes de telecomunicaciones, especialmente si se quieren imponer ubicaciones o itinerarios, por lo que el precepto tiene base en el art. 149.1.21 CE por afectar al régimen jurídico de los operadores y a las condiciones de prestación del servicio. Recuerda que, no solo los arts. 29 y 30 de la Ley 9/2014 reconocen los derechos de los operadores a la ocupación del dominio público y privado para el establecimiento de sus redes públicas de comunicaciones electrónicas, sino que también directivas comunitarias como las Directiva 2002/20/CE y 2002/21/CE, los recogen.</w:t>
      </w:r>
    </w:p>
    <w:p w:rsidR="00163957" w:rsidRDefault="00163957" w:rsidP="00163957">
      <w:pPr>
        <w:pStyle w:val="TextoNormal"/>
      </w:pPr>
    </w:p>
    <w:p w:rsidR="00163957" w:rsidRDefault="00163957" w:rsidP="00163957">
      <w:pPr>
        <w:pStyle w:val="TextoNormal"/>
      </w:pPr>
      <w:r>
        <w:t>Mantiene esta parte procesal que el art. 34.3 de la Ley 9/2014 tiene también fundamento en el art. 149.1.1 y 13 CE, pues trata de preservar la unidad de mercado en el sector de las telecomunicaciones. Considera que la prohibición es proporcional y, en cambio, no lo es que una instancia administrativa pueda imponer ubicaciones o itinerarios concretos a los operadores. Señala la Abogacía del Estado que el informe preceptivo del Ministerio de Industria, Energía y Turismo del art. 35.2 de la Ley 9/2014, a que alude la recurrente, se refiere a los instrumentos de planificación y no al resto de normativa, y no altera la necesidad de la prohibición cuestionada, so pena de trasladar a dicho Ministerio la decisión sobre si el itinerario o ubicación fijados son adecuados para la instalación de la red, cuando lo que se pretende es que sea el operador el que decida dicha ubicación dentro de una oferta suficiente de espacios realizada por la Administración competente, en este caso, la Generalitat.</w:t>
      </w:r>
    </w:p>
    <w:p w:rsidR="00163957" w:rsidRDefault="00163957" w:rsidP="00163957">
      <w:pPr>
        <w:pStyle w:val="TextoNormal"/>
      </w:pPr>
    </w:p>
    <w:p w:rsidR="00163957" w:rsidRDefault="00163957" w:rsidP="00163957">
      <w:pPr>
        <w:pStyle w:val="TextoNormal"/>
      </w:pPr>
      <w:r>
        <w:t>El art. 149.5 EAC no ampara, en opinión del Abogado del Estado, la fijación del itinerario o ubicación de una red de comunicaciones electrónicas pues, si así fuera, el operador debería desplegar sus instalaciones de manera diferente en cada territorio. Ni siquiera el Estado puede imponer a los operadores ubicaciones o itinerarios concretos. La STC 8/2012, citada por la recurrente, dice que a la Comunidad Autónoma le corresponde la planificación de los usos del territorio pero, a partir de ella, el operador es libre de instalar sus infraestructuras y redes en las múltiples ubicaciones previstas.</w:t>
      </w:r>
    </w:p>
    <w:p w:rsidR="00163957" w:rsidRDefault="00163957" w:rsidP="00163957">
      <w:pPr>
        <w:pStyle w:val="TextoNormal"/>
      </w:pPr>
    </w:p>
    <w:p w:rsidR="00163957" w:rsidRDefault="00163957" w:rsidP="00163957">
      <w:pPr>
        <w:pStyle w:val="TextoNormal"/>
      </w:pPr>
      <w:r>
        <w:t>El representante de la Administración del Estado añade que el Real Decreto 2159/1978, invocado en el recurso, es anterior al marco constitucional. Recuerda que el art. 34.3 de la Ley 9/2014 establece que las Administraciones públicas contribuirán a garantizar una oferta suficiente de espacios para ubicación de infraestructuras que permita un despliegue ordenado de las redes, y somete el despliegue de redes a cautelas para salvaguardar las competencias de las distintas Administraciones, por ejemplo, al regular los planes de despliegue o instalación de red o las declaraciones responsables de cumplimiento de las previsiones legales que los operadores deben presentar. Por tanto, si la Generalitat entendiera que una instalación no respeta la ordenación territorial o afecta a bienes que le corresponde proteger, puede ejercer sus potestades de inspección y sanción. Reitera que la prohibición recurrida es imprescindible para lograr una red de comunicaciones electrónicas eficiente, y tiene base en los apartados 1,13 y 21 del art. 149.1 CE y es proporcionada.</w:t>
      </w:r>
    </w:p>
    <w:p w:rsidR="00163957" w:rsidRDefault="00163957" w:rsidP="00163957">
      <w:pPr>
        <w:pStyle w:val="TextoNormal"/>
      </w:pPr>
    </w:p>
    <w:p w:rsidR="00163957" w:rsidRDefault="00163957" w:rsidP="00163957">
      <w:pPr>
        <w:pStyle w:val="TextoNormal"/>
      </w:pPr>
      <w:r>
        <w:lastRenderedPageBreak/>
        <w:t>e) Se opone al recurso formulado contra los arts. 34.5 y 45.4 de la Ley 9/2014. Esgrime que los despliegues aéreos o en fachadas de infraestructuras de red de comunicaciones electrónicas del art. 34.5, que la Generalitat dice que invaden su competencia en materia de urbanismo, son excepcionales, pues solo caben si no existen canalizaciones subterráneas, o no es posible su uso por razones técnicas o económicas y, en caso de despliegues aéreos, solo si hay uno previamente existente. Además, se excluyen en casos justificados de edificaciones de patrimonio histórico-artístico o que puedan afectar a la seguridad pública. Igualmente, el art. 45.4 de la Ley 9/2014 solo permite el despliegue por fachadas como último recurso en caso de edificios en que no existe o no es posible utilizar la infraestructura común de comunicaciones electrónicas del edificio y que el despliegue en el interior no quepa por razones técnicas o económicas, previa tramitación de un procedimiento en que los propietarios pueden oponerse u optar por instalar una infraestructura común de comunicaciones electrónicas o adaptar la existente. Además, se atribuye responsabilidad por los daños al operador y se contempla la posibilidad de imponerles la utilización compartida de los tramos finales de las redes. La posibilidad excepcional que estos preceptos contemplan es necesaria pues para garantizar el despliegue de las redes y para que los ciudadanos puedan acceder a servicios de telecomunicaciones de interés general, por lo que tiene amparo en el art. 149.1.21 CE. Se recuerda que ya el Real Decreto-ley 1/1998, de 27 de febrero, reguló las infraestructuras comúnes de comunicaciones electrónicas en los edificios para acceso a los servicios de telecomunicación, consagrando el derecho de los operadores a desplegarlas para garantizar el acceso a tales servicios. Se añade que estos artículos también tienen soporte competencial en los apartados 1 y 13 del art. 149.1.CE, pues se trata de garantizar la igualdad de los españoles y de una base económica esencial para que los operadores puedan desarrollar su actividad. La alternativa a esta regulación, según el Abogado del Estado, sería la paralización de las inversiones y la falta de despliegue de las redes. No se invaden, a juicio de esta parte, las competencias autonómicas sobre urbanismo y ordenación del territorio, ni la del art. 137 EAC que se refiere a las infraestructuras comúnes de comunicaciones electrónicas en el interior de los edificios de las que son titulares las comunidades de propietarios, mientras que los despliegues aéreos y por fachadas a que se refieren los artículos impugnados son propiedad de los operadores. En todo caso, los despliegues están sujetos a la normativa sobre urbanismo y ordenación territorial de conformidad con el art. 34.6 de la Ley 9/2014, tanto si se exige licencia urbanística, en cuyo caso el control de las Administraciones catalanas es obvio, como si se exige la declaración responsable que prevé este artículo, lo que supone que un plan de despliegue o instalación de red tendrá que ser aprobado por la Administración territorial y en el que se han de identificar los despliegues aéreos o por fachadas.</w:t>
      </w:r>
    </w:p>
    <w:p w:rsidR="00163957" w:rsidRDefault="00163957" w:rsidP="00163957">
      <w:pPr>
        <w:pStyle w:val="TextoNormal"/>
      </w:pPr>
    </w:p>
    <w:p w:rsidR="00163957" w:rsidRDefault="00163957" w:rsidP="00163957">
      <w:pPr>
        <w:pStyle w:val="TextoNormal"/>
      </w:pPr>
      <w:r>
        <w:t xml:space="preserve">f) Refuta asimismo el Abogado del Estado la inconstitucionalidad del art. 34.6 de la Ley 9/2014. Con cita de la STC 8/2012, afirma que este artículo, y otros impugnados, diseñan mecanismos de coordinación y cooperación entre las Administraciones públicas para que puedan ejercer sus competencias y se cumpla la finalidad de la Ley 9/2014 de lograr un despliegue eficaz de las redes de telecomunicaciones de nueva generación, en el marco de las políticas europeas, que han llevado a la adopción de la Directiva 2014/61/UE, sobre medidas para reducir el coste del despliegue de las redes de comunicaciones electrónicas de alta velocidad. La colaboración entre Administraciones se contempla, dice esta parte, en los arts. 34.1 y 35.1 de la Ley 9/2014 y en su exposición de motivos, de forma que los planes de despliegue o instalación de red que regula el artículo 34.6, son uno de los mecanismos previstos con este fin. Razona el Abogado del Estado que la Ley 9/2014 podía haber optado, </w:t>
      </w:r>
      <w:r>
        <w:lastRenderedPageBreak/>
        <w:t>como ya hizo para algunas instalaciones la Ley 12/2012, de 26 de diciembre, de medidas urgentes de liberalización del comercio y determinados servicios, por sustituir el régimen de licencias y autorizaciones por un régimen de declaración responsable. Sin embargo, buscando una colaboración reforzada entre Administraciones, se ha diseñado el mecanismo recurrido que se basa en la aprobación, por las Administraciones competentes para otorgar la licencia o autorización que en otro caso sería necesaria, de un plan de despliegue o instalación de red. Considera sorprendente que la recurrente afirme la existencia de vulneración competencial, cuando estos planes son complementarios de los planes generales y especiales de ordenación urbana y no impiden que se apliquen éstos ni la normativa urbanística a la que los operadores de telecomunicaciones están sujetos en todo caso. Si se exige que los planes respeten las condiciones técnicas fijadas por el Consejo de Ministros es desde el punto de vista de las telecomunicaciones para garantizar el correcto uso del dominio público radioeléctrico en conexión con los requerimientos técnicos esenciales a que se refieren el art. 34.4 y la disposición adicional undécima de la Ley 9/2014, no recurridos. Añade que la propia Ley 9/2014 contempla la participación de las Comunidades Autónomas en la elaboración de su desarrollo reglamentario a través del Consejo asesor de las telecomunicaciones y de la sociedad de la información previsto en la disposición adicional quinta. Tampoco es inconstitucional la previsión según la cual los planes se entenderán aprobados a los dos meses de su presentación, pues se trata de facilitar el despliegue de las redes y de planes de contenido técnico. En todo caso, se enmarcaría en la competencia exclusiva del Estado del art. 149.1.18 CE.</w:t>
      </w:r>
    </w:p>
    <w:p w:rsidR="00163957" w:rsidRDefault="00163957" w:rsidP="00163957">
      <w:pPr>
        <w:pStyle w:val="TextoNormal"/>
      </w:pPr>
    </w:p>
    <w:p w:rsidR="00163957" w:rsidRDefault="00163957" w:rsidP="00163957">
      <w:pPr>
        <w:pStyle w:val="TextoNormal"/>
      </w:pPr>
      <w:r>
        <w:t>g) El art. 35.4 de la Ley 9/2014, impugnado por establecer que el Consejo de Ministros podrá autorizar la ubicación o itinerario de infraestructuras de red, en defecto de acuerdo entre las Administraciones públicas, cuando quede plenamente justificada su necesidad y siempre que se cumplan los parámetros y requisitos técnicos, en contra de lo razonado por la Generalitat y según el Abogado del Estado, es más estricto que la disposición adicional tercera, apartado 2, de la Ley 13/2003, reguladora del contrato de concesión de obras públicas. El precepto no coloca a los legisladores autonómicos en una posición subordinada, puesto que se refiere a casos individuales, exige la concurrencia de los requisitos mencionados y es excepcional, pues precisa justificar la necesidad para la red. Invoca el informe del Consejo de Estado, favorable a este artículo con base en la STC 46/2007. Rechaza que, como dice la Generalitat, no se establezca un procedimiento de negociación entre las Administraciones afectadas porque el desacuerdo entre ellas se producirá en el procedimiento de aprobación o modificación de los instrumentos de planificación del art. 35.2 de la Ley 9/2014, no recurrido. Por tanto, el art. 35.4 de la Ley 9/2014 tiene amparo en el art. 149.1.21 CE, así como en los apartados 1 y 13 del mismo.</w:t>
      </w:r>
    </w:p>
    <w:p w:rsidR="00163957" w:rsidRDefault="00163957" w:rsidP="00163957">
      <w:pPr>
        <w:pStyle w:val="TextoNormal"/>
      </w:pPr>
    </w:p>
    <w:p w:rsidR="00163957" w:rsidRDefault="00163957" w:rsidP="00163957">
      <w:pPr>
        <w:pStyle w:val="TextoNormal"/>
      </w:pPr>
      <w:r>
        <w:t xml:space="preserve">h) Sobre las recomendaciones reguladas en el art. 35.7 de la Ley 9/2014, el Abogado del Estado sostiene que, de la mera lectura del apartado, resulta que las mismas no son preceptivas ni vinculantes y que se orientan a agilizar el procedimiento del informe del artículo 35.2 no recurrido. Razona que si la Generalitat acepta la competencia estatal para emitir el informe del art. 35.2 de la Ley 9/2014, no cabe negarla para emitir unas recomendaciones que, según la misma Ley, permitan prescindir del informe. Señala que nada debería oponerse al precepto, pues las Comunidades Autónomas siempre pueden no seguir las recomendaciones y pedir el informe. Las recomendaciones son una de las fórmulas de colaboración a que se refiere la doctrina constitucional cuyo fin es que el Ministerio encargado de la política de telecomunicaciones, que tiene el conocimiento técnico en la materia, asesore </w:t>
      </w:r>
      <w:r>
        <w:lastRenderedPageBreak/>
        <w:t>a los órganos que han de elaborar las normas o instrumentos que afectan al despliegue de las redes, asesoramiento especialmente relevante por el pequeño tamaño de algunos municipios y la rápida evolución de la arquitectura y diseño de las redes de nueva generación. Además, las recomendaciones solo contendrán modelos de ordenanzas municipales cuando los municipios lo deseen, pues se contempla su elaboración conjunta con la asociación de entidades locales de ámbito estatal de mayor implantación.</w:t>
      </w:r>
    </w:p>
    <w:p w:rsidR="00163957" w:rsidRDefault="00163957" w:rsidP="00163957">
      <w:pPr>
        <w:pStyle w:val="TextoNormal"/>
      </w:pPr>
    </w:p>
    <w:p w:rsidR="00163957" w:rsidRDefault="00163957" w:rsidP="00163957">
      <w:pPr>
        <w:pStyle w:val="TextoNormal"/>
      </w:pPr>
      <w:r>
        <w:t xml:space="preserve">i) Finalmente, la Administración del Estado solicita la desestimación del recurso contra el segundo bloque de preceptos impugnados. Resume, en primer lugar, la doctrina constitucional sobre los títulos competenciales de los apartados 21 y 27 del art. 149.1 CE. Destaca la relación del art. 149.1.27 con el art. 20 CE y la del art. 149.1.21 CE con los aspectos técnicos de la ordenación del dominio público radioeléctrico, que incluye la planificación y reglamentación técnicas y las potestades ejecutivas o de gestión. Reproduce el art. 146 EAC que, afirma, no faculta a la Generalitat para asumir competencias en materia de telecomunicaciones sino, exclusivamente, en materia de servicios de comunicación audiovisual como resulta del fundamento jurídico 89 de la STC 31/2010. Explica que el título V de la Ley 9/2014 (arts. 60 a 67) regula, al amparo del art. 149.1.21 CE, el dominio público radioeléctrico cuya disponibilidad y uso eficiente, como indica el Tribunal Constitucional, corresponde ordenar al Estado de manera unitaria, lo que incluye el control del espectro y la aplicación del régimen sancionador, de forma que la Generalitat pretende arrogarse competencias sobre el mismo que no le corresponden. El Abogado del Estado indica que el espectro radioeléctrico no se utiliza exclusivamente para prestar servicios audiovisuales sino, de modo principal, para servicios de telecomunicaciones además de otros como defensa nacional, seguridad pública y otros que menciona. Por ello, sostiene que el recurso contra los arts. 65, 69 j).6, 73 y 74 de la Ley 9/2014 ha de limitarse al control del uso y a la protección activa del dominio público radioeléctrico, cuando se use exclusivamente para prestar servicios de radiodifusión sonora y televisión por ondas terrestres de ámbito autonómico o inferior, lo que justifica, además, por qué la planificación, gestión y control del espectro radioeléctrico requiere una concepción unitaria al ser un recurso escaso que, por ello, no se divide tampoco entre los distintos ministerios con competencias sobre los servicios que lo utilizan. Frente a las manifestaciones de la recurrente, el representante del Estado trae a colación los argumentos que esgrimió en los recursos de inconstitucionalidad contra la Ley 22/2005, de comunicación audiovisual de Cataluña y contra la Ley 2/2012 que modificó algunos de sus artículos. Así, indica que los aspectos técnicos de la prestación de los servicios de comunicación audiovisual forman parte de la competencia estatal sobre el dominio público radioeléctrico lo que resulta avalado, dice, por las SSTC 168/1993, 244/1993, 180/2000 y 5/2012. En cuanto a tales aspectos técnicos, carecen de conexión con la radio y la televisión como medios de comunicación social y con los derechos del art. 20 CE. Recuerda que, según el art. 60.1 de la Ley 9/2014, el espectro radioeléctrico es un bien de dominio público de titularidad estatal por lo que, como resulta del artículo 60.4, todas las actuaciones de gestión, incluida su protección activa, corresponden al Estado dado que se trata del soporte técnico a través del cual se presta el servicio por los medios de comunicación. No cabe confundir la protección activa del espectro (soporte técnico) con la protección de la prestación de servicios audiovisuales (contenidos) a que se refiere la Ley 7/2010, de 31 de marzo, general de la comunicación audiovisual atribuyéndola a las Comunidades Autónomas. Esta distinción resulta, a juicio de esta parte, de la STC 5/2012. Por tanto, concluye, no existe margen posible para la concurrencia de la Comunidad Autónoma en la protección activa del espectro </w:t>
      </w:r>
      <w:r>
        <w:lastRenderedPageBreak/>
        <w:t>radioeléctrico y los arts. 65, 69 j).6, 73 y 74 de la Ley 9/2014 se enmarcan en la competencia exclusiva estatal del art. 149.1.21 CE.</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2 de febrero de 2016 se señaló para deliberación y votación de la presente Sentencia el día 4 de febrero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presente resolución tiene por objeto resolver el recurso de inconstitucionalidad interpuesto por la Generalitat de Cataluña contra los arts. 34.3, 5 y 6; 35.4 y 7; 45.4; 65; 69 j).6 y, por conexión, 73 y 74 de la Ley 9/2014, de 9 de mayo, general de telecomunicaciones.</w:t>
      </w:r>
    </w:p>
    <w:p w:rsidR="00163957" w:rsidRDefault="00163957" w:rsidP="00163957">
      <w:pPr>
        <w:pStyle w:val="TextoNormal"/>
      </w:pPr>
    </w:p>
    <w:p w:rsidR="00163957" w:rsidRDefault="00163957" w:rsidP="00163957">
      <w:pPr>
        <w:pStyle w:val="TextoNormal"/>
      </w:pPr>
      <w:r>
        <w:t>La Comunidad Autónoma recurrente, en los términos indicados, considera en síntesis que un primer bloque de preceptos impugnados, integrado por los arts. 34.3, 5 y 6; 35.4 y 7 y 45.4 de la Ley 9/2014, invade sus competencias, principalmente las que ostenta sobre ordenación del territorio y urbanismo (art. 149.1 y 5 del Estatuto de Autonomía de Cataluña: EAC), aunque también cita su competencia ejecutiva en materia de infraestructuras de comunicaciones electrónicas y sobre infraestructuras comunes de telecomunicaciones (arts. 140.7 y 137.2 EAC), las competencias sobre medioambiente del art. 144 EAC y la relativa al procedimiento administrativo del art. 159 EAC. En cuanto al resto de artículos recurridos, la Generalitat afirma que vulneran sus competencias sobre medios de comunicación social (arts. 149.1.27 CE y 146 EAC).</w:t>
      </w:r>
    </w:p>
    <w:p w:rsidR="00163957" w:rsidRDefault="00163957" w:rsidP="00163957">
      <w:pPr>
        <w:pStyle w:val="TextoNormal"/>
      </w:pPr>
    </w:p>
    <w:p w:rsidR="00163957" w:rsidRDefault="00163957" w:rsidP="00163957">
      <w:pPr>
        <w:pStyle w:val="TextoNormal"/>
      </w:pPr>
      <w:r>
        <w:t>La Administración del Estado por su parte, según lo expuesto, ha negado las vulneraciones denunciadas considerando, en resumen, que los preceptos impugnados tienen amparo competencial en los apartados 1, 13 y 21 del art. 149.1.CE, pues se dirigen a facilitar el despliegue de redes de comunicación electrónica ultrarrápida en todo el territorio nacional respetando la necesaria colaboración con las Comunidades Autónomas.</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Las posiciones de las partes sintetizadas </w:t>
      </w:r>
      <w:r w:rsidRPr="00163957">
        <w:rPr>
          <w:i/>
        </w:rPr>
        <w:t>ut supra</w:t>
      </w:r>
      <w:r>
        <w:t xml:space="preserve">, reflejan que en el presente recurso subyace una controversia competencial aunque, dado el rango legal de los preceptos impugnados, se articule como un recurso de inconstitucionalidad. En concreto, los títulos competenciales en conflicto son, principalmente, el art. 149.1 CE, apartados 1, 13 y 21 por una parte, en cuanto atribuyen al Estado competencia exclusiva para regular las condiciones básicas que garanticen la igualdad de todos los españoles en el ejercicio de sus derechos, para dictar las bases y coordinación de la planificación general de la actividad económica y en materia de telecomunicaciones. Por otra parte, los arts. 149.1 y 5, 140.7, 137.2 y 146 EAC en cuanto atribuyen, respectivamente, a la Generalitat de Cataluña competencias en materia de ordenación del territorio y del paisaje y urbanismo; competencia ejecutiva en materia de comunicaciones electrónicas; sobre condiciones de los edificios para la instalación de infraestructuras comunes de telecomunicaciones y sobre medios de comunicación social. Ello, teniendo en cuenta que, como dice la Ley 9/2014, en su preámbulo: “con fundamento en la competencia exclusiva estatal en materia de telecomunicaciones del artículo 149.1.21 de la Constitución y en las competencias de carácter transversal de los artículos 149.1.1 y 149.1.13 del texto constitucional, la Ley persigue, como uno de sus principales objetivos, el de recuperar la unidad de mercado en el sector de las telecomunicaciones, estableciendo procedimientos de coordinación y resolución de conflictos entre la legislación </w:t>
      </w:r>
      <w:r>
        <w:lastRenderedPageBreak/>
        <w:t>sectorial estatal y la legislación de las Administraciones competentes dictada en el ejercicio de sus competencias que pueda afectar al despliegue de redes y a la prestación de servicios”. Y, su disposición final novena dice que “esta Ley se dicta al amparo de la competencia exclusiva estatal en materia de telecomunicaciones, prevista en el artículo 149.1.21 de la Constitución. Asimismo, las disposiciones de la Ley dirigidas a garantizar la unidad de mercado en el sector de las telecomunicaciones, se dictan al amparo del artículo 149.1.1 de la Constitución, sobre regulación de las condiciones básicas que garanticen la igualdad de todos los españoles en el ejercicio de los derechos y en el cumplimiento de los deberes constitucionales y del artículo 149.1.13 de la Constitución, sobre bases y coordinación de la planificación general de la actividad económica”.</w:t>
      </w:r>
    </w:p>
    <w:p w:rsidR="00163957" w:rsidRDefault="00163957" w:rsidP="00163957">
      <w:pPr>
        <w:pStyle w:val="TextoNormal"/>
      </w:pPr>
    </w:p>
    <w:p w:rsidR="00163957" w:rsidRDefault="00163957" w:rsidP="00163957">
      <w:pPr>
        <w:pStyle w:val="TextoNormal"/>
      </w:pPr>
      <w:r>
        <w:t>El preámbulo de la Ley 9/2014 explica que el objeto de la Ley no se limita pues a la regulación de las comunicaciones electrónicas, “término que, de acuerdo con las Directivas comunitarias, engloba aspectos tales como la habilitación para actuar como operador, los derechos y obligaciones de operadores y usuarios, o el servicio universal”, sino que “aborda, de forma integral, el régimen de las ‘telecomunicaciones’ al que se refiere el artículo 149.1.21 de la Constitución Española” y “Por ello, la presente Ley regula, asimismo, otras cuestiones como la instalación de equipos y sistemas…”. Por ello, el art. 1 de la Ley 9/2014 declara que “el ámbito de aplicación de esta Ley es la regulación de las telecomunicaciones, que comprenden la explotación de las redes y la prestación de los servicios de comunicaciones electrónicas y los recursos asociados, de conformidad con el artículo 149.1.21 de la Constitución”.</w:t>
      </w:r>
    </w:p>
    <w:p w:rsidR="00163957" w:rsidRDefault="00163957" w:rsidP="00163957">
      <w:pPr>
        <w:pStyle w:val="TextoNormal"/>
      </w:pPr>
    </w:p>
    <w:p w:rsidR="00163957" w:rsidRDefault="00163957" w:rsidP="00163957">
      <w:pPr>
        <w:pStyle w:val="TextoNormal"/>
      </w:pPr>
      <w:r>
        <w:t xml:space="preserve">Tras lo expuesto podemos afirmar que, como ocurría en el recurso que resolvimos en la STC 8/2012, de 18 de enero, la controversia se plantea primordialmente entre un título competencial sectorial (telecomunicaciones), de titularidad estatal y títulos de carácter transversal u horizontal (urbanismo, ordenación del territorio) de titularidad autonómica. Por tanto, son válidas las consideraciones que, sobre los debates de esta naturaleza, hicimos en la Sentencia citada en la que, tras destacar el potencial expansivo del título estatal y el estrecho entrecruzamiento competencial que se produce en estas materias, que incide en la complejidad del necesario deslinde, señalamos (FJ 3) que “debe tenerse en cuenta, en primer lugar, que la competencia sobre ordenación del territorio tiene, precisamente, la finalidad de que su titular pueda formular una política global para su territorio, con lo que se trata de coordinar las actuaciones públicas y privadas que inciden en el mismo y que, por ello, no pueden ser obviadas por las distintas Administraciones, incluida la estatal’ mientras que, por otro lado, ‘este tipo de competencias de las que es titular el Estado, si bien no persiguen de forma directa la ordenación del territorio, sí … viene a condicionar la capacidad de decisión de las Comunidades Autónomas’ (SSTC 40/1998, de 19 de febrero, FJ 30; y 204/2002, de 31 de octubre, FJ 7). Por ello, ‘al objeto de integrar ambas competencias, se debe acudir, en primer lugar, a fórmulas de cooperación’ pues ‘si, como este Tribunal viene reiterando, el principio de colaboración entre el Estado y las Comunidades Autónomas está implícito en el sistema de autonomías (SSTC 18/1982 y 152/1988, entre otras) y si la consolidación y el correcto funcionamiento del Estado de las autonomías dependen en buena medida de la estricta sujeción de uno y otras a las fórmulas racionales de cooperación, consulta, participación, coordinación, concertación o acuerdo previstas en la Constitución y en los Estatutos de Autonomía (STC 181/1988, FJ 7), este tipo de fórmulas son especialmente necesarias en estos supuestos de concurrencia de títulos competenciales en los que deben buscarse aquellas soluciones con las que se consiga optimizar el ejercicio de ambas competencias (SSTC 32/1983, </w:t>
      </w:r>
      <w:r>
        <w:lastRenderedPageBreak/>
        <w:t>77/1984, 227/1987, y 36/1994), pudiendo elegirse, en cada caso, las técnicas que resulten más adecuadas: el mutuo intercambio de información, la emisión de informes previos en los ámbitos de la propia competencia, la creación de órganos de composición mixta, etcétera’ (de nuevo, SSTC 40/1998, de 18 de febrero, FJ 30; y 204/2002, de 31 de octubre, FJ 7). No obstante, si esos cauces resultan insuficientes, el Tribunal ha afirmado que ‘la decisión final corresponderá al titular de la competencia prevalente’ (STC 77/1984, de 3 de julio, FJ 3), sin que el Estado pueda ‘verse privado del ejercicio de sus competencias exclusivas por la existencia de una competencia, aunque también sea exclusiva, de una Comunidad Autónoma’ (STC 56/1986, de 13 de mayo, FJ 3; STC 204/2002, de 31 de octubre, FJ 7).”</w:t>
      </w:r>
    </w:p>
    <w:p w:rsidR="00163957" w:rsidRDefault="00163957" w:rsidP="00163957">
      <w:pPr>
        <w:pStyle w:val="TextoNormal"/>
      </w:pPr>
    </w:p>
    <w:p w:rsidR="00163957" w:rsidRDefault="00163957" w:rsidP="00163957">
      <w:pPr>
        <w:pStyle w:val="TextoNormal"/>
      </w:pPr>
      <w:r w:rsidRPr="00163957">
        <w:rPr>
          <w:rStyle w:val="NumeroAFNegritaCaracter"/>
        </w:rPr>
        <w:t>3</w:t>
      </w:r>
      <w:r>
        <w:t>. A partir de lo anterior, en cuanto a los títulos competenciales invocados por el Estado, como ya declaramos en la STC 72/2014, de 8 de mayo, FJ 3, el art. 149.1.21 CE: “se refiere a la ordenación del dominio público radioeléctrico y, muy particularmente, a los aspectos técnicos claramente atinentes a la regulación del soporte o instrumento del cual la radio y la televisión se sirven —las ondas radioeléctricas, hertzianas o electromagnéticas—. Este dominio es susceptible de distintos usos para otros tipos de comunicaciones que se efectúan también mediante ondas radioeléctricas y distintas de la radiodifusión y, precisamente por eso, incumbe ordenar de manera unitaria al Estado de forma que se cohonesten y hagan posibles todos estos usos (por todas, STC 235/2012, de 13 de diciembre). La competencia exclusiva estatal en esta materia, tiene por objeto, en definitiva, ordenar normativamente y asegurar la efectividad de las comunicaciones (SSTC 278/1993, de 23 de septiembre, FJ 2; 127/1994, de 5 de mayo FJ 8; y 31/2010, de 28 de junio, FJ 85). En el fundamento jurídico 11, esta misma Sentencia añadía: ‘en virtud de sus competencias exclusivas en la materia (art. 149.1.21 CE), tenemos dicho que corresponde al Estado la administración, gestión, planificación y control del espectro radioeléctrico, lo que incluye el establecimiento de las condiciones para el uso del mismo, así como funciones de inspección y comprobación técnica (por todas, STC 8/2012, de 18 de enero, FJ 6)’. Por su parte, la STC 8/2012 señalaba (FJ 7) que el art. 149.1.21 CE: ‘…más allá de estas cuestiones específicas, permite al Estado la regulación del sector de las telecomunicaciones —sin perjuicio de las competencias autonómicas sobre medios de comunicación social—, así como las condiciones de prestación del servicio y de explotación de las redes, y el régimen jurídico de los operadores’.</w:t>
      </w:r>
    </w:p>
    <w:p w:rsidR="00163957" w:rsidRDefault="00163957" w:rsidP="00163957">
      <w:pPr>
        <w:pStyle w:val="TextoNormal"/>
      </w:pPr>
    </w:p>
    <w:p w:rsidR="00163957" w:rsidRDefault="00163957" w:rsidP="00163957">
      <w:pPr>
        <w:pStyle w:val="TextoNormal"/>
      </w:pPr>
      <w:r>
        <w:t xml:space="preserve">Por otro lado no cabe desconocer que, junto al título competencial de telecomunicaciones, dentro del mismo art. 149.1.21 CE, se recoge la competencia estatal sobre ‘régimen general de comunicaciones’ , respecto de la cual, como dijimos en la misma STC 8/2012 (FJ 4) con referencia a la STC 31/2010, FJ 85, hemos declarado que ‘las infraestructuras comunes de telecomunicaciones guardan una relación más estrecha con el ‘régimen general de comunicaciones’ que con la materia de telecomunicaciones en sentido estricto o que con la materia de ‘medios de comunicación social’ pues ‘en puridad, las infraestructuras de las telecomunicaciones ni constituyen un elemento propio del espectro radioeléctrico ni son elemento vinculado a la protección del derecho fundamental previsto en el art. 20 CE’. Las infraestructuras "se inscriben con naturalidad en el señalado ‘régimen general de comunicaciones’ en cuanto aseguran la efectividad de las comunicaciones en todo el territorio nacional y con ello la virtualidad de las competencias estatales afectadas (art. 149.1.21 y 149.1.27) (STC 31/2010, FJ 85). Por ello, es preciso tener en cuenta que ‘esta competencia de régimen atribuida al Estado comprende, desde luego, la totalidad de las competencias normativas sobre la misma (SSTC 84/1982, FJ 4; y 38/1983, FJ 3); pero implica también un plus’, ya que ‘puede comportar la atribución de las competencias de ejecución necesarias </w:t>
      </w:r>
      <w:r>
        <w:lastRenderedPageBreak/>
        <w:t>para configurar un sistema materialmente unitario’ (STC 195/1996, de 28 de noviembre, FJ 6)’ (nuevamente, STC 31/2010, FJ 85)”.</w:t>
      </w:r>
    </w:p>
    <w:p w:rsidR="00163957" w:rsidRDefault="00163957" w:rsidP="00163957">
      <w:pPr>
        <w:pStyle w:val="TextoNormal"/>
      </w:pPr>
    </w:p>
    <w:p w:rsidR="00163957" w:rsidRDefault="00163957" w:rsidP="00163957">
      <w:pPr>
        <w:pStyle w:val="TextoNormal"/>
      </w:pPr>
      <w:r>
        <w:t>En relación con la competencia estatal del art. 149.1.13 CE, cabe traer a colación la STC 34/2013, de 14 de febrero, FJ 4 b), a cuyo tenor “este Tribunal ha declarado repetidamente desde la STC 95/1986, de 10 de julio (posteriormente, entre otras, en las SSTC 152/1988, de 20 de julio y 188/1989, de 16 de noviembre), que las bases de la planificación general de la actividad económica consisten en el establecimiento de ‘las normas estatales que fijen las líneas directrices y los criterios globales de ordenación de sectores económicos concretos, así como las previsiones de acciones o medidas singulares que sean necesarias para alcanzar los fines propuestos dentro de la ordenación de cada sector’ (STC 135/2012, de 19 de junio, FJ 2), admitiendo así que esta competencia ampara todas las normas y actuaciones, sea cual sea su naturaleza, orientadas al logro de tales fines, entre los que la doctrina constitucional ha situado el de garantizar el mantenimiento de la unidad de mercado (SSTC 118/1996, de 27 de junio, FJ 10; y 208/1999, de 11 de noviembre, FJ 6) o de la ‘unidad económica’ (SSTC 152/1988, de 20 de julio, FJ 2; 186/1988, de 17 de octubre, FJ 2; 96/1990, de 24 de mayo, FJ 3; y 146/1992, de 16 de octubre, FJ 2), pero también el de ‘alcanzar los objetivos de la política económica general o sectorial’ (STC 96/1990, FJ 3, y en el mismo sentido SSTC 80/1985, FJ 1; y 188/1989, FJ 5), así como el de incidir en principios rectores de la política económica y social (SSTC 95/2002, FFJJ 7 y 11, seguida por las SSTC 190/2002, de 17 de octubre, 228/2003 y 230/2003, de 18 de diciembre)”.</w:t>
      </w:r>
    </w:p>
    <w:p w:rsidR="00163957" w:rsidRDefault="00163957" w:rsidP="00163957">
      <w:pPr>
        <w:pStyle w:val="TextoNormal"/>
      </w:pPr>
    </w:p>
    <w:p w:rsidR="00163957" w:rsidRDefault="00163957" w:rsidP="00163957">
      <w:pPr>
        <w:pStyle w:val="TextoNormal"/>
      </w:pPr>
      <w:r>
        <w:t>En cuanto al art. 149.1 CE, apartados 1 y 13 y su relación con la unidad de mercado, la STC 96/2013, de 23 de abril, FJ 4, parte del necesario encaje de dos elementos esenciales de nuestra construcción constitucional como son “el esencial principio de unidad del sistema, en su manifestación de unidad de mercado o de unicidad del orden económico general” y “la diversidad regulatoria también consustancial a un Estado compuesto” y recuerda que “la Constitución prevé una serie de técnicas orientadas a asegurar la unidad de mercado entre las que cita, las competencias exclusivas del Estado ‘que atañen a determinados aspectos del orden económico y de su unidad’, el respeto a los derechos fundamentales, los límites que resultan de distintos preceptos del Título VIII de la Constitución como la libertad de circulación de bienes, capitales y servicios y la igualdad de las condiciones básicas de ejercicio de la actividad económica sin que tal unidad signifique uniformidad, declarando que ‘junto a aquellos preceptos del título VIII de la Constitución que suponen un límite en sí a la diversidad regulatoria que puedan introducir los legisladores autonómicos en el ejercicio de sus competencias, este Tribunal ha reconocido que, cuando dichos medios se demuestran insuficientes para imponer la igualdad básica de todos los españoles en el ejercicio de los derechos constitucionales, el Estado puede intervenir normativamente a fin de garantizar esa igualdad en virtud de los arts. 149.1.1 CE (STC 61/1997, de 20 de marzo) y 149.1.13 CE (STC 225/1993, de 8 de julio)’.”</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Sobre los títulos competenciales autonómicos invocados por la Generalitat y su relación con los títulos estatales analizados, como también dijimos en la STC 8/2012 precitada, FJ 3: “[E]l régimen de las telecomunicaciones incide, con mayor o menor intensidad, en muchas otras materias. Por un lado, en el desenvolvimiento de medios de comunicación social como la radio o la televisión. Por otro lado, en la ordenación del territorio y el urbanismo en la medida en que la faceta de infraestructura de las telecomunicaciones hace preciso adoptar decisiones en torno a su adecuada localización, tanto en el ámbito rural como </w:t>
      </w:r>
      <w:r>
        <w:lastRenderedPageBreak/>
        <w:t>urbano. Esa localización puede, a su vez, tener un impacto sobre el medio ambiente y el paisaje… El estrecho entrecruzamiento competencial que se produce en estas materias hace que la delimitación sea singularmente complicada. Así se evidenció en las Sentencias en las que este Tribunal se ha pronunciado acerca de la delimitación entre los títulos de telecomunicaciones (art. 149.1.21 CE) y de medios de comunicación social (art. 149.1.27 CE). Dijimos, entonces, que estos dos títulos ‘se limitan y contrapesan entre sí impidiendo el mutuo vaciamiento de sus contenidos respectivos’ (STC 168/1993, de 27 de mayo, FJ 4). Un criterio interpretativo que es también aplicable a la concurrencia competencial que ahora nos ocupa: telecomunicaciones, ordenación del territorio, urbanismo, protección del medio ambiente y protección de la salud son títulos que se limitan y contrapesan recíprocamente, que no pueden vaciarse mutuamente de contenidos y que han de ejercerse con pleno respeto a las competencias sobre otras materias que pueden corresponder a otra instancia territorial. La dificultad estriba en saber hasta dónde puede llegar el ejercicio de una u otra competencia y, más concretamente, en qué materia se incardinan los preceptos impugnados… Por ello, conviene tener presente que, tal y como ha afirmado este Tribunal, ‘cuando se ofrezcan por las partes en el proceso constitucional diversas calificaciones sustantivas de las disposiciones o actos en conflicto que pudieran llevar a identificaciones competenciales también distintas, ha de apreciarse para llegar a una calificación competencial correcta, tanto el sentido o finalidad de los variados títulos competenciales y estatutarios, como el carácter, sentido y finalidad de las disposiciones traídas al conflicto, es decir, el contenido del precepto controvertido delimitando así la regla competencial aplicable al caso’ (SSTC 153/1989, de 5 de octubre, FJ 5; y 197/1996, de 28 de noviembre, FJ 3).”</w:t>
      </w:r>
    </w:p>
    <w:p w:rsidR="00163957" w:rsidRDefault="00163957" w:rsidP="00163957">
      <w:pPr>
        <w:pStyle w:val="TextoNormal"/>
      </w:pPr>
    </w:p>
    <w:p w:rsidR="00163957" w:rsidRDefault="00163957" w:rsidP="00163957">
      <w:pPr>
        <w:pStyle w:val="TextoNormal"/>
      </w:pPr>
      <w:r>
        <w:t>En cuanto a las competencias autonómicas sobre ordenación del territorio y urbanismo, tal y como hemos declarado en la STC 57/2015, de 18 de marzo, FJ 14: “respeto de la primera [ordenación del territorio], este Tribunal tiene declarado que ‘en una primera aproximación global al concepto de ordenación del territorio … el referido título competencial ‘tiene por objeto la actividad consistente en la delimitación de los diversos usos a que puede destinarse el suelo o espacio físico territorial’ [SSTC 77/1984, FJ 2; 149/1991, fundamento jurídico 1 B)]. Concretamente, dejando al margen otros aspectos normativos y de gestión, su núcleo fundamental ‘está constituido por un conjunto de actuaciones públicas de contenido planificador cuyo objeto consiste en la fijación de los usos del suelo y el equilibrio entre las distintas partes del territorio del mismo’ (SSTC 36/1994, FJ 3; 28/1997, FJ 5).’ (STC 149/1998, de 2 de julio, FJ 3). Por su parte, y en cuanto al urbanismo, la STC 141/2014, de 11 de septiembre, FJ 5 A), ha extractado lo esencial de la STC 61/1997, de 20 de marzo, al respecto, en los siguientes términos: ‘El urbanismo, como sector material susceptible de atribución competencial, alude a la disciplina jurídica del hecho social o colectivo de los asentamientos de población en el espacio físico, lo que, en el plano jurídico, se traduce en la ordenación urbanística, como objeto normativo de las leyes urbanísticas’ (STC 61/1997, FJ 6). En definitiva, la competencia en materia de urbanismo abarca, fundamentalmente, ‘las políticas de ordenación de la ciudad’; es decir, la determinación del ‘cómo, cuándo y dónde deben surgir o desarrollarse los asentamientos humanos’ (STC 61/1997, FJ 6).”</w:t>
      </w:r>
    </w:p>
    <w:p w:rsidR="00163957" w:rsidRDefault="00163957" w:rsidP="00163957">
      <w:pPr>
        <w:pStyle w:val="TextoNormal"/>
      </w:pPr>
    </w:p>
    <w:p w:rsidR="00163957" w:rsidRDefault="00163957" w:rsidP="00163957">
      <w:pPr>
        <w:pStyle w:val="TextoNormal"/>
      </w:pPr>
      <w:r w:rsidRPr="00163957">
        <w:rPr>
          <w:rStyle w:val="NumeroAFNegritaCaracter"/>
        </w:rPr>
        <w:t>5</w:t>
      </w:r>
      <w:r>
        <w:t>. A partir de lo anterior, procede examinar ya la impugnación del primer bloque de artículos recurridos comenzando por el art. 34.3 de la Ley 9/2014 a cuyo tenor:</w:t>
      </w:r>
    </w:p>
    <w:p w:rsidR="00163957" w:rsidRDefault="00163957" w:rsidP="00163957">
      <w:pPr>
        <w:pStyle w:val="TextoNormal"/>
      </w:pPr>
    </w:p>
    <w:p w:rsidR="00163957" w:rsidRDefault="00163957" w:rsidP="00163957">
      <w:pPr>
        <w:pStyle w:val="TextoNormal"/>
      </w:pPr>
      <w:r>
        <w:lastRenderedPageBreak/>
        <w:t>“La normativa elaborada por las administraciones públicas que afecte al despliegue de las redes públicas de comunicaciones electrónicas y los instrumentos de planificación territorial o urbanística deberán recoger las disposiciones necesarias para impulsar o facilitar el despliegue de infraestructuras de redes de comunicaciones electrónicas en su ámbito territorial, en particular, para garantizar la libre competencia en la instalación de redes y en la prestación de servicios de comunicaciones electrónicas y la disponibilidad de una oferta suficiente de lugares y espacios físicos en los que los operadores decidan ubicar sus infraestructuras.</w:t>
      </w:r>
    </w:p>
    <w:p w:rsidR="00163957" w:rsidRDefault="00163957" w:rsidP="00163957">
      <w:pPr>
        <w:pStyle w:val="TextoNormal"/>
      </w:pPr>
    </w:p>
    <w:p w:rsidR="00163957" w:rsidRDefault="00163957" w:rsidP="00163957">
      <w:pPr>
        <w:pStyle w:val="TextoNormal"/>
      </w:pPr>
      <w:r>
        <w:t>De esta manera, dicha normativa o instrumentos de planificación no podrán establecer restricciones absolutas o desproporcionadas al derecho de ocupación del dominio público y privado de los operadores ni imponer soluciones tecnológicas concretas, itinerarios o ubicaciones concretas en los que instalar infraestructuras de red de comunicaciones electrónicas. En este sentido, cuando una condición pudiera implicar la imposibilidad de llevar a cabo la ocupación del dominio público o la propiedad privada, el establecimiento de dicha condición deberá estar plenamente justificado e ir acompañado de las alternativas necesarias para garantizar el derecho de ocupación de los operadores y su ejercicio en igualdad de condiciones.</w:t>
      </w:r>
    </w:p>
    <w:p w:rsidR="00163957" w:rsidRDefault="00163957" w:rsidP="00163957">
      <w:pPr>
        <w:pStyle w:val="TextoNormal"/>
      </w:pPr>
    </w:p>
    <w:p w:rsidR="00163957" w:rsidRDefault="00163957" w:rsidP="00163957">
      <w:pPr>
        <w:pStyle w:val="TextoNormal"/>
      </w:pPr>
      <w:r>
        <w:t>Las administraciones públicas contribuirán a garantizar y hacer real una oferta suficiente de lugares y espacios físicos en los que los operadores decidan ubicar sus infraestructuras identificando dichos lugares y espacios físicos en los que poder cumplir el doble objetivo de que los operadores puedan ubicar sus infraestructuras de redes de comunicaciones electrónicas así como la obtención de un despliegue de las redes ordenado desde el punto de vista territorial.”</w:t>
      </w:r>
    </w:p>
    <w:p w:rsidR="00163957" w:rsidRDefault="00163957" w:rsidP="00163957">
      <w:pPr>
        <w:pStyle w:val="TextoNormal"/>
      </w:pPr>
    </w:p>
    <w:p w:rsidR="00163957" w:rsidRDefault="00163957" w:rsidP="00163957">
      <w:pPr>
        <w:pStyle w:val="TextoNormal"/>
      </w:pPr>
      <w:r>
        <w:t>Aunque el suplico del recurso pide la anulación de la totalidad del precepto transcrito, la Generalitat explica en el cuerpo del escrito que solo cuestiona la prohibición que dirige a la normativa y los instrumentos de planificación territorial y urbanística de fijar itinerarios o ubicaciones concretas para la instalación de las infraestructuras de la red de comunicaciones electrónicas. La Generalitat señala que nada hay que objetar a las disposiciones del precepto que, por ejemplo, declaran que la normativa administrativa no podrá establecer restricciones absolutas o desproporcionadas al derecho de ocupación del dominio de los operadores, ni imponer soluciones tecnológicas concretas. Tampoco considera inconstitucional que la norma disponga que las Administraciones públicas contribuirán a garantizar una oferta suficiente de lugares en que los operadores puedan ubicar las infraestructuras. Entiende que estas medidas pueden ser necesarias para garantizar el despliegue de las redes de comunicación electrónicas. Sin embargo, a su juicio, la prohibición de que sus normas puedan imponer una ubicación o itinerario concreto es inconstitucional, pues no afecta a la regulación de telecomunicaciones e invade sus competencias. Por ello, ceñiremos nuestro análisis a este extremo.</w:t>
      </w:r>
    </w:p>
    <w:p w:rsidR="00163957" w:rsidRDefault="00163957" w:rsidP="00163957">
      <w:pPr>
        <w:pStyle w:val="TextoNormal"/>
      </w:pPr>
    </w:p>
    <w:p w:rsidR="00163957" w:rsidRDefault="00163957" w:rsidP="00163957">
      <w:pPr>
        <w:pStyle w:val="TextoNormal"/>
      </w:pPr>
      <w:r>
        <w:t xml:space="preserve">Para resolver la cuestión suscitada, como ya señalamos en la STC 8/2012, hemos de atender a la materia sobre la que versa el precepto impugnado y a su finalidad que, en este caso, es el régimen general de comunicaciones y la materia de telecomunicaciones siendo su objetivo el de asegurar el despliegue de las redes. Ninguna otra conclusión cabe deducir visto su contenido y la propia rúbrica del precepto referida a la “colaboración entre Administraciones públicas en el despliegue de redes públicas de comunicaciones electrónicas”. </w:t>
      </w:r>
      <w:r>
        <w:lastRenderedPageBreak/>
        <w:t>Así, el anexo II de la Ley define la “red pública de comunicaciones” como: “la red de comunicaciones electrónicas que se utiliza, en su totalidad o principalmente, para la prestación de servicios de comunicaciones electrónicas disponibles para el público y que soporta la transferencia de señales entre puntos de terminación de la red” y las “redes de comunicaciones electrónicas” como: “los sistemas de transmisión y, cuando proceda, los equipos de conmutación o encaminamiento y demás recursos, incluidos los elementos que no son activos que permitan el transporte de señales mediante cables, ondas hertzianas, medios ópticos u otros medios electromagnéticos con inclusión de las redes de satélites, redes terrestres fijas (de conmutación de circuitos y de paquetes, incluida Internet) y móviles, sistemas de tendido eléctrico, en la medida en que se utilicen para la transmisión de señales, redes utilizadas para la radiodifusión sonora y televisiva y redes de televisión por cable, con independencia del tipo de información transportada”. Por su parte, ya el preámbulo de la Ley 9/2014 dice, en su apartado I, que a partir de las últimas Directivas europeas: “se introducen en la Ley medidas destinadas a crear un marco adecuado para la realización de inversiones en el despliegue de redes de nueva generación, de modo que se permita a los operadores ofrecer servicios innovadores y tecnológicamente más adecuados a las necesidades de los ciudadanos” y, en el apartado II explica que “el sector de las telecomunicaciones, sujeto a un proceso de permanente innovación tecnológica, necesita de constantes e ingentes inversiones, lo que requiere acometer proyectos de gran envergadura que pueden verse afectados si se exigieran en condiciones distintas de despliegue de redes y de comercialización de servicios en los diferentes ámbitos territoriales”. En el apartado III añade que “la presente Ley persigue, por tanto, garantizar el cumplimiento de los objetivos de la Agenda Digital para Europa, que requiere, en la actual situación de evolución tecnológica e incertidumbre económica, asegurar un marco regulatorio claro y estable que fomente la inversión, proporcione seguridad jurídica y elimine las barreras que han dificultado el despliegue de redes, y un mayor grado de competencia en el mercado”.</w:t>
      </w:r>
    </w:p>
    <w:p w:rsidR="00163957" w:rsidRDefault="00163957" w:rsidP="00163957">
      <w:pPr>
        <w:pStyle w:val="TextoNormal"/>
      </w:pPr>
    </w:p>
    <w:p w:rsidR="00163957" w:rsidRDefault="00163957" w:rsidP="00163957">
      <w:pPr>
        <w:pStyle w:val="TextoNormal"/>
      </w:pPr>
      <w:r>
        <w:t xml:space="preserve">A partir de las definiciones y finalidades de la 9/2014 expuestas, de conformidad con la doctrina constitucional que hemos sintetizado </w:t>
      </w:r>
      <w:r w:rsidRPr="00163957">
        <w:rPr>
          <w:i/>
        </w:rPr>
        <w:t>ut supra</w:t>
      </w:r>
      <w:r>
        <w:t>, resulta que el inciso impugnado del art. 34.3 de la Ley 9/2014, en cuanto referido a las infraestructuras de telecomunicaciones, tiene cobertura en la competencia sobre régimen general de comunicaciones del apartado 21 del art. 149.1 CE. Además, versa sobre la materia de telecomunicaciones de la que es parte sustancial el despliegue adecuado de las redes, como base de la prestación del servicio. La prohibición recurrida pretende garantizar ese despliegue que se vería condicionado y podría resultar más complejo o costoso, o incluso verse impedido, si las Administraciones autonómicas pudiesen determinar los itinerarios o ubicación de las infraestructuras. Por tanto, el artículo incide directamente en las condiciones de prestación del servicio y de explotación de las redes y, por ello, sobre el régimen jurídico de los operadores como sujetos titulares de dichas redes o dedicados a su explotación. En definitiva, el precepto impugnado tiene amparo en el art. 149.1.21 CE.</w:t>
      </w:r>
    </w:p>
    <w:p w:rsidR="00163957" w:rsidRDefault="00163957" w:rsidP="00163957">
      <w:pPr>
        <w:pStyle w:val="TextoNormal"/>
      </w:pPr>
    </w:p>
    <w:p w:rsidR="00163957" w:rsidRDefault="00163957" w:rsidP="00163957">
      <w:pPr>
        <w:pStyle w:val="TextoNormal"/>
      </w:pPr>
      <w:r>
        <w:t xml:space="preserve">Las competencias autonómicas en materia de urbanismo y ordenación del territorio del art. 149.1 y 5 EAC, que invoca la recurrente, no desvirtúan lo expuesto. Ante todo, porque como queda dicho, el art. 34.3 de la Ley 9/2014 se dicta en ejercicio por el Estado de competencias exclusivas </w:t>
      </w:r>
      <w:r w:rsidRPr="00163957">
        <w:rPr>
          <w:i/>
        </w:rPr>
        <w:t>ex</w:t>
      </w:r>
      <w:r>
        <w:t xml:space="preserve"> art. 149.1.21 CE. Además, porque aunque hemos declarado, por ejemplo en la misma STC 8/2012, que las Comunidades Autónomas pueden “imponer límites al derecho de ocupación de dominio público y de la propiedad privada que los operadores tienen reconocido en la legislación estatal de telecomunicaciones, siempre que sea necesario </w:t>
      </w:r>
      <w:r>
        <w:lastRenderedPageBreak/>
        <w:t>para preservar los intereses públicos que tienen encomendados, entre ellos, los medioambientales, paisajísticos y urbanísticos”, la protección de tales intereses podría justificar la exclusión de las localizaciones consideradas dignas de protección pero no, a la inversa, la imposición de una ubicación excluyente de todas las demás. Por ello, entendemos que no se produce una limitación vulneradora de competencias autonómicas, dado que la exclusión que deriva del precepto impugnado no tiene carácter absoluto, habida cuenta de que en todo caso, no se veda la posibilidad de que las Comunidades Autónomas, en ejercicio de sus competencias, puedan establecer prohibiciones de instalación o exclusiones por razones relacionadas con el ámbito material del urbanismo, ordenación del territorio o medioambiente, que permitan cohonestar adecuadamente ambos ámbitos competenciales, estatal y autonómico, puesto que la prohibición se contrae únicamente a la imposición de emplazamientos o itinerarios concretos. En definitiva, una cosa es ordenar los emplazamientos buscando las soluciones más adecuadas para integrar las redes en la ordenación urbanística y territorial, lo que tiene cabida en el ámbito de las competencias autonómicas, y otra cosa, bien distinta, es condicionar decisivamente el diseño y despliegue de las redes decidiendo su trazado que es lo que ocurriría, si las Comunidades Autónomas pudiesen imponer sus ubicaciones o itinerarios.</w:t>
      </w:r>
    </w:p>
    <w:p w:rsidR="00163957" w:rsidRDefault="00163957" w:rsidP="00163957">
      <w:pPr>
        <w:pStyle w:val="TextoNormal"/>
      </w:pPr>
    </w:p>
    <w:p w:rsidR="00163957" w:rsidRDefault="00163957" w:rsidP="00163957">
      <w:pPr>
        <w:pStyle w:val="TextoNormal"/>
      </w:pPr>
      <w:r>
        <w:t>El anterior razonamiento no se ve desvirtuado por el informe preceptivo y vinculante del Ministerio de Industria, Energía y Turismo del art. 35.2 de la Ley 9/2014, a que alude la recurrente que, frente a lo que ésta parece entender, no hace innecesaria la disposición recurrida. Ello, no solo porque este informe, como dice el precepto, se refiere a los instrumentos de planificación y no al resto de normativa. También, y sobre todo, porque su objeto no es vetar o decidir ubicaciones o itinerarios concretos sino pronunciarse sobre la adecuación de los instrumentos de planificación a la propia Ley, a la normativa sectorial de telecomunicaciones y sobre las necesidades de redes públicas en el ámbito territorial correspondiente.</w:t>
      </w:r>
    </w:p>
    <w:p w:rsidR="00163957" w:rsidRDefault="00163957" w:rsidP="00163957">
      <w:pPr>
        <w:pStyle w:val="TextoNormal"/>
      </w:pPr>
    </w:p>
    <w:p w:rsidR="00163957" w:rsidRDefault="00163957" w:rsidP="00163957">
      <w:pPr>
        <w:pStyle w:val="TextoNormal"/>
      </w:pPr>
      <w:r>
        <w:t>Por tanto, procede desestimar el recurso interpuesto contra el art. 34.3 de la Ley 9/2014.</w:t>
      </w:r>
    </w:p>
    <w:p w:rsidR="00163957" w:rsidRDefault="00163957" w:rsidP="00163957">
      <w:pPr>
        <w:pStyle w:val="TextoNormal"/>
      </w:pPr>
    </w:p>
    <w:p w:rsidR="00163957" w:rsidRDefault="00163957" w:rsidP="00163957">
      <w:pPr>
        <w:pStyle w:val="TextoNormal"/>
      </w:pPr>
      <w:r w:rsidRPr="00163957">
        <w:rPr>
          <w:rStyle w:val="NumeroAFNegritaCaracter"/>
        </w:rPr>
        <w:t>6</w:t>
      </w:r>
      <w:r>
        <w:t>. A continuación pasamos a examinar el recurso interpuesto contra los arts. 34.5 y 45.4 de la Ley 9/2014, recurridos por permitir despliegues aéreos o en fachadas de infraestructuras de red en los términos siguientes. Art. 34.5:</w:t>
      </w:r>
    </w:p>
    <w:p w:rsidR="00163957" w:rsidRDefault="00163957" w:rsidP="00163957">
      <w:pPr>
        <w:pStyle w:val="TextoNormal"/>
      </w:pPr>
    </w:p>
    <w:p w:rsidR="00163957" w:rsidRDefault="00163957" w:rsidP="00163957">
      <w:pPr>
        <w:pStyle w:val="TextoNormal"/>
      </w:pPr>
      <w:r>
        <w:t>“Los operadores deberán hacer uso de las canalizaciones subterráneas o en el interior de las edificaciones que permitan el despliegue y explotación de redes públicas de comunicaciones electrónicas.</w:t>
      </w:r>
    </w:p>
    <w:p w:rsidR="00163957" w:rsidRDefault="00163957" w:rsidP="00163957">
      <w:pPr>
        <w:pStyle w:val="TextoNormal"/>
      </w:pPr>
    </w:p>
    <w:p w:rsidR="00163957" w:rsidRDefault="00163957" w:rsidP="00163957">
      <w:pPr>
        <w:pStyle w:val="TextoNormal"/>
      </w:pPr>
      <w:r>
        <w:t>En los casos en los que no existan dichas canalizaciones o no sea posible su uso por razones técnicas o económicas, los operadores podrán efectuar despliegues aéreos siguiendo los previamente existentes.</w:t>
      </w:r>
    </w:p>
    <w:p w:rsidR="00163957" w:rsidRDefault="00163957" w:rsidP="00163957">
      <w:pPr>
        <w:pStyle w:val="TextoNormal"/>
      </w:pPr>
    </w:p>
    <w:p w:rsidR="00163957" w:rsidRDefault="00163957" w:rsidP="00163957">
      <w:pPr>
        <w:pStyle w:val="TextoNormal"/>
      </w:pPr>
      <w:r>
        <w:t>Igualmente, en los mismos casos, los operadores podrán efectuar por fachadas despliegue de cables y equipos que constituyan redes públicas de comunicaciones electrónicas y sus recursos asociados, si bien para ello deberán utilizar, en la medida de lo posible, los despliegues, canalizaciones, instalaciones y equipos previamente instalados.</w:t>
      </w:r>
    </w:p>
    <w:p w:rsidR="00163957" w:rsidRDefault="00163957" w:rsidP="00163957">
      <w:pPr>
        <w:pStyle w:val="TextoNormal"/>
      </w:pPr>
    </w:p>
    <w:p w:rsidR="00163957" w:rsidRDefault="00163957" w:rsidP="00163957">
      <w:pPr>
        <w:pStyle w:val="TextoNormal"/>
      </w:pPr>
      <w:r>
        <w:t>Los despliegues aéreos y por fachadas no podrán realizarse en casos justificados de edificaciones del patrimonio histórico-artístico o que puedan afectar a la seguridad pública.”</w:t>
      </w:r>
    </w:p>
    <w:p w:rsidR="00163957" w:rsidRDefault="00163957" w:rsidP="00163957">
      <w:pPr>
        <w:pStyle w:val="TextoNormal"/>
      </w:pPr>
    </w:p>
    <w:p w:rsidR="00163957" w:rsidRDefault="00163957" w:rsidP="00163957">
      <w:pPr>
        <w:pStyle w:val="TextoNormal"/>
      </w:pPr>
      <w:r>
        <w:t>Por su parte, aunque el art. 45.4 de la Ley 9/2014 se recurre en su totalidad, solo se argumenta su inconstitucionalidad en cuanto contempla los despliegues en fachadas aludidos, lo que recoge en su párrafo segundo. Por ello, se reproduce solo este, cuyo tenor es el siguiente:</w:t>
      </w:r>
    </w:p>
    <w:p w:rsidR="00163957" w:rsidRDefault="00163957" w:rsidP="00163957">
      <w:pPr>
        <w:pStyle w:val="TextoNormal"/>
      </w:pPr>
    </w:p>
    <w:p w:rsidR="00163957" w:rsidRDefault="00163957" w:rsidP="00163957">
      <w:pPr>
        <w:pStyle w:val="TextoNormal"/>
      </w:pPr>
      <w:r>
        <w:t>“En el caso de edificios en los que no exista una infraestructura común de comunicaciones electrónicas en el interior del edificio o conjunto inmobiliario, o la existente no permita instalar el correspondiente acceso ultrarrápido, dicha instalación podrá realizarse haciendo uso de los elementos comunes de la edificación. En los casos en los que no sea posible realizar la instalación en el interior de la edificación o finca por razones técnicas o económicas, la instalación podrá realizarse utilizando las fachadas de las edificaciones.”</w:t>
      </w:r>
    </w:p>
    <w:p w:rsidR="00163957" w:rsidRDefault="00163957" w:rsidP="00163957">
      <w:pPr>
        <w:pStyle w:val="TextoNormal"/>
      </w:pPr>
    </w:p>
    <w:p w:rsidR="00163957" w:rsidRDefault="00163957" w:rsidP="00163957">
      <w:pPr>
        <w:pStyle w:val="TextoNormal"/>
      </w:pPr>
      <w:r>
        <w:t>Nuevamente en este caso, los títulos competenciales en conflicto son los apartados 1, 13 y 21 del art. 149.1 CE que invoca el Estado y las competencias autonómicas sobre urbanismo y ordenación del territorio del art. 149 EAC que la recurrente considera invadidas, con especial alusión a la incidencia sobre la imagen urbana de los despliegues aéreos o en fachadas.</w:t>
      </w:r>
    </w:p>
    <w:p w:rsidR="00163957" w:rsidRDefault="00163957" w:rsidP="00163957">
      <w:pPr>
        <w:pStyle w:val="TextoNormal"/>
      </w:pPr>
    </w:p>
    <w:p w:rsidR="00163957" w:rsidRDefault="00163957" w:rsidP="00163957">
      <w:pPr>
        <w:pStyle w:val="TextoNormal"/>
      </w:pPr>
      <w:r>
        <w:t>El análisis que debe realizarse en este caso es similar al del apartado anterior. Básicamente, se trata de dilucidar si las normas impugnadas son realmente necesarias para garantizar el adecuado despliegue de las redes de comunicación electrónica, en cuyo caso habremos de entender que se encuentran amparadas, como título competencial prevalente, por el art. 149.1.21 CE.</w:t>
      </w:r>
    </w:p>
    <w:p w:rsidR="00163957" w:rsidRDefault="00163957" w:rsidP="00163957">
      <w:pPr>
        <w:pStyle w:val="TextoNormal"/>
      </w:pPr>
    </w:p>
    <w:p w:rsidR="00163957" w:rsidRDefault="00163957" w:rsidP="00163957">
      <w:pPr>
        <w:pStyle w:val="TextoNormal"/>
      </w:pPr>
      <w:r>
        <w:t>Puesto que la lectura de los artículos recurridos revela que los despliegues aéreos o en fachadas se permiten de forma excepcional y subsidiaria, en casos de imposibilidad de acudir a los despliegues subterráneos o en el interior de los edificios o fincas, que constituyen la regla general, tienen cobertura en el título competencial citado. Tanto las razones técnicas como las de naturaleza económica que, según los preceptos impugnados, permiten a los operadores los despliegues áreos o en fachadas, se vinculan en ambas normas a esa “imposibilidad”, por lo que ha de tratarse en los dos casos de razones de significativa relevancia. Si, como parece asumir la recurrente, la norma se aplicara haciéndose extensiva a supuestos no contemplados en ella, estaríamos ante un incumplimiento de la misma, que no puede fundar el análisis de su constitucionalidad, por lo que el recurso tiene un carácter preventivo en este punto. Por otra parte, el mismo art. 34.5 excluye las edificaciones del patrimonio histórico-artístico o casos que afecten a la seguridad pública. Igualmente, el art. 34.6 de la Ley 9/2014 impone la inclusión de los despliegues aéreos o en fachadas en los planes de despliegue o instalación que pueden presentar los operadores ante las Administraciones competentes para evitar el otorgamiento de licencias o autorizaciones y que deberán ser aprobados por éstas según el mismo precepto, (siendo en otro caso necesarias las licencias o autorizaciones oportunas), lo que garantiza el examen de los despliegues desde el punto de vista urbanístico y de ordenación territorial. Por tanto, puesto que la Ley garantiza en todo caso la intervención de la Administración autonómica en estos supuestos, bien mediante la aprobación de un plan de despliegue o instalación, bien mediante la concesión de las licencias o autorizaciones oportunas, las competencias autonómicas quedan preservadas.</w:t>
      </w:r>
    </w:p>
    <w:p w:rsidR="00163957" w:rsidRDefault="00163957" w:rsidP="00163957">
      <w:pPr>
        <w:pStyle w:val="TextoNormal"/>
      </w:pPr>
    </w:p>
    <w:p w:rsidR="00163957" w:rsidRDefault="00163957" w:rsidP="00163957">
      <w:pPr>
        <w:pStyle w:val="TextoNormal"/>
      </w:pPr>
      <w:r>
        <w:lastRenderedPageBreak/>
        <w:t>Los arts. 34.5 y 45.4 de la Ley 9/2014 tampoco vulneran la competencia de la Generalitat sobre las condiciones de los edificios para la instalación de infraestructuras comunes de telecomunicaciones, radiodifusión, telefonía básica y otros servicios por cable del art. 137.2 EAC. El mismo precepto deja a salvo la legislación del Estado en materia de telecomunicaciones en la que, como ya se ha visto, se incardinan los artículos recurridos. Además, el art.137.2 EAC se refiere a las condiciones de los edificios y no al despliegue de las redes, lo que es consecuente con su incardinación en las competencias en materia de vivienda.</w:t>
      </w:r>
    </w:p>
    <w:p w:rsidR="00163957" w:rsidRDefault="00163957" w:rsidP="00163957">
      <w:pPr>
        <w:pStyle w:val="TextoNormal"/>
      </w:pPr>
    </w:p>
    <w:p w:rsidR="00163957" w:rsidRDefault="00163957" w:rsidP="00163957">
      <w:pPr>
        <w:pStyle w:val="TextoNormal"/>
      </w:pPr>
      <w:r>
        <w:t>Finalmente, los arts. 34.5 y 45.4 de la Ley 9/2014 (como el resto de artículos impugnados), no vulneran tampoco la competencia ejecutiva de la Generalitat en materia de comunicaciones electrónicas del art. 140.7 EAC al que alude genéricamente el recurso al referirse al primer bloque de artículos recurridos, pero sin imputar luego infracción concreta del mismo a ninguno de ellos. La ausencia de argumentación del recurso al respecto sería suficiente para desestimar la supuesta vulneración de este precepto estatutario. A ello se ha de añadir que el artículo se remite a la normativa del Estado y que en la STC 31/2010, FJ 85, ya declaramos, refiriéndonos al apartado b) de este precepto, que las potestades de ejecución que atribuye a la Generalitat “no menoscaban ni perturban la competencia estatal en materia de régimen general de comunicaciones que tiene por objeto ordenar normativamente y asegurar la efectividad de las comunicaciones”. Por tanto, el recurso debe ser desestimado en este punto.</w:t>
      </w:r>
    </w:p>
    <w:p w:rsidR="00163957" w:rsidRDefault="00163957" w:rsidP="00163957">
      <w:pPr>
        <w:pStyle w:val="TextoNormal"/>
      </w:pPr>
    </w:p>
    <w:p w:rsidR="00163957" w:rsidRDefault="00163957" w:rsidP="00163957">
      <w:pPr>
        <w:pStyle w:val="TextoNormal"/>
      </w:pPr>
      <w:r w:rsidRPr="00163957">
        <w:rPr>
          <w:rStyle w:val="NumeroAFNegritaCaracter"/>
        </w:rPr>
        <w:t>7</w:t>
      </w:r>
      <w:r>
        <w:t>. El art. 34.6 de la Ley 9/2014 se recurre en cuanto regula los denominados planes de despliegue o instalación por lo que, dada su extensión, solo reproducimos a continuación los párrafos que directamente regulan estos planes en los términos siguientes:</w:t>
      </w:r>
    </w:p>
    <w:p w:rsidR="00163957" w:rsidRDefault="00163957" w:rsidP="00163957">
      <w:pPr>
        <w:pStyle w:val="TextoNormal"/>
      </w:pPr>
    </w:p>
    <w:p w:rsidR="00163957" w:rsidRDefault="00163957" w:rsidP="00163957">
      <w:pPr>
        <w:pStyle w:val="TextoNormal"/>
      </w:pPr>
      <w:r>
        <w:t>“Para la instalación de redes públicas de comunicaciones electrónicas o de estaciones radioeléctricas en dominio privado distintas de las señaladas en el párrafo anterior, no podrá exigirse por parte de las administraciones públicas competentes la obtención de licencia o autorización previa de instalaciones, de funcionamiento o de actividad, o de carácter medioambiental, ni otras licencias o aprobaciones de clase similar o análogas que sujeten a previa autorización dicha instalación, en el caso de que el operador haya presentado a la Administración pública competente para el otorgamiento de la licencia o autorización un plan de despliegue o instalación de red de comunicaciones electrónicas, en el que se contemplen dichas infraestructuras o estaciones, y siempre que el citado plan haya sido aprobado por dicha Administración.</w:t>
      </w:r>
    </w:p>
    <w:p w:rsidR="00163957" w:rsidRDefault="00163957" w:rsidP="00163957">
      <w:pPr>
        <w:pStyle w:val="TextoNormal"/>
      </w:pPr>
    </w:p>
    <w:p w:rsidR="00163957" w:rsidRDefault="00163957" w:rsidP="00163957">
      <w:pPr>
        <w:pStyle w:val="TextoNormal"/>
      </w:pPr>
      <w:r>
        <w:t>En el Plan de despliegue o instalación, el operador deberá prever los supuestos en los que se van a efectuar despliegues aéreos o por fachadas de cables y equipos en los términos indicados en el apartado anterior.</w:t>
      </w:r>
    </w:p>
    <w:p w:rsidR="00163957" w:rsidRDefault="00163957" w:rsidP="00163957">
      <w:pPr>
        <w:pStyle w:val="TextoNormal"/>
      </w:pPr>
    </w:p>
    <w:p w:rsidR="00163957" w:rsidRDefault="00163957" w:rsidP="00163957">
      <w:pPr>
        <w:pStyle w:val="TextoNormal"/>
      </w:pPr>
      <w:r>
        <w:t>Este plan de despliegue o instalación a presentar por el operador se sujetará al contenido y deberá respetar las condiciones técnicas exigidas mediante real decreto acordado en Consejo de Ministros.</w:t>
      </w:r>
    </w:p>
    <w:p w:rsidR="00163957" w:rsidRDefault="00163957" w:rsidP="00163957">
      <w:pPr>
        <w:pStyle w:val="TextoNormal"/>
      </w:pPr>
    </w:p>
    <w:p w:rsidR="00163957" w:rsidRDefault="00163957" w:rsidP="00163957">
      <w:pPr>
        <w:pStyle w:val="TextoNormal"/>
      </w:pPr>
      <w:r>
        <w:t>El plan de despliegue o instalación de red pública de comunicaciones electrónicas se entenderá aprobado si, transcurridos dos meses desde su presentación, la Administración pública competente no ha dictado resolución expresa.</w:t>
      </w:r>
    </w:p>
    <w:p w:rsidR="00163957" w:rsidRDefault="00163957" w:rsidP="00163957">
      <w:pPr>
        <w:pStyle w:val="TextoNormal"/>
      </w:pPr>
    </w:p>
    <w:p w:rsidR="00163957" w:rsidRDefault="00163957" w:rsidP="00163957">
      <w:pPr>
        <w:pStyle w:val="TextoNormal"/>
      </w:pPr>
      <w:r>
        <w:lastRenderedPageBreak/>
        <w:t>Las licencias o autorizaciones previas que, de acuerdo con los párrafos anteriores, no puedan ser exigidas, serán sustituidas por declaraciones responsables, de conformidad con lo establecido en el artículo 71 bis de la Ley 30/1992, de 26 de noviembre, de Régimen Jurídico de las Administraciones Públicas y del Procedimiento Administrativo Común, relativas al cumplimiento de las previsiones legales establecidas en la normativa vigente…”</w:t>
      </w:r>
    </w:p>
    <w:p w:rsidR="00163957" w:rsidRDefault="00163957" w:rsidP="00163957">
      <w:pPr>
        <w:pStyle w:val="TextoNormal"/>
      </w:pPr>
    </w:p>
    <w:p w:rsidR="00163957" w:rsidRDefault="00163957" w:rsidP="00163957">
      <w:pPr>
        <w:pStyle w:val="TextoNormal"/>
      </w:pPr>
      <w:r>
        <w:t>La recurrente no cuestiona la sustitución de las licencias o autorizaciones previas por declaraciones responsables que el precepto contempla para el caso de aprobación de los planes de despliegue. Únicamente, esgrime que los planes de despliegue o instalación y sus efectos liberatorios de la obtención de licencias y autorizaciones municipales y/o autonómicas de carácter urbanístico o medioambiental, no tienen cobertura en los apartados 1, 13 y 21 del art. 149.1 CE y vulneran las competencias autonómicas sobre urbanismo, ordenación del territorio y medioambiente de los arts. 144 y 149. 1 y 5 EAC, ya que su aprobación no se sujeta al cumplimiento de la normativa e instrumentos de ordenación territorial, urbanística y medioambiental, sino a la observancia de las condiciones técnicas que establezca una norma estatal. Añade que tampoco tiene apoyo en los títulos competenciales estatales citados y vulnera sus competencias sobre ordenación del territorio y urbanismo, y la que le reconoce el art. 159 EAC sobre procedimiento administrativo, el establecimiento por este artículo de un procedimiento sujeto a plazo de resolución y silencio positivo. Puesto que incumbe al demandante en el recurso de inconstitucionalidad argumentar los motivos de inconstitucionalidad que esgrime, ceñiremos exclusivamente nuestro análisis a los aspectos cuestionados.</w:t>
      </w:r>
    </w:p>
    <w:p w:rsidR="00163957" w:rsidRDefault="00163957" w:rsidP="00163957">
      <w:pPr>
        <w:pStyle w:val="TextoNormal"/>
      </w:pPr>
    </w:p>
    <w:p w:rsidR="00163957" w:rsidRDefault="00163957" w:rsidP="00163957">
      <w:pPr>
        <w:pStyle w:val="TextoNormal"/>
      </w:pPr>
      <w:r>
        <w:t>Frente a lo alegado en el recurso, los planes de despliegue o instalación con efectos liberatorios de la obtención de licencias y autorizaciones, son un mecanismo tendente a facilitar el despliegue de las redes de comunicaciones electrónicas de forma unitaria en el territorio nacional, por lo que su regulación en el artículo impugnado tiene cobertura en los títulos competenciales del art. 149.1.13 y 21 CE invocados por el Estado. En particular, en cuanto al art. 149.1.13 CE, como ya dijimos en la STC 34/2013, FJ 9: “reiteradamente en nuestra doctrina hemos aceptado que, tratándose de un sector de importancia para la economía general … el Estado puede, en ejercicio de la competencia que le atribuye el art. 149.1.13 CE, fijar objetivos de política sectorial (SSTC 80/1985, de 4 de julio, FJ 1; 188/1989, de 16 de noviembre, FJ 5; y STC 96/1990, de 24 de mayo, FJ 3). Por referirnos a los supuestos más recientes, el Tribunal ha admitido en la STC 26/2012, de 1 de marzo, FJ 5, que el Estado imponga un marco más flexible y transparente para el acceso y ejercicio de actividades en el sector servicios (disponiendo al efecto que deben de eliminarse todos aquellos regímenes de autorización que no estén justificados por una razón imperiosa de interés general); en la STC 135/2012, de 19 de junio, FJ 4, que el Estado haya optado por un sistema económico integrado en el sector del transporte y distribución de gas (fijando para que ese objetivo se logre de un modo eficaz una serie de criterios uniformes que vinculan la autorización de instalaciones); en las SSTC 170/2012, de 4 de octubre, FJ 10: y 233/2012, de 13 de diciembre, FFJJ 2 y 4, que el Estado señale el objetivo de favorecer una mayor competencia dentro del sector de la distribución minorista de productos petrolíferos, estableciendo en orden a su materialización (a) la incorporación de estaciones de servicio en los establecimientos comerciales de nueva apertura como medio de aumentar el número de oferentes; (b) la previsión de silencio positivo respecto de la licencias municipales necesarias para su construcción y puesta en funcionamiento en los centros que estuvieren operativos a la entrada en vigor de la norma”.</w:t>
      </w:r>
    </w:p>
    <w:p w:rsidR="00163957" w:rsidRDefault="00163957" w:rsidP="00163957">
      <w:pPr>
        <w:pStyle w:val="TextoNormal"/>
      </w:pPr>
    </w:p>
    <w:p w:rsidR="00163957" w:rsidRDefault="00163957" w:rsidP="00163957">
      <w:pPr>
        <w:pStyle w:val="TextoNormal"/>
      </w:pPr>
      <w:r>
        <w:t xml:space="preserve">Aplicando la anterior doctrina al caso presente, dada la indudable importancia para la economía general del sector de las telecomunicaciones, es conforme con el orden constitucional de competencias la articulación por el Estado de un sistema que, en este sector económico, libera a los operadores de la obtención de licencias o autorizaciones necesarias para el despliegue de las redes si se aprueba un plan de despliegue o instalación por las autoridades municipales o autonómicas competentes. Se trata de contribuir a la consecución de los objetivos generales de la Ley 9/2014, expresamente declarados como tales en su preámbulo, de garantizar la unidad de mercado, facilitar la instalación y despliegue de las redes y la prestación de nuevos servicios, incentivar las inversiones y promover la competencia efectiva mediante una medida que, en cuanto dotada de un impacto económico plausible, es consecuente con los objetivos globales citados y proporcionada a la importancia del sector (el mismo preámbulo de la Ley 9/2014 cuantifica en 23.000 millones de euros las inversiones del sector privado que serán necesarias en España para la implantación de las conexiones de banda ancha previstas en la Agencia Digital Europea). Por tanto, consideramos que el Estado puede legítimamente perseguir esos objetivos al amparo de sus competencias de ordenación general de la economía </w:t>
      </w:r>
      <w:r w:rsidRPr="00163957">
        <w:rPr>
          <w:i/>
        </w:rPr>
        <w:t>ex</w:t>
      </w:r>
      <w:r>
        <w:t xml:space="preserve"> art.149.1.13 CE en el sector económico concreto de las telecomunicaciones sobre el que tiene competencia exclusiva </w:t>
      </w:r>
      <w:r w:rsidRPr="00163957">
        <w:rPr>
          <w:i/>
        </w:rPr>
        <w:t>ex</w:t>
      </w:r>
      <w:r>
        <w:t xml:space="preserve"> art. 149.1.21 CE.</w:t>
      </w:r>
    </w:p>
    <w:p w:rsidR="00163957" w:rsidRDefault="00163957" w:rsidP="00163957">
      <w:pPr>
        <w:pStyle w:val="TextoNormal"/>
      </w:pPr>
    </w:p>
    <w:p w:rsidR="00163957" w:rsidRDefault="00163957" w:rsidP="00163957">
      <w:pPr>
        <w:pStyle w:val="TextoNormal"/>
      </w:pPr>
      <w:r>
        <w:t>Es cierto que, si para lograr la finalidad pretendida con los planes de despliegue e instalación, se eliminan las licencias o autorizaciones autonómicas en los casos previstos, la norma tiene incidencia sobre las competencias de las Comunidades Autónomas invocadas por la Generalitat. No obstante, el precepto deja a salvo dichas competencias, al disponer que los planes deberán ser aprobados por la Administración competente para el otorgamiento de las licencias o autorizaciones de cuya necesidad dispensa, por lo que no se produce la extralimitación competencial que se afirma. El precepto no dice, como la recurrente sostiene, que la Administración competente deba limitarse a verificar el cumplimiento de las condiciones técnicas fijadas por la Administración estatal, sino únicamente que el operador, al presentar el plan, se sujetará al contenido y condiciones técnicas exigidas mediante real decreto. Esto es consecuente con la competencia exclusiva estatal del art. 149.1.21 CE, pero no obsta a que la aprobación del plan por las Administraciones competentes, a que se refiere el párrafo segundo, deba versar, lógicamente, sobre las materias de su competencia y por tanto sobre la adecuación a las normas urbanísticas, de ordenación territorial y, en su caso, medioambientales. Así lo confirma el apartado IV del preámbulo de la Ley al señalar que “en la presente Ley se establece que para el resto de actuaciones de despliegue de redes en dominio privado se puedan sustituir igualmente las licencias por una declaración responsable en aquellos casos en los que previamente el operador haya presentado ante las administraciones competentes un plan de despliegue y éste haya sido aprobado, por cuanto que, en estos casos, la Administración competente ya ha analizado y ponderado los intereses inherentes al ejercicio de sus propias competencias”.</w:t>
      </w:r>
    </w:p>
    <w:p w:rsidR="00163957" w:rsidRDefault="00163957" w:rsidP="00163957">
      <w:pPr>
        <w:pStyle w:val="TextoNormal"/>
      </w:pPr>
    </w:p>
    <w:p w:rsidR="00163957" w:rsidRDefault="00163957" w:rsidP="00163957">
      <w:pPr>
        <w:pStyle w:val="TextoNormal"/>
      </w:pPr>
      <w:r>
        <w:t xml:space="preserve">En definitiva, los planes de despliegue o instalación se configuran en el precepto recurrido consecuentemente con la finalidad que ya les reconocimos en la STC 8/2012, FJ 8, al examinar los planes territoriales de despliegue de red en suelo rústico regulados en la Ley de las Cortes de Castilla-La Mancha 8/2001, de 28 de junio, sobre ordenación de las instalaciones de radiocomunicación en dicha Comunidad, es decir, dirigidos a “proporcionar la información necesaria para que la Comunidad Autónoma afectada pueda realizar un control </w:t>
      </w:r>
      <w:r>
        <w:lastRenderedPageBreak/>
        <w:t>previo de la conformidad de las previsiones de nuevas instalaciones con la normativa sectorial que haya dictado en el ejercicio de sus competencias para la preservación de intereses públicos que le están encomendados de forma exclusiva o compartida con el Estado (ordenación del territorio, urbanismo, medioambiente, sanidad)”. Por tanto, permiten el ejercicio coordinado de las competencias estales y autonómicas concurrentes en este ámbito en el que, como hemos indicado, “deben buscarse aquellas soluciones con las que se consiga optimizar el ejercicio de ambas competencias” (STC 8/2012, FJ 3 y las que allí se citan).</w:t>
      </w:r>
    </w:p>
    <w:p w:rsidR="00163957" w:rsidRDefault="00163957" w:rsidP="00163957">
      <w:pPr>
        <w:pStyle w:val="TextoNormal"/>
      </w:pPr>
    </w:p>
    <w:p w:rsidR="00163957" w:rsidRDefault="00163957" w:rsidP="00163957">
      <w:pPr>
        <w:pStyle w:val="TextoNormal"/>
      </w:pPr>
      <w:r>
        <w:t xml:space="preserve">Si, por lo razonado </w:t>
      </w:r>
      <w:r w:rsidRPr="00163957">
        <w:rPr>
          <w:i/>
        </w:rPr>
        <w:t>ut supra</w:t>
      </w:r>
      <w:r>
        <w:t>, consideramos que el art. 34.6 de la Ley 9/2014, en cuanto contempla los planes de despliegue o instalación con efectos liberatorios de autorizaciones y licencias autonómicas o municipales, tiene apoyo en el art. 149.1.13 y 21 CE y no vulnera las competencias autonómicas sobre urbanismo, ordenación del territorio y medio ambiente puesto que dichos planes han de ser aprobados, en ejercicio de esas competencias, por la Administración autonómica o municipal correspondiente, la previsión de silencio positivo que el precepto contempla, tiene amparo en los mismos títulos competenciales estatales. Ello, puesto que dicha previsión no es sino una medida dirigida a dotar de plena virtualidad o eficacia al sistema y a garantizar que la eliminación de las autorizaciones y licencias que, en última instancia se pretende, tiene realmente lugar. Si, como recordamos en la STC 171/1996, FJ 3, la “necesidad de conciliar los títulos competenciales” “se traduce en la exigencia de que las decisiones que el Estado adopte con base en el art. 149.1.13 CE, se ciñan a aquellos aspectos estrictamente indispensables para la consecución de los fines de política económica que aquellas persigan (entre otras muchas, SSTC 152/1988, fundamento jurídico 4 y 201/1988, fundamento jurídico 2)” el establecimiento de una regla general de silencio positivo en este caso, que no resulta directamente de la legislación básica sobre procedimiento administrativo, se considera necesario para garantizar el funcionamiento del sistema en el sentido expuesto. En todo caso, no condicionan ilegítimamente las competencias autonómicas ya que las Comunidades Autónomas pueden ejercerlas sin limitación alguna dentro del plazo máximo para resolver el procedimiento, por lo que se trata, únicamente, de eliminar la incertidumbre asociada a la falta de respuesta al vencimiento del plazo, dando al silencio el efecto estimatorio de la aprobación de los planes.</w:t>
      </w:r>
    </w:p>
    <w:p w:rsidR="00163957" w:rsidRDefault="00163957" w:rsidP="00163957">
      <w:pPr>
        <w:pStyle w:val="TextoNormal"/>
      </w:pPr>
    </w:p>
    <w:p w:rsidR="00163957" w:rsidRDefault="00163957" w:rsidP="00163957">
      <w:pPr>
        <w:pStyle w:val="TextoNormal"/>
      </w:pPr>
      <w:r>
        <w:t xml:space="preserve">Sin embargo, siguiendo la misma línea argumental, entiende este Tribunal que los arts. 149.1.13 y 21 CE no amparan la fijación del concreto plazo de dos meses que, para la aprobación de los planes, recoge el art. 34.6, párrafo quinto de la Ley 9/2014. Esta previsión no es necesaria o imprescindible para garantizar la virtualidad del sistema e invade las competencias autonómicas que determinan que la aprobación de los planes se realice por estas Administraciones y no por el Estado. Distinto sería el establecimiento por el Estado de un plazo máximo de resolución que permitiera a las Administraciones competentes margen suficiente de modulación en ejercicio de sus competencias y atendiendo a las circunstancias de cada caso; modulación que, en la redacción actual del precepto y dada la brevedad de plazo previsto, no resulta posible. Como también dijimos ya en el fundamento jurídico 3 de la STC 171/1996, precitado: “No puede olvidarse, que cuando aquél [el Estado] opera al amparo de un título competencial como el contenido en el art. 149.1.13 C.E. su intervención debe configurarse de tal modo que deje a las Comunidades Autónomas el suficiente margen de libertad de decisión dentro de su propio ámbito de competencias”. Por ello, consideramos que el párrafo quinto del art. 34.6 de la Ley 9/2014 en cuanto establece que los planes de </w:t>
      </w:r>
      <w:r>
        <w:lastRenderedPageBreak/>
        <w:t>despliegue o instalación de red pública de comunicaciones electrónicas se entenderán aprobados si la Administración pública competente no hubiese dictado resolución expresa “transcurridos dos meses desde su presentación”, es inconstitucional y nulo.</w:t>
      </w:r>
    </w:p>
    <w:p w:rsidR="00163957" w:rsidRDefault="00163957" w:rsidP="00163957">
      <w:pPr>
        <w:pStyle w:val="TextoNormal"/>
      </w:pPr>
    </w:p>
    <w:p w:rsidR="00163957" w:rsidRDefault="00163957" w:rsidP="00163957">
      <w:pPr>
        <w:pStyle w:val="TextoNormal"/>
      </w:pPr>
      <w:r w:rsidRPr="00163957">
        <w:rPr>
          <w:rStyle w:val="NumeroAFNegritaCaracter"/>
        </w:rPr>
        <w:t>8</w:t>
      </w:r>
      <w:r>
        <w:t>. Se recurre a continuación el art. 35.4 de la Ley 9/2014 a cuyo tenor:</w:t>
      </w:r>
    </w:p>
    <w:p w:rsidR="00163957" w:rsidRDefault="00163957" w:rsidP="00163957">
      <w:pPr>
        <w:pStyle w:val="TextoNormal"/>
      </w:pPr>
    </w:p>
    <w:p w:rsidR="00163957" w:rsidRDefault="00163957" w:rsidP="00163957">
      <w:pPr>
        <w:pStyle w:val="TextoNormal"/>
      </w:pPr>
      <w:r>
        <w:t>“En la medida en que la instalación y despliegue de las redes de comunicaciones electrónicas constituyen obras de interés general, el conjunto de administraciones públicas tienen la obligación de facilitar el despliegue de infraestructuras de redes de comunicaciones electrónicas en su ámbito territorial, para lo cual deben dar debido cumplimiento a los deberes de recíproca información y de colaboración y cooperación mutuas en el ejercicio de sus actuaciones y de sus competencias.</w:t>
      </w:r>
    </w:p>
    <w:p w:rsidR="00163957" w:rsidRDefault="00163957" w:rsidP="00163957">
      <w:pPr>
        <w:pStyle w:val="TextoNormal"/>
      </w:pPr>
    </w:p>
    <w:p w:rsidR="00163957" w:rsidRDefault="00163957" w:rsidP="00163957">
      <w:pPr>
        <w:pStyle w:val="TextoNormal"/>
      </w:pPr>
      <w:r>
        <w:t>En defecto de acuerdo entre las administraciones públicas, cuando quede plenamente justificada la necesidad de redes públicas de comunicaciones electrónicas, y siempre y cuando se cumplan los parámetros y requerimientos técnicos esenciales para garantizar el funcionamiento de las redes y servicios de comunicaciones electrónicas establecidos en el apartado 4 del artículo anterior, el Consejo de Ministros podrá autorizar la ubicación o el itinerario concreto de una infraestructura de red de comunicaciones electrónicas, en cuyo caso la Administración pública competente deberá incorporar necesariamente en sus respectivos instrumentos de ordenación las rectificaciones imprescindibles para acomodar sus determinaciones a aquéllas.”</w:t>
      </w:r>
    </w:p>
    <w:p w:rsidR="00163957" w:rsidRDefault="00163957" w:rsidP="00163957">
      <w:pPr>
        <w:pStyle w:val="TextoNormal"/>
      </w:pPr>
    </w:p>
    <w:p w:rsidR="00163957" w:rsidRDefault="00163957" w:rsidP="00163957">
      <w:pPr>
        <w:pStyle w:val="TextoNormal"/>
      </w:pPr>
      <w:r>
        <w:t>Aunque la recurrente pide que se declare la inconstitucionalidad y nulidad de la totalidad del precepto, en realidad solo cuestiona su párrafo segundo, por lo que a éste limitaremos nuestro examen. Dice a este respecto la Generalitat, según ya hemos indicado, que, en cuanto este artículo permite al Consejo de Ministros autorizar la ubicación o el itinerario concreto de una infraestructura de red de comunicaciones electrónicas en los casos que describe, coloca a los legisladores autonómicos en una posición subordinada contraria a la doctrina constitucional conforme a la cual procedería arbitrar fórmulas para el ejercicio simultáneo o mutuamente condicionado de las competencias.</w:t>
      </w:r>
    </w:p>
    <w:p w:rsidR="00163957" w:rsidRDefault="00163957" w:rsidP="00163957">
      <w:pPr>
        <w:pStyle w:val="TextoNormal"/>
      </w:pPr>
    </w:p>
    <w:p w:rsidR="00163957" w:rsidRDefault="00163957" w:rsidP="00163957">
      <w:pPr>
        <w:pStyle w:val="TextoNormal"/>
      </w:pPr>
      <w:r>
        <w:t xml:space="preserve">El razonamiento de la Generalitat parte de la premisa de que el artículo recurrido excluye las competencias autonómicas, cuando no es así. Basta su lectura para constatar que se refiere exclusivamente a los casos en que no se logre un acuerdo entre las Administraciones públicas, esté plenamente justificada la necesidad de las redes y se cumplan los parámetros y requerimientos técnicos esenciales para garantizar su funcionamiento y los servicios de comunicaciones. Nuevamente pues, se trata de una norma adoptada en ejercicio de la competencia exclusiva estatal que resulta del apartado 21 del art. 149.1 CE que conforme a nuestra doctrina ha de prevalecer, en defecto de acuerdo, frente a las competencias autonómicas sobre el mismo espacio físico, considerando que su finalidad, en ultima instancia, es garantizar la prestación del servicio de telecomunicaciones. Cabe traer a colación aquí la STC 46/2007 en la que hemos declarado, FJ 7 que “resulta constitucionalmente admisible que el Estado, desde sus competencias sectoriales con incidencia territorial … pueda condicionar el ejercicio de la competencia autonómica de ordenación del territorio…siempre que la competencia se ejerza de manera legítima sin limitar más de lo necesario la competencia autonómica”. Igualmente, aunque los preceptos controvertidos en aquel caso se referían a </w:t>
      </w:r>
      <w:r>
        <w:lastRenderedPageBreak/>
        <w:t xml:space="preserve">un supuesto distinto de asunción directa por el Estado de la prestación de servicios de comunicaciones por incumplimiento por los operadores de sus obligaciones de servicio público, cabe recordar lo que dijimos en la STC 72/2014, FJ 8, al afirmar que “el precepto legal queda amparado en la competencia exclusiva estatal </w:t>
      </w:r>
      <w:r w:rsidRPr="00163957">
        <w:rPr>
          <w:i/>
        </w:rPr>
        <w:t>ex</w:t>
      </w:r>
      <w:r>
        <w:t>, art. 149.1.21 CE que, como ya indicamos en el fundamento jurídico tercero de esta resolución, ‘puede comportar la atribución de competencias de ejecución necesarias para configurar un sistema materialmente unitario’ (STC 195/1996, de 28 de noviembre, FJ 6). La intervención del Estado está, una vez más, determinada por la necesidad de garantizar el servicio de telecomunicaciones en las situaciones acotadas por la norma impugnada”.</w:t>
      </w:r>
    </w:p>
    <w:p w:rsidR="00163957" w:rsidRDefault="00163957" w:rsidP="00163957">
      <w:pPr>
        <w:pStyle w:val="TextoNormal"/>
      </w:pPr>
    </w:p>
    <w:p w:rsidR="00163957" w:rsidRDefault="00163957" w:rsidP="00163957">
      <w:pPr>
        <w:pStyle w:val="TextoNormal"/>
      </w:pPr>
      <w:r>
        <w:t>El art. 35.4 de la Ley 9/2014 tampoco vulnera nuestra doctrina sobre la necesidad de mecanismos de colaboración en casos de competencias concurrentes sobre un mismo espacio físico, puesto que su aplicación se subordina a la ausencia de acuerdo entre las Administraciones públicas. Como dijimos en la STC 195/2012, de 31 de octubre, FJ 6, citada por la STC 5/2013, de 17 de enero, FJ 6: “estamos en efecto ante un mecanismo de acomodación o integración entre dos competencias concurrentes en el espacio físico, basado en el acuerdo…” de forma que “este deseable resultado se alcanzará normalmente abriendo un período de consultas para llegar al acuerdo, que de no conseguirse, preservará necesariamente la decisión estatal, que se impondrá a las entidades territoriales únicamente en los aspectos que son de su exclusiva competencia, sin desplazar a la correlativa competencia autonómica”.</w:t>
      </w:r>
    </w:p>
    <w:p w:rsidR="00163957" w:rsidRDefault="00163957" w:rsidP="00163957">
      <w:pPr>
        <w:pStyle w:val="TextoNormal"/>
      </w:pPr>
    </w:p>
    <w:p w:rsidR="00163957" w:rsidRDefault="00163957" w:rsidP="00163957">
      <w:pPr>
        <w:pStyle w:val="TextoNormal"/>
      </w:pPr>
      <w:r>
        <w:t>La regulación por otras leyes de mecanismos más o menos análogos al del artículo impugnado, a que se refiere la Generalitat, y su mayor o menor similitud con el que aquí nos ocupa, nada añade al examen de constitucionalidad de la Ley 9/2014, que hemos de realizar de forma autónoma y que nos lleva a concluir, conforme a lo razonado, que el art. 35.4 de la Ley 9/2014 no es inconstitucional. En cuanto a la ausencia en el art. 35.4 de la Ley 9/2014 de una regulación sobre el procedimiento específico para intentar lograr el acuerdo entre las Administraciones, también denunciada por la recurrente, la interpretación sistemática del precepto obliga a poner en relación el apartado 4 recurrido con el resto de apartados del art. 35 de la Ley 9/2014, no impugnados. De éstos, resulta el procedimiento cuya ausencia afirma la Generalitat. Así, el apartado 2 de este artículo regula el informe ministerial previo a la aprobación de los instrumentos de planificación que, en caso de no ser favorable, conllevará un trámite de alegaciones de la Administración competente, seguido de un nuevo informe en el que se materializará, en su caso, la falta de acuerdo que sirve de base al art. 35.4 de la Ley 9/2014. En consecuencia, el recurso debe ser desestimado también en este punto.</w:t>
      </w:r>
    </w:p>
    <w:p w:rsidR="00163957" w:rsidRDefault="00163957" w:rsidP="00163957">
      <w:pPr>
        <w:pStyle w:val="TextoNormal"/>
      </w:pPr>
    </w:p>
    <w:p w:rsidR="00163957" w:rsidRDefault="00163957" w:rsidP="00163957">
      <w:pPr>
        <w:pStyle w:val="TextoNormal"/>
      </w:pPr>
      <w:r w:rsidRPr="00163957">
        <w:rPr>
          <w:rStyle w:val="NumeroAFNegritaCaracter"/>
        </w:rPr>
        <w:t>9</w:t>
      </w:r>
      <w:r>
        <w:t>. Procede ahora analizar el art. 35.7 de la Ley 9/2014 cuyo contenido es el siguiente:</w:t>
      </w:r>
    </w:p>
    <w:p w:rsidR="00163957" w:rsidRDefault="00163957" w:rsidP="00163957">
      <w:pPr>
        <w:pStyle w:val="TextoNormal"/>
      </w:pPr>
    </w:p>
    <w:p w:rsidR="00163957" w:rsidRDefault="00163957" w:rsidP="00163957">
      <w:pPr>
        <w:pStyle w:val="TextoNormal"/>
      </w:pPr>
      <w:r>
        <w:t>“Igualmente, el Ministerio de Industria, Energía y Turismo aprobará recomendaciones para la elaboración por parte de las administraciones públicas competentes de las normas o instrumentos contemplados en la presente sección, que podrán contener modelos de ordenanzas municipales elaborados conjuntamente con la asociación de entidades locales de ámbito estatal con mayor implantación. En el caso de municipios se podrá reemplazar la solicitud de informe a que se refiere el apartado 2 de este artículo por la presentación al Ministerio de Industria, Energía y Turismo del proyecto de instrumento acompañado de la declaración del Alcalde del municipio acreditando el cumplimiento de dichas recomendaciones.”</w:t>
      </w:r>
    </w:p>
    <w:p w:rsidR="00163957" w:rsidRDefault="00163957" w:rsidP="00163957">
      <w:pPr>
        <w:pStyle w:val="TextoNormal"/>
      </w:pPr>
    </w:p>
    <w:p w:rsidR="00163957" w:rsidRDefault="00163957" w:rsidP="00163957">
      <w:pPr>
        <w:pStyle w:val="TextoNormal"/>
      </w:pPr>
      <w:r>
        <w:t>El recurso entiende que las recomendaciones previstas en el precepto transcrito vulneran las competencias del art. 149.1 y 5 EAC, al considerar que tales recomendaciones se dirigen a dar instrucciones sobre la elaboración de los planes de ordenación territorial y urbanística. Sin embargo, desde el momento en que el mismo precepto contempla que el informe previsto en el art. 35.2 de la Ley 9/2014, no recurrido, pueda ser sustituido por una declaración del alcalde acreditativa del cumplimiento de las recomendaciones, solo cabe entender que el objeto de éstas será equivalente al de dicho informe. Por tanto versará, como indica el citado apartado 2, sobre la adecuación de los instrumentos de planificación a la normativa sectorial de telecomunicaciones y sobre las necesidades de redes públicas de comunicaciones electrónicas en el ámbito territorial de que se trate. Siendo esta la consecuencia que resulta de la lectura conjunta del precepto, no se aprecia la extralimitación competencial denunciada, puesto que las recomendaciones estatales tienen amparo en el título competencial del art. 149.1.21 CE. En todo caso, las competencias autonómicas y, en su caso, municipales, no se ven afectadas dado el objeto de las recomendaciones expuesto y considerando además que no tienen carácter vinculante. En definitiva, como dice el propio artículo 35, en su apartado 1, estamos ante un mecanismo de colaboración tendente a facilitar el ejercicio de competencias estatales y autonómicas concurrentes sobre un mismo espacio físico en el sentido apuntado por nuestra doctrina constitucional. Por tanto, se desestima el recurso contra el art. 35.7 de la Ley 9/2014.</w:t>
      </w:r>
    </w:p>
    <w:p w:rsidR="00163957" w:rsidRDefault="00163957" w:rsidP="00163957">
      <w:pPr>
        <w:pStyle w:val="TextoNormal"/>
      </w:pPr>
    </w:p>
    <w:p w:rsidR="00163957" w:rsidRDefault="00163957" w:rsidP="00163957">
      <w:pPr>
        <w:pStyle w:val="TextoNormal"/>
      </w:pPr>
      <w:r w:rsidRPr="00163957">
        <w:rPr>
          <w:rStyle w:val="NumeroAFNegritaCaracter"/>
        </w:rPr>
        <w:t>10</w:t>
      </w:r>
      <w:r>
        <w:t>. Entrando ya a examinar el segundo bloque de artículos recurridos a los que se imputa invasión de la competencia autonómica sobre medios de comunicación audiovisual prevista en el art. 149.1.27 CE y 146 EAC, los dos primeros preceptos impugnados son los arts. 65 y 69 j).6 de la Ley 9/2014 a los que se reprocha reconocer al Estado una nueva función de protección activa del espectro radioeléctrico, consistente en la realización de emisiones sin contenidos sustantivos en frecuencias y canales cuyos derechos de uso no hayan sido otorgados, sin reconocer las facultades que tienen las Comunidades Autónomas en esta materia. El contenido del artículo 65 es el siguiente:</w:t>
      </w:r>
    </w:p>
    <w:p w:rsidR="00163957" w:rsidRDefault="00163957" w:rsidP="00163957">
      <w:pPr>
        <w:pStyle w:val="TextoNormal"/>
      </w:pPr>
    </w:p>
    <w:p w:rsidR="00163957" w:rsidRDefault="00163957" w:rsidP="00163957">
      <w:pPr>
        <w:pStyle w:val="TextoNormal"/>
      </w:pPr>
      <w:r>
        <w:t>“1. La Secretaría de Estado de Telecomunicaciones y para la Sociedad de la Información, en cualquier momento, podrá efectuar una protección activa del dominio público radioeléctrico mediante la realización de emisiones sin contenidos sustantivos en aquellas frecuencias y canales radioeléctricos cuyos derechos de uso, en el ámbito territorial correspondiente, no hayan sido otorgados.</w:t>
      </w:r>
    </w:p>
    <w:p w:rsidR="00163957" w:rsidRDefault="00163957" w:rsidP="00163957">
      <w:pPr>
        <w:pStyle w:val="TextoNormal"/>
      </w:pPr>
    </w:p>
    <w:p w:rsidR="00163957" w:rsidRDefault="00163957" w:rsidP="00163957">
      <w:pPr>
        <w:pStyle w:val="TextoNormal"/>
      </w:pPr>
      <w:r>
        <w:t>Esta potestad se ejercitará sin perjuicio de las actuaciones inspectoras y sancionadoras que se puedan llevar a cabo para depurar las responsabilidades en que se hubieran podido incurrir por el uso del dominio público radioeléctrico sin disponer de título habilitante, por la producción de interferencias perjudiciales o por la comisión de cualquier otra infracción tipificada en el marco del régimen sancionador establecido en el Título VIII de esta Ley.</w:t>
      </w:r>
    </w:p>
    <w:p w:rsidR="00163957" w:rsidRDefault="00163957" w:rsidP="00163957">
      <w:pPr>
        <w:pStyle w:val="TextoNormal"/>
      </w:pPr>
    </w:p>
    <w:p w:rsidR="00163957" w:rsidRDefault="00163957" w:rsidP="00163957">
      <w:pPr>
        <w:pStyle w:val="TextoNormal"/>
      </w:pPr>
      <w:r>
        <w:t>2. Mediante real decreto se regulará el procedimiento para el ejercicio de la potestad de protección activa del dominio público radioeléctrico en el caso de que la frecuencia o canal radioeléctrico sea objeto de una ocupación o uso efectivo sin que se disponga de título habilitante, con sujeción a las siguientes normas:</w:t>
      </w:r>
    </w:p>
    <w:p w:rsidR="00163957" w:rsidRDefault="00163957" w:rsidP="00163957">
      <w:pPr>
        <w:pStyle w:val="TextoNormal"/>
      </w:pPr>
    </w:p>
    <w:p w:rsidR="00163957" w:rsidRDefault="00163957" w:rsidP="00163957">
      <w:pPr>
        <w:pStyle w:val="TextoNormal"/>
      </w:pPr>
      <w:r>
        <w:lastRenderedPageBreak/>
        <w:t>a) Se constatará la ocupación o uso efectivo de la frecuencia o canal radioeléctrico sin que se disponga de título habilitante para ello.</w:t>
      </w:r>
    </w:p>
    <w:p w:rsidR="00163957" w:rsidRDefault="00163957" w:rsidP="00163957">
      <w:pPr>
        <w:pStyle w:val="TextoNormal"/>
      </w:pPr>
    </w:p>
    <w:p w:rsidR="00163957" w:rsidRDefault="00163957" w:rsidP="00163957">
      <w:pPr>
        <w:pStyle w:val="TextoNormal"/>
      </w:pPr>
      <w:r>
        <w:t>b) Se efectuará un trámite de previa audiencia a la persona física o jurídica que esté efectuando la ocupación o el uso de la frecuencia o canal radioeléctrico sin título habilitante o, en su caso, al titular de las infraestructuras, de la finca o del inmueble desde donde se produce la emisión en esa frecuencia, para que en el plazo de 10 días hábiles alegue lo que estime oportuno.</w:t>
      </w:r>
    </w:p>
    <w:p w:rsidR="00163957" w:rsidRDefault="00163957" w:rsidP="00163957">
      <w:pPr>
        <w:pStyle w:val="TextoNormal"/>
      </w:pPr>
    </w:p>
    <w:p w:rsidR="00163957" w:rsidRDefault="00163957" w:rsidP="00163957">
      <w:pPr>
        <w:pStyle w:val="TextoNormal"/>
      </w:pPr>
      <w:r>
        <w:t>c) En su caso, una vez efectuado el trámite de previa audiencia, se requerirá a la persona o titular mencionado anteriormente con el que se evacuó dicho trámite, para que en el plazo de 8 días hábiles proceda al cese de las emisiones no autorizadas.</w:t>
      </w:r>
    </w:p>
    <w:p w:rsidR="00163957" w:rsidRDefault="00163957" w:rsidP="00163957">
      <w:pPr>
        <w:pStyle w:val="TextoNormal"/>
      </w:pPr>
    </w:p>
    <w:p w:rsidR="00163957" w:rsidRDefault="00163957" w:rsidP="00163957">
      <w:pPr>
        <w:pStyle w:val="TextoNormal"/>
      </w:pPr>
      <w:r>
        <w:t>d) En el caso de que no se proceda al cese de las emisiones no autorizadas, la Secretaría de Estado de Telecomunicaciones y para la Sociedad de la Información podrá iniciar sus emisiones en dicha frecuencia o canal radioeléctrico.”</w:t>
      </w:r>
    </w:p>
    <w:p w:rsidR="00163957" w:rsidRDefault="00163957" w:rsidP="00163957">
      <w:pPr>
        <w:pStyle w:val="TextoNormal"/>
      </w:pPr>
    </w:p>
    <w:p w:rsidR="00163957" w:rsidRDefault="00163957" w:rsidP="00163957">
      <w:pPr>
        <w:pStyle w:val="TextoNormal"/>
      </w:pPr>
      <w:r>
        <w:t>El art. 69.j).6 establece:</w:t>
      </w:r>
    </w:p>
    <w:p w:rsidR="00163957" w:rsidRDefault="00163957" w:rsidP="00163957">
      <w:pPr>
        <w:pStyle w:val="TextoNormal"/>
      </w:pPr>
    </w:p>
    <w:p w:rsidR="00163957" w:rsidRDefault="00163957" w:rsidP="00163957">
      <w:pPr>
        <w:pStyle w:val="TextoNormal"/>
      </w:pPr>
      <w:r>
        <w:t>“Los órganos superiores y directivos del Ministerio de Industria, Energía y Turismo que, de conformidad con la estructura orgánica del departamento, asuman las competencias asignadas a este ministerio, ejercerán las siguientes funciones:</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j) Ejercer las funciones en materia de administración del dominio público radioeléctrico a las que se refiere el Título V. En particular, ejercerá las siguientes funciones:</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6. La protección del dominio público radioeléctrico, para lo cual podrá, entre otras actuaciones, realizar emisiones en aquellas frecuencias y canales radioeléctricos cuyos derechos de uso, en el ámbito territorial correspondiente, no hayan sido otorgados.”</w:t>
      </w:r>
    </w:p>
    <w:p w:rsidR="00163957" w:rsidRDefault="00163957" w:rsidP="00163957">
      <w:pPr>
        <w:pStyle w:val="TextoNormal"/>
      </w:pPr>
    </w:p>
    <w:p w:rsidR="00163957" w:rsidRDefault="00163957" w:rsidP="00163957">
      <w:pPr>
        <w:pStyle w:val="TextoNormal"/>
      </w:pPr>
      <w:r>
        <w:t xml:space="preserve">Analizados los argumentos de las partes sintetizados </w:t>
      </w:r>
      <w:r w:rsidRPr="00163957">
        <w:rPr>
          <w:i/>
        </w:rPr>
        <w:t>ut supra</w:t>
      </w:r>
      <w:r>
        <w:t xml:space="preserve">, no se aprecia la inconstitucionalidad de los preceptos transcritos que se alega. Partiendo de la delimitación entre los títulos competenciales de los apartados 21 y 27 del art. 149.1 CE que resulta de las SSTC 72/2014 y anteriores ya citadas, hemos de reiterar que una cosa es la protección del dominio público radioeléctrico y las potestades de inspección y control en este ámbito, y otra es la protección, inspección y control relativo a los medios de comunicación social. El hecho de que los medios de comunicación social, entre otros, utilicen el dominio público radioeléctrico para la emisión de sus contenidos no impide delimitar ambos ámbitos. Ya el art.1.2 de la Ley 9/2014 dice que “quedan excluidos del ámbito de esta Ley los servicios de comunicación audiovisual, los contenidos audiovisuales transmitidos a través de las redes, así como el régimen básico de los medios de comunicación social de naturaleza audiovisual a que se refiere el artículo 149.1.27 de la Constitución”. En coherencia con ello, el art. 3.2 de la Ley 7/2010, de 31 de marzo, general de la comunicación audiovisual, dice que “están excluidos del ámbito de aplicación de esta Ley sin perjuicio de las obligaciones que les correspondan </w:t>
      </w:r>
      <w:r>
        <w:lastRenderedPageBreak/>
        <w:t>de acuerdo con esta Ley: a) Las redes y servicios de comunicaciones electrónicas utilizados para el transporte y difusión de la señal de los servicios de comunicación audiovisual, sus recursos asociados y los equipos técnicos necesarios para la recepción de la comunicación audiovisual. Su régimen es el propio de las telecomunicaciones”. Por su parte, el art. 60.1 de la Ley 9/2014 comienza declarando que “el espectro radioeléctrico es un bien de dominio público cuya titularidad y administración corresponden al Estado” y, el apartado 4 c) de este mismo artículo, dentro de la administración del dominio público radioeléctrico, enumera las actuaciones de control entre las que incluye: “comprobación técnica de las emisiones, detección y eliminación de interferencias, inspección técnica de instalaciones, equipos y aparatos radioeléctricos, así como el control de la puesta en el mercado de éstos últimos” añadiendo que “igualmente, incluye la protección del dominio público radioeléctrico, consistente, entre otras actuaciones, en la realización de emisiones sin contenidos sustantivos en aquellas frecuencias y canales radioeléctricos cuyos derechos de uso, en el ámbito territorial correspondiente, no hayan sido otorgados, con independencia de que dichas frecuencias o canales radioeléctricos sean objeto en la práctica de ocupación o uso efectivo”. El art. 146 EAC, invocado en el recurso, se refiere a la competencia de inspección y control de los medios de comunicación social únicamente, y así lo dice en su apartado b) que atribuye a la Generalitat: “La competencia compartida sobre la regulación y el control de los servicios de comunicación audiovisual que utilicen cualquiera de los soportes y tecnologías disponibles dirigidos al público de Cataluña, así como sobre las ofertas de comunicación audiovisual si se distribuyen en el territorio de Cataluña”.</w:t>
      </w:r>
    </w:p>
    <w:p w:rsidR="00163957" w:rsidRDefault="00163957" w:rsidP="00163957">
      <w:pPr>
        <w:pStyle w:val="TextoNormal"/>
      </w:pPr>
    </w:p>
    <w:p w:rsidR="00163957" w:rsidRDefault="00163957" w:rsidP="00163957">
      <w:pPr>
        <w:pStyle w:val="TextoNormal"/>
      </w:pPr>
      <w:r>
        <w:t>En esta línea, la misma STC 72/2014, en el FJ 11 ya citado, desestimó el recurso interpuesto por la Generalitat de Cataluña contra los arts. 40.5 y 41.3 de la Ley 32/2003, general de telecomunicaciones, derogada por la Ley 9/2014, que atribuían al Estado los controles de los equipos y aparatos de telecomunicación que utilicen el espacio radioeléctrico señalando que “los preceptos en cuestión protegen intereses directamente relacionados con las telecomunicaciones” y que “la finalidad última de los preceptos impugnados no es otra, precisamente, que la de garantizar el buen uso del espacio radioeléctrico y, con ello, asegurar la efectividad de las telecomunicaciones”.</w:t>
      </w:r>
    </w:p>
    <w:p w:rsidR="00163957" w:rsidRDefault="00163957" w:rsidP="00163957">
      <w:pPr>
        <w:pStyle w:val="TextoNormal"/>
      </w:pPr>
    </w:p>
    <w:p w:rsidR="00163957" w:rsidRDefault="00163957" w:rsidP="00163957">
      <w:pPr>
        <w:pStyle w:val="TextoNormal"/>
      </w:pPr>
      <w:r>
        <w:t xml:space="preserve">Igualmente, la STC 5/2012 que reconoció la competencia de la Comunidad Autónoma de Cataluña para la inspección y control de emisiones clandestinas, claramente la vinculó a la competencia sustantiva para el otorgamiento de concesiones de emisoras, diferenciándola de la competencia sobre el dominio público radioeléctrico. Así, ya en el fundamento jurídico 3, la Sentencia dice que “lo discutido no es el aspecto funcional de la prestación de un servicio público sino las actuaciones de control sobre la actividad de emisoras de televisión local por ondas terrestres que operan en régimen de concesión” e insiste, fundamento jurídico 6, en que “las entidades sancionadas lo son exclusivamente por emitir sin título habilitante..”, y en que “no se han puesto de manifiesto la existencia de otros problemas como pudieran ser la comisión de infracciones relativas a la producción de interferencias perjudiciales a otros servicios de telecomunicación”. En el mismo sentido, la STC 235/2012, FJ 8, dijo que “el control y eventual sanción del concesionario han de seguir también, siempre y en todo caso, la misma atribución competencial autonómica, por constituir facultades inherentes al propio otorgamiento de la concesión” si bien, en el fundamento jurídico 7 b), también recordó, con remisión a la doctrina de las SSTC 168/1993 y 127/1994, que “la aprobación por el Estado de la planificación técnica en esta materia es una consecuencia lógica de la configuración constitucional de las telecomunicaciones como una competencia exclusiva </w:t>
      </w:r>
      <w:r>
        <w:lastRenderedPageBreak/>
        <w:t>del Estado (art. 149.1.21 CE), y de las subsiguientes facultades estatales para dictar las normas que delimiten la utilización del espacio radioeléctrico y permitan coordinar la prestación de los servicios en virtud de sus características técnicas y de los compromisos internacionales”.</w:t>
      </w:r>
    </w:p>
    <w:p w:rsidR="00163957" w:rsidRDefault="00163957" w:rsidP="00163957">
      <w:pPr>
        <w:pStyle w:val="TextoNormal"/>
      </w:pPr>
    </w:p>
    <w:p w:rsidR="00163957" w:rsidRDefault="00163957" w:rsidP="00163957">
      <w:pPr>
        <w:pStyle w:val="TextoNormal"/>
      </w:pPr>
      <w:r>
        <w:t>Así, los preceptos cuestionados no otorgan al Estado competencia alguna sobre la inspección y control de los medios de comunicación social que pudieran estar emitiendo en el ámbito autonómico sin título para ello. Únicamente otorgan a la Administración estatal una facultad de protección directamente vinculada al dominio público radioeléctrico o al uso del espectro, sin conexión con tales medios ni con sus títulos habilitantes, consistente en la realización de emisiones sin contenidos sustantivos como medida de protección del demanio, que entra de lleno en el ámbito de control unitario de dicho espacio que al Estado correspond</w:t>
      </w:r>
      <w:r w:rsidRPr="00163957">
        <w:rPr>
          <w:i/>
        </w:rPr>
        <w:t xml:space="preserve">e </w:t>
      </w:r>
      <w:r>
        <w:t>ex art. 149.1.21 CE.</w:t>
      </w:r>
    </w:p>
    <w:p w:rsidR="00163957" w:rsidRDefault="00163957" w:rsidP="00163957">
      <w:pPr>
        <w:pStyle w:val="TextoNormal"/>
      </w:pPr>
    </w:p>
    <w:p w:rsidR="00163957" w:rsidRDefault="00163957" w:rsidP="00163957">
      <w:pPr>
        <w:pStyle w:val="TextoNormal"/>
      </w:pPr>
      <w:r>
        <w:t>Conforme a lo que dijimos ya en el fundamento jurídico 5 de la STC 5/2012, las Comunidades Autónomas, en cuanto titulares de la competencia sustantiva para el otorgamiento de concesiones a las emisoras de radio y televisión conforme al art. 149.1.27 CE “debe[n] poseer también las facultades, accesorias de aquella principal, de inspección y control de emisiones clandestinas, precintado de los equipos y en su caso sanción”. Sin embargo, la inspección y sanción de las emisoras clandestinas no implica el ejercicio de facultades que puedan hacerse extensivas a la protección activa del espacio radioeléctrico en su conjunto, pues en dicho espacio conviven señales de distintas procedencias dada la multiplicidad de usos del mismo. Estamos pues ante el ejercicio de facultades que recaen sobre ámbitos materiales diferenciados, encuentran amparo en distintos títulos competenciales y no se interfieren recíprocamente.</w:t>
      </w:r>
    </w:p>
    <w:p w:rsidR="00163957" w:rsidRDefault="00163957" w:rsidP="00163957">
      <w:pPr>
        <w:pStyle w:val="TextoNormal"/>
      </w:pPr>
    </w:p>
    <w:p w:rsidR="00163957" w:rsidRDefault="00163957" w:rsidP="00163957">
      <w:pPr>
        <w:pStyle w:val="TextoNormal"/>
      </w:pPr>
      <w:r>
        <w:t>Sentado lo anterior, la recurrente, más que discutir la competencia estatal para realizar emisiones sin contenido sustantivo como medida de protección del dominio público radioeléctrico en los casos apuntados, sostiene que la Comunidad Autónoma también tiene dicha competencia (arts. 149.1.27 CE y 146 EAC), por lo que los preceptos recurridos deben hacer referencia a la misma. Sin embargo, sin perjuicio de que hemos declarado, por ejemplo en la STC 8/2012, FJ 5, que “las normas del ordenamiento jurídico no son elementos aislados en el mismo, sino que coexisten con las restantes que lo integran, sin que el silencio de estas otras deba llevar a la conclusión de que excluyan su aplicación, salvo que ésta fuera la única exégesis razonable y plausible de la norma”, en este caso, no es que los preceptos impugnados omitan dejar a salvo las competencias autonómicas, y que entendamos que ello es innecesario. Antes bien, por lo que se ha razonado, hemos de concluir que las competencias autonómicas sobre medios de comunicación social no incluyen la inspección, control y protección del uso del dominio público radioeléctrico desvinculado de los medios de comunicación social usuarios del mismo, de sus títulos habilitantes y de los contenidos difundidos. Como hemos declarado en Sentencias como la STC 72/2014 ya citada, la ordenación unitaria del dominio público radioeléctrico atribuida al Estado, es consecuencia necesaria de los distintos usos del mismo para diferentes tipos de comunicaciones teniendo también en cuenta, como ya dijimos en la STC 244/1993, FJ 2, que “la disciplina internacional del tema, así como la previsión de otros problemas como, v. gr., puede ser la evitación de interferencias”.</w:t>
      </w:r>
    </w:p>
    <w:p w:rsidR="00163957" w:rsidRDefault="00163957" w:rsidP="00163957">
      <w:pPr>
        <w:pStyle w:val="TextoNormal"/>
      </w:pPr>
    </w:p>
    <w:p w:rsidR="00163957" w:rsidRDefault="00163957" w:rsidP="00163957">
      <w:pPr>
        <w:pStyle w:val="TextoNormal"/>
      </w:pPr>
      <w:r>
        <w:lastRenderedPageBreak/>
        <w:t>Por último, los arts. 73 y 74 de la Ley 9/2014 se recurren por conexión en cuanto, al regular las facultades de inspección y la responsabilidad por las infracciones en materia de telecomunicaciones desconocen, a juicio de la recurrente, las competencias que pueden corresponder a la Comunidad Autónoma en materia de medios de comunicación social. A este respecto, cabe señalar que los arts. 73 y 74 de la Ley 9/2014 se refieren, y así lo dicen expresamente, a la materia de telecomunicaciones, siendo éste además el objeto de la Ley que, como se ha dicho, excluye de su ámbito de aplicación, los servicios de comunicación audiovisual. Por tanto, en línea con lo ya apuntado, los arts. 73 y 74 de la Ley 9/2014 no son inconstitucionales, por no referirse a competencias autonómicas en otros ámbitos no incluidos en el objeto de la Ley, al no ser ello exigible. Dado que la interpretación de los artículos no ofrece duda al referirse literalmente a la materia de telecomunicaciones y a ninguna otra, no es necesario en este punto realizar interpretación alguna de los mismos. Así lo confirma por otra parte, la Ley 7/2010, general de la comunicación audiovisual que, en su artículo 56, atribuye a las Comunidades Autónomas las competencias de supervisión, control y protección activa para garantizar el cumplimiento de lo previsto en dicha Ley y la potestad sancionadora en relación con los servicios de comunicación audiovisual cuyo ámbito de cobertura no sobrepase los respectivos límites territoriales. Por lo demás, la posición mantenida por la Administración del Estado en otros recursos pendientes ante este Tribunal, a que alude la Generalitat, no es parámetro interpretativo de los preceptos que ahora nos ocupan cuyo tenor literal, se reitera, es claro. Por tanto, procede desestimar el recurso también en cuanto al segundo bloque de artículos recurridos.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en parte el presente recurso y, en consecuencia:</w:t>
      </w:r>
    </w:p>
    <w:p w:rsidR="00163957" w:rsidRDefault="00163957" w:rsidP="00163957">
      <w:pPr>
        <w:pStyle w:val="TextoNormal"/>
      </w:pPr>
    </w:p>
    <w:p w:rsidR="00163957" w:rsidRDefault="00163957" w:rsidP="00163957">
      <w:pPr>
        <w:pStyle w:val="TextoNormal"/>
      </w:pPr>
      <w:r>
        <w:t>1º Declarar inconstitucional y nulo el inciso “transcurridos dos meses desde su presentación” del párrafo quinto del art. 34.6 de la Ley 9/2014, de 9 de mayo, general de telecomunicaciones.</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cuatro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24" w:name="SENTENCIA_2016_21"/>
      <w:r>
        <w:lastRenderedPageBreak/>
        <w:t>SENTENCIA 21/2016, de 4 de febrero de 2016</w:t>
      </w:r>
    </w:p>
    <w:bookmarkEnd w:id="24"/>
    <w:p w:rsidR="00163957" w:rsidRDefault="00163957" w:rsidP="00163957">
      <w:pPr>
        <w:pStyle w:val="TtuloResolucin"/>
      </w:pPr>
      <w:r>
        <w:t>Pleno</w:t>
      </w:r>
    </w:p>
    <w:p w:rsidR="00163957" w:rsidRDefault="00163957" w:rsidP="00163957">
      <w:pPr>
        <w:pStyle w:val="TtuloBOE"/>
      </w:pPr>
      <w:r>
        <w:t>(BOE núm. 57, de 7 de marzo de 2016)</w:t>
      </w:r>
    </w:p>
    <w:p w:rsidR="00163957" w:rsidRDefault="00163957" w:rsidP="00163957">
      <w:pPr>
        <w:pStyle w:val="TextoNormalCentrado"/>
      </w:pPr>
      <w:r>
        <w:t>ECLI:ES:TC:2016:21</w:t>
      </w:r>
    </w:p>
    <w:p w:rsidR="00163957" w:rsidRDefault="00163957" w:rsidP="00163957">
      <w:pPr>
        <w:pStyle w:val="TextoNormalCentrado"/>
      </w:pPr>
    </w:p>
    <w:p w:rsidR="00163957" w:rsidRDefault="00163957" w:rsidP="00163957">
      <w:pPr>
        <w:pStyle w:val="SntesisDescriptiva"/>
      </w:pPr>
      <w:r>
        <w:t>Recurso de inconstitucionalidad 5680-2015. Interpuesto por el Gobierno Vasco en relación con varios preceptos de la Ley 23/2015, de 21 de julio, ordenadora del sistema de inspección de trabajo y Seguridad Social.</w:t>
      </w:r>
    </w:p>
    <w:p w:rsidR="00163957" w:rsidRDefault="00163957" w:rsidP="00163957">
      <w:pPr>
        <w:pStyle w:val="SntesisDescriptiva"/>
      </w:pPr>
    </w:p>
    <w:p w:rsidR="00163957" w:rsidRDefault="00163957" w:rsidP="00163957">
      <w:pPr>
        <w:pStyle w:val="SntesisAnaltica"/>
      </w:pPr>
      <w:r>
        <w:t>Competencias en materia de seguridad social: constitucionalidad del precepto legal que remite al reglamento la determinación del órgano competente para el ejercicio de la potestad sancionadora respecto de las infracciones del orden social en el ámbito de la Administración general del Estado; remisión legal a una disposición ya depurada de inconstitucionalidad (STC 272/2015).</w:t>
      </w:r>
    </w:p>
    <w:p w:rsidR="00163957" w:rsidRDefault="00163957" w:rsidP="00163957">
      <w:pPr>
        <w:pStyle w:val="SntesisAnaltica"/>
      </w:pPr>
    </w:p>
    <w:p w:rsidR="00163957" w:rsidRDefault="00163957" w:rsidP="00163957">
      <w:pPr>
        <w:pStyle w:val="Extracto"/>
      </w:pPr>
      <w:r>
        <w:t>1.</w:t>
      </w:r>
      <w:r>
        <w:tab/>
        <w:t>La norma impugnada es una regulación establecida de acuerdo con la potestad de autoorganización que le corresponde al Estado sin que, por lo demás, de dichas previsiones se derive atribución competencial alguna [FJ 3].</w:t>
      </w:r>
    </w:p>
    <w:p w:rsidR="00163957" w:rsidRDefault="00163957" w:rsidP="00163957">
      <w:pPr>
        <w:pStyle w:val="Extracto"/>
      </w:pPr>
    </w:p>
    <w:p w:rsidR="00163957" w:rsidRDefault="00163957" w:rsidP="00163957">
      <w:pPr>
        <w:pStyle w:val="Extracto"/>
      </w:pPr>
      <w:r>
        <w:t>2.</w:t>
      </w:r>
      <w:r>
        <w:tab/>
        <w:t>La remisión de la disposición transitoria segunda de la norma objeto de recurso se efectúa a una regulación en materia de atribución de competencias sancionadoras que ya ha sido depurada de inconstitucionalidad, por lo que el recurso debe ser desestimado en este punto (STC 272/2015) [FJ 3].</w:t>
      </w:r>
    </w:p>
    <w:p w:rsidR="00163957" w:rsidRDefault="00163957" w:rsidP="00163957">
      <w:pPr>
        <w:pStyle w:val="Extracto"/>
      </w:pPr>
    </w:p>
    <w:p w:rsidR="00163957" w:rsidRDefault="00163957" w:rsidP="00163957">
      <w:pPr>
        <w:pStyle w:val="Extracto"/>
      </w:pPr>
      <w:r>
        <w:t>3.</w:t>
      </w:r>
      <w:r>
        <w:tab/>
        <w:t>El Gobierno Vasco planteó una reivindicación competencial fundada en una argumentación suficiente, aun cuando lo sea por relación a argumentos ya expuestos con ocasión de otro proceso constitucional, lo que requiere el necesario pronunciamiento de este Tribunal en cuanto al fondo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inconstitucionalidad núm. 5680-2015 promovido por el Gobierno Vasco contra la disposición final primera y, por conexión con ella, la disposición transitoria segunda de la Ley 23/2015, de 21 de julio, ordenadora del sistema de inspección de trabajo y </w:t>
      </w:r>
      <w:r>
        <w:lastRenderedPageBreak/>
        <w:t>Seguridad Social. Ha comparecido y formulado alegaciones el Abogado del Estado. Ha sido Ponente la Magistrada doña Encarnación Roca Trías,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del Tribunal Constitucional el 8 de octubre de 2015, el Gobierno Vasco interpone recurso de inconstitucionalidad contra la disposición final primera y, por conexión con ella, la disposición transitoria segunda de la Ley 23/2015, de 21 de julio, ordenadora del sistema de inspección de trabajo y Seguridad Social.</w:t>
      </w:r>
    </w:p>
    <w:p w:rsidR="00163957" w:rsidRDefault="00163957" w:rsidP="00163957">
      <w:pPr>
        <w:pStyle w:val="TextoNormal"/>
      </w:pPr>
    </w:p>
    <w:p w:rsidR="00163957" w:rsidRDefault="00163957" w:rsidP="00163957">
      <w:pPr>
        <w:pStyle w:val="TextoNormal"/>
      </w:pPr>
      <w:r>
        <w:t>Los motivos del recurso son, sucintamente expuestos, los siguientes:</w:t>
      </w:r>
    </w:p>
    <w:p w:rsidR="00163957" w:rsidRDefault="00163957" w:rsidP="00163957">
      <w:pPr>
        <w:pStyle w:val="TextoNormal"/>
      </w:pPr>
    </w:p>
    <w:p w:rsidR="00163957" w:rsidRDefault="00163957" w:rsidP="00163957">
      <w:pPr>
        <w:pStyle w:val="TextoNormal"/>
      </w:pPr>
      <w:r>
        <w:t>El escrito de interposición del recurso pone de manifiesto su conexión con el tramitado con el núm. 7134-2014 interpuesto también por el Gobierno Vasco contra los arts. 7 y 8.5 de la Ley 1/2014, de 28 de febrero, para la protección de los trabajadores a tiempo parcial y otras medidas urgentes en el orden económico y social. Conexión entre ambos recursos que determina que se solicite su acumulación, en la medida en que en la impugnada disposición transitoria segunda de la Ley 23/2015 se mantiene la vigencia de la atribución de competencias sancionadoras existente con anterioridad a la vigencia de la norma y que ya fue discutida en el recurso de inconstitucionalidad 7134-2014.</w:t>
      </w:r>
    </w:p>
    <w:p w:rsidR="00163957" w:rsidRDefault="00163957" w:rsidP="00163957">
      <w:pPr>
        <w:pStyle w:val="TextoNormal"/>
      </w:pPr>
    </w:p>
    <w:p w:rsidR="00163957" w:rsidRDefault="00163957" w:rsidP="00163957">
      <w:pPr>
        <w:pStyle w:val="TextoNormal"/>
      </w:pPr>
      <w:r>
        <w:t>Conforme al escrito de interposición, las normas impugnadas exceden de la competencia estatal en materia de seguridad social (art. 149.1.17 CE), vulnerando la competencia sancionadora en materia de seguridad social de la Comunidad Autónoma del País Vasco [art. 18.2 a) del Estatuto de Autonomía del País Vasco: EAPV]. Lo controvertido en el recurso inicial versaba sobre la facultad del Servicio Público de Empleo Estatal (SEPE) para incoar el procedimiento sancionador que tiene por objeto perseguir la infracción consistente en no cumplir el requisito de estar inscrito como demandante de empleo para conservar la percepción de la prestación por desempleo. Esta infracción se encuentra tipificada en el art. 24.4 b) del texto refundido de la Ley de infracciones y sanciones del orden social, aprobado por Real Decreto Legislativo 5/2000, de 4 de agosto, en la redacción del art. 8.2 de la Ley 1/2014. Impugnan también la atribución al SEPE la competencia para sancionar las infracciones cometidas por los solicitantes o los beneficiarios de las prestaciones por desempleo, salvo en el supuesto de las tipificadas en los arts. 24.3 y 25.4 del Real Decreto Legislativo 5/2000, en el que la imposición de la sanción corresponderá al servicio público de empleo competente, sin incluir en esta excepción o salvedad las infracciones tipificadas en el nuevo art. 24.4 del Real Decreto Legislativo 5/2000 (en la redacción del art. 8.2 de la Ley 1/2014), referidas a los incumplimientos consistentes en: no facilitar la información necesaria para garantizar la recepción de las notificaciones y comunicaciones de la entidad gestora de la prestación por desempleo [art. 24.2 a) del Real Decreto Legislativo 5/2000] y en no cumplir el requisito, exigido para conservar la percepción de la prestación de estar inscrito como demandante de empleo en los términos previstos en los arts. 209.1 y 215.4 del texto refundido de la Ley general de Seguridad Social (LGSS), salvo causa justificada [art. 24.4 b) del Real Decreto Legislativo 5/2000].</w:t>
      </w:r>
    </w:p>
    <w:p w:rsidR="00163957" w:rsidRDefault="00163957" w:rsidP="00163957">
      <w:pPr>
        <w:pStyle w:val="TextoNormal"/>
      </w:pPr>
    </w:p>
    <w:p w:rsidR="00163957" w:rsidRDefault="00163957" w:rsidP="00163957">
      <w:pPr>
        <w:pStyle w:val="TextoNormal"/>
      </w:pPr>
      <w:r>
        <w:lastRenderedPageBreak/>
        <w:t>Según el Gobierno Vasco, la reiteración en las disposiciones impugnadas de la atribución al SEPE en estos términos de la competencia para sancionar las infracciones tipificadas en el art. 24.4 del Real Decreto Legislativo 5/2000 se aparta de forma manifiesta de la doctrina sentada en las SSTC 195/1996, de 28 de noviembre, y 104/2013, de 25 de abril, que reconocen la competencia autonómica de ejecución en materia de Seguridad Social, que incluye la competencia para la imposición de sanciones en materia de prestaciones por desempleo, cuando no se vea afectado el régimen económico de la Seguridad Social.</w:t>
      </w:r>
    </w:p>
    <w:p w:rsidR="00163957" w:rsidRDefault="00163957" w:rsidP="00163957">
      <w:pPr>
        <w:pStyle w:val="TextoNormal"/>
      </w:pPr>
    </w:p>
    <w:p w:rsidR="00163957" w:rsidRDefault="00163957" w:rsidP="00163957">
      <w:pPr>
        <w:pStyle w:val="TextoNormal"/>
      </w:pPr>
      <w:r>
        <w:t>En lo que se refiere a los títulos competenciales, se advierte en el recurso que el aplicable es el art. 149.1.17 CE, siendo así que la competencia autonómica de ejecución en materia de Seguridad Social, incluye la competencia para la imposición de sanciones en materia de prestaciones por desempleo cuando recae sobre actividades instrumentales respecto al nacimiento y mantenimiento de la obligación de contribuir (esto es, cuando no se vea afectado el régimen económico de la Seguridad Social), conforme a la referida doctrina constitucional, que es justamente lo que acontece en el caso de los preceptos impugnados, como ya declaró la citada STC 104/2013. De acuerdo con ello, la demanda sostiene que la disposición final primera y, por conexión con ella, la disposición transitoria segunda de la Ley 23/2015 son inconstitucionales por mantener el régimen sancionador del Real Decreto Legislativo 5/2000 en los mismos términos que los derivados de las modificaciones operadas por la Ley 1/2014, vulnerando la potestad sancionadora de la Comunidad Autónoma del País Vasco en materia de Seguridad Social [art. 18.2 a) EAPV].</w:t>
      </w:r>
    </w:p>
    <w:p w:rsidR="00163957" w:rsidRDefault="00163957" w:rsidP="00163957">
      <w:pPr>
        <w:pStyle w:val="TextoNormal"/>
      </w:pPr>
    </w:p>
    <w:p w:rsidR="00163957" w:rsidRDefault="00163957" w:rsidP="00163957">
      <w:pPr>
        <w:pStyle w:val="TextoNormal"/>
      </w:pPr>
      <w:r>
        <w:t>Según el Gobierno Vasco, el art. 48.5 del Real Decreto Legislativo 5/2000, cuya vigencia mantienen las disposiciones impugnadas, excluye de la competencia autonómica la facultad para sancionar la infracción tipificada en el art. 24.4 a) del Real Decreto Legislativo 5/2000, que únicamente sería constitucional si su contenido material se entendiera referido a actuaciones vinculadas al régimen económico de la Seguridad Social, estas sí de competencia estatal, pero, en ningún caso, a actos instrumentales relativos a la inscripción y mantenimiento como demandantes de empleo, como ocurre en los casos consistentes en suministrar información necesaria para garantizar las notificaciones y comunicaciones [art. 24.2 a) del Real Decreto Legislativo 5/2000], o estar inscrito como demandante de empleo en los términos establecidos en los arts. 209.1 y 215.4 LGSS, para la conservación de la percepción de la prestación [art. 24.2 b) del Real Decreto Legislativo 5/2000], supuestos de actividades instrumentales en los que la potestad sancionadora para el cumplimiento de tales obligaciones por los solicitantes o los beneficiarios de las prestaciones por desempleo corresponde a las Comunidades Autónomas, conforme a la doctrina sentada en la STC 104/2013 en relación con preceptos de contenido similar en la redacción anterior del Real Decreto Legislativo 5/2000.</w:t>
      </w:r>
    </w:p>
    <w:p w:rsidR="00163957" w:rsidRDefault="00163957" w:rsidP="00163957">
      <w:pPr>
        <w:pStyle w:val="TextoNormal"/>
      </w:pPr>
    </w:p>
    <w:p w:rsidR="00163957" w:rsidRDefault="00163957" w:rsidP="00163957">
      <w:pPr>
        <w:pStyle w:val="TextoNormal"/>
      </w:pPr>
      <w:r>
        <w:t>Por las mismas razones alegadas en el recurso de inconstitucionalidad 7134-2014, la disposición final primera y, por conexión con ella, la disposición transitoria segunda de la Ley 23/2015, serían inconstitucionales y nulas por vulnerar la potestad sancionadora de la Comunidad Autónoma del País Vasco en materia de ejecución de la legislación básica del Estado sobre Seguridad Social [art. 18.2 a) EAPV] y, por consiguiente, el orden constitucional de distribución de competencias. Y así se solicita en el suplico del recurso de inconstitucionalidad, como pretensión principal, que se declare la inconstitucionalidad y nulidad de los preceptos legales impugnados.</w:t>
      </w:r>
    </w:p>
    <w:p w:rsidR="00163957" w:rsidRDefault="00163957" w:rsidP="00163957">
      <w:pPr>
        <w:pStyle w:val="TextoNormal"/>
      </w:pPr>
    </w:p>
    <w:p w:rsidR="00163957" w:rsidRDefault="00163957" w:rsidP="00163957">
      <w:pPr>
        <w:pStyle w:val="TextoNormal"/>
      </w:pPr>
      <w:r>
        <w:lastRenderedPageBreak/>
        <w:t>Subsidiariamente, sostiene el Gobierno Vasco que, en el caso de que no se aprecie que los preceptos impugnados vulneran el art. 18.2 a) EAPV, esos mismos arts. 7 y 8.5 de la Ley 1/2014 serían inconstitucionales por vulnerar el art. 18.2 b) EAPV, que atribuye a la Comunidad Autónoma del País Vasco competencia sobre la gestión del régimen económico de la Seguridad Social y, por consiguiente, el orden constitucional de distribución de competencias.</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3 de noviembre de 2015, el Pleno, a propuesta de la Sección Primera, acordó admitir a trámite el recurso de inconstitucionalidad promovido por el Gobierno Vasco;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registrado el 12 de noviembre de 2015, el Abogado del Estado se personó en nombre del Gobierno solicitando una prórroga en el plazo inicialmente concedido para la formulación de alegaciones, prórroga que le fue concedida por providencia del Pleno de 16 de noviembre de 2015.</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escrito registrado con fecha 17 de noviembre de 2015 el Presidente del Senado comunicó el acuerdo de la Mesa de la Cámara de personarse en el procedimiento y ofrecer su colaboración a los efectos del art. 88.1 LOTC. Lo mismo hizo el Presidente del Congreso de los Diputados por escrito registrado el día 26 de noviembre de 2015.</w:t>
      </w:r>
    </w:p>
    <w:p w:rsidR="00163957" w:rsidRDefault="00163957" w:rsidP="00163957">
      <w:pPr>
        <w:pStyle w:val="TextoNormal"/>
      </w:pPr>
    </w:p>
    <w:p w:rsidR="00163957" w:rsidRDefault="00163957" w:rsidP="00163957">
      <w:pPr>
        <w:pStyle w:val="TextoNormal"/>
      </w:pPr>
      <w:r w:rsidRPr="00163957">
        <w:rPr>
          <w:rStyle w:val="NumeroAFNegritaCaracter"/>
        </w:rPr>
        <w:t>5</w:t>
      </w:r>
      <w:r>
        <w:t>. Las alegaciones presentadas por el Abogado del Estado fueron registradas en este Tribunal el día 14 de diciembre de 2015.</w:t>
      </w:r>
    </w:p>
    <w:p w:rsidR="00163957" w:rsidRDefault="00163957" w:rsidP="00163957">
      <w:pPr>
        <w:pStyle w:val="TextoNormal"/>
      </w:pPr>
    </w:p>
    <w:p w:rsidR="00163957" w:rsidRDefault="00163957" w:rsidP="00163957">
      <w:pPr>
        <w:pStyle w:val="TextoNormal"/>
      </w:pPr>
      <w:r>
        <w:t xml:space="preserve">Tras reproducir las disposiciones impugnadas, el Abogado del Estado alega que se ha incumplido la carga de fundamentar su inconstitucionalidad. Señala que el objetivo principal de la norma es concretar el ejercicio, en el ámbito de sus competencias, y con carácter abstracto, de la potestad sancionadora de la Administración del Estado en el ámbito de las infracciones del orden social. Lo que establece la reforma es una habilitación al reglamento para regular en adelante la concreción de los órganos sancionadores competentes (disposición final, primera apartado primero), en el ámbito de la Administración general del Estado, con mantenimiento —disposición transitoria segunda— del régimen vigente, incluidas las previsiones del art. 48 del Real Decreto Legislativo 5/2000 previas a la reforma legal. Siendo ese el contenido de las normas impugnadas, el Abogado del Estado argumenta que no se comprende muy bien cuál es el objeto específico de este recurso. La demanda lo vincula al que se tramita con el núm. 7134/2014, interpuesto por el Gobierno Vasco contra los arts. 7 y 8.5 de la Ley 1/2014, de 28 de febrero, para la protección de los trabajadores a tiempo parcial y otras medidas urgentes en el orden económico y social. Sin embargo, no es ese el contenido ni de la disposición final primera ni de la disposición transitoria segunda y los reproches de inconstitucionalidad se dirigen en realidad no a los preceptos impugnados en este recurso, sino a los de la Ley 1/2014. Según el Abogado del Estado “[E]n el escrito de demanda no se explica, más allá de la afirmación de que la Ley 23/2015 mantiene el </w:t>
      </w:r>
      <w:r>
        <w:lastRenderedPageBreak/>
        <w:t>régimen jurídico vigente, en qué medida los preceptos impugnados vulneran el sistema de distribución competencial en la materia”, sin que nada quepa reprochar al apartado 1 en relación con la disposición transitoria segunda que se limita a modificar la competencia de la Administración del Estado en la materia, sin incidir en modo alguno en las materias objeto de reivindicación competencial. Por ello estima el Abogado del Estado que “la parte demandante no ha levantado la carga de alegar los motivos de inconstitucionalidad de los preceptos impugnados de forma adecuada, habiéndose limitado a realizar una queja genérica relativa a las disposiciones impugnadas”, que debería llevar a la desestimación del recurso de inconstitucionalidad.</w:t>
      </w:r>
    </w:p>
    <w:p w:rsidR="00163957" w:rsidRDefault="00163957" w:rsidP="00163957">
      <w:pPr>
        <w:pStyle w:val="TextoNormal"/>
      </w:pPr>
    </w:p>
    <w:p w:rsidR="00163957" w:rsidRDefault="00163957" w:rsidP="00163957">
      <w:pPr>
        <w:pStyle w:val="TextoNormal"/>
      </w:pPr>
      <w:r>
        <w:t>De modo subsidiario, para el caso de que no se estimase la anterior alegación, el Abogado del Estado se remite a las formuladas en el ya mencionado recurso de inconstitucionalidad núm. 7134-2014, que quedaron recogidas en el antecedente 5 de la STC 272/2015, de 17 de diciembre.</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2 de febrero de 2016 se señaló para deliberación y votación de la presente Sentencia el día 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presente resolución tiene por objeto resolver el recurso de inconstitucionalidad interpuesto por el Gobierno Vasco contra la disposición final primera y, por conexión con ella, la disposición transitoria segunda de la Ley 23/2015, de 21 de julio, ordenadora del Sistema de inspección de trabajo y Seguridad Social.</w:t>
      </w:r>
    </w:p>
    <w:p w:rsidR="00163957" w:rsidRDefault="00163957" w:rsidP="00163957">
      <w:pPr>
        <w:pStyle w:val="TextoNormal"/>
      </w:pPr>
    </w:p>
    <w:p w:rsidR="00163957" w:rsidRDefault="00163957" w:rsidP="00163957">
      <w:pPr>
        <w:pStyle w:val="TextoNormal"/>
      </w:pPr>
      <w:r>
        <w:t>Los preceptos impugnados disponen lo siguiente:</w:t>
      </w:r>
    </w:p>
    <w:p w:rsidR="00163957" w:rsidRDefault="00163957" w:rsidP="00163957">
      <w:pPr>
        <w:pStyle w:val="TextoNormal"/>
      </w:pPr>
    </w:p>
    <w:p w:rsidR="00163957" w:rsidRDefault="00163957" w:rsidP="00163957">
      <w:pPr>
        <w:pStyle w:val="TextoNormal"/>
      </w:pPr>
      <w:r>
        <w:t>Disposición final primera. Modificación del texto refundido de la Ley sobre infracciones y sanciones en el orden social, aprobado por el Real Decreto Legislativo 5/2000, de 4 de agosto.</w:t>
      </w:r>
    </w:p>
    <w:p w:rsidR="00163957" w:rsidRDefault="00163957" w:rsidP="00163957">
      <w:pPr>
        <w:pStyle w:val="TextoNormal"/>
      </w:pPr>
    </w:p>
    <w:p w:rsidR="00163957" w:rsidRDefault="00163957" w:rsidP="00163957">
      <w:pPr>
        <w:pStyle w:val="TextoNormal"/>
      </w:pPr>
      <w:r>
        <w:t>El artículo 48 del texto refundido de la Ley sobre infracciones y sanciones en el orden social, aprobado por el Real Decreto Legislativo 5/2000, de 4 de agosto, queda redactado como sigue:</w:t>
      </w:r>
    </w:p>
    <w:p w:rsidR="00163957" w:rsidRDefault="00163957" w:rsidP="00163957">
      <w:pPr>
        <w:pStyle w:val="TextoNormal"/>
      </w:pPr>
    </w:p>
    <w:p w:rsidR="00163957" w:rsidRDefault="00163957" w:rsidP="00163957">
      <w:pPr>
        <w:pStyle w:val="TextoNormal"/>
      </w:pPr>
      <w:r>
        <w:t>“Artículo 48. Atribución de competencias sancionadoras.</w:t>
      </w:r>
    </w:p>
    <w:p w:rsidR="00163957" w:rsidRDefault="00163957" w:rsidP="00163957">
      <w:pPr>
        <w:pStyle w:val="TextoNormal"/>
      </w:pPr>
    </w:p>
    <w:p w:rsidR="00163957" w:rsidRDefault="00163957" w:rsidP="00163957">
      <w:pPr>
        <w:pStyle w:val="TextoNormal"/>
      </w:pPr>
      <w:r>
        <w:t>1. El ejercicio de la potestad sancionadora respecto de las infracciones del orden social en el ámbito de la Administración General del Estado corresponderá al órgano competente, según lo que reglamentariamente se disponga.</w:t>
      </w:r>
    </w:p>
    <w:p w:rsidR="00163957" w:rsidRDefault="00163957" w:rsidP="00163957">
      <w:pPr>
        <w:pStyle w:val="TextoNormal"/>
      </w:pPr>
    </w:p>
    <w:p w:rsidR="00163957" w:rsidRDefault="00163957" w:rsidP="00163957">
      <w:pPr>
        <w:pStyle w:val="TextoNormal"/>
      </w:pPr>
      <w:r>
        <w:t>2. El ejercicio de la potestad sancionadora respecto de las infracciones del orden social, cuando corresponda a la Administración de las Comunidades Autónomas con competencia en materia de ejecución de la legislación del orden social, se ejercerá por los órganos y con los límites de distribución que determine cada Comunidad Autónoma.</w:t>
      </w:r>
    </w:p>
    <w:p w:rsidR="00163957" w:rsidRDefault="00163957" w:rsidP="00163957">
      <w:pPr>
        <w:pStyle w:val="TextoNormal"/>
      </w:pPr>
    </w:p>
    <w:p w:rsidR="00163957" w:rsidRDefault="00163957" w:rsidP="00163957">
      <w:pPr>
        <w:pStyle w:val="TextoNormal"/>
      </w:pPr>
      <w:r>
        <w:lastRenderedPageBreak/>
        <w:t>3. La potestad para acordar las sanciones accesorias establecidas en esta ley corresponderá a quien la ostente para imponer las de carácter principal de las que deriven aquéllas.”</w:t>
      </w:r>
    </w:p>
    <w:p w:rsidR="00163957" w:rsidRDefault="00163957" w:rsidP="00163957">
      <w:pPr>
        <w:pStyle w:val="TextoNormal"/>
      </w:pPr>
    </w:p>
    <w:p w:rsidR="00163957" w:rsidRDefault="00163957" w:rsidP="00163957">
      <w:pPr>
        <w:pStyle w:val="TextoNormal"/>
      </w:pPr>
      <w:r>
        <w:t>“Disposición transitoria segunda. Régimen transitorio en la atribución de competencias sancionadoras.</w:t>
      </w:r>
    </w:p>
    <w:p w:rsidR="00163957" w:rsidRDefault="00163957" w:rsidP="00163957">
      <w:pPr>
        <w:pStyle w:val="TextoNormal"/>
      </w:pPr>
    </w:p>
    <w:p w:rsidR="00163957" w:rsidRDefault="00163957" w:rsidP="00163957">
      <w:pPr>
        <w:pStyle w:val="TextoNormal"/>
      </w:pPr>
      <w:r>
        <w:t>Hasta tanto no entren en vigor las disposiciones reglamentarias que se aprueben en desarrollo del artículo 48.1 del texto refundido de la Ley sobre Infracciones y Sanciones en el Orden Social, aprobado por el Real Decreto Legislativo 5/2000, de 4 de agosto, en la redacción dada por la disposición final primera de la presente ley, continuará siendo de aplicación la regulación en materia de atribución de competencias sancionadoras existente con anterioridad a la entrada en vigor de esta ley.”</w:t>
      </w:r>
    </w:p>
    <w:p w:rsidR="00163957" w:rsidRDefault="00163957" w:rsidP="00163957">
      <w:pPr>
        <w:pStyle w:val="TextoNormal"/>
      </w:pPr>
    </w:p>
    <w:p w:rsidR="00163957" w:rsidRDefault="00163957" w:rsidP="00163957">
      <w:pPr>
        <w:pStyle w:val="TextoNormal"/>
      </w:pPr>
      <w:r>
        <w:t>Como se ha recogido en los antecedentes, la representación procesal del Gobierno Vasco considera que, por la razones que ya expresó con ocasión del recurso de inconstitucionalidad interpuesto contra los arts. 7 y 8.5 de la Ley 1/2014, de 28 de febrero, para la protección de los trabajadores a tiempo parcial y otras medidas urgentes en el orden económico y social, ambos preceptos exceden de la competencia estatal en materia de Seguridad Social (art. 149.1.17 CE), en cuanto que atribuye al Servicio público de empleo estatal (o en su caso al Instituto Social de la Marina), la competencia para sancionar determinadas conductas, desapoderando al Gobierno Vasco de su competencia sancionadora en materia de Seguridad Social, recogida en el art. 18.2 a) del Estatuto de Autonomía del País Vasco (EAPV). Subsidiariamente, solicita que se declaren inconstitucionales por vulnerar el art. 18.2 b) EAPV, que atribuye a la Comunidad Autónoma del País Vasco competencia sobre la gestión del régimen económico de la Seguridad Social; sin declarar su nulidad, dado que no han sido llevadas a efecto las previsiones de la disposición transitoria quinta EAPV. El Abogado del Estado ha estimado que el recurso debe ser inadmitido o desestimado por el incumplimiento de la carga alegatoria o por la falta de fundamento de la impugnación. Subsidiariamente, ha negado la pretendida contravención del sistema de distribución de competencias, pues niega que la configuración de las infracciones y sanciones en materia de desempleo que resulta de los preceptos impugnados pretenda desapoderar las competencias autonómicas.</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análisis de los preceptos impugnados y de las concretas tachas de inconstitucionalidad aducidas, debemos examinar la alegación formulada por el Abogado del Estado en relación con el incumplimiento de la carga de fundamentar la inconstitucionalidad de las normas impugnadas.</w:t>
      </w:r>
    </w:p>
    <w:p w:rsidR="00163957" w:rsidRDefault="00163957" w:rsidP="00163957">
      <w:pPr>
        <w:pStyle w:val="TextoNormal"/>
      </w:pPr>
    </w:p>
    <w:p w:rsidR="00163957" w:rsidRDefault="00163957" w:rsidP="00163957">
      <w:pPr>
        <w:pStyle w:val="TextoNormal"/>
      </w:pPr>
      <w:r>
        <w:t>Es doctrina reiterada de este Tribunal que “no basta con postular la inconstitucionalidad de una norma mediante la mera invocación formal de una serie de preceptos del bloque de constitucionalidad para que este Tribunal deba pronunciarse sobre la vulneración por la norma impugnada de todos y cada uno de ellos, sino que es preciso que el recurso presentado al efecto contenga la argumentación específica que fundamente la presunta contradicción constitucional” (por todas, STC 217/2013, de 19 de diciembre, FJ 1).</w:t>
      </w:r>
    </w:p>
    <w:p w:rsidR="00163957" w:rsidRDefault="00163957" w:rsidP="00163957">
      <w:pPr>
        <w:pStyle w:val="TextoNormal"/>
      </w:pPr>
    </w:p>
    <w:p w:rsidR="00163957" w:rsidRDefault="00163957" w:rsidP="00163957">
      <w:pPr>
        <w:pStyle w:val="TextoNormal"/>
      </w:pPr>
      <w:r>
        <w:t xml:space="preserve">Atendiendo a este criterio, no se puede estimar la alegación formulada por el Abogado del Estado, pues tal y como hemos expuesto en los antecedentes, la Comunidad Autónoma ejerce una concreta reivindicación competencial que se fundamenta, con carácter principal, </w:t>
      </w:r>
      <w:r>
        <w:lastRenderedPageBreak/>
        <w:t>en que las disposiciones que impugna ratifican y mantienen una delimitación de competencias en materia sancionadora que el recurrente estima contraria al orden constitucional de delimitación de competencias y que había cuestionado en un recurso de inconstitucionalidad anterior. Por lo tanto, más allá de las legítimas discrepancias, el Gobierno Vasco ha planteado una reivindicación competencial fundada en una argumentación suficiente, aun cuando lo sea por relación a argumentos ya expuestos con ocasión de otro proceso constitucional, lo que requiere el necesario pronunciamiento del este Tribunal en cuanto al fondo del asunto planteado (en un sentido similar, STC 121/2014, de 17 de julio, FJ 2).</w:t>
      </w:r>
    </w:p>
    <w:p w:rsidR="00163957" w:rsidRDefault="00163957" w:rsidP="00163957">
      <w:pPr>
        <w:pStyle w:val="TextoNormal"/>
      </w:pPr>
    </w:p>
    <w:p w:rsidR="00163957" w:rsidRDefault="00163957" w:rsidP="00163957">
      <w:pPr>
        <w:pStyle w:val="TextoNormal"/>
      </w:pPr>
      <w:r w:rsidRPr="00163957">
        <w:rPr>
          <w:rStyle w:val="NumeroAFNegritaCaracter"/>
        </w:rPr>
        <w:t>3</w:t>
      </w:r>
      <w:r>
        <w:t>. Entrando ahora en el fondo del asunto, se debe proceder al análisis de las normas impugnadas. Análisis en el que debemos tener muy presente la doctrina de la STC 272/2015, de 17 de diciembre, en la que este Tribunal declaró la inconstitucionalidad y nulidad de los arts. 7 y 8.5 de la Ley 1/2014, de 28 de febrero, para la protección de los trabajadores a tiempo parcial y otras medidas urgentes en el orden económico y social.</w:t>
      </w:r>
    </w:p>
    <w:p w:rsidR="00163957" w:rsidRDefault="00163957" w:rsidP="00163957">
      <w:pPr>
        <w:pStyle w:val="TextoNormal"/>
      </w:pPr>
    </w:p>
    <w:p w:rsidR="00163957" w:rsidRDefault="00163957" w:rsidP="00163957">
      <w:pPr>
        <w:pStyle w:val="TextoNormal"/>
      </w:pPr>
      <w:r>
        <w:t>La impugnación de la disposición final primera de la Ley 23/2015, circunscrita en realidad al nuevo art. 48.1 del texto refundido de la Ley sobre infracciones y sanciones en el orden social, ha de ser desestimada. El precepto incluye una remisión al reglamento para determinar a qué órgano compete el ejercicio de la potestad sancionadora respecto de las infracciones del orden social en el ámbito de la Administración general del Estado, pero sin determinar cuáles hayan de ser estas infracciones. Por tanto, siendo indiscutido que el Estado ostenta competencias en esta materia en los términos de nuestra doctrina (STC 272/2015, FJ 3 y las allí citadas), resulta que la norma impugnada es una regulación establecida de acuerdo con la potestad de autoorganización que le corresponde al Estado, sin que, por lo demás, de dichas previsiones se derive atribución competencial alguna.</w:t>
      </w:r>
    </w:p>
    <w:p w:rsidR="00163957" w:rsidRDefault="00163957" w:rsidP="00163957">
      <w:pPr>
        <w:pStyle w:val="TextoNormal"/>
      </w:pPr>
    </w:p>
    <w:p w:rsidR="00163957" w:rsidRDefault="00163957" w:rsidP="00163957">
      <w:pPr>
        <w:pStyle w:val="TextoNormal"/>
      </w:pPr>
      <w:r>
        <w:t>En consecuencia, ninguna vulneración de las competencias de la Comunidad Autónoma puede generar esta norma porque, por sí misma, no es susceptible de generarla.</w:t>
      </w:r>
    </w:p>
    <w:p w:rsidR="00163957" w:rsidRDefault="00163957" w:rsidP="00163957">
      <w:pPr>
        <w:pStyle w:val="TextoNormal"/>
      </w:pPr>
    </w:p>
    <w:p w:rsidR="00163957" w:rsidRDefault="00163957" w:rsidP="00163957">
      <w:pPr>
        <w:pStyle w:val="TextoNormal"/>
      </w:pPr>
      <w:r>
        <w:t>Bien que por una razón diferente, igualmente debe ser desestimada la impugnación de la disposición transitoria segunda. Esta norma dispone que el nuevo régimen de atribución de competencias sancionadoras previsto en la disposición final primera de la Ley 23/2015, no resulta de aplicación hasta que no entren en vigor las disposiciones reglamentarias que se aprueben en desarrollo del art. 48.1 de la Ley de infracciones y sanciones del orden social, en la redacción dada por la citada disposición final primera. Hasta ese momento “continuará siendo de aplicación la regulación en materia de atribución de competencias sancionadoras existente con anterioridad a la entrada en vigor de esta Ley”.</w:t>
      </w:r>
    </w:p>
    <w:p w:rsidR="00163957" w:rsidRDefault="00163957" w:rsidP="00163957">
      <w:pPr>
        <w:pStyle w:val="TextoNormal"/>
      </w:pPr>
    </w:p>
    <w:p w:rsidR="00163957" w:rsidRDefault="00163957" w:rsidP="00163957">
      <w:pPr>
        <w:pStyle w:val="TextoNormal"/>
      </w:pPr>
      <w:r>
        <w:t>La disposición transitoria segunda se ha impugnado en razón de la remisión que contenía, entre otros, a los arts. 7 y 8.5 de la Ley 1/2014, de 28 de febrero, para la protección de los trabajadores a tiempo parcial y otras medidas urgentes en el orden económico y social. Preceptos que atribuían a órganos estatales (el Servicio Público de Empleo Estatal o el Instituto Social de la Marina, en el caso del régimen especial de la Seguridad Social de los trabajadores del mar), la competencia para sancionar determinadas conductas tipificadas en el art. 24.4 de la Ley de infracciones y sanciones del orden social.</w:t>
      </w:r>
    </w:p>
    <w:p w:rsidR="00163957" w:rsidRDefault="00163957" w:rsidP="00163957">
      <w:pPr>
        <w:pStyle w:val="TextoNormal"/>
      </w:pPr>
    </w:p>
    <w:p w:rsidR="00163957" w:rsidRDefault="00163957" w:rsidP="00163957">
      <w:pPr>
        <w:pStyle w:val="TextoNormal"/>
      </w:pPr>
      <w:r>
        <w:t xml:space="preserve">Como ya se ha señalado, la STC 272/2015 ha declarado inconstitucionales y nulos el art. 7 de la Ley 1/2014, en la redacción que daba al último inciso del párrafo segundo del art. </w:t>
      </w:r>
      <w:r>
        <w:lastRenderedPageBreak/>
        <w:t>27.4 de la Ley de empleo: “y será documento suficiente para que el Servicio Público de Empleo Estatal o, en su caso, el Instituto Social de la Marina, inicie el procedimiento sancionador que corresponda”, y el art. 8.5 de la Ley 1/2014, en cuanto daba nueva redacción al art. 48.5 de la Ley de infracciones y sanciones del orden social atribuyendo la titularidad de la potestad para sancionar las conductas descritas en el art. 24.4 a) y b) de la Ley de infracciones y sanciones del orden social a un órgano estatal, el Servicio público de empleo estatal (o, en su caso, el Instituto Social de la Marina).</w:t>
      </w:r>
    </w:p>
    <w:p w:rsidR="00163957" w:rsidRDefault="00163957" w:rsidP="00163957">
      <w:pPr>
        <w:pStyle w:val="TextoNormal"/>
      </w:pPr>
    </w:p>
    <w:p w:rsidR="00163957" w:rsidRDefault="00163957" w:rsidP="00163957">
      <w:pPr>
        <w:pStyle w:val="TextoNormal"/>
      </w:pPr>
      <w:r>
        <w:t>Resulta de ello que la remisión de la disposición transitoria segunda se hace ahora a una regulación en materia de atribución de competencias sancionadoras que ya ha sido depurada de inconstitucionalidad, por lo que el recurso debe ser desestimado en este punto (en un sentido similar, STC 46/2015, de 5 de marzo, FJ 3).</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presente recurso de inconstitucionalidad.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cuatro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25" w:name="SENTENCIA_2016_22"/>
      <w:r>
        <w:lastRenderedPageBreak/>
        <w:t>SENTENCIA 22/2016, de 15 de febrero de 2016</w:t>
      </w:r>
    </w:p>
    <w:bookmarkEnd w:id="25"/>
    <w:p w:rsidR="00163957" w:rsidRDefault="00163957" w:rsidP="00163957">
      <w:pPr>
        <w:pStyle w:val="TtuloResolucin"/>
      </w:pPr>
      <w:r>
        <w:t>Sala Segunda</w:t>
      </w:r>
    </w:p>
    <w:p w:rsidR="00163957" w:rsidRDefault="00163957" w:rsidP="00163957">
      <w:pPr>
        <w:pStyle w:val="TtuloBOE"/>
      </w:pPr>
      <w:r>
        <w:t>(BOE núm. 71, de 23 de marzo de 2016)</w:t>
      </w:r>
    </w:p>
    <w:p w:rsidR="00163957" w:rsidRDefault="00163957" w:rsidP="00163957">
      <w:pPr>
        <w:pStyle w:val="TextoNormalCentrado"/>
      </w:pPr>
      <w:r>
        <w:t>ECLI:ES:TC:2016:22</w:t>
      </w:r>
    </w:p>
    <w:p w:rsidR="00163957" w:rsidRDefault="00163957" w:rsidP="00163957">
      <w:pPr>
        <w:pStyle w:val="TextoNormalCentrado"/>
      </w:pPr>
    </w:p>
    <w:p w:rsidR="00163957" w:rsidRDefault="00163957" w:rsidP="00163957">
      <w:pPr>
        <w:pStyle w:val="SntesisDescriptiva"/>
      </w:pPr>
      <w:r>
        <w:t>Recurso de amparo 3689-2014. Promovido por el Fiscal ante el Tribunal Constitucional en relación con las resoluciones adoptadas por la Audiencia Provincial y un Juzgado de Primera Instancia de Las Palmas de Gran Canaria que acordaron un internamiento urgente por trastorno psíquico.</w:t>
      </w:r>
    </w:p>
    <w:p w:rsidR="00163957" w:rsidRDefault="00163957" w:rsidP="00163957">
      <w:pPr>
        <w:pStyle w:val="SntesisDescriptiva"/>
      </w:pPr>
    </w:p>
    <w:p w:rsidR="00163957" w:rsidRDefault="00163957" w:rsidP="00163957">
      <w:pPr>
        <w:pStyle w:val="SntesisAnaltica"/>
      </w:pPr>
      <w:r>
        <w:t>Vulneración del derecho a la libertad personal: privación de representación y defensa en la instancia que no puede entenderse reparada por la interposición posterior de recurso de apelación.</w:t>
      </w:r>
    </w:p>
    <w:p w:rsidR="00163957" w:rsidRDefault="00163957" w:rsidP="00163957">
      <w:pPr>
        <w:pStyle w:val="SntesisAnaltica"/>
      </w:pPr>
    </w:p>
    <w:p w:rsidR="00163957" w:rsidRDefault="00163957" w:rsidP="00163957">
      <w:pPr>
        <w:pStyle w:val="Extracto"/>
      </w:pPr>
      <w:r>
        <w:t>1.</w:t>
      </w:r>
      <w:r>
        <w:tab/>
        <w:t>La negación de representación procesal y defensa produjo la vulneración del derecho a la asistencia jurídica que, en el ámbito de las garantías del proceso de internamiento involuntario, se reconduce a una lesión del derecho a la libertad personal del art. 17.1 CE [FJ 6].</w:t>
      </w:r>
    </w:p>
    <w:p w:rsidR="00163957" w:rsidRDefault="00163957" w:rsidP="00163957">
      <w:pPr>
        <w:pStyle w:val="Extracto"/>
      </w:pPr>
    </w:p>
    <w:p w:rsidR="00163957" w:rsidRDefault="00163957" w:rsidP="00163957">
      <w:pPr>
        <w:pStyle w:val="Extracto"/>
      </w:pPr>
      <w:r>
        <w:t>2.</w:t>
      </w:r>
      <w:r>
        <w:tab/>
        <w:t>El Juzgado optó por poner fin al proceso dictando el Auto de ratificación el mismo día en que abrió la causa y con anterioridad a que se nombrase abogado y procurador de oficio, lo que impedía ya toda asistencia jurídica a favor de la afectada en la primera instancia [FJ 5].</w:t>
      </w:r>
    </w:p>
    <w:p w:rsidR="00163957" w:rsidRDefault="00163957" w:rsidP="00163957">
      <w:pPr>
        <w:pStyle w:val="Extracto"/>
      </w:pPr>
    </w:p>
    <w:p w:rsidR="00163957" w:rsidRDefault="00163957" w:rsidP="00163957">
      <w:pPr>
        <w:pStyle w:val="Extracto"/>
      </w:pPr>
      <w:r>
        <w:t>3.</w:t>
      </w:r>
      <w:r>
        <w:tab/>
        <w:t>El hecho de que la legislación procesal garantice la posibilidad de recurso de apelación contra la decisión adoptada, no legitima la privación de una garantía esencial del procedimiento de primera instancia [FJ 5].</w:t>
      </w:r>
    </w:p>
    <w:p w:rsidR="00163957" w:rsidRDefault="00163957" w:rsidP="00163957">
      <w:pPr>
        <w:pStyle w:val="Extracto"/>
      </w:pPr>
    </w:p>
    <w:p w:rsidR="00163957" w:rsidRDefault="00163957" w:rsidP="00163957">
      <w:pPr>
        <w:pStyle w:val="Extracto"/>
      </w:pPr>
      <w:r>
        <w:t>4.</w:t>
      </w:r>
      <w:r>
        <w:tab/>
        <w:t>Doctrina sobre el derecho a la asistencia jurídica en los procesos sobre capacidad de las personas (SSTC 7/2011, 141/2012) [FJ 4].</w:t>
      </w:r>
    </w:p>
    <w:p w:rsidR="00163957" w:rsidRDefault="00163957" w:rsidP="00163957">
      <w:pPr>
        <w:pStyle w:val="Extracto"/>
      </w:pPr>
    </w:p>
    <w:p w:rsidR="00163957" w:rsidRDefault="00163957" w:rsidP="00163957">
      <w:pPr>
        <w:pStyle w:val="Extracto"/>
      </w:pPr>
      <w:r>
        <w:t>5.</w:t>
      </w:r>
      <w:r>
        <w:tab/>
        <w:t>Se cumple el presupuesto subjetivo de la legitimación activa del Fiscal del proceso a quo, para plantear recurso de amparo ante el Tribunal Constitucional, como portador del interés público en la integridad y efectividad de los derechos controvertidos [FJ 2].</w:t>
      </w:r>
    </w:p>
    <w:p w:rsidR="00163957" w:rsidRDefault="00163957" w:rsidP="00163957">
      <w:pPr>
        <w:pStyle w:val="Extracto"/>
      </w:pPr>
    </w:p>
    <w:p w:rsidR="00163957" w:rsidRDefault="00163957" w:rsidP="00163957">
      <w:pPr>
        <w:pStyle w:val="Extracto"/>
      </w:pPr>
      <w:r>
        <w:t>6.</w:t>
      </w:r>
      <w:r>
        <w:tab/>
        <w:t>Doctrina sobre la legitimación activa del Ministerio Fiscal,  en un recurso de amparo, en defensa de derechos fundamentales de los ciudadanos y para denunciar la vulneración del derecho a la tutela judicial efectiva  (17/2006) [FJ 2].</w:t>
      </w:r>
    </w:p>
    <w:p w:rsidR="00163957" w:rsidRDefault="00163957" w:rsidP="00163957">
      <w:pPr>
        <w:pStyle w:val="Extracto"/>
      </w:pPr>
    </w:p>
    <w:p w:rsidR="00163957" w:rsidRDefault="00163957" w:rsidP="00163957">
      <w:pPr>
        <w:pStyle w:val="Extracto"/>
      </w:pPr>
      <w:r>
        <w:t>7.</w:t>
      </w:r>
      <w:r>
        <w:tab/>
        <w:t>Concurre el presupuesto objetivo de la especial trascendencia constitucional del recurso, consistente en aclarar la doctrina sobre el contenido y alcance del derecho de asistencia jurídica de la persona sometida a un procedimiento de internamiento por trastorno psíquico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 xml:space="preserve">La Sala Segunda del Tribunal Constitucional, compuesta por doña Adela Asua Batarrita, Presidenta, don Fernando Valdés Dal-Ré, don Juan José González Rivas, don Pedro José </w:t>
      </w:r>
      <w:r>
        <w:lastRenderedPageBreak/>
        <w:t>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3689-2014, promovido por el Fiscal ante el Tribunal Constitucional, contra el Auto del Juzgado de Primera Instancia núm. 15 de Las Palmas de Gran Canaria, de 5 de marzo de 2014, que ratifica una medida de internamiento urgente por trastorno psíquico, y contra el Auto de la Sección Tercera de la Audiencia Provincial de Las Palmas de Gran Canaria, de 30 de abril de 2014, que desestimó el recurso de apelación interpuesto contra la anterior resolución. Ha sido Ponente la Magistrada doña Adela Asua Batarrita,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el 10 de junio de 2014, el Fiscal ante el Tribunal Constitucional promovió recurso de amparo contra las resoluciones judiciales a las que se ha hecho referencia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con relevancia para el presente recurso de amparo y a los que se refiere la demanda presentada, son los siguientes:</w:t>
      </w:r>
    </w:p>
    <w:p w:rsidR="00163957" w:rsidRDefault="00163957" w:rsidP="00163957">
      <w:pPr>
        <w:pStyle w:val="TextoNormal"/>
      </w:pPr>
    </w:p>
    <w:p w:rsidR="00163957" w:rsidRDefault="00163957" w:rsidP="00163957">
      <w:pPr>
        <w:pStyle w:val="TextoNormal"/>
      </w:pPr>
      <w:r>
        <w:t>a) Con fecha 3 de marzo de 2014, se recibió en el Decanato de los Juzgados de Las Palmas de Gran Canaria un escrito procedente del subdirector médico de admisión y documentación clínica del complejo hospitalario materno insular de Las Palmas de Gran Canaria, por el que comunicaba que según información cursada por la unidad de internamiento breve de psiquiatría del citado centro, la paciente doña F.I.G.M. ingresó de forma voluntaria en esa unidad el 19 de febrero de 2014, y habiendo solicitado su “externalización” en el día de la fecha (3 de marzo de 2014), se acoge el criterio facultativo de que “es preciso continuar el ingreso hasta que la situación clínica permita el alta hospitalaria. Es por ello por lo que se solicita autorización de internamiento involuntario de la paciente al comienzo mencionada”.</w:t>
      </w:r>
    </w:p>
    <w:p w:rsidR="00163957" w:rsidRDefault="00163957" w:rsidP="00163957">
      <w:pPr>
        <w:pStyle w:val="TextoNormal"/>
      </w:pPr>
    </w:p>
    <w:p w:rsidR="00163957" w:rsidRDefault="00163957" w:rsidP="00163957">
      <w:pPr>
        <w:pStyle w:val="TextoNormal"/>
      </w:pPr>
      <w:r>
        <w:t>Consta el sello de entrada de este escrito en el Juzgado de Primera Instancia núm. 15 de Las Palmas de Gran Canaria, procedente del Juzgado Decano, el 5 de marzo de 2014.</w:t>
      </w:r>
    </w:p>
    <w:p w:rsidR="00163957" w:rsidRDefault="00163957" w:rsidP="00163957">
      <w:pPr>
        <w:pStyle w:val="TextoNormal"/>
      </w:pPr>
    </w:p>
    <w:p w:rsidR="00163957" w:rsidRDefault="00163957" w:rsidP="00163957">
      <w:pPr>
        <w:pStyle w:val="TextoNormal"/>
      </w:pPr>
      <w:r>
        <w:t xml:space="preserve">b) La Secretaría del Juzgado de Primera Instancia núm. 15 de Las Palmas de Gran Canaria, al que fue turnado el escrito, dictó un decreto el 5 de marzo de 2014, teniendo por solicitada a dicho Juzgado una autorización para el internamiento involuntario de doña F.I.G.M. (procedimiento núm. 167-2014), acordando en su parte dispositiva lo que sigue: “INCOESE expediente en orden a la autorización necesaria del internamiento. Procédase al EXAMEN </w:t>
      </w:r>
      <w:r>
        <w:lastRenderedPageBreak/>
        <w:t>de la persona internada. Únase a las actuaciones el preceptivo DICTAMEN FACULTATIVO que deberá emitirse. Comuníquese al Centro Hospitalario la incoación del expediente. Verificado lo anterior pase lo actuado al Ministerio Fiscal para informe”.</w:t>
      </w:r>
    </w:p>
    <w:p w:rsidR="00163957" w:rsidRDefault="00163957" w:rsidP="00163957">
      <w:pPr>
        <w:pStyle w:val="TextoNormal"/>
      </w:pPr>
    </w:p>
    <w:p w:rsidR="00163957" w:rsidRDefault="00163957" w:rsidP="00163957">
      <w:pPr>
        <w:pStyle w:val="TextoNormal"/>
      </w:pPr>
      <w:r>
        <w:t>c) Constan en el expediente las siguientes actuaciones realizadas todas el 5 de marzo de 2014:</w:t>
      </w:r>
    </w:p>
    <w:p w:rsidR="00163957" w:rsidRDefault="00163957" w:rsidP="00163957">
      <w:pPr>
        <w:pStyle w:val="TextoNormal"/>
      </w:pPr>
    </w:p>
    <w:p w:rsidR="00163957" w:rsidRDefault="00163957" w:rsidP="00163957">
      <w:pPr>
        <w:pStyle w:val="TextoNormal"/>
      </w:pPr>
      <w:r>
        <w:t>(i) Dictamen de experto, suscrito por la facultativa designada por el Juzgado, quien compareció en el centro hospitalario y, tras reconocer a la internada, expone concisamente cuáles son los trastornos que considera que ésta padece, recomendando con base en los mismos que: “debe permanecer ingresada”.</w:t>
      </w:r>
    </w:p>
    <w:p w:rsidR="00163957" w:rsidRDefault="00163957" w:rsidP="00163957">
      <w:pPr>
        <w:pStyle w:val="TextoNormal"/>
      </w:pPr>
    </w:p>
    <w:p w:rsidR="00163957" w:rsidRDefault="00163957" w:rsidP="00163957">
      <w:pPr>
        <w:pStyle w:val="TextoNormal"/>
      </w:pPr>
      <w:r>
        <w:t>(ii) Examen de doña F.I.G.M. llevado a cabo por la Magistrada-Juez en el centro hospitalario, haciéndose constar en el acta que extiende la Secretaria del Juzgado, que doña F.I.G.M. manifiesta “que quiere un abogado”.</w:t>
      </w:r>
    </w:p>
    <w:p w:rsidR="00163957" w:rsidRDefault="00163957" w:rsidP="00163957">
      <w:pPr>
        <w:pStyle w:val="TextoNormal"/>
      </w:pPr>
    </w:p>
    <w:p w:rsidR="00163957" w:rsidRDefault="00163957" w:rsidP="00163957">
      <w:pPr>
        <w:pStyle w:val="TextoNormal"/>
      </w:pPr>
      <w:r>
        <w:t>(iii) Informe de transmisión por fax del Juzgado a la Fiscalía, dando traslado del escrito del hospital y de las dos pruebas practicadas.</w:t>
      </w:r>
    </w:p>
    <w:p w:rsidR="00163957" w:rsidRDefault="00163957" w:rsidP="00163957">
      <w:pPr>
        <w:pStyle w:val="TextoNormal"/>
      </w:pPr>
    </w:p>
    <w:p w:rsidR="00163957" w:rsidRDefault="00163957" w:rsidP="00163957">
      <w:pPr>
        <w:pStyle w:val="TextoNormal"/>
      </w:pPr>
      <w:r>
        <w:t>(iv) Auto del Juzgado por el que se provee a doña F.I.G.M. del beneficio de justicia gratuita, señalando que se trata “de un procedimiento en el que es preceptiva la intervención de Procurador y letrado de conformidad con lo previsto en el Art. 23 y 31 de la LEC”, y acordando requerir a los Colegios de Abogados y de Procuradores de Las Palmas de Gran Canaria para que efectúen “de forma inmediata” las designaciones de profesionales.</w:t>
      </w:r>
    </w:p>
    <w:p w:rsidR="00163957" w:rsidRDefault="00163957" w:rsidP="00163957">
      <w:pPr>
        <w:pStyle w:val="TextoNormal"/>
      </w:pPr>
    </w:p>
    <w:p w:rsidR="00163957" w:rsidRDefault="00163957" w:rsidP="00163957">
      <w:pPr>
        <w:pStyle w:val="TextoNormal"/>
      </w:pPr>
      <w:r>
        <w:t>Figuran al efecto sendos oficios dirigidos tanto al Colegio de Abogados de Las Palmas de Gran Canaria (remitido por fax el 5 de marzo a las 13:47 horas y de nuevo el 6 de marzo a las 14:01 horas), como al Colegio de Procuradores de Las Palmas de Gran Canaria (remitido por fax el 5 de marzo a las 13:50 horas y de nuevo el 6 de marzo, a las 14:03 horas).</w:t>
      </w:r>
    </w:p>
    <w:p w:rsidR="00163957" w:rsidRDefault="00163957" w:rsidP="00163957">
      <w:pPr>
        <w:pStyle w:val="TextoNormal"/>
      </w:pPr>
    </w:p>
    <w:p w:rsidR="00163957" w:rsidRDefault="00163957" w:rsidP="00163957">
      <w:pPr>
        <w:pStyle w:val="TextoNormal"/>
      </w:pPr>
      <w:r>
        <w:t>d) El propio día 5 de marzo de 2014, el Juzgado dictó un nuevo Auto con la siguiente dispositiva: “Se RATIFICA el internamiento de D./Dña. F.I.G.M. en el Centro COMPLEJO HOSPITALARIO MATERNO INSULAR, a los fines de que pueda recibir el tratamiento médico adecuado, debiendo informar a este Juzgado dicho Centro CADA SEIS MESES de su estado y evolución, y en todo caso, del alta médica cuando se produzca. Notifíquese al Ministerio Fiscal así como al referido Centro la presente resolución por la que se ratifica el internamiento quien deberá informar en el día de la fecha a la persona ingresada con entrega de copia de la presente resolución. Contra este auto cabe interponer recurso de APELACIÓN mediante la preparación ante este Tribunal en el plazo de CINCO DIAS”.</w:t>
      </w:r>
    </w:p>
    <w:p w:rsidR="00163957" w:rsidRDefault="00163957" w:rsidP="00163957">
      <w:pPr>
        <w:pStyle w:val="TextoNormal"/>
      </w:pPr>
    </w:p>
    <w:p w:rsidR="00163957" w:rsidRDefault="00163957" w:rsidP="00163957">
      <w:pPr>
        <w:pStyle w:val="TextoNormal"/>
      </w:pPr>
      <w:r>
        <w:t>Este Auto contiene un único fundamento de Derecho (aunque numerado como “PRIMERO”), con el siguiente texto:</w:t>
      </w:r>
    </w:p>
    <w:p w:rsidR="00163957" w:rsidRDefault="00163957" w:rsidP="00163957">
      <w:pPr>
        <w:pStyle w:val="TextoNormal"/>
      </w:pPr>
    </w:p>
    <w:p w:rsidR="00163957" w:rsidRDefault="00163957" w:rsidP="00163957">
      <w:pPr>
        <w:pStyle w:val="TextoNormal"/>
      </w:pPr>
      <w:r>
        <w:t xml:space="preserve">“A la vista de lo actuado, y teniendo en cuenta el contenido del Artículo 763 LEC, apreciando la existencia actual de trastorno psíquico de D./Dña. F.I.G.M. debe ratificarse su internamiento hospitalario en el Centro … donde permanecerá hasta su total recuperación, </w:t>
      </w:r>
      <w:r>
        <w:lastRenderedPageBreak/>
        <w:t>debiendo informar a este Juzgado dicho Centro la fecha de ingreso y el tiempo de permanencia si la misma excediere de seis meses, en cuyo caso deberán informar de su estado y evolución y en todo caso, del alta médica cuando se produzca.”</w:t>
      </w:r>
    </w:p>
    <w:p w:rsidR="00163957" w:rsidRDefault="00163957" w:rsidP="00163957">
      <w:pPr>
        <w:pStyle w:val="TextoNormal"/>
      </w:pPr>
    </w:p>
    <w:p w:rsidR="00163957" w:rsidRDefault="00163957" w:rsidP="00163957">
      <w:pPr>
        <w:pStyle w:val="TextoNormal"/>
      </w:pPr>
      <w:r>
        <w:t>e) El 6 de marzo de 2014 tuvo entrada en el Juzgado un escrito que llevaba fecha 5 de marzo de 2014, firmado por la Fiscal designada para actuar en el procedimiento, donde alega: “El Fiscal, evacuando el traslado que para informe le ha sido conferido, dice: Que, con carácter previo y toda vez que la internada Dña. F.I.G.M., ha manifestado su deseo de ser asistida de letrado, se interesa se proceda a dicho nombramiento y se dé traslado de las actuaciones al Letrado”.</w:t>
      </w:r>
    </w:p>
    <w:p w:rsidR="00163957" w:rsidRDefault="00163957" w:rsidP="00163957">
      <w:pPr>
        <w:pStyle w:val="TextoNormal"/>
      </w:pPr>
    </w:p>
    <w:p w:rsidR="00163957" w:rsidRDefault="00163957" w:rsidP="00163957">
      <w:pPr>
        <w:pStyle w:val="TextoNormal"/>
      </w:pPr>
      <w:r>
        <w:t>f) La Secretaría del Juzgado dictó diligencia de ordenación el día 6 de marzo, indicando: “El anterior escrito del Ministerio Fiscal, únase a los autos y estese a lo acordado por Autos dictados en el día de ayer, así como a la espera de que, los respectivos Colegios de Abogados y Procuradores, procedan a la designación de profesionales por el turno de oficio para la representación y defensa de la internada, a quienes les será notificada la resolución por la que se ratifica su internamiento, a los efectos de que, si lo consideran oportuno, puedan recurrirla”.</w:t>
      </w:r>
    </w:p>
    <w:p w:rsidR="00163957" w:rsidRDefault="00163957" w:rsidP="00163957">
      <w:pPr>
        <w:pStyle w:val="TextoNormal"/>
      </w:pPr>
    </w:p>
    <w:p w:rsidR="00163957" w:rsidRDefault="00163957" w:rsidP="00163957">
      <w:pPr>
        <w:pStyle w:val="TextoNormal"/>
      </w:pPr>
      <w:r>
        <w:t>g) El 7 de marzo de 2014 tuvieron entrada en el Juzgado dos escritos, uno procedente del Colegio de Procuradores de Las Palmas de Gran Canaria y otro del Colegio de Abogados de la misma capital, por el que se comunican los nombramientos provisionales requeridos.</w:t>
      </w:r>
    </w:p>
    <w:p w:rsidR="00163957" w:rsidRDefault="00163957" w:rsidP="00163957">
      <w:pPr>
        <w:pStyle w:val="TextoNormal"/>
      </w:pPr>
    </w:p>
    <w:p w:rsidR="00163957" w:rsidRDefault="00163957" w:rsidP="00163957">
      <w:pPr>
        <w:pStyle w:val="TextoNormal"/>
      </w:pPr>
      <w:r>
        <w:t>h) La Secretaría del Juzgado dictó diligencia de ordenación ese día 7 de marzo de 2014, en la que hizo constar que “[s]e tiene por personada y parte a Dña. F.I.G.M.”, con indicación de la Procuradora y Abogado de oficio, respectivamente designados. Y añade: “Se pone en conocimiento de dichos profesionales que su cliente se encuentra actualmente ingresada en el Complejo Hospitalario Materno Insular … y que el día 5 de Marzo de 2014 tras su reconocimiento médico y examen judicial, se dictó Auto de ratificación de su internamiento, el cual le será notificado a su Procuradora, de forma telemática, a efectos de apelación, quedando las actuaciones a su disposición en la secretaría del Juzgado para su debida instrucción”.</w:t>
      </w:r>
    </w:p>
    <w:p w:rsidR="00163957" w:rsidRDefault="00163957" w:rsidP="00163957">
      <w:pPr>
        <w:pStyle w:val="TextoNormal"/>
      </w:pPr>
    </w:p>
    <w:p w:rsidR="00163957" w:rsidRDefault="00163957" w:rsidP="00163957">
      <w:pPr>
        <w:pStyle w:val="TextoNormal"/>
      </w:pPr>
      <w:r>
        <w:t>i) La Fiscal actuante en el procedimiento presentó el 18 de marzo de 2014, escrito de interposición de recurso de apelación contra “el Auto de 5 de marzo de 2014, notificado en Fiscalía el pasado 6 de marzo, por infracción del artículo 763.3 de la Ley de Enjuiciamiento Civil y de los artículos 17.1 y 24.2 de la Constitución Española”. Se alega en el recurso la inobservancia de normas esenciales del procedimiento con resultado de indefensión para la persona afectada por la medida de internamiento: primero, porque dicha medida se ratifica por el Juzgado “con anterioridad a que el Ministerio Fiscal emite el informe preceptivo”, el cual se presentó dentro del plazo legal de 72 horas que tenía la autoridad judicial para resolver. Y segundo, porque no se garantizó a la persona internada su derecho de defensa letrada, en contra de lo previsto en el art. 763.3 de la Ley de enjuiciamiento civil (LEC), que lo garantiza “en todas las actuaciones”, teniendo en cuenta además que doña F.I.G.M. solicitó expresamente el nombramiento de Abogado. El escrito cita las SSTC 141/2012, de 2 de julio y 7/2011, de 14 de febrero.</w:t>
      </w:r>
    </w:p>
    <w:p w:rsidR="00163957" w:rsidRDefault="00163957" w:rsidP="00163957">
      <w:pPr>
        <w:pStyle w:val="TextoNormal"/>
      </w:pPr>
    </w:p>
    <w:p w:rsidR="00163957" w:rsidRDefault="00163957" w:rsidP="00163957">
      <w:pPr>
        <w:pStyle w:val="TextoNormal"/>
      </w:pPr>
      <w:r>
        <w:lastRenderedPageBreak/>
        <w:t xml:space="preserve">j) El recurso de apelación fue admitido a trámite por diligencia de ordenación de la Secretaría del Juzgado </w:t>
      </w:r>
      <w:r w:rsidRPr="00163957">
        <w:rPr>
          <w:i/>
        </w:rPr>
        <w:t>a quo</w:t>
      </w:r>
      <w:r>
        <w:t>, de 20 de marzo de 2014, dando traslado del mismo a la representación procesal de doña F.I.G.M, la cual presentó escrito el 20 de marzo de 2014 solicitando la rectificación del Auto, por error material, al disponerse en él que el plazo para apelar era de cinco días, cuando por ley corresponden veinte días. Conforme a lo solicitado, el Juzgado procedió a la rectificación por nuevo Auto de 24 de marzo de 2014.</w:t>
      </w:r>
    </w:p>
    <w:p w:rsidR="00163957" w:rsidRDefault="00163957" w:rsidP="00163957">
      <w:pPr>
        <w:pStyle w:val="TextoNormal"/>
      </w:pPr>
    </w:p>
    <w:p w:rsidR="00163957" w:rsidRDefault="00163957" w:rsidP="00163957">
      <w:pPr>
        <w:pStyle w:val="TextoNormal"/>
      </w:pPr>
      <w:r>
        <w:t>k) La Procuradora de doña F.I.G.M. presentó el 26 de marzo de 2014 escrito de manifestaciones, indicando que su representada había “expresado su voluntad inequívoca de no recurrir el citado auto de internamiento”, pese a lo cual dichos profesionales se adherían “en su totalidad” al recurso presentado por el Ministerio Fiscal.</w:t>
      </w:r>
    </w:p>
    <w:p w:rsidR="00163957" w:rsidRDefault="00163957" w:rsidP="00163957">
      <w:pPr>
        <w:pStyle w:val="TextoNormal"/>
      </w:pPr>
    </w:p>
    <w:p w:rsidR="00163957" w:rsidRDefault="00163957" w:rsidP="00163957">
      <w:pPr>
        <w:pStyle w:val="TextoNormal"/>
      </w:pPr>
      <w:r>
        <w:t>l) La Secretaría del Juzgado extendió diligencia de constancia el 10 de abril de 2014, del siguiente tenor: “[Q]ue en el día de la fecha, se ha recibido vía fax y con fecha de hoy, comunicación de la Unidad de Internamiento Breve del H.U.I.G.C., mediante la cual se informa que la paciente Dña. F.I.G.M., va a ser dada de alta con fecha 24 de marzo de 2014 sin que conste en este Juzgado comunicación anterior al respecto”, ordenando remitir dicha comunicación a la Sección competente de la Audiencia Provincial a la que ha correspondido el conocimiento del recurso. Consta unido a su vez al rollo de apelación, un “Comunicado de Alta de DÑA. F.I.G.M.”, fechado el 10 de abril de 2014, que remite el jefe del servicio de psiquiatría, unidad de internamiento breve del H.U.I.C., a la asesoría jurídica del complejo hospitalario materno-insular, indicando que la mencionada paciente será dada de alta en la fecha citada (24 de marzo de 2014).</w:t>
      </w:r>
    </w:p>
    <w:p w:rsidR="00163957" w:rsidRDefault="00163957" w:rsidP="00163957">
      <w:pPr>
        <w:pStyle w:val="TextoNormal"/>
      </w:pPr>
    </w:p>
    <w:p w:rsidR="00163957" w:rsidRDefault="00163957" w:rsidP="00163957">
      <w:pPr>
        <w:pStyle w:val="TextoNormal"/>
      </w:pPr>
      <w:r>
        <w:t>m) Con fecha 30 de abril de 2014, la Sección Tercera de la Audiencia Provincial de Las Palmas de Gran Canaria dictó Auto en el rollo de apelación núm. 216-2014, con la siguiente dispositiva: “LA SALA DIJO: Que desestimaba el recurso de apelación interpuesto por la FISCALÍA PROVINCIAL DE LAS PALMAS, contra el Auto de 17/06/2013, dictado por el Juzgado de 1ª Instancia 2 de Telde, el cual se confirma sin condena en costas”.</w:t>
      </w:r>
    </w:p>
    <w:p w:rsidR="00163957" w:rsidRDefault="00163957" w:rsidP="00163957">
      <w:pPr>
        <w:pStyle w:val="TextoNormal"/>
      </w:pPr>
    </w:p>
    <w:p w:rsidR="00163957" w:rsidRDefault="00163957" w:rsidP="00163957">
      <w:pPr>
        <w:pStyle w:val="TextoNormal"/>
      </w:pPr>
      <w:r>
        <w:t>El Auto, donde figuran como parte apelante el Ministerio Fiscal y doña F.I.G.M., sostiene en su fundamento jurídico segundo que no se ha producido la infracción de ninguna regla sustancial del procedimiento susceptible de causar una indefensión con “consecuencias prácticas”, esto es, “un perjuicio real y efectivo de los intereses del afectado por ella”, pues únicamente se constata:</w:t>
      </w:r>
    </w:p>
    <w:p w:rsidR="00163957" w:rsidRDefault="00163957" w:rsidP="00163957">
      <w:pPr>
        <w:pStyle w:val="TextoNormal"/>
      </w:pPr>
    </w:p>
    <w:p w:rsidR="00163957" w:rsidRDefault="00163957" w:rsidP="00163957">
      <w:pPr>
        <w:pStyle w:val="TextoNormal"/>
      </w:pPr>
      <w:r>
        <w:t>“[U]n error en el auto apelado cuando se transcribe que se ha evacuado por el Ministerio Fiscal informe favorable al internamiento, pero esta equivocación era y es susceptible de subsanación sin que deba originar el efecto de nulidad pretendido pues, al entender de este Tribunal, ninguno de los motivos alegados en el recurso son causantes de efectiva indefensión a la afectada en este procedimiento, ni se han violado sus derechos constitucionales pues realmente no se le ha privado de su derecho de defensa, ni de la oportunidad de combatir la resolución judicial cuya nulidad se interesa, como tampoco se le ha negado el derecho a la tutela judicial efectiva, ni siquiera el derecho a proponer prueba, que podría haber ejercitado su representación legal o el propio Ministerio Fiscal proponiéndola en la alzada.”</w:t>
      </w:r>
    </w:p>
    <w:p w:rsidR="00163957" w:rsidRDefault="00163957" w:rsidP="00163957">
      <w:pPr>
        <w:pStyle w:val="TextoNormal"/>
      </w:pPr>
    </w:p>
    <w:p w:rsidR="00163957" w:rsidRDefault="00163957" w:rsidP="00163957">
      <w:pPr>
        <w:pStyle w:val="TextoNormal"/>
      </w:pPr>
      <w:r>
        <w:t xml:space="preserve">A continuación el Auto descarta la vulneración del derecho a la asistencia jurídica, ya que sin negar que la resolución recurrida se dictó antes de disponerse del criterio del Fiscal </w:t>
      </w:r>
      <w:r>
        <w:lastRenderedPageBreak/>
        <w:t>y del abogado de la afectada, considera irrelevante lo solicitado por ambos con posterioridad:</w:t>
      </w:r>
    </w:p>
    <w:p w:rsidR="00163957" w:rsidRDefault="00163957" w:rsidP="00163957">
      <w:pPr>
        <w:pStyle w:val="TextoNormal"/>
      </w:pPr>
    </w:p>
    <w:p w:rsidR="00163957" w:rsidRDefault="00163957" w:rsidP="00163957">
      <w:pPr>
        <w:pStyle w:val="TextoNormal"/>
      </w:pPr>
      <w:r>
        <w:t>“Ninguna razón de fondo se aporta que implique la efectiva y material indefensión que se invoca. El informe evacuado por el Ministerio Fiscal con fecha 5 de marzo de 2014, que en efecto tuvo entrada en el juzgado el siguiente día 6, se limitaba a interesar que con carácter previo, habiendo manifestado Dª F.I. su deseo de ser asistida de Letrado, se procediera a dicho nombramiento y se diera traslado de las actuaciones al Letrado, cuando a entender de este Tribunal el informe del Ministerio Público podía haberse evacuado igualmente sin necesidad de esperar al nombramiento –que, por otra parte, ya se había interesado por el órgano judicial, vía fax, el mismo día 5 de marzo-; es más, ni siquiera con posterioridad al nombramiento ya realizado consta evacuado ese informe, ni mucho menos algún óbice material a la ratificación del internamiento que se acordó, no se olvide, en protección de la afectada. Tampoco los profesionales designados, aunque lo fueron con posterioridad (7 de marzo) opusieron objeción alguna al serles notificado el auto por el que se ratificaba el internamiento, en cuyo momento tuvieron oportunidad de hacer valer el derecho de defensa de su representada, es sólo al evacuar el traslado del recurso interpuesto por el Ministerio Fiscal cuando deciden impugnar el fallo adhiriéndose simplemente a los motivos formales invocados en la apelación sin ninguna razón de fondo que pudiera justificar su oposición a la ratificación del internamiento.”</w:t>
      </w:r>
    </w:p>
    <w:p w:rsidR="00163957" w:rsidRDefault="00163957" w:rsidP="00163957">
      <w:pPr>
        <w:pStyle w:val="TextoNormal"/>
      </w:pPr>
    </w:p>
    <w:p w:rsidR="00163957" w:rsidRDefault="00163957" w:rsidP="00163957">
      <w:pPr>
        <w:pStyle w:val="TextoNormal"/>
      </w:pPr>
      <w:r>
        <w:t>n) La representación procesal de doña F.I.G.M. presentó escrito el 16 de mayo de 2014, alegando error material del Auto de 30 de abril de 2014, toda vez que “los datos del Auto y el Juzgado referidos en el fallo, no corresponden con los autos de origen”. Por Auto de la Sección Tercera, de 29 de mayo de 2014, se subsanó el error en cuanto a la identificación del Juzgado, no en la fecha real de la resolución (5 de marzo de 2014).</w:t>
      </w:r>
    </w:p>
    <w:p w:rsidR="00163957" w:rsidRDefault="00163957" w:rsidP="00163957">
      <w:pPr>
        <w:pStyle w:val="TextoNormal"/>
      </w:pPr>
    </w:p>
    <w:p w:rsidR="00163957" w:rsidRDefault="00163957" w:rsidP="00163957">
      <w:pPr>
        <w:pStyle w:val="TextoNormal"/>
      </w:pPr>
      <w:r w:rsidRPr="00163957">
        <w:rPr>
          <w:rStyle w:val="NumeroAFNegritaCaracter"/>
        </w:rPr>
        <w:t>3</w:t>
      </w:r>
      <w:r>
        <w:t>. El Fiscal ante este Tribunal Constitucional formaliza demanda de amparo al estimar que los dos Autos ya identificados y que impugna, “han lesionado el derecho fundamental a la libertad personal (art. 17.1 CE), a un proceso con todas las garantías (art. 24.2 CE), así como el derecho de defensa y de asistencia letrada (art. 24.2 CE)”; estos dos últimos por resultar instrumentales a su vez del primero de los derechos invocados.</w:t>
      </w:r>
    </w:p>
    <w:p w:rsidR="00163957" w:rsidRDefault="00163957" w:rsidP="00163957">
      <w:pPr>
        <w:pStyle w:val="TextoNormal"/>
      </w:pPr>
    </w:p>
    <w:p w:rsidR="00163957" w:rsidRDefault="00163957" w:rsidP="00163957">
      <w:pPr>
        <w:pStyle w:val="TextoNormal"/>
      </w:pPr>
      <w:r>
        <w:t xml:space="preserve">Luego de hacer una recapitulación de los avatares procesales del caso, el escrito señala que el Fiscal actúa con la legitimación que le corresponde por mor de los arts. 162.1 b) CE y 46.1 b) de la Ley Orgánica del Tribunal Constitucional (LOTC), y que ha sido reconocida por la doctrina de este Tribunal (cita la STC 86/1985, FJ 1). Se recuerda además que la Fiscalía intervino como “parte </w:t>
      </w:r>
      <w:r w:rsidRPr="00163957">
        <w:rPr>
          <w:i/>
        </w:rPr>
        <w:t>necesaria</w:t>
      </w:r>
      <w:r>
        <w:t xml:space="preserve"> en el proceso </w:t>
      </w:r>
      <w:r w:rsidRPr="00163957">
        <w:rPr>
          <w:i/>
        </w:rPr>
        <w:t>a quo</w:t>
      </w:r>
      <w:r>
        <w:t>”, con la legitimación que le confieren los arts. 3.3 y 3.7 de la Ley del estatuto orgánico del Ministerio Fiscal “y art. 763.3 en relación con el art. 758, ambos de la LEC”; sin olvidar que esta materia tiene “un marcado interés público e importancia social”, como ha asentado este Tribunal en la STC 141/2012, de 2 de julio, FJ 2.</w:t>
      </w:r>
    </w:p>
    <w:p w:rsidR="00163957" w:rsidRDefault="00163957" w:rsidP="00163957">
      <w:pPr>
        <w:pStyle w:val="TextoNormal"/>
      </w:pPr>
    </w:p>
    <w:p w:rsidR="00163957" w:rsidRDefault="00163957" w:rsidP="00163957">
      <w:pPr>
        <w:pStyle w:val="TextoNormal"/>
      </w:pPr>
      <w:r>
        <w:t>Ya en cuanto al fondo, se ofrece detallada cuenta de diversos instrumentos internacionales en materia de derechos humanos donde se exige el cumplimiento del principio de legalidad de toda medida de internamiento, destacando el art. 5.1 e) del Convenio europeo para la protección de los derechos humanos y de las libertades fundamentales (CEDH), y la ju</w:t>
      </w:r>
      <w:r>
        <w:lastRenderedPageBreak/>
        <w:t xml:space="preserve">risprudencia del Tribunal Europeo de Derechos Humanos (se citan las SSTEDH “caso </w:t>
      </w:r>
      <w:r w:rsidRPr="00163957">
        <w:rPr>
          <w:i/>
        </w:rPr>
        <w:t>Wassink c. Holanda</w:t>
      </w:r>
      <w:r>
        <w:t xml:space="preserve">, de 27 septiembre 1990, § 24; </w:t>
      </w:r>
      <w:r w:rsidRPr="00163957">
        <w:rPr>
          <w:i/>
        </w:rPr>
        <w:t>Benham c. Reino Unido</w:t>
      </w:r>
      <w:r>
        <w:t xml:space="preserve">, 10 junio 1996, § 40; caso </w:t>
      </w:r>
      <w:r w:rsidRPr="00163957">
        <w:rPr>
          <w:i/>
        </w:rPr>
        <w:t>S. c. Estonia</w:t>
      </w:r>
      <w:r>
        <w:t>, de 4 octubre 2011, § 41”).</w:t>
      </w:r>
    </w:p>
    <w:p w:rsidR="00163957" w:rsidRDefault="00163957" w:rsidP="00163957">
      <w:pPr>
        <w:pStyle w:val="TextoNormal"/>
      </w:pPr>
    </w:p>
    <w:p w:rsidR="00163957" w:rsidRDefault="00163957" w:rsidP="00163957">
      <w:pPr>
        <w:pStyle w:val="TextoNormal"/>
      </w:pPr>
      <w:r>
        <w:t xml:space="preserve">Se centra después el escrito en la regulación del procedimiento civil de internamiento involuntario urgente del art. 763 LEC, pasando revista a las garantías reconocidas por la citada STC 141/2012, en cuanto a las dos fases que lo articulan, la extrajudicial (comunicación del centro médico al tribunal competente) —fundamento jurídico 5— y la judicial, dirigida a la ratificación o no de la medida —fundamento jurídico 6—. Se invoca la jurisprudencia del Tribunal Europeo de Derechos Humanos acerca del deber de los órganos judiciales de adoptar medidas suficientes para proteger los derechos de los afectados y garantizar para ellos un proceso justo (SSTEDH caso </w:t>
      </w:r>
      <w:r w:rsidRPr="00163957">
        <w:rPr>
          <w:i/>
        </w:rPr>
        <w:t>Wassink c. Holanda</w:t>
      </w:r>
      <w:r>
        <w:t xml:space="preserve">, de 27 de septiembre de 1990, § 30; </w:t>
      </w:r>
      <w:r w:rsidRPr="00163957">
        <w:rPr>
          <w:i/>
        </w:rPr>
        <w:t>Megyeri c. Alemania</w:t>
      </w:r>
      <w:r>
        <w:t xml:space="preserve">, de 12 de mayo de 1992, § 23; caso </w:t>
      </w:r>
      <w:r w:rsidRPr="00163957">
        <w:rPr>
          <w:i/>
        </w:rPr>
        <w:t>Winterwerp c. Holanda</w:t>
      </w:r>
      <w:r>
        <w:t>, de 24 octubre, 1979, § 44).</w:t>
      </w:r>
    </w:p>
    <w:p w:rsidR="00163957" w:rsidRDefault="00163957" w:rsidP="00163957">
      <w:pPr>
        <w:pStyle w:val="TextoNormal"/>
      </w:pPr>
    </w:p>
    <w:p w:rsidR="00163957" w:rsidRDefault="00163957" w:rsidP="00163957">
      <w:pPr>
        <w:pStyle w:val="TextoNormal"/>
      </w:pPr>
      <w:r>
        <w:t>Hechas estas consideraciones, pasa la demanda a referirse al contenido de las resoluciones recurridas. Tras precisar que “ni la garantía relativa al plazo temporal máximo de 72 horas, ni la relativa a la exigencia de información de derechos merece reproche alguno”, se precisa que la impugnación se refiere al incumplimiento de otras dos garantías previstas en el procedimiento de internamiento:</w:t>
      </w:r>
    </w:p>
    <w:p w:rsidR="00163957" w:rsidRDefault="00163957" w:rsidP="00163957">
      <w:pPr>
        <w:pStyle w:val="TextoNormal"/>
      </w:pPr>
    </w:p>
    <w:p w:rsidR="00163957" w:rsidRDefault="00163957" w:rsidP="00163957">
      <w:pPr>
        <w:pStyle w:val="TextoNormal"/>
      </w:pPr>
      <w:r>
        <w:t xml:space="preserve">a) En primer lugar, se refiere a la efectividad del derecho de representación y defensa de la persona internada que consagra el art. 763.3 LEC, el cual se remite al art. 758 del mismo texto legal. Señala que la importancia de este derecho radica en que la persona se encuentra afectada por una limitación o restricción de su derecho a la libertad personal, pero además “en un estado de especial dificultad para ejercer su autodefensa, precisamente por su estado de trastorno psíquico y su situación de internamiento” (cita las SSTEDH </w:t>
      </w:r>
      <w:r w:rsidRPr="00163957">
        <w:rPr>
          <w:i/>
        </w:rPr>
        <w:t>Megyeri c. Alemania</w:t>
      </w:r>
      <w:r>
        <w:t xml:space="preserve">, cit., §§ 22-23; </w:t>
      </w:r>
      <w:r w:rsidRPr="00163957">
        <w:rPr>
          <w:i/>
        </w:rPr>
        <w:t>Magalhaes Pereira c. Portugal</w:t>
      </w:r>
      <w:r>
        <w:t xml:space="preserve">, de 26 de febrero de 2002, §§ 56 a 62; </w:t>
      </w:r>
      <w:r w:rsidRPr="00163957">
        <w:rPr>
          <w:i/>
        </w:rPr>
        <w:t>D.D. c. Lituania</w:t>
      </w:r>
      <w:r>
        <w:t>, de 14 de febrero de 2012, § 118).</w:t>
      </w:r>
    </w:p>
    <w:p w:rsidR="00163957" w:rsidRDefault="00163957" w:rsidP="00163957">
      <w:pPr>
        <w:pStyle w:val="TextoNormal"/>
      </w:pPr>
    </w:p>
    <w:p w:rsidR="00163957" w:rsidRDefault="00163957" w:rsidP="00163957">
      <w:pPr>
        <w:pStyle w:val="TextoNormal"/>
      </w:pPr>
      <w:r>
        <w:t>Afirma que este derecho se “incumplió radicalmente”, porque tras manifestar doña F.I.G.M. que quería ser asistida por abogado y “en un primer momento” el Juzgado activó los trámites para la designación provisional de este profesional y de un procurador; sin embargo, lejos de aguardar a la comunicación de los colegios a los que se había dirigido, prefirió dictar el Auto de ratificación del internamiento el mismo día 5 de marzo, sin razones de “extrema urgencia” que justificaran esa celeridad, pues aún faltaban 24 horas para la expiración del plazo legal. Añade que de haber creído el Juzgado que la designación no estaría formalizada a tiempo, su deber era adoptar medidas adicionales para garantizarla, en todo caso ese derecho de asistencia jurídica “no puede hacerse depender de la mayor o menor rapidez en la comunicación y coordinación entre los diferentes órganos e instituciones implicadas en la designación de Abogado”.</w:t>
      </w:r>
    </w:p>
    <w:p w:rsidR="00163957" w:rsidRDefault="00163957" w:rsidP="00163957">
      <w:pPr>
        <w:pStyle w:val="TextoNormal"/>
      </w:pPr>
    </w:p>
    <w:p w:rsidR="00163957" w:rsidRDefault="00163957" w:rsidP="00163957">
      <w:pPr>
        <w:pStyle w:val="TextoNormal"/>
      </w:pPr>
      <w:r>
        <w:t xml:space="preserve">En el presente caso el derecho de defensa de la internada se postergó a la fase de recurso, “sin permitir la posibilidad de la práctica de prueba o la realización de las alegaciones que la defensa letrada de la persona afectada por la medida pudiera realizar en el plazo que aun restaba para tomar una decisión acerca de la ratificación del internamiento. Se vació con ello el derecho, que el propio artículo 763.3 LEC reconoce a la persona afectada por la medida de internamiento, a disponer de representación y defensa ‘en todas las actuaciones’ </w:t>
      </w:r>
      <w:r>
        <w:lastRenderedPageBreak/>
        <w:t>en los términos señalados en el artículo 758 LEC”. Se hace también cita de la STC 7/2011, relativa al derecho del demandado para comparecer con su propia defensa y representación en el proceso de incapacitación, doctrina que considera aplicable a este procedimiento especial.</w:t>
      </w:r>
    </w:p>
    <w:p w:rsidR="00163957" w:rsidRDefault="00163957" w:rsidP="00163957">
      <w:pPr>
        <w:pStyle w:val="TextoNormal"/>
      </w:pPr>
    </w:p>
    <w:p w:rsidR="00163957" w:rsidRDefault="00163957" w:rsidP="00163957">
      <w:pPr>
        <w:pStyle w:val="TextoNormal"/>
      </w:pPr>
      <w:r>
        <w:t xml:space="preserve">b) El último tramo del escrito de demanda desarrolla la segunda queja, “la omisión del dictamen preceptivo al Ministerio Fiscal”. Si bien el Juzgado dio traslado de las pruebas practicadas para que la Fiscal actuante emitiera su dictamen, no esperó sin embargo a recibirlo sino que pasó a resolver la ratificación del internamiento, prescindiendo con ello de una garantía esencial del art. 763.3 LEC, la cual “hunde sus raíces en la misión constitucional atribuida a esta institución de promoción de la acción de la justicia en defensa de la legalidad y de los derechos de los ciudadanos”, </w:t>
      </w:r>
      <w:r w:rsidRPr="00163957">
        <w:rPr>
          <w:i/>
        </w:rPr>
        <w:t>ex</w:t>
      </w:r>
      <w:r>
        <w:t xml:space="preserve"> art. 124 CE, y adquiere singular importancia en “la defensa de personas pertenecientes a colectivos especialmente vulnerables, como se proyecta normativamente en el art. 3.7 de la Ley del estatuto orgánico del Ministerio Fiscal y que entronca con el mandato de protección especial de personas en situación de discapacidad contenido en el art. 49 CE”. Además al Fiscal le corresponde velar por el respeto a la libertad personal, como sucede en los procedimientos de </w:t>
      </w:r>
      <w:r w:rsidRPr="00163957">
        <w:rPr>
          <w:i/>
        </w:rPr>
        <w:t>habeas corpus</w:t>
      </w:r>
      <w:r>
        <w:t xml:space="preserve"> y estos de internamiento involuntario por razón de trastorno psíquico.</w:t>
      </w:r>
    </w:p>
    <w:p w:rsidR="00163957" w:rsidRDefault="00163957" w:rsidP="00163957">
      <w:pPr>
        <w:pStyle w:val="TextoNormal"/>
      </w:pPr>
    </w:p>
    <w:p w:rsidR="00163957" w:rsidRDefault="00163957" w:rsidP="00163957">
      <w:pPr>
        <w:pStyle w:val="TextoNormal"/>
      </w:pPr>
      <w:r>
        <w:t>Añade que, “el dictamen —con independencia de cual fuera su contenido— fue incorporado a la causa al día siguiente, 6 de marzo de 2014, cuando aún no había vencido el plazo máximo de 72 horas previsto en la ley”. Y afirma que se está ante una garantía de obligado cumplimiento “para que la limitación del derecho a la libertad personal pueda considerarse constitucional y cumpla con la garantía de legalidad proclamada en el art. 17.1 CE”.</w:t>
      </w:r>
    </w:p>
    <w:p w:rsidR="00163957" w:rsidRDefault="00163957" w:rsidP="00163957">
      <w:pPr>
        <w:pStyle w:val="TextoNormal"/>
      </w:pPr>
    </w:p>
    <w:p w:rsidR="00163957" w:rsidRDefault="00163957" w:rsidP="00163957">
      <w:pPr>
        <w:pStyle w:val="TextoNormal"/>
      </w:pPr>
      <w:r>
        <w:t>En consecuencia el Fiscal solicita que se dicte Sentencia otorgando el amparo, con nulidad de los Autos impugnados.</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Con fecha 23 de octubre de 2014, la Sección Tercera, Sala Segunda, de este Tribunal, dictó providencia admitiendo a trámite la demanda de amparo, ordenándose dirigir comunicación tanto a la Sección Tercera de la Audiencia Provincial de Las Palmas de Gran Canaria, como al Juzgado de Primera Instancia núm. 15 de Las Palmas de Gran Canaria, para que en el plazo de diez días </w:t>
      </w:r>
      <w:r w:rsidRPr="00163957">
        <w:rPr>
          <w:i/>
        </w:rPr>
        <w:t>ex</w:t>
      </w:r>
      <w:r>
        <w:t xml:space="preserve"> art. 51 LOTC, remitieran certificación o fotocopia adverada, respectivamente, de las actuaciones relativas al rollo de apelación núm. 216-2014 y las del procedimiento de internamiento psiquiátrico núm. 167-2014; con emplazamiento a las partes del proceso, excepto la parte recurrente en amparo, para su posible comparecencia.</w:t>
      </w:r>
    </w:p>
    <w:p w:rsidR="00163957" w:rsidRDefault="00163957" w:rsidP="00163957">
      <w:pPr>
        <w:pStyle w:val="TextoNormal"/>
      </w:pPr>
    </w:p>
    <w:p w:rsidR="00163957" w:rsidRDefault="00163957" w:rsidP="00163957">
      <w:pPr>
        <w:pStyle w:val="TextoNormal"/>
      </w:pPr>
      <w:r>
        <w:t>Asimismo y conforme a lo previsto en el art. 46.2 LOTC, se acordó la publicación de la admisión del recurso en el “Boletín Oficial del Estado” (BOE), “a efectos de comparecencia de otros posibles interesados, que podrán personarse ante este Tribunal dentro de los diez días siguientes” a dicha publicación. Esta última tuvo lugar en el “BOE” núm. 304, de fecha 17 de diciembre de 2014.</w:t>
      </w:r>
    </w:p>
    <w:p w:rsidR="00163957" w:rsidRDefault="00163957" w:rsidP="00163957">
      <w:pPr>
        <w:pStyle w:val="TextoNormal"/>
      </w:pPr>
    </w:p>
    <w:p w:rsidR="00163957" w:rsidRDefault="00163957" w:rsidP="00163957">
      <w:pPr>
        <w:pStyle w:val="TextoNormal"/>
      </w:pPr>
      <w:r w:rsidRPr="00163957">
        <w:rPr>
          <w:rStyle w:val="NumeroAFNegritaCaracter"/>
        </w:rPr>
        <w:t>5</w:t>
      </w:r>
      <w:r>
        <w:t>. Por diligencia de ordenación de la Secretaría de Justicia de la Sala Segunda de este Tribunal, de 14 de enero de 2015, se concedió audiencia por veinte días únicamente al Fiscal como recurrente, “al no haberse personado parte alguna en el presente recurso de amparo”, con el fin de poder formular alegaciones (art. 52.1 LOTC).</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6</w:t>
      </w:r>
      <w:r>
        <w:t>. El Fiscal presentó escrito de alegaciones registrado el 20 de febrero de 2015, por el que mantuvo su solicitud de otorgamiento del amparo, haciendo para ello un resumen de los argumentos vertidos en la demanda.</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11 de febrero de 2016, se señaló para deliberación y votación de la presente Sentencia el día 15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Fiscal ante este Tribunal Constitucional interpone recurso de amparo contra el Auto dictado por el Juzgado de Primera Instancia núm. 15 de Las Palmas de Gran Canaria en fecha 5 de marzo de 2014, por el que se acordó ratificar la medida de internamiento en centro hospitalario, por razón de trastorno psíquico y al amparo del art. 763 de la Ley de enjuiciamiento civil (LEC), de doña F.I.G.M. A dicha resolución judicial le atribuye la demanda la doble vulneración del derecho a la libertad personal (art. 17.1 CE) y la del derecho a un proceso con todas las garantías (art. 24.2 CE), al haberse omitido dos de las garantías esenciales de dicho procedimiento especial como son, de un lado, el proveer a la afectada de una defensa letrada antes de resolver el Juzgado sobre la ratificación del internamiento, con el fin de que aquélla pudiera actuar a su favor a partir de las pruebas practicadas, tal como además la propia interesada había solicitado; y de otro lado el contar con el dictamen del Ministerio Fiscal, también para que fuera tenido en cuenta al momento de dictar la resolución procedente. Se recurre también en este proceso el Auto de la Sección Tercera de la Audiencia Provincial de Las Palmas de Gran Canaria, de 30 de abril de 2014, desestimatorio del recurso de apelación promovido por la Fiscal actuante en el procedimiento, contra aquel Auto de primera instancia.</w:t>
      </w:r>
    </w:p>
    <w:p w:rsidR="00163957" w:rsidRDefault="00163957" w:rsidP="00163957">
      <w:pPr>
        <w:pStyle w:val="TextoNormal"/>
      </w:pPr>
    </w:p>
    <w:p w:rsidR="00163957" w:rsidRDefault="00163957" w:rsidP="00163957">
      <w:pPr>
        <w:pStyle w:val="TextoNormal"/>
      </w:pPr>
      <w:r>
        <w:t>Al no haberse personado la representación procesal de la persona afectada por la medida, la única pretensión a la que hemos de dar respuesta, por tanto, es la que sostiene el Fiscal en su demanda de amparo.</w:t>
      </w:r>
    </w:p>
    <w:p w:rsidR="00163957" w:rsidRDefault="00163957" w:rsidP="00163957">
      <w:pPr>
        <w:pStyle w:val="TextoNormal"/>
      </w:pPr>
    </w:p>
    <w:p w:rsidR="00163957" w:rsidRDefault="00163957" w:rsidP="00163957">
      <w:pPr>
        <w:pStyle w:val="TextoNormal"/>
      </w:pPr>
      <w:r>
        <w:t xml:space="preserve">Debemos asimismo indicar que, de acuerdo con las potestades atribuidas a este Tribunal </w:t>
      </w:r>
      <w:r w:rsidRPr="00163957">
        <w:rPr>
          <w:i/>
        </w:rPr>
        <w:t>ex</w:t>
      </w:r>
      <w:r>
        <w:t xml:space="preserve"> art. 86.3 de la Ley Orgánica del Tribunal Constitucional (LOTC) y el acuerdo del Pleno de 23 de julio de 2015, en materia de protección de datos de carácter personal en el ámbito de la publicación y difusión de sus resoluciones jurisdiccionales, la presente Sentencia no incluye la identificación completa de la persona sometida a internamiento por razón de trastorno psíquico, cuyos derechos ha tutelado el Fiscal mediante la interposición del presente recurso de amparo, con el fin de proteger así su intimidad, “…teniendo en cuenta los hechos del caso (SSTC 114/2006, de 5 de abril, FJ 7; 176/2008, de 22 de diciembre, FJ 9; y 77/2009, de 23 de marzo, FJ 5)” [STC 141/2012, FJ 8; en el mismo sentido, SSTC 182/2015, de 7 de septiembre, y 13/2016, de 1 de febrero, FJ 1].</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entrar en el análisis de las dos quejas constitucionales que se articulan, procede efectuar algunas consideraciones previas concernientes a la concurrencia de presupuestos de este proceso constitucional.</w:t>
      </w:r>
    </w:p>
    <w:p w:rsidR="00163957" w:rsidRDefault="00163957" w:rsidP="00163957">
      <w:pPr>
        <w:pStyle w:val="TextoNormal"/>
      </w:pPr>
    </w:p>
    <w:p w:rsidR="00163957" w:rsidRDefault="00163957" w:rsidP="00163957">
      <w:pPr>
        <w:pStyle w:val="TextoNormal"/>
      </w:pPr>
      <w:r>
        <w:lastRenderedPageBreak/>
        <w:t>Ante todo, hemos de efectuar una precisión acerca de la legitimación activa del Ministerio Fiscal. Según se ha expuesto, en el recurso que éste promueve se denuncia la omisión de dos garantías esenciales del procedimiento de internamiento urgente no voluntario por trastorno psíquico del art. 763 LEC, con repercusión en el ejercicio de derechos fundamentales de los que resulta titular doña F.I.G.M., afectada por la medida. Una de esas omisiones, sin embargo, se refiere a la intervención del Fiscal actuante dentro de aquel procedimiento, lo que implica la denuncia de lesión de un derecho procesal (audiencia) que corresponde ejercer al Fiscal, en cuanto parte misma del procedimiento. Esto nos lleva a considerar la realidad de dos ámbitos de legitimación activa, diferenciables entre sí:</w:t>
      </w:r>
    </w:p>
    <w:p w:rsidR="00163957" w:rsidRDefault="00163957" w:rsidP="00163957">
      <w:pPr>
        <w:pStyle w:val="TextoNormal"/>
      </w:pPr>
    </w:p>
    <w:p w:rsidR="00163957" w:rsidRDefault="00163957" w:rsidP="00163957">
      <w:pPr>
        <w:pStyle w:val="TextoNormal"/>
      </w:pPr>
      <w:r>
        <w:t xml:space="preserve">a) En el primero de ellos, el que supone interponer el recurso de amparo a falta de la iniciativa del propio sujeto perjudicado y en defensa de éste, la doctrina este Tribunal, contenida en la STC 17/2006, de 30 de enero, FJ 4, enseña que “la legitimación para recurrir en amparo que el art. 162.1 b) CE atribuye al Ministerio Fiscal, y que aparece igualmente recogida en el art. 46.1 b) LOTC, se configura, según tuvimos ocasión de señalar en la STC 86/1985, de 10 de julio, FJ 1, ‘como un </w:t>
      </w:r>
      <w:r w:rsidRPr="00163957">
        <w:rPr>
          <w:i/>
        </w:rPr>
        <w:t>ius agendi</w:t>
      </w:r>
      <w:r>
        <w:t xml:space="preserve"> reconocido a este órgano en mérito a su específica posición institucional, funcionalmente delimitada en el art. 124.1 de la norma fundamental. Promoviendo el amparo constitucional, el Ministerio Fiscal defiende, ciertamente, derechos fundamentales, pero lo hace, y en esto reside la peculiar naturaleza de su acción, no porque ostente su titularidad, sino como portador del interés público en la integridad y efectividad de tales derechos’”. Más recientemente, SSTC 208/2013, de 16 de diciembre, encabezamiento; 12/2014, de 27 de enero, FJ 2, y 182/2015, FJ 2.</w:t>
      </w:r>
    </w:p>
    <w:p w:rsidR="00163957" w:rsidRDefault="00163957" w:rsidP="00163957">
      <w:pPr>
        <w:pStyle w:val="TextoNormal"/>
      </w:pPr>
    </w:p>
    <w:p w:rsidR="00163957" w:rsidRDefault="00163957" w:rsidP="00163957">
      <w:pPr>
        <w:pStyle w:val="TextoNormal"/>
      </w:pPr>
      <w:r>
        <w:t xml:space="preserve">b) El segundo ámbito también encuentra reconocimiento en la doctrina de este Tribunal. En la antes citada STC 17/2006, un recurso de amparo interpuesto por el Ministerio Fiscal donde éste aducía indefensión (art. 24.1 CE) por falta de la debida audiencia en el acto de exploración de menores en la apelación de un proceso de divorcio, afirmamos su legitimación para reaccionar frente a este tipo de lesiones dada la finalidad de su intervención en el proceso, señalando en el fundamento jurídico 4 que “este Tribunal ha venido admitiendo la legitimación del Ministerio Fiscal para interponer recurso de amparo no sólo en defensa de derechos fundamentales de los ciudadanos, sino también para denunciar la vulneración del derecho a la tutela judicial efectiva (art. 24.1 CE) del propio Ministerio Fiscal en su condición de parte procesal en el proceso </w:t>
      </w:r>
      <w:r w:rsidRPr="00163957">
        <w:rPr>
          <w:i/>
        </w:rPr>
        <w:t>a quo</w:t>
      </w:r>
      <w:r>
        <w:t xml:space="preserve"> (así, SSTC 148/1994, de 12 de mayo, y 256/1994, de 26 de septiembre). En el caso que nos ocupa conviene precisar que el Ministerio Fiscal interpone el recurso de amparo en su carácter de parte en el proceso judicial correspondiente y a su vez en su calidad de defensor de los derechos fundamentales y libertades públicas de los ciudadanos”.</w:t>
      </w:r>
    </w:p>
    <w:p w:rsidR="00163957" w:rsidRDefault="00163957" w:rsidP="00163957">
      <w:pPr>
        <w:pStyle w:val="TextoNormal"/>
      </w:pPr>
    </w:p>
    <w:p w:rsidR="00163957" w:rsidRDefault="00163957" w:rsidP="00163957">
      <w:pPr>
        <w:pStyle w:val="TextoNormal"/>
      </w:pPr>
      <w:r>
        <w:t xml:space="preserve">La doctrina de referencia resulta trasladable al proceso de internamiento involuntario por trastorno psíquico que nos ocupa pues, como afirma el Fiscal ante este Tribunal Constitucional en su escrito de demanda, el Ministerio Fiscal “intervino como parte necesaria en el proceso </w:t>
      </w:r>
      <w:r w:rsidRPr="00163957">
        <w:rPr>
          <w:i/>
        </w:rPr>
        <w:t>a quo</w:t>
      </w:r>
      <w:r>
        <w:t xml:space="preserve"> precisamente en su condición de defensor de los derechos fundamentales en juego”. Debe tenerse en cuenta que el art. 749.1 LEC señala de manera clara que en los procesos “sobre capacidad de las personas…será siempre parte el Ministerio Fiscal, aunque no haya sido promotor de los mismos ni deba, conforme a la Ley, asumir la defensa de alguna de las partes. El Ministerio Fiscal velará durante todo el proceso por la salvaguarda del interés superior de la persona afectada”. El precepto no hace distinción dentro de los distintos procesos sobre capacidad que regula la ley procesal, y el art. 763 LEC se incluye </w:t>
      </w:r>
      <w:r>
        <w:lastRenderedPageBreak/>
        <w:t>al final, pero dentro, del capítulo correspondiente a todos ellos. En el procedimiento de internamiento involuntario se conoce de la posible merma de la capacidad de obrar de una persona, aunque sea transitoria, por causa de un trastorno mental, y su protección a través de la medida específica de tratamiento en un centro con medios y personal adecuados.</w:t>
      </w:r>
    </w:p>
    <w:p w:rsidR="00163957" w:rsidRDefault="00163957" w:rsidP="00163957">
      <w:pPr>
        <w:pStyle w:val="TextoNormal"/>
      </w:pPr>
    </w:p>
    <w:p w:rsidR="00163957" w:rsidRDefault="00163957" w:rsidP="00163957">
      <w:pPr>
        <w:pStyle w:val="TextoNormal"/>
      </w:pPr>
      <w:r>
        <w:t>Cabe así concluir que se cumple el presupuesto subjetivo de la legitimación del Fiscal ante este Tribunal, para plantear las dos quejas que conforman su demanda de amparo.</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De otro lado, concurre también el presupuesto objetivo de la especial trascendencia constitucional del recurso, </w:t>
      </w:r>
      <w:r w:rsidRPr="00163957">
        <w:rPr>
          <w:i/>
        </w:rPr>
        <w:t>ex</w:t>
      </w:r>
      <w:r>
        <w:t xml:space="preserve"> art. 50.1 b) LOTC. Con su admisión a trámite y el dictado de la presente Sentencia, tiene este Tribunal la ocasión de aclarar nuestra doctrina previa [STC 155/2009, FJ 2, apartado b)], acerca del contenido y alcance del derecho de asistencia jurídica de la persona sometida a este procedimiento.</w:t>
      </w:r>
    </w:p>
    <w:p w:rsidR="00163957" w:rsidRDefault="00163957" w:rsidP="00163957">
      <w:pPr>
        <w:pStyle w:val="TextoNormal"/>
      </w:pPr>
    </w:p>
    <w:p w:rsidR="00163957" w:rsidRDefault="00163957" w:rsidP="00163957">
      <w:pPr>
        <w:pStyle w:val="TextoNormal"/>
      </w:pPr>
      <w:r>
        <w:t xml:space="preserve">Tal precisión se formula “en salvaguarda del principio de seguridad jurídica que, conforme a la Sentencia del Tribunal Europeo de Derechos Humanos de 20 de enero de 2015, dictada en el asunto </w:t>
      </w:r>
      <w:r w:rsidRPr="00163957">
        <w:rPr>
          <w:i/>
        </w:rPr>
        <w:t>Arribas Antón contra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00163957" w:rsidRDefault="00163957" w:rsidP="00163957">
      <w:pPr>
        <w:pStyle w:val="TextoNormal"/>
      </w:pPr>
    </w:p>
    <w:p w:rsidR="00163957" w:rsidRDefault="00163957" w:rsidP="00163957">
      <w:pPr>
        <w:pStyle w:val="TextoNormal"/>
      </w:pPr>
      <w:r w:rsidRPr="00163957">
        <w:rPr>
          <w:rStyle w:val="NumeroAFNegritaCaracter"/>
        </w:rPr>
        <w:t>4</w:t>
      </w:r>
      <w:r>
        <w:t>. Sentado todo lo anterior, nos hallamos ya en condiciones de analizar el fondo de las dos quejas planteadas, abordando en primer término la relativa a la denuncia de lesión del derecho a la asistencia letrada de la persona afectada por la medida de internamiento, doña F.I.G.M. Durante el acto de exploración judicial ésta manifestó el deseo de que se le nombrara un abogado para su defensa y aunque se proveyó inicialmente a esa solicitud, acordando el Juzgado dirigir comunicación a los Colegios de Abogados y Procuradores de Las Palmas de Gran Canaria para los respectivos nombramientos, antes de recibir respuesta de éstos el Juzgado dictó Auto de ratificación del internamiento ese mismo día 5 de marzo de 2014 pese a que, como ya se ha dicho, tenía margen hasta el día siguiente para resolver.</w:t>
      </w:r>
    </w:p>
    <w:p w:rsidR="00163957" w:rsidRDefault="00163957" w:rsidP="00163957">
      <w:pPr>
        <w:pStyle w:val="TextoNormal"/>
      </w:pPr>
    </w:p>
    <w:p w:rsidR="00163957" w:rsidRDefault="00163957" w:rsidP="00163957">
      <w:pPr>
        <w:pStyle w:val="TextoNormal"/>
      </w:pPr>
      <w:r>
        <w:t>Expuesto en estos términos, hemos de recordar que la STC 141/2012, de 2 de julio, declaró en su fundamento jurídico 6 a), que en el procedimiento de internamiento urgente no voluntario por trastorno psíquico del art. 763 LEC:</w:t>
      </w:r>
    </w:p>
    <w:p w:rsidR="00163957" w:rsidRDefault="00163957" w:rsidP="00163957">
      <w:pPr>
        <w:pStyle w:val="TextoNormal"/>
      </w:pPr>
    </w:p>
    <w:p w:rsidR="00163957" w:rsidRDefault="00163957" w:rsidP="00163957">
      <w:pPr>
        <w:pStyle w:val="TextoNormal"/>
      </w:pPr>
      <w:r>
        <w:t>“El Juez ha de informar al interno o a su representante acerca de su situación material y procesal, lo que implica a su vez el derecho del afectado (o su representante en su nombre) a ser oído personalmente dentro del procedimiento.</w:t>
      </w:r>
    </w:p>
    <w:p w:rsidR="00163957" w:rsidRDefault="00163957" w:rsidP="00163957">
      <w:pPr>
        <w:pStyle w:val="TextoNormal"/>
      </w:pPr>
    </w:p>
    <w:p w:rsidR="00163957" w:rsidRDefault="00163957" w:rsidP="00163957">
      <w:pPr>
        <w:pStyle w:val="TextoNormal"/>
      </w:pPr>
      <w:r>
        <w:t>Además y conforme recoge expresamente el art. 763.3 LEC, el privado de libertad también será informado de su derecho a contar con Abogado y Procurador en este trámite y de su derecho a la práctica de pruebas.”</w:t>
      </w:r>
    </w:p>
    <w:p w:rsidR="00163957" w:rsidRDefault="00163957" w:rsidP="00163957">
      <w:pPr>
        <w:pStyle w:val="TextoNormal"/>
      </w:pPr>
    </w:p>
    <w:p w:rsidR="00163957" w:rsidRDefault="00163957" w:rsidP="00163957">
      <w:pPr>
        <w:pStyle w:val="TextoNormal"/>
      </w:pPr>
      <w:r>
        <w:t>Procede en este momento concretar el alcance de la segunda de las garantías así enunciada:</w:t>
      </w:r>
    </w:p>
    <w:p w:rsidR="00163957" w:rsidRDefault="00163957" w:rsidP="00163957">
      <w:pPr>
        <w:pStyle w:val="TextoNormal"/>
      </w:pPr>
    </w:p>
    <w:p w:rsidR="00163957" w:rsidRDefault="00163957" w:rsidP="00163957">
      <w:pPr>
        <w:pStyle w:val="TextoNormal"/>
      </w:pPr>
      <w:r>
        <w:lastRenderedPageBreak/>
        <w:t>a) El derecho a la asistencia jurídica de la persona internada requiere siempre la actuación, en su nombre, de un representante procesal y un defensor. Así lo reconocimos con carácter general para todos los procesos sobre capacidad de las personas, en nuestra STC 7/2011, de 14 de febrero, FJ 5, por cuanto: “…este tipo de procedimientos se encuadra entre aquéllos en los que la garantía constitucional de la defensa letrada se convierte en una exigencia estructural del proceso tendente a asegurar su correcto desenvolvimiento, lo que, como también se ha dicho anteriormente, ha llevado a este Tribunal a establecer que la pasividad del titular del derecho deba ser suplida por el órgano judicial, ofreciendo al interesado una oportunidad de reparar tal omisión (STC 189/2006, de 19 de junio, FJ 2)”.</w:t>
      </w:r>
    </w:p>
    <w:p w:rsidR="00163957" w:rsidRDefault="00163957" w:rsidP="00163957">
      <w:pPr>
        <w:pStyle w:val="TextoNormal"/>
      </w:pPr>
    </w:p>
    <w:p w:rsidR="00163957" w:rsidRDefault="00163957" w:rsidP="00163957">
      <w:pPr>
        <w:pStyle w:val="TextoNormal"/>
      </w:pPr>
      <w:r>
        <w:t>Y no otra cosa cabe predicar en el procedimiento de internamiento del art. 763 LEC, sea o no urgente, porque así lo impone el apartado tercero del precepto, según se recuerda en la STC 141/2012 ya citada, encontrándonos, como ya se precisó antes, en uno de los procesos sobre capacidad de las personas.</w:t>
      </w:r>
    </w:p>
    <w:p w:rsidR="00163957" w:rsidRDefault="00163957" w:rsidP="00163957">
      <w:pPr>
        <w:pStyle w:val="TextoNormal"/>
      </w:pPr>
    </w:p>
    <w:p w:rsidR="00163957" w:rsidRDefault="00163957" w:rsidP="00163957">
      <w:pPr>
        <w:pStyle w:val="TextoNormal"/>
      </w:pPr>
      <w:r>
        <w:t>Tal y como además declaramos en la misma STC 141/2012, de 2 de julio, FJ 6, el art. 763 LEC instrumenta dentro de nuestro sistema de justicia civil, el procedimiento al que se refiere el art. 5.4 del Convenio europeo para la protección de los derechos humanos y de las libertades fundamentales (“[t]oda persona privada de su libertad mediante detención o internamiento tendrá derecho a presentar un recurso ante un órgano judicial, a fin de que se pronuncie en breve plazo sobre la legalidad de su privación de libertad y ordene su puesta en libertad si fuera ilegal”).</w:t>
      </w:r>
    </w:p>
    <w:p w:rsidR="00163957" w:rsidRDefault="00163957" w:rsidP="00163957">
      <w:pPr>
        <w:pStyle w:val="TextoNormal"/>
      </w:pPr>
    </w:p>
    <w:p w:rsidR="00163957" w:rsidRDefault="00163957" w:rsidP="00163957">
      <w:pPr>
        <w:pStyle w:val="TextoNormal"/>
      </w:pPr>
      <w:r>
        <w:t xml:space="preserve">La jurisprudencia del Tribunal Europeo de Derechos Humanos viene señalando reiteradamente, en aplicación de este precepto, que la persona sometida a una medida de internamiento psiquiátrico debe tener, de un lado, el derecho a ser oída ante la autoridad competente, por sí misma o si carece de la capacidad para ello, a través de algún tipo de representación, pues de lo contrario no se cumpliría con una garantía esencial del procedimiento, para lo que deberán arbitrarse las salvaguardias especiales de orden procesal que permitan la protección de sus intereses. De otro lado, la persona también tiene derecho a contar con un asesor legal, sin que recaiga sobre ella la iniciativa de su designación [entre otras, SSTEDH de 24 de octubre de 1979, asunto </w:t>
      </w:r>
      <w:r w:rsidRPr="00163957">
        <w:rPr>
          <w:i/>
        </w:rPr>
        <w:t>Winterwerp c. Holanda</w:t>
      </w:r>
      <w:r>
        <w:t xml:space="preserve">, §§ 60 y 66; 12 de mayo de 1992, asunto </w:t>
      </w:r>
      <w:r w:rsidRPr="00163957">
        <w:rPr>
          <w:i/>
        </w:rPr>
        <w:t>Megyeri c. Alemania</w:t>
      </w:r>
      <w:r>
        <w:t xml:space="preserve">, § 22, apartados c) y d); 14 de febrero de 2012, asunto </w:t>
      </w:r>
      <w:r w:rsidRPr="00163957">
        <w:rPr>
          <w:i/>
        </w:rPr>
        <w:t>D.D. c. Lituania</w:t>
      </w:r>
      <w:r>
        <w:t>, §§ 163, apartado c), y 166].</w:t>
      </w:r>
    </w:p>
    <w:p w:rsidR="00163957" w:rsidRDefault="00163957" w:rsidP="00163957">
      <w:pPr>
        <w:pStyle w:val="TextoNormal"/>
      </w:pPr>
    </w:p>
    <w:p w:rsidR="00163957" w:rsidRDefault="00163957" w:rsidP="00163957">
      <w:pPr>
        <w:pStyle w:val="TextoNormal"/>
      </w:pPr>
      <w:r>
        <w:t>b) Para hacer efectivo este derecho a la asistencia jurídica, que resulta irrenunciable para su titular, el Juez debe dirigirse al afectado; si es en la modalidad de internamiento urgente con la antelación necesaria dentro del plazo de las 72 horas en que ha de sustanciarse el procedimiento; antes o a más tardar durante el acto de exploración judicial del art. 763.3 LEC, a fin de informarle de la apertura del proceso y su finalidad, así como del derecho que tiene a una asistencia jurídica, pudiendo optar la persona por un Abogado y Procurador, sean de su confianza o designados por el Juzgado de entre los del turno de oficio. Si nada manifiesta al respecto, bien porque no desea hacerlo, bien porque no es capaz de comprender lo que el Juez le dice o de comunicar una respuesta, su representación y defensa deben ser asumidas por el Fiscal actuante en la causa, que es lo que establece en ese caso el art. 758 LEC, al que se remite de manera expresa y sin reservas el art. 763.3 de la misma ley.</w:t>
      </w:r>
    </w:p>
    <w:p w:rsidR="00163957" w:rsidRDefault="00163957" w:rsidP="00163957">
      <w:pPr>
        <w:pStyle w:val="TextoNormal"/>
      </w:pPr>
    </w:p>
    <w:p w:rsidR="00163957" w:rsidRDefault="00163957" w:rsidP="00163957">
      <w:pPr>
        <w:pStyle w:val="TextoNormal"/>
      </w:pPr>
      <w:r>
        <w:lastRenderedPageBreak/>
        <w:t>Sin embargo, de ser el Fiscal el promotor de la medida de internamiento no podrá ser designado como su defensor, ordenando en tal supuesto el propio art. 758 LEC que se le designe un defensor judicial para que le represente; en este caso, se entiende, a los únicos efectos del procedimiento de internamiento. Dicho defensor judicial, que puede ser el representante legal del internado (si es menor de edad, quien ejerce la patria potestad; si es persona ya incapacitada por sentencia, su tutor) o sino quien designe el Juzgado, nombrará entonces abogado y procurador o solicitará al Juzgado su designación de entre los profesionales de oficio.</w:t>
      </w:r>
    </w:p>
    <w:p w:rsidR="00163957" w:rsidRDefault="00163957" w:rsidP="00163957">
      <w:pPr>
        <w:pStyle w:val="TextoNormal"/>
      </w:pPr>
    </w:p>
    <w:p w:rsidR="00163957" w:rsidRDefault="00163957" w:rsidP="00163957">
      <w:pPr>
        <w:pStyle w:val="TextoNormal"/>
      </w:pPr>
      <w:r>
        <w:t>Con este sistema escalonado, en definitiva, se evita un vacío en la asistencia jurídica del internado durante este procedimiento especial, en el que está en juego, no debe olvidarse en ningún momento, el derecho fundamental a la libertad de la persona (art. 17.1 CE).</w:t>
      </w:r>
    </w:p>
    <w:p w:rsidR="00163957" w:rsidRDefault="00163957" w:rsidP="00163957">
      <w:pPr>
        <w:pStyle w:val="TextoNormal"/>
      </w:pPr>
    </w:p>
    <w:p w:rsidR="00163957" w:rsidRDefault="00163957" w:rsidP="00163957">
      <w:pPr>
        <w:pStyle w:val="TextoNormal"/>
      </w:pPr>
      <w:r w:rsidRPr="00163957">
        <w:rPr>
          <w:rStyle w:val="NumeroAFNegritaCaracter"/>
        </w:rPr>
        <w:t>5</w:t>
      </w:r>
      <w:r>
        <w:t>. Las consideraciones que preceden y el examen de los hechos, conducen a la estimación de este motivo planteado por el Fiscal en su demanda de amparo. Según se ha relatado ya, la comunicación del centro médico al Juzgado Decano de Las Palmas de Gran Canaria se produjo el 3 de marzo de 2014, demorando éste dos días en dar traslado de ella al Juzgado de Primera Instancia núm. 15, el cual habría de hacerse cargo del caso. Es cierto que tal retraso no puede sino achacarse al Juzgado Decano, el cual debió hacer llegar la comunicación de inmediato al órgano judicial de destino, adoptando las medidas necesarias para su despacho urgente. Y es cierto también que ese periodo de tiempo, injustificadamente perdido, entraba en el cómputo de las 72 horas que marca el art. 763.1 LEC para resolver sobre el internamiento, como ha tenido ocasión ya de indicar este Tribunal (STC 182/2015, FJ 6), dado que el plazo deviene improrrogable también en ese supuesto, en cuanto está en juego el ejercicio del derecho fundamental de libertad (art. 17.1 CE).</w:t>
      </w:r>
    </w:p>
    <w:p w:rsidR="00163957" w:rsidRDefault="00163957" w:rsidP="00163957">
      <w:pPr>
        <w:pStyle w:val="TextoNormal"/>
      </w:pPr>
    </w:p>
    <w:p w:rsidR="00163957" w:rsidRDefault="00163957" w:rsidP="00163957">
      <w:pPr>
        <w:pStyle w:val="TextoNormal"/>
      </w:pPr>
      <w:r>
        <w:t xml:space="preserve">Ahora bien, no es menos verdad que el Juzgado </w:t>
      </w:r>
      <w:r w:rsidRPr="00163957">
        <w:rPr>
          <w:i/>
        </w:rPr>
        <w:t>a quo</w:t>
      </w:r>
      <w:r>
        <w:t>, recibida la comunicación el 5 de marzo y tras abrir la causa, sustanció todo el procedimiento y le puso fin ese mismo día mediante el Auto de ratificación del internamiento, cuando todavía le restaba otro más dentro del plazo —expiraba el 6 de marzo—, con la consecuencia, producto de tal premura, de descuidar la efectividad del derecho a la asistencia jurídica de doña F.I.G.M.</w:t>
      </w:r>
    </w:p>
    <w:p w:rsidR="00163957" w:rsidRDefault="00163957" w:rsidP="00163957">
      <w:pPr>
        <w:pStyle w:val="TextoNormal"/>
      </w:pPr>
    </w:p>
    <w:p w:rsidR="00163957" w:rsidRDefault="00163957" w:rsidP="00163957">
      <w:pPr>
        <w:pStyle w:val="TextoNormal"/>
      </w:pPr>
      <w:r>
        <w:t>Así, en principio y respetando la voluntad expresada por esta última en el acto de exploración, el Juzgado había proveído para que se le nombrara un Abogado, dirigiéndose a través de la Secretaría por fax, a los Colegios de Abogados y de Procuradores de Las Palmas de Gran Canaria, a fin de que procedieran a la designación “inmediata” de profesionales de oficio (doña F.I.G.M. no había hecho indicación de abogado de su preferencia); incluyendo un Procurador, como era lo correcto.</w:t>
      </w:r>
    </w:p>
    <w:p w:rsidR="00163957" w:rsidRDefault="00163957" w:rsidP="00163957">
      <w:pPr>
        <w:pStyle w:val="TextoNormal"/>
      </w:pPr>
    </w:p>
    <w:p w:rsidR="00163957" w:rsidRDefault="00163957" w:rsidP="00163957">
      <w:pPr>
        <w:pStyle w:val="TextoNormal"/>
      </w:pPr>
      <w:r>
        <w:t>Sin embargo, desconociendo si los Colegios podían dar una respuesta al requerimiento efectuado el propio día 5 o al siguiente y, en caso de imposibilidad de éstos, teniendo la alternativa de designar a la Fiscal actuante como defensora de doña F.I.G.M. (al no haber promovido el internamiento), el Juzgado en cambio optó por poner fin al proceso dictando el Auto de ratificación, lo que impedía ya toda asistencia jurídica a favor de la afectada en la primera instancia. El envío de un segundo fax a los Colegios el 6 de marzo, ya sólo podía tener virtualidad a efectos de que, tras su posterior designación, dichos profesionales pudieran recurrir el Auto.</w:t>
      </w:r>
    </w:p>
    <w:p w:rsidR="00163957" w:rsidRDefault="00163957" w:rsidP="00163957">
      <w:pPr>
        <w:pStyle w:val="TextoNormal"/>
      </w:pPr>
    </w:p>
    <w:p w:rsidR="00163957" w:rsidRDefault="00163957" w:rsidP="00163957">
      <w:pPr>
        <w:pStyle w:val="TextoNormal"/>
      </w:pPr>
      <w:r>
        <w:lastRenderedPageBreak/>
        <w:t xml:space="preserve">El hecho de que el art. 763.3 </w:t>
      </w:r>
      <w:r w:rsidRPr="00163957">
        <w:rPr>
          <w:i/>
        </w:rPr>
        <w:t>in fine</w:t>
      </w:r>
      <w:r>
        <w:t xml:space="preserve"> LEC garantice la posibilidad de recurso de apelación contra la decisión adoptada, no legitima la privación de una garantía esencial del procedimiento de primera instancia. No puede concederse por esto la razón a la respuesta dada por la Sección Tercera de la Audiencia Provincial de Las Palmas de Gran Canaria, que en su Auto de 30 de abril de 2014 minimiza esta cuestión señalando que los profesionales designados no recurrieron </w:t>
      </w:r>
      <w:r w:rsidRPr="00163957">
        <w:rPr>
          <w:i/>
        </w:rPr>
        <w:t>ab initio</w:t>
      </w:r>
      <w:r>
        <w:t xml:space="preserve"> el Auto del Juzgado sino que se limitaron a adherirse al recurso presentado por el Fiscal. No repara la Audiencia en que, admitiendo en su Auto la condición de apelante de doña F.I.G.M., tal adhesión formalizada por su representante procesal suponía su oposición al internamiento, justamente por habérsele privado de representación y defensa a doña F.I.G.M. en la primera instancia del proceso, por causa atribuible al órgano judicial, tal como se ha explicado.</w:t>
      </w:r>
    </w:p>
    <w:p w:rsidR="00163957" w:rsidRDefault="00163957" w:rsidP="00163957">
      <w:pPr>
        <w:pStyle w:val="TextoNormal"/>
      </w:pPr>
    </w:p>
    <w:p w:rsidR="00163957" w:rsidRDefault="00163957" w:rsidP="00163957">
      <w:pPr>
        <w:pStyle w:val="TextoNormal"/>
      </w:pPr>
      <w:r w:rsidRPr="00163957">
        <w:rPr>
          <w:rStyle w:val="NumeroAFNegritaCaracter"/>
        </w:rPr>
        <w:t>6</w:t>
      </w:r>
      <w:r>
        <w:t>. La negación de esta intervención de su representante procesal y defensor produjo, pues, la vulneración del derecho a la asistencia jurídica, que en el ámbito de las garantías del proceso de internamiento involuntario del art. 763 LEC, se reconduce a una lesión del derecho a la libertad del art. 17.1 CE [SSTC 141/2012, de 2 de julio, FJ 1; y 13/2016, de 1 de febrero, FJ 3], del que resulta ser titular doña F.I.G.M., lo que determina la estimación en este punto de la demanda de amparo, por lo que resulta innecesario analizar la otra queja vertida en esta última, acerca de la falta de valoración del dictamen del Ministerio Fiscal.</w:t>
      </w:r>
    </w:p>
    <w:p w:rsidR="00163957" w:rsidRDefault="00163957" w:rsidP="00163957">
      <w:pPr>
        <w:pStyle w:val="TextoNormal"/>
      </w:pPr>
    </w:p>
    <w:p w:rsidR="00163957" w:rsidRDefault="00163957" w:rsidP="00163957">
      <w:pPr>
        <w:pStyle w:val="TextoNormal"/>
      </w:pPr>
      <w:r>
        <w:t>Como consecuencia, procede declarar la nulidad de las resoluciones judiciales impugnadas. Además, de acuerdo a lo señalado en la STC 141/2012, de 2 de julio, FJ 8, “la Sentencia ha de tener efectos puramente declarativos, sin acordar retroacción alguna de las actuaciones destinada a subsanar la omisión de derechos dentro del procedimiento, teniendo en cuenta la situación de libertad del recurrente materializada tras aquel alta médica y que la tutela de su derecho fundamental queda garantizada con los pronunciamientos indicados, siguiendo así la doctrina de este Tribunal fijada para situaciones similares (SSTC 12/2007, de 15 de enero, FJ 4; 169/2008, de 15 de diciembre, FJ 7 y 179/2011, de 21 de noviembre, FJ 6)” (en el mismo sentido, STC 182/2015, de 7 de septiembre, FJ 7).</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el Fiscal ante el Tribunal Constitucional y, en su virtud:</w:t>
      </w:r>
    </w:p>
    <w:p w:rsidR="00163957" w:rsidRDefault="00163957" w:rsidP="00163957">
      <w:pPr>
        <w:pStyle w:val="TextoNormal"/>
      </w:pPr>
    </w:p>
    <w:p w:rsidR="00163957" w:rsidRDefault="00163957" w:rsidP="00163957">
      <w:pPr>
        <w:pStyle w:val="TextoNormal"/>
      </w:pPr>
      <w:r>
        <w:t>1º Declarar que se ha vulnerado el derecho fundamental a la libertad personal (art. 17.1 CE) de doña F.I.G.M.</w:t>
      </w:r>
    </w:p>
    <w:p w:rsidR="00163957" w:rsidRDefault="00163957" w:rsidP="00163957">
      <w:pPr>
        <w:pStyle w:val="TextoNormal"/>
      </w:pPr>
    </w:p>
    <w:p w:rsidR="00163957" w:rsidRDefault="00163957" w:rsidP="00163957">
      <w:pPr>
        <w:pStyle w:val="TextoNormal"/>
      </w:pPr>
      <w:r>
        <w:t xml:space="preserve">2º Restablecerla en la integridad de su derecho y, a tal fin, declarar la nulidad del Auto del Juzgado de Primera Instancia núm. 15 de Las Palmas de Gran Canaria, de 5 de marzo de 2014 (procedimiento de internamiento núm. 167-2014), y del Auto de la Sección Tercera </w:t>
      </w:r>
      <w:r>
        <w:lastRenderedPageBreak/>
        <w:t>de la Audiencia Provincial de Las Palmas de Gran Canaria, de 30 de abril de 2014 (rollo de apelación núm. 216-2014).</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quince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26" w:name="SENTENCIA_2016_23"/>
      <w:r>
        <w:lastRenderedPageBreak/>
        <w:t>SENTENCIA 23/2016, de 15 de febrero de 2016</w:t>
      </w:r>
    </w:p>
    <w:bookmarkEnd w:id="26"/>
    <w:p w:rsidR="00163957" w:rsidRDefault="00163957" w:rsidP="00163957">
      <w:pPr>
        <w:pStyle w:val="TtuloResolucin"/>
      </w:pPr>
      <w:r>
        <w:t>Sala Segunda</w:t>
      </w:r>
    </w:p>
    <w:p w:rsidR="00163957" w:rsidRDefault="00163957" w:rsidP="00163957">
      <w:pPr>
        <w:pStyle w:val="TtuloBOE"/>
      </w:pPr>
      <w:r>
        <w:t>(BOE núm. 71, de 23 de marzo de 2016)</w:t>
      </w:r>
    </w:p>
    <w:p w:rsidR="00163957" w:rsidRDefault="00163957" w:rsidP="00163957">
      <w:pPr>
        <w:pStyle w:val="TextoNormalCentrado"/>
      </w:pPr>
      <w:r>
        <w:t>ECLI:ES:TC:2016:23</w:t>
      </w:r>
    </w:p>
    <w:p w:rsidR="00163957" w:rsidRDefault="00163957" w:rsidP="00163957">
      <w:pPr>
        <w:pStyle w:val="TextoNormalCentrado"/>
      </w:pPr>
    </w:p>
    <w:p w:rsidR="00163957" w:rsidRDefault="00163957" w:rsidP="00163957">
      <w:pPr>
        <w:pStyle w:val="SntesisDescriptiva"/>
      </w:pPr>
      <w:r>
        <w:t>Recurso de amparo 5578-2014. Promovido por don José María Gómez-Arostegui González, en representación de su hijo, entonces menor, don Ignacio Gómez-Arostegui de Juan, en relación con las resoluciones dictadas por la Audiencia Provincial y un Juzgado de Menores de Madrid que acordaron el sobreseimiento de un expediente de reforma de menores.</w:t>
      </w:r>
    </w:p>
    <w:p w:rsidR="00163957" w:rsidRDefault="00163957" w:rsidP="00163957">
      <w:pPr>
        <w:pStyle w:val="SntesisDescriptiva"/>
      </w:pPr>
    </w:p>
    <w:p w:rsidR="00163957" w:rsidRDefault="00163957" w:rsidP="00163957">
      <w:pPr>
        <w:pStyle w:val="SntesisAnaltica"/>
      </w:pPr>
      <w:r>
        <w:t>Supuesta vulneración del derecho a la tutela judicial efectiva: estimación sin retroacción de un recurso de apelación consecuencia de la ponderación de los intereses en conflicto, tanto de la acusación particular, como del menor expedientado.</w:t>
      </w:r>
    </w:p>
    <w:p w:rsidR="00163957" w:rsidRDefault="00163957" w:rsidP="00163957">
      <w:pPr>
        <w:pStyle w:val="SntesisAnaltica"/>
      </w:pPr>
    </w:p>
    <w:p w:rsidR="00163957" w:rsidRDefault="00163957" w:rsidP="00163957">
      <w:pPr>
        <w:pStyle w:val="Extracto"/>
      </w:pPr>
      <w:r>
        <w:t>1.</w:t>
      </w:r>
      <w:r>
        <w:tab/>
        <w:t>Procede desestimar el amparo, pues el razonamiento efectuado por el órgano judicial no puede tacharse de arbitrario ni incurso en error patente, puesto que pondera los intereses en conflicto a partir de las circunstancias del caso para llegar a considerar prevalente el interés del menor expedientado [FJ 5].</w:t>
      </w:r>
    </w:p>
    <w:p w:rsidR="00163957" w:rsidRDefault="00163957" w:rsidP="00163957">
      <w:pPr>
        <w:pStyle w:val="Extracto"/>
      </w:pPr>
    </w:p>
    <w:p w:rsidR="00163957" w:rsidRDefault="00163957" w:rsidP="00163957">
      <w:pPr>
        <w:pStyle w:val="Extracto"/>
      </w:pPr>
      <w:r>
        <w:t>2.</w:t>
      </w:r>
      <w:r>
        <w:tab/>
        <w:t>La resolución judicial que dispone el sobreseimiento y archivo de las actuaciones consideró el dato de que el menor expedientado había llevado a cabo una actividad educativa y los efectos negativos que pudieran derivarse de la excesiva prolongación del proceso [FJ 5].</w:t>
      </w:r>
    </w:p>
    <w:p w:rsidR="00163957" w:rsidRDefault="00163957" w:rsidP="00163957">
      <w:pPr>
        <w:pStyle w:val="Extracto"/>
      </w:pPr>
    </w:p>
    <w:p w:rsidR="00163957" w:rsidRDefault="00163957" w:rsidP="00163957">
      <w:pPr>
        <w:pStyle w:val="Extracto"/>
      </w:pPr>
      <w:r>
        <w:t>3.</w:t>
      </w:r>
      <w:r>
        <w:tab/>
        <w:t>Cuando la reparación ordinaria a través de la nulidad con retroacción de actuaciones entre en conflicto con otros derechos dignos de tutela, la solución habrá de adoptarse previa ponderación de los derechos en conflicto y conforme a los principios de proporcionalidad y motivación del juicio de ponderación [FJ 3].</w:t>
      </w:r>
    </w:p>
    <w:p w:rsidR="00163957" w:rsidRDefault="00163957" w:rsidP="00163957">
      <w:pPr>
        <w:pStyle w:val="Extracto"/>
      </w:pPr>
    </w:p>
    <w:p w:rsidR="00163957" w:rsidRDefault="00163957" w:rsidP="00163957">
      <w:pPr>
        <w:pStyle w:val="Extracto"/>
      </w:pPr>
      <w:r>
        <w:t>4.</w:t>
      </w:r>
      <w:r>
        <w:tab/>
        <w:t>En el proceso penal de menores el canon de constitucionalidad no puede ser el mismo que el que resultaría aplicable en un proceso penal de adultos, pues el principio de interés superior del menor modula la intensidad de los derechos que ostenta la acusación particular [FJ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el recurso de amparo núm. 5578-2014, promovido por don José María Gómez-Arostegui González, en representación de su hijo, entonces menor, don Ignacio Gómez-Arostegui de Juan, representado por la Procuradora de los Tribunales doña María del Carmen Moreno Ramos y defendido por el Letrado don José Ángel Ruiz Pérez, contra el Auto de la Sección Cuarta de la Audiencia Provincial de Madrid de fecha 30 de junio de 2014 desestimatorio del incidente de nulidad de actuaciones, y contra el Auto de 31 de marzo de 2014 de la misma Sala y Sección, dictado en el recurso de apelación núm. 59-2013 dirigido contra el Auto del Juzgado de Menores núm. 5 de Madrid de 16 de enero de 2013 que acordó el sobreseimiento del expediente de reforma de menores núm. 236-2012. Ha comparecido don Carlos Hugo Villegas Herrera, representado por la Procuradora de los Tribunales doña María Villegas Ruiz, y el Ministerio Fiscal. Ha sido Ponente el Magistrado don Juan José González Rivas,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16 de septiembre de 2014, la Procuradora de los Tribunales doña María del Carmen Moreno Ramos, en nombre y representación de don José María Gómez-Arostegui González, quien, a su vez, actúa en representación de su hijo don Ignacio Gómez-Arostegui de Juan, y bajo la dirección del Abogado don José Ángel Ruiz Pérez, interpuso recurso de amparo contra las resoluciones referidas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en que se fundamenta la demanda de amparo son, sucintamente expuestos, los siguientes:</w:t>
      </w:r>
    </w:p>
    <w:p w:rsidR="00163957" w:rsidRDefault="00163957" w:rsidP="00163957">
      <w:pPr>
        <w:pStyle w:val="TextoNormal"/>
      </w:pPr>
    </w:p>
    <w:p w:rsidR="00163957" w:rsidRDefault="00163957" w:rsidP="00163957">
      <w:pPr>
        <w:pStyle w:val="TextoNormal"/>
      </w:pPr>
      <w:r>
        <w:t>a) El 22 de noviembre de 2011 don José María Gómez-Arostegui González formuló denuncia en la comisaría del Cuerpo Nacional de Policía de Pozuelo de Alarcón en la que refería que el día 17 de noviembre de 2011 su hijo Ignacio Gómez-Arostegui de Juan, que entonces era menor de edad, nacido el 17 de mayo de 1995, fue objeto de una agresión por parte de otro menor, de 16 años de edad, nacido el 17 de marzo de 1995, en el centro donde ambos cursaban estudios. A consecuencia de la agresión el perjudicado recibió asistencia médica en un centro hospitalario donde fue atendido de fractura nasal y desplazamiento de los huesos propios.</w:t>
      </w:r>
    </w:p>
    <w:p w:rsidR="00163957" w:rsidRDefault="00163957" w:rsidP="00163957">
      <w:pPr>
        <w:pStyle w:val="TextoNormal"/>
      </w:pPr>
    </w:p>
    <w:p w:rsidR="00163957" w:rsidRDefault="00163957" w:rsidP="00163957">
      <w:pPr>
        <w:pStyle w:val="TextoNormal"/>
      </w:pPr>
      <w:r>
        <w:t>b) Instruido el correspondiente atestado y remitido a la Fiscalía de Menores de Madrid, por decreto del Fiscal de 23 de diciembre de 2011 se incoaron diligencias preliminares, en el curso de las cuales se recibió declaración al perjudicado, que además fue reconocido por el médico forense. Consta en el acta de declaración que el menor estuvo asistido por su representante legal, al que se hizo el ofrecimiento de acciones, manifestando su intención de reclamar por las lesiones causadas a su hijo y por los gastos derivados del tratamiento médico. También se recibió declaración al menor denunciado asistido de abogado y de su representante legal.</w:t>
      </w:r>
    </w:p>
    <w:p w:rsidR="00163957" w:rsidRDefault="00163957" w:rsidP="00163957">
      <w:pPr>
        <w:pStyle w:val="TextoNormal"/>
      </w:pPr>
    </w:p>
    <w:p w:rsidR="00163957" w:rsidRDefault="00163957" w:rsidP="00163957">
      <w:pPr>
        <w:pStyle w:val="TextoNormal"/>
      </w:pPr>
      <w:r>
        <w:t xml:space="preserve">c) El 27 de julio de 2012 el ahora recurrente presentó escrito en la Fiscalía de Menores de Madrid por el que la Procuradora doña María del Carmen Moreno Ramos solicitó se le </w:t>
      </w:r>
      <w:r>
        <w:lastRenderedPageBreak/>
        <w:t>tuviese por personada en el procedimiento en nombre del perjudicado. Por decreto de 10 de agosto de 2012 se acordó incoar expediente de reforma, que se comunicó al Juzgado de Menores, notificando la incoación al denunciante e informándole de los derechos relativos al ejercicio de la acción civil. En la misma resolución se acordó solicitar del equipo técnico el informe preceptivo previsto en el art. 27.1 de la Ley Orgánica 5/2000, de 12 de enero, reguladora de la responsabilidad penal de los menores.</w:t>
      </w:r>
    </w:p>
    <w:p w:rsidR="00163957" w:rsidRDefault="00163957" w:rsidP="00163957">
      <w:pPr>
        <w:pStyle w:val="TextoNormal"/>
      </w:pPr>
    </w:p>
    <w:p w:rsidR="00163957" w:rsidRDefault="00163957" w:rsidP="00163957">
      <w:pPr>
        <w:pStyle w:val="TextoNormal"/>
      </w:pPr>
      <w:r>
        <w:t xml:space="preserve">d) En fecha 11 de septiembre de 2012, el Juzgado de Menores núm. 5 de Madrid dictó Auto acordando el inicio de las diligencias correspondientes al expediente de reforma núm. 236-2012 y pieza de responsabilidad civil. Tras otorgar, el 28 de septiembre de 2012, poder de representación </w:t>
      </w:r>
      <w:r w:rsidRPr="00163957">
        <w:rPr>
          <w:i/>
        </w:rPr>
        <w:t>apud-acta</w:t>
      </w:r>
      <w:r>
        <w:t>, por providencia de 1 de octubre de 2012, el Juzgado de Menores tuvo por personada en el expediente de reforma así como en la pieza de responsabilidad civil a la Procuradora de los Tribunales doña María del Carmen Moreno Ramos, en nombre y representación de Ignacio Gómez-Arostegui de Juan, en concepto de acusación particular, mandando que se entendiesen con aquella las sucesivas diligencias en el modo legalmente previsto. Dicha providencia se notificó a la Fiscalía de Menores el 3 de octubre de 2012.</w:t>
      </w:r>
    </w:p>
    <w:p w:rsidR="00163957" w:rsidRDefault="00163957" w:rsidP="00163957">
      <w:pPr>
        <w:pStyle w:val="TextoNormal"/>
      </w:pPr>
    </w:p>
    <w:p w:rsidR="00163957" w:rsidRDefault="00163957" w:rsidP="00163957">
      <w:pPr>
        <w:pStyle w:val="TextoNormal"/>
      </w:pPr>
      <w:r>
        <w:t>e) El 27 de septiembre de 2012 la Fiscalía de Menores dictó decreto teniendo por recibido el informe del equipo técnico “valorando la conveniencia de llevar a cabo una de las soluciones extrajudiciales previstas en el art. 19 LO 5/2000”. En el mismo decreto acordaba el Fiscal instar al equipo técnico para que hiciese efectiva la propuesta, remitir el informe a la entidad pública de protección de menores para que se lleve a cabo la solución extrajudicial apuntada, remitirlo al Juzgado de Menores y dar copia al Letrado del entonces menor. Este decreto no fue notificado al perjudicado.</w:t>
      </w:r>
    </w:p>
    <w:p w:rsidR="00163957" w:rsidRDefault="00163957" w:rsidP="00163957">
      <w:pPr>
        <w:pStyle w:val="TextoNormal"/>
      </w:pPr>
    </w:p>
    <w:p w:rsidR="00163957" w:rsidRDefault="00163957" w:rsidP="00163957">
      <w:pPr>
        <w:pStyle w:val="TextoNormal"/>
      </w:pPr>
      <w:r>
        <w:t>f) En fecha de 15 de octubre de 2012 fue emitido el informe de sanidad por el médico forense en el que consta la naturaleza de la lesión y el tratamiento médico que fue preciso dispensar al lesionado, consistente en dos intervenciones médicas, una para reducir la fractura y otra posterior de septoplastia secundaria con anestesia general. En ambos casos, la duración del ingreso hospitalario fue inferior a veinticuatro horas, habiéndose empleado 120 días para la estabilización lesional, 14 de ellos impeditivos, y no se apreciaron secuelas. El informe de sanidad fue unido al expediente por decreto de la Fiscalía de 22 de octubre de 2012.</w:t>
      </w:r>
    </w:p>
    <w:p w:rsidR="00163957" w:rsidRDefault="00163957" w:rsidP="00163957">
      <w:pPr>
        <w:pStyle w:val="TextoNormal"/>
      </w:pPr>
    </w:p>
    <w:p w:rsidR="00163957" w:rsidRDefault="00163957" w:rsidP="00163957">
      <w:pPr>
        <w:pStyle w:val="TextoNormal"/>
      </w:pPr>
      <w:r>
        <w:t>g) Con posterioridad, el informe del programa de reparaciones extrajudiciales fechado el 22 de noviembre de 2012 describió la oposición del padre del menor perjudicado, expresada con ocasión de una entrevista mantenida el mismo día, a la reparación extrajudicial del conflicto mediante reparación indirecta, y propuso la realización de una reparación extrajudicial en forma de actividad consistente en la realización de cinco sesiones de prestaciones en beneficio de la comunidad. Por decreto de 26 de noviembre de 2012, la Fiscalía de Menores acordó mostrar conformidad “con que la reparación extrajudicial la realice el menor en forma de actividad educativa”.</w:t>
      </w:r>
    </w:p>
    <w:p w:rsidR="00163957" w:rsidRDefault="00163957" w:rsidP="00163957">
      <w:pPr>
        <w:pStyle w:val="TextoNormal"/>
      </w:pPr>
    </w:p>
    <w:p w:rsidR="00163957" w:rsidRDefault="00163957" w:rsidP="00163957">
      <w:pPr>
        <w:pStyle w:val="TextoNormal"/>
      </w:pPr>
      <w:r>
        <w:t xml:space="preserve">h) La Agencia de la Comunidad de Madrid para la reeducación y reinserción del menor infractor emitió un informe sobre la actividad realizada por el menor, consistente en 25 horas, repartidas en cinco jornadas, de tareas de asistencia y acompañamiento a personas y </w:t>
      </w:r>
      <w:r>
        <w:lastRenderedPageBreak/>
        <w:t>tareas de colaboración en la campaña de Navidad —recogida de juguetes—, valorando positivamente la actitud y la actuación del menor. En base a dicho informe, con fecha de entrada en la Fiscalía de Menores el 10 de enero de 2013, por decreto de 11 de enero de 2013, la Fiscalía de Menores acordó dar por concluido el expediente, remitiéndolo al Juzgado de Menores con escrito solicitando el sobreseimiento y archivo del mismo. Dicho decreto tampoco fue notificado al perjudicado.</w:t>
      </w:r>
    </w:p>
    <w:p w:rsidR="00163957" w:rsidRDefault="00163957" w:rsidP="00163957">
      <w:pPr>
        <w:pStyle w:val="TextoNormal"/>
      </w:pPr>
    </w:p>
    <w:p w:rsidR="00163957" w:rsidRDefault="00163957" w:rsidP="00163957">
      <w:pPr>
        <w:pStyle w:val="TextoNormal"/>
      </w:pPr>
      <w:r>
        <w:t>i) El Auto de 16 de enero de 2013 dictado por el Juzgado de Menores acordó el sobreseimiento de las actuaciones y en el fundamento jurídico único señala literalmente: “De conformidad con lo prevenido en el artículo 27.4 de la Ley Orgánica 5/2000, de 12 de enero, reguladora de la responsabilidad Penal de los Menores, habiendo propuesto el Ministerio Fiscal el sobreseimiento de las actuaciones y reuniendo el presente caso los requisitos previstos en el artículo 19.1 de la mencionada ley, procede acceder a lo solicitado por dicho Ministerio Público y acordar, en consecuencia, como se hará en la parte dispositiva de esta Resolución.”</w:t>
      </w:r>
    </w:p>
    <w:p w:rsidR="00163957" w:rsidRDefault="00163957" w:rsidP="00163957">
      <w:pPr>
        <w:pStyle w:val="TextoNormal"/>
      </w:pPr>
    </w:p>
    <w:p w:rsidR="00163957" w:rsidRDefault="00163957" w:rsidP="00163957">
      <w:pPr>
        <w:pStyle w:val="TextoNormal"/>
      </w:pPr>
      <w:r>
        <w:t>j) La Procuradora de los Tribunales doña María del Carmen Moreno Ramos, en nombre y representación de Ignacio Gómez-Arostegui de Juan, interpuso recurso de apelación contra dicha resolución. En el escrito de interposición del recurso se terminaba suplicando el dictado de resolución por la que, literalmente: “1. Se declare la nulidad de todo lo actuado desde el momento de la personación en la causa de esta parte como Acusación Particular, y se notifiquen a esta representación todas las actuaciones y diligencias que se vayan practicando, a fin de que pueda ejercitar los derechos que le asisten como Acusación Particular. 2º. Subsidiariamente, se revoque el Auto por el que se declara terminado el procedimiento, ordenando la continuación del mismo, por no ser de aplicación el artículo 27, párrafos 3 y/o 4 de la Ley Orgánica 5/2000, de 12 de enero, debido a que no concurren los requisitos previstos en el artículo 19.1 de la misma Ley”.</w:t>
      </w:r>
    </w:p>
    <w:p w:rsidR="00163957" w:rsidRDefault="00163957" w:rsidP="00163957">
      <w:pPr>
        <w:pStyle w:val="TextoNormal"/>
      </w:pPr>
    </w:p>
    <w:p w:rsidR="00163957" w:rsidRDefault="00163957" w:rsidP="00163957">
      <w:pPr>
        <w:pStyle w:val="TextoNormal"/>
      </w:pPr>
      <w:r>
        <w:t>k) El recurso de apelación fue resuelto por Auto dictado por la Sección Cuarta de la Audiencia Provincial de Madrid, en fecha de 31 de marzo de 2014, que acordó “estimar parcialmente el recurso de apelación formulado por don Ignacio Gómez Arostegui de Juan declarando que sus derechos a la tutela judicial efectiva y a no sufrir indefensión han sido vulnerados en el marco de este proceso; desestimarlo en lo demás y, en consecuencia, rechazar la petición de nulidad del Auto de 16 de enero de 2013 del Juzgado de Menores núm. 5 de Madrid por el que se dispuso el sobreseimiento del expediente de reforma, al tiempo que se declaran de oficio las costas de esta alzada”.</w:t>
      </w:r>
    </w:p>
    <w:p w:rsidR="00163957" w:rsidRDefault="00163957" w:rsidP="00163957">
      <w:pPr>
        <w:pStyle w:val="TextoNormal"/>
      </w:pPr>
    </w:p>
    <w:p w:rsidR="00163957" w:rsidRDefault="00163957" w:rsidP="00163957">
      <w:pPr>
        <w:pStyle w:val="TextoNormal"/>
      </w:pPr>
      <w:r>
        <w:t>El análisis de sus razonamientos jurídicos nos lleva a subrayar, a los efectos del presente recurso de amparo, los siguientes:</w:t>
      </w:r>
    </w:p>
    <w:p w:rsidR="00163957" w:rsidRDefault="00163957" w:rsidP="00163957">
      <w:pPr>
        <w:pStyle w:val="TextoNormal"/>
      </w:pPr>
    </w:p>
    <w:p w:rsidR="00163957" w:rsidRDefault="00163957" w:rsidP="00163957">
      <w:pPr>
        <w:pStyle w:val="TextoNormal"/>
      </w:pPr>
      <w:r>
        <w:t xml:space="preserve">“SEGUNDO ... Todo ello nos lleva a concluir que en el procedimiento seguido en virtud de la denuncia formulada por el recurrente se ha vulnerado su derecho a obtener la tutela judicial efectiva, puesto que considerado el proceso en su conjunto sólo podemos concluir que el acusador particular no ha contado con una oportunidad efectiva de participar en el mismo ni de influir en su resultado, lo que conlleva, además, la violación de su derecho a no sufrir indefensión. Más aún, se ha puesto término al expediente a través de sendas resoluciones, de la Fiscalía y del Juzgado de Menores, en las que no se justifica la concurrencia </w:t>
      </w:r>
      <w:r>
        <w:lastRenderedPageBreak/>
        <w:t>de los elementos reglados del ejercicio de la oportunidad, lo que a su vez determina la violación del derecho a obtener una resolución fundada en Derecho.</w:t>
      </w:r>
    </w:p>
    <w:p w:rsidR="00163957" w:rsidRDefault="00163957" w:rsidP="00163957">
      <w:pPr>
        <w:pStyle w:val="TextoNormal"/>
      </w:pPr>
    </w:p>
    <w:p w:rsidR="00163957" w:rsidRDefault="00163957" w:rsidP="00163957">
      <w:pPr>
        <w:pStyle w:val="TextoNormal"/>
      </w:pPr>
      <w:r>
        <w:t>TERCERO. La vulneración de los derechos del recurrente a la tutela judicial efectiva y a no sufrir indefensión (art. 24.1 CE) da lugar a que concurra un motivo de nulidad (art. 238.3 LOPJ) que ha sido invocado por el recurrente solicitando la reapertura del proceso, para que se le permita ejercitar la acusación contra el menor expedientado en el curso de la audiencia prevista en el art 37 LO 5/2000. Mas para decidir si la estimación de este recurso debe conllevar la consecuencia procesal pretendida por el apelante hemos de tener en cuenta no solo la necesidad de restablecerle en su derecho a la tutela judicial efectiva, sino también la protección de los derechos del apelado que en este caso, tratándose de un menor, adquieren una significación especial.</w:t>
      </w:r>
    </w:p>
    <w:p w:rsidR="00163957" w:rsidRDefault="00163957" w:rsidP="00163957">
      <w:pPr>
        <w:pStyle w:val="TextoNormal"/>
      </w:pPr>
    </w:p>
    <w:p w:rsidR="00163957" w:rsidRDefault="00163957" w:rsidP="00163957">
      <w:pPr>
        <w:pStyle w:val="TextoNormal"/>
      </w:pPr>
      <w:r>
        <w:t>Entre los derechos del apelado que deben ser protegidos se encuentra el derecho a no ser objeto de una persecución penal múltiple (</w:t>
      </w:r>
      <w:r w:rsidRPr="00163957">
        <w:rPr>
          <w:i/>
        </w:rPr>
        <w:t>ne bis in idem</w:t>
      </w:r>
      <w:r>
        <w:t>). Su eficacia, sin embargo, no es para que el Tribunal Constitucional haya admitido que se acuerde la nulidad de la sentencia absolutoria y se disponga la realización de un nuevo enjuiciamiento, si aquélla se dictó en un proceso en el que no se respetaron los derechos de la acusación (STC 2/2003, de 16 de enero). Como establece la STC 218/2007, ‘no cabe hablar en rigor de doble proceso cuando el que pudiera ser considerado como primero ha sido anulado’ (FJ 4).</w:t>
      </w:r>
    </w:p>
    <w:p w:rsidR="00163957" w:rsidRDefault="00163957" w:rsidP="00163957">
      <w:pPr>
        <w:pStyle w:val="TextoNormal"/>
      </w:pPr>
    </w:p>
    <w:p w:rsidR="00163957" w:rsidRDefault="00163957" w:rsidP="00163957">
      <w:pPr>
        <w:pStyle w:val="TextoNormal"/>
      </w:pPr>
      <w:r>
        <w:t>En el caso sometido a nuestra consideración la situación del menor imputado es diferente, pues el archivo del proceso fue acordado después de que el menor expedientado accediese a realizar una actividad educativa de naturaleza y extensión equivalente a la medida que se le habría impuesto si su responsabilidad se hubiese declarado en una sentencia judicial tras la celebración de la audiencia cuya celebración se reclama en el recurso de apelación. La misma parte recurrente así lo ha reconocido en el curso de la audiencia convocada por este Tribunal para oír a las partes sobre el alcance de la pretensión de nulidad deducida en el recurso de apelación. Tal y como se hizo constar en la diligencia de vista, todas las partes estuvieron de acuerdo en que la medida habría consistido en la realización de una actividad educativa, aunque su duración podría haber sido superior, lo que a juicio del recurrente podría haberse resuelto descontando de la medida las veinticinco horas de prestaciones ya realizadas.</w:t>
      </w:r>
    </w:p>
    <w:p w:rsidR="00163957" w:rsidRDefault="00163957" w:rsidP="00163957">
      <w:pPr>
        <w:pStyle w:val="TextoNormal"/>
      </w:pPr>
    </w:p>
    <w:p w:rsidR="00163957" w:rsidRDefault="00163957" w:rsidP="00163957">
      <w:pPr>
        <w:pStyle w:val="TextoNormal"/>
      </w:pPr>
      <w:r>
        <w:t xml:space="preserve">Llegados a este punto solo podemos concluir que el efecto anulatorio pretendido en el recurso de apelación es desproporcionado y contrario a los intereses del menor, no solo a los fines educativos que debe presidir la intervención en el proceso penal de menores, sino también a la garantía material de la prohibición constitucional del </w:t>
      </w:r>
      <w:r w:rsidRPr="00163957">
        <w:rPr>
          <w:i/>
        </w:rPr>
        <w:t>bis in idem</w:t>
      </w:r>
      <w:r>
        <w:t xml:space="preserve"> (art. 25 CE), ya que en este caso la conducta del menor fue objeto de reprobación por los órganos titulares del ejercicio de la potestad punitiva estatal y, además, cumplió una prestación equivalente a la medida que se le habría impuesto si el proceso no hubiese concluido anticipadamente. Por ello, en el presente caso restablecer al recurrente en su derecho a la tutela judicial efectiva y a no sufrir indefensión no ha de conllevar la retroacción del procedimiento ni, por tanto, prescindir del efecto de cosa juzgada que se deriva del archivo y sobreseimiento de la causa. Todo ello, sin perjuicio de que la declaración que este Tribunal hace de la vulneración de los derechos del apelante, que en sí misma tiene un efecto reparador, no pueda ser objeto de otra clase de reparación la cual, sin embargo, no puede ser acordada en el seno de este </w:t>
      </w:r>
      <w:r>
        <w:lastRenderedPageBreak/>
        <w:t>proceso, puesto que ni constituye el objeto de este recurso ni acordarla es competencia de este Tribunal.”</w:t>
      </w:r>
    </w:p>
    <w:p w:rsidR="00163957" w:rsidRDefault="00163957" w:rsidP="00163957">
      <w:pPr>
        <w:pStyle w:val="TextoNormal"/>
      </w:pPr>
    </w:p>
    <w:p w:rsidR="00163957" w:rsidRDefault="00163957" w:rsidP="00163957">
      <w:pPr>
        <w:pStyle w:val="TextoNormal"/>
      </w:pPr>
      <w:r>
        <w:t>l) Con fecha de 4 de junio de 2014, el ahora demandante interpuso incidente de nulidad de actuaciones que fue desestimado por Auto de la misma Sala y Sección de 30 de junio de 2014. En su fundamento de derecho único se razona literalmente: “El Ministerio Fiscal y la representación del apelado, sin embargo, entienden que el incidente de nulidad carece de fundamento y, por tanto, debe desestimarse. Así también lo entiende este Tribunal, que se ha visto obligado a ponderar los diversos intereses en conflicto, el derecho del recurrente a la tutela judicial efectiva y a no sufrir indefensión y el del menor apelado a no ser objeto de una persecución penal múltiple, y sin que, por otro lado, haya motivo para entender que la resolución dictada deja de resolver alguna de las cuestiones planteadas, pues en su fundamentación se da cumplida respuesta a todas las cuestiones suscitadas por el promotor de este incidente, cuya pretensión de nulidad, por tanto, ha de ser desestimada, condenándole al pago de las costas causadas por este incidente.”.</w:t>
      </w:r>
    </w:p>
    <w:p w:rsidR="00163957" w:rsidRDefault="00163957" w:rsidP="00163957">
      <w:pPr>
        <w:pStyle w:val="TextoNormal"/>
      </w:pPr>
    </w:p>
    <w:p w:rsidR="00163957" w:rsidRDefault="00163957" w:rsidP="00163957">
      <w:pPr>
        <w:pStyle w:val="TextoNormal"/>
      </w:pPr>
      <w:r w:rsidRPr="00163957">
        <w:rPr>
          <w:rStyle w:val="NumeroAFNegritaCaracter"/>
        </w:rPr>
        <w:t>3</w:t>
      </w:r>
      <w:r>
        <w:t>. La parte recurrente aduce en su demanda de amparo que los Autos de 31 de marzo y de 30 de junio de 2014 infringen el derecho a la tutela judicial efectiva, el derecho a no sufrir indefensión y el derecho a obtener una resolución fundada en derecho (art. 24.1 CE). Considera que, una vez declarada la existencia de la violación de dichos derechos fundamentales del recurrente en la instancia judicial, tal y como aprecia el propio Auto de 31 de marzo de 2014, “la cuestión no es, por tanto, si se ha producido tal violación, sino cuál es la consecuencia de la confirmación judicial de la infracción constitucional y, más concretamente, si la reparación y restitución de los derechos constitucionales de mi representado exige la nulidad del procedimiento judicial en que se produjo la infracción constitucional y de la resolución que le pone fin o si, por el contrario, basta con la simple declaración bien intencionada de que tal violación se ha producido, sosteniendo y confirmando las resoluciones que infringen los derechos constitucionales”.</w:t>
      </w:r>
    </w:p>
    <w:p w:rsidR="00163957" w:rsidRDefault="00163957" w:rsidP="00163957">
      <w:pPr>
        <w:pStyle w:val="TextoNormal"/>
      </w:pPr>
    </w:p>
    <w:p w:rsidR="00163957" w:rsidRDefault="00163957" w:rsidP="00163957">
      <w:pPr>
        <w:pStyle w:val="TextoNormal"/>
      </w:pPr>
      <w:r>
        <w:t>a) A juicio del recurrente en amparo, aceptar que un Juzgado o Tribunal (o cada uno de ellos) pueda dictar o confirmar una resolución judicial que infrinja gravemente los derechos fundamentales de una de las partes, argumentando para ello sus particulares criterios de equidad, oportunidad, proporcionalidad o cualesquiera otros, supone consagrar la particularidad de tales criterios por encima de la propia Constitución, lo que, en el peor de los casos, abre una peligrosísima puerta a la sustitución de los derechos constitucionales por los personales criterios de cada Juzgado o Tribunal que, con el mismo fundamento —o con total carencia de fundamento— podría apartarse del riguroso respeto de los derechos constitucionales, esgrimiendo las razones que, a su juicio, concurrieran en cada caso para dictar o ratificar una resolución judicial pese a constarle que el procedimiento en el que la misma se ha dictado o la resolución misma infringen gravemente los derechos constitucionales de una de las partes.</w:t>
      </w:r>
    </w:p>
    <w:p w:rsidR="00163957" w:rsidRDefault="00163957" w:rsidP="00163957">
      <w:pPr>
        <w:pStyle w:val="TextoNormal"/>
      </w:pPr>
    </w:p>
    <w:p w:rsidR="00163957" w:rsidRDefault="00163957" w:rsidP="00163957">
      <w:pPr>
        <w:pStyle w:val="TextoNormal"/>
      </w:pPr>
      <w:r>
        <w:t>b) Esta parte termina suplicando que “se dicte Sentencia otorgando el amparo que se solicita en los siguientes términos: se declare que las referidas resoluciones judiciales (Autos de 31 de marzo y 30 de junio de 2014) han vulnerado los derechos fundamentales a la tutela judicial efectiva, a no sufrir indefensión y a obtener una resolución fundada en derecho de mi mandante, se anulen los referidos Autos y se ordene la retroacción de las actuaciones al momento procesal correspondiente”.</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providencia de 11 de junio de 2015, la Sala Segunda de este Tribunal acordó la admisión a trámite de la demanda de amparo presentada, “apreciando que concurre en el mismo una especial trascendencia constitucional (art. 50.1 LOTC) porque el recurso plantea un problema o afecta a una faceta de un derecho fundamental sobre el que no hay doctrina de este Tribunal [STC 155/2009, FJ 2 a)]”, y, de conformidad con lo dispuesto en el art. 51 de la Ley Orgánica del Tribunal Constitucional (LOTC), dirigir atenta comunicación a la Sección Cuarta de la Audiencia Provincial de Madrid a fin de que, en plazo que no exceda de diez días, remitiera certificación o fotocopia adverada de las actuaciones correspondientes al rollo de Sala núm. 59-2013, así como al Juzgado de Menores núm. 5 de Madrid a fin de que, en igual plazo, remitiera certificación o fotocopia adverada de las actuaciones correspondiente al expediente de reforma núm. 236-2012 y emplazase a quienes hubieran sido parte en el procedimiento, excepto la parte recurrente en amparo, para que en el plazo de diez días pudieran comparecer en el recurso de amparo.</w:t>
      </w:r>
    </w:p>
    <w:p w:rsidR="00163957" w:rsidRDefault="00163957" w:rsidP="00163957">
      <w:pPr>
        <w:pStyle w:val="TextoNormal"/>
      </w:pPr>
    </w:p>
    <w:p w:rsidR="00163957" w:rsidRDefault="00163957" w:rsidP="00163957">
      <w:pPr>
        <w:pStyle w:val="TextoNormal"/>
      </w:pPr>
      <w:r w:rsidRPr="00163957">
        <w:rPr>
          <w:rStyle w:val="NumeroAFNegritaCaracter"/>
        </w:rPr>
        <w:t>5</w:t>
      </w:r>
      <w:r>
        <w:t>. Por diligencia de ordenación del Secretario de Justicia de la Sala Segunda de este Tribunal de fecha 3 de septiembre de 2015, se acordó tener por personado y parte en el procedimiento a la Procuradora doña María Villegas Ruiz, en nombre y representación de don Hugo Villegas Herrera, ordenándose entender con ella las sucesivas actuaciones, y, con arreglo al art. 52 LOTC, conceder a las partes personadas y el Ministerio Fiscal el plazo común de 20 días para que, con vista de las actuaciones, formulasen alegaciones.</w:t>
      </w:r>
    </w:p>
    <w:p w:rsidR="00163957" w:rsidRDefault="00163957" w:rsidP="00163957">
      <w:pPr>
        <w:pStyle w:val="TextoNormal"/>
      </w:pPr>
    </w:p>
    <w:p w:rsidR="00163957" w:rsidRDefault="00163957" w:rsidP="00163957">
      <w:pPr>
        <w:pStyle w:val="TextoNormal"/>
      </w:pPr>
      <w:r w:rsidRPr="00163957">
        <w:rPr>
          <w:rStyle w:val="NumeroAFNegritaCaracter"/>
        </w:rPr>
        <w:t>6</w:t>
      </w:r>
      <w:r>
        <w:t>. La parte recurrente presentó escrito en que se remite íntegramente a la demanda inicial.</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La Procuradora doña María Villegas Ruiz, en nombre y representación de don Hugo Villegas Herrera, presentó escrito de alegaciones en el que interesa la desestimación del recurso de amparo. Considera que los motivos invocados por el demandante carecen de fundamento al ignorar el actor que, junto a su derecho fundamental vulnerado de tutela judicial efectiva coexiste otro derecho fundamental del menor enfrentado, el </w:t>
      </w:r>
      <w:r w:rsidRPr="00163957">
        <w:rPr>
          <w:i/>
        </w:rPr>
        <w:t>ne bis in idem</w:t>
      </w:r>
      <w:r>
        <w:t>, a no ser enjuiciado y condenado a una nueva pena correctiva cuando ya la primera pena fue impuesta, ejecutada y cumplida. En segundo lugar, aduce que lo pretendido por el recurrente, consistente en el reconocimiento de la nulidad y retroacción, resulta desproporcionado y que no debe inexorablemente acordarse en contra del derecho fundamental de la otra parte.</w:t>
      </w:r>
    </w:p>
    <w:p w:rsidR="00163957" w:rsidRDefault="00163957" w:rsidP="00163957">
      <w:pPr>
        <w:pStyle w:val="TextoNormal"/>
      </w:pPr>
    </w:p>
    <w:p w:rsidR="00163957" w:rsidRDefault="00163957" w:rsidP="00163957">
      <w:pPr>
        <w:pStyle w:val="TextoNormal"/>
      </w:pPr>
      <w:r w:rsidRPr="00163957">
        <w:rPr>
          <w:rStyle w:val="NumeroAFNegritaCaracter"/>
        </w:rPr>
        <w:t>8</w:t>
      </w:r>
      <w:r>
        <w:t>. El Ministerio Fiscal presentó su escrito de alegaciones en el que termina solicitando que se otorgue el amparo, se declare la vulneración del derecho a la tutela judicial efectiva (art. 24.1 CE), se acuerde la nulidad de las resoluciones impugnadas, esto es, los Autos de la Sección Cuarta de la Audiencia Provincial de Madrid, de fechas 30 de junio y 31 de marzo de 2014, recaídos en el recurso de apelación interpuesto contra el Auto de 16 de enero de 2013 del Juzgado de menores núm. 5 de Madrid, y se retrotraigan las actuaciones al momento inmediatamente anterior a las resoluciones judiciales anuladas para que se dicte otra resolución respetuosa con el derecho que se declara vulnerado.</w:t>
      </w:r>
    </w:p>
    <w:p w:rsidR="00163957" w:rsidRDefault="00163957" w:rsidP="00163957">
      <w:pPr>
        <w:pStyle w:val="TextoNormal"/>
      </w:pPr>
    </w:p>
    <w:p w:rsidR="00163957" w:rsidRDefault="00163957" w:rsidP="00163957">
      <w:pPr>
        <w:pStyle w:val="TextoNormal"/>
      </w:pPr>
      <w:r>
        <w:t>El Ministerio Fiscal alega, en síntesis, lo siguiente:</w:t>
      </w:r>
    </w:p>
    <w:p w:rsidR="00163957" w:rsidRDefault="00163957" w:rsidP="00163957">
      <w:pPr>
        <w:pStyle w:val="TextoNormal"/>
      </w:pPr>
    </w:p>
    <w:p w:rsidR="00163957" w:rsidRDefault="00163957" w:rsidP="00163957">
      <w:pPr>
        <w:pStyle w:val="TextoNormal"/>
      </w:pPr>
      <w:r>
        <w:lastRenderedPageBreak/>
        <w:t>a) La cuestión planteada no es si se han producido violaciones de los derechos fundamentales de la acusación particular, sino cuál es la consecuencia de la confirmación judicial de la infracción constitucional y, más concretamente, si la reparación y restitución de los derechos constitucionales del recurrente exige la nulidad del procedimiento judicial en que se produjo la infracción constitucional y de la resolución que le pone fin; o si, por el contrario, en los términos que emplea la demanda, basta con la simple declaración “bienintencionada” de que tal violación se ha producido, sosteniendo y confirmando las resoluciones que infringen los derechos constitucionales.</w:t>
      </w:r>
    </w:p>
    <w:p w:rsidR="00163957" w:rsidRDefault="00163957" w:rsidP="00163957">
      <w:pPr>
        <w:pStyle w:val="TextoNormal"/>
      </w:pPr>
    </w:p>
    <w:p w:rsidR="00163957" w:rsidRDefault="00163957" w:rsidP="00163957">
      <w:pPr>
        <w:pStyle w:val="TextoNormal"/>
      </w:pPr>
      <w:r>
        <w:t>b) La interpretación, aplicación y general eficacia de la Carta Magna permite determinar si es o no admisible el seguimiento de procedimientos judiciales y el dictado (o la ratificación al resolver el recurso de apelación) de resoluciones judiciales que infrinjan gravemente los derechos constitucionales de una de las partes intervinientes en el proceso, pese a la comprobación jurisdiccional de la certeza de la violación constitucional, con base y fundamento en particulares criterios de equilibrio, oportunidad, equidad u otros cualesquiera, que de este modo se constituyen en supra constitucionales, lo que legitima el sostenimiento, la aplicación y ejecución de resoluciones judiciales dictadas al margen y con manifiesta infracción de los principios constitucionales.</w:t>
      </w:r>
    </w:p>
    <w:p w:rsidR="00163957" w:rsidRDefault="00163957" w:rsidP="00163957">
      <w:pPr>
        <w:pStyle w:val="TextoNormal"/>
      </w:pPr>
    </w:p>
    <w:p w:rsidR="00163957" w:rsidRDefault="00163957" w:rsidP="00163957">
      <w:pPr>
        <w:pStyle w:val="TextoNormal"/>
      </w:pPr>
      <w:r>
        <w:t xml:space="preserve">c) Tras un extenso análisis de la doctrina contenida en la STC 218/2007, de 8 de octubre, en la que la que se resolvía el conflicto, a propósito de un proceso penal de mayores, entre el derecho la presunción de inocencia y el derecho a la tutela judicial efectiva de los perjudicados, y en la STC 2/2003, de 16 de enero, sobre la garantía material del principio </w:t>
      </w:r>
      <w:r w:rsidRPr="00163957">
        <w:rPr>
          <w:i/>
        </w:rPr>
        <w:t>ne bis in idem</w:t>
      </w:r>
      <w:r>
        <w:t xml:space="preserve">, en relación con los hechos enjuiciados y los principios del derecho penal de menores, considera el Fiscal que sería conciliable con la doctrina constitucional traída a colación que, constatada una vulneración palmaria de la tutela judicial efectiva sin indefensión del art. 24.1 CE, en cuanto se han desconocido las garantías esenciales del proceso que asistían a la acusación particular en defensa de sus posiciones, privándola de intervenir en incidentes cruciales para sus intereses de naturaleza penal y civil, cabría anudar al reconocimiento de tal vulneración el efecto anulatorio y de retroacción de las actuaciones sin contrariar el principio del </w:t>
      </w:r>
      <w:r w:rsidRPr="00163957">
        <w:rPr>
          <w:i/>
        </w:rPr>
        <w:t>ne bis in idem</w:t>
      </w:r>
      <w:r>
        <w:t xml:space="preserve"> ni en su vertiente procesal ni en su vertiente material.</w:t>
      </w:r>
    </w:p>
    <w:p w:rsidR="00163957" w:rsidRDefault="00163957" w:rsidP="00163957">
      <w:pPr>
        <w:pStyle w:val="TextoNormal"/>
      </w:pPr>
    </w:p>
    <w:p w:rsidR="00163957" w:rsidRDefault="00163957" w:rsidP="00163957">
      <w:pPr>
        <w:pStyle w:val="TextoNormal"/>
      </w:pPr>
      <w:r>
        <w:t>d) Así, considera el Ministerio Fiscal que de las circunstancias concurrentes se deriva la posibilidad para el acusador particular no sólo de solicitar y obtener una medida educativa en condiciones más ajustadas a su legítima pretensión correccional sino de defender una posición sobre las lesiones ocasionadas al menor agredido que le brindaría un resarcimiento por responsabilidad civil de mayor satisfacción para sus legítimos intereses sin acudir inexorablemente a la vía civil. Los intereses tendentes a lograr la respuesta sancionadora más adecuada son consustanciales a la admisión de la acusación particular en el proceso de menores, puesto que está lejos ya de tratarse de un mero coadyuvante civil, y como refleja la exposición de motivos de la Ley Orgánica 8/2006, el legislador justifica que el interés superior del menor, que va a seguir primando en la Ley, es perfectamente compatible con el objetivo de pretender una mayor proporcionalidad entre la respuesta sancionadora y la gravedad del hecho cometido, pues el sistema sigue dejando en manos del juez, en último caso, la valoración y ponderación de ambos principios de modo flexible y en favor de la óptima individualización de la respuesta. De otro modo, nos llevaría a entender de un modo trivial que el interés superior del menor es no sólo superior, sino único y excluyente frente a otros bienes constitucionales a cuyo aseguramiento obedece toda norma punitiva o correccional.</w:t>
      </w:r>
    </w:p>
    <w:p w:rsidR="00163957" w:rsidRDefault="00163957" w:rsidP="00163957">
      <w:pPr>
        <w:pStyle w:val="TextoNormal"/>
      </w:pPr>
    </w:p>
    <w:p w:rsidR="00163957" w:rsidRDefault="00163957" w:rsidP="00163957">
      <w:pPr>
        <w:pStyle w:val="TextoNormal"/>
      </w:pPr>
      <w:r>
        <w:t xml:space="preserve">e) Concluye el Fiscal señalando que la gravedad de la indefensión ocasionada y la entidad de la infracciones de derechos fundamentales constatadas permitía una conciliación más ajustada de las necesidades concurrentes en conflicto, teniéndose en cuenta que el Tribunal de apelación podría haber ordenado la retroacción y salvar el supuesto inconveniente del </w:t>
      </w:r>
      <w:r w:rsidRPr="00163957">
        <w:rPr>
          <w:i/>
        </w:rPr>
        <w:t>ne bis in idem</w:t>
      </w:r>
      <w:r>
        <w:t xml:space="preserve"> efectuando una expresa llamada a respetar una fórmula de compensación como la sugerida por el propio apelante en la vista de apelación: el descuento en el supuesto de confirmarse finalmente una medida educativo sancionatoria.</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11 de febrero de 2016, se señaló para deliberación y votación de la presente Sentencia el día 15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Se interpone el presente recurso de amparo contra el Auto de la Sección Cuarta de la Audiencia Provincial de Madrid de fecha 30 de junio de 2014 desestimatorio del incidente de nulidad de actuaciones promovido contra el Auto de 31 de marzo de 2014 de la misma Sala y Sección, dictado en el recurso de apelación núm. 59-2013 interpuesto contra el Auto del Juzgado de Menores núm. 5 de Madrid de 16 de enero de 2013 que acordó el sobreseimiento del expediente de reforma de menores núm. 236-2012.</w:t>
      </w:r>
    </w:p>
    <w:p w:rsidR="00163957" w:rsidRDefault="00163957" w:rsidP="00163957">
      <w:pPr>
        <w:pStyle w:val="TextoNormal"/>
      </w:pPr>
    </w:p>
    <w:p w:rsidR="00163957" w:rsidRDefault="00163957" w:rsidP="00163957">
      <w:pPr>
        <w:pStyle w:val="TextoNormal"/>
      </w:pPr>
      <w:r>
        <w:t>Según ha quedado expuesto en el apartado de antecedentes, el Auto de 31 de marzo de 2014, ratificado después al desestimarse por Auto de fecha 30 de junio de 2014 el incidente de nulidad de actuaciones promovido por el ahora recurrente, consideró que se había infringido el derecho fundamental de éste, como acusación particular, a la tutela judicial efectiva sin indefensión (art. 24.1 CE), pero desestimó la pretensión de declaración de nulidad y retroacción de actuaciones que había sido solicitada en la apelación como consecuencia anudada a aquel reconocimiento. Es este pronunciamiento, en cuanto rechaza la anulación y reposición de las actuaciones procesales al estado y momento exigibles para la restitución del derecho fundamental declarado lesionado, el que se impugna en el recurso de amparo.</w:t>
      </w:r>
    </w:p>
    <w:p w:rsidR="00163957" w:rsidRDefault="00163957" w:rsidP="00163957">
      <w:pPr>
        <w:pStyle w:val="TextoNormal"/>
      </w:pPr>
    </w:p>
    <w:p w:rsidR="00163957" w:rsidRDefault="00163957" w:rsidP="00163957">
      <w:pPr>
        <w:pStyle w:val="TextoNormal"/>
      </w:pPr>
      <w:r>
        <w:t>A juicio de la parte recurrente, tal pronunciamiento infringe el derecho a la tutela judicial efectiva, el derecho a no sufrir indefensión y el derecho a obtener una resolución fundada en derecho (art. 24.1 CE) en cuanto que, a su juicio, la reparación y restitución de los derechos fundamentales lesionados exige la nulidad del procedimiento judicial en que se produjo la infracción, sin que baste con la simple declaración de que tal violación se ha producido para reparar la vulneración, y sin que los criterios judiciales de equidad, oportunidad, proporcionalidad o cualesquiera otros pueden superponerse sobre dicha exigencia.</w:t>
      </w:r>
    </w:p>
    <w:p w:rsidR="00163957" w:rsidRDefault="00163957" w:rsidP="00163957">
      <w:pPr>
        <w:pStyle w:val="TextoNormal"/>
      </w:pPr>
    </w:p>
    <w:p w:rsidR="00163957" w:rsidRDefault="00163957" w:rsidP="00163957">
      <w:pPr>
        <w:pStyle w:val="TextoNormal"/>
      </w:pPr>
      <w:r>
        <w:t xml:space="preserve">La representación de don Carlos Hugo Villegas considera que la queja carece de sustento al ignorar el recurrente que, junto a su derecho fundamental vulnerado, el de tutela judicial efectiva, coexiste otro derecho fundamental del menor enfrentado, el de </w:t>
      </w:r>
      <w:r w:rsidRPr="00163957">
        <w:rPr>
          <w:i/>
        </w:rPr>
        <w:t>ne bis in idem</w:t>
      </w:r>
      <w:r>
        <w:t>, a no ser enjuiciado y condenado a una nueva pena correctiva cuando ya la primera pena fue impuesta, ejecutada y cumplida. En segundo lugar, aduce que lo pretendido por el recurrente, consistente en el reconocimiento de la nulidad y la retroacción, resulta desproporcionado, y que no debe inexorablemente acordarse en contra del derecho fundamental de la otra parte.</w:t>
      </w:r>
    </w:p>
    <w:p w:rsidR="00163957" w:rsidRDefault="00163957" w:rsidP="00163957">
      <w:pPr>
        <w:pStyle w:val="TextoNormal"/>
      </w:pPr>
    </w:p>
    <w:p w:rsidR="00163957" w:rsidRDefault="00163957" w:rsidP="00163957">
      <w:pPr>
        <w:pStyle w:val="TextoNormal"/>
      </w:pPr>
      <w:r>
        <w:lastRenderedPageBreak/>
        <w:t xml:space="preserve">El Ministerio Fiscal interesa la estimación del recurso de amparo por vulneración del derecho a la tutela judicial efectiva (art. 24.1 CE) al considerar, en síntesis, que descartada la violación del derecho del menor a no sufrir </w:t>
      </w:r>
      <w:r w:rsidRPr="00163957">
        <w:rPr>
          <w:i/>
        </w:rPr>
        <w:t>bis in idem</w:t>
      </w:r>
      <w:r>
        <w:t>, incluso mediante el empleo de la fórmula de compensación propuesta por el ahora recurrente, una adecuada ponderación de los derechos e intereses enfrentados debió llevar al órgano judicial a ordenar la retroacción a fin de restablecer el derecho de la acusación particular que había sido vulnerado.</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Conviene comenzar por recordar que, con carácter general, la víctima de un delito no tiene un derecho fundamental constitucionalmente protegido a la condena penal de otra persona, sino que meramente es titular del </w:t>
      </w:r>
      <w:r w:rsidRPr="00163957">
        <w:rPr>
          <w:i/>
        </w:rPr>
        <w:t>ius ut procedatur</w:t>
      </w:r>
      <w:r>
        <w:t xml:space="preserve">, es decir, del “derecho a poner en marcha un proceso, substanciado de conformidad con las reglas del proceso justo, en el que pueda obtener una respuesta razonable y fundada en Derecho” (STC 120/2000, de 10 de mayo, FJ 4), limitándose la función de este Tribunal en el cauce constitucional de amparo a enjuiciar si las resoluciones judiciales impugnadas han respetado el </w:t>
      </w:r>
      <w:r w:rsidRPr="00163957">
        <w:rPr>
          <w:i/>
        </w:rPr>
        <w:t>ius ut procedatur</w:t>
      </w:r>
      <w:r>
        <w:t xml:space="preserve"> del justiciable que ha solicitado protección penal de los derechos que las leyes en vigor le reconocen, como ha establecido la doctrina constitucional en SSTC 45/2005, de 28 de febrero, FJ 2; 45/2009, de 15 de junio, FJ 4, y 94/2010, de 15 de noviembre, FJ 3.</w:t>
      </w:r>
    </w:p>
    <w:p w:rsidR="00163957" w:rsidRDefault="00163957" w:rsidP="00163957">
      <w:pPr>
        <w:pStyle w:val="TextoNormal"/>
      </w:pPr>
    </w:p>
    <w:p w:rsidR="00163957" w:rsidRDefault="00163957" w:rsidP="00163957">
      <w:pPr>
        <w:pStyle w:val="TextoNormal"/>
      </w:pPr>
      <w:r>
        <w:t xml:space="preserve">En la STC 218/2007, de 8 de octubre, este Tribunal Constitucional se pronunció sobre la procedencia de la repetición de un juicio penal en que había recaído sentencia absolutoria por haberse vulnerado el derecho a la tutela judicial efectiva de la acusación particular. Se planteaba allí una posible situación de conflicto de derechos fundamentales entre el derecho a la presunción de inocencia de los acusados y el derecho a la tutela judicial efectiva de los acusadores: el </w:t>
      </w:r>
      <w:r w:rsidRPr="00163957">
        <w:rPr>
          <w:i/>
        </w:rPr>
        <w:t>ius ut procedatur</w:t>
      </w:r>
      <w:r>
        <w:t xml:space="preserve"> o derecho a ejercitar la acusación particular en defensa de sus intereses de las demandantes, en que el Tribunal Supremo se decantó por hacer prevalecer el derecho a la presunción de inocencia.</w:t>
      </w:r>
    </w:p>
    <w:p w:rsidR="00163957" w:rsidRDefault="00163957" w:rsidP="00163957">
      <w:pPr>
        <w:pStyle w:val="TextoNormal"/>
      </w:pPr>
    </w:p>
    <w:p w:rsidR="00163957" w:rsidRDefault="00163957" w:rsidP="00163957">
      <w:pPr>
        <w:pStyle w:val="TextoNormal"/>
      </w:pPr>
      <w:r>
        <w:t>Aquella Sentencia concluyó señalando que la decisión del Tribunal Supremo “implicó desconocer que toda resolución judicial ha de dictarse en el seno de un proceso respetando en él las garantías que le son consustanciales y, por tanto, de acuerdo con nuestra doctrina, supuso una nueva violación del derecho a la tutela judicial efectiva de las demandantes (art. 24.1 CE), que se sumó a la que ya había sido reconocida por los propios órganos jurisdiccionales” (FJ 5).</w:t>
      </w:r>
    </w:p>
    <w:p w:rsidR="00163957" w:rsidRDefault="00163957" w:rsidP="00163957">
      <w:pPr>
        <w:pStyle w:val="TextoNormal"/>
      </w:pPr>
    </w:p>
    <w:p w:rsidR="00163957" w:rsidRDefault="00163957" w:rsidP="00163957">
      <w:pPr>
        <w:pStyle w:val="TextoNormal"/>
      </w:pPr>
      <w:r>
        <w:t xml:space="preserve">Este caso presenta transcendencia constitucional (STC 155/2009, de 25 de junio, FJ 2.a) al concurrir rasgos bien diferenciados, lo que dará a este Tribunal ocasión para pronunciarse sobre una nueva faceta del derecho fundamental a la tutela judicial efectiva (art. 24.1 CE). Partiendo del marco de un proceso penal de menores, por un lado, el archivo de tal proceso se produce una vez que el menor expedientado había cumplido una medida educativa, y, por otro, el conflicto, a juicio de la resolución impugnada, no se produce con el derecho a la presunción de inocencia sino con el derecho a no sufrir </w:t>
      </w:r>
      <w:r w:rsidRPr="00163957">
        <w:rPr>
          <w:i/>
        </w:rPr>
        <w:t>bis in idem</w:t>
      </w:r>
      <w:r>
        <w:t xml:space="preserve"> y el “interés del menor”, bienes jurídicos que la decisión recurrida considera que han de prevalecer.</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No es posible descartar, y de ello se hace eco la jurisdicción constitucional con cita del art. 55.1 de la Ley Orgánica del Tribunal Constitucional (STC 311/2006, de 23 de octubre, FJ 6), que la reparación ordinaria o común a través de la nulidad con retroacción de actuaciones (reposición en los términos del art. 241 de la Ley Orgánica del Poder Judicial), de la lesión de derechos fundamentales procesales, entre en conflicto con otros derechos, </w:t>
      </w:r>
      <w:r>
        <w:lastRenderedPageBreak/>
        <w:t>bienes y valores también constitucionales y dignos de tutela. En tales supuestos, por exigencia derivada de la eficacia propia de tales derechos y valores, así como del valor “justicia” (SSTC 160/1987, de 27 de octubre, FJ 6; 50/1995, de 23 de febrero, FJ 7; 173/1995, de 21 de noviembre, FJ 2), del principio del Estado de Derecho (STC 160/1987, de 27 de octubre, FJ 6), del principio de interdicción de la arbitrariedad de los poderes públicos (SSTC 6/1988, de 21 de enero, FJ 3; 50/1995, de 23 de febrero, FJ 7) o de la dignidad de la persona (STC 160/1987, de 27 de octubre, FJ 6), la solución habrá de adoptarse previa ponderación de los derechos y valores constitucionales en conflicto, con respeto a su contenido, observancia del principio de proporcionalidad, y motivación del juicio de ponderación (SSTC 85/1992, de 8 de junio FJ 4, y 219/1992, de 3 de diciembre, FJ 2), “pues sólo tal fundamentación permitirá que se aprecie, en primer lugar, por el afectado y que se pueda controlar, después, la razón que justificó, a juicio del órgano judicial, el sacrificio del derecho fundamental” (STC 37/1989, de 15 de febrero, FJ 8).</w:t>
      </w:r>
    </w:p>
    <w:p w:rsidR="00163957" w:rsidRDefault="00163957" w:rsidP="00163957">
      <w:pPr>
        <w:pStyle w:val="TextoNormal"/>
      </w:pPr>
    </w:p>
    <w:p w:rsidR="00163957" w:rsidRDefault="00163957" w:rsidP="00163957">
      <w:pPr>
        <w:pStyle w:val="TextoNormal"/>
      </w:pPr>
      <w:r>
        <w:t>Por ello, no hemos de aceptar que la reparación de la infracción de los derechos fundamentales procesales del demandante que se declararon vulnerados exija indeclinablemente, sin excepción, la nulidad del procedimiento judicial y la repetición del mismo, y que carezca de toda eficacia reparadora la declaración de la existencia de la lesión, que la parte recurrente califica de “simple declaración bienintencionada”. Este Tribunal ha venido entendiendo, en determinados supuestos de conflicto, que un pronunciamiento como el que nos ocupa “constituye en sí mismo la reparación del derecho fundamental invocado, sin que su carácter declarativo le prive de su efecto reparador, ya que a través del mismo no sólo se obtiene el reconocimiento del derecho, sino que, además de proporcionar esta reparación moral, puede conllevar otro tipo de efectos al ser potencialmente generador de una futura indemnización” (SSTC 218/1997, de 4 de diciembre, FJ 2, 21/2000, de 31 de enero, FJ 2, y 232/2002, de 9 de diciembre, FJ 5). A este último modo de reparación es al que apunta expresamente el Auto de la Sección Cuarta de la Audiencia Provincial de Madrid de fecha 31 de marzo de 2014 aquí impugnado, sin que pueda olvidarse que se encuentra también presente en el sistema diseñado por el Convenio europeo de derechos humanos (art. 41 CEDH).</w:t>
      </w:r>
    </w:p>
    <w:p w:rsidR="00163957" w:rsidRDefault="00163957" w:rsidP="00163957">
      <w:pPr>
        <w:pStyle w:val="TextoNormal"/>
      </w:pPr>
    </w:p>
    <w:p w:rsidR="00163957" w:rsidRDefault="00163957" w:rsidP="00163957">
      <w:pPr>
        <w:pStyle w:val="TextoNormal"/>
      </w:pPr>
      <w:r w:rsidRPr="00163957">
        <w:rPr>
          <w:rStyle w:val="NumeroAFNegritaCaracter"/>
        </w:rPr>
        <w:t>4</w:t>
      </w:r>
      <w:r>
        <w:t>. A fin de determinar si el órgano judicial ha realizado una ponderación constitucionalmente correcta de los derechos e intereses constitucionales en conflicto, no puede perderse de vista el marco normativo en el que surge el mismo, que es el del proceso penal de menores, en el que el principio de “interés superior del menor” modula la intensidad de los derechos que ostenta la acusación particular. De este modo, el canon de constitucionalidad no puede ser el mismo que el que resultaría aplicable en un proceso penal de adultos, al que respondió el pronunciamiento contenido en la STC 218/2007, de 8 de octubre.</w:t>
      </w:r>
    </w:p>
    <w:p w:rsidR="00163957" w:rsidRDefault="00163957" w:rsidP="00163957">
      <w:pPr>
        <w:pStyle w:val="TextoNormal"/>
      </w:pPr>
    </w:p>
    <w:p w:rsidR="00163957" w:rsidRDefault="00163957" w:rsidP="00163957">
      <w:pPr>
        <w:pStyle w:val="TextoNormal"/>
      </w:pPr>
      <w:r>
        <w:t xml:space="preserve">Este Tribunal ha subrayado que en el ámbito de la justicia de menores se observa una peculiar combinación de “elementos sancionadores y [re]educativos” (STC 61/1998, de 17 de marzo, FJ 4). Esta peculiar combinación responde al predominio de la perspectiva preventivo-especial, en la que se atiende, primordialmente, al “interés superior” del menor, tal y como reclama el art. 3.1 de la Convención de Derechos del Niño de 20 de noviembre de 1989. En el art. 40.1 de este mismo texto internacional, ratificado por España mediante Instrumento de 30 de noviembre de 1990, se reconoce el derecho del menor acusado o declarado culpable de haber infringido las leyes penales a “ser tratado de manera acorde con el fomento de su sentido de la dignidad y el valor, que fortalezca el respeto del niño por los </w:t>
      </w:r>
      <w:r>
        <w:lastRenderedPageBreak/>
        <w:t>derechos humanos y las libertades fundamentales de terceros y en la que se tengan en cuenta la edad del niño y la importancia de promover la reintegración del niño y de que éste asuma una función constructiva en la sociedad”.</w:t>
      </w:r>
    </w:p>
    <w:p w:rsidR="00163957" w:rsidRDefault="00163957" w:rsidP="00163957">
      <w:pPr>
        <w:pStyle w:val="TextoNormal"/>
      </w:pPr>
    </w:p>
    <w:p w:rsidR="00163957" w:rsidRDefault="00163957" w:rsidP="00163957">
      <w:pPr>
        <w:pStyle w:val="TextoNormal"/>
      </w:pPr>
      <w:r>
        <w:t>En todo caso, de acuerdo con las reglas mínimas de las Naciones Unidas para la administración de la justicia de menores, más conocidas como “Reglas de Beijing” de 29 de noviembre de 1985, el sistema de justicia de menores no sólo debe garantizar que la respuesta a los menores delincuentes sea proporcionada a “las circunstancias del delincuente y del delito, sino que también debe atender al bienestar de estos menores (en especial, reglas 5 y 14)” (STC 243/2004, FJ 4, y STC 64/2011, FJ 3).</w:t>
      </w:r>
    </w:p>
    <w:p w:rsidR="00163957" w:rsidRDefault="00163957" w:rsidP="00163957">
      <w:pPr>
        <w:pStyle w:val="TextoNormal"/>
      </w:pPr>
    </w:p>
    <w:p w:rsidR="00163957" w:rsidRDefault="00163957" w:rsidP="00163957">
      <w:pPr>
        <w:pStyle w:val="TextoNormal"/>
      </w:pPr>
      <w:r>
        <w:t>Los principios expuestos tienen su reflejo en Ley Orgánica 5/2000, de 12 de enero, reguladora de la responsabilidad penal de los menores, que establece, en palabras de su exposición de motivos, un derecho penal de menores en el que “ha de primar, como elemento determinante del procedimiento y de las medidas que se adopten, el superior interés del menor”, interés que ha de ser valorado con criterios técnicos ajenos a las ciencias jurídicas, y que ha de ser conciliado con las garantías jurídicas generales. A fin de conciliar ese “interés superior del menor” con el interés del perjudicado o víctima del hecho cometido, sigue diciendo la exposición de motivos, “esta Ley arbitra un amplio derecho de participación a las víctimas ofreciéndoles la oportunidad de intervenir en las actuaciones procesales proponiendo y practicando prueba, formulando conclusiones e interponiendo recursos. Sin embargo, esta participación se establece de un modo limitado ya que respecto de los menores no cabe reconocer a los particulares el derecho a constituirse propiamente en parte acusadora con plenitud de derechos y cargas procesales. No existe aquí ni la acción particular de los perjudicados por el hecho criminal, ni la acción popular de los ciudadanos, porque en estos casos el interés prioritario para la sociedad y para el Estado coincide con el interés del menor.”.</w:t>
      </w:r>
    </w:p>
    <w:p w:rsidR="00163957" w:rsidRDefault="00163957" w:rsidP="00163957">
      <w:pPr>
        <w:pStyle w:val="TextoNormal"/>
      </w:pPr>
    </w:p>
    <w:p w:rsidR="00163957" w:rsidRDefault="00163957" w:rsidP="00163957">
      <w:pPr>
        <w:pStyle w:val="TextoNormal"/>
      </w:pPr>
      <w:r>
        <w:t xml:space="preserve">De ahí que, aun cuando la Ley Orgánica reguladora de la responsabilidad penal de los menores reconoce el derecho de las personas directamente ofendidas por el delito o de sus representantes, a ejercitar la acusación particular (art. 25), se consagran amplias facultades, fundadas en este interés prevalente y atribuidas a la decisión del Ministerio Fiscal y del Juez de Menores, sobre la no iniciación del proceso (desistimiento de la incoación del expediente </w:t>
      </w:r>
      <w:r w:rsidRPr="00163957">
        <w:rPr>
          <w:i/>
        </w:rPr>
        <w:t>ex</w:t>
      </w:r>
      <w:r>
        <w:t xml:space="preserve"> art. 18), la no prosecución del mismo (sobreseimiento por conciliación o reparación entre el menor y la víctima </w:t>
      </w:r>
      <w:r w:rsidRPr="00163957">
        <w:rPr>
          <w:i/>
        </w:rPr>
        <w:t>ex</w:t>
      </w:r>
      <w:r>
        <w:t xml:space="preserve"> art. 19 o, en interés del menor, por haber sido expresado suficientemente el reproche al mismo a través de los trámites ya practicados, o por considerar inadecuada para el interés del menor cualquier intervención, dado el tiempo transcurrido desde la comisión de los hechos </w:t>
      </w:r>
      <w:r w:rsidRPr="00163957">
        <w:rPr>
          <w:i/>
        </w:rPr>
        <w:t>ex</w:t>
      </w:r>
      <w:r>
        <w:t xml:space="preserve"> art. 27.4 y la imposición y ejecución de las medidas (circunstancias a valorar en la imposición </w:t>
      </w:r>
      <w:r w:rsidRPr="00163957">
        <w:rPr>
          <w:i/>
        </w:rPr>
        <w:t>ex</w:t>
      </w:r>
      <w:r>
        <w:t xml:space="preserve"> art. 39, suspensión condicional de la medida impuesta ex art 40, de sustitución de la misma o de dejarla sin efecto durante su ejecución, </w:t>
      </w:r>
      <w:r w:rsidRPr="00163957">
        <w:rPr>
          <w:i/>
        </w:rPr>
        <w:t>ex</w:t>
      </w:r>
      <w:r>
        <w:t xml:space="preserve"> art. 50.2 y 51).</w:t>
      </w:r>
    </w:p>
    <w:p w:rsidR="00163957" w:rsidRDefault="00163957" w:rsidP="00163957">
      <w:pPr>
        <w:pStyle w:val="TextoNormal"/>
      </w:pPr>
    </w:p>
    <w:p w:rsidR="00163957" w:rsidRDefault="00163957" w:rsidP="00163957">
      <w:pPr>
        <w:pStyle w:val="TextoNormal"/>
      </w:pPr>
      <w:r>
        <w:t xml:space="preserve">Como destaca el Ministerio Fiscal, recordando las palabras empleadas por la exposición de motivos de la Ley Orgánica 8/2006, de 4 de diciembre, por la que se modifica la Ley Orgánica reguladora de la responsabilidad penal de los menores, “el interés del menor” es “superior”, pero no “único y excluyente” frente a otros bienes constitucionales a cuyo aseguramiento obedece toda norma punitiva o correccional. De ahí que, como se señala en la citada exposición de motivos, a fin de hacer compatible el interés superior del menor con el </w:t>
      </w:r>
      <w:r>
        <w:lastRenderedPageBreak/>
        <w:t>objetivo de pretender una mayor proporcionalidad entre la respuesta sancionadora y la gravedad del hecho cometido, el juez, en cuyas manos queda la decisión última, habrá de llevar a cabo la valoración y ponderación de ambos principios de modo flexible y en favor de la óptima individualización de la respuesta.</w:t>
      </w:r>
    </w:p>
    <w:p w:rsidR="00163957" w:rsidRDefault="00163957" w:rsidP="00163957">
      <w:pPr>
        <w:pStyle w:val="TextoNormal"/>
      </w:pPr>
    </w:p>
    <w:p w:rsidR="00163957" w:rsidRDefault="00163957" w:rsidP="00163957">
      <w:pPr>
        <w:pStyle w:val="TextoNormal"/>
      </w:pPr>
      <w:r>
        <w:t>En este contexto normativo cobra especial significación la previsión contenida en el art. 19 de la Ley Orgánica reguladora de la responsabilidad penal de los menores. En ella se ampara la inicial decisión de la Fiscalía de Menores, plasmada en el decreto de 27 septiembre de 2012, de instar al equipo técnico y a la entidad pública de protección de menores para llevar a cabo la solución extrajudicial propuesta, y, finalmente, el Auto del Juzgado de Menores de sobreseimiento de las actuaciones, a propuesta del Ministerio Público, una vez se cumplió la medida educativa acordada por este último.</w:t>
      </w:r>
    </w:p>
    <w:p w:rsidR="00163957" w:rsidRDefault="00163957" w:rsidP="00163957">
      <w:pPr>
        <w:pStyle w:val="TextoNormal"/>
      </w:pPr>
    </w:p>
    <w:p w:rsidR="00163957" w:rsidRDefault="00163957" w:rsidP="00163957">
      <w:pPr>
        <w:pStyle w:val="TextoNormal"/>
      </w:pPr>
      <w:r w:rsidRPr="00163957">
        <w:rPr>
          <w:rStyle w:val="NumeroAFNegritaCaracter"/>
        </w:rPr>
        <w:t>5</w:t>
      </w:r>
      <w:r>
        <w:t>. En el supuesto enjuiciado, tal y como se detalla en los antecedentes, la propuesta de sobreseimiento del Fiscal y la posterior decisión judicial en este mismo sentido, en aplicación del art. 19 de la Ley Orgánica reguladora de la responsabilidad penal de los menores, vienen precedidos del cumplimiento satisfactorio por el menor expedientado de la actividad educativa acordada, una vez que el informe del programa de reparaciones extrajudiciales fechado el 22 de noviembre de 2012 había propuesto tal solución pese a contar con la expresa oposición del padre del menor lesionado, oposición que se hace explícita en dicho informe. Frente a la decisión de sobreseimiento, la parte ahora demandante formuló recurso de apelación y en él alegó cuanto estimó conveniente en defensa de sus intereses. Obtuvo una respuesta motivada, de la que también ha quedado constancia, en la que se ponderan las circunstancias del caso y que no puede tacharse de irrazonable, arbitraria o incursa en error patente.</w:t>
      </w:r>
    </w:p>
    <w:p w:rsidR="00163957" w:rsidRDefault="00163957" w:rsidP="00163957">
      <w:pPr>
        <w:pStyle w:val="TextoNormal"/>
      </w:pPr>
    </w:p>
    <w:p w:rsidR="00163957" w:rsidRDefault="00163957" w:rsidP="00163957">
      <w:pPr>
        <w:pStyle w:val="TextoNormal"/>
      </w:pPr>
      <w:r>
        <w:t>El Auto dictado por la Sección Cuarta de la Audiencia Provincial de Madrid en fecha 31 de marzo de 2014, contra el que se dirige el recurso de amparo, con cita de las SSTC 2/2003, de 16 de enero y 218/2007, de 8 de octubre, parece descartar, en primer lugar, que pueda hablarse del derecho del menor apelado a no ser objeto de una persecución penal múltiple (</w:t>
      </w:r>
      <w:r w:rsidRPr="00163957">
        <w:rPr>
          <w:i/>
        </w:rPr>
        <w:t>ne bis in idem</w:t>
      </w:r>
      <w:r>
        <w:t xml:space="preserve">), para concluir después que “el efecto anulatorio pretendido es desproporcionado y contrario a los intereses del menor, no solo a los fines educativos que debe presidir la intervención en el proceso penal de menores, sino también a la garantía material de la prohibición constitucional del </w:t>
      </w:r>
      <w:r w:rsidRPr="00163957">
        <w:rPr>
          <w:i/>
        </w:rPr>
        <w:t>bis in idem</w:t>
      </w:r>
      <w:r>
        <w:t xml:space="preserve"> (art. 25 CE), ya que en este caso la conducta del menor fue objeto de reprobación por los órganos titulares del ejercicio de la potestad punitiva estatal y, además, cumplió una prestación equivalente a la medida que se le habría impuesto si el proceso no hubiese concluido anticipadamente”.</w:t>
      </w:r>
    </w:p>
    <w:p w:rsidR="00163957" w:rsidRDefault="00163957" w:rsidP="00163957">
      <w:pPr>
        <w:pStyle w:val="TextoNormal"/>
      </w:pPr>
    </w:p>
    <w:p w:rsidR="00163957" w:rsidRDefault="00163957" w:rsidP="00163957">
      <w:pPr>
        <w:pStyle w:val="TextoNormal"/>
      </w:pPr>
      <w:r>
        <w:t>Cumple la referida resolución judicial la exigencia constitucional de ponderación, según hemos visto. En efecto, tal resolución parte de la información disponible sobre las circunstancias y gravedad de los hechos, y considera especialmente el dato de que el menor expedientado había llevado a cabo una actividad educativa que podría resultar equivalente a la medida que le hubiera correspondido de haberse seguido el proceso hasta su terminación normal por sentencia, a lo que ha de agregarse el tiempo trascurrido desde la fecha de los hechos, por los efectos negativos que sobre el menor sometido al proceso pudieran derivarse de la excesiva prolongación del mismo, por lo que reputa prevalente el interés de este menor que se plasma en el sobreseimiento y archivo de las actuaciones.</w:t>
      </w:r>
    </w:p>
    <w:p w:rsidR="00163957" w:rsidRDefault="00163957" w:rsidP="00163957">
      <w:pPr>
        <w:pStyle w:val="TextoNormal"/>
      </w:pPr>
    </w:p>
    <w:p w:rsidR="00163957" w:rsidRDefault="00163957" w:rsidP="00163957">
      <w:pPr>
        <w:pStyle w:val="TextoNormal"/>
      </w:pPr>
      <w:r>
        <w:lastRenderedPageBreak/>
        <w:t>De cuanto llevamos expuesto se desprende que el razonamiento efectuado por la Audiencia Provincial de Madrid, que pondera los intereses en conflicto a partir de las circunstancias que presentaba el caso para llegar a considerar prevalente el interés del menor expedientado, no puede tacharse de arbitrario ni incurso en error patente, resulta constitucionalmente suficiente para sustentar la decisión contraria a la retroacción, y, en consecuencia, no ha lesionado el derecho a la tutela judicial efectiva (art. 24.1 CE) de la acusación particular.</w:t>
      </w:r>
    </w:p>
    <w:p w:rsidR="00163957" w:rsidRDefault="00163957" w:rsidP="00163957">
      <w:pPr>
        <w:pStyle w:val="TextoNormal"/>
      </w:pPr>
    </w:p>
    <w:p w:rsidR="00163957" w:rsidRDefault="00163957" w:rsidP="00163957">
      <w:pPr>
        <w:pStyle w:val="TextoNormal"/>
      </w:pPr>
      <w:r>
        <w:t>Descartada, pues, la lesión del derecho fundamental denunciada en esta sede constitucional, procede desestimar el amparo solicitado.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amparo interpuesto por la representación procesal de don Ignacio Gómez-Arostegui de Juan.</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quince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27" w:name="SENTENCIA_2016_24"/>
      <w:r>
        <w:lastRenderedPageBreak/>
        <w:t>SENTENCIA 24/2016, de 15 de febrero de 2016</w:t>
      </w:r>
    </w:p>
    <w:bookmarkEnd w:id="27"/>
    <w:p w:rsidR="00163957" w:rsidRDefault="00163957" w:rsidP="00163957">
      <w:pPr>
        <w:pStyle w:val="TtuloResolucin"/>
      </w:pPr>
      <w:r>
        <w:t>Sala Segunda</w:t>
      </w:r>
    </w:p>
    <w:p w:rsidR="00163957" w:rsidRDefault="00163957" w:rsidP="00163957">
      <w:pPr>
        <w:pStyle w:val="TtuloBOE"/>
      </w:pPr>
      <w:r>
        <w:t>(BOE núm. 71, de 23 de marzo de 2016)</w:t>
      </w:r>
    </w:p>
    <w:p w:rsidR="00163957" w:rsidRDefault="00163957" w:rsidP="00163957">
      <w:pPr>
        <w:pStyle w:val="TextoNormalCentrado"/>
      </w:pPr>
      <w:r>
        <w:t>ECLI:ES:TC:2016:24</w:t>
      </w:r>
    </w:p>
    <w:p w:rsidR="00163957" w:rsidRDefault="00163957" w:rsidP="00163957">
      <w:pPr>
        <w:pStyle w:val="TextoNormalCentrado"/>
      </w:pPr>
    </w:p>
    <w:p w:rsidR="00163957" w:rsidRDefault="00163957" w:rsidP="00163957">
      <w:pPr>
        <w:pStyle w:val="SntesisDescriptiva"/>
      </w:pPr>
      <w:r>
        <w:t>Recurso de amparo 5859-2014. Promovido por doña Verónica Diestro Villaplana respecto de la Sentencia dictada por un Juzgado de lo Social de Badajoz en procedimiento ordinario sobre atribución de turnos de trabajo.</w:t>
      </w:r>
    </w:p>
    <w:p w:rsidR="00163957" w:rsidRDefault="00163957" w:rsidP="00163957">
      <w:pPr>
        <w:pStyle w:val="SntesisDescriptiva"/>
      </w:pPr>
    </w:p>
    <w:p w:rsidR="00163957" w:rsidRDefault="00163957" w:rsidP="00163957">
      <w:pPr>
        <w:pStyle w:val="SntesisAnaltica"/>
      </w:pPr>
      <w:r>
        <w:t>Alegada vulneración del derecho a no padecer discriminación por razón de sexo: inadmisión, por extemporaneidad, del recurso de amparo.</w:t>
      </w:r>
    </w:p>
    <w:p w:rsidR="00163957" w:rsidRDefault="00163957" w:rsidP="00163957">
      <w:pPr>
        <w:pStyle w:val="SntesisAnaltica"/>
      </w:pPr>
    </w:p>
    <w:p w:rsidR="00163957" w:rsidRDefault="00163957" w:rsidP="00163957">
      <w:pPr>
        <w:pStyle w:val="Extracto"/>
      </w:pPr>
      <w:r>
        <w:t>1.</w:t>
      </w:r>
      <w:r>
        <w:tab/>
        <w:t>La cuestión de fondo no puede ser abordada al haberse planteado fuera del plazo previsto en el art. 44.2 de la Ley Orgánica del Tribunal Constitucional, concurriendo un defecto de extemporaneidad que el art. 50.1 a) de la misma norma prevé como causa de inadmisión [FJ único].</w:t>
      </w:r>
    </w:p>
    <w:p w:rsidR="00163957" w:rsidRDefault="00163957" w:rsidP="00163957">
      <w:pPr>
        <w:pStyle w:val="Extracto"/>
      </w:pPr>
    </w:p>
    <w:p w:rsidR="00163957" w:rsidRDefault="00163957" w:rsidP="00163957">
      <w:pPr>
        <w:pStyle w:val="Extracto"/>
      </w:pPr>
      <w:r>
        <w:t>2.</w:t>
      </w:r>
      <w:r>
        <w:tab/>
        <w:t>La Sentencia impugnada fue notificada a la representación del recurrente el día 9 de julio de 2014 y la demanda de amparo se presentó el día 24 de septiembre de 2014, de manera que entre ambas fechas había transcurrido más de 30 días, que es el plazo de caducidad para la interposición del recurso de amparo [FJ único].</w:t>
      </w:r>
    </w:p>
    <w:p w:rsidR="00163957" w:rsidRDefault="00163957" w:rsidP="00163957">
      <w:pPr>
        <w:pStyle w:val="Extracto"/>
      </w:pPr>
    </w:p>
    <w:p w:rsidR="00163957" w:rsidRDefault="00163957" w:rsidP="00163957">
      <w:pPr>
        <w:pStyle w:val="Extracto"/>
      </w:pPr>
      <w:r>
        <w:t>3.</w:t>
      </w:r>
      <w:r>
        <w:tab/>
        <w:t>Doctrina sobre la posibilidad de inadmitir el recurso de amparo tras la admisión de la demanda de amparo y mediante sentencia (SSTC 53/1983, 118/2014) [FJ único].</w:t>
      </w:r>
    </w:p>
    <w:p w:rsidR="00163957" w:rsidRDefault="00163957" w:rsidP="00163957">
      <w:pPr>
        <w:pStyle w:val="Extracto"/>
      </w:pPr>
    </w:p>
    <w:p w:rsidR="00163957" w:rsidRDefault="00163957" w:rsidP="00163957">
      <w:pPr>
        <w:pStyle w:val="Extracto"/>
      </w:pPr>
      <w:r>
        <w:t>4.</w:t>
      </w:r>
      <w:r>
        <w:tab/>
        <w:t>Doctrina sobre la inadmisión del recurso de amparo por extemporaneidad (SSTC 159/1998, 174/2007) [FJ único].</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amparo núm. 5859-2014, promovido por don Verónica Diestro Villaplana, representada por la Procuradora de los Tribunales doña Gloria Llorente de la Torre y asistida por el Abogado don Raúl Tardío López, contra la Sentencia de 18 de junio de 2014 del Juzgado de lo Social núm. 1 de Badajoz, dictada en procedimiento ordinario núm. 220-2014. Ha intervenido el Ministerio Fiscal. Ha comparecido el Procurador de los Tribunales </w:t>
      </w:r>
      <w:r>
        <w:lastRenderedPageBreak/>
        <w:t>don Ramiro Reynolds Martínez, en representación del Excmo. Ayuntamiento de Santa Amalia (Badajoz), bajo la dirección letrada de don Antonio Prieto Benítez. Ha sido Ponente el Magistrado don Fernando Valdés Dal-Ré,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fecha 24 de septiembre de 2014 en la oficina de registro y reparto de asuntos civiles del Decanato de Madrid, y que tuvo entrada en este Tribunal el siguiente día 30, la Procuradora de los Tribunales doña Gloria Llorente de la Torre, actuando en nombre y representación de doña Verónica Diestro Villaplana, presentó recurso de amparo constitucional contra la Sentencia citada en el encabezamiento, al considerarla contraria al derecho fundamental consagrado en el art. 14 CE, segundo inciso, en su vertiente de prohibición de discriminación por razón de sexo.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de los que trae causa la demanda son, en síntesis, los siguientes:</w:t>
      </w:r>
    </w:p>
    <w:p w:rsidR="00163957" w:rsidRDefault="00163957" w:rsidP="00163957">
      <w:pPr>
        <w:pStyle w:val="TextoNormal"/>
      </w:pPr>
    </w:p>
    <w:p w:rsidR="00163957" w:rsidRDefault="00163957" w:rsidP="00163957">
      <w:pPr>
        <w:pStyle w:val="TextoNormal"/>
      </w:pPr>
      <w:r>
        <w:t>a) La recurrente en amparo viene prestando sus servicios en régimen de contratación laboral en el Ayuntamiento de Santa Amalia (Badajoz), como enfermera en una residencia de mayores con turnos rotatorios de mañana y tarde. El día 10 de marzo de 2014 interesó una reducción de jornada de un 33 por 100 para atender a sus tres hijos menores, así como que se fijase la jornada en horario de mañana, de 9:00 a 13:30 horas, de lunes a viernes. Aducía que con tal horario podría llevar a sus hijos al colegio y a la guardería, así como recogerlos a la salida de éstos y encargarse de su cuidado el resto del día.</w:t>
      </w:r>
    </w:p>
    <w:p w:rsidR="00163957" w:rsidRDefault="00163957" w:rsidP="00163957">
      <w:pPr>
        <w:pStyle w:val="TextoNormal"/>
      </w:pPr>
    </w:p>
    <w:p w:rsidR="00163957" w:rsidRDefault="00163957" w:rsidP="00163957">
      <w:pPr>
        <w:pStyle w:val="TextoNormal"/>
      </w:pPr>
      <w:r>
        <w:t>El Ayuntamiento, por resolución de la Alcaldía de 13 de marzo de 2014, accedió a la reducción de la jornada solicitada, con proporcional minoración de su salario, pero indicó a la empleada que debía decidir y comunicar su concreción horaria en cada uno de los tres turnos de trabajo existentes.</w:t>
      </w:r>
    </w:p>
    <w:p w:rsidR="00163957" w:rsidRDefault="00163957" w:rsidP="00163957">
      <w:pPr>
        <w:pStyle w:val="TextoNormal"/>
      </w:pPr>
    </w:p>
    <w:p w:rsidR="00163957" w:rsidRDefault="00163957" w:rsidP="00163957">
      <w:pPr>
        <w:pStyle w:val="TextoNormal"/>
      </w:pPr>
      <w:r>
        <w:t>b) La señora Diestro presentó demanda de procedimiento ordinario reclamando la concreción horaria solicitada en el escrito que dirigió al Ayuntamiento el día 10 de marzo de 2014, con condena a éste a una indemnización por daños morales en razón del tratamiento discriminatorio que le impedía conciliar su vida familiar y laboral. Invocaba en su escrito de demanda los arts. 14 y 39 CE, además de normas legales y convencionales que estimaba de aplicación.</w:t>
      </w:r>
    </w:p>
    <w:p w:rsidR="00163957" w:rsidRDefault="00163957" w:rsidP="00163957">
      <w:pPr>
        <w:pStyle w:val="TextoNormal"/>
      </w:pPr>
    </w:p>
    <w:p w:rsidR="00163957" w:rsidRDefault="00163957" w:rsidP="00163957">
      <w:pPr>
        <w:pStyle w:val="TextoNormal"/>
      </w:pPr>
      <w:r>
        <w:t>El Juzgado de lo Social núm. 1 de Badajoz dictó la Sentencia desestimatoria recurrida en amparo, con el siguiente fundamento de Derecho único:</w:t>
      </w:r>
    </w:p>
    <w:p w:rsidR="00163957" w:rsidRDefault="00163957" w:rsidP="00163957">
      <w:pPr>
        <w:pStyle w:val="TextoNormal"/>
      </w:pPr>
    </w:p>
    <w:p w:rsidR="00163957" w:rsidRDefault="00163957" w:rsidP="00163957">
      <w:pPr>
        <w:pStyle w:val="TextoNormal"/>
      </w:pPr>
      <w:r>
        <w:t>“Con consonancia con los principios de la ley Orgánica 3/2007 para la igualdad efectiva de mujeres y hombres, el art. 35,5 del E.T., reconoce el derecho a la reducción de jornada a quienes por razones de guarda legal, tengan a su cargo algún hijo o hijos menores en dicho año -o personas con discapacidad física o psíquica- con la disminución proporcional de su salario. La efectividad de este derecho, la concreción horaria, le corresponde efectuarla al trabajador pero dentro de su jornada ordinaria, (apartado 6 del citado art.), de tal modo que con base a este derecho pueda modificarse su jornada de trabajo en perjuicio de otros trabajadores.</w:t>
      </w:r>
    </w:p>
    <w:p w:rsidR="00163957" w:rsidRDefault="00163957" w:rsidP="00163957">
      <w:pPr>
        <w:pStyle w:val="TextoNormal"/>
      </w:pPr>
    </w:p>
    <w:p w:rsidR="00163957" w:rsidRDefault="00163957" w:rsidP="00163957">
      <w:pPr>
        <w:pStyle w:val="TextoNormal"/>
      </w:pPr>
      <w:r>
        <w:t>A la actora, que presta sus servicios en un Centro Geriátrico como Enfermera, le ha sido reconocida la reducción de jornada, conforme solicitó, en un 33 por 100 pero lo que no es posible acceder a su pretensión en que le sea modificada su jornada de turnos, rotatorios de mañana y tarde a un turno fijo solo de mañana, por lo que procede, sin más, la íntegra desestimación de su demanda.”</w:t>
      </w:r>
    </w:p>
    <w:p w:rsidR="00163957" w:rsidRDefault="00163957" w:rsidP="00163957">
      <w:pPr>
        <w:pStyle w:val="TextoNormal"/>
      </w:pPr>
    </w:p>
    <w:p w:rsidR="00163957" w:rsidRDefault="00163957" w:rsidP="00163957">
      <w:pPr>
        <w:pStyle w:val="TextoNormal"/>
      </w:pPr>
      <w:r>
        <w:t>Se advertía a las partes, en la instrucción de recursos, de la posibilidad de interponer recurso de suplicación ante el Tribunal Superior de Justicia, que no fue formalizado.</w:t>
      </w:r>
    </w:p>
    <w:p w:rsidR="00163957" w:rsidRDefault="00163957" w:rsidP="00163957">
      <w:pPr>
        <w:pStyle w:val="TextoNormal"/>
      </w:pPr>
    </w:p>
    <w:p w:rsidR="00163957" w:rsidRDefault="00163957" w:rsidP="00163957">
      <w:pPr>
        <w:pStyle w:val="TextoNormal"/>
      </w:pPr>
      <w:r w:rsidRPr="00163957">
        <w:rPr>
          <w:rStyle w:val="NumeroAFNegritaCaracter"/>
        </w:rPr>
        <w:t>3</w:t>
      </w:r>
      <w:r>
        <w:t>. A juicio de la recurrente en amparo se ha vulnerado el art. 14 CE, en su vertiente de prohibición de discriminación por razón de sexo.</w:t>
      </w:r>
    </w:p>
    <w:p w:rsidR="00163957" w:rsidRDefault="00163957" w:rsidP="00163957">
      <w:pPr>
        <w:pStyle w:val="TextoNormal"/>
      </w:pPr>
    </w:p>
    <w:p w:rsidR="00163957" w:rsidRDefault="00163957" w:rsidP="00163957">
      <w:pPr>
        <w:pStyle w:val="TextoNormal"/>
      </w:pPr>
      <w:r>
        <w:t>Tras razonar que no era posible recurrir en suplicación, de conformidad con lo dispuesto en el art. 139.l b) de la Ley 36/2011, de 10 de octubre, reguladora de la Jurisdicción Social, señala la demanda de amparo que el juzgador desestimó la pretensión deducida amparándose en lo dispuesto en el artículo 37.6 de la Ley del estatuto de los trabajadores (LET), obviando, por un lado, las necesidades familiares expuestas por la trabajadora, con tres hijos menores a su cargo y un turno rotatorio de trabajo que cumplir, y, por otro, el hecho de que el Ayuntamiento de Santa Amalia no aportara prueba alguna acreditativa de las distorsiones organizativas que pudiera haber ocasionado la pretensión deducida. La Sentencia impugnada, por ello, lesiona el derecho fundamental invocado, dado que no aplicó la jurisprudencia de este Tribunal en la materia, que exige el examen de la dimensión constitucional del derecho consagrado en el art. 37.5 LET (STC 3/2007, de 15 de enero, FJ 5).</w:t>
      </w:r>
    </w:p>
    <w:p w:rsidR="00163957" w:rsidRDefault="00163957" w:rsidP="00163957">
      <w:pPr>
        <w:pStyle w:val="TextoNormal"/>
      </w:pPr>
    </w:p>
    <w:p w:rsidR="00163957" w:rsidRDefault="00163957" w:rsidP="00163957">
      <w:pPr>
        <w:pStyle w:val="TextoNormal"/>
      </w:pPr>
      <w:r>
        <w:t>En atención a lo expuesto interesa que, con declaración de vulneración del derecho fundamental del art. 14 CE, acordemos la nulidad de la sentencia recurrida, ordenando la retroacción de las actuaciones al momento anterior al dictado de la misma a fin de que el juzgador emita un nuevo pronunciamiento en el que valore las circunstancias concurrentes y la dimensión constitucional del derecho reclamado, o, en su defecto y subsidiariamente, que declaremos la inconstitucionalidad de la expresión “dentro de su jornada ordinaria”, contenida en el artículo 37.6 LET.</w:t>
      </w:r>
    </w:p>
    <w:p w:rsidR="00163957" w:rsidRDefault="00163957" w:rsidP="00163957">
      <w:pPr>
        <w:pStyle w:val="TextoNormal"/>
      </w:pPr>
    </w:p>
    <w:p w:rsidR="00163957" w:rsidRDefault="00163957" w:rsidP="00163957">
      <w:pPr>
        <w:pStyle w:val="TextoNormal"/>
      </w:pPr>
      <w:r w:rsidRPr="00163957">
        <w:rPr>
          <w:rStyle w:val="NumeroAFNegritaCaracter"/>
        </w:rPr>
        <w:t>4</w:t>
      </w:r>
      <w:r>
        <w:t>. En virtud de providencia de la Sección Cuarta de la Sala Segunda de este Tribunal, de 20 de julio de 2015, se acordó la admisión a trámite de la demanda de amparo. Habiéndose interesado con anterioridad la remisión de certificación de las actuaciones jurisdiccionales, en aplicación de lo dispuesto en el art. 51 de la Ley Orgánica del Tribunal Constitucional (LOTC), se solicitó al Juzgado de lo Social núm. 1 de Badajoz que procediera a la práctica de los emplazamientos correspondientes.</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registrado en este Tribunal el día 22 de septiembre de 2015, el Procurador don Ramiro Reynolds Martínez solicitó que se le tuviera por personado en nombre y representación del Excmo. Ayuntamiento de Santa Amalia.</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Por diligencia de ordenación de la Secretaría de Justicia de la Sala Segunda de este Tribunal, de 13 de octubre de 2015, se tuvo por recibido el anterior escrito del Procurador don Ramiro Reynolds Martínez, a quien se tuvo por personado y parte en la representación </w:t>
      </w:r>
      <w:r>
        <w:lastRenderedPageBreak/>
        <w:t>que ostenta, condicionado ello a que aportara en el plazo de diez días la escritura de poder original acreditativa de su representación. Se acordó, asimismo, abrir el plazo común de veinte días al Ministerio Fiscal y a las partes personadas, de conformidad con el art. 52.1 LOTC, para que pudieran presentar las alegaciones que a su derecho conviniere.</w:t>
      </w:r>
    </w:p>
    <w:p w:rsidR="00163957" w:rsidRDefault="00163957" w:rsidP="00163957">
      <w:pPr>
        <w:pStyle w:val="TextoNormal"/>
      </w:pPr>
    </w:p>
    <w:p w:rsidR="00163957" w:rsidRDefault="00163957" w:rsidP="00163957">
      <w:pPr>
        <w:pStyle w:val="TextoNormal"/>
      </w:pPr>
      <w:r w:rsidRPr="00163957">
        <w:rPr>
          <w:rStyle w:val="NumeroAFNegritaCaracter"/>
        </w:rPr>
        <w:t>7</w:t>
      </w:r>
      <w:r>
        <w:t>. La representación procesal de la demandante de amparo se ratificó en el contenido de su demanda, según consta en escrito de 27 de octubre de 2015, incorporando en este trámite la referencia a diversos estudios de la doctrina científica sobre la regulación legal aplicable al caso.</w:t>
      </w:r>
    </w:p>
    <w:p w:rsidR="00163957" w:rsidRDefault="00163957" w:rsidP="00163957">
      <w:pPr>
        <w:pStyle w:val="TextoNormal"/>
      </w:pPr>
    </w:p>
    <w:p w:rsidR="00163957" w:rsidRDefault="00163957" w:rsidP="00163957">
      <w:pPr>
        <w:pStyle w:val="TextoNormal"/>
      </w:pPr>
      <w:r w:rsidRPr="00163957">
        <w:rPr>
          <w:rStyle w:val="NumeroAFNegritaCaracter"/>
        </w:rPr>
        <w:t>8</w:t>
      </w:r>
      <w:r>
        <w:t>. El Fiscal ante el Tribunal Constitucional presentó su escrito el día 3 de noviembre de 2015, interesando la inadmisión de la demanda, por falta de agotamiento de la vía previa [art. 44.1 a) LOTC], o el otorgamiento del amparo en su defecto, caso de rechazarse el óbice procesal.</w:t>
      </w:r>
    </w:p>
    <w:p w:rsidR="00163957" w:rsidRDefault="00163957" w:rsidP="00163957">
      <w:pPr>
        <w:pStyle w:val="TextoNormal"/>
      </w:pPr>
    </w:p>
    <w:p w:rsidR="00163957" w:rsidRDefault="00163957" w:rsidP="00163957">
      <w:pPr>
        <w:pStyle w:val="TextoNormal"/>
      </w:pPr>
      <w:r>
        <w:t>Comienza su argumentación subrayando que, si bien no era susceptible de recurso de suplicación la sentencia aquí impugnada, la subsidiariedad del amparo hacía preceptiva la interposición de un incidente de nulidad de actuaciones, que no formalizó la demandante. De su lado, en cuanto al fondo del asunto, considera que el juzgador desestimó de una manera casi apodíctica la pretensión de la trabajadora, sin examinar las razones esgrimidas ni constatar dificultades organizativas para el empleador, que siendo una Administración pública debe velar particularmente contra comportamientos discriminatorios. En suma, no se ponderó la dimensión constitucional del asunto, esto es, ni la superior protección constitucional del derecho de la trabajadora a permanecer en su actividad profesional sin discriminación por razón de su maternidad, ni el mandato de protección a la familia y a la infancia reconocido en el texto constitucional (art. 39 CE).</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la Sección cuarta de la Sala Segunda de este Tribunal, de 10 de noviembre de 2015, se tuvo al Ayuntamiento de Santa Amalia por decaído en su derecho, al haber transcurrido el plazo conferido a su Procurador, en virtud de lo acordado en resolución de 13 de octubre de 2015, para la aportación de la escritura del poder original acreditativa de la representación.</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11 de febrero de 2016 se señaló para la deliberación y votación de la presente Sentencia el día 15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t>Único. La cuestión de fondo del presente recurso de amparo, atinente a si fue vulnerado el derecho de la recurrente a la no discriminación por razón de sexo (art. 14 CE), no puede ser abordada al haberse planteado fuera del plazo previsto a tal efecto en el art. 44.2 de la Ley Orgánica del Tribunal Constitucional (LOTC). Concurre en la demanda, así pues, el defecto de extemporaneidad que el art. 50.1 a) LOTC prevé como causa de inadmisión.</w:t>
      </w:r>
    </w:p>
    <w:p w:rsidR="00163957" w:rsidRDefault="00163957" w:rsidP="00163957">
      <w:pPr>
        <w:pStyle w:val="TextoNormal"/>
      </w:pPr>
    </w:p>
    <w:p w:rsidR="00163957" w:rsidRDefault="00163957" w:rsidP="00163957">
      <w:pPr>
        <w:pStyle w:val="TextoNormal"/>
      </w:pPr>
      <w:r>
        <w:lastRenderedPageBreak/>
        <w:t>En efecto, las actuaciones (diligencia de ordenación del Secretario judicial de 22 de agosto de 2014) muestran que la Sentencia impugnada en amparo fue notificada a la representación del recurrente el día 9 de julio de 2014. Como la demanda de amparo se presentó en la oficina de registro y reparto de asuntos civiles del Decanato de Madrid el día 24 de septiembre de 2014, resulta que entre esta fecha y la siguiente a la notificación de la resolución judicial había transcurrido un número holgadamente mayor de días hábiles que el de 30 que constituye el plazo de caducidad para la interposición del recurso de amparo (que vencía, en concreto, el día 19 de septiembre de 2014 a las 15:00 horas).</w:t>
      </w:r>
    </w:p>
    <w:p w:rsidR="00163957" w:rsidRDefault="00163957" w:rsidP="00163957">
      <w:pPr>
        <w:pStyle w:val="TextoNormal"/>
      </w:pPr>
    </w:p>
    <w:p w:rsidR="00163957" w:rsidRDefault="00163957" w:rsidP="00163957">
      <w:pPr>
        <w:pStyle w:val="TextoNormal"/>
      </w:pPr>
      <w:r>
        <w:t>No puede oponerse a esta decisión de inadmisión que se adopte en este momento procesal, tras la inicial admisión de la demanda de amparo, y mediante Sentencia. Este Tribunal ha declarado en constante jurisprudencia que los defectos insubsanables de que pudiera estar afectado el recurso de amparo no resultan sanados porque el recurso haya sido inicialmente admitido a trámite, de forma que la comprobación de los presupuestos procesales para la viabilidad de la acción pueden abordarse o reconsiderarse en la Sentencia, de oficio o a instancia de parte, dando lugar a un pronunciamiento de inadmisión por la falta de tales presupuestos, sin que para ello constituya obstáculo el carácter tasado de los pronunciamientos previstos en el art. 53 LOTC (entre tantas otras, SSTC 53/1983, de 20 de junio, FJ 2, o 118/2014, de 8 de julio, FJ 2).</w:t>
      </w:r>
    </w:p>
    <w:p w:rsidR="00163957" w:rsidRDefault="00163957" w:rsidP="00163957">
      <w:pPr>
        <w:pStyle w:val="TextoNormal"/>
      </w:pPr>
    </w:p>
    <w:p w:rsidR="00163957" w:rsidRDefault="00163957" w:rsidP="00163957">
      <w:pPr>
        <w:pStyle w:val="TextoNormal"/>
      </w:pPr>
      <w:r>
        <w:t>Por consiguiente, como dijera en su fundamento jurídico único la STC 159/1998, de 13 de julio, o más tarde y literalmente la STC 174/2007, de 23 de julio, también en su único fundamento, “las importantes razones de seguridad jurídica y de igualdad en la aplicación de la Ley que impone la exigencia del requisito de tempestividad (SSTC 159/1998, de 13 de julio; 204/2005, de 18 de julio, FJ 2), y que hacen que el plazo para acudir a esta jurisdicción de amparo sea de caducidad, improrrogable y no susceptible de suspensión, y, por consiguiente, de inexorable cumplimiento (por todas, STC 85/2004, de 10 de mayo, FJ 2)”, determinan que proceda acordar la inadmisión del presente recurso de amparo.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Inadmitir el recurso de amparo.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quince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28" w:name="SENTENCIA_2016_25"/>
      <w:r>
        <w:lastRenderedPageBreak/>
        <w:t>SENTENCIA 25/2016, de 15 de febrero de 2016</w:t>
      </w:r>
    </w:p>
    <w:bookmarkEnd w:id="28"/>
    <w:p w:rsidR="00163957" w:rsidRDefault="00163957" w:rsidP="00163957">
      <w:pPr>
        <w:pStyle w:val="TtuloResolucin"/>
      </w:pPr>
      <w:r>
        <w:t>Sala Primera</w:t>
      </w:r>
    </w:p>
    <w:p w:rsidR="00163957" w:rsidRDefault="00163957" w:rsidP="00163957">
      <w:pPr>
        <w:pStyle w:val="TtuloBOE"/>
      </w:pPr>
      <w:r>
        <w:t>(BOE núm. 71, de 23 de marzo de 2016)</w:t>
      </w:r>
    </w:p>
    <w:p w:rsidR="00163957" w:rsidRDefault="00163957" w:rsidP="00163957">
      <w:pPr>
        <w:pStyle w:val="TextoNormalCentrado"/>
      </w:pPr>
      <w:r>
        <w:t>ECLI:ES:TC:2016:25</w:t>
      </w:r>
    </w:p>
    <w:p w:rsidR="00163957" w:rsidRDefault="00163957" w:rsidP="00163957">
      <w:pPr>
        <w:pStyle w:val="TextoNormalCentrado"/>
      </w:pPr>
    </w:p>
    <w:p w:rsidR="00163957" w:rsidRDefault="00163957" w:rsidP="00163957">
      <w:pPr>
        <w:pStyle w:val="SntesisDescriptiva"/>
      </w:pPr>
      <w:r>
        <w:t>Cuestión de inconstitucionalidad 6245-2014. Planteada por la Sección Segunda de la Sala de lo Contencioso-Administrativo del Tribunal Supremo, en relación con el artículo 6.1.1 c) de la Ley de la Asamblea Regional de Murcia 15/2002, de 23 de diciembre, de medidas tributarias en materia de tributos cedidos y tasas regionales.</w:t>
      </w:r>
    </w:p>
    <w:p w:rsidR="00163957" w:rsidRDefault="00163957" w:rsidP="00163957">
      <w:pPr>
        <w:pStyle w:val="SntesisDescriptiva"/>
      </w:pPr>
    </w:p>
    <w:p w:rsidR="00163957" w:rsidRDefault="00163957" w:rsidP="00163957">
      <w:pPr>
        <w:pStyle w:val="SntesisAnaltica"/>
      </w:pPr>
      <w:r>
        <w:t>Límites a la potestad tributaria de las Comunidades Autónomas: nulidad del precepto legal autonómico que introduce un medio a aplicar en los procedimientos de comprobación de valores no contemplado en la normativa estatal (STC 161/2012).</w:t>
      </w:r>
    </w:p>
    <w:p w:rsidR="00163957" w:rsidRDefault="00163957" w:rsidP="00163957">
      <w:pPr>
        <w:pStyle w:val="SntesisAnaltica"/>
      </w:pPr>
    </w:p>
    <w:p w:rsidR="00163957" w:rsidRDefault="00163957" w:rsidP="00163957">
      <w:pPr>
        <w:pStyle w:val="Extracto"/>
      </w:pPr>
      <w:r>
        <w:t>1.</w:t>
      </w:r>
      <w:r>
        <w:tab/>
        <w:t xml:space="preserve">En este caso no se modifica uno de los medios de comprobación previstos en la Ley general tributaria; se va más allá, introduciendo </w:t>
      </w:r>
      <w:r w:rsidRPr="00163957">
        <w:rPr>
          <w:i/>
        </w:rPr>
        <w:t xml:space="preserve">ex novo </w:t>
      </w:r>
      <w:r>
        <w:t>un medio no recogido en dicha Ley, por lo que la norma autonómica murciana que aquí se valora excede el ámbito competencial establecido en la Ley de cesión de tributos [FJ 4].</w:t>
      </w:r>
    </w:p>
    <w:p w:rsidR="00163957" w:rsidRDefault="00163957" w:rsidP="00163957">
      <w:pPr>
        <w:pStyle w:val="Extracto"/>
      </w:pPr>
    </w:p>
    <w:p w:rsidR="00163957" w:rsidRDefault="00163957" w:rsidP="00163957">
      <w:pPr>
        <w:pStyle w:val="Extracto"/>
      </w:pPr>
      <w:r>
        <w:t>2.</w:t>
      </w:r>
      <w:r>
        <w:tab/>
        <w:t>Aplica la doctrina contenida en la STC 161/2012 sobre la competencia de las Comunidades Autónomas para regular aspectos de gestión y liquidación de los tributos cedidos [FJ 4].</w:t>
      </w:r>
    </w:p>
    <w:p w:rsidR="00163957" w:rsidRDefault="00163957" w:rsidP="00163957">
      <w:pPr>
        <w:pStyle w:val="Extracto"/>
      </w:pPr>
    </w:p>
    <w:p w:rsidR="00163957" w:rsidRDefault="00163957" w:rsidP="00163957">
      <w:pPr>
        <w:pStyle w:val="Extracto"/>
      </w:pPr>
      <w:r>
        <w:t>3.</w:t>
      </w:r>
      <w:r>
        <w:tab/>
        <w:t>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w:t>
      </w:r>
      <w:r w:rsidRPr="00163957">
        <w:rPr>
          <w:i/>
        </w:rPr>
        <w:t xml:space="preserve"> a quo </w:t>
      </w:r>
      <w:r>
        <w:t>y que de su validez dependa la decisión a adoptar en dicho proceso (SSTC 255/2004; 22/2010; 73/2014; 83/2015) [FJ 1].</w:t>
      </w:r>
    </w:p>
    <w:p w:rsidR="00163957" w:rsidRDefault="00163957" w:rsidP="00163957">
      <w:pPr>
        <w:pStyle w:val="Extracto"/>
      </w:pPr>
    </w:p>
    <w:p w:rsidR="00163957" w:rsidRDefault="00163957" w:rsidP="00163957">
      <w:pPr>
        <w:pStyle w:val="Extracto"/>
      </w:pPr>
      <w:r>
        <w:t>4.</w:t>
      </w:r>
      <w:r>
        <w:tab/>
        <w:t>Por exigencia del principio de seguridad jurídica y siguiendo los precedentes en supuestos similares, únicamente han de considerarse situaciones susceptibles de ser revisadas con fundamento en esta Sentencia aquellas que, a la fecha de publicación de la misma, no hayan adquirido firmeza por haber sido impugnadas en tiempo y forma y aquellas otras sobre las que no haya recaído todavía una resolución administrativa o judicial firme [FJ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la cuestión de inconstitucionalidad núm. 6245-2014 promovida por la Sección Segunda de la Sala de lo Contencioso-Administrativo del Tribunal Supremo, en relación con el art. 6.1.1 c) de la Ley de la Asamblea Regional de Murcia 15/2002, de 23 de diciembre, de medidas tributarias en materia de tributos cedidos y tasas regionales, por posible infracción del art. 149.1.14, en relación con los arts. 133.1, 150.1 y 157, apartados 1 y 3, todos ellos de la Constitución, arts. 10.3 y 19.2 de la Ley Orgánica 8/1980, de 22 de septiembre, de financiación de las Comunidades Autónomas y art. 47.1 a) de la Ley 21/2001, de 27 de diciembre, por la que se regulan las medidas fiscales y administrativas del nuevo sistema de financiación de las Comunidades Autónomas de régimen común y ciudades con Estatuto de Autonomía. Han comparecido y formulado alegaciones el Abogado del Estado, el Letrado de la Región de Murcia, la Fiscal General del Estado y la entidad “Polaris World Real Estate, S.L.”. Ha sido Ponente el Magistrado don Andrés Ollero Tassara,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17 de octubre de 2014, al que se acompaña el correspondiente Auto de 3 de septiembre del mismo año, la Sección Segunda de la Sala de lo Contencioso-Administrativo del Tribunal Supremo planteó cuestión de inconstitucionalidad en relación con el art. 6.1.1 c) de la Ley de la Asamblea Regional de Murcia 15/2002, de 23 de diciembre, de medidas tributarias en materia de tributos cedidos y tasas regionales, por posible vulneración del art. 149.1.14, en relación con los arts. 133.1, 150.1 y 157, apartados 1 y 3, todos ellos de la Constitución; arts. 10.3 y 19.2 de la Ley Orgánica 8/1980, de 22 de septiembre, de financiación de las Comunidades Autónomas (en lo sucesivo, LOFCA), y art. 47.1 a) de la Ley 21/2001, de 27 de diciembre, por la que se regulan las medidas fiscales y administrativas del nuevo sistema de financiación de las Comunidades Autónomas de régimen común y ciudades con Estatuto de Autonomía.</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de hecho del planteamiento de la presente cuestión de inconstitucionalidad son los siguientes:</w:t>
      </w:r>
    </w:p>
    <w:p w:rsidR="00163957" w:rsidRDefault="00163957" w:rsidP="00163957">
      <w:pPr>
        <w:pStyle w:val="TextoNormal"/>
      </w:pPr>
    </w:p>
    <w:p w:rsidR="00163957" w:rsidRDefault="00163957" w:rsidP="00163957">
      <w:pPr>
        <w:pStyle w:val="TextoNormal"/>
      </w:pPr>
      <w:r>
        <w:t>a) En escritura pública de 29 de abril de 2005, la entidad Hacienda Verde, S.L., adquirió, mediante compraventa, el pleno dominio de dos fincas por precio de 20.417.710,16 €, valor que declaró como base imponible en el impuesto sobre transmisiones patrimoniales y actos jurídicos documentados (modalidad actos jurídicos documentados), presentando el 9 de mayo de 2005 una autoliquidación de dicho impuesto que arrojaba una cuota de 306.265,65 €.</w:t>
      </w:r>
    </w:p>
    <w:p w:rsidR="00163957" w:rsidRDefault="00163957" w:rsidP="00163957">
      <w:pPr>
        <w:pStyle w:val="TextoNormal"/>
      </w:pPr>
    </w:p>
    <w:p w:rsidR="00163957" w:rsidRDefault="00163957" w:rsidP="00163957">
      <w:pPr>
        <w:pStyle w:val="TextoNormal"/>
      </w:pPr>
      <w:r>
        <w:t>b) El 24 de junio de 2005 la Administración tributaria de la Región de Murcia inició de oficio un procedimiento de gestión para comprobar el valor declarado en la autoliquidación del citado impuesto, proponiendo una liquidación en la que el valor real de los bienes adquiridos y, por ello, la base imponible del tributo se fijaba en 71.500.000 €, dando lugar a una cuota de 1.072.500 €. De lo anterior se derivaba una diferencia entre la cuota autoliquidada por el contribuyente y la liquidada por la Administración de 766.234,35 € lo que, una vez sumados los intereses de demora, arrojaba una deuda tributaria de 780.299,47 €.</w:t>
      </w:r>
    </w:p>
    <w:p w:rsidR="00163957" w:rsidRDefault="00163957" w:rsidP="00163957">
      <w:pPr>
        <w:pStyle w:val="TextoNormal"/>
      </w:pPr>
    </w:p>
    <w:p w:rsidR="00163957" w:rsidRDefault="00163957" w:rsidP="00163957">
      <w:pPr>
        <w:pStyle w:val="TextoNormal"/>
      </w:pPr>
      <w:r>
        <w:t>En la propuesta de liquidación se indicaba que la comprobación de valores se había efectuado utilizando el medio “valor asignado para las subastas en las fincas hipotecadas” en la escritura de constitución de hipoteca otorgada entre la adquirente y la entidad Hypo Real Estate Bank Internacional el 10 de mayo de 2005.</w:t>
      </w:r>
    </w:p>
    <w:p w:rsidR="00163957" w:rsidRDefault="00163957" w:rsidP="00163957">
      <w:pPr>
        <w:pStyle w:val="TextoNormal"/>
      </w:pPr>
    </w:p>
    <w:p w:rsidR="00163957" w:rsidRDefault="00163957" w:rsidP="00163957">
      <w:pPr>
        <w:pStyle w:val="TextoNormal"/>
      </w:pPr>
      <w:r>
        <w:t>c) Formuladas alegaciones el 28 de julio siguiente por Hacienda Verde, S.L., el 25 de octubre de 2005 se dictó acuerdo de comprobación de valores y liquidación en los términos propuestos, contra el que la mencionada sociedad interpuso recurso de reposición, aduciendo que el valor comprobado no se correspondía con el real de las fincas adquiridas y que la comprobación de valores carecía de motivación. El recurso fue desestimado por resolución del Servicio de gestión tributaria de la Consejería de Economía y Hacienda de la Región de Murcia de 22 de febrero de 2006, en la que se razona que el medio de comprobación de valores utilizado se encontraba previsto en el art. 6.1.1 c) de la Ley de la Asamblea Regional de Murcia 15/2002.</w:t>
      </w:r>
    </w:p>
    <w:p w:rsidR="00163957" w:rsidRDefault="00163957" w:rsidP="00163957">
      <w:pPr>
        <w:pStyle w:val="TextoNormal"/>
      </w:pPr>
    </w:p>
    <w:p w:rsidR="00163957" w:rsidRDefault="00163957" w:rsidP="00163957">
      <w:pPr>
        <w:pStyle w:val="TextoNormal"/>
      </w:pPr>
      <w:r>
        <w:t>d) Interpuesta la correspondiente reclamación económico-administrativa (núm. 30-1488-2006), la liquidación fue confirmada por resolución del Tribunal Económico-Administrativo Regional de Murcia de 14 de diciembre de 2006, que consideró correcta la comprobación de valores llevada a cabo, sin perjuicio de la posibilidad de instar la tasación pericial contradictoria.</w:t>
      </w:r>
    </w:p>
    <w:p w:rsidR="00163957" w:rsidRDefault="00163957" w:rsidP="00163957">
      <w:pPr>
        <w:pStyle w:val="TextoNormal"/>
      </w:pPr>
    </w:p>
    <w:p w:rsidR="00163957" w:rsidRDefault="00163957" w:rsidP="00163957">
      <w:pPr>
        <w:pStyle w:val="TextoNormal"/>
      </w:pPr>
      <w:r>
        <w:t>e) Frente a la resolución dictada en la vía económico-administrativa se interpuso recurso contencioso-administrativo, que fue resuelto por la Sección Segunda de la Sala de lo Contencioso-Administrativo del Tribunal Superior de Justicia de Murcia, en Sentencia de 17 de febrero de 2012, por la que desestimó la demanda. No considera necesario plantear una cuestión de inconstitucionalidad sobre el art. 6.1.1 c) de la Ley murciana 15/2002, por entender que la determinación del valor del bien pertenece al ámbito de la gestión del tributo y que la Ley 21/2001 amplió la capacidad normativa de las Comunidades Autónomas a determinados aspectos de gestión y liquidación de los tributos cedidos lo que, a juicio de la Sala de lo Contencioso-Administrativo del Tribunal Superior de Justicia de Murcia, incluía la comprobación de valores.</w:t>
      </w:r>
    </w:p>
    <w:p w:rsidR="00163957" w:rsidRDefault="00163957" w:rsidP="00163957">
      <w:pPr>
        <w:pStyle w:val="TextoNormal"/>
      </w:pPr>
    </w:p>
    <w:p w:rsidR="00163957" w:rsidRDefault="00163957" w:rsidP="00163957">
      <w:pPr>
        <w:pStyle w:val="TextoNormal"/>
      </w:pPr>
      <w:r>
        <w:t xml:space="preserve">f) La entidad Polaris World Real Estate, S.L., en su condición de absorbente y, por tanto, sucesora de Hacienda Verde, S.L., se alzó en casación contra la Sentencia anterior mediante recurso interpuesto el 29 de junio de 2012 (núm. 2636-2012). Fijado el día 21 de mayo de 2014 para votación y fallo de dicho recurso, se dejó sin efecto el señalamiento mediante providencia adoptada en el mismo día para, de conformidad con el art. 35 de la Ley Orgánica del Tribunal Constitucional (LOTC), oír a las partes y al Ministerio Fiscal por plazo común de diez días sobre la pertinencia de plantear una cuestión de inconstitucionalidad respecto del art. 6.1.1 c) de la Ley de la Asamblea Regional de Murcia 15/2002, debido a su posible extralimitación competencial, al considerar que la norma cuestionada establecía un nuevo medio de comprobación de valores en relación con los impuestos sobre sucesiones y donaciones, transmisiones patrimoniales y actos jurídicos documentados. En la misma providencia se puso de manifiesto a las partes que la STC 161/2012, de 20 de septiembre, resolviendo el recurso de inconstitucionalidad núm. 1674-2003, declaró inconstitucional el art. 23.4, </w:t>
      </w:r>
      <w:r>
        <w:lastRenderedPageBreak/>
        <w:t>último párrafo, inciso final, de la Ley del Parlamento de Andalucía 10/2002, de 21 de diciembre, de redacción similar al precepto de la Ley de la Asamblea Regional de Murcia 15/2002 cuestionado.</w:t>
      </w:r>
    </w:p>
    <w:p w:rsidR="00163957" w:rsidRDefault="00163957" w:rsidP="00163957">
      <w:pPr>
        <w:pStyle w:val="TextoNormal"/>
      </w:pPr>
    </w:p>
    <w:p w:rsidR="00163957" w:rsidRDefault="00163957" w:rsidP="00163957">
      <w:pPr>
        <w:pStyle w:val="TextoNormal"/>
      </w:pPr>
      <w:r>
        <w:t>g) Evacuado el trámite de alegaciones conferido, la Región de Murcia se opuso al planteamiento de la cuestión de inconstitucionalidad por medio de un escrito registrado el 13 de junio de 2014.</w:t>
      </w:r>
    </w:p>
    <w:p w:rsidR="00163957" w:rsidRDefault="00163957" w:rsidP="00163957">
      <w:pPr>
        <w:pStyle w:val="TextoNormal"/>
      </w:pPr>
    </w:p>
    <w:p w:rsidR="00163957" w:rsidRDefault="00163957" w:rsidP="00163957">
      <w:pPr>
        <w:pStyle w:val="TextoNormal"/>
      </w:pPr>
      <w:r>
        <w:t>h) El Abogado del Estado, a través de un escrito presentado el 17 de junio de 2014, manifestó que, examinada la STC 161/2012, nada tenía que alegar respecto del planteamiento de la cuestión de inconstitucionalidad. No obstante, adjuntó un informe de la Dirección General de Tributos del Ministerio de Hacienda y Administraciones Públicas, que mantenía que desde que estuvo vigente la redacción original del art. 6.1.1 c) de la Ley de la Asamblea Regional de Murcia 15/2002 hasta el 30 de noviembre de 2006 dicho precepto se encontraba en una situación análoga al artículo enjuiciado en la STC 161/2012, puesto que fijaba un medio de valoración no recogido en la Ley general tributaria (en adelante, LGT). El indicado centro directivo señalaba también que, a partir de la modificación del art. 57 LGT, con efectos desde el 1 de diciembre de 2006, el precepto autonómico no invadía competencias estatales, pues el método de valoración cuestionado pasó a estar recogido en la legislación del Estado [nuevo apartado g) del art. 57.1 LGT introducido por la Ley 36/2006, de 29 de noviembre, de medidas para la prevención del fraude fiscal, en adelante, Ley 36/2006]. La Dirección General de Tributos entendía, por tanto, que la solución de la STC 161/2012 solo sería trasladable a aquellos casos en los que se haya aplicado el art. 6.1.1 c) de la Ley de la Asamblea Regional de Murcia 15/2002 antes de la modificación del art. 57 LGT por la Ley 36/2006.</w:t>
      </w:r>
    </w:p>
    <w:p w:rsidR="00163957" w:rsidRDefault="00163957" w:rsidP="00163957">
      <w:pPr>
        <w:pStyle w:val="TextoNormal"/>
      </w:pPr>
    </w:p>
    <w:p w:rsidR="00163957" w:rsidRDefault="00163957" w:rsidP="00163957">
      <w:pPr>
        <w:pStyle w:val="TextoNormal"/>
      </w:pPr>
      <w:r>
        <w:t>i) La sociedad Polaris World Real Estate, S.L., mediante escrito presentado el 20 de junio de 2014, consideró pertinente el planteamiento de la cuestión de inconstitucionalidad, por entender que el art. 6.1.1 c) de la Ley murciana 15/2002 incurre en una extralimitación competencial, al contemplar un método de comprobación nuevo, no previsto en la legislación estatal.</w:t>
      </w:r>
    </w:p>
    <w:p w:rsidR="00163957" w:rsidRDefault="00163957" w:rsidP="00163957">
      <w:pPr>
        <w:pStyle w:val="TextoNormal"/>
      </w:pPr>
    </w:p>
    <w:p w:rsidR="00163957" w:rsidRDefault="00163957" w:rsidP="00163957">
      <w:pPr>
        <w:pStyle w:val="TextoNormal"/>
      </w:pPr>
      <w:r>
        <w:t>j) El Fiscal, mediante escrito de 7 de julio de 2014, no se opuso al planteamiento de la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3</w:t>
      </w:r>
      <w:r>
        <w:t>. El Auto de planteamiento de la cuestión señala, en síntesis, lo siguiente:</w:t>
      </w:r>
    </w:p>
    <w:p w:rsidR="00163957" w:rsidRDefault="00163957" w:rsidP="00163957">
      <w:pPr>
        <w:pStyle w:val="TextoNormal"/>
      </w:pPr>
    </w:p>
    <w:p w:rsidR="00163957" w:rsidRDefault="00163957" w:rsidP="00163957">
      <w:pPr>
        <w:pStyle w:val="TextoNormal"/>
      </w:pPr>
      <w:r>
        <w:t>El art. 6.1 de la Ley de la Asamblea Regional de Murcia 15/2002, que incorporaba el apartado 1 c), estuvo vigente, en su redacción originaria, desde el 1 de enero de 2003 hasta el 31 de diciembre de 2006 y dicha redacción originaria fue la aplicada en la comprobación de valores practicada en el asunto enjuiciado con fecha 25 de octubre de 2005.</w:t>
      </w:r>
    </w:p>
    <w:p w:rsidR="00163957" w:rsidRDefault="00163957" w:rsidP="00163957">
      <w:pPr>
        <w:pStyle w:val="TextoNormal"/>
      </w:pPr>
    </w:p>
    <w:p w:rsidR="00163957" w:rsidRDefault="00163957" w:rsidP="00163957">
      <w:pPr>
        <w:pStyle w:val="TextoNormal"/>
      </w:pPr>
      <w:r>
        <w:t>Durante el tiempo en que fue aplicable el citado art. 6.1.1 c) de la Ley de la Asamblea Regional de Murcia 15/2002 (exceptuando el mes comprendido entre 1 de diciembre de 2006, fecha de entrada en vigor de la Ley 36/2006, y el 1 de enero de 2007, en que comenzó la vigencia de la Ley murciana 12/2006, por la que se modifica el citado precepto) no existía en la Ley general tributaria una previsión específica que, como la norma autonómica anali</w:t>
      </w:r>
      <w:r>
        <w:lastRenderedPageBreak/>
        <w:t>zada, admitiese como medio de comprobación de valores en el impuesto sobre transmisiones patrimoniales y actos jurídicos documentados “el valor asignado para la subasta en las fincas hipotecadas en cumplimiento de lo prevenido en la legislación hipotecaria”.</w:t>
      </w:r>
    </w:p>
    <w:p w:rsidR="00163957" w:rsidRDefault="00163957" w:rsidP="00163957">
      <w:pPr>
        <w:pStyle w:val="TextoNormal"/>
      </w:pPr>
    </w:p>
    <w:p w:rsidR="00163957" w:rsidRDefault="00163957" w:rsidP="00163957">
      <w:pPr>
        <w:pStyle w:val="TextoNormal"/>
      </w:pPr>
      <w:r>
        <w:t>Según ha recordado la STC 161/2012, FJ 3, los impuestos cedidos son de titularidad estatal, pudiendo las Comunidades Autónomas asumir, por delegación del Estado, determinadas potestades de aplicación, incluso de carácter normativo, siempre dentro del marco establecido por este. Tal marco es el señalado en la Constitución y en los arts. 10.3 y 19.2 LOFCA, que prevén la posibilidad de que la cesión de tributos pueda incluir competencias normativas, en particular, en el ámbito de la gestión. También ha de tomarse en consideración el art. 47.1 a) de la Ley 21/2001, vigente al tiempo en que acontecieron los hechos que están en la base del proceso, y conforme al cual en la gestión y liquidación del impuesto sobre transmisiones patrimoniales y actos jurídicos documentados la delegación de competencias alcanza a la incoación de los expedientes de comprobación de valores, pero utilizando los mismos criterios que el Estado.</w:t>
      </w:r>
    </w:p>
    <w:p w:rsidR="00163957" w:rsidRDefault="00163957" w:rsidP="00163957">
      <w:pPr>
        <w:pStyle w:val="TextoNormal"/>
      </w:pPr>
    </w:p>
    <w:p w:rsidR="00163957" w:rsidRDefault="00163957" w:rsidP="00163957">
      <w:pPr>
        <w:pStyle w:val="TextoNormal"/>
      </w:pPr>
      <w:r>
        <w:t>Teniendo en cuenta la citada STC 161/2012, recaída en un caso muy similar al presente, la Sala de lo Contencioso-Administrativo del Tribunal Supremo considera que concurren razones más que fundadas para dudar de la constitucionalidad del art. 6.1.1 c) de la Ley murciana 15/2002.</w:t>
      </w:r>
    </w:p>
    <w:p w:rsidR="00163957" w:rsidRDefault="00163957" w:rsidP="00163957">
      <w:pPr>
        <w:pStyle w:val="TextoNormal"/>
      </w:pPr>
    </w:p>
    <w:p w:rsidR="00163957" w:rsidRDefault="00163957" w:rsidP="00163957">
      <w:pPr>
        <w:pStyle w:val="TextoNormal"/>
      </w:pPr>
      <w:r>
        <w:t>En concreto, el órgano promotor parte de que, como indicó la STC 161/2012, las Comunidades Autónomas pueden regular aspectos de gestión y liquidación en el impuesto sobre transmisiones patrimoniales y actos jurídicos documentados (entre otros) y sus Administraciones tributarias ejercer por delegación del Estado las potestades de gestión de este tributo; entre ellas, la de incoar expedientes de comprobación de valores. Sin embargo, la Sala recuerda, como ya hizo el Tribunal Constitucional en la citada Sentencia, que en dichos expedientes deberán utilizar los mismos criterios que el Estado.</w:t>
      </w:r>
    </w:p>
    <w:p w:rsidR="00163957" w:rsidRDefault="00163957" w:rsidP="00163957">
      <w:pPr>
        <w:pStyle w:val="TextoNormal"/>
      </w:pPr>
    </w:p>
    <w:p w:rsidR="00163957" w:rsidRDefault="00163957" w:rsidP="00163957">
      <w:pPr>
        <w:pStyle w:val="TextoNormal"/>
      </w:pPr>
      <w:r>
        <w:t>El Tribunal Supremo entiende que la regulación estatal aplicable por razón del tiempo a los hechos del proceso a quo no contemplaba un medio de comprobación de valores como el del art. 6.1.1 c) de la Ley murciana 15/2002; dicho medio no se incorporó a la Ley general tributaria hasta la modificación de esta por la Ley 36/2006, en vigor desde el 1 de diciembre de 2006. Tampoco lo preveía el texto refundido de la Ley del impuesto sobre transmisiones patrimoniales y actos jurídicos documentados (Real Decreto Legislativo 1/1993, de 24 de septiembre), que en su art. 46.2 se limitaba a remitirse a la Ley general tributaria. En consecuencia, el art. 6.1.1 c) de la Ley de la Asamblea Regional de Murcia 15/2002 introdujo un medio de valoración distinto a los del Estado, incurriendo, si se aplica la doctrina de la STC 161/2012, FJ 7, en una extralimitación competencial, al conducir a un resultado expresamente prohibido por el art. 47.1 a) de la Ley 21/2001.</w:t>
      </w:r>
    </w:p>
    <w:p w:rsidR="00163957" w:rsidRDefault="00163957" w:rsidP="00163957">
      <w:pPr>
        <w:pStyle w:val="TextoNormal"/>
      </w:pPr>
    </w:p>
    <w:p w:rsidR="00163957" w:rsidRDefault="00163957" w:rsidP="00163957">
      <w:pPr>
        <w:pStyle w:val="TextoNormal"/>
      </w:pPr>
      <w:r>
        <w:t xml:space="preserve">Por último, para la Sala de lo Contencioso-Administrativo del Tribunal Supremo no cabe ninguna duda de que la constitucionalidad del art. 6.1.1 c) de la Ley de la Asamblea Regional de Murcia 15/2002 es aplicable y relevante para la solución que haya de darse al recurso de casación y al litigio del que este deriva; si dicha norma se considera constitucional, la decisión adoptada por la Sala de instancia será correcta, en la medida en que la Administración tributaria aplicó en el procedimiento de gestión un medio de comprobación de valores válidamente previsto en la normativa legal vigente para zanjar la contienda, mientras que </w:t>
      </w:r>
      <w:r>
        <w:lastRenderedPageBreak/>
        <w:t>si, por el contrario, el medio de comprobación aplicado se reputa inconstitucional, el recurso de casación debe prosperar.</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3 de febrero de 2015, el Pleno de este Tribunal acordó admitir a trámite la cuestión de inconstitucionalidad, deferir a la Sala Primera el conocimiento de la misma conforme al art. 10.1 c) LOTC y dar traslado de la demanda y documentos presentados al Congreso de los Diputados y al Senado, por conducto de sus Presidentes, al Gobierno, a través del Ministro de Justicia, y al Fiscal General del Estado, así como al Gobierno de la Región de Murcia y a la Asamblea Regional de Murcia, por conducto de sus Presidentes, para que en el improrrogable plazo de quince días pudieran personarse en el procedimiento y formular las alegaciones que estimasen convenientes (art. 37.3 LOTC). Asimismo, se ordenó, por un lado, comunicar esa resolución a la Sección Segunda de la Sala de lo Contencioso-Administrativo del Tribunal Supremo a fin de que, de conformidad con el art. 35.3 LOTC, permaneciese suspendido el proceso hasta que este Tribunal resolviese definitivamente la cuestión y, por otro, publicar la admisión de la misma en el “Boletín Oficial del Estado” (lo que se llevó a efecto en el “BOE” núm. 36, de 11 de febrero de 2015).</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presentado en el Registro General de este Tribunal el 12 de febrero de 2015, el Presidente del Congreso de los Diputados comunicó el acuerdo de la Mesa de la Cámara de personarse en el presente proceso constitucional,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Igualmente, por medio de un escrito presentado en el Registro General de este Tribunal el 18 de febrero de 2015, el Presidente del Senado comunicó el acuerdo de la Mesa de esa Cámara de personarse en el presente proceso constitucional,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registrado en este Tribunal el 26 de febrero de 2015, el Abogado del Estado evacuó el trámite de alegaciones, interesando la declaración de inconstitucionalidad del precepto cuestionado.</w:t>
      </w:r>
    </w:p>
    <w:p w:rsidR="00163957" w:rsidRDefault="00163957" w:rsidP="00163957">
      <w:pPr>
        <w:pStyle w:val="TextoNormal"/>
      </w:pPr>
    </w:p>
    <w:p w:rsidR="00163957" w:rsidRDefault="00163957" w:rsidP="00163957">
      <w:pPr>
        <w:pStyle w:val="TextoNormal"/>
      </w:pPr>
      <w:r>
        <w:t>Considera, en primer lugar, que la norma aplicable al fondo del asunto es la vigente en el momento del devengo del impuesto, sin que su modificación posterior afecte al objeto de la cuestión de inconstitucionalidad. Y dicha norma, en el presente caso, es la contenida en el art. 6.1.1 c) de la Ley de la Asamblea Regional de Murcia 15/2002 en su redacción original, sin que su posterior modificación y derogación deban influir en el análisis de constitucionalidad, ya que dicha redacción original fue la que aplicó la Administración Tributaria de la Región de Murcia en el asunto enjuiciado.</w:t>
      </w:r>
    </w:p>
    <w:p w:rsidR="00163957" w:rsidRDefault="00163957" w:rsidP="00163957">
      <w:pPr>
        <w:pStyle w:val="TextoNormal"/>
      </w:pPr>
    </w:p>
    <w:p w:rsidR="00163957" w:rsidRDefault="00163957" w:rsidP="00163957">
      <w:pPr>
        <w:pStyle w:val="TextoNormal"/>
      </w:pPr>
      <w:r>
        <w:t>Tras exponer la normativa estatal sobre la comprobación de valores y el marco competencial vigente, el Abogado del Estado invoca, al igual que el auto de planteamiento, la STC 161/2012, según la cual las Comunidades Autónomas han de aplicar en la comprobación de valores los mismos criterios que el Estado, que son los contenidos en la Ley general tributaria. Por tanto, con base en dicha Sentencia, la cuestión debe estimarse y la norma controvertida declararse inconstitucional.</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8</w:t>
      </w:r>
      <w:r>
        <w:t>. Mediante escrito registrado en este Tribunal el 27 de febrero de 2015, el Letrado de la Región de Murcia se personó en el presente proceso constitucional y formuló las alegaciones que se resumen a continuación.</w:t>
      </w:r>
    </w:p>
    <w:p w:rsidR="00163957" w:rsidRDefault="00163957" w:rsidP="00163957">
      <w:pPr>
        <w:pStyle w:val="TextoNormal"/>
      </w:pPr>
    </w:p>
    <w:p w:rsidR="00163957" w:rsidRDefault="00163957" w:rsidP="00163957">
      <w:pPr>
        <w:pStyle w:val="TextoNormal"/>
      </w:pPr>
      <w:r>
        <w:t>Tal como adujo en el proceso a quo, el Gobierno de la Comunidad Autónoma reconoce que la Ley de la Asamblea Regional de Murcia 15/2002 regula un nuevo medio de comprobación, que solo fue incorporado a la Ley general tributaria con posterioridad, mediante la Ley 36/2006; insiste en que se trata de un caso diferente al de la norma andaluza declarada inconstitucional por la STC 161/2012, ya que esta alteraba el sentido y el contenido de un medio de comprobación ya regulado por el Estado, como es el dictamen de peritos, mientras que la norma murciana incorporaba un medio de comprobación inicialmente no recogido en la Ley general tributaria pero que más tarde se incorporó a su artículo 57.</w:t>
      </w:r>
    </w:p>
    <w:p w:rsidR="00163957" w:rsidRDefault="00163957" w:rsidP="00163957">
      <w:pPr>
        <w:pStyle w:val="TextoNormal"/>
      </w:pPr>
    </w:p>
    <w:p w:rsidR="00163957" w:rsidRDefault="00163957" w:rsidP="00163957">
      <w:pPr>
        <w:pStyle w:val="TextoNormal"/>
      </w:pPr>
      <w:r>
        <w:t>El Gobierno autonómico alega, invocando diversa jurisprudencia, que la comprobación de valores es un acto de trámite del procedimiento de gestión tributaria; lo que, en conexión con lo dispuesto en el art. 41.2 de la Ley 21/2001, le lleva a concluir que la Comunidad Autónoma tiene título competencial suficiente para aprobar la norma discutida. Asimismo, indica que el caso resuelto por la STC 161/2012 se refería a una liquidación practicada al amparo de la Ley 230/1963, de 28 de diciembre, general tributaria, y no con base en la Ley 58/2003, a cuyo artículo 57 la Ley 36/2006 añadió el medio de comprobación controvertido.</w:t>
      </w:r>
    </w:p>
    <w:p w:rsidR="00163957" w:rsidRDefault="00163957" w:rsidP="00163957">
      <w:pPr>
        <w:pStyle w:val="TextoNormal"/>
      </w:pPr>
    </w:p>
    <w:p w:rsidR="00163957" w:rsidRDefault="00163957" w:rsidP="00163957">
      <w:pPr>
        <w:pStyle w:val="TextoNormal"/>
      </w:pPr>
      <w:r>
        <w:t>Por otra parte, el Gobierno autonómico entiende que la STC 161/2012 fundamentó la inconstitucionalidad de la Ley andaluza en la prohibición contenida en el art. 55.1 a) de la Ley 22/2009, de 18 de diciembre, por la que se regula el sistema de financiación de las Comunidades Autónomas de régimen común y ciudades con Estatuto de Autonomía y se modifican determinadas normas tributarias; esta norma no estaba en vigor cuando se practicó a liquidación aquí discutida, reiterando que la legislación aplicable al caso que se ventila es la Ley 21/2001. Esta amplió la capacidad normativa de las Comunidades Autónomas, atribuyéndoles competencias para regular los aspectos de gestión y liquidación en relación con determinados tributos cedidos, entre los cuales deben incluirse los relativos a los medios de comprobación de valores.</w:t>
      </w:r>
    </w:p>
    <w:p w:rsidR="00163957" w:rsidRDefault="00163957" w:rsidP="00163957">
      <w:pPr>
        <w:pStyle w:val="TextoNormal"/>
      </w:pPr>
    </w:p>
    <w:p w:rsidR="00163957" w:rsidRDefault="00163957" w:rsidP="00163957">
      <w:pPr>
        <w:pStyle w:val="TextoNormal"/>
      </w:pPr>
      <w:r>
        <w:t>Por último, el Letrado de la Región de Murcia recuerda que la STC 161/2012 limitó el alcance de sus efectos en el tiempo, dejando a salvo las situaciones administrativas firmes, por lo que una eventual declaración de inconstitucionalidad del precepto cuestionado de la Ley de la Asamblea de la Región de Murcia no debería afectar a casos como el presente.</w:t>
      </w:r>
    </w:p>
    <w:p w:rsidR="00163957" w:rsidRDefault="00163957" w:rsidP="00163957">
      <w:pPr>
        <w:pStyle w:val="TextoNormal"/>
      </w:pPr>
    </w:p>
    <w:p w:rsidR="00163957" w:rsidRDefault="00163957" w:rsidP="00163957">
      <w:pPr>
        <w:pStyle w:val="TextoNormal"/>
      </w:pPr>
      <w:r w:rsidRPr="00163957">
        <w:rPr>
          <w:rStyle w:val="NumeroAFNegritaCaracter"/>
        </w:rPr>
        <w:t>9</w:t>
      </w:r>
      <w:r>
        <w:t>. El 27 de febrero de 2015 tuvo asimismo entrada en este Tribunal un escrito presentado por la entidad Polaris World Real Estate, S.L., mediante el que se personaba en el proceso constitucional, solicitando que se entendieran con ella las diligencias sucesivas.</w:t>
      </w:r>
    </w:p>
    <w:p w:rsidR="00163957" w:rsidRDefault="00163957" w:rsidP="00163957">
      <w:pPr>
        <w:pStyle w:val="TextoNormal"/>
      </w:pPr>
    </w:p>
    <w:p w:rsidR="00163957" w:rsidRDefault="00163957" w:rsidP="00163957">
      <w:pPr>
        <w:pStyle w:val="TextoNormal"/>
      </w:pPr>
      <w:r w:rsidRPr="00163957">
        <w:rPr>
          <w:rStyle w:val="NumeroAFNegritaCaracter"/>
        </w:rPr>
        <w:t>10</w:t>
      </w:r>
      <w:r>
        <w:t>. Por medio de un escrito presentado el 5 de marzo de 2015, el Presidente de la Asamblea Regional de Murcia comunicó el acuerdo adoptado por la Mesa de la Cámara de personarse en el proceso, sin formular alegaciones, ofreciendo su colaboración de acuerdo con el art. 88.1 LOTC.</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11</w:t>
      </w:r>
      <w:r>
        <w:t>. El 10 de marzo de 2015 se presentó en este Tribunal el escrito de alegaciones de la Fiscal General del Estado por el que solicita la estimación de la cuestión planteada.</w:t>
      </w:r>
    </w:p>
    <w:p w:rsidR="00163957" w:rsidRDefault="00163957" w:rsidP="00163957">
      <w:pPr>
        <w:pStyle w:val="TextoNormal"/>
      </w:pPr>
    </w:p>
    <w:p w:rsidR="00163957" w:rsidRDefault="00163957" w:rsidP="00163957">
      <w:pPr>
        <w:pStyle w:val="TextoNormal"/>
      </w:pPr>
      <w:r>
        <w:t>En primer lugar, la Fiscal General del Estado aprecia que concurren los requisitos procedimentales para el válido planteamiento de la cuestión. Asimismo, estima que la posterior derogación de la norma sobre la que se formula la cuestión no supone la pérdida del objeto de esta, dado que la resolución del litigio que está en el origen de la misma requiere la aplicación de la norma sobre la que el Tribunal Supremo alberga las dudas de constitucionalidad.</w:t>
      </w:r>
    </w:p>
    <w:p w:rsidR="00163957" w:rsidRDefault="00163957" w:rsidP="00163957">
      <w:pPr>
        <w:pStyle w:val="TextoNormal"/>
      </w:pPr>
    </w:p>
    <w:p w:rsidR="00163957" w:rsidRDefault="00163957" w:rsidP="00163957">
      <w:pPr>
        <w:pStyle w:val="TextoNormal"/>
      </w:pPr>
      <w:r>
        <w:t>A continuación, en cuanto al fondo del asunto, la Fiscal General del Estado destaca que cuando se practicó la comprobación de valores que origina el litigio el medio aplicado por la Administración tributaria autonómica (el valor asignado para la subasta de las fincas hipotecadas) no estaba recogido en la Ley general tributaria ni en la normativa del impuesto sobre transmisiones patrimoniales y actos jurídicos documentados.</w:t>
      </w:r>
    </w:p>
    <w:p w:rsidR="00163957" w:rsidRDefault="00163957" w:rsidP="00163957">
      <w:pPr>
        <w:pStyle w:val="TextoNormal"/>
      </w:pPr>
    </w:p>
    <w:p w:rsidR="00163957" w:rsidRDefault="00163957" w:rsidP="00163957">
      <w:pPr>
        <w:pStyle w:val="TextoNormal"/>
      </w:pPr>
      <w:r>
        <w:t>Tras recordar cuál es el marco regulador de las competencias autonómicas en el ámbito de los tributos cedidos, el carácter delegado de las mismas y el obligado respeto en su ejercicio a los límites y condiciones establecidos para dicha delegación, el escrito de la Fiscalía señala que, de acuerdo con la normativa aplicable, en particular, el art. 47 de la Ley 21/2001, en los expedientes de comprobación de valores que incoen las Comunidades Autónomas deberán utilizarse los mismos criterios que el Estado, tal como estableció la STC 161/2012.</w:t>
      </w:r>
    </w:p>
    <w:p w:rsidR="00163957" w:rsidRDefault="00163957" w:rsidP="00163957">
      <w:pPr>
        <w:pStyle w:val="TextoNormal"/>
      </w:pPr>
    </w:p>
    <w:p w:rsidR="00163957" w:rsidRDefault="00163957" w:rsidP="00163957">
      <w:pPr>
        <w:pStyle w:val="TextoNormal"/>
      </w:pPr>
      <w:r>
        <w:t>A la vista de que en el momento de practicarse la comprobación de valores el criterio aplicado por la Administración tributaria de la Región de Murcia no estaba recogido en la normativa estatal, la Fiscal General del Estado considera que es plenamente aplicable la doctrina constitucional señalada, lo que debe llevar a la estimación de la cuestión, por considerar que la Ley de la Asamblea Regional de Murcia 15/2002 se extralimitó en sus competencias al regular en su artículo 6.1.1 c) como medio de comprobación el valor asignado para la subasta de las fincas hipotecadas.</w:t>
      </w:r>
    </w:p>
    <w:p w:rsidR="00163957" w:rsidRDefault="00163957" w:rsidP="00163957">
      <w:pPr>
        <w:pStyle w:val="TextoNormal"/>
      </w:pPr>
    </w:p>
    <w:p w:rsidR="00163957" w:rsidRDefault="00163957" w:rsidP="00163957">
      <w:pPr>
        <w:pStyle w:val="TextoNormal"/>
      </w:pPr>
      <w:r w:rsidRPr="00163957">
        <w:rPr>
          <w:rStyle w:val="NumeroAFNegritaCaracter"/>
        </w:rPr>
        <w:t>12</w:t>
      </w:r>
      <w:r>
        <w:t>. Con fecha 12 de marzo de 2015 la entidad Polaris World Real Estate, S.L. presentó sus alegaciones, solicitando la estimación de la cuestión.</w:t>
      </w:r>
    </w:p>
    <w:p w:rsidR="00163957" w:rsidRDefault="00163957" w:rsidP="00163957">
      <w:pPr>
        <w:pStyle w:val="TextoNormal"/>
      </w:pPr>
    </w:p>
    <w:p w:rsidR="00163957" w:rsidRDefault="00163957" w:rsidP="00163957">
      <w:pPr>
        <w:pStyle w:val="TextoNormal"/>
      </w:pPr>
      <w:r>
        <w:t>La entidad mantiene, en línea con el Auto de planteamiento y las alegaciones del Abogado del Estado y de la Fiscal General del Estado, que la norma cuestionada vulnera los arts. 149.1.14, en relación con los arts. 133.1, 150.1 y 157, apartados 1 y 3, todos ellos de la Constitución, así como los arts. 10.3 y 19.2 de la Ley Orgánica 8/1980, de 22 de septiembre, de financiación de las Comunidades Autónomas (LOFCA) y 47.1 a) de la Ley 21/2001.</w:t>
      </w:r>
    </w:p>
    <w:p w:rsidR="00163957" w:rsidRDefault="00163957" w:rsidP="00163957">
      <w:pPr>
        <w:pStyle w:val="TextoNormal"/>
      </w:pPr>
    </w:p>
    <w:p w:rsidR="00163957" w:rsidRDefault="00163957" w:rsidP="00163957">
      <w:pPr>
        <w:pStyle w:val="TextoNormal"/>
      </w:pPr>
      <w:r>
        <w:t>Invocando de nuevo la STC 161/2012, la sociedad a la que se practicó la liquidación que da origen a la presente cuestión afirma que el medio de comprobación recogido en la Ley de la Asamblea Regional de Murcia 15/2002 no estaba previsto en la Ley general tributaria, en la redacción aplicable ratione temporis, y que el legislador autonómico no está habilitado para crear nuevos medios de comprobación.</w:t>
      </w:r>
    </w:p>
    <w:p w:rsidR="00163957" w:rsidRDefault="00163957" w:rsidP="00163957">
      <w:pPr>
        <w:pStyle w:val="TextoNormal"/>
      </w:pPr>
    </w:p>
    <w:p w:rsidR="00163957" w:rsidRDefault="00163957" w:rsidP="00163957">
      <w:pPr>
        <w:pStyle w:val="TextoNormal"/>
      </w:pPr>
      <w:r>
        <w:t xml:space="preserve">Para terminar, el escrito de la sociedad Polaris World Real Estate, S.L., manifiesta hacer suyos, por considerarlos impecables, los razonamientos jurídicos recogidos en el auto de </w:t>
      </w:r>
      <w:r>
        <w:lastRenderedPageBreak/>
        <w:t>planteamiento, compartiendo la conclusión a la que llega este sobre la inconstitucionalidad del art. 6.1.1 c) de la Ley murciana 15/2002.</w:t>
      </w:r>
    </w:p>
    <w:p w:rsidR="00163957" w:rsidRDefault="00163957" w:rsidP="00163957">
      <w:pPr>
        <w:pStyle w:val="TextoNormal"/>
      </w:pPr>
    </w:p>
    <w:p w:rsidR="00163957" w:rsidRDefault="00163957" w:rsidP="00163957">
      <w:pPr>
        <w:pStyle w:val="TextoNormal"/>
      </w:pPr>
      <w:r w:rsidRPr="00163957">
        <w:rPr>
          <w:rStyle w:val="NumeroAFNegritaCaracter"/>
        </w:rPr>
        <w:t>13</w:t>
      </w:r>
      <w:r>
        <w:t>. Por providencia de 11 de febrero de 2016 se señaló para deliberación y votación de la presente Sentencia el día 15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Como ha quedado expuesto en los antecedentes, el objeto del presente proceso constitucional es la compatibilidad del art. 6.1.1 c) de la Ley de la Asamblea Regional de Murcia 15/2002, de 23 de diciembre, de medidas tributarias en materia de tributos cedidos y tasas regionales, con el art. 149.1.14, en relación con los arts. 133.1, 150.1 y 157, apartados 1 y 3, todos ellos de la Constitución, arts. 10.3 y 19.2 de la Ley Orgánica 8/1980, de 22 de septiembre, de financiación de las Comunidades Autónomas (en lo sucesivo, LOFCA) y art. 47.1 a) de la Ley 21/2001, de 27 de diciembre, por la que se regulan las medidas fiscales y administrativas del nuevo sistema de financiación de las Comunidades Autónomas de régimen común y ciudades con Estatuto de Autonomía.</w:t>
      </w:r>
    </w:p>
    <w:p w:rsidR="00163957" w:rsidRDefault="00163957" w:rsidP="00163957">
      <w:pPr>
        <w:pStyle w:val="TextoNormal"/>
      </w:pPr>
    </w:p>
    <w:p w:rsidR="00163957" w:rsidRDefault="00163957" w:rsidP="00163957">
      <w:pPr>
        <w:pStyle w:val="TextoNormal"/>
      </w:pPr>
      <w:r>
        <w:t>Antes de entrar a dar respuesta al fondo del asunto, es necesario precisar qué efecto puedan tener en el objeto de este proceso las modificaciones sobrevenidas de la norma cuestionada. La redacción original del art. 6.1.1 c) de la Ley de la Asamblea Regional de Murcia 15/2002, que entró en vigor el 1 de enero de 2003 (disposición final segunda de dicha Ley), recogía lo siguiente:</w:t>
      </w:r>
    </w:p>
    <w:p w:rsidR="00163957" w:rsidRDefault="00163957" w:rsidP="00163957">
      <w:pPr>
        <w:pStyle w:val="TextoNormal"/>
      </w:pPr>
    </w:p>
    <w:p w:rsidR="00163957" w:rsidRDefault="00163957" w:rsidP="00163957">
      <w:pPr>
        <w:pStyle w:val="TextoNormal"/>
      </w:pPr>
      <w:r>
        <w:t>“Uno.- Comprobación de valores en el Impuesto de Sucesiones y Donaciones y el Impuesto de Transmisiones Patrimoniales y Actos Jurídicos Documentados:</w:t>
      </w:r>
    </w:p>
    <w:p w:rsidR="00163957" w:rsidRDefault="00163957" w:rsidP="00163957">
      <w:pPr>
        <w:pStyle w:val="TextoNormal"/>
      </w:pPr>
    </w:p>
    <w:p w:rsidR="00163957" w:rsidRDefault="00163957" w:rsidP="00163957">
      <w:pPr>
        <w:pStyle w:val="TextoNormal"/>
      </w:pPr>
      <w:r>
        <w:t>1. La comprobación de valores en el Impuesto de Sucesiones y Donaciones y el Impuesto de Transmisiones Patrimoniales y Actos Jurídicos Documentados, y a los solos efectos de estos impuestos, se podrá llevar a cabo, en desarrollo de lo establecido en el art. 52.1.f) de la Ley 230/1963, de 28 de diciembre, General Tributaria, por cualquiera de los siguientes medios:</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c) El valor asignado para la subasta en las fincas hipotecadas en cumplimiento de lo prevenido en la legislación hipotecaria.”</w:t>
      </w:r>
    </w:p>
    <w:p w:rsidR="00163957" w:rsidRDefault="00163957" w:rsidP="00163957">
      <w:pPr>
        <w:pStyle w:val="TextoNormal"/>
      </w:pPr>
    </w:p>
    <w:p w:rsidR="00163957" w:rsidRDefault="00163957" w:rsidP="00163957">
      <w:pPr>
        <w:pStyle w:val="TextoNormal"/>
      </w:pPr>
      <w:r>
        <w:t>Esta norma fue modificada por el art. 4 de la Ley de la Asamblea Regional de Murcia 12/2006, de 27 de diciembre, de medidas fiscales, administrativas y del orden social para 2007 (entrando en vigor el 1 de enero de 2007, con arreglo a su disposición final cuarta), que le dio la siguiente redacción:</w:t>
      </w:r>
    </w:p>
    <w:p w:rsidR="00163957" w:rsidRDefault="00163957" w:rsidP="00163957">
      <w:pPr>
        <w:pStyle w:val="TextoNormal"/>
      </w:pPr>
    </w:p>
    <w:p w:rsidR="00163957" w:rsidRDefault="00163957" w:rsidP="00163957">
      <w:pPr>
        <w:pStyle w:val="TextoNormal"/>
      </w:pPr>
      <w:r>
        <w:t>“Uno.- Comprobación de valores en el Impuesto sobre Sucesiones y Donaciones y el Impuesto sobre Transmisiones Patrimoniales y Actos Jurídicos documentados.</w:t>
      </w:r>
    </w:p>
    <w:p w:rsidR="00163957" w:rsidRDefault="00163957" w:rsidP="00163957">
      <w:pPr>
        <w:pStyle w:val="TextoNormal"/>
      </w:pPr>
    </w:p>
    <w:p w:rsidR="00163957" w:rsidRDefault="00163957" w:rsidP="00163957">
      <w:pPr>
        <w:pStyle w:val="TextoNormal"/>
      </w:pPr>
      <w:r>
        <w:lastRenderedPageBreak/>
        <w:t>Reglamentariamente se podrán regular los aspectos procedimentales de los medios de comprobación de valores establecidos en el art. 57 de la Ley 58/2003, de 17 de diciembre, General Tributaria.”</w:t>
      </w:r>
    </w:p>
    <w:p w:rsidR="00163957" w:rsidRDefault="00163957" w:rsidP="00163957">
      <w:pPr>
        <w:pStyle w:val="TextoNormal"/>
      </w:pPr>
    </w:p>
    <w:p w:rsidR="00163957" w:rsidRDefault="00163957" w:rsidP="00163957">
      <w:pPr>
        <w:pStyle w:val="TextoNormal"/>
      </w:pPr>
      <w:r>
        <w:t>Por último, la Ley de la Asamblea Regional de Murcia 15/2002 fue derogada por el Decreto Legislativo 1/2010, de 5 de noviembre, por el que se aprueba el texto refundido de las disposiciones legales vigentes en la Región de Murcia en materia de tributos cedidos [disposición derogatoria única, letra f)], que incorporó en su artículo 10.4 la previsión del art. 6.1 de la Ley 15/2002, según había sido redactado por la mencionada Ley 12/2006.</w:t>
      </w:r>
    </w:p>
    <w:p w:rsidR="00163957" w:rsidRDefault="00163957" w:rsidP="00163957">
      <w:pPr>
        <w:pStyle w:val="TextoNormal"/>
      </w:pPr>
    </w:p>
    <w:p w:rsidR="00163957" w:rsidRDefault="00163957" w:rsidP="00163957">
      <w:pPr>
        <w:pStyle w:val="TextoNormal"/>
      </w:pPr>
      <w:r>
        <w:t>Expuesto lo anterior, la circunstancia de que la norma sobre la que se plantea la cuestión de inconstitucionalidad haya sido reformada primero y derogada después, no implica que la cuestión haya perdido su objeto. Debe tenerse en cuenta la doctrina constitucional reiterada conforme a la que en las cuestiones de inconstitucionalidad los efectos extintivos sobre el objeto del proceso como consecuencia de la modificación o derogación de la norma cuestionada vienen determinados por el hecho de que, tras esa modificación o derogación, resulte o no aplicable en el proceso a quo y de su validez dependa la decisión a adoptar en éste (entre otras, SSTC 255/2004, de 23 de diciembre, FJ 2; 22/2010, de 27 de abril, FJ 2; 73/2014, de 8 de mayo, FJ 2, y 83/2015, de 30 de abril, FJ 3).</w:t>
      </w:r>
    </w:p>
    <w:p w:rsidR="00163957" w:rsidRDefault="00163957" w:rsidP="00163957">
      <w:pPr>
        <w:pStyle w:val="TextoNormal"/>
      </w:pPr>
    </w:p>
    <w:p w:rsidR="00163957" w:rsidRDefault="00163957" w:rsidP="00163957">
      <w:pPr>
        <w:pStyle w:val="TextoNormal"/>
      </w:pPr>
      <w:r>
        <w:t>La Sala de lo Contencioso-Administrativo del Tribunal Supremo afirma en el Auto de planteamiento que la norma aplicable en el proceso judicial a quo cuya constitucionalidad cuestiona es la redacción original del art. 6.1.1 c) de la Ley murciana 15/2002. Razona que tal redacción, al estar vigente en la fecha en que la Administración tributaria de la Región de Murcia dictó el controvertido acuerdo de comprobación de valores y liquidación, es aplicable en su procedimiento y que, si el Tribunal Constitucional la declarase inconstitucional, ella habría de estimar el recurso de casación, declarando la ilegalidad del acto de aplicación sometido a su enjuiciamiento.</w:t>
      </w:r>
    </w:p>
    <w:p w:rsidR="00163957" w:rsidRDefault="00163957" w:rsidP="00163957">
      <w:pPr>
        <w:pStyle w:val="TextoNormal"/>
      </w:pPr>
    </w:p>
    <w:p w:rsidR="00163957" w:rsidRDefault="00163957" w:rsidP="00163957">
      <w:pPr>
        <w:pStyle w:val="TextoNormal"/>
      </w:pPr>
      <w:r>
        <w:t>Estando adecuadamente razonado el juicio de aplicabilidad y relevancia —que suscriben el Abogado del Estado y la Fiscal General del Estado y al que no se opone el Letrado autonómico—, nuestro enjuiciamiento habrá de referirse a la redacción original del art. 6.1.1 c) de la Ley murciana 15/2002, sin tomar en consideración las modificaciones posteriores.</w:t>
      </w:r>
    </w:p>
    <w:p w:rsidR="00163957" w:rsidRDefault="00163957" w:rsidP="00163957">
      <w:pPr>
        <w:pStyle w:val="TextoNormal"/>
      </w:pPr>
    </w:p>
    <w:p w:rsidR="00163957" w:rsidRDefault="00163957" w:rsidP="00163957">
      <w:pPr>
        <w:pStyle w:val="TextoNormal"/>
      </w:pPr>
      <w:r w:rsidRPr="00163957">
        <w:rPr>
          <w:rStyle w:val="NumeroAFNegritaCaracter"/>
        </w:rPr>
        <w:t>2</w:t>
      </w:r>
      <w:r>
        <w:t>. Una vez hecha la precisión anterior, y con la finalidad de identificar el parámetro de enjuiciamiento que corresponde a la cuestión planteada, debemos recordar que las competencias normativas de las Comunidades Autónomas sobre los tributos cedidos se enmarcan en el art. 149.1.14, en relación con los arts. 133.1, 150.1 y 157, apartados 1 y 3, todos ellos de la Constitución, desarrollados por los arts. 10, apartados 1 y 3, y 19.2 LOFCA y por la normativa reguladora de la cesión de tributos, tanto general, como específica para la Región de Murcia. De acuerdo con las citadas normas, los tributos cedidos son de titularidad estatal, de forma que la cesión del tributo no conlleva la transmisión de la titularidad sobre el mismo o sobre el ejercicio de las competencias inherentes al mismo (entre otras, SSTC 192/2000, de 13 de julio, FJ 8; 35/2012, de 15 de marzo, FJ 7; 161/2012, de 20 de septiembre, FJ 3; 172/2012, de 4 de octubre, FJ 3, y 197/2012, de 6 de noviembre, FJ 3).</w:t>
      </w:r>
    </w:p>
    <w:p w:rsidR="00163957" w:rsidRDefault="00163957" w:rsidP="00163957">
      <w:pPr>
        <w:pStyle w:val="TextoNormal"/>
      </w:pPr>
    </w:p>
    <w:p w:rsidR="00163957" w:rsidRDefault="00163957" w:rsidP="00163957">
      <w:pPr>
        <w:pStyle w:val="TextoNormal"/>
      </w:pPr>
      <w:r>
        <w:t xml:space="preserve">A partir de la Ley 14/1996, de 30 de diciembre, de cesión de tributos del Estado a las Comunidades Autónomas y de medidas fiscales complementarias, la cesión de tributos </w:t>
      </w:r>
      <w:r>
        <w:lastRenderedPageBreak/>
        <w:t>puede también incluir (además del rendimiento total o parcial del tributo y, en su caso, el ejercicio de las potestades de aplicación del mismo) una delegación de facultades normativas, de acuerdo con lo dispuesto en el art. 150.1 CE. Por tanto, sobre determinados tributos cedidos las Comunidades Autónomas pueden asumir, por delegación del Estado, las competencias normativas que en cada caso se indican al regular la cesión aplicable por razón de tiempo; debe tenerse en cuenta que la citada Ley 14/1996 fue sustituida por la Ley 21/2001 y esta, a su vez, por la Ley 22/2009, de 18 de diciembre, por la que se regula el sistema de financiación de las Comunidades Autónomas de régimen común y ciudades con Estatuto de Autonomía y se modifican determinadas normas tributarias.</w:t>
      </w:r>
    </w:p>
    <w:p w:rsidR="00163957" w:rsidRDefault="00163957" w:rsidP="00163957">
      <w:pPr>
        <w:pStyle w:val="TextoNormal"/>
      </w:pPr>
    </w:p>
    <w:p w:rsidR="00163957" w:rsidRDefault="00163957" w:rsidP="00163957">
      <w:pPr>
        <w:pStyle w:val="TextoNormal"/>
      </w:pPr>
      <w:r>
        <w:t>Teniendo en cuenta lo anterior, la Región de Murcia podrá regular determinados aspectos de los tributos cedidos, pero siempre dentro del marco establecido por el legislador estatal, esto es, el fijado en la Ley Orgánica de financiación de las Comunidades Autónomas y en la correspondiente Ley de cesión de tributos. Si, al regular dichos aspectos, la Comunidad Autónoma excede el marco indicado, la norma autonómica será inconstitucional por invadir la competencia estatal sobre estos tributos.</w:t>
      </w:r>
    </w:p>
    <w:p w:rsidR="00163957" w:rsidRDefault="00163957" w:rsidP="00163957">
      <w:pPr>
        <w:pStyle w:val="TextoNormal"/>
      </w:pPr>
    </w:p>
    <w:p w:rsidR="00163957" w:rsidRDefault="00163957" w:rsidP="00163957">
      <w:pPr>
        <w:pStyle w:val="TextoNormal"/>
      </w:pPr>
      <w:r>
        <w:t>Se debe precisar, asimismo, que cuando la normativa reguladora de la cesión se remite a la legislación tributaria del Estado para definir las condiciones de la delegación, dicha legislación [tanto la Ley general tributaria (LGT) como, en su caso, las leyes reguladoras de cada tributo] también formará parte del canon de enjuiciamiento (STC 161/2012, FJ 5).</w:t>
      </w:r>
    </w:p>
    <w:p w:rsidR="00163957" w:rsidRDefault="00163957" w:rsidP="00163957">
      <w:pPr>
        <w:pStyle w:val="TextoNormal"/>
      </w:pPr>
    </w:p>
    <w:p w:rsidR="00163957" w:rsidRDefault="00163957" w:rsidP="00163957">
      <w:pPr>
        <w:pStyle w:val="TextoNormal"/>
      </w:pPr>
      <w:r>
        <w:t>Hemos de concretar pues cuál es la ley reguladora de la cesión de tributos y el resto de la legislación tributaria del Estado que resultan aplicables ratione temporis para resolver la cuestión planteada. Es preciso recordar, a tal fin, que el criterio reiterado de este Tribunal es que, como regla general, en las cuestiones de inconstitucionalidad se debe utilizar como canon de enjuiciamiento la legislación vigente en el momento de referencia para la aplicación por el órgano judicial a quo de la norma cuestionada (por todas, STC 150/2014, de 22 de septiembre, FJ 2).</w:t>
      </w:r>
    </w:p>
    <w:p w:rsidR="00163957" w:rsidRDefault="00163957" w:rsidP="00163957">
      <w:pPr>
        <w:pStyle w:val="TextoNormal"/>
      </w:pPr>
    </w:p>
    <w:p w:rsidR="00163957" w:rsidRDefault="00163957" w:rsidP="00163957">
      <w:pPr>
        <w:pStyle w:val="TextoNormal"/>
      </w:pPr>
      <w:r>
        <w:t>De acuerdo con lo anterior, la tacha de inconstitucionalidad que se imputa al art. 6.1.1 c) de la Ley de la Asamblea Regional de Murcia 15/2002 debe valorarse con arreglo a la normativa reguladora de la cesión de tributos aplicable para resolver el proceso a quo, es decir, la Ley 21/2001, que entró en vigor el 1 de enero de 2002 y lo estuvo hasta su derogación por la Ley 22/2009, con efectos del 20 de diciembre de 2009. La Ley 21/2001 es pues la norma vigente sobre la cesión de tributos del Estado a las Comunidades Autónomas en la fecha (25 de octubre de 2005) en que la Administración tributaria de la Región de Murcia practicó la comprobación de valores que está en el origen de este proceso, aplicando el medio de comprobación regulado en la norma controvertida. Se ha de analizar, por consiguiente, si la norma murciana era respetuosa con el marco competencial definido en la Ley 21/2001 y desarrollado, para dicha Comunidad, por la Ley 23/2002, de 1 de julio, del régimen de cesión de tributos del Estado a la Comunidad Autónoma de la Región de Murcia y de fijación del alcance y condiciones de dicha cesión; norma que no introduce especialidades en lo que afecta a este proceso.</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Así centrado el objeto de la cuestión y el canon de enjuiciamiento aplicable, debemos recordar que, como se ha expuesto en los antecedentes, la duda de constitucionalidad planteada por la Sección Segunda de la Sala de lo Contencioso-Administrativo del Tribunal </w:t>
      </w:r>
      <w:r>
        <w:lastRenderedPageBreak/>
        <w:t>Supremo es si el art. 6.1.1 c) de la Ley de la Asamblea Regional de Murcia 15/2002, cuando establece como medio de comprobación de valores en el impuesto sobre sucesiones y donaciones y en el impuesto sobre transmisiones patrimoniales y actos jurídicos documentados el “valor asignado para la subasta en las fincas hipotecadas en cumplimiento de lo prevenido en la legislación hipotecaria”, encaja o no dentro del ámbito competencial de las Comunidades Autónomas en materia de tributos cedidos.</w:t>
      </w:r>
    </w:p>
    <w:p w:rsidR="00163957" w:rsidRDefault="00163957" w:rsidP="00163957">
      <w:pPr>
        <w:pStyle w:val="TextoNormal"/>
      </w:pPr>
    </w:p>
    <w:p w:rsidR="00163957" w:rsidRDefault="00163957" w:rsidP="00163957">
      <w:pPr>
        <w:pStyle w:val="TextoNormal"/>
      </w:pPr>
      <w:r>
        <w:t>Como se ha indicado en el fundamento anterior, dicho ámbito es el definido en la Ley 21/2001 y, en concreto, en su artículo 47 (alcance de la delegación de competencias en relación con la gestión y liquidación) que dispone lo siguiente:</w:t>
      </w:r>
    </w:p>
    <w:p w:rsidR="00163957" w:rsidRDefault="00163957" w:rsidP="00163957">
      <w:pPr>
        <w:pStyle w:val="TextoNormal"/>
      </w:pPr>
    </w:p>
    <w:p w:rsidR="00163957" w:rsidRDefault="00163957" w:rsidP="00163957">
      <w:pPr>
        <w:pStyle w:val="TextoNormal"/>
      </w:pPr>
      <w:r>
        <w:t>“1. En la gestión y liquidación de los Impuestos sobre el Patrimonio, sobre Sucesiones y Donaciones, sobre Transmisiones Patrimoniales y Actos Jurídicos Documentados, de los Tributos sobre el Juego, del Impuesto Especial sobre Determinados Medios de Transporte y del Impuesto sobre las Ventas Minoristas de Determinados Hidrocarburos corresponderá a las Comunidades Autónomas:</w:t>
      </w:r>
    </w:p>
    <w:p w:rsidR="00163957" w:rsidRDefault="00163957" w:rsidP="00163957">
      <w:pPr>
        <w:pStyle w:val="TextoNormal"/>
      </w:pPr>
    </w:p>
    <w:p w:rsidR="00163957" w:rsidRDefault="00163957" w:rsidP="00163957">
      <w:pPr>
        <w:pStyle w:val="TextoNormal"/>
      </w:pPr>
      <w:r>
        <w:t>a) La incoación de los expedientes de comprobación de valores, utilizando los mismos criterios que el Estado.”</w:t>
      </w:r>
    </w:p>
    <w:p w:rsidR="00163957" w:rsidRDefault="00163957" w:rsidP="00163957">
      <w:pPr>
        <w:pStyle w:val="TextoNormal"/>
      </w:pPr>
    </w:p>
    <w:p w:rsidR="00163957" w:rsidRDefault="00163957" w:rsidP="00163957">
      <w:pPr>
        <w:pStyle w:val="TextoNormal"/>
      </w:pPr>
      <w:r>
        <w:t>Como razonan tanto el Auto de planteamiento como las alegaciones del Abogado del Estado, la Fiscal General del Estado y la sociedad Polaris World Real Estate, S.L., de la norma transcrita se desprende con claridad que en los procedimientos de comprobación de valores las Comunidades Autónomas deben utilizar “los mismos criterios que el Estado”.</w:t>
      </w:r>
    </w:p>
    <w:p w:rsidR="00163957" w:rsidRDefault="00163957" w:rsidP="00163957">
      <w:pPr>
        <w:pStyle w:val="TextoNormal"/>
      </w:pPr>
    </w:p>
    <w:p w:rsidR="00163957" w:rsidRDefault="00163957" w:rsidP="00163957">
      <w:pPr>
        <w:pStyle w:val="TextoNormal"/>
      </w:pPr>
      <w:r>
        <w:t>Por tanto, para valorar la constitucionalidad del art. 6.1.1 c) de la Ley de la Asamblea Regional de Murcia 15/2002 es necesario analizar si respeta los criterios establecidos en la normativa del Estado en vigor a 25 de octubre de 2005, que eran los contenidos en el art. 57 de la Ley 58/2003, de 17 de diciembre, general tributaria, en su redacción original, según la cual:</w:t>
      </w:r>
    </w:p>
    <w:p w:rsidR="00163957" w:rsidRDefault="00163957" w:rsidP="00163957">
      <w:pPr>
        <w:pStyle w:val="TextoNormal"/>
      </w:pPr>
    </w:p>
    <w:p w:rsidR="00163957" w:rsidRDefault="00163957" w:rsidP="00163957">
      <w:pPr>
        <w:pStyle w:val="TextoNormal"/>
      </w:pPr>
      <w:r>
        <w:t>“1. El valor de las rentas, productos, bienes y demás elementos determinantes de la obligación tributaria podrá ser comprobado por la Administración tributaria mediante los siguientes medios:</w:t>
      </w:r>
    </w:p>
    <w:p w:rsidR="00163957" w:rsidRDefault="00163957" w:rsidP="00163957">
      <w:pPr>
        <w:pStyle w:val="TextoNormal"/>
      </w:pPr>
    </w:p>
    <w:p w:rsidR="00163957" w:rsidRDefault="00163957" w:rsidP="00163957">
      <w:pPr>
        <w:pStyle w:val="TextoNormal"/>
      </w:pPr>
      <w:r>
        <w:t>a) Capitalización o imputación de rendimientos al porcentaje que la ley de cada tributo señale.</w:t>
      </w:r>
    </w:p>
    <w:p w:rsidR="00163957" w:rsidRDefault="00163957" w:rsidP="00163957">
      <w:pPr>
        <w:pStyle w:val="TextoNormal"/>
      </w:pPr>
    </w:p>
    <w:p w:rsidR="00163957" w:rsidRDefault="00163957" w:rsidP="00163957">
      <w:pPr>
        <w:pStyle w:val="TextoNormal"/>
      </w:pPr>
      <w:r>
        <w:t>b) Estimación por referencia a los valores que figuren en los registros oficiales de carácter fiscal.</w:t>
      </w:r>
    </w:p>
    <w:p w:rsidR="00163957" w:rsidRDefault="00163957" w:rsidP="00163957">
      <w:pPr>
        <w:pStyle w:val="TextoNormal"/>
      </w:pPr>
    </w:p>
    <w:p w:rsidR="00163957" w:rsidRDefault="00163957" w:rsidP="00163957">
      <w:pPr>
        <w:pStyle w:val="TextoNormal"/>
      </w:pPr>
      <w:r>
        <w:t>c) Precios medios en el mercado.</w:t>
      </w:r>
    </w:p>
    <w:p w:rsidR="00163957" w:rsidRDefault="00163957" w:rsidP="00163957">
      <w:pPr>
        <w:pStyle w:val="TextoNormal"/>
      </w:pPr>
    </w:p>
    <w:p w:rsidR="00163957" w:rsidRDefault="00163957" w:rsidP="00163957">
      <w:pPr>
        <w:pStyle w:val="TextoNormal"/>
      </w:pPr>
      <w:r>
        <w:t>d) Cotizaciones en mercados nacionales y extranjeros.</w:t>
      </w:r>
    </w:p>
    <w:p w:rsidR="00163957" w:rsidRDefault="00163957" w:rsidP="00163957">
      <w:pPr>
        <w:pStyle w:val="TextoNormal"/>
      </w:pPr>
    </w:p>
    <w:p w:rsidR="00163957" w:rsidRDefault="00163957" w:rsidP="00163957">
      <w:pPr>
        <w:pStyle w:val="TextoNormal"/>
      </w:pPr>
      <w:r>
        <w:t>e) Dictamen de peritos de la Administración.</w:t>
      </w:r>
    </w:p>
    <w:p w:rsidR="00163957" w:rsidRDefault="00163957" w:rsidP="00163957">
      <w:pPr>
        <w:pStyle w:val="TextoNormal"/>
      </w:pPr>
    </w:p>
    <w:p w:rsidR="00163957" w:rsidRDefault="00163957" w:rsidP="00163957">
      <w:pPr>
        <w:pStyle w:val="TextoNormal"/>
      </w:pPr>
      <w:r>
        <w:t>f) Cualquier otro medio que se determine en la ley propia de cada tributo.”</w:t>
      </w:r>
    </w:p>
    <w:p w:rsidR="00163957" w:rsidRDefault="00163957" w:rsidP="00163957">
      <w:pPr>
        <w:pStyle w:val="TextoNormal"/>
      </w:pPr>
    </w:p>
    <w:p w:rsidR="00163957" w:rsidRDefault="00163957" w:rsidP="00163957">
      <w:pPr>
        <w:pStyle w:val="TextoNormal"/>
      </w:pPr>
      <w:r>
        <w:t>Por su parte, el apartado 3 de dicho artículo añade que las “normas de cada tributo regularán la aplicación de los medios de comprobación señalados en el apartado 1 de este artículo.”</w:t>
      </w:r>
    </w:p>
    <w:p w:rsidR="00163957" w:rsidRDefault="00163957" w:rsidP="00163957">
      <w:pPr>
        <w:pStyle w:val="TextoNormal"/>
      </w:pPr>
    </w:p>
    <w:p w:rsidR="00163957" w:rsidRDefault="00163957" w:rsidP="00163957">
      <w:pPr>
        <w:pStyle w:val="TextoNormal"/>
      </w:pPr>
      <w:r>
        <w:t>La redacción transcrita estuvo vigente desde el 1 de julio de 2004 (fecha de entrada en vigor de la Ley 58/2003, general tributaria) hasta la modificación introducida en el art. 57 LGT por la Ley 36/2006, de 29 de noviembre, de medidas para la prevención del fraude fiscal; en ella se añadieron, entre otros medios de comprobación, el “valor asignado para la tasación de las fincas hipotecadas en cumplimiento de lo previsto en la legislación hipotecaria” [nueva letra g) del art. 57.1 LGT introducida por el art. 5.6 de la Ley 36/2006].</w:t>
      </w:r>
    </w:p>
    <w:p w:rsidR="00163957" w:rsidRDefault="00163957" w:rsidP="00163957">
      <w:pPr>
        <w:pStyle w:val="TextoNormal"/>
      </w:pPr>
    </w:p>
    <w:p w:rsidR="00163957" w:rsidRDefault="00163957" w:rsidP="00163957">
      <w:pPr>
        <w:pStyle w:val="TextoNormal"/>
      </w:pPr>
      <w:r>
        <w:t>Como ponen de manifiesto el auto de planteamiento y las alegaciones del Abogado del Estado y de la Fiscal General del Estado, la inclusión entre los medios de comprobación de la Ley general tributaria del valor asignado para la tasación de las fincas hipotecadas no entró en vigor hasta el 1 de diciembre de 2006, por lo que no se encontraba vigente en la fecha en que se aplicó la norma autonómica cuestionada (25 de octubre de 2005).</w:t>
      </w:r>
    </w:p>
    <w:p w:rsidR="00163957" w:rsidRDefault="00163957" w:rsidP="00163957">
      <w:pPr>
        <w:pStyle w:val="TextoNormal"/>
      </w:pPr>
    </w:p>
    <w:p w:rsidR="00163957" w:rsidRDefault="00163957" w:rsidP="00163957">
      <w:pPr>
        <w:pStyle w:val="TextoNormal"/>
      </w:pPr>
      <w:r>
        <w:t>Así pues, el “valor asignado para las subastas en las fincas hipotecadas”, que prevé el art. 6.1.1 c) de la 15/2002 y que la Administración tributaria autonómica aplicó en la comprobación practicada el 25 de octubre de 2005 a los inmuebles adquiridos por la entidad Polaris World Real Estate, S.L., no estaba incluido entre los criterios de la Ley general tributaria, en la redacción vigente en dicha fecha, que es la relevante a los efectos de este proceso. Tampoco se recogía en la normativa propia del tributo, dado que el art. 46.2 del texto refundido de la Ley del impuesto sobre transmisiones patrimoniales y actos jurídicos documentados se remite sin más a lo establecido en la Ley general tributaria, sin añadir ningún otro medio de comprobación a los previstos en la normativa general.</w:t>
      </w:r>
    </w:p>
    <w:p w:rsidR="00163957" w:rsidRDefault="00163957" w:rsidP="00163957">
      <w:pPr>
        <w:pStyle w:val="TextoNormal"/>
      </w:pPr>
    </w:p>
    <w:p w:rsidR="00163957" w:rsidRDefault="00163957" w:rsidP="00163957">
      <w:pPr>
        <w:pStyle w:val="TextoNormal"/>
      </w:pPr>
      <w:r w:rsidRPr="00163957">
        <w:rPr>
          <w:rStyle w:val="NumeroAFNegritaCaracter"/>
        </w:rPr>
        <w:t>4</w:t>
      </w:r>
      <w:r>
        <w:t>. El Gobierno autonómico sostiene, en defensa de la constitucionalidad de la norma cuestionada, que la comprobación de valores es un acto de trámite del procedimiento de gestión tributaria y que el art. 41.2 de la Ley 21/2001 reconoce a las Comunidades Autónomas —y, por tanto, a la Región de Murcia—, competencia para “regular los aspectos de gestión y liquidación” del impuesto sobre transmisiones patrimoniales y actos jurídicos documentados.</w:t>
      </w:r>
    </w:p>
    <w:p w:rsidR="00163957" w:rsidRDefault="00163957" w:rsidP="00163957">
      <w:pPr>
        <w:pStyle w:val="TextoNormal"/>
      </w:pPr>
    </w:p>
    <w:p w:rsidR="00163957" w:rsidRDefault="00163957" w:rsidP="00163957">
      <w:pPr>
        <w:pStyle w:val="TextoNormal"/>
      </w:pPr>
      <w:r>
        <w:t>Ahora bien, debemos tener en cuenta, en primer lugar, que la comprobación de valores no es un acto de trámite, como alega el Gobierno de la Comunidad Autónoma, sino el acto resolutorio de un procedimiento tributario. En segundo término, como ya indicamos en la STC 161/2012, FJ 7, a la que aluden todos los intervinientes en este proceso, la regla contenida en el art. 41.2 de la Ley 21/2001 tiene como límite, en el caso de la comprobación de valores, lo dispuesto en el art. 47.1 a) de la misma Ley, que obliga a seguir en dicho procedimiento los “mismos criterios que el Estado”.</w:t>
      </w:r>
    </w:p>
    <w:p w:rsidR="00163957" w:rsidRDefault="00163957" w:rsidP="00163957">
      <w:pPr>
        <w:pStyle w:val="TextoNormal"/>
      </w:pPr>
    </w:p>
    <w:p w:rsidR="00163957" w:rsidRDefault="00163957" w:rsidP="00163957">
      <w:pPr>
        <w:pStyle w:val="TextoNormal"/>
      </w:pPr>
      <w:r>
        <w:t xml:space="preserve">En la citada STC 161/2012 resolvimos el recurso de inconstitucionalidad interpuesto contra el art. 23.4, último párrafo, inciso final, de la Ley del Parlamento de Andalucía 10/2002, de 21 de diciembre, por la que se aprueban normas en materia de tributos cedidos y otras medidas tributarias, administrativas y financieras. La norma impugnada regulaba el dictamen de peritos de la Administración precisando los medios a emplear en el mismo y, </w:t>
      </w:r>
      <w:r>
        <w:lastRenderedPageBreak/>
        <w:t>en concreto, la posibilidad de que el perito aplicara el valor consignado en las declaraciones presentadas a efectos de liquidación del impuesto sobre transmisiones patrimoniales y actos jurídicos documentados por el préstamo hipotecario.</w:t>
      </w:r>
    </w:p>
    <w:p w:rsidR="00163957" w:rsidRDefault="00163957" w:rsidP="00163957">
      <w:pPr>
        <w:pStyle w:val="TextoNormal"/>
      </w:pPr>
    </w:p>
    <w:p w:rsidR="00163957" w:rsidRDefault="00163957" w:rsidP="00163957">
      <w:pPr>
        <w:pStyle w:val="TextoNormal"/>
      </w:pPr>
      <w:r>
        <w:t>En la mencionada STC 161/2012 concluimos que la competencia que se reconoce a las Comunidades Autónomas para regular “los aspectos de gestión y liquidación” (arts. 48.2 y 49.2 de la Ley 22/2009, aplicable en el caso allí resuelto, cuyo contenido coincide con el del art. 41.2 de la Ley 21/2001, aquí aplicable) no puede suponer una modificación de los medios de comprobación de valores previstos en la normativa estatal, ya que la propia Ley de cesión obliga a las Comunidades Autónomas a sujetarse a los criterios del Estado [art. 55.1 a) de la Ley 22/2009, coincidente con el art. 47.1 a) de la Ley 21/2001].</w:t>
      </w:r>
    </w:p>
    <w:p w:rsidR="00163957" w:rsidRDefault="00163957" w:rsidP="00163957">
      <w:pPr>
        <w:pStyle w:val="TextoNormal"/>
      </w:pPr>
    </w:p>
    <w:p w:rsidR="00163957" w:rsidRDefault="00163957" w:rsidP="00163957">
      <w:pPr>
        <w:pStyle w:val="TextoNormal"/>
      </w:pPr>
      <w:r>
        <w:t>En aquel pronunciamiento señalamos, respecto de la norma andaluza enjuiciada, que “desvirtúa, sin embargo, los criterios estatales, en concreto el dictamen de peritos, al que desprovee del carácter independiente que tiene en la Ley General Tributaria. Además, no hay que olvidar que esta ley es una ‘verdadera norma de unificación de criterios a cuyo través se garantiza el mínimo de uniformidad imprescindible en los aspectos básicos del régimen tributario’ (STC 66/1998, de 18 de marzo, FJ 14), fundamental también ‘para garantizar a los administrados un tratamiento común ante las Administraciones públicas’ (STC 14/1986, de 31 de enero, FJ 14), tratamiento de la expresada índole que quedaría conculcado en el supuesto de prevalecer el criterio que refleja el precepto de la Ley andaluza a que nos venimos refiriendo” (STC 161/2012, FJ 7).</w:t>
      </w:r>
    </w:p>
    <w:p w:rsidR="00163957" w:rsidRDefault="00163957" w:rsidP="00163957">
      <w:pPr>
        <w:pStyle w:val="TextoNormal"/>
      </w:pPr>
    </w:p>
    <w:p w:rsidR="00163957" w:rsidRDefault="00163957" w:rsidP="00163957">
      <w:pPr>
        <w:pStyle w:val="TextoNormal"/>
      </w:pPr>
      <w:r>
        <w:t>En el presente caso no se modifica uno de los medios de comprobación previstos en la Ley general tributaria; se va más allá, introduciendo ex novo un medio no recogido en dicha Ley. Debemos concluir que la norma autonómica murciana que aquí se valora excede el ámbito competencial establecido en la Ley de cesión de tributos. La extralimitación se circunscribe temporalmente al periodo comprendido entre el 1 de enero de 2003 (fecha de entrada en vigor del precepto en cuestión) y el 30 de noviembre de 2006, ambos inclusive, dado que con efectos de 1 de diciembre de 2006 se incorporó a la Ley general tributaria el medio de comprobación “valor asignado para la tasación de las fincas hipotecadas en cumplimiento de lo previsto en la legislación hipotecaria”, desapareciendo así el exceso de la Ley autonómica respecto de la estatal.</w:t>
      </w:r>
    </w:p>
    <w:p w:rsidR="00163957" w:rsidRDefault="00163957" w:rsidP="00163957">
      <w:pPr>
        <w:pStyle w:val="TextoNormal"/>
      </w:pPr>
    </w:p>
    <w:p w:rsidR="00163957" w:rsidRDefault="00163957" w:rsidP="00163957">
      <w:pPr>
        <w:pStyle w:val="TextoNormal"/>
      </w:pPr>
      <w:r w:rsidRPr="00163957">
        <w:rPr>
          <w:rStyle w:val="NumeroAFNegritaCaracter"/>
        </w:rPr>
        <w:t>5</w:t>
      </w:r>
      <w:r>
        <w:t>. Procede, en consecuencia, estimar la cuestión de inconstitucionalidad planteada y declarar inconstitucional y nulo el art. 6.1.1 c) de la Ley de la Asamblea Regional de Murcia 15/2002, entre el 1 de enero de 2003 (fecha de su entrada en vigor) y el 30 de noviembre de 2006 (fecha a partir de la cual se incorporó a la Ley general tributaria el medio de comprobación previsto en la norma murciana), ambos inclusive, por superar el ámbito de competencias de las Comunidades Autónomas sobre los tributos cedidos, al introducir un medio de comprobación de valores que en dicho periodo de tiempo no estaba previsto en la normativa estatal, con lo que se incumplió la obligación de atenerse a los criterios del Estado, según exige el art. 47.1 a) de la Ley 21/2001, en relación con los arts. 133.1, 149.1.14, 150.1 y 157, apartados 1 y 3, todos ellos de la Constitución, y los arts. 10.3 y 19.2 de la Ley Orgánica 8/1980, de 22 de septiembre, de financiación de las Comunidades Autónomas.</w:t>
      </w:r>
    </w:p>
    <w:p w:rsidR="00163957" w:rsidRDefault="00163957" w:rsidP="00163957">
      <w:pPr>
        <w:pStyle w:val="TextoNormal"/>
      </w:pPr>
    </w:p>
    <w:p w:rsidR="00163957" w:rsidRDefault="00163957" w:rsidP="00163957">
      <w:pPr>
        <w:pStyle w:val="TextoNormal"/>
      </w:pPr>
      <w:r>
        <w:lastRenderedPageBreak/>
        <w:t>Llegados al fin de nuestro enjuiciamiento, antes de pronunciar el fallo sólo nos resta precisar cuál es el alcance concreto que debe atribuirse a la declaración de inconstitucionalidad. Por exigencia del principio de seguridad jurídica (art. 9.3 CE) y siguiendo los precedentes sentados en supuestos que presentan rasgos similares al supuesto aquí enjuiciado (como es el caso, entre otros, de la citada STC 161/2012, FJ 7), únicamente han de considerarse situaciones susceptibles de ser revisadas con fundamento en esta Sentencia aquellas que, a la fecha de publicación de la misma, no hayan adquirido firmeza por haber sido impugnadas en tiempo y forma, y no haber recaído todavía una resolución administrativa o judicial firme.</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la cuestión de inconstitucionalidad núm. 6245-2014 promovida por la Sección Segunda de la Sala de lo Contencioso-Administrativo del Tribunal Supremo y, en consecuencia, declarar la inconstitucionalidad y nulidad del art. 6.1.1 c) de la Ley de la Asamblea Regional de Murcia 15/2002, de 23 de diciembre, de medidas tributarias en materia de tributos cedidos y tasas regionales, con el alcance temporal y efectos indicados en el fundamento jurídico 5.</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quince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29" w:name="SENTENCIA_2016_26"/>
      <w:r>
        <w:lastRenderedPageBreak/>
        <w:t>SENTENCIA 26/2016, de 18 de febrero de 2016</w:t>
      </w:r>
    </w:p>
    <w:bookmarkEnd w:id="29"/>
    <w:p w:rsidR="00163957" w:rsidRDefault="00163957" w:rsidP="00163957">
      <w:pPr>
        <w:pStyle w:val="TtuloResolucin"/>
      </w:pPr>
      <w:r>
        <w:t>Pleno</w:t>
      </w:r>
    </w:p>
    <w:p w:rsidR="00163957" w:rsidRDefault="00163957" w:rsidP="00163957">
      <w:pPr>
        <w:pStyle w:val="TtuloBOE"/>
      </w:pPr>
      <w:r>
        <w:t>(BOE núm. 71, de 23 de marzo de 2016)</w:t>
      </w:r>
    </w:p>
    <w:p w:rsidR="00163957" w:rsidRDefault="00163957" w:rsidP="00163957">
      <w:pPr>
        <w:pStyle w:val="TextoNormalCentrado"/>
      </w:pPr>
      <w:r>
        <w:t>ECLI:ES:TC:2016:26</w:t>
      </w:r>
    </w:p>
    <w:p w:rsidR="00163957" w:rsidRDefault="00163957" w:rsidP="00163957">
      <w:pPr>
        <w:pStyle w:val="TextoNormalCentrado"/>
      </w:pPr>
    </w:p>
    <w:p w:rsidR="00163957" w:rsidRDefault="00163957" w:rsidP="00163957">
      <w:pPr>
        <w:pStyle w:val="SntesisDescriptiva"/>
      </w:pPr>
      <w:r>
        <w:t>Recurso de inconstitucionalidad 4528-2012. Interpuesto por el Consejo de Gobierno de la Junta de Andalucía en relación con diversos preceptos del Real Decreto-ley 14/2012, de 20 de abril, de medidas urgentes de racionalización del gasto público en el ámbito educativo.</w:t>
      </w:r>
    </w:p>
    <w:p w:rsidR="00163957" w:rsidRDefault="00163957" w:rsidP="00163957">
      <w:pPr>
        <w:pStyle w:val="SntesisDescriptiva"/>
      </w:pPr>
    </w:p>
    <w:p w:rsidR="00163957" w:rsidRDefault="00163957" w:rsidP="00163957">
      <w:pPr>
        <w:pStyle w:val="SntesisAnaltica"/>
      </w:pPr>
      <w:r>
        <w:t>Límites a los decretos-leyes, principio de seguridad jurídica, competencias sobre educación y función pública, autonomía financiera: nulidad de los preceptos legales estatales que habilitan al Gobierno para regular los requisitos básicos de mantenimiento de centros y estructuras universitarias y que prevén la creación de alianzas estratégicas entre universidades o con organismos públicos de investigación. Voto particular.</w:t>
      </w:r>
    </w:p>
    <w:p w:rsidR="00163957" w:rsidRDefault="00163957" w:rsidP="00163957">
      <w:pPr>
        <w:pStyle w:val="SntesisAnaltica"/>
      </w:pPr>
    </w:p>
    <w:p w:rsidR="00163957" w:rsidRDefault="00163957" w:rsidP="00163957">
      <w:pPr>
        <w:pStyle w:val="Extracto"/>
      </w:pPr>
      <w:r>
        <w:t>1.</w:t>
      </w:r>
      <w:r>
        <w:tab/>
        <w:t>La remisión a un reglamento, previa consulta separada a órganos de participación de las universidades y de las Comunidades Autónomas, para que el Gobierno apruebe los requisitos básicos para la creación, mantenimiento y supresión de estos centros y estructuras, impide considerar que se ha cumplido el requisito de la conexión de sentido entre la medida y la situación de urgencia que se pretende atender [FJ 5].</w:t>
      </w:r>
    </w:p>
    <w:p w:rsidR="00163957" w:rsidRDefault="00163957" w:rsidP="00163957">
      <w:pPr>
        <w:pStyle w:val="Extracto"/>
      </w:pPr>
    </w:p>
    <w:p w:rsidR="00163957" w:rsidRDefault="00163957" w:rsidP="00163957">
      <w:pPr>
        <w:pStyle w:val="Extracto"/>
      </w:pPr>
      <w:r>
        <w:t>2.</w:t>
      </w:r>
      <w:r>
        <w:tab/>
        <w:t>El precepto impugnado es inconstitucional y nulo por entenderse vulnerados los límites del presupuesto habilitante para dictar decretos leyes, dado que ni el precepto incluye medidas de carácter inmediato,  pues su efectividad depende de la voluntad cooperadora de las universidades entre sí o de estas con otros agentes, y  ni en la exposición de motivos ni en el debate de convalidación se aporta razón alguna acerca de la relación con el ahorro de gasto [FJ 5].</w:t>
      </w:r>
    </w:p>
    <w:p w:rsidR="00163957" w:rsidRDefault="00163957" w:rsidP="00163957">
      <w:pPr>
        <w:pStyle w:val="Extracto"/>
      </w:pPr>
    </w:p>
    <w:p w:rsidR="00163957" w:rsidRDefault="00163957" w:rsidP="00163957">
      <w:pPr>
        <w:pStyle w:val="Extracto"/>
      </w:pPr>
      <w:r>
        <w:t>3.</w:t>
      </w:r>
      <w:r>
        <w:tab/>
        <w:t>La adecuada fiscalización del recurso al decreto-ley requiere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y las medidas que se adoptan (SSTC 29/1982; 183/2014) [FJ 2].</w:t>
      </w:r>
    </w:p>
    <w:p w:rsidR="00163957" w:rsidRDefault="00163957" w:rsidP="00163957">
      <w:pPr>
        <w:pStyle w:val="Extracto"/>
      </w:pPr>
    </w:p>
    <w:p w:rsidR="00163957" w:rsidRDefault="00163957" w:rsidP="00163957">
      <w:pPr>
        <w:pStyle w:val="Extracto"/>
      </w:pPr>
      <w:r>
        <w:t>4.</w:t>
      </w:r>
      <w:r>
        <w:tab/>
        <w:t>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[FJ 2].</w:t>
      </w:r>
    </w:p>
    <w:p w:rsidR="00163957" w:rsidRDefault="00163957" w:rsidP="00163957">
      <w:pPr>
        <w:pStyle w:val="Extracto"/>
      </w:pPr>
    </w:p>
    <w:p w:rsidR="00163957" w:rsidRDefault="00163957" w:rsidP="00163957">
      <w:pPr>
        <w:pStyle w:val="Extracto"/>
      </w:pPr>
      <w:r>
        <w:t>5.</w:t>
      </w:r>
      <w:r>
        <w:tab/>
        <w:t>Lo verdaderamente importante, desde el punto de vista constitucional, es que el Decreto-ley produzca una innovación normativa efectiva, y no que el régimen jurídico introducido a través del mismo sea completo o definitivo (STC 332/2015) [FJ 4].</w:t>
      </w:r>
    </w:p>
    <w:p w:rsidR="00163957" w:rsidRDefault="00163957" w:rsidP="00163957">
      <w:pPr>
        <w:pStyle w:val="Extracto"/>
      </w:pPr>
    </w:p>
    <w:p w:rsidR="00163957" w:rsidRDefault="00163957" w:rsidP="00163957">
      <w:pPr>
        <w:pStyle w:val="Extracto"/>
      </w:pPr>
      <w:r>
        <w:t>6.</w:t>
      </w:r>
      <w:r>
        <w:tab/>
        <w:t xml:space="preserve">Ante la posible concurrencia de dos títulos competenciales del Estado procede identificar un título prevalente que suele ser el más específico aunque tampoco </w:t>
      </w:r>
      <w:r>
        <w:lastRenderedPageBreak/>
        <w:t>cabe descartar que, en función de la naturaleza de los títulos concurrentes o del contenido de la regulación, quepa entender que diversos títulos competenciales confluyen y son, por tanto, simultáneamente invocables por el Estado (STC 81/2012) [FJ 6].</w:t>
      </w:r>
    </w:p>
    <w:p w:rsidR="00163957" w:rsidRDefault="00163957" w:rsidP="00163957">
      <w:pPr>
        <w:pStyle w:val="Extracto"/>
      </w:pPr>
    </w:p>
    <w:p w:rsidR="00163957" w:rsidRDefault="00163957" w:rsidP="00163957">
      <w:pPr>
        <w:pStyle w:val="Extracto"/>
      </w:pPr>
      <w:r>
        <w:t>7.</w:t>
      </w:r>
      <w:r>
        <w:tab/>
        <w:t>Las medidas estatales que hayan de adoptarse para conseguir la finalidad de contención del gasto público deberán ser encuadradas en función, no de su finalidad, sino de su concreto contenido material [FJ 6].</w:t>
      </w:r>
    </w:p>
    <w:p w:rsidR="00163957" w:rsidRDefault="00163957" w:rsidP="00163957">
      <w:pPr>
        <w:pStyle w:val="Extracto"/>
      </w:pPr>
    </w:p>
    <w:p w:rsidR="00163957" w:rsidRDefault="00163957" w:rsidP="00163957">
      <w:pPr>
        <w:pStyle w:val="Extracto"/>
      </w:pPr>
      <w:r>
        <w:t>8.</w:t>
      </w:r>
      <w:r>
        <w:tab/>
        <w:t>No cabe olvidar que el sistema educativo es único en todo el territorio nacional, lo que puede reclamar, al tratarse de centros sostenidos con fondos públicos, un tratamiento mínimamente homogéneo de una cuestión como el ejercicio de la tarea docente dentro de la jornada laboral del profesorado [FJ 6].</w:t>
      </w:r>
    </w:p>
    <w:p w:rsidR="00163957" w:rsidRDefault="00163957" w:rsidP="00163957">
      <w:pPr>
        <w:pStyle w:val="Extracto"/>
      </w:pPr>
    </w:p>
    <w:p w:rsidR="00163957" w:rsidRDefault="00163957" w:rsidP="00163957">
      <w:pPr>
        <w:pStyle w:val="Extracto"/>
      </w:pPr>
      <w:r>
        <w:t>9.</w:t>
      </w:r>
      <w:r>
        <w:tab/>
        <w:t>Autonomía financiera no significa capacidad completa de elección libre, sino sujeción a unas limitaciones y condicionantes, empezando por la propia función de coordinación de las haciendas públicas autonómicas, que corresponde al Estado como garante del equilibrio económico general (SSTC 171/1996; 219/2013) [FJ 7].</w:t>
      </w:r>
    </w:p>
    <w:p w:rsidR="00163957" w:rsidRDefault="00163957" w:rsidP="00163957">
      <w:pPr>
        <w:pStyle w:val="Extracto"/>
      </w:pPr>
    </w:p>
    <w:p w:rsidR="00163957" w:rsidRDefault="00163957" w:rsidP="00163957">
      <w:pPr>
        <w:pStyle w:val="Extracto"/>
      </w:pPr>
      <w:r>
        <w:t>10.</w:t>
      </w:r>
      <w:r>
        <w:tab/>
        <w:t>La conceptuación como derecho fundamental con que se configura la autonomía universitaria, no excluye las limitaciones que al mismo imponen otros derechos fundamentales o la existencia de un sistema universitario nacional que exige instancias coordinadoras; ni tampoco las limitaciones propias del servicio público que desempeña (STC 26/1987) [FJ 8].</w:t>
      </w:r>
    </w:p>
    <w:p w:rsidR="00163957" w:rsidRDefault="00163957" w:rsidP="00163957">
      <w:pPr>
        <w:pStyle w:val="Extracto"/>
      </w:pPr>
    </w:p>
    <w:p w:rsidR="00163957" w:rsidRDefault="00163957" w:rsidP="00163957">
      <w:pPr>
        <w:pStyle w:val="Extracto"/>
      </w:pPr>
      <w:r>
        <w:t>11.</w:t>
      </w:r>
      <w:r>
        <w:tab/>
        <w:t>El principio de seguridad jurídica no se infringe porque el legislador lleve a cabo modificaciones en las normas legales, ni dicho principio ampara la necesidad de preservar indefinidamente un determinado régimen jurídico existente en un momento histórico dado en relación con concretos derechos o situaciones (STC 134/1996) [FJ 9].</w:t>
      </w:r>
    </w:p>
    <w:p w:rsidR="00163957" w:rsidRDefault="00163957" w:rsidP="00163957">
      <w:pPr>
        <w:pStyle w:val="Extracto"/>
      </w:pPr>
    </w:p>
    <w:p w:rsidR="00163957" w:rsidRDefault="00163957" w:rsidP="00163957">
      <w:pPr>
        <w:pStyle w:val="Extracto"/>
      </w:pPr>
      <w:r>
        <w:t>12.</w:t>
      </w:r>
      <w:r>
        <w:tab/>
        <w:t>El principio de seguridad jurídica no protege las expectativas que en relación con la aplicación de un determinado régimen jurídico hayan podido crearse los ciudadanos, ni tampoco garantiza que en todo caso las modificaciones legislativas que se efectúen deban realizarse de modo que sean previsibles para sus destinatarios (ATC 84/2013) [FJ 9].</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lastRenderedPageBreak/>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4528-2012, promovido por el Consejo de Gobierno de la Junta de Andalucía contra los arts. 2, 3, 4, 5, 6 Uno, Dos, Tres y Cuatro, 7 y Disposición Final Primera del Real Decreto-ley 14/2012, de 20 de abril, de medidas urgentes de racionalización del gasto público en el ámbito educativo. Ha sido Ponente el Presidente don Francisco Pérez de los Cobos Orihuel,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día 20 de julio de 2012, la Letrada de la Junta de Andalucía, en la representación que legalmente ostenta, interpuso recurso de inconstitucionalidad contra los arts. 2, 3, 4, 5, 6, en sus apartados 1, 2, 3, y 4, 7 y la disposición final primera del Real Decreto-ley 14/2012, de 20 de abril, de medidas urgentes de racionalización del gasto público en el ámbito educativo.</w:t>
      </w:r>
    </w:p>
    <w:p w:rsidR="00163957" w:rsidRDefault="00163957" w:rsidP="00163957">
      <w:pPr>
        <w:pStyle w:val="TextoNormal"/>
      </w:pPr>
    </w:p>
    <w:p w:rsidR="00163957" w:rsidRDefault="00163957" w:rsidP="00163957">
      <w:pPr>
        <w:pStyle w:val="TextoNormal"/>
      </w:pPr>
      <w:r w:rsidRPr="00163957">
        <w:rPr>
          <w:rStyle w:val="NumeroAFNegritaCaracter"/>
        </w:rPr>
        <w:t>2</w:t>
      </w:r>
      <w:r>
        <w:t>. El escrito de interposición del recurso de inconstitucionalidad, tras unos sucintos antecedentes y unos primeros fundamentos jurídicos en los que justifica la competencia, legitimación y cumplimiento del plazo de presentación del mismo, recoge los fundamentos materiales en los que se apoya el recurso. Básicamente, tales fundamentos se refieren tanto a la falta de concurrencia del necesario presupuesto de extraordinaria y urgente necesidad para dictar el Decreto-ley impugnado, como a los excesos competenciales en los que incurre la norma, al extender las bases estatales en materia de educación más allá de lo que permite el marco constitucional, invadiendo competencias atribuidas a la Comunidad Autónoma por su Estatuto. Adicionalmente, se alega también la vulneración de la autonomía universitaria constitucionalmente garantizada por parte de algunos preceptos relativos a la educación superior.</w:t>
      </w:r>
    </w:p>
    <w:p w:rsidR="00163957" w:rsidRDefault="00163957" w:rsidP="00163957">
      <w:pPr>
        <w:pStyle w:val="TextoNormal"/>
      </w:pPr>
    </w:p>
    <w:p w:rsidR="00163957" w:rsidRDefault="00163957" w:rsidP="00163957">
      <w:pPr>
        <w:pStyle w:val="TextoNormal"/>
      </w:pPr>
      <w:r>
        <w:t xml:space="preserve">a) El escrito de recurso sostiene la infracción del art. 86.1 CE por parte del Real Decreto-ley 14/2012, por no existir una situación de extraordinaria y urgente necesidad que justifique su aprobación. Para ello invoca la doctrina acumulada en esta materia desde la STC 29/1982, de 31 de mayo, sin desconocer que la interpretación realizada sobre el presupuesto habilitante de los decretos-ley por parte de este Tribunal ha tenido un carácter expansivo. Pero no por ello están legitimados los usos abusivos o arbitrarios de esta potestad legislativa por parte del Gobierno. En este sentido, es función propia del Tribunal Constitucional el aseguramiento de esos límites (STC 68/2007, de 28 de marzo, FJ 6), exigiendo que la definición de cada situación de extraordinaria y urgente necesidad por el Gobierno “sea explícita y razonada, y que exista una conexión de sentido entre la situación definida y las medidas que en el Decreto-ley se adoptan” (STC 29/1982, de 31 de mayo, FJ 3). Para hacer esta valoración, deberá tenerse en cuenta el propio Decreto-ley, pero también otros elementos, como su preámbulo, el expediente de elaboración de la norma y el debate parlamentario sobre su </w:t>
      </w:r>
      <w:r>
        <w:lastRenderedPageBreak/>
        <w:t>convalidación. Concretamente, se invoca la STC 137/2011, de 14 de septiembre, que declaró la inconstitucionalidad del art. 1 del Real Decreto-ley 4/2000, de 23 de junio, de medidas urgentes de liberalización en el sector inmobiliario y transportes, por no quedar acreditada en aquel caso la necesidad de una acción normativa en un plazo menor que el requerido para la tramitación parlamentaria de una ley, bien por el procedimiento ordinario o bien por el de urgencia.</w:t>
      </w:r>
    </w:p>
    <w:p w:rsidR="00163957" w:rsidRDefault="00163957" w:rsidP="00163957">
      <w:pPr>
        <w:pStyle w:val="TextoNormal"/>
      </w:pPr>
    </w:p>
    <w:p w:rsidR="00163957" w:rsidRDefault="00163957" w:rsidP="00163957">
      <w:pPr>
        <w:pStyle w:val="TextoNormal"/>
      </w:pPr>
      <w:r>
        <w:t>La Letrada de la Junta de Andalucía sostiene que en el presente caso la norma gubernamental justifica la necesidad de su adopción (cumplir con los deberes de consolidación fiscal y el compromiso de reducción de déficit), pero no con carácter extraordinario y urgente, para responder a una situación excepcional e imprevisible, que deba afrontarse mediante medidas concretas de eficacia inmediata. No basta a su juicio la invocación de la coyuntura económica para acreditar la urgencia, pues falta la nota de la imprevisibilidad de la situación, por ser ésta mantenida en el tiempo. Por tanto no se justifica “la conexión de sentido o relación de adecuación entre la situación definida que constituye el presupuesto habilitante y las medidas que en el Decreto-ley se adoptan”, que para ser eficaces han de implementarse bien por las Comunidades Autónomas o bien por un reglamento estatal, por lo que no pueden calificarse como una respuesta inmediata ante una situación de necesidad.</w:t>
      </w:r>
    </w:p>
    <w:p w:rsidR="00163957" w:rsidRDefault="00163957" w:rsidP="00163957">
      <w:pPr>
        <w:pStyle w:val="TextoNormal"/>
      </w:pPr>
    </w:p>
    <w:p w:rsidR="00163957" w:rsidRDefault="00163957" w:rsidP="00163957">
      <w:pPr>
        <w:pStyle w:val="TextoNormal"/>
      </w:pPr>
      <w:r>
        <w:t>b) En segundo lugar, con referencia también a la “infracción del artículo 86 de la Constitución”, la Junta de Andalucía alega que el Estado ha ido más allá de lo que le permiten sus competencias con la aprobación del Real Decreto-ley. Para empezar, su disposición final primera invoca los apartados 1, 13, 18 y 30 del art. 149.1 CE como sustrato competencial de la norma, pero sin concretar qué preceptos concretos de la misma encuentran cobertura en cada apartado, razón por la cual ya sería inconstitucional por contrariar el principio de seguridad jurídica (art. 9.3 CE).</w:t>
      </w:r>
    </w:p>
    <w:p w:rsidR="00163957" w:rsidRDefault="00163957" w:rsidP="00163957">
      <w:pPr>
        <w:pStyle w:val="TextoNormal"/>
      </w:pPr>
    </w:p>
    <w:p w:rsidR="00163957" w:rsidRDefault="00163957" w:rsidP="00163957">
      <w:pPr>
        <w:pStyle w:val="TextoNormal"/>
      </w:pPr>
      <w:r>
        <w:t>Respecto al art. 149.1.1 CE, la Letrada de la Junta recuerda la interpretación rigurosa que ha hecho este Tribunal de ese título competencial, el cual autorizaría el establecimiento de aquellas condiciones básicas que garanticen la igualdad de ejercicio de derechos y libertades constitucionales en todo el territorio, pero no el diseño completo y acabado de su régimen jurídico. Y en todo caso, ese título no permite el incremento de lo básico en las materias en las que la competencia del Estado tiene ese carácter, que además actúa sobre cuestiones ya reguladas por las Comunidades Autónomas en ejercicio de sus propias competencias.</w:t>
      </w:r>
    </w:p>
    <w:p w:rsidR="00163957" w:rsidRDefault="00163957" w:rsidP="00163957">
      <w:pPr>
        <w:pStyle w:val="TextoNormal"/>
      </w:pPr>
    </w:p>
    <w:p w:rsidR="00163957" w:rsidRDefault="00163957" w:rsidP="00163957">
      <w:pPr>
        <w:pStyle w:val="TextoNormal"/>
      </w:pPr>
      <w:r>
        <w:t>Tampoco el título transversal recogido en el art. 149.1.13 CE, bases y coordinación de la planificación general de la actividad económica, puede utilizarse con un sentido expansivo, aplicándose al ámbito educativo, pues aunque este ámbito material tiene evidente dimensión económica, no se trata de un sector económico como tal al que se pueda aplicar este título de intervención.</w:t>
      </w:r>
    </w:p>
    <w:p w:rsidR="00163957" w:rsidRDefault="00163957" w:rsidP="00163957">
      <w:pPr>
        <w:pStyle w:val="TextoNormal"/>
      </w:pPr>
    </w:p>
    <w:p w:rsidR="00163957" w:rsidRDefault="00163957" w:rsidP="00163957">
      <w:pPr>
        <w:pStyle w:val="TextoNormal"/>
      </w:pPr>
      <w:r>
        <w:t>Respecto a los títulos competenciales del art. 149.1.18 y 30 CE, se destaca que en ambos casos la competencia estatal sólo alcanza a las bases, tanto del régimen estatutario de los funcionarios, como de las normas de desarrollo del derecho a la educación. Como explicó nuestra STC 22/2012, de 16 de febrero, el Estado no puede agotar con sus bases la regulación de una materia, vaciando de contenido las competencias normativas de las Comunidades Autónomas. Concretamente, en ambos ámbitos competenciales el Estatuto de Autono</w:t>
      </w:r>
      <w:r>
        <w:lastRenderedPageBreak/>
        <w:t>mía para Andalucía, aprobado por Ley Orgánica 2/2007, de 19 de marzo (EAAnd), ha asumido funciones propias. Por un lado, la competencia compartida sobre el régimen estatutario del personal al servicio de la Administración de la Comunidad Autónoma (arts. 47.2 y 76.2 EAAnd). Por otro lado, competencias en materia de educación no universitaria y universitaria (arts. 52 y 53 EAAnd), en las que se parte de la premisa de que las leyes orgánicas del Estado en materia de educación no son básicas en su integridad. De manera que la Comunidad Autónoma de Andalucía ha asumido con toda la amplitud posible, sobre todo respecto a la educación no universitaria, las competencias que no han sido reservadas expresamente al Estado por el art. 149.1.30 CE.</w:t>
      </w:r>
    </w:p>
    <w:p w:rsidR="00163957" w:rsidRDefault="00163957" w:rsidP="00163957">
      <w:pPr>
        <w:pStyle w:val="TextoNormal"/>
      </w:pPr>
    </w:p>
    <w:p w:rsidR="00163957" w:rsidRDefault="00163957" w:rsidP="00163957">
      <w:pPr>
        <w:pStyle w:val="TextoNormal"/>
      </w:pPr>
      <w:r>
        <w:t>c) El resto del escrito de interposición del recurso de inconstitucionalidad de la Junta de Andalucía va detallando los vicios en los que a su juicio incurre cada uno de los preceptos impugnados, reiterando de nuevo en varios de ellos la no concurrencia de una situación de extraordinaria y urgente necesidad, así como el exceso en la formulación de las bases estatales en el ámbito de su competencia.</w:t>
      </w:r>
    </w:p>
    <w:p w:rsidR="00163957" w:rsidRDefault="00163957" w:rsidP="00163957">
      <w:pPr>
        <w:pStyle w:val="TextoNormal"/>
      </w:pPr>
    </w:p>
    <w:p w:rsidR="00163957" w:rsidRDefault="00163957" w:rsidP="00163957">
      <w:pPr>
        <w:pStyle w:val="TextoNormal"/>
      </w:pPr>
      <w:r>
        <w:t>i) El art. 2 del Real Decreto-ley impugnado permite aumentar hasta un 20 por 100 el número máximo de alumnos por aula en los centros públicos y concertados mientras la Ley de presupuestos generales del Estado no permita incorporar nuevo personal o establezca una tasa de reposición de efectivos inferior al 50 por 100. Para la Letrada de la Junta, en la medida en que se trata de una previsión sin efecto directo, ya que requiere actos posteriores para su aplicación, que además son de adopción potestativa por las Comunidades Autónomas, la norma no responde a una situación de extraordinaria y urgente necesidad y es inconstitucional.</w:t>
      </w:r>
    </w:p>
    <w:p w:rsidR="00163957" w:rsidRDefault="00163957" w:rsidP="00163957">
      <w:pPr>
        <w:pStyle w:val="TextoNormal"/>
      </w:pPr>
    </w:p>
    <w:p w:rsidR="00163957" w:rsidRDefault="00163957" w:rsidP="00163957">
      <w:pPr>
        <w:pStyle w:val="TextoNormal"/>
      </w:pPr>
      <w:r>
        <w:t>ii) También se impugna el art. 3 del Real Decreto-ley, en sus dos apartados. En el primero de ellos se establece un mínimo de horas lectivas semanales para el personal docente no universitario, que será de 25 horas en educación infantil y primaria y de 20 horas para el resto de enseñanzas. El hecho de que se afecte la jornada del docente y no la carga lectiva de los estudiantes lleva a la Letrada de la Junta de la Andalucía a deducir que el título competencial prevalente sería en este caso el de las bases del régimen estatutario de los funcionarios, y no el de las normas básicas en desarrollo del art. 27 CE.</w:t>
      </w:r>
    </w:p>
    <w:p w:rsidR="00163957" w:rsidRDefault="00163957" w:rsidP="00163957">
      <w:pPr>
        <w:pStyle w:val="TextoNormal"/>
      </w:pPr>
    </w:p>
    <w:p w:rsidR="00163957" w:rsidRDefault="00163957" w:rsidP="00163957">
      <w:pPr>
        <w:pStyle w:val="TextoNormal"/>
      </w:pPr>
      <w:r>
        <w:t xml:space="preserve">La inconstitucionalidad estaría aquí en que el establecimiento del horario de trabajo excede el ámbito de las bases en la materia. De hecho, hasta ahora la normativa básica estatal no había regulado esta cuestión. El art. 47 de la Ley del estatuto básico del empleado público atribuye a cada Administración pública el establecimiento de la jornada de trabajo general y especial, a tiempo completo y a tiempo parcial, de los funcionarios públicos. En este sentido, se invoca la STC 235/1991, de 12 de diciembre, en la que, en relación con el calendario académico de las universidades, este Tribunal manifestó que puede considerarse básica la obligación normativa de dar publicidad al calendario, pero no su contenido concreto. Y de forma complementaria se cita también la STC 54/1982, de 26 de julio, que no consideró inconstitucional la fijación de una dedicación de cuarenta horas semanales del personal administrativo de la Generalitat al establecer sus retribuciones brutas mensuales. Se estarían vulnerando así las competencias autonómicas asumidas en materia de educación no universitaria en relación con el personal al servicio de la Administración educativa (art. 52.1 y 2 EAAnd). Adicionalmente, se considera el precepto inconstitucional en atención a la imprevisibilidad de su cambio, al llevarse a cabo mediante decreto-ley, contrariando la doctrina </w:t>
      </w:r>
      <w:r>
        <w:lastRenderedPageBreak/>
        <w:t>del Tribunal Constitucional que señala que la normativa básica debe crear un marco normativo unitario dotado de estabilidad, dado que las bases han de atender a aspectos más estructurales que coyunturales. Por los motivos expuestos, el escrito de recurso concluye que el art. 3.1 del Real Decreto-ley 14/2012 es contrario al art. 52.1 EAAnd y al art. 86 CE.</w:t>
      </w:r>
    </w:p>
    <w:p w:rsidR="00163957" w:rsidRDefault="00163957" w:rsidP="00163957">
      <w:pPr>
        <w:pStyle w:val="TextoNormal"/>
      </w:pPr>
    </w:p>
    <w:p w:rsidR="00163957" w:rsidRDefault="00163957" w:rsidP="00163957">
      <w:pPr>
        <w:pStyle w:val="TextoNormal"/>
      </w:pPr>
      <w:r>
        <w:t>El apartado 2 del art. 3 del Real Decreto-ley impugnado establece el máximo de compensación de horas complementarias del personal docente no universitario, que se reputa inconstitucional por la Junta de Andalucía por considerar que es una regla rígida que no permite desarrollo por parte de las Administraciones educativas, excediendo lo que corresponde a las bases estatales. Al fijarse aspectos organizativos con toda concreción, no cabe modulación alguna y se vacían tanto las competencias normativas de la Comunidad Autónoma como su capacidad de configurar opciones políticas propias y diferentes, que puedan además ajustarse a las necesidades y posibilidades de los centros de enseñanza de ella dependientes.</w:t>
      </w:r>
    </w:p>
    <w:p w:rsidR="00163957" w:rsidRDefault="00163957" w:rsidP="00163957">
      <w:pPr>
        <w:pStyle w:val="TextoNormal"/>
      </w:pPr>
    </w:p>
    <w:p w:rsidR="00163957" w:rsidRDefault="00163957" w:rsidP="00163957">
      <w:pPr>
        <w:pStyle w:val="TextoNormal"/>
      </w:pPr>
      <w:r>
        <w:t>iii) También se impugna el art. 4 del Real Decreto-ley, por el que se establecen condiciones para el nombramiento de funcionarios docentes interinos en caso de sustitución transitoria de profesores, obligando a que al menos hayan pasado diez días lectivos desde que se produjo la causa del nombramiento —la medida se extiende a las sustituciones de profesorado en los centros privados sostenidos con fondos públicos—. Tal previsión invadiría la competencia estatutaria recogida en el art. 52.1 EAAnd sobre la aprobación de directrices de actuación en materia de recursos humanos en las enseñanzas no universitarias. De hecho, la Junta de Andalucía venía regulando el procedimiento para gestionar las sustituciones del profesorado mediante Orden de 8 de septiembre de 2010, cuyo art. 5.2 establece un plazo de cinco días lectivos para resolver las solicitudes de sustitución por parte de las delegaciones provinciales de enseñanza. Ese plazo quedaría alterado por el precepto impugnado.</w:t>
      </w:r>
    </w:p>
    <w:p w:rsidR="00163957" w:rsidRDefault="00163957" w:rsidP="00163957">
      <w:pPr>
        <w:pStyle w:val="TextoNormal"/>
      </w:pPr>
    </w:p>
    <w:p w:rsidR="00163957" w:rsidRDefault="00163957" w:rsidP="00163957">
      <w:pPr>
        <w:pStyle w:val="TextoNormal"/>
      </w:pPr>
      <w:r>
        <w:t>Además, a juicio de la Letrada de la Junta estaríamos ante una regla que no puede tener carácter básico por no caber su desarrollo por parte de las Administraciones educativas, al establecerse un plazo cerrado y concreto, que ni siquiera tiene carácter de máximo.</w:t>
      </w:r>
    </w:p>
    <w:p w:rsidR="00163957" w:rsidRDefault="00163957" w:rsidP="00163957">
      <w:pPr>
        <w:pStyle w:val="TextoNormal"/>
      </w:pPr>
    </w:p>
    <w:p w:rsidR="00163957" w:rsidRDefault="00163957" w:rsidP="00163957">
      <w:pPr>
        <w:pStyle w:val="TextoNormal"/>
      </w:pPr>
      <w:r>
        <w:t>iv) El art. 5 del Real Decreto-ley altera el calendario de implantación de las medidas establecidas por el Real Decreto 1147/2011, de 29 de julio, en materia de enseñanzas de formación profesional, retrasándolo un par de cursos académicos, si bien se permite a las Administraciones afectadas renunciar a ese margen de implantación. La Junta de Andalucía fundamenta su reproche de inconstitucionalidad en la ausencia de urgencia para la adopción de esta medida, dictada durante el curso académico 2011-2012, para posponer la aplicación de medidas previstas para el curso 2012-2013. Al no ser medidas de impacto inmediato, sino reguladoras de condiciones futuras, no podrían ser adoptadas mediante decreto-ley.</w:t>
      </w:r>
    </w:p>
    <w:p w:rsidR="00163957" w:rsidRDefault="00163957" w:rsidP="00163957">
      <w:pPr>
        <w:pStyle w:val="TextoNormal"/>
      </w:pPr>
    </w:p>
    <w:p w:rsidR="00163957" w:rsidRDefault="00163957" w:rsidP="00163957">
      <w:pPr>
        <w:pStyle w:val="TextoNormal"/>
      </w:pPr>
      <w:r>
        <w:t>v) Pasando ya al capítulo de las medidas de reforma universitaria, la Junta de Andalucía impugna los cuatro primeros apartados del art. 6 del Real Decreto-ley.</w:t>
      </w:r>
    </w:p>
    <w:p w:rsidR="00163957" w:rsidRDefault="00163957" w:rsidP="00163957">
      <w:pPr>
        <w:pStyle w:val="TextoNormal"/>
      </w:pPr>
    </w:p>
    <w:p w:rsidR="00163957" w:rsidRDefault="00163957" w:rsidP="00163957">
      <w:pPr>
        <w:pStyle w:val="TextoNormal"/>
      </w:pPr>
      <w:r>
        <w:t xml:space="preserve">En el primero de ellos se viene a añadir un párrafo al art. 7 de la Ley Orgánica 6/2001, de 21 de diciembre, de universidades (LOU), para habilitar al Gobierno a establecer los requisitos básicos para la creación y mantenimiento de centros y estructuras de las universidades. En la medida en que sólo se introduce esa previsión, que deberá plasmarse en la </w:t>
      </w:r>
      <w:r>
        <w:lastRenderedPageBreak/>
        <w:t>aprobación de normas reglamentarias posteriores, previo informe de distintos órganos colegiados de coordinación y participación universitarias, se demostraría la no concurrencia del presupuesto de la extraordinaria y urgente necesidad que justifica la adopción de todo decreto-ley.</w:t>
      </w:r>
    </w:p>
    <w:p w:rsidR="00163957" w:rsidRDefault="00163957" w:rsidP="00163957">
      <w:pPr>
        <w:pStyle w:val="TextoNormal"/>
      </w:pPr>
    </w:p>
    <w:p w:rsidR="00163957" w:rsidRDefault="00163957" w:rsidP="00163957">
      <w:pPr>
        <w:pStyle w:val="TextoNormal"/>
      </w:pPr>
      <w:r>
        <w:t>Además, se reprocha la habilitación legal en blanco que se introduce en la Ley Orgánica de universidades para que el Gobierno dicte disposiciones básicas de rango reglamentario. Invocando doctrina constitucional en la materia, se recuerda la preferencia que existe de partida para el establecimiento de las bases estatales mediante normas con rango de ley, dotadas de generalidad y estabilidad. La posibilidad de hacerlo mediante disposiciones reglamentarias podría tener lugar cuando esa regulación reglamentaria se considere complemento indispensable para asegurar el mínimo común denominador que constituyen las bases y, además, actúe “como desarrollo de una ley que previamente ha acotado el alcance general de lo básico” (STC 131/1996, de 11 de julio, FJ 2). En este caso estaríamos ante una deslegalización completa de las bases sin la imprescindible acotación legal mínima de su contenido.</w:t>
      </w:r>
    </w:p>
    <w:p w:rsidR="00163957" w:rsidRDefault="00163957" w:rsidP="00163957">
      <w:pPr>
        <w:pStyle w:val="TextoNormal"/>
      </w:pPr>
    </w:p>
    <w:p w:rsidR="00163957" w:rsidRDefault="00163957" w:rsidP="00163957">
      <w:pPr>
        <w:pStyle w:val="TextoNormal"/>
      </w:pPr>
      <w:r>
        <w:t xml:space="preserve">vi) Se impugna también </w:t>
      </w:r>
      <w:r w:rsidRPr="00163957">
        <w:rPr>
          <w:i/>
        </w:rPr>
        <w:t>per relationem</w:t>
      </w:r>
      <w:r>
        <w:t xml:space="preserve"> el art. 6.2 del Real Decreto-ley 14/2012, de 20 de abril, por el que se modifica el art. 8.2 LOU. Esa modificación consiste simplemente en introducir una invocación al art. 7 de la propia Ley Orgánica de universidades, que ha sido modificado a su vez como acabamos de ver por el art. 6.1 del Decreto-ley. En la medida en que se tacha de inconstitucional la habilitación al Gobierno para regular los requisitos básicos de mantenimiento de centros y estructuras universitarias del nuevo párrafo segundo del art. 7 LOU, también lo sería su mera invocación por remisión en el art. 8.2 LOU, relativo a las escuelas y facultades universitarias.</w:t>
      </w:r>
    </w:p>
    <w:p w:rsidR="00163957" w:rsidRDefault="00163957" w:rsidP="00163957">
      <w:pPr>
        <w:pStyle w:val="TextoNormal"/>
      </w:pPr>
    </w:p>
    <w:p w:rsidR="00163957" w:rsidRDefault="00163957" w:rsidP="00163957">
      <w:pPr>
        <w:pStyle w:val="TextoNormal"/>
      </w:pPr>
      <w:r>
        <w:t xml:space="preserve">vii) El art. 6.3 del Real Decreto-ley, cuya inconstitucionalidad también se esgrime, da nueva redacción al art. 30 </w:t>
      </w:r>
      <w:r w:rsidRPr="00163957">
        <w:rPr>
          <w:i/>
        </w:rPr>
        <w:t>bis</w:t>
      </w:r>
      <w:r>
        <w:t xml:space="preserve"> LOU, habilitando la formación de alianzas estratégicas de las universidades con organismos públicos de investigación, con empresas, con otros agentes del sistema español de ciencia, tecnología e innovación y con agentes internacionales, para promover titulaciones oficiales y no sólo programas o proyectos de excelencia internacional. El reproche de inconstitucionalidad consiste en la carencia de una situación de extraordinaria y urgente necesidad que dé cobertura a esta reforma mediante decreto-ley, faltando por completo en el preámbulo del mismo toda justificación de este extremo.</w:t>
      </w:r>
    </w:p>
    <w:p w:rsidR="00163957" w:rsidRDefault="00163957" w:rsidP="00163957">
      <w:pPr>
        <w:pStyle w:val="TextoNormal"/>
      </w:pPr>
    </w:p>
    <w:p w:rsidR="00163957" w:rsidRDefault="00163957" w:rsidP="00163957">
      <w:pPr>
        <w:pStyle w:val="TextoNormal"/>
      </w:pPr>
      <w:r>
        <w:t>viii) Se recurre también por la Junta de Andalucía el art. 6.4 del Real Decreto-ley 14/2012, de 20 de abril, por el que se establece el régimen de dedicación del profesorado universitario funcionario, aumentando de forma considerable la regulación establecida hasta entonces por el art. 68 LOU. Se niega una vez más la existencia de una situación de extraordinaria y urgente necesidad que justifique esta reforma.</w:t>
      </w:r>
    </w:p>
    <w:p w:rsidR="00163957" w:rsidRDefault="00163957" w:rsidP="00163957">
      <w:pPr>
        <w:pStyle w:val="TextoNormal"/>
      </w:pPr>
    </w:p>
    <w:p w:rsidR="00163957" w:rsidRDefault="00163957" w:rsidP="00163957">
      <w:pPr>
        <w:pStyle w:val="TextoNormal"/>
      </w:pPr>
      <w:r>
        <w:t>Por un lado, en relación con el nuevo apartado 3 del art. 68 LOU, que contiene una remisión genérica al desarrollo reglamentario que haga el Gobierno en esta materia, se considera además que es inconstitucional por las mismas razones apuntadas en relación con el art. 6.1 del Real Decreto-ley 14/2012, de 20 de abril, al dar ocasión a que el Gobierno establezca disposiciones básicas de rango reglamentario sin acotar lo más mínimo en la ley el sentido de esa regulación.</w:t>
      </w:r>
    </w:p>
    <w:p w:rsidR="00163957" w:rsidRDefault="00163957" w:rsidP="00163957">
      <w:pPr>
        <w:pStyle w:val="TextoNormal"/>
      </w:pPr>
    </w:p>
    <w:p w:rsidR="00163957" w:rsidRDefault="00163957" w:rsidP="00163957">
      <w:pPr>
        <w:pStyle w:val="TextoNormal"/>
      </w:pPr>
      <w:r>
        <w:lastRenderedPageBreak/>
        <w:t>Por otro lado, la Letrada de la Junta de Andalucía desarrolla una amplia argumentación en torno a la inconstitucionalidad del nuevo apartado 2 del art. 68, que es el que tiene mayor contenido material e innovador, detallando en créditos ECTS la dedicación docente del profesorado funcionario de las universidades públicas, con distintos escalones posibles en función del número de evaluaciones positivas de tramos de investigación de cada profesor.</w:t>
      </w:r>
    </w:p>
    <w:p w:rsidR="00163957" w:rsidRDefault="00163957" w:rsidP="00163957">
      <w:pPr>
        <w:pStyle w:val="TextoNormal"/>
      </w:pPr>
    </w:p>
    <w:p w:rsidR="00163957" w:rsidRDefault="00163957" w:rsidP="00163957">
      <w:pPr>
        <w:pStyle w:val="TextoNormal"/>
      </w:pPr>
      <w:r>
        <w:t>La Letrada de la Junta sostiene, de manera paralela a como ya argumentó previamente, que el título competencial estatal de aplicación en este caso sería el art. 149.1.18 CE (bases del régimen estatutario de los funcionarios) y no el art. 149.1.30 CE (normas básicas de desarrollo del art. 27 CE), ya que la regulación de la carga de trabajo docente de los profesores no incide realmente en el volumen de carga lectiva de los estudiantes universitarios. Por tanto, deben tenerse en cuenta las competencias autonómicas recogidas en los arts. 53.2 e) EAAnd (competencia compartida sobre la regulación del régimen del profesorado docente e investigador contratado y funcionario) y 76.1 EAAnd (competencia de desarrollo legislativo y ejecución en materia de función pública).</w:t>
      </w:r>
    </w:p>
    <w:p w:rsidR="00163957" w:rsidRDefault="00163957" w:rsidP="00163957">
      <w:pPr>
        <w:pStyle w:val="TextoNormal"/>
      </w:pPr>
    </w:p>
    <w:p w:rsidR="00163957" w:rsidRDefault="00163957" w:rsidP="00163957">
      <w:pPr>
        <w:pStyle w:val="TextoNormal"/>
      </w:pPr>
      <w:r>
        <w:t>La inconstitucionalidad del precepto derivaría de hasta cuatro motivos distintos. Por un lado, no existiría el presupuesto habilitante de la situación de extraordinaria y urgente necesidad requerida por el art. 86.1 CE, al contener el Decreto-ley previsiones de futuro, y no de aplicación inmediata. Por otro, la regulación establecida excede el carácter de norma básica que le corresponde, por tener un grado tal de detalle que agota la regulación de la materia, sin margen real de desarrollo autonómico. En tercer lugar, la regulación aprobada vulneraría el contenido esencial del derecho a la autonomía universitaria o núcleo básico de esta garantía institucional, consagrada en el art. 27.10 CE. Y finalmente, el nuevo contenido del precepto lesionaría el principio de seguridad jurídica, garantizado por el art. 9.3 CE.</w:t>
      </w:r>
    </w:p>
    <w:p w:rsidR="00163957" w:rsidRDefault="00163957" w:rsidP="00163957">
      <w:pPr>
        <w:pStyle w:val="TextoNormal"/>
      </w:pPr>
    </w:p>
    <w:p w:rsidR="00163957" w:rsidRDefault="00163957" w:rsidP="00163957">
      <w:pPr>
        <w:pStyle w:val="TextoNormal"/>
      </w:pPr>
      <w:r>
        <w:t>En relación con el carácter exhaustivo de la regulación de la dedicación docente, se reitera la cita de la STC 54/1982, de 26 de julio, que negó el carácter básico de la regulación estatal de la jornada de los funcionarios públicos a efectos retributivos, subrayando el margen de configuración que en este punto deben tener las Comunidades Autónomas.</w:t>
      </w:r>
    </w:p>
    <w:p w:rsidR="00163957" w:rsidRDefault="00163957" w:rsidP="00163957">
      <w:pPr>
        <w:pStyle w:val="TextoNormal"/>
      </w:pPr>
    </w:p>
    <w:p w:rsidR="00163957" w:rsidRDefault="00163957" w:rsidP="00163957">
      <w:pPr>
        <w:pStyle w:val="TextoNormal"/>
      </w:pPr>
      <w:r>
        <w:t>En relación con la autonomía universitaria, se indica que si bien es un derecho de configuración legal, requiere que la normativa universitaria permita un margen de flexibilidad, que sea real y no ficticio o residual, para ser adaptada a las necesidades y características de cada universidad, tal como señaló la STC 26/1987, de 27 de febrero. Más en concreto, el art. 2.2 e) LOU indica que es parte del contenido de esa autonomía la determinación de las condiciones en que el personal docente e investigador ha de desarrollar sus actividades. Pero el nuevo art. 68 LOU tiene un contenido taxativo y sin excepciones sobre la dedicación del profesorado, en función de méritos de investigación acreditados, que no permite la introducción de criterios propios de las universidades. Se ha producido un salto cualitativo respecto a las condiciones que prescribía hasta ahora el art. 9 del Real Decreto 898/1985, de 30 de abril, sobre el régimen del profesorado universitario. La nueva regulación introducida por el Real Decreto-ley sería “mucho menos respetuosa con la autonomía universitaria” (sic).</w:t>
      </w:r>
    </w:p>
    <w:p w:rsidR="00163957" w:rsidRDefault="00163957" w:rsidP="00163957">
      <w:pPr>
        <w:pStyle w:val="TextoNormal"/>
      </w:pPr>
    </w:p>
    <w:p w:rsidR="00163957" w:rsidRDefault="00163957" w:rsidP="00163957">
      <w:pPr>
        <w:pStyle w:val="TextoNormal"/>
      </w:pPr>
      <w:r>
        <w:t xml:space="preserve">Por último, en relación con el principio de seguridad jurídica se sostiene que queda vulnerado por introducir un régimen de dedicación docente basado en los tramos de evaluación positiva de la actividad investigadora del profesor. Esos sexenios de investigación fueron </w:t>
      </w:r>
      <w:r>
        <w:lastRenderedPageBreak/>
        <w:t>introducidos en el art. 2.4 del Real Decreto 1086/1989, de 28 de agosto, sobre retribuciones del profesorado universitario, para permitir el reconocimiento de un complemento retributivo específico por el rendimiento investigador de este tipo de personal. Pero ahora a esta herramienta de evaluación, ideada para otro fin, se le dota de consecuencias jurídicas sobre la dedicación docente del profesorado, con lesión de la seguridad jurídica.</w:t>
      </w:r>
    </w:p>
    <w:p w:rsidR="00163957" w:rsidRDefault="00163957" w:rsidP="00163957">
      <w:pPr>
        <w:pStyle w:val="TextoNormal"/>
      </w:pPr>
    </w:p>
    <w:p w:rsidR="00163957" w:rsidRDefault="00163957" w:rsidP="00163957">
      <w:pPr>
        <w:pStyle w:val="TextoNormal"/>
      </w:pPr>
      <w:r>
        <w:t>ix) El último precepto recurrido en materia de educación universitaria por parte de la Junta de Andalucía es el art. 7.1 del Real Decreto-ley 14/2012, de 20 de abril, por la posible infracción del principio de autonomía financiera establecido en el art. 175.2 a) EAAnd. El Real Decreto-ley, en su art. 6.5, abre unos márgenes importantes en la concreción de los precios públicos universitarios por parte de las Comunidades Autónomas. Un efecto indirecto del establecimiento de esas horquillas de precios y de la consiguiente diferenciación de precios por territorios, es el distinto coste para las arcas públicas de las becas y ayudas al estudio de los estudiantes universitarios. Por ese motivo, el art. 7.1 del Real Decreto-ley viene a establecer que el Estado sólo financiará la cuantía mínima de las becas y ayudas en cada territorio. El coste de las becas que exceda de ese umbral por decisión de cada Administración autonómica, al elevar el montante de los precios públicos aplicables dentro del margen permitido por la Ley Orgánica de universidades, deberá ser financiado por los presupuestos de cada Comunidad Autónoma.</w:t>
      </w:r>
    </w:p>
    <w:p w:rsidR="00163957" w:rsidRDefault="00163957" w:rsidP="00163957">
      <w:pPr>
        <w:pStyle w:val="TextoNormal"/>
      </w:pPr>
    </w:p>
    <w:p w:rsidR="00163957" w:rsidRDefault="00163957" w:rsidP="00163957">
      <w:pPr>
        <w:pStyle w:val="TextoNormal"/>
      </w:pPr>
      <w:r>
        <w:t>La Letrada de la Junta de Andalucía sostiene que esa regla obliga a la Comunidad Autónoma a destinar una parte de sus recursos a una finalidad concreta, vulnerando su autonomía financiera en su vertiente de gasto. En este sentido, se cita la STC 13/1992, de 6 de febrero, FJ 7, en la que este Tribunal aseguró que la autonomía financiera de las Comunidades Autónomas está definida en el bloque de la constitucionalidad más por relación a su vertiente de gasto público, que por referencia a la existencia de un sistema tributario propio. En este sentido, la capacidad de las Administraciones autonómicas de disponer de sus recursos financieros según sus necesidades y objetivos políticos, administrativos, sociales o económicos, asignándolos a los programas de gasto que consideren oportuno, tiene una función capital. De manera que “si por el origen de los fondos se pudiera condicionar el destino que se haya de dar a los mismos, se privaría a las Comunidades Autónomas de una potestad decisoria fundamental, sin la cual no cabe hablar de autonomía”. Y en todo caso, toda medida limitativa de la autonomía financiera autonómica debe tener una relación directa con el objetivo de política económica de mantener la estabilidad y el equilibrio económico (STC 171/1996, de 30 de octubre). En resumen, la medida adoptada excedería las funciones de coordinación que corresponden a la Hacienda estatal de acuerdo con el art. 156 CE.</w:t>
      </w:r>
    </w:p>
    <w:p w:rsidR="00163957" w:rsidRDefault="00163957" w:rsidP="00163957">
      <w:pPr>
        <w:pStyle w:val="TextoNormal"/>
      </w:pPr>
    </w:p>
    <w:p w:rsidR="00163957" w:rsidRDefault="00163957" w:rsidP="00163957">
      <w:pPr>
        <w:pStyle w:val="TextoNormal"/>
      </w:pPr>
      <w:r w:rsidRPr="00163957">
        <w:rPr>
          <w:rStyle w:val="NumeroAFNegritaCaracter"/>
        </w:rPr>
        <w:t>3</w:t>
      </w:r>
      <w:r>
        <w:t>. Por providencia de 13 de septiembre de 2012 el Pleno del Tribunal Constitucional, a propuesta de la Sección Cuarta, acordó admitir a trámite el recurso de inconstitucionalidad, dar traslado de la demanda y documentos presentados al Congreso de los Diputados y al Senado, por conducto de sus Presidentes, y al Gobierno de la Nación, a través del Ministerio de Justicia, para que pudieran personarse en el proceso y formular las alegaciones que estimasen pertinentes y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El Presidente del Senado, por escrito registrado en este Tribunal el día 26 de septiembre de 2012, interesó se tuviera por personada a dicha Cámara y por ofrecida su colaboración a los efectos del art. 88.1 LOTC. En los mismos términos, y mediante escrito registrado el día 26 de septiembre de 2012, el Presidente del Congreso comunicó el acuerdo adoptado </w:t>
      </w:r>
      <w:r>
        <w:lastRenderedPageBreak/>
        <w:t>por la Mesa de la Cámara, que además remitía el asunto a la Dirección de Estudios, Análisis y Publicaciones y a la asesoría jurídica de la Secretaría General de la Cámara.</w:t>
      </w:r>
    </w:p>
    <w:p w:rsidR="00163957" w:rsidRDefault="00163957" w:rsidP="00163957">
      <w:pPr>
        <w:pStyle w:val="TextoNormal"/>
      </w:pPr>
    </w:p>
    <w:p w:rsidR="00163957" w:rsidRDefault="00163957" w:rsidP="00163957">
      <w:pPr>
        <w:pStyle w:val="TextoNormal"/>
      </w:pPr>
      <w:r w:rsidRPr="00163957">
        <w:rPr>
          <w:rStyle w:val="NumeroAFNegritaCaracter"/>
        </w:rPr>
        <w:t>5</w:t>
      </w:r>
      <w:r>
        <w:t>. La Abogada del Estado mediante escrito registrado en este Tribunal Constitucional el 19 de septiembre de 2012, se personó en el proceso en nombre del Gobierno, solicitando además prórroga de ocho días del plazo legal establecido para formular alegaciones. Esa prórroga, a contar a partir del día siguiente al de expiración del plazo ordinario, le fue concedida por el Pleno de este Tribunal Constitucional el 20 de septiembre de 2012. Finalmente, evacuó el trámite de alegaciones al recurso de inconstitucionalidad mediante escrito registrado el 19 de octubre de 2012.</w:t>
      </w:r>
    </w:p>
    <w:p w:rsidR="00163957" w:rsidRDefault="00163957" w:rsidP="00163957">
      <w:pPr>
        <w:pStyle w:val="TextoNormal"/>
      </w:pPr>
    </w:p>
    <w:p w:rsidR="00163957" w:rsidRDefault="00163957" w:rsidP="00163957">
      <w:pPr>
        <w:pStyle w:val="TextoNormal"/>
      </w:pPr>
      <w:r>
        <w:t>a) El escrito de alegaciones de la Abogada del Estado interesa la íntegra desestimación del recurso de inconstitucionalidad. En él, tras identificar el objeto y fundamento del recurso, dedica sus alegaciones a fundamentar, por un lado, la existencia tanto de presupuesto habilitante para la aprobación por el Gobierno del Real Decreto-ley 14/2012, como de títulos competenciales que dan cobertura a su contenido material, y por otro lado, a justificar la constitucionalidad de cada uno de los preceptos y apartados impugnados.</w:t>
      </w:r>
    </w:p>
    <w:p w:rsidR="00163957" w:rsidRDefault="00163957" w:rsidP="00163957">
      <w:pPr>
        <w:pStyle w:val="TextoNormal"/>
      </w:pPr>
    </w:p>
    <w:p w:rsidR="00163957" w:rsidRDefault="00163957" w:rsidP="00163957">
      <w:pPr>
        <w:pStyle w:val="TextoNormal"/>
      </w:pPr>
      <w:r>
        <w:t>i) En primer lugar, se argumenta que el decreto-ley recurrido cuenta con el presupuesto habilitante exigido por el art. 86.1 CE. A estos efectos, se invoca la doctrina sentada por este Tribunal Constitucional sobre el particular, destacando que la concurrencia del presupuesto habilitante debe apreciarse mediante un juicio político, del Gobierno al dictarlo y del Congreso en el trámite de convalidación, sobre el cual corresponde a este Tribunal hacer un control jurídico, que sin suplantarlos evite que se haga un uso abusivo o arbitrario de este modo de producción legislativa. Ese control se extiende tanto a la concurrencia de una situación de extraordinaria y urgente necesidad como a su conexión de sentido con las medidas adoptadas para atenderla. Además, se destaca la especial aptitud reconocida por este Tribunal a los decretos-leyes adoptados para acometer “coyunturas económicas problemáticas” (STC 23/1993, de 21 de enero, FJ 5), con cita de varias sentencias concretas. Al final, la situación de extraordinaria y urgente necesidad se referiría a casos de necesidad relativa, en los que es precisa una acción normativa adoptada en un plazo más breve que el parlamentario habitual.</w:t>
      </w:r>
    </w:p>
    <w:p w:rsidR="00163957" w:rsidRDefault="00163957" w:rsidP="00163957">
      <w:pPr>
        <w:pStyle w:val="TextoNormal"/>
      </w:pPr>
    </w:p>
    <w:p w:rsidR="00163957" w:rsidRDefault="00163957" w:rsidP="00163957">
      <w:pPr>
        <w:pStyle w:val="TextoNormal"/>
      </w:pPr>
      <w:r>
        <w:t>En este caso concreto, la situación de extraordinaria y urgente necesidad concurre y ha quedado exteriorizada en el expediente de elaboración, en el preámbulo de la disposición y en el trámite de convalidación. Allí se alude a dos concretas circunstancias: el marco de crisis económica sin precedentes atravesada por nuestro país y la urgencia de corregir nuestro acusado déficit público, en el cual el gasto educativo juega un papel relevante.</w:t>
      </w:r>
    </w:p>
    <w:p w:rsidR="00163957" w:rsidRDefault="00163957" w:rsidP="00163957">
      <w:pPr>
        <w:pStyle w:val="TextoNormal"/>
      </w:pPr>
    </w:p>
    <w:p w:rsidR="00163957" w:rsidRDefault="00163957" w:rsidP="00163957">
      <w:pPr>
        <w:pStyle w:val="TextoNormal"/>
      </w:pPr>
      <w:r>
        <w:t>Respecto a la crisis económica y financiera se recogen, junto a algunas referencias de la exposición de motivos del Decreto-ley y de la intervención del Ministro de Educación, Cultura y Deporte en el debate parlamentario previo a la convalidación, citas de los informes de coyuntura económica del Banco de España, sobre todo de los correspondientes a 2008 y 2009. Allí se llega a hablar de una espiral catastrófica, no conocida desde el final de la segunda guerra mundial, que plantea el reto de la propia sostenibilidad de las finanzas públicas y el peligro del contagio de la crisis griega, ya abierta en 2010.</w:t>
      </w:r>
    </w:p>
    <w:p w:rsidR="00163957" w:rsidRDefault="00163957" w:rsidP="00163957">
      <w:pPr>
        <w:pStyle w:val="TextoNormal"/>
      </w:pPr>
    </w:p>
    <w:p w:rsidR="00163957" w:rsidRDefault="00163957" w:rsidP="00163957">
      <w:pPr>
        <w:pStyle w:val="TextoNormal"/>
      </w:pPr>
      <w:r>
        <w:lastRenderedPageBreak/>
        <w:t>En cuanto a la necesidad de acometer en concreto la corrección del déficit público, se menciona el libro amarillo de presentación del proyecto de presupuestos generales del Estado para 2012, que puso de manifiesto una desviación de 2,5 puntos del déficit reconocido por el Gobierno saliente respecto del calculado por el entrante (8,5 por 100 del PIB nacional, en vez del 6 por 100, equivalente a unos 27.000 millones de euros). Ello obligó a tomar medidas urgentes de ajuste, fijándose por la Ley de presupuestos generales para 2012 un objetivo de déficit del 5,3 por 100 sobre el PIB para el conjunto de las Administraciones públicas. Se destaca que el gasto educativo representa un importante porcentaje del gasto público (un 10,99 por 100 en 2010, del que la mayor parte corresponde a las Comunidades Autónomas, según datos oficiales del Ministerio del ramo, que contienen la serie histórica desglosada entre 2000 y 2010, que se adjunta al escrito de alegaciones). La Abogada del Estado destaca algunas menciones del preámbulo del decreto-ley recurrido sobre los objetivos de estabilidad presupuestaria, de su memoria de análisis de impacto normativo sobre el carácter imprescindible de las medidas adoptadas para cumplir con el techo de gasto público, y de las declaraciones realizadas por el Ministro en sede parlamentaria, justificando esas medidas como herramientas necesarias para ayudar a las Comunidades Autónomas a cumplir con su objetivo de déficit anual.</w:t>
      </w:r>
    </w:p>
    <w:p w:rsidR="00163957" w:rsidRDefault="00163957" w:rsidP="00163957">
      <w:pPr>
        <w:pStyle w:val="TextoNormal"/>
      </w:pPr>
    </w:p>
    <w:p w:rsidR="00163957" w:rsidRDefault="00163957" w:rsidP="00163957">
      <w:pPr>
        <w:pStyle w:val="TextoNormal"/>
      </w:pPr>
      <w:r>
        <w:t>ii) En cuanto a la adecuación de los títulos competenciales invocados por la disposición final primera del Real Decreto-ley 14/2012, el escrito de alegaciones reconoce en primer lugar que el art. 149.1.1 CE no es un título prevalente que proporcione cobertura autónoma a la norma, sin perjuicio de que refuerce la función habilitante de competencias más específicas y conexas con derechos constitucionales, sobre todo para procurar cierta homogeneidad social en su ejercicio.</w:t>
      </w:r>
    </w:p>
    <w:p w:rsidR="00163957" w:rsidRDefault="00163957" w:rsidP="00163957">
      <w:pPr>
        <w:pStyle w:val="TextoNormal"/>
      </w:pPr>
    </w:p>
    <w:p w:rsidR="00163957" w:rsidRDefault="00163957" w:rsidP="00163957">
      <w:pPr>
        <w:pStyle w:val="TextoNormal"/>
      </w:pPr>
      <w:r>
        <w:t>Por su parte, el art. 149.1.18 CE, al permitir fijar las bases del régimen estatutario de los funcionarios públicos, prestaría cobertura especialmente a las medidas del decreto-ley relativas al profesorado universitario, con preferencia a la prestada por las competencias estatales sobre enseñanza. El Estado puede fijar así el necesario común denominador normativo que asegure una unidad fundamental, la cual no tiene que ser meramente genérica, aunque sí compatible con las peculiaridades que puedan introducir las Comunidades Autónomas en persecución de sus propios intereses. De todos modos, la Abogada del Estado invoca la STC 235/1991, de 12 de diciembre, para apuntar que las Comunidades Autónomas no tendrían siquiera competencia de desarrollo normativo respecto a los cuerpos docentes universitarios, al no estar integrados por funcionarios de las Comunidades Autónomas, sino del Estado. En cambio, respecto a las medidas sobre profesorado no universitario entiende que sería prevalente la invocación del art. 149.1.30 CE, ya que su finalidad prioritaria sería la garantía de la calidad mínima de la enseñanza, aunque repercutan en la organización administrativa y en el acceso a puestos de trabajo en el sector público. De todas formas, no es descartable la invocación del apartado 18 del art. 149.1 CE para justificar medidas sobre horarios de los profesores en la medida en que el propio art. 2.3 de la Ley 7/2007, de 12 de abril, sobre el estatuto básico del empleado público, remite a la legislación específica estatal y autonómica para determinados colectivos, como el personal docente y el sanitario. Y respecto de este último el legislador estatal hace tiempo que ha establecido previsiones concretas sobre su régimen de horarios, de modo similar a como ahora pasa a hacerlo el decreto-ley impugnado respecto al personal docente no universitario.</w:t>
      </w:r>
    </w:p>
    <w:p w:rsidR="00163957" w:rsidRDefault="00163957" w:rsidP="00163957">
      <w:pPr>
        <w:pStyle w:val="TextoNormal"/>
      </w:pPr>
    </w:p>
    <w:p w:rsidR="00163957" w:rsidRDefault="00163957" w:rsidP="00163957">
      <w:pPr>
        <w:pStyle w:val="TextoNormal"/>
      </w:pPr>
      <w:r>
        <w:lastRenderedPageBreak/>
        <w:t>En relación con el art. 149.1.30 CE, el escrito de alegaciones razona sobre el alcance material de las bases estatales en cuestiones de enseñanza, sosteniendo que no tienen por qué constreñirse sólo a pautas genéricas y abstractas, pudiendo comprender reglas de distinto tipo, topes máximos, niveles mínimos, tramos, e incluso actos de naturaleza ejecutiva. A la vez, con carácter general, esa regulación no puede tener tanto detalle que no deje espacio para el desarrollo autonómico. El contenido y alcance concreto de lo básico será determinado por el legislador estatal, sin perjuicio del control que corresponde hacer a este Tribunal Constitucional (STC 141/1993, de 22 de abril, FJ 3). Por ejemplo, la STC 131/1996, de 11 de julio, consideró básica la fijación por el Estado de un porcentaje mínimo de profesores doctores para cada ciclo universitario, así como de profesorado funcionario para las universidades públicas, en cuanto medida de garantía de un mínimo de calidad de la enseñanza. Lo mismo ocurriría en el caso del Real Decreto-ley recurrido, en cuanto contiene medidas para asegurar una calidad mínima de la docencia, sin perjuicio de que tengan también consecuencias de carácter organizativo del sistema educativo. Además, esos efectos son de carácter indirecto y reflejo al dejar un margen amplio de plasmación a las Comunidades Autónomas.</w:t>
      </w:r>
    </w:p>
    <w:p w:rsidR="00163957" w:rsidRDefault="00163957" w:rsidP="00163957">
      <w:pPr>
        <w:pStyle w:val="TextoNormal"/>
      </w:pPr>
    </w:p>
    <w:p w:rsidR="00163957" w:rsidRDefault="00163957" w:rsidP="00163957">
      <w:pPr>
        <w:pStyle w:val="TextoNormal"/>
      </w:pPr>
      <w:r>
        <w:t>Finalmente, para la Abogada del Estado el principal título competencial de cobertura del Real Decreto-ley 14/2012, debido a los objetivos de esta disposición, está en el apartado 13 del art. 149.1 CE, en conexión con el principio de coordinación de las haciendas públicas por parte del Estado (art. 156 CE). Recuerda en este punto la jurisprudencia de este Tribunal, que entiende que este título ampara acciones unitarias en todo el territorio del Estado para la consecución de objetivos de política económica nacional, efectuando una planificación de detalle, sin que se puedan vaciar por esta vía las competencias asumidas por las Comunidades Autónomas. Más en concreto, cabe establecer por esta vía medidas de contención de gastos corrientes y de reducción del déficit público, en línea con las exigencias de estabilidad presupuestaria y de prohibición de déficit estructural superior al establecido, que están ahora contempladas en el art. 135 CE y desarrolladas por la Ley Orgánica 2/2012, de 27 de abril, de estabilidad presupuestaria y sostenibilidad financiera. Es el caso de las restricciones al volumen cuantitativo de las plazas contenidas en la oferta de empleo público de cada Administración o al incremento global de retribuciones de los empleados públicos (STC 63/1986, de 21 de mayo, FFJJ 6 y 11, que las vincula a la competencia de dirección y ordenación general de la economía, y no a las bases del régimen estatutario de los funcionarios).</w:t>
      </w:r>
    </w:p>
    <w:p w:rsidR="00163957" w:rsidRDefault="00163957" w:rsidP="00163957">
      <w:pPr>
        <w:pStyle w:val="TextoNormal"/>
      </w:pPr>
    </w:p>
    <w:p w:rsidR="00163957" w:rsidRDefault="00163957" w:rsidP="00163957">
      <w:pPr>
        <w:pStyle w:val="TextoNormal"/>
      </w:pPr>
      <w:r>
        <w:t>Se discrepa del planteamiento de la Letrada de la Junta de Andalucía, que niega la naturaleza económica de la actividad educativa, aportando el cuadro de estimación del impacto económico de las distintas medidas contenidas en el Real Decreto-ley 14/2012, que pueden alcanzar los 3.736 millones de euros de ahorro. Además, se recogen en una nota complementaria que se adjunta a las alegaciones los detalles de valoración de los gastos de personal educativo en los presupuestos públicos.</w:t>
      </w:r>
    </w:p>
    <w:p w:rsidR="00163957" w:rsidRDefault="00163957" w:rsidP="00163957">
      <w:pPr>
        <w:pStyle w:val="TextoNormal"/>
      </w:pPr>
    </w:p>
    <w:p w:rsidR="00163957" w:rsidRDefault="00163957" w:rsidP="00163957">
      <w:pPr>
        <w:pStyle w:val="TextoNormal"/>
      </w:pPr>
      <w:r>
        <w:t xml:space="preserve">Y en cuanto a los títulos competenciales invocados por la Junta de Andalucía [art. 52 EAAnd, sobre educación; art. 53 EAAnd, sobre universidades; art. 76 EAAnd, sobre función pública; y art. 175.2 a) EAAnd, sobre autonomía financiera de la Comunidad Autónoma], se recuerda la doctrina aplicada por este Tribunal en relación con el término de competencias exclusivas manejado por el art. 110 del Estatuto de Autonomía de Cataluña: éstas no impiden el ejercicio por el Estado de sus competencias exclusivas </w:t>
      </w:r>
      <w:r w:rsidRPr="00163957">
        <w:rPr>
          <w:i/>
        </w:rPr>
        <w:t>ex</w:t>
      </w:r>
      <w:r>
        <w:t xml:space="preserve"> art. 149.1 CE con </w:t>
      </w:r>
      <w:r>
        <w:lastRenderedPageBreak/>
        <w:t>el alcance que les corresponda, sin necesidad de que el Estatuto de Autonomía contenga cláusulas de salvaguardia de las competencias estatales (STC 31/2010, de 28 de junio, FFJJ 59 y 64).</w:t>
      </w:r>
    </w:p>
    <w:p w:rsidR="00163957" w:rsidRDefault="00163957" w:rsidP="00163957">
      <w:pPr>
        <w:pStyle w:val="TextoNormal"/>
      </w:pPr>
    </w:p>
    <w:p w:rsidR="00163957" w:rsidRDefault="00163957" w:rsidP="00163957">
      <w:pPr>
        <w:pStyle w:val="TextoNormal"/>
      </w:pPr>
      <w:r>
        <w:t>b) El resto del escrito de alegaciones de la Abogada del Estado aborda la defensa de la constitucionalidad de cada una de las concretas medidas impugnadas del Real Decreto-ley 14/2012.</w:t>
      </w:r>
    </w:p>
    <w:p w:rsidR="00163957" w:rsidRDefault="00163957" w:rsidP="00163957">
      <w:pPr>
        <w:pStyle w:val="TextoNormal"/>
      </w:pPr>
    </w:p>
    <w:p w:rsidR="00163957" w:rsidRDefault="00163957" w:rsidP="00163957">
      <w:pPr>
        <w:pStyle w:val="TextoNormal"/>
      </w:pPr>
      <w:r>
        <w:t>i) El aumento de la ratio de alumnos por aula del art. 2 del Real Decreto-ley, es calificado de medida de contención económica, de alcance temporal limitado, y respetuosa con su condición de norma básica por limitarse a fijar umbrales máximos. Se flexibilizan con ella los límites del art. 157.1 a) de la Ley Orgánica 2/2006, de 3 de mayo, de educación (LOE), pero no se impone su aplicación, pues dependerá de la concreta situación de déficit de cada Comunidad Autónoma, y de sus opciones de ajustarse al objetivo de déficit, que para el año 2012 fue fijado en el 1,5 por 100. Por otro lado, es una medida aplicable con carácter inmediato por parte de las Comunidades Autónomas que necesiten hacer uso de la misma. Su impacto económico en cuanto al ahorro de sueldos y salarios de profesores, descontando los casos en los que la ratio alumnos/aulas está lejos del límite legal establecido por la Ley Orgánica de educación y por tanto no tendría efecto práctico la medida, podría llegar a ser de 464 millones de euros.</w:t>
      </w:r>
    </w:p>
    <w:p w:rsidR="00163957" w:rsidRDefault="00163957" w:rsidP="00163957">
      <w:pPr>
        <w:pStyle w:val="TextoNormal"/>
      </w:pPr>
    </w:p>
    <w:p w:rsidR="00163957" w:rsidRDefault="00163957" w:rsidP="00163957">
      <w:pPr>
        <w:pStyle w:val="TextoNormal"/>
      </w:pPr>
      <w:r>
        <w:t>ii) El art. 3 del Real Decreto-ley establece un mínimo de horas lectivas de los profesores y su correspondiente régimen de compensación con horas complementarias, en aplicación de la competencia estatal de establecimiento de normas educativas básicas y, en concreto, de fijación de una garantía de calidad mínima de la enseñanza. Su carácter básico es evidente al establecer un mínimo común denominador, que las Comunidades Autónomas pueden concretar. Además, se trataría de una decisión coyuntural de eficacia temporal, amparada por los arts. 149.1.13 y 156.1 CE. Aquí también se aportan datos estimativos de la reducción de profesorado que la medida puede comportar y, por tanto, de los gastos de personal que permitiría reducir, desglosados por niveles de enseñanza y excluyendo los centros con plantilla inferior a diez profesores, por ser difícilmente ejecutable en ellos esas medidas. Los gastos corrientes por esos conceptos podrían rebajarse en 840 millones de euros, aunque el impacto final dependerá del grado de implantación de la medida.</w:t>
      </w:r>
    </w:p>
    <w:p w:rsidR="00163957" w:rsidRDefault="00163957" w:rsidP="00163957">
      <w:pPr>
        <w:pStyle w:val="TextoNormal"/>
      </w:pPr>
    </w:p>
    <w:p w:rsidR="00163957" w:rsidRDefault="00163957" w:rsidP="00163957">
      <w:pPr>
        <w:pStyle w:val="TextoNormal"/>
      </w:pPr>
      <w:r>
        <w:t>A diferencia de la Letrada de la Junta de Andalucía, la Abogada del Estado entiende que estamos ante una medida de choque de rango legal para el control del déficit público, que acomete una situación de necesidad relativa que exige una respuesta inmediata, por lo que satisface las exigencias del art. 86.1 CE. Además, no se vulneran competencias de la Comunidad Autónoma, por estar éstas condicionadas por la competencia estatal sobre las bases y coordinación de la planificación general de la actividad económica, ni hay posible reproche de inconstitucionalidad por modificarse el tenor de la legislación básica estatal vigente hasta entonces.</w:t>
      </w:r>
    </w:p>
    <w:p w:rsidR="00163957" w:rsidRDefault="00163957" w:rsidP="00163957">
      <w:pPr>
        <w:pStyle w:val="TextoNormal"/>
      </w:pPr>
    </w:p>
    <w:p w:rsidR="00163957" w:rsidRDefault="00163957" w:rsidP="00163957">
      <w:pPr>
        <w:pStyle w:val="TextoNormal"/>
      </w:pPr>
      <w:r>
        <w:t xml:space="preserve">iii) Los mismos argumentos serían trasladables para justificar la adecuación a la Constitución del art. 4 del Real Decreto-ley, sobre el nombramiento de funcionarios docentes interinos. Se trata de una medida básica, al marcar un mínimo de plazo para proceder a la sustitución de profesores, que no vulnera el ejercicio de la competencia autonómica recogida en el art. 52 EAAnd. Su impacto económico no es fácil de calcular, pero rondaría los </w:t>
      </w:r>
      <w:r>
        <w:lastRenderedPageBreak/>
        <w:t>1.900 € por cada supuesto en los centros públicos (considerando que las retribuciones por todos los conceptos del profesorado interino están en torno a los 190 € por día lectivo).</w:t>
      </w:r>
    </w:p>
    <w:p w:rsidR="00163957" w:rsidRDefault="00163957" w:rsidP="00163957">
      <w:pPr>
        <w:pStyle w:val="TextoNormal"/>
      </w:pPr>
    </w:p>
    <w:p w:rsidR="00163957" w:rsidRDefault="00163957" w:rsidP="00163957">
      <w:pPr>
        <w:pStyle w:val="TextoNormal"/>
      </w:pPr>
      <w:r>
        <w:t>iv) En cuanto al calendario de implantación de las nuevas enseñanzas de formación profesional, el art. 5 del Real Decreto-ley viene a postergar hasta el curso 2014/2015 las previsiones del Real Decreto 1147/2011, de 29 de julio, que imponían su aplicación dos cursos antes, en el 2012-2013, sin perjuicio de la posibilidad de las Administraciones educativas que lo estimen pertinente de adelantar esa fecha. La razón es el incremento de costes que conllevan los nuevos ciclos formativos, de duración mayor. La memoria del Real Decreto-ley cifra en unos 200 millones de euros el montante del ahorro económico por este retraso. Pero queda en manos de las Comunidades Autónomas el hacer uso efectivo de esta medida excepcional.</w:t>
      </w:r>
    </w:p>
    <w:p w:rsidR="00163957" w:rsidRDefault="00163957" w:rsidP="00163957">
      <w:pPr>
        <w:pStyle w:val="TextoNormal"/>
      </w:pPr>
    </w:p>
    <w:p w:rsidR="00163957" w:rsidRDefault="00163957" w:rsidP="00163957">
      <w:pPr>
        <w:pStyle w:val="TextoNormal"/>
      </w:pPr>
      <w:r>
        <w:t>v) En el ámbito universitario, el Real Decreto-ley 14/2012 introduce una serie de modificaciones concretas de la Ley Orgánica de universidades, motivadas por el déficit y endeudamiento en que han incurrido distintas universidades públicas. La primera de ellas es la previsión, en el art. 6.1, del establecimiento de requisitos reglamentarios básicos para la creación y mantenimiento de centros y estructuras universitarias. El escrito niega que la medida carezca de inmediatez por el hecho de requerir un desarrollo reglamentario para su efectividad, debido a que la situación de crisis económica y la necesidad urgente de racionalizar el mapa universitario imponen la adopción de una medida normativa como ésta. Además, se niega que este precepto constituya una deslegalización de la materia, dado que el carácter técnico y cambiante de esa regulación justifica la remisión que se hace a una norma reglamentaria para su regulación, sin que esté reservada a Ley Orgánica. Pese a la preferencia de la ley formal para la fijación de las bases estatales, la jurisprudencia constitucional admite claramente que las mismas puedan contenerse en normas reglamentarias cuando éstas sean complemento indispensable para asegurar el mínimo común denominador que comportan esas bases. De hecho, el art. 4.3 LOU en su redacción originaria ya establecía una remisión reglamentaria semejante para la fijación de los requisitos básicos para la creación y reconocimiento de las universidades. Y la STC 26/1987, de 27 de febrero, reconocía la legitimidad de que el Gobierno fijara normas básicas sobre creación, modificación y supresión de departamentos universitarios, siempre que lo hiciese de manera flexible, sin excesos de concreción y de contenido, y con respeto a la autonomía organizativa de cada universidad para configurar sus departamentos. Pero la autonomía universitaria no incluye el derecho a contar con unos u otros concretos centros, que además no puedan ser afectados por decisiones del Estado o de las Comunidades Autónomas sobre la organización del sistema universitario (STC 47/2005, de 3 de marzo). Finalmente, se niega que esta medida, por el hecho de remitir su concreción a una norma estatal reglamentaria, impida a la Comunidad Andaluza el ejercicio de sus competencias compartidas en la materia [art. 53.2 a) EAAnd]. Se trataría de una alegación preventiva de inconstitucionalidad, que no puede adelantarse a lo que en el futuro pueda recoger esa disposición.</w:t>
      </w:r>
    </w:p>
    <w:p w:rsidR="00163957" w:rsidRDefault="00163957" w:rsidP="00163957">
      <w:pPr>
        <w:pStyle w:val="TextoNormal"/>
      </w:pPr>
    </w:p>
    <w:p w:rsidR="00163957" w:rsidRDefault="00163957" w:rsidP="00163957">
      <w:pPr>
        <w:pStyle w:val="TextoNormal"/>
      </w:pPr>
      <w:r>
        <w:t xml:space="preserve">vi) El art. 6.2 del Real Decreto-ley modifica el art. 8.3 LOU, relativo a las escuelas y facultades de las universidades, limitándose a incluir en él una referencia a que las competencias sobre su creación, modificación y supresión serán ejercidas por cada Comunidad Autónoma “de conformidad con lo dispuesto” en el precepto anteriormente examinado (art. 7.2 LOU). Es decir, que las escuelas y facultades universitarias deberán ajustarse a la regulación que el Gobierno apruebe con los requisitos básicos de creación y mantenimiento de </w:t>
      </w:r>
      <w:r>
        <w:lastRenderedPageBreak/>
        <w:t>centros y estructuras. En consecuencia, se reiteran por remisión los argumentos expuestos sobre la constitucionalidad del nuevo apartado 2 del art. 7 LOU.</w:t>
      </w:r>
    </w:p>
    <w:p w:rsidR="00163957" w:rsidRDefault="00163957" w:rsidP="00163957">
      <w:pPr>
        <w:pStyle w:val="TextoNormal"/>
      </w:pPr>
    </w:p>
    <w:p w:rsidR="00163957" w:rsidRDefault="00163957" w:rsidP="00163957">
      <w:pPr>
        <w:pStyle w:val="TextoNormal"/>
      </w:pPr>
      <w:r>
        <w:t>vii) El art. 6.3 del Real Decreto-ley modifica el art. 30 bis LOU para permitir la cooperación entre universidades para el desarrollo conjunto de enseñanzas oficiales. Se trata de una medida respaldada por la competencia exclusiva del Estado en materia de titulaciones oficiales (art. 149.1.30 CE), que persigue racionalizar el exceso ineficiente de la oferta académica de las universidades (un tercio de los grados impartidos en España no alcanzaría el mínimo de 50 alumnos en primer curso). La desaparición o fusión de esos grados y la reubicación del alumnado en titulaciones conjuntas con otras universidades podrían llegar a suponer un ahorro de 71 millones de euros a los presupuestos públicos. La extraordinaria y urgente necesidad de la medida viene determinada por la situación grave de crisis económica, que quiere aliviarse mediante este tipo de cooperación entre universidades.</w:t>
      </w:r>
    </w:p>
    <w:p w:rsidR="00163957" w:rsidRDefault="00163957" w:rsidP="00163957">
      <w:pPr>
        <w:pStyle w:val="TextoNormal"/>
      </w:pPr>
    </w:p>
    <w:p w:rsidR="00163957" w:rsidRDefault="00163957" w:rsidP="00163957">
      <w:pPr>
        <w:pStyle w:val="TextoNormal"/>
      </w:pPr>
      <w:r>
        <w:t>viii) El art. 6.4 del Real Decreto-ley modifica el art. 68 LOU en materia de dedicación del profesorado universitario. Tras recordar que el Real Decreto 898/1985, de 30 de abril, sobre el régimen del profesorado universitario, remitía la fijación de las obligaciones docentes de este colectivo a lo dispuesto en los estatutos de cada universidad, y que la disposición sexta de la Ley Orgánica 4/2007, de 12 de abril, de modificación de la Ley Orgánica de universidades, anunció un estatuto del personal docente e investigador que aún no ha visto la luz, se explica que el Real Decreto-ley impugnado ha diversificado en tres escalones las posibilidades de dedicación del profesorado funcionario a tiempo completo. Para ello se utiliza como parámetro el número y la proximidad temporal de los sexenios de investigación reconocidos a cada profesor, que es uno de los componentes variables de sus retribuciones, conforme al Real Decreto 1086/1989, de 28 de agosto. Puesto que la dedicación del profesorado universitario tiene la doble vertiente docente e investigadora, es razonable que la intensidad de la segunda afecte a la extensión de la primera.</w:t>
      </w:r>
    </w:p>
    <w:p w:rsidR="00163957" w:rsidRDefault="00163957" w:rsidP="00163957">
      <w:pPr>
        <w:pStyle w:val="TextoNormal"/>
      </w:pPr>
    </w:p>
    <w:p w:rsidR="00163957" w:rsidRDefault="00163957" w:rsidP="00163957">
      <w:pPr>
        <w:pStyle w:val="TextoNormal"/>
      </w:pPr>
      <w:r>
        <w:t>En cuanto a la posible vulneración en este punto del art. 86.1 CE por falta de presupuesto habilitante, la Abogada del Estado defiende que está justificada por la grave situación de crisis económica padecida por nuestro país y por su conexión de sentido con el nuevo régimen de dedicación del profesorado, cuya carga docente media viene a crecer. Dado que el 50 por 100 del total del profesorado funcionario carece de sexenios activos o vivos, y sólo un porcentaje reducido acredita la excelencia de su investigación, el ahorro en salarios que podría suponer la aplicación de esta medida sería de unos 250 millones de euros.</w:t>
      </w:r>
    </w:p>
    <w:p w:rsidR="00163957" w:rsidRDefault="00163957" w:rsidP="00163957">
      <w:pPr>
        <w:pStyle w:val="TextoNormal"/>
      </w:pPr>
    </w:p>
    <w:p w:rsidR="00163957" w:rsidRDefault="00163957" w:rsidP="00163957">
      <w:pPr>
        <w:pStyle w:val="TextoNormal"/>
      </w:pPr>
      <w:r>
        <w:t>Respecto al efecto de deslegalización de las normas básicas estatales, al apoderar ahora el apartado 3 del art. 68 LOU al Gobierno para detallar el régimen general de dedicación docente, se alega que no se trata de una remisión en blanco, precisamente por el grado de detalle del extenso apartado 2 del precepto. En consecuencia, estamos ante un supuesto ordinario de colaboración natural del reglamento con la ley, que puede complementar a ésta en aspectos técnicos o variables.</w:t>
      </w:r>
    </w:p>
    <w:p w:rsidR="00163957" w:rsidRDefault="00163957" w:rsidP="00163957">
      <w:pPr>
        <w:pStyle w:val="TextoNormal"/>
      </w:pPr>
    </w:p>
    <w:p w:rsidR="00163957" w:rsidRDefault="00163957" w:rsidP="00163957">
      <w:pPr>
        <w:pStyle w:val="TextoNormal"/>
      </w:pPr>
      <w:r>
        <w:t xml:space="preserve">En relación con la presunta invasión de las competencias autonómicas de desarrollo y ejecución en materia de dedicación docente del profesorado universitario funcionario, se niega que la Junta de Andalucía haya asumido competencias sobre este personal estatutario, por no tratarse de empleados de las Comunidades Autónomas. De acuerdo con la STC </w:t>
      </w:r>
      <w:r>
        <w:lastRenderedPageBreak/>
        <w:t xml:space="preserve">235/1991, de 12 de diciembre, ya citada, al ser funcionarios de cuerpos nacionales que pueden ocupar plaza, mediante el oportuno concurso, en una universidad diferente de aquélla en la que fueron nombrados, es el Estado quien tiene competencia para regular </w:t>
      </w:r>
      <w:r w:rsidRPr="00163957">
        <w:rPr>
          <w:i/>
        </w:rPr>
        <w:t>in extenso</w:t>
      </w:r>
      <w:r>
        <w:t xml:space="preserve"> su relación de servicio con la universidad </w:t>
      </w:r>
      <w:r w:rsidRPr="00163957">
        <w:rPr>
          <w:i/>
        </w:rPr>
        <w:t>ex</w:t>
      </w:r>
      <w:r>
        <w:t xml:space="preserve"> art. 149.1.1 y 18 CE, incluyendo cuestiones como la duración de la jornada laboral, el reparto de horas de dedicación, o la exención de obligaciones docentes. Lo cual no obsta para que la Comunidad Autónoma pueda regular algunos aspectos de la actividad docente en virtud de otros títulos conectados con la materia educación, en la que sí es de aplicación el esquema bases-desarrollo para el reparto de competencias entre el Estado y la Comunidad Autónoma.</w:t>
      </w:r>
    </w:p>
    <w:p w:rsidR="00163957" w:rsidRDefault="00163957" w:rsidP="00163957">
      <w:pPr>
        <w:pStyle w:val="TextoNormal"/>
      </w:pPr>
    </w:p>
    <w:p w:rsidR="00163957" w:rsidRDefault="00163957" w:rsidP="00163957">
      <w:pPr>
        <w:pStyle w:val="TextoNormal"/>
      </w:pPr>
      <w:r>
        <w:t>Todo ello con el límite del respeto a la autonomía universitaria (art. 27.10 CE), que la Junta de Andalucía también entiende vulnerada. En este punto, la Abogada del Estado alega que esa autonomía es una garantía institucional al servicio, precisamente, de la libertad académica y de cátedra de los profesores universitarios. De manera que la regulación detallada y compensada de las tareas docentes e investigadoras de los funcionarios docentes por parte del decreto-ley estaría en realidad al servicio de esa garantía. Además, no debe olvidarse que la autonomía universitaria es un derecho de configuración legal, y que debe desarrollarse en el marco de las efectivas disponibilidades personales y materiales de cada universidad, condicionadas por las decisiones que corresponde adoptar al Estado y a la Comunidad Autónoma de la que dependen.</w:t>
      </w:r>
    </w:p>
    <w:p w:rsidR="00163957" w:rsidRDefault="00163957" w:rsidP="00163957">
      <w:pPr>
        <w:pStyle w:val="TextoNormal"/>
      </w:pPr>
    </w:p>
    <w:p w:rsidR="00163957" w:rsidRDefault="00163957" w:rsidP="00163957">
      <w:pPr>
        <w:pStyle w:val="TextoNormal"/>
      </w:pPr>
      <w:r>
        <w:t xml:space="preserve">Por último, se niega que la regulación del régimen de dedicación docente universitaria pueda vulnerar el principio de seguridad jurídica, al no contener una regulación retroactiva sino </w:t>
      </w:r>
      <w:r w:rsidRPr="00163957">
        <w:rPr>
          <w:i/>
        </w:rPr>
        <w:t>pro futuro</w:t>
      </w:r>
      <w:r>
        <w:t xml:space="preserve"> de situaciones jurídicas creadas con anterioridad, sin producir efectos sobre situaciones jurídicas ya consumadas o agotadas.</w:t>
      </w:r>
    </w:p>
    <w:p w:rsidR="00163957" w:rsidRDefault="00163957" w:rsidP="00163957">
      <w:pPr>
        <w:pStyle w:val="TextoNormal"/>
      </w:pPr>
    </w:p>
    <w:p w:rsidR="00163957" w:rsidRDefault="00163957" w:rsidP="00163957">
      <w:pPr>
        <w:pStyle w:val="TextoNormal"/>
      </w:pPr>
      <w:r>
        <w:t>ix) El art. 7.1 del Real Decreto-ley 14/2012 introduce el principio de corresponsabilidad financiera en el ámbito de la enseñanza universitaria, al cargar sobre el presupuesto de las Comunidades Autónomas el coste público adicional de las becas y ayudas al estudio cuando éstas decidan aumentar los precios públicos de los estudios universitarios oficiales. La memoria económica del Real Decreto-ley estima que ese sobrecoste del componente individual de las ayudas puede alcanzar los 118 millones de euros anuales. Pero a la vez las horquillas de precios públicos que se implantan en esa disposición legal de urgencia pueden producir un efecto de ahorro a las arcas públicas de 1.760 millones de euros anuales. Por lo que el efecto global de ahorro neto para las Administraciones educativas sería de 1.542 millones de euros.</w:t>
      </w:r>
    </w:p>
    <w:p w:rsidR="00163957" w:rsidRDefault="00163957" w:rsidP="00163957">
      <w:pPr>
        <w:pStyle w:val="TextoNormal"/>
      </w:pPr>
    </w:p>
    <w:p w:rsidR="00163957" w:rsidRDefault="00163957" w:rsidP="00163957">
      <w:pPr>
        <w:pStyle w:val="TextoNormal"/>
      </w:pPr>
      <w:r>
        <w:t xml:space="preserve">En cualquier caso, la Abogada del Estado recuerda que es competencia exclusiva del Estado configurar el sistema de becas y ayudas al estudio, con su cuantía, requisitos y criterios de compatibilidad (STC 188/2001, de 20 de septiembre). Esa competencia se ha ejercido mediante el Real Decreto 1721/2007, de 21 de diciembre, modificado en distintas ocasiones, que tiene carácter básico y condiciona las competencias normativas y ejecutivas de las Comunidades Autónomas en esta materia. El art. 40.1 en relación con la disposición adicional primera del Real Decreto adopta ya ese criterio de corresponsabilidad financiera, de manera que el Estado asume sólo la financiación del extremo inferior o necesario de las becas y ayudas al estudio cuando el umbral de éstas se somete a un intervalo. Así fue aplicado en concreto por la disposición adicional cuarta del Real Decreto 1000/2012, de 29 de </w:t>
      </w:r>
      <w:r>
        <w:lastRenderedPageBreak/>
        <w:t>junio, que estableció los umbrales de renta y patrimonio familiar, así como las cuantías, de las becas y ayudas al estudio para el curso 2012-2013.</w:t>
      </w:r>
    </w:p>
    <w:p w:rsidR="00163957" w:rsidRDefault="00163957" w:rsidP="00163957">
      <w:pPr>
        <w:pStyle w:val="TextoNormal"/>
      </w:pPr>
    </w:p>
    <w:p w:rsidR="00163957" w:rsidRDefault="00163957" w:rsidP="00163957">
      <w:pPr>
        <w:pStyle w:val="TextoNormal"/>
      </w:pPr>
      <w:r>
        <w:t>Finalmente, se recuerda que el principio de autonomía financiera en relación con el gasto no tiene carácter absoluto. Son de aplicación los límites de la solidaridad entre todos los españoles (art. 138.1 CE) y la necesidad de coordinación con la hacienda estatal (art. 156.1 CE). De manera que constitucionalmente esa autonomía puede quedar afectada por decisiones de ordenación general de la economía adoptadas por el Estado, como la plasmada en el art. 7.1 del Real Decreto-ley 14/2012.</w:t>
      </w:r>
    </w:p>
    <w:p w:rsidR="00163957" w:rsidRDefault="00163957" w:rsidP="00163957">
      <w:pPr>
        <w:pStyle w:val="TextoNormal"/>
      </w:pPr>
    </w:p>
    <w:p w:rsidR="00163957" w:rsidRDefault="00163957" w:rsidP="00163957">
      <w:pPr>
        <w:pStyle w:val="TextoNormal"/>
      </w:pPr>
      <w:r>
        <w:t>x) En cuanto a la posible inconstitucionalidad de la disposición final primera del Real Decreto-ley, en la que se identifican los títulos competenciales estatales que se han ejercido para dictarlo, el escrito de alegaciones niega la vulneración del principio de seguridad jurídica (art. 9.3 CE) derivada de la no concreción de cada medida normativa con un título específico. Al ser las competencias indisponibles e irrenunciables, el error en la invocación del título competencial adecuado no puede conllevar la privación al Estado de las competencias que tiene reservadas de manera exclusiva.</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16 de febrero de 2016 se señaló para deliberación y votación de la presente sentencia el día 18 de dicho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presente resolución tiene por objeto dar respuesta al recurso de inconstitucionalidad interpuesto por el Consejo de Gobierno de la Junta de Andalucía contra los arts. 2; 3; 4; 5; 6, en sus apartados 1, 2, 3 y 4; 7 y la disposición final primera del Real Decreto-ley 14/2012, de 20 de abril, de medidas urgentes de racionalización del gasto público en el ámbito educativo.</w:t>
      </w:r>
    </w:p>
    <w:p w:rsidR="00163957" w:rsidRDefault="00163957" w:rsidP="00163957">
      <w:pPr>
        <w:pStyle w:val="TextoNormal"/>
      </w:pPr>
    </w:p>
    <w:p w:rsidR="00163957" w:rsidRDefault="00163957" w:rsidP="00163957">
      <w:pPr>
        <w:pStyle w:val="TextoNormal"/>
      </w:pPr>
      <w:r>
        <w:t>Con independencia de los distintos argumentos alegados por la Junta de Andalucía en relación con cada uno de los preceptos impugnados, que se examinarán en esta Sentencia, cabe adelantar que casi todos ellos tienen en común la alegación de un doble vicio de inconstitucionalidad. Por un lado, se aduce la infracción del art. 86.1 CE por no existir una situación de extraordinaria y urgente necesidad que justifique la aprobación de un decreto-ley por parte del Gobierno de la Nación, ni relación de conexión de las concretas medidas adoptadas con esa situación. Por otro lado, se argumenta la vulneración de las competencias asumidas por la Comunidad Autónoma de Andalucía en su Estatuto de Autonomía, aprobado por Ley Orgánica 2/2007, de 19 de marzo (EAAnd), tanto en materia de educación (arts. 52 y 53) como de empleo público (arts. 47.2 y 76.2), por cuanto el Estado se ha excedido en la formulación de la legislación básica que le corresponde dictar en estas materias. A estas dos alegaciones comunes se une la invocación, en relación con algunas de las medidas de reforma en materia de educación superior, de la lesión de la autonomía universitaria (art. 27.10 CE) y de la autonomía financiera [art. 175.2 a) EAAnd]; y asimismo, también respecto al art. 6.4 y la disposición final primera del Real Decreto-ley 14/2012 se denuncia su posible contravención del principio de seguridad jurídica proclamado en el art. 9.3 CE.</w:t>
      </w:r>
    </w:p>
    <w:p w:rsidR="00163957" w:rsidRDefault="00163957" w:rsidP="00163957">
      <w:pPr>
        <w:pStyle w:val="TextoNormal"/>
      </w:pPr>
    </w:p>
    <w:p w:rsidR="00163957" w:rsidRDefault="00163957" w:rsidP="00163957">
      <w:pPr>
        <w:pStyle w:val="TextoNormal"/>
      </w:pPr>
      <w:r>
        <w:lastRenderedPageBreak/>
        <w:t>Por su parte, la Abogada del Estado solicita la desestimación del recurso de inconstitucionalidad en su integridad por considerar, primero, que existía en el momento de aprobarse el Real Decreto-ley una situación de grave crisis económica y de necesidad acuciante de corrección de un abultado déficit público, y que cada una de las medidas contenidas en la disposición legislativa de urgencia estaban orientadas a la consecución de un importante ahorro para las arcas públicas, estimado en más de 3.700 millones de euros en su conjunto. En segundo lugar, sostiene que todas las medidas han sido adoptadas en ejercicio de competencias de titularidad estatal, sin invasión de las que corresponden a la Comunidad Autónoma de Andalucía. Y finalmente, se afirma que las medidas implantadas en el campo de la educación superior respetan, e incluso fortalecen, la autonomía universitaria en nuestro país, sin que tampoco se aprecie vulneración de los principios de autonomía financiera y seguridad jurídica en los preceptos respecto a los que se denuncian estos vicios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2</w:t>
      </w:r>
      <w:r>
        <w:t>. El primer motivo de inconstitucionalidad alegado es el relativo a la vulneración del art. 86.1 CE, lo que exige abordar el examen de la concurrencia del presupuesto habilitante de la extraordinaria y urgente necesidad para la aprobación por el Gobierno de un decreto-ley. Este motivo se presenta argumentado en relación con los arts. 2 y 5, así como con los cuatro primeros apartados del art. 6.</w:t>
      </w:r>
    </w:p>
    <w:p w:rsidR="00163957" w:rsidRDefault="00163957" w:rsidP="00163957">
      <w:pPr>
        <w:pStyle w:val="TextoNormal"/>
      </w:pPr>
    </w:p>
    <w:p w:rsidR="00163957" w:rsidRDefault="00163957" w:rsidP="00163957">
      <w:pPr>
        <w:pStyle w:val="TextoNormal"/>
      </w:pPr>
      <w:r>
        <w:t>Como hemos señalado en ocasiones anteriores (por todas, STC 215/2015, de 22 de octubre, FJ 3), en la medida en que esta pretensión impugnatoria incide directamente sobre la validez de los preceptos impugnados, su examen debe ser prioritario en el orden lógico de nuestro enjuiciamiento, pues, en caso de ser estimada, resultaría innecesario el análisis de las restantes alegaciones formuladas en relación con los cuatro apartados del art. 6, que han sido también impugnados por otros motivos.</w:t>
      </w:r>
    </w:p>
    <w:p w:rsidR="00163957" w:rsidRDefault="00163957" w:rsidP="00163957">
      <w:pPr>
        <w:pStyle w:val="TextoNormal"/>
      </w:pPr>
    </w:p>
    <w:p w:rsidR="00163957" w:rsidRDefault="00163957" w:rsidP="00163957">
      <w:pPr>
        <w:pStyle w:val="TextoNormal"/>
      </w:pPr>
      <w:r>
        <w:t>Antes de comenzar a examinar este motivo de inconstitucionalidad procede advertir que la Letrada de la Junta de Andalucía formula una segunda queja relacionada con la vulneración de los límites materiales derivados del art. 86.1 CE, por cuanto entiende que ciertas medidas exceden del ámbito competencial del Estado. Sin embargo, dados los términos en los que ha sido formulada, esta queja no puede analizarse desde la perspectiva del art. 86.1 CE sino, en su caso, desde la de su adecuación al orden constitucional de distribución de competencias.</w:t>
      </w:r>
    </w:p>
    <w:p w:rsidR="00163957" w:rsidRDefault="00163957" w:rsidP="00163957">
      <w:pPr>
        <w:pStyle w:val="TextoNormal"/>
      </w:pPr>
    </w:p>
    <w:p w:rsidR="00163957" w:rsidRDefault="00163957" w:rsidP="00163957">
      <w:pPr>
        <w:pStyle w:val="TextoNormal"/>
      </w:pPr>
      <w:r>
        <w:t>La doctrina del Tribunal sobre este primer motivo de inconstitucionalidad puede resumirse en los términos siguientes:</w:t>
      </w:r>
    </w:p>
    <w:p w:rsidR="00163957" w:rsidRDefault="00163957" w:rsidP="00163957">
      <w:pPr>
        <w:pStyle w:val="TextoNormal"/>
      </w:pPr>
    </w:p>
    <w:p w:rsidR="00163957" w:rsidRDefault="00163957" w:rsidP="00163957">
      <w:pPr>
        <w:pStyle w:val="TextoNormal"/>
      </w:pPr>
      <w:r>
        <w:t xml:space="preserve">El concepto de extraordinaria y urgente necesidad que se contiene en la Constitución no es, en modo alguno, “una cláusula o expresión vacía de significado dentro de la cual el lógico margen de apreciación política del Gobierno se mueva libremente sin restricción alguna, sino, por el contrario, la constatación de un límite jurídico a la actuación mediante decretos-leyes”, razón por la cual, este Tribunal puede, “en supuestos de uso abusivo o arbitrario, rechazar la definición que los órganos políticos hagan de una situación determinada” (SSTC 100/2012, de 8 de mayo, FJ 8; 237/2012, de 13 de diciembre, FJ 4, y 39/2013, de 14 de febrero, FJ 5). El control de este Tribunal es, pues, un control jurisdiccional </w:t>
      </w:r>
      <w:r w:rsidRPr="00163957">
        <w:rPr>
          <w:i/>
        </w:rPr>
        <w:t>ex post</w:t>
      </w:r>
      <w:r>
        <w:t>, y tiene por misión velar por que el Gobierno no se haya apartado del margen de apre</w:t>
      </w:r>
      <w:r>
        <w:lastRenderedPageBreak/>
        <w:t>ciación concedido por la norma, esto es, que aquél se mantenga dentro del concepto jurídicamente asequible que es la situación de “extraordinaria y urgente necesidad”. Se trata, en definitiva, de un “control externo, en el sentido de que debe verificar, pero no sustituir, el juicio político o de oportunidad que corresponde al Gobierno” (STC 142/2014, de 11 de septiembre, FJ 3, y las que allí se citan). La adecuada fiscalización del recurso al decreto-ley requiere, por consiguiente, que la definición por los órganos políticos de una situación “de extraordinaria y urgente necesidad” sea “explícita y razonada”, del mismo modo que corresponde a este Tribunal constatar la existencia de “una conexión de sentido o relación de adecuación entre la situación definida que constituye el presupuesto habilitante y las medidas que en el decreto-ley se adoptan” (así, desde un principio, STC 29/1982, de 31 de mayo, FJ 3, hasta las más recientes SSTC 96/2014, de 12 de junio, FJ 5, y 183/2014, de 6 de noviembre, FJ 4).</w:t>
      </w:r>
    </w:p>
    <w:p w:rsidR="00163957" w:rsidRDefault="00163957" w:rsidP="00163957">
      <w:pPr>
        <w:pStyle w:val="TextoNormal"/>
      </w:pPr>
    </w:p>
    <w:p w:rsidR="00163957" w:rsidRDefault="00163957" w:rsidP="00163957">
      <w:pPr>
        <w:pStyle w:val="TextoNormal"/>
      </w:pPr>
      <w:r>
        <w:t>En cuanto al primero de estos aspectos —la definición de la situación de urgencia—, nuestra doctrina ha precisado que no es necesario que tal definición expresa de la extraordinaria y urgente necesidad haya de contenerse siempre en el propio Real Decreto-ley, sino que tal presupuesto cabe deducirlo igualmente de una pluralidad de elementos. A este respecto, conviene recordar que el examen de la concurrencia del citado presupuesto habilitante de la “extraordinaria y urgente necesidad” siempre se ha de llevar a cabo mediante la valoración conjunta de todos aquellos factores que determinaron al Gobierno a dictar la disposición legal excepcional y que son, básicamente, los que quedan reflejados en la exposición de motivos de la norma, a lo largo del debate parlamentario de convalidación, y en el propio expediente de elaboración de la misma (SSTC 29/1982, de 31 de mayo, FJ 4; 182/1997, de 28 de octubre, FJ 4; 11/2002, de 17 de enero, FJ 4, y 137/2003, de 3 de julio, FJ 3).</w:t>
      </w:r>
    </w:p>
    <w:p w:rsidR="00163957" w:rsidRDefault="00163957" w:rsidP="00163957">
      <w:pPr>
        <w:pStyle w:val="TextoNormal"/>
      </w:pPr>
    </w:p>
    <w:p w:rsidR="00163957" w:rsidRDefault="00163957" w:rsidP="00163957">
      <w:pPr>
        <w:pStyle w:val="TextoNormal"/>
      </w:pPr>
      <w:r>
        <w:t>Sobre la segunda dimensión del presupuesto habilitante de la legislación de urgencia —conexión de sentido entre la situación de necesidad definida y las medidas que en el Real Decreto-ley se adoptan—, hemos afirmado un doble criterio o perspectiva para valorar su existencia: el contenido, por un lado, y la estructura, por otro, de las disposiciones incluidas en el Real Decreto-ley controvertido. Así, ya en la STC 29/1982, de 31 de mayo, FJ 3, excluimos a este respecto aquellas disposiciones “que, por su contenido y de manera evidente, no guarden relación alguna, directa ni indirecta, con la situación que se trata de afrontar ni, muy especialmente, aquéllas que, por su estructura misma, independientemente de su contenido, no modifican de manera instantánea la situación jurídica existente” (STC 39/2013, de 14 de febrero, FJ 9).</w:t>
      </w:r>
    </w:p>
    <w:p w:rsidR="00163957" w:rsidRDefault="00163957" w:rsidP="00163957">
      <w:pPr>
        <w:pStyle w:val="TextoNormal"/>
      </w:pPr>
    </w:p>
    <w:p w:rsidR="00163957" w:rsidRDefault="00163957" w:rsidP="00163957">
      <w:pPr>
        <w:pStyle w:val="TextoNormal"/>
      </w:pPr>
      <w:r>
        <w:t>Así pues, debemos examinar, en primer lugar, la concurrencia de la situación de urgencia y necesidad que se pretendía afrontar con la aprobación del decreto-ley para, a continuación, caso de resultar procedente, abordar el estudio de las medidas concretamente impugnadas y su conexión de sentido con dicha situación de urgencia y necesidad.</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Por lo que hace a la definición de la concurrencia del presupuesto habilitante, la exposición de motivos de la norma afirma que “en la actual coyuntura económica se hace necesario mejorar la eficiencia de las Administraciones Públicas en el uso de los recursos públicos, con objeto de contribuir a la consecución del inexcusable objetivo de estabilidad presupuestaria derivado del marco constitucional y de la Unión Europea”, señalando que </w:t>
      </w:r>
      <w:r>
        <w:lastRenderedPageBreak/>
        <w:t>“el objetivo común perseguido es proporcionar a las Administraciones educativas un conjunto de instrumentos que permitan conjugar los irrenunciables objetivos de calidad y eficiencia del sistema educativo con el cumplimiento de los objetivos de estabilidad presupuestaria y su ineludible reflejo en la contención del gasto público y en la oferta de empleo público”. Tras exponer el contenido de la norma la exposición de motivos recalca que con las medidas incorporadas en materia de educación en el Real Decreto-ley cuestionado “se trata, en definitiva, de introducir importantes elementos de racionalidad y eficiencia en el sistema educativo, que redundarán en una mejor prestación de este servicio público indispensable. Y se hace a través de medidas encaminadas a la consecución del equilibrio presupuestario”, poniendo de relieve que tales medidas adoptadas “resultan imprescindibles para cumplir con la senda de consolidación fiscal fijada y con el compromiso de reducción de déficit de la Unión Europea, por lo que concurren las circunstancias de extraordinaria y urgente necesidad que exige el artículo 86 de la Constitución Española como premisa para recurrir a este instrumento jurídico”.</w:t>
      </w:r>
    </w:p>
    <w:p w:rsidR="00163957" w:rsidRDefault="00163957" w:rsidP="00163957">
      <w:pPr>
        <w:pStyle w:val="TextoNormal"/>
      </w:pPr>
    </w:p>
    <w:p w:rsidR="00163957" w:rsidRDefault="00163957" w:rsidP="00163957">
      <w:pPr>
        <w:pStyle w:val="TextoNormal"/>
      </w:pPr>
      <w:r>
        <w:t>En el debate parlamentario de convalidación del Real Decreto-ley (“Diario de Sesiones del Congreso” de 17 de mayo de 2012, núm. 31), el Ministro de Educación, Cultura y Deporte indicó que “tal y como recoge la exposición de motivos de esta norma, el Real Decreto-ley tiene por objeto mejorar la eficiencia de la inversión en educación y su gestión y contribuir al inexcusable cumplimiento del objetivo de estabilidad presupuestaria que deriva del marco constitucional y de nuestros compromisos ante la Unión Europea”. También destacó que las medidas contenidas en el Real Decreto-ley 14/2012 están dirigidas a la racionalización del gasto educativo y, siendo que la mayor parte de éste recae sobre las Comunidades Autónomas, se pretende ayudar a éstas “a cumplir con el inexcusable objetivo de tener como máximo un déficit del 1,5 por 100 de su producto interior bruto”, teniendo en cuenta que la parte más importante de la desviación en el déficit del pasado ejercicio correspondió al gasto autonómico, e insistiendo después en que esta medida legislativa de urgencia “es la respuesta excepcional a una serie de desafortunadas circunstancias excepcionales que inciden especialmente sobre las exigencias de consolidación fiscal de las comunidades autónomas”. Igualmente el Ministro indica que “por lo que se refiere al instrumento jurídico utilizado, el real decreto-ley, cabe señalar —creo que esto no requiere excesiva explicación— que las medidas contempladas en este texto resultan absolutamente necesarias para cumplir con los objetivos de consolidación fiscal y reducción del déficit comprometidos ante nuestros socios europeos. Significa, por tanto, que concurren las circunstancias de extraordinaria y urgente necesidad que exige el artículo 86 de la Constitución española”.</w:t>
      </w:r>
    </w:p>
    <w:p w:rsidR="00163957" w:rsidRDefault="00163957" w:rsidP="00163957">
      <w:pPr>
        <w:pStyle w:val="TextoNormal"/>
      </w:pPr>
    </w:p>
    <w:p w:rsidR="00163957" w:rsidRDefault="00163957" w:rsidP="00163957">
      <w:pPr>
        <w:pStyle w:val="TextoNormal"/>
      </w:pPr>
      <w:r>
        <w:t xml:space="preserve">De lo anteriormente expuesto se deduce que el Real Decreto-ley 14/2012 constituye una de las medidas de choque adoptadas por el Gobierno de la Nación para hacer frente a la necesidad perentoria de controlar y reducir el déficit público en un contexto de crisis económica excepcional. De hecho, para la adopción del Real Decreto-ley 14/2012 se invoca por el Gobierno un claro objetivo de política económica general, como es la consolidación fiscal en los términos que impone nuestra pertenencia a la Unión Europea y a la zona euro en particular, lo que obliga a adoptar medidas de racionalizar el gasto en el ámbito educativo. Más en concreto, se trata de facilitar a las Comunidades Autónomas a alcanzar su específico objetivo de déficit público para el ejercicio 2012, situado en el 1,5 por 100 del PIB regional. Tal como consta en la exposición de motivos del Real Decreto-ley, y fue puesto de manifiesto por el Ministro de Educación, Cultura y Deporte en el debate parlamentario </w:t>
      </w:r>
      <w:r>
        <w:lastRenderedPageBreak/>
        <w:t>para la convalidación de aquél, el propósito es proporcionar a las Administraciones educativas instrumentos que ayuden a las Comunidades Autónomas a alcanzar en el ejercicio de sus competencias los objetivos de estabilidad presupuestaria que tienen asignados.</w:t>
      </w:r>
    </w:p>
    <w:p w:rsidR="00163957" w:rsidRDefault="00163957" w:rsidP="00163957">
      <w:pPr>
        <w:pStyle w:val="TextoNormal"/>
      </w:pPr>
    </w:p>
    <w:p w:rsidR="00163957" w:rsidRDefault="00163957" w:rsidP="00163957">
      <w:pPr>
        <w:pStyle w:val="TextoNormal"/>
      </w:pPr>
      <w:r>
        <w:t>Cabe por tanto reconocer que al tiempo de dictarse el Real Decreto-ley 14/2012 es cierto que concurrían en nuestro sistema económico circunstancias de extraordinaria y urgente necesidad para acometer la inmediata corrección del déficit público en el propio ejercicio de 2012, derivadas de nuestros compromisos de consolidación fiscal. Además, frente a lo aducido en el escrito de recurso respecto a la carencia de la nota de imprevisibilidad en la situación a la que trata de dar respuesta el Real Decreto-ley 14/2012 por considerarse que constituye una situación mantenida en el tiempo, hemos de contraponer la doctrina de este Tribunal que considera que “la valoración de la extraordinaria y urgente necesidad de una medida puede ser independiente de su imprevisibilidad e, incluso, de que tenga su origen en la previa inactividad del propio Gobierno siempre que concurra efectivamente la excepcionalidad de la situación, pues lo que aquí debe importar no es tanto la causa de las circunstancias que justifican la legislación de urgencia cuanto el hecho de que tales circunstancias efectivamente concurran” (STC 156/2015, de 9 de julio, FJ 6).</w:t>
      </w:r>
    </w:p>
    <w:p w:rsidR="00163957" w:rsidRDefault="00163957" w:rsidP="00163957">
      <w:pPr>
        <w:pStyle w:val="TextoNormal"/>
      </w:pPr>
    </w:p>
    <w:p w:rsidR="00163957" w:rsidRDefault="00163957" w:rsidP="00163957">
      <w:pPr>
        <w:pStyle w:val="TextoNormal"/>
      </w:pPr>
      <w:r>
        <w:t>En suma, la motivación ofrecida en el preámbulo de la norma y desarrollada por el Ministro en el debate parlamentario de convalidación, permite, por tanto, afirmar que el Gobierno ha justificado de manera suficiente, explícita y razonada la concurrencia de una situación de extraordinaria y urgente necesidad justificativa del recurso a la legislación de urgencia. Se trata, así, de hacer posible el cumplimiento de los objetivos de déficit comprometidos por España y con esta finalidad se adoptan una serie de medidas de racionalización del gasto educativo dirigidas al cumplimiento del mencionado objetivo.</w:t>
      </w:r>
    </w:p>
    <w:p w:rsidR="00163957" w:rsidRDefault="00163957" w:rsidP="00163957">
      <w:pPr>
        <w:pStyle w:val="TextoNormal"/>
      </w:pPr>
    </w:p>
    <w:p w:rsidR="00163957" w:rsidRDefault="00163957" w:rsidP="00163957">
      <w:pPr>
        <w:pStyle w:val="TextoNormal"/>
      </w:pPr>
      <w:r w:rsidRPr="00163957">
        <w:rPr>
          <w:rStyle w:val="NumeroAFNegritaCaracter"/>
        </w:rPr>
        <w:t>4</w:t>
      </w:r>
      <w:r>
        <w:t>. En cuanto a la segunda dimensión del presupuesto habilitante de la legislación de urgencia, esto es, la conexión de sentido entre la situación de necesidad definida y las medidas que en el Real Decreto-ley se adoptan, debemos examinarla en relación a cada uno de los preceptos que han sido impugnados por este motivo. Pero antes resulta pertinente realizar un par de consideraciones previas en atención al campo material sobre el que incide el Real Decreto-ley 14/2012, que es la educación, y que comporta matices especiales para el empleo de esta fórmula legislativa de urgencia.</w:t>
      </w:r>
    </w:p>
    <w:p w:rsidR="00163957" w:rsidRDefault="00163957" w:rsidP="00163957">
      <w:pPr>
        <w:pStyle w:val="TextoNormal"/>
      </w:pPr>
    </w:p>
    <w:p w:rsidR="00163957" w:rsidRDefault="00163957" w:rsidP="00163957">
      <w:pPr>
        <w:pStyle w:val="TextoNormal"/>
      </w:pPr>
      <w:r>
        <w:t xml:space="preserve">La primera deriva del régimen de reparto de competencias en materia de educación, que tiene carácter compartido, como ocurre en muchos otros sectores del ordenamiento jurídico. En efecto, al Estado corresponde dictar sólo la legislación educativa básica, salvo en lo relativo a la ordenación de los títulos académicos y profesionales, en que su competencia es plena (art. 149.1.30 CE). En consecuencia, la mayoría de las medidas que pueda contener un decreto-ley en cuestiones de educación de ordinario estarán necesitadas de un desarrollo, correspondiendo a las Comunidades Autónomas, conforme a sus competencias, adoptar a su vez las medidas de desarrollo y ejecución que sean necesarias (en el presente caso, para concretar el ahorro que se persigue en las partidas de gasto público educativo). Esta circunstancia puede hacer cuestionar la efectividad inmediata de esas medidas y, por tanto, su legitimidad para ser incluidas en un decreto-ley, restringido siempre a situaciones de acción pública urgente. Pero precisamente ese juego de bases/desarrollo que define el reparto de competencias entre Estado y Comunidades Autónomas en educación (y en el régimen del empleo público, que es otra de las materias afectadas por el Real Decreto-ley impugnado), </w:t>
      </w:r>
      <w:r>
        <w:lastRenderedPageBreak/>
        <w:t>es el que permite enfocar de forma apropiada el examen del requisito de la extraordinaria y urgente necesidad. La urgencia está en estos casos no en el impacto material final de la reforma sobre el sistema educativo sino en el propio establecimiento de la normativa estatal a partir de la que las Comunidades Autónomas adopten esas decisiones que les corresponden. El tiempo que requiera la posterior implementación de las medidas, y el desarrollo diverso que las Comunidades Autónomas puedan hacer, no desacreditan en sí la urgencia de la acción estatal, que debe medirse por referencia a la necesidad de actuar del Estado y de ejercer sus propias competencias a la hora de enfrentarse a una determinada situación anormal. Tal como hemos manifestado en la STC 332/2005, de 15 de diciembre, FJ 7 “lo verdaderamente importante, desde el punto de vista constitucional, es que el Decreto-ley produzca una innovación normativa efectiva, y no que el régimen jurídico introducido a través del mismo sea completo o definitivo”. Es más, precisamente porque en estos casos es necesario un desarrollo autonómico urge al Gobierno nacional dictar su normativa básica para que el efecto material final de las medidas se verifique del modo más inmediato posible en el ejercicio presupuestario en curso.</w:t>
      </w:r>
    </w:p>
    <w:p w:rsidR="00163957" w:rsidRDefault="00163957" w:rsidP="00163957">
      <w:pPr>
        <w:pStyle w:val="TextoNormal"/>
      </w:pPr>
    </w:p>
    <w:p w:rsidR="00163957" w:rsidRDefault="00163957" w:rsidP="00163957">
      <w:pPr>
        <w:pStyle w:val="TextoNormal"/>
      </w:pPr>
      <w:r>
        <w:t>La segunda peculiaridad deriva de la estructuración del sistema educativo en cursos académicos, que no coinciden con el año natural, y que marcan el ritmo de las actividades docentes. En consecuencia, las medidas normativas que afectan al sistema educativo con frecuencia sólo tienen efectividad práctica externa con el inicio del siguiente curso académico. Además, dado el carácter complejo de la organización académica y docente de ese sistema educativo, es necesario programar y organizar ese curso con meses de antelación, para hacer posible la matriculación del alumnado y el comienzo material de la actividad docente a su debido tiempo. Por eso, en este campo la urgencia está, al menos cuando se trate de medidas que inciden en el desempeño de la docencia y en la organización de los centros para impartirla, en llegar a tiempo para el comienzo regular del curso académico en las debidas condiciones. Sin olvidar además la necesidad de una actuación complementaria previa por parte de otros operadores jurídicos distintos, las Administraciones educativas, para la plena efectividad de las medidas al comienzo del curso ordinario, que es cuando se manifestarán de forma externa en la sociedad las reformas realizadas con urgencia un tiempo antes.</w:t>
      </w:r>
    </w:p>
    <w:p w:rsidR="00163957" w:rsidRDefault="00163957" w:rsidP="00163957">
      <w:pPr>
        <w:pStyle w:val="TextoNormal"/>
      </w:pPr>
    </w:p>
    <w:p w:rsidR="00163957" w:rsidRDefault="00163957" w:rsidP="00163957">
      <w:pPr>
        <w:pStyle w:val="TextoNormal"/>
      </w:pPr>
      <w:r w:rsidRPr="00163957">
        <w:rPr>
          <w:rStyle w:val="NumeroAFNegritaCaracter"/>
        </w:rPr>
        <w:t>5</w:t>
      </w:r>
      <w:r>
        <w:t>. a) Entrando ya a analizar la medidas cuestionadas, la primera de ellas es el art. 2 del Real Decreto-ley 14/2012. Esta norma flexibiliza, sólo en ciertas circunstancias, el número máximo de alumnos por aula en los centros docentes públicos y concertados, con su consiguiente repercusión en las necesidades globales de profesorado de esos centros. Los límites ordinarios están establecidos en el art. 157.1 de la Ley Orgánica 2/2006, de 3 de mayo, de Educación (LOE), que prohíbe que se supere el número de 25 alumnos por aula en educación primaria y el de 30 alumnos por aula en educación secundaria obligatoria. La flexibilización consiste en la posible ampliación de esos topes en un 20 por 100 por decisión de las Administraciones educativas (por tanto, hasta 30 y 36 alumnos, respectivamente), sólo mientras la Ley de presupuestos generales del Estado, tal como ocurrió en 2012 y ejercicios sucesivos, dispusiera la congelación de la incorporación de personal de nuevo ingreso en las Administraciones públicas o fijara la tasa anual de reposición de efectivos por debajo del 50 por 100.</w:t>
      </w:r>
    </w:p>
    <w:p w:rsidR="00163957" w:rsidRDefault="00163957" w:rsidP="00163957">
      <w:pPr>
        <w:pStyle w:val="TextoNormal"/>
      </w:pPr>
    </w:p>
    <w:p w:rsidR="00163957" w:rsidRDefault="00163957" w:rsidP="00163957">
      <w:pPr>
        <w:pStyle w:val="TextoNormal"/>
      </w:pPr>
      <w:r>
        <w:t xml:space="preserve">La Junta de Andalucía aprecia en este caso vulneración del art. 86.1 CE por el carácter mediato de la medida adoptada, que exige adopción de actos posteriores para su aplicación </w:t>
      </w:r>
      <w:r>
        <w:lastRenderedPageBreak/>
        <w:t>práctica, los cuales tienen además carácter potestativo o voluntario para cada Comunidad Autónoma. Pero siendo ciertas estas características, hay que apreciar, primero, que el impacto directo no debe medirse por referencia a la efectividad final y externa de la reforma adoptada (el aumento concreto de alumnos por aula en los centros sostenidos con fondos públicos), sino por el despliegue inmediato de efectos jurídicos de la regla flexibilizadora en sí misma considerada, que sí se verifican en este caso. A partir de ese momento pueden las Comunidades Autónomas decidir sobre la necesidad de su adopción concreta. Posibilidad que ha de concretarse con antelación suficiente a la programación e inicio del curso académico en el que han de hacerse efectivas. La tramitación de una ley parlamentaria conteniendo esta reforma del número de alumnos por aula habría sido posible, pero sin duda habría culminado su tramitación de manera demasiado próxima al curso académico 2012-2013 en el que se quiere aplicar —si no con éste ya empezado—, con las consiguientes distorsiones organizativas sobrevenidas. Desde otro punto de vista, es claro que la medida, en lo que afecta a la configuración de las plantillas docentes de los centros públicos, guarda relación con los objetivos de racionalización del gasto educativo en un contexto de dificultades económicas que ha justificado el recurso a la legislación de urgencia.</w:t>
      </w:r>
    </w:p>
    <w:p w:rsidR="00163957" w:rsidRDefault="00163957" w:rsidP="00163957">
      <w:pPr>
        <w:pStyle w:val="TextoNormal"/>
      </w:pPr>
    </w:p>
    <w:p w:rsidR="00163957" w:rsidRDefault="00163957" w:rsidP="00163957">
      <w:pPr>
        <w:pStyle w:val="TextoNormal"/>
      </w:pPr>
      <w:r>
        <w:t>Por otro lado, se debe subrayar que la medida adoptada condiciona sus posibilidades de aplicación al mantenimiento de una situación de dificultad derivada de medidas extraordinarias de congelación de la oferta de empleo público y de control de la tasa de reposición de efectivos en las Administraciones públicas. Es decir, se trata de una medida vinculada a una situación extraordinaria o anormal a la que se quiere atender, durante el tiempo en que esas circunstancias se mantengan, y sin voluntad de darle carácter definitivo, pues no se ha reformado el precepto regulador del número de alumnos por aula en la Ley Orgánica de educación (LOE) [el art. 157.1 a)].</w:t>
      </w:r>
    </w:p>
    <w:p w:rsidR="00163957" w:rsidRDefault="00163957" w:rsidP="00163957">
      <w:pPr>
        <w:pStyle w:val="TextoNormal"/>
      </w:pPr>
    </w:p>
    <w:p w:rsidR="00163957" w:rsidRDefault="00163957" w:rsidP="00163957">
      <w:pPr>
        <w:pStyle w:val="TextoNormal"/>
      </w:pPr>
      <w:r>
        <w:t>Cabe por tanto concluir que la modificación introducida por el art. 2 del Real Decreto-ley 14/2012 sobre el régimen de aplicación del art. 157.1 a) LOE no es inconstitucional.</w:t>
      </w:r>
    </w:p>
    <w:p w:rsidR="00163957" w:rsidRDefault="00163957" w:rsidP="00163957">
      <w:pPr>
        <w:pStyle w:val="TextoNormal"/>
      </w:pPr>
    </w:p>
    <w:p w:rsidR="00163957" w:rsidRDefault="00163957" w:rsidP="00163957">
      <w:pPr>
        <w:pStyle w:val="TextoNormal"/>
      </w:pPr>
      <w:r>
        <w:t>b) El art. 5 del Real Decreto-ley recurrido difiere en el tiempo la obligatoria aplicación del nuevo régimen de ordenación de las enseñanzas de formación profesional, contenida en el Real Decreto 1147/2011, de 29 de julio. Inicialmente, la disposición final primera de esta disposición reglamentaria estatal previó la puesta en marcha del nuevo régimen para el curso académico 2012-2013, sin perjuicio de su posible implantación inmediata para el curso anterior, el 2011-2012, por decisión que habrían de tomar las respectivas Administraciones educativas. Sobre estas previsiones, el citado art. 5 del Real Decreto-ley 14/2012 permite posponer hasta dos cursos académicos más la implantación del nuevo régimen de ordenación de las enseñanzas de formación profesional, a excepción del régimen especial de los centros militares que imparten esas enseñanzas para el personal militar. Y al igual que hacía la disposición final primera del Real Decreto 1147/2011, dispone que las Administraciones educativas podrán renunciar a ese aplazamiento y ordenar la implantación de todo o parte del nuevo régimen de estas enseñanzas.</w:t>
      </w:r>
    </w:p>
    <w:p w:rsidR="00163957" w:rsidRDefault="00163957" w:rsidP="00163957">
      <w:pPr>
        <w:pStyle w:val="TextoNormal"/>
      </w:pPr>
    </w:p>
    <w:p w:rsidR="00163957" w:rsidRDefault="00163957" w:rsidP="00163957">
      <w:pPr>
        <w:pStyle w:val="TextoNormal"/>
      </w:pPr>
      <w:r>
        <w:t>La Junta de Andalucía cuestiona el cauce de producción normativa utilizado para proceder a esta modificación, por no acreditarse la concurrencia del presupuesto habilitante para su utilización y, en concreto, por tratarse de una regulación de condiciones futuras, aplazadas dos cursos, que se alejan de la noción de urgencia exigida.</w:t>
      </w:r>
    </w:p>
    <w:p w:rsidR="00163957" w:rsidRDefault="00163957" w:rsidP="00163957">
      <w:pPr>
        <w:pStyle w:val="TextoNormal"/>
      </w:pPr>
    </w:p>
    <w:p w:rsidR="00163957" w:rsidRDefault="00163957" w:rsidP="00163957">
      <w:pPr>
        <w:pStyle w:val="TextoNormal"/>
      </w:pPr>
      <w:r>
        <w:lastRenderedPageBreak/>
        <w:t>A estos efectos, se ha de considerar que, una vez realizado el juicio de oportunidad por parte del Gobierno sobre la decisión de diferir la implantación de los nuevos ciclos de formación profesional y de los gastos que conlleva, la prórroga no sólo debía ser acordada antes del inicio del curso académico 2012-2013, sino además con una antelación suficiente para que la programación de ese curso pudiese ser debidamente realizada. De nuevo, la conexión de sentido no debe valorarse aquí por la efectividad práctica o material de la medida adoptada (que no sería perceptible hasta septiembre de 2012, que es cuando hubieran debido empezar a impartirse los nuevos ciclos), sino en cuanto que la norma produce el efecto inmediato de permitir a las Comunidades Autónomas tomar a su vez las decisiones que les corresponden sobre la impartición de este tipo de enseñanzas. Por otra parte, no puede obviarse que, dado el calado de las reformas que se proponen en las nuevas enseñanzas de formación profesional, su implantación necesariamente conlleva un importante desembolso de gasto público, cuyo aplazamiento, a la vista de las circunstancias económicas ya descritas, pudiera resultar oportuno o conveniente. Por tanto, también desde esta perspectiva, es posible apreciar la existencia de conexión de sentido entre la concreta medida y la situación de urgencia a la que se pretende hacer frente.</w:t>
      </w:r>
    </w:p>
    <w:p w:rsidR="00163957" w:rsidRDefault="00163957" w:rsidP="00163957">
      <w:pPr>
        <w:pStyle w:val="TextoNormal"/>
      </w:pPr>
    </w:p>
    <w:p w:rsidR="00163957" w:rsidRDefault="00163957" w:rsidP="00163957">
      <w:pPr>
        <w:pStyle w:val="TextoNormal"/>
      </w:pPr>
      <w:r>
        <w:t>En definitiva, no se aprecia la inconstitucionalidad de la medida de prórroga adoptada en cuanto a la ausencia de presupuesto habilitante para su adopción mediante Real Decreto-ley.</w:t>
      </w:r>
    </w:p>
    <w:p w:rsidR="00163957" w:rsidRDefault="00163957" w:rsidP="00163957">
      <w:pPr>
        <w:pStyle w:val="TextoNormal"/>
      </w:pPr>
    </w:p>
    <w:p w:rsidR="00163957" w:rsidRDefault="00163957" w:rsidP="00163957">
      <w:pPr>
        <w:pStyle w:val="TextoNormal"/>
      </w:pPr>
      <w:r>
        <w:t>c) Ya en el campo de las reformas de la educación superior, la Junta de Andalucía impugna los apartados 1, 2, 3 y 4 del art. 6 del Real Decreto-ley 14/2012, entre otros motivos, por la falta de presupuesto de extraordinaria y urgente necesidad.</w:t>
      </w:r>
    </w:p>
    <w:p w:rsidR="00163957" w:rsidRDefault="00163957" w:rsidP="00163957">
      <w:pPr>
        <w:pStyle w:val="TextoNormal"/>
      </w:pPr>
    </w:p>
    <w:p w:rsidR="00163957" w:rsidRDefault="00163957" w:rsidP="00163957">
      <w:pPr>
        <w:pStyle w:val="TextoNormal"/>
      </w:pPr>
      <w:r>
        <w:t>Por lo que se refiere al apartado 1, en él se añade un párrafo 2 al art. 7 de la Ley Orgánica 6/2001, de 21 de diciembre, de universidades (en adelante, LOU), precepto este referido a los “Centros y estructuras” de las universidades públicas y en cuyo párrafo primero se indica que éstas “estarán integradas por Escuelas, Facultades, Departamentos, Institutos Universitarios de Investigación, Escuelas de Doctorado y por aquellos otros centros o estructuras necesarios para el desempeño de sus funciones”. Pues bien, en el nuevo párrafo segundo incorporado por la norma impugnada se encomienda al Gobierno la determinación con carácter general de “los requisitos básicos para la creación y, en su caso, mantenimiento de estos centros y estructuras”. Con anterioridad, el art. 4.3 LOU únicamente habilitaba al Gobierno para determinar los requisitos básicos para la creación y reconocimiento “de Universidades”, de modo que, con la introducción del nuevo párrafo segundo del art. 7 LOU, tal habilitación se extiende también a la fijación de los requisitos básicos de los centros y estructuras que integran las universidades públicas. Respecto a esta previsión, la queja de la recurrente se centra en que del propio precepto deriva que la efectividad de la medida requiere la aprobación de norma reglamentaria, lo que denota la carencia de inmediatez en la aplicación que sería exigible en el uso del decreto-ley.</w:t>
      </w:r>
    </w:p>
    <w:p w:rsidR="00163957" w:rsidRDefault="00163957" w:rsidP="00163957">
      <w:pPr>
        <w:pStyle w:val="TextoNormal"/>
      </w:pPr>
    </w:p>
    <w:p w:rsidR="00163957" w:rsidRDefault="00163957" w:rsidP="00163957">
      <w:pPr>
        <w:pStyle w:val="TextoNormal"/>
      </w:pPr>
      <w:r>
        <w:t xml:space="preserve">Por su interrelación, la misma denuncia se extiende al también impugnado apartado 2 del art. 6 del Real Decreto-ley 14/2012, que en íntima conexión con la anterior incorporación, da nueva redacción al art. 8.2 LOU, a los efectos de expresar que la creación, modificación y supresión de las escuelas y facultades de las universidades públicas, así como la implantación y supresión de las enseñanzas conducentes a la obtención de títulos universitarios, se efectuará de conformidad con lo dispuesto, no sólo en el art. 35 LOU, sino ahora también </w:t>
      </w:r>
      <w:r>
        <w:lastRenderedPageBreak/>
        <w:t>en el art. 7 LOU en la nueva redacción dada por el referido Real Decreto-ley, con respeto, por tanto, a los requisitos básicos que resulten de la determinación reglamentaria.</w:t>
      </w:r>
    </w:p>
    <w:p w:rsidR="00163957" w:rsidRDefault="00163957" w:rsidP="00163957">
      <w:pPr>
        <w:pStyle w:val="TextoNormal"/>
      </w:pPr>
    </w:p>
    <w:p w:rsidR="00163957" w:rsidRDefault="00163957" w:rsidP="00163957">
      <w:pPr>
        <w:pStyle w:val="TextoNormal"/>
      </w:pPr>
      <w:r>
        <w:t>La tacha que formula la Junta de Andalucía a ambos preceptos es la misma, la negación de la existencia del presupuesto habilitante, por cuanto la efectividad de la medida precisa de la aprobación de una norma reglamentaria.</w:t>
      </w:r>
    </w:p>
    <w:p w:rsidR="00163957" w:rsidRDefault="00163957" w:rsidP="00163957">
      <w:pPr>
        <w:pStyle w:val="TextoNormal"/>
      </w:pPr>
    </w:p>
    <w:p w:rsidR="00163957" w:rsidRDefault="00163957" w:rsidP="00163957">
      <w:pPr>
        <w:pStyle w:val="TextoNormal"/>
      </w:pPr>
      <w:r>
        <w:t>Esta queja ha de ser estimada. En el caso de los arts. 6.1 y 2, la novedad introducida está constituida por la remisión a un reglamento, previa consulta separada de órganos de participación de las universidades y de las Comunidades Autónomas, para que el Gobierno apruebe los requisitos básicos para la creación, mantenimiento y supresión de estos centros y estructuras. Esta remisión a una norma posterior, que a la vez exige la consulta previa a dos órganos consultivos, impide considerar que se ha cumplido el requisito de la conexión de sentido entre la medida y la situación de urgencia que se pretende atender, en la medida en que la inmediatez de lo que prescribe el Decreto-ley no se puede dar por descontada, pues depende de una actuación ulterior del Gobierno. En este caso la sola habilitación al Gobierno no produce un efecto jurídico inmediato, ya que, a diferencia de las anteriores que ya hemos examinado, no es que la implantación de una medida, en razón del sector material en el que se aplica, vaya a ser progresiva o se difiera en el tiempo, sino que es el propio efecto de modificación del ordenamiento el que no es inmediato, en tanto que diferido a una posterior decisión administrativa. Así, desde la perspectiva de la conexión de sentido con la situación de urgencia (la necesidad de racionalizar el gasto, en esta ocasión, universitario), el ahorro en todo caso se derivaría, no de la habilitación en sí, sino de las concretas previsiones reglamentarias, que, además, el Gobierno podía modificar sin el recurso a la legislación de urgencia (así, Real Decreto 557/1991, de 12 abril, sobre creación y reconocimiento de universidades y centros universitarios). La carencia de este segundo elemento del presupuesto habilitante viene además corroborada por el hecho de que esa habilitación reglamentaria no se ejerció hasta un momento muy posterior (Real Decreto 420/2015, de 29 de mayo, de creación, reconocimiento, autorización y acreditación de universidades y centros universitarios).</w:t>
      </w:r>
    </w:p>
    <w:p w:rsidR="00163957" w:rsidRDefault="00163957" w:rsidP="00163957">
      <w:pPr>
        <w:pStyle w:val="TextoNormal"/>
      </w:pPr>
    </w:p>
    <w:p w:rsidR="00163957" w:rsidRDefault="00163957" w:rsidP="00163957">
      <w:pPr>
        <w:pStyle w:val="TextoNormal"/>
      </w:pPr>
      <w:r>
        <w:t>Consecuentemente, los arts. 6.1 y 2 del Real Decreto-ley 14/2012 vulneran el art. 86.1 CE y son, por tanto, inconstitucionales y nulos.</w:t>
      </w:r>
    </w:p>
    <w:p w:rsidR="00163957" w:rsidRDefault="00163957" w:rsidP="00163957">
      <w:pPr>
        <w:pStyle w:val="TextoNormal"/>
      </w:pPr>
    </w:p>
    <w:p w:rsidR="00163957" w:rsidRDefault="00163957" w:rsidP="00163957">
      <w:pPr>
        <w:pStyle w:val="TextoNormal"/>
      </w:pPr>
      <w:r>
        <w:t xml:space="preserve">Por su parte, el apartado 3 del art. 6 del Real Decreto-ley 14/2012 modifica el tenor del art. 30 </w:t>
      </w:r>
      <w:r w:rsidRPr="00163957">
        <w:rPr>
          <w:i/>
        </w:rPr>
        <w:t>bis</w:t>
      </w:r>
      <w:r>
        <w:t xml:space="preserve"> LOU, al objeto de disponer que las universidades podrán cooperar entre ellas, con organismos públicos de investigación, con empresas y con otros agentes del sistema español de ciencia, tecnología e innovación o pertenecientes a otros países, mediante la creación de alianzas estratégicas que permitan desarrollar conjuntamente, no sólo programas y proyectos de excelencia internacional —como disponía la anterior redacción del precepto—, sino también enseñanzas conducentes a la obtención de títulos universitarios de carácter oficial y validez en todo el territorio nacional —posibilidad esta última que el art. 3.4 del Real Decreto 1393/2007 preveía entre universidades respecto a la obtención de títulos únicos o conjuntos— y que el Real Decreto-ley 14/2012 no sólo eleva a rango de ley, sino que la extiende a la cooperación de las universidades con otros organismos y agentes distintos, con los que también quedan habilitadas para desarrollar de manera conjunta enseñanzas dirigidas a la obtención de títulos universitarios.</w:t>
      </w:r>
    </w:p>
    <w:p w:rsidR="00163957" w:rsidRDefault="00163957" w:rsidP="00163957">
      <w:pPr>
        <w:pStyle w:val="TextoNormal"/>
      </w:pPr>
    </w:p>
    <w:p w:rsidR="00163957" w:rsidRDefault="00163957" w:rsidP="00163957">
      <w:pPr>
        <w:pStyle w:val="TextoNormal"/>
      </w:pPr>
      <w:r>
        <w:lastRenderedPageBreak/>
        <w:t xml:space="preserve">En el caso del art. 6.3 los cambios introducidos se concretan en el reconocimiento a las Universidades de la posibilidad de crear alianzas estratégicas, no solo para programas o proyectos de excelencia internacional (ya previstos en el art. 30 </w:t>
      </w:r>
      <w:r w:rsidRPr="00163957">
        <w:rPr>
          <w:i/>
        </w:rPr>
        <w:t>bis</w:t>
      </w:r>
      <w:r>
        <w:t xml:space="preserve"> LOU originario), sino también para desarrollar conjuntamente enseñanzas conducentes a la obtención de títulos universitarios de carácter oficial. Siendo ese su objeto material, tampoco ha quedado justificada la conexión de sentido con la extraordinaria y urgente necesidad del art. 86.1 CE. El precepto, en cuanto introduce una mera posibilidad de actuación que depende de la voluntad de los sujetos legitimados, no tiene contenido prescriptivo de manera que no modifica de manera instantánea la situación jurídica existente. Tampoco introduce ninguna obligación de cooperación, que, como no podía ser de otro modo, queda a voluntad de las partes que pueden cooperar, cuando lo estimen oportuno, ni tampoco introduce criterio alguno del que sea posible inferir que el desarrollo conjunto de tales enseñanzas vaya a producir un efecto de racionalización del gasto en la educación universitaria, objetivo último perseguido por la totalidad del Real Decreto-ley 14/2012. Consiguientemente, desde otro punto de vista, el precepto podría ser tramitado por la vía legislativa ordinaria, sin que su demora produjera un efecto negativo.</w:t>
      </w:r>
    </w:p>
    <w:p w:rsidR="00163957" w:rsidRDefault="00163957" w:rsidP="00163957">
      <w:pPr>
        <w:pStyle w:val="TextoNormal"/>
      </w:pPr>
    </w:p>
    <w:p w:rsidR="00163957" w:rsidRDefault="00163957" w:rsidP="00163957">
      <w:pPr>
        <w:pStyle w:val="TextoNormal"/>
      </w:pPr>
      <w:r>
        <w:t>Por tanto, por una parte, el precepto no incluye ninguna medida de carácter inmediato, ya que para ser efectivo depende de la voluntad cooperadora de las universidades entre sí o de estas con otros agentes. Y, por otra, tampoco ni en la exposición de motivos ni en el debate de convalidación se aporta razón alguna acerca de la relación que tiene esta medida con el ahorro de gasto mediante la racionalización de las titulaciones de grado. Ambas circunstancias determinan que deban entenderse vulnerados los límites previstos en el artículo 86.1 CE y que el precepto sea inconstitucional y nulo.</w:t>
      </w:r>
    </w:p>
    <w:p w:rsidR="00163957" w:rsidRDefault="00163957" w:rsidP="00163957">
      <w:pPr>
        <w:pStyle w:val="TextoNormal"/>
      </w:pPr>
    </w:p>
    <w:p w:rsidR="00163957" w:rsidRDefault="00163957" w:rsidP="00163957">
      <w:pPr>
        <w:pStyle w:val="TextoNormal"/>
      </w:pPr>
      <w:r>
        <w:t>La Junta de Andalucía también reprocha al art. 6.4 que carece del presupuesto habilitante constitucionalmente exigido. Este precepto reforma de manera sustancial el art. 68 LOU relativo al régimen de dedicación docente de los profesores universitarios de categoría funcionarial. La reforma pretende modular la carga docente de este profesorado, en función de los méritos individuales de investigación que se acrediten (medidos en sexenios de investigación reconocidos), de manera que a una mayor dedicación investigadora corresponda una menor dedicación docente, y viceversa.</w:t>
      </w:r>
    </w:p>
    <w:p w:rsidR="00163957" w:rsidRDefault="00163957" w:rsidP="00163957">
      <w:pPr>
        <w:pStyle w:val="TextoNormal"/>
      </w:pPr>
    </w:p>
    <w:p w:rsidR="00163957" w:rsidRDefault="00163957" w:rsidP="00163957">
      <w:pPr>
        <w:pStyle w:val="TextoNormal"/>
      </w:pPr>
      <w:r>
        <w:t xml:space="preserve">En este caso la conexión de sentido entre la situación de urgencia definida y la medida adoptada puede considerarse cumplida. Con esta medida se pretende contribuir a la reducción del gasto público educativo de las Comunidades Autónomas, en el que uno de los principales componentes son los costes de personal de las universidades públicas, sufragados mediante transferencias corrientes de la Comunidad Autónoma de la que dependen. Así, la aplicación de las nuevas reglas de dedicación determinaría un incremento de la capacidad docente total de las plantillas de las universidades y, por consiguiente, reduciría las necesidades de profesorado de las mismas. Todo ello además en un contexto de fuerte crisis económica en el que las Administraciones y entes públicos, incluyendo a las universidades públicas, han estado sometidas a severas medidas generales de contención y reducción de plantillas. Por otra parte, la medida tiene efecto jurídico inmediato pese a que su efectividad se vincule a las necesidades de la programación universitaria, ya que la puesta en práctica de las nuevas reglas sólo podría alcanzarse al inicio del curso académico siguiente, el 2012-2013, pero para ello era necesario que la reforma estuviese aprobada al tiempo de prepararse la programación docente de las universidades. Por tanto, hemos de concluir que el art. 6.4 </w:t>
      </w:r>
      <w:r>
        <w:lastRenderedPageBreak/>
        <w:t>del Real Decreto-ley 14/2012 no carece del necesario presupuesto habilitante del art. 86.1 CE para ser dictado.</w:t>
      </w:r>
    </w:p>
    <w:p w:rsidR="00163957" w:rsidRDefault="00163957" w:rsidP="00163957">
      <w:pPr>
        <w:pStyle w:val="TextoNormal"/>
      </w:pPr>
    </w:p>
    <w:p w:rsidR="00163957" w:rsidRDefault="00163957" w:rsidP="00163957">
      <w:pPr>
        <w:pStyle w:val="TextoNormal"/>
      </w:pPr>
      <w:r w:rsidRPr="00163957">
        <w:rPr>
          <w:rStyle w:val="NumeroAFNegritaCaracter"/>
        </w:rPr>
        <w:t>6</w:t>
      </w:r>
      <w:r>
        <w:t>. Resueltas las cuestiones atinentes al empleo por el Gobierno del procedimiento legislativo de urgencia, procede acometer el examen de las restantes alegaciones relacionadas, fundamentalmente, con la falta de competencia estatal para la adopción de distintas medidas contenidas en el Real Decreto-ley 14/2012. Por razones competenciales se impugnan los arts. 3; 4; 6, apartados 1, 2 y 4, al que también se le imputan otras infracciones constitucionales, y 7.1, si bien este último por vulnerar la autonomía financiera de la Comunidad Autónoma, así como la disposición final primera.</w:t>
      </w:r>
    </w:p>
    <w:p w:rsidR="00163957" w:rsidRDefault="00163957" w:rsidP="00163957">
      <w:pPr>
        <w:pStyle w:val="TextoNormal"/>
      </w:pPr>
    </w:p>
    <w:p w:rsidR="00163957" w:rsidRDefault="00163957" w:rsidP="00163957">
      <w:pPr>
        <w:pStyle w:val="TextoNormal"/>
      </w:pPr>
      <w:r>
        <w:t>Analizaremos ahora las impugnaciones de los arts. 3, 4 y 6.4, pues no procede examinar las que se formulan a los apartados 1 y 2, en cuanto que estos preceptos ya han sido expulsados del ordenamiento por vulnerar el art. 86.1 CE. Dejaremos para un momento posterior el examen del art. 7.1, que ha sido impugnado por una razón diferente. No procede, por último, enjuiciar la disposición final primera, pues se cuestiona en la medida en que enuncia los títulos competenciales que habilitan al Estado para establecer los preceptos recurridos del Real Decreto-ley 14/2012, con lo que su impugnación quedará resuelta en consonancia con las conclusiones alcanzadas en el examen de aquellos.</w:t>
      </w:r>
    </w:p>
    <w:p w:rsidR="00163957" w:rsidRDefault="00163957" w:rsidP="00163957">
      <w:pPr>
        <w:pStyle w:val="TextoNormal"/>
      </w:pPr>
    </w:p>
    <w:p w:rsidR="00163957" w:rsidRDefault="00163957" w:rsidP="00163957">
      <w:pPr>
        <w:pStyle w:val="TextoNormal"/>
      </w:pPr>
      <w:r>
        <w:t>Tratándose de una controversia competencial hemos de comenzar encuadrando estas tres disposiciones impugnadas, atendiendo a su sentido y finalidad, en la materia que les sea propia, para determinar si los títulos estatales sobre dicha materia les proporcionan el necesario fundamento competencial.</w:t>
      </w:r>
    </w:p>
    <w:p w:rsidR="00163957" w:rsidRDefault="00163957" w:rsidP="00163957">
      <w:pPr>
        <w:pStyle w:val="TextoNormal"/>
      </w:pPr>
    </w:p>
    <w:p w:rsidR="00163957" w:rsidRDefault="00163957" w:rsidP="00163957">
      <w:pPr>
        <w:pStyle w:val="TextoNormal"/>
      </w:pPr>
      <w:r>
        <w:t>La disposición final primera del Real Decreto-ley 14/2012 atribuye a la totalidad de la norma el carácter de legislación básica y la afirma dictada al amparo de las competencias estatales de los apartados 1, 13, 18 y 30 del art. 149.1 CE. Esta falta de claridad del legislador estatal respecto a la identificación del título competencial habilitante de la regulación establecida en cada precepto, que hubiera resultado oportuno haber evitado con vistas a dotar a la normativa básica del necesario rigor formal (STC 141/2014, de 11 de septiembre, FJ 3), obliga a este Tribunal a identificar finalmente el título competencial concreto que ofrezca —cuando proceda— cobertura al precepto impugnado.</w:t>
      </w:r>
    </w:p>
    <w:p w:rsidR="00163957" w:rsidRDefault="00163957" w:rsidP="00163957">
      <w:pPr>
        <w:pStyle w:val="TextoNormal"/>
      </w:pPr>
    </w:p>
    <w:p w:rsidR="00163957" w:rsidRDefault="00163957" w:rsidP="00163957">
      <w:pPr>
        <w:pStyle w:val="TextoNormal"/>
      </w:pPr>
      <w:r>
        <w:t>A estos efectos, hay que tener en cuenta que, de acuerdo con nuestra doctrina, ante la posible concurrencia de dos títulos competenciales del Estado procede, en principio, identificar un título prevalente que, por regla general, es el más específico. No obstante, tampoco cabe descartar, pues así lo hemos admitido ocasionalmente (entre otras, SSTC 81/2012, de 18 de abril, y 120/2012, de 5 de junio), que, en función de la naturaleza de los títulos concurrentes o del contenido de la regulación, quepa entender que diversos títulos competenciales confluyen o incluso se solapan y son, por tanto, indistinta o simultáneamente invocables por el Estado.</w:t>
      </w:r>
    </w:p>
    <w:p w:rsidR="00163957" w:rsidRDefault="00163957" w:rsidP="00163957">
      <w:pPr>
        <w:pStyle w:val="TextoNormal"/>
      </w:pPr>
    </w:p>
    <w:p w:rsidR="00163957" w:rsidRDefault="00163957" w:rsidP="00163957">
      <w:pPr>
        <w:pStyle w:val="TextoNormal"/>
      </w:pPr>
      <w:r>
        <w:t>a) Con arreglo a tales premisas examinaremos primero los arts. 3 y 4, en cuanto que se refieren a cuestiones relacionadas con la educación no universitaria, y posteriormente nos referiremos al art. 6.4.</w:t>
      </w:r>
    </w:p>
    <w:p w:rsidR="00163957" w:rsidRDefault="00163957" w:rsidP="00163957">
      <w:pPr>
        <w:pStyle w:val="TextoNormal"/>
      </w:pPr>
    </w:p>
    <w:p w:rsidR="00163957" w:rsidRDefault="00163957" w:rsidP="00163957">
      <w:pPr>
        <w:pStyle w:val="TextoNormal"/>
      </w:pPr>
      <w:r>
        <w:lastRenderedPageBreak/>
        <w:t>Las medidas introducidas en estos dos preceptos —fijación de un horario mínimo lectivo para el profesorado, el régimen de compensación con horas complementarias y la vinculación del nombramiento de personal interino o sustituto a que las ausencias superen los diez días lectivos— son cuestiones que afectan a la ordenación del servicio público educativo. Es cierto que las mismas se integran en un conjunto más amplio de medidas que persiguen un objetivo común, que es la contención del gasto en el ámbito educativo, objetivo que podría llevar a concluir que la índole de la norma adoptada es de naturaleza económica, en el sentido de que su finalidad fundamental es contribuir al objetivo macroeconómico de contención y reducción del gasto público, asumido por el Gobierno como una prioridad política. No obstante, siendo indiscutible que el Estado puede perseguir dicha finalidad, el que la aplicación de un conjunto de medidas vaya o pueda producir un ahorro económico no es, por sí sólo, argumento suficiente para que puedan ser entendidas como “bases y coordinación de la planificación de la actividad económica”, a las que se refiere el artículo 149.1.13 CE (en el mismo sentido, STC 156/2015, de 9 de julio, FJ 8). Ello, sin perjuicio de que tanto el Estado como las Comunidades Autónomas puedan adoptar diferentes medidas de ahorro o de crecimiento dentro de las competencias sectoriales respectivas. De este modo, las medidas estatales que hayan de adoptarse para conseguir la finalidad de contención del gasto público deberán ser encuadradas en función, no de su finalidad, sino de su concreto contenido material que, en el caso, está, evidentemente relacionado con la educación, con lo que los títulos estatales a considerar son el art. 149.1.30 CE y, complementariamente, el art. 149.1.18 CE, en lo que respecta a la función pública docente, ambos más específicos que el genérico del art. 149.1.13 CE. Así, debemos descartar la aplicación en este caso del citado título, así como también la del art. 149.1.1 CE, igualmente invocado en la disposición final primera, pues al tratarse de una cuestión relacionada con el ámbito educativo este título, queda, dado su carácter genérico, desplazado por el más específico en razón de la materia.</w:t>
      </w:r>
    </w:p>
    <w:p w:rsidR="00163957" w:rsidRDefault="00163957" w:rsidP="00163957">
      <w:pPr>
        <w:pStyle w:val="TextoNormal"/>
      </w:pPr>
    </w:p>
    <w:p w:rsidR="00163957" w:rsidRDefault="00163957" w:rsidP="00163957">
      <w:pPr>
        <w:pStyle w:val="TextoNormal"/>
      </w:pPr>
      <w:r>
        <w:t>En relación con el alcance del art. 149.1.30 CE baste ahora con remitirse al fundamento jurídico 3 de la STC 184/2012 en la que sintetizamos nuestra doctrina tanto respecto a las competencias estatales en materia de educación, en su doble contenido relativo a la competencia exclusiva para la “[r]egulación de las condiciones de obtención, expedición y homologación de títulos académicos y profesionales”, y a la competencia sobre las “normas básicas para el desarrollo del artículo 27 de la Constitución, a fin de garantizar el cumplimiento de las obligaciones de los poderes públicos en esta materia”, así como a las exigencias materiales y formales que ha de cumplir la normativa básica dictada en el ejercicio de la última competencia citada. Por lo que al art. 149.1.18 CE respecta la STC 213/2013, de 19 de diciembre, FFJJ 3 y 4, analiza las competencias estatales en materia de función pública docente en unos términos que procede dar ahora por reproducidos.</w:t>
      </w:r>
    </w:p>
    <w:p w:rsidR="00163957" w:rsidRDefault="00163957" w:rsidP="00163957">
      <w:pPr>
        <w:pStyle w:val="TextoNormal"/>
      </w:pPr>
    </w:p>
    <w:p w:rsidR="00163957" w:rsidRDefault="00163957" w:rsidP="00163957">
      <w:pPr>
        <w:pStyle w:val="TextoNormal"/>
      </w:pPr>
      <w:r>
        <w:t xml:space="preserve">b) Conforme a lo expuesto podemos ya comenzar el examen del art. 3 del Real Decreto-ley 14/2012. Este precepto, referido a la educación no universitaria y que consta de dos apartados, afecta a la regulación de la jornada lectiva del profesorado que imparte las enseñanzas contempladas en la Ley Orgánica de educación en centros públicos y privados sostenidos con fondos públicos, respecto al que se establece un mínimo y un máximo en dicha jornada. Concretamente, fija el número mínimo de horas de clase a impartir por el personal docente, que será de 20 horas con carácter general, y de 25 horas para los estadios iniciales (educación infantil y primaria). Y en segundo lugar, limita a una hora por periodo lectivo la </w:t>
      </w:r>
      <w:r>
        <w:lastRenderedPageBreak/>
        <w:t>compensación máxima a reconocer al profesorado con horas complementarias cuando excedan la carga lectiva prevista, y siempre a partir de los mínimos aludidos de 20 y 25 horas según el nivel de enseñanza.</w:t>
      </w:r>
    </w:p>
    <w:p w:rsidR="00163957" w:rsidRDefault="00163957" w:rsidP="00163957">
      <w:pPr>
        <w:pStyle w:val="TextoNormal"/>
      </w:pPr>
    </w:p>
    <w:p w:rsidR="00163957" w:rsidRDefault="00163957" w:rsidP="00163957">
      <w:pPr>
        <w:pStyle w:val="TextoNormal"/>
      </w:pPr>
      <w:r>
        <w:t>El objetivo propio de la norma es fijar un número mínimo de horas de dedicación lectiva del personal docente, por lo que, conforme a su contenido, afecta a la enseñanza no universitaria y, subsidiaria y parcialmente, a la función pública docente, en cuanto aplicable a los centros públicos.</w:t>
      </w:r>
    </w:p>
    <w:p w:rsidR="00163957" w:rsidRDefault="00163957" w:rsidP="00163957">
      <w:pPr>
        <w:pStyle w:val="TextoNormal"/>
      </w:pPr>
    </w:p>
    <w:p w:rsidR="00163957" w:rsidRDefault="00163957" w:rsidP="00163957">
      <w:pPr>
        <w:pStyle w:val="TextoNormal"/>
      </w:pPr>
      <w:r>
        <w:t>Por su contenido se trata de una cuestión que persigue garantizar el derecho a la educación en su dimensión prestacional. La norma se refiere tanto a los centros públicos como a los centros privados sostenidos con fondos públicos, de acuerdo con la clasificación del artículo 108 LOE y fija un criterio de coordinación que el Estado puede establecer en ejercicio de sus competencias básicas en materia de educación, pues la coordinación es una facultad que guarda estrecha conexión con las competencias normativas, de modo que el titular de estas últimas ostenta aquella facultad como complemento inherente (STC 194/2004, de 4 de noviembre, FJ 8) encontrándose ínsita en toda competencia básica (STC 81/2005, de 6 de abril, FJ 10).</w:t>
      </w:r>
    </w:p>
    <w:p w:rsidR="00163957" w:rsidRDefault="00163957" w:rsidP="00163957">
      <w:pPr>
        <w:pStyle w:val="TextoNormal"/>
      </w:pPr>
    </w:p>
    <w:p w:rsidR="00163957" w:rsidRDefault="00163957" w:rsidP="00163957">
      <w:pPr>
        <w:pStyle w:val="TextoNormal"/>
      </w:pPr>
      <w:r>
        <w:t>En tanto servicio público, la educación es una actividad prestacional en cuya regulación ha de atenderse, entre otros factores, a los recursos existentes y a las pautas constitucionales orientadoras del gasto público (SSTC 86/1985, de 10 de julio, FJ 3; 155/2015, de 9 de julio, FJ 5). De este modo, en virtud del art. 149.1.30 CE y previa atención a tales principios, dentro del orden competencial corresponde al legislador estatal establecer la normativa básica sobre el alcance prestacional de la educación financiada con cargo a fondos públicos y las medidas para hacerlo efectivo. Pues bien, por lo que ahora interesa, cabe considerar que una de esas previsiones básicas dirigidas a definir y hacer efectivo el nivel prestacional financiado con fondos públicos en el ámbito de la enseñanza es la determinación cuantitativa de las horas lectivas que, conforme al cuestionado art. 3, debe impartir el personal docente, en garantía, según indica el Preámbulo del Real Decreto-ley 14/2012, “del cumplimiento de los objetivos, competencias básicas y contenidos de las distintas enseñanzas”.</w:t>
      </w:r>
    </w:p>
    <w:p w:rsidR="00163957" w:rsidRDefault="00163957" w:rsidP="00163957">
      <w:pPr>
        <w:pStyle w:val="TextoNormal"/>
      </w:pPr>
    </w:p>
    <w:p w:rsidR="00163957" w:rsidRDefault="00163957" w:rsidP="00163957">
      <w:pPr>
        <w:pStyle w:val="TextoNormal"/>
      </w:pPr>
      <w:r>
        <w:t xml:space="preserve">Consiguientemente, la regulación de la dedicación del profesorado a la docencia en términos cuantitativos en los centros públicos y privados concertados no resulta ajena a las competencias estatales </w:t>
      </w:r>
      <w:r w:rsidRPr="00163957">
        <w:rPr>
          <w:i/>
        </w:rPr>
        <w:t>ex</w:t>
      </w:r>
      <w:r>
        <w:t xml:space="preserve"> art. 149.1.30 CE. En este sentido no cabe olvidar que el sistema educativo es único en todo el territorio nacional, lo que puede reclamar, al tratarse de centros sostenidos con fondos públicos, un tratamiento mínimamente homogéneo de una cuestión como el ejercicio de la tarea docente dentro de la jornada laboral del profesorado. Se trata de una medida que tiene por finalidad garantizar el cumplimiento de las obligaciones de los poderes públicos en una materia de competencia compartida como la educación que ha de desarrollarse en el marco básico que establezca el Estado, al que corresponde definir los contornos en los que esta actividad debe llevarse a cabo. Supone así un mínimo común denominador normativo en materia de programación docente que además garantiza una continuidad en el proceso de aprendizaje de los alumnos, proceso para el que el régimen de dedicación del profesorado, en la medida en que incide sobre la atención a aquellos, no resulta inocuo o indiferente.</w:t>
      </w:r>
    </w:p>
    <w:p w:rsidR="00163957" w:rsidRDefault="00163957" w:rsidP="00163957">
      <w:pPr>
        <w:pStyle w:val="TextoNormal"/>
      </w:pPr>
    </w:p>
    <w:p w:rsidR="00163957" w:rsidRDefault="00163957" w:rsidP="00163957">
      <w:pPr>
        <w:pStyle w:val="TextoNormal"/>
      </w:pPr>
      <w:r>
        <w:lastRenderedPageBreak/>
        <w:t xml:space="preserve">Pero además, para el caso específico de los profesores con la condición de funcionarios públicos, el legislador estatal se encuentra legitimado para dictar la previsión controvertida en virtud del título competencial </w:t>
      </w:r>
      <w:r w:rsidRPr="00163957">
        <w:rPr>
          <w:i/>
        </w:rPr>
        <w:t>ex</w:t>
      </w:r>
      <w:r>
        <w:t xml:space="preserve"> art. 149.1.18 CE. Con relación al art. 149.1.18 CE, la jurisprudencia constitucional ha declarado que la competencia del Estado para establecer las bases del régimen estatutario de los funcionarios públicos de todas las Administraciones públicas incluye, en principio, la normación relativa “a los derechos y deberes y responsabilidad de los funcionarios” (por todas, STC 165/2013, de 26 de septiembre, FJ 13). Pues bien, no cabe duda de que la fijación de la jornada de trabajo constituye una previsión integrada en la esfera “de los derechos y deberes” de los funcionarios (STC 163/2012, de 20 de septiembre, FFJJ 6 y 9). Y en el caso del personal docente, lo mismo cabe decir respecto a la determinación de la parte lectiva de dicha jornada —incluido el aspecto relativo a la compensación con horas complementarias—, cuya regulación como legislación estatal básica se justifica en tanto a través de esta medida se establece para los profesores funcionarios que imparten enseñanzas reguladas en la Ley Orgánica de educación un régimen común de dedicación a la labor docente con el que se logra una mínima y fundamental homogeneidad en un aspecto sustancial de su régimen funcionarial, máxime si, como ya declaró la STC 213/2013, se trata de funcionarios de ámbito estatal que pueden prestar servicio en cualquier parte del sistema educativo.</w:t>
      </w:r>
    </w:p>
    <w:p w:rsidR="00163957" w:rsidRDefault="00163957" w:rsidP="00163957">
      <w:pPr>
        <w:pStyle w:val="TextoNormal"/>
      </w:pPr>
    </w:p>
    <w:p w:rsidR="00163957" w:rsidRDefault="00163957" w:rsidP="00163957">
      <w:pPr>
        <w:pStyle w:val="TextoNormal"/>
      </w:pPr>
      <w:r>
        <w:t>Además, la norma cuestionada no deja a las Comunidades Autónomas sin margen de desarrollo respecto a la parte lectiva de la jornada del personal docente. El art. 3 del Real Decreto-ley 14/2012 limita, aunque no elimina, las competencias de la Comunidad Autónoma para determinar la jornada lectiva. Esas competencias podrán seguir ejerciéndose, pero respetando los límites mínimos establecidos por el Real Decreto-ley 14/2012. El precepto fija como “mínimo” el número de horas de clase semanales para el profesorado no universitario en todo el territorio nacional y como “máximo” el régimen de compensación con horas complementarias, al que exclusivamente se refiere en cuanto a su aspecto cuantitativo. Ese carácter mínimo de la regla establecida (o de máximo, en el caso de las horas complementarias con que se compensa el posible exceso lectivo), así como el margen de organización y concreción del total de la dedicación del profesor, cuya carga lectiva podría incluso aumentarse, permiten apreciar que el precepto cuestionado no cierra a las Comunidades Autónomas toda posibilidad de desarrollo y aplicación de la normativa básica sobre la materia.</w:t>
      </w:r>
    </w:p>
    <w:p w:rsidR="00163957" w:rsidRDefault="00163957" w:rsidP="00163957">
      <w:pPr>
        <w:pStyle w:val="TextoNormal"/>
      </w:pPr>
    </w:p>
    <w:p w:rsidR="00163957" w:rsidRDefault="00163957" w:rsidP="00163957">
      <w:pPr>
        <w:pStyle w:val="TextoNormal"/>
      </w:pPr>
      <w:r>
        <w:t>En definitiva, los apartados 1 y 2 del art. 3 del Real Decreto-ley 14/2012 no son inconstitucionales.</w:t>
      </w:r>
    </w:p>
    <w:p w:rsidR="00163957" w:rsidRDefault="00163957" w:rsidP="00163957">
      <w:pPr>
        <w:pStyle w:val="TextoNormal"/>
      </w:pPr>
    </w:p>
    <w:p w:rsidR="00163957" w:rsidRDefault="00163957" w:rsidP="00163957">
      <w:pPr>
        <w:pStyle w:val="TextoNormal"/>
      </w:pPr>
      <w:r>
        <w:t>c) El art. 4 del Real Decreto-ley 14/2012, sobre el régimen de sustitución de profesores en las enseñanzas no universitarias, introduce una limitación temporal para el empleo de la técnica de nombramiento de profesores interinos para la sustitución transitoria de profesores, que sólo será aplicable en caso de ausencias superiores a diez días lectivos. De manera que los centros docentes sostenidos con fondos públicos deberán atender con su propia plantilla, sin posibilidad de contratación adicional de personal, todo tipo de bajas laborales, permisos, licencias o supuestos análogos de duración inferior a diez días. Este precepto ha sido modificado por la disposición final 15 de Ley 48/2015, de 29 de octubre, de presupuestos generales del Estado para el año 2016, si bien la modificación no hace desaparecer el objeto de la controversia, en la medida en que la misma se centra en la falta de competencia del Estado para dictar la regulación en cuestión.</w:t>
      </w:r>
    </w:p>
    <w:p w:rsidR="00163957" w:rsidRDefault="00163957" w:rsidP="00163957">
      <w:pPr>
        <w:pStyle w:val="TextoNormal"/>
      </w:pPr>
    </w:p>
    <w:p w:rsidR="00163957" w:rsidRDefault="00163957" w:rsidP="00163957">
      <w:pPr>
        <w:pStyle w:val="TextoNormal"/>
      </w:pPr>
      <w:r>
        <w:t>La Junta de Andalucía sostiene que esta prescripción colisiona con la norma autonómica reguladora del régimen de sustituciones del profesorado, dictada en el ejercicio de las competencias que a aquélla corresponden y contenida en la Orden de la Consejería de Educación de 8 de septiembre de 2010. Es evidente, en todo caso, que la eventual contradicción con esta disposición reglamentaria no es la cuestión que procede analizar aquí pues la misma no puede ser parámetro de constitucionalidad de la norma estatal, sino que lo que debemos determinar es si el Estado, en uso de sus competencias, puede imponer una duración mínima de las situaciones de ausencia del profesorado para proceder a su sustitución.</w:t>
      </w:r>
    </w:p>
    <w:p w:rsidR="00163957" w:rsidRDefault="00163957" w:rsidP="00163957">
      <w:pPr>
        <w:pStyle w:val="TextoNormal"/>
      </w:pPr>
    </w:p>
    <w:p w:rsidR="00163957" w:rsidRDefault="00163957" w:rsidP="00163957">
      <w:pPr>
        <w:pStyle w:val="TextoNormal"/>
      </w:pPr>
      <w:r>
        <w:t>A efectos competenciales, el legislador estatal ha querido establecer una norma que tiene por objeto regular el proceso de sustituciones docentes por parte de los centros públicos y privados sostenidos con fondos públicos, regulación que, afectando al funcionamiento de dichos centros, repercute en la contratación de profesorado interino, y, por tanto, en la prestación del servicio público educativo por su relación con la impartición de docencia. La norma, en tanto que relativa a situaciones de vacío temporal en la impartición de docencia, se incardina así en el art. 149.1.30 CE y persigue garantizar una mínima homogeneidad en el proceso de sustitución del profesorado a través del establecimiento de esta regla básica relativa a los medios humanos disponibles, encontrándose entre las medidas que, como antes se ha dicho, puede establecer el legislador estatal como norma básica a efectos de determinar y hacer efectivo el nivel prestacional de la enseñanza financiado con fondos públicos. Es cierto que el Real Decreto-ley 14/2012 reduce en este punto, por consiguiente, las atribuciones que correspondían a la Comunidad Autónoma, pero no las vacía de contenido, puesto que, respetando ese límite, puede seguir regulando las sustituciones de profesores. A diferencia de lo manifestado por la Letrada de la Junta de Andalucía, sí que es posible aquí un cierto desarrollo por parte de las Administraciones educativas, pues aunque se establezca un plazo cerrado y concreto, puede entenderse que se trata de un plazo mínimo, que no puede ser reducido por las Administraciones educativas, y porque además el decreto-ley no entra a regular el resto de cuestiones que afectan al régimen de sustitución, como, por ejemplo, es el caso del sistema de cupo de días por año disponibles para cada centro docente que aplica la Junta de Andalucía.</w:t>
      </w:r>
    </w:p>
    <w:p w:rsidR="00163957" w:rsidRDefault="00163957" w:rsidP="00163957">
      <w:pPr>
        <w:pStyle w:val="TextoNormal"/>
      </w:pPr>
    </w:p>
    <w:p w:rsidR="00163957" w:rsidRDefault="00163957" w:rsidP="00163957">
      <w:pPr>
        <w:pStyle w:val="TextoNormal"/>
      </w:pPr>
      <w:r>
        <w:t>Consecuentemente, el art. 4 del Real Decreto-ley 14/2012 no vulnera las competencias de la Junta de Andalucía.</w:t>
      </w:r>
    </w:p>
    <w:p w:rsidR="00163957" w:rsidRDefault="00163957" w:rsidP="00163957">
      <w:pPr>
        <w:pStyle w:val="TextoNormal"/>
      </w:pPr>
    </w:p>
    <w:p w:rsidR="00163957" w:rsidRDefault="00163957" w:rsidP="00163957">
      <w:pPr>
        <w:pStyle w:val="TextoNormal"/>
      </w:pPr>
      <w:r>
        <w:t>d) La Junta de Andalucía alega que el minucioso contenido del art. 6.4 del Real Decreto-ley 14/2012, vulnera las competencias educativas de la Comunidad Autónoma.</w:t>
      </w:r>
    </w:p>
    <w:p w:rsidR="00163957" w:rsidRDefault="00163957" w:rsidP="00163957">
      <w:pPr>
        <w:pStyle w:val="TextoNormal"/>
      </w:pPr>
    </w:p>
    <w:p w:rsidR="00163957" w:rsidRDefault="00163957" w:rsidP="00163957">
      <w:pPr>
        <w:pStyle w:val="TextoNormal"/>
      </w:pPr>
      <w:r>
        <w:t>Con relación al contenido dado al art. 68.2 LOU —referido al personal docente e investigador funcionario de las universidades—, cabe indicar que, sin perjuicio de su conexión con el art. 149.1.30 CE —por su posible repercusión en la configuración del sistema educativo en sí— ha de señalarse que el título competencial prevalente que el Estado puede esgrimir para dictar esta regulación es el contenido en el art. 149.1.18 CE (bases del régimen estatutario de los funcionarios públicos).</w:t>
      </w:r>
    </w:p>
    <w:p w:rsidR="00163957" w:rsidRDefault="00163957" w:rsidP="00163957">
      <w:pPr>
        <w:pStyle w:val="TextoNormal"/>
      </w:pPr>
    </w:p>
    <w:p w:rsidR="00163957" w:rsidRDefault="00163957" w:rsidP="00163957">
      <w:pPr>
        <w:pStyle w:val="TextoNormal"/>
      </w:pPr>
      <w:r>
        <w:t xml:space="preserve">La respuesta a la queja planteada exige determinar qué tipo de funcionarios son los catedráticos y profesores titulares de universidad y escuela universitaria. A esta cuestión hemos tratado de dar respuesta en términos negativos, manteniendo que no son empleados públicos </w:t>
      </w:r>
      <w:r>
        <w:lastRenderedPageBreak/>
        <w:t>de las Comunidades Autónomas ni de las corporaciones locales, y en términos positivos, señalando que pertenecen a cuerpos de ámbito estatal, con independencia de la universidad concreta a la que pertenezcan, lo que les permite una movilidad geográfica completa dentro de ellos (SSTC 26/1987, de 27 de febrero, FJ 12, y 146/1989, de 21 de septiembre, FJ 2). Son funcionarios inicialmente de la universidad por la que son nombrados, pero pertenecen a la vez a un cuerpo interuniversitario de ámbito nacional. Ello nos llevó a concluir que “el Estado puede regular, sin distinción de bases y desarrollo, el estatuto de los funcionarios docentes universitarios, pertenecientes a los Cuerpos Nacionales, con el límite, claro está, de la autonomía universitaria (art. 27.10 CE)” (STC 235/1991, de 12 de diciembre, FJ 2, citada a su vez en la STC 131/1996, de 11 de julio, FJ 7). Por tal razón, afirmamos que “el desarrollo de las bases del régimen funcionarial -al que, sin duda, pertenece el régimen de dedicación del profesorado universitario- no corresponde a la Comunidad Autónoma” (STC 235/1991, FJ 4). Esta doctrina ha sido recientemente reiterada y aplicada por nuestra STC 176/2015, de 22 de julio, FJ 5, al defender la constitucionalidad del art. 56.2 LOU tras su reforma por la Ley Orgánica 4/2007, de 12 de abril.</w:t>
      </w:r>
    </w:p>
    <w:p w:rsidR="00163957" w:rsidRDefault="00163957" w:rsidP="00163957">
      <w:pPr>
        <w:pStyle w:val="TextoNormal"/>
      </w:pPr>
    </w:p>
    <w:p w:rsidR="00163957" w:rsidRDefault="00163957" w:rsidP="00163957">
      <w:pPr>
        <w:pStyle w:val="TextoNormal"/>
      </w:pPr>
      <w:r>
        <w:t>Además, en relación con la cuestión concreta de la regulación por el Estado de la carga lectiva del profesorado universitario, entre otros aspectos del estatuto funcionarial docente, ya tuvimos ocasión de pronunciarnos en el conflicto de competencias que resolvimos en la citada STC 235/1991, FJ 4. Uno de los aspectos cuestionados entonces fue precisamente el establecimiento, a través del art. 9 del Real Decreto 898/1985, de 30 de abril, de la carga docente de los profesores universitarios a tiempo completo, que se concretó en ocho horas lectivas semanales, más seis de tutorías. Aunque el monto concreto de la dedicación haya cambiado, y ahora se gradúe en tres escalones y no de forma unitaria, los mismos argumentos manejados entonces para rechazar la invasión competencial por parte del Estado al regular este aspecto de la jornada laboral del profesor han de ser mantenidos aquí.</w:t>
      </w:r>
    </w:p>
    <w:p w:rsidR="00163957" w:rsidRDefault="00163957" w:rsidP="00163957">
      <w:pPr>
        <w:pStyle w:val="TextoNormal"/>
      </w:pPr>
    </w:p>
    <w:p w:rsidR="00163957" w:rsidRDefault="00163957" w:rsidP="00163957">
      <w:pPr>
        <w:pStyle w:val="TextoNormal"/>
      </w:pPr>
      <w:r>
        <w:t>A su vez, al hilo de este argumento tampoco cabe acoger la queja que la parte recurrente dirige específicamente al nuevo apartado 3 del art. 68 LOU introducido por el art. 6 del Real Decreto-ley 14/2012, a cuyo tenor “el Gobierno, previo informe de las Comunidades Autónomas y del Consejo de Universidades, regulará las bases del régimen general de dedicación del personal docente e investigador funcionario”. Desde un enfoque competencial, el escrito de recurso reprocha que el precepto incurre en vicio de inconstitucionalidad por producir una “deslegalización sobre las normas reglamentarias de carácter básico”. No obstante, habida cuenta de que una lectura sistemática del precepto y su ubicación en la Ley Orgánica de universidades llevan a interpretar que la previsión cuestionada se refiere al profesorado funcionario de las universidades públicas, en la contestación a este motivo de impugnación se hace necesario atender al ya comentado encuadramiento competencial del estatuto de los funcionarios docentes universitarios, respecto al que, como ya se ha expuesto, no juega el esquema bases-desarrollo. Esta afirmación por sí sola priva ya de fundamento a la impugnación formulada.</w:t>
      </w:r>
    </w:p>
    <w:p w:rsidR="00163957" w:rsidRDefault="00163957" w:rsidP="00163957">
      <w:pPr>
        <w:pStyle w:val="TextoNormal"/>
      </w:pPr>
    </w:p>
    <w:p w:rsidR="00163957" w:rsidRDefault="00163957" w:rsidP="00163957">
      <w:pPr>
        <w:pStyle w:val="TextoNormal"/>
      </w:pPr>
      <w:r>
        <w:t>Por tanto, el art. 6.4 del Real Decreto-ley 14/2012 no vulnera las competencias de la Comunidad Autónoma de Andalucía.</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El último precepto impugnado por razones competenciales es el art. 7.1 del Real Decreto-ley 14/2012, al que se le reprocha la vulneración de la autonomía financiera de la </w:t>
      </w:r>
      <w:r>
        <w:lastRenderedPageBreak/>
        <w:t>Comunidad Autónoma, proclamada en el art. 156 CE y recogida como principio general aplicable a la Hacienda autonómica por el art. 175.2 a) EAAnd.</w:t>
      </w:r>
    </w:p>
    <w:p w:rsidR="00163957" w:rsidRDefault="00163957" w:rsidP="00163957">
      <w:pPr>
        <w:pStyle w:val="TextoNormal"/>
      </w:pPr>
    </w:p>
    <w:p w:rsidR="00163957" w:rsidRDefault="00163957" w:rsidP="00163957">
      <w:pPr>
        <w:pStyle w:val="TextoNormal"/>
      </w:pPr>
      <w:r>
        <w:t>El art. 7.1 se refiere a una de las consecuencias de una medida adoptada previamente por el propio Real Decreto-ley, en su art. 6.5.2, que es introducir unas horquillas para la determinación en cada Comunidad Autónoma de los precios públicos universitarios correspondientes a las titulaciones oficiales impartidas en su territorio. La concreción del precio de los estudios (de cada crédito ECTS matriculado) corresponderá cada curso a cada Administración educativa, dentro de esos márgenes legales y de acuerdo con los criterios de coordinación que dicte la Conferencia General de Política Universitaria, como órgano colegiado de participación del Estado con las Comunidades Autónomas. Como las mencionadas horquillas tienen cierta amplitud y toman como suelo el precio de los estudios universitarios en las universidades públicas en el año académico en curso al aprobarse la reforma, el nuevo sistema (que no es objeto de recurso) permite una elevación de los precios de las titulaciones universitarias oficiales, que además puede ser distinta según cada territorio autonómico. Ese posible aumento de precios públicos repercutirá sobre los usuarios de los servicios académicos prestados por las universidades públicas, pero también sobre las arcas públicas respecto a los estudiantes con beca, pues uno de sus componentes es el precio de matrícula de los estudios cursados.</w:t>
      </w:r>
    </w:p>
    <w:p w:rsidR="00163957" w:rsidRDefault="00163957" w:rsidP="00163957">
      <w:pPr>
        <w:pStyle w:val="TextoNormal"/>
      </w:pPr>
    </w:p>
    <w:p w:rsidR="00163957" w:rsidRDefault="00163957" w:rsidP="00163957">
      <w:pPr>
        <w:pStyle w:val="TextoNormal"/>
      </w:pPr>
      <w:r>
        <w:t>Hasta ahora, el Estado financiaba el coste del sistema general de becas y ayudas al estudio (art. 45.1 LOU), sin perjuicio de los programas complementarios específicos que pudiesen impulsar las Administraciones educativas e incluso las propias universidades (art. 45.4 LOU). El sentido del precepto impugnado, ahora que las Comunidades Autónomas pueden fijar en sus territorios los precios públicos universitarios dentro de unos umbrales de cierta amplitud, es hacerlas corresponsables de las decisiones que adopten, de manera que la elevación de los precios de matrícula conlleve la carga de hacer frente al incremento correspondiente del coste público de las becas. Los presupuestos generales del Estado cubrirán la parte de la matrícula correspondiente al límite inferior de la horquilla de precios aplicable, que es el coste mínimo obligatorio de los estudios (que se identifica por el art. 7.2 del Real Decreto-ley 14/2012 con los precios en vigor en el curso académico 2012-2013). Por tanto, los presupuestos de las Comunidades Autónomas deberán asumir la diferencia entre el precio mínimo obligatorio y el precio público final de los estudios oficiales de los becarios en cada Comunidad Autónoma.</w:t>
      </w:r>
    </w:p>
    <w:p w:rsidR="00163957" w:rsidRDefault="00163957" w:rsidP="00163957">
      <w:pPr>
        <w:pStyle w:val="TextoNormal"/>
      </w:pPr>
    </w:p>
    <w:p w:rsidR="00163957" w:rsidRDefault="00163957" w:rsidP="00163957">
      <w:pPr>
        <w:pStyle w:val="TextoNormal"/>
      </w:pPr>
      <w:r>
        <w:t xml:space="preserve">La Junta de Andalucía cuestiona la constitucionalidad de esta medida por vulnerar su autonomía financiera en su vertiente de gasto, al obligar a la Comunidad Autónoma a destinar una parte de sus recursos a una finalidad concreta (cubrir el coste adicional de las matrículas de los estudiantes universitarios becados por la elevación de los precios públicos de los estudios). Sin duda, el art. 156.1 CE garantiza la capacidad financiera de las Comunidades Autónomas para decidir sobre sus ingresos, y especialmente sobre la administración de sus gastos, pues de otro modo la asunción de sus competencias sería meramente teórica, ya que su ejercicio quedaría condicionado a una financiación y a unas decisiones externas. Pero evidentemente autonomía no significa una capacidad completa de elección libre, sino que está sujeta a unas limitaciones y condicionantes, empezando por la propia función de coordinación de las haciendas públicas autonómicas que corresponde al Estado como garante del equilibrio económico general [SSTC 171/1996, de 30 de octubre, FJ 2; 103/1997, de 22 de mayo, FJ 1; 222/2006, de 6 de julio, FJ 3; 134/2011, de 20 de julio, FJ 8 a), y </w:t>
      </w:r>
      <w:r>
        <w:lastRenderedPageBreak/>
        <w:t>219/2013, de 19 de diciembre, FJ 4]. Además, debe tenerse en cuenta la titularidad estatal sobre competencias que pueden incidir sobre el gasto público de las Comunidades Autónomas, así como otras de carácter transversal, especialmente la de dirección de la actividad económica general (STC 215/2014, de 18 de diciembre, FJ 7). En este sentido, tal como hemos expresado en nuestra STC 219/2013, FJ 4, cabe “la posibilidad de establecer esta suerte de restricciones a la autonomía financiera de las Comunidades Autónomas, por fundamentar su carácter básico en el art. 149.1.13 CE, y, al mismo tiempo, en el límite a la autonomía financiera que establece el principio de coordinación del art. 156.1 CE. Este último condicionamiento, en virtud de lo establecido en el art. 2.1 b) LOFCA, exige a las Comunidades Autónomas que su actividad financiera se acomode a las medidas oportunas que adopte el Estado tendentes a conseguir la estabilidad económica interna y externa, toda vez que a él corresponde la responsabilidad de garantizar el equilibrio económico general. Así pues, como ya indicamos en la STC 63/1986 (FJ 11), también con base en el principio de coordinación delimitado por la LOFCA, cabe justificar que el Estado acuerde una medida unilateral con fuerza normativa general susceptible de incidir en las competencias autonómicas en materia presupuestaria (STC 171/1996, FJ 2)”.</w:t>
      </w:r>
    </w:p>
    <w:p w:rsidR="00163957" w:rsidRDefault="00163957" w:rsidP="00163957">
      <w:pPr>
        <w:pStyle w:val="TextoNormal"/>
      </w:pPr>
    </w:p>
    <w:p w:rsidR="00163957" w:rsidRDefault="00163957" w:rsidP="00163957">
      <w:pPr>
        <w:pStyle w:val="TextoNormal"/>
      </w:pPr>
      <w:r>
        <w:t>Esta doctrina es sin duda aplicable al presente caso, en el que el legislador estatal de urgencia ha adoptado una medida que, afectando sin duda a la autonomía financiera de las Comunidades Autónomas, no produce una injerencia inconstitucional. Y ello por dos razones interconectadas. Primero, porque queda en manos de la propia Comunidad Autónoma la adopción de la medida de impacto en sus presupuestos públicos. En efecto, la obligación de cubrir el coste adicional de las becas por aumento del precio de la matrícula obedece a una decisión previa de la Comunidad Autónoma de elevar los precios públicos universitarios, dentro de las horquillas legales que permite el art. 81.3 b) LOU. Además, esta carga se circunscribe sólo al incremento que se establezca sobre el precio mínimo posible de los créditos ECTS, que es el que cubre la Administración General del Estado. Segundo, resulta que desde un punto de vista global el impacto de esta medida en los presupuestos autonómicos puede llegar a ser positivo, al ser compensado con creces por el incremento general de los precios públicos de los estudios oficiales. Aunque ese incremento sea percibido directamente por las universidades correspondientes, esas cantidades permiten al final disminuir las transferencias de capital con que las Comunidades Autónomas financian anualmente su sistema universitario público.</w:t>
      </w:r>
    </w:p>
    <w:p w:rsidR="00163957" w:rsidRDefault="00163957" w:rsidP="00163957">
      <w:pPr>
        <w:pStyle w:val="TextoNormal"/>
      </w:pPr>
    </w:p>
    <w:p w:rsidR="00163957" w:rsidRDefault="00163957" w:rsidP="00163957">
      <w:pPr>
        <w:pStyle w:val="TextoNormal"/>
      </w:pPr>
      <w:r>
        <w:t>El art. 7.1 del Real Decreto-ley 14/2012 es, por tanto, una medida de corresponsabilidad entre Administraciones públicas, que el Estado introduce como coordinador de las haciendas públicas (art. 156.1 CE), en una materia, como la regulación de las becas y ayudas al estudio en la que el Estado ostenta indiscutibles competencias (por todas, STC 25/2015, de 19 de febrero, FJ 3).</w:t>
      </w:r>
    </w:p>
    <w:p w:rsidR="00163957" w:rsidRDefault="00163957" w:rsidP="00163957">
      <w:pPr>
        <w:pStyle w:val="TextoNormal"/>
      </w:pPr>
    </w:p>
    <w:p w:rsidR="00163957" w:rsidRDefault="00163957" w:rsidP="00163957">
      <w:pPr>
        <w:pStyle w:val="TextoNormal"/>
      </w:pPr>
      <w:r>
        <w:t>En los términos expresados, el art. 7.1 del Real Decreto-ley 14/2012 no es inconstitucional.</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Restan por resolver dos tachas que se plantean respecto al art. 6.4. La primera es la posible afectación del contenido esencial del derecho fundamental a la autonomía universitaria. La Constitución garantiza este derecho en su art. 27.10, si bien lo hace “en los términos que la ley establezca”, lo cual remite a la configuración que el legislador ha dado a esa autonomía. En esa tarea delimitadora, el legislador debe ser respetuoso con el contenido </w:t>
      </w:r>
      <w:r>
        <w:lastRenderedPageBreak/>
        <w:t>esencial de la autonomía universitaria, que consiste en la libertad académica, tanto individual de los profesores como institucional de cada universidad, para la enseñanza, el estudio y la investigación (STC 26/1987, de 27 de febrero, FJ 4). Por tanto, ese núcleo debe estar libre de injerencias externas, sin que la ley pueda introducir “limitaciones o sometimientos a las Universidades que conviertan su autonomía en una simple proclamación teórica” (STC 106/1990, de 6 de junio, FJ 6).</w:t>
      </w:r>
    </w:p>
    <w:p w:rsidR="00163957" w:rsidRDefault="00163957" w:rsidP="00163957">
      <w:pPr>
        <w:pStyle w:val="TextoNormal"/>
      </w:pPr>
    </w:p>
    <w:p w:rsidR="00163957" w:rsidRDefault="00163957" w:rsidP="00163957">
      <w:pPr>
        <w:pStyle w:val="TextoNormal"/>
      </w:pPr>
      <w:r>
        <w:t>En este sentido, el art. 2.1 LOU dispone que las universidades “desarrollan sus funciones en régimen de autonomía”, para concretar a continuación, en su apartado 2, hasta once aspectos específicos en los que se desglosa esa autonomía. Así, en relación con la dedicación de los profesores, debe estarse al apartado e), que garantiza a las universidades la capacidad de seleccionar, formar y promover a todo su personal docente y no docente, así como de determinar “las condiciones en que han de desarrollar sus actividades”. Concretamente, las actividades del profesorado universitario comprenden tres facetas fundamentales, que son la docencia, la investigación y la gestión, pues son las tareas que menciona el art. 31.2 c) LOU cuando identifica los aspectos del trabajo del profesorado que son objeto de evaluación, certificación y acreditación. La suma de la dedicación a cada uno de esos quehaceres determina la dedicación laboral global del personal docente y el contenido de su jornada de trabajo. Por tanto, parece claro que la organización y distribución de la dedicación del profesorado (y dentro de ella de sus tareas docentes) forma parte relevante de las condiciones de ejercicio de sus actividades que, según la Ley Orgánica de universidades, las universidades deben gestionar con autonomía.</w:t>
      </w:r>
    </w:p>
    <w:p w:rsidR="00163957" w:rsidRDefault="00163957" w:rsidP="00163957">
      <w:pPr>
        <w:pStyle w:val="TextoNormal"/>
      </w:pPr>
    </w:p>
    <w:p w:rsidR="00163957" w:rsidRDefault="00163957" w:rsidP="00163957">
      <w:pPr>
        <w:pStyle w:val="TextoNormal"/>
      </w:pPr>
      <w:r>
        <w:t>Sin embargo, la autonomía universitaria no cierra la puerta a toda intervención estatal en la organización de las tareas docentes e investigadoras por parte de las universidades. Así lo expresamos ya en la STC 26/1987, de 27 de febrero, FJ 4 a): “esta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Lo cual ha llevado a este Tribunal a reconocer en diversas ocasiones la constitucionalidad de medidas legales que incidían en el contenido mismo de la autonomía universitaria, pero teniendo cobertura en alguno de esos tres límites mencionados.</w:t>
      </w:r>
    </w:p>
    <w:p w:rsidR="00163957" w:rsidRDefault="00163957" w:rsidP="00163957">
      <w:pPr>
        <w:pStyle w:val="TextoNormal"/>
      </w:pPr>
    </w:p>
    <w:p w:rsidR="00163957" w:rsidRDefault="00163957" w:rsidP="00163957">
      <w:pPr>
        <w:pStyle w:val="TextoNormal"/>
      </w:pPr>
      <w:r>
        <w:t>Así, la STC 87/2014, de 29 de mayo, avala la decisión de un legislador autonómico al establecer un sistema de sorteo limitado en la formación de las comisiones de selección del profesorado contratado, a pesar de reconocer que la medida incide en un aspecto concreto del contenido esencial de la autonomía universitaria, como es la selección de su personal docente e investigador. Allí concluimos que la medida “está constitucionalmente justificada porque en el ámbito material afectado, junto a los intereses peculiares de la comunidad universitaria, concurren intereses generales derivados de que la enseñanza superior se conforme en nuestro ordenamiento jurídico como un servicio público” (FJ 10), aparte de que es una limitación que deja aún amplio margen para que la comunidad universitaria gestione la selección de su profesorado.</w:t>
      </w:r>
    </w:p>
    <w:p w:rsidR="00163957" w:rsidRDefault="00163957" w:rsidP="00163957">
      <w:pPr>
        <w:pStyle w:val="TextoNormal"/>
      </w:pPr>
    </w:p>
    <w:p w:rsidR="00163957" w:rsidRDefault="00163957" w:rsidP="00163957">
      <w:pPr>
        <w:pStyle w:val="TextoNormal"/>
      </w:pPr>
      <w:r>
        <w:t xml:space="preserve">En esa Sentencia manifestamos que “cuando este Tribunal ha considerado la autonomía universitaria </w:t>
      </w:r>
      <w:r w:rsidRPr="00163957">
        <w:rPr>
          <w:i/>
        </w:rPr>
        <w:t>ex</w:t>
      </w:r>
      <w:r>
        <w:t xml:space="preserve"> art. 27.10 CE lo ha hecho siguiendo un mismo esquema. En primer lugar, </w:t>
      </w:r>
      <w:r>
        <w:lastRenderedPageBreak/>
        <w:t>verifica que la actividad administrativa en presencia es expresión de uno de los ámbitos que según la ley orgánica correspondiente integran el contenido esencial del derecho fundamental y a continuación analiza si el límite que se impone a las universidades en ese ámbito encuentra justificación en alguna de las limitaciones especificadas en la configuración general definida en el fundamento jurídico 4 a) de la STC 26/1987, con especial atención a las que derivan del servicio público que desempeña la universidad” (FJ 7).</w:t>
      </w:r>
    </w:p>
    <w:p w:rsidR="00163957" w:rsidRDefault="00163957" w:rsidP="00163957">
      <w:pPr>
        <w:pStyle w:val="TextoNormal"/>
      </w:pPr>
    </w:p>
    <w:p w:rsidR="00163957" w:rsidRDefault="00163957" w:rsidP="00163957">
      <w:pPr>
        <w:pStyle w:val="TextoNormal"/>
      </w:pPr>
      <w:r>
        <w:t xml:space="preserve">Pues bien, siguiendo ese orden de análisis, hay que reconocer que el primer aspecto se cumple en este caso, pues como ya se expuso la regulación del </w:t>
      </w:r>
      <w:r w:rsidRPr="00163957">
        <w:rPr>
          <w:i/>
        </w:rPr>
        <w:t>quantum</w:t>
      </w:r>
      <w:r>
        <w:t xml:space="preserve"> de la jornada docente del profesorado incide en la determinación de las condiciones de trabajo en la universidad, amparadas por la autonomía universitaria según la Ley Orgánica de universidades. En cuanto a lo segundo, debe considerarse que el contenido de los apartados 2 y 3 del art. 6.4 del Real Decreto-ley 14/2012, que son el objeto específico de impugnación en este recurso, tiene una relación directa con el buen funcionamiento del servicio público de la educación superior que prestan las universidades, sobre todo a través de su profesorado funcionario. La parte más visible y externa de ese servicio público son precisamente las clases, teóricas y prácticas, que reciben los estudiantes. Y ahí reside un interés general, que trasciende al de la concreta comunidad universitaria, que habilita al Estado para establecer una regulación.</w:t>
      </w:r>
    </w:p>
    <w:p w:rsidR="00163957" w:rsidRDefault="00163957" w:rsidP="00163957">
      <w:pPr>
        <w:pStyle w:val="TextoNormal"/>
      </w:pPr>
    </w:p>
    <w:p w:rsidR="00163957" w:rsidRDefault="00163957" w:rsidP="00163957">
      <w:pPr>
        <w:pStyle w:val="TextoNormal"/>
      </w:pPr>
      <w:r>
        <w:t xml:space="preserve">La regulación del </w:t>
      </w:r>
      <w:r w:rsidRPr="00163957">
        <w:rPr>
          <w:i/>
        </w:rPr>
        <w:t>quantum</w:t>
      </w:r>
      <w:r>
        <w:t xml:space="preserve"> general de la dedicación docente del profesor funcionario (fijado en la impartición de 24 créditos ECTS) no vulnera en su estricto contenido esa libertad académica de las universidades ni de sus profesores, que tiene un carácter mucho más cualitativo que cuantitativo. El objetivo de la regulación estatal es fijar un aspecto esencial de la jornada laboral de unos empleados públicos de ámbito nacional, pero sin condicionar materialmente el sentido u orientación de sus funciones, para las cuales universidades y profesores gozan de verdadera libertad académica.</w:t>
      </w:r>
    </w:p>
    <w:p w:rsidR="00163957" w:rsidRDefault="00163957" w:rsidP="00163957">
      <w:pPr>
        <w:pStyle w:val="TextoNormal"/>
      </w:pPr>
    </w:p>
    <w:p w:rsidR="00163957" w:rsidRDefault="00163957" w:rsidP="00163957">
      <w:pPr>
        <w:pStyle w:val="TextoNormal"/>
      </w:pPr>
      <w:r>
        <w:t>Además esa dedicación docente general se estratifica en función de la actividad investigadora de cada profesor. Ésta se acredita mediante otro parámetro externo y objetivo, como son los sexenios de investigación reconocidos, que es un complemento retributivo de productividad ligado a la producción científica acreditada, previsto en el art. 2.4 del Real Decreto 1086/1989, de 28 de agosto, sobre retribuciones del profesorado universitario. En cualquier caso, se demuestra aquí que el interés del Estado es la estandarización del total de la carga de trabajo del profesorado, y no su contenido, que viene protegido por la libertad de cátedra y la libertad de ciencia.</w:t>
      </w:r>
    </w:p>
    <w:p w:rsidR="00163957" w:rsidRDefault="00163957" w:rsidP="00163957">
      <w:pPr>
        <w:pStyle w:val="TextoNormal"/>
      </w:pPr>
    </w:p>
    <w:p w:rsidR="00163957" w:rsidRDefault="00163957" w:rsidP="00163957">
      <w:pPr>
        <w:pStyle w:val="TextoNormal"/>
      </w:pPr>
      <w:r>
        <w:t xml:space="preserve">En definitiva, la ordenación del régimen de dedicación docente del profesorado universitario funcionario por parte del art. 6.4 del Real Decreto-ley 14/2012 no es inconstitucional por infracción del derecho fundamental a la autonomía universitaria, ya que se limita a establecer el </w:t>
      </w:r>
      <w:r w:rsidRPr="00163957">
        <w:rPr>
          <w:i/>
        </w:rPr>
        <w:t>quantum</w:t>
      </w:r>
      <w:r>
        <w:t xml:space="preserve"> de la dedicación de esos servidores públicos, dejando su contenido material y su enfoque u orientación en manos de las propias universidades y de las decisiones que tome el propio profesor afectado, con lo que se respeta el contenido fundamental de su libertad académica.</w:t>
      </w:r>
    </w:p>
    <w:p w:rsidR="00163957" w:rsidRDefault="00163957" w:rsidP="00163957">
      <w:pPr>
        <w:pStyle w:val="TextoNormal"/>
      </w:pPr>
    </w:p>
    <w:p w:rsidR="00163957" w:rsidRDefault="00163957" w:rsidP="00163957">
      <w:pPr>
        <w:pStyle w:val="TextoNormal"/>
      </w:pPr>
      <w:r w:rsidRPr="00163957">
        <w:rPr>
          <w:rStyle w:val="NumeroAFNegritaCaracter"/>
        </w:rPr>
        <w:t>9</w:t>
      </w:r>
      <w:r>
        <w:t xml:space="preserve">. El segundo reproche que se dirige al art. 6.4 del Real Decreto-ley 14/2012 es el relativo a la infracción del principio de seguridad jurídica (art. 9.3 CE), que la parte recurrente fundamenta en la conexión que el nuevo art. 68 LOU establece entre la carga docente y el </w:t>
      </w:r>
      <w:r>
        <w:lastRenderedPageBreak/>
        <w:t>número de sexenios necesarios para modularla, siendo que la solicitud de sexenios regulada en el art. 2.4 Real Decreto 1086/1989 se concebía como voluntaria y sin ninguna relación con el nivel exigible de docencia, habiéndosele ahora atribuido consecuencias jurídicas sobre el régimen de dedicación del profesorado.</w:t>
      </w:r>
    </w:p>
    <w:p w:rsidR="00163957" w:rsidRDefault="00163957" w:rsidP="00163957">
      <w:pPr>
        <w:pStyle w:val="TextoNormal"/>
      </w:pPr>
    </w:p>
    <w:p w:rsidR="00163957" w:rsidRDefault="00163957" w:rsidP="00163957">
      <w:pPr>
        <w:pStyle w:val="TextoNormal"/>
      </w:pPr>
      <w:r>
        <w:t>Con relación a esta alegación —vinculada al contenido del art. 68.2 LOU—, además de destacar que, desde la perspectiva de la certeza del derecho, la previsión controvertida es clara y precisa en cuanto a su alcance, se hace necesario recordar que, conforme a nuestra jurisprudencia, el principio de seguridad jurídica “no se infringe porque el legislador lleve a cabo modificaciones en las normas legales, ni dicho principio ampara la necesidad de preservar indefinidamente un determinado régimen jurídico existente en un momento histórico dado en relación con concretos derechos o situaciones (SSTC 99/1987, 70/1988 y 227/1988)” (STC 134/1996, de 22 de julio, FJ 3). Al respecto, en relación con los principios de seguridad jurídica y confianza legítima, este Tribunal ha afirmado que “ni esos principios permiten consagrar un pretendido derecho a la ‘congelación del ordenamiento jurídico existente’ (SSTC 182/1997, de 28 de octubre, FJ 13, y 183/2014, de 6 de noviembre, FJ 3) ni, evidentemente, pueden impedir la introducción de modificaciones legislativas repentinas, máxime cuando lo hace el legislador de urgencia (STC 237/2012, de 13 de diciembre, FJ 6)” (STC 81/2015, de 30 de abril, FJ 8). Por más que el panorama de las normas jurídicas vigentes en cada momento incide en la forma como los ciudadanos programan sus conductas, el principio de seguridad jurídica “no protege las expectativas que en relación con la aplicación de un determinado régimen jurídico hayan podido crearse los ciudadanos” ni “tampoco garantiza… que en todo caso las modificaciones legislativas que se efectúen deban realizarse de modo que sean previsibles para sus destinatarios” (ATC 84/2013, de 23 de abril, FJ 3). Siendo esto así, y dado que la modificación aquí cuestionada se implanta por el Real Decreto-ley con efectos hacia el futuro a partir de su entrada en vigor, cabe concluir que la decisión normativa de incorporar la actividad investigadora reconocida como elemento de determinación de la carga docente del profesorado universitario no resulta lesiva del principio de seguridad jurídica.</w:t>
      </w:r>
    </w:p>
    <w:p w:rsidR="00163957" w:rsidRDefault="00163957" w:rsidP="00163957">
      <w:pPr>
        <w:pStyle w:val="TextoNormal"/>
      </w:pPr>
    </w:p>
    <w:p w:rsidR="00163957" w:rsidRDefault="00163957" w:rsidP="00163957">
      <w:pPr>
        <w:pStyle w:val="TextoNormal"/>
      </w:pPr>
      <w:r w:rsidRPr="00163957">
        <w:rPr>
          <w:rStyle w:val="NumeroAFNegritaCaracter"/>
        </w:rPr>
        <w:t>10</w:t>
      </w:r>
      <w:r>
        <w:t>. Finalmente hemos de precisar los efectos de la declaración de nulidad del art. 6.3 del Real Decreto-ley 14/2012, que modifica el art. 30 bis de la Ley Orgánica 6/2001, de 21 de diciembre, de universidades para permitir la creación de alianzas estratégicas entre universidades o con organismos públicos de investigación, empresas u otros agentes del sistema español de ciencia, tecnología e innovación o pertenecientes a otros países para desarrollar conjuntamente enseñanzas conducentes a la obtención de títulos universitarios de carácter oficial. Dado su contenido, debemos modular en el tiempo dichos efectos, atendiendo a la pluralidad de valores constitucionales que concurren, en especial el principio de seguridad jurídica (art. 9.3 CE) que —en el asunto que nos ocupa— reclama que esta declaración de inconstitucionalidad sólo sea eficaz pro futuro, sin afectar a los supuestos en los que ya se haya aplicado este precepto para desarrollar conjuntamente enseñanzas conducentes a la obtención de títulos universitarios de carácter oficial.</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Estimar parcialmente el presente recurso de inconstitucionalidad y en consecuencia</w:t>
      </w:r>
    </w:p>
    <w:p w:rsidR="00163957" w:rsidRDefault="00163957" w:rsidP="00163957">
      <w:pPr>
        <w:pStyle w:val="TextoNormal"/>
      </w:pPr>
    </w:p>
    <w:p w:rsidR="00163957" w:rsidRDefault="00163957" w:rsidP="00163957">
      <w:pPr>
        <w:pStyle w:val="TextoNormal"/>
      </w:pPr>
      <w:r>
        <w:t>a) Declarar que los arts. 6.1 y 2 del Real Decreto-ley 14/2012, de 20 de abril, de medidas urgentes de racionalización del gasto público en el ámbito educativo, son inconstitucionales y nulos.</w:t>
      </w:r>
    </w:p>
    <w:p w:rsidR="00163957" w:rsidRDefault="00163957" w:rsidP="00163957">
      <w:pPr>
        <w:pStyle w:val="TextoNormal"/>
      </w:pPr>
    </w:p>
    <w:p w:rsidR="00163957" w:rsidRDefault="00163957" w:rsidP="00163957">
      <w:pPr>
        <w:pStyle w:val="TextoNormal"/>
      </w:pPr>
      <w:r>
        <w:t>b) Declarar que el art. 6.3 del Real Decreto-ley 14/2012, de 20 de abril, de medidas urgentes de racionalización del gasto público en el ámbito educativo, es inconstitucional y nulo con los efectos señalados en el fundamento jurídico 10 de la presente Sentencia.</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dieciocho de febrero de dos mil dieciséis.</w:t>
      </w:r>
    </w:p>
    <w:p w:rsidR="00163957" w:rsidRDefault="00163957" w:rsidP="00163957">
      <w:pPr>
        <w:pStyle w:val="ParrafoNormal"/>
      </w:pPr>
    </w:p>
    <w:p w:rsidR="00163957" w:rsidRDefault="00163957" w:rsidP="00163957">
      <w:pPr>
        <w:pStyle w:val="TextoNormalNegritaCentrado"/>
        <w:keepNext/>
      </w:pPr>
      <w:r>
        <w:t>Voto particular que formulan la Magistrada doña Adela Asua Batarrita y el Magistrado don Fernando Valdés Dal-Ré a la Sentencia dictada en el recurso de inconstitucionalidad núm. 4528-2012.</w:t>
      </w:r>
    </w:p>
    <w:p w:rsidR="00163957" w:rsidRDefault="00163957" w:rsidP="00163957">
      <w:pPr>
        <w:pStyle w:val="TextoNormalNegritaCentrado"/>
        <w:keepNext/>
      </w:pPr>
    </w:p>
    <w:p w:rsidR="00163957" w:rsidRDefault="00163957" w:rsidP="00163957">
      <w:pPr>
        <w:pStyle w:val="TextoNormal"/>
      </w:pPr>
      <w:r>
        <w:t>En ejercicio de la facultad que nos confiere el art. 90.2 de la Ley Orgánica del Tribunal Constitucional (LOTC) y con pleno respeto a la opinión de la mayoría del Pleno, expresamos nuestra discrepancia con los fundamentos jurídicos 6 y 8 de la Sentencia, en virtud de los argumentos que defendimos en la deliberación del Pleno y que exponemos a continuación. En nuestra opinión, la Sentencia debió estimar parcialmente el recurso de inconstitucionalidad por lo que respecta a los arts. 3, 4 y 6.4 del Real Decreto-ley 14/2012, de 20 de abril, de medidas urgentes de racionalización del gasto público en el ámbito educativo.</w:t>
      </w:r>
    </w:p>
    <w:p w:rsidR="00163957" w:rsidRDefault="00163957" w:rsidP="00163957">
      <w:pPr>
        <w:pStyle w:val="TextoNormal"/>
      </w:pPr>
    </w:p>
    <w:p w:rsidR="00163957" w:rsidRDefault="00163957" w:rsidP="00163957">
      <w:pPr>
        <w:pStyle w:val="TextoNormal"/>
      </w:pPr>
      <w:r>
        <w:t>1. Nuestra primera discrepancia concierne a la desestimación de la impugnación dirigida contra el art. 3 del Real Decreto-ley 14/2012. La cuestión que regula la disposición impugnada es muy sencilla: la jornada lectiva (que no laboral) de los profesores no universitarios que prestan servicios en centros públicos y privados concertados; en otras palabras, el número mínimo de horas de clase que deben impartir a la semana. Para la mayoría del Pleno, se trata de una cuestión que el Estado puede regular al amparo de su competencia legislativa básica sobre educación (art. 149.1.30 CE).</w:t>
      </w:r>
    </w:p>
    <w:p w:rsidR="00163957" w:rsidRDefault="00163957" w:rsidP="00163957">
      <w:pPr>
        <w:pStyle w:val="TextoNormal"/>
      </w:pPr>
    </w:p>
    <w:p w:rsidR="00163957" w:rsidRDefault="00163957" w:rsidP="00163957">
      <w:pPr>
        <w:pStyle w:val="TextoNormal"/>
      </w:pPr>
      <w:r>
        <w:t>a) Contra lo que afirma la Sentencia, el número mínimo de horas de clase que debe impartir un docente a la semana no es una cuestión directamente relacionada con la “calidad de la enseñanza” o con la garantía del cumplimiento de las “obligaciones de los poderes públicos” o del “derecho a la educación en su dimensión prestacional”. Tampoco es, como también se afirma, “un criterio de coordinación” que el Estado puede establecer en ejercicio de sus competencias básicas en materia de educación, ni “un mínimo común denominador normativo en materia de programación docente que garantiza una continuidad en el proceso de aprendizaje de los alumnos”.</w:t>
      </w:r>
    </w:p>
    <w:p w:rsidR="00163957" w:rsidRDefault="00163957" w:rsidP="00163957">
      <w:pPr>
        <w:pStyle w:val="TextoNormal"/>
      </w:pPr>
    </w:p>
    <w:p w:rsidR="00163957" w:rsidRDefault="00163957" w:rsidP="00163957">
      <w:pPr>
        <w:pStyle w:val="TextoNormal"/>
      </w:pPr>
      <w:r>
        <w:lastRenderedPageBreak/>
        <w:t>Mediante la yuxtaposición de las mencionadas afirmaciones la Sentencia pretende encuadrar la regulación impugnada en la competencia básica estatal sobre “educación”. Sin embargo, se trata de afirmaciones heterogéneas entre sí (criterio de coordinación, programación docente, garantía del derecho a la educación, etc.), tan genéricas que valdrían para cualquier cuestión que se regulase en el ámbito educativo, que no acreditan una conexión directa de la norma impugnada con las normas básicas para el ejercicio del derecho a la educación. Centrándonos en lo que sobresale como argumento principal, podría aceptarse una conexión directa con la calidad de la enseñanza si la norma regulase el número mínimo de horas de clase que deben recibir los alumnos, que a fin de cuentas son los titulares del derecho fundamental concernido. Y acaso también si regulase una dedicación docente máxima del profesorado. Pero la conexión de la fijación de una dedicación docente mínima con la garantía de la calidad de la enseñanza, especialmente cuando esa dedicación mínima es elevada, como es aquí el caso, se sitúa a contracorriente de las opiniones especializadas y de los informes de referencia en esta materia. Como puede leerse en el informe panorama de la educación. Indicadores OCDE 2015. Informe español, publicado por el Ministerio de Educación, una proporción alta de horas de enseñanza respecto al total de horas de trabajo del profesorado “significaría que los profesores dedican más tiempo a impartir clase y menos a actividades como la preparación de las mismas, la corrección de actividades de los alumnos o las reuniones con otros profesores, lo que podría influir negativamente en la calidad de la enseñanza” (punto 3.4).</w:t>
      </w:r>
    </w:p>
    <w:p w:rsidR="00163957" w:rsidRDefault="00163957" w:rsidP="00163957">
      <w:pPr>
        <w:pStyle w:val="TextoNormal"/>
      </w:pPr>
    </w:p>
    <w:p w:rsidR="00163957" w:rsidRDefault="00163957" w:rsidP="00163957">
      <w:pPr>
        <w:pStyle w:val="TextoNormal"/>
      </w:pPr>
      <w:r>
        <w:t>b) La propia Sentencia es consciente de que la competencia legislativa del Estado en materia educativa es insuficiente para amparar una regulación de la jornada lectiva de los profesores no universitarios. De lo contrario no habría considerado necesario traer a colación un título adicional, que tiene un ámbito de aplicación más reducido: el art. 149.1.18 CE, por lo que respecta, se dice, a la función pública docente. Este encuadramiento, que obviamente no ofrece cobertura competencial a la norma por lo que respecta a los profesores de los centros concertados, tampoco está libre de objeciones.</w:t>
      </w:r>
    </w:p>
    <w:p w:rsidR="00163957" w:rsidRDefault="00163957" w:rsidP="00163957">
      <w:pPr>
        <w:pStyle w:val="TextoNormal"/>
      </w:pPr>
    </w:p>
    <w:p w:rsidR="00163957" w:rsidRDefault="00163957" w:rsidP="00163957">
      <w:pPr>
        <w:pStyle w:val="TextoNormal"/>
      </w:pPr>
      <w:r>
        <w:t xml:space="preserve">Por un lado, el título competencial </w:t>
      </w:r>
      <w:r w:rsidRPr="00163957">
        <w:rPr>
          <w:i/>
        </w:rPr>
        <w:t>ex</w:t>
      </w:r>
      <w:r>
        <w:t xml:space="preserve"> art. 149.1.18 CE solo es aplicable a los docentes que sean efectivamente funcionarios y no para la totalidad de los profesores que prestan servicios en los centros públicos. En consecuencia, la jornada docente de los profesores no universitarios que no sean funcionarios, sino contratados (“interinos”), numerosos en muchas Comunidades Autónomas, no estaría cubierta por el art. 149.1.18 CE.</w:t>
      </w:r>
    </w:p>
    <w:p w:rsidR="00163957" w:rsidRDefault="00163957" w:rsidP="00163957">
      <w:pPr>
        <w:pStyle w:val="TextoNormal"/>
      </w:pPr>
    </w:p>
    <w:p w:rsidR="00163957" w:rsidRDefault="00163957" w:rsidP="00163957">
      <w:pPr>
        <w:pStyle w:val="TextoNormal"/>
      </w:pPr>
      <w:r>
        <w:t xml:space="preserve">Por otro lado, la jurisprudencia constitucional que la Sentencia invoca (STC 163/2012, de 20 de septiembre, FFJJ 6 y 9) se refiere a la jornada de trabajo de los funcionarios de los cuerpos nacionales al servicio de la Administración de Justicia, cuyo estatuto jurídico no puede ser puesto en cuestión o alterada su homogeneidad por el ejercicio de las competencias autonómicas, reglamentarias o de mera ejecución, derivadas de las cláusulas subrogatorias en ese ámbito material. Sin embargo, en el presente caso no se fija la jornada laboral, sino la </w:t>
      </w:r>
      <w:r w:rsidRPr="00163957">
        <w:rPr>
          <w:i/>
        </w:rPr>
        <w:t>dedicación docente</w:t>
      </w:r>
      <w:r>
        <w:t xml:space="preserve"> del profesorado dependiente de las Administraciones educativas de las Comunidades Autónomas, que es algo muy distinto. La Sentencia lo sabe y pretende equiparar ambas cuestiones, afirmando que “lo mismo cabe decir respecto a la determinación de la parte lectiva de la jornada laboral”. Con ello se produce una equiparación a efectos competenciales entre cuestiones distintas que no resulta convincente (y, como consecuencia, se produce una ampliación de las bases). No parece que las bases del régimen de los </w:t>
      </w:r>
      <w:r>
        <w:lastRenderedPageBreak/>
        <w:t>funcionarios públicos puedan descender al detalle de fijar cuántas horas de clase debe impartir un profesor, cuántas horas tiene que dedicar a consultas o a visitas domiciliarias un médico de familia, cuántas horas a vigilancia un policía local, etc.: todas esas cuestiones corresponden a la organización interna de cada Administración (educativa, sanitaria, local, etc.). La Sentencia argumenta que es necesario un régimen común de dedicación para lograr una mínima homogeneidad en un aspecto sustancial de su régimen funcionarial, tratándose de funcionarios de ámbito estatal que pueden prestar servicio en cualquier parte del sistema educativo. En nuestra opinión, esa argumentación no resulta convincente.</w:t>
      </w:r>
    </w:p>
    <w:p w:rsidR="00163957" w:rsidRDefault="00163957" w:rsidP="00163957">
      <w:pPr>
        <w:pStyle w:val="TextoNormal"/>
      </w:pPr>
    </w:p>
    <w:p w:rsidR="00163957" w:rsidRDefault="00163957" w:rsidP="00163957">
      <w:pPr>
        <w:pStyle w:val="TextoNormal"/>
      </w:pPr>
      <w:r>
        <w:t>c) Por último, resulta irónico que, en una invocación ritual del criterio del no vaciamiento de la competencia autonómica de desarrollo legislativo, la Sentencia proclame que la norma cuestionada deja margen de desarrollo respecto a la organización y concreción de la jornada lectiva del personal docente, pues “no cierra a las Comunidades Autónomas toda posibilidad de desarrollo y aplicación de la normativa básica sobre la materia”. Teniendo en cuenta que las horas de clase pueden ascender a seis horas diarias, sobran comentarios respecto al espacio que resta a las Comunidades Autónomas para que opten “libremente” por elevar las horas de clase, ¿hasta el tope de la jornada laboral?.</w:t>
      </w:r>
    </w:p>
    <w:p w:rsidR="00163957" w:rsidRDefault="00163957" w:rsidP="00163957">
      <w:pPr>
        <w:pStyle w:val="TextoNormal"/>
      </w:pPr>
    </w:p>
    <w:p w:rsidR="00163957" w:rsidRDefault="00163957" w:rsidP="00163957">
      <w:pPr>
        <w:pStyle w:val="TextoNormal"/>
      </w:pPr>
      <w:r>
        <w:t>2. Por los mismos argumentos desarrollados hasta ahora debe concluirse también, en nuestra opinión, que la sustitución transitoria de los profesores no universitarios, que el art. 4 del Real Decreto-ley 14/2012 condiciona a que las ausencias hayan sido superiores a diez días lectivos, es una cuestión que no se relaciona con la competencia estatal en la materia -la adopción de normas básicas para el ejercicio del derecho fundamental a la educación-, sino una cuestión de organización interna de cada Administración educativa.</w:t>
      </w:r>
    </w:p>
    <w:p w:rsidR="00163957" w:rsidRDefault="00163957" w:rsidP="00163957">
      <w:pPr>
        <w:pStyle w:val="TextoNormal"/>
      </w:pPr>
    </w:p>
    <w:p w:rsidR="00163957" w:rsidRDefault="00163957" w:rsidP="00163957">
      <w:pPr>
        <w:pStyle w:val="TextoNormal"/>
      </w:pPr>
      <w:r>
        <w:t>La Sentencia de la que discrepamos justifica así la relación de la regulación controvertida con la competencia estatal: “A efectos competenciales, el legislador estatal ha querido establecer una norma que tiene por objeto regular el proceso de sustituciones docentes por parte de los centros públicos y privados sostenidos con fondos públicos, regulación que, afectando al funcionamiento de dichos centros, repercute en la contratación de profesorado interino, y, por tanto, en la prestación del servicio público educativo por su relación con la impartición de docencia. La norma, en tanto que relativa a situaciones de vacío temporal en la impartición de docencia, se incardina así en el art. 149.1.30 CE y persigue garantizar una mínima homogeneidad en el proceso de sustitución del profesorado a través del establecimiento de esta regla básica relativa a los medios humanos disponibles, encontrándose entre las medidas que, como antes se ha dicho, puede establecer el legislador estatal como norma básica a efectos de determinar y hacer efectivo el nivel prestacional de la enseñanza financiado con fondos públicos.”</w:t>
      </w:r>
    </w:p>
    <w:p w:rsidR="00163957" w:rsidRDefault="00163957" w:rsidP="00163957">
      <w:pPr>
        <w:pStyle w:val="TextoNormal"/>
      </w:pPr>
    </w:p>
    <w:p w:rsidR="00163957" w:rsidRDefault="00163957" w:rsidP="00163957">
      <w:pPr>
        <w:pStyle w:val="TextoNormal"/>
      </w:pPr>
      <w:r>
        <w:t xml:space="preserve">Sin embargo, no alcanzamos a comprender por qué las normas básicas estatales tienen que garantizar una homogeneidad mínima en el proceso de sustitución del profesorado, cuestión que solo atañe a la organización interna de los recursos humanos con que cuenta el propio centro docente y la Administración educativa de la que depende. Por lo demás, aquí, de nuevo, la norma no fija un número </w:t>
      </w:r>
      <w:r w:rsidRPr="00163957">
        <w:rPr>
          <w:i/>
        </w:rPr>
        <w:t>máximo</w:t>
      </w:r>
      <w:r>
        <w:t xml:space="preserve"> de ausencias lectivas que debiera acarrear la inmediata disposición de un profesor sustituto (lo que indirectamente sí podría tener alguna relación con la garantía de la enseñanza), sino un número </w:t>
      </w:r>
      <w:r w:rsidRPr="00163957">
        <w:rPr>
          <w:i/>
        </w:rPr>
        <w:t>mínimo</w:t>
      </w:r>
      <w:r>
        <w:t>, impidiendo de esta forma que las Comunidades Autónomas organicen un régimen de sustitución que se active ante un número menor de ausencias.</w:t>
      </w:r>
    </w:p>
    <w:p w:rsidR="00163957" w:rsidRDefault="00163957" w:rsidP="00163957">
      <w:pPr>
        <w:pStyle w:val="TextoNormal"/>
      </w:pPr>
    </w:p>
    <w:p w:rsidR="00163957" w:rsidRDefault="00163957" w:rsidP="00163957">
      <w:pPr>
        <w:pStyle w:val="TextoNormal"/>
      </w:pPr>
      <w:r>
        <w:t>3. Finalmente, la Sentencia desestima la impugnación de la regulación de la jornada lectiva de los profesores universitarios que contiene el art. 6.4 del Real Decreto-ley 14/2012. El recurso de inconstitucionalidad alega que la imposición de unas obligaciones lectivas diferenciadas (16, 24 o 32 créditos ECTS) en virtud del número de sexenios alcanzados vulnera el contenido esencial del derecho fundamental a la autonomía universitaria (art. 27.10 CE). A diferencia de otras medidas previstas en el Real Decreto-ley 14/2012, esta medida no es coyuntural, sino estructural, pues se incorpora con carácter indefinido al ordenamiento jurídico, al modificar el art. 68 de la Ley Orgánica de universidades: razón de más para dedicarle un examen más detenido que el que ofrece la Sentencia.</w:t>
      </w:r>
    </w:p>
    <w:p w:rsidR="00163957" w:rsidRDefault="00163957" w:rsidP="00163957">
      <w:pPr>
        <w:pStyle w:val="TextoNormal"/>
      </w:pPr>
    </w:p>
    <w:p w:rsidR="00163957" w:rsidRDefault="00163957" w:rsidP="00163957">
      <w:pPr>
        <w:pStyle w:val="TextoNormal"/>
      </w:pPr>
      <w:r>
        <w:t xml:space="preserve">Para empezar, la Sentencia no precisa el contenido del precepto impugnado, lo que puede producir equívocos en el lector: sobre todo, si la Sentencia afirma que la “regulación del </w:t>
      </w:r>
      <w:r w:rsidRPr="00163957">
        <w:rPr>
          <w:i/>
        </w:rPr>
        <w:t>quantum</w:t>
      </w:r>
      <w:r>
        <w:t xml:space="preserve"> general de la dedicación docente del profesor funcionario (fijado en la impartición de 24 créditos ECTS) no vulnera en su estricto contenido esa libertad académica de las universidades ni de sus profesores, que tiene un carácter mucho más cualitativo que cuantitativo”. El problema de inconstitucionalidad del precepto impugnado no es que establezca el </w:t>
      </w:r>
      <w:r w:rsidRPr="00163957">
        <w:rPr>
          <w:i/>
        </w:rPr>
        <w:t>quantum</w:t>
      </w:r>
      <w:r>
        <w:t xml:space="preserve"> general de la dedicación docente del profesor funcionario (24 créditos ECTS), que ya estaba fijado con anterioridad, sino las reglas adicionales en virtud de las cuales, dependiendo del número de sexenios que tenga cada profesor, la dedicación se puede incrementar hasta los 32 créditos ECTS o descender hasta los 16 ECTS. Esto es lo que vulneraría la autonomía universitaria: el que una norma, y no la propia Universidad, diga qué profesores deben dar más horas de clase y qué profesores deben dar menos.</w:t>
      </w:r>
    </w:p>
    <w:p w:rsidR="00163957" w:rsidRDefault="00163957" w:rsidP="00163957">
      <w:pPr>
        <w:pStyle w:val="TextoNormal"/>
      </w:pPr>
    </w:p>
    <w:p w:rsidR="00163957" w:rsidRDefault="00163957" w:rsidP="00163957">
      <w:pPr>
        <w:pStyle w:val="TextoNormal"/>
      </w:pPr>
      <w:r>
        <w:t>Compartimos plenamente el punto de partida de la Sentencia: “la organización y distribución de la dedicación del profesorado (y dentro de ella de sus tareas docentes) forma parte relevante de las condiciones de ejercicio de sus actividades que, según la Ley Orgánica de universidades, las universidades deben gestionar con autonomía”. Es cierto que, como también recuerda la Sentencia, la autonomía universitaria no cierra la puerta a toda intervención pública en la organización de las tareas docentes e investigadoras de las universidades. Según la jurisprudencia constitucional, esa intervención debe justificarse en: a) derechos fundamentales (igualdad de acceso al estudio, a la docencia y a la investigación); b) la existencia de un sistema universitario nacional que exige instancias coordinadores; y c) las limitaciones propias del servicio público [STC 26/1987, de 27 de febrero, FJ 4 a)].</w:t>
      </w:r>
    </w:p>
    <w:p w:rsidR="00163957" w:rsidRDefault="00163957" w:rsidP="00163957">
      <w:pPr>
        <w:pStyle w:val="TextoNormal"/>
      </w:pPr>
    </w:p>
    <w:p w:rsidR="00163957" w:rsidRDefault="00163957" w:rsidP="00163957">
      <w:pPr>
        <w:pStyle w:val="TextoNormal"/>
      </w:pPr>
      <w:r>
        <w:t>Lo que no compartimos es la fundamentación que se ofrece sobre la constitucionalidad de la intervención estatal en una cuestión que, como se acaba de señalar, la propia Sentencia adscribe al ámbito de la autonomía universitaria: “[…] tiene una relación directa con el buen funcionamiento del servicio público de la educación superior que prestan las universidades, sobre todo a través de su profesorado funcionario. La parte más visible y externa de ese servicio público son precisamente las clases, teóricas y prácticas, que reciben los estudiantes. Y ahí reside un interés general, que trasciende al de la concreta comunidad universitaria, que habilita al Estado para establecer una regulación”.</w:t>
      </w:r>
    </w:p>
    <w:p w:rsidR="00163957" w:rsidRDefault="00163957" w:rsidP="00163957">
      <w:pPr>
        <w:pStyle w:val="TextoNormal"/>
      </w:pPr>
    </w:p>
    <w:p w:rsidR="00163957" w:rsidRDefault="00163957" w:rsidP="00163957">
      <w:pPr>
        <w:pStyle w:val="TextoNormal"/>
      </w:pPr>
      <w:r>
        <w:t xml:space="preserve">A nuestro juicio, la explicación ofrecida no encaja en ninguna de las tres líneas justificativas -antes mencionadas- de la intervención estatal en el ámbito de la autonomía universitaria. En realidad, la Sentencia no argumenta por qué sería necesaria una intervención estatal </w:t>
      </w:r>
      <w:r>
        <w:lastRenderedPageBreak/>
        <w:t>en la organización y distribución de las tareas docentes en detrimento de la autonomía universitaria constitucionalmente garantizada: de nuevo, las explicaciones son muy vagas e imprecisas, se alude a la “relación directa” con “el buen funcionamiento del servicio público de la educación”, sin indicar en qué consiste esa relación directa, o al “interés del Estado” en “la estandarización del total de la carga de trabajo del profesorado”.</w:t>
      </w:r>
    </w:p>
    <w:p w:rsidR="00163957" w:rsidRDefault="00163957" w:rsidP="00163957">
      <w:pPr>
        <w:pStyle w:val="TextoNormal"/>
      </w:pPr>
    </w:p>
    <w:p w:rsidR="00163957" w:rsidRDefault="00163957" w:rsidP="00163957">
      <w:pPr>
        <w:pStyle w:val="TextoNormal"/>
      </w:pPr>
      <w:r>
        <w:t>A lo anterior se añade la más que discutible racionalidad pedagógica de la medida: aunque esta circunstancia no acarree por sí misma una vulneración de la autonomía universitaria, tampoco es irrelevante si la finalidad perseguida por la intervención estatal controvertida es justamente el buen funcionamiento del servicio público de la educación. En efecto, debe destacarse que la medida impugnada no “premia” o “castiga” tanto “la intensidad y excelencia de la actividad investigadora” (como afirma la Exposición de motivos del Real Decreto-ley) como la edad del profesor, pues solo a partir de 18 años de experiencia investigadora evaluada positivamente puede un profesor reducir su carga lectiva “general” de 24 créditos ECTS en un 33 por ciento. Por otro lado, la norma impugnada solo afecta a una parte del personal docente e investigador de las universidades públicas, compuesto tanto de funcionarios de los cuerpos docentes universitarios como de personal contratado (art. 47 LOU): en consecuencia, el profesorado contratado laboral, que puede suponer un 49 por ciento del personal docente e investigador de las universidades públicas (art. 48.4 LOU), se ceñirá a la dedicación docente prevista en su contrato (sobre la base de 24 créditos ECTS para una dedicación exclusiva), con independencia de la intensidad y excelencia su actividad investigadora.</w:t>
      </w:r>
    </w:p>
    <w:p w:rsidR="00163957" w:rsidRDefault="00163957" w:rsidP="00163957">
      <w:pPr>
        <w:pStyle w:val="TextoNormal"/>
      </w:pPr>
    </w:p>
    <w:p w:rsidR="00163957" w:rsidRDefault="00163957" w:rsidP="00163957">
      <w:pPr>
        <w:pStyle w:val="TextoNormal"/>
      </w:pPr>
      <w:r>
        <w:t xml:space="preserve">Por último, queremos llamar la atención sobre la ambigüedad de un fragmento al final del fundamento jurídico 8, que declara que el precepto impugnado “no es inconstitucional por infracción del derecho fundamental a la autonomía universitaria, ya que se limita a establecer el </w:t>
      </w:r>
      <w:r w:rsidRPr="00163957">
        <w:rPr>
          <w:i/>
        </w:rPr>
        <w:t>quantum</w:t>
      </w:r>
      <w:r>
        <w:t xml:space="preserve"> de la dedicación de esos servidores públicos, dejando su contenido material y su enfoque u orientación en manos de las propias universidades y de las decisiones que tome el propio profesor afectado, con lo que se respeta el contenido fundamental de su libertad académica”. ¿Quiere decirse que, a fin de cuentas, las universidades podrán organizarse como quieran: por ejemplo, reconociendo créditos por actividades o méritos diversos que “equilibren” la inicial presión de la carga docente de 32 créditos? Si el juicio positivo de constitucionalidad que alcanza la Sentencia se pretendía basar en último término en el argumento de que la autonomía universitaria habría quedado preservada, no por lo que dice el precepto, sino en virtud de lo que viene a ser una interpretación conforme a la Constitución, esa interpretación conforme tendría que haberse formulado expresamente en la fundamentación y en el fallo.</w:t>
      </w:r>
    </w:p>
    <w:p w:rsidR="00163957" w:rsidRDefault="00163957" w:rsidP="00163957">
      <w:pPr>
        <w:pStyle w:val="TextoNormal"/>
      </w:pPr>
    </w:p>
    <w:p w:rsidR="00163957" w:rsidRDefault="00163957" w:rsidP="00163957">
      <w:pPr>
        <w:pStyle w:val="TextoNormal"/>
      </w:pPr>
      <w:r>
        <w:t>Y en este sentido emitimos nuestro Voto particular.</w:t>
      </w:r>
    </w:p>
    <w:p w:rsidR="00163957" w:rsidRDefault="00163957" w:rsidP="00163957">
      <w:pPr>
        <w:pStyle w:val="TextoNormal"/>
      </w:pPr>
    </w:p>
    <w:p w:rsidR="00163957" w:rsidRDefault="00163957" w:rsidP="00163957">
      <w:pPr>
        <w:pStyle w:val="TextoNormal"/>
      </w:pPr>
      <w:r>
        <w:t>Madrid, a dieciocho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30" w:name="SENTENCIA_2016_27"/>
      <w:r>
        <w:lastRenderedPageBreak/>
        <w:t>SENTENCIA 27/2016, de 18 de febrero de 2016</w:t>
      </w:r>
    </w:p>
    <w:bookmarkEnd w:id="30"/>
    <w:p w:rsidR="00163957" w:rsidRDefault="00163957" w:rsidP="00163957">
      <w:pPr>
        <w:pStyle w:val="TtuloResolucin"/>
      </w:pPr>
      <w:r>
        <w:t>Pleno</w:t>
      </w:r>
    </w:p>
    <w:p w:rsidR="00163957" w:rsidRDefault="00163957" w:rsidP="00163957">
      <w:pPr>
        <w:pStyle w:val="TtuloBOE"/>
      </w:pPr>
      <w:r>
        <w:t>(BOE núm. 71, de 23 de marzo de 2016)</w:t>
      </w:r>
    </w:p>
    <w:p w:rsidR="00163957" w:rsidRDefault="00163957" w:rsidP="00163957">
      <w:pPr>
        <w:pStyle w:val="TextoNormalCentrado"/>
      </w:pPr>
      <w:r>
        <w:t>ECLI:ES:TC:2016:27</w:t>
      </w:r>
    </w:p>
    <w:p w:rsidR="00163957" w:rsidRDefault="00163957" w:rsidP="00163957">
      <w:pPr>
        <w:pStyle w:val="TextoNormalCentrado"/>
      </w:pPr>
    </w:p>
    <w:p w:rsidR="00163957" w:rsidRDefault="00163957" w:rsidP="00163957">
      <w:pPr>
        <w:pStyle w:val="SntesisDescriptiva"/>
      </w:pPr>
      <w:r>
        <w:t>Conflicto en defensa de la autonomía local 2599-2013. Planteado por las Diputaciones Provinciales de Almería, Granada, Málaga y Cádiz en relación con el Decreto-ley del Consejo de Gobierno de la Junta de Andalucía 5/2012, de 27 de noviembre, de medidas urgentes en materia urbanística y para la protección del litoral de Andalucía.</w:t>
      </w:r>
    </w:p>
    <w:p w:rsidR="00163957" w:rsidRDefault="00163957" w:rsidP="00163957">
      <w:pPr>
        <w:pStyle w:val="SntesisDescriptiva"/>
      </w:pPr>
    </w:p>
    <w:p w:rsidR="00163957" w:rsidRDefault="00163957" w:rsidP="00163957">
      <w:pPr>
        <w:pStyle w:val="SntesisAnaltica"/>
      </w:pPr>
      <w:r>
        <w:t>Autonomía local, límites de los decretos-leyes, urbanismo y ordenación territorial: inadmisión del conflicto en defensa de la autonomía local por carencia de legitimación activa de las corporaciones locales promotoras.</w:t>
      </w:r>
    </w:p>
    <w:p w:rsidR="00163957" w:rsidRDefault="00163957" w:rsidP="00163957">
      <w:pPr>
        <w:pStyle w:val="SntesisAnaltica"/>
      </w:pPr>
    </w:p>
    <w:p w:rsidR="00163957" w:rsidRDefault="00163957" w:rsidP="00163957">
      <w:pPr>
        <w:pStyle w:val="Extracto"/>
      </w:pPr>
      <w:r>
        <w:t>1.</w:t>
      </w:r>
      <w:r>
        <w:tab/>
        <w:t>Las diputaciones provinciales no están legitimadas para promover el conflicto cuando no acuden al Tribunal en la condición de sujetos directamente afectados por la norma discutida, sino que promueven el proceso constitucional para defender una competencia ajena [FJ 5].</w:t>
      </w:r>
    </w:p>
    <w:p w:rsidR="00163957" w:rsidRDefault="00163957" w:rsidP="00163957">
      <w:pPr>
        <w:pStyle w:val="Extracto"/>
      </w:pPr>
    </w:p>
    <w:p w:rsidR="00163957" w:rsidRDefault="00163957" w:rsidP="00163957">
      <w:pPr>
        <w:pStyle w:val="Extracto"/>
      </w:pPr>
      <w:r>
        <w:t>2.</w:t>
      </w:r>
      <w:r>
        <w:tab/>
        <w:t>La legitimación procesal de las provincias para impugnar, a través de un conflicto en defensa de la autonomía local, normas que afectan competencias exclusivamente municipales no puede derivarse de su función de garantía de las atribuciones municipales [FJ 5].</w:t>
      </w:r>
    </w:p>
    <w:p w:rsidR="00163957" w:rsidRDefault="00163957" w:rsidP="00163957">
      <w:pPr>
        <w:pStyle w:val="Extracto"/>
      </w:pPr>
    </w:p>
    <w:p w:rsidR="00163957" w:rsidRDefault="00163957" w:rsidP="00163957">
      <w:pPr>
        <w:pStyle w:val="Extracto"/>
      </w:pPr>
      <w:r>
        <w:t>3.</w:t>
      </w:r>
      <w:r>
        <w:tab/>
        <w:t>Las funciones provinciales de asistencia sirven para asegurar el ejercicio íntegro de las competencias municipales, pero en modo alguno atribuyen a las diputaciones provinciales la capacitad de sustituir unilateralmente la voluntad de los municipios a efectos de entablar un proceso judicial [FJ 5].</w:t>
      </w:r>
    </w:p>
    <w:p w:rsidR="00163957" w:rsidRDefault="00163957" w:rsidP="00163957">
      <w:pPr>
        <w:pStyle w:val="Extracto"/>
      </w:pPr>
    </w:p>
    <w:p w:rsidR="00163957" w:rsidRDefault="00163957" w:rsidP="00163957">
      <w:pPr>
        <w:pStyle w:val="Extracto"/>
      </w:pPr>
      <w:r>
        <w:t>4.</w:t>
      </w:r>
      <w:r>
        <w:tab/>
        <w:t>La impugnación de una norma con rango de ley, a través del conflicto en defensa de la autonomía local, puede producirse sólo si la norma impugnada tiene una incidencia directa en el ámbito de autonomía propio del ente o entes locales que entablan el conflicto, si produce una situación material de menoscabo de dicho ámbito de la que derive el interés del impugnante en el restablecimiento de su competencia, y si, a esa afectación de la propia esfera, se suma el cumplimiento estricto de los requisitos formales de representatividad [FJ 4].</w:t>
      </w:r>
    </w:p>
    <w:p w:rsidR="00163957" w:rsidRDefault="00163957" w:rsidP="00163957">
      <w:pPr>
        <w:pStyle w:val="Extracto"/>
      </w:pPr>
    </w:p>
    <w:p w:rsidR="00163957" w:rsidRDefault="00163957" w:rsidP="00163957">
      <w:pPr>
        <w:pStyle w:val="Extracto"/>
      </w:pPr>
      <w:r>
        <w:t>5.</w:t>
      </w:r>
      <w:r>
        <w:tab/>
        <w:t>La misión exclusiva de refuerzo de un ámbito subjetivo de autonomía explica la restricción del objeto del conflicto, pues éste sólo puede articularse en razón de un único motivo de inconstitucionalidad, la lesión de la autonomía local constitucionalmente garantizada, sin que puedan alegarse con ocasión del mismo otras vulneraciones distintas del texto constitucional [FJ 3].</w:t>
      </w:r>
    </w:p>
    <w:p w:rsidR="00163957" w:rsidRDefault="00163957" w:rsidP="00163957">
      <w:pPr>
        <w:pStyle w:val="Extracto"/>
      </w:pPr>
    </w:p>
    <w:p w:rsidR="00163957" w:rsidRDefault="00163957" w:rsidP="00163957">
      <w:pPr>
        <w:pStyle w:val="Extracto"/>
      </w:pPr>
      <w:r>
        <w:t>6.</w:t>
      </w:r>
      <w:r>
        <w:tab/>
        <w:t>El conflicto en defensa de la autonomía local no está llamado a cumplir una misión de defensa abstracta de la supremacía de la Constitución, sino que responde a la finalidad exclusiva de reforzar las posibilidades de tutela jurídica de la esfera de competencia propia del ente público impugnante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Trias,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conflicto en defensa de la autonomía local núm. 2599-2013, promovido por las Diputaciones Provinciales de Almería, representada por el Procurador de los Tribunales don Ignacio Aguilar Fernández; de Granada, representada por el Procurador de los Tribunales don Juan Ignacio Valverde Cánovas; de Málaga, representada por la Procuradora de los Tribunales doña Victoria Pérez-Mulet y Diez-Picasso; y de Cádiz, representada por el Procurador de los Tribunales don José Ignacio de Noriega Arquer, asistidas por el Abogado don Alfonso Pérez Moreno, en relación con los arts. 2 y 3 del Decreto-Ley 5/2012, de 27 de noviembre, del Consejo de Gobierno de la Junta de Andalucía, de medidas urgentes en materia urbanística y para la protección del litoral de Andalucía, así como respecto de la totalidad del citado Decreto-ley por no concurrir la extraordinaria y urgente necesidad que exigen los arts. 86.1 CE y 110 del Estatuto de Autonomía de Andalucía, con lesión de la autonomía local constitucionalmente garantizada. Han comparecido y formulado alegaciones el Parlamento y la Junta de Gobierno de Andalucía. Ha sido Ponente el Magistrado don Antonio Narváez Rodríguez,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del Tribunal el día 30 de abril de 2013 don Ignacio Aguilar Fernández, don Juan Ignacio Valverde Cánovas, doña Victoria Pérez-Mulet y Diez-Picasso, don José Ignacio de Noriega Arquer, Procuradores de los Tribunales, en nombre y representación de las Diputaciones Provinciales de Almería, Granada, Málaga y Cádiz, respectivamente, plantearon conflicto en defensa de la autonomía local en relación con los arts. 2 y 3 del Decreto-ley 5/2012, de 27 de noviembre, del Consejo de Gobierno de la Junta de Andalucía, de medidas urgentes en materia urbanística y para la protección del litoral de Andalucía, así como respecto de la totalidad de esta norma por falta del presupuesto de hecho habilitante de extraordinaria y urgente necesidad. El Decreto-ley impugnado fue publicado en el “BOJA” núm. 233, de 28 de noviembre de 2012, y entró en vigor ese mismo día. Fue posteriormente convalidado por acuerdo del Parlamento de Andalucía, (resolución de 12 de diciembre de 2012, publicada en el “BOJA” núm. 253, de 28 de diciembre de 2012).</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2</w:t>
      </w:r>
      <w:r>
        <w:t>. De acuerdo con lo alegado por sus promotores, el conflicto se formaliza por entender que las normas impugnadas vulneran la autonomía municipal, vulneración que también se derivaría de la inexistencia del presupuesto habilitante para dictar la norma, que viene exigido, tanto por el art. 86.1 CE como por el art. 110 del Estatuto de Autonomía para Andalucía (en adelante EAAnd), y que infringe la autonomía local constitucionalmente garantizada porque, sin existir la extraordinaria y urgente necesidad, la aprobación por decreto-ley de las medidas impugnadas imposibilita la participación de las entidades locales afectadas en el procedimiento de suspensión cautelar del planeamiento, regulado en el art. 35.2 de la Ley 7/2002, de 17 de diciembre, de ordenación urbanística de Andalucía, que prevé la participación de las precitadas entidades locales afectadas.</w:t>
      </w:r>
    </w:p>
    <w:p w:rsidR="00163957" w:rsidRDefault="00163957" w:rsidP="00163957">
      <w:pPr>
        <w:pStyle w:val="TextoNormal"/>
      </w:pPr>
    </w:p>
    <w:p w:rsidR="00163957" w:rsidRDefault="00163957" w:rsidP="00163957">
      <w:pPr>
        <w:pStyle w:val="TextoNormal"/>
      </w:pPr>
      <w:r>
        <w:t>Las disposiciones impugnadas establecen lo siguiente:</w:t>
      </w:r>
    </w:p>
    <w:p w:rsidR="00163957" w:rsidRDefault="00163957" w:rsidP="00163957">
      <w:pPr>
        <w:pStyle w:val="TextoNormal"/>
      </w:pPr>
    </w:p>
    <w:p w:rsidR="00163957" w:rsidRDefault="00163957" w:rsidP="00163957">
      <w:pPr>
        <w:pStyle w:val="TextoNormal"/>
      </w:pPr>
      <w:r>
        <w:t>“Artículo 2. Adopción de medidas cautelares urgentes en el ámbito del litoral.</w:t>
      </w:r>
    </w:p>
    <w:p w:rsidR="00163957" w:rsidRDefault="00163957" w:rsidP="00163957">
      <w:pPr>
        <w:pStyle w:val="TextoNormal"/>
      </w:pPr>
    </w:p>
    <w:p w:rsidR="00163957" w:rsidRDefault="00163957" w:rsidP="00163957">
      <w:pPr>
        <w:pStyle w:val="TextoNormal"/>
      </w:pPr>
      <w:r>
        <w:t>1. Desde la entrada en vigor del presente Decreto-ley y hasta tanto se apruebe el Plan de Protección del Corredor Litoral de Andalucía, en los municipios costeros que se relacionan en el Anexo, cuyo planeamiento general ha sido aprobado con anterioridad a la entrada en vigor del Plan de Ordenación del Territorio de Andalucía, se suspende el procedimiento para la aprobación de los planes de sectorización y de los planes parciales en suelo urbanizable en los ámbitos que incluyan terrenos situados a una distancia inferior a 500 metros medidos en proyección horizontal tierra adentro, desde el límite interior de la ribera del mar.</w:t>
      </w:r>
    </w:p>
    <w:p w:rsidR="00163957" w:rsidRDefault="00163957" w:rsidP="00163957">
      <w:pPr>
        <w:pStyle w:val="TextoNormal"/>
      </w:pPr>
    </w:p>
    <w:p w:rsidR="00163957" w:rsidRDefault="00163957" w:rsidP="00163957">
      <w:pPr>
        <w:pStyle w:val="TextoNormal"/>
      </w:pPr>
      <w:r>
        <w:t>2. Desde el inicio de la información pública del Plan de Protección del Corredor Litoral de Andalucía, la suspensión a que hace referencia el apartado 1 solo será de aplicación a los sectores afectados por las determinaciones de dicho Plan que se identifiquen expresamente en el documento sometido a dicho trámite.</w:t>
      </w:r>
    </w:p>
    <w:p w:rsidR="00163957" w:rsidRDefault="00163957" w:rsidP="00163957">
      <w:pPr>
        <w:pStyle w:val="TextoNormal"/>
      </w:pPr>
    </w:p>
    <w:p w:rsidR="00163957" w:rsidRDefault="00163957" w:rsidP="00163957">
      <w:pPr>
        <w:pStyle w:val="TextoNormal"/>
      </w:pPr>
      <w:r>
        <w:t>3. Las medidas de suspensión a que se refiere el apartado primero tendrán una vigencia máxima de dos años desde la entrada en vigor de este Decreto-ley y quedarán sin efecto si dentro de dicho plazo se produce la adaptación del respectivo Plan General de Ordenación Urbanística a las determinaciones del Plan de Ordenación del Territorio de Andalucía. Esta suspensión se extingue, en todo caso, con la entrada en vigor del Plan de Protección del Corredor Litoral de Andalucía.”</w:t>
      </w:r>
    </w:p>
    <w:p w:rsidR="00163957" w:rsidRDefault="00163957" w:rsidP="00163957">
      <w:pPr>
        <w:pStyle w:val="TextoNormal"/>
      </w:pPr>
    </w:p>
    <w:p w:rsidR="00163957" w:rsidRDefault="00163957" w:rsidP="00163957">
      <w:pPr>
        <w:pStyle w:val="TextoNormal"/>
      </w:pPr>
      <w:r>
        <w:t>“Artículo 3. Medidas urgentes de adecuación del planeamiento urbanístico al Plan de Ordenación del Territorio de Andalucía.</w:t>
      </w:r>
    </w:p>
    <w:p w:rsidR="00163957" w:rsidRDefault="00163957" w:rsidP="00163957">
      <w:pPr>
        <w:pStyle w:val="TextoNormal"/>
      </w:pPr>
    </w:p>
    <w:p w:rsidR="00163957" w:rsidRDefault="00163957" w:rsidP="00163957">
      <w:pPr>
        <w:pStyle w:val="TextoNormal"/>
      </w:pPr>
      <w:r>
        <w:t xml:space="preserve">1. Los municipios que a la entrada en vigor del presente Decreto Ley no hayan adaptado su planeamiento general a las determinaciones establecidas en el Plan de Ordenación del Territorio de Andalucía y a los criterios para su desarrollo, deberán hacerlo mediante la revisión de dicho planeamiento en el plazo establecido en el respectivo instrumento de planeamiento general a la entrada en vigor de este Decreto-ley o, si éste no lo estableciera, en el plazo máximo de ocho años desde su aprobación definitiva por la Consejería competente en materia de urbanismo. Habiendo transcurrido el plazo a que se refiere el párrafo anterior sin que se haya aprobado la revisión, la Consejería competente en materia de urbanismo, previo requerimiento al municipio correspondiente, podrá sustituir la inactividad municipal </w:t>
      </w:r>
      <w:r>
        <w:lastRenderedPageBreak/>
        <w:t>conforme a lo dispuesto en el artículo 36.3 de la Ley 7/2002, de 17 de diciembre, de Ordenación Urbanística de Andalucía.</w:t>
      </w:r>
    </w:p>
    <w:p w:rsidR="00163957" w:rsidRDefault="00163957" w:rsidP="00163957">
      <w:pPr>
        <w:pStyle w:val="TextoNormal"/>
      </w:pPr>
    </w:p>
    <w:p w:rsidR="00163957" w:rsidRDefault="00163957" w:rsidP="00163957">
      <w:pPr>
        <w:pStyle w:val="TextoNormal"/>
      </w:pPr>
      <w:r>
        <w:t>2. Transcurrido el plazo de revisión sin que ésta se haya aprobado, no se podrán tramitar instrumentos de planeamiento de desarrollo que supongan para el municipio un crecimiento superior a los límites establecidos en la Norma 45 del Plan de Ordenación del Territorio de Andalucía y en los criterios para su desarrollo.”</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El escrito de interposición del conflicto dedica su primer apartado a justificar la legitimación de las Diputaciones Provinciales que lo promueven. Para ello cita el art. 3.3 de la Ley 5/2010, de 11 de junio, de autonomía local de Andalucía, y señala que se ha recibido de un gran número de municipios el rechazo frontal al Decreto-ley 5/2012, lo que motiva que las Diputaciones Provinciales de referencia hayan promovido el conflicto, de conformidad con lo previsto en el art. 75 </w:t>
      </w:r>
      <w:r w:rsidRPr="00163957">
        <w:rPr>
          <w:i/>
        </w:rPr>
        <w:t>ter</w:t>
      </w:r>
      <w:r>
        <w:t xml:space="preserve"> de la Ley Orgánica del Tribunal Constitucional (LOTC), en la medida en que, con el mismo, se pretende garantizar el ejercicio de las competencias municipales. Junto a ello se argumenta que cabría, incluso, hablar de la vulneración de competencias propias, pues entre ellas se encuentra la de asistencia técnica sobre la elaboración y disciplina del planeamiento urbanístico y de instrumentos de gestión urbanística [art. 12.1 a) de la Ley 5/2010], así como la relativa a la asistencia material al municipio prevista en el art. 14.1 de la misma Ley. Se alude también al Voto particular que se formula a los dictámenes del Consejo Consultivo de Andalucía que, frente a lo argumentado en ellos (que niegan la concurrencia de la legitimación </w:t>
      </w:r>
      <w:r w:rsidRPr="00163957">
        <w:rPr>
          <w:i/>
        </w:rPr>
        <w:t>ad causam</w:t>
      </w:r>
      <w:r>
        <w:t xml:space="preserve"> precisa para promover el conflicto), estima que las mismas se encuentran legitimadas para promoverlo, en cuanto que el art. 75 </w:t>
      </w:r>
      <w:r w:rsidRPr="00163957">
        <w:rPr>
          <w:i/>
        </w:rPr>
        <w:t>ter</w:t>
      </w:r>
      <w:r>
        <w:t>.1 LOTC toma como referencia el ámbito territorial de aplicación de la norma y no el ámbito subjetivo de las competencias afectadas, interpretación que se deduciría, a su juicio, de los AATC 361/2005 a 364/2005.</w:t>
      </w:r>
    </w:p>
    <w:p w:rsidR="00163957" w:rsidRDefault="00163957" w:rsidP="00163957">
      <w:pPr>
        <w:pStyle w:val="TextoNormal"/>
      </w:pPr>
    </w:p>
    <w:p w:rsidR="00163957" w:rsidRDefault="00163957" w:rsidP="00163957">
      <w:pPr>
        <w:pStyle w:val="TextoNormal"/>
      </w:pPr>
      <w:r>
        <w:t xml:space="preserve">En cuanto al fondo del asunto, los recurrentes alegan, como primer motivo de impugnación, que el art. 2 del Decreto-ley 5/2012 implica la suspensión </w:t>
      </w:r>
      <w:r w:rsidRPr="00163957">
        <w:rPr>
          <w:i/>
        </w:rPr>
        <w:t>ex lege</w:t>
      </w:r>
      <w:r>
        <w:t xml:space="preserve"> del planeamiento general así como del legítimo ejercicio de potestades municipales relativas al procedimiento para la aprobación de los planes de sectorización y de los planes parciales en suelo urbanizable durante el plazo máximo de dos años desde la entrada en vigor del Decreto-ley, que se corresponde con el que está previsto para la aprobación del plan de protección del corredor litoral; esto es, hasta el 29 de noviembre de 2014. El artículo 2 del Decreto-ley adopta unas medidas cautelares que denomina urgentes en ese ámbito litoral consistentes en suspender el procedimiento para la aprobación de los planes de sectorización y de los planes parciales en suelo urbanizable, en los ámbitos que incluyan terrenos situados a una distancia inferior a 500 metros, medidos en proyección horizontal tierra adentro, desde el límite interior de la ribera del mar, siempre que se trate de municipios que no hayan revisado su planeamiento general para adaptarse a los límites de crecimiento del plan de ordenación territorial de Andalucía, lo que sólo han hecho 10 de los 62 municipios costeros. Entienden los promotores del conflicto que “estamos ante una norma con rango de ley que viene a paralizar de forma indiscriminada el procedimiento de tramitación de cualquier plan de sectorización o plan parcial de suelo urbanizable que afecte a dicha franja de terreno litoral. Se trata de una medida suspensiva </w:t>
      </w:r>
      <w:r w:rsidRPr="00163957">
        <w:rPr>
          <w:i/>
        </w:rPr>
        <w:t>ex lege</w:t>
      </w:r>
      <w:r>
        <w:t xml:space="preserve">, que afecta de manera directa, y sin posible participación ni procedimiento alguno, a las competencias municipales en materia de planeamiento, y supone una paralización del legítimo ejercicio de las competencias de planeamiento municipales”. Aluden para fundamentar esta afirmación a la doctrina constitucional </w:t>
      </w:r>
      <w:r>
        <w:lastRenderedPageBreak/>
        <w:t>sobre la autonomía local y su plasmación en la Ley 7/1985, de 7 de abril, de bases del régimen local.</w:t>
      </w:r>
    </w:p>
    <w:p w:rsidR="00163957" w:rsidRDefault="00163957" w:rsidP="00163957">
      <w:pPr>
        <w:pStyle w:val="TextoNormal"/>
      </w:pPr>
    </w:p>
    <w:p w:rsidR="00163957" w:rsidRDefault="00163957" w:rsidP="00163957">
      <w:pPr>
        <w:pStyle w:val="TextoNormal"/>
      </w:pPr>
      <w:r>
        <w:t>Según los promotores del conflicto, con arreglo a la Constitución Española se ha producido una absoluta judicialización de los controles sobre las resoluciones adoptadas por las corporaciones locales, con lo que se ha de entender vetada cualquier tipo de posibilidad de articular mecanismos de tutela administrativa y cualquier facultad de producir efectos suspensivos sobre las resoluciones de las corporaciones locales. Eso es precisamente lo que se ha ocasionado en el caso que nos ocupa cuando la norma impugnada, una vez en vigor, ha suspendido, para todos los municipios afectados, su Plan General vigente para suelos urbanizables, dentro de los 500 metros de protección del litoral, y sus potestades de iniciativa de planes de sectorización y de tramitación y aprobación de planes parciales. Se contradice con ello el derecho de las entidades locales a decidir con plena libertad y capacidad sobre sus intereses urbanísticos y, en un sentido más amplio, territoriales, frente a las competencias estatales o autonómicas con trascendencia territorial, en especial las autonómicas en materia de urbanismo en las que se incluyen las potestades de control sobre la actividad de los entes locales mediante la aprobación definitiva de los planes urbanísticos y el aseguramiento del cumplimiento de la legalidad urbanística. Así, las leyes autonómicas de ordenación del territorio y de urbanismo están llamadas a concretar las competencias locales en la materia que regulan, pero resultarán inconstitucionales cuando no otorguen suficiente participación a los entes locales en la toma de decisiones que afecten a sus intereses territoriales o cuando introduzcan mecanismos de control incompatibles con la autonomía municipal.</w:t>
      </w:r>
    </w:p>
    <w:p w:rsidR="00163957" w:rsidRDefault="00163957" w:rsidP="00163957">
      <w:pPr>
        <w:pStyle w:val="TextoNormal"/>
      </w:pPr>
    </w:p>
    <w:p w:rsidR="00163957" w:rsidRDefault="00163957" w:rsidP="00163957">
      <w:pPr>
        <w:pStyle w:val="TextoNormal"/>
      </w:pPr>
      <w:r>
        <w:t xml:space="preserve">A diferencia de lo que ocurre en el art. 35.2 de la Ley 7/2002, de 17 de diciembre, de ordenación urbanística de Andalucía, en el art. 2 impugnado, ni siquiera se prevé la audiencia del municipio afectado, sino que la suspensión se produce </w:t>
      </w:r>
      <w:r w:rsidRPr="00163957">
        <w:rPr>
          <w:i/>
        </w:rPr>
        <w:t>ex lege</w:t>
      </w:r>
      <w:r>
        <w:t xml:space="preserve"> por dos años sin analizar motivadamente los supuestos concretos en los que se encuentran los distintos suelos urbanizables sectorizados y no sectorizados de todos los municipios afectados. Se trata de un Decreto-ley contrario a las garantías constitucionales, que no permite la necesaria intervención del ente local afectado ni de los particulares, y que implanta una medida suspensiva indiscriminada para todos los suelos urbanizables dentro de los 500 metros de influencia del litoral enarbolando la idea de la defensa de la costa pero “admitiendo que ya se verá los suelos que verdaderamente necesitan de protegerse y cuales no y en qué medida”. Así, la “medida incluso impide a los Ayuntamientos afectados que puedan ejercer en base al derecho a una tutela judicial efectiva impugnarla ante la Jurisdicción Contencioso-Administrativa, quedándole sólo la vía abierta de la defensa constitucional de su autonomía local”.</w:t>
      </w:r>
    </w:p>
    <w:p w:rsidR="00163957" w:rsidRDefault="00163957" w:rsidP="00163957">
      <w:pPr>
        <w:pStyle w:val="TextoNormal"/>
      </w:pPr>
    </w:p>
    <w:p w:rsidR="00163957" w:rsidRDefault="00163957" w:rsidP="00163957">
      <w:pPr>
        <w:pStyle w:val="TextoNormal"/>
      </w:pPr>
      <w:r>
        <w:t>Por último, aludiendo al voto particular formulado al dictamen del Consejo Consultivo de Andalucía, se afirma que “estamos ante una nueva forma de afrontar el control sobre el urbanismo del litoral, una auténtica moratoria elevada al rango de ley en el desarrollo de planes en suelo urbanizable en la costa andaluza, que no respeta el umbral mínimo de constitucionalidad trazado en medidas de control urbanístico autonómico, y que amenaza incluso con entrar en colisión directa con la reforma de la Ley de costas que el Estado tramita en la actualidad”.</w:t>
      </w:r>
    </w:p>
    <w:p w:rsidR="00163957" w:rsidRDefault="00163957" w:rsidP="00163957">
      <w:pPr>
        <w:pStyle w:val="TextoNormal"/>
      </w:pPr>
    </w:p>
    <w:p w:rsidR="00163957" w:rsidRDefault="00163957" w:rsidP="00163957">
      <w:pPr>
        <w:pStyle w:val="TextoNormal"/>
      </w:pPr>
      <w:r>
        <w:t xml:space="preserve">Como segundo motivo de impugnación se aduce que el art. 3 del Decreto-ley 5/2012, de 27 de noviembre, atenta contra la autonomía local al imponer los límites de crecimiento urbanístico de la norma 45 del plan de ordenación territorial de Andalucía sin procedimiento </w:t>
      </w:r>
      <w:r>
        <w:lastRenderedPageBreak/>
        <w:t>administrativo alguno de revisión de los planes generales. El art. 3 adopta un plazo máximo de revisión de todos los planes generales de ordenación urbana que no estén adaptados al plan de ordenación territorial de Andalucía, que será el que esté establecido en los propios planes o, subsidiariamente, el plazo de ocho años desde que se aprobaron definitivamente por la Consejería. En el caso de que haya transcurrido el plazo se pondrá en marcha el sistema de subrogación en las competencias municipales previsto en el artículo 36.3 de la Ley de ordenación urbanística de Andalucía, con base en el artículo 60 de la Ley de bases del régimen local. Sin embargo, no se queda en ese punto la norma, sino que, a juicio de los promotores del conflicto, en el apartado segundo del artículo se incluye la afirmación de que, si transcurre el mencionado plazo de revisión sin que se haya aprobado ésta, ya no se podrán tramitar instrumentos de desarrollo que supongan para el municipio un crecimiento superior a los límites establecidos en la norma 45 del plan de ordenación territorial de Andalucía y en los criterios para su desarrollo. Entienden los recurrentes que “prohibir con carácter general, en todos los municipios andaluces, que cuando un Plan General supere su plazo de revisión, automáticamente quede el municipio imposibilitado para tramitar instrumentos de desarrollo que supongan crecimientos superiores a los límites al crecimiento del art. 45 del plan de ordenación territorial de Andalucía, supone no respetar la autonomía local, pues no se otorga al Ayuntamiento en cuestión la posibilidad de demostrar en el seno de un específico procedimiento administrativo que el desarrollo propuesto es acorde con los criterios del plan de ordenación territorial de Andalucía. Además, al tratarse de planes anteriores al plan de ordenación territorial de Andalucía, se estaría dando una validez retroactiva automática a medidas limitadoras, habiendo sido la propia Comunidad Autónoma la que habría aprobado definitivamente los Planes Generales que ahora pretenden congelarse en su desarrollo”. La norma pretende así que los límites al crecimiento establecidos genéricamente en el plan de ordenación territorial de Andalucía impidan a los municipios poder plantear cualquier desarrollo urbanístico, aún previsto en el plan general vigente, aprobado por la Junta de Andalucía, lo que supone establecer un límite sin respaldo en motivación territorial o urbanística concreta o específica.</w:t>
      </w:r>
    </w:p>
    <w:p w:rsidR="00163957" w:rsidRDefault="00163957" w:rsidP="00163957">
      <w:pPr>
        <w:pStyle w:val="TextoNormal"/>
      </w:pPr>
    </w:p>
    <w:p w:rsidR="00163957" w:rsidRDefault="00163957" w:rsidP="00163957">
      <w:pPr>
        <w:pStyle w:val="TextoNormal"/>
      </w:pPr>
      <w:r>
        <w:t>Por último, como tercer motivo de impugnación, las diputaciones recurrentes alegan la inexistencia de la extraordinaria y urgente necesidad que se exige a un decreto-ley, atentando contra la autonomía local, pues de la lectura de la exposición de motivos del Decreto-ley 5/2012 se deduce que los argumentos en los que la Comunidad Autónoma pretende basar la extraordinaria y urgente necesidad son evitar que se desarrollen en la costa procesos urbanos que vengan a incidir negativamente en la protección de las costas, evitar que esos desarrollos estén amparados por la inactividad de los Ayuntamientos en la revisión de sus planes generales de ordenación urbana, con el objeto de adaptarlos al plan de ordenación territorial de Andalucía y, en concreto, a los límites de crecimiento previstos en la norma 45. Sin embargo, aducen las recurrentes que ninguna de estas razones sirve para justificar la extraordinaria y urgente necesidad y menos en el contexto de crisis económica en el que nos encontramos, donde el propio mercado mantiene paralizadas gran parte de las iniciativas de desarrollo urbanístico. En cuanto a la justificación que ofrece la exposición de motivos del decreto-ley impugnado respecto de la necesidad de obligar a la adaptación de los planes generales de ordenación urbana al plan de ordenación territorial de Andalucía y corregir los desequilibrios territoriales que se han producido en los últimos años, consideran los promotores del conflicto que se trata de una justificación puramente formal, ya que esas razones podrían motivar un cambio normativo pero no por la vía extraordinaria utilizada.</w:t>
      </w:r>
    </w:p>
    <w:p w:rsidR="00163957" w:rsidRDefault="00163957" w:rsidP="00163957">
      <w:pPr>
        <w:pStyle w:val="TextoNormal"/>
      </w:pPr>
    </w:p>
    <w:p w:rsidR="00163957" w:rsidRDefault="00163957" w:rsidP="00163957">
      <w:pPr>
        <w:pStyle w:val="TextoNormal"/>
      </w:pPr>
      <w:r>
        <w:lastRenderedPageBreak/>
        <w:t>Asimismo, desde un punto de vista jurídico, aducen que tampoco existe una situación de extraordinaria y urgente necesidad que imponga la elaboración de nuevos instrumentos de ordenación del territorio, pues los planes subregionales previstos en la Ley 11/1994, de 11 de enero, de ordenación del territorio de Andalucía y vinculantes para los planes urbanísticos han de incluir disposiciones para la protección de las costas. Además, la mayoría de los planes subregionales de ordenación del territorio relacionados en la demanda están adaptados al plan de ordenación territorial de Andalucía de 2006. No existe, pues, urgencia en la creación de un nuevo instrumento de protección de las costas, dado que ya se fijaron criterios de protección de las costas en la Ley de ordenación urbanística de Andalucía. Tampoco existiría urgencia en la adaptación de los planes generales de ordenación urbana a los límites de crecimiento establecidos en el plan de ordenación territorial de Andalucía (norma 45), que la propia Junta de Andalucía ha excepcionado con posterioridad, los cuales, por lo demás, quedarían desfasados con la aprobación del plan de protección del corredor litoral.</w:t>
      </w:r>
    </w:p>
    <w:p w:rsidR="00163957" w:rsidRDefault="00163957" w:rsidP="00163957">
      <w:pPr>
        <w:pStyle w:val="TextoNormal"/>
      </w:pPr>
    </w:p>
    <w:p w:rsidR="00163957" w:rsidRDefault="00163957" w:rsidP="00163957">
      <w:pPr>
        <w:pStyle w:val="TextoNormal"/>
      </w:pPr>
      <w:r>
        <w:t>Discuten las Diputaciones recurrentes la tesis del Consejo Consultivo según la cual la concurrencia de la extraordinaria y urgente necesidad no puede ser objeto del conflicto en defensa de la autonomía local, pues entienden que, en este caso, la falta del presupuesto habilitante de la norma implica una vulneración de la autonomía local, por los efectos directos y específicos que, para la autonomía local, tiene el empleo del decreto-ley, dado que tal utilización permite eludir la participación de las entidades locales andaluzas en el procedimiento legislativo autonómico que afecta a sus competencias propias, cuando no existe una extraordinaria y urgente necesidad.</w:t>
      </w:r>
    </w:p>
    <w:p w:rsidR="00163957" w:rsidRDefault="00163957" w:rsidP="00163957">
      <w:pPr>
        <w:pStyle w:val="TextoNormal"/>
      </w:pPr>
    </w:p>
    <w:p w:rsidR="00163957" w:rsidRDefault="00163957" w:rsidP="00163957">
      <w:pPr>
        <w:pStyle w:val="TextoNormal"/>
      </w:pPr>
      <w:r w:rsidRPr="00163957">
        <w:rPr>
          <w:rStyle w:val="NumeroAFNegritaCaracter"/>
        </w:rPr>
        <w:t>4</w:t>
      </w:r>
      <w:r>
        <w:t>. Por diligencia de ordenación de la Secretaría de Justicia del Pleno del Tribunal de 7 de mayo de 2013 se acordó requerir a los representantes legales de las Diputaciones Provinciales promotoras del conflicto para que en el plazo de diez días aportasen el dictamen de 20 de marzo de 2013 del Consejo Consultivo de Andalucía en relación con el Decreto-Ley 5/2012, de 27 de noviembre, de medidas urgentes en materia urbanística y para la protección del litoral de Andalucía y, asimismo, acreditasen la fecha de recepción del citado dictamen.</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presentado en el Registro General del Tribunal Constitucional el día 22 de marzo de 2013, los representantes legales de las Diputaciones Provinciales promotoras del conflicto adjuntaron, de conformidad con el requerimiento previo efectuado por la Secretaria de Justicia del Pleno del Tribunal, el dictamen de 20 de marzo de 2013 del Consejo Consultivo de Andalucía requerido y acreditaron, como fecha de recepción del mismo, la del 26 de marzo, en el caso de las Diputaciones Provinciales de Almería y Cádiz, y del 1 de abril, las de Málaga y Granada.</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Por providencia del Pleno del Tribunal de 10 de septiembre de 2013, a propuesta de la Sección Cuarta, se acordó admitir a trámite el conflicto en defensa de la autonomía local planteado por las Diputaciones Provinciales de Almería, Granada, Málaga y Cádiz. Además, se acordó, de conformidad con lo dispuesto en el art. 75 </w:t>
      </w:r>
      <w:r w:rsidRPr="00163957">
        <w:rPr>
          <w:i/>
        </w:rPr>
        <w:t>quinque</w:t>
      </w:r>
      <w:r>
        <w:t xml:space="preserve">.2 de la Ley Orgánica del Tribunal Constitucional (LOTC), dar traslado de la demanda y documentos presentados al Congreso de los Diputados y al Senado, así como a la Junta de Andalucía y al Parlamento de Andalucía, por conducto de sus Presidentes, y al Gobierno de la Nación, por conducto del Ministro de Justicia, para que en el plazo de veinte días pudiesen personarse en el proceso y formular las alegaciones que estimasen pertinentes. Por último, se acordó publicar la </w:t>
      </w:r>
      <w:r>
        <w:lastRenderedPageBreak/>
        <w:t>incoación del conflicto en el “Boletín Oficial del Estado” y en el “Diario Oficial de la Junta de Andalucía”.</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presentado en el Registro General del Tribunal el día 23 de septiembre de 2013, el Abogado del Estado declaró que no iba a formular alegaciones y que se personaba a los solos efectos de que, en su día, le fueran notificadas las resoluciones que se dicten en el mismo.</w:t>
      </w:r>
    </w:p>
    <w:p w:rsidR="00163957" w:rsidRDefault="00163957" w:rsidP="00163957">
      <w:pPr>
        <w:pStyle w:val="TextoNormal"/>
      </w:pPr>
    </w:p>
    <w:p w:rsidR="00163957" w:rsidRDefault="00163957" w:rsidP="00163957">
      <w:pPr>
        <w:pStyle w:val="TextoNormal"/>
      </w:pPr>
      <w:r w:rsidRPr="00163957">
        <w:rPr>
          <w:rStyle w:val="NumeroAFNegritaCaracter"/>
        </w:rPr>
        <w:t>8</w:t>
      </w:r>
      <w:r>
        <w:t>. Mediante escritos registrados en el Tribunal Constitucional los días 25 y 26 de septiembre de 2013, se dieron por personados, respectivamente, el Senado y el Congreso de los Diputados, que ofrecieron su colaboración a los efectos del art. 88.1 LOTC en el presente proceso constitucional.</w:t>
      </w:r>
    </w:p>
    <w:p w:rsidR="00163957" w:rsidRDefault="00163957" w:rsidP="00163957">
      <w:pPr>
        <w:pStyle w:val="TextoNormal"/>
      </w:pPr>
    </w:p>
    <w:p w:rsidR="00163957" w:rsidRDefault="00163957" w:rsidP="00163957">
      <w:pPr>
        <w:pStyle w:val="TextoNormal"/>
      </w:pPr>
      <w:r w:rsidRPr="00163957">
        <w:rPr>
          <w:rStyle w:val="NumeroAFNegritaCaracter"/>
        </w:rPr>
        <w:t>9</w:t>
      </w:r>
      <w:r>
        <w:t>. Seguidamente, por escrito presentado en el Registro General del Tribunal el día 27 de septiembre de 2013, la Letrada de la Junta de Andalucía, en la representación que ostenta, se personó en el conflicto planteado por las cuatro Diputaciones Provinciales y solicitó la concesión de una ampliación del plazo de ocho días para formular alegaciones, debido a la importante acumulación de trabajo que sufría el centro directivo. Por diligencia de ordenación de 1 de octubre de 2013, el Pleno del Tribunal acordó prorrogar en diez días más el plazo concedido para formular alegaciones a la Junta de Andalucía.</w:t>
      </w:r>
    </w:p>
    <w:p w:rsidR="00163957" w:rsidRDefault="00163957" w:rsidP="00163957">
      <w:pPr>
        <w:pStyle w:val="TextoNormal"/>
      </w:pPr>
    </w:p>
    <w:p w:rsidR="00163957" w:rsidRDefault="00163957" w:rsidP="00163957">
      <w:pPr>
        <w:pStyle w:val="TextoNormal"/>
      </w:pPr>
      <w:r w:rsidRPr="00163957">
        <w:rPr>
          <w:rStyle w:val="NumeroAFNegritaCaracter"/>
        </w:rPr>
        <w:t>10</w:t>
      </w:r>
      <w:r>
        <w:t>. Por escrito presentado el 17 de octubre de 2013, se personó en el conflicto en defensa de la autonomía local el Parlamento de Andalucía interesando la inadmisión del mismo por concurrir óbices procesales y, subsidiariamente, su desestimación, al alegar que los preceptos del Decreto-ley impugnado no vulneran la autonomía local constitucionalmente garantizada.</w:t>
      </w:r>
    </w:p>
    <w:p w:rsidR="00163957" w:rsidRDefault="00163957" w:rsidP="00163957">
      <w:pPr>
        <w:pStyle w:val="TextoNormal"/>
      </w:pPr>
    </w:p>
    <w:p w:rsidR="00163957" w:rsidRDefault="00163957" w:rsidP="00163957">
      <w:pPr>
        <w:pStyle w:val="TextoNormal"/>
      </w:pPr>
      <w:r>
        <w:t xml:space="preserve">En cuanto a los óbices se alega, en primer lugar, la falta de legitimación </w:t>
      </w:r>
      <w:r w:rsidRPr="00163957">
        <w:rPr>
          <w:i/>
        </w:rPr>
        <w:t>ad causam</w:t>
      </w:r>
      <w:r>
        <w:t xml:space="preserve"> de las cuatro Diputaciones Provinciales que lo promueven, lo que impide al Tribunal entrar a conocer del fondo del asunto, dado que, según se afirma en el escrito de impugnación, no pueden aquellas promover un conflicto en defensa de la autonomía local de otros, en este caso, de los 62 municipios afectados por el Decreto-ley impugnado. Se alega que, junto con la legitimación </w:t>
      </w:r>
      <w:r w:rsidRPr="00163957">
        <w:rPr>
          <w:i/>
        </w:rPr>
        <w:t>ad procesum</w:t>
      </w:r>
      <w:r>
        <w:t xml:space="preserve">, presupuesto necesario para el acceso como parte a cualquier tipo de proceso, que, en el conflicto en defensa de la autonomía local, viene recogida en el art. 75 </w:t>
      </w:r>
      <w:r w:rsidRPr="00163957">
        <w:rPr>
          <w:i/>
        </w:rPr>
        <w:t>ter</w:t>
      </w:r>
      <w:r>
        <w:t xml:space="preserve"> LOTC (cuando se refiere en su apartado primero al ámbito territorial y poblacional de los legitimados para promoverlo), también el art. 75 bis, apartado 1 LOTC exige de manera expresa o implícita la legitimación </w:t>
      </w:r>
      <w:r w:rsidRPr="00163957">
        <w:rPr>
          <w:i/>
        </w:rPr>
        <w:t>ad causam</w:t>
      </w:r>
      <w:r>
        <w:t>, que hace referencia a la relación material de las partes con el objeto del litigio del proceso de que se trate (art. 10 de la Ley de enjuiciamiento civil, de aplicación supletoria), que, en el conflicto en defensa de la autonomía local son, en concreto, las normas del Estado con rango de ley o las disposiciones con rango de ley de las Comunidades Autónomas que lesionen la autonomía local constitucionalmente garantizada.</w:t>
      </w:r>
    </w:p>
    <w:p w:rsidR="00163957" w:rsidRDefault="00163957" w:rsidP="00163957">
      <w:pPr>
        <w:pStyle w:val="TextoNormal"/>
      </w:pPr>
    </w:p>
    <w:p w:rsidR="00163957" w:rsidRDefault="00163957" w:rsidP="00163957">
      <w:pPr>
        <w:pStyle w:val="TextoNormal"/>
      </w:pPr>
      <w:r>
        <w:t>En el parecer del escrito de impugnación del Parlamento andaluz, no resulta admisible, además, lo alegado por los promotores del conflicto, que afirman que los preceptos impugnados del Decreto-ley 5/2012 cercenan competencias de las propias Diputaciones Provinciales porque no se acierta a vislumbrar cuáles serían esas competencias lesionadas.</w:t>
      </w:r>
    </w:p>
    <w:p w:rsidR="00163957" w:rsidRDefault="00163957" w:rsidP="00163957">
      <w:pPr>
        <w:pStyle w:val="TextoNormal"/>
      </w:pPr>
    </w:p>
    <w:p w:rsidR="00163957" w:rsidRDefault="00163957" w:rsidP="00163957">
      <w:pPr>
        <w:pStyle w:val="TextoNormal"/>
      </w:pPr>
      <w:r>
        <w:t>Como segundo óbice de procedibilidad alega el Letrado del Parlamento de Andalucía la concurrencia de otra causa de inadmisión del conflicto planteado, como es la insuficiencia del poder de representación otorgado a los procuradores de los Tribunales por parte de las Diputaciones provinciales de Almería, Málaga y Cádiz. En las escrituras notariales no se autoriza a los representantes legales de éstas, ni siquiera de manera genérica, a promover cualquiera de los procesos constitucionales regulados por la Ley Orgánica del Tribunal Constitucional, entre ellos, el conflicto en defensa de la autonomía local. En cambio, el Letrado del Parlamento de Andalucía sí que considera suficiente el poder de representación otorgado por la Diputación de Granada, al referirse de modo expreso la escritura de poder al acuerdo del Pleno de esa corporación celebrado el 14 de febrero de 2013, en el que se acordó iniciar el procedimiento para la interposición del presente conflicto.</w:t>
      </w:r>
    </w:p>
    <w:p w:rsidR="00163957" w:rsidRDefault="00163957" w:rsidP="00163957">
      <w:pPr>
        <w:pStyle w:val="TextoNormal"/>
      </w:pPr>
    </w:p>
    <w:p w:rsidR="00163957" w:rsidRDefault="00163957" w:rsidP="00163957">
      <w:pPr>
        <w:pStyle w:val="TextoNormal"/>
      </w:pPr>
      <w:r>
        <w:t xml:space="preserve">Finalmente, como tercer óbice de procedibilidad, se interesa la inadmisión del conflicto por falta de acreditación del requisito previsto en el art. 75 </w:t>
      </w:r>
      <w:r w:rsidRPr="00163957">
        <w:rPr>
          <w:i/>
        </w:rPr>
        <w:t>ter</w:t>
      </w:r>
      <w:r>
        <w:t xml:space="preserve">, apartado 2, LOTC. Concretamente, se afirma que, dada la relevancia del requisito de población de las provincias que exige el apartado 1 del art. 75 </w:t>
      </w:r>
      <w:r w:rsidRPr="00163957">
        <w:rPr>
          <w:i/>
        </w:rPr>
        <w:t>ter</w:t>
      </w:r>
      <w:r>
        <w:t xml:space="preserve"> LOTC, es necesario que se acredite fehacientemente el mismo mediante el correspondiente certificado del Instituto Nacional de Estadística. Pero, además, respecto al requisito del apartado 2 del art. 75 </w:t>
      </w:r>
      <w:r w:rsidRPr="00163957">
        <w:rPr>
          <w:i/>
        </w:rPr>
        <w:t>ter</w:t>
      </w:r>
      <w:r>
        <w:t>, es asimismo necesario que el acuerdo del órgano plenario de las corporaciones locales se adopte “con el voto favorable de la mayoría absoluta del número legal de miembros de las mismas”, lo que, según se sostiene en el escrito de impugnación, no aparece claramente cumplido por las Diputaciones de Málaga y de Cádiz.</w:t>
      </w:r>
    </w:p>
    <w:p w:rsidR="00163957" w:rsidRDefault="00163957" w:rsidP="00163957">
      <w:pPr>
        <w:pStyle w:val="TextoNormal"/>
      </w:pPr>
    </w:p>
    <w:p w:rsidR="00163957" w:rsidRDefault="00163957" w:rsidP="00163957">
      <w:pPr>
        <w:pStyle w:val="TextoNormal"/>
      </w:pPr>
      <w:r>
        <w:t>En cuanto al fondo del conflicto planteado inicia sus alegaciones el Letrado del Parlamento de Andalucía con una consideración preliminar sobre el objeto del mismo que, a pesar del suplico de la demanda, que identifica los arts. 2 y 3.2 del Decreto-ley 5/2012, así como la falta de presupuesto habilitante de la norma, como lesivos de la autonomía local constitucionalmente garantizada, hay que entender que, en realidad, viene referido, al art. 2 y, también, a la totalidad del art. 3 del Decreto-ley 5/2012, pues esa voluntad se desprende de la demanda; la impugnación se extiende, igualmente, al conjunto del Decreto-ley 5/2012, por no concurrir la extraordinaria y urgente necesidad que exige el art. 110 EAAnd.</w:t>
      </w:r>
    </w:p>
    <w:p w:rsidR="00163957" w:rsidRDefault="00163957" w:rsidP="00163957">
      <w:pPr>
        <w:pStyle w:val="TextoNormal"/>
      </w:pPr>
    </w:p>
    <w:p w:rsidR="00163957" w:rsidRDefault="00163957" w:rsidP="00163957">
      <w:pPr>
        <w:pStyle w:val="TextoNormal"/>
      </w:pPr>
      <w:r>
        <w:t>A continuación, el Letrado del Parlamento de Andalucía pone de manifiesto que la Comunidad Autónoma tiene competencias exclusivas sobre urbanismo, ordenación del territorio y ordenación del litoral (arts. 56.3. 5 y 6 EAAnd) y destaca el hecho de que el espacio costero es un sistema interdependiente que precisa de un enfoque unitario, integrador y supralocal para encauzar las dinámicas de crecimiento urbanístico, por lo que la Comunidad Autónoma constituye la institución idónea para adoptar las medidas impugnadas.</w:t>
      </w:r>
    </w:p>
    <w:p w:rsidR="00163957" w:rsidRDefault="00163957" w:rsidP="00163957">
      <w:pPr>
        <w:pStyle w:val="TextoNormal"/>
      </w:pPr>
    </w:p>
    <w:p w:rsidR="00163957" w:rsidRDefault="00163957" w:rsidP="00163957">
      <w:pPr>
        <w:pStyle w:val="TextoNormal"/>
      </w:pPr>
      <w:r>
        <w:t>En cuanto a la impugnación del art. 2 del citado decreto-ley, el Letrado del Parlamento de Andalucía afirma que el precepto respeta plenamente la autonomía local constitucionalmente garantizada, porque las medidas cautelares contenidas en el mismo tienen un alcance territorial, material y temporal limitado, con lo que resultan proporcionadas con la finalidad perseguida, esto es, la de salvaguardar la calidad ambiental y paisajística del litoral evitando situaciones irreversibles que pongan en peligro la sostenibilidad del sistema territorial y urbano de la Comunidad Autónoma de Andalucía, tal como expresa la exposición de moti</w:t>
      </w:r>
      <w:r>
        <w:lastRenderedPageBreak/>
        <w:t>vos de aquel. En este sentido, se aduce que la efectiva aplicación de las medidas de suspensión del procedimiento de aprobación de determinado planeamiento de desarrollo se hace depender de la realidad de los municipios afectados, porque las medidas cautelares cuestionadas quedarán sin efecto en cuanto se produzca la obligada adaptación del respectivo plan general de ordenación urbana a las determinaciones del plan de ordenación territorial de Andalucía (art. 2.3). Pero, además, lo único que se suspende hasta la aprobación del plan de protección del corredor del litoral de Andalucía es el procedimiento para la aprobación de los planes de sectorización, cuya aprobación definitiva corresponde a la Consejería competente en materia de urbanismo [art. 31.2 B) de la Ley de ordenación urbanística de Andalucía], y el procedimiento para la aprobación de los planes parciales. Debe tenerse en cuenta, asimismo, que la suspensión es por un término máximo de dos años, que no resulta afectado porque, de manera extraordinaria, el Consejo de Gobierno amplíe el plazo de aprobación del plan de protección del corredor del litoral, y que dentro de los seis meses siguientes a la formulación del plan de protección del corredor del litoral debe someterse a información pública, lo que determinará que la suspensión del procedimiento de los citados planes sólo será aplicable a los sectores afectados por las especificaciones del plan que se identifiquen en el documento sometido al trámite de información pública. Esto quiere decir que los sectores no afectados quedarán exentos de las limitaciones impuestas por el Decreto-ley de referencia. En consecuencia, las medidas cautelares impuestas por el art. 2 de aquella norma no pueden, por su naturaleza y alcance, vulnerar la autonomía constitucionalmente garantizada.</w:t>
      </w:r>
    </w:p>
    <w:p w:rsidR="00163957" w:rsidRDefault="00163957" w:rsidP="00163957">
      <w:pPr>
        <w:pStyle w:val="TextoNormal"/>
      </w:pPr>
    </w:p>
    <w:p w:rsidR="00163957" w:rsidRDefault="00163957" w:rsidP="00163957">
      <w:pPr>
        <w:pStyle w:val="TextoNormal"/>
      </w:pPr>
      <w:r>
        <w:t>En cuanto al significado preciso de la autonomía local, el Letrado del Parlamento de Andalucía acude a la Carta Europea de Autonomía local, cuyo art. 4 establece que las entidades locales deberán ser consultadas en la medida de lo posible sobre las cuestiones que les afecten directamente, y a la doctrina constitucional sobre este principio (SSTC 240/2006, FJ 8, y 121/2012, FJ 7). De ello deduce que la autonomía local: a) debe, en primer lugar, asegurar la necesaria participación de las entidades locales en los asuntos que afecten a sus intereses pero el grado de participación dependerá de la relación existente entre los intereses locales y supralocales respecto de tales asuntos o materias; y b) que, en segundo término, corresponde al legislador estatal o autonómico competente por razón de la materia la determinación concreta de cuáles sean las competencias locales sobre tales asuntos y materias, o, de manera más genérica, su grado de participación en las mismas.</w:t>
      </w:r>
    </w:p>
    <w:p w:rsidR="00163957" w:rsidRDefault="00163957" w:rsidP="00163957">
      <w:pPr>
        <w:pStyle w:val="TextoNormal"/>
      </w:pPr>
    </w:p>
    <w:p w:rsidR="00163957" w:rsidRDefault="00163957" w:rsidP="00163957">
      <w:pPr>
        <w:pStyle w:val="TextoNormal"/>
      </w:pPr>
      <w:r>
        <w:t>Pues bien, el margen de apreciación política que corresponde a los órganos de gobierno de la Comunidad Autónoma de Andalucía y la relevancia del objetivo a alcanzar, que se refiere a la salvaguarda de la forma más inmediata posible de la calidad ambiental y paisajística del litoral con el fin de evitar situaciones irreversibles que pongan en peligro la sostenibilidad de nuestro sistema territorial y urbano, justifica el recurso a la legislación de urgencia a través de la figura del Decreto-ley. Los municipios afectados participarán a través del trámite de información pública del plan de protección del corredor del litoral de Andalucía en el que podrán (y deberán) participar todos y cada uno de los municipios. Una participación que, en ningún caso, atendiendo al objetivo pretendido por la norma y a la naturaleza y alcance de las medidas contempladas, se ha situado “por debajo de ese umbral mínimo” que garantiza a los municipios afectados “su participación efectiva en los asuntos que les atañen y, por consiguiente, su existencia como reales instituciones de autogobierno” (STC 159/2001, FJ 4).</w:t>
      </w:r>
    </w:p>
    <w:p w:rsidR="00163957" w:rsidRDefault="00163957" w:rsidP="00163957">
      <w:pPr>
        <w:pStyle w:val="TextoNormal"/>
      </w:pPr>
    </w:p>
    <w:p w:rsidR="00163957" w:rsidRDefault="00163957" w:rsidP="00163957">
      <w:pPr>
        <w:pStyle w:val="TextoNormal"/>
      </w:pPr>
      <w:r>
        <w:lastRenderedPageBreak/>
        <w:t>En cuanto a la impugnación del art. 3 del Decreto-ley 5/2012, el Letrado del Parlamento de Andalucía aduce que respeta plenamente la autonomía local constitucionalmente garantizada. Recuerda que por Decreto 206/2006, de 28 de noviembre, se publicó el plan de ordenación del territorio de Andalucía, que establece una serie de criterios para promover un crecimiento sostenible de las ciudades de Andalucía y unos límites al crecimiento en el planeamiento urbanístico municipal, al objeto de garantizar la efectividad del modelo urbano propuesto. Pues bien, como explica la exposición de motivos del Decreto-ley impugnado, de los 62 municipios costeros sólo 10 han revisado sus planes para adaptarse al plan de ordenación territorial de Andalucía, número en todo caso superior en porcentaje al del conjunto de Andalucía, donde sólo el 11 por ciento de los municipios han aprobado su planeamiento con posterioridad a 2006 y, por tanto, están adaptados al plan de ordenación territorial de Andalucía. Es por eso que en la exposición de motivos del Decreto-ley impugnado se dice que resulta necesario evitar desequilibrios territoriales que se hayan producido entre los planeamientos de los últimos años, entre los planes que respetan los límites de crecimiento establecidos en el plan de ordenación territorial de Andalucía y los planeamientos aprobados con anterioridad al plan de ordenación territorial de Andalucía, que responden en muchos casos a modelos de crecimiento no sostenibles, alejados del actual contexto socioeconómico y de los criterios y limitaciones establecidos en el plan de ordenación territorial de Andalucía. En consecuencia, una vez transcurridos seis años desde la aprobación del plan de ordenación territorial de Andalucía, se trata de que los municipios que no se hayan adaptado a las determinaciones del mismo lo hagan, con lo que resulta proporcionado lo dispuesto en el art. 3 con la finalidad prevista. De no adaptarse en el plazo de ocho años el precepto establece que la Consejería, previo requerimiento al municipio correspondiente, pueda sustituir la inactividad del municipio afectado, imponiéndole la obligación, previa audiencia al mismo, de proceder a la innovación de los instrumentos de planeamiento vigentes para la adaptación de sus determinaciones a las de la planificación territorial, conforme con lo dispuesto en el art. 36.3 de la Ley de ordenación urbanística de Andalucía y con pleno respeto al derecho de participación de los ayuntamientos afectados. Se trata, según alega el Letrado del Parlamento de Andalucía, de una suerte de “último recurso” que introduce el decreto-ley para disuadir a la corporación municipal de la persistencia en la inactividad contraria a la legislación urbanística que perjudica al equilibrio territorial y al desarrollo sostenible de la Comunidad Autónoma en su conjunto.</w:t>
      </w:r>
    </w:p>
    <w:p w:rsidR="00163957" w:rsidRDefault="00163957" w:rsidP="00163957">
      <w:pPr>
        <w:pStyle w:val="TextoNormal"/>
      </w:pPr>
    </w:p>
    <w:p w:rsidR="00163957" w:rsidRDefault="00163957" w:rsidP="00163957">
      <w:pPr>
        <w:pStyle w:val="TextoNormal"/>
      </w:pPr>
      <w:r>
        <w:t xml:space="preserve">Finalmente, concluye sus alegaciones el Letrado del Parlamento de Andalucía declarando que no puede ser objeto de enjuiciamiento por parte del Tribunal en el seno del conflicto planteado la constitucionalidad del Decreto-ley por la concurrencia o no de la extraordinaria y urgente necesidad porque, de acuerdo con los arts. 75 </w:t>
      </w:r>
      <w:r w:rsidRPr="00163957">
        <w:rPr>
          <w:i/>
        </w:rPr>
        <w:t>bis</w:t>
      </w:r>
      <w:r>
        <w:t xml:space="preserve">.1 y 75 </w:t>
      </w:r>
      <w:r w:rsidRPr="00163957">
        <w:rPr>
          <w:i/>
        </w:rPr>
        <w:t>quinque</w:t>
      </w:r>
      <w:r>
        <w:t>.5 LOTC, la Sentencia debe declarar si existe o no la vulneración de la autonomía local. En este sentido, la doctrina del Tribunal ha declarado que el conflicto sólo puede ser promovido frente a normas legales con base en un único motivo de inconstitucionalidad, la lesión de la autonomía local constitucionalmente garantizada (SSTC 47/2008, FJ 1, y 121/2012, FJ 7).</w:t>
      </w:r>
    </w:p>
    <w:p w:rsidR="00163957" w:rsidRDefault="00163957" w:rsidP="00163957">
      <w:pPr>
        <w:pStyle w:val="TextoNormal"/>
      </w:pPr>
    </w:p>
    <w:p w:rsidR="00163957" w:rsidRDefault="00163957" w:rsidP="00163957">
      <w:pPr>
        <w:pStyle w:val="TextoNormal"/>
      </w:pPr>
      <w:r w:rsidRPr="00163957">
        <w:rPr>
          <w:rStyle w:val="NumeroAFNegritaCaracter"/>
        </w:rPr>
        <w:t>11</w:t>
      </w:r>
      <w:r>
        <w:t xml:space="preserve">. Por medio de escrito presentado en el Registro General del Tribunal el día 4 de noviembre de 2013, formuló sus alegaciones la Letrada de la Junta de Andalucía en la representación que ostenta, solicitando con carácter previo la inadmisión del conflicto por falta de las legitimaciones </w:t>
      </w:r>
      <w:r w:rsidRPr="00163957">
        <w:rPr>
          <w:i/>
        </w:rPr>
        <w:t>ad procesum</w:t>
      </w:r>
      <w:r>
        <w:t xml:space="preserve"> y </w:t>
      </w:r>
      <w:r w:rsidRPr="00163957">
        <w:rPr>
          <w:i/>
        </w:rPr>
        <w:t>ad causam</w:t>
      </w:r>
      <w:r>
        <w:t xml:space="preserve"> de las Diputaciones promotoras del mismo, pasando, a continuación, a dar respuesta a las cuestiones de fondo respecto de las que interesó su desestimación.</w:t>
      </w:r>
    </w:p>
    <w:p w:rsidR="00163957" w:rsidRDefault="00163957" w:rsidP="00163957">
      <w:pPr>
        <w:pStyle w:val="TextoNormal"/>
      </w:pPr>
    </w:p>
    <w:p w:rsidR="00163957" w:rsidRDefault="00163957" w:rsidP="00163957">
      <w:pPr>
        <w:pStyle w:val="TextoNormal"/>
      </w:pPr>
      <w:r>
        <w:t xml:space="preserve">En primer lugar, alega la Letrada de la Junta de Andalucía la falta del certificado del acuerdo del pleno de la Diputación de Cádiz con el voto favorable de la mayoría absoluta del número legal de miembros de la misma, en la documentación que acompaña a la demanda. De ello deriva, según afirma, la falta de legitimación </w:t>
      </w:r>
      <w:r w:rsidRPr="00163957">
        <w:rPr>
          <w:i/>
        </w:rPr>
        <w:t>ad procesum</w:t>
      </w:r>
      <w:r>
        <w:t xml:space="preserve"> de las promotoras del conflicto, al no cumplir lo exigido por el art. 75 </w:t>
      </w:r>
      <w:r w:rsidRPr="00163957">
        <w:rPr>
          <w:i/>
        </w:rPr>
        <w:t>ter</w:t>
      </w:r>
      <w:r>
        <w:t xml:space="preserve"> LOTC. El Decreto-ley 5/2012, de 27 de noviembre, tiene como ámbito de aplicación territorial la Comunidad Autónoma de Andalucía, que consta de ocho provincias. Sin la Diputación provincial de Cádiz, las otras tres diputaciones recurrentes no suman un número de provincias de, al menos, la mitad de las existentes en el ámbito territorial de aplicación de la disposición con rango de ley que se impugna, sin que tampoco representen, como mínimo, la mitad de la población oficial, pues entre las tres alcanzan la cifra de 3.268.239 habitantes que no llega al límite mínimo exigido, según lo corrobora el padrón oficial aprobado por Real Decreto 1697/2012, de 21 de diciembre.</w:t>
      </w:r>
    </w:p>
    <w:p w:rsidR="00163957" w:rsidRDefault="00163957" w:rsidP="00163957">
      <w:pPr>
        <w:pStyle w:val="TextoNormal"/>
      </w:pPr>
    </w:p>
    <w:p w:rsidR="00163957" w:rsidRDefault="00163957" w:rsidP="00163957">
      <w:pPr>
        <w:pStyle w:val="TextoNormal"/>
      </w:pPr>
      <w:r>
        <w:t xml:space="preserve">En segundo lugar, la Letrada de la Junta de Andalucía alega la falta de legitimación </w:t>
      </w:r>
      <w:r w:rsidRPr="00163957">
        <w:rPr>
          <w:i/>
        </w:rPr>
        <w:t>ad causam</w:t>
      </w:r>
      <w:r>
        <w:t xml:space="preserve"> de las Diputaciones Provinciales promotoras del conflicto porque, según admiten las recurrentes, el planteamiento de aquel tiene por finalidad, no la invocación de competencias propias, sino la defensa de la autonomía de los municipios que se encuentran en el ámbito territorial de la norma con rango de ley impugnada. Para la Letrada, tal como puso de manifiesto el dictamen del Consejo Consultivo de Andalucía, no puede desprenderse una legitimación por subrogación de las provincias para plantear un conflicto en defensa de la autonomía local de municipios que se agrupen en las mismas, pues no basta ese punto de conexión territorial para que las provincias queden activamente legitimadas para sustituir a los municipios afectados, ya que ello desnaturalizaría el sistema de legitimación selectiva configurado por la Ley Orgánica del Tribunal Constitucional y puede considerarse perturbador de la propia noción de autonomía municipal, máxime cuando no consta que los municipios afectados hayan expuesto sus consideraciones al respecto. Añade la Letrada que este Tribunal ya se ha pronunciado sobre el particular en el ATC 359/2004, al negar la posibilidad de que una entidad metropolitana constituida por una agrupación de municipios actuara, ni en sustitución de estos, ni como comisionado de los mismos, figura ésta respecto de la cual se ha negado su aplicación analógica. La interpretación amplia de la legitimación activa en cuanto a interés objetivo de depuración del ordenamiento jurídico que realiza el Tribunal Constitucional, únicamente está prevista, según se alega, para la interposición del recurso de inconstitucionalidad por las Comunidades Autónomas pero no para el conflicto de competencias, de ahí que mucho menos pueda extenderse, como pretenden las actoras, al conflicto en defensa de la autonomía local.</w:t>
      </w:r>
    </w:p>
    <w:p w:rsidR="00163957" w:rsidRDefault="00163957" w:rsidP="00163957">
      <w:pPr>
        <w:pStyle w:val="TextoNormal"/>
      </w:pPr>
    </w:p>
    <w:p w:rsidR="00163957" w:rsidRDefault="00163957" w:rsidP="00163957">
      <w:pPr>
        <w:pStyle w:val="TextoNormal"/>
      </w:pPr>
      <w:r>
        <w:t>El tercer óbice formulado se refiere a la inadmisión del motivo de impugnación relativo a la inexistencia de extraordinaria y urgente necesidad del Decreto-ley 5/2012, de 27 de noviembre, porque se trata de una cuestión que no constituye el objeto del conflicto en defensa de la autonomía local, que tiene un motivo tasado de impugnación, el de las leyes y disposiciones con fuerza de ley que lesionen la autonomía local constitucionalmente garantizada.</w:t>
      </w:r>
    </w:p>
    <w:p w:rsidR="00163957" w:rsidRDefault="00163957" w:rsidP="00163957">
      <w:pPr>
        <w:pStyle w:val="TextoNormal"/>
      </w:pPr>
    </w:p>
    <w:p w:rsidR="00163957" w:rsidRDefault="00163957" w:rsidP="00163957">
      <w:pPr>
        <w:pStyle w:val="TextoNormal"/>
      </w:pPr>
      <w:r>
        <w:t xml:space="preserve">En cuanto al fondo del conflicto planteado, inicia sus alegaciones la Letrada de la Junta de Andalucía con una amplia recopilación de la doctrina constitucional sobre el principio de autonomía local y la garantía institucional para, a continuación, recordar el esquema de </w:t>
      </w:r>
      <w:r>
        <w:lastRenderedPageBreak/>
        <w:t>distribución constitucional de competencias en materia de territorio y urbanismo. Según se alega, la autonomía local constitucionalmente garantizada se concreta en materia de urbanismo en que los legisladores autonómicos y estatal respeten la garantía mínima y reconocible de participación en el proceso de elaboración del planeamiento (con cita de la STC 240/2006, de 20 de julio). La legislación andaluza regula el ámbito de competencias que, en materia de ordenación del territorio y urbanismo, ostentan los entes locales, garantizando en todo caso su autonomía local pero supeditándolo a lo que son los intereses supramunicipales. El análisis de la Ley de ordenación urbanística de Andalucía pone de manifiesto que el legislador andaluz ha reforzado las competencias autonómicas en materia de urbanismo por medio de la que, también le corresponde, sobre ordenación del territorio, al que queda supeditado el precitado urbanismo.</w:t>
      </w:r>
    </w:p>
    <w:p w:rsidR="00163957" w:rsidRDefault="00163957" w:rsidP="00163957">
      <w:pPr>
        <w:pStyle w:val="TextoNormal"/>
      </w:pPr>
    </w:p>
    <w:p w:rsidR="00163957" w:rsidRDefault="00163957" w:rsidP="00163957">
      <w:pPr>
        <w:pStyle w:val="TextoNormal"/>
      </w:pPr>
      <w:r>
        <w:t>Se rechaza la pretendida vulneración de la autonomía local por el art. 2 del Decreto-ley impugnado con base en la fundamentación del dictamen del Consejo Consultivo, que indicó que la Junta de Andalucía tenía, con carácter previo a la aprobación del decreto-ley, capacidad para adoptar la suspensión cautelar de la tramitación de modificaciones del planeamiento de los municipios incluidos en el ámbito de aplicación de un plan de ordenación del territorio subregional. Se alega, asimismo, que la medida cautelar del art. 2 impugnado es limitada en el tiempo porque tiene una vigencia transitoria, despliega sus efectos exclusivamente sobre determinados municipios y posee un reducido alcance material, ya que sólo afecta a la aprobación de los planes parciales, porque la aprobación de los planes de sectorización corresponde a la Comunidad Autónoma.</w:t>
      </w:r>
    </w:p>
    <w:p w:rsidR="00163957" w:rsidRDefault="00163957" w:rsidP="00163957">
      <w:pPr>
        <w:pStyle w:val="TextoNormal"/>
      </w:pPr>
    </w:p>
    <w:p w:rsidR="00163957" w:rsidRDefault="00163957" w:rsidP="00163957">
      <w:pPr>
        <w:pStyle w:val="TextoNormal"/>
      </w:pPr>
      <w:r>
        <w:t>Se alega además, que la impugnación del art. 2 del Decreto-ley ha quedado sin objeto porque, por medio de Orden de 24 de julio de 2013 (“BOJA” núm. 147, de 29 de julio), se sometió a información pública el plan de protección del corredor litoral de Andalucía y su informe de sostenibilidad ambiental hasta el 31 de diciembre de 2013, lo que concretó territorialmente la suspensión cautelar prevista en un principio para dos años. Una suspensión justificada y proporcional a la finalidad que persigue el decreto-ley, que es evitar la ilegalidad sobrevenida de un planeamiento municipal que pudiese contravenir un instrumento de ordenación territorial.</w:t>
      </w:r>
    </w:p>
    <w:p w:rsidR="00163957" w:rsidRDefault="00163957" w:rsidP="00163957">
      <w:pPr>
        <w:pStyle w:val="TextoNormal"/>
      </w:pPr>
    </w:p>
    <w:p w:rsidR="00163957" w:rsidRDefault="00163957" w:rsidP="00163957">
      <w:pPr>
        <w:pStyle w:val="TextoNormal"/>
      </w:pPr>
      <w:r>
        <w:t>La Letrada de la Junta de Andalucía finaliza sus alegaciones rechazando, asimismo, que lo dispuesto en el art. 3 del Decreto-ley impugnado vulnere la autonomía local constitucionalmente garantizada. Y ello porque la demanda basa su impugnación en una lectura interesada de la Sentencia 2177/2011, de 23 de mayo, de la Sala de lo Contencioso-administrativo del Tribunal Superior de Justicia de Andalucía, cuyo objeto era el plan de ordenación del territorio de ámbito subregional, ya que de la misma no se desprende que los criterios establecidos en el plan de ordenación del territorio de Andalucía carezcan de fuerza obligatoria. Además, la mencionada Sala ha reconocido en otras sentencias la naturaleza reglamentaria del citado plan y su fuerza vinculante para los planes generales de ordenación urbana.</w:t>
      </w:r>
    </w:p>
    <w:p w:rsidR="00163957" w:rsidRDefault="00163957" w:rsidP="00163957">
      <w:pPr>
        <w:pStyle w:val="TextoNormal"/>
      </w:pPr>
    </w:p>
    <w:p w:rsidR="00163957" w:rsidRDefault="00163957" w:rsidP="00163957">
      <w:pPr>
        <w:pStyle w:val="TextoNormal"/>
      </w:pPr>
      <w:r>
        <w:t xml:space="preserve">En consecuencia, como manifestó el Consejo Consultivo en su dictamen, lo dispuesto en el art. 3 impugnado no comporta ninguna novedad normativa, pues ya existía previamente, tanto la obligación de adaptar los planes urbanísticos a los planes de ordenación del territorio, como la posible sustitución de las competencias municipales no ejercitadas en las Leyes de ordenación del territorio y de ordenación urbanística de Andalucía. Además, se alega que </w:t>
      </w:r>
      <w:r>
        <w:lastRenderedPageBreak/>
        <w:t>no constituye una vulneración de la autonomía local la prohibición de que, una vez transcurrido el plazo para la revisión sin que el municipio haya cumplido con dicha obligación, se tramiten instrumentos de planeamiento de desarrollo que incumplan los límites de crecimiento establecidos por la norma 45 del plan de ordenación territorial de Andalucía, porque los indicados límites que establece este precepto tienen naturaleza normativa, tal y como establece el apartado cuarto del mismo y se configuran como una determinación del plan de ordenación territorial de Andalucía, que vincula directamente a las Administraciones públicas, tanto en sus objetivos como en los instrumentos a aplicar [art. 2.2 c) del plan de ordenación del territorio de Andalucía]. Para la Letrada de la Junta de Andalucía no puede dejarse al arbitrio de quien está vinculado por el plan de ordenación territorial la adaptación o no al mismo con evidente vulneración de la Ley, de ahí que toda pretensión que intente apoyarse, para soslayar límites o incumplirlos, en una dilación injustificada de acometer la modificación del planeamiento puede ser desincentivada, como hace el art. 3 impugnado, a través de límites a las modificaciones o desarrollos urbanísticos contrarios al plan de ordenación territorial de Andalucía, con el fin de darle cumplimiento y salvaguardar las competencias supramunicipales autonómicas.</w:t>
      </w:r>
    </w:p>
    <w:p w:rsidR="00163957" w:rsidRDefault="00163957" w:rsidP="00163957">
      <w:pPr>
        <w:pStyle w:val="TextoNormal"/>
      </w:pPr>
    </w:p>
    <w:p w:rsidR="00163957" w:rsidRDefault="00163957" w:rsidP="00163957">
      <w:pPr>
        <w:pStyle w:val="TextoNormal"/>
      </w:pPr>
      <w:r w:rsidRPr="00163957">
        <w:rPr>
          <w:rStyle w:val="NumeroAFNegritaCaracter"/>
        </w:rPr>
        <w:t>12</w:t>
      </w:r>
      <w:r>
        <w:t>. Mediante sendos escritos registrados el día 20 de febrero de 2014, los Procuradores de los Tribunales don Ignacio Aguilar Fernández y don José Ignacio de Noriega Alquer, en sus representaciones respectivas de las Diputaciones Provinciales de Almería y de Cádiz, expusieron que, pese al tiempo transcurrido, no tenían constancia de que se hubiesen presentado alegaciones por las partes personadas en el proceso, por lo que solicitaron información al Tribunal del estado en que se encontraba la demanda presentada en su día.</w:t>
      </w:r>
    </w:p>
    <w:p w:rsidR="00163957" w:rsidRDefault="00163957" w:rsidP="00163957">
      <w:pPr>
        <w:pStyle w:val="TextoNormal"/>
      </w:pPr>
    </w:p>
    <w:p w:rsidR="00163957" w:rsidRDefault="00163957" w:rsidP="00163957">
      <w:pPr>
        <w:pStyle w:val="TextoNormal"/>
      </w:pPr>
      <w:r w:rsidRPr="00163957">
        <w:rPr>
          <w:rStyle w:val="NumeroAFNegritaCaracter"/>
        </w:rPr>
        <w:t>13</w:t>
      </w:r>
      <w:r>
        <w:t>. Por diligencia de ordenación de 21 de febrero de 2014 el Pleno del Tribunal acordó unir a las actuaciones los escritos de 20 de febrero de 2014 presentados por los citados representantes procesales y, de conformidad con lo solicitado en los mismos, a los solos efectos de su conocimiento, entregar copia de los escritos de alegaciones efectuadas por las partes personadas (Junta de Andalucía y Parlamento de Andalucía), al encontrarse el mencionado procedimiento concluso, pendiente de señalamiento para votación y fallo.</w:t>
      </w:r>
    </w:p>
    <w:p w:rsidR="00163957" w:rsidRDefault="00163957" w:rsidP="00163957">
      <w:pPr>
        <w:pStyle w:val="TextoNormal"/>
      </w:pPr>
    </w:p>
    <w:p w:rsidR="00163957" w:rsidRDefault="00163957" w:rsidP="00163957">
      <w:pPr>
        <w:pStyle w:val="TextoNormal"/>
      </w:pPr>
      <w:r w:rsidRPr="00163957">
        <w:rPr>
          <w:rStyle w:val="NumeroAFNegritaCaracter"/>
        </w:rPr>
        <w:t>14</w:t>
      </w:r>
      <w:r>
        <w:t>. En fecha 21 de febrero de 2014, tuvieron también entrada en el registro de este Tribunal los escritos presentados por los Procuradores de los Tribunales doña Victoria Pérez-Mulet y Diez-Picasso y don Juan Ignacio Valverde Cánovas, en nombre de las Diputaciones Provinciales de Málaga y de Granada, respectivamente, que, al igual que los consignados en el antecedente 12, expusieron que, pese al tiempo transcurrido, no tenían constancia de que se hubiesen presentado alegaciones por las partes personadas en el proceso, por lo que solicitaron información al Tribunal del estado en que se encontraba la demanda presentada en su día.</w:t>
      </w:r>
    </w:p>
    <w:p w:rsidR="00163957" w:rsidRDefault="00163957" w:rsidP="00163957">
      <w:pPr>
        <w:pStyle w:val="TextoNormal"/>
      </w:pPr>
    </w:p>
    <w:p w:rsidR="00163957" w:rsidRDefault="00163957" w:rsidP="00163957">
      <w:pPr>
        <w:pStyle w:val="TextoNormal"/>
      </w:pPr>
      <w:r w:rsidRPr="00163957">
        <w:rPr>
          <w:rStyle w:val="NumeroAFNegritaCaracter"/>
        </w:rPr>
        <w:t>15</w:t>
      </w:r>
      <w:r>
        <w:t>. Por diligencia de ordenación de 24 de febrero de 2014 el Pleno del Tribunal acordó unir a las actuaciones los escritos de 21 de febrero de 2014 presentados por los representantes procesales de las indicadas diputaciones provinciales y, de conformidad con lo solicitado en los mismos, a los solos efectos de su conocimiento, entregar copia de los escritos de alegaciones efectuadas por las partes personadas (Junta de Andalucía y Parlamento de Andalucía), al encontrarse el mencionado procedimiento concluso, pendiente de señalamiento para votación y fallo.</w:t>
      </w:r>
    </w:p>
    <w:p w:rsidR="00163957" w:rsidRDefault="00163957" w:rsidP="00163957">
      <w:pPr>
        <w:pStyle w:val="TextoNormal"/>
      </w:pPr>
    </w:p>
    <w:p w:rsidR="00163957" w:rsidRDefault="00163957" w:rsidP="00163957">
      <w:pPr>
        <w:pStyle w:val="TextoNormal"/>
      </w:pPr>
      <w:r w:rsidRPr="00163957">
        <w:rPr>
          <w:rStyle w:val="NumeroAFNegritaCaracter"/>
        </w:rPr>
        <w:t>16</w:t>
      </w:r>
      <w:r>
        <w:t>. Por diligencia de ordenación de 9 de abril de 2014, la Secretaría de Justicia del Pleno del Tribunal acordó requerir al Procurador don José Ignacio Noriega Arquer, que representaba a la Diputación Provincial de Cádiz, para que, en el plazo de diez días, aportase certificación del acuerdo del pleno para la interposición del conflicto en defensa de la autonomía local en relación al Decreto-ley 5/2012, de 27 de noviembre, impugnado.</w:t>
      </w:r>
    </w:p>
    <w:p w:rsidR="00163957" w:rsidRDefault="00163957" w:rsidP="00163957">
      <w:pPr>
        <w:pStyle w:val="TextoNormal"/>
      </w:pPr>
    </w:p>
    <w:p w:rsidR="00163957" w:rsidRDefault="00163957" w:rsidP="00163957">
      <w:pPr>
        <w:pStyle w:val="TextoNormal"/>
      </w:pPr>
      <w:r w:rsidRPr="00163957">
        <w:rPr>
          <w:rStyle w:val="NumeroAFNegritaCaracter"/>
        </w:rPr>
        <w:t>17</w:t>
      </w:r>
      <w:r>
        <w:t>. Mediante escrito registrado en el Tribunal el día 23 de abril de 2014, el Procurador don José Ignacio Noriega Arquer, en nombre de la Diputación Provincial de Cádiz, adjuntó certificación del acuerdo del Pleno de la citada Diputación para la interposición del presente conflicto en defensa de la autonomía local.</w:t>
      </w:r>
    </w:p>
    <w:p w:rsidR="00163957" w:rsidRDefault="00163957" w:rsidP="00163957">
      <w:pPr>
        <w:pStyle w:val="TextoNormal"/>
      </w:pPr>
    </w:p>
    <w:p w:rsidR="00163957" w:rsidRDefault="00163957" w:rsidP="00163957">
      <w:pPr>
        <w:pStyle w:val="TextoNormal"/>
      </w:pPr>
      <w:r w:rsidRPr="00163957">
        <w:rPr>
          <w:rStyle w:val="NumeroAFNegritaCaracter"/>
        </w:rPr>
        <w:t>18</w:t>
      </w:r>
      <w:r>
        <w:t>. Por providencia de 16 de febrero de 2016, se señaló para deliberación y votación de la presente Sentencia el día 18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proceso tiene por objeto resolver el conflicto en defensa de la autonomía local formulado por las Diputaciones Provinciales de Almería, Granada, Málaga y Cádiz contra los arts. 2 y 3 del Decreto-ley 5/2012, de 27 de noviembre, de medidas urgentes en materia urbanística y para la protección del litoral de Andalucía, así como contra el conjunto del referido Decreto-ley por vulneración de la autonomía local, al no concurrir la extraordinaria y urgente necesidad que exigen los arts. 86.1 CE y 110 del Estatuto de Autonomía para Andalucía (EAAnd). Aunque en el suplico se impugnan los arts. 2 y 3.2 del citado Decreto-ley, de la lectura del texto completo de la demanda se deduce que el conflicto tiene por finalidad impugnar los arts. 2 y 3 en su integridad, tal como puso de manifiesto el Letrado del Parlamento de Andalucía en sus alegaciones.</w:t>
      </w:r>
    </w:p>
    <w:p w:rsidR="00163957" w:rsidRDefault="00163957" w:rsidP="00163957">
      <w:pPr>
        <w:pStyle w:val="TextoNormal"/>
      </w:pPr>
    </w:p>
    <w:p w:rsidR="00163957" w:rsidRDefault="00163957" w:rsidP="00163957">
      <w:pPr>
        <w:pStyle w:val="TextoNormal"/>
      </w:pPr>
      <w:r>
        <w:t>Como quedó expuesto en los antecedentes, el Parlamento y la Junta de Andalucía solicitan, en primer lugar, la inadmisión del conflicto en defensa de la autonomía local, entre otros motivos, por falta de legitimación de las promotoras del conflicto y propugnan, subsidiariamente, la desestimación del mismo.</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enjuiciamiento de la lesión aducida por las Diputaciones promotoras del conflicto debemos pronunciarnos sobre los óbices procesales planteados por las partes en el presente proceso constitucional.</w:t>
      </w:r>
    </w:p>
    <w:p w:rsidR="00163957" w:rsidRDefault="00163957" w:rsidP="00163957">
      <w:pPr>
        <w:pStyle w:val="TextoNormal"/>
      </w:pPr>
    </w:p>
    <w:p w:rsidR="00163957" w:rsidRDefault="00163957" w:rsidP="00163957">
      <w:pPr>
        <w:pStyle w:val="TextoNormal"/>
      </w:pPr>
      <w:r>
        <w:t xml:space="preserve">En primer lugar, tanto el Letrado del Parlamento como la Letrada de la Junta de Andalucía alegan la falta de legitimación </w:t>
      </w:r>
      <w:r w:rsidRPr="00163957">
        <w:rPr>
          <w:i/>
        </w:rPr>
        <w:t>ad causam</w:t>
      </w:r>
      <w:r>
        <w:t xml:space="preserve"> de las Diputaciones Provinciales promotoras del conflicto. Según señalan, dichas entidades no pueden promover un conflicto en defensa de la autonomía local de otros, en este caso, de los 62 municipios afectados por el Decreto-ley impugnado. Además, la Letrada de la Junta de Andalucía señala, también, la falta de legitimación </w:t>
      </w:r>
      <w:r w:rsidRPr="00163957">
        <w:rPr>
          <w:i/>
        </w:rPr>
        <w:t>ad procesum</w:t>
      </w:r>
      <w:r>
        <w:t xml:space="preserve"> de las diputaciones provinciales promotoras del conflicto porque, según afirma, en la documentación que acompaña a la demanda no se encuentra el certificado del acuerdo del Pleno de la Diputación de Cádiz con el voto favorable de la mayoría </w:t>
      </w:r>
      <w:r>
        <w:lastRenderedPageBreak/>
        <w:t xml:space="preserve">absoluta de los miembros de dicho órgano. A falta del citado certificado, las otras tres Diputaciones Provinciales no alcanzarían el número mínimo de provincias afectadas ni el porcentaje de población exigidos por el art. 75 </w:t>
      </w:r>
      <w:r w:rsidRPr="00163957">
        <w:rPr>
          <w:i/>
        </w:rPr>
        <w:t>ter</w:t>
      </w:r>
      <w:r>
        <w:t xml:space="preserve"> de la Ley Orgánica del Tribunal Constitucional (LOTC).</w:t>
      </w:r>
    </w:p>
    <w:p w:rsidR="00163957" w:rsidRDefault="00163957" w:rsidP="00163957">
      <w:pPr>
        <w:pStyle w:val="TextoNormal"/>
      </w:pPr>
    </w:p>
    <w:p w:rsidR="00163957" w:rsidRDefault="00163957" w:rsidP="00163957">
      <w:pPr>
        <w:pStyle w:val="TextoNormal"/>
      </w:pPr>
      <w:r>
        <w:t>Como segundo óbice de procedibilidad alega el Letrado del Parlamento de Andalucía la insuficiencia del poder de representación otorgado a sus respectivos Procuradores por parte de las Diputaciones Provinciales de Almería, Málaga y Cádiz, ya que en las escrituras notariales no se autoriza a los representantes procesales de las citadas Diputaciones Provinciales, ni siquiera de manera genérica, a promover cualquiera de los procesos constitucionales regulados por la Ley Orgánica del Tribunal Constitucional, entre ellos el conflicto en defensa de la autonomía local. En cambio, el Letrado del Parlamento de Andalucía considera suficiente el poder de representación otorgado por la Diputación de Granada, pues en la escritura de poder otorgada se hace expresa referencia al acuerdo del Pleno de la corporación celebrado el 14 de febrero de 2013, en el que se decidió iniciar el procedimiento para la interposición del presente conflicto.</w:t>
      </w:r>
    </w:p>
    <w:p w:rsidR="00163957" w:rsidRDefault="00163957" w:rsidP="00163957">
      <w:pPr>
        <w:pStyle w:val="TextoNormal"/>
      </w:pPr>
    </w:p>
    <w:p w:rsidR="00163957" w:rsidRDefault="00163957" w:rsidP="00163957">
      <w:pPr>
        <w:pStyle w:val="TextoNormal"/>
      </w:pPr>
      <w:r>
        <w:t xml:space="preserve">Finalmente, como tercer óbice de procedibilidad, se interesa la inadmisión del conflicto por falta de acreditación del requisito previsto en el art. 75 </w:t>
      </w:r>
      <w:r w:rsidRPr="00163957">
        <w:rPr>
          <w:i/>
        </w:rPr>
        <w:t>ter</w:t>
      </w:r>
      <w:r>
        <w:t xml:space="preserve">, apartado 2 LOTC. Dada la relevancia del requisito de población exigido en el apartado 1 del art. 75 </w:t>
      </w:r>
      <w:r w:rsidRPr="00163957">
        <w:rPr>
          <w:i/>
        </w:rPr>
        <w:t>ter</w:t>
      </w:r>
      <w:r>
        <w:t xml:space="preserve"> LOTC, se considera indispensable que el cumplimiento del mismo se acredite fehacientemente mediante el correspondiente certificado del Instituto Nacional de Estadística. Se afirma, asimismo, respecto del requisito del apartado 2 del art. 75 </w:t>
      </w:r>
      <w:r w:rsidRPr="00163957">
        <w:rPr>
          <w:i/>
        </w:rPr>
        <w:t>ter</w:t>
      </w:r>
      <w:r>
        <w:t>, que resulta imprescindible que el acuerdo del órgano plenario de las corporaciones locales se adopte “con el voto favorable de la mayoría absoluta del número legal de miembros de las mismas”, lo que, según se alega, no aparece claramente cumplido por las Diputaciones de Málaga y de Cádiz.</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De acuerdo con lo expuesto, el primer óbice procesal planteado se refiere a la falta de legitimación </w:t>
      </w:r>
      <w:r w:rsidRPr="00163957">
        <w:rPr>
          <w:i/>
        </w:rPr>
        <w:t>ad causam</w:t>
      </w:r>
      <w:r>
        <w:t xml:space="preserve"> de las Diputaciones Provinciales de Almería, Granada, Málaga y Cádiz.</w:t>
      </w:r>
    </w:p>
    <w:p w:rsidR="00163957" w:rsidRDefault="00163957" w:rsidP="00163957">
      <w:pPr>
        <w:pStyle w:val="TextoNormal"/>
      </w:pPr>
    </w:p>
    <w:p w:rsidR="00163957" w:rsidRDefault="00163957" w:rsidP="00163957">
      <w:pPr>
        <w:pStyle w:val="TextoNormal"/>
      </w:pPr>
      <w:r>
        <w:t>Para resolver este óbice debemos recordar, en primer lugar, la peculiar naturaleza del proceso regulado en el capítulo IV del título IV LOTC. Como hemos tenido la oportunidad de señalar en reiteradas ocasiones, este proceso no está llamado a cumplir una misión de defensa abstracta de la supremacía de la Constitución, sino que responde a la finalidad exclusiva de reforzar las posibilidades de tutela jurídica de la esfera de competencia propia del ente público impugnante.</w:t>
      </w:r>
    </w:p>
    <w:p w:rsidR="00163957" w:rsidRDefault="00163957" w:rsidP="00163957">
      <w:pPr>
        <w:pStyle w:val="TextoNormal"/>
      </w:pPr>
    </w:p>
    <w:p w:rsidR="00163957" w:rsidRDefault="00163957" w:rsidP="00163957">
      <w:pPr>
        <w:pStyle w:val="TextoNormal"/>
      </w:pPr>
      <w:r>
        <w:t xml:space="preserve">En efecto, ya en las primeras sentencias que este Tribunal tuvo oportunidad de dictar en relación con el proceso constitucional creado por la Ley Orgánica 7/1999, de 21 de abril, afirmamos que se trata de un nuevo proceso constitucional establecido por el legislador al amparo de la facultad que le atribuye el art. 161.1 d) CE, y no ante una modalidad o variante de alguno de los procesos expresamente contemplados en nuestra Carta Magna (SSTC 240/2006, de 20 de julio, FJ 1; y 47/2008, de 11 de marzo, FJ 1). También afirmamos entonces que la finalidad del nuevo proceso no era otra que la de reforzar los mecanismos normativos de defensa puestos a disposición de los entes locales para preservar su ámbito de autonomía, pues dichos entes pueden reaccionar incluso ante las normas con rango de </w:t>
      </w:r>
      <w:r>
        <w:lastRenderedPageBreak/>
        <w:t>ley que consideren contrarias a la Constitución, interesando, en el seno de un proceso judicial, el planteamiento de la cuestión de inconstitucionalidad (STC 240/2006, de 20 de julio, FJ 2). El capítulo IV del título IV LOTC aparece así, en la expresión utilizada por la propia exposición de motivos de la Ley Orgánica 7/1999, como una “vía para la defensa específica de la autonomía local ante el Tribunal Constitucional” (SSTC 240/2006, de 20 de julio, FJ 1; 47/2008, de 11 de marzo, FJ 1; y 37/2014, de 11 de marzo, FJ 3).</w:t>
      </w:r>
    </w:p>
    <w:p w:rsidR="00163957" w:rsidRDefault="00163957" w:rsidP="00163957">
      <w:pPr>
        <w:pStyle w:val="TextoNormal"/>
      </w:pPr>
    </w:p>
    <w:p w:rsidR="00163957" w:rsidRDefault="00163957" w:rsidP="00163957">
      <w:pPr>
        <w:pStyle w:val="TextoNormal"/>
      </w:pPr>
      <w:r>
        <w:t>En esta misma línea, hemos afirmado que el conflicto en defensa de la autonomía local “es, en esencia, un proceso competencial” (STC 37/2014, de 11 de marzo, FJ 3) y, conforme a esa declaración general, hemos ajustado nuestros pronunciamientos sobre la pérdida de objeto a los parámetros propios de este tipo de procesos, afirmando que la función exclusiva del conflicto creado por la Ley Orgánica 7/1999 es “preservar los ámbitos respectivos de competencia” de los sujetos encartados (AATC 3/2012, de 13 de enero, FJ 2; y 178/2013, de 10 de septiembre, FJ 3, entre otros). Esta misión exclusiva de refuerzo de un ámbito subjetivo de autonomía explica, asimismo, la restricción del objeto del conflicto, pues éste sólo puede articularse en razón de un único motivo de inconstitucionalidad, la lesión de la autonomía local constitucionalmente garantizada (art. 75 bis.1 LOTC), sin que puedan alegarse con ocasión del mismo otras vulneraciones distintas del texto constitucional.</w:t>
      </w:r>
    </w:p>
    <w:p w:rsidR="00163957" w:rsidRDefault="00163957" w:rsidP="00163957">
      <w:pPr>
        <w:pStyle w:val="TextoNormal"/>
      </w:pPr>
    </w:p>
    <w:p w:rsidR="00163957" w:rsidRDefault="00163957" w:rsidP="00163957">
      <w:pPr>
        <w:pStyle w:val="TextoNormal"/>
      </w:pPr>
      <w:r>
        <w:t xml:space="preserve">La naturaleza competencial y específica del conflicto en defensa de la autonomía local explica, finalmente y en lo que ahora interesa, el estricto régimen de legitimación establecido por el legislador orgánico, conforme al cual sólo pueden acceder a esta vía cualificada de tutela aquellos entes locales que, viéndose directamente concernidos por la norma impugnada, alcancen una determinada representatividad de entre todos los entes afectados (SSTC 240/2006, de 20 de julio, FJ 3; 47/2008, de 11 de marzo, FJ 1, y 37/2014, de 11 de marzo, FJ 3). En consecuencia, el conflicto sólo puede entablarse “siempre que se cumplan los plazos y las formas que la Ley Orgánica de este Tribunal establece” (STC 95/2014, de 12 de junio, FJ 2), de acuerdo con un sistema estricto de legitimación fijado en régimen de </w:t>
      </w:r>
      <w:r w:rsidRPr="00163957">
        <w:rPr>
          <w:i/>
        </w:rPr>
        <w:t>numerus clausus</w:t>
      </w:r>
      <w:r>
        <w:t xml:space="preserve"> (ATC 11/2011, de 14 de febrero, FJ 2), sistema del que este Tribunal ha hecho aplicación rigurosa, inadmitiendo conflictos promovidos por entes que, en los supuestos de afectación individual a sus atribuciones, no gozaban de la condición de destinatarios únicos de la norma impugnada (STC 142/2013, de 11 de julio, FJ 2, letra a) y AATC 236/2014, de 7 de octubre; y 149/2015, de 10 de septiembre, FJ 3) o que, en supuestos de eventual vulneración conjunta de su ámbito de autonomía, no alcanzaban el umbral de representatividad legalmente fijado (AATC 419/2003, de 16 de diciembre; 361/2005, 362/2005, 363/2005, los tres de 11 de octubre, y 108/2010, de 28 de septiembre).</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Conforme a estos parámetros interpretativos generales, hemos de determinar ahora si las Diputaciones Provinciales impugnantes tienen la condición de sujetos legitimados para promover el presente conflicto en defensa de la autonomía local. A estos efectos, hemos de advertir que el óbice planteado no se refiere al cumplimiento de los requisitos formales de representatividad exigidos por la letra c) del art. 75 </w:t>
      </w:r>
      <w:r w:rsidRPr="00163957">
        <w:rPr>
          <w:i/>
        </w:rPr>
        <w:t>ter</w:t>
      </w:r>
      <w:r>
        <w:t>.1 LOTC sino, más sencillamente, a la concurrencia previa de la afectación del ámbito de autonomía local que constituye el presupuesto lógico de los mismos, pues, según ponen de relieve los Letrados del Parlamento y de la Junta de Andalucía, las provincias impugnantes no se han visto afectadas en su propio ámbito de autonomía por la norma que ahora impugnan.</w:t>
      </w:r>
    </w:p>
    <w:p w:rsidR="00163957" w:rsidRDefault="00163957" w:rsidP="00163957">
      <w:pPr>
        <w:pStyle w:val="TextoNormal"/>
      </w:pPr>
    </w:p>
    <w:p w:rsidR="00163957" w:rsidRDefault="00163957" w:rsidP="00163957">
      <w:pPr>
        <w:pStyle w:val="TextoNormal"/>
      </w:pPr>
      <w:r>
        <w:lastRenderedPageBreak/>
        <w:t>En relación con esta cuestión, hemos tenido la oportunidad de aclarar que, en consonancia con la naturaleza exclusivamente competencial del conflicto en defensa de la autonomía local, la impugnación de una norma con rango de ley a través del proceso regulado en el capítulo IV del título IV LOTC puede producirse en dos hipótesis distintas: (i) de un lado, en caso de norma con destinatario único, se exige la afectación individual y exclusiva del ámbito de autonomía del único ente local impugnante; (ii) de otro lado, en el caso de normas con pluralidad de destinatarios, se requiere entonces una afectación conjunta del ámbito de autonomía de las diversas entidades que acuden a esta vía específica de defensa de sus competencias (STC 132/2014, de 22 de julio, FJ 2).</w:t>
      </w:r>
    </w:p>
    <w:p w:rsidR="00163957" w:rsidRDefault="00163957" w:rsidP="00163957">
      <w:pPr>
        <w:pStyle w:val="TextoNormal"/>
      </w:pPr>
    </w:p>
    <w:p w:rsidR="00163957" w:rsidRDefault="00163957" w:rsidP="00163957">
      <w:pPr>
        <w:pStyle w:val="TextoNormal"/>
      </w:pPr>
      <w:r>
        <w:t>En uno y otro caso resulta indispensable que la norma impugnada tenga una incidencia directa en el ámbito de autonomía propio del ente o entes locales que entablan el conflicto, siendo exigible, por ello, la concurrencia de una situación material de menoscabo de dicho ámbito, que sea atribuible a la norma impugnada y de la que derive el interés del impugnante en el restablecimiento de su competencia. Y, a esa afectación de la propia esfera se ha de sumar, después, el cumplimiento estricto de los requisitos formales de representatividad, de modo que sea un número relevante de los entes afectados y de la población que éstos representan, el que tenga acceso a la tutela cualificada del Tribunal Constitucional.</w:t>
      </w:r>
    </w:p>
    <w:p w:rsidR="00163957" w:rsidRDefault="00163957" w:rsidP="00163957">
      <w:pPr>
        <w:pStyle w:val="TextoNormal"/>
      </w:pPr>
    </w:p>
    <w:p w:rsidR="00163957" w:rsidRDefault="00163957" w:rsidP="00163957">
      <w:pPr>
        <w:pStyle w:val="TextoNormal"/>
      </w:pPr>
      <w:r>
        <w:t xml:space="preserve">De acuerdo con esta doctrina, las diversas exigencias formales que se establecen en las letras b) y c) del art. 75 </w:t>
      </w:r>
      <w:r w:rsidRPr="00163957">
        <w:rPr>
          <w:i/>
        </w:rPr>
        <w:t>ter</w:t>
      </w:r>
      <w:r>
        <w:t xml:space="preserve">.1 LOTC deben ser entendidas como requisitos de representatividad adicionales a la afectación del ámbito propio de autonomía de los entes impugnantes. Es por esta razón que el propio art. 75 </w:t>
      </w:r>
      <w:r w:rsidRPr="00163957">
        <w:rPr>
          <w:i/>
        </w:rPr>
        <w:t>ter</w:t>
      </w:r>
      <w:r>
        <w:t xml:space="preserve">.1 LOTC regula la legitimación de municipios y provincias en letras separadas, que el art. 75 </w:t>
      </w:r>
      <w:r w:rsidRPr="00163957">
        <w:rPr>
          <w:i/>
        </w:rPr>
        <w:t>quater</w:t>
      </w:r>
      <w:r>
        <w:t xml:space="preserve">.2 LOTC se refiere, después, a los “municipios o provincias legitimados”, utilizando significativamente una conjunción alternativa, y que el art. 75 </w:t>
      </w:r>
      <w:r w:rsidRPr="00163957">
        <w:rPr>
          <w:i/>
        </w:rPr>
        <w:t>quinque</w:t>
      </w:r>
      <w:r>
        <w:t>.5 LOTC dispone, finalmente, que la Sentencia que resuelva el conflicto en defensa de la autonomía local ha de determinar “la titularidad o atribución de la competencia controvertida”, dando por supuesto que los sujetos intervinientes actúan invocando dicha titularidad y con el propósito de obtener su restablecimiento, razón por la que, por otra parte, el propio proceso adquiere el significativo nombre de conflicto, que ya indica que la contienda procesal se entabla entre los entes públicos que están concretamente involucrados en una situación material de invasión competencial, determinante de una lesión de la autonomía local constitucionalmente garantizada.</w:t>
      </w:r>
    </w:p>
    <w:p w:rsidR="00163957" w:rsidRDefault="00163957" w:rsidP="00163957">
      <w:pPr>
        <w:pStyle w:val="TextoNormal"/>
      </w:pPr>
    </w:p>
    <w:p w:rsidR="00163957" w:rsidRDefault="00163957" w:rsidP="00163957">
      <w:pPr>
        <w:pStyle w:val="TextoNormal"/>
      </w:pPr>
      <w:r>
        <w:t xml:space="preserve">De acuerdo con ello, la legitimación de la provincia para entablar el conflicto en defensa de la autonomía local, como destinataria única o conjunta de la norma impugnada, exige que la disposición discutida tenga una incidencia directa en su propio ámbito de atribuciones. No puede, pues, admitirse que una diputación provincial impugne, a través de este proceso constitucional, una norma con rango de ley para denunciar una vulneración de intereses o competencias exclusivamente municipales como tampoco puede admitirse que, a la inversa, sean los municipios los que utilicen este cauce procesal para tratar de depurar una violación de una competencia estrictamente provincial. Y es que la disociación de los requisitos formales de legitimación del art. 75 </w:t>
      </w:r>
      <w:r w:rsidRPr="00163957">
        <w:rPr>
          <w:i/>
        </w:rPr>
        <w:t>ter</w:t>
      </w:r>
      <w:r>
        <w:t xml:space="preserve">.1 LOTC sobre la existencia una previa afectación del propio ámbito de autonomía de los entes impugnantes llevaría, no sólo a admitir que las diputaciones pudieran reclamar, en nombre de los municipios de su territorio, la titularidad de una determinada competencia municipal, sino también a aceptar la posibilidad inversa de que fueran los municipios de la letra b) del art. 75 </w:t>
      </w:r>
      <w:r w:rsidRPr="00163957">
        <w:rPr>
          <w:i/>
        </w:rPr>
        <w:t>ter</w:t>
      </w:r>
      <w:r>
        <w:t xml:space="preserve">.1 los que pudieran entablar </w:t>
      </w:r>
      <w:r>
        <w:lastRenderedPageBreak/>
        <w:t xml:space="preserve">el conflicto en defensa de la autonomía local para denunciar la vulneración de una competencia propia de una diputación. Es obvio que semejante interpretación no tiene cabida en la regulación del art. 75 </w:t>
      </w:r>
      <w:r w:rsidRPr="00163957">
        <w:rPr>
          <w:i/>
        </w:rPr>
        <w:t>ter</w:t>
      </w:r>
      <w:r>
        <w:t>.1 LOTC, precepto que, al reservar en su letra a) la impugnación de la ley con destinatario único a un solo sujeto legitimado (el municipio concretamente afectado y no la provincia en cuyo ámbito territorial se encuentra), ya rechaza implícitamente que las diputaciones provinciales puedan arrogarse toda capacidad de impugnación en defensa de una competencia municipal. Además, en las siguientes letras b) y c), se distingue con claridad cuáles son los entes legitimados, municipios o provincias, en función de si la afectación directa lo es al número de los municipios o provincias que allí se especifican.</w:t>
      </w:r>
    </w:p>
    <w:p w:rsidR="00163957" w:rsidRDefault="00163957" w:rsidP="00163957">
      <w:pPr>
        <w:pStyle w:val="TextoNormal"/>
      </w:pPr>
    </w:p>
    <w:p w:rsidR="00163957" w:rsidRDefault="00163957" w:rsidP="00163957">
      <w:pPr>
        <w:pStyle w:val="TextoNormal"/>
      </w:pPr>
      <w:r>
        <w:t>En suma, ni la naturaleza estrictamente competencial del proceso ni la concreta regulación del mismo permiten sostener que una diputación provincial pueda acudir al conflicto en defensa de la autonomía local para defender competencias estrictamente municipales. Esta premisa interpretativa ha de presidir, por tanto, nuestro examen de la legitimación de los entes recurrentes.</w:t>
      </w:r>
    </w:p>
    <w:p w:rsidR="00163957" w:rsidRDefault="00163957" w:rsidP="00163957">
      <w:pPr>
        <w:pStyle w:val="TextoNormal"/>
      </w:pPr>
    </w:p>
    <w:p w:rsidR="00163957" w:rsidRDefault="00163957" w:rsidP="00163957">
      <w:pPr>
        <w:pStyle w:val="TextoNormal"/>
      </w:pPr>
      <w:r w:rsidRPr="00163957">
        <w:rPr>
          <w:rStyle w:val="NumeroAFNegritaCaracter"/>
        </w:rPr>
        <w:t>5</w:t>
      </w:r>
      <w:r>
        <w:t>. Aplicando los criterios reseñados en los fundamentos precedentes, puede observarse, en primer lugar, que el presente conflicto ha sido entablado por varias diputaciones provinciales contra la totalidad del Real Decreto-ley 5/2012 y, de modo específico, contra los arts. 2 y 3.2 de dicho texto legal. También, puede advertirse que se invoca como motivo de inconstitucionalidad que dichos preceptos vulneran las competencias “urbanísticas y territoriales” de los municipios costeros de su ámbito territorial (en el caso del art. 2 del Decreto-ley) o del conjunto de los municipios andaluces (en el supuesto del art. 3 de la referida norma). De estas dos circunstancias —impugnación por parte de diputaciones provinciales, de un lado, y vulneración de competencias exclusivamente municipales, de otro— se deriva que los entes locales impugnantes no acuden a este Tribunal en la condición de sujetos directamente afectados por la norma discutida, sino que promueven el presente proceso para defender una competencia ajena, cuya titularidad corresponde a todos o algunos de los municipios incluidos en su respectivo ámbito territorial.</w:t>
      </w:r>
    </w:p>
    <w:p w:rsidR="00163957" w:rsidRDefault="00163957" w:rsidP="00163957">
      <w:pPr>
        <w:pStyle w:val="TextoNormal"/>
      </w:pPr>
    </w:p>
    <w:p w:rsidR="00163957" w:rsidRDefault="00163957" w:rsidP="00163957">
      <w:pPr>
        <w:pStyle w:val="TextoNormal"/>
      </w:pPr>
      <w:r>
        <w:t>Esta constatación lleva necesariamente a concluir que los entes impugnantes no están legitimados para promover el presente conflicto, conclusión que no se ve oscurecida en modo alguno por la alegación de las diputaciones impugnantes según la cual su legitimación procesal es inherente a la función de garantía que, según entienden, les confiere la ley del Parlamento de Andalucía 5/2010, de 11 de junio, de autonomía local de Andalucía, en relación con la actividad de los entes locales municipales incardinados en su territorio. Basta para rechazar semejante articulación de la legitimación con señalar, de entrada, que una cosa es que exista una determinada función legal de garantía y otra distinta que la misma tenga un necesario correlato en las normas de legitimación de un determinado proceso constitucional; proceso que, según hemos señalado, es un refuerzo de otros mecanismos reaccionales ya existentes, que responde a una finalidad muy determinada y que exige, en todo caso, el cumplimiento estricto de requisitos de representatividad entre los entes directamente afectados. Pero, más allá de esta circunstancia, cabe añadir, en todo caso, que tal función de garantía de las competencias municipales no tiene el alcance que las provincias impugnantes pretenden conferirle.</w:t>
      </w:r>
    </w:p>
    <w:p w:rsidR="00163957" w:rsidRDefault="00163957" w:rsidP="00163957">
      <w:pPr>
        <w:pStyle w:val="TextoNormal"/>
      </w:pPr>
    </w:p>
    <w:p w:rsidR="00163957" w:rsidRDefault="00163957" w:rsidP="00163957">
      <w:pPr>
        <w:pStyle w:val="TextoNormal"/>
      </w:pPr>
      <w:r>
        <w:t xml:space="preserve">En efecto, los impugnantes invocan para fundar su tesis el tenor del art. 3.3 de la Ley 5/2010, de 11 de junio, de autonomía local de Andalucía, que dispone que “[l]a provincia </w:t>
      </w:r>
      <w:r>
        <w:lastRenderedPageBreak/>
        <w:t>es una entidad local, determinada por la agrupación de municipios, cuya principal función, de conformidad con los mismos, es garantizar el ejercicio de las competencias municipales y facilitar la articulación de las relaciones de los municipios entre sí y con la Comunidad Autónoma de Andalucía”. Se trata de una fórmula legal genérica cuyo concreto significado sólo puede ser establecido de acuerdo con dos parámetros: (i) el marco de distribución competencial que resulta de la Ley de bases de régimen local y del Estatuto de Autonomía de Andalucía, al que la ley 5/2010 queda, en todo caso, sujeta; y (ii) las atribuciones que, dentro de dicho marco general, confiere la aludida ley de 2010 a las diputaciones provinciales como concreción de la función general de “garantía” enunciada en su art. 3.3.</w:t>
      </w:r>
    </w:p>
    <w:p w:rsidR="00163957" w:rsidRDefault="00163957" w:rsidP="00163957">
      <w:pPr>
        <w:pStyle w:val="TextoNormal"/>
      </w:pPr>
    </w:p>
    <w:p w:rsidR="00163957" w:rsidRDefault="00163957" w:rsidP="00163957">
      <w:pPr>
        <w:pStyle w:val="TextoNormal"/>
      </w:pPr>
      <w:r>
        <w:t>(i) En relación al marco competencial en el que se incardina el precepto invocado por los recurrentes, cabe recordar que el art. 92 EAAnd “garantiza” en su apartado primero a los municipios “un núcleo competencial propio que será ejercido con plena autonomía con sujeción sólo a los controles de constitucionalidad y legalidad”. Entre esas competencias propias de los municipios figura expresamente, en el apartado 2 a) del mismo precepto, la “ordenación, gestión, ejecución y disciplina urbanística”. El artículo 96 EAAnd prevé, asimismo, que las diputaciones provinciales ejerzan funciones de “asistencia y cooperación con los municipios, especialmente con los de menor población”. Ambas previsiones estatutarias resultan, a su vez, coherentes con el art. 25.2 de la Ley reguladora de las bases de régimen local, que se refiere igualmente al urbanismo como competencia propia de los municipios, así como con el art. 36.1 b) de la misma Ley de bases, que contempla expresamente la función de la diputación provincial de “asistencia y cooperación jurídica, económica y técnica a los municipios, especialmente a los de menor capacidad económica y gestión”.</w:t>
      </w:r>
    </w:p>
    <w:p w:rsidR="00163957" w:rsidRDefault="00163957" w:rsidP="00163957">
      <w:pPr>
        <w:pStyle w:val="TextoNormal"/>
      </w:pPr>
    </w:p>
    <w:p w:rsidR="00163957" w:rsidRDefault="00163957" w:rsidP="00163957">
      <w:pPr>
        <w:pStyle w:val="TextoNormal"/>
      </w:pPr>
      <w:r>
        <w:t>(ii) En plena armonía con ese marco general, la propia ley 5/2010 se encarga de aclarar que la “función de garantía” genéricamente enunciada en su art. 3.3 es una mera plasmación de la distribución competencial a que acaba de aludirse, pues en su art. 11 precisa que las específicas competencias en que se materializa dicha función de garantía abarcan exclusivamente la prestación de asistencia “técnica” —desarrollada después en el art. 12 de la ley—, “económica” —art. 13— y “material” —art. 14—, siendo en todo caso necesario, para que esa asistencia pueda tener lugar, el concurso de la voluntad de los municipios correspondientes, que han de solicitarla a la diputación provincial o concertarla con ésta (art. 13.2).</w:t>
      </w:r>
    </w:p>
    <w:p w:rsidR="00163957" w:rsidRDefault="00163957" w:rsidP="00163957">
      <w:pPr>
        <w:pStyle w:val="TextoNormal"/>
      </w:pPr>
    </w:p>
    <w:p w:rsidR="00163957" w:rsidRDefault="00163957" w:rsidP="00163957">
      <w:pPr>
        <w:pStyle w:val="TextoNormal"/>
      </w:pPr>
      <w:r>
        <w:t>Tales funciones de asistencia en las que se concreta la cláusula general del art. 3.3 de la ley citada sirven, desde luego, para “asegurar el ejercicio íntegro de las competencias municipales” (como prescribe el art. 11.1 de la misma Ley de 2010), supliendo todas aquellas carencias técnicas, económicas o materiales que impidan su efectivo despliegue, pero en modo alguno pueden confundirse con una supuesta función general de garantía que atribuya a las diputaciones provinciales, no ya la facultad de auxiliar a los entes municipales con los medios técnicos, económicos o materiales pertinentes, sino la capacidad de sustituir unilateralmente la voluntad de éstos a efectos de entablar un proceso judicial. Tampoco puede compartirse que el mero dato de que la función auxiliar de las diputaciones provinciales se extienda al sector del urbanismo [por ejemplo, en la asistencia técnica prevista en el art. 12.1 a) y b) de la ley de Autonomía Local de Andalucía] suponga una afectación de las competencias provinciales, ya que dicha capacidad de asistencia es meramente accesoria y no se ve controvertida de forma directa por la regulación discutida. La única competencia en juego es, pues, la estrictamente municipal.</w:t>
      </w:r>
    </w:p>
    <w:p w:rsidR="00163957" w:rsidRDefault="00163957" w:rsidP="00163957">
      <w:pPr>
        <w:pStyle w:val="TextoNormal"/>
      </w:pPr>
    </w:p>
    <w:p w:rsidR="00163957" w:rsidRDefault="00163957" w:rsidP="00163957">
      <w:pPr>
        <w:pStyle w:val="TextoNormal"/>
      </w:pPr>
      <w:r>
        <w:lastRenderedPageBreak/>
        <w:t>No cabe, en definitiva, atribuir a las diputaciones impugnantes más interés en el pleito que nos ocupa que la defensa objetiva del ordenamiento constitucional, interés que en este caso no es suficiente para poner en marcha un proceso que, como hemos visto, no tiene encomendada una específica función nomofiláctica.</w:t>
      </w:r>
    </w:p>
    <w:p w:rsidR="00163957" w:rsidRDefault="00163957" w:rsidP="00163957">
      <w:pPr>
        <w:pStyle w:val="TextoNormal"/>
      </w:pPr>
    </w:p>
    <w:p w:rsidR="00163957" w:rsidRDefault="00163957" w:rsidP="00163957">
      <w:pPr>
        <w:pStyle w:val="TextoNormal"/>
      </w:pPr>
      <w:r w:rsidRPr="00163957">
        <w:rPr>
          <w:rStyle w:val="NumeroAFNegritaCaracter"/>
        </w:rPr>
        <w:t>6</w:t>
      </w:r>
      <w:r>
        <w:t>. De acuerdo con todo lo expuesto, ha de rechazarse que los entes impugnantes tengan la legitimación exigible para entablar el presente conflicto en defensa de la autonomía local, razón por la que hemos de proceder a su inadmisión.</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Inadmitir el conflicto en defensa de la autonomía local formulado por las Diputaciones Provinciales de Almería, Granada, Málaga y Cádiz contra los arts. 2 y 3 del Decreto-ley 5/2012, de 27 de noviembre, de medidas urgentes en materia urbanística y para la protección del litoral de Andalucía, así como contra la totalidad del citado Decreto-ley.</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dieciocho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31" w:name="SENTENCIA_2016_28"/>
      <w:r>
        <w:lastRenderedPageBreak/>
        <w:t>SENTENCIA 28/2016, de 18 de febrero de 2016</w:t>
      </w:r>
    </w:p>
    <w:bookmarkEnd w:id="31"/>
    <w:p w:rsidR="00163957" w:rsidRDefault="00163957" w:rsidP="00163957">
      <w:pPr>
        <w:pStyle w:val="TtuloResolucin"/>
      </w:pPr>
      <w:r>
        <w:t>Pleno</w:t>
      </w:r>
    </w:p>
    <w:p w:rsidR="00163957" w:rsidRDefault="00163957" w:rsidP="00163957">
      <w:pPr>
        <w:pStyle w:val="TtuloBOE"/>
      </w:pPr>
      <w:r>
        <w:t>(BOE núm. 71, de 23 de marzo de 2016)</w:t>
      </w:r>
    </w:p>
    <w:p w:rsidR="00163957" w:rsidRDefault="00163957" w:rsidP="00163957">
      <w:pPr>
        <w:pStyle w:val="TextoNormalCentrado"/>
      </w:pPr>
      <w:r>
        <w:t>ECLI:ES:TC:2016:28</w:t>
      </w:r>
    </w:p>
    <w:p w:rsidR="00163957" w:rsidRDefault="00163957" w:rsidP="00163957">
      <w:pPr>
        <w:pStyle w:val="TextoNormalCentrado"/>
      </w:pPr>
    </w:p>
    <w:p w:rsidR="00163957" w:rsidRDefault="00163957" w:rsidP="00163957">
      <w:pPr>
        <w:pStyle w:val="SntesisDescriptiva"/>
      </w:pPr>
      <w:r>
        <w:t>Recurso de inconstitucionalidad 4912-2013. Interpuesto por el Gobierno de la Generalitat de Cataluña en relación con diversos preceptos de la Ley 2/2013, de 29 de mayo, de protección y uso sostenible del litoral y de modificación de la Ley 22/1988, de 28 de julio, de costas.</w:t>
      </w:r>
    </w:p>
    <w:p w:rsidR="00163957" w:rsidRDefault="00163957" w:rsidP="00163957">
      <w:pPr>
        <w:pStyle w:val="SntesisDescriptiva"/>
      </w:pPr>
    </w:p>
    <w:p w:rsidR="00163957" w:rsidRDefault="00163957" w:rsidP="00163957">
      <w:pPr>
        <w:pStyle w:val="SntesisAnaltica"/>
      </w:pPr>
      <w:r>
        <w:t>Competencias sobre urbanismo, ordenación del litoral y del territorio; autonomía local: interpretación conforme del precepto legal estatal que impone a las Comunidades Autónomas el deber de elaborar un plan sobre la posible incidencia del cambio climático en el dominio público marítimo-terrestre (STC 233/2015).</w:t>
      </w:r>
    </w:p>
    <w:p w:rsidR="00163957" w:rsidRDefault="00163957" w:rsidP="00163957">
      <w:pPr>
        <w:pStyle w:val="SntesisAnaltica"/>
      </w:pPr>
    </w:p>
    <w:p w:rsidR="00163957" w:rsidRDefault="00163957" w:rsidP="00163957">
      <w:pPr>
        <w:pStyle w:val="Extracto"/>
      </w:pPr>
      <w:r>
        <w:t>1.</w:t>
      </w:r>
      <w:r>
        <w:tab/>
        <w:t>El precepto que regula el régimen de ocupación y uso de las playas atendiendo a su naturaleza concurre a definir los límites dentro de los que puede ejercerse la competencia autonómica de ordenación del litoral, disponiendo que el nivel de protección necesario en determinados tramos de playa no impone proscribir ese preciso uso, dejando intacto el margen de apreciación de las instancias autonómicas o, en su caso, locales, para preverlo o no [FJ 3].</w:t>
      </w:r>
    </w:p>
    <w:p w:rsidR="00163957" w:rsidRDefault="00163957" w:rsidP="00163957">
      <w:pPr>
        <w:pStyle w:val="Extracto"/>
      </w:pPr>
    </w:p>
    <w:p w:rsidR="00163957" w:rsidRDefault="00163957" w:rsidP="00163957">
      <w:pPr>
        <w:pStyle w:val="Extracto"/>
      </w:pPr>
      <w:r>
        <w:t>2.</w:t>
      </w:r>
      <w:r>
        <w:tab/>
        <w:t>Aplica la doctrina sentada por la STC 233/2015 en relación con la remisión al reglamento para desarrollar el régimen de ocupación y uso de las playas [FJ 3].</w:t>
      </w:r>
    </w:p>
    <w:p w:rsidR="00163957" w:rsidRDefault="00163957" w:rsidP="00163957">
      <w:pPr>
        <w:pStyle w:val="Extracto"/>
      </w:pPr>
    </w:p>
    <w:p w:rsidR="00163957" w:rsidRDefault="00163957" w:rsidP="00163957">
      <w:pPr>
        <w:pStyle w:val="Extracto"/>
      </w:pPr>
      <w:r>
        <w:t>3.</w:t>
      </w:r>
      <w:r>
        <w:tab/>
        <w:t>La delimitación de los tramos urbanos y naturales de las playas tiene una clara finalidad protectora del demanio y en nada incide en la competencia urbanística para clasificar los suelos que, por ser colindantes a la playa, estén fuera del dominio público [FJ 3].</w:t>
      </w:r>
    </w:p>
    <w:p w:rsidR="00163957" w:rsidRDefault="00163957" w:rsidP="00163957">
      <w:pPr>
        <w:pStyle w:val="Extracto"/>
      </w:pPr>
    </w:p>
    <w:p w:rsidR="00163957" w:rsidRDefault="00163957" w:rsidP="00163957">
      <w:pPr>
        <w:pStyle w:val="Extracto"/>
      </w:pPr>
      <w:r>
        <w:t>4.</w:t>
      </w:r>
      <w:r>
        <w:tab/>
        <w:t>En cuanto a la denunciada vulneración de las competencias autonómicas en materia de puertos, aunque la titularidad estatal sobre el dominio público marítimo-terrestre no es en sí misma un criterio de delimitación competencial, de esa titularidad demanial derivan una serie de facultades para el Estado, entre las que se incluyen tanto la de definir el dominio y establecer el régimen jurídico de los bienes que lo integran, como la de ejercer las competencias necesarias para preservarlo, mejorarlo, conservarlo y asegurar su adecuada utilización (STC 34/2014) [FJ 4].</w:t>
      </w:r>
    </w:p>
    <w:p w:rsidR="00163957" w:rsidRDefault="00163957" w:rsidP="00163957">
      <w:pPr>
        <w:pStyle w:val="Extracto"/>
      </w:pPr>
    </w:p>
    <w:p w:rsidR="00163957" w:rsidRDefault="00163957" w:rsidP="00163957">
      <w:pPr>
        <w:pStyle w:val="Extracto"/>
      </w:pPr>
      <w:r>
        <w:t>5.</w:t>
      </w:r>
      <w:r>
        <w:tab/>
        <w:t>En cuanto a los criterios para la asignación de superficie máxima de los usos, la queja ha de ser desestimada, pues, en este ámbito, resulta posible la colaboración reglamentaria; y, por otra parte, la norma se refiere al establecimiento de contenidos máximos, que pueden ser modulados por la Comunidad Autónoma [FJ 4].</w:t>
      </w:r>
    </w:p>
    <w:p w:rsidR="00163957" w:rsidRDefault="00163957" w:rsidP="00163957">
      <w:pPr>
        <w:pStyle w:val="Extracto"/>
      </w:pPr>
    </w:p>
    <w:p w:rsidR="00163957" w:rsidRDefault="00163957" w:rsidP="00163957">
      <w:pPr>
        <w:pStyle w:val="Extracto"/>
      </w:pPr>
      <w:r>
        <w:t>6.</w:t>
      </w:r>
      <w:r>
        <w:tab/>
        <w:t xml:space="preserve">Aplica la doctrina contenida en la STC 6/2016 sobre la facultad del Delegado del Gobierno para suspender los actos y acuerdos adoptados por las entidades locales que, bien afecten a la integridad del dominio público marítimo-terrestre o de la </w:t>
      </w:r>
      <w:r>
        <w:lastRenderedPageBreak/>
        <w:t>servidumbre de protección, bien supongan una infracción manifiesta de lo dispuesto en la Ley de Costas, que regula el régimen de las actividades prohibidas y permitidas en dicha zona de servidumbre [FJ 5].</w:t>
      </w:r>
    </w:p>
    <w:p w:rsidR="00163957" w:rsidRDefault="00163957" w:rsidP="00163957">
      <w:pPr>
        <w:pStyle w:val="Extracto"/>
      </w:pPr>
    </w:p>
    <w:p w:rsidR="00163957" w:rsidRDefault="00163957" w:rsidP="00163957">
      <w:pPr>
        <w:pStyle w:val="Extracto"/>
      </w:pPr>
      <w:r>
        <w:t>7.</w:t>
      </w:r>
      <w:r>
        <w:tab/>
        <w:t>El precepto que atribuye a los propietarios de las viviendas colindantes con los canales navegables el derecho de uso de los amarres situados delante de las viviendas regula un derecho privativo sobre un bien demanial, pues se trata de viviendas contiguas a los canales navegables y éstos son de dominio público, derecho que deriva directamente de la previsión legal, lo que es constitucionalmente posible, dado que al Estado corresponden, en cuanto que titular del demanio, las facultades normativas para establecer su régimen de ocupación, sin perjuicio de las competencias sectoriales autonómicas que se ejerzan sobre dicho demanio [FJ 6].</w:t>
      </w:r>
    </w:p>
    <w:p w:rsidR="00163957" w:rsidRDefault="00163957" w:rsidP="00163957">
      <w:pPr>
        <w:pStyle w:val="Extracto"/>
      </w:pPr>
    </w:p>
    <w:p w:rsidR="00163957" w:rsidRDefault="00163957" w:rsidP="00163957">
      <w:pPr>
        <w:pStyle w:val="Extracto"/>
      </w:pPr>
      <w:r>
        <w:t>8.</w:t>
      </w:r>
      <w:r>
        <w:tab/>
        <w:t>El plan de adaptación de las estructuras construidas sobre el dominio público marítimo terrestre persigue sin duda velar por la integridad física del demanio maritimo-terrestre, protegiéndolo frente a los efectos del cambio climático [FJ 7].</w:t>
      </w:r>
    </w:p>
    <w:p w:rsidR="00163957" w:rsidRDefault="00163957" w:rsidP="00163957">
      <w:pPr>
        <w:pStyle w:val="Extracto"/>
      </w:pPr>
    </w:p>
    <w:p w:rsidR="00163957" w:rsidRDefault="00163957" w:rsidP="00163957">
      <w:pPr>
        <w:pStyle w:val="Extracto"/>
      </w:pPr>
      <w:r>
        <w:t>9.</w:t>
      </w:r>
      <w:r>
        <w:tab/>
        <w:t>Dado que la aprobación de los planes autonómicos por un órgano estatal se explica por la necesidad de preservar las características propias de la zona marítimo-terrestre en relación con las repercusiones que el cambio climático puede tener sobre tales bienes demaniales, a tales extremos ha de quedar limitado el acto aprobatorio estatal sin que en ningún caso pueda extenderse al modo de disponer y configurar las infraestructuras autonómicas [FJ 7].</w:t>
      </w:r>
    </w:p>
    <w:p w:rsidR="00163957" w:rsidRDefault="00163957" w:rsidP="00163957">
      <w:pPr>
        <w:pStyle w:val="Extracto"/>
      </w:pPr>
    </w:p>
    <w:p w:rsidR="00163957" w:rsidRDefault="00163957" w:rsidP="00163957">
      <w:pPr>
        <w:pStyle w:val="Extracto"/>
      </w:pPr>
      <w:r>
        <w:t>10.</w:t>
      </w:r>
      <w:r>
        <w:tab/>
        <w:t>Remisión a la doctrina constitucional sobre el régimen de dominio público marítimo-terrestre (SSTC 159/1991, 233/2015, 6/2016)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Ríos, don Pedro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inconstitucionalidad núm. 4912-2013 promovido por el Gobierno de la Generalitat de Cataluña contra el artículo 1., apartados 12, 16, 38 y 41, y disposición adicional octava, apartado 2, de la Ley 2/2013, de 29 de mayo, de protección y uso sostenible del litoral y de modificación de la Ley 22/1988, de 28 de julio, de costas. Ha comparecido </w:t>
      </w:r>
      <w:r>
        <w:lastRenderedPageBreak/>
        <w:t>y formulado alegaciones el Abogado del Estado. Ha sido Ponente la Magistrada doña Encarnación Roca Trías,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Con fecha 2 de agosto de 2013 tuvo entrada en el Registro General de este Tribunal el recurso de inconstitucionalidad interpuesto por la Abogada de la Generalitat de Cataluña, en representación de su Gobierno, contra el artículo 1, apartados 12, 16, 38 y 41, y disposición adicional octava, apartado 2, de la Ley 2/2013, de 29 de mayo, de protección y uso sostenible del litoral y de modificación de la Ley 22/1988, de 28 de julio de costas (LC).</w:t>
      </w:r>
    </w:p>
    <w:p w:rsidR="00163957" w:rsidRDefault="00163957" w:rsidP="00163957">
      <w:pPr>
        <w:pStyle w:val="TextoNormal"/>
      </w:pPr>
    </w:p>
    <w:p w:rsidR="00163957" w:rsidRDefault="00163957" w:rsidP="00163957">
      <w:pPr>
        <w:pStyle w:val="TextoNormal"/>
      </w:pPr>
      <w:r>
        <w:t>El recurso se fundamenta en los motivos que se exponen a continuación.</w:t>
      </w:r>
    </w:p>
    <w:p w:rsidR="00163957" w:rsidRDefault="00163957" w:rsidP="00163957">
      <w:pPr>
        <w:pStyle w:val="TextoNormal"/>
      </w:pPr>
    </w:p>
    <w:p w:rsidR="00163957" w:rsidRDefault="00163957" w:rsidP="00163957">
      <w:pPr>
        <w:pStyle w:val="TextoNormal"/>
      </w:pPr>
      <w:r>
        <w:t>Comienza aludiendo al objeto del recurso y al contenido de la Ley 21/2013, indicando que la misma se ampara, en su conjunto, los arts. 149.1.1 y 149.1.23 CE, títulos competenciales que se complementan, respecto a determinados preceptos, con los de los arts. 149.1.8, 149.1.14 y 149.1.20 CE. Sin embargo, la demanda estima que los preceptos impugnados exceden de dichas habilitaciones competenciales y vulneran las competencias autonómicas del art. 149 EAC, en materia de ordenación del territorio, del litoral y urbanismo así como la competencia exclusiva en materia de puertos que no tengan interés general que le atribuye el art. 140.1 del Estatuto de Autonomía de Cataluña (EAC) y también la competencia compartida en materia de medio ambiente que le confiere el art. 144.1 EAC. Asimismo, el nuevo régimen de impugnación de los actos y acuerdos de las entidades locales que afecten la integridad del dominio público marítimo-terrestre, que establece el nuevo apartado 2 del art. 119 LC, introducido por el artículo 1.38 de la Ley 2/2013, infringe el principio de autonomía local reconocido en los arts. 137 y 140 CE.</w:t>
      </w:r>
    </w:p>
    <w:p w:rsidR="00163957" w:rsidRDefault="00163957" w:rsidP="00163957">
      <w:pPr>
        <w:pStyle w:val="TextoNormal"/>
      </w:pPr>
    </w:p>
    <w:p w:rsidR="00163957" w:rsidRDefault="00163957" w:rsidP="00163957">
      <w:pPr>
        <w:pStyle w:val="TextoNormal"/>
      </w:pPr>
      <w:r>
        <w:t>Dado que los preceptos impugnados inciden en la ordenación del litoral, la protección del dominio público marítimo-terrestre y el régimen jurídico de las infraestructuras autonómicas ubicadas en el mismo, la demanda recoge a continuación el régimen de distribución de competencias que rige en el ámbito litoral, para proceder posteriormente a analizar cada uno de los preceptos impugnados relativos a dichas materias.</w:t>
      </w:r>
    </w:p>
    <w:p w:rsidR="00163957" w:rsidRDefault="00163957" w:rsidP="00163957">
      <w:pPr>
        <w:pStyle w:val="TextoNormal"/>
      </w:pPr>
    </w:p>
    <w:p w:rsidR="00163957" w:rsidRDefault="00163957" w:rsidP="00163957">
      <w:pPr>
        <w:pStyle w:val="TextoNormal"/>
      </w:pPr>
      <w:r>
        <w:t xml:space="preserve">a) A tal efecto indica que el art. 132.2 CE declara como bienes de dominio público natural, de titularidad estatal, la zona marítimo-terrestre, las playas, el mar territorial y los recursos naturales de la zona económica y de la plataforma continental, a la vez que establece una reserva de ley estatal para la determinación de los demás bienes que formen parte del dominio público marítimo-terrestre. De ese mismo precepto se infiere la facultad del legislador estatal para definir el dominio público estatal, así como para establecer el régimen jurídico de todos los bienes que lo integran, a fin preservar su integridad, sus características propias y su uso público y gratuito, inspirándose a estos efectos en los principios de inalienabilidad, imprescriptibilidad e inembargabilidad, proclamados en el apartado 1 del propio art. 132 CE. Ahora bien, el carácter demanial de un espacio territorial no sólo no obsta a su sometimiento a las competencias que sobre dicho espacio corresponden a otros entes públicos, sino que, además, el dominio público, o la propiedad de cualesquiera otros bienes inmuebles, tampoco constituye un título competencial que atribuya al Estado competencias distintas de las que le corresponden conforme al orden constitucional de distribución de </w:t>
      </w:r>
      <w:r>
        <w:lastRenderedPageBreak/>
        <w:t>competencias. Se da, por tanto, una disociación entre la titularidad pública del suelo y aquellas competencias públicas que lo tienen como soporte físico. Lo que es lo mismo, la propiedad pública de un bien es separable del ejercicio de aquellas competencias públicas que lo tienen como soporte natural o físico, sin que las leyes estatales puedan otorgar a la Administración del Estado atribuciones sobre las actividades que se desenvuelven en el demanio natural que no tengan amparo específico en los títulos competenciales que le atribuye el art. 149.1 CE.</w:t>
      </w:r>
    </w:p>
    <w:p w:rsidR="00163957" w:rsidRDefault="00163957" w:rsidP="00163957">
      <w:pPr>
        <w:pStyle w:val="TextoNormal"/>
      </w:pPr>
    </w:p>
    <w:p w:rsidR="00163957" w:rsidRDefault="00163957" w:rsidP="00163957">
      <w:pPr>
        <w:pStyle w:val="TextoNormal"/>
      </w:pPr>
      <w:r>
        <w:t>La demanda se refiere a las competencias del Estado y de la Comunidad Autónoma sobre el litoral. En cuanto a las primeras, señala que, conforme a la doctrina de la STC 149/1991, el Estado dispone de dos títulos competenciales generales que le permiten actuar sobre el litoral. El primero es el relativo al art. 149.1.1 CE que opera para asegurar una igualdad básica en el ejercicio del derecho a disfrutar de un medio ambiente adecuado al desarrollo de la persona (art. 45 CE), en relación con el dominio público marítimo-terrestre y, de otra parte, para garantizar las condiciones básicas de igualdad de los propietarios de los terrenos colindantes a la zona marítima terrestre (art. 33 CE), afectados por las limitaciones y servidumbres impuestas para garantizar su accesibilidad. El segundo es el art. 149.1.23 CE, respecto del que la doctrina constitucional estimó que no podía dejar sin contenido las competencias autonómicas, así como que se trata de una competencia que tiene un alcance transversal respecto a las autonómicas en materia de ordenación del territorio y del litoral, urbanismo y puertos. En estos casos, el condicionamiento de las competencias autonómicas queda reducido a la posibilidad de imponer limitaciones para evitar las repercusiones medioambientalmente negativas, derivadas del ejercicio de dichas competencias sectoriales. Respecto a las competencias autonómicas, la demanda alude a las relativas a la ordenación del territorio y del litoral y la de urbanismo, señalando la existencia de pronunciamientos del Tribunal al respecto. En cuanto a la competencia autonómica en materia de puertos, señala que, dada la titularidad estatal del dominio público marítimo terrestre se halla condicionada, a la previa adscripción del dominio público preciso para el desarrollo de la actividad portuaria, lo que constituye una técnica al servicio de las Comunidades Autónomas para el ejercicio de sus competencias sectoriales en materia viaria y portuaria con incidencia en el territorio. Finalmente, entre los títulos competenciales autonómicos con incidencia sobre la franja costera, la demanda reseña la competencia compartida en materia de medio ambiente que el artículo 144 EAC reconoce a la Generalitat de Cataluña, que le habilita para llevar a cabo el desarrollo normativo de la legislación estatal básica sobre protección del medio ambiente.</w:t>
      </w:r>
    </w:p>
    <w:p w:rsidR="00163957" w:rsidRDefault="00163957" w:rsidP="00163957">
      <w:pPr>
        <w:pStyle w:val="TextoNormal"/>
      </w:pPr>
    </w:p>
    <w:p w:rsidR="00163957" w:rsidRDefault="00163957" w:rsidP="00163957">
      <w:pPr>
        <w:pStyle w:val="TextoNormal"/>
      </w:pPr>
      <w:r>
        <w:t>La conclusión de lo anteriormente expuesto es que hay una pluralidad de títulos competenciales estales y autonómicos que se entrecruzan y convergen sobre el territorio litoral. De ahí que, conforme a la doctrina constitucional, la concurrencia de competencias estatales y autonómicas con distinto objeto jurídico, sobre un mismo espacio físico es constitucionalmente admisible, sin que dicha concurrencia comporte la exclusión de una de ellas, siendo por el contrario posible e incluso exigible, dada su respectiva legitimidad, garantizar su ejercicio simultáneo, aun cuando mutuamente condicionado, acudiendo a tal efecto a fórmulas de cooperación que permitan optimizar el ejercicio de ambas competencias.</w:t>
      </w:r>
    </w:p>
    <w:p w:rsidR="00163957" w:rsidRDefault="00163957" w:rsidP="00163957">
      <w:pPr>
        <w:pStyle w:val="TextoNormal"/>
      </w:pPr>
    </w:p>
    <w:p w:rsidR="00163957" w:rsidRDefault="00163957" w:rsidP="00163957">
      <w:pPr>
        <w:pStyle w:val="TextoNormal"/>
      </w:pPr>
      <w:r>
        <w:t xml:space="preserve">b) El primer precepto impugnado es el artículo 1.12 de la Ley 2/2013 mediante el que se introduce un nuevo apartado 6 en el art. 33 LC, en cuanto que distingue entre los tramos urbanos y los tramos naturales de las playas para someterlos a un régimen de ocupación y </w:t>
      </w:r>
      <w:r>
        <w:lastRenderedPageBreak/>
        <w:t>uso diferenciado, a determinar en vía reglamentaria, admitiendo en los tramos urbanos la celebración de eventos de interés general con repercusión turística y en la medida en que reserva al Estado la delimitación de dichos tramos, con participación de las administraciones competentes en materia de ordenación territorial y urbanismo. La demanda entiende que esta regulación no está amparada por el art. 149.1.1 CE, sino que se sustenta en el art. 149.1.23 CE, excediendo de dicha competencia tanto por lo que se refiere a la fijación de determinados usos admisibles en los tramos urbanos de las playas y la remisión al desarrollo reglamentario del régimen de ocupación y uso de los tramos urbanos y naturales de las playas, como en lo que atañe a la delimitación de dichos tramos. En cuanto a lo primero, la demanda recuerda que la titularidad del dominio público no aísla el espacio demanial del resto de territorio, excluyéndolo del ejercicio de las competencias que sobre el mismo se proyectan, ni atribuyen al titular dominical, en este caso el Estado, otras competencias que las que resultan del sistema constitucional de distribución de las mismas. Recuerda también que la competencia estatal en materia de medio ambiente se reduce al establecimiento de limitaciones para impedir las repercusiones negativas que pudieran derivarse del ejercicio de las competencias autonómicas para la conservación y uso público de las playas. Este limitado alcance de la competencia estatal impide que dicho título competencial dé cobertura al párrafo segundo del nuevo apartado 6 del art. 33 LC, ya que no se trata de una prescripción destinada a la preservación de los valores naturales de las playas, ni a garantizar su uso público y gratuito, sino que constituye una norma relativa a los usos del suelo, cuyo establecimiento corresponde al legislador autonómico, titular de las competencias exclusivas en materia de ordenación del territorio y del litoral y de urbanismo. Lo mismo sucede con la remisión reglamentaria, pues su competencia no le autoriza a especificar los usos concretos a los que pueden o deben destinarse los terrenos. Estas previsiones tampoco tendrían cobijo en el art. 133.2 CE, ya que no responden a la finalidad de asegurar la protección de la integridad del demanio y la libre utilización pública y gratuita, únicos fines que justificarían la regulación estatal amparada en la titularidad del dominio público costero, conforme a la doctrina de la STC 149/1991. La consecuencia es que infringe las competencias autonómicas, en especial la del art. 149.3 a) EAC. Por otra parte se cuestiona que la intervención de las administraciones competentes en la delimitación de los tramos urbanos y naturales de las playas quede reducida a una mera participación en el procedimiento.</w:t>
      </w:r>
    </w:p>
    <w:p w:rsidR="00163957" w:rsidRDefault="00163957" w:rsidP="00163957">
      <w:pPr>
        <w:pStyle w:val="TextoNormal"/>
      </w:pPr>
    </w:p>
    <w:p w:rsidR="00163957" w:rsidRDefault="00163957" w:rsidP="00163957">
      <w:pPr>
        <w:pStyle w:val="TextoNormal"/>
      </w:pPr>
      <w:r>
        <w:t>La demanda señala que la distinción entre tramos urbanos y naturales parece deberse al propósito de permitir una explotación turística y comercial de los tramos urbanos de las playas, en los que el nivel de protección se reduce a la garantía del uso común, sin añadir ningún elemento de protección adicional al que, con carácter general, corresponde a los bienes integrantes del demanio natural. En todo caso, aun aceptando que la distinción es de naturaleza medioambiental, determinar cuándo un tramo de playa es urbano y cuándo no lo es supone irrogarse una función que materialmente corresponde a la competencia autonómica en materia de ordenación territorial y urbanística, tal como se desprende de otras regulaciones sectoriales estatales, como, por ejemplo, la de carreteras que remite a las determinaciones del planeamiento. Así, en la medida en que el precepto impugnado no remite a la clasificación urbanística de los terrenos contiguos otorgada por la planificación territorial y urbanística, sino que reserva la delimitación de los referidos tramos urbanos y naturales a órganos estatales, al margen del planeamiento territorial y urbanístico, vulnera las competencias autonómicas exclusivas en esta materia.</w:t>
      </w:r>
    </w:p>
    <w:p w:rsidR="00163957" w:rsidRDefault="00163957" w:rsidP="00163957">
      <w:pPr>
        <w:pStyle w:val="TextoNormal"/>
      </w:pPr>
    </w:p>
    <w:p w:rsidR="00163957" w:rsidRDefault="00163957" w:rsidP="00163957">
      <w:pPr>
        <w:pStyle w:val="TextoNormal"/>
      </w:pPr>
      <w:r>
        <w:lastRenderedPageBreak/>
        <w:t xml:space="preserve">c) El artículo 1.16 de la Ley 2/2013 añade un nuevo apartado 4 al art. 49 LC, relativo a los usos admisibles en la zona de servicio portuario de los puertos autonómicos, cuyo párrafo segundo remite al desarrollo reglamentario para la determinación de los criterios de asignación de los usos comerciales y de restauración que autoriza. Lo cuestionado es la remisión a un reglamento estatal de la fijación de los criterios para asignar la superficie máxima de los bienes de dominio público portuario adscritos a las Comunidades Autónomas que se pueden destinar a usos comerciales y de restauración, en función del número de amarres y teniendo en cuenta los requisitos necesarios para no perjudicar el dominio público marítimo-terrestre, ni la actividad portuaria. La demanda niega que esta regulación tenga amparo en el art. 149.1.1 CE ni tampoco en el art. 149.1.18 CE, en la medida en que la adscripción demanial queda exenta del régimen concesional general y considera que se justifica en las facultades dominicales </w:t>
      </w:r>
      <w:r w:rsidRPr="00163957">
        <w:rPr>
          <w:i/>
        </w:rPr>
        <w:t>ex</w:t>
      </w:r>
      <w:r>
        <w:t xml:space="preserve"> art. 132.2 CE. De acuerdo con dichas facultades dominicales y con la competencia </w:t>
      </w:r>
      <w:r w:rsidRPr="00163957">
        <w:rPr>
          <w:i/>
        </w:rPr>
        <w:t>ex</w:t>
      </w:r>
      <w:r>
        <w:t xml:space="preserve"> art. 149.1.23 CE en relación con los bienes de dominio público marítimo-terrestre adscritos al ejercicio de competencias autonómicas sectoriales, el legislador estatal puede establecer las medidas necesarias para su protección, así como aquellas tendentes a impedir los usos que puedan tener repercusiones negativas sobre los bienes demaniales adscritos. Se trata, sin embargo, de facultades y competencia limitadas a la protección del demanio público costero, que no habilitan al Estado para intervenir en la gestión de los servicios portuarios autonómicos, ni en la ordenación de los usos necesarios para el desarrollo de las actividades portuaria autonómicas o de los meramente complementarios, funciones que, por el contrario, corresponden a las competencias autonómicas en materia de puertos.</w:t>
      </w:r>
    </w:p>
    <w:p w:rsidR="00163957" w:rsidRDefault="00163957" w:rsidP="00163957">
      <w:pPr>
        <w:pStyle w:val="TextoNormal"/>
      </w:pPr>
    </w:p>
    <w:p w:rsidR="00163957" w:rsidRDefault="00163957" w:rsidP="00163957">
      <w:pPr>
        <w:pStyle w:val="TextoNormal"/>
      </w:pPr>
      <w:r>
        <w:t>d) El artículo 1.41 de la Ley 2/2013 introduce una nueva disposición adicional décima en la Ley de costas para regular las urbanizaciones marítimo terrestres, del que se impugna su apartado 4, que atribuye a los propietarios de las viviendas contiguas a los canales navegables, un derecho de uso de los amarres situados frente a sus viviendas, vinculado a las viviendas y transmisible junto a ellas. La demanda considera que la regulación estatal debería encontrar amparo en las facultades dominicales estatales del art. 132 CE, si bien tales facultades no excluyen las competencias autonómicas en materia de ordenación del territorio y del litoral y de urbanismo que se proyectan sobre los espacios públicos y privados que conforman dichas urbanizaciones marítimo-terrestres, ni excluye tampoco la competencia autonómica en materia de puertos, en las que se subsumen estas urbanizaciones, en tanto que infraestructura portuaria singular, conforme a la normativa autonómica. Partiendo de lo anterior, estima que corresponde a la Generalitat de Cataluña la gestión del dominio público necesario para prestar el servicio, especialmente la concesión de autorizaciones y concesiones dentro del recinto portuario, la cual incluye el régimen de uso de los amarres que estime más adecuado, sin perjuicio de la necesaria adscripción previa de los bienes de dominio público marítimo-terrestre requeridos para la construcción de tales urbanizaciones.</w:t>
      </w:r>
    </w:p>
    <w:p w:rsidR="00163957" w:rsidRDefault="00163957" w:rsidP="00163957">
      <w:pPr>
        <w:pStyle w:val="TextoNormal"/>
      </w:pPr>
    </w:p>
    <w:p w:rsidR="00163957" w:rsidRDefault="00163957" w:rsidP="00163957">
      <w:pPr>
        <w:pStyle w:val="TextoNormal"/>
      </w:pPr>
      <w:r>
        <w:t xml:space="preserve">e) El apartado 2 de la disposición adicional octava de la Ley 2/2013 se impugna en la medida en que impone la elaboración autonómica de planes de protección de los bienes de dominio público marítimo terrestre adscritos y de las infraestructuras construidas sobre ellos, sujetos a aprobación ministerial. La cobertura de esta previsión, según la demanda, se encontraría en el art. 149.1.23 CE, competencia a la que hay que añadir las facultades dominicales del art. 132.2 CE, derivadas de la titularidad estatal del dominio público natural marítimo terrestre. Ambas darían cobertura al deber que se impone a las Comunidades Autónomas, de proceder, en el plazo de dos años, a la elaboración de un plan de adaptación de </w:t>
      </w:r>
      <w:r>
        <w:lastRenderedPageBreak/>
        <w:t>los bienes demaniales adscritos para protegerlos de los efectos del cambio climático. En cambio, dichas competencia y facultades no habilitan al legislador estatal ni para imponer a dichas Comunidades Autónomas, la elaboración de un plan de adaptación al cambio climático de las estructuras construidas sobre los bienes demaniales adscritos, ni tampoco le autorizan a atribuir al Ministerio de Agricultura, Alimentación y Medio Ambiente la competencia para la aprobación definitiva de los planes elaborados por las Comunidades Autónomas. En cuanto a los primeros, la intervención del Estado queda limitada a la salvaguarda de sus intereses demaniales y dicha intervención en defensa de los bienes demaniales del Estado ya se ha materializado en el deber que el apartado 2 de la disposición adicional octava impone a las Comunidades Autónomas de elaborar un plan de adaptación al cambio climático de los bienes demaniales adscritos. Por lo demás, respecto a las infraestructuras portuarias y viarias construidas sobre tales bienes demaniales, la competencia de las Comunidades Autónomas es plena, de forma que la decisión sobre la elaboración de planes sobre tales infraestructuras forma parte de las competencias sectoriales autonómicas. Del mismo modo, el Estado tampoco está habilitado para reservar al Ministerio de Agricultura, Alimentación y Medio Ambiente la aprobación de los planes de adaptación de los bienes demaniales adscritos y de las estructuras construidas sobre ellos, para hacer frente a los efectos del cambio climático. Por el contrario, la aprobación definitiva de tales planes forma parte de la competencia compartida en materia de medio ambiente que el artículo 144.1 EAC atribuye a la Generalitat de Cataluña.</w:t>
      </w:r>
    </w:p>
    <w:p w:rsidR="00163957" w:rsidRDefault="00163957" w:rsidP="00163957">
      <w:pPr>
        <w:pStyle w:val="TextoNormal"/>
      </w:pPr>
    </w:p>
    <w:p w:rsidR="00163957" w:rsidRDefault="00163957" w:rsidP="00163957">
      <w:pPr>
        <w:pStyle w:val="TextoNormal"/>
      </w:pPr>
      <w:r>
        <w:t>f) La demanda se cierra sosteniendo la inconstitucionalidad del artículo 1.38 de la Ley 2/2013 que añade un apartado 2 al art. 119 LC en el que atribuye al Delegado del Gobierno la potestad de suspender los actos y acuerdos municipales que infrinjan el régimen legal de protección de la zona costera. Este mecanismo se introduce como reacción para evitar que se consumen irregularidades administrativas que afecten la integridad del litoral. Así se extiende la potestad que el art. 67 de la Ley 7/1985, de 2 de abril, reguladora de las bases de régimen local (LBRL) atribuye al delegado del Gobierno de suspender los actos y acuerdos de las entidades locales que atenten gravemente al interés general de España, a aquellos actos y acuerdos municipales que afecten la integridad del demanio público marítimo-terrestre o bien la integridad de la servidumbre de protección de 100 metros. La disposición adicional segunda de la Ley 2/2013 no invoca ningún título competencial específico por lo que, conforme a lo indicado en su párrafo primero, debe entenderse que dicho apartado 2 tiene cobertura competencial en los arts. 149.1.1 y 149.1.23 CE. Sin embargo, la demanda estima que el impugnado apartado 2 incurre en dos vicios de inconstitucionalidad alternativos. Así, o bien vulnera el principio de autonomía local o bien, caso de no apreciarse la referida lesión del principio de autonomía local, invade la competencia autonómica en materia de ordenación del territorio y del litoral y urbanismo y, más concretamente la competencia de la Generalitat de Cataluña en materia de protección de la legalidad urbanística.</w:t>
      </w:r>
    </w:p>
    <w:p w:rsidR="00163957" w:rsidRDefault="00163957" w:rsidP="00163957">
      <w:pPr>
        <w:pStyle w:val="TextoNormal"/>
      </w:pPr>
    </w:p>
    <w:p w:rsidR="00163957" w:rsidRDefault="00163957" w:rsidP="00163957">
      <w:pPr>
        <w:pStyle w:val="TextoNormal"/>
      </w:pPr>
      <w:r>
        <w:t xml:space="preserve">En cuanto a lo primero, indica que la Ley reguladora de las bases de régimen local ha establecido, en sus arts. 65 y 66, el monopolio judicial del control de legalidad de los actos y acuerdos de los entes locales, admitiendo únicamente como excepción en su art. 67.1, la suspensión gubernativa de los actos y acuerdos de los entes locales que atenten gravemente al interés general de España, a cargo del delegado del Gobierno, quien deberá proceder a su posterior impugnación en el plazo de diez días desde la suspensión ante la jurisdicción contencioso-administrativa. Para la demanda, la imposición de controles en las leyes sectoriales </w:t>
      </w:r>
      <w:r>
        <w:lastRenderedPageBreak/>
        <w:t xml:space="preserve">desfigura el modelo de autonomía local diseñado por la Ley reguladora de las bases de régimen local que es la norma integrante del bloque de la constitucionalidad a la que corresponde, </w:t>
      </w:r>
      <w:r w:rsidRPr="00163957">
        <w:rPr>
          <w:i/>
        </w:rPr>
        <w:t>ex</w:t>
      </w:r>
      <w:r>
        <w:t xml:space="preserve"> art. 149.1.18 CE, delimitar su contenido.</w:t>
      </w:r>
    </w:p>
    <w:p w:rsidR="00163957" w:rsidRDefault="00163957" w:rsidP="00163957">
      <w:pPr>
        <w:pStyle w:val="TextoNormal"/>
      </w:pPr>
    </w:p>
    <w:p w:rsidR="00163957" w:rsidRDefault="00163957" w:rsidP="00163957">
      <w:pPr>
        <w:pStyle w:val="TextoNormal"/>
      </w:pPr>
      <w:r>
        <w:t>En el caso de que no se estimase este primer motivo de inconstitucionalidad, la demanda entiende que se vulneran las competencias sectoriales autonómicas en materia de ordenación del territorio y del litoral y de urbanismo, en la medida en que atribuye a un órgano estatal el ejercicio de competencias en materia de protección de la legalidad urbanística que pertenecen a las autoridades autonómicas. La titularidad demanial sobre un determinado territorio no excluye el ejercicio de las competencias que se proyectan sobre dicho territorio, por lo que dicha facultad de suspensión gubernativa no puede imponerse al margen de las competencias autonómicas en materia de ordenación del territorio y del litoral y urbanismo y especialmente, sin tener en cuenta la competencia de la Generalitat de Cataluña en materia de protección de la legalidad urbanística atribuida por el artículo 149.5 e) EAC, que incluye la adopción de las medidas de protección de la legalidad urbanística, de la que forman parte las restricciones de uso y edificación del suelo impuestas por la legislación de costas. De ahí que, en el supuesto de que se acepte que la suspensión gubernativa de los actos y acuerdos locales que infrinjan el régimen de protección de la zona litoral no vulnera la autonomía local y es constitucionalmente admisible, debe también reconocerse que dicha potestad de suspensión gubernativa no puede atribuirse al Delegado del Gobierno o no sólo únicamente al Delegado del Gobierno, habida cuenta de que constituye una medida de tutela del demanio público marítimo terrestre, de titularidad estatal, sino que, atendidas las competencias autonómicas en materia de ordenación del territorio y del litoral y urbanismo, dicha potestad de suspensión gubernativa de los actos y acuerdos locales que infrinjan los usos el suelo de la zona litoral, debe reconocerse también, a riesgo de incurrir en una lesión competencial, a los órganos autonómicos competentes en las referidas materias.</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escritos presentados en el Registro General de este Tribunal en fechas 1 y 2 de agosto de 2013, el Parlamento y el Gobierno de la Generalitat de Cataluña formulan incidente de recusación del Presidente del Tribunal Constitucional en una serie de procesos, entre los que se incluye el presente recurso de inconstitucionalidad, por las causas 9 y 10 del art. 219 de la Ley Orgánica del Poder Judicial, en relación con el art. 80 de la Ley Orgánica del Tribunal Constitucional (LOTC). Por ATC 180/2013, de 17 de septiembre, se acuerda la inadmisión a trámite de las recusaciones promovidas. Formulado recurso de súplica contra el anterior Auto por el Parlamento y la Generalitat de Cataluña, el Pleno, en providencia de 2 de octubre de 2013 acordó su inadmisión a trámite.</w:t>
      </w:r>
    </w:p>
    <w:p w:rsidR="00163957" w:rsidRDefault="00163957" w:rsidP="00163957">
      <w:pPr>
        <w:pStyle w:val="TextoNormal"/>
      </w:pPr>
    </w:p>
    <w:p w:rsidR="00163957" w:rsidRDefault="00163957" w:rsidP="00163957">
      <w:pPr>
        <w:pStyle w:val="TextoNormal"/>
      </w:pPr>
      <w:r w:rsidRPr="00163957">
        <w:rPr>
          <w:rStyle w:val="NumeroAFNegritaCaracter"/>
        </w:rPr>
        <w:t>3</w:t>
      </w:r>
      <w:r>
        <w:t>. Por providencia de 22 de octubre de 2013 el Pleno, a propuesta de la Sección Primera, acordó admitir a trámite el recurso de inconstitucionalidad promovido por el Gobierno de Cataluña y, en su representación y defensa, por la Letrada del mismo, contra el artículo 1, apartados 12, 16, 38 y 41, y disposición adicional octava, apartado 2, de la Ley 2/2013, de 29 de mayo, de protección y uso sostenible del litoral y de modificación de la Ley 22/1988, de 28 de julio, de costas; dar traslado de la demanda y documentos presentados, conforme establece el artículo 34 LOTC, al Congreso de los Diputados y al Senado, por conducto de sus Presidentes, y al Gobierno, a través del Ministro de Justicia, al objeto de que, en el plazo de 15 días, puedan personarse en el proceso y formular las alegaciones que estimaren convenientes y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4</w:t>
      </w:r>
      <w:r>
        <w:t>. Por escrito registrado el 30 de octubre de 2013, el Abogado del Estado se personó en nombre del Gobierno, solicitando una prórroga en el plazo inicialmente concedido para la formulación de alegaciones, prórroga que le fue concedida por providencia del Pleno de 4 de noviembre de 2013.</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registrado con fecha 31 de octubre de 2013 el Presidente del Congreso de los Diputados comunicó el acuerdo de la Mesa de la Cámara de personarse en el procedimiento y ofrecer su colaboración a los efectos del art. 88.1 LOTC. Lo mismo hizo el Presidente del Senado por escrito que tuvo entrada en este Tribunal el día 6 de noviembre de 2013.</w:t>
      </w:r>
    </w:p>
    <w:p w:rsidR="00163957" w:rsidRDefault="00163957" w:rsidP="00163957">
      <w:pPr>
        <w:pStyle w:val="TextoNormal"/>
      </w:pPr>
    </w:p>
    <w:p w:rsidR="00163957" w:rsidRDefault="00163957" w:rsidP="00163957">
      <w:pPr>
        <w:pStyle w:val="TextoNormal"/>
      </w:pPr>
      <w:r w:rsidRPr="00163957">
        <w:rPr>
          <w:rStyle w:val="NumeroAFNegritaCaracter"/>
        </w:rPr>
        <w:t>6</w:t>
      </w:r>
      <w:r>
        <w:t>. Las alegaciones presentadas por el Abogado del Estado interesando la desestimación del recurso fueron registradas en este Tribunal el día 27 de noviembre de 2013.</w:t>
      </w:r>
    </w:p>
    <w:p w:rsidR="00163957" w:rsidRDefault="00163957" w:rsidP="00163957">
      <w:pPr>
        <w:pStyle w:val="TextoNormal"/>
      </w:pPr>
    </w:p>
    <w:p w:rsidR="00163957" w:rsidRDefault="00163957" w:rsidP="00163957">
      <w:pPr>
        <w:pStyle w:val="TextoNormal"/>
      </w:pPr>
      <w:r>
        <w:t>Alude el Abogado del Estado al contenido de las vulneraciones denunciadas por la Generalitat, para analizar por separado cada una de ellas.</w:t>
      </w:r>
    </w:p>
    <w:p w:rsidR="00163957" w:rsidRDefault="00163957" w:rsidP="00163957">
      <w:pPr>
        <w:pStyle w:val="TextoNormal"/>
      </w:pPr>
    </w:p>
    <w:p w:rsidR="00163957" w:rsidRDefault="00163957" w:rsidP="00163957">
      <w:pPr>
        <w:pStyle w:val="TextoNormal"/>
      </w:pPr>
      <w:r>
        <w:t>Así, respecto al artículo 1.12, que añade el art. 33.6 LC, entiende que la doctrina de la STC 149/1991, de 4 de julio, FJ 4, ampara la regulación estatal. El precepto diferencia entre los tramos de playas urbanas y naturales a los efectos de regular su ocupación, de modo que esta responda a sus particularidades, en el entendido que no es lo mismo una playa contigua a un espacio urbano, que una playa situada en un entorno o enclave natural. Tal clasificación no afecta a las potestades de ordenación del litoral ni de urbanismo que ostenta la Comunidad Autónoma. Lo único que dispone la norma impugnada es la remisión reglamentaria para la determinación de ocupación y uso de las playas y los criterios en que tal regulación se realice. De esta manera será en dicho desarrollo reglamentario en el que se pueda analizar si el Estado se ha excedido, invadiendo competencias autonómicas de urbanismo, pero no en el momento actual. La presente regulación se refiere únicamente al nivel de ocupación de las playas, tolerando una ocupación más intensa en las playas urbanas con plena garantía del uso común y restringiendo las ocupaciones de las playas naturales. Por tanto, el Estado no se ha atribuido competencias en materia de urbanismo. En todo caso, debe tenerse presente que el último párrafo del apartado que se impugna señala que “en la delimitación de los tramos urbanos y naturales de las playas participarán las administraciones competentes en materia de ordenación del territorio y urbanismo, en la forma que reglamentariamente se determine”. Este mecanismo de colaboración garantiza que, en la clasificación de los tramos urbanos, se tenga en cuenta el criterio de la Administración urbanística.</w:t>
      </w:r>
    </w:p>
    <w:p w:rsidR="00163957" w:rsidRDefault="00163957" w:rsidP="00163957">
      <w:pPr>
        <w:pStyle w:val="TextoNormal"/>
      </w:pPr>
    </w:p>
    <w:p w:rsidR="00163957" w:rsidRDefault="00163957" w:rsidP="00163957">
      <w:pPr>
        <w:pStyle w:val="TextoNormal"/>
      </w:pPr>
      <w:r>
        <w:t xml:space="preserve">Sobre el artículo 1.16, en cuanto que añade un nuevo apartado 4 al art. 49 LC, señala que los bienes de dominio público marítimo-terrestre se adscriben para la construcción de puertos por parte de las Comunidades Autónomas, pero siguen siendo bienes de dominio público. A la Administración autonómica le corresponde organizar su gestión y uso, pero respetando las normas que le son aplicables en tanto que son bienes de dominio público marítimo-terrestre, cuya tutela corresponde al Estado. En otras palabras, la adscripción de los bienes no otorga a las Comunidades Autónomas una facultad normativa absoluta sobre los bienes adscritos. El nuevo apartado 4 introduce una regla especial, para este tipo de construcciones, siguiendo la misma lógica que la legislación de puertos de interés general Respecto de los bienes adscritos a las Comunidades Autónomas para la construcción de puertos, </w:t>
      </w:r>
      <w:r>
        <w:lastRenderedPageBreak/>
        <w:t>se permitirían aquellas actividades o instalaciones que destinándose a la actividad portuaria, no pudieran tener otra ocupación. Tras la reforma, se permiten los usos comerciales y de restauración, que con carácter general están prohibidos en el dominio público marítimo-terrestre, pero no se desconoce que es a la Administración autonómica a la que le corresponde su gestión, si bien respetando las exigencias que se derivan de la protección del dominio público marítimo-terrestre que impone la legislación de costas. Tal definición de los usos previstos en el dominio público marítimo terrestre adscrito en el ejercicio de la competencia estatal en cuanto a la salvaguardia de la integridad y protección del dominio público marítimo terrestre, ya está validada por la STC 149/1991.</w:t>
      </w:r>
    </w:p>
    <w:p w:rsidR="00163957" w:rsidRDefault="00163957" w:rsidP="00163957">
      <w:pPr>
        <w:pStyle w:val="TextoNormal"/>
      </w:pPr>
    </w:p>
    <w:p w:rsidR="00163957" w:rsidRDefault="00163957" w:rsidP="00163957">
      <w:pPr>
        <w:pStyle w:val="TextoNormal"/>
      </w:pPr>
      <w:r>
        <w:t>En cuanto al artículo 1.38, que añade el nuevo art. 119.2 LC, señala que el mismo se remite a la Ley reguladora de las bases de régimen local, cuya regulación ya se examinó en la STC 214/1989. Subraya el Abogado del Estado que el control previsto es de legalidad, que se activa por motivos de gravedad y urgencia, que por su propia naturaleza hacen que este mecanismo de control deba ser excepcional. En este caso el legislador, en el ejercicio de las competencias que le son propias, ha establecido que los actos y acuerdos de las entidades locales, que afectan a la integridad del dominio público marítimo terrestre o de la servidumbre de protección o que supongan una infracción manifiesta de las prohibiciones que afectan a esta zona, atentan al interés general de España, dotando así de contenido al concepto jurídico indeterminado del art. 67 LBRL. El Abogado del Estado recalca que la experiencia en la aplicación de la Ley de costas, “corrobora que la falta de un instrumento eficaz para poner freno a actos ilegales en el litoral, fundamentalmente licencias de edificación, conduce a consecuencias nefastas, de muy difícil o costosa reparación. Existen edificaciones en la costa, que pese a su ilegalidad manifiesta y declarada por los tribunales, plantean problemas complejos que fácilmente podrían haberse evitado si la licencia hubiera sido suspendida en los primeros momentos, impidiendo, cautelarmente, que desplegara aquellos efectos, que con el tiempo han resultado perniciosos”. Igualmente indica que las referencias “que hace el artículo 119.2 de la LC a la zona de servidumbre de protección tampoco infringen la competencia en materia de ordenación del territorio y urbanismo, en la medida en que se trata de garantizar el cumplimiento de la regulación que legítimamente incumbe al Estado para proteger la integridad del dominio público marítimo-terrestre, que como reiteradamente se ha dicho no se reduce a las disposiciones que regulan únicamente este espacio”.</w:t>
      </w:r>
    </w:p>
    <w:p w:rsidR="00163957" w:rsidRDefault="00163957" w:rsidP="00163957">
      <w:pPr>
        <w:pStyle w:val="TextoNormal"/>
      </w:pPr>
    </w:p>
    <w:p w:rsidR="00163957" w:rsidRDefault="00163957" w:rsidP="00163957">
      <w:pPr>
        <w:pStyle w:val="TextoNormal"/>
      </w:pPr>
      <w:r>
        <w:t>Por lo que respecta al apartado cuatro de la nueva disposición adicional décima de la Ley de costas, introducido por el artículo 1.41 de la Ley 2/2013, relativo a las urbanizaciones marítimo terrestres, en cuanto se otorga a los propietarios de las viviendas contiguas a los canales, un derecho de uso de los amarres situados frente a las mismas, el Abogado del Estado señala que se trata de bienes integrantes del dominio público marítimo terrestre (el canal navegable, art. 4 LC), respecto de los cuales el Estado, como hemos señalado reiteradamente, tiene competencia plena para su protección. Ello implica delimitar los usos que de los mismos pueden hacerse. A ello se añade que la regulación de uso de este tipo de amarres no sólo encuentra su amparo en la competencia estatal de regulación y protección de dicho demanio sino también, en el art.149.1.1 CE, con objeto de garantizar la igualdad de los ciudadanos en todo el territorio nacional.</w:t>
      </w:r>
    </w:p>
    <w:p w:rsidR="00163957" w:rsidRDefault="00163957" w:rsidP="00163957">
      <w:pPr>
        <w:pStyle w:val="TextoNormal"/>
      </w:pPr>
    </w:p>
    <w:p w:rsidR="00163957" w:rsidRDefault="00163957" w:rsidP="00163957">
      <w:pPr>
        <w:pStyle w:val="TextoNormal"/>
      </w:pPr>
      <w:r>
        <w:lastRenderedPageBreak/>
        <w:t>En cuanto al segundo apartado de la disposición adicional octava, el Abogado del Estado argumenta que resulta indiscutible que el Estado tiene competencia sobre la gestión del dominio público marítimo-terrestre, por lo que es forzoso admitir que podrá fijar la estrategia. Por ello, no se incurre en invasión competencial con la aprobación, por parte de la Administración del Estado, del plan elaborado por las Comunidades Autónomas ni con la obligación de estas de tenerlo para la adaptación al cambio climático de los terrenos adscritos a ellas en función de las previsiones del art. 49.1 LC, ya que, en este punto, el Estado no hace sino ejercer sus competencias de protección del dominio público marítimo-terrestre.</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16 de febrero de 2016, se señaló para deliberación y votación de la presente Sentencia el día 18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presente resolución tiene por objeto resolver el recurso de inconstitucionalidad interpuesto por el Gobierno de la Generalitat de Cataluña contra el art. 1, apartados 12, 16, 38 y 41, y disposición adicional octava, apartado 2, de la Ley 2/2013, de 29 de mayo, de protección y uso sostenible del litoral y de modificación de la Ley 22/1988, de 28 de julio, de costas. En lo sucesivo, las disposiciones afectadas se citarán como Ley 2/2013, LC 1988 (cuando hagamos referencia al texto anterior a la reforma) y LC (cuando se trate del texto vigente tras la reforma).</w:t>
      </w:r>
    </w:p>
    <w:p w:rsidR="00163957" w:rsidRDefault="00163957" w:rsidP="00163957">
      <w:pPr>
        <w:pStyle w:val="TextoNormal"/>
      </w:pPr>
    </w:p>
    <w:p w:rsidR="00163957" w:rsidRDefault="00163957" w:rsidP="00163957">
      <w:pPr>
        <w:pStyle w:val="TextoNormal"/>
      </w:pPr>
      <w:r>
        <w:t>La Abogada de la Generalitat de Cataluña considera que los preceptos impugnados vulneran las competencias autonómicas en materia de ordenación del territorio, del litoral y urbanismo que el artículo 149 del Estatuto de Autonomía de Cataluña (EAC), apartados 1, 3 y 5 reconocen a la Comunidad Autónoma de Cataluña en materia, respectivamente, de ordenación del territorio, del litoral y urbanismo. Igualmente se entiende vulnerada la competencia exclusiva en materia de puertos que no tengan interés general del art. 140.1 EAC, así como la competencia compartida en materia de medio ambiente del art. 144.1 EAC. A lo anterior, añade que el nuevo régimen de impugnación de los actos y acuerdos de las entidades locales que afecten la integridad del dominio público marítimo-terrestre, que establece el nuevo apartado 2 del art. 119 LC, introducido por el art. 1.38 de la Ley 2/2013, infringe el principio de autonomía local reconocido en los arts. 137 y 140 CE.</w:t>
      </w:r>
    </w:p>
    <w:p w:rsidR="00163957" w:rsidRDefault="00163957" w:rsidP="00163957">
      <w:pPr>
        <w:pStyle w:val="TextoNormal"/>
      </w:pPr>
    </w:p>
    <w:p w:rsidR="00163957" w:rsidRDefault="00163957" w:rsidP="00163957">
      <w:pPr>
        <w:pStyle w:val="TextoNormal"/>
      </w:pPr>
      <w:r>
        <w:t>El Abogado del Estado, por las razones que constan en los antecedentes, ha negado las vulneraciones denunciadas, interesando, en consecuencia, la desestimación íntegra del recurso.</w:t>
      </w:r>
    </w:p>
    <w:p w:rsidR="00163957" w:rsidRDefault="00163957" w:rsidP="00163957">
      <w:pPr>
        <w:pStyle w:val="TextoNormal"/>
      </w:pPr>
    </w:p>
    <w:p w:rsidR="00163957" w:rsidRDefault="00163957" w:rsidP="00163957">
      <w:pPr>
        <w:pStyle w:val="TextoNormal"/>
      </w:pPr>
      <w:r w:rsidRPr="00163957">
        <w:rPr>
          <w:rStyle w:val="NumeroAFNegritaCaracter"/>
        </w:rPr>
        <w:t>2</w:t>
      </w:r>
      <w:r>
        <w:t>. La Ley 2/2013 ha sido objeto de diversos recursos de inconstitucionalidad, alguno de los cuales ya han sido resueltos en el momento de dictar la presente Sentencia. Es el caso de la STC 233/2015, de 5 de noviembre, y de la STC 6/2016, de 21 de enero. A ambas nos remitiremos en los que resulte procedente.</w:t>
      </w:r>
    </w:p>
    <w:p w:rsidR="00163957" w:rsidRDefault="00163957" w:rsidP="00163957">
      <w:pPr>
        <w:pStyle w:val="TextoNormal"/>
      </w:pPr>
    </w:p>
    <w:p w:rsidR="00163957" w:rsidRDefault="00163957" w:rsidP="00163957">
      <w:pPr>
        <w:pStyle w:val="TextoNormal"/>
      </w:pPr>
      <w:r>
        <w:t>El recurso planteado tiene un carácter esencialmente competencial, pues, se alega la vulneración del acervo competencial autonómico, a lo que se añade, en el caso del art. 119.2 LC, la vulneración del principio constitucional de autonomía local.</w:t>
      </w:r>
    </w:p>
    <w:p w:rsidR="00163957" w:rsidRDefault="00163957" w:rsidP="00163957">
      <w:pPr>
        <w:pStyle w:val="TextoNormal"/>
      </w:pPr>
    </w:p>
    <w:p w:rsidR="00163957" w:rsidRDefault="00163957" w:rsidP="00163957">
      <w:pPr>
        <w:pStyle w:val="TextoNormal"/>
      </w:pPr>
      <w:r>
        <w:lastRenderedPageBreak/>
        <w:t>Como ha señalado la STC 6/2016, FJ 2, este Tribunal ya ha tenido ocasión de abordar en profundidad las distintas facetas del régimen constitucional del dominio público marítimo-terrestre. En su dimensión sustantiva, la doctrina está recogida tanto en la STC 149/1991, de 4 de julio, que enjuició la LC 1988, como en la muy reciente STC 233/2015, de 5 de noviembre, que se ha ocupado precisamente de la Ley 2/2013. En su dimensión competencial, el encuadramiento general de la controversia se abordó con todo detalle en la STC 149/1991, FJ 1. Por su estrecha conexión con el debate trabado en este proceso, la remisión a estos pronunciamientos previos nos exime de reproducir, siquiera en extracto, cuanto ya hemos dicho en relación al canon general de enjuiciamiento, y nos permite entrar directamente al análisis de los preceptos impugnados, haciendo referencia a la jurisprudencia previa en lo que específicamente sea pertinente.</w:t>
      </w:r>
    </w:p>
    <w:p w:rsidR="00163957" w:rsidRDefault="00163957" w:rsidP="00163957">
      <w:pPr>
        <w:pStyle w:val="TextoNormal"/>
      </w:pPr>
    </w:p>
    <w:p w:rsidR="00163957" w:rsidRDefault="00163957" w:rsidP="00163957">
      <w:pPr>
        <w:pStyle w:val="TextoNormal"/>
      </w:pPr>
      <w:r w:rsidRPr="00163957">
        <w:rPr>
          <w:rStyle w:val="NumeroAFNegritaCaracter"/>
        </w:rPr>
        <w:t>3</w:t>
      </w:r>
      <w:r>
        <w:t>. El primer precepto impugnado es el art. 1.12, de la Ley 2/2013, por el que se añade un apartado 6 al art. 33 LC 1988. El nuevo art. 33.6 LC tiene la siguiente redacción:</w:t>
      </w:r>
    </w:p>
    <w:p w:rsidR="00163957" w:rsidRDefault="00163957" w:rsidP="00163957">
      <w:pPr>
        <w:pStyle w:val="TextoNormal"/>
      </w:pPr>
    </w:p>
    <w:p w:rsidR="00163957" w:rsidRDefault="00163957" w:rsidP="00163957">
      <w:pPr>
        <w:pStyle w:val="TextoNormal"/>
      </w:pPr>
      <w:r>
        <w:t>“6. Reglamentariamente se desarrollará el régimen de ocupación y uso de las playas atendiendo a su naturaleza. Se dotará a los tramos naturales de las playas de un elevado nivel de protección que restrinja las ocupaciones, autorizando únicamente las que sean indispensables o estén previstas en la normativa aplicable. Se regulará la ocupación y uso de los tramos urbanos de las playas de modo que se garantice una adecuada prestación de los servicios que sea compatible con el uso común.</w:t>
      </w:r>
    </w:p>
    <w:p w:rsidR="00163957" w:rsidRDefault="00163957" w:rsidP="00163957">
      <w:pPr>
        <w:pStyle w:val="TextoNormal"/>
      </w:pPr>
    </w:p>
    <w:p w:rsidR="00163957" w:rsidRDefault="00163957" w:rsidP="00163957">
      <w:pPr>
        <w:pStyle w:val="TextoNormal"/>
      </w:pPr>
      <w:r>
        <w:t>En los tramos urbanos podrá autorizarse la celebración de aquellos eventos de interés general con repercusión turística que cumplan los requisitos que se establezcan, en particular, los relativos a superficie y tiempo de ocupación física, así como la adopción de todas las medidas preventivas tendentes a evitar cualquier afección ambiental y a garantizar el mantenimiento del tramo de playa en el estado anterior a la ocupación. En todo caso, una vez finalizada la ocupación, se procederá de manera inmediata al levantamiento de las instalaciones, a la completa limpieza del terreno ocupado y a la ejecución de las demás actuaciones precisas para asegurar la íntegra conservación de la playa.</w:t>
      </w:r>
    </w:p>
    <w:p w:rsidR="00163957" w:rsidRDefault="00163957" w:rsidP="00163957">
      <w:pPr>
        <w:pStyle w:val="TextoNormal"/>
      </w:pPr>
    </w:p>
    <w:p w:rsidR="00163957" w:rsidRDefault="00163957" w:rsidP="00163957">
      <w:pPr>
        <w:pStyle w:val="TextoNormal"/>
      </w:pPr>
      <w:r>
        <w:t>En la delimitación de los tramos urbanos y naturales de las playas participarán las administraciones competentes en materia de ordenación del territorio y urbanismo, en la forma que reglamentariamente se determine.”</w:t>
      </w:r>
    </w:p>
    <w:p w:rsidR="00163957" w:rsidRDefault="00163957" w:rsidP="00163957">
      <w:pPr>
        <w:pStyle w:val="TextoNormal"/>
      </w:pPr>
    </w:p>
    <w:p w:rsidR="00163957" w:rsidRDefault="00163957" w:rsidP="00163957">
      <w:pPr>
        <w:pStyle w:val="TextoNormal"/>
      </w:pPr>
      <w:r>
        <w:t>La Generalitat de Cataluña estima vulnerada su competencia en materia de ordenación del territorio y del litoral, formulando tres quejas respecto a este precepto. La primera es que, al admitir la celebración de eventos de interés general con repercusión turística en los tramos urbanos de las playas, establece una norma relativa a los usos del suelo que excede del art. 149.1.23 CE. La segunda se refiere a la remisión al reglamento estatal del régimen de ocupación y uso de los tramos naturales y urbanos de las playas. La tercera cuestiona la reserva estatal para la delimitación de los tramos urbanos y naturales de las playas, pues esa delimitación debería hacerse por remisión a la clasificación urbanística otorgada a los terrenos contiguos a la playa.</w:t>
      </w:r>
    </w:p>
    <w:p w:rsidR="00163957" w:rsidRDefault="00163957" w:rsidP="00163957">
      <w:pPr>
        <w:pStyle w:val="TextoNormal"/>
      </w:pPr>
    </w:p>
    <w:p w:rsidR="00163957" w:rsidRDefault="00163957" w:rsidP="00163957">
      <w:pPr>
        <w:pStyle w:val="TextoNormal"/>
      </w:pPr>
      <w:r>
        <w:t xml:space="preserve">En la STC 233/2015, FJ 6, este Tribunal descartó que este precepto resultase contrario al art. 132.2 CE (porque el precepto dividía el género indivisible que es constitucionalmente la playa y deslegalizaba su delimitación) y al art. 9.3 CE (porque la distinción tan genérica </w:t>
      </w:r>
      <w:r>
        <w:lastRenderedPageBreak/>
        <w:t>entre tramos urbanos y naturales dañaba la seguridad jurídica). Las cuestiones que ahora se plantean son, distintas y centradas en la delimitación de competencias entre el Estado y las Comunidades Autónomas, aspecto que tampoco se abordó, dada la falta de argumentación de la demanda, en la STC 6/2016, FJ 4 b).</w:t>
      </w:r>
    </w:p>
    <w:p w:rsidR="00163957" w:rsidRDefault="00163957" w:rsidP="00163957">
      <w:pPr>
        <w:pStyle w:val="TextoNormal"/>
      </w:pPr>
    </w:p>
    <w:p w:rsidR="00163957" w:rsidRDefault="00163957" w:rsidP="00163957">
      <w:pPr>
        <w:pStyle w:val="TextoNormal"/>
      </w:pPr>
      <w:r>
        <w:t>Entrando ya en el examen de la primera de las quejas formuladas, hemos de señalar que ya la STC 149/1991, FJ 4 A), indicó que la competencia autonómica en materia de ordenación del litoral se extendía al dominio público marítimo terrestre, sin perjuicio de las limitaciones que el Estado pudiera establecer a la mencionada competencia autonómica, en tanto que titular del demanio (art. 132.2 CE) o en el ejercicio de su competencia medioambiental (art. 149.1.23 CE). Tales limitaciones en ningún caso podrían determinar cuál haya de ser el concreto régimen de utilización y ocupación del demanio, imponiendo un concreto uso.</w:t>
      </w:r>
    </w:p>
    <w:p w:rsidR="00163957" w:rsidRDefault="00163957" w:rsidP="00163957">
      <w:pPr>
        <w:pStyle w:val="TextoNormal"/>
      </w:pPr>
    </w:p>
    <w:p w:rsidR="00163957" w:rsidRDefault="00163957" w:rsidP="00163957">
      <w:pPr>
        <w:pStyle w:val="TextoNormal"/>
      </w:pPr>
      <w:r>
        <w:t>No cabe, sin embargo, apreciar que el precepto imponga dicho uso. El propio art. 33.6 LC hace hincapié en el nivel de protección de la playa, que diferirá según su naturaleza. El legislador considera, y para ello le habilita su competencia de tutela de los intereses ambientales (art. 149.1.23 CE) y las facultades derivadas de la titularidad del dominio público (art. 132.2 CE), que la protección de algunos tramos de playa, los calificados como naturales, exige restringir las ocupaciones al mínimo, mientras que en otros, los urbanos, dicha protección es compatible con posibilitar una serie de usos, entre ellos el que motiva la impugnación. Eso no supone que ese uso sea directamente practicable en todos esos tramos de playa, sino, únicamente, que es posible preverlo, si el competente para ello lo considera conveniente, pues el legislador estatal, en atención a los fines protectores indicados, no lo excluye, pero tampoco lo impone (“podrá autorizarse”), evitando así predeterminar la ordenación concreta de los espacios concernidos.</w:t>
      </w:r>
    </w:p>
    <w:p w:rsidR="00163957" w:rsidRDefault="00163957" w:rsidP="00163957">
      <w:pPr>
        <w:pStyle w:val="TextoNormal"/>
      </w:pPr>
    </w:p>
    <w:p w:rsidR="00163957" w:rsidRDefault="00163957" w:rsidP="00163957">
      <w:pPr>
        <w:pStyle w:val="TextoNormal"/>
      </w:pPr>
      <w:r>
        <w:t>Se trata por tanto, de una norma que concurre a definir los límites dentro de los que puede ejercerse la competencia autonómica de ordenación del litoral, disponiendo que el nivel de protección necesario en determinados tramos de playa no impone proscribir ese preciso uso, dejando intacto, sin embargo, el margen de apreciación de las instancias autonómicas o, en su caso, locales, para preverlo o no. Al no ser, por lo ya expuesto, una norma que fije usos para un ámbito territorial, sino un precepto que enmarca las decisiones normativas autonómicas y municipales sobre dichos usos, resulta acorde con la doctrina de este Tribunal y, en consecuencia, constitucional.</w:t>
      </w:r>
    </w:p>
    <w:p w:rsidR="00163957" w:rsidRDefault="00163957" w:rsidP="00163957">
      <w:pPr>
        <w:pStyle w:val="TextoNormal"/>
      </w:pPr>
    </w:p>
    <w:p w:rsidR="00163957" w:rsidRDefault="00163957" w:rsidP="00163957">
      <w:pPr>
        <w:pStyle w:val="TextoNormal"/>
      </w:pPr>
      <w:r>
        <w:t xml:space="preserve">En cuanto a la segunda de las quejas formuladas, la STC 233/2015, FJ 6, ya estimó que “la remisión reglamentaria recogida en el precepto no constituye una deslegalización susceptible de reproche constitucional, sino que estamos, una vez más, ante una fórmula admisible de colaboración entre la ley y el reglamento, ya que el apartado impugnado recoge de forma suficiente los criterios que habrán de observarse en su desarrollo”. A lo que cabe añadir ahora, en la perspectiva en la que nos sitúa la demanda, que es doctrina consolidada que tal habilitación no puede ser calificada </w:t>
      </w:r>
      <w:r w:rsidRPr="00163957">
        <w:rPr>
          <w:i/>
        </w:rPr>
        <w:t>per se</w:t>
      </w:r>
      <w:r>
        <w:t xml:space="preserve"> cómo vulneradora de las competencias autonómicas, en este caso en materia de ordenación del territorio y urbanismo. Como acabamos de señalar, el art. 33.6 LC no es una norma que disponga los usos del territorio, sino un precepto que señala los límites que, por motivos ambientales (149.1.23 CE) o de tutela de la titularidad demanial (132.2 CE), deben ser respetados por quien, en actuación de la competencia urbanística o de ordenación territorial, decide sobre los mencionados usos. </w:t>
      </w:r>
      <w:r>
        <w:lastRenderedPageBreak/>
        <w:t>Siendo esa la naturaleza del precepto, la misma es también predicable de su desarrollo reglamentario, sin perjuicio de que, no siendo tal desarrollo reglamentario el objeto de este proceso, “[n]ada impide que, si el Gobierno, al dictar las correspondientes normas reglamentarias en virtud de esa remisión, extendiera su regulación a aspectos no básicos, pudiera plantearse el oportuno conflicto de competencias a fin de examinar si se hubiera producido o no la extralimitación en el ámbito competencial estatal” (STC 161/2014, de 7 de octubre, FJ 9).</w:t>
      </w:r>
    </w:p>
    <w:p w:rsidR="00163957" w:rsidRDefault="00163957" w:rsidP="00163957">
      <w:pPr>
        <w:pStyle w:val="TextoNormal"/>
      </w:pPr>
    </w:p>
    <w:p w:rsidR="00163957" w:rsidRDefault="00163957" w:rsidP="00163957">
      <w:pPr>
        <w:pStyle w:val="TextoNormal"/>
      </w:pPr>
      <w:r>
        <w:t>Resta por examinar la tercera queja que se formula a este precepto, que tampoco puede ser estimada. En efecto, la Generalitat considera que la determinación de cuándo un tramo de playa es urbano y cuándo es natural, es una función que se integra materialmente en la competencia relativa a la ordenación territorial y urbanística. En realidad, en el precepto que examinamos, la delimitación de los tramos urbanos y naturales de las playas tiene una clara finalidad protectora del demanio y en nada incide en la competencia urbanística para clasificar los suelos que, por ser colindantes a la playa, estén fuera del dominio público. Los órganos autonómicos y locales, en la medida de su respectiva competencia, podrán realizar esta atribución cómo tengan por conveniente. Lo que se sigue del planteamiento de los recurrentes es una pretensión de que la clasificación urbanística de los terrenos colindantes a la playa, se proyecte más allá del ámbito que le es propio, afectando al nivel de protección de las playas. Pero esa es una opción, no la única posible, puesta a disposición del legislador competente, el cual, en efecto, ha optado por un criterio de catalogación de los tramos naturales y urbanos de las playas a realizar por la Administración competente en materia de ordenación del territorio, que tiene en cuenta la situación de los terrenos colindantes (art. 67 del Real Decreto 876/2014, de 10 de octubre, por el que se aprueba el Reglamento general de costas).</w:t>
      </w:r>
    </w:p>
    <w:p w:rsidR="00163957" w:rsidRDefault="00163957" w:rsidP="00163957">
      <w:pPr>
        <w:pStyle w:val="TextoNormal"/>
      </w:pPr>
    </w:p>
    <w:p w:rsidR="00163957" w:rsidRDefault="00163957" w:rsidP="00163957">
      <w:pPr>
        <w:pStyle w:val="TextoNormal"/>
      </w:pPr>
      <w:r w:rsidRPr="00163957">
        <w:rPr>
          <w:rStyle w:val="NumeroAFNegritaCaracter"/>
        </w:rPr>
        <w:t>4</w:t>
      </w:r>
      <w:r>
        <w:t>. El siguiente precepto impugnado es el art. 1.16 de la Ley 2/2013, en cuanto al segundo párrafo del nuevo apartado 4 del art. 49 LC. Este apartado 4 dispone:</w:t>
      </w:r>
    </w:p>
    <w:p w:rsidR="00163957" w:rsidRDefault="00163957" w:rsidP="00163957">
      <w:pPr>
        <w:pStyle w:val="TextoNormal"/>
      </w:pPr>
    </w:p>
    <w:p w:rsidR="00163957" w:rsidRDefault="00163957" w:rsidP="00163957">
      <w:pPr>
        <w:pStyle w:val="TextoNormal"/>
      </w:pPr>
      <w:r>
        <w:t>“En la zona de servicio portuaria de los bienes de dominio público marítimo-terrestre adscritos, que no reúnan las características del artículo 3, además de los usos necesarios para el desarrollo de la actividad portuaria, se podrán permitir usos comerciales y de restauración, siempre que no se perjudique el dominio público marítimo-terrestre, ni la actividad portuaria y se ajusten a lo establecido en el planeamiento urbanístico. En todo caso, se prohíben las edificaciones destinadas a residencia o habitación.</w:t>
      </w:r>
    </w:p>
    <w:p w:rsidR="00163957" w:rsidRDefault="00163957" w:rsidP="00163957">
      <w:pPr>
        <w:pStyle w:val="TextoNormal"/>
      </w:pPr>
    </w:p>
    <w:p w:rsidR="00163957" w:rsidRDefault="00163957" w:rsidP="00163957">
      <w:pPr>
        <w:pStyle w:val="TextoNormal"/>
      </w:pPr>
      <w:r>
        <w:t>Reglamentariamente se fijarán los criterios de asignación de superficie máxima para los usos previstos en el párrafo anterior, teniendo en cuenta el número de amarres del puerto y los demás requisitos necesarios para no perjudicar el dominio público marítimo-terrestre, ni la actividad portuaria.”</w:t>
      </w:r>
    </w:p>
    <w:p w:rsidR="00163957" w:rsidRDefault="00163957" w:rsidP="00163957">
      <w:pPr>
        <w:pStyle w:val="TextoNormal"/>
      </w:pPr>
    </w:p>
    <w:p w:rsidR="00163957" w:rsidRDefault="00163957" w:rsidP="00163957">
      <w:pPr>
        <w:pStyle w:val="TextoNormal"/>
      </w:pPr>
      <w:r>
        <w:t>La Abogada de la Generalitat alega que la atribución al Estado de los criterios de asignación de superficie de los usos comerciales y de restauración y la consiguiente remisión a un reglamento para determinarlos, que figuran en el segundo párrafo de este apartado 4, son contrarios a las competencias autonómicas en materia de puertos [art. 140.1 d) EAC] y de ordenación del territorio y del litoral (art. 149.1, 3 y 5 EAC).</w:t>
      </w:r>
    </w:p>
    <w:p w:rsidR="00163957" w:rsidRDefault="00163957" w:rsidP="00163957">
      <w:pPr>
        <w:pStyle w:val="TextoNormal"/>
      </w:pPr>
    </w:p>
    <w:p w:rsidR="00163957" w:rsidRDefault="00163957" w:rsidP="00163957">
      <w:pPr>
        <w:pStyle w:val="TextoNormal"/>
      </w:pPr>
      <w:r>
        <w:lastRenderedPageBreak/>
        <w:t>En primer lugar debemos descartar la vulneración de esta última competencia, ya que se refiere a un ámbito material distinto del portuario y como ya se señaló en la STC 31/2010, de 28 de junio, FJ 92 y reitera la STC 34/2014, de 27 de febrero, FJ 3 “la competencia estatal de protección del demanio concurre con las señaladas competencias autonómicas, de modo que … aquélla no resulta vulnerada. La norma estatutaria … se limita a reconocer … las señaladas funciones ejecutivas de su competencia cuyo ejercicio expresamente se somete al respeto del régimen general de dominio público, pues dicho régimen corresponde establecerlo al Estado, titular del demanio, con libertad de configuración”. Igualmente hay que advertir que, conforme a reiterada doctrina, este Tribunal no se encuentra vinculado por “las incardinaciones competenciales contenidas en las normas sometidas a su enjuiciamiento” (STC 144/1985, de 25 de abril, FJ 1). Ello determina que no podamos considerar que la competencia estatal a cuyo amparo se dicta este precepto sea el art. 149.1.18 CE, como pretende la disposición final segunda, apartado 3, de la Ley 2/2013, sino que, atendiendo a su sentido y finalidad, hemos de considerarlo dictado al amparo del art. 149.1.23 CE en relación con el art. 132.2 CE.</w:t>
      </w:r>
    </w:p>
    <w:p w:rsidR="00163957" w:rsidRDefault="00163957" w:rsidP="00163957">
      <w:pPr>
        <w:pStyle w:val="TextoNormal"/>
      </w:pPr>
    </w:p>
    <w:p w:rsidR="00163957" w:rsidRDefault="00163957" w:rsidP="00163957">
      <w:pPr>
        <w:pStyle w:val="TextoNormal"/>
      </w:pPr>
      <w:r>
        <w:t>Así encuadrado, y en cuanto a la denunciada vulneración de las competencias autonómicas en materia de puertos, debemos partir de nuestra consolidada doctrina (por todas, STC 34/2014, FJ 3) según la cual, aunque la titularidad estatal sobre el dominio público marítimo-terrestre no es en sí misma un criterio de delimitación competencial, de esa titularidad demanial derivan una serie de facultades para el Estado, entre las que se incluyen tanto la de definir el dominio y establecer el régimen jurídico de los bienes que lo integran, como la de ejercer las competencias necesarias para preservarlo, mejorarlo, conservarlo y asegurar su adecuada utilización. A su vez, esas facultades son susceptibles de condicionar o modular las competencias autonómicas, cuando tales competencias se despliegan sobre ese demanio público de titularidad estatal. Lo anterior determina dos consecuencias. La primera es que no por el hecho de ser adscrita, la porción de dominio público pierde tal calificación y, en consecuencia, continúa sometida a las determinaciones que el Estado pueda establecer en tanto que titular del demanio o para garantizar los valores medioambientales en él subyacentes. La segunda es la dualidad de régimen jurídico aplicable a los puertos de competencia autonómica, en los que tales competencias relativas a la creación y gestión de las obras e instalaciones del puerto, habrán de ejercerse con sujeción a las disposiciones reguladoras de la utilización del dominio público marítimo-terrestre, para evitar repercusiones sobre los bienes demaniales adscritos y preservar su integridad física y jurídica. Disposiciones que, en todo caso, no pueden, imponer los usos que caben en la zona de servicio portuaria de los bienes adscritos, pues ello limitaría injustificadamente las competencias de las Comunidades Autónomas e invadiría las atribuciones autonómicas en materia portuaria.</w:t>
      </w:r>
    </w:p>
    <w:p w:rsidR="00163957" w:rsidRDefault="00163957" w:rsidP="00163957">
      <w:pPr>
        <w:pStyle w:val="TextoNormal"/>
      </w:pPr>
    </w:p>
    <w:p w:rsidR="00163957" w:rsidRDefault="00163957" w:rsidP="00163957">
      <w:pPr>
        <w:pStyle w:val="TextoNormal"/>
      </w:pPr>
      <w:r>
        <w:t xml:space="preserve">Circunscrita la tacha al establecimiento reglamentario de criterios para la asignación de usos comerciales y de restauración en espacios portuarios de titularidad autonómica, hay que advertir que, conforme al primer párrafo no impugnado, el precepto no los impone necesariamente, sino que únicamente permite que el legislador competente en materia portuaria pueda contemplarlos, si lo tiene por conveniente. En todo caso, la regulación sólo afecta, lógicamente, a la zona del puerto que incluya los bienes de dominio público, no entrando a regular el régimen de usos permitidos en el resto de la zona de servicio del puerto, sin perjuicio del resto de disposiciones de la Ley de costas que resulten de aplicación. Ahora bien, siendo ese el caso, la norma habilita para el establecimiento reglamentario de criterios de asignación de superficie máxima para los usos previstos, tomando en consideración tres </w:t>
      </w:r>
      <w:r>
        <w:lastRenderedPageBreak/>
        <w:t>aspectos “el número de amarres del puerto y los demás requisitos necesarios para no perjudicar el dominio público marítimo-terrestre, ni la actividad portuaria”.</w:t>
      </w:r>
    </w:p>
    <w:p w:rsidR="00163957" w:rsidRDefault="00163957" w:rsidP="00163957">
      <w:pPr>
        <w:pStyle w:val="TextoNormal"/>
      </w:pPr>
    </w:p>
    <w:p w:rsidR="00163957" w:rsidRDefault="00163957" w:rsidP="00163957">
      <w:pPr>
        <w:pStyle w:val="TextoNormal"/>
      </w:pPr>
      <w:r>
        <w:t>En cuanto a este último aspecto —los criterios para la asignación de superficie máxima de los usos—, la queja ha de ser desestimada. En este ámbito este Tribunal ya ha constatado que, conforme a nuestra doctrina, resulta posible la colaboración reglamentaria. Por otra parte, la norma se refiere al establecimiento de contenidos máximos, que pueden, en su caso, ser modulados por la Comunidad Autónoma. Los tres criterios utilizados tienen, de un modo u otro, que ver con la finalidad de garantizar la integridad del demanio. Finalmente, como ya se ha apuntado, la toma en consideración de tales criterios implica una valoración que no le corresponde al Estado, sino a la Comunidad Autónoma, que deberá concretarlos, en caso de autorizar dichos usos. Por otra parte, la legitimidad constitucional de la norma reglamentaria dependerá del modo en que se haya ejercido la habilitación legal, aspecto sobre el que no procede pronunciarse en este proceso.</w:t>
      </w:r>
    </w:p>
    <w:p w:rsidR="00163957" w:rsidRDefault="00163957" w:rsidP="00163957">
      <w:pPr>
        <w:pStyle w:val="TextoNormal"/>
      </w:pPr>
    </w:p>
    <w:p w:rsidR="00163957" w:rsidRDefault="00163957" w:rsidP="00163957">
      <w:pPr>
        <w:pStyle w:val="TextoNormal"/>
      </w:pPr>
      <w:r w:rsidRPr="00163957">
        <w:rPr>
          <w:rStyle w:val="NumeroAFNegritaCaracter"/>
        </w:rPr>
        <w:t>5</w:t>
      </w:r>
      <w:r>
        <w:t>. El art. 1.38 de la Ley 2/2013 introduce un nuevo apartado 2 en el art. 119 LC, en cuya virtud, y en aplicación del procedimiento previsto en el art. 67 de la Ley 7/1985, de 2 de abril, de bases del régimen local (LBRL), el delegado del Gobierno podrá suspender los actos y acuerdos adoptados por las entidades locales que, bien afecten a la integridad del dominio público marítimo-terrestre o de la servidumbre de protección, bien supongan una infracción manifiesta de lo dispuesto en el art. 25 LC, que regula el régimen de las actividades prohibidas y permitidas en dicha zona de servidumbre.</w:t>
      </w:r>
    </w:p>
    <w:p w:rsidR="00163957" w:rsidRDefault="00163957" w:rsidP="00163957">
      <w:pPr>
        <w:pStyle w:val="TextoNormal"/>
      </w:pPr>
    </w:p>
    <w:p w:rsidR="00163957" w:rsidRDefault="00163957" w:rsidP="00163957">
      <w:pPr>
        <w:pStyle w:val="TextoNormal"/>
      </w:pPr>
      <w:r>
        <w:t>La Generalitat de Cataluña reprocha a este precepto que vulnera el principio de autonomía local constitucionalmente garantizado o bien, caso de no apreciarse la lesión del referido principio, invade la competencia autonómica en materia de ordenación del territorio y del litoral y de urbanismo. El Abogado del Estado ha negado las vulneraciones denunciadas, argumentando que la norma trata de garantizar el cumplimiento de la regulación que legítimamente incumbe al Estado para proteger la integridad del dominio público marítimo-terrestre.</w:t>
      </w:r>
    </w:p>
    <w:p w:rsidR="00163957" w:rsidRDefault="00163957" w:rsidP="00163957">
      <w:pPr>
        <w:pStyle w:val="TextoNormal"/>
      </w:pPr>
    </w:p>
    <w:p w:rsidR="00163957" w:rsidRDefault="00163957" w:rsidP="00163957">
      <w:pPr>
        <w:pStyle w:val="TextoNormal"/>
      </w:pPr>
      <w:r>
        <w:t>Ambas tachas de inconstitucionalidad han sido desestimadas en la STC 6/2016, FJ 4 d), de acuerdo con la doctrina que se expone a continuación. En cuanto a la primera de ellas, tras examinar los límites que la Constitución impone directamente a los controles sobre la actividad local, concluimos que “desde la perspectiva de la autonomía local constitucionalmente garantizada, el art. 119.2 LC cumple las antedichas exigencias, al estar prevista la suspensión en norma con rango de ley, acotado su objeto con precisión suficiente e incidir claramente en intereses supralocales, como son los relativos a la protección y defensa de la integridad del dominio público marítimo-terrestre, de titularidad estatal”.</w:t>
      </w:r>
    </w:p>
    <w:p w:rsidR="00163957" w:rsidRDefault="00163957" w:rsidP="00163957">
      <w:pPr>
        <w:pStyle w:val="TextoNormal"/>
      </w:pPr>
    </w:p>
    <w:p w:rsidR="00163957" w:rsidRDefault="00163957" w:rsidP="00163957">
      <w:pPr>
        <w:pStyle w:val="TextoNormal"/>
      </w:pPr>
      <w:r>
        <w:t xml:space="preserve">Respecto a la vulneración de las competencias autonómicas en materia de ordenación del territorio y del litoral este Tribunal considera “constitucionalmente legítima la intervención de un órgano estatal a través de un mecanismo cautelar y extraordinario, cuando el acto local afectado por la medida de suspensión pueda comprometer la integridad del demanio, la preservación de sus características naturales o su libre utilización pública y gratuita, y que en última instancia queda sometido al control de la jurisdicción contencioso-administrativa. Estamos en definitiva ante una potestad, con la connotación de excepcionalidad que deriva del art. 67 LBRL, que no cuestiona, sustituye o altera las competencias ejecutivas de las </w:t>
      </w:r>
      <w:r>
        <w:lastRenderedPageBreak/>
        <w:t>Comunidades Autónomas sobre el litoral, sino que responde, como las que ya fueron objeto de enjuiciamiento en la STC 149/1991, no tanto a la facultad como a la obligación estatal de impedir que la naturaleza de estos bienes y sus características sean destruidas o alteradas [STC 233/2015, FJ 2 a), con cita de la STC 149/1991, FJ 1 C)]”.</w:t>
      </w:r>
    </w:p>
    <w:p w:rsidR="00163957" w:rsidRDefault="00163957" w:rsidP="00163957">
      <w:pPr>
        <w:pStyle w:val="TextoNormal"/>
      </w:pPr>
    </w:p>
    <w:p w:rsidR="00163957" w:rsidRDefault="00163957" w:rsidP="00163957">
      <w:pPr>
        <w:pStyle w:val="TextoNormal"/>
      </w:pPr>
      <w:r w:rsidRPr="00163957">
        <w:rPr>
          <w:rStyle w:val="NumeroAFNegritaCaracter"/>
        </w:rPr>
        <w:t>6</w:t>
      </w:r>
      <w:r>
        <w:t>. El siguiente precepto impugnado es el art. 1.41 de la Ley 2/2013. Este precepto incorpora una nueva disposición adicional décima a la LC, relativa a las urbanizaciones marítimo-terrestres, con el siguiente tenor:</w:t>
      </w:r>
    </w:p>
    <w:p w:rsidR="00163957" w:rsidRDefault="00163957" w:rsidP="00163957">
      <w:pPr>
        <w:pStyle w:val="TextoNormal"/>
      </w:pPr>
    </w:p>
    <w:p w:rsidR="00163957" w:rsidRDefault="00163957" w:rsidP="00163957">
      <w:pPr>
        <w:pStyle w:val="TextoNormal"/>
      </w:pPr>
      <w:r>
        <w:t>“1. Son urbanizaciones marítimo-terrestres los núcleos residenciales en tierra firme dotados de un sistema viario navegable, construido a partir de la inundación artificial de terrenos privados.</w:t>
      </w:r>
    </w:p>
    <w:p w:rsidR="00163957" w:rsidRDefault="00163957" w:rsidP="00163957">
      <w:pPr>
        <w:pStyle w:val="TextoNormal"/>
      </w:pPr>
    </w:p>
    <w:p w:rsidR="00163957" w:rsidRDefault="00163957" w:rsidP="00163957">
      <w:pPr>
        <w:pStyle w:val="TextoNormal"/>
      </w:pPr>
      <w:r>
        <w:t>2. Las urbanizaciones marítimo-terrestres deberán contar con un instrumento de ordenación territorial o urbanística que se ajuste a las prescripciones que en materia de dominio público marítimo-terrestre se establecen en esta disposición y en sus normas de desarrollo.</w:t>
      </w:r>
    </w:p>
    <w:p w:rsidR="00163957" w:rsidRDefault="00163957" w:rsidP="00163957">
      <w:pPr>
        <w:pStyle w:val="TextoNormal"/>
      </w:pPr>
    </w:p>
    <w:p w:rsidR="00163957" w:rsidRDefault="00163957" w:rsidP="00163957">
      <w:pPr>
        <w:pStyle w:val="TextoNormal"/>
      </w:pPr>
      <w:r>
        <w:t>3. La realización de las obras para construir los canales navegables de la urbanización marítimo-terrestre que dan lugar a la invasión por el mar o por las aguas de los ríos hasta donde se hagan sensible el efecto de las mareas de terrenos que antes de dichas obras no sean de dominio público marítimo-terrestre, ni estén afectadas por la servidumbre de protección, producirán los siguientes efectos:</w:t>
      </w:r>
    </w:p>
    <w:p w:rsidR="00163957" w:rsidRDefault="00163957" w:rsidP="00163957">
      <w:pPr>
        <w:pStyle w:val="TextoNormal"/>
      </w:pPr>
    </w:p>
    <w:p w:rsidR="00163957" w:rsidRDefault="00163957" w:rsidP="00163957">
      <w:pPr>
        <w:pStyle w:val="TextoNormal"/>
      </w:pPr>
      <w:r>
        <w:t>a) El terreno inundado se incorporará al dominio público marítimo-terrestre. No obstante, no se incluirán en el dominio público marítimo-terrestre los terrenos de propiedad privada colindantes a la vivienda y retranqueados respecto del canal navegable que se destinen a estacionamiento náutico individual y privado. Tampoco se incorporarán al dominio público marítimo-terrestre los terrenos de titularidad privada colindantes con el canal navegable e inundados como consecuencia de excavaciones, que se destinen a estacionamiento náutico colectivo y privado.</w:t>
      </w:r>
    </w:p>
    <w:p w:rsidR="00163957" w:rsidRDefault="00163957" w:rsidP="00163957">
      <w:pPr>
        <w:pStyle w:val="TextoNormal"/>
      </w:pPr>
    </w:p>
    <w:p w:rsidR="00163957" w:rsidRDefault="00163957" w:rsidP="00163957">
      <w:pPr>
        <w:pStyle w:val="TextoNormal"/>
      </w:pPr>
      <w:r>
        <w:t>b) La servidumbre de protección preexistente con anterioridad a las obras mantendrá su vigencia. No se generará una nueva servidumbre de protección ni de tránsito, en torno a los espacios inundados.</w:t>
      </w:r>
    </w:p>
    <w:p w:rsidR="00163957" w:rsidRDefault="00163957" w:rsidP="00163957">
      <w:pPr>
        <w:pStyle w:val="TextoNormal"/>
      </w:pPr>
    </w:p>
    <w:p w:rsidR="00163957" w:rsidRDefault="00163957" w:rsidP="00163957">
      <w:pPr>
        <w:pStyle w:val="TextoNormal"/>
      </w:pPr>
      <w:r>
        <w:t>c) El instrumento de ordenación territorial o urbanística deberá garantizar a través de viales el tránsito y acceso a los canales, en la forma que se establezca reglamentariamente.</w:t>
      </w:r>
    </w:p>
    <w:p w:rsidR="00163957" w:rsidRDefault="00163957" w:rsidP="00163957">
      <w:pPr>
        <w:pStyle w:val="TextoNormal"/>
      </w:pPr>
    </w:p>
    <w:p w:rsidR="00163957" w:rsidRDefault="00163957" w:rsidP="00163957">
      <w:pPr>
        <w:pStyle w:val="TextoNormal"/>
      </w:pPr>
      <w:r>
        <w:t>4. Los propietarios de las viviendas contiguas a los canales navegables tendrán un derecho de uso de los amarres situados frente a las viviendas. Este derecho está vinculado a la propiedad de la vivienda y solo serán transmisible junto a ella.</w:t>
      </w:r>
    </w:p>
    <w:p w:rsidR="00163957" w:rsidRDefault="00163957" w:rsidP="00163957">
      <w:pPr>
        <w:pStyle w:val="TextoNormal"/>
      </w:pPr>
    </w:p>
    <w:p w:rsidR="00163957" w:rsidRDefault="00163957" w:rsidP="00163957">
      <w:pPr>
        <w:pStyle w:val="TextoNormal"/>
      </w:pPr>
      <w:r>
        <w:t>5. Las obras para la construcción de los canales navegables y los estacionamientos náuticos a los que se refiere la letra a) del apartado 3, precisarán del correspondiente título administrativo para su realización y en ningún caso afectarán a tramos de costa que constituyan playa o espacios protegidos, de acuerdo con lo que se disponga reglamentariamente.”</w:t>
      </w:r>
    </w:p>
    <w:p w:rsidR="00163957" w:rsidRDefault="00163957" w:rsidP="00163957">
      <w:pPr>
        <w:pStyle w:val="TextoNormal"/>
      </w:pPr>
    </w:p>
    <w:p w:rsidR="00163957" w:rsidRDefault="00163957" w:rsidP="00163957">
      <w:pPr>
        <w:pStyle w:val="TextoNormal"/>
      </w:pPr>
      <w:r>
        <w:lastRenderedPageBreak/>
        <w:t>La Abogada de la Generalitat discute exclusivamente el apartado 4, que atribuye a los propietarios de las viviendas colindantes con los canales navegables el derecho de uso de los amarres situados delante de las viviendas, vinculando este derecho a la propiedad de la vivienda y estableciendo que solo se podrá transmitir junto con ella. Así, con invocación de la legislación portuaria autonómica, considera que, dado que las urbanizaciones marítimo-terrestres son unas instalaciones portuarias peculiares en las que el servicio portuario se vincula al uso residencial, su regulación forma parte de la competencia autonómica en materia de puertos y de instalaciones marítimas menores, la cual incluye el establecimiento del régimen de uso de los amarres. El Abogado del Estado argumenta que se trata de bienes de dominio público en los que el Estado tiene competencia plena para su protección, lo que implica delimitar los usos que pueden darse.</w:t>
      </w:r>
    </w:p>
    <w:p w:rsidR="00163957" w:rsidRDefault="00163957" w:rsidP="00163957">
      <w:pPr>
        <w:pStyle w:val="TextoNormal"/>
      </w:pPr>
    </w:p>
    <w:p w:rsidR="00163957" w:rsidRDefault="00163957" w:rsidP="00163957">
      <w:pPr>
        <w:pStyle w:val="TextoNormal"/>
      </w:pPr>
      <w:r>
        <w:t>En el examen de la queja que se plantea hay que advertir que no puede invocarse aquí, como parámetro de encuadramiento de la norma impugnada, lo que al respecto disponga la legislación autonómica en materia de puertos acerca de la naturaleza de este tipo de urbanizaciones marítimo-terrestres, pues lo que ha de dilucidarse es simplemente si el Estado esta constitucionalmente habilitado para dictar una regulación como la cuestionada. Por lo demás, no puede dejar de señalarse que la solución adoptada por el legislador estatal es materialmente similar a la establecida por la propia Comunidad Autónoma (art. 29 del Reglamento de marinas interiores, aprobado por Decreto 17/2005, de 8 de febrero). En dicha labor de delimitación competencial tampoco resulta relevante lo que pudiera disponer un real decreto de traspaso, pues como tenemos declarado, “estos Reales Decretos de traspasos no vinculan a las Cortes Generales ni a los Parlamentos Autonómicos al regular los sectores, instituciones o materias sujetas a su competencia. Esta conclusión es evidente, con sólo reparar en sus autores ... y en la finalidad de estos Decretos” [STC 149/1991, fundamento jurídico 4 D) b, reiterado en STC 193/1998, de 1 de octubre, FJ 12].</w:t>
      </w:r>
    </w:p>
    <w:p w:rsidR="00163957" w:rsidRDefault="00163957" w:rsidP="00163957">
      <w:pPr>
        <w:pStyle w:val="TextoNormal"/>
      </w:pPr>
    </w:p>
    <w:p w:rsidR="00163957" w:rsidRDefault="00163957" w:rsidP="00163957">
      <w:pPr>
        <w:pStyle w:val="TextoNormal"/>
      </w:pPr>
      <w:r>
        <w:t>Aun cuando se tratase de un espacio en el que la gestión del demanio es autonómica, ello no quiere decir que dicha gestión pueda realizarse al margen de las previsiones diseñadas por su titular para garantizar su integridad. La atribución al Estado de la titularidad del dominio público marítimo terrestre entraña, entre otras consecuencias, que le corresponda determinar el régimen jurídico de dicho demanio (entre otras, STC 31/2010, de 28 de junio, FJ 92). Señalado lo anterior, es de apreciar que la norma regula un derecho privativo sobre un bien demanial, pues se trata de viviendas contiguas a los canales navegables y éstos son de dominio público (art. 4 LC), derecho que, por tanto, deriva directamente de la previsión legal, lo que es constitucionalmente posible, dado que al Estado, corresponden en cuanto que titular del demanio, las facultades normativas para establecer su régimen de ocupación, sin perjuicio de las competencias sectoriales autonómicas que se ejerzan sobre dicho demanio, que, en todo caso, conserva la calificación de dominio público estatal. Por tanto, esas facultades que al Estado corresponden en cuanto titular del dominio que le habilitan para establecer normativamente su régimen de uso, son susceptibles de condicionar o modular las competencias autonómicas, cuando éstas últimas se despliegan sobre demanio público de titularidad estatal (STC 34/2014, FJ 3), lo que ha de llevarnos a descartar la impugnación.</w:t>
      </w:r>
    </w:p>
    <w:p w:rsidR="00163957" w:rsidRDefault="00163957" w:rsidP="00163957">
      <w:pPr>
        <w:pStyle w:val="TextoNormal"/>
      </w:pPr>
    </w:p>
    <w:p w:rsidR="00163957" w:rsidRDefault="00163957" w:rsidP="00163957">
      <w:pPr>
        <w:pStyle w:val="TextoNormal"/>
      </w:pPr>
      <w:r w:rsidRPr="00163957">
        <w:rPr>
          <w:rStyle w:val="NumeroAFNegritaCaracter"/>
        </w:rPr>
        <w:t>7</w:t>
      </w:r>
      <w:r>
        <w:t>. La Generalitat de Cataluña sostiene la inconstitucionalidad del apartado 2 de la disposición adicional octava de la Ley 2/2013, norma que establece lo siguiente:</w:t>
      </w:r>
    </w:p>
    <w:p w:rsidR="00163957" w:rsidRDefault="00163957" w:rsidP="00163957">
      <w:pPr>
        <w:pStyle w:val="TextoNormal"/>
      </w:pPr>
    </w:p>
    <w:p w:rsidR="00163957" w:rsidRDefault="00163957" w:rsidP="00163957">
      <w:pPr>
        <w:pStyle w:val="TextoNormal"/>
      </w:pPr>
      <w:r>
        <w:lastRenderedPageBreak/>
        <w:t>“1. El Ministerio de Agricultura, Alimentación y Medio Ambiente procederá, en el plazo de dos años desde la entrada en vigor de la presente Ley, a elaborar una estrategia para la adaptación de la costa a los efectos del cambio climático, que se someterá a Evaluación Ambiental Estratégica, en la que se indicarán los distintos grados de vulnerabilidad y riesgo del litoral y se propondrán medidas para hacer frente a sus posibles efectos.</w:t>
      </w:r>
    </w:p>
    <w:p w:rsidR="00163957" w:rsidRDefault="00163957" w:rsidP="00163957">
      <w:pPr>
        <w:pStyle w:val="TextoNormal"/>
      </w:pPr>
    </w:p>
    <w:p w:rsidR="00163957" w:rsidRDefault="00163957" w:rsidP="00163957">
      <w:pPr>
        <w:pStyle w:val="TextoNormal"/>
      </w:pPr>
      <w:r>
        <w:t>2. Igualmente las Comunidades Autónomas a las que se hayan adscrito terrenos de dominio público marítimo-terrestre, de acuerdo con el artículo 49 de la Ley 22/1988, de 28 de julio, de Costas, presentarán en el mismo plazo señalado en el apartado anterior, al Ministerio de Agricultura, Alimentación y Medio Ambiente, para su aprobación, un Plan de adaptación de dichos terrenos y de las estructuras construidas sobre ellos para hacer frente a los posibles efectos del cambio climático.”</w:t>
      </w:r>
    </w:p>
    <w:p w:rsidR="00163957" w:rsidRDefault="00163957" w:rsidP="00163957">
      <w:pPr>
        <w:pStyle w:val="TextoNormal"/>
      </w:pPr>
    </w:p>
    <w:p w:rsidR="00163957" w:rsidRDefault="00163957" w:rsidP="00163957">
      <w:pPr>
        <w:pStyle w:val="TextoNormal"/>
      </w:pPr>
      <w:r>
        <w:t>Las tachas que la Generalitat de Cataluña formula a este apartado segundo son dos. En primer lugar discute que se imponga a las Comunidades Autónomas la elaboración de un plan de adaptación al cambio climático de las estructuras construidas sobre los bienes demaniales adscritos. Por otra parte, cuestiona que se atribuya al Ministerio de Agricultura, Alimentación y Medio Ambiente, la potestad de aprobar los planes autonómicos relativos tanto a los bienes demaniales adscritos, como a las infraestructuras construidas sobre ellos. El Abogado del Estado, por el contrario, entiende que el Estado no hace sino ejercer sus competencias de protección del dominio público marítimo-terrestre.</w:t>
      </w:r>
    </w:p>
    <w:p w:rsidR="00163957" w:rsidRDefault="00163957" w:rsidP="00163957">
      <w:pPr>
        <w:pStyle w:val="TextoNormal"/>
      </w:pPr>
    </w:p>
    <w:p w:rsidR="00163957" w:rsidRDefault="00163957" w:rsidP="00163957">
      <w:pPr>
        <w:pStyle w:val="TextoNormal"/>
      </w:pPr>
      <w:r>
        <w:t xml:space="preserve">Considerada globalmente, la disposición adicional octava contiene un mandato dirigido tanto al Estado como a las Comunidades Autónomas, que deriva de la Directiva 2001/42/CE. Para el primero, se trata de elaborar una “estrategia para la adaptación de la costa a los efectos del cambio climático” y, para las segundas, consiste en elaborar un plan sobre la posible incidencia del cambio climático en el dominio público marítimo-terrestre. El objetivo del precepto es, obtener una evaluación general de los efectos del cambio climático sobre la costa, y el apartado 2, se integra en una previsión más amplia de protección del litoral y de adaptación de la costa al citado cambio climático, aunque se circunscribe a los terrenos del dominio público marítimo-terrestre adscritos a las Comunidades Autónomas y a las estructuras construidas sobre ellos. Atendiendo a su sentido y finalidad la norma tiene, por tanto, como objetivo primordial hacer frente a los efectos del cambio climático, integrándose en una evaluación ambiental de ámbito superior y de carácter estratégico. En consecuencia, se trata de una norma que se inserta en el ámbito del “medio ambiente”. En esta materia, al Estado corresponde el establecimiento de la normativa básica </w:t>
      </w:r>
      <w:r w:rsidRPr="00163957">
        <w:rPr>
          <w:i/>
        </w:rPr>
        <w:t>ex</w:t>
      </w:r>
      <w:r>
        <w:t xml:space="preserve"> art. 149.1.23 CE, precepto que tiene su correlato en el art. 144.1 EAC, que atribuye a la Generalitat de Cataluña la competencia compartida en materia de medio ambiente y la competencia para el establecimiento de normas adicionales de protección. El Estado tiene, por tanto, la competencia sobre las bases en materia de medio ambiente, correspondiendo, en principio, a la Comunidad Autónoma las competencias de desarrollo normativo y de ejecución.</w:t>
      </w:r>
    </w:p>
    <w:p w:rsidR="00163957" w:rsidRDefault="00163957" w:rsidP="00163957">
      <w:pPr>
        <w:pStyle w:val="TextoNormal"/>
      </w:pPr>
    </w:p>
    <w:p w:rsidR="00163957" w:rsidRDefault="00163957" w:rsidP="00163957">
      <w:pPr>
        <w:pStyle w:val="TextoNormal"/>
      </w:pPr>
      <w:r>
        <w:t xml:space="preserve">De acuerdo con ello, la primera queja que se formula ha de ser desestimada. El plan de adaptación de las estructuras construidas sobre el dominio público marítimo terrestre persigue sin duda velar por la integridad física del demanio maritimo-terrestre, protegiéndolo frente a los efectos del cambio climático. Esa consideración es también predicable de las infraestructuras, puertos y vías de comunicación, ya que, por su propia naturaleza, han de </w:t>
      </w:r>
      <w:r>
        <w:lastRenderedPageBreak/>
        <w:t>ocupar y afectar sensiblemente al dominio público marítimo-terrestre, alterando, su configuración física en la utilización del demanio litoral. Eso no significa que el demanio adscrito quede privado de sus valores medioambientales en tanto que integrante del litoral, pues el sustrato físico de la infraestructura es una costa que no pierde su calificación jurídica como dominio público marítimo-terrestre [SSTC 149/1991, FJ 4 D) b a) y 193/1998, de 1 de octubre, FJ 8], lo cual, a su vez, justifica la necesidad de realizar el plan cuestionado. Por lo demás, la previsión legal del plan no supone en ningún caso una intromisión en la gestión o explotación de los servicios portuarios o viarios establecidos sobre esos bienes, que se realizarán por las Comunidades Autónomas.</w:t>
      </w:r>
    </w:p>
    <w:p w:rsidR="00163957" w:rsidRDefault="00163957" w:rsidP="00163957">
      <w:pPr>
        <w:pStyle w:val="TextoNormal"/>
      </w:pPr>
    </w:p>
    <w:p w:rsidR="00163957" w:rsidRDefault="00163957" w:rsidP="00163957">
      <w:pPr>
        <w:pStyle w:val="TextoNormal"/>
      </w:pPr>
      <w:r>
        <w:t>La segunda de las quejas formuladas ya no se refiere a la necesidad de elaborar los planes contemplados por el precepto, sino que, exclusivamente, se contrae a la exigencia, que se entiende contraria al orden constitucional de distribución de competencias, de que esos planes autonómicos sean sometidos a la aprobación de un órgano estatal.</w:t>
      </w:r>
    </w:p>
    <w:p w:rsidR="00163957" w:rsidRDefault="00163957" w:rsidP="00163957">
      <w:pPr>
        <w:pStyle w:val="TextoNormal"/>
      </w:pPr>
    </w:p>
    <w:p w:rsidR="00163957" w:rsidRDefault="00163957" w:rsidP="00163957">
      <w:pPr>
        <w:pStyle w:val="TextoNormal"/>
      </w:pPr>
      <w:r>
        <w:t>En su examen debemos partir de que se trata de bienes de dominio público adscritos a las Comunidades Autónomas, recordando al efecto la doctrina de la STC 149/1991, FJ 4 D b a’), en el que señalamos que “la indudable titularidad autonómica de las obras e instalaciones portuarias no conlleva la plena titularidad demanial de aquella franja de terreno que es de titularidad estatal, por mandato expreso de la Constitución”, indicando además que dicha titularidad demanial del Estado justificaba que la ley pudiera otorgar a la Administración central la facultad de emitir un acto que otorgue el derecho a ocupar la ribera del mar necesaria para ampliar un puerto o para trazar una vía de transporte, facilitando así la colaboración entre las Administraciones estatal y autonómica para el cumplimiento de sus distintos fines: proteger la integridad del demanio costero y proveer los servicios portuarios y viarios de su competencia.</w:t>
      </w:r>
    </w:p>
    <w:p w:rsidR="00163957" w:rsidRDefault="00163957" w:rsidP="00163957">
      <w:pPr>
        <w:pStyle w:val="TextoNormal"/>
      </w:pPr>
    </w:p>
    <w:p w:rsidR="00163957" w:rsidRDefault="00163957" w:rsidP="00163957">
      <w:pPr>
        <w:pStyle w:val="TextoNormal"/>
      </w:pPr>
      <w:r>
        <w:t>Por tanto, el legislador estatal no sólo está facultado, sino obligado, a proteger el demanio marítimo-terrestre a fin de asegurar tanto el mantenimiento de su integridad física y jurídica, como su uso público y sus valores paisajísticos. Tampoco el hecho de que sobre los bienes adscritos se hayan desarrollado las correspondientes infraestructuras, hace perder a dichos bienes su condición demanial, tal y como acabamos de advertir, y, por tanto, no exonera al Estado de su deber de velar por la integridad física y jurídica del demanio marítimo-terrestre. Máxime si se tiene en cuenta que, como ya señalo la referida STC 149/1991, las obras sobre dicho dominio pueden llegar a producir una alteración importante del dominio, influir sobre la costa, afectar a su regresión, o distorsionar la dinámica litoral. Extremos todos ellos de indudable importancia desde el punto de vista de la adaptación de la costa a los efectos del cambio climático, cuya relevancia desde la perspectiva medioambiental ya ha sido destacada por la STC 233/2015, FFJJ 2 c) y 3 c).</w:t>
      </w:r>
    </w:p>
    <w:p w:rsidR="00163957" w:rsidRDefault="00163957" w:rsidP="00163957">
      <w:pPr>
        <w:pStyle w:val="TextoNormal"/>
      </w:pPr>
    </w:p>
    <w:p w:rsidR="00163957" w:rsidRDefault="00163957" w:rsidP="00163957">
      <w:pPr>
        <w:pStyle w:val="TextoNormal"/>
      </w:pPr>
      <w:r>
        <w:t xml:space="preserve">Lo anterior justifica una intervención como la que diseña el precepto impugnado, que cobra todo su sentido en atención a la titularidad estatal del demanio y el deber de preservación de su integridad. Por tanto, dado que la misma se explica por la necesidad de preservar las características propias de la zona marítimo-terrestre en relación con las repercusiones que el cambio climático puede tener sobre tales bienes demaniales, a tales extremos ha de quedar limitado el acto aprobatorio estatal sin que en ningún caso pueda extenderse al modo de disponer y configurar las infraestructuras autonómicas, que queda fuera del ámbito de </w:t>
      </w:r>
      <w:r>
        <w:lastRenderedPageBreak/>
        <w:t>aprobación estatal circunscrito, como se ha dicho, a los efectos de asegurar que el mencionado plan de adaptación cumpla la finalidad de garantizar la protección y defensa de las condiciones medioambientales del demanio frente al cambio climático. En suma, así interpretado, el precepto no resulta contrario a las competencias autonómicas. Esta interpretación de conformidad se llevará al fallo.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Declarar que el apartado 2 de la disposición adicional octava de la Ley 2/2013, de 29 de mayo, de protección y uso sostenible del litoral y de modificación de la Ley 22/1988, de 28 de julio, de costas, es conforme con el orden constitucional de distribución de competencias interpretado en los términos del fundamento jurídico 7.</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dieciocho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32" w:name="SENTENCIA_2016_29"/>
      <w:r>
        <w:lastRenderedPageBreak/>
        <w:t>SENTENCIA 29/2016, de 18 de febrero de 2016</w:t>
      </w:r>
    </w:p>
    <w:bookmarkEnd w:id="32"/>
    <w:p w:rsidR="00163957" w:rsidRDefault="00163957" w:rsidP="00163957">
      <w:pPr>
        <w:pStyle w:val="TtuloResolucin"/>
      </w:pPr>
      <w:r>
        <w:t>Pleno</w:t>
      </w:r>
    </w:p>
    <w:p w:rsidR="00163957" w:rsidRDefault="00163957" w:rsidP="00163957">
      <w:pPr>
        <w:pStyle w:val="TtuloBOE"/>
      </w:pPr>
      <w:r>
        <w:t>(BOE núm. 71, de 23 de marzo de 2016)</w:t>
      </w:r>
    </w:p>
    <w:p w:rsidR="00163957" w:rsidRDefault="00163957" w:rsidP="00163957">
      <w:pPr>
        <w:pStyle w:val="TextoNormalCentrado"/>
      </w:pPr>
      <w:r>
        <w:t>ECLI:ES:TC:2016:29</w:t>
      </w:r>
    </w:p>
    <w:p w:rsidR="00163957" w:rsidRDefault="00163957" w:rsidP="00163957">
      <w:pPr>
        <w:pStyle w:val="TextoNormalCentrado"/>
      </w:pPr>
    </w:p>
    <w:p w:rsidR="00163957" w:rsidRDefault="00163957" w:rsidP="00163957">
      <w:pPr>
        <w:pStyle w:val="SntesisDescriptiva"/>
      </w:pPr>
      <w:r>
        <w:t>Recurso de inconstitucionalidad 5852-2013. Interpuesto por el Gobierno de Navarra en relación con diversos preceptos del Real Decreto-ley 9/2013, de 12 de julio, por el que se adoptan medidas urgentes para garantizar la estabilidad financiera del sistema eléctrico.</w:t>
      </w:r>
    </w:p>
    <w:p w:rsidR="00163957" w:rsidRDefault="00163957" w:rsidP="00163957">
      <w:pPr>
        <w:pStyle w:val="SntesisDescriptiva"/>
      </w:pPr>
    </w:p>
    <w:p w:rsidR="00163957" w:rsidRDefault="00163957" w:rsidP="00163957">
      <w:pPr>
        <w:pStyle w:val="SntesisAnaltica"/>
      </w:pPr>
      <w:r>
        <w:t>Límites de los decretos-leyes, principios de seguridad jurídica, irretroactividad e interdicción de la arbitrariedad: acreditación de la concurrencia del presupuesto habilitante; constitucionalidad de los preceptos legales que establecen un nuevo régimen retributivo para los titulares de las instalaciones de producción de energía eléctrica en régimen primado (STC 270/2015). Voto particular.</w:t>
      </w:r>
    </w:p>
    <w:p w:rsidR="00163957" w:rsidRDefault="00163957" w:rsidP="00163957">
      <w:pPr>
        <w:pStyle w:val="SntesisAnaltica"/>
      </w:pPr>
    </w:p>
    <w:p w:rsidR="00163957" w:rsidRDefault="00163957" w:rsidP="00163957">
      <w:pPr>
        <w:pStyle w:val="Extracto"/>
      </w:pPr>
      <w:r>
        <w:t>1.</w:t>
      </w:r>
      <w:r>
        <w:tab/>
        <w:t>Asunto sustancialmente idéntico al resuelto por la STC 270/2015 [FFJJ 2 a 5].</w:t>
      </w:r>
    </w:p>
    <w:p w:rsidR="00163957" w:rsidRDefault="00163957" w:rsidP="00163957">
      <w:pPr>
        <w:pStyle w:val="Extracto"/>
      </w:pPr>
    </w:p>
    <w:p w:rsidR="00163957" w:rsidRDefault="00163957" w:rsidP="00163957">
      <w:pPr>
        <w:pStyle w:val="Extracto"/>
      </w:pPr>
      <w:r>
        <w:t>2.</w:t>
      </w:r>
      <w:r>
        <w:tab/>
        <w:t>El recurrente se limita a enunciar la existencia de una supuesta discriminación negativa de la producción eléctrica mediante fuentes renovables, residuos y cogeneración, en relación con las otras fuentes de producción de energía eléctrica; pero dicha afirmación no va acompañada de justificación alguna que permita sustentar en qué medida o con qué alcance se ha producido una diferencia de tratamiento que sustente la citada discriminación negativa y permita su enjuiciamiento en sede constitucional [FJ 6].</w:t>
      </w:r>
    </w:p>
    <w:p w:rsidR="00163957" w:rsidRDefault="00163957" w:rsidP="00163957">
      <w:pPr>
        <w:pStyle w:val="Extracto"/>
      </w:pPr>
    </w:p>
    <w:p w:rsidR="00163957" w:rsidRDefault="00163957" w:rsidP="00163957">
      <w:pPr>
        <w:pStyle w:val="Extracto"/>
      </w:pPr>
      <w:r>
        <w:t>3.</w:t>
      </w:r>
      <w:r>
        <w:tab/>
        <w:t>Cada una de las tecnologías presenta sus propios rasgos tecnológicos y económicos, que han justificado tratamientos diferenciados y no necesariamente homogéneos, sin que pueda pretenderse una exigencia o imposición de homogeneización absoluta en el tratamiento de las tarifas u otros elementos retributivos regulados, ni los períodos de percepción de todos ellos [FJ 6].</w:t>
      </w:r>
    </w:p>
    <w:p w:rsidR="00163957" w:rsidRDefault="00163957" w:rsidP="00163957">
      <w:pPr>
        <w:pStyle w:val="Extracto"/>
      </w:pPr>
    </w:p>
    <w:p w:rsidR="00163957" w:rsidRDefault="00163957" w:rsidP="00163957">
      <w:pPr>
        <w:pStyle w:val="Extracto"/>
      </w:pPr>
      <w:r>
        <w:t>4.</w:t>
      </w:r>
      <w:r>
        <w:tab/>
        <w:t>La concurrencia de modificaciones tecnológicas o de cambios significativos del panorama económico con consecuencias inmediatas justifican la revisión de los parámetros iniciales determinantes del cálculo de la tarifa regulada, sin que ello pueda ser calificado de arbitrario [FJ 6].</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5852-2013, interpuesto por el Gobierno de Navarra, representado por su Letrado, contra el artículo 1, apartados 2 y 3; disposición adicional primera; disposición transitoria tercera; y disposición final segunda del Real Decreto-ley 9/2013, de 12 de julio, por el que se adoptan medidas urgentes para garantizar la estabilidad financiera del sistema eléctrico. Ha comparecido y formulado alegaciones el Abogado del Estado. Ha sido Ponente el Magistrado don Juan Antonio Xiol Ríos,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11 de octubre de 2013 tuvo entrada en el Registro General de este Tribunal, escrito del Asesor Jurídico-Letrado de la Comunidad Foral de Navarra, por el que, en nombre y representación del Gobierno de Navarra, interpone recurso de inconstitucionalidad contra el artículo 1, apartados 2 y 3; disposición adicional primera; disposición transitoria tercera; y disposición final segunda del Real Decreto-ley 9/2013, de 12 de julio, por el que se adoptan medidas urgentes para garantizar la estabilidad financiera del sistema eléctrico.</w:t>
      </w:r>
    </w:p>
    <w:p w:rsidR="00163957" w:rsidRDefault="00163957" w:rsidP="00163957">
      <w:pPr>
        <w:pStyle w:val="TextoNormal"/>
      </w:pPr>
    </w:p>
    <w:p w:rsidR="00163957" w:rsidRDefault="00163957" w:rsidP="00163957">
      <w:pPr>
        <w:pStyle w:val="TextoNormal"/>
      </w:pPr>
      <w:r>
        <w:t>Tras hacer referencia al cumplimiento de los requisitos procesales para el planteamiento del recurso, el escrito comienza con una mención al marco normativo general de la producción de energía eléctrica en régimen especial y con un examen del contenido y alcance de los preceptos del Real Decreto-ley 9/2013, que son objeto de impugnación en el presente recurso, para analizar a continuación los motivos de inconstitucionalidad que lo sustentan.</w:t>
      </w:r>
    </w:p>
    <w:p w:rsidR="00163957" w:rsidRDefault="00163957" w:rsidP="00163957">
      <w:pPr>
        <w:pStyle w:val="TextoNormal"/>
      </w:pPr>
    </w:p>
    <w:p w:rsidR="00163957" w:rsidRDefault="00163957" w:rsidP="00163957">
      <w:pPr>
        <w:pStyle w:val="TextoNormal"/>
      </w:pPr>
      <w:r>
        <w:t>Considera la demanda, en primer término, que se incumple el presupuesto habilitante de la extraordinaria y urgente necesidad, contemplado en el art. 86.1 CE, para la utilización del instrumento normativo del decreto-ley. Tras un extenso análisis de la doctrina constitucional en la materia, se afirma que dicha infracción deriva, en primer lugar del carácter estructural y sostenido, no coyuntural, de la situación que se pretende atajar, respecto de la que se han dictado numerosas normas precedentes, que ponen de manifiesto que no se trata de una situación imprevisible ni imprevista; en segundo lugar, la ausencia de la urgencia se evidencia en la falta de eficacia inmediata y directa de las medidas que se adoptan, que precisan de un desarrollo posterior, dado que el Real Decreto-ley no establece directamente el nuevo régimen jurídico y económico de la producción de energía eléctrica en régimen especial, sino que se limita a habilitar o autorizar al Gobierno para aprobarlo, ciñendo su contenido a la fijación de los principios del nuevo régimen retributivo; hasta el punto de que se prevé una liquidación a cuenta a realizar de acuerdo con la normativa anterior, lo que evidencia que no se ataja de forma directa e inmediata la situación a abordar.</w:t>
      </w:r>
    </w:p>
    <w:p w:rsidR="00163957" w:rsidRDefault="00163957" w:rsidP="00163957">
      <w:pPr>
        <w:pStyle w:val="TextoNormal"/>
      </w:pPr>
    </w:p>
    <w:p w:rsidR="00163957" w:rsidRDefault="00163957" w:rsidP="00163957">
      <w:pPr>
        <w:pStyle w:val="TextoNormal"/>
      </w:pPr>
      <w:r>
        <w:t xml:space="preserve">Se alega, en segundo término, la vulneración del principio de seguridad jurídica, en su manifestación de principio de confianza legítima, del art. 9.3 CE, en cuanto los preceptos impugnados del Real Decreto-ley 9/2013 prevén un nuevo régimen retributivo para las instalaciones de producción de energía eléctrica a partir de fuentes de energía renovable, cogeneración y residuos, aplicable también a las instalaciones ya existentes. A este respecto, se afirma que los titulares de tales instalaciones comenzaron su actividad y la han mantenido </w:t>
      </w:r>
      <w:r>
        <w:lastRenderedPageBreak/>
        <w:t>en razón a las disposiciones que regulaban el régimen jurídico y económico, en el marco de una política adoptada y fomentada por el Gobierno que aseguraba su estabilidad; las disposiciones impugnadas alteran de manera imprevisible, urgente y sorpresiva ese régimen, desconociendo las cuantiosas inversiones previas de unas instalaciones cuya retribución se reduce o aminora en forma tal que hace ruinosas tales inversiones. Frente a ello, no cabe aceptar como válida constitucionalmente la razón esgrimida en el Real Decreto-ley, que aduce como única justificación la eliminación o reducción del déficit tarifario del sistema eléctrico, dado que tal medida resulta desproporcionada en razón del alto coste que tiene para el subsector de las energías renovables, dado su grave impacto económico sobre las instalaciones existentes.</w:t>
      </w:r>
    </w:p>
    <w:p w:rsidR="00163957" w:rsidRDefault="00163957" w:rsidP="00163957">
      <w:pPr>
        <w:pStyle w:val="TextoNormal"/>
      </w:pPr>
    </w:p>
    <w:p w:rsidR="00163957" w:rsidRDefault="00163957" w:rsidP="00163957">
      <w:pPr>
        <w:pStyle w:val="TextoNormal"/>
      </w:pPr>
      <w:r>
        <w:t>Afirma el Letrado que, en la dimensión subjetiva de la previsibilidad, el Real Decreto-ley 9/2013 comporta un cambio transcendental que afecta negativamente a los productores que utilizan fuentes de energías renovables, con un conjunto de medidas que inciden sobre su régimen jurídico, empeorando sustancialmente su situación y desconociendo sus derechos reconocidos legalmente. Esa conclusión vendría avalada por el art. 10.1 del Tratado sobre la carta de la energía, hecho en Lisboa el 17 de diciembre de 1994, y ratificado por España, que impone a las partes contratantes la obligación de fomentar y crear condiciones estables, equitativas, favorables y permanentes para que los inversores de las otras partes contratantes realicen inversiones en su territorio. El Real Decreto-ley 9/2013, al modificar retroactivamente las condiciones retributivas del régimen especial para las instalaciones ya existentes, infringe el principio de confianza legítima de los inversores en tales instalaciones y con ello el principio de seguridad jurídica, que es una de los fundamentos del adecuado funcionamiento de una economía de mercado.</w:t>
      </w:r>
    </w:p>
    <w:p w:rsidR="00163957" w:rsidRDefault="00163957" w:rsidP="00163957">
      <w:pPr>
        <w:pStyle w:val="TextoNormal"/>
      </w:pPr>
    </w:p>
    <w:p w:rsidR="00163957" w:rsidRDefault="00163957" w:rsidP="00163957">
      <w:pPr>
        <w:pStyle w:val="TextoNormal"/>
      </w:pPr>
      <w:r>
        <w:t>Junto a ello, considera también que se produce una infracción del principio de seguridad jurídica en su dimensión objetiva de certeza del derecho, en cuanto los preceptos impugnados, en particular el art. 1.2 y 3, prevén un nuevo régimen retributivo basado en conceptos jurídicos abiertos e indeterminados, provocando situaciones objetivamente confusas; se citan a tal efecto los conceptos de “empresa eficiente y bien gestionada"; “rentabilidad razonable” y “estabilidad financiera”. Los preceptos impugnados no fijan pues, el régimen económico o de la retribución, que se limitan a deferir al Gobierno; establecen unos parámetros que se arman sobre conceptos jurídicos abiertos que no ofrecen ninguna certidumbre a los titulares de las instalaciones, y la aplicación de dicho régimen —a fijar por el Gobierno— puede generar resultados negativos para las instalaciones existentes, sin que se tengan en cuenta las inversiones realizadas. Así pues, no se asegura ninguna certidumbre a las instalaciones —tanto nuevas como existentes— que han de encarar un nuevo régimen, ignorando los efectos y consecuencias en su aplicación, ya de entrada negativa o desfavorable para sus derechos.</w:t>
      </w:r>
    </w:p>
    <w:p w:rsidR="00163957" w:rsidRDefault="00163957" w:rsidP="00163957">
      <w:pPr>
        <w:pStyle w:val="TextoNormal"/>
      </w:pPr>
    </w:p>
    <w:p w:rsidR="00163957" w:rsidRDefault="00163957" w:rsidP="00163957">
      <w:pPr>
        <w:pStyle w:val="TextoNormal"/>
      </w:pPr>
      <w:r>
        <w:t xml:space="preserve">En tercer lugar, el recurso se fundamenta en la infracción del principio de irretroactividad de las normas restrictivas de derechos individuales, del art. 9.3 CE. Tras exponer la doctrina constitucional y de la Tribunal Europeo de Derechos Humanos, el representante del Gobierno de Navarra argumenta que las disposiciones impugnadas cambian de manera imprevisible, urgente y sorpresiva el régimen jurídico y económico aplicable a las instalaciones existentes, desconociendo las cuantiosas inversiones previas e iniciales, cuya retribución ahora se reduce o aminora en forma tal que hace ruinosas las inversiones realizadas, por lo que los preceptos impugnados no superan los criterios constitucionales y europeos relativos </w:t>
      </w:r>
      <w:r>
        <w:lastRenderedPageBreak/>
        <w:t>a la irretroactividad de las normas restrictivas de derechos fundamentales, y afectan a derechos fundamentales, como es el derecho de propiedad.</w:t>
      </w:r>
    </w:p>
    <w:p w:rsidR="00163957" w:rsidRDefault="00163957" w:rsidP="00163957">
      <w:pPr>
        <w:pStyle w:val="TextoNormal"/>
      </w:pPr>
    </w:p>
    <w:p w:rsidR="00163957" w:rsidRDefault="00163957" w:rsidP="00163957">
      <w:pPr>
        <w:pStyle w:val="TextoNormal"/>
      </w:pPr>
      <w:r>
        <w:t>En la medida en que se prevé la retroacción de los efectos una vez que entre en vigor la normativa reglamentaria de desarrollo, y que el cálculo de la retribución se realice para una instalación tipo “a lo largo de su vida útil regulatoria”, se produce un supuesto de retroactividad en grado máximo, que es la prohibida por el art. 9.3 CE, en la medida en que afecta a titulares de producción de energía incardinados en el sistema y reconocidos como tales, a través de un procedimiento fijado por las normas vigentes, con un determinado aprovechamiento y con derecho a percibir las retribuciones, según la opción que elijan, prevista también en las normas legales. Aun reconociendo que la injerencia está prevista en la ley y obedece al interés general, no concurre el necesario equilibrio entre el interés público y los intereses particulares afectados, quebrando la necesaria proporcionalidad. Y ello porque no se han ponderado debidamente ni la internalización de los costes ambientales, sociales y de suministro, ni las características de cada tecnología y los costes de las mismas, ni queda garantizado el principio de rentabilidad razonable; se añade que las medidas aquí impugnadas suponen un grave quebranto económico para los productores de energía procedente de fuentes renovables, ya que el resultado de la inversión puede resultar negativo a consecuencia del nuevo régimen retributivo.</w:t>
      </w:r>
    </w:p>
    <w:p w:rsidR="00163957" w:rsidRDefault="00163957" w:rsidP="00163957">
      <w:pPr>
        <w:pStyle w:val="TextoNormal"/>
      </w:pPr>
    </w:p>
    <w:p w:rsidR="00163957" w:rsidRDefault="00163957" w:rsidP="00163957">
      <w:pPr>
        <w:pStyle w:val="TextoNormal"/>
      </w:pPr>
      <w:r>
        <w:t>A juicio del Letrado, esta conclusión viene avalada por el art. 10.1 del Tratado sobre la carta de la energía, hecho en Lisboa el 17 de diciembre de 1994 y ratificado por España, que impone a las partes contratantes la obligación de fomentar y crear condiciones estables, equitativas, favorables y permanentes para que los inversores de otras partes contratantes realicen inversiones en su territorio, y el Real Decreto-ley, al modificar retroactivamente las condiciones retributivas del régimen especial para las instalaciones ya existentes, infringe en principio de confianza legítima de los inversores y el de seguridad jurídica, que es uno de los fundamentos del adecuado funcionamiento de una economía de mercado.</w:t>
      </w:r>
    </w:p>
    <w:p w:rsidR="00163957" w:rsidRDefault="00163957" w:rsidP="00163957">
      <w:pPr>
        <w:pStyle w:val="TextoNormal"/>
      </w:pPr>
    </w:p>
    <w:p w:rsidR="00163957" w:rsidRDefault="00163957" w:rsidP="00163957">
      <w:pPr>
        <w:pStyle w:val="TextoNormal"/>
      </w:pPr>
      <w:r>
        <w:t>Se alega a continuación, en relación al período transitorio que transcurra hasta la aprobación de la normativa reglamentaria de desarrollo, que la aplicación del Real Decreto-ley dará lugar a un sistema de liquidación a cuenta calculada con arreglo a la legislación anterior y posteriormente, una vez que se aprueben por el Gobierno las nuevas disposiciones, se procederá a la regularización correspondiente con los derechos de cobro u obligaciones de pago resultantes de la aplicación de la nueva metodología, con efectos desde la entrada en vigor el Real Decreto-ley. En esta situación es evidente que los productores de energía eléctrica de régimen especial ya existentes sufrirán la aplicación retroactiva de un régimen retributivo respecto de derechos adquiridos, ya que se refiere a una energía ya producida y liquidada a cuenta bajo un régimen normativo anterior, por lo que estamos ante una retroactividad de grado máximo, pues a una situación consolidada se le aplicará la retribución aprobada con posterioridad, con lo que afecta a derechos adquiridos y consolidados.</w:t>
      </w:r>
    </w:p>
    <w:p w:rsidR="00163957" w:rsidRDefault="00163957" w:rsidP="00163957">
      <w:pPr>
        <w:pStyle w:val="TextoNormal"/>
      </w:pPr>
    </w:p>
    <w:p w:rsidR="00163957" w:rsidRDefault="00163957" w:rsidP="00163957">
      <w:pPr>
        <w:pStyle w:val="TextoNormal"/>
      </w:pPr>
      <w:r>
        <w:t xml:space="preserve">Se alega, finalmente, la infracción del principio de interdicción de arbitrariedad de los poderes públicos (art. 9.3 CE). A juicio del Letrado, la aplicación de la doctrina del Tribunal Constitucional y del Tribunal Europeo de Derechos Humanos permite apreciar dicha infracción, en la medida en que la regulación impugnada discrimina negativamente la producción eléctrica mediante fuentes renovables, residuos y cogeneración en relación con otras fuentes de producción de energía eléctrica; se basa en cuestiones ajenas a los propios productores </w:t>
      </w:r>
      <w:r>
        <w:lastRenderedPageBreak/>
        <w:t>de energía eléctrica en régimen especial y recurre de forma abusiva a conceptos jurídicos indeterminados. Esta infracción es más patente respecto de las instalaciones ya existentes, pues la aplicación a las mismas del nuevo régimen genera una grave injusticia y desconoce la necesaria proporcionalidad entre los intereses en presencia, el imponer retroactivamente a los productores un grave sacrificio económico, no asegurar la rentabilidad de sus inversiones de acuerdo con las legítimas expectativas generadas desde los propios poderes públicos, y hacer recaer sobre ellas, sin fundamento alguno, el peso de la reducción o eliminación del déficit del sistema eléctrico.</w:t>
      </w:r>
    </w:p>
    <w:p w:rsidR="00163957" w:rsidRDefault="00163957" w:rsidP="00163957">
      <w:pPr>
        <w:pStyle w:val="TextoNormal"/>
      </w:pPr>
    </w:p>
    <w:p w:rsidR="00163957" w:rsidRDefault="00163957" w:rsidP="00163957">
      <w:pPr>
        <w:pStyle w:val="TextoNormal"/>
      </w:pPr>
      <w:r w:rsidRPr="00163957">
        <w:rPr>
          <w:rStyle w:val="NumeroAFNegritaCaracter"/>
        </w:rPr>
        <w:t>2</w:t>
      </w:r>
      <w:r>
        <w:t>. El Pleno del Tribunal, a propuesta de la Sección Primera, y mediante providencia de 5 de noviembre de 2013, admitió a trámite el presente recurso de inconstitucionalidad, acordando dar traslado de las actuaciones, conforme establece el art. 34 de la Ley Orgánica del Tribunal Constitucional (LOTC), al Congreso de los Diputados y al Senado, por conducto de sus Presidentes, y al Gobierno de la Nación a través del Ministerio de Justicia, al objeto de que en el plazo de 15 días, pudieran personarse en el proceso y formular las alegaciones que estimaran, así como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El Presidente del Senado, mediante escrito recibido el 20 de noviembre de 2013, comunicó que la Cámara se personaba en el proceso, ofreciendo su colaboración, a los efectos del art. 88.1 LOTC.</w:t>
      </w:r>
    </w:p>
    <w:p w:rsidR="00163957" w:rsidRDefault="00163957" w:rsidP="00163957">
      <w:pPr>
        <w:pStyle w:val="TextoNormal"/>
      </w:pPr>
    </w:p>
    <w:p w:rsidR="00163957" w:rsidRDefault="00163957" w:rsidP="00163957">
      <w:pPr>
        <w:pStyle w:val="TextoNormal"/>
      </w:pPr>
      <w:r>
        <w:t>El Presidente del Congreso de los Diputados, mediante escrito registrado en este Tribunal el 21 de noviembre 2013, comunicó asimismo el acuerdo de la Mesa de la Cámara, de personarse en el proceso y dar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4</w:t>
      </w:r>
      <w:r>
        <w:t>. En fecha 3 de diciembre de 2013, tuvo entrada en este Tribunal escrito de alegaciones del Abogado del Estado, en el que solicita se tenga por evacuado el trámite conferido y, en su día, se dicte Sentencia desestimatoria del presente recurso en todos sus extremos.</w:t>
      </w:r>
    </w:p>
    <w:p w:rsidR="00163957" w:rsidRDefault="00163957" w:rsidP="00163957">
      <w:pPr>
        <w:pStyle w:val="TextoNormal"/>
      </w:pPr>
    </w:p>
    <w:p w:rsidR="00163957" w:rsidRDefault="00163957" w:rsidP="00163957">
      <w:pPr>
        <w:pStyle w:val="TextoNormal"/>
      </w:pPr>
      <w:r>
        <w:t>Comienza señalando el representante estatal, en relación con la alegada vulneración del art. 9.3 CE, que, de conformidad con la doctrina constitucional, el concepto de “carácter estable” de las medidas legislativas adoptadas, no significa el derecho a un régimen jurídico inamovible ni la petrificación del ordenamiento, sino que el principio de seguridad jurídica resulta compatible con la alterabilidad del ordenamiento y la libertad de configuración del legislador en orden al desarrollo y evolución del ordenamiento jurídico hasta los límites que puedan considerarse como adecuados a los principios del art. 9 CE. Destaca también que la doctrina ha mantenido que el art. 9.3 CE no contiene en absoluto un límite de carácter general a la retroactividad in peius de las leyes; y la expresión “restrictiva de derechos individuales” ha de referirse a derechos adquiridos, entendiendo por tales los que surgen de situaciones agotadas o relaciones concluidas, consumadas bajo la anterior legislación, no a las aún vivas o que se hallaren produciendo efectos jurídicos, y de cara a esos efectos futuros, tras la entrada en vigor de la nueva norma.</w:t>
      </w:r>
    </w:p>
    <w:p w:rsidR="00163957" w:rsidRDefault="00163957" w:rsidP="00163957">
      <w:pPr>
        <w:pStyle w:val="TextoNormal"/>
      </w:pPr>
    </w:p>
    <w:p w:rsidR="00163957" w:rsidRDefault="00163957" w:rsidP="00163957">
      <w:pPr>
        <w:pStyle w:val="TextoNormal"/>
      </w:pPr>
      <w:r>
        <w:t xml:space="preserve">En este sentido, la disposición final segunda del Real Decreto-ley 9/2013 establece la vigencia del nuevo régimen de retribución desde la entrada en vigor de dicho Real Decreto-ley, esto es, sin efecto retroactivo alguno, aplicable a la actividad de producción que se lleva </w:t>
      </w:r>
      <w:r>
        <w:lastRenderedPageBreak/>
        <w:t>a cabo a partir de fuentes de energía renovables, cogeneración y residuos con régimen económico sujeto a prima; no se trata de un régimen jurídico de retribuciones aplazado. El destinatario de la norma sabe qué sistema nuevo de retribuciones, sobre qué bases se asienta y en qué consiste, desde la entrada en vigor del Real Decreto-ley, y cómo se aplicará, es decir, la aplicación provisional con facturaciones a cuenta del sistema vigente; y el porqué de la situación: necesidad de precisión reguladora en el sistema de facturación mediante normativa reglamentaria de carácter técnico.</w:t>
      </w:r>
    </w:p>
    <w:p w:rsidR="00163957" w:rsidRDefault="00163957" w:rsidP="00163957">
      <w:pPr>
        <w:pStyle w:val="TextoNormal"/>
      </w:pPr>
    </w:p>
    <w:p w:rsidR="00163957" w:rsidRDefault="00163957" w:rsidP="00163957">
      <w:pPr>
        <w:pStyle w:val="TextoNormal"/>
      </w:pPr>
      <w:r>
        <w:t>A juicio del Abogado del Estado, los elementos normativos básicos o esenciales de la reforma ya están prefijados en la nueva redacción del art. 30.4 de la Ley 54/1997, modificado por el art. 1.3 del Real Decreto-ley. La referencia que se efectúa al real decreto que modificará el modelo retributivo, significa el desarrollo, detalle o concreción de ese nuevo régimen retributivo que introduce el Real Decreto-ley 9/2013. Por su parte, la disposición transitoria tercera contiene una norma lógica de derecho transitorio puesto que la nueva regulación establecida prevé un desarrollo reglamentario para su efectiva aplicación, sin que ello suponga en modo alguno deslegalización o remisión en bloque a la norma reglamentaria, sino, por el contrario, una norma de concreción y ejecución del régimen jurídico esencial ya establecido o configurado por el Real Decreto-ley.</w:t>
      </w:r>
    </w:p>
    <w:p w:rsidR="00163957" w:rsidRDefault="00163957" w:rsidP="00163957">
      <w:pPr>
        <w:pStyle w:val="TextoNormal"/>
      </w:pPr>
    </w:p>
    <w:p w:rsidR="00163957" w:rsidRDefault="00163957" w:rsidP="00163957">
      <w:pPr>
        <w:pStyle w:val="TextoNormal"/>
      </w:pPr>
      <w:r>
        <w:t>No se produce, a su juicio, un efecto retroactivo, en tanto que el nuevo régimen jurídico se aplica desde la entrada en vigor del Real Decreto-ley 9/2013, y así lo prevé de manera explícita la norma, con independencia de que quepa una normativa de desarrollo. La retroactividad que pudiera apreciarse lo sería solo de grado mínimo, pues la aplicación de la nueva ley se produce sólo respecto de los efectos de las situaciones que se generen tras la entrada en vigor de la misma, algo admitido doctrinalmente por la jurisprudencia constitucional, máxime en lo que se refiere al cambio legislativo que experimente el ordenamiento a través de normas con rango de ley, cuya actividad innovadora no contraviene el principio de irretroactividad. Tampoco nos hallamos ante una norma sancionadora en sentido técnico, y la misma no posee alcance expropiatorio alguno, ni incide en derechos patrimoniales ya consolidados e incorporados definitivamente al patrimonio del destinatario de la norma o modificativa de situaciones jurídicas favorables ya agotadas o consumadas. Como argumento complementario, se señala que la norma no contempla en ningún caso la devolución de cantidades percibidas con anterioridad a su entrada en vigor, e incorporadas al patrimonio del sujeto destinatario de la norma.</w:t>
      </w:r>
    </w:p>
    <w:p w:rsidR="00163957" w:rsidRDefault="00163957" w:rsidP="00163957">
      <w:pPr>
        <w:pStyle w:val="TextoNormal"/>
      </w:pPr>
    </w:p>
    <w:p w:rsidR="00163957" w:rsidRDefault="00163957" w:rsidP="00163957">
      <w:pPr>
        <w:pStyle w:val="TextoNormal"/>
      </w:pPr>
      <w:r>
        <w:t xml:space="preserve">En relación con la alegada infracción del principio de seguridad jurídica, señala el Abogado del Estado que la constatación de la generación e incremento del déficit tarifario y la constante preocupación por su corrección, a fin de garantizar la financiación y viabilidad definitiva del sistema, atestiguan la gravedad de la situación, y frente a ese objetivo patente del legislador, no cabe adoptar una postura de sorpresa acerca de la evolución de las medidas legislativas ni de falta de previsibilidad. Las circunstancias que motivan la regulación de fondo contenida en el Real Decreto-ley, y su condición de norma con rango de ley disipan la objeción de una supuesta o hipotética falta de seguridad jurídica respecto de la situación regulada, conforme y por comparación con la normativa preexistente que viene a modificar. Se recuerda que, conforme a la doctrina constitucional, el principio de seguridad protege la confianza de los ciudadanos, pero no puede entenderse como un supuesto derecho al mantenimiento de una determinado régimen jurídico; la confianza que protege ese principio es únicamente la que puede existir frente a cambios normativos que no sean razonablemente </w:t>
      </w:r>
      <w:r>
        <w:lastRenderedPageBreak/>
        <w:t>previsibles, y no puede resultar previsible el mantenimiento indefinido e inamovible de una situación, que no conceda al legislador la posibilidad de alteración de ese régimen o la innovación de la realidad jurídica, hacia una situación regida por premisas normales de explotación económica de mercado, en un sector empresarial determinado, es decir no puede pretenderse la permanencia de un sistema protegido.</w:t>
      </w:r>
    </w:p>
    <w:p w:rsidR="00163957" w:rsidRDefault="00163957" w:rsidP="00163957">
      <w:pPr>
        <w:pStyle w:val="TextoNormal"/>
      </w:pPr>
    </w:p>
    <w:p w:rsidR="00163957" w:rsidRDefault="00163957" w:rsidP="00163957">
      <w:pPr>
        <w:pStyle w:val="TextoNormal"/>
      </w:pPr>
      <w:r>
        <w:t>No contribuye en modo alguno a ese supuesto carácter indeterminado o inseguro de la norma, como pretende la demanda, el que ésta utilice los conceptos de “empresa eficiente” o de “empresa bien gestionada”, pues estas calificaciones poseen un significado más ajustado, conforme a la ley que las crea, que los solos “conceptos jurídicos indeterminados”, dado que el propio Real Decreto-ley da pautas claras para su reconocimiento objetivo.</w:t>
      </w:r>
    </w:p>
    <w:p w:rsidR="00163957" w:rsidRDefault="00163957" w:rsidP="00163957">
      <w:pPr>
        <w:pStyle w:val="TextoNormal"/>
      </w:pPr>
    </w:p>
    <w:p w:rsidR="00163957" w:rsidRDefault="00163957" w:rsidP="00163957">
      <w:pPr>
        <w:pStyle w:val="TextoNormal"/>
      </w:pPr>
      <w:r>
        <w:t>Asimismo se rechaza por el Abogado del Estado que la norma resulte arbitraria, en tanto que la modificación operada se produce sobre la base de criterios específicos y objetivos otorgados por la ley de reforma, e íntimamente conectados con la realidad jurídica empresarial de industria en la que incide. Y se niega también la supuesta desigualdad de trato entre empresas del sector eléctrico, pues, como se pone de manifiesto en el informe de la Secretaría General Técnica, “la evolución descontrolada e insostenible del déficit de tarifa ha hecho necesaria la adopción de múltiples medidas … que han afectado a todos los agentes del sistema”. La modificación que ahora se introduce no constituye pues, una medida aislada sino una norma que se integra dentro del conjunto sistemático del ordenamiento.</w:t>
      </w:r>
    </w:p>
    <w:p w:rsidR="00163957" w:rsidRDefault="00163957" w:rsidP="00163957">
      <w:pPr>
        <w:pStyle w:val="TextoNormal"/>
      </w:pPr>
    </w:p>
    <w:p w:rsidR="00163957" w:rsidRDefault="00163957" w:rsidP="00163957">
      <w:pPr>
        <w:pStyle w:val="TextoNormal"/>
      </w:pPr>
      <w:r>
        <w:t>En lo que respecta a la pretendida vulneración del Tratado sobre la carta de la energía, se afirma que la variación del ordenamiento jurídico se ha producido en el ámbito del derecho interno, no por lo que al Tratado respecta. En todo caso, como ha declarado también la jurisprudencia constitucional, los tratados internacionales no constituyen en sí mismos parámetros o premisas de comparación para valorar la constitucionalidad de las leyes; y las posibles consecuencias de su vulneración pertenecen más bien al ámbito de la legislación ordinaria, al no formar parte los tratados en sí del bloque de la constitucionalidad. En todo caso —se añade— el Tratado no ha sido vulnerado por el Real Decreto-ley 9/2013, pues las determinaciones contenidas en aquél en orden a la protección de las inversiones se adecúan a la misma justificación sobre la conformidad con la Constitución del Real Decreto-ley, en tanto que de esa adecuación constitucional cabe derivar la consideración de un tratamiento justo y equitativo en lo que a la regulación contenida en el Real Decreto-ley se refiere o al tratamiento de las inversiones procedentes de otros Estados miembros, partes contratantes de la Carta, no menos favorable que a las inversiones nacionales en el mismo sector.</w:t>
      </w:r>
    </w:p>
    <w:p w:rsidR="00163957" w:rsidRDefault="00163957" w:rsidP="00163957">
      <w:pPr>
        <w:pStyle w:val="TextoNormal"/>
      </w:pPr>
    </w:p>
    <w:p w:rsidR="00163957" w:rsidRDefault="00163957" w:rsidP="00163957">
      <w:pPr>
        <w:pStyle w:val="TextoNormal"/>
      </w:pPr>
      <w:r>
        <w:t>El cambio de situaciones objetivas y la regulación general que modifica la materia bajo cuyo marco se efectuaron las inversiones, no supone una expropiación de derechos, pues el inversor materializó su inversión bajo la vigencia de un régimen jurídico concreto, a cuya petrificación o inalterabilidad no tenía derecho. El Real Decreto-ley posee una eficacia ex nunc, lo cual, de acuerdo con la jurisprudencia constitucional, no supone afectación desfavorable a los derechos adquiridos desde la perspectiva constitucional, es decir, la reforma no incide en derechos patrimoniales ya consolidados e incorporados definitivamente al patrimonio del destinatario, o en situaciones jurídicas favorables ya agotadas o consumadas.</w:t>
      </w:r>
    </w:p>
    <w:p w:rsidR="00163957" w:rsidRDefault="00163957" w:rsidP="00163957">
      <w:pPr>
        <w:pStyle w:val="TextoNormal"/>
      </w:pPr>
    </w:p>
    <w:p w:rsidR="00163957" w:rsidRDefault="00163957" w:rsidP="00163957">
      <w:pPr>
        <w:pStyle w:val="TextoNormal"/>
      </w:pPr>
      <w:r>
        <w:t xml:space="preserve">En cuanto a la alegada vulneración del art. 86.1 CE, el Abogado del Estado se remite de nuevo a los razonamientos expuestos en el informe de la Secretaría General Técnica del </w:t>
      </w:r>
      <w:r>
        <w:lastRenderedPageBreak/>
        <w:t>Ministerio de Industria, Turismo y Comercio, en el que se manifiesta que: la situación de extraordinaria y urgente necesidad deriva del carácter insostenible del déficit del sector eléctrico y de la necesidad de adoptar medidas urgentes de vigencia inmediata que permitan poner término a dicha situación. En los últimos ejercicios, el déficit tarifario ha continuado su crecimiento, hasta situarse, según los últimos datos disponibles de la Comisión Nacional de Energía, en un saldo de deuda acumulada de 26.062,51 millones de euros, a 10 de mayo de 2013. De forma complementaria al cálculo de la deuda del sistema eléctrico, dicha Comisión señala que desde el año 2003 hasta el 10 de mayo de 2013, el importe satisfecho para financiar el déficit del sistema eléctrico a través de anualidades que se incorporan en los peajes de acceso de los consumidores, a precios corrientes de cada año, ascienda a 11.823 millones de euros. Por este motivo se han venido adoptando en los últimos años una serie de medidas de carácter urgente que afectan tanto a la partida de costes como a la de ingresos.</w:t>
      </w:r>
    </w:p>
    <w:p w:rsidR="00163957" w:rsidRDefault="00163957" w:rsidP="00163957">
      <w:pPr>
        <w:pStyle w:val="TextoNormal"/>
      </w:pPr>
    </w:p>
    <w:p w:rsidR="00163957" w:rsidRDefault="00163957" w:rsidP="00163957">
      <w:pPr>
        <w:pStyle w:val="TextoNormal"/>
      </w:pPr>
      <w:r>
        <w:t>Acaba señalando el citado Informe, que es en definitiva la gravísima situación financiera del sistema eléctrico, motivada por la evolución descontrolada e insostenible del déficit de tarifa, la que ha hecho necesario la adopción de múltiples medidas excepcionales y urgentes que han afectado a todos los agentes del sistema, desde los operadores de instalaciones de negación de redes a los consumidores, pasando por los contribuyentes a través de los presupuestos generales del Estado. Todo ello con el objetivo de contener los costes y, a la vez, dar estabilidad al sistema para evitar en lo posible futuras desviaciones con respecto a las estimaciones.</w:t>
      </w:r>
    </w:p>
    <w:p w:rsidR="00163957" w:rsidRDefault="00163957" w:rsidP="00163957">
      <w:pPr>
        <w:pStyle w:val="TextoNormal"/>
      </w:pPr>
    </w:p>
    <w:p w:rsidR="00163957" w:rsidRDefault="00163957" w:rsidP="00163957">
      <w:pPr>
        <w:pStyle w:val="TextoNormal"/>
      </w:pPr>
      <w:r>
        <w:t>Las anteriores razones se ponen también de relieve en la exposición de motivos del Real Decreto-ley, añadiendo a las mismas el hecho de haber tenido lugar durante el primer semestre del año 2013 una serie de circunstancias que han variado las hipótesis sobre las que se realizaron las estimaciones, lo que podría producir nuevos desajustes al final del ejercicio si no se toman nuevas medidas de urgencia para corregir la situación. Las desviaciones vienen motivadas por la concurrencia de unas condiciones meteorológicas atípicas con índices muy altos de pluviometría y vientos, lo que ha supuesto el hundimiento del precio del mercado diario y un incremento de horas de funcionamiento de determinadas tecnologías y, en particular, la eólica con derecho a régimen primado. A ello se ha añadido también el efecto de la crisis económica sobre las economías domésticas, que ha producido una contracción de la demanda más acusada de lo previsto.</w:t>
      </w:r>
    </w:p>
    <w:p w:rsidR="00163957" w:rsidRDefault="00163957" w:rsidP="00163957">
      <w:pPr>
        <w:pStyle w:val="TextoNormal"/>
      </w:pPr>
    </w:p>
    <w:p w:rsidR="00163957" w:rsidRDefault="00163957" w:rsidP="00163957">
      <w:pPr>
        <w:pStyle w:val="TextoNormal"/>
      </w:pPr>
      <w:r>
        <w:t>Continúa señalando el Abogado del Estado que, expuesta la situación de gravedad en relación con la estabilidad financiera del sistema eléctrico en la exposición de motivos, la tardanza en la adopción de medidas legislativas podría haber afectado muy negativamente al mantenimiento mismo de la producción y suministro de energía eléctrica. No es tanto la imprevisibilidad en sí de las circunstancias, cuanto la gravedad de las mismas como efecto derivado de regulaciones anteriores que introdujeron en el sistema patrones de primas y subvención que devienen excesivamente costosos para unos presupuestos en situación de contracción económica y la consiguiente urgencia de adoptar las medidas normativas adecuadas para su solución.</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16 de febrero de 2016 se acordó señalar para deliberación y votación de la presente Sentencia el día 18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el presente proceso constitucional debemos resolver el recurso de inconstitucionalidad interpuesto por el Gobierno de Navarra contra el artículo 1.2 y 3; disposición adicional primera; disposición transitoria tercera; y disposición final segunda del Real Decreto-ley 9/2013, de 12 de julio, por el que se adoptan medidas urgentes para garantizar la estabilidad financiera del sistema eléctrico.</w:t>
      </w:r>
    </w:p>
    <w:p w:rsidR="00163957" w:rsidRDefault="00163957" w:rsidP="00163957">
      <w:pPr>
        <w:pStyle w:val="TextoNormal"/>
      </w:pPr>
    </w:p>
    <w:p w:rsidR="00163957" w:rsidRDefault="00163957" w:rsidP="00163957">
      <w:pPr>
        <w:pStyle w:val="TextoNormal"/>
      </w:pPr>
      <w:r>
        <w:t>Los preceptos impugnados vienen, en lo sustancial, a modificar la Ley 54/1997, de 27 de noviembre, del sector eléctrico, en orden al establecimiento de un nuevo régimen retributivo para las instalaciones de producción de energía eléctrica a partir de fuentes de energía renovable, cogeneración y residuos, y a habilitar al Gobierno para la aprobación por real decreto del régimen jurídico y económico para estas instalaciones con retribución primada, que modificará el régimen retributivo de las instalaciones existentes, y será de aplicación desde la entrada en vigor del presente Real Decreto-ley.</w:t>
      </w:r>
    </w:p>
    <w:p w:rsidR="00163957" w:rsidRDefault="00163957" w:rsidP="00163957">
      <w:pPr>
        <w:pStyle w:val="TextoNormal"/>
      </w:pPr>
    </w:p>
    <w:p w:rsidR="00163957" w:rsidRDefault="00163957" w:rsidP="00163957">
      <w:pPr>
        <w:pStyle w:val="TextoNormal"/>
      </w:pPr>
      <w:r>
        <w:t>Como ha quedado expuesto en los antecedentes, el Gobierno de Navarra considera que los preceptos impugnados infringen: el art. 86.1 CE, por falta del presupuesto habilitante de la extraordinaria urgente necesidad para la aprobación de la norma por el procedimiento de urgencia; el principio de seguridad jurídica del art. 9.3 CE, en su vertiente de previsibilidad o protección de la confianza legítima, en cuanto prevén un régimen retroactivo, imprevisible y desfavorable para las instalaciones de producción de energía eléctrica existentes a partir de fuentes de energía renovable, cogeneración y residuos y también en su dimensión de certeza del Derecho, por prever una nueva regulación, fundada en criterios abiertos e indeterminados, que generan incertidumbre en los afectados; el principio general de irretroactividad de las disposiciones restrictivas de derechos individuales, que contempla el art. 9.3 CE, en la medida en que dichos preceptos establecen una eficacia retroactiva en grado máximo para los productores e inversores, que ven desconocidos sus derechos adquiridos y expectativas legítimas legalmente reconocidas; y el principio de interdicción de arbitrariedad de los poderes públicos, garantizado también por el art. 9.3 CE, en cuanto las medidas adoptadas incurren respecto de la energía procedente de fuentes renovables en injusticia, discriminación y desproporcionalidad.</w:t>
      </w:r>
    </w:p>
    <w:p w:rsidR="00163957" w:rsidRDefault="00163957" w:rsidP="00163957">
      <w:pPr>
        <w:pStyle w:val="TextoNormal"/>
      </w:pPr>
    </w:p>
    <w:p w:rsidR="00163957" w:rsidRDefault="00163957" w:rsidP="00163957">
      <w:pPr>
        <w:pStyle w:val="TextoNormal"/>
      </w:pPr>
      <w:r>
        <w:t>El Abogado del Estado defiende, por el contrario, la constitucionalidad de los preceptos impugnados, rechazando, por los motivos que se resumen en los antecedentes de esta Sentencia, la vulneración de los preceptos constitucionales alegados por el Letrado autonómico.</w:t>
      </w:r>
    </w:p>
    <w:p w:rsidR="00163957" w:rsidRDefault="00163957" w:rsidP="00163957">
      <w:pPr>
        <w:pStyle w:val="TextoNormal"/>
      </w:pPr>
    </w:p>
    <w:p w:rsidR="00163957" w:rsidRDefault="00163957" w:rsidP="00163957">
      <w:pPr>
        <w:pStyle w:val="TextoNormal"/>
      </w:pPr>
      <w:r w:rsidRPr="00163957">
        <w:rPr>
          <w:rStyle w:val="NumeroAFNegritaCaracter"/>
        </w:rPr>
        <w:t>2</w:t>
      </w:r>
      <w:r>
        <w:t>. Las cuestiones controvertidas en el presente proceso, presentan una sustancial coincidencia con las suscitadas en el recurso de inconstitucionalidad tramitado bajo el número 5347-2013 y resuelto por la reciente STC 270/2015, de 17 de diciembre, cuya doctrina resulta, en consecuencia, de directa aplicación al supuesto que nos ocupa.</w:t>
      </w:r>
    </w:p>
    <w:p w:rsidR="00163957" w:rsidRDefault="00163957" w:rsidP="00163957">
      <w:pPr>
        <w:pStyle w:val="TextoNormal"/>
      </w:pPr>
    </w:p>
    <w:p w:rsidR="00163957" w:rsidRDefault="00163957" w:rsidP="00163957">
      <w:pPr>
        <w:pStyle w:val="TextoNormal"/>
      </w:pPr>
      <w:r>
        <w:t xml:space="preserve">Con carácter previo al examen de fondo, y en lo que respecta a la pervivencia del proceso tras las modificaciones efectuadas en la norma impugnada por la Ley 24/2013, de 26 de diciembre, del sector eléctrico, hemos tenido ocasión de señalar que tales modificaciones no han dado lugar a un derogación, o, lo que es lo mismo, a la remoción absoluta de las </w:t>
      </w:r>
      <w:r>
        <w:lastRenderedPageBreak/>
        <w:t>situaciones jurídicas creadas al amparo de la disposición impugnada, sino, más bien al contrario, a una novación actualizada del régimen retributivo que se contempla en los preceptos impugnados para la actividad de producción a partir de fuentes de energía renovables, cogeneración y residuos con régimen económico primado; régimen jurídico al que expresamente se remite la Ley 24/2013 y que, en consecuencia y en lo sustancial, ha resultado incorporado, en sus propios términos, a una norma con rango formal de ley. Por esta razón la modificación de las normas impugnadas en el presente proceso no permite apreciar la desaparición del objeto del recurso de inconstitucionalidad formulado, siendo procedente, en consecuencia, el examen de fondo de los preceptos impugnados (STC 270/2015, FJ 2).</w:t>
      </w:r>
    </w:p>
    <w:p w:rsidR="00163957" w:rsidRDefault="00163957" w:rsidP="00163957">
      <w:pPr>
        <w:pStyle w:val="TextoNormal"/>
      </w:pPr>
    </w:p>
    <w:p w:rsidR="00163957" w:rsidRDefault="00163957" w:rsidP="00163957">
      <w:pPr>
        <w:pStyle w:val="TextoNormal"/>
      </w:pPr>
      <w:r w:rsidRPr="00163957">
        <w:rPr>
          <w:rStyle w:val="NumeroAFNegritaCaracter"/>
        </w:rPr>
        <w:t>3</w:t>
      </w:r>
      <w:r>
        <w:t>. Entrando en el examen de fondo, procede examinar en primer término la tacha de inconstitucionalidad relativa a la vulneración del art. 86.1 CE que se imputa a los preceptos impugnados y que se fundamenta en la ausencia del presupuesto habilitante de la “extraordinaria y urgente necesidad”.</w:t>
      </w:r>
    </w:p>
    <w:p w:rsidR="00163957" w:rsidRDefault="00163957" w:rsidP="00163957">
      <w:pPr>
        <w:pStyle w:val="TextoNormal"/>
      </w:pPr>
    </w:p>
    <w:p w:rsidR="00163957" w:rsidRDefault="00163957" w:rsidP="00163957">
      <w:pPr>
        <w:pStyle w:val="TextoNormal"/>
      </w:pPr>
      <w:r>
        <w:t>El cumplimiento de los requisitos previstos en el art. 86.1 CE, fue objeto de examen pormenorizado en el fundamento jurídico 5 de la STC 270/2015, entendiendo que “las razones que motivaron la aprobación de esta norma de urgencia derivan de la evolución expansiva de los costes del sistema eléctrico, unida a las consecuencias de la crisis económica y a la necesidad de cumplimiento de los objetivos de déficit para el año 2014, que determinan la necesidad de adopción de una serie de medidas dirigidas a garantizar la estabilidad financiera del sistema eléctrico, mediante una revisión de su marco regulatorio. Es pues, la situación de crisis económica que ha repercutido en una caída imprevista de la demanda de energía eléctrica, junto con el incremento general de costes, que ha provocado un aumento imprevisto del déficit tarifario, lo que justifica la adopción de las medidas contempladas en la norma que se examina”.</w:t>
      </w:r>
    </w:p>
    <w:p w:rsidR="00163957" w:rsidRDefault="00163957" w:rsidP="00163957">
      <w:pPr>
        <w:pStyle w:val="TextoNormal"/>
      </w:pPr>
    </w:p>
    <w:p w:rsidR="00163957" w:rsidRDefault="00163957" w:rsidP="00163957">
      <w:pPr>
        <w:pStyle w:val="TextoNormal"/>
      </w:pPr>
      <w:r>
        <w:t>Asimismo, y en relación con los concretos preceptos que son objeto del recurso de inconstitucionalidad, “el argumento que sustenta las modificaciones introducidas viene a ser coincidente con el de carácter general, si bien se singulariza en el hecho de que, entre las partidas de costes que han contribuido en mayor medida al incremento del déficit tarifario destacan las primas del régimen especial y las anualidades de déficits acumulados, partidas que se han multiplicado por seis y por nueve respectivamente entre 2004 y 2012. En concreto, en el período 2013 se alude a la concurrencia de unas condiciones meteorológicas atípicas que han ocasionado, por un lado el hundimiento del precio del mercado diario hasta un nivel mínimo, y el incremento de las horas de funcionamiento de determinadas tecnologías con derecho a régimen económico primado, lo que ha determinado una notable desviación al alza del sobrecoste del régimen especial, como consecuencia de los menores precios de mercado registrados; a ello se añade que la difícil situación presupuestaria no permite dotar, en su totalidad, este extracoste, sin comprometer el cumplimiento de los objetivos de déficit para el ejercicio 2014. Sobre esta base, el nuevo régimen jurídico y económico para las instalaciones de producción de energía eléctrica existentes a partir de fuentes de energía renovable, cogeneración y residuos, se basa en la percepción de los ingresos derivados de la participación en el mercado, con una retribución específica que permita la cobertura de los costes adicionales de estas instalaciones respecto de las del resto de tecnologías en el mercado, y les permita competir en el mercado en nivel de igualdad con el resto de las tecnologías y obtener una rentabilidad razonable”.</w:t>
      </w:r>
    </w:p>
    <w:p w:rsidR="00163957" w:rsidRDefault="00163957" w:rsidP="00163957">
      <w:pPr>
        <w:pStyle w:val="TextoNormal"/>
      </w:pPr>
    </w:p>
    <w:p w:rsidR="00163957" w:rsidRDefault="00163957" w:rsidP="00163957">
      <w:pPr>
        <w:pStyle w:val="TextoNormal"/>
      </w:pPr>
      <w:r>
        <w:lastRenderedPageBreak/>
        <w:t>Por lo que respecta a la conexión de sentido, “es evidente que las medidas propuestas, en cuanto persiguen precisamente un ajuste de los costes en el sector eléctrico, guardan la necesaria conexión entre la situación de extraordinaria y urgente necesidad descrita, y las medidas adoptadas para hacerle frente. Además, las medidas previstas modifican de modo inmediato la situación jurídica existente, en cuanto que el nuevo sistema retributivo que la norma inicia, si bien requiere el necesario desarrollo reglamentario, es aplicable desde el momento de la entrada en vigor del Real Decreto-ley 9/2013. Efectivamente, éste establece la aplicación transitoria del régimen retributivo anterior, ahora con el carácter de pagos a cuenta, que se liquidarán definitivamente en el momento en que se apruebe el aludido desarrollo reglamentario”.</w:t>
      </w:r>
    </w:p>
    <w:p w:rsidR="00163957" w:rsidRDefault="00163957" w:rsidP="00163957">
      <w:pPr>
        <w:pStyle w:val="TextoNormal"/>
      </w:pPr>
    </w:p>
    <w:p w:rsidR="00163957" w:rsidRDefault="00163957" w:rsidP="00163957">
      <w:pPr>
        <w:pStyle w:val="TextoNormal"/>
      </w:pPr>
      <w:r>
        <w:t>Procede, por tanto, desestimar el recurso en este punto.</w:t>
      </w:r>
    </w:p>
    <w:p w:rsidR="00163957" w:rsidRDefault="00163957" w:rsidP="00163957">
      <w:pPr>
        <w:pStyle w:val="TextoNormal"/>
      </w:pPr>
    </w:p>
    <w:p w:rsidR="00163957" w:rsidRDefault="00163957" w:rsidP="00163957">
      <w:pPr>
        <w:pStyle w:val="TextoNormal"/>
      </w:pPr>
      <w:r w:rsidRPr="00163957">
        <w:rPr>
          <w:rStyle w:val="NumeroAFNegritaCaracter"/>
        </w:rPr>
        <w:t>4</w:t>
      </w:r>
      <w:r>
        <w:t>. En segundo lugar se alega la vulneración del principio de seguridad jurídica (art. 9.3 CE) en su vertiente de previsibilidad o protección de la confianza legítima y también en su dimensión de certeza del Derecho. Los argumentos expuestos por los recurrentes han sido expresamente rechazados por este Tribunal en el fundamento jurídico 7 de la citada STC 270/2015.</w:t>
      </w:r>
    </w:p>
    <w:p w:rsidR="00163957" w:rsidRDefault="00163957" w:rsidP="00163957">
      <w:pPr>
        <w:pStyle w:val="TextoNormal"/>
      </w:pPr>
    </w:p>
    <w:p w:rsidR="00163957" w:rsidRDefault="00163957" w:rsidP="00163957">
      <w:pPr>
        <w:pStyle w:val="TextoNormal"/>
      </w:pPr>
      <w:r>
        <w:t>Afirmamos entonces que “el principio de seguridad jurídica, entendido como la certeza sobre el ordenamiento jurídico aplicable, la ausencia de confusión normativa y la previsibilidad en la aplicación de derecho, no resulta afectado por los preceptos que son objeto del presente recurso de inconstitucionalidad … No estamos ante una norma incierta o falta de la indispensable claridad, pues cuenta con un contenido preciso y unos efectos perfectamente determinados.</w:t>
      </w:r>
    </w:p>
    <w:p w:rsidR="00163957" w:rsidRDefault="00163957" w:rsidP="00163957">
      <w:pPr>
        <w:pStyle w:val="TextoNormal"/>
      </w:pPr>
    </w:p>
    <w:p w:rsidR="00163957" w:rsidRDefault="00163957" w:rsidP="00163957">
      <w:pPr>
        <w:pStyle w:val="TextoNormal"/>
      </w:pPr>
      <w:r>
        <w:t>El respeto de dicho principio, y su corolario, el principio de confianza legítima, es compatible con las modificaciones en el régimen retributivo de las energías renovables realizado por el Real Decreto-ley 9/2013, más aún —como sucede en el presente caso—, en un ámbito sujeto a un elevada intervención administrativa en virtud de su incidencia en intereses generales, y a un complejo sistema regulatorio que hace inviable la pretensión de que los elementos más favorables estén investidos de permanencia o inalterabilidad frente al ejercicio de una potestad legislativa que obliga a los poderes públicos a la adaptación de dicha regulación a una cambiante realidad económica”.</w:t>
      </w:r>
    </w:p>
    <w:p w:rsidR="00163957" w:rsidRDefault="00163957" w:rsidP="00163957">
      <w:pPr>
        <w:pStyle w:val="TextoNormal"/>
      </w:pPr>
    </w:p>
    <w:p w:rsidR="00163957" w:rsidRDefault="00163957" w:rsidP="00163957">
      <w:pPr>
        <w:pStyle w:val="TextoNormal"/>
      </w:pPr>
      <w:r>
        <w:t>Estimamos también que los cambios legislativos producidos no pueden ser cuestionados desde la óptica del principio de confianza legítima. Este principio no protege de modo absoluto la estabilidad regulatoria, ni la inmutabilidad de las normas precedentes, máxime en el contexto en que se promulgó el Real Decreto-ley que ahora se enjuicia, es decir, de dificultades económicas y de crecimiento del déficit del sistema eléctrico. Los principios de seguridad jurídica y su corolario, el de confianza legítima, no suponen el derecho de los actores económicos a la permanencia de la regulación existente en un momento dado en un determinado sector de actividad. Dicha estabilidad regulatoria es compatible con cambios legislativos, cuando sean previsibles y derivados de exigencias claras del interés general.</w:t>
      </w:r>
    </w:p>
    <w:p w:rsidR="00163957" w:rsidRDefault="00163957" w:rsidP="00163957">
      <w:pPr>
        <w:pStyle w:val="TextoNormal"/>
      </w:pPr>
    </w:p>
    <w:p w:rsidR="00163957" w:rsidRDefault="00163957" w:rsidP="00163957">
      <w:pPr>
        <w:pStyle w:val="TextoNormal"/>
      </w:pPr>
      <w:r>
        <w:t xml:space="preserve">A este respecto, las medidas cuestionadas implican, ciertamente, una modificación respecto del régimen anterior, decisión que el legislador de urgencia adopta a la vista de la situación en la que se encontraba el sistema eléctrico. No cabe calificar de inesperada la </w:t>
      </w:r>
      <w:r>
        <w:lastRenderedPageBreak/>
        <w:t>modificación producida, pues la evolución de las circunstancias que afectaban a dicho sector de la economía, hacían necesario acometer ajustes de este marco normativo, como efecto de las difíciles circunstancias del sector en su conjunto y la necesidad de asegurar el necesario equilibrio económico y la adecuada gestión del sistema. No cabe, por tanto, argumentar que la modificación del régimen retributivo que se examina fuera imprevisible para un “operador económico prudente y diligente”, atendiendo a las circunstancias económicas y a la insuficiencia de las medidas adoptadas para reducir un déficit persistente y continuamente al alza del sistema eléctrico no suficientemente atajado con disposiciones anteriores.</w:t>
      </w:r>
    </w:p>
    <w:p w:rsidR="00163957" w:rsidRDefault="00163957" w:rsidP="00163957">
      <w:pPr>
        <w:pStyle w:val="TextoNormal"/>
      </w:pPr>
    </w:p>
    <w:p w:rsidR="00163957" w:rsidRDefault="00163957" w:rsidP="00163957">
      <w:pPr>
        <w:pStyle w:val="TextoNormal"/>
      </w:pPr>
      <w:r>
        <w:t>El preámbulo del Real Decreto-ley determina que su objeto es evitar la “sobre-retribución” de determinadas instalaciones de régimen especial, sin que los principios invocados por los recurrentes —seguridad jurídica y confianza legítima— puedan constituir un obstáculo insalvable para que el titular de la potestad legislativa pueda introducir medidas de carácter general que impliquen una alteración de determinados aspectos del régimen retributivo anterior. Estamos pues ante una norma clara, que no genera duda sobre sus efectos, los presupuestos de hecho a los que se aplica o sus consecuencias jurídicas, por lo que, ni desde una vertiente objetiva ni desde una subjetiva genera incertidumbre sobre su alcance. En una situación de crisis económica generalizada, modificaciones análogas a la presente han sido llevadas a cabo en éste y en otros sectores económicos, que, además, están sometidos a una intervención administrativa más intensa, dada su incidencia en los intereses generales, como lo es la actividad de producción de energía eléctrica. Ello hace particularmente inviable la pretensión de que los elementos más favorables de su régimen económico estén investidos de una pretensión de permanencia e inalterabilidad en el tiempo, pues es precisamente la protección de esos intereses generales la premisa que obliga a los poderes públicos a adaptar su regulación al cambio de las circunstancias.</w:t>
      </w:r>
    </w:p>
    <w:p w:rsidR="00163957" w:rsidRDefault="00163957" w:rsidP="00163957">
      <w:pPr>
        <w:pStyle w:val="TextoNormal"/>
      </w:pPr>
    </w:p>
    <w:p w:rsidR="00163957" w:rsidRDefault="00163957" w:rsidP="00163957">
      <w:pPr>
        <w:pStyle w:val="TextoNormal"/>
      </w:pPr>
      <w:r>
        <w:t>En palabras de este Tribunal, los principios de seguridad jurídica y confianza legítima no permiten consagrar un pretendido derecho a la congelación del ordenamiento jurídico existente (SSTC 182/1997, de 28 de octubre, FJ 13, y 183/2014, de 6 de noviembre, FJ 3) ni, evidentemente pueden impedir la introducción de modificaciones legislativas repentinas, máxime cuando lo hace el legislador de urgencia (STC 237/2012, de 13 de diciembre, FJ 6). En estos casos, es precisamente la perentoriedad de la reacción legislativa —cuya concurrencia en este caso ya ha sido examinada— la que abre la puerta a la injerencia del gobierno en la legislación vigente, al amparo del art. 86.1 CE (STC 81/2015, de 30 de abril, FJ 8). No sería coherente con el carácter dinámico del ordenamiento jurídico y con nuestra doctrina constante acerca de que la realización del principio de seguridad jurídica, aquí en su vertiente de protección de la confianza legítima, no puede dar lugar a la congelación o petrificación de ese mismo ordenamiento (por todas, STC 183/2014, FJ 3), por lo que no cabe sino concluir que la regulación impugnada se enmarca en el margen de configuración del legislador, que tiene plena libertad para elegir entre las distintas opciones posibles, dentro de la Constitución” [FJ 7 a)].</w:t>
      </w:r>
    </w:p>
    <w:p w:rsidR="00163957" w:rsidRDefault="00163957" w:rsidP="00163957">
      <w:pPr>
        <w:pStyle w:val="TextoNormal"/>
      </w:pPr>
    </w:p>
    <w:p w:rsidR="00163957" w:rsidRDefault="00163957" w:rsidP="00163957">
      <w:pPr>
        <w:pStyle w:val="TextoNormal"/>
      </w:pPr>
      <w:r>
        <w:t>En cuanto a la alegada infracción del principio de seguridad jurídica en su dimensión objetiva de certeza del derecho, motivado en que los preceptos impugnados recurren a la utilización de conceptos jurídicos abiertos e indeterminados, concretamente los de “empresa eficiente y bien gestionada, “rentabilidad razonable” y “estabilidad financiera”, que constituyen la premisa para la aplicación de la prevista retribución adicional por costes de inver</w:t>
      </w:r>
      <w:r>
        <w:lastRenderedPageBreak/>
        <w:t>sión, dicha queja tampoco resultaba atendible, pues, como también hemos señalado, la propia norma, “tanto en el art. 1.2, como en la disposición adicional primera, lleva a cabo una determinación objetiva de dichos conceptos, con arreglo a determinados parámetros, que expresamente se enumeran. El establecimiento de unos criterios legales explícitos y objetivos, que permiten una determinación material suficiente de los criterios utilizados por la norma, hacen que pueda excluirse en este caso la pretendida apelación a los llamados conceptos jurídicos indeterminados (lo que de suyo no es contrario a la Constitución, como ya afirmamos en la STC 292/2000, FJ 2), y que proceda estimar que se ha satisfecho el requisito de certidumbre de la norma que excluye su excesiva indeterminación o apertura, haciendo que sea factible a sus destinatarios conocer en cada caso la interpretación que el legislador hace de tales principios y el significado y las consecuencias que los mismos han de tener en la fase aplicativa, razones todas ellas que determinan que no se haya producido la vulneración del principio de interdicción de arbitrariedad, contemplado en el art. 9.3 CE” [FJ 7 b)].</w:t>
      </w:r>
    </w:p>
    <w:p w:rsidR="00163957" w:rsidRDefault="00163957" w:rsidP="00163957">
      <w:pPr>
        <w:pStyle w:val="TextoNormal"/>
      </w:pPr>
    </w:p>
    <w:p w:rsidR="00163957" w:rsidRDefault="00163957" w:rsidP="00163957">
      <w:pPr>
        <w:pStyle w:val="TextoNormal"/>
      </w:pPr>
      <w:r w:rsidRPr="00163957">
        <w:rPr>
          <w:rStyle w:val="NumeroAFNegritaCaracter"/>
        </w:rPr>
        <w:t>5</w:t>
      </w:r>
      <w:r>
        <w:t>. En tercer lugar, se alega por los recurrentes la infracción del principio general de irretroactividad de las disposiciones restrictivas de derechos individuales, contemplado en el art. 9.3 CE.</w:t>
      </w:r>
    </w:p>
    <w:p w:rsidR="00163957" w:rsidRDefault="00163957" w:rsidP="00163957">
      <w:pPr>
        <w:pStyle w:val="TextoNormal"/>
      </w:pPr>
    </w:p>
    <w:p w:rsidR="00163957" w:rsidRDefault="00163957" w:rsidP="00163957">
      <w:pPr>
        <w:pStyle w:val="TextoNormal"/>
      </w:pPr>
      <w:r>
        <w:t>También a este respecto, hemos tenido ocasión de señalar que el Real Decreto-ley 9/2013, viene a establecer un nuevo régimen retributivo para determinadas instalaciones de producción de energía eléctrica; deroga expresamente el Real Decreto 661/2007, de 25 de mayo, por el que se regula la actividad de producción de energía eléctrica en régimen especial, así como el Real Decreto 1578/2008, de 26 de septiembre, de retribución de la actividad de producción de energía eléctrica mediante tecnología solar fotovoltaica. Pero, el nuevo sistema retributivo, iniciado por el Real Decreto-ley 9/2013 y asumido por la Ley 24/2013, requiere el necesario desarrollo reglamentario para la aplicación efectiva de dicho régimen retributivo a cada una de las instalaciones de producción de energía eléctrica, y, para resolver la situación de vacío reglamentario provocado por la derogación de los anteriores reglamentos, la disposición transitoria tercera del mismo, dispone que temporalmente serán de aplicación los derogados Reales Decretos 661/2007 y1578/2008, con carácter transitorio, hasta la aprobación de las disposiciones necesarias para la plena aplicación del nuevo régimen retributivo.</w:t>
      </w:r>
    </w:p>
    <w:p w:rsidR="00163957" w:rsidRDefault="00163957" w:rsidP="00163957">
      <w:pPr>
        <w:pStyle w:val="TextoNormal"/>
      </w:pPr>
    </w:p>
    <w:p w:rsidR="00163957" w:rsidRDefault="00163957" w:rsidP="00163957">
      <w:pPr>
        <w:pStyle w:val="TextoNormal"/>
      </w:pPr>
      <w:r>
        <w:t xml:space="preserve">El desarrollo reglamentario de este nuevo régimen retributivo, previsto en la disposición final segunda del Real Decreto-ley 9/2013 y reiterado en la disposición final tercera de la Ley 24/2013, de 26 de diciembre, del sector eléctrico, se ha llevado a cabo a través del Real Decreto 413/2014, de 6 de junio, por el que se regula la actividad de producción de energía eléctrica a partir de fuentes de energía renovables, cogeneración y residuos, y con ello ha cesado la aplicación del régimen transitorio previsto en la disposición transitoria tercera. Como ya afirmamos en las SSTC 96/2014, FJ 3 c) y 183/2014, FJ 2, “lo sucedido durante estos meses es que las instalaciones existentes han recibido los pagos procedentes de ´liquidaciones a cuenta´ del nuevo sistema, emitidas al amparo de ese régimen transitorio. Este fue previsto al objeto de mantener los flujos retributivos de las instalaciones, evitando los perjuicios que hubiera causado la demora en el desarrollo reglamentario. Una vez aprobadas las disposiciones normativas necesarias para la aplicación definitiva del nuevo régimen retributivo, se procederá a practicar una regularización correspondiente por los derechos de cobro o en su caso las obligaciones de pago resultantes de la aplicación del vigente sistema </w:t>
      </w:r>
      <w:r>
        <w:lastRenderedPageBreak/>
        <w:t>retributivo, con efectos desde la entrada en vigor del Real Decreto-ley 9/2013, de 12 de julio, tal y como establece su disposición final segunda”.</w:t>
      </w:r>
    </w:p>
    <w:p w:rsidR="00163957" w:rsidRDefault="00163957" w:rsidP="00163957">
      <w:pPr>
        <w:pStyle w:val="TextoNormal"/>
      </w:pPr>
    </w:p>
    <w:p w:rsidR="00163957" w:rsidRDefault="00163957" w:rsidP="00163957">
      <w:pPr>
        <w:pStyle w:val="TextoNormal"/>
      </w:pPr>
      <w:r>
        <w:t>En definitiva, el Real Decreto-ley 9/2013 entró en vigor al día siguiente de su publicación en el “Boletín Oficial del Estado” (tal y como establece su disposición final décima), pero sus efectos, en lo relativo a las liquidaciones derivadas del nuevo régimen retributivo, se aplican a partir de la publicación del Real Decreto 413/2014, produciéndose una disociación temporal entre la vigencia inmediata de la norma y el ámbito temporal de eficacia, que tiene un efecto retroactivo.</w:t>
      </w:r>
    </w:p>
    <w:p w:rsidR="00163957" w:rsidRDefault="00163957" w:rsidP="00163957">
      <w:pPr>
        <w:pStyle w:val="TextoNormal"/>
      </w:pPr>
    </w:p>
    <w:p w:rsidR="00163957" w:rsidRDefault="00163957" w:rsidP="00163957">
      <w:pPr>
        <w:pStyle w:val="TextoNormal"/>
      </w:pPr>
      <w:r>
        <w:t>Procede recordar a este respecto que “el límite expreso de la retroactividad in peius de las leyes que el art. 9.3 CE garantiza, se circunscribe a las leyes ex post facto sancionadoras o restrictivas de derechos individuales. Fuera de estos dos ámbitos, nada impide al legislador dotar a la ley del grado de retroactividad que considere oportuno, ya que de lo contrario se podrían producir situaciones de congelación o petrificación del ordenamiento jurídico (STC 49/2015, de 5 de marzo, FJ 4). Como ya señalábamos desde nuestros primeros pronunciamientos (SSTC 42/1986, de 10 de abril, FJ 3, y 65/1987, de 21 de mayo, FJ 19), lo que se prohíbe en ese art. 9.3 CE es la retroactividad entendida como incidencia de la nueva ley en los efectos jurídicos ya producidos de situaciones anteriores. La irretroactividad sólo es aplicable a los derechos consolidados, asumidos e integrados en el patrimonio del sujeto y no a los pendientes, futuros, condicionados y expectativas [por todas, SSTC 99/1987, de 11 de junio, FJ 6 b), y 178/1989, de 2 de noviembre, FJ 9], de forma que sólo puede afirmarse que una norma es retroactiva a los efectos del art. 9.3 CE cuando incide sobre relaciones consagradas y afecta a situaciones agotadas [STC 99/1987, FJ 6 b)], supuesto en el que la prohibición de retroactividad operaría plenamente y solo exigencias cualificadas del bien común podrían imponerse excepcionalmente a tal principio. Por el contrario, en el caso de la retroactividad impropia, que incide en situaciones no concluidas, hay que reconocer al legislador un amplio margen de libertad, de suerte que no entran dentro del ámbito de la retroactividad prohibida las disposiciones que, carentes de efectos ablativos o peyorativos hacia el pasado, despliegan su eficacia inmediata hacia el futuro aunque ello suponga incidir en una relación o situación jurídica aún en curso.</w:t>
      </w:r>
    </w:p>
    <w:p w:rsidR="00163957" w:rsidRDefault="00163957" w:rsidP="00163957">
      <w:pPr>
        <w:pStyle w:val="TextoNormal"/>
      </w:pPr>
    </w:p>
    <w:p w:rsidR="00163957" w:rsidRDefault="00163957" w:rsidP="00163957">
      <w:pPr>
        <w:pStyle w:val="TextoNormal"/>
      </w:pPr>
      <w:r>
        <w:t>En suma, conforme a la doctrina de este Tribunal, el art. 9.3 CE no contiene una prohibición absoluta de retroactividad que conduciría a situaciones congeladoras del ordenamiento contrarias al art. 9.3 CE (STC 126/1987, de 16 de julio, FJ 11), ni impide que las leyes puedan afectar a derechos e intereses derivados de situaciones jurídicas que siguen produciendo efectos, pues no hay retroactividad proscrita cuando una norma regula pro futuro situaciones jurídicas creadas con anterioridad a su entrada en vigor o cuyos efectos no se han consumado, ya que el legislador puede variar ex nunc el régimen jurídico preexistente de los derechos individuales, siempre que se ajuste a las restantes exigencias de la Constitución (STC 227/1988, de 29 de noviembre, FJ 9).</w:t>
      </w:r>
    </w:p>
    <w:p w:rsidR="00163957" w:rsidRDefault="00163957" w:rsidP="00163957">
      <w:pPr>
        <w:pStyle w:val="TextoNormal"/>
      </w:pPr>
    </w:p>
    <w:p w:rsidR="00163957" w:rsidRDefault="00163957" w:rsidP="00163957">
      <w:pPr>
        <w:pStyle w:val="TextoNormal"/>
      </w:pPr>
      <w:r>
        <w:t xml:space="preserve">El Real Decreto-ley 9/2013 tiene una vigencia inmediata y produce efectos a partir de su entrada en vigor. Los titulares de las instalaciones de producción de energía eléctrica en régimen primado están sujetos a ese nuevo régimen retributivo desde la fecha de entrada en vigor del Real Decreto-ley 9/2013, sin perjuicio de que la cuantificación precisa de dicha retribución no se produzca hasta la aprobación de la norma reglamentaria correspondiente, y sin que dicha sujeción conlleve una afectación desfavorable a los derechos adquiridos, </w:t>
      </w:r>
      <w:r>
        <w:lastRenderedPageBreak/>
        <w:t>desde una perspectiva constitucional, esto es, no incide en derechos patrimoniales previamente consolidados e incorporados definitivamente al patrimonio del destinatario, o en situaciones jurídicas ya agotadas o consumadas.</w:t>
      </w:r>
    </w:p>
    <w:p w:rsidR="00163957" w:rsidRDefault="00163957" w:rsidP="00163957">
      <w:pPr>
        <w:pStyle w:val="TextoNormal"/>
      </w:pPr>
    </w:p>
    <w:p w:rsidR="00163957" w:rsidRDefault="00163957" w:rsidP="00163957">
      <w:pPr>
        <w:pStyle w:val="TextoNormal"/>
      </w:pPr>
      <w:r>
        <w:t>De este modo una medida normativa como la impugnada no entra en el ámbito de la retroactividad prohibida por el art. 9.3 CE, pues nos hallamos ante relaciones jurídicas no concluidas, cuya resistencia a la retroactividad de la ley es menor que en los supuestos de retroactividad auténtica, debiendo reconocérsele al legislador un amplio margen de libertad en la constatación de la concurrencia de circunstancias concretas y razones que pudieran ser discutibles en el debate político, pero que, desde el punto de vista constitucional, aparecen como suficientes para justificar la retroactividad impropia ante la que nos encontramos.</w:t>
      </w:r>
    </w:p>
    <w:p w:rsidR="00163957" w:rsidRDefault="00163957" w:rsidP="00163957">
      <w:pPr>
        <w:pStyle w:val="TextoNormal"/>
      </w:pPr>
    </w:p>
    <w:p w:rsidR="00163957" w:rsidRDefault="00163957" w:rsidP="00163957">
      <w:pPr>
        <w:pStyle w:val="TextoNormal"/>
      </w:pPr>
      <w:r>
        <w:t>No estamos, en suma, ante una norma sancionadora o restrictiva de derechos, ni ante una regulación que afecte a una situación “agotada”, consolidada, perfeccionada o patrimonializada —en los términos utilizados por nuestra jurisprudencia— que haya sido revertida in peius con efecto retroactivo, por lo que no concurre un supuesto de retroactividad constitucionalmente prohibida, y, en consecuencia, no se produce una vulneración del art. 9.3 CE” [STC 270/2015, FJ 7 c)].</w:t>
      </w:r>
    </w:p>
    <w:p w:rsidR="00163957" w:rsidRDefault="00163957" w:rsidP="00163957">
      <w:pPr>
        <w:pStyle w:val="TextoNormal"/>
      </w:pPr>
    </w:p>
    <w:p w:rsidR="00163957" w:rsidRDefault="00163957" w:rsidP="00163957">
      <w:pPr>
        <w:pStyle w:val="TextoNormal"/>
      </w:pPr>
      <w:r>
        <w:t>En este mismo contexto, debe rechazarse también la pretendida contravención de lo dispuesto en los arts. 10 y 13 del Tratado sobre la carta de la energía, pues, como también hemos tenido ocasión de señalar (STC 270/2015, FJ 6), “este Tribunal ha declarado reiteradamente que los tratados internacionales no constituyen por sí mismos parámetro de contraste para valorar la posible inconstitucionalidad de las leyes, pues la supuesta contradicción de los tratados por las leyes o por otras disposiciones normativas posteriores no es cuestión que afecte a la constitucionalidad de éstas y que, por tanto, deba ser resuelto por el Tribunal Constitucional (STC 49/1988, fundamento jurídico 14, in fine), sino que, como puro problema de selección del derecho aplicable al caso concreto, su resolución corresponde a los órganos judiciales en los litigios de que conozcan (STC 28/1991, de 14 de febrero, FJ 5, y 207/2013, de 5 de diciembre, FJ 4). En suma, no corresponde a este Tribunal determinar la compatibilidad o no de un precepto legal con un tratado internacional, ni éstos pueden erigirse en normas fundamentales y criterios de constitucionalidad (STC 142/1993, de 22 de abril, FJ 3)”.</w:t>
      </w:r>
    </w:p>
    <w:p w:rsidR="00163957" w:rsidRDefault="00163957" w:rsidP="00163957">
      <w:pPr>
        <w:pStyle w:val="TextoNormal"/>
      </w:pPr>
    </w:p>
    <w:p w:rsidR="00163957" w:rsidRDefault="00163957" w:rsidP="00163957">
      <w:pPr>
        <w:pStyle w:val="TextoNormal"/>
      </w:pPr>
      <w:r w:rsidRPr="00163957">
        <w:rPr>
          <w:rStyle w:val="NumeroAFNegritaCaracter"/>
        </w:rPr>
        <w:t>6</w:t>
      </w:r>
      <w:r>
        <w:t>. Finalmente, y en lo que respecta a la vulneración del principio de interdicción de arbitrariedad de los poderes públicos, contemplado también en el art. 9.3 CE, la demanda considera que la regulación recogida en los preceptos impugnados discrimina negativamente la producción eléctrica mediante fuentes renovables, residuos y cogeneración, en relación con otras fuentes de producción de energía eléctrica, haciendo recaer sobre ella el peso de la reducción o eliminación del déficit del sistema eléctrico; recurre de forma abusiva a conceptos jurídicos indeterminados; y desconoce la necesaria proporcionalidad de los intereses en presencia, al imponer retroactivamente un sacrificio económico que no garantiza la rentabilidad de sus inversiones.</w:t>
      </w:r>
    </w:p>
    <w:p w:rsidR="00163957" w:rsidRDefault="00163957" w:rsidP="00163957">
      <w:pPr>
        <w:pStyle w:val="TextoNormal"/>
      </w:pPr>
    </w:p>
    <w:p w:rsidR="00163957" w:rsidRDefault="00163957" w:rsidP="00163957">
      <w:pPr>
        <w:pStyle w:val="TextoNormal"/>
      </w:pPr>
      <w:r>
        <w:t xml:space="preserve">En relación con dicha vulneración, procede recordar que este Tribunal viene afirmando que cuando se trata el enjuiciamiento de una norma legal desde la perspectiva que proporciona la interdicción de arbitrariedad consagrada en el art. 9.3 CE, “el análisis se ha de </w:t>
      </w:r>
      <w:r>
        <w:lastRenderedPageBreak/>
        <w:t>centrar en verificar si tal precepto establece una discriminación, pues la discriminación entraña siempre una arbitrariedad, o bien si, aun no estableciéndola, carece de toda justificación, lo que también evidentemente supondría una arbitrariedad, sin que sea pertinente una análisis a fondo de todas las motivaciones posibles de la norma y de todas sus eventuales consecuencias (entre otras muchas, STC 104/2000, de 13 de abril, FJ 8 y 148/2012, de 5 de julio, FJ 15)” (STC 237/2012, de 13 de diciembre, FJ 9). Procede en consecuencia examinar si los argumentos que se esgrimen por los recurrentes justifican, en este caso, el supuesto carácter arbitrario de la regulación recurrida.</w:t>
      </w:r>
    </w:p>
    <w:p w:rsidR="00163957" w:rsidRDefault="00163957" w:rsidP="00163957">
      <w:pPr>
        <w:pStyle w:val="TextoNormal"/>
      </w:pPr>
    </w:p>
    <w:p w:rsidR="00163957" w:rsidRDefault="00163957" w:rsidP="00163957">
      <w:pPr>
        <w:pStyle w:val="TextoNormal"/>
      </w:pPr>
      <w:r>
        <w:t>En primer término, el recurrente se limita a enunciar la existencia de una supuesta discriminación negativa de la producción eléctrica mediante fuentes renovables, residuos y cogeneración, en relación con las otras fuentes de producción de energía eléctrica; pero dicha afirmación no va acompañada de argumentación alguna sobre el fondo de la cuestión, esto es, no se incluye justificación alguna que permita sustentar en qué medida o con qué alcance se ha producido una diferencia de tratamiento que sustente la citada discriminación negativa y permita su enjuiciamiento en sede constitucional. No se ha levantado pues la carga alegatoria que pesa sobre quien pretende la declaración de inconstitucionalidad de una norma con rango de ley, pues el recurso carece en este punto de una mínima fundamentación que permita a este Tribunal inferir las razones por las que se entiende producida la citada infracción constitucional.</w:t>
      </w:r>
    </w:p>
    <w:p w:rsidR="00163957" w:rsidRDefault="00163957" w:rsidP="00163957">
      <w:pPr>
        <w:pStyle w:val="TextoNormal"/>
      </w:pPr>
    </w:p>
    <w:p w:rsidR="00163957" w:rsidRDefault="00163957" w:rsidP="00163957">
      <w:pPr>
        <w:pStyle w:val="TextoNormal"/>
      </w:pPr>
      <w:r>
        <w:t>Como se ha expuesto a lo largo del texto, la modificación del régimen jurídico de las energías renovables no constituye una medida aislada sino que se integra en un conjunto sistemático de decisiones legislativas adoptadas con carácter urgente, que han ido dirigidas a garantizar la estabilidad financiera del sistema eléctrico en su conjunto. La importancia del sector energético para el desarrollo de la actividad económica general, ha determinado la introducción de reformas sucesiva dirigidas a mejorar el funcionamiento de los distintos subsectores que lo integran, subordinadas a las circunstancias derivadas de la coyuntura económica y que, han sido adoptadas en la mayoría de los casos a través de decisiones legislativas provisionales, como las contenidas en un decreto-ley, al igual que sucede en el presente caso. No resulta posible deducir las razones que sustenten la supuesta existencia de una discriminación negativa de este tipo de energía, pues cada una de las tecnologías presenta sus propios rasgos tecnológicos y económicos, que han justificado tratamientos diferenciados y no necesariamente homogéneos, sin que pueda pretenderse una exigencia o imposición de homogeneización absoluta en el tratamiento de las tarifas u otros elementos retributivos regulados, ni los períodos de percepción de todos ellos, pues las diferentes tecnologías están cada una de ellas sujetas a su propias peculiaridades en materia retributiva.</w:t>
      </w:r>
    </w:p>
    <w:p w:rsidR="00163957" w:rsidRDefault="00163957" w:rsidP="00163957">
      <w:pPr>
        <w:pStyle w:val="TextoNormal"/>
      </w:pPr>
    </w:p>
    <w:p w:rsidR="00163957" w:rsidRDefault="00163957" w:rsidP="00163957">
      <w:pPr>
        <w:pStyle w:val="TextoNormal"/>
      </w:pPr>
      <w:r>
        <w:t>En segundo lugar, el argumento de una arbitrariedad justificada en el recurso a conceptos jurídicos indeterminados, ya ha sido rechazado por las razones que se exponen en el fundamento jurídico 4 de esta resolución, al que procede remitirse en este punto.</w:t>
      </w:r>
    </w:p>
    <w:p w:rsidR="00163957" w:rsidRDefault="00163957" w:rsidP="00163957">
      <w:pPr>
        <w:pStyle w:val="TextoNormal"/>
      </w:pPr>
    </w:p>
    <w:p w:rsidR="00163957" w:rsidRDefault="00163957" w:rsidP="00163957">
      <w:pPr>
        <w:pStyle w:val="TextoNormal"/>
      </w:pPr>
      <w:r>
        <w:t xml:space="preserve">Y, finalmente, tampoco resulta admisible la apelación al principio general de proporcionalidad en la ponderación de los intereses en presencia, puesto que como extensamente se justifica en la exposición de motivos del Real Decreto-ley 9/2013, la modificación del régimen retributivo de esta modalidad de producción de energía obedece a una motivación justificada y cierta, que permite deducir con claridad cuáles han sido los factores determinantes de la reforma introducida, factores todos ellos que se basan en un criterio de interés general, </w:t>
      </w:r>
      <w:r>
        <w:lastRenderedPageBreak/>
        <w:t>concretado en la sostenibilidad del régimen económico del sector eléctrico, incluso en el caso de que ello se lleve a cabo con el objetivo de evitar ad futurum los efectos negativos de decisiones iniciales que se hubieran revelado inadecuadas o insuficientes. En otras palabras, la modificación operada trae causa de la necesidad de satisfacer intereses públicos generales, concretados en la necesidad de reducción de un déficit público que había devenido en estructural y la adecuación del marco regulatorio a la eventualidades del sector y las variaciones que puedan darse en los datos económicos; la concurrencia de modificaciones tecnológicas o de cambios significativos del panorama económico con consecuencias inmediatas, justifican la revisión de los parámetros iniciales determinantes del cálculo de la tarifa regulada, sin que ello pueda ser calificado de arbitrario.</w:t>
      </w:r>
    </w:p>
    <w:p w:rsidR="00163957" w:rsidRDefault="00163957" w:rsidP="00163957">
      <w:pPr>
        <w:pStyle w:val="TextoNormal"/>
      </w:pPr>
    </w:p>
    <w:p w:rsidR="00163957" w:rsidRDefault="00163957" w:rsidP="00163957">
      <w:pPr>
        <w:pStyle w:val="TextoNormal"/>
      </w:pPr>
      <w:r>
        <w:t>Procede, en consecuencia, rechazar el recurso en este punto.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presente recurso de inconstitucionalidad.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dieciocho de febrero de dos mil dieciséis.</w:t>
      </w:r>
    </w:p>
    <w:p w:rsidR="00163957" w:rsidRDefault="00163957" w:rsidP="00163957">
      <w:pPr>
        <w:pStyle w:val="ParrafoNormal"/>
      </w:pPr>
    </w:p>
    <w:p w:rsidR="00163957" w:rsidRDefault="00163957" w:rsidP="00163957">
      <w:pPr>
        <w:pStyle w:val="TextoNormalNegritaCentrado"/>
        <w:keepNext/>
      </w:pPr>
      <w:r>
        <w:t>Voto particular concurrente que formula el Magistrado don Juan Antonio Xiol Ríos respecto de la Sentencia dictada en el recurso de inconstitucionalidad núm. 5852-2013, al que se adhieren la Magistrada doña Adela Asua Batarrita y el Magistrado don Fernando Valdés Dal-Ré.</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en la que se sustenta la Sentencia, manifiesto mi discrepancia con su fundamentación jurídica, aunque no con el fallo, referida a la invocación de los principios de seguridad jurídica y confianza legítima analizada en el fundamento jurídico 4, respecto de la modificación del régimen de incentivos a las energías renovables.</w:t>
      </w:r>
    </w:p>
    <w:p w:rsidR="00163957" w:rsidRDefault="00163957" w:rsidP="00163957">
      <w:pPr>
        <w:pStyle w:val="TextoNormal"/>
      </w:pPr>
    </w:p>
    <w:p w:rsidR="00163957" w:rsidRDefault="00163957" w:rsidP="00163957">
      <w:pPr>
        <w:pStyle w:val="TextoNormal"/>
      </w:pPr>
      <w:r>
        <w:t xml:space="preserve">La razón de mi discrepancia es coincidente con la que ya fue expuesta en el Voto particular concurrente a la STC 270/2015, de 17 de diciembre, al que para evitar reiteraciones innecesarias me remito. </w:t>
      </w:r>
    </w:p>
    <w:p w:rsidR="00163957" w:rsidRDefault="00163957" w:rsidP="00163957">
      <w:pPr>
        <w:pStyle w:val="TextoNormal"/>
      </w:pPr>
    </w:p>
    <w:p w:rsidR="00163957" w:rsidRDefault="00163957" w:rsidP="00163957">
      <w:pPr>
        <w:pStyle w:val="TextoNormal"/>
      </w:pPr>
      <w:r>
        <w:t>Madrid, a dieciocho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33" w:name="SENTENCIA_2016_30"/>
      <w:r>
        <w:lastRenderedPageBreak/>
        <w:t>SENTENCIA 30/2016, de 18 de febrero de 2016</w:t>
      </w:r>
    </w:p>
    <w:bookmarkEnd w:id="33"/>
    <w:p w:rsidR="00163957" w:rsidRDefault="00163957" w:rsidP="00163957">
      <w:pPr>
        <w:pStyle w:val="TtuloResolucin"/>
      </w:pPr>
      <w:r>
        <w:t>Pleno</w:t>
      </w:r>
    </w:p>
    <w:p w:rsidR="00163957" w:rsidRDefault="00163957" w:rsidP="00163957">
      <w:pPr>
        <w:pStyle w:val="TtuloBOE"/>
      </w:pPr>
      <w:r>
        <w:t>(BOE núm. 71, de 23 de marzo de 2016)</w:t>
      </w:r>
    </w:p>
    <w:p w:rsidR="00163957" w:rsidRDefault="00163957" w:rsidP="00163957">
      <w:pPr>
        <w:pStyle w:val="TextoNormalCentrado"/>
      </w:pPr>
      <w:r>
        <w:t>ECLI:ES:TC:2016:30</w:t>
      </w:r>
    </w:p>
    <w:p w:rsidR="00163957" w:rsidRDefault="00163957" w:rsidP="00163957">
      <w:pPr>
        <w:pStyle w:val="TextoNormalCentrado"/>
      </w:pPr>
    </w:p>
    <w:p w:rsidR="00163957" w:rsidRDefault="00163957" w:rsidP="00163957">
      <w:pPr>
        <w:pStyle w:val="SntesisDescriptiva"/>
      </w:pPr>
      <w:r>
        <w:t>Recurso de inconstitucionalidad 6031-2013. Interpuesto por más de cincuenta diputados del Grupo Parlamentario Socialista del Congreso de los Diputados en relación con diversos preceptos del Real Decreto-ley 9/2013, de 12 de julio, por el que se adoptan medidas urgentes para garantizar la estabilidad financiera del sistema eléctrico.</w:t>
      </w:r>
    </w:p>
    <w:p w:rsidR="00163957" w:rsidRDefault="00163957" w:rsidP="00163957">
      <w:pPr>
        <w:pStyle w:val="SntesisDescriptiva"/>
      </w:pPr>
    </w:p>
    <w:p w:rsidR="00163957" w:rsidRDefault="00163957" w:rsidP="00163957">
      <w:pPr>
        <w:pStyle w:val="SntesisAnaltica"/>
      </w:pPr>
      <w:r>
        <w:t>Límites de los decretos-leyes, principios de seguridad jurídica e irretroactividad: acreditación de la concurrencia del presupuesto habilitante; constitucionalidad de los preceptos legales que establecen un nuevo régimen retributivo para los titulares de las instalaciones de producción de energía eléctrica en régimen primado (STC 270/2015). Voto particular.</w:t>
      </w:r>
    </w:p>
    <w:p w:rsidR="00163957" w:rsidRDefault="00163957" w:rsidP="00163957">
      <w:pPr>
        <w:pStyle w:val="SntesisAnaltica"/>
      </w:pPr>
    </w:p>
    <w:p w:rsidR="00163957" w:rsidRDefault="00163957" w:rsidP="00163957">
      <w:pPr>
        <w:pStyle w:val="Extracto"/>
      </w:pPr>
      <w:r>
        <w:t>1.</w:t>
      </w:r>
      <w:r>
        <w:tab/>
        <w:t>Asunto sustancialmente idéntico por la STC 270/2015 [FFJJ 2 a 5].</w:t>
      </w:r>
    </w:p>
    <w:p w:rsidR="00163957" w:rsidRDefault="00163957" w:rsidP="00163957">
      <w:pPr>
        <w:pStyle w:val="Extracto"/>
      </w:pPr>
    </w:p>
    <w:p w:rsidR="00163957" w:rsidRDefault="00163957" w:rsidP="00163957">
      <w:pPr>
        <w:pStyle w:val="Extracto"/>
      </w:pPr>
      <w:r>
        <w:t>2.</w:t>
      </w:r>
      <w:r>
        <w:tab/>
        <w:t>La modificación del régimen retributivo de esta modalidad de producción de energía obedece a una motivación justificada y cierta: la garantía de la sostenibilidad del régimen económico del sector eléctrico, mediante la revisión de los parámetros iniciales determinantes del cálculo de la tarifa regulada, sin que ello pueda ser calificado de arbitrario ni haya dado lugar a desigualdades entre las empresas del sector [FJ 6].</w:t>
      </w:r>
    </w:p>
    <w:p w:rsidR="00163957" w:rsidRDefault="00163957" w:rsidP="00163957">
      <w:pPr>
        <w:pStyle w:val="Extracto"/>
      </w:pPr>
    </w:p>
    <w:p w:rsidR="00163957" w:rsidRDefault="00163957" w:rsidP="00163957">
      <w:pPr>
        <w:pStyle w:val="Extracto"/>
      </w:pPr>
      <w:r>
        <w:t>3.</w:t>
      </w:r>
      <w:r>
        <w:tab/>
        <w:t>Los preceptos impugnados no vulneran el principio de reserva de ley formal, pues la regulación del nuevo régimen retributivo aplicable a estas instalaciones, se contiene en una norma con rango formal de ley -el Real Decreto-ley 9/2013-, sin que quepa afirmar una remisión en bloque  a la normativa reglamentaria, dado que la norma impugnada contiene una determinación precisa del nuevo régimen retributivo, mediante el establecimiento de criterios explícitos y los elementos normativos esenciales de la reforma están prefijados en la redacción dada por la Ley 54/1997 [FJ 6].</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el recurso de inconstitucionalidad núm. 6031-2013 interpuesto por ciento diez Diputados del Grupo Parlamentario Socialista del Congreso de los Diputados, contra el artículo 1, apartados dos y tres; disposición adicional primera; disposición transitoria tercera; disposición derogatoria única, apartado 2; y disposición final segunda del Real Decreto-ley 9/2013, de 12 de julio, por el que se adoptan medidas urgentes para garantizar la estabilidad financiera del sistema eléctrico. Ha comparecido y formulado alegaciones el Abogado del Estado. Ha sido Ponente el Magistrado D. Santiago Martínez-Vares García,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día 14 de octubre de 2013 tuvo entrada en el Registro General de este Tribunal Constitucional, escrito presentado por la Procuradora de los Tribunales doña Virginia Aragón Segura, actuando como comisionada de ciento diez diputados integrantes del Grupo Parlamentario Socialista en el Congreso de los Diputados, por el que se interpone recurso de inconstitucionalidad contra el art. 1, apartados 2 y 3; disposición adicional primera; disposición transitoria tercera; disposición derogatoria única, apartado 2; y disposición final segunda del Real Decreto-ley 9/2013, de 12 de julio, por el que se adoptan medidas urgentes para garantizar la estabilidad financiera del sistema eléctrico. La impugnación se fundamenta en los motivos que se resumen a continuación.</w:t>
      </w:r>
    </w:p>
    <w:p w:rsidR="00163957" w:rsidRDefault="00163957" w:rsidP="00163957">
      <w:pPr>
        <w:pStyle w:val="TextoNormal"/>
      </w:pPr>
    </w:p>
    <w:p w:rsidR="00163957" w:rsidRDefault="00163957" w:rsidP="00163957">
      <w:pPr>
        <w:pStyle w:val="TextoNormal"/>
      </w:pPr>
      <w:r>
        <w:t>a) La previsión de aplicación retroactiva del nuevo régimen retributivo de la actividad de producción de energía eléctrica a partir de fuentes de energía renovables, previsto en el Real Decreto-ley 9/2013, a las instalaciones que a la entrada en vigor de aquél tenían derecho a un régimen económico primado, vulnera el principio constitucional de seguridad jurídica (art. 9.3 CE).</w:t>
      </w:r>
    </w:p>
    <w:p w:rsidR="00163957" w:rsidRDefault="00163957" w:rsidP="00163957">
      <w:pPr>
        <w:pStyle w:val="TextoNormal"/>
      </w:pPr>
    </w:p>
    <w:p w:rsidR="00163957" w:rsidRDefault="00163957" w:rsidP="00163957">
      <w:pPr>
        <w:pStyle w:val="TextoNormal"/>
      </w:pPr>
      <w:r>
        <w:t xml:space="preserve">Según el escrito de demanda, este nuevo régimen retributivo lleva aparejada una retroactividad impropia, lesiva para los derechos de los titulares de las instalaciones existentes de régimen especial, toda vez que implica una modificación </w:t>
      </w:r>
      <w:r w:rsidRPr="00163957">
        <w:rPr>
          <w:i/>
        </w:rPr>
        <w:t>in peius</w:t>
      </w:r>
      <w:r>
        <w:t xml:space="preserve"> del régimen hasta ahora vigente. El preámbulo del Real Decreto-ley afirma que el nuevo régimen retributivo persigue expresamente reducir de modo sustancial el coste que para el sistema eléctrico supone en la actualidad el régimen económico primado de estas instalaciones, y la disposición transitoria tercera contempla expresamente que la aplicación del nuevo régimen retributivo a la energía producida por las instalaciones existentes de régimen especial, desde la entrada en vigor del mismo hasta la entrada en vigor de las disposiciones necesarias para la plena aplicación del nuevo régimen retributivo, hará necesaria una regularización de los pagos a cuenta percibidos en aplicación transitoria del régimen retributivo anterior, regularización que podrá implicar obligaciones de pago, es decir, la obligación de devolver al sistema primas percibidas a cuenta por energía producida con posterioridad a la entrada en vigor del Real Decreto-ley.</w:t>
      </w:r>
    </w:p>
    <w:p w:rsidR="00163957" w:rsidRDefault="00163957" w:rsidP="00163957">
      <w:pPr>
        <w:pStyle w:val="TextoNormal"/>
      </w:pPr>
    </w:p>
    <w:p w:rsidR="00163957" w:rsidRDefault="00163957" w:rsidP="00163957">
      <w:pPr>
        <w:pStyle w:val="TextoNormal"/>
      </w:pPr>
      <w:r>
        <w:t xml:space="preserve">Siendo cierto, como ha puesto de manifiesto la jurisprudencia constitucional, que la retroactividad impropia </w:t>
      </w:r>
      <w:r w:rsidRPr="00163957">
        <w:rPr>
          <w:i/>
        </w:rPr>
        <w:t>in peius</w:t>
      </w:r>
      <w:r>
        <w:t xml:space="preserve"> no conculca </w:t>
      </w:r>
      <w:r w:rsidRPr="00163957">
        <w:rPr>
          <w:i/>
        </w:rPr>
        <w:t>per se</w:t>
      </w:r>
      <w:r>
        <w:t xml:space="preserve"> el principio constitucional de seguridad jurídica (art. 9.3 CE), no lo es menos que tal retroactividad tampoco resulta siempre y en </w:t>
      </w:r>
      <w:r>
        <w:lastRenderedPageBreak/>
        <w:t>todo caso conforme con dicho principio, pues según las circunstancias concurrentes en cada caso, la retroactividad impropia puede vulnerar el principio de seguridad jurídica, y ello dependerá de la ponderación de bienes llevada a cabo en cada caso. Partiendo de ello, considera el recurrente que existen diferencias notorias entre los casos de anteriores modificaciones del régimen retributivo de la producción de energía eléctrica en régimen especial, conocidas y avaladas por la Sala Tercera del Tribunal Supremo (entre otras, SSTS de 25 de octubre de 2006, 9 de octubre de 2007, 20 de marzo de 2007, 9 de diciembre de 2009, o 12 de abril de 2012) y el cambio radical que supone la sustitución del régimen económico primado de la producción de energía eléctrica en régimen especial por el nuevo régimen retributivo de la actividad de generación a partir de fuentes de energía renovables previsto en el Real Decreto-ley 9/2013.</w:t>
      </w:r>
    </w:p>
    <w:p w:rsidR="00163957" w:rsidRDefault="00163957" w:rsidP="00163957">
      <w:pPr>
        <w:pStyle w:val="TextoNormal"/>
      </w:pPr>
    </w:p>
    <w:p w:rsidR="00163957" w:rsidRDefault="00163957" w:rsidP="00163957">
      <w:pPr>
        <w:pStyle w:val="TextoNormal"/>
      </w:pPr>
      <w:r>
        <w:t xml:space="preserve">Considera pues el recurrente que en los casos anteriores, los cambios regulatorios dotados de retroactividad impropia se limitaban a introducir ajustes que no suponían una transformación integral del sistema, en tanto que el actual no se limita a una modificación del régimen económico que regula la percepción de las primas, sino que entraña la sustitución integral del mismo por un nuevo sistema retributivo radicalmente distinto cuya retroactividad impropia debe ser enjuiciada </w:t>
      </w:r>
      <w:r w:rsidRPr="00163957">
        <w:rPr>
          <w:i/>
        </w:rPr>
        <w:t>ex novo</w:t>
      </w:r>
      <w:r>
        <w:t xml:space="preserve"> con arreglo al canon de constitucionalidad que, de acuerdo con la jurisprudencia constitucional, se deriva del art. 9.3 de la Constitución. En el presente caso, un cambio normativo de semejante calado y alcance, y con un impacto tan lesivo, no era razonablemente previsible para los titulares de las instalaciones existentes de régimen especial, por lo que, de acuerdo con la jurisprudencia constitucional (STC 234/2001) se quiebra la confianza legítima de los mismos (y, por ende, se conculca el principio constitucional de seguridad jurídica) si se dota a dicho cambio regulatorio de retroactividad impropia. Y esto es así tanto más cuanto que los efectos lesivos que conlleva la retroactividad impropia que se confiere al nuevo sistema retributivo carecen en la norma de cualquier elemento de atemperación mediante un régimen transitorio o algún género de mecanismo compensatorio, dado que el nuevo régimen retributivo se aplica a los titulares de las instalaciones existentes desde la misma fecha de entrada en vigor del Real Decreto-ley.</w:t>
      </w:r>
    </w:p>
    <w:p w:rsidR="00163957" w:rsidRDefault="00163957" w:rsidP="00163957">
      <w:pPr>
        <w:pStyle w:val="TextoNormal"/>
      </w:pPr>
    </w:p>
    <w:p w:rsidR="00163957" w:rsidRDefault="00163957" w:rsidP="00163957">
      <w:pPr>
        <w:pStyle w:val="TextoNormal"/>
      </w:pPr>
      <w:r>
        <w:t>Se afirma también que la disposición transitoria tercera admite expresamente la hipótesis de que haya instalaciones que se vean obligadas a devolver primas liquidadas a cuenta, correspondientes a la energía producida desde la fecha de entrada en vigor del Real Decreto-ley, sin que los titulares de dichas instalaciones dispongan de parámetro o elemento de juicio alguno que les permita saber de antemano si esa hipótesis puede llegar a concurrir en su caso. Con otras palabras, la disposición transitoria tercera del Real Decreto-ley no satisface las exigencias que el principio constitucional de seguridad jurídica impone a un régimen transitorio, como elemento de amortiguación o atemperación de los efectos lesivos de la confianza defraudada en supuestos de retroactividad normativa impropia, tal y como se infiere de la jurisprudencia constitucional. Se concluye afirmando que la retroactividad impropia, que las disposiciones adicional primera y transitoria tercera, en relación con los apartados 2 y 3 del art. 1 del Real Decreto-ley, confieren al nuevo régimen retributivo de la actividad de producción de energía eléctrica a partir de fuentes de energía renovables resulta inconstitucional por infracción del art. 9.3, además de incompatible con el derecho de la Unión Europea, por cuanto vulnera el principio de seguridad jurídica.</w:t>
      </w:r>
    </w:p>
    <w:p w:rsidR="00163957" w:rsidRDefault="00163957" w:rsidP="00163957">
      <w:pPr>
        <w:pStyle w:val="TextoNormal"/>
      </w:pPr>
    </w:p>
    <w:p w:rsidR="00163957" w:rsidRDefault="00163957" w:rsidP="00163957">
      <w:pPr>
        <w:pStyle w:val="TextoNormal"/>
      </w:pPr>
      <w:r>
        <w:lastRenderedPageBreak/>
        <w:t>b) La mencionada aplicación retroactiva de este régimen retributivo, vulnera asimismo el principio constitucional de irretroactividad de las disposiciones restrictivas de derechos individuales (art. 9.3 CE).</w:t>
      </w:r>
    </w:p>
    <w:p w:rsidR="00163957" w:rsidRDefault="00163957" w:rsidP="00163957">
      <w:pPr>
        <w:pStyle w:val="TextoNormal"/>
      </w:pPr>
    </w:p>
    <w:p w:rsidR="00163957" w:rsidRDefault="00163957" w:rsidP="00163957">
      <w:pPr>
        <w:pStyle w:val="TextoNormal"/>
      </w:pPr>
      <w:r>
        <w:t>La disposición derogatoria única procede a la derogación de la normativa anterior, reguladora del régimen jurídico-económico de la producción de energía eléctrica en régimen especial que contradiga o se oponga a lo dispuesto en el mismo y, específicamente, los Reales Decretos 661/2007 y 1578/2008 y determinados preceptos del Real Decreto-ley 6/2009. No obstante, la disposición transitoria tercera, apartado 1, establece la aplicación transitoria de la normativa mencionada a las instalaciones existentes, hasta que se dicten las disposiciones reglamentarias necesarias para la aplicación del mencionado real decreto de desarrollo de la normativa legal. A ello se añade que el nuevo modelo retributivo no regirá desde la entrada en vigor del real decreto o de las órdenes ministeriales que lo desarrollen, sino desde la entrada en vigor del Real Decreto-ley 9/2013, es decir, desde el 14 de julio de 2013, tal y como establece el apartado 2 de la disposición transitoria tercera, por lo que se dota de vigencia retroactiva a una normativa reglamentaria que está pendiente de aprobación, siendo la vigencia transitoria de la normativa anterior una mera vigencia virtual, puesta al servicio de la finalidad práctica de realizar los cálculos correspondientes de las liquidaciones de la energía producida, con un mero carácter provisional.</w:t>
      </w:r>
    </w:p>
    <w:p w:rsidR="00163957" w:rsidRDefault="00163957" w:rsidP="00163957">
      <w:pPr>
        <w:pStyle w:val="TextoNormal"/>
      </w:pPr>
    </w:p>
    <w:p w:rsidR="00163957" w:rsidRDefault="00163957" w:rsidP="00163957">
      <w:pPr>
        <w:pStyle w:val="TextoNormal"/>
      </w:pPr>
      <w:r>
        <w:t>A juicio del recurrente esa aplicación retroactiva del nuevo régimen retributivo menoscaba los derechos de los productores de energías renovables, los cuales desconocen el régimen retributivo que les corresponde con el mínimo rigor y precisión exigibles, y así lo hace constar la Comisión Nacional de Energía en su informe sobre la propuesta del real decreto de desarrollo. El Real Decreto-ley no fija con la mínima precisión exigible el régimen retributivo que rige para las instalaciones renovables existentes a su entrada en vigor, que sólo podrá conocerse tras la aprobación de las disposiciones reglamentarias que serán de aplicación a la producción verificada con anterioridad a su entrada en vigor, por lo que establece una aplicación retroactiva, que menoscaba gravemente los derechos adquiridos y consolidados por la producción anterior a la aprobación de las normas reglamentarias que lo establezcan. Y por ello, la disposición transitoria única y las disposiciones adicionales primera y final segunda infringen el art. 9.3 CE que garantiza la irretroactividad de las disposiciones restrictivas de derechos individuales.</w:t>
      </w:r>
    </w:p>
    <w:p w:rsidR="00163957" w:rsidRDefault="00163957" w:rsidP="00163957">
      <w:pPr>
        <w:pStyle w:val="TextoNormal"/>
      </w:pPr>
    </w:p>
    <w:p w:rsidR="00163957" w:rsidRDefault="00163957" w:rsidP="00163957">
      <w:pPr>
        <w:pStyle w:val="TextoNormal"/>
      </w:pPr>
      <w:r>
        <w:t>c) El nuevo régimen retributivo de la actividad de producción de energía eléctrica a partir de fuentes de energía renovables, vulnera el principio constitucional de reserva de ley.</w:t>
      </w:r>
    </w:p>
    <w:p w:rsidR="00163957" w:rsidRDefault="00163957" w:rsidP="00163957">
      <w:pPr>
        <w:pStyle w:val="TextoNormal"/>
      </w:pPr>
    </w:p>
    <w:p w:rsidR="00163957" w:rsidRDefault="00163957" w:rsidP="00163957">
      <w:pPr>
        <w:pStyle w:val="TextoNormal"/>
      </w:pPr>
      <w:r>
        <w:t>Afirma el recurrente que el art. 53.1 CE establece un principio de reserva de ley para la regulación de los derechos y libertades reconocidos en el capítulo segundo del título I de la Constitución, entre los que se encuentra la libertad de empresa (art. 38 CE). La actividad de producción de energía eléctrica es una actividad liberalizada que se desenvuelve en el marco de la libertad de empresa, por lo que el régimen retributivo de dicha actividad forma parte de las más elementales y sensibles condiciones de ejercicio de la libertad de empresa en el ámbito del sector eléctrico, condiciones éstas que de acuerdo con lo establecido en el art. 53.1 CE, sólo por ley pueden regularse.</w:t>
      </w:r>
    </w:p>
    <w:p w:rsidR="00163957" w:rsidRDefault="00163957" w:rsidP="00163957">
      <w:pPr>
        <w:pStyle w:val="TextoNormal"/>
      </w:pPr>
    </w:p>
    <w:p w:rsidR="00163957" w:rsidRDefault="00163957" w:rsidP="00163957">
      <w:pPr>
        <w:pStyle w:val="TextoNormal"/>
      </w:pPr>
      <w:r>
        <w:lastRenderedPageBreak/>
        <w:t>La disposición final segunda del Real Decreto-ley 9/2013 difiere la propia existencia de un “régimen retributivo específico” y la determinación precisa de sus elementos configuradores, aún de los fundamentales, a la potestad reglamentaria del Gobierno. La jurisprudencia del Tribunal Constitucional (desde la temprana STC 83/1984) admite que el principio de reserva de ley no excluye la posibilidad de que las leyes contengan remisiones a normas reglamentarias, pero sí que tales remisiones hagan posible una regulación independiente y no claramente subordinada a la ley, lo que supondría una degradación de la reserva formulada por la Constitución a favor del legislador. La citada disposición final segunda no satisface las exigencias constitucionales, pues la regulación contenida en el Real Decreto-ley es escasa y abierta, y se agota en una serie de conceptos jurídicos indeterminados, que no suponen reglas limitativas efectivas para el titular de la potestad reglamentaria, ni que ésta quede efectivamente restringida a un complemento indispensable por motivos técnicos, por lo que la referida disposición deslegaliza materialmente el régimen retributivo de producción de energía eléctrica a partir de fuentes de energía renovables, cogeneración y residuos. En consecuencia, no satisface las exigencias constitucionales a las que el principio de reserva de ley sujeta las remisiones al desarrollo reglamentario de la ley, por lo que, al tratarse de una regulación que afecta a las condiciones de ejercicio de un derecho constitucional, la libertad de empresa (art. 38 CE), vulnera el art. 53.1 CE.</w:t>
      </w:r>
    </w:p>
    <w:p w:rsidR="00163957" w:rsidRDefault="00163957" w:rsidP="00163957">
      <w:pPr>
        <w:pStyle w:val="TextoNormal"/>
      </w:pPr>
    </w:p>
    <w:p w:rsidR="00163957" w:rsidRDefault="00163957" w:rsidP="00163957">
      <w:pPr>
        <w:pStyle w:val="TextoNormal"/>
      </w:pPr>
      <w:r>
        <w:t>d) El Real Decreto-ley vulnera los requisitos exigidos por el art. 86.1 CE, para dictar decretos-leyes.</w:t>
      </w:r>
    </w:p>
    <w:p w:rsidR="00163957" w:rsidRDefault="00163957" w:rsidP="00163957">
      <w:pPr>
        <w:pStyle w:val="TextoNormal"/>
      </w:pPr>
    </w:p>
    <w:p w:rsidR="00163957" w:rsidRDefault="00163957" w:rsidP="00163957">
      <w:pPr>
        <w:pStyle w:val="TextoNormal"/>
      </w:pPr>
      <w:r>
        <w:t>Considera el recurrente que ni la exposición de motivos del Real Decreto-ley ni la presentación de que del mismo realizó en el Pleno del Congreso de los Diputados el Ministro de Industria, Energía y Turismo, ofrecen luz alguna para justificar la modificación estructural que se opera en el mencionado régimen retributivo.</w:t>
      </w:r>
    </w:p>
    <w:p w:rsidR="00163957" w:rsidRDefault="00163957" w:rsidP="00163957">
      <w:pPr>
        <w:pStyle w:val="TextoNormal"/>
      </w:pPr>
    </w:p>
    <w:p w:rsidR="00163957" w:rsidRDefault="00163957" w:rsidP="00163957">
      <w:pPr>
        <w:pStyle w:val="TextoNormal"/>
      </w:pPr>
      <w:r>
        <w:t xml:space="preserve">Desde el Real Decreto-ley 1/2012, de 27 de enero, se procedió a la supresión de los regímenes incentivadores y a la supresión del procedimiento de preasignación de retribución para estas instalaciones, además de diferir a futuro el diseño de un nuevo modelo retributivo para este tipo de tecnologías. En consecuencia, se suprimieron los incentivos económicos para las instalaciones de régimen especial que se implantaran a partir de su entrada en vigor, y el procedimiento de preasignación de retribuciones para el otorgamiento del régimen económico primado, por lo que a partir del 28 de enero de 2012 no existen incentivos económicos que primen la producción de energía eléctrica en régimen especial respecto de las instalaciones implantadas desde dicha fecha. Así las cosas, a la fecha de entrada en vigor del Real Decreto-ley 9/2013, las únicas instalaciones de régimen especial susceptible de contribuir a la generación de déficit tarifario eran las implantadas con anterioridad al 28 de enero de 2012. En este contexto, el establecimiento de un nuevo régimen tarifario pro futuro, más allá del que recaiga sobre las instalaciones existentes, resulte inane a los efectos de paliar el déficit tarifario de 2013 e imposibilitan su generación en 2014, que era la situación que pretendidamente se trataba de afrontar con el nuevo Real Decreto-ley. En consecuencia, la reforma que se establece en el art. 1, apartado 2 del Real Decreto-ley 9/2013, es una medida superflua para el fin pretendido, carece de eficacia inmediata alguna y constituye una modificación estructural en modo alguno indispensable. Por ello, la modificación operada en los apartados 2 y 3 del art. 1 del Real Decreto-ley y por conexión, su disposición final segunda, incurre en inconstitucionalidad por implicar una medida legislativa en la que </w:t>
      </w:r>
      <w:r>
        <w:lastRenderedPageBreak/>
        <w:t>no concurre el requisito de la extraordinaria y urgente necesidad establecido en el art. 86.1 CE.</w:t>
      </w:r>
    </w:p>
    <w:p w:rsidR="00163957" w:rsidRDefault="00163957" w:rsidP="00163957">
      <w:pPr>
        <w:pStyle w:val="TextoNormal"/>
      </w:pPr>
    </w:p>
    <w:p w:rsidR="00163957" w:rsidRDefault="00163957" w:rsidP="00163957">
      <w:pPr>
        <w:pStyle w:val="TextoNormal"/>
      </w:pPr>
      <w:r w:rsidRPr="00163957">
        <w:rPr>
          <w:rStyle w:val="NumeroAFNegritaCaracter"/>
        </w:rPr>
        <w:t>2</w:t>
      </w:r>
      <w:r>
        <w:t>. El Pleno del Tribunal, a propuesta de la Sección Segunda, y mediante providencia de 5 de noviembre de 2013, admitió a trámite el presente recurso de inconstitucionalidad, acordando dar traslado de las actuaciones, conforme establece el art. 34 de la Ley Orgánica del Tribunal Constitucional (LOTC), al Congreso de los Diputados y al Senado, por conducto de sus Presidentes, y al Gobierno de la Nación a través del Ministerio de Justicia, al objeto de que en el plazo de quince días, pudieran personarse en el proceso y formular las alegaciones que estimaran, así como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El Presidente del Senado, mediante escrito recibido el 20 de noviembre de 2013, comunicó que la Cámara se personaba en el proceso, ofreciendo su colaboración, a los efectos del art. 88.1 LOTC.</w:t>
      </w:r>
    </w:p>
    <w:p w:rsidR="00163957" w:rsidRDefault="00163957" w:rsidP="00163957">
      <w:pPr>
        <w:pStyle w:val="TextoNormal"/>
      </w:pPr>
    </w:p>
    <w:p w:rsidR="00163957" w:rsidRDefault="00163957" w:rsidP="00163957">
      <w:pPr>
        <w:pStyle w:val="TextoNormal"/>
      </w:pPr>
      <w:r>
        <w:t>El Presidente del Congreso de los Diputados, mediante escrito registrado en este Tribunal el 21 de noviembre 2013, comunicó asimismo el acuerdo de la Mesa de la Cámara, de personarse en el proceso y dar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4</w:t>
      </w:r>
      <w:r>
        <w:t>. En fecha 3 de diciembre de 2013, tuvo entrada en este Tribunal escrito de alegaciones del Abogado del Estado, en el que solicita se tenga por evacuado el trámite conferido y, en su día, se dicte sentencia desestimatoria del presente recurso en todos sus extremos.</w:t>
      </w:r>
    </w:p>
    <w:p w:rsidR="00163957" w:rsidRDefault="00163957" w:rsidP="00163957">
      <w:pPr>
        <w:pStyle w:val="TextoNormal"/>
      </w:pPr>
    </w:p>
    <w:p w:rsidR="00163957" w:rsidRDefault="00163957" w:rsidP="00163957">
      <w:pPr>
        <w:pStyle w:val="TextoNormal"/>
      </w:pPr>
      <w:r>
        <w:t xml:space="preserve">Comienza señalando el representante estatal, en relación con la alegada vulneración del art. 9.3 CE, que, de conformidad con la doctrina constitucional, el concepto de “carácter estable” de las medidas legislativas adoptadas, no significa el derecho a un régimen jurídico inamovible ni la petrificación del ordenamiento, sino que el principio de seguridad jurídica resulta compatible con la alterabilidad del ordenamiento y la libertad de configuración del legislador en orden al desarrollo y evolución del ordenamiento jurídico hasta los límites que puedan considerarse como adecuados a los principios del art. 9 CE. Destaca también que la doctrina ha mantenido que el art. 9.3 CE no contiene en absoluto un límite de carácter general a la retroactividad </w:t>
      </w:r>
      <w:r w:rsidRPr="00163957">
        <w:rPr>
          <w:i/>
        </w:rPr>
        <w:t>in peius</w:t>
      </w:r>
      <w:r>
        <w:t xml:space="preserve"> de las leyes; y la expresión “restrictiva de derechos individuales” ha de referirse a derechos adquiridos, entendiendo por tales los que surgen de situaciones agotadas o relaciones concluidas, consumadas bajo la anterior legislación, no a las aún vivas o que se hallaren produciendo efectos jurídicos, y de cara a esos efectos futuros, tras la entrada en vigor de la nueva norma.</w:t>
      </w:r>
    </w:p>
    <w:p w:rsidR="00163957" w:rsidRDefault="00163957" w:rsidP="00163957">
      <w:pPr>
        <w:pStyle w:val="TextoNormal"/>
      </w:pPr>
    </w:p>
    <w:p w:rsidR="00163957" w:rsidRDefault="00163957" w:rsidP="00163957">
      <w:pPr>
        <w:pStyle w:val="TextoNormal"/>
      </w:pPr>
      <w:r>
        <w:t xml:space="preserve">En este sentido, la disposición final segunda del Real Decreto-ley 9/2013 establece la vigencia del nuevo régimen de retribución desde la entrada en vigor de dicho Real Decreto-ley, esto es, sin efecto retroactivo alguno, aplicable a la actividad de producción que se lleva a cabo a partir de fuentes de energía renovables, cogeneración y residuos con régimen económico sujeto a prima; no se trata de un régimen jurídico de retribuciones aplazado. El destinatario de la norma sabe qué sistema nuevo de retribuciones, sobre qué bases se asienta y en qué consiste, desde la entrada en vigor del Real Decreto-ley y cómo se aplicará, es decir, la aplicación provisional con facturaciones a cuenta del sistema vigente; y el porqué </w:t>
      </w:r>
      <w:r>
        <w:lastRenderedPageBreak/>
        <w:t>de la situación: necesidad de precisión reguladora en el sistema de facturación mediante normativa reglamentaria de carácter técnico.</w:t>
      </w:r>
    </w:p>
    <w:p w:rsidR="00163957" w:rsidRDefault="00163957" w:rsidP="00163957">
      <w:pPr>
        <w:pStyle w:val="TextoNormal"/>
      </w:pPr>
    </w:p>
    <w:p w:rsidR="00163957" w:rsidRDefault="00163957" w:rsidP="00163957">
      <w:pPr>
        <w:pStyle w:val="TextoNormal"/>
      </w:pPr>
      <w:r>
        <w:t>A juicio del Abogado del Estado, los elementos normativos básicos o esenciales de la reforma ya están prefijados en la nueva redacción del art. 30.4 de la Ley 54/1997, modificado por el art. 1.3 del Real Decreto-ley. La referencia que se efectúa al real decreto que modificará el modelo retributivo, significa el desarrollo, detalle o concreción de ese nuevo régimen retributivo que introduce el Real Decreto-ley 9/2013. Por su parte, la disposición transitoria tercera contiene una norma lógica de derecho transitorio puesto que la nueva regulación establecida prevé un desarrollo reglamentario para su efectiva aplicación, sin que ello suponga en modo alguno deslegalización o remisión en bloque a la norma reglamentaria, sino, por el contrario, una norma de concreción y ejecución del régimen jurídico esencial ya establecido o configurado por el Real Decreto-ley.</w:t>
      </w:r>
    </w:p>
    <w:p w:rsidR="00163957" w:rsidRDefault="00163957" w:rsidP="00163957">
      <w:pPr>
        <w:pStyle w:val="TextoNormal"/>
      </w:pPr>
    </w:p>
    <w:p w:rsidR="00163957" w:rsidRDefault="00163957" w:rsidP="00163957">
      <w:pPr>
        <w:pStyle w:val="TextoNormal"/>
      </w:pPr>
      <w:r>
        <w:t>No se produce, a su juicio, un efecto retroactivo, en tanto que el nuevo régimen jurídico se aplica desde la entrada en vigor del Real Decreto-ley 9/2013, y así lo prevé de manera explícita la norma, con independencia de que quepa una normativa de desarrollo. La retroactividad que pudiera apreciarse lo sería solo de grado mínimo, pues la aplicación de la nueva ley se produce sólo respecto de los efectos de las situaciones que se generen tras la entrada en vigor de la misma, algo admitido doctrinalmente por la jurisprudencia constitucional, máxime en lo que se refiere al cambio legislativo que experimente el ordenamiento a través de normas con rango de ley, cuya actividad innovadora no contraviene el principio de irretroactividad. Tampoco nos hallamos ante una norma sancionadora en sentido técnico, y la misma no posee alcance expropiatorio alguno, ni incide en derechos patrimoniales ya consolidados e incorporados definitivamente al patrimonio del destinatario de la norma o modificativa de situaciones jurídicas favorables ya agotadas o consumadas.</w:t>
      </w:r>
    </w:p>
    <w:p w:rsidR="00163957" w:rsidRDefault="00163957" w:rsidP="00163957">
      <w:pPr>
        <w:pStyle w:val="TextoNormal"/>
      </w:pPr>
    </w:p>
    <w:p w:rsidR="00163957" w:rsidRDefault="00163957" w:rsidP="00163957">
      <w:pPr>
        <w:pStyle w:val="TextoNormal"/>
      </w:pPr>
      <w:r>
        <w:t>En relación con la alegada infracción del principio de seguridad jurídica, señala el Abogado del Estado que la constatación de la generación e incremento del déficit tarifario y la constante preocupación por su corrección, a fin de garantizar la financiación y viabilidad definitiva del sistema, atestiguan la gravedad de la situación, y frente a ese objetivo patente del legislador, no cabe adoptar una postura de sorpresa acerca de la evolución de las medidas legislativas ni de falta de previsibilidad. Las circunstancias que motivan la regulación de fondo contenida en el Real Decreto-ley y su condición de norma con rango de ley disipan la objeción de una supuesta o hipotética falta de seguridad jurídica respecto de la situación regulada, conforme y por comparación con la normativa preexistente que viene a modificar. Se recuerda que, conforme a la doctrina constitucional, el principio de seguridad protege la confianza de los ciudadanos, pero no puede entenderse como un supuesto derecho al mantenimiento de un determinado régimen jurídico; la confianza que protege ese principio es únicamente la que puede existir frente a cambios normativos que no sean razonablemente previsibles, y no puede resultar previsible el mantenimiento indefinido e inamovible de una situación, que no conceda al legislador la posibilidad de alteración de ese régimen o la innovación de la realidad jurídica, hacia una situación regida por premisas normales de explotación económica de mercado, en un sector empresarial determinado, es decir no puede pretenderse la permanencia de un sistema protegido.</w:t>
      </w:r>
    </w:p>
    <w:p w:rsidR="00163957" w:rsidRDefault="00163957" w:rsidP="00163957">
      <w:pPr>
        <w:pStyle w:val="TextoNormal"/>
      </w:pPr>
    </w:p>
    <w:p w:rsidR="00163957" w:rsidRDefault="00163957" w:rsidP="00163957">
      <w:pPr>
        <w:pStyle w:val="TextoNormal"/>
      </w:pPr>
      <w:r>
        <w:t xml:space="preserve">Se rechaza por el Abogado del Estado la supuesta desigualdad de trato entre empresas del sector eléctrico, pues, como se pone de manifiesto en el informe de la Secretaría General </w:t>
      </w:r>
      <w:r>
        <w:lastRenderedPageBreak/>
        <w:t>Técnica, “la evolución descontrolada e insostenible del déficit de tarifa ha hecho necesaria la adopción de múltiples medidas… que han afectado a todos los agentes del sistema”. La modificación que ahora se introduce no constituye pues, una medida aislada sino una norma que se integra dentro del conjunto sistemático del ordenamiento.</w:t>
      </w:r>
    </w:p>
    <w:p w:rsidR="00163957" w:rsidRDefault="00163957" w:rsidP="00163957">
      <w:pPr>
        <w:pStyle w:val="TextoNormal"/>
      </w:pPr>
    </w:p>
    <w:p w:rsidR="00163957" w:rsidRDefault="00163957" w:rsidP="00163957">
      <w:pPr>
        <w:pStyle w:val="TextoNormal"/>
      </w:pPr>
      <w:r>
        <w:t>Considera el representante estatal, respecto de la alegada vulneración del art. 53 CE, por haberse afectado al núcleo esencial del derecho a la libertad de empresa, que, para que pueda apreciarse dicha afectación debería producirse una situación de expropiación material o medida de efecto similar, de bienes o elementos esenciales derivados del derecho mismo. Sin embargo, el cambio de situaciones objetivas no supone expropiación de derechos; el inversor materializó su inversión bajo la vigencia de un régimen jurídico concreto, a cuya petrificación o inalterabilidad no tenía derecho. La nueva regulación contenida en el Real Decreto-ley no priva a los inversores o empresarios que gestionan las instalaciones de producción especial, de su actividad empresarial, tan sólo modifica elementos de intervención o ayuda estatal que, por su propia esencia, no podían ser invariables en el tiempo, además de tratar de lograr una estabilidad financiera de todo el sistema para adecuarlo, precisamente a la economía de mercado.</w:t>
      </w:r>
    </w:p>
    <w:p w:rsidR="00163957" w:rsidRDefault="00163957" w:rsidP="00163957">
      <w:pPr>
        <w:pStyle w:val="TextoNormal"/>
      </w:pPr>
    </w:p>
    <w:p w:rsidR="00163957" w:rsidRDefault="00163957" w:rsidP="00163957">
      <w:pPr>
        <w:pStyle w:val="TextoNormal"/>
      </w:pPr>
      <w:r>
        <w:t>En cuanto a la alegada vulneración del art. 86.1 CE, el Abogado del Estado se remite de nuevo a los razonamientos expuestos en el informe de la Secretaría General Técnica del Ministerio de Industria, Turismo y Comercio, en el que se manifiesta que: la situación de extraordinaria y urgente necesidad deriva del carácter insostenible del déficit del sector eléctrico y de la necesidad de adoptar medidas urgentes de vigencia inmediata que permitan poner término a dicha situación. En los últimos ejercicios, el déficit tarifario ha continuado su crecimiento, hasta situarse, según los últimos datos disponibles de la Comisión Nacional de la Energía, en un saldo de deuda acumulada de 26.062,51 millones de euros, a 10 de mayo de 2013. De forma complementaria al cálculo de la deuda del sistema eléctrico, dicha Comisión señala que desde el año 2003 hasta el 10 de mayo de 2013, el importe satisfecho para financiar el déficit del sistema eléctrico a través de anualidades que se incorporan en los peajes de acceso de los consumidores, a precios corrientes de cada año, ascienda a 11.823 millones de euros. Por este motivo se han venido adoptando en los últimos años una serie de medidas de carácter urgente que afectan tanto a la partida de costes como a la de ingresos.</w:t>
      </w:r>
    </w:p>
    <w:p w:rsidR="00163957" w:rsidRDefault="00163957" w:rsidP="00163957">
      <w:pPr>
        <w:pStyle w:val="TextoNormal"/>
      </w:pPr>
    </w:p>
    <w:p w:rsidR="00163957" w:rsidRDefault="00163957" w:rsidP="00163957">
      <w:pPr>
        <w:pStyle w:val="TextoNormal"/>
      </w:pPr>
      <w:r>
        <w:t>Acaba señalando el citado informe, que es en definitiva la gravísima situación financiera del sistema eléctrico, motivada por la evolución descontrolada e insostenible del déficit de tarifa, la que ha hecho necesario la adopción de múltiples medidas excepcionales y urgentes que han afectado a todos los agentes del sistema, desde los operadores de instalaciones de negación de redes a los consumidores, pasando por los contribuyentes a través de los presupuestos generales del Estado. Todo ello con el objetivo de contener los costes y, a la vez, dar estabilidad al sistema para evitar en lo posible futuras desviaciones con respecto a las estimaciones.</w:t>
      </w:r>
    </w:p>
    <w:p w:rsidR="00163957" w:rsidRDefault="00163957" w:rsidP="00163957">
      <w:pPr>
        <w:pStyle w:val="TextoNormal"/>
      </w:pPr>
    </w:p>
    <w:p w:rsidR="00163957" w:rsidRDefault="00163957" w:rsidP="00163957">
      <w:pPr>
        <w:pStyle w:val="TextoNormal"/>
      </w:pPr>
      <w:r>
        <w:t xml:space="preserve">Las anteriores razones se ponen también de relieve en la exposición de motivos del Real Decreto-ley, añadiendo a las mismas el hecho de haber tenido lugar durante el primer semestre del año 2013 una serie de circunstancias que han variado las hipótesis sobre las que se realizaron las estimaciones, lo que podría producir nuevos desajustes al final del ejercicio </w:t>
      </w:r>
      <w:r>
        <w:lastRenderedPageBreak/>
        <w:t>si no se toman nuevas medidas de urgencia para corregir la situación. Las desviaciones vienen motivadas por la concurrencia de unas condiciones meteorológicas atípicas con índices muy altos de pluviometría y vientos, lo que ha supuesto el hundimiento del precio del mercado diario y un incremento de horas de funcionamiento de determinadas tecnologías y, en particular, la eólica con derecho a régimen primado. A ello se ha añadido también el efecto de la crisis económica sobre las economías domésticas, que ha producido una contracción de la demanda más acusada de lo previsto.</w:t>
      </w:r>
    </w:p>
    <w:p w:rsidR="00163957" w:rsidRDefault="00163957" w:rsidP="00163957">
      <w:pPr>
        <w:pStyle w:val="TextoNormal"/>
      </w:pPr>
    </w:p>
    <w:p w:rsidR="00163957" w:rsidRDefault="00163957" w:rsidP="00163957">
      <w:pPr>
        <w:pStyle w:val="TextoNormal"/>
      </w:pPr>
      <w:r>
        <w:t>Continúa señalando el Abogado del Estado que, expuesta la situación de gravedad en relación con la estabilidad financiera del sistema eléctrico en la exposición de motivos, la tardanza en la adopción de medidas legislativas podría haber afectado muy negativamente al mantenimiento mismo de la producción y suministro de energía eléctrica. No es tanto la imprevisibilidad en sí de las circunstancias, cuanto la gravedad de las mismas como efecto derivado de regulaciones anteriores que introdujeron en el sistema patrones de primas y subvención que devienen excesivamente costosos para unos presupuestos en situación de contracción económica y la consiguiente urgencia de adoptar las medidas normativas adecuadas para su solución.</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16 de febrero de 2016, se acordó señalar para deliberación y votación de la presente Sentencia el día 18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el presente proceso constitucional debemos resolver el recurso de inconstitucionalidad interpuesto por ciento diez diputados del Grupo Parlamentario Socialista contra el art. 1, apartados 2 y 3; disposición adicional primera; disposición transitoria tercera; disposición derogatoria única, apartado dos; y disposición final segunda del Real Decreto-ley 9/2013, de 12 de julio, por el que se adoptan medidas urgentes para garantizar la estabilidad financiera del sistema eléctrico.</w:t>
      </w:r>
    </w:p>
    <w:p w:rsidR="00163957" w:rsidRDefault="00163957" w:rsidP="00163957">
      <w:pPr>
        <w:pStyle w:val="TextoNormal"/>
      </w:pPr>
    </w:p>
    <w:p w:rsidR="00163957" w:rsidRDefault="00163957" w:rsidP="00163957">
      <w:pPr>
        <w:pStyle w:val="TextoNormal"/>
      </w:pPr>
      <w:r>
        <w:t>Los preceptos impugnados vienen, en lo sustancial, a modificar la Ley 54/1997, de 27 de noviembre, del sector eléctrico, en orden al establecimiento de un nuevo régimen retributivo para las instalaciones de producción de energía eléctrica a partir de fuentes de energía renovable, cogeneración y residuos, y a habilitar al Gobierno para la aprobación por real decreto del régimen jurídico y económico para estas instalaciones con retribución primada, que modificará el régimen retributivo de las instalaciones existentes, y será de aplicación desde la entrada en vigor del Real Decreto-ley.</w:t>
      </w:r>
    </w:p>
    <w:p w:rsidR="00163957" w:rsidRDefault="00163957" w:rsidP="00163957">
      <w:pPr>
        <w:pStyle w:val="TextoNormal"/>
      </w:pPr>
    </w:p>
    <w:p w:rsidR="00163957" w:rsidRDefault="00163957" w:rsidP="00163957">
      <w:pPr>
        <w:pStyle w:val="TextoNormal"/>
      </w:pPr>
      <w:r>
        <w:t xml:space="preserve">Como ha quedado expuesto en los antecedentes, los Diputados recurrentes consideran que los preceptos impugnados infringen: el art. 86.1 CE, en cuanto que la modificación operada en los apartados 2 y 3 del art. 1 y, por conexión su disposición final segunda, introducen una modificación en el sistema de retribución de las energías de régimen especial que carece de eficacia inmediata, y en la que no concurre el requisito de la extraordinaria y urgente necesidad; el principio general de irretroactividad de las disposiciones restrictivas de derechos individuales, que contempla el art. 9.3 CE, en la medida en que los preceptos impugnados contemplan una aplicación retroactiva del nuevo régimen retributivo de estas </w:t>
      </w:r>
      <w:r>
        <w:lastRenderedPageBreak/>
        <w:t>instalaciones de producción de energía eléctrica; el principio de seguridad jurídica garantizado también por el art. 9.3 CE, en cuanto el nuevo régimen económico establecido para las instalaciones renovables existentes con anterioridad a la entrada en vigor del Real Decreto-ley, menoscaba la debida certeza del ordenamiento jurídico, frustrando la confianza legítima en el poder público que tal principio constitucional protege; y el principio constitucional de reserva de ley regulado en el art. 53.1 CE, en cuanto el mencionado régimen retributivo afecta a las condiciones de ejercicio del derecho constitucional a la libertad de empresa, lo que excluye la posibilidad de remisión en bloque a su regulación por vía reglamentaria.</w:t>
      </w:r>
    </w:p>
    <w:p w:rsidR="00163957" w:rsidRDefault="00163957" w:rsidP="00163957">
      <w:pPr>
        <w:pStyle w:val="TextoNormal"/>
      </w:pPr>
    </w:p>
    <w:p w:rsidR="00163957" w:rsidRDefault="00163957" w:rsidP="00163957">
      <w:pPr>
        <w:pStyle w:val="TextoNormal"/>
      </w:pPr>
      <w:r>
        <w:t>El Abogado del Estado defiende, por el contrario, la constitucionalidad de los preceptos impugnados, rechazando, por los motivos que se resumen en los antecedentes de esta Sentencia, la vulneración de los preceptos constitucionales alegados por los Diputados recurrentes.</w:t>
      </w:r>
    </w:p>
    <w:p w:rsidR="00163957" w:rsidRDefault="00163957" w:rsidP="00163957">
      <w:pPr>
        <w:pStyle w:val="TextoNormal"/>
      </w:pPr>
    </w:p>
    <w:p w:rsidR="00163957" w:rsidRDefault="00163957" w:rsidP="00163957">
      <w:pPr>
        <w:pStyle w:val="TextoNormal"/>
      </w:pPr>
      <w:r w:rsidRPr="00163957">
        <w:rPr>
          <w:rStyle w:val="NumeroAFNegritaCaracter"/>
        </w:rPr>
        <w:t>2</w:t>
      </w:r>
      <w:r>
        <w:t>. Las cuestiones controvertidas en el presente proceso, presentan una sustancial coincidencia con las suscitadas en el recurso de inconstitucionalidad tramitado bajo el número 5347-2013 y resuelto por la reciente STC 270/2015, cuya doctrina resulta, en consecuencia, de directa aplicación al supuesto que nos ocupa.</w:t>
      </w:r>
    </w:p>
    <w:p w:rsidR="00163957" w:rsidRDefault="00163957" w:rsidP="00163957">
      <w:pPr>
        <w:pStyle w:val="TextoNormal"/>
      </w:pPr>
    </w:p>
    <w:p w:rsidR="00163957" w:rsidRDefault="00163957" w:rsidP="00163957">
      <w:pPr>
        <w:pStyle w:val="TextoNormal"/>
      </w:pPr>
      <w:r>
        <w:t>Con carácter previo al examen de fondo, y en lo que respecta a la pervivencia del proceso tras las modificaciones efectuadas en la norma impugnada por la Ley 24/2013, de 26 de diciembre, del sector eléctrico, hemos tenido ocasión de señalar que tales modificaciones “no han dado lugar a una derogación, o, lo que es lo mismo, a la remoción absoluta de las situaciones jurídicas creadas al amparo de la disposición impugnada, sino, más bien al contrario, a una novación actualizada del régimen retributivo que se contempla en los preceptos impugnados para la actividad de producción a partir de fuentes de energía renovables, cogeneración y residuos con régimen económico primado; régimen jurídico al que expresamente se remite la Ley 24/2013 y que, en consecuencia y en lo sustancial, ha resultado incorporado, en sus propios términos, a una norma con rango formal de ley. Por esta razón la modificación de las normas impugnadas en el presente proceso no permite apreciar la desaparición del objeto del recurso de inconstitucionalidad formulado, siendo procedente, en consecuencia, el examen de fondo de los preceptos impugnados” (STC 270/2015, FJ 2).</w:t>
      </w:r>
    </w:p>
    <w:p w:rsidR="00163957" w:rsidRDefault="00163957" w:rsidP="00163957">
      <w:pPr>
        <w:pStyle w:val="TextoNormal"/>
      </w:pPr>
    </w:p>
    <w:p w:rsidR="00163957" w:rsidRDefault="00163957" w:rsidP="00163957">
      <w:pPr>
        <w:pStyle w:val="TextoNormal"/>
      </w:pPr>
      <w:r w:rsidRPr="00163957">
        <w:rPr>
          <w:rStyle w:val="NumeroAFNegritaCaracter"/>
        </w:rPr>
        <w:t>3</w:t>
      </w:r>
      <w:r>
        <w:t>. Entrando pues en el examen de fondo, procede examinar en primer término la tacha de inconstitucionalidad relativa a la vulneración del art. 86.1 CE que se imputa al art. 1, apartados 2 y 3 y que se fundamenta en la ausencia del presupuesto habilitante de la “extraordinaria y urgente necesidad”, por considerar que la regulación contenida en los mismos carece de eficacia inmediata y constituye una modificación estructural del régimen retributivo, en modo alguno indispensable para atender a la situación de urgencia que se pretende subvenir.</w:t>
      </w:r>
    </w:p>
    <w:p w:rsidR="00163957" w:rsidRDefault="00163957" w:rsidP="00163957">
      <w:pPr>
        <w:pStyle w:val="TextoNormal"/>
      </w:pPr>
    </w:p>
    <w:p w:rsidR="00163957" w:rsidRDefault="00163957" w:rsidP="00163957">
      <w:pPr>
        <w:pStyle w:val="TextoNormal"/>
      </w:pPr>
      <w:r>
        <w:t xml:space="preserve">El cumplimiento de los requisitos previstos en el art. 86.1 CE, fue objeto de examen pormenorizado en el fundamento jurídico 5 de la STC 270/2015, entendiendo que “las razones que motivaron la aprobación de esta norma de urgencia derivan de la evolución expansiva de los costes del sistema eléctrico, unida a las consecuencias de la crisis económica y a la necesidad de cumplimiento de los objetivos de déficit para el año 2014, que determinan la necesidad de adopción de una serie de medidas dirigidas a garantizar la estabilidad financiera del sistema eléctrico, mediante una revisión de su marco regulatorio. Es pues, la </w:t>
      </w:r>
      <w:r>
        <w:lastRenderedPageBreak/>
        <w:t>situación de crisis económica que ha repercutido en una caída imprevista de la demanda de energía eléctrica, junto con el incremento general de costes, que ha provocado un aumento imprevisto del déficit tarifario, lo que justifica la adopción de las medidas contempladas en la norma que se examina”.</w:t>
      </w:r>
    </w:p>
    <w:p w:rsidR="00163957" w:rsidRDefault="00163957" w:rsidP="00163957">
      <w:pPr>
        <w:pStyle w:val="TextoNormal"/>
      </w:pPr>
    </w:p>
    <w:p w:rsidR="00163957" w:rsidRDefault="00163957" w:rsidP="00163957">
      <w:pPr>
        <w:pStyle w:val="TextoNormal"/>
      </w:pPr>
      <w:r>
        <w:t>Asimismo, y en relación con los concretos preceptos que son objeto del recurso de inconstitucionalidad, “el argumento que sustenta las modificaciones introducidas viene a ser coincidente con el de carácter general, si bien se singulariza en el hecho de que, entre las partidas de costes que han contribuido en mayor medida al incremento del déficit tarifario destacan las primas del régimen especial y las anualidades de déficits acumulados, partidas que se han multiplicado por seis y por nueve respectivamente entre 2004 y 2012. En concreto, en el período 2013 se alude a la concurrencia de unas condiciones meteorológicas atípicas que han ocasionado, por un lado el hundimiento del precio del mercado diario hasta un nivel mínimo, y el incremento de las horas de funcionamiento de determinadas tecnologías con derecho a régimen económico primado, lo que ha determinado una notable desviación al alza del sobrecoste del régimen especial, como consecuencia de los menores precios de mercado registrados; a ello se añade que la difícil situación presupuestaria no permite dotar, en su totalidad, este extracoste, sin comprometer el cumplimiento de los objetivos de déficit para el ejercicio 2014. Sobre esta base, el nuevo régimen jurídico y económico para las instalaciones de producción de energía eléctrica existentes a partir de fuentes de energía renovable, cogeneración y residuos, se basa en la percepción de los ingresos derivados de la participación en el mercado, con una retribución específica que permita la cobertura de los costes adicionales de estas instalaciones respecto de las del resto de tecnologías en el mercado, y les permita competir en el mercado en nivel de igualdad con el resto de las tecnologías y obtener una rentabilidad razonable”.</w:t>
      </w:r>
    </w:p>
    <w:p w:rsidR="00163957" w:rsidRDefault="00163957" w:rsidP="00163957">
      <w:pPr>
        <w:pStyle w:val="TextoNormal"/>
      </w:pPr>
    </w:p>
    <w:p w:rsidR="00163957" w:rsidRDefault="00163957" w:rsidP="00163957">
      <w:pPr>
        <w:pStyle w:val="TextoNormal"/>
      </w:pPr>
      <w:r>
        <w:t>Por lo que respecta a la conexión de sentido, “es evidente que las medidas propuestas, en cuanto persiguen precisamente un ajuste de los costes en el sector eléctrico, guardan la necesaria conexión entre la situación de extraordinaria y urgente necesidad descrita, y las medidas adoptadas para hacerle frente. Además, las medidas previstas modifican de modo inmediato la situación jurídica existente, en cuanto que el nuevo sistema retributivo que la norma inicia, si bien requiere el necesario desarrollo reglamentario, es aplicable desde el momento de la entrada en vigor del Real Decreto-ley 9/2013. Efectivamente, éste establece la aplicación transitoria del régimen retributivo anterior, ahora con el carácter de pagos a cuenta, que se liquidarán definitivamente en el momento en que se apruebe el aludido desarrollo reglamentario”.</w:t>
      </w:r>
    </w:p>
    <w:p w:rsidR="00163957" w:rsidRDefault="00163957" w:rsidP="00163957">
      <w:pPr>
        <w:pStyle w:val="TextoNormal"/>
      </w:pPr>
    </w:p>
    <w:p w:rsidR="00163957" w:rsidRDefault="00163957" w:rsidP="00163957">
      <w:pPr>
        <w:pStyle w:val="TextoNormal"/>
      </w:pPr>
      <w:r>
        <w:t>Procede, por tanto, desestimar el recurso en este punto.</w:t>
      </w:r>
    </w:p>
    <w:p w:rsidR="00163957" w:rsidRDefault="00163957" w:rsidP="00163957">
      <w:pPr>
        <w:pStyle w:val="TextoNormal"/>
      </w:pPr>
    </w:p>
    <w:p w:rsidR="00163957" w:rsidRDefault="00163957" w:rsidP="00163957">
      <w:pPr>
        <w:pStyle w:val="TextoNormal"/>
      </w:pPr>
      <w:r w:rsidRPr="00163957">
        <w:rPr>
          <w:rStyle w:val="NumeroAFNegritaCaracter"/>
        </w:rPr>
        <w:t>4</w:t>
      </w:r>
      <w:r>
        <w:t>. En segundo lugar, se alega por los recurrentes la infracción del principio de seguridad jurídica y del principio de irretroactividad de las normas, contemplados ambos en el art. 9.3 CE. Los argumentos expuestos por los recurrentes, fueron ya expresamente rechazados en el fundamento jurídico 7 a) de la STC 270/2015, a la que también procede remitirse en este punto.</w:t>
      </w:r>
    </w:p>
    <w:p w:rsidR="00163957" w:rsidRDefault="00163957" w:rsidP="00163957">
      <w:pPr>
        <w:pStyle w:val="TextoNormal"/>
      </w:pPr>
    </w:p>
    <w:p w:rsidR="00163957" w:rsidRDefault="00163957" w:rsidP="00163957">
      <w:pPr>
        <w:pStyle w:val="TextoNormal"/>
      </w:pPr>
      <w:r>
        <w:t xml:space="preserve">Así, y en cuanto al primero, hemos afirmado que “el principio de seguridad jurídica, entendido como la certeza sobre el ordenamiento jurídico aplicable, la ausencia de confusión normativa y la previsibilidad en la aplicación de derecho, no resulta afectado por los </w:t>
      </w:r>
      <w:r>
        <w:lastRenderedPageBreak/>
        <w:t>preceptos que son objeto del presente recurso de inconstitucionalidad. No estamos ante una norma incierta o falta de la indispensable claridad, pues cuenta con un contenido preciso y unos efectos perfectamente determinados.</w:t>
      </w:r>
    </w:p>
    <w:p w:rsidR="00163957" w:rsidRDefault="00163957" w:rsidP="00163957">
      <w:pPr>
        <w:pStyle w:val="TextoNormal"/>
      </w:pPr>
    </w:p>
    <w:p w:rsidR="00163957" w:rsidRDefault="00163957" w:rsidP="00163957">
      <w:pPr>
        <w:pStyle w:val="TextoNormal"/>
      </w:pPr>
      <w:r>
        <w:t>El respeto de dicho principio, y su corolario, el principio de confianza legítima, es compatible con las modificaciones en el régimen retributivo de las energías renovables realizado por el Real Decreto-ley 9/2013, más aún —como sucede en el presente caso—, en un ámbito sujeto a un elevada intervención administrativa en virtud de su incidencia en intereses generales, y a un complejo sistema regulatorio que hace inviable la pretensión de que los elementos más favorables estén investidos de permanencia o inalterabilidad frente al ejercicio de una potestad legislativa que obliga a los poderes públicos a la adaptación de dicha regulación a una cambiante realidad económica.</w:t>
      </w:r>
    </w:p>
    <w:p w:rsidR="00163957" w:rsidRDefault="00163957" w:rsidP="00163957">
      <w:pPr>
        <w:pStyle w:val="TextoNormal"/>
      </w:pPr>
    </w:p>
    <w:p w:rsidR="00163957" w:rsidRDefault="00163957" w:rsidP="00163957">
      <w:pPr>
        <w:pStyle w:val="TextoNormal"/>
      </w:pPr>
      <w:r>
        <w:t>Los cambios legislativos producidos no pueden ser cuestionados desde la óptica del principio de confianza legítima. Este principio no protege de modo absoluto la estabilidad regulatoria, ni la inmutabilidad de las normas precedentes, máxime en el contexto en que se promulgó el Real Decreto-Ley que ahora se enjuicia, es decir, de dificultades económicas y de crecimiento del déficit del sistema eléctrico. Los principios de seguridad jurídica y su corolario, el de confianza legítima, no suponen el derecho de los actores económicos a la permanencia de la regulación existente en un momento dado en un determinado sector de actividad. Dicha estabilidad regulatoria es compatible con cambios legislativos, cuando sean previsibles y derivados de exigencias claras del interés general.</w:t>
      </w:r>
    </w:p>
    <w:p w:rsidR="00163957" w:rsidRDefault="00163957" w:rsidP="00163957">
      <w:pPr>
        <w:pStyle w:val="TextoNormal"/>
      </w:pPr>
    </w:p>
    <w:p w:rsidR="00163957" w:rsidRDefault="00163957" w:rsidP="00163957">
      <w:pPr>
        <w:pStyle w:val="TextoNormal"/>
      </w:pPr>
      <w:r>
        <w:t>A este respecto, las medidas cuestionadas implican, ciertamente, una modificación respecto del régimen anterior, decisión que el legislador de urgencia adopta a la vista de la situación en la que se encontraba el sistema eléctrico. No cabe calificar de inesperada la modificación producida, pues la evolución de las circunstancias que afectaban a dicho sector de la economía, hacían necesario acometer ajustes de este marco normativo, como efecto de las difíciles circunstancias del sector en su conjunto y la necesidad de asegurar el necesario equilibrio económico y la adecuada gestión del sistema. No cabe, por tanto, argumentar que la modificación del régimen retributivo que se examina fuera imprevisible para un “operador económico prudente y diligente”, atendiendo a las circunstancias económicas y a la insuficiencia de las medidas adoptadas para reducir un déficit persistente y continuamente al alza del sistema eléctrico no suficientemente atajado con disposiciones anteriores.</w:t>
      </w:r>
    </w:p>
    <w:p w:rsidR="00163957" w:rsidRDefault="00163957" w:rsidP="00163957">
      <w:pPr>
        <w:pStyle w:val="TextoNormal"/>
      </w:pPr>
    </w:p>
    <w:p w:rsidR="00163957" w:rsidRDefault="00163957" w:rsidP="00163957">
      <w:pPr>
        <w:pStyle w:val="TextoNormal"/>
      </w:pPr>
      <w:r>
        <w:t xml:space="preserve">El preámbulo del Real Decreto-ley determina que su objeto es evitar la “sobre-retribución” de determinadas instalaciones de régimen especial, sin que los principios invocados por los recurrentes —seguridad jurídica y confianza legítima— puedan constituir un obstáculo insalvable para que el titular de la potestad legislativa pueda introducir medidas de carácter general que impliquen una alteración de determinados aspectos del régimen retributivo anterior. Estamos pues ante una norma clara, que no genera duda sobre sus efectos, los presupuestos de hecho a los que se aplica o sus consecuencias jurídicas, por lo que, ni desde una vertiente objetiva ni desde una subjetiva genera incertidumbre sobre su alcance. En una situación de crisis económica generalizada, modificaciones análogas a la presente han sido llevadas a cabo en éste y en otros sectores económicos, que, además, están sometidos a una intervención administrativa más intensa, dada su incidencia en los intereses generales, como lo es la actividad de producción de energía eléctrica. Ello hace particularmente inviable la pretensión de que los elementos más favorables de su régimen económico </w:t>
      </w:r>
      <w:r>
        <w:lastRenderedPageBreak/>
        <w:t>estén investidos de una pretensión de permanencia e inalterabilidad en el tiempo, pues es precisamente la protección de esos intereses generales la premisa que obliga a los poderes públicos a adaptar su regulación al cambio de las circunstancias.</w:t>
      </w:r>
    </w:p>
    <w:p w:rsidR="00163957" w:rsidRDefault="00163957" w:rsidP="00163957">
      <w:pPr>
        <w:pStyle w:val="TextoNormal"/>
      </w:pPr>
    </w:p>
    <w:p w:rsidR="00163957" w:rsidRDefault="00163957" w:rsidP="00163957">
      <w:pPr>
        <w:pStyle w:val="TextoNormal"/>
      </w:pPr>
      <w:r>
        <w:t>En palabras de este Tribunal, los principios de seguridad jurídica y confianza legítima no permiten consagrar un pretendido derecho a la congelación del ordenamiento jurídico existente (SSTC 182/1997, de 28 de octubre, FJ 13, y 183/2014, de 6 de noviembre, FJ 3) ni, evidentemente pueden impedir la introducción de modificaciones legislativas repentinas, máxime cuando lo hace el legislador de urgencia (STC 237/2012, de 13 de diciembre, FJ 6). En estos casos, es precisamente la perentoriedad de la reacción legislativa —cuya concurrencia en este caso ya ha sido examinada— la que abre la puerta a la injerencia del gobierno en la legislación vigente, al amparo del art. 86.1 CE (STC 81/2015, de 30 de abril, FJ 8). No sería coherente con el carácter dinámico del ordenamiento jurídico y con nuestra doctrina constante acerca de que la realización del principio de seguridad jurídica, aquí en su vertiente de protección de la confianza legítima, no puede dar lugar a la congelación o petrificación de ese mismo ordenamiento (por todas, STC 183/2014, FJ 3), por lo que no cabe sino concluir que la regulación impugnada se enmarca en el margen de configuración del legislador, que tiene plena libertad para elegir entre las distintas opciones posibles, dentro de la Constitución”.</w:t>
      </w:r>
    </w:p>
    <w:p w:rsidR="00163957" w:rsidRDefault="00163957" w:rsidP="00163957">
      <w:pPr>
        <w:pStyle w:val="TextoNormal"/>
      </w:pPr>
    </w:p>
    <w:p w:rsidR="00163957" w:rsidRDefault="00163957" w:rsidP="00163957">
      <w:pPr>
        <w:pStyle w:val="TextoNormal"/>
      </w:pPr>
      <w:r w:rsidRPr="00163957">
        <w:rPr>
          <w:rStyle w:val="NumeroAFNegritaCaracter"/>
        </w:rPr>
        <w:t>5</w:t>
      </w:r>
      <w:r>
        <w:t>. Se alega también por los recurrentes que la regulación impugnada viene a establecer una retroactividad incompatible con lo dispuesto en el art. 9.3 CE.</w:t>
      </w:r>
    </w:p>
    <w:p w:rsidR="00163957" w:rsidRDefault="00163957" w:rsidP="00163957">
      <w:pPr>
        <w:pStyle w:val="TextoNormal"/>
      </w:pPr>
    </w:p>
    <w:p w:rsidR="00163957" w:rsidRDefault="00163957" w:rsidP="00163957">
      <w:pPr>
        <w:pStyle w:val="TextoNormal"/>
      </w:pPr>
      <w:r>
        <w:t>Conviene precisar a este respecto que, como ya se avanzó, el Real Decreto-ley 9/2013, viene a establecer un nuevo régimen retributivo para determinadas instalaciones de producción de energía eléctrica; deroga expresamente el Real Decreto 661/2007, de 25 de mayo, por el que se regula la actividad de producción de energía eléctrica en régimen especial, así como el Real Decreto 1578/2008, de 26 de septiembre, de retribución de la actividad de producción de energía eléctrica mediante tecnología solar fotovoltaica. Pero, el nuevo sistema retributivo, iniciado por el Real Decreto-ley 9/2013 y asumido por la Ley 24/2013, requiere el necesario desarrollo reglamentario para la aplicación efectiva de dicho régimen retributivo a cada una de las instalaciones de producción de energía eléctrica, y, para resolver la situación de vacío reglamentario provocado por la derogación de los anteriores reglamentos, la disposición transitoria tercera del mismo, dispone que temporalmente serán de aplicación los derogados Reales Decretos 661/2007 y 1578/2008, con carácter transitorio, hasta la aprobación de las disposiciones necesarias para la plena aplicación del nuevo régimen retributivo.</w:t>
      </w:r>
    </w:p>
    <w:p w:rsidR="00163957" w:rsidRDefault="00163957" w:rsidP="00163957">
      <w:pPr>
        <w:pStyle w:val="TextoNormal"/>
      </w:pPr>
    </w:p>
    <w:p w:rsidR="00163957" w:rsidRDefault="00163957" w:rsidP="00163957">
      <w:pPr>
        <w:pStyle w:val="TextoNormal"/>
      </w:pPr>
      <w:r>
        <w:t xml:space="preserve">El desarrollo reglamentario de este nuevo régimen retributivo, previsto en la disposición final segunda del Real Decreto-ley 9/2013 y reiterado en la disposición final tercera de la Ley 24/2013, de 26 de diciembre, del sector eléctrico, se ha llevado a cabo a través del Real Decreto 413/2014, de 6 de junio, por el que se regula la actividad de producción de energía eléctrica a partir de fuentes de energía renovables, cogeneración y residuos, y con ello ha cesado la aplicación del régimen transitorio previsto en la disposición transitoria tercera. Como ya afirmamos en las SSTC 96/2014, FJ 3 c), y 183/2014, FJ 2, “lo sucedido durante estos meses es que las instalaciones existentes han recibido los pagos procedentes de ´liquidaciones a cuenta´ del nuevo sistema, emitidas al amparo de ese régimen transitorio. Este fue previsto al objeto de mantener los flujos retributivos de las instalaciones, evitando los </w:t>
      </w:r>
      <w:r>
        <w:lastRenderedPageBreak/>
        <w:t>perjuicios que hubiera causado la demora en el desarrollo reglamentario. Una vez aprobadas las disposiciones normativas necesarias para la aplicación definitiva del nuevo régimen retributivo, se procederá a practicar una regularización correspondiente por los derechos de cobro o en su caso las obligaciones de pago resultantes de la aplicación del vigente sistema retributivo, con efectos desde la entrada en vigor del Real Decreto-ley 9/2013, de 12 de julio, tal y como establece su disposición final segunda."</w:t>
      </w:r>
    </w:p>
    <w:p w:rsidR="00163957" w:rsidRDefault="00163957" w:rsidP="00163957">
      <w:pPr>
        <w:pStyle w:val="TextoNormal"/>
      </w:pPr>
    </w:p>
    <w:p w:rsidR="00163957" w:rsidRDefault="00163957" w:rsidP="00163957">
      <w:pPr>
        <w:pStyle w:val="TextoNormal"/>
      </w:pPr>
      <w:r>
        <w:t>En definitiva, el Real Decreto-ley 9/2013 entró en vigor al día siguiente de su publicación en el “Boletín Oficial del Estado” (tal y como establece su disposición final décima), pero sus efectos, en lo relativo a las liquidaciones derivadas del nuevo régimen retributivo, se aplican a partir de la publicación del Real Decreto 413/2014, produciéndose una disociación temporal entre la vigencia inmediata de la norma y el ámbito temporal de eficacia, que tiene un efecto retroactivo.</w:t>
      </w:r>
    </w:p>
    <w:p w:rsidR="00163957" w:rsidRDefault="00163957" w:rsidP="00163957">
      <w:pPr>
        <w:pStyle w:val="TextoNormal"/>
      </w:pPr>
    </w:p>
    <w:p w:rsidR="00163957" w:rsidRDefault="00163957" w:rsidP="00163957">
      <w:pPr>
        <w:pStyle w:val="TextoNormal"/>
      </w:pPr>
      <w:r>
        <w:t xml:space="preserve">Recogiendo de nuevo lo señalado en la STC 270/2015, FJ 7 c), procede recordar que “el límite expreso de la retroactividad </w:t>
      </w:r>
      <w:r w:rsidRPr="00163957">
        <w:rPr>
          <w:i/>
        </w:rPr>
        <w:t>in peius</w:t>
      </w:r>
      <w:r>
        <w:t xml:space="preserve"> de las leyes que el art. 9.3 CE garantiza, se circunscribe a las leyes </w:t>
      </w:r>
      <w:r w:rsidRPr="00163957">
        <w:rPr>
          <w:i/>
        </w:rPr>
        <w:t>ex post facto</w:t>
      </w:r>
      <w:r>
        <w:t xml:space="preserve"> sancionadoras o restrictivas de derechos individuales. Fuera de estos dos ámbitos, nada impide al legislador dotar a la ley del grado de retroactividad que considere oportuno, ya que de lo contrario se podrían producir situaciones de congelación o petrificación del ordenamiento jurídico (STC 49/2015, de 5 de marzo, FJ 4). Como ya señalábamos desde nuestros primeros pronunciamientos (SSTC 42/1986, de 10 de abril, FJ 3, y 65/1987, de 21 de mayo, FJ 19), lo que se prohíbe en ese art. 9.3 CE es la retroactividad entendida como incidencia de la nueva ley en los efectos jurídicos ya producidos de situaciones anteriores. La irretroactividad sólo es aplicable a los derechos consolidados, asumidos e integrados en el patrimonio del sujeto y no a los pendientes, futuros, condicionados y expectativas [por todas, SSTC 99/1987, de 11 de junio, FJ 6 b), y 178/1989, de 2 de noviembre, FJ 9], de forma que sólo puede afirmarse que una norma es retroactiva a los efectos del art. 9.3 CE cuando incide sobre relaciones consagradas y afecta a situaciones agotadas [STC 99/1987, FJ 6 b)], supuesto en el que la prohibición de retroactividad operaría plenamente y solo exigencias cualificadas del bien común podrían imponerse excepcionalmente a tal principio. Por el contrario, en el caso de la retroactividad impropia, que incide en situaciones no concluidas, hay que reconocer al legislador un amplio margen de libertad, de suerte que no entran dentro del ámbito de la retroactividad prohibida las disposiciones que, carentes de efectos ablativos o peyorativos hacia el pasado, despliegan su eficacia inmediata hacia el futuro aunque ello suponga incidir en una relación o situación jurídica aún en curso.</w:t>
      </w:r>
    </w:p>
    <w:p w:rsidR="00163957" w:rsidRDefault="00163957" w:rsidP="00163957">
      <w:pPr>
        <w:pStyle w:val="TextoNormal"/>
      </w:pPr>
    </w:p>
    <w:p w:rsidR="00163957" w:rsidRDefault="00163957" w:rsidP="00163957">
      <w:pPr>
        <w:pStyle w:val="TextoNormal"/>
      </w:pPr>
      <w:r>
        <w:t xml:space="preserve">En suma, conforme a la doctrina de este Tribunal, el art. 9.3 CE no contiene una prohibición absoluta de retroactividad que conduciría a situaciones congeladoras del ordenamiento contrarias al art. 9.3 CE (STC 126/1987, de 16 de julio, FJ 11), ni impide que las leyes puedan afectar a derechos e intereses derivados de situaciones jurídicas que siguen produciendo efectos, pues no hay retroactividad proscrita cuando una norma regula </w:t>
      </w:r>
      <w:r w:rsidRPr="00163957">
        <w:rPr>
          <w:i/>
        </w:rPr>
        <w:t>pro futuro</w:t>
      </w:r>
      <w:r>
        <w:t xml:space="preserve"> situaciones jurídicas creadas con anterioridad a su entrada en vigor o cuyos efectos no se han consumado, ya que el legislador puede variar ex nunc el régimen jurídico preexistente de los derechos individuales, siempre que se ajuste a las restantes exigencias de la Constitución (STC 227/1988, de 29 de noviembre, FJ 9).</w:t>
      </w:r>
    </w:p>
    <w:p w:rsidR="00163957" w:rsidRDefault="00163957" w:rsidP="00163957">
      <w:pPr>
        <w:pStyle w:val="TextoNormal"/>
      </w:pPr>
    </w:p>
    <w:p w:rsidR="00163957" w:rsidRDefault="00163957" w:rsidP="00163957">
      <w:pPr>
        <w:pStyle w:val="TextoNormal"/>
      </w:pPr>
      <w:r>
        <w:lastRenderedPageBreak/>
        <w:t>El Real Decreto-ley 9/2013 tiene una vigencia inmediata y produce efectos a partir de su entrada en vigor. Los titulares de las instalaciones de producción de energía eléctrica en régimen primado están sujetos a ese nuevo régimen retributivo desde la fecha de entrada en vigor del Real Decreto-ley 9/2013, sin perjuicio de que la cuantificación precisa de dicha retribución no se produzca hasta la aprobación de la norma reglamentaria correspondiente, y sin que dicha sujeción conlleve una afectación desfavorable a los derechos adquiridos, desde una perspectiva constitucional, esto es, no incide en derechos patrimoniales previamente consolidados e incorporados definitivamente al patrimonio del destinatario, o en situaciones jurídicas ya agotadas o consumadas.</w:t>
      </w:r>
    </w:p>
    <w:p w:rsidR="00163957" w:rsidRDefault="00163957" w:rsidP="00163957">
      <w:pPr>
        <w:pStyle w:val="TextoNormal"/>
      </w:pPr>
    </w:p>
    <w:p w:rsidR="00163957" w:rsidRDefault="00163957" w:rsidP="00163957">
      <w:pPr>
        <w:pStyle w:val="TextoNormal"/>
      </w:pPr>
      <w:r>
        <w:t>De este modo una medida normativa como la impugnada no entra en el ámbito de la retroactividad prohibida por el art. 9.3 CE, pues nos hallamos ante relaciones jurídicas no concluidas, cuya resistencia a la retroactividad de la ley es menor que en los supuestos de retroactividad auténtica, debiendo reconocérsele al legislador un amplio margen de libertad en la constatación de la concurrencia de circunstancias concretas y razones que pudieran ser discutibles en el debate político, pero que, desde el punto de vista constitucional, aparecen como suficientes para justificar la retroactividad impropia ante la que nos encontramos.</w:t>
      </w:r>
    </w:p>
    <w:p w:rsidR="00163957" w:rsidRDefault="00163957" w:rsidP="00163957">
      <w:pPr>
        <w:pStyle w:val="TextoNormal"/>
      </w:pPr>
    </w:p>
    <w:p w:rsidR="00163957" w:rsidRDefault="00163957" w:rsidP="00163957">
      <w:pPr>
        <w:pStyle w:val="TextoNormal"/>
      </w:pPr>
      <w:r>
        <w:t xml:space="preserve">No estamos, en suma, ante una norma sancionadora o restrictiva de derechos, ni ante una regulación que afecte a una situación “agotada”, consolidada, perfeccionada o patrimonializada —en los términos utilizados por nuestra jurisprudencia— que haya sido revertida </w:t>
      </w:r>
      <w:r w:rsidRPr="00163957">
        <w:rPr>
          <w:i/>
        </w:rPr>
        <w:t>in peius</w:t>
      </w:r>
      <w:r>
        <w:t xml:space="preserve"> con efecto retroactivo, por lo que no concurre un supuesto de retroactividad constitucionalmente prohibida, y, en consecuencia, no se produce una vulneración del art. 9.3 CE”.</w:t>
      </w:r>
    </w:p>
    <w:p w:rsidR="00163957" w:rsidRDefault="00163957" w:rsidP="00163957">
      <w:pPr>
        <w:pStyle w:val="TextoNormal"/>
      </w:pPr>
    </w:p>
    <w:p w:rsidR="00163957" w:rsidRDefault="00163957" w:rsidP="00163957">
      <w:pPr>
        <w:pStyle w:val="TextoNormal"/>
      </w:pPr>
      <w:r w:rsidRPr="00163957">
        <w:rPr>
          <w:rStyle w:val="NumeroAFNegritaCaracter"/>
        </w:rPr>
        <w:t>6</w:t>
      </w:r>
      <w:r>
        <w:t>. Finalmente, se alega por los recurrentes la vulneración del art. 53.1 CE por considerar que la disposición final segunda del Real Decreto-ley realiza una remisión en bloque al desarrollo reglamentario para la regulación del nuevo régimen retributivo, que infringe el principio de reserva de ley, en cuanto afecta a una materia que forma parte del núcleo o contenido esencial del derecho a la libertad de empresa, contemplado en el art. 38 CE.</w:t>
      </w:r>
    </w:p>
    <w:p w:rsidR="00163957" w:rsidRDefault="00163957" w:rsidP="00163957">
      <w:pPr>
        <w:pStyle w:val="TextoNormal"/>
      </w:pPr>
    </w:p>
    <w:p w:rsidR="00163957" w:rsidRDefault="00163957" w:rsidP="00163957">
      <w:pPr>
        <w:pStyle w:val="TextoNormal"/>
      </w:pPr>
      <w:r>
        <w:t>El argumento esgrimido no puede ser aceptado, pues, de conformidad con nuestra doctrina, el hecho de que la regulación del régimen retributivo de estas instalaciones, pueda incidir en las condiciones de ejercicio de la actividad empresarial, no implica necesariamente que se produzca una afectación a la libertad de empresa que haya de ser considerada contraria a la Constitución, pues “la libertad de empresa reconocida en el art. 38 CE exige que las regulaciones públicas que afectan al ejercicio de una actividad empresarial, sin afectar al propio acceso a la misma, sean constitucionalmente adecuadas”, es decir “no sean en sí mismas irracionales o arbitrarias” y garanticen “la igualdad de limitaciones de la actividad económica para las empresas de una misma clase ante cada ordenamiento individualmente considerado” (STC 53/2014, de 10 de abril, FJ 7).</w:t>
      </w:r>
    </w:p>
    <w:p w:rsidR="00163957" w:rsidRDefault="00163957" w:rsidP="00163957">
      <w:pPr>
        <w:pStyle w:val="TextoNormal"/>
      </w:pPr>
    </w:p>
    <w:p w:rsidR="00163957" w:rsidRDefault="00163957" w:rsidP="00163957">
      <w:pPr>
        <w:pStyle w:val="TextoNormal"/>
      </w:pPr>
      <w:r>
        <w:t xml:space="preserve">En el presente supuesto, y como se ha señalado reiteradamente a lo largo del texto, la modificación del régimen retributivo de esta modalidad de producción de energía obedece a una motivación justificada y cierta, concretada en la garantía de la sostenibilidad del régimen económico del sector eléctrico, esto es, trae causa directa de la necesidad de satisfacción de intereses públicos generales, ligados a la reducción de un déficit público que había devenido en estructural y en la adecuación del marco regulatorio a la variaciones que puedan </w:t>
      </w:r>
      <w:r>
        <w:lastRenderedPageBreak/>
        <w:t>darse en los datos económicos, mediante la revisión de los parámetros iniciales determinantes del cálculo de la tarifa regulada, sin que ello pueda ser calificado de arbitrario ni haya dado lugar a desigualdades entre las empresas del sector. La libre implantación de estas empresas, con conocimiento previo de la existencia de un régimen económico dependiente de la fijación de incentivos económicos por las autoridades públicas —como es el caso de las tarifas y primas de régimen especial—, implica el sometimiento a un riesgo regulatorio, que es precisamente el que deriva de la posible variación de los parámetros aplicables a las primas o incentivos, que la legislación sectorial no excluye.</w:t>
      </w:r>
    </w:p>
    <w:p w:rsidR="00163957" w:rsidRDefault="00163957" w:rsidP="00163957">
      <w:pPr>
        <w:pStyle w:val="TextoNormal"/>
      </w:pPr>
    </w:p>
    <w:p w:rsidR="00163957" w:rsidRDefault="00163957" w:rsidP="00163957">
      <w:pPr>
        <w:pStyle w:val="TextoNormal"/>
      </w:pPr>
      <w:r>
        <w:t>Por último cabe rechazar también que los preceptos impugnados vulneren el principio de reserva de ley formal, pues la regulación del nuevo régimen retributivo aplicable a estas instalaciones, se contiene en una norma con rango formal de ley, como es el Real Decreto-ley 9/2013, sin que quepa afirmar, como pretenden los recurrentes, que el mismo lleve a cabo una deslegalización general o una remisión en bloque a la normativa reglamentaria, pues la norma impugnada contiene una determinación precisa de las condiciones y requisitos del nuevo régimen retributivo, mediante el establecimiento de unos criterios explícitos y determinados, de modo que los elementos normativos esenciales de la reforma están prefijados en la nueva redacción que se da al art. 30.4 de la Ley 54/1997, por el art. 1.3 del Real Decreto-ley. La expresión contenida en la disposición final segunda, en cuanto se refiere al “Real Decreto del Gobierno que modificará el modelo retributivo” implica —al margen del mayor o menor acierto en la expresión—, que el desarrollo, detalle o concreción del mismo se producirá a través de una norma reglamentaria, que no constituye sino fruto del ejercicio de la actividad normativa complementaria de carácter técnico.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presente recurso de inconstitucionalidad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dieciocho de febrero de dos mil dieciséis.</w:t>
      </w:r>
    </w:p>
    <w:p w:rsidR="00163957" w:rsidRDefault="00163957" w:rsidP="00163957">
      <w:pPr>
        <w:pStyle w:val="ParrafoNormal"/>
      </w:pPr>
    </w:p>
    <w:p w:rsidR="00163957" w:rsidRDefault="00163957" w:rsidP="00163957">
      <w:pPr>
        <w:pStyle w:val="TextoNormalNegritaCentrado"/>
        <w:keepNext/>
      </w:pPr>
      <w:r>
        <w:t>Voto particular concurrente que formula el Magistrado don Juan Antonio Xiol Ríos respecto de la Sentencia dictada en el recurso de inconstitucionalidad núm. 6031-2013, al que se adhieren la Magistrada doña Adela Asua Batarrita y el Magistrado don Fernando Valdés Dal-Ré.</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en la que se sustenta la sentencia, manifiesto mi discrepancia con su fundamentación jurídica, aunque no con el fallo, referida a la invocación de los principios de seguridad jurídica y confianza legítima analizada en el fundamento jurídico 4, respecto de la modificación del régimen de incentivos a las energías renovables.</w:t>
      </w:r>
    </w:p>
    <w:p w:rsidR="00163957" w:rsidRDefault="00163957" w:rsidP="00163957">
      <w:pPr>
        <w:pStyle w:val="TextoNormal"/>
      </w:pPr>
    </w:p>
    <w:p w:rsidR="00163957" w:rsidRDefault="00163957" w:rsidP="00163957">
      <w:pPr>
        <w:pStyle w:val="TextoNormal"/>
      </w:pPr>
      <w:r>
        <w:t>La razón de mi discrepancia es coincidente con la que ya fue expuesta en el Voto particular concurrente a la STC 270/2015, de 17 de diciembre, al que para evitar reiteraciones innecesarias me remito.</w:t>
      </w:r>
    </w:p>
    <w:p w:rsidR="00163957" w:rsidRDefault="00163957" w:rsidP="00163957">
      <w:pPr>
        <w:pStyle w:val="TextoNormal"/>
      </w:pPr>
    </w:p>
    <w:p w:rsidR="00163957" w:rsidRDefault="00163957" w:rsidP="00163957">
      <w:pPr>
        <w:pStyle w:val="TextoNormal"/>
      </w:pPr>
      <w:r>
        <w:t>Madrid, a dieciocho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34" w:name="SENTENCIA_2016_31"/>
      <w:r>
        <w:lastRenderedPageBreak/>
        <w:t>SENTENCIA 31/2016, de 18 de febrero de 2016</w:t>
      </w:r>
    </w:p>
    <w:bookmarkEnd w:id="34"/>
    <w:p w:rsidR="00163957" w:rsidRDefault="00163957" w:rsidP="00163957">
      <w:pPr>
        <w:pStyle w:val="TtuloResolucin"/>
      </w:pPr>
      <w:r>
        <w:t>Pleno</w:t>
      </w:r>
    </w:p>
    <w:p w:rsidR="00163957" w:rsidRDefault="00163957" w:rsidP="00163957">
      <w:pPr>
        <w:pStyle w:val="TtuloBOE"/>
      </w:pPr>
      <w:r>
        <w:t>(BOE núm. 71, de 23 de marzo de 2016)</w:t>
      </w:r>
    </w:p>
    <w:p w:rsidR="00163957" w:rsidRDefault="00163957" w:rsidP="00163957">
      <w:pPr>
        <w:pStyle w:val="TextoNormalCentrado"/>
      </w:pPr>
      <w:r>
        <w:t>ECLI:ES:TC:2016:31</w:t>
      </w:r>
    </w:p>
    <w:p w:rsidR="00163957" w:rsidRDefault="00163957" w:rsidP="00163957">
      <w:pPr>
        <w:pStyle w:val="TextoNormalCentrado"/>
      </w:pPr>
    </w:p>
    <w:p w:rsidR="00163957" w:rsidRDefault="00163957" w:rsidP="00163957">
      <w:pPr>
        <w:pStyle w:val="SntesisDescriptiva"/>
      </w:pPr>
      <w:r>
        <w:t>Conflicto positivo de competencia 6893-2013. Planteado por el Gobierno de Canarias en relación con diversos preceptos del Real Decreto 515/2013, de 5 de julio, por el que se regulan los criterios y el procedimiento para determinar y repercutir las responsabilidades por incumplimiento del Derecho de la Unión Europea.</w:t>
      </w:r>
    </w:p>
    <w:p w:rsidR="00163957" w:rsidRDefault="00163957" w:rsidP="00163957">
      <w:pPr>
        <w:pStyle w:val="SntesisDescriptiva"/>
      </w:pPr>
    </w:p>
    <w:p w:rsidR="00163957" w:rsidRDefault="00163957" w:rsidP="00163957">
      <w:pPr>
        <w:pStyle w:val="SntesisAnaltica"/>
      </w:pPr>
      <w:r>
        <w:t>Autonomía financiera, procedimiento de responsabilidad patrimonial: adecuado ejercicio de las competencias estatales (STC 215/2014).</w:t>
      </w:r>
    </w:p>
    <w:p w:rsidR="00163957" w:rsidRDefault="00163957" w:rsidP="00163957">
      <w:pPr>
        <w:pStyle w:val="SntesisAnaltica"/>
      </w:pPr>
    </w:p>
    <w:p w:rsidR="00163957" w:rsidRDefault="00163957" w:rsidP="00163957">
      <w:pPr>
        <w:pStyle w:val="Extracto"/>
      </w:pPr>
      <w:r>
        <w:t>1.</w:t>
      </w:r>
      <w:r>
        <w:tab/>
        <w:t>El establecimiento de un mecanismo de responsabilidad por incumplimiento del Derecho de la Unión Europea es desarrollo del principio de responsabilidad previsto en el art. 8 de la Ley Orgánica 2/2012, es decir, que las Administraciones Públicas que incumplan las obligaciones contenidas en esta Ley así como las que provoquen o contribuya a producir el incumplimiento de los compromisos asumidos por España de acuerdo con la normativa europea asumirán en la parte que les sea imputable las responsabilidades que de tal incumplimiento se hubiesen derivado (STC 215/2014) [FJ 4 a)].</w:t>
      </w:r>
    </w:p>
    <w:p w:rsidR="00163957" w:rsidRDefault="00163957" w:rsidP="00163957">
      <w:pPr>
        <w:pStyle w:val="Extracto"/>
      </w:pPr>
    </w:p>
    <w:p w:rsidR="00163957" w:rsidRDefault="00163957" w:rsidP="00163957">
      <w:pPr>
        <w:pStyle w:val="Extracto"/>
      </w:pPr>
      <w:r>
        <w:t>2.</w:t>
      </w:r>
      <w:r>
        <w:tab/>
        <w:t xml:space="preserve">La atribución al Consejo de Ministros de la competencia para concretar la  responsabilidad individual derivada del incumplimiento de las normas de Derecho de la Unión Europea no es lesiva de la autonomía financiera de las Comunidades Autónomas, pues aun cuando el incumplimiento del Derecho de la Unión Europea no justifica la asunción por el Estado de una competencia que no le corresponde, tampoco le impide repercutir </w:t>
      </w:r>
      <w:r w:rsidRPr="00163957">
        <w:rPr>
          <w:i/>
        </w:rPr>
        <w:t>ad intra</w:t>
      </w:r>
      <w:r>
        <w:t>, sobre las Administraciones públicas autonómicas competentes, la responsabilidad que en cada caso proceda (SSTC 79/1992, 130/2013, 215/2014) [FJ 4 b)].</w:t>
      </w:r>
    </w:p>
    <w:p w:rsidR="00163957" w:rsidRDefault="00163957" w:rsidP="00163957">
      <w:pPr>
        <w:pStyle w:val="Extracto"/>
      </w:pPr>
    </w:p>
    <w:p w:rsidR="00163957" w:rsidRDefault="00163957" w:rsidP="00163957">
      <w:pPr>
        <w:pStyle w:val="Extracto"/>
      </w:pPr>
      <w:r>
        <w:t>3.</w:t>
      </w:r>
      <w:r>
        <w:tab/>
        <w:t>Corresponde al Estado establecer los sistemas de compensación interadministrativa de la responsabilidad financiera que pudiera generarse para el propio Estado en el caso de que dichas irregularidades o carencias se produjeran efectivamente y así se constatara por las instituciones comunitarias (SSTC 188/2011, 130/2013) [FJ 4 b)].</w:t>
      </w:r>
    </w:p>
    <w:p w:rsidR="00163957" w:rsidRDefault="00163957" w:rsidP="00163957">
      <w:pPr>
        <w:pStyle w:val="Extracto"/>
      </w:pPr>
    </w:p>
    <w:p w:rsidR="00163957" w:rsidRDefault="00163957" w:rsidP="00163957">
      <w:pPr>
        <w:pStyle w:val="Extracto"/>
      </w:pPr>
      <w:r>
        <w:t>4.</w:t>
      </w:r>
      <w:r>
        <w:tab/>
        <w:t>Doctrina sobre el cumplimiento de la carga de alegar en los procesos constitucionales (SSTC 204/2011, 100/2013, 208/2014)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lastRenderedPageBreak/>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conflicto positivo de competencia núm. 6893-2013, promovido por el Gobierno de Canarias contra los artículos 1; 3; 4.2; 5, apartados 3 y 4; 6; 7; 9; 10; 11; 12.1; 13 y disposición adicional segunda del Real Decreto 515/2013, de 5 de julio, por el que se regulan los criterios y el procedimiento para determinar y repercutir las responsabilidades por incumplimiento del Derecho de la Unión Europea. Ha intervenido y formulado alegaciones el Abogado del Estado. Ha sido Ponente el Magistrado don Pedro José González-Trevijano Sánchez, que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Constitucional el día 25 de noviembre de 2013, la Directora General del servicio jurídico del Gobierno de Canarias, en la representación que legalmente ostenta, interpuso conflicto positivo de competencia con relación con los artículos 1; 3; 4.2; 5, apartados 3 y 4; 6; 7; 9; 10; 11; 12.1; 13 y disposición adicional segunda del Real Decreto 515/2013, de 5 de julio, por el que se regulan los criterios y el procedimiento para determinar y repercutir las responsabilidades por incumplimiento del Derecho de la Unión Europea.</w:t>
      </w:r>
    </w:p>
    <w:p w:rsidR="00163957" w:rsidRDefault="00163957" w:rsidP="00163957">
      <w:pPr>
        <w:pStyle w:val="TextoNormal"/>
      </w:pPr>
    </w:p>
    <w:p w:rsidR="00163957" w:rsidRDefault="00163957" w:rsidP="00163957">
      <w:pPr>
        <w:pStyle w:val="TextoNormal"/>
      </w:pPr>
      <w:r>
        <w:t>Comienza la demanda destacando la vinculación de este conflicto con el recurso de inconstitucionalidad interpuesto por la misma Comunidad Autónoma y registrado con el número 557-2013, frente a la Ley Orgánica 2/2012, de 27 de abril, de estabilidad presupuestaria y sostenibilidad financiera (Ley Orgánica 2/2012, en adelante). Reitera seguidamente los motivos de inconstitucionalidad que entonces se alegaron frente a la disposición adicional segunda de la Ley Orgánica 2/2012, exponiendo que son también aplicables al Real Decreto 515/2013 que se impugna ahora, toda vez que éste también desconocería el sistema de distribución competencial establecido en el bloque de la constitucionalidad e interpretado por la jurisprudencia constitucional.</w:t>
      </w:r>
    </w:p>
    <w:p w:rsidR="00163957" w:rsidRDefault="00163957" w:rsidP="00163957">
      <w:pPr>
        <w:pStyle w:val="TextoNormal"/>
      </w:pPr>
    </w:p>
    <w:p w:rsidR="00163957" w:rsidRDefault="00163957" w:rsidP="00163957">
      <w:pPr>
        <w:pStyle w:val="TextoNormal"/>
      </w:pPr>
      <w:r>
        <w:t>A partir de lo anterior, especifica que el punto de partida del conflicto lo constituye el régimen de derivación de responsabilidad hacia las Administraciones públicas por incumplimiento del Derecho de la Unión Europea. Tal régimen “no puede altear las competencias de las Comunidades Autónomas a quienes les correspondería depurar en el orden interno sus propias responsabilidades en el ejercicio de sus competencias”, algo que sin embargo se lleva a cabo en la regulación contenida en el Real Decreto 515/2013, que no respeta las competencias autonómicas, “violentando de forma notoria el principio de lealtad institucional”. Razona que con el procedimiento allí regulado la Administración del Estado pasa a ocupar una posición de superioridad jerárquica respecto de las Comunidades Autónomas, ignorando mecanismos de colaboración y coordinación que propicien la participación de éstas en los procedimientos de depuración de responsabilidades.</w:t>
      </w:r>
    </w:p>
    <w:p w:rsidR="00163957" w:rsidRDefault="00163957" w:rsidP="00163957">
      <w:pPr>
        <w:pStyle w:val="TextoNormal"/>
      </w:pPr>
    </w:p>
    <w:p w:rsidR="00163957" w:rsidRDefault="00163957" w:rsidP="00163957">
      <w:pPr>
        <w:pStyle w:val="TextoNormal"/>
      </w:pPr>
      <w:r>
        <w:lastRenderedPageBreak/>
        <w:t>Así delimitado el objeto central de la controversia, y tras destacar nuevamente su íntima conexión con el recurso de inconstitucionalidad dirigido, por la misma demandante, contra la disposición adicional segunda de la Ley Orgánica 2/2012, realiza los siguientes reproches a la norma impugnada:</w:t>
      </w:r>
    </w:p>
    <w:p w:rsidR="00163957" w:rsidRDefault="00163957" w:rsidP="00163957">
      <w:pPr>
        <w:pStyle w:val="TextoNormal"/>
      </w:pPr>
    </w:p>
    <w:p w:rsidR="00163957" w:rsidRDefault="00163957" w:rsidP="00163957">
      <w:pPr>
        <w:pStyle w:val="TextoNormal"/>
      </w:pPr>
      <w:r>
        <w:t>a) En primer lugar, considera que el art. 1, en conexión con el art. 3, del Real Decreto (referidos respectivamente al objeto y al ámbito objetivo de aplicación de la norma), vulneran la autonomía financiera de la Comunidad Autónoma “por compartir el exceso imputable a la disposición adicional segunda de la Ley Orgánica 2/2012, en relación con el mandato del art. 135 CE”. Dicho exceso consiste en que se extienden las materias que dan lugar a la acción de repetición del Estado más allá de la causa derivada del incumplimiento de los principios de estabilidad presupuestaria. Lo mismo sucede, por conexión, con los apartados 3 y 4 del artículo 5, que se refieren a los fondos europeos agrícolas y a aquéllos en los que exista un convenio, contrato o acuerdo específico que regule la actuación conjunta, así como con el apartado 1 del artículo 12, toda vez que en ellos se abre el ámbito objetivo a materias propias de distintos departamentos ministeriales.</w:t>
      </w:r>
    </w:p>
    <w:p w:rsidR="00163957" w:rsidRDefault="00163957" w:rsidP="00163957">
      <w:pPr>
        <w:pStyle w:val="TextoNormal"/>
      </w:pPr>
    </w:p>
    <w:p w:rsidR="00163957" w:rsidRDefault="00163957" w:rsidP="00163957">
      <w:pPr>
        <w:pStyle w:val="TextoNormal"/>
      </w:pPr>
      <w:r>
        <w:t>b) En segundo lugar, razona que debe ser la Administración competente por razón de la materia, y no el Estado, la que tiene que depurar en el orden interno su propia responsabilidad, debiéndose por ello otorgar una participación directa a la Comunidad Autónoma competente por razón de la materia y del territorio, mediante una relación bilateral. La derivación ejecutiva de la responsabilidad vulnera las reglas de competenciales porque con ello asume el Estado la fase de cognición de la acción de repetición sin que esté facultado para ello. Sin perjuicio de lo anterior, considera que tampoco se dan los requisitos para el mecanismo de la compensación de créditos que se prevé, porque no se dan en ellos las condiciones de que sean líquidos, vencidos, y exigibles. En su apoyo cita la STC 36/2013, cuyo fundamento jurídico 9 contiene un pronunciamiento sobre la derivación de la responsabilidad por incumplimiento del Derecho de la Unión Europea, que no permite la acción unilateral y ejecutiva que se contempla en el presente Real Decreto 515/2013.</w:t>
      </w:r>
    </w:p>
    <w:p w:rsidR="00163957" w:rsidRDefault="00163957" w:rsidP="00163957">
      <w:pPr>
        <w:pStyle w:val="TextoNormal"/>
      </w:pPr>
    </w:p>
    <w:p w:rsidR="00163957" w:rsidRDefault="00163957" w:rsidP="00163957">
      <w:pPr>
        <w:pStyle w:val="TextoNormal"/>
      </w:pPr>
      <w:r>
        <w:t>Estarían afectados, en suma, por esta tacha los arts. 4.2, 6, 7, 9 y 13 del Real Decreto 515/2013, toda vez que los mismos no otorgan una participación en el proceso de decisión a la Comunidad Autónoma competente por razón de la materia.</w:t>
      </w:r>
    </w:p>
    <w:p w:rsidR="00163957" w:rsidRDefault="00163957" w:rsidP="00163957">
      <w:pPr>
        <w:pStyle w:val="TextoNormal"/>
      </w:pPr>
    </w:p>
    <w:p w:rsidR="00163957" w:rsidRDefault="00163957" w:rsidP="00163957">
      <w:pPr>
        <w:pStyle w:val="TextoNormal"/>
      </w:pPr>
      <w:r>
        <w:t>c) El orden de lealtad institucional y de respeto de las competencias ajenas se quiebra también, razona la demanda, con la atribución de la competencia al Consejo de Ministros para que adopte las medidas de carácter provisional que resulten necesarias para asegurar la eficacia de la resolución que pudiera recaer, contenida en el art. 10 del Real Decreto 515/2013.</w:t>
      </w:r>
    </w:p>
    <w:p w:rsidR="00163957" w:rsidRDefault="00163957" w:rsidP="00163957">
      <w:pPr>
        <w:pStyle w:val="TextoNormal"/>
      </w:pPr>
    </w:p>
    <w:p w:rsidR="00163957" w:rsidRDefault="00163957" w:rsidP="00163957">
      <w:pPr>
        <w:pStyle w:val="TextoNormal"/>
      </w:pPr>
      <w:r>
        <w:t>Considera que aquí se otorga un tratamiento a la Administración presuntamente responsable “como a cualquier particular que se relacione con la administración en el marco de un procedimiento administrativo, sin tener en cuenta que cualquiera de las administraciones territoriales afectadas … gozan de autonomía constitucionalmente garantizada”. Añade a ello que se produce una quiebra sustancial de la seguridad jurídica, toda vez que no se precisa el elenco de medidas provisionales que podrían utilizarse, situando a la Administración afectada en una posición de grave indefensión.</w:t>
      </w:r>
    </w:p>
    <w:p w:rsidR="00163957" w:rsidRDefault="00163957" w:rsidP="00163957">
      <w:pPr>
        <w:pStyle w:val="TextoNormal"/>
      </w:pPr>
    </w:p>
    <w:p w:rsidR="00163957" w:rsidRDefault="00163957" w:rsidP="00163957">
      <w:pPr>
        <w:pStyle w:val="TextoNormal"/>
      </w:pPr>
      <w:r>
        <w:lastRenderedPageBreak/>
        <w:t>d) Por último, la demanda funda el conflicto de competencia en que se dispensa un trato diferente y discriminatorio con respecto de las entidades del sector público estatal, toda vez que en el procedimiento regulado en los artículos 7 y siguientes del Real Decreto se prevé la doble participación del órgano de la Administración estatal que pudiera determinarse como posible sujeto incumplidor. Además, ni el artículo 17 ni la disposición adicional segunda del Real Decreto prevén mecanismos de repercusión de responsabilidades cuando sean atribuidas a la Administración general del Estado, teniendo en cuenta que puede haberlo sido a entidades del sector público estatal que gocen de personalidad jurídica propia. Concluye que “en este tratamiento discriminatorio que propicia el Real Decreto tiene que cobrar un lugar importante el favoritismo que representa el que los órganos u organismos de la Administración y del sector público estatal incursos en responsabilidad pueden acudir al mecanismo de prorrateo de la deuda hasta un máximo de dos ejercicios presupuestarios”, todo lo que no hace sino confirmar que el Estado se excede en el ejercicio de sus competencias e invade las que corresponden a la Comunidad Autónoma, siendo la discriminación de trato una actitud irrazonable y por tanto arbitraria y contraria al art. 9.3 CE.</w:t>
      </w:r>
    </w:p>
    <w:p w:rsidR="00163957" w:rsidRDefault="00163957" w:rsidP="00163957">
      <w:pPr>
        <w:pStyle w:val="TextoNormal"/>
      </w:pPr>
    </w:p>
    <w:p w:rsidR="00163957" w:rsidRDefault="00163957" w:rsidP="00163957">
      <w:pPr>
        <w:pStyle w:val="TextoNormal"/>
      </w:pPr>
      <w:r>
        <w:t>Conclusión de todo lo anterior es que el Real Decreto 515/2013 no respeta las competencias autonómicas y violenta por ello de forma notoria el principio de lealtad institucional, de suerte que la Administración del Estado pasa a ocupar una posición de superioridad jerárquica respecto de las Comunidades Autónomas, ignorando que existen mecanismos de colaboración y coordinación que propician la participación de las Comunidades Autónomas en los procedimientos de depuración de responsabilidades.</w:t>
      </w:r>
    </w:p>
    <w:p w:rsidR="00163957" w:rsidRDefault="00163957" w:rsidP="00163957">
      <w:pPr>
        <w:pStyle w:val="TextoNormal"/>
      </w:pPr>
    </w:p>
    <w:p w:rsidR="00163957" w:rsidRDefault="00163957" w:rsidP="00163957">
      <w:pPr>
        <w:pStyle w:val="TextoNormal"/>
      </w:pPr>
      <w:r w:rsidRPr="00163957">
        <w:rPr>
          <w:rStyle w:val="NumeroAFNegritaCaracter"/>
        </w:rPr>
        <w:t>2</w:t>
      </w:r>
      <w:r>
        <w:t>. Por providencia del Pleno del Tribunal Constitucional de 17 de diciembre de 2013, se acordó admitir a trámite el presente conflicto positivo de competencia y dar traslado de la demanda y documentos presentados al Gobierno de la Nación, por conducto de su Presidente, para que en el plazo de 20 días, por medio de la representación procesal que determina el art. 82.2 de la Ley Orgánica del Tribunal Constitucional (LOTC), aportase cuantos documentos y alegaciones considerase convenientes. Igualmente, se acordó comunicar la incoación del conflicto a la Sala de lo Contencioso-Administrativo del Tribunal Supremo, por si ante la misma estuvieran impugnados o se impugnaren los preceptos cuestionados; en tal caso, se suspendería el curso del proceso hasta la decisión del conflicto, según dispone el art. 61.2 LOTC. Finalmente, se ordenó la publicación de la incoación del conflicto en el “Boletín Oficial del Estado” y en el “Boletín Oficial de Canarias”, (lo que se cumplimentó, respectivamente, en el “BOE” número 306, de 23 de diciembre de 2013 y en el “BOC” número 2, de 3 de enero de 2014).</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registrado ante este Tribunal el 18 de diciembre de 2013, el Abogado del Estado se personó en el proceso solicitando una prórroga del plazo concedido para formular alegaciones, lo que le fue concedido mediante providencia de 19 de diciembre de 2013.</w:t>
      </w:r>
    </w:p>
    <w:p w:rsidR="00163957" w:rsidRDefault="00163957" w:rsidP="00163957">
      <w:pPr>
        <w:pStyle w:val="TextoNormal"/>
      </w:pPr>
    </w:p>
    <w:p w:rsidR="00163957" w:rsidRDefault="00163957" w:rsidP="00163957">
      <w:pPr>
        <w:pStyle w:val="TextoNormal"/>
      </w:pPr>
      <w:r w:rsidRPr="00163957">
        <w:rPr>
          <w:rStyle w:val="NumeroAFNegritaCaracter"/>
        </w:rPr>
        <w:t>4</w:t>
      </w:r>
      <w:r>
        <w:t>. Con fecha de 3 de febrero de 2014 se presentó por el Abogado del Estado, en la representación que ostenta, el escrito de alegaciones que a continuación se resume.</w:t>
      </w:r>
    </w:p>
    <w:p w:rsidR="00163957" w:rsidRDefault="00163957" w:rsidP="00163957">
      <w:pPr>
        <w:pStyle w:val="TextoNormal"/>
      </w:pPr>
    </w:p>
    <w:p w:rsidR="00163957" w:rsidRDefault="00163957" w:rsidP="00163957">
      <w:pPr>
        <w:pStyle w:val="TextoNormal"/>
      </w:pPr>
      <w:r>
        <w:t>Comienza destacando la conexión entre el presente conflicto positivo de competencia y los recursos de inconstitucionalidad interpuestos por el Gobierno de Canarias contra las dis</w:t>
      </w:r>
      <w:r>
        <w:lastRenderedPageBreak/>
        <w:t>posiciones adicionales segunda y tercera de la Ley Orgánica 2/2012, de 27 de abril de estabilidad presupuestaria y sostenibilidad financiera, registrado con el número 557-2013 (resuelto por la STC 115/2014, de 18 de diciembre); y frente a la disposición final segunda del Real Decreto-ley 7/2013, de 28 de junio, de medidas urgentes de naturaleza tributaria, presupuestaria y de fomento de la investigación, por la que se modifica el art. 7 de la Ley 38/2003, de 17 de noviembre, general de subvenciones (recurso de inconstitucionalidad número 5567-2013).</w:t>
      </w:r>
    </w:p>
    <w:p w:rsidR="00163957" w:rsidRDefault="00163957" w:rsidP="00163957">
      <w:pPr>
        <w:pStyle w:val="TextoNormal"/>
      </w:pPr>
    </w:p>
    <w:p w:rsidR="00163957" w:rsidRDefault="00163957" w:rsidP="00163957">
      <w:pPr>
        <w:pStyle w:val="TextoNormal"/>
      </w:pPr>
      <w:r>
        <w:t>Como en los recursos de inconstitucionalidad mencionados, también en este proceso el Gobierno de Canarias alega que se ha producido una vulneración de la autonomía política y financiera de la Comunidad Autónoma de Canarias por parte de la norma habilitante, esto es, de la disposición adicional segunda de la Ley Orgánica 2/2012, que se extiende a la norma impugnada, reproduciéndose en este procedimiento los argumentos hechos valer respecto de la citada norma. Al hilo de esta consideración, concluye que, realmente, el Real Decreto 515/2013 se impugna por esta sola razón, dado que no se desarrolla una argumentación concreta aplicable a cada uno de los preceptos, limitándose a afirmar la demanda que la sola finalidad y objeto de la norma afecta a la autonomía política y a las competencias de la Comunidad Autónoma de Canarias.</w:t>
      </w:r>
    </w:p>
    <w:p w:rsidR="00163957" w:rsidRDefault="00163957" w:rsidP="00163957">
      <w:pPr>
        <w:pStyle w:val="TextoNormal"/>
      </w:pPr>
    </w:p>
    <w:p w:rsidR="00163957" w:rsidRDefault="00163957" w:rsidP="00163957">
      <w:pPr>
        <w:pStyle w:val="TextoNormal"/>
      </w:pPr>
      <w:r>
        <w:t>Hace hincapié el escrito del Abogado del Estado en que no se ha levantado la carga alegatoria, de manera que en el escrito de demanda sólo se mencionan los artículos 1 y 2, en cuanto delimitan el ámbito objetivo de la norma, la competencia atribuida al Consejo de Ministros, para adoptar la decisión y, en su caso, medidas cautelares —artículo10— y la citada disposición adicional segunda, respecto de la que se alega la diferencia de tratamiento entre las Administraciones territoriales y los entes que conforman el sector público estatal.</w:t>
      </w:r>
    </w:p>
    <w:p w:rsidR="00163957" w:rsidRDefault="00163957" w:rsidP="00163957">
      <w:pPr>
        <w:pStyle w:val="TextoNormal"/>
      </w:pPr>
    </w:p>
    <w:p w:rsidR="00163957" w:rsidRDefault="00163957" w:rsidP="00163957">
      <w:pPr>
        <w:pStyle w:val="TextoNormal"/>
      </w:pPr>
      <w:r>
        <w:t>Describe a continuación el contexto y la finalidad del Real Decreto 515/2013, dictado en ejercicio de la habilitación contenida en el apartado tres de la mencionada disposición adicional segunda de la Ley Orgánica 2/2012, norma que desarrolla un procedimiento general de determinación y repercusión de las responsabilidades derivadas de los incumplimientos del Derecho de la Unión Europea. La norma se dicta al amparo de las competencias previstas en los artículos 149.1.13 (bases y coordinación de la planificación general de la actividad económica); 14 (hacienda y deuda pública); y 18 (legislación sobre procedimiento administrativo y responsabilidad patrimonial) de la Constitución.</w:t>
      </w:r>
    </w:p>
    <w:p w:rsidR="00163957" w:rsidRDefault="00163957" w:rsidP="00163957">
      <w:pPr>
        <w:pStyle w:val="TextoNormal"/>
      </w:pPr>
    </w:p>
    <w:p w:rsidR="00163957" w:rsidRDefault="00163957" w:rsidP="00163957">
      <w:pPr>
        <w:pStyle w:val="TextoNormal"/>
      </w:pPr>
      <w:r>
        <w:t>Sentado lo anterior, comienza respondiendo a los motivos que se refieren al procedimiento y a los criterios para la determinación y repercusión de las responsabilidades por incumplimiento del Derecho de la Unión Europea, determinando su ámbito subjetivo y objetivo de aplicación, así como los mecanismos para hacer efectiva la repercusión, sobre los que la demanda planteaba tres cuestiones.</w:t>
      </w:r>
    </w:p>
    <w:p w:rsidR="00163957" w:rsidRDefault="00163957" w:rsidP="00163957">
      <w:pPr>
        <w:pStyle w:val="TextoNormal"/>
      </w:pPr>
    </w:p>
    <w:p w:rsidR="00163957" w:rsidRDefault="00163957" w:rsidP="00163957">
      <w:pPr>
        <w:pStyle w:val="TextoNormal"/>
      </w:pPr>
      <w:r>
        <w:t>La primera es el presupuesto de la derivación de la responsabilidad, que no sólo consiste en el incumplimiento de obligaciones del Derecho de la Unión Europea sino en que, por tal causa, el Reino de España haya sido sancionado por las autoridades comunitarias. Por tanto, afirma la demanda, la sanción se decide en un procedimiento en que la Administración a la que se le imputa responsabilidad no ha sido oída. La segunda es la competencia para derivar la responsabilidad, que se atribuye al Consejo de Ministros previa audiencia de las Admi</w:t>
      </w:r>
      <w:r>
        <w:lastRenderedPageBreak/>
        <w:t>nistraciones o entidades afectadas; y la tercera es el método para hacer efectiva la responsabilidad, que puede consistir en la compensación o retención de la deuda con las cantidades que el Estado deba transferir a la Administración o entidad responsable por cualquier concepto.</w:t>
      </w:r>
    </w:p>
    <w:p w:rsidR="00163957" w:rsidRDefault="00163957" w:rsidP="00163957">
      <w:pPr>
        <w:pStyle w:val="TextoNormal"/>
      </w:pPr>
    </w:p>
    <w:p w:rsidR="00163957" w:rsidRDefault="00163957" w:rsidP="00163957">
      <w:pPr>
        <w:pStyle w:val="TextoNormal"/>
      </w:pPr>
      <w:r>
        <w:t xml:space="preserve">Razona que la constitucionalidad de las previsiones legales de derivación de responsabilidad a las Comunidades Autónomas en caso de incumplimiento de los compromisos adquiridos por el Reino de España ante la Unión Europea se reconoce en la STC 196/2011 que, siguiendo la anterior doctrina constitucional, señala en su fundamento jurídico 11 que “[e]ste Tribunal ha afirmado que la responsabilidad </w:t>
      </w:r>
      <w:r w:rsidRPr="00163957">
        <w:rPr>
          <w:i/>
        </w:rPr>
        <w:t>ad extra</w:t>
      </w:r>
      <w:r>
        <w:t xml:space="preserve"> de la Administración estatal por incumplimientos del Derecho de la Unión Europea ‘no justifica la asunción de una competencia que no le corresponde, aunque tampoco le impide repercutir </w:t>
      </w:r>
      <w:r w:rsidRPr="00163957">
        <w:rPr>
          <w:i/>
        </w:rPr>
        <w:t>ad intra</w:t>
      </w:r>
      <w:r>
        <w:t xml:space="preserve">, sobre las Administraciones públicas autonómicas competentes, la responsabilidad que en cada caso proceda’ (SSTC 79/1992, de 28 de mayo, FJ 5; 148/1998, de 2 de julio, FJ 8; y 96/2002, de 25 de abril, FJ 10)”. Se cita, en el mismo sentido, la STC 130/2013, de 4 de junio, que, respecto a la determinación de qué órganos de la Administración general del Estado sean los que adopten las resoluciones relativas a las responsabilidades financieras, señala que “la resolución que adopten ... es una mera concreción técnica que permite trasladar en nuestro orden interno desde el Estado a la correspondiente Comunidad Autónoma la responsabilidad imputada a aquél por las instituciones comunitarias ... la regulación normativa en norma con rango de Ley de ese traslado de responsabilidad financiera encuentra cobertura constitucional en las reglas competenciales específicas del Estado que se conectan con los distintos fondos europeos que se concretan en el apartado 1 del precepto, pues respecto de todos ellos el Estado tiene atribuidas competencias (reglas séptima, decimotercera y decimonovena del art. 149.1 CE), además de las que, en todo caso, incumben en este punto al Estado </w:t>
      </w:r>
      <w:r w:rsidRPr="00163957">
        <w:rPr>
          <w:i/>
        </w:rPr>
        <w:t>ex</w:t>
      </w:r>
      <w:r>
        <w:t xml:space="preserve"> art. 149.1.14 CE”.</w:t>
      </w:r>
    </w:p>
    <w:p w:rsidR="00163957" w:rsidRDefault="00163957" w:rsidP="00163957">
      <w:pPr>
        <w:pStyle w:val="TextoNormal"/>
      </w:pPr>
    </w:p>
    <w:p w:rsidR="00163957" w:rsidRDefault="00163957" w:rsidP="00163957">
      <w:pPr>
        <w:pStyle w:val="TextoNormal"/>
      </w:pPr>
      <w:r>
        <w:t>Consecuencia de la anterior doctrina es que la competencia del Consejo de Ministros para determinar la derivación de responsabilidad a las diferentes Administraciones afectadas por el pronunciamiento sobre las correcciones financieras procedentes de las instituciones comunitarias, no supone una injerencia en las competencias de las Comunidades Autónomas ni una vulneración del principio de autonomía que rige su actuación.</w:t>
      </w:r>
    </w:p>
    <w:p w:rsidR="00163957" w:rsidRDefault="00163957" w:rsidP="00163957">
      <w:pPr>
        <w:pStyle w:val="TextoNormal"/>
      </w:pPr>
    </w:p>
    <w:p w:rsidR="00163957" w:rsidRDefault="00163957" w:rsidP="00163957">
      <w:pPr>
        <w:pStyle w:val="TextoNormal"/>
      </w:pPr>
      <w:r>
        <w:t>En relación con el presupuesto de la derivación de la responsabilidad advierte de que esta alegada vulneración no reviste carácter competencial, puesto que se centra en la vulneración material de la Constitución, concretamente de su art. 24 CE, sin perjuicio de lo cual la audiencia de la Administración autonómica está garantizada en el procedimiento interno, en virtud de lo dispuesto en el art. 8 de la Ley Orgánica de estabilidad presupuestaria y sostenibilidad financiera.</w:t>
      </w:r>
    </w:p>
    <w:p w:rsidR="00163957" w:rsidRDefault="00163957" w:rsidP="00163957">
      <w:pPr>
        <w:pStyle w:val="TextoNormal"/>
      </w:pPr>
    </w:p>
    <w:p w:rsidR="00163957" w:rsidRDefault="00163957" w:rsidP="00163957">
      <w:pPr>
        <w:pStyle w:val="TextoNormal"/>
      </w:pPr>
      <w:r>
        <w:t xml:space="preserve">Por último, en cuanto al método para hacer efectiva la responsabilidad, afirma que corresponde al Estado establecer “los sistemas de compensación interadministrativa de la responsabilidad financiera que pudiera generarse para el propio Estado en el caso de que dichas irregularidades o carencias se produjeran efectivamente y así se constatara por las instituciones comunitarias” (STC 148/1998, de 2 de julio, FJ 8), siendo ajustado al orden constitucional que un órgano del Estado adopte las decisiones sobre las liquidaciones, deducciones o compensaciones financieras pertinentes (refiriéndose al Ministerio de Hacienda, la STC 130/2013, de 4 de junio, FJ 9), todo ello sin perjuicio de que en el momento en que </w:t>
      </w:r>
      <w:r>
        <w:lastRenderedPageBreak/>
        <w:t>vaya a practicarse la compensación de créditos ambas deudas cumplirán los requisitos de ser vencidas, líquidas y exigibles.</w:t>
      </w:r>
    </w:p>
    <w:p w:rsidR="00163957" w:rsidRDefault="00163957" w:rsidP="00163957">
      <w:pPr>
        <w:pStyle w:val="TextoNormal"/>
      </w:pPr>
    </w:p>
    <w:p w:rsidR="00163957" w:rsidRDefault="00163957" w:rsidP="00163957">
      <w:pPr>
        <w:pStyle w:val="TextoNormal"/>
      </w:pPr>
      <w:r>
        <w:t>Se refiere a continuación a las alegaciones de la demanda relativas a distintas cuestiones (señaladamente la regulación de las medidas cautelares) reguladas en los artículos 9 y siguientes, que no son más que la aplicación al procedimiento administrativo regulado en el mismo de las normas ya recogidas en el título VI de la Ley 30/1992, de 26 de noviembre, de régimen jurídico de las Administraciones públicas y del procedimiento administrativo común. Ningún reproche competencial se entiende que cabe entonces en la determinación de estas reglas, que no incorporan, por lo demás, novedades significativas respecto a la normativa básica ya vigente y aplicable además supletoriamente, como ocurre en el caso de las medidas provisionales reguladas en el art. 72 de la misma Ley 30/1992.</w:t>
      </w:r>
    </w:p>
    <w:p w:rsidR="00163957" w:rsidRDefault="00163957" w:rsidP="00163957">
      <w:pPr>
        <w:pStyle w:val="TextoNormal"/>
      </w:pPr>
    </w:p>
    <w:p w:rsidR="00163957" w:rsidRDefault="00163957" w:rsidP="00163957">
      <w:pPr>
        <w:pStyle w:val="TextoNormal"/>
      </w:pPr>
      <w:r>
        <w:t>En relación con el prorrateo en dos años del pago en el caso de entidades del sector público estatal, que se contempla en la disposición adicional segunda del Real Decreto impugnado y que la demanda califica de tratamiento discriminatorio con respecto a las Administraciones territoriales, interesa la desestimación del motivo porque se trata, claramente, de un supuesto de autoorganización que en absoluto vulnera el orden competencial. Razona así que en este caso, el Estado asume la responsabilidad generada en su ámbito interno y la satisface con sus correspondientes consecuencias en materia de estabilidad presupuestaria y luego la repercute. Exactamente igual que sucede dentro de una Comunidad Autónoma que puede diseñar, de acuerdo con su potestad de auto-organización, mecanismos de repercusión de responsabilidad entre sus organismos, públicos o privados.</w:t>
      </w:r>
    </w:p>
    <w:p w:rsidR="00163957" w:rsidRDefault="00163957" w:rsidP="00163957">
      <w:pPr>
        <w:pStyle w:val="TextoNormal"/>
      </w:pPr>
    </w:p>
    <w:p w:rsidR="00163957" w:rsidRDefault="00163957" w:rsidP="00163957">
      <w:pPr>
        <w:pStyle w:val="TextoNormal"/>
      </w:pPr>
      <w:r w:rsidRPr="00163957">
        <w:rPr>
          <w:rStyle w:val="NumeroAFNegritaCaracter"/>
        </w:rPr>
        <w:t>5</w:t>
      </w:r>
      <w:r>
        <w:t>. Por diligencia de 4 de febrero de 2014, se hace constar que, dentro del plazo conferido al efecto, el Abogado del Estado se ha personado en el presente proceso y formulado alegaciones, quedando pendiente en su momento para deliberación y votación la Sentencia, sin perjuicio de lo dispuesto en el art. 84 de la Ley Orgánica del Tribunal Constitucional.</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providencia de 16 de febrero, se señaló para deliberación y votación de la presente Sentencia el día 18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proceso constitucional tiene por objeto resolver el conflicto positivo de competencia promovido por el Gobierno de Canarias contra los artículos 1; 3; 4.2; 5, apartados 3 y 4; 6; 7; 9; 10; 11; 12.1; 13 y disposición adicional segunda del Real Decreto 515/2013, de 5 de julio, por el que se regulan los criterios y el procedimiento para determinar y repercutir las responsabilidades por incumplimiento del Derecho de la Unión Europea.</w:t>
      </w:r>
    </w:p>
    <w:p w:rsidR="00163957" w:rsidRDefault="00163957" w:rsidP="00163957">
      <w:pPr>
        <w:pStyle w:val="TextoNormal"/>
      </w:pPr>
    </w:p>
    <w:p w:rsidR="00163957" w:rsidRDefault="00163957" w:rsidP="00163957">
      <w:pPr>
        <w:pStyle w:val="TextoNormal"/>
      </w:pPr>
      <w:r>
        <w:t xml:space="preserve">Como ha quedado expuesto en el antecedente primero, la demanda vincula el presente conflicto al recurso de inconstitucionalidad interpuesto por la Comunidad Autónoma frente a la Ley Orgánica 2/2012, de 27 de abril, de estabilidad presupuestaria y sostenibilidad financiera, reiterando los motivos de inconstitucionalidad que entonces se alegaron frente a la disposición adicional segunda de la mencionada Ley, esto es, la vulneración de las competencias que el Estatuto de Autonomía atribuye a la Comunidad Autónoma de Canarias y </w:t>
      </w:r>
      <w:r>
        <w:lastRenderedPageBreak/>
        <w:t>del principio de autonomía política y financiera, así como la infracción del principio de lealtad institucional.</w:t>
      </w:r>
    </w:p>
    <w:p w:rsidR="00163957" w:rsidRDefault="00163957" w:rsidP="00163957">
      <w:pPr>
        <w:pStyle w:val="TextoNormal"/>
      </w:pPr>
    </w:p>
    <w:p w:rsidR="00163957" w:rsidRDefault="00163957" w:rsidP="00163957">
      <w:pPr>
        <w:pStyle w:val="TextoNormal"/>
      </w:pPr>
      <w:r>
        <w:t>El Abogado del Estado razona que la demanda sólo contiene argumentación de fondo acerca de los artículos 1, 10 y la disposición adicional segunda. Interesa con respecto de éstos la desestimación de las tachas de inconstitucionalidad, recalcando que son coincidentes con las alegadas, por la misma demandante, en los recursos de inconstitucionalidad interpuestos por el Gobierno de Canarias contra las disposiciones adicionales segunda y tercera de la Ley Orgánica 2/2012, de 27 de abril, de estabilidad presupuestaria y sostenibilidad financiera, y frente a la disposición final segunda del Real Decreto-ley 7/2013, de 28 de junio, de medidas urgentes de naturaleza tributaria, presupuestaria y de fomento de la investigación, por la que se modifica el art. 7 de la Ley 38/2003, de 17 de noviembre, general de subvenciones.</w:t>
      </w:r>
    </w:p>
    <w:p w:rsidR="00163957" w:rsidRDefault="00163957" w:rsidP="00163957">
      <w:pPr>
        <w:pStyle w:val="TextoNormal"/>
      </w:pPr>
    </w:p>
    <w:p w:rsidR="00163957" w:rsidRDefault="00163957" w:rsidP="00163957">
      <w:pPr>
        <w:pStyle w:val="TextoNormal"/>
      </w:pPr>
      <w:r w:rsidRPr="00163957">
        <w:rPr>
          <w:rStyle w:val="NumeroAFNegritaCaracter"/>
        </w:rPr>
        <w:t>2</w:t>
      </w:r>
      <w:r>
        <w:t>. Debemos pues, antes de abordar el fondo de las impugnaciones, pronunciarnos sobre el óbice denunciado por el Abogado del Estado.</w:t>
      </w:r>
    </w:p>
    <w:p w:rsidR="00163957" w:rsidRDefault="00163957" w:rsidP="00163957">
      <w:pPr>
        <w:pStyle w:val="TextoNormal"/>
      </w:pPr>
    </w:p>
    <w:p w:rsidR="00163957" w:rsidRDefault="00163957" w:rsidP="00163957">
      <w:pPr>
        <w:pStyle w:val="TextoNormal"/>
      </w:pPr>
      <w:r>
        <w:t>Hemos reiterado que la obligación de levantar la carga alegatoria en todos los procesos ante este Tribunal supone una exigencia de colaboración con la justicia, además de una condición inexcusable inherente a la propia presunción de constitucionalidad de las normas con rango de ley, que no puede desvirtuarse sin un mínimo de argumentación. En un proceso constitucional no puede por tanto darse respuesta a impugnaciones globales carentes de una razón suficientemente desarrollada [SSTC 204/2011, de 15 de diciembre, FJ 2 b); 100/2013, de 23 de abril, FJ 2 c), y 101/2013, de 23 de abril, FJ 11, entre otras muchas].</w:t>
      </w:r>
    </w:p>
    <w:p w:rsidR="00163957" w:rsidRDefault="00163957" w:rsidP="00163957">
      <w:pPr>
        <w:pStyle w:val="TextoNormal"/>
      </w:pPr>
    </w:p>
    <w:p w:rsidR="00163957" w:rsidRDefault="00163957" w:rsidP="00163957">
      <w:pPr>
        <w:pStyle w:val="TextoNormal"/>
      </w:pPr>
      <w:r>
        <w:t>Efectivamente y como ha quedado expuesto, la demanda vincula la impugnación del Real Decreto 515/2013 con la previamente dirigida por la propia Comunidad Autónoma frente la disposición adicional segunda de la Ley Orgánica 2/2012, habiendo por tanto una sustancial coincidencia entre uno y otro proceso. A partir de ahí, si bien escueta, puede estimarse que se levanta la carga argumental en relación con el artículo 1, en conexión con el artículo 3; y por conexión, con respecto de los apartados 3 y 4 del artículo 5, del mismo Real Decreto, además de con respecto del artículo 10 y la disposición adicional segunda, apartado segundo.</w:t>
      </w:r>
    </w:p>
    <w:p w:rsidR="00163957" w:rsidRDefault="00163957" w:rsidP="00163957">
      <w:pPr>
        <w:pStyle w:val="TextoNormal"/>
      </w:pPr>
    </w:p>
    <w:p w:rsidR="00163957" w:rsidRDefault="00163957" w:rsidP="00163957">
      <w:pPr>
        <w:pStyle w:val="TextoNormal"/>
      </w:pPr>
      <w:r>
        <w:t>Distinta es la conclusión con respecto del resto de preceptos que se impugnan. La demanda afirma con carácter genérico que se vulneran sus competencias y su ámbito de autonomía política, y añade que habría sido exigible otorgar una participación directa a la Comunidad Autónoma, a la hora de depurar su propia responsabilidad, lo que atribuye, de forma global, a los artículos 4.2, 6, 7, 9 y 13; así como también, de forma genérica y en conjunto, a los artículos 11 y 12.1.</w:t>
      </w:r>
    </w:p>
    <w:p w:rsidR="00163957" w:rsidRDefault="00163957" w:rsidP="00163957">
      <w:pPr>
        <w:pStyle w:val="TextoNormal"/>
      </w:pPr>
    </w:p>
    <w:p w:rsidR="00163957" w:rsidRDefault="00163957" w:rsidP="00163957">
      <w:pPr>
        <w:pStyle w:val="TextoNormal"/>
      </w:pPr>
      <w:r>
        <w:t xml:space="preserve">Con respecto de estos preceptos se trata, efectivamente, como afirma el Abogado del Estado, de una impugnación que no expone de forma individualizada las razones por las que los preceptos citados en la demanda habrían vulnerado la autonomía política de la Comunidad Autónoma en los términos citados. La ausencia de reproches específicos omite así la esencial carga de los recurrentes, a quienes corresponde “no sólo abrir la vía para que el Tribunal pueda pronunciarse, sino también colaborar con la justicia constitucional mediante un pormenorizado análisis de las cuestiones que se suscitan, por lo cual, si no se atiende esta </w:t>
      </w:r>
      <w:r>
        <w:lastRenderedPageBreak/>
        <w:t>exigencia, se falta a la diligencia procesalmente requerida” [STC 199/2015, de 24 de septiembre, FJ 2 a), con cita de anteriores]. Pues bien, dado que en la demanda no se contiene argumentación específica que fundamente su presunta contradicción constitucional, los arts. 4.2; 6; 7; 9; 11, 12.1 y 13 del Real Decreto 515/2013, deberán quedar excluidos de nuestro examen, pues este Tribunal no puede reconstruir de oficio la demanda ni suplir las razones de los recurrentes, cuando éstas no se aportan en su recurso (entre otras muchas, STC 208/2014, de 15 de diciembre, FJ 4).</w:t>
      </w:r>
    </w:p>
    <w:p w:rsidR="00163957" w:rsidRDefault="00163957" w:rsidP="00163957">
      <w:pPr>
        <w:pStyle w:val="TextoNormal"/>
      </w:pPr>
    </w:p>
    <w:p w:rsidR="00163957" w:rsidRDefault="00163957" w:rsidP="00163957">
      <w:pPr>
        <w:pStyle w:val="TextoNormal"/>
      </w:pPr>
      <w:r>
        <w:t>En consecuencia, en este proceso se abordarán únicamente las impugnaciones referidas a los artículos 1, en conexión con el artículo 3; 5, apartados 3 y 4; 10 y disposición adicional segunda, apartado dos, por ser éstos los únicos con respecto de los cuales puede entenderse levantada la carga argumental exigible.</w:t>
      </w:r>
    </w:p>
    <w:p w:rsidR="00163957" w:rsidRDefault="00163957" w:rsidP="00163957">
      <w:pPr>
        <w:pStyle w:val="TextoNormal"/>
      </w:pPr>
    </w:p>
    <w:p w:rsidR="00163957" w:rsidRDefault="00163957" w:rsidP="00163957">
      <w:pPr>
        <w:pStyle w:val="TextoNormal"/>
      </w:pPr>
      <w:r w:rsidRPr="00163957">
        <w:rPr>
          <w:rStyle w:val="NumeroAFNegritaCaracter"/>
        </w:rPr>
        <w:t>3</w:t>
      </w:r>
      <w:r>
        <w:t>. Acotado de este modo el objeto del proceso, para abordar el fondo de la controversia, debemos referirnos al contexto normativo en que se insertan los preceptos impugnados.</w:t>
      </w:r>
    </w:p>
    <w:p w:rsidR="00163957" w:rsidRDefault="00163957" w:rsidP="00163957">
      <w:pPr>
        <w:pStyle w:val="TextoNormal"/>
      </w:pPr>
    </w:p>
    <w:p w:rsidR="00163957" w:rsidRDefault="00163957" w:rsidP="00163957">
      <w:pPr>
        <w:pStyle w:val="TextoNormal"/>
      </w:pPr>
      <w:r>
        <w:t>El Real Decreto 515/2013, de 5 de julio, se dicta en desarrollo del art. 8 y la disposición adicional segunda de la Ley Orgánica 2/2012, de 27 de abril, de estabilidad presupuestaria y sostenibilidad financiera, estableciendo “los criterios y el procedimiento para determinar y repercutir las responsabilidades por incumplimiento del Derecho de la Unión Europea”.</w:t>
      </w:r>
    </w:p>
    <w:p w:rsidR="00163957" w:rsidRDefault="00163957" w:rsidP="00163957">
      <w:pPr>
        <w:pStyle w:val="TextoNormal"/>
      </w:pPr>
    </w:p>
    <w:p w:rsidR="00163957" w:rsidRDefault="00163957" w:rsidP="00163957">
      <w:pPr>
        <w:pStyle w:val="TextoNormal"/>
      </w:pPr>
      <w:r>
        <w:t>El procedimiento regulado en la norma reglamentaria encuentra pues fundamento directo en lo dispuesto por el art. 8 de la Ley Orgánica 2/2012, intitulado “[p]rincipio de responsabilidad”, y cuyo apartado primero establece que “[l]as Administraciones Públicas que incumplan las obligaciones contenidas en esta Ley, así como las que provoquen o contribuyan a producir el incumplimiento de los compromisos asumidos por España de acuerdo con la normativa europea o las disposiciones contenidas en tratados o convenios internacionales de los que España sea parte, asumirán en la parte que les sea imputable las responsabilidades que de tal incumplimiento se hubiesen derivado. En el proceso de asunción de responsabilidad a que se refiere el párrafo anterior se garantizará, en todo caso, la audiencia de la administración o entidad afectada”.</w:t>
      </w:r>
    </w:p>
    <w:p w:rsidR="00163957" w:rsidRDefault="00163957" w:rsidP="00163957">
      <w:pPr>
        <w:pStyle w:val="TextoNormal"/>
      </w:pPr>
    </w:p>
    <w:p w:rsidR="00163957" w:rsidRDefault="00163957" w:rsidP="00163957">
      <w:pPr>
        <w:pStyle w:val="TextoNormal"/>
      </w:pPr>
      <w:r>
        <w:t>Por su parte, la disposición adicional segunda de la misma la Ley Orgánica 2/2012 dispone que en aquellos casos en los que las Administraciones públicas y cualesquiera otras entidades integrantes del sector público incumplieran obligaciones derivadas de normas del Derecho de la Unión Europea, dando lugar a que el Reino de España sea sancionado, asumirán en la parte que les sea imputable las responsabilidades que se devenguen. La norma permite así expresamente que se repercutan a la Administración incumplidora las responsabilidades derivadas de cualquier acción u omisión contraria al ordenamiento europeo realizado en el ejercicio de sus competencias.</w:t>
      </w:r>
    </w:p>
    <w:p w:rsidR="00163957" w:rsidRDefault="00163957" w:rsidP="00163957">
      <w:pPr>
        <w:pStyle w:val="TextoNormal"/>
      </w:pPr>
    </w:p>
    <w:p w:rsidR="00163957" w:rsidRDefault="00163957" w:rsidP="00163957">
      <w:pPr>
        <w:pStyle w:val="TextoNormal"/>
      </w:pPr>
      <w:r>
        <w:t xml:space="preserve">Con posterioridad a la interposición del presente conflicto, tanto el art. 8 como la disposición adicional segunda de la Ley Orgánica 2/2012 fueron modificados, respectivamente, por el art. 1, apartados 2 y 13, de la Ley Orgánica 9/2013, de 20 de diciembre, de control de la deuda comercial en el sector público, que otorga nueva redacción a la misma. A consecuencia de esta modificación la regulación del reparto de responsabilidad abarca ahora también a los supuestos de incumplimiento de “tratados o de convenios internacionales de los que España sea parte”. Algunos preceptos de esta Ley Orgánica 9/2013 fueron objeto del </w:t>
      </w:r>
      <w:r>
        <w:lastRenderedPageBreak/>
        <w:t>recurso de inconstitucionalidad registrado con el número 1762-2014 e interpuesto por el Consejo de Gobierno de Andalucía, que en todo caso no se extiende al citado art. 1.2 y 13, de la citada Ley Orgánica 9/2013, que no ha sido objeto de impugnación alguna.</w:t>
      </w:r>
    </w:p>
    <w:p w:rsidR="00163957" w:rsidRDefault="00163957" w:rsidP="00163957">
      <w:pPr>
        <w:pStyle w:val="TextoNormal"/>
      </w:pPr>
    </w:p>
    <w:p w:rsidR="00163957" w:rsidRDefault="00163957" w:rsidP="00163957">
      <w:pPr>
        <w:pStyle w:val="TextoNormal"/>
      </w:pPr>
      <w:r>
        <w:t>A partir de ahí, el Real Decreto 515/2013 se limita a desarrollar el procedimiento general de determinación y repercusión de las responsabilidades derivadas de los incumplimientos del Derecho de la Unión Europea, regulado en la disposición adicional segunda de la Ley Orgánica 2/2012. Como se afirma en su preámbulo, la novedad de su regulación radica fundamentalmente en que, hasta ese momento, no existía un único procedimiento general, sino regulaciones dispersas y de carácter sectorial en determinadas materias, como era el caso de la gestión de fondos procedentes de la Unión Europea, los compromisos adquiridos en materia de estabilidad presupuestaria, en materia de aguas o los servicios del mercado interior.</w:t>
      </w:r>
    </w:p>
    <w:p w:rsidR="00163957" w:rsidRDefault="00163957" w:rsidP="00163957">
      <w:pPr>
        <w:pStyle w:val="TextoNormal"/>
      </w:pPr>
    </w:p>
    <w:p w:rsidR="00163957" w:rsidRDefault="00163957" w:rsidP="00163957">
      <w:pPr>
        <w:pStyle w:val="TextoNormal"/>
      </w:pPr>
      <w:r w:rsidRPr="00163957">
        <w:rPr>
          <w:rStyle w:val="NumeroAFNegritaCaracter"/>
        </w:rPr>
        <w:t>4</w:t>
      </w:r>
      <w:r>
        <w:t>. Entrando ya en el fondo del asunto, tanto la propia demanda como el Abogado del Estado han resaltado que el objeto de este proceso es coincidente, en lo esencial, con el del recurso de inconstitucionalidad interpuesto por la misma Comunidad Autónoma frente a la Ley Orgánica 2/2012, de 27 de abril, de estabilidad presupuestaria y sostenibilidad financiera. En aquel proceso el Gobierno de Canarias impugnó, entre otros preceptos, la disposición adicional segunda, relativa a la responsabilidad por incumplimiento de normas de Derecho comunitario, norma que desarrolla ahora el Real Decreto 515/2013, por el que se regulan los criterios y el procedimiento para determinar y repercutir las responsabilidades por incumplimiento del Derecho de la Unión Europea.</w:t>
      </w:r>
    </w:p>
    <w:p w:rsidR="00163957" w:rsidRDefault="00163957" w:rsidP="00163957">
      <w:pPr>
        <w:pStyle w:val="TextoNormal"/>
      </w:pPr>
    </w:p>
    <w:p w:rsidR="00163957" w:rsidRDefault="00163957" w:rsidP="00163957">
      <w:pPr>
        <w:pStyle w:val="TextoNormal"/>
      </w:pPr>
      <w:r>
        <w:t>Pues bien, el citado recurso ha sido resuelto en nuestra Sentencia 215/2014, de 18 de diciembre, en cuyo fundamento jurídico 9 desestimamos los vicios de inconstitucionalidad que el Gobierno de Canarias atribuía a la citada disposición, y que permiten ahora descartar en su integridad las tachas de inconstitucionalidad que se imputan al Real Decreto, con base en las siguientes consideraciones:</w:t>
      </w:r>
    </w:p>
    <w:p w:rsidR="00163957" w:rsidRDefault="00163957" w:rsidP="00163957">
      <w:pPr>
        <w:pStyle w:val="TextoNormal"/>
      </w:pPr>
    </w:p>
    <w:p w:rsidR="00163957" w:rsidRDefault="00163957" w:rsidP="00163957">
      <w:pPr>
        <w:pStyle w:val="TextoNormal"/>
      </w:pPr>
      <w:r>
        <w:t>a) En relación con el objeto y al ámbito objetivo de aplicación del Real Decreto 515/2013, la demanda considera que se lesiona el ámbito de autonomía al extender las materias que dan lugar a la acción de repetición del Estado más allá de la causa derivada del incumplimiento de los principios de estabilidad presupuestaria. Esta vulneración se imputa al art. 1, en conexión con el art. 3, del Real Decreto 515/2013, referidos respectivamente al objeto y al ámbito objetivo de aplicación de la norma; así como los apartados 3 y 4 del artículo 5, que se refieren a los fondos europeos agrícolas y a aquéllos en los que exista un convenio, contrato o acuerdo específico que regule la actuación conjunta.</w:t>
      </w:r>
    </w:p>
    <w:p w:rsidR="00163957" w:rsidRDefault="00163957" w:rsidP="00163957">
      <w:pPr>
        <w:pStyle w:val="TextoNormal"/>
      </w:pPr>
    </w:p>
    <w:p w:rsidR="00163957" w:rsidRDefault="00163957" w:rsidP="00163957">
      <w:pPr>
        <w:pStyle w:val="TextoNormal"/>
      </w:pPr>
      <w:r>
        <w:t>Esta misma tacha de inconstitucionalidad se formuló en el citado recurso de inconstitucionalidad resuelto mediante STC 215/2014, alegándose entonces que la disposición adicional segunda de la Ley Orgánica 2/2012 tenía un contenido que no quedaba amparado en el art. 135 CE y que no había de formar parte de una ley orgánica cuyo objeto era desarrollar los principios de estabilidad presupuestaria. En la presente demanda se insiste sobre lo anterior, con el argumento de que el Real Decreto 515/2013 resulta inconstitucional “por compartir el exceso imputable a la disposición adicional segunda de la Ley Orgánica 2/2012, en relación con el mandado del art. 135 CE”.</w:t>
      </w:r>
    </w:p>
    <w:p w:rsidR="00163957" w:rsidRDefault="00163957" w:rsidP="00163957">
      <w:pPr>
        <w:pStyle w:val="TextoNormal"/>
      </w:pPr>
    </w:p>
    <w:p w:rsidR="00163957" w:rsidRDefault="00163957" w:rsidP="00163957">
      <w:pPr>
        <w:pStyle w:val="TextoNormal"/>
      </w:pPr>
      <w:r>
        <w:lastRenderedPageBreak/>
        <w:t>Pues bien, la tacha mencionada fue ya desestimada en la citada STC 215/2014, con un razonamiento que debe por tanto ser trasladado a la presente controversia ya que, como entonces dijimos, el establecimiento de un mecanismo de responsabilidad por incumplimiento del Derecho de la Unión Europea no es más que desarrollo del principio de responsabilidad previsto en el art. 8 de la Ley Orgánica 2/2012, que dispone en su apartado primero que “las Administraciones Públicas que incumplan las obligaciones contenidas en esta Ley, así como las que provoquen o contribuya a producir el incumplimiento de los compromisos asumidos por España de acuerdo con la normativa europea asumirán en la parte que les sea imputable las responsabilidades que de tal incumplimiento se hubiesen derivado” [STC 215/2014, FJ 9 a)].</w:t>
      </w:r>
    </w:p>
    <w:p w:rsidR="00163957" w:rsidRDefault="00163957" w:rsidP="00163957">
      <w:pPr>
        <w:pStyle w:val="TextoNormal"/>
      </w:pPr>
    </w:p>
    <w:p w:rsidR="00163957" w:rsidRDefault="00163957" w:rsidP="00163957">
      <w:pPr>
        <w:pStyle w:val="TextoNormal"/>
      </w:pPr>
      <w:r>
        <w:t>Sentado lo anterior, descartamos asimismo en la citada STC 215/2014 que el procedimiento supusiera la vulneración de la autonomía en los términos ahora denunciados. En concreto, y por lo que se refiere a la queja de falta de participación en el procedimiento, ya entonces se hizo hincapié en que la Comunidad Autónoma tenía la posibilidad de ser oída en el procedimiento de atribución de responsabilidad. Rechazamos por tanto, que “la falta de la audiencia de la Comunidad Autónoma eventualmente responsable del incumplimiento, o de parte del mismo, en el procedimiento seguido ante las instituciones comunitarias, lesione su derecho fundamental a la tutela judicial efectiva, pues este derecho tiene su origen en la Constitución española, y, por tanto, se satisface, protege y garantiza en el seno del correspondiente proceso judicial ante los Jueces y Tribunales españoles, en el que se controle, en su caso, la resolución del Consejo de Ministros por la que se atribuye la responsabilidad”.</w:t>
      </w:r>
    </w:p>
    <w:p w:rsidR="00163957" w:rsidRDefault="00163957" w:rsidP="00163957">
      <w:pPr>
        <w:pStyle w:val="TextoNormal"/>
      </w:pPr>
    </w:p>
    <w:p w:rsidR="00163957" w:rsidRDefault="00163957" w:rsidP="00163957">
      <w:pPr>
        <w:pStyle w:val="TextoNormal"/>
      </w:pPr>
      <w:r>
        <w:t>En segundo lugar, subrayamos que, en todo caso, “la Comunidad Autónoma tiene garantizada tanto la audiencia en el procedimiento administrativo de atribución de responsabilidad como el control judicial de la resolución atributiva de la concreta responsabilidad. En efecto, de un lado, el art. 8.1 de la Ley Orgánica 2/2012 prevé, en orden a la atribución a cada Administración pública de la parte de la responsabilidad que les corresponda en función de la parte del incumplimiento que les sea imputable, que en el proceso de asunción de responsabilidad ‘se garantizará, en todo caso, la audiencia de la administración o entidad afectada’. De otro, corresponde a la Sala de lo Contencioso-Administrativo del Tribunal Supremo el control de la resolución del Consejo de Ministros por el que se imputa la parte de la responsabilidad del incumplimiento [art. 12.1 a) de la Ley 29/1998, de 13 de julio, reguladora de la Jurisdicción Contencioso-Administrativa]” [STC 215/2014, FJ 9 a)].</w:t>
      </w:r>
    </w:p>
    <w:p w:rsidR="00163957" w:rsidRDefault="00163957" w:rsidP="00163957">
      <w:pPr>
        <w:pStyle w:val="TextoNormal"/>
      </w:pPr>
    </w:p>
    <w:p w:rsidR="00163957" w:rsidRDefault="00163957" w:rsidP="00163957">
      <w:pPr>
        <w:pStyle w:val="TextoNormal"/>
      </w:pPr>
      <w:r>
        <w:t>Debemos, en consecuencia, y por aplicación de la doctrina contenida en la citada STC 215/2015, descartar la inconstitucionalidad de los arts. 1, 3 y 5, apartados 3 y 4, del Real Decreto 515/2013.</w:t>
      </w:r>
    </w:p>
    <w:p w:rsidR="00163957" w:rsidRDefault="00163957" w:rsidP="00163957">
      <w:pPr>
        <w:pStyle w:val="TextoNormal"/>
      </w:pPr>
    </w:p>
    <w:p w:rsidR="00163957" w:rsidRDefault="00163957" w:rsidP="00163957">
      <w:pPr>
        <w:pStyle w:val="TextoNormal"/>
      </w:pPr>
      <w:r>
        <w:t>b) La demanda considera también lesiva de su autonomía la atribución de competencias al Consejo de Ministros para acordar la resolución del procedimiento, adoptar medidas provisionales (artículo 10); o acordar la extinción de la deuda, deduciendo sus importes en futuros libramientos o mediante su compensación con deudas de la Administración general del Estado, siempre que sean vencidas, líquidas y exigibles (disposición adicional segunda, apartado 2).</w:t>
      </w:r>
    </w:p>
    <w:p w:rsidR="00163957" w:rsidRDefault="00163957" w:rsidP="00163957">
      <w:pPr>
        <w:pStyle w:val="TextoNormal"/>
      </w:pPr>
    </w:p>
    <w:p w:rsidR="00163957" w:rsidRDefault="00163957" w:rsidP="00163957">
      <w:pPr>
        <w:pStyle w:val="TextoNormal"/>
      </w:pPr>
      <w:r>
        <w:lastRenderedPageBreak/>
        <w:t xml:space="preserve">Esta tacha, también formulada en términos similares en el proceso decidido en la citada STC 215/2014, debe desestimarse en aplicación de lo allí establecido: “aun cuando el incumplimiento del Derecho de la Unión Europea no justifica la asunción por el Estado de una competencia que no le corresponde, tampoco le impide ‘repercutir </w:t>
      </w:r>
      <w:r w:rsidRPr="00163957">
        <w:rPr>
          <w:i/>
        </w:rPr>
        <w:t>ad intra</w:t>
      </w:r>
      <w:r>
        <w:t>, sobre las Administraciones públicas autonómicas competentes, la responsabilidad que en cada caso proceda’ (SSTC 79/1992, de 28 de mayo, FJ 5; 148/1998, de 2 de julio, FJ 8; 96/2002, de 25 de abril, FJ 10; 188/2011, de 23 de noviembre, FJ 9; 196/2011, de 13 de diciembre, FJ 11; 198/2011, de 13 de diciembre, FJ 14; 36/2013, de 14 de febrero, FJ 9; y 130/2013, de 4 de junio, FJ 9). Más concretamente, respecto de una previsión similar (la de los arts. 4 de la Ley Orgánica 5/2001, de 13 de diciembre, complementaria a Ley General de Estabilidad Presupuestaria, y 11 de la Ley 18/2001, de 12 de diciembre, General de Estabilidad Presupuestaria), hemos señalado que corresponde al Estado establecer ‘los sistemas de compensación interadministrativa de la responsabilidad financiera que pudiera generarse para el propio Estado en el caso de que dichas irregularidades o carencias se produjeran efectivamente y así se constatara por las instituciones comunitarias’ (SSTC 188/2011, de 23 de noviembre, FJ 9; 196/2011, de 13 de diciembre, FJ 11; 198/2011, de 13 de diciembre, FJ 15; 36/2013, de 14 de febrero, FJ 9; y 130/2013, de 4 de junio, FJ 9)”, lo que nos llevó a concluir que “la atribución al Consejo de Ministros de la competencia para declarar la concreta responsabilidad individual derivada del incumplimiento de las normas de Derecho de la Unión Europea, no es lesiva de la autonomía financiera de las Comunidades Autónomas del art. 137 CE” [STC 215/2014, FJ 9 b)].</w:t>
      </w:r>
    </w:p>
    <w:p w:rsidR="00163957" w:rsidRDefault="00163957" w:rsidP="00163957">
      <w:pPr>
        <w:pStyle w:val="TextoNormal"/>
      </w:pPr>
    </w:p>
    <w:p w:rsidR="00163957" w:rsidRDefault="00163957" w:rsidP="00163957">
      <w:pPr>
        <w:pStyle w:val="TextoNormal"/>
      </w:pPr>
      <w:r>
        <w:t>Por idénticas razones, debe también desestimarse específicamente la alegación efectuada con respecto al art. 10 del Real Decreto, que para la demanda situaría a la Administración pública afectada en la misma posición de cualquier administrado, desconociendo su autonomía y suponiendo además una quiebra del principio de seguridad jurídica. Sin perjuicio de que la alegación de inseguridad jurídica e indefensión no guarda relación con la reivindicación competencial que es propia de este proceso constitucional, la propia dicción del artículo 10 permite descartar la invasión competencial que se alega, ya que una vez dispuesto, en el inciso primero, que “[e]l Consejo de Ministros podrá adoptar en cualquier momento, mediante acuerdo motivado, las medidas de carácter provisional que resulten necesarias para asegurar la eficacia de la resolución que pudiera recaer”, el precepto salvaguarda, en su inciso segundo, el ámbito competencial, precisando que “[e]stas medidas respetarán las competencias que tengan atribuidas los posibles sujetos responsables”.</w:t>
      </w:r>
    </w:p>
    <w:p w:rsidR="00163957" w:rsidRDefault="00163957" w:rsidP="00163957">
      <w:pPr>
        <w:pStyle w:val="TextoNormal"/>
      </w:pPr>
    </w:p>
    <w:p w:rsidR="00163957" w:rsidRDefault="00163957" w:rsidP="00163957">
      <w:pPr>
        <w:pStyle w:val="TextoNormal"/>
      </w:pPr>
      <w:r>
        <w:t xml:space="preserve">Por lo que se refiere a la posibilidad que arbitra la disposición adicional segunda, apartado 2, de que se adopte una medida de compensación de créditos, derivada de la traslación de responsabilidades, la misma no hace más que reiterar lo dispuesto en la disposición adicional segunda, apartado 2, de la Ley Orgánica 2/2012. En el citado proceso dirimido en la STC 215/2014 se alegó también, como ahora, que tal medida no resultaba procedente por no ser los créditos líquidos, vencidos y exigibles, sin que resulte suficiente el acuerdo del Consejo de Ministros. Pues bien, como dijimos entonces, “el problema planteado es inexistente. En efecto, si como consecuencia de un incumplimiento de España, como Estado miembro de la Unión Europa, se le impusiese una multa [como, por ejemplo, la prevista en los arts. 126.11 TFUE y 11 del Reglamento (CE) núm. 1467-1997 del Consejo, de 7 de julio de 1997, relativo a la aceleración y clarificación del procedimiento de déficit excesivo], la responsabilidad exigida se va a concretar necesariamente en una cantidad vencida, líquida y exigible, de la misma manera que la eventual traslación a la Administración responsable </w:t>
      </w:r>
      <w:r>
        <w:lastRenderedPageBreak/>
        <w:t>de todo o parte de esa responsabilidad por el Consejo de Ministros se concretará también en una cantidad vencida, líquida y exigible, sin perjuicio de la extinción de esta obligación mediante compensación (art. 14.2 de la Ley 47/2003, de 26 de noviembre, General Presupuestaria, y disposición adicional segunda de la Ley Orgánica 2/2012)” [STC 215/2014, FJ 9 d)].</w:t>
      </w:r>
    </w:p>
    <w:p w:rsidR="00163957" w:rsidRDefault="00163957" w:rsidP="00163957">
      <w:pPr>
        <w:pStyle w:val="TextoNormal"/>
      </w:pPr>
    </w:p>
    <w:p w:rsidR="00163957" w:rsidRDefault="00163957" w:rsidP="00163957">
      <w:pPr>
        <w:pStyle w:val="TextoNormal"/>
      </w:pPr>
      <w:r>
        <w:t>Finalmente, la demanda considera que la regulación contenida en la citada disposición adicional segunda, intitulada “[r]esponsabilidad por incumplimiento del Derecho de la Unión Europea atribuible a las entidades del sector público estatal”, implica que se dispense un trato diferente y discriminatorio respecto de las entidades del sector público estatal. En contra de esta afirmación, y como afirma el Abogado del Estado, estamos ante una norma que, en ejercicio de la potestad de autoorganización que le corresponde al Estado, se limita a establecer las reglas específicas para aquellos casos en los que el incumplimiento pueda ser atribuido a las entidades del sector público estatal. No supone, por tanto, discriminación alguna de la Comunidad Autónoma demandante, que lógicamente no se encuentra en la misma posición que las entidades integrantes del sector público estatal, de manera que el régimen jurídico aplicable a estas últimas ni siquiera constituye un término de comparación idóneo al objeto de fundamentar una pretendida discriminación.</w:t>
      </w:r>
    </w:p>
    <w:p w:rsidR="00163957" w:rsidRDefault="00163957" w:rsidP="00163957">
      <w:pPr>
        <w:pStyle w:val="TextoNormal"/>
      </w:pPr>
    </w:p>
    <w:p w:rsidR="00163957" w:rsidRDefault="00163957" w:rsidP="00163957">
      <w:pPr>
        <w:pStyle w:val="TextoNormal"/>
      </w:pPr>
      <w:r>
        <w:t>De acuerdo con lo anterior, procede desestimar en su integridad el presente conflicto positivo de competencia.</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presente conflicto positivo de competencia.</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dieciocho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35" w:name="SENTENCIA_2016_32"/>
      <w:r>
        <w:lastRenderedPageBreak/>
        <w:t>SENTENCIA 32/2016, de 18 de febrero de 2016</w:t>
      </w:r>
    </w:p>
    <w:bookmarkEnd w:id="35"/>
    <w:p w:rsidR="00163957" w:rsidRDefault="00163957" w:rsidP="00163957">
      <w:pPr>
        <w:pStyle w:val="TtuloResolucin"/>
      </w:pPr>
      <w:r>
        <w:t>Pleno</w:t>
      </w:r>
    </w:p>
    <w:p w:rsidR="00163957" w:rsidRDefault="00163957" w:rsidP="00163957">
      <w:pPr>
        <w:pStyle w:val="TtuloBOE"/>
      </w:pPr>
      <w:r>
        <w:t>(BOE núm. 71, de 23 de marzo de 2016)</w:t>
      </w:r>
    </w:p>
    <w:p w:rsidR="00163957" w:rsidRDefault="00163957" w:rsidP="00163957">
      <w:pPr>
        <w:pStyle w:val="TextoNormalCentrado"/>
      </w:pPr>
      <w:r>
        <w:t>ECLI:ES:TC:2016:32</w:t>
      </w:r>
    </w:p>
    <w:p w:rsidR="00163957" w:rsidRDefault="00163957" w:rsidP="00163957">
      <w:pPr>
        <w:pStyle w:val="TextoNormalCentrado"/>
      </w:pPr>
    </w:p>
    <w:p w:rsidR="00163957" w:rsidRDefault="00163957" w:rsidP="00163957">
      <w:pPr>
        <w:pStyle w:val="SntesisDescriptiva"/>
      </w:pPr>
      <w:r>
        <w:t>Recurso de inconstitucionalidad 1908-2014. Interpuesto por el Gobierno de la Generalitat de Cataluña en relación con diversos preceptos de la Ley 24/2013, de 26 de diciembre, del sector eléctrico.</w:t>
      </w:r>
    </w:p>
    <w:p w:rsidR="00163957" w:rsidRDefault="00163957" w:rsidP="00163957">
      <w:pPr>
        <w:pStyle w:val="SntesisDescriptiva"/>
      </w:pPr>
    </w:p>
    <w:p w:rsidR="00163957" w:rsidRDefault="00163957" w:rsidP="00163957">
      <w:pPr>
        <w:pStyle w:val="SntesisAnaltica"/>
      </w:pPr>
      <w:r>
        <w:t>Competencias sobre ordenación general de la economía y sobre el sector eléctrico: interpretación conforme de los preceptos legales estatales relativos a la autorización de instalaciones peninsulares de producción de energía eléctrica y resolución de controversias sobre suministro de energía eléctrica. Votos particulares.</w:t>
      </w:r>
    </w:p>
    <w:p w:rsidR="00163957" w:rsidRDefault="00163957" w:rsidP="00163957">
      <w:pPr>
        <w:pStyle w:val="SntesisAnaltica"/>
      </w:pPr>
    </w:p>
    <w:p w:rsidR="00163957" w:rsidRDefault="00163957" w:rsidP="00163957">
      <w:pPr>
        <w:pStyle w:val="Extracto"/>
      </w:pPr>
      <w:r>
        <w:t>1.</w:t>
      </w:r>
      <w:r>
        <w:tab/>
        <w:t>La facultad del Estado para autorizar ciertas instalaciones eléctricas en función de la potencia instalada y de la tensión nominal de la línea de transporte, no resulta inconstitucional en la medida en que la aplicación de estos criterios técnicos coincida materialmente con los criterios constitucionales del aprovechamiento y transporte intra o extracomunitario [FJ 5].</w:t>
      </w:r>
    </w:p>
    <w:p w:rsidR="00163957" w:rsidRDefault="00163957" w:rsidP="00163957">
      <w:pPr>
        <w:pStyle w:val="Extracto"/>
      </w:pPr>
    </w:p>
    <w:p w:rsidR="00163957" w:rsidRDefault="00163957" w:rsidP="00163957">
      <w:pPr>
        <w:pStyle w:val="Extracto"/>
      </w:pPr>
      <w:r>
        <w:t>2.</w:t>
      </w:r>
      <w:r>
        <w:tab/>
        <w:t>La competencia ejecutiva del órgano estatal en la resolución de las controversias sobre suministro de energía eléctrica no vulnera el orden constitucional de distribución de competencias, siempre que se interprete que la misma se refiere a las controversias que trasciendan el ámbito autonómico y afecten el régimen económico del sector [FJ 10].</w:t>
      </w:r>
    </w:p>
    <w:p w:rsidR="00163957" w:rsidRDefault="00163957" w:rsidP="00163957">
      <w:pPr>
        <w:pStyle w:val="Extracto"/>
      </w:pPr>
    </w:p>
    <w:p w:rsidR="00163957" w:rsidRDefault="00163957" w:rsidP="00163957">
      <w:pPr>
        <w:pStyle w:val="Extracto"/>
      </w:pPr>
      <w:r>
        <w:t>3.</w:t>
      </w:r>
      <w:r>
        <w:tab/>
        <w:t>Es constitucional la obligación de inscribirse en el registro administrativo de autoconsumo de energía eléctrica, pues la mera creación de un registro administrativo de autoconsumo de energía eléctrica no invade las competencias autonómicas [FJ 6].</w:t>
      </w:r>
    </w:p>
    <w:p w:rsidR="00163957" w:rsidRDefault="00163957" w:rsidP="00163957">
      <w:pPr>
        <w:pStyle w:val="Extracto"/>
      </w:pPr>
    </w:p>
    <w:p w:rsidR="00163957" w:rsidRDefault="00163957" w:rsidP="00163957">
      <w:pPr>
        <w:pStyle w:val="Extracto"/>
      </w:pPr>
      <w:r>
        <w:t>4.</w:t>
      </w:r>
      <w:r>
        <w:tab/>
        <w:t>Es constitucionalmente posible la creación de un Registro único para todo el Estado que garantice la centralización de todos los datos, a los estrictos efectos de información y publicidad (SSTC 197/1996 y 11/2015) [FJ 6].</w:t>
      </w:r>
    </w:p>
    <w:p w:rsidR="00163957" w:rsidRDefault="00163957" w:rsidP="00163957">
      <w:pPr>
        <w:pStyle w:val="Extracto"/>
      </w:pPr>
    </w:p>
    <w:p w:rsidR="00163957" w:rsidRDefault="00163957" w:rsidP="00163957">
      <w:pPr>
        <w:pStyle w:val="Extracto"/>
      </w:pPr>
      <w:r>
        <w:t>5.</w:t>
      </w:r>
      <w:r>
        <w:tab/>
        <w:t>Al amparo de las competencias estatales y en su condición de órgano estatal, la Comisión Nacional de los Mercados y la Competencia tiene facultad para emitir un informe previo en el marco de la resolución de las discrepancias sobre el otorgamiento o denegación del permiso de conexión a las redes [FJ 8].</w:t>
      </w:r>
    </w:p>
    <w:p w:rsidR="00163957" w:rsidRDefault="00163957" w:rsidP="00163957">
      <w:pPr>
        <w:pStyle w:val="Extracto"/>
      </w:pPr>
    </w:p>
    <w:p w:rsidR="00163957" w:rsidRDefault="00163957" w:rsidP="00163957">
      <w:pPr>
        <w:pStyle w:val="Extracto"/>
      </w:pPr>
      <w:r>
        <w:t>6.</w:t>
      </w:r>
      <w:r>
        <w:tab/>
        <w:t>La intervención del Estado mediante la técnica del informe vinculante es constitucionalmente legítima cuando se funde en el ejercicio de una competencia propia sobre una determinada materia, que sea distinta de la materia sobre la cual la Comunidad Autónoma ejerce su propia competencia de autorización (STC 18/2011) [FJ 8].</w:t>
      </w:r>
    </w:p>
    <w:p w:rsidR="00163957" w:rsidRDefault="00163957" w:rsidP="00163957">
      <w:pPr>
        <w:pStyle w:val="Extracto"/>
      </w:pPr>
    </w:p>
    <w:p w:rsidR="00163957" w:rsidRDefault="00163957" w:rsidP="00163957">
      <w:pPr>
        <w:pStyle w:val="Extracto"/>
      </w:pPr>
      <w:r>
        <w:t>7.</w:t>
      </w:r>
      <w:r>
        <w:tab/>
        <w:t xml:space="preserve">El Estado está competencialmente habilitado para establecer el régimen común de derechos y obligaciones de las empresas comercializadoras de energía eléctrica, </w:t>
      </w:r>
      <w:r>
        <w:lastRenderedPageBreak/>
        <w:t>toda vez que las empresas comercializadoras son sujetos que intervienen en el sistema eléctrico [FJ 11].</w:t>
      </w:r>
    </w:p>
    <w:p w:rsidR="00163957" w:rsidRDefault="00163957" w:rsidP="00163957">
      <w:pPr>
        <w:pStyle w:val="Extracto"/>
      </w:pPr>
    </w:p>
    <w:p w:rsidR="00163957" w:rsidRDefault="00163957" w:rsidP="00163957">
      <w:pPr>
        <w:pStyle w:val="Extracto"/>
      </w:pPr>
      <w:r>
        <w:t>8.</w:t>
      </w:r>
      <w:r>
        <w:tab/>
        <w:t>El precepto estatal que regula las medidas de calidad del suministro de energía eléctrica no excede de los contornos de la normativa básica en cuanto persigue establecer parámetros mínimos de calidad del servicio para garantizar el correcto funcionamiento de los diferentes sectores de la economía nacional [FJ 12].</w:t>
      </w:r>
    </w:p>
    <w:p w:rsidR="00163957" w:rsidRDefault="00163957" w:rsidP="00163957">
      <w:pPr>
        <w:pStyle w:val="Extracto"/>
      </w:pPr>
    </w:p>
    <w:p w:rsidR="00163957" w:rsidRDefault="00163957" w:rsidP="00163957">
      <w:pPr>
        <w:pStyle w:val="Extracto"/>
      </w:pPr>
      <w:r>
        <w:t>9.</w:t>
      </w:r>
      <w:r>
        <w:tab/>
        <w:t>El precepto que establece los criterios para considerar como esencial el suministro de energía eléctrica a determinadas instalaciones encaja en el concepto de bases del sector eléctrico en la medida en que se relaciona con uno de los principios que lo rige: el de garantía de suministro [FJ 13].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1908-2014 interpuesto por el Gobierno de la Generalitat de Cataluña contra los arts. 3.13 a), 9, 15, 33.5, 38.8, 40, 43.5, 46, 51, 52.4 y la disposición final segunda de la Ley 24/2013, de 26 de diciembre, del sector eléctrico. Ha comparecido y formulado alegaciones el Abogado del Estado. Ha sido Ponente la Magistrada doña Adela Asua Batarrita,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el Tribunal Constitucional el día 26 de marzo de 2014 la Abogada de la Generalitat de Cataluña, en la representación que ostenta del Gobierno de esa Comunidad Autónoma, interpone recurso de inconstitucionalidad contra los arts. 3.13 a), 9, 15, 33.5, 38.8, 40, 43.5, 46, 51, 52.4 y disposición final segunda de la Ley 24/2013, de 26 de diciembre, del sector eléctrico (en adelante, LSE).</w:t>
      </w:r>
    </w:p>
    <w:p w:rsidR="00163957" w:rsidRDefault="00163957" w:rsidP="00163957">
      <w:pPr>
        <w:pStyle w:val="TextoNormal"/>
      </w:pPr>
    </w:p>
    <w:p w:rsidR="00163957" w:rsidRDefault="00163957" w:rsidP="00163957">
      <w:pPr>
        <w:pStyle w:val="TextoNormal"/>
      </w:pPr>
      <w:r>
        <w:t>Los motivos del recurso son, resumidamente expuestos, los siguientes:</w:t>
      </w:r>
    </w:p>
    <w:p w:rsidR="00163957" w:rsidRDefault="00163957" w:rsidP="00163957">
      <w:pPr>
        <w:pStyle w:val="TextoNormal"/>
      </w:pPr>
    </w:p>
    <w:p w:rsidR="00163957" w:rsidRDefault="00163957" w:rsidP="00163957">
      <w:pPr>
        <w:pStyle w:val="TextoNormal"/>
      </w:pPr>
      <w:r>
        <w:t xml:space="preserve">El escrito de interposición alude, en primer lugar, al objeto del recurso y a los motivos de la impugnación, indicando que los preceptos recurridos no respetan el concepto material </w:t>
      </w:r>
      <w:r>
        <w:lastRenderedPageBreak/>
        <w:t>de bases en materia de energía eléctrica en la que se encuadran ni tampoco el de las bases y coordinación de la planificación general de la actividad económica, al no permitir a la Generalitat de Cataluña ejercer las competencias asumidas en materia de energía, de acuerdo con el art. 133 del Estatuto de Autonomía de Cataluña (EAC, en adelante).</w:t>
      </w:r>
    </w:p>
    <w:p w:rsidR="00163957" w:rsidRDefault="00163957" w:rsidP="00163957">
      <w:pPr>
        <w:pStyle w:val="TextoNormal"/>
      </w:pPr>
    </w:p>
    <w:p w:rsidR="00163957" w:rsidRDefault="00163957" w:rsidP="00163957">
      <w:pPr>
        <w:pStyle w:val="TextoNormal"/>
      </w:pPr>
      <w:r>
        <w:t>Menciona a continuación la delimitación del marco constitucional y estatutario de distribución de competencias en materia de energía eléctrica así como la doctrina constitucional al respecto, señalando que, en el caso del Estado, confluyen dos títulos competenciales específicos, el del art. 149.1.22 CE, relativo a la autorización de las instalaciones eléctricas si el aprovechamiento afecta a otra Comunidad o el transporte de energía salga de su ámbito territorial, y el del art. 149.1.25 CE sobre las bases del régimen minero y energético. A ambos títulos se añade el más genérico del art. 149.1.13 CE relativo a las bases y coordinación de la planificación general de la actividad económica que incide también en el ámbito de la energía eléctrica. Indica además que la doctrina constitucional sitúa estos dos últimos títulos en una posición de necesaria concurrencia, a pesar de reconocer el carácter genérico del primero y el específico del segundo, recogiendo la doctrina en torno a ambos así como con relación a las bases estatales en materia de energía, en el doble sentido material y formal. Por su parte, el Estatuto de Autonomía de Cataluña atribuye a la Generalitat la competencia compartida en materia de energía, en los términos del art. 133 EAC.</w:t>
      </w:r>
    </w:p>
    <w:p w:rsidR="00163957" w:rsidRDefault="00163957" w:rsidP="00163957">
      <w:pPr>
        <w:pStyle w:val="TextoNormal"/>
      </w:pPr>
    </w:p>
    <w:p w:rsidR="00163957" w:rsidRDefault="00163957" w:rsidP="00163957">
      <w:pPr>
        <w:pStyle w:val="TextoNormal"/>
      </w:pPr>
      <w:r>
        <w:t>A continuación examina el alcance del título competencial del art. 149.1.22 CE, que entiende aplicable al artículo 3.13 a), indicando que el Tribunal Constitucional ha establecido una doctrina que considera que para que el Estado pueda autorizar las instalaciones eléctricas, es suficiente que concurra una de las dos condiciones previstas por la norma constitucional —que el aprovechamiento afecte otra Comunidad Autónoma, o que el transporte de la energía salga de su respectivo ámbito territorial—, sin perjuicio que para determinar si un aprovechamiento afecta a otra Comunidad deba atenderse a situaciones fácticas, tal como se desprende de la STC 181/2013. Por lo que se refiere a las competencias de la Generalitat de Cataluña el art. 133.1 EAC le atribuye la competencia compartida en materia de energía, mientras que el art. 133.2 dispone que la Generalitat participa, mediante la emisión de un informe previo, en el procedimiento de otorgamiento de la autorización de las instalaciones de producción y transporte de energía que superen el territorio de Cataluña o cuando la energía sea objeto de aprovechamiento fuera de este territorio, y el art. 133.3 determina que la Generalitat participa en la regulación y planificación de ámbito estatal del sector de la energía que afecte al territorio de Cataluña.</w:t>
      </w:r>
    </w:p>
    <w:p w:rsidR="00163957" w:rsidRDefault="00163957" w:rsidP="00163957">
      <w:pPr>
        <w:pStyle w:val="TextoNormal"/>
      </w:pPr>
    </w:p>
    <w:p w:rsidR="00163957" w:rsidRDefault="00163957" w:rsidP="00163957">
      <w:pPr>
        <w:pStyle w:val="TextoNormal"/>
      </w:pPr>
      <w:r>
        <w:t xml:space="preserve">Examinando ya los concretos preceptos impugnados la Abogada de la Generalitat de Cataluña indica sobre el artículo 3.13 a) que el objeto de debate en la impugnación de este precepto es determinar si el aprovechamiento infra o supracomunitario puede quedar fijado en función de criterios técnicos como la potencia y el voltaje de las instalaciones. Reconoce que la regulación de las instalaciones de producción y las de transporte primario es prácticamente idéntica a la enjuiciada en la STC 181/2013, lo que debería conducir sin más a la desestimación de la impugnación. Sin embargo estima que la literalidad del art. 3.13 a) no permite una interpretación conforme y postula un cambio en la doctrina del Tribunal. Entiende, señalando el carácter deficitario de la Comunidad Autónoma en materia de energía eléctrica, que el precepto impugnado no se ajusta a la regla competencial según la cual corresponde al Estado la autorización de las instalaciones eléctricas que tengan una proyección del aprovechamiento y del transporte supracomunitaria, con independencia del territorio en </w:t>
      </w:r>
      <w:r>
        <w:lastRenderedPageBreak/>
        <w:t>que se hallen; y en congruencia corresponde a las Comunidades Autónomas la instalación eléctrica que está emplazada en su ámbito territorial y cuyo aprovechamiento sea exclusivamente para la Comunidad y transporte no salga de su territorio. Ambos extremos deberían determinarse en un enjuiciamiento caso por caso, lo que no se permite por el precepto impugnado, dada su formulación general, con el resultado de que la aplicación de los criterios legales de potencia y tensión sin considerar para cada instalación eléctrica de forma específica si el aprovechamiento afecta a otra Comunidad o el transporte sale fuera del territorio de la Comunidad de Catalunya, puede conducir a un resultado material distinto del que se desprende de la regla constitucional del aprovechamiento infra o supracomunitario consagrado por los arts. 149.1.22 CE y 133 EAC.</w:t>
      </w:r>
    </w:p>
    <w:p w:rsidR="00163957" w:rsidRDefault="00163957" w:rsidP="00163957">
      <w:pPr>
        <w:pStyle w:val="TextoNormal"/>
      </w:pPr>
    </w:p>
    <w:p w:rsidR="00163957" w:rsidRDefault="00163957" w:rsidP="00163957">
      <w:pPr>
        <w:pStyle w:val="TextoNormal"/>
      </w:pPr>
      <w:r>
        <w:t>Las alegaciones que se plantean respecto a los arts. 9, 15, 33.5, 38.8, 40, 43.5, 46, 51 y 52.4 se fundamentan en que estos preceptos no tienen carácter de básicos y tampoco la disposición final segunda en cuanto les atribuye tal carácter, por lo que no respetan el esquema de distribución de competencias. El común denominador de las alegaciones que se plantean es el exceso competencial en el que incurren al no respetar el concepto material de bases que se atribuye a cada uno de ellos, bien por qué no deja espacio a la Generalitat de Cataluña para ejercer su competencia de desarrollo normativo en materia de energía, bien por qué le sustrae competencias ejecutivas en dicha materia, o bien porque en realidad la regulación del precepto en cuestión no tiene relevancia económica y desborda el ámbito material básico y de coordinación de la planificación general de la economía.</w:t>
      </w:r>
    </w:p>
    <w:p w:rsidR="00163957" w:rsidRDefault="00163957" w:rsidP="00163957">
      <w:pPr>
        <w:pStyle w:val="TextoNormal"/>
      </w:pPr>
    </w:p>
    <w:p w:rsidR="00163957" w:rsidRDefault="00163957" w:rsidP="00163957">
      <w:pPr>
        <w:pStyle w:val="TextoNormal"/>
      </w:pPr>
      <w:r>
        <w:t>Acerca del art. 9 LSE, dedicado a la regulación del autoconsumo, se argumenta que el autoconsumo de energía eléctrica tiene un impacto económico especialmente reducido. Tras describir el contenido del precepto, se centra en su apartado cuatro que prevé que los consumidores acogidos a las modalidades de autoconsumo se inscriban en el Registro administrativo de autoconsumo de energía eléctrica, creado por el Ministerio de Industria, Energía y Turismo, atribuyendo al Estado la regulación de la organización y del procedimiento de inscripción y de comunicación de datos al Registro. Indica que el mismo, en conexión con los artículos 64.43, 67 y 73, reservan al Estado un conjunto de competencias reglamentarias y ejecutivas como la creación de un registro único estatal, su regulación por reglamento, y por tanto la gestión del mismo, e imponen la obligación a todos los auto-consumidores de inscribirse en dicho Registro, independientemente de la modalidad a la que pertenezcan. Alude a la doctrina de la de la STC 223/2000, de la que concluye que el registro centralizado solamente procede si es indispensable para preservar el cumplimiento de la normativa básica que regula el sistema de distribución de competencias en materia de energía eléctrica. Al respecto concluye que tan solo puede ser indispensable para el cumplimiento de la normativa básica, la llevanza de un registro estatal centralizado sobre las modalidades de producción de autoconsumo señaladas, con las letras b) y c), correspondiendo en todo caso a la Generalitat la inscripción de estas instalaciones cuando estén emplazadas en Cataluña. En cuanto al apartado 5 que prevé que el Gobierno establecerá las condiciones administrativas y técnicas para la conexión a la red de las instalaciones de autoconsumo, argumenta que la norma carece de trascendencia económica y desborda el carácter de norma básica en materia de energía eléctrica, dado que remite a un ulterior reglamento del Gobierno y, por tanto, no deja margen de desarrollo a la Generalitat de Cataluña para regularlo.</w:t>
      </w:r>
    </w:p>
    <w:p w:rsidR="00163957" w:rsidRDefault="00163957" w:rsidP="00163957">
      <w:pPr>
        <w:pStyle w:val="TextoNormal"/>
      </w:pPr>
    </w:p>
    <w:p w:rsidR="00163957" w:rsidRDefault="00163957" w:rsidP="00163957">
      <w:pPr>
        <w:pStyle w:val="TextoNormal"/>
      </w:pPr>
      <w:r>
        <w:t xml:space="preserve">Del artículo 33.5 se cuestiona el informe vinculante de la Comisión Nacional de los Mercados y la Competencia en la resolución por la Comunidad Autónoma de las discrepancias </w:t>
      </w:r>
      <w:r>
        <w:lastRenderedPageBreak/>
        <w:t>que se susciten en relación con el otorgamiento o denegación del permiso de conexión a las redes cuya autorización sea de competencia autonómica. El informe será vinculante respecto a las condiciones económicas y las condiciones temporales relativas a calendarios de ejecución de las instalaciones de los titulares de redes recogidas en la planificación de la red de transporte y en los planes de inversión de las empresas distribuidoras aprobados por la Administración general del Estado. Con este informe se está incumpliendo la normativa comunitaria en la medida en que la misma se refiere al acceso y no a la conexión y obliga a garantizar la independencia de la autoridad reguladora. Desde la perspectiva constitucional, la demanda considera que la emisión de este informe vinculante no es legítima, ya que no se funda en el ejercicio de una competencia propia sobre una determinada materia que le habilita para actuar, pues la autoridad reguladora para mantener su independencia no puede ejercer las funciones de la Administración general del Estado. Destaca además el carácter marcadamente reglado de la regulación de manera que la resolución de las discrepancias que surjan en relación al otorgamiento o denegación de las Comunidades Autónomas se deberán resolver en base a esta regulación pautada. Afirma que la comprobación del cumplimiento de los requisitos que marca la ley, el reglamento y los instrumentos de planificación se corresponde con el ejercicio de una actividad ejecutiva o aplicativa que corresponde a la Generalitat de Catalunya en ejercicio de la competencia compartida que en materia de energía eléctrica asumida en base al art. 133 EAC y que no puede ser objeto de supervisión o suplantación mediante la técnica inadecuada del informe vinculante.</w:t>
      </w:r>
    </w:p>
    <w:p w:rsidR="00163957" w:rsidRDefault="00163957" w:rsidP="00163957">
      <w:pPr>
        <w:pStyle w:val="TextoNormal"/>
      </w:pPr>
    </w:p>
    <w:p w:rsidR="00163957" w:rsidRDefault="00163957" w:rsidP="00163957">
      <w:pPr>
        <w:pStyle w:val="TextoNormal"/>
      </w:pPr>
      <w:r>
        <w:t>El artículo 40 regula las obligaciones y derechos de las empresas distribuidoras con mayor detalle que la regulación anterior, ampliando el ámbito de regulación estatal mediante el recurso a la remisión reglamentaria. En concreto del apartado 1 de este precepto se cuestionan las letras a) a e) y la h), acerca de las obligaciones del distribuidor, mientras que, en el ámbito de los derechos cuestiona que en el apartado 3 b) no se haga referencia al cumplimiento de la normativa autonómica. Se trata, a juicio de la demanda, de una regulación exhaustiva y cerrada en sí misma, no solo por las propias determinaciones que establece, así como su nivel de detalle que desciende a aspectos técnicos como la conexión a la red, la ampliación de las instalaciones, el tipo de instalación o el tipo de aparato receptor, sino también por las remisiones a futuros reglamentos del Estado. Específicamente respecto al apartado 1 h) señala que, conforme al régimen anterior, los planes de inversión en distribución los aprobaba cada Comunidad Autónoma, lo cual resultaba lógico, pues, en el caso de Cataluña, era necesario, dadas sus características, una mayor extensión de la red de distribución, siendo la Comunidad Autónoma la mejor conocedora de las instalaciones de distribución que afecten a su territorio. Frente a ello la demanda afirma que la nueva regulación dispone “no solo que la Comunidad Autónoma no pueda aprobar un Plan de inversión sino que puede aprobarse un plan sin su conformidad”. Asimismo estima que la Generalitat de Cataluña tampoco podrá dictar normas en aspectos tan vinculados a las especialidades de su red de distribución como son “los niveles de calidad que han de respetar las empresas distribuidoras en la prestación de su servicio; los criterios de conexión a las redes de distribución; los términos en que se ha de realizar la ampliación de las instalaciones de distribución cuando así sea necesario para atender nuevas demandas de suministro eléctrico y los criterios para determinar la demanda razonable de distribución de electricidad, ni sobre las condiciones y procedimiento sobre las acometidas y el enganche, pues todo de acuerdo con el art. 40 queda reservado al Estado a través de Reglamento”. Finalmente la demanda controvierte el último inciso del apartado 2 del artículo 40 en cuanto remite a un ulterior regla</w:t>
      </w:r>
      <w:r>
        <w:lastRenderedPageBreak/>
        <w:t>mento la regulación de las condiciones y procedimientos para el establecimiento de acometidas eléctricas y el enganche de nuevos usuarios a las redes de distribución, razón por la cual se discute, por conexión el artículo 38.8.</w:t>
      </w:r>
    </w:p>
    <w:p w:rsidR="00163957" w:rsidRDefault="00163957" w:rsidP="00163957">
      <w:pPr>
        <w:pStyle w:val="TextoNormal"/>
      </w:pPr>
    </w:p>
    <w:p w:rsidR="00163957" w:rsidRDefault="00163957" w:rsidP="00163957">
      <w:pPr>
        <w:pStyle w:val="TextoNormal"/>
      </w:pPr>
      <w:r>
        <w:t>El artículo 43.5 vulnera las competencias autonómicas al atribuir al Estado la regulación del procedimiento para resolver los conflictos entre los usuarios finales y las empresas suministradoras de energía eléctrica que no se sometan a las entidades de resolución alternativa de litigios en materia de consumo o cuando éstas no resulten competentes para la resolución del conflicto. Lo que se establece es un procedimiento específico por razón de la materia de energía eléctrica, siempre y cuando se den dos condiciones: que la controversia afecte a específicos derechos como usuarios finales y que esté regulada por la normativa referente a la protección específica de los usuarios finales de energía eléctrica, a lo que habría que añadir una tercera, que es que los sujetos conflicto se encuentren ubicados en el ámbito territorial de la Comunidad Autónoma en cuestión, en este caso, Cataluña. En este sentido, la demanda alega que se trata del el ejercicio de funciones que corresponden a la Generalitat de Cataluña que tiene atribuida la competencia compartida en materia de energía eléctrica, por lo que le corresponde la regulación del procedimiento específico en este ámbito material; y, en segundo lugar, el ejercicio de las facultades ejecutivas vinculadas al mismo.</w:t>
      </w:r>
    </w:p>
    <w:p w:rsidR="00163957" w:rsidRDefault="00163957" w:rsidP="00163957">
      <w:pPr>
        <w:pStyle w:val="TextoNormal"/>
      </w:pPr>
    </w:p>
    <w:p w:rsidR="00163957" w:rsidRDefault="00163957" w:rsidP="00163957">
      <w:pPr>
        <w:pStyle w:val="TextoNormal"/>
      </w:pPr>
      <w:r>
        <w:t>Respecto al artículo 46, relativo al régimen de obligaciones y derechos de las empresas comercializadoras en relación con el suministro, señala que, en comparación con el art. 45 de la Ley 54/1997, el nivel de detalle con el que se regulan sus obligaciones no deja margen al ejercicio de las competencias autonómicas. Alude así a las remisiones reglamentarias de los apartados 1 y 2, así como la regulación en lo relativo a la atención a los consumidores, añadiendo la obligación de ofrecer a estos últimos la posibilidad de solucionar los conflictos a través de una entidad que cumpla los requisitos establecidos por la normativa comunitaria. Esta regulación tan detallista y que contiene remisiones a reglamentos estatales como la que prevé el art. 46.2 a) de la Ley no deja margen a las Comunidades Autónomas respeto de la regulación de las obligaciones y los derechos de dichas empresas en cuanto al suministro. Además, en este caso, la doctrina constitucional establecida en la STC 4/2013, amparándose en el hecho de que las actividades de comercialización de energía eléctrica se desarrollan en el marco de las condiciones pactadas libremente por las partes, permite concluir que la normativa que la Comunidad Autónoma aprobase al respecto no tendría una repercusión económica en el sector eléctrico, por lo que, al no afectar el régimen económico del sector, carece de fundamento atribuir carácter básico a la totalidad de preceptos que dentro de la Ley regulan esta actividad.</w:t>
      </w:r>
    </w:p>
    <w:p w:rsidR="00163957" w:rsidRDefault="00163957" w:rsidP="00163957">
      <w:pPr>
        <w:pStyle w:val="TextoNormal"/>
      </w:pPr>
    </w:p>
    <w:p w:rsidR="00163957" w:rsidRDefault="00163957" w:rsidP="00163957">
      <w:pPr>
        <w:pStyle w:val="TextoNormal"/>
      </w:pPr>
      <w:r>
        <w:t xml:space="preserve">El artículo 51, al regular la calidad del suministro, lo hace de forma tan detallada y completa que no deja margen a la Generalitat para ejercer su competencia compartida para legislar y establecer unos criterios de calidad adecuados a las características de la red eléctrica de Cataluña, obviando que el control de la actividad de distribución eléctrica y de la calidad del servicio eléctrico son de competencia autonómica. La atribución al Estado del conjunto de funciones y potestades al que aluden sus cinco apartados no deja margen a la Generalitat de Cataluña para ejercer su competencia compartida para legislar y establecer unos criterios de calidad adecuados a las características de la red eléctrica de Cataluña, teniendo en cuenta que la tipología de las redes de distribución no es homogénea en el conjunto del Estado. Algo similar se alega respecto al artículo 52.4, esta vez en relación con la determinación de </w:t>
      </w:r>
      <w:r>
        <w:lastRenderedPageBreak/>
        <w:t>los que se consideran suministros esenciales sometidos a un régimen específico y diferenciado, por cuanto no deja ningún margen a la Generalitat para poder determinar otros suministros en su ámbito territorial, ya que la misma literalidad del precepto lleva a concluir que es una lista cerrada, en el sentido de que no permite a las Comunidades Autónomas atribuir la calificación de esencial a otros suministros. Por último, la impugnación de la disposición final segunda se califica de sistemática en el sentido de que ha de seguir la suerte de los preceptos impugnados.</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6 de mayo de 2014 el Pleno, a propuesta de la Sección Tercera, acordó admitir a trámite el recurso de inconstitucionalidad promovido por el Gobierno de Cataluña y, en su representación y defensa, por la Abogada del mismo, contra los arts. 3.13 a), 9, 15, 33.5, 38.8, 40, 43.5, 46, 51, 52.4 y disposición final segunda de la Ley 24/2013, de 26 de diciembre, del sector eléctrico;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registrado el 9 de mayo de 2014 el Abogado del Estado se personó en nombre del Gobierno solicitando una prórroga en el plazo para la formulación de alegaciones, prórroga que le fue concedida por providencia del Pleno de 19 de mayo de 2014.</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escrito registrado con fecha 19 de mayo de 2014 el Presidente del Congreso de los Diputados comunicó el acuerdo de la Mesa de la Cámara de personarse en el procedimiento y ofrecer su colaboración a los efectos del art. 88.1 LOTC. Lo mismo hizo el Presidente del Senado por escrito que tuvo entrada en este Tribunal el día 28 de mayo de 2014.</w:t>
      </w:r>
    </w:p>
    <w:p w:rsidR="00163957" w:rsidRDefault="00163957" w:rsidP="00163957">
      <w:pPr>
        <w:pStyle w:val="TextoNormal"/>
      </w:pPr>
    </w:p>
    <w:p w:rsidR="00163957" w:rsidRDefault="00163957" w:rsidP="00163957">
      <w:pPr>
        <w:pStyle w:val="TextoNormal"/>
      </w:pPr>
      <w:r w:rsidRPr="00163957">
        <w:rPr>
          <w:rStyle w:val="NumeroAFNegritaCaracter"/>
        </w:rPr>
        <w:t>5</w:t>
      </w:r>
      <w:r>
        <w:t>. Las alegaciones presentadas por el Abogado del Estado interesando la desestimación del recurso fueron registradas en este Tribunal el día 11 de junio de 2014.</w:t>
      </w:r>
    </w:p>
    <w:p w:rsidR="00163957" w:rsidRDefault="00163957" w:rsidP="00163957">
      <w:pPr>
        <w:pStyle w:val="TextoNormal"/>
      </w:pPr>
    </w:p>
    <w:p w:rsidR="00163957" w:rsidRDefault="00163957" w:rsidP="00163957">
      <w:pPr>
        <w:pStyle w:val="TextoNormal"/>
      </w:pPr>
      <w:r>
        <w:t>Comienza haciendo referencia al marco competencial en el que se inserta el presente recurso, aludiendo a las competencias estatales derivadas de los arts. 149.1.13, 22 y 25 CE, así como a la doctrina constitucional sobre su alcance respectivo, citando las SSTC 18/2011 y 181/2013, esta última en relación con el entrecruzamiento competencial que se produce en materia de sector eléctrico y destacando las líneas generales de la doctrina constitucional en relación con cada uno de los títulos competenciales estatales.</w:t>
      </w:r>
    </w:p>
    <w:p w:rsidR="00163957" w:rsidRDefault="00163957" w:rsidP="00163957">
      <w:pPr>
        <w:pStyle w:val="TextoNormal"/>
      </w:pPr>
    </w:p>
    <w:p w:rsidR="00163957" w:rsidRDefault="00163957" w:rsidP="00163957">
      <w:pPr>
        <w:pStyle w:val="TextoNormal"/>
      </w:pPr>
      <w:r>
        <w:t xml:space="preserve">Respecto a la impugnación del artículo 3.13 a), alude a la doctrina de la STC 181/2013, señalando que el precepto recurrido atribuye al Estado la competencia atendiendo a criterios técnicos, de modo que tratándose de instalaciones de generación, serán competencia del Estado cuando la potencia instalada supere 50 MW y las de transporte y acometidas cuando superen los 380 KV. En cuanto a las instalaciones de transporte, tras explicar las características de la red, indica que las instalaciones a las que alude el precepto impugnado son las aptas para el transporte de energía eléctrica a grandes distancias, y, por tanto, entre unas y otras Comunidades Autónomas, sin que la Comunidad Autónoma recurrente haya aportado </w:t>
      </w:r>
      <w:r>
        <w:lastRenderedPageBreak/>
        <w:t>dato alguno que permita cuestionar el criterio técnico que subyace en el reparto competencial que lleva a cabo el precepto impugnado. Sobre las instalaciones de producción destaca que la demanda resalta el carácter deficitario de la Comunidad Autónoma en esta materia, lo que le lleva a sostener que toda la energía generada por estas instalaciones se consumiría en Cataluña. El Abogado del Estado afirma que no puede aceptarse este argumento, puesto que la energía producida no se consume en el territorio donde se halla ubicada la instalación generadora. La energía producida en cada momento se vierte en la red de transporte, que es una red mallada de dimensión peninsular desde donde se distribuye a los puntos en los que se consume de modo instantáneo. Ello implica que sea prácticamente imposible determinar dónde se consume la energía producida por cada instalación generadora y que tampoco se pueda determinar certeramente si se consume en la misma Comunidad Autónoma que la produce o en otra.</w:t>
      </w:r>
    </w:p>
    <w:p w:rsidR="00163957" w:rsidRDefault="00163957" w:rsidP="00163957">
      <w:pPr>
        <w:pStyle w:val="TextoNormal"/>
      </w:pPr>
    </w:p>
    <w:p w:rsidR="00163957" w:rsidRDefault="00163957" w:rsidP="00163957">
      <w:pPr>
        <w:pStyle w:val="TextoNormal"/>
      </w:pPr>
      <w:r>
        <w:t>En cuanto a la impugnación del artículo 9 indica que el Estado regula el autoconsumo de energía eléctrica amparándose en la competencia exclusiva para el establecimiento de las bases del sector energético. Según el Abogado del Estado el autoconsumo de energía eléctrica presenta beneficios para el sistema porque reduce las pérdidas de red y minimiza el impacto de las instalaciones eléctricas de su entorno, pero no reduce los costes de mantenimiento de las redes de transporte y distribución ni los costes ajenos al suministro que se encuentra imputados a los peajes de acceso y, en algunos casos, incluso puede generar costes de inversión adicionales en las redes para adecuarlas a las necesidades derivadas de dicha generación distribuida. Un consumidor sujeto al régimen de autoconsumo se beneficia del respaldo del sistema, aun cuando esté consumiendo electricidad autoproducida por su instalación de generación, por lo que debe colaborar con los costes del sistema, incluidos los necesarios para financiar las tecnologías de respaldo. En cuanto a la imposición a los autoconsumidores de la obligación de contribución a los costes del sistema, abriendo la posibilidad de que el Gobierno pueda establecer reducciones en los peajes, cargos y costes argumenta que las obligaciones de contribución a los costes del sistema han de establecerse de modo coherente y equitativo por el Estado para todos los autoconsumidores, ya que el cálculo de estos costes y su cobertura mediante el pago de peajes y cargos, han de calcularse técnicamente de forma unitaria. Respecto a la carga de inscripción en un registro administrativo con el fin de controlar las instalaciones de autoconsumo, señala que simplemente impone la obligación de inscripción, sin detenerse en las formas de acceso al registro ni en el modo de comunicación de datos, extremos para cuya disciplina se remite al ulterior desarrollo reglamentario, momento en el que podrá enjuiciarse si el Estado sobrepasa el ejercicio de las facultades que le corresponden en virtud de su competencia sobre las bases del régimen energético sin perjuicio de indicar que esta obligación de inscripción se impone en ejercicio de la facultad de regulación del régimen económico del sector eléctrico y se exige a los solos efectos de publicidad y conocimiento del número y características de los auto consumidores, desprovista de cualquier otro efecto jurídico. En cuanto a la remisión al reglamento para la determinación de las condiciones técnicas y administrativas de conexión a la red, el Abogado del Estado trae a colación la doctrina constitucional sobre el aspecto material de las bases, que pueden estar formuladas en normas con rango de ley, en disposiciones reglamentarias, e incluso en actos de ejecución.</w:t>
      </w:r>
    </w:p>
    <w:p w:rsidR="00163957" w:rsidRDefault="00163957" w:rsidP="00163957">
      <w:pPr>
        <w:pStyle w:val="TextoNormal"/>
      </w:pPr>
    </w:p>
    <w:p w:rsidR="00163957" w:rsidRDefault="00163957" w:rsidP="00163957">
      <w:pPr>
        <w:pStyle w:val="TextoNormal"/>
      </w:pPr>
      <w:r>
        <w:lastRenderedPageBreak/>
        <w:t>Acerca de la impugnación del artículo 15 el Abogado del Estado señala que, pese a mencionarse en el encabezamiento y en el suplico de la demanda de inconstitucionalidad, ninguna alegación concreta se realiza sobre este precepto, por lo que esta impugnación ha de ser desestimada.</w:t>
      </w:r>
    </w:p>
    <w:p w:rsidR="00163957" w:rsidRDefault="00163957" w:rsidP="00163957">
      <w:pPr>
        <w:pStyle w:val="TextoNormal"/>
      </w:pPr>
    </w:p>
    <w:p w:rsidR="00163957" w:rsidRDefault="00163957" w:rsidP="00163957">
      <w:pPr>
        <w:pStyle w:val="TextoNormal"/>
      </w:pPr>
      <w:r>
        <w:t>En cuanto al artículo 33.5 señala que solamente se discute el carácter vinculante del informe emitido por la Comisión Nacional de los Mercados y la Competencia. El objeto de la impugnación es el modo de resolución de conflictos que sobre el otorgamiento de estos permisos de conexión se generen. La Ley del sector eléctrico es respetuosa y coherente con el sistema de distribución de competencias entre el Estado y las Comunidades Autónomas, de modo que utiliza el simple criterio de la competencia sobre la instalación de transporte o distribución a la que va a realizarse la conexión para encomendar la facultad para resolver los conflictos que puedan generarse en relación con permisos de conexión a estas instalaciones, estableciendo un informe vinculante únicamente respecto a las condiciones de ejecución de inversiones en redes de transporte y distribución de energía eléctrica, materia atinente a la planificación energética, que no es competencia de la Comunidad Autónoma, sino del Estado. Destaca además el carácter independiente de la Comisión Nacional de los Mercados y la Competencia y el hecho de que la técnica de los informes vinculantes ha sido admitida por la doctrina constitucional como medio para cohonestar competencias estatales y autonómicas.</w:t>
      </w:r>
    </w:p>
    <w:p w:rsidR="00163957" w:rsidRDefault="00163957" w:rsidP="00163957">
      <w:pPr>
        <w:pStyle w:val="TextoNormal"/>
      </w:pPr>
    </w:p>
    <w:p w:rsidR="00163957" w:rsidRDefault="00163957" w:rsidP="00163957">
      <w:pPr>
        <w:pStyle w:val="TextoNormal"/>
      </w:pPr>
      <w:r>
        <w:t>Respecto al artículo 40 señala que la afirmación del recurrente acerca del ámbito autonómico de la red de distribución en Cataluña carece de relevancia para el deslinde competencial en esta materia. Indica que uno de los principios básicos del sistema es el derecho de todos los consumidores al acceso y conexión de las redes en cualquier parte del territorio nacional, principio ratificado por la doctrina constitucional en la STC 18/2011. Por tanto, a juicio del Abogado del Estado, la Ley del sector eléctrico, cuando establece las obligaciones de los sujetos distribuidores de energía eléctrica, se desenvuelve en los contornos de la competencia del Estado para el establecimiento de las bases del sector eléctrico y, a tal efecto, establece una relación de obligaciones que se imponen con carácter general a todos los distribuidores, de modo que asegura coherencia, seguridad y homogeneidad en el ejercicio de esta actividad esencial para el sector eléctrico. Tarea en la que se sirve del auxilio reglamentario para la regulación de determinadas cuestiones técnicas, variables, específicas y concretas para cuya disciplina la ley se muestra especialmente inidónea.</w:t>
      </w:r>
    </w:p>
    <w:p w:rsidR="00163957" w:rsidRDefault="00163957" w:rsidP="00163957">
      <w:pPr>
        <w:pStyle w:val="TextoNormal"/>
      </w:pPr>
    </w:p>
    <w:p w:rsidR="00163957" w:rsidRDefault="00163957" w:rsidP="00163957">
      <w:pPr>
        <w:pStyle w:val="TextoNormal"/>
      </w:pPr>
      <w:r>
        <w:t xml:space="preserve">Sobre el artículo 43.5 indica que la competencia para establecer el mecanismo de resolución de conflictos allí previsto se inserta en la competencia estatal sobre el sector eléctrico, habiendo señalado la STC 18/2011 que el establecimiento de fórmulas heterocompositivas de resolución de conflictos corresponde al Estado. En lo que al artículo 46 respecta el Abogado del Estado, tras indicar que la doctrina constitucional ha separado del concepto de régimen económico del sector eléctrico la actividad de comercialización, defiende que el establecimiento de un elenco de obligaciones a los sujetos comercializadores de energía eléctrica </w:t>
      </w:r>
      <w:r w:rsidRPr="00163957">
        <w:rPr>
          <w:i/>
        </w:rPr>
        <w:t>ex</w:t>
      </w:r>
      <w:r>
        <w:t xml:space="preserve"> art. 149.1.25 CE persigue “una regulación del sistema eléctrico que obedezca a unos contornos comunes y reconocibles en toda España. Es por ello que los sujetos comercializadores han de tener unas mismas obligaciones sea cual fuere el lugar donde prestan sus servicios y con independencia de que presten sus servicios sólo en el territorio de una Comunidad Autónoma”. Así, desde un punto de vista material, la norma es básica por cuanto </w:t>
      </w:r>
      <w:r>
        <w:lastRenderedPageBreak/>
        <w:t>mediante la determinación de las obligaciones de los comercializadores se garantiza el cumplimiento del objetivo de la ley, que según su artículo 1.1, es garantizar el suministro de energía eléctrica, y adecuarlo a las necesidades de los consumidores en términos de seguridad, calidad, eficiencia, objetividad, transparencia y al mínimo coste. Desde un punto de vista formal la intervención del reglamento en la delimitación de lo básico se justifica porque la propia norma legal lo reclama para completar la regulación de la disciplina básica por ella definida y conseguir la exigible calidad y seguridad en el suministro, así como también por su carácter marcadamente técnico, justificativo de su tratamiento por normas reglamentarias.</w:t>
      </w:r>
    </w:p>
    <w:p w:rsidR="00163957" w:rsidRDefault="00163957" w:rsidP="00163957">
      <w:pPr>
        <w:pStyle w:val="TextoNormal"/>
      </w:pPr>
    </w:p>
    <w:p w:rsidR="00163957" w:rsidRDefault="00163957" w:rsidP="00163957">
      <w:pPr>
        <w:pStyle w:val="TextoNormal"/>
      </w:pPr>
      <w:r>
        <w:t>La impugnación del artículo 51 se descarta argumentando que la regulación de la calidad del suministro se inserta en la competencia exclusiva atribuida al Estado en el art. 149.1.25 CE, mientras que a la Comunidad Autónoma incumbe el establecimiento de normas adicionales en la materia, a la vez que la calificación del suministro como de interés económico general sustenta esta regulación también en la competencia del Estado para el establecimiento de las bases y coordinación de la planificación de la política económica. Para el Abogado del Estado, el artículo 51 simplemente persigue establecer índices, parámetros o criterios mínimos, objetivos, transparentes, comparables y evaluables de calidad del servicio, con la lógica finalidad de que todos los consumidores tengan un acceso equiparable al suministro eléctrico, ejerciendo así el derecho consagrado en el art. 7 de la Ley y reconocido como de interés económico general.</w:t>
      </w:r>
    </w:p>
    <w:p w:rsidR="00163957" w:rsidRDefault="00163957" w:rsidP="00163957">
      <w:pPr>
        <w:pStyle w:val="TextoNormal"/>
      </w:pPr>
    </w:p>
    <w:p w:rsidR="00163957" w:rsidRDefault="00163957" w:rsidP="00163957">
      <w:pPr>
        <w:pStyle w:val="TextoNormal"/>
      </w:pPr>
      <w:r>
        <w:t>Finalmente, en cuanto al artículo 52.4 señala que la alteración por ministerio de la ley del régimen contractual vigente entre el comercializador y el consumidor afecta frontalmente al régimen económico del sistema eléctrico, pues determina una alteración en la retribución de la prestación del servicio pactado entre la empresa comercializadora y el consumidor. Por último, sobre la impugnación de la disposición final segunda indica, citando la STC 18/2011, que debe desestimarse en la medida en que el Tribunal se pronuncie sobre el carácter básico de cada uno de los preceptos impugnados.</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16 de febrero de 2016 se señaló para deliberación y votación de la presente Sentencia el día 18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el presente proceso constitucional debemos resolver el recurso de inconstitucionalidad interpuesto por el Gobierno de la Generalitat de Cataluña contra los arts. 3.13 a), 9, 15, 33.5, 38.8, 40, 43.5, 46, 51, 52.4 y disposición final segunda de la Ley 24/2013, de 26 de diciembre, del sector eléctrico (LSE).</w:t>
      </w:r>
    </w:p>
    <w:p w:rsidR="00163957" w:rsidRDefault="00163957" w:rsidP="00163957">
      <w:pPr>
        <w:pStyle w:val="TextoNormal"/>
      </w:pPr>
    </w:p>
    <w:p w:rsidR="00163957" w:rsidRDefault="00163957" w:rsidP="00163957">
      <w:pPr>
        <w:pStyle w:val="TextoNormal"/>
      </w:pPr>
      <w:r>
        <w:t xml:space="preserve">Como ha quedado expuesto en los antecedentes de esta Sentencia la Abogada de la Generalitat de Cataluña argumenta que los preceptos impugnados vulneran el orden constitucional de distribución de competencias en cuanto que no podrían ser considerados materialmente básicos, ni desde la perspectiva de las competencias estatales en materia de energía eléctrica del art. 149.1.25 CE, ni tampoco desde la de las bases y coordinación de la planificación general de la actividad económica del art. 149.1.13 CE, con la consecuencia de que </w:t>
      </w:r>
      <w:r>
        <w:lastRenderedPageBreak/>
        <w:t>se vulneran las competencias autonómicas del art. 133 del Estatuto de Autonomía de Cataluña (EAC). La excepción a ese planteamiento es el art. 3.13 a), al que se le formula la queja específica de infracción del art. 149.1.22 CE en relación con las competencias estatales para la autorización de las instalaciones eléctricas y la consiguiente vulneración de las competencias autonómicas. Finalmente, la impugnación que se dirige contra la disposición final segunda no es autónoma, en cuanto que con ella se pone de manifiesto la falta de cobertura competencial que se reprocha a los restantes artículos de la Ley 24/2013 que han sido impugnados. Al anterior planteamiento se ha opuesto la Abogacía del Estado señalando que los preceptos objeto de recurso constituyen un adecuado ejercicio de las competencias estatales que derivan de los arts. 149.1.13, 149.1.22 y 149.1.25 CE.</w:t>
      </w:r>
    </w:p>
    <w:p w:rsidR="00163957" w:rsidRDefault="00163957" w:rsidP="00163957">
      <w:pPr>
        <w:pStyle w:val="TextoNormal"/>
      </w:pPr>
    </w:p>
    <w:p w:rsidR="00163957" w:rsidRDefault="00163957" w:rsidP="00163957">
      <w:pPr>
        <w:pStyle w:val="TextoNormal"/>
      </w:pPr>
      <w:r w:rsidRPr="00163957">
        <w:rPr>
          <w:rStyle w:val="NumeroAFNegritaCaracter"/>
        </w:rPr>
        <w:t>2</w:t>
      </w:r>
      <w:r>
        <w:t>. Ha de advertirse, antes de comenzar nuestro enjuiciamiento que la Ley del sector eléctrico ha sufrido varias modificaciones parciales durante la pendencia del proceso (Ley 3/2014, de 27 de marzo, por la que se modifica el texto refundido de la Ley general para la defensa de los consumidores y usuarios y otras leyes complementarias, aprobado por el Real Decreto Legislativo 1/2007, Real Decreto-ley 15/2014, de 19 de diciembre, por el que se modifica el régimen económico y fiscal de Canarias, Ley 32/2014, de 22 de diciembre, de metrología, y Real Decreto-ley 9/2015, de 10 de julio, de medidas urgentes para reducir la carga tributaria soportada por los contribuyentes del impuesto sobre la renta de las personas físicas y otras medidas de carácter económico). De todas estas modificaciones únicamente la primera y la última han afectado a dos de los preceptos impugnados en este proceso, los artículos 46 y 9, respectivamente. Asimismo, la disposición final tercera de la Ley 8/2015, de 21 de mayo, modifica el artículo 15, si bien, como se dirá en el fundamento jurídico 7, no será objeto de examen. La disposición final undécima.2 de la Ley 3/2014 ha añadido un nuevo párrafo q) al apartado 1 del art. 46, mientras que el art. 6 del Real Decreto-ley 9/2015 incorpora un nuevo párrafo cuatro al apartado 3 del artículo 9, modificaciones que, sin embargo, no afectan a la controversia en los términos en los que ha sido planteada ante este Tribunal.</w:t>
      </w:r>
    </w:p>
    <w:p w:rsidR="00163957" w:rsidRDefault="00163957" w:rsidP="00163957">
      <w:pPr>
        <w:pStyle w:val="TextoNormal"/>
      </w:pPr>
    </w:p>
    <w:p w:rsidR="00163957" w:rsidRDefault="00163957" w:rsidP="00163957">
      <w:pPr>
        <w:pStyle w:val="TextoNormal"/>
      </w:pPr>
      <w:r w:rsidRPr="00163957">
        <w:rPr>
          <w:rStyle w:val="NumeroAFNegritaCaracter"/>
        </w:rPr>
        <w:t>3</w:t>
      </w:r>
      <w:r>
        <w:t>. Puesto que del examen de la demanda se deduce con claridad que nos encontramos ante un recurso de inconstitucionalidad de carácter exclusivamente competencial, debemos comenzar por efectuar el encuadramiento de los preceptos controvertidos en el orden constitucional.</w:t>
      </w:r>
    </w:p>
    <w:p w:rsidR="00163957" w:rsidRDefault="00163957" w:rsidP="00163957">
      <w:pPr>
        <w:pStyle w:val="TextoNormal"/>
      </w:pPr>
    </w:p>
    <w:p w:rsidR="00163957" w:rsidRDefault="00163957" w:rsidP="00163957">
      <w:pPr>
        <w:pStyle w:val="TextoNormal"/>
      </w:pPr>
      <w:r>
        <w:t>La Ley del sector eléctrico viene a sustituir, con carácter general, a la Ley 54/1997, de 27 de noviembre, del sector eléctrico, que deroga casi totalmente, y tiene como finalidad básica establecer la regulación del sector eléctrico garantizando el suministro eléctrico y asegurando la sostenibilidad económica y financiera del sistema, al mismo tiempo que permitir un nivel de competencia efectiva en el sector eléctrico. Para ello regula todos los elementos que conforman el sector eléctrico, lo que incluye la ordenación del suministro, el régimen económico y financiero del sistema, la gestión económica y técnica, las diferentes actividades integrantes del sector (producción, transporte, distribución y suministro, incluyendo en esta última la comercialización), y otros aspectos más tangenciales (régimen de autorizaciones, régimen sancionador, expropiación y servidumbres en el ámbito eléctrico).</w:t>
      </w:r>
    </w:p>
    <w:p w:rsidR="00163957" w:rsidRDefault="00163957" w:rsidP="00163957">
      <w:pPr>
        <w:pStyle w:val="TextoNormal"/>
      </w:pPr>
    </w:p>
    <w:p w:rsidR="00163957" w:rsidRDefault="00163957" w:rsidP="00163957">
      <w:pPr>
        <w:pStyle w:val="TextoNormal"/>
      </w:pPr>
      <w:r>
        <w:t xml:space="preserve">Es claro entonces que nos hallamos en el ámbito material de la energía, en particular, en el subsector eléctrico. De hecho, tratándose de la materia energía eléctrica las partes no discrepan en los títulos competenciales que consideran de aplicación para la resolución del </w:t>
      </w:r>
      <w:r>
        <w:lastRenderedPageBreak/>
        <w:t>presente proceso constitucional, sino en su alcance con relación a cada uno de los preceptos impugnados.</w:t>
      </w:r>
    </w:p>
    <w:p w:rsidR="00163957" w:rsidRDefault="00163957" w:rsidP="00163957">
      <w:pPr>
        <w:pStyle w:val="TextoNormal"/>
      </w:pPr>
    </w:p>
    <w:p w:rsidR="00163957" w:rsidRDefault="00163957" w:rsidP="00163957">
      <w:pPr>
        <w:pStyle w:val="TextoNormal"/>
      </w:pPr>
      <w:r>
        <w:t>Así los títulos competenciales estatales que preferentemente debemos tomar en consideración son los establecidos en las reglas 13 (“bases y coordinación de la planificación general de la actividad económica”) y 25 (“bases del régimen … energético”) del art. 149.1 CE, invocados ambos expresamente en la disposición final segunda LSE. Respecto al alcance de ambos títulos competenciales ya nos hemos pronunciado en la STC 18/2011, de 3 de marzo, FJ 6, a la que ahora procede remitirse. Igualmente, dado lo dispuesto en el artículo 3.13 a), debemos tener en cuenta para este precepto lo dispuesto en el art. 149.1.22 CE (“autorización de las instalaciones eléctricas cuando su aprovechamiento afecte a otra Comunidad Autónoma o el transporte de energía salga de su ámbito territorial”), pues en dicho título estatal es el que se encuadra ese concreto precepto, con el alcance que ya examinamos en la STC 181/2013, de 23 de octubre, FJ 4.</w:t>
      </w:r>
    </w:p>
    <w:p w:rsidR="00163957" w:rsidRDefault="00163957" w:rsidP="00163957">
      <w:pPr>
        <w:pStyle w:val="TextoNormal"/>
      </w:pPr>
    </w:p>
    <w:p w:rsidR="00163957" w:rsidRDefault="00163957" w:rsidP="00163957">
      <w:pPr>
        <w:pStyle w:val="TextoNormal"/>
      </w:pPr>
      <w:r>
        <w:t>Dichos títulos han de ser puestos en relación con el art. 133.1 EAC que atribuye a la Generalitat la competencia compartida en materia de energía que incluye las submaterias siguientes: “a) La regulación de las actividades de producción, almacenaje y transporte de energía, el otorgamiento de las autorizaciones de las instalaciones que transcurran íntegramente por el territorio de Cataluña y el ejercicio de las actividades de inspección y control de todas las instalaciones existentes en Cataluña; b) La regulación de la actividad de distribución de energía que se lleve a cabo en Cataluña, el otorgamiento de las autorizaciones de las instalaciones correspondientes y el ejercicio de las actividades de inspección y control de todas las instalaciones existentes en Cataluña; c) El desarrollo de las normas complementarias de calidad de los servicios de suministro de energía; d) El fomento y la gestión de las energías renovables y de la eficiencia energética”. Carácter compartido de la competencia autonómica que ha de ser entendido en el sentido que ya expresamos en la STC 31/2010, de 28 de junio (FJ 60).</w:t>
      </w:r>
    </w:p>
    <w:p w:rsidR="00163957" w:rsidRDefault="00163957" w:rsidP="00163957">
      <w:pPr>
        <w:pStyle w:val="TextoNormal"/>
      </w:pPr>
    </w:p>
    <w:p w:rsidR="00163957" w:rsidRDefault="00163957" w:rsidP="00163957">
      <w:pPr>
        <w:pStyle w:val="TextoNormal"/>
      </w:pPr>
      <w:r w:rsidRPr="00163957">
        <w:rPr>
          <w:rStyle w:val="NumeroAFNegritaCaracter"/>
        </w:rPr>
        <w:t>4</w:t>
      </w:r>
      <w:r>
        <w:t>. A efectos de completar el canon de enjuiciamiento y dado que es uno de los aspectos discutidos en el recurso, hemos también de aludir a nuestra doctrina acerca de los requisitos de carácter formal y material que han de cumplir las bases estatales, pues, tal como este Tribunal recordó en la citada STC 18/2011, el Estado está habilitado para dictar normas básicas que regulen el funcionamiento del sector eléctrico en un entorno liberalizado si bien, como toda normativa básica, ha de cumplir determinadas exigencias de índole material y formal.</w:t>
      </w:r>
    </w:p>
    <w:p w:rsidR="00163957" w:rsidRDefault="00163957" w:rsidP="00163957">
      <w:pPr>
        <w:pStyle w:val="TextoNormal"/>
      </w:pPr>
    </w:p>
    <w:p w:rsidR="00163957" w:rsidRDefault="00163957" w:rsidP="00163957">
      <w:pPr>
        <w:pStyle w:val="TextoNormal"/>
      </w:pPr>
      <w:r>
        <w:t>En la STC 4/2013, de 17 de enero, FJ 5, el Tribunal declaró que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w:t>
      </w:r>
    </w:p>
    <w:p w:rsidR="00163957" w:rsidRDefault="00163957" w:rsidP="00163957">
      <w:pPr>
        <w:pStyle w:val="TextoNormal"/>
      </w:pPr>
    </w:p>
    <w:p w:rsidR="00163957" w:rsidRDefault="00163957" w:rsidP="00163957">
      <w:pPr>
        <w:pStyle w:val="TextoNormal"/>
      </w:pPr>
      <w:r>
        <w:t xml:space="preserve">Por lo que hace a la perspectiva formal, en el ámbito de la energía eléctrica, la doctrina constitucional entiende que el concepto de bases comprende las normas básicas con rango legal sobre la ordenación del sector eléctrico, y también, de manera excepcional y de </w:t>
      </w:r>
      <w:r>
        <w:lastRenderedPageBreak/>
        <w:t>acuerdo con la doctrina constitucional sobre el concepto material de bases, normas de carácter reglamentario y actos de naturaleza ejecutiva, especialmente, pero no sólo, con respecto al régimen económico del sector (STC 18/2011, FJ 8). Nuestra doctrina ha fijado los requisitos que deben cumplirse, de modo que se ha admitido que a esta perspectiva atiende “el principio de ley formal... en razón a que sólo a través de este instrumento normativo se alcanzará... una determinación cierta y estable de los ámbitos de ordenación de las materias en las que concurren y se articulan las competencias básicas estatales y reglamentarias autonómicas. También precisamos que como excepción a dicho principio de ley formal...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FJ5)” (STC 14/2004, de 13 de febrero, FJ 11). En el caso de la ordenación del sector eléctrico la intervención de la norma reglamentaria, amparada tanto en el título general relativo a la planificación de la economía (art. 149.1.13 CE) como en el más específico relativo al sector energético (art. 149.1.25 CE), se justifica por la importancia del sector eléctrico para el conjunto de la economía nacional y por su carácter esencial para la totalidad de los sectores económicos y para la vida cotidiana (STC 148/2011, de 28 de septiembre, FJ 6), así como en los casos en los que la propia norma legal lo reclama para completar la regulación de la disciplina básica por ella definida y conseguir la exigible calidad y seguridad en el suministro y también por su carácter marcadamente técnico, justificativo de su tratamiento por normas reglamentarias (STC 4/2013, FJ 5).</w:t>
      </w:r>
    </w:p>
    <w:p w:rsidR="00163957" w:rsidRDefault="00163957" w:rsidP="00163957">
      <w:pPr>
        <w:pStyle w:val="TextoNormal"/>
      </w:pPr>
    </w:p>
    <w:p w:rsidR="00163957" w:rsidRDefault="00163957" w:rsidP="00163957">
      <w:pPr>
        <w:pStyle w:val="TextoNormal"/>
      </w:pPr>
      <w:r w:rsidRPr="00163957">
        <w:rPr>
          <w:rStyle w:val="NumeroAFNegritaCaracter"/>
        </w:rPr>
        <w:t>5</w:t>
      </w:r>
      <w:r>
        <w:t>. Sentados los anteriores criterios, procede ya iniciar el enjuiciamiento de los distintos preceptos de la Ley del sector eléctrico aquí impugnados, comenzando por el artículo 3.13 a) que dispone:</w:t>
      </w:r>
    </w:p>
    <w:p w:rsidR="00163957" w:rsidRDefault="00163957" w:rsidP="00163957">
      <w:pPr>
        <w:pStyle w:val="TextoNormal"/>
      </w:pPr>
    </w:p>
    <w:p w:rsidR="00163957" w:rsidRDefault="00163957" w:rsidP="00163957">
      <w:pPr>
        <w:pStyle w:val="TextoNormal"/>
      </w:pPr>
      <w:r>
        <w:t>“Artículo 3. Competencias de la Administración general del Estado.</w:t>
      </w:r>
    </w:p>
    <w:p w:rsidR="00163957" w:rsidRDefault="00163957" w:rsidP="00163957">
      <w:pPr>
        <w:pStyle w:val="TextoNormal"/>
      </w:pPr>
    </w:p>
    <w:p w:rsidR="00163957" w:rsidRDefault="00163957" w:rsidP="00163957">
      <w:pPr>
        <w:pStyle w:val="TextoNormal"/>
      </w:pPr>
      <w:r>
        <w:t>Corresponden a la Administración general del Estado, en los términos establecidos en la presente ley, las siguientes competencias:</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13. Autorizar las siguientes instalaciones eléctricas:</w:t>
      </w:r>
    </w:p>
    <w:p w:rsidR="00163957" w:rsidRDefault="00163957" w:rsidP="00163957">
      <w:pPr>
        <w:pStyle w:val="TextoNormal"/>
      </w:pPr>
    </w:p>
    <w:p w:rsidR="00163957" w:rsidRDefault="00163957" w:rsidP="00163957">
      <w:pPr>
        <w:pStyle w:val="TextoNormal"/>
      </w:pPr>
      <w:r>
        <w:t>a) Instalaciones peninsulares de producción de energía eléctrica, incluyendo sus infraestructuras de evacuación, de potencia eléctrica instalada superior a 50 MW eléctricos, instalaciones de transporte primario peninsular y acometidas de tensión igual o superior a 380 kV.”</w:t>
      </w:r>
    </w:p>
    <w:p w:rsidR="00163957" w:rsidRDefault="00163957" w:rsidP="00163957">
      <w:pPr>
        <w:pStyle w:val="TextoNormal"/>
      </w:pPr>
    </w:p>
    <w:p w:rsidR="00163957" w:rsidRDefault="00163957" w:rsidP="00163957">
      <w:pPr>
        <w:pStyle w:val="TextoNormal"/>
      </w:pPr>
      <w:r>
        <w:t>La Abogada de la Generalitat de Cataluña considera que los criterios de potencia y tensión que utiliza el precepto impugnado no se ajustan a lo dispuesto en el art. 149.1.22 CE e infringen las competencias del art. 133 EAC. El Abogado del Estado ha defendido la conformidad de estos criterios con las reglas de reparto competencial.</w:t>
      </w:r>
    </w:p>
    <w:p w:rsidR="00163957" w:rsidRDefault="00163957" w:rsidP="00163957">
      <w:pPr>
        <w:pStyle w:val="TextoNormal"/>
      </w:pPr>
    </w:p>
    <w:p w:rsidR="00163957" w:rsidRDefault="00163957" w:rsidP="00163957">
      <w:pPr>
        <w:pStyle w:val="TextoNormal"/>
      </w:pPr>
      <w:r>
        <w:lastRenderedPageBreak/>
        <w:t>En la resolución de esta controversia es ineludible tomar en consideración la doctrina de la STC 181/2013 en la que el Tribunal se pronunció sobre la adecuación al orden competencial de la atribución al Estado de la facultad de autorizar, entre otras, las instalaciones eléctricas de generación cuando la potencia eléctrica instalada sea superior a 50 MW y las instalaciones de transporte cuya tensión nominal sea igual o superior a 380 kV. Estas facultades son las aquí discutidas, pues en la demanda no se cuestiona la referencia a las acometidas de tensión. En el fundamento jurídico 7 de la citada STC 181/2013 el Tribunal concluyó que “los datos de la potencia instalada y de la tensión nominal de la línea que emplea el precepto impugnado son sin duda muy relevantes a la hora de valorar la proyección intra o supracomunitaria de una concreta instalación eléctrica en el mercado del sector eléctrico, y, por ello, pueden ser también datos relevantes para determinar a qué ente territorial le corresponde su autorización, sin que, por sí mismos, sean incompatibles con el criterio territorial que enuncia el art. 149.1.22 CE. Si bien, como recordamos en la STC 18/2011 [FJ 7 a)], ‘ni el legislador estatal ni el autonómico pueden situarse en la posición propia del poder constituyente’, el precepto impugnado puede ser objeto de una interpretación conforme a la Constitución. En la medida en que se entienda que la aplicación de los criterios legales cuestionados no conduce necesariamente a un resultado material distinto del que se desprende de la regla constitucional del aprovechamiento intra o extracomunitario consagrada por el art. 149.1.22 CE. Así pues, debe descartarse la inconstitucionalidad del precepto impugnado en tanto que la aplicación de los criterios legales de la potencia instalada y de la tensión nominal de la línea no tenga el efecto de alterar el resultado querido por el poder constituyente, sino que, por el contrario, aquel ha de ser entendido en el sentido de que la autorización estatal de las instalaciones que cumplan los criterios de potencia y tensión a los que hace referencia procederá, en tanto que los mismos son indicativos de territorialidad, en los supuestos previstos en el art. 149.1.22 CE”.</w:t>
      </w:r>
    </w:p>
    <w:p w:rsidR="00163957" w:rsidRDefault="00163957" w:rsidP="00163957">
      <w:pPr>
        <w:pStyle w:val="TextoNormal"/>
      </w:pPr>
    </w:p>
    <w:p w:rsidR="00163957" w:rsidRDefault="00163957" w:rsidP="00163957">
      <w:pPr>
        <w:pStyle w:val="TextoNormal"/>
      </w:pPr>
      <w:r>
        <w:t>Por ello, al igual que en la STC 181/2013, FJ 7 y fallo, debemos concluir que el art. 3.13 a) LSE no resulta inconstitucional, por entender que, en la medida en que la aplicación de los criterios técnicos de la potencia instalada y de la tensión nominal de la línea de transporte allí previstos coincida materialmente con los criterios constitucionales del aprovechamiento y del transporte intra o extracomunitario, no vulnera la distribución competencial.</w:t>
      </w:r>
    </w:p>
    <w:p w:rsidR="00163957" w:rsidRDefault="00163957" w:rsidP="00163957">
      <w:pPr>
        <w:pStyle w:val="TextoNormal"/>
      </w:pPr>
    </w:p>
    <w:p w:rsidR="00163957" w:rsidRDefault="00163957" w:rsidP="00163957">
      <w:pPr>
        <w:pStyle w:val="TextoNormal"/>
      </w:pPr>
      <w:r w:rsidRPr="00163957">
        <w:rPr>
          <w:rStyle w:val="NumeroAFNegritaCaracter"/>
        </w:rPr>
        <w:t>6</w:t>
      </w:r>
      <w:r>
        <w:t>. El siguiente precepto impugnado es el art. 9 LSE, que dispone lo siguiente:</w:t>
      </w:r>
    </w:p>
    <w:p w:rsidR="00163957" w:rsidRDefault="00163957" w:rsidP="00163957">
      <w:pPr>
        <w:pStyle w:val="TextoNormal"/>
      </w:pPr>
    </w:p>
    <w:p w:rsidR="00163957" w:rsidRDefault="00163957" w:rsidP="00163957">
      <w:pPr>
        <w:pStyle w:val="TextoNormal"/>
      </w:pPr>
      <w:r>
        <w:t>“Artículo 9. Autoconsumo de energía eléctrica</w:t>
      </w:r>
    </w:p>
    <w:p w:rsidR="00163957" w:rsidRDefault="00163957" w:rsidP="00163957">
      <w:pPr>
        <w:pStyle w:val="TextoNormal"/>
      </w:pPr>
    </w:p>
    <w:p w:rsidR="00163957" w:rsidRDefault="00163957" w:rsidP="00163957">
      <w:pPr>
        <w:pStyle w:val="TextoNormal"/>
      </w:pPr>
      <w:r>
        <w:t>1. A los efectos de esta ley, se entenderá por autoconsumo el consumo de energía eléctrica proveniente de instalaciones de generación conectadas en el interior de una red de un consumidor o a través de una línea directa de energía eléctrica asociadas a un consumidor.</w:t>
      </w:r>
    </w:p>
    <w:p w:rsidR="00163957" w:rsidRDefault="00163957" w:rsidP="00163957">
      <w:pPr>
        <w:pStyle w:val="TextoNormal"/>
      </w:pPr>
    </w:p>
    <w:p w:rsidR="00163957" w:rsidRDefault="00163957" w:rsidP="00163957">
      <w:pPr>
        <w:pStyle w:val="TextoNormal"/>
      </w:pPr>
      <w:r>
        <w:t>Se distinguen las siguientes modalidades de autoconsumo:</w:t>
      </w:r>
    </w:p>
    <w:p w:rsidR="00163957" w:rsidRDefault="00163957" w:rsidP="00163957">
      <w:pPr>
        <w:pStyle w:val="TextoNormal"/>
      </w:pPr>
    </w:p>
    <w:p w:rsidR="00163957" w:rsidRDefault="00163957" w:rsidP="00163957">
      <w:pPr>
        <w:pStyle w:val="TextoNormal"/>
      </w:pPr>
      <w:r>
        <w:t>a) Modalidades de suministro con autoconsumo. Cuando se trate de un consumidor que dispusiera de una instalación de generación, destinada al consumo propio, conectada en el interior de la red de su punto de suministro y que no estuviera dada de alta en el correspondiente registro como instalación de producción. En este caso existirá un único sujeto de los previstos en el artículo 6, que será el sujeto consumidor.</w:t>
      </w:r>
    </w:p>
    <w:p w:rsidR="00163957" w:rsidRDefault="00163957" w:rsidP="00163957">
      <w:pPr>
        <w:pStyle w:val="TextoNormal"/>
      </w:pPr>
    </w:p>
    <w:p w:rsidR="00163957" w:rsidRDefault="00163957" w:rsidP="00163957">
      <w:pPr>
        <w:pStyle w:val="TextoNormal"/>
      </w:pPr>
      <w:r>
        <w:lastRenderedPageBreak/>
        <w:t>b) Modalidades de producción con autoconsumo. Cuando se trate de un consumidor asociado a una instalación de producción debidamente inscrita en el registro administrativo de instalaciones de producción de energía eléctrica conectada en el interior de su red. En este caso existirán dos sujetos de los previstos en el artículo 6, el sujeto consumidor y el productor.</w:t>
      </w:r>
    </w:p>
    <w:p w:rsidR="00163957" w:rsidRDefault="00163957" w:rsidP="00163957">
      <w:pPr>
        <w:pStyle w:val="TextoNormal"/>
      </w:pPr>
    </w:p>
    <w:p w:rsidR="00163957" w:rsidRDefault="00163957" w:rsidP="00163957">
      <w:pPr>
        <w:pStyle w:val="TextoNormal"/>
      </w:pPr>
      <w:r>
        <w:t>c) Modalidades de producción con autoconsumo de un consumidor conectado a través de una línea directa con una instalación de producción. Cuando se trate de un consumidor asociado a una instalación de producción debidamente inscrita en el registro administrativo de instalaciones de producción de energía eléctrica a la que estuviera conectado a través de una línea directa. En este caso existirán dos sujetos de los previstos en el artículo 6, el sujeto consumidor y el productor.</w:t>
      </w:r>
    </w:p>
    <w:p w:rsidR="00163957" w:rsidRDefault="00163957" w:rsidP="00163957">
      <w:pPr>
        <w:pStyle w:val="TextoNormal"/>
      </w:pPr>
    </w:p>
    <w:p w:rsidR="00163957" w:rsidRDefault="00163957" w:rsidP="00163957">
      <w:pPr>
        <w:pStyle w:val="TextoNormal"/>
      </w:pPr>
      <w:r>
        <w:t>d) Cualquier otra modalidad de consumo de energía eléctrica proveniente de una instalación de generación de energía eléctrica asociada a un consumidor.</w:t>
      </w:r>
    </w:p>
    <w:p w:rsidR="00163957" w:rsidRDefault="00163957" w:rsidP="00163957">
      <w:pPr>
        <w:pStyle w:val="TextoNormal"/>
      </w:pPr>
    </w:p>
    <w:p w:rsidR="00163957" w:rsidRDefault="00163957" w:rsidP="00163957">
      <w:pPr>
        <w:pStyle w:val="TextoNormal"/>
      </w:pPr>
      <w:r>
        <w:t>2. En el caso en que la instalación de producción de energía eléctrica o de consumo esté conectada total o parcialmente al sistema eléctrico, los titulares de ambas estarán sujetos a las obligaciones y derechos previstos en la presente ley y en su normativa de desarrollo.</w:t>
      </w:r>
    </w:p>
    <w:p w:rsidR="00163957" w:rsidRDefault="00163957" w:rsidP="00163957">
      <w:pPr>
        <w:pStyle w:val="TextoNormal"/>
      </w:pPr>
    </w:p>
    <w:p w:rsidR="00163957" w:rsidRDefault="00163957" w:rsidP="00163957">
      <w:pPr>
        <w:pStyle w:val="TextoNormal"/>
      </w:pPr>
      <w:r>
        <w:t>3. Todos los consumidores sujetos a cualquier modalidad de autoconsumo tendrán la obligación de contribuir a los costes y servicios del sistema por la energía autoconsumida, cuando la instalación de generación o de consumo esté conectada total o parcialmente al sistema eléctrico.</w:t>
      </w:r>
    </w:p>
    <w:p w:rsidR="00163957" w:rsidRDefault="00163957" w:rsidP="00163957">
      <w:pPr>
        <w:pStyle w:val="TextoNormal"/>
      </w:pPr>
    </w:p>
    <w:p w:rsidR="00163957" w:rsidRDefault="00163957" w:rsidP="00163957">
      <w:pPr>
        <w:pStyle w:val="TextoNormal"/>
      </w:pPr>
      <w:r>
        <w:t>Para ello estarán obligados a pagar los mismos peajes de acceso a las redes, cargos asociados a los costes del sistema y costes para la provisión de los servicios de respaldo del sistema que correspondan a un consumidor no sujeto a ninguna de las modalidades de autoconsumo descritas en el apartado anterior.</w:t>
      </w:r>
    </w:p>
    <w:p w:rsidR="00163957" w:rsidRDefault="00163957" w:rsidP="00163957">
      <w:pPr>
        <w:pStyle w:val="TextoNormal"/>
      </w:pPr>
    </w:p>
    <w:p w:rsidR="00163957" w:rsidRDefault="00163957" w:rsidP="00163957">
      <w:pPr>
        <w:pStyle w:val="TextoNormal"/>
      </w:pPr>
      <w:r>
        <w:t>El Gobierno podrá establecer reglamentariamente reducciones en dichos peajes, cargos y costes en los sistemas no peninsulares, cuando las modalidades de autoconsumo supongan una reducción de los costes de dichos sistemas.</w:t>
      </w:r>
    </w:p>
    <w:p w:rsidR="00163957" w:rsidRDefault="00163957" w:rsidP="00163957">
      <w:pPr>
        <w:pStyle w:val="TextoNormal"/>
      </w:pPr>
    </w:p>
    <w:p w:rsidR="00163957" w:rsidRDefault="00163957" w:rsidP="00163957">
      <w:pPr>
        <w:pStyle w:val="TextoNormal"/>
      </w:pPr>
      <w:r>
        <w:t>4. Los consumidores acogidos a las modalidades de autoconsumo de energía eléctrica tendrán la obligación de inscribirse en el registro administrativo de autoconsumo de energía eléctrica, creado a tal efecto en el Ministerio de Industria, Energía y Turismo.</w:t>
      </w:r>
    </w:p>
    <w:p w:rsidR="00163957" w:rsidRDefault="00163957" w:rsidP="00163957">
      <w:pPr>
        <w:pStyle w:val="TextoNormal"/>
      </w:pPr>
    </w:p>
    <w:p w:rsidR="00163957" w:rsidRDefault="00163957" w:rsidP="00163957">
      <w:pPr>
        <w:pStyle w:val="TextoNormal"/>
      </w:pPr>
      <w:r>
        <w:t>Reglamentariamente, previa audiencia de las Comunidades Autónomas y Ciudades de Ceuta y Melilla, se establecerá por el Gobierno la organización, así como el procedimiento de inscripción y comunicación de datos al registro administrativo de autoconsumo de energía eléctrica.</w:t>
      </w:r>
    </w:p>
    <w:p w:rsidR="00163957" w:rsidRDefault="00163957" w:rsidP="00163957">
      <w:pPr>
        <w:pStyle w:val="TextoNormal"/>
      </w:pPr>
    </w:p>
    <w:p w:rsidR="00163957" w:rsidRDefault="00163957" w:rsidP="00163957">
      <w:pPr>
        <w:pStyle w:val="TextoNormal"/>
      </w:pPr>
      <w:r>
        <w:t>5. El Gobierno establecerá las condiciones administrativas y técnicas para la conexión a la red de las instalaciones con autoconsumo.</w:t>
      </w:r>
    </w:p>
    <w:p w:rsidR="00163957" w:rsidRDefault="00163957" w:rsidP="00163957">
      <w:pPr>
        <w:pStyle w:val="TextoNormal"/>
      </w:pPr>
    </w:p>
    <w:p w:rsidR="00163957" w:rsidRDefault="00163957" w:rsidP="00163957">
      <w:pPr>
        <w:pStyle w:val="TextoNormal"/>
      </w:pPr>
      <w:r>
        <w:lastRenderedPageBreak/>
        <w:t>Asimismo el Gobierno establecerá las condiciones económicas para que las instalaciones de la modalidad b) de producción con autoconsumo vendan al sistema la energía no autoconsumida".</w:t>
      </w:r>
    </w:p>
    <w:p w:rsidR="00163957" w:rsidRDefault="00163957" w:rsidP="00163957">
      <w:pPr>
        <w:pStyle w:val="TextoNormal"/>
      </w:pPr>
    </w:p>
    <w:p w:rsidR="00163957" w:rsidRDefault="00163957" w:rsidP="00163957">
      <w:pPr>
        <w:pStyle w:val="TextoNormal"/>
      </w:pPr>
      <w:r>
        <w:t>La Abogada de la Generalitat de Cataluña considera que los apartados 4 y 5 de este precepto invaden las competencias autonómicas, al atribuir al Estado la competencia para crear un registro de las modalidades de autoconsumo e imponer la obligación de inscripción en los casos de los supuestos a) y d) del apartado 4 así como para inscribir a los sujetos titulares de las instalaciones contempladas en los apartados b) y c) de ese mismo apartado 4. Respecto al apartado 5 entiende que su primer inciso impone un nivel de detalle en las condiciones técnicas y administrativas de la conexión a la red de las instalaciones de autoconsumo que tampoco respeta el carácter básico. El Abogado del Estado defiende el carácter básico de la norma cuestionada en la medida en que es genérica y no pormenorizada sino, por el contrario, enunciativa de los principios básicos y generales a los que ha de someterse el autoconsumidor de energía eléctrica. Específicamente respecto al artículo 9.4 indica que simplemente impone la obligación de inscripción sin regular las formas de acceso al registro ni el modo de comunicación de datos, que quedan diferidos a un ulterior desarrollo reglamentario, mientras que entiende justificada la remisión reglamentaria para el establecimiento de las condiciones técnicas y administrativas de conexión a la red.</w:t>
      </w:r>
    </w:p>
    <w:p w:rsidR="00163957" w:rsidRDefault="00163957" w:rsidP="00163957">
      <w:pPr>
        <w:pStyle w:val="TextoNormal"/>
      </w:pPr>
    </w:p>
    <w:p w:rsidR="00163957" w:rsidRDefault="00163957" w:rsidP="00163957">
      <w:pPr>
        <w:pStyle w:val="TextoNormal"/>
      </w:pPr>
      <w:r>
        <w:t>El artículo 9 alude al concepto, a las modalidades de autoconsumo, al desarrollo reglamentario de las condiciones administrativas y técnicas para la conexión de las instalaciones de autoconsumo a la red eléctrica y de las condiciones económicas para verter la energía no autoconsumida a la red; así como, a las obligaciones y derechos que derivan de la conexión para dichos consumidores y a la obligatoria inscripción en el Registro administrativo de autoconsumo.</w:t>
      </w:r>
    </w:p>
    <w:p w:rsidR="00163957" w:rsidRDefault="00163957" w:rsidP="00163957">
      <w:pPr>
        <w:pStyle w:val="TextoNormal"/>
      </w:pPr>
    </w:p>
    <w:p w:rsidR="00163957" w:rsidRDefault="00163957" w:rsidP="00163957">
      <w:pPr>
        <w:pStyle w:val="TextoNormal"/>
      </w:pPr>
      <w:r>
        <w:t>En cuanto a la tacha específica que se formula al artículo 9.4, hemos de partir de nuestra doctrina en materia de registros administrativos, recordada recientemente en la STC 45/2015, de 5 de marzo, FJ 6 a), de la que se deduce que “sin olvidar las diferencias entre unas y otras materias desde los diferentes criterios de distribución competencial”, “es constitucionalmente posible la creación de un Registro único para todo el Estado que garantice la centralización de todos los datos a los estrictos efectos de información y publicidad” (SSTC 197/1996, de 28 de noviembre, FJ 12, y 11/2015, de 5 de febrero, FJ 6). Aunque también este Tribunal ha señalado (STC 85/2015, de 30 de abril, FJ 5, con cita de otras) que “en estas cuestiones el Estado debe aceptar como vinculantes las propuestas de inscripción y de autorización o de cancelación y revocación que efectúen las Comunidades Autónomas que ostentan las competencias ejecutivas’ en la materia. Pues si las facultades del Estado están circunscritas a la potestad de normación para la creación de un Registro único, estas otras facultades, de índole ejecutiva, exceden de su ámbito de actuación competencialmente posible”.</w:t>
      </w:r>
    </w:p>
    <w:p w:rsidR="00163957" w:rsidRDefault="00163957" w:rsidP="00163957">
      <w:pPr>
        <w:pStyle w:val="TextoNormal"/>
      </w:pPr>
    </w:p>
    <w:p w:rsidR="00163957" w:rsidRDefault="00163957" w:rsidP="00163957">
      <w:pPr>
        <w:pStyle w:val="TextoNormal"/>
      </w:pPr>
      <w:r>
        <w:t>Sin embargo, la disposición controvertida no cae en esa vulneración competencial, ya que se limita a crear un registro único en relación con los consumidores acogidos a las modalidades de autoconsumo de energía eléctrica, quedando diferido a un posterior desarrollo reglamentario las cuestiones relativas a la organización, así como el procedimiento de inscripción y comunicación de datos en relación con el registro estatal. De este modo, aten</w:t>
      </w:r>
      <w:r>
        <w:lastRenderedPageBreak/>
        <w:t>diendo a las competencias estatales en la materia, la mera creación del registro administrativo de autoconsumo de energía eléctrica, único contenido del precepto impugnado, no ha invadido las competencias autonómicas, sin perjuicio de señalar que el uso que ha hecho el Gobierno de la remisión al reglamento (Real Decreto 900/2015, de 9 de octubre, por el que se regulan las condiciones administrativas, técnicas y económicas de las modalidades de suministro de energía eléctrica con autoconsumo y de producción con autoconsumo) pueda, en su caso, ser objeto del correspondiente control, por las vías procedimentales apropiadas, ante este Tribunal o ante la jurisdicción ordinaria.</w:t>
      </w:r>
    </w:p>
    <w:p w:rsidR="00163957" w:rsidRDefault="00163957" w:rsidP="00163957">
      <w:pPr>
        <w:pStyle w:val="TextoNormal"/>
      </w:pPr>
    </w:p>
    <w:p w:rsidR="00163957" w:rsidRDefault="00163957" w:rsidP="00163957">
      <w:pPr>
        <w:pStyle w:val="TextoNormal"/>
      </w:pPr>
      <w:r>
        <w:t>La anterior conclusión no puede quedar enervada por los argumentos señalados de contrario por la Generalitat de Cataluña. No cabe, a efectos de la obligación de inscripción en el registro, diferenciar entre unas instalaciones y otras, dado que una de las finalidades de dicho registro es conocer el número y características de las instalaciones de autoconsumo, con independencia de que algunos de los supuestos contemplados en el precepto tengan además repercusión en el régimen económico del sector o estén conectados al sistema, pues, en todo caso, las instalaciones de autoconsumo tienen la condición de sujetos del sistema eléctrico conforme a lo dispuesto en el art. 6 LSE. Tampoco las referencias al régimen sancionador de los arts. 64.43, 67 y 73 LSE permiten deducir, como se hace en la demanda, que la Ley del sector eléctrico haya reservado al Estado la gestión centralizada del registro. En efecto, sin perjuicio de recordar el carácter instrumental de la potestad sancionadora respecto a la competencia material de manera que la titularidad de la potestad sancionadora va ligada a la competencia sustantiva de que se trate (STC 34/2013, de 14 de febrero, FJ 19, entre muchas otras), resulta que dichos preceptos en nada condicionan la futura regulación del registro. El primero de ellos tipifica como infracción muy grave la falta de inscripción, estableciendo el segundo la correspondiente horquilla en la sanción, mientras que el artículo 73 se limita a atribuir genéricamente las competencias sancionadoras en el ámbito de la Administración general del Estado, esto es, para el caso en que el Estado sea competente para sancionar las correspondientes infracciones (en el mismo sentido, art. 3.16 LSE). Competencia sancionadora que, en su caso, derivará de la llevanza del Registro y no al contrario. Esta facultad ejecutiva, como ya se ha señalado, no puede deducirse de las previsiones de la Ley del sector eléctrico, sino, en su caso, de su posterior desarrollo reglamentario que puede ser controlado por las vías procesales procedentes.</w:t>
      </w:r>
    </w:p>
    <w:p w:rsidR="00163957" w:rsidRDefault="00163957" w:rsidP="00163957">
      <w:pPr>
        <w:pStyle w:val="TextoNormal"/>
      </w:pPr>
    </w:p>
    <w:p w:rsidR="00163957" w:rsidRDefault="00163957" w:rsidP="00163957">
      <w:pPr>
        <w:pStyle w:val="TextoNormal"/>
      </w:pPr>
      <w:r>
        <w:t>Por lo expuesto la impugnación del art. 9.4 LSE ha de ser desestimada.</w:t>
      </w:r>
    </w:p>
    <w:p w:rsidR="00163957" w:rsidRDefault="00163957" w:rsidP="00163957">
      <w:pPr>
        <w:pStyle w:val="TextoNormal"/>
      </w:pPr>
    </w:p>
    <w:p w:rsidR="00163957" w:rsidRDefault="00163957" w:rsidP="00163957">
      <w:pPr>
        <w:pStyle w:val="TextoNormal"/>
      </w:pPr>
      <w:r>
        <w:t>Lo mismo sucede con la impugnación del primer inciso del artículo 9.5, relativo a la determinación reglamentaria de las condiciones administrativas y técnicas para la conexión a la red de las instalaciones con autoconsumo pues, como se desprende de su propio tenor, se trata de una materia técnica en la que, conforme a la doctrina sobre el carácter material de las bases en el sector eléctrico que antes se ha recogido, resulta posible la colaboración reglamentaria. Por ello la simple remisión al reglamento —único aspecto discutido— no resulta contraria al orden constitucional de distribución de competencias, sin perjuicio de señalar que, como es obvio, cuando sea efectiva es susceptible de ser controlada por las vías oportunas.</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Pese a haber sido formalmente impugnado resulta que la demanda no contiene argumentación alguna relativa a las razones por las que el art. 15 LSE es contrario al orden constitucional de distribución de competencias. Por tanto, al haberse incumplido la carga de </w:t>
      </w:r>
      <w:r>
        <w:lastRenderedPageBreak/>
        <w:t>colaborar con la justicia del Tribunal (por todas, STC 104/2015, de 28 de mayo, FJ 11) no cabe sino desestimar el recurso en este punto.</w:t>
      </w:r>
    </w:p>
    <w:p w:rsidR="00163957" w:rsidRDefault="00163957" w:rsidP="00163957">
      <w:pPr>
        <w:pStyle w:val="TextoNormal"/>
      </w:pPr>
    </w:p>
    <w:p w:rsidR="00163957" w:rsidRDefault="00163957" w:rsidP="00163957">
      <w:pPr>
        <w:pStyle w:val="TextoNormal"/>
      </w:pPr>
      <w:r w:rsidRPr="00163957">
        <w:rPr>
          <w:rStyle w:val="NumeroAFNegritaCaracter"/>
        </w:rPr>
        <w:t>8</w:t>
      </w:r>
      <w:r>
        <w:t>. El siguiente precepto impugnado es el artículo 33.5, del que se ha cuestionado su segundo párrafo, cuyo tenor literal es el siguiente:</w:t>
      </w:r>
    </w:p>
    <w:p w:rsidR="00163957" w:rsidRDefault="00163957" w:rsidP="00163957">
      <w:pPr>
        <w:pStyle w:val="TextoNormal"/>
      </w:pPr>
    </w:p>
    <w:p w:rsidR="00163957" w:rsidRDefault="00163957" w:rsidP="00163957">
      <w:pPr>
        <w:pStyle w:val="TextoNormal"/>
      </w:pPr>
      <w:r>
        <w:t>“Artículo 33. Acceso y conexión</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5. … Las discrepancias que se susciten en relación con el otorgamiento o denegación del permiso de conexión a las redes cuya autorización sea de competencia autonómica se resolverán por el órgano competente de la Comunidad Autónoma correspondiente, previo informe de la Comisión Nacional de los Mercados y la Competencia. Dicho informe tendrá carácter vinculante en lo relativo a las condiciones económicas y las condiciones temporales relativas a los calendarios de ejecución de las instalaciones de los titulares de redes recogidas en la planificación de la red de transporte y en los planes de inversión de las empresas distribuidoras aprobados por la Administración General del Estado.”</w:t>
      </w:r>
    </w:p>
    <w:p w:rsidR="00163957" w:rsidRDefault="00163957" w:rsidP="00163957">
      <w:pPr>
        <w:pStyle w:val="TextoNormal"/>
      </w:pPr>
    </w:p>
    <w:p w:rsidR="00163957" w:rsidRDefault="00163957" w:rsidP="00163957">
      <w:pPr>
        <w:pStyle w:val="TextoNormal"/>
      </w:pPr>
      <w:r>
        <w:t>La demanda reprocha al informe previo vinculante aquí previsto que no responde al ejercicio de competencias estatales sino que, por el contrario, desplaza el ejercicio de una competencia ejecutiva de la Generalitat, a lo que se añade que su emisión por la Comisión Nacional de los Mercados y la Competencia resulta contrario a la normativa comunitaria y no se funda en el ejercicio de una competencia propia sin que este órgano pueda ejercer funciones de la Administración general del Estado. El Abogado del Estado considera que el informe vinculante se refiere a las condiciones de ejecución de inversiones en redes de transporte y distribución de energía eléctrica, materia atinente a la planificación energética de competencia estatal.</w:t>
      </w:r>
    </w:p>
    <w:p w:rsidR="00163957" w:rsidRDefault="00163957" w:rsidP="00163957">
      <w:pPr>
        <w:pStyle w:val="TextoNormal"/>
      </w:pPr>
    </w:p>
    <w:p w:rsidR="00163957" w:rsidRDefault="00163957" w:rsidP="00163957">
      <w:pPr>
        <w:pStyle w:val="TextoNormal"/>
      </w:pPr>
      <w:r>
        <w:t>El permiso de conexión a un punto de la red es aquél que se otorga para poder conectar una instalación de producción de energía eléctrica o consumo a un punto concreto de la red de transporte o en su caso de distribución. El precepto exige la emisión de un informe previo vinculante por parte de la Comisión Nacional de los Mercados y la Competencia en relación con la resolución de determinadas discrepancias suscitadas respecto del otorgamiento o denegación de ese permiso de conexión en las redes de transporte o distribución cuya autorización sea competencia autonómica. Este informe resulta vinculante con respecto a las condiciones económicas y temporales de los calendarios de ejecución de instalaciones de los titulares de redes, condiciones que se encuentran recogidas en la planificación de la red de transporte y en los planes de inversión de las empresas distribuidoras aprobados por la Administración general del Estado. La relevancia de este informe deriva del hecho de que la no previsión de una instalación en dicha planificación o en los mencionados planes de inversión es motivo de denegación del permiso de conexión (art. 33.4 LSE), lo que condiciona la resolución de las discrepancias por la Comunidad Autónoma.</w:t>
      </w:r>
    </w:p>
    <w:p w:rsidR="00163957" w:rsidRDefault="00163957" w:rsidP="00163957">
      <w:pPr>
        <w:pStyle w:val="TextoNormal"/>
      </w:pPr>
    </w:p>
    <w:p w:rsidR="00163957" w:rsidRDefault="00163957" w:rsidP="00163957">
      <w:pPr>
        <w:pStyle w:val="TextoNormal"/>
      </w:pPr>
      <w:r>
        <w:t xml:space="preserve">Para resolver esta impugnación hemos de partir de que la técnica de los informes vinculantes ha sido ya admitida por este Tribunal como mecanismo de acomodación o integración de dos competencias concurrentes, estatal y autonómica, que están llamadas a cohonestarse. </w:t>
      </w:r>
      <w:r>
        <w:lastRenderedPageBreak/>
        <w:t>En particular respecto al sector eléctrico la STC 18/2011, FJ 21 a), indica que “la intervención del Estado mediante la técnica del informe preceptivo y vinculante debe reputarse constitucionalmente legítima cuando se funde en el ejercicio de una competencia propia sobre una determinada materia (competencia que es indisponible) que le habilite para actuar, distinta de la materia sobre la cual la Comunidad Autónoma ejerce su propia competencia de autorización”.</w:t>
      </w:r>
    </w:p>
    <w:p w:rsidR="00163957" w:rsidRDefault="00163957" w:rsidP="00163957">
      <w:pPr>
        <w:pStyle w:val="TextoNormal"/>
      </w:pPr>
    </w:p>
    <w:p w:rsidR="00163957" w:rsidRDefault="00163957" w:rsidP="00163957">
      <w:pPr>
        <w:pStyle w:val="TextoNormal"/>
      </w:pPr>
      <w:r>
        <w:t xml:space="preserve">Eso es lo que ocurre en el presente caso. En lo que a la ejecución de las instalaciones de los titulares de redes recogidas en la planificación de la red de transporte, el carácter vinculante del informe no es sino la consecuencia de ese mismo carácter vinculante atribuido a la planificación eléctrica de la red de transporte en los términos del art. 4.1 LSE, competencia estatal por lo demás ya examinada en la STC 18/2011, FFJJ 7 b) y 19. Por su parte, en los términos que se examinaran con más detalle al analizar el también impugnado artículo 40.1 h), el informe vinculante sobre los planes de inversión de las empresas distribuidoras aprobados por la Administración general del Estado responde a competencias estatales tanto de autorización de instalaciones de distribución </w:t>
      </w:r>
      <w:r w:rsidRPr="00163957">
        <w:rPr>
          <w:i/>
        </w:rPr>
        <w:t>ex</w:t>
      </w:r>
      <w:r>
        <w:t xml:space="preserve"> art. 149.1.22 CE, como en relación con el régimen económico del sector, pues la aprobación del plan determina el reconocimiento del derecho a retribución con cargo al régimen económico del sector, segmento específico y diferenciado dentro de la propia materia “régimen energético” [STC 18/2011, de 3 de marzo, FJ 21 a) </w:t>
      </w:r>
      <w:r w:rsidRPr="00163957">
        <w:rPr>
          <w:i/>
        </w:rPr>
        <w:t>in fine</w:t>
      </w:r>
      <w:r>
        <w:t>], cuyo establecimiento, dada su trascendencia, corresponde al Estado (STC 4/2013, FJ 10, con cita de la STC 18/2011).</w:t>
      </w:r>
    </w:p>
    <w:p w:rsidR="00163957" w:rsidRDefault="00163957" w:rsidP="00163957">
      <w:pPr>
        <w:pStyle w:val="TextoNormal"/>
      </w:pPr>
    </w:p>
    <w:p w:rsidR="00163957" w:rsidRDefault="00163957" w:rsidP="00163957">
      <w:pPr>
        <w:pStyle w:val="TextoNormal"/>
      </w:pPr>
      <w:r>
        <w:t>Esta conclusión desestimatoria no puede verse modificada por los argumentos de la Generalitat de Cataluña. Por un lado, la supuesta vulneración de la normativa comunitaria no es una cuestión que pueda hacerse valer en el marco del presente proceso, centrado en la delimitación interna de competencias en materia de energía eléctrica. Por otro, la Comisión Nacional de los Mercados y la Competencia, al emitir su informe, lo hace al amparo de las competencias estatales que ya hemos examinado y en su condición de órgano estatal, conforme a la Ley 3/2013, de 4 de junio, de creación de la Comisión Nacional de los Mercados y la Competencia. Lo determinante aquí es la reclamación competencial autonómica alegando la carencia de título habilitante del Estado, con independencia de cuál sea el órgano estatal que haya asumido esa función de informe (en un sentido similar, STC 71/2012, de 16 de abril, que resuelve el conflicto positivo de competencia planteado por el Consejo de Gobierno de la Comunidad de Madrid frente a un acuerdo del pleno del Tribunal de Defensa de la Competencia).</w:t>
      </w:r>
    </w:p>
    <w:p w:rsidR="00163957" w:rsidRDefault="00163957" w:rsidP="00163957">
      <w:pPr>
        <w:pStyle w:val="TextoNormal"/>
      </w:pPr>
    </w:p>
    <w:p w:rsidR="00163957" w:rsidRDefault="00163957" w:rsidP="00163957">
      <w:pPr>
        <w:pStyle w:val="TextoNormal"/>
      </w:pPr>
      <w:r>
        <w:t>En conclusión, debe desestimarse la impugnación del art. 33.5 LSE.</w:t>
      </w:r>
    </w:p>
    <w:p w:rsidR="00163957" w:rsidRDefault="00163957" w:rsidP="00163957">
      <w:pPr>
        <w:pStyle w:val="TextoNormal"/>
      </w:pPr>
    </w:p>
    <w:p w:rsidR="00163957" w:rsidRDefault="00163957" w:rsidP="00163957">
      <w:pPr>
        <w:pStyle w:val="TextoNormal"/>
      </w:pPr>
      <w:r w:rsidRPr="00163957">
        <w:rPr>
          <w:rStyle w:val="NumeroAFNegritaCaracter"/>
        </w:rPr>
        <w:t>9</w:t>
      </w:r>
      <w:r>
        <w:t>. Examinaremos ahora el artículo 40, relativo a los derechos y obligaciones de las empresas distribuidoras de energía eléctrica.</w:t>
      </w:r>
    </w:p>
    <w:p w:rsidR="00163957" w:rsidRDefault="00163957" w:rsidP="00163957">
      <w:pPr>
        <w:pStyle w:val="TextoNormal"/>
      </w:pPr>
    </w:p>
    <w:p w:rsidR="00163957" w:rsidRDefault="00163957" w:rsidP="00163957">
      <w:pPr>
        <w:pStyle w:val="TextoNormal"/>
      </w:pPr>
      <w:r>
        <w:t xml:space="preserve">La Abogada de la Generalitat de Cataluña considera que, por comparación con su antecedente en la Ley 54/1997, este precepto ha ampliado considerablemente sus obligaciones, impidiendo con ello el desarrollo de las competencias autonómicas. Específicamente ha cuestionado la atribución de la potestad reglamentaria al Gobierno en los casos previstos en los arts. 40.1 a), b) c), e) y h), así como la ausencia de mención a la normativa autonómica del art. 40.3 b). También se controvierte el último inciso del artículo 40.2, por remitir al reglamento la regulación de las condiciones y procedimientos para el establecimiento de </w:t>
      </w:r>
      <w:r>
        <w:lastRenderedPageBreak/>
        <w:t>acometidas eléctricas y el enganche de nuevos usuarios a las redes de distribución, razón por la que, por conexión, se impugna el artículo 38.8, de similar contenido. El Abogado del Estado se ha opuesto al anterior planteamiento señalando que el precepto responde a la competencia del Estado para el establecimiento de las bases del sector eléctrico, a fin de asegurar coherencia, homogeneidad y seguridad en una actividad esencial para el conjunto del sistema eléctrico, siendo, además, admisible la colaboración reglamentaria en esta materia.</w:t>
      </w:r>
    </w:p>
    <w:p w:rsidR="00163957" w:rsidRDefault="00163957" w:rsidP="00163957">
      <w:pPr>
        <w:pStyle w:val="TextoNormal"/>
      </w:pPr>
    </w:p>
    <w:p w:rsidR="00163957" w:rsidRDefault="00163957" w:rsidP="00163957">
      <w:pPr>
        <w:pStyle w:val="TextoNormal"/>
      </w:pPr>
      <w:r>
        <w:t>La actividad de distribución se configura como “aquella que tiene por objeto la transmisión de energía eléctrica desde las redes de transporte, o en su caso desde otras redes de distribución o desde la generación conectada a la propia red de distribución, hasta los puntos de consumo u otras redes de distribución en las adecuadas condiciones de calidad con el fin último de suministrarla a los consumidores” (art. 38.1 LSE). Se trata de una actividad que tiene por finalidad llevar la energía a los puntos de consumo mediante la construcción, mantenimiento y operación de redes de distribución, puesto que el suministro eléctrico necesita, en todo caso, de una red física de conductores que lo haga posible. Su carácter regulado (arts. 8.2 y 38 a 42 LSE) se justifica en que se trata de una actividad destinada al suministro de energía eléctrica como servicio de interés económico general (artículo 1.2 en relación con el artículo 2.2) con la finalidad de garantizar ese suministro y adecuarlo a las necesidades de los consumidores en términos de seguridad, calidad, eficiencia, objetividad, transparencia y al mínimo coste (artículo 1.1), circunstancia que pone de relieve la importancia de dicha actividad tanto para los usuarios individuales como para el funcionamiento de los distintos sectores económicos, y, por tanto, para el desarrollo de la economía nacional (STC 18/2011, FJ 10).</w:t>
      </w:r>
    </w:p>
    <w:p w:rsidR="00163957" w:rsidRDefault="00163957" w:rsidP="00163957">
      <w:pPr>
        <w:pStyle w:val="TextoNormal"/>
      </w:pPr>
    </w:p>
    <w:p w:rsidR="00163957" w:rsidRDefault="00163957" w:rsidP="00163957">
      <w:pPr>
        <w:pStyle w:val="TextoNormal"/>
      </w:pPr>
      <w:r>
        <w:t>Ese carácter regulado se manifiesta, entre otras circunstancias, en la fijación administrativa de su retribución, así como en la sujeción de las instalaciones de distribución a un régimen de autorización administrativa. Estas premisas, junto al carácter de monopolio natural propio de las redes de distribución y la necesidad de que la actividad de distribución se desarrolle al menor coste posible, justifican que la ordenación y regulación de la distribución tenga por objeto “establecer y aplicar principios comunes que garanticen su adecuada relación con las restantes actividades eléctricas, determinar las condiciones de tránsito de la energía eléctrica por dichas redes, establecer la suficiente igualdad entre quienes realizan la actividad en todo el territorio y la fijación de condiciones comunes equiparables para todos los usuarios de la energía” (art. 38.4 LSE), reconociendo así su importancia para el adecuado funcionamiento del sistema eléctrico en su conjunto en el que el distribuidor ocupa un papel esencial.</w:t>
      </w:r>
    </w:p>
    <w:p w:rsidR="00163957" w:rsidRDefault="00163957" w:rsidP="00163957">
      <w:pPr>
        <w:pStyle w:val="TextoNormal"/>
      </w:pPr>
    </w:p>
    <w:p w:rsidR="00163957" w:rsidRDefault="00163957" w:rsidP="00163957">
      <w:pPr>
        <w:pStyle w:val="TextoNormal"/>
      </w:pPr>
      <w:r>
        <w:t xml:space="preserve">Corresponde al Estado el establecimiento de la regulación básica de las actividades destinadas al suministro de energía eléctrica, entre las que se encuentra la distribución (STC 18/2011, FJ 10), pues con ello se definen elementos nucleares del sistema eléctrico que encajan en el concepto material de bases </w:t>
      </w:r>
      <w:r w:rsidRPr="00163957">
        <w:rPr>
          <w:i/>
        </w:rPr>
        <w:t>ex</w:t>
      </w:r>
      <w:r>
        <w:t xml:space="preserve"> art. 149.1.13 y 25 CE, ya que para asegurar el correcto funcionamiento del sector es imprescindible el establecimiento de una ordenación común en el conjunto del sistema eléctrico en un aspecto como el de la distribución que opera en un sistema único para todo el territorio nacional.</w:t>
      </w:r>
    </w:p>
    <w:p w:rsidR="00163957" w:rsidRDefault="00163957" w:rsidP="00163957">
      <w:pPr>
        <w:pStyle w:val="TextoNormal"/>
      </w:pPr>
    </w:p>
    <w:p w:rsidR="00163957" w:rsidRDefault="00163957" w:rsidP="00163957">
      <w:pPr>
        <w:pStyle w:val="TextoNormal"/>
      </w:pPr>
      <w:r>
        <w:t xml:space="preserve">Conforme a lo anterior, la queja global que se formula al artículo 40 carece de la concreción necesaria para su valoración pues, más allá de comparar la regulación ahora vigente </w:t>
      </w:r>
      <w:r>
        <w:lastRenderedPageBreak/>
        <w:t>con su antecedente para argumentar que se ha ampliado el elenco de obligaciones y derechos que afectan a los distribuidores, lo cierto es que luego no se concretan los términos en los que esa afirmada ampliación se ha traducido en una vulneración de las competencias autonómicas, teniendo presente que al Estado corresponde establecer, tanto la regulación básica aplicable a los sujetos del sistema eléctrico, entre los que se encuentran los distribuidores, como las directrices que han de regir las actividades destinadas al suministro de energía eléctrica. Por lo demás, es evidente que, formulado en los anteriores términos, el argumento es contrario a la doctrina de este Tribunal sobre la variabilidad de las bases que viene a afirmar que aunque las bases, por su propia esencia, tienen vocación de estabilidad en ningún caso son inamovibles ni puede predicarse de ellas la petrificación, incompatible con el talante evolutivo del Derecho. Por ello, corresponde en cada momento al legislador estatal establecer las bases en cada materia respetando el orden constitucional de reparto de competencias (por todas, STC 17/2014, de 30 de enero, FJ 4, con cita de la STC 24/2013, de 31 de enero, FJ 6). En última instancia ha de recordarse que es doctrina reiterada de este Tribunal que es preciso que el recurso presentado al efecto contenga la argumentación específica que fundamente la presunta contradicción constitucional y resulta que la demanda no concreta los términos en los que se produciría el exceso de la competencia estatal que denuncia [en un sentido similar, STC 47/2015, de 5 de marzo, FJ 2 a)].</w:t>
      </w:r>
    </w:p>
    <w:p w:rsidR="00163957" w:rsidRDefault="00163957" w:rsidP="00163957">
      <w:pPr>
        <w:pStyle w:val="TextoNormal"/>
      </w:pPr>
    </w:p>
    <w:p w:rsidR="00163957" w:rsidRDefault="00163957" w:rsidP="00163957">
      <w:pPr>
        <w:pStyle w:val="TextoNormal"/>
      </w:pPr>
      <w:r>
        <w:t>En consecuencia, debemos ahora examinar las quejas que se formulan a diversos apartados del artículo 40 en la medida en que en ellas sí se ha concretado la vulneración competencial. Comenzaremos por los artículos 40.1, letras a), b), c), e) y h), en las que se cuestiona la atribución de determinadas facultades de desarrollo reglamentario al Estado. Atendiendo al planteamiento del recurrente, únicamente hemos de pronunciarnos sobre la conformidad competencial de la existencia de esas habilitaciones, sin perjuicio del juicio que las mismas pudieran merecer desde el punto de vista de su contenido concreto. Extremo éste último que, obviamente, no resulta posible examinar ahora, pues, desde ese punto de vista, el recurso es prematuro, debiendo plantearse, llegado el caso, por las vías procesales oportunas.</w:t>
      </w:r>
    </w:p>
    <w:p w:rsidR="00163957" w:rsidRDefault="00163957" w:rsidP="00163957">
      <w:pPr>
        <w:pStyle w:val="TextoNormal"/>
      </w:pPr>
    </w:p>
    <w:p w:rsidR="00163957" w:rsidRDefault="00163957" w:rsidP="00163957">
      <w:pPr>
        <w:pStyle w:val="TextoNormal"/>
      </w:pPr>
      <w:r>
        <w:t>Así, respecto al artículo 40.1 a), según el cual los distribuidores, como titulares de las redes de distribución, tendrán, entre otras, la obligación de prestar el servicio “con los niveles de calidad que se determinen reglamentariamente por el Gobierno, previa audiencia de las Comunidades Autónomas y de las Ciudades de Ceuta y Melilla” es posible apreciar que la queja se presenta estrechamente relacionada con la que se formula al artículo 51 y que allí se examina con más detalle. En todo caso, circunscrita a la atribución de la potestad reglamentaria en esta materia, basta para desecharla con advertir que la intervención del reglamento en la determinación de los niveles de calidad del servicio ya ha sido admitida por nuestra doctrina (SSTC 148/2011, FJ 6, y 4/2013, FFJJ 5 y 7), dado que se trata de un parámetro técnico del sector eléctrico.</w:t>
      </w:r>
    </w:p>
    <w:p w:rsidR="00163957" w:rsidRDefault="00163957" w:rsidP="00163957">
      <w:pPr>
        <w:pStyle w:val="TextoNormal"/>
      </w:pPr>
    </w:p>
    <w:p w:rsidR="00163957" w:rsidRDefault="00163957" w:rsidP="00163957">
      <w:pPr>
        <w:pStyle w:val="TextoNormal"/>
      </w:pPr>
      <w:r>
        <w:t xml:space="preserve">El apartado b) atribuye a la Administración general del Estado la fijación de los criterios para garantizar que las redes de distribución tengan la capacidad para asumir, a largo plazo, una demanda razonable de distribución de electricidad, previa audiencia de las Comunidades Autónomas y de las Ciudades de Ceuta y Melilla. Esta atribución se relaciona directamente con el principio de garantía del suministro en la debidas condiciones de continuidad y seguridad a todos los consumidores dentro del territorio nacional establecido en el art. 1 en relación con el 7.1 LSE, principio ya considerado básico por la doctrina constitucional (por todas, STC 18/2011, FJ 8). Por otra parte, en cuanto alude a la fijación de criterios para </w:t>
      </w:r>
      <w:r>
        <w:lastRenderedPageBreak/>
        <w:t>garantizar la capacidad adecuada de las redes de distribución, no contradice nuestra doctrina sobre el alcance formal de las bases, por tratarse de una materia eminentemente técnica que reclama la colaboración reglamentaria (STC 18/2011, FJ 10).</w:t>
      </w:r>
    </w:p>
    <w:p w:rsidR="00163957" w:rsidRDefault="00163957" w:rsidP="00163957">
      <w:pPr>
        <w:pStyle w:val="TextoNormal"/>
      </w:pPr>
    </w:p>
    <w:p w:rsidR="00163957" w:rsidRDefault="00163957" w:rsidP="00163957">
      <w:pPr>
        <w:pStyle w:val="TextoNormal"/>
      </w:pPr>
      <w:r>
        <w:t>La llamada al reglamento estatal para la definición de los criterios de conexión de las redes de distribución que se contiene en el art. 40.1 c), se refiere, una vez más, a una materia técnica en la que es admisible la colaboración reglamentaria y que tiene directa relación con la ordenación del sector y con las condiciones de competencia en el mercado eléctrico. El derecho de acceso de terceros a las redes de distribución, con su correspondiente uso, es, dado el carácter de monopolio natural de las redes, uno de sus pilares fundamentales, en cuanto que, al suponer la facultad de utilización de la red ya instalada, permite un mercado de agentes múltiples en un sistema de red única. Esa es la conclusión que se desprende de los no impugnados arts. 8.2 y 33 LSE y de su evidente conexión con la garantía de la regularidad y calidad del suministro, tal como proclama el art. 7.1 LSE.</w:t>
      </w:r>
    </w:p>
    <w:p w:rsidR="00163957" w:rsidRDefault="00163957" w:rsidP="00163957">
      <w:pPr>
        <w:pStyle w:val="TextoNormal"/>
      </w:pPr>
    </w:p>
    <w:p w:rsidR="00163957" w:rsidRDefault="00163957" w:rsidP="00163957">
      <w:pPr>
        <w:pStyle w:val="TextoNormal"/>
      </w:pPr>
      <w:r>
        <w:t>El apartado e) del art. 40.1 LSE obliga a los distribuidores a “proceder a la ampliación de las instalaciones de distribución cuando así sea necesario para atender nuevas demandas de suministro eléctrico en los términos que se establezcan reglamentariamente”. Se trata de una obligación que se conecta con el principio básico de la garantía del suministro eléctrico o, lo que es lo mismo, con la “finalidad de garantizar el suministro de energía eléctrica, y de adecuarlo a las necesidades de los consumidores en términos de seguridad, calidad, eficiencia, objetividad, transparencia y al mínimo coste” que proclama el art. 1 LSE. Atendiendo a su relación con dicho principio así como al carácter técnico de la materia de que se trata hemos de concluir que nos encontramos en un ámbito en el que es posible la colaboración reglamentaria, sin que esa remisión vulnere las competencias autonómicas y sin que eso signifique, en este momento, pronunciamiento alguno acerca del contenido de esa eventual regulación.</w:t>
      </w:r>
    </w:p>
    <w:p w:rsidR="00163957" w:rsidRDefault="00163957" w:rsidP="00163957">
      <w:pPr>
        <w:pStyle w:val="TextoNormal"/>
      </w:pPr>
    </w:p>
    <w:p w:rsidR="00163957" w:rsidRDefault="00163957" w:rsidP="00163957">
      <w:pPr>
        <w:pStyle w:val="TextoNormal"/>
      </w:pPr>
      <w:r>
        <w:t>El apartado h) del art. 40.1 LSE obliga a los distribuidores a:</w:t>
      </w:r>
    </w:p>
    <w:p w:rsidR="00163957" w:rsidRDefault="00163957" w:rsidP="00163957">
      <w:pPr>
        <w:pStyle w:val="TextoNormal"/>
      </w:pPr>
    </w:p>
    <w:p w:rsidR="00163957" w:rsidRDefault="00163957" w:rsidP="00163957">
      <w:pPr>
        <w:pStyle w:val="TextoNormal"/>
      </w:pPr>
      <w:r>
        <w:t>“[P]resentar, antes del 1 de mayo de cada año, sus planes de inversiones anuales y plurianuales al Ministerio de Industria, Energía y Turismo y a las respectivas Comunidades Autónomas o Ciudades de Ceuta y Melilla. En los planes de inversión anuales figurarán como mínimo los datos de los proyectos, sus principales características técnicas, presupuesto y calendario de ejecución. Asimismo, la empresa distribuidora deberá ejecutar, en los términos que se establezcan, el contenido de los planes de inversión que resulten finalmente aprobados por la Administración General del Estado. El procedimiento de aprobación de dichos planes, junto con las cuantías máximas de volumen de inversión con derecho a retribución a cargo del sistema, se establecerá reglamentariamente por el Gobierno, previa audiencia de las Comunidades Autónomas y Ciudades de Ceuta y Melilla. Este procedimiento deberá contemplar la posibilidad de aprobación parcial de los planes de inversión en aquellas comunidades y ciudades autónomas para las que dicho plan cuente con el informe favorable establecido en el párrafo siguiente.</w:t>
      </w:r>
    </w:p>
    <w:p w:rsidR="00163957" w:rsidRDefault="00163957" w:rsidP="00163957">
      <w:pPr>
        <w:pStyle w:val="TextoNormal"/>
      </w:pPr>
    </w:p>
    <w:p w:rsidR="00163957" w:rsidRDefault="00163957" w:rsidP="00163957">
      <w:pPr>
        <w:pStyle w:val="TextoNormal"/>
      </w:pPr>
      <w:r>
        <w:t>En todo caso, para la aprobación de los planes presentados por las empresas distribuidoras, éstos deberán acompañarse de informe favorable de las Comunidades Autónomas y Ciudades de Ceuta y Melilla respecto de las instalaciones previstas en su territorio cuya autorización sea de su competencia.</w:t>
      </w:r>
    </w:p>
    <w:p w:rsidR="00163957" w:rsidRDefault="00163957" w:rsidP="00163957">
      <w:pPr>
        <w:pStyle w:val="TextoNormal"/>
      </w:pPr>
    </w:p>
    <w:p w:rsidR="00163957" w:rsidRDefault="00163957" w:rsidP="00163957">
      <w:pPr>
        <w:pStyle w:val="TextoNormal"/>
      </w:pPr>
      <w:r>
        <w:t>El carácter de obligación anual de la presentación de planes de inversión para su aprobación por la Administración General del Estado podrá modificarse reglamentariamente para establecer un período superior al de un año para las empresas con menos de 100.000 clientes conectados a sus redes.”</w:t>
      </w:r>
    </w:p>
    <w:p w:rsidR="00163957" w:rsidRDefault="00163957" w:rsidP="00163957">
      <w:pPr>
        <w:pStyle w:val="TextoNormal"/>
      </w:pPr>
    </w:p>
    <w:p w:rsidR="00163957" w:rsidRDefault="00163957" w:rsidP="00163957">
      <w:pPr>
        <w:pStyle w:val="TextoNormal"/>
      </w:pPr>
      <w:r>
        <w:t>De este precepto la Abogada de la Generalitat cuestiona la reserva al Estado de la aprobación de los planes de inversión en la red de distribución entendiendo que la Comunidad Autónoma no puede aprobar un plan de inversión e, incluso, que dicho plan podría aprobarse sin su conformidad.</w:t>
      </w:r>
    </w:p>
    <w:p w:rsidR="00163957" w:rsidRDefault="00163957" w:rsidP="00163957">
      <w:pPr>
        <w:pStyle w:val="TextoNormal"/>
      </w:pPr>
    </w:p>
    <w:p w:rsidR="00163957" w:rsidRDefault="00163957" w:rsidP="00163957">
      <w:pPr>
        <w:pStyle w:val="TextoNormal"/>
      </w:pPr>
      <w:r>
        <w:t>Ambas quejas han de ser desechadas pues se basan en un entendimiento del precepto que no se ajusta a su tenor. En efecto, la atribución al Estado de la facultad de aprobar los planes de inversión de las empresas se relaciona directamente con las competencias estatales para establecer el régimen económico del sector eléctrico ya que con dicha aprobación se determina el volumen anual de inversión de la red de distribución de energía eléctrica puesto en servicio con derecho a retribución o, lo que es lo mismo, la retribución por inversión de las instalaciones de distribución en cuanto que es uno de los costes del sistema. La obligación de presentar los planes de inversión también se establece a favor de las Comunidades Autónomas, lo cual es lógico si se tiene en cuenta que les corresponde autorizar las instalaciones cuyo aprovechamiento no supere sus límites territoriales. Se trata entonces de una facultad aprobatoria en los casos en los que al Estado corresponda esa competencia, por determinarse de ese modo las inversiones con derecho a retribución o por ser instalaciones cuyo aprovechamiento afecte a otra Comunidad Autónoma.</w:t>
      </w:r>
    </w:p>
    <w:p w:rsidR="00163957" w:rsidRDefault="00163957" w:rsidP="00163957">
      <w:pPr>
        <w:pStyle w:val="TextoNormal"/>
      </w:pPr>
    </w:p>
    <w:p w:rsidR="00163957" w:rsidRDefault="00163957" w:rsidP="00163957">
      <w:pPr>
        <w:pStyle w:val="TextoNormal"/>
      </w:pPr>
      <w:r>
        <w:t>Por lo demás el precepto salvaguarda expresamente las competencias autonómicas cuando supedita la aprobación estatal al “informe favorable de las Comunidades Autónomas y Ciudades de Ceuta y Melilla respecto de las instalaciones previstas en su territorio cuya autorización sea de su competencia”. Resulta entonces que la norma estatal guarda silencio sobre una de las quejas que se plantean, la eventual existencia de un plan de inversión en lo relativo a las inversiones previstas en las Comunidades Autónomas cuya autorización sea de su competencia, pues se refiere a la aprobación que corresponde a la Administración general del Estado en el ejercicio de sus competencias sobre autorización de instalaciones eléctricas y sobre el régimen económico del sector (en tal sentido, art. 16 del Real Decreto 1048/2013, de 27 de diciembre, por el que se establece la metodología para el cálculo de la retribución de la actividad de distribución de energía eléctrica, que no ha sido cuestionado por la Generalitat de Cataluña). De hecho el desarrollo reglamentario del precepto legal cuestionado exige que las empresas presenten a las Comunidades Autónomas y Ciudades de Ceuta y Melilla el contenido de sus planes de inversión en lo relativo a las inversiones previstas en su territorio cuya autorización sea de su competencia (art. 16.4 del Real Decreto 1048/2013) y alude expresamente a la competencia autorizatoria de las Comunidades Autónomas y Ciudades de Ceuta y Melilla (art. 16.5, 6 y 7 del Real Decreto 1048/2013). Cuanto se lleva expuesto permite también desechar la otra tacha que se le formula a este precepto pues, en lo que afecta a una Comunidad Autónoma, no es posible, dada la exigencia de informe favorable, la aprobación del plan sin su conformidad.</w:t>
      </w:r>
    </w:p>
    <w:p w:rsidR="00163957" w:rsidRDefault="00163957" w:rsidP="00163957">
      <w:pPr>
        <w:pStyle w:val="TextoNormal"/>
      </w:pPr>
    </w:p>
    <w:p w:rsidR="00163957" w:rsidRDefault="00163957" w:rsidP="00163957">
      <w:pPr>
        <w:pStyle w:val="TextoNormal"/>
      </w:pPr>
      <w:r>
        <w:lastRenderedPageBreak/>
        <w:t>En cuanto al último inciso del apartado 40.2 LSE (“Reglamentariamente, previa audiencia a las Comunidades Autónomas y Ciudades de Ceuta y Melilla, se regularán las condiciones y procedimientos para el establecimiento de acometidas eléctricas y el enganche de nuevos usuarios a las redes de distribución”) debe desestimarse la impugnación, centrada exclusivamente en la existencia de la habilitación reglamentaria. En efecto, conforme a la doctrina del Tribunal, se trata de una cuestión técnica en la que es admisible el recurso a normas reglamentarias, sin perjuicio de que las mismas, llegado el caso, puedan ser controladas por las vías oportunas. La desestimación de la impugnación de este precepto conlleva también la del art. 38.8 LSE recurrido por el mismo motivo.</w:t>
      </w:r>
    </w:p>
    <w:p w:rsidR="00163957" w:rsidRDefault="00163957" w:rsidP="00163957">
      <w:pPr>
        <w:pStyle w:val="TextoNormal"/>
      </w:pPr>
    </w:p>
    <w:p w:rsidR="00163957" w:rsidRDefault="00163957" w:rsidP="00163957">
      <w:pPr>
        <w:pStyle w:val="TextoNormal"/>
      </w:pPr>
      <w:r>
        <w:t>Finalmente se cuestiona el primer inciso del art. 40.3 b) que, al establecer los derechos de los distribuidores, exige que las instalaciones y aparatos receptores de los usuarios que se conecten a sus redes reúnan las condiciones técnicas y de construcción que se determinen por la normativa estatal e internacional que les fuera de aplicación. La queja, centrada en la falta de mención de la eventual normativa autonómica en esta materia, no puede ser estimada pues el hecho de que no se recoja en el precepto una cláusula de salvaguarda como la reclamada no lo vicia de inconstitucionalidad dada la innecesariedad de la previsión expresa de este tipo de cláusulas. Todo ello sin perjuicio de recordar que, conforme a consolidada doctrina de este Tribunal (SSTC 203/1992, 14/1994, y 243/1994, entre otras), el Estado se reserva la potestad de dictar las normas relativas a la seguridad industrial, es decir, a la seguridad de las instalaciones y establecimientos industriales, de los procesos industriales y de los productos elaborados en los mismos, en los que, sin duda, se encuentran las instalaciones y aparatos receptores a los que se refiere el precepto.</w:t>
      </w:r>
    </w:p>
    <w:p w:rsidR="00163957" w:rsidRDefault="00163957" w:rsidP="00163957">
      <w:pPr>
        <w:pStyle w:val="TextoNormal"/>
      </w:pPr>
    </w:p>
    <w:p w:rsidR="00163957" w:rsidRDefault="00163957" w:rsidP="00163957">
      <w:pPr>
        <w:pStyle w:val="TextoNormal"/>
      </w:pPr>
      <w:r>
        <w:t>En conclusión no queda sino desestimar la impugnación del art. 40 LSE.</w:t>
      </w:r>
    </w:p>
    <w:p w:rsidR="00163957" w:rsidRDefault="00163957" w:rsidP="00163957">
      <w:pPr>
        <w:pStyle w:val="TextoNormal"/>
      </w:pPr>
    </w:p>
    <w:p w:rsidR="00163957" w:rsidRDefault="00163957" w:rsidP="00163957">
      <w:pPr>
        <w:pStyle w:val="TextoNormal"/>
      </w:pPr>
      <w:r w:rsidRPr="00163957">
        <w:rPr>
          <w:rStyle w:val="NumeroAFNegritaCaracter"/>
        </w:rPr>
        <w:t>10</w:t>
      </w:r>
      <w:r>
        <w:t>. El art. 43.5 dispone literalmente:</w:t>
      </w:r>
    </w:p>
    <w:p w:rsidR="00163957" w:rsidRDefault="00163957" w:rsidP="00163957">
      <w:pPr>
        <w:pStyle w:val="TextoNormal"/>
      </w:pPr>
    </w:p>
    <w:p w:rsidR="00163957" w:rsidRDefault="00163957" w:rsidP="00163957">
      <w:pPr>
        <w:pStyle w:val="TextoNormal"/>
      </w:pPr>
      <w:r>
        <w:t>“5. Para el supuesto de que no se sometan a las entidades de resolución alternativa de litigios en materia de consumo o que estas no resulten competentes para la resolución del conflicto, los usuarios finales que sean personas físicas podrán someter la controversia al Ministerio de Industria, Energía y Turismo, cuando tales controversias se refieran a sus derechos específicos como usuarios finales, incluidos todos los previstos en esta ley y sin perjuicio de las competencias del resto de Administraciones Públicas. No podrán ser objeto del procedimiento anterior las controversias que se encuentren reguladas por normativa distinta de la de protección específica de los usuarios finales de energía eléctrica.</w:t>
      </w:r>
    </w:p>
    <w:p w:rsidR="00163957" w:rsidRDefault="00163957" w:rsidP="00163957">
      <w:pPr>
        <w:pStyle w:val="TextoNormal"/>
      </w:pPr>
    </w:p>
    <w:p w:rsidR="00163957" w:rsidRDefault="00163957" w:rsidP="00163957">
      <w:pPr>
        <w:pStyle w:val="TextoNormal"/>
      </w:pPr>
      <w:r>
        <w:t>El procedimiento, que se aprobará por orden del Ministro de Industria, Energía y Turismo, deberá ser transparente, sencillo y gratuito. La resolución que se dicte podrá ordenar la devolución de importes indebidamente facturados y, en general, disponer cuantas medidas tiendan a restituir al interesado en sus derechos e intereses legítimos, incluyendo la posibilidad de reembolso y compensación por los gastos y perjuicios que se hubiesen podido generar.</w:t>
      </w:r>
    </w:p>
    <w:p w:rsidR="00163957" w:rsidRDefault="00163957" w:rsidP="00163957">
      <w:pPr>
        <w:pStyle w:val="TextoNormal"/>
      </w:pPr>
    </w:p>
    <w:p w:rsidR="00163957" w:rsidRDefault="00163957" w:rsidP="00163957">
      <w:pPr>
        <w:pStyle w:val="TextoNormal"/>
      </w:pPr>
      <w:r>
        <w:t xml:space="preserve">Los sujetos del sector eléctrico estarán obligados a someterse al procedimiento, así como a cumplir la resolución que le ponga fin. En cualquier caso, el procedimiento que se adopte establecerá el plazo máximo en el que deberá notificarse la resolución expresa, transcurrido </w:t>
      </w:r>
      <w:r>
        <w:lastRenderedPageBreak/>
        <w:t>el cual se podrá entender desestimada la reclamación por silencio administrativo, sin perjuicio de que la Administración tenga la obligación de resolver la reclamación de forma expresa, de acuerdo con lo establecido en el artículo 43 de la Ley 30/1992, de 26 de noviembre, de Régimen Jurídico de las Administraciones Públicas y del Procedimiento Administrativo Común. La resolución que se dicte podrá impugnarse ante la jurisdicción contencioso-administrativa.</w:t>
      </w:r>
    </w:p>
    <w:p w:rsidR="00163957" w:rsidRDefault="00163957" w:rsidP="00163957">
      <w:pPr>
        <w:pStyle w:val="TextoNormal"/>
      </w:pPr>
    </w:p>
    <w:p w:rsidR="00163957" w:rsidRDefault="00163957" w:rsidP="00163957">
      <w:pPr>
        <w:pStyle w:val="TextoNormal"/>
      </w:pPr>
      <w:r>
        <w:t>Lo dispuesto en este apartado será aplicable a todas las modalidades de suministro previstas en esta ley para usuarios finales que sean personas físicas.”</w:t>
      </w:r>
    </w:p>
    <w:p w:rsidR="00163957" w:rsidRDefault="00163957" w:rsidP="00163957">
      <w:pPr>
        <w:pStyle w:val="TextoNormal"/>
      </w:pPr>
    </w:p>
    <w:p w:rsidR="00163957" w:rsidRDefault="00163957" w:rsidP="00163957">
      <w:pPr>
        <w:pStyle w:val="TextoNormal"/>
      </w:pPr>
      <w:r>
        <w:t>El art. 43.5 LSE atribuye al Estado la regulación del procedimiento para resolver los conflictos entre los usuarios finales y las empresas suministradoras de energía eléctrica que no se sometan a las entidades de resolución alternativa de litigios en materia de consumo o cuando éstas no resulten competentes para la resolución del conflicto. La demanda considera que la aplicación del mecanismo previsto en este precepto exige tres condiciones, de las que deriva que se trata de una competencia autonómica. Tales condiciones son: que la controversia afecte a derechos específicos de los usuarios finales, que esté regulada por la normativa específica en materia energética y que los sujetos en conflicto se encuentren ubicados en el ámbito territorial de Cataluña. Así, correspondería a la Generalitat de Cataluña, en el ejercicio de su competencia compartida en materia de energía eléctrica, la regulación del procedimiento específico y el ejercicio de las facultades ejecutivas vinculadas al procedimiento mencionado, como son su tramitación, instrucción y resolución, a través del órgano competente en materia de energía. El Abogado del Estado se ha opuesto al anterior planteamiento señalando que el establecimiento de formas heterocompositivas de solución de conflictos corresponde al Estado, citando al respecto la STC 18/2011, siendo además una determinación del contenido del derecho de acceso a las redes de transporte y distribución de energía eléctrica en que se manifiesta la garantía del suministro.</w:t>
      </w:r>
    </w:p>
    <w:p w:rsidR="00163957" w:rsidRDefault="00163957" w:rsidP="00163957">
      <w:pPr>
        <w:pStyle w:val="TextoNormal"/>
      </w:pPr>
    </w:p>
    <w:p w:rsidR="00163957" w:rsidRDefault="00163957" w:rsidP="00163957">
      <w:pPr>
        <w:pStyle w:val="TextoNormal"/>
      </w:pPr>
      <w:r>
        <w:t xml:space="preserve">En la resolución de la queja ahora planteada debemos advertir que la doctrina de la STC 18/2011, FJ 22, no resulta aquí de aplicación ya que no se trata de supuestos similares. Allí nos referimos a un arbitraje voluntario entre los sujetos del sector eléctrico que consideramos un equivalente jurisdiccional, por lo que debía ser establecido por el Estado </w:t>
      </w:r>
      <w:r w:rsidRPr="00163957">
        <w:rPr>
          <w:i/>
        </w:rPr>
        <w:t>ex</w:t>
      </w:r>
      <w:r>
        <w:t xml:space="preserve"> arts. 149.1.5, 6 y 8 CE. En este caso, como se verá, se trata de un mecanismo administrativo específico para la protección de determinados consumidores en su condición de usuarios finales de la energía eléctrica, al que vienen obligados a someterse los sujetos del sistema eléctrico y que no excluye sino que permite la intervención de la jurisdicción contencioso-administrativa. Además, también resulta ineludible tener en cuenta la STC 72/2014, de 8 de mayo, FJ 10, en el que una regulación muy similar, aplicable a los usuarios de servicios finales de servicios de comunicaciones electrónicas, quedó encuadrada en su correspondiente ámbito material, siendo aplicable el título competencial del art. 149.1.21 CE, de modo que, dada la exclusiva competencia del Estado en esta materia, le correspondía prever un mecanismo de protección especial y reforzada de los consumidores en el ámbito específico de las telecomunicaciones, cuya finalidad última no era otra que asegurar la efectividad del servicio.</w:t>
      </w:r>
    </w:p>
    <w:p w:rsidR="00163957" w:rsidRDefault="00163957" w:rsidP="00163957">
      <w:pPr>
        <w:pStyle w:val="TextoNormal"/>
      </w:pPr>
    </w:p>
    <w:p w:rsidR="00163957" w:rsidRDefault="00163957" w:rsidP="00163957">
      <w:pPr>
        <w:pStyle w:val="TextoNormal"/>
      </w:pPr>
      <w:r>
        <w:t xml:space="preserve">Trasladando a este caso el mencionado criterio hemos de encuadrar materialmente la regulación cuestionada en el ámbito sectorial que le es propio, esto es, el art. 149.1.25 CE en relación con el art. 133.1 EAC, pues ambos son los títulos competenciales específicos en </w:t>
      </w:r>
      <w:r>
        <w:lastRenderedPageBreak/>
        <w:t>materia de energía eléctrica. Por tanto, debemos determinar si resulta ajustada al orden competencial la atribución a un órgano estatal de la competencia tanto para regular el correspondiente procedimiento como para la resolución de las concretas controversias que planteen los usuarios finales que sean personas físicas.</w:t>
      </w:r>
    </w:p>
    <w:p w:rsidR="00163957" w:rsidRDefault="00163957" w:rsidP="00163957">
      <w:pPr>
        <w:pStyle w:val="TextoNormal"/>
      </w:pPr>
    </w:p>
    <w:p w:rsidR="00163957" w:rsidRDefault="00163957" w:rsidP="00163957">
      <w:pPr>
        <w:pStyle w:val="TextoNormal"/>
      </w:pPr>
      <w:r>
        <w:t>Comenzando por este último aspecto, la atribución al Ministerio de Industria, Energía y Turismo de la competencia ejecutiva de resolución de las controversias su examen ha de partir de la doctrina del Tribunal respecto a la asunción por el Estado de facultades ejecutivas en materias en las que ostenta competencias básicas. La STC 102/2013, de 23 de abril, FJ 6, y doctrina allí citada, ha señalado que la consideración como materialmente básicas de funciones ejecutivas ha sido admitida por este Tribunal “cuando las competencias de ejecución están estrechamente vinculadas al mantenimiento y efectividad de las normas de carácter básico”. En concreto, por lo que se refiere al sector eléctrico, hemos apreciado ese carácter materialmente básico de ciertas medidas de ejecución que tenían por finalidad la garantía del suministro eléctrico (así, STC 18/2011, FJ 6) o la determinación de su régimen económico [STC 148/2011, FJ 6, con remisión a la STC 18/2011, FJ 21 a)]. Además, en la ya mencionada STC 102/2013 examinamos la medida consistente en el traspaso —por parte del Ministerio competente— de los clientes de un comercializador a otro de último recurso, en el caso de incumplimiento de sus obligaciones de contratación, pago o prestación de garantías frente al sistema eléctrico, considerando que se trataba de una medida cuyo ejercicio trascendía el ámbito autonómico y cuya finalidad última no era otra que garantizar un suministro de energía eléctrica adecuado y de calidad, concluyendo (FJ 8) que resultaba “complemento necesario para preservar lo básico por su incidencia en el correcto funcionamiento del entero sistema eléctrico (art. 149.1.25 CE) y, con ello, en el régimen económico de este importante sector para la economía nacional (art. 149.1.13 CE)”.</w:t>
      </w:r>
    </w:p>
    <w:p w:rsidR="00163957" w:rsidRDefault="00163957" w:rsidP="00163957">
      <w:pPr>
        <w:pStyle w:val="TextoNormal"/>
      </w:pPr>
    </w:p>
    <w:p w:rsidR="00163957" w:rsidRDefault="00163957" w:rsidP="00163957">
      <w:pPr>
        <w:pStyle w:val="TextoNormal"/>
      </w:pPr>
      <w:r>
        <w:t xml:space="preserve">Conforme a lo anterior debemos examinar el sentido de la medida para determinar, si nos encontramos ante un supuesto en el que resulte justificada la atribución a un órgano estatal, aun cuando se trata de funciones ejecutivas. Esta medida guarda directa relación con lo previsto en el art. 3 en relación con el anexo I de la Directiva 2009/72/CE, de 13 de julio, sobre normas comunes para el mercado interior de la electricidad y por la que se deroga la Directiva 2003/54/CE y, como se desprende de su tenor literal, lo que se regula es un procedimiento específico por razón de la materia de energía eléctrica, encaminado a resolver las controversias entre los usuarios finales que sean personas físicas y las empresas suministradoras, siempre y cuando se den dos condiciones: a) que la controversia afecte a sus derechos específicos como usuarios finales, incluyendo todos los previstos en la Ley del sector eléctrico y b) que la controversia esté regulada por la normativa en lo referente a la protección específica de los usuarios finales de energía eléctrica, precisándose posteriormente que lo previsto en el artículo 43.5 es aplicable a toda modalidad de suministro para un usuario final que sea persona física, esto es, que adquiere la electricidad para su consumo propio. Se trata, por tanto, de un mecanismo reforzado y voluntario que se pone a disposición del usuario final que sea persona física para la defensa de los derechos específicos que la regulación sectorial le reconoce. En suma, ninguna duda cabe de que al Estado corresponde diseñar, en el ejercicio de sus competencias básicas </w:t>
      </w:r>
      <w:r w:rsidRPr="00163957">
        <w:rPr>
          <w:i/>
        </w:rPr>
        <w:t>ex</w:t>
      </w:r>
      <w:r>
        <w:t xml:space="preserve"> art. 149.1.25 CE, el mecanismo administrativo de solución de controversias que ahora examinamos. Atendiendo a la queja formulada, lo que hemos de determinar ahora es si la excepcional reserva de funciones ejecutivas resulta precisa para garantizar la efectividad de las normas básicas del sector, conforme a la doctrina que hemos expuesto.</w:t>
      </w:r>
    </w:p>
    <w:p w:rsidR="00163957" w:rsidRDefault="00163957" w:rsidP="00163957">
      <w:pPr>
        <w:pStyle w:val="TextoNormal"/>
      </w:pPr>
    </w:p>
    <w:p w:rsidR="00163957" w:rsidRDefault="00163957" w:rsidP="00163957">
      <w:pPr>
        <w:pStyle w:val="TextoNormal"/>
      </w:pPr>
      <w:r>
        <w:t>En el entendimiento de este precepto ha de partirse del reiterado criterio mantenido por este Tribunal, en cuya virtud, “en la labor hermenéutica de los preceptos legales resulta obligado apurar todas las posibilidades de interpretación de conformidad con la Constitución y apreciar la invalidez sólo de aquellos cuya incompatibilidad con la Norma suprema resulte indudable por ser imposible llevar a cabo dicha interpretación” (STC 4/2013, FJ 8).</w:t>
      </w:r>
    </w:p>
    <w:p w:rsidR="00163957" w:rsidRDefault="00163957" w:rsidP="00163957">
      <w:pPr>
        <w:pStyle w:val="TextoNormal"/>
      </w:pPr>
    </w:p>
    <w:p w:rsidR="00163957" w:rsidRDefault="00163957" w:rsidP="00163957">
      <w:pPr>
        <w:pStyle w:val="TextoNormal"/>
      </w:pPr>
      <w:r>
        <w:t>Atendiendo a la doctrina de la STC 102/2013, y en el plano del enjuiciamiento abstracto que ahora nos corresponde, dicha interpretación es factible, ya que no puede excluirse totalmente la aplicación de este mecanismo a controversias que incidan en el correcto funcionamiento del sistema eléctrico en su conjunto dado el principio de red única que lo informa, trascendiendo al ámbito autonómico y afectando con ello al régimen económico del sector, en el bien entendido que, como se expone a continuación, el art. 149.1.25 CE no habilita para determinar que un órgano estatal asuma la tarea ejecutiva relacionada con la resolución de todas las controversias que plantean las personas físicas que sean usuarios finales de energía eléctrica. Por otra parte, conforme a su dicción literal, la atribución a un órgano estatal de esta función se hace “sin perjuicio de las competencias del resto de Administraciones Públicas”. El precepto no es, por tanto, excluyente de las competencias autonómicas en la materia en aquellos supuestos que no estén vinculados a aspectos básicos que corresponde al Estado garantizar. Es posible entonces que las Comunidades Autónomas, en su propio ámbito de competencias, regulen asimismo dicho procedimiento de resolución de conflictos, teniendo en cuenta que muchos de los derechos específicos en esta materia reconocidos, entre otros, en el art. 44 LSE tienen relación con las competencias autonómicas y no afectan a la unidad del régimen económico del sector ni al principio de garantía del suministro en la debidas condiciones de calidad y continuidad, asumidas por el Estado para velar por el correcto funcionamiento del sistema eléctrico en su conjunto.</w:t>
      </w:r>
    </w:p>
    <w:p w:rsidR="00163957" w:rsidRDefault="00163957" w:rsidP="00163957">
      <w:pPr>
        <w:pStyle w:val="TextoNormal"/>
      </w:pPr>
    </w:p>
    <w:p w:rsidR="00163957" w:rsidRDefault="00163957" w:rsidP="00163957">
      <w:pPr>
        <w:pStyle w:val="TextoNormal"/>
      </w:pPr>
      <w:r>
        <w:t xml:space="preserve">Otro tanto sucede con la determinación del procedimiento aplicable, pues, en este caso, la norma habilita para regular exclusivamente el que ha de seguirse ante un órgano estatal por afectar a aspectos relacionados con las competencias básicas que corresponden al Estado. Por otra parte, en cuanto que se formulan los principios generales —transparencia, sencillez, gratuidad— que deben informar esta clase de procedimientos, su concreción en el procedimiento correspondiente también ha de ser asumida por la Comunidad Autónoma cuando resulte ser competente </w:t>
      </w:r>
      <w:r w:rsidRPr="00163957">
        <w:rPr>
          <w:i/>
        </w:rPr>
        <w:t>ratione materiae</w:t>
      </w:r>
      <w:r>
        <w:t xml:space="preserve">. Conclusión respecto a los procedimientos administrativos que también alcanza la propia disposición final segunda LSE, al excluirlos del carácter básico </w:t>
      </w:r>
      <w:r w:rsidRPr="00163957">
        <w:rPr>
          <w:i/>
        </w:rPr>
        <w:t>ex</w:t>
      </w:r>
      <w:r>
        <w:t xml:space="preserve"> arts. 149.1. 13 y 25 CE.</w:t>
      </w:r>
    </w:p>
    <w:p w:rsidR="00163957" w:rsidRDefault="00163957" w:rsidP="00163957">
      <w:pPr>
        <w:pStyle w:val="TextoNormal"/>
      </w:pPr>
    </w:p>
    <w:p w:rsidR="00163957" w:rsidRDefault="00163957" w:rsidP="00163957">
      <w:pPr>
        <w:pStyle w:val="TextoNormal"/>
      </w:pPr>
      <w:r>
        <w:t>En suma, interpretado en el sentido expuesto, el artículo 43.5 no es contrario al orden constitucional de distribución de competencias y así se dispondrá en el fallo.</w:t>
      </w:r>
    </w:p>
    <w:p w:rsidR="00163957" w:rsidRDefault="00163957" w:rsidP="00163957">
      <w:pPr>
        <w:pStyle w:val="TextoNormal"/>
      </w:pPr>
    </w:p>
    <w:p w:rsidR="00163957" w:rsidRDefault="00163957" w:rsidP="00163957">
      <w:pPr>
        <w:pStyle w:val="TextoNormal"/>
      </w:pPr>
      <w:r w:rsidRPr="00163957">
        <w:rPr>
          <w:rStyle w:val="NumeroAFNegritaCaracter"/>
        </w:rPr>
        <w:t>11</w:t>
      </w:r>
      <w:r>
        <w:t>. El siguiente precepto que ha sido objeto de recurso es el artículo 46, relativo a las obligaciones y derechos de las empresas comercializadoras en relación al suministro.</w:t>
      </w:r>
    </w:p>
    <w:p w:rsidR="00163957" w:rsidRDefault="00163957" w:rsidP="00163957">
      <w:pPr>
        <w:pStyle w:val="TextoNormal"/>
      </w:pPr>
    </w:p>
    <w:p w:rsidR="00163957" w:rsidRDefault="00163957" w:rsidP="00163957">
      <w:pPr>
        <w:pStyle w:val="TextoNormal"/>
      </w:pPr>
      <w:r>
        <w:t xml:space="preserve">Las quejas planteadas en relación con este precepto guardan cierta relación con las formuladas respecto al artículo 40. La demanda considera que, en comparación con el art. 45 de la Ley 54/1997, el art. 46 LSE regula con un nivel de detalle tal sus obligaciones y derechos que no deja margen a la Generalitat de Cataluña para ejercer sus competencias. Argumenta además que la norma prevé la ampliación reglamentaria del abanico de obligaciones </w:t>
      </w:r>
      <w:r>
        <w:lastRenderedPageBreak/>
        <w:t xml:space="preserve">y derechos, concretando específicamente esa queja en relación al artículo 46.2 a). Finalmente alega que no se produce aquí afectación alguna al régimen económico del sector eléctrico en la medida en que la actividad de comercialización se desarrolla en el marco libremente pactado por las partes. El Abogado del Estado ha defendido que se trata de una regulación básica </w:t>
      </w:r>
      <w:r w:rsidRPr="00163957">
        <w:rPr>
          <w:i/>
        </w:rPr>
        <w:t>ex</w:t>
      </w:r>
      <w:r>
        <w:t xml:space="preserve"> art. 149.1.25 CE que responde a la necesidad de que los sujetos comercializadores tengan las mismas obligaciones en el conjunto del sistema eléctrico, el cual ha de responder a unos contornos comunes y reconocibles en toda España, siendo también posible la colaboración reglamentaria en esta materia.</w:t>
      </w:r>
    </w:p>
    <w:p w:rsidR="00163957" w:rsidRDefault="00163957" w:rsidP="00163957">
      <w:pPr>
        <w:pStyle w:val="TextoNormal"/>
      </w:pPr>
    </w:p>
    <w:p w:rsidR="00163957" w:rsidRDefault="00163957" w:rsidP="00163957">
      <w:pPr>
        <w:pStyle w:val="TextoNormal"/>
      </w:pPr>
      <w:r>
        <w:t>Los comercializadores son “sociedades mercantiles, o sociedades cooperativas de consumidores y usuarios, que, accediendo a las redes de transporte o distribución, adquieren energía para su venta a los consumidores, a otros sujetos del sistema o para realizar operaciones de intercambio internacional” [art.6.1 f)]. La comercialización es una actividad que, salvo para los denominados comercializadores de referencia, se ejerce libremente en los términos previstos en la Ley del sector eléctrico y su régimen económico viene determinado por las condiciones que se pacten entre las partes. Por su parte, tal como resulta del artículo 8.3, los comercializadores de referencia están sometidos a una regulación más intensa, pues suministran energía a aquellos consumidores que no contraten en el mercado libre a cambio del abono del denominado “precio voluntario para el pequeño consumidor”, que se fija en los términos previstos en el artículo 17 (artículo 43.2). Igualmente asumen el suministro de energía a los consumidores considerados vulnerables, (art. 45 y disposición transitoria décima LSE), percibiendo a cambio las denominadas tarifas de último recurso, a las que también se refiere el artículo 17. Pese a tratarse de una actividad liberalizada, los comercializadores asumen la obligación de abonar a los distribuidores el peaje de acceso a las redes de transporte y distribución, que forma parte de su retribución por el ejercicio de la mencionada actividad [arts. 8, 16, 41 y 46.1 d)].</w:t>
      </w:r>
    </w:p>
    <w:p w:rsidR="00163957" w:rsidRDefault="00163957" w:rsidP="00163957">
      <w:pPr>
        <w:pStyle w:val="TextoNormal"/>
      </w:pPr>
    </w:p>
    <w:p w:rsidR="00163957" w:rsidRDefault="00163957" w:rsidP="00163957">
      <w:pPr>
        <w:pStyle w:val="TextoNormal"/>
      </w:pPr>
      <w:r>
        <w:t xml:space="preserve">La queja genérica que se plantea ha de ser contestada advirtiendo que, al ser los comercializadores uno de los sujetos que intervienen en el sistema eléctrico, el Estado está competencialmente habilitado </w:t>
      </w:r>
      <w:r w:rsidRPr="00163957">
        <w:rPr>
          <w:i/>
        </w:rPr>
        <w:t>ex</w:t>
      </w:r>
      <w:r>
        <w:t xml:space="preserve"> art. 149.1.25 CE para establecer su régimen común. En todo caso, la inconcreción de la queja formulada respecto al alcance de ese régimen común impide su valoración, pues, más allá de aludir al carácter más detallado del art. 46 LSE en relación con la regulación anterior, la demanda no proporciona a este Tribunal los necesarios elementos de juicio para valorar en qué medida esa nueva regulación podía incurrir en vulneración de las competencias autonómicas. No pueden considerarse tales las afirmaciones de la demanda respecto a “la regulación en lo relativo a la atención a los consumidores, añadiendo la obligación de ofrecer a estos últimos la posibilidad de solucionar los conflictos a través de una entidad que cumpla los requisitos establecidos en la Directiva 2013/11/UE del Parlamento Europeo y del Consejo, de 21 de mayo de 2013, sobre resolución alternativa de litigios en materia de consumo”, pues así se describe la regulación pero no se expresa en qué se vulnera la competencia [en un sentido similar, STC 183/2014, de 6 de noviembre, FJ 2 b)]. Tampoco, como hemos señalado antes, la mera variación de la normativa considerada básica por el Estado puede servir como argumento suficiente.</w:t>
      </w:r>
    </w:p>
    <w:p w:rsidR="00163957" w:rsidRDefault="00163957" w:rsidP="00163957">
      <w:pPr>
        <w:pStyle w:val="TextoNormal"/>
      </w:pPr>
    </w:p>
    <w:p w:rsidR="00163957" w:rsidRDefault="00163957" w:rsidP="00163957">
      <w:pPr>
        <w:pStyle w:val="TextoNormal"/>
      </w:pPr>
      <w:r>
        <w:t xml:space="preserve">Además, la referencia al desarrollo reglamentario en relación con el derecho de acceso que se contiene en el art. 46.2 a) no puede considerarse contraria al orden competencial por las razones que ya hemos dejado expuestas al analizar ese mismo derecho de acceso con relación a los distribuidores. La afirmación de la demanda acerca de la falta de conexión </w:t>
      </w:r>
      <w:r>
        <w:lastRenderedPageBreak/>
        <w:t>entre el régimen económico del sector eléctrico y la actividad de comercialización tampoco puede tomarse en consideración, ya que con ello se obvia la relación de los comercializadores con determinados aspectos de ese régimen, pues han de abonar a los distribuidores una parte de su retribución, los peajes de acceso a las redes, y los comercializadores de referencia son retribuidos con cargo a los ya mencionados “precio voluntario para el pequeño consumidor” y “tarifa de último recurso”, únicas en todo el territorio nacional y determinadas conforme a lo dispuesto en el art. 17 LSE.</w:t>
      </w:r>
    </w:p>
    <w:p w:rsidR="00163957" w:rsidRDefault="00163957" w:rsidP="00163957">
      <w:pPr>
        <w:pStyle w:val="TextoNormal"/>
      </w:pPr>
    </w:p>
    <w:p w:rsidR="00163957" w:rsidRDefault="00163957" w:rsidP="00163957">
      <w:pPr>
        <w:pStyle w:val="TextoNormal"/>
      </w:pPr>
      <w:r>
        <w:t>En conclusión, la impugnación del art. 46 LSE ha de ser desestimada.</w:t>
      </w:r>
    </w:p>
    <w:p w:rsidR="00163957" w:rsidRDefault="00163957" w:rsidP="00163957">
      <w:pPr>
        <w:pStyle w:val="TextoNormal"/>
      </w:pPr>
    </w:p>
    <w:p w:rsidR="00163957" w:rsidRDefault="00163957" w:rsidP="00163957">
      <w:pPr>
        <w:pStyle w:val="TextoNormal"/>
      </w:pPr>
      <w:r w:rsidRPr="00163957">
        <w:rPr>
          <w:rStyle w:val="NumeroAFNegritaCaracter"/>
        </w:rPr>
        <w:t>12</w:t>
      </w:r>
      <w:r>
        <w:t>. El Gobierno de la Generalitat de Cataluña ha impugnado el art. 51 de la Ley 24/2013, el cual, dispone que:</w:t>
      </w:r>
    </w:p>
    <w:p w:rsidR="00163957" w:rsidRDefault="00163957" w:rsidP="00163957">
      <w:pPr>
        <w:pStyle w:val="TextoNormal"/>
      </w:pPr>
    </w:p>
    <w:p w:rsidR="00163957" w:rsidRDefault="00163957" w:rsidP="00163957">
      <w:pPr>
        <w:pStyle w:val="TextoNormal"/>
      </w:pPr>
      <w:r>
        <w:t>“Artículo 51. Calidad del suministro eléctrico</w:t>
      </w:r>
    </w:p>
    <w:p w:rsidR="00163957" w:rsidRDefault="00163957" w:rsidP="00163957">
      <w:pPr>
        <w:pStyle w:val="TextoNormal"/>
      </w:pPr>
    </w:p>
    <w:p w:rsidR="00163957" w:rsidRDefault="00163957" w:rsidP="00163957">
      <w:pPr>
        <w:pStyle w:val="TextoNormal"/>
      </w:pPr>
      <w:r>
        <w:t>1. La calidad del suministro eléctrico es el conjunto de características, técnicas y de atención y relación con los consumidores y, en su caso, productores, exigibles al suministro de electricidad de las empresas que realicen actividades destinadas al suministro eléctrico.</w:t>
      </w:r>
    </w:p>
    <w:p w:rsidR="00163957" w:rsidRDefault="00163957" w:rsidP="00163957">
      <w:pPr>
        <w:pStyle w:val="TextoNormal"/>
      </w:pPr>
    </w:p>
    <w:p w:rsidR="00163957" w:rsidRDefault="00163957" w:rsidP="00163957">
      <w:pPr>
        <w:pStyle w:val="TextoNormal"/>
      </w:pPr>
      <w:r>
        <w:t>En lo relativo a las características técnicas, la calidad del suministro eléctrico se refiere a la continuidad, al número y duración de las interrupciones, así como a la calidad del producto.</w:t>
      </w:r>
    </w:p>
    <w:p w:rsidR="00163957" w:rsidRDefault="00163957" w:rsidP="00163957">
      <w:pPr>
        <w:pStyle w:val="TextoNormal"/>
      </w:pPr>
    </w:p>
    <w:p w:rsidR="00163957" w:rsidRDefault="00163957" w:rsidP="00163957">
      <w:pPr>
        <w:pStyle w:val="TextoNormal"/>
      </w:pPr>
      <w:r>
        <w:t>En lo relativo a las características de la atención y relación con los consumidores y, en su caso, productores, se refiere a la relativa al conjunto de actuaciones de información, asesoramiento, estudios de acceso, conexión, medida, contratación, facturación, comunicación y reclamación.</w:t>
      </w:r>
    </w:p>
    <w:p w:rsidR="00163957" w:rsidRDefault="00163957" w:rsidP="00163957">
      <w:pPr>
        <w:pStyle w:val="TextoNormal"/>
      </w:pPr>
    </w:p>
    <w:p w:rsidR="00163957" w:rsidRDefault="00163957" w:rsidP="00163957">
      <w:pPr>
        <w:pStyle w:val="TextoNormal"/>
      </w:pPr>
      <w:r>
        <w:t>Mediante real decreto del Consejo de Ministros se establecerán indicadores individuales y colectivos, y valores objetivos para estos indicadores.</w:t>
      </w:r>
    </w:p>
    <w:p w:rsidR="00163957" w:rsidRDefault="00163957" w:rsidP="00163957">
      <w:pPr>
        <w:pStyle w:val="TextoNormal"/>
      </w:pPr>
    </w:p>
    <w:p w:rsidR="00163957" w:rsidRDefault="00163957" w:rsidP="00163957">
      <w:pPr>
        <w:pStyle w:val="TextoNormal"/>
      </w:pPr>
      <w:r>
        <w:t>2. El suministro de energía eléctrica deberá ser realizado por las empresas con las características y continuidad que reglamentariamente por el Gobierno se determinen para el territorio español, teniendo en cuenta la diferenciación por zonas a la que se refiere el apartado siguiente.</w:t>
      </w:r>
    </w:p>
    <w:p w:rsidR="00163957" w:rsidRDefault="00163957" w:rsidP="00163957">
      <w:pPr>
        <w:pStyle w:val="TextoNormal"/>
      </w:pPr>
    </w:p>
    <w:p w:rsidR="00163957" w:rsidRDefault="00163957" w:rsidP="00163957">
      <w:pPr>
        <w:pStyle w:val="TextoNormal"/>
      </w:pPr>
      <w:r>
        <w:t>Las empresas de energía eléctrica contarán con la capacidad técnica necesaria para garantizar la calidad del servicio exigida reglamentariamente por la Administración General del Estado.</w:t>
      </w:r>
    </w:p>
    <w:p w:rsidR="00163957" w:rsidRDefault="00163957" w:rsidP="00163957">
      <w:pPr>
        <w:pStyle w:val="TextoNormal"/>
      </w:pPr>
    </w:p>
    <w:p w:rsidR="00163957" w:rsidRDefault="00163957" w:rsidP="00163957">
      <w:pPr>
        <w:pStyle w:val="TextoNormal"/>
      </w:pPr>
      <w:r>
        <w:t>Las empresas eléctricas y, en particular, las distribuidoras promoverán la incorporación de tecnologías avanzadas en la medición y para el control de la calidad del suministro eléctrico.</w:t>
      </w:r>
    </w:p>
    <w:p w:rsidR="00163957" w:rsidRDefault="00163957" w:rsidP="00163957">
      <w:pPr>
        <w:pStyle w:val="TextoNormal"/>
      </w:pPr>
    </w:p>
    <w:p w:rsidR="00163957" w:rsidRDefault="00163957" w:rsidP="00163957">
      <w:pPr>
        <w:pStyle w:val="TextoNormal"/>
      </w:pPr>
      <w:r>
        <w:t>3. La Administración General del Estado establecerá las líneas de actuación en materia de calidad del servicio, tendentes a la consecución de los objetivos de calidad, tanto en consumo final como en las zonas que, por sus características demográficas y tipología del consumo, puedan considerarse idóneas para la determinación de objetivos diferenciados.</w:t>
      </w:r>
    </w:p>
    <w:p w:rsidR="00163957" w:rsidRDefault="00163957" w:rsidP="00163957">
      <w:pPr>
        <w:pStyle w:val="TextoNormal"/>
      </w:pPr>
    </w:p>
    <w:p w:rsidR="00163957" w:rsidRDefault="00163957" w:rsidP="00163957">
      <w:pPr>
        <w:pStyle w:val="TextoNormal"/>
      </w:pPr>
      <w:r>
        <w:t>La Administración General del Estado determinará los índices objetivos de calidad del servicio, así como unos valores entre los que estos índices puedan oscilar, a cumplir tanto a nivel de usuario individual, como para cada zona geográfica atendida por un único distribuidor. Estos índices deberán tomar en consideración la continuidad del suministro, relativo al número y duración de las interrupciones y la calidad del producto relativa a las características de la tensión. Las empresas eléctricas estarán obligadas a facilitar a la Administración la información, convenientemente auditada, necesaria para la determinación objetiva de la calidad del servicio. Los datos de los índices antes citados serán hechos públicos con una periodicidad anual. La metodología retributiva de la actividad de distribución elaborada por la Administración General del Estado incorporará incentivos y penalizaciones en función de la calidad de servicio obtenida.</w:t>
      </w:r>
    </w:p>
    <w:p w:rsidR="00163957" w:rsidRDefault="00163957" w:rsidP="00163957">
      <w:pPr>
        <w:pStyle w:val="TextoNormal"/>
      </w:pPr>
    </w:p>
    <w:p w:rsidR="00163957" w:rsidRDefault="00163957" w:rsidP="00163957">
      <w:pPr>
        <w:pStyle w:val="TextoNormal"/>
      </w:pPr>
      <w:r>
        <w:t>4. Si la baja calidad de la distribución de una zona es continua, o pudiera producir consecuencias graves para los usuarios, o concurrieran circunstancias especiales que puedan poner en peligro la seguridad en el servicio eléctrico, la Administración General del Estado requerirá que los planes de inversiones presentados por dichas empresas presenten actuaciones que impulsen la mejora de la calidad de servicio en dicha zonas.</w:t>
      </w:r>
    </w:p>
    <w:p w:rsidR="00163957" w:rsidRDefault="00163957" w:rsidP="00163957">
      <w:pPr>
        <w:pStyle w:val="TextoNormal"/>
      </w:pPr>
    </w:p>
    <w:p w:rsidR="00163957" w:rsidRDefault="00163957" w:rsidP="00163957">
      <w:pPr>
        <w:pStyle w:val="TextoNormal"/>
      </w:pPr>
      <w:r>
        <w:t>5. Reglamentariamente el Gobierno establecerá el procedimiento para determinar las reducciones que hayan de aplicarse en la facturación a abonar por los usuarios si se constatara que la calidad del servicio individual prestado por la empresa es inferior a la reglamentariamente exigible.”</w:t>
      </w:r>
    </w:p>
    <w:p w:rsidR="00163957" w:rsidRDefault="00163957" w:rsidP="00163957">
      <w:pPr>
        <w:pStyle w:val="TextoNormal"/>
      </w:pPr>
    </w:p>
    <w:p w:rsidR="00163957" w:rsidRDefault="00163957" w:rsidP="00163957">
      <w:pPr>
        <w:pStyle w:val="TextoNormal"/>
      </w:pPr>
      <w:r>
        <w:t>Las quejas del Gobierno de la Generalitat de Cataluña se centran en que el precepto, al regular la calidad del suministro, lo hace de forma tan detallada y completa, incluyendo remisiones reglamentarias, que no deja margen a la Generalitat para ejercer su competencia compartida para legislar y establecer unos criterios de calidad adecuados a las características de la red eléctrica de Cataluña. El Abogado del Estado ha considerado que la regulación de la calidad del suministro se inserta en las competencias estatales de los arts. 149.1.13 y 25 CE, señalando que el artículo 51 no excede de los contornos de la normativa básica en cuanto persigue establecer índices o parámetros mínimos de calidad del servicio.</w:t>
      </w:r>
    </w:p>
    <w:p w:rsidR="00163957" w:rsidRDefault="00163957" w:rsidP="00163957">
      <w:pPr>
        <w:pStyle w:val="TextoNormal"/>
      </w:pPr>
    </w:p>
    <w:p w:rsidR="00163957" w:rsidRDefault="00163957" w:rsidP="00163957">
      <w:pPr>
        <w:pStyle w:val="TextoNormal"/>
      </w:pPr>
      <w:r>
        <w:t xml:space="preserve">La delimitación de competencias en materia de calidad del suministro eléctrico entre el Estado y la Comunidad Autónoma de Cataluña determina que al Estado corresponda el establecimiento de las bases </w:t>
      </w:r>
      <w:r w:rsidRPr="00163957">
        <w:rPr>
          <w:i/>
        </w:rPr>
        <w:t>ex</w:t>
      </w:r>
      <w:r>
        <w:t xml:space="preserve"> arts. 149.1.13 y 25 CE, en tanto que se trata de asegurar un parámetro técnico del sector eléctrico como es la calidad del suministro que también puede tener incidencia en la definición de su régimen económico (así, STC 148/2011, FJ 7). Por su parte, el art. 133.1 c) EAC atribuye a la Comunidad Autónoma la competencia para “el desarrollo de las normas complementarias de calidad de los servicios de suministro de energía”, en un sentido similar al examinado en la STC 4/2013, FJ 2, allí en relación al Estatuto de Autonomía de Extremadura.</w:t>
      </w:r>
    </w:p>
    <w:p w:rsidR="00163957" w:rsidRDefault="00163957" w:rsidP="00163957">
      <w:pPr>
        <w:pStyle w:val="TextoNormal"/>
      </w:pPr>
    </w:p>
    <w:p w:rsidR="00163957" w:rsidRDefault="00163957" w:rsidP="00163957">
      <w:pPr>
        <w:pStyle w:val="TextoNormal"/>
      </w:pPr>
      <w:r>
        <w:t xml:space="preserve">Siendo ésta la delimitación competencial en la materia, la doctrina de la mencionada STC 4/2013, FJ 5, conduce a la desestimación de la impugnación. En la mencionada Sentencia el Tribunal consideró que la regulación de la entonces vigente Ley 54/1997 y, en especial, su artículo 48, que no presenta sustanciales diferencias, salvo lo que inmediatamente se dirá, con el impugnado art. 51 LSE, era, además de indudablemente básica desde la perspectiva </w:t>
      </w:r>
      <w:r>
        <w:lastRenderedPageBreak/>
        <w:t xml:space="preserve">formal, merecedora de esa misma calificación desde un punto de vista material, por cuanto declaramos, que se regulaban “…aspectos relacionados con la continuidad y la calidad en el suministro eléctrico que constituyen un común normativo necesario para asegurar el principio de garantía del suministro de energía eléctrica a todos los demandantes del mismo, con la necesaria continuidad y calidad, principio proclamado en el art. 10.1 de la Ley del sector eléctrico y cuyo carácter básico hemos declarado en la STC 18/2011, FJ 8. Por otro lado, el establecimiento de unas determinadas medidas de calidad del suministro de energía eléctrica constituye también, como ya hemos señalado en la STC 148/2011, FFJJ 6 y 8 </w:t>
      </w:r>
      <w:r w:rsidRPr="00163957">
        <w:rPr>
          <w:i/>
        </w:rPr>
        <w:t>in fine</w:t>
      </w:r>
      <w:r>
        <w:t>, una garantía tanto para los consumidores como para el correcto funcionamiento de los diferentes sectores de la economía nacional. Por ello, estos preceptos presentan también una clara dimensión básica desde la perspectiva material”.</w:t>
      </w:r>
    </w:p>
    <w:p w:rsidR="00163957" w:rsidRDefault="00163957" w:rsidP="00163957">
      <w:pPr>
        <w:pStyle w:val="TextoNormal"/>
      </w:pPr>
    </w:p>
    <w:p w:rsidR="00163957" w:rsidRDefault="00163957" w:rsidP="00163957">
      <w:pPr>
        <w:pStyle w:val="TextoNormal"/>
      </w:pPr>
      <w:r>
        <w:t>La aludida identidad material entre el art. 51 LSE y el art. 48 de la Ley 54/1997 hace que debamos alcanzar la misma conclusión, pues dicho precepto concreta el mandato contenido en el art. 3.11, en relación con el art. 1, LSE relativo al establecimiento de los requisitos de calidad que han de regir el suministro de energía eléctrica, teniendo en cuenta la necesidad de garantizarlo y adecuarlo a las necesidades de los consumidores. Conclusión que también se extiende a algunos aspectos incluidos ahora en la norma estatal, como es el caso del artículo 51.1, en cuanto alude a los distintos elementos que integran la calidad del suministro eléctrico que ya fueron considerados básicos en la STC 4/2013, así como a la mención del apartado 4 al requerimiento a formular por la Administración general del Estado, pues con ello para nada se impiden las actuaciones que pudieran llevar a cabo las Comunidades Autónomas en el ejercicio de sus competencias.</w:t>
      </w:r>
    </w:p>
    <w:p w:rsidR="00163957" w:rsidRDefault="00163957" w:rsidP="00163957">
      <w:pPr>
        <w:pStyle w:val="TextoNormal"/>
      </w:pPr>
    </w:p>
    <w:p w:rsidR="00163957" w:rsidRDefault="00163957" w:rsidP="00163957">
      <w:pPr>
        <w:pStyle w:val="TextoNormal"/>
      </w:pPr>
      <w:r>
        <w:t xml:space="preserve">Por lo que respecta a las remisiones reglamentarias del artículo 51 ha de advertirse, en primer lugar, que el mero hecho de que existan, único aspecto sobre el que es posible ahora pronunciarse, no determina por esa razón su inconstitucionalidad. Nuestra doctrina ha admitido con naturalidad la colaboración reglamentaria en esta materia, aludiendo al todavía vigente Real Decreto 1955/2000, de 1 de diciembre, por el que se regulan las actividades de transporte, distribución, comercialización suministro y procedimientos de autorización de instalaciones de energía eléctrica. Así, afirmamos que, desde un punto de vista formal, “la intervención del reglamento en la delimitación de lo básico se justifica porque la propia norma legal lo reclama para completar la regulación de la disciplina básica por ella definida y conseguir la exigible calidad y seguridad en el suministro, así como también por su carácter marcadamente técnico, justificativo de su tratamiento por normas reglamentarias” (STC 4/2013, FJ 5). Por su parte, esa Sentencia y fundamento jurídico, alcanzamos la misma conclusión desde un punto de vista material, ya que afirmamos que “estos preceptos tienen como finalidad garantizar la calidad adecuada en el suministro de energía eléctrica a todos los usuarios ya sean éstos particulares u operadores de los distintos sectores económicos mediante la fijación de umbrales de calidad. La importancia de la necesaria garantía de calidad en el ordenado suministro de energía eléctrica, recurso esencial e imprescindible tanto para los ciudadanos particulares como para el conjunto de los sectores económicos, justifica, así, su carácter básico. Más en concreto la diferenciación zonal establecida en el art. 99 del Real Decreto 1955/2000 encuentra su justificación en la directa relación existente entre la mayor densidad de población y la disponibilidad de infraestructuras de la red de distribución, lo que permite atender el suministro de energía eléctrica desde distintos puntos. Así, una vez establecido el derecho de todos los consumidores al suministro eléctrico, es normal que los requerimientos en materia de calidad se incrementen en la medida en que lo permitan </w:t>
      </w:r>
      <w:r>
        <w:lastRenderedPageBreak/>
        <w:t>las disponibilidades técnicas, en particular en lo relativo a las instalaciones de distribución. Ello sin perjuicio de que, en todo caso, esta calidad exigible se encuentra vinculada, como ya hemos mencionado, a la prestación obligatoria del suministro, derivado de su carácter de servicio esencial (art. 2.2 de la Ley del sector eléctrico), y a la correlativa garantía del suministro de energía eléctrica del art. 10.1 de la Ley del sector eléctrico”.</w:t>
      </w:r>
    </w:p>
    <w:p w:rsidR="00163957" w:rsidRDefault="00163957" w:rsidP="00163957">
      <w:pPr>
        <w:pStyle w:val="TextoNormal"/>
      </w:pPr>
    </w:p>
    <w:p w:rsidR="00163957" w:rsidRDefault="00163957" w:rsidP="00163957">
      <w:pPr>
        <w:pStyle w:val="TextoNormal"/>
      </w:pPr>
      <w:r>
        <w:t>Lo anterior no es óbice, como es obvio, para que, llegado el caso, un eventual desarrollo reglamentario del artículo 51 pueda ser controlado por las vías procedentes, bien ante la jurisdicción ordinaria o ante este Tribunal.</w:t>
      </w:r>
    </w:p>
    <w:p w:rsidR="00163957" w:rsidRDefault="00163957" w:rsidP="00163957">
      <w:pPr>
        <w:pStyle w:val="TextoNormal"/>
      </w:pPr>
    </w:p>
    <w:p w:rsidR="00163957" w:rsidRDefault="00163957" w:rsidP="00163957">
      <w:pPr>
        <w:pStyle w:val="TextoNormal"/>
      </w:pPr>
      <w:r>
        <w:t>En conclusión no queda sino desestimar la impugnación del art. 51 LSE.</w:t>
      </w:r>
    </w:p>
    <w:p w:rsidR="00163957" w:rsidRDefault="00163957" w:rsidP="00163957">
      <w:pPr>
        <w:pStyle w:val="TextoNormal"/>
      </w:pPr>
    </w:p>
    <w:p w:rsidR="00163957" w:rsidRDefault="00163957" w:rsidP="00163957">
      <w:pPr>
        <w:pStyle w:val="TextoNormal"/>
      </w:pPr>
      <w:r w:rsidRPr="00163957">
        <w:rPr>
          <w:rStyle w:val="NumeroAFNegritaCaracter"/>
        </w:rPr>
        <w:t>13</w:t>
      </w:r>
      <w:r>
        <w:t>. El último precepto impugnado es el art. 52.4, que dispone lo siguiente:</w:t>
      </w:r>
    </w:p>
    <w:p w:rsidR="00163957" w:rsidRDefault="00163957" w:rsidP="00163957">
      <w:pPr>
        <w:pStyle w:val="TextoNormal"/>
      </w:pPr>
    </w:p>
    <w:p w:rsidR="00163957" w:rsidRDefault="00163957" w:rsidP="00163957">
      <w:pPr>
        <w:pStyle w:val="TextoNormal"/>
      </w:pPr>
      <w:r>
        <w:t>“Artículo 52. Suspensión del suministro</w:t>
      </w:r>
    </w:p>
    <w:p w:rsidR="00163957" w:rsidRDefault="00163957" w:rsidP="00163957">
      <w:pPr>
        <w:pStyle w:val="TextoNormal"/>
      </w:pPr>
    </w:p>
    <w:p w:rsidR="00163957" w:rsidRDefault="00163957" w:rsidP="00163957">
      <w:pPr>
        <w:pStyle w:val="TextoNormal"/>
      </w:pPr>
      <w:r>
        <w:t>4. Se podrán considerar suministros esenciales aquellos suministros que cumplan alguno de los siguientes criterios:</w:t>
      </w:r>
    </w:p>
    <w:p w:rsidR="00163957" w:rsidRDefault="00163957" w:rsidP="00163957">
      <w:pPr>
        <w:pStyle w:val="TextoNormal"/>
      </w:pPr>
    </w:p>
    <w:p w:rsidR="00163957" w:rsidRDefault="00163957" w:rsidP="00163957">
      <w:pPr>
        <w:pStyle w:val="TextoNormal"/>
      </w:pPr>
      <w:r>
        <w:t>a) Alumbrado público a cargo de las administraciones públicas. No se incluyen los alumbrados ornamentales de plazas, monumentos, fuentes o de cualquier otro edificio o sitio de interés.</w:t>
      </w:r>
    </w:p>
    <w:p w:rsidR="00163957" w:rsidRDefault="00163957" w:rsidP="00163957">
      <w:pPr>
        <w:pStyle w:val="TextoNormal"/>
      </w:pPr>
    </w:p>
    <w:p w:rsidR="00163957" w:rsidRDefault="00163957" w:rsidP="00163957">
      <w:pPr>
        <w:pStyle w:val="TextoNormal"/>
      </w:pPr>
      <w:r>
        <w:t>b) Suministro de aguas para el consumo humano a través de red.</w:t>
      </w:r>
    </w:p>
    <w:p w:rsidR="00163957" w:rsidRDefault="00163957" w:rsidP="00163957">
      <w:pPr>
        <w:pStyle w:val="TextoNormal"/>
      </w:pPr>
    </w:p>
    <w:p w:rsidR="00163957" w:rsidRDefault="00163957" w:rsidP="00163957">
      <w:pPr>
        <w:pStyle w:val="TextoNormal"/>
      </w:pPr>
      <w:r>
        <w:t>c) Acuartelamientos e instituciones directamente vinculadas a la defensa nacional, a las fuerzas y cuerpos de seguridad, a los bomberos, a protección civil y a la policía municipal, salvo las construcciones dedicadas a viviendas, economato y zonas de recreo de su personal.</w:t>
      </w:r>
    </w:p>
    <w:p w:rsidR="00163957" w:rsidRDefault="00163957" w:rsidP="00163957">
      <w:pPr>
        <w:pStyle w:val="TextoNormal"/>
      </w:pPr>
    </w:p>
    <w:p w:rsidR="00163957" w:rsidRDefault="00163957" w:rsidP="00163957">
      <w:pPr>
        <w:pStyle w:val="TextoNormal"/>
      </w:pPr>
      <w:r>
        <w:t>d) Centros penitenciarios, pero no así sus anejos dedicados a la población no reclusa, así como sedes de Juzgados y Tribunales.</w:t>
      </w:r>
    </w:p>
    <w:p w:rsidR="00163957" w:rsidRDefault="00163957" w:rsidP="00163957">
      <w:pPr>
        <w:pStyle w:val="TextoNormal"/>
      </w:pPr>
    </w:p>
    <w:p w:rsidR="00163957" w:rsidRDefault="00163957" w:rsidP="00163957">
      <w:pPr>
        <w:pStyle w:val="TextoNormal"/>
      </w:pPr>
      <w:r>
        <w:t>e) Transportes de servicio público y sus equipamientos y las instalaciones dedicadas directamente a la seguridad del tráfico terrestre, marítimo o aéreo.</w:t>
      </w:r>
    </w:p>
    <w:p w:rsidR="00163957" w:rsidRDefault="00163957" w:rsidP="00163957">
      <w:pPr>
        <w:pStyle w:val="TextoNormal"/>
      </w:pPr>
    </w:p>
    <w:p w:rsidR="00163957" w:rsidRDefault="00163957" w:rsidP="00163957">
      <w:pPr>
        <w:pStyle w:val="TextoNormal"/>
      </w:pPr>
      <w:r>
        <w:t>f) Centros sanitarios en que existan quirófanos, salas de curas y aparatos de alimentación eléctrica acoplables a los pacientes.</w:t>
      </w:r>
    </w:p>
    <w:p w:rsidR="00163957" w:rsidRDefault="00163957" w:rsidP="00163957">
      <w:pPr>
        <w:pStyle w:val="TextoNormal"/>
      </w:pPr>
    </w:p>
    <w:p w:rsidR="00163957" w:rsidRDefault="00163957" w:rsidP="00163957">
      <w:pPr>
        <w:pStyle w:val="TextoNormal"/>
      </w:pPr>
      <w:r>
        <w:t>g) Hospitales.</w:t>
      </w:r>
    </w:p>
    <w:p w:rsidR="00163957" w:rsidRDefault="00163957" w:rsidP="00163957">
      <w:pPr>
        <w:pStyle w:val="TextoNormal"/>
      </w:pPr>
    </w:p>
    <w:p w:rsidR="00163957" w:rsidRDefault="00163957" w:rsidP="00163957">
      <w:pPr>
        <w:pStyle w:val="TextoNormal"/>
      </w:pPr>
      <w:r>
        <w:t>h) Servicios funerarios.</w:t>
      </w:r>
    </w:p>
    <w:p w:rsidR="00163957" w:rsidRDefault="00163957" w:rsidP="00163957">
      <w:pPr>
        <w:pStyle w:val="TextoNormal"/>
      </w:pPr>
    </w:p>
    <w:p w:rsidR="00163957" w:rsidRDefault="00163957" w:rsidP="00163957">
      <w:pPr>
        <w:pStyle w:val="TextoNormal"/>
      </w:pPr>
      <w:r>
        <w:t>i) Aquellos suministros de ámbito doméstico en los que exista constancia documental formalizada por personal médico de que el suministro de energía eléctrica es imprescindible para la alimentación de un equipo médico que resulte indispensable para mantener con vida a una persona. En todo caso estos suministros se circunscribirán a personas físicas en su vivienda habitual.</w:t>
      </w:r>
    </w:p>
    <w:p w:rsidR="00163957" w:rsidRDefault="00163957" w:rsidP="00163957">
      <w:pPr>
        <w:pStyle w:val="TextoNormal"/>
      </w:pPr>
    </w:p>
    <w:p w:rsidR="00163957" w:rsidRDefault="00163957" w:rsidP="00163957">
      <w:pPr>
        <w:pStyle w:val="TextoNormal"/>
      </w:pPr>
      <w:r>
        <w:lastRenderedPageBreak/>
        <w:t>En ningún caso podrá suspenderse el suministro de energía eléctrica a aquellas instalaciones cuyos servicios hayan sido declarados como esenciales de conformidad con esta ley.</w:t>
      </w:r>
    </w:p>
    <w:p w:rsidR="00163957" w:rsidRDefault="00163957" w:rsidP="00163957">
      <w:pPr>
        <w:pStyle w:val="TextoNormal"/>
      </w:pPr>
    </w:p>
    <w:p w:rsidR="00163957" w:rsidRDefault="00163957" w:rsidP="00163957">
      <w:pPr>
        <w:pStyle w:val="TextoNormal"/>
      </w:pPr>
      <w:r>
        <w:t>Las empresas distribuidoras o comercializadoras podrán aplicar recargos o afectar los pagos que perciban de aquellos de sus clientes que tengan suministros vinculados a servicios declarados como esenciales en situación de morosidad, al abono de las facturas correspondientes a dichos servicios, con independencia de la asignación que el cliente, público o privado, hubiera atribuido a estos pagos".</w:t>
      </w:r>
    </w:p>
    <w:p w:rsidR="00163957" w:rsidRDefault="00163957" w:rsidP="00163957">
      <w:pPr>
        <w:pStyle w:val="TextoNormal"/>
      </w:pPr>
    </w:p>
    <w:p w:rsidR="00163957" w:rsidRDefault="00163957" w:rsidP="00163957">
      <w:pPr>
        <w:pStyle w:val="TextoNormal"/>
      </w:pPr>
      <w:r>
        <w:t>La tacha que se formula a este precepto se centra en que la regulación establecida por la Ley del sector eléctrico no deja margen a la Generalitat para dictar sus propias disposiciones tendentes a ampliar el catálogo de servicios considerados esenciales en su ámbito territorial. El Abogado del Estado ha argumentado que las normas sobre continuidad y calidad del suministro eléctrico son normas básicas y que la alteración del régimen contractual entre el comercializador y el consumidor afecta al régimen económico del sector, en la medida en que determina una alteración en la retribución pactada.</w:t>
      </w:r>
    </w:p>
    <w:p w:rsidR="00163957" w:rsidRDefault="00163957" w:rsidP="00163957">
      <w:pPr>
        <w:pStyle w:val="TextoNormal"/>
      </w:pPr>
    </w:p>
    <w:p w:rsidR="00163957" w:rsidRDefault="00163957" w:rsidP="00163957">
      <w:pPr>
        <w:pStyle w:val="TextoNormal"/>
      </w:pPr>
      <w:r>
        <w:t>El hecho de calificar un suministro como “esencial” implica, conforme al propio artículo 52.4, la aplicación de un régimen específico y diferenciado consistente en la prohibición de suspender el suministro de energía eléctrica a las instalaciones cuyos servicios hayan sido así declarados y en reconocer la posibilidad de que las empresas distribuidoras o comercializadoras puedan aplicar un recargo o afectar los pagos que perciban de los clientes que tengan suministros vinculados a servicios esenciales en situación de morosidad al abono de las facturas correspondientes a estos servicios.</w:t>
      </w:r>
    </w:p>
    <w:p w:rsidR="00163957" w:rsidRDefault="00163957" w:rsidP="00163957">
      <w:pPr>
        <w:pStyle w:val="TextoNormal"/>
      </w:pPr>
    </w:p>
    <w:p w:rsidR="00163957" w:rsidRDefault="00163957" w:rsidP="00163957">
      <w:pPr>
        <w:pStyle w:val="TextoNormal"/>
      </w:pPr>
      <w:r>
        <w:t>En el examen de la queja formulada debemos descartar, en primer lugar, que el hecho de que el precepto establezca una serie de criterios respecto a los supuestos que pueden ser calificados como esenciales no significa que, por sí mismos, se produzca la afectación al régimen económico del sector que ha sido alegada por el Abogado del Estado. Los sujetos afectados por esta ininterrumpibilidad son los comercializadores, cuya actividad no tiene el calificativo legal de regulada y cuyo interés en cobrar sus créditos resulta asegurada por las acciones jurisdiccionales de que disponen, y, además, por la regla establecida en el propio texto legal, a través de la que, como se ha mencionado anteriormente, pueden afectar cualquier pago del titular del servicio al abono de las facturas impagadas de servicios esenciales. Por otra parte, el hecho de que algunos de los comercializadores, como los de referencia, obtengan su retribución mediante precios fijados administrativamente en nada afecta a lo anterior por cuanto los obligados al pago son los consumidores y no el resto de los sujetos del sistema, que se retribuyen con cargo a su régimen económico específico.</w:t>
      </w:r>
    </w:p>
    <w:p w:rsidR="00163957" w:rsidRDefault="00163957" w:rsidP="00163957">
      <w:pPr>
        <w:pStyle w:val="TextoNormal"/>
      </w:pPr>
    </w:p>
    <w:p w:rsidR="00163957" w:rsidRDefault="00163957" w:rsidP="00163957">
      <w:pPr>
        <w:pStyle w:val="TextoNormal"/>
      </w:pPr>
      <w:r>
        <w:t>Señalado lo anterior hay que tener en cuenta que, conforme a su tenor literal, el precepto impugnado, bien que con una técnica legislativa ciertamente mejorable, establece, al igual que sus antecedentes inmediatos (arts. 50.3 de la Ley 54/1997 y 89 del Real Decreto 1955/2000), una serie de “criterios”, a partir de los cuales es posible considerar como esencial el suministro de energía eléctrica a determinados edificios o instalaciones. Según su tenor y finalidad, el precepto encaja con naturalidad en el concepto de bases del sector eléctrico en la medida en que se relaciona con uno de los principios que lo rige, el de garantía del suministro, que, en este caso, es absoluta, como ya hemos indicado.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14</w:t>
      </w:r>
      <w:r>
        <w:t>. Por último, la impugnación por conexión de la disposición final segunda que enuncia los títulos competenciales que habilitan al Estado para aprobar la Ley del sector eléctrico ha de resolverse en consonancia con las conclusiones alcanzadas en los anteriores fundamentos jurídicos, procediendo, por tanto, su desestimación.</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Declarar que los arts. 3.13 a) y 43.5 de la Ley 24/2013, de 26 de diciembre, del sector eléctrico, son conformes con la Constitución interpretados en los términos señalados en los fundamentos jurídico 5 y 10, respectivamente.</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dieciocho de febrero de dos mil dieciséis.</w:t>
      </w:r>
    </w:p>
    <w:p w:rsidR="00163957" w:rsidRDefault="00163957" w:rsidP="00163957">
      <w:pPr>
        <w:pStyle w:val="ParrafoNormal"/>
      </w:pPr>
    </w:p>
    <w:p w:rsidR="00163957" w:rsidRDefault="00163957" w:rsidP="00163957">
      <w:pPr>
        <w:pStyle w:val="TextoNormalNegritaCentrado"/>
        <w:keepNext/>
      </w:pPr>
      <w:r>
        <w:t>Voto particular que formula la Magistrada doña Adela Asua Batarrita a la Sentencia dictada en el recurso de inconstitucionalidad núm. 1908-2014.</w:t>
      </w:r>
    </w:p>
    <w:p w:rsidR="00163957" w:rsidRDefault="00163957" w:rsidP="00163957">
      <w:pPr>
        <w:pStyle w:val="TextoNormalNegritaCentrado"/>
        <w:keepNext/>
      </w:pPr>
    </w:p>
    <w:p w:rsidR="00163957" w:rsidRDefault="00163957" w:rsidP="00163957">
      <w:pPr>
        <w:pStyle w:val="TextoNormal"/>
      </w:pPr>
      <w:r>
        <w:t>Pese a haber sido Ponente de esta Sentencia, en la que se recoge la posición sustentada por la mayoría del Tribunal, debo manifestar, acogiéndome a la facultad establecida en el art. 90.2 de la Ley Orgánica del Tribunal Constitucional, mi respetuosa discrepancia con una parte de la misma, y por ello con el fallo, en atención a las razones que defendí durante su deliberación en el Pleno y que paso a exponer a continuación.</w:t>
      </w:r>
    </w:p>
    <w:p w:rsidR="00163957" w:rsidRDefault="00163957" w:rsidP="00163957">
      <w:pPr>
        <w:pStyle w:val="TextoNormal"/>
      </w:pPr>
    </w:p>
    <w:p w:rsidR="00163957" w:rsidRDefault="00163957" w:rsidP="00163957">
      <w:pPr>
        <w:pStyle w:val="TextoNormal"/>
      </w:pPr>
      <w:r>
        <w:t>2. Discrepo exclusivamente del fundamento jurídico 10 en el que se analiza el art. 43.5 de la Ley del sector eléctrico (LSE) y se llega una interpretación de conformidad con el orden constitucional de distribución de competencias que se traslada también al fallo.</w:t>
      </w:r>
    </w:p>
    <w:p w:rsidR="00163957" w:rsidRDefault="00163957" w:rsidP="00163957">
      <w:pPr>
        <w:pStyle w:val="TextoNormal"/>
      </w:pPr>
    </w:p>
    <w:p w:rsidR="00163957" w:rsidRDefault="00163957" w:rsidP="00163957">
      <w:pPr>
        <w:pStyle w:val="TextoNormal"/>
      </w:pPr>
      <w:r>
        <w:t>El citado precepto establece un procedimiento específico por razón de la materia de energía eléctrica, encaminado a resolver las controversias entre los usuarios finales que sean personas físicas y las empresas suministradoras, siempre y cuando se cumplan dos condiciones: la primera, que la controversia afecte a sus específicos derechos como usuarios finales, lo que incluye todos los previstos en la LSE; y la segunda, que la controversia esté regulada por la normativa referente a la protección específica de los usuarios finales de energía eléctrica. Este art. 43.5 trae causa de la previsión contemplada en la Directiva 2009/72/CE, de 13 de julio, sobre normas comunes para el mercado interior de la electricidad, en su art. 3, en relación con el anexo I que contempla la necesidad de establecer un mecanismo específico de protección de los usuarios de energía eléctrica. Previsión cuya obligación de trasposición al ordenamiento español se lleva a cabo precisamente mediante el referido art. 43.5 LSE.</w:t>
      </w:r>
    </w:p>
    <w:p w:rsidR="00163957" w:rsidRDefault="00163957" w:rsidP="00163957">
      <w:pPr>
        <w:pStyle w:val="TextoNormal"/>
      </w:pPr>
    </w:p>
    <w:p w:rsidR="00163957" w:rsidRDefault="00163957" w:rsidP="00163957">
      <w:pPr>
        <w:pStyle w:val="TextoNormal"/>
      </w:pPr>
      <w:r>
        <w:t>El objeto de la discusión no era aquí la competencia estatal para regular este mecanismo en términos de su establecimiento general, sino algo mucho más concreto, determinar a qué instancia territorial corresponde aplicarlo una vez que ha sido establecido por el Estado.</w:t>
      </w:r>
    </w:p>
    <w:p w:rsidR="00163957" w:rsidRDefault="00163957" w:rsidP="00163957">
      <w:pPr>
        <w:pStyle w:val="TextoNormal"/>
      </w:pPr>
    </w:p>
    <w:p w:rsidR="00163957" w:rsidRDefault="00163957" w:rsidP="00163957">
      <w:pPr>
        <w:pStyle w:val="TextoNormal"/>
      </w:pPr>
      <w:r>
        <w:t>Frente a la impugnación de la Generalitat de Cataluña que reclama su competencia en este punto, la Sentencia de la mayoría defiende que tanto el Estado como las Comunidades Autónomas ostentan competencias ejecutivas al respecto, y desestima la queja acudiendo a una interpretación conforme del art. 43.5 basada en dos consideraciones: a) no puede excluirse de plano la aplicación de este mecanismo a controversias que incidan en el correcto funcionamiento del sistema eléctrico en su conjunto dado el principio de red única del sistema eléctrico, lo que trasciende del ámbito autonómico y afectaría por tanto al régimen económico del sector; y b) la atribución a un órgano estatal de esta función se hace “sin perjuicio de las competencias del resto de Administraciones Públicas”.</w:t>
      </w:r>
    </w:p>
    <w:p w:rsidR="00163957" w:rsidRDefault="00163957" w:rsidP="00163957">
      <w:pPr>
        <w:pStyle w:val="TextoNormal"/>
      </w:pPr>
    </w:p>
    <w:p w:rsidR="00163957" w:rsidRDefault="00163957" w:rsidP="00163957">
      <w:pPr>
        <w:pStyle w:val="TextoNormal"/>
      </w:pPr>
      <w:r>
        <w:t>3. Ninguna de las dos razones me resulta convincente a la hora de excluir la vulneración competencial que se denunciaba, pues lo que ha sucedido aquí es que el Estado no solo ha regulado el referido mecanismo de protección reforzada de los consumidores finales, con especial atención a los consumidores vulnerables, sino que al hacerlo ha asumido igualmente la responsabilidad de su aplicación, atribuyéndose facultades ejecutivas que no le correspondían y, vinculado con ellas, la de establecer el procedimiento.</w:t>
      </w:r>
    </w:p>
    <w:p w:rsidR="00163957" w:rsidRDefault="00163957" w:rsidP="00163957">
      <w:pPr>
        <w:pStyle w:val="TextoNormal"/>
      </w:pPr>
    </w:p>
    <w:p w:rsidR="00163957" w:rsidRDefault="00163957" w:rsidP="00163957">
      <w:pPr>
        <w:pStyle w:val="TextoNormal"/>
      </w:pPr>
      <w:r>
        <w:t>En efecto, en cuanto a la primera de las razones, además de que no aparece mínimamente concretada en relación a las controversias para las que se establece este mecanismo, creo que la Sentencia de la mayoría obvia que, al limitarse a las que planteen las personas físicas en relación con sus suministros, no pone en cuestión el mantenimiento y efectividad del régimen económico del sector, el cual, en principio, sólo se vería concernido en lo relativo a los denominados “precio voluntario para el pequeño consumidor” y “tarifa de último recurso” previstas en el art. 17 LSE. Además, las posibles medidas a adoptar se circunscriben, en principio, “a ordenar la devolución de importes indebidamente facturados y, en general, disponer cuantas medidas tiendan a restituir al interesado en sus derechos e intereses legítimos, incluyendo la posibilidad de reembolso y compensación por los gastos y perjuicios que se hubiesen podido generar”, lo que difícilmente puede poner en riesgo la estabilidad de dicho régimen, que, en todo caso, corresponde establecer al Estado. Por otra parte la Sentencia de la mayoría no tiene en cuenta la doctrina de la STC 148/2011, de 28 de septiembre, FJ 5, cuando señala que las competencias estatales sobre esta materia no pueden ser entendidas en el sentido de que pueden establecer una suerte de límite al ejercicio de las competencias autonómica. Precisamente el carácter individual de las reclamaciones y el hecho de que se trate de usuarios finales que sean personas físicas, conducen a excluir la posibilidad de afectación del principio básico de garantía del suministro de energía eléctrica que al Estado corresponde asegurar.</w:t>
      </w:r>
    </w:p>
    <w:p w:rsidR="00163957" w:rsidRDefault="00163957" w:rsidP="00163957">
      <w:pPr>
        <w:pStyle w:val="TextoNormal"/>
      </w:pPr>
    </w:p>
    <w:p w:rsidR="00163957" w:rsidRDefault="00163957" w:rsidP="00163957">
      <w:pPr>
        <w:pStyle w:val="TextoNormal"/>
      </w:pPr>
      <w:r>
        <w:t xml:space="preserve">Por otro lado, el precepto no se sitúa en esa vertiente de garantía de la calidad, ni siquiera en el de la regulación de las consecuencias derivadas de su incumplimiento sino en un plano mucho más concreto, la compensación a determinados usuarios finales una vez constatada la infracción de los derechos que tienen específicamente reconocidos en la regulación del sistema eléctrico. Por eso, la Sentencia hubiera debido relacionar los sujetos a los que este mecanismo de protección va dirigido, usuarios finales que sean personas físicas, con los </w:t>
      </w:r>
      <w:r>
        <w:lastRenderedPageBreak/>
        <w:t>derechos que a esos usuarios les reconoce la LSE, específicamente en el art. 44. De hecho, la Sentencia se ve obligada a reconocer que la mayor parte de esos derechos tienen relación con las competencias autonómicas. Lo que no explica, es cuáles son esa “menor parte” de los derechos cuya vulneración podría alcanzar tal entidad que, en su ejercicio por consumidores finales que sean personas físicas, afectaría a la unidad del régimen económico del sector o al principio de garantía del suministro, que es lo que en su razonamiento, justificaría la asunción de competencias ejecutivas por el Estado. Por lo que el argumento de la posibilidad de afectación queda ayuno de sustento concreto y resulta meramente voluntarista. La inevitable consecuencia es la ambigüedad e indeterminación tanto del sistema de resolución de controversias en sí, como de la propia doctrina de la Sentencia que no llega a ofrecer un criterio claro de delimitación de competencias en este concreto aspecto.</w:t>
      </w:r>
    </w:p>
    <w:p w:rsidR="00163957" w:rsidRDefault="00163957" w:rsidP="00163957">
      <w:pPr>
        <w:pStyle w:val="TextoNormal"/>
      </w:pPr>
    </w:p>
    <w:p w:rsidR="00163957" w:rsidRDefault="00163957" w:rsidP="00163957">
      <w:pPr>
        <w:pStyle w:val="TextoNormal"/>
      </w:pPr>
      <w:r>
        <w:t>Menos fundamento justificativo presenta a mi juicio la segunda de las razones aducidas, la posibilidad de que las Comunidades Autónomas establezcan su propio mecanismo. Por una parte, porque al carecer el Estado de competencias ejecutivas en este ámbito falta, de hecho, el presupuesto para que esa cláusula “sin perjuicio” tenga algún sentido y pueda ser operativa. Por otra parte, porque esta solución comporta la indeseada consecuencia de duplicar intervenciones administrativas similares, sin que la Sentencia proporcione criterios claros para evitar actuaciones intercambiables, lo que contradice nuestra doctrina, que ha afirmado “la necesidad de evitar duplicidades burocráticas o el mantenimiento de Administraciones paralelas” (por todas, STC 1/2011, de 14 de febrero, FJ 9, y las allí citadas) de acuerdo con los principios propios del Estado autonómico, entre ellos, los de descentralización y eficacia administrativa (art. 103.1 CE).</w:t>
      </w:r>
    </w:p>
    <w:p w:rsidR="00163957" w:rsidRDefault="00163957" w:rsidP="00163957">
      <w:pPr>
        <w:pStyle w:val="TextoNormal"/>
      </w:pPr>
    </w:p>
    <w:p w:rsidR="00163957" w:rsidRDefault="00163957" w:rsidP="00163957">
      <w:pPr>
        <w:pStyle w:val="TextoNormal"/>
      </w:pPr>
      <w:r>
        <w:t xml:space="preserve">4. Estimo que las conclusiones que aquí alcanza la Sentencia hubieran debido ser coherentes con el punto de partida de su razonamiento. Se parte de la aplicación de la misma </w:t>
      </w:r>
      <w:r w:rsidRPr="00163957">
        <w:rPr>
          <w:i/>
        </w:rPr>
        <w:t>ratio decidendi</w:t>
      </w:r>
      <w:r>
        <w:t xml:space="preserve"> que la de la STC 72/2014, de 8 de mayo, FJ 10, de modo que, encuadrado el mecanismo en el sector material que corresponde (allí las telecomunicaciones, aquí la energía eléctrica), debe resolverse conforme a la delimitación de competencias aplicable en ese sector material. La diferente solución en un caso y otro derivaría, exclusivamente, de que en la STC 72/2014 estábamos ante una competencia exclusiva estatal y en este caso se trata de una competencia compartida en función del binomio bases-desarrollo. Así, de acuerdo con la doctrina que la propia Sentencia cita, la de las SSTC 18/2011, 148/2011 y 102/2013, en un ámbito en el que el Estado ostenta competencias básicas, la reserva de funciones ejecutivas por el Estado es posible, pero se vincula a que esa reserva sea necesaria en la medida en que cumpla una finalidad de garantía de las bases estatales. No obstante, a diferencia de otros supuestos ya examinados por el Tribunal, en los que se veían afectadas la garantía del suministro o el régimen económico del sector, esa vertiente no concurre aquí. Por tanto, al ser una competencia ejecutiva, el Estado no se halla competencialmente habilitado por el art. 149.1.25 CE para reservársela para sí. La conclusión no podía ser otra que la de reconocer que la atribución de la función a un órgano estatal vulnera las competencias autonómicas. Los mismos argumentos son trasladables para la determinación del procedimiento aplicable, pues, en este caso, también la norma básica ha de establecer los criterios generales básicos, pero, respetando éstos, su concreción particular en el procedimiento correspondiente ha de ser asumida por el competente </w:t>
      </w:r>
      <w:r w:rsidRPr="00163957">
        <w:rPr>
          <w:i/>
        </w:rPr>
        <w:t>ratione materiae</w:t>
      </w:r>
      <w:r>
        <w:t xml:space="preserve"> que, en este caso, resultaba ser la Generalitat de Cataluña.</w:t>
      </w:r>
    </w:p>
    <w:p w:rsidR="00163957" w:rsidRDefault="00163957" w:rsidP="00163957">
      <w:pPr>
        <w:pStyle w:val="TextoNormal"/>
      </w:pPr>
    </w:p>
    <w:p w:rsidR="00163957" w:rsidRDefault="00163957" w:rsidP="00163957">
      <w:pPr>
        <w:pStyle w:val="TextoNormal"/>
      </w:pPr>
      <w:r>
        <w:lastRenderedPageBreak/>
        <w:t>Discrepo, por tanto, del enjuiciamiento de la Sentencia, que creo que no encuentra fundamento en las premisas de las que dice partir y supone, una vez más, la reducción del ámbito de atribuciones de las Comunidades Autónomas en una materia en la que, conforme a las reglas constitucionales y estatutarias de distribución de competencias, el reconocimiento de las competencias ejecutivas de la Generalitat de Cataluña no planteaba problema alguno.</w:t>
      </w:r>
    </w:p>
    <w:p w:rsidR="00163957" w:rsidRDefault="00163957" w:rsidP="00163957">
      <w:pPr>
        <w:pStyle w:val="TextoNormal"/>
      </w:pPr>
    </w:p>
    <w:p w:rsidR="00163957" w:rsidRDefault="00163957" w:rsidP="00163957">
      <w:pPr>
        <w:pStyle w:val="TextoNormal"/>
      </w:pPr>
      <w:r>
        <w:t>5. En conclusión, por cuanto acabo de exponer, estimo que la mención al “Ministerio de Industria, Energía y Turismo” y el inciso “que se aprobará por orden del Ministro de Industria, Energía y Turismo” del art. 43.5 LSE, en los que se residenciaba la vulneración competencial son contrarias al orden constitucional de distribución de competencias y, por tanto, debieron ser declarados inconstitucionales y nulos.</w:t>
      </w:r>
    </w:p>
    <w:p w:rsidR="00163957" w:rsidRDefault="00163957" w:rsidP="00163957">
      <w:pPr>
        <w:pStyle w:val="TextoNormal"/>
      </w:pPr>
    </w:p>
    <w:p w:rsidR="00163957" w:rsidRDefault="00163957" w:rsidP="00163957">
      <w:pPr>
        <w:pStyle w:val="TextoNormal"/>
      </w:pPr>
      <w:r>
        <w:t>Y en este sentido emito mi Voto particular.</w:t>
      </w:r>
    </w:p>
    <w:p w:rsidR="00163957" w:rsidRDefault="00163957" w:rsidP="00163957">
      <w:pPr>
        <w:pStyle w:val="TextoNormal"/>
      </w:pPr>
    </w:p>
    <w:p w:rsidR="00163957" w:rsidRDefault="00163957" w:rsidP="00163957">
      <w:pPr>
        <w:pStyle w:val="TextoNormal"/>
      </w:pPr>
      <w:r>
        <w:t>Madrid, a dieciocho de febrero de dos mil dieciséis.</w:t>
      </w:r>
    </w:p>
    <w:p w:rsidR="00163957" w:rsidRDefault="00163957" w:rsidP="00163957">
      <w:pPr>
        <w:pStyle w:val="TextoNormal"/>
      </w:pPr>
    </w:p>
    <w:p w:rsidR="00163957" w:rsidRDefault="00163957" w:rsidP="00163957">
      <w:pPr>
        <w:pStyle w:val="TextoNormalNegritaCentrado"/>
        <w:keepNext/>
      </w:pPr>
      <w:r>
        <w:t>Voto particular que formula el Magistrado don Juan Antonio Xiol Ríos, respecto de la Sentencia dictada en el recurso de inconstitucionalidad núm. 1908-2014, al que se adhiere la Magistrada doña Encarnación Roca Trías y el Magistrado don Fernando Valdés Dal-Ré.</w:t>
      </w:r>
    </w:p>
    <w:p w:rsidR="00163957" w:rsidRDefault="00163957" w:rsidP="00163957">
      <w:pPr>
        <w:pStyle w:val="TextoNormalNegritaCentrado"/>
        <w:keepNext/>
      </w:pPr>
    </w:p>
    <w:p w:rsidR="00163957" w:rsidRDefault="00163957" w:rsidP="00163957">
      <w:pPr>
        <w:pStyle w:val="TextoNormal"/>
      </w:pPr>
      <w:r>
        <w:t>Con el máximo respeto a la decisión mayoritaria en que se funda la sentencia, formulo mi Voto particular discrepante, anunciado en la deliberación.</w:t>
      </w:r>
    </w:p>
    <w:p w:rsidR="00163957" w:rsidRDefault="00163957" w:rsidP="00163957">
      <w:pPr>
        <w:pStyle w:val="TextoNormal"/>
      </w:pPr>
    </w:p>
    <w:p w:rsidR="00163957" w:rsidRDefault="00163957" w:rsidP="00163957">
      <w:pPr>
        <w:pStyle w:val="TextoNormal"/>
      </w:pPr>
      <w:r>
        <w:t>1. Planteamiento. Mi discrepancia se refiere a la conclusión a la que llega la opinión en que se funda la Sentencia sobre la constitucionalidad del art. 43.5 de la Ley del sector eléctrico (LSE) en su fundamento jurídico 10. Este precepto prevé una vía administrativa de resolución de los conflictos que puedan surgir entre los usuarios finales de energía eléctrica que sean personas físicas y las empresas suministradoras y atribuye la competencia para su resolución al Ministerio de Industria, Energía y Turismo.</w:t>
      </w:r>
    </w:p>
    <w:p w:rsidR="00163957" w:rsidRDefault="00163957" w:rsidP="00163957">
      <w:pPr>
        <w:pStyle w:val="TextoNormal"/>
      </w:pPr>
    </w:p>
    <w:p w:rsidR="00163957" w:rsidRDefault="00163957" w:rsidP="00163957">
      <w:pPr>
        <w:pStyle w:val="TextoNormal"/>
      </w:pPr>
      <w:r>
        <w:t>La sentencia declara que el Estado, en virtud de las competencias básicas que le atribuye el art. 149.1 25 CE, y con el fin de proteger los derechos específicos de determinados consumidores en su condición de usuarios finales de energía eléctrica, puede atribuir a un órgano estatal —al Ministerio de Industria, Energía y Turismo— las facultades para resolver las controversias que puedan suscitarse entre estos consumidores y las empresas suministradoras de energía eléctrica.</w:t>
      </w:r>
    </w:p>
    <w:p w:rsidR="00163957" w:rsidRDefault="00163957" w:rsidP="00163957">
      <w:pPr>
        <w:pStyle w:val="TextoNormal"/>
      </w:pPr>
    </w:p>
    <w:p w:rsidR="00163957" w:rsidRDefault="00163957" w:rsidP="00163957">
      <w:pPr>
        <w:pStyle w:val="TextoNormal"/>
      </w:pPr>
      <w:r>
        <w:t xml:space="preserve">Estoy de acuerdo con la opinión en que se funda esta conclusión cuando afirma que el Estado, en virtud del art. 149.1 25 CE, puede establecer una vía administrativa a través de la cual unos determinados consumidores (las personas físicas que sean usuarios finales de energía eléctrica) puedan recurrir en defensa de los derechos que tienen reconocidos específicamente en cuanto usuarios finales, pues este tipo de procedimientos, al tener como finalidad garantizar los derechos de unos determinados consumidores, contribuyen a asegurar la efectividad del propio sistema. Como se declara en la sentencia, el Tribunal llegó a esta conclusión en la STC 72/2014, de 8 de mayo, FJ 10, según la cual el Estado, en virtud de </w:t>
      </w:r>
      <w:r>
        <w:lastRenderedPageBreak/>
        <w:t>las competencias que en materia de telecomunicaciones le atribuye el art. 149.1.21 CE, puede establecer una vía administrativa de resolución de los conflictos que pudieran surgir entre los usuarios finales de servicios de telecomunicaciones y las operadores. Ahora bien, una cosa es que el Estado pueda establecer esta vía de resolución de conflictos y otra muy distinta que el órgano que resuelva estos conflictos haya de ser un órgano estatal, que es en lo que discrepo de la opinión en que se funda la Sentencia.</w:t>
      </w:r>
    </w:p>
    <w:p w:rsidR="00163957" w:rsidRDefault="00163957" w:rsidP="00163957">
      <w:pPr>
        <w:pStyle w:val="TextoNormal"/>
      </w:pPr>
    </w:p>
    <w:p w:rsidR="00163957" w:rsidRDefault="00163957" w:rsidP="00163957">
      <w:pPr>
        <w:pStyle w:val="TextoNormal"/>
      </w:pPr>
      <w:r>
        <w:t>A diferencia del caso resuelto por la STC 72/2014, de 8 de mayo, FJ 10, en el que, al tratarse de telecomunicaciones, la competencia del Estado es exclusiva (art. 149.1.21 CE), en el supuesto que ahora se examina la competencia estatal en materia de energía se limita a las bases (art. 149.1.25 CE). Esta diferencia es perentoria, porque, de acuerdo con la doctrina del Tribunal, las competencias ejecutivas solo pueden considerarse básicas si “están estrechamente vinculadas al mantenimiento y efectividad de las normas de carácter básico’ (STC 102/2013, de 23 de abril, FJ 6)”. Por ello, salvo que concurra esta circunstancia excepcional, las facultades ejecutivas en materia de energía corresponden a las comunidades autónomas que hayan asumido competencias sobre esta materia.</w:t>
      </w:r>
    </w:p>
    <w:p w:rsidR="00163957" w:rsidRDefault="00163957" w:rsidP="00163957">
      <w:pPr>
        <w:pStyle w:val="TextoNormal"/>
      </w:pPr>
    </w:p>
    <w:p w:rsidR="00163957" w:rsidRDefault="00163957" w:rsidP="00163957">
      <w:pPr>
        <w:pStyle w:val="TextoNormal"/>
      </w:pPr>
      <w:r>
        <w:t>La opinión de la que discrepo sostiene que la atribución al Ministerio de Industria, Energía y Turismo de la competencia ejecutiva de resolución de controversias se encuentra dentro de los supuestos excepcionales en los que una competencia ejecutiva puede tener carácter básico al entender, según se recoge en la Sentencia, “que no puede excluirse de plano la aplicación de este mecanismo a controversias que incidan en el correcto funcionamiento del sistema eléctrico en su conjunto dado el principio de red única que lo informa, trascendiendo al ámbito autonómico y afectando con ello al régimen económico del sector”. No obstante, considera que, como el precepto establece que la atribución a un órgano estatal de esta función se hace “sin perjuicio de las competencias del resto de las Administraciones Públicas”, ha de entenderse que solo le corresponde resolver las controversias que susciten en relación con la aplicación de la normativa básica. Por ello la Sentencia declara que este precepto no es “excluyente de las competencias autonómicas en la materia en aquellos supuestos que no estén vinculados a los aspectos básicos que corresponde al Estado garantizar”, y por esta razón afirma que las comunidades autónomas, dentro de su ámbito de competencias, puedan regular asimismo procedimientos de resolución de conflictos.</w:t>
      </w:r>
    </w:p>
    <w:p w:rsidR="00163957" w:rsidRDefault="00163957" w:rsidP="00163957">
      <w:pPr>
        <w:pStyle w:val="TextoNormal"/>
      </w:pPr>
    </w:p>
    <w:p w:rsidR="00163957" w:rsidRDefault="00163957" w:rsidP="00163957">
      <w:pPr>
        <w:pStyle w:val="TextoNormal"/>
      </w:pPr>
      <w:r>
        <w:t>2. La competencia ejecutiva para la resolución de controversias con los usuarios finales corresponde a las comunidades autónomas que la hayan asumido. En mi opinión, la conclusión a que me refiero en el apartado anterior no es correcta. La competencia para resolver los conflictos que puedan suscitarse entre los consumidores de energía eléctrica y las empresas suministradoras no puede considerarse amparada en las bases que corresponden al Estado en esta materia porque estas facultades no constituyen una medida necesaria para asegurar la efectividad de la normativa básica estatal en materia de energía. Según ha sostenido el Tribunal, el régimen jurídico básico del sistema eléctrico “está directamente vinculado a la garantía del suministro y a la indiscutida competencia estatal para retribuir los costes de las actividades del sistema” (STC 148/2011, de 28 de septiembre, FJ 6). Por ello para que en esta materia las funciones ejecutivas puedan tener carácter básico es preciso que las mismas estén directamente vinculadas al suministro o a la determinación del régimen económico del sistema eléctrico.</w:t>
      </w:r>
    </w:p>
    <w:p w:rsidR="00163957" w:rsidRDefault="00163957" w:rsidP="00163957">
      <w:pPr>
        <w:pStyle w:val="TextoNormal"/>
      </w:pPr>
    </w:p>
    <w:p w:rsidR="00163957" w:rsidRDefault="00163957" w:rsidP="00163957">
      <w:pPr>
        <w:pStyle w:val="TextoNormal"/>
      </w:pPr>
      <w:r>
        <w:lastRenderedPageBreak/>
        <w:t>Ninguna de estas circunstancias concurre en el presente caso. Las facultades ejecutivas que ejerce el órgano encargado de resolver estos conflictos no tienen otro alcance que el de enjuiciar si las empresas suministradoras de energía eléctrica han respetado o no los derechos que las normas que regulan este sector reconocen a un tipo determinado de consumidores. En consecuencia, el desempeño de esta actividad de resolución de conflictos por un órgano autonómico no puede poner en riesgo la efectividad de la normativa básica estatal, pues la finalidad de este órgano no es aplicar directamente la referida normativa, sino verificar si su aplicación ha infringido o no los derechos de los usuarios. Su intervención, por tanto, no tiene otro objeto que el de tutelar los derechos de los consumidores y, a estos efectos, resulta irrelevante que el derecho lo reconozca la norma estatal o la autonómica.</w:t>
      </w:r>
    </w:p>
    <w:p w:rsidR="00163957" w:rsidRDefault="00163957" w:rsidP="00163957">
      <w:pPr>
        <w:pStyle w:val="TextoNormal"/>
      </w:pPr>
    </w:p>
    <w:p w:rsidR="00163957" w:rsidRDefault="00163957" w:rsidP="00163957">
      <w:pPr>
        <w:pStyle w:val="TextoNormal"/>
      </w:pPr>
      <w:r>
        <w:t>Deducir, como hace la Sentencia, el carácter básico de estas facultades ejecutivas del hecho de que ante estos órganos puedan plantearse controversias surgidas en aplicación de la normativa básica supone confundir la finalidad para la que se establece este organismo de resolución de conflictos (tutelar los derechos de determinados usuarios) con la finalidad que ha de cumplir la normativa básica en materia de energía (garantizar el suministro de energía eléctrica y la suficiencia económica del sistema), que conlleva el reconocimiento de derechos a los usuarios.</w:t>
      </w:r>
    </w:p>
    <w:p w:rsidR="00163957" w:rsidRDefault="00163957" w:rsidP="00163957">
      <w:pPr>
        <w:pStyle w:val="TextoNormal"/>
      </w:pPr>
    </w:p>
    <w:p w:rsidR="00163957" w:rsidRDefault="00163957" w:rsidP="00163957">
      <w:pPr>
        <w:pStyle w:val="TextoNormal"/>
      </w:pPr>
      <w:r>
        <w:t>No puede contradecirse esta opinión afirmando que, en la medida que estos órganos están garantizando los derechos de los usuarios, su función contribuye a garantizar el correcto funcionamiento del sistema. En efecto, aunque la solución de estas controversias beneficia al sistema en su conjunto, este beneficio se produciría de igual modo si esta función la ejercieran órganos autonómicos. Así lo admite implícitamente la propia sentencia cuando considera que el precepto debe ser interpretado en el sentido de que el mismo no excluye que las comunidades autónomas puedan establecer órganos de este tipo para que tutelen los derechos que les reconoce su normativa específica. La tutela de los derechos de los consumidores redunda en el buen funcionamiento del sistema, tanto si el órgano que los tutela es estatal como si es autonómico y a estos efectos resulta irrelevante que la norma que reconoce el derecho la haya dictado el Estado en ejercicio de sus competencias básicas o la comunidad autónoma en desarrollo de esta normativa.</w:t>
      </w:r>
    </w:p>
    <w:p w:rsidR="00163957" w:rsidRDefault="00163957" w:rsidP="00163957">
      <w:pPr>
        <w:pStyle w:val="TextoNormal"/>
      </w:pPr>
    </w:p>
    <w:p w:rsidR="00163957" w:rsidRDefault="00163957" w:rsidP="00163957">
      <w:pPr>
        <w:pStyle w:val="TextoNormal"/>
      </w:pPr>
      <w:r>
        <w:t>3. Contradicción con la Ley impugnada. Por otra parte, estimo que la solución salomónica que propugna la opinión en que se funda la Sentencia no solo no es acorde con el orden constitucional de distribución de competencias, como acabo de indicar, sino que no resulta coherente con el propio precepto que interpreta. Solo puede acudirse al cauce de resolución de conflictos que establece el art. 43.5 LSE, según dispone expresamente este precepto, en aquellos supuestos en los que las controversias que se susciten no se solventen a través de las entidades de resolución alternativa del litigios en materia de consumo, y estas entidades no tienen su ámbito de cognición limitado a si el derecho que se considera vulnerado lo establece una norma estatal o autonómica.</w:t>
      </w:r>
    </w:p>
    <w:p w:rsidR="00163957" w:rsidRDefault="00163957" w:rsidP="00163957">
      <w:pPr>
        <w:pStyle w:val="TextoNormal"/>
      </w:pPr>
    </w:p>
    <w:p w:rsidR="00163957" w:rsidRDefault="00163957" w:rsidP="00163957">
      <w:pPr>
        <w:pStyle w:val="TextoNormal"/>
      </w:pPr>
      <w:r>
        <w:t xml:space="preserve">4. Problemática en relación con el Derecho europeo. Como la opinión en que se funda la Sentencia interpreta que en esta materia la competencia ejecutiva es compartida, la utilización de este cauce de resolución de conflictos obliga al consumidor a tener que determinar previamente qué órgano es el competente para dirimir la controversia, el estatal o autonómico. Esto va a dificultar en gran medida la efectividad de este sistema de resolución de </w:t>
      </w:r>
      <w:r>
        <w:lastRenderedPageBreak/>
        <w:t>conflictos, pues en muchos casos no será fácil precisar si la infracción que se denuncia vulnera la normativa básica estatal o la autonómica. Esta dificultad hace dudar de que este procedimiento, entendido del modo en el que lo interpreta la Sentencia, sea acorde con la Directiva 2009/72 CE, de 13 de julio, que entre otras cosas requiere que sea “sencillo” y “rápido”. Esas exigencias podrían no cumplirse en este caso, pues el deslinde competencial que debe efectuar el consumidor para determinar ante qué órgano debe interponer su reclamación no es una cuestión fácil, menos para un lego en Derecho, y tampoco está garantizado que pueda hacerse rápidamente, pues no cabe descartar que estos procedimientos terminen con una declaración de incompetencia que deje sin resolver el conflicto o que, resolviéndolo, dé lugar a posibles recursos por falta de competencia de órgano. La norma así interpretada amenaza, en efecto, con propiciar de manera inevitable la introducción de un motivo de impugnación de especial relevancia apto para retrasar la decisión definitiva sobre el fondo.</w:t>
      </w:r>
    </w:p>
    <w:p w:rsidR="00163957" w:rsidRDefault="00163957" w:rsidP="00163957">
      <w:pPr>
        <w:pStyle w:val="TextoNormal"/>
      </w:pPr>
    </w:p>
    <w:p w:rsidR="00163957" w:rsidRDefault="00163957" w:rsidP="00163957">
      <w:pPr>
        <w:pStyle w:val="TextoNormal"/>
      </w:pPr>
      <w:r>
        <w:t>Se trata de un motivo más por el que lamento haber sido vencido en el Pleno.</w:t>
      </w:r>
    </w:p>
    <w:p w:rsidR="00163957" w:rsidRDefault="00163957" w:rsidP="00163957">
      <w:pPr>
        <w:pStyle w:val="TextoNormal"/>
      </w:pPr>
    </w:p>
    <w:p w:rsidR="00163957" w:rsidRDefault="00163957" w:rsidP="00163957">
      <w:pPr>
        <w:pStyle w:val="TextoNormal"/>
      </w:pPr>
      <w:r>
        <w:t>5. Conclusión. En conclusión, a mi juicio la atribución de la competencia para resolver las controversias a que se refiere este Voto al Ministerio de Industria, Energía y Turismo hubiera debido determinar la inconstitucionalidad del pertinente inciso del art. 43.5 LSE por atribuir competencias al Estado sobre facultades ejecutivas que corresponden a las Comunidades Autónomas.</w:t>
      </w:r>
    </w:p>
    <w:p w:rsidR="00163957" w:rsidRDefault="00163957" w:rsidP="00163957">
      <w:pPr>
        <w:pStyle w:val="TextoNormal"/>
      </w:pPr>
    </w:p>
    <w:p w:rsidR="00163957" w:rsidRDefault="00163957" w:rsidP="00163957">
      <w:pPr>
        <w:pStyle w:val="TextoNormal"/>
      </w:pPr>
      <w:r>
        <w:t>Madrid, a dieciocho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36" w:name="SENTENCIA_2016_33"/>
      <w:r>
        <w:lastRenderedPageBreak/>
        <w:t>SENTENCIA 33/2016, de 18 de febrero de 2016</w:t>
      </w:r>
    </w:p>
    <w:bookmarkEnd w:id="36"/>
    <w:p w:rsidR="00163957" w:rsidRDefault="00163957" w:rsidP="00163957">
      <w:pPr>
        <w:pStyle w:val="TtuloResolucin"/>
      </w:pPr>
      <w:r>
        <w:t>Pleno</w:t>
      </w:r>
    </w:p>
    <w:p w:rsidR="00163957" w:rsidRDefault="00163957" w:rsidP="00163957">
      <w:pPr>
        <w:pStyle w:val="TtuloBOE"/>
      </w:pPr>
      <w:r>
        <w:t>(BOE núm. 71, de 23 de marzo de 2016)</w:t>
      </w:r>
    </w:p>
    <w:p w:rsidR="00163957" w:rsidRDefault="00163957" w:rsidP="00163957">
      <w:pPr>
        <w:pStyle w:val="TextoNormalCentrado"/>
      </w:pPr>
      <w:r>
        <w:t>ECLI:ES:TC:2016:33</w:t>
      </w:r>
    </w:p>
    <w:p w:rsidR="00163957" w:rsidRDefault="00163957" w:rsidP="00163957">
      <w:pPr>
        <w:pStyle w:val="TextoNormalCentrado"/>
      </w:pPr>
    </w:p>
    <w:p w:rsidR="00163957" w:rsidRDefault="00163957" w:rsidP="00163957">
      <w:pPr>
        <w:pStyle w:val="SntesisDescriptiva"/>
      </w:pPr>
      <w:r>
        <w:t>Recurso de inconstitucionalidad 5458-2015. Interpuesto por el Presidente del Gobierno en relación con varios preceptos de la Ley del Parlamento de Galicia 12/2014, de 22 de diciembre, de medidas fiscales y administrativas.</w:t>
      </w:r>
    </w:p>
    <w:p w:rsidR="00163957" w:rsidRDefault="00163957" w:rsidP="00163957">
      <w:pPr>
        <w:pStyle w:val="SntesisDescriptiva"/>
      </w:pPr>
    </w:p>
    <w:p w:rsidR="00163957" w:rsidRDefault="00163957" w:rsidP="00163957">
      <w:pPr>
        <w:pStyle w:val="SntesisAnaltica"/>
      </w:pPr>
      <w:r>
        <w:t>Límites de la potestad tributaria de las Comunidades Autónomas, competencias sobre minas: nulidad del precepto legal autonómico relativo a los medios de comprobación de valores en tributos cedidos (STC 161/2012).</w:t>
      </w:r>
    </w:p>
    <w:p w:rsidR="00163957" w:rsidRDefault="00163957" w:rsidP="00163957">
      <w:pPr>
        <w:pStyle w:val="SntesisAnaltica"/>
      </w:pPr>
    </w:p>
    <w:p w:rsidR="00163957" w:rsidRDefault="00163957" w:rsidP="00163957">
      <w:pPr>
        <w:pStyle w:val="Extracto"/>
      </w:pPr>
      <w:r>
        <w:t>1.</w:t>
      </w:r>
      <w:r>
        <w:tab/>
        <w:t>El precepto autonómico que, en el impuesto sobre sucesiones y donaciones y en el de transmisiones patrimoniales y actos jurídicos documentados, establece como método de comprobación de valores la capitalización de rendimientos es contrario al orden competencial, pues ni la Ley General tributaria ni las leyes estatales reguladoras de los dos impuestos admiten este método de valoración para el cálculo de los elementos determinantes de la obligación tributaria [FJ 5].</w:t>
      </w:r>
    </w:p>
    <w:p w:rsidR="00163957" w:rsidRDefault="00163957" w:rsidP="00163957">
      <w:pPr>
        <w:pStyle w:val="Extracto"/>
      </w:pPr>
    </w:p>
    <w:p w:rsidR="00163957" w:rsidRDefault="00163957" w:rsidP="00163957">
      <w:pPr>
        <w:pStyle w:val="Extracto"/>
      </w:pPr>
      <w:r>
        <w:t>2.</w:t>
      </w:r>
      <w:r>
        <w:tab/>
        <w:t>Doctrina sobre el régimen competencial de los métodos comprobación de valores en los tributos cedidos (STC 161/2012) [FJ 4].</w:t>
      </w:r>
    </w:p>
    <w:p w:rsidR="00163957" w:rsidRDefault="00163957" w:rsidP="00163957">
      <w:pPr>
        <w:pStyle w:val="Extracto"/>
      </w:pPr>
    </w:p>
    <w:p w:rsidR="00163957" w:rsidRDefault="00163957" w:rsidP="00163957">
      <w:pPr>
        <w:pStyle w:val="Extracto"/>
      </w:pPr>
      <w:r>
        <w:t>3.</w:t>
      </w:r>
      <w:r>
        <w:tab/>
        <w:t>La locución “denegación de la autorización de explotación por cualquiera de las causas legales” contenida en el art. 84 de la Ley de Galicia 12/2014 alude exclusivamente a la denegación que recaiga por cualquier falta de adaptación a la Ley de 1973 por parte de las concesiones de explotación preexistentes a ella; por lo que no añade una causa de caducidad de las concesiones mineras a las aquellas reguladas de manera específica y con vocación de exclusividad en la norma estatal [FJ 7].</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inconstitucionalidad núm. 5458-2015 interpuesto por el Presidente del Gobierno contra los arts. 5.2 (en cuanto que modifica el art. 27. 5 del texto refundido de las </w:t>
      </w:r>
      <w:r>
        <w:lastRenderedPageBreak/>
        <w:t>disposiciones legales de la Comunidad Autónoma de Galicia en materia de tributos cedidos por el Estado, aprobado por Decreto Legislativo 1/2011, de 28 de julio) y 84 de la Ley del Parlamento de Galicia 12/2014, de 22 de diciembre, de medidas fiscales y administrativas. Han comparecido y formulado alegaciones la Xunta de Galicia y el Parlamento de Galicia, representados por sus respectivos Letrados. Ha sido Ponente el Magistrado don Juan José González Rivas,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30 de septiembre de 2015, el Abogado del Estado, en nombre del Presidente del Gobierno, interpuso recurso de inconstitucionalidad contra los arts. 5.2 (en cuanto que modifica el art. 27.5 del texto refundido de las disposiciones legales de la Comunidad Autónoma de Galicia en materia de tributos cedidos por el Estado, aprobado por Decreto Legislativo 1/2011, de 28 de julio, y 84 de la Ley del Parlamento de Galicia 12/2014, de 22 de diciembre, de medidas fiscales y administrativas. El Abogado del Estado invocó los arts. 161.2 CE y 30 de la Ley Orgánica del Tribunal Constitucional (LOTC), a fin de que se acordase la suspensión de los preceptos impugnados.</w:t>
      </w:r>
    </w:p>
    <w:p w:rsidR="00163957" w:rsidRDefault="00163957" w:rsidP="00163957">
      <w:pPr>
        <w:pStyle w:val="TextoNormal"/>
      </w:pPr>
    </w:p>
    <w:p w:rsidR="00163957" w:rsidRDefault="00163957" w:rsidP="00163957">
      <w:pPr>
        <w:pStyle w:val="TextoNormal"/>
      </w:pPr>
      <w:r>
        <w:t>El análisis del escrito de interposición se concreta en los siguientes puntos:</w:t>
      </w:r>
    </w:p>
    <w:p w:rsidR="00163957" w:rsidRDefault="00163957" w:rsidP="00163957">
      <w:pPr>
        <w:pStyle w:val="TextoNormal"/>
      </w:pPr>
    </w:p>
    <w:p w:rsidR="00163957" w:rsidRDefault="00163957" w:rsidP="00163957">
      <w:pPr>
        <w:pStyle w:val="TextoNormal"/>
      </w:pPr>
      <w:r>
        <w:t xml:space="preserve">a) El artículo 5.2 admite el uso en el impuesto sobre sucesiones y donaciones y en el de transmisiones patrimoniales y actos jurídicos documentados, ambos cedidos a la Comunidad Autónoma de Galicia por la Ley 17/2010, de 16 de julio, del medio de comprobación de valores previsto en el art. 57.1 a) de la Ley 58/2003, de 17 de diciembre, general tributaria (LGT), y dispone que en tal caso el porcentaje conforme al que capitalizar los rendimientos será el interés de mora </w:t>
      </w:r>
      <w:r w:rsidRPr="00163957">
        <w:rPr>
          <w:i/>
        </w:rPr>
        <w:t>ex</w:t>
      </w:r>
      <w:r>
        <w:t xml:space="preserve"> art. 26.6 LGT.</w:t>
      </w:r>
    </w:p>
    <w:p w:rsidR="00163957" w:rsidRDefault="00163957" w:rsidP="00163957">
      <w:pPr>
        <w:pStyle w:val="TextoNormal"/>
      </w:pPr>
    </w:p>
    <w:p w:rsidR="00163957" w:rsidRDefault="00163957" w:rsidP="00163957">
      <w:pPr>
        <w:pStyle w:val="TextoNormal"/>
      </w:pPr>
      <w:r>
        <w:t xml:space="preserve">La parte actora recurre la norma por imputársele una extralimitación competencial y expone que al Estado, </w:t>
      </w:r>
      <w:r w:rsidRPr="00163957">
        <w:rPr>
          <w:i/>
        </w:rPr>
        <w:t>ex</w:t>
      </w:r>
      <w:r>
        <w:t xml:space="preserve"> art. 149.1.14 CE, compete regular “no sólo sus propios tributos, sino también el marco general de todo el sistema tributario y la delimitación de las competencias financieras de las Comunidades Autónomas respecto del propio Estado” (STC 192/2000, de 13 de julio), conteniéndose esa regulación en la Ley Orgánica 8/1980, de 22 de septiembre, de financiación de las Comunidades Autónomas (LOFCA), a la que remite el art. 157.3 CE y que integra el bloque de la constitucionalidad (STC 183/1988, de 13 de octubre).</w:t>
      </w:r>
    </w:p>
    <w:p w:rsidR="00163957" w:rsidRDefault="00163957" w:rsidP="00163957">
      <w:pPr>
        <w:pStyle w:val="TextoNormal"/>
      </w:pPr>
    </w:p>
    <w:p w:rsidR="00163957" w:rsidRDefault="00163957" w:rsidP="00163957">
      <w:pPr>
        <w:pStyle w:val="TextoNormal"/>
      </w:pPr>
      <w:r>
        <w:t xml:space="preserve">El Abogado del Estado añade, respecto de los tributos cedidos, que su cesión no implica transmisión de titularidad o del ejercicio de las competencias inherentes a ella (STC 192/2000, de 13 de julio) y que el bloque de la constitucionalidad está formado, en lo relativo a la delegación de facultades normativas </w:t>
      </w:r>
      <w:r w:rsidRPr="00163957">
        <w:rPr>
          <w:i/>
        </w:rPr>
        <w:t>ex</w:t>
      </w:r>
      <w:r>
        <w:t xml:space="preserve"> art. 150.1 CE, por las normas que desarrollan la Ley Orgánica de financiación de las Comunidades Autónomas, cuya función es delimitar las competencias entre el Estado y las Comunidades Autónomas en materia de tributos cedidos (STC 161/2012, de 20 de septiembre, FJ 3).</w:t>
      </w:r>
    </w:p>
    <w:p w:rsidR="00163957" w:rsidRDefault="00163957" w:rsidP="00163957">
      <w:pPr>
        <w:pStyle w:val="TextoNormal"/>
      </w:pPr>
    </w:p>
    <w:p w:rsidR="00163957" w:rsidRDefault="00163957" w:rsidP="00163957">
      <w:pPr>
        <w:pStyle w:val="TextoNormal"/>
      </w:pPr>
      <w:r>
        <w:t>Estas reglas, según el Abogado del Estado, se hallan actualmente en la Ley 22/2009, de 18 de diciembre, por la que se regula el sistema de financiación de las Comunidades Autó</w:t>
      </w:r>
      <w:r>
        <w:lastRenderedPageBreak/>
        <w:t>nomas de régimen común y ciudades con Estatuto de Autonomía y se modifican determinados preceptos tributarios, norma que también resulta relevante en la medida que la Ley 17/2010, de 16 de julio, reguladora del régimen de cesión de tributos a la Comunidad Autónoma de Galicia, prevé que “el alcance y condiciones de la cesión de tributos a la Comunidad Autónoma de Galicia son los establecidos en la Ley 22/2009” (artículo 2.1). Por ello se alega en la demanda que el art. 55.1 a) de la Ley 22/2009, en relación con las competencias de gestión tributaria en los tributos cedidos, reconoce a cada Comunidad Autónoma la competencia para “la incoación de los expedientes de comprobación de valores, utilizando los mismos criterios que el Estado”, criterios que el Tribunal Constitucional ha declarado que son “los contenidos en el art. 57 LGT” en la STC 161/2012, de 20 de septiembre, al afirmar que “los mismos criterios de valoración establecidos por la Ley General Tributaria deben ser aplicados en el impuesto sobre sucesiones y donaciones y en el impuesto sobre transmisiones patrimoniales y actos jurídicos documentados, pues las leyes (estatales) reguladoras de estos tributos no establecen criterios distintos” (FJ 6), así como que el dictamen de peritos de la Administración “está contemplado en la Ley General Tributaria (art. 57 en relación con el art. 135) como un mecanismo objetivo, basado en la autonomía e independencia del perito, al que por tanto no cabe imponer un medio o varios medios [de los previstos en el art. 57 LGT] para llevar a cabo su valoración” (FJ 7).</w:t>
      </w:r>
    </w:p>
    <w:p w:rsidR="00163957" w:rsidRDefault="00163957" w:rsidP="00163957">
      <w:pPr>
        <w:pStyle w:val="TextoNormal"/>
      </w:pPr>
    </w:p>
    <w:p w:rsidR="00163957" w:rsidRDefault="00163957" w:rsidP="00163957">
      <w:pPr>
        <w:pStyle w:val="TextoNormal"/>
      </w:pPr>
      <w:r>
        <w:t>Sin embargo, y de ahí su exceso competencial, la norma autonómica cuestionado prevé para dichos tributos un medio de comprobación de valores no admitido por la Ley estatal del impuesto. Ni la Ley 29/1987, de 18 de diciembre, del impuesto sobre sucesiones y donaciones, ni el texto refundido de la Ley del impuesto sobre transmisiones patrimoniales y actos jurídicos documentados, aprobado por Real Decreto Legislativo 1/1993, de 24 de septiembre, prevén el sistema de imputación de rendimientos como medio de comprobación de valores, ni mucho menos que la capitalización deba realizarse al tipo de interés de mora del art. 26.6 LGT. De este modo se estaría haciendo una regulación no ajustada al marco previsto en el art. 57.1 LGT, en la medida que éste dispone en su letra a) que podrá utilizarse como medio de comprobación de valores la “capitalización o imputación de rendimientos al porcentaje que la ley de cada tributo señale”.</w:t>
      </w:r>
    </w:p>
    <w:p w:rsidR="00163957" w:rsidRDefault="00163957" w:rsidP="00163957">
      <w:pPr>
        <w:pStyle w:val="TextoNormal"/>
      </w:pPr>
    </w:p>
    <w:p w:rsidR="00163957" w:rsidRDefault="00163957" w:rsidP="00163957">
      <w:pPr>
        <w:pStyle w:val="TextoNormal"/>
      </w:pPr>
      <w:r>
        <w:t>El desborde competencial se produciría, además, porque el precepto autonómico “vincula el dictamen de peritos cuando utilice el medio de capitalización de la letra a) del art. 57.1 LGT a aplicar el tipo de interés de mora al que se refiere el art. 26.6 LGT, lo que condiciona la autonomía de valoración de los peritos garantizado por la norma básica, afectando negativamente a la ausencia de condicionamiento que el precepto estatal consagra”.</w:t>
      </w:r>
    </w:p>
    <w:p w:rsidR="00163957" w:rsidRDefault="00163957" w:rsidP="00163957">
      <w:pPr>
        <w:pStyle w:val="TextoNormal"/>
      </w:pPr>
    </w:p>
    <w:p w:rsidR="00163957" w:rsidRDefault="00163957" w:rsidP="00163957">
      <w:pPr>
        <w:pStyle w:val="TextoNormal"/>
      </w:pPr>
      <w:r>
        <w:t xml:space="preserve">Según esta parte, “la controversia trae causa del procedimiento del art. 33.2 LOTC iniciado en relación con el art. 76 Dos Ley 2/2013, de 27 de febrero, de Presupuestos Generales de Galicia, en razón a la redacción que dio al art. 27.4 Decreto Legislativo 1/2011”. Resalta que la comisión bilateral de 22 de noviembre de 2013 acordó que “en cuanto al punto 2 del art. 27.4 del citato Texto Refundido [‘cuando en las comprobaciones de valor de empresas, negocios, participaciones en entidades y en general cualquier otra forma de actividad económica, por el medio establecido en el art. 57.1 e) LGT, el perito utilice sistemas de capitalización, el tipo de interés a aplicar será el interés de demora a que se refiere el art. 26.6 de la misma norma’], la Xunta de Galicia promoverá la adaptación de la norma gallega de acuerdo con la doctrina jurisprudencial consolidada”, considerando que “la cuestión ahora </w:t>
      </w:r>
      <w:r>
        <w:lastRenderedPageBreak/>
        <w:t>controvertida deriva del incumplimiento por la Junta de Galicia del compromiso antes transcrito”.</w:t>
      </w:r>
    </w:p>
    <w:p w:rsidR="00163957" w:rsidRDefault="00163957" w:rsidP="00163957">
      <w:pPr>
        <w:pStyle w:val="TextoNormal"/>
      </w:pPr>
    </w:p>
    <w:p w:rsidR="00163957" w:rsidRDefault="00163957" w:rsidP="00163957">
      <w:pPr>
        <w:pStyle w:val="TextoNormal"/>
      </w:pPr>
      <w:r>
        <w:t>b) La demanda se dirige en segundo lugar contra el art. 84 de la Ley del Parlamento de Galicia 12/2014, de 22 de diciembre, de medidas fiscales y administrativas, en tanto que añade una disposición transitoria segunda a la Ley 3/2008, de 23 de mayo, de ordenación de la minería de Galicia, que dispone que en el caso de las concesiones reguladas por la disposición transitoria primera de la Ley 22/1973, de 21 de julio, de minas, que son las concesiones de explotación de recursos minerales de la sección C) otorgadas con arreglo a las legislaciones anteriores, la denegación de la autorización de explotación por cualquiera de las causas legales determinará la caducidad de los derechos mineros correspondientes.</w:t>
      </w:r>
    </w:p>
    <w:p w:rsidR="00163957" w:rsidRDefault="00163957" w:rsidP="00163957">
      <w:pPr>
        <w:pStyle w:val="TextoNormal"/>
      </w:pPr>
    </w:p>
    <w:p w:rsidR="00163957" w:rsidRDefault="00163957" w:rsidP="00163957">
      <w:pPr>
        <w:pStyle w:val="TextoNormal"/>
      </w:pPr>
      <w:r>
        <w:t>La impugnación parte de que, según el Abogado del Estado, las causas de caducidad de la concesión de explotación de recursos mineros de la sección C) están reguladas con carácter básico y de forma tasada en el art. 86 de la Ley de minas. El precepto recurrido, al prever una causa de caducidad no recogida en la norma básica estatal, habría desconocido el marco competencial establecido constitucionalmente.</w:t>
      </w:r>
    </w:p>
    <w:p w:rsidR="00163957" w:rsidRDefault="00163957" w:rsidP="00163957">
      <w:pPr>
        <w:pStyle w:val="TextoNormal"/>
      </w:pPr>
    </w:p>
    <w:p w:rsidR="00163957" w:rsidRDefault="00163957" w:rsidP="00163957">
      <w:pPr>
        <w:pStyle w:val="TextoNormal"/>
      </w:pPr>
      <w:r>
        <w:t>La demanda razona que, en cuanto al régimen minero y energético, el art. 28.3 del Estatuto de Autonomía de Galicia atribuye a la Comunidad Autónoma “el desarrollo legislativo y la ejecución de la legislación del Estado en los términos que la misma establezca”, de donde se deriva que al Estado incumbe la regulación básica de tales materias, competencia que funda en la asignación que hacen las reglas 25 (“bases del régimen minero y energético”) y 13 (“bases y coordinación de la planificación general de la actividad económica”) del art. 149.1 CE. Precisa respecto a esta última que la actividad de exploración, investigación y explotación de recursos mineros tienen indudablemente un alcance nacional en el plano económico, así como que “dentro de la competencia de dirección de la actividad económica general tienen cobertura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95/1986, FJ 4 y, en los mismos términos, STC 188/1989, FJ 4, con cita de las SSTC 152/1988 y 75/1989). Doctrina aplicable con mayor razón a supuestos en los que existen, como en el presente, reservas competenciales expresas en favor del Estado tanto respecto de la actividad económica general (art. 149.1.13 CE) como del específico sector energético (art. 149.1.25 CE.)”.(STC 197/1996, de 28 de noviembre), doctrina reiterada en las SSTC 34/2013, de 14 de febrero, y 104/2013, de 25 de abril.</w:t>
      </w:r>
    </w:p>
    <w:p w:rsidR="00163957" w:rsidRDefault="00163957" w:rsidP="00163957">
      <w:pPr>
        <w:pStyle w:val="TextoNormal"/>
      </w:pPr>
    </w:p>
    <w:p w:rsidR="00163957" w:rsidRDefault="00163957" w:rsidP="00163957">
      <w:pPr>
        <w:pStyle w:val="TextoNormal"/>
      </w:pPr>
      <w:r>
        <w:t xml:space="preserve">El Abogado del Estado señala que la Ley 22/1973, de 21 de julio, de minas, ha de considerarse legislación básica al amparo de dichos títulos competenciales, en especial por lo que aquí interesa en lo concerniente a la regulación de causas de caducidad de las concesiones de explotación de recursos mineros de la sección C) que prevé su artículo 86. Sostiene que su contenido es, por un lado, el propio de una regulación uniforme que proporciona un común denominador normativo que asegura los intereses generales superiores a los de cada Comunidad Autónoma y cumple con la doctrina constitucional sobre la posibilidad de inferir normas básicas a partir de la normativa anterior a la Constitución (STC 137/2013, de 6 de junio); y, por otro, que responde al establecimiento de un criterio esencial del sector </w:t>
      </w:r>
      <w:r>
        <w:lastRenderedPageBreak/>
        <w:t>energético porque “afecta de manera decisiva a la configuración básica de los derechos mineros ya existentes sobre los que se proyecta”.</w:t>
      </w:r>
    </w:p>
    <w:p w:rsidR="00163957" w:rsidRDefault="00163957" w:rsidP="00163957">
      <w:pPr>
        <w:pStyle w:val="TextoNormal"/>
      </w:pPr>
    </w:p>
    <w:p w:rsidR="00163957" w:rsidRDefault="00163957" w:rsidP="00163957">
      <w:pPr>
        <w:pStyle w:val="TextoNormal"/>
      </w:pPr>
      <w:r>
        <w:t>Por último, analiza el art. 86 de la Ley 22/1973 y lo compara con la norma recurrida. Destaca que aquél prevé, directamente o por remisión a otros artículos de esa ley estatal, que la caducidad de las concesiones de explotación de recursos de la sección C) se producirá por expiración del plazo otorgado; por incumplimiento grave de las condiciones impuestas en la autorización o en el plan de labores; por renuncia voluntaria; por falta de pago de los impuestos mineros; por agotamiento del recurso; por reserva ulterior al Estado de recursos descubiertos; y por no reanudación en determinados plazos de los trabajos paralizados sin autorización. Y añade que, en consecuencia, el art. 86 de la Ley 22/1973 “no prevé la denegación —como acto inicial, por tanto— de una petición de explotación, impeditiva de iniciar siquiera dicha actividad. Que en los casos establecidos directamente o por remisión se infiera lo que sería, más bien, la revocación de la autorización concedida, y de ahí la consecuencia de la caducidad de la concesión, es algo distinto a una denegación inicial que impide siquiera comenzar a ejecutar la actividad solicitada”.</w:t>
      </w:r>
    </w:p>
    <w:p w:rsidR="00163957" w:rsidRDefault="00163957" w:rsidP="00163957">
      <w:pPr>
        <w:pStyle w:val="TextoNormal"/>
      </w:pPr>
    </w:p>
    <w:p w:rsidR="00163957" w:rsidRDefault="00163957" w:rsidP="00163957">
      <w:pPr>
        <w:pStyle w:val="TextoNormal"/>
      </w:pPr>
      <w:r>
        <w:t xml:space="preserve">Concluye la demanda que la norma recurrida supone una regulación </w:t>
      </w:r>
      <w:r w:rsidRPr="00163957">
        <w:rPr>
          <w:i/>
        </w:rPr>
        <w:t>ex novo</w:t>
      </w:r>
      <w:r>
        <w:t xml:space="preserve"> de una causa de caducidad de las concesiones de explotación de recursos mineros de la sección C, con lo que contradice el art. 86 de la Ley 22/1973, en la medida que éste regula las causas de caducidad aplicables a este tipo de concesiones sin dejar margen alguno para el establecimiento de otras distintas, y consecuentemente incurre en inconstitucionalidad mediata, contraviniendo así los títulos competenciales atribuidos al Estado en las reglas 13 y 25 del art 149.1 CE, que son lo que amparan el carácter básico del art. 86 de la Ley 22/1973.</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6 de octubre de 2015 el Pleno, a propuesta de la Sección Tercera, acordó admitir a trámite el recurso de inconstitucionalidad promovido por el Presidente del Gobierno y, en su representación y defensa, por el Abogado del Estado, contra los arts. 5.2 (en cuanto que modifica el art. 27. 5 del texto refundido de las disposiciones legales de la Comunidad Autónoma de Galicia en materia de tributos cedidos por el Estado, aprobado por Decreto Legislativo 1/2011, de 28 de julio) y 84 de la Ley del Parlamento de Galicia 12/2014, de 22 de diciembre, de medidas fiscales y administrativas; dar traslado de la demanda y documentos presentados, conforme establece el art. 34 LOTC, al Congreso de los Diputados y al Senado, por conducto de sus Presidentes, así como al Gobierno y al Parlamento de Galicia, por conducto de sus Presidentes, al objeto de que, en el plazo de quince días, puedan personarse en el proceso y formular las alegaciones que estimaren convenientes; tener por invocado por el Presidente del Gobierno el art. 161.2 de la Constitución, lo que, conforme dispone el art. 30 LOTC, produce la suspensión de la vigencia y aplicación de los preceptos impugnados, desde la fecha de interposición del recurso —30 de septiembre de 2015— para las partes del proceso y desde el día en que aparezca publicada la suspensión en el “Boletín Oficial del Estado” para los terceros, lo que se comunicará a los Presidentes del Gobierno y del Parlamento de Galicia; y publicar la incoación del recurso en el “Boletín Oficial del Estado” y en el “Diario Oficial de Galicia”.</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Mediante escrito registrado el día 14 de octubre de 2015 el Presidente del Senado comunicó a este Tribunal el acuerdo de la Mesa de la Cámara en el sentido de darse por </w:t>
      </w:r>
      <w:r>
        <w:lastRenderedPageBreak/>
        <w:t>personada en el proceso, ofreciendo su colaboración a los efectos del art. 88.1 LOTC. Idéntica comunicación del Presidente del Congreso de los Diputados se registró el 15 de octubre de 2015.</w:t>
      </w:r>
    </w:p>
    <w:p w:rsidR="00163957" w:rsidRDefault="00163957" w:rsidP="00163957">
      <w:pPr>
        <w:pStyle w:val="TextoNormal"/>
      </w:pPr>
    </w:p>
    <w:p w:rsidR="00163957" w:rsidRDefault="00163957" w:rsidP="00163957">
      <w:pPr>
        <w:pStyle w:val="TextoNormal"/>
      </w:pPr>
      <w:r w:rsidRPr="00163957">
        <w:rPr>
          <w:rStyle w:val="NumeroAFNegritaCaracter"/>
        </w:rPr>
        <w:t>4</w:t>
      </w:r>
      <w:r>
        <w:t>. El 23 de octubre de 2015, el Letrado de la Xunta de Galicia, actuando en representación del Gobierno autonómico, presentó escrito personándose en el proceso y solicitando la concesión de una prórroga del plazo para formular alegaciones por ocho días más. Por proveído de 26 de octubre de 2015 se accedió a lo interesado por la representación procesal de la Xunta de Galicia.</w:t>
      </w:r>
    </w:p>
    <w:p w:rsidR="00163957" w:rsidRDefault="00163957" w:rsidP="00163957">
      <w:pPr>
        <w:pStyle w:val="TextoNormal"/>
      </w:pPr>
    </w:p>
    <w:p w:rsidR="00163957" w:rsidRDefault="00163957" w:rsidP="00163957">
      <w:pPr>
        <w:pStyle w:val="TextoNormal"/>
      </w:pPr>
      <w:r w:rsidRPr="00163957">
        <w:rPr>
          <w:rStyle w:val="NumeroAFNegritaCaracter"/>
        </w:rPr>
        <w:t>5</w:t>
      </w:r>
      <w:r>
        <w:t>. El Letrado Oficial Mayor del Parlamento de Galicia, actuando en nombre de esta Asamblea Legislativa, presentó sus alegaciones el 3 de noviembre de 2015 y en síntesis, son las siguientes:</w:t>
      </w:r>
    </w:p>
    <w:p w:rsidR="00163957" w:rsidRDefault="00163957" w:rsidP="00163957">
      <w:pPr>
        <w:pStyle w:val="TextoNormal"/>
      </w:pPr>
    </w:p>
    <w:p w:rsidR="00163957" w:rsidRDefault="00163957" w:rsidP="00163957">
      <w:pPr>
        <w:pStyle w:val="TextoNormal"/>
      </w:pPr>
      <w:r>
        <w:t>a) Respecto de la impugnación del art. 5.2 de la Ley de Galicia 12/2014, señala que “la controversia está en si la Comunidad Autónoma de Galicia tiene competencia normativa para, en los procedimientos de comprobación de los valores consignados en las declaraciones de esos impuestos, optar por aplicar el método de capitalización o imputación de rendimientos”. Admite “que las normas de cada tributo han de regular la aplicación de los medios de comprobación enumerados en la Ley General Tributaria (art. 57 3) y que ha de utilizar los mismos criterios de valoración que el Estado [art. 55.1 a) Ley 22/2009]” y que la ley estatal de dichos tributos no contempla como medio de comprobación de valores el de capitalización de rendimientos.</w:t>
      </w:r>
    </w:p>
    <w:p w:rsidR="00163957" w:rsidRDefault="00163957" w:rsidP="00163957">
      <w:pPr>
        <w:pStyle w:val="TextoNormal"/>
      </w:pPr>
    </w:p>
    <w:p w:rsidR="00163957" w:rsidRDefault="00163957" w:rsidP="00163957">
      <w:pPr>
        <w:pStyle w:val="TextoNormal"/>
      </w:pPr>
      <w:r>
        <w:t>Sin embargo, afirma que “no podemos compartir la interpretación de la expresión ‘normas de cada tributo’ (art. 57.3 LGT) restringiéndola exclusivamente a las leyes estatales que regulan esos dos impuestos”, pues “la interpretación de la expresión ‘normas de cada tributo’ que figura en el enunciado normativo del art. 57.3 LGT, se refiere a cualquier norma del derecho tributario sustantivo que formaría parte de lo que hemos denominado subsistema normativo fiscal y que incluiría: la normativa tributaria general o común del Estado —básicamente por la Ley General Tributaria—, las normas tributarias estatales especiales que regulan los tributos de titularidad estatal y las normas tributarias autonómicas. Por consiguiente, a nuestro juicio, nada impide a la Comunidad Autónoma de Galicia, en el ejercicio de sus competencias legislativas en materia fiscal, seleccionar un medio de comprobación de valores de entre los fijados por la normativa estatal, aunque no figure expresamente referido en la norma específica reguladora del tributo de que se trate”.</w:t>
      </w:r>
    </w:p>
    <w:p w:rsidR="00163957" w:rsidRDefault="00163957" w:rsidP="00163957">
      <w:pPr>
        <w:pStyle w:val="TextoNormal"/>
      </w:pPr>
    </w:p>
    <w:p w:rsidR="00163957" w:rsidRDefault="00163957" w:rsidP="00163957">
      <w:pPr>
        <w:pStyle w:val="TextoNormal"/>
      </w:pPr>
      <w:r>
        <w:t xml:space="preserve">b) En cuanto a la otra impugnación, relativa al art. 84 de la Ley del Parlamento de Galicia 12/2014, apoya su oposición en “el voto particular formulado en relación con el Dictamen 639/2015, de 24 de septiembre, del Consejo de Estado, cuando asevera que lo que en realidad se limita a decir el artículo recurrido es que cuando la disposición transitoria primera de la Ley de Minas establece causas de denegación de autorizaciones e impone declarar la caducidad, la Comunidad Autónoma de Galicia procederá a declarar la caducidad”. Desarrollando esta idea, sostiene luego que “la disposición transitoria primera de la Ley de Minas establece una regulación específica de carácter transitorio en relación con las minas que en el momento de su entrada en vigor estaban explotando recursos clasificados en dicha sección pero que estaban inactivas o abandonadas, y con supuestos y plazos concretos de caducidad no regulados con carácter general en el título VII de esa ley. La representación </w:t>
      </w:r>
      <w:r>
        <w:lastRenderedPageBreak/>
        <w:t>procesal del Estado presume que la Comunidad Autónoma de Galicia no va a aplicar dicha disposición transitoria primera de la Ley de Minas, cuando, a nuestro juicio, del tenor literal del art. 84 no se trasluce ese propósito sino que expresamente se refiere a las ‘concesiones reguladas por la disposición transitoria primera de la Ley 22/1973, de 21 de julio, de minas’.”</w:t>
      </w:r>
    </w:p>
    <w:p w:rsidR="00163957" w:rsidRDefault="00163957" w:rsidP="00163957">
      <w:pPr>
        <w:pStyle w:val="TextoNormal"/>
      </w:pPr>
    </w:p>
    <w:p w:rsidR="00163957" w:rsidRDefault="00163957" w:rsidP="00163957">
      <w:pPr>
        <w:pStyle w:val="TextoNormal"/>
      </w:pPr>
      <w:r>
        <w:t>El escrito insta la desestimación del recurso y, mediante otrosí, la apertura del incidente de levantamiento o mantenimiento de la suspensión de los preceptos legales recurridos.</w:t>
      </w:r>
    </w:p>
    <w:p w:rsidR="00163957" w:rsidRDefault="00163957" w:rsidP="00163957">
      <w:pPr>
        <w:pStyle w:val="TextoNormal"/>
      </w:pPr>
    </w:p>
    <w:p w:rsidR="00163957" w:rsidRDefault="00163957" w:rsidP="00163957">
      <w:pPr>
        <w:pStyle w:val="TextoNormal"/>
      </w:pPr>
      <w:r w:rsidRPr="00163957">
        <w:rPr>
          <w:rStyle w:val="NumeroAFNegritaCaracter"/>
        </w:rPr>
        <w:t>6</w:t>
      </w:r>
      <w:r>
        <w:t>. El Letrado de la Xunta de Galicia presentó sus alegaciones el 13 de noviembre de 2015 y, de modo extractado, son las siguientes:</w:t>
      </w:r>
    </w:p>
    <w:p w:rsidR="00163957" w:rsidRDefault="00163957" w:rsidP="00163957">
      <w:pPr>
        <w:pStyle w:val="TextoNormal"/>
      </w:pPr>
    </w:p>
    <w:p w:rsidR="00163957" w:rsidRDefault="00163957" w:rsidP="00163957">
      <w:pPr>
        <w:pStyle w:val="TextoNormal"/>
      </w:pPr>
      <w:r>
        <w:t>a) Inicia su escrito precisando que la impugnación inicial se proyecta sobre el art. 5.2 de la Ley del Parlamento de Galicia 12/2014 solo en cuanto éste modifica el art. 27.5 del Decreto Legislativo 1/2011 y encuadra competencialmente la cuestión. La Ley Orgánica de financiación de las Comunidades Autónomas, señala, es el marco orgánico que rige el régimen de cesión de tributos, desarrollado con carácter general por Ley 22/2009, de 18 de diciembre, y para el caso de la Comunidad Autónoma de Galicia por Ley 17/2010, de 16 de julio, del régimen de cesión de tributos del Estado a la Comunidad Autónoma de Galicia y de fijación del alcance y condiciones de dicha cesión, Ley que remite el alcance y régimen de la cesión al determinado en la Ley 22/2009. Llegado a tal punto, indica que “el art. 27 de esa Ley 22/09 recoge que los tributos cedidos se rigen por la normativa estatal (LGT, la propia de cada tributo, etc.) y por las normas emanadas por las CC AA. Más en concreto, en los arts. 48.2 y art 49.2, referidos respectivamente al ISD y al ITPAJD, y concretamente a las competencias autonómicas normativas sobre estos, se recoge expresamente que ‘las Comunidades Autónomas también podrán regular los aspectos de gestión y liquidación’.” Todo ello denota, a su juicio, que puede haber normas autonómicas en este ámbito material.</w:t>
      </w:r>
    </w:p>
    <w:p w:rsidR="00163957" w:rsidRDefault="00163957" w:rsidP="00163957">
      <w:pPr>
        <w:pStyle w:val="TextoNormal"/>
      </w:pPr>
    </w:p>
    <w:p w:rsidR="00163957" w:rsidRDefault="00163957" w:rsidP="00163957">
      <w:pPr>
        <w:pStyle w:val="TextoNormal"/>
      </w:pPr>
      <w:r>
        <w:t>Después transcribe el art. 27.5 del Decreto Legislativo 1/2011 (en la redacción objeto de recurso) y los arts. 57.1 a) y 26.6 LGT, exponiendo que “lo que hace la ley gallega es determinar, con ese rango de ley que dispone el art. 57.1 a) LGT, que el porcentaje para capitalización o imputación de rendimientos sea la referencia del interés de demora”, ya use la Administración este método de comprobación mediante peritos o sin ellos, por lo que la Xunta de Galicia acata “la doctrina fijada por el Tribunal Supremo [STS 5 de marzo de 2015], TEAC, Tribunal Superior de Xustiza de Galicia, que, frente a una jurisprudencia inicial, llegó a la conclusión que si la Administración tributaria pretende utilizar el medio de comprobación de la capitalización o imputación de rendimientos (sea hecho o no por peritos, pues para la jurisprudencia esa operación no exige —tampoco impide— usar a peritos) debe situarse en el apartado a) del art. 57.1 para estas valoraciones, y con ello que una norma legal fije ese porcentaje a que tal apartado alude, excluye la posibilidad de situarse en el apartado e) de ese art. 57.1 —aun cuando el actuante comprobador fuera un perito—, letra que no exigía ley para fijar un porcentaje para su utilización. La jurisprudencia, por lo tanto, nos dice, ya de forma definitiva, que cuando la Administración tributaria para el ISD y el ITPyAJD usa y quiere usar la capitalización o imputación de rendimientos puede hacerlo, pero entonces —sea realizado o no por peritos— estamos en el art. 57.1 a) LGT”.</w:t>
      </w:r>
    </w:p>
    <w:p w:rsidR="00163957" w:rsidRDefault="00163957" w:rsidP="00163957">
      <w:pPr>
        <w:pStyle w:val="TextoNormal"/>
      </w:pPr>
    </w:p>
    <w:p w:rsidR="00163957" w:rsidRDefault="00163957" w:rsidP="00163957">
      <w:pPr>
        <w:pStyle w:val="TextoNormal"/>
      </w:pPr>
      <w:r>
        <w:t xml:space="preserve">De este modo, en su opinión, la demanda hierra al sostener que la cuestión controvertida ahora deriva del incumplimiento de lo acordado en la comisión bilateral de 22 de noviembre </w:t>
      </w:r>
      <w:r>
        <w:lastRenderedPageBreak/>
        <w:t>de 2013 acerca del art. 27.4 del Decreto Legislativo 1/2011 en la redacción de la Ley 2/2013. Según el Letrado autonómico, “estamos en otro debate pues el punto 2 del apartado 4 del art. 27 del Decreto Legislativo 1/2011, en la redacción de la ley 2/2013, hablaba del apartado e) del art. 57.1 LGT, y el apartado 5 del art. 27 del Decreto Legislativo 1/2011, redacción Ley 12/2014, habla del apartado a) del art. 57.1 LGT”.</w:t>
      </w:r>
    </w:p>
    <w:p w:rsidR="00163957" w:rsidRDefault="00163957" w:rsidP="00163957">
      <w:pPr>
        <w:pStyle w:val="TextoNormal"/>
      </w:pPr>
    </w:p>
    <w:p w:rsidR="00163957" w:rsidRDefault="00163957" w:rsidP="00163957">
      <w:pPr>
        <w:pStyle w:val="TextoNormal"/>
      </w:pPr>
      <w:r>
        <w:t>El siguiente apartado señala que “el segundo gran equívoco del escrito estatal es que se refiere una y otra vez al dictamen de peritos y a la defensa de su autonomía de valoración … El propio dictamen del Consejo de Estado se sorprende que la Administración General del Estado siga con esas consideraciones, que siga situado en la Bilateral del 2013, cuando la redacción dada por la ley de medidas 12/2014 al art. 27.5 Decreto Legislativo 1/2011 habla de otra cosa (pg. 11 del Dictamen 639-15) … Tras esa diáfana advertencia del Consejo de Estado para que el Estado centre su discurso en lo que está impugnando nos sorprende que el escrito estatal de interposición siga hablando de esa otra cosa”. De esta apreciación deduce esta parte que “en realidad, si sólo tuviéramos que atender al escrito del Abogado del Estado, como defendemos que debe ser, bastaría con aludir al desenfoque descrito en el apartado anterior para considerar que la desestimación del recurso en este punto puede provenir de que no ha cumplido con la carga del accionante de un recurso de inconstitucionalidad de tener que aportar un discurso coherente y bien definido para su acogimiento para el Tribunal, pues no cabe ser suplido por este. Ahora bien, a efectos de agotar nuestra posición, y por si generosamente se entiende que existen referencias que pudieran llegar a conectar con esto que el Consejo de Estado describe, vamos a analizar estas críticas, [que] parecen responder a cada uno de las dos frases de que se compone el precepto gallego.”</w:t>
      </w:r>
    </w:p>
    <w:p w:rsidR="00163957" w:rsidRDefault="00163957" w:rsidP="00163957">
      <w:pPr>
        <w:pStyle w:val="TextoNormal"/>
      </w:pPr>
    </w:p>
    <w:p w:rsidR="00163957" w:rsidRDefault="00163957" w:rsidP="00163957">
      <w:pPr>
        <w:pStyle w:val="TextoNormal"/>
      </w:pPr>
      <w:r>
        <w:t>La primera crítica del Consejo de Estado a la norma recurrida consiste, según esta parte, en que “esta frase [podrá utilizarse en el impuesto sobre sucesiones y donaciones y en el impuesto sobre transmisiones patrimoniales y actos jurídicos documentados el medio de comprobación establecido en el art. 57.1 a) LGT] sólo podría ser constitucionalmente válida en caso de que esta figura de valoración estuviera expresamente admitida en las normas reguladoras de los referidos tributos”, añadiendo que “para tal organismo no está en esas normas reguladoras [Ley 29/1987, de 18 de diciembre, del Impuesto sobre Sucesiones y Donaciones, ni la Ley del Impuesto sobre Transmisiones Patrimoniales y Actos Jurídicos Documentados, cuyo texto refundido fue aprobado por Real Decreto Legislativo 1/1993, de 24 de septiembre]”.</w:t>
      </w:r>
    </w:p>
    <w:p w:rsidR="00163957" w:rsidRDefault="00163957" w:rsidP="00163957">
      <w:pPr>
        <w:pStyle w:val="TextoNormal"/>
      </w:pPr>
    </w:p>
    <w:p w:rsidR="00163957" w:rsidRDefault="00163957" w:rsidP="00163957">
      <w:pPr>
        <w:pStyle w:val="TextoNormal"/>
      </w:pPr>
      <w:r>
        <w:t>El Letrado autonómico opone dos argumentos:</w:t>
      </w:r>
    </w:p>
    <w:p w:rsidR="00163957" w:rsidRDefault="00163957" w:rsidP="00163957">
      <w:pPr>
        <w:pStyle w:val="TextoNormal"/>
      </w:pPr>
    </w:p>
    <w:p w:rsidR="00163957" w:rsidRDefault="00163957" w:rsidP="00163957">
      <w:pPr>
        <w:pStyle w:val="TextoNormal"/>
      </w:pPr>
      <w:r>
        <w:t>i) Aduce principalmente que esas leyes estatales sí prevén para los dos tributos que nos ocupan el método de valoración del art. 57.1 a) LGT 2003. Razona en este sentido (a) que los arts. 18 de la Ley 29/1987 y 46 del Real Decreto Legislativo 1/1993 remiten a los medios de comprobación del art. 52 LGT 1963, que se corresponde con el art. 57 LGT 2003, sin excluir el previsto en el art. 57.1 a) LGT 2003; y (b) que la STC 161/2012 afirma que “los mismos criterios de valoración establecidos por la Ley General Tributaria deben ser aplicados en el impuesto sobre sucesiones y donaciones y en el impuesto sobre transmisiones patrimoniales y actos jurídicos documentados, pues las leyes (estatales) reguladoras de estos tributos no establecen criterios distintos” (FJ 6), de donde deriva que no se puede excluir el regulado en el art. 57.1 a) LGT 2003.</w:t>
      </w:r>
    </w:p>
    <w:p w:rsidR="00163957" w:rsidRDefault="00163957" w:rsidP="00163957">
      <w:pPr>
        <w:pStyle w:val="TextoNormal"/>
      </w:pPr>
    </w:p>
    <w:p w:rsidR="00163957" w:rsidRDefault="00163957" w:rsidP="00163957">
      <w:pPr>
        <w:pStyle w:val="TextoNormal"/>
      </w:pPr>
      <w:r>
        <w:lastRenderedPageBreak/>
        <w:t>ii) Señala subsidiariamente, como segundo argumento, que “si se llega a la consideración de que en las leyes y reglamentos estatales del ISD y del ITPyAJD no está el acogimiento al medio de capitalización o imputación de rendimientos, y que este acogimiento es necesario en las ‘leyes del tributo’, defendemos que esa ley puede ser la ley autonómica, concretamente el art. 27.5 Decreto Legislativo 1/11, en redacción dada por la ley 12/14”. Estima en apoyo de esta alegación “que el bloque normativo del tributo, las leyes del tributo, tanto puede ser las estatales o autonómicas, como muestra el art 27 Ley 22/2009, que es la que regula la financiación de las CC AA, que cuando describe la normativa de los tributos cedidos incluye, como no podía ser de otra manera, la normativa autonómica”; y que “las CC AA tienen competencias normativas para regular los aspectos de gestión y liquidación en el ISD y en el ITPyAJD (arts. 48.2 y 49.2 Ley 22/2009), pero no pueden regular los aspectos referidos a la base imponible, [recordando] que la STC 161/2012 señala que ‘debemos partir de que la comprobación de valores forma parte del proceso de gestión tributaria, pues su objeto es la valoración de los bienes o rentas que conforman la base imponible de los tributos’.”</w:t>
      </w:r>
    </w:p>
    <w:p w:rsidR="00163957" w:rsidRDefault="00163957" w:rsidP="00163957">
      <w:pPr>
        <w:pStyle w:val="TextoNormal"/>
      </w:pPr>
    </w:p>
    <w:p w:rsidR="00163957" w:rsidRDefault="00163957" w:rsidP="00163957">
      <w:pPr>
        <w:pStyle w:val="TextoNormal"/>
      </w:pPr>
      <w:r>
        <w:t>Esta parte señala, por lo que hace a la segunda frase del precepto cuestionado (“a estos efectos el porcentaje a utilizar será el interés de mora a que se refiere el art. 26.6 de la misma norma”), que “sólo nos queda por resolver si cuando el art. 57.1 a) dice que una norma legal debe fijar el porcentaje, es inconstitucional que haga esa mención un precepto legal autonómico … Para el Consejo de Estado esa fijación no puede ser en una ley gallega porque como el art. 57.1 a) habla de fijación en ‘la ley de cada tributo’, esta sólo puede ser la normativa estatal que cita [la Ley 21/1987 y el Real Decreto Legislativo 1/1993]”. Frente a esta opinión, el Letrado autonómico sostiene “que es una interpretación errónea, y si no lo fuese, y eso es lo que dice el art. 57.1 a), éste sería inconstitucional, y no se podría oponer como parámetro de constitucionalidad a la ley gallega. … La interpretación constitucionalmente válida es que cuando la LGT está ordenando que ese porcentaje venga fijado en una ley tributaria con tal rango, la determinación de qué ley puede hacerlo, estatal o autonómica, no puede derivar de una interpretación literal-restrictiva de la expresión ‘ley de cada tributo’, sino de lo que el bloque de constitucionalidad permite a cada una de las instancias, central y autonómica, regular en relación a cada impuesto”. Y para resolver esta cuestión acude a dos argumentos ya aludidos, a saber, que “las CC AA tienen competencias normativas para regular los aspectos de gestión y liquidación en el ISD y en el ITPAJD (arts. 48.2 y 49.2 Ley 22/2009)” y que la STC 161/2012 deja claro que la regulación de la comprobación de valores es una competencia gestora y no de determinación de la base imponible, de donde deduce que compete a la ley gallega fijar el porcentaje que el art. 57.1 a) LGT exige que se señale por ley.</w:t>
      </w:r>
    </w:p>
    <w:p w:rsidR="00163957" w:rsidRDefault="00163957" w:rsidP="00163957">
      <w:pPr>
        <w:pStyle w:val="TextoNormal"/>
      </w:pPr>
    </w:p>
    <w:p w:rsidR="00163957" w:rsidRDefault="00163957" w:rsidP="00163957">
      <w:pPr>
        <w:pStyle w:val="TextoNormal"/>
      </w:pPr>
      <w:r>
        <w:t>b) El Letrado de la Xunta de Galicia comienza su contestación a la segunda impugnación transcribiendo la norma recurrida y delimitando su contenido normativo. Señalando a este efecto que “con la modificación producida por la mencionada Ley 12/2014, esta Disposición transitoria única pasó a ser la primera, introduciéndose una nueva Disposición transitoria segunda que no establece ninguna nueva causa de caducidad, sino que lo que hace es aplicar la caducidad contemplada en la disposición transitoria primera de Ley 22/1973”.</w:t>
      </w:r>
    </w:p>
    <w:p w:rsidR="00163957" w:rsidRDefault="00163957" w:rsidP="00163957">
      <w:pPr>
        <w:pStyle w:val="TextoNormal"/>
      </w:pPr>
    </w:p>
    <w:p w:rsidR="00163957" w:rsidRDefault="00163957" w:rsidP="00163957">
      <w:pPr>
        <w:pStyle w:val="TextoNormal"/>
      </w:pPr>
      <w:r>
        <w:t xml:space="preserve">De este modo, la otra impugnación se funda en que todas las caducidades de la Ley 22/1973 están en los artículos 83 a 88, concretamente en el artículo 86 para la sección C), por lo que como entre ellas no está la prevista en la disposición transitoria segunda de la </w:t>
      </w:r>
      <w:r>
        <w:lastRenderedPageBreak/>
        <w:t>Ley 3/2008, de ordenación de la minería de Galicia, en la redacción dada por la Ley 12/2014, ésta ha creado una nueva causa, lo que excede de su competencia.</w:t>
      </w:r>
    </w:p>
    <w:p w:rsidR="00163957" w:rsidRDefault="00163957" w:rsidP="00163957">
      <w:pPr>
        <w:pStyle w:val="TextoNormal"/>
      </w:pPr>
    </w:p>
    <w:p w:rsidR="00163957" w:rsidRDefault="00163957" w:rsidP="00163957">
      <w:pPr>
        <w:pStyle w:val="TextoNormal"/>
      </w:pPr>
      <w:r>
        <w:t xml:space="preserve">Frente a esta tesis, el Letrado autonómico sostiene que la Ley 22/1973 regula otras causas de caducidad aparte de aquéllas, específicamente las previstas en los apartados 2 a 5 de su disposición transitoria primera, que además son las aquí relevantes porque la norma gallega recurrida se refiere expresamente a la situación transitoria ordenada por esa disposición estatal. Esta parte invoca en su apoyo el voto particular al dictamen del Consejo de Estado 639-2015, donde el firmante dice “no entiendo por qué dice el dictamen mayoritario que dicho art. 84 inventa nuevas causas de caducidad no previstas en la legislación básica y que la disposición transitoria primera de la Ley de Minas no tipifica causas de caducidad, sino que solo lo hacen los arts. 83 a 88 de dicha ley. Es obvio que dicha disposición transitoria primera regula muy importantes supuestos de caducidad aplicables a supuestos especiales: las minas no sujetas al derecho vigente y las antiguas concesiones inactivas o </w:t>
      </w:r>
      <w:r w:rsidRPr="00163957">
        <w:rPr>
          <w:i/>
        </w:rPr>
        <w:t>de facto</w:t>
      </w:r>
      <w:r>
        <w:t xml:space="preserve"> abandonadas, que son supuestos de caducidad no regulados en los arts. 83 y ss. de la Ley de Minas”. Y concluye de todo ello que “la falta de correcto encuadramiento de este debate por el Estado es obvia y ya justifica su desestimación de por sí, pues, siendo exclusiva de la parte accionante la carga de demostrar la vulneración constitucional, no dedicar ni una línea a confrontar la disposición transitoria segunda de la Ley 3/2008 con la disposición transitoria 1 de la Ley 22/1973 1973, y con ello a demostrar su incompatibilidad, da como resultado un incumplimiento manifiesto de tal carga del recurrente”.</w:t>
      </w:r>
    </w:p>
    <w:p w:rsidR="00163957" w:rsidRDefault="00163957" w:rsidP="00163957">
      <w:pPr>
        <w:pStyle w:val="TextoNormal"/>
      </w:pPr>
    </w:p>
    <w:p w:rsidR="00163957" w:rsidRDefault="00163957" w:rsidP="00163957">
      <w:pPr>
        <w:pStyle w:val="TextoNormal"/>
      </w:pPr>
      <w:r>
        <w:t>Aborda después el fondo de la controversia. Señala que ninguna sentencia constitucional analiza “la competencia de minas como tal” y ante tal falta parte de que el Estado es competente sobre las bases del régimen minero (art. 149.1.25 CE) y que a la Comunidad Autónoma de Galicia le incumbe el desarrollo legislativo y la ejecución (art. 28 del Estatuto de Autonomía para Galicia: EAG). Recuerda la doctrina constitucional sobre el carácter formal y material de las bases, con atención especial al caso en que se infieran de leyes preconstitucionales y a la necesidad de ser un mínimo común normativo que deje espacio al desarrollo autonómico, para precisar “que en el ordenamiento jurídico estatal la regulación legal sobre el régimen minero está en la actualidad en la ley 22/1973, del 21 de julio, que es anterior a la Constitución de 1978, de suerte que ninguna referencia contiene respecto de lo que deba entenderse por regulación básica de la materia de que se trata, razón por la que no resulta fácil determinar cuáles de esos contenidos son básicos”. Añade que “por un principio de seguridad jurídica y responsabilidad difícilmente es comprensible que el Estado pueda oponer como ley estatal sobre la que confrontar la legislación autonómica actual —que busca responder a problemáticas actuales—, una norma legal preconstitucional de hace más de 40 años”, citando a su favor la STC 37/2002.</w:t>
      </w:r>
    </w:p>
    <w:p w:rsidR="00163957" w:rsidRDefault="00163957" w:rsidP="00163957">
      <w:pPr>
        <w:pStyle w:val="TextoNormal"/>
      </w:pPr>
    </w:p>
    <w:p w:rsidR="00163957" w:rsidRDefault="00163957" w:rsidP="00163957">
      <w:pPr>
        <w:pStyle w:val="TextoNormal"/>
      </w:pPr>
      <w:r>
        <w:t xml:space="preserve">El Letrado autonómico sostiene, de otro lado, que el art. 149.1.22 CE “no tiene justificación alguna para este caso” y que “en relación al art 149.1.13 CE es también forzada su traída, pues sabemos que para este Tribunal no cabe su alusión por cualquier posible relación con un sector económico, pues todo cabe ser reconducido a la economía, de forma que si hay un título específico, como aquí sucede, este es el que se debe utilizar”. Respecto a la competencia contemplada en el art. 149.1.23 CE, donde al Estado le cabe la legislación básica en materia de medio ambiente, y las Comunidades Autónomas el desarrollo normativo, sobre todo lo destinado a alcanzar una mayor protección de ese bien jurídico, considera </w:t>
      </w:r>
      <w:r>
        <w:lastRenderedPageBreak/>
        <w:t>que “evitar la prolongación de situaciones de hace más de 40 años, sin regularizar, sin declarar la caducidad en relación a aspiraciones de extracción minera cuando una resolución administrativa ya ha constatado que no cabe la explotación, no es sino ir en la dirección de clarificar y zanjar lo que son actividades de importante afección medioambiental”.</w:t>
      </w:r>
    </w:p>
    <w:p w:rsidR="00163957" w:rsidRDefault="00163957" w:rsidP="00163957">
      <w:pPr>
        <w:pStyle w:val="TextoNormal"/>
      </w:pPr>
    </w:p>
    <w:p w:rsidR="00163957" w:rsidRDefault="00163957" w:rsidP="00163957">
      <w:pPr>
        <w:pStyle w:val="TextoNormal"/>
      </w:pPr>
      <w:r>
        <w:t>Con este marco competencial de fondo examina la controversia en los tres epígrafes siguientes:</w:t>
      </w:r>
    </w:p>
    <w:p w:rsidR="00163957" w:rsidRDefault="00163957" w:rsidP="00163957">
      <w:pPr>
        <w:pStyle w:val="TextoNormal"/>
      </w:pPr>
    </w:p>
    <w:p w:rsidR="00163957" w:rsidRDefault="00163957" w:rsidP="00163957">
      <w:pPr>
        <w:pStyle w:val="TextoNormal"/>
      </w:pPr>
      <w:r>
        <w:t>i) Expone que el precepto gallego no está hablando “de las concesiones, permisos, autorizaciones posteriores a la Ley 22/1973, sino precisamente a las que se refiere la disposición transitoria primera de ésta” e insiste en que “la disposición transitoria primera de la 22/1973 regula unas causas de caducidad específicas para los derechos mineros anteriores a la entrada en vigor de la 22/1973 en el año 1973”. De un modo más preciso, expone que “la disposición transitoria de la  Ley 22/1973 prevé la caducidad por la falta de ejercicio en el plazo de la actividad de explotación. Por tanto, en esta causa de caducidad deben verse lógicamente comprendidos todos los supuestos en los que el titular de los derechos mineros pretenda el inicio de la explotación, pero la administración no lo autorice por incumplimiento de los requisitos mineros que la legislación minera impone”.</w:t>
      </w:r>
    </w:p>
    <w:p w:rsidR="00163957" w:rsidRDefault="00163957" w:rsidP="00163957">
      <w:pPr>
        <w:pStyle w:val="TextoNormal"/>
      </w:pPr>
    </w:p>
    <w:p w:rsidR="00163957" w:rsidRDefault="00163957" w:rsidP="00163957">
      <w:pPr>
        <w:pStyle w:val="TextoNormal"/>
      </w:pPr>
      <w:r>
        <w:t>ii) Añade más tarde que “es evidente que si estamos ante una pretensión minera que proviene de una situación previa a 1973 (recordemos que es un mínimo, pues puede provenir de hace un siglo, 120 años...), con, por ejemplo, una petición para su explotación pasados decenios de inactividad, ésta, desde luego, debe cumplir con la legalidad vigente. Entonces denegada la explotación por causas legales, con carácter de firmeza administrativa, es esta situación la que hay que regularizar, y aquí es donde surge la caducidad”. Y de todo ello concluye que “ante la denegación del permiso de explotación del recurso, en estos casos la única solución razonable es la de iniciar de oficio un procedimiento de declaración de caducidad dado que de la denegación de la explotación se deriva que la iniciación de la explotación no es posible legalmente, cobrando importancia que no concurren los requisitos legalmente exigidos para la explotación, y esta situación no puede considerarse imputable a la administración”.</w:t>
      </w:r>
    </w:p>
    <w:p w:rsidR="00163957" w:rsidRDefault="00163957" w:rsidP="00163957">
      <w:pPr>
        <w:pStyle w:val="TextoNormal"/>
      </w:pPr>
    </w:p>
    <w:p w:rsidR="00163957" w:rsidRDefault="00163957" w:rsidP="00163957">
      <w:pPr>
        <w:pStyle w:val="TextoNormal"/>
      </w:pPr>
      <w:r>
        <w:t>iii) Por último, el Letrado autonómico argumenta que “es perfectamente defendible, y así lo hacemos para completar nuestro discurso, que la regulación de las caducidades de la ley estatal no es de carácter básico … Así, en una materia con paralelismos en lo que nos ocupa, como es la de aguas y las concesiones y derechos de aprovechamientos sobre las mismas, este Tribunal ya declaró que esa normativa estatal no era básica, sólo supletoria (supletoriedad esta hoy ya no permitida”. Y termina introduciendo un matiz, pues “lo que es indudable es que aunque partamos que la regulación estatal de las caducidades mineras participa de la dimensión básica, nunca sería aceptable que de ahí pasemos a que el diseño de tal institución sea un esquema cerrado, donde las CC AA no pueden ni pensar en entrar -aunque lo hagan con toda coherencia y lealtad con las directrices del legislador estatal-, y eso a pesar de las dificultades para los que se ocupan del día a día (CC AA, que tienen las competencias y responsabilidades de gestión), de tener que seguir con una ley de hace más de 42 años, no adaptada ya a lo que va apareciendo.”</w:t>
      </w:r>
    </w:p>
    <w:p w:rsidR="00163957" w:rsidRDefault="00163957" w:rsidP="00163957">
      <w:pPr>
        <w:pStyle w:val="TextoNormal"/>
      </w:pPr>
    </w:p>
    <w:p w:rsidR="00163957" w:rsidRDefault="00163957" w:rsidP="00163957">
      <w:pPr>
        <w:pStyle w:val="TextoNormal"/>
      </w:pPr>
      <w:r>
        <w:t>El escrito insta la desestimación del recurso y, mediante otrosí, “que se abra el incidente de levantamiento de la suspensión de la disposición impugnada”.</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18 de noviembre de 2015, el Pleno del Tribunal acordó dar audiencia a las partes personadas para que, en el plazo de cinco días, expusieran lo que tuviesen por conveniente sobre el mantenimiento o levantamiento de la suspensión de las normas recurridas, lo que hicieron el Letrado de la Xunta de Galicia y el Abogado Estado en sendos escritos de 25 y 26 de noviembre, instando el levantamiento el primero y el mantenimiento el segundo.</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16 de febrero de 2016 se señaló para deliberación y votación de la presente Sentencia el día18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inconstitucionalidad se interpone por el Abogado del Estado, en nombre del Presidente del Gobierno, contra los arts. 5.2 (en cuanto que modifica el art. 27.5 del texto refundido de las disposiciones legales de la Comunidad Autónoma de Galicia en materia de tributos cedidos por el Estado, aprobado por Decreto Legislativo 1/2011, de 28 de julio y 84 de la Ley del Parlamento de Galicia 12/2014, de 22 de diciembre, de medidas fiscales y administrativas). El alcance de cada impugnación, y en especial el contenido de la disposición impugnada así como los argumentos del Abogado del Estado y de las partes recurridas, cuya síntesis ha sido concretada en los antecedentes de esta resolución, será delimitado en el momento de abordar el análisis pormenorizado de cada norma.</w:t>
      </w:r>
    </w:p>
    <w:p w:rsidR="00163957" w:rsidRDefault="00163957" w:rsidP="00163957">
      <w:pPr>
        <w:pStyle w:val="TextoNormal"/>
      </w:pPr>
    </w:p>
    <w:p w:rsidR="00163957" w:rsidRDefault="00163957" w:rsidP="00163957">
      <w:pPr>
        <w:pStyle w:val="TextoNormal"/>
      </w:pPr>
      <w:r w:rsidRPr="00163957">
        <w:rPr>
          <w:rStyle w:val="NumeroAFNegritaCaracter"/>
        </w:rPr>
        <w:t>2</w:t>
      </w:r>
      <w:r>
        <w:t>. El art. 27.5 del Decreto Legislativo 1/2011, en la redacción que le da el art. 5.2 de la Ley 12/2014, que es el primer precepto impugnado, dispone:</w:t>
      </w:r>
    </w:p>
    <w:p w:rsidR="00163957" w:rsidRDefault="00163957" w:rsidP="00163957">
      <w:pPr>
        <w:pStyle w:val="TextoNormal"/>
      </w:pPr>
    </w:p>
    <w:p w:rsidR="00163957" w:rsidRDefault="00163957" w:rsidP="00163957">
      <w:pPr>
        <w:pStyle w:val="TextoNormal"/>
      </w:pPr>
      <w:r>
        <w:t>“Cinco. Capitalización o imputación de rendimientos al porcentaje que la ley de cada tributo señale</w:t>
      </w:r>
    </w:p>
    <w:p w:rsidR="00163957" w:rsidRDefault="00163957" w:rsidP="00163957">
      <w:pPr>
        <w:pStyle w:val="TextoNormal"/>
      </w:pPr>
    </w:p>
    <w:p w:rsidR="00163957" w:rsidRDefault="00163957" w:rsidP="00163957">
      <w:pPr>
        <w:pStyle w:val="TextoNormal"/>
      </w:pPr>
      <w:r>
        <w:t>Podrá utilizarse en el impuesto sobre sucesiones y donaciones y en el impuesto sobre transmisiones patrimoniales y actos jurídicos documentados el medio de comprobación establecido en el artículo 57.1.a) de la Ley 58/2003, de 17 de diciembre, general tributaria. A estos efectos el porcentaje a utilizar será el interés de mora a que se refiere el artículo 26.6 de la misma norma.”</w:t>
      </w:r>
    </w:p>
    <w:p w:rsidR="00163957" w:rsidRDefault="00163957" w:rsidP="00163957">
      <w:pPr>
        <w:pStyle w:val="TextoNormal"/>
      </w:pPr>
    </w:p>
    <w:p w:rsidR="00163957" w:rsidRDefault="00163957" w:rsidP="00163957">
      <w:pPr>
        <w:pStyle w:val="TextoNormal"/>
      </w:pPr>
      <w:r>
        <w:t xml:space="preserve">Como sostiene el Letrado de la Xunta de Galicia, en la demanda se entremezclan distintos argumentos. En ella se aduce, y esta alegación se reitera a lo largo de ese escrito, que la norma recurrida supone incumplir lo acordado en la comisión bilateral de 22 de noviembre de 2013 cuando, según resulta del expediente, la discrepancia allí dirimida versaba sobre la adecuación de un precepto autonómico al art. 57.1 e) de la Ley general tributaria (LGT) mientras que la norma aquí recurrida alude al art. 57.1 a) LGT, que es algo distinto. Sin embargo, y es por esto que rechazamos el alegato del Letrado autonómico según el cual el accionante “no ha cumplido con la carga de aportar un discurso coherente y bien definido”, apreciamos que la demanda explicita los dos razonamientos siguientes: a) de un lado, que el precepto autonómico prevé que se pueda usar en el impuesto sobre sucesiones y donaciones y en el de transmisiones patrimoniales y actos jurídicos documentados un sistema de </w:t>
      </w:r>
      <w:r>
        <w:lastRenderedPageBreak/>
        <w:t>comprobación de valores no admitido por la Ley estatal del impuesto, con lo que estaría haciendo una regulación no ajustada al marco previsto en el art. 57.1 a) LGT, en la medida que éste dispone que podrá usarse como medio de comprobación de valores la “capitalización o imputación de rendimientos al porcentaje que la ley de cada tributo señale”; b) de otro lado, la demanda afirma expresamente que el precepto autonómico “vincula el dictamen de peritos cuando utilice el medio de capitalización del art. 57.1 a) LGT a aplicar el tipo de interés de demora al que se refiere el art. 26.6 LGT, lo que condiciona la autonomía de valoración de los peritos garantizado por la norma básica, afectando negativamente a la ausencia de condicionamiento que el precepto estatal consagra”.</w:t>
      </w:r>
    </w:p>
    <w:p w:rsidR="00163957" w:rsidRDefault="00163957" w:rsidP="00163957">
      <w:pPr>
        <w:pStyle w:val="TextoNormal"/>
      </w:pPr>
    </w:p>
    <w:p w:rsidR="00163957" w:rsidRDefault="00163957" w:rsidP="00163957">
      <w:pPr>
        <w:pStyle w:val="TextoNormal"/>
      </w:pPr>
      <w:r w:rsidRPr="00163957">
        <w:rPr>
          <w:rStyle w:val="NumeroAFNegritaCaracter"/>
        </w:rPr>
        <w:t>3</w:t>
      </w:r>
      <w:r>
        <w:t>. Comenzaremos por el examen del primer motivo de impugnación debido a su carácter más general, pues, de estimarse que la expresión “ley de cada tributo” del art. 57.1 a) LGT alude a una ley estatal y que ello es admisible de acuerdo con el reparto constitucional de competencias, ninguna ley autonómica podría prever respecto de un determinado impuesto el método de comprobación consistente en capitalizar rendimientos a un concreto porcentaje si no lo ha hecho previamente la ley estatal que disciplina específicamente ese tributo. No sería necesario evaluar, por tanto, si la norma autonómica incide en un aspecto de la capitalización más o menos central, ni tampoco si el modo de disciplinar dicho criterio de comprobación de valores interfiere, desfigurándolo, en otro método distinto como pudiera ser el previsto en el art. 57.1 e) LGT. Simplemente la normativa autonómica no podría intervenir en ese ámbito material.</w:t>
      </w:r>
    </w:p>
    <w:p w:rsidR="00163957" w:rsidRDefault="00163957" w:rsidP="00163957">
      <w:pPr>
        <w:pStyle w:val="TextoNormal"/>
      </w:pPr>
    </w:p>
    <w:p w:rsidR="00163957" w:rsidRDefault="00163957" w:rsidP="00163957">
      <w:pPr>
        <w:pStyle w:val="TextoNormal"/>
      </w:pPr>
      <w:r>
        <w:t>El Letrado de la Xunta de Galicia opone al planteamiento en que se funda este motivo de impugnación dos tesis distintas. Sostiene de un lado, en la forma detallada en los antecedentes, que las leyes estatales que regulan específicamente el impuesto sobre sucesiones y donaciones y el impuesto de transmisiones patrimoniales y actos jurídicos documentados sí prevén el método de valoración del art. 57.1 a) LGT 2003. Razona de otro lado, y en esta segunda alegación coincide el Letrado del Parlamento de Galicia, que “si se llega a la consideración de que en las leyes y reglamentos estatales del ISD y del ITPyAJD no está el acogimiento al medio de capitalización o imputación de rendimientos, y que este acogimiento es necesario en las ‘leyes del tributo’, defendemos que esa ley puede ser la ley autonómica, concretamente el art. 27.5 del Decreto Legislativo 1/11, en redacción dada por la ley 12/14”. Apoya este argumento en que el art 27 de la Ley 22/2009, cuando describe la normativa de los tributos cedidos, incluye la normativa autonómica y también en que “las CC AA tienen competencias normativas para regular los aspectos de gestión y liquidación en el ISD y en el ITP y AJD (arts. 48.2 y 49.2 Ley 22/2009)”.</w:t>
      </w:r>
    </w:p>
    <w:p w:rsidR="00163957" w:rsidRDefault="00163957" w:rsidP="00163957">
      <w:pPr>
        <w:pStyle w:val="TextoNormal"/>
      </w:pPr>
    </w:p>
    <w:p w:rsidR="00163957" w:rsidRDefault="00163957" w:rsidP="00163957">
      <w:pPr>
        <w:pStyle w:val="TextoNormal"/>
      </w:pPr>
      <w:r w:rsidRPr="00163957">
        <w:rPr>
          <w:rStyle w:val="NumeroAFNegritaCaracter"/>
        </w:rPr>
        <w:t>4</w:t>
      </w:r>
      <w:r>
        <w:t>. Resolver esta controversia exige partir del encuadre competencial de la materia litigiosa, cuestión que ya se hizo en gran medida en la STC 161/2012, de 20 de septiembre, en la que se decidió, como también es aquí el caso, una discrepancia sobre quien era competente para regular los medios de comprobación del valor de los elementos determinantes de la obligación tributaria en dos impuestos cedidos como son el impuesto sobre sucesiones y donaciones y el impuesto de transmisiones patrimoniales y actos jurídicos documentados.</w:t>
      </w:r>
    </w:p>
    <w:p w:rsidR="00163957" w:rsidRDefault="00163957" w:rsidP="00163957">
      <w:pPr>
        <w:pStyle w:val="TextoNormal"/>
      </w:pPr>
    </w:p>
    <w:p w:rsidR="00163957" w:rsidRDefault="00163957" w:rsidP="00163957">
      <w:pPr>
        <w:pStyle w:val="TextoNormal"/>
      </w:pPr>
      <w:r>
        <w:t>A.- Respecto del marco competencial general que rige la materia tributos cedidos, la STC 161/2012, FJ 3, estableció:</w:t>
      </w:r>
    </w:p>
    <w:p w:rsidR="00163957" w:rsidRDefault="00163957" w:rsidP="00163957">
      <w:pPr>
        <w:pStyle w:val="TextoNormal"/>
      </w:pPr>
    </w:p>
    <w:p w:rsidR="00163957" w:rsidRDefault="00163957" w:rsidP="00163957">
      <w:pPr>
        <w:pStyle w:val="TextoNormal"/>
      </w:pPr>
      <w:r>
        <w:lastRenderedPageBreak/>
        <w:t>“Los impuestos cedidos son de titularidad estatal, dado lo establecido en los arts. 133.1 y 149.1.14 CE, de manera que la cesión del tributo no implica ‘la transmisión de la titularidad sobre el mismo o sobre el ejercicio de las competencias inherentes al mismo’ (SSTC 192/2000, de 13 de julio, FJ 8; y 35/2012, de 15 de marzo, FJ 7) … Además de la atribución del producto de estos tributos a las Comunidades Autónomas, de forma total o parcial, la regulación legal vigente de los tributos cedidos contempla también la posibilidad de que las Comunidades Autónomas asuman, por delegación, determinadas potestades de aplicación de algunos de ellos. Adicionalmente, y desde la Ley 14/1996, de cesión de tributos del Estado a las Comunidades Autónomas y de medidas fiscales complementarias, la cesión de tributos puede incluir también una delegación de facultades normativas, de acuerdo con lo dispuesto en el art. 150.1 CE…</w:t>
      </w:r>
    </w:p>
    <w:p w:rsidR="00163957" w:rsidRDefault="00163957" w:rsidP="00163957">
      <w:pPr>
        <w:pStyle w:val="TextoNormal"/>
      </w:pPr>
    </w:p>
    <w:p w:rsidR="00163957" w:rsidRDefault="00163957" w:rsidP="00163957">
      <w:pPr>
        <w:pStyle w:val="TextoNormal"/>
      </w:pPr>
      <w:r>
        <w:t>A partir de lo anterior, resulta que [las Comunidades Autónomas] podrá[n] regular determinados aspectos de los tributos cedidos, si bien deberá[n] hacerlo dentro del marco establecido por el Estado, esto es, dentro del marco fijado por la LOFCA y precisado por la correspondiente ley de cesión de tributos…. Así, a partir de la habilitación prevista en los arts. 10.3 y 19.2 LOFCA, que establece la posibilidad de que la cesión de tributos pueda contener facultades normativas, la Ley 22/2009, del sistema de financiación, precisa las concretas facultades normativas que podrán ser objeto de delegación en cada uno de los tributos cedidos. Por último, la ley específica de cesión de cada Comunidad Autónoma … concreta para cada una los tributos en particular que son objeto de cesión….</w:t>
      </w:r>
    </w:p>
    <w:p w:rsidR="00163957" w:rsidRDefault="00163957" w:rsidP="00163957">
      <w:pPr>
        <w:pStyle w:val="TextoNormal"/>
      </w:pPr>
    </w:p>
    <w:p w:rsidR="00163957" w:rsidRDefault="00163957" w:rsidP="00163957">
      <w:pPr>
        <w:pStyle w:val="TextoNormal"/>
      </w:pPr>
      <w:r>
        <w:t>El marco de delegación de competencias normativas en los impuestos cedidos está también formado por las leyes estatales reguladoras de los tributos, pues sólo en contraste con las mismas puede comprenderse el concreto alcance de las potestades objeto de delegación. De esta manera, aunque estas normas no puedan ser consideradas parámetro de enjuiciamiento de forma directa, sí pueden serlo por remisión cuando las normas de cesión se refieran expresamente a ellas, como hacen los … arts. 48 (impuesto sobre sucesiones y donaciones) y 49 (impuesto sobre transmisiones patrimoniales y actos jurídicos documentados) de la Ley 22/2009…”</w:t>
      </w:r>
    </w:p>
    <w:p w:rsidR="00163957" w:rsidRDefault="00163957" w:rsidP="00163957">
      <w:pPr>
        <w:pStyle w:val="TextoNormal"/>
      </w:pPr>
    </w:p>
    <w:p w:rsidR="00163957" w:rsidRDefault="00163957" w:rsidP="00163957">
      <w:pPr>
        <w:pStyle w:val="TextoNormal"/>
      </w:pPr>
      <w:r>
        <w:t>B.- Más en concreto, la STC 161/2012, FJ 6, precisó el régimen competencial de la submateria métodos de comprobación de valores cuando se trata de tributos cedidos, y especialmente en el caso del impuesto sobre sucesiones y donaciones y del impuesto de transmisiones patrimoniales y actos jurídicos documentados, en los siguientes términos:</w:t>
      </w:r>
    </w:p>
    <w:p w:rsidR="00163957" w:rsidRDefault="00163957" w:rsidP="00163957">
      <w:pPr>
        <w:pStyle w:val="TextoNormal"/>
      </w:pPr>
    </w:p>
    <w:p w:rsidR="00163957" w:rsidRDefault="00163957" w:rsidP="00163957">
      <w:pPr>
        <w:pStyle w:val="TextoNormal"/>
      </w:pPr>
      <w:r>
        <w:t xml:space="preserve">“Conforme al canon que ya se ha expuesto, esta norma debe contrastarse, para comprobar si se ha producido la extralimitación competencial aducida en la demanda de inconstitucionalidad, con los siguientes preceptos de la Ley 22/2009. Por un lado, los arts. 48.2 y 49.2, que atribuyen a las Comunidades Autónomas la facultad de regular, respectivamente, ‘los aspectos de gestión y liquidación’ en los impuestos sobre sucesiones y donaciones y de transmisiones patrimoniales y actos jurídicos documentados. Por otro lado, junto a esta delegación de facultades normativas, que permite a las Comunidades Autónomas dictar normas en materia de gestión y liquidación, la Ley 22/2009 establece en su art. 54.1 una delegación de competencias administrativas en estos dos tributos, que entre otros aspectos se extiende a ‘la aplicación de los tributos así como de la revisión de los actos dictados en ejercicio de la misma’. El art. 55.1 precisa el alcance de dicha «delegación de competencias en relación con la gestión tributaria» en el caso de los antes citados tributos, estableciendo </w:t>
      </w:r>
      <w:r>
        <w:lastRenderedPageBreak/>
        <w:t>que ‘[e]n la gestión tributaria de los Impuestos... sobre Sucesiones y Donaciones, sobre Transmisiones Patrimoniales y Actos Jurídicos Documentados... corresponderá a las Comunidades Autónomas... a) La incoación de los expedientes de comprobación de valores, utilizando los mismos criterios que el Estado’.</w:t>
      </w:r>
    </w:p>
    <w:p w:rsidR="00163957" w:rsidRDefault="00163957" w:rsidP="00163957">
      <w:pPr>
        <w:pStyle w:val="TextoNormal"/>
      </w:pPr>
    </w:p>
    <w:p w:rsidR="00163957" w:rsidRDefault="00163957" w:rsidP="00163957">
      <w:pPr>
        <w:pStyle w:val="TextoNormal"/>
      </w:pPr>
      <w:r>
        <w:t>En la actualidad, dichos criterios del Estado se encuentran regulados, con carácter general, en el art. 57 Ley 58/2003, de 17 de diciembre, general tributaria, que regula la comprobación de valores y que debe emplearse por tanto como norma de contraste para interpretar este límite … El art. 57.3 LGT se remite a su vez a la legislación de cada tributo para la regulación concreta de los medios de comprobación. El art. 18.1 de la Ley 29/1987, de 18 de diciembre, del impuesto sobre sucesiones y donaciones remite a la LGT, como lo hace también el art. 46.2 del Real Decreto Legislativo 1/1993, de 24 de septiembre, por el que se aprueba el texto refundido de la Ley del impuesto sobre transmisiones patrimoniales y actos jurídicos documentados. En consecuencia, los mismos criterios de valoración establecidos por la Ley general tributaria deben ser aplicados en el impuesto sobre sucesiones y donaciones y en el impuesto sobre transmisiones patrimoniales y actos jurídicos documentados, pues las leyes reguladoras de estos tributos no establecen criterios distintos”.</w:t>
      </w:r>
    </w:p>
    <w:p w:rsidR="00163957" w:rsidRDefault="00163957" w:rsidP="00163957">
      <w:pPr>
        <w:pStyle w:val="TextoNormal"/>
      </w:pPr>
    </w:p>
    <w:p w:rsidR="00163957" w:rsidRDefault="00163957" w:rsidP="00163957">
      <w:pPr>
        <w:pStyle w:val="TextoNormal"/>
      </w:pPr>
      <w:r w:rsidRPr="00163957">
        <w:rPr>
          <w:rStyle w:val="NumeroAFNegritaCaracter"/>
        </w:rPr>
        <w:t>5</w:t>
      </w:r>
      <w:r>
        <w:t>. Conforme a la doctrina constitucional descrita, el art. 57 LGT es, por la remisión que hace el art. 55.1 de la Ley 22/2009 a los criterios de comprobación de valores del Estado, el parámetro de contraste del precepto recurrido que habremos de usar en el enjuiciamiento de constitucionalidad que nos incumbe.</w:t>
      </w:r>
    </w:p>
    <w:p w:rsidR="00163957" w:rsidRDefault="00163957" w:rsidP="00163957">
      <w:pPr>
        <w:pStyle w:val="TextoNormal"/>
      </w:pPr>
    </w:p>
    <w:p w:rsidR="00163957" w:rsidRDefault="00163957" w:rsidP="00163957">
      <w:pPr>
        <w:pStyle w:val="TextoNormal"/>
      </w:pPr>
      <w:r>
        <w:t xml:space="preserve">La norma gallega recurrida admite como medio de comprobación de valores en el impuesto sobre sucesiones y donaciones y en el impuesto de transmisiones patrimoniales y actos jurídicos documentados, ambos tributos cedidos a la Comunidad Autónoma por la Ley 17/2010, el de capitalizar el rendimiento al interés de demora </w:t>
      </w:r>
      <w:r w:rsidRPr="00163957">
        <w:rPr>
          <w:i/>
        </w:rPr>
        <w:t>ex</w:t>
      </w:r>
      <w:r>
        <w:t xml:space="preserve"> art. 26.6 LGT. El art. 57 LGT, en la letra a) de su apartado 1, dispone que “el valor de [los] elementos determinantes de la obligación tributaria podrá ser comprobado por la Administración tributaria mediante los siguientes medios: a) capitalización o imputación de rendimientos al porcentaje que la ley de cada tributo señale”. A esto hay que añadir que las leyes estatales que disciplinan el impuesto sobre sucesiones y donaciones (Ley 29/1987, de 18 de diciembre, del impuesto sobre sucesiones y donaciones) y el impuesto de transmisiones patrimoniales y actos jurídicos documentados (Real Decreto Legislativo 1/1993, de 24 de septiembre, por el que se aprueba el texto refundido de la Ley del impuesto sobre transmisiones patrimoniales y actos jurídicos documentados) no contienen regulación alguna referida específicamente a este método de cálculo del valor de los elementos determinantes de la obligación tributaria, por no prever ni siquiera establecen el porcentaje al que se realizará la capitalización del rendimiento, limitándose a reenviar genéricamente al art. 52 LGT 1963 (sustituido por el art. 57 LGT 2003). Por todo ello, y contrariamente a la alegación principal del Letrado de la Xunta de Galicia, constatamos que las respectivas leyes estatales que regulan estos dos tributos no contemplan este método de comprobación de valores.</w:t>
      </w:r>
    </w:p>
    <w:p w:rsidR="00163957" w:rsidRDefault="00163957" w:rsidP="00163957">
      <w:pPr>
        <w:pStyle w:val="TextoNormal"/>
      </w:pPr>
    </w:p>
    <w:p w:rsidR="00163957" w:rsidRDefault="00163957" w:rsidP="00163957">
      <w:pPr>
        <w:pStyle w:val="TextoNormal"/>
      </w:pPr>
      <w:r>
        <w:t xml:space="preserve">A partir del contenido normativo expuesto, la comparación del precepto recurrido con el art. 57.1 a) LGT muestra que lo decisivo para determinar si la norma autonómica encaja en el marco diseñado por la estatal es la comprensión del enunciado “ley de cada tributo” presente en el art. 57.1 a) LGT. Esta es, como ya se ha dejado indicado, la cuestión en torno a </w:t>
      </w:r>
      <w:r>
        <w:lastRenderedPageBreak/>
        <w:t>la que gira la discrepancia de las partes. El Abogado del Estado considera que con esa locución se alude a la Ley estatal que regula específicamente cada tributo, mientras que las partes recurridas entienden que la finalidad del 57.1 a) LGT es simplemente evitar que la Administración al usar este medio de valoración pueda elegir el porcentaje de capitalización libremente, con lo que no ven obstáculo alguno para que esa expresión abarque tanto la Ley estatal como la Ley autonómica, máxime cuando los arts. 48.2 y 49.2 de la Ley 22/2009 atribuyen a las Comunidades Autónomas facultades normativas en relación a la gestión del impuesto sobre sucesiones y donaciones y el impuesto de transmisiones patrimoniales y actos jurídicos documentados.</w:t>
      </w:r>
    </w:p>
    <w:p w:rsidR="00163957" w:rsidRDefault="00163957" w:rsidP="00163957">
      <w:pPr>
        <w:pStyle w:val="TextoNormal"/>
      </w:pPr>
    </w:p>
    <w:p w:rsidR="00163957" w:rsidRDefault="00163957" w:rsidP="00163957">
      <w:pPr>
        <w:pStyle w:val="TextoNormal"/>
      </w:pPr>
      <w:r>
        <w:t xml:space="preserve">El primer argumento a tener en cuenta es que, conforme se ha dejado transcrito, la STC 161/2012, FJ 6, después de afirmar que el art. 57.3 LGT se remite a su vez a la “legislación de cada tributo” para la regulación concreta de los medios de valoración, examina exclusivamente las leyes estatales que disciplinan impuesto sobre sucesiones y donaciones y el impuesto de transmisiones patrimoniales y actos jurídicos documentados , respectivamente el art. 18.1 de la Ley 29/1987 y el art. 46.2 del Real Decreto Legislativo 1/1993. Si la STC 161/2012 entendió que cuando el art. 57.3 LGT utiliza la mención “normas de cada tributo” se refiere solo a las estatales con mayor motivo hay que entender que, por ser más restrictiva, la locución “ley de cada tributo” </w:t>
      </w:r>
      <w:r w:rsidRPr="00163957">
        <w:rPr>
          <w:i/>
        </w:rPr>
        <w:t>ex</w:t>
      </w:r>
      <w:r>
        <w:t xml:space="preserve"> art 57.1 a) LGT comprende de igual modo las leyes estatales únicamente.</w:t>
      </w:r>
    </w:p>
    <w:p w:rsidR="00163957" w:rsidRDefault="00163957" w:rsidP="00163957">
      <w:pPr>
        <w:pStyle w:val="TextoNormal"/>
      </w:pPr>
    </w:p>
    <w:p w:rsidR="00163957" w:rsidRDefault="00163957" w:rsidP="00163957">
      <w:pPr>
        <w:pStyle w:val="TextoNormal"/>
      </w:pPr>
      <w:r>
        <w:t>Avala también esta solución un argumento referido de un modo singular al método de comprobación que nos ocupa. La STC 161/2012, FJ 7 recogiendo doctrina constitucional anterior, razonó que “no hay que olvidar que esta ley [la LGT] es una ‘verdadera norma de unificación de criterios a cuyo través se garantiza el mínimo de uniformidad imprescindible en los aspectos básicos del régimen tributario’ (STC 66/1998, de 18 de marzo, FJ 14), fundamental también ‘para garantizar a los administrados un tratamiento común ante las Administraciones públicas’ (STC 14/1986, de 31 de enero, FJ 14)”. Admitir que el enunciado “ley de cada tributo” recogido en el art. 57.1 a) LGT abarca las leyes autonómicas supondría que éstas podrían respecto de un determinado tributo, en este caso en relación al impuesto sobre sucesiones y donaciones y al impuesto de transmisiones patrimoniales y actos jurídicos documentados, prever la posibilidad de usar como método de comprobación de valores el de imputación de rendimientos, así como establecer el porcentaje conforme al que dicha imputación se realizaría, con lo que se generarían sustanciales diferencias entre Comunidades Autónomas en el cálculo de los elementos determinantes de la obligación tributaria, lo que, en particular tratándose de impuestos estatales como el impuesto sobre sucesiones y donaciones y el impuesto de transmisiones patrimoniales y actos jurídicos documentados, sería contradictorio con las indicadas finalidades —asegurar un mínimo de uniformidad en los aspectos básicos del régimen tributario y garantizar a los administrados un tratamiento común ante las Administraciones públicas— que la doctrina constitucional viene atribuyendo a esta norma jurídica.</w:t>
      </w:r>
    </w:p>
    <w:p w:rsidR="00163957" w:rsidRDefault="00163957" w:rsidP="00163957">
      <w:pPr>
        <w:pStyle w:val="TextoNormal"/>
      </w:pPr>
    </w:p>
    <w:p w:rsidR="00163957" w:rsidRDefault="00163957" w:rsidP="00163957">
      <w:pPr>
        <w:pStyle w:val="TextoNormal"/>
      </w:pPr>
      <w:r>
        <w:t xml:space="preserve">Establecido que el sentido constitucionalmente adecuado de la expresión “ley de cada tributo” del art 57.1 a) LGT es que alude a la Ley estatal que regula cada tributo, el contraste con esta norma estatal del precepto autonómico recurrido arroja el resultado de que éste último, a pesar de que ni la Ley estatal que disciplina el impuesto sobre sucesiones y donaciones ni la que regula el impuesto de transmisiones patrimoniales y actos jurídicos documentados admiten la comprobación de valores mediante capitalización de rendimientos, ha </w:t>
      </w:r>
      <w:r>
        <w:lastRenderedPageBreak/>
        <w:t>previsto este método de valoración para el cálculo de los elementos determinantes de la obligación tributaria en esos dos tributos cedidos, con lo que ha incidido en una materia que le está vedada por el juego combinado del art. 57.1 a) LGT y las leyes estatales reguladoras del impuesto sobre sucesiones y donaciones y del impuesto de transmisiones patrimoniales y actos jurídicos documentados.</w:t>
      </w:r>
    </w:p>
    <w:p w:rsidR="00163957" w:rsidRDefault="00163957" w:rsidP="00163957">
      <w:pPr>
        <w:pStyle w:val="TextoNormal"/>
      </w:pPr>
    </w:p>
    <w:p w:rsidR="00163957" w:rsidRDefault="00163957" w:rsidP="00163957">
      <w:pPr>
        <w:pStyle w:val="TextoNormal"/>
      </w:pPr>
      <w:r>
        <w:t>En conclusión, y sin perjuicio de reiterar que la Comunidad Autónoma de Galicia tiene atribuidas facultades normativas en materia de gestión de los tributos cedidos y en particular del impuesto sobre sucesiones y donaciones y del impuesto de transmisiones patrimoniales y actos jurídicos documentados, la norma autonómica impugnada resulta contraria al mandato contenido en el art. 55.1 de la Ley 22/2009, a tenor del cual los órganos de gestión tributaria de la Comunidad Autónoma tan sólo podrán incoar expedientes de comprobación de valores utilizando los mismos criterios que el Estado, y en consecuencia significa una extralimitación en el ámbito de cesión de tributos que supone la inconstitucionalidad de la norma autonómica por invadir la competencia estatal sobre estos tributos (art. 149.1.14 CE en relación con los arts. 133.1 y 157.3 CE).</w:t>
      </w:r>
    </w:p>
    <w:p w:rsidR="00163957" w:rsidRDefault="00163957" w:rsidP="00163957">
      <w:pPr>
        <w:pStyle w:val="TextoNormal"/>
      </w:pPr>
    </w:p>
    <w:p w:rsidR="00163957" w:rsidRDefault="00163957" w:rsidP="00163957">
      <w:pPr>
        <w:pStyle w:val="TextoNormal"/>
      </w:pPr>
      <w:r>
        <w:t>La anterior conclusión, y la declaración de inconstitucionalidad y nulidad que conlleva del art. 27.5 del Decreto Legislativo 1/2011, en la redacción que le da el art. 5.2 de la Ley 12/2014, nos exime de pronunciarnos acerca del otro motivo en que se apoya esta primera impugnación.</w:t>
      </w:r>
    </w:p>
    <w:p w:rsidR="00163957" w:rsidRDefault="00163957" w:rsidP="00163957">
      <w:pPr>
        <w:pStyle w:val="TextoNormal"/>
      </w:pPr>
    </w:p>
    <w:p w:rsidR="00163957" w:rsidRDefault="00163957" w:rsidP="00163957">
      <w:pPr>
        <w:pStyle w:val="TextoNormal"/>
      </w:pPr>
      <w:r w:rsidRPr="00163957">
        <w:rPr>
          <w:rStyle w:val="NumeroAFNegritaCaracter"/>
        </w:rPr>
        <w:t>6</w:t>
      </w:r>
      <w:r>
        <w:t>. Este recurso se dirige también contra el art. 84 de la Ley del Parlamento de Galicia 12/2014, de 22 de diciembre, de medidas fiscales y administrativas, que añade una disposición transitoria segunda a la Ley 3/2008, de 23 de mayo, de ordenación de la minería de Galicia. Como se expondrá a continuación, la demanda razona que este precepto regula una causa de caducidad de la concesiones de explotación de recursos mineros de la sección C que no está prevista en la normativa estatal, por lo que debemos entender ceñida la impugnación a su primer apartado, que dispone:</w:t>
      </w:r>
    </w:p>
    <w:p w:rsidR="00163957" w:rsidRDefault="00163957" w:rsidP="00163957">
      <w:pPr>
        <w:pStyle w:val="TextoNormal"/>
      </w:pPr>
    </w:p>
    <w:p w:rsidR="00163957" w:rsidRDefault="00163957" w:rsidP="00163957">
      <w:pPr>
        <w:pStyle w:val="TextoNormal"/>
      </w:pPr>
      <w:r>
        <w:t>“Disposición transitoria segunda. Régimen de las concesiones de explotación reguladas por la disposición transitoria primera de la Ley 22/1973, de 21 de julio, de minas</w:t>
      </w:r>
    </w:p>
    <w:p w:rsidR="00163957" w:rsidRDefault="00163957" w:rsidP="00163957">
      <w:pPr>
        <w:pStyle w:val="TextoNormal"/>
      </w:pPr>
    </w:p>
    <w:p w:rsidR="00163957" w:rsidRDefault="00163957" w:rsidP="00163957">
      <w:pPr>
        <w:pStyle w:val="TextoNormal"/>
      </w:pPr>
      <w:r>
        <w:t>1. En el caso de las concesiones reguladas por la disposición transitoria primera de la Ley 22/1973, de 21 de julio, de minas, la denegación de la autorización de explotación por cualquiera de las causas legales determinará la caducidad de los derechos mineros correspondientes. Una vez que la resolución denegatoria sea definitiva en la vía administrativa, el órgano minero competente incoará de oficio el procedimiento de caducidad de los derechos, que, una vez que finalice, implicará la cancelación de la inscripción correspondiente en el Registro Minero de Galicia.”</w:t>
      </w:r>
    </w:p>
    <w:p w:rsidR="00163957" w:rsidRDefault="00163957" w:rsidP="00163957">
      <w:pPr>
        <w:pStyle w:val="TextoNormal"/>
      </w:pPr>
    </w:p>
    <w:p w:rsidR="00163957" w:rsidRDefault="00163957" w:rsidP="00163957">
      <w:pPr>
        <w:pStyle w:val="TextoNormal"/>
      </w:pPr>
      <w:r>
        <w:t>El Abogado del Estado sostiene que el art. 86 Ley 22/1973, de 21 de julio, de minas, que debe reputarse amparado por las atribuciones que hacen al Estado distintas cláusulas del art 149.1 CE, entre ellas la 13 (bases y planificación general de la economía) y la 25 (bases del régimen minero), fija las causas de caducidad de una concesión de explotación de recursos de la sección C), contemplando la norma gallega transcrita una causa que no está entre ellas, por lo que invade las competencias estatales que dan cobertura al art. 86 de la Ley 22/1973.</w:t>
      </w:r>
    </w:p>
    <w:p w:rsidR="00163957" w:rsidRDefault="00163957" w:rsidP="00163957">
      <w:pPr>
        <w:pStyle w:val="TextoNormal"/>
      </w:pPr>
    </w:p>
    <w:p w:rsidR="00163957" w:rsidRDefault="00163957" w:rsidP="00163957">
      <w:pPr>
        <w:pStyle w:val="TextoNormal"/>
      </w:pPr>
      <w:r>
        <w:lastRenderedPageBreak/>
        <w:t>El Letrado de la Xunta de Galicia opone que las causas de caducidad relevantes son las que prevén los apartados 2 a 5 de la disposición transitoria primera de la Ley 22/1973, por lo que ‘no dedicar ni una línea a confrontar la disposición transitoria segunda de la Ley 3/2008 con la disposición transitoria primera de la Ley 22/1973, y con ello a demostrar su incompatibilidad, da como resultado un incumplimiento manifiesto de tal carga del recurrente [la carga de demostrar la vulneración constitucional]’. Sostiene en segundo lugar, y el Letrado del Parlamento de Galicia coincide en esta argumentación, que la causa de caducidad regulada en la norma recurrida es plenamente conforme con la disposición transitoria primera de la Ley 22/1973. En tercer lugar, y a todas luces de un modo subsidiario, el Letrado de la Xunta de Galicia razona que las normas estatales que regulan las causas de caducidad de concesiones de explotación de recursos de la sección C no tienen carácter básico y, en caso de que lo tengan, no sería acorde con tal condición un precepto estatal que contuviera un régimen que no pudiera ser adicionado de alguna manera por las Comunidades Autónomas.</w:t>
      </w:r>
    </w:p>
    <w:p w:rsidR="00163957" w:rsidRDefault="00163957" w:rsidP="00163957">
      <w:pPr>
        <w:pStyle w:val="TextoNormal"/>
      </w:pPr>
    </w:p>
    <w:p w:rsidR="00163957" w:rsidRDefault="00163957" w:rsidP="00163957">
      <w:pPr>
        <w:pStyle w:val="TextoNormal"/>
      </w:pPr>
      <w:r>
        <w:t>Que el parámetro de contraste de la norma recurrida sea el art. 86 de la Ley 22/1973 o la disposición transitoria primera de la Ley 22/1973 es una cuestión que dependerá de cual sea el contenido normativo del precepto gallego. Ésta, como se verá más adelante, es una de las cuestiones centrales de la controversia, lo que conlleva en este momento que proceda rechazar la primera objeción formulada por el Letrado autonómico y adentrarnos en el examen del fondo de la impugnación.</w:t>
      </w:r>
    </w:p>
    <w:p w:rsidR="00163957" w:rsidRDefault="00163957" w:rsidP="00163957">
      <w:pPr>
        <w:pStyle w:val="TextoNormal"/>
      </w:pPr>
    </w:p>
    <w:p w:rsidR="00163957" w:rsidRDefault="00163957" w:rsidP="00163957">
      <w:pPr>
        <w:pStyle w:val="TextoNormal"/>
      </w:pPr>
      <w:r w:rsidRPr="00163957">
        <w:rPr>
          <w:rStyle w:val="NumeroAFNegritaCaracter"/>
        </w:rPr>
        <w:t>7</w:t>
      </w:r>
      <w:r>
        <w:t>. Como premisa del enjuiciamiento de constitucionalidad de la norma recurrida se hace imprescindible determinar qué norma estatal actúa como parámetro de contraste en dicha operación, cuestión ésta sobre la que discrepan las partes porque disienten de cuál es el contenido normativo de aquélla.</w:t>
      </w:r>
    </w:p>
    <w:p w:rsidR="00163957" w:rsidRDefault="00163957" w:rsidP="00163957">
      <w:pPr>
        <w:pStyle w:val="TextoNormal"/>
      </w:pPr>
    </w:p>
    <w:p w:rsidR="00163957" w:rsidRDefault="00163957" w:rsidP="00163957">
      <w:pPr>
        <w:pStyle w:val="TextoNormal"/>
      </w:pPr>
      <w:r>
        <w:t>El Abogado del Estado considera que el precepto gallego dispone que las concesiones de explotación preexistentes a la Ley 22/1973 caducarán cuando se les deniegue la autorización de explotación, ya se produzca esta denegación por cualquier falta de adaptación a la Ley 22/1973 de tales derechos preexistentes en los plazos estipulados por la disposición transitoria primera de la Ley 22/1973, ya resulte de la falta de otros requerimientos para que sea posible la explotación exigidos por la legislación vigente al tiempo de la solicitud. En este segundo caso, como la denegación de la autorización de explotación que da lugar a la caducidad iría ligada a exigencias que no están en la disposición transitoria primera de la Ley de minas de 1973 sino que han sido impuestas a la explotación minera con posterioridad, lo que sucede en realidad es que el precepto autonómico proyecta su mandato sobre concesiones de explotación preexistentes a la Ley 22/1973 pero ya regularizadas, pues si no lo estuvieran su caducidad se habría producido en todo caso por el transcurso de los plazos indicados en la disposición transitoria primera de la Ley de minas. En definitiva, dado que, según el argumento expuesto, la norma recurrida prevé un supuesto de caducidad de concesiones preexistentes a la Ley 22/1973 pero ya regularizadas, el parámetro de contraste ha de ser el art. 86 de la Ley 22/1973, que es el que prevé las causas de caducidad de los derechos de explotación de recursos de la sección C que son conformes al régimen previsto en la Ley de minas, bien por haber sido otorgadas con ésta en vigor, bien por ser derechos preexistentes pero adaptados a ella dentro de los plazos señalados en su disposición transitoria primera.</w:t>
      </w:r>
    </w:p>
    <w:p w:rsidR="00163957" w:rsidRDefault="00163957" w:rsidP="00163957">
      <w:pPr>
        <w:pStyle w:val="TextoNormal"/>
      </w:pPr>
    </w:p>
    <w:p w:rsidR="00163957" w:rsidRDefault="00163957" w:rsidP="00163957">
      <w:pPr>
        <w:pStyle w:val="TextoNormal"/>
      </w:pPr>
      <w:r>
        <w:lastRenderedPageBreak/>
        <w:t>Las partes recurridas entienden el precepto gallego de una manera distinta. Según el Letrado del Parlamento de Galicia, “lo que en realidad se limita a decir el artículo recurrido es que cuando la disposición transitoria primera de la Ley de Minas establece causas de denegación de autorizaciones e impone declarar la caducidad, la Comunidad Autónoma de Galicia procederá a declarar la caducidad”. En la misma línea, el Letrado de la Xunta de Galicia razona que “con la modificación producida por la mencionada Ley 12/2014, esta disposición transitoria única pasó a ser la primera, introduciéndose una nueva disposición transitoria segunda que no establece ninguna nueva causa de caducidad, sino que lo que hace es aplicar la caducidad contemplada en la disposición transitoria primera de Ley 22/1973”. Alegan, coherentemente con sus argumentaciones, que el parámetro de contraste de la norma gallega recurrida no es el art. 86 de la Ley 22/1973 sino la disposición transitoria primera de la Ley de minas.</w:t>
      </w:r>
    </w:p>
    <w:p w:rsidR="00163957" w:rsidRDefault="00163957" w:rsidP="00163957">
      <w:pPr>
        <w:pStyle w:val="TextoNormal"/>
      </w:pPr>
    </w:p>
    <w:p w:rsidR="00163957" w:rsidRDefault="00163957" w:rsidP="00163957">
      <w:pPr>
        <w:pStyle w:val="TextoNormal"/>
      </w:pPr>
      <w:r>
        <w:t>Este Tribunal observa que la norma gallega recurrida contrae expresamente su ámbito objetivo a las concesiones reguladas por la disposición transitoria primera de la Ley 22/1973 y aprecia, en segundo lugar, que este precepto estatal regula la adecuación a la Ley 22/1973 de las concesiones de explotación de recursos minerales de la sección C) otorgadas con arreglo a las legislaciones anteriores, de modo que si el referido ajuste tiene lugar dentro de los plazos indicados se produce, por mandato del apartado segundo de la disposición transitoria primera de la Ley de minas, un “nuevo otorgamiento” por un plazo máximo de noventa años, haciendo nacer por tanto una nueva concesión otorgada conforme a la Ley de 1973.</w:t>
      </w:r>
    </w:p>
    <w:p w:rsidR="00163957" w:rsidRDefault="00163957" w:rsidP="00163957">
      <w:pPr>
        <w:pStyle w:val="TextoNormal"/>
      </w:pPr>
    </w:p>
    <w:p w:rsidR="00163957" w:rsidRDefault="00163957" w:rsidP="00163957">
      <w:pPr>
        <w:pStyle w:val="TextoNormal"/>
      </w:pPr>
      <w:r>
        <w:t>En consecuencia, a juicio de este Tribunal, la locución “denegación de la autorización de explotación por cualquiera de las causas legales” de la norma recurrida, en la medida que opera únicamente “en el caso de las concesiones reguladas por la disposición transitoria primera de la Ley 22/1973”, alude exclusivamente a la denegación que recaiga porque, superados los plazos indicados en la disposición transitoria primera de la Ley 22/1973, se aprecie cualquier falta de adaptación a la Ley de 1973 por parte de las concesiones de explotación preexistentes a ella. No comprende, por el contrario, la denegación de autorización de explotación que se apoye en la ausencia de exigencias impuestas por la legislación vigente al tiempo en que se solicite tal autorización, pues esta legislación solo sería aplicable si las concesiones de explotación preexistentes a la Ley de minas, por haberse adaptado a la Ley de minas de 1973 en los plazos indicados en la disposición transitoria primera de la Ley 22/1973, hubieran sido objeto de un “nuevo otorgamiento”.</w:t>
      </w:r>
    </w:p>
    <w:p w:rsidR="00163957" w:rsidRDefault="00163957" w:rsidP="00163957">
      <w:pPr>
        <w:pStyle w:val="TextoNormal"/>
      </w:pPr>
    </w:p>
    <w:p w:rsidR="00163957" w:rsidRDefault="00163957" w:rsidP="00163957">
      <w:pPr>
        <w:pStyle w:val="TextoNormal"/>
      </w:pPr>
      <w:r>
        <w:t>Concluimos, por las razones antedichas, que el parámetro de contraste de la norma recurrida es la disposición transitoria primera y no el art. 86 de la Ley de minas.</w:t>
      </w:r>
    </w:p>
    <w:p w:rsidR="00163957" w:rsidRDefault="00163957" w:rsidP="00163957">
      <w:pPr>
        <w:pStyle w:val="TextoNormal"/>
      </w:pPr>
    </w:p>
    <w:p w:rsidR="00163957" w:rsidRDefault="00163957" w:rsidP="00163957">
      <w:pPr>
        <w:pStyle w:val="TextoNormal"/>
      </w:pPr>
      <w:r w:rsidRPr="00163957">
        <w:rPr>
          <w:rStyle w:val="NumeroAFNegritaCaracter"/>
        </w:rPr>
        <w:t>8</w:t>
      </w:r>
      <w:r>
        <w:t>. Procede a continuación examinar el contenido normativo de la disposición transitoria primera de la Ley 22/1973 y a partir de ello establecer cuál es su encaje competencial.</w:t>
      </w:r>
    </w:p>
    <w:p w:rsidR="00163957" w:rsidRDefault="00163957" w:rsidP="00163957">
      <w:pPr>
        <w:pStyle w:val="TextoNormal"/>
      </w:pPr>
    </w:p>
    <w:p w:rsidR="00163957" w:rsidRDefault="00163957" w:rsidP="00163957">
      <w:pPr>
        <w:pStyle w:val="TextoNormal"/>
      </w:pPr>
      <w:r>
        <w:t xml:space="preserve">Su apartado Uno prevé que “todas las concesiones de explotación de recursos minerales de la Sección C) otorgadas con arreglo a las legislaciones anteriores quedan sometidas a las disposiciones de la presente Ley”. Los apartados 2, 3 y 4 conceden a los titulares determinados plazos para ajustar dichas concesiones preexistentes al régimen de la Ley 22/1973, plazos que difieren según que las concesiones: a) vinieran siendo explotadas al entrar en vigor la presente Ley; b) no vinieran siendo explotadas al entrar en vigor la presente Ley, </w:t>
      </w:r>
      <w:r>
        <w:lastRenderedPageBreak/>
        <w:t>pero el recurso de la sección C ya estuviera puesto de manifiesto; y c) no vinieran siendo explotadas al entrar en vigor la presente Ley y el recurso de la sección C aun no estuviera puesto de manifiesto. Si la adaptación a la Ley 22/1973 se realiza dentro de los plazos indicados tendrá lugar un “nuevo otorgamiento” por un plazo máximo de 90 años (apartado 2). Por el contrario, según dispone su apartado 5, “si finalizasen los plazos a que se refieren los párrafos anteriores sin haberse dado cumplimiento a lo establecido en los mismos por causas imputables al titular, se procederá a la caducidad de las concesiones”.</w:t>
      </w:r>
    </w:p>
    <w:p w:rsidR="00163957" w:rsidRDefault="00163957" w:rsidP="00163957">
      <w:pPr>
        <w:pStyle w:val="TextoNormal"/>
      </w:pPr>
    </w:p>
    <w:p w:rsidR="00163957" w:rsidRDefault="00163957" w:rsidP="00163957">
      <w:pPr>
        <w:pStyle w:val="TextoNormal"/>
      </w:pPr>
      <w:r>
        <w:t>Esta norma se caracteriza porque disciplina un conjunto de situaciones jurídicas que están completamente identificadas al tiempo de su dictado, concretamente las concesiones de explotación de recursos minerales de la sección C) otorgadas con arreglo a las legislaciones anteriores. En otras palabras, su contenido normativo, a diferencia de los preceptos del articulado de la Ley 22/1973, no tiene vocación de ordenar situaciones jurídicas que puedan surgir en el futuro mientras la norma esté vigente.</w:t>
      </w:r>
    </w:p>
    <w:p w:rsidR="00163957" w:rsidRDefault="00163957" w:rsidP="00163957">
      <w:pPr>
        <w:pStyle w:val="TextoNormal"/>
      </w:pPr>
    </w:p>
    <w:p w:rsidR="00163957" w:rsidRDefault="00163957" w:rsidP="00163957">
      <w:pPr>
        <w:pStyle w:val="TextoNormal"/>
      </w:pPr>
      <w:r>
        <w:t>Además, la regulación que establece esta disposición transitoria primera de la Ley 22/1973 no tiene por objeto regular de un modo indefinido las situaciones jurídicas que conforman su ámbito objetivo, sino, por el contrario, ordenar el tránsito, dentro de unos plazos limitados, de dichas situaciones jurídicas a otras nuevas (mediante el “nuevo otorgamiento” al que se refiere su apartado segundo) o a la declaración de que han caducado (como dispone su apartado cinco).</w:t>
      </w:r>
    </w:p>
    <w:p w:rsidR="00163957" w:rsidRDefault="00163957" w:rsidP="00163957">
      <w:pPr>
        <w:pStyle w:val="TextoNormal"/>
      </w:pPr>
    </w:p>
    <w:p w:rsidR="00163957" w:rsidRDefault="00163957" w:rsidP="00163957">
      <w:pPr>
        <w:pStyle w:val="TextoNormal"/>
      </w:pPr>
      <w:r>
        <w:t>Estas dos notas singulares suponen que la determinación de quién resulta competente para dictar esta norma tiene que referirse al tiempo en que se aprobó y no al momento actual. En el año 1973, que es la fecha de la Ley 22/1973, no se había promulgado la Constitución Española vigente ni se había aprobado el Estatuto de Autonomía de Galicia (Ley Orgánica 1/1981, de 6 de abril: EAG), por lo que aún no regía el reparto de competencias entre el Estado y las Comunidades Autónomas que tales normas vinieron a establecer, que, por lo que hace al régimen minero, asigna al Estado el establecimiento de las bases (art. 149.1.25 CE) y a la Comunidad Autónoma de Galicia “el desarrollo legislativo y la ejecución de la legislación del Estado en los términos que la misma establezca” (art. 28.3 EAG). En aquellas circunstancias la entera competencia para definir un régimen jurídico como el descrito correspondía al Estado, que era entonces la única instancia con potestades legislativas.</w:t>
      </w:r>
    </w:p>
    <w:p w:rsidR="00163957" w:rsidRDefault="00163957" w:rsidP="00163957">
      <w:pPr>
        <w:pStyle w:val="TextoNormal"/>
      </w:pPr>
    </w:p>
    <w:p w:rsidR="00163957" w:rsidRDefault="00163957" w:rsidP="00163957">
      <w:pPr>
        <w:pStyle w:val="TextoNormal"/>
      </w:pPr>
      <w:r>
        <w:t>Conforme a este planteamiento procede declarar que la disposición transitoria primera de la Ley 22/1973 fue dictada por la instancia competente. Alcanzamos esta conclusión sin necesidad de analizar si de su contenido normativo se pueden inferir normas básicas (STC 137/2013, de 6 de junio), pues, como se ha expuesto, en el momento relevante al Estado le correspondía la competencia normativa en su integridad y no solo la facultad de dictar la legislación básica.</w:t>
      </w:r>
    </w:p>
    <w:p w:rsidR="00163957" w:rsidRDefault="00163957" w:rsidP="00163957">
      <w:pPr>
        <w:pStyle w:val="TextoNormal"/>
      </w:pPr>
    </w:p>
    <w:p w:rsidR="00163957" w:rsidRDefault="00163957" w:rsidP="00163957">
      <w:pPr>
        <w:pStyle w:val="TextoNormal"/>
      </w:pPr>
      <w:r w:rsidRPr="00163957">
        <w:rPr>
          <w:rStyle w:val="NumeroAFNegritaCaracter"/>
        </w:rPr>
        <w:t>9</w:t>
      </w:r>
      <w:r>
        <w:t xml:space="preserve">. Como ponen de relieve las partes recurridas, aun en la actualidad hay concesiones de las reguladas en la disposición transitoria primera de la Ley 22/1973 que, sin haberse adaptado al régimen establecido en la Ley de minas de 1973 dentro de los plazos indicados en dicha disposición, no han sido objeto de una resolución administrativa que declare su caducidad. Es por este motivo que la disposición transitoria primera de la Ley 22/1973 conserva </w:t>
      </w:r>
      <w:r>
        <w:lastRenderedPageBreak/>
        <w:t>todavía una dimensión aplicativa relevante, pues en ejecución de la misma la Administración competente, en caso de constatar que tales concesiones no se ajustaron dentro de aquellos plazos al régimen establecido en la Ley de minas, deberá acordar su caducidad.</w:t>
      </w:r>
    </w:p>
    <w:p w:rsidR="00163957" w:rsidRDefault="00163957" w:rsidP="00163957">
      <w:pPr>
        <w:pStyle w:val="TextoNormal"/>
      </w:pPr>
    </w:p>
    <w:p w:rsidR="00163957" w:rsidRDefault="00163957" w:rsidP="00163957">
      <w:pPr>
        <w:pStyle w:val="TextoNormal"/>
      </w:pPr>
      <w:r>
        <w:t>Esta dimensión aplicativa de la disposición transitoria primera de la Ley 22/1973 exige hacer unas consideraciones de índole competencial distintas a las expuestas en el fundamento jurídico anterior. La primera de ellas es que, debido a que se trata de actividades ejecutivas a realizar en la actualidad, será a este momento al que habrá que referir el encuadre competencial y, en coherencia con ello, procederá delimitar las facultades que corresponden al Estado y a la Comunidad Autónoma de Galicia a partir del reparto de competencias resultante de la Constitución Española de 1978 y del Estatuto de Autonomía de Galicia.</w:t>
      </w:r>
    </w:p>
    <w:p w:rsidR="00163957" w:rsidRDefault="00163957" w:rsidP="00163957">
      <w:pPr>
        <w:pStyle w:val="TextoNormal"/>
      </w:pPr>
    </w:p>
    <w:p w:rsidR="00163957" w:rsidRDefault="00163957" w:rsidP="00163957">
      <w:pPr>
        <w:pStyle w:val="TextoNormal"/>
      </w:pPr>
      <w:r>
        <w:t>La segunda consideración relevante es que el art. 28 3 EAG atribuye a la Comunidad Autónoma de Galicia en materia minera la ejecución de la legislación del Estado, por lo que la aplicación de la disposición transitoria primera de la Ley 22/1973 le incumbe a la instancia autonómica.</w:t>
      </w:r>
    </w:p>
    <w:p w:rsidR="00163957" w:rsidRDefault="00163957" w:rsidP="00163957">
      <w:pPr>
        <w:pStyle w:val="TextoNormal"/>
      </w:pPr>
    </w:p>
    <w:p w:rsidR="00163957" w:rsidRDefault="00163957" w:rsidP="00163957">
      <w:pPr>
        <w:pStyle w:val="TextoNormal"/>
      </w:pPr>
      <w:r>
        <w:t>El tercer elemento que concurre a la definición del cuadro competencial relevante es que, según expuso la STC 31/2010, de 28 de junio, “es pacífico que en el ámbito ejecutivo puede tener cabida una competencia normativa de carácter funcional”, que comprende la “regulación de la propia competencia funcional de ejecución y del conjunto de actuaciones precisas para la puesta en práctica de la normativa estatal (STC 51/2006, de 16 de febrero, FJ 4)”.</w:t>
      </w:r>
    </w:p>
    <w:p w:rsidR="00163957" w:rsidRDefault="00163957" w:rsidP="00163957">
      <w:pPr>
        <w:pStyle w:val="TextoNormal"/>
      </w:pPr>
    </w:p>
    <w:p w:rsidR="00163957" w:rsidRDefault="00163957" w:rsidP="00163957">
      <w:pPr>
        <w:pStyle w:val="TextoNormal"/>
      </w:pPr>
      <w:r w:rsidRPr="00163957">
        <w:rPr>
          <w:rStyle w:val="NumeroAFNegritaCaracter"/>
        </w:rPr>
        <w:t>10</w:t>
      </w:r>
      <w:r>
        <w:t>. Procede, por último, enjuiciar el precepto autonómico recurrido a la luz del marco competencial descrito.</w:t>
      </w:r>
    </w:p>
    <w:p w:rsidR="00163957" w:rsidRDefault="00163957" w:rsidP="00163957">
      <w:pPr>
        <w:pStyle w:val="TextoNormal"/>
      </w:pPr>
    </w:p>
    <w:p w:rsidR="00163957" w:rsidRDefault="00163957" w:rsidP="00163957">
      <w:pPr>
        <w:pStyle w:val="TextoNormal"/>
      </w:pPr>
      <w:r>
        <w:t>Por la razones expuestas con más detalle en el fundamento jurídico 7, cuando la norma recurrida se refiere a la “denegación de la autorización de explotación por cualquiera de las causas legales” lo está haciendo exclusivamente a la denegación que recaiga porque, superados los plazos indicados en la disposición transitoria primera de la Ley 22/1973, se aprecie cualquier falta de adaptación a la Ley de 1973 por parte de las concesiones de explotación preexistentes a ella. De este modo, haciendo una interpretación conforme con el reparto constitucional de competencias, concluimos que esta disposición transitoria segunda a la Ley 3/2008, de 23 de mayo, de ordenación de la minería de Galicia, en la redacción que le da el art. 84 de la Ley del Parlamento de Galicia 12/2014, no añade una causa de caducidad de las concesiones reguladas por la disposición transitoria primera de la Ley de 1973 a las causas reguladas de manera específica y con vocación de exclusividad en la norma estatal, por lo no incurre en inconstitucionalidad por este motivo.</w:t>
      </w:r>
    </w:p>
    <w:p w:rsidR="00163957" w:rsidRDefault="00163957" w:rsidP="00163957">
      <w:pPr>
        <w:pStyle w:val="TextoNormal"/>
      </w:pPr>
    </w:p>
    <w:p w:rsidR="00163957" w:rsidRDefault="00163957" w:rsidP="00163957">
      <w:pPr>
        <w:pStyle w:val="TextoNormal"/>
      </w:pPr>
      <w:r>
        <w:t xml:space="preserve">A esto se une que, tal y como se adelantó en el fundamento jurídico 9, la disposición transitoria primera de la Ley 22/1973 conserva en la actualidad una dimensión aplicativa relevante, pues aún quedan concesiones de explotación preexistentes a la Ley de 1973 respecto de las que, a pesar de hallarse en situación de inactividad y por tanto haber dejado pasar los plazos indicados en la disposición transitoria primera de la Ley de minas de 1973 sin adaptarse al régimen establecido por la Ley 22/1973, no ha recaído resolución administrativa que declara su caducidad. La aplicación en la actualidad de la disposición transitoria primera de la Ley 22/1973 a estas concesiones, y su consecuente declaración de caducidad, </w:t>
      </w:r>
      <w:r>
        <w:lastRenderedPageBreak/>
        <w:t>corresponde, en tanto que actividad ejecutiva de la legislación del Estado (art. 28 3 EAG), a la Comunidad Autónoma de Galicia.</w:t>
      </w:r>
    </w:p>
    <w:p w:rsidR="00163957" w:rsidRDefault="00163957" w:rsidP="00163957">
      <w:pPr>
        <w:pStyle w:val="TextoNormal"/>
      </w:pPr>
    </w:p>
    <w:p w:rsidR="00163957" w:rsidRDefault="00163957" w:rsidP="00163957">
      <w:pPr>
        <w:pStyle w:val="TextoNormal"/>
      </w:pPr>
      <w:r>
        <w:t>Por otra parte, esta competencia ejecutiva que incumbe a la Comunidad Autónoma de Galicia, en la medida que comprende una cierta actividad normativa —concretamente la que se ciñe a la “regulación de la propia competencia funcional de ejecución y del conjunto de actuaciones precisas para la puesta en práctica de la normativa estatal (STC 51/2006, de 16 de febrero, FJ 4)” (STC 31/2010, FJ 61)—, habilita a dicha Comunidad Autónoma para dictar una norma como la recurrida. En efecto, el precepto gallego que estamos enjuiciando se limita a establecer el iter procedimental a través del que los órganos autonómicos competentes deben ejecutar la legislación estatal, en este caso disposición transitoria primera de la Ley 22/1973, así como que la ejecución de dicha norma estatal lleva inherente la cancelación de la inscripción correspondiente en el Registro minero de Galicia. En tales circunstancias debemos concluir que el precepto gallego no hace más que regular el conjunto de actuaciones precisas para la puesta en práctica de la normativa estatal y, por tanto, resulta amparado por la competencia ejecutiva de la legislación estatal que atribuye a la Comunidad Autónoma de Galicia el art. 28.3 EAG.</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Declarar la inconstitucionalidad y nulidad del art. 27.5 del texto refundido de las disposiciones legales de la Comunidad Autónoma de Galicia en materia de tributos cedidos por el Estado, aprobado por Decreto Legislativo 1/2011, de 28 de julio, en la redacción que le da el art. 5.2 de la Ley de Galicia 12/2014, de 22 de diciembre, de medidas fiscales y administrativas.</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dieciocho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37" w:name="SENTENCIA_2016_34"/>
      <w:r>
        <w:lastRenderedPageBreak/>
        <w:t>SENTENCIA 34/2016, de 29 de febrero de 2016</w:t>
      </w:r>
    </w:p>
    <w:bookmarkEnd w:id="37"/>
    <w:p w:rsidR="00163957" w:rsidRDefault="00163957" w:rsidP="00163957">
      <w:pPr>
        <w:pStyle w:val="TtuloResolucin"/>
      </w:pPr>
      <w:r>
        <w:t>Sala Segunda</w:t>
      </w:r>
    </w:p>
    <w:p w:rsidR="00163957" w:rsidRDefault="00163957" w:rsidP="00163957">
      <w:pPr>
        <w:pStyle w:val="TtuloBOE"/>
      </w:pPr>
      <w:r>
        <w:t>(BOE núm. 85, de 8 de abril de 2016)</w:t>
      </w:r>
    </w:p>
    <w:p w:rsidR="00163957" w:rsidRDefault="00163957" w:rsidP="00163957">
      <w:pPr>
        <w:pStyle w:val="TextoNormalCentrado"/>
      </w:pPr>
      <w:r>
        <w:t>ECLI:ES:TC:2016:34</w:t>
      </w:r>
    </w:p>
    <w:p w:rsidR="00163957" w:rsidRDefault="00163957" w:rsidP="00163957">
      <w:pPr>
        <w:pStyle w:val="TextoNormalCentrado"/>
      </w:pPr>
    </w:p>
    <w:p w:rsidR="00163957" w:rsidRDefault="00163957" w:rsidP="00163957">
      <w:pPr>
        <w:pStyle w:val="SntesisDescriptiva"/>
      </w:pPr>
      <w:r>
        <w:t>Recurso de amparo 4984-2014. Promovido por el Fiscal ante el Tribunal Constitucional respecto de los Autos de la Audiencia Provincial y un Juzgado de Primera Instancia de Las Palmas de Gran Canaria sobre internamiento urgente por trastorno psíquico.</w:t>
      </w:r>
    </w:p>
    <w:p w:rsidR="00163957" w:rsidRDefault="00163957" w:rsidP="00163957">
      <w:pPr>
        <w:pStyle w:val="SntesisDescriptiva"/>
      </w:pPr>
    </w:p>
    <w:p w:rsidR="00163957" w:rsidRDefault="00163957" w:rsidP="00163957">
      <w:pPr>
        <w:pStyle w:val="SntesisAnaltica"/>
      </w:pPr>
      <w:r>
        <w:t>Vulneración del derecho a la libertad personal: resoluciones judiciales que no adoptaron, de oficio, la medida cautelar de internamiento en proceso de incapacitación.</w:t>
      </w:r>
    </w:p>
    <w:p w:rsidR="00163957" w:rsidRDefault="00163957" w:rsidP="00163957">
      <w:pPr>
        <w:pStyle w:val="SntesisAnaltica"/>
      </w:pPr>
    </w:p>
    <w:p w:rsidR="00163957" w:rsidRDefault="00163957" w:rsidP="00163957">
      <w:pPr>
        <w:pStyle w:val="Extracto"/>
      </w:pPr>
      <w:r>
        <w:t>1.</w:t>
      </w:r>
      <w:r>
        <w:tab/>
        <w:t>No resulta posible hablar de la “regularización” de un internamiento involuntario que se prolonga durante días, semanas o meses sin autorización del Juez, sea en un hospital, centro sociosanitario o en su caso residencia geriátrica, pues no cabe “regularizar” lo que no es mera subsanación de formalidades administrativas, sino directa vulneración de un derecho fundamental [FJ 5].</w:t>
      </w:r>
    </w:p>
    <w:p w:rsidR="00163957" w:rsidRDefault="00163957" w:rsidP="00163957">
      <w:pPr>
        <w:pStyle w:val="Extracto"/>
      </w:pPr>
    </w:p>
    <w:p w:rsidR="00163957" w:rsidRDefault="00163957" w:rsidP="00163957">
      <w:pPr>
        <w:pStyle w:val="Extracto"/>
      </w:pPr>
      <w:r>
        <w:t>2.</w:t>
      </w:r>
      <w:r>
        <w:tab/>
        <w:t>No se aprecia la “urgencia sobrevenida” invocada en el escrito de demanda, fundada en el deterioro cognitivo de la paciente, pues tal sintomatología no entrañaba un padecimiento nuevo, sino a lo sumo la comprobación de la persistencia o irreversibilidad del mal que ya tenía [FJ 6].</w:t>
      </w:r>
    </w:p>
    <w:p w:rsidR="00163957" w:rsidRDefault="00163957" w:rsidP="00163957">
      <w:pPr>
        <w:pStyle w:val="Extracto"/>
      </w:pPr>
    </w:p>
    <w:p w:rsidR="00163957" w:rsidRDefault="00163957" w:rsidP="00163957">
      <w:pPr>
        <w:pStyle w:val="Extracto"/>
      </w:pPr>
      <w:r>
        <w:t>3.</w:t>
      </w:r>
      <w:r>
        <w:tab/>
        <w:t xml:space="preserve">El Juzgado o, en su defecto, la Audiencia Provincial debieron  proveer a la debida protección de la afectada mediante la apertura del proceso de incapacitación; y, con poder </w:t>
      </w:r>
      <w:r w:rsidRPr="00163957">
        <w:rPr>
          <w:i/>
        </w:rPr>
        <w:t>ex officio</w:t>
      </w:r>
      <w:r>
        <w:t>, debieron acordar la adopción inmediata del internamiento como medida cautelar [FJ 7].</w:t>
      </w:r>
    </w:p>
    <w:p w:rsidR="00163957" w:rsidRDefault="00163957" w:rsidP="00163957">
      <w:pPr>
        <w:pStyle w:val="Extracto"/>
      </w:pPr>
    </w:p>
    <w:p w:rsidR="00163957" w:rsidRDefault="00163957" w:rsidP="00163957">
      <w:pPr>
        <w:pStyle w:val="Extracto"/>
      </w:pPr>
      <w:r>
        <w:t>4.</w:t>
      </w:r>
      <w:r>
        <w:tab/>
        <w:t>La decisión de internamiento sólo puede ser acordada judicialmente y, en lo que aquí importa, la disposición normativa que la hace posible sólo puede ostentar la naturaleza de ley orgánica, dada su condición de norma que fija uno de los casos en que una persona puede ser privada de libertad, concurriendo al desarrollo del derecho fundamental garantizado en el art. 17.1 CE (STC 141/2012) [FJ 4].</w:t>
      </w:r>
    </w:p>
    <w:p w:rsidR="00163957" w:rsidRDefault="00163957" w:rsidP="00163957">
      <w:pPr>
        <w:pStyle w:val="Extracto"/>
      </w:pPr>
    </w:p>
    <w:p w:rsidR="00163957" w:rsidRDefault="00163957" w:rsidP="00163957">
      <w:pPr>
        <w:pStyle w:val="Extracto"/>
      </w:pPr>
      <w:r>
        <w:t>5.</w:t>
      </w:r>
      <w:r>
        <w:tab/>
        <w:t>Vencido el plazo no desaparece la facultad del Juez para ordenar el internamiento, pero si éste se adopta deberá serlo estando el afectado en libertad pues otra interpretación llevaría a vaciar de contenido el límite previsto y confundiría lo que es una dilación procesal indebida con la lesión injustificada del derecho a la libertad (STC 141/2012) [FJ 4].</w:t>
      </w:r>
    </w:p>
    <w:p w:rsidR="00163957" w:rsidRDefault="00163957" w:rsidP="00163957">
      <w:pPr>
        <w:pStyle w:val="Extracto"/>
      </w:pPr>
    </w:p>
    <w:p w:rsidR="00163957" w:rsidRDefault="00163957" w:rsidP="00163957">
      <w:pPr>
        <w:pStyle w:val="Extracto"/>
      </w:pPr>
      <w:r>
        <w:t>6.</w:t>
      </w:r>
      <w:r>
        <w:tab/>
        <w:t>Para un internamiento urgente no voluntario se configura como presupuesto objetivo de la medida la existencia en la persona de un trastorno psíquico, al que viene a sumarse la circunstancia de la urgencia o necesidad inmediata de la intervención médica para su protección (STC 141/2012) [FJ 4].</w:t>
      </w:r>
    </w:p>
    <w:p w:rsidR="00163957" w:rsidRDefault="00163957" w:rsidP="00163957">
      <w:pPr>
        <w:pStyle w:val="Extracto"/>
      </w:pPr>
    </w:p>
    <w:p w:rsidR="00163957" w:rsidRDefault="00163957" w:rsidP="00163957">
      <w:pPr>
        <w:pStyle w:val="Extracto"/>
      </w:pPr>
      <w:r>
        <w:t>7.</w:t>
      </w:r>
      <w:r>
        <w:tab/>
        <w:t xml:space="preserve">El significado de lo que ha de entenderse por trastorno psíquico, transitorio o permanente remite a los conocimientos propios de la ciencia médica; sin que en ningún caso puedan considerarse como expresión de trastorno o enfermedad mental </w:t>
      </w:r>
      <w:r>
        <w:lastRenderedPageBreak/>
        <w:t>la discrepancia del afectado con los valores sociales, culturales, políticos o religiosos imperantes en la comunidad (STC 141/2012) [FJ 4].</w:t>
      </w:r>
    </w:p>
    <w:p w:rsidR="00163957" w:rsidRDefault="00163957" w:rsidP="00163957">
      <w:pPr>
        <w:pStyle w:val="Extracto"/>
      </w:pPr>
    </w:p>
    <w:p w:rsidR="00163957" w:rsidRDefault="00163957" w:rsidP="00163957">
      <w:pPr>
        <w:pStyle w:val="Extracto"/>
      </w:pPr>
      <w:r>
        <w:t>8.</w:t>
      </w:r>
      <w:r>
        <w:tab/>
        <w:t>La declaración de incapacitación de una persona sólo puede acordarse por Sentencia judicial en virtud de las causas establecidas en la ley, mediante un procedimiento en el que se respeten escrupulosamente los trámites o diligencias exigidos (STC 174/2002) [FJ 4].</w:t>
      </w:r>
    </w:p>
    <w:p w:rsidR="00163957" w:rsidRDefault="00163957" w:rsidP="00163957">
      <w:pPr>
        <w:pStyle w:val="Extracto"/>
      </w:pPr>
    </w:p>
    <w:p w:rsidR="00163957" w:rsidRDefault="00163957" w:rsidP="00163957">
      <w:pPr>
        <w:pStyle w:val="Extracto"/>
      </w:pPr>
      <w:r>
        <w:t>9.</w:t>
      </w:r>
      <w:r>
        <w:tab/>
        <w:t>La admisión a trámite de este recurso fue acordada al apreciarse su especial trascendencia constitucional, que permite aclarar doctrina previa acerca de cuál ha de ser el procedimiento constitucionalmente adecuado para conocer de una medida de internamiento en un centro, adoptada sin previa autorización judicial, cuando se trata de situaciones de trastornos psíquicos no urgentes [FJ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compuesto por doña Adela Asua Batarrita, Presidenta, don Fernando Valdés Dal-Ré, don Juan José González Rivas, don Pedro José González-Trevijano Sánchez, don Ricardo Enríquez Sancho y don Antonio Narváez Rodríguez, Magistrados, han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4984-2014, promovido por el Fiscal ante el Tribunal Constitucional, contra el Auto del Juzgado de Primera Instancia núm. 15 de Las Palmas de Gran Canaria, de 20 de mayo de 2014, así como contra el Auto de la Sección Tercera de la Audiencia Provincial de las Palmas de Gran Canaria, de 20 de junio de 2014, que desestimó el recurso de apelación interpuesto contra la anterior resolución. Ha sido Ponente el Magistrado don Ricardo Enríquez Sancho,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el 28 de julio de 2014, el Fiscal ante el Tribunal constitucional interpuso demanda de amparo contra las resoluciones judiciales indicadas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con relevancia para el presente recurso de amparo y a los que se refiere la demanda presentada, son los siguientes:</w:t>
      </w:r>
    </w:p>
    <w:p w:rsidR="00163957" w:rsidRDefault="00163957" w:rsidP="00163957">
      <w:pPr>
        <w:pStyle w:val="TextoNormal"/>
      </w:pPr>
    </w:p>
    <w:p w:rsidR="00163957" w:rsidRDefault="00163957" w:rsidP="00163957">
      <w:pPr>
        <w:pStyle w:val="TextoNormal"/>
      </w:pPr>
      <w:r>
        <w:t xml:space="preserve">a) El 7 de abril de 2014, el Juzgado de Primera Instancia núm. 15 de Las Palmas de Gran Canaria recibió un escrito procedente de la Fiscalía provincial de Las Palmas de Gran Canaria, sección de lo civil y protección de personas con discapacidad, fechado el 28 de marzo </w:t>
      </w:r>
      <w:r>
        <w:lastRenderedPageBreak/>
        <w:t>de 2014, por el que se “insta la incoación del procedimiento especial de internamiento no voluntario respecto de Dña. M.R.S., con número de Documento Nacional de Identidad (…), nacida el 12 de septiembre de 1934”.</w:t>
      </w:r>
    </w:p>
    <w:p w:rsidR="00163957" w:rsidRDefault="00163957" w:rsidP="00163957">
      <w:pPr>
        <w:pStyle w:val="TextoNormal"/>
      </w:pPr>
    </w:p>
    <w:p w:rsidR="00163957" w:rsidRDefault="00163957" w:rsidP="00163957">
      <w:pPr>
        <w:pStyle w:val="TextoNormal"/>
      </w:pPr>
      <w:r>
        <w:t>Se sustentaba tal solicitud explicando que “con fecha de 12 de febrero de 2014 se comunicó en esta Sección de la Fiscalía provincial el ingreso no voluntario de Dña. M.R.S. en el Centro Sociosanitario El Pino. Como consecuencia de ello, y a fin de dirigir, en su caso, demanda de determinación de la capacidad o de instar la regularización del ingreso no voluntario de Dña. M.R.S., se incoó en la Sección especializada el correspondiente expediente de protección de personas con discapacidad, al que le fue asignado el número 29 del año 2014. De acuerdo con la comunicación dirigida por la dirección del Centro Sociosanitario El Pino, resultaba que el ingreso de Dña. M.R.S. se había producido sin que mediara la existencia de autorización judicial para ello y a pesar de encontrarse la misma gravemente afectada en su capacidad de autogobierno y de decisión acerca de tal ingreso como consecuencia de la enfermedad de Alzheimer que padece. Igualmente, y de la información dada por el centro, no se aprecia que Dña. M.R.S. pudiera encontrarse en situación de desprotección que legitime la interposición de la correspondiente demanda de determinación de la capacidad, toda vez que la misma es convenientemente asistida por su hija Dña. I.M.R. Según los informes remitidos por el indicado centro, Dña. M.R.S. presenta un deterioro cognitivo grave que la incapacita para tomar decisiones, lo que le hace acreedora de ayuda y supervisión durante las veinticuatro horas del día en un centro adecuado y le imposibilita para decidir por sí misma acerca de ese ingreso”.</w:t>
      </w:r>
    </w:p>
    <w:p w:rsidR="00163957" w:rsidRDefault="00163957" w:rsidP="00163957">
      <w:pPr>
        <w:pStyle w:val="TextoNormal"/>
      </w:pPr>
    </w:p>
    <w:p w:rsidR="00163957" w:rsidRDefault="00163957" w:rsidP="00163957">
      <w:pPr>
        <w:pStyle w:val="TextoNormal"/>
      </w:pPr>
      <w:r>
        <w:t>Luego de indicar los presupuestos procesales para la procedencia del trámite que se insta y, en cuanto a la fundamentación jurídica de fondo, reproducir el texto del art. 763 de la Ley de enjuiciamiento civil (LEC), indicando que resultan además de aplicación “los artículos 12, 14, 18 y 19 de la Convención de las Naciones Unidas sobre los Derechos de las Personas con Discapacidad, de 13 de diciembre de 2006 y el artículo 4.2 en sus apartados 7 y 8, de la Ley 39/2006, de 14 de diciembre, de Promoción de la Autonomía y Atención a las personas en situación de dependencia”, el escrito de la Fiscal actuante interesa del Juzgado que dicte Auto “en el que se regularice la situación en la que se encuentra Dña. M.R.S. y se autorice su ingreso no voluntario en el Centro Sociosanitario El Pino o en centro adecuado a su patología, conforme con lo previsto en el artículo 763 LEC y de acuerdo con las garantías y controles establecidos en dicho precepto legal”.</w:t>
      </w:r>
    </w:p>
    <w:p w:rsidR="00163957" w:rsidRDefault="00163957" w:rsidP="00163957">
      <w:pPr>
        <w:pStyle w:val="TextoNormal"/>
      </w:pPr>
    </w:p>
    <w:p w:rsidR="00163957" w:rsidRDefault="00163957" w:rsidP="00163957">
      <w:pPr>
        <w:pStyle w:val="TextoNormal"/>
      </w:pPr>
      <w:r>
        <w:t>Se acompañaron al escrito, copia de los siguientes documentos:</w:t>
      </w:r>
    </w:p>
    <w:p w:rsidR="00163957" w:rsidRDefault="00163957" w:rsidP="00163957">
      <w:pPr>
        <w:pStyle w:val="TextoNormal"/>
      </w:pPr>
    </w:p>
    <w:p w:rsidR="00163957" w:rsidRDefault="00163957" w:rsidP="00163957">
      <w:pPr>
        <w:pStyle w:val="TextoNormal"/>
      </w:pPr>
      <w:r>
        <w:t>(i) Oficio que dirige la jefa de sección del Instituto de Atención Social y Sociosanitaria del Cabildo de Gran Canaria, el 20 de noviembre de 2013, al director del centro sociosanitario El Pino, por el que le remite expediente de doña M.R.S., instándole a la iniciación de los trámites necesarios para proceder a su ingreso en el citado centro.</w:t>
      </w:r>
    </w:p>
    <w:p w:rsidR="00163957" w:rsidRDefault="00163957" w:rsidP="00163957">
      <w:pPr>
        <w:pStyle w:val="TextoNormal"/>
      </w:pPr>
    </w:p>
    <w:p w:rsidR="00163957" w:rsidRDefault="00163957" w:rsidP="00163957">
      <w:pPr>
        <w:pStyle w:val="TextoNormal"/>
      </w:pPr>
      <w:r>
        <w:t>(ii) Informe de valoración médica de doña M.R.S., elaborado por facultativo del centro sociosanitario de mayores El Pino, “para Fiscalía”, de 10 de enero de 2014.</w:t>
      </w:r>
    </w:p>
    <w:p w:rsidR="00163957" w:rsidRDefault="00163957" w:rsidP="00163957">
      <w:pPr>
        <w:pStyle w:val="TextoNormal"/>
      </w:pPr>
    </w:p>
    <w:p w:rsidR="00163957" w:rsidRDefault="00163957" w:rsidP="00163957">
      <w:pPr>
        <w:pStyle w:val="TextoNormal"/>
      </w:pPr>
      <w:r>
        <w:t>(iii) Informe de trabajadora social del centro sociosanitario El Pino, de 20 de marzo de 2014, detallando algunos antecedentes, circunstancias personales y comportamiento de doña. M.R.S. en la planta especializada en demencias avanzadas sita en dicho centro.</w:t>
      </w:r>
    </w:p>
    <w:p w:rsidR="00163957" w:rsidRDefault="00163957" w:rsidP="00163957">
      <w:pPr>
        <w:pStyle w:val="TextoNormal"/>
      </w:pPr>
    </w:p>
    <w:p w:rsidR="00163957" w:rsidRDefault="00163957" w:rsidP="00163957">
      <w:pPr>
        <w:pStyle w:val="TextoNormal"/>
      </w:pPr>
      <w:r>
        <w:t>(iv) Informe médico de doña M.R.S., realizado por neuróloga, con fecha 19 de marzo de 2014.</w:t>
      </w:r>
    </w:p>
    <w:p w:rsidR="00163957" w:rsidRDefault="00163957" w:rsidP="00163957">
      <w:pPr>
        <w:pStyle w:val="TextoNormal"/>
      </w:pPr>
    </w:p>
    <w:p w:rsidR="00163957" w:rsidRDefault="00163957" w:rsidP="00163957">
      <w:pPr>
        <w:pStyle w:val="TextoNormal"/>
      </w:pPr>
      <w:r>
        <w:t>(v) Resolución de la Viceconsejería de Políticas Sociales e Inmigración de reconocimiento de la situación de dependencia y del derecho a las prestaciones del sistema para la autonomía y atención a la dependencia, de 20 de septiembre de 2012, por la que se reconoce a doña. M.R.S. la situación de gran dependencia en grado III.</w:t>
      </w:r>
    </w:p>
    <w:p w:rsidR="00163957" w:rsidRDefault="00163957" w:rsidP="00163957">
      <w:pPr>
        <w:pStyle w:val="TextoNormal"/>
      </w:pPr>
    </w:p>
    <w:p w:rsidR="00163957" w:rsidRDefault="00163957" w:rsidP="00163957">
      <w:pPr>
        <w:pStyle w:val="TextoNormal"/>
      </w:pPr>
      <w:r>
        <w:t>b) La Secretaría del Juzgado de Primera Instancia núm. 15 de Las Palmas de Gran Canaria, dictó un decreto el 7 de abril de 2014 acordando la apertura del procedimiento de internamiento núm. 333-2014. En su virtud, se emitió en la misma fecha un oficio dirigido al Instituto de Medicina Legal de Las Palmas de Gran Canaria, a fin de que se procediera al reconocimiento “del/la presunta incapaz D./Dña. [M.R.S.]” y emita informe sobre “determinación de la enfermedad que sufre … así como las características y alcance de la misma”.</w:t>
      </w:r>
    </w:p>
    <w:p w:rsidR="00163957" w:rsidRDefault="00163957" w:rsidP="00163957">
      <w:pPr>
        <w:pStyle w:val="TextoNormal"/>
      </w:pPr>
    </w:p>
    <w:p w:rsidR="00163957" w:rsidRDefault="00163957" w:rsidP="00163957">
      <w:pPr>
        <w:pStyle w:val="TextoNormal"/>
      </w:pPr>
      <w:r>
        <w:t>El 9 de abril de 2014 se remitió comunicación por fax del Instituto de Medicina Legal al Juzgado competente, informando que el reconocimiento se llevaría a cabo el 14 de mayo de 2014, a las 10:30 horas.</w:t>
      </w:r>
    </w:p>
    <w:p w:rsidR="00163957" w:rsidRDefault="00163957" w:rsidP="00163957">
      <w:pPr>
        <w:pStyle w:val="TextoNormal"/>
      </w:pPr>
    </w:p>
    <w:p w:rsidR="00163957" w:rsidRDefault="00163957" w:rsidP="00163957">
      <w:pPr>
        <w:pStyle w:val="TextoNormal"/>
      </w:pPr>
      <w:r>
        <w:t>c) Por la Secretaría del Juzgado se dictó diligencia de ordenación el 10 de abril de 2014, teniendo por recibido el fax procedente del Instituto de Medicina Legal, el cual quedó unido a las actuaciones, señalando el reconocimiento médico de doña M.R.S para la fecha anunciada (14 de mayo a las 10:30 horas), a practicarse en la sede de aquella institución; acordándose además que el reconocimiento judicial se realizaría el mismo día por el Sr. Magistrado-Juez en la sede del órgano judicial, una vez finalizado el reconocimiento médico forense.</w:t>
      </w:r>
    </w:p>
    <w:p w:rsidR="00163957" w:rsidRDefault="00163957" w:rsidP="00163957">
      <w:pPr>
        <w:pStyle w:val="TextoNormal"/>
      </w:pPr>
    </w:p>
    <w:p w:rsidR="00163957" w:rsidRDefault="00163957" w:rsidP="00163957">
      <w:pPr>
        <w:pStyle w:val="TextoNormal"/>
      </w:pPr>
      <w:r>
        <w:t>d) Aparecen unidas a las actuaciones las siguientes diligencias con contenido probatorio, fechadas todas el 14 de mayo de 2014:</w:t>
      </w:r>
    </w:p>
    <w:p w:rsidR="00163957" w:rsidRDefault="00163957" w:rsidP="00163957">
      <w:pPr>
        <w:pStyle w:val="TextoNormal"/>
      </w:pPr>
    </w:p>
    <w:p w:rsidR="00163957" w:rsidRDefault="00163957" w:rsidP="00163957">
      <w:pPr>
        <w:pStyle w:val="TextoNormal"/>
      </w:pPr>
      <w:r>
        <w:t>(i) Acta de examen judicial realizado por la Magistrada-Juez a doña M.R.S., el cual finalizó a las 12:00 horas, con el resultado que se hace constar en la misma.</w:t>
      </w:r>
    </w:p>
    <w:p w:rsidR="00163957" w:rsidRDefault="00163957" w:rsidP="00163957">
      <w:pPr>
        <w:pStyle w:val="TextoNormal"/>
      </w:pPr>
    </w:p>
    <w:p w:rsidR="00163957" w:rsidRDefault="00163957" w:rsidP="00163957">
      <w:pPr>
        <w:pStyle w:val="TextoNormal"/>
      </w:pPr>
      <w:r>
        <w:t>(ii) Acta de comparecencia de doña I.M.R., hija de doña. M.R.S., quien informa del ingreso de su madre en “la Residencia del Pino” desde el 17 de diciembre de 2013, precisando que la misma padece “demencia senil, tiene 80 años y sufre de depresiones”.</w:t>
      </w:r>
    </w:p>
    <w:p w:rsidR="00163957" w:rsidRDefault="00163957" w:rsidP="00163957">
      <w:pPr>
        <w:pStyle w:val="TextoNormal"/>
      </w:pPr>
    </w:p>
    <w:p w:rsidR="00163957" w:rsidRDefault="00163957" w:rsidP="00163957">
      <w:pPr>
        <w:pStyle w:val="TextoNormal"/>
      </w:pPr>
      <w:r>
        <w:t>(iii) Informe pericial de cinco folios suscrito por la médico forense doña Leila Medina Gens, donde se concluye que: “La peritada … padece diferentes patologías de tipo físico y psíquico que determinan un deterioro cognitivo severo, que afectan a su capacidad de juicio y pensamiento, así como al control de los impulsos. Sus capacidades intelectivas y volitivas se encuentran abolidas casi por completo … Estos padecimientos son de carácter permanente y de evolución crónica e irreversible … Por todo esto se puede considerar que la peritada es incapaz del gobierno de sus bienes y su persona y que precisa de ingreso en un centro sociosanitario para poder recibir la asistencia diaria y constante que precisa”.</w:t>
      </w:r>
    </w:p>
    <w:p w:rsidR="00163957" w:rsidRDefault="00163957" w:rsidP="00163957">
      <w:pPr>
        <w:pStyle w:val="TextoNormal"/>
      </w:pPr>
    </w:p>
    <w:p w:rsidR="00163957" w:rsidRDefault="00163957" w:rsidP="00163957">
      <w:pPr>
        <w:pStyle w:val="TextoNormal"/>
      </w:pPr>
      <w:r>
        <w:lastRenderedPageBreak/>
        <w:t>e) Por diligencia de ordenación de la Secretaría del Juzgado, de 15 de mayo de 2014, se acordó que pasaran los autos “a la mesa de S.Sª a fin de dictar la oportuna resolución”.</w:t>
      </w:r>
    </w:p>
    <w:p w:rsidR="00163957" w:rsidRDefault="00163957" w:rsidP="00163957">
      <w:pPr>
        <w:pStyle w:val="TextoNormal"/>
      </w:pPr>
    </w:p>
    <w:p w:rsidR="00163957" w:rsidRDefault="00163957" w:rsidP="00163957">
      <w:pPr>
        <w:pStyle w:val="TextoNormal"/>
      </w:pPr>
      <w:r>
        <w:t>f) El 20 de mayo de 2014, el Juzgado dictó Auto desestimando “la solicitud de internamiento involuntario no urgente de Doña [M.R.S.], promovido por el Ministerio Fiscal”.</w:t>
      </w:r>
    </w:p>
    <w:p w:rsidR="00163957" w:rsidRDefault="00163957" w:rsidP="00163957">
      <w:pPr>
        <w:pStyle w:val="TextoNormal"/>
      </w:pPr>
    </w:p>
    <w:p w:rsidR="00163957" w:rsidRDefault="00163957" w:rsidP="00163957">
      <w:pPr>
        <w:pStyle w:val="TextoNormal"/>
      </w:pPr>
      <w:r>
        <w:t>La decisión se fundamenta concretamente en el razonamiento jurídico segundo donde, luego de reproducir los apartados 1 y 3 del art. 763 LEC, se señala por el Juzgado lo siguiente:</w:t>
      </w:r>
    </w:p>
    <w:p w:rsidR="00163957" w:rsidRDefault="00163957" w:rsidP="00163957">
      <w:pPr>
        <w:pStyle w:val="TextoNormal"/>
      </w:pPr>
    </w:p>
    <w:p w:rsidR="00163957" w:rsidRDefault="00163957" w:rsidP="00163957">
      <w:pPr>
        <w:pStyle w:val="TextoNormal"/>
      </w:pPr>
      <w:r>
        <w:t>“La norma transcrita distingue entre el internamiento involuntario no urgente, como el solicitado en el presente caso, y el urgente, siendo la regla general el primero frente al segundo que es excepcional, y donde el Tribunal no autoriza el internamiento, sino ratifica el ya acordado, cuando razones de urgencia hicieren necesaria la inmediata adopción de la medida.</w:t>
      </w:r>
    </w:p>
    <w:p w:rsidR="00163957" w:rsidRDefault="00163957" w:rsidP="00163957">
      <w:pPr>
        <w:pStyle w:val="TextoNormal"/>
      </w:pPr>
    </w:p>
    <w:p w:rsidR="00163957" w:rsidRDefault="00163957" w:rsidP="00163957">
      <w:pPr>
        <w:pStyle w:val="TextoNormal"/>
      </w:pPr>
      <w:r>
        <w:t>En el supuesto analizado no se cumplen los presupuestos establecidos legalmente para acceder a otorgar autorización para al internamiento involuntario de doña María. En efecto, el citado artículo 763 regula, en cuanto causa determinante de la ineludible autorización judicial, la necesidad del internamiento de una persona que no se encuentre en condiciones de decidirlo por sí mismo, disponiendo que dicha intervención judicial ha de ser previa al internamiento, lo que, obvio es, que no ocurre en supuesto sometido a resolución judicial.</w:t>
      </w:r>
    </w:p>
    <w:p w:rsidR="00163957" w:rsidRDefault="00163957" w:rsidP="00163957">
      <w:pPr>
        <w:pStyle w:val="TextoNormal"/>
      </w:pPr>
    </w:p>
    <w:p w:rsidR="00163957" w:rsidRDefault="00163957" w:rsidP="00163957">
      <w:pPr>
        <w:pStyle w:val="TextoNormal"/>
      </w:pPr>
      <w:r>
        <w:t>Así, de la documental que se adjunta al escrito promoviendo el presente expediente, y de las diligencias practicadas, concretamente la audiencia de una de las hijas de doña M., se colige que la citada está ingresada en la [r]esidencia del Pino desde el mes de diciembre de 2013. Siendo esto así, resulta plenamente aplicable al caso, los criterios que en supuestos idénticos al aquí planteada se han sentado entre otras, por la Audiencia Provincial de Madrid, secc. 22ª, auto 18-7-2011, nº 243/2011, rec. 570/2011, y por la propia Audiencia Provincial de las Palmas, secc. 3°, auto 10-9-2013, nº 116/2013, rollo 382/2013.</w:t>
      </w:r>
    </w:p>
    <w:p w:rsidR="00163957" w:rsidRDefault="00163957" w:rsidP="00163957">
      <w:pPr>
        <w:pStyle w:val="TextoNormal"/>
      </w:pPr>
    </w:p>
    <w:p w:rsidR="00163957" w:rsidRDefault="00163957" w:rsidP="00163957">
      <w:pPr>
        <w:pStyle w:val="TextoNormal"/>
      </w:pPr>
      <w:r>
        <w:t>Los autos citados de similar contenido, señalan lo siguiente: ‘Cierto es que la norma analizada contempla igualmente aquellas otras hipótesis en que ha de realízarse un internamiento por razones de urgencia, en las que la autorización judicial previa se sustituye por la ratificación ulterior de tal medida. Pero tampoco tales previsiones se acomodan a las circunstancias concurrentes en el caso que se somete a nuestra consideración, pues el internamiento de la Sra. … se produce diez meses antes de la comunicación dirigida al Juzgado lo que, o bien excluye toda connotación de urgencia o, en otro caso, supone la inobservancia, en su momento, de los deberes que al responsable del centro incumbían de conformidad con las previsiones contenidas en la repetida norma, y que no pueden ser subsanados extemporáneamente mediante un procedimiento concebido para finalidad distinta de la que ahora se pretende.</w:t>
      </w:r>
    </w:p>
    <w:p w:rsidR="00163957" w:rsidRDefault="00163957" w:rsidP="00163957">
      <w:pPr>
        <w:pStyle w:val="TextoNormal"/>
      </w:pPr>
    </w:p>
    <w:p w:rsidR="00163957" w:rsidRDefault="00163957" w:rsidP="00163957">
      <w:pPr>
        <w:pStyle w:val="TextoNormal"/>
      </w:pPr>
      <w:r>
        <w:t>Y todo ello sin perjuicio de la posibilidad de que el Ministerio Fiscal, ahora recurrente, inste el correspondiente procedimiento de incapacitación del internado y, dentro del mismo, solicite la adopción de las medidas oportunas para la protección de los intereses de la demandada, y entre ellas la ratificación de la situación residencial en la que la misma se encuentra actualmente’.</w:t>
      </w:r>
    </w:p>
    <w:p w:rsidR="00163957" w:rsidRDefault="00163957" w:rsidP="00163957">
      <w:pPr>
        <w:pStyle w:val="TextoNormal"/>
      </w:pPr>
    </w:p>
    <w:p w:rsidR="00163957" w:rsidRDefault="00163957" w:rsidP="00163957">
      <w:pPr>
        <w:pStyle w:val="TextoNormal"/>
      </w:pPr>
      <w:r>
        <w:t>Pues bien, haciendo aplicación al caso de los criterios precedentes, no puede sino concluirse que la situación sometida a consideración de este tribunal no tiene encaje en los supuestos regulados por el artículo 763, pues como ya quedó expuesto, doña M. ingresó en la Residencia del Pino en diciembre pasado, sin que hubiera previa autorización y sin que tampoco concurrieran razones de urgencia que justificaran su posterior ratificación, situación no prevista en el artículo 763 de la Ley de Enjuiciamiento Civil.</w:t>
      </w:r>
    </w:p>
    <w:p w:rsidR="00163957" w:rsidRDefault="00163957" w:rsidP="00163957">
      <w:pPr>
        <w:pStyle w:val="TextoNormal"/>
      </w:pPr>
    </w:p>
    <w:p w:rsidR="00163957" w:rsidRDefault="00163957" w:rsidP="00163957">
      <w:pPr>
        <w:pStyle w:val="TextoNormal"/>
      </w:pPr>
      <w:r>
        <w:t>Siendo así, la situación que ahora se presenta, es una situación nacida o producida extramuros de la regulación legal, y la regularización que se postula ahora, vendría a dar cobertura legal o apariencia de legalidad a una situación que ni es ni lo fue ab initio, porque el legislador no quiso que, salvo en los supuestos de urgencia, se produjeran internamientos no voluntarios sin la preceptiva y previa autorización judicial, como salvaguarda y garantía del derecho fundamental a la libertad proclamado en el artículo 17 de la Constitución, al establecer ‘que nadie podrá ser privado de su libertad, sino con la observancia de lo establecido en dicho precepto y en los casos en la forma previstos en la Ley’, y el artículo 5-1 de la Convención Europea de Derechos Humanos de 1950, ratificada por España en 26 de septiembre de1979, que establece ‘que nadie puede ser privado de su libertad salvo, entre otros supuestos, si se trata del internamiento de un enajenado, y ello con arreglo al procedimiento establecido en la ley’.</w:t>
      </w:r>
    </w:p>
    <w:p w:rsidR="00163957" w:rsidRDefault="00163957" w:rsidP="00163957">
      <w:pPr>
        <w:pStyle w:val="TextoNormal"/>
      </w:pPr>
    </w:p>
    <w:p w:rsidR="00163957" w:rsidRDefault="00163957" w:rsidP="00163957">
      <w:pPr>
        <w:pStyle w:val="TextoNormal"/>
      </w:pPr>
      <w:r>
        <w:t>Por consiguiente, no puede otorgarse cobertura legal a una situación que en su origen no lo fue, pues siguiendo el criterio de las resoluciones antes citadas, la inobservancia en su momento, de los deberes que a la familia o al responsable del centro incumbían de conformidad con las previsiones contenidas en el artículo 763, no pueden ser subsanados extemporáneamente mediante un procedimiento concebido para finalidad distinta de la que ahora se pretende.”</w:t>
      </w:r>
    </w:p>
    <w:p w:rsidR="00163957" w:rsidRDefault="00163957" w:rsidP="00163957">
      <w:pPr>
        <w:pStyle w:val="TextoNormal"/>
      </w:pPr>
    </w:p>
    <w:p w:rsidR="00163957" w:rsidRDefault="00163957" w:rsidP="00163957">
      <w:pPr>
        <w:pStyle w:val="TextoNormal"/>
      </w:pPr>
      <w:r>
        <w:t>g) Contra el referido Auto interpuso recurso de apelación la Fiscal actuante en dicho procedimiento de internamiento núm. 333-2014, alegando la “infracción de los artículos 12.4 y 14 de la Convención de las Naciones Unidas sobre los Derechos de las Personas con discapacidad, del artículo 17.1 de la Constitución Española, del artículo 763 de la Ley de Enjuiciamiento Civil y del artículo 4.2, en su apartado h), de la Ley 39/2006, de 14 de diciembre, de Promoción de la Autonomía Personal y Atención a las Personas en situación de dependencia”.</w:t>
      </w:r>
    </w:p>
    <w:p w:rsidR="00163957" w:rsidRDefault="00163957" w:rsidP="00163957">
      <w:pPr>
        <w:pStyle w:val="TextoNormal"/>
      </w:pPr>
    </w:p>
    <w:p w:rsidR="00163957" w:rsidRDefault="00163957" w:rsidP="00163957">
      <w:pPr>
        <w:pStyle w:val="TextoNormal"/>
      </w:pPr>
      <w:r>
        <w:t xml:space="preserve">En tal sentido, el escrito hace resumen de la resolución impugnada; recuerda cuándo (12 de febrero de 2014) la Sección especializada de la Fiscalía provincial tuvo conocimiento del ingreso no voluntario de doña M.R.S. en el centro sociosanitario El Pino; y la formalización de ulterior solicitud al Juzgado </w:t>
      </w:r>
      <w:r w:rsidRPr="00163957">
        <w:rPr>
          <w:i/>
        </w:rPr>
        <w:t>a quo</w:t>
      </w:r>
      <w:r>
        <w:t xml:space="preserve"> para “regularizar la situación” de ésta, precisando que “no se pide la ratificación judicial del ingreso no voluntario de Dña. M.R.S. —o la sanación de la situación anterior— sino la autorización judicial de su ingreso en adelante a fin de regularizar la situación de efectiva privación de libertad en la que se encuentra sin control judicial alguno”. La Fiscal alega que se ha infringido el art. 763 LEC “al entender que los internamientos que se han producido sin autorización judicial previa o sin ratificación en los supuestos de urgencia no son susceptibles de control judicial”. Entiende igualmente conculcado el art. 4.2 h) de la Ley 39/2006, respecto al ejercicio pleno de sus derechos jurisdiccionales por la persona afectada, dentro del proceso de internamiento involuntario, y la </w:t>
      </w:r>
      <w:r>
        <w:lastRenderedPageBreak/>
        <w:t>de los arts. 12.4 y 14 de la Convención de Naciones Unidas en materia de protección de los derechos de las personas con discapacidad, en cuanto a la salvaguarda del ejercicio de su capacidad jurídica por parte de éstas.</w:t>
      </w:r>
    </w:p>
    <w:p w:rsidR="00163957" w:rsidRDefault="00163957" w:rsidP="00163957">
      <w:pPr>
        <w:pStyle w:val="TextoNormal"/>
      </w:pPr>
    </w:p>
    <w:p w:rsidR="00163957" w:rsidRDefault="00163957" w:rsidP="00163957">
      <w:pPr>
        <w:pStyle w:val="TextoNormal"/>
      </w:pPr>
      <w:r>
        <w:t>Señala asimismo el escrito de apelación, que si bien la STC 132/2010, de 2 de diciembre, puso de relieve la falta de rango legal orgánico del citado art. 763 LEC, no cuestionó la constitucionalidad de su contenido; que la exigencia de autorización judicial viene dada porque la medida de internamiento supone una “clara limitación al derecho fundamental de libertad personal”, y que el no permitir su control por esta vía procesal supone “dejar en un limbo jurídico” a quienes han sido ingresados sin recabar su consentimiento; quedando éstos así privados de su libertad “hasta que los profesionales médicos [lo] entendieran preciso”.</w:t>
      </w:r>
    </w:p>
    <w:p w:rsidR="00163957" w:rsidRDefault="00163957" w:rsidP="00163957">
      <w:pPr>
        <w:pStyle w:val="TextoNormal"/>
      </w:pPr>
    </w:p>
    <w:p w:rsidR="00163957" w:rsidRDefault="00163957" w:rsidP="00163957">
      <w:pPr>
        <w:pStyle w:val="TextoNormal"/>
      </w:pPr>
      <w:r>
        <w:t>La Fiscal invoca asimismo el Auto de la Sección Tercera de la Audiencia Provincial de Las Palmas, de 22 de enero de 2014, donde a pesar de estimarse que no concurría la urgencia exigible para ratificar el internamiento por el procedimiento del art. 763 LEC, sí que acordó su mantenimiento como medida cautelar, al tratarse de una persona ya ingresada en un centro quien, según los informes médicos practicados, presentaba un deterioro cognitivo y la necesidad de atención permanente en un centro especializado, y añade que “[e]l supuesto de hecho contemplado por la Audiencia Provincial en la resolución referida es idéntico al que ahora es objeto de recurso”.</w:t>
      </w:r>
    </w:p>
    <w:p w:rsidR="00163957" w:rsidRDefault="00163957" w:rsidP="00163957">
      <w:pPr>
        <w:pStyle w:val="TextoNormal"/>
      </w:pPr>
    </w:p>
    <w:p w:rsidR="00163957" w:rsidRDefault="00163957" w:rsidP="00163957">
      <w:pPr>
        <w:pStyle w:val="TextoNormal"/>
      </w:pPr>
      <w:r>
        <w:t>Concluye su argumentación el recurso diciendo: “Es obvio, por tanto, que se produce una situación de indefensión de Dña. M.R.S., pues la misma necesita el ingreso en un centro adecuado pero no puede prestar su consentimiento, precisamente por la patología que presenta. Y esa situación requiere del control judicial. Al contrario de lo que se dice en el auto que se recurre, no cabría derivar la respuesta en este caso y similares al mismo a través de los correspondientes procesos declarativos de capacidad y la posibilidad de instar en su caso medidas cautelares. El nuevo modelo de protección de las personas con discapacidad que deriva de la normativa internacional antes citada implica diferenciar claramente la necesidad del ingreso de una persona en un centro adecuado de la procedencia del inicio de un juicio verbal de determinación de la capacidad, que bien pudiera no ser necesario si la persona con discapacidad se encuentra ya suficientemente protegida tanto en el ámbito personal como en el patrimonial, lo que no impediría que, sin embargo, sí fuera necesario acordar y establecer los mecanismos necesarios de control de su ingreso en un centro adecuado a su discapacidad a través del procedimiento adecuado. Dicho de otro modo y utilizando la terminología tradicional hasta ahora, no toda persona incapacitada judicialmente tiene que estar ingresada en un centro ni toda persona que precisa el ingreso en centro adecuado debe ser incapacitada. Uno y otro procedimiento encuentra amparo legal y constitucional diferente, de manera que ninguno de ellos necesita del otro procedimiento para su procedencia”.</w:t>
      </w:r>
    </w:p>
    <w:p w:rsidR="00163957" w:rsidRDefault="00163957" w:rsidP="00163957">
      <w:pPr>
        <w:pStyle w:val="TextoNormal"/>
      </w:pPr>
    </w:p>
    <w:p w:rsidR="00163957" w:rsidRDefault="00163957" w:rsidP="00163957">
      <w:pPr>
        <w:pStyle w:val="TextoNormal"/>
      </w:pPr>
      <w:r>
        <w:t>h) Tras sustanciarse el recurso de apelación, rollo núm. 409-2014, la Sección Tercera de la Audiencia Provincial de Las Palmas de Gran Canaria, en la que recayó el conocimiento del asunto, dictó Auto el 20 de junio de 2014 en sentido desestimatorio. La solución se fundamenta en el razonamiento jurídico segundo, afirmando que “esta Sala ya se ha pronunciado recientemente en dos autos sobre el objeto de esta alzada”, los cuales pasa a explicar:</w:t>
      </w:r>
    </w:p>
    <w:p w:rsidR="00163957" w:rsidRDefault="00163957" w:rsidP="00163957">
      <w:pPr>
        <w:pStyle w:val="TextoNormal"/>
      </w:pPr>
    </w:p>
    <w:p w:rsidR="00163957" w:rsidRDefault="00163957" w:rsidP="00163957">
      <w:pPr>
        <w:pStyle w:val="TextoNormal"/>
      </w:pPr>
      <w:r>
        <w:lastRenderedPageBreak/>
        <w:t>“[E]n el auto de fecha 11 de marzo del 2014, recaído [en el] rollo de apelación 89/2012 en un supuesto similar al enjuiciado de una persona mayor con problemas de demencia en el que primero se ingresa y luego se recaba autorización judicial de ingreso involuntario exponíamos que ‘el artículo 763 de la LEC a la hora de regular el internamiento no voluntario por razón de transtorno psíquico, y aún entendiendo esta Sala que entre dichos trastornos se encuentran compre[n]didas las deficiencias y enfermedades seniles de involución mental (por lo común de tipo degenerativo) asociadas a la te[r]cera edad, decíamos dicho artículo 763 de la LEC diferencia dos modalidades de internamiento, el ordinario, en el que la autorización es previa al internamiento y el urgente, en el que primero se practica el ingreso por razones de urgencia, para inmediatamente, el responsable del Centro solicitar en un brevísimo plazo la ratificación del mismo. Pues bien, en el supuesto enjuiciado estaríamos ante la ratificación del internamiento ya acordado por el CENTRO..., pues tal solicitud se formula ex post y no ex ante del ingreso de .., siendo su presupuesto indispensable la ‘urgencia’, pudiendo pe[r]fectamente la Juez a quo verificar, como así lo ha hecho en el supuesto enjuiciado, si dicho ingreso estuvo justificado en su origen por la ‘urgencia’, pues lo contrario en los términos de la Sentencia del Tribunal Constitucional de fecha 30 de julio del 2012, llevaría a convertir la fase extrajudicial previa en un limbo sin derechos para el afectado. En definitiva ‘la urgencia’ que podría definirse como la necesidad inmediata de la intervención médica para la protección del ingresado al encontrarse en una fase crítica dentro del proceso patológico de un enfermo mental que precisa el ingreso para evitar que se cause daño a sí mismo o a un tercero, junto con el requisito del ‘trastorno psíquico’, se convierten en pres[u]puesto objetivo de la medida del ingreso sin previa autorización judicial, requisito de la urgencia que no cabe apreciar en los informes médicos unidos a autos que se limitan a describir el estado del interno, por lo que fue ajustada a derecho la inadmisión a trámite de la solicitud de ratificación del internamiento urgente de , compartiendo esta Sala con la Juez a quo que la intervención judicial debió en su caso solicitarse con carácter previo al ingreso, de apreciarse que (…) estaba imposibilitado para prestar de forma voluntaria su consentimiento para el ingreso, y. no con posterioridad como se pretende, atribuyendo el carácter de urgencia a una situación que desde luego no lo es’.</w:t>
      </w:r>
    </w:p>
    <w:p w:rsidR="00163957" w:rsidRDefault="00163957" w:rsidP="00163957">
      <w:pPr>
        <w:pStyle w:val="TextoNormal"/>
      </w:pPr>
    </w:p>
    <w:p w:rsidR="00163957" w:rsidRDefault="00163957" w:rsidP="00163957">
      <w:pPr>
        <w:pStyle w:val="TextoNormal"/>
      </w:pPr>
      <w:r>
        <w:t xml:space="preserve">Y en relación al internamiento ordinario, tampoco concurrirían en el supuesto enjuiciado los requisitos del artículo 763 de la LEC, pues como exponíamos en el auto de fecha 3 de junio del 2014, recaído en el rollo de apelación 344/2014, ‘Pese a todo, no cabe tramitar este procedimiento ordinario del art. 763 LEC, precisamente porque el mismo sólo está previsto para que la autorización sea previa al internamiento. Por tanto, cuando el internamiento ya se ha producido, y más aún cuando se ha denegado ya la tramitación del procedimiento de autorización previa al ingreso, no cabe tramitar el expediente para autorizar en forma ordinaria el internamiento, ya que es presupuesto de esa modalidad de procedimiento que la autorización ‘sea previa’ al internamiento. Por tanto, sólo desde la situación de libertad de deambulación de la afectada podría solicitarse la tramitación del procedimiento no urgente del arto 763-1-1°. LEC. Sería un contrasentido que se tramitara dicho procedimiento para convalidar un internamiento ya producido, e incluso en tales circunstancias las autoridades judiciales estarían obligadas a instar un procedimiento de ‘habeas corpus’, como recuerda la STC de 2/7/2012. Esta misma sentencia recuerda que las medidas cautelares que se pueden adoptar parten de la base de la situación de libertad del afectado, sin que quepa una convalidación del internamiento fuera del plazo que previene la ley, 72 horas desde el internamiento: ‘c) Sin duda una de las principales garantías de este marco regulador del internamiento urgente lo constituye el límite temporal del que dispone el Juez para resolver, </w:t>
      </w:r>
      <w:r>
        <w:lastRenderedPageBreak/>
        <w:t>inédito hasta la aprobación de la LECiv 1/2000. La base constitucional de dicho plazo, al tratarse de una privación de libertad judicial, no reside en el art. 17.2 CE, sino el arto 17.1 CE, como tenemos ya dicho (SSTC 37/1996, de 11 de marzo (…), F. 4; 180/2011, de 21 de noviembre (…), F. 2).</w:t>
      </w:r>
    </w:p>
    <w:p w:rsidR="00163957" w:rsidRDefault="00163957" w:rsidP="00163957">
      <w:pPr>
        <w:pStyle w:val="TextoNormal"/>
      </w:pPr>
    </w:p>
    <w:p w:rsidR="00163957" w:rsidRDefault="00163957" w:rsidP="00163957">
      <w:pPr>
        <w:pStyle w:val="TextoNormal"/>
      </w:pPr>
      <w:r>
        <w:t>El plazo ha de considerarse improrrogable, tal como hemos reconocido con otros plazos de detención judicial que desarrollan el art. 17.1 CE [SSTC 37/1996, de 11 de marzo, F. 4 B); Y 180/2011 de 21 de noviembre, FF. 5 Y 6]. Por tanto no puede mantenerse el confinamiento de la persona si a su expiración no se ha ratificado la medida, ni cabe aducir dificultades logísticas o excesiva carga de trabajo del órgano judicial para justificar su demora, ni puede considerarse convalidado el incumplimiento porque más tarde se dicte el Auto y éste resulte confirmatorio. Vencido el plazo no desaparece la facultad del Juez para ordenar el internamiento, pero si éste se adopta deberá serlo estando el afectado en libertad, sin perjuicio de que tras esa ratificación deba ejecutarse la orden judicial con todos sus efectos. Otra interpretación llevaría a vaciar de contenido el límite previsto, confundiría lo que es una dilación procesal indebida con la lesión injustificada del derecho a la libertad e introduciría un abanico indefinido de flexibilidad, a todas luces peligroso e inconveniente.</w:t>
      </w:r>
    </w:p>
    <w:p w:rsidR="00163957" w:rsidRDefault="00163957" w:rsidP="00163957">
      <w:pPr>
        <w:pStyle w:val="TextoNormal"/>
      </w:pPr>
    </w:p>
    <w:p w:rsidR="00163957" w:rsidRDefault="00163957" w:rsidP="00163957">
      <w:pPr>
        <w:pStyle w:val="TextoNormal"/>
      </w:pPr>
      <w:r>
        <w:t>Desde luego, sí sería posible que el M. Fiscal instara medidas cautelares del art. 762 de la L.E.C., si bien hay que tener en cuenta que se trata de medidas sólo posibles cuando se aprecie en la persona una posible causa de incapacitación, por lo que aunque sea en fase posterior debería iniciarse un proceso de incapacitación para la adecuada y definitiva protección de los intereses del presunto incapaz’”.</w:t>
      </w:r>
    </w:p>
    <w:p w:rsidR="00163957" w:rsidRDefault="00163957" w:rsidP="00163957">
      <w:pPr>
        <w:pStyle w:val="TextoNormal"/>
      </w:pPr>
    </w:p>
    <w:p w:rsidR="00163957" w:rsidRDefault="00163957" w:rsidP="00163957">
      <w:pPr>
        <w:pStyle w:val="TextoNormal"/>
      </w:pPr>
      <w:r>
        <w:t>Finaliza su argumentación el Auto de la Audiencia diciendo:</w:t>
      </w:r>
    </w:p>
    <w:p w:rsidR="00163957" w:rsidRDefault="00163957" w:rsidP="00163957">
      <w:pPr>
        <w:pStyle w:val="TextoNormal"/>
      </w:pPr>
    </w:p>
    <w:p w:rsidR="00163957" w:rsidRDefault="00163957" w:rsidP="00163957">
      <w:pPr>
        <w:pStyle w:val="TextoNormal"/>
      </w:pPr>
      <w:r>
        <w:t>“Por lo demás indicar que si el Instituto Sociosanitario del Cabildo de Las Palmas, los Centros Sociosanitarios de él dependientes y las denominadas residencias de la Tercera Edad, están acordando sistemáticamente ingresos de personas con deficiencias y enfermedades seniles de involución mental asociadas a la te[r]cera edad al margen de la regulación legal del artículo 763, pues es evidente que así se está haciendo a la vista de los recursos constantes que el Ministerio Fiscal está interponiendo contra las denegaciones judiciales de incoación de procedimientos de internamientos involuntarios, corresponde precisamente al Ministerio Fiscal conforme al artículo 4 de su Estatuto Orgánico, velar por el exacto cumplimiento de las leyes, plazos y términos, promoviendo, en su caso, las correcciones oportunas, máxime en procedimientos como el presente en el que se ha tirado de una lista de reserva de solicitantes de recurso de atención residencial, por lo que no se alcanza a entender que dándose el visto bueno para proceder al ingreso de Dª M.R.S. desde el 21 de noviembre del pasado año no se recabara autorización judicial previa al ingreso que tuvo lugar muchos días después el 19 de diciembre del 2013.</w:t>
      </w:r>
    </w:p>
    <w:p w:rsidR="00163957" w:rsidRDefault="00163957" w:rsidP="00163957">
      <w:pPr>
        <w:pStyle w:val="TextoNormal"/>
      </w:pPr>
    </w:p>
    <w:p w:rsidR="00163957" w:rsidRDefault="00163957" w:rsidP="00163957">
      <w:pPr>
        <w:pStyle w:val="TextoNormal"/>
      </w:pPr>
      <w:r>
        <w:t>En definitiva no teniendo encaje legal en el artículo 763 de la LEC la petición formulada por el Ministerio Fiscal de internamiento involuntario de Dª M.R.S. fue ajustada a derecho la desestimación de dicha solicitud y el recurso de apelación debe desestimarse.”</w:t>
      </w:r>
    </w:p>
    <w:p w:rsidR="00163957" w:rsidRDefault="00163957" w:rsidP="00163957">
      <w:pPr>
        <w:pStyle w:val="TextoNormal"/>
      </w:pPr>
    </w:p>
    <w:p w:rsidR="00163957" w:rsidRDefault="00163957" w:rsidP="00163957">
      <w:pPr>
        <w:pStyle w:val="TextoNormal"/>
      </w:pPr>
      <w:r w:rsidRPr="00163957">
        <w:rPr>
          <w:rStyle w:val="NumeroAFNegritaCaracter"/>
        </w:rPr>
        <w:t>3</w:t>
      </w:r>
      <w:r>
        <w:t>. La demanda de amparo alega que las resoluciones judiciales recurridas “han lesionado el derecho fundamental a la libertad personal del art. 17.1 CE… con arreglo a la interpretación que deriva del contenido del art. 5.1.e) y 5.4 CEDH”.</w:t>
      </w:r>
    </w:p>
    <w:p w:rsidR="00163957" w:rsidRDefault="00163957" w:rsidP="00163957">
      <w:pPr>
        <w:pStyle w:val="TextoNormal"/>
      </w:pPr>
    </w:p>
    <w:p w:rsidR="00163957" w:rsidRDefault="00163957" w:rsidP="00163957">
      <w:pPr>
        <w:pStyle w:val="TextoNormal"/>
      </w:pPr>
      <w:r>
        <w:t>Tras la exposición de los hechos principales acaecidos en la vía judicial previa, con amplia reproducción literal del escrito de apelación de la Fiscal actuante y de las resoluciones impugnadas; y una vez constatada la concurrencia de los requisitos de orden procesal necesarios para la interposición del recurso de amparo, pasa a referirse el escrito de demanda a la cuestión de fondo. En tal sentido, se afirma que el internamiento no voluntario de un “enajenado” es una medida privativa de libertad que se encuentra sujeta a las garantías previstas tanto por el art. 763 LEC, como también por los arts. 5.1 e) y 5.4 del Convenio europeo para la protección de los derechos humanos y de las libertades fundamentales (CEDH), y el art. 9.1 del Pacto internacional de los derechos civiles y políticos, según la interpretación que ha dado a este último el Comité de Derechos Humanos de la ONU.</w:t>
      </w:r>
    </w:p>
    <w:p w:rsidR="00163957" w:rsidRDefault="00163957" w:rsidP="00163957">
      <w:pPr>
        <w:pStyle w:val="TextoNormal"/>
      </w:pPr>
    </w:p>
    <w:p w:rsidR="00163957" w:rsidRDefault="00163957" w:rsidP="00163957">
      <w:pPr>
        <w:pStyle w:val="TextoNormal"/>
      </w:pPr>
      <w:r>
        <w:t xml:space="preserve">Por su parte, prosigue diciendo, la doctrina constitucional ha destacado la incidencia de esta modalidad de internamiento sobre el derecho fundamental del art. 17.1 CE (se citan SSTC 104/1990, FJ 2; 129/1999, FJ 2; 131/2010, FJ 2; 132/2010, FJ 2, y 141/2012, FJ 3), mientras que la jurisprudencia del Tribunal Europeo de Derechos Humanos exige que el procedimiento respete los principios que dimanan de la noción de proceso justo del art. 6.1 CEDH (se citan las SSTEDH asuntos </w:t>
      </w:r>
      <w:r w:rsidRPr="00163957">
        <w:rPr>
          <w:i/>
        </w:rPr>
        <w:t>Wassink c. Holanda</w:t>
      </w:r>
      <w:r>
        <w:t xml:space="preserve">, de 27 de septiembre de 1990, § 24; </w:t>
      </w:r>
      <w:r w:rsidRPr="00163957">
        <w:rPr>
          <w:i/>
        </w:rPr>
        <w:t>Benham c, Reino Unido</w:t>
      </w:r>
      <w:r>
        <w:t xml:space="preserve">, 10 junio 1996, § 40; </w:t>
      </w:r>
      <w:r w:rsidRPr="00163957">
        <w:rPr>
          <w:i/>
        </w:rPr>
        <w:t>S. c. Estonia</w:t>
      </w:r>
      <w:r>
        <w:t xml:space="preserve">, de 4 octubre 2011, § 41; </w:t>
      </w:r>
      <w:r w:rsidRPr="00163957">
        <w:rPr>
          <w:i/>
        </w:rPr>
        <w:t>Winterwerp c. Holanda</w:t>
      </w:r>
      <w:r>
        <w:t>, de 24 de octubre 1979, §§ 44 y 60).</w:t>
      </w:r>
    </w:p>
    <w:p w:rsidR="00163957" w:rsidRDefault="00163957" w:rsidP="00163957">
      <w:pPr>
        <w:pStyle w:val="TextoNormal"/>
      </w:pPr>
    </w:p>
    <w:p w:rsidR="00163957" w:rsidRDefault="00163957" w:rsidP="00163957">
      <w:pPr>
        <w:pStyle w:val="TextoNormal"/>
      </w:pPr>
      <w:r>
        <w:t>Afirma la demanda seguidamente, que el “procedimiento del art. 763 LEC y, por tanto, la exigencia de autorización o control judicial se vienen aplicando de forma habitual en los casos de ingresos en centros psiquiátricos o unidades psiquiátricas, con una finalidad curativa o de tratamiento temporal de la enfermedad mental, cuando por razón de la salud mental de la persona no se encuentra en condiciones de decidirlo por sí mismo. Es precisamente la situación de discapacidad psíquica o mental de la persona la que torna en ineludible la exigencia de autorización (previa) o ratificación judicial (posterior) de su ingreso”.</w:t>
      </w:r>
    </w:p>
    <w:p w:rsidR="00163957" w:rsidRDefault="00163957" w:rsidP="00163957">
      <w:pPr>
        <w:pStyle w:val="TextoNormal"/>
      </w:pPr>
    </w:p>
    <w:p w:rsidR="00163957" w:rsidRDefault="00163957" w:rsidP="00163957">
      <w:pPr>
        <w:pStyle w:val="TextoNormal"/>
      </w:pPr>
      <w:r>
        <w:t>Sobre esta base, se argumenta entonces que “no hay razón alguna por la que deba prescindirse de este control jurisdiccional cuando el ingreso se lleva a cabo en establecimiento o centros socio sanitarios o geriátricos, con una finalidad marcadamente asistencial, ante la imposibilidad de que la persona ingresada pueda cubrir fuera del entorno residencial sus necesidades más elementales, precisamente por razón del deterioro cognitivo que padece. Lo verdaderamente relevante, a efectos de exigir el control judicial, no es el tipo de centro o unidad en donde tiene lugar el ingreso, ni su finalidad (curativa, terapéutica o asistencial), ni siquiera su vocación temporal o permanente; sino el tipo de padecimiento mental que sufre la persona, esto es, que la misma no se encuentre en condiciones de decidirlo por sí mismo, como dispone expresamente el citado art. 763 LEC. Este precepto habla de ‘centro’ sin ningún calificativo más, sin restringirlo, por tanto, a los centros o unidades psiquiátricas”.</w:t>
      </w:r>
    </w:p>
    <w:p w:rsidR="00163957" w:rsidRDefault="00163957" w:rsidP="00163957">
      <w:pPr>
        <w:pStyle w:val="TextoNormal"/>
      </w:pPr>
    </w:p>
    <w:p w:rsidR="00163957" w:rsidRDefault="00163957" w:rsidP="00163957">
      <w:pPr>
        <w:pStyle w:val="TextoNormal"/>
      </w:pPr>
      <w:r>
        <w:t xml:space="preserve">Se proclama la necesidad “de un control judicial en estos casos”, con cita de la instrucción 3/1990, de 7 de mayo, de la Fiscalía General del Estado, la recomendación 29/1996, de 14 de marzo, del Defensor del Pueblo, “sobre atención asistencial a personas con discapacidad y otros aspectos conexos”, y el documento de esta institución titulado “La atención sanitaria en España: perspectiva gerontológica y otros aspectos conexos” (año 2000), que </w:t>
      </w:r>
      <w:r>
        <w:lastRenderedPageBreak/>
        <w:t>equiparaba trastorno psíquico a enfermedad mental o deficiencia mental e instaba a la regularización de las personas en dicha situación mediante el procedimiento del hoy derogado art. 211 del Código civil.</w:t>
      </w:r>
    </w:p>
    <w:p w:rsidR="00163957" w:rsidRDefault="00163957" w:rsidP="00163957">
      <w:pPr>
        <w:pStyle w:val="TextoNormal"/>
      </w:pPr>
    </w:p>
    <w:p w:rsidR="00163957" w:rsidRDefault="00163957" w:rsidP="00163957">
      <w:pPr>
        <w:pStyle w:val="TextoNormal"/>
      </w:pPr>
      <w:r>
        <w:t>Invoca también el Fiscal el art. 14 de la Convención de Naciones Unidas sobre los derechos de las personas con discapacidad, en cuanto a la garantía de goce de sus derechos por los discapacitados que se vean privados de libertad, y la Ley 39/2006, de 14 de diciembre, de promoción de la autonomía personal y atención a las personas en situación de dependencia, cuyo art. 4.2 g) recoge el derecho de la persona a decidir sobre su ingreso en centro asistencial, y el art. 4 h), el ejercicio pleno de sus derechos jurisdiccionales en caso de internamiento involuntario, a través de un “proceso contradictorio”. Tras repasar algunas regulaciones autonómicas dirigidas a la protección de personas mayores, se concluye en este punto que “no hay ningún motivo para concluir que el procedimiento del art. 763 LEC no reúne las condiciones para ser considerado ‘proceso contradictorio’, en los términos del art. 4.2 h) de la citada Ley 39/2006, de 14 de diciembre, a los efectos de controlar y/o supervisar judicialmente el ingreso no voluntario de una persona en un centro asistencial, socio sanitario o geriátrico”, siendo que la STC 129/1999, FJ 3, declaró que el proceso de internamiento no voluntario del art. 211 CC era respetuoso del derecho a un proceso con todas las garantías (art. 24.2 CE), conclusión que considera “perfectamente aplicable al procedimiento regulado en el actual art. 763 LEC, a la luz de la doctrina establecida en la STC 141/2012”.</w:t>
      </w:r>
    </w:p>
    <w:p w:rsidR="00163957" w:rsidRDefault="00163957" w:rsidP="00163957">
      <w:pPr>
        <w:pStyle w:val="TextoNormal"/>
      </w:pPr>
    </w:p>
    <w:p w:rsidR="00163957" w:rsidRDefault="00163957" w:rsidP="00163957">
      <w:pPr>
        <w:pStyle w:val="TextoNormal"/>
      </w:pPr>
      <w:r>
        <w:t>La demanda se refiere luego a la situación de doña M.R.S., precisando que la Fiscalía provincial no solicitó su internamiento en razón a su avanzada edad sino por el grave deterioro cognitivo que padecía, estado que constaba en los informes médicos, el cual resultaba de “pleno encaje” en el concepto de “trastorno psíquico” del art. 763 LEC. Además, añade, en relación a dicho trastorno “el propio TC ha admitido que puede ser transitorio o permanente y que, en todo caso, para su determinación habrá que estar a los conocimientos propios de la ciencia médica [</w:t>
      </w:r>
      <w:r w:rsidRPr="00163957">
        <w:rPr>
          <w:i/>
        </w:rPr>
        <w:t>Vid</w:t>
      </w:r>
      <w:r>
        <w:t>. STC 141/2012, FJ 4, apartado a)]. Pues bien, el concepto de ‘trastorno psíquico’ no debe limitarse a supuestos de enfermedad mental (por ejemplo, esquizofrenia), sino, también a aquellas deficiencias o enfermedades seniles degenerativas que se traducen en trastornos psíquicos padecidos frecuentemente por los adultos mayores, como es el ejemplo de la enfermedad de Pick, la demencia vascular o el Alzheimer”.</w:t>
      </w:r>
    </w:p>
    <w:p w:rsidR="00163957" w:rsidRDefault="00163957" w:rsidP="00163957">
      <w:pPr>
        <w:pStyle w:val="TextoNormal"/>
      </w:pPr>
    </w:p>
    <w:p w:rsidR="00163957" w:rsidRDefault="00163957" w:rsidP="00163957">
      <w:pPr>
        <w:pStyle w:val="TextoNormal"/>
      </w:pPr>
      <w:r>
        <w:t xml:space="preserve">En el presente caso, se explica, doña M.R.S. padecía demencia senil, lo que hace imposible recabar su consentimiento para que continúe en el centro, lo que lleva a rechazar los argumentos de las resoluciones judiciales impugnadas en este amparo, que entendieron que no concurrían los requisitos para el internamiento del art. 763 LEC. A la procedencia no obsta el hecho de que, “[c]iertamente, de la documentación obrante en el expediente resulta acreditado que no se solicitó autorización judicial con carácter previo al ingreso de doña M.R., ocurrido en el mes de diciembre de 2013. Ni tampoco, una vez ingresada, se comunicó al órgano judicial a los efectos de recabar por vía de urgencia la oportuna autorización judicial, en el plazo legal fijado en el art. 763 LEC. Sin desconocer la importancia constitucional del plazo … en los términos advertidos en la STC 141/2012, FJ 5, apartado c), y de las eventuales responsabilidades que pudieran derivarse para los responsables del centro, se estima que ni la ausencia de solicitud de autorización judicial previa al ingreso, ni el incumplimiento del deber de comunicación en el plazo legal establecido pueden ser argumentos constitucionalmente válidos y definitivos para descartar todo control judicial del carácter no voluntario del internamiento de doña M.R. y exigir el efectivo cumplimiento de las garantías </w:t>
      </w:r>
      <w:r>
        <w:lastRenderedPageBreak/>
        <w:t>establecidas en el citado art. 763 LEC. Las resoluciones judiciales que se impugnan olvidan la justificación teleológica del control judicial de las situaciones de ingreso no voluntario del art. 763 LEC, que no es otra que garantizar la legalidad de una medida que incuestionablemente supone una restricción del derecho a la libertad … En el presente caso, su fin no era dar cobertura legal a una situación de hecho que en su origen no lo fue, como se afirma en el auto de 20 de mayo de 2014, sino controlar judicialmente que se daban las condiciones antes detalladas, como así expuso la Fiscalía en su recurso de apelación, y, por tanto, comprobar efectivamente que la persona ingresada sufría un trastorno psíquico que justificaba su internamiento no voluntario, así como asegurar su posterior supervisión judicial periódica en los plazos establecidos”.</w:t>
      </w:r>
    </w:p>
    <w:p w:rsidR="00163957" w:rsidRDefault="00163957" w:rsidP="00163957">
      <w:pPr>
        <w:pStyle w:val="TextoNormal"/>
      </w:pPr>
    </w:p>
    <w:p w:rsidR="00163957" w:rsidRDefault="00163957" w:rsidP="00163957">
      <w:pPr>
        <w:pStyle w:val="TextoNormal"/>
      </w:pPr>
      <w:r>
        <w:t xml:space="preserve">Considera asimismo el Fiscal que resulta un contrasentido que el Juzgado </w:t>
      </w:r>
      <w:r w:rsidRPr="00163957">
        <w:rPr>
          <w:i/>
        </w:rPr>
        <w:t>a quo</w:t>
      </w:r>
      <w:r>
        <w:t xml:space="preserve"> sustanciara todo el procedimiento del art. 763 LEC para, al final, no conceder la autorización judicial de mantenimiento de la medida por el incumplimiento del plazo legal que tenía el director del centro para comunicar el internamiento; criterio éste que confirma la Audiencia.</w:t>
      </w:r>
    </w:p>
    <w:p w:rsidR="00163957" w:rsidRDefault="00163957" w:rsidP="00163957">
      <w:pPr>
        <w:pStyle w:val="TextoNormal"/>
      </w:pPr>
    </w:p>
    <w:p w:rsidR="00163957" w:rsidRDefault="00163957" w:rsidP="00163957">
      <w:pPr>
        <w:pStyle w:val="TextoNormal"/>
      </w:pPr>
      <w:r>
        <w:t xml:space="preserve">De este modo, sostiene que la decisión de los órganos judiciales actuantes “produce, </w:t>
      </w:r>
      <w:r w:rsidRPr="00163957">
        <w:rPr>
          <w:i/>
        </w:rPr>
        <w:t>de facto</w:t>
      </w:r>
      <w:r>
        <w:t>, la renuncia al control judicial y, por tanto, como efecto jurídico, la perpetuación de una situación de privación de libertad que el propio órgano califica de ‘ilegal’, con vulneración del art. 17.1 CE, lo que hace que, desde esta perspectiva, las resoluciones impugnadas carezcan de toda razonabilidad constitucional”.</w:t>
      </w:r>
    </w:p>
    <w:p w:rsidR="00163957" w:rsidRDefault="00163957" w:rsidP="00163957">
      <w:pPr>
        <w:pStyle w:val="TextoNormal"/>
      </w:pPr>
    </w:p>
    <w:p w:rsidR="00163957" w:rsidRDefault="00163957" w:rsidP="00163957">
      <w:pPr>
        <w:pStyle w:val="TextoNormal"/>
      </w:pPr>
      <w:r>
        <w:t xml:space="preserve">Se refiere luego la demanda a las situaciones de ingreso voluntario de personas mayores en residencias, que por sufrir un deterioro cognitivo progresivo se torna en ingreso involuntario al faltar la capacidad de autodeterminación. Negar en esos casos la autorización judicial por haberse superado el plazo de las 24 horas, “coloca a las personas internadas en una especie de ‘limbo jurídico’, carente de todo control judicial, como denunció la Fiscalía en su recurso de apelación contra el auto de 20 de mayo de 2014 … posibilitándose de esta forma el encubrimiento de situaciones de ilegalidad y arbitrariedad contrarias al derecho a la libertad, a modo de ‘zonas oscuras’ no sometidas a ningún tipo de escrutinio judicial. No hay motivo alguno para no admitir en estos casos un efectivo control judicial del ingreso mediante la comprobación de las condiciones exigidas constitucionalmente, reconociendo su necesidad, a modo de ‘urgencia sobrevenida’, desde el momento en que el estado de deterioro cognitivo alcanza tal intensidad que priva por completo a la persona de sus facultades intelectivas y volitivas, como en el presente caso certificó la médico forense en su dictamen de 14 de mayo de 2014, después de reconocer a doña M.R. La propia situación de especial vulnerabilidad en que se encuentra este colectivo obliga a los órganos judiciales a interpretar el art. 763 LEC adaptándolo a las concretas circunstancias concurrentes, introduciendo aquellos ‘ajustes que sean razonables’ para proteger su derecho a la libertad”, de acuerdo con lo previsto en los arts. 2, 12.2 y 12.4 de la Convención sobre los derechos de las personas con discapacidad, con protección de su derecho a la libertad ex art. 5 CEDH y STEDH </w:t>
      </w:r>
      <w:r w:rsidRPr="00163957">
        <w:rPr>
          <w:i/>
        </w:rPr>
        <w:t>asunto Winterwerp v. Holanda</w:t>
      </w:r>
      <w:r>
        <w:t>, de 24 de octubre de 1979, garantías asumidas por este Tribunal Constitucional.</w:t>
      </w:r>
    </w:p>
    <w:p w:rsidR="00163957" w:rsidRDefault="00163957" w:rsidP="00163957">
      <w:pPr>
        <w:pStyle w:val="TextoNormal"/>
      </w:pPr>
    </w:p>
    <w:p w:rsidR="00163957" w:rsidRDefault="00163957" w:rsidP="00163957">
      <w:pPr>
        <w:pStyle w:val="TextoNormal"/>
      </w:pPr>
      <w:r>
        <w:t xml:space="preserve">Advierte el escrito que el procedimiento tramitado en este caso colmó las garantías jurisdiccionales tal como exige el art. 4 de la Ley 39/2006, incluyendo el examen judicial directo de la interna, y tras ello cierra sus consideraciones dando su opinión a la tesis de las resoluciones recurridas, acerca de la posibilidad de regularizar la situación de doña M.R.S. no a </w:t>
      </w:r>
      <w:r>
        <w:lastRenderedPageBreak/>
        <w:t>través de la vía procesal del art. 763 LEC sino del proceso de incapacitación. Considera que tal fórmula “deviene una solución contraria a los principios que inspiran el actual modelo de protección de las personas con discapacidad, según resulta de la Convención sobre derechos de las personas con discapacidad. Modelo que descansa, como ejes vertebradores, en el respeto de sus derechos, en la promoción y favorecimiento de su autonomía personal y en el reconocimiento de su capacidad jurídica y la adopción de apoyos y salvaguardas adecuadas y proporcionales que aseguren su ejercicio (art. 12 de la Convención). El nuevo modelo de ‘apoyos y asistencia en la toma de decisiones’ que impone el texto convencional conlleva una superación del modelo clásico de incapacitación y tutela judicial. En terminología tradicional, la Sección Tercera de la Audiencia Provincial de Las Palmas confunde internamiento e incapacitación, sin tener en cuenta que son dos realidades distintas y que tratan de dar respuesta jurídica a supuestos diferentes. Así, no todo internamiento de una persona debe provocar, necesariamente, su ‘incapacitación judicial’; ni toda ‘incapacitación judicial’ debe dar lugar a un internamiento de la persona, como así se expuso por la Fiscalía en su recurso de apelación”.</w:t>
      </w:r>
    </w:p>
    <w:p w:rsidR="00163957" w:rsidRDefault="00163957" w:rsidP="00163957">
      <w:pPr>
        <w:pStyle w:val="TextoNormal"/>
      </w:pPr>
    </w:p>
    <w:p w:rsidR="00163957" w:rsidRDefault="00163957" w:rsidP="00163957">
      <w:pPr>
        <w:pStyle w:val="TextoNormal"/>
      </w:pPr>
      <w:r>
        <w:t xml:space="preserve">El escrito de demanda solicita en su suplico el otorgamiento del amparo por vulneración del derecho a la libertad personal (art. 17.1 CE) y que, en su consecuencia, este Tribunal declare la nulidad de las resoluciones impugnadas y la retroacción de actuaciones al momento inmediatamente anterior al de dictarse el Auto de 20 de mayo de 2014, para que el Juzgado </w:t>
      </w:r>
      <w:r w:rsidRPr="00163957">
        <w:rPr>
          <w:i/>
        </w:rPr>
        <w:t>a quo</w:t>
      </w:r>
      <w:r>
        <w:t xml:space="preserve"> dicte nueva resolución respetuosa con el citado derecho fundamental.</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Con fecha 4 de diciembre de 2014, la Sección Cuarta, Sala Segunda, de este Tribunal, dictó providencia admitiendo a trámite la demanda de amparo, ordenando dirigir comunicación a la Sección Tercera de la Audiencia Provincial de Las Palmas de Gran Canaria y al Juzgado de Primera Instancia núm. 15 de Las Palmas de Gran Canaria, </w:t>
      </w:r>
      <w:r w:rsidRPr="00163957">
        <w:rPr>
          <w:i/>
        </w:rPr>
        <w:t>ex</w:t>
      </w:r>
      <w:r>
        <w:t xml:space="preserve"> art. 51 de la Ley Orgánica del Tribunal Constitucional (LOTC), para que en plazo que no excediera de diez días remitieran certificación o fotocopia adverada de las actuaciones correspondientes, respectivamente, al rollo de apelación núm. 409-2014 y procedimiento de internamiento voluntario núm. 333-2014; con emplazamiento a quienes hubiesen sido parte en el procedimiento, excepto a la parte recurrente en amparo, con el fin de poder comparecer en el presente recurso, si lo deseasen, en un plazo de diez días. Asimismo, conforme a lo previsto en el art. 46.2 LOTC, se ordenó publicar la admisión del recurso en el “Boletín Oficial del Estado” (“BOE”), “a efectos de comparecencia de otros posibles interesados que podrán personarse ante este Tribunal dentro de los diez días siguientes a la publicación del Edicto en el Boletín Oficial del Estado”. Esta última tuvo lugar en el “BOE” núm. 304 del miércoles 17 de diciembre de 2014.</w:t>
      </w:r>
    </w:p>
    <w:p w:rsidR="00163957" w:rsidRDefault="00163957" w:rsidP="00163957">
      <w:pPr>
        <w:pStyle w:val="TextoNormal"/>
      </w:pPr>
    </w:p>
    <w:p w:rsidR="00163957" w:rsidRDefault="00163957" w:rsidP="00163957">
      <w:pPr>
        <w:pStyle w:val="TextoNormal"/>
      </w:pPr>
      <w:r w:rsidRPr="00163957">
        <w:rPr>
          <w:rStyle w:val="NumeroAFNegritaCaracter"/>
        </w:rPr>
        <w:t>5</w:t>
      </w:r>
      <w:r>
        <w:t>. Por diligencia de ordenación de la Secretaría de Justicia de la Sección Cuarta de este Tribunal, de 6 de febrero de 2015, se hace constar que al no haberse efectuado personación alguna en el plazo antes concedido, se otorga audiencia únicamente a la parte recurrente por veinte días para formular alegaciones, de acuerdo con el art. 52 LOTC.</w:t>
      </w:r>
    </w:p>
    <w:p w:rsidR="00163957" w:rsidRDefault="00163957" w:rsidP="00163957">
      <w:pPr>
        <w:pStyle w:val="TextoNormal"/>
      </w:pPr>
    </w:p>
    <w:p w:rsidR="00163957" w:rsidRDefault="00163957" w:rsidP="00163957">
      <w:pPr>
        <w:pStyle w:val="TextoNormal"/>
      </w:pPr>
      <w:r w:rsidRPr="00163957">
        <w:rPr>
          <w:rStyle w:val="NumeroAFNegritaCaracter"/>
        </w:rPr>
        <w:t>6</w:t>
      </w:r>
      <w:r>
        <w:t>. El Fiscal ante este Tribunal Constitucional formalizó su escrito de alegaciones el 27 de marzo de 2015, reiterando, de modo resumido, las argumentaciones ya presentadas en la demanda, y su solicitud de otorgamiento del amparo y demás efectos inherentes a dicha declaración.</w:t>
      </w:r>
    </w:p>
    <w:p w:rsidR="00163957" w:rsidRDefault="00163957" w:rsidP="00163957">
      <w:pPr>
        <w:pStyle w:val="TextoNormal"/>
      </w:pPr>
    </w:p>
    <w:p w:rsidR="00163957" w:rsidRDefault="00163957" w:rsidP="00163957">
      <w:pPr>
        <w:pStyle w:val="TextoNormal"/>
      </w:pPr>
      <w:r w:rsidRPr="00163957">
        <w:rPr>
          <w:rStyle w:val="NumeroAFNegritaCaracter"/>
        </w:rPr>
        <w:t>7</w:t>
      </w:r>
      <w:r>
        <w:t>. Mediante providencia de la Sala Segunda de este Tribunal, de 1 de febrero de 2016, de conformidad con lo dispuesto en el art. 84 LOTC se acordó conceder al Ministerio Fiscal, única parte personada, un plazo de cinco días para que alegue “si puede ser causa de estimación del recurso, por vulneración del derecho a la libertad personal de doña M.R.S., la no adopción de oficio por las resoluciones impugnadas, de la medida cautelar de internamiento en proceso de incapacitación, ex art. 762 LEC, y por no haber dado traslado a los parientes de aquélla y, en su defecto al Ministerio Fiscal, para deducir demanda de incapacitación”.</w:t>
      </w:r>
    </w:p>
    <w:p w:rsidR="00163957" w:rsidRDefault="00163957" w:rsidP="00163957">
      <w:pPr>
        <w:pStyle w:val="TextoNormal"/>
      </w:pPr>
    </w:p>
    <w:p w:rsidR="00163957" w:rsidRDefault="00163957" w:rsidP="00163957">
      <w:pPr>
        <w:pStyle w:val="TextoNormal"/>
      </w:pPr>
      <w:r>
        <w:t>El Fiscal ante este Tribunal Constitucional formalizó escrito de alegaciones, registrado el 15 de febrero de 2016, por el que además de reafirmarse en la pretensión deducida en su demanda, expresó al final lo siguiente: “Si los órganos judiciales estimaban que la vía del art. 763 LEC resultaba improcedente, tenían a su alcance otros resortes legales para adoptar las medidas de protección adecuadas, autorizar el ingreso no voluntario y garantizar así la preceptiva tutela jurisdiccional. Resortes que podían activarse incluso de oficio, sin expresa petición de parte, lo que parece que olvidan los órganos judiciales al rechazar la petición de la Fiscalía. Esta desestimación conlleva una renuncia a ejercer esta tutela jurisdiccional. Renuncia que no resulta aceptable desde el plano constitucional”.</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fecha de 25 de febrero de 2016, se señaló para deliberación y votación de la presente Sentencia el día 29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Se interpone el presente recurso de amparo por el Fiscal ante este Tribunal Constitucional, contra el Auto de 20 de mayo de 2014 del Juzgado de Primera Instancia núm. 15 de Las Palmas de Gran Canaria, que desestimó la solicitud de internamiento no voluntario de doña M.R.S, formulada por la Fiscalía provincial por los trámites del art. 763 de la Ley de enjuiciamiento civil (LEC); decisión confirmada en apelación por la Sección Tercera de las Palmas de Gran Canaria en Auto de 20 de junio de 2014, que desestimó el recurso promovido por la Fiscal actuante. A ambas resoluciones la demanda achaca la vulneración del derecho a la libertad personal (art. 17.1 CE) de la persona internada, por cuanto no se ha ejercitado el necesario control judicial respecto de una situación que resulta privativa de su libertad. El Fiscal entiende que se reunían los requisitos para que procediera el internamiento de doña M.R.S., mediando la ratificación del Juez a través de este procedimiento especial.</w:t>
      </w:r>
    </w:p>
    <w:p w:rsidR="00163957" w:rsidRDefault="00163957" w:rsidP="00163957">
      <w:pPr>
        <w:pStyle w:val="TextoNormal"/>
      </w:pPr>
    </w:p>
    <w:p w:rsidR="00163957" w:rsidRDefault="00163957" w:rsidP="00163957">
      <w:pPr>
        <w:pStyle w:val="TextoNormal"/>
      </w:pPr>
      <w:r>
        <w:t xml:space="preserve">Debemos asimismo indicar que, de acuerdo con las potestades atribuidas a este Tribunal </w:t>
      </w:r>
      <w:r w:rsidRPr="00163957">
        <w:rPr>
          <w:i/>
        </w:rPr>
        <w:t>ex</w:t>
      </w:r>
      <w:r>
        <w:t xml:space="preserve"> art. 86.3 de la Ley Orgánica del Tribunal Constitucional (LOTC) y el acuerdo del Pleno de 23 de julio de 2015, en materia de protección de datos de carácter personal en el ámbito de la publicación y difusión de sus resoluciones jurisdiccionales, la presente Sentencia no incluye la identificación completa de la persona sometida a internamiento por razón de trastorno psíquico, cuyos derechos ha tutelado el Fiscal mediante la interposición del presente recurso de amparo, con el fin de proteger así su intimidad, “…teniendo en cuenta los hechos del caso (SSTC 114/2006, de 5 de abril, FJ 7; 176/2008, de 22 de diciembre, FJ 9; y 77/2009, </w:t>
      </w:r>
      <w:r>
        <w:lastRenderedPageBreak/>
        <w:t>de 23 de marzo, FJ 5)” (STC 141/2012, FJ 8; en el mismo sentido, SSTC 182/2015, de 7 de septiembre; 13/2016, de 1 de febrero, FJ 1, y 22/2016, de 15 de febrero, FJ 1).</w:t>
      </w:r>
    </w:p>
    <w:p w:rsidR="00163957" w:rsidRDefault="00163957" w:rsidP="00163957">
      <w:pPr>
        <w:pStyle w:val="TextoNormal"/>
      </w:pPr>
    </w:p>
    <w:p w:rsidR="00163957" w:rsidRDefault="00163957" w:rsidP="00163957">
      <w:pPr>
        <w:pStyle w:val="TextoNormal"/>
      </w:pPr>
      <w:r w:rsidRPr="00163957">
        <w:rPr>
          <w:rStyle w:val="NumeroAFNegritaCaracter"/>
        </w:rPr>
        <w:t>2</w:t>
      </w:r>
      <w:r>
        <w:t>. Como cuestiones previas al análisis de fondo debemos indicar:</w:t>
      </w:r>
    </w:p>
    <w:p w:rsidR="00163957" w:rsidRDefault="00163957" w:rsidP="00163957">
      <w:pPr>
        <w:pStyle w:val="TextoNormal"/>
      </w:pPr>
    </w:p>
    <w:p w:rsidR="00163957" w:rsidRDefault="00163957" w:rsidP="00163957">
      <w:pPr>
        <w:pStyle w:val="TextoNormal"/>
      </w:pPr>
      <w:r>
        <w:t>a) En primer lugar, que el Fiscal ante este Tribunal Constitucional actúa como promotor del presente recurso de amparo, con la legitimación que le conceden los arts. 162.1 b) CE, 46.1 b) LOTC y 3.11 de la Ley 50/1981, de 30 de diciembre, que aprueba el Estatuto Orgánico del Ministerio Fiscal de 1981, en cuanto esta institución es portadora de un interés público para velar por la integridad y efectividad de los derechos de los ciudadanos [entre otras, SSTC 17/2006, de 30 de enero, FJ 4; 208/2013, de 16 de diciembre, encabezamiento; 182/2015, FJ 2, y 22/2016, de 15 de febrero, FJ 2 a)], en este caso los de doña M.R.S.</w:t>
      </w:r>
    </w:p>
    <w:p w:rsidR="00163957" w:rsidRDefault="00163957" w:rsidP="00163957">
      <w:pPr>
        <w:pStyle w:val="TextoNormal"/>
      </w:pPr>
    </w:p>
    <w:p w:rsidR="00163957" w:rsidRDefault="00163957" w:rsidP="00163957">
      <w:pPr>
        <w:pStyle w:val="TextoNormal"/>
      </w:pPr>
      <w:r>
        <w:t>b) Y en segundo lugar, que la admisión a trámite del recurso fue acordada al apreciarse su especial trascendencia constitucional [art. 50.1 b) LOTC], por cuanto permite a este Tribunal aclarar doctrina previa (STC 155/2009, de 25 de junio, FJ 2, apartado “b”), en concreto acerca de cuál ha de ser el procedimiento constitucionalmente adecuado para conocer de una medida de internamiento en un centro, adoptada sin previa autorización judicial, cuando se trata de situaciones de trastornos psíquicos no urgentes.</w:t>
      </w:r>
    </w:p>
    <w:p w:rsidR="00163957" w:rsidRDefault="00163957" w:rsidP="00163957">
      <w:pPr>
        <w:pStyle w:val="TextoNormal"/>
      </w:pPr>
    </w:p>
    <w:p w:rsidR="00163957" w:rsidRDefault="00163957" w:rsidP="00163957">
      <w:pPr>
        <w:pStyle w:val="TextoNormal"/>
      </w:pPr>
      <w:r>
        <w:t xml:space="preserve">Dicha precisión se formula “en salvaguarda del principio de seguridad jurídica que, conforme a la Sentencia del Tribunal Europeo de Derechos Humanos de 20 de enero de 2015, dictada en el asunto </w:t>
      </w:r>
      <w:r w:rsidRPr="00163957">
        <w:rPr>
          <w:i/>
        </w:rPr>
        <w:t>Arribas Antón c.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00163957" w:rsidRDefault="00163957" w:rsidP="00163957">
      <w:pPr>
        <w:pStyle w:val="TextoNormal"/>
      </w:pPr>
    </w:p>
    <w:p w:rsidR="00163957" w:rsidRDefault="00163957" w:rsidP="00163957">
      <w:pPr>
        <w:pStyle w:val="TextoNormal"/>
      </w:pPr>
      <w:r w:rsidRPr="00163957">
        <w:rPr>
          <w:rStyle w:val="NumeroAFNegritaCaracter"/>
        </w:rPr>
        <w:t>3</w:t>
      </w:r>
      <w:r>
        <w:t>. Sentado lo anterior hemos de entrar ya en el examen de la controversia, que viene significada por la discrepancia que mantienen el Ministerio Fiscal y las resoluciones recurridas, acerca del cauce procesal idóneo para obtener la autorización judicial que permita mantener internada a una persona que presenta un cuadro de enfermedad mental degenerativa y lleva ya un tiempo prolongado recluida en un centro asistencial, como era el caso de doña M.R.S. durante varios meses.</w:t>
      </w:r>
    </w:p>
    <w:p w:rsidR="00163957" w:rsidRDefault="00163957" w:rsidP="00163957">
      <w:pPr>
        <w:pStyle w:val="TextoNormal"/>
      </w:pPr>
    </w:p>
    <w:p w:rsidR="00163957" w:rsidRDefault="00163957" w:rsidP="00163957">
      <w:pPr>
        <w:pStyle w:val="TextoNormal"/>
      </w:pPr>
      <w:r>
        <w:t>Para el Fiscal, esa autorización judicial ha de concederse a través del proceso especial del art. 763 LEC, y toda negativa a otorgarla por esta vía supone vulnerar el derecho a la libertad (art. 17.1 CE) de la afectada. En cambio las resoluciones recurridas, sin negar que se trata de una situación privativa de libertad que debe ser sujeta a control judicial, son del criterio de que la autorización correspondiente ha de instarse dentro del proceso para la declaración de incapacidad de los arts. 756 a 762 LEC, pero no por los trámites del procedimiento del art. 763, pues falta el requisito de la “urgencia” que exige esta última norma como uno de sus presupuestos de procedencia.</w:t>
      </w:r>
    </w:p>
    <w:p w:rsidR="00163957" w:rsidRDefault="00163957" w:rsidP="00163957">
      <w:pPr>
        <w:pStyle w:val="TextoNormal"/>
      </w:pPr>
    </w:p>
    <w:p w:rsidR="00163957" w:rsidRDefault="00163957" w:rsidP="00163957">
      <w:pPr>
        <w:pStyle w:val="TextoNormal"/>
      </w:pPr>
      <w:r>
        <w:t xml:space="preserve">Así trabado el debate, para responder adecuadamente al problema constitucional planteado debemos enjuiciar dos problemas distintos pero conectados entre sí: en primer lugar, </w:t>
      </w:r>
      <w:r>
        <w:lastRenderedPageBreak/>
        <w:t>si cabe hablar en nuestro ordenamiento de la posibilidad de “regularización” de internamientos involuntarios de personas por causa de trastorno psíquico, que se descubren materializados desde tiempo antes.</w:t>
      </w:r>
    </w:p>
    <w:p w:rsidR="00163957" w:rsidRDefault="00163957" w:rsidP="00163957">
      <w:pPr>
        <w:pStyle w:val="TextoNormal"/>
      </w:pPr>
    </w:p>
    <w:p w:rsidR="00163957" w:rsidRDefault="00163957" w:rsidP="00163957">
      <w:pPr>
        <w:pStyle w:val="TextoNormal"/>
      </w:pPr>
      <w:r>
        <w:t>Y en segundo término y en función de lo anterior, si resulta correcta desde la perspectiva del derecho fundamental a la libertad (art. 17.1 CE), la decisión adoptada por el Juzgado y la Audiencia de declarar la inadecuación del procedimiento del art. 763 LEC para conocer de la solicitud de “regularización” del internamiento de doña M.R.S.</w:t>
      </w:r>
    </w:p>
    <w:p w:rsidR="00163957" w:rsidRDefault="00163957" w:rsidP="00163957">
      <w:pPr>
        <w:pStyle w:val="TextoNormal"/>
      </w:pPr>
    </w:p>
    <w:p w:rsidR="00163957" w:rsidRDefault="00163957" w:rsidP="00163957">
      <w:pPr>
        <w:pStyle w:val="TextoNormal"/>
      </w:pPr>
      <w:r>
        <w:t>En este orden abordaremos ambas cuestiones.</w:t>
      </w:r>
    </w:p>
    <w:p w:rsidR="00163957" w:rsidRDefault="00163957" w:rsidP="00163957">
      <w:pPr>
        <w:pStyle w:val="TextoNormal"/>
      </w:pPr>
    </w:p>
    <w:p w:rsidR="00163957" w:rsidRDefault="00163957" w:rsidP="00163957">
      <w:pPr>
        <w:pStyle w:val="TextoNormal"/>
      </w:pPr>
      <w:r w:rsidRPr="00163957">
        <w:rPr>
          <w:rStyle w:val="NumeroAFNegritaCaracter"/>
        </w:rPr>
        <w:t>4</w:t>
      </w:r>
      <w:r>
        <w:t>. Respecto a la posibilidad de “regularización” de situaciones consumadas de internamientos de personas por trastorno psíquico, en contra de su voluntad o sin contar con ella porque el afectado no es consciente de la realidad que le rodea o está impedido para comunicarse y expresar su parecer, procede recordar, en primer lugar, cuál es la posición de este Tribunal acerca de la exigencia de control judicial previo a cualquier situación privativa de libertad en este ámbito. Y en segundo lugar, qué encaje ofrece dentro de esta doctrina constitucional, la “regularización” a la que se hace referencia.</w:t>
      </w:r>
    </w:p>
    <w:p w:rsidR="00163957" w:rsidRDefault="00163957" w:rsidP="00163957">
      <w:pPr>
        <w:pStyle w:val="TextoNormal"/>
      </w:pPr>
    </w:p>
    <w:p w:rsidR="00163957" w:rsidRDefault="00163957" w:rsidP="00163957">
      <w:pPr>
        <w:pStyle w:val="TextoNormal"/>
      </w:pPr>
      <w:r>
        <w:t>A este respecto, en nuestra STC 141/2012, de 2 de julio, FJ 3, con cita de la anterior STC 129/1999, de 1 de julio, FJ 2, afirmamos que en atención a “su repercusión directa sobre el derecho fundamental a la libertad personal, este Tribunal ha declarado que ‘la decisión de internamiento sólo puede ser acordada judicialmente y que, en lo que aquí importa, el precepto que la hace posible sólo puede ser una ley orgánica, pues, dada su condición de norma que fija uno de los casos en que una persona puede ser privada de libertad, concurre al desarrollo del derecho fundamental garantizado en el art. 17.1 CE’”.</w:t>
      </w:r>
    </w:p>
    <w:p w:rsidR="00163957" w:rsidRDefault="00163957" w:rsidP="00163957">
      <w:pPr>
        <w:pStyle w:val="TextoNormal"/>
      </w:pPr>
    </w:p>
    <w:p w:rsidR="00163957" w:rsidRDefault="00163957" w:rsidP="00163957">
      <w:pPr>
        <w:pStyle w:val="TextoNormal"/>
      </w:pPr>
      <w:r>
        <w:t>En relación al internamiento involuntario urgente por trastorno psíquico, señalamos en la misma STC 141/2012, FJ 4, que “en este supuesto el legislador permite excepcionalmente y por ‘razones de urgencia que hicieren necesaria la inmediata adopción de la medida’, que el responsable de un centro médico pueda ordenar el internamiento de una persona por razón de trastorno psíquico, con la obligación de comunicarlo al órgano judicial competente, a la sazón el Juzgado de Primera Instancia del lugar en que radique el centro, para que provea a la ratificación o no de la medida, previa realización de las diligencias determinantes a este fin”. Que, por tanto, “[s]e configura como presupuesto objetivo de la medida la existencia en la persona de un trastorno psíquico, al que viene a sumarse la circunstancia de la ‘urgencia’ o necesidad inmediata de la intervención médica para su protección. El significado de lo que ha de entenderse por trastorno psíquico, transitorio o permanente, en línea con lo dispuesto en instrumentos internacionales, remite a los conocimientos propios de la ciencia médica; sin que en ningún caso puedan considerarse como expresión de trastorno o enfermedad mental la discrepancia del afectado con los valores sociales, culturales, políticos o religiosos imperantes en la comunidad”.</w:t>
      </w:r>
    </w:p>
    <w:p w:rsidR="00163957" w:rsidRDefault="00163957" w:rsidP="00163957">
      <w:pPr>
        <w:pStyle w:val="TextoNormal"/>
      </w:pPr>
    </w:p>
    <w:p w:rsidR="00163957" w:rsidRDefault="00163957" w:rsidP="00163957">
      <w:pPr>
        <w:pStyle w:val="TextoNormal"/>
      </w:pPr>
      <w:r>
        <w:t xml:space="preserve">Y así, tras declarar que el plazo de 24 horas del que dispone el responsable del centro es improrrogable [FJ 5 c)]; y hacer lo propio en el FJ 6 c) con el plazo de 72 horas que, a partir de ese momento, tiene el órgano judicial para resolver sobre su ratificación, concluíamos diciendo lo siguiente: “…Vencido el plazo no desaparece la facultad del Juez para ordenar el internamiento, pero si éste se adopta deberá serlo estando el afectado en libertad, sin </w:t>
      </w:r>
      <w:r>
        <w:lastRenderedPageBreak/>
        <w:t>perjuicio de que tras esa ratificación deba ejecutarse la orden judicial con todos sus efectos. Otra interpretación llevaría a vaciar de contenido el límite previsto, confundiría lo que es una dilación procesal indebida con la lesión injustificada del derecho a la libertad e introduciría un abanico indefinido de flexibilidad, a todas luces peligroso e inconveniente. Como consecuencia, la superación del plazo de las setenta y dos horas conllevará la vulneración del derecho fundamental del art. 17.1 CE”.</w:t>
      </w:r>
    </w:p>
    <w:p w:rsidR="00163957" w:rsidRDefault="00163957" w:rsidP="00163957">
      <w:pPr>
        <w:pStyle w:val="TextoNormal"/>
      </w:pPr>
    </w:p>
    <w:p w:rsidR="00163957" w:rsidRDefault="00163957" w:rsidP="00163957">
      <w:pPr>
        <w:pStyle w:val="TextoNormal"/>
      </w:pPr>
      <w:r>
        <w:t>Se sigue de la doctrina expuesta que, con la excepción de que se cumplan los requisitos y garantías que permiten llevar a cabo un internamiento involuntario urgente directamente por el centro médico o asistencial (con los controles legales y judiciales que le son inherentes), resultará imprescindible que la medida se acuerde previamente por el juez y siempre respecto de una persona que ha de encontrarse en ese momento en libertad. En este segundo caso, el internamiento no urgente podrá solicitarse por los trámites del art. 763 LEC y sin el condicionante de las 72 horas para que el Juez resuelva, siempre que la adopción de dicha medida constituya el objeto exclusivo de tutela que se pretende en favor del afectado.</w:t>
      </w:r>
    </w:p>
    <w:p w:rsidR="00163957" w:rsidRDefault="00163957" w:rsidP="00163957">
      <w:pPr>
        <w:pStyle w:val="TextoNormal"/>
      </w:pPr>
    </w:p>
    <w:p w:rsidR="00163957" w:rsidRDefault="00163957" w:rsidP="00163957">
      <w:pPr>
        <w:pStyle w:val="TextoNormal"/>
      </w:pPr>
      <w:r>
        <w:t>Por el contrario, si existen datos que desde el principio permitan sostener que el padecimiento mental que sufre la persona, por sus características y visos de larga duración o irreversibilidad, deben dar lugar a un régimen jurídico de protección más completo, declarando su discapacidad e imponiendo un tutor o curador para que complete su capacidad, con los consiguientes controles del órgano judicial en cuanto a los actos realizados por uno u otro, el internamiento podrá acordarse como medida cautelar (art. 762.1 LEC), o como medida ejecutiva en la sentencia (art. 760.1 LEC), en un proceso declarativo instado por los trámites del art. 756 y ss. LEC.</w:t>
      </w:r>
    </w:p>
    <w:p w:rsidR="00163957" w:rsidRDefault="00163957" w:rsidP="00163957">
      <w:pPr>
        <w:pStyle w:val="TextoNormal"/>
      </w:pPr>
    </w:p>
    <w:p w:rsidR="00163957" w:rsidRDefault="00163957" w:rsidP="00163957">
      <w:pPr>
        <w:pStyle w:val="TextoNormal"/>
      </w:pPr>
      <w:r>
        <w:t>En relación justamente al proceso para la declaración de discapacidad, ya señalamos en la STC 174/2002, de 9 de octubre, FJ 5, que “en el plano de la constitucionalidad que nos corresponde hemos de declarar que el derecho a la personalidad jurídica del ser humano, consagrado en el art. 6 de la Declaración universal de los derechos humanos de 10 de diciembre de 1948, lleva implícito el reconocimiento del derecho a la capacidad jurídica de la persona, por lo que toda restricción o limitación de su capacidad de obrar afecta a la dignidad de la persona y a los derechos inviolables que le son inherentes, así como al libre desarrollo de la personalidad (art. 10.1 CE). En consecuencia, la declaración de incapacitación de una persona sólo puede acordarse por Sentencia judicial en virtud de las causas establecidas en la ley (art. 199 CC), mediante un procedimiento en el que se respeten escrupulosamente los trámites o diligencias que exigía el art. 208 CC (y que en la actualidad se imponen en el vigente art. 759 LEC) que, en la medida en que van dirigidas a asegurar el pleno conocimiento por el órgano judicial de la existencia y gravedad de las enfermedades o deficiencias persistentes de carácter físico o psíquico que concurren en el presunto incapaz y que le inhabilitan para gobernarse por sí mismo, que son la causa y fundamento de su incapacitación (arts. 199 y 200 CC), se erigen en garantías esenciales del proceso de incapacitación”.</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La demanda de amparo hace referencia a un caso concreto, el de doña M.R.S., cuyas circunstancias coinciden de manera sustancial con el de otras muchas personas que debido a su edad avanzada sufren una enfermedad neurodegenerativa y se encuentran recluidas en una residencia sin poder salir de ella, como medida de prevención. Han sido traídas allí por alguien de su entorno cercano, o a iniciativa de los servicios sociales; incluso en ocasiones se trata de un ingreso voluntario con el fin de recibir los cuidados de manutención y salud </w:t>
      </w:r>
      <w:r>
        <w:lastRenderedPageBreak/>
        <w:t>necesarios y, con el paso del tiempo, el afectado pierde la consciencia necesaria para emitir su voluntad de permanecer allí. La cuestión es que estos centros tienen bajo su cargo a personas que están privadas de su libertad ambulatoria y lo están, con cierta frecuencia en la práctica, sin ningún conocimiento ni autorización de la autoridad judicial.</w:t>
      </w:r>
    </w:p>
    <w:p w:rsidR="00163957" w:rsidRDefault="00163957" w:rsidP="00163957">
      <w:pPr>
        <w:pStyle w:val="TextoNormal"/>
      </w:pPr>
    </w:p>
    <w:p w:rsidR="00163957" w:rsidRDefault="00163957" w:rsidP="00163957">
      <w:pPr>
        <w:pStyle w:val="TextoNormal"/>
      </w:pPr>
      <w:r>
        <w:t>La Fiscalía General del Estado, en su instrucción núm. 3/1990, de 7 de mayo, sobre “Régimen jurídico que debe de regir para el ingreso de personas en residencias de la tercera edad”, ya ponía de manifiesto que: “De las investigaciones llevadas a cabo, y que esta Fiscalía General ha tenido conocimiento, se vienen observando graves y generalizadas irregularidades en los ingresos, especialmente en los Centros en régimen de internado. Concretamente, viene siendo usual que los ingresos sean convenidos entre los familiares del interno y el Centro, llegando incluso a pactarse el régimen del internamiento, restringiendo o excluyendo la libertad personal al convenirse el régimen de visitas, salidas al exterior o incluso comunicaciones telefónicas o postales, lo que puede resultar gravemente atentatorio a derechos constitucionales básicos y a la dignidad de las personas. Esta práctica se viene amparando muchas veces en la imposibilidad en que se halla el anciano para prestar su consentimiento en condiciones de validez jurídica, por encontrarse afectado de enfermedad física o psíquica … En caso de enfermedad o deficiencia de carácter físico o psíquico, que impidan prestar tal consentimiento, a tenor de lo establecido en el artículo 211 del Código Civil, deberá solicitarse preceptivamente la autorización judicial con carácter previo al ingreso, o comunicarlo a la autoridad judicial en el plazo de 24 horas en los supuestos de urgencia”. Añade esta instrucción de la Fiscalía General del Estado, que el centro formalizará la solicitud al Juez en los mismos términos, a partir del momento en que se constate que “el deterioro físico o mental, como consecuencia del avance de la vida, se [ha] producido con posterioridad al momento del internamiento” —ingreso voluntario, se entiende—. Y concluye diciendo: “De cuanto antecede se desprende que la práctica de efectuar el ingreso sin el consentimiento del titular del bien jurídico que se dispone o sin que éste sea suplido por la autoridad judicial, en los casos y por las causas legalmente previstas … debe ser totalmente proscrita”.</w:t>
      </w:r>
    </w:p>
    <w:p w:rsidR="00163957" w:rsidRDefault="00163957" w:rsidP="00163957">
      <w:pPr>
        <w:pStyle w:val="TextoNormal"/>
      </w:pPr>
    </w:p>
    <w:p w:rsidR="00163957" w:rsidRDefault="00163957" w:rsidP="00163957">
      <w:pPr>
        <w:pStyle w:val="TextoNormal"/>
      </w:pPr>
      <w:r>
        <w:t>Debe advertirse que los esfuerzos que vienen haciendo en los últimos años las Administraciones públicas competentes, para atender de manera objetiva y ordenada las demandas de personas necesitadas de cuidados integrales en residencias en régimen de internamiento, iniciativa ésta en sí misma digna de respaldo en el marco de nuestro Estado social y democrático de derecho (arts. 1 y 49 CE), en modo alguno sin embargo pueden suponer la cobertura a situaciones privativas de libertad sin la previa autorización judicial o, por excepción, sin haber recabado el responsable del centro dicha autorización en el plazo urgente de 24 horas que dispone el art. 763 LEC, cumpliendo los demás requisitos de este precepto.</w:t>
      </w:r>
    </w:p>
    <w:p w:rsidR="00163957" w:rsidRDefault="00163957" w:rsidP="00163957">
      <w:pPr>
        <w:pStyle w:val="TextoNormal"/>
      </w:pPr>
    </w:p>
    <w:p w:rsidR="00163957" w:rsidRDefault="00163957" w:rsidP="00163957">
      <w:pPr>
        <w:pStyle w:val="TextoNormal"/>
      </w:pPr>
      <w:r>
        <w:t xml:space="preserve">Ni la Ley 39/2006, de 14 de diciembre, de promoción de la autonomía personal y atención a las personas en situación de dependencia, al prever la atención residencial en la modalidad de “residencias de personas mayores en situación de dependencia” [arts. 15 e) (i) y 25], en centros públicos o concertados, a cargo de la red de servicios sociales de la Comunidad Autónoma con competencia estatuaria en la materia (art. 16.1, en relación con el art. 11.1 de la misma ley) o de otras administraciones; ni menos todavía la normativa de desarrollo que regula aspectos complementarios del sistema (Real Decreto 174/2011, de 11 de febrero, por el que se aprueba el baremo de valoración de la situación de dependencia; Real Decreto 1051/2013, de 27 de diciembre, por el que se regulan las prestaciones del sistema </w:t>
      </w:r>
      <w:r>
        <w:lastRenderedPageBreak/>
        <w:t>para la autonomía y atención a la dependencia; normativa autonómica, etc.), como tampoco el reglamento de régimen interno de cada centro, pueden legitimar modalidad alguna de internamiento en la que quede eliminada o desplazada la tutela jurisdiccional, en los términos ya expuestos en el anterior fundamento jurídico de esta Sentencia.</w:t>
      </w:r>
    </w:p>
    <w:p w:rsidR="00163957" w:rsidRDefault="00163957" w:rsidP="00163957">
      <w:pPr>
        <w:pStyle w:val="TextoNormal"/>
      </w:pPr>
    </w:p>
    <w:p w:rsidR="00163957" w:rsidRDefault="00163957" w:rsidP="00163957">
      <w:pPr>
        <w:pStyle w:val="TextoNormal"/>
      </w:pPr>
      <w:r>
        <w:t>En definitiva, por tanto, no resulta posible hablar de la “regularización” de un internamiento involuntario que se prolonga durante días, semanas o meses sin autorización del Juez, sea en un hospital, centro sociosanitario o en su caso residencia geriátrica (esta última, como hemos señalado en la STC 13/2016, de 1 de febrero, FJ 3, puede ser el “centro” al que se refiere el art. 763.1 LEC, siempre que disponga de médico psiquiatra que efectúe la valoración del estado de la persona que ingresa y motive la necesidad de su internamiento; así como los medios materiales y humanos para su tratamiento terapéutico, además de cumplir con los requisitos legales y administrativos para desarrollar su actividad). No cabe “regularizar” lo que no es mera subsanación de formalidades administrativas, sino directa vulneración de un derecho fundamental (art. 17.1 CE).</w:t>
      </w:r>
    </w:p>
    <w:p w:rsidR="00163957" w:rsidRDefault="00163957" w:rsidP="00163957">
      <w:pPr>
        <w:pStyle w:val="TextoNormal"/>
      </w:pPr>
    </w:p>
    <w:p w:rsidR="00163957" w:rsidRDefault="00163957" w:rsidP="00163957">
      <w:pPr>
        <w:pStyle w:val="TextoNormal"/>
      </w:pPr>
      <w:r>
        <w:t>Así las cosas, de todos los efectos que pueden derivarse de la privación ilícita de libertad de la persona internada en esas condiciones, interesa a este amparo el mecanismo procesal civil adecuado para poner fin a esa situación —que no para regularizarla—, teniendo en cuenta la naturaleza del padecimiento psíquico que concurre en este supuesto. Pasamos con ello al enjuiciamiento de las resoluciones impugnadas.</w:t>
      </w:r>
    </w:p>
    <w:p w:rsidR="00163957" w:rsidRDefault="00163957" w:rsidP="00163957">
      <w:pPr>
        <w:pStyle w:val="TextoNormal"/>
      </w:pPr>
    </w:p>
    <w:p w:rsidR="00163957" w:rsidRDefault="00163957" w:rsidP="00163957">
      <w:pPr>
        <w:pStyle w:val="TextoNormal"/>
      </w:pPr>
      <w:r w:rsidRPr="00163957">
        <w:rPr>
          <w:rStyle w:val="NumeroAFNegritaCaracter"/>
        </w:rPr>
        <w:t>6</w:t>
      </w:r>
      <w:r>
        <w:t>. Para la mejor solución del debate planteado, conviene despejar algunas variables de relevancia:</w:t>
      </w:r>
    </w:p>
    <w:p w:rsidR="00163957" w:rsidRDefault="00163957" w:rsidP="00163957">
      <w:pPr>
        <w:pStyle w:val="TextoNormal"/>
      </w:pPr>
    </w:p>
    <w:p w:rsidR="00163957" w:rsidRDefault="00163957" w:rsidP="00163957">
      <w:pPr>
        <w:pStyle w:val="TextoNormal"/>
      </w:pPr>
      <w:r>
        <w:t xml:space="preserve">a) La Fiscalía especializada de Las Palmas de Gran Canaria instó la vía del internamiento involuntario del art. 763 LEC, norma que recoge dos modalidades de control judicial, según antes indicamos: la del internamiento ordinario o no urgente, donde la autorización del Juez siempre ha de ser previa a la adopción de la medida; y la segunda, excepcional, el internamiento urgente </w:t>
      </w:r>
      <w:r w:rsidRPr="00163957">
        <w:rPr>
          <w:i/>
        </w:rPr>
        <w:t>ex</w:t>
      </w:r>
      <w:r>
        <w:t xml:space="preserve"> art. 763.1, donde el centro médico o asistencial materializa la medida pero ésta ha de comunicarse al Juzgado en el plazo improrrogable de 24 horas para su ratificación. De las dos modalidades la Fiscalía optó por solicitar el internamiento urgente, al poner de manifiesto en su escrito que doña M.R.S. ya se encontraba en el centro sociosanitario El Pino al tiempo de formalizarse la solicitud ante el Juzgado.</w:t>
      </w:r>
    </w:p>
    <w:p w:rsidR="00163957" w:rsidRDefault="00163957" w:rsidP="00163957">
      <w:pPr>
        <w:pStyle w:val="TextoNormal"/>
      </w:pPr>
    </w:p>
    <w:p w:rsidR="00163957" w:rsidRDefault="00163957" w:rsidP="00163957">
      <w:pPr>
        <w:pStyle w:val="TextoNormal"/>
      </w:pPr>
      <w:r>
        <w:t xml:space="preserve">b) Las resoluciones judiciales impugnadas no cuestionan la concurrencia de uno de los presupuestos para acudir a este proceso, como es la existencia de un trastorno psíquico con entidad suficiente para justificar una medida de internamiento. A doña M.R.S. se le ha diagnosticado la enfermedad de Alzheimer y, aunque el Auto del Juzgado no trae consideraciones al respecto, dándolo así tácitamente por suficiente, el dictado en apelación por la Sección </w:t>
      </w:r>
      <w:r w:rsidRPr="00163957">
        <w:rPr>
          <w:i/>
        </w:rPr>
        <w:t>ad quem</w:t>
      </w:r>
      <w:r>
        <w:t xml:space="preserve"> de la Audiencia sí recuerda que es criterio suyo ya aplicado en supuestos similares, que entre los trastornos que permiten incoar el procedimiento del art. 763 LEC “se encuentran compre[n]didas las deficiencias y enfermedades seniles de involución mental (por lo común de tipo degenerativo) asociadas a la te[r]cera edad”, como es este caso.</w:t>
      </w:r>
    </w:p>
    <w:p w:rsidR="00163957" w:rsidRDefault="00163957" w:rsidP="00163957">
      <w:pPr>
        <w:pStyle w:val="TextoNormal"/>
      </w:pPr>
    </w:p>
    <w:p w:rsidR="00163957" w:rsidRDefault="00163957" w:rsidP="00163957">
      <w:pPr>
        <w:pStyle w:val="TextoNormal"/>
      </w:pPr>
      <w:r>
        <w:t>c) El problema se centra, pues, en el cumplimiento del otro presupuesto de la modalidad procesal a la que acude la Fiscalía: la “urgencia” del internamiento.</w:t>
      </w:r>
    </w:p>
    <w:p w:rsidR="00163957" w:rsidRDefault="00163957" w:rsidP="00163957">
      <w:pPr>
        <w:pStyle w:val="TextoNormal"/>
      </w:pPr>
    </w:p>
    <w:p w:rsidR="00163957" w:rsidRDefault="00163957" w:rsidP="00163957">
      <w:pPr>
        <w:pStyle w:val="TextoNormal"/>
      </w:pPr>
      <w:r>
        <w:lastRenderedPageBreak/>
        <w:t>El examen de las actuaciones respalda como razonable, la decisión de ambos tribunales de rechazar su concurrencia:</w:t>
      </w:r>
    </w:p>
    <w:p w:rsidR="00163957" w:rsidRDefault="00163957" w:rsidP="00163957">
      <w:pPr>
        <w:pStyle w:val="TextoNormal"/>
      </w:pPr>
    </w:p>
    <w:p w:rsidR="00163957" w:rsidRDefault="00163957" w:rsidP="00163957">
      <w:pPr>
        <w:pStyle w:val="TextoNormal"/>
      </w:pPr>
      <w:r>
        <w:t>(i) Como hizo constar al Juez la hija de doña M.R.S., su madre había ingresado en la Residencia “del Pino” el 17 de diciembre de 2013, centro éste a cargo del Cabildo de Gran Canaria, previa resolución de la Viceconsejería de Políticas Sociales e Inmigración del Gobierno de Canarias de 20 de septiembre de 2012, por la que se le reconocía una situación de gran dependencia en grado III y el derecho a la prestación de atención residencial conforme al sistema de la Ley 39/2006.</w:t>
      </w:r>
    </w:p>
    <w:p w:rsidR="00163957" w:rsidRDefault="00163957" w:rsidP="00163957">
      <w:pPr>
        <w:pStyle w:val="TextoNormal"/>
      </w:pPr>
    </w:p>
    <w:p w:rsidR="00163957" w:rsidRDefault="00163957" w:rsidP="00163957">
      <w:pPr>
        <w:pStyle w:val="TextoNormal"/>
      </w:pPr>
      <w:r>
        <w:t>(ii) La propia Fiscalía, en el escrito por el que solicita el internamiento, alega que el 12 de febrero de 2014 ya conocía el hecho del ingreso no voluntario de doña M.R.S. en aquel centro sociosanitario, incluso aparece entre los documentos que acompaña a la solicitud, un “informe de valoración médica” de la paciente, que elabora un facultativo del mismo Centro “para Fiscalía”, de fecha 10 de enero de 2014.</w:t>
      </w:r>
    </w:p>
    <w:p w:rsidR="00163957" w:rsidRDefault="00163957" w:rsidP="00163957">
      <w:pPr>
        <w:pStyle w:val="TextoNormal"/>
      </w:pPr>
    </w:p>
    <w:p w:rsidR="00163957" w:rsidRDefault="00163957" w:rsidP="00163957">
      <w:pPr>
        <w:pStyle w:val="TextoNormal"/>
      </w:pPr>
      <w:r>
        <w:t>(iii) Pese a esto, la Fiscalía no acude todavía al órgano judicial sino que sigue requiriendo documentación al centro, y aguarda hasta el 7 de abril para presentar la solicitud de internamiento junto con aquellos informes; esto es, casi cuatro meses después de haberse producido el ingreso de doña M.R.S., del que todo indica que fue involuntario desde el principio.</w:t>
      </w:r>
    </w:p>
    <w:p w:rsidR="00163957" w:rsidRDefault="00163957" w:rsidP="00163957">
      <w:pPr>
        <w:pStyle w:val="TextoNormal"/>
      </w:pPr>
    </w:p>
    <w:p w:rsidR="00163957" w:rsidRDefault="00163957" w:rsidP="00163957">
      <w:pPr>
        <w:pStyle w:val="TextoNormal"/>
      </w:pPr>
      <w:r>
        <w:t>En estas condiciones, no hay base objetiva para afirmar que se daban razones “urgentes” para su internamiento, pues nada consta que haya variado sustancialmente desde la fecha de su ingreso en el centro sociosanitario. El escrito de demanda invoca una “urgencia sobrevenida”, que funda en el deterioro cognitivo de la paciente detectado por la médico forense en la exploración realizada como prueba dentro del procedimiento judicial, el 14 de mayo de 2014. Tal sintomatología no entraña sin embargo un padecimiento nuevo (“sobrevenido”), sino a lo sumo la comprobación de la persistencia o irreversibilidad del mal que ya tenía. En fin, no puede reputarse urgente la autorización del internamiento porque el mismo se haya prolongado durante meses sin control judicial y se pretenda evitar así que tal situación continúe. No se trata de convalidar un internamiento ilícito, como ya hemos dicho.</w:t>
      </w:r>
    </w:p>
    <w:p w:rsidR="00163957" w:rsidRDefault="00163957" w:rsidP="00163957">
      <w:pPr>
        <w:pStyle w:val="TextoNormal"/>
      </w:pPr>
    </w:p>
    <w:p w:rsidR="00163957" w:rsidRDefault="00163957" w:rsidP="00163957">
      <w:pPr>
        <w:pStyle w:val="TextoNormal"/>
      </w:pPr>
      <w:r>
        <w:t>d) Llegados a este punto, la Fiscalía sostiene que cualquier otra respuesta jurisdiccional que no sea admitir la vía del internamiento urgente, equivale a una falta de control judicial y a sumir a doña M.R.S. en un “limbo jurídico”. Las resoluciones impugnadas, en cambio, lo que entienden es que el control judicial sí es posible pero debe efectuarse a través de un procedimiento de incapacitación.</w:t>
      </w:r>
    </w:p>
    <w:p w:rsidR="00163957" w:rsidRDefault="00163957" w:rsidP="00163957">
      <w:pPr>
        <w:pStyle w:val="TextoNormal"/>
      </w:pPr>
    </w:p>
    <w:p w:rsidR="00163957" w:rsidRDefault="00163957" w:rsidP="00163957">
      <w:pPr>
        <w:pStyle w:val="TextoNormal"/>
      </w:pPr>
      <w:r>
        <w:t xml:space="preserve">No puede objetarse tampoco en este punto la </w:t>
      </w:r>
      <w:r w:rsidRPr="00163957">
        <w:rPr>
          <w:i/>
        </w:rPr>
        <w:t>ratio decidendi</w:t>
      </w:r>
      <w:r>
        <w:t xml:space="preserve"> de los autos que se analizan. En primer lugar, la enfermedad que se ha diagnosticado a doña M.R.S. parece permitir </w:t>
      </w:r>
      <w:r w:rsidRPr="00163957">
        <w:rPr>
          <w:i/>
        </w:rPr>
        <w:t>prima facie</w:t>
      </w:r>
      <w:r>
        <w:t xml:space="preserve"> su subsunción en el concepto de “enfermedad o deficiencia persistente de carácter psíquico que impida a la persona gobernarse por sí misma”, art. 200 CC, que define el presupuesto objetivo del proceso de incapacitación. Desde luego así parece que sucede, a la vista de las conclusiones que se contienen en el informe de la médico forense al que antes se aludía, al indicarse que las capacidades intelectivas y volitivas de doña M.R.S. “se encuentran abolidas casi por completo … Estos padecimientos son de carácter permanente y de evolución crónica e irreversible … Por todo esto se puede considerar que la peritada es </w:t>
      </w:r>
      <w:r>
        <w:lastRenderedPageBreak/>
        <w:t>incapaz del gobierno de sus bienes y su persona y que precisa de ingreso en un centro sociosanitario para poder recibir la asistencia diaria y constante que precisa”.</w:t>
      </w:r>
    </w:p>
    <w:p w:rsidR="00163957" w:rsidRDefault="00163957" w:rsidP="00163957">
      <w:pPr>
        <w:pStyle w:val="TextoNormal"/>
      </w:pPr>
    </w:p>
    <w:p w:rsidR="00163957" w:rsidRDefault="00163957" w:rsidP="00163957">
      <w:pPr>
        <w:pStyle w:val="TextoNormal"/>
      </w:pPr>
      <w:r>
        <w:t xml:space="preserve">En segundo término, ningún argumento de orden legal o jurisprudencial da la demanda de amparo para inferir que no resulte posible que el Juez autorizase el internamiento como medida cautelar en un proceso de declaración de incapacidad </w:t>
      </w:r>
      <w:r w:rsidRPr="00163957">
        <w:rPr>
          <w:i/>
        </w:rPr>
        <w:t>ex</w:t>
      </w:r>
      <w:r>
        <w:t xml:space="preserve"> art. 762 LEC, sin que ello, insistimos, implique dar validez a cualquier internamiento ilícito anterior. Resulta llamativo, además, que la propia Fiscal haya hecho cita en su escrito de apelación de un Auto de la Sección </w:t>
      </w:r>
      <w:r w:rsidRPr="00163957">
        <w:rPr>
          <w:i/>
        </w:rPr>
        <w:t>ad quem</w:t>
      </w:r>
      <w:r>
        <w:t xml:space="preserve"> de fecha 22 de enero de 2014 que así lo acordaba en un asunto que calificó de “idéntico” al de doña M.R.S., pese a lo cual el recurso insistió en que la única vía procesal era la del 763 LEC.</w:t>
      </w:r>
    </w:p>
    <w:p w:rsidR="00163957" w:rsidRDefault="00163957" w:rsidP="00163957">
      <w:pPr>
        <w:pStyle w:val="TextoNormal"/>
      </w:pPr>
    </w:p>
    <w:p w:rsidR="00163957" w:rsidRDefault="00163957" w:rsidP="00163957">
      <w:pPr>
        <w:pStyle w:val="TextoNormal"/>
      </w:pPr>
      <w:r>
        <w:t>Y en tercer lugar, pocas dudas ofrece que el proceso de incapacitación resulta el más adecuado desde una perspectiva de protección jurídica integral de la parte demandada en él, en este caso para tutelar la situación de doña M.R.S., pues las medidas que permiten acordarse aquí no conciernen única y exclusivamente a su persona, sino también al aseguramiento de su patrimonio, ámbito cuya importancia por cierto ha destacado la Fiscalía General del Estado en su instrucción núm. 4/2008 “Sobre el control y vigilancia por el Ministerio Fiscal de las tutelas de personas discapaces”.</w:t>
      </w:r>
    </w:p>
    <w:p w:rsidR="00163957" w:rsidRDefault="00163957" w:rsidP="00163957">
      <w:pPr>
        <w:pStyle w:val="TextoNormal"/>
      </w:pPr>
    </w:p>
    <w:p w:rsidR="00163957" w:rsidRDefault="00163957" w:rsidP="00163957">
      <w:pPr>
        <w:pStyle w:val="TextoNormal"/>
      </w:pPr>
      <w:r>
        <w:t>Las invocaciones que formula la demanda de amparo a los convenios internacionales en materia de derechos de personas discapacitadas, a favor de facilitar la igualdad de derechos de éstas con los demás ciudadanos y su mejor integración en la sociedad, junto con la elección de aquel régimen de representación o de asistencia que mejor se adapte a las circunstancias personales de cada afectado (cuestión a la que se refiere por su lado, la instrucción de la Fiscalía General del Estado núm. 3/2010, “Sobre la necesaria fundamentación individualizada de las medidas de protección o apoyo en los procedimientos sobre determinación de la capacidad de las personas”), son todos aspectos que no quedan en absoluto descuidados en el proceso de los arts. 756 y siguientes LEC, ni existe motivo fundado para dudar que serían tenidos en consideración por el Juez competente, al que correspondiera conocer de dicho proceso en relación con doña M.R.S.</w:t>
      </w:r>
    </w:p>
    <w:p w:rsidR="00163957" w:rsidRDefault="00163957" w:rsidP="00163957">
      <w:pPr>
        <w:pStyle w:val="TextoNormal"/>
      </w:pPr>
    </w:p>
    <w:p w:rsidR="00163957" w:rsidRDefault="00163957" w:rsidP="00163957">
      <w:pPr>
        <w:pStyle w:val="TextoNormal"/>
      </w:pPr>
      <w:r>
        <w:t>Tiene razón el Fiscal cuando afirma que no cabe confundir el internamiento con la incapacitación. Pero tal cosa no significa lógicamente que sean instrumentos jurídicos opuestos, ni que en ocasiones, y esta es una de ellas, no puedan operar conjuntamente en una relación de continente a contenido, cuando cabe la apertura de un proceso de declaración de incapacidad, al hilo del cual promover la inmediata adopción de la medida.</w:t>
      </w:r>
    </w:p>
    <w:p w:rsidR="00163957" w:rsidRDefault="00163957" w:rsidP="00163957">
      <w:pPr>
        <w:pStyle w:val="TextoNormal"/>
      </w:pPr>
    </w:p>
    <w:p w:rsidR="00163957" w:rsidRDefault="00163957" w:rsidP="00163957">
      <w:pPr>
        <w:pStyle w:val="TextoNormal"/>
      </w:pPr>
      <w:r w:rsidRPr="00163957">
        <w:rPr>
          <w:rStyle w:val="NumeroAFNegritaCaracter"/>
        </w:rPr>
        <w:t>7</w:t>
      </w:r>
      <w:r>
        <w:t>. Consecuencia de todo lo expuesto, es que las resoluciones judiciales aquí impugnadas no han vulnerado el derecho a la libertad (art. 17.1 CE) de doña M.R.S., por los concretos motivos que ha alegado la demanda de amparo. Sin embargo, poner fin en este punto a nuestro enjuiciamiento supondría desconocer un hecho fundamental, como es la propia situación personal de la persona afectada por la medida de internamiento, sobre la que no se adopta decisión alguna en las resoluciones impugnadas: ponerla en libertad e inmediatamente proveer a su protección a través del proceso de declaración de discapacidad de los arts. 756 y ss. LEC.</w:t>
      </w:r>
    </w:p>
    <w:p w:rsidR="00163957" w:rsidRDefault="00163957" w:rsidP="00163957">
      <w:pPr>
        <w:pStyle w:val="TextoNormal"/>
      </w:pPr>
    </w:p>
    <w:p w:rsidR="00163957" w:rsidRDefault="00163957" w:rsidP="00163957">
      <w:pPr>
        <w:pStyle w:val="TextoNormal"/>
      </w:pPr>
      <w:r>
        <w:lastRenderedPageBreak/>
        <w:t>Por tal motivo este Tribunal, haciendo uso de la facultad excepcional que le concede el art. 84 de nuestra Ley Orgánica, según se ha dejado constancia en los Antecedentes de esta Sentencia, acordó abrir trámite de audiencia al Fiscal demandante de amparo, única parte personada, con el fin de que pudiera alegar lo procedente acerca de una posible vulneración del derecho a la libertad personal de doña M.R.S. por esta causa; a cuyo efecto emitió su parecer en sentido afirmativo.</w:t>
      </w:r>
    </w:p>
    <w:p w:rsidR="00163957" w:rsidRDefault="00163957" w:rsidP="00163957">
      <w:pPr>
        <w:pStyle w:val="TextoNormal"/>
      </w:pPr>
    </w:p>
    <w:p w:rsidR="00163957" w:rsidRDefault="00163957" w:rsidP="00163957">
      <w:pPr>
        <w:pStyle w:val="TextoNormal"/>
      </w:pPr>
      <w:r>
        <w:t>La constatación por los Autos impugnados de que no se había instado el proceso adecuado para tutelar la situación de doña M.R.S., no impedía sino que, justamente al contrario, obligaba a que se diera una solución que pusiera fin a la ilicitud de su internamiento. Resulta llamativo que el propio Juzgado, que desde un principio optó por no sustanciar el procedimiento dentro del plazo judicial de 72 horas del art. 763.1 LEC (lo que suponía, de algún modo, anticipar el sentido de su fallo), no dispusiera nada con este fin al dictar su Auto; una omisión en la que también incurrió la Audiencia.</w:t>
      </w:r>
    </w:p>
    <w:p w:rsidR="00163957" w:rsidRDefault="00163957" w:rsidP="00163957">
      <w:pPr>
        <w:pStyle w:val="TextoNormal"/>
      </w:pPr>
    </w:p>
    <w:p w:rsidR="00163957" w:rsidRDefault="00163957" w:rsidP="00163957">
      <w:pPr>
        <w:pStyle w:val="TextoNormal"/>
      </w:pPr>
      <w:r>
        <w:t xml:space="preserve">En tal sentido, y sin diferimiento a un momento posterior, el Juzgado y en su defecto la Sección Juzgadora, debió proveer a su debida protección mediante la apertura del proceso de incapacitación, el cual, como se ha dicho ya, a criterio de ambos órganos judiciales sí resultaba idóneo. Con el poder </w:t>
      </w:r>
      <w:r w:rsidRPr="00163957">
        <w:rPr>
          <w:i/>
        </w:rPr>
        <w:t>ex officio</w:t>
      </w:r>
      <w:r>
        <w:t xml:space="preserve"> que les concede el art. 762.1 LEC, con base en los informes médicos de los que se disponía, bien el Juzgado o bien la Audiencia al resolver la apelación, debieron acordar la adopción inmediata del internamiento como medida cautelar, procediendo por su parte el Ministerio Fiscal a promover la correspondiente demanda de incapacitación de doña M.R.S., caso de no hacerlo la propia afectada, lo que en este caso no parece posible, ni los parientes legitimados en primer término por la ley (art. 757 LEC).</w:t>
      </w:r>
    </w:p>
    <w:p w:rsidR="00163957" w:rsidRDefault="00163957" w:rsidP="00163957">
      <w:pPr>
        <w:pStyle w:val="TextoNormal"/>
      </w:pPr>
    </w:p>
    <w:p w:rsidR="00163957" w:rsidRDefault="00163957" w:rsidP="00163957">
      <w:pPr>
        <w:pStyle w:val="TextoNormal"/>
      </w:pPr>
      <w:r>
        <w:t>Procede, por este motivo, estimar la demanda de amparo, declarando la vulneración del derecho a la libertad (art. 17.1 CE) de doña M.R.S., con nulidad parcial de los Autos impugnados, por no haber adoptado ninguna decisión sobre la situación personal de la internada.</w:t>
      </w:r>
    </w:p>
    <w:p w:rsidR="00163957" w:rsidRDefault="00163957" w:rsidP="00163957">
      <w:pPr>
        <w:pStyle w:val="TextoNormal"/>
      </w:pPr>
    </w:p>
    <w:p w:rsidR="00163957" w:rsidRDefault="00163957" w:rsidP="00163957">
      <w:pPr>
        <w:pStyle w:val="TextoNormal"/>
      </w:pPr>
      <w:r>
        <w:t>Acordamos igualmente la retroacción de las actuaciones, con el único fin de que el Juzgado de Primera Instancia provea a la tutela del derecho fundamental vulnerado de doña M.R.S., mediante las iniciativas procesales que se indican en este mismo fundamento jurídico.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la demanda de amparo interpuesta por el Fiscal ante este Tribunal Constitucional y, en consecuencia:</w:t>
      </w:r>
    </w:p>
    <w:p w:rsidR="00163957" w:rsidRDefault="00163957" w:rsidP="00163957">
      <w:pPr>
        <w:pStyle w:val="TextoNormal"/>
      </w:pPr>
    </w:p>
    <w:p w:rsidR="00163957" w:rsidRDefault="00163957" w:rsidP="00163957">
      <w:pPr>
        <w:pStyle w:val="TextoNormal"/>
      </w:pPr>
      <w:r>
        <w:t>1º Declarar que se ha vulnerado el derecho a la libertad personal (art. 17.1 CE) de doña M.R.S.</w:t>
      </w:r>
    </w:p>
    <w:p w:rsidR="00163957" w:rsidRDefault="00163957" w:rsidP="00163957">
      <w:pPr>
        <w:pStyle w:val="TextoNormal"/>
      </w:pPr>
    </w:p>
    <w:p w:rsidR="00163957" w:rsidRDefault="00163957" w:rsidP="00163957">
      <w:pPr>
        <w:pStyle w:val="TextoNormal"/>
      </w:pPr>
      <w:r>
        <w:t>2º Restablecerla en la integridad de su derecho y, a tal fin, declarar la nulidad parcial del Auto del Juzgado de Primera Instancia núm.15 de las Palmas de Gran Canaria, de 20 de mayo de 2014, dictado en el procedimiento de internamiento núm. 333-2014; y del Auto de la Sección Tercera de la Audiencia Provincial de Las Palmas de Gran Canaria, de 20 de junio de 2014, recaído en el recurso de apelación núm. 409-2014, por no resolver sobre la situación personal de doña M.R.S.</w:t>
      </w:r>
    </w:p>
    <w:p w:rsidR="00163957" w:rsidRDefault="00163957" w:rsidP="00163957">
      <w:pPr>
        <w:pStyle w:val="TextoNormal"/>
      </w:pPr>
    </w:p>
    <w:p w:rsidR="00163957" w:rsidRDefault="00163957" w:rsidP="00163957">
      <w:pPr>
        <w:pStyle w:val="TextoNormal"/>
      </w:pPr>
      <w:r>
        <w:t>3º Acordar la retroacción de actuaciones para que el Juzgado de Primera Instancia dicte de forma inmediata resolución que tutele el derecho fundamental vulnerado a doña M.R.S., en los términos indicados en el anterior fundamento jurídico 7.</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veintinueve de febrero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38" w:name="SENTENCIA_2016_35"/>
      <w:r>
        <w:lastRenderedPageBreak/>
        <w:t>SENTENCIA 35/2016, de 3 de marzo de 2016</w:t>
      </w:r>
    </w:p>
    <w:bookmarkEnd w:id="38"/>
    <w:p w:rsidR="00163957" w:rsidRDefault="00163957" w:rsidP="00163957">
      <w:pPr>
        <w:pStyle w:val="TtuloResolucin"/>
      </w:pPr>
      <w:r>
        <w:t>Pleno</w:t>
      </w:r>
    </w:p>
    <w:p w:rsidR="00163957" w:rsidRDefault="00163957" w:rsidP="00163957">
      <w:pPr>
        <w:pStyle w:val="TtuloBOE"/>
      </w:pPr>
      <w:r>
        <w:t>(BOE núm. 85, de 8 de abril de 2016)</w:t>
      </w:r>
    </w:p>
    <w:p w:rsidR="00163957" w:rsidRDefault="00163957" w:rsidP="00163957">
      <w:pPr>
        <w:pStyle w:val="TextoNormalCentrado"/>
      </w:pPr>
      <w:r>
        <w:t>ECLI:ES:TC:2016:35</w:t>
      </w:r>
    </w:p>
    <w:p w:rsidR="00163957" w:rsidRDefault="00163957" w:rsidP="00163957">
      <w:pPr>
        <w:pStyle w:val="TextoNormalCentrado"/>
      </w:pPr>
    </w:p>
    <w:p w:rsidR="00163957" w:rsidRDefault="00163957" w:rsidP="00163957">
      <w:pPr>
        <w:pStyle w:val="SntesisDescriptiva"/>
      </w:pPr>
      <w:r>
        <w:t>Cuestión de inconstitucionalidad 546-2010. Planteada por la Sala de lo Contencioso-Administrativo del Tribunal Supremo en relación con el segundo párrafo del apartado 1 del artículo 5 de la Ley 25/1994, de 12 de julio, por la que se incorpora al ordenamiento jurídico español la Directiva 89/552/CEE, sobre la coordinación de disposiciones legales, reglamentarias y administrativas de los Estados miembros relativas al ejercicio de actividades de radiodifusión televisiva.</w:t>
      </w:r>
    </w:p>
    <w:p w:rsidR="00163957" w:rsidRDefault="00163957" w:rsidP="00163957">
      <w:pPr>
        <w:pStyle w:val="SntesisDescriptiva"/>
      </w:pPr>
    </w:p>
    <w:p w:rsidR="00163957" w:rsidRDefault="00163957" w:rsidP="00163957">
      <w:pPr>
        <w:pStyle w:val="SntesisAnaltica"/>
      </w:pPr>
      <w:r>
        <w:t>Libertad de empresa: constitucionalidad del precepto legal que establece una obligación de inversión de los operadores televisivos en obras audiovisuales europeas.</w:t>
      </w:r>
    </w:p>
    <w:p w:rsidR="00163957" w:rsidRDefault="00163957" w:rsidP="00163957">
      <w:pPr>
        <w:pStyle w:val="SntesisAnaltica"/>
      </w:pPr>
    </w:p>
    <w:p w:rsidR="00163957" w:rsidRDefault="00163957" w:rsidP="00163957">
      <w:pPr>
        <w:pStyle w:val="Extracto"/>
      </w:pPr>
      <w:r>
        <w:t>1.</w:t>
      </w:r>
      <w:r>
        <w:tab/>
        <w:t>Obligar a ciertos operadores de televisión a destinar un porcentaje de sus ingresos a la producción cinematográfica europea, y particularmente que se realice en alguna de las lenguas oficiales de España, cumple las condiciones a que deben someterse las regulaciones que afectan al ejercicio de la actividad empresarial [FJ 7].</w:t>
      </w:r>
    </w:p>
    <w:p w:rsidR="00163957" w:rsidRDefault="00163957" w:rsidP="00163957">
      <w:pPr>
        <w:pStyle w:val="Extracto"/>
      </w:pPr>
    </w:p>
    <w:p w:rsidR="00163957" w:rsidRDefault="00163957" w:rsidP="00163957">
      <w:pPr>
        <w:pStyle w:val="Extracto"/>
      </w:pPr>
      <w:r>
        <w:t>2.</w:t>
      </w:r>
      <w:r>
        <w:tab/>
        <w:t>La protección de la actividad cinematográfica y audiovisual, en tanto que manifestación cultural, tiene expreso anclaje en los arts. 20.3, 44 y 149.2 CE; así como en el art. 46 CE, en lo tocante al enriquecimiento del patrimonio cultural de los pueblos de España [FJ 5 a)].</w:t>
      </w:r>
    </w:p>
    <w:p w:rsidR="00163957" w:rsidRDefault="00163957" w:rsidP="00163957">
      <w:pPr>
        <w:pStyle w:val="Extracto"/>
      </w:pPr>
    </w:p>
    <w:p w:rsidR="00163957" w:rsidRDefault="00163957" w:rsidP="00163957">
      <w:pPr>
        <w:pStyle w:val="Extracto"/>
      </w:pPr>
      <w:r>
        <w:t>3.</w:t>
      </w:r>
      <w:r>
        <w:tab/>
        <w:t>La medida es adecuada al fin perseguido por la norma pues la inversión forzosa, impuesta por la ley, de cierta cantidad anual de dinero en la financiación de películas y obras audiovisuales españolas y europeas contribuye a promocionar cultura e identidad, tanto española como europea, ínsitas en esas obras [FJ 5 b)].</w:t>
      </w:r>
    </w:p>
    <w:p w:rsidR="00163957" w:rsidRDefault="00163957" w:rsidP="00163957">
      <w:pPr>
        <w:pStyle w:val="Extracto"/>
      </w:pPr>
    </w:p>
    <w:p w:rsidR="00163957" w:rsidRDefault="00163957" w:rsidP="00163957">
      <w:pPr>
        <w:pStyle w:val="Extracto"/>
      </w:pPr>
      <w:r>
        <w:t>4.</w:t>
      </w:r>
      <w:r>
        <w:tab/>
        <w:t>Doctrina sobre el contenido de la libertad de empresa (SSTC 96/2013, 112/2006, 225/1993) [FJ 3].</w:t>
      </w:r>
    </w:p>
    <w:p w:rsidR="00163957" w:rsidRDefault="00163957" w:rsidP="00163957">
      <w:pPr>
        <w:pStyle w:val="Extracto"/>
      </w:pPr>
    </w:p>
    <w:p w:rsidR="00163957" w:rsidRDefault="00163957" w:rsidP="00163957">
      <w:pPr>
        <w:pStyle w:val="Extracto"/>
      </w:pPr>
      <w:r>
        <w:t>5.</w:t>
      </w:r>
      <w:r>
        <w:tab/>
        <w:t>Doctrina sobre los límites a la libertad de empresa (SSTC 108/2014, 53/2014, 127/1994, 83/1984, 135/2012) [FJ 3].</w:t>
      </w:r>
    </w:p>
    <w:p w:rsidR="00163957" w:rsidRDefault="00163957" w:rsidP="00163957">
      <w:pPr>
        <w:pStyle w:val="Extracto"/>
      </w:pPr>
    </w:p>
    <w:p w:rsidR="00163957" w:rsidRDefault="00163957" w:rsidP="00163957">
      <w:pPr>
        <w:pStyle w:val="Extracto"/>
      </w:pPr>
      <w:r>
        <w:t>6.</w:t>
      </w:r>
      <w:r>
        <w:tab/>
        <w:t>Doctrina sobre el canon de proporcionalidad en la afectación a la libertad de empresa, en su vertiente del desarrollo de la actividad empresarial (STC 66/1991) [FJ 4].</w:t>
      </w:r>
    </w:p>
    <w:p w:rsidR="00163957" w:rsidRDefault="00163957" w:rsidP="00163957">
      <w:pPr>
        <w:pStyle w:val="Extracto"/>
      </w:pPr>
    </w:p>
    <w:p w:rsidR="00163957" w:rsidRDefault="00163957" w:rsidP="00163957">
      <w:pPr>
        <w:pStyle w:val="Extracto"/>
      </w:pPr>
      <w:r>
        <w:t>7.</w:t>
      </w:r>
      <w:r>
        <w:tab/>
        <w:t>Procede entrar a resolver la cuestión de inconstitucionalidad suscitada pese a la derogación de normas legales y reglamentarias [FJ 2].</w:t>
      </w:r>
    </w:p>
    <w:p w:rsidR="00163957" w:rsidRDefault="00163957" w:rsidP="00163957">
      <w:pPr>
        <w:pStyle w:val="Extracto"/>
      </w:pPr>
    </w:p>
    <w:p w:rsidR="00163957" w:rsidRDefault="00163957" w:rsidP="00163957">
      <w:pPr>
        <w:pStyle w:val="Extracto"/>
      </w:pPr>
      <w:r>
        <w:t>8.</w:t>
      </w:r>
      <w:r>
        <w:tab/>
        <w:t>Doctrina sobre la pervivencia de objeto de la cuestión de inconstitucionalidad pese a la derogación de la norma legal impugnada (SSTC 37/2004, 117/2011, 73/2014) [FJ 2].</w:t>
      </w:r>
    </w:p>
    <w:p w:rsidR="00163957" w:rsidRDefault="00163957" w:rsidP="00163957">
      <w:pPr>
        <w:pStyle w:val="Extracto"/>
      </w:pPr>
    </w:p>
    <w:p w:rsidR="00163957" w:rsidRDefault="00163957" w:rsidP="00163957">
      <w:pPr>
        <w:pStyle w:val="Extracto"/>
      </w:pPr>
      <w:r>
        <w:lastRenderedPageBreak/>
        <w:t>9.</w:t>
      </w:r>
      <w:r>
        <w:tab/>
        <w:t>Doctrina sobre la pervivencia de objeto de la cuestión de inconstitucionalidad pese a la derogación de una norma reglamentaria (ATC 23/2013)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546-2010, promovida por la Sala de lo Contencioso-Administrativo del Tribunal Supremo en relación con el segundo párrafo del apartado 1 del art. 5 de la Ley 25/1994, de 12 de julio, por la que se incorpora al ordenamiento jurídico español la Directiva 89/552/CEE, sobre la coordinación de disposiciones legales, reglamentarias y administrativas de los Estados miembros relativas al ejercicio de actividades de radiodifusión televisiva. Han intervenido y formulado alegaciones el Abogado del Estado, el Fiscal General del Estado y la Entidad de Gestión de Derechos de los Productores Audiovisuales. Ha sido Ponente el Magistrado don Ricardo Enríquez Sancho,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22 de enero de 2010 tuvo entrada en el Registro General de este Tribunal escrito de la Sala de lo Contencioso-Administrativo del Tribunal Supremo al que se acompaña, junto con el testimonio del recurso contencioso-administrativo núm. 104-2004, interpuesto contra el Real Decreto 1652/2004, de 9 de julio, por el que se aprueba el Reglamento que regula la inversión obligatoria para la financiación anticipada de largometrajes y cortometrajes cinematográficos y películas para la televisión, europeos y españoles, el Auto de 9 de diciembre de 2009 por el que se acuerda plantear cuestión de inconstitucionalidad en relación con el segundo párrafo del apartado 1 del art. 5 de la Ley 25/1994, de 12 de julio, por la que se incorpora al ordenamiento jurídico español la Directiva 89/552/CEE, sobre la coordinación de disposiciones legales, reglamentarias y administrativas de los Estados miembros relativas al ejercicio de actividades de radiodifusión televisiva.</w:t>
      </w:r>
    </w:p>
    <w:p w:rsidR="00163957" w:rsidRDefault="00163957" w:rsidP="00163957">
      <w:pPr>
        <w:pStyle w:val="TextoNormal"/>
      </w:pPr>
    </w:p>
    <w:p w:rsidR="00163957" w:rsidRDefault="00163957" w:rsidP="00163957">
      <w:pPr>
        <w:pStyle w:val="TextoNormal"/>
      </w:pPr>
      <w:r>
        <w:t>El precepto cuestionado dice, en su redacción aplicable al caso, que procede de la disposición adicional segunda de la Ley 15/2001 de 9 de julio, de fomento y promoción de la cinematografía y el sector audiovisual:</w:t>
      </w:r>
    </w:p>
    <w:p w:rsidR="00163957" w:rsidRDefault="00163957" w:rsidP="00163957">
      <w:pPr>
        <w:pStyle w:val="TextoNormal"/>
      </w:pPr>
    </w:p>
    <w:p w:rsidR="00163957" w:rsidRDefault="00163957" w:rsidP="00163957">
      <w:pPr>
        <w:pStyle w:val="TextoNormal"/>
      </w:pPr>
      <w:r>
        <w:lastRenderedPageBreak/>
        <w:t>“Los operadores de televisión que tengan la responsabilidad editorial de canales de televisión en cuya programación se incluyan largometrajes cinematográficos de producción actual, es decir, con una antigüedad menor de siete años desde su fecha de producción, deberán destinar, como mínimo, cada año, el 5 por 100 de la cifra total de ingresos devengados durante el ejercicio anterior, conforme a su cuenta de explotación, a la financiación anticipada de la producción de largometrajes y cortometrajes cinematográficos y películas para televisión europeos, incluidos los supuestos contemplados en el artículo 5.1 de la Ley de fomento y promoción de la cinematografía y del sector audiovisual. El 60 por 100 de esta financiación deberá destinarse a producciones cuya lengua original sea cualquiera de las oficiales en España.</w:t>
      </w:r>
    </w:p>
    <w:p w:rsidR="00163957" w:rsidRDefault="00163957" w:rsidP="00163957">
      <w:pPr>
        <w:pStyle w:val="TextoNormal"/>
      </w:pPr>
    </w:p>
    <w:p w:rsidR="00163957" w:rsidRDefault="00163957" w:rsidP="00163957">
      <w:pPr>
        <w:pStyle w:val="TextoNormal"/>
      </w:pPr>
      <w:r>
        <w:t>A estos efectos se entenderá por películas para televisión las obras audiovisuales de características similares a los largometrajes cinematográficos, es decir, obras unitarias de duración superior a sesenta minutos con desenlace final, con la singularidad de que su explotación comercial no incluye la exhibición en salas de cine; y por ingresos de explotación, los derivados de la programación y explotación del canal o canales de televisión que dan origen a la obligación, reflejados en sus cuentas de explotación auditadas.</w:t>
      </w:r>
    </w:p>
    <w:p w:rsidR="00163957" w:rsidRDefault="00163957" w:rsidP="00163957">
      <w:pPr>
        <w:pStyle w:val="TextoNormal"/>
      </w:pPr>
    </w:p>
    <w:p w:rsidR="00163957" w:rsidRDefault="00163957" w:rsidP="00163957">
      <w:pPr>
        <w:pStyle w:val="TextoNormal"/>
      </w:pPr>
      <w:r>
        <w:t>El Gobierno, previa consulta a todos los sectores interesados, podrá establecer reglamentariamente las duraciones exigibles para considerar una obra audiovisual como película para televisión.”</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que interesa destacar a los efectos de este proceso constitucional son los siguientes:</w:t>
      </w:r>
    </w:p>
    <w:p w:rsidR="00163957" w:rsidRDefault="00163957" w:rsidP="00163957">
      <w:pPr>
        <w:pStyle w:val="TextoNormal"/>
      </w:pPr>
    </w:p>
    <w:p w:rsidR="00163957" w:rsidRDefault="00163957" w:rsidP="00163957">
      <w:pPr>
        <w:pStyle w:val="TextoNormal"/>
      </w:pPr>
      <w:r>
        <w:t>a) La Unión de Televisiones Comerciales Asociadas presentó ante la Sala Tercera del Tribunal Supremo recurso contencioso-administrativo contra el Real Decreto 1652/2004, de 9 de julio, por el que se aprueba el Reglamento que regula la inversión obligatoria para la financiación anticipada de largometrajes y cortometrajes cinematográficos y películas para televisión, europeos y españoles.</w:t>
      </w:r>
    </w:p>
    <w:p w:rsidR="00163957" w:rsidRDefault="00163957" w:rsidP="00163957">
      <w:pPr>
        <w:pStyle w:val="TextoNormal"/>
      </w:pPr>
    </w:p>
    <w:p w:rsidR="00163957" w:rsidRDefault="00163957" w:rsidP="00163957">
      <w:pPr>
        <w:pStyle w:val="TextoNormal"/>
      </w:pPr>
      <w:r>
        <w:t>En su demanda, la parte actora cuestionaba la compatibilidad de la inversión obligatoria desarrollada en el citado Real Decreto, y que tiene su amparo legal en el ya citado art. 5.1, párrafo segundo, de la Ley 25/1994, con el derecho comunitario y con los arts. 14, 20, 31.3 y 33 CE.</w:t>
      </w:r>
    </w:p>
    <w:p w:rsidR="00163957" w:rsidRDefault="00163957" w:rsidP="00163957">
      <w:pPr>
        <w:pStyle w:val="TextoNormal"/>
      </w:pPr>
    </w:p>
    <w:p w:rsidR="00163957" w:rsidRDefault="00163957" w:rsidP="00163957">
      <w:pPr>
        <w:pStyle w:val="TextoNormal"/>
      </w:pPr>
      <w:r>
        <w:t>b) Dicho recurso fue turnado a la Sección Tercera de la Sala de lo Contencioso-Administrativo del Tribunal Supremo, de conformidad con las normas de reparto.</w:t>
      </w:r>
    </w:p>
    <w:p w:rsidR="00163957" w:rsidRDefault="00163957" w:rsidP="00163957">
      <w:pPr>
        <w:pStyle w:val="TextoNormal"/>
      </w:pPr>
    </w:p>
    <w:p w:rsidR="00163957" w:rsidRDefault="00163957" w:rsidP="00163957">
      <w:pPr>
        <w:pStyle w:val="TextoNormal"/>
      </w:pPr>
      <w:r>
        <w:t xml:space="preserve">c) Una vez tramitado y concluso el procedimiento, por providencia de 23 de enero de 2007, la Sección Tercera de la Sala de lo Contencioso-Administrativo del Tribunal Supremo acordó suspender el señalamiento para la votación y fallo del recurso previsto para ese mismo día 23 de enero de 2007 y dar audiencia a las partes personadas y al Ministerio Fiscal para que en el plazo de quince días se pronunciasen (i) sobre el planteamiento de la cuestión prejudicial ante el entonces denominado Tribunal de Justicia de las Comunidades Europeas y (ii) sobre el planteamiento de la cuestión de inconstitucionalidad ante este Tribunal Constitucional por la posible contradicción del art. 5.1 de la Ley 25/1994, en la redacción dada </w:t>
      </w:r>
      <w:r>
        <w:lastRenderedPageBreak/>
        <w:t>por la disposición adicional segunda de la Ley 15/2001, con los arts. 14 y 31.3, en relación con el art. 38, todos ellos de la Constitución española.</w:t>
      </w:r>
    </w:p>
    <w:p w:rsidR="00163957" w:rsidRDefault="00163957" w:rsidP="00163957">
      <w:pPr>
        <w:pStyle w:val="TextoNormal"/>
      </w:pPr>
    </w:p>
    <w:p w:rsidR="00163957" w:rsidRDefault="00163957" w:rsidP="00163957">
      <w:pPr>
        <w:pStyle w:val="TextoNormal"/>
      </w:pPr>
      <w:r>
        <w:t>d) Cumplimentado el referido trámite por las partes personadas, la Sección Tercera de la Sala de lo Contencioso-Administrativo del Tribunal Supremo dictó Auto de 18 de abril de 2007 en el que acordó suspender el procedimiento principal y, de conformidad con lo dispuesto en el art. 234 del Tratado CE, plantear al Tribunal de Justicia las siguientes cuestiones prejudiciales:</w:t>
      </w:r>
    </w:p>
    <w:p w:rsidR="00163957" w:rsidRDefault="00163957" w:rsidP="00163957">
      <w:pPr>
        <w:pStyle w:val="TextoNormal"/>
      </w:pPr>
    </w:p>
    <w:p w:rsidR="00163957" w:rsidRDefault="00163957" w:rsidP="00163957">
      <w:pPr>
        <w:pStyle w:val="TextoNormal"/>
      </w:pPr>
      <w:r>
        <w:t>“A) El artículo 3 de la Directiva 89/552/CEE del Consejo, sobre la coordinación de disposiciones legales, reglamentarias y administrativas de los Estados miembros relativas al ejercicio de la actividad de radiodifusión televisiva, en su versión modificada por la Directiva 97/36 / CE, del Parlamento Europeo y del Consejo, de 30 de junio de 1997, ¿permite a los Estados miembros imponer a los operadores de televisión la obligación de destinar un porcentaje de sus ingresos de explotación para la financiación anticipada de películas cinematográficas y para televisión europeas?</w:t>
      </w:r>
    </w:p>
    <w:p w:rsidR="00163957" w:rsidRDefault="00163957" w:rsidP="00163957">
      <w:pPr>
        <w:pStyle w:val="TextoNormal"/>
      </w:pPr>
    </w:p>
    <w:p w:rsidR="00163957" w:rsidRDefault="00163957" w:rsidP="00163957">
      <w:pPr>
        <w:pStyle w:val="TextoNormal"/>
      </w:pPr>
      <w:r>
        <w:t>B) Para el caso de que la respuesta a la cuestión precedente fuera afirmativa, ¿resulta conforme con aquella Directiva y con el artículo 12 del Tratado CE, puesto en relación con las demás disposiciones singulares a las que éste se refiere, una norma nacional que, además de incluir la obligación de financiación anticipada ya expuesta, reserva el 60 por ciento de dicha financiación obligatoria a obras en lengua original española?</w:t>
      </w:r>
    </w:p>
    <w:p w:rsidR="00163957" w:rsidRDefault="00163957" w:rsidP="00163957">
      <w:pPr>
        <w:pStyle w:val="TextoNormal"/>
      </w:pPr>
    </w:p>
    <w:p w:rsidR="00163957" w:rsidRDefault="00163957" w:rsidP="00163957">
      <w:pPr>
        <w:pStyle w:val="TextoNormal"/>
      </w:pPr>
      <w:r>
        <w:t>C) La obligación impuesta por una norma nacional a los operadores de televisión de que destinen un porcentaje de sus ingresos de explotación para la financiación anticipada de películas cinematográficas, de cuya cuantía un 60 por ciento ha de destinarse específicamente a obras en lengua original española mayoritariamente producidas por la industria cinematográfica española, ¿constituye una ayuda del Estado en beneficio de dicha industria, en el sentido del artículo 87 del Tratado CE?”.</w:t>
      </w:r>
    </w:p>
    <w:p w:rsidR="00163957" w:rsidRDefault="00163957" w:rsidP="00163957">
      <w:pPr>
        <w:pStyle w:val="TextoNormal"/>
      </w:pPr>
    </w:p>
    <w:p w:rsidR="00163957" w:rsidRDefault="00163957" w:rsidP="00163957">
      <w:pPr>
        <w:pStyle w:val="TextoNormal"/>
      </w:pPr>
      <w:r>
        <w:t>e) Las citadas cuestiones prejudiciales fueron resueltas por el Tribunal de Justicia de las Comunidades Europeas en su Sentencia de 5 de marzo de 2009 (asunto C-222/07), que declaró:</w:t>
      </w:r>
    </w:p>
    <w:p w:rsidR="00163957" w:rsidRDefault="00163957" w:rsidP="00163957">
      <w:pPr>
        <w:pStyle w:val="TextoNormal"/>
      </w:pPr>
    </w:p>
    <w:p w:rsidR="00163957" w:rsidRDefault="00163957" w:rsidP="00163957">
      <w:pPr>
        <w:pStyle w:val="TextoNormal"/>
      </w:pPr>
      <w:r>
        <w:t>“1) La Directiva 89/552/CEE del Consejo, de 3 de octubre de 1989, sobre la coordinación de determinadas disposiciones legales, reglamentarias y administrativas de los Estados miembros relativas al ejercicio de actividades de radiodifusión televisiva, modificada por la Directiva 97/36/CE del Parlamento Europeo y del Consejo, de 30 de junio de 1997, y, más concretamente, su artículo 3 y el artículo 12 CE deben interpretarse en el sentido de que no se oponen a una medida adoptada por un Estado miembro, como la controvertida en el procedimiento principal, que obliga a los operadores de televisión a destinar el 5 por 100 de sus ingresos de explotación a la financiación anticipada de películas cinematográficas y de televisión europeas y, más concretamente, el 60 por 100 de dicho 5 por 100 a obras cuya lengua original sea cualquiera de las oficiales de dicho Estado miembro.</w:t>
      </w:r>
    </w:p>
    <w:p w:rsidR="00163957" w:rsidRDefault="00163957" w:rsidP="00163957">
      <w:pPr>
        <w:pStyle w:val="TextoNormal"/>
      </w:pPr>
    </w:p>
    <w:p w:rsidR="00163957" w:rsidRDefault="00163957" w:rsidP="00163957">
      <w:pPr>
        <w:pStyle w:val="TextoNormal"/>
      </w:pPr>
      <w:r>
        <w:t xml:space="preserve">2) El artículo 87 CE debe interpretarse en el sentido de que una medida adoptada por un Estado miembro, como la controvertida en el procedimiento principal, que obliga a los operadores de televisión a destinar el 5 por 100 de sus ingresos de explotación a la financiación </w:t>
      </w:r>
      <w:r>
        <w:lastRenderedPageBreak/>
        <w:t>anticipada de películas cinematográficas y de televisión europeas y, más concretamente, el 60 por 100 de dicho 5 por 100 a obras cuya lengua original sea cualquiera de las lenguas oficiales de este Estado miembro no constituye una ayuda del Estado en beneficio de la industria cinematográfica de ese mismo Estado miembro.”</w:t>
      </w:r>
    </w:p>
    <w:p w:rsidR="00163957" w:rsidRDefault="00163957" w:rsidP="00163957">
      <w:pPr>
        <w:pStyle w:val="TextoNormal"/>
      </w:pPr>
    </w:p>
    <w:p w:rsidR="00163957" w:rsidRDefault="00163957" w:rsidP="00163957">
      <w:pPr>
        <w:pStyle w:val="TextoNormal"/>
      </w:pPr>
      <w:r>
        <w:t>f) Una vez recibida copia de la referida Sentencia del Tribunal de Justicia de las Comunidades Europeas, la Sección Tercera de la Sala de lo Contencioso-Administrativo del Tribunal Supremo dictó providencia de 25 de marzo de 2009 alzando la suspensión en su día acordada y dando nuevo traslado a las partes personadas por plazo de cinco días para que éstas pudieran alegar lo que a su derecho conviniera sobre la incidencia de la misma en el recurso contencioso-administrativo tramitado ante ella y pendiente de resolución.</w:t>
      </w:r>
    </w:p>
    <w:p w:rsidR="00163957" w:rsidRDefault="00163957" w:rsidP="00163957">
      <w:pPr>
        <w:pStyle w:val="TextoNormal"/>
      </w:pPr>
    </w:p>
    <w:p w:rsidR="00163957" w:rsidRDefault="00163957" w:rsidP="00163957">
      <w:pPr>
        <w:pStyle w:val="TextoNormal"/>
      </w:pPr>
      <w:r>
        <w:t>g) Tras la presentación de las alegaciones por las partes personadas, la Sección dictó Auto de 9 de diciembre de 2009 planteando ante este Tribunal Constitucional cuestión de inconstitucionalidad en relación con el art. 5.1, párrafo segundo, de la Ley 25/1994, en su versión modificada por las Leyes 22/1999, de 7 de junio, y 15/2001, de 9 de julio.</w:t>
      </w:r>
    </w:p>
    <w:p w:rsidR="00163957" w:rsidRDefault="00163957" w:rsidP="00163957">
      <w:pPr>
        <w:pStyle w:val="TextoNormal"/>
      </w:pPr>
    </w:p>
    <w:p w:rsidR="00163957" w:rsidRDefault="00163957" w:rsidP="00163957">
      <w:pPr>
        <w:pStyle w:val="TextoNormal"/>
      </w:pPr>
      <w:r w:rsidRPr="00163957">
        <w:rPr>
          <w:rStyle w:val="NumeroAFNegritaCaracter"/>
        </w:rPr>
        <w:t>3</w:t>
      </w:r>
      <w:r>
        <w:t>. El Auto de planteamiento comienza señalando que el Real Decreto 1652/2004, objeto del recurso contencioso-administrativo interpuesto ante la Sala Tercera del Tribunal Supremo, no hace sino concretar ciertos extremos de la inversión obligatoria impuesta a ciertos operadores de televisión en el art. 5.1, segundo párrafo, de la Ley 25/1994, de modo que si este precepto legal fuera declarado inconstitucional, el reglamento impugnado se vería desprovisto de validez.</w:t>
      </w:r>
    </w:p>
    <w:p w:rsidR="00163957" w:rsidRDefault="00163957" w:rsidP="00163957">
      <w:pPr>
        <w:pStyle w:val="TextoNormal"/>
      </w:pPr>
    </w:p>
    <w:p w:rsidR="00163957" w:rsidRDefault="00163957" w:rsidP="00163957">
      <w:pPr>
        <w:pStyle w:val="TextoNormal"/>
      </w:pPr>
      <w:r>
        <w:t>Con estas bases, recuerda la doctrina de este Tribunal sobre la libertad de empresa reconocida en el art. 38 CE contenida en la STC 112/2006, de 5 de abril, en concreto la “libertad de inversión” que junto con las libertades de contratación y de organización fue considerada en aquella Sentencia una “vertiente imprescindible” de la indicada libertad de empresa. Ciertamente, ello no excluye, reconoce el órgano promotor, que esa garantía no pueda ser sometida a restricciones, pero siempre que esas restricciones sean “proporcionadas, de modo que, por adecuadas, contribuyan a la consecución del fin constitucionalmente legítimo al que propenden y por indispensables hayan de ser inevitablemente preferidas a otras que pudieran suponer, para la esfera de libertad pública protegida, un sacrificio menor” (misma STC 112/2006, FJ 8).</w:t>
      </w:r>
    </w:p>
    <w:p w:rsidR="00163957" w:rsidRDefault="00163957" w:rsidP="00163957">
      <w:pPr>
        <w:pStyle w:val="TextoNormal"/>
      </w:pPr>
    </w:p>
    <w:p w:rsidR="00163957" w:rsidRDefault="00163957" w:rsidP="00163957">
      <w:pPr>
        <w:pStyle w:val="TextoNormal"/>
      </w:pPr>
      <w:r>
        <w:t xml:space="preserve">Pues bien, a juicio de la Sección la inversión obligatoria prevista en el art. 5.1, párrafo segundo, de la Ley 25/1994, no supera el indicado canon de proporcionalidad. En primer lugar, porque se impone sobre una parte de sus “ingresos”, no de sus beneficios. En segundo lugar, porque no se corresponde con el objeto propio de su actividad, la difusión televisiva, sino que se destina a un sector económico diferente: la producción cinematográfica. Y en tercer lugar, porque para alcanzar esa finalidad, que la Sección considera “legítima”, los poderes públicos tienen en su mano otras potestades menos invasivas como la potestad tributaria y la subvencional. A través de la primera, pueden “detraer de los beneficios empresariales las cantidades que consideren oportunas” y asignarlas equitativamente al citado objetivo conforme al art. 31 CE, mediante “un marco tributario que contribuya a propiciar la inversión en determinados sectores, adoptando normas fiscales de muy amplio espectro (bonificaciones, exenciones, régimen de amortizaciones, deducciones, etcétera) con esa misma y legítima finalidad”. Y por medio de la segunda, el Estado podría incentivar determinadas </w:t>
      </w:r>
      <w:r>
        <w:lastRenderedPageBreak/>
        <w:t>inversiones empresariales sin más límite que respetar la prohibición de “ayudas de Estado” y las normas de competencia que resultan de los tratados comunitarios, pues el Tribunal de Justicia ya descartó en la Sentencia de 5 de marzo de 2009 que la inversión obligatoria aquí cuestionada fuera una ayuda de Estado (apartados 41 a 47). “Lo que, a juicio de esta Sala, no puede sin embargo el legislador, salvo que esté fundado en razones imperiosas de interés general, es imponer por sí mismo el destino forzoso de las inversiones empresariales. En principio, la decisión sobre la inversión de los recursos (privados) de las empresas corresponde a éstas, sin perjuicio de que parte de aquéllos sean transferidos coactivamente, por la vía de los tributos, al sector público y se conviertan de este modo en ‘recursos públicos’ de los que el Estado puede, obviamente, disponer”.</w:t>
      </w:r>
    </w:p>
    <w:p w:rsidR="00163957" w:rsidRDefault="00163957" w:rsidP="00163957">
      <w:pPr>
        <w:pStyle w:val="TextoNormal"/>
      </w:pPr>
    </w:p>
    <w:p w:rsidR="00163957" w:rsidRDefault="00163957" w:rsidP="00163957">
      <w:pPr>
        <w:pStyle w:val="TextoNormal"/>
      </w:pPr>
      <w:r>
        <w:t>Continúa el Auto afirmando que esa inversión obligatoria no viene tampoco impuesta por la Directiva 89/552/CEE, del Consejo, de 3 de octubre de 1989, objeto de trasposición en la Ley 25/1994. En el apartado 17 de su Sentencia, el Tribunal de Justicia ya declaró que los arts. 4 y 5 de aquella Directiva “no se refieren a dicho supuesto”. La Directiva, pues, no ofrece tampoco base a la citada obligación impuesta por el legislador.</w:t>
      </w:r>
    </w:p>
    <w:p w:rsidR="00163957" w:rsidRDefault="00163957" w:rsidP="00163957">
      <w:pPr>
        <w:pStyle w:val="TextoNormal"/>
      </w:pPr>
    </w:p>
    <w:p w:rsidR="00163957" w:rsidRDefault="00163957" w:rsidP="00163957">
      <w:pPr>
        <w:pStyle w:val="TextoNormal"/>
      </w:pPr>
      <w:r>
        <w:t>Y tampoco deriva del régimen concesional bajo el que actúan los operadores de televisión, pues, por un lado, la obligación se impone al margen de las disposiciones que regulan la gestión directa o indirecta de los servicios públicos, y, por otro, ni siquiera se imponen a todos los concesionarios del servicio, esto es, a todos los operadores televisivos, sino solo a algunos de ellos. La imposición de esa inversión forzosa es pues ajena a las razones que determinaron la opción legislativa por el servicio público televisivo.</w:t>
      </w:r>
    </w:p>
    <w:p w:rsidR="00163957" w:rsidRDefault="00163957" w:rsidP="00163957">
      <w:pPr>
        <w:pStyle w:val="TextoNormal"/>
      </w:pPr>
    </w:p>
    <w:p w:rsidR="00163957" w:rsidRDefault="00163957" w:rsidP="00163957">
      <w:pPr>
        <w:pStyle w:val="TextoNormal"/>
      </w:pPr>
      <w:r>
        <w:t>La Sección reconoce que el fomento de la creación cinematográfica, cuya dimensión cultural no puede desconocerse, es un objetivo legítimo. Pero la concreta medida establecida para la consecución de ese objetivo puede no superar el canon de proporcionalidad impuesto por la doctrina de este Tribunal, ya que la consecución ya viene instrumentada a través de numerosas medidas legislativas y reglamentarias, en particular ayudas públicas a la producción, distribución y proyección cinematográfica que conformen un “marco de financiación privilegiado” (garantía del Instituto de la Cinematografía y de las Artes Audiovisuales, créditos a tipos inferiores a los de mercado, ayudas públicas directas a la producción cinematográfica) así como estímulos a la proyección de películas comunitarias en las salas de proyección y los propios mecanismos de protección derivados de la Directiva 89/552/CEE, como reservar determinados tiempos de difusión y emisión a obras europeas.</w:t>
      </w:r>
    </w:p>
    <w:p w:rsidR="00163957" w:rsidRDefault="00163957" w:rsidP="00163957">
      <w:pPr>
        <w:pStyle w:val="TextoNormal"/>
      </w:pPr>
    </w:p>
    <w:p w:rsidR="00163957" w:rsidRDefault="00163957" w:rsidP="00163957">
      <w:pPr>
        <w:pStyle w:val="TextoNormal"/>
      </w:pPr>
      <w:r>
        <w:t>Por todo ello concluye que no existe una “razón imperiosa de interés general” que justifique la inversión forzosa prevista en el precepto cuestionado.</w:t>
      </w:r>
    </w:p>
    <w:p w:rsidR="00163957" w:rsidRDefault="00163957" w:rsidP="00163957">
      <w:pPr>
        <w:pStyle w:val="TextoNormal"/>
      </w:pPr>
    </w:p>
    <w:p w:rsidR="00163957" w:rsidRDefault="00163957" w:rsidP="00163957">
      <w:pPr>
        <w:pStyle w:val="TextoNormal"/>
      </w:pPr>
      <w:r>
        <w:t>El Auto cuenta con un Voto particular suscrito por uno de los cinco Magistrados que firman el Auto en el que se razona que el fomento de la industria cinematográfica europea constituye una razón imperiosa de interés general que legitima esa medida restrictiva de la libertad de empresa. Considera además que es una medida proporcionada, en cuanto que no excede del 5 por 100 de los ingresos de explotación y no va más allá de lo necesario para alcanzar el objetivo propuesto.</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Por providencia de 14 de abril de 2010, el Pleno del Tribunal, a propuesta de la Sección Cuarta, acordó admitir a trámite la cuestión planteada por la Sección Tercera de la Sala </w:t>
      </w:r>
      <w:r>
        <w:lastRenderedPageBreak/>
        <w:t>de lo Contencioso-Administrativo del Tribunal Supremo en relación con el art. 5.1 de la Ley 25/1994, de 12 de julio, por la que se incorpora al ordenamiento jurídico español la Directiva 89/552/CEE, sobre la coordinación de disposiciones legales, reglamentarias y administrativas de los Estados miembros relativas al ejercicio de actividades de radiodifusión televisiva. El Pleno acordó también, conforme al artículo 10.1 c) de la Ley Orgánica del Tribunal Constitucional (LOTC), reservar para sí el conocimiento de la cuestión, así como dar traslado de las actuaciones recibidas (art. 37.3 LOTC) al Congreso de los Diputados y al Senado, al Gobierno y al Fiscal General del Estado, al objeto de que, en el improrrogable plazo de quince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El 28 de abril de 2010 tuvo entrada en este Tribunal copia del acuerdo de la Mesa del Senado de 27 de abril anterior por el que se tiene por personada a la citada cámara en este procedimiento y por ofrecida su colaboración a los efectos del artículo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29 de abril de 2010 tuvo entrada el acuerdo de la Mesa del Congreso de los Diputados de 27 de abril de 2010 en el que se tiene por personada a la citada cámara y se ofrece su colaboración a los efectos del artículo 88.1 LOTC, y se remite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rsidRPr="00163957">
        <w:rPr>
          <w:rStyle w:val="NumeroAFNegritaCaracter"/>
        </w:rPr>
        <w:t>7</w:t>
      </w:r>
      <w:r>
        <w:t>. El 28 de abril de 2010, el Presidente de la Sección Tercera de la Sala de lo Contencioso-Administrativo del Tribunal Supremo firmó un escrito, que tuvo entrada en este Tribunal el 5 de mayo siguiente, acusando recibo de la comunicación emitida por este Tribunal el 14 de abril y comunicando que de conformidad con lo establecido en el art. 35.3 LOTC se procedía a suspender el curso del procedimiento hasta que por este Tribunal Constitucional se resuelva definitivamente la cuestión planteada.</w:t>
      </w:r>
    </w:p>
    <w:p w:rsidR="00163957" w:rsidRDefault="00163957" w:rsidP="00163957">
      <w:pPr>
        <w:pStyle w:val="TextoNormal"/>
      </w:pPr>
    </w:p>
    <w:p w:rsidR="00163957" w:rsidRDefault="00163957" w:rsidP="00163957">
      <w:pPr>
        <w:pStyle w:val="TextoNormal"/>
      </w:pPr>
      <w:r w:rsidRPr="00163957">
        <w:rPr>
          <w:rStyle w:val="NumeroAFNegritaCaracter"/>
        </w:rPr>
        <w:t>8</w:t>
      </w:r>
      <w:r>
        <w:t>. El 10 de mayo de 2010 tuvo entrada en este Tribunal el escrito de alegaciones del Abogado del Estado, en el que solicita la desestimación de la presente cuestión de inconstitucionalidad.</w:t>
      </w:r>
    </w:p>
    <w:p w:rsidR="00163957" w:rsidRDefault="00163957" w:rsidP="00163957">
      <w:pPr>
        <w:pStyle w:val="TextoNormal"/>
      </w:pPr>
    </w:p>
    <w:p w:rsidR="00163957" w:rsidRDefault="00163957" w:rsidP="00163957">
      <w:pPr>
        <w:pStyle w:val="TextoNormal"/>
      </w:pPr>
      <w:r>
        <w:t>Comienza aclarando que la derogación sobrevenida del precepto cuestionado por la Ley 7/2010, de 31 de marzo, general de la comunicación audiovisual, no ha hecho perder objeto al presente proceso constitucional, según jurisprudencia reiterada de este Tribunal.</w:t>
      </w:r>
    </w:p>
    <w:p w:rsidR="00163957" w:rsidRDefault="00163957" w:rsidP="00163957">
      <w:pPr>
        <w:pStyle w:val="TextoNormal"/>
      </w:pPr>
    </w:p>
    <w:p w:rsidR="00163957" w:rsidRDefault="00163957" w:rsidP="00163957">
      <w:pPr>
        <w:pStyle w:val="TextoNormal"/>
      </w:pPr>
      <w:r>
        <w:t>En cuanto al fondo de la cuestión planteada, está de acuerdo en que la libertad de inversión es una vertiente imprescindible de la libertad de empresa garantizada en el art. 38 CE, tal y como ya señaló la STC 112/2006. Ahora bien, y como también allí se señaló, no siendo los derechos que la Constitución reconoce garantías absolutas, son admisibles las restricciones sobre esa libertad siempre que sean proporcionadas.</w:t>
      </w:r>
    </w:p>
    <w:p w:rsidR="00163957" w:rsidRDefault="00163957" w:rsidP="00163957">
      <w:pPr>
        <w:pStyle w:val="TextoNormal"/>
      </w:pPr>
    </w:p>
    <w:p w:rsidR="00163957" w:rsidRDefault="00163957" w:rsidP="00163957">
      <w:pPr>
        <w:pStyle w:val="TextoNormal"/>
      </w:pPr>
      <w:r>
        <w:t xml:space="preserve">Recuerda que en la doctrina de este Tribunal, este test de la proporcionalidad, que el Abogado del Estado llama “test alemán de la proporcionalidad”, se descompone en tres </w:t>
      </w:r>
      <w:r>
        <w:lastRenderedPageBreak/>
        <w:t>juicios sucesivos, desde la STC 66/1995, de 8 de mayo, FJ 5: el juicio de idoneidad, el juicio de necesidad y el juicio de proporcionalidad en sentido estricto.</w:t>
      </w:r>
    </w:p>
    <w:p w:rsidR="00163957" w:rsidRDefault="00163957" w:rsidP="00163957">
      <w:pPr>
        <w:pStyle w:val="TextoNormal"/>
      </w:pPr>
    </w:p>
    <w:p w:rsidR="00163957" w:rsidRDefault="00163957" w:rsidP="00163957">
      <w:pPr>
        <w:pStyle w:val="TextoNormal"/>
      </w:pPr>
      <w:r>
        <w:t>A partir de ahí, argumenta que el Auto de planteamiento no cuestiona la idoneidad de la medida para el fin propuesto, sino que más bien parece centrarse en el juicio de necesidad (en terminología de este Tribunal), esto es, en considerar que la medida no es la menos restrictiva (“</w:t>
      </w:r>
      <w:r w:rsidRPr="00163957">
        <w:rPr>
          <w:i/>
        </w:rPr>
        <w:t>less restrictive alternative</w:t>
      </w:r>
      <w:r>
        <w:t>”) para alcanzar ese fin legítimo. El sector, vendría a razonar el Auto (según el Abogado del Estado), está “hiperprotegido”, y “sobra por ello … la medida de inversión obligatoria” que es objeto de esta cuestión de inconstitucionalidad. Al respecto, se muestra crítico con el Auto de planteamiento, por no ofrecer una detallada descripción de otras medidas alternativas de eficacia pareja, ni hacer un juicio racional comparativo entre ellas, como correspondería a quien cuestiona la necesidad de esa medida. Si el órgano promotor, concluye el Abogado del Estado, no levanta esa “carga” procesal que corresponde a quien cuestiona la necesidad de una medida restrictiva de un derecho constitucional, tampoco debe el defensor de la norma asumir la carga inversa de justificar su necesidad.</w:t>
      </w:r>
    </w:p>
    <w:p w:rsidR="00163957" w:rsidRDefault="00163957" w:rsidP="00163957">
      <w:pPr>
        <w:pStyle w:val="TextoNormal"/>
      </w:pPr>
    </w:p>
    <w:p w:rsidR="00163957" w:rsidRDefault="00163957" w:rsidP="00163957">
      <w:pPr>
        <w:pStyle w:val="TextoNormal"/>
      </w:pPr>
      <w:r>
        <w:t>Por último, en lo que al juicio de proporcionalidad en sentido estricto se refiere, el Abogado del Estado considera que la medida cuestionada reporta más beneficios que desventajas, y supera, por tanto, el indicado canon. Así, apunta en primer lugar a la conexión de la producción cinematográfica con la cultura, ya señalada en la exposición de motivos de la Ley 15/2001 de la que trae redacción el precepto cuestionado; y recuerda que la promoción de la cultura es una obligación de los poderes públicos de conformidad con los arts. 44.1, 46 y 149.2 CE. Además, considera igualmente justificado un segundo objetivo de la medida, como es lograr una mayor integración económica entre el cine y la televisión dando lugar a un “sector conjunto audiovisual”, también señalado en el preámbulo de otra Ley, esta vez la Ley 55/2007. A partir de ahí, argumenta que el conjunto de las ayudas establecidas al sector en la citada Ley 55/2007 no pueden, aisladamente ni en conjunto, alcanzar el fin propuesto, y que la medida de inversión obligatoria, además de promover la identidad cultural española y europea, y proteger también la diversidad cultural y lingüística nacional y continental, constituye un medio para posibilitar el cumplimiento de la reserva de emisión de nuevas obras cinematográficas establecida por la normativa del sector. “Si no se producen nuevas obras cinematográficas españolas y europeas”, razona el representante del Gobierno, “la reserva debería satisfacerse con películas antiguas, con lo que —al menos en parte— se frustraría la finalidad de preservación y promoción de la diversidad cultural, que no es solo goce del pasado sino continuidad hacia el futuro”.</w:t>
      </w:r>
    </w:p>
    <w:p w:rsidR="00163957" w:rsidRDefault="00163957" w:rsidP="00163957">
      <w:pPr>
        <w:pStyle w:val="TextoNormal"/>
      </w:pPr>
    </w:p>
    <w:p w:rsidR="00163957" w:rsidRDefault="00163957" w:rsidP="00163957">
      <w:pPr>
        <w:pStyle w:val="TextoNormal"/>
      </w:pPr>
      <w:r w:rsidRPr="00163957">
        <w:rPr>
          <w:rStyle w:val="NumeroAFNegritaCaracter"/>
        </w:rPr>
        <w:t>9</w:t>
      </w:r>
      <w:r>
        <w:t>. Por escrito registrado ante este Tribunal el 13 de mayo de 2010, la Entidad de Gestión de Derechos de los Productores Audiovisuales, parte en el recurso contencioso-administrativo que ha dado lugar al presente proceso constitucional, solicitó al amparo de lo establecido en el art. 37.2 LOTC su personación en la presente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10</w:t>
      </w:r>
      <w:r>
        <w:t>. Por diligencia de ordenación de 24 de mayo de 2010, la Secretaría del Pleno de este Tribunal acordó tener por personada a la entidad de gestión de derechos de los productores audiovisuales en la presente cuestión de inconstitucionalidad y entender con ella las sucesivas actuaciones, así como, en aplicación del art. 37.2 LOTC, concederle un plazo de quince días para formular alegaciones.</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11</w:t>
      </w:r>
      <w:r>
        <w:t>. El Fiscal General del Estado presentó sus alegaciones por escrito registrado el 8 de junio de 2010. En él, defiende la constitucionalidad de la norma cuestionada y solicita en consecuencia la desestimación de la cuestión de inconstitucionalidad promovida.</w:t>
      </w:r>
    </w:p>
    <w:p w:rsidR="00163957" w:rsidRDefault="00163957" w:rsidP="00163957">
      <w:pPr>
        <w:pStyle w:val="TextoNormal"/>
      </w:pPr>
    </w:p>
    <w:p w:rsidR="00163957" w:rsidRDefault="00163957" w:rsidP="00163957">
      <w:pPr>
        <w:pStyle w:val="TextoNormal"/>
      </w:pPr>
      <w:r>
        <w:t>Tras hacer un extenso recordatorio de los antecedentes de la presente cuestión de inconstitucionalidad, su régimen jurídico, y de los razonamientos del Auto de planteamiento, y señalar, como cuestión previa, que no existen óbices procesales a su examen y resolución por este Tribunal, se adentra en el análisis de fondo de la norma controvertida.</w:t>
      </w:r>
    </w:p>
    <w:p w:rsidR="00163957" w:rsidRDefault="00163957" w:rsidP="00163957">
      <w:pPr>
        <w:pStyle w:val="TextoNormal"/>
      </w:pPr>
    </w:p>
    <w:p w:rsidR="00163957" w:rsidRDefault="00163957" w:rsidP="00163957">
      <w:pPr>
        <w:pStyle w:val="TextoNormal"/>
      </w:pPr>
      <w:r>
        <w:t>Parte asimismo de la doctrina de la STC 112/2006, y de que la libertad de inversión es una vertiente imprescindible de la libertad de empresas del art. 38 CE. Pero no comparte sin embargo la conclusión a la que llega la Sala cuestionante desde esas premisas. No toda medida que incida en la libertad de empresa, sostiene, es necesariamente contraria al art. 38 CE. Lo será solo si constituye un obstáculo a la misma que no guarde relación y sea desproporcionado con el fin perseguido, pero no en otro caso.</w:t>
      </w:r>
    </w:p>
    <w:p w:rsidR="00163957" w:rsidRDefault="00163957" w:rsidP="00163957">
      <w:pPr>
        <w:pStyle w:val="TextoNormal"/>
      </w:pPr>
    </w:p>
    <w:p w:rsidR="00163957" w:rsidRDefault="00163957" w:rsidP="00163957">
      <w:pPr>
        <w:pStyle w:val="TextoNormal"/>
      </w:pPr>
      <w:r>
        <w:t>Argumenta que el contenido de la libertad de empresa despende del tipo de actividad empresarial que se realice, y que la afectación con esa actividad a intereses de la comunidad, como ocurre con la actividad televisiva, justifica una intervención pública más intensa en esa actividad, en contrapartida con la posición de privilegio que ocupa el concesionario que usa un bien escaso como el espectro radioeléctrico.</w:t>
      </w:r>
    </w:p>
    <w:p w:rsidR="00163957" w:rsidRDefault="00163957" w:rsidP="00163957">
      <w:pPr>
        <w:pStyle w:val="TextoNormal"/>
      </w:pPr>
    </w:p>
    <w:p w:rsidR="00163957" w:rsidRDefault="00163957" w:rsidP="00163957">
      <w:pPr>
        <w:pStyle w:val="TextoNormal"/>
      </w:pPr>
      <w:r>
        <w:t>Para el Ministerio Fiscal no cabe duda de la legitimidad constitucional del objetivo de la medida, que es tanto fomentar la creación y producción cinematográfica como una manifestación cultural y de la producción y creación artística del art. 20 CE, como, de modo mediato, proteger y promover la industria española y europea frente a poderosas industrias no europeas, favoreciendo así la divulgación de los valores pluriculturales propios del continente y del proceso de unificación europea. Destaca, así, que las obras audiovisuales en general y el cine en particular desempeñan un trascendente papel en la conformación y aprehensión de estos valores y de las identidades europeas, tanto en lo que se refiere a aspectos comunes compartidos con el conjunto de Europa, como en lo relativo a la diversidad cultural característica de nuestro país. Las obras audiovisuales no son así exclusivamente bienes económicos, sino también culturales. Y ello justifica que su producción y comercialización no sean confiadas exclusivamente a fuerzas del mercado.</w:t>
      </w:r>
    </w:p>
    <w:p w:rsidR="00163957" w:rsidRDefault="00163957" w:rsidP="00163957">
      <w:pPr>
        <w:pStyle w:val="TextoNormal"/>
      </w:pPr>
    </w:p>
    <w:p w:rsidR="00163957" w:rsidRDefault="00163957" w:rsidP="00163957">
      <w:pPr>
        <w:pStyle w:val="TextoNormal"/>
      </w:pPr>
      <w:r>
        <w:t>El Fiscal pone especial énfasis, además, en un dato de capital importancia que, le parece, omite el Auto de planteamiento: la insuficiencia de las medidas citadas por la resolución judicial para sostener una industria que juega el importante papel ya señalado, y que resulta acreditado por el informe de la Secretaría de Estado de Telecomunicaciones y para la Sociedad de la Información aportado a las actuaciones del proceso contencioso-administrativo subyacente, que concluye que sin la financiación de las televisiones “sería prácticamente imposible completar la financiación de películas” y devendría “inviable la posibilidad de lograr una industria cinematográfica sólida”. De donde deriva que no se puede prescindir de la medida cuestionada, por más que existan otras dirigidas al mismo objeto, y que si se prescindiera de ella no podría lograrse el objetivo legítimo perseguido, y ya señalado. Es, además, un modelo semejante al que existe en países de nuestro entorno, según resulta del mismo informe antes citado.</w:t>
      </w:r>
    </w:p>
    <w:p w:rsidR="00163957" w:rsidRDefault="00163957" w:rsidP="00163957">
      <w:pPr>
        <w:pStyle w:val="TextoNormal"/>
      </w:pPr>
    </w:p>
    <w:p w:rsidR="00163957" w:rsidRDefault="00163957" w:rsidP="00163957">
      <w:pPr>
        <w:pStyle w:val="TextoNormal"/>
      </w:pPr>
      <w:r>
        <w:lastRenderedPageBreak/>
        <w:t>La obligación, por último, se impone en una cuantía muy moderada (5 por 100 de los ingresos) y es, además, rentable para los operadores, como concluye igualmente el informe de la Secretaría de Estado.</w:t>
      </w:r>
    </w:p>
    <w:p w:rsidR="00163957" w:rsidRDefault="00163957" w:rsidP="00163957">
      <w:pPr>
        <w:pStyle w:val="TextoNormal"/>
      </w:pPr>
    </w:p>
    <w:p w:rsidR="00163957" w:rsidRDefault="00163957" w:rsidP="00163957">
      <w:pPr>
        <w:pStyle w:val="TextoNormal"/>
      </w:pPr>
      <w:r>
        <w:t>Por todo ello, la medida cuestionada le parece al Fiscal idónea, necesaria y adecuada para la finalidad perseguida, que es además legítima, por lo que le parece conforme con el art. 38 CE.</w:t>
      </w:r>
    </w:p>
    <w:p w:rsidR="00163957" w:rsidRDefault="00163957" w:rsidP="00163957">
      <w:pPr>
        <w:pStyle w:val="TextoNormal"/>
      </w:pPr>
    </w:p>
    <w:p w:rsidR="00163957" w:rsidRDefault="00163957" w:rsidP="00163957">
      <w:pPr>
        <w:pStyle w:val="TextoNormal"/>
      </w:pPr>
      <w:r w:rsidRPr="00163957">
        <w:rPr>
          <w:rStyle w:val="NumeroAFNegritaCaracter"/>
        </w:rPr>
        <w:t>12</w:t>
      </w:r>
      <w:r>
        <w:t>. El día 18 de junio de 2010, la Entidad de Gestión de Derechos de los Productores Audiovisuales presentó sus alegaciones en el Registro General de este Tribunal. En ellas considera principalmente que no concurren los presupuestos procesales para que este Tribunal pueda pronunciarse, al haber sido derogada la norma cuestionada. Subsidiariamente, solicita la desestimación de la cuestión suscitada, por ser el art. 5.1, párrafo segundo, de la Ley 25/1994 conforme con la Constitución.</w:t>
      </w:r>
    </w:p>
    <w:p w:rsidR="00163957" w:rsidRDefault="00163957" w:rsidP="00163957">
      <w:pPr>
        <w:pStyle w:val="TextoNormal"/>
      </w:pPr>
    </w:p>
    <w:p w:rsidR="00163957" w:rsidRDefault="00163957" w:rsidP="00163957">
      <w:pPr>
        <w:pStyle w:val="TextoNormal"/>
      </w:pPr>
      <w:r>
        <w:t>Apela a la Ley 7/2010, general de comunicación audiovisual, que califica estos servicios como “servicios de interés general” (art. 22), de manera que cumplen una relevante función de interés público, y no solo económica, que no ha sido valorada por el Tribunal Supremo. Dicha función consiste en fomentar la producción audiovisual europea y fomentar así la diversidad cultural de Europa. Cita asimismo los considerandos 74 y 79 de la Directiva UE/13/2010, de 10 de marzo, de coordinación de determinadas disposiciones legales, reglamentarias y administrativas de los Estados miembros relativas a la prestación de servicios de la comunicación audiovisual, y le parece que de ellos se deriva la proporcionalidad de la medida cuestionada.</w:t>
      </w:r>
    </w:p>
    <w:p w:rsidR="00163957" w:rsidRDefault="00163957" w:rsidP="00163957">
      <w:pPr>
        <w:pStyle w:val="TextoNormal"/>
      </w:pPr>
    </w:p>
    <w:p w:rsidR="00163957" w:rsidRDefault="00163957" w:rsidP="00163957">
      <w:pPr>
        <w:pStyle w:val="TextoNormal"/>
      </w:pPr>
      <w:r>
        <w:t>Critica además el razonamiento del órgano proponente sobre la incongruencia de la medida, al no imponerse a todos los operadores de televisión, y afirma que es justamente esa reducción de los destinatarios la que hace a la norma coherente y apropiada, pues se conecta y vincula, y a la postre justifica, por los contenidos y programación del operador. Recuerda que no es éste el titular del espectro radioeléctrico, sino el Estado, y que es éste quien tiene legitimidad para defender su derecho, pudiendo imponer por ello una obligación como la controvertida por el Tribunal Supremo.</w:t>
      </w:r>
    </w:p>
    <w:p w:rsidR="00163957" w:rsidRDefault="00163957" w:rsidP="00163957">
      <w:pPr>
        <w:pStyle w:val="TextoNormal"/>
      </w:pPr>
    </w:p>
    <w:p w:rsidR="00163957" w:rsidRDefault="00163957" w:rsidP="00163957">
      <w:pPr>
        <w:pStyle w:val="TextoNormal"/>
      </w:pPr>
      <w:r w:rsidRPr="00163957">
        <w:rPr>
          <w:rStyle w:val="NumeroAFNegritaCaracter"/>
        </w:rPr>
        <w:t>13</w:t>
      </w:r>
      <w:r>
        <w:t>. Por providencia de 1 de marzo de 2016 se acordó señalar para deliberación y votación de la presente Sentencia el día 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Sala Tercera de lo Contencioso-Administrativo del Tribunal Supremo cuestiona la constitucionalidad del art. 5.1, párrafo segundo, de la Ley 25/1994, de 12 de julio, en la redacción temporalmente aplicable al recurso contencioso-administrativo que debe resolver, que proviene de la disposición adicional segunda de la Ley 15/2001, de 9 de julio.</w:t>
      </w:r>
    </w:p>
    <w:p w:rsidR="00163957" w:rsidRDefault="00163957" w:rsidP="00163957">
      <w:pPr>
        <w:pStyle w:val="TextoNormal"/>
      </w:pPr>
    </w:p>
    <w:p w:rsidR="00163957" w:rsidRDefault="00163957" w:rsidP="00163957">
      <w:pPr>
        <w:pStyle w:val="TextoNormal"/>
      </w:pPr>
      <w:r>
        <w:t xml:space="preserve">El tenor del precepto ha quedado recogido en el antecedente 1 de esta Sentencia. Resumidamente, se trata de la norma que impone a ciertos operadores de televisión —en concreto, a los que tengan la responsabilidad editorial de canales cuya programación incluya largometrajes cinematográficos de producción actual, producto que también define el propio </w:t>
      </w:r>
      <w:r>
        <w:lastRenderedPageBreak/>
        <w:t>precepto legal como aquellos que tengan una antigüedad menor de siete años desde su fecha de producción— la obligación de destinar un mínimo del 5 por 100 de la cifra total de ingresos devengados en el ejercicio anterior a la financiación anticipada de largometrajes y cortometrajes cinematográficos y películas para televisión europeas, y que a su vez reserva el 60 por 100 de ese 5 por 100 a producciones cuya lengua original sea cualquiera de las oficiales en España.</w:t>
      </w:r>
    </w:p>
    <w:p w:rsidR="00163957" w:rsidRDefault="00163957" w:rsidP="00163957">
      <w:pPr>
        <w:pStyle w:val="TextoNormal"/>
      </w:pPr>
    </w:p>
    <w:p w:rsidR="00163957" w:rsidRDefault="00163957" w:rsidP="00163957">
      <w:pPr>
        <w:pStyle w:val="TextoNormal"/>
      </w:pPr>
      <w:r>
        <w:t>Para la Sala cuestionante la citada obligación pudiera ser contraria a la libertad de empresa garantizada en el art. 38 CE, por no superar el canon de proporcionalidad a que deben someterse las restricciones de la libertad de empresa como las de cualquier otro derecho constitucional, de conformidad con la doctrina de este Tribunal (cita en este sentido la STC 112/2006, de 5 de abril, también sobre el sector audiovisual, FJ 8). Esta conclusión no la comparten el Gobierno de la Nación ni el Fiscal General del Estado, partes necesarias en las cuestiones de inconstitucionalidad (art. 37.3 de la Ley Orgánica del Tribunal Constitucional: LOTC), ni tampoco la entidad de gestión de derechos de los productores audiovisuales, que siendo parte en el proceso contencioso-administrativo seguido ante la Sala Tercera del Tribunal Supremo en cuyo seno se planteó la presente cuestión de inconstitucionalidad, ha comparecido y formulado alegaciones en este proceso constitucional, al amparo del art. 37.2 LOTC.</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adentrarnos en el examen del debate de fondo suscitado, debemos detenernos en analizar la trascendencia que para este proceso constitucional haya podido tener la derogación expresa tanto del precepto legal cuestionado como de la norma reglamentaria recurrida en el proceso a quo, por si una u otra pudieran hacer ya innecesario el pronunciamiento de este Tribunal Constitucional sobre el fondo de la controversia.</w:t>
      </w:r>
    </w:p>
    <w:p w:rsidR="00163957" w:rsidRDefault="00163957" w:rsidP="00163957">
      <w:pPr>
        <w:pStyle w:val="TextoNormal"/>
      </w:pPr>
    </w:p>
    <w:p w:rsidR="00163957" w:rsidRDefault="00163957" w:rsidP="00163957">
      <w:pPr>
        <w:pStyle w:val="TextoNormal"/>
      </w:pPr>
      <w:r>
        <w:t>Efectivamente, la Ley 7/2010, de 31 de marzo, general de la comunicación audiovisual ha derogado expresamente tanto la Ley 25/1994 en que formalmente se integra el precepto cuestionado como la Ley 15/2001 de la que proviene su redacción material aplicable en el proceso a quo, y objeto de la presente cuestión de inconstitucionalidad (disposición derogatoria, apartados 6 y 12). Sin embargo, la citada derogación no ha supuesto la supresión de la obligación de inversión cuestionada, pues la Ley general de la comunicación audiovisual ha reiterado esta obligación de inversión de los operadores de televisión en obras audiovisuales europeas en su art. 5.3, si bien con algunas modificaciones que no afectan a sus elementos esenciales.</w:t>
      </w:r>
    </w:p>
    <w:p w:rsidR="00163957" w:rsidRDefault="00163957" w:rsidP="00163957">
      <w:pPr>
        <w:pStyle w:val="TextoNormal"/>
      </w:pPr>
    </w:p>
    <w:p w:rsidR="00163957" w:rsidRDefault="00163957" w:rsidP="00163957">
      <w:pPr>
        <w:pStyle w:val="TextoNormal"/>
      </w:pPr>
      <w:r>
        <w:t xml:space="preserve">A su vez, el reglamento que desarrollaba esa obligación legal, aprobado por Real Decreto 1652/2004, de 9 de julio, que es la disposición impugnada en el proceso seguido ante la Sala de lo Contencioso-Administrativo del Tribunal Supremo en cuyo seno se ha planteado la presente cuestión de inconstitucionalidad, ha sido también derogado, recientemente, por el Real Decreto 988/2015, de 30 de octubre, por el que se regula el régimen jurídico de la obligación de financiación anticipada de determinadas obras audiovisuales europeas, publicado en el “Boletín Oficial del Estado” núm. 267, de 7 de noviembre de 2015, y que entró en vigor al día siguiente de su publicación, según su disposición final cuarta. Si bien, como en el caso anterior, esa derogación no ha eliminado tampoco la obligación de inversión de cuya constitucionalidad se duda (lógicamente, pues esta obligación es reiterada por la nueva Ley general de la comunicación audiovisual y sigue vigente, de acuerdo con su art. 5.3 ya </w:t>
      </w:r>
      <w:r>
        <w:lastRenderedPageBreak/>
        <w:t>mencionado), sino que solamente ha supuesto la modificación de algunos aspectos de su desarrollo reglamentario.</w:t>
      </w:r>
    </w:p>
    <w:p w:rsidR="00163957" w:rsidRDefault="00163957" w:rsidP="00163957">
      <w:pPr>
        <w:pStyle w:val="TextoNormal"/>
      </w:pPr>
    </w:p>
    <w:p w:rsidR="00163957" w:rsidRDefault="00163957" w:rsidP="00163957">
      <w:pPr>
        <w:pStyle w:val="TextoNormal"/>
      </w:pPr>
      <w:r>
        <w:t xml:space="preserve">Pues bien, por lo que hace a la primera derogación, la del precepto legal objeto de la presente cuestión de inconstitucionalidad, la misma no es determinante de la pérdida de objeto de este proceso, pues como este Tribunal ha reiterado, a diferencia de lo que ocurre con los recursos de inconstitucionalidad,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w:t>
      </w:r>
      <w:r w:rsidRPr="00163957">
        <w:rPr>
          <w:i/>
        </w:rPr>
        <w:t>a quo</w:t>
      </w:r>
      <w:r>
        <w:t xml:space="preserve"> y de su validez dependa la decisión a adoptar en el mismo” (STC 37/2004, de 11 de marzo, FJ 1, y jurisprudencia allí citada). Y más en concreto, en aquellos casos en que la cuestión de inconstitucionalidad se plantea en el seno de un recurso directo contra un reglamento ante la jurisdicción contencioso-administrativa (arts. 106.1 CE y 1.1, 25.1 y 26.1 LJCA), como aquí sucede, este Tribunal también ha recordado que como “el contraste de la disposición reglamentaria impugnada en el proceso judicial ha de realizarse con el precepto legal vigente en aquel momento”, ello hace que “perviv[a] el objeto de la presente cuestión de inconstitucionalidad, dado que la derogación, con sus efectos </w:t>
      </w:r>
      <w:r w:rsidRPr="00163957">
        <w:rPr>
          <w:i/>
        </w:rPr>
        <w:t>ex nunc</w:t>
      </w:r>
      <w:r>
        <w:t>, no es equivalente a una hipotética declaración de nulidad, cuyos efectos se proyectan, al menos en vía de principio, hacia el pasado” (SSTC 117/2011, de 4 de julio, FJ 2, y 73/2014, de 8 de mayo, FJ 2).</w:t>
      </w:r>
    </w:p>
    <w:p w:rsidR="00163957" w:rsidRDefault="00163957" w:rsidP="00163957">
      <w:pPr>
        <w:pStyle w:val="TextoNormal"/>
      </w:pPr>
    </w:p>
    <w:p w:rsidR="00163957" w:rsidRDefault="00163957" w:rsidP="00163957">
      <w:pPr>
        <w:pStyle w:val="TextoNormal"/>
      </w:pPr>
      <w:r>
        <w:t xml:space="preserve">De la misma manera, la segunda derogación apuntada, la del reglamento recurrido en el proceso </w:t>
      </w:r>
      <w:r w:rsidRPr="00163957">
        <w:rPr>
          <w:i/>
        </w:rPr>
        <w:t>a quo</w:t>
      </w:r>
      <w:r>
        <w:t xml:space="preserve">, tampoco puede hacer perder su objeto a esta cuestión de inconstitucionalidad. No solo porque como ya hemos señalado los efectos de la derogación del reglamento sean diferentes de los que podrían derivarse de una eventual declaración de nulidad acordada en el proceso a quo; nulidad que podría derivar de la inconstitucionalidad de la obligación legal que el reglamento desarrolla, que es lo planteado por la Sala Tercera del Tribunal Supremo. Es que además el nuevo reglamento no elimina tampoco la obligación de inversión de cuya constitucionalidad se duda. Y al no eliminar estas modificaciones normativas, ni la de la ley ni la del reglamento, el aspecto controvertido tanto en el proceso </w:t>
      </w:r>
      <w:r w:rsidRPr="00163957">
        <w:rPr>
          <w:i/>
        </w:rPr>
        <w:t>a quo</w:t>
      </w:r>
      <w:r>
        <w:t xml:space="preserve"> como en este proceso constitucional, ello hace que subsista el objeto de esta cuestión de inconstitucionalidad.</w:t>
      </w:r>
    </w:p>
    <w:p w:rsidR="00163957" w:rsidRDefault="00163957" w:rsidP="00163957">
      <w:pPr>
        <w:pStyle w:val="TextoNormal"/>
      </w:pPr>
    </w:p>
    <w:p w:rsidR="00163957" w:rsidRDefault="00163957" w:rsidP="00163957">
      <w:pPr>
        <w:pStyle w:val="TextoNormal"/>
      </w:pPr>
      <w:r>
        <w:t xml:space="preserve">En el ATC 23/2013, de 29 de enero, FJ 4, hemos admitido que efectivamente una cuestión de inconstitucionalidad puede extinguirse por desaparición sobrevenida de su objeto como consecuencia de la derogación de la norma reglamentaria objeto de recurso directo en el proceso </w:t>
      </w:r>
      <w:r w:rsidRPr="00163957">
        <w:rPr>
          <w:i/>
        </w:rPr>
        <w:t>a quo</w:t>
      </w:r>
      <w:r>
        <w:t xml:space="preserve"> si el reglamento no conserva ningún género de ultraactividad (tal y como exige la jurisprudencia de la Sala Tercera del Tribunal Supremo para declarar la extinción de esta clase de procesos) y la cuestión de inconstitucionalidad se formula contra la norma legal de cobertura (así, por ejemplo, STC 147/2012, de 5 de julio). En tales casos “ninguna utilidad tendría ya un pronunciamiento de este Tribunal para un proceso judicial extinguido”. Ahora bien, según matizamos inmediatamente “el examen que este Tribunal debe realizar sobre la posible extinción del proceso judicial ordinario debe ser de evidencias y a los solos fines de la admisibilidad de la cuestión planteada, sin sustituir al órgano judicial en la aplicación e interpretación de la legalidad ordinaria”, de modo que “sólo si la pérdida de objeto del procedimiento judicial ordinario es clara y manifiesta, puede este Tribunal declarar la extinción de la cuestión de inconstitucionalidad por esta razón”.</w:t>
      </w:r>
    </w:p>
    <w:p w:rsidR="00163957" w:rsidRDefault="00163957" w:rsidP="00163957">
      <w:pPr>
        <w:pStyle w:val="TextoNormal"/>
      </w:pPr>
    </w:p>
    <w:p w:rsidR="00163957" w:rsidRDefault="00163957" w:rsidP="00163957">
      <w:pPr>
        <w:pStyle w:val="TextoNormal"/>
      </w:pPr>
      <w:r>
        <w:lastRenderedPageBreak/>
        <w:t xml:space="preserve">Pues bien, en este caso, al igual que sucedió en el resuelto en el citado ATC 23/2013, no se dan las condiciones requeridas para que este Tribunal pueda afirmar la pérdida de objeto del proceso </w:t>
      </w:r>
      <w:r w:rsidRPr="00163957">
        <w:rPr>
          <w:i/>
        </w:rPr>
        <w:t>a quo</w:t>
      </w:r>
      <w:r>
        <w:t xml:space="preserve">. Como ya se ha dicho, la obligación de inversión de cuya constitucionalidad se duda subsiste en la nueva y vigente Ley general de la comunicación audiovisual. Y además, esa obligación legal vigente que desarrollan los dos reglamentos sucesivos (el derogado y el hoy vigente) ni es de cumplimiento instantáneo, ni tiene por qué agotarse necesariamente en el ejercicio al que se imputa el gasto (cfr. arts. 8 del Real Decreto 1652/2004, de 9 de julio, y 20 y 21 del Real Decreto 988/2015, de 30 de octubre). Por consiguiente, no puede descartarse </w:t>
      </w:r>
      <w:r w:rsidRPr="00163957">
        <w:rPr>
          <w:i/>
        </w:rPr>
        <w:t>prima facie</w:t>
      </w:r>
      <w:r>
        <w:t xml:space="preserve"> cierta ultraactividad del primero.</w:t>
      </w:r>
    </w:p>
    <w:p w:rsidR="00163957" w:rsidRDefault="00163957" w:rsidP="00163957">
      <w:pPr>
        <w:pStyle w:val="TextoNormal"/>
      </w:pPr>
    </w:p>
    <w:p w:rsidR="00163957" w:rsidRDefault="00163957" w:rsidP="00163957">
      <w:pPr>
        <w:pStyle w:val="TextoNormal"/>
      </w:pPr>
      <w:r>
        <w:t xml:space="preserve">En consecuencia, y con independencia de lo que pueda resolver la Sala Tercera en el ejercicio de su jurisdicción (art. 117.3 CE), no compete a este Tribunal anticipar la posible pérdida de objeto del proceso contencioso-administrativo </w:t>
      </w:r>
      <w:r w:rsidRPr="00163957">
        <w:rPr>
          <w:i/>
        </w:rPr>
        <w:t>a quo</w:t>
      </w:r>
      <w:r>
        <w:t>. Procede, en consecuencia, entrar a resolver la cuestión de inconstitucionalidad suscitada.</w:t>
      </w:r>
    </w:p>
    <w:p w:rsidR="00163957" w:rsidRDefault="00163957" w:rsidP="00163957">
      <w:pPr>
        <w:pStyle w:val="TextoNormal"/>
      </w:pPr>
    </w:p>
    <w:p w:rsidR="00163957" w:rsidRDefault="00163957" w:rsidP="00163957">
      <w:pPr>
        <w:pStyle w:val="TextoNormal"/>
      </w:pPr>
      <w:r w:rsidRPr="00163957">
        <w:rPr>
          <w:rStyle w:val="NumeroAFNegritaCaracter"/>
        </w:rPr>
        <w:t>3</w:t>
      </w:r>
      <w:r>
        <w:t>. En esta tarea, hemos de partir de una constatación fundamental no cuestionada por nadie, ni por el órgano proponente ni por las partes comparecidas, pero que resulta imprescindible para el desarrollo de nuestro análisis, y es que la imposición a un empresario de la obligación de invertir cierta parte de los ingresos obtenidos por su actividad en un determinado producto afecta o incide en la libertad de empresa constitucionalmente garantizada (art. 38 CE). Efectivamente, según tiene declarado este Tribunal, el mencionado derecho incluye como una de sus vertientes fundamentales no solo la libertad para crear una empresa y actuar en el mercado, sino también, por lo que aquí importa, la libertad para fijar los objetivos y planificar la actividad de esa empresa en atención a los recursos y a las condiciones del mercado [SSTC 96/2013, de 23 de abril, FJ 6; 112/2006, de 5 de abril, FJ 8, y 225/1993, de 8 de julio, FJ 3 b)], lo que comprende la “libertad de inversión” en expresión utilizada por la ya citada STC 112/2006, FJ 4, de donde la toma el Auto de planteamiento.</w:t>
      </w:r>
    </w:p>
    <w:p w:rsidR="00163957" w:rsidRDefault="00163957" w:rsidP="00163957">
      <w:pPr>
        <w:pStyle w:val="TextoNormal"/>
      </w:pPr>
    </w:p>
    <w:p w:rsidR="00163957" w:rsidRDefault="00163957" w:rsidP="00163957">
      <w:pPr>
        <w:pStyle w:val="TextoNormal"/>
      </w:pPr>
      <w:r>
        <w:t>Ahora bien, también es jurisprudencia de este Tribunal que la libertad de empresa “no es un derecho absoluto e incondicionado” y que su vigencia no resulta comprometida por el hecho de que existan limitaciones a su ejercicio derivadas de las “reglas que disciplinen, proporcionada y razonablemente, el mercado”, como han recordado entre las más recientes las SSTC 108/2014, de 26 de junio, FJ 3, y 53/2014, de 10 de abril, FJ 7, y muchas otras desde la STC 127/1994, de 5 de mayo, dictada precisamente en el recurso interpuesto contra la Ley de televisión privada de 3 de mayo de 1988 [FJ 6 d)]. Porque del art. 38 CE no puede derivarse sin más “el derecho a acometer cualquier empresa” o a ejercerla sin traba ni limitación de ningún tipo, “sino sólo el [derecho] de iniciar y sostener en libertad la actividad empresarial, cuyo ejercicio está disciplinado por normas de muy distinto orden” (STC 83/1984, de 24 de julio, FJ 3), o lo que es lo mismo, a ejercer esa actividad “con plena sujeción a la normativa sobre ordenación del mercado y de la actividad económica general” (STC 135/2012, de 19 de junio, FJ 5, y las allí citadas).</w:t>
      </w:r>
    </w:p>
    <w:p w:rsidR="00163957" w:rsidRDefault="00163957" w:rsidP="00163957">
      <w:pPr>
        <w:pStyle w:val="TextoNormal"/>
      </w:pPr>
    </w:p>
    <w:p w:rsidR="00163957" w:rsidRDefault="00163957" w:rsidP="00163957">
      <w:pPr>
        <w:pStyle w:val="TextoNormal"/>
      </w:pPr>
      <w:r w:rsidRPr="00163957">
        <w:rPr>
          <w:rStyle w:val="NumeroAFNegritaCaracter"/>
        </w:rPr>
        <w:t>4</w:t>
      </w:r>
      <w:r>
        <w:t>. Constatada la afectación de la medida cuestionada a la libertad de empresa constitucionalmente garantizada, procede plantearse seguidamente qué condiciones deben cumplir esa clase de afectaciones para ser respetuosas con el art. 38 CE.</w:t>
      </w:r>
    </w:p>
    <w:p w:rsidR="00163957" w:rsidRDefault="00163957" w:rsidP="00163957">
      <w:pPr>
        <w:pStyle w:val="TextoNormal"/>
      </w:pPr>
    </w:p>
    <w:p w:rsidR="00163957" w:rsidRDefault="00163957" w:rsidP="00163957">
      <w:pPr>
        <w:pStyle w:val="TextoNormal"/>
      </w:pPr>
      <w:r>
        <w:lastRenderedPageBreak/>
        <w:t>El Auto de planteamiento propone su control desde el parámetro del principio de proporcionalidad. Efectivamente, desde la STC 66/1991, de 22 de marzo, este Tribunal ha empleado este canon de constitucionalidad, así explicado en la STC 66/1991 citada, FJ 2:</w:t>
      </w:r>
    </w:p>
    <w:p w:rsidR="00163957" w:rsidRDefault="00163957" w:rsidP="00163957">
      <w:pPr>
        <w:pStyle w:val="TextoNormal"/>
      </w:pPr>
    </w:p>
    <w:p w:rsidR="00163957" w:rsidRDefault="00163957" w:rsidP="00163957">
      <w:pPr>
        <w:pStyle w:val="TextoNormal"/>
      </w:pPr>
      <w:r>
        <w:t>“[D]esde sus primeras resoluciones (STC 26/1981, fundamento jurídico 15), ha venido a decir el Tribunal que, no siendo los derechos que la Constitución reconoce garantías absolutas, las restricciones a que puedan quedar sometidos son tolerables siempre que sean proporcionadas, de modo que, por adecuadas, contribuyan a la consecución del fin constitucionalmente legítimo al que propendan, y, por indispensables, hayan de ser inevitablemente preferidas a otras que pudieran suponer, para la esfera de libertad protegida, un sacrificio menor.</w:t>
      </w:r>
    </w:p>
    <w:p w:rsidR="00163957" w:rsidRDefault="00163957" w:rsidP="00163957">
      <w:pPr>
        <w:pStyle w:val="TextoNormal"/>
      </w:pPr>
    </w:p>
    <w:p w:rsidR="00163957" w:rsidRDefault="00163957" w:rsidP="00163957">
      <w:pPr>
        <w:pStyle w:val="TextoNormal"/>
      </w:pPr>
      <w:r>
        <w:t>De esta forma, para ponderar la constitucionalidad de la prohibición impugnada, tanto en lo que se refiere a la libre circulación de bienes como en lo que atañe a la libertad de empresa y el derecho a la propiedad privada … es preciso efectuar un juicio de proporcionalidad, en el que, además del objetivo que al establecerla se persigue y comprobando la legitimidad constitucional del mismo, se verifique también la relación de causalidad y necesidad que con él debe guardar la prohibición en cuanto medio ordenado para hacerlo posible.”.</w:t>
      </w:r>
    </w:p>
    <w:p w:rsidR="00163957" w:rsidRDefault="00163957" w:rsidP="00163957">
      <w:pPr>
        <w:pStyle w:val="TextoNormal"/>
      </w:pPr>
    </w:p>
    <w:p w:rsidR="00163957" w:rsidRDefault="00163957" w:rsidP="00163957">
      <w:pPr>
        <w:pStyle w:val="TextoNormal"/>
      </w:pPr>
      <w:r>
        <w:t>Sin embargo, este test de proporcionalidad se ha aplicado solamente a regulaciones que pueden afectar al acceso al mercado, al comienzo en el ejercicio de la actividad (vgr. la caducidad de las autorizaciones de farmacia, STC 109/2003, de 5 de junio, FJ 15) o a regulaciones autonómicas que pueden introducir desigualdad en las condiciones de ejercicio de una actividad empresarial (STC 96/2013, de 23 de abril, FJ 7, con cita de otras). Pero cuando se trata de regulaciones que “afectan al ejercicio de una actividad empresarial, sin afectar al propio acceso a la misma”, como ocurre en este caso, el canon de constitucionalidad empleado por la jurisprudencia de este Tribunal es algo diferente, pues solamente permite verificar si esas medidas son “constitucionalmente adecuadas”, esto es, si la medida cuestionada “constituye una medida adecuada para la consecución de un fin constitucionalmente legítimo, sin que le corresponda a este Tribunal ir más allá, pues ello supondría fiscalizar la oportunidad de una concreta elección del legislador, de una legítima opción política” (STC 53/2014, de 10 de abril, FJ 7).</w:t>
      </w:r>
    </w:p>
    <w:p w:rsidR="00163957" w:rsidRDefault="00163957" w:rsidP="00163957">
      <w:pPr>
        <w:pStyle w:val="TextoNormal"/>
      </w:pPr>
    </w:p>
    <w:p w:rsidR="00163957" w:rsidRDefault="00163957" w:rsidP="00163957">
      <w:pPr>
        <w:pStyle w:val="TextoNormal"/>
      </w:pPr>
      <w:r>
        <w:t>De este modo, y en aplicación de la precedente doctrina, la medida aquí cuestionada, que afecta al desarrollo de la actividad empresarial pero no al acceso a la misma, y tampoco entraña ninguna desigualdad entre operadores, debe someterse solamente al doble escrutinio siguiente: en primer lugar, debe comprobarse si el fin perseguido por ella es constitucionalmente legítimo; y en segundo lugar, caso de superarse este primer examen, debe verificarse además si la medida es adecuada para la consecución de ese objetivo.</w:t>
      </w:r>
    </w:p>
    <w:p w:rsidR="00163957" w:rsidRDefault="00163957" w:rsidP="00163957">
      <w:pPr>
        <w:pStyle w:val="TextoNormal"/>
      </w:pPr>
    </w:p>
    <w:p w:rsidR="00163957" w:rsidRDefault="00163957" w:rsidP="00163957">
      <w:pPr>
        <w:pStyle w:val="TextoNormal"/>
      </w:pPr>
      <w:r w:rsidRPr="00163957">
        <w:rPr>
          <w:rStyle w:val="NumeroAFNegritaCaracter"/>
        </w:rPr>
        <w:t>5</w:t>
      </w:r>
      <w:r>
        <w:t>. a) Por lo que respecta al primero de esos requisitos, nadie ha puesto en duda la legitimidad constitucional del fin perseguido. Sin embargo, ello no debe ser óbice para que este Tribunal Constitucional entre a verificar su concurrencia.</w:t>
      </w:r>
    </w:p>
    <w:p w:rsidR="00163957" w:rsidRDefault="00163957" w:rsidP="00163957">
      <w:pPr>
        <w:pStyle w:val="TextoNormal"/>
      </w:pPr>
    </w:p>
    <w:p w:rsidR="00163957" w:rsidRDefault="00163957" w:rsidP="00163957">
      <w:pPr>
        <w:pStyle w:val="TextoNormal"/>
      </w:pPr>
      <w:r>
        <w:t>El cine es, entre otras cosas, una manifestación cultural. La vinculación entre el cine y la cultura está ya establecida desde el mismo preámbulo de la Ley 55/2007, de 28 de diciembre, del cine, que en sus primeras líneas pone de manifiesto que “[l]a actividad cinemato</w:t>
      </w:r>
      <w:r>
        <w:lastRenderedPageBreak/>
        <w:t>gráfica y audiovisual conforma un sector estratégico de nuestra cultura y de nuestra economía”, constituye una “manifestación artística y expresión creativa” que “es un elemento básico de la entidad cultural de un país”, y contribuye “al mantenimiento de la diversidad cultural” de España, siendo todos ellos “elementos suficientes para que el Estado establezca las medidas necesarias para su fomento y promoción”. Por consiguiente, la protección de esta manifestación cultural tiene expreso anclaje en los arts. 20.3 (pluralismo de los medios de comunicación social dependientes del Estado o de cualquier ente público), 44 (derecho a la cultura) y 149.2 CE, que considera el servicio de la cultura como “deber y atribución esencial” del Estado, así como en el art. 46 CE en lo tocante al enriquecimiento del patrimonio cultural de los pueblos de España (recuérdese la reserva del 60 por ciento de la cantidad total comprometida por la norma para la financiación de “producciones cuya lengua original sea cualquiera de las oficiales en España”).</w:t>
      </w:r>
    </w:p>
    <w:p w:rsidR="00163957" w:rsidRDefault="00163957" w:rsidP="00163957">
      <w:pPr>
        <w:pStyle w:val="TextoNormal"/>
      </w:pPr>
    </w:p>
    <w:p w:rsidR="00163957" w:rsidRDefault="00163957" w:rsidP="00163957">
      <w:pPr>
        <w:pStyle w:val="TextoNormal"/>
      </w:pPr>
      <w:r>
        <w:t>Además, y por lo que respecta a las obras europeas, y no solo españolas, que son las que la norma cuestionada intenta proteger y promocionar, es asimismo incuestionable que por medio o a través de ellas se consigue la conformación y aprehensión de las identidades europeas, tanto las comunes o compartidas, como las singulares de cada Estado de la Unión, y que ello favorece el logro de “una unión cada vez más estrecha entre los pueblos de Europa”, que es el fin primordial del proceso de integración europea consagrado en el preámbulo y en el art. 1 del Tratado de la Unión Europea. Y que, por ello, es un fin de indudable interés para España como partícipe de ese proceso de integración.</w:t>
      </w:r>
    </w:p>
    <w:p w:rsidR="00163957" w:rsidRDefault="00163957" w:rsidP="00163957">
      <w:pPr>
        <w:pStyle w:val="TextoNormal"/>
      </w:pPr>
    </w:p>
    <w:p w:rsidR="00163957" w:rsidRDefault="00163957" w:rsidP="00163957">
      <w:pPr>
        <w:pStyle w:val="TextoNormal"/>
      </w:pPr>
      <w:r>
        <w:t>De un modo más específico, desde el Tratado de Maastricht, que introdujo el entonces art. 128 del Tratado constitutivo de la Comunidad Europea, actual art. 167 del Tratado de funcionamiento de la Unión Europea (TFUE), la cultura se ha convertido en una de las políticas de la Unión, que debe contribuir “al florecimiento de las culturas de los Estados miembros, dentro del respeto a su diversidad nacional y regional, poniendo de relieve al mismo tiempo el patrimonio cultural común” (apartado 1) y favorecer “la mejora del conocimiento y la difusión de la cultura y la historia de los pueblos europeos” (apartado 2), complementando de este modo las actuaciones que deben desarrollar prioritariamente los Estados miembros, de acuerdo con el art. 6 c) del mismo TFUE.</w:t>
      </w:r>
    </w:p>
    <w:p w:rsidR="00163957" w:rsidRDefault="00163957" w:rsidP="00163957">
      <w:pPr>
        <w:pStyle w:val="TextoNormal"/>
      </w:pPr>
    </w:p>
    <w:p w:rsidR="00163957" w:rsidRDefault="00163957" w:rsidP="00163957">
      <w:pPr>
        <w:pStyle w:val="TextoNormal"/>
      </w:pPr>
      <w:r>
        <w:t>De todo ello resulta la legitimidad constitucional del fin perseguido por la norma, tanto en lo que se refiere a la promoción de la industria cinematográfica y audiovisual española, como en lo que se refiere a la del resto de países europeos (con implícita exclusión de otras).</w:t>
      </w:r>
    </w:p>
    <w:p w:rsidR="00163957" w:rsidRDefault="00163957" w:rsidP="00163957">
      <w:pPr>
        <w:pStyle w:val="TextoNormal"/>
      </w:pPr>
    </w:p>
    <w:p w:rsidR="00163957" w:rsidRDefault="00163957" w:rsidP="00163957">
      <w:pPr>
        <w:pStyle w:val="TextoNormal"/>
      </w:pPr>
      <w:r>
        <w:t>En este sentido, la protección de esta industria, española y europea, frente a poderosos competidores externos (no europeos) no puede merecer tampoco ningún reproche, desde esta perspectiva constitucional.</w:t>
      </w:r>
    </w:p>
    <w:p w:rsidR="00163957" w:rsidRDefault="00163957" w:rsidP="00163957">
      <w:pPr>
        <w:pStyle w:val="TextoNormal"/>
      </w:pPr>
    </w:p>
    <w:p w:rsidR="00163957" w:rsidRDefault="00163957" w:rsidP="00163957">
      <w:pPr>
        <w:pStyle w:val="TextoNormal"/>
      </w:pPr>
      <w:r>
        <w:t>b) Tampoco puede dudarse de la adecuación de la medida cuya constitucionalidad se cuestiona al fin perseguido por la norma. La inversión forzosa, impuesta por la ley, de cierta cantidad de dinero cada año en la financiación de películas y obras audiovisuales españolas y europeas, cuyo componente cultural ya hemos destacado, evidentemente contribuye a promocionar la cultura y la identidad e identidades europea/s y española/s ínsita en esas obras.</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Lo que antecede fundamenta ya la desestimación de la presente cuestión de inconstitucionalidad. No obstante, resulta pertinente efectuar alguna precisión adicional teniendo en </w:t>
      </w:r>
      <w:r>
        <w:lastRenderedPageBreak/>
        <w:t xml:space="preserve">cuenta que la presente cuestión de inconstitucionalidad se ha visto precedida por una cuestión prejudicial ante el Tribunal de Justicia de la Unión Europea planteada por el mismo órgano jurisdiccional (la Sala Tercera del Tribunal Supremo) en el curso del mismo procedimiento (recurso contencioso-administrativo núm. 104-2004) y en relación con la misma medida ahora cuestionada (la obligación de los operadores de televisión de invertir cierta parte de sus ingresos en determinadas obras audiovisuales). Una cuestión prejudicial que fue desestimada por el Tribunal de Justicia por considerar que la mencionada obligación es compatible con el Derecho de la Unión, y más en concreto con las libertades fundamentales consagradas en el Tratado fundacional (Sentencia del Tribunal de Justicia de la Unión Europea de 5 de marzo de 2009, asunto C-222/07, </w:t>
      </w:r>
      <w:r w:rsidRPr="00163957">
        <w:rPr>
          <w:i/>
        </w:rPr>
        <w:t>UTECA</w:t>
      </w:r>
      <w:r>
        <w:t>).</w:t>
      </w:r>
    </w:p>
    <w:p w:rsidR="00163957" w:rsidRDefault="00163957" w:rsidP="00163957">
      <w:pPr>
        <w:pStyle w:val="TextoNormal"/>
      </w:pPr>
    </w:p>
    <w:p w:rsidR="00163957" w:rsidRDefault="00163957" w:rsidP="00163957">
      <w:pPr>
        <w:pStyle w:val="TextoNormal"/>
      </w:pPr>
      <w:r>
        <w:t>Obviamente, la desestimación de una cuestión prejudicial planteada ante el Tribunal de Justicia de la Unión Europea no impide el planteamiento de una cuestión de inconstitucionalidad ante este Tribunal Constitucional en relación con el mismo precepto legal, pues una y otra jurisdicción tienen ámbitos diferentes (por todas, STC 28/1991, de 14 de febrero, FFJJ 4 a 6), ni condiciona el pronunciamiento de este Tribunal en esa cuestión de inconstitucionalidad. Ahora bien, tratándose de limitaciones a la libertad de empresa, la pertenencia de España a un espacio de libre circulación de personas, servicios y capitales, como es la Unión Europea, y la conformidad de la medida cuestionada con esas libertades y principios apreciada por el Tribunal de Luxemburgo, hace que esta jurisdicción constitucional deba tener muy presentes las conclusiones alcanzadas por este último en ese proceso anterior sobre la misma medida ahora sometida a nuestro control, al haber sido esa medida contrastada en ese proceso anterior con normas que en última instancia persiguen preservar el mismo interés jurídicamente protegido en el art. 38 CE.</w:t>
      </w:r>
    </w:p>
    <w:p w:rsidR="00163957" w:rsidRDefault="00163957" w:rsidP="00163957">
      <w:pPr>
        <w:pStyle w:val="TextoNormal"/>
      </w:pPr>
    </w:p>
    <w:p w:rsidR="00163957" w:rsidRDefault="00163957" w:rsidP="00163957">
      <w:pPr>
        <w:pStyle w:val="TextoNormal"/>
      </w:pPr>
      <w:r>
        <w:t xml:space="preserve">Ello hace que resulte de especial interés para este proceso constitucional destacar las siguientes manifestaciones efectuadas por el Tribunal de Justicia en la aludida Sentencia </w:t>
      </w:r>
      <w:r w:rsidRPr="00163957">
        <w:rPr>
          <w:i/>
        </w:rPr>
        <w:t>UTECA</w:t>
      </w:r>
      <w:r>
        <w:t>:</w:t>
      </w:r>
    </w:p>
    <w:p w:rsidR="00163957" w:rsidRDefault="00163957" w:rsidP="00163957">
      <w:pPr>
        <w:pStyle w:val="TextoNormal"/>
      </w:pPr>
    </w:p>
    <w:p w:rsidR="00163957" w:rsidRDefault="00163957" w:rsidP="00163957">
      <w:pPr>
        <w:pStyle w:val="TextoNormal"/>
      </w:pPr>
      <w:r>
        <w:t>a) Que la obligación impuesta “a los operadores de televisión a destinar el 5 por 100 de sus ingresos de explotación a la financiación anticipada de películas cinematográficas y para televisión europeas … no contiene ningún elemento que permita afirmar que tal medida constituye, en la práctica, una restricción a alguna de las libertades fundamentales garantizadas por el Tratado” (apartado 22).</w:t>
      </w:r>
    </w:p>
    <w:p w:rsidR="00163957" w:rsidRDefault="00163957" w:rsidP="00163957">
      <w:pPr>
        <w:pStyle w:val="TextoNormal"/>
      </w:pPr>
    </w:p>
    <w:p w:rsidR="00163957" w:rsidRDefault="00163957" w:rsidP="00163957">
      <w:pPr>
        <w:pStyle w:val="TextoNormal"/>
      </w:pPr>
      <w:r>
        <w:t>b) Que, por su parte, “la obligación de destinar a obras cuya lengua original sea una de las lenguas oficiales de [España] el 60 por 100 del 5 por 100 de los ingresos de explotación destinados a la financiación anticipada de películas cinematográficas y de televisión europeas” sí constituye “una restricción a varias libertades fundamentales, concretamente, a la libre prestación de servicios, a la libertad de establecimiento, a la libre circulación de capitales y a la libre circulación de trabajadores” (apartado 25). Sin embargo, se trata de una restricción compatible con el Derecho de la Unión en la medida en que está “justificada por una razón imperiosa de interés general” consistente en “promover una o varias de sus lenguas oficiales” (apartado 27), es “adecuada para garantizar la consecución de tal objetivo” (apartado 29) y no va “más allá de lo necesario para alcanzar el citado objetivo”, de acuerdo con lo razonado a este respecto en los apartados 30 a 36 de la mencionada Sentencia.</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7</w:t>
      </w:r>
      <w:r>
        <w:t>. Por todo ello, es obligado concluir que la disposición cuestionada cumple las condiciones a que deben someterse las regulaciones que afectan al ejercicio de la actividad empresarial. Y ello conduce directamente a la desestimación de la presente cuestión de inconstitucionalidad.</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la presente cuestión de inconstitucionalidad.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tres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39" w:name="SENTENCIA_2016_36"/>
      <w:r>
        <w:lastRenderedPageBreak/>
        <w:t>SENTENCIA 36/2016, de 3 de marzo de 2016</w:t>
      </w:r>
    </w:p>
    <w:bookmarkEnd w:id="39"/>
    <w:p w:rsidR="00163957" w:rsidRDefault="00163957" w:rsidP="00163957">
      <w:pPr>
        <w:pStyle w:val="TtuloResolucin"/>
      </w:pPr>
      <w:r>
        <w:t>Pleno</w:t>
      </w:r>
    </w:p>
    <w:p w:rsidR="00163957" w:rsidRDefault="00163957" w:rsidP="00163957">
      <w:pPr>
        <w:pStyle w:val="TtuloBOE"/>
      </w:pPr>
      <w:r>
        <w:t>(BOE núm. 85, de 8 de abril de 2016)</w:t>
      </w:r>
    </w:p>
    <w:p w:rsidR="00163957" w:rsidRDefault="00163957" w:rsidP="00163957">
      <w:pPr>
        <w:pStyle w:val="TextoNormalCentrado"/>
      </w:pPr>
      <w:r>
        <w:t>ECLI:ES:TC:2016:36</w:t>
      </w:r>
    </w:p>
    <w:p w:rsidR="00163957" w:rsidRDefault="00163957" w:rsidP="00163957">
      <w:pPr>
        <w:pStyle w:val="TextoNormalCentrado"/>
      </w:pPr>
    </w:p>
    <w:p w:rsidR="00163957" w:rsidRDefault="00163957" w:rsidP="00163957">
      <w:pPr>
        <w:pStyle w:val="SntesisDescriptiva"/>
      </w:pPr>
      <w:r>
        <w:t>Recurso de inconstitucionalidad 5763-2012. Interpuesto por el Parlamento de Navarra en relación con diversos preceptos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Competencias sobre condiciones básicas de igualdad y asistencia social; autonomía financiera de Navarra: constitucionalidad de las disposiciones legales estatales relativas a la ayuda domiciliaria, y régimen de compatibilidad de prestaciones (STC 18/2016).</w:t>
      </w:r>
    </w:p>
    <w:p w:rsidR="00163957" w:rsidRDefault="00163957" w:rsidP="00163957">
      <w:pPr>
        <w:pStyle w:val="SntesisAnaltica"/>
      </w:pPr>
    </w:p>
    <w:p w:rsidR="00163957" w:rsidRDefault="00163957" w:rsidP="00163957">
      <w:pPr>
        <w:pStyle w:val="Extracto"/>
      </w:pPr>
      <w:r>
        <w:t>1.</w:t>
      </w:r>
      <w:r>
        <w:tab/>
        <w:t>Las cuestiones planteadas en el presente procedimiento deben reputarse resueltas por la doctrina establecida en el STC 18/2016, relativa a la distribución de competencias en materia de horarios comerciales y comercio minorista [FJ 2].</w:t>
      </w:r>
    </w:p>
    <w:p w:rsidR="00163957" w:rsidRDefault="00163957" w:rsidP="00163957">
      <w:pPr>
        <w:pStyle w:val="Extracto"/>
      </w:pPr>
    </w:p>
    <w:p w:rsidR="00163957" w:rsidRDefault="00163957" w:rsidP="00163957">
      <w:pPr>
        <w:pStyle w:val="Extracto"/>
      </w:pPr>
      <w:r>
        <w:t>2.</w:t>
      </w:r>
      <w:r>
        <w:tab/>
        <w:t>No se ha vulnerado la autonomía financiera de Navarra, pues el régimen especial del convenio económico es fundamentalmente un régimen evolutivo dentro de la Constitución y no al margen de ella; de manera que debemos descartar que el régimen de convenio suponga una excepción al marco competencial en materia de atención a la dependencia (STC 171/2014) [FJ 3].</w:t>
      </w:r>
    </w:p>
    <w:p w:rsidR="00163957" w:rsidRDefault="00163957" w:rsidP="00163957">
      <w:pPr>
        <w:pStyle w:val="Extracto"/>
      </w:pPr>
    </w:p>
    <w:p w:rsidR="00163957" w:rsidRDefault="00163957" w:rsidP="00163957">
      <w:pPr>
        <w:pStyle w:val="Extracto"/>
      </w:pPr>
      <w:r>
        <w:t>3.</w:t>
      </w:r>
      <w:r>
        <w:tab/>
        <w:t>Doctrina sobre la naturaleza, contenido y límites del régimen foral (SSTC 148/2006, 207/2013, 208/2012, 148/2006, 110/2014, 110/2014, 171/2014, 148/2006)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inconstitucionalidad núm. 5763-2012 promovido por el Parlamento de Navarra contra los arts. 22.8 y 22.9, disposición transitoria décima, apartado primero de la disposición transitoria duodécima y párrafo tercero de la disposición final cuarta del Real Decreto-ley 20/2012, de 13 de julio, de medidas para garantizar la estabilidad presupuestaria y de fomento de la competitividad. Ha comparecido y formulado alegaciones el Abogado </w:t>
      </w:r>
      <w:r>
        <w:lastRenderedPageBreak/>
        <w:t>del Estado. Ha sido Ponente el Magistrado don Santiago Martínez-Vares García,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15 de octubre de 2012, la Letrada del Parlamento de Navarra, en la representación que legalmente ostenta, promueve recurso de inconstitucionalidad contra los arts. 22.8 y 22.9, disposición transitoria décima, apartado primero de la disposición transitoria duodécima y párrafo tercero de la disposición final cuarta del Real Decreto-ley 20/2012, de 13 de julio, de medidas para garantizar la estabilidad presupuestaria y de fomento de la competitividad.</w:t>
      </w:r>
    </w:p>
    <w:p w:rsidR="00163957" w:rsidRDefault="00163957" w:rsidP="00163957">
      <w:pPr>
        <w:pStyle w:val="TextoNormal"/>
      </w:pPr>
    </w:p>
    <w:p w:rsidR="00163957" w:rsidRDefault="00163957" w:rsidP="00163957">
      <w:pPr>
        <w:pStyle w:val="TextoNormal"/>
      </w:pPr>
      <w:r>
        <w:t>El recurso se fundamenta en los motivos que se exponen a continuación.</w:t>
      </w:r>
    </w:p>
    <w:p w:rsidR="00163957" w:rsidRDefault="00163957" w:rsidP="00163957">
      <w:pPr>
        <w:pStyle w:val="TextoNormal"/>
      </w:pPr>
    </w:p>
    <w:p w:rsidR="00163957" w:rsidRDefault="00163957" w:rsidP="00163957">
      <w:pPr>
        <w:pStyle w:val="TextoNormal"/>
      </w:pPr>
      <w:r>
        <w:t xml:space="preserve">La Letrada del Parlamento de Navarra alude en primer lugar al contenido del Real Decreto-ley 20/2012, recogiendo lo afirmado en la exposición de motivos acerca de la necesidad de adoptar “medidas de racionalización de la situación de dependencia”. El recurso parte de admitir la competencia del Estado para adoptar esas medidas de racionalización a partir de lo regulado en la Ley 39/2006, de 14 de diciembre, de promoción de la autonomía personal y atención a las personas en situación de dependencia. Señala que las mismas han de respetar las competencias exclusivas de la Comunidad Foral en materia de asistencia social, pues la competencia estatal </w:t>
      </w:r>
      <w:r w:rsidRPr="00163957">
        <w:rPr>
          <w:i/>
        </w:rPr>
        <w:t>ex</w:t>
      </w:r>
      <w:r>
        <w:t xml:space="preserve"> art. 149.1.1 CE se debe extender solamente a los aspectos organizativos e institucionales que se consideren indispensables para la garantía de la igualdad en el disfrute del derecho de las personas en situación de dependencia.</w:t>
      </w:r>
    </w:p>
    <w:p w:rsidR="00163957" w:rsidRDefault="00163957" w:rsidP="00163957">
      <w:pPr>
        <w:pStyle w:val="TextoNormal"/>
      </w:pPr>
    </w:p>
    <w:p w:rsidR="00163957" w:rsidRDefault="00163957" w:rsidP="00163957">
      <w:pPr>
        <w:pStyle w:val="TextoNormal"/>
      </w:pPr>
      <w:r>
        <w:t xml:space="preserve">En el examen de las citadas medidas de racionalización y su repercusión en el sistema competencial del régimen foral navarro, hace una breve descripción de los contenidos y objetivos perseguidos por la Ley de promoción de la autonomía personal y atención a las personas en situación de dependencia, así como de la distribución de competencias entre el Estado y la Comunidad Foral en la materia, recalcando el carácter exclusivo de la competencia de Navarra en materia de asistencia social, y destacando la existencia de una asistencia social interna al sistema de seguridad social y de competencia estatal y otra asistencia social externa de competencia de las Comunidades Autónomas. Por ello concluye que se trata de una materia en la que concurren —y se complementan— las acciones estatales y autonómicas. Alude a continuación a la competencia estatal para regular las condiciones básicas garantizadoras de la igualdad en el ejercicio de los derechos constitucionales del art. 149.1.1 CE, que es el título que fundamenta la adopción de las medidas impugnadas. Al respecto señala que va a seguir como criterios interpretativos los que derivan de la STC 61/1997, de 20 de marzo, destacando que se trata de una habilitación al Estado para intervenir en la regulación de un derecho constitucional y sin perjuicio de que éste se proyecte sobre ámbitos materiales reservados a las Comunidades Autónomas. En cuanto a su objeto, lo son los derechos constitucionales en sentido estricto, así como los deberes básicos, sin que la doctrina constitucional haya rechazado expresamente su incidencia sobre derechos derivados de los principios rectores de la política social y económica del capítulo III del título I CE. Se trata, en todo caso, de una competencia de carácter normativo y no de ejecución que tampoco puede identificarse con las “bases” o la “legislación básica” y que ha de </w:t>
      </w:r>
      <w:r>
        <w:lastRenderedPageBreak/>
        <w:t>limitarse a la ordenación de las condiciones básicas, referidas al contenido primario del derecho, sin que esa regulación pueda contener mandatos a las Comunidades Autónomas ni entrar en la regulación de su política sectorial. De lo anterior concluye que, a pesar de que la Ley Orgánica 13/1982, de 10 de agosto, de reintegración y amejoramiento del régimen foral de Navarra (LORAFNA), califique de exclusiva la competencia, no es óbice para que el Estado pueda regular las condiciones básicas que garanticen la igualdad en el disfrute del derecho de las personas en situación de dependencia, si bien, por “condiciones básicas” se debe entender exclusivamente las que se refieren tanto a la delimitación del contenido del derecho como la regulación de otros aspectos institucionales y organizativos que se consideren indispensables para la mencionada garantía de igualdad.</w:t>
      </w:r>
    </w:p>
    <w:p w:rsidR="00163957" w:rsidRDefault="00163957" w:rsidP="00163957">
      <w:pPr>
        <w:pStyle w:val="TextoNormal"/>
      </w:pPr>
    </w:p>
    <w:p w:rsidR="00163957" w:rsidRDefault="00163957" w:rsidP="00163957">
      <w:pPr>
        <w:pStyle w:val="TextoNormal"/>
      </w:pPr>
      <w:r>
        <w:t xml:space="preserve">En cuanto a las causas concretas de inconstitucionalidad que se imputan a los preceptos impugnados, la demanda argumenta que exceden de las competencias estatales e impiden a las Comunidades Autónomas determinar las prioridades de su acción política, en consideración a su propia situación general y en ejercicio de su competencia exclusiva. Conforme a este criterio, la Letrada del Parlamento Foral considera que el inciso: “Estos servicios sólo podrán prestarse conjuntamente con los señalados en el apartado anterior” de la redacción dada por el art. 22.8 del Real Decreto-ley 20/20122 al art. 23 de la Ley de promoción de la autonomía personal y atención a las personas en situación de dependencia, en cuanto impone la prestación conjunta del servicio de atención doméstica con el servicio de atención personal, conlleva una limitación en la prestación que impide su mejora, impidiendo así el desarrollo de las competencias autonómica para establecer niveles de protección adicionales. Por su parte el nuevo art. 25 </w:t>
      </w:r>
      <w:r w:rsidRPr="00163957">
        <w:rPr>
          <w:i/>
        </w:rPr>
        <w:t>bis</w:t>
      </w:r>
      <w:r>
        <w:t xml:space="preserve"> de la Ley de promoción de la autonomía personal y atención a las personas en situación de dependencia , introducido por el art. 22.9 del Real Decreto-ley 20/2012, establece una regla general de incompatibilidad de prestaciones y servicios que supera lo que puede entenderse por “condiciones básicas” a las que alude el art. 149.1.1 CE así como impide cualquier tipo de mejora autonómica, contraponiéndose a la regulación de la Comunidad Foral en la materia. Por similares razones se cuestionan las disposiciones transitorias décima y apartado primero de la duodécima, en cuanto que, en ambos casos, se regulan por el legislador estatal unas cuantías e intensidades máximas que son de obligado cumplimiento para las Comunidades Autónomas y les impide la posibilidad de mejora de la prestación mediante niveles de protección adicionales. Finalmente se recurre el párrafo tercero de la disposición final cuarta en cuanto que cita el art. 149.1.1 CE como título en el que se amparan las normas impugnadas.</w:t>
      </w:r>
    </w:p>
    <w:p w:rsidR="00163957" w:rsidRDefault="00163957" w:rsidP="00163957">
      <w:pPr>
        <w:pStyle w:val="TextoNormal"/>
      </w:pPr>
    </w:p>
    <w:p w:rsidR="00163957" w:rsidRDefault="00163957" w:rsidP="00163957">
      <w:pPr>
        <w:pStyle w:val="TextoNormal"/>
      </w:pPr>
      <w:r>
        <w:t>Un segundo motivo de inconstitucionalidad, circunscrito a la disposición transitoria décima y al apartado primero de la duodécima, se refiere a la vulneración de la particularidad de la Comunidad Foral respecto a la financiación del sistema de dependencia y la aplicación del nivel de protección a la dependencia que se implanta mediante acuerdos entre el Estado y las Comunidades Autónomas, pues, en el caso de Navarra, su financiación en este supuesto está sometida a un régimen peculiar que ahora sería vulnerado. A lo anterior añade una segunda tacha de inconstitucionalidad por “vulneración del sistema de pacto reconocido en las relaciones entre la Administración del Estado y la Comunidad Foral de Navarra recogido expresamente en el artículo 64 de la LORAFNA, como manifestación de la tradicional naturaleza de pacto del régimen foral”.</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2</w:t>
      </w:r>
      <w:r>
        <w:t>. Por providencia de 13 de noviembre de 2012 el Pleno, a propuesta de la Sección Tercera, acordó admitir a trámite el recurso de inconstitucionalidad promovido por el Parlamento de Navarra y, en su representación y defensa, por la Letrada del mismo, contra los arts. 22.8 y 22.9, disposición transitoria décima, apartado primero de la disposición transitoria duodécima y párrafo tercero de la disposición final cuarta del Real Decreto-Ley 20/2012, de 13 de julio, de medidas para garantizar la estabilidad presupuestaria y de fomento de la competitividad;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y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registrado el 19 de noviembre de 2012 la Abogada del Estado se personó en nombre del Gobierno solicitando una prórroga en el plazo inicialmente concedido para la formulación de alegaciones, prórroga que le fue concedida por providencia del Pleno de 20 de noviembre de 2012.</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escrito registrado con fecha 23 de noviembre de 2012 el Presidente del Congreso de los Diputados comunicó el acuerdo de la Mesa de la Cámara de personarse en el procedimiento y ofrecer su colaboración a los efectos del art. 88.1 LOTC. Lo mismo hizo el Presidente del Senado por escrito que tuvo entrada en este Tribunal el día 28 de noviembre de 2012.</w:t>
      </w:r>
    </w:p>
    <w:p w:rsidR="00163957" w:rsidRDefault="00163957" w:rsidP="00163957">
      <w:pPr>
        <w:pStyle w:val="TextoNormal"/>
      </w:pPr>
    </w:p>
    <w:p w:rsidR="00163957" w:rsidRDefault="00163957" w:rsidP="00163957">
      <w:pPr>
        <w:pStyle w:val="TextoNormal"/>
      </w:pPr>
      <w:r w:rsidRPr="00163957">
        <w:rPr>
          <w:rStyle w:val="NumeroAFNegritaCaracter"/>
        </w:rPr>
        <w:t>5</w:t>
      </w:r>
      <w:r>
        <w:t>. Las alegaciones presentadas por la Abogada del Estado interesando la desestimación del recurso fueron registradas en este Tribunal el día 17 de diciembre de 2012.</w:t>
      </w:r>
    </w:p>
    <w:p w:rsidR="00163957" w:rsidRDefault="00163957" w:rsidP="00163957">
      <w:pPr>
        <w:pStyle w:val="TextoNormal"/>
      </w:pPr>
    </w:p>
    <w:p w:rsidR="00163957" w:rsidRDefault="00163957" w:rsidP="00163957">
      <w:pPr>
        <w:pStyle w:val="TextoNormal"/>
      </w:pPr>
      <w:r>
        <w:t>Se refiere en primer lugar al objeto y fundamento del recurso señalando que todos los preceptos impugnados contienen medidas de racionalización del sistema de dependencia adoptadas para contribuir a la finalidad de garantizar la estabilidad presupuestaria. La Abogada del Estado describe los objetivos y el contenido de la Ley de promoción de la autonomía personal y atención a las personas en situación de dependencia, para a continuación examinar los títulos competenciales estatales y su delimitación en relación con la atención a las situaciones de dependencia. Así, recuerda la doctrina constitucional en materia de asistencia social y en relación con el art. 149.1.1 CE respecto a los mandatos de los principios rectores de los arts. 41, 49 y 50 CE. Alude también al art. 149.1.17 CE que atribuye al Estado competencias en materia de Seguridad Social, recordando la doctrina constitucional al respecto que entiende aquí aplicable por cuanto se supera la simple asistencia social y se ha diseñado un sistema completo de apoyo de la dependencia de carácter universal que evoluciona en el sentido de garantizar las mayores coberturas posibles. Finalmente menciona el art. 149.1.13 CE en la medida en que las normas impugnadas persiguen la racionalización del gasto público en relación con la dependencia.</w:t>
      </w:r>
    </w:p>
    <w:p w:rsidR="00163957" w:rsidRDefault="00163957" w:rsidP="00163957">
      <w:pPr>
        <w:pStyle w:val="TextoNormal"/>
      </w:pPr>
    </w:p>
    <w:p w:rsidR="00163957" w:rsidRDefault="00163957" w:rsidP="00163957">
      <w:pPr>
        <w:pStyle w:val="TextoNormal"/>
      </w:pPr>
      <w:r>
        <w:t xml:space="preserve">La Abogada del Estado defiende la constitucionalidad de los preceptos impugnados del modo siguiente. Respecto al art. 22.8, que modifica el art. 23 de la Ley de promoción de la autonomía personal y atención a las personas en situación de dependencia, en lo relativo a la vinculación de los servicios de atención personal en la realización de actividades de la </w:t>
      </w:r>
      <w:r>
        <w:lastRenderedPageBreak/>
        <w:t>vida diaria con los de ayuda a domicilio, resalta que la vinculación entre ambos es una medida que, además de perseguir una homogeneidad en los servicios que reciban las personas dependientes (art. 149.1.1 CE) evitará desigualdades entre Comunidades Autónomas y supondrá sin duda un ahorro. En todo caso resalta que la correcta prestación de unos y otros servicios continúa asegurada ya que, según exige el tenor del precepto recurrido, habrá de llevarse por “entidades o empresas, acreditadas para esta función”. Por otra parte argumenta que la constitucionalidad del art. 23 resulta también de una lectura detallada de la regulación que contiene el texto legal en esta materia relativa a la valoración de la situación de dependencia y el procedimiento para su reconocimiento, pues la medida y evaluación de la dependencia se realiza en función de la discapacidad o dificultad para desempeñar tareas personales y del grado de ayuda o apoyo necesario, y en el procedimiento de valoración habrá de considerarse el grado de limitaciones y la necesidad de ayuda y atención a la persona requerida. En ese sentido si bien la resolución administrativa que reconozca la situación de dependencia determinará también los servicios o prestaciones que corresponden al solicitante según el grado de dependencia, dichos servicios han de concretarse en el programa individual de atención a establecer por los servicios autonómicos.</w:t>
      </w:r>
    </w:p>
    <w:p w:rsidR="00163957" w:rsidRDefault="00163957" w:rsidP="00163957">
      <w:pPr>
        <w:pStyle w:val="TextoNormal"/>
      </w:pPr>
    </w:p>
    <w:p w:rsidR="00163957" w:rsidRDefault="00163957" w:rsidP="00163957">
      <w:pPr>
        <w:pStyle w:val="TextoNormal"/>
      </w:pPr>
      <w:r>
        <w:t xml:space="preserve">Sobre el art. 22.9 señala que el régimen de incompatibilidades es una medida de naturaleza económica dictada por el Estado al amparo del art. 149.1.13 CE que constituye también una normación de mínimos de intensidad y compatibilidad de las prestaciones </w:t>
      </w:r>
      <w:r w:rsidRPr="00163957">
        <w:rPr>
          <w:i/>
        </w:rPr>
        <w:t>ex</w:t>
      </w:r>
      <w:r>
        <w:t xml:space="preserve"> arts. 149.1.1 y 149.1.17 CE, que deja margen de desarrollo a las Comunidades Autónomas. Respecto a la disposición transitoria décima y al apartado primero de la disposición transitoria duodécima alega que se trata de medidas vinculadas con la disminución del déficit público siendo imprescindibles para garantizar la estabilidad del sistema. Finalmente descarta la inconstitucionalidad de la disposición final cuarta indicando que se trata de una impugnación llamada a seguir la suerte de los preceptos impugnados, añadiendo que la incorrección o la omisión en la invocación de los títulos competenciales no constituye un vicio de inconstitucionalidad. De esta forma, la falta de mención expresa, junto al art. 149.1.1 CE, de los números 13 y 17 del art. 149.1 CE que legitiman al Estado para dictar las medidas impugnadas no puede convertirse en argumento para declarar la inconstitucionalidad de la disposición impugnada.</w:t>
      </w:r>
    </w:p>
    <w:p w:rsidR="00163957" w:rsidRDefault="00163957" w:rsidP="00163957">
      <w:pPr>
        <w:pStyle w:val="TextoNormal"/>
      </w:pPr>
    </w:p>
    <w:p w:rsidR="00163957" w:rsidRDefault="00163957" w:rsidP="00163957">
      <w:pPr>
        <w:pStyle w:val="TextoNormal"/>
      </w:pPr>
      <w:r>
        <w:t>En cuanto a la vulneración de la autonomía financiera de Navarra y la ruptura del sistema pactista de colaboración con el Estado la Abogada del Estado cita la doctrina constitucional que ha declarado de aplicación a Navarra de las limitaciones de gasto establecidas por el Estado, indicando además que las medidas impugnadas nada tienen que ver con el sistema de convenio económico que afecta fundamentalmente a los ingresos de la Comunidad Foral.</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1 de marzo de 2016 se señaló para deliberación y votación de la presente Sentencia el día 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La presente resolución tiene por objeto resolver el recurso de inconstitucionalidad interpuesto por el Parlamento de Navarra contra los arts. 22.8 y 22.9, disposición transitoria décima, apartado primero de la disposición transitoria duodécima y párrafo tercero de la </w:t>
      </w:r>
      <w:r>
        <w:lastRenderedPageBreak/>
        <w:t>disposición final cuarta del Real Decreto-Ley 20/2012, de 13 de julio, de medidas para garantizar la estabilidad presupuestaria y de fomento de la competitividad.</w:t>
      </w:r>
    </w:p>
    <w:p w:rsidR="00163957" w:rsidRDefault="00163957" w:rsidP="00163957">
      <w:pPr>
        <w:pStyle w:val="TextoNormal"/>
      </w:pPr>
    </w:p>
    <w:p w:rsidR="00163957" w:rsidRDefault="00163957" w:rsidP="00163957">
      <w:pPr>
        <w:pStyle w:val="TextoNormal"/>
      </w:pPr>
      <w:r>
        <w:t>Como se ha dejado constancia en los antecedentes, la representación procesal del Parlamento de Navarra considera que el Estado se ha extralimitado en sus competencias pues el art. 149.1.1 CE, en el que se funda la intervención estatal en la configuración del sistema de atención a la dependencia, no ampararía los preceptos impugnados, relativos todos ellos a modificaciones en el régimen de las prestaciones de dicho sistema. Por el contrario, se vulnerarían las competencias de la Comunidad Foral en materia de asistencia social del art. 44.17 de la Ley Orgánica 13/1982, de 10 de agosto, de reintegración y amejoramiento del régimen foral de Navarra (LORAFNA). Por otra parte, específicamente a las reglas de la disposición transitoria décima y al apartado primero de la disposición transitoria duodécima, les reprocha la afectación a la autonomía financiera de la Comunidad Foral expresada en el sistema de convenio económico que rige las relaciones con el Estado. La Abogada del Estado ha negado las vulneraciones denunciadas señalando que, además del art. 149.1.1 CE, las competencias estatales de los arts. 149.1.13 y 17 CE fundamentarían las normas impugnadas.</w:t>
      </w:r>
    </w:p>
    <w:p w:rsidR="00163957" w:rsidRDefault="00163957" w:rsidP="00163957">
      <w:pPr>
        <w:pStyle w:val="TextoNormal"/>
      </w:pPr>
    </w:p>
    <w:p w:rsidR="00163957" w:rsidRDefault="00163957" w:rsidP="00163957">
      <w:pPr>
        <w:pStyle w:val="TextoNormal"/>
      </w:pPr>
      <w:r>
        <w:t>Durante la pendencia del proceso se ha modificado uno de los preceptos impugnados, el art. 22.8 que, a su vez, daba nueva redacción al art. 23 de la Ley 39/2006, de 14 de diciembre, de promoción de la autonomía personal y atención a las personas en situación de dependencia. La disposición final decimosexta de la Ley 17/2012, de 27 de diciembre, de presupuestos generales del Estado para 2013, añadió un nuevo párrafo a este art. 23 de la Ley de promoción de la autonomía personal y atención a las personas en situación de dependencia, que no altera los términos en los que la controversia se planteó, centrada en la obligatoriedad de la prestación conjunta de determinados servicios del último inciso del apartado b) del citado art. 23.</w:t>
      </w:r>
    </w:p>
    <w:p w:rsidR="00163957" w:rsidRDefault="00163957" w:rsidP="00163957">
      <w:pPr>
        <w:pStyle w:val="TextoNormal"/>
      </w:pPr>
    </w:p>
    <w:p w:rsidR="00163957" w:rsidRDefault="00163957" w:rsidP="00163957">
      <w:pPr>
        <w:pStyle w:val="TextoNormal"/>
      </w:pPr>
      <w:r w:rsidRPr="00163957">
        <w:rPr>
          <w:rStyle w:val="NumeroAFNegritaCaracter"/>
        </w:rPr>
        <w:t>2</w:t>
      </w:r>
      <w:r>
        <w:t>. Este Tribunal se ha pronunciado ya sobre la delimitación de competencias en relación con la Ley de promoción de la autonomía personal y atención a las personas en situación de dependencia en la STC 18/2016, de 4 de febrero, FFJJ 7 y 8, a los cuales debemos atenernos ahora en la resolución de la controversia competencial que aquí se plantea.</w:t>
      </w:r>
    </w:p>
    <w:p w:rsidR="00163957" w:rsidRDefault="00163957" w:rsidP="00163957">
      <w:pPr>
        <w:pStyle w:val="TextoNormal"/>
      </w:pPr>
    </w:p>
    <w:p w:rsidR="00163957" w:rsidRDefault="00163957" w:rsidP="00163957">
      <w:pPr>
        <w:pStyle w:val="TextoNormal"/>
      </w:pPr>
      <w:r>
        <w:t>Así, por lo que hace al encuadramiento competencial de las cuestiones discutidas en el presente recurso, la citada STC 18/2016, FJ 7, señaló que la Ley de promoción de la autonomía personal y atención a las personas en situación de dependencia encaja materialmente en el ámbito de la “asistencia social”, siendo el art. 149.1.1 CE el título competencial estatal más específico, dada la materia a la que se refiere la cuestión aquí discutida relacionada con el marco normativo a través del cual se van a reconocer derechos subjetivos de contenido prestacional en relación con la atención a la situación de dependencia, y descartando, en consecuencia la aplicación de los arts. 149.1.13 y 149.1.17 CE. Conforme a dicho encuadramiento competencial, derivado del art. 149.1.1 CE en relación con el 44.17 LORAFNA relativo a las competencias de la Comunidad Foral en materia de asistencia social, debemos resolver esta impugnación.</w:t>
      </w:r>
    </w:p>
    <w:p w:rsidR="00163957" w:rsidRDefault="00163957" w:rsidP="00163957">
      <w:pPr>
        <w:pStyle w:val="TextoNormal"/>
      </w:pPr>
    </w:p>
    <w:p w:rsidR="00163957" w:rsidRDefault="00163957" w:rsidP="00163957">
      <w:pPr>
        <w:pStyle w:val="TextoNormal"/>
      </w:pPr>
      <w:r>
        <w:t>Sentado lo anterior, procede comenzar el examen de los preceptos recurridos, remitiéndonos, en lo procedente, a lo ya declarado en la STC 18/2016.</w:t>
      </w:r>
    </w:p>
    <w:p w:rsidR="00163957" w:rsidRDefault="00163957" w:rsidP="00163957">
      <w:pPr>
        <w:pStyle w:val="TextoNormal"/>
      </w:pPr>
    </w:p>
    <w:p w:rsidR="00163957" w:rsidRDefault="00163957" w:rsidP="00163957">
      <w:pPr>
        <w:pStyle w:val="TextoNormal"/>
      </w:pPr>
      <w:r>
        <w:lastRenderedPageBreak/>
        <w:t>a) El art. 22.8 da nueva redacción al art. 23 de la Ley de promoción de la autonomía personal y atención a las personas en situación de dependencia  en los términos siguientes:</w:t>
      </w:r>
    </w:p>
    <w:p w:rsidR="00163957" w:rsidRDefault="00163957" w:rsidP="00163957">
      <w:pPr>
        <w:pStyle w:val="TextoNormal"/>
      </w:pPr>
    </w:p>
    <w:p w:rsidR="00163957" w:rsidRDefault="00163957" w:rsidP="00163957">
      <w:pPr>
        <w:pStyle w:val="TextoNormal"/>
      </w:pPr>
      <w:r>
        <w:t>“Artículo 23. Servicio de Ayuda a Domicilio.</w:t>
      </w:r>
    </w:p>
    <w:p w:rsidR="00163957" w:rsidRDefault="00163957" w:rsidP="00163957">
      <w:pPr>
        <w:pStyle w:val="TextoNormal"/>
      </w:pPr>
    </w:p>
    <w:p w:rsidR="00163957" w:rsidRDefault="00163957" w:rsidP="00163957">
      <w:pPr>
        <w:pStyle w:val="TextoNormal"/>
      </w:pPr>
      <w:r>
        <w:t>El servicio de ayuda a domicilio lo constituye el conjunto de actuaciones llevadas a cabo en el domicilio de las personas en situación de dependencia con el fin de atender sus necesidades de la vida diaria, prestadas por entidades o empresas, acreditadas para esta función, y podrán ser los siguientes:</w:t>
      </w:r>
    </w:p>
    <w:p w:rsidR="00163957" w:rsidRDefault="00163957" w:rsidP="00163957">
      <w:pPr>
        <w:pStyle w:val="TextoNormal"/>
      </w:pPr>
    </w:p>
    <w:p w:rsidR="00163957" w:rsidRDefault="00163957" w:rsidP="00163957">
      <w:pPr>
        <w:pStyle w:val="TextoNormal"/>
      </w:pPr>
      <w:r>
        <w:t>a) Servicios relacionados con la atención personal en la realización de las actividades de la vida diaria.</w:t>
      </w:r>
    </w:p>
    <w:p w:rsidR="00163957" w:rsidRDefault="00163957" w:rsidP="00163957">
      <w:pPr>
        <w:pStyle w:val="TextoNormal"/>
      </w:pPr>
    </w:p>
    <w:p w:rsidR="00163957" w:rsidRDefault="00163957" w:rsidP="00163957">
      <w:pPr>
        <w:pStyle w:val="TextoNormal"/>
      </w:pPr>
      <w:r>
        <w:t>b) Servicios relacionados con la atención de las necesidades domésticas o del hogar: limpieza, lavado, cocina u otros. Estos servicios sólo podrán prestarse conjuntamente con los señalados en el apartado anterior.”</w:t>
      </w:r>
    </w:p>
    <w:p w:rsidR="00163957" w:rsidRDefault="00163957" w:rsidP="00163957">
      <w:pPr>
        <w:pStyle w:val="TextoNormal"/>
      </w:pPr>
    </w:p>
    <w:p w:rsidR="00163957" w:rsidRDefault="00163957" w:rsidP="00163957">
      <w:pPr>
        <w:pStyle w:val="TextoNormal"/>
      </w:pPr>
      <w:r>
        <w:t>La Letrada del Parlamento de Navarra cuestiona únicamente el inciso “[e]stos servicios sólo podrán prestarse conjuntamente con los señalados en el apartado anterior” del art. 23 b) de la Ley de promoción de la autonomía personal y atención a las personas en situación de dependencia.</w:t>
      </w:r>
    </w:p>
    <w:p w:rsidR="00163957" w:rsidRDefault="00163957" w:rsidP="00163957">
      <w:pPr>
        <w:pStyle w:val="TextoNormal"/>
      </w:pPr>
    </w:p>
    <w:p w:rsidR="00163957" w:rsidRDefault="00163957" w:rsidP="00163957">
      <w:pPr>
        <w:pStyle w:val="TextoNormal"/>
      </w:pPr>
      <w:r>
        <w:t>Esta impugnación ha de ser desestimada, pues “es posible apreciar que con la regulación del art. 23 de la Ley de promoción de la autonomía personal y atención a las personas en situación de dependencia el Estado pretende de este modo que existan las mismas modalidades de protección a las personas en situación de dependencia regulando la doble dimensión del servicio de ayuda a domicilio y expresando un criterio de preferencia de unos servicios, los relacionados con la atención personal en la realización de las actividades de la vida diaria, frente a los relativos a la atención de las necesidades domésticas o del hogar de manera que no puedan prestarse los unos sin los otros. Así, en la medida en que con ello el legislador estatal perfila los rasgos de uno de los servicios del Sistema de atención a la dependencia, actúa dentro del margen que le otorga el art. 149.1.1 CE, al definir los posibles contenidos del derecho de las personas en situación de dependencia, garantizando así una igualdad mínima en su regulación. La decisión estatal no excluye ni que las Comunidades Autónomas puedan establecer servicios adicionales (art. 8.2 del Real Decreto 1051/2013, de 27 de diciembre, por el que se regulan las prestaciones del Sistema para la autonomía y atención a la dependencia, establecidas en la Ley de promoción de la autonomía personal y atención a las personas en situación de dependencia ) ni que puedan excepcionalmente decidir que se prestan de forma separada (último inciso del art. 23 de la Ley de promoción de la autonomía personal y atención a las personas en situación de dependencia y art. 8.5 del Real Decreto 1051/2013)” [STC 18/2016, FJ 8 c) ii)].</w:t>
      </w:r>
    </w:p>
    <w:p w:rsidR="00163957" w:rsidRDefault="00163957" w:rsidP="00163957">
      <w:pPr>
        <w:pStyle w:val="TextoNormal"/>
      </w:pPr>
    </w:p>
    <w:p w:rsidR="00163957" w:rsidRDefault="00163957" w:rsidP="00163957">
      <w:pPr>
        <w:pStyle w:val="TextoNormal"/>
      </w:pPr>
      <w:r>
        <w:t xml:space="preserve">b) El art. 22.9 introduce un nuevo art. 25 </w:t>
      </w:r>
      <w:r w:rsidRPr="00163957">
        <w:rPr>
          <w:i/>
        </w:rPr>
        <w:t>bis</w:t>
      </w:r>
      <w:r>
        <w:t xml:space="preserve"> en la Ley de promoción de la autonomía personal y atención a las personas en situación de dependencia con la siguiente redacción:</w:t>
      </w:r>
    </w:p>
    <w:p w:rsidR="00163957" w:rsidRDefault="00163957" w:rsidP="00163957">
      <w:pPr>
        <w:pStyle w:val="TextoNormal"/>
      </w:pPr>
    </w:p>
    <w:p w:rsidR="00163957" w:rsidRDefault="00163957" w:rsidP="00163957">
      <w:pPr>
        <w:pStyle w:val="TextoNormal"/>
      </w:pPr>
      <w:r>
        <w:t xml:space="preserve">"Artículo 25 </w:t>
      </w:r>
      <w:r w:rsidRPr="00163957">
        <w:rPr>
          <w:i/>
        </w:rPr>
        <w:t>bis</w:t>
      </w:r>
      <w:r>
        <w:t>. Régimen de incompatibilidad de las prestaciones.</w:t>
      </w:r>
    </w:p>
    <w:p w:rsidR="00163957" w:rsidRDefault="00163957" w:rsidP="00163957">
      <w:pPr>
        <w:pStyle w:val="TextoNormal"/>
      </w:pPr>
    </w:p>
    <w:p w:rsidR="00163957" w:rsidRDefault="00163957" w:rsidP="00163957">
      <w:pPr>
        <w:pStyle w:val="TextoNormal"/>
      </w:pPr>
      <w:r>
        <w:lastRenderedPageBreak/>
        <w:t>1. Las prestaciones económicas serán incompatibles entre sí y con los servicios del catálogo establecidos en el artículo 15, salvo con los servicios de prevención de las situaciones de dependencia, de promoción de la autonomía personal y de teleasistencia.</w:t>
      </w:r>
    </w:p>
    <w:p w:rsidR="00163957" w:rsidRDefault="00163957" w:rsidP="00163957">
      <w:pPr>
        <w:pStyle w:val="TextoNormal"/>
      </w:pPr>
    </w:p>
    <w:p w:rsidR="00163957" w:rsidRDefault="00163957" w:rsidP="00163957">
      <w:pPr>
        <w:pStyle w:val="TextoNormal"/>
      </w:pPr>
      <w:r>
        <w:t>2. Los servicios serán incompatibles entre sí, a excepción del servicio de teleasistencia que será compatible con el servicio de prevención de las situaciones de dependencia, de promoción de la autonomía personal, de ayuda a domicilio y de centro de día y de noche.</w:t>
      </w:r>
    </w:p>
    <w:p w:rsidR="00163957" w:rsidRDefault="00163957" w:rsidP="00163957">
      <w:pPr>
        <w:pStyle w:val="TextoNormal"/>
      </w:pPr>
    </w:p>
    <w:p w:rsidR="00163957" w:rsidRDefault="00163957" w:rsidP="00163957">
      <w:pPr>
        <w:pStyle w:val="TextoNormal"/>
      </w:pPr>
      <w:r>
        <w:t>3. No obstante lo anterior, las administraciones públicas competentes podrán establecer la compatibilidad entre prestaciones para apoyo, cuidados y atención que faciliten la permanencia en el domicilio a la persona en situación de dependencia, de tal forma que la suma de estas prestaciones no sea superior, en su conjunto, a las intensidades máximas reconocidas a su grado de dependencia. A los efectos de la asignación del nivel mínimo establecido en el artículo 9, estas prestaciones tendrán la consideración de una única prestación.”</w:t>
      </w:r>
    </w:p>
    <w:p w:rsidR="00163957" w:rsidRDefault="00163957" w:rsidP="00163957">
      <w:pPr>
        <w:pStyle w:val="TextoNormal"/>
      </w:pPr>
    </w:p>
    <w:p w:rsidR="00163957" w:rsidRDefault="00163957" w:rsidP="00163957">
      <w:pPr>
        <w:pStyle w:val="TextoNormal"/>
      </w:pPr>
      <w:r>
        <w:t>Idéntica conclusión desestimatoria debemos alcanzar respecto a este precepto, en punto a la regla de incompatibilidad de prestaciones controvertida por el Parlamento de Navarra. Así, ya declaramos que “el Estado fija una regulación unitaria tanto de la intensidad como de la compatibilidad de prestaciones que cumple la función de garantizar un mínimo uniforme en el sistema de atención a la dependencia que puede ser considerado un parámetro que regula las condiciones básicas que garantizan la igualdad en el ejercicio del derecho, evitando así que se generen situaciones de desigualdad relevantes. Dado que el reconocimiento de la situación de dependencia puede dar lugar al disfrute de diversos servicios o prestaciones económicas de manera simultánea, la norma establece una serie de principios comunes sobre incompatibilidad de esas prestaciones y servicios, garantizando la unidad mínima del sistema de atención a la dependencia, respecto a la combinación de prestaciones en la que se puede concretar la atención a las personas dependientes. Esa condición de garantía mínima se confirma por el hecho de que, más allá del primer nivel de garantía de responsabilidad estatal, los límites de la norma tampoco excluyen que las Comunidades Autónomas establezcan compatibilidades que puedan dar como consecuencia prestaciones o servicios superiores, asumiendo las consecuencias de dicha compatibilidad, lo que permite, también desde este punto de vista, considerarlo una regla general que garantiza la igualdad en el acceso a las prestaciones y servicios del sistema de atención a la dependencia”. [STC 18/2016, FJ 8 c) iii)].</w:t>
      </w:r>
    </w:p>
    <w:p w:rsidR="00163957" w:rsidRDefault="00163957" w:rsidP="00163957">
      <w:pPr>
        <w:pStyle w:val="TextoNormal"/>
      </w:pPr>
    </w:p>
    <w:p w:rsidR="00163957" w:rsidRDefault="00163957" w:rsidP="00163957">
      <w:pPr>
        <w:pStyle w:val="TextoNormal"/>
      </w:pPr>
      <w:r>
        <w:t>c) La disposición transitoria décima regula las cuantías máximas de las prestaciones económicas por cuidados en el entorno familiar, de asistencia personal y de la prestación vinculada al servicio mientras que el apartado primero de la disposición transitoria duodécima, regula la intensidad de protección del servicio de ayuda a domicilio.</w:t>
      </w:r>
    </w:p>
    <w:p w:rsidR="00163957" w:rsidRDefault="00163957" w:rsidP="00163957">
      <w:pPr>
        <w:pStyle w:val="TextoNormal"/>
      </w:pPr>
    </w:p>
    <w:p w:rsidR="00163957" w:rsidRDefault="00163957" w:rsidP="00163957">
      <w:pPr>
        <w:pStyle w:val="TextoNormal"/>
      </w:pPr>
      <w:r>
        <w:t>El recurso ha de ser también desestimado en este punto pues respecto a ambas cuestiones ya hemos considerado que el Estado no se ha extralimitado en sus competencias.</w:t>
      </w:r>
    </w:p>
    <w:p w:rsidR="00163957" w:rsidRDefault="00163957" w:rsidP="00163957">
      <w:pPr>
        <w:pStyle w:val="TextoNormal"/>
      </w:pPr>
    </w:p>
    <w:p w:rsidR="00163957" w:rsidRDefault="00163957" w:rsidP="00163957">
      <w:pPr>
        <w:pStyle w:val="TextoNormal"/>
      </w:pPr>
      <w:r>
        <w:t xml:space="preserve">Así, tras recordar que ambas cuestiones no son novedosas, sino que, por el contrario, formaban parte del sistema de atención a la dependencia desde sus inicios, el fundamento jurídico 8 e) ii) de la STC 18/2016, afirma que “la intensidad se refiere a determinar los servicios concretos que corresponden a cada grado de dependencia y a determinar el contenido prestacional de cada uno de los servicios asistenciales y la extensión y duración de los </w:t>
      </w:r>
      <w:r>
        <w:lastRenderedPageBreak/>
        <w:t>mismos según ese grado de dependencia. Según el art. 8.2 b) de la Ley 39/2006, corresponde al Consejo Territorial de Servicios Sociales y del Sistema para la Autonomía y Atención a la Dependencia establecer los criterios para determinar la intensidad de protección de los servicios, extremo que, para el ahora cuestionado servicio de ayuda a domicilio, se llevó a cabo en el punto 2.2 del ya mencionado Acuerdo del Consejo Territorial de 10 de julio de 2012, limitándose la norma ahora cuestionada a incorporar dicho criterio, que, por lo demás, también ha sido reproducido en el Anexo II del también citado Real Decreto 1051/2013. En todo caso, dicha forma de proceder encuentra amparo en el art. 149.1.1 CE, pues la norma estatal, bien que a partir del previo acuerdo de un órgano de cooperación, fija así, mediante el establecimiento de márgenes o intervalos, los criterios comunes a partir de los cuales puede determinarse el contenido prestacional de ese concreto servicio asistencial, integrando de esta manera el contenido mínimo del derecho reconocido a todos los dependientes en la medida en que se refieren a la extensión de la acción protectora de dicho servicio del sistema de atención a la dependencia, preservando la igualdad efectiva de las personas en situación de dependencia respecto al disfrute de unos servicios.</w:t>
      </w:r>
    </w:p>
    <w:p w:rsidR="00163957" w:rsidRDefault="00163957" w:rsidP="00163957">
      <w:pPr>
        <w:pStyle w:val="TextoNormal"/>
      </w:pPr>
    </w:p>
    <w:p w:rsidR="00163957" w:rsidRDefault="00163957" w:rsidP="00163957">
      <w:pPr>
        <w:pStyle w:val="TextoNormal"/>
      </w:pPr>
      <w:r>
        <w:t>En cuanto a la determinación de las cuantías máximas debe recordarse que corresponde al aludido Consejo Territorial la función de acordar las condiciones y cuantía de las prestaciones económicas previstas [art. 8.2 c) en relación con el 20 y disposición adicional primera de la Ley 39/2006]. De nuevo, como en la forma prevista para la intensidad del servicio, el Estado garantiza, mediante la determinación de tales cuantías máximas, la uniformidad en el reconocimiento de las tres prestaciones económicas que integran el sistema de atención a la dependencia”.</w:t>
      </w:r>
    </w:p>
    <w:p w:rsidR="00163957" w:rsidRDefault="00163957" w:rsidP="00163957">
      <w:pPr>
        <w:pStyle w:val="TextoNormal"/>
      </w:pPr>
    </w:p>
    <w:p w:rsidR="00163957" w:rsidRDefault="00163957" w:rsidP="00163957">
      <w:pPr>
        <w:pStyle w:val="TextoNormal"/>
      </w:pPr>
      <w:r w:rsidRPr="00163957">
        <w:rPr>
          <w:rStyle w:val="NumeroAFNegritaCaracter"/>
        </w:rPr>
        <w:t>3</w:t>
      </w:r>
      <w:r>
        <w:t>. La conclusión desestimatoria alcanzada respecto a la disposición transitoria décima y al apartado primero de la disposición transitoria duodécima no se ve enervada por el segundo argumento formulado por la Letrada del Parlamento de Navarra.</w:t>
      </w:r>
    </w:p>
    <w:p w:rsidR="00163957" w:rsidRDefault="00163957" w:rsidP="00163957">
      <w:pPr>
        <w:pStyle w:val="TextoNormal"/>
      </w:pPr>
    </w:p>
    <w:p w:rsidR="00163957" w:rsidRDefault="00163957" w:rsidP="00163957">
      <w:pPr>
        <w:pStyle w:val="TextoNormal"/>
      </w:pPr>
      <w:r>
        <w:t>La demanda considera vulnerada la autonomía financiera de Navarra expresada en el régimen de convenio económico y lo que denomina “sistema pactista de colaboración con el Estado”, que le lleva a defender que, en el caso de la Comunidad Foral de Navarra, sus competencias derivadas del sistema de convenio económico y de la aplicación del art. 64 LORAFNA deben conducir a declarar la inconstitucionalidad de los dos preceptos antes mencionados.</w:t>
      </w:r>
    </w:p>
    <w:p w:rsidR="00163957" w:rsidRDefault="00163957" w:rsidP="00163957">
      <w:pPr>
        <w:pStyle w:val="TextoNormal"/>
      </w:pPr>
    </w:p>
    <w:p w:rsidR="00163957" w:rsidRDefault="00163957" w:rsidP="00163957">
      <w:pPr>
        <w:pStyle w:val="TextoNormal"/>
      </w:pPr>
      <w:r>
        <w:t>Esta tesis no puede prosperar pues hemos reiterado en otras ocasiones que el régimen especial del convenio económico es fundamentalmente un régimen evolutivo dentro de la Constitución, y no al margen de ella. Por tanto, debemos descartar que el régimen de convenio suponga una excepción al marco competencial en materia de atención a la dependencia que, por lo demás, deriva del art. 149.1.1 CE en relación con el art. 44.17 LORAFNA, que integran el bloque de constitucionalidad en esta materia [en el mismo sentido STC 171/2014, de 23 de octubre, FJ 6a), allí en relación a las normas aplicables a los límites de endeudamiento de las entidades locales].</w:t>
      </w:r>
    </w:p>
    <w:p w:rsidR="00163957" w:rsidRDefault="00163957" w:rsidP="00163957">
      <w:pPr>
        <w:pStyle w:val="TextoNormal"/>
      </w:pPr>
    </w:p>
    <w:p w:rsidR="00163957" w:rsidRDefault="00163957" w:rsidP="00163957">
      <w:pPr>
        <w:pStyle w:val="TextoNormal"/>
      </w:pPr>
      <w:r>
        <w:t xml:space="preserve">Por otra parte, como resaltó la STC 148/2006, de 11 de mayo, FJ 7, “el convenio económico tiene un contenido esencialmente tributario”, de suerte que la garantía institucional de la foralidad que la Constitución reconoce y garantiza tiene, en el caso de la Comunidad Foral de Navarra, dos vertientes que deben ser diferenciadas. La primera de ellas, como </w:t>
      </w:r>
      <w:r>
        <w:lastRenderedPageBreak/>
        <w:t>recuerda la STC 207/2013, FJ 2, ‘implica la posibilidad de que la Comunidad Foral disponga de un sistema tributario propio, si bien en coordinación con el del Estado’. La segunda vertiente es la participativa, razón por la cual dicho sistema tributario “debe ser acordado previamente con el Estado”, de manera que ‘[l]a Comunidad Foral tiene así un plus de participación en la delimitación del sistema, pero no le es dado decidir unilateralmente sobre su contenido” [STC 208/2012, FJ 4 b); y en sentido parecido STC 148/2006, de 11 de mayo, FJ 7]’” (STC 110/2014, de 26 de junio, FJ 3). El sistema de convenio económico supone, por tanto, una especialidad con respecto al vigente en el resto de Comunidades Autónomas, ya que posibilita que la norma estatutaria navarra, la Ley Orgánica de reintegración y amejoramiento del régimen foral, asuma competencias en materia tributaria que permitan a la Comunidad Foral Navarra establecer un sistema tributario propio. (STC 208/2012, de 14 de noviembre, FJ 5).</w:t>
      </w:r>
    </w:p>
    <w:p w:rsidR="00163957" w:rsidRDefault="00163957" w:rsidP="00163957">
      <w:pPr>
        <w:pStyle w:val="TextoNormal"/>
      </w:pPr>
    </w:p>
    <w:p w:rsidR="00163957" w:rsidRDefault="00163957" w:rsidP="00163957">
      <w:pPr>
        <w:pStyle w:val="TextoNormal"/>
      </w:pPr>
      <w:r>
        <w:t>De esta manera, recuerda la STC 110/2014, FJ 6, “[L]a naturaleza del régimen foral tiene su ámbito natural de proyección en el ejercicio de las competencias tributarias y, singularmente, en la vertiente participativa a la que antes se aludió, pero no en la determinación del alcance de las competencias del Estado”. Idéntica conclusión se alcanza respecto al art. 64 LORAFNA, sobre el que ya hemos afirmado que “hace referencia al ejercicio de las competencias estatales y forales y no a su alcance funcional. Así, la alusión a que las relaciones entre ambas Administraciones se establecerán conforme a la naturaleza del régimen foral tiene su ámbito natural de proyección en el ejercicio de las competencias y, singularmente, en la vertiente participativa bilateral o multilateral, y no en el alcance de las competencias del Estado (singularmente las básicas) y de la Comunidad foral” [STC 171/2014, FJ 6 a), recogiendo la doctrina de la STC 148/2006, FJ 7].</w:t>
      </w:r>
    </w:p>
    <w:p w:rsidR="00163957" w:rsidRDefault="00163957" w:rsidP="00163957">
      <w:pPr>
        <w:pStyle w:val="TextoNormal"/>
      </w:pPr>
    </w:p>
    <w:p w:rsidR="00163957" w:rsidRDefault="00163957" w:rsidP="00163957">
      <w:pPr>
        <w:pStyle w:val="TextoNormal"/>
      </w:pPr>
      <w:r>
        <w:t>En suma, por lo expuesto, hemos de desestimar el recurso en este punto.</w:t>
      </w:r>
    </w:p>
    <w:p w:rsidR="00163957" w:rsidRDefault="00163957" w:rsidP="00163957">
      <w:pPr>
        <w:pStyle w:val="TextoNormal"/>
      </w:pPr>
    </w:p>
    <w:p w:rsidR="00163957" w:rsidRDefault="00163957" w:rsidP="00163957">
      <w:pPr>
        <w:pStyle w:val="TextoNormal"/>
      </w:pPr>
      <w:r w:rsidRPr="00163957">
        <w:rPr>
          <w:rStyle w:val="NumeroAFNegritaCaracter"/>
        </w:rPr>
        <w:t>4</w:t>
      </w:r>
      <w:r>
        <w:t>. Por último, la impugnación del párrafo tercero de la disposición final cuarta que enuncia el título competencial, art. 149.1.1 CE, que habilita al Estado para establecer la regulación cuestionada del Real Decreto-ley 20/2012 ha de ser también desestimada, pues debe resolverse en consonancia con las conclusiones alcanzadas en los anteriores fundamentos jurídicos.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presente recurso de inconstitucionalidad núm. 5763-2012 promovido por el Parlamento de Navarra contra los arts. 22.8 y 22.9, disposición transitoria décima, apartado primero de la disposición transitoria duodécima y párrafo tercero de la disposición final cuarta del Real Decreto-ley 20/2012, de 13 de julio, de medidas para garantizar la estabilidad presupuestaria y de fomento de la competitividad.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lastRenderedPageBreak/>
        <w:t>Dada en Madrid, a tres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40" w:name="SENTENCIA_2016_37"/>
      <w:r>
        <w:lastRenderedPageBreak/>
        <w:t>SENTENCIA 37/2016, de 3 de marzo de 2016</w:t>
      </w:r>
    </w:p>
    <w:bookmarkEnd w:id="40"/>
    <w:p w:rsidR="00163957" w:rsidRDefault="00163957" w:rsidP="00163957">
      <w:pPr>
        <w:pStyle w:val="TtuloResolucin"/>
      </w:pPr>
      <w:r>
        <w:t>Pleno</w:t>
      </w:r>
    </w:p>
    <w:p w:rsidR="00163957" w:rsidRDefault="00163957" w:rsidP="00163957">
      <w:pPr>
        <w:pStyle w:val="TtuloBOE"/>
      </w:pPr>
      <w:r>
        <w:t>(BOE núm. 85, de 8 de abril de 2016)</w:t>
      </w:r>
    </w:p>
    <w:p w:rsidR="00163957" w:rsidRDefault="00163957" w:rsidP="00163957">
      <w:pPr>
        <w:pStyle w:val="TextoNormalCentrado"/>
      </w:pPr>
      <w:r>
        <w:t>ECLI:ES:TC:2016:37</w:t>
      </w:r>
    </w:p>
    <w:p w:rsidR="00163957" w:rsidRDefault="00163957" w:rsidP="00163957">
      <w:pPr>
        <w:pStyle w:val="TextoNormalCentrado"/>
      </w:pPr>
    </w:p>
    <w:p w:rsidR="00163957" w:rsidRDefault="00163957" w:rsidP="00163957">
      <w:pPr>
        <w:pStyle w:val="SntesisDescriptiva"/>
      </w:pPr>
      <w:r>
        <w:t>Recurso de inconstitucionalidad 2240-2013. Interpuesto por el Gobierno de Canarias en relación con diversos preceptos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Competencias sobre ordenación general de la economía, comercio interior, defensa de los consumidores y usuarios y turismo: constitucionalidad de los preceptos legales estatales relativos a horarios comerciales y comercio minorista (STC 18/2016).</w:t>
      </w:r>
    </w:p>
    <w:p w:rsidR="00163957" w:rsidRDefault="00163957" w:rsidP="00163957">
      <w:pPr>
        <w:pStyle w:val="SntesisAnaltica"/>
      </w:pPr>
    </w:p>
    <w:p w:rsidR="00163957" w:rsidRDefault="00163957" w:rsidP="00163957">
      <w:pPr>
        <w:pStyle w:val="Extracto"/>
      </w:pPr>
      <w:r>
        <w:t>1.</w:t>
      </w:r>
      <w:r>
        <w:tab/>
        <w:t>Asunto sustancialmente idéntico al resuelto por la STC 18/2016, relativa a la distribución de competencias en materia de horarios comerciales y comercio minorista [FFJJ 2 a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2240-2013, interpuesto por el Gobierno de Canarias contra los arts. 27 y 28 del Real Decreto-ley 20/2012, de 13 de julio, de medidas para garantizar la estabilidad presupuestaria y de fomento de la competitividad. Ha comparecido y formulado alegaciones el Abogado del Estado. Ha sido ponente el Magistrado don Fernando Valdés Dal-Ré,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15 de abril de 2013, el Gobierno de Canarias, representado por la Letrada de su servicio jurídico, promueve recurso de inconstitucionalidad contra los arts. 27 y 28 del Real Decreto-ley 20/2012, de 13 de julio, de medidas para garantizar la estabilidad presupuestaria y de fomento de la competitividad. La impugnación se fundamenta en los motivos que, resumidamente, se exponen a continuación:</w:t>
      </w:r>
    </w:p>
    <w:p w:rsidR="00163957" w:rsidRDefault="00163957" w:rsidP="00163957">
      <w:pPr>
        <w:pStyle w:val="TextoNormal"/>
      </w:pPr>
    </w:p>
    <w:p w:rsidR="00163957" w:rsidRDefault="00163957" w:rsidP="00163957">
      <w:pPr>
        <w:pStyle w:val="TextoNormal"/>
      </w:pPr>
      <w:r>
        <w:t>a) Los preceptos impugnados vulneran el art. 86.1 CE, por no concurrir la extraordinaria y urgente necesidad que exige este precepto (STC 68/2007, de 27 de marzo). Los razonamientos ofrecidos en la parte expositiva del Real Decreto-ley 20/2012 no alcanzan a todas las medidas que conforman su contenido, no apreciándose concretamente respecto de las normas cuya constitucionalidad se cuestiona.</w:t>
      </w:r>
    </w:p>
    <w:p w:rsidR="00163957" w:rsidRDefault="00163957" w:rsidP="00163957">
      <w:pPr>
        <w:pStyle w:val="TextoNormal"/>
      </w:pPr>
    </w:p>
    <w:p w:rsidR="00163957" w:rsidRDefault="00163957" w:rsidP="00163957">
      <w:pPr>
        <w:pStyle w:val="TextoNormal"/>
      </w:pPr>
      <w:r>
        <w:t>La exposición de motivos se refiere a la recesión económica que vive el país desde 2008. La existencia de un período recesivo que dura ya un lustro no justifica en sí misma la adopción de medidas urgentes para paliar la recesión, cinco años después de que se advirtiera la situación a cuya urgencia se vincula el uso del decreto-ley. El hecho de que se necesiten resultados urgentes, o soluciones perentorias, no legitima la toma de decisiones por esta vía, haciendo modificaciones profundas que, además, repercuten sobre las competencias exclusivas de las Comunidades Autónomas. Las reformas estructurales, así denominadas en la exposición de motivos, distan mucho de la urgencia requerida en estos supuestos.</w:t>
      </w:r>
    </w:p>
    <w:p w:rsidR="00163957" w:rsidRDefault="00163957" w:rsidP="00163957">
      <w:pPr>
        <w:pStyle w:val="TextoNormal"/>
      </w:pPr>
    </w:p>
    <w:p w:rsidR="00163957" w:rsidRDefault="00163957" w:rsidP="00163957">
      <w:pPr>
        <w:pStyle w:val="TextoNormal"/>
      </w:pPr>
      <w:r>
        <w:t>Según la exposición de motivos, una parte de las medidas estructurales tiene carácter temporal o son aplicables sólo cuando concurran circunstancias excepcionales, quedando supeditada su vigencia a la subsistencia de la difícil coyuntura económica o a razones de interés público, lo que es altamente revelador de la vocación de permanencia de las reformas a las que se otorga una vigencia indeterminada, lo que mal puede sostenerse de la aprobación de una norma en la que debe concurrir la urgencia. A mayor abundamiento, se reconoce en la exposición de motivos que se trata de medidas que se deben adoptar de forma conjunta para ofrecer un cambio estructural, lo cual deshace cualquier posible réplica sobre la necesidad de adoptar medidas basadas en la coyuntura actual, término antitético al utilizado en numerosas ocasiones en una verdadera confesión del espíritu de la norma.</w:t>
      </w:r>
    </w:p>
    <w:p w:rsidR="00163957" w:rsidRDefault="00163957" w:rsidP="00163957">
      <w:pPr>
        <w:pStyle w:val="TextoNormal"/>
      </w:pPr>
    </w:p>
    <w:p w:rsidR="00163957" w:rsidRDefault="00163957" w:rsidP="00163957">
      <w:pPr>
        <w:pStyle w:val="TextoNormal"/>
      </w:pPr>
      <w:r>
        <w:t>En lo que concierne a los arts. 27 y 28 objeto de impugnación, se regulan aspectos que han sido objeto de fuerte debate y que han conformado las competencias exclusivas de la Comunidad Autónoma de Canarias [art. 30.1 y 2 del Estatuto de Autonomía de Canarias (EACan)], amparándose en un ánimo liberalizador, alterando los umbrales sobre los horarios comerciales de los domingos y festivos, cambiando los criterios sobre las zonas de gran afluencia turística, y liberalizando totalmente el período de rebajas, lo que parece que ninguna idea nueva o urgente aporta. Así puede comprobarse en las exposiciones de motivos de las leyes aprobadas como consecuencia de la Directiva 123/2006/CE, del Parlamento Europeo y del Consejo, de 12 de diciembre de 2006, relativa a los servicios en el mercado interior, que parecen ser una repetición o antesala del Real Decreto-ley 20/2012, por lo que la urgencia debe quedar descartada.</w:t>
      </w:r>
    </w:p>
    <w:p w:rsidR="00163957" w:rsidRDefault="00163957" w:rsidP="00163957">
      <w:pPr>
        <w:pStyle w:val="TextoNormal"/>
      </w:pPr>
    </w:p>
    <w:p w:rsidR="00163957" w:rsidRDefault="00163957" w:rsidP="00163957">
      <w:pPr>
        <w:pStyle w:val="TextoNormal"/>
      </w:pPr>
      <w:r>
        <w:t>b) Los arts. 27 y 28 del Real Decreto-ley 20/2012 lesionan el régimen de distribución de competencias. Las citadas normas incurren en una extralimitación de la competencia atribuida al Estado por el art. 149.1.13 CE, que vulnera los títulos competenciales autonómicos recogidos en los arts. 31.3 (comercio interior, defensa del consumidor y del usuario, sin perjuicio de la política general de precios y de la legislación sobre defensa de la competencia) y 30.21 (turismo), ambos del Estatuto de Autonomía de Canarias.</w:t>
      </w:r>
    </w:p>
    <w:p w:rsidR="00163957" w:rsidRDefault="00163957" w:rsidP="00163957">
      <w:pPr>
        <w:pStyle w:val="TextoNormal"/>
      </w:pPr>
    </w:p>
    <w:p w:rsidR="00163957" w:rsidRDefault="00163957" w:rsidP="00163957">
      <w:pPr>
        <w:pStyle w:val="TextoNormal"/>
      </w:pPr>
      <w:r>
        <w:t xml:space="preserve">De acuerdo con la jurisprudencia constitucional (SSTC 225/1993, de 8 de julio, 264/1993, de 22 de julio, 284/1993, de 30 de septiembre, y 254/2004, de 23 de diciembre), </w:t>
      </w:r>
      <w:r>
        <w:lastRenderedPageBreak/>
        <w:t xml:space="preserve">la submateria de “horarios comerciales”, comprendida en el título competencial sobre comercio interior, queda enmarcada en la política económica general, </w:t>
      </w:r>
      <w:r w:rsidRPr="00163957">
        <w:rPr>
          <w:i/>
        </w:rPr>
        <w:t>ex</w:t>
      </w:r>
      <w:r>
        <w:t xml:space="preserve"> art. 149.1.13 CE, en cuanto a la fijación de unas pautas básicas de la regulación de los horarios comerciales, por su indudable trascendencia en la tensión tradicional entre el comercio minorista y las grandes superficies comerciales. Ahora bien, el Real Decreto-ley 20/2012 excede de las bases y regula determinados aspectos de competencia exclusiva autonómica, suponiendo una extralimitación al vaciar de contenido determinadas competencias normativas autonómicas, suprimiéndolas, limitándolas o degradándolas prácticamente a competencias ejecutivas, y limitando incluso las competencias de este orden. La norma estatal elimina totalmente las competencias autonómicas para limitar el horario de los domingos o festivos de apertura autorizada, para incrementar o reducir la superficie de venta de los establecimientos de reducida dimensión, para definir las zonas de gran afluencia turística, y para determinar los periodos a los que se circunscribe la aplicación de la libertad de apertura en dichas zonas. Las competencias autonómicas en materia de zonas de gran afluencia turística se degradan, aproximándose las que se conservan al tipo de las competencias ejecutivas. Se limitan las competencias para restringir el horario global (conjunto de los días laborables de la semana) y para reducir el número de domingos y festivos de apertura autorizada. Y se pierde la competencia para fijar las temporadas de rebajas y su duración.</w:t>
      </w:r>
    </w:p>
    <w:p w:rsidR="00163957" w:rsidRDefault="00163957" w:rsidP="00163957">
      <w:pPr>
        <w:pStyle w:val="TextoNormal"/>
      </w:pPr>
    </w:p>
    <w:p w:rsidR="00163957" w:rsidRDefault="00163957" w:rsidP="00163957">
      <w:pPr>
        <w:pStyle w:val="TextoNormal"/>
      </w:pPr>
      <w:r>
        <w:t xml:space="preserve">La competencia estatal </w:t>
      </w:r>
      <w:r w:rsidRPr="00163957">
        <w:rPr>
          <w:i/>
        </w:rPr>
        <w:t>ex</w:t>
      </w:r>
      <w:r>
        <w:t xml:space="preserve"> art. 149.1.13 CE no puede ser entendida “de forma tal que vacíe toda competencia comunitaria (autonómica) dotada de una cierta dimensión económica” (STC 125/1984, de 20 de diciembre, FJ 1, y otras muchas posteriores). Al dictar las bases, el Estado debe respetar el espacio necesario para que las Comunidades Autónomas puedan ejercer sus propias competencias. La competencia autonómica de desarrollo legislativo no consiste en la simple posibilidad de completar o pormenorizar lo establecido en la legislación estatal, sino en la de aprobar normas que sean consecuentes con los programas u opciones políticas que, en cada momento, sostengan sus instituciones, “ya que la potestad normativa de las Comunidades Autónomas no es en estos supuestos de carácter reglamentario” (STC 32/1981, de 28 de julio, FJ 4). La regulación hecha en el Real Decreto-ley que se impugna es tan casuística y específica, que prácticamente no deja margen a que la Comunidad Autónoma pueda ejercer sus competencias, incurriendo en un abuso del título competencial invocado por el Estado, art. 149.1.13 CE, que merece un reproche de inconstitucionalidad.</w:t>
      </w:r>
    </w:p>
    <w:p w:rsidR="00163957" w:rsidRDefault="00163957" w:rsidP="00163957">
      <w:pPr>
        <w:pStyle w:val="TextoNormal"/>
      </w:pPr>
    </w:p>
    <w:p w:rsidR="00163957" w:rsidRDefault="00163957" w:rsidP="00163957">
      <w:pPr>
        <w:pStyle w:val="TextoNormal"/>
      </w:pPr>
      <w:r>
        <w:t xml:space="preserve">c) El primer apartado del art. 27 versa sobre los horarios de apertura y cierre de los establecimientos y el número de horas diarias o semanales en que ejercerán su actividad. Se mantiene el reconocimiento de la facultad de las Comunidades Autónomas para fijar la duración del horario del conjunto de los días laborables de la semana (facultad de “restringir” el horario global, en palabras del art. 3 1), que no es sino una especificidad de otra más amplia, asimismo reconocida a las Comunidades Autónomas por el art. 2 de la Ley 1/2004, de 21 de diciembre, de horarios comerciales la de regulación de los horarios para la apertura y cierre de los locales comerciales. No obstante, se limita la facultad autonómica de restricción horaria, al disponer que las Comunidades Autónomas no pueden fijar en un número de horas inferior a 90 (en lugar de las 72 que figuraban en el texto originario de la Ley 1/2004) el horario global máximo (art. 3.1), lo cual no hace sino desvirtuar la competencia autonómica, hasta eliminarla, ya que al elevar tanto el umbral, pasándose de 72 a 90 horas, puede afirmarse que casi no deja a la Comunidad Autónoma margen para el ejercicio de la competencia sobre la restricción horaria. Con estos límites, (aumentándose de 72 a 90, es decir </w:t>
      </w:r>
      <w:r>
        <w:lastRenderedPageBreak/>
        <w:t>más de un 25 por 100) difícilmente puede tener cabida el ejercicio de la competencia de comercio interior, tal y como venía ejerciéndose hasta el momento.</w:t>
      </w:r>
    </w:p>
    <w:p w:rsidR="00163957" w:rsidRDefault="00163957" w:rsidP="00163957">
      <w:pPr>
        <w:pStyle w:val="TextoNormal"/>
      </w:pPr>
    </w:p>
    <w:p w:rsidR="00163957" w:rsidRDefault="00163957" w:rsidP="00163957">
      <w:pPr>
        <w:pStyle w:val="TextoNormal"/>
      </w:pPr>
      <w:r>
        <w:t>Se garantiza a los comerciantes libertad —no susceptible de limitación por las Comunidades Autónomas— para determinar “libremente el horario correspondiente a cada domingo o festivo en que ejerza(n) su actividad”, libertad que hay que entender referida, no sólo a la determinación del momento de la apertura y del cierre, sino también a la del número de horas de actividad de cada domingo o festivo de apertura autorizada. Por lo tanto, se suprime la facultad autonómica de “limitar” el horario de los domingos o festivos, respetando un mínimo de 12 horas diarias.</w:t>
      </w:r>
    </w:p>
    <w:p w:rsidR="00163957" w:rsidRDefault="00163957" w:rsidP="00163957">
      <w:pPr>
        <w:pStyle w:val="TextoNormal"/>
      </w:pPr>
    </w:p>
    <w:p w:rsidR="00163957" w:rsidRDefault="00163957" w:rsidP="00163957">
      <w:pPr>
        <w:pStyle w:val="TextoNormal"/>
      </w:pPr>
      <w:r>
        <w:t>En el segundo apartado del art. 27, en materia de domingos y festivos de apertura autorizada, se fija un límite de dieciséis (en lugar de los doce que figuraban en el texto modificado) domingos y festivos en que los comercios podrán permanecer abiertos al público durante el año (art. 4.1), y se reconoce a las Comunidades Autónomas la facultad de modificar dicho máximo, incrementándolo o reduciéndolo en los términos siguientes: puede incrementarse en principio sin límites pero no pueden reducirlo por debajo de diez (en lugar de ocho, que figuraban en el texto modificado: art. 4.2), lo que incide nuevamente sobre la facultad autonómica de restricción.</w:t>
      </w:r>
    </w:p>
    <w:p w:rsidR="00163957" w:rsidRDefault="00163957" w:rsidP="00163957">
      <w:pPr>
        <w:pStyle w:val="TextoNormal"/>
      </w:pPr>
    </w:p>
    <w:p w:rsidR="00163957" w:rsidRDefault="00163957" w:rsidP="00163957">
      <w:pPr>
        <w:pStyle w:val="TextoNormal"/>
      </w:pPr>
      <w:r>
        <w:t>Por otra parte, se mantiene la facultad, ya reconocida por la Ley 1/2004 a las Comunidades Autónomas, de determinar o individualizar los concretos domingos y festivos en que se puede abrir los comercios (art. 4.5), atendiendo de forma prioritaria al atractivo comercial de los días para los consumidores, pero se introduce la sujeción a determinados criterios, que observados en detalle, suponen un desbordamiento claro de lo básico. Se introducen cuatro requisitos que han de presidir la actuación a la hora de determinar en qué festivos debe autorizarse la apertura, cuya introducción suscita la consideración de que, si bien se mantiene la facultad autonómica, es tan extensa y compleja la regulación que difícilmente queda un resquicio para que la Comunidad Autónoma decida lo que es más conveniente en su territorio.</w:t>
      </w:r>
    </w:p>
    <w:p w:rsidR="00163957" w:rsidRDefault="00163957" w:rsidP="00163957">
      <w:pPr>
        <w:pStyle w:val="TextoNormal"/>
      </w:pPr>
    </w:p>
    <w:p w:rsidR="00163957" w:rsidRDefault="00163957" w:rsidP="00163957">
      <w:pPr>
        <w:pStyle w:val="TextoNormal"/>
      </w:pPr>
      <w:r>
        <w:t>Estamos ante otro exceso en la regulación por parte del Estado, ya que se opera un claro y doble efecto limitativo de las competencias autonómicas: un efecto directo sobre la competencia para determinar propiamente o individualizar los domingos y festivos de apertura autorizada, y otro sobre la competencia para fijar su número anual, porque los criterios son tantos y de tal naturaleza que, para cumplir con ellos, la Comunidad Autónoma puede verse forzada, por razón del calendario anual, a fijar un número de domingos y festivos de apertura autorizada superior a diez. Por lo tanto, se trata nuevamente de un exceso que estrangula la competencia autonómica. También se aprecia un defecto en el artículo ahora impugnado, ya que no se especifica ni siquiera si se trata de criterios acumulativos, alternativos, escalonados por el orden en que aparecen formulados o escalonados conforme a otro orden jerárquico. Su aplicación acumulativa casi haría desaparecer la competencia de la Comunidad Autónoma.</w:t>
      </w:r>
    </w:p>
    <w:p w:rsidR="00163957" w:rsidRDefault="00163957" w:rsidP="00163957">
      <w:pPr>
        <w:pStyle w:val="TextoNormal"/>
      </w:pPr>
    </w:p>
    <w:p w:rsidR="00163957" w:rsidRDefault="00163957" w:rsidP="00163957">
      <w:pPr>
        <w:pStyle w:val="TextoNormal"/>
      </w:pPr>
      <w:r>
        <w:t xml:space="preserve">Hay que resaltar las dificultades que comportaría el ejercicio de las competencias de protección y control en la aplicación del criterio sobre “apertura en los domingos y festivos correspondientes a los períodos de rebajas”, ya que los períodos de rebajas y su duración dependerá, a partir de la reforma, únicamente de la voluntad del comerciante. No puede la </w:t>
      </w:r>
      <w:r>
        <w:lastRenderedPageBreak/>
        <w:t>Comunidad Autónoma atender las competencias que tiene conferidas al respecto, ni puede proteger al consumidor, aun siendo la Administración obligada principalmente a ello, y teniendo una posición más cercana a la realidad que ha de ordenarse, por lo que estamos nuevamente ante una invasión competencial.</w:t>
      </w:r>
    </w:p>
    <w:p w:rsidR="00163957" w:rsidRDefault="00163957" w:rsidP="00163957">
      <w:pPr>
        <w:pStyle w:val="TextoNormal"/>
      </w:pPr>
    </w:p>
    <w:p w:rsidR="00163957" w:rsidRDefault="00163957" w:rsidP="00163957">
      <w:pPr>
        <w:pStyle w:val="TextoNormal"/>
      </w:pPr>
      <w:r>
        <w:t>Otro aspecto que es necesario reseñar es la modificación de la determinación de las zonas de gran afluencia turística que, si bien formalmente sigue correspondiendo a las Comunidades Autónomas, se perfila directamente al disponer que tendrán dicha consideración las áreas en que concurra alguna de las siete circunstancias reseñadas en el nuevo art. 5.4 de la Ley 1/2004, resultando suprimida así la posibilidad de definirlas, que las Comunidades Autónomas venían poniendo en práctica pacíficamente. Este artículo es una verdadera confesión de la insuficiencia en el título y la extralimitación en la que ha incurrido el Estado. Mal puede encajarse la definición de una zona de influencia turística en el establecimiento de las bases y la planificación económica, debiendo subsumirse en la competencia exclusiva de la Comunidad Autónoma en materia de turismo.</w:t>
      </w:r>
    </w:p>
    <w:p w:rsidR="00163957" w:rsidRDefault="00163957" w:rsidP="00163957">
      <w:pPr>
        <w:pStyle w:val="TextoNormal"/>
      </w:pPr>
    </w:p>
    <w:p w:rsidR="00163957" w:rsidRDefault="00163957" w:rsidP="00163957">
      <w:pPr>
        <w:pStyle w:val="TextoNormal"/>
      </w:pPr>
      <w:r>
        <w:t>Se suprime también la facultad que se atribuía a las Comunidades Autónomas de determinar los períodos de tiempo a que se circunscribe la aplicación de la libertad de apertura en las zonas en cuestión y la normativa básica aumenta de densidad, al introducir en el procedimiento para la determinación de zonas de gran afluencia turística un trámite de propuesta de los Ayuntamientos y admitir que tenga la consideración de zona de gran afluencia turística la totalidad del municipio o parte del mismo, además de regular en detalle las circunstancias que determinan la calificación, y establecer la obligatoriedad de determinar al menos una zona en determinados municipios.</w:t>
      </w:r>
    </w:p>
    <w:p w:rsidR="00163957" w:rsidRDefault="00163957" w:rsidP="00163957">
      <w:pPr>
        <w:pStyle w:val="TextoNormal"/>
      </w:pPr>
    </w:p>
    <w:p w:rsidR="00163957" w:rsidRDefault="00163957" w:rsidP="00163957">
      <w:pPr>
        <w:pStyle w:val="TextoNormal"/>
      </w:pPr>
      <w:r>
        <w:t>d) En las regulaciones existentes hasta el momento, que ahora se derogan, no se había invocado el título competencial del art. 149.1.13 CE, sino que, por ejemplo, el art. 28 modifica la Ley 7/1996, de 15 de enero, de ordenación del comercio minorista, que fue dictada con un amparo competencial diverso, modificado tras la doctrina sobre la supletoriedad establecida por la STC 61/1997. Así:</w:t>
      </w:r>
    </w:p>
    <w:p w:rsidR="00163957" w:rsidRDefault="00163957" w:rsidP="00163957">
      <w:pPr>
        <w:pStyle w:val="TextoNormal"/>
      </w:pPr>
    </w:p>
    <w:p w:rsidR="00163957" w:rsidRDefault="00163957" w:rsidP="00163957">
      <w:pPr>
        <w:pStyle w:val="TextoNormal"/>
      </w:pPr>
      <w:r>
        <w:t>(i) El art. 18 de la Ley 7/1996 (apartado 1 del art. 28 del Real Decreto-ley 20/2012) es supletorio en sus tres primeros apartados, que definen el concepto de las actividades de promoción de ventas, de forma que la Comunidad Autónoma está capacitada para regular estas materias por su competencia en comercio interior. Pero carecería de competencias en el nuevo apartado 4, referido a la posibilidad de simultanear las actividades de promoción de ventas en un mismo establecimiento, que se dicta al amparo del art. 149.1.13 CE, con el efecto contradictorio, y de difícil lógica jurídica, de que el régimen sustantivo de las actividades de promoción de ventas sería de competencia autonómica mientras que el accidental estaría reservado a la normativa de planificación económica.</w:t>
      </w:r>
    </w:p>
    <w:p w:rsidR="00163957" w:rsidRDefault="00163957" w:rsidP="00163957">
      <w:pPr>
        <w:pStyle w:val="TextoNormal"/>
      </w:pPr>
    </w:p>
    <w:p w:rsidR="00163957" w:rsidRDefault="00163957" w:rsidP="00163957">
      <w:pPr>
        <w:pStyle w:val="TextoNormal"/>
      </w:pPr>
      <w:r>
        <w:t xml:space="preserve">(ii) El art. 28.1 de la Ley 7/1996 (apartado 6 del art. 28 del Real Decreto-ley 20/2012), que define la venta de saldos, se dicta por el Estado en su momento como norma en materia de defensa de la competencia, que en este caso no tiene justificación que se extraiga de la competencia autonómica, de conformidad con la STC 208/1999, de 11 de noviembre. Pero el apartado 2 de ese artículo, el que efectúa la parte negativa de la definición, es supletorio y el apartado 3, que era supletorio, se suprime por razones de la planificación económica, </w:t>
      </w:r>
      <w:r>
        <w:lastRenderedPageBreak/>
        <w:t>lo que obviamente es inviable en términos jurídicos, porque si el Estado no es competente para establecer medidas supletorias tampoco lo es para suprimirlas.</w:t>
      </w:r>
    </w:p>
    <w:p w:rsidR="00163957" w:rsidRDefault="00163957" w:rsidP="00163957">
      <w:pPr>
        <w:pStyle w:val="TextoNormal"/>
      </w:pPr>
    </w:p>
    <w:p w:rsidR="00163957" w:rsidRDefault="00163957" w:rsidP="00163957">
      <w:pPr>
        <w:pStyle w:val="TextoNormal"/>
      </w:pPr>
      <w:r>
        <w:t>(iii) El art. 31.1 de la Ley 7/1996 (apartado 7 del art. 28 del Real Decreto-ley 20/2012) era también supletorio cuando establecía la duración máxima de la venta en liquidación en tres meses, y la extendía a un año en caso de cesación total de la actividad. Se ha convertido en medida de planificación económica cuando suprime el plazo de tres meses y deja toda la venta en liquidación remitida al plazo de un año. Está claro que no hay razones de política económica para ello.</w:t>
      </w:r>
    </w:p>
    <w:p w:rsidR="00163957" w:rsidRDefault="00163957" w:rsidP="00163957">
      <w:pPr>
        <w:pStyle w:val="TextoNormal"/>
      </w:pPr>
    </w:p>
    <w:p w:rsidR="00163957" w:rsidRDefault="00163957" w:rsidP="00163957">
      <w:pPr>
        <w:pStyle w:val="TextoNormal"/>
      </w:pPr>
      <w:r>
        <w:t>El art. 31.2, que se amparaba en razones de defensa de la competencia, poco justificable con los límites fijados por la STC 208/1999, eleva su cobertura a planificación económica para modular los efectos de la prohibición de ejercer el comercio a quienes hayan efectuado un proceso de venta en liquidación.</w:t>
      </w:r>
    </w:p>
    <w:p w:rsidR="00163957" w:rsidRDefault="00163957" w:rsidP="00163957">
      <w:pPr>
        <w:pStyle w:val="TextoNormal"/>
      </w:pPr>
    </w:p>
    <w:p w:rsidR="00163957" w:rsidRDefault="00163957" w:rsidP="00163957">
      <w:pPr>
        <w:pStyle w:val="TextoNormal"/>
      </w:pPr>
      <w:r>
        <w:t>e) La competencia del Estado sobre bases y coordinación de la planificación general de la actividad económica ha sido delimitada por la jurisprudencia constitucional, de la que se extraen las siguientes consideraciones: no basta que una medida estatal tenga algún efecto sobre la economía o sobre el sistema productivo para entender que se trate de una medida de naturaleza económica, ya que casi todas lo tienen; por bases hay que entender las decisiones que resultan verdaderamente fundamentales para llevar a cabo la política económica nacional; no deben predeterminar ni agotar absolutamente las posibilidades autonómicas de actuación (STC 192/1990, de 29 de noviembre); una decisión se considera básica cuando es de “carácter genérico, directivo y finalista” (STC 332/2005, de 15 de diciembre), lo que es obvio que no ocurre en el presente caso; cabe reconocer carácter básico incluso a medidas singulares, de naturaleza ejecutiva, cuando inciden en el desarrollo de la economía, en los objetivos de la política económica del Gobierno o en la consecución de los fines propuestos dentro de la ordenación de un determinado sector (STC 332/2005); la coordinación tiene por finalidad evitar duplicidades o disfuncionalidades innecesarias, y presupone la existencia de competencias autonómicas que no deben ser vaciadas de contenido, puede hacerse preventivamente o a posteriori, y exige que se fijen mecanismos suficientes de información recíproca en un clima de colaboración que permita una acción conjunta en la línea de lealtad o fidelidad a la Constitución (STC 45/1991, de 28 de febrero); el hecho de que se aluda a la planificación “general” no implica que el Estado deba actuar sobre el conjunto de la economía, sino que puede referirse a un sector económico concreto (STC 332/2005).</w:t>
      </w:r>
    </w:p>
    <w:p w:rsidR="00163957" w:rsidRDefault="00163957" w:rsidP="00163957">
      <w:pPr>
        <w:pStyle w:val="TextoNormal"/>
      </w:pPr>
    </w:p>
    <w:p w:rsidR="00163957" w:rsidRDefault="00163957" w:rsidP="00163957">
      <w:pPr>
        <w:pStyle w:val="TextoNormal"/>
      </w:pPr>
      <w:r>
        <w:t>En la norma impugnada se degradan las competencias autonómicas normativas, que quedan casi como competencias ejecutivas, a ejercer mediante una suerte de “elementos normativos desgajados”, que constituyen una categoría próxima a la del acto administrativo.</w:t>
      </w:r>
    </w:p>
    <w:p w:rsidR="00163957" w:rsidRDefault="00163957" w:rsidP="00163957">
      <w:pPr>
        <w:pStyle w:val="TextoNormal"/>
      </w:pPr>
    </w:p>
    <w:p w:rsidR="00163957" w:rsidRDefault="00163957" w:rsidP="00163957">
      <w:pPr>
        <w:pStyle w:val="TextoNormal"/>
      </w:pPr>
      <w:r>
        <w:t>El principio de coherencia y de los actos propios conlleva que deba seguirse el marco competencial de las materias que ahora se regulan, y que con anterioridad tuvieron calificación jurídica distinta en el marco de las competencias, lo que ha de respetarse.</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Por providencia de 7 de mayo de 2013, el Pleno, a propuesta de la Sección Segunda, acordó admitir a trámite el recurso y, de conformidad con lo establecido en el art. 34 de la Ley Orgánica del Tribunal Constitucional (LOTC), dar traslado de la demanda al Congreso de los Diputados, al Senado y al Gobierno, al objeto de personarse en el proceso y formular </w:t>
      </w:r>
      <w:r>
        <w:lastRenderedPageBreak/>
        <w:t>alegaciones en el plazo de quince días. Asimismo se ordenó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El día 14 de mayo de 2013, el Abogado del Estado se personó en el proceso en nombre del Gobierno, solicitando una prórroga de ocho días en el plazo concedido para formular alegaciones, que le fue concedida por providencia de 16 de mayo de 2013.</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sendos escritos registrados los días 22 y 23 de mayo de 2013, los Presidentes del Senado y del Congreso de los Diputados comunicaron los respectivos acuerdos de las Mesas de ambas Cámaras de personarse en el presente proceso constitucional,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5</w:t>
      </w:r>
      <w:r>
        <w:t>. El Abogado del Estado presentó su escrito de alegaciones el día 14 de junio de 2013, instando la desestimación del recurso en atención a la argumentación que se sintetiza seguidamente:</w:t>
      </w:r>
    </w:p>
    <w:p w:rsidR="00163957" w:rsidRDefault="00163957" w:rsidP="00163957">
      <w:pPr>
        <w:pStyle w:val="TextoNormal"/>
      </w:pPr>
    </w:p>
    <w:p w:rsidR="00163957" w:rsidRDefault="00163957" w:rsidP="00163957">
      <w:pPr>
        <w:pStyle w:val="TextoNormal"/>
      </w:pPr>
      <w:r>
        <w:t>a) El Real Decreto-ley 20/2012 no incurre en infracción del art. 86.1 CE, según ha sido interpretado por la doctrina constitucional (SSTC 329/2005, de 15 de diciembre, FJ 5, 332/2005, de 15 de diciembre, FFJJ 5 y ss.; 68/2007, de 28 de marzo, FJ 6; 31/2011, de 17 de marzo, FJ 3; 137/2011, de 14 de septiembre, FJ 4, y 1/2012, de 13 de enero, FJ 6). El Tribunal tiene declarada la especial aptitud de los decretos-leyes para atender coyunturas económicas problemáticas, según las denominó la STC 23/1993, de 21 de enero, FJ 5. Puede afirmarse que el Tribunal ha llegado a identificar la “extraordinaria y urgente necesidad” con situaciones de necesidad relativas, declarando la especial aptitud de los decretos-leyes para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FJ 5; 11/2002, de 17 de enero, FJ 4; 137/2003, de 3 de julio, FJ 3, y 189/2005, de 7 de julio, FJ 3). De modo que el presupuesto habilitante viene constituido por una situación de necesidad relativa respecto de una acción del Gobierno que requiera una actuación normativa inmediata de rango legal, que no pueda satisfacerse a través de los procedimientos previstos para la elaboración de la ley. En definitiva, el canon de enjuiciamiento del presupuesto habilitante se ciñe a corregir una eventual valoración abusiva o arbitraria por parte de los poderes políticos de la necesidad concurrente.</w:t>
      </w:r>
    </w:p>
    <w:p w:rsidR="00163957" w:rsidRDefault="00163957" w:rsidP="00163957">
      <w:pPr>
        <w:pStyle w:val="TextoNormal"/>
      </w:pPr>
    </w:p>
    <w:p w:rsidR="00163957" w:rsidRDefault="00163957" w:rsidP="00163957">
      <w:pPr>
        <w:pStyle w:val="TextoNormal"/>
      </w:pPr>
      <w:r>
        <w:t xml:space="preserve">Desde un punto de vista estrictamente formal, los órganos políticos han cumplido con la exigencia de exteriorizar las razones de urgencia que legitiman la utilización de esta figura normativa, pero es que además esos motivos justifican la decisión de acudir al Real Decreto-ley 20/2012. Tal y como se refleja en el preámbulo y en la intervención del Ministro de Hacienda en el debate de convalidación, la norma se adopta en el marco de una crisis económica sin precedentes que exige fuertes ajustes presupuestarios y que supone la adopción de una estrategia político económica sobre dos ejes: la consolidación fiscal y el impulso de nuevas reformas estructurales. Las medidas de ajuste fiscal son imprescindibles para garantizar que España cumple rigurosamente sus compromisos fiscales dentro del marco del déficit excesivo establecido por la Unión Europea. Además, resultan necesarias para recuperar la confianza y el crédito de las Administraciones públicas. Por su parte, las nuevas reformas </w:t>
      </w:r>
      <w:r>
        <w:lastRenderedPageBreak/>
        <w:t>estructurales son también claves, no sólo para garantizar que nuestro país flexibiliza su estructura productiva y se prepara de modo óptimo para la siguiente fase expansiva del ciclo, sino también para generar crecimiento adicional y compensar parcialmente de esta forma el impacto restrictivo de la política fiscal a corto plazo. La gravedad del contexto de crisis en el que se adopta el Real Decreto-Ley impugnado ha sido corroborada por los informes del Banco de España (2008, 2009, 2010 y 2011).</w:t>
      </w:r>
    </w:p>
    <w:p w:rsidR="00163957" w:rsidRDefault="00163957" w:rsidP="00163957">
      <w:pPr>
        <w:pStyle w:val="TextoNormal"/>
      </w:pPr>
    </w:p>
    <w:p w:rsidR="00163957" w:rsidRDefault="00163957" w:rsidP="00163957">
      <w:pPr>
        <w:pStyle w:val="TextoNormal"/>
      </w:pPr>
      <w:r>
        <w:t>El Tribunal no se ha mostrado ajeno a la gravedad de la crisis económica que atraviesa la zona euro, habiéndose hecho eco de la profunda crisis presupuestaria en los AATC 95/2011, de 21 junio, FJ 5; 96/2011, de 21 de junio, FJ 5; 160/2011, de 22 de noviembre, FJ 3, y 147/2012, de 16 de julio, FJ 6, referidos todos ellos a las necesarias medidas de consolidación del gasto sanitario.</w:t>
      </w:r>
    </w:p>
    <w:p w:rsidR="00163957" w:rsidRDefault="00163957" w:rsidP="00163957">
      <w:pPr>
        <w:pStyle w:val="TextoNormal"/>
      </w:pPr>
    </w:p>
    <w:p w:rsidR="00163957" w:rsidRDefault="00163957" w:rsidP="00163957">
      <w:pPr>
        <w:pStyle w:val="TextoNormal"/>
      </w:pPr>
      <w:r>
        <w:t>b) La conexión de las medidas adoptadas en los arts. 27 y 28 con la situación de extraordinaria y urgente necesidad alegada se desprende del apartado VI del preámbulo, fue mencionada en el debate de convalidación y aparece extensamente justificada en la memoria del análisis del impacto normativo del Real Decreto-Ley 20/2012, de la que se reproduce un amplio extracto.</w:t>
      </w:r>
    </w:p>
    <w:p w:rsidR="00163957" w:rsidRDefault="00163957" w:rsidP="00163957">
      <w:pPr>
        <w:pStyle w:val="TextoNormal"/>
      </w:pPr>
    </w:p>
    <w:p w:rsidR="00163957" w:rsidRDefault="00163957" w:rsidP="00163957">
      <w:pPr>
        <w:pStyle w:val="TextoNormal"/>
      </w:pPr>
      <w:r>
        <w:t>En particular, la memoria del proyecto justifica sobradamente la concurrencia del presupuesto habilitante. En una situación de crisis como la actual que nos ha llevado a cifras de paro hasta ahora desconocidas, en la que España ha entrado en una segunda recesión en poco tiempo debida a un hundimiento del consumo interno y, por tanto, de uno de los componentes de la demanda agregada, es clara la urgencia de implementar medidas que esperan producir “un incremento del PIB de un 1,63 por 100 para el conjunto de la economía nacional, (aprox. 17.187 millones de euros)” y “337.581 nuevos puestos de trabajo en el total de la economía”. Se podrá decir que son simples previsiones, pero todas lo son en materia económica. Difícilmente puede exigirse a los órganos políticos hacer un mayor esfuerzo justificativo de la urgencia, salvo que se “reduzca a la nada el Decreto-ley, que es un instrumento normativo previsto por la Constitución, ‘del que es posible hacer uso para dar respuesta a las perspectivas cambiantes de la vida actual’” (por todas, STC 111/1983, de 2 diciembre, FJ 8).</w:t>
      </w:r>
    </w:p>
    <w:p w:rsidR="00163957" w:rsidRDefault="00163957" w:rsidP="00163957">
      <w:pPr>
        <w:pStyle w:val="TextoNormal"/>
      </w:pPr>
    </w:p>
    <w:p w:rsidR="00163957" w:rsidRDefault="00163957" w:rsidP="00163957">
      <w:pPr>
        <w:pStyle w:val="TextoNormal"/>
      </w:pPr>
      <w:r>
        <w:t>c) El art. 27 del Real Decreto-ley 20/2012 tiene materialmente carácter básico. La doctrina del Tribunal referida al régimen de horarios comerciales [SSTC 225/1993, de 8 de julio, FJ 4; 264/1993, de 22 de julio, FJ 3 c); 284/1993, de 30 de septiembre, FJ 4; 88/2010, de 15 de noviembre, FJ 5; 140/2011, de 14 de septiembre, FFJJ 2 a 4, y 26/2012, de 1 de marzo, FFJJ 6 a 8] ha examinado normativas estatales que establecían muy diversos grados de liberalización y, por tanto, permitían un correlativo mayor o menor espacio de desarrollo autonómico. El Tribunal ha reiterado que cuando la normativa estatal básica desregule, por liberalizar, un sector, resulta lógico que no permita normativa autonómica de desarrollo, salvo que ésta se limitase a reproducir la liberalización ya efectuada desde la norma básica. Además, una norma básica que afecte sólo a una submateria de un título competencial autonómico más amplio, nunca puede producir un vaciamiento, por sí sola, de la competencia, dado que ésta siempre tendría un ámbito material más extenso sobre el que podría seguir desplegándose, y que no quedaría afectado por el ejercicio por el Estado de la competencia sobre la normativa básica.</w:t>
      </w:r>
    </w:p>
    <w:p w:rsidR="00163957" w:rsidRDefault="00163957" w:rsidP="00163957">
      <w:pPr>
        <w:pStyle w:val="TextoNormal"/>
      </w:pPr>
    </w:p>
    <w:p w:rsidR="00163957" w:rsidRDefault="00163957" w:rsidP="00163957">
      <w:pPr>
        <w:pStyle w:val="TextoNormal"/>
      </w:pPr>
      <w:r>
        <w:lastRenderedPageBreak/>
        <w:t>Respecto de la modificación del art. 4 de la Ley 1/2004, el precepto impugnado únicamente pretende establecer un régimen mínimo de libertad de horarios, dentro del cual el legislador autonómico podrá optar por grados superiores de liberalización. Para la determinación de los domingos y festivos de apertura, el legislador básico se limita a concretar los criterios mínimos dentro de los cuales las Comunidades Autónomas deberán decidir los días concretos de apertura, otorgando un amplio margen de concreción.</w:t>
      </w:r>
    </w:p>
    <w:p w:rsidR="00163957" w:rsidRDefault="00163957" w:rsidP="00163957">
      <w:pPr>
        <w:pStyle w:val="TextoNormal"/>
      </w:pPr>
    </w:p>
    <w:p w:rsidR="00163957" w:rsidRDefault="00163957" w:rsidP="00163957">
      <w:pPr>
        <w:pStyle w:val="TextoNormal"/>
      </w:pPr>
      <w:r>
        <w:t>La novedad introducida en el art. 5 de la Ley 1/2004 consiste en precisar los criterios mínimos que deben seguir las Comunidades Autónomas para determinar las zonas de gran afluencia turística. Son susceptibles de ser ampliados por las Comunidades Autónomas, y permiten un grado de apreciación autonómico para su adaptación a las circunstancias de cada región.</w:t>
      </w:r>
    </w:p>
    <w:p w:rsidR="00163957" w:rsidRDefault="00163957" w:rsidP="00163957">
      <w:pPr>
        <w:pStyle w:val="TextoNormal"/>
      </w:pPr>
    </w:p>
    <w:p w:rsidR="00163957" w:rsidRDefault="00163957" w:rsidP="00163957">
      <w:pPr>
        <w:pStyle w:val="TextoNormal"/>
      </w:pPr>
      <w:r>
        <w:t>No puede pues imputarse vaciamiento competencial a una normativa desreguladora, que sólo incide parcialmente en un subsector de un título competencial autonómico más amplio. Pero es que, además, las bases impugnadas no son ni mucho menos agotadoras, permitiendo que, dentro de ellas, las Comunidades Autónomas puedan optar por establecer grados superiores de libertad de horarios comerciales.</w:t>
      </w:r>
    </w:p>
    <w:p w:rsidR="00163957" w:rsidRDefault="00163957" w:rsidP="00163957">
      <w:pPr>
        <w:pStyle w:val="TextoNormal"/>
      </w:pPr>
    </w:p>
    <w:p w:rsidR="00163957" w:rsidRDefault="00163957" w:rsidP="00163957">
      <w:pPr>
        <w:pStyle w:val="TextoNormal"/>
      </w:pPr>
      <w:r>
        <w:t>d) El art. 28 del Real Decreto-ley 20/2012 ha modificado los arts. 18.4, 20, 25, 26.1, 27, 28 y 31 de la Ley 7/1996, con la finalidad de desregular el régimen de ventas promocionales.</w:t>
      </w:r>
    </w:p>
    <w:p w:rsidR="00163957" w:rsidRDefault="00163957" w:rsidP="00163957">
      <w:pPr>
        <w:pStyle w:val="TextoNormal"/>
      </w:pPr>
    </w:p>
    <w:p w:rsidR="00163957" w:rsidRDefault="00163957" w:rsidP="00163957">
      <w:pPr>
        <w:pStyle w:val="TextoNormal"/>
      </w:pPr>
      <w:r>
        <w:t>La demanda no desarrolla suficientemente el motivo de impugnación material de este precepto, por lo que resulta difícil comprender las razones de su censura constitucional. La mayor parte de su argumentación está destinada a subrayar que el Real Decreto-ley 20/2012 ha modificado el título competencial al amparo del que se dictan los preceptos impugnados, lo cual, además de no ser completamente cierto, ha quedado justificado por la finalidad que persigue la norma, que se fundamenta específicamente en el art. 149.1.13 CE en el contexto de las circunstancias económicas por las que atraviesa España. El análisis del contenido material de las modificaciones, dirigidas a liberalizar todo tipo de ventas promocionales (rebajas, saldos, liquidaciones o cualquier otra destinada a incrementar las ventas), muestra su incidencia directa, inmediata y significativa en la actividad económica, como factor dinamizador de la actividad comercial. En el contexto actual de falta de disponibilidad crediticia, no se puede desconocer el hecho de que las rebajas suponen una disponibilidad de liquidez para el empresario, que convierte su stock en caja. Esta posibilidad de drenaje de recursos líquidos a la economía se ve perjudicada por la rigidez de los períodos de rebajas tal y como estaban configurados, porque aunque la campaña de rebajas constituye un estímulo en la cifra de ventas para los establecimientos comerciales, tiene el efecto perverso de suponer a la vez, un desincentivo a la compra durante el resto del tiempo en que no se producen.</w:t>
      </w:r>
    </w:p>
    <w:p w:rsidR="00163957" w:rsidRDefault="00163957" w:rsidP="00163957">
      <w:pPr>
        <w:pStyle w:val="TextoNormal"/>
      </w:pPr>
    </w:p>
    <w:p w:rsidR="00163957" w:rsidRDefault="00163957" w:rsidP="00163957">
      <w:pPr>
        <w:pStyle w:val="TextoNormal"/>
      </w:pPr>
      <w:r>
        <w:t>En esta línea se han pronunciado los estudios efectuados por las principales asociaciones de empresarios y de consumidores y usuarios, la Comisión Nacional de la Competencia (informe sobre la reforma de la Ley del comercio minorista, 2009), y la Comisión Europea (informe “Hacia un mercado interior del comercio y de la distribución más justo y eficaz en la perspectiva de 2020”, 2010), que se citan.</w:t>
      </w:r>
    </w:p>
    <w:p w:rsidR="00163957" w:rsidRDefault="00163957" w:rsidP="00163957">
      <w:pPr>
        <w:pStyle w:val="TextoNormal"/>
      </w:pPr>
    </w:p>
    <w:p w:rsidR="00163957" w:rsidRDefault="00163957" w:rsidP="00163957">
      <w:pPr>
        <w:pStyle w:val="TextoNormal"/>
      </w:pPr>
      <w:r>
        <w:lastRenderedPageBreak/>
        <w:t>Por todo ello, las medidas de desregulación de las ventas promocionales tienen amparo en el art. 149.1.13 CE, en términos similares a los expuestos al razonar la constitucionalidad de las medidas adoptadas en relación con los horarios comerciales. Se trata de adoptar medidas que dinamicen en toda España el comercio, y que exigen una uniformidad en todo el territorio. Las medidas adoptadas no eliminan la capacidad de regulación de las Comunidades Autónomas, si bien es cierto que sitúan como protagonista de las decisiones al propio comerciante.</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1 de marzo de 2016 se señaló para deliberación y votación del presente recurso el día 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Gobierno de Canarias ha impugnado los arts. 27 y 28 del Real Decreto-ley 20/2012, de 13 de julio, de medidas para garantizar la estabilidad presupuestaria y de fomento de la competitividad (en lo sucesivo, Real Decreto-ley 20/2012). Entiende la recurrente que esta normativa se ha dictado con vulneración del art. 86.1 CE, al faltar el presupuesto habilitante de su extraordinaria y urgente necesidad, y del orden constitucional de distribución de competencias, por cuanto la regulación estatal objeto de esta controversia no encontraría amparo en el art. 149.1.13 CE e invade las competencias autonómicas en las materias de comercio interior y defensa de los consumidores y usuarios [art. 31.3 del Estatuto de Autonomía de Canarias (EACan)] y de turismo (art. 30.21 EACan).</w:t>
      </w:r>
    </w:p>
    <w:p w:rsidR="00163957" w:rsidRDefault="00163957" w:rsidP="00163957">
      <w:pPr>
        <w:pStyle w:val="TextoNormal"/>
      </w:pPr>
    </w:p>
    <w:p w:rsidR="00163957" w:rsidRDefault="00163957" w:rsidP="00163957">
      <w:pPr>
        <w:pStyle w:val="TextoNormal"/>
      </w:pPr>
      <w:r>
        <w:t>El Abogado del Estado, por las razones que han quedado detalladas en los antecedentes, insta la desestimación del recurso al entender que el Real Decreto-ley 20/2012 no ha incurrido en ninguna de las tachas de inconstitucionalidad que se le imputan.</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entrar a examinar el fondo de la controversia, son necesarias algunas precisiones previas:</w:t>
      </w:r>
    </w:p>
    <w:p w:rsidR="00163957" w:rsidRDefault="00163957" w:rsidP="00163957">
      <w:pPr>
        <w:pStyle w:val="TextoNormal"/>
      </w:pPr>
    </w:p>
    <w:p w:rsidR="00163957" w:rsidRDefault="00163957" w:rsidP="00163957">
      <w:pPr>
        <w:pStyle w:val="TextoNormal"/>
      </w:pPr>
      <w:r>
        <w:t>a) La STC 18/2016, de 4 de febrero, ha declarado la inconstitucionalidad y nulidad de los arts. 28.4 y 28.5 del Real Decreto-ley 20/2012 en cuanto que dan nueva redacción a los arts. 26.1 y 27.2 de la Ley 7/1996, de 15 de enero, de ordenación del comercio minorista. Esta previa decisión determina la pérdida de objeto del presente recurso de inconstitucionalidad en cuanto a los dos apartados que han quedado ya expulsados del ordenamiento jurídico.</w:t>
      </w:r>
    </w:p>
    <w:p w:rsidR="00163957" w:rsidRDefault="00163957" w:rsidP="00163957">
      <w:pPr>
        <w:pStyle w:val="TextoNormal"/>
      </w:pPr>
    </w:p>
    <w:p w:rsidR="00163957" w:rsidRDefault="00163957" w:rsidP="00163957">
      <w:pPr>
        <w:pStyle w:val="TextoNormal"/>
      </w:pPr>
      <w:r>
        <w:t>b) En la línea apuntada por el Abogado del Estado, cabe apreciar la total ausencia de argumentación de la demanda en lo que concierne al apartado 5 del art. 27 y a los apartados 2 y 3 del art. 28 del Real Decreto-ley 20/2012, incumpliendo la carga de colaborar con la justicia de este Tribunal (por todas, STC 104/2015, de 28 de mayo, FJ 11). Ello conduce derechamente a la desestimación de la impugnación de estos apartados, sin que proceda entrar en su enjuiciamiento.</w:t>
      </w:r>
    </w:p>
    <w:p w:rsidR="00163957" w:rsidRDefault="00163957" w:rsidP="00163957">
      <w:pPr>
        <w:pStyle w:val="TextoNormal"/>
      </w:pPr>
    </w:p>
    <w:p w:rsidR="00163957" w:rsidRDefault="00163957" w:rsidP="00163957">
      <w:pPr>
        <w:pStyle w:val="TextoNormal"/>
      </w:pPr>
      <w:r>
        <w:t xml:space="preserve">c) Todos los reproches de inconstitucionalidad dirigidos por este recurso al Real Decreto-ley 20/2012 han sido previamente abordados por las SSTC 156/2015, de 9 de julio, y 18/2016, de 4 de febrero. Por ello en esta resolución, que se dicta en aplicación de la doctrina </w:t>
      </w:r>
      <w:r>
        <w:lastRenderedPageBreak/>
        <w:t>allí sentada, damos por reproducida su argumentación y nos limitaremos a sintetizar lo allí decidido.</w:t>
      </w:r>
    </w:p>
    <w:p w:rsidR="00163957" w:rsidRDefault="00163957" w:rsidP="00163957">
      <w:pPr>
        <w:pStyle w:val="TextoNormal"/>
      </w:pPr>
    </w:p>
    <w:p w:rsidR="00163957" w:rsidRDefault="00163957" w:rsidP="00163957">
      <w:pPr>
        <w:pStyle w:val="TextoNormal"/>
      </w:pPr>
      <w:r w:rsidRPr="00163957">
        <w:rPr>
          <w:rStyle w:val="NumeroAFNegritaCaracter"/>
        </w:rPr>
        <w:t>3</w:t>
      </w:r>
      <w:r>
        <w:t>. La tacha relativa a la falta del presupuesto habilitante de la extraordinaria y urgente necesidad exigida por el art. 86.1 CE, en lo que concierne específicamente a los arts. 27 y 28 que son objeto de impugnación en este proceso constitucional, fue desestimada por la STC 156/2015, FJ 6 [a la que se remite la STC 18/2016, FJ 5 c)]. Se consideró que tanto en la exposición de motivos de la norma cuestionada como en el debate parlamentario de convalidación, es posible apreciar que se ha explicitado la existencia de una situación de extraordinaria y urgente necesidad por referencia a la concreta coyuntura económica y a la necesidad de propiciar el crecimiento de la productividad y la competencia, y lo mismo sucede con el requisito de la conexión de sentido entre la situación de urgencia apreciada por el Gobierno y las medidas adoptadas para hacerle frente.</w:t>
      </w:r>
    </w:p>
    <w:p w:rsidR="00163957" w:rsidRDefault="00163957" w:rsidP="00163957">
      <w:pPr>
        <w:pStyle w:val="TextoNormal"/>
      </w:pPr>
    </w:p>
    <w:p w:rsidR="00163957" w:rsidRDefault="00163957" w:rsidP="00163957">
      <w:pPr>
        <w:pStyle w:val="TextoNormal"/>
      </w:pPr>
      <w:r w:rsidRPr="00163957">
        <w:rPr>
          <w:rStyle w:val="NumeroAFNegritaCaracter"/>
        </w:rPr>
        <w:t>4</w:t>
      </w:r>
      <w:r>
        <w:t>. El art. 27 del Real Decreto-ley 20/2012 modifica diversos preceptos de la Ley 1/2004, de 21 de diciembre, de horarios comerciales. En la STC 156/2015, FJ 7, determinamos que debe considerarse como formal y materialmente básica la regulación de los horarios comerciales contenida en los arts. 4.5, 5.4 y 5.5 de la Ley estatal 1/2004, objeto de modificación por los apartados 2 y 3 del impugnado art. 27. La posterior STC 18/2016 ha llevado a cabo el examen competencial de su íntegro contenido, desestimando su inconstitucionalidad, como se resume seguidamente.</w:t>
      </w:r>
    </w:p>
    <w:p w:rsidR="00163957" w:rsidRDefault="00163957" w:rsidP="00163957">
      <w:pPr>
        <w:pStyle w:val="TextoNormal"/>
      </w:pPr>
    </w:p>
    <w:p w:rsidR="00163957" w:rsidRDefault="00163957" w:rsidP="00163957">
      <w:pPr>
        <w:pStyle w:val="TextoNormal"/>
      </w:pPr>
      <w:r>
        <w:t xml:space="preserve">a) El art. 27.1 modifica el art. 3.1 de la Ley 1/2004, y establece que el horario global en el que los comercios pueden desarrollar su actividad en días laborables no puede ser restringido por las Comunidades Autónomas a menos de 90 horas. La STC 18/2016 se ha pronunciado afirmando que el Estado, en el ejercicio de sus competencias </w:t>
      </w:r>
      <w:r w:rsidRPr="00163957">
        <w:rPr>
          <w:i/>
        </w:rPr>
        <w:t>ex</w:t>
      </w:r>
      <w:r>
        <w:t xml:space="preserve"> art. 149.1.13 CE, ha decidido que, para la consecución de los objetivos básicos que persigue, resulta preciso establecer un régimen de más amplia liberalización de horarios, lo que no resulta contrario al orden constitucional de distribución de competencias [FJ 9 a) y doctrina allí citada].</w:t>
      </w:r>
    </w:p>
    <w:p w:rsidR="00163957" w:rsidRDefault="00163957" w:rsidP="00163957">
      <w:pPr>
        <w:pStyle w:val="TextoNormal"/>
      </w:pPr>
    </w:p>
    <w:p w:rsidR="00163957" w:rsidRDefault="00163957" w:rsidP="00163957">
      <w:pPr>
        <w:pStyle w:val="TextoNormal"/>
      </w:pPr>
      <w:r>
        <w:t>La desestimación de la queja planteada respecto al art. 27.1 conlleva la del art. 27.4, que modifica la disposición adicional primera de la Ley 1/2004. Esta norma establece simplemente una consecuencia para el caso de falta de ejercicio de las competencias autonómicas en materia de comercio en el subsector de los horarios comerciales, de modo que no impone una libertad horaria, sino que permite que las Comunidades Autónomas opten por ella en el caso de que decidan no utilizar las posibilidades de regulación que derivan de la norma estatal.</w:t>
      </w:r>
    </w:p>
    <w:p w:rsidR="00163957" w:rsidRDefault="00163957" w:rsidP="00163957">
      <w:pPr>
        <w:pStyle w:val="TextoNormal"/>
      </w:pPr>
    </w:p>
    <w:p w:rsidR="00163957" w:rsidRDefault="00163957" w:rsidP="00163957">
      <w:pPr>
        <w:pStyle w:val="TextoNormal"/>
      </w:pPr>
      <w:r>
        <w:t>b) Respecto del régimen de domingos y festivos de apertura que deriva del art. 27.2, que da nueva redacción al art. 4 de la Ley 1/2004, la STC 18/2016, FJ 9 b), ha excluido que incurra en vulneración competencial, al considerar que la opción legislativa estatal supone el establecimiento de normas básicas en lo relativo a la intervención administrativa en la fijación de los horarios comerciales cuya concreción requiere de la actuación autonómica, para, respetando el mínimo estatal, fijar el número y determinación concreta de los festivos de apertura autorizada.</w:t>
      </w:r>
    </w:p>
    <w:p w:rsidR="00163957" w:rsidRDefault="00163957" w:rsidP="00163957">
      <w:pPr>
        <w:pStyle w:val="TextoNormal"/>
      </w:pPr>
    </w:p>
    <w:p w:rsidR="00163957" w:rsidRDefault="00163957" w:rsidP="00163957">
      <w:pPr>
        <w:pStyle w:val="TextoNormal"/>
      </w:pPr>
      <w:r>
        <w:lastRenderedPageBreak/>
        <w:t>c) El art. 27.3 modifica el art. 5 de la Ley 1/2004, para regular los establecimientos con régimen especial de horarios y fijar criterios para la determinación de las zonas de gran afluencia turística por parte de las Comunidades Autónomas.</w:t>
      </w:r>
    </w:p>
    <w:p w:rsidR="00163957" w:rsidRDefault="00163957" w:rsidP="00163957">
      <w:pPr>
        <w:pStyle w:val="TextoNormal"/>
      </w:pPr>
    </w:p>
    <w:p w:rsidR="00163957" w:rsidRDefault="00163957" w:rsidP="00163957">
      <w:pPr>
        <w:pStyle w:val="TextoNormal"/>
      </w:pPr>
      <w:r>
        <w:t xml:space="preserve">En las SSTC 156/2015, FJ 10 y 18/2016, FJ 9 c), hemos considerado que se trata de reglas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 sin que las normas sean tan exhaustivas o minuciosas que agoten la regulación de la materia, sino que establecen un </w:t>
      </w:r>
      <w:r w:rsidRPr="00163957">
        <w:rPr>
          <w:i/>
        </w:rPr>
        <w:t>minimum</w:t>
      </w:r>
      <w:r>
        <w:t xml:space="preserve"> sobre el que la Comunidad Autónoma puede establecer una normativa adicional en el ejercicio de sus competencias.</w:t>
      </w:r>
    </w:p>
    <w:p w:rsidR="00163957" w:rsidRDefault="00163957" w:rsidP="00163957">
      <w:pPr>
        <w:pStyle w:val="TextoNormal"/>
      </w:pPr>
    </w:p>
    <w:p w:rsidR="00163957" w:rsidRDefault="00163957" w:rsidP="00163957">
      <w:pPr>
        <w:pStyle w:val="TextoNormal"/>
      </w:pPr>
      <w:r w:rsidRPr="00163957">
        <w:rPr>
          <w:rStyle w:val="NumeroAFNegritaCaracter"/>
        </w:rPr>
        <w:t>5</w:t>
      </w:r>
      <w:r>
        <w:t>. El art. 28 del Real Decreto-ley modifica parcialmente la Ley 7/1996, de 15 de enero, de ordenación del comercio minorista.</w:t>
      </w:r>
    </w:p>
    <w:p w:rsidR="00163957" w:rsidRDefault="00163957" w:rsidP="00163957">
      <w:pPr>
        <w:pStyle w:val="TextoNormal"/>
      </w:pPr>
    </w:p>
    <w:p w:rsidR="00163957" w:rsidRDefault="00163957" w:rsidP="00163957">
      <w:pPr>
        <w:pStyle w:val="TextoNormal"/>
      </w:pPr>
      <w:r>
        <w:t>Con respecto a la alegación relativa a la trascendencia que tengan los cambios en la calificación competencial de las normas impugnadas, procede remitirse a la doble consideración de la STC 18/2016, FJ 10: (i) el legislador estatal es libre para determinar el título competencial en el que funda sus decisiones, siendo lo único relevante a la hora de determinar la constitucionalidad o no de la normativa controvertida que responda a un legítimo ejercicio de las competencias estatales; y (ii) corresponde en todo caso a este Tribunal identificar finalmente el título competencial concreto que ofrezca —cuando proceda— cobertura a los preceptos impugnados, sin que en dicha tarea se encuentre vinculado por “las incardinaciones competenciales contenidas en las normas sometidas a su enjuiciamiento” (STC 144/1985, de 25 de abril, FJ 1), ni tampoco “por el encuadramiento competencial que realicen las partes en el proceso” (por todas, STC 74/2014, de 8 de mayo).</w:t>
      </w:r>
    </w:p>
    <w:p w:rsidR="00163957" w:rsidRDefault="00163957" w:rsidP="00163957">
      <w:pPr>
        <w:pStyle w:val="TextoNormal"/>
      </w:pPr>
    </w:p>
    <w:p w:rsidR="00163957" w:rsidRDefault="00163957" w:rsidP="00163957">
      <w:pPr>
        <w:pStyle w:val="TextoNormal"/>
      </w:pPr>
      <w:r>
        <w:t>a) El art. 28.1 añade un apartado 4 al artículo 18 de la Ley 7/1996, a fin de permitir que en un mismo comercio puedan simultanearse las actividades de promoción de ventas, excepto la venta por liquidación, teniendo la consideración de actividades de promoción de ventas las ventas en rebajas, las ventas en oferta o promoción, las ventas de saldos, las ventas en liquidación, las ventas con obsequio y las ofertas de venta directa.</w:t>
      </w:r>
    </w:p>
    <w:p w:rsidR="00163957" w:rsidRDefault="00163957" w:rsidP="00163957">
      <w:pPr>
        <w:pStyle w:val="TextoNormal"/>
      </w:pPr>
    </w:p>
    <w:p w:rsidR="00163957" w:rsidRDefault="00163957" w:rsidP="00163957">
      <w:pPr>
        <w:pStyle w:val="TextoNormal"/>
      </w:pPr>
      <w:r>
        <w:t>En términos de la STC 18/2016, FJ 10, se trata de una regulación que afecta sobre todo a la relación horizontal entre las empresas en una economía de libre mercado y no a la situación del consumidor como destinatario de los productos, por lo que su aprobación corresponde al ente territorial competente para legislar en el ámbito de la defensa de la competencia, esto es, el Estado en virtud del art. 149.1.13 CE (en un sentido similar, STC 26/2012, FJ 10).</w:t>
      </w:r>
    </w:p>
    <w:p w:rsidR="00163957" w:rsidRDefault="00163957" w:rsidP="00163957">
      <w:pPr>
        <w:pStyle w:val="TextoNormal"/>
      </w:pPr>
    </w:p>
    <w:p w:rsidR="00163957" w:rsidRDefault="00163957" w:rsidP="00163957">
      <w:pPr>
        <w:pStyle w:val="TextoNormal"/>
      </w:pPr>
      <w:r>
        <w:t>b) El art. 28.6 da nueva redacción al art. 28 de la Ley 7/1996, relativo a la definición de la venta de saldos, suprimiendo su apartado 3, que establecía que “tampoco cabe calificar como venta de saldos aquella en que los productos no pertenecieran al comerciante seis meses antes de la fecha de comienzo de este tipo de actividad comercial, excepción hecha de los establecimientos dedicados específicamente al referido sistema de venta”.</w:t>
      </w:r>
    </w:p>
    <w:p w:rsidR="00163957" w:rsidRDefault="00163957" w:rsidP="00163957">
      <w:pPr>
        <w:pStyle w:val="TextoNormal"/>
      </w:pPr>
    </w:p>
    <w:p w:rsidR="00163957" w:rsidRDefault="00163957" w:rsidP="00163957">
      <w:pPr>
        <w:pStyle w:val="TextoNormal"/>
      </w:pPr>
      <w:r>
        <w:lastRenderedPageBreak/>
        <w:t>Para la STC 18/2016, FJ 10, la conformidad competencial del art. 28.6 viene dada por la doctrina de la STC 124/2003, de 19 de junio, FJ 5, en la que ya declaramos que el art. 28.1 de la Ley 7/1996 “tiene encaje en las competencias estatales en la medida en que delimita el ámbito de la excepción que el art. 14.1 de la propia Ley establece a la prohibición general de las ventas a pérdida. En efecto, el citado precepto -no invocado como inconstitucional- contempla la venta de saldos como supuesto exceptuado de la genérica prohibición de la venta con pérdidas establecida en virtud del título estatal sobre defensa de la competencia; en tales circunstancias, no resulta exorbitante entender que el mismo título habilita al Estado para establecer los límites definitorios de la excepción que la propia norma consagra”. Esa misma consideración es aplicable aquí en la medida en que el subsistente art. 28.2 cumple esa función de definición de la excepción, sin que con ello se establezca una completa regulación sustantiva de derecho público acerca de la venta de saldos.</w:t>
      </w:r>
    </w:p>
    <w:p w:rsidR="00163957" w:rsidRDefault="00163957" w:rsidP="00163957">
      <w:pPr>
        <w:pStyle w:val="TextoNormal"/>
      </w:pPr>
    </w:p>
    <w:p w:rsidR="00163957" w:rsidRDefault="00163957" w:rsidP="00163957">
      <w:pPr>
        <w:pStyle w:val="TextoNormal"/>
      </w:pPr>
      <w:r>
        <w:t>c) El art. 28.7 modifica el art. 31, estableciendo, en el apartado 1, que la duración máxima de la venta en liquidación debe ser de un año y, en el apartado 2, que “no procederá efectuar una nueva liquidación en el mismo establecimiento de productos similares a la anterior en el curso de los tres años siguientes, excepto cuando esta última tenga lugar en ejecución de decisión judicial o administrativa, por cesación total de la actividad o por causa de fuerza mayor”.</w:t>
      </w:r>
    </w:p>
    <w:p w:rsidR="00163957" w:rsidRDefault="00163957" w:rsidP="00163957">
      <w:pPr>
        <w:pStyle w:val="TextoNormal"/>
      </w:pPr>
    </w:p>
    <w:p w:rsidR="00163957" w:rsidRDefault="00163957" w:rsidP="00163957">
      <w:pPr>
        <w:pStyle w:val="TextoNormal"/>
      </w:pPr>
      <w:r>
        <w:t xml:space="preserve">Como señala la STC 18/2016, FJ 10, este precepto también es conforme con el orden constitucional de delimitación de competencias. En cuanto a la determinación de la duración de la venta en liquidación, es aplicable aquí la doctrina constitucional según la cual las normas que establecen un marco temporal imperativo para el desarrollo de modalidades específicas de venta deben considerarse integradas en las normas que velan por la defensa de la competencia y su aprobación corresponde al Estado </w:t>
      </w:r>
      <w:r w:rsidRPr="00163957">
        <w:rPr>
          <w:i/>
        </w:rPr>
        <w:t>ex</w:t>
      </w:r>
      <w:r>
        <w:t xml:space="preserve"> artículo 149.1.13 CE. Y con respecto a la prohibición de efectuar una nueva liquidación de productos similares en los tres años siguientes, ya la STC 88/1986, de 1 de julio, consideró que un precepto similar excedía de las competencias autonómicas porque suponía impedir el ejercicio de una actividad comercial durante un periodo, lo cual equivalía a “una interdicción del ejercicio del comercio con su contenido propio ... de clara competencia estatal, a tenor del artículo 149.1.6 CE” [FJ 8 f)].</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Declarar que ha perdido objeto la impugnación de los arts. 28.4 y 28.5 del Real Decreto-ley 20/2012, de 13 de julio, de medidas para garantizar la estabilidad presupuestaria y de fomento de la competitividad, en cuanto que dan nueva redacción a los arts. 26.1 y 27.2 de la Ley 7/1996, de 15 de enero, de ordenación del comercio minorista.</w:t>
      </w:r>
    </w:p>
    <w:p w:rsidR="00163957" w:rsidRDefault="00163957" w:rsidP="00163957">
      <w:pPr>
        <w:pStyle w:val="TextoNormal"/>
      </w:pPr>
    </w:p>
    <w:p w:rsidR="00163957" w:rsidRDefault="00163957" w:rsidP="00163957">
      <w:pPr>
        <w:pStyle w:val="TextoNormal"/>
      </w:pPr>
      <w:r>
        <w:t>2º Desestimar el recurso de inconstitucionalidad núm. 2240-2013 en todo lo demás.</w:t>
      </w:r>
    </w:p>
    <w:p w:rsidR="00163957" w:rsidRDefault="00163957" w:rsidP="00163957">
      <w:pPr>
        <w:pStyle w:val="TextoNormal"/>
      </w:pPr>
    </w:p>
    <w:p w:rsidR="00163957" w:rsidRDefault="00163957" w:rsidP="00163957">
      <w:pPr>
        <w:pStyle w:val="TextoNormal"/>
      </w:pPr>
      <w:r>
        <w:lastRenderedPageBreak/>
        <w:t>Publíquese esta Sentencia en el “Boletín Oficial del Estado”.</w:t>
      </w:r>
    </w:p>
    <w:p w:rsidR="00163957" w:rsidRDefault="00163957" w:rsidP="00163957">
      <w:pPr>
        <w:pStyle w:val="TextoNormal"/>
      </w:pPr>
      <w:r>
        <w:t>Dada en Madrid, a tres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41" w:name="SENTENCIA_2016_38"/>
      <w:r>
        <w:lastRenderedPageBreak/>
        <w:t>SENTENCIA 38/2016, de 3 de marzo de 2016</w:t>
      </w:r>
    </w:p>
    <w:bookmarkEnd w:id="41"/>
    <w:p w:rsidR="00163957" w:rsidRDefault="00163957" w:rsidP="00163957">
      <w:pPr>
        <w:pStyle w:val="TtuloResolucin"/>
      </w:pPr>
      <w:r>
        <w:t>Pleno</w:t>
      </w:r>
    </w:p>
    <w:p w:rsidR="00163957" w:rsidRDefault="00163957" w:rsidP="00163957">
      <w:pPr>
        <w:pStyle w:val="TtuloBOE"/>
      </w:pPr>
      <w:r>
        <w:t>(BOE núm. 85, de 8 de abril de 2016)</w:t>
      </w:r>
    </w:p>
    <w:p w:rsidR="00163957" w:rsidRDefault="00163957" w:rsidP="00163957">
      <w:pPr>
        <w:pStyle w:val="TextoNormalCentrado"/>
      </w:pPr>
      <w:r>
        <w:t>ECLI:ES:TC:2016:38</w:t>
      </w:r>
    </w:p>
    <w:p w:rsidR="00163957" w:rsidRDefault="00163957" w:rsidP="00163957">
      <w:pPr>
        <w:pStyle w:val="TextoNormalCentrado"/>
      </w:pPr>
    </w:p>
    <w:p w:rsidR="00163957" w:rsidRDefault="00163957" w:rsidP="00163957">
      <w:pPr>
        <w:pStyle w:val="SntesisDescriptiva"/>
      </w:pPr>
      <w:r>
        <w:t>Recurso de inconstitucionalidad 7084-2013. Interpuesto por más de cincuenta Senadores del Grupo Parlamentario Socialista respecto del Decreto-ley 5/2013, de 6 de septiembre, por el que se adoptan determinadas medidas urgentes en relación con la implantación, para el curso 2013-2014, del sistema de tratamiento integrado de las lenguas en los centros docentes no universitarios de las Illes Balears.</w:t>
      </w:r>
    </w:p>
    <w:p w:rsidR="00163957" w:rsidRDefault="00163957" w:rsidP="00163957">
      <w:pPr>
        <w:pStyle w:val="SntesisDescriptiva"/>
      </w:pPr>
    </w:p>
    <w:p w:rsidR="00163957" w:rsidRDefault="00163957" w:rsidP="00163957">
      <w:pPr>
        <w:pStyle w:val="SntesisAnaltica"/>
      </w:pPr>
      <w:r>
        <w:t>Límites a los decretos-leyes, principio de interdicción de la arbitrariedad, derechos a la tutela judicial efectiva (ejecución de sentencias) y a la educación: nulidad de los preceptos autonómicos relativos a los requisitos de proyectos de tratamiento integrado de lenguas y proyectos transitorios.</w:t>
      </w:r>
    </w:p>
    <w:p w:rsidR="00163957" w:rsidRDefault="00163957" w:rsidP="00163957">
      <w:pPr>
        <w:pStyle w:val="SntesisAnaltica"/>
      </w:pPr>
    </w:p>
    <w:p w:rsidR="00163957" w:rsidRDefault="00163957" w:rsidP="00163957">
      <w:pPr>
        <w:pStyle w:val="Extracto"/>
      </w:pPr>
      <w:r>
        <w:t>1.</w:t>
      </w:r>
      <w:r>
        <w:tab/>
        <w:t>La suspensión del calendario escolar para el curso 2013-2014 requería una acción normativa inmediata teniendo en cuenta que, salvo el calendario de aplicación, el resto del normativa sobre los proyectos de tratamiento integrado de lenguas seguía vigente, los centros escolares ya habían aprobado sus respectivos programas y ya se había hecho la correspondiente planificación en todos los ámbitos: asignación de profesorado, programación escolar, horarios y adquisición de los libros de texto por las familias (STC 51/2013) [FJ 4].</w:t>
      </w:r>
    </w:p>
    <w:p w:rsidR="00163957" w:rsidRDefault="00163957" w:rsidP="00163957">
      <w:pPr>
        <w:pStyle w:val="Extracto"/>
      </w:pPr>
    </w:p>
    <w:p w:rsidR="00163957" w:rsidRDefault="00163957" w:rsidP="00163957">
      <w:pPr>
        <w:pStyle w:val="Extracto"/>
      </w:pPr>
      <w:r>
        <w:t>2.</w:t>
      </w:r>
      <w:r>
        <w:tab/>
        <w:t>La aprobación del calendario escolar para el curso 2013-2014 tiene una justificación razonable, es idónea y proporcional, pues se trataba de permitir la aplicación de la norma que regulaba el tratamiento integrado de las lenguas en los centros docentes no universitarios de las Illes Balears (STC 48/2005) [FJ 7].</w:t>
      </w:r>
    </w:p>
    <w:p w:rsidR="00163957" w:rsidRDefault="00163957" w:rsidP="00163957">
      <w:pPr>
        <w:pStyle w:val="Extracto"/>
      </w:pPr>
    </w:p>
    <w:p w:rsidR="00163957" w:rsidRDefault="00163957" w:rsidP="00163957">
      <w:pPr>
        <w:pStyle w:val="Extracto"/>
      </w:pPr>
      <w:r>
        <w:t>3.</w:t>
      </w:r>
      <w:r>
        <w:tab/>
        <w:t>La aprobación de un calendario de aplicación de los proyectos de tratamiento integrado de lenguas, se sitúa en el ámbito meramente procedimental, pero no afecta al contenido material del proyecto educativo que se regula en el Decreto 15/2013, así como no afecta al régimen general del derecho a la educación, ni al contenido o elementos esenciales de dicho derecho [FJ 7].</w:t>
      </w:r>
    </w:p>
    <w:p w:rsidR="00163957" w:rsidRDefault="00163957" w:rsidP="00163957">
      <w:pPr>
        <w:pStyle w:val="Extracto"/>
      </w:pPr>
    </w:p>
    <w:p w:rsidR="00163957" w:rsidRDefault="00163957" w:rsidP="00163957">
      <w:pPr>
        <w:pStyle w:val="Extracto"/>
      </w:pPr>
      <w:r>
        <w:t>4.</w:t>
      </w:r>
      <w:r>
        <w:tab/>
        <w:t>Las referencias a que los proyectos de tratamiento integrado de lenguas “no pueden incluir dentro del cómputo horario las horas dedicadas al tiempo de recreo”, y a que “el área de religión o de actividad alternativa no se puede impartir en lengua extranjera”,  se fijan en una disposición adicional que no guarda ninguna conexión de sentido con los elementos de situación de extraordinaria y urgente necesidad,  que han de conformar la figura normativa del decreto-ley [FJ 5].</w:t>
      </w:r>
    </w:p>
    <w:p w:rsidR="00163957" w:rsidRDefault="00163957" w:rsidP="00163957">
      <w:pPr>
        <w:pStyle w:val="Extracto"/>
      </w:pPr>
    </w:p>
    <w:p w:rsidR="00163957" w:rsidRDefault="00163957" w:rsidP="00163957">
      <w:pPr>
        <w:pStyle w:val="Extracto"/>
      </w:pPr>
      <w:r>
        <w:t>5.</w:t>
      </w:r>
      <w:r>
        <w:tab/>
        <w:t>Doctrina sobre los límites a los decretos-leyes autonómicos (STC 93/2015) [FJ 2].</w:t>
      </w:r>
    </w:p>
    <w:p w:rsidR="00163957" w:rsidRDefault="00163957" w:rsidP="00163957">
      <w:pPr>
        <w:pStyle w:val="Extracto"/>
      </w:pPr>
    </w:p>
    <w:p w:rsidR="00163957" w:rsidRDefault="00163957" w:rsidP="00163957">
      <w:pPr>
        <w:pStyle w:val="Extracto"/>
      </w:pPr>
      <w:r>
        <w:t>6.</w:t>
      </w:r>
      <w:r>
        <w:tab/>
        <w:t>Doctrina sobre la extraordinaria y urgente necesidad como presupuesto habilitante para que el poder ejecutivo pueda dictar disposiciones legislativas de carácter provisional (SSTC 182/1997, 68/2007, 39/2013)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7084-2013, promovido por más de cincuenta Senadores del Grupo Parlamentario Socialista, contra el Decreto Ley 5/2013, de 6 de septiembre, por el que se adoptan determinadas medidas urgentes en relación con la implantación, para el curso 2013-2014, del sistema de tratamiento integrado de las lenguas en los centros docentes no universitarios de las Illes Balears. Ha comparecido y formulado alegaciones el Abogado de la Comunidad Autónoma de las Illes Balears. Ha comparecido sin formular alegaciones el Abogado del Estado. Ha sido Ponente el Magistrado don Juan Antonio Xiol Ríos,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en este Tribunal el día 4 de diciembre de 2013, se promovió recurso de inconstitucionalidad por más de cincuenta Senadores del Grupo Parlamentario Socialista en el Senado, contra el Decreto Ley 5/2013, de 6 de septiembre, por el que se adoptan determinadas medidas urgentes en relación con la implantación, para el curso 2013-2014, del sistema de tratamiento integrado de las lenguas en los centros docentes no universitarios de las Illes Balears.</w:t>
      </w:r>
    </w:p>
    <w:p w:rsidR="00163957" w:rsidRDefault="00163957" w:rsidP="00163957">
      <w:pPr>
        <w:pStyle w:val="TextoNormal"/>
      </w:pPr>
    </w:p>
    <w:p w:rsidR="00163957" w:rsidRDefault="00163957" w:rsidP="00163957">
      <w:pPr>
        <w:pStyle w:val="TextoNormal"/>
      </w:pPr>
      <w:r w:rsidRPr="00163957">
        <w:rPr>
          <w:rStyle w:val="NumeroAFNegritaCaracter"/>
        </w:rPr>
        <w:t>2</w:t>
      </w:r>
      <w:r>
        <w:t>. En el recurso se contiene la relación de antecedentes fácticos que a continuación resumidamente se exponen:</w:t>
      </w:r>
    </w:p>
    <w:p w:rsidR="00163957" w:rsidRDefault="00163957" w:rsidP="00163957">
      <w:pPr>
        <w:pStyle w:val="TextoNormal"/>
      </w:pPr>
    </w:p>
    <w:p w:rsidR="00163957" w:rsidRDefault="00163957" w:rsidP="00163957">
      <w:pPr>
        <w:pStyle w:val="TextoNormal"/>
      </w:pPr>
      <w:r>
        <w:t xml:space="preserve">a) El 20 de abril de 2013 se publicó en el “Boletín Oficial de las Illes Balears” el Decreto 15/2013, de 19 de abril, por el que se regulaba el tratamiento integrado de las lenguas en los centros docentes no universitarios de las Illes Balears. Contra dicha norma se interpusieron varios recursos contencioso-administrativos formulados por diversas organizaciones sindicales y por padres de alumnos afectados. En dos de estos procesos judiciales se declaró la suspensión cautelar de la efectividad del anexo del citado Decreto 15/2013 (que recogía el calendario de aplicación de los proyectos de tratamiento integrado de lenguas para el curso 2013-2014), así como la suspensión cautelar de la vigencia de dos instrucciones, ambas de fecha 9 de mayo de 2013, dictadas por el Secretario Autonómico de Educación, Cultura y </w:t>
      </w:r>
      <w:r>
        <w:lastRenderedPageBreak/>
        <w:t>Universidades, para la ejecución del Decreto en cuestión (Autos 203/2013 y 207/2013, ambos de 6 de septiembre, del Tribunal Superior de Justicia de las Illes Balears).</w:t>
      </w:r>
    </w:p>
    <w:p w:rsidR="00163957" w:rsidRDefault="00163957" w:rsidP="00163957">
      <w:pPr>
        <w:pStyle w:val="TextoNormal"/>
      </w:pPr>
    </w:p>
    <w:p w:rsidR="00163957" w:rsidRDefault="00163957" w:rsidP="00163957">
      <w:pPr>
        <w:pStyle w:val="TextoNormal"/>
      </w:pPr>
      <w:r>
        <w:t>b) Los recurrentes aportan el citado Auto 203/2013, de 6 de septiembre, de la Sala de lo Contencioso-Administrativo del Tribunal Superior de Justicia de las Illes Balears, en el que se declara la suspensión exponiendo, entre otros extremos, que “los recurrentes aducen que el Anexo del Decreto 15/2013 cuenta con un vicio de nulidad radical —art. 62.1 de la Ley 30/1992, en relación con el art. 46.3 de la Ley de la Comunidad Autónoma 4/2001—, lo que sería debido a que ese Anexo no fue sometido a exposición pública, ni informado por el Consell Consultiu, ni por la Universidad de les Illes Balears, ni por el Institut Balear de la Dona, ni ... por los servicios jurídicos, ni por la secretaría general correspondiente de la Administración actuante”, razones que llevan a la Sala a afirmar que la aplicación inmediata del Decreto 15/2013 consolida el sistema que se trata de implantar y dificulta la reparación o revisión, amenazando la efectividad de una posible sentencia estimatoria del recurso. El Auto cuenta con un voto particular en el que se discrepa de la decisión de suspensión, al entender que la medida cautelar se proyecta sobre una disposición de carácter general cuya suspensión comporta un grave perjuicio al interés público y ello solo es factible en supuestos excepcionales que, a juicio del Magistrado discrepante, no concurren.</w:t>
      </w:r>
    </w:p>
    <w:p w:rsidR="00163957" w:rsidRDefault="00163957" w:rsidP="00163957">
      <w:pPr>
        <w:pStyle w:val="TextoNormal"/>
      </w:pPr>
    </w:p>
    <w:p w:rsidR="00163957" w:rsidRDefault="00163957" w:rsidP="00163957">
      <w:pPr>
        <w:pStyle w:val="TextoNormal"/>
      </w:pPr>
      <w:r>
        <w:t>c) El mismo día en que fue dictada la medida cautelar se aprobó el Decreto-ley 5/2013, de 6 de septiembre, al amparo del art. 49.1 del Estatuto de Autonomía de la Comunidad Autónoma de las Illes Balears (EAIB), que prevé: “En caso de extraordinaria y urgente necesidad, el Consejo de Gobierno podrá dictar medidas legislativas provisionales en forma de Decretos leyes que no podrán afectar a los derechos establecidos en este Estatuto, a las materias objeto de leyes de desarrollo básico del Estatuto de Autonomía, a los presupuestos generales de la Comunidad Autónoma, a la reforma del Estatuto, al régimen electoral ni al ordenamiento de las instituciones básicas de la Comunidad Autónoma de las Illes Balears”. En su exposición de motivos el Decreto-ley 5/2013 declara que la suspensión del calendario de aplicación del tratamiento integrado de lenguas por parte del Tribunal Superior de Justicia de las Illes Balears produce importante perjuicios para toda la comunidad educativa, toda vez que el curso escolar 2013-2014 se inició el día 2 de septiembre de 2013 y se hace necesario, de manera urgente, aprobar un instrumento normativo que permita la inmediata aplicación efectiva de los proyectos de tratamiento integrado de lenguas aprobados en los centros escolares para el presente curso escolar.</w:t>
      </w:r>
    </w:p>
    <w:p w:rsidR="00163957" w:rsidRDefault="00163957" w:rsidP="00163957">
      <w:pPr>
        <w:pStyle w:val="TextoNormal"/>
      </w:pPr>
    </w:p>
    <w:p w:rsidR="00163957" w:rsidRDefault="00163957" w:rsidP="00163957">
      <w:pPr>
        <w:pStyle w:val="TextoNormal"/>
      </w:pPr>
      <w:r>
        <w:t>d) Los recurrentes también constatan como dato fáctico a tener en cuenta, que la aprobación del Decreto-ley impugnado dio lugar a una huelga indefinida en el sector educativo, así como a movilizaciones sin precedentes en la Comunidad Autónoma por parte de sindicatos, partidos políticos y asociaciones (lo que ilustran aportando un dosier de prensa), concluyendo que la aplicación del calendario de enseñanza trilingüe supuso una fractura social y fue una medida que se impuso sin contar con la participación de la comunidad educativa y sin contar con consenso alguno. También señalan que el presente Decreto-ley es el número 24 de los dictados por el Gobierno de la Comunidad Autónoma en la VII legislatura, que se inició a mediados del año 2011, lo que, a su juicio, permite apreciar una praxis autonómica que no se compadece con los perfiles constitucionales de la normativa de urgencia, que debiera caracterizarse por su excepcionalidad.</w:t>
      </w:r>
    </w:p>
    <w:p w:rsidR="00163957" w:rsidRDefault="00163957" w:rsidP="00163957">
      <w:pPr>
        <w:pStyle w:val="TextoNormal"/>
      </w:pPr>
    </w:p>
    <w:p w:rsidR="00163957" w:rsidRDefault="00163957" w:rsidP="00163957">
      <w:pPr>
        <w:pStyle w:val="TextoNormal"/>
      </w:pPr>
      <w:r w:rsidRPr="00163957">
        <w:rPr>
          <w:rStyle w:val="NumeroAFNegritaCaracter"/>
        </w:rPr>
        <w:t>3</w:t>
      </w:r>
      <w:r>
        <w:t>. En el recurso se expone la fundamentación jurídica que a continuación se resume.</w:t>
      </w:r>
    </w:p>
    <w:p w:rsidR="00163957" w:rsidRDefault="00163957" w:rsidP="00163957">
      <w:pPr>
        <w:pStyle w:val="TextoNormal"/>
      </w:pPr>
    </w:p>
    <w:p w:rsidR="00163957" w:rsidRDefault="00163957" w:rsidP="00163957">
      <w:pPr>
        <w:pStyle w:val="TextoNormal"/>
      </w:pPr>
      <w:r>
        <w:t>a) En primer lugar, se invoca la vulneración del art. 27.5 CE, del art. 26 EAIB y de la legislación orgánica estatal, al entender que la norma impugnada atenta contra las exigencias de participación de la comunidad educativa en la programación general de la enseñanza y limita indebidamente la autonomía de los centros educativos. Se pone de relieve que la participación de la comunidad educativa forma parte del contenido del derecho a la educación, lo que se desprende de la propia Constitución, de la Ley Orgánica 2/2006, de 3 de mayo, de educación (LOE), así como del Estatuto de Autonomía balear (art. 26.6), y, sin embargo, el Decreto-ley que se impugna impone autoritariamente el calendario de aplicación del tratamiento integrado de lenguas en todos los centros educativos de las Illes Balears, sin seguir, a juicio de los recurrentes, el procedimiento exigido, toda vez que no fue informado por el Consejo Escolar de las Illes Balears, ni por la Universidad, ni por el Consejo Consultivo de las Illes Balears, sin que se sometiera al trámite de audiencia e información pública y sin que cuente con ningún informe técnico que evalúe sus posibles efectos. Más en concreto, entienden que los arts. 3, 4 y 5 del Decreto-ley restringen la autonomía organizativa y pedagógica de los centros educativos, que apenas pueden operar sobre los contenidos y ritmos de la enseñanza trilingüe, lo que se agudiza con la derogación, por parte de la disposición derogatoria última del Decreto-ley 5/2013, del art. 20 del Decreto 15/2013, que permitía mayor flexibilidad en la elaboración de los proyectos, así como por lo dispuesto en el art. 5 del Decreto-ley impugnado, que prevé que será el Departamento de Inspección Educativa, adscrito a la Dirección General competente de la Consejería de Educación, el órgano que podrá determinar el proyecto lingüístico educativo que deberá aplicarse a un determinado centro educativo.</w:t>
      </w:r>
    </w:p>
    <w:p w:rsidR="00163957" w:rsidRDefault="00163957" w:rsidP="00163957">
      <w:pPr>
        <w:pStyle w:val="TextoNormal"/>
      </w:pPr>
    </w:p>
    <w:p w:rsidR="00163957" w:rsidRDefault="00163957" w:rsidP="00163957">
      <w:pPr>
        <w:pStyle w:val="TextoNormal"/>
      </w:pPr>
      <w:r>
        <w:t>b) En segundo término se aduce la infracción de los arts. 86.1 CE y 49.1 EAIB en relación con el art. 27.5 CE y con el art. 26.6 EAIB, por afectación ilícita de elementos esenciales del derecho a la educación, al entrar el Decreto-ley a regular una materia que le está vedada, toda vez que adopta medidas que inciden directamente en el régimen legal de los proyectos educativos y que afectan a competencias del consejo escolar del centro y del claustro de profesores, lo que supone una injerencia en el derecho a la participación de la comunidad educativa y a la autonomía de los centros educativos que forma parte del contenido esencial del derecho a la educación (ex arts. 27.5 CE y 26.6 EAIB).</w:t>
      </w:r>
    </w:p>
    <w:p w:rsidR="00163957" w:rsidRDefault="00163957" w:rsidP="00163957">
      <w:pPr>
        <w:pStyle w:val="TextoNormal"/>
      </w:pPr>
    </w:p>
    <w:p w:rsidR="00163957" w:rsidRDefault="00163957" w:rsidP="00163957">
      <w:pPr>
        <w:pStyle w:val="TextoNormal"/>
      </w:pPr>
      <w:r>
        <w:t>c) En tercer lugar, se denuncia la infracción de los arts. 86.1 CE y 49.1 EAIB por falta de presupuesto de hecho habilitante, dada la inexistencia de una situación de extraordinaria y urgente necesidad que exija una ordenación de carácter legislativo. Aducen los recurrentes que la extraordinaria y urgente necesidad propias del Decreto-ley tiene lugar cuando es necesaria una intervención normativa con rango de ley, pero no está prevista para aquellos supuestos en los que la materia que se regula pertenece al ámbito de las normas reglamentarias y, sobre todo, afirman, no es un instrumento procedente para evadir una resolución judicial, ni para bloquear sus efectos.</w:t>
      </w:r>
    </w:p>
    <w:p w:rsidR="00163957" w:rsidRDefault="00163957" w:rsidP="00163957">
      <w:pPr>
        <w:pStyle w:val="TextoNormal"/>
      </w:pPr>
    </w:p>
    <w:p w:rsidR="00163957" w:rsidRDefault="00163957" w:rsidP="00163957">
      <w:pPr>
        <w:pStyle w:val="TextoNormal"/>
      </w:pPr>
      <w:r>
        <w:t xml:space="preserve">En este sentido, entienden que no puede considerarse presupuesto de hecho habilitante la necesidad de evitar los efectos de una medida de suspensión cautelar acordada por un Tribunal, aunque ello suponga retrasar una determinada política educativa u obligar a los centros a prescindir provisionalmente de determinadas prescripciones sobre enseñanza en lengua extranjera, sobre todo cuando la resolución judicial podía ser combatida con instrumentos procesales. Concretamente aducen que el Gobierno balear podía haber acudido “a </w:t>
      </w:r>
      <w:r>
        <w:lastRenderedPageBreak/>
        <w:t>la vía procesal del art. 79 de la Ley 29/1998, de 13 de julio, reguladora de la Jurisdicción Contencioso-administrativa (recurso procesal de reposición)”, e insisten en que no existe ningún tipo de urgencia para derogar el art. 20 del Decreto 15/2013, que no fue suspendido por las citadas resoluciones judiciales y al que se habían acogido la mayoría de los centros educativos ya que otorgaba a los centros escolares cierta flexibilidad para aplicar el proyecto de tratamiento integrado de lenguas, añadiendo que la redacción de los arts. 4 y 5, así como la disposición adicional única y la disposición derogatoria, no puede vincularse cabalmente a una situación de extraordinaria y urgente necesidad, y que nada tienen que ver con la suspensión del calendario de aplicación del Decreto 15/2013, por lo que tales medidas no eran necesarias para el inicio del curso escolar.</w:t>
      </w:r>
    </w:p>
    <w:p w:rsidR="00163957" w:rsidRDefault="00163957" w:rsidP="00163957">
      <w:pPr>
        <w:pStyle w:val="TextoNormal"/>
      </w:pPr>
    </w:p>
    <w:p w:rsidR="00163957" w:rsidRDefault="00163957" w:rsidP="00163957">
      <w:pPr>
        <w:pStyle w:val="TextoNormal"/>
      </w:pPr>
      <w:r>
        <w:t>De acuerdo con todo lo expuesto, los recurrentes afirman que no se da en el caso que nos ocupa ni el presupuesto habilitante, ni la necesaria conexión de sentido entre la situación extraordinaria a la que se pretende hacer frente con la aprobación de esta norma con rango de ley y las concretas medidas diseñadas al efecto.</w:t>
      </w:r>
    </w:p>
    <w:p w:rsidR="00163957" w:rsidRDefault="00163957" w:rsidP="00163957">
      <w:pPr>
        <w:pStyle w:val="TextoNormal"/>
      </w:pPr>
    </w:p>
    <w:p w:rsidR="00163957" w:rsidRDefault="00163957" w:rsidP="00163957">
      <w:pPr>
        <w:pStyle w:val="TextoNormal"/>
      </w:pPr>
      <w:r>
        <w:t>d) Los recurrentes también aducen la infracción de los arts. 24.1 y 118 CE por vulneración del régimen constitucional del derecho a obtener la tutela judicial efectiva en su vertiente de ejecución de las resoluciones judiciales y por infracción del deber de cumplimiento de las resoluciones judiciales. Insisten en que el Decreto-ley que se impugna se dicta con la finalidad de bloquear los efectos suspensivos de sendos Autos del Tribunal Superior de Justicia de las Illes Balears y de evitar así la ejecución del mandato judicial de paralización cautelar de la efectividad del anexo del Decreto 15/2013, de 19 de abril, señalando que tales Autos podían haber sido recurridos por los cauces procesales pertinentes y que el Gobierno balear podía “haber promovido, con carácter urgente, un nuevo calendario aprobado con informes, participación y todas las garantías”, por lo que el Decreto-ley constituye, a su juicio, una medida desproporcionada que vulnera los citados derechos, así como el principio de división de poderes consagrado en el art. 1.1 CE, señalando que estamos ante un ejemplo de lo que viene denominándose “ley singular autoaplicativa” que, dictada en el caso que nos ocupa, supone una vulneración directa del art. 24 CE porque priva a los ciudadanos de la protección jurisdiccional de los tribunales ordinarios.</w:t>
      </w:r>
    </w:p>
    <w:p w:rsidR="00163957" w:rsidRDefault="00163957" w:rsidP="00163957">
      <w:pPr>
        <w:pStyle w:val="TextoNormal"/>
      </w:pPr>
    </w:p>
    <w:p w:rsidR="00163957" w:rsidRDefault="00163957" w:rsidP="00163957">
      <w:pPr>
        <w:pStyle w:val="TextoNormal"/>
      </w:pPr>
      <w:r>
        <w:t>e) Finalmente, y de acuerdo con los argumentos anteriormente expuestos, los recurrentes consideran que estamos ante una vulneración del art. 9.3 CE, que prohíbe la arbitrariedad de los poderes públicos, pues el Gobierno de la Comunidad Autónoma balear dictó el Decreto-ley 5/2013, de modo abusivo y sin una justificación razonable.</w:t>
      </w:r>
    </w:p>
    <w:p w:rsidR="00163957" w:rsidRDefault="00163957" w:rsidP="00163957">
      <w:pPr>
        <w:pStyle w:val="TextoNormal"/>
      </w:pPr>
    </w:p>
    <w:p w:rsidR="00163957" w:rsidRDefault="00163957" w:rsidP="00163957">
      <w:pPr>
        <w:pStyle w:val="TextoNormal"/>
      </w:pPr>
      <w:r>
        <w:t>Los Senadores recurrentes concluyen el escrito de demanda suplicando del Tribunal Constitucional que, previos los trámites legales, dicte sentencia estimando íntegramente el recurso de inconstitucionalidad y, en consecuencia, declarando inconstitucional y nulo el Decreto-ley impugnado. Con carácter subsidiario se solicita una sentencia que declare la inconstitucionalidad y consiguiente nulidad de los arts. 3, 4 y 5, como también de la disposición adicional única y de la disposición derogatoria única del Decreto-ley 5/2013, de 6 de septiembre.</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El Pleno del Tribunal Constitucional, por providencia de 14 de enero de 2014, a propuesta de la Sección Primera, acordó admitir a trámite el recurso y dar traslado de la demanda y de los documentos presentados, de conformidad con lo establecido en el art. 34 </w:t>
      </w:r>
      <w:r>
        <w:lastRenderedPageBreak/>
        <w:t>LOTC, al Congreso de los Diputados y al Senado, así como al Gobierno, a través del Ministro de Justicia, y al Gobierno y al Parlamento de las Illes Balears, por conducto de sus Presidentes, al objeto de que, en plazo de quince días, pudieran personarse en el proceso y formular alegaciones.</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que tuvo entrada en el Registro General de este Tribunal el día 20 de enero de 2014, el Abogado del Estado compareció en el proceso y solicitó que se prorrogara el plazo concedido para formular alegaciones. El Pleno del Tribunal Constitucional, por providencia de 21 de enero de 2014, acordó prorrogar en ocho días más el plazo concedido para formular alegaciones, a contar desde el siguiente al de expiración del ordinario.</w:t>
      </w:r>
    </w:p>
    <w:p w:rsidR="00163957" w:rsidRDefault="00163957" w:rsidP="00163957">
      <w:pPr>
        <w:pStyle w:val="TextoNormal"/>
      </w:pPr>
    </w:p>
    <w:p w:rsidR="00163957" w:rsidRDefault="00163957" w:rsidP="00163957">
      <w:pPr>
        <w:pStyle w:val="TextoNormal"/>
      </w:pPr>
      <w:r w:rsidRPr="00163957">
        <w:rPr>
          <w:rStyle w:val="NumeroAFNegritaCaracter"/>
        </w:rPr>
        <w:t>6</w:t>
      </w:r>
      <w:r>
        <w:t>. Por escrito registrado en este Tribunal el día 23 de enero de 2014, el Presidente del Congreso comunicó el acuerdo de la Mesa de que se tuviera por personada a dicha Cámara en el proceso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7</w:t>
      </w:r>
      <w:r>
        <w:t>. El 4 de febrero de 2014 se registró en este Tribunal escrito de la Presidenta del Parlamento de las Illes Balears comunicando el acuerdo de la Mesa de que dicha Cámara no se personará en el procedimiento ni formulará alegaciones y ofreciendo su colaboración a los efectos del art. 88.1 de la Ley Orgánica del Tribunal Constitucional (LOTC).</w:t>
      </w:r>
    </w:p>
    <w:p w:rsidR="00163957" w:rsidRDefault="00163957" w:rsidP="00163957">
      <w:pPr>
        <w:pStyle w:val="TextoNormal"/>
      </w:pPr>
    </w:p>
    <w:p w:rsidR="00163957" w:rsidRDefault="00163957" w:rsidP="00163957">
      <w:pPr>
        <w:pStyle w:val="TextoNormal"/>
      </w:pPr>
      <w:r w:rsidRPr="00163957">
        <w:rPr>
          <w:rStyle w:val="NumeroAFNegritaCaracter"/>
        </w:rPr>
        <w:t>8</w:t>
      </w:r>
      <w:r>
        <w:t>. Mediante escrito registrado en fecha 6 de febrero de 2014, el Presidente del Senado comunicó el acuerdo de la Mesa de que se tuviera por personada a dicha Cámara en el proceso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9</w:t>
      </w:r>
      <w:r>
        <w:t>. El Abogado de la Comunidad Autónoma de las Illes Balears se personó en el procedimiento y formuló alegaciones mediante escrito registrado el 13 de febrero de 2014.</w:t>
      </w:r>
    </w:p>
    <w:p w:rsidR="00163957" w:rsidRDefault="00163957" w:rsidP="00163957">
      <w:pPr>
        <w:pStyle w:val="TextoNormal"/>
      </w:pPr>
    </w:p>
    <w:p w:rsidR="00163957" w:rsidRDefault="00163957" w:rsidP="00163957">
      <w:pPr>
        <w:pStyle w:val="TextoNormal"/>
      </w:pPr>
      <w:r>
        <w:t>a) La representación procesal del Gobierno balear comienza refiriéndose a los antecedentes fácticos y jurídicos que dieron lugar a la elaboración y aprobación del Decreto-ley que se impugna, reproduciendo íntegramente el contenido de la norma de la que trae causa (el Decreto 15/2013, de 19 de abril) y afirmando que en la aprobación de la norma reglamentaria se siguieron todo los requisitos procedimentales legalmente previstos, con especial observancia al trámite de audiencia y participación. Asimismo constata que contra dicha norma reglamentaria se interpusieron varios recursos ante la Sala de lo Contencioso-Administrativo del Tribunal Superior de Justicia de las Illes Balears y, como consecuencia de los mismos, la Sala dictó sendos autos, con fecha de 6 de septiembre de 2013, decretando la suspensión del anexo del Decreto 15/2013 y de dos instrucciones de 9 de mayo de 2013 dictadas por el Secretario Autonómico de Educación, Cultura y Universidades, quedando suspendido el calendario de aplicación del nuevo sistema de tratamiento integral de las lenguas en los centros no universitarios, que preveía iniciar su implantación material en el curso 2013-2014.</w:t>
      </w:r>
    </w:p>
    <w:p w:rsidR="00163957" w:rsidRDefault="00163957" w:rsidP="00163957">
      <w:pPr>
        <w:pStyle w:val="TextoNormal"/>
      </w:pPr>
    </w:p>
    <w:p w:rsidR="00163957" w:rsidRDefault="00163957" w:rsidP="00163957">
      <w:pPr>
        <w:pStyle w:val="TextoNormal"/>
      </w:pPr>
      <w:r>
        <w:t xml:space="preserve">El Abogado de la Comunidad Autónoma señala que cuando se dictó la medida cautelar el curso académico ya había comenzado y la incorporación a las aulas de los alumnos estaba prevista para el día 13 de septiembre, esto es, siete días después de que se decretarse la citada suspensión, habiéndose culminado la tarea de planificación de la plantilla docente </w:t>
      </w:r>
      <w:r>
        <w:lastRenderedPageBreak/>
        <w:t>para el curso 2013-2014 mediante la determinación de una parte de las plazas con el requisito del conocimiento del idioma extranjero para poder aplicar el proyecto de tratamiento de lenguas elaborado por los centros. Asimismo, indica que se había culminado el proceso de adjudicación de destinos provisionales respecto de los aspirantes a funcionarios interinos (casi 7.800 aspirantes baremados y admitidos en el correspondiente bolsín) y respecto de 1.135 funcionarios de carrera y se había llevado a cabo la adjudicación de plazas a 2.036 aspirantes a funcionarios interinos docentes, así como a 960 funcionarios de carrera, incluidas las plazas con el perfil de idiomas antes aludido. Por lo que se refiere a la efectiva presentación del proyecto de tratamiento integrado de lenguas, constata que la totalidad de los centros educativos (públicos, concertados y privados) con una sola excepción, presentaron dicho proyecto antes del 20 de junio de 2013, encontrándose todo debidamente preparado para la aplicación inmediata del sistema de tratamiento integrado de lenguas para el curso 2013-2014: los recursos económicos y humanos, con la asignación del profesorado en los centros; la programación escolar; los horarios, la metodología y la elección del material escolar y los libros de texto, que ya habían sido adquiridos o encargados por las familias, por lo que para hacer posible la fase presencial docente del curso escolar y evitar una grave perturbación de los intereses generales, se aprobó el Decreto-ley 5/2013, de 6 de septiembre.</w:t>
      </w:r>
    </w:p>
    <w:p w:rsidR="00163957" w:rsidRDefault="00163957" w:rsidP="00163957">
      <w:pPr>
        <w:pStyle w:val="TextoNormal"/>
      </w:pPr>
    </w:p>
    <w:p w:rsidR="00163957" w:rsidRDefault="00163957" w:rsidP="00163957">
      <w:pPr>
        <w:pStyle w:val="TextoNormal"/>
      </w:pPr>
      <w:r>
        <w:t>b) Expuesto lo anterior, el Abogado de la Comunidad Autónoma niega la inconstitucionalidad de la norma impugnada al entender que, una vez acordada judicialmente la suspensión de la efectividad del calendario para la inmediata puesta en marcha del sistema de tratamiento integral de lenguas, se dio una situación extraordinaria que requería una intervención normativa urgente. Y ello, porque seguían en vigor los 26 artículos y las correspondientes disposiciones que integraban el aludido Decreto 15/2013, de 19 de abril, y continuaban vigentes los objetivos educativos que perseguía dicha norma reglamentaria, por lo que con la finalidad de evitar la grave perturbación que iba a producirse sobre los intereses generales de la comunidad y sobre el derecho fundamental a la educación de todos los alumnos de la enseñanza no universitaria, se dictó el Decreto-ley cuya constitucionalidad se cuestiona, que posteriormente fue convalidado por el Parlamento de las Illes Balears, en la sesión plenaria del día 24 de septiembre, por 34 votos a favor y 24 votos en contra (“BOIB”, núm. 134, de 28 septiembre de 2013). Explica que, por un lado, se establece un calendario solo para el curso escolar 2013-2014, con la finalidad de que se pueda aplicar el correspondiente tratamiento integrado de lenguas según lo dispuesto en el vigente Decreto 15/2013 y, por otro, se fija la obligación inmediata de elaborar y de dictar una norma reglamentaria que desarrolle el calendario de implantación definitiva del tratamiento integrado de lenguas a partir del próximo curso escolar 2014-2015.</w:t>
      </w:r>
    </w:p>
    <w:p w:rsidR="00163957" w:rsidRDefault="00163957" w:rsidP="00163957">
      <w:pPr>
        <w:pStyle w:val="TextoNormal"/>
      </w:pPr>
    </w:p>
    <w:p w:rsidR="00163957" w:rsidRDefault="00163957" w:rsidP="00163957">
      <w:pPr>
        <w:pStyle w:val="TextoNormal"/>
      </w:pPr>
      <w:r>
        <w:t>c) Asimismo, afirma que no se vulnera el art. 27.5 CE, ni el art. 26.6 EAIB, ni la normativa que los desarrolla, toda vez que el Consejo Escolar de las Illes Balears participó en la elaboración del Decreto 15/2013, de 19 de abril, del que trae causa el Decreto-ley que se impugna, mediante la emisión de un informe de fecha 19 de diciembre de 2012, sin que, a su juicio, el Decreto-ley 5/2013, de 6 de septiembre, por su propia naturaleza, necesite someterse a un nuevo trámite de participación, máxime cuando posteriormente fue convalidado por el Parlamento, que representa al pueblo de las Illes Balears. Entiende que la norma impugnada se limita a desarrollar determinadas medidas en relación con la implantación para el curso 2013-2014 del sistema de tratamiento integrado de lenguas en los centros docentes, que no afectan al contenido esencial del derecho a la educación y que, por tanto, no vulnera el límite material vedado por los arts. 86.1 CE y 49.1 EAIB.</w:t>
      </w:r>
    </w:p>
    <w:p w:rsidR="00163957" w:rsidRDefault="00163957" w:rsidP="00163957">
      <w:pPr>
        <w:pStyle w:val="TextoNormal"/>
      </w:pPr>
    </w:p>
    <w:p w:rsidR="00163957" w:rsidRDefault="00163957" w:rsidP="00163957">
      <w:pPr>
        <w:pStyle w:val="TextoNormal"/>
      </w:pPr>
      <w:r>
        <w:t>d) La representación procesal de la Comunidad Autónoma afirma que el Decreto-ley impugnado no bloquea ni elude los efectos de la resolución judicial de suspensión, sino que responde a una situación de extraordinaria y urgente necesidad y la efectiva derogación del citado anexo, que deriva directamente del Decreto-ley 5/2013, viene a materializar un fin acorde con lo que preconizaba la resolución judicial.</w:t>
      </w:r>
    </w:p>
    <w:p w:rsidR="00163957" w:rsidRDefault="00163957" w:rsidP="00163957">
      <w:pPr>
        <w:pStyle w:val="TextoNormal"/>
      </w:pPr>
    </w:p>
    <w:p w:rsidR="00163957" w:rsidRDefault="00163957" w:rsidP="00163957">
      <w:pPr>
        <w:pStyle w:val="TextoNormal"/>
      </w:pPr>
      <w:r>
        <w:t>e) Por último, el Abogado de la Comunidad Autónoma niega que las medidas urgentes adoptadas vulneren el principio de interdicción de la arbitrariedad de los poderes públicos establecido en el art. 9.3 CE pues, a su juicio, nacen de una situación de extraordinaria y urgente necesidad, sin que la parte recurrente aporte argumentos que prueben que dichas medidas son abusivas, desproporcionadas o faltas de racionalidad y, en consecuencia, arbitrarias.</w:t>
      </w:r>
    </w:p>
    <w:p w:rsidR="00163957" w:rsidRDefault="00163957" w:rsidP="00163957">
      <w:pPr>
        <w:pStyle w:val="TextoNormal"/>
      </w:pPr>
    </w:p>
    <w:p w:rsidR="00163957" w:rsidRDefault="00163957" w:rsidP="00163957">
      <w:pPr>
        <w:pStyle w:val="TextoNormal"/>
      </w:pPr>
      <w:r>
        <w:t>En virtud de lo expuesto se solicita al Pleno del Tribunal que dicte sentencia por la que se desestime íntegramente el recurso de inconstitucionalidad y se declare la constitucionalidad de la norma impugnada.</w:t>
      </w:r>
    </w:p>
    <w:p w:rsidR="00163957" w:rsidRDefault="00163957" w:rsidP="00163957">
      <w:pPr>
        <w:pStyle w:val="TextoNormal"/>
      </w:pPr>
    </w:p>
    <w:p w:rsidR="00163957" w:rsidRDefault="00163957" w:rsidP="00163957">
      <w:pPr>
        <w:pStyle w:val="TextoNormal"/>
      </w:pPr>
      <w:r w:rsidRPr="00163957">
        <w:rPr>
          <w:rStyle w:val="NumeroAFNegritaCaracter"/>
        </w:rPr>
        <w:t>10</w:t>
      </w:r>
      <w:r>
        <w:t>. Mediante escrito registrado en fecha 18 de febrero de 2014, el Abogado del Estado comunica que no va a formular alegaciones y que se persona exclusivamente a los efectos de que se le notifiquen las resoluciones que se dicten en el presente procedimiento.</w:t>
      </w:r>
    </w:p>
    <w:p w:rsidR="00163957" w:rsidRDefault="00163957" w:rsidP="00163957">
      <w:pPr>
        <w:pStyle w:val="TextoNormal"/>
      </w:pPr>
    </w:p>
    <w:p w:rsidR="00163957" w:rsidRDefault="00163957" w:rsidP="00163957">
      <w:pPr>
        <w:pStyle w:val="TextoNormal"/>
      </w:pPr>
      <w:r w:rsidRPr="00163957">
        <w:rPr>
          <w:rStyle w:val="NumeroAFNegritaCaracter"/>
        </w:rPr>
        <w:t>11</w:t>
      </w:r>
      <w:r>
        <w:t>. El Abogado de la Comunidad Autónoma de las Illes Balears presentó un segundo escrito registrado en fecha 26 de mayo de 2014. El Pleno del Tribunal Constitucional, por providencia de 28 de mayo de 2014, acordó unir dicho escrito a las actuaciones y hacer entrega de copia a las partes personadas.</w:t>
      </w:r>
    </w:p>
    <w:p w:rsidR="00163957" w:rsidRDefault="00163957" w:rsidP="00163957">
      <w:pPr>
        <w:pStyle w:val="TextoNormal"/>
      </w:pPr>
    </w:p>
    <w:p w:rsidR="00163957" w:rsidRDefault="00163957" w:rsidP="00163957">
      <w:pPr>
        <w:pStyle w:val="TextoNormal"/>
      </w:pPr>
      <w:r>
        <w:t>En este segundo documento la representación procesal de la Comunidad Autónoma expone que, de conformidad con lo dispuesto en el art. 3.3 del Decreto-ley 5/2013, así como en la disposición final primera de dicha norma, previo informe del Consejo Escolar de las Illes Balears y de acuerdo con el Consejo Consultivo de las Illes Balears, se ha dictado la Orden de la Consejería de Educación, Cultura y Universidades del Gobierno de las Illes Balears, de fecha 9 de mayo de 2014 (“BOIB” núm. 64, de 10 de mayo de 2014) y en la que se da expreso cumplimiento a lo previsto en el Decreto-ley impugnado, respecto de la fijación a nivel reglamentario y, por ende, mediante una norma administrativa de carácter general fiscalizable ante el orden jurisdiccional contencioso-administrativo, del correspondiente calendario de aplicación del sistema de tratamiento integrado de lenguas regulado en el Decreto 15/2013, de 19 de abril, lo que se hace constar a los efectos oportunos.</w:t>
      </w:r>
    </w:p>
    <w:p w:rsidR="00163957" w:rsidRDefault="00163957" w:rsidP="00163957">
      <w:pPr>
        <w:pStyle w:val="TextoNormal"/>
      </w:pPr>
    </w:p>
    <w:p w:rsidR="00163957" w:rsidRDefault="00163957" w:rsidP="00163957">
      <w:pPr>
        <w:pStyle w:val="TextoNormal"/>
      </w:pPr>
      <w:r w:rsidRPr="00163957">
        <w:rPr>
          <w:rStyle w:val="NumeroAFNegritaCaracter"/>
        </w:rPr>
        <w:t>12</w:t>
      </w:r>
      <w:r>
        <w:t>. Por providencia de 1 de marzo de 2016, se señaló para la deliberación y votación de la presente Sentencia el día 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presente proceso constitucional tiene por objeto resolver el recurso de inconstitucionalidad interpuesto por más de cincuenta Senadores del Grupo Parlamentario Socialista </w:t>
      </w:r>
      <w:r>
        <w:lastRenderedPageBreak/>
        <w:t>en el Senado, contra el Decreto Ley 5/2013, de 6 de septiembre, por el que se adoptan determinadas medidas urgentes en relación con la implantación, para el curso 2013-2014, del sistema de tratamiento integrado de las lenguas en los centros docentes no universitarios de las Illes Balears.</w:t>
      </w:r>
    </w:p>
    <w:p w:rsidR="00163957" w:rsidRDefault="00163957" w:rsidP="00163957">
      <w:pPr>
        <w:pStyle w:val="TextoNormal"/>
      </w:pPr>
    </w:p>
    <w:p w:rsidR="00163957" w:rsidRDefault="00163957" w:rsidP="00163957">
      <w:pPr>
        <w:pStyle w:val="TextoNormal"/>
      </w:pPr>
      <w:r>
        <w:t>Conforme se ha expuesto con más detalle en los antecedentes de esta Sentencia, los Senadores recurrentes consideran que el Decreto-ley en su totalidad vulnera varios preceptos constitucionales y estatutarios por no concurrir el presupuesto habilitante de la “extraordinaria y urgente necesidad” exigido por los arts. 86.1 CE y 49.1 del Estatuto de Autonomía de las Illes Balears (EAIB) y por regular el contenido básico del derecho a la educación (arts. 27 CE y 26 EAIB), ignorando la prohibición de afectar a los derechos, deberes y libertades contemplados en el título I de la Constitución que establece el citado art. 86.1 CE y a los derechos estatutarios a los que se refiere el art. 49 EAIB. Asimismo, denuncian la vulneración de los arts. 24.1 y 118 CE, por infracción del deber de cumplimiento de las resoluciones judiciales y del art. 9.3 CE, que prohíbe la arbitrariedad de los poderes públicos. Con carácter subsidiario solicitan que se declare la inconstitucionalidad y consiguiente nulidad de los arts. 3, 4 y 5, así como la disposición adicional única y la disposición derogatoria única del Decreto-ley 5/2013, de 6 de septiembre.</w:t>
      </w:r>
    </w:p>
    <w:p w:rsidR="00163957" w:rsidRDefault="00163957" w:rsidP="00163957">
      <w:pPr>
        <w:pStyle w:val="TextoNormal"/>
      </w:pPr>
    </w:p>
    <w:p w:rsidR="00163957" w:rsidRDefault="00163957" w:rsidP="00163957">
      <w:pPr>
        <w:pStyle w:val="TextoNormal"/>
      </w:pPr>
      <w:r>
        <w:t>El Abogado de la Comunidad Autónoma de las Illes Balears sostiene, por las razones expuestas en los antecedentes, que la norma impugnada no incurre en ninguna de las referidas vulneraciones y solicita la desestimación del recurso.</w:t>
      </w:r>
    </w:p>
    <w:p w:rsidR="00163957" w:rsidRDefault="00163957" w:rsidP="00163957">
      <w:pPr>
        <w:pStyle w:val="TextoNormal"/>
      </w:pPr>
    </w:p>
    <w:p w:rsidR="00163957" w:rsidRDefault="00163957" w:rsidP="00163957">
      <w:pPr>
        <w:pStyle w:val="TextoNormal"/>
      </w:pPr>
      <w:r>
        <w:t>Conviene precisar que el hecho de que la norma impugnada tuviese vigencia exclusivamente para el curso escolar 2013-2014 y que con posterioridad a su entrada en vigor se dictase la Orden de la Consejería de Educación, Cultura y Universidades del Gobierno de las Illes Balears, de fecha 9 de mayo de 2014 (“BOIB” núm. 64, de 10 de mayo de 2014), en la que se fija el correspondiente calendario de aplicación del sistema de tratamiento integrado de lenguas regulado en el Decreto 15/2013, de 19 de abril, no impide a este Tribunal controlar si el ejercicio de la potestad reconocida al Gobierno por los arts. 86.1 CE y 49.1 EAIB se realizó siguiendo los requisitos establecidos en dichos preceptos, pues al hacerlo se trata de velar por el recto ejercicio de la potestad de dictar decretos-leyes dentro del marco constitucional y estatutario, decidiendo la validez o invalidez de las normas impugnadas sin atender a su vigencia o derogación en el momento en que se pronuncia el fallo (STC 137/2011, FJ 2), pues, como se afirmó en las SSTC 155/2005, de 9 de junio, FJ 2, y 237/2012, de 13 de diciembre, FJ 12, el interés del enjuiciamiento constitucional de este tipo de normas “va más allá de la vigencia de sus preceptos, pues en otro caso sería imposible asegurar la observancia de las condiciones que el art. 86 CE establece específicamente para la emisión de Decretos-leyes”, doctrina que ha de extenderse a los decretos-leyes autonómicos.</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Este Tribunal ha afirmado recientemente que, pese a que el decreto-ley autonómico es una fuente normativa con rango legal no prevista por la Constitución, “la imprevisión en el título VIII de la categoría del decreto-ley no puede verse como una prohibición sino como un espacio entregado a la libre configuración del legislador estatutario, a quien, al ordenar las instituciones de la Comunidad Autónoma, le cabrá optar por una separación más o menos rígida entre legislativo y ejecutivo, atribuyendo en su caso a este último la facultad de, en </w:t>
      </w:r>
      <w:r>
        <w:lastRenderedPageBreak/>
        <w:t>concretos supuestos, aprobar normas provisionales con rango de ley que adopten la forma de decreto-ley autonómico” (STC 93/2015, de 14 de mayo, FJ 3).</w:t>
      </w:r>
    </w:p>
    <w:p w:rsidR="00163957" w:rsidRDefault="00163957" w:rsidP="00163957">
      <w:pPr>
        <w:pStyle w:val="TextoNormal"/>
      </w:pPr>
    </w:p>
    <w:p w:rsidR="00163957" w:rsidRDefault="00163957" w:rsidP="00163957">
      <w:pPr>
        <w:pStyle w:val="TextoNormal"/>
      </w:pPr>
      <w:r>
        <w:t>Así, al igual que la garantía del principio democrático (art. 1.1 CE) no ha impedido que este Tribunal declare, acerca del decreto-ley estatal (STC 96/2014, de 12 de junio, FJ 5), que la “Constitución ha adoptado una solución flexible y matizada respecto del fenómeno del decreto-ley que, por una parte, no lleva a su completa proscripción en aras del mantenimiento de una rígida separación de los poderes, ni se limita a permitirlo de una forma totalmente excepcional en situaciones de necesidad absoluta, de modo que la utilización de este instrumento normativo se estima legítima en todos aquellos casos en que hay que alcanzar los objetivos marcados para la gobernación del país, que, por circunstancias difíciles o imposibles de prever, requieren una acción normativa inmediata o en que las coyunturas económicas exigen una rápida respuesta”, tal principio tampoco ha sido obstáculo para admitir que los Consejos de Gobierno de las Comunidades Autónomas cuentan con poderes de legislación extraordinaria y urgente si el Estatuto de Autonomía expresamente se los atribuye (STC 93/2015, FJ 4).</w:t>
      </w:r>
    </w:p>
    <w:p w:rsidR="00163957" w:rsidRDefault="00163957" w:rsidP="00163957">
      <w:pPr>
        <w:pStyle w:val="TextoNormal"/>
      </w:pPr>
    </w:p>
    <w:p w:rsidR="00163957" w:rsidRDefault="00163957" w:rsidP="00163957">
      <w:pPr>
        <w:pStyle w:val="TextoNormal"/>
      </w:pPr>
      <w:r>
        <w:t>Ahora bien, los severos límites impuestos al decreto-ley estatal por razón del principio democrático (art. 1.1 CE) y que se reflejan en el art. 86 CE son también exigibles en el ámbito autonómico y, en consecuencia, un Estatuto de Autonomía no puede atribuir al Consejo de Gobierno poderes de legislación de urgencia que no estén sujetos, en lo que corresponda, a los límites consignados en el art. 86.1 CE como garantía del principio democrático, correspondiendo al Tribunal Constitucional la aplicación del parámetro constitucional ínsito en dicho principio, mediante el control de la constitucionalidad de dicha legislación de urgencia.</w:t>
      </w:r>
    </w:p>
    <w:p w:rsidR="00163957" w:rsidRDefault="00163957" w:rsidP="00163957">
      <w:pPr>
        <w:pStyle w:val="TextoNormal"/>
      </w:pPr>
    </w:p>
    <w:p w:rsidR="00163957" w:rsidRDefault="00163957" w:rsidP="00163957">
      <w:pPr>
        <w:pStyle w:val="TextoNormal"/>
      </w:pPr>
      <w:r>
        <w:t>El Estatuto de Autonomía, como norma llamada por el art. 147 CE a conformar la organización institucional de cada ente autonómico, podrá añadir otros requisitos o endurecer los existentes, con el propósito de preservar más intensamente la posición del parlamento autonómico (STC 93/2015, FJ 5). De este modo, el art. 49.1 EAIB excluye del ámbito del decreto-ley “los derechos establecidos en este Estatuto”, límite que no está contenido en la prohibición de afectar derechos constitucionales ex art. 86.1 CE dado que, según la doctrina del Tribunal, los derechos estatutarios tienen una naturaleza jurídica distinta, la de meras “directrices, objetivos o mandatos a los poderes públicos autonómicos” [SSTC 247/2007, de 12 de diciembre, FJ 15 c), y 31/2010, de 28 de julio, FFJJ 16 a 18].</w:t>
      </w:r>
    </w:p>
    <w:p w:rsidR="00163957" w:rsidRDefault="00163957" w:rsidP="00163957">
      <w:pPr>
        <w:pStyle w:val="TextoNormal"/>
      </w:pPr>
    </w:p>
    <w:p w:rsidR="00163957" w:rsidRDefault="00163957" w:rsidP="00163957">
      <w:pPr>
        <w:pStyle w:val="TextoNormal"/>
      </w:pPr>
      <w:r>
        <w:t>Por último, es necesario recordar que, aunque las exigencias vinculadas al principio democrático son en esencia idénticas para todos los decretos leyes, el carácter unicameral de las Asambleas Legislativas de las Comunidades Autónomas determina que generalmente las situaciones de necesidad puedan ser atendidas tempestivamente mediante la aprobación de leyes, decayendo así la necesidad de intervención extraordinaria del ejecutivo, circunstancia que ha de ser tenida en cuenta por este Tribunal en el momento de examinar la concurrencia del presupuesto habilitante de la extraordinaria y urgente necesidad, cerciorándose, de acuerdo al control externo que le compete realizar, que en el caso concreto los objetivos gubernamentales reclaman una acción legislativa que se materialice “en un plazo más breve que el requerido para la tramitación de las Leyes” (por todas, STC 111/1983, de 2 de diciembre, FJ 6).</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3</w:t>
      </w:r>
      <w:r>
        <w:t>. Delimitado el objeto procesal subsistente y expuesta la posibilidad de reconocimiento estatutario del decreto-ley autonómico, corresponde resolver las cuestiones de fondo. Los Senadores recurrentes alegan como primer motivo de impugnación que el Decreto-ley recurrido se dictó sin que concurriera un “caso de extraordinaria y urgente necesidad”, que es el presupuesto que, conforme a lo dispuesto en los arts. 86.1 CE y 49.1 EAIB, habilita al Gobierno balear para dictar este tipo de normas. La interpretación de este presupuesto habilitante debe hacerse, de acuerdo con lo expuesto en el fundamento jurídico segundo de esta Sentencia, conforme a la doctrina constitucional fijada en relación al art. 86.1 CE y su examen ha de ser prioritario en el orden de nuestro enjuiciamiento, pues esa tacha incide directamente sobre la validez de la norma impugnada en función de su propia forma de aprobación, de modo que, en el caso de ser estimada, resultaría innecesario el análisis del resto de alegaciones.</w:t>
      </w:r>
    </w:p>
    <w:p w:rsidR="00163957" w:rsidRDefault="00163957" w:rsidP="00163957">
      <w:pPr>
        <w:pStyle w:val="TextoNormal"/>
      </w:pPr>
    </w:p>
    <w:p w:rsidR="00163957" w:rsidRDefault="00163957" w:rsidP="00163957">
      <w:pPr>
        <w:pStyle w:val="TextoNormal"/>
      </w:pPr>
      <w:r>
        <w:t>Es doctrina constitucional reiterada que el ejercicio de la potestad que el art. 86 CE atribuye al Gobierno del Estado para dictar decretos-leyes y que el Estatuto de Autonomía de las Illes Balears también atribuye al Consejo de Gobierno autonómico, supone la sustitución del Parlamento por el Gobierno, lo que conlleva una excepción al procedimiento legislativo ordinario y a la participación de las minorías que este dispensa y, por ello, la Constitución condiciona su ejercicio a que se respeten los presupuestos circunstanciales y materiales enunciados en dicho precepto (entre otras, STC 182/1997, de 28 de octubre, FJ 3) o los que, en su caso, establezcan los Estatutos de Autonomía (STC 93/2015, FJ 5). Uno de estos requisitos es que concurra la existencia de una situación de extraordinaria y urgente necesidad; requerimiento que respecto de los decretos-leyes estatales está previsto en el art. 86.1 CE y que, en lo que ahora interesa, también se contempla en el art. 49.1 EAIB.</w:t>
      </w:r>
    </w:p>
    <w:p w:rsidR="00163957" w:rsidRDefault="00163957" w:rsidP="00163957">
      <w:pPr>
        <w:pStyle w:val="TextoNormal"/>
      </w:pPr>
    </w:p>
    <w:p w:rsidR="00163957" w:rsidRDefault="00163957" w:rsidP="00163957">
      <w:pPr>
        <w:pStyle w:val="TextoNormal"/>
      </w:pPr>
      <w:r>
        <w:t>De acuerdo con la abundante doctrina constitucional existente sobre “la extraordinaria y urgente necesidad” como presupuesto habilitante para que el poder ejecutivo pueda dictar disposiciones legislativas de carácter provisional, esta exigencia no es “una cláusula o expresión vacía de significado dentro de la cual el lógico margen de apreciación política del Gobierno se mueva libremente sin restricción alguna, sino, por el contrario, [es] la constatación de un límite jurídico a la actuación mediante decretos-leyes” (SSTC 182/1997, de 28 de octubre, FJ 3; 11/2002, de 17 de enero, FJ 4; 189/2005,de 7 de julio, FJ 5; 68/2007, de 28 de marzo, FJ 6; 31/2011, de 17 de marzo, FJ 3; 100/2012, de 8 de mayo , FJ 8, y 39/2013, de 14 de febrero, FJ 5, entre otras).</w:t>
      </w:r>
    </w:p>
    <w:p w:rsidR="00163957" w:rsidRDefault="00163957" w:rsidP="00163957">
      <w:pPr>
        <w:pStyle w:val="TextoNormal"/>
      </w:pPr>
    </w:p>
    <w:p w:rsidR="00163957" w:rsidRDefault="00163957" w:rsidP="00163957">
      <w:pPr>
        <w:pStyle w:val="TextoNormal"/>
      </w:pPr>
      <w:r>
        <w:t>Tal consideración no ha impedido a este Tribunal reconocer “el peso que en la apreciación de la extraordinaria y urgente necesidad ha de concederse al juicio puramente político de los órganos a los que incumbe la dirección del Estado” (STC 11/2002, de 17 de enero, FJ 4), pues el fin que justifica la legislación de urgencia no es otro “que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(SSTC 6/1983, de 4 de febrero, FJ 5; 11/2002, de 17 de enero, FJ 4; 137/2003, de 3 de julio, FJ 3, y 68/2007, de 28 de marzo, FJ 6, entre otras).</w:t>
      </w:r>
    </w:p>
    <w:p w:rsidR="00163957" w:rsidRDefault="00163957" w:rsidP="00163957">
      <w:pPr>
        <w:pStyle w:val="TextoNormal"/>
      </w:pPr>
    </w:p>
    <w:p w:rsidR="00163957" w:rsidRDefault="00163957" w:rsidP="00163957">
      <w:pPr>
        <w:pStyle w:val="TextoNormal"/>
      </w:pPr>
      <w:r>
        <w:t xml:space="preserve">Por otra parte, “la valoración de la extraordinaria y urgente necesidad de una medida puede ser independiente de su imprevisibilidad e, incluso, de que tenga su origen en la previa inactividad del propio Gobierno siempre que concurra efectivamente la excepcionalidad </w:t>
      </w:r>
      <w:r>
        <w:lastRenderedPageBreak/>
        <w:t>de la situación” (STC 1/2012, de 13 de enero, FJ 6), pues “lo que aquí debe importar no es tanto la causa de las circunstancias que justifican la legislación de urgencia cuanto el hecho de que tales circunstancias efectivamente concurran” (SSTC 11/2002, de 17 de enero, FJ 6, y 68/2007, de 28 de marzo, FJ 8), sin olvidar que el control jurídico de este requisito no debe suplantar a los órganos constitucionales que intervienen en la aprobación y convalidación de los reales decretos-leyes, sino que ha de apoyarse en una valoración de conjunto de las circunstancias que rodean al caso (STC 332/2005, de 15 de diciembre, FJ 5, y 31/2011, de 17 de marzo, FJ 3).</w:t>
      </w:r>
    </w:p>
    <w:p w:rsidR="00163957" w:rsidRDefault="00163957" w:rsidP="00163957">
      <w:pPr>
        <w:pStyle w:val="TextoNormal"/>
      </w:pPr>
    </w:p>
    <w:p w:rsidR="00163957" w:rsidRDefault="00163957" w:rsidP="00163957">
      <w:pPr>
        <w:pStyle w:val="TextoNormal"/>
      </w:pPr>
      <w:r>
        <w:t>Por todo ello, la jurisprudencia constitucional ha declarado que el control que a este Tribunal corresponde efectuar para comprobar si concurre el presupuesto habilitante es un control externo, que debe respetar el margen de discrecionalidad política que en la apreciación de este requisito corresponde al Gobierno. De ahí que se haya afirmado que para determinar si concurre o no la situación de extraordinaria y urgente necesidad hay que atender, por una parte, a los motivos que explícita y razonadamente fueron tenidos en cuenta por el Gobierno para aprobar el Decreto-ley, motivos que pueden constar en la propia exposición de motivos de la norma, en el expediente de elaboración de la misma o haberse puesto de manifiesto a lo largo del debate parlamentario de convalidación (entre otras, STC 137/2003, de 3 de julio, FJ 3), y, por otra, a las medidas adoptadas para subvenir a la situación que determinó la aprobación de este tipo de norma para comprobar si existe “la conexión de sentido o relación de adecuación entre la situación definida que constituye el presupuesto habilitante y las medidas que en el Decreto-ley se adoptan (STC 29/1982, de 31 de mayo, FJ 3), de manera que estas últimas guarden una relación directa o de congruencia con la situación que se trata de afrontar (STC 182/1997, de 28 de octubre, FJ 3)” (STC 68/2007, de 28 de marzo, FJ 6).</w:t>
      </w:r>
    </w:p>
    <w:p w:rsidR="00163957" w:rsidRDefault="00163957" w:rsidP="00163957">
      <w:pPr>
        <w:pStyle w:val="TextoNormal"/>
      </w:pPr>
    </w:p>
    <w:p w:rsidR="00163957" w:rsidRDefault="00163957" w:rsidP="00163957">
      <w:pPr>
        <w:pStyle w:val="TextoNormal"/>
      </w:pPr>
      <w:r w:rsidRPr="00163957">
        <w:rPr>
          <w:rStyle w:val="NumeroAFNegritaCaracter"/>
        </w:rPr>
        <w:t>4</w:t>
      </w:r>
      <w:r>
        <w:t>. Aplicando la doctrina anteriormente expuesta al presente caso, debemos comenzar constatando que en el preámbulo del Decreto-ley impugnado se explicitan las razones por las que se considera que existe una causa de extraordinaria y urgente necesidad que justifica su aprobación. La norma recoge que, habiéndose suspendido por resolución judicial, el día 6 de septiembre de 2013, tanto la efectividad del anexo del Decreto 15/2013, de 19 de abril, por el que se regulaba el calendario de aplicación del sistema de tratamiento integrado de las lenguas en los centros docentes no universitarios de las Illes Balears, como la vigencia de las instrucciones de 9 de mayo de 2013 del Secretario Autonómico de Educación, Cultura y Universidades para la ejecución del citado Decreto y, estando vigente en todo su alcance el resto del contenido normativo del Decreto 15/2013, “resulta del todo necesario y urgente que los centros docentes no universitarios de las Illes Balears puedan aplicar a la educación infantil, a la educación primaria y a la educación secundaria obligatoria el proyecto de tratamiento integral de lenguas para cuya aplicación se ha hecho la correspondiente planificación a todos los ámbitos (recursos económicos, humanos y pedagógicos), con el fin de evitar que al inicio del curso escolar 2013-2014 los centros no dispongan de uno, lo cual produciría graves perturbaciones a los intereses generales, por lo que afecta a la planificación educativa de este curso y a terceros, en tanto que ha afectado a los participantes en un procedimiento de concurrencia competitiva, y, sobre todo, a los alumnos y las familias, afectando al derecho a la educación”.</w:t>
      </w:r>
    </w:p>
    <w:p w:rsidR="00163957" w:rsidRDefault="00163957" w:rsidP="00163957">
      <w:pPr>
        <w:pStyle w:val="TextoNormal"/>
      </w:pPr>
    </w:p>
    <w:p w:rsidR="00163957" w:rsidRDefault="00163957" w:rsidP="00163957">
      <w:pPr>
        <w:pStyle w:val="TextoNormal"/>
      </w:pPr>
      <w:r>
        <w:t xml:space="preserve">En dicho preámbulo también se expone que “la aplicación del sistema de tratamiento integrado de lenguas prevista para el curso 2013-2014, el cual ya se ha iniciado desde el 2 de septiembre con la incorporación del profesorado a sus puestos de trabajo, ha supuesto </w:t>
      </w:r>
      <w:r>
        <w:lastRenderedPageBreak/>
        <w:t>una importante tarea de planificación llevada a cabo sobre la plantilla del personal docente para el curso 2013-2014”, especificando que una parte sensible de las plazas han sido perfiladas con el requisito del conocimiento del idioma extranjero, con el fin de poder aplicar el proyecto de tratamiento de lenguas aprobado por los centros y afirmando que “el proceso de adjudicación de destinos provisionales de acuerdo con el Proyecto de tratamiento integrado de lenguas ya se ha llevado a cabo y ha afectado a casi 7.800 aspirantes a funcionarios interinos y 1.135 funcionarios de carrera y ha supuesto la adjudicación de plazas a 2.036 aspirantes a funcionarios interinos docentes, así como a 960 funcionarios de carrera, incluidas las plazas con el perfil mencionado”.</w:t>
      </w:r>
    </w:p>
    <w:p w:rsidR="00163957" w:rsidRDefault="00163957" w:rsidP="00163957">
      <w:pPr>
        <w:pStyle w:val="TextoNormal"/>
      </w:pPr>
    </w:p>
    <w:p w:rsidR="00163957" w:rsidRDefault="00163957" w:rsidP="00163957">
      <w:pPr>
        <w:pStyle w:val="TextoNormal"/>
      </w:pPr>
      <w:r>
        <w:t>En atención a la situación descrita, el Decreto-ley concluye que “la totalidad de los centros educativos (públicos, concertados y privados), menos uno, han presentado el proyecto de tratamiento integrado de lenguas dentro del plazo establecido, de modo que, para el inicio del curso escolar, todo se ha dispuesto para aplicarlo: los recursos económicos y humanos, con la asignación del profesorado en los centros, la programación escolar, los horarios y la metodología, la elección del material escolar y de los libros de texto (ya encargados o adquiridos por las familias)”, por lo que resulta necesario “de manera urgente, aprobar el instrumento normativo que permita la inmediata aplicación efectiva de los proyectos de tratamiento integrado de lenguas por parte de los centros educativos no universitarios de las Illes Balears, de manera que sea posible aplicarlos para el curso 2013-2014”.</w:t>
      </w:r>
    </w:p>
    <w:p w:rsidR="00163957" w:rsidRDefault="00163957" w:rsidP="00163957">
      <w:pPr>
        <w:pStyle w:val="TextoNormal"/>
      </w:pPr>
    </w:p>
    <w:p w:rsidR="00163957" w:rsidRDefault="00163957" w:rsidP="00163957">
      <w:pPr>
        <w:pStyle w:val="TextoNormal"/>
      </w:pPr>
      <w:r>
        <w:t>En términos idénticos a los expuestos se expresó en sede parlamentaria la Consejera de Educación, Cultura y Universidades del Gobierno de las Illes Balears, con ocasión del debate de convalidación del Decreto-ley 5/2013, que tuvo lugar el 24 de septiembre de 2013.</w:t>
      </w:r>
    </w:p>
    <w:p w:rsidR="00163957" w:rsidRDefault="00163957" w:rsidP="00163957">
      <w:pPr>
        <w:pStyle w:val="TextoNormal"/>
      </w:pPr>
    </w:p>
    <w:p w:rsidR="00163957" w:rsidRDefault="00163957" w:rsidP="00163957">
      <w:pPr>
        <w:pStyle w:val="TextoNormal"/>
      </w:pPr>
      <w:r>
        <w:t>De acuerdo con lo expuesto y en el ámbito del control externo que corresponde realizar a este Tribunal, “control externo, en el sentido de que debe verificar, pero no sustituir, el juicio político o de oportunidad que corresponde al Gobierno” (STC 182/1997, de 30 de octubre, FJ 3), el Tribunal aprecia, en primer lugar, que el Gobierno balear cumple con la exigencia de exponer explícita y razonadamente la situación de extraordinaria y urgente necesidad que le habilita, según el art. 49 EAIB, a dictar disposiciones legislativas provisionales con la forma de decretos-leyes, aportando una justificación suficiente que permite apreciar la existencia de dicho presupuesto habilitante, pues es racionalmente aceptable la afirmación contenida en el preámbulo del Decreto-ley impugnado en el sentido de que la suspensión, el 6 de septiembre de 2013, del calendario de aplicación del Decreto 15/2013, esto es, siete días antes de la incorporación de los alumnos a las aulas, requería una acción normativa inmediata en un plazo más breve que el requerido por la vía normal o por el procedimiento de urgencia para la tramitación parlamentaria de las leyes (STC 51/2013, de 28 de febrero, FJ 3, entre otras muchas), teniendo en cuenta que, salvo el calendario de aplicación, el resto del articulado del Decreto 15/2013 seguía vigente, los centros escolares ya habían aprobado sus respectivos proyectos de tratamiento integrado de lenguas y ya se había hecho la correspondiente planificación en todos los ámbitos: asignación de profesorado, programación escolar, horarios y adquisición de los libros de texto por las familias.</w:t>
      </w:r>
    </w:p>
    <w:p w:rsidR="00163957" w:rsidRDefault="00163957" w:rsidP="00163957">
      <w:pPr>
        <w:pStyle w:val="TextoNormal"/>
      </w:pPr>
    </w:p>
    <w:p w:rsidR="00163957" w:rsidRDefault="00163957" w:rsidP="00163957">
      <w:pPr>
        <w:pStyle w:val="TextoNormal"/>
      </w:pPr>
      <w:r>
        <w:t xml:space="preserve">La situación de extraordinaria y urgente necesidad descrita en el preámbulo resulta suficiente, a juicio del Tribunal, para legitimar la utilización del decreto-ley, toda vez que puede advertirse la existencia de una situación de extraordinaria y urgente necesidad, en los términos que resultan de los postulados constitucionales, reflejada en el hecho de que, a punto de </w:t>
      </w:r>
      <w:r>
        <w:lastRenderedPageBreak/>
        <w:t>iniciarse la fase docente del curso 2013-2014, todos los centros educativos de las Illes Balears, menos uno, habían aprobado por mayoría de 2/3 de sus consejos escolares el proyecto docente de tratamiento integrado de lenguas adaptado al Decreto 15/2013 y, al no acordarse por la Sala de lo Contencioso-Administrativo del Tribunal Superior de Justicia de las Illes Balears la suspensión de la totalidad de dicho Decreto, sino solo sobre su anexo, se daba la paradoja de que los centros escolares contaban con proyectos docentes aprobados conforme a un decreto vigente, válido y eficaz, incluida su disposición final segunda (que regula la inmediata entrada en vigor), pero carecían de un calendario de implantación. Esta situación afectaba a todos los centros docentes no universitarios de la Comunidad Autónoma, que contaban con los horarios y la plantilla de profesorado adaptados al sistema de tratamiento integrado de lenguas, así como a los padres y alumnos, que ya habían adquirido los libros adaptados al idioma establecido en el proyecto lingüístico del centro.</w:t>
      </w:r>
    </w:p>
    <w:p w:rsidR="00163957" w:rsidRDefault="00163957" w:rsidP="00163957">
      <w:pPr>
        <w:pStyle w:val="TextoNormal"/>
      </w:pPr>
    </w:p>
    <w:p w:rsidR="00163957" w:rsidRDefault="00163957" w:rsidP="00163957">
      <w:pPr>
        <w:pStyle w:val="TextoNormal"/>
      </w:pPr>
      <w:r>
        <w:t>Los recurrentes afirman que “la dilación en la implantación del calendario que preveía el Anexo del Decreto 15/2013 no era una emergencia, ni se ponía en peligro otros valores y objetivos que el mero compromiso del Gobierno de iniciar la enseñanza trilingüe desde el primer día del curso escolar”. Sin embargo, el Tribunal aprecia que las circunstancias reflejadas en el preámbulo del Decreto-ley impugnado y puestas de manifiesto durante la fase de convalidación reflejan, más allá de una mera conveniencia política, una situación de hecho que permite concluir, en el ámbito del control externo que compete realizar a este Tribunal, que existen razones suficientes para apreciar la existencia de una situación de extraordinaria y urgente necesidad, la cual no resulta eficazmente desvirtuada por las alegaciones de los recurrentes. En efecto, estos no aportan ningún dato o información que, de acuerdo con la constatación fáctica descrita, hiciera innecesario el uso de la figura extraordinaria del Decreto-ley y las alternativas que sugieren, esto es, la interposición de un recurso de súplica contra el auto de suspensión o la elaboración de un nuevo calendario de aplicación cumpliendo todos los trámites de participación y consulta (tales como el sometimiento a exposición pública, informe del Consejo Consultivo, de la Universidad, del Instituto de la Dona, de los servicios jurídicos, etc.) no pueden considerarse idóneas, cuando menos atendiendo al factor temporal, para subvenir a la situación de extraordinaria y urgente necesidad existente desde el momento en que el curso escolar ya había comenzado.</w:t>
      </w:r>
    </w:p>
    <w:p w:rsidR="00163957" w:rsidRDefault="00163957" w:rsidP="00163957">
      <w:pPr>
        <w:pStyle w:val="TextoNormal"/>
      </w:pPr>
    </w:p>
    <w:p w:rsidR="00163957" w:rsidRDefault="00163957" w:rsidP="00163957">
      <w:pPr>
        <w:pStyle w:val="TextoNormal"/>
      </w:pPr>
      <w:r w:rsidRPr="00163957">
        <w:rPr>
          <w:rStyle w:val="NumeroAFNegritaCaracter"/>
        </w:rPr>
        <w:t>5</w:t>
      </w:r>
      <w:r>
        <w:t>. Asimismo, debemos analizar si se cumple la segunda dimensión del presupuesto habilitante de la legislación de urgencia, esto es, la conexión de sentido entre la situación de urgencia y necesidad definida y las medidas que se adoptan en el Decreto-ley, partiendo de que la finalidad de la norma impugnada era la de adoptar, el 6 de septiembre de 2013, medidas urgentes con el propósito de que los alumnos pudieran incorporarse a las aulas el día 13 de septiembre de 2013, pues aunque el curso escolar había comenzado y los centros docentes habían aprobado sus respectivos proyectos educativos de tratamiento integrado de lenguas conforme a un decreto vigente, se carecía de un calendario de aplicación.</w:t>
      </w:r>
    </w:p>
    <w:p w:rsidR="00163957" w:rsidRDefault="00163957" w:rsidP="00163957">
      <w:pPr>
        <w:pStyle w:val="TextoNormal"/>
      </w:pPr>
    </w:p>
    <w:p w:rsidR="00163957" w:rsidRDefault="00163957" w:rsidP="00163957">
      <w:pPr>
        <w:pStyle w:val="TextoNormal"/>
      </w:pPr>
      <w:r>
        <w:t xml:space="preserve">Teniendo en cuenta lo anterior, los arts. 1 y 2 del Decreto-ley impugnado, que regulan el objeto, finalidad y ámbito de aplicación de la norma, así como el artículo 3, que establece el calendario de aplicación para el curso 2013-2014 de los proyectos de tratamiento integrado de lenguas, guardan una clara conexión de sentido con la situación de urgencia definida. Por las mismas razones, y en relación con el presupuesto habilitante que estamos analizando, ningún problema de constitucionalidad presenta la disposición derogatoria única (en el apartado en que deroga el anexo del Decreto 15/2013, de 19 de abril), ni la disposición </w:t>
      </w:r>
      <w:r>
        <w:lastRenderedPageBreak/>
        <w:t>final primera, que faculta a la Consejería de Educación, Cultura y Universidades para dictar las disposiciones necesarias para desarrollar el Decreto-ley, ni la disposición final segunda, que fija la fecha de entrada en vigor del Decreto-ley.</w:t>
      </w:r>
    </w:p>
    <w:p w:rsidR="00163957" w:rsidRDefault="00163957" w:rsidP="00163957">
      <w:pPr>
        <w:pStyle w:val="TextoNormal"/>
      </w:pPr>
    </w:p>
    <w:p w:rsidR="00163957" w:rsidRDefault="00163957" w:rsidP="00163957">
      <w:pPr>
        <w:pStyle w:val="TextoNormal"/>
      </w:pPr>
      <w:r>
        <w:t>Por el contrario, no se puede establecerse dicha conexión de sentido respecto de los artículos 4 y 5 de la norma impugnada, pues no responden a la finalidad de hacer frente a la situación de extraordinaria y urgente necesidad de la que trae causa el Decreto-ley, sino que buscan modificar algunos preceptos no suspendidos del Decreto 15/2013, de 19 de abril.</w:t>
      </w:r>
    </w:p>
    <w:p w:rsidR="00163957" w:rsidRDefault="00163957" w:rsidP="00163957">
      <w:pPr>
        <w:pStyle w:val="TextoNormal"/>
      </w:pPr>
    </w:p>
    <w:p w:rsidR="00163957" w:rsidRDefault="00163957" w:rsidP="00163957">
      <w:pPr>
        <w:pStyle w:val="TextoNormal"/>
      </w:pPr>
      <w:r>
        <w:t>Así, el art. 4 del Decreto-ley 5/2013 se refiere a los requisitos de “otros proyectos de tratamiento integrado de lenguas” y tiene como finalidad sustituir el art. 20 del Decreto 15/2013 (que, a su vez, es derogado por la disposición derogatoria única del Decreto-ley 5/2013). Como indican los recurrentes, el art. 20 del Decreto 15/2013 seguía vigente en el momento en que se elaboró el Decreto-ley 5/2013 y establecía cierta flexibilidad en los requisitos a tener en cuenta por los centros educativos para la elaboración y aprobación de “otros proyectos” atendiendo a una distribución horaria de las lenguas diferente a la que se establecía con carácter general para todos los centros, por lo que no existe ninguna conexión de sentido con las razones de extraordinaria y urgente necesidad anteriormente expuestas que justifiquen su derogación, máxime si, como se desprende de las actuaciones, un elevado número de centros ya habían elaborado y aprobado sus proyectos docentes acogiéndose precisamente a lo dispuesto en el citado art. 20 del Decreto 15/2013. Ha de tenerse en cuenta, por otra parte, que, según se expone en el preámbulo del Decreto-ley ahora impugnado, “son las dudas que ha generado la aplicación del artículo 20 del Decreto 15/2013” las razones por las que se considera “imprescindible derogarlo y aprobar un nuevo precepto que establezca los requisitos que tienen que regir la elaboración y aprobación de otros proyectos”. Tales razones explican por qué se considera conveniente modificar una norma, pero no justifican la existencia de una situación de extraordinaria y urgente necesidad; presupuesto necesario para que el Gobierno de las Illes Balears pueda ejercer la potestad legislativa de urgencia que le atribuye el art. 49.1 EAIB.</w:t>
      </w:r>
    </w:p>
    <w:p w:rsidR="00163957" w:rsidRDefault="00163957" w:rsidP="00163957">
      <w:pPr>
        <w:pStyle w:val="TextoNormal"/>
      </w:pPr>
    </w:p>
    <w:p w:rsidR="00163957" w:rsidRDefault="00163957" w:rsidP="00163957">
      <w:pPr>
        <w:pStyle w:val="TextoNormal"/>
      </w:pPr>
      <w:r>
        <w:t>Tampoco la materia regulada en el artículo 5, relativo a los “proyectos transitorios”, requería una acción normativa inmediata, pues si el propio preámbulo de la norma impugnada afirma que “la totalidad de los centros educativos (públicos, concertados y privados), menos uno, han presentado el proyecto de tratamiento integrado de lenguas dentro del plazo establecido, de modo que, para el inicio del curso escolar, todo se ha dispuesto para aplicarlo”, es fácil deducir que no resulta ni urgente, ni necesario, aprobar un precepto en el que se da respuesta a situaciones particulares que pudieran darse en el proceso de aprobación de los proyectos, ni atribuir la consiguiente facultad al departamento de inspección educativa. Esta urgencia no puede fundamentase, como se sostiene en el preámbulo del Decreto-ley, en que el Decreto 15/2013 careciera de soluciones para dar respuesta a las situaciones particulares que podían darse en el proceso de aprobación de los proyectos, pues esta omisión normativa, salvo que existieran circunstancias extraordinarias que requiriesen una intervención legislativa urgente, puede efectuarse a través de los procedimientos normativos ordinarios. Por ello, al no haberse fundamentado la adopción de esta norma en ninguna circunstancia extraordinaria y urgente, sino en la existencia de una laguna en el Reglamento que regulaba esta cuestión, tampoco puede considerarse que, respecto de este precepto, se cumpla el presupuesto habilitante para que el Gobierno pueda adaptar la medida normativa en él prevista mediante un decreto-ley.</w:t>
      </w:r>
    </w:p>
    <w:p w:rsidR="00163957" w:rsidRDefault="00163957" w:rsidP="00163957">
      <w:pPr>
        <w:pStyle w:val="TextoNormal"/>
      </w:pPr>
    </w:p>
    <w:p w:rsidR="00163957" w:rsidRDefault="00163957" w:rsidP="00163957">
      <w:pPr>
        <w:pStyle w:val="TextoNormal"/>
      </w:pPr>
      <w:r>
        <w:t>Los mismos argumentos han de proyectarse sobre la disposición adicional única, que fija que los proyectos de tratamiento integrado de lenguas “no pueden incluir dentro del cómputo horario las horas dedicadas al tiempo de recreo”, y que “el área de religión o de actividad alternativa no se puede impartir en lengua extranjera”, pues se trata de una disposición que no guarda ninguna conexión de sentido con la situación de extraordinaria y urgente necesidad definida, sino que se refiere al “contenido de los proyectos”, materia respecto de la que habrá que estar a lo previsto en el Decreto 15/2013, de 19 de abril, sin que la figura extraordinaria del decreto-ley pueda ser utilizada para regular aspectos sustantivos de un norma vigente cuando no existe una conexión de sentido con la situación de urgencia y necesidad de la que trae causa.</w:t>
      </w:r>
    </w:p>
    <w:p w:rsidR="00163957" w:rsidRDefault="00163957" w:rsidP="00163957">
      <w:pPr>
        <w:pStyle w:val="TextoNormal"/>
      </w:pPr>
    </w:p>
    <w:p w:rsidR="00163957" w:rsidRDefault="00163957" w:rsidP="00163957">
      <w:pPr>
        <w:pStyle w:val="TextoNormal"/>
      </w:pPr>
      <w:r>
        <w:t>En el preámbulo del Decreto-ley impugnado y en el trámite de convalidación parlamentaria trató de justificarse la existencia de una conexión de sentido entre las disposiciones contenidas en estos preceptos y la situación de extraordinaria y urgente necesidad a que atiende el núcleo del Decreto-ley en el hecho de que aquellas disposiciones forman un todo sistemático que abarca el conjunto de disposiciones que conforman el sistema integrado de lenguas que se regula en aquel. El Tribunal, en efecto, al analizar el conjunto de medidas que se integran en un decreto-ley, tiene en consideración, desde el punto de vista de su conexión de sentido con la situación de extraordinaria y urgente necesidad que legitima su aprobación, si se trata de medidas que, aun siendo heterogéneas, forman parte de un conjunto sistemático, las cuales adquieren sentido en su visión global y no desde una perspectiva meramente aislada [SSTC 23/1993, FFJJ 4 y 5, y 93/2015, de 14 de mayo, FFJJ 7 b) y 10.3, entre otras]. Sin embargo, esta jurisprudencia no resulta aplicable al caso examinado, pues la naturaleza de la materia regulada en las disposiciones que estamos examinando en este apartado, como se infiere de las consideraciones que hemos hecho en cuanto a su contenido, resulta ajena, o cuando menos muy alejada, del sentido de la medida de aprobación del calendario escolar que el Decreto-ley implementa por razones de urgencia, y nada permite suponer que aquellas disposiciones no hayan podido ser adecuadamente encauzadas mediante el ejercicio ordinario de las potestades normativas del Consejo de Gobierno o, en su caso, del Parlamento de las Illes Balears, como confirma, por otra parte, el curso normativo seguido tras la interposición del recurso que enjuiciamos.</w:t>
      </w:r>
    </w:p>
    <w:p w:rsidR="00163957" w:rsidRDefault="00163957" w:rsidP="00163957">
      <w:pPr>
        <w:pStyle w:val="TextoNormal"/>
      </w:pPr>
    </w:p>
    <w:p w:rsidR="00163957" w:rsidRDefault="00163957" w:rsidP="00163957">
      <w:pPr>
        <w:pStyle w:val="TextoNormal"/>
      </w:pPr>
      <w:r>
        <w:t>En consonancia con ello, debemos declarar inconstitucionales los arts. 4 y 5 del Decreto-ley 5/2013, de 6 de septiembre, así como la disposición adicional única, y la disposición derogatoria única en el apartado en el que deroga “el art. 20” del Decreto 15/2013, de 19 de abril.</w:t>
      </w:r>
    </w:p>
    <w:p w:rsidR="00163957" w:rsidRDefault="00163957" w:rsidP="00163957">
      <w:pPr>
        <w:pStyle w:val="TextoNormal"/>
      </w:pPr>
    </w:p>
    <w:p w:rsidR="00163957" w:rsidRDefault="00163957" w:rsidP="00163957">
      <w:pPr>
        <w:pStyle w:val="TextoNormal"/>
      </w:pPr>
      <w:r w:rsidRPr="00163957">
        <w:rPr>
          <w:rStyle w:val="NumeroAFNegritaCaracter"/>
        </w:rPr>
        <w:t>6</w:t>
      </w:r>
      <w:r>
        <w:t>. Como segundo motivo de impugnación los recurrentes aducen la infracción de los arts. 86.1 CE y 49.1 EAIB en relación con el art. 27.5 CE y con el art. 26.6 EAIB, por afectación ilícita de elementos esenciales del derecho a la educación, al entrar el Decreto-ley a regular una materia que le está vedada, toda vez que adopta medidas que inciden directamente en el régimen legal de los proyectos educativos y que, a su juicio, afectan a competencias del consejo escolar del centro y del claustro de profesores, lo que supone una injerencia en el derecho a la participación de la comunidad educativa y a la autonomía de los centros educativos que forma parte del contenido esencial del derecho a la educación, con la consiguiente vulneración de los límites materiales previstos en los arts. 86.1 CE y 49.1 EAIB.</w:t>
      </w:r>
    </w:p>
    <w:p w:rsidR="00163957" w:rsidRDefault="00163957" w:rsidP="00163957">
      <w:pPr>
        <w:pStyle w:val="TextoNormal"/>
      </w:pPr>
    </w:p>
    <w:p w:rsidR="00163957" w:rsidRDefault="00163957" w:rsidP="00163957">
      <w:pPr>
        <w:pStyle w:val="TextoNormal"/>
      </w:pPr>
      <w:r>
        <w:t>Por los motivos ya expuestos en el fundamento jurídico segundo de esta Sentencia, la condición establecida en el art. 86.1 CE de que los decretos-leyes “no podrán afectar … a los derechos, deberes y libertades de los ciudadanos regulados en el Título I” se proyecta sobre la facultad del ejecutivo balear de aprobar decretos-leyes y es parámetro de constitucionalidad de los que dicte. Por ello, nuestro análisis debe partir de que “afectar” derechos constitucionales es, según la doctrina del Tribunal, una noción restringida, pues ya en la STC 111/1983, de 2 de diciembre, FJ 8, este Tribunal sostuvo que “la cláusula restrictiva del art. 86.1 CE (‘no podrán afectar...’) debe ser entendida de modo tal que ni reduzca a la nada el Decreto-ley, … ni permita que por Decreto-ley se regule el régimen general de los derechos, deberes y libertades del Título I, ni de pie para que por Decreto-ley se vaya en contra del contenido o elementos esenciales de alguno de tales derechos”. La misma concepción estricta de la afectación de derechos constitucionales se reitera, entre otras, en las SSTC 60/1986, de 20 de mayo, FJ 4; 182/1997, de 18 de octubre, FJ 6; 137/2003, de 3 de julio, FJ 6; 108/2004, de 30 de junio, FJ 7, y 329/2005, de 15 de diciembre, FJ 8, en las que se sostiene que el “examen de si ha existido ‘afectación’ por el Decreto-ley de un derecho o libertad regulado en el título I de la Constitución … exigirá tener en cuenta la configuración constitucional del derecho o deber afectado en cada caso y la naturaleza y alcance de la concreta regulación de que se trate” (STC 329/2005, de 15 de diciembre, FJ 8).</w:t>
      </w:r>
    </w:p>
    <w:p w:rsidR="00163957" w:rsidRDefault="00163957" w:rsidP="00163957">
      <w:pPr>
        <w:pStyle w:val="TextoNormal"/>
      </w:pPr>
    </w:p>
    <w:p w:rsidR="00163957" w:rsidRDefault="00163957" w:rsidP="00163957">
      <w:pPr>
        <w:pStyle w:val="TextoNormal"/>
      </w:pPr>
      <w:r>
        <w:t>En el caso que nos ocupa, y prescindiendo del examen de los preceptos que hemos declarado inconstitucionales en el fundamento jurídico anterior, la aprobación de un calendario que se limita a concretar en qué cursos del segundo ciclo de educación infantil, de educación primaria y de educación secundaria obligatoria han de aplicarse los proyectos de tratamiento integrado de lenguas (cuya constitucionalidad no se cuestiona), se sitúa en el ámbito meramente procedimental, pero no afecta al contenido material del proyecto educativo que se regula a lo largo del articulado del Decreto 15/2013, cuyo contenido no es objeto del presente recurso de inconstitucionalidad. En consecuencia, los preceptos impugnados no afectan al régimen general del derecho a la educación, ni al contenido o elementos esenciales de dicho derecho.</w:t>
      </w:r>
    </w:p>
    <w:p w:rsidR="00163957" w:rsidRDefault="00163957" w:rsidP="00163957">
      <w:pPr>
        <w:pStyle w:val="TextoNormal"/>
      </w:pPr>
    </w:p>
    <w:p w:rsidR="00163957" w:rsidRDefault="00163957" w:rsidP="00163957">
      <w:pPr>
        <w:pStyle w:val="TextoNormal"/>
      </w:pPr>
      <w:r>
        <w:t>En relación con las exigencias de “participación de los sectores afectados” a las que se refieren los recurrentes, la elaboración de un decreto-ley, dada su naturaleza de norma provisional basada en la existencia de una situación de extraordinaria y urgente necesidad, no está sometida a más trámites procedimentales que los de su aprobación por el Consejo de Gobierno y su posterior convalidación o tramitación como ley ordinaria, por lo que dicho procedimiento constituye nuestro único parámetro de constitucionalidad. En todo caso, el trámite de convalidación al que fue sometido el Decreto-ley 5/2013, con el consiguiente debate y votación en el Pleno del Parlamento de las Illes Balears, en el que se encuentra representado el pueblo de las Illes Balears (art. 40 EAIB), revalidaría las exigencias de participación a las que se refieren los recurrentes, a lo que se añade el hecho de que la propia norma impugnada, que tiene una naturaleza provisional, prevé, en el art. 3.3, que durante el curso escolar 2013-2014 se dictará una norma reglamentaria para desarrollar el calendario de implantación del sistema de tratamiento integrado de lenguas, lo que se ha materializado en la Orden de la Consejería de Educación, Cultura y Universidades del Gobierno de las Illes Balears, de fecha 9 de mayo de 2014, aprobada, de acuerdo con lo alegado en este recurso, cumpliendo los trámites procedimentales relativos a la participación de los sectores afectados y que, además, cuenta con un informe del Consejo Consultivo de las Illes Balears.</w:t>
      </w:r>
    </w:p>
    <w:p w:rsidR="00163957" w:rsidRDefault="00163957" w:rsidP="00163957">
      <w:pPr>
        <w:pStyle w:val="TextoNormal"/>
      </w:pPr>
    </w:p>
    <w:p w:rsidR="00163957" w:rsidRDefault="00163957" w:rsidP="00163957">
      <w:pPr>
        <w:pStyle w:val="TextoNormal"/>
      </w:pPr>
      <w:r w:rsidRPr="00163957">
        <w:rPr>
          <w:rStyle w:val="NumeroAFNegritaCaracter"/>
        </w:rPr>
        <w:t>7</w:t>
      </w:r>
      <w:r>
        <w:t>. Los recurrentes también alegan la vulneración del derecho fundamental a la tutela judicial efectiva en su vertiente de ejecución de las resoluciones judiciales (art. 24 CE), así como la infracción del deber de cumplimiento de las resoluciones judiciales (art. 118 CE) y del principio de interdicción de la arbitrariedad de los poderes públicos (art. 9.3 CE), al entender que el Decreto-ley que se impugna se dicta con la finalidad de bloquear los efectos suspensivos de sendos Autos del Tribunal Superior de Justicia de las Illes Balears y evitar así la ejecución del mandato judicial de paralización cautelar de la efectividad del anexo del Decreto 15/2013, de 19 de abril. Por su parte, el Abogado de la Comunidad Autónoma aduce que el Decreto-ley no vulnera tales preceptos constitucionales, pues su finalidad no es eludir el cumplimiento de una resolución judicial, sino subvenir a una situación de extraordinaria y urgente necesidad.</w:t>
      </w:r>
    </w:p>
    <w:p w:rsidR="00163957" w:rsidRDefault="00163957" w:rsidP="00163957">
      <w:pPr>
        <w:pStyle w:val="TextoNormal"/>
      </w:pPr>
    </w:p>
    <w:p w:rsidR="00163957" w:rsidRDefault="00163957" w:rsidP="00163957">
      <w:pPr>
        <w:pStyle w:val="TextoNormal"/>
      </w:pPr>
      <w:r>
        <w:t>Frente a estas alegaciones debemos aclarar, en primer lugar, que la queja no se plantea en relación con los límites materiales del Decreto-ley que derivan del art. 86.1 CE (pues la eventual vulneración de los preceptos citados no reside en el contenido del articulado de la norma impugnada), sino que se plantea en torno a la vinculación directa al art. 24 CE de todos los poderes públicos (en virtud del art. 9.1 CE), en conexión con los arts. 117, 118 y 9.3 CE. Se trata, sin embargo, de una queja que, además de afectar a la validez de la norma impugnada, incide en la correcta utilización del instrumento previsto en el art. 86 CE y en el art. 49.1 EAIB, por lo que, a juicio del Tribunal, ha de ser abordada pese a la pérdida de vigencia del Decreto-ley cuya constitucionalidad se discute.</w:t>
      </w:r>
    </w:p>
    <w:p w:rsidR="00163957" w:rsidRDefault="00163957" w:rsidP="00163957">
      <w:pPr>
        <w:pStyle w:val="TextoNormal"/>
      </w:pPr>
    </w:p>
    <w:p w:rsidR="00163957" w:rsidRDefault="00163957" w:rsidP="00163957">
      <w:pPr>
        <w:pStyle w:val="TextoNormal"/>
      </w:pPr>
      <w:r>
        <w:t>Como es sabido, la regla general de la doctrina constitucional según la cual los recursos de inconstitucionalidad se extinguen por la pérdida sobrevenida de objeto cuando la norma impugnada ha sido derogada o modificada por una ley posterior —circunstancia a la que debe añadirse, en este caso, que tenía vigencia exclusivamente para el curso escolar 2013-2014— está sujeta a excepciones. Estas se justifican bien porque, pese a la derogación, la ley continúa desplegando eficacia ultraactiva, de acuerdo con el principio tempus regit actum, de modo que la norma legal impugnada, aun derogada, resulta aplicable a algunos supuestos; bien por la necesidad de no consagrar zonas inmunes al control de constitucionalidad de las leyes con graves consecuencias para el correcto funcionamiento del sistema de fuentes del Derecho, como ocurre con los supuestos de impugnación del decreto-ley por falta de presupuesto habilitante (art. 86.1 CE), pues de otro modo sería imposible asegurar la observancia de las condiciones que el citado precepto constitucional establece específicamente para la emisión de decretos-leyes (SSTC 111/1983, de 2 de diciembre, FJ 3; 60/1986, de 20 de mayo, FJ 1; 182/1997, de 28 de octubre, FJ 1; 155/2005, de 9 de junio, FJ 2; 189/2005, de 7 de julio, FJ 2; 329/2005, de 15 de diciembre, FJ 2, y 68/2007, de 28 de marzo, FJ 4, entre otras muchas). En el caso examinado se trata de un supuesto excepcional que, aun no previsto en la jurisprudencia citada, el Tribunal considera que guarda identidad de razón con los examinados en ella, dado que la cuestión planteada, aun cuando no versa sobre los requisitos establecidos como presupuestos para la legítima promulgación de un decreto-ley en el art. 86 CE y en los correlativos de los Estatutos de Autonomía, incide en la correcta utilización de este instrumento legislativo y en el papel que desempeña en el sistema de fuentes del Derecho.</w:t>
      </w:r>
    </w:p>
    <w:p w:rsidR="00163957" w:rsidRDefault="00163957" w:rsidP="00163957">
      <w:pPr>
        <w:pStyle w:val="TextoNormal"/>
      </w:pPr>
    </w:p>
    <w:p w:rsidR="00163957" w:rsidRDefault="00163957" w:rsidP="00163957">
      <w:pPr>
        <w:pStyle w:val="TextoNormal"/>
      </w:pPr>
      <w:r>
        <w:lastRenderedPageBreak/>
        <w:t>Hecha la precedente aclaración ha de recordarse que una de las proyecciones del derecho reconocido en el art. 24.1 CE es que las resoluciones judiciales alcancen la efectividad otorgada por el Ordenamiento, lo que implica, de un lado, el derecho a que las resoluciones judiciales firmes se ejecuten en sus propios términos y, de otro, el respeto a su firmeza y a la intangibilidad de las situaciones jurídicas en ellas declaradas (SSTC 171/1991, de 16 de septiembre, FJ 3; 198/1994, de 4 de julio, FJ 3; 197/2000, de 24 de julio, FJ 2, y 83/2001, de 26 de marzo, FJ 4, entre otras muchas). Así, la STC 312/2006, de 8 de noviembre, recoge “que podría producirse una lesión del art. 24.1 CE en aquellos supuestos en los que los efectos obstativos de una ley o del régimen jurídico en ella establecido para una concreta materia fuesen precisamente hacer imposible de forma desproporcionada que un determinado fallo judicial se cumpla, pues siendo indudable que la Constitución reconoce al legislador un amplio margen de libertad al configurar sus opciones, no es menos cierto que también le somete a determinados límites, entre ellos el que se deriva del art. 24.1 CE”.</w:t>
      </w:r>
    </w:p>
    <w:p w:rsidR="00163957" w:rsidRDefault="00163957" w:rsidP="00163957">
      <w:pPr>
        <w:pStyle w:val="TextoNormal"/>
      </w:pPr>
    </w:p>
    <w:p w:rsidR="00163957" w:rsidRDefault="00163957" w:rsidP="00163957">
      <w:pPr>
        <w:pStyle w:val="TextoNormal"/>
      </w:pPr>
      <w:r>
        <w:t>Esta referencia al principio de proporcionalidad se reitera en la misma Sentencia y fundamento jurídico cuando, reproduciendo literalmente la doctrina fijada en la STC 73/2000, de 14 de marzo, FJ 11, este Tribunal recuerda que “no tiene cabida en nuestra Constitución aquella ley o el concreto régimen jurídico en ella establecido cuyo efecto sea el de sacrificar, de forma desproporcionada, el pronunciamiento contenido en el fallo de una resolución judicial firme. Si se quiere, dicho en otros términos, cuando de forma patente o manifiesta no exista la debida proporción entre el interés encarnado en la Ley y el concreto interés tutelado por el fallo a ejecutar. Pues en este caso, atendidas las características del proceso y el contenido del fallo de la Sentencia (SSTC 153/1992, de 3 de mayo, FJ 4, y 91/1993, de 15 de marzo, FJ 3), cabría estimar que tal Ley sería contraria al art. 24.1 en relación con los arts. 117.3 y 118 CE, al faltar la debida proporción entre la finalidad perseguida y el sacrificio impuesto (STC 4/1988, de 21 de enero, FJ 5)”. En tales supuestos el Tribunal ha declarado que le corresponde determinar, en atención a las circunstancias del caso, si el efecto obstativo de la ley sobre la ejecución de la sentencia puede encontrar o no justificación en una razón atendible, esto es, teniendo en cuenta los valores y bienes constitucionalmente protegidos. Y si la respuesta fuera afirmativa le compete ponderar, en segundo término, si el sacrificio del pronunciamiento contenido en el fallo guarda la debida proporción entre los intereses protegidos y en colisión o, por el contrario, resulta inútil, va más allá de lo necesario o implica un manifiesto desequilibrio o desproporción entre los intereses en juego (STC 312/2006, FJ 4).</w:t>
      </w:r>
    </w:p>
    <w:p w:rsidR="00163957" w:rsidRDefault="00163957" w:rsidP="00163957">
      <w:pPr>
        <w:pStyle w:val="TextoNormal"/>
      </w:pPr>
    </w:p>
    <w:p w:rsidR="00163957" w:rsidRDefault="00163957" w:rsidP="00163957">
      <w:pPr>
        <w:pStyle w:val="TextoNormal"/>
      </w:pPr>
      <w:r>
        <w:t>Es importante señalar que este Tribunal ha aplicado esta doctrina tanto en aquellos caso en los que se cuestiona la constitucionalidad de una ley general, como en aquellos otros en lo que el proceso de constitucionalidad tiene por objeto una ley singular. Así, en la STC 73/2000 se declaran constitucionales los preceptos recurridos de la Ley Foral 9/1996, de 17 de junio, de espacios naturales protegidos de la Comunidad Foral de Navarra, cuya aprobación y entrada en vigor impedía a la Sala de lo Contencioso-Administrativo de la Audiencia Nacional ejecutar una Sentencia firme del Tribunal Supremo y, en lo que aquí interesa, la doctrina anteriormente reproducida se aplica, no en relación con una regulación ad casum del legislador de la Comunidad Foral de Navarra, sino respecto de “una regulación que es no solo formalmente sino intrínsecamente general” (STC 73/2000, FJ 15).</w:t>
      </w:r>
    </w:p>
    <w:p w:rsidR="00163957" w:rsidRDefault="00163957" w:rsidP="00163957">
      <w:pPr>
        <w:pStyle w:val="TextoNormal"/>
      </w:pPr>
    </w:p>
    <w:p w:rsidR="00163957" w:rsidRDefault="00163957" w:rsidP="00163957">
      <w:pPr>
        <w:pStyle w:val="TextoNormal"/>
      </w:pPr>
      <w:r>
        <w:t xml:space="preserve">Ahora bien, como se ha adelantado, el Tribunal ha aplicado especialmente dicha doctrina en los procesos constitucionales en los que se cuestionó la constitucionalidad de una ley </w:t>
      </w:r>
      <w:r>
        <w:lastRenderedPageBreak/>
        <w:t>singular invocando la vulneración del derecho fundamental a la tutela judicial efectiva en su vertiente de ejecución de las resoluciones judiciales (art. 24 CE). Así, la STC 50/2015, de 5 de marzo, FJ 8, reitera esta doctrina y añade que, aun cuando una ley singular pueda encontrar justificación en una razón atendible, no puede imponer un sacrificio desproporcionado de los intereses en juego expresados en un pronunciamiento judicial, afirmando que “tales supuestos han de ser objeto de un escrutinio especialmente riguroso asentado sobre la interpretación más favorable al derecho a la ejecución de las resoluciones judiciales firmes como parte integrante del derecho fundamental a la tutela judicial efectiva (art. 24.1 CE)”. Más recientemente, en la STC 231/2015, de 5 de noviembre, FFJJ 10 y 12, el Tribunal también ha aplicado la doctrina anteriormente reproducida en el caso de una ley singular que convalidó actuaciones administrativas realizadas al amparo de una disposición administrativa de carácter general anulada mediante sentencia firme. En la citada STC 231/2015, de 5 de noviembre el Tribunal enjuició por primera vez un supuesto explícito de convalidación legislativa, aunque en el pasado se ha ocupado de supuestos que guardan alguna semejanza (SSTC 73/2000 y 273/2000, de 15 de noviembre). Esta jurisprudencia debe hacerse extensiva ahora a aquellos supuestos en los que la norma impugnada es un decreto-ley, dado que su carácter de norma extraordinaria dictada por razones de urgencia no empece a su naturaleza de disposición normativa con fuerza de ley.</w:t>
      </w:r>
    </w:p>
    <w:p w:rsidR="00163957" w:rsidRDefault="00163957" w:rsidP="00163957">
      <w:pPr>
        <w:pStyle w:val="TextoNormal"/>
      </w:pPr>
    </w:p>
    <w:p w:rsidR="00163957" w:rsidRDefault="00163957" w:rsidP="00163957">
      <w:pPr>
        <w:pStyle w:val="TextoNormal"/>
      </w:pPr>
      <w:r>
        <w:t>El Decreto-ley 5/2013 puede responder a las características de un tipo de ley singular, en concreto, al que este Tribunal ha calificado como “ley de supuesto de hecho concreto” (SSTC 203/2013, de 5 de diciembre, FJ 3; 50/2015, de 5 de marzo, FJ 3, y 231/2015, de 5 de noviembre FJ 4), en el que se encuentran “‘[a]quellas [leyes]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efecto, el Decreto-ley ahora recurrido regula un supuesto de hecho concreto y singular y agota su contenido y eficacia en la adopción y ejecución de la medida tomada por el Consejo de Gobierno autonómico: la aprobación del calendario de aplicación del tratamiento integrado de lenguas con vigencia limitada a un concreto curso, ante una situación de urgente y extraordinaria necesidad.</w:t>
      </w:r>
    </w:p>
    <w:p w:rsidR="00163957" w:rsidRDefault="00163957" w:rsidP="00163957">
      <w:pPr>
        <w:pStyle w:val="TextoNormal"/>
      </w:pPr>
    </w:p>
    <w:p w:rsidR="00163957" w:rsidRDefault="00163957" w:rsidP="00163957">
      <w:pPr>
        <w:pStyle w:val="TextoNormal"/>
      </w:pPr>
      <w:r>
        <w:t>Sin embargo, al haberse dictado como consecuencia de la suspensión judicial de la disposición que establecía el referido calendario para un determinado curso académico y tener idéntico objeto que la disposición suspendida —establecer para un determinado curso académico el referido calendario— presenta los rasgos propios de las leyes de convalidación, pues a través de esta medida se logra el mismo resultado que el que la norma suspendida pretendía conseguir —el establecimiento del calendario que permitiese la aplicación del tratamiento integrado de lenguas—.</w:t>
      </w:r>
    </w:p>
    <w:p w:rsidR="00163957" w:rsidRDefault="00163957" w:rsidP="00163957">
      <w:pPr>
        <w:pStyle w:val="TextoNormal"/>
      </w:pPr>
    </w:p>
    <w:p w:rsidR="00163957" w:rsidRDefault="00163957" w:rsidP="00163957">
      <w:pPr>
        <w:pStyle w:val="TextoNormal"/>
      </w:pPr>
      <w:r>
        <w:t xml:space="preserve">La distinción, sin embargo, no resulta en este caso concluyente, dado que el Tribunal ha considerado las leyes de convalidación como un supuesto de leyes singulares dotadas de especiales características, a las cuales resulta aplicable, desde la perspectiva que aquí interesa, el mismo parámetro constitucional. Pueden citarse, en este sentido, las SSTC 73/2000 y 231/2015. En el fundamento jurídico 4 de esta última se declara que “[l]as normas convalidantes comparten con las demás leyes singulares algunas características (su carácter singular) y algunos problemas constitucionales comunes (la posibilidad de que supongan un </w:t>
      </w:r>
      <w:r>
        <w:lastRenderedPageBreak/>
        <w:t>ejercicio arbitrario de la potestad legislativa), y presentan a su vez perfiles específicos (su típico efecto retroactivo)”.</w:t>
      </w:r>
    </w:p>
    <w:p w:rsidR="00163957" w:rsidRDefault="00163957" w:rsidP="00163957">
      <w:pPr>
        <w:pStyle w:val="TextoNormal"/>
      </w:pPr>
    </w:p>
    <w:p w:rsidR="00163957" w:rsidRDefault="00163957" w:rsidP="00163957">
      <w:pPr>
        <w:pStyle w:val="TextoNormal"/>
      </w:pPr>
      <w:r>
        <w:t>Así pues, con independencia de estas particularidades, para resolver la queja de inconstitucionalidad relativa a la vulneración del derecho fundamental a la tutela judicial efectiva en su vertiente de ejecución de las resoluciones judiciales (art. 24 CE), así como la relativa a la infracción del deber de cumplimiento de las resoluciones judiciales (art. 118 CE), debemos aplicar la doctrina anteriormente citada.</w:t>
      </w:r>
    </w:p>
    <w:p w:rsidR="00163957" w:rsidRDefault="00163957" w:rsidP="00163957">
      <w:pPr>
        <w:pStyle w:val="TextoNormal"/>
      </w:pPr>
    </w:p>
    <w:p w:rsidR="00163957" w:rsidRDefault="00163957" w:rsidP="00163957">
      <w:pPr>
        <w:pStyle w:val="TextoNormal"/>
      </w:pPr>
      <w:r>
        <w:t>En consecuencia, aun cuando, como ocurre en el caso que nos ocupa, se constata la existencia de una situación de extraordinaria y urgente necesidad como presupuesto fáctico que otorga legitimidad constitucional al decreto-ley, la acción normativa de urgencia no puede imponer un sacrificio desproporcionado de los intereses expresados en un pronunciamiento judicial, por lo que para enjuiciar la eventual vulneración del art. 24 CE hemos de someter al Decreto-ley 5/2013 a un test de proporcionalidad que va más allá del análisis externo que nos compete realizar al enjuiciar la existencia del presupuesto habilitante.</w:t>
      </w:r>
    </w:p>
    <w:p w:rsidR="00163957" w:rsidRDefault="00163957" w:rsidP="00163957">
      <w:pPr>
        <w:pStyle w:val="TextoNormal"/>
      </w:pPr>
    </w:p>
    <w:p w:rsidR="00163957" w:rsidRDefault="00163957" w:rsidP="00163957">
      <w:pPr>
        <w:pStyle w:val="TextoNormal"/>
      </w:pPr>
      <w:r>
        <w:t xml:space="preserve">De acuerdo con lo anterior y en orden a valorar el cumplimiento del principio de proporcionalidad, podemos concluir que: a) el Decreto-ley 5/2013 tiene una justificación razonable ya que la situación creada no podía solventarse a través de los medios ordinarios con los que contaba la Administración, ya que el curso escolar había comenzado, los centros docentes habían aprobado sus respectivos proyectos educativos de tratamiento integrado de lenguas conforme a un decreto vigente, la plantilla de profesorado estaba organizada, los libros de texto comprados y, sin embargo, se carecía de un calendario de aplicación para iniciar el periodo de docencia de acuerdo con el nuevo modelo; b) es idónea, pues la intervención del legislador de urgencia hizo posible que los alumnos pudieran incorporarse a las aulas el 13 de septiembre de 2013, al fijar un calendario para la aplicación del proyecto docente aprobado por todos los centros escolares conforme a un decreto válido y eficaz; y, c) es proporcional en sentido estricto, esto es, “resulta ponderada o equilibrada, por derivarse de su aplicación más beneficios o ventajas para el interés general que perjuicios sobre otros bienes o intereses en conflicto” (STC 48/2005, de 3 de marzo, FJ 7). Ha de tenerse en cuenta que a través de esta medida se trataba de permitir la aplicación del Decreto 15/2013, que regulaba el tratamiento integrado de las lenguas en los centros docentes no universitarios de las Illes Balears; norma que tenía plena eficacia, pues aunque había sido impugnada, no había sido suspendida, y que la suspensión del anexo del referido Decreto, al contener el calendario para su aplicación, impedía su eficacia, con el consiguiente perjuicio para el interés general, pues el curso académico ya había empezado y esa norma resultaba de aplicación a todos los centros docentes no universitarios de las Illes Balears, públicos o privados, que impartiesen enseñanzas conducentes a la obtención de títulos oficiales de educación secundaria y formación profesional. Junto a ello también hay que tomar en consideración que el Decreto-ley impugnado no incidía ni en la validez ni en la eficacia de la disposición que se encontraba impugnada, pues ni sanaba los eventuales vicios en los que pudiera incurrir ni tampoco le otorga la eficacia de que le había privado la decisión judicial. Es cierto, que los efectos que producía el Decreto-ley eran iguales a los que producía el anexo antes de su suspensión, pues la regulación contenida en estas normas era muy similar, pero el Decreto-ley no tenía, como objeto, dar efectos a una disposición suspendida, sino establecer el calendario de la aplicación de una normativa que se encontraba en vigor y que era necesaria para que se pudiesen impartir enseñanza en los centros docentes no universitarios de </w:t>
      </w:r>
      <w:r>
        <w:lastRenderedPageBreak/>
        <w:t>la Comunidad Autónoma. En consecuencia, el Decreto-ley ahora impugnado no ha dejado sin efecto una resolución judicial ni tampoco a través de esta norma se contraviene una decisión de un órgano judicial, pues la resolución judicial que acordó la suspensión del anexo del Decreto 15/2013, no tiene más alcance que el de impedir la eficacia de esa disposición, no la de otras que, con el mismo objeto, pudieran dictarse. Por todo ello, no cabe apreciar que esta norma pueda conllevar un sacrificio desproporcionado de los intereses expresados en un pronunciamiento judicial.</w:t>
      </w:r>
    </w:p>
    <w:p w:rsidR="00163957" w:rsidRDefault="00163957" w:rsidP="00163957">
      <w:pPr>
        <w:pStyle w:val="TextoNormal"/>
      </w:pPr>
    </w:p>
    <w:p w:rsidR="00163957" w:rsidRDefault="00163957" w:rsidP="00163957">
      <w:pPr>
        <w:pStyle w:val="TextoNormal"/>
      </w:pPr>
      <w:r>
        <w:t>De ahí que, al encontrarnos ante un caso excepcional que no se puede remediar por los instrumentos ordinarios de que dispone la Administración la utilización de una norma con rango legal para regular provisionalmente una materia reglamentaria (STC 50/2015, FJ 4) ha de considerarse proporcionada. Esta situación excepcional, unida a la inexistencia de reserva reglamentaria (SSTC 120/2014, de 17 de julio, FJ 8, y 12/2015, de 2 de marzo, FJ 5), justifica la utilización de una norma con rango legal para regular provisionalmente una materia reglamentaria (STC 50/2015, FJ 4), provisionalidad que queda patente con la aprobación, de conformidad con lo dispuesto en el art. 3.3 del Decreto-ley 5/2013 y en la disposición final primera de dicha norma, de la Orden de la Consejería de Educación, Cultura y Universidades del Gobierno de las Illes Balears, de fecha 9 de mayo de 2014 (“BOIB” núm. 64, de 10 de mayo de 2014), en la que se da expreso cumplimiento a lo previsto en el Decreto-ley impugnado respecto de la fijación a nivel reglamentario y, por ende, mediante una norma administrativa de carácter general fiscalizable ante el orden jurisdiccional contencioso-administrativo, del correspondiente calendario de aplicación del sistema de tratamiento integrado de lenguas regulado en el Decreto 15/2013, de 19 de abril.</w:t>
      </w:r>
    </w:p>
    <w:p w:rsidR="00163957" w:rsidRDefault="00163957" w:rsidP="00163957">
      <w:pPr>
        <w:pStyle w:val="TextoNormal"/>
      </w:pPr>
    </w:p>
    <w:p w:rsidR="00163957" w:rsidRDefault="00163957" w:rsidP="00163957">
      <w:pPr>
        <w:pStyle w:val="TextoNormal"/>
      </w:pPr>
      <w:r w:rsidRPr="00163957">
        <w:rPr>
          <w:rStyle w:val="NumeroAFNegritaCaracter"/>
        </w:rPr>
        <w:t>8</w:t>
      </w:r>
      <w:r>
        <w:t>. Por último, y en cuanto al carácter arbitrario de la norma que se denuncia, es clara la doctrina del Tribunal en la que se establece la necesidad de manejar dicha calificación con prudencia, de forma que la aplicación del art. 9.3 CE como parámetro de control del legislador no le imponga constricciones indebidas y se respeten sus opciones (SSTC 104/2000, de 13 de abril, FJ 8, y 203/ 2013, FJ 6, entre otras), doctrina que debemos extender en el caso de que la norma impugnada sea un decreto-ley. Por ello, al examinar la norma impugnada, se ha de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(STC 50/2015, FJ 6, y las allí citadas).</w:t>
      </w:r>
    </w:p>
    <w:p w:rsidR="00163957" w:rsidRDefault="00163957" w:rsidP="00163957">
      <w:pPr>
        <w:pStyle w:val="TextoNormal"/>
      </w:pPr>
    </w:p>
    <w:p w:rsidR="00163957" w:rsidRDefault="00163957" w:rsidP="00163957">
      <w:pPr>
        <w:pStyle w:val="TextoNormal"/>
      </w:pPr>
      <w:r>
        <w:t>Por tanto, atendiendo a la prudencia con la que este Tribunal ha de actuar antes de calificar una norma con rango de ley como arbitraria y al control negativo que nos es propio en relación con dicho principio de interdicción de la arbitrariedad de los poderes públicos, no cabe afirmar que estemos ante una norma discriminatoria, ni que carezca de justificación objetiva, como ya se ha argumentado en el fundamento jurídico anterior, pues tal justificación reside en la situación excepcional a la que responde el Decreto-ley impugnado en razón de la urgente necesidad de aprobar un calendario de aplicación del Decreto 15/2013, con la finalidad de que los alumnos de los centros docentes no universitarios de las Illes Balears puedan incorporarse a las aulas el día previsto para ello.</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Estimar parcialmente el recurso de inconstitucionalidad núm. 7084-2013 y, en consecuencia, declarar la inconstitucionalidad y nulidad de los arts. 4 y 5 del Decreto-ley 5/2013, de 6 de septiembre, por el que se adoptan determinadas medidas urgentes en relación con la implantación, para el curso 2013-2014, del sistema de tratamiento integrado de las lenguas en los centros docentes no universitarios de las Illes Balears, así como la disposición adicional única y la disposición derogatoria única en el apartado en el que deroga “el art. 20 del Decreto 15/2013, de 19 de abril”.</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tres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42" w:name="SENTENCIA_2016_39"/>
      <w:r>
        <w:lastRenderedPageBreak/>
        <w:t>SENTENCIA 39/2016, de 3 de marzo de 2016</w:t>
      </w:r>
    </w:p>
    <w:bookmarkEnd w:id="42"/>
    <w:p w:rsidR="00163957" w:rsidRDefault="00163957" w:rsidP="00163957">
      <w:pPr>
        <w:pStyle w:val="TtuloResolucin"/>
      </w:pPr>
      <w:r>
        <w:t>Pleno</w:t>
      </w:r>
    </w:p>
    <w:p w:rsidR="00163957" w:rsidRDefault="00163957" w:rsidP="00163957">
      <w:pPr>
        <w:pStyle w:val="TtuloBOE"/>
      </w:pPr>
      <w:r>
        <w:t>(BOE núm. 85, de 8 de abril de 2016)</w:t>
      </w:r>
    </w:p>
    <w:p w:rsidR="00163957" w:rsidRDefault="00163957" w:rsidP="00163957">
      <w:pPr>
        <w:pStyle w:val="TextoNormalCentrado"/>
      </w:pPr>
      <w:r>
        <w:t>ECLI:ES:TC:2016:39</w:t>
      </w:r>
    </w:p>
    <w:p w:rsidR="00163957" w:rsidRDefault="00163957" w:rsidP="00163957">
      <w:pPr>
        <w:pStyle w:val="TextoNormalCentrado"/>
      </w:pPr>
    </w:p>
    <w:p w:rsidR="00163957" w:rsidRDefault="00163957" w:rsidP="00163957">
      <w:pPr>
        <w:pStyle w:val="SntesisDescriptiva"/>
      </w:pPr>
      <w:r>
        <w:t>Recurso de amparo 7222-2013. Promovido por doña Mónica Rebeca Liberato Rodríguez en relación con las Sentencias del Tribunal Superior de Justicia de Castilla y León y de un Juzgado de lo Social de León en proceso por despido.</w:t>
      </w:r>
    </w:p>
    <w:p w:rsidR="00163957" w:rsidRDefault="00163957" w:rsidP="00163957">
      <w:pPr>
        <w:pStyle w:val="SntesisDescriptiva"/>
      </w:pPr>
    </w:p>
    <w:p w:rsidR="00163957" w:rsidRDefault="00163957" w:rsidP="00163957">
      <w:pPr>
        <w:pStyle w:val="SntesisAnaltica"/>
      </w:pPr>
      <w:r>
        <w:t>Supuesta vulneración de los derechos a la intimidad y a la protección de datos: despido basado en las imágenes captadas por una cámara de videovigilancia instalada sin comunicación previa a la trabajadora. Votos particulares.</w:t>
      </w:r>
    </w:p>
    <w:p w:rsidR="00163957" w:rsidRDefault="00163957" w:rsidP="00163957">
      <w:pPr>
        <w:pStyle w:val="SntesisAnaltica"/>
      </w:pPr>
    </w:p>
    <w:p w:rsidR="00163957" w:rsidRDefault="00163957" w:rsidP="00163957">
      <w:pPr>
        <w:pStyle w:val="Extracto"/>
      </w:pPr>
      <w:r>
        <w:t>1.</w:t>
      </w:r>
      <w:r>
        <w:tab/>
        <w:t>Teniendo la trabajadora información previa de la instalación de las cámaras de videovigilancia a través del correspondiente distintivo informativo y habiendo sido tratadas las imágenes captadas para el control de la relación laboral, no puede entenderse vulnerado el derecho a la protección de datos personales [FJ 4].</w:t>
      </w:r>
    </w:p>
    <w:p w:rsidR="00163957" w:rsidRDefault="00163957" w:rsidP="00163957">
      <w:pPr>
        <w:pStyle w:val="Extracto"/>
      </w:pPr>
    </w:p>
    <w:p w:rsidR="00163957" w:rsidRDefault="00163957" w:rsidP="00163957">
      <w:pPr>
        <w:pStyle w:val="Extracto"/>
      </w:pPr>
      <w:r>
        <w:t>2.</w:t>
      </w:r>
      <w:r>
        <w:tab/>
        <w:t>La medida de instalación de cámaras de seguridad era justificada, idónea para la finalidad pretendida por la empresa,  necesaria y equilibrada, por lo que debe descartarse que se haya producido lesión alguna del derecho a la intimidad personal [FJ 5].</w:t>
      </w:r>
    </w:p>
    <w:p w:rsidR="00163957" w:rsidRDefault="00163957" w:rsidP="00163957">
      <w:pPr>
        <w:pStyle w:val="Extracto"/>
      </w:pPr>
    </w:p>
    <w:p w:rsidR="00163957" w:rsidRDefault="00163957" w:rsidP="00163957">
      <w:pPr>
        <w:pStyle w:val="Extracto"/>
      </w:pPr>
      <w:r>
        <w:t>3.</w:t>
      </w:r>
      <w:r>
        <w:tab/>
        <w:t>La dispensa del consentimiento se refiere a los datos necesarios para el cumplimiento de la relación laboral; ahora bien, aunque no sea necesario el consentimiento, el deber de información sigue existiendo y permite al afectado ejercer los derechos de acceso, rectificación, cancelación y oposición [FJ 3].</w:t>
      </w:r>
    </w:p>
    <w:p w:rsidR="00163957" w:rsidRDefault="00163957" w:rsidP="00163957">
      <w:pPr>
        <w:pStyle w:val="Extracto"/>
      </w:pPr>
    </w:p>
    <w:p w:rsidR="00163957" w:rsidRDefault="00163957" w:rsidP="00163957">
      <w:pPr>
        <w:pStyle w:val="Extracto"/>
      </w:pPr>
      <w:r>
        <w:t>4.</w:t>
      </w:r>
      <w:r>
        <w:tab/>
        <w:t>La empresa cumplió con el deber de información, toda vez que colocó el correspondiente distintivo en el escaparate de la tienda, sin que sea necesario especificar la finalidad exacta que se le ha asignado al control por videovigilancia [FJ 4].</w:t>
      </w:r>
    </w:p>
    <w:p w:rsidR="00163957" w:rsidRDefault="00163957" w:rsidP="00163957">
      <w:pPr>
        <w:pStyle w:val="Extracto"/>
      </w:pPr>
    </w:p>
    <w:p w:rsidR="00163957" w:rsidRDefault="00163957" w:rsidP="00163957">
      <w:pPr>
        <w:pStyle w:val="Extracto"/>
      </w:pPr>
      <w:r>
        <w:t>5.</w:t>
      </w:r>
      <w:r>
        <w:tab/>
        <w:t>Doctrina sobre los requisitos que deben satisfacer las medidas restrictivas de derechos fundamentales (SSTC 66/1995 y 37/1998) [FJ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el recurso de amparo núm. 7222-2013, promovido por doña Mónica Rebeca Liberato Rodríguez, representada por la Procuradora de los Tribunales doña Carmen Olmos Gilsanz y asistida por el Abogado don Enrique Arce Mainzhausen, contra el Auto de la Sala de lo Social del Tribunal Superior de Justicia de Castilla y León de 23 de octubre de 2013 por el que se desestima el incidente de nulidad de actuaciones interpuesto contra la Sentencia de la Sala de lo Social del Tribunal Superior de Justicia de Castilla y León de 24 de julio de 2013 desestimatoria a su vez del recurso de suplicación interpuesto con la Sentencia del Juzgado de lo Social núm. 2 de León de 11 de marzo de 2013. Ha intervenido el Ministerio Fiscal. Ha sido Ponente la Magistrada doña Encarnación Roca Trías,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Procuradora de los Tribunales doña Carmen Olmos Gilsanz, en nombre y representación de doña Mónica Rebeca Liberato Rodríguez, bajo la dirección del Letrado don Enrique Arce Mainzhausen, interpuso demanda de amparo contra las resoluciones que se mencionan en el encabezamiento mediante escrito registrado en este Tribunal el 9 de diciembre de 2013, por entender vulnerado los arts. 14, 15, 18 y 24 CE.</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en los que tiene su origen el presente recurso, relevantes para su resolución, son los siguientes:</w:t>
      </w:r>
    </w:p>
    <w:p w:rsidR="00163957" w:rsidRDefault="00163957" w:rsidP="00163957">
      <w:pPr>
        <w:pStyle w:val="TextoNormal"/>
      </w:pPr>
    </w:p>
    <w:p w:rsidR="00163957" w:rsidRDefault="00163957" w:rsidP="00163957">
      <w:pPr>
        <w:pStyle w:val="TextoNormal"/>
      </w:pPr>
      <w:r>
        <w:t>a) La demandante de amparo venía prestando sus servicios para la empresa Bershka BSK España, S.A. El 21 de junio de 2012 fue despedida por transgresión de la buena fe contractual. El departamento de seguridad de Inditex, a raíz de la instalación de un nuevo sistema de control informático de caja, detectó que en la tienda y caja donde prestaba sus servicios la demandante existían múltiples irregularidades, de lo que podría desprenderse una apropiación dineraria por parte de alguno de los trabajadores que trabajaban en dicha caja, entre ellos la demandante. Por ello encargaron a la empresa Prosegur Compañía de Seguridad, S.A., que instalara una cámara de videovigilancia en la tienda donde prestaba sus servicios la demandante y que controlara la caja donde trabajaba.</w:t>
      </w:r>
    </w:p>
    <w:p w:rsidR="00163957" w:rsidRDefault="00163957" w:rsidP="00163957">
      <w:pPr>
        <w:pStyle w:val="TextoNormal"/>
      </w:pPr>
    </w:p>
    <w:p w:rsidR="00163957" w:rsidRDefault="00163957" w:rsidP="00163957">
      <w:pPr>
        <w:pStyle w:val="TextoNormal"/>
      </w:pPr>
      <w:r>
        <w:t>La cámara se instaló, no comunicando a los trabajadores dicha instalación, si bien en el escaparate del establecimiento, en un lugar visible, se colocó el distintivo informativo.</w:t>
      </w:r>
    </w:p>
    <w:p w:rsidR="00163957" w:rsidRDefault="00163957" w:rsidP="00163957">
      <w:pPr>
        <w:pStyle w:val="TextoNormal"/>
      </w:pPr>
    </w:p>
    <w:p w:rsidR="00163957" w:rsidRDefault="00163957" w:rsidP="00163957">
      <w:pPr>
        <w:pStyle w:val="TextoNormal"/>
      </w:pPr>
      <w:r>
        <w:t>b) El día 21 de junio de 2012 se comunicó a la demandante su despido. En la carta de despido constaba que era despedida disciplinariamente porque se había venido apropiando de efectivo de la caja de la tienda, en diferentes fechas y de forma habitual. En concreto, se señalaba los días y horas en los que se había apropiado del importe de 186,92 €, habiendo realizado para ocultar dicha apropiación las operaciones falsas de devoluciones de venta de prendas.</w:t>
      </w:r>
    </w:p>
    <w:p w:rsidR="00163957" w:rsidRDefault="00163957" w:rsidP="00163957">
      <w:pPr>
        <w:pStyle w:val="TextoNormal"/>
      </w:pPr>
    </w:p>
    <w:p w:rsidR="00163957" w:rsidRDefault="00163957" w:rsidP="00163957">
      <w:pPr>
        <w:pStyle w:val="TextoNormal"/>
      </w:pPr>
      <w:r>
        <w:t xml:space="preserve">c) La demandante de amparo presentó demanda de despido contra Bershka BSK España, S.A. En su demanda solicitaba la declaración de nulidad del despido por atentar contra su </w:t>
      </w:r>
      <w:r>
        <w:lastRenderedPageBreak/>
        <w:t>honor, intimidad y dignidad, y subsidiariamente la declaración de improcedencia. La trabajadora en su demanda sostuvo que en el centro de trabajo no existía comunicación al público ni carteles comunicativos de la existencia de cámaras de videograbación, ni tampoco comunicación a la Agencia de Protección de Datos, ni autorización por la sección de seguridad privada de la comisaría de policía de León, ni tampoco comunicación o informe previo del comité de empresa de la instalación de la videograbación.</w:t>
      </w:r>
    </w:p>
    <w:p w:rsidR="00163957" w:rsidRDefault="00163957" w:rsidP="00163957">
      <w:pPr>
        <w:pStyle w:val="TextoNormal"/>
      </w:pPr>
    </w:p>
    <w:p w:rsidR="00163957" w:rsidRDefault="00163957" w:rsidP="00163957">
      <w:pPr>
        <w:pStyle w:val="TextoNormal"/>
      </w:pPr>
      <w:r>
        <w:t>Por Sentencia del Juzgado de lo Social núm. 2 de León de 11 de marzo de 2013 se desestimó la demanda y se declaró procedente el despido. Señala el Juzgado que la empresa ha acreditado plenamente con arreglo al art. 105 de la Ley reguladora de la jurisdicción social los hechos que constan en la carta motivadores del despido, en base a lo siguiente: “A) Por la declaración testifical del responsable de seguridad de INDITEX, que manifestó que en el puesto de trabajo y en la tienda donde prestaba sus servicios la demandante se habían detectado irregularidades de las que pudieran derivarse una apropiación dineraria de carácter indebido. Por lo que se encargó a la empresa PROSEGUR la colocación de una cámara de videovigilancia. B) Por las declaraciones testificales de la responsable de recursos humanos y de la dirección de la empresa demandada en Castilla y León, que se valoraron como muy verosímiles por la contundencia y coincidencia respecto de los términos en que se hicieron. Y que, en síntesis, manifestaron que cuando a la actora se le leyó la carta de despido reconoció plenamente los hechos, pidiendo perdón y diciendo que su conducta respondía a una necesidad por una mala racha que duraba mucho tiempo. C) Por el escrito de finiquito firmado por la actora, tal y como se reconoció en el acto del juicio, que sin perjuicio de lo ya dicho en cuanto a la falta de enervación por el mismo de la acción de despido nulo, implícitamente está admitiendo los hechos, por la renuncia a la impugnación del despido ordinario”. Y, por lo que se refiere a la instalación de la cámara de videovigilancia afirma la Sentencia que “en la instalación y grabación se cumplió escrupulosamente la normativa al respecto. En efecto, con arreglo a la STC 186/2000, de 10 de julio, concurría la situación precisa para el control oculto, esto es sin notificar expresamente la colocación de la cámara a los trabajadores, porque era, en principio, el único medio posible dicho control para satisfacer el interés empresarial de saber fehacientemente quien estaba realizando los actos defraudatorios de los que indiciariamente ya se tenían conocimiento”.</w:t>
      </w:r>
    </w:p>
    <w:p w:rsidR="00163957" w:rsidRDefault="00163957" w:rsidP="00163957">
      <w:pPr>
        <w:pStyle w:val="TextoNormal"/>
      </w:pPr>
    </w:p>
    <w:p w:rsidR="00163957" w:rsidRDefault="00163957" w:rsidP="00163957">
      <w:pPr>
        <w:pStyle w:val="TextoNormal"/>
      </w:pPr>
      <w:r>
        <w:t>d) Contra esta Sentencia interpuso la demandante recurso de suplicación que fue desestimado por Sentencia de la Sala de lo Social del Tribunal Superior de Justicia de Castilla y León de 24 de julio de 2013.</w:t>
      </w:r>
    </w:p>
    <w:p w:rsidR="00163957" w:rsidRDefault="00163957" w:rsidP="00163957">
      <w:pPr>
        <w:pStyle w:val="TextoNormal"/>
      </w:pPr>
    </w:p>
    <w:p w:rsidR="00163957" w:rsidRDefault="00163957" w:rsidP="00163957">
      <w:pPr>
        <w:pStyle w:val="TextoNormal"/>
      </w:pPr>
      <w:r>
        <w:t xml:space="preserve">Estima, en síntesis, la demandante que el despido ha de calificarse como nulo, puesto que las pruebas que condujeron a exteriorizar y captar los hechos imputados a la trabajadora y que justificaron su despido se obtuvieron con preterición de los derechos fundamentales de la misma a su intimidad y dignidad, estándose entonces ante actividad probatoria ineficaz por ilícita. Sin embargo, a juicio de la Sala, “la decisión empresarial de colocar una cámara de videovigilancia en el centro de trabajo … satisfizo el juicio de proporcionalidad constitucionalmente exigido para poder afirmar su legalidad y legitimidad en sede de tutela de los derechos fundamentales y libertades públicas de los que son titulares los trabajadores en el ámbito del contrato de trabajo. En primer lugar, la medida sobre la que se debate integra una iniciativa que, en principio, se encuentra dentro de las facultades legales que se atribuyen al poder empresarial de dirección y de control de la actividad laboral, puesto que el art. </w:t>
      </w:r>
      <w:r>
        <w:lastRenderedPageBreak/>
        <w:t>20.3 ET faculta al empresario para la adopción de medidas de vigilancia y control del cumplimiento por el trabajador de sus obligaciones y deberes laborales, siempre que en su adopción y aplicación se guarde la consideración debida a su humana dignidad. Y la referida medida debe considerarse idónea, en tanto que la misma era útil para exteriorizar, conocer e identificar las irregularidades existentes en la caja del centro comercial, en el que prestaba servicios la trabajadora despedida, irregularidades detectadas tras la implantación de un nuevo sistema de control informático de la dependencia de caja. En segundo lugar, la instalación de la cámara de videovigilancia se revelaba necesaria para aquilatar las irregularidades o anomalías que pudieren estar relacionadas con el uso o con la gestión de la caja del centro comercial, puesto que se trataba de verificar a través de aquella instalación eventuales operaciones o maniobras de apropiación dineraria, esto es, de maniobras de trasiego físico del dinero obrante en la caja a otro lugar distinto en el que ese dinero se depositaba. Y, en tercer término, la medida era necesariamente proporcional, en tanto que su adopción tenía como exclusivo destino la dependencia de caja de la tienda, esto es, un espacio destinado a la permanente interrelación personal y en el que se llevan a cabo conductas escasamente exigentes de la preservación de la injerencia o del conocimiento de las mismas por terceras personas; en tanto que la videovigilancia afectaba exclusivamente a uno de esos ámbitos, cual es el de la recaudación dineraria, en los que se expresa de forma primordial el interés de la empresa; en tanto que la instalación de la cámara estuvo acompañada de la colocación de un anuncio informativo de que el centro de trabajo estaba video vigilado; y en tanto que la medida, dotada de la necesidad de su adopción que es inherente a la previa y fundada sospecha de que se estaban cometiendo irregularidades sugerentes de apropiación dineraria, tenía también por finalidad la captación de eventuales irregularidades afectantes a ese elemento nuclear del contrato de trabajo y de su mantenimiento en que consiste el cumplimiento de las obligaciones de trabajo con la probidad y lealtad que exige la buena fe (arts. 5 a) y 20.2 ET). En consecuencia, la decisión sobre la que se debate y que se tacha en el escrito del recurso como ilegal por lesiva de derechos fundamentales no fue tal, al superar la misma el juicio de adecuación, de razonabilidad o de proporcionalidad constitucionalmente exigido para elucidar los límites de la injerencia del poder empresarial de control de la actividad laboral, cuando ese poder afecta a derechos fundamentales del trabajador.”</w:t>
      </w:r>
    </w:p>
    <w:p w:rsidR="00163957" w:rsidRDefault="00163957" w:rsidP="00163957">
      <w:pPr>
        <w:pStyle w:val="TextoNormal"/>
      </w:pPr>
    </w:p>
    <w:p w:rsidR="00163957" w:rsidRDefault="00163957" w:rsidP="00163957">
      <w:pPr>
        <w:pStyle w:val="TextoNormal"/>
      </w:pPr>
      <w:r>
        <w:t>e) Frente a esta Sentencia interpuso la recurrente incidente de nulidad de actuaciones ante la Sala de lo Social del Tribunal Superior de Justicia de Castilla y León que fue desestimado por Auto de 23 de octubre de 2013 porque la Sentencia cuya nulidad se instaba era susceptible de recurso de casación para unificación de doctrina y porque la misma ya abordó, acertada o desacertadamente, la cuestión que se suscitaba en el incidente.</w:t>
      </w:r>
    </w:p>
    <w:p w:rsidR="00163957" w:rsidRDefault="00163957" w:rsidP="00163957">
      <w:pPr>
        <w:pStyle w:val="TextoNormal"/>
      </w:pPr>
    </w:p>
    <w:p w:rsidR="00163957" w:rsidRDefault="00163957" w:rsidP="00163957">
      <w:pPr>
        <w:pStyle w:val="TextoNormal"/>
      </w:pPr>
      <w:r w:rsidRPr="00163957">
        <w:rPr>
          <w:rStyle w:val="NumeroAFNegritaCaracter"/>
        </w:rPr>
        <w:t>3</w:t>
      </w:r>
      <w:r>
        <w:t>. La recurrente en amparo alega vulneración de los arts. 14, 15, 18.1, 18.4 y 24 CE.</w:t>
      </w:r>
    </w:p>
    <w:p w:rsidR="00163957" w:rsidRDefault="00163957" w:rsidP="00163957">
      <w:pPr>
        <w:pStyle w:val="TextoNormal"/>
      </w:pPr>
    </w:p>
    <w:p w:rsidR="00163957" w:rsidRDefault="00163957" w:rsidP="00163957">
      <w:pPr>
        <w:pStyle w:val="TextoNormal"/>
      </w:pPr>
      <w:r>
        <w:t>En relación con el art. 18.1 CE afirma que lo alegado en el recurso de suplicación no era que el despido se hubiere producido con violación de sus derechos o libertades, confundiendo el despido vulnerador de éstos, sino que lo era con la infracción de los mismos para la obtención de la prueba de los hechos en los que se fundamentó, cuestiones absolutamente diferentes, ya que para que el despido sea nulo ha de producirse por una causa ajena al contrato de trabajo, directamente atentatoria contra un derecho fundamental y verdadero móvil de la decisión extintiva del empleador, absolutamente al margen de cualquier motivo disciplinario.</w:t>
      </w:r>
    </w:p>
    <w:p w:rsidR="00163957" w:rsidRDefault="00163957" w:rsidP="00163957">
      <w:pPr>
        <w:pStyle w:val="TextoNormal"/>
      </w:pPr>
    </w:p>
    <w:p w:rsidR="00163957" w:rsidRDefault="00163957" w:rsidP="00163957">
      <w:pPr>
        <w:pStyle w:val="TextoNormal"/>
      </w:pPr>
      <w:r>
        <w:lastRenderedPageBreak/>
        <w:t>A continuación, reproduce el contenido de una Sentencia del Tribunal Supremo de 5 de diciembre de 2003 en la que se señala que los controles empresariales que puedan establecer los empleadores en uso de su derecho a controlar la actividad de los trabajadores serán lícitos mientras no produzcan resultados inconstitucionales, y que para poder afirmar si ese respeto se entiende producido o no habrá que establecer en cada caso si la medida empresarial adoptada se acomoda a las exigencias de proporcionalidad entre el fin pretendido con ella y la posible restricción de aquel derecho fundamental de los trabajadores, para lo cual es necesario constatar si dicha medida es susceptible de conseguir el objetivo propuesto (juicio de idoneidad), si además es necesaria (juicio de necesidad) y finalmente si la misma es ponderada o equilibrada (juicio de proporcionalidad en sentido estricto).</w:t>
      </w:r>
    </w:p>
    <w:p w:rsidR="00163957" w:rsidRDefault="00163957" w:rsidP="00163957">
      <w:pPr>
        <w:pStyle w:val="TextoNormal"/>
      </w:pPr>
    </w:p>
    <w:p w:rsidR="00163957" w:rsidRDefault="00163957" w:rsidP="00163957">
      <w:pPr>
        <w:pStyle w:val="TextoNormal"/>
      </w:pPr>
      <w:r>
        <w:t>Sostiene la recurrente que en casos como el presente se exige ineludiblemente la información previa al trabajador. En el ámbito laboral, no existe razón que tolere la limitación del derecho de información que integra la cobertura ordinaria del derecho fundamental del art. 18.4 CE, sin que sea suficiente que el tratamiento de datos resulte en principio lícito o que pueda resultar eventualmente proporcionado al fin perseguido, debiendo el control empresarial asegurar en todo caso la debida información previa.</w:t>
      </w:r>
    </w:p>
    <w:p w:rsidR="00163957" w:rsidRDefault="00163957" w:rsidP="00163957">
      <w:pPr>
        <w:pStyle w:val="TextoNormal"/>
      </w:pPr>
    </w:p>
    <w:p w:rsidR="00163957" w:rsidRDefault="00163957" w:rsidP="00163957">
      <w:pPr>
        <w:pStyle w:val="TextoNormal"/>
      </w:pPr>
      <w:r>
        <w:t>Insiste la recurrente en que en el ámbito del contrato de trabajo, como núcleo de los derechos y deberes derivados del contrato, cuando se produce una sanción disciplinaria a trabajador por incumplimiento de éste, con sanción basada en imágenes captadas por las cámaras de videovigilancia instaladas en el puesto de trabajo, deben de respetarse la protección de datos de carácter personal y su derecho a la información. El tratamiento de los datos sin haber informado al trabajador sobre la utilidad de supervisión laboral asociada a las capturas de su imagen, a la que se ha de añadir la insuficiencia de la existencia de distintivos anunciando la instalación de cámaras y la captación de imágenes y de la notificación de creación del fichero a la Agencia Española de Protección de Datos, para su validez, exige la necesidad de información previa, expresa, precisa, clara e inequívoca a los trabajadores sobre la captación de imágenes, su finalidad de control de la actividad laboral y su posible utilización para la imposición de sanciones disciplinarias por incumplimientos del contrato de trabajo. De no hacerse así, a su juicio, se vulnera el art. 18.4 CE.</w:t>
      </w:r>
    </w:p>
    <w:p w:rsidR="00163957" w:rsidRDefault="00163957" w:rsidP="00163957">
      <w:pPr>
        <w:pStyle w:val="TextoNormal"/>
      </w:pPr>
    </w:p>
    <w:p w:rsidR="00163957" w:rsidRDefault="00163957" w:rsidP="00163957">
      <w:pPr>
        <w:pStyle w:val="TextoNormal"/>
      </w:pPr>
      <w:r>
        <w:t>Señala que la protección de datos y el derecho de información en el ámbito laboral acarrea la inexistencia de razón que tolere la limitación del derecho de información que integra la cobertura ordinaria del derecho fundamental del art. 18.4 CE, sin que sea suficiente que el tratamiento de datos resulte en principio lícito o que pueda resultar eventualmente proporcionado al fin perseguido. El control empresarial deberá asegurar la debida información previa.</w:t>
      </w:r>
    </w:p>
    <w:p w:rsidR="00163957" w:rsidRDefault="00163957" w:rsidP="00163957">
      <w:pPr>
        <w:pStyle w:val="TextoNormal"/>
      </w:pPr>
    </w:p>
    <w:p w:rsidR="00163957" w:rsidRDefault="00163957" w:rsidP="00163957">
      <w:pPr>
        <w:pStyle w:val="TextoNormal"/>
      </w:pPr>
      <w:r>
        <w:t>La recurrente reproduce la doctrina al respecto contenida en la STC 29/2013, de 11 de febrero, e indica que el Tribunal Constitucional ha fijado como elemento caracterizador de la definición constitucional del art. 18.4 CE, de su núcleo esencial, el derecho del afectado a ser informado de quién posee los datos personales y con qué fin.</w:t>
      </w:r>
    </w:p>
    <w:p w:rsidR="00163957" w:rsidRDefault="00163957" w:rsidP="00163957">
      <w:pPr>
        <w:pStyle w:val="TextoNormal"/>
      </w:pPr>
    </w:p>
    <w:p w:rsidR="00163957" w:rsidRDefault="00163957" w:rsidP="00163957">
      <w:pPr>
        <w:pStyle w:val="TextoNormal"/>
      </w:pPr>
      <w:r>
        <w:t>Por último afirma que se vulnera el derecho a la tutela judicial efectiva en cuanto las decisiones judiciales deben ser racionales, fundadas en derecho, sin que puedan ser de apreciación por los tribunales pruebas obtenidas con vulneración de derechos fundamentales, cual es el caso.</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3 de noviembre de 2014, la Sala Primera acordó la admisión a trámite de la demanda y, a tenor de lo dispuesto en el art. 51 de la Ley Orgánica del Tribunal Constitucional (LOTC), requerir a la Sala de lo Social del Tribunal Superior de Justicia de Castilla y León, con sede en Valladolid, para que en el plazo de diez días remitiera certificación o copia adverada de las actuaciones correspondientes al recurso de suplicación núm. 1078-2013. Igualmente se acordó dirigir comunicación al Juzgado de lo Social núm. 2 de León a fin de que, en plazo que no exceda de diez días, remitiera certificación o copia adverada de las actuaciones correspondientes al procedimiento sobre despido/ceses núm. 841-2012, debiendo previamente emplazarse, para que en el plazo de diez días puedan comparecer, si lo desean, en el recurso de amparo a quienes hubieran sido parte en el procedimiento, excepto la parte recurrente en amparo.</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presentado el 19 de diciembre de 2014 en el Registro General de este Tribunal, se personó en el recurso de amparo la Letrada doña Belén Sánchez Caja, en nombre y representación de Bershka BSK España, S.A., solicitando que se la tenga por comparecida en tiempo y forma en el proceso constitucional y que se entiendan con ella las sucesivas notificaciones y/o diligencia en el domicilio profesional designado.</w:t>
      </w:r>
    </w:p>
    <w:p w:rsidR="00163957" w:rsidRDefault="00163957" w:rsidP="00163957">
      <w:pPr>
        <w:pStyle w:val="TextoNormal"/>
      </w:pPr>
    </w:p>
    <w:p w:rsidR="00163957" w:rsidRDefault="00163957" w:rsidP="00163957">
      <w:pPr>
        <w:pStyle w:val="TextoNormal"/>
      </w:pPr>
      <w:r w:rsidRPr="00163957">
        <w:rPr>
          <w:rStyle w:val="NumeroAFNegritaCaracter"/>
        </w:rPr>
        <w:t>6</w:t>
      </w:r>
      <w:r>
        <w:t>. Una vez recibidas las actuaciones, a través de diligencia de ordenación del Secretario de Justicia de la Sala Primera de 29 de diciembre de 2014, de conformidad con el art. 81 LOTC, se concedió un plazo de diez días a la Abogada doña Belén Sánchez Caja, para que dentro de dicho término compareciera con Procurador debidamente apoderado, advirtiendo a la citada Abogada que de no subsanar el defecto en el plazo indicado, se tendrá a dicha entidad por no personada continuándose la tramitación del presente recurso.</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presentado en el Registro General de este Tribunal el 14 de enero de 2015 se personó en nombre y representación de Bershka BSK España, S.A., el Procurador de los Tribunales don Argimiro Vázquez Guillén solicitando que se entiendan con él las sucesivas diligencias y notificaciones.</w:t>
      </w:r>
    </w:p>
    <w:p w:rsidR="00163957" w:rsidRDefault="00163957" w:rsidP="00163957">
      <w:pPr>
        <w:pStyle w:val="TextoNormal"/>
      </w:pPr>
    </w:p>
    <w:p w:rsidR="00163957" w:rsidRDefault="00163957" w:rsidP="00163957">
      <w:pPr>
        <w:pStyle w:val="TextoNormal"/>
      </w:pPr>
      <w:r w:rsidRPr="00163957">
        <w:rPr>
          <w:rStyle w:val="NumeroAFNegritaCaracter"/>
        </w:rPr>
        <w:t>8</w:t>
      </w:r>
      <w:r>
        <w:t>. Por diligencia de ordenación del Secretario de Justicia de la Sala Primera de 22 de enero de 2015 se tuvo por personado y parte en nombre y representación de Bershka BSK España, S.A., al Procurador don Argimiro Vázquez Guillén, y a tenor de lo dispuesto en el art. 52 LOTC, se da vista de todas las actuaciones del presente recurso de amparo, en la Secretaría de la Sala Primera, por un plazo común de veinte días, al Ministerio Fiscal y a las partes personadas, para que dentro de dicho término puedan presentar las alegaciones que a su derecho convenga.</w:t>
      </w:r>
    </w:p>
    <w:p w:rsidR="00163957" w:rsidRDefault="00163957" w:rsidP="00163957">
      <w:pPr>
        <w:pStyle w:val="TextoNormal"/>
      </w:pPr>
    </w:p>
    <w:p w:rsidR="00163957" w:rsidRDefault="00163957" w:rsidP="00163957">
      <w:pPr>
        <w:pStyle w:val="TextoNormal"/>
      </w:pPr>
      <w:r w:rsidRPr="00163957">
        <w:rPr>
          <w:rStyle w:val="NumeroAFNegritaCaracter"/>
        </w:rPr>
        <w:t>9</w:t>
      </w:r>
      <w:r>
        <w:t>. El día 20 de febrero de 2015 presentó sus alegaciones el Ministerio Fiscal, interesando se dicte Sentencia denegando el amparo pretendido.</w:t>
      </w:r>
    </w:p>
    <w:p w:rsidR="00163957" w:rsidRDefault="00163957" w:rsidP="00163957">
      <w:pPr>
        <w:pStyle w:val="TextoNormal"/>
      </w:pPr>
    </w:p>
    <w:p w:rsidR="00163957" w:rsidRDefault="00163957" w:rsidP="00163957">
      <w:pPr>
        <w:pStyle w:val="TextoNormal"/>
      </w:pPr>
      <w:r>
        <w:t xml:space="preserve">Tras exponer los antecedentes del caso, señala el Fiscal con carácter previo al análisis de las cuestiones de fondo, que el recurso es extemporáneo al haberse prolongado artificialmente el plazo para su interposición con motivo de suscitarse un recurso manifiestamente improcedente. Este recurso no es otro que el incidente de nulidad de actuaciones. Señala el </w:t>
      </w:r>
      <w:r>
        <w:lastRenderedPageBreak/>
        <w:t>Fiscal que dentro de la relación de derechos fundamentales invocados respectivamente en el recurso de suplicación y en el incidente de nulidad, no existe una total y absoluta igualdad, ya que al formalizarse el recurso de suplicación se citan sin más los arts. 14, 15, 18 y 24.1 CE. El desarrollo de tales motivos se centra esencialmente en el art. 18.1 CE, invocándose el genérico derecho a la intimidad personal. Se razona desde la exclusiva perspectiva del art. 18.1 CE no haciéndose la más mínima mención al derecho de autodeterminación informativa del art. 18.4 CE, que no obstante sí es objeto de análisis posteriormente en la promoción del incidente de nulidad y por supuesto en la demanda de amparo.</w:t>
      </w:r>
    </w:p>
    <w:p w:rsidR="00163957" w:rsidRDefault="00163957" w:rsidP="00163957">
      <w:pPr>
        <w:pStyle w:val="TextoNormal"/>
      </w:pPr>
    </w:p>
    <w:p w:rsidR="00163957" w:rsidRDefault="00163957" w:rsidP="00163957">
      <w:pPr>
        <w:pStyle w:val="TextoNormal"/>
      </w:pPr>
      <w:r>
        <w:t>Afirma que la invocación al derecho fundamental protegido por el art. 18.4 CE aparece por primera vez en el escrito por el que se suscita el incidente de nulidad de actuaciones, aduciéndose una supuesta lesión tanto en la sentencia de instancia como en la de suplicación, por el hecho de no haberse declarado judicialmente la nulidad de su despido, no obstante haberse obtenido datos de carácter personal que la recurrente estima no podrían haber sido recogidos, si no es con su conocimiento y, además, mediante su previa comunicación a la Agencia Española de Protección de Datos.</w:t>
      </w:r>
    </w:p>
    <w:p w:rsidR="00163957" w:rsidRDefault="00163957" w:rsidP="00163957">
      <w:pPr>
        <w:pStyle w:val="TextoNormal"/>
      </w:pPr>
    </w:p>
    <w:p w:rsidR="00163957" w:rsidRDefault="00163957" w:rsidP="00163957">
      <w:pPr>
        <w:pStyle w:val="TextoNormal"/>
      </w:pPr>
      <w:r>
        <w:t>De este modo, para el Ministerio Fiscal los razonamientos de uno y otro escrito no resultan exactamente coincidentes, pudiendo distinguirse, de un lado, la cita conjunta que se hace en suplicación de los arts. 14, 15, 18 y 24.1 CE, y de otro, la repetición que de ellos se contiene en el escrito promotor del incidente y a los que se añade una especificación del art. 18 CE, identificando como tal el derecho a la autodeterminación informativa del art. 18.4 CE que es objeto de desarrollo argumental por vez primera.</w:t>
      </w:r>
    </w:p>
    <w:p w:rsidR="00163957" w:rsidRDefault="00163957" w:rsidP="00163957">
      <w:pPr>
        <w:pStyle w:val="TextoNormal"/>
      </w:pPr>
    </w:p>
    <w:p w:rsidR="00163957" w:rsidRDefault="00163957" w:rsidP="00163957">
      <w:pPr>
        <w:pStyle w:val="TextoNormal"/>
      </w:pPr>
      <w:r>
        <w:t>Tanto en uno como en otro caso, la consecuencia, en opinión del Fiscal, no puede ser otra que la de erigirse en causas de inadmisión de la demanda de amparo. Por lo que se refiere a la repetición en suplicación y en el incidente, de los arts. 14, 15, 18 (en realidad 18.1) y 24.1 CE, en tanto se reitera en esta última vía el mismo objeto ya alegado en suplicación. Por lo que afecta al art. 18.4 CE, en cuánto no se habría hecho uso de la posibilidad de su oportuno alegato y denuncia en el recurso de suplicación como medio de oposición a una decisión del Juzgado de lo Social, a la que ahora, junto con la adoptada por la Sala de lo Social, se la censura por lesionar supuestamente tal derecho.</w:t>
      </w:r>
    </w:p>
    <w:p w:rsidR="00163957" w:rsidRDefault="00163957" w:rsidP="00163957">
      <w:pPr>
        <w:pStyle w:val="TextoNormal"/>
      </w:pPr>
    </w:p>
    <w:p w:rsidR="00163957" w:rsidRDefault="00163957" w:rsidP="00163957">
      <w:pPr>
        <w:pStyle w:val="TextoNormal"/>
      </w:pPr>
      <w:r>
        <w:t>Por lo que se refiere ya al fondo del asunto, señala en primer lugar el Fiscal que con respecto a los arts. 14 y 15 CE no se hace a lo largo de toda la demanda consideración alguna sobre su pretendida quiebra, si no es para ser empleados como meras citas nominales e invocados de forma meramente retórica al hacer alusión a su genérico contenido. Y es que la denuncia alojada en la demanda se basa sustancialmente, señala el Fiscal, en la pretendida lesión del derecho a la intimidad personal del art. 18.1 CE de un lado, y de otro, en la quiebra de su derecho a la libertad informática o autodeterminación informativa del art. 18.4 CE.</w:t>
      </w:r>
    </w:p>
    <w:p w:rsidR="00163957" w:rsidRDefault="00163957" w:rsidP="00163957">
      <w:pPr>
        <w:pStyle w:val="TextoNormal"/>
      </w:pPr>
    </w:p>
    <w:p w:rsidR="00163957" w:rsidRDefault="00163957" w:rsidP="00163957">
      <w:pPr>
        <w:pStyle w:val="TextoNormal"/>
      </w:pPr>
      <w:r>
        <w:t xml:space="preserve">Por lo que se refiere al genérico derecho a la intimidad personal del art. 18.1 CE, el Fiscal tras analizar el contenido de las SSTC 98/2000 y 186/2000 concluye que la existencia de fundadas sospechas sobre la existencia de un comportamiento antijurídico por parte de algún trabajador, legitima al empleador para instalar mecanismos de grabación en determinados espacios en los que se lleve a cabo la prestación laboral y siempre que ello se ajuste estrictamente a las exigencias de proporcionalidad, de manera que venga a ser una medida idónea, necesaria, proporcionada y de carácter estrictamente temporal. La aplicación de este criterio </w:t>
      </w:r>
      <w:r>
        <w:lastRenderedPageBreak/>
        <w:t>al presente caso lleva al Fiscal a concluir que el derecho a la intimidad de la recurrente resultaba justificadamente limitado, en tanto la filmación se ceñía a la observación del espacio en el que se ubicaba la caja registradora, examinándose su manejo por los empleados al haberse advertido desde tiempo atrás sustanciales descuadres en su contabilidad. La medida pues, no resultaba arbitraria o caprichosa, ni pretendía examinar con carácter general la conducta de la trabajadora en el desarrollo de las distintas funciones o cometidos a ella asignados en el establecimiento comercial, sino que se limitaba a obtener un cabal conocimiento de su comportamiento laboral en razón de detectadas irregularidades, que de confirmarse, supondrían la transgresión de la buena fe contractual. Se trataba, a su juicio, de verificar fundadas sospechas que efectivamente resultaron corroboradas por las grabaciones videográficas.</w:t>
      </w:r>
    </w:p>
    <w:p w:rsidR="00163957" w:rsidRDefault="00163957" w:rsidP="00163957">
      <w:pPr>
        <w:pStyle w:val="TextoNormal"/>
      </w:pPr>
    </w:p>
    <w:p w:rsidR="00163957" w:rsidRDefault="00163957" w:rsidP="00163957">
      <w:pPr>
        <w:pStyle w:val="TextoNormal"/>
      </w:pPr>
      <w:r>
        <w:t>Insiste en señalar que la realidad de los hechos probados que se establecen como tales en la sentencia de instancia, y se mantienen inmodificados en suplicación, revela que la actuación empresarial se ajustó estrictamente a las exigencias constitucionales al señalarse en el citado relato que no fue sino a raíz de la instalación de un nuevo sistema de control informático de caja cuando se detectó que en la tienda y caja donde prestaba sus servicios la actora existían múltiples irregularidades y podría desprenderse de ello una apropiación dineraria por parte de alguno de los trabajadores que trabajaban en dicha caja, entre ellos la demandante.</w:t>
      </w:r>
    </w:p>
    <w:p w:rsidR="00163957" w:rsidRDefault="00163957" w:rsidP="00163957">
      <w:pPr>
        <w:pStyle w:val="TextoNormal"/>
      </w:pPr>
    </w:p>
    <w:p w:rsidR="00163957" w:rsidRDefault="00163957" w:rsidP="00163957">
      <w:pPr>
        <w:pStyle w:val="TextoNormal"/>
      </w:pPr>
      <w:r>
        <w:t>Por lo que se refiere a la vulneración del art. 18.4 CE, señala el Fiscal que a diferencia de lo que sucede en la STC 29/2013 donde se trataba de la instalación de un mecanismo de grabación que forma parte de un sistema de seguridad o control que se presenta con un propósito de cierta fijeza o permanencia en el tiempo, en el presente recurso de amparo lo que se examina es la instalación puntual de un mecanismo de captación de imágenes, que con carácter transitorio, se emplea para confirmar o descartar previas sospechas debidamente fundadas en relación con el comportamiento de un o unos trabajadores. Es un supuesto, a su juicio, radicalmente distinto al que se contempla en el caso de la STC 29/2013, identificándose por el contrario con el resuelto en la STC 186/2000.</w:t>
      </w:r>
    </w:p>
    <w:p w:rsidR="00163957" w:rsidRDefault="00163957" w:rsidP="00163957">
      <w:pPr>
        <w:pStyle w:val="TextoNormal"/>
      </w:pPr>
    </w:p>
    <w:p w:rsidR="00163957" w:rsidRDefault="00163957" w:rsidP="00163957">
      <w:pPr>
        <w:pStyle w:val="TextoNormal"/>
      </w:pPr>
      <w:r>
        <w:t>Por lo tanto, afirma el Fiscal, no pudiendo subsumirse el supuesto de hecho que aquí se ventila en el ámbito que protege el art. 18.4 CE, en cuánto no se trata de la instalación de sistemas aptos para la recopilación sistemática y general de datos de carácter personal, mal puede pretenderse que de ello se diera conocimiento al trabajador vigilado y que se comunicara un pretendido fichero inexistente a la Agencia Española de Protección de Datos.</w:t>
      </w:r>
    </w:p>
    <w:p w:rsidR="00163957" w:rsidRDefault="00163957" w:rsidP="00163957">
      <w:pPr>
        <w:pStyle w:val="TextoNormal"/>
      </w:pPr>
    </w:p>
    <w:p w:rsidR="00163957" w:rsidRDefault="00163957" w:rsidP="00163957">
      <w:pPr>
        <w:pStyle w:val="TextoNormal"/>
      </w:pPr>
      <w:r w:rsidRPr="00163957">
        <w:rPr>
          <w:rStyle w:val="NumeroAFNegritaCaracter"/>
        </w:rPr>
        <w:t>10</w:t>
      </w:r>
      <w:r>
        <w:t>. El 20 de febrero de 2015 presentó su escrito de alegaciones en el Registro General de este Tribunal el Procurador de la empresa demandada Bershka BSK España, SA.</w:t>
      </w:r>
    </w:p>
    <w:p w:rsidR="00163957" w:rsidRDefault="00163957" w:rsidP="00163957">
      <w:pPr>
        <w:pStyle w:val="TextoNormal"/>
      </w:pPr>
    </w:p>
    <w:p w:rsidR="00163957" w:rsidRDefault="00163957" w:rsidP="00163957">
      <w:pPr>
        <w:pStyle w:val="TextoNormal"/>
      </w:pPr>
      <w:r>
        <w:t xml:space="preserve">Señala en primer lugar que no se ha acudido a la interposición del recurso de casación para unificación de doctrina por tanto la recurrente en amparo ha despreciado negligentemente sus oportunidades procesales y ha preferido acudir, </w:t>
      </w:r>
      <w:r w:rsidRPr="00163957">
        <w:rPr>
          <w:i/>
        </w:rPr>
        <w:t>per saltum</w:t>
      </w:r>
      <w:r>
        <w:t>, ante este Tribunal, habiendo privado así a la jurisdicción ordinaria de reparar la lesión de sus derechos fundamentales.</w:t>
      </w:r>
    </w:p>
    <w:p w:rsidR="00163957" w:rsidRDefault="00163957" w:rsidP="00163957">
      <w:pPr>
        <w:pStyle w:val="TextoNormal"/>
      </w:pPr>
    </w:p>
    <w:p w:rsidR="00163957" w:rsidRDefault="00163957" w:rsidP="00163957">
      <w:pPr>
        <w:pStyle w:val="TextoNormal"/>
      </w:pPr>
      <w:r>
        <w:t xml:space="preserve">A continuación afirma, entrando ya en el fondo del asunto, que la conducta de la recurrente ha quedado acreditada de forma independiente de las imágenes que se aportaron al </w:t>
      </w:r>
      <w:r>
        <w:lastRenderedPageBreak/>
        <w:t>acto del juicio, por tanto, dichas imágenes no resultan determinantes para el fallo, habiendo quedado totalmente acreditada la comisión por parte de la actora de una apropiación dineraria en su tiempo de trabajo.</w:t>
      </w:r>
    </w:p>
    <w:p w:rsidR="00163957" w:rsidRDefault="00163957" w:rsidP="00163957">
      <w:pPr>
        <w:pStyle w:val="TextoNormal"/>
      </w:pPr>
    </w:p>
    <w:p w:rsidR="00163957" w:rsidRDefault="00163957" w:rsidP="00163957">
      <w:pPr>
        <w:pStyle w:val="TextoNormal"/>
      </w:pPr>
      <w:r>
        <w:t>Señala que el supuesto que nos ocupa es igual que el contemplado en la STC 186/2000 y añade que existe una diferencia fáctica relevante con la STC 29/2013. Así afirma que las sanciones disciplinarias por faltas muy graves en el cumplimiento de la jornada laboral, imputadas a un empleado universitario, en la STC 29/2013, no se podían fundar en una simple imagen, sino que se precisaba un tratamiento de datos para comprobar cuando llegaba, cuando salía y cuánto permanecía en los pasillos o fuera del edificio sin trabajar, lo que requería un tratamiento de datos de las imágenes capturadas a fin de controlar y fijar las ausencias y retrasos durante dos meses, lo que significa no sólo un control horario, sino también, un control de la actividad desarrollada fuera del puesto de trabajo y este no es el caso en el presente recurso de amparo. En el presente supuesto se graba exclusivamente la caja de la tienda, para confirmar quien es la trabajadora que está cometiendo la apropiación. Una vez corroborado este hecho, se procede al despido disciplinario de la actora por la comisión de una apropiación de efectivo, es decir, la empresa adopta la medida para proteger su patrimonio, no para monitorizar el trabajo de la actora.</w:t>
      </w:r>
    </w:p>
    <w:p w:rsidR="00163957" w:rsidRDefault="00163957" w:rsidP="00163957">
      <w:pPr>
        <w:pStyle w:val="TextoNormal"/>
      </w:pPr>
    </w:p>
    <w:p w:rsidR="00163957" w:rsidRDefault="00163957" w:rsidP="00163957">
      <w:pPr>
        <w:pStyle w:val="TextoNormal"/>
      </w:pPr>
      <w:r>
        <w:t>Añade que la medida de instalación de un aparato de grabación de imágenes que controlaba la zona en que se venían produciendo las irregularidades que daban como consecuencia una defraudación patrimonial a la empresa es una medida justificada —ya que existían sospechas razonables de la comisión por parte de los trabajadores de graves irregularidades— idónea para la finalidad pretendida por la empresa —verificar qué trabajador cometía efectivamente las irregularidades sospechadas y adoptar en su contra las medidas disciplinarias correspondientes— necesaria —ya que la grabación servía de prueba de tales irregularidades— y equilibrada —pues la grabación de imágenes se limitó a la zona de la caja y con una duración temporal lo suficientemente amplia para comprobar que no se trataba de un hecho aislado o de una confusión, sino de una conducta ilícita reiterada—.</w:t>
      </w:r>
    </w:p>
    <w:p w:rsidR="00163957" w:rsidRDefault="00163957" w:rsidP="00163957">
      <w:pPr>
        <w:pStyle w:val="TextoNormal"/>
      </w:pPr>
    </w:p>
    <w:p w:rsidR="00163957" w:rsidRDefault="00163957" w:rsidP="00163957">
      <w:pPr>
        <w:pStyle w:val="TextoNormal"/>
      </w:pPr>
      <w:r>
        <w:t>Por todo ello, a juicio de la empresa demandada, debe descartarse que se haya producido lesión alguna del derecho a la intimidad personal consagrado en el art. 18 CE e insiste en afirmar que la grabación del movimiento de las cajas de cobro era una medida adecuada (idónea), necesaria y proporcionada al fin perseguido: evitar sustracciones, sin que los datos grabados se conservaran, se archivaran o se utilizaran para otros fines.</w:t>
      </w:r>
    </w:p>
    <w:p w:rsidR="00163957" w:rsidRDefault="00163957" w:rsidP="00163957">
      <w:pPr>
        <w:pStyle w:val="TextoNormal"/>
      </w:pPr>
    </w:p>
    <w:p w:rsidR="00163957" w:rsidRDefault="00163957" w:rsidP="00163957">
      <w:pPr>
        <w:pStyle w:val="TextoNormal"/>
      </w:pPr>
      <w:r w:rsidRPr="00163957">
        <w:rPr>
          <w:rStyle w:val="NumeroAFNegritaCaracter"/>
        </w:rPr>
        <w:t>11</w:t>
      </w:r>
      <w:r>
        <w:t>. Por escrito presentado en el Registro General de este Tribunal de 23 de febrero de 2015 presentó la recurrente escrito de alegaciones en el que vuelve a reiterar los mismos argumentos expuestos en la demanda de amparo.</w:t>
      </w:r>
    </w:p>
    <w:p w:rsidR="00163957" w:rsidRDefault="00163957" w:rsidP="00163957">
      <w:pPr>
        <w:pStyle w:val="TextoNormal"/>
      </w:pPr>
    </w:p>
    <w:p w:rsidR="00163957" w:rsidRDefault="00163957" w:rsidP="00163957">
      <w:pPr>
        <w:pStyle w:val="TextoNormal"/>
      </w:pPr>
      <w:r w:rsidRPr="00163957">
        <w:rPr>
          <w:rStyle w:val="NumeroAFNegritaCaracter"/>
        </w:rPr>
        <w:t>12</w:t>
      </w:r>
      <w:r>
        <w:t>. Por providencia de 15 de diciembre de 2015, el Pleno acordó, a propuesta de la Sala Primera y de conformidad con el art. 10.1 n) LOTC, recabar para sí el conocimiento de este recurso de amparo.</w:t>
      </w:r>
    </w:p>
    <w:p w:rsidR="00163957" w:rsidRDefault="00163957" w:rsidP="00163957">
      <w:pPr>
        <w:pStyle w:val="TextoNormal"/>
      </w:pPr>
    </w:p>
    <w:p w:rsidR="00163957" w:rsidRDefault="00163957" w:rsidP="00163957">
      <w:pPr>
        <w:pStyle w:val="TextoNormal"/>
      </w:pPr>
      <w:r w:rsidRPr="00163957">
        <w:rPr>
          <w:rStyle w:val="NumeroAFNegritaCaracter"/>
        </w:rPr>
        <w:t>13</w:t>
      </w:r>
      <w:r>
        <w:t>. Por providencia de 1 de marzo de 2016, se señaló para deliberación y votación de la presente Sentencia el día 3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Según se ha consignado en los antecedentes, la demanda de amparo se fundamenta en la infracción de los arts. 14, 15, 18.1, 18.4 y 24 CE, por haberse admitido como prueba de cargo en el proceso por despido las grabaciones de vídeo presentadas por la empresa, prueba que la recurrente estima nula de pleno derecho al haberse obtenido vulnerando derechos fundamentales del trabajador.</w:t>
      </w:r>
    </w:p>
    <w:p w:rsidR="00163957" w:rsidRDefault="00163957" w:rsidP="00163957">
      <w:pPr>
        <w:pStyle w:val="TextoNormal"/>
      </w:pPr>
    </w:p>
    <w:p w:rsidR="00163957" w:rsidRDefault="00163957" w:rsidP="00163957">
      <w:pPr>
        <w:pStyle w:val="TextoNormal"/>
      </w:pPr>
      <w:r>
        <w:t>Las infracciones de derechos fundamentales alegadas, imputables en primer término al Juzgado de lo Social, lo son asimismo a la Sala de lo Social del Tribunal Superior de Justicia de Castilla y León.</w:t>
      </w:r>
    </w:p>
    <w:p w:rsidR="00163957" w:rsidRDefault="00163957" w:rsidP="00163957">
      <w:pPr>
        <w:pStyle w:val="TextoNormal"/>
      </w:pPr>
    </w:p>
    <w:p w:rsidR="00163957" w:rsidRDefault="00163957" w:rsidP="00163957">
      <w:pPr>
        <w:pStyle w:val="TextoNormal"/>
      </w:pPr>
      <w:r>
        <w:t>Para el Ministerio Fiscal el derecho a la intimidad de la recurrente en amparo resultaba justificadamente limitado, en tanto la filmación se ceñía a la observación del espacio en el que se ubicaba la caja registradora, examinándose su manejo por los empleados al haberse advertido desde tiempo atrás sustanciales descuadres en su contabilidad. A su juicio, la medida era idónea, necesaria y proporcionada. Y, por lo que se refiere al art. 18.4 CE considera que el supuesto es distinto al contemplado en la STC 29/2013, de 11 de febrero, identificándose por el contrario con el resuelto en la STC 186/2000, de 10 de julio.</w:t>
      </w:r>
    </w:p>
    <w:p w:rsidR="00163957" w:rsidRDefault="00163957" w:rsidP="00163957">
      <w:pPr>
        <w:pStyle w:val="TextoNormal"/>
      </w:pPr>
    </w:p>
    <w:p w:rsidR="00163957" w:rsidRDefault="00163957" w:rsidP="00163957">
      <w:pPr>
        <w:pStyle w:val="TextoNormal"/>
      </w:pPr>
      <w:r>
        <w:t>La empresa entiende que la medida ha sido adoptada para proteger su patrimonio, no para monitorizar el trabajo de la recurrente, y además está justificada, es idónea, necesaria y equilibrada, por lo que no se ha producido vulneración alguna del derecho a la intimidad personal ni a la protección de datos de la trabajadora.</w:t>
      </w:r>
    </w:p>
    <w:p w:rsidR="00163957" w:rsidRDefault="00163957" w:rsidP="00163957">
      <w:pPr>
        <w:pStyle w:val="TextoNormal"/>
      </w:pPr>
    </w:p>
    <w:p w:rsidR="00163957" w:rsidRDefault="00163957" w:rsidP="00163957">
      <w:pPr>
        <w:pStyle w:val="TextoNormal"/>
      </w:pPr>
      <w:r>
        <w:t>Debe añadirse, de otro lado, que el presente recurso de amparo tiene especial trascendencia constitucional [art. 50.1 b) de la Ley Orgánica del Tribunal Constitucional], pues las especificidades propias del caso permiten a este Tribunal perfilar o aclarar su doctrina en relación con el uso de cámaras de videovigilancia en la empresa [STC 155/2009, de 25 de junio, FJ 2 b)]. Se pretende, así, aclarar el alcance de la información a facilitar a los trabajadores sobre la finalidad del uso de la videovigilancia en la empresa: si es suficiente la información general o, por el contrario, debe existir una información específica (tal como se había pronunciado la STC 29/2013, de 11 de febrero).</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abordar el examen de la pretensión de amparo debemos pronunciarnos acerca de la eventual concurrencia de las causas de inadmisión del recurso invocadas, habida cuenta de que no representa impedimento para el análisis de tales objeciones de procedibilidad el hecho de que la demanda de amparo fuese admitida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la demanda de amparo en fase de sentencia para llegar, en su caso y si tales defectos son apreciados, a la declaración de inadmisión del recurso o del motivo del recurso afectado (por todas, SSTC 99/1993, de 22 de marzo, FJ único; 201/2000, de 24 de julio, FJ 2; 85/2004, de 10 de mayo, FJ 2, y 220/2008, de 31 de enero, FJ 3).</w:t>
      </w:r>
    </w:p>
    <w:p w:rsidR="00163957" w:rsidRDefault="00163957" w:rsidP="00163957">
      <w:pPr>
        <w:pStyle w:val="TextoNormal"/>
      </w:pPr>
    </w:p>
    <w:p w:rsidR="00163957" w:rsidRDefault="00163957" w:rsidP="00163957">
      <w:pPr>
        <w:pStyle w:val="TextoNormal"/>
      </w:pPr>
      <w:r>
        <w:lastRenderedPageBreak/>
        <w:t xml:space="preserve">a) Señala la representación procesal de la empresa Bershka España, S.A., que no se ha acudido a la interposición del recurso de casación para unificación de doctrina, por lo que la recurrente ha despreciado negligentemente sus oportunidades procesales y ha preferido acudir, </w:t>
      </w:r>
      <w:r w:rsidRPr="00163957">
        <w:rPr>
          <w:i/>
        </w:rPr>
        <w:t>per saltum</w:t>
      </w:r>
      <w:r>
        <w:t>, ante este Tribunal, habiendo privado así a la jurisdicción ordinaria de reparar la lesión de sus derechos fundamentales.</w:t>
      </w:r>
    </w:p>
    <w:p w:rsidR="00163957" w:rsidRDefault="00163957" w:rsidP="00163957">
      <w:pPr>
        <w:pStyle w:val="TextoNormal"/>
      </w:pPr>
    </w:p>
    <w:p w:rsidR="00163957" w:rsidRDefault="00163957" w:rsidP="00163957">
      <w:pPr>
        <w:pStyle w:val="TextoNormal"/>
      </w:pPr>
      <w:r>
        <w:t>La objeción debe ser rechazada. Este Tribunal ha reiterado que la especial naturaleza del recurso de casación para la unificación de doctrina, condicionado legalmente a la concurrencia de rígidos requisitos de admisión sobre identidad y contradicción, determina que su interposición no resulte siempre preceptiva para dar por agotada la vía judicial, siendo únicamente exigible, a los efectos de la subsidiariedad del amparo, cuando no quepa duda respecto de su procedencia. Por lo demás, no es suficiente alegar la abstracta procedencia de tal recurso, sino que, dada su naturaleza extraordinaria, corresponde acreditar la posibilidad de utilizar esa extraordinaria vía a la parte que pretende hacer valer la no interposición del recurso como motivo de inadmisibilidad de la demanda de amparo (por todas SSTC 29/2013, de 11 de febrero, FJ 2; 153/2004, de 20 de septiembre, FJ 2, y 122/2008, de 20 de octubre, FJ 2). Y en el presente caso en modo alguno cumple esa carga quien formula la objeción, pues no ofrece un razonamiento que justifique la viabilidad de su articulación procesal.</w:t>
      </w:r>
    </w:p>
    <w:p w:rsidR="00163957" w:rsidRDefault="00163957" w:rsidP="00163957">
      <w:pPr>
        <w:pStyle w:val="TextoNormal"/>
      </w:pPr>
    </w:p>
    <w:p w:rsidR="00163957" w:rsidRDefault="00163957" w:rsidP="00163957">
      <w:pPr>
        <w:pStyle w:val="TextoNormal"/>
      </w:pPr>
      <w:r>
        <w:t>b) Por su parte, el Ministerio Fiscal considera que el recurso es extemporáneo por haberse prolongado artificialmente el plazo para su interposición al haberse suscitado un recurso manifiestamente improcedente como era el incidente de nulidad de actuaciones. Afirma que en el incidente y en el recurso de suplicación se repiten las mismas vulneraciones, y en el incidente se añade una especificación del art. 18 CE, identificando como tal el derecho a la autodeterminación informativa del art. 18.4 CE que es objeto de desarrollo argumental por vez primera.</w:t>
      </w:r>
    </w:p>
    <w:p w:rsidR="00163957" w:rsidRDefault="00163957" w:rsidP="00163957">
      <w:pPr>
        <w:pStyle w:val="TextoNormal"/>
      </w:pPr>
    </w:p>
    <w:p w:rsidR="00163957" w:rsidRDefault="00163957" w:rsidP="00163957">
      <w:pPr>
        <w:pStyle w:val="TextoNormal"/>
      </w:pPr>
      <w:r>
        <w:t xml:space="preserve">Ciertamente hemos declarado en distintas ocasiones que la indebida prolongación de la vía judicial previa por causa de la interposición de un recurso no autorizado por la Ley puede ocasionar la extemporaneidad del recurso de amparo por prórroga indebida del plazo establecido en el art. 44.2 LOTC. Pero para que dicha consecuencia se produzca, este Tribunal ha venido exigiendo que la improcedencia del recurso sea evidente, esto es, comprobable </w:t>
      </w:r>
      <w:r w:rsidRPr="00163957">
        <w:rPr>
          <w:i/>
        </w:rPr>
        <w:t>prima facie</w:t>
      </w:r>
      <w:r>
        <w:t xml:space="preserv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(entre otras muchas, STC 135/2007, de 4 de junio, FJ 4, y las que en ella se citan). De este modo, es doctrina consagrada que debe permitirse la utilización de cuantos recursos se consideren útiles para la defensa de los intereses de las partes, “siempre que no se vislumbre en ello una intención meramente dilatoria o defraudadora del carácter preclusivo y perentorio del plazo para demandar en amparo” (así, SSTC 352/1993, de 29 de noviembre, FJ 2; 122/1996, de 8 de julio, FJ 3; 267/2000, de 13 de noviembre, FJ 2; 131/2004, de 19 de julio, FJ 2; 77/2005, de 4 de abril, FJ 2, y 233/2005, de 26 de septiembre, FJ 2).</w:t>
      </w:r>
    </w:p>
    <w:p w:rsidR="00163957" w:rsidRDefault="00163957" w:rsidP="00163957">
      <w:pPr>
        <w:pStyle w:val="TextoNormal"/>
      </w:pPr>
    </w:p>
    <w:p w:rsidR="00163957" w:rsidRDefault="00163957" w:rsidP="00163957">
      <w:pPr>
        <w:pStyle w:val="TextoNormal"/>
      </w:pPr>
      <w:r>
        <w:t xml:space="preserve">Específicamente en relación con la formulación del incidente de nulidad de actuaciones (art. 241 de la Ley Orgánica del Poder Judicial), este Tribunal ha afirmado que cuando es </w:t>
      </w:r>
      <w:r>
        <w:lastRenderedPageBreak/>
        <w:t>admitido a trámite, analizado y resuelto por el órgano judicial, aunque pudiera resultar dudosa su utilización, debe rechazarse este óbice procesal si la demanda de amparo se presenta ante este Tribunal dentro del plazo previsto en el art. 44.2 LOTC, contado a partir de la fecha en la que los órganos judiciales dieron por agotada la vía judicial al desestimar el incidente de nulidad de actuaciones (SSTC 76/2009, de 23 de marzo, FJ 2; 148/2003, de 14 de julio, FJ 2; 20/2004, de 23 de febrero, FJ 3; 131/2004, de 19 de julio, FJ 3; 85/2005, de 18 de abril, FJ 2; 127/2005, de 23 de mayo, FJ 2; 246/2005, de 10 de octubre, FJ 2; y 47/2006, de 13 de febrero, FJ 2).</w:t>
      </w:r>
    </w:p>
    <w:p w:rsidR="00163957" w:rsidRDefault="00163957" w:rsidP="00163957">
      <w:pPr>
        <w:pStyle w:val="TextoNormal"/>
      </w:pPr>
    </w:p>
    <w:p w:rsidR="00163957" w:rsidRDefault="00163957" w:rsidP="00163957">
      <w:pPr>
        <w:pStyle w:val="TextoNormal"/>
      </w:pPr>
      <w:r>
        <w:t>La aplicación de esta doctrina al presente caso lleva a concluir que la formulación del incidente de nulidad de actuaciones no puede considerarse como un recurso manifiestamente improcedente cuya interposición conlleve un alargamiento indebido de la vía judicial previa al recurso de amparo, puesto que el propio órgano judicial ante el que se promovió el incidente, lo admitió a trámite, dio traslado de la pretensión anulatoria a las demás partes, lo analizó y lo resolvió con un pronunciamiento desestimatorio. Así pues, no cabe acoger la objeción de extemporaneidad alegada por el Ministerio Fiscal.</w:t>
      </w:r>
    </w:p>
    <w:p w:rsidR="00163957" w:rsidRDefault="00163957" w:rsidP="00163957">
      <w:pPr>
        <w:pStyle w:val="TextoNormal"/>
      </w:pPr>
    </w:p>
    <w:p w:rsidR="00163957" w:rsidRDefault="00163957" w:rsidP="00163957">
      <w:pPr>
        <w:pStyle w:val="TextoNormal"/>
      </w:pPr>
      <w:r>
        <w:t xml:space="preserve">Por lo que se refiere a la alegación por primera vez en el incidente de nulidad de actuaciones de la vulneración del art. 18.4 CE, debemos recordar que “con esta exigencia de ‘que se haya invocado formalmente en el proceso el derecho constitucional vulnerado, tan pronto como, una vez conocida la violación, hubiere lugar para ello’ [art. 44.1 c) LOTC], este Tribunal ha reiterado su importancia para proteger el carácter subsidiario del recurso de amparo, que resultaría desvirtuado si ante la jurisdicción constitucional pudieran traerse cuestiones sobre las que previamente no se hubiese dado ocasión de pronunciarse a los órganos del Poder Judicial, que son los que de modo directo y en primer término garantizan los derechos fundamentales que la Constitución proclama, según resulta claramente del art. 53.2 CE. De este artículo, interpretado conjuntamente con el art. 44 LOTC, se desprende entonces que solamente cuando en sede ordinaria se descuide la protección del derecho puede recabarse la tutela del mismo de este Tribunal Constitucional. De ahí que aunque deba rechazarse una interpretación literal o excesivamente rigorista del requisito, que imponga la cita concreta y numérica del precepto constitucional presuntamente infringido o la mención del </w:t>
      </w:r>
      <w:r w:rsidRPr="00163957">
        <w:rPr>
          <w:i/>
        </w:rPr>
        <w:t>nomen iuris</w:t>
      </w:r>
      <w:r>
        <w:t xml:space="preserve"> del derecho supuestamente vulnerado, sí deba al menos exigirse que se dé a los órganos de la jurisdicción ordinaria la posibilidad de pronunciarse y reparar, en su caso, la lesión constitucional posteriormente alegada ante este Tribunal. Lo contrario sería tanto como vaciar de contenido una norma cuya trascendente finalidad ya ha quedado explicitada (son exponentes de esta doctrina, entre muchas otras, las SSTC 53/2012, de 29 de marzo, FJ 2, y 201/2000, de 24 de julio, FJ 3)” (STC 117/2014, de 8 de julio, FJ 3).</w:t>
      </w:r>
    </w:p>
    <w:p w:rsidR="00163957" w:rsidRDefault="00163957" w:rsidP="00163957">
      <w:pPr>
        <w:pStyle w:val="TextoNormal"/>
      </w:pPr>
    </w:p>
    <w:p w:rsidR="00163957" w:rsidRDefault="00163957" w:rsidP="00163957">
      <w:pPr>
        <w:pStyle w:val="TextoNormal"/>
      </w:pPr>
      <w:r>
        <w:t xml:space="preserve">En el supuesto ahora enjuiciado, el examen de las actuaciones permite constatar que en su demanda de despido, así como en el recurso de suplicación, la recurrente puso de manifiesto que en el centro de trabajo no existía comunicación al público ni carteles comunicativos de la existencia de cámaras de videograbación, ni tampoco comunicación a la Agencia Española de Protección de Datos, ni comunicación o informe previo del comité de empresa de la instalación de la videograbación. Con estas alegaciones, y aunque en su demanda la recurrente planteó con carácter general la vulneración de su derecho a la intimidad, el problema de la protección de datos, directamente relacionado con el derecho a la intimidad, pudo haber sido abordado por el órgano judicial. La estrecha relación que existe entre el </w:t>
      </w:r>
      <w:r>
        <w:lastRenderedPageBreak/>
        <w:t>derecho a la intimidad y el derecho a la protección de datos, unida a las afirmaciones genéricas de la recurrente en amparo, han permitido que, desde el principio, los órganos judiciales ordinarios hayan podido pronunciarse sobre ambos derechos. Por ello, de acuerdo con la doctrina constitucional antes expuesta, ha de considerarse que la demandante ha satisfecho el requisito de invocación previsto en el art. 44.1 c) LOTC, por más que haya sido en el incidente de nulidad de actuaciones donde haya hecho una referencia expresa al art. 18.4 CE.</w:t>
      </w:r>
    </w:p>
    <w:p w:rsidR="00163957" w:rsidRDefault="00163957" w:rsidP="00163957">
      <w:pPr>
        <w:pStyle w:val="TextoNormal"/>
      </w:pPr>
    </w:p>
    <w:p w:rsidR="00163957" w:rsidRDefault="00163957" w:rsidP="00163957">
      <w:pPr>
        <w:pStyle w:val="TextoNormal"/>
      </w:pPr>
      <w:r>
        <w:t>Por último, como apunta el Ministerio Fiscal, aunque en la demanda se alega vulneración de los arts. 14, 15, 18.1, 18.4 y 24.1 CE, nuestro enjuiciamiento se va a limitar a los arts. 18.1 y 18.4 CE, pues respecto de los arts. 14 y 15 CE no hay en la demanda desarrollo argumental alguno, lo que impide a este Tribunal entrar a examinar su contenido conforme a reiterada doctrina (por todas, SSTC 89/2010, de 15 de noviembre, FJ 2, y 182/2011, de 21 de noviembre, FJ 1), que imposibilita la reconstrucción de oficio de la demanda de amparo. Y, por lo que se refiere al art. 24.1 CE, la demanda justifica el pretendido desconocimiento del derecho a la intimidad personal tanto en la sentencia de instancia como en la de suplicación como parte integrante de la pretendida afectación del derecho a la tutela judicial efectiva del art. 24.1 CE. Se afirma, así, que aquellas resoluciones judiciales carecen de racionalidad y dicha reivindicada carencia se sustenta en base a lo que la recurrente estima como un incorrecto entendimiento del derecho a la intimidad personal. En consecuencia, el análisis de esta vulneración habrá de hacerse exclusivamente desde la óptica del derecho fundamental sustantivo (art. 18.1 CE).</w:t>
      </w:r>
    </w:p>
    <w:p w:rsidR="00163957" w:rsidRDefault="00163957" w:rsidP="00163957">
      <w:pPr>
        <w:pStyle w:val="TextoNormal"/>
      </w:pPr>
    </w:p>
    <w:p w:rsidR="00163957" w:rsidRDefault="00163957" w:rsidP="00163957">
      <w:pPr>
        <w:pStyle w:val="TextoNormal"/>
      </w:pPr>
      <w:r w:rsidRPr="00163957">
        <w:rPr>
          <w:rStyle w:val="NumeroAFNegritaCaracter"/>
        </w:rPr>
        <w:t>3</w:t>
      </w:r>
      <w:r>
        <w:t>. Por lo que se refiere, en primer lugar, a la vulneración del art. 18.4 CE, derecho a la protección de datos, debemos recordar que la imagen se considera un dato de carácter personal, en virtud de lo establecido en el art. 3 de la Ley Orgánica 15/1999, de 13 de diciembre, de protección de datos de carácter personal, que considera dato de carácter personal “cualquier información concerniente a personas físicas identificadas o identificables”, y el art. 5.1 f) del Real Decreto 1720/2007, de 21 de diciembre, por el que se aprueba el Reglamento de desarrollo de la Ley Orgánica 15/1999, que considera como dato de carácter personal la información gráfica o fotográfica.</w:t>
      </w:r>
    </w:p>
    <w:p w:rsidR="00163957" w:rsidRDefault="00163957" w:rsidP="00163957">
      <w:pPr>
        <w:pStyle w:val="TextoNormal"/>
      </w:pPr>
    </w:p>
    <w:p w:rsidR="00163957" w:rsidRDefault="00163957" w:rsidP="00163957">
      <w:pPr>
        <w:pStyle w:val="TextoNormal"/>
      </w:pPr>
      <w:r>
        <w:t>Como afirma la STC 292/2000, de 30 de noviembre, FJ 7, “el contenido del derecho fundamental a la protección de datos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Y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w:t>
      </w:r>
    </w:p>
    <w:p w:rsidR="00163957" w:rsidRDefault="00163957" w:rsidP="00163957">
      <w:pPr>
        <w:pStyle w:val="TextoNormal"/>
      </w:pPr>
    </w:p>
    <w:p w:rsidR="00163957" w:rsidRDefault="00163957" w:rsidP="00163957">
      <w:pPr>
        <w:pStyle w:val="TextoNormal"/>
      </w:pPr>
      <w:r>
        <w:lastRenderedPageBreak/>
        <w:t>Son así elementos característicos de la definición constitucional del derecho fundamental a la protección de datos personales “los derechos del afectado a consentir sobre la recogida y uso de sus datos personales y a saber de los mismos. Y resultan indispensables para hacer efectivo ese contenido el reconocimiento del derecho a ser informado de quién posee sus datos personales y con qué fin, y el derecho a poder oponerse a esa posesión y uso requiriendo a quien corresponda que ponga fin a la posesión y empleo de los datos. Es decir, exigiendo del titular del fichero que le informe de qué datos posee sobre su persona, accediendo a sus oportunos registros y asientos, y qué destino han tenido, lo que alcanza también a posibles cesionarios; y, en su caso, requerirle para que los rectifique o los cancele” (STC 292/2000, de 30 de noviembre, FJ 7).</w:t>
      </w:r>
    </w:p>
    <w:p w:rsidR="00163957" w:rsidRDefault="00163957" w:rsidP="00163957">
      <w:pPr>
        <w:pStyle w:val="TextoNormal"/>
      </w:pPr>
    </w:p>
    <w:p w:rsidR="00163957" w:rsidRDefault="00163957" w:rsidP="00163957">
      <w:pPr>
        <w:pStyle w:val="TextoNormal"/>
      </w:pPr>
      <w:r>
        <w:t>El consentimiento del afectado es, por tanto, el elemento definidor del sistema de protección de datos de carácter personal. La Ley Orgánica de protección de datos de carácter personal (LOPD) establece el principio general de que el tratamiento de los datos personales solamente será posible con el consentimiento de sus titulares, salvo que exista habilitación legal para que los datos puedan ser tratados sin dicho consentimiento. En este sentido, no podemos olvidar que conforme señala la STC 292/2000, de 30 de noviembre, FJ 16, “es el legislador quien debe determinar cuándo concurre ese bien o derecho que justifica la restricción del derecho a la protección de datos personales y en qué circunstancias puede limitarse y, además, es el quien debe hacerlo mediante reglas precisas que hagan previsible al interesado la imposición de tal limitación y sus consecuencias”.</w:t>
      </w:r>
    </w:p>
    <w:p w:rsidR="00163957" w:rsidRDefault="00163957" w:rsidP="00163957">
      <w:pPr>
        <w:pStyle w:val="TextoNormal"/>
      </w:pPr>
    </w:p>
    <w:p w:rsidR="00163957" w:rsidRDefault="00163957" w:rsidP="00163957">
      <w:pPr>
        <w:pStyle w:val="TextoNormal"/>
      </w:pPr>
      <w:r>
        <w:t>De este modo, el art. 6.1 LOPD prevé que “el tratamiento de los datos de carácter personal requerirá el consentimiento inequívoco del afectado, salvo que la ley disponga otra cosa”. El propio art. 6 LOPD, en su apartado 2, enumera una serie de supuestos en los que resulta posible el tratar y ceder datos sin recabar el consentimiento del afectado; en concreto, “no será preciso el consentimiento cuando los datos de carácter personal se recojan para el ejercicio de las funciones propias de las Administraciones públicas en el ámbito de sus competencias; cuando se refieran a las partes de un contrato o precontrato de una relación negocial, laboral o administrativa y sean necesarios para su mantenimiento o cumplimiento; cuando el tratamiento de los datos tenga por finalidad proteger un interés vital del interesado en los términos del artículo 7, apartado 6, de la presente Ley, o cuando los datos figuren en fuentes accesibles al público y su tratamiento sea necesario para la satisfacción del interés legítimo perseguido por el responsable del fichero o por el del tercero a quien se comuniquen los datos, siempre que no se vulneren los derechos y libertades fundamentales del interesado”.</w:t>
      </w:r>
    </w:p>
    <w:p w:rsidR="00163957" w:rsidRDefault="00163957" w:rsidP="00163957">
      <w:pPr>
        <w:pStyle w:val="TextoNormal"/>
      </w:pPr>
    </w:p>
    <w:p w:rsidR="00163957" w:rsidRDefault="00163957" w:rsidP="00163957">
      <w:pPr>
        <w:pStyle w:val="TextoNormal"/>
      </w:pPr>
      <w:r>
        <w:t>En el ámbito laboral el consentimiento del trabajador pasa, por tanto, como regla general a un segundo plano pues el consentimiento se entiende implícito en la relación negocial, siempre que el tratamiento de datos de carácter personal sea necesario para el mantenimiento y el cumplimiento del contrato firmado por las partes. Esta excepción a la exigencia de consentimiento aparece también recogida en el art. 10.3 b) del Real Decreto 1720/2007, de 21 de diciembre, por el que se aprueba el Reglamento de desarrollo de la Ley Orgánica 15/1999, de 13 de diciembre, de protección de datos de carácter personal, según el cual los datos de carácter personal podrán tratarse sin necesidad del consentimiento del interesado cuando “se recaben por el responsable del tratamiento con ocasión de la celebración de un contrato o precontrato o de la existencia de una relación negocial, laboral o administrativa de la que sea parte el afectado y sean necesarios para su mantenimiento o cumplimiento”.</w:t>
      </w:r>
    </w:p>
    <w:p w:rsidR="00163957" w:rsidRDefault="00163957" w:rsidP="00163957">
      <w:pPr>
        <w:pStyle w:val="TextoNormal"/>
      </w:pPr>
    </w:p>
    <w:p w:rsidR="00163957" w:rsidRDefault="00163957" w:rsidP="00163957">
      <w:pPr>
        <w:pStyle w:val="TextoNormal"/>
      </w:pPr>
      <w:r>
        <w:t>La dispensa del consentimiento se refiere, así, a los datos necesarios para el mantenimiento y cumplimiento de la relación laboral, lo que abarca, sin duda, las obligaciones derivadas del contrato de trabajo. Por ello un tratamiento de datos dirigido al control de la relación laboral debe entenderse amparado por la excepción citada, pues está dirigido al cumplimiento de la misma. Por el contrario, el consentimiento de los trabajadores afectados sí será necesario cuando el tratamiento de datos se utilice con finalidad ajena al cumplimiento del contrato.</w:t>
      </w:r>
    </w:p>
    <w:p w:rsidR="00163957" w:rsidRDefault="00163957" w:rsidP="00163957">
      <w:pPr>
        <w:pStyle w:val="TextoNormal"/>
      </w:pPr>
    </w:p>
    <w:p w:rsidR="00163957" w:rsidRDefault="00163957" w:rsidP="00163957">
      <w:pPr>
        <w:pStyle w:val="TextoNormal"/>
      </w:pPr>
      <w:r>
        <w:t>Ahora bien, aunque no sea necesario el consentimiento en los casos señalados, el deber de información sigue existiendo, pues este deber permite al afectado ejercer los derechos de acceso, rectificación, cancelación y oposición y conocer la dirección del responsable del tratamiento o, en su caso, del representante (art. 5 LOPD).</w:t>
      </w:r>
    </w:p>
    <w:p w:rsidR="00163957" w:rsidRDefault="00163957" w:rsidP="00163957">
      <w:pPr>
        <w:pStyle w:val="TextoNormal"/>
      </w:pPr>
    </w:p>
    <w:p w:rsidR="00163957" w:rsidRDefault="00163957" w:rsidP="00163957">
      <w:pPr>
        <w:pStyle w:val="TextoNormal"/>
      </w:pPr>
      <w:r>
        <w:t>El deber de información previa forma parte del contenido esencial del derecho a la protección de datos, pues resulta un complemento indispensable de la necesidad de consentimiento del afectado. El deber de información sobre el uso y destino de los datos personales que exige la Ley Orgánica de protección de datos de carácter personal está íntimamente vinculado con el principio general de consentimiento para el tratamiento de los datos, pues si no se conoce su finalidad y destinatarios, difícilmente puede prestarse el consentimiento. Por ello, a la hora de valorar si se ha vulnerado el derecho a la protección de datos por incumplimiento del deber de información, la dispensa del consentimiento al tratamiento de datos en determinados supuestos debe ser un elemento a tener en cuenta dada la estrecha vinculación entre el deber de información y el principio general de consentimiento.</w:t>
      </w:r>
    </w:p>
    <w:p w:rsidR="00163957" w:rsidRDefault="00163957" w:rsidP="00163957">
      <w:pPr>
        <w:pStyle w:val="TextoNormal"/>
      </w:pPr>
    </w:p>
    <w:p w:rsidR="00163957" w:rsidRDefault="00163957" w:rsidP="00163957">
      <w:pPr>
        <w:pStyle w:val="TextoNormal"/>
      </w:pPr>
      <w:r>
        <w:t>La no exigencia de consentimiento en determinados supuestos tiene también repercusión en otro de los principios de la protección de datos, el denominado por el art. 4 LOPD, calidad de los datos. El art. 4.1 LOPD establece que “los datos de carácter personal sólo se podrán recoger para su tratamiento, así como someterlos a dicho tratamiento, cuando sean adecuados, pertinentes y no excesivos en relación con el ámbito y las finalidades determinadas, explícitas y legítimas para las que se hayan obtenido”. Debe existir, así, una relación directa entre la finalidad que justifica el fichero y los datos personales que se recaban y que afectan a los derechos de las personas. Además, de conformidad con el apartado 2 del citado art. 4 LOPD, “los datos de carácter personal objeto de tratamiento no podrán usarse para finalidades incompatibles con aquellas para las que los datos hubieran sido recogidos”. La utilización de un fichero para finalidades incompatibles representa una vulneración del principio de calidad, así como del principio de consentimiento e información. De hecho, el Real Decreto 1720/2007 regula expresamente la solicitud del consentimiento del interesado para el tratamiento de sus datos personales en el marco de una relación contractual para fines no relacionados directamente con la misma. Así, se establece que “si el responsable del tratamiento solicitase el consentimiento del afectado durante el proceso de formación de un contrato para finalidades que no guarden relación directa con el mantenimiento, desarrollo o control de la relación contractual, deberá permitir al afectado que manifieste expresamente su negativa al tratamiento o comunicación de datos” (art. 15). Por lo tanto, solo cuando la finalidad del tratamiento de datos no sea el mantenimiento, desarrollo y control de la relación contractual se necesita consentimiento del afectado.</w:t>
      </w:r>
    </w:p>
    <w:p w:rsidR="00163957" w:rsidRDefault="00163957" w:rsidP="00163957">
      <w:pPr>
        <w:pStyle w:val="TextoNormal"/>
      </w:pPr>
    </w:p>
    <w:p w:rsidR="00163957" w:rsidRDefault="00163957" w:rsidP="00163957">
      <w:pPr>
        <w:pStyle w:val="TextoNormal"/>
      </w:pPr>
      <w:r>
        <w:lastRenderedPageBreak/>
        <w:t>En todo caso, el incumplimiento del deber de requerir el consentimiento del afectado para el tratamiento de datos o del deber de información previa sólo supondrá una vulneración del derecho fundamental a la protección de datos tras una ponderación de la proporcionalidad de la medida adoptada. Como señala la STC 292/2000, FJ 11,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w:t>
      </w:r>
    </w:p>
    <w:p w:rsidR="00163957" w:rsidRDefault="00163957" w:rsidP="00163957">
      <w:pPr>
        <w:pStyle w:val="TextoNormal"/>
      </w:pPr>
    </w:p>
    <w:p w:rsidR="00163957" w:rsidRDefault="00163957" w:rsidP="00163957">
      <w:pPr>
        <w:pStyle w:val="TextoNormal"/>
      </w:pPr>
      <w:r w:rsidRPr="00163957">
        <w:rPr>
          <w:rStyle w:val="NumeroAFNegritaCaracter"/>
        </w:rPr>
        <w:t>4</w:t>
      </w:r>
      <w:r>
        <w:t>. Aplicando la doctrina expuesta al tratamiento de datos obtenidos por la instalación de cámaras de videovigilancia en el lugar de trabajo, que es el problema planteado en el presente recurso de amparo, debemos concluir que el empresario no necesita el consentimiento expreso del trabajador para el tratamiento de las imágenes que han sido obtenidas a través de las cámaras instaladas en la empresa con la finalidad de seguridad o control laboral, ya que se trata de una medida dirigida a controlar el cumplimiento de la relación laboral y es conforme con el art. 20.3 del texto refundido de la Ley del estatuto de los trabajadores, que establece que “el empresario podrá adoptar las medidas que estime más oportunas de vigilancia y control para verificar el cumplimiento por el trabajador de sus obligaciones y deberes laborales, guardando en su adopción y aplicación la consideración debida a su dignidad humana”. Si la dispensa del consentimiento prevista en el art. 6 LOPD se refiere a los datos necesarios para el mantenimiento y el cumplimiento de la relación laboral, la excepción abarca sin duda el tratamiento de datos personales obtenidos por el empresario para velar por el cumplimiento de las obligaciones derivadas del contrato de trabajo. El consentimiento se entiende implícito en la propia aceptación del contrato que implica reconocimiento del poder de dirección del empresario.</w:t>
      </w:r>
    </w:p>
    <w:p w:rsidR="00163957" w:rsidRDefault="00163957" w:rsidP="00163957">
      <w:pPr>
        <w:pStyle w:val="TextoNormal"/>
      </w:pPr>
    </w:p>
    <w:p w:rsidR="00163957" w:rsidRDefault="00163957" w:rsidP="00163957">
      <w:pPr>
        <w:pStyle w:val="TextoNormal"/>
      </w:pPr>
      <w:r>
        <w:t>En definitiva, la exigencia de finalidad legítima en el tratamiento de datos prevista en el art. 4.1 LOPD viene dada, en el ámbito de la videovigilancia laboral, por las facultades de control empresarial que reconoce el art. 20.3 del texto refundido de la Ley del estatuto de los trabajadores, siempre que esas facultades se ejerzan dentro de su ámbito legal y no lesionen los derechos fundamentales del trabajador.</w:t>
      </w:r>
    </w:p>
    <w:p w:rsidR="00163957" w:rsidRDefault="00163957" w:rsidP="00163957">
      <w:pPr>
        <w:pStyle w:val="TextoNormal"/>
      </w:pPr>
    </w:p>
    <w:p w:rsidR="00163957" w:rsidRDefault="00163957" w:rsidP="00163957">
      <w:pPr>
        <w:pStyle w:val="TextoNormal"/>
      </w:pPr>
      <w:r>
        <w:t xml:space="preserve">Por ello, como hemos señalado, aunque no se requiere el consentimiento expreso de los trabajadores para adoptar esta medida de vigilancia que implica el tratamiento de datos, persiste el deber de información del art. 5 LOPD. Sin perjuicio de las eventuales sanciones legales que pudieran derivar, para que el incumplimiento de este deber por parte del empresario implique una vulneración del art. 18.4 CE exige valorar la observancia o no del principio de proporcionalidad. Debe ponderarse así el derecho a la protección de datos y las eventuales limitaciones al mismo justificadas en el cumplimiento de las obligaciones laborales y las correlativas facultades empresariales de vigilancia y control reconocidas en el art. 20.3 del texto refundido de la Ley del estatuto de los trabajadores, en conexión con los arts. 33 y 38 CE. En efecto, la relevancia constitucional de la ausencia o deficiencia de información en los supuestos de videovigilancia laboral exige la consiguiente ponderación en cada caso de los derechos y bienes constitucionales en conflicto; a saber, por un lado, el derecho a la protección de datos del trabajador y, por otro, el poder de dirección empresarial imprescindible para la buena marcha de la organización productiva, que es reflejo de los derechos constitucionales reconocidos en los arts. 33 y 38 CE y que, como se ha visto, en </w:t>
      </w:r>
      <w:r>
        <w:lastRenderedPageBreak/>
        <w:t xml:space="preserve">lo que ahora interesa se concreta en la previsión legal </w:t>
      </w:r>
      <w:r w:rsidRPr="00163957">
        <w:rPr>
          <w:i/>
        </w:rPr>
        <w:t>ex</w:t>
      </w:r>
      <w:r>
        <w:t xml:space="preserve"> art. 20.3 del texto refundido de la Ley del estatuto de los trabajadores que expresamente faculta al empresario a adoptar medidas de vigilancia y control para verificar el cumplimiento por los trabajadores de sus obligaciones laborales (SSTC 186/2000, de 10 de julio, FJ 5, y 170/2013, de 7 de octubre, FJ 3). Esta facultad general de control prevista en la ley legitima el control empresarial del cumplimiento por los trabajadores de sus tareas profesionales (STC 170/2013, de 7 de octubre, y STEDH de 12 de enero de 2016, caso </w:t>
      </w:r>
      <w:r w:rsidRPr="00163957">
        <w:rPr>
          <w:i/>
        </w:rPr>
        <w:t>Barbulescu v. Rumania</w:t>
      </w:r>
      <w:r>
        <w:t>), sin perjuicio de que serán las circunstancias de cada caso las que finalmente determinen si dicha fiscalización llevada a cabo por la empresa ha generado o no la vulneración del derecho fundamental en juego.</w:t>
      </w:r>
    </w:p>
    <w:p w:rsidR="00163957" w:rsidRDefault="00163957" w:rsidP="00163957">
      <w:pPr>
        <w:pStyle w:val="TextoNormal"/>
      </w:pPr>
    </w:p>
    <w:p w:rsidR="00163957" w:rsidRDefault="00163957" w:rsidP="00163957">
      <w:pPr>
        <w:pStyle w:val="TextoNormal"/>
      </w:pPr>
      <w:r>
        <w:t>Obviamente, el sometimiento de la falta o insuficiencia de información al reiterado juicio de proporcionalidad requerirá determinar en cada supuesto, con carácter previo, si se ha producido o no la indicada omisión de la información debida.</w:t>
      </w:r>
    </w:p>
    <w:p w:rsidR="00163957" w:rsidRDefault="00163957" w:rsidP="00163957">
      <w:pPr>
        <w:pStyle w:val="TextoNormal"/>
      </w:pPr>
    </w:p>
    <w:p w:rsidR="00163957" w:rsidRDefault="00163957" w:rsidP="00163957">
      <w:pPr>
        <w:pStyle w:val="TextoNormal"/>
      </w:pPr>
      <w:r>
        <w:t>Pues bien, centrándonos ya en el presente caso, la recurrente en amparo considera vulnerado el art. 18.4 CE porque no había sido informada previamente de la instalación de cámaras de videovigilancia en el puesto de trabajo. Como señala la Sentencia recurrida, las cámaras de videovigilancia instaladas en la tienda donde prestaba sus servicios la recurrente en amparo captaron su imagen apropiándose de dinero y realizando, para ocultar dicha apropiación, operaciones falsas de devoluciones de venta de prendas. Ante estos hechos la trabajadora fue despedida.</w:t>
      </w:r>
    </w:p>
    <w:p w:rsidR="00163957" w:rsidRDefault="00163957" w:rsidP="00163957">
      <w:pPr>
        <w:pStyle w:val="TextoNormal"/>
      </w:pPr>
    </w:p>
    <w:p w:rsidR="00163957" w:rsidRDefault="00163957" w:rsidP="00163957">
      <w:pPr>
        <w:pStyle w:val="TextoNormal"/>
      </w:pPr>
      <w:r>
        <w:t>Según consta en los hechos probados de las resoluciones recurridas, la cámara estaba situada en el lugar donde se desarrollaba la prestación laboral, enfocando directamente a la caja, y en el escaparate del establecimiento, en un lugar visible, se colocó el distintivo informativo exigido por la instrucción 1/2006, de 8 de noviembre, de la Agencia Española de Protección de Datos, sobre el tratamiento de datos personales con fines de vigilancia a través de sistemas de cámaras o videocámaras. La necesidad de adecuar la videovigilancia a las exigencias del derecho fundamental a la protección de datos ha llevado a la Agencia Española de Protección de Datos, en ejercicio de la competencia que le atribuye el art. 37.1 c) de la Ley Orgánica 15/1999, de 13 de diciembre, de protección de datos de carácter personal, a dictar la citada instrucción para adecuar los tratamientos de imágenes con fines de vigilancia a los principios de dicha Ley Orgánica y garantizar los derechos de las personas cuyas imágenes son tratadas por medio de tales procedimientos. Esta instrucción, en su artículo 3, exige a los responsables que cuenten con sistemas de videovigilancia cumplir con el deber de información previsto en el art. 5 de la Ley Orgánica 15/1999, y a tal fin deberán “colocar, en las zonas videovigiladas, al menos un distintivo informativo ubicado en lugar suficientemente visible, tanto en espacios abiertos como cerrados” y “tener a disposición de los/las interesados impresos en los que se detalle la información prevista en el art. 5.1 de la Ley Orgánica 15/1999”. El contenido y el diseño del distintivo informativo se ajustará a lo previsto en el anexo de esta instrucción, según el cual, el distintivo deberá incluir una referencia a la Ley Orgánica 15/1999, de protección de datos, una mención a la finalidad para la se tratan los datos (“zona videovigilada”) y una mención expresa a la identificación del responsable ante quien puedan ejercitarse los derechos a los que se refieren los arts. 15 y siguientes de la Ley Orgánica 15/1999.</w:t>
      </w:r>
    </w:p>
    <w:p w:rsidR="00163957" w:rsidRDefault="00163957" w:rsidP="00163957">
      <w:pPr>
        <w:pStyle w:val="TextoNormal"/>
      </w:pPr>
    </w:p>
    <w:p w:rsidR="00163957" w:rsidRDefault="00163957" w:rsidP="00163957">
      <w:pPr>
        <w:pStyle w:val="TextoNormal"/>
      </w:pPr>
      <w:r>
        <w:lastRenderedPageBreak/>
        <w:t>Como hemos señalado, en cumplimiento de esta obligación, la empresa colocó el correspondiente distintivo en el escaparate de la tienda donde prestaba sus servicios la recurrente en amparo, por lo que ésta podía conocer la existencia de las cámaras y la finalidad para la que habían sido instaladas. Se ha cumplido en este caso con la obligación de información previa pues basta a estos efectos con el cumplimiento de los requisitos específicos de información a través del distintivo, de acuerdo con la instrucción 1/2006. El trabajador conocía que en la empresa se había instalado un sistema de control por videovigilancia, sin que haya que especificar, más allá de la mera vigilancia, la finalidad exacta que se le ha asignado a ese control. Lo importante será determinar si el dato obtenido se ha utilizado para la finalidad de control de la relación laboral o para una finalidad ajena al cumplimiento del contrato, porque sólo si la finalidad del tratamiento de datos no guarda relación directa con el mantenimiento, desarrollo o control de la relación contractual el empresario estaría obligado a solicitar el consentimiento de los trabajadores afectados.</w:t>
      </w:r>
    </w:p>
    <w:p w:rsidR="00163957" w:rsidRDefault="00163957" w:rsidP="00163957">
      <w:pPr>
        <w:pStyle w:val="TextoNormal"/>
      </w:pPr>
    </w:p>
    <w:p w:rsidR="00163957" w:rsidRDefault="00163957" w:rsidP="00163957">
      <w:pPr>
        <w:pStyle w:val="TextoNormal"/>
      </w:pPr>
      <w:r>
        <w:t>En este caso, el sistema de videovigilancia captó la apropiación de efectivo de la caja de la tienda por parte de la recurrente que por este motivo fue despedida disciplinariamente. Por tanto, el dato recogido fue utilizado para el control de la relación laboral. No hay que olvidar que las cámaras fueron instaladas por la empresa ante las sospechas de que algún trabajador de la tienda se estaba apropiando de dinero de la caja.</w:t>
      </w:r>
    </w:p>
    <w:p w:rsidR="00163957" w:rsidRDefault="00163957" w:rsidP="00163957">
      <w:pPr>
        <w:pStyle w:val="TextoNormal"/>
      </w:pPr>
    </w:p>
    <w:p w:rsidR="00163957" w:rsidRDefault="00163957" w:rsidP="00163957">
      <w:pPr>
        <w:pStyle w:val="TextoNormal"/>
      </w:pPr>
      <w:r>
        <w:t>En consecuencia, teniendo la trabajadora información previa de la instalación de las cámaras de videovigilancia a través del correspondiente distintivo informativo, y habiendo sido tratadas las imágenes captadas para el control de la relación laboral, no puede entenderse vulnerado el art. 18.4 CE. Por ello, el control que debe realizar este Tribunal de las resoluciones judiciales recurridas en amparo ha de recaer, precisamente en enjuiciar si, como exige la doctrina reiterada de este Tribunal, el órgano jurisdiccional ha ponderado adecuadamente que la instalación y empleo de medios de captación y grabación de imágenes por la empresa ha respetado el derecho a la intimidad personal de la solicitante de amparo, de conformidad, nuevamente, con las exigencias del principio de proporcionalidad (SSTC 186/2000, de 10 de julio, FJ 6, y 98/2000, de 10 de abril, FJ 8).</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Como señala la STC 186/2000, de 10 de julio, FJ 6, “el empresario no queda apoderado para llevar a cabo, so pretexto de las facultades de vigilancia y control que le confiere el art. 20.3 LET, intromisiones ilegítimas en la intimidad de sus empleados en los centros de trabajo. Los equilibrios y limitaciones recíprocos que se derivan para ambas partes del contrato de trabajo suponen, por lo que ahora interesa, que también las facultades organizativas empresariales se encuentran limitadas por los derechos fundamentales del trabajador, quedando obligado el empleador a respetar aquéllos (STC 292/1993, de 18 de octubre, FJ 4). Este Tribunal viene manteniendo que, desde la prevalencia de tales derechos, su limitación por parte de las facultades empresariales sólo puede derivar del hecho de que la propia naturaleza del trabajo contratado implique la restricción del derecho (SSTC 99/1994, de 11 de abril, FJ 7; 6/1995, de 10 de enero, FJ 3, y 136/1996, de 23 de julio, FJ 7). Pero, además de ello, la jurisprudencia constitucional ha mantenido, como no podía ser de otro modo, que el ejercicio de las facultades organizativas y disciplinarias del empleador no puede servir en ningún caso a la producción de resultados inconstitucionales, lesivos de los derechos fundamentales del trabajador (así, entre otras, SSTC 94/1984, de 16 de octubre; 108/1989, de 8 de junio; 171/1989, de 19 de octubre; 123/1992, de 28 de septiembre; 134/1994, de 9 de mayo, y 173/1994, de 7 de junio), ni a la sanción del ejercicio legítimo de tales derechos </w:t>
      </w:r>
      <w:r>
        <w:lastRenderedPageBreak/>
        <w:t>por parte de aquél (STC 11/1981, de 8 de abril, FJ 22). Por eso, este Tribunal ha puesto de relieve la necesidad de que las resoluciones judiciales, en casos como el presente, preserven “el necesario equilibrio entre las obligaciones dimanantes del contrato para el trabajador y el ámbito —modulado por el contrato, pero en todo caso subsistente— de su libertad constitucional (STC 6/1998, de 13 de enero), pues, dada la posición preeminente de los derechos fundamentales en nuestro ordenamiento, esa modulación sólo deberá producirse en la medida estrictamente imprescindible para el correcto y ordenado respeto de los derechos fundamentales del trabajador y, muy especialmente, del derecho a la intimidad personal que protege el art. 18.1 CE, teniendo siempre presente el principio de proporcionalidad”.</w:t>
      </w:r>
    </w:p>
    <w:p w:rsidR="00163957" w:rsidRDefault="00163957" w:rsidP="00163957">
      <w:pPr>
        <w:pStyle w:val="TextoNormal"/>
      </w:pPr>
    </w:p>
    <w:p w:rsidR="00163957" w:rsidRDefault="00163957" w:rsidP="00163957">
      <w:pPr>
        <w:pStyle w:val="TextoNormal"/>
      </w:pPr>
      <w:r>
        <w:t>En efecto, de conformidad con la doctrina de este Tribunal, la constitucionalidad de cualquier medida restrictiva de derechos fundamentales viene determinada por la estricta observancia del principio de proporcionalidad. A los efectos que aquí importan, basta con recordar que para comprobar si una medida restrictiva de un derecho fundamental supera el juicio de proporcionalidad, es necesario constatar si cumple los tres requisitos o condiciones siguientes: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 [ SSTC 66/1995, de 8 de mayo, FJ 5; 55/1996, de 28 de marzo, FFJJ 6, 7, 8 y 9; 207/1996, de 16 de diciembre, FJ 4 e), y 37/1998, de 17 de febrero, FJ 8].</w:t>
      </w:r>
    </w:p>
    <w:p w:rsidR="00163957" w:rsidRDefault="00163957" w:rsidP="00163957">
      <w:pPr>
        <w:pStyle w:val="TextoNormal"/>
      </w:pPr>
    </w:p>
    <w:p w:rsidR="00163957" w:rsidRDefault="00163957" w:rsidP="00163957">
      <w:pPr>
        <w:pStyle w:val="TextoNormal"/>
      </w:pPr>
      <w:r>
        <w:t>Del razonamiento contenido en las Sentencias recurridas se desprende que, en el caso que nos ocupa, la medida de instalación de cámaras de seguridad que controlaban la zona de caja donde la demandante de amparo desempeñaba su actividad laboral era una medida justificada (ya que existían razonables sospechas de que alguno de los trabajadores que prestaban servicios en dicha caja se estaba apropiando de dinero); idónea para la finalidad pretendida por la empresa (verificar si algunos de los trabajadores cometía efectivamente las irregularidades sospechadas y en tal caso adoptar las medidas disciplinarias correspondientes); necesaria (ya que la grabación serviría de prueba de tales irregularidades); y equilibrada (pues la grabación de imágenes se limitó a la zona de la caja), por lo que debe descartarse que se haya producido lesión alguna del derecho a la intimidad personal consagrado en el art. 18.1 CE.</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amparo interpuesto por doña Mónica Rebeca Liberato Rodríguez.</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lastRenderedPageBreak/>
        <w:t>Dada en Madrid, a tres de marzo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Fernando Valdés Dal-Ré a la Sentencia dictada en el recurso de amparo avocado núm. 7222-2013, al que se adhiere la Magistrada doña Adela Asua Batarrita.</w:t>
      </w:r>
    </w:p>
    <w:p w:rsidR="00163957" w:rsidRDefault="00163957" w:rsidP="00163957">
      <w:pPr>
        <w:pStyle w:val="TextoNormalNegritaCentrado"/>
        <w:keepNext/>
      </w:pPr>
    </w:p>
    <w:p w:rsidR="00163957" w:rsidRDefault="00163957" w:rsidP="00163957">
      <w:pPr>
        <w:pStyle w:val="TextoNormal"/>
      </w:pPr>
      <w:r>
        <w:t>I. Preliminar.</w:t>
      </w:r>
    </w:p>
    <w:p w:rsidR="00163957" w:rsidRDefault="00163957" w:rsidP="00163957">
      <w:pPr>
        <w:pStyle w:val="TextoNormal"/>
      </w:pPr>
    </w:p>
    <w:p w:rsidR="00163957" w:rsidRDefault="00163957" w:rsidP="00163957">
      <w:pPr>
        <w:pStyle w:val="TextoNormal"/>
      </w:pPr>
      <w:r>
        <w:t>1. Como manifesté durante la deliberación del presente proceso constitucional, disiento de la decisión mayoritariamente adoptada. Dentro del máximo respeto hacia el parecer de mis compañeros del Pleno, quiero expresar, desde un principio y sin reserva alguna, mi intensa y extensa discrepancia. Primeramente, con la doctrina que se sienta sobre los derechos fundamentales concernidos, en particular respecto del art. 18.4 CE; pero de seguido, y también, con el método de enjuiciamiento que se utiliza así como con el canon de constitucionalidad que se aplica.</w:t>
      </w:r>
    </w:p>
    <w:p w:rsidR="00163957" w:rsidRDefault="00163957" w:rsidP="00163957">
      <w:pPr>
        <w:pStyle w:val="TextoNormal"/>
      </w:pPr>
    </w:p>
    <w:p w:rsidR="00163957" w:rsidRDefault="00163957" w:rsidP="00163957">
      <w:pPr>
        <w:pStyle w:val="TextoNormal"/>
      </w:pPr>
      <w:r>
        <w:t>En esta fase preliminar de la exposición de mi disentimiento, me siento obligado a manifestar la insólita forma con la que la presente resolución se separa de la jurisprudencia ya elaborada por este Tribunal sobre el derecho a la protección de datos de carácter personal en supuestos de video-vigilancia laboral, contenida de manera señalada en la STC 29/2013, de 11 de febrero, y que se articula —y es esta omisión la que me parece en verdad censurable— sin hacer esfuerzo alguno por abrir un diálogo en divergencia, ofreciendo al menos explicaciones, aun cuando fueran de manera sumaria pero fundada, en relación con los dos siguientes aspectos: de un lado, la identidad o no tanto de las circunstancias fácticas —que, por cierto, el Ministerio Fiscal niega— como de los derechos controvertidos en una y otra resolución y, de otro, los motivos de tan relevante alteración. De seguro, la nueva opinión del Tribunal se erige desde el mismo momento de su adopción, conforme dispone el art. 5.1 de la Ley Orgánica del Poder Judicial, en fuente de interpretación y aplicación de las normas en relación con esta tipología de conflictos; pero el proceso de cambio doctrinal se ha llevado a cabo sin aportar la obligada argumentación jurídico-constitucional sobre las razones que conducen a abandonar una jurisprudencia cuyo objetivo, primero y esencial, fue el fijar los límites del contenido esencial del derecho fundamental que el art. 18.4 CE confiere a los trabajadores. En relación con este silente modo de introducir un drástico giro en la doctrina establecida por este Tribunal, no me parece impertinente recordar la obligación de motivar, en particular en caso de apartamiento de nuestros propios precedentes.</w:t>
      </w:r>
    </w:p>
    <w:p w:rsidR="00163957" w:rsidRDefault="00163957" w:rsidP="00163957">
      <w:pPr>
        <w:pStyle w:val="TextoNormal"/>
      </w:pPr>
    </w:p>
    <w:p w:rsidR="00163957" w:rsidRDefault="00163957" w:rsidP="00163957">
      <w:pPr>
        <w:pStyle w:val="TextoNormal"/>
      </w:pPr>
      <w:r>
        <w:t>Pero esta mutación jurisprudencial no solo me parece objetable por la forma; lo es, sobre todo, por el fondo. Anticipando la conclusión final que he de desarrollar en breve, la doctrina ahora defendida se sitúa en esa senda, para mí preocupante, de retroceso en la protección de los derechos fundamentales de las personas que prestan un trabajo asalariado y que vengo denunciando en los últimos años a través de una sucesión de votos particulares. Una senda que revela una orientación que tiende a vaciar de contenido sustantivo un modelo constitucional de relaciones laborales acorde con el Estado social y democrático de Derecho (art. 1.1 CE).</w:t>
      </w:r>
    </w:p>
    <w:p w:rsidR="00163957" w:rsidRDefault="00163957" w:rsidP="00163957">
      <w:pPr>
        <w:pStyle w:val="TextoNormal"/>
      </w:pPr>
    </w:p>
    <w:p w:rsidR="00163957" w:rsidRDefault="00163957" w:rsidP="00163957">
      <w:pPr>
        <w:pStyle w:val="TextoNormal"/>
      </w:pPr>
      <w:r>
        <w:lastRenderedPageBreak/>
        <w:t>Por lo demás, tampoco quiero dejar de hacer constar que este pronunciamiento regresivo resultaba, a mi juicio, de todo punto innecesario. Los diversos intereses legítimos y constitucionales, enfrentados en este concreto conflicto, pudieron quedar perfectamente garantizados sin el sacrificio que la presente Sentencia lleva a cabo respecto de los derechos involucrados en el art. 18.4 CE de titularidad de quienes prestan un trabajo por cuenta ajena y dependiente.</w:t>
      </w:r>
    </w:p>
    <w:p w:rsidR="00163957" w:rsidRDefault="00163957" w:rsidP="00163957">
      <w:pPr>
        <w:pStyle w:val="TextoNormal"/>
      </w:pPr>
    </w:p>
    <w:p w:rsidR="00163957" w:rsidRDefault="00163957" w:rsidP="00163957">
      <w:pPr>
        <w:pStyle w:val="TextoNormal"/>
      </w:pPr>
      <w:r>
        <w:t>II. El juicio sobre el art. 18.4 CE.</w:t>
      </w:r>
    </w:p>
    <w:p w:rsidR="00163957" w:rsidRDefault="00163957" w:rsidP="00163957">
      <w:pPr>
        <w:pStyle w:val="TextoNormal"/>
      </w:pPr>
    </w:p>
    <w:p w:rsidR="00163957" w:rsidRDefault="00163957" w:rsidP="00163957">
      <w:pPr>
        <w:pStyle w:val="TextoNormal"/>
      </w:pPr>
      <w:r>
        <w:t>A) Una colisión de derechos ficticia. Contenido esencial versus ponderación y proporcionalidad.</w:t>
      </w:r>
    </w:p>
    <w:p w:rsidR="00163957" w:rsidRDefault="00163957" w:rsidP="00163957">
      <w:pPr>
        <w:pStyle w:val="TextoNormal"/>
      </w:pPr>
    </w:p>
    <w:p w:rsidR="00163957" w:rsidRDefault="00163957" w:rsidP="00163957">
      <w:pPr>
        <w:pStyle w:val="TextoNormal"/>
      </w:pPr>
      <w:r>
        <w:t>2. La Sentencia responde a una noción del poder de dirección empresarial contraindicada por el modelo de relaciones laborales que instaura la Constitución. De forma directa y sin matización alguna, se atribuye a los poderes empresariales, genéricamente considerados, una conexión universal de constitucionalidad con los arts. 33 y 38 CE (párrafo tercero, FJ 4), improvisando y fraguando ex novo, con tales mimbres, conflictos entre derechos constitucionales que en realidad no concurren.</w:t>
      </w:r>
    </w:p>
    <w:p w:rsidR="00163957" w:rsidRDefault="00163957" w:rsidP="00163957">
      <w:pPr>
        <w:pStyle w:val="TextoNormal"/>
      </w:pPr>
    </w:p>
    <w:p w:rsidR="00163957" w:rsidRDefault="00163957" w:rsidP="00163957">
      <w:pPr>
        <w:pStyle w:val="TextoNormal"/>
      </w:pPr>
      <w:r>
        <w:t>No puedo en modo alguno compartir, desde una inteligencia constitucional de las relaciones laborales, esa concepción que convierte las facultades de vigilancia y control empresarial de la actividad laboral reguladas en la Ley del estatuto de los trabajadores (LET) en una fuente constitucional a partir de la cual pueda sostenerse una colisión conflictiva de derechos frente a los que alegan los trabajadores con una expresa invocación de sus derechos fundamentales, con el efecto consiguiente de conducir la solución del recurso planteado a una lógica ponderativa sometida al principio de proporcionalidad. A mi juicio, ni el art. 20.3 LET es un parámetro de constitucionalidad que limite los derechos fundamentales en el seno de la organización empresarial, siendo exclusivamente, y no es poco, una regla jurídica rectora de la relación contractual; ni los poderes o facultades empresariales son, sin excepción y de manera universal, expresiones directas e indefectibles de los arts. 33 y 38 CE que quepa confrontar de manera mecánica y sin mayor fundamentación con los derechos fundamentales de los trabajadores; ni, en fin, las facultades del empresario y, menos aún si se ejercen de modo irregular o desviado, como más adelante tendré ocasión de razonar, pueden restringir aquellos derechos en el ámbito de las organizaciones productivas, incluidos, claro está, los formulados en el art. 18 CE.</w:t>
      </w:r>
    </w:p>
    <w:p w:rsidR="00163957" w:rsidRDefault="00163957" w:rsidP="00163957">
      <w:pPr>
        <w:pStyle w:val="TextoNormal"/>
      </w:pPr>
    </w:p>
    <w:p w:rsidR="00163957" w:rsidRDefault="00163957" w:rsidP="00163957">
      <w:pPr>
        <w:pStyle w:val="TextoNormal"/>
      </w:pPr>
      <w:r>
        <w:t>Muy antes al contrario, los poderes y facultades del empleador quedan delimitados por el contenido esencial de los derechos fundamentales de los trabajadores, resultando obligado tener presente que dichos derechos delinean la regularidad del ejercicio de tales poderes y facultades. Unos y otras solo pueden ejercitarse en términos acordes con el ámbito en el que la plenitud del contenido esencial de aquellos derechos (art. 53.1 CE) quede garantizada.</w:t>
      </w:r>
    </w:p>
    <w:p w:rsidR="00163957" w:rsidRDefault="00163957" w:rsidP="00163957">
      <w:pPr>
        <w:pStyle w:val="TextoNormal"/>
      </w:pPr>
    </w:p>
    <w:p w:rsidR="00163957" w:rsidRDefault="00163957" w:rsidP="00163957">
      <w:pPr>
        <w:pStyle w:val="TextoNormal"/>
      </w:pPr>
      <w:r>
        <w:t xml:space="preserve">3. Descartando este obligado método de enjuiciamiento, la presente Sentencia olvida que el contenido esencial de los derechos fundamentales constituye el obligado e imprescindible referente del juicio de constitucionalidad y que no cualquier factor comprometido, como aquí acontece con el interés o el derecho empresarial de vigilar el cumplimiento de la relación laboral, puede oponerse a su garantía sustantiva. Aceptando de manera acrítica que cualquier escenario de “conflicto de intereses” abre en el ámbito de las relaciones laborales </w:t>
      </w:r>
      <w:r>
        <w:lastRenderedPageBreak/>
        <w:t>un “conflicto de derechos fundamentales o bienes constitucionales merecedores de tutela”, la Sentencia de mi disenso sortea y da de lado el juicio propio del contenido esencial de los derechos fundamentales, desembocando en una lógica de ponderación y proporcionalidad. Con semejante proceder metodológico, el contenido esencial del derecho fundamental a examen se diluye y la razón empresarial termina siempre imponiéndose, pues en la práctica totalidad de los conflictos entre las dos partes del contrato de trabajo resulta una tarea sencilla el crear recursos dialécticos para su empleo en una inteligencia de proporcionalidad. Y ello, aun cuando en modo alguno tales recursos resulten útiles en un examen dirigido a asegurar el contenido esencial de los derechos frente a medidas invasivas articuladas con meros apoyos legales.</w:t>
      </w:r>
    </w:p>
    <w:p w:rsidR="00163957" w:rsidRDefault="00163957" w:rsidP="00163957">
      <w:pPr>
        <w:pStyle w:val="TextoNormal"/>
      </w:pPr>
    </w:p>
    <w:p w:rsidR="00163957" w:rsidRDefault="00163957" w:rsidP="00163957">
      <w:pPr>
        <w:pStyle w:val="TextoNormal"/>
      </w:pPr>
      <w:r>
        <w:t>Aquí reside la clave de mi discrepancia. Esta torcedura del canon de enjuiciamiento y del referente de la tutela, explicitado con toda claridad en el art. 53.1 CE, no solo revela una desviación del juicio de constitucionalidad; adicionalmente, también evidencia una concepción de la empresa ajena a la cláusula social reconocida de manera explícita por nuestro texto constitucional, segregada de la sociedad civil e inmune a la Constitución. Es esta una concepción en la que los derechos fundamentales del trabajador no sólo se ven modalizados en función de la prestación concertada en el marco de un contrato de trabajo y de los deberes contractuales de ella nacidos; además y por encima de ello, esos derechos son suprimidos o, en el mejor de los casos, debilitados en su efectividad con vistas a asegurar una autoridad indiscutida y omnímoda del empresario, cuyos poderes e intereses, con carácter universal o sin apenas excepción, adquieren automáticamente y con el apoyo de los arts. 33 y 38 CE un rango de constitucionalidad y preeminencia, sin matices, contenciones o medidas.</w:t>
      </w:r>
    </w:p>
    <w:p w:rsidR="00163957" w:rsidRDefault="00163957" w:rsidP="00163957">
      <w:pPr>
        <w:pStyle w:val="TextoNormal"/>
      </w:pPr>
    </w:p>
    <w:p w:rsidR="00163957" w:rsidRDefault="00163957" w:rsidP="00163957">
      <w:pPr>
        <w:pStyle w:val="TextoNormal"/>
      </w:pPr>
      <w:r>
        <w:t>Frente a esa concepción, desterrada afortunadamente por nuestro texto constitucional desde su mismo pórtico (artículo 1.1), la efectiva cobertura de los derechos del trabajador y los de sus organizaciones representativas, columna vertebral del nuevo modelo de relaciones laborales informado por la Constitución, obliga a una visión distinta, gobernada por otros principios y generadora de valores que, resultando compatibles con las cláusulas de la denominada constitución económica, garanticen de manera real y efectiva el ejercicio por los trabajadores de los derechos fundamentales vinculados a su personalidad, a su condición de personas, y que, en modo alguno, pueden ser minados o atenuados por el simple hecho de celebrar ese negocio jurídico en que consiste el contrato de trabajo e integrarse, a resultas de ello, en una organización de mercado. En la defensa de ese modelo ha estado comprometida la jurisprudencia constitucional hasta fechas recientes, en las que parece haberse optado por introducir factores de desprotección, descartando incluso la búsqueda de un reequilibrio, en la hipótesis de haberse entendido que en el pasado pudieron haberse producido excesos de tutela en la delimitación de la cobertura constitucional.</w:t>
      </w:r>
    </w:p>
    <w:p w:rsidR="00163957" w:rsidRDefault="00163957" w:rsidP="00163957">
      <w:pPr>
        <w:pStyle w:val="TextoNormal"/>
      </w:pPr>
    </w:p>
    <w:p w:rsidR="00163957" w:rsidRDefault="00163957" w:rsidP="00163957">
      <w:pPr>
        <w:pStyle w:val="TextoNormal"/>
      </w:pPr>
      <w:r>
        <w:t xml:space="preserve">Por ello, ante esos expedientes técnicos que diluyen el contenido esencial del art. 53.1 CE, me veo obligado a recordar las palabras de nuestra STC 88/1985, de 19 de julio, FJ 2, que había ya confiado en no tener que reproducir treinta años después de ser escritas: “ni las organizaciones empresariales forman mundos separados y estancos del resto de la sociedad ni la libertad de Empresa que establece el art. 38 del texto constitucional legitima el que quienes prestan servicios en aquéllas por cuenta y bajo la dependencia de sus titulares deban soportar despojos transitorios o limitaciones injustificadas de sus derechos fundamentales y libertades públicas, que tienen un valor central y nuclear en el sistema jurídico constitucional. Las manifestaciones de ‘feudalismo industrial’ repugnan al Estado social y democrático </w:t>
      </w:r>
      <w:r>
        <w:lastRenderedPageBreak/>
        <w:t>de Derecho y a los valores superiores de libertad, justicia e igualdad a través de los cuales ese Estado toma forma y se realiza (art. 1.1)”.</w:t>
      </w:r>
    </w:p>
    <w:p w:rsidR="00163957" w:rsidRDefault="00163957" w:rsidP="00163957">
      <w:pPr>
        <w:pStyle w:val="TextoNormal"/>
      </w:pPr>
    </w:p>
    <w:p w:rsidR="00163957" w:rsidRDefault="00163957" w:rsidP="00163957">
      <w:pPr>
        <w:pStyle w:val="TextoNormal"/>
      </w:pPr>
      <w:r>
        <w:t>B) El exceso del exceso: no sólo la colisión ficticia de derechos sino, adicionalmente, la colisión en la antijuridicidad.</w:t>
      </w:r>
    </w:p>
    <w:p w:rsidR="00163957" w:rsidRDefault="00163957" w:rsidP="00163957">
      <w:pPr>
        <w:pStyle w:val="TextoNormal"/>
      </w:pPr>
    </w:p>
    <w:p w:rsidR="00163957" w:rsidRDefault="00163957" w:rsidP="00163957">
      <w:pPr>
        <w:pStyle w:val="TextoNormal"/>
      </w:pPr>
      <w:r>
        <w:t>4. Bastaría con lo expuesto para dar por cerrada mi discrepancia. Sin embargo, la Sentencia de la que me aparto ha elegido ir más lejos todavía. No se conforma con la levedad argumental de convertir cualquier actividad vinculada con el ejercicio de las facultades y derechos del art. 20.3 LET en una directa expresión amparada en los arts. 33 y 38 CE, ni con la pretendida concurrencia de tales preceptos constitucionales para deducir de manera errática la existencia de una colisión con los derechos fundamentales de los trabajadores, extrayendo el conflicto interpretativo del análisis del contenido esencial y arrastrándolo así a un juicio de ponderación entre derechos constitucionales. En el presente caso, lejos de detenerse en el enunciado y defensa de esa doctrina, la Sentencia procede a dar una extravagante vuelta de tuerca, sosteniendo la tesis de que el escenario de confrontación entre derechos —y, por tanto, la necesidad de utilizar juicios de ponderación y proporcionalidad— concurre incluso si los poderes empresariales se ejercitan con manifiesta irregularidad o exceso; esto es, fuera del marco de la ley.</w:t>
      </w:r>
    </w:p>
    <w:p w:rsidR="00163957" w:rsidRDefault="00163957" w:rsidP="00163957">
      <w:pPr>
        <w:pStyle w:val="TextoNormal"/>
      </w:pPr>
    </w:p>
    <w:p w:rsidR="00163957" w:rsidRDefault="00163957" w:rsidP="00163957">
      <w:pPr>
        <w:pStyle w:val="TextoNormal"/>
      </w:pPr>
      <w:r>
        <w:t>Tras haberse enunciado con la necesaria continencia y con la debida cita de la STC 292/2000, de 30 de noviembre, que el derecho a la protección de datos (art. 18.4 CE) no es ilimitado y puede encontrar condicionantes en los restantes derechos fundamentales y bienes jurídicos constitucionalmente protegidos, la presente resolución, en efecto, se libera de todo complejo y concibe esa concurrencia conflictiva no solo en casos de un ejercicio ordinario y ajustado a Derecho por el empresario de las facultades empresariales que le reconocen el art. 20.3 LET, instaladas con presteza y universalidad, como ya se argumentó, en los arts. 33 y 38 CE; superando toda razonable limitación argumentativa, hace constar que también resulta obligado recurrir al juicio de ponderación cuando el poder empresarial ejercitado incurre en incumplimientos legales. O por formular la idea en términos más próximos al caso a examen, en el decir de la Sentencia hay conflicto de derechos y necesidad de ponderación en clave de proporcionalidad incluso si el empresario manifiestamente no atiende e inobserva, sea cual fuere la causa, el deber legal de informar a los trabajadores ex art. 5 de la Ley Orgánica de protección de datos de carácter personal (LOPD). A fin de no razonar en el vacío o, lo que es igual, con vistas a acreditar la anterior aseveración, remito a la lectura de algunas afirmaciones contenidas en los párrafos tercero y cuarto del fundamento jurídico 4, de las que se deducen sin esfuerzo alguno proposiciones tan insólitas como las que se transcriben en su literalidad: “sin perjuicio de las eventuales sanciones legales que pudieran derivar, para que el incumplimiento de este deber por parte del empresario implique una vulneración del art. 18.4 CE exige valorar la observancia o no del principio de proporcionalidad”; o “en efecto, la relevancia constitucional de la ausencia o deficiencia de información en los supuestos de video-vigilancia laboral exige la consiguiente ponderación en cada caso de los derechos y bienes constitucionales en conflicto”.</w:t>
      </w:r>
    </w:p>
    <w:p w:rsidR="00163957" w:rsidRDefault="00163957" w:rsidP="00163957">
      <w:pPr>
        <w:pStyle w:val="TextoNormal"/>
      </w:pPr>
    </w:p>
    <w:p w:rsidR="00163957" w:rsidRDefault="00163957" w:rsidP="00163957">
      <w:pPr>
        <w:pStyle w:val="TextoNormal"/>
      </w:pPr>
      <w:r>
        <w:t xml:space="preserve">Tales argumentaciones se sostienen con naturalidad y desenvoltura, pese a haberse recordado en la primera parte de la Sentencia que el deber de información previa forma parte del contenido esencial del derecho a la protección de datos (art. 18.4 CE), actuando como </w:t>
      </w:r>
      <w:r>
        <w:lastRenderedPageBreak/>
        <w:t>un complemento indispensable de la necesidad de consentimiento del afectado. En un contexto argumentativo como el expuesto, hay base para inferir que un acto de control empresarial encuadrable por su finalidad en el art. 20.3 LET, pero ejercido antijurídicamente y contra lo previsto en el art. 5 LOPD, puede prevalecer sobre el derecho fundamental del art. 18.4 CE y sobre la doctrina de este Tribunal, sentada en las SSTC 292/2000, de 30 de noviembre, y 29/2013, de 11 de febrero, si así se dedujera tras el pertinente juicio de ponderación y proporcionalidad efectuado. Si mi apreciación no quedara desmentida, una tesis semejante constituiría, sencillamente, un despropósito jurídico-constitucional, pudiendo arrastrar un caudal de consecuencias prácticas de imposible aceptación en nuestro Estado social.</w:t>
      </w:r>
    </w:p>
    <w:p w:rsidR="00163957" w:rsidRDefault="00163957" w:rsidP="00163957">
      <w:pPr>
        <w:pStyle w:val="TextoNormal"/>
      </w:pPr>
    </w:p>
    <w:p w:rsidR="00163957" w:rsidRDefault="00163957" w:rsidP="00163957">
      <w:pPr>
        <w:pStyle w:val="TextoNormal"/>
      </w:pPr>
      <w:r>
        <w:t>C) La Instrucción 1/2006, de 8 de noviembre.</w:t>
      </w:r>
    </w:p>
    <w:p w:rsidR="00163957" w:rsidRDefault="00163957" w:rsidP="00163957">
      <w:pPr>
        <w:pStyle w:val="TextoNormal"/>
      </w:pPr>
    </w:p>
    <w:p w:rsidR="00163957" w:rsidRDefault="00163957" w:rsidP="00163957">
      <w:pPr>
        <w:pStyle w:val="TextoNormal"/>
      </w:pPr>
      <w:r>
        <w:t>5. La gravedad de la argumentación expuesta y la levedad de su fundamentación se acentúan al comprobar como la resolución de la que me aparto termina por abandonar el discurso de los poderes empresariales y de los derechos y límites de los derechos fundamentales en el marco del contrato de trabajo para situar su ratio decidendi, en lo que concierne a la presunta violación del art. 18.4 CE, en un escenario por completo ajeno a ese discurso. Haciendo un imprevisto giro en el razonamiento hasta entonces llevado a cabo, en los pasajes finales del fundamento jurídico 4, en efecto, se erige como elemento decisivo para el juicio de constitucionalidad el contenido de las Instrucciones de la Agencia Española de Protección de Datos; en concreto, el de la 1/2006, de 8 de noviembre, que parece convertirse así en parámetro o canon de constitucionalidad.</w:t>
      </w:r>
    </w:p>
    <w:p w:rsidR="00163957" w:rsidRDefault="00163957" w:rsidP="00163957">
      <w:pPr>
        <w:pStyle w:val="TextoNormal"/>
      </w:pPr>
    </w:p>
    <w:p w:rsidR="00163957" w:rsidRDefault="00163957" w:rsidP="00163957">
      <w:pPr>
        <w:pStyle w:val="TextoNormal"/>
      </w:pPr>
      <w:r>
        <w:t>Acaso, el tránsito por camino tan espinoso puede haber sido debido a la desatención hacia la STC 29/2013, de 11 de febrero, que expresamente recordaba que la Constitución ha querido que la ley, y sólo la ley, pueda fijar los límites a un derecho fundamental. Pero sea como fuere y más allá de la razón determinante, me resulta imposible admitir que el derecho de los trabajadores a ser informados sobre la suerte de los datos obtenidos por su empleador, derecho este que forma parte del núcleo fuerte del habeas data, pueda concretarse en una mera pegatina con el correspondiente distintivo visible en un cristal, una vez cumplido, eso sí, en contenido y diseño —como recuerda la Ponencia aprobada— el sin duda trascendente anexo de la Instrucción citada. Contrariando de manera frontal la doctrina sentada por este Tribunal, según la cual el afectado o los afectados por la captación han de conocer el contenido de las imágenes captadas y el propósito perseguido por la implantación de sistemas de video-vigilancia, ahora se sostiene que, una vez insertado el distintivo y cumplidos los anexos, ya no es preciso especificar “la finalidad exacta que se le ha asignado a ese control”, pues lo único importante será determinar si “el dato obtenido se ha utilizado para la finalidad de control de la relación laboral o para una finalidad ajena” (FJ 4). Por este lado, se ha suprimido todo rastro del derecho a conocer el uso y destino de los datos, aunque para alcanzar esa conclusión haya sido preciso, en el trance final, confundir el consentimiento con la información, acertadamente diferenciados en el anterior fundamento jurídico 3.</w:t>
      </w:r>
    </w:p>
    <w:p w:rsidR="00163957" w:rsidRDefault="00163957" w:rsidP="00163957">
      <w:pPr>
        <w:pStyle w:val="TextoNormal"/>
      </w:pPr>
    </w:p>
    <w:p w:rsidR="00163957" w:rsidRDefault="00163957" w:rsidP="00163957">
      <w:pPr>
        <w:pStyle w:val="TextoNormal"/>
      </w:pPr>
      <w:r>
        <w:t xml:space="preserve">En definitiva, la Sentencia olvida: i) la fuerte e intensa dación de contenidos que al derecho del art. 18.4 CE atribuyeron con su interpretación los precedentes pronunciamientos de este Tribunal; ii) la diferenciación de ese derecho con el derecho consagrado en el art. 18.1 CE, según establecieron y explicaron anteriores resoluciones; iii) que el control del uso y destino de los datos personales está constitucionalizado y en la base de la consagración del </w:t>
      </w:r>
      <w:r>
        <w:lastRenderedPageBreak/>
        <w:t>derecho fundamental, idea ésta que no es dable desdeñar hasta la nada, sobre todo en tiempos en los que el tratamiento de datos ofrece múltiples medios y sistemas que se perfeccionan a un ritmo vertiginoso y en los que las imágenes grabadas y tratadas pueden servir a propósitos tan inquietantes como la confección de un perfil ideológico, racial, sexual, económico o de cualquier otra índole, o ponerse al servicio de otras amenazas contra el individuo (STC 292/2000, de 30 de noviembre, FJ 6).</w:t>
      </w:r>
    </w:p>
    <w:p w:rsidR="00163957" w:rsidRDefault="00163957" w:rsidP="00163957">
      <w:pPr>
        <w:pStyle w:val="TextoNormal"/>
      </w:pPr>
    </w:p>
    <w:p w:rsidR="00163957" w:rsidRDefault="00163957" w:rsidP="00163957">
      <w:pPr>
        <w:pStyle w:val="TextoNormal"/>
      </w:pPr>
      <w:r>
        <w:t>Frente a todo lo que impugno y censuro, por tanto, estimo que la recta aplicación de un derecho fundamental como el garantizado en el art. 18.4 CE hubiera comportado, como en el pasado fue argumentado con solvencia jurídica y mesura interpretativa, declarar que no hay una habilitación legal expresa para la omisión del derecho a la información sobre el tratamiento de datos personales en el ámbito de las relaciones laborales; y que tampoco es dable situar su fundamento en el mero interés empresarial de controlar la actividad laboral a través de sistemas sorpresivos o no informados de tratamiento de datos que aseguren la máxima eficacia en el propósito de vigilancia. La lógica por la que ha optado la Sentencia de la mayoría, fundada en la más primaria utilidad o conveniencia empresarial, quebranta la efectividad del derecho fundamental del art. 18.4 CE, en su núcleo esencial; confunde la legitimidad del fin (en este caso, la verificación del cumplimiento de las obligaciones laborales a través del tratamiento de datos, art. 20.3 LET en relación con el art. 6.2 LOPD) con la constitucionalidad del acto (que exige ofrecer previamente la información necesaria, art. 5 LOPD). Y lo cierto es, sin embargo, que cabe proclamar la legitimidad de aquel objetivo (incluso sin consentimiento del trabajador, art. 6.2 LOPD, como señala la Sentencia aprobada) y, al mismo tiempo, hacer constar que lesiona el art. 18.4 CE la utilización, para ejecutar el acto, de medios encubiertos que niegan al trabajador la información exigible.</w:t>
      </w:r>
    </w:p>
    <w:p w:rsidR="00163957" w:rsidRDefault="00163957" w:rsidP="00163957">
      <w:pPr>
        <w:pStyle w:val="TextoNormal"/>
      </w:pPr>
    </w:p>
    <w:p w:rsidR="00163957" w:rsidRDefault="00163957" w:rsidP="00163957">
      <w:pPr>
        <w:pStyle w:val="TextoNormal"/>
      </w:pPr>
      <w:r>
        <w:t>En última instancia, la lectura de la resolución de mi disentimiento me suscita dudas sobre la verdadera finalidad a la que atiende la doctrina sentada, que enuncio en términos interrogativos: ¿se pretende asegurar un control legítimo por el empresario de la actividad laboral, con respeto a las garantías legales y a los derechos fundamentales o, por el contrario y más bien, se busca habilitar controles sorpresivos, que permitan identificar in fraganti a un trabajador que no cumpla debidamente su contrato? Si fuera esto último, como lamentablemente así me lo parece, no alcanzo a entender la conexión entre esa intención, no ya de controlar sino de “atrapar” al trabajador, con la libertad de empresa o el derecho a la propiedad que consagra la Constitución.</w:t>
      </w:r>
    </w:p>
    <w:p w:rsidR="00163957" w:rsidRDefault="00163957" w:rsidP="00163957">
      <w:pPr>
        <w:pStyle w:val="TextoNormal"/>
      </w:pPr>
    </w:p>
    <w:p w:rsidR="00163957" w:rsidRDefault="00163957" w:rsidP="00163957">
      <w:pPr>
        <w:pStyle w:val="TextoNormal"/>
      </w:pPr>
      <w:r>
        <w:t>En atención a lo razonado y a mi juicio, el despido debió calificarse como nulo, por no haberse cumplido el deber de información que impone al empresario el art. 18.4 CE.</w:t>
      </w:r>
    </w:p>
    <w:p w:rsidR="00163957" w:rsidRDefault="00163957" w:rsidP="00163957">
      <w:pPr>
        <w:pStyle w:val="TextoNormal"/>
      </w:pPr>
    </w:p>
    <w:p w:rsidR="00163957" w:rsidRDefault="00163957" w:rsidP="00163957">
      <w:pPr>
        <w:pStyle w:val="TextoNormal"/>
      </w:pPr>
      <w:r>
        <w:t>III. Una breve consideración sobre el art. 18.1 CE.</w:t>
      </w:r>
    </w:p>
    <w:p w:rsidR="00163957" w:rsidRDefault="00163957" w:rsidP="00163957">
      <w:pPr>
        <w:pStyle w:val="TextoNormal"/>
      </w:pPr>
    </w:p>
    <w:p w:rsidR="00163957" w:rsidRDefault="00163957" w:rsidP="00163957">
      <w:pPr>
        <w:pStyle w:val="TextoNormal"/>
      </w:pPr>
      <w:r>
        <w:t>6. Una vez declarada la lesión del art. 18.4 CE, no precisaría examinar esta segunda alegación, igualmente invocada por la recurrente en amparo. Dejaré constancia, no obstante, de algunas objeciones al razonamiento utilizado para su desestimación.</w:t>
      </w:r>
    </w:p>
    <w:p w:rsidR="00163957" w:rsidRDefault="00163957" w:rsidP="00163957">
      <w:pPr>
        <w:pStyle w:val="TextoNormal"/>
      </w:pPr>
    </w:p>
    <w:p w:rsidR="00163957" w:rsidRDefault="00163957" w:rsidP="00163957">
      <w:pPr>
        <w:pStyle w:val="TextoNormal"/>
      </w:pPr>
      <w:r>
        <w:t xml:space="preserve">Por lo pronto, no tiene escasa entidad el modo cómo fluye el alegato de la Sentencia en el juicio de proporcionalidad, a tenor del cual (fundamento jurídico 4 in fine) procederá el examen “de conformidad, nuevamente, con las exigencias del principio de proporcionalidad (SSTC 186/2000, de 10 de junio, FJ 6, y 98/2000, de 10 de abril, FJ 8)”. Se entiende como </w:t>
      </w:r>
      <w:r>
        <w:lastRenderedPageBreak/>
        <w:t>inevitable que ese es y no otro el control de constitucionalidad, según puede inferirse. Así lo demuestra que, al anunciar esta pauta de enjuiciamiento, se citen aquellas Sentencias (SSTC 98/2000 y 186/2000), como si la colisión de derechos que se apreció en los supuestos en ellas resueltos fuera generalizable a cualquier juicio del art. 18.1 CE; es decir, como si solo pudiera concebirse la tutela del art. 18.1 CE en la relación laboral desde el prisma de la proporcionalidad.</w:t>
      </w:r>
    </w:p>
    <w:p w:rsidR="00163957" w:rsidRDefault="00163957" w:rsidP="00163957">
      <w:pPr>
        <w:pStyle w:val="TextoNormal"/>
      </w:pPr>
    </w:p>
    <w:p w:rsidR="00163957" w:rsidRDefault="00163957" w:rsidP="00163957">
      <w:pPr>
        <w:pStyle w:val="TextoNormal"/>
      </w:pPr>
      <w:r>
        <w:t>En esa misma dirección, el fundamento jurídico 5 de la Sentencia comienza con una decidida declaración sobre el grandísimo alcance y eficacia de los derechos fundamentales; un estilo no desconocido en los últimos tiempos, que consiste en invocar con la máxima firmeza los derechos y su efectividad para posteriormente sacrificarlos ad casum. A esas elevadas palabras les sigue, sin embargo, la inmediata declaración de que la constitucionalidad de cualquier medida restrictiva de derechos fundamentales viene determinada por la estricta observancia del “principio de proporcionalidad”. Otra vez la insistente proporcionalidad que olvida el mandato del art. 53.1 CE (contenido esencial) y que quiere trasladar al ámbito del amparo una lógica limitativa que ya ha empezado a aplicarse extensivamente, a mi juicio contraviniendo igualmente el art. 53.1 CE, al control abstracto de constitucionalidad de las leyes que afectan a derechos fundamentales.</w:t>
      </w:r>
    </w:p>
    <w:p w:rsidR="00163957" w:rsidRDefault="00163957" w:rsidP="00163957">
      <w:pPr>
        <w:pStyle w:val="TextoNormal"/>
      </w:pPr>
    </w:p>
    <w:p w:rsidR="00163957" w:rsidRDefault="00163957" w:rsidP="00163957">
      <w:pPr>
        <w:pStyle w:val="TextoNormal"/>
      </w:pPr>
      <w:r>
        <w:t>Para dar por concluso este Voto particular, y aunque sea aceptando a efectos puramente dialécticos la lógica de la resolución adoptada mayoritariamente, no me resisto a destacar, incluso, mi oposición al juicio de proporcionalidad que se efectúa. Por dos razones particularmente evidentes: i) porque al triple juicio que anuncia el penúltimo párrafo del fundamento jurídico 5 (idoneidad, necesidad y equilibrio) se antepone de manera anómala un nuevo juicio en el último párrafo (de justificación), generando una inmediata confusión sobre el único canon que la propia resolución maneja; ii) porque el juicio de necesidad que se efectúa muestra la incoherencia última del pronunciamiento, ya que acredita que ni la medida era la menos invasiva de las posibles (pues era menos agresiva para los derechos fundamentales del art. 18 CE, e igualmente eficaz para controlar la actividad laboral, que la grabación se hubiera llevado a cabo con información del fin laboral al que se procuraba), ni su verdadero fin era realmente el asegurar el cumplimiento de la actividad laboral, sino, por expresarlo en sus propias palabras, obtener “prueba de las irregularidades” (FJ 5, in fine). Todo este innecesario y deficiente embrollo, de seguro, solo puede comprenderse al constatar que, a fin de cuentas, el debate, que se dice de constitucionalidad, desemboca en un pretendido derecho a obtener pruebas para efectuar un despido con fundamento en el art. 20.3 LET y, por tanto, en los derechos a la propiedad y a la libertad de empresa (arts. 33 y 38 CE), objetivo éste, sin embargo, que se logra a costa de la restricción de los derechos fundamentales del trabajador.</w:t>
      </w:r>
    </w:p>
    <w:p w:rsidR="00163957" w:rsidRDefault="00163957" w:rsidP="00163957">
      <w:pPr>
        <w:pStyle w:val="TextoNormal"/>
      </w:pPr>
    </w:p>
    <w:p w:rsidR="00163957" w:rsidRDefault="00163957" w:rsidP="00163957">
      <w:pPr>
        <w:pStyle w:val="TextoNormal"/>
      </w:pPr>
      <w:r>
        <w:t>En tal sentido formulo el presente Voto particular.</w:t>
      </w:r>
    </w:p>
    <w:p w:rsidR="00163957" w:rsidRDefault="00163957" w:rsidP="00163957">
      <w:pPr>
        <w:pStyle w:val="TextoNormal"/>
      </w:pPr>
    </w:p>
    <w:p w:rsidR="00163957" w:rsidRDefault="00163957" w:rsidP="00163957">
      <w:pPr>
        <w:pStyle w:val="TextoNormal"/>
      </w:pPr>
      <w:r>
        <w:t>Madrid, a tres de marzo de dos mil dieciséis.</w:t>
      </w:r>
    </w:p>
    <w:p w:rsidR="00163957" w:rsidRDefault="00163957" w:rsidP="00163957">
      <w:pPr>
        <w:pStyle w:val="TextoNormal"/>
      </w:pPr>
    </w:p>
    <w:p w:rsidR="00163957" w:rsidRDefault="00163957" w:rsidP="00163957">
      <w:pPr>
        <w:pStyle w:val="TextoNormalNegritaCentrado"/>
        <w:keepNext/>
      </w:pPr>
      <w:r>
        <w:lastRenderedPageBreak/>
        <w:t>Voto particular que formula el Magistrado don Juan Antonio Xiol Ríos a la Sentencia dictada en el recurso de amparo avocado por el Pleno del Tribunal número 7222-2013.</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en la que se sustenta la Sentencia, manifiesto mi discrepancia con la fundamentación jurídica y con el fallo, que, en mi opinión, hubiera debido ser estimatorio.</w:t>
      </w:r>
    </w:p>
    <w:p w:rsidR="00163957" w:rsidRDefault="00163957" w:rsidP="00163957">
      <w:pPr>
        <w:pStyle w:val="TextoNormal"/>
      </w:pPr>
    </w:p>
    <w:p w:rsidR="00163957" w:rsidRDefault="00163957" w:rsidP="00163957">
      <w:pPr>
        <w:pStyle w:val="TextoNormal"/>
      </w:pPr>
      <w:r>
        <w:t>Comparto sustancialmente el contenido del Voto particular que formula el Magistrado don Fernando Valdés Dal-Ré a la Sentencia, aunque creo útil que mi adhesión vaya acompañada de algunas matizaciones.</w:t>
      </w:r>
    </w:p>
    <w:p w:rsidR="00163957" w:rsidRDefault="00163957" w:rsidP="00163957">
      <w:pPr>
        <w:pStyle w:val="TextoNormal"/>
      </w:pPr>
    </w:p>
    <w:p w:rsidR="00163957" w:rsidRDefault="00163957" w:rsidP="00163957">
      <w:pPr>
        <w:pStyle w:val="TextoNormal"/>
      </w:pPr>
      <w:r>
        <w:t>1. La sentencia admite que en el marco de la relación laboral existe el deber de información que establece el artículo 5 de la Ley Orgánica de protección de datos de carácter personal respecto de la instalación de una cámara situada en el lugar donde se desarrolla la prestación laboral enfocando directamente a la caja registradora ante la sospecha de que algún trabajador se está apropiando de dinero.</w:t>
      </w:r>
    </w:p>
    <w:p w:rsidR="00163957" w:rsidRDefault="00163957" w:rsidP="00163957">
      <w:pPr>
        <w:pStyle w:val="TextoNormal"/>
      </w:pPr>
    </w:p>
    <w:p w:rsidR="00163957" w:rsidRDefault="00163957" w:rsidP="00163957">
      <w:pPr>
        <w:pStyle w:val="TextoNormal"/>
      </w:pPr>
      <w:r>
        <w:t>La cuestión radica en (i) si esta información debe suministrarse a los trabajadores especificando el fin de control de cumplimiento de la relación laboral; o (ii) si, como entiende la opinión en que se funda la sentencia, el deber de información se cumple suficientemente mediante un anuncio hecho al público sobre la existencia de cámaras de seguridad en el establecimiento.</w:t>
      </w:r>
    </w:p>
    <w:p w:rsidR="00163957" w:rsidRDefault="00163957" w:rsidP="00163957">
      <w:pPr>
        <w:pStyle w:val="TextoNormal"/>
      </w:pPr>
    </w:p>
    <w:p w:rsidR="00163957" w:rsidRDefault="00163957" w:rsidP="00163957">
      <w:pPr>
        <w:pStyle w:val="TextoNormal"/>
      </w:pPr>
      <w:r>
        <w:t>2. Discrepo de la opción ‘ii’ por las siguientes razones:</w:t>
      </w:r>
    </w:p>
    <w:p w:rsidR="00163957" w:rsidRDefault="00163957" w:rsidP="00163957">
      <w:pPr>
        <w:pStyle w:val="TextoNormal"/>
      </w:pPr>
    </w:p>
    <w:p w:rsidR="00163957" w:rsidRDefault="00163957" w:rsidP="00163957">
      <w:pPr>
        <w:pStyle w:val="TextoNormal"/>
      </w:pPr>
      <w:r>
        <w:t>a) La STC 29/2013 establece la doctrina de que el deber de información vinculado a la instalación de cámaras de vigilancia en el establecimiento laboral debe ir acompañada de información a los trabajadores sobre la finalidad de control de la actividad laboral. La sentencia a la que se refiere este voto no se atiene a esta jurisprudencia.</w:t>
      </w:r>
    </w:p>
    <w:p w:rsidR="00163957" w:rsidRDefault="00163957" w:rsidP="00163957">
      <w:pPr>
        <w:pStyle w:val="TextoNormal"/>
      </w:pPr>
    </w:p>
    <w:p w:rsidR="00163957" w:rsidRDefault="00163957" w:rsidP="00163957">
      <w:pPr>
        <w:pStyle w:val="TextoNormal"/>
      </w:pPr>
      <w:r>
        <w:t>b) Los precedentes del Tribunal citados como concluyentes (especialmente la STC 292/2000, de 30 noviembre) no son suficientes para justificar la postura de la Sentencia, pues se refieren a supuestos de hallazgo casual por las videocámaras instaladas legalmente por razones de seguridad, mientras que en el presente caso se trata de una cámara dirigida específicamente a posiciones que ocupan los trabajadores para investigar determinados hechos.</w:t>
      </w:r>
    </w:p>
    <w:p w:rsidR="00163957" w:rsidRDefault="00163957" w:rsidP="00163957">
      <w:pPr>
        <w:pStyle w:val="TextoNormal"/>
      </w:pPr>
    </w:p>
    <w:p w:rsidR="00163957" w:rsidRDefault="00163957" w:rsidP="00163957">
      <w:pPr>
        <w:pStyle w:val="TextoNormal"/>
      </w:pPr>
      <w:r>
        <w:t>c) Otra razón por la que los expresados precedentes son insuficientes radica en que tienen una antigüedad mayor de 15 años, periodo en el que se ha producido una evolución notable en el ámbito del derecho a la protección de datos. Entre otras circunstancias, se han dictado en el interregno las SSTEDH de 28 de enero de 2003, Peck c. Reino Unido, y 17 de julio de 2003, Perry c. Reino Unido, capitales en la materia. El tiempo transcurrido se refleja, entre otros aspectos, en el hecho de que los amparos resueltos entonces no se fundaban en el derecho a la protección de datos, sino, más primariamente, en el derecho a la intimidad.</w:t>
      </w:r>
    </w:p>
    <w:p w:rsidR="00163957" w:rsidRDefault="00163957" w:rsidP="00163957">
      <w:pPr>
        <w:pStyle w:val="TextoNormal"/>
      </w:pPr>
    </w:p>
    <w:p w:rsidR="00163957" w:rsidRDefault="00163957" w:rsidP="00163957">
      <w:pPr>
        <w:pStyle w:val="TextoNormal"/>
      </w:pPr>
      <w:r>
        <w:t xml:space="preserve">d) Puedo aceptar que no es necesario que la información dirigida a los trabajadores especifique el fin concreto de vigilancia, puesto que esto va implícito en la comunicación </w:t>
      </w:r>
      <w:r>
        <w:lastRenderedPageBreak/>
        <w:t>dirigida a ellos, pero no puedo aceptar que la información dirigida al público sea suficiente para cumplir este requisito, puesto que el art. 5 de la Ley Orgánica de protección de datos de carácter personal ordena específicamente que la información se dirija a los interesados, configurando con ello el contenido esencial del derecho, que en el ámbito laboral debe entenderse referido a los trabajadores (no me parecen eficaces los esfuerzos de alguna doctrina para demostrar que este aspecto pertenece a un ámbito de la legalidad ordinaria ajeno a la CE).</w:t>
      </w:r>
    </w:p>
    <w:p w:rsidR="00163957" w:rsidRDefault="00163957" w:rsidP="00163957">
      <w:pPr>
        <w:pStyle w:val="TextoNormal"/>
      </w:pPr>
    </w:p>
    <w:p w:rsidR="00163957" w:rsidRDefault="00163957" w:rsidP="00163957">
      <w:pPr>
        <w:pStyle w:val="TextoNormal"/>
      </w:pPr>
      <w:r>
        <w:t>e) Estaría dispuesto, dentro de ciertos límites, a reconsiderar la jurisprudencia sentada en la STC 29/2013 sobre el hallazgo casual, en paralelo con la evolución de la jurisprudencia penal sobre la materia; pero me parece que la omisión de toda información a los trabajadores sobre la existencia de cámaras específicamente orientadas a sus posiciones plantea un supuesto enteramente diferente: supone una lesión del derecho fundamental que afecta a su contenido esencial, cualquiera que sea el método esencialista o de ponderación que se utilice para determinar su contenido y la concepción, conflictivista o armonizadora, que se abrigue sobre la relación de trabajo.</w:t>
      </w:r>
    </w:p>
    <w:p w:rsidR="00163957" w:rsidRDefault="00163957" w:rsidP="00163957">
      <w:pPr>
        <w:pStyle w:val="TextoNormal"/>
      </w:pPr>
    </w:p>
    <w:p w:rsidR="00163957" w:rsidRDefault="00163957" w:rsidP="00163957">
      <w:pPr>
        <w:pStyle w:val="TextoNormal"/>
      </w:pPr>
      <w:r>
        <w:t>f) Aplicando el método de ponderación que utiliza la sentencia incluso hubiera estado dispuesto a considerar, al margen de más detallados tecnicismos, si podría justificarse que la instalación de la cámara se notificase únicamente al comité de empresa para evitar la frustración de la vigilancia (en la línea, por ejemplo, de la Sentencia del Tribunal Superior de Justicia de la Comunidad de Madrid de 9 de febrero de 2015, FJ 4). Considero, sin embargo, que dinamita el contenido esencial del derecho fundamental a la protección de datos (pues lo hace ineficaz, carente de todo sentido práctico e irreconocible) admitir, como al parecer defiende la opinión en que se funda la sentencia, que el empresario, ante cualquier sospecha que pueda abrigar, está autorizado por la Constitución a instalar libremente (siempre que en el entorno haya un aviso al público sobre la existencia de cámaras de seguridad) cámaras para el control del trabajo orientadas a seleccionar en primer plano determinadas posiciones ocupadas por los trabajadores. La opinión de la que discrepo equipara así el supuesto de cámaras instaladas para una concreta vigilancia de determinado trabajador o trabajadores ante la sospecha de actos ilícitos, al del hallazgo casual por las cámaras de vigilancia al público, que es el supuesto considerado en alguno de los precedentes que cita.</w:t>
      </w:r>
    </w:p>
    <w:p w:rsidR="00163957" w:rsidRDefault="00163957" w:rsidP="00163957">
      <w:pPr>
        <w:pStyle w:val="TextoNormal"/>
      </w:pPr>
    </w:p>
    <w:p w:rsidR="00163957" w:rsidRDefault="00163957" w:rsidP="00163957">
      <w:pPr>
        <w:pStyle w:val="TextoNormal"/>
      </w:pPr>
      <w:r>
        <w:t>3. Finalmente, quiero hacer constar que, en aras de la búsqueda del consenso que según ciertos autores con autoridad en materia epistemológica (por ejemplo, Nino) constituye un procedimiento adecuado para hallar la verdad (cuando menos si se mantiene una actitud pragmática ante el Derecho en el sentido de Toulmin), ofrecí en la deliberación que el fallo estimatorio (que a juicio de varios de nosotros era ineludible) fuera acompañado del mantenimiento de las sentencias que dieron lugar al recurso de amparo, habida cuenta de que tanto en primera instancia como en suplicación se hace constar por los respectivos tribunales que existen otros elementos de prueba independientes de la videovigilancia suficientes para entender probados los hechos que dieron lugar al despido.</w:t>
      </w:r>
    </w:p>
    <w:p w:rsidR="00163957" w:rsidRDefault="00163957" w:rsidP="00163957">
      <w:pPr>
        <w:pStyle w:val="TextoNormal"/>
      </w:pPr>
    </w:p>
    <w:p w:rsidR="00163957" w:rsidRDefault="00163957" w:rsidP="00163957">
      <w:pPr>
        <w:pStyle w:val="TextoNormal"/>
      </w:pPr>
      <w:r>
        <w:t>No puedo sino lamentar haber sido vencido sin que esta propuesta fuera siquiera considerada.</w:t>
      </w:r>
    </w:p>
    <w:p w:rsidR="00163957" w:rsidRDefault="00163957" w:rsidP="00163957">
      <w:pPr>
        <w:pStyle w:val="TextoNormal"/>
      </w:pPr>
    </w:p>
    <w:p w:rsidR="00163957" w:rsidRDefault="00163957" w:rsidP="00163957">
      <w:pPr>
        <w:pStyle w:val="TextoNormal"/>
      </w:pPr>
      <w:r>
        <w:t>Madrid, a tres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43" w:name="SENTENCIA_2016_40"/>
      <w:r>
        <w:lastRenderedPageBreak/>
        <w:t>SENTENCIA 40/2016, de 3 de marzo de 2016</w:t>
      </w:r>
    </w:p>
    <w:bookmarkEnd w:id="43"/>
    <w:p w:rsidR="00163957" w:rsidRDefault="00163957" w:rsidP="00163957">
      <w:pPr>
        <w:pStyle w:val="TtuloResolucin"/>
      </w:pPr>
      <w:r>
        <w:t>Pleno</w:t>
      </w:r>
    </w:p>
    <w:p w:rsidR="00163957" w:rsidRDefault="00163957" w:rsidP="00163957">
      <w:pPr>
        <w:pStyle w:val="TtuloBOE"/>
      </w:pPr>
      <w:r>
        <w:t>(BOE núm. 85, de 8 de abril de 2016)</w:t>
      </w:r>
    </w:p>
    <w:p w:rsidR="00163957" w:rsidRDefault="00163957" w:rsidP="00163957">
      <w:pPr>
        <w:pStyle w:val="TextoNormalCentrado"/>
      </w:pPr>
      <w:r>
        <w:t>ECLI:ES:TC:2016:40</w:t>
      </w:r>
    </w:p>
    <w:p w:rsidR="00163957" w:rsidRDefault="00163957" w:rsidP="00163957">
      <w:pPr>
        <w:pStyle w:val="TextoNormalCentrado"/>
      </w:pPr>
    </w:p>
    <w:p w:rsidR="00163957" w:rsidRDefault="00163957" w:rsidP="00163957">
      <w:pPr>
        <w:pStyle w:val="SntesisDescriptiva"/>
      </w:pPr>
      <w:r>
        <w:t>Recurso de inconstitucionalidad 1233-2014. Interpuesto por la Defensora del Pueblo en relación con varios preceptos del Real Decreto-ley 14/2013, de 29 de noviembre, de medidas urgentes para la adaptación del derecho español a la normativa de la Unión Europea en materia de supervisión y solvencia de entidades financieras.</w:t>
      </w:r>
    </w:p>
    <w:p w:rsidR="00163957" w:rsidRDefault="00163957" w:rsidP="00163957">
      <w:pPr>
        <w:pStyle w:val="SntesisDescriptiva"/>
      </w:pPr>
    </w:p>
    <w:p w:rsidR="00163957" w:rsidRDefault="00163957" w:rsidP="00163957">
      <w:pPr>
        <w:pStyle w:val="SntesisAnaltica"/>
      </w:pPr>
      <w:r>
        <w:t>Principio de pluralismo, derecho a la participación política y autonomía local: extinción del recurso de inconstitucionalidad por derogación de la norma con rango de ley impugnada.</w:t>
      </w:r>
    </w:p>
    <w:p w:rsidR="00163957" w:rsidRDefault="00163957" w:rsidP="00163957">
      <w:pPr>
        <w:pStyle w:val="SntesisAnaltica"/>
      </w:pPr>
    </w:p>
    <w:p w:rsidR="00163957" w:rsidRDefault="00163957" w:rsidP="00163957">
      <w:pPr>
        <w:pStyle w:val="Extracto"/>
      </w:pPr>
      <w:r>
        <w:t>1.</w:t>
      </w:r>
      <w:r>
        <w:tab/>
        <w:t>No es posible que dos normas que regulen idéntico objeto de forma distinta estén en vigor a un mismo tiempo, por ello procede declarar que la ley posterior ha derogado a la anterior [FJ 2].</w:t>
      </w:r>
    </w:p>
    <w:p w:rsidR="00163957" w:rsidRDefault="00163957" w:rsidP="00163957">
      <w:pPr>
        <w:pStyle w:val="Extracto"/>
      </w:pPr>
    </w:p>
    <w:p w:rsidR="00163957" w:rsidRDefault="00163957" w:rsidP="00163957">
      <w:pPr>
        <w:pStyle w:val="Extracto"/>
      </w:pPr>
      <w:r>
        <w:t>2.</w:t>
      </w:r>
      <w:r>
        <w:tab/>
        <w:t>La pérdida sobrevenida de la vigencia del precepto legal impugnado a través de un recurso de inconstitucionalidad habrá de ser tenida en cuenta por este Tribunal para apreciar si la misma conlleva la exclusión de toda la aplicabilidad de la Ley (STC 230/2015) [FJ 3].</w:t>
      </w:r>
    </w:p>
    <w:p w:rsidR="00163957" w:rsidRDefault="00163957" w:rsidP="00163957">
      <w:pPr>
        <w:pStyle w:val="Extracto"/>
      </w:pPr>
    </w:p>
    <w:p w:rsidR="00163957" w:rsidRDefault="00163957" w:rsidP="00163957">
      <w:pPr>
        <w:pStyle w:val="Extracto"/>
      </w:pPr>
      <w:r>
        <w:t>3.</w:t>
      </w:r>
      <w:r>
        <w:tab/>
        <w:t>Si la norma en relación con la cual se trabó el conflicto es sustituida por otra que viene a plantear en esencia los mismos problemas competenciales la doctrina de este Tribunal avala la conclusión de la no desaparición del objeto del conflicto (SSTC 128/1999; 27/2015) [FJ 3].</w:t>
      </w:r>
    </w:p>
    <w:p w:rsidR="00163957" w:rsidRDefault="00163957" w:rsidP="00163957">
      <w:pPr>
        <w:pStyle w:val="Extracto"/>
      </w:pPr>
    </w:p>
    <w:p w:rsidR="00163957" w:rsidRDefault="00163957" w:rsidP="00163957">
      <w:pPr>
        <w:pStyle w:val="Extracto"/>
      </w:pPr>
      <w:r>
        <w:t>4.</w:t>
      </w:r>
      <w:r>
        <w:tab/>
        <w:t>El Tribunal Constitucional debe controlar si concurren los requisitos del presupuesto habilitante, a fin de velar por el recto ejercicio de la potestad de dictar decretos-leyes dentro del marco constitucional y decidiendo la validez o invalidez de las normas impugnadas, sin atender a su vigencia o derogación en el momento en que se pronuncia el fallo (SSTC 31/2011; 27/2015)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el recurso de inconstitucionalidad núm. 1233-2014 interpuesto por la Defensora del Pueblo contra los apartados 2 y 3 de la disposición adicional tercera del Real Decreto-ley 14/2013, de 29 de noviembre, de medidas urgentes para la adaptación del derecho español a la normativa de la Unión Europea en materia de supervisión y solvencia de entidades financieras. Ha comparecido y formulado alegaciones el Gobierno de la Nación. Ha sido Ponente el Magistrado don Juan José González Rivas,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el Registro General de este Tribunal el día 28 de febrero de 2014, la Defensora del Pueblo interpuso recurso de inconstitucionalidad contra los apartados 2 y 3 de la disposición adicional tercera del Real Decreto-ley 14/2013, de 29 de noviembre, de medidas urgentes para la adaptación del derecho español a la normativa de la Unión Europea en materia de supervisión y solvencia de entidades financieras (“BOE” de 30 de noviembre de 2013), por entender que vulneran los arts. 1.1, 23, 137 y 140 CE.</w:t>
      </w:r>
    </w:p>
    <w:p w:rsidR="00163957" w:rsidRDefault="00163957" w:rsidP="00163957">
      <w:pPr>
        <w:pStyle w:val="TextoNormal"/>
      </w:pPr>
    </w:p>
    <w:p w:rsidR="00163957" w:rsidRDefault="00163957" w:rsidP="00163957">
      <w:pPr>
        <w:pStyle w:val="TextoNormal"/>
      </w:pPr>
      <w:r>
        <w:t>Los apartados impugnados de la citada disposición adicional tercera establecen lo siguiente:</w:t>
      </w:r>
    </w:p>
    <w:p w:rsidR="00163957" w:rsidRDefault="00163957" w:rsidP="00163957">
      <w:pPr>
        <w:pStyle w:val="TextoNormal"/>
      </w:pPr>
    </w:p>
    <w:p w:rsidR="00163957" w:rsidRDefault="00163957" w:rsidP="00163957">
      <w:pPr>
        <w:pStyle w:val="TextoNormal"/>
      </w:pPr>
      <w:r>
        <w:t>“2. Cuando siendo competencia del Pleno de la Corporación Local éste no alcanzara, en una primera votación, la mayoría necesaria para presentar la solicitud de acogerse a determinadas medidas, aprobar el plan de ajuste o aprobar alguna de las medidas incluidas en dicho plan de ajuste a las que se refiere el Real Decreto-ley 8/2013, de 28 de junio, la Junta de Gobierno Local asumirá esta competencia. La Junta de Gobierno Local dará cuenta al Pleno, en la primera sesión que se celebre con posterioridad a la presentación de la mencionada solicitud, de la aprobación del plan de ajuste o de alguna de las medidas en él incluidas.</w:t>
      </w:r>
    </w:p>
    <w:p w:rsidR="00163957" w:rsidRDefault="00163957" w:rsidP="00163957">
      <w:pPr>
        <w:pStyle w:val="TextoNormal"/>
      </w:pPr>
    </w:p>
    <w:p w:rsidR="00163957" w:rsidRDefault="00163957" w:rsidP="00163957">
      <w:pPr>
        <w:pStyle w:val="TextoNormal"/>
      </w:pPr>
      <w:r>
        <w:t>3. En los casos en los que no exista Junta de Gobierno Local, por concurrir las circunstancias a las que se refiere el artículo 20.1 de la Ley 7/1985, de 2 de abril, Reguladora de las Bases del Régimen Local, las decisiones mencionadas en el apartado anterior corresponderán al Alcalde.”</w:t>
      </w:r>
    </w:p>
    <w:p w:rsidR="00163957" w:rsidRDefault="00163957" w:rsidP="00163957">
      <w:pPr>
        <w:pStyle w:val="TextoNormal"/>
      </w:pPr>
    </w:p>
    <w:p w:rsidR="00163957" w:rsidRDefault="00163957" w:rsidP="00163957">
      <w:pPr>
        <w:pStyle w:val="TextoNormal"/>
      </w:pPr>
      <w:r>
        <w:t>En el escrito de recurso la Defensora del Pueblo, tras reproducir la disposición adicional parcialmente impugnada, comienza afirmando que “considera inconstitucional la sustitución del Pleno por la Junta de Gobierno o por el Alcalde tras no alcanzarse en una primera votación plenaria la mayoría necesaria para tomar una decisión vital para la administración municipal”, al entender que tal previsión vulnera el art. 1.1 CE en el que se recoge que “España se constituye en un Estado social y democrático de Derecho”; el art 23.1 CE, que garantiza el derecho de los ciudadanos “a participar en los asuntos públicos, directamente o por medio de representantes, libremente elegidos en elecciones periódicas por sufragio universal”; y los arts. 137 y 140 CE, de los que se desprende, según afirma: “que el Estado se organiza territorialmente en municipios, en provincias y en las Comunidades Autónomas que se constituyan. Todas estas entidades gozan de autonomía para la gestión de sus respectivos intereses. La Constitución garantiza la autonomía de los municipios”.</w:t>
      </w:r>
    </w:p>
    <w:p w:rsidR="00163957" w:rsidRDefault="00163957" w:rsidP="00163957">
      <w:pPr>
        <w:pStyle w:val="TextoNormal"/>
      </w:pPr>
    </w:p>
    <w:p w:rsidR="00163957" w:rsidRDefault="00163957" w:rsidP="00163957">
      <w:pPr>
        <w:pStyle w:val="TextoNormal"/>
      </w:pPr>
      <w:r>
        <w:lastRenderedPageBreak/>
        <w:t>Tras sintetizar en los términos expuestos el objeto del recurso, la Defensora del Pueblo desarrolla en torno a tres ejes la argumentación dirigida a fundamentar su queja:</w:t>
      </w:r>
    </w:p>
    <w:p w:rsidR="00163957" w:rsidRDefault="00163957" w:rsidP="00163957">
      <w:pPr>
        <w:pStyle w:val="TextoNormal"/>
      </w:pPr>
    </w:p>
    <w:p w:rsidR="00163957" w:rsidRDefault="00163957" w:rsidP="00163957">
      <w:pPr>
        <w:pStyle w:val="TextoNormal"/>
      </w:pPr>
      <w:r>
        <w:t>a) En primer lugar, sostiene que la disposición adicional tercera del Real Decreto-ley 14/2013, de 29 de noviembre, hace uso de una técnica de sustitución orgánica en el seno de la misma Administración que excede los límites que se deducen de los preceptos constitucionales citados, pues el respeto a la regla de la mayoría, lejos de ser un “obstáculo”, es un requisito sin el cual la decisión no es válida. En consecuencia, la disposición desautoriza la gestión democrática de los municipios al sustituir la decisión del pleno por la de la junta de gobierno o, en su caso, por la del alcalde, cuando no se alcance “en una primera votación la mayoría necesaria” para tomar una decisión acorde con lo propuesto, pues una decisión del Pleno municipal, consistente en no aprobar la presentación de la solicitud de acogerse a determinadas medidas de ajuste previstas en el Real Decreto-ley 8/2013, es “desplazada” por los preceptos recurridos a favor de la junta de gobierno local, órgano que, según afirma la Defensora del Pueblo, no tienen la misma legitimidad democrática que la previamente tomada por el pleno. Es precisamente su menor legitimidad democrática la que justifica, a juicio de la recurrente, que las atribuciones presupuestarias de la junta de gobierno local y del alcalde tengan que ser ejecutivas, no decisorias, pues es al Pleno a quien compete la aprobación y modificación de los presupuestos y la disposición de gastos en materia de su competencia [art. 22.2.</w:t>
      </w:r>
      <w:r w:rsidRPr="00163957">
        <w:rPr>
          <w:i/>
        </w:rPr>
        <w:t>e</w:t>
      </w:r>
      <w:r>
        <w:t xml:space="preserve"> de la Ley reguladora de las bases de régimen local (LBRL)].</w:t>
      </w:r>
    </w:p>
    <w:p w:rsidR="00163957" w:rsidRDefault="00163957" w:rsidP="00163957">
      <w:pPr>
        <w:pStyle w:val="TextoNormal"/>
      </w:pPr>
    </w:p>
    <w:p w:rsidR="00163957" w:rsidRDefault="00163957" w:rsidP="00163957">
      <w:pPr>
        <w:pStyle w:val="TextoNormal"/>
      </w:pPr>
      <w:r>
        <w:t>b) En segundo término la Defensora del Pueblo expone que con el Real Decreto-ley 8/2013, de 28 de junio, de medidas urgentes contra la morosidad de las administraciones públicas y de apoyo a entidades locales con problemas financieros (del que trae causa la disposición adicional tercera del Real Decreto-ley 14/2013, de 29 de noviembre, cuyos dos últimos apartados hoy se impugnan), pone en marcha una nueva fase del mecanismo de financiación para el pago a los proveedores (Real Decreto-ley 4/2012, Real Decreto-ley 7/2012, Real Decreto-ley 4/2013 y acuerdo del Consejo de Política Fiscal y Financiera de 6 de marzo de 2012), teniendo especial importancia, a efectos del presente recurso, el contenido del art. 18 del citado Real Decreto-ley 8/2013, en el que se establecen las especialidades del plan de ajuste municipal y en el que se fijan límites de deuda y plazos de pago a proveedores, esto es, entiende la recurrente, ajustes en ingresos y gastos para garantizar la estabilidad presupuestaria, así como la distribución de previsiones sobre el origen y aplicación de los fondos destinados a atender los intereses públicos que cada municipio tiene encomendado, materias que, a su juicio, sólo pueden ser decididas por el pleno o de acuerdo con él.</w:t>
      </w:r>
    </w:p>
    <w:p w:rsidR="00163957" w:rsidRDefault="00163957" w:rsidP="00163957">
      <w:pPr>
        <w:pStyle w:val="TextoNormal"/>
      </w:pPr>
    </w:p>
    <w:p w:rsidR="00163957" w:rsidRDefault="00163957" w:rsidP="00163957">
      <w:pPr>
        <w:pStyle w:val="TextoNormal"/>
      </w:pPr>
      <w:r>
        <w:t xml:space="preserve">c) En conclusión, la Defensora del Pueblo sostiene que los apartados 2 y 3 de la disposición adicional impugnada restringen el campo de decisión de una asamblea representativa, no sólo atribuyendo a otro órgano de legitimación democrática menor la potestad de decidir sobre asuntos decisivos referidos a los ciudadanos representados, sino además invalidando </w:t>
      </w:r>
      <w:r w:rsidRPr="00163957">
        <w:rPr>
          <w:i/>
        </w:rPr>
        <w:t>ope legis</w:t>
      </w:r>
      <w:r>
        <w:t xml:space="preserve"> una decisión ya tomada por la asamblea representativa de los vecinos, consistente en la negativa a presentar la solicitud para acogerse a determinadas medidas de ajuste, lo que, además de vulnerar lo previsto en los arts. 1.1 y 23 CE, también supone una violación del principio de autonomía local garantizada en los arts. 137 y 140 CE, toda vez que, según la recurrente “la aprobación del presupuesto y sus modificaciones es del Pleno municipal, expresión económica de la autonomía local”, atribución que no puede ser trasferida a la </w:t>
      </w:r>
      <w:r>
        <w:lastRenderedPageBreak/>
        <w:t>junta de gobierno o al alcalde invocando exigencias de equilibrio presupuestario o viabilidad financiera.</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8 de abril de 2014 el Pleno del Tribunal Constitucional, a propuesta de la Sección Tercera, acordó admitir a trámite el recurso de inconstitucionalidad promovido por la Defensora del Pueblo contra los apartados 2 y 3 de la disposición adicional tercera del Real Decreto-ley 14/2013, de 29 de noviembre, de medidas urgentes para la adaptación del derecho español a la normativa de la Unión Europea en materia de supervisión y solvencia de entidades financieras; dar traslado de la demanda y documentos presentados, conforme establece el art. 34 de la Ley Orgánica del Tribunal Constitucional (LOTC), al Congreso de los Diputados y al Senado, por conducto de sus Presidentes, así como al Gobierno, a través del Ministro de Justicia, al objeto de que, en el plazo de quince días, puedan personarse en el proceso y formular las alegaciones que estimaren convenientes; y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El Abogado del Estado, mediante escrito registrado el 15 de abril de 2014, se personó en el recurso en nombre del Gobierno y solicitó una prórroga del plazo otorgado para formalizar el escrito de alegaciones.</w:t>
      </w:r>
    </w:p>
    <w:p w:rsidR="00163957" w:rsidRDefault="00163957" w:rsidP="00163957">
      <w:pPr>
        <w:pStyle w:val="TextoNormal"/>
      </w:pPr>
    </w:p>
    <w:p w:rsidR="00163957" w:rsidRDefault="00163957" w:rsidP="00163957">
      <w:pPr>
        <w:pStyle w:val="TextoNormal"/>
      </w:pPr>
      <w:r>
        <w:t>Por providencia de 22 de abril de 2014 el Pleno acordó incorporar a las actuaciones el escrito del Abogado del Estado, tenerlo por personado en la representación que ostenta y otorgarle una prórroga de ocho días respecto al plazo concedido por providencia de 8 de abril de 2011, a contar desde el siguiente al de expiración del plazo ordinario.</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escrito registrado el día 23 de abril de 2014, el Presidente del Senado comunicó a este Tribunal el acuerdo de la Mesa de la Cámara en el sentido de darse por personada en el proceso, ofreciendo su colaboración a los efectos del art. 88.1 LOTC. Idéntica comunicación efectuó el Presidente del Congreso de los Diputados el 25 de abril de 2014.</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el 20 de mayo de 2014 el Abogado del Estado solicitó la desestimación del recurso.</w:t>
      </w:r>
    </w:p>
    <w:p w:rsidR="00163957" w:rsidRDefault="00163957" w:rsidP="00163957">
      <w:pPr>
        <w:pStyle w:val="TextoNormal"/>
      </w:pPr>
    </w:p>
    <w:p w:rsidR="00163957" w:rsidRDefault="00163957" w:rsidP="00163957">
      <w:pPr>
        <w:pStyle w:val="TextoNormal"/>
      </w:pPr>
      <w:r>
        <w:t>En su escrito de alegaciones el Abogado del Estado comienza exponiendo que el Real Decreto-ley 14/2013, de 29 de noviembre, en el que se recoge la disposición objeto de impugnación, complementa las previsiones del Real Decreto-ley 8/2013, de 28 de junio, de medidas urgentes contra la morosidad de las administraciones públicas y de apoyo a entidades locales con problemas financieros, que prevé un conjunto de medidas extraordinarias a las que pueden acogerse los municipios que se encuentran en una situación financiera muy negativa, esto es, municipios alejados del equilibrio presupuestario al que se refiere el artículo 135 CE.</w:t>
      </w:r>
    </w:p>
    <w:p w:rsidR="00163957" w:rsidRDefault="00163957" w:rsidP="00163957">
      <w:pPr>
        <w:pStyle w:val="TextoNormal"/>
      </w:pPr>
    </w:p>
    <w:p w:rsidR="00163957" w:rsidRDefault="00163957" w:rsidP="00163957">
      <w:pPr>
        <w:pStyle w:val="TextoNormal"/>
      </w:pPr>
      <w:r>
        <w:t xml:space="preserve">Para el Abogado del Estado el objetivo de la norma recurrida es evitar que problemas de mayorías o de gobernabilidad impidan resolver aquellas situaciones de crisis financiera, por lo que se posibilita que los acuerdos se adopten por junta de gobierno local o por el alcalde-presidente, siempre que exista un previo rechazo del Pleno de la corporación local, con la obligación explícita de que dichos órganos den cuenta al Pleno de sus decisiones. En este sentido, afirma que “no se está imponiendo ninguna actuación a los municipios, sino que se </w:t>
      </w:r>
      <w:r>
        <w:lastRenderedPageBreak/>
        <w:t>está posibilitando el desbloqueo de determinadas situaciones que impiden resolver desequilibrios financieros estructurales, y que tienen efectos contrarios al interés general de aquellas entidades”, añadiendo que la no adopción de medidas correctoras podría poner en marcha la obligación del Estado de adoptar las medidas coactivas previstas en el artículo 26 de la Ley Orgánica 2/2012, de 27 de abril, de estabilidad presupuestaria y sostenibilidad financiera, pudiendo incluso conducir a la disolución de los órganos de la corporación local.</w:t>
      </w:r>
    </w:p>
    <w:p w:rsidR="00163957" w:rsidRDefault="00163957" w:rsidP="00163957">
      <w:pPr>
        <w:pStyle w:val="TextoNormal"/>
      </w:pPr>
    </w:p>
    <w:p w:rsidR="00163957" w:rsidRDefault="00163957" w:rsidP="00163957">
      <w:pPr>
        <w:pStyle w:val="TextoNormal"/>
      </w:pPr>
      <w:r>
        <w:t>Aclara el Abogado del Estado que la disposición cuestionada se refiere a las medidas extraordinarias del título II del citado Real Decreto-ley 8/2013, pero no al mecanismo de pagos a proveedores, extremo que queda claro en el apartado II de la exposición de motivos del Real Decreto-ley 14/2013 y, por tanto, la norma se dicta para solucionar la demora en la necesaria y urgente formulación de un plan de ajuste, de contenido ciertamente complejo y técnico, que, en el contexto de los evidentes problemas financieros, precisa una decisión rápida. La solución prevista en la norma es realmente excepcional y pretende evitar los daños que la inacción inicial del pleno podría causar al interés municipal.</w:t>
      </w:r>
    </w:p>
    <w:p w:rsidR="00163957" w:rsidRDefault="00163957" w:rsidP="00163957">
      <w:pPr>
        <w:pStyle w:val="TextoNormal"/>
      </w:pPr>
    </w:p>
    <w:p w:rsidR="00163957" w:rsidRDefault="00163957" w:rsidP="00163957">
      <w:pPr>
        <w:pStyle w:val="TextoNormal"/>
      </w:pPr>
      <w:r>
        <w:t>Asimismo, el Abogado del Estado analiza la configuración jurídica de las juntas de gobierno local, concluyendo que se trata de órganos con legitimación democrática, cuya decisión puede ser objeto de control por el pleno, citando la STC 161/2013, que declaró conforme a la Constitución la delegación de importantes facultades del pleno del ayuntamiento a favor de la junta de gobierno, siempre que las sesiones de este órgano fueran públicas, interpretación que considera trasladable al caso que nos ocupa y que le lleva a afirmar que el acuerdo sobre un plan de ajuste no implica la asunción de atribuciones que sólo puede adoptar el pleno de la corporación, sino que, al contrario, la ley podría haber atribuido directamente tal competencia a las juntas de gobierno local sin incurrir en inconstitucionalidad, siempre que se dé cuenta al pleno.</w:t>
      </w:r>
    </w:p>
    <w:p w:rsidR="00163957" w:rsidRDefault="00163957" w:rsidP="00163957">
      <w:pPr>
        <w:pStyle w:val="TextoNormal"/>
      </w:pPr>
    </w:p>
    <w:p w:rsidR="00163957" w:rsidRDefault="00163957" w:rsidP="00163957">
      <w:pPr>
        <w:pStyle w:val="TextoNormal"/>
      </w:pPr>
      <w:r>
        <w:t>El Abogado del Estado concluye afirmando que la medida es claramente excepcional, se plantea exclusivamente en una situación de extrema necesidad y urgencia financiera para la entidad y como alternativa ante otras posibles que limitarían el gobierno local, por lo que no puede verse como una vulneración ni del art. 1.1 CE, ni del art. 23.2 CE, ni de la autonomía local (art. 140 CE), sino que se trata de una decisión legal necesaria, adecuada a la finalidad pretendida y proporcionada.</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providencia de uno de marzo, se señaló para deliberación y votación de la presente Sentencia el día 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presente proceso constitucional tiene por objeto resolver el recurso de inconstitucionalidad interpuesto por la Defensora del Pueblo contra los apartados 2 y 3 de la disposición adicional tercera del Real Decreto-ley 14/2013, de 29 de noviembre, de medidas urgentes para la adaptación del derecho español a la normativa de la Unión Europea en materia de supervisión y solvencia de entidades financieras, en los que se establece, como se ha reproducido literalmente en los antecedentes, que, caso de que el pleno de la corporación local no alcanzara en una primera votación la mayoría necesaria para presentar la solicitud </w:t>
      </w:r>
      <w:r>
        <w:lastRenderedPageBreak/>
        <w:t>de acogerse a determinadas medidas, aprobar el plan de ajuste o aprobar alguna de las medidas incluidas en dicho plan de ajuste, a las que se refiere el Real Decreto-ley 8/2013, de 28 de junio, la junta de gobierno local o, en su caso, el alcalde, asumirán esta atribución, dando cuenta al Pleno en la primera sesión posterior a la presentación de la solicitud de la aprobación del plan de ajuste o de alguna de las medidas en él incluidas.</w:t>
      </w:r>
    </w:p>
    <w:p w:rsidR="00163957" w:rsidRDefault="00163957" w:rsidP="00163957">
      <w:pPr>
        <w:pStyle w:val="TextoNormal"/>
      </w:pPr>
    </w:p>
    <w:p w:rsidR="00163957" w:rsidRDefault="00163957" w:rsidP="00163957">
      <w:pPr>
        <w:pStyle w:val="TextoNormal"/>
      </w:pPr>
      <w:r>
        <w:t>Conforme se ha expuesto con mayor detalle en los antecedentes, la Defensora del Pueblo considera inconstitucional la sustitución del pleno por la junta de gobierno o por el alcalde tras no alcanzarse en una primera votación plenaria la mayoría necesaria para presentar la solicitud de acogerse a las citadas medidas de ajuste, pues, a su juicio, tal previsión desautoriza la gestión democrática de los municipios al sustituir la decisión del pleno por otra tomada por un órgano con menor legitimidad democrática y que, según afirma, cuenta con atribuciones presupuestaria de carácter ejecutivo, pero no de naturaleza decisoria. En consecuencia, la recurrente sostiene que la disposición impugnada vulnera lo previsto en los arts. 1.1 y 23 CE, así como el principio de autonomía local garantizado en los arts. 137 y 140 CE, toda vez que la aprobación del presupuesto y sus modificaciones son atribuciones del pleno municipal, expresión económica de la autonomía local, que no pueden ser trasferidas a la junta de gobierno o al alcalde invocando exigencias de equilibrio presupuestario y viabilidad financiera.</w:t>
      </w:r>
    </w:p>
    <w:p w:rsidR="00163957" w:rsidRDefault="00163957" w:rsidP="00163957">
      <w:pPr>
        <w:pStyle w:val="TextoNormal"/>
      </w:pPr>
    </w:p>
    <w:p w:rsidR="00163957" w:rsidRDefault="00163957" w:rsidP="00163957">
      <w:pPr>
        <w:pStyle w:val="TextoNormal"/>
      </w:pPr>
      <w:r>
        <w:t>Por su parte el Abogado del Estado, en la representación que legalmente ostenta, interesa la desestimación del presente recurso de inconstitucionalidad argumentando, en síntesis, que el objetivo de la disposición adicional cuestionada es evitar que problemas de falta de mayoría necesaria y de gobernabilidad impidan resolver situaciones de crisis financiera de los municipios, añadiendo que la no adopción de medidas correctoras podría poner en marcha la obligación del Estado de adoptar las medidas coactivas previstas en el artículo 26 de la Ley Orgánica 2/2012, de 27 de abril, de estabilidad presupuestaria y sostenibilidad financiera, pudiendo incluso conducir a la disolución de los órganos de la corporación local, concluyendo que la medida es excepcional, se plantea en una situación de extrema necesidad y urgencia financiera para la entidad y como alternativa a otras posibles que limitarían con mayor intensidad la autonomía local, por lo que se trata de una decisión legal necesaria, adecuada a la finalidad pretendida y proporcionada, que no vulnera los preceptos constitucionales invocados por la recurrente.</w:t>
      </w:r>
    </w:p>
    <w:p w:rsidR="00163957" w:rsidRDefault="00163957" w:rsidP="00163957">
      <w:pPr>
        <w:pStyle w:val="TextoNormal"/>
      </w:pPr>
    </w:p>
    <w:p w:rsidR="00163957" w:rsidRDefault="00163957" w:rsidP="00163957">
      <w:pPr>
        <w:pStyle w:val="TextoNormal"/>
      </w:pPr>
      <w:r w:rsidRPr="00163957">
        <w:rPr>
          <w:rStyle w:val="NumeroAFNegritaCaracter"/>
        </w:rPr>
        <w:t>2</w:t>
      </w:r>
      <w:r>
        <w:t>. Expuestas las posiciones de las partes enfrentadas en el recurso, es preciso comenzar analizando la incidencia que sobre su objeto tiene la aprobación de ley 27/2013, de 27 de diciembre, de racionalización y sostenibilidad de la Administración local, cuyo art. 1, apartado 38, dispone:</w:t>
      </w:r>
    </w:p>
    <w:p w:rsidR="00163957" w:rsidRDefault="00163957" w:rsidP="00163957">
      <w:pPr>
        <w:pStyle w:val="TextoNormal"/>
      </w:pPr>
    </w:p>
    <w:p w:rsidR="00163957" w:rsidRDefault="00163957" w:rsidP="00163957">
      <w:pPr>
        <w:pStyle w:val="TextoNormal"/>
      </w:pPr>
      <w:r>
        <w:t>“Artículo primero. Modificación de la Ley 7/1985, de 2 de abril, reguladora de las Bases del Régimen Local.</w:t>
      </w:r>
    </w:p>
    <w:p w:rsidR="00163957" w:rsidRDefault="00163957" w:rsidP="00163957">
      <w:pPr>
        <w:pStyle w:val="TextoNormal"/>
      </w:pPr>
    </w:p>
    <w:p w:rsidR="00163957" w:rsidRDefault="00163957" w:rsidP="00163957">
      <w:pPr>
        <w:pStyle w:val="TextoNormal"/>
      </w:pPr>
      <w:r>
        <w:t>La Ley 7/1985, de 2 de abril, reguladora de las Bases del Régimen Local, queda como sigue:</w:t>
      </w:r>
    </w:p>
    <w:p w:rsidR="00163957" w:rsidRDefault="00163957" w:rsidP="00163957">
      <w:pPr>
        <w:pStyle w:val="TextoNormal"/>
      </w:pPr>
    </w:p>
    <w:p w:rsidR="00163957" w:rsidRDefault="00163957" w:rsidP="00163957">
      <w:pPr>
        <w:pStyle w:val="TextoNormal"/>
      </w:pPr>
      <w:r>
        <w:t>Treinta y ocho. Se incorpora una nueva disposición adicional decimosexta con la siguiente redacción:</w:t>
      </w:r>
    </w:p>
    <w:p w:rsidR="00163957" w:rsidRDefault="00163957" w:rsidP="00163957">
      <w:pPr>
        <w:pStyle w:val="TextoNormal"/>
      </w:pPr>
    </w:p>
    <w:p w:rsidR="00163957" w:rsidRDefault="00163957" w:rsidP="00163957">
      <w:pPr>
        <w:pStyle w:val="TextoNormal"/>
      </w:pPr>
      <w:r>
        <w:lastRenderedPageBreak/>
        <w:t>Disposición adicional decimosexta. Mayoría requerida para la adopción de acuerdos en las Corporaciones Locales.</w:t>
      </w:r>
    </w:p>
    <w:p w:rsidR="00163957" w:rsidRDefault="00163957" w:rsidP="00163957">
      <w:pPr>
        <w:pStyle w:val="TextoNormal"/>
      </w:pPr>
    </w:p>
    <w:p w:rsidR="00163957" w:rsidRDefault="00163957" w:rsidP="00163957">
      <w:pPr>
        <w:pStyle w:val="TextoNormal"/>
      </w:pPr>
      <w:r>
        <w:t>1. Excepcionalmente, cuando el Pleno de la Corporación Local no alcanzara, en una primera votación, la mayoría necesaria para la adopción de acuerdos prevista en esta Ley, la Junta de Gobierno Local tendrá competencia para aprobar:</w:t>
      </w:r>
    </w:p>
    <w:p w:rsidR="00163957" w:rsidRDefault="00163957" w:rsidP="00163957">
      <w:pPr>
        <w:pStyle w:val="TextoNormal"/>
      </w:pPr>
    </w:p>
    <w:p w:rsidR="00163957" w:rsidRDefault="00163957" w:rsidP="00163957">
      <w:pPr>
        <w:pStyle w:val="TextoNormal"/>
      </w:pPr>
      <w:r>
        <w:t>d) La entrada de la Corporación Local en los mecanismos extraordinarios de financiación vigentes a los que se refiere la Ley Orgánica 2/2012, de 27 de abril, y, en particular, el acceso a las medidas extraordinarias de apoyo a la liquidez previstas en el Real Decreto-ley 8/2013, de 28 de junio, de medidas urgentes contra la morosidad de las administraciones públicas y de apoyo a Entidades Locales con problemas financieros.</w:t>
      </w:r>
    </w:p>
    <w:p w:rsidR="00163957" w:rsidRDefault="00163957" w:rsidP="00163957">
      <w:pPr>
        <w:pStyle w:val="TextoNormal"/>
      </w:pPr>
    </w:p>
    <w:p w:rsidR="00163957" w:rsidRDefault="00163957" w:rsidP="00163957">
      <w:pPr>
        <w:pStyle w:val="TextoNormal"/>
      </w:pPr>
      <w:r>
        <w:t>2. La Junta de Gobierno Local dará cuenta al Pleno en la primera sesión que se celebre con posterioridad a la adopción de los acuerdos mencionados en el apartado anterior, los cuales serán objeto de publicación de conformidad con las normas generales que les resulten de aplicación.”</w:t>
      </w:r>
    </w:p>
    <w:p w:rsidR="00163957" w:rsidRDefault="00163957" w:rsidP="00163957">
      <w:pPr>
        <w:pStyle w:val="TextoNormal"/>
      </w:pPr>
    </w:p>
    <w:p w:rsidR="00163957" w:rsidRDefault="00163957" w:rsidP="00163957">
      <w:pPr>
        <w:pStyle w:val="TextoNormal"/>
      </w:pPr>
      <w:r>
        <w:t>De la Ley 27/2013 también son de relevancia a este efecto su disposición derogatoria (“A la entrada en vigor de esta Ley quedan derogadas cuantas disposiciones de igual o inferior rango se opongan a o contradigan lo en ella establecido”), así como su disposición final sexta (“La presente Ley entrará en vigor el día siguiente al de su publicación en el ‘Boletín Oficial del Estado’”). Dado que esta ley se publicó en el “BOE” de 30 de diciembre de 2013 su entrada en vigor se produjo el 31 de diciembre de ese mismo año.</w:t>
      </w:r>
    </w:p>
    <w:p w:rsidR="00163957" w:rsidRDefault="00163957" w:rsidP="00163957">
      <w:pPr>
        <w:pStyle w:val="TextoNormal"/>
      </w:pPr>
    </w:p>
    <w:p w:rsidR="00163957" w:rsidRDefault="00163957" w:rsidP="00163957">
      <w:pPr>
        <w:pStyle w:val="TextoNormal"/>
      </w:pPr>
      <w:r>
        <w:t>Para resolver acerca de si la norma transcrita de la Ley 27/2013 deroga la disposición adicional tercera del Real Decreto-ley 14/2013 aquí impugnada, con la consecuencia de afectar al objeto de este proceso, resulta conveniente reproducirla en su totalidad, pues su rúbrica y su apartado primero, aun no alcanzándoles la impugnación, son determinantes del contenido normativo de los apartados sí recurridos. Dicha disposición afirma:</w:t>
      </w:r>
    </w:p>
    <w:p w:rsidR="00163957" w:rsidRDefault="00163957" w:rsidP="00163957">
      <w:pPr>
        <w:pStyle w:val="TextoNormal"/>
      </w:pPr>
    </w:p>
    <w:p w:rsidR="00163957" w:rsidRDefault="00163957" w:rsidP="00163957">
      <w:pPr>
        <w:pStyle w:val="TextoNormal"/>
      </w:pPr>
      <w:r>
        <w:t>“Disposición adicional tercera. Ampliación del plazo para la aplicación de las medidas del Real Decreto-ley 8/2013, de 28 de junio, de medidas urgentes contra la morosidad de las administraciones públicas y de apoyo a entidades locales con problemas financieros.</w:t>
      </w:r>
    </w:p>
    <w:p w:rsidR="00163957" w:rsidRDefault="00163957" w:rsidP="00163957">
      <w:pPr>
        <w:pStyle w:val="TextoNormal"/>
      </w:pPr>
    </w:p>
    <w:p w:rsidR="00163957" w:rsidRDefault="00163957" w:rsidP="00163957">
      <w:pPr>
        <w:pStyle w:val="TextoNormal"/>
      </w:pPr>
      <w:r>
        <w:t>1. A contar desde la entrada en vigor de este real decreto-ley, se amplía el plazo previsto en el Real Decreto-ley 8/2013, de 28 de junio, de medidas urgentes contra la morosidad de las administraciones públicas y de apoyo a entidades locales con problemas financieros, en un mes para que los municipios que no lo hayan hecho puedan solicitar al Ministerio de Hacienda y Administraciones Públicas acogerse a alguna o varias de las medidas previstas en el artículo 32 del mencionado Real Decreto-ley 8/2013, de 28 de junio. Una vez concluido este plazo, a los municipios que presenten solicitud les resultará de aplicación todo lo previsto en el Título II del Real Decreto-ley 8/2013, de 28 de junio, y, en particular, se continuará el procedimiento establecido en el artículo 32 del mencionado real decreto-ley.</w:t>
      </w:r>
    </w:p>
    <w:p w:rsidR="00163957" w:rsidRDefault="00163957" w:rsidP="00163957">
      <w:pPr>
        <w:pStyle w:val="TextoNormal"/>
      </w:pPr>
    </w:p>
    <w:p w:rsidR="00163957" w:rsidRDefault="00163957" w:rsidP="00163957">
      <w:pPr>
        <w:pStyle w:val="TextoNormal"/>
      </w:pPr>
      <w:r>
        <w:t xml:space="preserve">2. Cuando siendo competencia del Pleno de la Corporación Local éste no alcanzara, en una primera votación, la mayoría necesaria para presentar la solicitud de acogerse a determinadas medidas, aprobar el plan de ajuste o aprobar alguna de las medidas incluidas en </w:t>
      </w:r>
      <w:r>
        <w:lastRenderedPageBreak/>
        <w:t>dicho plan de ajuste a las que se refiere el Real Decreto-ley 8/2013, de 28 de junio, la Junta de Gobierno Local asumirá esta competencia. La Junta de Gobierno Local dará cuenta al Pleno, en la primera sesión que se celebre con posterioridad a la presentación de la mencionada solicitud, de la aprobación del plan de ajuste o de alguna de las medidas en él incluidas.</w:t>
      </w:r>
    </w:p>
    <w:p w:rsidR="00163957" w:rsidRDefault="00163957" w:rsidP="00163957">
      <w:pPr>
        <w:pStyle w:val="TextoNormal"/>
      </w:pPr>
    </w:p>
    <w:p w:rsidR="00163957" w:rsidRDefault="00163957" w:rsidP="00163957">
      <w:pPr>
        <w:pStyle w:val="TextoNormal"/>
      </w:pPr>
      <w:r>
        <w:t>3. En los casos en los que no exista Junta de Gobierno Local, por concurrir las circunstancias a las que se refiere el artículo 20.1 de la Ley 7/1985, de 2 de abril, Reguladora de las Bases del Régimen Local, las decisiones mencionadas en el apartado anterior corresponderán al Alcalde.”</w:t>
      </w:r>
    </w:p>
    <w:p w:rsidR="00163957" w:rsidRDefault="00163957" w:rsidP="00163957">
      <w:pPr>
        <w:pStyle w:val="TextoNormal"/>
      </w:pPr>
    </w:p>
    <w:p w:rsidR="00163957" w:rsidRDefault="00163957" w:rsidP="00163957">
      <w:pPr>
        <w:pStyle w:val="TextoNormal"/>
      </w:pPr>
      <w:r>
        <w:t>Interesa resaltar que del precepto transcrito se deriva, de un lado, que la alteración competencial que regulan los apartados recurridos se refiere a la decisión municipal de “acogerse a alguna o varias de las medidas previstas en el art. 32 del mencionado Real Decreto-ley 8/2013” y, de otro, que dicha disposición adicional tercera tiene por objeto ampliar en un mes el plazo otorgado a los ayuntamientos para acogerse a tales medidas. Como ha quedado transcrito, este plazo de un mes se computará “desde la entrada en vigor de este real decreto-ley [Real Decreto-ley 14/2013]”, lo que significa, debido a que se publicó en el “BOE” de 30 de noviembre de 2013 y a que entró en vigor “el día siguiente al de su publicación en el ‘Boletín Oficial del Estado’” (disposición final octava), que tal plazo se contará desde el 1 de diciembre de 2013 y vencerá el 1 de enero de 2014 (art. 5 del Código civil).</w:t>
      </w:r>
    </w:p>
    <w:p w:rsidR="00163957" w:rsidRDefault="00163957" w:rsidP="00163957">
      <w:pPr>
        <w:pStyle w:val="TextoNormal"/>
      </w:pPr>
    </w:p>
    <w:p w:rsidR="00163957" w:rsidRDefault="00163957" w:rsidP="00163957">
      <w:pPr>
        <w:pStyle w:val="TextoNormal"/>
      </w:pPr>
      <w:r>
        <w:t>La caracterización de la norma impugnada como la ampliación del plazo para que se adopte la decisión municipal de “acogerse a alguna o varias de las medidas previstas en el art. 32 del mencionado Real Decreto-ley 8/2013” hace conveniente igualmente el examen de esta última norma. Adviértase que contiene, de un lado, un título I en el que disciplina una serie de “medidas extraordinarias de erradicación de la morosidad” a disposición de entidades locales y Comunidades Autónoma y, de otro, un título II que lleva por rúbrica “medidas extraordinarias de liquidez para municipios con problemas financieros”. Es dentro de este título II donde se halla el art 32 cuyos plazos viene a ampliar en un mes la disposición adicional tercera aquí impugnada.</w:t>
      </w:r>
    </w:p>
    <w:p w:rsidR="00163957" w:rsidRDefault="00163957" w:rsidP="00163957">
      <w:pPr>
        <w:pStyle w:val="TextoNormal"/>
      </w:pPr>
    </w:p>
    <w:p w:rsidR="00163957" w:rsidRDefault="00163957" w:rsidP="00163957">
      <w:pPr>
        <w:pStyle w:val="TextoNormal"/>
      </w:pPr>
      <w:r>
        <w:t>A partir de los datos que se han reseñado procede alcanzar dos conclusiones. Por una parte, cuando el art. 1, apartado 38, de la ley 27/2013, disciplina la competencia para acordar “el acceso a las medidas extraordinarias de apoyo a la liquidez previstas en el Real Decreto-ley 8/2013” está regulando exactamente el mismo ámbito material que la disposición adicional tercera del Real Decreto-ley 14/2013, que es la aquí impugnada, había ordenado previamente por referencia a quien es competente para adoptar la decisión municipal reglamentada en el art. 32 del Real Decreto-ley 8/2013. Tratándose del mismo ámbito material de regulación y no siendo posible que dos normas que regulen idéntico objeto de forma distinta estén en vigor a un mismo tiempo, procede declarar que la ley posterior (el art. 1, apartado 38, de la ley 27/2013) ha derogado a la anterior (disposición adicional tercera del Real Decreto-ley 14/2013). Por todo lo anterior, queda acreditado que la norma impugnada en este recurso de inconstitucionalidad se encuentra derogada y sin vigencia alguna.</w:t>
      </w:r>
    </w:p>
    <w:p w:rsidR="00163957" w:rsidRDefault="00163957" w:rsidP="00163957">
      <w:pPr>
        <w:pStyle w:val="TextoNormal"/>
      </w:pPr>
    </w:p>
    <w:p w:rsidR="00163957" w:rsidRDefault="00163957" w:rsidP="00163957">
      <w:pPr>
        <w:pStyle w:val="TextoNormal"/>
      </w:pPr>
      <w:r>
        <w:t>La segunda apreciación relevante es que la disposición adicional tercera del Real Decreto-ley 14/2013 no perdió su vigencia por el mero transcurso del ámbito temporal que ella misma señaló a su contenido normativo, pues antes de que éste venciese había entrado en vigor el art. 1, apartado 38, de la ley 27/2013.</w:t>
      </w:r>
    </w:p>
    <w:p w:rsidR="00163957" w:rsidRDefault="00163957" w:rsidP="00163957">
      <w:pPr>
        <w:pStyle w:val="TextoNormal"/>
      </w:pPr>
    </w:p>
    <w:p w:rsidR="00163957" w:rsidRDefault="00163957" w:rsidP="00163957">
      <w:pPr>
        <w:pStyle w:val="TextoNormal"/>
      </w:pPr>
      <w:r w:rsidRPr="00163957">
        <w:rPr>
          <w:rStyle w:val="NumeroAFNegritaCaracter"/>
        </w:rPr>
        <w:t>3</w:t>
      </w:r>
      <w:r>
        <w:t>. Procede a continuación reseñar la reiterada doctrina constitucional relativa a la afectación que produce la pérdida de vigencia de una norma impugnada en un recurso de inconstitucionalidad sobre la pervivencia de éste, así como aplicarla a las circunstancias de este caso ya reseñadas.</w:t>
      </w:r>
    </w:p>
    <w:p w:rsidR="00163957" w:rsidRDefault="00163957" w:rsidP="00163957">
      <w:pPr>
        <w:pStyle w:val="TextoNormal"/>
      </w:pPr>
    </w:p>
    <w:p w:rsidR="00163957" w:rsidRDefault="00163957" w:rsidP="00163957">
      <w:pPr>
        <w:pStyle w:val="TextoNormal"/>
      </w:pPr>
      <w:r>
        <w:t>La doctrina de este Tribunal establece como regla general, dicho en los términos de la STC 230/2015, de 5 de noviembre, FJ 3, que “la pérdida sobrevenida de la vigencia del precepto legal impugnado a través de un recurso de inconstitucionalidad ‘habrá de ser tenida en cuenta por este Tribunal para apreciar si la misma conlleva ... la exclusión de toda la aplicabilidad de la Ley, [pues] si así fuera, no habría sino que reconocer que desapareció, al acabar su vigencia, el objeto de este proceso constitucional que, por sus notas de abstracción y objetividad, no puede hallar su exclusivo sentido en la eventual remoción de las situaciones jurídicas creadas en aplicación de la Ley, acaso inconstitucional (art. 40.1 LOTC)’ (STC 199/1987, FJ 3)”.</w:t>
      </w:r>
    </w:p>
    <w:p w:rsidR="00163957" w:rsidRDefault="00163957" w:rsidP="00163957">
      <w:pPr>
        <w:pStyle w:val="TextoNormal"/>
      </w:pPr>
    </w:p>
    <w:p w:rsidR="00163957" w:rsidRDefault="00163957" w:rsidP="00163957">
      <w:pPr>
        <w:pStyle w:val="TextoNormal"/>
      </w:pPr>
      <w:r>
        <w:t>Dicha doctrina, no obstante, ha reconocido supuestos de excepción. De este modo, y en primer lugar, la derogación de la norma impugnada, siquiera tácita, por otra ley posterior, no impediría a este Tribunal “controlar si el ejercicio de la potestad reconocida al Gobierno por el art. 86.1 CE se realizó siguiendo los requisitos establecidos en dicho precepto constitucional, pues al hacerlo se trata de velar por el recto ejercicio de la potestad de dictar decretos-leyes, dentro del marco constitucional, decidiendo la validez o invalidez de las normas impugnadas, sin atender a su vigencia o derogación en el momento en que se pronuncia el fallo [SSTC 31/2011, de 17 de marzo, FJ 2, y 182/2013, de 23 de octubre, FJ 2 b)]” (STC 27/2015, de 19 de febrero, FJ 2).</w:t>
      </w:r>
    </w:p>
    <w:p w:rsidR="00163957" w:rsidRDefault="00163957" w:rsidP="00163957">
      <w:pPr>
        <w:pStyle w:val="TextoNormal"/>
      </w:pPr>
    </w:p>
    <w:p w:rsidR="00163957" w:rsidRDefault="00163957" w:rsidP="00163957">
      <w:pPr>
        <w:pStyle w:val="TextoNormal"/>
      </w:pPr>
      <w:r>
        <w:t>Dicha derogación tampoco constituiría un obstáculo para el análisis de una eventual vulneración del orden constitucional de distribución de competencias, toda vez el Tribunal Constitucional ha venido sosteniendo que “la función de preservar los ámbitos respectivos de competencias no puede quedar enervada por la sola derogación o modificación de las disposiciones cuya adopción dio lugar al litigio (SSTC 182/1988, FJ 1; 248/1988, FJ 2; y 167/1993, FJ 2; 329/1993, FJ 1; 165/1994, FJ 2; y 196/1993, FJ 2)’ (STC 109/2003, de 5 de junio, FJ 2) [STC 134/2011, de 20 de julio, FJ 2 b)]” (STC 27/2015, FJ 2). Por ello, si en estos supuestos la norma en relación con la cual se trabó el conflicto es sustituida por otra que viene a plantear en esencia los mismos problemas competenciales la doctrina de este Tribunal avala la conclusión de la no desaparición del objeto del conflicto (SSTC 128/1999, de 1 de julio, FJ 4; 134/2011, de 20 de julio, FJ 2, y 27/2015, de 19 de febrero, FJ 2, entre otras muchas).</w:t>
      </w:r>
    </w:p>
    <w:p w:rsidR="00163957" w:rsidRDefault="00163957" w:rsidP="00163957">
      <w:pPr>
        <w:pStyle w:val="TextoNormal"/>
      </w:pPr>
    </w:p>
    <w:p w:rsidR="00163957" w:rsidRDefault="00163957" w:rsidP="00163957">
      <w:pPr>
        <w:pStyle w:val="TextoNormal"/>
      </w:pPr>
      <w:r>
        <w:t>Una última categoría de supuestos que se exceptúan de la regla general está integrada por las normas que, naciendo para regir durante un periodo determinado, pierden su vigencia por el mero vencimiento de dicho periodo. En otro caso el mero transcurso del tiempo excluiría estas normas del enjuiciamiento constitucional que este Tribunal tiene encargado.</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Sin embargo, ninguna de estas circunstancias concurren en el recurso que nos ocupa, en el que no se discute la concurrencia de los presupuestos habilitantes del Decreto-ley y la correlativa adecuación constitucional del uso por el Gobierno de esta modalidad legislativa; ni tampoco se cuestiona un problema de distribución competencial, sino que, como se ha </w:t>
      </w:r>
      <w:r>
        <w:lastRenderedPageBreak/>
        <w:t>expuesto con detenimiento en los antecedentes y se ha resumido en el fundamento jurídico primero, el presente recurso tiene por objeto una cuestión de estricto contenido sustantivo, pues lo que se plantea exclusivamente es si la disposición impugnada vulnera los arts. 1.1, 23, 137 y 140 CE al prever la sustitución de una decisión del pleno por otra de la junta de gobierno o, en su caso, del alcalde, cuando no se alcance en el pleno la mayoría necesaria para acogerse a determinadas medidas de ajuste previstas en el Real Decreto-ley 8/2013. Por último, a pesar de ser una norma de vigencia temporal no fue el transcurso del tiempo la causa eficiente de su pérdida de vigencia, pues esta se produjo por la voluntad del legislador de derogarla mediante el art. 1, apartado 38, de la Ley 27/2013.</w:t>
      </w:r>
    </w:p>
    <w:p w:rsidR="00163957" w:rsidRDefault="00163957" w:rsidP="00163957">
      <w:pPr>
        <w:pStyle w:val="TextoNormal"/>
      </w:pPr>
    </w:p>
    <w:p w:rsidR="00163957" w:rsidRDefault="00163957" w:rsidP="00163957">
      <w:pPr>
        <w:pStyle w:val="TextoNormal"/>
      </w:pPr>
      <w:r>
        <w:t>En consecuencia, es de aplicación la doctrina de este Tribunal respecto del recurso de inconstitucionalidad según la cual, al tratarse de un recurso abstracto y orientado a la depuración objetiva del ordenamiento, la pérdida de vigencia del precepto legal impugnado determinará la pérdida de objeto del recurso (SSTC 111/2012, de 24 de mayo, FJ 2; 223/2012, de 19 de noviembre; y 230/2015, de 5 de noviembre, FJ 3, entre otras muchas).</w:t>
      </w:r>
    </w:p>
    <w:p w:rsidR="00163957" w:rsidRDefault="00163957" w:rsidP="00163957">
      <w:pPr>
        <w:pStyle w:val="TextoNormal"/>
      </w:pPr>
    </w:p>
    <w:p w:rsidR="00163957" w:rsidRDefault="00163957" w:rsidP="00163957">
      <w:pPr>
        <w:pStyle w:val="TextoNormal"/>
      </w:pPr>
      <w:r>
        <w:t>Y ello, sin perjuicio de que el vigente art. 1 (apartado 38) de la Ley 27/2013, de 27 de diciembre, de racionalización y sostenibilidad de la Administración local, que deroga tácitamente la disposición de la que trae causa el presente proceso de inconstitucionalidad, ha sido objeto de varios recursos de inconstitucionalidad (RI 1959-2014, promovido por el Consejo de Gobierno de Andalucía; RI 2003-2014, promovido por el Parlamento de Andalucía; y RI 2006-2014, promovido por el Gobierno de Cataluña, todos ellos admitidos a trámite por providencia de 27 de mayo de 2014), así como de un conflicto en defensa de la autonomía local (CAL 4292-2014, promovido por diversos municipios), por lo que este Tribunal tendrá la oportunidad de pronunciarse sobre su constitucionalidad.</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Declarar extinguido el recurso de inconstitucionalidad núm. 1233-2014 interpuesto por la Defensora del Pueblo contra los apartados 2 y 3 de la disposición adicional tercera del Real Decreto-ley 14/2013, de 29 de noviembre, de medidas urgentes para la adaptación del derecho español a la normativa de la Unión Europea en materia de supervisión y solvencia de entidades financieras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tres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44" w:name="SENTENCIA_2016_41"/>
      <w:r>
        <w:lastRenderedPageBreak/>
        <w:t>SENTENCIA 41/2016, de 3 de marzo de 2016</w:t>
      </w:r>
    </w:p>
    <w:bookmarkEnd w:id="44"/>
    <w:p w:rsidR="00163957" w:rsidRDefault="00163957" w:rsidP="00163957">
      <w:pPr>
        <w:pStyle w:val="TtuloResolucin"/>
      </w:pPr>
      <w:r>
        <w:t>Pleno</w:t>
      </w:r>
    </w:p>
    <w:p w:rsidR="00163957" w:rsidRDefault="00163957" w:rsidP="00163957">
      <w:pPr>
        <w:pStyle w:val="TtuloBOE"/>
      </w:pPr>
      <w:r>
        <w:t>(BOE núm. 85, de 8 de abril de 2016)</w:t>
      </w:r>
    </w:p>
    <w:p w:rsidR="00163957" w:rsidRDefault="00163957" w:rsidP="00163957">
      <w:pPr>
        <w:pStyle w:val="TextoNormalCentrado"/>
      </w:pPr>
      <w:r>
        <w:t>ECLI:ES:TC:2016:41</w:t>
      </w:r>
    </w:p>
    <w:p w:rsidR="00163957" w:rsidRDefault="00163957" w:rsidP="00163957">
      <w:pPr>
        <w:pStyle w:val="TextoNormalCentrado"/>
      </w:pPr>
    </w:p>
    <w:p w:rsidR="00163957" w:rsidRDefault="00163957" w:rsidP="00163957">
      <w:pPr>
        <w:pStyle w:val="SntesisDescriptiva"/>
      </w:pPr>
      <w:r>
        <w:t>Recurso de inconstitucionalidad 1792-2014. Interpuesto por la Asamblea de Extremadura en relación con diversos preceptos de la Ley 27/2013, de 27 de diciembre, de racionalización y sostenibilidad de la Administración local.</w:t>
      </w:r>
    </w:p>
    <w:p w:rsidR="00163957" w:rsidRDefault="00163957" w:rsidP="00163957">
      <w:pPr>
        <w:pStyle w:val="SntesisDescriptiva"/>
      </w:pPr>
    </w:p>
    <w:p w:rsidR="00163957" w:rsidRDefault="00163957" w:rsidP="00163957">
      <w:pPr>
        <w:pStyle w:val="SntesisAnaltica"/>
      </w:pPr>
      <w:r>
        <w:t>Autonomía local, competencias sobre hacienda general y régimen jurídico de las Administraciones públicas: nulidad de los preceptos legales que autorizan al Estado a compensar determinadas deudas contraídas por las Comunidades Autónomas con los créditos resultantes de su sistema de financiación, establecen el régimen transitorio de asunción autonómica de las competencias municipales sobre salud y servicios sociales, disolución de entidades locales de ámbito territorial inferior al municipio y mancomunidades de municipios; interpretación conforme de la disposición relativa a la asunción autonómica de competencias municipales en materia de educación.</w:t>
      </w:r>
    </w:p>
    <w:p w:rsidR="00163957" w:rsidRDefault="00163957" w:rsidP="00163957">
      <w:pPr>
        <w:pStyle w:val="SntesisAnaltica"/>
      </w:pPr>
    </w:p>
    <w:p w:rsidR="00163957" w:rsidRDefault="00163957" w:rsidP="00163957">
      <w:pPr>
        <w:pStyle w:val="Extracto"/>
      </w:pPr>
      <w:r>
        <w:t>1.</w:t>
      </w:r>
      <w:r>
        <w:tab/>
        <w:t>El artículo 13 de la Ley 7/1985, de 2 de abril, reguladora de las bases de régimen local –LBRL- no impide que la Comunidad Autónoma desarrolle una política propia sobre fusión de los municipios situados en su ámbito territorial ni, en general, que intervenga de diferentes modos sobre el mapa municipal, sino que contiene solo límites a la creación de nuevos municipios, incentivos a la fusión voluntaria y un régimen sobre los efectos de la fusión que dejan amplio espacio al desarrollo autonómico de políticas propias y nada expresa sobre las fusiones imperativas [FJ 6.b)].</w:t>
      </w:r>
    </w:p>
    <w:p w:rsidR="00163957" w:rsidRDefault="00163957" w:rsidP="00163957">
      <w:pPr>
        <w:pStyle w:val="Extracto"/>
      </w:pPr>
    </w:p>
    <w:p w:rsidR="00163957" w:rsidRDefault="00163957" w:rsidP="00163957">
      <w:pPr>
        <w:pStyle w:val="Extracto"/>
      </w:pPr>
      <w:r>
        <w:t>2.</w:t>
      </w:r>
      <w:r>
        <w:tab/>
        <w:t>La exigencia de que se creen nuevos municipios solo cuando resulten financieramente sostenibles, si no deriva directamente de los arts. 31.2, 103.1 y 135 CE, entra dentro de la competencia estatal para diseñar el modelo municipal español; exactamente igual la fijación de mínimos poblacionales: el Estado puede desarrollar un modelo municipal al amparo del art. 149.1.18 CE “basado en mayores exigencias de población y territorio”, si lo considera “necesario para garantizar la viabilidad del ejercicio de las competencias que se atribuyen a los municipios y con ello su autonomía” (STC 103/2013) [FJ 6.b)].</w:t>
      </w:r>
    </w:p>
    <w:p w:rsidR="00163957" w:rsidRDefault="00163957" w:rsidP="00163957">
      <w:pPr>
        <w:pStyle w:val="Extracto"/>
      </w:pPr>
    </w:p>
    <w:p w:rsidR="00163957" w:rsidRDefault="00163957" w:rsidP="00163957">
      <w:pPr>
        <w:pStyle w:val="Extracto"/>
      </w:pPr>
      <w:r>
        <w:t>3.</w:t>
      </w:r>
      <w:r>
        <w:tab/>
        <w:t>El tenor literal del precepto que regula el fomento de las fusiones voluntarias de municipios no da pie a interpretar que el legislador estatal haya pretendido vulnerar la doctrina constitucional condicionando todas las políticas subvencionales de las Comunidades Autónomas relacionadas con los municipios o, más precisamente, extendiendo la aplicación del indicado criterio de preferencia a ayudas cuya regulación corresponde en exclusiva a las Comunidades Autónomas por referirse a materias en que no entra en juego título estatal alguno, por lo que la medida examinada no vulnera el sistema constitucional de distribución competencial [FJ 6.c)].</w:t>
      </w:r>
    </w:p>
    <w:p w:rsidR="00163957" w:rsidRDefault="00163957" w:rsidP="00163957">
      <w:pPr>
        <w:pStyle w:val="Extracto"/>
      </w:pPr>
    </w:p>
    <w:p w:rsidR="00163957" w:rsidRDefault="00163957" w:rsidP="00163957">
      <w:pPr>
        <w:pStyle w:val="Extracto"/>
      </w:pPr>
      <w:r>
        <w:lastRenderedPageBreak/>
        <w:t>4.</w:t>
      </w:r>
      <w:r>
        <w:tab/>
        <w:t>La regulación general de la fusión de municipios —o la habilitación para adoptarla— atribuida a un órgano estatal está directamente relacionada con la suficiencia financiera del nuevo municipio y establece normas y principios comunes de la actividad financiera de las distintas haciendas que tiendan a asegurar los principios constitucionales que deben regir el gasto público, entre los que se encuentra el principio de eficiencia y economía (STC 130/2013) [FJ 6.c)].</w:t>
      </w:r>
    </w:p>
    <w:p w:rsidR="00163957" w:rsidRDefault="00163957" w:rsidP="00163957">
      <w:pPr>
        <w:pStyle w:val="Extracto"/>
      </w:pPr>
    </w:p>
    <w:p w:rsidR="00163957" w:rsidRDefault="00163957" w:rsidP="00163957">
      <w:pPr>
        <w:pStyle w:val="Extracto"/>
      </w:pPr>
      <w:r>
        <w:t>5.</w:t>
      </w:r>
      <w:r>
        <w:tab/>
        <w:t>Respecto del régimen básico de las entidades locales menores ya creadas -o en proceso de creación antes de determinada fecha-, el legislador estatal no solo no ha invadido las competencias de las Comunidades Autónomas, sino que, al reducir en alguna medida la regulación básica, ha aumentado correlativamente el espacio que puede ocupar la normativa municipal sobre organización interna y la autonómica sobre régimen local [FJ 7.b)].</w:t>
      </w:r>
    </w:p>
    <w:p w:rsidR="00163957" w:rsidRDefault="00163957" w:rsidP="00163957">
      <w:pPr>
        <w:pStyle w:val="Extracto"/>
      </w:pPr>
    </w:p>
    <w:p w:rsidR="00163957" w:rsidRDefault="00163957" w:rsidP="00163957">
      <w:pPr>
        <w:pStyle w:val="Extracto"/>
      </w:pPr>
      <w:r>
        <w:t>6.</w:t>
      </w:r>
      <w:r>
        <w:tab/>
        <w:t>El régimen establecido para los entes que se creen a partir de la entrada en vigor de la reforma -o, más precisamente, los que no estuvieran en proceso de constitución antes del 1 de enero de 2013- incluye reglas sobre la iniciativa de creación, denominación y objeto sustancialmente coincidentes con las previstas en el derogado art. 45 LBRL, sobre cuya legitimidad constitucional y carácter básico ya se pronunció la STC 214/1989 [FJ 7.b)].</w:t>
      </w:r>
    </w:p>
    <w:p w:rsidR="00163957" w:rsidRDefault="00163957" w:rsidP="00163957">
      <w:pPr>
        <w:pStyle w:val="Extracto"/>
      </w:pPr>
    </w:p>
    <w:p w:rsidR="00163957" w:rsidRDefault="00163957" w:rsidP="00163957">
      <w:pPr>
        <w:pStyle w:val="Extracto"/>
      </w:pPr>
      <w:r>
        <w:t>7.</w:t>
      </w:r>
      <w:r>
        <w:tab/>
        <w:t>La disposición transitoria cuarta de la Ley de racionalización y sostenibilidad de la Administración local ha sobrepasado claramente los límites de la competencia estatal al predeterminar el órgano de la Comunidad Autónoma que ha de acordar la disolución y la forma que ha de revestir esta decisión [FJ 7.c)].</w:t>
      </w:r>
    </w:p>
    <w:p w:rsidR="00163957" w:rsidRDefault="00163957" w:rsidP="00163957">
      <w:pPr>
        <w:pStyle w:val="Extracto"/>
      </w:pPr>
    </w:p>
    <w:p w:rsidR="00163957" w:rsidRDefault="00163957" w:rsidP="00163957">
      <w:pPr>
        <w:pStyle w:val="Extracto"/>
      </w:pPr>
      <w:r>
        <w:t>8.</w:t>
      </w:r>
      <w:r>
        <w:tab/>
        <w:t>El examen de los arts. 25 y 26 LBRL permite afirmar que los ámbitos en los que los Ayuntamientos pueden mancomunarse son suficientemente amplios y que el legislador autonómico conserva dentro de ellos la competencia para conferir y regular las competencias propias municipales [FJ 8.b)].</w:t>
      </w:r>
    </w:p>
    <w:p w:rsidR="00163957" w:rsidRDefault="00163957" w:rsidP="00163957">
      <w:pPr>
        <w:pStyle w:val="Extracto"/>
      </w:pPr>
    </w:p>
    <w:p w:rsidR="00163957" w:rsidRDefault="00163957" w:rsidP="00163957">
      <w:pPr>
        <w:pStyle w:val="Extracto"/>
      </w:pPr>
      <w:r>
        <w:t>9.</w:t>
      </w:r>
      <w:r>
        <w:tab/>
        <w:t>Ningún problema de constitucionalidad puede suscitar la previsión genérica de que el consorcio, sin poner en riesgo la sostenibilidad financiera del conjunto de la Hacienda de la Entidad Local, debe permitir una asignación más eficiente de los recursos económicos y mejorar la eficiencia de la gestión pública, eliminar duplicidades administrativas y cumplir con la legislación de estabilidad presupuestaria y sostenibilidad financiera [FJ 8.b)].</w:t>
      </w:r>
    </w:p>
    <w:p w:rsidR="00163957" w:rsidRDefault="00163957" w:rsidP="00163957">
      <w:pPr>
        <w:pStyle w:val="Extracto"/>
      </w:pPr>
    </w:p>
    <w:p w:rsidR="00163957" w:rsidRDefault="00163957" w:rsidP="00163957">
      <w:pPr>
        <w:pStyle w:val="Extracto"/>
      </w:pPr>
      <w:r>
        <w:t>10.</w:t>
      </w:r>
      <w:r>
        <w:tab/>
        <w:t>Tiene razón la Asamblea legislativa recurrente cuando denuncia la extralimitación que supone la indicación precisa del órgano autonómico al que corresponde iniciar y resolver el expediente de disolución de las mancomunidades [FJ 8.b)].</w:t>
      </w:r>
    </w:p>
    <w:p w:rsidR="00163957" w:rsidRDefault="00163957" w:rsidP="00163957">
      <w:pPr>
        <w:pStyle w:val="Extracto"/>
      </w:pPr>
    </w:p>
    <w:p w:rsidR="00163957" w:rsidRDefault="00163957" w:rsidP="00163957">
      <w:pPr>
        <w:pStyle w:val="Extracto"/>
      </w:pPr>
      <w:r>
        <w:t>11.</w:t>
      </w:r>
      <w:r>
        <w:tab/>
        <w:t xml:space="preserve">Al condicionar la efectividad de la delegación a la aceptación municipal, se establece una base destinada a concretar la autonomía local constitucionalmente garantizada (SSTC 103/2013 y 143/2013) y lo mismo cabe afirmar respecto de otra serie de previsiones que, vinculadas a la suficiencia financiera del municipio fusionado, son bases del régimen local cuando no normas sobre haciendas locales </w:t>
      </w:r>
      <w:r w:rsidRPr="00163957">
        <w:rPr>
          <w:i/>
        </w:rPr>
        <w:t>ex</w:t>
      </w:r>
      <w:r>
        <w:t xml:space="preserve"> art. 149.1.14 CE [FJ 11.a)].</w:t>
      </w:r>
    </w:p>
    <w:p w:rsidR="00163957" w:rsidRDefault="00163957" w:rsidP="00163957">
      <w:pPr>
        <w:pStyle w:val="Extracto"/>
      </w:pPr>
    </w:p>
    <w:p w:rsidR="00163957" w:rsidRDefault="00163957" w:rsidP="00163957">
      <w:pPr>
        <w:pStyle w:val="Extracto"/>
      </w:pPr>
      <w:r>
        <w:t>12.</w:t>
      </w:r>
      <w:r>
        <w:tab/>
        <w:t>El ente local puede renunciar a la delegación si la Administración delegante incumple sus obligaciones financieras o ante la imposibilidad suficientemente justificada de desempeñar la competencia delegada sin menoscabo en el ejercicio de las competencias propias; puede también compensar las obligaciones financieras incumplidas por la Administración delegante con los créditos que ésta tenga frente a él [FJ 11.a)].</w:t>
      </w:r>
    </w:p>
    <w:p w:rsidR="00163957" w:rsidRDefault="00163957" w:rsidP="00163957">
      <w:pPr>
        <w:pStyle w:val="Extracto"/>
      </w:pPr>
    </w:p>
    <w:p w:rsidR="00163957" w:rsidRDefault="00163957" w:rsidP="00163957">
      <w:pPr>
        <w:pStyle w:val="Extracto"/>
      </w:pPr>
      <w:r>
        <w:t>13.</w:t>
      </w:r>
      <w:r>
        <w:tab/>
        <w:t>Habría vulneración de la autonomía local solo si a través de aquellos informes y exigencias materiales, el art. 7.4 LBRL hubiera impedido que los municipios intervengan en los asuntos que les afectan con un grado de participación tendencialmente correlativo a la intensidad de sus intereses [FJ 11.b)].</w:t>
      </w:r>
    </w:p>
    <w:p w:rsidR="00163957" w:rsidRDefault="00163957" w:rsidP="00163957">
      <w:pPr>
        <w:pStyle w:val="Extracto"/>
      </w:pPr>
    </w:p>
    <w:p w:rsidR="00163957" w:rsidRDefault="00163957" w:rsidP="00163957">
      <w:pPr>
        <w:pStyle w:val="Extracto"/>
      </w:pPr>
      <w:r>
        <w:t>14.</w:t>
      </w:r>
      <w:r>
        <w:tab/>
        <w:t>La disposición adicional novena de la norma impugnada estando relacionada con la suficiencia financiera del municipio (art. 142 CE) y destinada a garantizar la efectividad de normas comunes de la actividad de las distintas haciendas que aseguran los principios constitucionales de eficacia y economía, si no se encuadra en el art. 149.1.14 CE, resulta claramente amparada por el art. 149.1.18 CE [FJ 11.c)].</w:t>
      </w:r>
    </w:p>
    <w:p w:rsidR="00163957" w:rsidRDefault="00163957" w:rsidP="00163957">
      <w:pPr>
        <w:pStyle w:val="Extracto"/>
      </w:pPr>
    </w:p>
    <w:p w:rsidR="00163957" w:rsidRDefault="00163957" w:rsidP="00163957">
      <w:pPr>
        <w:pStyle w:val="Extracto"/>
      </w:pPr>
      <w:r>
        <w:t>15.</w:t>
      </w:r>
      <w:r>
        <w:tab/>
        <w:t>La desaparición, en la nueva redacción del art. 25.2 LBRL, de algunas materias recogidas en la anterior no es contraria a la garantía constitucional de la autonomía local, ya que tales exclusiones significan que en determinados ámbitos el legislador básico ha dejado de ampliar el mínimo de autonomía local que garantiza la Constitución y, por tanto, que dentro de ellos la Comunidad Autónoma o el legislador sectorial estatal pueden atribuir competencias propias municipales, pero sin estar obligados a hacerlo “en todo caso” [FJ 12.a)].</w:t>
      </w:r>
    </w:p>
    <w:p w:rsidR="00163957" w:rsidRDefault="00163957" w:rsidP="00163957">
      <w:pPr>
        <w:pStyle w:val="Extracto"/>
      </w:pPr>
    </w:p>
    <w:p w:rsidR="00163957" w:rsidRDefault="00163957" w:rsidP="00163957">
      <w:pPr>
        <w:pStyle w:val="Extracto"/>
      </w:pPr>
      <w:r>
        <w:t>16.</w:t>
      </w:r>
      <w:r>
        <w:tab/>
        <w:t>No puede producirse la vulneración de los arts. 137 y 140 CE solo porque el art. 25 LBRL exija concreción a las leyes atributivas de competencias propias municipales, pues que los municipios consigan o no la capacidad de intervención que para ellos reclama la Constitución, dependerá de lo que establezcan unas leyes que ahora deben ser necesariamente específicas, sin que la sola proscripción de la cláusula general como técnica de distribución de poder local vulnere por sí la autonomía local constitucionalmente garantizada [FJ 12.b)].</w:t>
      </w:r>
    </w:p>
    <w:p w:rsidR="00163957" w:rsidRDefault="00163957" w:rsidP="00163957">
      <w:pPr>
        <w:pStyle w:val="Extracto"/>
      </w:pPr>
    </w:p>
    <w:p w:rsidR="00163957" w:rsidRDefault="00163957" w:rsidP="00163957">
      <w:pPr>
        <w:pStyle w:val="Extracto"/>
      </w:pPr>
      <w:r>
        <w:t>17.</w:t>
      </w:r>
      <w:r>
        <w:tab/>
        <w:t>El art. 25.4 LBRL no vulnera las competencias autonómicas ni impide por sí que los entes locales puedan intervenir en los asuntos que les afectan con un nivel de participación tendencialmente correlativo a la intensidad de los intereses locales involucrados [FJ 12.c)].</w:t>
      </w:r>
    </w:p>
    <w:p w:rsidR="00163957" w:rsidRDefault="00163957" w:rsidP="00163957">
      <w:pPr>
        <w:pStyle w:val="Extracto"/>
      </w:pPr>
    </w:p>
    <w:p w:rsidR="00163957" w:rsidRDefault="00163957" w:rsidP="00163957">
      <w:pPr>
        <w:pStyle w:val="Extracto"/>
      </w:pPr>
      <w:r>
        <w:t>18.</w:t>
      </w:r>
      <w:r>
        <w:tab/>
        <w:t xml:space="preserve">Las disposiciones transitorias primera y segunda de la Ley de racionalización y sostenibilidad de la Administración local no se limitan a dibujar un marco de límites dentro del cual la Comunidad Autónoma puede ejercer sus competencias estatutarias, para distribuir poder local o habilitar directamente determinadas competencias municipales sin obstaculizar el ejercicio de las atribuciones autonómicas, sino que impiden que las Comunidades Autónomas puedan optar, en materias de su competencia, por descentralizar determinados servicios en los entes </w:t>
      </w:r>
      <w:r>
        <w:lastRenderedPageBreak/>
        <w:t>locales, obligando a que los asuma la Administración autonómica dentro de plazos cerrados y con determinadas condiciones [FJ 13.c)].</w:t>
      </w:r>
    </w:p>
    <w:p w:rsidR="00163957" w:rsidRDefault="00163957" w:rsidP="00163957">
      <w:pPr>
        <w:pStyle w:val="Extracto"/>
      </w:pPr>
    </w:p>
    <w:p w:rsidR="00163957" w:rsidRDefault="00163957" w:rsidP="00163957">
      <w:pPr>
        <w:pStyle w:val="Extracto"/>
      </w:pPr>
      <w:r>
        <w:t>19.</w:t>
      </w:r>
      <w:r>
        <w:tab/>
        <w:t>Las Comunidades Autónomas, siendo competentes para regular aquellos servicios sociales y sanitarios, son competentes para decidir sobre su descentralización o centralización y, en este segundo caso, para ordenar el correspondiente proceso de asunción competencial y traspaso de recursos [FJ 13.c)].</w:t>
      </w:r>
    </w:p>
    <w:p w:rsidR="00163957" w:rsidRDefault="00163957" w:rsidP="00163957">
      <w:pPr>
        <w:pStyle w:val="Extracto"/>
      </w:pPr>
    </w:p>
    <w:p w:rsidR="00163957" w:rsidRDefault="00163957" w:rsidP="00163957">
      <w:pPr>
        <w:pStyle w:val="Extracto"/>
      </w:pPr>
      <w:r>
        <w:t>20.</w:t>
      </w:r>
      <w:r>
        <w:tab/>
        <w:t>Hay que insistir en que el art. 135 CE no puede traducirse en una alteración radical de la doctrina constitucional que permita al Estado eliminar las competencias que los Estatutos de Autonomía, dentro del marco establecido por la Constitución, asignan a las Comunidades Autónomas para organizar sus servicios [FJ 13.c)].</w:t>
      </w:r>
    </w:p>
    <w:p w:rsidR="00163957" w:rsidRDefault="00163957" w:rsidP="00163957">
      <w:pPr>
        <w:pStyle w:val="Extracto"/>
      </w:pPr>
    </w:p>
    <w:p w:rsidR="00163957" w:rsidRDefault="00163957" w:rsidP="00163957">
      <w:pPr>
        <w:pStyle w:val="Extracto"/>
      </w:pPr>
      <w:r>
        <w:t>21.</w:t>
      </w:r>
      <w:r>
        <w:tab/>
        <w:t>La disposición transitoria tercera ha desbordado los márgenes de una regulación básica de las competencias locales, invadiendo con ello las competencias estatutarias de las Comunidades Autónomas al prohibir la descentralización de aquellos servicios y fijar el plazo dentro del cual deben quedar centralizados en la Administración autonómica [FJ 13.d)].</w:t>
      </w:r>
    </w:p>
    <w:p w:rsidR="00163957" w:rsidRDefault="00163957" w:rsidP="00163957">
      <w:pPr>
        <w:pStyle w:val="Extracto"/>
      </w:pPr>
    </w:p>
    <w:p w:rsidR="00163957" w:rsidRDefault="00163957" w:rsidP="00163957">
      <w:pPr>
        <w:pStyle w:val="Extracto"/>
      </w:pPr>
      <w:r>
        <w:t>22.</w:t>
      </w:r>
      <w:r>
        <w:tab/>
        <w:t>A la vista del art. 25.2 n) LBRL, de la ausencia de una fecha límite para la articulación de un traspaso y, en general, del tenor de la disposición adicional decimoquinta de la Ley de racionalización y sostenibilidad de la Administración local, cabe interpretar que el legislador básico no ha prohibido que la ley autonómica atribuya aquellas tareas como competencia propia municipal, por lo que las Comunidades Autónomas no están obligadas a centralizarlas; antes bien, están obligadas a asegurar que los municipios dispongan “en todo caso” de competencias propias dentro de ellas [FJ 13.e)].</w:t>
      </w:r>
    </w:p>
    <w:p w:rsidR="00163957" w:rsidRDefault="00163957" w:rsidP="00163957">
      <w:pPr>
        <w:pStyle w:val="Extracto"/>
      </w:pPr>
    </w:p>
    <w:p w:rsidR="00163957" w:rsidRDefault="00163957" w:rsidP="00163957">
      <w:pPr>
        <w:pStyle w:val="Extracto"/>
      </w:pPr>
      <w:r>
        <w:t>23.</w:t>
      </w:r>
      <w:r>
        <w:tab/>
        <w:t>La nueva ordenación básica responde a la finalidad de evitar la proliferación de personificaciones instrumentales o, más precisamente, de asegurar la sostenibilidad financiera y eficiencia de las que se creen; con independencia de la eficacia real del instrumento, expresa una opción, no solo legítima, sino estrechamente vinculada a determinados mandatos constitucionales (arts. 31.2, 103.1 y 135 CE) [FJ 14].</w:t>
      </w:r>
    </w:p>
    <w:p w:rsidR="00163957" w:rsidRDefault="00163957" w:rsidP="00163957">
      <w:pPr>
        <w:pStyle w:val="Extracto"/>
      </w:pPr>
    </w:p>
    <w:p w:rsidR="00163957" w:rsidRDefault="00163957" w:rsidP="00163957">
      <w:pPr>
        <w:pStyle w:val="Extracto"/>
      </w:pPr>
      <w:r>
        <w:t>24.</w:t>
      </w:r>
      <w:r>
        <w:tab/>
        <w:t>El art. 116 bis LBRL asigna a la diputación provincial tareas de colaboración, coordinación y seguimiento sin que ello suponga contradicción con la Ley Orgánica de estabilidad presupuestaria y sostenibilidad financiera ni desbordamiento del sistema constitucional de distribución competencial [FJ 15].</w:t>
      </w:r>
    </w:p>
    <w:p w:rsidR="00163957" w:rsidRDefault="00163957" w:rsidP="00163957">
      <w:pPr>
        <w:pStyle w:val="Extracto"/>
      </w:pPr>
    </w:p>
    <w:p w:rsidR="00163957" w:rsidRDefault="00163957" w:rsidP="00163957">
      <w:pPr>
        <w:pStyle w:val="Extracto"/>
      </w:pPr>
      <w:r>
        <w:t>25.</w:t>
      </w:r>
      <w:r>
        <w:tab/>
        <w:t>Un régimen que permite al Estado, por un lado, retener las cantidades adeudadas por las Comunidades Autónomas a un tercero en las transferencias que corresponden a éstas por virtud del sistema de financiación y, por otro, ejercer una competencia autonómica mediante el cumplimiento por sustitución de aquellas obligaciones, afecta muy directamente a las relaciones financieras entre el Estado y las Comunidades Autónomas y, por tanto, penetra un ámbito material cuya regulación está reservada a la ley orgánica (art. 157.3 CE), sin perjuicio de que ésta pueda llamar a una colaboración con normas de distinto rango [FJ 16.c)].</w:t>
      </w:r>
    </w:p>
    <w:p w:rsidR="00163957" w:rsidRDefault="00163957" w:rsidP="00163957">
      <w:pPr>
        <w:pStyle w:val="Extracto"/>
      </w:pPr>
    </w:p>
    <w:p w:rsidR="00163957" w:rsidRDefault="00163957" w:rsidP="00163957">
      <w:pPr>
        <w:pStyle w:val="Extracto"/>
      </w:pPr>
      <w:r>
        <w:t>26.</w:t>
      </w:r>
      <w:r>
        <w:tab/>
        <w:t>No puede dudarse de que una norma penetra el núcleo de las relaciones financieras del Estado con las Comunidades Autónomas si hace valer la posición constitucional del primero para autorizarle a: 1) constatar unilateralmente que la Comunidad Autónoma tiene una obligación de pago frente a un tercero; 2) declarar unilateralmente que tal obligación ha sido incumplida; y 3) ejercer una competencia autonómica por sustitución, deduciendo cantidades de las transferencias que corresponden con cargo al sistema de financiación y poniendo el importe retenido a disposición de aquel tercero [FJ 16.c)].</w:t>
      </w:r>
    </w:p>
    <w:p w:rsidR="00163957" w:rsidRDefault="00163957" w:rsidP="00163957">
      <w:pPr>
        <w:pStyle w:val="Extracto"/>
      </w:pPr>
    </w:p>
    <w:p w:rsidR="00163957" w:rsidRDefault="00163957" w:rsidP="00163957">
      <w:pPr>
        <w:pStyle w:val="Extracto"/>
      </w:pPr>
      <w:r>
        <w:t>27.</w:t>
      </w:r>
      <w:r>
        <w:tab/>
        <w:t>Importa destacar que el legislador básico, cuando desarrolla la garantía constitucional de la autonomía local, puede ejercer en uno u otro sentido su libertad de configuración, siempre que deje espacio a las Comunidades Autónomas y respete el derecho de la entidad local a participar a través de órganos propios en el gobierno y administración, por lo que una legislación estatal que, respetando aquellos límites, pretendiera reducir la autonomía local al mínimo constitucionalmente garantizado podría ser tan básica y legítima como la que tratara de ensancharla al máximo [FJ 3.a)].</w:t>
      </w:r>
    </w:p>
    <w:p w:rsidR="00163957" w:rsidRDefault="00163957" w:rsidP="00163957">
      <w:pPr>
        <w:pStyle w:val="Extracto"/>
      </w:pPr>
    </w:p>
    <w:p w:rsidR="00163957" w:rsidRDefault="00163957" w:rsidP="00163957">
      <w:pPr>
        <w:pStyle w:val="Extracto"/>
      </w:pPr>
      <w:r>
        <w:t>28.</w:t>
      </w:r>
      <w:r>
        <w:tab/>
        <w:t>Interpretar que la competencia normativa estatal empieza allí donde la legislación básica pretende incrementar esa autonomía local conduciría a concebir los arts. 149.1.18, 137, 140 y 141 CE como una suerte de garantía de irreversibilidad de las cotas de autonomía local alcanzadas mediante la ley; con ello el Estado carecería de competencia para derogar o modificar las normas previamente dictadas por él que ampliaban la autonomía local [FJ 3.a)].</w:t>
      </w:r>
    </w:p>
    <w:p w:rsidR="00163957" w:rsidRDefault="00163957" w:rsidP="00163957">
      <w:pPr>
        <w:pStyle w:val="Extracto"/>
      </w:pPr>
    </w:p>
    <w:p w:rsidR="00163957" w:rsidRDefault="00163957" w:rsidP="00163957">
      <w:pPr>
        <w:pStyle w:val="Extracto"/>
      </w:pPr>
      <w:r>
        <w:t>29.</w:t>
      </w:r>
      <w:r>
        <w:tab/>
        <w:t>El Estado, en particular, tiene la responsabilidad de promover la eficacia de la actuación administrativa (art. 103.1 CE), la eficiencia en el uso de los recursos públicos (art. 31.2 CE) y la estabilidad presupuestaria (art. 135 CE) del conjunto de las Administraciones públicas mediante el ejercicio de las competencias que le atribuye el art. 149 CE [FJ 3.a)].</w:t>
      </w:r>
    </w:p>
    <w:p w:rsidR="00163957" w:rsidRDefault="00163957" w:rsidP="00163957">
      <w:pPr>
        <w:pStyle w:val="Extracto"/>
      </w:pPr>
    </w:p>
    <w:p w:rsidR="00163957" w:rsidRDefault="00163957" w:rsidP="00163957">
      <w:pPr>
        <w:pStyle w:val="Extracto"/>
      </w:pPr>
      <w:r>
        <w:t>30.</w:t>
      </w:r>
      <w:r>
        <w:tab/>
        <w:t>No cabe un entendimiento expansivo en cuya virtud cualesquiera medidas destinadas al ahorro en el gasto público, al manejo eficiente de los recursos públicos o a la racionalización de las estructuras administrativas queden reservadas a la ley orgánica por el solo dato de que sirvan en última instancia a fines de estabilidad presupuestaria y sostenibilidad financiera [FJ 3.a)].</w:t>
      </w:r>
    </w:p>
    <w:p w:rsidR="00163957" w:rsidRDefault="00163957" w:rsidP="00163957">
      <w:pPr>
        <w:pStyle w:val="Extracto"/>
      </w:pPr>
    </w:p>
    <w:p w:rsidR="00163957" w:rsidRDefault="00163957" w:rsidP="00163957">
      <w:pPr>
        <w:pStyle w:val="Extracto"/>
      </w:pPr>
      <w:r>
        <w:t>31.</w:t>
      </w:r>
      <w:r>
        <w:tab/>
        <w:t>La atribución al Estado de competencias normativas —en lo que aquí interesa, las bases del régimen local y el régimen completo de las haciendas locales— significa, principalmente, el reconocimiento de su capacidad para decidir políticamente fines y orientar hacia ellos la regulación de una materia [FJ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w:t>
      </w:r>
      <w:r>
        <w:lastRenderedPageBreak/>
        <w:t>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1792-2014, interpuesto por don Ramón Beneyto Pita, don Pedro Escobar Muñoz y don Valentín García Gómez, diputados de la Asamblea de Extremadura comisionados al efecto por el Pleno de la Cámara, contra los apartados 3, 5, 7, 8, 10, 16, 17, 21 y 30 del art. 1 y las disposiciones adicionales octava, novena, undécima y decimoquinta y transitorias primera a cuarta y undécima de la Ley 27/2013, de 27 de diciembre, de racionalización y sostenibilidad de la Administración local, por vulneración de las competencias de la Comunidad Autónoma de Extremadura (arts. 9.3 y 53 a 60 de su Estatuto de Autonomía, en adelante EAE) y otros preceptos constitucionales [arts. 103.1, 137, 148.1, apartados 1 y 2, 149.1, apartados 14 y 18, 149.3, en conexión con los arts. 147.2 d), 150, apartados 1 y 2, 156 y 157.3]. Ha sido ponente el Magistrado don Andrés Ollero Tassara,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24 de marzo de 2014, tres diputados de la Asamblea de Extremadura, comisionados al efecto por el Pleno de la Cámara, interponen recurso de inconstitucionalidad contra varios preceptos de la Ley 27/2013, de 27 de diciembre, de racionalización y sostenibilidad de la Administración local.</w:t>
      </w:r>
    </w:p>
    <w:p w:rsidR="00163957" w:rsidRDefault="00163957" w:rsidP="00163957">
      <w:pPr>
        <w:pStyle w:val="TextoNormal"/>
      </w:pPr>
    </w:p>
    <w:p w:rsidR="00163957" w:rsidRDefault="00163957" w:rsidP="00163957">
      <w:pPr>
        <w:pStyle w:val="TextoNormal"/>
      </w:pPr>
      <w:r w:rsidRPr="00163957">
        <w:rPr>
          <w:rStyle w:val="NumeroAFNegritaCaracter"/>
        </w:rPr>
        <w:t>2</w:t>
      </w:r>
      <w:r>
        <w:t>. El recurso de inconstitucionalidad realiza una serie de consideraciones generales sobre los límites intrínsecos y extrínsecos de la legislación básica en materia de régimen local. Los límites intrínsecos se refieren al alcance necesariamente circunscrito de las bases del régimen local. La extensión de lo básico sería mayor cuando se trata de desarrollar la garantía constitucional de la autonomía local (arts. 137 y 140 CE). De modo que la posibilidad de dictar normas básicas de “simple régimen local”, como las reglas sobre organización administrativa local, sería muy reducida. Los límites extrínsecos derivarían de la variedad de títulos competenciales estatutariamente previstos, en este caso en materia de “alteración de términos municipales” y “organización territorial”. La política territorial ha de ser autonómica, sin perjuicio de que las bases puedan incidir limitadamente sobre ella.</w:t>
      </w:r>
    </w:p>
    <w:p w:rsidR="00163957" w:rsidRDefault="00163957" w:rsidP="00163957">
      <w:pPr>
        <w:pStyle w:val="TextoNormal"/>
      </w:pPr>
    </w:p>
    <w:p w:rsidR="00163957" w:rsidRDefault="00163957" w:rsidP="00163957">
      <w:pPr>
        <w:pStyle w:val="TextoNormal"/>
      </w:pPr>
      <w:r>
        <w:t>Tras estas consideraciones, el recurso de inconstitucionalidad impugna las previsiones siguientes:</w:t>
      </w:r>
    </w:p>
    <w:p w:rsidR="00163957" w:rsidRDefault="00163957" w:rsidP="00163957">
      <w:pPr>
        <w:pStyle w:val="TextoNormal"/>
      </w:pPr>
    </w:p>
    <w:p w:rsidR="00163957" w:rsidRDefault="00163957" w:rsidP="00163957">
      <w:pPr>
        <w:pStyle w:val="TextoNormal"/>
      </w:pPr>
      <w:r>
        <w:t>a) El art. 13 de la Ley 7/1985, de 2 de abril, reguladora de las bases de régimen local (LBRL), en la redacción dada por el art. 1.5 de la Ley de racionalización y sostenibilidad de la Administración local.</w:t>
      </w:r>
    </w:p>
    <w:p w:rsidR="00163957" w:rsidRDefault="00163957" w:rsidP="00163957">
      <w:pPr>
        <w:pStyle w:val="TextoNormal"/>
      </w:pPr>
    </w:p>
    <w:p w:rsidR="00163957" w:rsidRDefault="00163957" w:rsidP="00163957">
      <w:pPr>
        <w:pStyle w:val="TextoNormal"/>
      </w:pPr>
      <w:r>
        <w:t>El nuevo art. 13 LBRL habría desbordado los límites del art. 149.1.18 CE al establecer un régimen cerrado de creación de nuevos municipios sin posibilidad de excepción (apartado 2). También por permitir que los propios municipios acuerden su fusión a través de un convenio aprobado por mayoría simple de sus respectivos plenos, sin perjuicio del procedimiento previsto en la normativa autonómica (apartados 4, primer párrafo, y 6). Habría sustraído a las Comunidades Autónomas una competencia de ejecución que tienen atribuida en sus Estatutos de Autonomía.</w:t>
      </w:r>
    </w:p>
    <w:p w:rsidR="00163957" w:rsidRDefault="00163957" w:rsidP="00163957">
      <w:pPr>
        <w:pStyle w:val="TextoNormal"/>
      </w:pPr>
    </w:p>
    <w:p w:rsidR="00163957" w:rsidRDefault="00163957" w:rsidP="00163957">
      <w:pPr>
        <w:pStyle w:val="TextoNormal"/>
      </w:pPr>
      <w:r>
        <w:t>El art. 13.4 (segundo y tercer párrafo) LBRL encarnaría una política estatal de fomento de las fusiones voluntarias de municipios contraria a la doctrina constitucional sobre gestión de subvenciones. Un “plan estatal de incentivos” no podría impedir el desarrollo de una política territorial propia de la Comunidad Autónoma. Ciertamente, las bases del régimen local alcanzan al “régimen financiero local” (STC 233/1999, de 16 de diciembre), pero, en lo que aquí interesa, permitirían solo establecer un sistema de financiación reforzada para todos los municipios que superen un determinado segmento poblacional; o, combinado con ello, una fórmula de financiación específica para los municipios que a resultas de la fusión o agregación alcancen un determinado nivel de población; no permitiría transferencias financieras selectivas a través de leyes anuales de presupuestos.</w:t>
      </w:r>
    </w:p>
    <w:p w:rsidR="00163957" w:rsidRDefault="00163957" w:rsidP="00163957">
      <w:pPr>
        <w:pStyle w:val="TextoNormal"/>
      </w:pPr>
    </w:p>
    <w:p w:rsidR="00163957" w:rsidRDefault="00163957" w:rsidP="00163957">
      <w:pPr>
        <w:pStyle w:val="TextoNormal"/>
      </w:pPr>
      <w:r>
        <w:t>El Estado carecería de cobertura para dispensar al nuevo municipio resultante de la obligación de prestar los servicios mínimos aparejados al incremento poblacional [segundo párrafo, letra f) del art. 13.4 LBRL]. No sería razonable que una fusión que se incentiva para capacitar al municipio dé lugar a que el nuevo municipio resultante no tenga que atender los servicios que el legislador básico configura como mínimos para todos los municipios. Ello supone a la postre un tratamiento desigual del ciudadano según que su municipio proceda o no de una fusión respecto nada menos que de la prestación de servicios mínimos.</w:t>
      </w:r>
    </w:p>
    <w:p w:rsidR="00163957" w:rsidRDefault="00163957" w:rsidP="00163957">
      <w:pPr>
        <w:pStyle w:val="TextoNormal"/>
      </w:pPr>
    </w:p>
    <w:p w:rsidR="00163957" w:rsidRDefault="00163957" w:rsidP="00163957">
      <w:pPr>
        <w:pStyle w:val="TextoNormal"/>
      </w:pPr>
      <w:r>
        <w:t>El Estado tampoco estaría autorizado a dar preferencia al nuevo municipio en la asignación de “planes de cooperación local, subvenciones, convenios u otros instrumentos basados en la concurrencia” durante un plazo de cinco años prorrogable por la ley de presupuestos generales del Estado [segundo párrafo, letra g) del art. 13.4 LBRL]. Esta previsión desbordaría los títulos previstos en los apartados 18 y 14 del art. 149.1 CE por las razones antedichas y, además, porque los municipios no fusionados dejarían de actuar en un marco de libre concurrencia, siendo preteridos en beneficio de los fusionados.</w:t>
      </w:r>
    </w:p>
    <w:p w:rsidR="00163957" w:rsidRDefault="00163957" w:rsidP="00163957">
      <w:pPr>
        <w:pStyle w:val="TextoNormal"/>
      </w:pPr>
    </w:p>
    <w:p w:rsidR="00163957" w:rsidRDefault="00163957" w:rsidP="00163957">
      <w:pPr>
        <w:pStyle w:val="TextoNormal"/>
      </w:pPr>
      <w:r>
        <w:t>A su vez, incurriría en inconstitucionalidad la previsión de que un órgano estatal (el Ministro de Hacienda y Administraciones públicas a propuesta de la Intervención General del Estado) elaborará las normas de contabilidad a que se refiere la letra e) del párrafo tercero del art. 14.4 LBRL. No se estaría ante uno de los supuestos en que por excepción, la doctrina constitucional ha admitido que el art. 149.1.14 CE ampare regulaciones sobre régimen local.</w:t>
      </w:r>
    </w:p>
    <w:p w:rsidR="00163957" w:rsidRDefault="00163957" w:rsidP="00163957">
      <w:pPr>
        <w:pStyle w:val="TextoNormal"/>
      </w:pPr>
    </w:p>
    <w:p w:rsidR="00163957" w:rsidRDefault="00163957" w:rsidP="00163957">
      <w:pPr>
        <w:pStyle w:val="TextoNormal"/>
      </w:pPr>
      <w:r>
        <w:t xml:space="preserve">b) El art. 24 </w:t>
      </w:r>
      <w:r w:rsidRPr="00163957">
        <w:rPr>
          <w:i/>
        </w:rPr>
        <w:t>bis</w:t>
      </w:r>
      <w:r>
        <w:t xml:space="preserve"> LBRL, introducido por el art. 1.7 de la Ley de racionalización y sostenibilidad de la Administración local, sobre creación de entidades locales de ámbito territorial inferior al municipio. El precepto estaría limitando injustificadamente la libertad autonómica de creación de este tipo de entidades en contra de la doctrina constitucional (SSTC 179/1985, de 19 de diciembre, y 214/1989, de 21 de diciembre) y del Estatuto de Autonomía de Extremadura (arts. 9.3, 53.2 y 58).</w:t>
      </w:r>
    </w:p>
    <w:p w:rsidR="00163957" w:rsidRDefault="00163957" w:rsidP="00163957">
      <w:pPr>
        <w:pStyle w:val="TextoNormal"/>
      </w:pPr>
    </w:p>
    <w:p w:rsidR="00163957" w:rsidRDefault="00163957" w:rsidP="00163957">
      <w:pPr>
        <w:pStyle w:val="TextoNormal"/>
      </w:pPr>
      <w:r>
        <w:t xml:space="preserve">c) El art. 25 LBRL, en la redacción dada por el art. 1.8 de la Ley de racionalización y sostenibilidad de la Administración local, sobre las competencias propias de los municipios. Según razona el recurso, este artículo, en combinación con el art. 7.4, ambos de la Ley reguladora de las bases de régimen local, en la redacción dada por la Ley de racionalización y sostenibilidad de la Administración local, degrada al legislador autonómico en el ejercicio de sus competencias estatutarias y a los municipios en la calidad de las atribuciones recibidas. Su anterior redacción establecía un mínimo competencial propio que el legislador sectorial autonómico podía ampliar. En cambio, el listado de competencias propias, al aparecer como </w:t>
      </w:r>
      <w:r w:rsidRPr="00163957">
        <w:rPr>
          <w:i/>
        </w:rPr>
        <w:t>numerus clausus</w:t>
      </w:r>
      <w:r>
        <w:t>, funcionaría ahora como un máximo con el objetivo de cerrar el ámbito material dentro del cual los municipios pueden ejercer tareas. Se impediría con ello que las Comunidades Autónomas ejerzan sus competencias para ampliar las funciones locales e, incluso, que los municipios puedan desarrollar las previstas en los Estatutos de Autonomía. La ley autonómica solo podría atribuir las competencias locales calificadas de “distintas a las propias y delegadas”.</w:t>
      </w:r>
    </w:p>
    <w:p w:rsidR="00163957" w:rsidRDefault="00163957" w:rsidP="00163957">
      <w:pPr>
        <w:pStyle w:val="TextoNormal"/>
      </w:pPr>
    </w:p>
    <w:p w:rsidR="00163957" w:rsidRDefault="00163957" w:rsidP="00163957">
      <w:pPr>
        <w:pStyle w:val="TextoNormal"/>
      </w:pPr>
      <w:r>
        <w:t>El art. 25.2 LBRL habría desconocido que incumbe al Estado solo “garantizar los mínimos competenciales que dotan de contenido y efectividad a la autonomía local”, correspondiendo la “concreción última de las competencias locales” a la legislación sectorial, estatal o autonómica (STC 214/1989). La contradicción no podría salvarse mediante una interpretación de conformidad; el informe de la ponencia del Senado no preveía un apartado 6 que, añadido en el Congreso de los Diputados, habría permitido otra interpretación (“cuando, por Ley, las Comunidades Autónomas en sus respectivos ámbitos competenciales atribuyan a los municipios competencias propias en materias distintas a las previstas en el apartado 2 del presente artículo…”).</w:t>
      </w:r>
    </w:p>
    <w:p w:rsidR="00163957" w:rsidRDefault="00163957" w:rsidP="00163957">
      <w:pPr>
        <w:pStyle w:val="TextoNormal"/>
      </w:pPr>
    </w:p>
    <w:p w:rsidR="00163957" w:rsidRDefault="00163957" w:rsidP="00163957">
      <w:pPr>
        <w:pStyle w:val="TextoNormal"/>
      </w:pPr>
      <w:r>
        <w:t>El art. 25 LBRL establece un marco de límites dentro del cual la ley determinará las competencias locales enunciadas en el apartado 2. Además de una memoria económica que refleje el impacto sobre los recursos financieros de las Administraciones públicas y el cumplimiento de los principios de descentralización, eficiencia, estabilidad y sostenibilidad financiera, establece que la ley “debe prever la dotación de los recursos necesarios para asegurar la suficiencia financiera de las Entidades Locales sin que ello pueda conllevar, en ningún caso, un mayor gasto de las Administraciones Públicas”. El recurso se basa en un comentario suscrito por uno de los redactores del anteproyecto (confirmado por el gabinete jurídico de la Junta de Andalucía en el informe sobre propuesta de acuerdo del Consejo de Gobierno por el que se acuerda la interposición del recurso de inconstitucionalidad contra varios preceptos de la Ley de racionalización y sostenibilidad de la Administración local) para interpretar que la regulación indicada supone que la ley autonómica no puede descentralizar competencias en los entes locales cuando ello suponga mayor gasto. De modo que la posibilidad de que la Comunidad Autónoma atribuya competencias municipales pasa a depender del simple coste correspondiente al ejercicio de la competencia en cuestión, considerado individualmente, sin relación con el conjunto de la situación financiera y presupuestaria de las Administraciones públicas. Ello entrañaría, no ya la violación de la autonomía local, sino de las competencias estatutarias de las Comunidades Autónomas.</w:t>
      </w:r>
    </w:p>
    <w:p w:rsidR="00163957" w:rsidRDefault="00163957" w:rsidP="00163957">
      <w:pPr>
        <w:pStyle w:val="TextoNormal"/>
      </w:pPr>
    </w:p>
    <w:p w:rsidR="00163957" w:rsidRDefault="00163957" w:rsidP="00163957">
      <w:pPr>
        <w:pStyle w:val="TextoNormal"/>
      </w:pPr>
      <w:r>
        <w:t xml:space="preserve">El apartado 5 establece, en fin, que “la Ley determinará la competencia municipal propia de que se trate, garantizando que no se produce una atribución simultánea de la misma competencia a otra Administración Pública”. Tal previsión habría de interpretarse en conexión </w:t>
      </w:r>
      <w:r>
        <w:lastRenderedPageBreak/>
        <w:t>con el art. 7.4 LBRL (en la redacción dada por el art. 1.3 Ley de racionalización y sostenibilidad de la Administración local). Según el recurso, la competencia propia requiere determinación tanto en la función como en la materia a fin de evitar duplicidad (la ejecución simultánea de la misma competencia por varias Administraciones). Si el legislador sectorial no precisara o no determinara la competencia municipal, nos hallaríamos ante una competencia impropia. La Ley de racionalización y sostenibilidad de la Administración local asimila las competencias propias a las definidas con especificidad y las impropias con las genéricas (no en vano suprime las competencias complementarias y desactiva la cláusula general de competencias del art. 25.1). Ello degradaría al legislador autonómico en el ejercicio de su competencia y a los municipios en la calidad de la competencia recibida; el legislador autonómico acaba siendo un “habilitador positivo” porque el Estado le prohíbe una “delimitación negativa”, es decir, la posibilidad de ceñir la regulación autonómica al ámbito supralocal, dejando a los municipios libertad para el ejercicio de su potestad normativa. El resultado sería un evidente uniformismo incompatible con la diversidad del Estado autonómico.</w:t>
      </w:r>
    </w:p>
    <w:p w:rsidR="00163957" w:rsidRDefault="00163957" w:rsidP="00163957">
      <w:pPr>
        <w:pStyle w:val="TextoNormal"/>
      </w:pPr>
    </w:p>
    <w:p w:rsidR="00163957" w:rsidRDefault="00163957" w:rsidP="00163957">
      <w:pPr>
        <w:pStyle w:val="TextoNormal"/>
      </w:pPr>
      <w:r>
        <w:t>d) El art. 27 LBRL, en la redacción dada por el art. 1.10 de la Ley de racionalización y sostenibilidad de la Administración local y, en conexión con él, el art. 7.4 LBRL, en la redacción dada por el art. 1.3 de la Ley de racionalización y sostenibilidad de la Administración local, así como la disposición adicional novena de la citada Ley. El art. 27 LBRL regula detalladamente las condiciones y el procedimiento de delegación de competencias en los municipios. Según los diputados comisionados, el Estado puede regular la delegación de sus competencias en los entes locales. Puede incluso condicionar la que acuerden las Comunidades Autónomas exigiendo que se ajuste a las exigencias de la Ley Orgánica 2/2012, de 27 de abril, de estabilidad presupuestaria y sostenibilidad financiera. No obstante, no podría perder de vista que la delegación es una técnica instrumental de libre ejercicio por parte del titular de la competencia y, por tanto, que la Comunidad Autónoma ha de tener plena disponibilidad sobre ella, tal como refleja el art. 59.3 EAE. El art. 27 LBRL, aunque no cierra las materias susceptibles de delegación, regula de manera tan detallada sus condiciones (alcanza a las características, duración mínima o mecanismos de control de la eficiencia), que puede considerarse una extralimitación en el ejercicio de la competencia básica estatal.</w:t>
      </w:r>
    </w:p>
    <w:p w:rsidR="00163957" w:rsidRDefault="00163957" w:rsidP="00163957">
      <w:pPr>
        <w:pStyle w:val="TextoNormal"/>
      </w:pPr>
    </w:p>
    <w:p w:rsidR="00163957" w:rsidRDefault="00163957" w:rsidP="00163957">
      <w:pPr>
        <w:pStyle w:val="TextoNormal"/>
      </w:pPr>
      <w:r>
        <w:t>El art. 7.4 LBRL vulneraría igualmente la Constitución al disponer que las Comunidades “preverán técnicas de dirección y control de oportunidad y eficiencia”. En el contexto del sistema de distribución de competencias locales que establece la Ley de racionalización y sostenibilidad de la Administración local, estas técnicas impiden que los Ayuntamientos desarrollen competencias propias. La disposición adicional novena de la Ley de racionalización y sostenibilidad de la Administración local desbordaría el art. 149.1.18 CE toda vez que impone para el 31 de diciembre de 2014 la adaptación a la Ley de los convenios ya suscritos entre las Comunidades Autónomas y los entes locales que conlleven financiación de las competencias delegadas, quedando sin efecto en caso contrario.</w:t>
      </w:r>
    </w:p>
    <w:p w:rsidR="00163957" w:rsidRDefault="00163957" w:rsidP="00163957">
      <w:pPr>
        <w:pStyle w:val="TextoNormal"/>
      </w:pPr>
    </w:p>
    <w:p w:rsidR="00163957" w:rsidRDefault="00163957" w:rsidP="00163957">
      <w:pPr>
        <w:pStyle w:val="TextoNormal"/>
      </w:pPr>
      <w:r>
        <w:t xml:space="preserve">e) El art. 57 LBRL, en la redacción dada por el art. 1.16 de la Ley de racionalización y sostenibilidad de la Administración local. El escrito de recurso considera extensible los razonamientos precedentes al tratamiento que esta previsión brinda a los consorcios. Se trataría de una materia de competencia autonómica (art. 58 EAE, en relación con los arts. 53.2 </w:t>
      </w:r>
      <w:r>
        <w:lastRenderedPageBreak/>
        <w:t>y 9.3, EAE). El legislador estatal no estaría autorizado a limitar la constitución de los consorcios apelando al principio de sostenibilidad financiera; tal principio podría justificar controles o condicionantes a la actuación de las diversas Administraciones, pero no la alteración del reparto competencial entre el Estado y las Comunidades Autónomas. El art. 135 CE no es una cláusula atributiva de competencias.</w:t>
      </w:r>
    </w:p>
    <w:p w:rsidR="00163957" w:rsidRDefault="00163957" w:rsidP="00163957">
      <w:pPr>
        <w:pStyle w:val="TextoNormal"/>
      </w:pPr>
    </w:p>
    <w:p w:rsidR="00163957" w:rsidRDefault="00163957" w:rsidP="00163957">
      <w:pPr>
        <w:pStyle w:val="TextoNormal"/>
      </w:pPr>
      <w:r>
        <w:t xml:space="preserve">f) El art. 57 </w:t>
      </w:r>
      <w:r w:rsidRPr="00163957">
        <w:rPr>
          <w:i/>
        </w:rPr>
        <w:t>bis</w:t>
      </w:r>
      <w:r>
        <w:t xml:space="preserve"> LBRL, introducido por el art. 1.17 de la Ley de racionalización y sostenibilidad de la Administración local. Conforme a este precepto, todo convenio por el que una Comunidad Autónoma delegue competencias o asuma obligaciones financieras o compromisos de pago debe incluir una cláusula de garantía que autorice a la Administración General del Estado a aplicar retenciones en las transferencias que correspondan a las Comunidades Autónomas por aplicación del sistema de financiación. Según los diputados comisionados, esta previsión incide evidentemente en el sistema de financiación por lo que regularía una materia reservada a la ley orgánica (art. 157.3 CE), en coherencia con la doctrina constitucional (STC 96/1990, de 24 de mayo). Su contenido vulneraría, además, la autonomía financiera de las Comunidades Autonómicas garantizada en la Constitución (art. 156.1) y en los Estatutos de Autonomía y que, conforme a la STC 13/2007, de 18 de diciembre, constituye un “instrumento indispensable para la consecución de la autonomía política” que exige la “plena disposición de los medios financieros precisos para poder ejercer, sin condicionamientos indebidos y en toda su extensión”, las funciones encomendadas. Tal vulneración se produciría porque la extinción de deudas se produce al margen de la voluntad de las Administraciones autonómicas en contra del principio de cooperación, que debe regir las relaciones financieras entre el Estado y las Comunidades Autónomas. La regulación impugnada no ha previsto la intervención de órganos colegiados y consultivos [como la Comisión Mixta de Asuntos Económicos y Fiscales (art. 90 EAE) y el Consejo de Política Fiscal y Financiera (art. 3 LOFCA)], ni siquiera una audiencia previa a la realización de la técnica establecida.</w:t>
      </w:r>
    </w:p>
    <w:p w:rsidR="00163957" w:rsidRDefault="00163957" w:rsidP="00163957">
      <w:pPr>
        <w:pStyle w:val="TextoNormal"/>
      </w:pPr>
    </w:p>
    <w:p w:rsidR="00163957" w:rsidRDefault="00163957" w:rsidP="00163957">
      <w:pPr>
        <w:pStyle w:val="TextoNormal"/>
      </w:pPr>
      <w:r>
        <w:t>g) El art. 85.2 LBRL, en la redacción dada por el art. 1.21 de la Ley de racionalización y sostenibilidad de la Administración local porque, al regular la gestión directa de los servicios públicos locales, da preferencia a la gestión por la propia entidad local o sus organismos autónomos sobre la realizada por entidades públicas empresariales o sociedades mercantiles locales. Según el recurso, ello vulnera la autonomía local e infringe las competencias estatutarias de las Comunidades Autonómicas, que alcanzan a la regulación de las modalidades de gestión, sin que la prelación establecida pueda reputarse un principio básico que pueda establecer válidamente el Estado.</w:t>
      </w:r>
    </w:p>
    <w:p w:rsidR="00163957" w:rsidRDefault="00163957" w:rsidP="00163957">
      <w:pPr>
        <w:pStyle w:val="TextoNormal"/>
      </w:pPr>
    </w:p>
    <w:p w:rsidR="00163957" w:rsidRDefault="00163957" w:rsidP="00163957">
      <w:pPr>
        <w:pStyle w:val="TextoNormal"/>
      </w:pPr>
      <w:r>
        <w:t xml:space="preserve">h) El apartado tercero del art. 116 </w:t>
      </w:r>
      <w:r w:rsidRPr="00163957">
        <w:rPr>
          <w:i/>
        </w:rPr>
        <w:t>bis</w:t>
      </w:r>
      <w:r>
        <w:t xml:space="preserve"> LBRL, introducido por el art. 1.30 de la Ley de racionalización y sostenibilidad de la Administración local, relativo al plan económico-financiero que deben formular los entes locales cuando incumplan los objetivos de estabilidad presupuestaria o de deuda pública o la regla de gasto. La previsión impugnada establece específicamente que la diputación provincial o entidad equivalente asistirá al resto de corporaciones locales y colaborará con la Administración que ejerza la tutela financiera en la elaboración y aplicación de las medidas recogidas en aquellos planes. Tal previsión incumpliría el art. 23.4 de la Ley de estabilidad presupuestaria y sostenibilidad financiera, que atribuye a las Comunidades Autónomas la competencia financiera de los entes locales para la aprobación y seguimiento de los citados planes; una competencia autonómica que ha configurado el legislador orgánico como exclusiva pasaría de este modo a ser una competencia </w:t>
      </w:r>
      <w:r>
        <w:lastRenderedPageBreak/>
        <w:t>compartida con las diputaciones. En cualquier caso, el Estado habría desbordado el art. 149.1.18 CE, pues la legislación básica del régimen local no puede imponer esa colaboración, habiendo las Comunidades Autónomas asumido la tutela financiera de los entes locales. La doctrina constitucional ha admitido que ese y otros títulos competenciales (art. 149.1.11 CE) habilitan una legislación de este tipo, pero solo en supuestos en que la propia Administración General del Estado asumía alguna función al respecto o se incorporaba a una relación en principio bilateral (STC 134/2011, de 20 de julio, FFJJ 15 a 17).</w:t>
      </w:r>
    </w:p>
    <w:p w:rsidR="00163957" w:rsidRDefault="00163957" w:rsidP="00163957">
      <w:pPr>
        <w:pStyle w:val="TextoNormal"/>
      </w:pPr>
    </w:p>
    <w:p w:rsidR="00163957" w:rsidRDefault="00163957" w:rsidP="00163957">
      <w:pPr>
        <w:pStyle w:val="TextoNormal"/>
      </w:pPr>
      <w:r>
        <w:t xml:space="preserve">i) La disposición adicional octava de la Ley de racionalización y sostenibilidad de la Administración local, que permite al Ministerio de Hacienda y Administraciones Públicas retener recursos que habrían de transferirse a una Administración territorial (o entidad de Derecho público dependiente de ella) cuando ésta incumpla las obligaciones tributarias previstas en relación con los bienes inmuebles de la Seguridad Social que se le hayan adscrito o transferido [art. 81.1 d) del texto refundido de la Ley de la Seguridad Social, aprobado por Real Decreto Legislativo 1/1994, de 20 de junio], a fin de que pueda afrontarse el pago. La Asamblea legislativa recurrente extiende el razonamiento desenvuelto respecto del art. 57 </w:t>
      </w:r>
      <w:r w:rsidRPr="00163957">
        <w:rPr>
          <w:i/>
        </w:rPr>
        <w:t>bis</w:t>
      </w:r>
      <w:r>
        <w:t xml:space="preserve"> LBRL a este precepto, en lo que afecta las deudas correspondientes a los tributos locales, que son las que parece tener en cuenta el legislador.</w:t>
      </w:r>
    </w:p>
    <w:p w:rsidR="00163957" w:rsidRDefault="00163957" w:rsidP="00163957">
      <w:pPr>
        <w:pStyle w:val="TextoNormal"/>
      </w:pPr>
    </w:p>
    <w:p w:rsidR="00163957" w:rsidRDefault="00163957" w:rsidP="00163957">
      <w:pPr>
        <w:pStyle w:val="TextoNormal"/>
      </w:pPr>
      <w:r>
        <w:t xml:space="preserve">j) La disposición adicional undécima de la Ley de racionalización y sostenibilidad de la Administración local, relativa a los servicios y competencias que las Comunidades Autónomas deben asumir de acuerdo con las disposiciones transitorias primera y segunda de la misma ley. Se establece la obligación de comunicar al Ministerio de Hacienda y Administraciones públicas tanto la asunción de aquellos servicios y competencias como las obligaciones que tuvieran reconocidas y estuvieran pendientes de pago a los municipios; todo ello al objeto de la realización, en los términos que se determinen reglamentariamente, de compensaciones entre los derechos y obligaciones recíprocos, el posterior ingreso del saldo resultante a favor de la Administración que corresponda y, en su caso, recuperación mediante la aplicación de retenciones en el sistema de financiación de la Administración pública que resulte deudora. Según el recurso, este precepto, en cuanto admite que el Estado practique retenciones en el sistema de financiación autonómica, estaría afectado por los mismos vicios que el art. 57 </w:t>
      </w:r>
      <w:r w:rsidRPr="00163957">
        <w:rPr>
          <w:i/>
        </w:rPr>
        <w:t>bis</w:t>
      </w:r>
      <w:r>
        <w:t xml:space="preserve"> LBRL; vulneraría la reserva de ley orgánica (art. 157.3 CE) y la autonomía financiera garantizada en el art. 156.</w:t>
      </w:r>
    </w:p>
    <w:p w:rsidR="00163957" w:rsidRDefault="00163957" w:rsidP="00163957">
      <w:pPr>
        <w:pStyle w:val="TextoNormal"/>
      </w:pPr>
    </w:p>
    <w:p w:rsidR="00163957" w:rsidRDefault="00163957" w:rsidP="00163957">
      <w:pPr>
        <w:pStyle w:val="TextoNormal"/>
      </w:pPr>
      <w:r>
        <w:t>k) La disposición transitoria cuarta de la Ley de racionalización y sostenibilidad de la Administración local, que prevé la disolución de las entidades locales de ámbito territorial inframunicipal cuando, antes de una determinada fecha, no hayan presentado sus cuentas ante el Estado y las Comunidades Autónomas. Según el escrito de interposición, a la vista de la doctrina constitucional (SSTC 179/1985, de 19 de diciembre; 214/1989, de 21 de diciembre), no ofrece dudas que la legislación básica no alcanza a los requisitos relativos a la creación y extinción de estas entidades, que están sujetas a un fuerte grado de “interiorización” autonómica. La disposición controvertida llega incluso a prever la disolución como efecto de la ausencia de rendición de cuentas ante el Estado desconociendo que la tutela financiera es una competencia ejecutiva de la Comunidad Autónoma. La norma exige, además, que la disolución se acuerde por decreto del gobierno autonómico en contra de la competencia autonómica de autoorganización (art. 148.1.1 CE).</w:t>
      </w:r>
    </w:p>
    <w:p w:rsidR="00163957" w:rsidRDefault="00163957" w:rsidP="00163957">
      <w:pPr>
        <w:pStyle w:val="TextoNormal"/>
      </w:pPr>
    </w:p>
    <w:p w:rsidR="00163957" w:rsidRDefault="00163957" w:rsidP="00163957">
      <w:pPr>
        <w:pStyle w:val="TextoNormal"/>
      </w:pPr>
      <w:r>
        <w:lastRenderedPageBreak/>
        <w:t>l) La disposición transitoria undécima de la Ley de racionalización y sostenibilidad de la Administración local, sobre las mancomunidades de municipios. Incurriría en inconstitucionalidad porque invadiría la competencia autonómica para regular las técnicas de cooperación y coordinación (arts. 54.4 y 58 EAE) al limitar las atribuciones de las mancomunidades a la realización de obras y prestación de servicios públicos. Por otra parte, vulneraría la competencia autonómica de autoorganización (art. 148.1 CE) al asignar al órgano de gobierno de la Comunidad Autónoma la función de iniciar y resolver los procedimientos de disolución de tales mancomunidades.</w:t>
      </w:r>
    </w:p>
    <w:p w:rsidR="00163957" w:rsidRDefault="00163957" w:rsidP="00163957">
      <w:pPr>
        <w:pStyle w:val="TextoNormal"/>
      </w:pPr>
    </w:p>
    <w:p w:rsidR="00163957" w:rsidRDefault="00163957" w:rsidP="00163957">
      <w:pPr>
        <w:pStyle w:val="TextoNormal"/>
      </w:pPr>
      <w:r>
        <w:t>m) Las disposiciones adicional decimoquinta y transitorias primera a tercera de la Ley de racionalización y sostenibilidad de la Administración local. Estas previsiones atribuirían de modo directo y unilateral a las Comunidades Autónomas competencias municipales en materia de educación (disposición adicional decimoquinta), salud (disposición transitoria primera), servicios sociales (disposición transitoria segunda) y servicios de inspección sanitaria (disposición transitoria tercera). Bajo determinadas condiciones (educación) o con sujeción a plazos de implantación (salud y servicios sociales), la Ley atribuye competencias a las Comunidades Autónomas a través de un procedimiento hasta ahora inédito: mediante una simple ley ordinaria y de manera unilateral y coercitiva. Es un procedimiento unilateral porque la ley no prevé intervención autonómica alguna en orden a aceptar aquellas facultades sin que una comisión mixta analice la cuestión. Es un procedimiento coercitivo porque, conforme a las disposiciones transitorias primera y segunda, el municipio, diputación o ente equivalente deberá seguir prestando el servicio si la Comunidad Autónoma no lo asume; a su vez, si esta no trasfiriese las cuantías precisas, se prevé su retención en la forma que se establezca legalmente. Tal procedimiento carece de sustento constitucional.</w:t>
      </w:r>
    </w:p>
    <w:p w:rsidR="00163957" w:rsidRDefault="00163957" w:rsidP="00163957">
      <w:pPr>
        <w:pStyle w:val="TextoNormal"/>
      </w:pPr>
    </w:p>
    <w:p w:rsidR="00163957" w:rsidRDefault="00163957" w:rsidP="00163957">
      <w:pPr>
        <w:pStyle w:val="TextoNormal"/>
      </w:pPr>
      <w:r>
        <w:t>La Comunidad Autónoma es titular nada más que de las competencias que le haya atribuido su Estatuto, correspondiendo las demás al Estado (art. 149.3 CE). Cabe, ciertamente, la ampliación extraestatutaria, pero solo a través de los instrumentos previstos en la Constitución: ley marco (art. 150.1 CE) y ley orgánica de transferencia y delegación (art. 150.2 CE). Solo mediante este tipo de leyes el Estado puede atribuir unilateralmente competencias a las Comunidades Autónomas (STC 761983, de 5 de agosto); leyes cuya utilización es, en todo caso, excepcional, extraordinaria o residual (STC 15/1989, de 26 de enero). Consecuentemente, el legislador estatal habría desbordado los límites del art. 149.1.18 CE, al articular una ampliación extraestatutaria de las competencias autonómicas al margen del procedimiento constitucionalmente establecido.</w:t>
      </w:r>
    </w:p>
    <w:p w:rsidR="00163957" w:rsidRDefault="00163957" w:rsidP="00163957">
      <w:pPr>
        <w:pStyle w:val="TextoNormal"/>
      </w:pPr>
    </w:p>
    <w:p w:rsidR="00163957" w:rsidRDefault="00163957" w:rsidP="00163957">
      <w:pPr>
        <w:pStyle w:val="TextoNormal"/>
      </w:pPr>
      <w:r>
        <w:t>No cabría aducir en contra que las Comunidades Autónomas ya tenían atribuidas tales competencias. Según el recurso, las Comunidades Autónomas habían asumido y ejercido competencias en materia de educación, salud o servicios sociales, pero sin incluir las facultades que ahora se les atribuyen. Tales facultades se prevén (educación) o preveían como propias del municipio. Ahora pasan a ser de titularidad autonómica al margen de los procedimientos constitucionalmente establecidos. Consecuentemente, las disposiciones señaladas serían inconstitucionales por vulnerar el art. 149.3, en conexión con los arts. 147.2 d) y 150, apartados 1 y 2, todos de la Constitución. Las disposiciones transitorias primera y segunda infringirían, además, la reserva de ley orgánica (art. 157.3 CE) y la autonomía financiera de las Comunidades Autónomas (art. 156 CE) al prever la aplicación de retenciones en las transferencias resultantes del sistema de financiación cuando la Comunidad Autó</w:t>
      </w:r>
      <w:r>
        <w:lastRenderedPageBreak/>
        <w:t xml:space="preserve">noma no preste los servicios que tiene ahora asumidos y tampoco traslade las cuantías necesarias para que pueda seguir prestándolo el municipio, diputación provincial o equivalente. El recurso traslada a estas previsiones el razonamiento desarrollado respecto del 57 </w:t>
      </w:r>
      <w:r w:rsidRPr="00163957">
        <w:rPr>
          <w:i/>
        </w:rPr>
        <w:t>bis</w:t>
      </w:r>
      <w:r>
        <w:t xml:space="preserve"> LBRL y la disposición adicional octava de la Ley de racionalización y sostenibilidad de la Administración local.</w:t>
      </w:r>
    </w:p>
    <w:p w:rsidR="00163957" w:rsidRDefault="00163957" w:rsidP="00163957">
      <w:pPr>
        <w:pStyle w:val="TextoNormal"/>
      </w:pPr>
    </w:p>
    <w:p w:rsidR="00163957" w:rsidRDefault="00163957" w:rsidP="00163957">
      <w:pPr>
        <w:pStyle w:val="TextoNormal"/>
      </w:pPr>
      <w:r w:rsidRPr="00163957">
        <w:rPr>
          <w:rStyle w:val="NumeroAFNegritaCaracter"/>
        </w:rPr>
        <w:t>3</w:t>
      </w:r>
      <w:r>
        <w:t>. Mediante providencia de 27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el de 31 de mayo de 2014.</w:t>
      </w:r>
    </w:p>
    <w:p w:rsidR="00163957" w:rsidRDefault="00163957" w:rsidP="00163957">
      <w:pPr>
        <w:pStyle w:val="TextoNormal"/>
      </w:pPr>
    </w:p>
    <w:p w:rsidR="00163957" w:rsidRDefault="00163957" w:rsidP="00163957">
      <w:pPr>
        <w:pStyle w:val="TextoNormal"/>
      </w:pPr>
      <w:r w:rsidRPr="00163957">
        <w:rPr>
          <w:rStyle w:val="NumeroAFNegritaCaracter"/>
        </w:rPr>
        <w:t>4</w:t>
      </w:r>
      <w:r>
        <w:t>. Por escrito registrado en este Tribunal el 5 de junio de 2014, el Presidente del Congreso de los Diputados comunica el acuerdo de la Mesa de la Cámara de personarse en el proceso ofreciendo su colaboración a los efectos del art. 88.1 de la Ley Orgánica del Tribunal Constitucional (LOTC).</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en este Tribunal el 11 de junio de 2014, el Presidente del Senado comunica el acuerdo de la Mesa de la Cámara de personarse en el proceso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Por escrito registrado en este Tribunal el 11 de junio de 2014,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12 de junio de 2014 el Pleno del Tribunal Constitucional acuerda tener por personado al Abogado del Estado en la representación que legalmente ostenta y conceder la prórroga solicitada.</w:t>
      </w:r>
    </w:p>
    <w:p w:rsidR="00163957" w:rsidRDefault="00163957" w:rsidP="00163957">
      <w:pPr>
        <w:pStyle w:val="TextoNormal"/>
      </w:pPr>
    </w:p>
    <w:p w:rsidR="00163957" w:rsidRDefault="00163957" w:rsidP="00163957">
      <w:pPr>
        <w:pStyle w:val="TextoNormal"/>
      </w:pPr>
      <w:r w:rsidRPr="00163957">
        <w:rPr>
          <w:rStyle w:val="NumeroAFNegritaCaracter"/>
        </w:rPr>
        <w:t>8</w:t>
      </w:r>
      <w:r>
        <w:t>. El Abogado del Estado, en la representación que legalmente ostenta, presenta el 2 de julio de 2014 en el Registro General de este Tribunal Constitucional su escrito de alegaciones.</w:t>
      </w:r>
    </w:p>
    <w:p w:rsidR="00163957" w:rsidRDefault="00163957" w:rsidP="00163957">
      <w:pPr>
        <w:pStyle w:val="TextoNormal"/>
      </w:pPr>
    </w:p>
    <w:p w:rsidR="00163957" w:rsidRDefault="00163957" w:rsidP="00163957">
      <w:pPr>
        <w:pStyle w:val="TextoNormal"/>
      </w:pPr>
      <w:r>
        <w:t>El indicado escrito incluye una serie de consideraciones destinada a contextualizar la Ley de racionalización y sostenibilidad de la Administración local. Describe ampliamente el marco normativo europeo y nacional relativo a la estabilidad presupuestaria y a la sostenibilidad financiera. A la vista del art. 3 del Tratado de estabilidad, coordinación y gobernanza en la Unión Europea y Monetaria, firmado por España el 2 de marzo de 2012, los presupuestos de las Administraciones públicas deben estar equilibrados o en superávit. Tras referirse a la legislación nacional adoptada a partir de 2001 en orden a la consecución de la estabilidad y crecimiento económicos, el Abogado del Estado se detiene en la incorporación de la exigencia de estabilidad presupuestaria en la Constitución (reforma del art. 135 CE de 27 de septiembre de 2011), que vino “justificada por el propio significado de la Unión Eco</w:t>
      </w:r>
      <w:r>
        <w:lastRenderedPageBreak/>
        <w:t>nómica y Monetaria” (cita el Dictamen 164/2012 del Consejo de Estado). La reforma representa la primera apertura expresa de la Constitución al ordenamiento europeo y consagra una nueva atribución de competencias. La Ley Orgánica de estabilidad presupuestaria y sostenibilidad financiera desarrolla el art. 135 CE; incorpora las exigencias europeas de estabilidad presupuestaria. Sus medidas resultan necesarias para dar cumplimiento, no solo al mandato constitucional, sino también a los compromisos de España ante la Unión Europea.</w:t>
      </w:r>
    </w:p>
    <w:p w:rsidR="00163957" w:rsidRDefault="00163957" w:rsidP="00163957">
      <w:pPr>
        <w:pStyle w:val="TextoNormal"/>
      </w:pPr>
    </w:p>
    <w:p w:rsidR="00163957" w:rsidRDefault="00163957" w:rsidP="00163957">
      <w:pPr>
        <w:pStyle w:val="TextoNormal"/>
      </w:pPr>
      <w:r>
        <w:t>La Ley de racionalización y sostenibilidad de la Administración local proviene del plan nacional de reformas 2013 remitido por el Consejo de Ministros a la Unión Europea, que pretende perseverar en la corrección de los desequilibrios presupuestarios y sentar las bases de la recuperación económica y de la creación de empleo. La Ley de racionalización y sostenibilidad de la Administración local no es desarrollo estricto del nuevo art.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00163957" w:rsidRDefault="00163957" w:rsidP="00163957">
      <w:pPr>
        <w:pStyle w:val="TextoNormal"/>
      </w:pPr>
    </w:p>
    <w:p w:rsidR="00163957" w:rsidRDefault="00163957" w:rsidP="00163957">
      <w:pPr>
        <w:pStyle w:val="TextoNormal"/>
      </w:pPr>
      <w:r>
        <w:t>En cuanto a los títulos competenciales que soportarían la reforma, el Abogado del Estado se refiere a los apartados 18, 14 y 13 del art. 149.1 CE. El primero, sobre bases del régimen local, cubriría las regulaciones destinadas a concretar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 137 CE, por un lado, y del art. 149.1.18 CE, por otro, no son coextensos” (SSTC 11/1999, de 11 de febrero, FJ 2, y 240/2006, de 20 de julio, FJ 8). La regulación del régimen local incluida en los Estatutos autonómicos reformados a partir de 2006 debería entenderse “sin perjuicio de las relaciones que el Estado puede legítimamente establecer con todos los entes locales” (STC 31/2010, de 28 de junio, FJ 36). Las previsiones estatutarias “deben respetar en todo caso la competencia básica que al Estado corresponde en la materia” (STC 143/2013, de 11 de julio, FJ 36; se cita también la STC 103/2013, de 25 de abril). Tales previsiones interiorizarían el régimen local en cada Comunidad Autónoma en el sentido de que proporcionan guía al legislador autonómico, pero debería prevalecer la norma básica estatal, si entrara en conflicto con ellas.</w:t>
      </w:r>
    </w:p>
    <w:p w:rsidR="00163957" w:rsidRDefault="00163957" w:rsidP="00163957">
      <w:pPr>
        <w:pStyle w:val="TextoNormal"/>
      </w:pPr>
    </w:p>
    <w:p w:rsidR="00163957" w:rsidRDefault="00163957" w:rsidP="00163957">
      <w:pPr>
        <w:pStyle w:val="TextoNormal"/>
      </w:pPr>
      <w:r>
        <w:t>El art. 149.1.14 CE, sobre hacienda general, cubriría específicamente la normativa estatal sobre las instituciones comunes a las distintas haciendas, la coordinación entre las haciendas estatal y locales y garantía de la suficiencia financiera de los entes locales prevista en el art. 137 CE (STC 233/1999, de 16 de diciembre, FJ 4, y las Sentencias que allí se citan). La estrecha vinculación entre el régimen local y la hacienda local justificaría que la Ley de racionalización y sostenibilidad de la Administración local cite conjuntamente ambos títulos, tal como ha admitido la doctrina constitucional (STC 233/1999), sin perjuicio de que varias de sus disposiciones serían directamente incardinables en el art. 149.1.14 CE.</w:t>
      </w:r>
    </w:p>
    <w:p w:rsidR="00163957" w:rsidRDefault="00163957" w:rsidP="00163957">
      <w:pPr>
        <w:pStyle w:val="TextoNormal"/>
      </w:pPr>
    </w:p>
    <w:p w:rsidR="00163957" w:rsidRDefault="00163957" w:rsidP="00163957">
      <w:pPr>
        <w:pStyle w:val="TextoNormal"/>
      </w:pPr>
      <w:r>
        <w:lastRenderedPageBreak/>
        <w:t>La Ley de racionalización y sostenibilidad de la Administración local no cita específicamente el art. 149.1.13 CE, sobre ordenación general de la economía, pero, en realidad, sería el “título fundamental” que la habilita. La reforma no desarrolla estrictamente el nuevo art. 135 CE, pero se justifica primariamente en sus principios de estabilidad presupuestaria y sostenibilidad financiera. Trata, en particular, de ajustar el régimen jurídico básico de los entes locales a la Ley Orgánica de estabilidad presupuestaria y sostenibilidad financiera. La estabilidad presupuestaria sería una exigencia material de supervivencia de la Unión Europea, asumida formalmente por el constituyente español, que afecta a la distribución de competencias y a los cánones de enjuiciamiento aplicables. La mencionada Ley Orgánica, antes de la reforma constitucional, habría debido apoyarse en los apartados 11, 13, 14 y 18 del art. 149.1 CE (STC 134/2011, de 20 de julio); ahora está directamente habilitada por el art. 135 CE (STC 157/2011, de 18 de octubre, y otras). Por lo mismo, la Ley de racionalización y sostenibilidad de la Administración local se apoyaría ahora de modo fundamental, dado el nuevo contexto constitucional, en el art. 149.1.13 CE. Este título justificaría una mayor extensión de las bases del régimen local, teniendo en cuenta que en todo caso el concepto de bases es dinámico y, por tanto, variable en función tanto de las apreciaciones del titular de la competencia como de las circunstancias. De las nuevas circunstancias y, en particular, de la grave crisis económica que atraviesa el euro se habría hecho eco el Tribunal Constitucional (AATC 95/2011, de 21 de junio, FJ 5; 96/2011, de 21 de junio, FJ 5; 108/2011, de 5 de julio, FJ 5; 160/2011, de 22 de noviembre, FJ 3, y 147/2012, de 16 de julio, FJ 6).</w:t>
      </w:r>
    </w:p>
    <w:p w:rsidR="00163957" w:rsidRDefault="00163957" w:rsidP="00163957">
      <w:pPr>
        <w:pStyle w:val="TextoNormal"/>
      </w:pPr>
    </w:p>
    <w:p w:rsidR="00163957" w:rsidRDefault="00163957" w:rsidP="00163957">
      <w:pPr>
        <w:pStyle w:val="TextoNormal"/>
      </w:pPr>
      <w:r>
        <w:t>Los factores de estabilidad presupuestaria y sostenibilidad de las Administraciones locales serían principios rectores que funcionan ahora con la misma intensidad que la garantía de la autonomía local (arts. 137, 140, 141 CE). Tal garantía habría resultado “modalizada” por aquellos objetivos que, en consonancia con la política financiera de la Unión Europea, ha acogido el legislador constitucional; objetivos que tendrían un carácter esencial en su realización desde abajo dentro del régimen jurídico de los entes locales (se cita el Dictamen del Consejo de Estado sobre el anteproyecto de la Ley controvertida).</w:t>
      </w:r>
    </w:p>
    <w:p w:rsidR="00163957" w:rsidRDefault="00163957" w:rsidP="00163957">
      <w:pPr>
        <w:pStyle w:val="TextoNormal"/>
      </w:pPr>
    </w:p>
    <w:p w:rsidR="00163957" w:rsidRDefault="00163957" w:rsidP="00163957">
      <w:pPr>
        <w:pStyle w:val="TextoNormal"/>
      </w:pPr>
      <w:r>
        <w:t xml:space="preserve">El Abogado del Estado sintetiza la doctrina constitucional relativa a los límites de la autonomía financiera de las Comunidades Autónomas. Esa autonomía (arts. 2 y 137 CE) es una vertiente de la autonomía política, entendida como capacidad de elaborar políticas propias. Supone la plena disponibilidad de los ingresos sin condicionamientos indebidos. No obstante, tal autonomía no se establece constitucionalmente con carácter absoluto (STC 134/2011, FJ 8). El ejercicio de las competencias autonómicas de carácter financiero debe estar presidido por las directrices de cooperación y coordinación. A su vez, el Estado está legitimado para dictar legislación de estabilidad presupuestaria limitadora de la capacidad financiera y presupuestaria de las Comunidades Autónomas. Puede establecer, no solo límites presupuestarios en materia concretas, sino también topes generales a los propios presupuestos; la sujeción de las Comunidades Autónomas al principio de estabilidad presupuestaria es constitucionalmente legítima (STC 134/2011, FFJJ 7 y 8). El Estado es garante del “equilibrio económico general” y competente para “conseguir estabilidad económica, interna y externa” (STC 62/2001, FJ 4 y otras). En relación con los planes de saneamiento y control, son legítimos “los controles que resulte necesario ejercer para garantizar el cumplimiento de las facultades emanadas de las potestades de coordinación” (STC 134/2011, FFJJ 9 a 11). No es un control indebido la autorización estatal para que las Comunidades Autónomas puedan concertar operaciones de crédito en el extranjero, para emitir deuda pública o cualquier otra apelación al crédito público [STC 134/2011, FJ 8 e)]. A la vista de </w:t>
      </w:r>
      <w:r>
        <w:lastRenderedPageBreak/>
        <w:t>esta doctrina, resultaría innegable que la Ley Orgánica de estabilidad presupuestaria y sostenibilidad financiera es perfectamente compatible con la autonomía financiera de las Comunidades Autónomas.</w:t>
      </w:r>
    </w:p>
    <w:p w:rsidR="00163957" w:rsidRDefault="00163957" w:rsidP="00163957">
      <w:pPr>
        <w:pStyle w:val="TextoNormal"/>
      </w:pPr>
    </w:p>
    <w:p w:rsidR="00163957" w:rsidRDefault="00163957" w:rsidP="00163957">
      <w:pPr>
        <w:pStyle w:val="TextoNormal"/>
      </w:pPr>
      <w:r>
        <w:t>El Abogado del Estado, se refiere específicamente a cada una de las impugnaciones del recurso de inconstitucionalidad.</w:t>
      </w:r>
    </w:p>
    <w:p w:rsidR="00163957" w:rsidRDefault="00163957" w:rsidP="00163957">
      <w:pPr>
        <w:pStyle w:val="TextoNormal"/>
      </w:pPr>
    </w:p>
    <w:p w:rsidR="00163957" w:rsidRDefault="00163957" w:rsidP="00163957">
      <w:pPr>
        <w:pStyle w:val="TextoNormal"/>
      </w:pPr>
      <w:r>
        <w:t>a) Respecto del art. 13 LBRL (en la redacción dada por el art. 1.5 de la Ley de racionalización y sostenibilidad de la Administración local), el Abogado del Estado cita doctrina constitucional (STC 103/2013, de 5 de abril) para sostener que, conforme al art. 149.1.18 CE, el Estado “debe establecer el modelo municipal común”; “puede optar, de entre los posibles”, por uno determinado; puede inclinarse por un “modelo minifundista” o por otro “basado en mayores exigencias de población o territorio”. El art. 148.1.3 CE se refiere a la “alteración de los términos municipales comprendidos en su territorio” como competencia autonómica, pero el ejercicio de tal competencia debe enmarcarse en los criterios básicos que fije el Estado, como resulta del juego combinado de los arts. 137, 140 y 149.1.18 CE (STC 214/1989). La previsión controvertida se refiere a la fusión, regulando sus efectos e incentivándola; suaviza la mayoría requerida para que los municipios la acuerden voluntariamente e incluye otras medidas de fomento (mejora del sistema de financiación local, dispensa de la prestación de nuevos servicios mínimos y preferencia en la asignación de planes de cooperación y subvenciones).</w:t>
      </w:r>
    </w:p>
    <w:p w:rsidR="00163957" w:rsidRDefault="00163957" w:rsidP="00163957">
      <w:pPr>
        <w:pStyle w:val="TextoNormal"/>
      </w:pPr>
    </w:p>
    <w:p w:rsidR="00163957" w:rsidRDefault="00163957" w:rsidP="00163957">
      <w:pPr>
        <w:pStyle w:val="TextoNormal"/>
      </w:pPr>
      <w:r>
        <w:t>Esta regulación no invadiría las competencias autonómicas. La Comunidad Autónoma no quedaría al margen del proceso de fusión. El apartado 1 del art. 13 LBRL, además de prever el dictamen preceptivo del órgano consultivo superior de la Comunidad Autónoma y el informe de la Comunidad que tenga atribuida la tutela financiera del ente local, remite expresa y terminantemente el régimen de la fusión de municipios a la legislación autonómica. El apartado 3 deja a salvo la competencia autonómica en materia de incentivos a la fusión. El apartado 5 atribuye a las Comunidades Autónomas (y a las diputaciones provinciales o entes equivalentes), la supervisión y la coordinación de los servicios resultantes de la fusión.</w:t>
      </w:r>
    </w:p>
    <w:p w:rsidR="00163957" w:rsidRDefault="00163957" w:rsidP="00163957">
      <w:pPr>
        <w:pStyle w:val="TextoNormal"/>
      </w:pPr>
    </w:p>
    <w:p w:rsidR="00163957" w:rsidRDefault="00163957" w:rsidP="00163957">
      <w:pPr>
        <w:pStyle w:val="TextoNormal"/>
      </w:pPr>
      <w:r>
        <w:t>El Estado se habría movido dentro de sus márgenes competenciales al garantizar la suficiencia financiera del municipio resultante de la fusión, regular su régimen jurídico y coordinar las haciendas de todas las entidades locales. Los incentivos a la fusión en nada afectarían al otorgamiento de subvenciones. El art. 13 LBRL no regula cerrada y anticipadamente la concesión de subvenciones; se limita a establecer un criterio de preferencia que habrá de tener en cuenta la Administración competente para regular y conceder la correspondiente ayuda. Su apartado 3 deja a salvo la competencia autonómica para establecer otras medidas de fomento de las fusiones de municipios; a su vez el apartado 4 alude a incentivos de orden financiero que se enmarcan en el art. 149.1.14 CE, dejando expresamente a salvo el procedimiento establecido por las Comunidades Autónomas.</w:t>
      </w:r>
    </w:p>
    <w:p w:rsidR="00163957" w:rsidRDefault="00163957" w:rsidP="00163957">
      <w:pPr>
        <w:pStyle w:val="TextoNormal"/>
      </w:pPr>
    </w:p>
    <w:p w:rsidR="00163957" w:rsidRDefault="00163957" w:rsidP="00163957">
      <w:pPr>
        <w:pStyle w:val="TextoNormal"/>
      </w:pPr>
      <w:r>
        <w:t xml:space="preserve">b) Respecto del art. 24 </w:t>
      </w:r>
      <w:r w:rsidRPr="00163957">
        <w:rPr>
          <w:i/>
        </w:rPr>
        <w:t>bis</w:t>
      </w:r>
      <w:r>
        <w:t xml:space="preserve"> LBRL (introducido por el art. 1.7 de la Ley de racionalización y sostenibilidad de la Administración local), el Abogado del Estado cita doctrina constitucional para defender que ni la autonomía local (STC 214/1989) ni las competencias autonómicas (STC 179/1985) impiden una regulación básica </w:t>
      </w:r>
      <w:r w:rsidRPr="00163957">
        <w:rPr>
          <w:i/>
        </w:rPr>
        <w:t>ex</w:t>
      </w:r>
      <w:r>
        <w:t xml:space="preserve"> art. 149.1.18 CE sobre entidades locales de segundo grado, sin perjuicio de que tal regulación deba ponderar los intereses </w:t>
      </w:r>
      <w:r>
        <w:lastRenderedPageBreak/>
        <w:t>locales y tener en cuenta que la decisión concreta de creación o supresión corresponde a las Comunidades Autónomas (SSTC 121/2012, de 5 de junio; 159/2001, de 5 de julio). La previsión controvertida se movería dentro de estos contornos: no supone creación ni extinción de las entidades inframunicipales; no altera su régimen competencial; establece su regulación por remisión a la que adopten las Comunidades Autónomas; conserva todas las entidades existentes (disposiciones transitorias cuarta y quinta de la Ley de racionalización y sostenibilidad de la Administración local), imponiendo solo una carga para la conservación de su personalidad jurídica (la remisión de las cuentas al órgano competente); aunque hurta de personalidad jurídica a las de nueva creación, no impone su desaparición, teniendo en cuenta que se trata de entidades que, según la doctrina constitucional, aun con personalidad jurídica, forman parte del municipio, que actuaría en régimen de descentralización (STC 214/1999).</w:t>
      </w:r>
    </w:p>
    <w:p w:rsidR="00163957" w:rsidRDefault="00163957" w:rsidP="00163957">
      <w:pPr>
        <w:pStyle w:val="TextoNormal"/>
      </w:pPr>
    </w:p>
    <w:p w:rsidR="00163957" w:rsidRDefault="00163957" w:rsidP="00163957">
      <w:pPr>
        <w:pStyle w:val="TextoNormal"/>
      </w:pPr>
      <w:r>
        <w:t>c) Respecto del art. 25 LBRL (en la redacción dada por el art. 1.8 de la Ley de racionalización y sostenibilidad de la Administración local), el Abogado del Estado señala que la Constitución incluye listados competenciales en relación con la distribución del poder entre el Estado y las Comunidades Autónomas (arts. 148 y 149 CE) sin referirse explícitamente a las competencias locales. En ausencia de una predeterminación constitucional del contenido de la autonomía local (art. 137 CE), el legislador competente dispone de un margen de configuración, sin perjuicio de que debe garantizar a los entes locales la participación efectiva en los asuntos que les atañen (STC 121/2012, de 5 de junio, FJ 5). De acuerdo con el art. 149.1.18 CE, “corresponde al Estado optar, de entre los posibles, por un determinado modelo municipal” (STC 103/2013, FJ 5). Formarían parte de ese modelo los aspectos competenciales (STC 32/1981, de 28 de junio, FJ 1). Corresponde al legislador básico establecer los mínimos que dotan de contenido y efectividad a la garantía de la autonomía local, así como fijar los principios que deben aplicar las Comunidades Autónomas al detallar las competencias locales (STC 214/1989, de 21 de diciembre).</w:t>
      </w:r>
    </w:p>
    <w:p w:rsidR="00163957" w:rsidRDefault="00163957" w:rsidP="00163957">
      <w:pPr>
        <w:pStyle w:val="TextoNormal"/>
      </w:pPr>
    </w:p>
    <w:p w:rsidR="00163957" w:rsidRDefault="00163957" w:rsidP="00163957">
      <w:pPr>
        <w:pStyle w:val="TextoNormal"/>
      </w:pPr>
      <w:r>
        <w:t>La regulación estatal de las competencias locales formaría parte, no de los aspectos básicos secundarios o no expresivos de la garantía institucional de la autonomía local, sino de los enraizados en los arts. 137, 140 y 141 CE (STC 159/2001, FJ 4); ahora también, en el art. 135 CE, que no sería menos trascendente como canon de constitucionalidad. Cuando el Estado regula las competencias locales sin salirse del ámbito de lo básico, no podría haber más que competencias autonómicas de desarrollo, sin que haya que atender a otros títulos de las Comunidades Autónomas (STC 31/2010, FJ 59).</w:t>
      </w:r>
    </w:p>
    <w:p w:rsidR="00163957" w:rsidRDefault="00163957" w:rsidP="00163957">
      <w:pPr>
        <w:pStyle w:val="TextoNormal"/>
      </w:pPr>
    </w:p>
    <w:p w:rsidR="00163957" w:rsidRDefault="00163957" w:rsidP="00163957">
      <w:pPr>
        <w:pStyle w:val="TextoNormal"/>
      </w:pPr>
      <w:r>
        <w:t xml:space="preserve">La Ley reguladora de las bases de régimen local distingue ahora tres tipos de competencias locales: las propias, que son las determinadas por ley (art. 25.2), las delegadas por el Estado y las Comunidades Autónomas (art. 27) y las demás, que son las que, diferenciadas de las anteriores, quedan sometidas al régimen del art. 7.4. La enumeración de competencias de una u otra clase supone un abanico lo suficientemente amplio para entender respetada la garantía constitucional de la autonomía local. El art. 25.2 LBRL, en particular, indica una serie de materias que “en todo caso” el legislador competente debe atribuir a los municipios, sin que por tanto se produzca vulneración del art. 137 CE. A su vez, la indicada previsión se mantiene dentro de lo básico, sin invadir las competencias autonómicas, porque, en rigor, no atribuye competencias municipales; regula el régimen jurídico de su atribución, exigiendo la determinación legal. A su vez, da a entender implícitamente que las Comunidades </w:t>
      </w:r>
      <w:r>
        <w:lastRenderedPageBreak/>
        <w:t>Autónomas pueden atribuir competencias propias en materias distintas de las que enumera, con tal que la atribución se realice mediante ley.</w:t>
      </w:r>
    </w:p>
    <w:p w:rsidR="00163957" w:rsidRDefault="00163957" w:rsidP="00163957">
      <w:pPr>
        <w:pStyle w:val="TextoNormal"/>
      </w:pPr>
    </w:p>
    <w:p w:rsidR="00163957" w:rsidRDefault="00163957" w:rsidP="00163957">
      <w:pPr>
        <w:pStyle w:val="TextoNormal"/>
      </w:pPr>
      <w:r>
        <w:t>Por otra parte, los condicionamientos legales impuestos a la atribución de competencias básicas (apartados 3, 4 y 5 del art. 25 LBRL) serían expresión de la nueva legislación básica que amparan los apartados 18 y 14 del art. 149.1 CE a partir del sustrato material del art. 135 CE, además del de la garantía de la autonomía local (arts. 137, 140 y 141 CE). Se trataría de requisitos que participan de (o se hallan inspirados en) los principios del art. 135 CE, constitutivos de un nuevo canon de constitucionalidad.</w:t>
      </w:r>
    </w:p>
    <w:p w:rsidR="00163957" w:rsidRDefault="00163957" w:rsidP="00163957">
      <w:pPr>
        <w:pStyle w:val="TextoNormal"/>
      </w:pPr>
    </w:p>
    <w:p w:rsidR="00163957" w:rsidRDefault="00163957" w:rsidP="00163957">
      <w:pPr>
        <w:pStyle w:val="TextoNormal"/>
      </w:pPr>
      <w:r>
        <w:t>d) Respecto del art. 27 LBRL (en la redacción dada por el art. 1.10 de la Ley de racionalización y sostenibilidad de la Administración local), el Abogado del Estado insiste, con cita de doctrina constitucional y dictámenes del Consejo de Estado, en que el art. 149.1.18 CE autoriza una regulación uniforme configuradora de un modelo local común en la vertiente, no solo subjetiva o institucional, sino también objetiva o competencial. El nuevo régimen de las competencias delegadas no habría ocupado más espacio normativo que la anterior regulación; habría simplemente ofrecido una configuración diversa de la delegación encuadrada en los apartados 18 y 14 del art. 149.1 CE. Al igual que el art. 25 (apartados 3, 4, 5), el art. 27 (en especial, sus apartados 4, 6 y 7) diseñaría un nuevo sistema de atribución de competencias municipales dentro de la garantía de la autonomía local desde la específica perspectiva del art. 135 CE, que incluye poderes de control y dirección de la Administración delegante (apartado 4); la exigencia de la financiación correspondiente con el acto de delegación (apartado 6); y la configuración como causa de renuncia, que puede hacer valer el ente local delegado, el incumplimiento por parte de la Administración delegante de sus obligaciones financieras (apartado 7). Tales previsiones se hallarían inspiradas en los principios del art. 135 CE, que solo el legislador básico estatal podía traducir en este ámbito. A su vez, el legislador básico estatal no ha dispuesto de las competencias de las Comunidades Autónomas. El art. 27 ha previsto solo la posibilidad o facultad legal de proceder a la delegación en una serie de ámbitos (apartado 4); que la delegación se produzca efectivamente dependerá de la voluntad del delegante y del delegado.</w:t>
      </w:r>
    </w:p>
    <w:p w:rsidR="00163957" w:rsidRDefault="00163957" w:rsidP="00163957">
      <w:pPr>
        <w:pStyle w:val="TextoNormal"/>
      </w:pPr>
    </w:p>
    <w:p w:rsidR="00163957" w:rsidRDefault="00163957" w:rsidP="00163957">
      <w:pPr>
        <w:pStyle w:val="TextoNormal"/>
      </w:pPr>
      <w:r>
        <w:t>El art. 27 LBRL, además de hallar cobertura en las competencias que la Constitución reserva al Estado, respetaría los arts. 137, 140 y 141 CE. El Abogado del Estado precisa que, tras la reforma del art. 135 CE, la autonomía local ha pasado a tener un significado más bien dinámico o evolutivo, que admite un desarrollo o modulación de las competencias susceptibles de delegación a partir de los ámbitos funcionales que ha determinado previamente la ley. El precepto impugnado habría producido una reducción de costes, más que de competencias locales. Respondería a la autonomía local tanto la exigencia de aceptación de la delegación por parte del municipio receptor, al menos para su efectividad jurídica (apartado 5) como el amplio abanico de competencias susceptibles de delegación (apartado 3).</w:t>
      </w:r>
    </w:p>
    <w:p w:rsidR="00163957" w:rsidRDefault="00163957" w:rsidP="00163957">
      <w:pPr>
        <w:pStyle w:val="TextoNormal"/>
      </w:pPr>
    </w:p>
    <w:p w:rsidR="00163957" w:rsidRDefault="00163957" w:rsidP="00163957">
      <w:pPr>
        <w:pStyle w:val="TextoNormal"/>
      </w:pPr>
      <w:r>
        <w:t xml:space="preserve">Las competencias locales que ha garantizado el legislador básico son, no solo las propias, sino también las delegadas a que se refiere este precepto y las incluidas en la tercera categoría (art. 7.4 LBRL). Las competencias delegadas son también </w:t>
      </w:r>
      <w:r w:rsidRPr="00163957">
        <w:rPr>
          <w:i/>
        </w:rPr>
        <w:t>grosso modo</w:t>
      </w:r>
      <w:r>
        <w:t xml:space="preserve"> competencias de los entes locales, en la medida en que la ley garantiza un margen de autonomía en su ejercicio. La cuestión de si las competencias locales deben atribuirse como propias o delegadas, respetando un contenido constitucional mínimo, pertenece a la libertad de configuración del legislador básico estatal. A su vez, a través del art. 7.4 LBRL puede ampliarse el </w:t>
      </w:r>
      <w:r>
        <w:lastRenderedPageBreak/>
        <w:t>ámbito de gestión de los entes locales con nuevas competencias que, al igual que las delegadas, habrán de ejercerse con toda autonomía. Se ha conciliado así la garantía mínima prevista en los arts. 137, 140 y 141 CE con los condicionamientos que impone el art. 135 CE. En modo alguno puede decirse que la reordenación de las competencias locales que suponen los arts. 7 y 25 a 27 así como la supresión del art. 28 LBRL vulneren la autonomía local constitucionalmente protegida.</w:t>
      </w:r>
    </w:p>
    <w:p w:rsidR="00163957" w:rsidRDefault="00163957" w:rsidP="00163957">
      <w:pPr>
        <w:pStyle w:val="TextoNormal"/>
      </w:pPr>
    </w:p>
    <w:p w:rsidR="00163957" w:rsidRDefault="00163957" w:rsidP="00163957">
      <w:pPr>
        <w:pStyle w:val="TextoNormal"/>
      </w:pPr>
      <w:r>
        <w:t>e) Respecto del art. 57 LBRL (en la redacción dada por el art. 1.16 de la Ley de racionalización y sostenibilidad de la Administración local), el Abogado del Estado insiste en que, conforme a la doctrina constitucional, las bases alcanzan también a aspectos de organización interna y de funcionamiento, por más que su alcance deba ser menor que las relativas a la actividad externa (STC 50/1999, FJ 3). La determinación de las formas asociativas de las entidades locales constituye un aspecto de su régimen jurídico básico; el Estado tiene competencia para modular, encauzar, acotar y perfilar el asociacionismo municipal.</w:t>
      </w:r>
    </w:p>
    <w:p w:rsidR="00163957" w:rsidRDefault="00163957" w:rsidP="00163957">
      <w:pPr>
        <w:pStyle w:val="TextoNormal"/>
      </w:pPr>
    </w:p>
    <w:p w:rsidR="00163957" w:rsidRDefault="00163957" w:rsidP="00163957">
      <w:pPr>
        <w:pStyle w:val="TextoNormal"/>
      </w:pPr>
      <w:r>
        <w:t>La nueva regulación sobre el consorcio incluida en el art. 57 (y completada con la disposición final segunda de la Ley de racionalización y sostenibilidad de la Administración local, sobre estatutos, adscripción, presupuestación, contabilidad, control y personal) se situaría dentro de aquellas coordenadas. Responde al objetivo, enunciado en la exposición de motivos, de remodelar un sistema que es excesivamente complejo; produce situaciones de concurrencia competencial, de duplicidad de servicios y de servicios prestados por los Ayuntamientos sin título habilitante específico y sin recursos adecuados. El art. 57 da preferencia al convenio con la intención de reducir el elevado número de consorcios constituidos en los últimos años, cuya composición y régimen jurídico y financiero no están netamente determinados. También por ello impone requisitos al establecimiento de consorcios que responden a las exigencias del art. 135 CE desarrollado por la Ley Orgánica de estabilidad presupuestaria y sostenibilidad financiera (con cita del Dictamen 338/2014 del Consejo de Estado). El consorcio pasa a compartir el régimen de presupuesto, contabilidad y control de la Administración de dependencia. El personal del consorcio procede de las Administraciones participantes con sujeción a los límites retributivos de los puestos equivalentes de esas Administraciones. Se pretende así que no impliquen incremento de los costes de personal y poner coto a una situación de dispersión, falta de información y utilización abusiva de la figura como forma de externalización de recursos y controles propios de las entidades locales que la conforman.</w:t>
      </w:r>
    </w:p>
    <w:p w:rsidR="00163957" w:rsidRDefault="00163957" w:rsidP="00163957">
      <w:pPr>
        <w:pStyle w:val="TextoNormal"/>
      </w:pPr>
    </w:p>
    <w:p w:rsidR="00163957" w:rsidRDefault="00163957" w:rsidP="00163957">
      <w:pPr>
        <w:pStyle w:val="TextoNormal"/>
      </w:pPr>
      <w:r>
        <w:t xml:space="preserve">El precepto impugnado no vulneraría el derecho de las entidades locales a cooperar y asociarse con otras para la realización de tareas de interés común “en el ámbito de la ley” (art. 10.1 de la Carta europea de la autonomía local). Tal derecho no es ilimitado; debe ejercerse en los términos y en los límites que establezca en cada caso el legislador nacional, que en este caso es el básico estatal. La regulación impugnada no condicionaría de modo determinante e irreversible ese derecho. Establecería más bien una racional y necesaria clarificación de un genérico e impreciso régimen jurídico que condujo a una situación de proliferación descontrolada de consorcios incompatible con un elemental entendimiento de las exigencias del art. 135 CE. Con cita del Dictamen 338/2014 del Consejo de Estado, se afirma que la Ley de racionalización y sostenibilidad de la Administración local, al establecer la eficiencia en la asignación de recursos obliga a los entes locales a elegir la alternativa que suponga, no el menor gasto en términos absolutos, sino la mejor relación entre costes previstos y beneficios esperados. La previsión de que la constitución de consorcios debe </w:t>
      </w:r>
      <w:r>
        <w:lastRenderedPageBreak/>
        <w:t>justificarse entronca con la interdicción de la arbitrariedad (art. 9.3 CE) y, en particular, con el deber de motivación que incumbe a todas las Administraciones públicas en la toma de decisiones que afectan al interés general.</w:t>
      </w:r>
    </w:p>
    <w:p w:rsidR="00163957" w:rsidRDefault="00163957" w:rsidP="00163957">
      <w:pPr>
        <w:pStyle w:val="TextoNormal"/>
      </w:pPr>
    </w:p>
    <w:p w:rsidR="00163957" w:rsidRDefault="00163957" w:rsidP="00163957">
      <w:pPr>
        <w:pStyle w:val="TextoNormal"/>
      </w:pPr>
      <w:r>
        <w:t xml:space="preserve">f) El art. 57 </w:t>
      </w:r>
      <w:r w:rsidRPr="00163957">
        <w:rPr>
          <w:i/>
        </w:rPr>
        <w:t>bis</w:t>
      </w:r>
      <w:r>
        <w:t xml:space="preserve"> LBRL (introducido por el art. 1.17 Ley de racionalización y sostenibilidad de la Administración local) no vulneraría la reserva de ley orgánica (art. 157 CE) ni los principios de autonomía financiera, suficiencia financiera y cooperación. El Abogado del Estado pone de relieve que hay ya una previsión del mismo tenor que no ha sido objeto de recurso de inconstitucionalidad (disposición adicional septuagésima segunda de la Ley general de presupuestos para 2012, citada en el art. 57 </w:t>
      </w:r>
      <w:r w:rsidRPr="00163957">
        <w:rPr>
          <w:i/>
        </w:rPr>
        <w:t>bis</w:t>
      </w:r>
      <w:r>
        <w:t xml:space="preserve"> LBRL). Respecto de la ausencia de infracción de la reserva de ley orgánica, el Abogado del Estado afirma que basta la remisión a los argumentos empleados por el Tribunal Constitucional a la hora de justificar que el Estado puede “incidir sobre la autonomía financiera de las Comunidades Autónomas sobre la base de títulos competenciales concretos que requieren la coordinación entre ellos y el art. 157 CE”.</w:t>
      </w:r>
    </w:p>
    <w:p w:rsidR="00163957" w:rsidRDefault="00163957" w:rsidP="00163957">
      <w:pPr>
        <w:pStyle w:val="TextoNormal"/>
      </w:pPr>
    </w:p>
    <w:p w:rsidR="00163957" w:rsidRDefault="00163957" w:rsidP="00163957">
      <w:pPr>
        <w:pStyle w:val="TextoNormal"/>
      </w:pPr>
      <w:r>
        <w:t xml:space="preserve">La denunciada vulneración de la autonomía financiera de las Comunidades Autónomas no se produciría porque el art. 57 </w:t>
      </w:r>
      <w:r w:rsidRPr="00163957">
        <w:rPr>
          <w:i/>
        </w:rPr>
        <w:t>bis</w:t>
      </w:r>
      <w:r>
        <w:t xml:space="preserve"> responde a un principio de voluntariedad. La Comunidad Autónoma es quien, en el marco de sus competencias, decide qué gastos quiere hacer y cómo quiere emplearlos. Ella es la que decide voluntariamente, en particular, si quiere delegar competencias a los entes locales o celebrar convenios con ellos. De modo que se respeta en todo momento la autonomía financiera entendida como libertad para fijar el destino y la orientación del gasto público. Ello no cambia por la circunstancia de que, para asegurar que los entes locales puedan cumplir los principios de estabilidad presupuestaria y suficiencia económica, la previsión impugnada prevea que los convenios que se suscriban voluntariamente deben incluir la cláusula de garantía. La retención impuesta funciona en último término como garantía de la autonomía local, sin vulnerar la de las Comunidades Autónomas, al operar sobre compromisos de gastos que éstas ya han efectuado voluntariamente. No afectaría tampoco a la suficiencia financiera porque no reduce los ingresos que corresponden a las Comunidades Autónomas con cargo a los sistemas de financiación; supone simplemente que una parte de ellos se destina al pago de obligaciones voluntariamente suscritas por las Comunidades Autónomas, pero insatisfechas en el plazo fijado en la delegación o en el convenio.</w:t>
      </w:r>
    </w:p>
    <w:p w:rsidR="00163957" w:rsidRDefault="00163957" w:rsidP="00163957">
      <w:pPr>
        <w:pStyle w:val="TextoNormal"/>
      </w:pPr>
    </w:p>
    <w:p w:rsidR="00163957" w:rsidRDefault="00163957" w:rsidP="00163957">
      <w:pPr>
        <w:pStyle w:val="TextoNormal"/>
      </w:pPr>
      <w:r>
        <w:t xml:space="preserve">g) Respecto del art. 85.2 LBRL (en la redacción dada por el art. 1.21 de la Ley de racionalización y sostenibilidad de la Administración local), se afirma que el Estado ha ejercido su competencia sobre régimen jurídico de las Administraciones públicas (art. 149.18 CE) y hacienda general (art. 149.1.14 CE) para garantizar que los entes locales elijan la forma de prestación de los servicios dentro de unos criterios de eficiencia, eficacia y sostenibilidad en el manejo de los fondos públicos; criterios que son lógicos, elementales y acordes con el art. 135 CE. En consonancia con la doctrina constitucional (STC 143/2013, de 5 de abril, FJ 7), el precepto no coartaría la libertad de organización de la entidad local, limitándose a imponer dos requisitos a la opción favorable a formas prestacionales de carácter empresarial. Uno es material (mayor eficiencia y sostenibilidad de la prestación) y trasunto de los principios de eficacia administrativa (art. 103 CE) y eficiencia (art. 7.2 de la Ley Orgánica de estabilidad presupuestaria y sostenibilidad financiera). El otro requisito es formal; la justificación de esa opción en una memoria. Se afirma —con cita del Dictamen 338/2014 del Consejo de Estado— que la autonomía local no puede amparar la elección de modalidades </w:t>
      </w:r>
      <w:r>
        <w:lastRenderedPageBreak/>
        <w:t>de gestión directa de los servicios públicos locales menos eficientes o sostenibles; no se advierte qué ventajas aportaría la constitución de una entidad pública empresarial o sociedad mercantil local que resultara menos eficiente que la prestación del servicio por la propia entidad.</w:t>
      </w:r>
    </w:p>
    <w:p w:rsidR="00163957" w:rsidRDefault="00163957" w:rsidP="00163957">
      <w:pPr>
        <w:pStyle w:val="TextoNormal"/>
      </w:pPr>
    </w:p>
    <w:p w:rsidR="00163957" w:rsidRDefault="00163957" w:rsidP="00163957">
      <w:pPr>
        <w:pStyle w:val="TextoNormal"/>
      </w:pPr>
      <w:r>
        <w:t xml:space="preserve">h) El art. 116 </w:t>
      </w:r>
      <w:r w:rsidRPr="00163957">
        <w:rPr>
          <w:i/>
        </w:rPr>
        <w:t>bis</w:t>
      </w:r>
      <w:r>
        <w:t xml:space="preserve"> LBRL (introducido por el art. 1.30 de la Ley de racionalización y sostenibilidad de la Administración local) sería un desarrollo singularizado —que atiende a la especificidad de los entes locales— del art. 21 de la Ley Orgánica de estabilidad presupuestaria y sostenibilidad financiera, que regula el contenido mínimo del plan económico-financiero de toda Administración incumplidora de los objetivos de estabilidad presupuestaria, de deuda pública o de la regla de gasto. La Ley reguladora de las bases de régimen local incluiría así el desarrollo de un precepto que admite incluso el complemento reglamentario, a tenor de la disposición final primera de la Ley Orgánica de estabilidad presupuestaria y sostenibilidad financiera. No incurriría por ello en vulneración de la reserva de ley orgánica prevista en el art. 135.5 CE. La reserva de ley orgánica admite un cierto grado de colaboración internormativa (STC 137/1986, de 6 de noviembre). Se trae a colación la doctrina constitucional sobre el art. 122.1 CE (SSTC 38/1982, de 22 de junio; 60/1986, de 20 de mayo; 108/1986, de 26 de julio; 56/1990, de 29 de marzo; 224/1993, de 1 de julio). Se reserva a un texto unitario —la Ley Orgánica del Poder Judicial— la configuración de los distintos órdenes jurisdiccionales, la definición genérica de su ámbito de conocimiento litigioso, los tipos genéricos de órgano judicial y las divisiones territoriales en que se organiza el Estado a efectos judiciales. No obstante, la reserva no alcanza a la creación en concreto de órganos judiciales, la planta ni la demarcación.</w:t>
      </w:r>
    </w:p>
    <w:p w:rsidR="00163957" w:rsidRDefault="00163957" w:rsidP="00163957">
      <w:pPr>
        <w:pStyle w:val="TextoNormal"/>
      </w:pPr>
    </w:p>
    <w:p w:rsidR="00163957" w:rsidRDefault="00163957" w:rsidP="00163957">
      <w:pPr>
        <w:pStyle w:val="TextoNormal"/>
      </w:pPr>
      <w:r>
        <w:t xml:space="preserve">El apartado 1 del art. 116 </w:t>
      </w:r>
      <w:r w:rsidRPr="00163957">
        <w:rPr>
          <w:i/>
        </w:rPr>
        <w:t>bis</w:t>
      </w:r>
      <w:r>
        <w:t xml:space="preserve"> incluye una regulación más pormenorizada del plan regulado por la Ley Orgánica de estabilidad presupuestaria y sostenibilidad financiera que no lesiona la autonomía local. Refiriéndose al citado Dictamen del Consejo de Estado, el Abogado del Estado razona que el contenido mínimo de los planes económico-financieros de los entes locales se explica en el contexto de una situación de incumplimiento de los objetivos de estabilidad presupuestaria, de deuda pública o de la regla de gasto. Corresponde al propio ente local incumplidor concretar las competencias que deben suprimirse que, en todo caso, no podrán ser las ejercidas como propias o por delegación [letra a)]. La gestión integrada o coordinada de los servicios obligatorios es una elemental medida de reducción de costes ante el incumplimiento de los parámetros de estabilidad presupuestaria o sostenibilidad financiera [letra b)]. Aparece enunciada con amplitud suficiente para que los entes locales puedan decidir las formas de gestión más apropiadas en cada caso. Las entidades locales siguen teniendo capacidad para determinar las fuentes y la cuantía del “incremento de ingresos” necesario para financiar los servicios obligatorios [letra c)]. También permanece intacta su capacidad de decisión para la adopción de medidas de “racionalización organizativa” [letra d)], sin perjuicio de la necesidad de contemplar la supresión de entidades de ámbito territorial inferior al municipio [letra e)] o la fusión con municipios colindantes [letra f)].</w:t>
      </w:r>
    </w:p>
    <w:p w:rsidR="00163957" w:rsidRDefault="00163957" w:rsidP="00163957">
      <w:pPr>
        <w:pStyle w:val="TextoNormal"/>
      </w:pPr>
    </w:p>
    <w:p w:rsidR="00163957" w:rsidRDefault="00163957" w:rsidP="00163957">
      <w:pPr>
        <w:pStyle w:val="TextoNormal"/>
      </w:pPr>
      <w:r>
        <w:t xml:space="preserve">El Abogado del Estado se refiere a las funciones atribuidas a la diputación provincial (o entidad equivalente) de asistencia a los entes locales y colaboración con la Administración encargada de la tutela financiera, en la elaboración y en el seguimiento de las medidas del plan económico-financiero (apartado 3 del art. 116 </w:t>
      </w:r>
      <w:r w:rsidRPr="00163957">
        <w:rPr>
          <w:i/>
        </w:rPr>
        <w:t>bis</w:t>
      </w:r>
      <w:r>
        <w:t xml:space="preserve"> LBRL). No se incumpliría la competencia de la Comunidad Autónoma para ejercer la tutela financiera (art. 23.4 de la Ley </w:t>
      </w:r>
      <w:r>
        <w:lastRenderedPageBreak/>
        <w:t>Orgánica de estabilidad presupuestaria y sostenibilidad financiera). La Ley reguladora de las bases de régimen local coloca a la diputación provincial en una posición de mera colaboración, que se funda en las nuevas tareas asignadas a estos entes locales (art. 36). Su colaboración en la confección y seguimiento de estos planes, que pueden implicar fusión de municipios, es imprescindible. Se afirma que tal colaboración debería producirse en todo caso, aunque no estuviera específicamente prevista en la Ley, por virtud de las funciones que corresponden a la diputación provincial con carácter general.</w:t>
      </w:r>
    </w:p>
    <w:p w:rsidR="00163957" w:rsidRDefault="00163957" w:rsidP="00163957">
      <w:pPr>
        <w:pStyle w:val="TextoNormal"/>
      </w:pPr>
    </w:p>
    <w:p w:rsidR="00163957" w:rsidRDefault="00163957" w:rsidP="00163957">
      <w:pPr>
        <w:pStyle w:val="TextoNormal"/>
      </w:pPr>
      <w:r>
        <w:t>i) La disposición adicional octava de la Ley de racionalización y sostenibilidad de la Administración local, prevé la figura de la retención, pero su efectividad requiere estar a lo que disponga la normativa de financiación autonómica correspondiente. Por ello no vulnera la reserva de ley orgánica ni la autonomía de las Comunidades Autónomas.</w:t>
      </w:r>
    </w:p>
    <w:p w:rsidR="00163957" w:rsidRDefault="00163957" w:rsidP="00163957">
      <w:pPr>
        <w:pStyle w:val="TextoNormal"/>
      </w:pPr>
    </w:p>
    <w:p w:rsidR="00163957" w:rsidRDefault="00163957" w:rsidP="00163957">
      <w:pPr>
        <w:pStyle w:val="TextoNormal"/>
      </w:pPr>
      <w:r>
        <w:t>j) La disposición adicional undécima de la Ley de racionalización y sostenibilidad de la Administración local no vulneraría la reserva de ley orgánica ni la autonomía financiera de las Comunidades Autónomas por las mismas razones que no lo hace la previsión anterior.</w:t>
      </w:r>
    </w:p>
    <w:p w:rsidR="00163957" w:rsidRDefault="00163957" w:rsidP="00163957">
      <w:pPr>
        <w:pStyle w:val="TextoNormal"/>
      </w:pPr>
    </w:p>
    <w:p w:rsidR="00163957" w:rsidRDefault="00163957" w:rsidP="00163957">
      <w:pPr>
        <w:pStyle w:val="TextoNormal"/>
      </w:pPr>
      <w:r>
        <w:t>k) La disposición transitoria cuarta de la Ley de racionalización y sostenibilidad de la Administración local no suprime las entidades inframunicipales existentes; impone solo una carga: la remisión de las cuentas al órgano competente. El art. 149.1.14 CE habilita esta regulación, habida cuenta de que permite al Estado disciplinar las instituciones comunes a las distintas haciendas y las medidas para su coordinación y para subvenir a su suficiencia (STC 130/2013, de 4 de junio, FJ 4). El incumplimiento de aquella carga acarrea la disolución de la entidad. Ello supone que el mantenimiento de su personalidad jurídica depende de la voluntad de la propia entidad. A su vez, corresponde a la Comunidad Autónoma acordar la disolución; sus efectos están “atenuados” o “aliviados”. No suponen la desaparición de la entidad porque la Comunidad Autónoma puede optar por conservarla como ente desconcentrado, asimilándola a las de nueva creación conforme al régimen diseñado en el art. 2</w:t>
      </w:r>
      <w:r w:rsidRPr="00163957">
        <w:rPr>
          <w:i/>
        </w:rPr>
        <w:t>4 b</w:t>
      </w:r>
      <w:r>
        <w:t>is LBRL.</w:t>
      </w:r>
    </w:p>
    <w:p w:rsidR="00163957" w:rsidRDefault="00163957" w:rsidP="00163957">
      <w:pPr>
        <w:pStyle w:val="TextoNormal"/>
      </w:pPr>
    </w:p>
    <w:p w:rsidR="00163957" w:rsidRDefault="00163957" w:rsidP="00163957">
      <w:pPr>
        <w:pStyle w:val="TextoNormal"/>
      </w:pPr>
      <w:r>
        <w:t xml:space="preserve">l) Respecto de la disposición transitoria undécima de la Ley de racionalización y sostenibilidad de la Administración local, se parte del reconocimiento del derecho de los municipios a asociarse con otros en mancomunidades para la ejecución común de obras y servicios determinados de su competencia (art. 44 LBRL). La indicada disposición transitoria regula las consecuencias del incumplimiento de las características y el régimen jurídico de las mancomunidades. Establece, en particular, que tal incumplimiento es causa de disolución con la finalidad de poner coto a la proliferación de mancomunidades cuyo objeto no está claramente determinado, no se corresponde con los servicios propios de los municipios asociados o se superpone a la competencia propia de otra Administración (p. ej., protección del medio ambiente, asistencia social, asistencia sanitaria, educación, obras). El Estado habría ejercido su competencia sobre bases del régimen jurídico de las Administraciones públicas para exigir, simplemente, la adaptación de esta peculiar entidad local a los fines para los que se concibe; requisito por otra parte común a la atribución de personalidad jurídica a todas las personas jurídicas públicas y privadas. La previsión impugnada no supone la disolución automática ni predetermina su destino, régimen, libertad de los municipios para mancomunarse o autonomía para elegir la fórmula organizativa supramunicipal. Simplemente pretende reconducir las mancomunidades a su verdadera naturaleza, lo que redunda en su reforzamiento. Al establecer esta causa de disolución, el Estado no ha establecido un control </w:t>
      </w:r>
      <w:r>
        <w:lastRenderedPageBreak/>
        <w:t>de oportunidad; no se opone a la Constitución que la Administración de tutela retenga la facultad de aprobación en la medida en que con ello se ejercita un control de legalidad (STC 214/1989, de 21 de diciembre, FJ 14). La disposición impugnada remite a las Comunidades Autónomas la regulación, iniciación y resolución del procedimiento de disolución, limitándose a prever la incorporación del personal a las entidades que hubieran estado mancomunadas y la subrogación de estas en todos los derechos y obligaciones de la mancomunidad. Tales aspectos se refieren, no al procedimiento administrativo de disolución, sino al régimen jurídico de las Administraciones públicas.</w:t>
      </w:r>
    </w:p>
    <w:p w:rsidR="00163957" w:rsidRDefault="00163957" w:rsidP="00163957">
      <w:pPr>
        <w:pStyle w:val="TextoNormal"/>
      </w:pPr>
    </w:p>
    <w:p w:rsidR="00163957" w:rsidRDefault="00163957" w:rsidP="00163957">
      <w:pPr>
        <w:pStyle w:val="TextoNormal"/>
      </w:pPr>
      <w:r>
        <w:t>m) Las disposiciones adicional decimoquinta y transitorias primera a tercera son consecuencia de la nueva ordenación de las competencias propias de los entes locales. El legislador básico, por razones de racionalización y sostenibilidad financiera, estima que los entes locales no deben ejercer determinadas competencias. Tales disposiciones se limitan a suprimir de las competencias propias de los entes locales funciones en materias que estaban configuradas como tales en la anterior redacción del art. 25.2 LBRL. Esto no significa que el Estado haya atribuido la titularidad de estas funciones a las Comunidades Autónomas. Tales funciones (sobre servicios sociales, educación, asistencia sanitaria e inspección de sanidad) están ya estatutariamente atribuidas a las Comunidades Autónomas. Éstas están llamadas a ejercer las funciones que les corresponden, que hasta ahora la legislación básica estatal había atribuido a las entidades locales. La ley se limita a aplicar el régimen constitucional de distribución de competencias sin innovación alguna. La alternativa de que el Estado asumiera tales competencias sí sería inconstitucional. Por otra parte, la atribución de estas funciones se halla supeditada claramente en cada caso a lo que prevean las normas de financiación autonómica y local. Ello es especialmente aplicable a la disposición adicional decimoquinta de la Ley de racionalización y sostenibilidad de la Administración local, que es la única que suprime funciones que siguen siendo competencias propias en el nuevo art. 25.2 LBRL. Al remitirse a normas futuras, la previsión tiene un contenido programático.</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1 de marzo de 2016 se señaló para deliberación y votación de la presente Sentencia el día 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Tres diputados de la Asamblea de Extremadura, comisionados al efecto por el Pleno de la Cámara, interponen recurso de inconstitucionalidad contra los apartados 3, 5, 7, 8, 10, 16, 17, 21 y 30 del art. 1 y las disposiciones adicionales octava, novena, undécima y decimoquinta y transitorias primera a cuarta y undécima de la Ley 27/2013, de 27 de diciembre, de racionalización y sostenibilidad de la Administración local. Aducen vulneración de las competencias de la Comunidad Autónoma de Extremadura (arts. 9.3 y 53 a 60 de su Estatuto de Autonomía) y otros preceptos constitucionales [arts. 103.1, 137, 148.1, apartados 1 y 2, 149.1, apartados 14 y 18, 149.3, en conexión con los arts. 147.2 d), 150, apartados 1 y 2, 156 y 157.3]. El Abogado del Estado se opone al recurso, razonando que las previsiones impugnadas se ajustan a la Constitución.</w:t>
      </w:r>
    </w:p>
    <w:p w:rsidR="00163957" w:rsidRDefault="00163957" w:rsidP="00163957">
      <w:pPr>
        <w:pStyle w:val="TextoNormal"/>
      </w:pPr>
    </w:p>
    <w:p w:rsidR="00163957" w:rsidRDefault="00163957" w:rsidP="00163957">
      <w:pPr>
        <w:pStyle w:val="TextoNormal"/>
      </w:pPr>
      <w:r>
        <w:lastRenderedPageBreak/>
        <w:t>Tras la interposición del recurso de inconstitucionalidad, la Ley 18/2015, de 9 de julio, ha modificado la disposición transitoria séptima de la Ley de racionalización y sostenibilidad de la Administración local, que no ha sido impugnada en este proceso constitucional. En consecuencia, la reforma no ha afectado al objeto del presente recurso.</w:t>
      </w:r>
    </w:p>
    <w:p w:rsidR="00163957" w:rsidRDefault="00163957" w:rsidP="00163957">
      <w:pPr>
        <w:pStyle w:val="TextoNormal"/>
      </w:pPr>
    </w:p>
    <w:p w:rsidR="00163957" w:rsidRDefault="00163957" w:rsidP="00163957">
      <w:pPr>
        <w:pStyle w:val="TextoNormal"/>
      </w:pPr>
      <w:r w:rsidRPr="00163957">
        <w:rPr>
          <w:rStyle w:val="NumeroAFNegritaCaracter"/>
        </w:rPr>
        <w:t>2</w:t>
      </w:r>
      <w:r>
        <w:t>. La Ley de racionalización y sostenibilidad de la Administración local pretende la eficiencia en el uso de los recursos públicos locales y racionalizar la Administración local para asegurar su sostenibilidad y el cumplimiento de las exigencias de estabilidad presupuestaria. Conecta con el principio constitucional de estabilidad presupuestaria (art. 135 CE) y su desarrollo en la Ley Orgánica 2/2012, de 27 de abril, de estabilidad presupuestaria y sostenibilidad financiera. Según su exposición de motivos, el art. 135 CE y la Ley Orgánica de estabilidad presupuestaria y sostenibilidad financiera exigen “nuevas adaptaciones de la normativa básica en materia de Administración local”; “la política presupuestaria de todos los poderes públicos, incluidos los locales, deberá adecuarse a los principios rectores de la Ley Orgánica 2/2012”.</w:t>
      </w:r>
    </w:p>
    <w:p w:rsidR="00163957" w:rsidRDefault="00163957" w:rsidP="00163957">
      <w:pPr>
        <w:pStyle w:val="TextoNormal"/>
      </w:pPr>
    </w:p>
    <w:p w:rsidR="00163957" w:rsidRDefault="00163957" w:rsidP="00163957">
      <w:pPr>
        <w:pStyle w:val="TextoNormal"/>
      </w:pPr>
      <w:r>
        <w:t>Aquel propósito general se resuelve en cuatro objetivos básicos que identifica el Preámbulo: a) racionalizar la estructura de la Administración local; b) clarificar las competencias locales, conforme al principio “una Administración, una competencia”; c) reforzar el control financiero y presupuestario; y d) favorecer la iniciativa económica privada, evitando intervenciones administrativas desproporcionadas. La Ley persigue estos objetivos, fundamentalmente, mediante la modificación de dos normas estatales. De la Ley 7/1985, de 2 de abril, reguladora de las bases del régimen local (LBRL) se ocupa el art. 1 de la Ley de racionalización y sostenibilidad de la Administración local. Al texto refundido de la Ley reguladora de haciendas locales (LHL), aprobado por Real Decreto Legislativo 2/2004, de 5 de marzo, se refiere el art. 2 de la Ley de racionalización y sostenibilidad de la Administración local. La nueva regulación se incorpora así a una legislación preexistente, con la que conforma un cuerpo normativo único que como tal debe ser interpretado.</w:t>
      </w:r>
    </w:p>
    <w:p w:rsidR="00163957" w:rsidRDefault="00163957" w:rsidP="00163957">
      <w:pPr>
        <w:pStyle w:val="TextoNormal"/>
      </w:pPr>
    </w:p>
    <w:p w:rsidR="00163957" w:rsidRDefault="00163957" w:rsidP="00163957">
      <w:pPr>
        <w:pStyle w:val="TextoNormal"/>
      </w:pPr>
      <w:r>
        <w:t xml:space="preserve">Las previsiones impugnadas pueden agruparse en cuatro bloques temáticos. Por una parte, el mapa local en relación con los municipios (art. 13 LBRL, en la redacción dada por el art. 1.5 Ley de racionalización y sostenibilidad de la Administración local) y entidades tanto inframunicipales (art. 24 </w:t>
      </w:r>
      <w:r w:rsidRPr="00163957">
        <w:rPr>
          <w:i/>
        </w:rPr>
        <w:t>bis</w:t>
      </w:r>
      <w:r>
        <w:t xml:space="preserve"> LBRL, introducido por el art. 1.7 de la Ley de racionalización y sostenibilidad de la Administración local, y disposición transitoria cuarta Ley de racionalización y sostenibilidad de la Administración local) como asociativas o instrumentales (art. 57 LBRL, en la redacción dada por el art. 1.16 de la Ley de racionalización y sostenibilidad de la Administración local, y disposición transitoria undécima de la Ley de racionalización y sostenibilidad de la Administración local). Por otra, las competencias locales (arts. 7.4, 25, 27 y 85.2 LBRL, en la redacción dada por los apartados 3, 8, 10 y 21, respectivamente, del art. 1 de la Ley de racionalización y sostenibilidad de la Administración local, así como las disposiciones adicionales novena, undécima y decimoquinta y transitorias primera, segunda y tercera de la Ley de racionalización y sostenibilidad de la Administración local). El plan económico-financiero que deben ejecutar los entes locales cuando incumplan los objetivos de estabilidad presupuestaria o de deuda pública o la regla de gasto (art. 116 </w:t>
      </w:r>
      <w:r w:rsidRPr="00163957">
        <w:rPr>
          <w:i/>
        </w:rPr>
        <w:t>bis</w:t>
      </w:r>
      <w:r>
        <w:t xml:space="preserve"> LBRL, introducido por el art. 1.30 de la Ley de racionalización y sostenibilidad de la Administración local). Por último, la retención de cantidades adeudadas por las Comunidades Autónomas con cargo al sistema de financiación autonómica (57 </w:t>
      </w:r>
      <w:r w:rsidRPr="00163957">
        <w:rPr>
          <w:i/>
        </w:rPr>
        <w:t>bis</w:t>
      </w:r>
      <w:r>
        <w:t xml:space="preserve"> </w:t>
      </w:r>
      <w:r>
        <w:lastRenderedPageBreak/>
        <w:t>LBRL, introducido por el art. 1.17 de la Ley de racionalización y sostenibilidad de la Administración local, y disposiciones adicional octava y undécima y transitorias primera.5 y segunda.5 de la Ley de racionalización y sostenibilidad de la Administración local).</w:t>
      </w:r>
    </w:p>
    <w:p w:rsidR="00163957" w:rsidRDefault="00163957" w:rsidP="00163957">
      <w:pPr>
        <w:pStyle w:val="TextoNormal"/>
      </w:pPr>
    </w:p>
    <w:p w:rsidR="00163957" w:rsidRDefault="00163957" w:rsidP="00163957">
      <w:pPr>
        <w:pStyle w:val="TextoNormal"/>
      </w:pPr>
      <w:r w:rsidRPr="00163957">
        <w:rPr>
          <w:rStyle w:val="NumeroAFNegritaCaracter"/>
        </w:rPr>
        <w:t>3</w:t>
      </w:r>
      <w:r>
        <w:t>. La Ley de racionalización y sostenibilidad de la Administración local invoca en su disposición final quinta los apartados 18 (“bases del régimen jurídico de las Administraciones públicas”) y 14 (“hacienda general”) del art. 149.1 CE. Su preámbulo razona el alcance de esta invocación. Señala que la “estrecha vinculación entre la disfuncionalidad del modelo competencial y las haciendas locales” determina “que resulte justificada, de acuerdo con la Jurisprudencia del Tribunal Constitucional, STC 233/1999, la cita conjunta” de ambos títulos competenciales. No obstante, el art. 149.1.18 CE sería el título que da específica cobertura a la mayor parte de los preceptos, pues la Ley de racionalización y sostenibilidad de la Administración local realiza fundamentalmente “nuevas adaptaciones de la normativa básica en materia de Administración local”.</w:t>
      </w:r>
    </w:p>
    <w:p w:rsidR="00163957" w:rsidRDefault="00163957" w:rsidP="00163957">
      <w:pPr>
        <w:pStyle w:val="TextoNormal"/>
      </w:pPr>
    </w:p>
    <w:p w:rsidR="00163957" w:rsidRDefault="00163957" w:rsidP="00163957">
      <w:pPr>
        <w:pStyle w:val="TextoNormal"/>
      </w:pPr>
      <w:r>
        <w:t>La Asamblea legislativa recurrente no discute este encuadramiento competencial, pero considera que la Ley de racionalización y sostenibilidad de la Administración local lo desborda, vulnerando las atribuciones estatutarias de la Comunidad Autónoma de Extremadura, además de otros preceptos constitucionales. Tampoco lo cuestiona el Abogado del Estado, si bien añade la invocación del art. 149.1.13 CE (“bases y coordinación de la planificación general de la actividad económica”).</w:t>
      </w:r>
    </w:p>
    <w:p w:rsidR="00163957" w:rsidRDefault="00163957" w:rsidP="00163957">
      <w:pPr>
        <w:pStyle w:val="TextoNormal"/>
      </w:pPr>
    </w:p>
    <w:p w:rsidR="00163957" w:rsidRDefault="00163957" w:rsidP="00163957">
      <w:pPr>
        <w:pStyle w:val="TextoNormal"/>
      </w:pPr>
      <w:r>
        <w:t>a) El régimen jurídico de los entes locales no es “intracomunitario” ni “extracomunitario”, sino “bifronte”, en consonancia con la estructura territorial de España (art. 137 CE), que “concibe a municipios y provincias como elementos de división y organización del territorio del Estado” (STC 82/1982, de 21 de diciembre, FJ 4). El Estado y las Comunidades Autónomas comparten la regulación del régimen local, sin perjuicio del espacio que uno y otras deben asegurar en todo caso a las normas locales en virtud de la garantía constitucional de la autonomía municipal (art. 140 CE), provincial (art. 141.2 CE) e insular (art. 141.4 CE).</w:t>
      </w:r>
    </w:p>
    <w:p w:rsidR="00163957" w:rsidRDefault="00163957" w:rsidP="00163957">
      <w:pPr>
        <w:pStyle w:val="TextoNormal"/>
      </w:pPr>
    </w:p>
    <w:p w:rsidR="00163957" w:rsidRDefault="00163957" w:rsidP="00163957">
      <w:pPr>
        <w:pStyle w:val="TextoNormal"/>
      </w:pPr>
      <w:r>
        <w:t>El art. 149.1.18 CE permite al Estado regular parte del régimen local mediante normas de carácter básico (STC 214/1989, de 21 de diciembre, FJ 1). A través de sus Estatutos, las Comunidades Autónomas han asumido la competencia para completar esa regulación. El Estatuto de Autonomía habilita, no una especie de complemento reglamentario, sino la configuración autonómica de políticas propias dentro de las coordenadas básicas que establezca el Estado [SSTC 32/1981, de 28 de julio, FJ 5, y 130/2013, de 25 de abril, FJ 5 E)]. A su vez, el propio Estatuto, en tanto que “norma institucional básica” (art. 147.1 CE), puede contener las “líneas fundamentales o la regulación esencial” del régimen local en el ámbito territorial la Comunidad Autónoma, pero solo con el fin de “vincular al legislador autonómico” y respetando “en todo caso la competencia básica que al Estado corresponde en la materia en virtud de la reserva del art. 149.1.18 CE, por cuanto la expresión ‘bases del régimen jurídico de las Administraciones públicas’ engloba a las Administraciones locales” (SSTC 31/2010, de 28 de junio, FJ 36; 103/2013, FJ 4).</w:t>
      </w:r>
    </w:p>
    <w:p w:rsidR="00163957" w:rsidRDefault="00163957" w:rsidP="00163957">
      <w:pPr>
        <w:pStyle w:val="TextoNormal"/>
      </w:pPr>
    </w:p>
    <w:p w:rsidR="00163957" w:rsidRDefault="00163957" w:rsidP="00163957">
      <w:pPr>
        <w:pStyle w:val="TextoNormal"/>
      </w:pPr>
      <w:r>
        <w:t xml:space="preserve">Las bases del régimen local responden esencialmente a dos cometidos. El primero es “concretar la autonomía local constitucionalmente garantizada para establecer el marco definitorio del autogobierno de los entes locales directamente regulados por la Constitución” (SSTC 103/2013, FJ 4, y 143/2013, de 11 de julio, FJ 3). A la vista de la controversia que </w:t>
      </w:r>
      <w:r>
        <w:lastRenderedPageBreak/>
        <w:t>aquí se plantea, importa destacar que el legislador básico, cuando desarrolla la garantía constitucional de la autonomía local, puede ejercer en uno u otro sentido su libertad de configuración, siempre que deje espacio a las Comunidades Autónomas y respete el derecho de la entidad local a participar a través de órganos propios en el gobierno y administración [STC 154/2015, de 9 de julio, FJ 5 a) y las que allí se citan]. Por eso una legislación estatal que, respetando aquellos límites, pretendiera reducir la autonomía local al mínimo constitucionalmente garantizado podría ser tan básica y legítima como la que tratara de ensancharla al máximo. Ambas soluciones se corresponden con los polos dentro de los que puede moverse el legislador básico del régimen local en el marco de un sistema constitucional basado en el principio democrático (art. 1 CE).</w:t>
      </w:r>
    </w:p>
    <w:p w:rsidR="00163957" w:rsidRDefault="00163957" w:rsidP="00163957">
      <w:pPr>
        <w:pStyle w:val="TextoNormal"/>
      </w:pPr>
    </w:p>
    <w:p w:rsidR="00163957" w:rsidRDefault="00163957" w:rsidP="00163957">
      <w:pPr>
        <w:pStyle w:val="TextoNormal"/>
      </w:pPr>
      <w:r>
        <w:t>La doctrina constitucional a este respecto se ha edificado sobre normas básicas habitualmente destinadas a consolidar o incrementar la autonomía de los entes locales. No obstante, de esta doctrina se desprende que para valorar si se está ante bases del régimen local que cumplen aquel primer cometido, resulta determinante que el precepto enjuiciado afecte a la autonomía de entes locales con relieve constitucional, no estrictamente su sentido ampliador o reductor de esa autonomía. A este criterio responden claramente las SSTC 103/2013, FJ 3, letras e), f) y g), y 143/2013, FJ 5. Abordaron el régimen orgánico de los denominados “municipios de gran población” introducido en la Ley reguladora de las bases de régimen local por la Ley 57/2003, de 16 de diciembre, de medidas para la modernización del gobierno local, que prevé la creación preceptiva de los “órganos de gestión desconcentrada” (art. 128 LBRL), la “comisión especial de sugerencias y reclamaciones” (arts. 20 y 132 LBRL) y el “consejo social de la ciudad” (art. 131 LBRL). Este Tribunal consideró que ese régimen es constitucionalmente legítimo y básico por referencia a la directa afectación de los intereses de un ente local con autonomía constitucionalmente garantizada con independencia de que los llamados “municipios de gran población” perdieran parte de su capacidad decisoria en un ámbito típicamente local (organización interna).</w:t>
      </w:r>
    </w:p>
    <w:p w:rsidR="00163957" w:rsidRDefault="00163957" w:rsidP="00163957">
      <w:pPr>
        <w:pStyle w:val="TextoNormal"/>
      </w:pPr>
    </w:p>
    <w:p w:rsidR="00163957" w:rsidRDefault="00163957" w:rsidP="00163957">
      <w:pPr>
        <w:pStyle w:val="TextoNormal"/>
      </w:pPr>
      <w:r>
        <w:t>Interpretar que la competencia normativa estatal empieza allí donde la legislación básica pretende incrementar esa autonomía local conduciría a concebir los arts. 149.1.18, 137, 140 y 141 CE como una suerte de garantía de irreversibilidad de las cotas de autonomía local alcanzadas mediante la ley; con ello el Estado carecería de competencia para derogar o modificar las normas previamente dictadas por él que ampliaban la autonomía local.</w:t>
      </w:r>
    </w:p>
    <w:p w:rsidR="00163957" w:rsidRDefault="00163957" w:rsidP="00163957">
      <w:pPr>
        <w:pStyle w:val="TextoNormal"/>
      </w:pPr>
    </w:p>
    <w:p w:rsidR="00163957" w:rsidRDefault="00163957" w:rsidP="00163957">
      <w:pPr>
        <w:pStyle w:val="TextoNormal"/>
      </w:pPr>
      <w:r>
        <w:t xml:space="preserve">El segundo cometido de la legislación básica en esta materia es “concretar los restantes aspectos del régimen jurídico básico de todos los entes locales que son, en definitiva, Administraciones públicas” (SSTC 103/2013, FJ 4, y 143/2013, FJ 3). El art. 149.1.18 CE habilita al Estado para regular aspectos distintos de los “enraizados de forma directa en los arts. 137, 140 y 141 CE” (STC 159/2001, de 5 de julio, FJ 4). Por eso “los límites que para el legislador autonómico se deriven eventualmente del art. 149.1.18 CE pueden tanto venir impuestos en cuanto concreción de la garantía de la autonomía local, como pueden no estarlo”; “los imperativos constitucionales derivados del art. 137 CE, por un lado, y del art. 149.1.18 CE, por otro, no son coextensos” (STC 11/1999, de 11 de febrero, FJ 2). El legislador básico puede establecer, en particular, la serie de “elementos comunes o uniformes” que requiera la satisfacción de “los intereses generales a los que sirve el Estado” [STC 103/2013, FJ 5 e)]. Tales bases incluyen solo “los aspectos que sean necesarios, sin que quepa agotar todo el espacio normativo que debe corresponder al legislador autonómico, en </w:t>
      </w:r>
      <w:r>
        <w:lastRenderedPageBreak/>
        <w:t>especial en las cuestiones relacionadas con la organización y funcionamiento interno de los órganos” [STC 103/2013, FJ 5 e)].</w:t>
      </w:r>
    </w:p>
    <w:p w:rsidR="00163957" w:rsidRDefault="00163957" w:rsidP="00163957">
      <w:pPr>
        <w:pStyle w:val="TextoNormal"/>
      </w:pPr>
    </w:p>
    <w:p w:rsidR="00163957" w:rsidRDefault="00163957" w:rsidP="00163957">
      <w:pPr>
        <w:pStyle w:val="TextoNormal"/>
      </w:pPr>
      <w:r>
        <w:t>Identificados los dos cometidos que la doctrina constitucional viene atribuyendo a las bases del régimen local, corresponde realizar una serie de consideraciones sobre la incidencia que ha de tener la reforma de la Constitución de 27 de septiembre de 2011. El art. 135 CE impone la estabilidad presupuestaria a la conducta financiera de todas las Administraciones públicas, incluidas las entidades locales, mencionadas específicamente en el apartado 2. Ello obliga al Estado, a las Comunidades Autónomas y a los entes locales, cada cual en el marco de sus competencias, a adoptar las medidas de racionalización de estructuras administrativas y manejo de sus recursos materiales y personales que permitan realizar los principios de eficiencia (art. 31.2 CE) y eficacia (art. 103.1 CE) y alcanzar la situación presupuestaria de equilibrio o superávit que impone la Constitución (art. 135).</w:t>
      </w:r>
    </w:p>
    <w:p w:rsidR="00163957" w:rsidRDefault="00163957" w:rsidP="00163957">
      <w:pPr>
        <w:pStyle w:val="TextoNormal"/>
      </w:pPr>
    </w:p>
    <w:p w:rsidR="00163957" w:rsidRDefault="00163957" w:rsidP="00163957">
      <w:pPr>
        <w:pStyle w:val="TextoNormal"/>
      </w:pPr>
      <w:r>
        <w:t>El Estado, en particular, tiene la responsabilidad de promover la eficacia de la actuación administrativa (art. 103.1 CE), la eficiencia en el uso de los recursos públicos (art. 31.2 CE) y la estabilidad presupuestaria (art. 135 CE) del conjunto de las Administraciones públicas mediante el ejercicio de las competencias que le atribuye el art. 149 CE [SSTC 157/2011, de 18 de octubre, FJ 3, y 215/2014, de 18 de diciembre, FJ 3 a)]. A estos efectos, cobran singular relevancia las competencias de que dispone con diverso alcance respecto de las organizaciones, los procedimientos, los empleados, los bienes y las haciendas públicos. Una de tales competencias es, precisamente, la relativa a las bases del régimen jurídico de las Administraciones públicas, en general, y de los entes locales, en particular (art. 149.1.18 CE). La doctrina constitucional, antes incluso de la reforma constitucional, destacó que el art. 149.1.18 CE es uno de los títulos competenciales que asiste al Estado en el desarrollo de exigencias de estabilidad presupuestaria (STC 134/2011, de 20 de junio, FJ 13).</w:t>
      </w:r>
    </w:p>
    <w:p w:rsidR="00163957" w:rsidRDefault="00163957" w:rsidP="00163957">
      <w:pPr>
        <w:pStyle w:val="TextoNormal"/>
      </w:pPr>
    </w:p>
    <w:p w:rsidR="00163957" w:rsidRDefault="00163957" w:rsidP="00163957">
      <w:pPr>
        <w:pStyle w:val="TextoNormal"/>
      </w:pPr>
      <w:r>
        <w:t>Cabe pues afirmar que el art. 149.1.18 CE ampara sin lugar a dudas normas básicas tendentes a introducir criterios de racionalidad económica en el modelo local español con el fin de realizar los imperativos de los arts. 32.1 y 103.1 CE y la estabilidad presupuestaria como norma de conducta a la que están sujetas las entidades locales (art. 135.2 CE). A este respecto corresponde realizar dos precisiones.</w:t>
      </w:r>
    </w:p>
    <w:p w:rsidR="00163957" w:rsidRDefault="00163957" w:rsidP="00163957">
      <w:pPr>
        <w:pStyle w:val="TextoNormal"/>
      </w:pPr>
    </w:p>
    <w:p w:rsidR="00163957" w:rsidRDefault="00163957" w:rsidP="00163957">
      <w:pPr>
        <w:pStyle w:val="TextoNormal"/>
      </w:pPr>
      <w:r>
        <w:t>Hay que tener en cuenta, en primer lugar, que el desarrollo en sentido estricto de los principios establecidos en el art. 135 CE ha quedado reservado a la ley orgánica (apartado 5). La Ley Orgánica de estabilidad presupuestaria y sostenibilidad financiera ha dado cumplimiento a esta previsión constitucional, desarrollando la exigencia de estabilidad financiera mediante principios y reglas de carácter eminentemente presupuestario, además de técnicas de seguimiento y control relativas a su cumplimiento. La STC 215/2014, de 18 de diciembre, al resolver el recurso de inconstitucionalidad dirigido por el Gobierno de Canarias contra esta Ley, ha definido el sentido y alcance de la reserva de ley orgánica prevista en el art. 135 CE.</w:t>
      </w:r>
    </w:p>
    <w:p w:rsidR="00163957" w:rsidRDefault="00163957" w:rsidP="00163957">
      <w:pPr>
        <w:pStyle w:val="TextoNormal"/>
      </w:pPr>
    </w:p>
    <w:p w:rsidR="00163957" w:rsidRDefault="00163957" w:rsidP="00163957">
      <w:pPr>
        <w:pStyle w:val="TextoNormal"/>
      </w:pPr>
      <w:r>
        <w:t xml:space="preserve">En lo que ahora importa, la indicada Sentencia subrayó “la necesidad de aplicar un criterio estricto o restrictivo”, partiendo de la doctrina constitucional relativa al contenido material de este tipo normativo [SSTC 5/1981, de 13 de febrero, FJ 21 A); 173/1998, de 23 de julio, FJ 7; 129/1999, de 1 de julio, FJ 2; 53/2002, de 27 de febrero, FJ 2; 184/2012, de 17 de octubre, FJ 9; 212/2012, de 4 de noviembre, FJ 1, y 151/2014, de 24 de septiembre, FJ 4 </w:t>
      </w:r>
      <w:r>
        <w:lastRenderedPageBreak/>
        <w:t>a)]. No cabe un entendimiento expansivo en cuya virtud cualesquiera medidas destinadas al ahorro en el gasto público, al manejo eficiente de los recursos públicos o a la racionalización de las estructuras administrativas queden reservadas a la ley orgánica por el solo dato de que sirvan en última instancia a fines de estabilidad presupuestaria y sostenibilidad financiera. El sistema constitucional obliga a interpretar que todos los niveles de gobierno deben adoptar medidas de ese tipo en el marco de sus competencias respectivas, en general, y que el Estado puede utilizar al efecto la legislación ordinaria, en particular.</w:t>
      </w:r>
    </w:p>
    <w:p w:rsidR="00163957" w:rsidRDefault="00163957" w:rsidP="00163957">
      <w:pPr>
        <w:pStyle w:val="TextoNormal"/>
      </w:pPr>
    </w:p>
    <w:p w:rsidR="00163957" w:rsidRDefault="00163957" w:rsidP="00163957">
      <w:pPr>
        <w:pStyle w:val="TextoNormal"/>
      </w:pPr>
      <w:r>
        <w:t>La segunda precisión se refiere a que el Estado ha de hacer compatible su competencia para establecer legislación básica encaminada a introducir criterios de racionalidad y eficiencia en materia de régimen local con la autonomía reconocida a las Comunidades Autónomas y a las propias entidades locales. Tal autonomía debe traducirse en todo caso en espacios para que ellas puedan establecer instrumentos con que dar cumplimiento a las exigencias de eficacia de la actuación administrativa (art. 103.1 CE), eficiencia en el uso de los recursos públicos (art. 31.2 CE) y estabilidad presupuestaria (art. 135 CE). Estos mandatos constitucionales se proyectan directamente también sobre las Comunidades Autónomas y los entes locales. El Estado no es su único destinatario ni una instancia que pueda monopolizar o establecer todas las medidas de racionalización y eficiencia en el uso de los recursos públicos.</w:t>
      </w:r>
    </w:p>
    <w:p w:rsidR="00163957" w:rsidRDefault="00163957" w:rsidP="00163957">
      <w:pPr>
        <w:pStyle w:val="TextoNormal"/>
      </w:pPr>
    </w:p>
    <w:p w:rsidR="00163957" w:rsidRDefault="00163957" w:rsidP="00163957">
      <w:pPr>
        <w:pStyle w:val="TextoNormal"/>
      </w:pPr>
      <w:r>
        <w:t>b) La disposición final quinta de la Ley de racionalización y sostenibilidad de la Administración local invoca asimismo el art. 149.1.14 CE, que habilita al Estado para regular en exclusiva la materia “hacienda general y deuda de Estado”. En lo que afecta a los entes locales, este Tribunal ha declarado que el indicado título competencial tiene un alcance limitado porque, en rigor, debe encuadrarse dentro del art. 149.1.18 CE toda regulación estatal de las haciendas locales destinada a desarrollar la garantía constitucional de la autonomía local (arts. 137, 140 y 141 CE) en el sentido expuesto o a introducir modificaciones de alcance general en el régimen jurídico de la Administración local. El título “hacienda general” (art. 149.1.14 CE) ampara solo la regulación de instituciones comunes a las distintas haciendas, así como las medidas de coordinación entre la hacienda estatal y las locales o las que tengan por fin salvaguardar la suficiencia financiera de las haciendas locales (art. 142 CE), como presupuesto indispensable para el ejercicio de la autonomía local constitucionalmente garantizada. A esta competencia deben reconducirse, en particular, las normas atinentes al “sistema tributario local y a las participaciones en los tributos del Estado” [STC 233/1999, de 16 de diciembre, FFJJ 4 b) y 5].</w:t>
      </w:r>
    </w:p>
    <w:p w:rsidR="00163957" w:rsidRDefault="00163957" w:rsidP="00163957">
      <w:pPr>
        <w:pStyle w:val="TextoNormal"/>
      </w:pPr>
    </w:p>
    <w:p w:rsidR="00163957" w:rsidRDefault="00163957" w:rsidP="00163957">
      <w:pPr>
        <w:pStyle w:val="TextoNormal"/>
      </w:pPr>
      <w:r>
        <w:t xml:space="preserve">Este Tribunal ha declarado también que el art. 149.1.14 CE ampara normas estatales relativas a la hacienda pública desde la perspectiva del gasto. En particular: “las normas y principios comunes de la actividad financiera de las distintas haciendas que tiendan a asegurar los principios constitucionales que, conforme a nuestra Constitución, han de regir el gasto público: legalidad (art. 133.4 CE); eficiencia y economía (art. 31.2 CE), asignación equitativa de los recursos públicos (art. 31.2 CE); subordinación de la riqueza nacional al interés general (art. 128.1), estabilidad presupuestaria (art. 135 CE; STC 134/2011, de 20 de julio) y control (art. 136 CE)” [SSTC 130/2013, de 4 de junio, FJ 5, 135/2013, de 5 de junio, FJ 3 b)]. Ello “en modo alguno resulta contrario a la autonomía consagrada a favor de las Comunidades Autónomas pues éstas ‘gozarán de autonomía financiera (de gasto) en la medida en que puedan elegir y realizar sus propios objetivos políticos, administrativos, sociales o económicos’, es decir, en que puedan decidir a qué objetivos destinan sus recursos </w:t>
      </w:r>
      <w:r>
        <w:lastRenderedPageBreak/>
        <w:t>sin condicionamientos indebidos” [SSTC 130/2013, FJ 5, y 135/2013, FJ 3 b), citando la STC 192/2000, FJ 6].</w:t>
      </w:r>
    </w:p>
    <w:p w:rsidR="00163957" w:rsidRDefault="00163957" w:rsidP="00163957">
      <w:pPr>
        <w:pStyle w:val="TextoNormal"/>
      </w:pPr>
    </w:p>
    <w:p w:rsidR="00163957" w:rsidRDefault="00163957" w:rsidP="00163957">
      <w:pPr>
        <w:pStyle w:val="TextoNormal"/>
      </w:pPr>
      <w:r>
        <w:t xml:space="preserve">A este respecto, este Tribunal ha advertido que, “dado que la actividad de gasto la desarrollan las Administraciones públicas, no resulta fácil deslindar las normas de simple régimen jurídico de las Administraciones públicas que el Estado puede establecer </w:t>
      </w:r>
      <w:r w:rsidRPr="00163957">
        <w:rPr>
          <w:i/>
        </w:rPr>
        <w:t>ex</w:t>
      </w:r>
      <w:r>
        <w:t xml:space="preserve"> art. 149.1.18 CE de las normas comunes sobre el gasto público subvencional que el Estado puede dictar al amparo del art. 149.1.14 CE, por lo que para proceder a una calificación competencial correcta deberá estarse tanto al sentido o finalidad de los títulos competenciales en juego, como al carácter, sentido y finalidad de los preceptos impugnados, es decir, al contenido del propio precepto controvertido (por todas, STC 153/1989, de 5 de octubre, FJ 5). A estos efectos, tendremos en cuenta como criterio interpretativo que, cuando se esté abordando la regulación de los derechos y obligaciones de contenido económico de las Administraciones públicas o cuando el objeto de la regulación sea la protección o preservación de los recursos públicos que integran las haciendas, nos encontraremos ante preceptos que tienen su anclaje en el art. 149.1.14 CE” [SSTC 130/2013, FJ 5, y 135/2013, FJ 3 c)].</w:t>
      </w:r>
    </w:p>
    <w:p w:rsidR="00163957" w:rsidRDefault="00163957" w:rsidP="00163957">
      <w:pPr>
        <w:pStyle w:val="TextoNormal"/>
      </w:pPr>
    </w:p>
    <w:p w:rsidR="00163957" w:rsidRDefault="00163957" w:rsidP="00163957">
      <w:pPr>
        <w:pStyle w:val="TextoNormal"/>
      </w:pPr>
      <w:r>
        <w:t>c) El Abogado del Estado invoca además el art. 149.1.13 CE. Razona que este título es “fundamental”, no porque excluya el juego del art. 149.1.18 CE, sino porque —dado el nuevo contexto constitucional (art. 135 CE)— justificaría una mayor extensión de las bases del régimen local. El anteproyecto de la Ley controvertida también mencionaba el art. 149.1.13 CE como título habilitante porque, según su preámbulo, una de las principales finalidades perseguidas es garantizar la sostenibilidad financiera de los servicios de las entidades locales. No obstante, tras las consideraciones críticas del Consejo de Estado (Dictamen 567/2013, de 26 de junio), el texto definitivo suprimió la invocación del art. 149.1.13 CE. No aparece ni en la disposición final quinta ni en la exposición de motivos de la Ley de racionalización y sostenibilidad de la Administración local.</w:t>
      </w:r>
    </w:p>
    <w:p w:rsidR="00163957" w:rsidRDefault="00163957" w:rsidP="00163957">
      <w:pPr>
        <w:pStyle w:val="TextoNormal"/>
      </w:pPr>
    </w:p>
    <w:p w:rsidR="00163957" w:rsidRDefault="00163957" w:rsidP="00163957">
      <w:pPr>
        <w:pStyle w:val="TextoNormal"/>
      </w:pPr>
      <w:r>
        <w:t>Ciertamente, este título es uno de los que puede utilizar el Estado para aprobar la ley orgánica prevista en el art. 135.5 CE. Así lo ha aclarado la STC 215/2014, de 18 de diciembre, FJ 3 a), citando también los apartados 18 y 14 del art. 149.1 CE y precisando que esa reserva “no puede considerarse como atributiva de una competencia material del Estado, aunque sí ‘corrobora’ su competencia en esta materia”. Del mismo modo, el art. 149.1.13 CE permite al Estado adoptar ciertas medidas de ahorro, como son los “topes máximos a los incrementos retributivos de los funcionarios autonómicos” y “la congelación salarial en un ejercicio concreto” (por todas, STC 94/2015, de 14 de mayo, FJ 3).</w:t>
      </w:r>
    </w:p>
    <w:p w:rsidR="00163957" w:rsidRDefault="00163957" w:rsidP="00163957">
      <w:pPr>
        <w:pStyle w:val="TextoNormal"/>
      </w:pPr>
    </w:p>
    <w:p w:rsidR="00163957" w:rsidRDefault="00163957" w:rsidP="00163957">
      <w:pPr>
        <w:pStyle w:val="TextoNormal"/>
      </w:pPr>
      <w:r>
        <w:t xml:space="preserve">Ahora bien, el art. 149.1.13 CE, respecto del que hay que evitar “una lectura excesivamente amplia” que pudiera “constreñir de contenido o incluso vaciar las competencias sectoriales legítimas de las Comunidades Autónomas” [por todas, STC 141/2014, de 11 de septiembre, FJ 2 c)], tiene como objeto característico la actividad económica privada, más que la racionalización de las estructuras administrativas. El art. 149.1.13 CE autoriza al Estado a fijar las líneas directrices y los criterios globales de ordenación de sectores económicos concretos, así como las previsiones de acciones o medidas singulares que sean necesarias para alcanzar los fines propuestos dentro de la ordenación de cada sector [STC 34/2013, de 14 de febrero, FJ 4 b)]. La eficiencia en el uso de los recursos públicos es primariamente una exigencia constitucional que deben tener en cuenta las propias entidades locales en el ejercicio de su poder de autoorganización (STC 214/1989, de 21 de diciembre, </w:t>
      </w:r>
      <w:r>
        <w:lastRenderedPageBreak/>
        <w:t>FJ 6) así como las Comunidades Autónomas y el Estado en el ejercicio de sus respectivas competencias sobre organizaciones, procedimientos, empleados, bienes y haciendas públicos.</w:t>
      </w:r>
    </w:p>
    <w:p w:rsidR="00163957" w:rsidRDefault="00163957" w:rsidP="00163957">
      <w:pPr>
        <w:pStyle w:val="TextoNormal"/>
      </w:pPr>
    </w:p>
    <w:p w:rsidR="00163957" w:rsidRDefault="00163957" w:rsidP="00163957">
      <w:pPr>
        <w:pStyle w:val="TextoNormal"/>
      </w:pPr>
      <w:r>
        <w:t>Así resulta de las SSTC 130/2013, FFJJ 5 a 8, y 135/2013, FJ 3, que descartaron encuadrar la controversia competencial suscitada por la Ley general de subvenciones en el apartado 13 del art. 149.1 CE; la enmarcaron en los apartados 18 y 14, precisando que para delimitar el título “hacienda general” cobran relevancia los criterios de eficiencia y economía en el gasto público (art. 31.2 CE), entre otros. Lo hemos declarado recientemente también al abordar algunos preceptos sobre vacaciones, licencias y permisos de la Ley 7/2007, de 12 de abril, del estatuto básico del empleado público, en la redacción dada por el Real Decreto-ley 20/2012, de 13 de julio, de medidas para garantizar la estabilidad presupuestaria y de fomento de la competitividad (STC 156/2015, de 9 de julio, FJ 8). Tal regulación “responde a la necesidad de hacer frente a las circunstancias económicas de crisis que padece nuestro país, adoptando medidas que tiendan a la racionalización del gasto de personal de las Administraciones públicas y a un mejor aprovechamiento de los recursos humanos y de personal de que disponen”. Sin embargo, “tal justificación de alcance general no llega hasta el extremo de que el concreto precepto de referencia que ahora enjuiciamos pueda encontrar amparo en la competencia del Estado sobre bases y coordinación de la planificación general de la actividad económica (art. 149.1.13 CE)”.</w:t>
      </w:r>
    </w:p>
    <w:p w:rsidR="00163957" w:rsidRDefault="00163957" w:rsidP="00163957">
      <w:pPr>
        <w:pStyle w:val="TextoNormal"/>
      </w:pPr>
    </w:p>
    <w:p w:rsidR="00163957" w:rsidRDefault="00163957" w:rsidP="00163957">
      <w:pPr>
        <w:pStyle w:val="TextoNormal"/>
      </w:pPr>
      <w:r w:rsidRPr="00163957">
        <w:rPr>
          <w:rStyle w:val="NumeroAFNegritaCaracter"/>
        </w:rPr>
        <w:t>4</w:t>
      </w:r>
      <w:r>
        <w:t>. El razonamiento expuesto conduce a confirmar el encuadramiento competencial establecido (disposición final quinta) y razonado (preámbulo) en la Ley de racionalización y sostenibilidad de la Administración local. La controversia competencial que plantea el recurso de inconstitucionalidad se inscribe, por tanto, en el art. 149.1.18 CE, sin perjuicio de que algunos preceptos de la Ley de racionalización y sostenibilidad de la Administración local deban enmarcarse en el art. 149.1.14 CE.</w:t>
      </w:r>
    </w:p>
    <w:p w:rsidR="00163957" w:rsidRDefault="00163957" w:rsidP="00163957">
      <w:pPr>
        <w:pStyle w:val="TextoNormal"/>
      </w:pPr>
    </w:p>
    <w:p w:rsidR="00163957" w:rsidRDefault="00163957" w:rsidP="00163957">
      <w:pPr>
        <w:pStyle w:val="TextoNormal"/>
      </w:pPr>
      <w:r>
        <w:t>No cabe traer a colación el art. 149.1.13 CE, por el simple hecho de que la Ley de racionalización y sostenibilidad de la Administración local tenga cierta trascendencia en la economía o se oriente a establecer medidas que favorezcan la efectiva aplicación de los principios de estabilidad presupuestaria y sostenibilidad financiera en el ámbito de la Administración local. La Ley controvertida regula el régimen jurídico de las entidades locales mediante la reforma parcial de leyes esencialmente amparadas en los apartados 18 y 14 del art. 149.1 CE [STC 214/1989, FJ 1, en relación con la LBRL; y STC 233/1999, de 16 de diciembre, FFJJ 4 a 9, en relación con la Ley reguladora de haciendas locales (LHL)]. Ciertamente, incluye múltiples referencias a la estabilidad presupuestaria y a la sostenibilidad financiera y prevé medidas cuyo fin último es el ahorro en el gasto público. Sin embargo, tal como puso de relieve el precitado Dictamen del Consejo de Estado (refiriéndose al anteproyecto), no tiene por objeto disciplinar un sector concreto de la economía ni ordenar la actividad de los agentes que en ella intervienen. Los preceptos de la Ley de racionalización y sostenibilidad de la Administración local regulan la materias “régimen local” y “haciendas locales”, solo que, en este caso, se orientan muchas veces a fines de eficiencia y estabilidad presupuestaria.</w:t>
      </w:r>
    </w:p>
    <w:p w:rsidR="00163957" w:rsidRDefault="00163957" w:rsidP="00163957">
      <w:pPr>
        <w:pStyle w:val="TextoNormal"/>
      </w:pPr>
    </w:p>
    <w:p w:rsidR="00163957" w:rsidRDefault="00163957" w:rsidP="00163957">
      <w:pPr>
        <w:pStyle w:val="TextoNormal"/>
      </w:pPr>
      <w:r>
        <w:t xml:space="preserve">La atribución al Estado de competencias normativas (art. 149 CE) —en lo que aquí interesa, las bases del régimen local (apartado 1.18) y el régimen completo de las haciendas locales (apartado 1.14)— significa, principalmente, el reconocimiento de su capacidad para </w:t>
      </w:r>
      <w:r>
        <w:lastRenderedPageBreak/>
        <w:t>decidir políticamente fines y orientar hacia ellos la regulación de una materia. Cuando el Estado decide orientar una regulación hacia fines de racionalización de los recursos públicos y estabilidad presupuestaria, está elaborando políticas y, con ello, desarrollando el genuino sentido de que la Constitución le haya atribuido competencias en el ámbito regulado. El Estado llena así de contenido político la competencia que tiene formalmente habilitada en la materia correspondiente, sin que esas finalidades puedan por sí justificar la consideración de que la materia regulada es otra o la entrada en juego de un diverso título competencial.</w:t>
      </w:r>
    </w:p>
    <w:p w:rsidR="00163957" w:rsidRDefault="00163957" w:rsidP="00163957">
      <w:pPr>
        <w:pStyle w:val="TextoNormal"/>
      </w:pPr>
    </w:p>
    <w:p w:rsidR="00163957" w:rsidRDefault="00163957" w:rsidP="00163957">
      <w:pPr>
        <w:pStyle w:val="TextoNormal"/>
      </w:pPr>
      <w:r>
        <w:t>Ahora bien, tal como sugiere el Abogado del Estado, la directa conexión de aquellas finalidades con mandatos constitucionales (arts. 31.2, 103.1, 135, 137, 140, 141 CE) habrá de tenerse en cuenta en el trance de valorar si una regulación dictada al amparo del art. 149.1.18 CE permanece dentro de los márgenes de lo básico. Ello no significa que queden reconducidas al art. 149.1.13 CE normas evidentemente referidas al régimen local solo porque respondan a fines de eficacia de la actuación administrativa (art. 103.1 CE), eficiencia en el uso de los recursos públicos (art. 31.2 CE) y estabilidad presupuestaria (art. 135 CE).</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El primer bloque de impugnaciones se refiere a regulaciones relativas al mapa local en relación con los municipios (art. 13 LBRL) y entidades tanto inframunicipales (art. 24 </w:t>
      </w:r>
      <w:r w:rsidRPr="00163957">
        <w:rPr>
          <w:i/>
        </w:rPr>
        <w:t>bis</w:t>
      </w:r>
      <w:r>
        <w:t xml:space="preserve"> LBRL y disposición transitoria cuarta de la Ley de racionalización y sostenibilidad de la Administración local) como asociativas o instrumentales (art. 57 LBRL y disposición transitoria undécima de la Ley de racionalización y sostenibilidad de la Administración local.).</w:t>
      </w:r>
    </w:p>
    <w:p w:rsidR="00163957" w:rsidRDefault="00163957" w:rsidP="00163957">
      <w:pPr>
        <w:pStyle w:val="TextoNormal"/>
      </w:pPr>
    </w:p>
    <w:p w:rsidR="00163957" w:rsidRDefault="00163957" w:rsidP="00163957">
      <w:pPr>
        <w:pStyle w:val="TextoNormal"/>
      </w:pPr>
      <w:r>
        <w:t>Según se ha razonado ya, el art. 137 CE establece una estructura territorial compuesta conforme a la que los entes locales no están exclusivamente integrados en el nivel autonómico (STC 82/1982, FJ 4). En consonancia con ella, el sistema constitucional adjudica al Estado un relevante papel en la configuración del mapa local, además de a las Comunidades Autónomas y, en alguna medida también, a las propias entidades locales.</w:t>
      </w:r>
    </w:p>
    <w:p w:rsidR="00163957" w:rsidRDefault="00163957" w:rsidP="00163957">
      <w:pPr>
        <w:pStyle w:val="TextoNormal"/>
      </w:pPr>
    </w:p>
    <w:p w:rsidR="00163957" w:rsidRDefault="00163957" w:rsidP="00163957">
      <w:pPr>
        <w:pStyle w:val="TextoNormal"/>
      </w:pPr>
      <w:r>
        <w:t>Por de pronto, la propia Constitución asume la existencia de provincias como entes locales con autonomía garantizada (art. 141.1) y atribuye al Estado “cualquier alteración de los límites provinciales” (SSTC 32/1981, FJ 3, y 31/2010, FJ 40). El art. 141.1 CE exige a tal efecto una decisión de “las Cortes Generales mediante ley orgánica”.</w:t>
      </w:r>
    </w:p>
    <w:p w:rsidR="00163957" w:rsidRDefault="00163957" w:rsidP="00163957">
      <w:pPr>
        <w:pStyle w:val="TextoNormal"/>
      </w:pPr>
    </w:p>
    <w:p w:rsidR="00163957" w:rsidRDefault="00163957" w:rsidP="00163957">
      <w:pPr>
        <w:pStyle w:val="TextoNormal"/>
      </w:pPr>
      <w:r>
        <w:t xml:space="preserve">En ejercicio de su competencia para establecer las bases del régimen local (art. 149.1.18 CE), el Estado debe regular asimismo “los elementos que permiten definir el modelo municipal común entre los que se encuentran el territorio, la población y la organización, como recoge el art. 11.2 LBRL” y, con ello, “las bases del procedimiento de alteración de los términos municipales”. Así lo ha declarado la STC 103/2013, FJ 5, que añade: “corresponde al Estado optar, de entre los posibles, por un determinado modelo municipal. Así, el Estado podía haberse inclinado por un modelo minifundista, basado en la existencia de núcleos de población sin exigencia alguna de un mínimo territorial, o por un modelo basado en mayores exigencias de población y territorio, si es que lo hubiera considerado necesario para garantizar la viabilidad del ejercicio de las competencias que se atribuyen a los municipios y con ello su autonomía, o por una combinación de ambos en función de la realidad existente o, finalmente, por un modelo que dejase un amplio margen de decisión a las Comunidades Autónomas para configurar el elemento territorial de los municipios. Pues bien, esta última </w:t>
      </w:r>
      <w:r>
        <w:lastRenderedPageBreak/>
        <w:t>es la opción por la que se inclinó el legislador estatal en 1985 y ha confirmado la Ley de medidas para la modernización del gobierno local”.</w:t>
      </w:r>
    </w:p>
    <w:p w:rsidR="00163957" w:rsidRDefault="00163957" w:rsidP="00163957">
      <w:pPr>
        <w:pStyle w:val="TextoNormal"/>
      </w:pPr>
    </w:p>
    <w:p w:rsidR="00163957" w:rsidRDefault="00163957" w:rsidP="00163957">
      <w:pPr>
        <w:pStyle w:val="TextoNormal"/>
      </w:pPr>
      <w:r>
        <w:t>Los entes locales forman parte también de la específica estructura territorial autonómica. Por eso las Comunidades Autónomas, respetando las bases estatales, pueden ejercer la competencia sobre “alteración de los términos municipales comprendidos en su territorio” prevista en el art. 148.1.2 CE y efectivamente recogida en el art. 54.2 del Estatuto de Autonomía de Extremadura. Tal competencia es de carácter tanto normativo como ejecutivo. El Estado no puede por sí, directamente, fusionar municipios (STC 214/1989, FJ 9). No obstante, entra dentro de lo básico, sin que invada las competencias autonómicas de ejecución, la “acción estatal de fomento a fin de favorecer las fusiones de municipios, buscando con ello una mayor capacidad de gestión en las entidades locales” (STC 214/1989, FJ 9).</w:t>
      </w:r>
    </w:p>
    <w:p w:rsidR="00163957" w:rsidRDefault="00163957" w:rsidP="00163957">
      <w:pPr>
        <w:pStyle w:val="TextoNormal"/>
      </w:pPr>
    </w:p>
    <w:p w:rsidR="00163957" w:rsidRDefault="00163957" w:rsidP="00163957">
      <w:pPr>
        <w:pStyle w:val="TextoNormal"/>
      </w:pPr>
      <w:r>
        <w:t>El legislador básico puede ocuparse asimismo en alguna medida de las “entidades locales no necesarias o contingentes”, en general, y las de segundo grado (p. ej., comarcas), en particular. No obstante, estas entidades están dotadas de “un fuerte grado de interiorización autonómica”, sin que les alcance directamente la garantía constitucional de la autonomía municipal (art. 140 CE), provincial (art. 141.2 CE) e insular (art. 141.4 CE) [STC 214/1989, FFJJ 4 b) y 15 a)]. Estos entes “entran en cuanto a su propia existencia en el ámbito de disponibilidad de las Comunidades Autónomas que dispongan de la correspondiente competencia” [STC 214/1989, FJ 4 b)]. Por eso queda excluida “la posibilidad de que el Estado las cree o mantenga en existencia, por decisión propia” (STC 179/1985, de 19 de diciembre, FJ 2).</w:t>
      </w:r>
    </w:p>
    <w:p w:rsidR="00163957" w:rsidRDefault="00163957" w:rsidP="00163957">
      <w:pPr>
        <w:pStyle w:val="TextoNormal"/>
      </w:pPr>
    </w:p>
    <w:p w:rsidR="00163957" w:rsidRDefault="00163957" w:rsidP="00163957">
      <w:pPr>
        <w:pStyle w:val="TextoNormal"/>
      </w:pPr>
      <w:r>
        <w:t>La creación y regulación de entidades inframunicipales encierra decisiones organizativas. La organización de los Ayuntamientos afecta claramente a su autonomía, que está constitucionalmente garantizada (arts. 137 y 140 CE). La legislación sobre régimen local debe asegurar espacios a la autoorganización local. Tal legislación ha de ser, en principio, autonómica. No obstante, la normativa básica puede “identificar aquel núcleo del ordenamiento que requiere de elementos comunes o uniformes en función de los intereses generales a los que sirve el Estado”, incluyendo únicamente “aquellos aspectos que sean necesarios, sin quepa agotar todo el espacio normativo que debe corresponder al legislador autonómico, en especial en las cuestiones relacionadas con la organización y funcionamiento interno de los órganos” [STC 103/2013, FJ 5 e), que sintetiza la doctrina de las SSTC 32/1981, FJ 5; 214/1989, FJ 6, y 50/1999, FJ 3].</w:t>
      </w:r>
    </w:p>
    <w:p w:rsidR="00163957" w:rsidRDefault="00163957" w:rsidP="00163957">
      <w:pPr>
        <w:pStyle w:val="TextoNormal"/>
      </w:pPr>
    </w:p>
    <w:p w:rsidR="00163957" w:rsidRDefault="00163957" w:rsidP="00163957">
      <w:pPr>
        <w:pStyle w:val="TextoNormal"/>
      </w:pPr>
      <w:r>
        <w:t>En aplicación de esta doctrina, este Tribunal ha considerado ajustado a la autonomía local (art. 137 CE) y al art. 149.1.18 CE el régimen orgánico de los municipios de gran población introducido en la Ley reguladora de las bases de régimen local por la Ley 57/2003, de 16 de diciembre, de medidas para la modernización del gobierno local [SSTC 103/2013, FJ 3, letras e), f) y g); 143/2013, FJ 5]. Tal régimen no se limita a los órganos de gobierno (pleno, alcalde y junta de gobierno); prevé también la creación preceptiva de los “órganos de gestión desconcentrada” (art. 128 LBRL), la “comisión especial de sugerencias y reclamaciones” (arts. 20 y 132 LBRL) y el “consejo social de la ciudad” (art. 131 LBRL).</w:t>
      </w:r>
    </w:p>
    <w:p w:rsidR="00163957" w:rsidRDefault="00163957" w:rsidP="00163957">
      <w:pPr>
        <w:pStyle w:val="TextoNormal"/>
      </w:pPr>
    </w:p>
    <w:p w:rsidR="00163957" w:rsidRDefault="00163957" w:rsidP="00163957">
      <w:pPr>
        <w:pStyle w:val="TextoNormal"/>
      </w:pPr>
      <w:r>
        <w:t xml:space="preserve">En lo que ahora interesa específicamente, se ha precisado que las entidades locales menores, al involucrar intereses municipales, cobran relevancia bajo la óptica de la garantía constitucional de la autonomía local (art. 137 CE). Si bien la constitución y determinación </w:t>
      </w:r>
      <w:r>
        <w:lastRenderedPageBreak/>
        <w:t>del régimen jurídico de estas entidades, de carácter puramente contingente o voluntario, depende de la normativa local y de la legislación de las Comunidades Autónomas, caben reglas básicas que atiendan a “intereses generales de alcance supraautonómico” [STC 214/1989, FJ 15 letras a) y b)]. En esa medida el Estado puede “establecer algunas reglas o previsiones al respecto” [SSTC 4/1981, de 2 de febrero, FJ 6; 214/1989, FJ 15 a)].</w:t>
      </w:r>
    </w:p>
    <w:p w:rsidR="00163957" w:rsidRDefault="00163957" w:rsidP="00163957">
      <w:pPr>
        <w:pStyle w:val="TextoNormal"/>
      </w:pPr>
    </w:p>
    <w:p w:rsidR="00163957" w:rsidRDefault="00163957" w:rsidP="00163957">
      <w:pPr>
        <w:pStyle w:val="TextoNormal"/>
      </w:pPr>
      <w:r>
        <w:t>La doctrina constitucional es similar respecto de las entidades instrumentales o asociativas (p. ej., mancomunidades y consorcios). La STC 103/2014, FJ 3 a), tras referirse al derecho de los municipios a asociarse entre sí, previsto en la Carta europea de la autonomía local (art. 19) y en la Ley reguladora de las bases de régimen local (art. 44.1), señala que las mancomunidades, si bien no son “entidades locales constitucionales consagradas”, están directamente relacionadas con los intereses de los municipios mancomunados y, con ello, con la garantía de la autonomía local (art. 137 CE). Por eso “solo podría concluirse que la regulación estatal impugnada excede del ámbito material de lo básico, si no fuera necesaria para garantizar la autonomía de los municipios mancomunados” (en igual sentido, STC 143/2013, FJ 4). A ello cabe añadir que el carácter bifronte del régimen local permite al Estado regular fórmulas cooperativas, por cuanto que el nivel local forma parte de la organización territorial del Estado [STC 214/1989, FJ 20 e)].</w:t>
      </w:r>
    </w:p>
    <w:p w:rsidR="00163957" w:rsidRDefault="00163957" w:rsidP="00163957">
      <w:pPr>
        <w:pStyle w:val="TextoNormal"/>
      </w:pPr>
    </w:p>
    <w:p w:rsidR="00163957" w:rsidRDefault="00163957" w:rsidP="00163957">
      <w:pPr>
        <w:pStyle w:val="TextoNormal"/>
      </w:pPr>
      <w:r w:rsidRPr="00163957">
        <w:rPr>
          <w:rStyle w:val="NumeroAFNegritaCaracter"/>
        </w:rPr>
        <w:t>6</w:t>
      </w:r>
      <w:r>
        <w:t>. Se está ya en condiciones de proyectar la doctrina constitucional expuesta sobre las impugnaciones relacionadas con el mapa local. Empezaremos con la dirigida contra el art. 13 LBRL, en la redacción dada por el art. 1.5 de la Ley de racionalización y sostenibilidad de la Administración local.</w:t>
      </w:r>
    </w:p>
    <w:p w:rsidR="00163957" w:rsidRDefault="00163957" w:rsidP="00163957">
      <w:pPr>
        <w:pStyle w:val="TextoNormal"/>
      </w:pPr>
    </w:p>
    <w:p w:rsidR="00163957" w:rsidRDefault="00163957" w:rsidP="00163957">
      <w:pPr>
        <w:pStyle w:val="TextoNormal"/>
      </w:pPr>
      <w:r>
        <w:t>a) La nueva redacción del art. 13 LBRL sigue confiando el régimen de creación, supresión y alteración de los términos municipales a la “legislación de las comunidades autónomas sobre régimen local” (apartado 1). Sin embargo, las coordenadas dentro de las que esa legislación ha de moverse son algo más intensas. El precepto controvertido, por un lado, endurece el régimen de creación de nuevos municipios mediante dos requisitos añadidos: el núcleo poblacional ha de contar con al menos 5.000 habitantes y el municipio resultante ha de ser financieramente sostenible (apartado 2). Por otro, incluye un nuevo régimen jurídico sobre fusiones voluntarias de municipios y medidas concretas para incentivarla (apartados 4 a 6). Ese régimen y esas medidas van más allá de la genérica previsión que incluía la redacción anterior, mantenida en el apartado 3 del precepto impugnado.</w:t>
      </w:r>
    </w:p>
    <w:p w:rsidR="00163957" w:rsidRDefault="00163957" w:rsidP="00163957">
      <w:pPr>
        <w:pStyle w:val="TextoNormal"/>
      </w:pPr>
    </w:p>
    <w:p w:rsidR="00163957" w:rsidRDefault="00163957" w:rsidP="00163957">
      <w:pPr>
        <w:pStyle w:val="TextoNormal"/>
      </w:pPr>
      <w:r>
        <w:t>La exposición de motivos de la Ley de racionalización y sostenibilidad de la Administración local ha subrayado esta novedad, vinculándola a los objetivos de estabilidad presupuestaria y sostenibilidad financiera y considerándola amparada en la doctrina constitucional sobre bases del régimen local: “por primera vez se introducen medidas concretas para fomentar la fusión voluntaria de municipios de forma que se potencie a los municipios que se fusionan ya que contribuyen a racionalizar sus estructuras y superar la atomización del mapa municipal…Estas medidas de fusiones municipales incentivadas, que encuentran respaldo en la más reciente jurisprudencia constitucional, STC 103/2013, de 25 de abril, supondrán, en definitiva, que los municipios fusionados percibirán un aumento de la financiación en la medida en que los municipios de menor población recibirán menos financiación”.</w:t>
      </w:r>
    </w:p>
    <w:p w:rsidR="00163957" w:rsidRDefault="00163957" w:rsidP="00163957">
      <w:pPr>
        <w:pStyle w:val="TextoNormal"/>
      </w:pPr>
    </w:p>
    <w:p w:rsidR="00163957" w:rsidRDefault="00163957" w:rsidP="00163957">
      <w:pPr>
        <w:pStyle w:val="TextoNormal"/>
      </w:pPr>
      <w:r>
        <w:t xml:space="preserve">b) Según el recurso, el nuevo art. 13 LBRL habría desbordado los límites del art. 149.1.18 CE al establecer un régimen cerrado de creación de nuevos municipios sin posibilidad de </w:t>
      </w:r>
      <w:r>
        <w:lastRenderedPageBreak/>
        <w:t>excepción (apartado 2). También por permitir que los propios municipios acuerden su fusión a través de un convenio aprobado por mayoría simple de sus respectivos plenos, sin perjuicio del procedimiento previsto en la normativa autonómica (apartados 4, primer párrafo, y 6). Habría sustraído a las Comunidades Autónomas una competencia de ejecución que tienen atribuida en sus Estatutos de Autonomía.</w:t>
      </w:r>
    </w:p>
    <w:p w:rsidR="00163957" w:rsidRDefault="00163957" w:rsidP="00163957">
      <w:pPr>
        <w:pStyle w:val="TextoNormal"/>
      </w:pPr>
    </w:p>
    <w:p w:rsidR="00163957" w:rsidRDefault="00163957" w:rsidP="00163957">
      <w:pPr>
        <w:pStyle w:val="TextoNormal"/>
      </w:pPr>
      <w:r>
        <w:t xml:space="preserve">El art. 13 LBRL no impide que la Comunidad Autónoma desarrolle una política propia sobre fusión de los municipios situados en su ámbito territorial ni, en general, que intervenga de diferentes modos sobre el mapa municipal. Contiene solo límites a la creación de nuevos municipios, incentivos a la fusión voluntaria y un régimen sobre los efectos de la fusión que dejan amplio espacio al desarrollo autonómico de políticas propias. Nada dice, en particular, sobre las fusiones imperativas. Solo el art. 116 </w:t>
      </w:r>
      <w:r w:rsidRPr="00163957">
        <w:rPr>
          <w:i/>
        </w:rPr>
        <w:t>bis</w:t>
      </w:r>
      <w:r>
        <w:t xml:space="preserve"> LBRL (introducido por el art. 1.30 de la Ley de racionalización y sostenibilidad de la Administración local) prevé la fusión de municipios como respuesta al incumplimiento de los objetivos de déficit, deuda y regla de gasto, aunque únicamente como propuesta del propio municipio incumplidor en su plan económico-financiero. La legislación básica sigue optando en este punto por no establecer las directrices fundamentales de un plan general de reestructuración del mapa municipal español. Por tanto, “la legislación de las Comunidades Autónomas sobre régimen local” podrá regular, planificar y acordar estas fusiones imperativas con los escasos límites que resultan del primer apartado del art. 13 LBRL.</w:t>
      </w:r>
    </w:p>
    <w:p w:rsidR="00163957" w:rsidRDefault="00163957" w:rsidP="00163957">
      <w:pPr>
        <w:pStyle w:val="TextoNormal"/>
      </w:pPr>
    </w:p>
    <w:p w:rsidR="00163957" w:rsidRDefault="00163957" w:rsidP="00163957">
      <w:pPr>
        <w:pStyle w:val="TextoNormal"/>
      </w:pPr>
      <w:r>
        <w:t>La exigencia de que se creen nuevos municipios solo cuando resulten financieramente sostenibles (apartado 2), si no deriva directamente de los arts. 31.2, 103.1 y 135 CE, entra dentro, sin lugar a dudas, de la competencia estatal para diseñar el modelo municipal español; exactamente igual la fijación de mínimos poblacionales: el Estado puede desarrollar un modelo municipal al amparo del art. 149.1.18 CE “basado en mayores exigencias de población y territorio”, si lo considera “necesario para garantizar la viabilidad del ejercicio de las competencias que se atribuyen a los municipios y con ello su autonomía” (STC 103/2013, FJ 5).</w:t>
      </w:r>
    </w:p>
    <w:p w:rsidR="00163957" w:rsidRDefault="00163957" w:rsidP="00163957">
      <w:pPr>
        <w:pStyle w:val="TextoNormal"/>
      </w:pPr>
    </w:p>
    <w:p w:rsidR="00163957" w:rsidRDefault="00163957" w:rsidP="00163957">
      <w:pPr>
        <w:pStyle w:val="TextoNormal"/>
      </w:pPr>
      <w:r>
        <w:t>Los apartados 4 y 6 del art. 13 LBRL encomiendan a los Ayuntamientos afectados la adopción de los acuerdos de fusión, aprobados por mayoría simple de sus respectivos plenos, “sin perjuicio del procedimiento previsto en la normativa autonómica”. Más allá de la virtualidad real de esta previsión (y de la valoración de oportunidad que merezca que una decisión evidentemente trascendental para la vida municipal no esté sujeta a un régimen de mayoría cualificada), es claro que dinamiza el principio constitucional de autonomía local (art. 137 CE) y facilita las fusiones voluntarias con el fin de lograr una reducción del mapa municipal instrumental de los principios de eficacia de la actuación administrativa (art. 103.1 CE), eficiencia en el uso de los recursos públicos (art. 31.2 CE) y estabilidad presupuestaria (art. 135 CE). Se sitúa, por tanto, en el terreno de las bases del régimen local (art. 149.1.18 CE).</w:t>
      </w:r>
    </w:p>
    <w:p w:rsidR="00163957" w:rsidRDefault="00163957" w:rsidP="00163957">
      <w:pPr>
        <w:pStyle w:val="TextoNormal"/>
      </w:pPr>
    </w:p>
    <w:p w:rsidR="00163957" w:rsidRDefault="00163957" w:rsidP="00163957">
      <w:pPr>
        <w:pStyle w:val="TextoNormal"/>
      </w:pPr>
      <w:r>
        <w:t xml:space="preserve">Al desestimar la impugnación dirigida contra la redacción originaria del art. 13 LBRL, la STC 214/1989 declaró que “al órgano autonómico competente corresponderá decretar [las alteraciones de términos municipales], de acuerdo con la regulación propia de la Comunidad que solo se encuentra limitada por las previsiones de orden procedimental y sustantivo que, respectivamente, prevén los párrafos 1.º y 2.º del mismo art. 13” (FJ 9). Para calibrar adecuadamente el alcance de esta declaración en el contexto del presente proceso, </w:t>
      </w:r>
      <w:r>
        <w:lastRenderedPageBreak/>
        <w:t>es preciso tener en cuenta que la Sentencia describía la regulación entonces controvertida, que nada disponía en torno a quién formaliza en concreto el acuerdo de fusión voluntaria. Admitía que cada Comunidad Autónoma regulase este aspecto y, por tanto, que se atribuyese la decisión final con grados variables de discrecionalidad y, en última instancia, que la Administración autonómica pudiese oponer resistencia a la voluntad de fusión de los municipios de su ámbito territorial. El art. 13 LBRL contiene ahora otra regulación conforme a la que los órganos representativos de los Ayuntamientos afectados son quienes adoptan el 'convenio de fusión', "sin perjuicio del procedimiento previsto en la normativa autonómica”.</w:t>
      </w:r>
    </w:p>
    <w:p w:rsidR="00163957" w:rsidRDefault="00163957" w:rsidP="00163957">
      <w:pPr>
        <w:pStyle w:val="TextoNormal"/>
      </w:pPr>
    </w:p>
    <w:p w:rsidR="00163957" w:rsidRDefault="00163957" w:rsidP="00163957">
      <w:pPr>
        <w:pStyle w:val="TextoNormal"/>
      </w:pPr>
      <w:r>
        <w:t>A su vez, esa misma Sentencia resolvió una impugnación sobre el régimen jurídico de las mancomunidades muy similar a la aquí planteada. La Junta de Galicia razonaba entonces que la Ley reguladora de las bases de régimen local invadía las competencias autonómicas por entregar a los municipios el poder decisorio en lo concerniente tanto a la creación de las mancomunidades, como a la elaboración de sus estatutos. La STC 214/1989 desestimó la impugnación. Además de destacar la remisión contenida en el art. 44.3 LBRL a favor de la legislación autonómica, declaró: “El legislador estatal, en el ejercicio de la competencia que le reconoce el art. 149.1.18. de la Constitución, ha optado aquí, como en otros supuestos, por ampliar el alcance y contenido de la autonomía municipal, sin que a ello pueda imputarse exceso competencial de ningún tipo, al ser simple concreción de una legítima opción política que, cualquiera que sea la valoración que pueda suscitar, constitucionalmente no permite juicio alguno de este Tribunal” (FJ 14). Según hemos declarado recientemente, la “concepción” que desarrolla la STC 214/1989 parte de que las mancomunidades, “en la medida en que no son titulares de otros intereses que los de los municipios encomendantes, participan de la autonomía que constitucionalmente se predica de los entes locales que las forman”. Por eso “solo podría concluirse que la regulación estatal impugnada excede del ámbito material de lo básico, si no fuera necesaria para garantizar la autonomía de los municipios mancomunados” (STC 103/2013, FJ 3).</w:t>
      </w:r>
    </w:p>
    <w:p w:rsidR="00163957" w:rsidRDefault="00163957" w:rsidP="00163957">
      <w:pPr>
        <w:pStyle w:val="TextoNormal"/>
      </w:pPr>
    </w:p>
    <w:p w:rsidR="00163957" w:rsidRDefault="00163957" w:rsidP="00163957">
      <w:pPr>
        <w:pStyle w:val="TextoNormal"/>
      </w:pPr>
      <w:r>
        <w:t>Por lo demás, la Comunidad Autónoma no ha quedado al margen del proceso de fusión voluntaria. El apartado 1 del art. 13, además de prever el dictamen preceptivo del órgano consultivo superior de la Comunidad Autónoma y el informe de la Administración que tenga atribuida la tutela financiera del ente local, remite el régimen de la fusión de municipios a la legislación autonómica. El apartado 3 deja a salvo la competencia autonómica en materia de incentivos a la fusión; el apartado 4 señala que los municipios adoptan el convenio de fusión “sin perjuicio del procedimiento previsto en la normativa autonómica”; el apartado 5 atribuye a las Comunidades Autónomas la colaboración con las diputaciones provinciales o entes equivalentes en la supervisión y la coordinación de los servicios resultantes de la fusión.</w:t>
      </w:r>
    </w:p>
    <w:p w:rsidR="00163957" w:rsidRDefault="00163957" w:rsidP="00163957">
      <w:pPr>
        <w:pStyle w:val="TextoNormal"/>
      </w:pPr>
    </w:p>
    <w:p w:rsidR="00163957" w:rsidRDefault="00163957" w:rsidP="00163957">
      <w:pPr>
        <w:pStyle w:val="TextoNormal"/>
      </w:pPr>
      <w:r>
        <w:t>Consecuentemente, debemos desestimar la impugnación de los apartados 2, 4 (primer párrafo) y 6 del art. 13 LBRL, en la redacción dada por el art. 1.5 de la Ley de racionalización y sostenibilidad de la Administración local.</w:t>
      </w:r>
    </w:p>
    <w:p w:rsidR="00163957" w:rsidRDefault="00163957" w:rsidP="00163957">
      <w:pPr>
        <w:pStyle w:val="TextoNormal"/>
      </w:pPr>
    </w:p>
    <w:p w:rsidR="00163957" w:rsidRDefault="00163957" w:rsidP="00163957">
      <w:pPr>
        <w:pStyle w:val="TextoNormal"/>
      </w:pPr>
      <w:r>
        <w:t xml:space="preserve">c) Según la Asamblea legislativa recurrente, el art. 13.4, segundo y tercer párrafo, de la Ley reguladora de las bases de régimen local encarna una política estatal de fomento de las fusiones voluntarias de municipios contraria a la doctrina constitucional sobre gestión de subvenciones. El Estado no estaría autorizado a dar preferencia a los municipios fusionados </w:t>
      </w:r>
      <w:r>
        <w:lastRenderedPageBreak/>
        <w:t>en la asignación de “planes de cooperación local, subvenciones, convenios u otros instrumentos basados en la concurrencia” durante un plazo de cinco años prorrogable por la ley de presupuestos generales del Estado [segundo párrafo, letra g)]. Carecería igualmente de cobertura para dispensar, al nuevo municipio resultante, de la obligación de prestar los servicios mínimos aparejados al incremento poblacional [segundo párrafo, letra f)]. A su vez, incurriría en inconstitucionalidad la previsión de que un órgano estatal (el Ministro de Hacienda y Administraciones Públicas a propuesta de la Intervención General del Estado) elaborará las normas de contabilidad a que se refiere la letra e) del párrafo tercero.</w:t>
      </w:r>
    </w:p>
    <w:p w:rsidR="00163957" w:rsidRDefault="00163957" w:rsidP="00163957">
      <w:pPr>
        <w:pStyle w:val="TextoNormal"/>
      </w:pPr>
    </w:p>
    <w:p w:rsidR="00163957" w:rsidRDefault="00163957" w:rsidP="00163957">
      <w:pPr>
        <w:pStyle w:val="TextoNormal"/>
      </w:pPr>
      <w:r>
        <w:t xml:space="preserve">La legislación básica del régimen local puede establecer diversas medidas de fomento “a fin de favorecer las fusiones de municipios” (STC 214/1989, FJ 9). Entre los múltiples incentivos que admiten una regulación básica </w:t>
      </w:r>
      <w:r w:rsidRPr="00163957">
        <w:rPr>
          <w:i/>
        </w:rPr>
        <w:t>ex</w:t>
      </w:r>
      <w:r>
        <w:t xml:space="preserve"> art. 149.1.18 CE, se hallan las ayudas de carácter económico a los entes locales —con exclusión de recursos— que, como los procedentes del sistema tributario local y las participaciones en los tributos estatales, deben encuadrarse en la materia “hacienda general” (art. 149.1.14 CE), donde el Estado tiene una competencia normativa completa [STC 233/1999, FJ 4 b)].</w:t>
      </w:r>
    </w:p>
    <w:p w:rsidR="00163957" w:rsidRDefault="00163957" w:rsidP="00163957">
      <w:pPr>
        <w:pStyle w:val="TextoNormal"/>
      </w:pPr>
    </w:p>
    <w:p w:rsidR="00163957" w:rsidRDefault="00163957" w:rsidP="00163957">
      <w:pPr>
        <w:pStyle w:val="TextoNormal"/>
      </w:pPr>
      <w:r>
        <w:t>El Estado puede, en particular, apoyarse en el art. 149.1.18 CE, para consignar subvenciones destinadas a favorecer las fusiones municipales así como regular las condiciones esenciales del otorgamiento, de acuerdo con los criterios de la STC 13/1992, de 6 de febrero, FJ 8 b). Comoquiera que respecto de la planta local dispone de una competencia básica, puede “consignar subvenciones de fomento en sus presupuestos generales, especificando su destino y regulando sus condiciones esenciales de otorgamiento hasta donde lo permite su competencia”, dejando “un margen a las comunidades autónomas para concretar con mayor detalle la afectación o destino, o, al menos, para desarrollar y completar la regulación de las condiciones de otorgamiento de las ayudas”.</w:t>
      </w:r>
    </w:p>
    <w:p w:rsidR="00163957" w:rsidRDefault="00163957" w:rsidP="00163957">
      <w:pPr>
        <w:pStyle w:val="TextoNormal"/>
      </w:pPr>
    </w:p>
    <w:p w:rsidR="00163957" w:rsidRDefault="00163957" w:rsidP="00163957">
      <w:pPr>
        <w:pStyle w:val="TextoNormal"/>
      </w:pPr>
      <w:r>
        <w:t>Así resulta específicamente de la STC 159/2011, de 19 de octubre, que abordó los mecanismos de cooperación económica del Estado con los entes locales previstos en el Real Decreto 835/2003 (planes provinciales de obras y servicios y proyectos locales de desarrollo local y urbano). Tras encuadrar estas subvenciones en “la materia de régimen local” y “en el segundo de los supuestos recogidos en el fundamento jurídico 8 de la STC 13/1992”, declaró: “la competencia del Estado para establecer las normas básicas en materia de régimen local (art. 149.1.18 CE), le posibilita el establecimiento de líneas de apoyo económico a los entes beneficiarios de la subvención (art. 3.3) para que alcancen determinados objetivos” (FJ 7).</w:t>
      </w:r>
    </w:p>
    <w:p w:rsidR="00163957" w:rsidRDefault="00163957" w:rsidP="00163957">
      <w:pPr>
        <w:pStyle w:val="TextoNormal"/>
      </w:pPr>
    </w:p>
    <w:p w:rsidR="00163957" w:rsidRDefault="00163957" w:rsidP="00163957">
      <w:pPr>
        <w:pStyle w:val="TextoNormal"/>
      </w:pPr>
      <w:r>
        <w:t>El art. 13 LBRL establece un régimen destinado a incentivar las fusiones de municipios, pero, a la vista de su contenido, cabe concluir que no regula subvenciones que deban examinarse a la luz de la STC 13/1992, salvo en un punto específico: la previsión de que durante un plazo quinquenal, prorrogable mediante ley de presupuestos generales del Estado, los municipios fusionados tendrán “preferencia en la asignación de planes de cooperación local, subvenciones, convenios u otros instrumentos basados en la concurrencia” [art. 13.4, segundo párrafo, letra g), de la Ley reguladora de las bases de régimen local].</w:t>
      </w:r>
    </w:p>
    <w:p w:rsidR="00163957" w:rsidRDefault="00163957" w:rsidP="00163957">
      <w:pPr>
        <w:pStyle w:val="TextoNormal"/>
      </w:pPr>
    </w:p>
    <w:p w:rsidR="00163957" w:rsidRDefault="00163957" w:rsidP="00163957">
      <w:pPr>
        <w:pStyle w:val="TextoNormal"/>
      </w:pPr>
      <w:r>
        <w:t xml:space="preserve">Esta regulación es poco específica, pero puede interpretarse sin dificultad que el indicado criterio de preferencia se aplica a la distribución de ayudas económicas a las que puedan optar los municipios fusionados en régimen de concurrencia con otras entidades, siempre </w:t>
      </w:r>
      <w:r>
        <w:lastRenderedPageBreak/>
        <w:t>que el Estado haya hecho valer respecto de cada concreto programa o instrumento, bien su competencia básica respecto de la planta local con la finalidad de incentivar las fusiones municipales, bien otros títulos de intervención que le permitan establecer, al menos, las condiciones esenciales del otorgamiento de acuerdo con la doctrina constitucional (STC 150/2012, de 5 de julio, FJ 6, que parte de la STC 13/1992, FJ 8).</w:t>
      </w:r>
    </w:p>
    <w:p w:rsidR="00163957" w:rsidRDefault="00163957" w:rsidP="00163957">
      <w:pPr>
        <w:pStyle w:val="TextoNormal"/>
      </w:pPr>
    </w:p>
    <w:p w:rsidR="00163957" w:rsidRDefault="00163957" w:rsidP="00163957">
      <w:pPr>
        <w:pStyle w:val="TextoNormal"/>
      </w:pPr>
      <w:r>
        <w:t>El tenor literal del precepto, aunque impreciso, no da pie a interpretar que el legislador estatal haya pretendido vulnerar la doctrina constitucional condicionando todas las políticas subvencionales de las Comunidades Autónomas relacionadas con los municipios o, más precisamente, extendiendo la aplicación del indicado criterio de preferencia a ayudas cuya regulación corresponde en exclusiva a las Comunidades Autónomas por referirse a materias en que no entra en juego título estatal alguno. Consecuentemente, la medida examinada, en la medida en que se aplica sólo a subvenciones que el Estado puede consignar en sus presupuestos generales y respecto de las que puede regular, al menos, las condiciones esenciales del otorgamiento por disponer de algún título de intervención, no vulnera el sistema constitucional de distribución competencial.</w:t>
      </w:r>
    </w:p>
    <w:p w:rsidR="00163957" w:rsidRDefault="00163957" w:rsidP="00163957">
      <w:pPr>
        <w:pStyle w:val="TextoNormal"/>
      </w:pPr>
    </w:p>
    <w:p w:rsidR="00163957" w:rsidRDefault="00163957" w:rsidP="00163957">
      <w:pPr>
        <w:pStyle w:val="TextoNormal"/>
      </w:pPr>
      <w:r>
        <w:t>El art. 13.4, párrafo segundo, establece, por un lado, la suma de la financiación mínima que tenía cada municipio por separado como financiación mínima del nuevo municipio [letra c)]. Por otro, una serie de incentivos en forma de participaciones en tributos del Estado: mayor financiación correspondiente a la variable de población (el coeficiente de ponderación que resulta del art. 124.1 del texto refundido de la Ley de haciendas locales se incrementa en 0,10) [letra a)]; consideración de los mayores valores de las variables de esfuerzo fiscal y de inverso de capacidad tributaria (en ningún caso podrán ser inferiores al más elevado de los valores previos que tuvieran cada municipio por separado antes de la fusión de acuerdo con el art. 124.1 del texto refundido de la Ley de haciendas locales) [letra b)]; agregación de las compensaciones derivadas de la reforma del impuesto sobre actividades económicas [letra e)]. Tales previsiones se inscriben en el régimen general de financiación de las entidades locales. Estando directamente encaminadas a garantizar la suficiencia financiera del municipio fusionado (art. 142 CE), están amparadas por el art. 149.1.14 CE. Así resulta de la STC 233/1999, FJ 4 b), que se refiere específicamente a las normas que “desarrollan las participaciones en los tributos del Estado” como contenido típico de este título competencial.</w:t>
      </w:r>
    </w:p>
    <w:p w:rsidR="00163957" w:rsidRDefault="00163957" w:rsidP="00163957">
      <w:pPr>
        <w:pStyle w:val="TextoNormal"/>
      </w:pPr>
    </w:p>
    <w:p w:rsidR="00163957" w:rsidRDefault="00163957" w:rsidP="00163957">
      <w:pPr>
        <w:pStyle w:val="TextoNormal"/>
      </w:pPr>
      <w:r>
        <w:t>La fijación de un régimen de servicios municipales obligatorios [letra f) del párrafo segundo del art. 13.4 LBRL] entra dentro de las bases del régimen local (art. 149.1.18 CE) [STC 214/1989, FFJJ 2 a) y 13 c)]. Para delimitar el alcance de esta obligación, el legislador básico ha utilizado tradicionalmente una variedad de criterios: la modalidad de entidad local, el tipo de servicio, el número de habitantes, las “características peculiares” del municipio o la imposibilidad y dificultad en el cumplimiento (art. 26 LBRL). La Ley de racionalización y sostenibilidad de la Administración local se ha limitado a introducir un nuevo criterio al amparo del art. 149.1.18 CE. Delimita el alcance de los servicios obligatorios a partir de las especiales circunstancias del tipo de municipio resultante de una fusión. En particular, evita los efectos disuasorios que un aumento de los servicios obligatorios produciría sobre los Ayuntamientos que podrían querer fusionarse.</w:t>
      </w:r>
    </w:p>
    <w:p w:rsidR="00163957" w:rsidRDefault="00163957" w:rsidP="00163957">
      <w:pPr>
        <w:pStyle w:val="TextoNormal"/>
      </w:pPr>
    </w:p>
    <w:p w:rsidR="00163957" w:rsidRDefault="00163957" w:rsidP="00163957">
      <w:pPr>
        <w:pStyle w:val="TextoNormal"/>
      </w:pPr>
      <w:r>
        <w:t xml:space="preserve">El párrafo tercero del art. 13.4 LBRL incluye una regulación sobre los efectos de la fusión que debe reputarse básica </w:t>
      </w:r>
      <w:r w:rsidRPr="00163957">
        <w:rPr>
          <w:i/>
        </w:rPr>
        <w:t>ex</w:t>
      </w:r>
      <w:r>
        <w:t xml:space="preserve"> art. 149.1.18 CE. Regula los órganos de gobierno del nuevo </w:t>
      </w:r>
      <w:r>
        <w:lastRenderedPageBreak/>
        <w:t>municipio [letra b)], que son elementos que forman parte de las bases del régimen local (SSTC 103/2013, FJ 3). A su vez, desarrolla la autonomía local constitucionalmente garantizada al confiar al convenio de fusión la posibilidad de que los municipios fusionados funcionen como organizaciones desconcentradas [letra c)] y al pleno de cada corporación, las medidas de redimensionamiento con la única condición de que no supongan incrementos de la masa salarial [letra a)]. Asimismo, tras establecer la medida elemental de que el nuevo municipio se subroga en todos los derechos y obligaciones de los anteriores municipios [letra d)], facilita las fusiones voluntarias: los municipios fusionados, para afrontar la situación de déficit en que estuviera eventualmente alguno de ellos, podrán acordar la creación de un fondo sin personalidad jurídica y con contabilidad separada para la liquidación de obligaciones, bienes y derechos patrimoniales [letra e)].</w:t>
      </w:r>
    </w:p>
    <w:p w:rsidR="00163957" w:rsidRDefault="00163957" w:rsidP="00163957">
      <w:pPr>
        <w:pStyle w:val="TextoNormal"/>
      </w:pPr>
    </w:p>
    <w:p w:rsidR="00163957" w:rsidRDefault="00163957" w:rsidP="00163957">
      <w:pPr>
        <w:pStyle w:val="TextoNormal"/>
      </w:pPr>
      <w:r>
        <w:t>Esta última previsión enlaza con el texto refundido de la Ley de haciendas locales, conforme al que el Ministerio de Hacienda, a propuesta de la Intervención General de la Administración del Estado, aprueba “las normas contables de carácter general a las que tendrá que ajustarse la organización de la contabilidad de los entes locales y sus organismos autónomos” [art. 203.1 a)], así como “el contenido, estructura y normas de elaboración de su correspondiente “cuenta general” (art. 210). El art. 13.4, párrafo tercero, letra g), de la LBRL reitera esta habilitación, pero refiriéndola solo a la contabilidad de aquel específico fondo. De modo que la previsión controvertida autoriza una regulación contable general, aplicable a todos los municipios fusionados que opten por la creación del fondo, sin perjuicio de las competencias de ejecución que correspondan a la Administración encargada de la tutela financiera en cada caso concreto.</w:t>
      </w:r>
    </w:p>
    <w:p w:rsidR="00163957" w:rsidRDefault="00163957" w:rsidP="00163957">
      <w:pPr>
        <w:pStyle w:val="TextoNormal"/>
      </w:pPr>
    </w:p>
    <w:p w:rsidR="00163957" w:rsidRDefault="00163957" w:rsidP="00163957">
      <w:pPr>
        <w:pStyle w:val="TextoNormal"/>
      </w:pPr>
      <w:r>
        <w:t>Esta regulación general —o, más precisamente, la habilitación para adoptarla— atribuida a un órgano estatal está directamente relacionada con la suficiencia financiera del nuevo municipio y establece “normas y principios comunes de la actividad financiera de las distintas haciendas que tiendan a asegurar los principios constitucionales que deben regir el gasto público, entre los que se encuentra el principio de eficiencia y economía (art. 31.2 CE)” (STC 130/2013, FJ 9). Debe, pues, reconducirse a la materia “hacienda general” (art. 149.1.14 CE), donde el Estado tiene una competencia normativa plena: “desde el momento en que esta concreta potestad normativa del Estado tiene como inmediata finalidad garantizar la suficiencia financiera de tales corporaciones —suficiencia financiera que, según indicamos ya en el fundamento jurídico 2, es en última instancia responsabilidad de aquél—, su ejercicio encuentra anclaje constitucional en la competencia exclusiva sobre hacienda general (art. 149.1.14 C.E.), debiendo entenderse vedada, por ello, la intervención de las Comunidades Autónomas en este concreto ámbito normativo” [STC 233/1999, FFJJ 4 b) y 22].</w:t>
      </w:r>
    </w:p>
    <w:p w:rsidR="00163957" w:rsidRDefault="00163957" w:rsidP="00163957">
      <w:pPr>
        <w:pStyle w:val="TextoNormal"/>
      </w:pPr>
    </w:p>
    <w:p w:rsidR="00163957" w:rsidRDefault="00163957" w:rsidP="00163957">
      <w:pPr>
        <w:pStyle w:val="TextoNormal"/>
      </w:pPr>
      <w:r>
        <w:t>Consecuentemente, corresponde desestimar estos motivos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El recurso impugna dos disposiciones relativas a las entidades locales de ámbito territorial inferior al municipio: el art. 24 </w:t>
      </w:r>
      <w:r w:rsidRPr="00163957">
        <w:rPr>
          <w:i/>
        </w:rPr>
        <w:t>bis</w:t>
      </w:r>
      <w:r>
        <w:t xml:space="preserve"> LBRL (introducido por el art. 1.7 de la Ley de racionalización y sostenibilidad de la Administración local) y la disposición transitoria cuarta de la Ley de racionalización y sostenibilidad de la Administración local.</w:t>
      </w:r>
    </w:p>
    <w:p w:rsidR="00163957" w:rsidRDefault="00163957" w:rsidP="00163957">
      <w:pPr>
        <w:pStyle w:val="TextoNormal"/>
      </w:pPr>
    </w:p>
    <w:p w:rsidR="00163957" w:rsidRDefault="00163957" w:rsidP="00163957">
      <w:pPr>
        <w:pStyle w:val="TextoNormal"/>
      </w:pPr>
      <w:r>
        <w:t xml:space="preserve">a) La Ley de racionalización y sostenibilidad de la Administración local desarrolla tres medidas de “racionalización” de las entidades locales menores. 1) la Comunidad Autónoma </w:t>
      </w:r>
      <w:r>
        <w:lastRenderedPageBreak/>
        <w:t xml:space="preserve">debe suprimir las ya existentes en su ámbito territorial (o transformarlas en “formas de organización desconcentrada”) si no presentan sus cuentas (a la propia Comunidad y al Estado) antes de una determinada fecha (disposición transitoria cuarta de la Ley de racionalización y sostenibilidad de la Administración local). 2) la creación de otras nuevas se obstaculiza: cabe solo si resulta más eficiente que la administración concentrada de núcleos de población separados (apartado 24 </w:t>
      </w:r>
      <w:r w:rsidRPr="00163957">
        <w:rPr>
          <w:i/>
        </w:rPr>
        <w:t>bis</w:t>
      </w:r>
      <w:r>
        <w:t xml:space="preserve">, apartado 3, LBRL). 3) En todo caso, estas estructuras de nueva creación serán, no ya “entidades locales descentralizadas”, sino simples “entes desconcentrados” (art. 24 </w:t>
      </w:r>
      <w:r w:rsidRPr="00163957">
        <w:rPr>
          <w:i/>
        </w:rPr>
        <w:t>bis</w:t>
      </w:r>
      <w:r>
        <w:t>, apartado 1, LBRL). Quedan así plenamente integradas en el municipio, como organizaciones sin condición de entidad local ni personalidad jurídica, todas los constituidas a partir de la entrada en vigor de la Ley que no estuvieran en proceso de creación a fecha de 1 de enero de 2013 (disposición transitoria quinta de la Ley de racionalización y sostenibilidad de la Administración local). Por tal razón, la nueva redacción del art. 3.2 LBRL (dada por el art. 1.2 de la Ley de racionalización y sostenibilidad de la Administración local) ha suprimido la referencia a las “Entidades de ámbito territorial inferior al municipal” de la lista de organizaciones que gozan de la condición de entidad local.</w:t>
      </w:r>
    </w:p>
    <w:p w:rsidR="00163957" w:rsidRDefault="00163957" w:rsidP="00163957">
      <w:pPr>
        <w:pStyle w:val="TextoNormal"/>
      </w:pPr>
    </w:p>
    <w:p w:rsidR="00163957" w:rsidRDefault="00163957" w:rsidP="00163957">
      <w:pPr>
        <w:pStyle w:val="TextoNormal"/>
      </w:pPr>
      <w:r>
        <w:t>Según la Asamblea legislativa recurrente, el art. 24 bis LBRL limita injustificadamente la libertad autonómica de creación de este tipo de entidades. La disposición transitoria cuarta de la Ley de racionalización y sostenibilidad de la Administración local incurría en la misma vulneración. El legislador básico no estaría autorizado a regular requisitos relativos a la creación y extinción de estas entidades. La disolución como efecto de la ausencia de rendición de cuentas ante el Estado desconocería que la tutela financiera es una competencia ejecutiva de la Comunidad Autónoma. A su vez, esta regulación faltaría a la competencia de autoorganización autonómica, al indicar que el acuerdo de disolución revestirá forma de decreto.</w:t>
      </w:r>
    </w:p>
    <w:p w:rsidR="00163957" w:rsidRDefault="00163957" w:rsidP="00163957">
      <w:pPr>
        <w:pStyle w:val="TextoNormal"/>
      </w:pPr>
    </w:p>
    <w:p w:rsidR="00163957" w:rsidRDefault="00163957" w:rsidP="00163957">
      <w:pPr>
        <w:pStyle w:val="TextoNormal"/>
      </w:pPr>
      <w:r>
        <w:t>b) La Ley de racionalización y sostenibilidad de la Administración local mantiene las grandes líneas del anterior régimen básico [sobre el que se pronunció la STC 214/1989, FJ 15, letras a) y b)] en lo que afecta a las entidades locales menores ya creadas o en proceso de constitución antes del 1 de enero de 2013. Conservan la condición de entidad local con personalidad jurídica, rigiéndose en todo lo demás por la legislación autonómica (disposiciones transitorias cuarta.1 y quinta). Más aún, la Ley de racionalización y sostenibilidad de la Administración local ha derogado el art. 45 LBRL y, con ello, las previsiones básicas que éste contenía sobre la denominación (apartado 1) y los acuerdos sobre disposición de bienes, operaciones de crédito y expropiación forzosa de las entidades locales menores [apartado 2 c)]. Consecuentemente, respecto del régimen básico de las entidades locales menores ya creadas (o en proceso de creación antes de determinada fecha), el legislador estatal no solo no ha invadido las competencias de las Comunidades Autónomas, sino que, al reducir en alguna medida la regulación básica, ha aumentado correlativamente el espacio que puede ocupar la normativa municipal sobre organización interna y la autonómica sobre régimen local.</w:t>
      </w:r>
    </w:p>
    <w:p w:rsidR="00163957" w:rsidRDefault="00163957" w:rsidP="00163957">
      <w:pPr>
        <w:pStyle w:val="TextoNormal"/>
      </w:pPr>
    </w:p>
    <w:p w:rsidR="00163957" w:rsidRDefault="00163957" w:rsidP="00163957">
      <w:pPr>
        <w:pStyle w:val="TextoNormal"/>
      </w:pPr>
      <w:r>
        <w:t xml:space="preserve">La Ley de racionalización y sostenibilidad de la Administración local ha introducido, en efecto, un límite a la creación de nuevos entes de este tipo que, en cuanto tal, condiciona la potestad municipal de autoorganización y las competencias autonómicas sobre régimen local. La gestión a través de estos entes debe ser más eficiente que la administración concentrada de núcleos de población separados (apartado 24 </w:t>
      </w:r>
      <w:r w:rsidRPr="00163957">
        <w:rPr>
          <w:i/>
        </w:rPr>
        <w:t>bis</w:t>
      </w:r>
      <w:r>
        <w:t xml:space="preserve">, apartado 3, LBRL). No obstante, tal exigencia se inspira directamente en los mandatos constitucionales de eficiencia en el </w:t>
      </w:r>
      <w:r>
        <w:lastRenderedPageBreak/>
        <w:t>uso de los recursos públicos (art. 31.2 CE) y estabilidad presupuestaria (art. 135 CE), sin por ello vulnerar la potestad organizatoria municipal ni hurtar a las Comunidades Autónomas amplios márgenes de desarrollo. Esta previsión, aunque afecta a una cuestión de organización interna, incide en “intereses generales de alcance supraautonómico” [STC 214/1989, FJ 15 b)], razón que permite calificarla de básica y conforme a la garantía constitucional de la autonomía local.</w:t>
      </w:r>
    </w:p>
    <w:p w:rsidR="00163957" w:rsidRDefault="00163957" w:rsidP="00163957">
      <w:pPr>
        <w:pStyle w:val="TextoNormal"/>
      </w:pPr>
    </w:p>
    <w:p w:rsidR="00163957" w:rsidRDefault="00163957" w:rsidP="00163957">
      <w:pPr>
        <w:pStyle w:val="TextoNormal"/>
      </w:pPr>
      <w:r>
        <w:t xml:space="preserve">A su vez, el régimen establecido para los entes que se creen a partir de la entrada en vigor de la reforma (o, más precisamente, los que no estuvieran en proceso de constitución antes del 1 de enero de 2013) incluye reglas sobre la iniciativa de creación, denominación y objeto (la administración de núcleos de población separados) sustancialmente coincidentes con las previstas en el derogado art. 45 LBRL. Sobre cuya legitimidad constitucional y carácter básico ya se pronunció la STC 214/1989, FJ 15, letras a) y b). El art. 24 </w:t>
      </w:r>
      <w:r w:rsidRPr="00163957">
        <w:rPr>
          <w:i/>
        </w:rPr>
        <w:t>bis</w:t>
      </w:r>
      <w:r>
        <w:t xml:space="preserve"> LBRL sigue sin incluir reglas precisas sobre creación, organización y competencias (art. 24 </w:t>
      </w:r>
      <w:r w:rsidRPr="00163957">
        <w:rPr>
          <w:i/>
        </w:rPr>
        <w:t>bis</w:t>
      </w:r>
      <w:r>
        <w:t xml:space="preserve"> LBRL). Los propios municipios y, en su caso, las Comunidades Autónomas habrán de establecerlas.</w:t>
      </w:r>
    </w:p>
    <w:p w:rsidR="00163957" w:rsidRDefault="00163957" w:rsidP="00163957">
      <w:pPr>
        <w:pStyle w:val="TextoNormal"/>
      </w:pPr>
    </w:p>
    <w:p w:rsidR="00163957" w:rsidRDefault="00163957" w:rsidP="00163957">
      <w:pPr>
        <w:pStyle w:val="TextoNormal"/>
      </w:pPr>
      <w:r>
        <w:t xml:space="preserve">El apartado 1 del art. 24 </w:t>
      </w:r>
      <w:r w:rsidRPr="00163957">
        <w:rPr>
          <w:i/>
        </w:rPr>
        <w:t>bis</w:t>
      </w:r>
      <w:r>
        <w:t xml:space="preserve"> LBRL (junto al art. 3.2 LBRL) configura estas organizaciones como entes desconcentrados del municipio sin el carácter de entidad local y sin personalidad jurídica propia. Establece así una regulación sobre la “subjetividad” o posición de estas estructuras dentro de (o en relación con) el municipio. Si el problema de la subjetividad era antes una cuestión que podía regular el legislador básico, debe seguir siéndolo ahora, con independencia de que las previsiones enjuiciadas en este proceso hayan establecido un régimen de signo opuesto. Dicho de otro modo: el legislador básico no ha ocupado más espacio normativo; ha cambiado el sentido político de su regulación en el marco del amplio margen de configuración que le asigna la Constitución.</w:t>
      </w:r>
    </w:p>
    <w:p w:rsidR="00163957" w:rsidRDefault="00163957" w:rsidP="00163957">
      <w:pPr>
        <w:pStyle w:val="TextoNormal"/>
      </w:pPr>
    </w:p>
    <w:p w:rsidR="00163957" w:rsidRDefault="00163957" w:rsidP="00163957">
      <w:pPr>
        <w:pStyle w:val="TextoNormal"/>
      </w:pPr>
      <w:r>
        <w:t>En todo caso, la configuración de estos entes como estructuras desconcentradas, sin el carácter de entidad local y sin personalidad jurídica propia, se justifica en “intereses generales de alcance supraautonómico” [STC 214/1989, FJ 15 b)]. De un lado, el Ayuntamiento se erige en el centro de imputación de las obligaciones y los derechos dimanantes de la actividad de estas “formas de organización desconcentrada” y, de otro, los órganos municipales de gobierno se relacionan con estas en términos de jerarquía, todo ello sobre la base de que así podrá facilitarse el cumplimiento de los objetivos de eficiencia, eficacia y estabilidad presupuestaria (arts. 31.2, 103.1 y 135 CE).</w:t>
      </w:r>
    </w:p>
    <w:p w:rsidR="00163957" w:rsidRDefault="00163957" w:rsidP="00163957">
      <w:pPr>
        <w:pStyle w:val="TextoNormal"/>
      </w:pPr>
    </w:p>
    <w:p w:rsidR="00163957" w:rsidRDefault="00163957" w:rsidP="00163957">
      <w:pPr>
        <w:pStyle w:val="TextoNormal"/>
      </w:pPr>
      <w:r>
        <w:t xml:space="preserve">Cabe añadir que la sola previsión de que estos entes carecen de personalidad jurídica no elimina amplios espacios de desarrollo autonómico y autoorganización local. La personalidad jurídica propia o régimen de descentralización administrativa no implica un estatuto sustancialmente distinto, que garantice amplias esferas de autonomía a las entidades locales menores. Así lo declaró la STC 214/1989, FJ 15 b), refiriéndose a las facultades de tutela atribuidas al municipio, que las Comunidades Autónomas podían precisar y aumentar (art. 45.2 LBRL, ahora derogado). Ciertamente, la ausencia de personalidad jurídica propia remite al sistema de imputación y control de actos característico de las relaciones interorgánicas. No obstante, las concretas tareas que correspondan a estas “formas de organización desconcentrada” así como las facultades de control y supervisión que el municipio desarrolle respecto de ellas siguen dependiendo esencialmente de las opciones organizativas que adopten los propios entes locales en el marco de la legislación autonómica sobre régimen local y de las bases </w:t>
      </w:r>
      <w:r w:rsidRPr="00163957">
        <w:rPr>
          <w:i/>
        </w:rPr>
        <w:t>ex</w:t>
      </w:r>
      <w:r>
        <w:t xml:space="preserve"> art. 149.1.18 CE.</w:t>
      </w:r>
    </w:p>
    <w:p w:rsidR="00163957" w:rsidRDefault="00163957" w:rsidP="00163957">
      <w:pPr>
        <w:pStyle w:val="TextoNormal"/>
      </w:pPr>
    </w:p>
    <w:p w:rsidR="00163957" w:rsidRDefault="00163957" w:rsidP="00163957">
      <w:pPr>
        <w:pStyle w:val="TextoNormal"/>
      </w:pPr>
      <w:r>
        <w:t xml:space="preserve">Consecuentemente, el art. 24 </w:t>
      </w:r>
      <w:r w:rsidRPr="00163957">
        <w:rPr>
          <w:i/>
        </w:rPr>
        <w:t>bis</w:t>
      </w:r>
      <w:r>
        <w:t xml:space="preserve"> LBRL se sitúa dentro de los márgenes del art. 149.1.18 CE.</w:t>
      </w:r>
    </w:p>
    <w:p w:rsidR="00163957" w:rsidRDefault="00163957" w:rsidP="00163957">
      <w:pPr>
        <w:pStyle w:val="TextoNormal"/>
      </w:pPr>
    </w:p>
    <w:p w:rsidR="00163957" w:rsidRDefault="00163957" w:rsidP="00163957">
      <w:pPr>
        <w:pStyle w:val="TextoNormal"/>
      </w:pPr>
      <w:r>
        <w:t>c) La disposición transitoria cuarta de la Ley de racionalización y sostenibilidad de la Administración local prevé la supresión de entidades locales menores ya constituidas (o su conversión en “formas de organización desconcentrada”), cuando no presenten sus cuentas a la Comunidad Autónoma y al Estado. La Comunidad Autónoma tiene el encargo de acordar la disolución.</w:t>
      </w:r>
    </w:p>
    <w:p w:rsidR="00163957" w:rsidRDefault="00163957" w:rsidP="00163957">
      <w:pPr>
        <w:pStyle w:val="TextoNormal"/>
      </w:pPr>
    </w:p>
    <w:p w:rsidR="00163957" w:rsidRDefault="00163957" w:rsidP="00163957">
      <w:pPr>
        <w:pStyle w:val="TextoNormal"/>
      </w:pPr>
      <w:r>
        <w:t>Según hemos razonado ya, la organización interna municipal corresponde a los propios Ayuntamientos en el marco de la legislación sobre régimen local, que en este punto ha de ser, en principio, prevalentemente autonómica. No obstante, la protección de intereses supraautonómicos puede llegar a justificar una regulación básica a este respecto. Este Tribunal ha entendido amparadas en el art. 149.1.18 CE las normas de la Ley reguladora de las bases de régimen local que, sin limitarse a regular los órganos municipales de gobierno (pleno, alcalde y junta), prevén la existencia de “órganos de gestión desconcentrada” (art. 128 LBRL), la “comisión especial de sugerencias y reclamaciones” (arts. 20 y 132 LBRL) y el “consejo social de la ciudad” (art. 131 LBRL) en los llamados “municipios de gran población”. La disposición transitoria cuarta de la Ley de racionalización y sostenibilidad de la Administración local plantea en cierto modo el supuesto inverso: la supresión preceptiva de estructuras organizativas o conversión preceptiva en formas de organización desconcentrada.</w:t>
      </w:r>
    </w:p>
    <w:p w:rsidR="00163957" w:rsidRDefault="00163957" w:rsidP="00163957">
      <w:pPr>
        <w:pStyle w:val="TextoNormal"/>
      </w:pPr>
    </w:p>
    <w:p w:rsidR="00163957" w:rsidRDefault="00163957" w:rsidP="00163957">
      <w:pPr>
        <w:pStyle w:val="TextoNormal"/>
      </w:pPr>
      <w:r>
        <w:t>Ningún reproche puede merecer que el Estado haya establecido la obligación de presentación de cuentas que pesa sobre las entidades locales menores. Según se ha razonado ya, el art. 149.1.18 CE permite al Estado dictar “algunas reglas o previsiones” básicas en relación con las entidades de ámbito territorial inferior al municipio [SSTC 4/1981, FJ 6, y 214/1989, FJ 15 a)]. A su vez, la previsión impugnada puede encuadrarse específicamente en el art. 149.1.14 CE; está estrechamente vinculada a “los principios constitucionales que deben regir el gasto público, entre los que se encuentra el principio de eficiencia y economía (art. 31.2 CE)” (STC 130/2013, FJ 9).</w:t>
      </w:r>
    </w:p>
    <w:p w:rsidR="00163957" w:rsidRDefault="00163957" w:rsidP="00163957">
      <w:pPr>
        <w:pStyle w:val="TextoNormal"/>
      </w:pPr>
    </w:p>
    <w:p w:rsidR="00163957" w:rsidRDefault="00163957" w:rsidP="00163957">
      <w:pPr>
        <w:pStyle w:val="TextoNormal"/>
      </w:pPr>
      <w:r>
        <w:t>Por otro lado, tal obligación y la medida asociada a su incumplimiento se inscriben en una regulación básica cuya densidad ha disminuido en alguna medida con incremento correlativo del espacio abierto a la autoorganización municipal y a la normativa autonómica sobre régimen local, según hemos razonado ya. Con independencia de su virtualidad real, es claro que la medida incide directamente en la autonomía municipal (arts. 137 y 140 CE) con el fin de proteger intereses supraautonómicos, en general, ahorrar dinero público y facilitar el cumplimiento de los mandatos constitucionales de eficiencia, eficacia y estabilidad presupuestaria (arts. 31.2, 103.1 y 135 CE), en particular.</w:t>
      </w:r>
    </w:p>
    <w:p w:rsidR="00163957" w:rsidRDefault="00163957" w:rsidP="00163957">
      <w:pPr>
        <w:pStyle w:val="TextoNormal"/>
      </w:pPr>
    </w:p>
    <w:p w:rsidR="00163957" w:rsidRDefault="00163957" w:rsidP="00163957">
      <w:pPr>
        <w:pStyle w:val="TextoNormal"/>
      </w:pPr>
      <w:r>
        <w:t xml:space="preserve">El Estado no ha disuelto directamente entidad local menor alguna ni ha invadido las competencias ejecutivas de las Comunidades Autónomas. En primer lugar, la puesta en marcha de la medida prevista en la disposición controvertida depende en última instancia de la voluntad de las propias entidades locales y de que estas respeten una norma evidentemente anclada en el art. 149.1 CE a cuyo cumplimiento están constitucionalmente obligadas (arts. </w:t>
      </w:r>
      <w:r>
        <w:lastRenderedPageBreak/>
        <w:t>9, apartados 1 y 3, y 103.1 CE). El alcance de la solución prevista en la disposición transitoria cuarta de la Ley de racionalización y sostenibilidad de la Administración local está, pues, acotado. Queda en manos de las propias entidades locales menores y de sus ayuntamientos evitar su disolución (o transformación en “formas de organización desconcentrada”) mediante el cumplimiento de una carga a todas luces razonable. En segundo lugar, la adopción de la medida corresponde a la Comunidad Autónoma, que conserva márgenes para determinar el alcance de la obligación de presentación de cuentas, apreciar el incumplimiento que acarrea aquellas consecuencias y, afirmado el incumplimiento, decidir entre disolver sin más la entidad local menor o conservarla como “forma de organización desconcentrada”.</w:t>
      </w:r>
    </w:p>
    <w:p w:rsidR="00163957" w:rsidRDefault="00163957" w:rsidP="00163957">
      <w:pPr>
        <w:pStyle w:val="TextoNormal"/>
      </w:pPr>
    </w:p>
    <w:p w:rsidR="00163957" w:rsidRDefault="00163957" w:rsidP="00163957">
      <w:pPr>
        <w:pStyle w:val="TextoNormal"/>
      </w:pPr>
      <w:r>
        <w:t>El legislador estatal no ha precisado el alcance de una carga cuyo incumplimiento puede acarrear consecuencias trascendentales desde la perspectiva de la autonomía municipal (arts. 137 y 140 CE). Bajo la óptica jurídico-constitucional, ello no es en sí problemático en el contexto de una submateria que corresponde, en principio, a la normativa local y autonómica, pudiendo el Estado solo dictar “algunas reglas o previsiones” [SSTC 4/1981, FJ 6; 214/1989, FJ 15 a)]. Al contrario, la indefinición de la disposición transitoria cuarta de la Ley de racionalización y sostenibilidad de la Administración local supone el reconocimiento de márgenes de actuación a las Comunidades Autónomas. En todo caso, si estas mostrasen excesivo rigor en un supuesto concreto, bien al determinar el alcance de la obligación de presentación de cuentas, bien al apreciar el incumplimiento que conlleva la disolución (o la transformación de la entidad local menor en una “forma de organización desconcentrada”), la respuesta al problema que ello podría plantear desde la perspectiva de la autonomía local constitucionalmente garantizada correspondería, en su caso, a la jurisdicción ordinaria, excediendo por tanto el objeto del presente proceso constitucional.</w:t>
      </w:r>
    </w:p>
    <w:p w:rsidR="00163957" w:rsidRDefault="00163957" w:rsidP="00163957">
      <w:pPr>
        <w:pStyle w:val="TextoNormal"/>
      </w:pPr>
    </w:p>
    <w:p w:rsidR="00163957" w:rsidRDefault="00163957" w:rsidP="00163957">
      <w:pPr>
        <w:pStyle w:val="TextoNormal"/>
      </w:pPr>
      <w:r>
        <w:t>No obstante, la disposición transitoria cuarta de la Ley de racionalización y sostenibilidad de la Administración local ha sobrepasado claramente los límites de la competencia estatal al predeterminar el órgano de la Comunidad Autónoma que ha de acordar la disolución y la forma que ha de revestir esta decisión. Por un lado, quedan fuera de la “hacienda general” (art. 149.1.14 CE) las normas que, como la ahora enjuiciada, no están directamente relacionadas con la suficiencia financiera de los entes locales ni establecen reglas y principios comunes sobre su actividad financiera capaces de hacer realidad el principio de eficiencia en el gasto público (art. 31.2 CE). A su vez, el alcance de las bases del régimen jurídico de las Administraciones públicas es “menor en aquellas cuestiones que se refieren primordialmente a la organización y funcionamiento interno de las Administraciones públicas, que aquellas que inciden más directamente en su actividad externa”, porque el “objetivo fundamental, aunque no el único”, del art. 149.1.18 CE es “garantizar a los administrados un tratamiento común ante ellas” (SSTC 50/1999, de 6 de abril, FJ 3, y 130/2006, de 4 de junio, FJ 6).</w:t>
      </w:r>
    </w:p>
    <w:p w:rsidR="00163957" w:rsidRDefault="00163957" w:rsidP="00163957">
      <w:pPr>
        <w:pStyle w:val="TextoNormal"/>
      </w:pPr>
    </w:p>
    <w:p w:rsidR="00163957" w:rsidRDefault="00163957" w:rsidP="00163957">
      <w:pPr>
        <w:pStyle w:val="TextoNormal"/>
      </w:pPr>
      <w:r>
        <w:t>Qué órgano autonómico ha de adoptar el acuerdo de disolución en este caso y cómo ha de hacerlo son esencialmente “cuestiones de organización administrativa” (STC 194/2012, de 31 de octubre, FJ 7) que pertenecen a la potestad de autoorganización de la Comunidad Autónoma. En este supuesto, no hay razones constitucionales que justifiquen que las bases desciendan a la regulación de estos detalles. Por eso la determinación del legislador estatal infringe los arts. 148.1.1 CE y 9.1.1 del Estatuto de Autonomía de Extremadura.</w:t>
      </w:r>
    </w:p>
    <w:p w:rsidR="00163957" w:rsidRDefault="00163957" w:rsidP="00163957">
      <w:pPr>
        <w:pStyle w:val="TextoNormal"/>
      </w:pPr>
    </w:p>
    <w:p w:rsidR="00163957" w:rsidRDefault="00163957" w:rsidP="00163957">
      <w:pPr>
        <w:pStyle w:val="TextoNormal"/>
      </w:pPr>
      <w:r>
        <w:lastRenderedPageBreak/>
        <w:t>En consecuencia, procede declarar la inconstitucionalidad y nulidad del inciso “Decreto del órgano de gobierno de”, incluido en el apartado 3 de la disposición transitoria cuarta de la Ley de racionalización y sostenibilidad de la Administración local, y desestimar esta impugnación en todo lo demás.</w:t>
      </w:r>
    </w:p>
    <w:p w:rsidR="00163957" w:rsidRDefault="00163957" w:rsidP="00163957">
      <w:pPr>
        <w:pStyle w:val="TextoNormal"/>
      </w:pPr>
    </w:p>
    <w:p w:rsidR="00163957" w:rsidRDefault="00163957" w:rsidP="00163957">
      <w:pPr>
        <w:pStyle w:val="TextoNormal"/>
      </w:pPr>
      <w:r w:rsidRPr="00163957">
        <w:rPr>
          <w:rStyle w:val="NumeroAFNegritaCaracter"/>
        </w:rPr>
        <w:t>8</w:t>
      </w:r>
      <w:r>
        <w:t>. El recurso impugna dos previsiones que se ocupan de la mancomunidad y el consorcio: la disposición transitoria undécima de la Ley de racionalización y sostenibilidad de la Administración local y el art. 57 LBRL (en la redacción dada por el art. 1.16 de la Ley de racionalización y sostenibilidad de la Administración local), respectivamente.</w:t>
      </w:r>
    </w:p>
    <w:p w:rsidR="00163957" w:rsidRDefault="00163957" w:rsidP="00163957">
      <w:pPr>
        <w:pStyle w:val="TextoNormal"/>
      </w:pPr>
    </w:p>
    <w:p w:rsidR="00163957" w:rsidRDefault="00163957" w:rsidP="00163957">
      <w:pPr>
        <w:pStyle w:val="TextoNormal"/>
      </w:pPr>
      <w:r>
        <w:t>a) La mancomunidad y el consorcio son formas organizativas que permiten a los municipios colaborar entre sí y con Administraciones de otros niveles territoriales para la prestación de servicios públicos. Si el primero articula una colaboración “horizontal” (entre municipios), el segundo suele sustanciar una colaboración “vertical” (entre Administraciones de distinto nivel). La Ley de racionalización y sostenibilidad de la Administración local se ha ocupado de estas fórmulas organizativas dentro de un marco más amplio de reformas destinadas a revisar el conjunto de las entidades instrumentales del sector público. Se refiere expresamente a la mancomunidad y al consorcio como “fórmulas de gestión compartida” o “integrada” (art. 26.2 LBRL y disposición adicional decimoquinta del texto refundido de la Ley de haciendas locales, en la redacción dada por los arts. 1.9 y 2.5, respectivamente, de la Ley de racionalización y sostenibilidad de la Administración local) y establece normas específicas para una y otro.</w:t>
      </w:r>
    </w:p>
    <w:p w:rsidR="00163957" w:rsidRDefault="00163957" w:rsidP="00163957">
      <w:pPr>
        <w:pStyle w:val="TextoNormal"/>
      </w:pPr>
    </w:p>
    <w:p w:rsidR="00163957" w:rsidRDefault="00163957" w:rsidP="00163957">
      <w:pPr>
        <w:pStyle w:val="TextoNormal"/>
      </w:pPr>
      <w:r>
        <w:t>El régimen jurídico de las mancomunidades de municipios —sobre el que se pronunció la STC 103/2014, FJ 3— permanece sustancialmente inalterado. La Ley de racionalización y sostenibilidad de la Administración local no ha modificado los preceptos que atribuyen la constitución de las mancomunidades y la elaboración de sus estatutos a los propios municipios, en el marco de la legislación autonómica [arts. 4.2, 44 y 47.2 g) LBRL]. Más allá de la incidencia que sobre esta fórmula ha de tener la reordenación de las competencias locales que lleva a cabo la Ley de racionalización y sostenibilidad de la Administración local, las novedades son las introducidas en la disposición transitoria undécima de la Ley de racionalización y sostenibilidad de la Administración local.: 1) el objeto de la mancomunidad es más limitado, pues ha de coincidir con actividades reconducibles a las competencias y servicios enumerados en los arts. 25 y 26 LBRL (en la redacción dada por los apartados 8 y 9, respectivamente, del art. 1 de la Ley de racionalización y sostenibilidad de la Administración local; párrafo segundo de la disposición transitoria undécima de la Ley de racionalización y sostenibilidad de la Administración local); 2) el órgano de Gobierno de la Comunidad Autónoma podrá iniciar y resolver un expediente de disolución contra las mancomunidades que a 30 de junio de 2014 no hubieran adaptado sus estatutos al art. 44 LBRL (párrafos primero y tercero de la disposición transitoria undécima de la Ley de racionalización y sostenibilidad de la Administración local).</w:t>
      </w:r>
    </w:p>
    <w:p w:rsidR="00163957" w:rsidRDefault="00163957" w:rsidP="00163957">
      <w:pPr>
        <w:pStyle w:val="TextoNormal"/>
      </w:pPr>
    </w:p>
    <w:p w:rsidR="00163957" w:rsidRDefault="00163957" w:rsidP="00163957">
      <w:pPr>
        <w:pStyle w:val="TextoNormal"/>
      </w:pPr>
      <w:r>
        <w:t xml:space="preserve">Respecto de la fórmula consorcial, la reforma de su régimen jurídico básico consiste en: 1) la introducción de previsiones aplicables solo a los consorcios locales en la LBRL (entre ellas, la nueva redacción del art. 57 a la que se refiere el presente recurso); 2) la introducción de previsiones aplicables a todos los consorcios en la Ley 30/1992, de 26 de noviembre, de régimen jurídico de las Administraciones públicas y del procedimiento administrativo común (disposición adicional vigésima, introducida por la disposición final segunda de la Ley </w:t>
      </w:r>
      <w:r>
        <w:lastRenderedPageBreak/>
        <w:t>de racionalización y sostenibilidad de la Administración local). Tras la aprobación de la Ley de racionalización y sostenibilidad de la Administración local, el régimen general del consorcio ha sido objeto de múltiples intervenciones legislativas. A los efectos de este proceso, basta indicar que los arts. 118 a 127 de la Ley 40/2015, de 1 de octubre, de régimen jurídico del sector público (que entrarán en vigor a partir del 2 de octubre de 2016: disposición final decimoctava) establecen una regulación diferenciada y más amplia que la recogida (y aún vigente) en la Ley 30/1992, con el fin de contener el número de consorcios y propiciar la desaparición de los que arrastran una situación financiera deficiente. Prevén asimismo que las normas relativas a los consorcios locales establecidas en la Ley reguladora de las bases de régimen local y en la Ley de racionalización y sostenibilidad de la Administración local “tendrán carácter supletorio respecto de lo dispuesto en esta ley” (art. 119.3).</w:t>
      </w:r>
    </w:p>
    <w:p w:rsidR="00163957" w:rsidRDefault="00163957" w:rsidP="00163957">
      <w:pPr>
        <w:pStyle w:val="TextoNormal"/>
      </w:pPr>
    </w:p>
    <w:p w:rsidR="00163957" w:rsidRDefault="00163957" w:rsidP="00163957">
      <w:pPr>
        <w:pStyle w:val="TextoNormal"/>
      </w:pPr>
      <w:r>
        <w:t>Nuestro enjuiciamiento ha de limitarse al art. 57 LBRL (en la redacción dada por el art. 1.16 de la Ley de racionalización y sostenibilidad de la Administración local). Establece esencialmente lo siguiente: 1) el consorcio queda configurado, al igual que el convenio interadministrativo, como un instrumento que permite la colaboración voluntaria (que puede ser vertical) en relación con los servicios locales y los asuntos de interés común (párrafo primero del apartado 1); 2) el recurso a la fórmula consorcial se configura como subsidiario respecto de la fórmula convencional y, en todo caso, condicionado al cumplimiento de criterios de eficiencia (apartados 2 y 3); 3) los consorcios constituidos no podrán demandar más recursos de los inicialmente previstos (apartado 3).</w:t>
      </w:r>
    </w:p>
    <w:p w:rsidR="00163957" w:rsidRDefault="00163957" w:rsidP="00163957">
      <w:pPr>
        <w:pStyle w:val="TextoNormal"/>
      </w:pPr>
    </w:p>
    <w:p w:rsidR="00163957" w:rsidRDefault="00163957" w:rsidP="00163957">
      <w:pPr>
        <w:pStyle w:val="TextoNormal"/>
      </w:pPr>
      <w:r>
        <w:t>b) Según el recurso, la disposición transitoria undécima de la Ley de racionalización y sostenibilidad de la Administración local y el art. 57 LBRL (en la redacción dada por el art. 1.16 de la Ley de racionalización y sostenibilidad de la Administración local) penetran un ámbito competencial que los Estatutos de Autonomía reservan a las Comunidades Autónomas. El legislador estatal no estaría autorizado a limitar la constitución de los consorcios apelando al principio de sostenibilidad financiera; tal principio podría justificar controles o condicionantes a la actuación de las diversas Administraciones, pero no la alteración del reparto competencial entre el Estado y las Comunidades Autónomas. Se habría vulnerado también la competencia autonómica de autoorganización (art. 148.1 CE) al identificar el órgano de gobierno de la Comunidad Autónoma encargado de iniciar y resolver los procedimientos de disolución de las mancomunidades.</w:t>
      </w:r>
    </w:p>
    <w:p w:rsidR="00163957" w:rsidRDefault="00163957" w:rsidP="00163957">
      <w:pPr>
        <w:pStyle w:val="TextoNormal"/>
      </w:pPr>
    </w:p>
    <w:p w:rsidR="00163957" w:rsidRDefault="00163957" w:rsidP="00163957">
      <w:pPr>
        <w:pStyle w:val="TextoNormal"/>
      </w:pPr>
      <w:r>
        <w:t>Las técnicas organizativas y los instrumentos de cooperación forman parte, de entrada, de la potestad de autoorganización local y de las competencias sobre régimen local que tienen atribuidas las Comunidades Autónomas. No obstante, al reseñar la doctrina constitucional (fundamento jurídico 5 de esta Sentencia), hemos razonado igualmente que el art. 149.1.18 CE puede dar cobertura a una legislación básica estatal que incida sobre los entes locales con autonomía constitucionalmente garantizada, que proyecte los principios de eficacia, eficiencia y estabilidad presupuestaria sobre el régimen local o que articule una ordenación básica de las relaciones interadministrativas de cooperación. Las mancomunidades y los consorcios no son ajenos a ninguno de estos aspectos: 1) sus intereses son los de los entes locales mancomunados o consorciados; 2) su régimen de constitución, funcionamiento y funciones es evidentemente relevante bajo la óptica de la racionalidad del gasto público; 3) son instrumentos fundamentales para la “gestión compartida” (art. 26.2 LBRL) en el contexto de un Estado compuesto, en general, y de un mapa local caracterizado por la proliferación de municipios pequeños, en particular.</w:t>
      </w:r>
    </w:p>
    <w:p w:rsidR="00163957" w:rsidRDefault="00163957" w:rsidP="00163957">
      <w:pPr>
        <w:pStyle w:val="TextoNormal"/>
      </w:pPr>
    </w:p>
    <w:p w:rsidR="00163957" w:rsidRDefault="00163957" w:rsidP="00163957">
      <w:pPr>
        <w:pStyle w:val="TextoNormal"/>
      </w:pPr>
      <w:r>
        <w:t>La disposición transitoria undécima de la Ley de racionalización y sostenibilidad de la Administración local delimita los servicios que admiten la mancomunidad como fórmula de gestión compartida. Son los reconducibles a las materias enumeradas en los arts. 25 y 26 LBRL. Esta previsión, con independencia de su virtualidad real, se presenta como una directriz básica que pretende evitar la proliferación de mancomunidades y los riesgos que se entiende que ello supone para los principios de eficacia (art. 103.1 CE), eficiencia en el gasto público (art. 31.2 CE) y estabilidad financiera (art. 135 CE). El examen de los arts. 25 y 26 LBRL permite afirmar que los ámbitos en los que los Ayuntamientos pueden mancomunarse son suficientemente amplios y que el legislador autonómico conserva dentro de ellos (en particular, en los descritos en el art. 25.2 LBRL que pueden reconducirse a sus atribuciones estatutarias) la competencia para conferir y regular las competencias propias municipales.</w:t>
      </w:r>
    </w:p>
    <w:p w:rsidR="00163957" w:rsidRDefault="00163957" w:rsidP="00163957">
      <w:pPr>
        <w:pStyle w:val="TextoNormal"/>
      </w:pPr>
    </w:p>
    <w:p w:rsidR="00163957" w:rsidRDefault="00163957" w:rsidP="00163957">
      <w:pPr>
        <w:pStyle w:val="TextoNormal"/>
      </w:pPr>
      <w:r>
        <w:t>Este razonamiento es extensible al art. 57 LBRL. Remite el régimen de las fórmulas de cooperación a “los términos previstos en las leyes” (apartado 1), sin incluir una regulación completa del consorcio que pudiera desbordar la competencia estatal para fijar las bases del régimen local. Introduce solo algunos límites a la constitución y funcionamiento del consorcio que, con independencia de su eficacia real, están claramente destinados a introducir los criterios de racionalidad económica que exige la realización de mandatos constitucionales (arts. 31.2, 103.1, 135, 137, 140 CE).</w:t>
      </w:r>
    </w:p>
    <w:p w:rsidR="00163957" w:rsidRDefault="00163957" w:rsidP="00163957">
      <w:pPr>
        <w:pStyle w:val="TextoNormal"/>
      </w:pPr>
    </w:p>
    <w:p w:rsidR="00163957" w:rsidRDefault="00163957" w:rsidP="00163957">
      <w:pPr>
        <w:pStyle w:val="TextoNormal"/>
      </w:pPr>
      <w:r>
        <w:t>Ningún problema de constitucionalidad puede suscitar la previsión genérica de que el consorcio, sin poner “en riesgo la sostenibilidad financiera del conjunto de la Hacienda de la Entidad Local”, debe permitir “una asignación más eficiente de los recursos económicos” y “mejorar la eficiencia de la gestión pública, eliminar duplicidades administrativas y cumplir con la legislación de estabilidad presupuestaria y sostenibilidad financiera” (apartados 2 y 3).</w:t>
      </w:r>
    </w:p>
    <w:p w:rsidR="00163957" w:rsidRDefault="00163957" w:rsidP="00163957">
      <w:pPr>
        <w:pStyle w:val="TextoNormal"/>
      </w:pPr>
    </w:p>
    <w:p w:rsidR="00163957" w:rsidRDefault="00163957" w:rsidP="00163957">
      <w:pPr>
        <w:pStyle w:val="TextoNormal"/>
      </w:pPr>
      <w:r>
        <w:t>La preferencia asignada a la fórmula convencional en detrimento de la consorcial (apartado 3) puede discutirse políticamente, pero constituye una directriz directamente encaminada a desarrollar una política de contención de personificaciones públicas que se sitúa dentro de los amplios márgenes de configuración legislativa que abre la Constitución y amparan los apartados 14 y 18 del art. 149.1 CE. Lo mismo cabe decir de la previsión de que los consorcios constituidos no podrán demandar más recursos de los inicialmente previstos (apartado 3).</w:t>
      </w:r>
    </w:p>
    <w:p w:rsidR="00163957" w:rsidRDefault="00163957" w:rsidP="00163957">
      <w:pPr>
        <w:pStyle w:val="TextoNormal"/>
      </w:pPr>
    </w:p>
    <w:p w:rsidR="00163957" w:rsidRDefault="00163957" w:rsidP="00163957">
      <w:pPr>
        <w:pStyle w:val="TextoNormal"/>
      </w:pPr>
      <w:r>
        <w:t xml:space="preserve">Por otra parte, el Estado no ha disuelto directamente mancomunidad alguna. La disolución se produce solo si las mancomunidades no respetan normas básicas a cuyo cumplimiento están constitucionalmente obligadas (arts. 9, apartados 1 y 3, y 103.1 CE). A su vez, la obligación cuyo incumplimiento acarrea la disolución se refiere a la adaptación de los estatutos de la mancomunidad a una norma básica que lleva más de una década en vigor: la redacción vigente del art. 44 LBRL procede del art. 1.1 de la Ley 57/2003, sin que la Ley de racionalización y sostenibilidad de la Administración local la haya modificado. Por otra parte, quien aprecia y aplica esta causa de disolución es la Comunidad Autónoma, que, por lo demás, es competente para regular y atribuir competencias locales en muchas de las materias a que debe quedar circunscrita esta fórmula de “gestión compartida” de acuerdo con </w:t>
      </w:r>
      <w:r>
        <w:lastRenderedPageBreak/>
        <w:t>la disposición transitoria undécima de la Ley de racionalización y sostenibilidad de la Administración local.</w:t>
      </w:r>
    </w:p>
    <w:p w:rsidR="00163957" w:rsidRDefault="00163957" w:rsidP="00163957">
      <w:pPr>
        <w:pStyle w:val="TextoNormal"/>
      </w:pPr>
    </w:p>
    <w:p w:rsidR="00163957" w:rsidRDefault="00163957" w:rsidP="00163957">
      <w:pPr>
        <w:pStyle w:val="TextoNormal"/>
      </w:pPr>
      <w:r>
        <w:t>No obstante, tiene razón la Asamblea legislativa recurrente cuando denuncia la extralimitación que supone la indicación precisa del órgano autonómico al que corresponde iniciar y resolver el expediente de disolución. Tal indicación vulnera los arts. 148.1.1 CE y 9.1.1 del Estatuto de Autonomía de Extremadura.</w:t>
      </w:r>
    </w:p>
    <w:p w:rsidR="00163957" w:rsidRDefault="00163957" w:rsidP="00163957">
      <w:pPr>
        <w:pStyle w:val="TextoNormal"/>
      </w:pPr>
    </w:p>
    <w:p w:rsidR="00163957" w:rsidRDefault="00163957" w:rsidP="00163957">
      <w:pPr>
        <w:pStyle w:val="TextoNormal"/>
      </w:pPr>
      <w:r>
        <w:t>Consecuentemente, procede declarar la inconstitucionalidad y nulidad del inciso “el Órgano de Gobierno de” incluido en el párrafo tercero de la disposición transitoria undécima de la Ley de racionalización y sostenibilidad de la Administración local y desestimar esta impugnación en todo lo demás.</w:t>
      </w:r>
    </w:p>
    <w:p w:rsidR="00163957" w:rsidRDefault="00163957" w:rsidP="00163957">
      <w:pPr>
        <w:pStyle w:val="TextoNormal"/>
      </w:pPr>
    </w:p>
    <w:p w:rsidR="00163957" w:rsidRDefault="00163957" w:rsidP="00163957">
      <w:pPr>
        <w:pStyle w:val="TextoNormal"/>
      </w:pPr>
      <w:r w:rsidRPr="00163957">
        <w:rPr>
          <w:rStyle w:val="NumeroAFNegritaCaracter"/>
        </w:rPr>
        <w:t>9</w:t>
      </w:r>
      <w:r>
        <w:t>. El segundo bloque de impugnaciones se refiere a la nueva ordenación de las competencias locales. Se recurren los arts. 7.4, 25, 27 y 85.2 LBRL (en la redacción dada por los apartados 3, 8, 10 y 21, respectivamente, del art. 1 de la Ley de racionalización y sostenibilidad de la Administración local) así como las disposiciones adicionales novena y decimoquinta y transitorias primera a tercera, todas de la Ley de racionalización y sostenibilidad de la Administración local.</w:t>
      </w:r>
    </w:p>
    <w:p w:rsidR="00163957" w:rsidRDefault="00163957" w:rsidP="00163957">
      <w:pPr>
        <w:pStyle w:val="TextoNormal"/>
      </w:pPr>
    </w:p>
    <w:p w:rsidR="00163957" w:rsidRDefault="00163957" w:rsidP="00163957">
      <w:pPr>
        <w:pStyle w:val="TextoNormal"/>
      </w:pPr>
      <w:r>
        <w:t>La Constitución “no precisa las competencias que corresponden a los entes locales” [STC 154/2015, de 9 de julio, FJ 6 a), citando la STC 32/1981, de 28 de julio, FJ 3]. Distribuye todo el poder público entre el Estado (las competencias atribuidas por el art. 149 CE) y las Comunidades Autónomas (las competencias atribuidas por los Estatutos de Autonomía y las leyes previstas en los apartados 1 y 2 del art. 150 CE). A su vez, en consonancia con la estructura territorial compuesta que diseña el art. 137 CE (STC 82/1982, FJ 4), la Constitución no encomienda en exclusiva la regulación y la asignación de las competencias locales ni al Estado ni a las Comunidades Autónomas. Cada cual en el marco de sus atribuciones ha de regular y atribuir las competencias de los entes locales, sin perjuicio de la autonomía asegurada en los arts. 137, 140 y 141 CE [STC 214/1989, FJ 3 a)].</w:t>
      </w:r>
    </w:p>
    <w:p w:rsidR="00163957" w:rsidRDefault="00163957" w:rsidP="00163957">
      <w:pPr>
        <w:pStyle w:val="TextoNormal"/>
      </w:pPr>
    </w:p>
    <w:p w:rsidR="00163957" w:rsidRDefault="00163957" w:rsidP="00163957">
      <w:pPr>
        <w:pStyle w:val="TextoNormal"/>
      </w:pPr>
      <w:r>
        <w:t>Esta garantía no impide que el Estado y las Comunidades Autónomas puedan ejercer en uno u otro sentido su libertad de configuración en el trance de atribuir competencias locales. Tal como recuerda la STC 154/2015, de 9 de julio, FJ 6 a), la protección constitucional de la autonomía local obliga solo a “asegurar el derecho de la comunidad local a participar a través de órganos propios en el gobierno y administración”. Señala en este sentido: “Se trata de que el legislador gradúe el alcance o intensidad de la intervención local ‘en función de la relación existente entre los intereses locales y supralocales dentro de tales asuntos o materias’ (SSTC 32/1981, FJ 4; 170/1989, 19 de octubre, FJ 9, y 51/2004, FJ 9, entre muchas; en el mismo sentido, últimamente, SSTC 95/2014, de 12 de junio, FJ 5; 57/2015, de 18 de marzo, FJ 6, y 92/2015, de 14 de mayo, FJ 4)”. Ello implica que las leyes del Estado y de las Comunidades Autónomas deben asegurar que los municipios tengan competencias “propias” en ámbitos de interés exclusiva o prevalentemente municipal (STC 4/1981, FJ 3).</w:t>
      </w:r>
    </w:p>
    <w:p w:rsidR="00163957" w:rsidRDefault="00163957" w:rsidP="00163957">
      <w:pPr>
        <w:pStyle w:val="TextoNormal"/>
      </w:pPr>
    </w:p>
    <w:p w:rsidR="00163957" w:rsidRDefault="00163957" w:rsidP="00163957">
      <w:pPr>
        <w:pStyle w:val="TextoNormal"/>
      </w:pPr>
      <w:r>
        <w:t xml:space="preserve">El art. 149.1.18 CE ampara una regulación estatal básica sobre competencias locales que, en cuanto tal, está llamada a condicionar al legislador autonómico. A la hora de asignar o suprimir competencias locales al amparo de sus atribuciones estatutarias, la Comunidad Autónoma debe respetar las bases del régimen local [SSTC 214/1989, FJ 3 a), 159/2001, FJ 4, </w:t>
      </w:r>
      <w:r>
        <w:lastRenderedPageBreak/>
        <w:t>121/2012, de 5 de junio, FJ 7], además de la garantía constitucional de la autonomía local y la regulación que a este respecto pueda eventualmente incluir su propio Estatuto de Autonomía, salvo que fuera incompatible con aquellas bases (SSTC 31/2010, FJ 36; 103/2013, FJ 4).</w:t>
      </w:r>
    </w:p>
    <w:p w:rsidR="00163957" w:rsidRDefault="00163957" w:rsidP="00163957">
      <w:pPr>
        <w:pStyle w:val="TextoNormal"/>
      </w:pPr>
    </w:p>
    <w:p w:rsidR="00163957" w:rsidRDefault="00163957" w:rsidP="00163957">
      <w:pPr>
        <w:pStyle w:val="TextoNormal"/>
      </w:pPr>
      <w:r>
        <w:t>El Estado puede apoyarse en el art. 149.1.18 CE para establecer las condiciones básicas conforme a las que la legislación sectorial estatal y las Comunidades Autónomas han de atribuir específicamente las competencias locales en un momento sucesivo. Así lo declaró la STC 214/1989, FJ 3 a), al pronunciarse sobre la ordenación básica original de las competencias locales: en “esa ulterior operación” que ha quedado “deferida al legislador competente por razón de la materia”, las Comunidades Autónomas no pueden “desconocer los criterios generales que los arts. 2.1, 25.2, 26 y 36 de la misma LRBRL han establecido”. La Sentencia destacó la conexión directa de esa ordenación con la garantía constitucional de la autonomía local y cabe subrayar ahora la que puede llegar a tener con los mandatos constitucionales los mandatos constitucionales de eficiencia, eficacia y estabilidad presupuestaria (arts. 31.2, 103.1 y 135 CE).</w:t>
      </w:r>
    </w:p>
    <w:p w:rsidR="00163957" w:rsidRDefault="00163957" w:rsidP="00163957">
      <w:pPr>
        <w:pStyle w:val="TextoNormal"/>
      </w:pPr>
    </w:p>
    <w:p w:rsidR="00163957" w:rsidRDefault="00163957" w:rsidP="00163957">
      <w:pPr>
        <w:pStyle w:val="TextoNormal"/>
      </w:pPr>
      <w:r>
        <w:t>Más delicado resulta determinar si el art. 149.1.18 CE permite al Estado delimitar con detalle las competencias locales relativas a materias de competencia autonómica. Se trata de concretar si el Estado debe solo identificar materias e imponer condiciones, correspondiendo siempre a la Comunidad Autónoma decidir cuáles son las competencias locales; o si puede ir más lejos, habilitando competencias directamente o identificando específicamente las atribuciones locales en ámbitos de titularidad autonómica.</w:t>
      </w:r>
    </w:p>
    <w:p w:rsidR="00163957" w:rsidRDefault="00163957" w:rsidP="00163957">
      <w:pPr>
        <w:pStyle w:val="TextoNormal"/>
      </w:pPr>
    </w:p>
    <w:p w:rsidR="00163957" w:rsidRDefault="00163957" w:rsidP="00163957">
      <w:pPr>
        <w:pStyle w:val="TextoNormal"/>
      </w:pPr>
      <w:r>
        <w:t>El modelo que en su día diseñó la Ley reguladora de las bases de régimen local establecía, en líneas generales, unas bases estatales poco incisivas que, desde la perspectiva de las Comunidades Autónomas, no añadían muchos límites a los directamente derivados de la garantía constitucional de la autonomía local. Por eso, cada vez que este Tribunal ha debido enjuiciar preceptos autonómicos que centralizan en la Administración de la Comunidad Autónoma competencias que afectan a intereses municipales, ha hallado siempre el criterio decisivo, no dentro de la Ley reguladora de las bases de régimen local, sino en la doctrina constitucional sobre la garantía constitucional de la autonomía local [por ejemplo, SSTC 51/2004, FJ 9; 57/2015, de 18 de marzo, FJ 18, letras a) y d), y 154/2015, FJ 6 c)].</w:t>
      </w:r>
    </w:p>
    <w:p w:rsidR="00163957" w:rsidRDefault="00163957" w:rsidP="00163957">
      <w:pPr>
        <w:pStyle w:val="TextoNormal"/>
      </w:pPr>
    </w:p>
    <w:p w:rsidR="00163957" w:rsidRDefault="00163957" w:rsidP="00163957">
      <w:pPr>
        <w:pStyle w:val="TextoNormal"/>
      </w:pPr>
      <w:r>
        <w:t>No obstante, algunas previsiones de la Ley reguladora de las bases de régimen local, ya en su redacción originaria, habilitaban directamente (o, incluso, obligaban) a los entes locales a ejercer competencias en ámbitos materiales propios de las Comunidades Autónomas. Así, el art. 28 LBRL —derogado por el art. 1.11 Ley de racionalización y sostenibilidad de la Administración local—, que establecía la siguiente cláusula general: “Los Municipios pueden realizar actividades complementarias de las propias de otras Administraciones públicas y, en particular, las relativas a la educación, la cultura, la promoción de la mujer, la vivienda, la sanidad, y la protección del medio ambiente”.</w:t>
      </w:r>
    </w:p>
    <w:p w:rsidR="00163957" w:rsidRDefault="00163957" w:rsidP="00163957">
      <w:pPr>
        <w:pStyle w:val="TextoNormal"/>
      </w:pPr>
    </w:p>
    <w:p w:rsidR="00163957" w:rsidRDefault="00163957" w:rsidP="00163957">
      <w:pPr>
        <w:pStyle w:val="TextoNormal"/>
      </w:pPr>
      <w:r>
        <w:t xml:space="preserve">Cabe citar igualmente el art. 25.1 LBRL: “El Municipio, para la gestión de sus intereses y en el ámbito de sus competencias, puede promover toda clase de actividades y prestar cuantos servicios públicos contribuyan a satisfacer las necesidades y aspiraciones de la comunidad vecinal”. Esta norma podía interpretarse como una cláusula general que, en cuanto tal, encierra una habilitación directa en favor de los municipios para ejercer competencias </w:t>
      </w:r>
      <w:r>
        <w:lastRenderedPageBreak/>
        <w:t>también en materias de competencia autonómica. El art. 25.1 admitía otras interpretaciones, pero en la práctica ha funcionado como una habilitación general y directa, según la exposición de motivos de la Ley de racionalización y sostenibilidad de la Administración local, que la concibe como fuente de duplicidades e ineficiencias en la gestión de los recursos públicos.</w:t>
      </w:r>
    </w:p>
    <w:p w:rsidR="00163957" w:rsidRDefault="00163957" w:rsidP="00163957">
      <w:pPr>
        <w:pStyle w:val="TextoNormal"/>
      </w:pPr>
    </w:p>
    <w:p w:rsidR="00163957" w:rsidRDefault="00163957" w:rsidP="00163957">
      <w:pPr>
        <w:pStyle w:val="TextoNormal"/>
      </w:pPr>
      <w:r>
        <w:t>Más claro aún es el caso del caso del art. 26.1 LBRL, conforme al que los municipios están directamente habilitados (y obligados) a prestar servicios determinados que recaen sobre materias de competencia autonómica. De hecho, de acuerdo con el art. 18.1 g) LBRL (y con la consolidada doctrina del Tribunal Supremo), esta obligación impuesta al municipio por el Estado funciona directamente, sin necesidad de ulterior legislación autonómica, como un derecho subjetivo correlativo que permite al vecino impugnar el presupuesto municipal que no prevea el gasto necesario y, en general, exigir judicialmente el establecimiento del servicio.</w:t>
      </w:r>
    </w:p>
    <w:p w:rsidR="00163957" w:rsidRDefault="00163957" w:rsidP="00163957">
      <w:pPr>
        <w:pStyle w:val="TextoNormal"/>
      </w:pPr>
    </w:p>
    <w:p w:rsidR="00163957" w:rsidRDefault="00163957" w:rsidP="00163957">
      <w:pPr>
        <w:pStyle w:val="TextoNormal"/>
      </w:pPr>
      <w:r>
        <w:t>A su vez, la redacción originaria del art. 36.1 LBRL establecía ya que son “competencias propias de la Diputación”, además de las que le atribuyan las leyes estatales y autonómicas “en los diferentes sectores de la acción pública”: “la coordinación de los servicios municipales entre sí para la garantía de la prestación integral y adecuada" a que se refiere el apartado a) del número 2 del artículo 31” [letra a)]; “la asistencia y la cooperación jurídica, económica y técnica a los Municipios, especialmente los de menor capacidad económica y de gestión” [letra b)]; “la prestación de servicios públicos de carácter supramunicipal y, en su caso, supracomarcal" [letra c)]; “en general, el fomento y la administración de los intereses peculiares de la Provincia” [letra d)].</w:t>
      </w:r>
    </w:p>
    <w:p w:rsidR="00163957" w:rsidRDefault="00163957" w:rsidP="00163957">
      <w:pPr>
        <w:pStyle w:val="TextoNormal"/>
      </w:pPr>
    </w:p>
    <w:p w:rsidR="00163957" w:rsidRDefault="00163957" w:rsidP="00163957">
      <w:pPr>
        <w:pStyle w:val="TextoNormal"/>
      </w:pPr>
      <w:r>
        <w:t>El Parlamento y la Junta de Galicia recurrieron en su momento el art. 28 LBRL porque entendían que “afecta e incide ilegítimamente en el sistema constitucional de distribución de competencias, ya que se asignan a los municipios competencias de simple ejecución en detrimento de la Comunidad Autónoma, que es la titular, con diferente alcance, de las competencias sobre las materias a las que se refiere este art. 28”. Al resolver la impugnación, la STC 214/1989, FJ 12, afirmó, en consonancia con los recurrentes, que el precepto encierra una “cláusula competencial genérica” que “habilita a los municipios para que puedan desarrollar actividades complementarias de las propias de otras Administraciones”. Sin embargo, desestimó la impugnación: “esas ‘actividades complementarias’ en forma alguna menoscaban o se configuran como un obstáculo a las competencias que corresponden al Estado o a las Comunidades Autónomas, razón por la cual difícilmente puede admitirse la consecuencia que, desde la perspectiva del ámbito competencial de la Comunidad Autónoma de Galicia, las entidades recurrentes anudan a esa habilitación que prevé el art. 28 LBRL”.</w:t>
      </w:r>
    </w:p>
    <w:p w:rsidR="00163957" w:rsidRDefault="00163957" w:rsidP="00163957">
      <w:pPr>
        <w:pStyle w:val="TextoNormal"/>
      </w:pPr>
    </w:p>
    <w:p w:rsidR="00163957" w:rsidRDefault="00163957" w:rsidP="00163957">
      <w:pPr>
        <w:pStyle w:val="TextoNormal"/>
      </w:pPr>
      <w:r>
        <w:t xml:space="preserve">Los arts. 25.1, 26.1 y 36 LBRL no fueron impugnados, pero la STC 214/1989, FJ 3 a), también los juzgó legítimos en términos constitucionales: “al delimitar las materias en las que necesariamente, de acuerdo con los principios señalados, a las Entidades locales deberán atribuírseles competencias, e incluso, especificando para los municipios los servicios mínimos que, en todo caso deberán prestar. Así se prevé para los municipios en los arts. 25.2 y 26, y para las provincias en el art. 36, sin que, por lo demás, tales previsiones hayan sido objeto de impugnación alguna”. Después, la STC 109/1998, de 21 de mayo, FJ 3, se pronunció ya de modo directo sobre las letras a) y b) del art. 36.1 LBRL, reputándolas materialmente básicas </w:t>
      </w:r>
      <w:r w:rsidRPr="00163957">
        <w:rPr>
          <w:i/>
        </w:rPr>
        <w:t>ex</w:t>
      </w:r>
      <w:r>
        <w:t xml:space="preserve"> art. 149.1.18 CE porque sirven para delimitar “las atribuciones de las </w:t>
      </w:r>
      <w:r>
        <w:lastRenderedPageBreak/>
        <w:t>Diputaciones Provinciales y contemplan la actividad instrumental para su ejercicio”. La STC 103/2013 resolvió en el mismo sentido respecto de la letra c), en la redacción dada por el art. 1.1 Ley 57/2003, que reprodujo literalmente la regulación originaria. Rechazó la alegación del Parlamento de Cataluña de que la previsión “vulnera la competencia de la Comunidad Autónoma al quedar desplazado el legislador autonómico” [FJ 3 c)].</w:t>
      </w:r>
    </w:p>
    <w:p w:rsidR="00163957" w:rsidRDefault="00163957" w:rsidP="00163957">
      <w:pPr>
        <w:pStyle w:val="TextoNormal"/>
      </w:pPr>
    </w:p>
    <w:p w:rsidR="00163957" w:rsidRDefault="00163957" w:rsidP="00163957">
      <w:pPr>
        <w:pStyle w:val="TextoNormal"/>
      </w:pPr>
      <w:r>
        <w:t xml:space="preserve">Sin embargo, la propia STC 214/1989, al referirse al art. 2 LBRL, desarrolló razonamientos que daban claramente a entender que el Estado puede atribuir competencias locales a través, únicamente, de sus competencias sectoriales, en ningún caso como bases del régimen local </w:t>
      </w:r>
      <w:r w:rsidRPr="00163957">
        <w:rPr>
          <w:i/>
        </w:rPr>
        <w:t>ex</w:t>
      </w:r>
      <w:r>
        <w:t xml:space="preserve"> art. 149.1.18 CE. Así, al descartar la inconstitucionalidad del apartado 1 del indicado artículo: “resulta plenamente adecuado a la Constitución, sin que pueda apreciarse extralimitación alguna en la fijación de las bases relativas a las competencias locales. Se mantiene y conjuga, en efecto, un adecuado equilibrio en el ejercicio de la función constitucional encomendada al legislador estatal de garantizar los mínimos competenciales que dotan de contenido y efectividad a la garantía de la autonomía local, ya que no se desciende a la fijación detallada de tales competencias, pues el propio Estado no dispone de todas ellas”. La STC 214/1989 concluye que “delimitada así la exigencia de orden competencial vinculada a la garantía constitucional de la autonomía de las entidades locales, la concreción última de las competencias locales queda remitida —y no podía ser de otra manera— a la correspondiente legislación sectorial, ya sea estatal o autonómica, según el sistema constitucional de distribución de competencias entre el Estado y las Comunidades Autónomas” [FJ 3 a)]. De igual manera, al realizar una interpretación de conformidad a la Constitución del art. 2.2 LBRL, la Sentencia declaró que, en sectores cuya regulación comparten el Estado y las Comunidades Autónomas, las “leyes básicas deberán decir qué competencias corresponden” “a las Entidades Locales por ser ello necesario para garantizarles su autonomía”, pero si exceden “de lo necesario” habrán “invadido las competencias comunitarias” y serán por ello inconstitucionales [FJ 3, letras a) y b) y c)].</w:t>
      </w:r>
    </w:p>
    <w:p w:rsidR="00163957" w:rsidRDefault="00163957" w:rsidP="00163957">
      <w:pPr>
        <w:pStyle w:val="TextoNormal"/>
      </w:pPr>
    </w:p>
    <w:p w:rsidR="00163957" w:rsidRDefault="00163957" w:rsidP="00163957">
      <w:pPr>
        <w:pStyle w:val="TextoNormal"/>
      </w:pPr>
      <w:r>
        <w:t xml:space="preserve">La contradicción reseñada es solo aparente si se toma en consideración que, en realidad, la cuestión de si el art. 149.1.18 CE permite la identificación precisa o la atribución directa de competencias locales en materias de competencia autonómica no admite una respuesta unívoca. En principio, el Estado solo podrá atribuir competencias locales específicas o prohibir que éstas se desarrollen en el nivel local cuando tenga competencias en la materia o sector de que se trate [SSTC 214/1989, FJ 3 a) y b); 159/2001, FJ 4, y 121/2012, FJ 7]. En materias de competencia autonómica, solo las Comunidades Autónomas pueden atribuir competencias locales o prohibir que el nivel local las desarrolle, sujetándose en todo caso a las exigencias derivadas de la Constitución (singularmente, arts. 103.1, 135, 137 y 141 CE), las bases del régimen local </w:t>
      </w:r>
      <w:r w:rsidRPr="00163957">
        <w:rPr>
          <w:i/>
        </w:rPr>
        <w:t>ex</w:t>
      </w:r>
      <w:r>
        <w:t xml:space="preserve"> art. 149.1.18 CE y, en su caso, los Estatutos de Autonomía. Ahora bien, las bases pueden llegar a prefigurar específicamente el poder local en materias de competencia autonómica, pero solo para atribuir directamente competencias locales, si ello no supone “un obstáculo a las competencias que corresponden” a las Comunidades Autónomas (STC 214/1989, FJ 12), y para garantizar un núcleo homogéneo de derechos prestacionales del vecino. La configuración de ese núcleo homogéneo puede justificar la limitación de la autonomía, tanto de las Comunidades Autónomas (porque el Estado puede habilitar directamente la competencia local en materias de alcance autonómico) como de los propios entes locales (porque el Estado puede prever el servicio como obligatorio).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10</w:t>
      </w:r>
      <w:r>
        <w:t>. Antes de proyectar la doctrina constitucional expuesta sobre cada uno de los preceptos recurridos, describiremos las líneas maestras del nuevo régimen competencial municipal. Ello resulta imprescindible habida cuenta de que el sentido y alcance de un precepto sobre competencias municipales no puede hacerse al margen de los demás. Solo su consideración conjunta permite entender el nuevo sistema y, con ello, dar cumplida respuesta a las impugnaciones dirigidas contra él. Dejaremos al margen las competencias de las diputaciones provinciales (arts. 26, apartados 2 y 3, y 36 LBRL, en la redacción dada por los apartados 9 y 13, respectivamente, del art. 1 de la Ley de racionalización y sostenibilidad de la Administración local) al no ser objetivo de controversia en el presente proceso constitucional.</w:t>
      </w:r>
    </w:p>
    <w:p w:rsidR="00163957" w:rsidRDefault="00163957" w:rsidP="00163957">
      <w:pPr>
        <w:pStyle w:val="TextoNormal"/>
      </w:pPr>
    </w:p>
    <w:p w:rsidR="00163957" w:rsidRDefault="00163957" w:rsidP="00163957">
      <w:pPr>
        <w:pStyle w:val="TextoNormal"/>
      </w:pPr>
      <w:r>
        <w:t>El art. 27 LBRL, tras la redacción dada por el art. 1.10 de la Ley de racionalización y sostenibilidad de la Administración local, sigue permitiendo que el Estado y las Comunidades Autónomas deleguen el ejercicio de sus competencias respectivas en los municipios (apartado 1). Se trata de las llamadas “competencias delegadas” (art. 7.3 LBRL) o “atribuidas por delegación” (art. 7.1 LBRL); competencias ejercidas bajo la dirección y el control de la entidad territorial titular, pero cuya efectividad exige la aceptación municipal. La nueva regulación se orienta a garantizar la suficiencia financiera del municipio, mejorar el servicio a la ciudadanía, incrementar la transparencia de los servicios públicos y contribuir a los procesos de racionalización administrativa, evitando duplicidades administrativas y generando un ahorro neto de recursos.</w:t>
      </w:r>
    </w:p>
    <w:p w:rsidR="00163957" w:rsidRDefault="00163957" w:rsidP="00163957">
      <w:pPr>
        <w:pStyle w:val="TextoNormal"/>
      </w:pPr>
    </w:p>
    <w:p w:rsidR="00163957" w:rsidRDefault="00163957" w:rsidP="00163957">
      <w:pPr>
        <w:pStyle w:val="TextoNormal"/>
      </w:pPr>
      <w:r>
        <w:t>Por otro lado, el régimen básico de las demás competencias municipales ha sufrido relevantes modificaciones. La Ley de racionalización y sostenibilidad de la Administración local reformula la redacción de los arts. 7.4, 25 y 26 LBRL y deroga el art. 28 LBRL. Con todo ello intenta, según su exposición de motivos, “definir con precisión las competencias que deben ser desarrolladas por la Administración local, diferenciándolas de las competencias estatales y autonómicas”. El nuevo régimen básico de las competencias de titularidad municipal puede resumirse de este modo.</w:t>
      </w:r>
    </w:p>
    <w:p w:rsidR="00163957" w:rsidRDefault="00163957" w:rsidP="00163957">
      <w:pPr>
        <w:pStyle w:val="TextoNormal"/>
      </w:pPr>
    </w:p>
    <w:p w:rsidR="00163957" w:rsidRDefault="00163957" w:rsidP="00163957">
      <w:pPr>
        <w:pStyle w:val="TextoNormal"/>
      </w:pPr>
      <w:r>
        <w:t>a) Las competencias “propias” se atribuirán a los municipios de modo específico y a través de normas (estatales o autonómicas) con rango de ley (art. 25, apartados 3 y 5, LBRL). Estas normas deben en cada caso: 1) “evaluar la conveniencia de la implantación de servicios locales conforme a los principios de descentralización, eficiencia, estabilidad y sostenibilidad financiera”; 2) “prever la dotación de los recursos necesarios para asegurar la suficiencia financiera de las Entidades Locales, sin que ello pueda conllevar en ningún caso un mayor gasto de las Administraciones Públicas”; 3) “ir acompañada de una memoria económica que refleje el impacto sobre los recursos financieros de las Administraciones Públicas afectadas y el cumplimiento de los principios de estabilidad, sostenibilidad financiera y eficiencia del servicio o la actividad” y, si la ley es estatal, “de un informe del Ministerio de Hacienda y Administraciones Públicas en el que se acrediten los criterios antes señalados”; 4) garantizar que “no se produce una atribución simultánea de la misma competencia a otra Administración pública” (apartados 3, 4 y 5 del art. 25 LBRL).</w:t>
      </w:r>
    </w:p>
    <w:p w:rsidR="00163957" w:rsidRDefault="00163957" w:rsidP="00163957">
      <w:pPr>
        <w:pStyle w:val="TextoNormal"/>
      </w:pPr>
    </w:p>
    <w:p w:rsidR="00163957" w:rsidRDefault="00163957" w:rsidP="00163957">
      <w:pPr>
        <w:pStyle w:val="TextoNormal"/>
      </w:pPr>
      <w:r>
        <w:t xml:space="preserve">b) La nueva redacción del art. 25.2 LBRL, en línea con la anterior, identifica las materias dentro las que el municipio debe tener “en todo caso” competencias “propias” (art. 25.2 LBRL). Este artículo no atribuye competencias; introduce condiciones a la legislación que </w:t>
      </w:r>
      <w:r>
        <w:lastRenderedPageBreak/>
        <w:t>las confiera. La atribución en sentido estricto sigue correspondiendo a la legislación sectorial estatal y a las Comunidades Autónomas, cada cual en el marco de sus competencias. El art. 25.2 LBRL sigue funcionando, por tanto, como una garantía legal (básica) de autonomía municipal (arts. 137 y 140 CE) a través de la cual el legislador básico identifica materias de interés local para que dentro de ellas las leyes atribuyan en todo caso competencias propias en función de ese interés local [STC 214/1989, FJ 3 a) y b)]. A este respecto, la novedad es la relativa constricción de esa garantía legal como consecuencia de la reducción o supresión de algunas materias incluidas en el listado de la redacción anterior del art. 25.2; en especial la asistencia social y la atención primaria de la salud.</w:t>
      </w:r>
    </w:p>
    <w:p w:rsidR="00163957" w:rsidRDefault="00163957" w:rsidP="00163957">
      <w:pPr>
        <w:pStyle w:val="TextoNormal"/>
      </w:pPr>
    </w:p>
    <w:p w:rsidR="00163957" w:rsidRDefault="00163957" w:rsidP="00163957">
      <w:pPr>
        <w:pStyle w:val="TextoNormal"/>
      </w:pPr>
      <w:r>
        <w:t>c) Las leyes pueden atribuir competencias propias a los municipios en materias distintas de las enumeradas en el art. 25.2 LBRL, quedando vinculadas en todo caso a las exigencias reseñadas (apartados 3, 4 y 5). Así resulta del tenor literal del art. 25.2 LBRL, conforme al que las materias enumeradas son solo un espacio dentro del cual los municipios deben disponer “en todo caso” de competencias “propias”, sin prohibir que la ley atribuya otras en materias distintas.</w:t>
      </w:r>
    </w:p>
    <w:p w:rsidR="00163957" w:rsidRDefault="00163957" w:rsidP="00163957">
      <w:pPr>
        <w:pStyle w:val="TextoNormal"/>
      </w:pPr>
    </w:p>
    <w:p w:rsidR="00163957" w:rsidRDefault="00163957" w:rsidP="00163957">
      <w:pPr>
        <w:pStyle w:val="TextoNormal"/>
      </w:pPr>
      <w:r>
        <w:t>La interpretación de que las “competencias propias” municipales no son solo las atribuidas dentro de los márgenes del art. 25.2 LBRL resulta igualmente de previsiones generales de la Ley reguladora de las bases de régimen local que han permanecido inalteradas. Así, la precisión de que “las competencias de las Entidades locales son propias o atribuidas por delegación” (art. 7.1 LBRL) y la obligación de que “la legislación del Estado y la de las Comunidades Autónomas, reguladora de los distintos sectores de acción pública, según la distribución constitucional de competencias”, garantice “la efectividad de la autonomía garantizada constitucionalmente a las Entidades Locales” y el “derecho” de “los Municipios, las Provincias y las Islas” a “intervenir en cuantos asuntos afecten directamente al círculo de sus intereses, atribuyéndoles las competencias que proceda en atención a las características de la actividad pública de que se trate y a la capacidad de gestión de la Entidad Local, de conformidad con los principios de descentralización, proximidad, eficacia y eficiencia” (art. 2.1 LBRL). Respecto de este último precepto, la Ley de racionalización y sostenibilidad de la Administración local solo ha incluido un último inciso para añadir la “estricta sujeción a la normativa de estabilidad presupuestaria y sostenibilidad financiera” como límite a la atribución de competencias locales (art. 1.1, apartado 1).</w:t>
      </w:r>
    </w:p>
    <w:p w:rsidR="00163957" w:rsidRDefault="00163957" w:rsidP="00163957">
      <w:pPr>
        <w:pStyle w:val="TextoNormal"/>
      </w:pPr>
    </w:p>
    <w:p w:rsidR="00163957" w:rsidRDefault="00163957" w:rsidP="00163957">
      <w:pPr>
        <w:pStyle w:val="TextoNormal"/>
      </w:pPr>
      <w:r>
        <w:t>Debe, pues, excluirse la interpretación de que los municipios solo pueden obtener competencias propias en las materias enumeradas en el art. 25.2 LBRL. Si el Estado quisiera apoyarse en el art. 149.1.18 CE para interferir de modo tan penetrante en las competencias de las Comunidades Autónomas (prohibiendo con carácter general que estas atribuyan competencias propias a los municipios de su ámbito territorial en cualesquiera otras materias), tendría que haberlo establecido expresa o inequívocamente. Por lo demás, semejante prohibición, indiscriminada y general, sería manifiestamente invasiva de las competencias de las Comunidades Autónomas. Consecuentemente, en los ámbitos excluidos del listado del art. 25.2 LBRL, las Comunidades Autónomas pueden decidir si, y hasta qué punto, los municipios deben tener competencias propias, pero sujetándose a las exigencias de los apartados 3, 4 y 5 del art. 25 LBRL; además de a las garantías de autonomía local previstas en la Constitución y, en su caso, en los Estatutos de Autonomía.</w:t>
      </w:r>
    </w:p>
    <w:p w:rsidR="00163957" w:rsidRDefault="00163957" w:rsidP="00163957">
      <w:pPr>
        <w:pStyle w:val="TextoNormal"/>
      </w:pPr>
    </w:p>
    <w:p w:rsidR="00163957" w:rsidRDefault="00163957" w:rsidP="00163957">
      <w:pPr>
        <w:pStyle w:val="TextoNormal"/>
      </w:pPr>
      <w:r>
        <w:lastRenderedPageBreak/>
        <w:t xml:space="preserve">A este respecto, debe realizarse aún otra precisión. El tenor literal de los apartados 3 y 4 del art. 25 LBRL podría dar lugar a entender que las exigencias que contienen operan solo en la atribución de competencias propias reconducibles al listado de materias del apartado 2. Sin embargo, tanto la </w:t>
      </w:r>
      <w:r w:rsidRPr="00163957">
        <w:rPr>
          <w:i/>
        </w:rPr>
        <w:t>voluntas legis</w:t>
      </w:r>
      <w:r>
        <w:t xml:space="preserve"> como la </w:t>
      </w:r>
      <w:r w:rsidRPr="00163957">
        <w:rPr>
          <w:i/>
        </w:rPr>
        <w:t>voluntas legislatoris</w:t>
      </w:r>
      <w:r>
        <w:t xml:space="preserve"> son, claramente, que la atribución de todas las competencias propias, también las relativas a otras materias, se ajuste a las condiciones que aquellos apartados recogen: 1) evaluación conforme a los principios de descentralización, eficiencia, estabilidad y sostenibilidad financiera; 2) análisis del impacto sobre los recursos financieros de las Administraciones Públicas afectadas y el cumplimiento de los principios de estabilidad, sostenibilidad financiera y eficiencia del servicio o la actividad; 3) dotación de recursos necesarios para asegurar la suficiencia financiera del ente local sin que suponga mayor gasto de las Administraciones públicas. De otro modo se llegaría al absurdo de que el legislador básico habría puesto más trabas a la atribución de competencias propias, dentro de las materias que considera de claro interés municipal, que a la atribución de competencias propias en los demás ámbitos materiales, donde el interés local puede ser bajo o inexistente y el riesgo de desequilibrio presupuestario, quizá, más intenso.</w:t>
      </w:r>
    </w:p>
    <w:p w:rsidR="00163957" w:rsidRDefault="00163957" w:rsidP="00163957">
      <w:pPr>
        <w:pStyle w:val="TextoNormal"/>
      </w:pPr>
    </w:p>
    <w:p w:rsidR="00163957" w:rsidRDefault="00163957" w:rsidP="00163957">
      <w:pPr>
        <w:pStyle w:val="TextoNormal"/>
      </w:pPr>
      <w:r>
        <w:t>d) La Ley de racionalización y sostenibilidad de la Administración local suprime las reglas generales habilitantes previstas en la anterior redacción de los arts. 25.1 y 28 LBRL. En particular, modifica la redacción del apartado 1 del art. 25 con el fin de que la atribución de competencias “propias” quede sujeta a las exigencias de los apartados 2 a 5. Los municipios no pueden apoyarse en el art. 25.1 LBRL para entenderse autorizados a promover cualesquiera actividades y servicios relacionados con las necesidades y aspiraciones de la comunidad vecinal. La Ley de racionalización y sostenibilidad de la Administración local deroga expresamente en paralelo el art. 28 LBRL, conforme al que los municipios podían “realizar actividades complementarias de las propias de otras Administraciones públicas y, en particular, las relativas a la educación, la cultura, la promoción de la mujer, la vivienda, la sanidad y la protección del medio ambiente”.</w:t>
      </w:r>
    </w:p>
    <w:p w:rsidR="00163957" w:rsidRDefault="00163957" w:rsidP="00163957">
      <w:pPr>
        <w:pStyle w:val="TextoNormal"/>
      </w:pPr>
    </w:p>
    <w:p w:rsidR="00163957" w:rsidRDefault="00163957" w:rsidP="00163957">
      <w:pPr>
        <w:pStyle w:val="TextoNormal"/>
      </w:pPr>
      <w:r>
        <w:t>En sustitución de aquellas reglas habilitantes generales, se establece otra que permite a los municipios (y a todos las entidades locales) ejercer cualesquiera competencias, pero con sujeción a exigentes condiciones materiales y formales (art. 7.4 LBRL, en la redacción dada por el art. 1.3 de la Ley de racionalización y sostenibilidad de la Administración local). Estas competencias se llamaban “impropias” en el anteproyecto. En el art. 7.4 LBRL reciben la denominación de “competencias distintas de las propias y de las atribuidas por delegación”. Su ejercicio no requiere de una habilitación legal específica, pero es posible solo si: 1) no hay riesgo para la sostenibilidad financiera de la hacienda municipal; 2) no se produce la ejecución simultánea del mismo servicio con otra Administración; 3) hay informe previo vinculante de la Administración competente por razón de la materia (que señale la inexistencia de duplicidades) y de la Administración que tenga atribuida la tutela financiera (sobre la sostenibilidad financiera de las nuevas competencias).</w:t>
      </w:r>
    </w:p>
    <w:p w:rsidR="00163957" w:rsidRDefault="00163957" w:rsidP="00163957">
      <w:pPr>
        <w:pStyle w:val="TextoNormal"/>
      </w:pPr>
    </w:p>
    <w:p w:rsidR="00163957" w:rsidRDefault="00163957" w:rsidP="00163957">
      <w:pPr>
        <w:pStyle w:val="TextoNormal"/>
      </w:pPr>
      <w:r>
        <w:t xml:space="preserve">Cumplidas estas exigencias, el municipio podrá ejercer la competencia “en régimen de autonomía y bajo la propia responsabilidad, atendiendo siempre a la debida coordinación en su programación y ejecución con las demás Administraciones Públicas” (art. 7.2 LBRL). Por eso la doctrina las ha denominado, en positivo, competencias “propias generales”. Se distinguen de las competencias propias del art. 25 LBRL, no por el nivel de autonomía de que dispone el municipio que las ejerce, sino por la forma en que están atribuidas. Si las </w:t>
      </w:r>
      <w:r>
        <w:lastRenderedPageBreak/>
        <w:t>reguladas en el art. 25 LBRL son competencias determinadas por la ley sectorial, las previstas en el art. 7.4 LBRL están directamente habilitadas por el legislador básico, quedando su ejercicio sujeto a la indicada serie de condiciones.</w:t>
      </w:r>
    </w:p>
    <w:p w:rsidR="00163957" w:rsidRDefault="00163957" w:rsidP="00163957">
      <w:pPr>
        <w:pStyle w:val="TextoNormal"/>
      </w:pPr>
    </w:p>
    <w:p w:rsidR="00163957" w:rsidRDefault="00163957" w:rsidP="00163957">
      <w:pPr>
        <w:pStyle w:val="TextoNormal"/>
      </w:pPr>
      <w:r>
        <w:t>e) Junto a esta regla habilitante general, hay las reglas habilitantes específicas incluidas en la propia legislación básica. La nueva redacción del art. 26 LBRL (dada por el art. 1.9 de la Ley de racionalización y sostenibilidad de la Administración local) mantiene un listado de servicios mínimos y, con ello, la obligación y consiguiente habilitación directa a los municipios en orden a su establecimiento. La novedad es que suprime o reduce el alcance de algunas obligaciones prestacionales recogidas en la redacción anterior. Por ejemplo, ya no es obligatorio que todos los municipios presten el servicio de “control de alimentos y bebidas”, ni que los de más de 20.000 habitantes lleven a cabo la “prestación de servicios sociales”.</w:t>
      </w:r>
    </w:p>
    <w:p w:rsidR="00163957" w:rsidRDefault="00163957" w:rsidP="00163957">
      <w:pPr>
        <w:pStyle w:val="TextoNormal"/>
      </w:pPr>
    </w:p>
    <w:p w:rsidR="00163957" w:rsidRDefault="00163957" w:rsidP="00163957">
      <w:pPr>
        <w:pStyle w:val="TextoNormal"/>
      </w:pPr>
      <w:r w:rsidRPr="00163957">
        <w:rPr>
          <w:rStyle w:val="NumeroAFNegritaCaracter"/>
        </w:rPr>
        <w:t>11</w:t>
      </w:r>
      <w:r>
        <w:t>. Se está así ya en condiciones de resolver las impugnaciones relacionadas con la ordenación de las competencias municipales. El recurso razona la inconstitucionalidad del art. 27 LBRL (en la redacción dada por el art. 1.10 de la Ley de racionalización y sostenibilidad de la Administración local) en conexión con el art. 7.4 LBRL (en la redacción dada por el art. 1.3 de la Ley de racionalización y sostenibilidad de la Administración local), así como de la disposición adicional novena de la Ley de racionalización y sostenibilidad de la Administración local.</w:t>
      </w:r>
    </w:p>
    <w:p w:rsidR="00163957" w:rsidRDefault="00163957" w:rsidP="00163957">
      <w:pPr>
        <w:pStyle w:val="TextoNormal"/>
      </w:pPr>
    </w:p>
    <w:p w:rsidR="00163957" w:rsidRDefault="00163957" w:rsidP="00163957">
      <w:pPr>
        <w:pStyle w:val="TextoNormal"/>
      </w:pPr>
      <w:r>
        <w:t>El recurso considera que la delegación es una técnica instrumental de libre ejercicio por parte del titular de la competencia y, por tanto, una fórmula respecto de la que la Comunidad Autónoma ha de tener plena disponibilidad. El art. 27 LBRL, aunque no cierra las materias susceptibles de delegación, regularía de manera tan detallada sus condiciones (alcanza a las características, duración mínima o mecanismos de control de la eficiencia), que podría considerarse una extralimitación en el ejercicio de la competencia básica estatal. El art. 7.4 LBRL vulneraría igualmente la Constitución al disponer que las Comunidades Autónomas preverán técnicas de dirección y control de oportunidad y eficiencia. En el contexto del sistema de distribución de competencias locales que establece la Ley de racionalización y sostenibilidad de la Administración local, estas técnicas impedirían que los Ayuntamientos desarrollen competencias propias. La disposición adicional novena de la Ley de racionalización y sostenibilidad de la Administración local desbordaría igualmente el art. 149.1.18 CE toda vez que impone para el 31 de diciembre de 2014 la adaptación a la Ley de los convenios ya suscritos entre las Comunidades Autónomas y los entes locales que conllevan financiación de las competencias delegadas, quedando sin efecto en caso contrario.</w:t>
      </w:r>
    </w:p>
    <w:p w:rsidR="00163957" w:rsidRDefault="00163957" w:rsidP="00163957">
      <w:pPr>
        <w:pStyle w:val="TextoNormal"/>
      </w:pPr>
    </w:p>
    <w:p w:rsidR="00163957" w:rsidRDefault="00163957" w:rsidP="00163957">
      <w:pPr>
        <w:pStyle w:val="TextoNormal"/>
      </w:pPr>
      <w:r>
        <w:t xml:space="preserve">a) La nueva redacción del art. 27 LBRL, más que ocupar mayor espacio normativo que la versión anterior, altera el sentido político de la delegación de competencias en los municipios. Conforme a la redacción anterior, la delegación servía esencialmente para extender el poder local a competencias cuya titularidad retiene la Comunidad Autónoma o el Estado, por predominar los intereses supralocales sobre los municipales. La delegación permite proteger los intereses locales involucrados (mediante la descentralización del ejercicio de la competencia en los entes locales) sin riesgo para los intereses supralocales que justifican la centralización de la titularidad (siguen tutelados mediante las facultades de dirección y control que se reserva la entidad delegante y que acepta la entidad delegada). El nuevo régimen no es ajeno a esta lógica, pero desarrolla otra hasta ahora menos presente: la delegación </w:t>
      </w:r>
      <w:r>
        <w:lastRenderedPageBreak/>
        <w:t>como mecanismo de reducción de costes en la gestión de las competencias autonómicas y estatales. El propio precepto dispone que la delegación garantizará la suficiencia financiera del municipio, mejorará el servicio a la ciudadanía, incrementará la transparencia de los servicios públicos y contribuirá a los procesos de racionalización administrativa, evitando duplicidades administrativas y generando un ahorro neto de recursos (apartados 1 y 3).</w:t>
      </w:r>
    </w:p>
    <w:p w:rsidR="00163957" w:rsidRDefault="00163957" w:rsidP="00163957">
      <w:pPr>
        <w:pStyle w:val="TextoNormal"/>
      </w:pPr>
    </w:p>
    <w:p w:rsidR="00163957" w:rsidRDefault="00163957" w:rsidP="00163957">
      <w:pPr>
        <w:pStyle w:val="TextoNormal"/>
      </w:pPr>
      <w:r>
        <w:t xml:space="preserve">Alguna previsión del art. 27 LBRL está directamente relacionada con la suficiencia financiera del municipio [STC 233/1999, FJ 4 b)], estableciendo normas comunes de la actividad de las distintas haciendas que aseguran los principios constitucionales de eficacia y economía (STC 130/2013, FJ 9); de modo que, si no conecta con el art. 149.1.14 CE, es, al menos, una base del régimen local </w:t>
      </w:r>
      <w:r w:rsidRPr="00163957">
        <w:rPr>
          <w:i/>
        </w:rPr>
        <w:t>ex</w:t>
      </w:r>
      <w:r>
        <w:t xml:space="preserve"> art. 149.1.18 CE. Así, en particular, la exigencia de que la delegación vaya siempre acompañada de la correspondiente financiación con la consiguiente dotación presupuestaria adecuada y suficiente en los presupuestos de la Administración delegante para cada ejercicio económico correspondiente (apartado 6, párrafo primero).</w:t>
      </w:r>
    </w:p>
    <w:p w:rsidR="00163957" w:rsidRDefault="00163957" w:rsidP="00163957">
      <w:pPr>
        <w:pStyle w:val="TextoNormal"/>
      </w:pPr>
    </w:p>
    <w:p w:rsidR="00163957" w:rsidRDefault="00163957" w:rsidP="00163957">
      <w:pPr>
        <w:pStyle w:val="TextoNormal"/>
      </w:pPr>
      <w:r>
        <w:t>Respecto del art. 27 LBRL en su conjunto hay que tener en cuenta que la legislación básica del régimen local (art. 149.1.18 CE) “comprende los principios o bases, relativos a los aspectos institucionales —organizativos y funcionales— y a las competencias locales” (STC 103/2013, FJ 4, citando la STC 214/1989, FFJJ 1 a 4). Entre estos aspectos se halla, sin duda, la delegación (SSTC 214/1989, FFJJ 11 y 27, y 233/1999, FJ 37, en relación con la delegación de competencias estatales en los entes locales y de las competencias locales en las entidades territoriales supralocales).</w:t>
      </w:r>
    </w:p>
    <w:p w:rsidR="00163957" w:rsidRDefault="00163957" w:rsidP="00163957">
      <w:pPr>
        <w:pStyle w:val="TextoNormal"/>
      </w:pPr>
    </w:p>
    <w:p w:rsidR="00163957" w:rsidRDefault="00163957" w:rsidP="00163957">
      <w:pPr>
        <w:pStyle w:val="TextoNormal"/>
      </w:pPr>
      <w:r>
        <w:t>A través del precepto controvertido, el legislador básico ha pretendido poner el régimen de las competencias delegadas al servicio de la eficacia de la actuación administrativa (art. 103.1 CE), la eficiencia en el gasto público (art. 31.2 CE) y la estabilidad presupuestaria (art. 135 CE). El precepto fija un tope temporal (la delegación “no podrá ser inferior a cinco años”) y requisitos formales (memoria económica y contenidos de la disposición o acuerdo de delegación) (apartados 1 y 7), pero permanece en el terreno de los principios y criterios generales, precisando que el modo en que las competencias delegadas hayan de ejercerse dependerá de la legislación aplicable; estatal o autonómica, según corresponda (apartado 8). Recoge un listado detallado de competencias que el Estado y las Comunidades Autónomas “podrán delegar” (apartado 3), pero no impone la delegación ni impide que se produzca en otras materias.</w:t>
      </w:r>
    </w:p>
    <w:p w:rsidR="00163957" w:rsidRDefault="00163957" w:rsidP="00163957">
      <w:pPr>
        <w:pStyle w:val="TextoNormal"/>
      </w:pPr>
    </w:p>
    <w:p w:rsidR="00163957" w:rsidRDefault="00163957" w:rsidP="00163957">
      <w:pPr>
        <w:pStyle w:val="TextoNormal"/>
      </w:pPr>
      <w:r>
        <w:t xml:space="preserve">Al condicionar la efectividad de la delegación a la aceptación municipal (apartado 5), establece una base destinada a “concretar la autonomía local constitucionalmente garantizada” (SSTC 103/2013, FJ 4, y 143/2013, de 11 de julio, FJ 3). Lo mismo cabe afirmar respecto de otra serie de previsiones que, vinculadas a la suficiencia financiera del municipio fusionado, son bases del régimen local cuando no normas sobre haciendas locales </w:t>
      </w:r>
      <w:r w:rsidRPr="00163957">
        <w:rPr>
          <w:i/>
        </w:rPr>
        <w:t>ex</w:t>
      </w:r>
      <w:r>
        <w:t xml:space="preserve"> art. 149.1.14 CE: el ente local puede renunciar a la delegación si la Administración delegante incumple sus obligaciones financieras o ante la imposibilidad suficientemente justificada de desempeñar la competencia delegada sin menoscabo en el ejercicio de las competencias propias (apartado 7); puede también compensar las obligaciones financieras incumplidas por la Administración delegante con los créditos que ésta tenga frente a él (apartado 6, párrafo segundo).</w:t>
      </w:r>
    </w:p>
    <w:p w:rsidR="00163957" w:rsidRDefault="00163957" w:rsidP="00163957">
      <w:pPr>
        <w:pStyle w:val="TextoNormal"/>
      </w:pPr>
    </w:p>
    <w:p w:rsidR="00163957" w:rsidRDefault="00163957" w:rsidP="00163957">
      <w:pPr>
        <w:pStyle w:val="TextoNormal"/>
      </w:pPr>
      <w:r>
        <w:lastRenderedPageBreak/>
        <w:t>La STC 233/1999 afirmó que “ha de entenderse dictado en el ejercicio de la competencia básica del Estado en materia de hacienda local” un régimen de compensación de créditos del Estado y los entes locales en alguna medida similar al establecido ahora para créditos recíprocos de los entes locales y las Comunidades Autónomas. Responde al fin de simplificar las relaciones (consideradas desde la perspectiva presupuestaria) entre la Administración estatal y local en el plano financiero. Se trata de evitar así una innecesaria reiteración de procedimientos administrativos en garantía de los principios constitucionales de eficacia y coordinación que, con carácter general, deben presidir las relaciones entre las Administraciones Públicas (art. 103.1 C.E.), sin que una previsión de este tipo tenga por qué afectar en sí misma a la suficiencia financiera de las Haciendas locales, también constitucionalmente garantizada” [FJ 41 c)].</w:t>
      </w:r>
    </w:p>
    <w:p w:rsidR="00163957" w:rsidRDefault="00163957" w:rsidP="00163957">
      <w:pPr>
        <w:pStyle w:val="TextoNormal"/>
      </w:pPr>
    </w:p>
    <w:p w:rsidR="00163957" w:rsidRDefault="00163957" w:rsidP="00163957">
      <w:pPr>
        <w:pStyle w:val="TextoNormal"/>
      </w:pPr>
      <w:r>
        <w:t>A su vez, las facultades de control y dirección atribuidas a la Administración delegante (apartado 1, segundo párrafo, y apartado 4), ya previstas en la redacción anterior, son consubstanciales a la técnica de la delegación sin que supongan en modo alguno vulneración de la garantía constitucional de la autonomía local (arts. 137, 140 y 141 CE). Su fundamento se halla, por un lado, en que el ente local tiene la libertad de aceptar o rechazar la delegación y, por otro, en que la Administración delegante es titular de la competencia sin que pueda desentenderse de los intereses supralocales que justifican que haya retenido la titularidad.</w:t>
      </w:r>
    </w:p>
    <w:p w:rsidR="00163957" w:rsidRDefault="00163957" w:rsidP="00163957">
      <w:pPr>
        <w:pStyle w:val="TextoNormal"/>
      </w:pPr>
    </w:p>
    <w:p w:rsidR="00163957" w:rsidRDefault="00163957" w:rsidP="00163957">
      <w:pPr>
        <w:pStyle w:val="TextoNormal"/>
      </w:pPr>
      <w:r>
        <w:t>b) El recurso de inconstitucionalidad ha puesto en conexión los controles previstos en el art. 27 LBRL con los regulados en el art. 7.4 LBRL (sobre las competencias locales “distintas de las propias y de las atribuidas por delegación”), pese a que, en realidad, son de muy diversa naturaleza, según razonamos a continuación.</w:t>
      </w:r>
    </w:p>
    <w:p w:rsidR="00163957" w:rsidRDefault="00163957" w:rsidP="00163957">
      <w:pPr>
        <w:pStyle w:val="TextoNormal"/>
      </w:pPr>
    </w:p>
    <w:p w:rsidR="00163957" w:rsidRDefault="00163957" w:rsidP="00163957">
      <w:pPr>
        <w:pStyle w:val="TextoNormal"/>
      </w:pPr>
      <w:r>
        <w:t>El art. 7.4 LBRL encierra una regla habilitante general que permite a los entes locales el ejercicio de competencias no atribuidas específicamente, aunque solo ante exigentes condiciones, entre las que están los informes previos y vinculantes de la Administración competente por razón de la materia y de la Administración que tenga atribuida la tutela financiera. Las condiciones que impone el art. 7.4 LBRL no se proyectan sobre el sentido que haya de dar el ente local a la competencia, sino sobre la posibilidad misma de su ejercicio. A través de ellas, la Administración autonómica puede llegar a impedir que el municipio ejerza una competencia que no está específicamente atribuida por ley, pero no condicionar el modo en que desarrollará la efectivamente autorizada. Cumplidas las exigencias del art. 7.4 LBRL, el ente local podrá llevar a cabo la tarea “en régimen de autonomía y bajo la propia responsabilidad, atendiendo siempre a la debida coordinación en su programación y ejecución con las demás Administraciones Públicas” (art. 7.2 LBRL).</w:t>
      </w:r>
    </w:p>
    <w:p w:rsidR="00163957" w:rsidRDefault="00163957" w:rsidP="00163957">
      <w:pPr>
        <w:pStyle w:val="TextoNormal"/>
      </w:pPr>
    </w:p>
    <w:p w:rsidR="00163957" w:rsidRDefault="00163957" w:rsidP="00163957">
      <w:pPr>
        <w:pStyle w:val="TextoNormal"/>
      </w:pPr>
      <w:r>
        <w:t>Para valorar si el art. 7.4 LBRL es compatible con la garantía de la autonomía local, no resulta aplicable la doctrina constitucional relativa a los controles sobre los entes locales que, inaugurada en la STC 4/1981, de 2 de febrero, hemos resumido recientemente en la STC 154/2015, de 9 de julio, FFJJ 6 y 8. Los controles que diseña el art. 7.4 LBRL son, en cierto modo, técnicas para la delimitación de las competencias locales, no instrumentos que permiten a una Administración supralocal interferir en el desarrollo autónomo de las competencias locales efectivamente delimitadas o atribuidas.</w:t>
      </w:r>
    </w:p>
    <w:p w:rsidR="00163957" w:rsidRDefault="00163957" w:rsidP="00163957">
      <w:pPr>
        <w:pStyle w:val="TextoNormal"/>
      </w:pPr>
    </w:p>
    <w:p w:rsidR="00163957" w:rsidRDefault="00163957" w:rsidP="00163957">
      <w:pPr>
        <w:pStyle w:val="TextoNormal"/>
      </w:pPr>
      <w:r>
        <w:t xml:space="preserve">Corresponde entonces aplicar la doctrina constitucional relativa a los límites que los arts. 137, 140 y 141 CE imponen a la atribución (o supresión) de competencias locales. Conforme </w:t>
      </w:r>
      <w:r>
        <w:lastRenderedPageBreak/>
        <w:t>a esta doctrina, al distribuir poder local, el Estado y las Comunidades Autónomas disponen de “libertad de configuración”, pero deben graduar “el alcance o intensidad de la intervención local ‘en función de la relación existente entre los intereses locales y supralocales dentro de tales asuntos o materias’” [STC 154/2015, FJ 6 a), citando las SSTC 32/1981, FJ 4, 170/1989, FJ 9, 51/2004, FJ 9, 95/2014, FJ 5; 57/2015, FJ 6, y 92/2015, FJ 4]. Habría vulneración de la autonomía local solo si a través de aquellos informes y exigencias materiales, el art. 7.4 LBRL hubiera impedido que los municipios intervengan en los asuntos que les afectan con un grado de participación tendencialmente correlativo a la intensidad de sus intereses.</w:t>
      </w:r>
    </w:p>
    <w:p w:rsidR="00163957" w:rsidRDefault="00163957" w:rsidP="00163957">
      <w:pPr>
        <w:pStyle w:val="TextoNormal"/>
      </w:pPr>
    </w:p>
    <w:p w:rsidR="00163957" w:rsidRDefault="00163957" w:rsidP="00163957">
      <w:pPr>
        <w:pStyle w:val="TextoNormal"/>
      </w:pPr>
      <w:r>
        <w:t>Resulta evidente que tal imposibilidad no se produce en el contexto de un modelo básico que atribuye directamente determinadas competencias a los entes locales (art. 26 LBRL), permite a las leyes (estatales y autonómicas) atribuir específicamente competencias propias o, incluso, obliga a que lo hagan “en todo caso” dentro de determinados ámbitos materiales (art. 25.2 LBRL). A su vez, el art. 7.4 LBRL se apoya en intereses supralocales (vinculados a la racionalización de las Administraciones públicas, la sostenibilidad financiera y la estabilidad presupuestaria) para restringir la posibilidad de ejercicio de “competencias distintas de las propias y de las atribuidas por delegación”.</w:t>
      </w:r>
    </w:p>
    <w:p w:rsidR="00163957" w:rsidRDefault="00163957" w:rsidP="00163957">
      <w:pPr>
        <w:pStyle w:val="TextoNormal"/>
      </w:pPr>
    </w:p>
    <w:p w:rsidR="00163957" w:rsidRDefault="00163957" w:rsidP="00163957">
      <w:pPr>
        <w:pStyle w:val="TextoNormal"/>
      </w:pPr>
      <w:r>
        <w:t>Por otra parte, las Administraciones que han de elaborar los informes previos están directamente vinculadas por la garantía constitucional de la autonomía local. Son ellas —no el art. 7.4 LBRL— las que podrían llegar a incurrir en la vulneración denunciada si impidieran efectivamente en casos concretos una intervención local relevante en ámbitos de interés local exclusivo o predominante, sin perjuicio de los amplios márgenes de apreciación que abren los arts. 137, 140 y 141 CE. Consecuentemente, la impugnación del art. 7.4 LBRL, en cuanto a que los controles previstos vulnerarían la garantía constitucional de la autonomía local, debe reputarse “preventiva” y, por ello, desestimable [por todas, SSTC 111/2013, de 9 de mayo, FJ 4, y 182/2014, de 6 de noviembre, FJ 2 e)].</w:t>
      </w:r>
    </w:p>
    <w:p w:rsidR="00163957" w:rsidRDefault="00163957" w:rsidP="00163957">
      <w:pPr>
        <w:pStyle w:val="TextoNormal"/>
      </w:pPr>
    </w:p>
    <w:p w:rsidR="00163957" w:rsidRDefault="00163957" w:rsidP="00163957">
      <w:pPr>
        <w:pStyle w:val="TextoNormal"/>
      </w:pPr>
      <w:r>
        <w:t>Así lo ha especificado la doctrina constitucional en relación con preceptos que centralizan en la Administración autonómica facultades de planeamiento urbanístico, que es una competencia de fuerte interés municipal [SSTC 40/1998, de 19 de febrero, FJ 39; 159/2001, FJ 4; 204/2002, de 31 de octubre, FJ 13; AATC 193/2015, de 18 de noviembre, FJ 3 a) y 194/2015, de 18 de noviembre, FJ 3 a)]. La STC 154/2015, FJ 6 e), en particular, ha desarrollado esta doctrina con relación a un precepto que permitía a la Consejería competente establecerse como Administración actuante para la formulación, tramitación y aprobación de instrumentos de planeamiento en las delimitaciones de reserva de terrenos para el patrimonio autonómico de suelo: “el precepto impugnado no es contrario a la garantía constitucional de la autonomía municipal (arts. 137 y 140 CE), sin perjuicio de que la jurisdicción contencioso-administrativa podrá controlar las eventuales extralimitaciones en que incurra la Administración autonómica al ejercer las competencias urbanísticas atribuidas y, en particular, la concurrencia de intereses supralocales legitimantes, la efectiva apertura de canales de participación local durante todas las fases del planeamiento así como la asignación a la intervención local del peso correspondiente a los intereses municipales afectados”.</w:t>
      </w:r>
    </w:p>
    <w:p w:rsidR="00163957" w:rsidRDefault="00163957" w:rsidP="00163957">
      <w:pPr>
        <w:pStyle w:val="TextoNormal"/>
      </w:pPr>
    </w:p>
    <w:p w:rsidR="00163957" w:rsidRDefault="00163957" w:rsidP="00163957">
      <w:pPr>
        <w:pStyle w:val="TextoNormal"/>
      </w:pPr>
      <w:r>
        <w:t xml:space="preserve">c) La disposición adicional novena de la Ley de racionalización y sostenibilidad de la Administración local obliga a adaptar a lo previsto en ella los “convenios, acuerdos y demás </w:t>
      </w:r>
      <w:r>
        <w:lastRenderedPageBreak/>
        <w:t>instrumentos de cooperación” ya suscritos a la entrada en vigor de la Ley que “lleven aparejada cualquier tipo de financiación destinada a sufragar el ejercicio de las competencias locales delegadas o “distintas a las enumeradas en los artículos 25 y 27 LBRL”. Tales convenios, acuerdos o instrumentos “quedarán sin efecto” si el Estado y las Comunidades Autónomas no han cumplido la obligación de adaptación antes del 31 de diciembre de 2014.</w:t>
      </w:r>
    </w:p>
    <w:p w:rsidR="00163957" w:rsidRDefault="00163957" w:rsidP="00163957">
      <w:pPr>
        <w:pStyle w:val="TextoNormal"/>
      </w:pPr>
    </w:p>
    <w:p w:rsidR="00163957" w:rsidRDefault="00163957" w:rsidP="00163957">
      <w:pPr>
        <w:pStyle w:val="TextoNormal"/>
      </w:pPr>
      <w:r>
        <w:t>La norma adolece de imprecisión, pero está evidentemente destinada a asegurar que las Comunidades Autónomas y el propio Estado cumplan el principio de suficiencia financiera de los entes locales (art. 142 CE), en general, y el art. 27.6 LBRL, en particular. Este último establece que “la delegación habrá de ir acompañada en todo caso de la correspondiente financiación, para lo cual será necesaria la existencia de dotación presupuestaria adecuada y suficiente en los presupuestos de la Administración delegante para cada ejercicio económico, siendo nula sin dicha dotación”.</w:t>
      </w:r>
    </w:p>
    <w:p w:rsidR="00163957" w:rsidRDefault="00163957" w:rsidP="00163957">
      <w:pPr>
        <w:pStyle w:val="TextoNormal"/>
      </w:pPr>
    </w:p>
    <w:p w:rsidR="00163957" w:rsidRDefault="00163957" w:rsidP="00163957">
      <w:pPr>
        <w:pStyle w:val="TextoNormal"/>
      </w:pPr>
      <w:r>
        <w:t>La disposición controvertida, estando relacionada con la suficiencia financiera del municipio (art. 142 CE) y destinada a garantizar la efectividad de normas comunes de la actividad de las distintas haciendas que aseguran los principios constitucionales de eficacia y economía, si no se encuadra en el art. 149.1.14 CE [SSTC 233/1999, FJ 4 b) y 130/2013, FJ 9], resulta claramente amparada por el art. 149.1.18 CE. Ambos títulos dan cobertura, con diferente alcance, a una regulación sobre competencias delegadas e instrumentos de cooperación y, con ello, a normas como la aquí controvertida, que delimitan el ámbito de aplicación y los efectos de esa regulación.</w:t>
      </w:r>
    </w:p>
    <w:p w:rsidR="00163957" w:rsidRDefault="00163957" w:rsidP="00163957">
      <w:pPr>
        <w:pStyle w:val="TextoNormal"/>
      </w:pPr>
    </w:p>
    <w:p w:rsidR="00163957" w:rsidRDefault="00163957" w:rsidP="00163957">
      <w:pPr>
        <w:pStyle w:val="TextoNormal"/>
      </w:pPr>
      <w:r>
        <w:t>La disposición impugnada no implica estrictamente la supresión de instrumentos de cooperación, en general, y de convenios de delegación, en particular. Por un lado, exige su adaptación a un régimen cuya fijación corresponde al Estado y, por otro, establece que el incumplimiento de ese régimen lleva aparejada la extinción. El mantenimiento de los convenios, acuerdos y mecanismos de colaboración depende así de la voluntad de los entes territoriales que los han suscrito y de que estos respeten una norma a cuyo cumplimiento están constitucionalmente obligados (arts. 9, apartados 1 y 3, y 103.1 CE). Consecuentemente, procede desestimar la impugnación.</w:t>
      </w:r>
    </w:p>
    <w:p w:rsidR="00163957" w:rsidRDefault="00163957" w:rsidP="00163957">
      <w:pPr>
        <w:pStyle w:val="TextoNormal"/>
      </w:pPr>
    </w:p>
    <w:p w:rsidR="00163957" w:rsidRDefault="00163957" w:rsidP="00163957">
      <w:pPr>
        <w:pStyle w:val="TextoNormal"/>
      </w:pPr>
      <w:r w:rsidRPr="00163957">
        <w:rPr>
          <w:rStyle w:val="NumeroAFNegritaCaracter"/>
        </w:rPr>
        <w:t>12</w:t>
      </w:r>
      <w:r>
        <w:t>. Se impugna el art. 25 LBRL, en la redacción dada por el art. 1.8 de la Ley de racionalización y sostenibilidad de la Administración local, también en conexión con el art. 7.4 LBRL, en la redacción dada por el art. 1.3 de la Ley de racionalización y sostenibilidad de la Administración local.</w:t>
      </w:r>
    </w:p>
    <w:p w:rsidR="00163957" w:rsidRDefault="00163957" w:rsidP="00163957">
      <w:pPr>
        <w:pStyle w:val="TextoNormal"/>
      </w:pPr>
    </w:p>
    <w:p w:rsidR="00163957" w:rsidRDefault="00163957" w:rsidP="00163957">
      <w:pPr>
        <w:pStyle w:val="TextoNormal"/>
      </w:pPr>
      <w:r>
        <w:t xml:space="preserve">a) Según el recurso, el art. 25, en combinación con el art. 7.4, ambos de la LBRL, en la redacción dada por la Ley de racionalización y sostenibilidad de la Administración local, degradaría al legislador autonómico en el ejercicio de sus competencias estatutarias y a los municipios en la calidad de las atribuciones recibidas. Su apartado 2 del art. 25 LBRL fijaría un listado </w:t>
      </w:r>
      <w:r w:rsidRPr="00163957">
        <w:rPr>
          <w:i/>
        </w:rPr>
        <w:t>numerus clausus</w:t>
      </w:r>
      <w:r>
        <w:t xml:space="preserve"> que cierra el ámbito material dentro del cual los municipios pueden ejercer competencias propias. Impediría que las Comunidades Autónomas ejerzan sus competencias para ampliar las municipales. También que los Ayuntamientos puedan desarrollar las competencias propias que tienen garantizadas en algunos Estatutos de Autonomía.</w:t>
      </w:r>
    </w:p>
    <w:p w:rsidR="00163957" w:rsidRDefault="00163957" w:rsidP="00163957">
      <w:pPr>
        <w:pStyle w:val="TextoNormal"/>
      </w:pPr>
    </w:p>
    <w:p w:rsidR="00163957" w:rsidRDefault="00163957" w:rsidP="00163957">
      <w:pPr>
        <w:pStyle w:val="TextoNormal"/>
      </w:pPr>
      <w:r>
        <w:lastRenderedPageBreak/>
        <w:t>Frente a la interpretación del art. 25.2 LBRL que propone la Asamblea legislativa de Extremadura, cabe reiterar en línea con el Abogado del Estado que, en realidad, la norma indica solo las materias dentro de las cuales las leyes estatales y autonómicas deben necesariamente (“en todo caso”) atribuir competencias propias a los municipios. Fuera de las materias enumeradas, las Comunidades Autónomas están liberadas de esta restricción, por lo que podrán atribuir o quitar competencias municipales propias sin más límites que los derivados de la Constitución (arts. 103.1, 135, 137, 140), los apartados 3, 4 y 5 del art. 25 LBRL y, en su caso, los Estatutos de Autonomía. No es solo que esta interpretación fluya con naturalidad; es que la opuesta que propone el recurso es imposible en ausencia de una determinación legal inequívoca en ese sentido y, además, manifiestamente contraria al sistema constitucional de distribución competencial, según se ha razonado ya. Consecuentemente, el art. 25.2 LBRL, al no imponer la limitación que el recurso le atribuye, no puede vulnerar las competencias estatutarias de las Comunidades Autónomas.</w:t>
      </w:r>
    </w:p>
    <w:p w:rsidR="00163957" w:rsidRDefault="00163957" w:rsidP="00163957">
      <w:pPr>
        <w:pStyle w:val="TextoNormal"/>
      </w:pPr>
    </w:p>
    <w:p w:rsidR="00163957" w:rsidRDefault="00163957" w:rsidP="00163957">
      <w:pPr>
        <w:pStyle w:val="TextoNormal"/>
      </w:pPr>
      <w:r>
        <w:t>Bajo la perspectiva de los entes locales, el art. 25.2 LBRL: 1) eleva el mínimo de autonomía municipal que garantiza la Constitución (arts. 137 y 140 CE), en la medida en que indica específicamente materias de interés local para que las leyes asignen competencias propias en función de ese interés local; 2) no impide que, en cualesquiera otros ámbitos materiales, siga operando la garantía constitucional de la autonomía local, traducida en que el legislador (estatal o autonómico), al ejercer “su libertad de configuración” “gradúe el alcance o intensidad de la intervención local ‘en función de la relación existente entre los intereses locales y supralocales dentro de tales asuntos o materias’” [STC 154/2015, FJ 6 a), citando las SSTC 32/1981, FJ 4, 170/1989, FJ 9, 51/2004, FJ 9, 95/2014, FJ 5; 57/2015, FJ 6, y 92/2015, FJ 4]. Por tanto, la nueva redacción del art. 25.2 LBRL, no solo no vulnera la garantía constitucional de la autonomía local, sino que la eleva en alguna medida en línea con la redacción anterior.</w:t>
      </w:r>
    </w:p>
    <w:p w:rsidR="00163957" w:rsidRDefault="00163957" w:rsidP="00163957">
      <w:pPr>
        <w:pStyle w:val="TextoNormal"/>
      </w:pPr>
    </w:p>
    <w:p w:rsidR="00163957" w:rsidRDefault="00163957" w:rsidP="00163957">
      <w:pPr>
        <w:pStyle w:val="TextoNormal"/>
      </w:pPr>
      <w:r>
        <w:t>La desaparición, en la nueva redacción del art. 25.2 LBRL, de algunas materias recogidas en la anterior no es contraria a la garantía constitucional de la autonomía local. Tales exclusiones significan que en determinados ámbitos el legislador básico ha dejado de ampliar el mínimo de autonomía local que garantiza la Constitución y, por tanto, que dentro de ellos la Comunidad Autónoma o el legislador sectorial estatal pueden atribuir competencias propias municipales, pero sin estar obligados a hacerlo “en todo caso”. Consecuentemente, el legislador competente según la materia conserva la capacidad de distribuir poder local en los ámbitos excluidos con sujeción a la garantía constitucional de la autonomía municipal (arts. 137 y 140 CE) y a los principios de eficiencia, eficacia y estabilidad presupuestaria (arts. 31.2, 103.1 y 135 CE); además de a las exigencias derivadas de los apartados 3, 4 y 5 del art. 25 LBRL y, en el caso de las Comunidades Autónomas, a las indicaciones que eventualmente incluyan los Estatutos de Autonomía.</w:t>
      </w:r>
    </w:p>
    <w:p w:rsidR="00163957" w:rsidRDefault="00163957" w:rsidP="00163957">
      <w:pPr>
        <w:pStyle w:val="TextoNormal"/>
      </w:pPr>
    </w:p>
    <w:p w:rsidR="00163957" w:rsidRDefault="00163957" w:rsidP="00163957">
      <w:pPr>
        <w:pStyle w:val="TextoNormal"/>
      </w:pPr>
      <w:r>
        <w:t>Por otra parte, es verdad que, tal como destaca el recurso de inconstitucionalidad, el Estatuto de Autonomía, en tanto que “norma institucional básica” (art. 147.1 CE), puede contener las “líneas fundamentales o la regulación esencial” del régimen local en el ámbito territorial la Comunidad Autónoma. Ahora bien, también hemos dicho que esa regulación esencial vincula solo al legislador autonómico y únicamente en la medida en que no contradiga el régimen dictado en ejercicio de “la competencia básica que al Estado corresponde en la materia en virtud de la reserva del art. 149.1.18 CE” (SSTC 31/2010, de 28 de junio, FJ 36; 103/2013, FJ 4).</w:t>
      </w:r>
    </w:p>
    <w:p w:rsidR="00163957" w:rsidRDefault="00163957" w:rsidP="00163957">
      <w:pPr>
        <w:pStyle w:val="TextoNormal"/>
      </w:pPr>
    </w:p>
    <w:p w:rsidR="00163957" w:rsidRDefault="00163957" w:rsidP="00163957">
      <w:pPr>
        <w:pStyle w:val="TextoNormal"/>
      </w:pPr>
      <w:r>
        <w:t>Procede, por tanto, desestimar la impugnación del art. 25.2, en relación con el art. 7.4, ambos LBRL, en la redacción dada por los apartados 8 y 3, respectivamente, del art. 1 de la Ley de racionalización y sostenibilidad de la Administración local.</w:t>
      </w:r>
    </w:p>
    <w:p w:rsidR="00163957" w:rsidRDefault="00163957" w:rsidP="00163957">
      <w:pPr>
        <w:pStyle w:val="TextoNormal"/>
      </w:pPr>
    </w:p>
    <w:p w:rsidR="00163957" w:rsidRDefault="00163957" w:rsidP="00163957">
      <w:pPr>
        <w:pStyle w:val="TextoNormal"/>
      </w:pPr>
      <w:r>
        <w:t>b) Los apartados 3 y 5 del art. 25 LBRL desbordarían, según el recurso, los límites del art. 149.1.18 CE al exigir que las Comunidades Autónomas determinen específicamente las competencias municipales propias. La Comunidad Autónoma no podría ya atribuir competencias locales mediante cláusulas generales ni, por tanto, reconocer al municipio un ámbito de libertad para decidir sus tareas. Ello supondría, para las Comunidades Autónomas, una injerencia injustificada en sus competencias y, para los municipios, una degradación igualmente injustificada de su autonomía. La única cláusula general con que estos cuentan es la recogida en el art. 7.4 LBRL, que establece múltiples restricciones. De modo que el juego conjunto de los apartados 3 y 5 del art. 25 y el art. 7.4, todos de la Ley reguladora de las bases de régimen local, vulneraría el sistema constitucional de distribución competencial y la garantía de la autonomía municipal (arts. 137 y 140 CE).</w:t>
      </w:r>
    </w:p>
    <w:p w:rsidR="00163957" w:rsidRDefault="00163957" w:rsidP="00163957">
      <w:pPr>
        <w:pStyle w:val="TextoNormal"/>
      </w:pPr>
    </w:p>
    <w:p w:rsidR="00163957" w:rsidRDefault="00163957" w:rsidP="00163957">
      <w:pPr>
        <w:pStyle w:val="TextoNormal"/>
      </w:pPr>
      <w:r>
        <w:t>Bajo la óptica de las Comunidades Autónomas, los apartados 3 y 5 del art. 25 LBRL impiden, en efecto, que estas atribuyan competencias propias mediante cláusulas generales, abiertas o indeterminadas. Ahora bien, ello no es más que una opción política del legislador básico, que está autorizado a diseñar el modelo dentro del cual ha de moverse la asignación de competencias municipales [SSTC 214/1989, FJ 3 a) y b), 159/2001, FJ 4, 121/2012, FJ 7]. Desde la perspectiva de la garantía constitucional de la autonomía local (art. 137 CE), ese modelo debe asegurar necesariamente que los municipios puedan intervenir en los asuntos que les afectan con un nivel de participación tendencialmente correspondiente a la intensidad de los intereses implicados.</w:t>
      </w:r>
    </w:p>
    <w:p w:rsidR="00163957" w:rsidRDefault="00163957" w:rsidP="00163957">
      <w:pPr>
        <w:pStyle w:val="TextoNormal"/>
      </w:pPr>
    </w:p>
    <w:p w:rsidR="00163957" w:rsidRDefault="00163957" w:rsidP="00163957">
      <w:pPr>
        <w:pStyle w:val="TextoNormal"/>
      </w:pPr>
      <w:r>
        <w:t>No puede producirse la vulneración de los arts. 137 y 140 CE solo porque el art. 25 LBRL exija concreción a las leyes atributivas de competencias propias municipales. Que los municipios consigan o no la capacidad de intervención que para ellos reclama la Constitución (arts. 137 y 140), dependerá de lo que establezcan unas leyes que ahora deben ser necesariamente específicas, sin que la sola proscripción de la cláusula general como técnica de distribución de poder local vulnere por sí la autonomía local constitucionalmente garantizada. En todo caso, la propia Ley reguladora de las bases de régimen local contiene una cláusula general que puede llegar a permitir que los entes locales desplieguen competencias no específicamente atribuidas por ley. Se trata de una previsión que ya hemos examinado bajo la óptica de la garantía constitucional de la autonomía local y sobre la que corresponde volver ahora desde la perspectiva de las competencias de las Comunidades Autónomas.</w:t>
      </w:r>
    </w:p>
    <w:p w:rsidR="00163957" w:rsidRDefault="00163957" w:rsidP="00163957">
      <w:pPr>
        <w:pStyle w:val="TextoNormal"/>
      </w:pPr>
    </w:p>
    <w:p w:rsidR="00163957" w:rsidRDefault="00163957" w:rsidP="00163957">
      <w:pPr>
        <w:pStyle w:val="TextoNormal"/>
      </w:pPr>
      <w:r>
        <w:t xml:space="preserve">El art. 7.4 LBRL contiene una habilitación que permite a los entes locales ejercer competencias en cualesquiera ámbitos materiales. Al prever que los entes locales “podrán ejercer competencias distintas de las propias y de las atribuidas por delegación”, el legislador básico viene a atribuir directamente competencias locales en materias de competencia autonómica y, por tanto, en ámbitos donde en principio solo las Comunidades Autónomas tienen capacidad para asignar poder local. Sin embargo, la posibilidad de ejercer esas competencias queda sujeta a exigentes condiciones; entre ellas, informes previos y vinculantes de las propias Comunidades Autónomas. Consecuentemente, no puede afirmarse que el Estado haya </w:t>
      </w:r>
      <w:r>
        <w:lastRenderedPageBreak/>
        <w:t>atribuido de manera indiscriminada y general competencias locales en materias que los Estatutos de Autonomía reservan a las Comunidades Autónomas, ni que haya sacrificado relevantes intereses supralocales o autonómicos.</w:t>
      </w:r>
    </w:p>
    <w:p w:rsidR="00163957" w:rsidRDefault="00163957" w:rsidP="00163957">
      <w:pPr>
        <w:pStyle w:val="TextoNormal"/>
      </w:pPr>
    </w:p>
    <w:p w:rsidR="00163957" w:rsidRDefault="00163957" w:rsidP="00163957">
      <w:pPr>
        <w:pStyle w:val="TextoNormal"/>
      </w:pPr>
      <w:r>
        <w:t>Cabe trasladar aquí la doctrina constitucional relativa a la “cláusula competencial genérica” que incluía el art. 28 LBRL: “esas ‘actividades complementarías’ en forma alguna menoscaban o se configuran como un obstáculo a las competencias que corresponden al Estado o a las Comunidades Autónomas. Razón por la cual difícilmente puede admitirse la consecuencia que, desde la perspectiva del ámbito competencial de la Comunidad Autónoma de Galicia, las entidades recurrentes anudan a esa habilitación que prevé el art. 28 LBRL” (STC 214/1989, FJ 12). Por tanto, el art. 7.4 LBRL no vulnera las competencias estatutarias de las Comunidades Autónomas como tampoco la garantía constitucional de la autonomía local (arts. 137, 140 y 141 CE), tal como se ha razonado en el fundamento jurídico anterior.</w:t>
      </w:r>
    </w:p>
    <w:p w:rsidR="00163957" w:rsidRDefault="00163957" w:rsidP="00163957">
      <w:pPr>
        <w:pStyle w:val="TextoNormal"/>
      </w:pPr>
    </w:p>
    <w:p w:rsidR="00163957" w:rsidRDefault="00163957" w:rsidP="00163957">
      <w:pPr>
        <w:pStyle w:val="TextoNormal"/>
      </w:pPr>
      <w:r>
        <w:t>Procede, pues, desestimar la impugnación del art. 25, apartados 3 y 5, en relación con el art. 7.4, ambos LBRL, en la redacción dada por los arts. 1.8 y 1.3 de la Ley de racionalización y sostenibilidad de la Administración local.</w:t>
      </w:r>
    </w:p>
    <w:p w:rsidR="00163957" w:rsidRDefault="00163957" w:rsidP="00163957">
      <w:pPr>
        <w:pStyle w:val="TextoNormal"/>
      </w:pPr>
    </w:p>
    <w:p w:rsidR="00163957" w:rsidRDefault="00163957" w:rsidP="00163957">
      <w:pPr>
        <w:pStyle w:val="TextoNormal"/>
      </w:pPr>
      <w:r>
        <w:t>c) El recurso razona igualmente que el apartado 4 del art. 25 LBRL viene a prohibir que las Comunidades Autónomas descentralicen competencias propias en los entes locales cuando ello suponga mayor gasto. La posibilidad de que la Comunidad Autónoma atribuya competencias municipales habría pasado a depender del simple coste correspondiente al ejercicio de la competencia en cuestión, considerado individualmente, sin relación con el conjunto de la situación financiera y presupuestaria de las Administraciones públicas. Ello entrañaría la violación de la garantía constitucional de la autonomía local y de las competencias estatutarias de las Comunidades Autónomas.</w:t>
      </w:r>
    </w:p>
    <w:p w:rsidR="00163957" w:rsidRDefault="00163957" w:rsidP="00163957">
      <w:pPr>
        <w:pStyle w:val="TextoNormal"/>
      </w:pPr>
    </w:p>
    <w:p w:rsidR="00163957" w:rsidRDefault="00163957" w:rsidP="00163957">
      <w:pPr>
        <w:pStyle w:val="TextoNormal"/>
      </w:pPr>
      <w:r>
        <w:t xml:space="preserve">El inciso final del art. 25.4 LBRL constituye una “medida orientada a la finalidad del gasto, que el legislador estatal puede adoptar al amparo de su competencia exclusiva en materia de hacienda general </w:t>
      </w:r>
      <w:r w:rsidRPr="00163957">
        <w:rPr>
          <w:i/>
        </w:rPr>
        <w:t>ex</w:t>
      </w:r>
      <w:r>
        <w:t xml:space="preserve"> art. 149.1.14 CE, en la vertiente del gasto público, conforme a la cual al Estado le corresponde, como ya dijimos, no sólo la regulación del régimen jurídico de la ordenación de los gastos de la Administración del Estado, sino también el establecimiento de las normas y principios comunes de la actividad financiera de las distintas haciendas que tiendan a asegurar los principios constitucionales que deben regir el gasto público, entre los que se encuentra el principio de eficiencia y economía (art. 31.2 CE)” (STC 130/2013, FJ 9).</w:t>
      </w:r>
    </w:p>
    <w:p w:rsidR="00163957" w:rsidRDefault="00163957" w:rsidP="00163957">
      <w:pPr>
        <w:pStyle w:val="TextoNormal"/>
      </w:pPr>
    </w:p>
    <w:p w:rsidR="00163957" w:rsidRDefault="00163957" w:rsidP="00163957">
      <w:pPr>
        <w:pStyle w:val="TextoNormal"/>
      </w:pPr>
      <w:r>
        <w:t xml:space="preserve">En realidad, la previsión controvertida no establece una simple prohibición de que las Comunidades Autónomas descentralicen competencias propias en los entes locales cuando ello suponga mayor gasto, tal como alega el recurso. Para las Comunidades Autónomas, la previsión supone que, al diseñar políticas, en general, y redistribuir competencias y recursos entre Administraciones, en particular, debe quedar asegurada la suficiencia financiera de los entes locales y la estabilidad presupuestaria. No queda imposibilitada la atribución de competencias municipales que, aisladamente consideradas, entrañen incrementos del gasto. En tales casos, la norma obliga solo a que las Comunidades Autónomas persigan ahorros correlativos en cualesquiera otros ámbitos de su competencia. El legislador estatal no ha prejuzgado las políticas a las que las Comunidades Autónomas deben dar preferencia. El art. </w:t>
      </w:r>
      <w:r>
        <w:lastRenderedPageBreak/>
        <w:t>25.4 LBRL no vulnera las competencias autonómicas ni impide por sí que los entes locales puedan intervenir en los asuntos que les afectan con un nivel de participación tendencialmente correlativo a la intensidad de los intereses locales involucrados. Consecuentemente, procede desestimar la impugnación del art. 25.4 LBRL, en la redacción dada por el art. 1.8 de la Ley de racionalización y sostenibilidad de la Administración local.</w:t>
      </w:r>
    </w:p>
    <w:p w:rsidR="00163957" w:rsidRDefault="00163957" w:rsidP="00163957">
      <w:pPr>
        <w:pStyle w:val="TextoNormal"/>
      </w:pPr>
    </w:p>
    <w:p w:rsidR="00163957" w:rsidRDefault="00163957" w:rsidP="00163957">
      <w:pPr>
        <w:pStyle w:val="TextoNormal"/>
      </w:pPr>
      <w:r w:rsidRPr="00163957">
        <w:rPr>
          <w:rStyle w:val="NumeroAFNegritaCaracter"/>
        </w:rPr>
        <w:t>13</w:t>
      </w:r>
      <w:r>
        <w:t>. Se impugnan las disposiciones adicionales undécima y decimoquinta y transitorias primera, segunda y tercera de la Ley de racionalización y sostenibilidad de la Administración local.</w:t>
      </w:r>
    </w:p>
    <w:p w:rsidR="00163957" w:rsidRDefault="00163957" w:rsidP="00163957">
      <w:pPr>
        <w:pStyle w:val="TextoNormal"/>
      </w:pPr>
    </w:p>
    <w:p w:rsidR="00163957" w:rsidRDefault="00163957" w:rsidP="00163957">
      <w:pPr>
        <w:pStyle w:val="TextoNormal"/>
      </w:pPr>
      <w:r>
        <w:t>a) Las disposiciones transitorias primera y segunda de la Ley de racionalización y sostenibilidad de la Administración local abordan dos servicios típicamente municipales: “los servicios sociales y de promoción y reinserción social” y “la participación en la gestión de la atención primaria de la salud”. Tales servicios se refieren a materias previstas como autonómicas en los apartados 20 (“asistencia social”) y 21 (“sanidad e higiene”) del art. 148.1 CE y en los Estatutos de Autonomía.</w:t>
      </w:r>
    </w:p>
    <w:p w:rsidR="00163957" w:rsidRDefault="00163957" w:rsidP="00163957">
      <w:pPr>
        <w:pStyle w:val="TextoNormal"/>
      </w:pPr>
    </w:p>
    <w:p w:rsidR="00163957" w:rsidRDefault="00163957" w:rsidP="00163957">
      <w:pPr>
        <w:pStyle w:val="TextoNormal"/>
      </w:pPr>
      <w:r>
        <w:t xml:space="preserve">Se trata de servicios de competencia autonómica habitualmente desplegados en el nivel municipal porque así lo decidieron (o permitieron) las Comunidades Autónomas (al amparo de sus Estatutos) o el Estado (mediante la regulación </w:t>
      </w:r>
      <w:r w:rsidRPr="00163957">
        <w:rPr>
          <w:i/>
        </w:rPr>
        <w:t>ex</w:t>
      </w:r>
      <w:r>
        <w:t xml:space="preserve"> art. 149.1.18 CE de servicios mínimos y habilitaciones directas) o, simplemente, porque fueron desarrollados de hecho por los Ayuntamientos. Vienen a señalarlo las propias disposiciones controvertidas al indicar de modo algo impreciso que la anterior legislación preveía estas tareas “como propias del Municipio” (apartado 1 de ambas disposiciones). Más precisamente, son servicios que, incluidos en el anterior listado de materias del art. 25.2 LBRL, muchos municipios venían prestando, bien de hecho, bien al amparo de normas jurídicas, en particular: 1) legislación autonómica (dictada al amparo de los Estatutos en el marco del art. 25.2 LBRL); 2) las cláusulas generales de la Ley reguladora de las bases de régimen local —antes de que la Ley de racionalización y sostenibilidad de la Administración local las reformulara (art. 25.1 LBRL) o derogara (art. 28 LBRL)—; 3) la habilitación directa para la “prestación de servicios sociales”, configurada como obligatoria en municipios de más de 20.000 habitantes [redacción anterior del art. 26.1 c) LBRL].</w:t>
      </w:r>
    </w:p>
    <w:p w:rsidR="00163957" w:rsidRDefault="00163957" w:rsidP="00163957">
      <w:pPr>
        <w:pStyle w:val="TextoNormal"/>
      </w:pPr>
    </w:p>
    <w:p w:rsidR="00163957" w:rsidRDefault="00163957" w:rsidP="00163957">
      <w:pPr>
        <w:pStyle w:val="TextoNormal"/>
      </w:pPr>
      <w:r>
        <w:t>La Ley de racionalización y sostenibilidad de la Administración local ha excluido estos servicios del elenco de materias dentro de las que “en todo caso” las leyes autonómicas deben atribuir competencias propias (art. 25.2 LBRL, en la redacción dada por el art. 1.8 de la Ley de racionalización y sostenibilidad de la Administración local). A su vez, no las habilita directamente: la “prestación de servicios sociales” [redacción anterior del art. 26.1 c) LBRL] no figura ya entre los servicios mínimos obligatorios en municipios con población superior a 20.000 habitantes [art. 26.1 c) LBRL, en la redacción dada por el art. 1.9 de la Ley de racionalización y sostenibilidad de la Administración local]. Más aún, a través de las disposiciones controvertidas establece la prohibición tanto de que las Comunidades Autónomas atribuyan estos servicios como competencias propias locales como de que los entes locales los desarrollen como competencia “distinta de las propias o atribuidas por delegación” al amparo de la regla general habilitante del art. 7.4 LBRL (en la redacción dada por el art. 1.3 de la Ley de racionalización y sostenibilidad de la Administración local); todo ello aunque con anterioridad estuvieran previstas como competencias “propias del Munici</w:t>
      </w:r>
      <w:r>
        <w:lastRenderedPageBreak/>
        <w:t>pio” y aunque “su ejercicio se hubiese venido realizando por Municipios, Diputaciones Provinciales o entidades equivalentes, o cualquier otra Entidad Local” (apartado 1 de las disposiciones transitorias primera y segunda). Un ente local podrá ejercer tales competencias solo si las recibe por delegación (apartados 4 y 5 de las disposiciones transitorias primera y segunda).</w:t>
      </w:r>
    </w:p>
    <w:p w:rsidR="00163957" w:rsidRDefault="00163957" w:rsidP="00163957">
      <w:pPr>
        <w:pStyle w:val="TextoNormal"/>
      </w:pPr>
    </w:p>
    <w:p w:rsidR="00163957" w:rsidRDefault="00163957" w:rsidP="00163957">
      <w:pPr>
        <w:pStyle w:val="TextoNormal"/>
      </w:pPr>
      <w:r>
        <w:t>Otros preceptos de la Ley de racionalización y sostenibilidad de la Administración local acotan el alcance de esta prohibición. Entre las materias en que, conforme a la nueva redacción del art. 25.2 LBRL, la ley debe “en todo caso” atribuir competencias propias municipales subsisten la “evaluación e información de situaciones de necesidad social y la atención inmediata a personas en situación o riesgo de exclusión social” [letra e)] y otras relacionadas con la salud o la sanidad: “protección de la salubridad pública” [letra j)], “abastecimiento de agua potable a domicilio y evacuación y tratamiento de aguas residuales” [letra c)], “cementerios y actividades funerarias” [(letra k)], “ferias, abastos, mercados, lonjas y comercio ambulante” [letra i)] y “medio ambiente urbano”, que incluye la “gestión de residuos sólidos urbanos y protección contra la contaminación acústica, lumínica y atmosférica en las zonas urbanas” [letra b)]. A su vez, la actual redacción del art. 26.1 c) LBRL habilita directamente a los municipios con población superior a los 20.000 habitantes a ejercer la competencia de “evaluación e información de situaciones de necesidad social y la atención inmediata a personas en situación o riesgo de exclusión social”, que queda establecida como servicio obligatorio. Habilita igualmente competencias relacionadas con la salud y la sanidad estableciéndolas como servicios obligatorios en todos los municipios [apartado 1, letra a): “recogida de residuos” y “abastecimiento de agua potable”] o en los de determinado nivel poblacional [apartado 1, letras b) y d): “tratamiento de residuos” y “medio ambiente urbano”, respectivamente].</w:t>
      </w:r>
    </w:p>
    <w:p w:rsidR="00163957" w:rsidRDefault="00163957" w:rsidP="00163957">
      <w:pPr>
        <w:pStyle w:val="TextoNormal"/>
      </w:pPr>
    </w:p>
    <w:p w:rsidR="00163957" w:rsidRDefault="00163957" w:rsidP="00163957">
      <w:pPr>
        <w:pStyle w:val="TextoNormal"/>
      </w:pPr>
      <w:r>
        <w:t>Consecuentemente, la prohibición de que los municipios ejerzan competencias de asistencia social y atención primaria a la salud (disposiciones transitorias primera y segunda de la Ley de racionalización y sostenibilidad de la Administración local) no se extiende a las concretas tareas asistenciales y sanitarias directamente atribuidas a los Ayuntamientos por el art. 26 LBRL o configuradas como ámbito material dentro del cual la ley autonómica debe conferir “en todo caso” competencias municipales propias (art. 25.2 LBRL). Acotado así el alcance de la prohibición, tratándose de servicios de titularidad autonómica (por virtud de los Estatutos) que el nivel local no puede ya desarrollar (por virtud de las disposiciones impugnadas), la Ley controvertida prevé el traspaso a las Comunidades Autónomas. Incluye, además, normas sobre el modo en que ha producirse el indicado traspaso y la ulterior gestión de los servicios traspasados.</w:t>
      </w:r>
    </w:p>
    <w:p w:rsidR="00163957" w:rsidRDefault="00163957" w:rsidP="00163957">
      <w:pPr>
        <w:pStyle w:val="TextoNormal"/>
      </w:pPr>
    </w:p>
    <w:p w:rsidR="00163957" w:rsidRDefault="00163957" w:rsidP="00163957">
      <w:pPr>
        <w:pStyle w:val="TextoNormal"/>
      </w:pPr>
      <w:r>
        <w:t>Así, la Ley de racionalización y sostenibilidad de la Administración local prevé un “plan para la evaluación, reestructuración e implantación de los servicios” que ha de elaborar la Comunidad Autónoma (apartados 1 y 2 de las disposiciones transitorias primera y segunda). Fija un plazo cerrado (hasta el 31 de diciembre de 2018, en un caso, y hasta el 31 de diciembre de 2015, en otro) para ejecutarlo (apartado 1 de las disposiciones transitorias primera y segunda). En el caso de los servicios sanitarios, la disposición transitoria primera.2 concreta, además, el ritmo del proceso: cada año las Comunidades Autónomas asumirán un veinte por ciento de la gestión de los servicios asociados a las competencias sanitarias mencionadas.</w:t>
      </w:r>
    </w:p>
    <w:p w:rsidR="00163957" w:rsidRDefault="00163957" w:rsidP="00163957">
      <w:pPr>
        <w:pStyle w:val="TextoNormal"/>
      </w:pPr>
    </w:p>
    <w:p w:rsidR="00163957" w:rsidRDefault="00163957" w:rsidP="00163957">
      <w:pPr>
        <w:pStyle w:val="TextoNormal"/>
      </w:pPr>
      <w:r>
        <w:lastRenderedPageBreak/>
        <w:t>A ello se añaden otras condiciones, en particular: a) la Comunidad Autónoma debe sufragar íntegramente estos servicios cuando, habiéndose resistido a asumirlos, el nivel municipal esté llevándolos a cabo; y b) en este caso, si no proporciona al municipio las cuantías precisas, el Estado puede aplicar retenciones en las transferencias que le correspondan en aplicación de su sistema de financiación (apartado 5 de las disposiciones transitorias primera y segunda). La disposición adicional undécima de la Ley de racionalización y sostenibilidad de la Administración local establece otras condiciones, vinculadas a la anterior: la Comunidad Autónoma debe comunicar al Ministerio de Hacienda y Administraciones públicas tanto la asunción de aquellos servicios y competencias como las obligaciones que tuviera reconocidas y estuvieran pendientes de pago a los municipios; todo ello “al objeto de la realización, en los términos que se determinen reglamentariamente, de compensaciones entre los derechos y obligaciones recíprocos, el posterior ingreso del saldo resultante a favor de la Administración que corresponda y, en su caso, recuperación mediante la aplicación de retenciones en el sistema de financiación de la Administración pública que resulte deudora”. Asumida la gestión del servicio, opera igualmente una exigencia relativa al modo en que la Comunidad Autónoma debe llevarla a cabo: “no podrá suponer un mayor gasto para el conjunto de las Administraciones Públicas” (apartado 3 de las disposiciones transitorias primera y segunda).</w:t>
      </w:r>
    </w:p>
    <w:p w:rsidR="00163957" w:rsidRDefault="00163957" w:rsidP="00163957">
      <w:pPr>
        <w:pStyle w:val="TextoNormal"/>
      </w:pPr>
    </w:p>
    <w:p w:rsidR="00163957" w:rsidRDefault="00163957" w:rsidP="00163957">
      <w:pPr>
        <w:pStyle w:val="TextoNormal"/>
      </w:pPr>
      <w:r>
        <w:t xml:space="preserve">b) El recurso de inconstitucionalidad alega que las Comunidades Autónomas son titulares nada más que de las competencias que les atribuyen sus Estatutos. Señala que la ampliación competencial extraestatutaria es posible, pero solo a través de los instrumentos previstos en la Constitución: ley marco (art. 150.1 CE) y ley orgánica de transferencia y delegación (art. 150.2 CE). Solo mediante este tipo de leyes puede el Estado atribuir unilateralmente competencias a las Comunidades Autónomas. Las disposiciones transitorias primera y segunda habrían transferido competencias sin ajustarse al procedimiento constitucionalmente establecido. Admite que las Comunidades Autónomas habían asumido y ejercido competencias en materia de salud y servicios sociales, pero sin incluir las facultades que ahora se les atribuyen. Consecuentemente, el legislador estatal habría desbordado los límites del art. 149.1.18 CE al articular una ampliación extraestatutaria de las competencias autonómicas al margen del procedimiento constitucionalmente establecido. Por otra parte, el recurso razona que las disposiciones transitorias primera.5 y segunda.5 y adicional undécima incurren en inconstitucionalidad por estos motivos y, además, por los que sostienen la impugnación de otros preceptos de la Ley de racionalización y sostenibilidad de la Administración local, que abordaremos después (disposición adicional octava y art. 1.17, que introduce el art. 57 </w:t>
      </w:r>
      <w:r w:rsidRPr="00163957">
        <w:rPr>
          <w:i/>
        </w:rPr>
        <w:t>bis</w:t>
      </w:r>
      <w:r>
        <w:t xml:space="preserve"> LBRL): vulnerarían la reserva de ley orgánica (art. 157.3 CE) y la autonomía financiera garantizada en el art. 156 CE por autorizar al Estado a compensar determinadas deudas contraídas por las Comunidades Autónomas con los créditos resultantes de su sistema de financiación.</w:t>
      </w:r>
    </w:p>
    <w:p w:rsidR="00163957" w:rsidRDefault="00163957" w:rsidP="00163957">
      <w:pPr>
        <w:pStyle w:val="TextoNormal"/>
      </w:pPr>
    </w:p>
    <w:p w:rsidR="00163957" w:rsidRDefault="00163957" w:rsidP="00163957">
      <w:pPr>
        <w:pStyle w:val="TextoNormal"/>
      </w:pPr>
      <w:r>
        <w:t>Según ha quedado expuesto en el fundamento jurídico 9, la Constitución distribuye todo el poder público entre el Estado (las competencias atribuidas por el art. 149 CE) y las Comunidades Autónomas (las competencias atribuidas por los Estatutos de Autonomía y las leyes previstas en los apartados 1 y 2 del art. 150 CE). Los entes locales obtienen solo las atribuciones que les confieran el Estado y las Comunidades Autónomas, que en todo caso deben respetar la garantía constitucional de la autonomía local (arts. 137, 140 y 141 CE) [SSTC 214/1989, FJ 3 a), 159/2001, FJ 4, 121/2012, FJ 7].</w:t>
      </w:r>
    </w:p>
    <w:p w:rsidR="00163957" w:rsidRDefault="00163957" w:rsidP="00163957">
      <w:pPr>
        <w:pStyle w:val="TextoNormal"/>
      </w:pPr>
    </w:p>
    <w:p w:rsidR="00163957" w:rsidRDefault="00163957" w:rsidP="00163957">
      <w:pPr>
        <w:pStyle w:val="TextoNormal"/>
      </w:pPr>
      <w:r>
        <w:lastRenderedPageBreak/>
        <w:t xml:space="preserve">Ninguna de las partes discute que los servicios mencionados en las disposiciones transitorias primera y segunda se refieren a competencias previstas en los apartados 20 (“asistencia social”) y 21 (“sanidad e higiene”) del art. 148.1 CE, efectivamente atribuidas a las Comunidades Autónomas por sus Estatutos de Autonomía. Según ha quedado ya expuesto, se está ante servicios de competencia autonómica que el nivel municipal venía prestando porque así lo decidieron (o permitieron) las Comunidades Autónomas (al amparo de sus Estatutos) o el Estado (mediante la regulación </w:t>
      </w:r>
      <w:r w:rsidRPr="00163957">
        <w:rPr>
          <w:i/>
        </w:rPr>
        <w:t>ex</w:t>
      </w:r>
      <w:r>
        <w:t xml:space="preserve"> art. 149.1.18 CE de servicios mínimos y habilitaciones directas) o, simplemente, porque fueron desarrollados de hecho por los Ayuntamientos.</w:t>
      </w:r>
    </w:p>
    <w:p w:rsidR="00163957" w:rsidRDefault="00163957" w:rsidP="00163957">
      <w:pPr>
        <w:pStyle w:val="TextoNormal"/>
      </w:pPr>
    </w:p>
    <w:p w:rsidR="00163957" w:rsidRDefault="00163957" w:rsidP="00163957">
      <w:pPr>
        <w:pStyle w:val="TextoNormal"/>
      </w:pPr>
      <w:r>
        <w:t xml:space="preserve">La innovación normativa que introducen las disposiciones transitorias primera y segunda no consiste estrictamente en la afirmación de la titularidad autonómica de estos servicios. Consiste, en primer término, en la prohibición de que los entes locales puedan prestarlos como competencias propias o como competencias </w:t>
      </w:r>
      <w:r w:rsidRPr="00163957">
        <w:rPr>
          <w:i/>
        </w:rPr>
        <w:t>ex</w:t>
      </w:r>
      <w:r>
        <w:t xml:space="preserve"> art. 7.4 LBRL. Ello resulta a las claras de la previsión de que los entes locales podrán prestar estos servicios solo de modo transitorio o mediante delegación (apartados 4 y 5 de ambas disposiciones). También de la previsión de que “las Comunidades Autónomas asumirán la titularidad” (apartado 1 de ambas disposiciones), “la gestión de los servicios” (apartado 2 de la disposición transitoria primera) o “la cobertura inmediata de dicha prestación” (apartado 2 de la disposición transitoria segunda). En la medida en que la titularidad era ya autonómica por virtud de los Estatutos, lo que está ordenándose es, simplemente, que el nivel local deje de gestionar aquellos servicios como competencias propias. De modo que el traspaso de la gestión a la Comunidad Autónoma trae causa del doble juego de, por un lado, la prohibición que establecen las previsiones controvertidas y, por otro, las atribuciones competenciales de los Estatutos de Autonomía. En segundo término, las disposiciones impugnadas innovan también en la parte en que regulan tanto el traslado competencial indicado (apartados 1, 2, 4 y 5 de ambas disposiciones) como el modo en que las Comunidades Autónomas gestionarán el servicio (apartado 3 de ambas disposiciones).</w:t>
      </w:r>
    </w:p>
    <w:p w:rsidR="00163957" w:rsidRDefault="00163957" w:rsidP="00163957">
      <w:pPr>
        <w:pStyle w:val="TextoNormal"/>
      </w:pPr>
    </w:p>
    <w:p w:rsidR="00163957" w:rsidRDefault="00163957" w:rsidP="00163957">
      <w:pPr>
        <w:pStyle w:val="TextoNormal"/>
      </w:pPr>
      <w:r>
        <w:t>A la vista de estas consideraciones, no puede afirmarse que el Estado ha vulnerado el art. 150 CE por llevar a cabo una ampliación extraestatutaria de las competencias autonómicas al margen del cauce constitucionalmente previsto. Como afirma el Abogado del Estado, tal ampliación no se produce estrictamente en la medida en que es el propio Estatuto el que atribuyó en su momento a la Comunidad Autónoma la titularidad de las competencias en materia de asistencia social y sanidad sin perjuicio de los títulos de que dispone el Estado, singularmente los apartados 16 y 17 del art. 149.1 CE. Ahora bien, no por ello estas disposiciones dejan de plantear la posible extralimitación competencial que denuncia la Asamblea legislativa de Extremadura.</w:t>
      </w:r>
    </w:p>
    <w:p w:rsidR="00163957" w:rsidRDefault="00163957" w:rsidP="00163957">
      <w:pPr>
        <w:pStyle w:val="TextoNormal"/>
      </w:pPr>
    </w:p>
    <w:p w:rsidR="00163957" w:rsidRDefault="00163957" w:rsidP="00163957">
      <w:pPr>
        <w:pStyle w:val="TextoNormal"/>
      </w:pPr>
      <w:r>
        <w:t>El problema constitucional no es si el Estado ha llevado a cabo una ampliación extraestatutaria de competencias autonómicas, sino si ha desbordado los márgenes de lo básico al establecer que el nivel local no puede desarrollar determinadas competencias (salvo por delegación) e imponer condiciones a un traslado que trae causa en última instancia del propio Estatuto de Autonomía.</w:t>
      </w:r>
    </w:p>
    <w:p w:rsidR="00163957" w:rsidRDefault="00163957" w:rsidP="00163957">
      <w:pPr>
        <w:pStyle w:val="TextoNormal"/>
      </w:pPr>
    </w:p>
    <w:p w:rsidR="00163957" w:rsidRDefault="00163957" w:rsidP="00163957">
      <w:pPr>
        <w:pStyle w:val="TextoNormal"/>
      </w:pPr>
      <w:r>
        <w:t xml:space="preserve">c) En consonancia con la estructura territorial compuesta que diseña el art. 137 CE (STC 82/1982, FJ 4), la Constitución no encomienda en exclusiva la distribución del poder local ni al Estado ni a las Comunidades Autónomas, según se ha recordado ya. Cada cual en el </w:t>
      </w:r>
      <w:r>
        <w:lastRenderedPageBreak/>
        <w:t xml:space="preserve">marco de sus atribuciones ha de regular y conferir competencias a los entes locales. El art. 149.1.18 CE ampara solo una ordenación básica de las condiciones con que el Estado y las Comunidades Autónomas han de atribuir competencias locales [SSTC 214/1989, FJ 3 a) y b), 159/2001, FJ 4, 121/2012, FJ 7]. El Estado solo podrá atribuir competencias locales específicas, o prohibir que éstas se desarrollen en el nivel local, cuando tenga la competencia en la materia o sector de que se trate. En materias de competencia autonómica, solo las Comunidades Autónomas pueden atribuir competencias locales o prohibir que el nivel local las desarrolle; sujetándose en todo caso a las exigencias derivadas de la Constitución (singularmente, arts. 103.1, 135, 137, 140 y 141 CE), las bases del régimen local </w:t>
      </w:r>
      <w:r w:rsidRPr="00163957">
        <w:rPr>
          <w:i/>
        </w:rPr>
        <w:t>ex</w:t>
      </w:r>
      <w:r>
        <w:t xml:space="preserve"> art. 149.1.18 CE y, en su caso, los Estatutos de Autonomía. Ciertamente, las bases pueden llegar a prefigurar específicamente el poder local en materias de competencia autonómica, pero, de acuerdo con lo razonado en el fundamento jurídico 9 de esta Sentencia, solo para garantizar un núcleo homogéneo de derechos prestacionales del vecino; o para atribuir directamente competencias locales, si ello no supone “un obstáculo a las competencias que corresponden” a las Comunidades Autónomas (STC 214/1989, FJ 12).</w:t>
      </w:r>
    </w:p>
    <w:p w:rsidR="00163957" w:rsidRDefault="00163957" w:rsidP="00163957">
      <w:pPr>
        <w:pStyle w:val="TextoNormal"/>
      </w:pPr>
    </w:p>
    <w:p w:rsidR="00163957" w:rsidRDefault="00163957" w:rsidP="00163957">
      <w:pPr>
        <w:pStyle w:val="TextoNormal"/>
      </w:pPr>
      <w:r>
        <w:t>Las disposiciones transitorias primera y segunda de la Ley de racionalización y sostenibilidad de la Administración local han superado claramente estos márgenes. No se limitan a dibujar un marco de límites dentro del cual la Comunidad Autónoma puede ejercer sus competencias estatutarias, para distribuir poder local o habilitar directamente determinadas competencias municipales sin obstaculizar el ejercicio de las atribuciones autonómicas. Al contrario, impiden que las Comunidades Autónomas puedan optar, en materias de su competencia, por descentralizar determinados servicios en los entes locales, obligando a que los asuma la Administración autonómica dentro de plazos cerrados y con determinadas condiciones.</w:t>
      </w:r>
    </w:p>
    <w:p w:rsidR="00163957" w:rsidRDefault="00163957" w:rsidP="00163957">
      <w:pPr>
        <w:pStyle w:val="TextoNormal"/>
      </w:pPr>
    </w:p>
    <w:p w:rsidR="00163957" w:rsidRDefault="00163957" w:rsidP="00163957">
      <w:pPr>
        <w:pStyle w:val="TextoNormal"/>
      </w:pPr>
      <w:r>
        <w:t>Ciertamente, la Ley de racionalización y sostenibilidad de la Administración local halla amparo en el art. 149.1.18 CE cuando impone exigencias a la atribución de competencias propias (art. 25 LBRL) y al ejercicio de las “distintas de las propias y atribuidas por delegación” (art. 7.4 LBRL) para asegurar que el Estado, las Comunidades Autónomas y las propias entidades locales desarrollen un sistema competencial ajustado a los principios de eficacia (art. 103.1 CE), eficiencia (art. 31.2 CE) y estabilidad presupuestaria (art. 135 CE) sin perder de vista la garantía constitucional de la autonomía local (arts. 137, 140 y 141 CE). Las bases están regulando la atribución de competencias locales, pero no atribuyéndolas directamente por sí, ni impidiendo que las Comunidades Autónomas opten por centralizar o descentralizar en el marco de sus Estatutos. La Ley de racionalización y sostenibilidad de la Administración local también se sitúa dentro de aquel título competencial cuando deja de habilitar directamente a los municipios la prestación de servicios sociales, que han desaparecido del listado de servicios mínimos obligatorios (art. 26.1 LBRL). Tal solución tampoco impide por sí que la Comunidad Autónoma decida atribuir a los municipios de su ámbito territorial esa competencia dentro del indicado marco de límites. Del mismo modo, el art. 149.1.18 CE da cobertura a la exclusión de la asistencia social y la sanidad del elenco de materias dentro del cual las leyes deben asegurar que los Ayuntamientos dispongan “en todo caso” de competencias propias (art. 25.2 LBRL). Tampoco esta previsión impide que la Comunidad Autónoma opte por asegurar a los municipios tales competencias con sujeción a las indicadas condiciones básicas.</w:t>
      </w:r>
    </w:p>
    <w:p w:rsidR="00163957" w:rsidRDefault="00163957" w:rsidP="00163957">
      <w:pPr>
        <w:pStyle w:val="TextoNormal"/>
      </w:pPr>
    </w:p>
    <w:p w:rsidR="00163957" w:rsidRDefault="00163957" w:rsidP="00163957">
      <w:pPr>
        <w:pStyle w:val="TextoNormal"/>
      </w:pPr>
      <w:r>
        <w:lastRenderedPageBreak/>
        <w:t>Sin embargo, el indicado título no autoriza injerencias en la autonomía política de las Comunidades Autónomas como son, por un lado, la prohibición de que éstas en materias de su competencia atribuyan servicios a los entes locales y, por otro, la sujeción a un determinado régimen de traslación o traspaso (disposiciones transitorias primera y segunda de la Ley de racionalización y sostenibilidad de la Administración local). Las Comunidades Autónomas, siendo competentes para regular aquellos servicios sociales y sanitarios, son competentes para decidir —con sujeción al indicado marco de límites— sobre su descentralización o centralización y, en este segundo caso, para ordenar el correspondiente proceso de asunción competencial y traspaso de recursos.</w:t>
      </w:r>
    </w:p>
    <w:p w:rsidR="00163957" w:rsidRDefault="00163957" w:rsidP="00163957">
      <w:pPr>
        <w:pStyle w:val="TextoNormal"/>
      </w:pPr>
    </w:p>
    <w:p w:rsidR="00163957" w:rsidRDefault="00163957" w:rsidP="00163957">
      <w:pPr>
        <w:pStyle w:val="TextoNormal"/>
      </w:pPr>
      <w:r>
        <w:t>La Comunidad Autónoma está sometida a los mandatos constitucionales de eficiencia, eficacia y estabilidad presupuestaria (arts. 31.2, 103.1 y 135 CE) -además de a la garantía constitucional de la autonomía municipal (arts. 137 y 140 CE)- así como a las condiciones que establecen ahora los arts. 25 y 7 LBRL —y, en su caso, los Estatutos de Autonomía—. Dentro de este contexto normativo, a ella le debe corresponder la decisión última sobre si los municipios situados en su órbita territorial deben o no prestar servicios reconducibles a los ámbitos competenciales que tiene estatutariamente reservados y, en su caso, sobre el modo en que ha de efectuarse el correspondiente traslado. Al prohibir la descentralización de aquellos servicios, por un lado, y fijar una serie de plazos y condiciones al traspaso, por otro, las disposiciones transitorias primera y segunda de la Ley de racionalización y sostenibilidad de la Administración local han superado el ámbito que la Constitución asigna a una regulación básica sobre atribuciones locales (art. 149.1.18 CE) y, con ello, han invadido las competencias autonómicas de asistencia social y sanidad, recogidas en los apartados 24 y 27, respectivamente, del art. 9 del Estatuto de Autonomía de Extremadura.</w:t>
      </w:r>
    </w:p>
    <w:p w:rsidR="00163957" w:rsidRDefault="00163957" w:rsidP="00163957">
      <w:pPr>
        <w:pStyle w:val="TextoNormal"/>
      </w:pPr>
    </w:p>
    <w:p w:rsidR="00163957" w:rsidRDefault="00163957" w:rsidP="00163957">
      <w:pPr>
        <w:pStyle w:val="TextoNormal"/>
      </w:pPr>
      <w:r>
        <w:t>Ciertamente, las disposiciones controvertidas permiten una forma menor de descentralización: la delegación, que no alcanza a la titularidad, pero sí al ejercicio de la competencia. La efectividad de la delegación exige la aceptación del municipio delegado (art. 27.5 LBRL), lo que impide que las Comunidades Autónomas puedan apoyarse en esta técnica para desarrollar una política competencial propia que los Estatutos de Autonomía ordenan que sea establecida por ellas. A su vez, no porque la Comunidad Autónoma conserve la posibilidad de acudir a esta técnica, el legislador básico estatal deja de traspasar los márgenes del art. 149.1.18 CE al prohibir en ámbitos de competencia autonómica la utilización de otras fórmulas (singularmente, la atribución de aquellos servicios como competencias propias municipales), por un lado, y al fijar condiciones y plazos a un traspaso cuya regulación corresponde a las Comunidades Autónomas en virtud de sus Estatutos, por otro.</w:t>
      </w:r>
    </w:p>
    <w:p w:rsidR="00163957" w:rsidRDefault="00163957" w:rsidP="00163957">
      <w:pPr>
        <w:pStyle w:val="TextoNormal"/>
      </w:pPr>
    </w:p>
    <w:p w:rsidR="00163957" w:rsidRDefault="00163957" w:rsidP="00163957">
      <w:pPr>
        <w:pStyle w:val="TextoNormal"/>
      </w:pPr>
      <w:r>
        <w:t xml:space="preserve">Sin duda alguna, el Estado, a través del ejercicio de sus competencias, singularmente, en lo que ahora importa, en materia de régimen local (art. 149.1.18 CE), tiene la responsabilidad de perseguir los objetivos constitucionales, en general, y los mandatos de eficiencia, eficacia y estabilidad presupuestaria (arts. 31.2, 103.1 y 135 CE), en particular. Por eso, al valorar si el Estado se ha mantenido dentro de los límites de lo básico, no pueden perderse de vista tales objetivos. Sin embargo, tampoco puede olvidarse que aquellas normas constitucionales se dirigen también a las Comunidades Autónomas, que deben darles cumplimiento en el marco de sus atribuciones estatutarias, tanto ejecutivas como normativas (completas o de desarrollo). De ahí que, frente a las alegaciones del Abogado del Estado, hay que insistir en que el art. 135 CE no puede traducirse en una alteración radical de la doctrina </w:t>
      </w:r>
      <w:r>
        <w:lastRenderedPageBreak/>
        <w:t>constitucional que permita al Estado eliminar las competencias que los Estatutos de Autonomía, dentro del marco establecido por la Constitución, asignan a las Comunidades Autónomas para organizar sus servicios.</w:t>
      </w:r>
    </w:p>
    <w:p w:rsidR="00163957" w:rsidRDefault="00163957" w:rsidP="00163957">
      <w:pPr>
        <w:pStyle w:val="TextoNormal"/>
      </w:pPr>
    </w:p>
    <w:p w:rsidR="00163957" w:rsidRDefault="00163957" w:rsidP="00163957">
      <w:pPr>
        <w:pStyle w:val="TextoNormal"/>
      </w:pPr>
      <w:r>
        <w:t>El apartado 1 de esas disposiciones señala que las Comunidades Autónomas asumirán la titularidad de aquellas competencias “de acuerdo con” (o “en los términos previstos en”) “las normas reguladoras del sistema de financiación autonómica y de las Haciendas Locales”. Esta mención no abre la interpretación (que sugiere el Abogado del Estado, aunque la desarrolla solo respecto de la disposición adicional decimoquinta de la Ley de racionalización y sostenibilidad de la Administración local, a la que nos referiremos después) de que las normas que podrían eventualmente incurrir en inconstitucionalidad son, no las disposiciones transitorias primera y segunda, sino las reguladoras del sistema de financiación autonómica y de las haciendas locales.</w:t>
      </w:r>
    </w:p>
    <w:p w:rsidR="00163957" w:rsidRDefault="00163957" w:rsidP="00163957">
      <w:pPr>
        <w:pStyle w:val="TextoNormal"/>
      </w:pPr>
    </w:p>
    <w:p w:rsidR="00163957" w:rsidRDefault="00163957" w:rsidP="00163957">
      <w:pPr>
        <w:pStyle w:val="TextoNormal"/>
      </w:pPr>
      <w:r>
        <w:t>Como destaca el propio Abogado del Estado, las previsiones controvertidas se sitúan en un contexto normativo conforme al que los servicios indicados no son ya, en caso alguno, servicios municipales mínimos (art. 26.1 LBRL en la redacción dada por el art. 1.9 de la Ley de racionalización y sostenibilidad de la Administración local) ni materias sobre las que las leyes autonómicas deben “en todo caso” atribuir competencias municipales propias (art. 25.2 LBRL, en la redacción dada por el art. 1.8 de la Ley de racionalización y sostenibilidad de la Administración local). A la vista de este conjunto normativo se desprende inequívocamente que la intención de las disposiciones transitorias primera y segunda de la Ley de racionalización y sostenibilidad de la Administración local es sustraer los indicados servicios a los entes locales.</w:t>
      </w:r>
    </w:p>
    <w:p w:rsidR="00163957" w:rsidRDefault="00163957" w:rsidP="00163957">
      <w:pPr>
        <w:pStyle w:val="TextoNormal"/>
      </w:pPr>
    </w:p>
    <w:p w:rsidR="00163957" w:rsidRDefault="00163957" w:rsidP="00163957">
      <w:pPr>
        <w:pStyle w:val="TextoNormal"/>
      </w:pPr>
      <w:r>
        <w:t>A su vez, el tenor literal de estas disposiciones “es concluyente y no concede margen a una interpretación conforme con el orden constitucional de distribución de competencias” (en este sentido, recientemente: STC 209/2014, de 18 de diciembre, FJ 4). Para empezar, el título que las acompaña es altamente expresivo: “Asunción por las Comunidades Autónomas de las competencias relativas a la salud” y “Asunción por las Comunidades Autónomas de las competencias relativas a servicios sociales”, respectivamente. Lo mismo cabe afirmar del contenido. Disponen que los entes locales solo podrán prestar estos servicios transitoriamente o por delegación. Establecen además, literalmente, que “las Comunidades Autónomas asumirán la titularidad”, “la gestión de los servicios” o la “cobertura inmediata de dicha prestación” “tras la entrada en vigor de esta Ley” y, más aún, antes de determinada fecha (el 31 de diciembre de 2018, en un caso, y el 31 de diciembre de 2015, en otro); conforme a un “plan para la evaluación, reestructuración e implantación de los servicios” ajustado a un específico ritmo (cada año, la Comunidad Autónoma habrá de asumir el 20 por 100 de la gestión de los servicios sanitarios mencionados). No solo estos: además de regular el modo en que la Comunidad Autónoma habrá de prestar el servicio asumido (“no podrá suponer un mayor gasto para el conjunto de las Administraciones Públicas”), asocian consecuencias represivas al incumplimiento de aquellos concretos plazos. La disposición adicional undécima de la Ley de racionalización y sostenibilidad de la Administración local impone una concreta exigencia a las Comunidades Autónomas (la comunicación al Ministerio de Hacienda de la asunción y de las obligaciones pendientes de pago) a los efectos de efectuar compensaciones de créditos y, en su caso, retenciones con cargo al sistema de financiación de la Administración correspondiente.</w:t>
      </w:r>
    </w:p>
    <w:p w:rsidR="00163957" w:rsidRDefault="00163957" w:rsidP="00163957">
      <w:pPr>
        <w:pStyle w:val="TextoNormal"/>
      </w:pPr>
    </w:p>
    <w:p w:rsidR="00163957" w:rsidRDefault="00163957" w:rsidP="00163957">
      <w:pPr>
        <w:pStyle w:val="TextoNormal"/>
      </w:pPr>
      <w:r>
        <w:lastRenderedPageBreak/>
        <w:t>Consecuentemente, es indudable que las disposiciones transitorias primera y segunda de la Ley de racionalización y sostenibilidad de la Administración local, no porque mencionen las normas reguladoras del sistema de financiación, dejan de desbordar los márgenes de lo básico; imponen claramente la centralización de aquellos servicios y regulan también de modo evidente el consiguiente proceso de traslación competencial. La interpretación que sugiere el Abogado del Estado es demasiado forzada y debe ser en consecuencia rechazada, so pena de “ignorar o desfigurar el sentido de los enunciados legales meridianos” (SSTC 22/1985, de 15 de febrero, FJ 5, y 341/1993, de 18 de noviembre, FJ 2), olvidando “el respeto al propio tenor literal de aquéllos” (STC 222/1992, de 11 de diciembre, FJ 2).</w:t>
      </w:r>
    </w:p>
    <w:p w:rsidR="00163957" w:rsidRDefault="00163957" w:rsidP="00163957">
      <w:pPr>
        <w:pStyle w:val="TextoNormal"/>
      </w:pPr>
    </w:p>
    <w:p w:rsidR="00163957" w:rsidRDefault="00163957" w:rsidP="00163957">
      <w:pPr>
        <w:pStyle w:val="TextoNormal"/>
      </w:pPr>
      <w:r>
        <w:t>Corresponde, pues, declarar la inconstitucionalidad y nulidad de las disposiciones transitorias primera y segunda de la Ley de racionalización y sostenibilidad de la Administración local. También las de la disposición adicional undécima de la Ley de racionalización y sostenibilidad de la Administración local (igualmente impugnada) en la medida que sus previsiones están estrechamente ligadas a aquellas dos transitorias.</w:t>
      </w:r>
    </w:p>
    <w:p w:rsidR="00163957" w:rsidRDefault="00163957" w:rsidP="00163957">
      <w:pPr>
        <w:pStyle w:val="TextoNormal"/>
      </w:pPr>
    </w:p>
    <w:p w:rsidR="00163957" w:rsidRDefault="00163957" w:rsidP="00163957">
      <w:pPr>
        <w:pStyle w:val="TextoNormal"/>
      </w:pPr>
      <w:r>
        <w:t>d) Conforme a la disposición transitoria tercera de la Ley de racionalización y sostenibilidad de la Administración local, “en el plazo de seis meses desde la entrada en vigor de esta Ley, las Comunidades Autónomas prestarán los servicios relativos a la inspección y control sanitario de mataderos, de industrias alimentarias y bebidas que hasta ese momento vinieran prestando los municipios”.</w:t>
      </w:r>
    </w:p>
    <w:p w:rsidR="00163957" w:rsidRDefault="00163957" w:rsidP="00163957">
      <w:pPr>
        <w:pStyle w:val="TextoNormal"/>
      </w:pPr>
    </w:p>
    <w:p w:rsidR="00163957" w:rsidRDefault="00163957" w:rsidP="00163957">
      <w:pPr>
        <w:pStyle w:val="TextoNormal"/>
      </w:pPr>
      <w:r>
        <w:t>La anterior redacción del art. 26.1 a) LBRL habilitaba directamente a todos los municipios españoles la competencia de “control de alimentos y bebidas”, configurándola como servicio mínimo obligatorio. Conforme a la nueva redacción, los municipios no están ya directamente habilitados por el legislador básico para ejercer la competencia de control de alimentos y bebidas. La disposición transitoria tercera de la Ley de racionalización y sostenibilidad de la Administración local lleva esta regulación más lejos. Las Comunidades Autónomas serán quienes “en el plazo de seis meses desde la entrada en vigor de esta Ley” prestarán aquellos servicios “que hasta ese momento vinieran prestando los municipios”; prohibiendo en consecuencia que puedan atribuírselos a los Ayuntamientos como competencia propia.</w:t>
      </w:r>
    </w:p>
    <w:p w:rsidR="00163957" w:rsidRDefault="00163957" w:rsidP="00163957">
      <w:pPr>
        <w:pStyle w:val="TextoNormal"/>
      </w:pPr>
    </w:p>
    <w:p w:rsidR="00163957" w:rsidRDefault="00163957" w:rsidP="00163957">
      <w:pPr>
        <w:pStyle w:val="TextoNormal"/>
      </w:pPr>
      <w:r>
        <w:t>También en este caso la disposición controvertida ha desbordado los márgenes de una regulación básica de las competencias locales (art. 149.1.18 CE), invadiendo con ello las competencias estatutarias de las Comunidades Autónomas al prohibir la descentralización de aquellos servicios y fijar el plazo dentro del cual deben quedar centralizados en la Administración autonómica. Corresponde en consecuencia declarar la inconstitucionalidad y nulidad de la disposición transitoria tercera de la Ley de racionalización y sostenibilidad de la Administración local.</w:t>
      </w:r>
    </w:p>
    <w:p w:rsidR="00163957" w:rsidRDefault="00163957" w:rsidP="00163957">
      <w:pPr>
        <w:pStyle w:val="TextoNormal"/>
      </w:pPr>
    </w:p>
    <w:p w:rsidR="00163957" w:rsidRDefault="00163957" w:rsidP="00163957">
      <w:pPr>
        <w:pStyle w:val="TextoNormal"/>
      </w:pPr>
      <w:r>
        <w:t xml:space="preserve">e) La disposición adicional decimoquinta de la Ley de racionalización y sostenibilidad de la Administración local se refiere a la asunción por parte de las Comunidades Autónomas de otras competencias “que se prevén como propias del Municipio”, relativas a “participar en la vigilancia del cumplimiento de la escolaridad obligatoria y cooperar con las Administraciones educativas correspondientes en la obtención de los solares necesarios para la construcción de nuevos centros docentes, así como la conservación, mantenimiento y vigilancia </w:t>
      </w:r>
      <w:r>
        <w:lastRenderedPageBreak/>
        <w:t>de los edificios de titularidad local destinados a centros públicos de educación infantil, de educación primaria o de educación especial”.</w:t>
      </w:r>
    </w:p>
    <w:p w:rsidR="00163957" w:rsidRDefault="00163957" w:rsidP="00163957">
      <w:pPr>
        <w:pStyle w:val="TextoNormal"/>
      </w:pPr>
    </w:p>
    <w:p w:rsidR="00163957" w:rsidRDefault="00163957" w:rsidP="00163957">
      <w:pPr>
        <w:pStyle w:val="TextoNormal"/>
      </w:pPr>
      <w:r>
        <w:t>En este caso, se da la particularidad de que la nueva redacción del art. 25.2 LBRL se refiere a estos servicios como materia dentro de la que la ley debe “en todo caso” asegurar a los municipios competencias propias [letra n)]. De este modo, la Ley de racionalización y sostenibilidad de la Administración local amplía legalmente el nivel de autonomía local constitucionalmente garantizado respecto de, precisamente, los servicios mencionados en su disposición adicional decimoquinta. Consecuentemente, las Comunidades Autónomas no solo pueden, sino que deben, atribuir necesariamente servicios reconducibles a esta materia y han de hacerlo como competencias propias municipales. Ahora bien, la disposición controvertida establece, inversamente, que “las normas reguladoras del sistema de financiación de las Comunidades Autónomas y de las haciendas locales fijarán los términos en los que las Comunidades Autónomas asumirán la titularidad” de aquellas competencias, “aun cuando hayan sido ejercidas por éstas, por Diputaciones Provinciales o entidades equivalentes, o por cualquier otra Entidad Local”.</w:t>
      </w:r>
    </w:p>
    <w:p w:rsidR="00163957" w:rsidRDefault="00163957" w:rsidP="00163957">
      <w:pPr>
        <w:pStyle w:val="TextoNormal"/>
      </w:pPr>
    </w:p>
    <w:p w:rsidR="00163957" w:rsidRDefault="00163957" w:rsidP="00163957">
      <w:pPr>
        <w:pStyle w:val="TextoNormal"/>
      </w:pPr>
      <w:r>
        <w:t>La Ley de racionalización y sostenibilidad de la Administración local ha incurrido en una evidente antinomia al imponer a las Comunidades Autónomas obligaciones de signo opuesto cuyo cumplimiento simultáneo resulta imposible: respecto de los mismos servicios, la Comunidad Autónoma está obligada, a la vez, a descentralizar y a centralizar. No corresponde a la jurisdicción constitucional “pronunciarse sobre la perfección técnica de las leyes” [por todas, SSTC 53/2014, de 10 de abril, FJ 8, 236/2015, de 19 de noviembre, FJ 3 d)], pero el cumplimiento de la función que le atribuye la Constitución [art. 161 a)] y su Ley Orgánica reguladora [arts. 2.1 a), 27.1 y 28 de la Ley Orgánica del Tribunal Constitucional] exige en este caso la aplicación de cánones ordinarios de interpretación para salvar la antinomia y, con ello, identificar el significado de la disposición adicional decimoquinta de la Ley de racionalización y sostenibilidad de la Administración local como presupuesto lógico del juicio de constitucionalidad que solicita la Asamblea legislativa de Extremadura (SSTC 14/2013, de 31 de enero, FJ 6, y 66/2013, de 14 de marzo, FJ 4).</w:t>
      </w:r>
    </w:p>
    <w:p w:rsidR="00163957" w:rsidRDefault="00163957" w:rsidP="00163957">
      <w:pPr>
        <w:pStyle w:val="TextoNormal"/>
      </w:pPr>
    </w:p>
    <w:p w:rsidR="00163957" w:rsidRDefault="00163957" w:rsidP="00163957">
      <w:pPr>
        <w:pStyle w:val="TextoNormal"/>
      </w:pPr>
      <w:r>
        <w:t xml:space="preserve">A estos efectos, se impone una interpretación que atienda al tenor de la disposición controvertida y a su conexión sistemática, no ya con el art. 25.2 n) LBRL, sino también con las disposiciones transitorias primera, segunda y tercera de la Ley de racionalización y sostenibilidad de la Administración local. A diferencia de estas, la que estamos examinando ahora carece por sí de efectos sobre las Comunidades Autónomas y los entes locales. El tenor literal es inequívoco: “Las normas reguladoras del sistema de financiación de las Comunidades Autónomas y de las haciendas locales fijarán los términos en los que las Comunidades Autónomas asumirán la titularidad de las competencias”. En este caso, y a diferencia de lo previsto en los anteriores, la Ley de racionalización y sostenibilidad de la Administración local no establece plan alguno ni regula un traspaso de servicios mediante ritmos y plazos, ni establece que “tras la entrada en vigor de la Ley” o antes de una determinada fecha, “la Comunidad Autónoma asumirá la titularidad”, “la gestión de los servicios” o la “cobertura inmediata de dicha prestación”. Sin prohibir que los municipios lleven a cabo el servicio como competencia propia, sin permitir que estos los desarrollen solo, en su caso, por delegación y sin fijar plan o calendario alguno, se limita a confiar los “términos en los que las Comunidades Autónomas asumirán la titularidad” a una intervención legislativa eventual y futura, esto es, a las normas reguladoras del sistema de financiación de las Comunidades </w:t>
      </w:r>
      <w:r>
        <w:lastRenderedPageBreak/>
        <w:t>Autónomas y de las haciendas locales, donde “se contemplará el correspondiente traspaso de medios económicos, materiales y personales”.</w:t>
      </w:r>
    </w:p>
    <w:p w:rsidR="00163957" w:rsidRDefault="00163957" w:rsidP="00163957">
      <w:pPr>
        <w:pStyle w:val="TextoNormal"/>
      </w:pPr>
    </w:p>
    <w:p w:rsidR="00163957" w:rsidRDefault="00163957" w:rsidP="00163957">
      <w:pPr>
        <w:pStyle w:val="TextoNormal"/>
      </w:pPr>
      <w:r>
        <w:t>A la vista de lo dispuesto en el art. 25.2 n) LBRL, de la ausencia de una fecha límite para la articulación de un traspaso y, en general, del tenor de la disposición adicional decimoquinta de la Ley de racionalización y sostenibilidad de la Administración local, cabe interpretar que el legislador básico no ha prohibido que la ley autonómica atribuya aquellas tareas como competencia propia municipal. Consecuentemente, las Comunidades Autónomas no están obligadas a centralizarlas; antes bien, están obligadas a asegurar que los municipios dispongan “en todo caso” de competencias propias dentro de ellas [art. 25.2 n) LBRL]. No produciendo los efectos que le asigna el recurrente, la disposición adicional decimoquinta de la Ley de racionalización y sostenibilidad de la Administración local no puede vulnerar el sistema constitucional de distribución competencial.</w:t>
      </w:r>
    </w:p>
    <w:p w:rsidR="00163957" w:rsidRDefault="00163957" w:rsidP="00163957">
      <w:pPr>
        <w:pStyle w:val="TextoNormal"/>
      </w:pPr>
    </w:p>
    <w:p w:rsidR="00163957" w:rsidRDefault="00163957" w:rsidP="00163957">
      <w:pPr>
        <w:pStyle w:val="TextoNormal"/>
      </w:pPr>
      <w:r>
        <w:t>Corresponde, pues, desestimar la impugnación de la disposición adicional decimoquinta de la Ley de racionalización y sostenibilidad de la Administración local. No obstante, comoquiera que este precepto, aisladamente considerado, podría dar lugar a una lectura contraria al sistema de distribución competencial, se llevará al fallo la interpretación literal y sistemática aquí realizada, que es, de entre las dos en liza, la conforme a la Constitución.</w:t>
      </w:r>
    </w:p>
    <w:p w:rsidR="00163957" w:rsidRDefault="00163957" w:rsidP="00163957">
      <w:pPr>
        <w:pStyle w:val="TextoNormal"/>
      </w:pPr>
    </w:p>
    <w:p w:rsidR="00163957" w:rsidRDefault="00163957" w:rsidP="00163957">
      <w:pPr>
        <w:pStyle w:val="TextoNormal"/>
      </w:pPr>
      <w:r w:rsidRPr="00163957">
        <w:rPr>
          <w:rStyle w:val="NumeroAFNegritaCaracter"/>
        </w:rPr>
        <w:t>14</w:t>
      </w:r>
      <w:r>
        <w:t>. El recurso de inconstitucionalidad impugna el art. 85.2 LBRL, en la redacción dada por el art. 1.21 de la Ley de racionalización y sostenibilidad de la Administración local. Se dirige contra el régimen de preferencia de gestión por la propia entidad local o sus organismos autónomos sobre la realizada mediante entidades públicas empresariales o sociedades mercantiles locales. Vulneraría la garantía constitucional de la autonomía local y las competencias estatutarias de las Comunidades Autónomas, que alcanzan a la regulación de las modalidades de gestión, sin que la prelación establecida pueda reputarse un principio básico que pueda establecer válidamente el Estado.</w:t>
      </w:r>
    </w:p>
    <w:p w:rsidR="00163957" w:rsidRDefault="00163957" w:rsidP="00163957">
      <w:pPr>
        <w:pStyle w:val="TextoNormal"/>
      </w:pPr>
    </w:p>
    <w:p w:rsidR="00163957" w:rsidRDefault="00163957" w:rsidP="00163957">
      <w:pPr>
        <w:pStyle w:val="TextoNormal"/>
      </w:pPr>
      <w:r>
        <w:t>Conforme a la nueva redacción del art. 85.2 LBRL, los “servicios públicos de competencia local” deben gestionarse “de la forma más sostenible y eficiente”. A su vez, en lo concerniente a la gestión directa, tienen preferencia unas soluciones sobre otras. El recurso a la entidad pública empresarial o a la sociedad mercantil local cabe solo si resulta más sostenible y eficiente que la gestión mediante organismo autónomo o por la propia entidad local -a partir de criterios de rentabilidad económica y recuperación de la inversión- y si se cumplen determinadas exigencias formales, entre ellas, un informe del interventor local sobre su sostenibilidad financiera conforme al art. 4 de la Ley Orgánica de estabilidad presupuestaria y sostenibilidad financiera.</w:t>
      </w:r>
    </w:p>
    <w:p w:rsidR="00163957" w:rsidRDefault="00163957" w:rsidP="00163957">
      <w:pPr>
        <w:pStyle w:val="TextoNormal"/>
      </w:pPr>
    </w:p>
    <w:p w:rsidR="00163957" w:rsidRDefault="00163957" w:rsidP="00163957">
      <w:pPr>
        <w:pStyle w:val="TextoNormal"/>
      </w:pPr>
      <w:r>
        <w:t xml:space="preserve">Bajo la óptica de las Comunidades Autónomas, esta regulación impone limitaciones a la legislación autonómica del régimen local que deben reputarse básicas. El art. 149.1.18 CE da cobertura a una legislación básica sobre la gestión de servicios públicos locales [SSTC 103/2013, FJ 3 d); 143/2013, FJ 7], teniendo cuenta la estrecha conexión que toda regulación de servicios reservados (más o menos sustraídos al régimen de libre mercado) guarda con las opciones de ordenación general de la economía que la Constitución atribuye al Estado (art. 149.1.13 CE). La nueva ordenación básica responde a la finalidad de evitar la proliferación de personificaciones instrumentales o, más precisamente, de asegurar la sostenibilidad financiera y eficiencia de las que se creen; con independencia de la eficacia real </w:t>
      </w:r>
      <w:r>
        <w:lastRenderedPageBreak/>
        <w:t>del instrumento, expresa una opción, no solo legítima, sino estrechamente vinculada a determinados mandatos constitucionales (arts. 31.2, 103.1 y 135 CE).</w:t>
      </w:r>
    </w:p>
    <w:p w:rsidR="00163957" w:rsidRDefault="00163957" w:rsidP="00163957">
      <w:pPr>
        <w:pStyle w:val="TextoNormal"/>
      </w:pPr>
    </w:p>
    <w:p w:rsidR="00163957" w:rsidRDefault="00163957" w:rsidP="00163957">
      <w:pPr>
        <w:pStyle w:val="TextoNormal"/>
      </w:pPr>
      <w:r>
        <w:t>Desde la perspectiva de los entes locales, el art. 85.2 LBRL condiciona la autonomía local, pero no la vulnera en absoluto. Los entes locales conservan amplios espacios de opción organizativa. No puede ponerse reparos a la previsión de un informe del interventor local que valore la sostenibilidad financiera. Así resulta de la doctrina constitucional en relación con el control de eficacia que el art. 136 LBRL atribuye al interventor municipal. La STC 143/2013, FJ 10, declaró que ni ese control “ni la circunstancia de que ello implicaría una valoración de la gestión económico-financiera llevada a cabo por los órganos de gobierno del Ayuntamiento suscitan reparos de índole constitucional, sino todo lo contrario, pues todo ello se ajusta plenamente a los principios generales de buena gestión financiera parcialmente constitucionalizados en el art. 31.2 CE”.</w:t>
      </w:r>
    </w:p>
    <w:p w:rsidR="00163957" w:rsidRDefault="00163957" w:rsidP="00163957">
      <w:pPr>
        <w:pStyle w:val="TextoNormal"/>
      </w:pPr>
    </w:p>
    <w:p w:rsidR="00163957" w:rsidRDefault="00163957" w:rsidP="00163957">
      <w:pPr>
        <w:pStyle w:val="TextoNormal"/>
      </w:pPr>
      <w:r>
        <w:t>Consecuentemente, procede desestimar la impugnación del art. 85.2 LBRL, en la redacción dada por el art. 1.21 de la Ley de racionalización y sostenibilidad de la Administración local.</w:t>
      </w:r>
    </w:p>
    <w:p w:rsidR="00163957" w:rsidRDefault="00163957" w:rsidP="00163957">
      <w:pPr>
        <w:pStyle w:val="TextoNormal"/>
      </w:pPr>
    </w:p>
    <w:p w:rsidR="00163957" w:rsidRDefault="00163957" w:rsidP="00163957">
      <w:pPr>
        <w:pStyle w:val="TextoNormal"/>
      </w:pPr>
      <w:r w:rsidRPr="00163957">
        <w:rPr>
          <w:rStyle w:val="NumeroAFNegritaCaracter"/>
        </w:rPr>
        <w:t>15</w:t>
      </w:r>
      <w:r>
        <w:t>. El recurso de inconstitucionalidad impugna el art. 116 bis LBRL, introducido por el art. 1.30 de la Ley de racionalización y sostenibilidad de la Administración local, relativo al plan económico-financiero que deben formular los entes locales cuando incumplan los objetivos de estabilidad presupuestaria o de deuda pública o la regla de gasto. Subraya que la previsión establece que la diputación provincial o entidad equivalente asistirá al resto de corporaciones locales y colaborará con la Administración que ejerza la tutela financiera en la elaboración y aplicación de las medidas recogidas en aquellos planes. Tal medida incumpliría el art. 23.4 de la Ley Orgánica de estabilidad presupuestaria y sostenibilidad financiera, que atribuye a las Comunidades Autónomas (que tienen atribuida la tutela financiera de los entes locales) la aprobación y seguimiento de los citados planes.</w:t>
      </w:r>
    </w:p>
    <w:p w:rsidR="00163957" w:rsidRDefault="00163957" w:rsidP="00163957">
      <w:pPr>
        <w:pStyle w:val="TextoNormal"/>
      </w:pPr>
    </w:p>
    <w:p w:rsidR="00163957" w:rsidRDefault="00163957" w:rsidP="00163957">
      <w:pPr>
        <w:pStyle w:val="TextoNormal"/>
      </w:pPr>
      <w:r>
        <w:t>Conforme a la Ley Orgánica de estabilidad presupuestaria y sostenibilidad financiera, “en caso de incumplimiento del objetivo de estabilidad presupuestaria, del objetivo de deuda pública o de la regla de gasto, la Administración incumplidora formulará un plan económico-financiero que permita en el año en curso y el siguiente el cumplimiento de los objetivos o de la regla de gasto, con el contenido y alcance previstos en este artículo” (art. 21.1). La indicada Ley Orgánica regula los contenidos, la tramitación y el seguimiento del plan (arts. 21.2, 23 y 24). En lo que aquí importa, dispone que, si la Administración incumplidora es una corporación local, corresponde al pleno la aprobación y a la Comunidad Autónoma (si tiene atribuida la tutela financiera del ente local) la aprobación definitiva (art. 23.4) y el seguimiento (art. 24.4).</w:t>
      </w:r>
    </w:p>
    <w:p w:rsidR="00163957" w:rsidRDefault="00163957" w:rsidP="00163957">
      <w:pPr>
        <w:pStyle w:val="TextoNormal"/>
      </w:pPr>
    </w:p>
    <w:p w:rsidR="00163957" w:rsidRDefault="00163957" w:rsidP="00163957">
      <w:pPr>
        <w:pStyle w:val="TextoNormal"/>
      </w:pPr>
      <w:r>
        <w:t xml:space="preserve">La previsión controvertida complementa esta regulación añadiendo una serie de medidas a las previstas en el art. 21 de la Ley Orgánica de estabilidad presupuestaria y sostenibilidad financiera e implicando a las diputaciones provinciales o entidades equivalentes en las tareas de elaboración y seguimiento del plan. A la vista de la materia regulada y de que el plan económico-financiero lo aprueba definitivamente y vigila una Administración supralocal, cabe entender que se está ante una institución común a las haciendas locales o medida de coordinación de la hacienda estatal con las locales, directamente conectada, por lo demás, con la suficiencia financiera del municipio [STC 233/1999, FJ 4 b)]. Consecuentemente, el </w:t>
      </w:r>
      <w:r>
        <w:lastRenderedPageBreak/>
        <w:t>precepto se encuadra en el art. 149.1.14 CE sobre hacienda general, que aparece expresamente invocado en la Ley de racionalización y sostenibilidad de la Administración local (disposición final quinta) y da soporte, junto a otros, a la regulación orgánica complementada [STC 215/2014, de 18 de diciembre, FJ 3 a)].</w:t>
      </w:r>
    </w:p>
    <w:p w:rsidR="00163957" w:rsidRDefault="00163957" w:rsidP="00163957">
      <w:pPr>
        <w:pStyle w:val="TextoNormal"/>
      </w:pPr>
    </w:p>
    <w:p w:rsidR="00163957" w:rsidRDefault="00163957" w:rsidP="00163957">
      <w:pPr>
        <w:pStyle w:val="TextoNormal"/>
      </w:pPr>
      <w:r>
        <w:t xml:space="preserve">Las medidas reguladas están estrechamente vinculadas a la configuración básica de la diputación provincial (arts. 31 a 38 LBRL), las competencias locales (en especial art. 7.4 LBRL), la gestión integrada de los servicios municipales obligatorios (arts. 26, 44 y 57 LBRL), los entes menores o inframunicipales (art. 24 </w:t>
      </w:r>
      <w:r w:rsidRPr="00163957">
        <w:rPr>
          <w:i/>
        </w:rPr>
        <w:t>bis</w:t>
      </w:r>
      <w:r>
        <w:t xml:space="preserve"> LBRL), la organización local (arts. 19 a 24 </w:t>
      </w:r>
      <w:r w:rsidRPr="00163957">
        <w:rPr>
          <w:i/>
        </w:rPr>
        <w:t>bis</w:t>
      </w:r>
      <w:r>
        <w:t xml:space="preserve"> LBRL) y la fusión de municipios (art. 13 LBRL). Esta conexión directa justifica que el Estado las incluya en la LBRL sin por ello vulnerar la reserva de ley orgánica (art. 135.5 CE), teniendo en cuenta “la necesidad de aplicar un criterio estricto o restrictivo para determinar el alcance de la reserva” [STC 215/2014, FJ 3 a)].</w:t>
      </w:r>
    </w:p>
    <w:p w:rsidR="00163957" w:rsidRDefault="00163957" w:rsidP="00163957">
      <w:pPr>
        <w:pStyle w:val="TextoNormal"/>
      </w:pPr>
    </w:p>
    <w:p w:rsidR="00163957" w:rsidRDefault="00163957" w:rsidP="00163957">
      <w:pPr>
        <w:pStyle w:val="TextoNormal"/>
      </w:pPr>
      <w:r>
        <w:t xml:space="preserve">A su vez, el art. 116 </w:t>
      </w:r>
      <w:r w:rsidRPr="00163957">
        <w:rPr>
          <w:i/>
        </w:rPr>
        <w:t>bis</w:t>
      </w:r>
      <w:r>
        <w:t xml:space="preserve"> LBRL asigna a la diputación provincial tareas de colaboración, coordinación y seguimiento sin que ello suponga contradicción con la Ley Orgánica de estabilidad presupuestaria y sostenibilidad financiera ni desbordamiento del sistema constitucional de distribución competencial. Las Comunidades Autónomas, que tienen atribuida la tutela financiera de los entes locales, siguen siendo competentes para aprobar definitivamente el plan y vigilar su cumplimiento. El legislador básico se ha limitado a aprovechar la existencia de la provincia y su posición institucional, como entidad local intermedia que coopera con (y coordina la actividad de) los municipios (SSTC 109/1998, de 21 de mayo, FJ 2, 172/1998, de 23 de junio, FJ 2), asegurando “la prestación integral y adecuada en la totalidad del territorio provincial de los servicios de competencia municipal” y participando “en la coordinación de la Administración local con la de la Comunidad Autónoma y la del Estado” (art. 31.2 LBRL, que no ha sido modificado por la Ley de racionalización y sostenibilidad de la Administración local). El art. 116 </w:t>
      </w:r>
      <w:r w:rsidRPr="00163957">
        <w:rPr>
          <w:i/>
        </w:rPr>
        <w:t>bis</w:t>
      </w:r>
      <w:r>
        <w:t xml:space="preserve"> LBRL no hace más que proyectar la configuración general de la provincia (derivada de la legislación básica y de la propia Constitución) sobre un ámbito concreto, con el fin de que asistan “al resto de corporaciones locales y colaboren con la Administración que ejerza la tutela financiera” en la “elaboración y el seguimiento de la aplicación de las medidas contenidas en los planes económicos-financiero”.</w:t>
      </w:r>
    </w:p>
    <w:p w:rsidR="00163957" w:rsidRDefault="00163957" w:rsidP="00163957">
      <w:pPr>
        <w:pStyle w:val="TextoNormal"/>
      </w:pPr>
    </w:p>
    <w:p w:rsidR="00163957" w:rsidRDefault="00163957" w:rsidP="00163957">
      <w:pPr>
        <w:pStyle w:val="TextoNormal"/>
      </w:pPr>
      <w:r>
        <w:t xml:space="preserve">Consecuentemente, corresponde desestimar la impugnación del art. 116 </w:t>
      </w:r>
      <w:r w:rsidRPr="00163957">
        <w:rPr>
          <w:i/>
        </w:rPr>
        <w:t>bis</w:t>
      </w:r>
      <w:r>
        <w:t xml:space="preserve"> LBRL, introducido por el art. 1.30 de la Ley de racionalización y sostenibilidad de la Administración local.</w:t>
      </w:r>
    </w:p>
    <w:p w:rsidR="00163957" w:rsidRDefault="00163957" w:rsidP="00163957">
      <w:pPr>
        <w:pStyle w:val="TextoNormal"/>
      </w:pPr>
    </w:p>
    <w:p w:rsidR="00163957" w:rsidRDefault="00163957" w:rsidP="00163957">
      <w:pPr>
        <w:pStyle w:val="TextoNormal"/>
      </w:pPr>
      <w:r w:rsidRPr="00163957">
        <w:rPr>
          <w:rStyle w:val="NumeroAFNegritaCaracter"/>
        </w:rPr>
        <w:t>16</w:t>
      </w:r>
      <w:r>
        <w:t xml:space="preserve">. El recurso de inconstitucionalidad impugna el art. 57 bis (introducido por el art. 1.17 de la Ley de racionalización y sostenibilidad de la Administración local.) y las disposiciones adicional octava y undécima y transitorias primera.5 y segunda.5 de la Ley de racionalización y sostenibilidad de la Administración local, que autorizan a la Administración General del Estado a compensar determinadas deudas contraídas por las Comunidades Autónomas con los créditos resultantes de su sistema de financiación. El fundamento jurídico 13 b) de esta Sentencia ya ha declarado la inconstitucionalidad y nulidad de las disposiciones adicional undécima y transitorias primera y segunda de la Ley de racionalización y sostenibilidad de la Administración local, por lo que el examen de esta impugnación ha de quedar limitado al art. 57 </w:t>
      </w:r>
      <w:r w:rsidRPr="00163957">
        <w:rPr>
          <w:i/>
        </w:rPr>
        <w:t>bis</w:t>
      </w:r>
      <w:r>
        <w:t xml:space="preserve"> LBRL y a la disposición adicional octava de la Ley de racionalización y sostenibilidad de la Administración local..</w:t>
      </w:r>
    </w:p>
    <w:p w:rsidR="00163957" w:rsidRDefault="00163957" w:rsidP="00163957">
      <w:pPr>
        <w:pStyle w:val="TextoNormal"/>
      </w:pPr>
    </w:p>
    <w:p w:rsidR="00163957" w:rsidRDefault="00163957" w:rsidP="00163957">
      <w:pPr>
        <w:pStyle w:val="TextoNormal"/>
      </w:pPr>
      <w:r>
        <w:t>a) En los últimos tiempos, varias leyes han autorizado a la Administración General del Estado a deducir o retener cantidades adeudadas por las Comunidades Autónomas del importe que estas deben recibir a través de su sistema de financiación. La disposición adicional primera de la Ley 2/2011, de 4 de marzo, de economía sostenible (luego derogada e integrada con el mismo texto original en la disposición adicional segunda de la Ley Orgánica de estabilidad presupuestaria y sostenibilidad financiera) ha previsto esta medida en relación con las responsabilidades económicas del Estado ante la Unión Europea derivadas de incumplimientos del Derecho comunitario por parte de las Comunidades Autónomas. La Ley Orgánica de estabilidad presupuestaria y sostenibilidad financiera ha introducido también una disposición adicional octava en la Ley Orgánica 8/1980, de 22 de septiembre, de financiación de las Comunidades Autónomas (LOFCA) para autorizar deducciones en una serie de supuestos típicos que otras leyes orgánicas ha aumentado después.</w:t>
      </w:r>
    </w:p>
    <w:p w:rsidR="00163957" w:rsidRDefault="00163957" w:rsidP="00163957">
      <w:pPr>
        <w:pStyle w:val="TextoNormal"/>
      </w:pPr>
    </w:p>
    <w:p w:rsidR="00163957" w:rsidRDefault="00163957" w:rsidP="00163957">
      <w:pPr>
        <w:pStyle w:val="TextoNormal"/>
      </w:pPr>
      <w:r>
        <w:t>Conforme a la redacción vigente de la disposición adicional octava LOFCA, el Estado puede aplicar retenciones en las transferencias que corresponden a las Comunidades Autónomas con relación a: 1) las garantías acordadas en operaciones de crédito concertadas por las Comunidades Autónomas con el Instituto de Crédito Oficial (apartado 1); 2) las deudas de las Comunidades Autónomas con el Estado por razón de las cotizaciones de la seguridad social y de los tributos cuya aplicación corresponde al Estado (apartado 2), o de los gastos de escolarización de alumnos en centros privados que ofrecen enseñanza en castellano (apartado 3, introducido por la disposición final tercera de la Ley Orgánica 8/2013, de 9 diciembre, para la mejora de la calidad educativa); 3) las deudas contraídas por las Comunidades Autónomas con proveedores (apartado 4, introducido como apartado 3 [</w:t>
      </w:r>
      <w:r w:rsidRPr="00163957">
        <w:rPr>
          <w:i/>
        </w:rPr>
        <w:t>sic</w:t>
      </w:r>
      <w:r>
        <w:t>] por el art. 2 de la Ley Orgánica 9/2013, de 20 de diciembre, de control de la deuda comercial en el sector público y renumerado por art. 1.5 de la Ley Orgánica 6/2015, de 12 de junio); 4) de las deudas de algunas Comunidades Autónomas (las “no adheridas al compartimento Fondo Social del Fondo de Financiación”) frente a los entes locales, solo las derivadas de transferencias y convenios suscritos en materia de gasto social que sean vencidas, líquidas y exigibles a 31 de diciembre de 2014 (apartado 5, introducido por el art. 1.5 de la Ley Orgánica 6/2015, de 12 de junio).</w:t>
      </w:r>
    </w:p>
    <w:p w:rsidR="00163957" w:rsidRDefault="00163957" w:rsidP="00163957">
      <w:pPr>
        <w:pStyle w:val="TextoNormal"/>
      </w:pPr>
    </w:p>
    <w:p w:rsidR="00163957" w:rsidRDefault="00163957" w:rsidP="00163957">
      <w:pPr>
        <w:pStyle w:val="TextoNormal"/>
      </w:pPr>
      <w:r>
        <w:t>En varios de estos supuestos, la ley autoriza al Estado a exigir el cumplimiento forzoso de deudas de las que su Administración General (o personificaciones instrumentales adscritas a ella) es acreedora frente a la Comunidad Autónoma (apartados 1, 2 y 3). Se articula así una “compensación de créditos”, entendida en sentido clásico (art. 1156 del Código civil), como modalidad de extinción de obligaciones recíprocas o forma abreviada de pago que produce el doble efecto de “liberarse y liberar”; la compensación permite satisfacer las deudas de dos acreedores recíprocos. La retención o deducción consigue, de un lado, que la Comunidad Autónoma cumpla forzosamente una obligación de pago que tiene frente al Estado y, al propio tiempo, que el Estado cumpla la obligación que el sistema de financiación le impone frente a la Comunidad Autónoma.</w:t>
      </w:r>
    </w:p>
    <w:p w:rsidR="00163957" w:rsidRDefault="00163957" w:rsidP="00163957">
      <w:pPr>
        <w:pStyle w:val="TextoNormal"/>
      </w:pPr>
    </w:p>
    <w:p w:rsidR="00163957" w:rsidRDefault="00163957" w:rsidP="00163957">
      <w:pPr>
        <w:pStyle w:val="TextoNormal"/>
      </w:pPr>
      <w:r>
        <w:t xml:space="preserve">La retención o deducción de las transferencias correspondientes a las Comunidades Autónomas conforme a su sistema de financiación constituye en estos casos una concreción del régimen general de compensación de deudas de Administraciones públicas previsto con en el art. 14 de la Ley 47/2003, de 26 de noviembre, general presupuestaria, cuyo apartado </w:t>
      </w:r>
      <w:r>
        <w:lastRenderedPageBreak/>
        <w:t>2 señala: “La extinción mediante compensación de las deudas que las comunidades autónomas y las corporaciones locales tengan con la Administración General del Estado se regulará por su legislación específica”. De modo que los apartados 1, 2 y 3 de la disposición adicional octava LOFCA regulan supuestos de compensación de deudas del Estado y las Comunidades Autónomas de la misma manera que otras normas regulan la compensación de deudas recíprocas, bien de las Comunidades Autónomas y los entes locales (arts. 27.6 y 109 LBRL, en la redacción dada por los apartados 10 y 29, respectivamente, de la Ley de racionalización y sostenibilidad de la Administración local), bien del Estado y los entes locales (art. 109 LBRL y disposición adicional cuarta del texto refundido de la Ley de haciendas locales). Refiriéndose a la compensación de créditos en este último caso, la STC 233/1999, FJ 41 c), declaró que no vulnera la garantía constitucional de la suficiencia financiera local, según hemos recordado ya.</w:t>
      </w:r>
    </w:p>
    <w:p w:rsidR="00163957" w:rsidRDefault="00163957" w:rsidP="00163957">
      <w:pPr>
        <w:pStyle w:val="TextoNormal"/>
      </w:pPr>
    </w:p>
    <w:p w:rsidR="00163957" w:rsidRDefault="00163957" w:rsidP="00163957">
      <w:pPr>
        <w:pStyle w:val="TextoNormal"/>
      </w:pPr>
      <w:r>
        <w:t>La retención prevista en otros apartados de la disposición adicional octava LOFCA no responde a la lógica clásica de la compensación de créditos porque el Estado y la Comunidad Autónoma no reúnen el doble carácter de ser, cada uno de ellos, deudor y acreedor respecto del otro (apartados 4 y 5). Se trata de compensaciones “triangulares” porque el Estado constata el incumplimiento de una obligación de la Comunidad Autónoma frente a un tercero. En estos casos, el Estado sustituye a la Comunidad Autónoma en el cumplimiento de las obligaciones contraídas por ella frente a otro, poniendo a disposición de éste las cantidades retenidas. Con relación a las obligaciones contraídas con proveedores (disposición adicional octava.4 LOFCA), está previsto, en particular, que el Estado sustituya a la Comunidad Autónoma, “pagando directamente” de acuerdo con las condiciones y el procedimiento que establezca un Real Decreto del Consejo de Ministros (art. 20 de la Ley Orgánica de estabilidad presupuestaria y sostenibilidad financiera).</w:t>
      </w:r>
    </w:p>
    <w:p w:rsidR="00163957" w:rsidRDefault="00163957" w:rsidP="00163957">
      <w:pPr>
        <w:pStyle w:val="TextoNormal"/>
      </w:pPr>
    </w:p>
    <w:p w:rsidR="00163957" w:rsidRDefault="00163957" w:rsidP="00163957">
      <w:pPr>
        <w:pStyle w:val="TextoNormal"/>
      </w:pPr>
      <w:r>
        <w:t xml:space="preserve">Conviene hacer constar que este Tribunal ha admitido a trámite el recurso de inconstitucionalidad núm. 1762-2014, que impugna esta última previsión (introducida por el art. 2 de la Ley Orgánica 9/2013, de 20 de diciembre, de control de la deuda comercial en el sector público como apartado 3 </w:t>
      </w:r>
      <w:r w:rsidRPr="00163957">
        <w:rPr>
          <w:i/>
        </w:rPr>
        <w:t>sic</w:t>
      </w:r>
      <w:r>
        <w:t xml:space="preserve"> de la disposición adicional octava LOFCA, luego renumerado como apartado 4 por el art. 1.5 de la Ley Orgánica 6/2015, de 12 de junio). Ha admitido asimismo el recurso de inconstitucionalidad núm. 5061-2015, que impugna el régimen de otro supuesto de compensación “triangular”: la que articula el Estado en relación con determinadas deudas de las Comunidades Autónomas frente a los entes locales (apartado 5 de la disposición adicional octava LOFCA, introducido por el art. 1.5 de la Ley Orgánica 6/2015, de 12 de junio). Por otra parte, se han admitido también los recursos de inconstitucionalidad núms. 1377-2014 y 1385-2014, que impugnan el régimen de compensación de créditos (en sentido estricto) del Estado y las Comunidades Autónomas en relación con los gastos en que incurre el primero al escolarizar a alumnos en centros privados que ofrecen enseñanza en castellano (apartado 3 de la disposición adicional octava LOFCA, introducido por la disposición final tercera de la Ley Orgánica 8/2013, de 9 diciembre, para la mejora de la calidad educativa).</w:t>
      </w:r>
    </w:p>
    <w:p w:rsidR="00163957" w:rsidRDefault="00163957" w:rsidP="00163957">
      <w:pPr>
        <w:pStyle w:val="TextoNormal"/>
      </w:pPr>
    </w:p>
    <w:p w:rsidR="00163957" w:rsidRDefault="00163957" w:rsidP="00163957">
      <w:pPr>
        <w:pStyle w:val="TextoNormal"/>
      </w:pPr>
      <w:r>
        <w:t xml:space="preserve">b) El art. 57 </w:t>
      </w:r>
      <w:r w:rsidRPr="00163957">
        <w:rPr>
          <w:i/>
        </w:rPr>
        <w:t>bis</w:t>
      </w:r>
      <w:r>
        <w:t xml:space="preserve"> LBRL, impugnado en el presente proceso constitucional, regula un supuesto de compensación “triangular” al autorizar al Estado a aplicar retenciones a las Comunidades Autónomas ante el incumplimiento de obligaciones de pago de las que él no es acreedor; el acreedor de la obligación es un ente local, al igual que en el caso regulado por </w:t>
      </w:r>
      <w:r>
        <w:lastRenderedPageBreak/>
        <w:t>la disposición adicional octava.5 LOFCA. Se trata, en particular, de las obligaciones financieras o compromisos de pago que tiene la Comunidad Autónoma frente al ente local como consecuencia de acuerdos de delegación o colaboración suscritos por ambos. El incumplimiento da lugar a que el Estado pueda, de un lado, aplicar retenciones a las primeras y, de otro, poner la cantidad retenida a disposición del segundo. El procedimiento mediante el cual el Estado sustituye a la Comunidad Autónoma en el cumplimiento de aquellas obligaciones queda remitido a “la Orden del Ministerio de Hacienda y Administraciones Públicas a la que se refiere la disposición adicional septuagésima segunda de la Ley 17/2012, de 27 de diciembre, de Presupuestos Generales del Estado para el año 2013”.</w:t>
      </w:r>
    </w:p>
    <w:p w:rsidR="00163957" w:rsidRDefault="00163957" w:rsidP="00163957">
      <w:pPr>
        <w:pStyle w:val="TextoNormal"/>
      </w:pPr>
    </w:p>
    <w:p w:rsidR="00163957" w:rsidRDefault="00163957" w:rsidP="00163957">
      <w:pPr>
        <w:pStyle w:val="TextoNormal"/>
      </w:pPr>
      <w:r>
        <w:t xml:space="preserve">La previsión controvertida regula la retención bajo la forma de “cláusula de garantía” conforme a la que, ante el incumplimiento por parte de la Comunidad Autónoma de la obligación, la Administración General del Estado queda autorizada a aplicar deducciones en las transferencias que correspondan por aplicación del sistema de financiación y a poner las cantidades retenidas a disposición del ente local acreedor. La cláusula está regulada como norma imperativa —no dispositiva— porque opera por virtud de la ley al margen de la voluntad de las partes. El precepto dispone, literalmente, que “si las Comunidades Autónomas delegan competencias o suscriben convenios de colaboración con las Entidades Locales que impliquen obligaciones financieras o compromisos de pago a cargo de las Comunidades Autónomas, será necesario que éstas incluyan una cláusula de garantía”. Las Comunidades Autónomas y los entes locales no pueden adoptar aquellos instrumentos de colaboración sin incluir la referida cláusula. Quien autoriza estrictamente la compensación triangular es el propio art. 57 </w:t>
      </w:r>
      <w:r w:rsidRPr="00163957">
        <w:rPr>
          <w:i/>
        </w:rPr>
        <w:t>bis</w:t>
      </w:r>
      <w:r>
        <w:t xml:space="preserve"> LBRL, no el convenio suscrito por la Comunidad Autónoma y el ente local.</w:t>
      </w:r>
    </w:p>
    <w:p w:rsidR="00163957" w:rsidRDefault="00163957" w:rsidP="00163957">
      <w:pPr>
        <w:pStyle w:val="TextoNormal"/>
      </w:pPr>
    </w:p>
    <w:p w:rsidR="00163957" w:rsidRDefault="00163957" w:rsidP="00163957">
      <w:pPr>
        <w:pStyle w:val="TextoNormal"/>
      </w:pPr>
      <w:r>
        <w:t xml:space="preserve">Consecuentemente, la retención regulada en el art. 57 </w:t>
      </w:r>
      <w:r w:rsidRPr="00163957">
        <w:rPr>
          <w:i/>
        </w:rPr>
        <w:t>bis</w:t>
      </w:r>
      <w:r>
        <w:t xml:space="preserve"> LBRL no es “consentida”, a diferencia de la prevista en la disposición adicional septuagésima segunda de la Ley 17/2012, de 27 de diciembre, de presupuestos generales del Estado para el año 2013, que cita el Abogado del Estado. En este otro caso, la Comunidad Autónoma conserva la libertad de aceptar o rechazar su inclusión en el correspondiente convenio o instrumento de colaboración. Tal disposición establece, literalmente: “El Estado, para el funcionamiento de las centrales de compras y demás instrumentos de cooperación interadministrativa que se creen con la finalidad de ahorrar costes o de gestionar más eficientemente las competencias de cada Administración, podrá retener o deducir de los importes satisfechos por todos los recursos del sistema de financiación a las Comunidades Autónomas y las Ciudades con Estatuto de Autonomía, las cantidades necesarias para atender al cumplimiento de las obligaciones asumidas por la Comunidad Autónoma respectiva, previa aceptación expresa de ésta en el acto o convenio a través del cual se formalice la incorporación al instrumento de cooperación”.</w:t>
      </w:r>
    </w:p>
    <w:p w:rsidR="00163957" w:rsidRDefault="00163957" w:rsidP="00163957">
      <w:pPr>
        <w:pStyle w:val="TextoNormal"/>
      </w:pPr>
    </w:p>
    <w:p w:rsidR="00163957" w:rsidRDefault="00163957" w:rsidP="00163957">
      <w:pPr>
        <w:pStyle w:val="TextoNormal"/>
      </w:pPr>
      <w:r>
        <w:t xml:space="preserve">c) Según el recurso, el art. 57 </w:t>
      </w:r>
      <w:r w:rsidRPr="00163957">
        <w:rPr>
          <w:i/>
        </w:rPr>
        <w:t>bis</w:t>
      </w:r>
      <w:r>
        <w:t xml:space="preserve"> LBRL vulnera la autonomía financiera constitucionalmente garantizada a las Comunidades Autónomas (art. 156.1 CE). Junto a este reproche de fondo, incluyen una queja de carácter formal que parte del rango de ley ordinaria del precepto controvertido, que en este punto se diferencia de las disposiciones adicionales segunda y octava LOFCA. La Asamblea legislativa de Extremadura considera que el precepto controvertido vulnera la reserva de ley orgánica prevista en el art. 157.3 CE, desarrollando con ello un motivo de impugnación que no plantean los precitados recursos de inconstituciona</w:t>
      </w:r>
      <w:r>
        <w:lastRenderedPageBreak/>
        <w:t>lidad respecto de diversos apartados de la disposición adicional octava LOFCA. Examinaremos primero la posible infracción formal y, solo si fuese desestimada, abordaríamos la vulneración material que el recurso también atribuye al precepto controvertido.</w:t>
      </w:r>
    </w:p>
    <w:p w:rsidR="00163957" w:rsidRDefault="00163957" w:rsidP="00163957">
      <w:pPr>
        <w:pStyle w:val="TextoNormal"/>
      </w:pPr>
    </w:p>
    <w:p w:rsidR="00163957" w:rsidRDefault="00163957" w:rsidP="00163957">
      <w:pPr>
        <w:pStyle w:val="TextoNormal"/>
      </w:pPr>
      <w:r>
        <w:t>El art. 157.3 CE reserva a la ley orgánica la regulación de las relaciones financieras del Estado con las Comunidades Autónomas. Esta “Ley Orgánica —que en la actualidad es la Ley Orgánica de Financiación de las Comunidades Autónomas, de 22 de septiembre de 1980— aparece pues como punto de referencia para determinar la extensión y límites de la autonomía financiera de las Comunidades Autónomas y las facultades que al respecto se reservan a los órganos centrales del Estado para el cumplimiento de los fines y el ejercicio de las competencias que la Constitución les atribuye” (STC 179/1987, de 12 de noviembre, FJ 2).</w:t>
      </w:r>
    </w:p>
    <w:p w:rsidR="00163957" w:rsidRDefault="00163957" w:rsidP="00163957">
      <w:pPr>
        <w:pStyle w:val="TextoNormal"/>
      </w:pPr>
    </w:p>
    <w:p w:rsidR="00163957" w:rsidRDefault="00163957" w:rsidP="00163957">
      <w:pPr>
        <w:pStyle w:val="TextoNormal"/>
      </w:pPr>
      <w:r>
        <w:t>Un régimen que permite al Estado, por un lado, retener las cantidades adeudadas por las Comunidades Autónomas a un tercero en las transferencias que corresponden a éstas por virtud del sistema de financiación y, por otro, ejercer una competencia autonómica mediante el cumplimiento por sustitución de aquellas obligaciones, afecta muy directamente a las relaciones financieras entre el Estado y las Comunidades Autónomas y, por tanto, penetra un ámbito material cuya regulación está reservada a la ley orgánica (art. 157.3 CE), sin perjuicio de que ésta pueda llamar a una colaboración con normas de distinto rango.</w:t>
      </w:r>
    </w:p>
    <w:p w:rsidR="00163957" w:rsidRDefault="00163957" w:rsidP="00163957">
      <w:pPr>
        <w:pStyle w:val="TextoNormal"/>
      </w:pPr>
    </w:p>
    <w:p w:rsidR="00163957" w:rsidRDefault="00163957" w:rsidP="00163957">
      <w:pPr>
        <w:pStyle w:val="TextoNormal"/>
      </w:pPr>
      <w:r>
        <w:t xml:space="preserve">Dicho más precisamente: no puede dudarse de que una norma penetra el núcleo de las relaciones financieras del Estado con las Comunidades Autónomas si hace valer la posición constitucional del primero [“como titular de la potestad de coordinación de las haciendas autonómicas”, “garante del equilibrio económico general” y “responsable del cumplimiento </w:t>
      </w:r>
      <w:r w:rsidRPr="00163957">
        <w:rPr>
          <w:i/>
        </w:rPr>
        <w:t>ad extra</w:t>
      </w:r>
      <w:r>
        <w:t xml:space="preserve"> de los objetivos de estabilidad presupuestaria”, de acuerdo con la STC 215/2014, FJ 7 a)] para autorizarle a: 1) constatar unilateralmente que la Comunidad Autónoma tiene una obligación de pago frente a un tercero; 2) declarar unilateralmente que tal obligación ha sido incumplida; y 3) ejercer una competencia autonómica por sustitución, deduciendo cantidades de las transferencias que corresponden con cargo al sistema de financiación y poniendo el importe retenido a disposición de aquel tercero.</w:t>
      </w:r>
    </w:p>
    <w:p w:rsidR="00163957" w:rsidRDefault="00163957" w:rsidP="00163957">
      <w:pPr>
        <w:pStyle w:val="TextoNormal"/>
      </w:pPr>
    </w:p>
    <w:p w:rsidR="00163957" w:rsidRDefault="00163957" w:rsidP="00163957">
      <w:pPr>
        <w:pStyle w:val="TextoNormal"/>
      </w:pPr>
      <w:r>
        <w:t xml:space="preserve">El art. 57 </w:t>
      </w:r>
      <w:r w:rsidRPr="00163957">
        <w:rPr>
          <w:i/>
        </w:rPr>
        <w:t>bis</w:t>
      </w:r>
      <w:r>
        <w:t xml:space="preserve"> LBRL contiene una regulación que, al incidir directamente sobre las relaciones financieras del Estado y las Comunidades Autónomas, debió revestir forma de ley orgánica. Esta conclusión no cambia por la circunstancia de que el precepto esté evidentemente destinado a garantizar la suficiencia financiera de los entes locales. La protección de la autonomía financiera del ente local (art. 142 CE) podría ser una razón, en su caso, para descartar que la medida interfiera ilegítimamente en la autonomía financiera de las Comunidades Autónomas (art. 156.1 CE), no para rechazar que afecte a relaciones financieras cuya regulación corresponde a la ley orgánica (art. 157.3 CE).</w:t>
      </w:r>
    </w:p>
    <w:p w:rsidR="00163957" w:rsidRDefault="00163957" w:rsidP="00163957">
      <w:pPr>
        <w:pStyle w:val="TextoNormal"/>
      </w:pPr>
    </w:p>
    <w:p w:rsidR="00163957" w:rsidRDefault="00163957" w:rsidP="00163957">
      <w:pPr>
        <w:pStyle w:val="TextoNormal"/>
      </w:pPr>
      <w:r>
        <w:t xml:space="preserve">No cabe aducir que la retención regulada en el art. 57 </w:t>
      </w:r>
      <w:r w:rsidRPr="00163957">
        <w:rPr>
          <w:i/>
        </w:rPr>
        <w:t>bis</w:t>
      </w:r>
      <w:r>
        <w:t xml:space="preserve"> LBRL es “consentida” porque el legislador estatal la contempla como una cláusula contractual de garantía y permite en todo caso que la Comunidad Autónoma opte por no delegar en (o no colaborar con) el ente local. Así viene a entenderlo el Abogado del Estado cuando, para justificar la inclusión de la medida en una ley ordinaria, invoca el precedente de la disposición adicional septuagésima segunda de la Ley 17/2012, de 27 de diciembre, de presupuestos generales del Estado para el año 2013.</w:t>
      </w:r>
    </w:p>
    <w:p w:rsidR="00163957" w:rsidRDefault="00163957" w:rsidP="00163957">
      <w:pPr>
        <w:pStyle w:val="TextoNormal"/>
      </w:pPr>
    </w:p>
    <w:p w:rsidR="00163957" w:rsidRDefault="00163957" w:rsidP="00163957">
      <w:pPr>
        <w:pStyle w:val="TextoNormal"/>
      </w:pPr>
      <w:r>
        <w:t xml:space="preserve">La circunstancia de que la Administración autonómica conserve la capacidad de, por un lado, decidir si delega en (o celebra convenios con) los entes locales y, por otro, cumplir por sí las obligaciones contraídas podrá ser relevante, en su caso, al valorar si el art. 57 </w:t>
      </w:r>
      <w:r w:rsidRPr="00163957">
        <w:rPr>
          <w:i/>
        </w:rPr>
        <w:t>bis</w:t>
      </w:r>
      <w:r>
        <w:t xml:space="preserve"> LBRL supone una injerencia ilegítima en la autonomía de las Comunidades Autónomas. Sin embargo, carece de relevancia en el examen que nos corresponde ahora, que se refiere solo a si el precepto impugnado afecta a relaciones financieras cuya regulación corresponde a la ley orgánica (art. 157.3 CE). Ciertamente, si la retención fuera verdaderamente consentida (como en el caso de la mencionada disposición adicional septuagésima segunda), cabría argumentar que trae causa en última instancia de la voluntad de la Comunidad Autónoma y, con ello, que no hay una interferencia estatal en su autonomía financiera que hubiera de revestir rango de ley orgánica. Sin embargo, según hemos razonado ya, la cláusula de garantía está regulada como </w:t>
      </w:r>
      <w:r w:rsidRPr="00163957">
        <w:rPr>
          <w:i/>
        </w:rPr>
        <w:t>ius cogens</w:t>
      </w:r>
      <w:r>
        <w:t xml:space="preserve"> de modo que la autorización de la retención trae causa del art. 57 </w:t>
      </w:r>
      <w:r w:rsidRPr="00163957">
        <w:rPr>
          <w:i/>
        </w:rPr>
        <w:t>bis</w:t>
      </w:r>
      <w:r>
        <w:t xml:space="preserve"> LBRL, no de la voluntad de las partes que suscriben el acuerdo o convenio de colaboración.</w:t>
      </w:r>
    </w:p>
    <w:p w:rsidR="00163957" w:rsidRDefault="00163957" w:rsidP="00163957">
      <w:pPr>
        <w:pStyle w:val="TextoNormal"/>
      </w:pPr>
    </w:p>
    <w:p w:rsidR="00163957" w:rsidRDefault="00163957" w:rsidP="00163957">
      <w:pPr>
        <w:pStyle w:val="TextoNormal"/>
      </w:pPr>
      <w:r>
        <w:t>A su vez, a estos efectos carece de relevancia que la Comunidad Autónoma pueda siempre optar por no delegar o no convenir con los entes locales. A los fines del art. 157.3 CE, lo determinante no es si la obligación de pago le ha venido impuesta a la Comunidad Autónoma o si ha sido voluntariamente contraída por ella con un proveedor o, como ocurre en este caso, con un ente local. La cuestión es si afecta a las relaciones financieras del Estado y las Comunidades Autónomas una regulación que permite al primero constatar unilateralmente que sobre las segundas pesa una obligación de pago frente a un tercero, cualquiera que sea su origen, declarar unilateralmente que tal obligación ha sido incumplida y efectuar el cumplimiento por sustitución. El sistema de retenciones afecta en todo caso y con igual intensidad a esas relaciones financieras tanto si las obligaciones incumplidas fueron legalmente impuestas a las Comunidades Autónomas como si fueron voluntariamente contraídas por ellas con un tercero. Por lo demás, la Comunidad Autónoma, incluso cuando la obligación le viene impuesta, tiene siempre la posibilidad de evitar la aplicación del régimen de retenciones mediante el cumplimiento voluntario, sin que pueda por ello rechazarse que ese régimen afecte a las relaciones financieras cuya regulación está reservada a la ley orgánica (art. 157.3 CE).</w:t>
      </w:r>
    </w:p>
    <w:p w:rsidR="00163957" w:rsidRDefault="00163957" w:rsidP="00163957">
      <w:pPr>
        <w:pStyle w:val="TextoNormal"/>
      </w:pPr>
    </w:p>
    <w:p w:rsidR="00163957" w:rsidRDefault="00163957" w:rsidP="00163957">
      <w:pPr>
        <w:pStyle w:val="TextoNormal"/>
      </w:pPr>
      <w:r>
        <w:t>Tampoco puede razonarse que se está en el marco de la compensación de créditos como forma ordinaria de cumplimiento o extinción de las obligaciones y, por tanto, dentro de un ámbito en el que el régimen de retenciones, al desarrollar dinámicas absolutamente normales del tráfico jurídico, debería quedar sustraído a la reserva de ley orgánica (art. 157.3 CE), teniendo en cuenta el criterio restrictivo con que a estos efectos debe siempre aplicarse.</w:t>
      </w:r>
    </w:p>
    <w:p w:rsidR="00163957" w:rsidRDefault="00163957" w:rsidP="00163957">
      <w:pPr>
        <w:pStyle w:val="TextoNormal"/>
      </w:pPr>
    </w:p>
    <w:p w:rsidR="00163957" w:rsidRDefault="00163957" w:rsidP="00163957">
      <w:pPr>
        <w:pStyle w:val="TextoNormal"/>
      </w:pPr>
      <w:r>
        <w:t xml:space="preserve">A través de la compensación en sentido estricto, el Estado consigue el cumplimiento forzoso de créditos de los que es titular frente a la Comunidad Autónoma y ejerce con ello una potestad de decisión unilateral. En cualquier caso, el art. 57 bis LBRL articula una compensación “triangular”, netamente diferenciada de la compensación de créditos en sentido estricto. La previsión controvertida autoriza al Estado a retener con cargo al sistema de financiación las cantidades adeudadas por la Comunidad Autónoma a terceros, que en este caso son entes locales, y a sustituir a esa Comunidad Autónoma en el ejercicio de sus competencias, en particular, en el cumplimiento de obligaciones de las que él no es acreedor. El art. 57 </w:t>
      </w:r>
      <w:r w:rsidRPr="00163957">
        <w:rPr>
          <w:i/>
        </w:rPr>
        <w:t>bis</w:t>
      </w:r>
      <w:r>
        <w:t xml:space="preserve"> LBRL interviene directamente así en las relaciones financieras de la Comunidad </w:t>
      </w:r>
      <w:r>
        <w:lastRenderedPageBreak/>
        <w:t>Autónoma con el ente local a través de un control administrativo en sentido técnico (sustitución en el ejercicio de una competencia por incumplimiento) que incide de modo muy relevante sobre las relaciones financieras del Estado y la Comunidad Autónoma y, con ello, en un ámbito material cuya regulación está reservada a la ley orgánica (art. 157.3 CE).</w:t>
      </w:r>
    </w:p>
    <w:p w:rsidR="00163957" w:rsidRDefault="00163957" w:rsidP="00163957">
      <w:pPr>
        <w:pStyle w:val="TextoNormal"/>
      </w:pPr>
    </w:p>
    <w:p w:rsidR="00163957" w:rsidRDefault="00163957" w:rsidP="00163957">
      <w:pPr>
        <w:pStyle w:val="TextoNormal"/>
      </w:pPr>
      <w:r>
        <w:t xml:space="preserve">Téngase en cuenta que, al margen de estas compensaciones “triangulares”, en nuestro sistema constitucional no hay más controles administrativos de este tipo que los previstos en el art. 155 CE (para afrontar incumplimientos constitucionales extremadamente cualificados) y en la estabilidad presupuestaria y sostenibilidad financiera (ante el incumplimiento de los objetivos de equilibrio y sostenibilidad presupuestaria). El art. 57 </w:t>
      </w:r>
      <w:r w:rsidRPr="00163957">
        <w:rPr>
          <w:i/>
        </w:rPr>
        <w:t>bis</w:t>
      </w:r>
      <w:r>
        <w:t xml:space="preserve"> LBRL permite que el Estado ejerza una competencia autonómica, por más que esta sustitución esté evidentemente acotada, por ceñirse al pago de determinadas obligaciones contraídas por la Comunidad con sus entes locales. Esta injerencia en la autonomía política de las Comunidades Autónomas será o no legítima —no es el momento para valorarlo—, pero constituye en todo caso una injerencia que, en cuanto tal, exige la regulación con rango de ley orgánica prevista en el art. 157.3 CE.</w:t>
      </w:r>
    </w:p>
    <w:p w:rsidR="00163957" w:rsidRDefault="00163957" w:rsidP="00163957">
      <w:pPr>
        <w:pStyle w:val="TextoNormal"/>
      </w:pPr>
    </w:p>
    <w:p w:rsidR="00163957" w:rsidRDefault="00163957" w:rsidP="00163957">
      <w:pPr>
        <w:pStyle w:val="TextoNormal"/>
      </w:pPr>
      <w:r>
        <w:t xml:space="preserve">La práctica legislativa no vincula a este Tribunal, naturalmente, pero es ciertamente reveladora. La inclusión en la Ley Orgánica de estabilidad presupuestaria y sostenibilidad financiera de un régimen de retenciones inicialmente previsto en legislación de carácter ordinario, por un lado y las reformas de la Ley Orgánica de financiación de las Comunidades Autónomas en ese mismo sentido, por otro, son indicativas de que el propio legislador estatal es consciente de que una intervención tan penetrante en la autonomía financiera de las Comunidades Autónomas ha de revestir forma de ley orgánica. En este orden de ideas, sobresale la circunstancia de que por ley orgánica se haya autorizado al Estado a articular una compensación triangular de deudas de las Comunidades Autónomas y los entes locales (apartado 5 de la disposición adicional octava LOFCA, introducido por Ley Orgánica 6/2015, de 12 de junio), que es precisamente lo que hace el art. 57 </w:t>
      </w:r>
      <w:r w:rsidRPr="00163957">
        <w:rPr>
          <w:i/>
        </w:rPr>
        <w:t>bis</w:t>
      </w:r>
      <w:r>
        <w:t xml:space="preserve"> LBRL con relación a compromisos de pago resultantes de convenios de colaboración o acuerdos de delegación.</w:t>
      </w:r>
    </w:p>
    <w:p w:rsidR="00163957" w:rsidRDefault="00163957" w:rsidP="00163957">
      <w:pPr>
        <w:pStyle w:val="TextoNormal"/>
      </w:pPr>
    </w:p>
    <w:p w:rsidR="00163957" w:rsidRDefault="00163957" w:rsidP="00163957">
      <w:pPr>
        <w:pStyle w:val="TextoNormal"/>
      </w:pPr>
      <w:r>
        <w:t xml:space="preserve">Comoquiera que el art. 57 </w:t>
      </w:r>
      <w:r w:rsidRPr="00163957">
        <w:rPr>
          <w:i/>
        </w:rPr>
        <w:t>bis</w:t>
      </w:r>
      <w:r>
        <w:t xml:space="preserve"> LBRL (introducido por el art. 1.17 de la Ley de racionalización y sostenibilidad de la Administración local) carece de rango de ley orgánica, procede declarar su inconstitucionalidad y nulidad.</w:t>
      </w:r>
    </w:p>
    <w:p w:rsidR="00163957" w:rsidRDefault="00163957" w:rsidP="00163957">
      <w:pPr>
        <w:pStyle w:val="TextoNormal"/>
      </w:pPr>
    </w:p>
    <w:p w:rsidR="00163957" w:rsidRDefault="00163957" w:rsidP="00163957">
      <w:pPr>
        <w:pStyle w:val="TextoNormal"/>
      </w:pPr>
      <w:r>
        <w:t>d) Tal suerte no ha de ser la de la disposición adicional octava de la Ley de racionalización y sostenibilidad de la Administración local, impugnada por los mismos motivos. Esta norma se limita a establecer la obligación de la Tesorería General de la Seguridad Social de comunicar al Ministerio de Hacienda y Administraciones Públicas el incumplimiento de ciertos compromisos de pago con el fin de facilitar “la retención de los recursos al sujeto obligado para hacer frente a dichos pagos en los términos en que se establezca legalmente”. La norma establece un mecanismo que facilita la retención, pero no la autoriza ni regula estrictamente. Consecuentemente, ni incumple la reserva de ley orgánica (art. 157.3 CE) ni puede plantearse siquiera una posible vulneración de la autonomía financiera de las Comunidades Autónomas. Corresponde, pues, desestimar la impugnación de la disposición adicional octava de la Ley de racionalización y sostenibilidad de la Administración local.</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parcialmente el recurso de inconstitucionalidad y en consecuencia:</w:t>
      </w:r>
    </w:p>
    <w:p w:rsidR="00163957" w:rsidRDefault="00163957" w:rsidP="00163957">
      <w:pPr>
        <w:pStyle w:val="TextoNormal"/>
      </w:pPr>
    </w:p>
    <w:p w:rsidR="00163957" w:rsidRDefault="00163957" w:rsidP="00163957">
      <w:pPr>
        <w:pStyle w:val="TextoNormal"/>
      </w:pPr>
      <w:r>
        <w:t>1º Declarar inconstitucionales y nulos el art. 57 bis de la Ley 7/1985, de 2 de abril, reguladora de las bases del régimen local (en la redacción dada por el art. 1.17 de la Ley 27/2013, de 27 de diciembre, de racionalización y sostenibilidad de la administración local) y las disposiciones adicional undécima y transitorias primera, segunda y tercera, así como los incisos “Decreto del órgano de gobierno de” y “el Órgano de Gobierno de”, incluidos, respectivamente, en las disposiciones transitorias cuarta.3 y undécima, párrafo tercero, todos de la Ley 27/2013.</w:t>
      </w:r>
    </w:p>
    <w:p w:rsidR="00163957" w:rsidRDefault="00163957" w:rsidP="00163957">
      <w:pPr>
        <w:pStyle w:val="TextoNormal"/>
      </w:pPr>
    </w:p>
    <w:p w:rsidR="00163957" w:rsidRDefault="00163957" w:rsidP="00163957">
      <w:pPr>
        <w:pStyle w:val="TextoNormal"/>
      </w:pPr>
      <w:r>
        <w:t>2º Declarar que la disposición adicional decimoquinta de la Ley 27/2013 no es inconstitucional, interpretada en los términos del fundamento jurídico 13 e) de esta Sentencia.</w:t>
      </w:r>
    </w:p>
    <w:p w:rsidR="00163957" w:rsidRDefault="00163957" w:rsidP="00163957">
      <w:pPr>
        <w:pStyle w:val="TextoNormal"/>
      </w:pPr>
    </w:p>
    <w:p w:rsidR="00163957" w:rsidRDefault="00163957" w:rsidP="00163957">
      <w:pPr>
        <w:pStyle w:val="TextoNormal"/>
      </w:pPr>
      <w:r>
        <w:t>3º Desestimar el recurso de inconstitucionalidad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tres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45" w:name="SENTENCIA_2016_42"/>
      <w:r>
        <w:lastRenderedPageBreak/>
        <w:t>SENTENCIA 42/2016, de 3 de marzo de 2016</w:t>
      </w:r>
    </w:p>
    <w:bookmarkEnd w:id="45"/>
    <w:p w:rsidR="00163957" w:rsidRDefault="00163957" w:rsidP="00163957">
      <w:pPr>
        <w:pStyle w:val="TtuloResolucin"/>
      </w:pPr>
      <w:r>
        <w:t>Pleno</w:t>
      </w:r>
    </w:p>
    <w:p w:rsidR="00163957" w:rsidRDefault="00163957" w:rsidP="00163957">
      <w:pPr>
        <w:pStyle w:val="TtuloBOE"/>
      </w:pPr>
      <w:r>
        <w:t>(BOE núm. 85, de 8 de abril de 2016)</w:t>
      </w:r>
    </w:p>
    <w:p w:rsidR="00163957" w:rsidRDefault="00163957" w:rsidP="00163957">
      <w:pPr>
        <w:pStyle w:val="TextoNormalCentrado"/>
      </w:pPr>
      <w:r>
        <w:t>ECLI:ES:TC:2016:42</w:t>
      </w:r>
    </w:p>
    <w:p w:rsidR="00163957" w:rsidRDefault="00163957" w:rsidP="00163957">
      <w:pPr>
        <w:pStyle w:val="TextoNormalCentrado"/>
      </w:pPr>
    </w:p>
    <w:p w:rsidR="00163957" w:rsidRDefault="00163957" w:rsidP="00163957">
      <w:pPr>
        <w:pStyle w:val="SntesisDescriptiva"/>
      </w:pPr>
      <w:r>
        <w:t>Recurso de inconstitucionalidad 2391-2014. Interpuesto por el Consejo de Gobierno de la Comunidad Autónoma de Andalucía en relación con diversos preceptos del Real Decreto-ley 9/2013, de 12 de julio, por el que se adoptan medidas urgentes para garantizar la estabilidad financiera del sistema eléctrico.</w:t>
      </w:r>
    </w:p>
    <w:p w:rsidR="00163957" w:rsidRDefault="00163957" w:rsidP="00163957">
      <w:pPr>
        <w:pStyle w:val="SntesisDescriptiva"/>
      </w:pPr>
    </w:p>
    <w:p w:rsidR="00163957" w:rsidRDefault="00163957" w:rsidP="00163957">
      <w:pPr>
        <w:pStyle w:val="SntesisAnaltica"/>
      </w:pPr>
      <w:r>
        <w:t>Límites de los decretos-leyes y principio de seguridad jurídica: acreditación de la concurrencia del presupuesto habilitante; constitucionalidad de los preceptos legales que establecen un nuevo régimen retributivo para los titulares de las instalaciones de producción de energía eléctrica en régimen primado (STC 270/2015). Voto particular.</w:t>
      </w:r>
    </w:p>
    <w:p w:rsidR="00163957" w:rsidRDefault="00163957" w:rsidP="00163957">
      <w:pPr>
        <w:pStyle w:val="SntesisAnaltica"/>
      </w:pPr>
    </w:p>
    <w:p w:rsidR="00163957" w:rsidRDefault="00163957" w:rsidP="00163957">
      <w:pPr>
        <w:pStyle w:val="Extracto"/>
      </w:pPr>
      <w:r>
        <w:t>1.</w:t>
      </w:r>
      <w:r>
        <w:tab/>
        <w:t>Asunto sustancialmente idéntico al resuelto por la STC 270/2015, en relación con la doctrina sobre el presupuesto habilitante de los decretos-leyes y los principios de seguridad jurídica y confianza legítima e irretroactividad [FFJJ 3,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Vicepresidenta,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2391-2014, promovido por el Consejo de Gobierno de la Comunidad Autónoma de Andalucía contra la disposición transitoria tercera y la disposición final segunda del Real Decreto-ley 9/2013, de 12 de julio, por el que se adoptan medidas urgentes para garantizar la estabilidad financiera del sistema eléctrico. Ha comparecido y formulado alegaciones el Abogado del Estado. Ha sido Ponente el Magistrado don Juan Antonio Xiol Ríos,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11 de abril de 2014 tuvo entrada en el Registro General de este Tribunal, escrito del Letrado de la Junta de Andalucía por el que, en nombre y representación del Consejo de Gobierno de la Comunidad Autónoma, interpone recurso de inconstitucionalidad contra la </w:t>
      </w:r>
      <w:r>
        <w:lastRenderedPageBreak/>
        <w:t>disposición transitoria tercera y la disposición final segunda del Real Decreto-ley 9/2013, de 12 de julio, por el que se adoptan medidas urgentes para garantizar la estabilidad financiera del sistema eléctrico.</w:t>
      </w:r>
    </w:p>
    <w:p w:rsidR="00163957" w:rsidRDefault="00163957" w:rsidP="00163957">
      <w:pPr>
        <w:pStyle w:val="TextoNormal"/>
      </w:pPr>
    </w:p>
    <w:p w:rsidR="00163957" w:rsidRDefault="00163957" w:rsidP="00163957">
      <w:pPr>
        <w:pStyle w:val="TextoNormal"/>
      </w:pPr>
      <w:r>
        <w:t>Tras hacer referencia al cumplimiento de los requisitos procesales para el planteamiento del recurso, y al marco normativo general en el que se inserta la disposición recurrida, la demanda procede al análisis de los concretos motivos de inconstitucionalidad sustentan la presente impugnación, y que son los que sintéticamente se exponen a continuación.</w:t>
      </w:r>
    </w:p>
    <w:p w:rsidR="00163957" w:rsidRDefault="00163957" w:rsidP="00163957">
      <w:pPr>
        <w:pStyle w:val="TextoNormal"/>
      </w:pPr>
    </w:p>
    <w:p w:rsidR="00163957" w:rsidRDefault="00163957" w:rsidP="00163957">
      <w:pPr>
        <w:pStyle w:val="TextoNormal"/>
      </w:pPr>
      <w:r>
        <w:t>a) Considera la demanda, en primer término, que se incumple el presupuesto habilitante de la extraordinaria y urgente necesidad, contemplado en el art. 86.1 CE, para la utilización del instrumento normativo del decreto-ley. Tras un extenso análisis de la doctrina constitucional en la materia, se afirma que dicho incumplimiento deriva del hecho de que, conforme a lo señalado en la exposición de motivos de la norma, la extraordinaria urgencia se sustenta en la necesidad de paliar el déficit tarifario del sector eléctrico, y dicha circunstancia no es nueva, sino que ha sido objeto de una utilización sistemática y reiterada, por lo que difícilmente puede defenderse que nos hallemos ante una situación imprevista, cuando la propia defensa parlamentaria de la medidas normativas ha puesto de relieve la existencia de este déficit desde hace casi una década.</w:t>
      </w:r>
    </w:p>
    <w:p w:rsidR="00163957" w:rsidRDefault="00163957" w:rsidP="00163957">
      <w:pPr>
        <w:pStyle w:val="TextoNormal"/>
      </w:pPr>
    </w:p>
    <w:p w:rsidR="00163957" w:rsidRDefault="00163957" w:rsidP="00163957">
      <w:pPr>
        <w:pStyle w:val="TextoNormal"/>
      </w:pPr>
      <w:r>
        <w:t>Afirma también la demanda que se infringe el art. 86.1 CE, en cuanto las medidas que se adoptan no modifican de manera instantánea la situación jurídica existente, ya que la mayoría de ellas tiene una aplicación diferida. El mantenimiento transitorio de las disposiciones derogadas, recogido en la disposición transitoria tercera de la norma impugnada, se opone a la urgencia que justifica acudir a la figura del decreto-ley; y la remisión a una norma posterior para la regulación del nuevo régimen retributivo de ese subsector, que efectúa la disposición final segunda, justifica la falta de eficacia directa de las medidas adoptadas. En todo caso, no se explicitarían en el preámbulo cuáles son los motivos por lo que dicha regulación no podría haberse aprobado como proyecto de ley, siquiera sea por el procedimiento de urgencia.</w:t>
      </w:r>
    </w:p>
    <w:p w:rsidR="00163957" w:rsidRDefault="00163957" w:rsidP="00163957">
      <w:pPr>
        <w:pStyle w:val="TextoNormal"/>
      </w:pPr>
    </w:p>
    <w:p w:rsidR="00163957" w:rsidRDefault="00163957" w:rsidP="00163957">
      <w:pPr>
        <w:pStyle w:val="TextoNormal"/>
      </w:pPr>
      <w:r>
        <w:t>b) Se alega, en segundo lugar, la vulneración del principio constitucional de seguridad jurídica (art. 9.3 CE), y su corolario de confianza legítima, que se produciría en su vertiente de certeza del régimen jurídico aplicable al sector de la producción de energía obtenida con fuentes renovables, en la medida en que las continuas decisiones legislativas de los últimos años, cambiando las reglas de juego del mercado eléctrico por la vía de urgencia, introducen una evidente incertidumbre entre los operadores del sector y los ciudadanos en general, contraria a la seguridad jurídica.</w:t>
      </w:r>
    </w:p>
    <w:p w:rsidR="00163957" w:rsidRDefault="00163957" w:rsidP="00163957">
      <w:pPr>
        <w:pStyle w:val="TextoNormal"/>
      </w:pPr>
    </w:p>
    <w:p w:rsidR="00163957" w:rsidRDefault="00163957" w:rsidP="00163957">
      <w:pPr>
        <w:pStyle w:val="TextoNormal"/>
      </w:pPr>
      <w:r>
        <w:t xml:space="preserve">La infracción del principio de confianza legítima, corolario del principio de seguridad jurídica, encuentra su fundamento en el hecho de que la modificación del régimen retributivo de esta modalidad de producción de energía eléctrica, constituye una medida que, no aisladamente, pero sí contextualizada en su conjunto, implica un cambio de orientación no previsible en el régimen jurídico-económico en el que legítimamente confiaron los operadores del sector, yendo pues más allá de una razonable opción de política legislativa. Supone un cambio drástico del sistema normativo diseñado en los pasados años conforme a la normativa europea, sistema que implicaba la creación por la Administración de unos signos externos (normativa y planes) de relevante perdurabilidad, que impulsó a los operadores del </w:t>
      </w:r>
      <w:r>
        <w:lastRenderedPageBreak/>
        <w:t>sector a adoptar determinadas decisiones en cuanto a su planificación e inversión. La constante modificación en un sector necesitado de planificación a largo plazo, en los términos de los arts. 38 y 131 CE, vulnera el principio de seguridad jurídica y confianza legítima que garantizar el art. 9.3 CE, pues, además de perjudicar el interés jurídico protegido por dichos principios, pone en riesgo las inversiones ya realizadas por los empresarios del sector y la ciudadanía en general, en tanto que se modifican de modo constante y reiterado las normas en base a las cuales se adoptaron las decisiones empresariales.</w:t>
      </w:r>
    </w:p>
    <w:p w:rsidR="00163957" w:rsidRDefault="00163957" w:rsidP="00163957">
      <w:pPr>
        <w:pStyle w:val="TextoNormal"/>
      </w:pPr>
    </w:p>
    <w:p w:rsidR="00163957" w:rsidRDefault="00163957" w:rsidP="00163957">
      <w:pPr>
        <w:pStyle w:val="TextoNormal"/>
      </w:pPr>
      <w:r>
        <w:t>En este contexto, la disposición transitoria tercera deja vigentes de modo transitorio una serie de disposiciones, pero manteniendo la total incertidumbre acerca de la duración de dicha transitoriedad, lo que es claramente contrario a la seguridad jurídica, pues va a provocar que la actividad de generación se desarrolle con total desconocimiento de la fecha y cuantía de la retribución que se va a percibir por ella a partir de la entrada en vigor del Real Decreto, posponiendo la determinación de los derechos de pago y cobro a una regulación posterior. Por su parte, la disposición final segunda remite la regulación del nuevo régimen jurídico y económico de la producción de esta modalidad de energía, a la aprobación posterior por parte del Gobierno de un real decreto sobre esta materia, por lo que nuevamente se expone a los inversores a la incertidumbre sobre la retribución que les corresponderá, y el momento a partir del cual entrará en vigor el nuevo modelo.</w:t>
      </w:r>
    </w:p>
    <w:p w:rsidR="00163957" w:rsidRDefault="00163957" w:rsidP="00163957">
      <w:pPr>
        <w:pStyle w:val="TextoNormal"/>
      </w:pPr>
    </w:p>
    <w:p w:rsidR="00163957" w:rsidRDefault="00163957" w:rsidP="00163957">
      <w:pPr>
        <w:pStyle w:val="TextoNormal"/>
      </w:pPr>
      <w:r w:rsidRPr="00163957">
        <w:rPr>
          <w:rStyle w:val="NumeroAFNegritaCaracter"/>
        </w:rPr>
        <w:t>2</w:t>
      </w:r>
      <w:r>
        <w:t>. El Pleno del Tribunal Constitucional a propuesta de la Sección Primera y por providencia de 27 de mayo de 2014, se acordó admitir a trámite el presente recurso de inconstitucionalidad y dar traslado de la demanda y documentos presentados, conforme establece el art. 34 de la Ley Orgánica del Tribunal Constitucional (LOTC), al Congreso de los Diputados y al Senado, por conducto de sus Presidentes, y al Gobierno, a través del Ministro de Justicia, al objeto de que, en el plazo de quince días, pudiesen personarse en el proceso y formular las alegaciones que estimaren convenientes, así como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registrado ante este Tribunal el 5 de junio de 2014, el Presidente del Congreso de los Diputados comunicó el acuerdo de la Mesa de la Cámara de dar por personada a la misma en este procedimiento y por ofrecida su colaboración a los efectos del art. 88.1 LOTC. En el mismo sentido, y por escrito de 11 de junio de 2014, el Presidente del Senado comunica la personación de esa Cámara y el ofrecimiento de colaboración a los efectos del citado art. 88.1 LOTC.</w:t>
      </w:r>
    </w:p>
    <w:p w:rsidR="00163957" w:rsidRDefault="00163957" w:rsidP="00163957">
      <w:pPr>
        <w:pStyle w:val="TextoNormal"/>
      </w:pPr>
    </w:p>
    <w:p w:rsidR="00163957" w:rsidRDefault="00163957" w:rsidP="00163957">
      <w:pPr>
        <w:pStyle w:val="TextoNormal"/>
      </w:pPr>
      <w:r w:rsidRPr="00163957">
        <w:rPr>
          <w:rStyle w:val="NumeroAFNegritaCaracter"/>
        </w:rPr>
        <w:t>4</w:t>
      </w:r>
      <w:r>
        <w:t>. Con fecha 11 de junio de 2014, el Abogado del Estado se persona en nombre del Gobierno y solicita prórroga del plazo para formular alegaciones, que le fue concedido mediante providencia del Pleno de 12 de junio de 2014.</w:t>
      </w:r>
    </w:p>
    <w:p w:rsidR="00163957" w:rsidRDefault="00163957" w:rsidP="00163957">
      <w:pPr>
        <w:pStyle w:val="TextoNormal"/>
      </w:pPr>
    </w:p>
    <w:p w:rsidR="00163957" w:rsidRDefault="00163957" w:rsidP="00163957">
      <w:pPr>
        <w:pStyle w:val="TextoNormal"/>
      </w:pPr>
      <w:r w:rsidRPr="00163957">
        <w:rPr>
          <w:rStyle w:val="NumeroAFNegritaCaracter"/>
        </w:rPr>
        <w:t>5</w:t>
      </w:r>
      <w:r>
        <w:t>. En fecha 2 de julio de 2014 tuvo entrada en este Tribunal escrito de alegaciones del Abogado del Estado, en el que solicita se tenga por evacuado el trámite conferido y, en su día, se dicte sentencia desestimatoria del presente recurso en todos sus extremos.</w:t>
      </w:r>
    </w:p>
    <w:p w:rsidR="00163957" w:rsidRDefault="00163957" w:rsidP="00163957">
      <w:pPr>
        <w:pStyle w:val="TextoNormal"/>
      </w:pPr>
    </w:p>
    <w:p w:rsidR="00163957" w:rsidRDefault="00163957" w:rsidP="00163957">
      <w:pPr>
        <w:pStyle w:val="TextoNormal"/>
      </w:pPr>
      <w:r>
        <w:t xml:space="preserve">En primer término, y en cuanto a la alegada vulneración del art. 86.1 CE, el Abogado del Estado manifiesta que la situación de extraordinaria y urgente necesidad deriva del carácter insostenible del déficit del sector eléctrico y de la necesidad de adoptar medidas urgentes </w:t>
      </w:r>
      <w:r>
        <w:lastRenderedPageBreak/>
        <w:t>de vigencia inmediata que permitan poner término a dicha situación. En los últimos ejercicios, el déficit tarifario ha continuado su crecimiento, hasta situarse, según los últimos datos disponibles de la Comisión Nacional de la Energía, en un saldo de deuda acumulada de 26.062,51 millones de euros, a 10 de mayo de 2013. De forma complementaria al cálculo de la deuda del sistema eléctrico, señala que desde el año 2003 hasta el 10 de mayo de 2013, el importe satisfecho para financiar el déficit del sistema eléctrico a través de anualidades que se incorporan en los peajes de acceso de los consumidores, a precios corrientes de cada año, ascienda a 11.823 millones de euros. Por este motivo se han venido adoptando en los últimos años una serie de medidas de carácter urgente que afectan tanto a la partida de costes como a la de ingresos. Es en definitiva la gravísima situación financiera del sistema eléctrico, motivada por la evolución descontrolada e insostenible del déficit de tarifa, la que ha hecho necesario la adopción de múltiples medidas excepcionales y urgentes que han afectado a todos los agentes del sistema, con el objetivo de contener los costes y, a la vez, dar estabilidad al sistema para evitar en lo posible futuras desviaciones con respecto a las estimaciones.</w:t>
      </w:r>
    </w:p>
    <w:p w:rsidR="00163957" w:rsidRDefault="00163957" w:rsidP="00163957">
      <w:pPr>
        <w:pStyle w:val="TextoNormal"/>
      </w:pPr>
    </w:p>
    <w:p w:rsidR="00163957" w:rsidRDefault="00163957" w:rsidP="00163957">
      <w:pPr>
        <w:pStyle w:val="TextoNormal"/>
      </w:pPr>
      <w:r>
        <w:t>Continúa señalando el Abogado del Estado que, expuesta la situación de gravedad en relación con la estabilidad financiera del sistema eléctrico, la tardanza en la adopción de medidas legislativas podría haber afectado muy negativamente al mantenimiento mismo de la producción y suministro de energía eléctrica. No es tanto la imprevisibilidad en sí de las circunstancias, cuanto la gravedad de las mismas como efecto derivado de regulaciones anteriores que introdujeron en el sistema patrones de primas y subvención que devienen excesivamente costosos para unos presupuestos en situación de contracción económica y la consiguiente urgencia de adoptar las medidas normativas adecuadas para su solución. El carácter estructural del problema no imposibilita desde el punto de vista jurídico la adopción en un momento dado de medidas legislativas a través de un decreto-ley si, en consideración a las circunstancias concretas en dicho momentos en que se adopta la norma, el Gobierno así lo aprecia justamente.</w:t>
      </w:r>
    </w:p>
    <w:p w:rsidR="00163957" w:rsidRDefault="00163957" w:rsidP="00163957">
      <w:pPr>
        <w:pStyle w:val="TextoNormal"/>
      </w:pPr>
    </w:p>
    <w:p w:rsidR="00163957" w:rsidRDefault="00163957" w:rsidP="00163957">
      <w:pPr>
        <w:pStyle w:val="TextoNormal"/>
      </w:pPr>
      <w:r>
        <w:t>Considera asimismo el Abogado del Estado que la norma recurrida tiene una vigencia inmediata y, en este sentido, la disposición final segunda del Real Decreto-ley establece la vigencia del nuevo régimen de retribución desde la entrada en vigor del mismo, esto es, sin efecto retroactivo alguno, por lo que no se trata de un régimen de retribuciones aplazado; el destinatario de la norma sabe cuál es el nuevo sistema de retribuciones a la producción, sobre qué bases se asienta y en qué consiste desde la entrada en vigor del Real Decreto-ley y cómo se aplicará, es decir, la aplicación provisional con facturaciones a cuenta del sistema hasta el momento vigente, y el porqué de la situación, la necesidad de precisión reguladora en el sistema de facturación mediante normativa reglamentaria de carácter técnico.</w:t>
      </w:r>
    </w:p>
    <w:p w:rsidR="00163957" w:rsidRDefault="00163957" w:rsidP="00163957">
      <w:pPr>
        <w:pStyle w:val="TextoNormal"/>
      </w:pPr>
    </w:p>
    <w:p w:rsidR="00163957" w:rsidRDefault="00163957" w:rsidP="00163957">
      <w:pPr>
        <w:pStyle w:val="TextoNormal"/>
      </w:pPr>
      <w:r>
        <w:t xml:space="preserve">A su juicio, los elementos normativos básicos o esenciales de la reforma ya están prefijados en la nueva redacción del art. 30.4 de la Ley 54/1997, modificado por el art. 1.3 del Real Decreto-ley. La referencia que se efectúa al real decreto que modificará el modelo retributivo, significa el desarrollo, detalle o concreción de ese nuevo régimen retributivo que introduce el Real Decreto-ley 9/2013. Por su parte, la disposición transitoria tercera contiene una norma lógica de derecho transitorio puesto que la nueva regulación establecida prevé un desarrollo reglamentario para su efectiva aplicación, sin que ello suponga en modo alguno deslegalización o remisión en bloque a la norma reglamentaria, sino, por el contrario, </w:t>
      </w:r>
      <w:r>
        <w:lastRenderedPageBreak/>
        <w:t>una norma de concreción y ejecución del régimen jurídico esencial ya establecido o configurado por el Real Decreto-ley.</w:t>
      </w:r>
    </w:p>
    <w:p w:rsidR="00163957" w:rsidRDefault="00163957" w:rsidP="00163957">
      <w:pPr>
        <w:pStyle w:val="TextoNormal"/>
      </w:pPr>
    </w:p>
    <w:p w:rsidR="00163957" w:rsidRDefault="00163957" w:rsidP="00163957">
      <w:pPr>
        <w:pStyle w:val="TextoNormal"/>
      </w:pPr>
      <w:r>
        <w:t>No se produce, pues, un efecto retroactivo, en tanto que el nuevo régimen jurídico se aplica desde la entrada en vigor del Real Decreto-ley 9/2013, y así lo prevé de manera explícita la norma, con independencia de que quepa una normativa de desarrollo. La retroactividad que pudiera apreciarse lo sería solo de grado mínimo, pues la aplicación de la nueva ley se produce sólo respecto de los efectos de las situaciones que se generen tras la entrada en vigor de la misma, algo admitido doctrinalmente por la jurisprudencia constitucional, máxime en lo que se refiere al cambio legislativo que experimente el ordenamiento a través de normas con rango de ley, cuya actividad innovadora no contraviene el principio de irretroactividad. Tampoco nos hallamos ante una norma sancionadora en sentido técnico, y la misma no posee alcance expropiatorio alguno, ni incide en derechos patrimoniales ya consolidados e incorporados definitivamente al patrimonio del destinatario de la norma o modificativa de situaciones jurídicas favorables ya agotadas o consumadas. Como argumento complementario, se señala que la norma no contempla en ningún caso la devolución de cantidades percibidas con anterioridad a su entrada en vigor, e incorporadas al patrimonio del sujeto destinatario de la norma.</w:t>
      </w:r>
    </w:p>
    <w:p w:rsidR="00163957" w:rsidRDefault="00163957" w:rsidP="00163957">
      <w:pPr>
        <w:pStyle w:val="TextoNormal"/>
      </w:pPr>
    </w:p>
    <w:p w:rsidR="00163957" w:rsidRDefault="00163957" w:rsidP="00163957">
      <w:pPr>
        <w:pStyle w:val="TextoNormal"/>
      </w:pPr>
      <w:r>
        <w:t>En relación con la alegada infracción del principio de seguridad jurídica, señala el Abogado del Estado que las circunstancias que motivan la regulación de fondo contenida en el Real Decreto-ley, y su condición de norma con rango de ley disipan la objeción de una supuesta o hipotética falta de seguridad jurídica respecto de la situación regulada, conforme y por comparación con la normativa preexistente que viene a modificar. Se recuerda que, conforme a la doctrina constitucional, el principio de seguridad protege la confianza de los ciudadanos, pero no puede entenderse como un supuesto derecho al mantenimiento de una determinado régimen jurídico; la confianza que protege ese principio es únicamente la que puede existir frente a cambios normativos que no sean razonablemente previsibles, y no puede resultar previsible el mantenimiento indefinido e inamovible de una situación, que no conceda al legislador la posibilidad de alteración de ese régimen o la innovación de la realidad jurídica, hacia una situación regida por premisas normales de explotación económica de mercado, en un sector empresarial determinado, es decir no puede pretenderse la permanencia de un sistema protegido.</w:t>
      </w:r>
    </w:p>
    <w:p w:rsidR="00163957" w:rsidRDefault="00163957" w:rsidP="00163957">
      <w:pPr>
        <w:pStyle w:val="TextoNormal"/>
      </w:pPr>
    </w:p>
    <w:p w:rsidR="00163957" w:rsidRDefault="00163957" w:rsidP="00163957">
      <w:pPr>
        <w:pStyle w:val="TextoNormal"/>
      </w:pPr>
      <w:r>
        <w:t>Asimismo se rechaza por el Abogado del Estado que la norma resulte arbitraria, en tanto que la modificación operada se produce sobre la base de criterios específicos y objetivos otorgados por la ley de reforma, e íntimamente conectados con la realidad jurídica empresarial de la industria en la que incide. Y se niega también la supuesta desigualdad de trato entre empresas del sector eléctrico, pues, como se pone de manifiesto en el informe de la Secretaría General Técnica, “la evolución descontrolada e insostenible del déficit de tarifa ha hecho necesaria la adopción de múltiples medidas… que han afectado a todos los agentes del sistema…”. La modificación que ahora se introduce no constituye pues, una medida aislada sino una norma que se integra dentro del conjunto sistemático del ordenamiento.</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providencia de 1 de marzo de 2016, se señaló para deliberación y votación de la presente Sentencia el día 3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el presente proceso constitucional debemos resolver el recurso de inconstitucionalidad interpuesto por el Consejo de Gobierno de la Comunidad Autónoma de Andalucía contra la disposición transitoria tercera y la disposición final segunda del Real Decreto-ley 9/2013, de 12 de julio, por el que se adoptan medidas urgentes para garantizar la estabilidad financiera del sistema eléctrico.</w:t>
      </w:r>
    </w:p>
    <w:p w:rsidR="00163957" w:rsidRDefault="00163957" w:rsidP="00163957">
      <w:pPr>
        <w:pStyle w:val="TextoNormal"/>
      </w:pPr>
    </w:p>
    <w:p w:rsidR="00163957" w:rsidRDefault="00163957" w:rsidP="00163957">
      <w:pPr>
        <w:pStyle w:val="TextoNormal"/>
      </w:pPr>
      <w:r>
        <w:t>El Real Decreto-ley viene, en lo sustancial, a modificar la Ley 54/1997, de 27 de noviembre, del sector eléctrico, en orden al establecimiento de un nuevo régimen retributivo para las instalaciones de producción de energía eléctrica a partir de fuentes de energía renovable, cogeneración y residuos. A través de los preceptos impugnados en este proceso, se habilita al Gobierno para desarrollar por real decreto el régimen jurídico y económico para estas instalaciones con retribución primada, que modificará el régimen retributivo de las instalaciones existentes, y será de aplicación desde la entrada en vigor del presente Real Decreto-ley; y se establece, además, un régimen transitorio, en virtud del cual serán temporalmente de aplicación los reales decretos que contemplan el régimen vigente —y que expresamente se derogan—, hasta la aprobación de las disposiciones necesarias para la plena aplicación del nuevo régimen retributivo.</w:t>
      </w:r>
    </w:p>
    <w:p w:rsidR="00163957" w:rsidRDefault="00163957" w:rsidP="00163957">
      <w:pPr>
        <w:pStyle w:val="TextoNormal"/>
      </w:pPr>
    </w:p>
    <w:p w:rsidR="00163957" w:rsidRDefault="00163957" w:rsidP="00163957">
      <w:pPr>
        <w:pStyle w:val="TextoNormal"/>
      </w:pPr>
      <w:r>
        <w:t>Como ha quedado expuesto en los antecedentes, el Gobierno de Andalucía considera que los preceptos impugnados infringen: el art. 86.1 CE, por falta del presupuesto habilitante de la extraordinaria y urgente necesidad para la aprobación de la norma por el procedimiento de urgencia; y el principio de seguridad jurídica del art. 9.3 CE, en su vertiente de protección de la, confianza legítima y certeza del derecho, en la medida en que el cambio normativo realizado por vía de urgencia y con carácter retroactivo, genera incertidumbre en los afectados, y resulta imprevisible y desfavorable para las instalaciones de producción de energía eléctrica existentes.</w:t>
      </w:r>
    </w:p>
    <w:p w:rsidR="00163957" w:rsidRDefault="00163957" w:rsidP="00163957">
      <w:pPr>
        <w:pStyle w:val="TextoNormal"/>
      </w:pPr>
    </w:p>
    <w:p w:rsidR="00163957" w:rsidRDefault="00163957" w:rsidP="00163957">
      <w:pPr>
        <w:pStyle w:val="TextoNormal"/>
      </w:pPr>
      <w:r>
        <w:t>El Abogado del Estado defiende, por el contrario, la constitucionalidad de los preceptos impugnados, rechazando, por los motivos que se resumen en los antecedentes de esta Sentencia, la vulneración de los preceptos constitucionales alegados por el Letrado autonómico.</w:t>
      </w:r>
    </w:p>
    <w:p w:rsidR="00163957" w:rsidRDefault="00163957" w:rsidP="00163957">
      <w:pPr>
        <w:pStyle w:val="TextoNormal"/>
      </w:pPr>
    </w:p>
    <w:p w:rsidR="00163957" w:rsidRDefault="00163957" w:rsidP="00163957">
      <w:pPr>
        <w:pStyle w:val="TextoNormal"/>
      </w:pPr>
      <w:r w:rsidRPr="00163957">
        <w:rPr>
          <w:rStyle w:val="NumeroAFNegritaCaracter"/>
        </w:rPr>
        <w:t>2</w:t>
      </w:r>
      <w:r>
        <w:t>. Las cuestiones controvertidas en el presente proceso, presentan una sustancial coincidencia con las suscitadas en el recurso de inconstitucionalidad tramitado bajo el número 5347-2013 y resuelto por la reciente STC 270/2015, de 17 de diciembre, cuya doctrina resulta, en consecuencia, de directa aplicación al supuesto que nos ocupa.</w:t>
      </w:r>
    </w:p>
    <w:p w:rsidR="00163957" w:rsidRDefault="00163957" w:rsidP="00163957">
      <w:pPr>
        <w:pStyle w:val="TextoNormal"/>
      </w:pPr>
    </w:p>
    <w:p w:rsidR="00163957" w:rsidRDefault="00163957" w:rsidP="00163957">
      <w:pPr>
        <w:pStyle w:val="TextoNormal"/>
      </w:pPr>
      <w:r>
        <w:t xml:space="preserve">Con carácter previo al examen de fondo, y en lo que respecta a la pervivencia del proceso tras las modificaciones efectuadas en la norma impugnada por la Ley 24/2013, de 26 de diciembre, del sector eléctrico, hemos tenido ocasión de señalar que tales modificaciones no han dado lugar a una derogación, o, lo que es lo mismo, a la remoción absoluta de las situaciones jurídicas creadas al amparo de la disposición impugnada, sino, más bien al contrario, a una novación actualizada del régimen retributivo que se contempla en a disposición impugnada para la actividad de producción a partir de fuentes de energía renovables, cogeneración y residuos con régimen económico primado; régimen jurídico al que expresamente se remite la Ley 24/2013 y que, en consecuencia y en lo sustancial, ha resultado incorporado, </w:t>
      </w:r>
      <w:r>
        <w:lastRenderedPageBreak/>
        <w:t>en sus propios términos, a una norma con rango formal de ley. Por esta razón la modificación de las normas impugnadas en el presente proceso no permite apreciar la desaparición del objeto del recurso de inconstitucionalidad formulado, siendo procedente, en consecuencia, el examen de fondo de los preceptos impugnados (STC 270/2015, FJ 2).</w:t>
      </w:r>
    </w:p>
    <w:p w:rsidR="00163957" w:rsidRDefault="00163957" w:rsidP="00163957">
      <w:pPr>
        <w:pStyle w:val="TextoNormal"/>
      </w:pPr>
    </w:p>
    <w:p w:rsidR="00163957" w:rsidRDefault="00163957" w:rsidP="00163957">
      <w:pPr>
        <w:pStyle w:val="TextoNormal"/>
      </w:pPr>
      <w:r w:rsidRPr="00163957">
        <w:rPr>
          <w:rStyle w:val="NumeroAFNegritaCaracter"/>
        </w:rPr>
        <w:t>3</w:t>
      </w:r>
      <w:r>
        <w:t>. Entrando en el examen de fondo, procede examinar en primer término la tacha de inconstitucionalidad relativa a la vulneración del art. 86.1 CE que se imputa a los preceptos impugnados y que se fundamenta en la ausencia del presupuesto habilitante de la “extraordinaria y urgente necesidad”.</w:t>
      </w:r>
    </w:p>
    <w:p w:rsidR="00163957" w:rsidRDefault="00163957" w:rsidP="00163957">
      <w:pPr>
        <w:pStyle w:val="TextoNormal"/>
      </w:pPr>
    </w:p>
    <w:p w:rsidR="00163957" w:rsidRDefault="00163957" w:rsidP="00163957">
      <w:pPr>
        <w:pStyle w:val="TextoNormal"/>
      </w:pPr>
      <w:r>
        <w:t>El cumplimiento de los requisitos previstos en el art. 86.1 CE, fue objeto de examen pormenorizado en el fundamento jurídico 5 de la STC 270/2015, entendiendo que “las razones que motivaron la aprobación de esta norma de urgencia derivan de la evolución expansiva de los costes del sistema eléctrico, unida a las consecuencias de la crisis económica y a la necesidad de cumplimiento de los objetivos de déficit para el año 2014, que determinan la necesidad de adopción de una serie de medidas dirigidas a garantizar la estabilidad financiera del sistema eléctrico, mediante una revisión de su marco regulatorio. Es pues, la situación de crisis económica que ha repercutido en una caída imprevista de la demanda de energía eléctrica, junto con el incremento general de costes, que ha provocado un aumento imprevisto del déficit tarifario, lo que justifica la adopción de las medidas contempladas en la norma que se examina”.</w:t>
      </w:r>
    </w:p>
    <w:p w:rsidR="00163957" w:rsidRDefault="00163957" w:rsidP="00163957">
      <w:pPr>
        <w:pStyle w:val="TextoNormal"/>
      </w:pPr>
    </w:p>
    <w:p w:rsidR="00163957" w:rsidRDefault="00163957" w:rsidP="00163957">
      <w:pPr>
        <w:pStyle w:val="TextoNormal"/>
      </w:pPr>
      <w:r>
        <w:t>En relación con la justificación específica de las medidas adoptadas, consideramos que “el argumento que sustenta las modificaciones introducidas viene a ser coincidente con el de carácter general, si bien se singulariza en el hecho de que, entre las partidas de costes que han contribuido en mayor medida al incremento del déficit tarifario destacan las primas del régimen especial y las anualidades de déficits acumulados, partidas que se han multiplicado por seis y por nueve respectivamente entre 2004 y 2012. En concreto, en el período 2013 se alude a la concurrencia de unas condiciones meteorológicas atípicas que han ocasionado, por un lado el hundimiento del precio del mercado diario hasta un nivel mínimo, y el incremento de las horas de funcionamiento de determinadas tecnologías con derecho a régimen económico primado, lo que ha determinado una notable desviación al alza del sobrecoste del régimen especial, como consecuencia de los menores precios de mercado registrados; a ello se añade que la difícil situación presupuestaria no permite dotar, en su totalidad, este extracoste, sin comprometer el cumplimiento de los objetivos de déficit para el ejercicio 2014. Sobre esta base, el nuevo régimen jurídico y económico para las instalaciones de producción de energía eléctrica existentes a partir de fuentes de energía renovable, cogeneración y residuos, se basa en la percepción de los ingresos derivados de la participación en el mercado, con una retribución específica que permita la cobertura de los costes adicionales de estas instalaciones respecto de las del resto de tecnologías en el mercado, y les permita competir en el mercado en nivel de igualdad con el resto de las tecnologías y obtener una rentabilidad razonable”.</w:t>
      </w:r>
    </w:p>
    <w:p w:rsidR="00163957" w:rsidRDefault="00163957" w:rsidP="00163957">
      <w:pPr>
        <w:pStyle w:val="TextoNormal"/>
      </w:pPr>
    </w:p>
    <w:p w:rsidR="00163957" w:rsidRDefault="00163957" w:rsidP="00163957">
      <w:pPr>
        <w:pStyle w:val="TextoNormal"/>
      </w:pPr>
      <w:r>
        <w:t xml:space="preserve">Por lo que respecta a la conexión de sentido, dijimos que “las medidas propuestas, en cuanto persiguen precisamente un ajuste de los costes en el sector eléctrico, guardan la necesaria conexión entre la situación de extraordinaria y urgente necesidad descrita, y las medidas adoptadas para hacerle frente. Además, las medidas previstas modifican de modo inmediato la situación jurídica existente, en cuanto que el nuevo sistema retributivo que la </w:t>
      </w:r>
      <w:r>
        <w:lastRenderedPageBreak/>
        <w:t>norma inicia, si bien requiere el necesario desarrollo reglamentario, es aplicable desde el momento de la entrada en vigor del Real Decreto-ley 9/2013. Efectivamente, éste establece la aplicación transitoria del régimen retributivo anterior, ahora con el carácter de pagos a cuenta, que se liquidarán definitivamente en el momento en que se apruebe el aludido desarrollo reglamentario”.</w:t>
      </w:r>
    </w:p>
    <w:p w:rsidR="00163957" w:rsidRDefault="00163957" w:rsidP="00163957">
      <w:pPr>
        <w:pStyle w:val="TextoNormal"/>
      </w:pPr>
    </w:p>
    <w:p w:rsidR="00163957" w:rsidRDefault="00163957" w:rsidP="00163957">
      <w:pPr>
        <w:pStyle w:val="TextoNormal"/>
      </w:pPr>
      <w:r>
        <w:t>Procede, por tanto, desestimar el recurso en este punto.</w:t>
      </w:r>
    </w:p>
    <w:p w:rsidR="00163957" w:rsidRDefault="00163957" w:rsidP="00163957">
      <w:pPr>
        <w:pStyle w:val="TextoNormal"/>
      </w:pPr>
    </w:p>
    <w:p w:rsidR="00163957" w:rsidRDefault="00163957" w:rsidP="00163957">
      <w:pPr>
        <w:pStyle w:val="TextoNormal"/>
      </w:pPr>
      <w:r w:rsidRPr="00163957">
        <w:rPr>
          <w:rStyle w:val="NumeroAFNegritaCaracter"/>
        </w:rPr>
        <w:t>4</w:t>
      </w:r>
      <w:r>
        <w:t>. En segundo lugar se alega la vulneración del principio de seguridad jurídica (art. 9.3 CE) en su vertiente de previsibilidad o protección de la confianza legítima y también en su dimensión de certeza del Derecho. Los argumentos expuestos por los recurrentes han sido expresamente rechazados por este Tribunal en el fundamento jurídico 7 de la citada STC 270/2015.</w:t>
      </w:r>
    </w:p>
    <w:p w:rsidR="00163957" w:rsidRDefault="00163957" w:rsidP="00163957">
      <w:pPr>
        <w:pStyle w:val="TextoNormal"/>
      </w:pPr>
    </w:p>
    <w:p w:rsidR="00163957" w:rsidRDefault="00163957" w:rsidP="00163957">
      <w:pPr>
        <w:pStyle w:val="TextoNormal"/>
      </w:pPr>
      <w:r>
        <w:t>Afirmamos entonces que “el principio de seguridad jurídica, entendido como la certeza sobre el ordenamiento jurídico aplicable, la ausencia de confusión normativa y la previsibilidad en la aplicación de derecho, no resulta afectado por los preceptos que son objeto del presente recurso de inconstitucionalidad … No estamos ante una norma incierta o falta de la indispensable claridad, pues cuenta con un contenido preciso y unos efectos perfectamente determinados.</w:t>
      </w:r>
    </w:p>
    <w:p w:rsidR="00163957" w:rsidRDefault="00163957" w:rsidP="00163957">
      <w:pPr>
        <w:pStyle w:val="TextoNormal"/>
      </w:pPr>
    </w:p>
    <w:p w:rsidR="00163957" w:rsidRDefault="00163957" w:rsidP="00163957">
      <w:pPr>
        <w:pStyle w:val="TextoNormal"/>
      </w:pPr>
      <w:r>
        <w:t>El respeto de dicho principio, y su corolario, el principio de confianza legítima, es compatible con las modificaciones en el régimen retributivo de las energías renovables realizado por el Real Decreto-ley 9/2013, más aún —como sucede en el presente caso—, en un ámbito sujeto a un elevada intervención administrativa en virtud de su incidencia en intereses generales, y a un complejo sistema regulatorio que hace inviable la pretensión de que los elementos más favorables estén investidos de permanencia o inalterabilidad frente al ejercicio de una potestad legislativa que obliga a los poderes públicos a la adaptación de dicha regulación a una cambiante realidad económica”.</w:t>
      </w:r>
    </w:p>
    <w:p w:rsidR="00163957" w:rsidRDefault="00163957" w:rsidP="00163957">
      <w:pPr>
        <w:pStyle w:val="TextoNormal"/>
      </w:pPr>
    </w:p>
    <w:p w:rsidR="00163957" w:rsidRDefault="00163957" w:rsidP="00163957">
      <w:pPr>
        <w:pStyle w:val="TextoNormal"/>
      </w:pPr>
      <w:r>
        <w:t>Estimamos también que “los cambios legislativos producidos no pueden ser cuestionados desde la óptica del principio de confianza legítima. Este principio no protege de modo absoluto la estabilidad regulatoria, ni la inmutabilidad de las normas precedentes, máxime en el contexto en que se promulgó el Real Decreto-ley que ahora se enjuicia, es decir, de dificultades económicas y de crecimiento del déficit del sistema eléctrico. Los principios de seguridad jurídica y su corolario, el de confianza legítima, no suponen el derecho de los actores económicos a la permanencia de la regulación existente en un momento dado en un determinado sector de actividad. Dicha estabilidad regulatoria es compatible con cambios legislativos, cuando sean previsibles y derivados de exigencias claras del interés general.</w:t>
      </w:r>
    </w:p>
    <w:p w:rsidR="00163957" w:rsidRDefault="00163957" w:rsidP="00163957">
      <w:pPr>
        <w:pStyle w:val="TextoNormal"/>
      </w:pPr>
    </w:p>
    <w:p w:rsidR="00163957" w:rsidRDefault="00163957" w:rsidP="00163957">
      <w:pPr>
        <w:pStyle w:val="TextoNormal"/>
      </w:pPr>
      <w:r>
        <w:t xml:space="preserve">A este respecto, las medidas cuestionadas implican, ciertamente, una modificación respecto del régimen anterior, decisión que el legislador de urgencia adopta a la vista de la situación en la que se encontraba el sistema eléctrico. No cabe calificar de inesperada la modificación producida, pues la evolución de las circunstancias que afectaban a dicho sector de la economía, hacían necesario acometer ajustes de este marco normativo, como efecto de las difíciles circunstancias del sector en su conjunto y la necesidad de asegurar el necesario equilibrio económico y la adecuada gestión del sistema. No cabe, por tanto, argumentar que la modificación del régimen retributivo que se examina fuera imprevisible para un ‘operador </w:t>
      </w:r>
      <w:r>
        <w:lastRenderedPageBreak/>
        <w:t>económico prudente y diligente’, atendiendo a las circunstancias económicas y a la insuficiencia de las medidas adoptadas para reducir un déficit persistente y continuamente al alza del sistema del sistema eléctrico no suficientemente atajado con disposiciones anteriores.</w:t>
      </w:r>
    </w:p>
    <w:p w:rsidR="00163957" w:rsidRDefault="00163957" w:rsidP="00163957">
      <w:pPr>
        <w:pStyle w:val="TextoNormal"/>
      </w:pPr>
    </w:p>
    <w:p w:rsidR="00163957" w:rsidRDefault="00163957" w:rsidP="00163957">
      <w:pPr>
        <w:pStyle w:val="TextoNormal"/>
      </w:pPr>
      <w:r>
        <w:t>El preámbulo del Real Decreto-ley determina que su objeto es evitar la ‘sobre-retribución’ de determinadas instalaciones de régimen especial, sin que los principios invocados por los recurrentes —seguridad jurídica y confianza legítima— puedan constituir un obstáculo insalvable para que el titular de la potestad legislativa pueda introducir medidas de carácter general que impliquen una alteración de determinados aspectos del régimen retributivo anterior. Estamos pues ante una norma clara, que no genera duda sobre sus efectos, los presupuestos de hecho a los que se aplica o sus consecuencias jurídicas, por lo que, ni desde una vertiente objetiva ni desde una subjetiva genera incertidumbre sobre su alcance. En una situación de crisis económica generalizada, modificaciones análogas a la presente han sido llevadas a cabo en éste y en otros sectores económicos, que, además, están sometidos a una intervención administrativa más intensa, dada su incidencia en los intereses generales, como lo es la actividad de producción de energía eléctrica. Ello hace particularmente inviable la pretensión de que los elementos más favorables de su régimen económico estén investidos de una pretensión de permanencia e inalterabilidad en el tiempo, pues es precisamente la protección de esos intereses generales la premisa que obliga a los poderes públicos a adaptar su regulación al cambio de las circunstancias.</w:t>
      </w:r>
    </w:p>
    <w:p w:rsidR="00163957" w:rsidRDefault="00163957" w:rsidP="00163957">
      <w:pPr>
        <w:pStyle w:val="TextoNormal"/>
      </w:pPr>
    </w:p>
    <w:p w:rsidR="00163957" w:rsidRDefault="00163957" w:rsidP="00163957">
      <w:pPr>
        <w:pStyle w:val="TextoNormal"/>
      </w:pPr>
      <w:r>
        <w:t>En palabras de este Tribunal, los principios de seguridad jurídica y confianza legítima no permiten consagrar un pretendido derecho a la congelación del ordenamiento jurídico existente (SSTC 182/1997, de 28 de octubre, FJ 13 y 183/2014, de 6 de noviembre, FJ 3) ni, evidentemente pueden impedir la introducción de modificaciones legislativas repentinas, máxime cuando lo hace el legislador de urgencia (STC 237/2012, de 13 de diciembre, FJ 6). En estos casos, es precisamente la perentoriedad de la reacción legislativa —cuya concurrencia en este caso ya ha sido examinada— la que abre la puerta a la injerencia del gobierno en la legislación vigente, al amparo del art. 86.1 CE (STC 81/2015, de 30 de abril, FJ 8). No sería coherente con el carácter dinámico del ordenamiento jurídico y con nuestra doctrina constante acerca de que la realización del principio de seguridad jurídica, aquí en su vertiente de protección de la confianza legítima, no puede dar lugar a la congelación o petrificación de ese mismo ordenamiento (por todas, STC 183/2014, FJ 3), por lo que no cabe sino concluir que la regulación impugnada se enmarca en el margen de configuración del legislador, que tiene plena libertad para elegir entre las distintas opciones posibles, dentro de la Constitución” [FJ 7 a)].</w:t>
      </w:r>
    </w:p>
    <w:p w:rsidR="00163957" w:rsidRDefault="00163957" w:rsidP="00163957">
      <w:pPr>
        <w:pStyle w:val="TextoNormal"/>
      </w:pPr>
    </w:p>
    <w:p w:rsidR="00163957" w:rsidRDefault="00163957" w:rsidP="00163957">
      <w:pPr>
        <w:pStyle w:val="TextoNormal"/>
      </w:pPr>
      <w:r>
        <w:t xml:space="preserve">En cuanto a la alegada infracción del principio de seguridad jurídica, en su vertiente de previsibilidad y certeza de derecho, en concreto, en lo que respecta a los preceptos impugnados en este proceso, también hemos tenido ocasión de señalar que el Real Decreto-ley 9/2013, viene a establecer un nuevo régimen retributivo para determinadas instalaciones de producción de energía eléctrica; deroga expresamente el Real Decreto 661/2007, de 25 de mayo, por el que se regula la actividad de producción de energía eléctrica en régimen especial, así como el Real Decreto 1578/2008, de 26 de septiembre, de retribución de la actividad de producción de energía eléctrica mediante tecnología solar fotovoltaica. Pero, el nuevo sistema retributivo, iniciado por el Real Decreto-ley 9/2013 y asumido por la Ley 24/2013, requiere el necesario desarrollo reglamentario para la aplicación efectiva de dicho régimen </w:t>
      </w:r>
      <w:r>
        <w:lastRenderedPageBreak/>
        <w:t>retributivo a cada una de las instalaciones de producción de energía eléctrica, y, para resolver la situación de vacío reglamentario provocado por la derogación de los anteriores reglamentos, la disposición transitoria tercera del mismo, dispone que temporalmente serán de aplicación los derogados Reales Decretos 661/2007 y1578/2008, con carácter transitorio, hasta la aprobación de las disposiciones necesarias para la plena aplicación del nuevo régimen retributivo.</w:t>
      </w:r>
    </w:p>
    <w:p w:rsidR="00163957" w:rsidRDefault="00163957" w:rsidP="00163957">
      <w:pPr>
        <w:pStyle w:val="TextoNormal"/>
      </w:pPr>
    </w:p>
    <w:p w:rsidR="00163957" w:rsidRDefault="00163957" w:rsidP="00163957">
      <w:pPr>
        <w:pStyle w:val="TextoNormal"/>
      </w:pPr>
      <w:r>
        <w:t>El desarrollo reglamentario de este nuevo régimen retributivo, previsto en la disposición final segunda del Real Decreto-ley 9/2013 y reiterado en la disposición final tercera de la Ley 24/2013, de 26 de diciembre, del sector eléctrico, se ha llevado a cabo a través del Real Decreto 413/2014, de 6 de junio, por el que se regula la actividad de producción de energía eléctrica a partir de fuentes de energía renovables, cogeneración y residuos, y con ello ha cesado la aplicación del régimen transitorio previsto en la disposición transitoria tercera. Como ya afirmamos en las SSTC 96/2014, FJ 3 c) y 183/2014, FJ 2, “lo sucedido durante estos meses es que las instalaciones existentes han recibido los pagos procedentes de ‘liquidaciones a cuenta’ del nuevo sistema, emitidas al amparo de ese régimen transitorio. Este fue previsto al objeto de mantener los flujos retributivos de las instalaciones, evitando los perjuicios que hubiera causado la demora en el desarrollo reglamentario. Una vez aprobadas las disposiciones normativas necesarias para la aplicación definitiva del nuevo régimen retributivo, se procederá a practicar una regularización correspondiente por los derechos de cobro o en su caso las obligaciones de pago resultantes de la aplicación del vigente sistema retributivo, con efectos desde la entrada en vigor del Real Decreto-ley 9/2013, de 12 de julio, tal y como establece su disposición final segunda”.</w:t>
      </w:r>
    </w:p>
    <w:p w:rsidR="00163957" w:rsidRDefault="00163957" w:rsidP="00163957">
      <w:pPr>
        <w:pStyle w:val="TextoNormal"/>
      </w:pPr>
    </w:p>
    <w:p w:rsidR="00163957" w:rsidRDefault="00163957" w:rsidP="00163957">
      <w:pPr>
        <w:pStyle w:val="TextoNormal"/>
      </w:pPr>
      <w:r>
        <w:t>En definitiva, el Real Decreto-ley 9/2013 entró en vigor al día siguiente de su publicación en el “Boletín Oficial del Estado” (tal y como establece su disposición final décima), pero sus efectos, en lo relativo a las liquidaciones derivadas del nuevo régimen retributivo, se aplican a partir de la publicación del Real Decreto 413/2014, produciéndose una disociación temporal entre la vigencia inmediata de la norma y el ámbito temporal de eficacia, que tiene un efecto retroactivo [FJ 7 c)].</w:t>
      </w:r>
    </w:p>
    <w:p w:rsidR="00163957" w:rsidRDefault="00163957" w:rsidP="00163957">
      <w:pPr>
        <w:pStyle w:val="TextoNormal"/>
      </w:pPr>
    </w:p>
    <w:p w:rsidR="00163957" w:rsidRDefault="00163957" w:rsidP="00163957">
      <w:pPr>
        <w:pStyle w:val="TextoNormal"/>
      </w:pPr>
      <w:r>
        <w:t xml:space="preserve">Ello no implica, como alega la parte recurrente, que la norma impugnada tenga carácter retroactivo, puesto que “el Real Decreto-ley 9/2013 tiene una vigencia inmediata y produce efectos a partir de su entrada en vigor. Los titulares de las instalaciones de producción de energía eléctrica en régimen primado están sujetos a ese nuevo régimen retributivo desde la fecha de entrada en vigor del Real Decreto-ley 9/2013, sin perjuicio de que la cuantificación precisa de dicha retribución no se produzca hasta la aprobación de la norma reglamentaria correspondiente, y sin que dicha sujeción conlleve una afectación desfavorable a los derechos adquiridos, desde una perspectiva constitucional, esto es, no incide en derechos patrimoniales previamente consolidados e incorporados definitivamente al patrimonio del destinatario, o en situaciones jurídicas ya agotadas o consumadas … No estamos, en suma, ante una norma sancionadora o restrictiva de derechos, ni ante una regulación que afecte a una situación “agotada”, consolidada, perfeccionada o patrimonializada —en los términos utilizados por nuestra jurisprudencia— que haya sido revertida </w:t>
      </w:r>
      <w:r w:rsidRPr="00163957">
        <w:rPr>
          <w:i/>
        </w:rPr>
        <w:t>in peius</w:t>
      </w:r>
      <w:r>
        <w:t xml:space="preserve"> con efecto retroactivo, por lo que no concurre un supuesto de retroactividad constitucionalmente prohibida, y, en consecuencia, no se produce una vulneración del art. 9.3 CE” [FJ 7 c)].</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presente recurso de inconstitucionalidad.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tres de marzo de dos mil dieciséis.</w:t>
      </w:r>
    </w:p>
    <w:p w:rsidR="00163957" w:rsidRDefault="00163957" w:rsidP="00163957">
      <w:pPr>
        <w:pStyle w:val="ParrafoNormal"/>
      </w:pPr>
    </w:p>
    <w:p w:rsidR="00163957" w:rsidRDefault="00163957" w:rsidP="00163957">
      <w:pPr>
        <w:pStyle w:val="TextoNormalNegritaCentrado"/>
        <w:keepNext/>
      </w:pPr>
      <w:r>
        <w:t>Voto particular concurrente que formula el Magistrado don Juan Antonio Xiol Ríos respecto de la Sentencia dictada en el recurso de inconstitucionalidad núm. 2391-2014, al que se adhieren la Magistrada doña Adela Asua Batarrita y el Magistrado don Fernando Valdés Dal-Ré.</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en la que se sustenta la Sentencia, manifiesto mi discrepancia con su fundamentación jurídica, aunque no con el fallo, referida a la invocación de los principios de seguridad jurídica y confianza legítima analizada en el fundamento jurídico 4, respecto de la modificación del régimen de incentivos a las energías renovables.</w:t>
      </w:r>
    </w:p>
    <w:p w:rsidR="00163957" w:rsidRDefault="00163957" w:rsidP="00163957">
      <w:pPr>
        <w:pStyle w:val="TextoNormal"/>
      </w:pPr>
    </w:p>
    <w:p w:rsidR="00163957" w:rsidRDefault="00163957" w:rsidP="00163957">
      <w:pPr>
        <w:pStyle w:val="TextoNormal"/>
      </w:pPr>
      <w:r>
        <w:t xml:space="preserve">La razón de mi discrepancia es coincidente con la que ya fue expuesta en el Voto particular concurrente a la STC 270/2015, de 17 de diciembre, al que para evitar reiteraciones innecesarias me remito. </w:t>
      </w:r>
    </w:p>
    <w:p w:rsidR="00163957" w:rsidRDefault="00163957" w:rsidP="00163957">
      <w:pPr>
        <w:pStyle w:val="TextoNormal"/>
      </w:pPr>
    </w:p>
    <w:p w:rsidR="00163957" w:rsidRDefault="00163957" w:rsidP="00163957">
      <w:pPr>
        <w:pStyle w:val="TextoNormal"/>
      </w:pPr>
      <w:r>
        <w:t>Madrid, a tres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46" w:name="SENTENCIA_2016_43"/>
      <w:r>
        <w:lastRenderedPageBreak/>
        <w:t>SENTENCIA 43/2016, de 3 de marzo de 2016</w:t>
      </w:r>
    </w:p>
    <w:bookmarkEnd w:id="46"/>
    <w:p w:rsidR="00163957" w:rsidRDefault="00163957" w:rsidP="00163957">
      <w:pPr>
        <w:pStyle w:val="TtuloResolucin"/>
      </w:pPr>
      <w:r>
        <w:t>Pleno</w:t>
      </w:r>
    </w:p>
    <w:p w:rsidR="00163957" w:rsidRDefault="00163957" w:rsidP="00163957">
      <w:pPr>
        <w:pStyle w:val="TtuloBOE"/>
      </w:pPr>
      <w:r>
        <w:t>(BOE núm. 85, de 8 de abril de 2016)</w:t>
      </w:r>
    </w:p>
    <w:p w:rsidR="00163957" w:rsidRDefault="00163957" w:rsidP="00163957">
      <w:pPr>
        <w:pStyle w:val="TextoNormalCentrado"/>
      </w:pPr>
      <w:r>
        <w:t>ECLI:ES:TC:2016:43</w:t>
      </w:r>
    </w:p>
    <w:p w:rsidR="00163957" w:rsidRDefault="00163957" w:rsidP="00163957">
      <w:pPr>
        <w:pStyle w:val="TextoNormalCentrado"/>
      </w:pPr>
    </w:p>
    <w:p w:rsidR="00163957" w:rsidRDefault="00163957" w:rsidP="00163957">
      <w:pPr>
        <w:pStyle w:val="SntesisDescriptiva"/>
      </w:pPr>
      <w:r>
        <w:t>Cuestión de inconstitucionalidad 4182-2015. Planteada por el Juzgado de lo Contencioso-Administrativo número 1 de Algeciras en relación con el artículo 2.1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extinción, por pérdida de objeto, de la cuestión de inconstitucionalidad (STC 83/2015).</w:t>
      </w:r>
    </w:p>
    <w:p w:rsidR="00163957" w:rsidRDefault="00163957" w:rsidP="00163957">
      <w:pPr>
        <w:pStyle w:val="SntesisAnaltica"/>
      </w:pPr>
    </w:p>
    <w:p w:rsidR="00163957" w:rsidRDefault="00163957" w:rsidP="00163957">
      <w:pPr>
        <w:pStyle w:val="Extracto"/>
      </w:pPr>
      <w:r>
        <w:t>1.</w:t>
      </w:r>
      <w:r>
        <w:tab/>
        <w:t>Asunto sustancialmente idéntico al resuelto por la STC 83/2015, relativa a la pérdida de objeto de la cuestión de inconstitucionalidad como consecuencia de la satisfacción extraprocesal de la pretensión [FFJJ 2,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4182-2015, promovida por el Juzgado de lo Contencioso-Administrativo número 1 de Algeciras en relación con el art. 2.1 del Real Decreto-ley 20/2012, de 13 de julio, de medidas para garantizar la estabilidad presupuestaria y de fomento de la competitividad. Han intervenido y formulado alegaciones el Gobierno y el Fiscal General del Estado. Ha sido Ponente el Magistrado don Ricardo Enríquez Sancho,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14 de julio de 2015 tuvo entrada en este Tribunal escrito del Juzgado de lo Contencioso-Administrativo número 1 de Algeciras al que se acompaña, junto con el testimonio del procedimiento abreviado 241/2014, el Auto de 8 de julio de 2015 por el que se acuerda plantear cuestión de inconstitucionalidad en relación con el art. 2.1 del Real Decreto-ley </w:t>
      </w:r>
      <w:r>
        <w:lastRenderedPageBreak/>
        <w:t>20/2012, de 13 de julio, de medidas para garantizar la estabilidad presupuestaria y de fomento de la competitividad, que tiene el siguiente tenor:</w:t>
      </w:r>
    </w:p>
    <w:p w:rsidR="00163957" w:rsidRDefault="00163957" w:rsidP="00163957">
      <w:pPr>
        <w:pStyle w:val="TextoNormal"/>
      </w:pPr>
    </w:p>
    <w:p w:rsidR="00163957" w:rsidRDefault="00163957" w:rsidP="00163957">
      <w:pPr>
        <w:pStyle w:val="TextoNormal"/>
      </w:pPr>
      <w:r>
        <w:t>“En el año 2012 el personal del sector público definido en el artículo 22. 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que interesa destacar a los efectos de este proceso constitucional son los siguientes:</w:t>
      </w:r>
    </w:p>
    <w:p w:rsidR="00163957" w:rsidRDefault="00163957" w:rsidP="00163957">
      <w:pPr>
        <w:pStyle w:val="TextoNormal"/>
      </w:pPr>
    </w:p>
    <w:p w:rsidR="00163957" w:rsidRDefault="00163957" w:rsidP="00163957">
      <w:pPr>
        <w:pStyle w:val="TextoNormal"/>
      </w:pPr>
      <w:r>
        <w:t>a) El 30 de octubre de 2013, don J.F.P.M., médico del Servicio Andaluz de Salud, debidamente representado y asistido por profesionales designados al efecto, presentó demanda de procedimiento abreviado [art. 78.2 de la Ley reguladora de la jurisdicción contencioso-administrativa (LJCA)] contra la resolución de la dirección general del Área de Gestión Sanitaria del Campo de Gibraltar de 31 de julio de 2013, por la que se desestima el recurso de reposición presentado frente a la previa resolución de 17 de junio de 2013, por la que se le deniega el abono de la parte correspondiente de la paga extraordinaria de diciembre de 2012 suprimida —según el interesado— por el precepto cuestionado pero que se consideraba incursa en una retroactividad prohibida por el art. 9.3 CE, esto es, la parte correspondiente al periodo comprendido entre el 1 de junio y el 14 de julio de 2012, que cuantifica en 428,65 €, al haber entrado en vigor el Real Decreto-ley 20/2012 el día 15 de julio de ese mismo año.</w:t>
      </w:r>
    </w:p>
    <w:p w:rsidR="00163957" w:rsidRDefault="00163957" w:rsidP="00163957">
      <w:pPr>
        <w:pStyle w:val="TextoNormal"/>
      </w:pPr>
    </w:p>
    <w:p w:rsidR="00163957" w:rsidRDefault="00163957" w:rsidP="00163957">
      <w:pPr>
        <w:pStyle w:val="TextoNormal"/>
      </w:pPr>
      <w:r>
        <w:t>En la demanda se alegaba como único motivo de impugnación la supuesta inconstitucionalidad, por retroactividad contraria al art. 9.3 CE, del Real Decreto-ley 20/2012, que se consideraba “confirmado” por los arts. 7 y 9 de la Ley 3/2012, de 21 de septiembre, de medidas fiscales, administrativas, laborales y en materia de Hacienda pública para el reequilibrio económico-financiero de la Junta de Andalucía, en cuanto ambas normas habían supuesto la privación de un derecho adquirido como era el de percibir las cantidades de la paga extra correspondiente a diciembre de 2012 que ya se habían devengado en el momento de su entrada en vigor, solicitándose por ello la anulación del acto impugnado y el reconocimiento de su derecho al cobro de la citada parte proporcional de la paga extraordinaria, correspondiente al periodo entre el 1 de junio y el 14 de julio de 2012.</w:t>
      </w:r>
    </w:p>
    <w:p w:rsidR="00163957" w:rsidRDefault="00163957" w:rsidP="00163957">
      <w:pPr>
        <w:pStyle w:val="TextoNormal"/>
      </w:pPr>
    </w:p>
    <w:p w:rsidR="00163957" w:rsidRDefault="00163957" w:rsidP="00163957">
      <w:pPr>
        <w:pStyle w:val="TextoNormal"/>
      </w:pPr>
      <w:r>
        <w:t>b) El 19 de mayo de 2015 se celebró la vista del procedimiento abreviado, tras la cual, el 26 de mayo de 2015, el Juzgado dictó providencia en la que acordó:</w:t>
      </w:r>
    </w:p>
    <w:p w:rsidR="00163957" w:rsidRDefault="00163957" w:rsidP="00163957">
      <w:pPr>
        <w:pStyle w:val="TextoNormal"/>
      </w:pPr>
    </w:p>
    <w:p w:rsidR="00163957" w:rsidRDefault="00163957" w:rsidP="00163957">
      <w:pPr>
        <w:pStyle w:val="TextoNormal"/>
      </w:pPr>
      <w:r>
        <w:t>“[D]e conformidad con el artículo 163 de la Constitución y el artículo 35 de la L.O.T.C. 2/79 de 3 de octubre, dese traslado a las partes y al Ministerio Fiscal para que en el plazo de diez días aleguen lo que tengan por conveniente acerca de una posible inconstitucionalidad del artículo 2.1 del R.D. Ley 20/12 de 13 de julio (B.O.E. 14 de julio) y de los arts. 7 y 9 de la Ley 3/12, de 21 de septiembre de la Comunidad Autónoma de Andalucía, en relación con el principio de irretroactividad de las disposiciones restrictivas de derechos individuales, reconocido en el art. 9.3 de la Constitución Española.”</w:t>
      </w:r>
    </w:p>
    <w:p w:rsidR="00163957" w:rsidRDefault="00163957" w:rsidP="00163957">
      <w:pPr>
        <w:pStyle w:val="TextoNormal"/>
      </w:pPr>
    </w:p>
    <w:p w:rsidR="00163957" w:rsidRDefault="00163957" w:rsidP="00163957">
      <w:pPr>
        <w:pStyle w:val="TextoNormal"/>
      </w:pPr>
      <w:r>
        <w:lastRenderedPageBreak/>
        <w:t>c) Únicamente presentó alegaciones el Ministerio Fiscal, que no se opuso al planteamiento de la cuestión. El recurrente y el Servicio Andaluz de Salud dejaron pasar el plazo y el Juzgado, por decreto de 12 de junio de 2015, declaró caducado su derecho en aplicación del art. 128.1 LJCA.</w:t>
      </w:r>
    </w:p>
    <w:p w:rsidR="00163957" w:rsidRDefault="00163957" w:rsidP="00163957">
      <w:pPr>
        <w:pStyle w:val="TextoNormal"/>
      </w:pPr>
    </w:p>
    <w:p w:rsidR="00163957" w:rsidRDefault="00163957" w:rsidP="00163957">
      <w:pPr>
        <w:pStyle w:val="TextoNormal"/>
      </w:pPr>
      <w:r>
        <w:t>d) Mediante Auto de 8 de julio de 2015 el Juzgado acordó plantear la cuestión de inconstitucionalidad solamente en relación con el art. 2.1 del Real Decreto-ley 20/2012, rechazándolo, no obstante, respecto de los arts. 7 y 9 de la Ley andaluza 3/2012, como ya se ha indicado.</w:t>
      </w:r>
    </w:p>
    <w:p w:rsidR="00163957" w:rsidRDefault="00163957" w:rsidP="00163957">
      <w:pPr>
        <w:pStyle w:val="TextoNormal"/>
      </w:pPr>
    </w:p>
    <w:p w:rsidR="00163957" w:rsidRDefault="00163957" w:rsidP="00163957">
      <w:pPr>
        <w:pStyle w:val="TextoNormal"/>
      </w:pPr>
      <w:r w:rsidRPr="00163957">
        <w:rPr>
          <w:rStyle w:val="NumeroAFNegritaCaracter"/>
        </w:rPr>
        <w:t>3</w:t>
      </w:r>
      <w:r>
        <w:t>. Del Auto de planteamiento interesa destacar lo siguiente:</w:t>
      </w:r>
    </w:p>
    <w:p w:rsidR="00163957" w:rsidRDefault="00163957" w:rsidP="00163957">
      <w:pPr>
        <w:pStyle w:val="TextoNormal"/>
      </w:pPr>
    </w:p>
    <w:p w:rsidR="00163957" w:rsidRDefault="00163957" w:rsidP="00163957">
      <w:pPr>
        <w:pStyle w:val="TextoNormal"/>
      </w:pPr>
      <w:r>
        <w:t>El Juzgado comienza razonando sobre la “naturaleza de salario diferido de las pagas extraordinarias” que, considera, se devengan “día a día”. Continúa razonando que, al no prever expresamente su carácter retroactivo el citado Real Decreto-ley 20/2012, de los arts. 9.3 CE y 2.3 del Código civil (“las leyes no tendrán efecto retroactivo si no dispusieren lo contrario”), “resultaría conforme a derecho una interpretación no retroactiva del citado art. 2.1”, en virtud de la cual se entendiese que la paga extra suprimida no alcanza a las cantidades devengadas con anterioridad a su entrada en vigor. “Sin embargo”, prosigue, “la interpretación anterior es difícilmente defendible tras la aprobación de la Ley 36/2014, de 26 de diciembre, de presupuestos generales del Estado para 2015”, que en su disposición adicional duodécima regula la “recuperación de la paga extraordinaria y adicional del mes de diciembre de 2012 del personal del sector público”. Trae en este momento a colación la STC 83/2015, de 30 de abril, y considera que de todo ello se deduce la existencia de una “interpretación auténtica” acerca del “carácter retroactivo” del art. 2.1 del Real Decreto-ley 20/2012, que le impide hacer la interpretación antes sugerida. Constata, además, que “no [se ha] acordado la recuperación de tal paga [extra diciembre 2012] respecto del personal estatutario del SAS”, y todo ello le conduce a plantear cuestión de inconstitucionalidad únicamente respecto del citado art. 2.1 del Real Decreto-ley 20/2012, por posible contravención del principio de irretroactividad de las disposiciones restrictivas de derechos individuales del art. 9.3 CE, “resultando decisivo determinar la constitucionalidad de tal precepto para el presente pleito, ya que una declaración de constitucionalidad que reconociese su carácter retroactivo implicaría la desestimación de la demanda, mientras que una declaración de inconstitucionalidad supondría su estimación”.</w:t>
      </w:r>
    </w:p>
    <w:p w:rsidR="00163957" w:rsidRDefault="00163957" w:rsidP="00163957">
      <w:pPr>
        <w:pStyle w:val="TextoNormal"/>
      </w:pPr>
    </w:p>
    <w:p w:rsidR="00163957" w:rsidRDefault="00163957" w:rsidP="00163957">
      <w:pPr>
        <w:pStyle w:val="TextoNormal"/>
      </w:pPr>
      <w:r>
        <w:t>Rechaza, sin embargo, plantear la cuestión respecto de los arts. 7 y 9 de la Ley 3/2012 de Andalucía, “porque no es en estos preceptos donde se fundamenta la supresión de la paga extraordinaria de diciembre de 2012, en la parte proporcional correspondiente a los días comprendidos entre el 1 de junio de 2012 y el 14 de julio de 2012”.</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10 de septiembre de 2015, el Pleno del Tribunal, a propuesta de la Sección Cuarta, acordó admitir a trámite la cuestión de inconstitucionalidad planteada por el Juzgado de lo Contencioso-Administrativo número 1 de Algeciras en relación con el art. 2.1 del Real Decreto-ley 20/2012, de 13 de julio, de medidas para garantizar la estabilidad presupuestaria y de fomento de la competitividad, por posible vulneración del art. 9.3 CE, y, de conformidad con lo dispuesto en el artículo 10.1 c) de la Ley Orgánica del Tribunal Constitucional (LOTC), reservar para sí el conocimiento de la cuestión, así como dar tras</w:t>
      </w:r>
      <w:r>
        <w:lastRenderedPageBreak/>
        <w:t>lado de las actuaciones recibidas (art.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presentado en el Registro General de este Tribunal el 23 de septiembre de 2015, el Presidente del Senado comunicó el acuerdo de la Mesa de la Cámara de personarse en el presente proceso constitucional,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escrito presentado en el Registro General de este Tribunal el 28 de septiembre de 2015, el Presidente del Congreso de los Diputados comunicó la decisión de la Mesa de esa Cámara de personarse en el presente proceso constitucional,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registrado en este Tribunal el 30 de septiembre de 2015, el Abogado del Estado se personó en el presente proceso constitucional y formuló las alegaciones que a continuación se sintetizan.</w:t>
      </w:r>
    </w:p>
    <w:p w:rsidR="00163957" w:rsidRDefault="00163957" w:rsidP="00163957">
      <w:pPr>
        <w:pStyle w:val="TextoNormal"/>
      </w:pPr>
    </w:p>
    <w:p w:rsidR="00163957" w:rsidRDefault="00163957" w:rsidP="00163957">
      <w:pPr>
        <w:pStyle w:val="TextoNormal"/>
      </w:pPr>
      <w:r>
        <w:t>Comienza señalando que aunque el Auto de planteamiento cuestiona la totalidad del art. 2.1 del Real Decreto-ley 20/2012, sin embargo no cuestiona genéricamente la supresión de la paga extraordinaria de diciembre de 2012 contenida en aquel precepto, sino que tan solo reprocha al legislador que no haya incluido una disposición transitoria por la cual se hubiera exceptuado de la mencionada supresión la parte proporcional de la paga extraordinaria que se entiende devengada del 1 de junio al 14 de julio, fecha esta última de entrada en vigor del Real Decreto-ley 20/2012. En definitiva, entiende que lo que se plantea es una inconstitucionalidad por omisión y que la consecuencia que podría derivarse de no sería la declaración de inconstitucionalidad del art. 2 del Real Decreto-ley 20/2012, sino simplemente la imposición al legislador, con respecto a su libertad de configuración, el establecimiento de una expresa excepción a la supresión de la paga extraordinaria de Navidad (la correspondiente a la parte proporcional de los días 1 al 14 de julio de 2012).</w:t>
      </w:r>
    </w:p>
    <w:p w:rsidR="00163957" w:rsidRDefault="00163957" w:rsidP="00163957">
      <w:pPr>
        <w:pStyle w:val="TextoNormal"/>
      </w:pPr>
    </w:p>
    <w:p w:rsidR="00163957" w:rsidRDefault="00163957" w:rsidP="00163957">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163957" w:rsidRDefault="00163957" w:rsidP="00163957">
      <w:pPr>
        <w:pStyle w:val="TextoNormal"/>
      </w:pPr>
    </w:p>
    <w:p w:rsidR="00163957" w:rsidRDefault="00163957" w:rsidP="00163957">
      <w:pPr>
        <w:pStyle w:val="TextoNormal"/>
      </w:pPr>
      <w:r>
        <w:lastRenderedPageBreak/>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al 14 de julio, “estaba ya consolidado, asumido e integrado en el patrimonio de los trabajadores cuando entró en vigor” el Real Decreto-ley 20/2012, o si, por el contrario, se trataba de una expectativa de derecho o de un derecho futuro o condicionado. Y al respecto, considera que para el personal estatutario de los servicios de salud, al que resulta aplicable la normativa de los funcionarios a tenor del art. 14 de la Ley 7/2007, de 12 de abril, del estatuto básico del empleado público, LEEP), el derecho a la paga extraordinaria, en la cuantía fijada en la ley de presupuestos (art. 21 LEEP), solo nace el primer día hábil de diciembre (art. 22.4 LEEP). De modo que durante los meses de junio y julio de 2012 no había nacido este derecho.</w:t>
      </w:r>
    </w:p>
    <w:p w:rsidR="00163957" w:rsidRDefault="00163957" w:rsidP="00163957">
      <w:pPr>
        <w:pStyle w:val="TextoNormal"/>
      </w:pPr>
    </w:p>
    <w:p w:rsidR="00163957" w:rsidRDefault="00163957" w:rsidP="00163957">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163957" w:rsidRDefault="00163957" w:rsidP="00163957">
      <w:pPr>
        <w:pStyle w:val="TextoNormal"/>
      </w:pPr>
    </w:p>
    <w:p w:rsidR="00163957" w:rsidRDefault="00163957" w:rsidP="00163957">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163957" w:rsidRDefault="00163957" w:rsidP="00163957">
      <w:pPr>
        <w:pStyle w:val="TextoNormal"/>
      </w:pPr>
    </w:p>
    <w:p w:rsidR="00163957" w:rsidRDefault="00163957" w:rsidP="00163957">
      <w:pPr>
        <w:pStyle w:val="TextoNormal"/>
      </w:pPr>
      <w:r>
        <w:lastRenderedPageBreak/>
        <w:t>Finalmente, alude a la estabilidad presupuestaria consagrada en el art. 135.1 CE y a la obligación de las comunidades autónomas de aplicar este principio (art. 135.6 CE). Por todo ello, interesa la desestimación de la cuestión de inconstitucionalidad suscitada.</w:t>
      </w:r>
    </w:p>
    <w:p w:rsidR="00163957" w:rsidRDefault="00163957" w:rsidP="00163957">
      <w:pPr>
        <w:pStyle w:val="TextoNormal"/>
      </w:pPr>
    </w:p>
    <w:p w:rsidR="00163957" w:rsidRDefault="00163957" w:rsidP="00163957">
      <w:pPr>
        <w:pStyle w:val="TextoNormal"/>
      </w:pPr>
      <w:r w:rsidRPr="00163957">
        <w:rPr>
          <w:rStyle w:val="NumeroAFNegritaCaracter"/>
        </w:rPr>
        <w:t>8</w:t>
      </w:r>
      <w:r>
        <w:t>. Por escrito registrado en este Tribunal el 2 de octubre de 2015, la Fiscal General del Estado evacuó el trámite de alegaciones, solicitando la declaración de inconstitucionalidad del precepto cuestionado por considerarlo contrario al principio de irretroactividad de las disposiciones restrictivas de derechos individuales que garantiza el art. 9.3 CE. Hace especial mención a que a pesar de lo previsto en la disposición adicional duodécima de la Ley 36/2014, de 26 de diciembre, de presupuestos generales del Estado para el año 2015, acerca de la recuperación de la paga extraordinaria de diciembre de 2012 por el personal del sector público, la Junta de Andalucía no ha acordado la recuperación de la citada paga extraordinaria para el personal del Servicio Andaluz de Salud.</w:t>
      </w:r>
    </w:p>
    <w:p w:rsidR="00163957" w:rsidRDefault="00163957" w:rsidP="00163957">
      <w:pPr>
        <w:pStyle w:val="TextoNormal"/>
      </w:pPr>
    </w:p>
    <w:p w:rsidR="00163957" w:rsidRDefault="00163957" w:rsidP="00163957">
      <w:pPr>
        <w:pStyle w:val="TextoNormal"/>
      </w:pPr>
      <w:r>
        <w:t>Con este presupuesto, el Fiscal considera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w:t>
      </w:r>
    </w:p>
    <w:p w:rsidR="00163957" w:rsidRDefault="00163957" w:rsidP="00163957">
      <w:pPr>
        <w:pStyle w:val="TextoNormal"/>
      </w:pPr>
    </w:p>
    <w:p w:rsidR="00163957" w:rsidRDefault="00163957" w:rsidP="00163957">
      <w:pPr>
        <w:pStyle w:val="TextoNormal"/>
      </w:pPr>
      <w:r>
        <w:t>Alcanzada la conclusión anterior, pasa a analizar si la norma cuestionada contiene un grado de retroactividad permitido por el art. 9.3 CE a la luz de la doctrina constitucional que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(Sala de lo Social), las gratificaciones extraordinarias se devengan día a día. A la vista de la interpretación de la legalidad ordinaria por el máximo órgano jurisdiccional a quien compete dicha función, resulta evidente, a juicio de la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w:t>
      </w:r>
    </w:p>
    <w:p w:rsidR="00163957" w:rsidRDefault="00163957" w:rsidP="00163957">
      <w:pPr>
        <w:pStyle w:val="TextoNormal"/>
      </w:pPr>
    </w:p>
    <w:p w:rsidR="00163957" w:rsidRDefault="00163957" w:rsidP="00163957">
      <w:pPr>
        <w:pStyle w:val="TextoNormal"/>
      </w:pPr>
      <w:r>
        <w:t xml:space="preserve">Además, entiende que el criterio del Auto de planteamiento tendría el respaldo de la Sentencia del Tribunal Europeo de Derecho Humanos de 14 de mayo de 2013 (caso </w:t>
      </w:r>
      <w:r w:rsidRPr="00163957">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w:t>
      </w:r>
      <w:r>
        <w:lastRenderedPageBreak/>
        <w:t>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El Fiscal General del Estado concluye sus alegaciones precisando, en cuanto a los efectos de la hipotética declaración de inconstitucionalidad,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14 de julio de 2012.</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1 de marzo de 2016, se acordó señalar para deliberación y votación de la presente Sentencia el día 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Juzgado de lo Contencioso-Administrativo núm. 1 de Algeciras plantea cuestión de inconstitucionalidad respecto del art. 2.1 del Real Decreto-ley 20/2012, de 13 de julio, de medidas para garantizar la estabilidad presupuestaria y de fomento de la competitividad, precepto que, en lo que aquí importa, dispone para todo el personal del sector público definido en el art. 22.1 de la Ley 2/2012, de presupuestos generales del Estado para 2012 la supresión de la paga extraordinaria y de la paga adicional de complemento específico o pagas adicionales equivalentes del mes de diciembre de 2012. En síntesis, el Juzgado considera que el citado art. 2.1 del Real Decreto-ley 20/2012, en su aplicación al personal estatutario de los servicios de salud, categoría a la que pertenece el recurrente, puede vulnerar el principio constitucional de interdicción de la retroactividad de las disposiciones sancionadoras no favorables o restrictivas de derechos individuales consagrado en el art. 9.3 CE, al no contemplar excepción alguna respecto de las cuantías ya devengadas al momento de la entrada en vigor del Real Decreto-ley 20/2012 (esto es, desde el 1de junio al 14 de julio de 2012), que son las únicas que reclama el recurrente en el proceso </w:t>
      </w:r>
      <w:r w:rsidRPr="00163957">
        <w:rPr>
          <w:i/>
        </w:rPr>
        <w:t>a quo</w:t>
      </w:r>
      <w:r>
        <w:t>.</w:t>
      </w:r>
    </w:p>
    <w:p w:rsidR="00163957" w:rsidRDefault="00163957" w:rsidP="00163957">
      <w:pPr>
        <w:pStyle w:val="TextoNormal"/>
      </w:pPr>
    </w:p>
    <w:p w:rsidR="00163957" w:rsidRDefault="00163957" w:rsidP="00163957">
      <w:pPr>
        <w:pStyle w:val="TextoNormal"/>
      </w:pPr>
      <w:r>
        <w:t>En los términos en que han sido recogidos en los antecedentes de esta Sentencia, la Fiscal General del Estado coincide con el juicio de inconstitucionalidad formulado por el Auto de planteamiento de la cuestión, por lo que interesa la estimación de la misma, mientras que el Abogado del Estado solicita su desestimación.</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Antes de adentrarnos a resolver el fondo de la cuestión de inconstitucionalidad suscitada, es obligado detenerse a analizar si su objeto pervive. En este sentido, y aun conociendo </w:t>
      </w:r>
      <w:r>
        <w:lastRenderedPageBreak/>
        <w:t>lo resuelto por este Tribunal en casos similares desde la STC 83/2015, de 30 de abril (la pérdida de objeto de cuestiones de inconstitucionalidad análogas a la presente como consecuencia de la recuperación de la parte de la parte de la paga extra de diciembre de 2012 devengada antes del 15 de julio de ese año, de conformidad con lo establecido en la disposición adicional décima segunda de la Ley 36/2014, de 26 de diciembre, de presupuesto generales del Estado para 2015), tanto el Juzgado promotor de la cuestión como la Fiscal General del Estado hacen especial hincapié, en el Auto de planteamiento y en sus alegaciones, en que en el ámbito de la comunidad autónoma de Andalucía no se ha producido ni acordado esa recuperación para el personal del Servicio Andaluz de Salud, al que pertenece el recurrente. De ahí que sostengan ambos que pervive y es procedente esta concreta cuestión de inconstitucionalidad.</w:t>
      </w:r>
    </w:p>
    <w:p w:rsidR="00163957" w:rsidRDefault="00163957" w:rsidP="00163957">
      <w:pPr>
        <w:pStyle w:val="TextoNormal"/>
      </w:pPr>
    </w:p>
    <w:p w:rsidR="00163957" w:rsidRDefault="00163957" w:rsidP="00163957">
      <w:pPr>
        <w:pStyle w:val="TextoNormal"/>
      </w:pPr>
      <w:r>
        <w:t>Pues bien, esto, que era cierto en el momento de promoverse la cuestión de inconstitucionalidad y de evacuar sus alegaciones la Fiscal General del Estado, ya no lo es en el momento de dictarse esta Sentencia. Efectivamente, en virtud de la habilitación general contenida en la citada disposición adicional décima segunda de la Ley 36/2014, de presupuestos generales del Estado para 2015, la Ley 1/2015, de 21 de diciembre, del presupuestos de la comunidad autónoma de Andalucía para el año 2016 ha previsto en su disposición adicional decimoquinta, bajo el epígrafe “recuperación de la paga extraordinaria y adicional, o importes equivalentes del mes de diciembre de 2012”, lo siguiente:</w:t>
      </w:r>
    </w:p>
    <w:p w:rsidR="00163957" w:rsidRDefault="00163957" w:rsidP="00163957">
      <w:pPr>
        <w:pStyle w:val="TextoNormal"/>
      </w:pPr>
    </w:p>
    <w:p w:rsidR="00163957" w:rsidRDefault="00163957" w:rsidP="00163957">
      <w:pPr>
        <w:pStyle w:val="TextoNormal"/>
      </w:pPr>
      <w:r>
        <w:t>“En la nómina del mes de febrero de 2016 se percibirá la parte proporcional correspondiente a los primeros 44 días de la paga extraordinaria, así como de la paga adicional del complemento específico o pagas adicionales, o importes equivalentes correspondientes al mes de diciembre de 2012, dejadas de percibir por aplicación del Real Decreto-ley 20/2012, de 13 de julio, de medidas para garantizar la estabilidad presupuestaria y de fomento de la competitividad, y de la disposición transitoria primera de la Ley 3/2012, de 21 de septiembre, de Medidas Fiscales, Administrativas, Laborales y en materia de Hacienda Pública para el reequilibrio económico-financiero de la Junta de Andalucía.</w:t>
      </w:r>
    </w:p>
    <w:p w:rsidR="00163957" w:rsidRDefault="00163957" w:rsidP="00163957">
      <w:pPr>
        <w:pStyle w:val="TextoNormal"/>
      </w:pPr>
    </w:p>
    <w:p w:rsidR="00163957" w:rsidRDefault="00163957" w:rsidP="00163957">
      <w:pPr>
        <w:pStyle w:val="TextoNormal"/>
      </w:pPr>
      <w:r>
        <w:t>La recuperación de las cuantías referidas en el párrafo anterior se establece de conformidad con lo dispuesto en la disposición adicional décima segunda de la Ley 36/2014, de 26 de diciembre, de Presupuestos Generales del Estado para el año 2015.</w:t>
      </w:r>
    </w:p>
    <w:p w:rsidR="00163957" w:rsidRDefault="00163957" w:rsidP="00163957">
      <w:pPr>
        <w:pStyle w:val="TextoNormal"/>
      </w:pPr>
    </w:p>
    <w:p w:rsidR="00163957" w:rsidRDefault="00163957" w:rsidP="00163957">
      <w:pPr>
        <w:pStyle w:val="TextoNormal"/>
      </w:pPr>
      <w:r>
        <w:t>Se habilita a la Consejería de Hacienda y Administración Pública para determinar los términos y condiciones de aplicación.</w:t>
      </w:r>
    </w:p>
    <w:p w:rsidR="00163957" w:rsidRDefault="00163957" w:rsidP="00163957">
      <w:pPr>
        <w:pStyle w:val="TextoNormal"/>
      </w:pPr>
    </w:p>
    <w:p w:rsidR="00163957" w:rsidRDefault="00163957" w:rsidP="00163957">
      <w:pPr>
        <w:pStyle w:val="TextoNormal"/>
      </w:pPr>
      <w:r>
        <w:t>Lo dispuesto en esta disposición adicional no será de aplicación a quienes hubieran percibido las retribuciones reguladas en la misma.”</w:t>
      </w:r>
    </w:p>
    <w:p w:rsidR="00163957" w:rsidRDefault="00163957" w:rsidP="00163957">
      <w:pPr>
        <w:pStyle w:val="TextoNormal"/>
      </w:pPr>
    </w:p>
    <w:p w:rsidR="00163957" w:rsidRDefault="00163957" w:rsidP="00163957">
      <w:pPr>
        <w:pStyle w:val="TextoNormal"/>
      </w:pPr>
      <w:r>
        <w:t xml:space="preserve">La aplicación efectiva de esta previsión se ordena en las instrucciones contenidas en la resolución de 30 de diciembre de 2015, de la Secretaría General para la Administración pública, publicada en el “Boletín Oficial de la Junta de Andalucía” núm. 4, de 8 de enero de 2016. Unas instrucciones que incluyen como “criterio general” el siguiente: “[d]e acuerdo con lo establecido en la disposición adicional decimoquinta de la Ley del Presupuesto de la Comunidad Autónoma de Andalucía para 2016, las cantidades que se pueden reconocer lo son en concepto de recuperación de los importes dejados de percibir como consecuencia de la supresión de la paga extraordinaria, paga adicional de complemento específico o pagas </w:t>
      </w:r>
      <w:r>
        <w:lastRenderedPageBreak/>
        <w:t>adicionales, o importes equivalentes correspondientes al mes de diciembre de 2012, por aplicación del Real Decreto-ley 20/2012, de 13 de julio. Y asimismo, los importes equivalentes, en el resto de situaciones previstas en la disposición transitoria primera de la Ley 3/2012, de 21 de septiembre” (apartado 2). Más en concreto, en relación con el personal “estatutario”, expresamente contemplado en el apartado 3 de las Instrucciones y que es el que aquí interesa, la resolución dispone que “de acuerdo con lo establecido en la disposición adicional citada”, este personal “percibirá la parte proporcional correspondiente a los primeros 44 días de la paga extraordinaria y, en su caso, de la paga adicional o equivalentes del mes de diciembre de 2012 que fueron suprimidas”.</w:t>
      </w:r>
    </w:p>
    <w:p w:rsidR="00163957" w:rsidRDefault="00163957" w:rsidP="00163957">
      <w:pPr>
        <w:pStyle w:val="TextoNormal"/>
      </w:pPr>
    </w:p>
    <w:p w:rsidR="00163957" w:rsidRDefault="00163957" w:rsidP="00163957">
      <w:pPr>
        <w:pStyle w:val="TextoNormal"/>
      </w:pPr>
      <w:r w:rsidRPr="00163957">
        <w:rPr>
          <w:rStyle w:val="NumeroAFNegritaCaracter"/>
        </w:rPr>
        <w:t>3</w:t>
      </w:r>
      <w:r>
        <w:t>. Como consecuencia de lo señalado en la normativa citada, debemos remitirnos a lo razonado en la citada STC 83/2015, de 30 de abril, y en otras de la misma serie, acerca de la pérdida de objeto de cuestiones de inconstitucionalidad en las que se planteaba la misma duda de constitucionalidad que en ésta.</w:t>
      </w:r>
    </w:p>
    <w:p w:rsidR="00163957" w:rsidRDefault="00163957" w:rsidP="00163957">
      <w:pPr>
        <w:pStyle w:val="TextoNormal"/>
      </w:pPr>
    </w:p>
    <w:p w:rsidR="00163957" w:rsidRDefault="00163957" w:rsidP="00163957">
      <w:pPr>
        <w:pStyle w:val="TextoNormal"/>
      </w:pPr>
      <w:r>
        <w:t xml:space="preserve">En el fundamento jurídico 3 de esa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w:t>
      </w:r>
      <w:r w:rsidRPr="00163957">
        <w:rPr>
          <w:i/>
        </w:rPr>
        <w:t>a quo</w:t>
      </w:r>
      <w:r>
        <w:t xml:space="preserve">,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w:t>
      </w:r>
      <w:r w:rsidRPr="00163957">
        <w:rPr>
          <w:i/>
        </w:rPr>
        <w:t>a quo</w:t>
      </w:r>
      <w:r>
        <w:t>, “que afecta de modo determinante a la subsistencia del presente proceso constitucional, dada la estrecha vinculación existente entre toda cuestión de inconstitucionalidad y el procedimiento judicial de que dimana”.</w:t>
      </w:r>
    </w:p>
    <w:p w:rsidR="00163957" w:rsidRDefault="00163957" w:rsidP="00163957">
      <w:pPr>
        <w:pStyle w:val="TextoNormal"/>
      </w:pPr>
    </w:p>
    <w:p w:rsidR="00163957" w:rsidRDefault="00163957" w:rsidP="00163957">
      <w:pPr>
        <w:pStyle w:val="TextoNormal"/>
      </w:pPr>
      <w:r>
        <w:t>En la presente cuestión de inconstitucionalidad se plantea si la supresión del derecho de los funcionarios del servicio andaluz de salud a percibir la parte proporcional (en concreto, 44 días) de la paga extra de diciembre de 2012, por entenderse ya devengada al momento de la entrada en vigor del Real Decreto-ley 20/2012, contraviene el art. 9.3 CE. En esos términos, es obligado concluir, como hicimos en la STC 83/2015, que “la recuperación por esos trabajadores [en este caso, personal estatutario] de la parte proporcional correspondiente a los primeros 44 días de la paga extra de diciembre de 2012”, en virtud de lo establecido en la citada disposición adicional decimoquinta de la Ley 1/2015, de 21 de diciembre, del presupuesto de la comunidad autónoma de Andalucía para el año 2016,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163957" w:rsidRDefault="00163957" w:rsidP="00163957">
      <w:pPr>
        <w:pStyle w:val="TextoNormal"/>
      </w:pPr>
    </w:p>
    <w:p w:rsidR="00163957" w:rsidRDefault="00163957" w:rsidP="00163957">
      <w:pPr>
        <w:pStyle w:val="TextoNormal"/>
      </w:pPr>
      <w:r>
        <w:t>En este mismo sentido, STC 141/2015, de 22 de junio, en relación con la Ley de presupuestos e instrucciones dictadas al efecto por la comunidad autónoma de la región de Murcia; y STC 227/2015, de 2 de noviembre, sobre el personal estatutario de los servicios de salud.</w:t>
      </w:r>
    </w:p>
    <w:p w:rsidR="00163957" w:rsidRDefault="00163957" w:rsidP="00163957">
      <w:pPr>
        <w:pStyle w:val="TextoNormal"/>
      </w:pPr>
    </w:p>
    <w:p w:rsidR="00163957" w:rsidRDefault="00163957" w:rsidP="00163957">
      <w:pPr>
        <w:pStyle w:val="TextoNormal"/>
      </w:pPr>
      <w:r>
        <w:lastRenderedPageBreak/>
        <w:t>Conforme a lo expuesto, la regulación contenida en la citada disposición adicional decimoquinta de la Ley 1/2015, de 21 de diciembre, del presupuesto de la comunidad autónoma de Andalucía para el año 2016,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Declarar la extinción de la presente causa de inconstitucionalidad por pérdida sobrevenida de su objeto.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tres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47" w:name="SENTENCIA_2016_44"/>
      <w:r>
        <w:lastRenderedPageBreak/>
        <w:t>SENTENCIA 44/2016, de 14 de marzo de 2016</w:t>
      </w:r>
    </w:p>
    <w:bookmarkEnd w:id="47"/>
    <w:p w:rsidR="00163957" w:rsidRDefault="00163957" w:rsidP="00163957">
      <w:pPr>
        <w:pStyle w:val="TtuloResolucin"/>
      </w:pPr>
      <w:r>
        <w:t>Sala Segunda</w:t>
      </w:r>
    </w:p>
    <w:p w:rsidR="00163957" w:rsidRDefault="00163957" w:rsidP="00163957">
      <w:pPr>
        <w:pStyle w:val="TtuloBOE"/>
      </w:pPr>
      <w:r>
        <w:t>(BOE núm. 97, de 22 de abril de 2016)</w:t>
      </w:r>
    </w:p>
    <w:p w:rsidR="00163957" w:rsidRDefault="00163957" w:rsidP="00163957">
      <w:pPr>
        <w:pStyle w:val="TextoNormalCentrado"/>
      </w:pPr>
      <w:r>
        <w:t>ECLI:ES:TC:2016:44</w:t>
      </w:r>
    </w:p>
    <w:p w:rsidR="00163957" w:rsidRDefault="00163957" w:rsidP="00163957">
      <w:pPr>
        <w:pStyle w:val="TextoNormalCentrado"/>
      </w:pPr>
    </w:p>
    <w:p w:rsidR="00163957" w:rsidRDefault="00163957" w:rsidP="00163957">
      <w:pPr>
        <w:pStyle w:val="SntesisDescriptiva"/>
      </w:pPr>
      <w:r>
        <w:t>Recurso de amparo 4923-2012. Promovido por la Universidad de Lleida en relación con la Sentencia de la Sala de lo Contencioso-Administrativo del Tribunal Supremo en proceso por jubilación de funcionario docente.</w:t>
      </w:r>
    </w:p>
    <w:p w:rsidR="00163957" w:rsidRDefault="00163957" w:rsidP="00163957">
      <w:pPr>
        <w:pStyle w:val="SntesisDescriptiva"/>
      </w:pPr>
    </w:p>
    <w:p w:rsidR="00163957" w:rsidRDefault="00163957" w:rsidP="00163957">
      <w:pPr>
        <w:pStyle w:val="SntesisAnaltica"/>
      </w:pPr>
      <w:r>
        <w:t>Alegada vulneración del derecho a la tutela judicial y supuesta vulneración del derecho a la autonomía universitaria: inadmisión parcial del recurso de amparo por falta de legitimación activa de la persona jurídica de Derecho público demandante (STC 175/2001); la determinación de la edad de jubilación no integra el derecho a la autonomía universitaria.</w:t>
      </w:r>
    </w:p>
    <w:p w:rsidR="00163957" w:rsidRDefault="00163957" w:rsidP="00163957">
      <w:pPr>
        <w:pStyle w:val="SntesisAnaltica"/>
      </w:pPr>
    </w:p>
    <w:p w:rsidR="00163957" w:rsidRDefault="00163957" w:rsidP="00163957">
      <w:pPr>
        <w:pStyle w:val="Extracto"/>
      </w:pPr>
      <w:r>
        <w:t>1.</w:t>
      </w:r>
      <w:r>
        <w:tab/>
        <w:t>Las personas jurídico públicas gozan del derecho a la tutela judicial efectiva  únicamente cuando su posición procesal sea equivalente a la de las personas privadas, supuesto en el que son titulares del derecho a la tutela judicial efectiva sin indefensión sin restricciones (STC 89/2011) [FJ 3].</w:t>
      </w:r>
    </w:p>
    <w:p w:rsidR="00163957" w:rsidRDefault="00163957" w:rsidP="00163957">
      <w:pPr>
        <w:pStyle w:val="Extracto"/>
      </w:pPr>
    </w:p>
    <w:p w:rsidR="00163957" w:rsidRDefault="00163957" w:rsidP="00163957">
      <w:pPr>
        <w:pStyle w:val="Extracto"/>
      </w:pPr>
      <w:r>
        <w:t>2.</w:t>
      </w:r>
      <w:r>
        <w:tab/>
        <w:t>No concurre la equivalencia de la posición de los sujetos privados con la que ocupa la persona jurídico-pública cuando ésta interviene en el proceso para defender el modo como ha ejercido un poder exorbitante (SSTC 239/2001; 206/2011) [FJ 3].</w:t>
      </w:r>
    </w:p>
    <w:p w:rsidR="00163957" w:rsidRDefault="00163957" w:rsidP="00163957">
      <w:pPr>
        <w:pStyle w:val="Extracto"/>
      </w:pPr>
    </w:p>
    <w:p w:rsidR="00163957" w:rsidRDefault="00163957" w:rsidP="00163957">
      <w:pPr>
        <w:pStyle w:val="Extracto"/>
      </w:pPr>
      <w:r>
        <w:t>3.</w:t>
      </w:r>
      <w:r>
        <w:tab/>
        <w:t>No es posible reconocerle a la Universidad recurrente que sus facultades de gestión del concierto con el Instituto Catalán de la Salud, que sí pueden considerarse parte integrante del derecho a la autonomía universitaria de que es titular, puedan condicionar a su vez el régimen de jubilación del cuerpo de funcionarios docentes, puesto que tal régimen legal actúa inevitablemente como límite de la autonomía universitaria [FJ 5].</w:t>
      </w:r>
    </w:p>
    <w:p w:rsidR="00163957" w:rsidRDefault="00163957" w:rsidP="00163957">
      <w:pPr>
        <w:pStyle w:val="Extracto"/>
      </w:pPr>
    </w:p>
    <w:p w:rsidR="00163957" w:rsidRDefault="00163957" w:rsidP="00163957">
      <w:pPr>
        <w:pStyle w:val="Extracto"/>
      </w:pPr>
      <w:r>
        <w:t>4.</w:t>
      </w:r>
      <w:r>
        <w:tab/>
        <w:t>No cabe defender que, en aras de garantizar la autonomía universitaria, las universidades puedan modular la edad de jubilación del profesorado adscrito a plazas vinculadas, es decir, puedan ajustar en su interés la aplicación del régimen funcionarial de jubilación forzosa, mediante un instrumento administrativo como es la decisión de desvincular o no una determinada plaza previamente vinculada [FJ 5].</w:t>
      </w:r>
    </w:p>
    <w:p w:rsidR="00163957" w:rsidRDefault="00163957" w:rsidP="00163957">
      <w:pPr>
        <w:pStyle w:val="Extracto"/>
      </w:pPr>
    </w:p>
    <w:p w:rsidR="00163957" w:rsidRDefault="00163957" w:rsidP="00163957">
      <w:pPr>
        <w:pStyle w:val="Extracto"/>
      </w:pPr>
      <w:r>
        <w:t>5.</w:t>
      </w:r>
      <w:r>
        <w:tab/>
        <w:t>La determinación tanto de la edad como de los efectos de la jubilación en orden a la eventual extinción de la relación laboral es una materia que, en principio, pertenece al ámbito propio de la ley, por estar en juego el ejercicio del derecho al trabajo. Y la consagración constitucional del derecho al trabajo determina que el recurso a la edad de jubilación opere como una fórmula racional, ejercitada como una opción voluntaria del trabajador y no como una imposición del legislador [FJ 5].</w:t>
      </w:r>
    </w:p>
    <w:p w:rsidR="00163957" w:rsidRDefault="00163957" w:rsidP="00163957">
      <w:pPr>
        <w:pStyle w:val="Extracto"/>
      </w:pPr>
    </w:p>
    <w:p w:rsidR="00163957" w:rsidRDefault="00163957" w:rsidP="00163957">
      <w:pPr>
        <w:pStyle w:val="Extracto"/>
      </w:pPr>
      <w:r>
        <w:t>6.</w:t>
      </w:r>
      <w:r>
        <w:tab/>
        <w:t xml:space="preserve">El reconocimiento de que la selección del personal docente e investigador por cada universidad es uno de los ámbitos comprendidos en el contenido esencial de su derecho fundamental a la autonomía universitaria no se comporta como un límite </w:t>
      </w:r>
      <w:r>
        <w:lastRenderedPageBreak/>
        <w:t>absoluto que haga imposible cualquier intervención legislativa en ese ámbito (STC 26/1987) [FJ 4].</w:t>
      </w:r>
    </w:p>
    <w:p w:rsidR="00163957" w:rsidRDefault="00163957" w:rsidP="00163957">
      <w:pPr>
        <w:pStyle w:val="Extracto"/>
      </w:pPr>
    </w:p>
    <w:p w:rsidR="00163957" w:rsidRDefault="00163957" w:rsidP="00163957">
      <w:pPr>
        <w:pStyle w:val="Extracto"/>
      </w:pPr>
      <w:r>
        <w:t>7.</w:t>
      </w:r>
      <w:r>
        <w:tab/>
        <w:t>El legislador puede regular la autonomía universitaria en la forma que estime más conveniente, si bien siempre dentro del marco de la Constitución y del respeto a su contenido esencial (STC 55/1989) [FJ 4].</w:t>
      </w:r>
    </w:p>
    <w:p w:rsidR="00163957" w:rsidRDefault="00163957" w:rsidP="00163957">
      <w:pPr>
        <w:pStyle w:val="Extracto"/>
      </w:pPr>
    </w:p>
    <w:p w:rsidR="00163957" w:rsidRDefault="00163957" w:rsidP="00163957">
      <w:pPr>
        <w:pStyle w:val="Extracto"/>
      </w:pPr>
      <w:r>
        <w:t>8.</w:t>
      </w:r>
      <w:r>
        <w:tab/>
        <w:t>La especial trascendencia constitucional reside en que el problema planteado surge de un supuesto que no es totalmente coincidente con los que anteriormente han sido objeto de tratamiento en este Tribunal, pues no hemos tenido ocasión de establecer si la determinación del régimen de jubilación queda o no incluida en el ámbito propio del derecho fundamental a la autonomía universitaria allí donde la ley guarde silencio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Dal-Re,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4923-2012, promovido por la Universidad de Lleida, representada por el Procurador de los Tribunales don Juan Carlos Estévez Fernández Novoa y asistida por el Letrado don Frederic Solà Eras, contra la Sentencia de la Sala Tercera del Tribunal Supremo de 12 de diciembre de 2011, estimatoria del recurso de casación interpuesto por don Manuel Rubio Caballero contra la Sentencia de 14 de enero de 1999, de la Sección Cuarta de la Sala de lo Contencioso-Administrativo del Tribunal Superior de Justicia de Cataluña, recaída en el recurso núm. 1171-2005, sobre resolución de la Universidad de Lleida, de fecha 30 de septiembre de 2005, por la que se desestima el recurso de reposición interpuesto contra la resolución administrativa de 23 de agosto de 2005, relativa a la jubilación de aquél. Ha sido parte don Manuel Rubio Caballero, representado por la Procuradora de los Tribunales doña Victoria Pérez-Mulet y asistido por el Letrado don Julio Hernández Puértolas, y también ha intervenido el Ministerio Fiscal. Ha sido Ponente el Magistrado don Pedro José González-Trevijano Sánchez,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Mediante escrito registrado en este Tribunal el 3 de septiembre de 2012, el Procurador de los Tribunales don Juan Carlos Estévez Fernández Novoa, en nombre y representación de la Universidad de Lleida, interpuso recurso de amparo contra la Sentencia de la Sala </w:t>
      </w:r>
      <w:r>
        <w:lastRenderedPageBreak/>
        <w:t>Tercera del Tribunal Supremo, de fecha 12 de diciembre de 2011, a la que se ha hecho referencia en el encabezamiento de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de los que trae causa la demanda de amparo son, en síntesis, los siguientes:</w:t>
      </w:r>
    </w:p>
    <w:p w:rsidR="00163957" w:rsidRDefault="00163957" w:rsidP="00163957">
      <w:pPr>
        <w:pStyle w:val="TextoNormal"/>
      </w:pPr>
    </w:p>
    <w:p w:rsidR="00163957" w:rsidRDefault="00163957" w:rsidP="00163957">
      <w:pPr>
        <w:pStyle w:val="TextoNormal"/>
      </w:pPr>
      <w:r>
        <w:t>a) El señor don Manuel Rubio Caballero trabajó como profesor titular de universidad en la facultad de medicina de la Universidad de Lleida, en el área de conocimiento de patología general, desde el 17 de mayo de 1986. Diez años más tarde, esto es desde 1996 su plaza docente se convierte en plaza vinculada al Instituto Catalán de la Salud, desempeñando el Sr. Rubio funciones profesionales médicas, como jefe del servicio de medicina interna del hospital universitario Arnau de Vilanova de Lleida, y simultáneamente funciones docentes. A partir de ese momento el profesor Rubio Caballero ocupa un puesto de trabajo único, en una plaza docente vinculada, realizando una actividad a tiempo parcial en la Universidad y en el Instituto Catalán de la Salud.</w:t>
      </w:r>
    </w:p>
    <w:p w:rsidR="00163957" w:rsidRDefault="00163957" w:rsidP="00163957">
      <w:pPr>
        <w:pStyle w:val="TextoNormal"/>
      </w:pPr>
    </w:p>
    <w:p w:rsidR="00163957" w:rsidRDefault="00163957" w:rsidP="00163957">
      <w:pPr>
        <w:pStyle w:val="TextoNormal"/>
      </w:pPr>
      <w:r>
        <w:t>b) La jubilación forzosa del Sr. Rubio Caballero en el Instituto Catalán de la Salud se produce el 1 de agosto de 2005, al cumplir la edad de 65 años; y ello en aplicación del art. 26.1 de la Ley 55/2003, de 16 de diciembre, por el que se aprueba el estatuto marco del personal estatutario de los servicios de salud.</w:t>
      </w:r>
    </w:p>
    <w:p w:rsidR="00163957" w:rsidRDefault="00163957" w:rsidP="00163957">
      <w:pPr>
        <w:pStyle w:val="TextoNormal"/>
      </w:pPr>
    </w:p>
    <w:p w:rsidR="00163957" w:rsidRDefault="00163957" w:rsidP="00163957">
      <w:pPr>
        <w:pStyle w:val="TextoNormal"/>
      </w:pPr>
      <w:r>
        <w:t>c) Ante la decisión del Instituto Catalán de la Salud, contraria a una previa solicitud del Sr. Rubio Caballero, en virtud de la cual interesó continuar en el servicio activo del Instituto Catalán de la Salud hasta los 70 años, este último solicitó de la Universidad que se desvinculase la plaza que había desempeñado en la Universidad de Lleida durante veinticinco años a tiempo parcial, con la finalidad de pasar a ocuparla a tiempo completo hasta el cumplimiento de la edad forzosa de jubilación de los funcionarios docentes universitarios, esto es, a los 70 años de edad, tal y como establece la disposición adicional decimoquinta 5 de la Ley 30/1984, de 2 de agosto, de medidas para la reforma de la función pública, en la redacción dada por la Ley 27/1994, de 29 de septiembre, de modificación de la edad de jubilación de los funcionarios de los cuerpos docentes universitarios.</w:t>
      </w:r>
    </w:p>
    <w:p w:rsidR="00163957" w:rsidRDefault="00163957" w:rsidP="00163957">
      <w:pPr>
        <w:pStyle w:val="TextoNormal"/>
      </w:pPr>
    </w:p>
    <w:p w:rsidR="00163957" w:rsidRDefault="00163957" w:rsidP="00163957">
      <w:pPr>
        <w:pStyle w:val="TextoNormal"/>
      </w:pPr>
      <w:r>
        <w:t>d) Por resolución del Rectorado, de fecha 23 de agosto de 2005, se rechazó la solicitud antes indicada. Frente a dicha decisión, el Sr. Rubio interpuso recurso de reposición que fue desestimado por resolución de fecha 30 de septiembre del 2005, en la cual también se acordó la jubilación forzosa de aquél, habida cuenta de que el Instituto Catalán de la Salud había declarado su jubilación por cumplir 65 años de edad.</w:t>
      </w:r>
    </w:p>
    <w:p w:rsidR="00163957" w:rsidRDefault="00163957" w:rsidP="00163957">
      <w:pPr>
        <w:pStyle w:val="TextoNormal"/>
      </w:pPr>
    </w:p>
    <w:p w:rsidR="00163957" w:rsidRDefault="00163957" w:rsidP="00163957">
      <w:pPr>
        <w:pStyle w:val="TextoNormal"/>
      </w:pPr>
      <w:r>
        <w:t>e) Frente a las resoluciones rectorales citadas, el solicitante interpuso recurso contencioso-administrativo ante el Tribunal Superior de Justicia de Cataluña, al que le fue asignado el núm. 1171-2005. El recurrente basó su pretensión en el derecho que asiste a los profesores universitarios a permanecer en el cargo hasta los 70 años, esto es, hasta la edad legalmente establecida para la jubilación forzosa. Además, aquél reclamó para sí el restablecimiento de la situación jurídica individualizada y la indemnización de los perjuicios sufridos.</w:t>
      </w:r>
    </w:p>
    <w:p w:rsidR="00163957" w:rsidRDefault="00163957" w:rsidP="00163957">
      <w:pPr>
        <w:pStyle w:val="TextoNormal"/>
      </w:pPr>
    </w:p>
    <w:p w:rsidR="00163957" w:rsidRDefault="00163957" w:rsidP="00163957">
      <w:pPr>
        <w:pStyle w:val="TextoNormal"/>
      </w:pPr>
      <w:r>
        <w:t>f) Por Sentencia de 14 de enero de 2009, la Sección Cuarta de la Sala de lo Contencioso-Administrativo del Tribunal Superior de Justicia de Cataluña desestimó el recurso. El principal argumento esgrimido por el Tribunal fue el siguiente:</w:t>
      </w:r>
    </w:p>
    <w:p w:rsidR="00163957" w:rsidRDefault="00163957" w:rsidP="00163957">
      <w:pPr>
        <w:pStyle w:val="TextoNormal"/>
      </w:pPr>
    </w:p>
    <w:p w:rsidR="00163957" w:rsidRDefault="00163957" w:rsidP="00163957">
      <w:pPr>
        <w:pStyle w:val="TextoNormal"/>
      </w:pPr>
      <w:r>
        <w:lastRenderedPageBreak/>
        <w:t>“La naturaleza jurídica y efectos funcionariales que produce una plaza vinculada es bien conocida de las partes litigantes. Esa vinculación produce una relación jurídica especial de dependencia de la plaza vinculada, en este caso la docente respecto de la desempeñada en el área sanitaria. Por lo tanto, una vez que se produce la extinción de la relación de servicio en el Instituto Catalán de la Salud, es obvio que tal jubilación debe producir efectos jurídicos en la plaza docente universitaria.</w:t>
      </w:r>
    </w:p>
    <w:p w:rsidR="00163957" w:rsidRDefault="00163957" w:rsidP="00163957">
      <w:pPr>
        <w:pStyle w:val="TextoNormal"/>
      </w:pPr>
    </w:p>
    <w:p w:rsidR="00163957" w:rsidRDefault="00163957" w:rsidP="00163957">
      <w:pPr>
        <w:pStyle w:val="TextoNormal"/>
      </w:pPr>
      <w:r>
        <w:t>La vinculación o dependencia entre dichas plazas o puestos de trabajo supone la íntima correlación orgánica y de servicio entre una y otra. La plaza docente depende del desempeño de un previo puesto de trabajo en el ámbito sanitario.</w:t>
      </w:r>
    </w:p>
    <w:p w:rsidR="00163957" w:rsidRDefault="00163957" w:rsidP="00163957">
      <w:pPr>
        <w:pStyle w:val="TextoNormal"/>
      </w:pPr>
    </w:p>
    <w:p w:rsidR="00163957" w:rsidRDefault="00163957" w:rsidP="00163957">
      <w:pPr>
        <w:pStyle w:val="TextoNormal"/>
      </w:pPr>
      <w:r>
        <w:t>Así aparece regulado en la numerosa legislación que se cita en los escritos de las partes litigantes y en los acuerdos y convenios de la Universidad. La Ley 14/1986, de 25 de abril, General de Sanidad reguló la vinculación de determinadas plazas asistenciales de la institución sanitaria con plazas docentes de la Universidad, en un régimen especial para su provisión, lo que posteriormente se confirmó en el Real Decreto 1558/1996, de 28 de junio, donde se establecen las bases de los conciertos entre la Universidad y las Instituciones Sanitarias.</w:t>
      </w:r>
    </w:p>
    <w:p w:rsidR="00163957" w:rsidRDefault="00163957" w:rsidP="00163957">
      <w:pPr>
        <w:pStyle w:val="TextoNormal"/>
      </w:pPr>
    </w:p>
    <w:p w:rsidR="00163957" w:rsidRDefault="00163957" w:rsidP="00163957">
      <w:pPr>
        <w:pStyle w:val="TextoNormal"/>
      </w:pPr>
      <w:r>
        <w:t>En la legislación anterior se destaca la dependencia de la plaza docente respecto de la sanitaria, en el sentido de que una vez producida la extinción de la relación de servicio en la institución sanitaria, como ocurre en el presente caso por jubilación, debe producirse el cese en la docencia universitaria. Por ello, acreditada la extinción en relación funcionarial con el Instituto Catalán de la Salud, reconocer efectos jurídicos a dicha extinción en la plaza docente”.</w:t>
      </w:r>
    </w:p>
    <w:p w:rsidR="00163957" w:rsidRDefault="00163957" w:rsidP="00163957">
      <w:pPr>
        <w:pStyle w:val="TextoNormal"/>
      </w:pPr>
    </w:p>
    <w:p w:rsidR="00163957" w:rsidRDefault="00163957" w:rsidP="00163957">
      <w:pPr>
        <w:pStyle w:val="TextoNormal"/>
      </w:pPr>
      <w:r>
        <w:t>g) Frente a la Sentencia anteriormente citada don Manuel Rubio Caballero interpuso recurso de casación, que fue estimado por Sentencia de 12 de diciembre de 2011. En primer término, el Tribunal Supremo reconoce que el recurrente en casación, en tanto que integrante del cuerpo de profesores titulares de universidad, tenía derecho a jubilarse forzosamente por razón de edad al cumplir los 70 años. Ese derecho es deducido por el Tribunal Supremo de la lectura de la regulación legal relativa al tipo de plaza ocupada por el recurrente; esto es, una plaza vinculada [art. 61 de la Ley Orgánica 6/2001, de 21 de diciembre, de universidades (LOU) y 105 de la Ley 14/1986 de 25 de abril, general de sanidad: LGS]. Establece el órgano judicial que no puede derivarse de dicha regulación singularidad alguna relativa a la edad de jubilación, pues el Real Decreto 1558/1986, de 28 de junio, por el que se establecen las bases generales del régimen de conciertos entre las universidades y las instituciones sanitarias, establece en su artículo 4, base decimocuarta, que “sin perjuicio de las especificaciones que se establecen en el presente Real Decreto, los Profesores que desempeñen plaza vinculada tendrán los derechos y deberes inherentes a su condición de Cuerpos Docentes de Universidad y de personal estatutario del régimen correspondiente de la Seguridad Social o de la Institución concertada que corresponda cuando ésta no pertenezca a la misma”. De la dicción literal del precepto, el Tribunal Supremo deduce que la jubilación forzosa al cumplir los 70 años es un derecho inherente a la condición de funcionario de los cuerpos docentes universitarios. A su vez, considera que no hay norma legal que disponga, para los profesores universitarios que desempeñan plazas vinculadas, un régimen de jubilación diferente al de los demás docentes o, en su caso, que les imponga la carga de combatir decisiones de Administraciones diferentes de la universitaria sobre su jubilación para conservar ese derecho.</w:t>
      </w:r>
    </w:p>
    <w:p w:rsidR="00163957" w:rsidRDefault="00163957" w:rsidP="00163957">
      <w:pPr>
        <w:pStyle w:val="TextoNormal"/>
      </w:pPr>
    </w:p>
    <w:p w:rsidR="00163957" w:rsidRDefault="00163957" w:rsidP="00163957">
      <w:pPr>
        <w:pStyle w:val="TextoNormal"/>
      </w:pPr>
      <w:r>
        <w:t>El Tribunal Supremo concluye su argumentación afirmando que, si bien sería conveniente contar con una regulación específica, lo cierto es que la misma no existe, y por tanto, debe optarse por aplicar la norma general. En el presente caso, la actuación impugnada en la instancia ha hecho valer una causa de jubilación sin sustento legal, en contradicción con lo previsto en la disposición adicional decimoquinta.5 de la Ley 30/1984. Por ello, tanto la Universidad de Lleida como la Sentencia de instancia, en tanto que ha confirmado la actuación de la referida Universidad, han infringido el art. 23.2 CE. Finalmente el Tribunal Supremo estima el recurso de casación interpuesto, anula la Sentencia recurrida, las resoluciones del Rector de la Universidad de Lleida de 23 de agosto y de 30 de septiembre de 2005 y, adicionalmente, reconoce al recurrente en casación el derecho a que la Universidad le satisfaga el importe correspondiente a la diferencia que medie entre los ingresos percibidos en concepto de pensión por jubilación y las retribuciones que le habrían correspondido de haber permanecido en activo como profesor titular a tiempo completo desde el 1 de octubre de 2005 hasta el 30 de septiembre de 2010, fecha en la que, efectivamente, le correspondería haber sido jubilado forzosamente en la Universidad.</w:t>
      </w:r>
    </w:p>
    <w:p w:rsidR="00163957" w:rsidRDefault="00163957" w:rsidP="00163957">
      <w:pPr>
        <w:pStyle w:val="TextoNormal"/>
      </w:pPr>
    </w:p>
    <w:p w:rsidR="00163957" w:rsidRDefault="00163957" w:rsidP="00163957">
      <w:pPr>
        <w:pStyle w:val="TextoNormal"/>
      </w:pPr>
      <w:r>
        <w:t>h) La Universidad de Lleida planteó incidente de nulidad de actuaciones contra la Sentencia del Tribunal Supremo. En dicho incidente alegó la vulneración del derecho a la tutela judicial efectiva sin indefensión (art. 24.1 CE) y del derecho a la autonomía universitaria (art. 27.10 CE). El Tribunal Supremo, mediante Auto de 12 de junio de 2012, rechaza que haya lugar a la nulidad de actuaciones y reitera los argumentos y conclusiones alcanzados en la Sentencia contra la que se interpone el incidente.</w:t>
      </w:r>
    </w:p>
    <w:p w:rsidR="00163957" w:rsidRDefault="00163957" w:rsidP="00163957">
      <w:pPr>
        <w:pStyle w:val="TextoNormal"/>
      </w:pPr>
    </w:p>
    <w:p w:rsidR="00163957" w:rsidRDefault="00163957" w:rsidP="00163957">
      <w:pPr>
        <w:pStyle w:val="TextoNormal"/>
      </w:pPr>
      <w:r w:rsidRPr="00163957">
        <w:rPr>
          <w:rStyle w:val="NumeroAFNegritaCaracter"/>
        </w:rPr>
        <w:t>3</w:t>
      </w:r>
      <w:r>
        <w:t>. La demanda de amparo interpuesta por la Universidad de Lleida considera que la Sentencia del Tribunal Supremo ha provocado la lesión de dos derechos fundamentales: el derecho a la tutela judicial efectiva (art. 24.1 CE) y el derecho a la autonomía universitaria (art. 27.10 CE).</w:t>
      </w:r>
    </w:p>
    <w:p w:rsidR="00163957" w:rsidRDefault="00163957" w:rsidP="00163957">
      <w:pPr>
        <w:pStyle w:val="TextoNormal"/>
      </w:pPr>
    </w:p>
    <w:p w:rsidR="00163957" w:rsidRDefault="00163957" w:rsidP="00163957">
      <w:pPr>
        <w:pStyle w:val="TextoNormal"/>
      </w:pPr>
      <w:r>
        <w:t>La representación procesal de la Universidad de Lleida recuerda el contenido de la legislación aplicable (título VI LGS, Real Decreto 1558/1986 y art. 61 y disposición adicional séptima LOU), del que extrae las siguientes conclusiones: a) el profesor que ocupa una plaza vinculada ocupa un único puesto de trabajo, aunque desarrolla una doble actividad, la docente en la universidad y la asistencial en un centro hospitalario; b) no todas las plazas de las diferentes áreas de conocimiento de las facultades de medicina tienen que ser vinculadas, pues sólo lo son aquéllas que satisfagan necesidades docentes, de investigación y de carácter clínico asistencial que determine la universidad, previo acuerdo con el centro asistencial objeto de concierto; c) los funcionarios que ocupan estas plazas acceden directamente a ellas como plazas vinculadas o aceptan voluntariamente la vinculación, cuando se genera la necesidad docente o asistencial; d) la vinculación opera sobre las áreas de conocimiento; e) no hay una prevalencia de la legislación universitaria sobre la legislación sanitaria, y f) no existe normativa específica en relación al régimen de jubilación para los profesores con plazas vinculadas.</w:t>
      </w:r>
    </w:p>
    <w:p w:rsidR="00163957" w:rsidRDefault="00163957" w:rsidP="00163957">
      <w:pPr>
        <w:pStyle w:val="TextoNormal"/>
      </w:pPr>
    </w:p>
    <w:p w:rsidR="00163957" w:rsidRDefault="00163957" w:rsidP="00163957">
      <w:pPr>
        <w:pStyle w:val="TextoNormal"/>
      </w:pPr>
      <w:r>
        <w:t>A partir de esta exposición normativa y de las conclusiones apuntadas, la Universidad de Lleida expone los argumentos que sustentan los motivos de interposición del recurso de amparo.</w:t>
      </w:r>
    </w:p>
    <w:p w:rsidR="00163957" w:rsidRDefault="00163957" w:rsidP="00163957">
      <w:pPr>
        <w:pStyle w:val="TextoNormal"/>
      </w:pPr>
    </w:p>
    <w:p w:rsidR="00163957" w:rsidRDefault="00163957" w:rsidP="00163957">
      <w:pPr>
        <w:pStyle w:val="TextoNormal"/>
      </w:pPr>
      <w:r>
        <w:lastRenderedPageBreak/>
        <w:t>a) Por lo que se refiere a la invocación del art. 24.1 CE, la recurrente entiende que ha existido vulneración de su derecho a la tutela judicial efectiva, al incurrir el Tribunal Supremo en un error al interpretar y aplicar el mandato constitucional de igualdad reconocido en el art. 23.2 CE, en relación con el art. 14 CE, y basar su motivación en meros juicios de valor.</w:t>
      </w:r>
    </w:p>
    <w:p w:rsidR="00163957" w:rsidRDefault="00163957" w:rsidP="00163957">
      <w:pPr>
        <w:pStyle w:val="TextoNormal"/>
      </w:pPr>
    </w:p>
    <w:p w:rsidR="00163957" w:rsidRDefault="00163957" w:rsidP="00163957">
      <w:pPr>
        <w:pStyle w:val="TextoNormal"/>
      </w:pPr>
      <w:r>
        <w:t>La recurrente entiende que el argumento principal de la Sentencia de casación es fruto de una interpretación extravagante del derecho a la igualdad reconocida por el ordenamiento jurídico, en la medida en que impone un trato igual a los desiguales, al no reconocer la singularidad de las plazas vinculadas. Dicho argumento parte, a juicio de la demandante de amparo, de la siguiente consideración errónea: de acuerdo con el mandato de igualdad previsto en el art. 23.2 CE, el profesor con plaza vinculada debe jubilarse exactamente en las mismas condiciones que cualquier otro profesor universitario, al no prever la legislación vigente un régimen jurídico singular en materia de jubilación, de suerte que el Real Decreto 1558/1986 consagra una genérica igualdad de derechos entre quienes ocupan una plaza vinculada y el resto de profesorado de los cuerpos docentes de universidad.</w:t>
      </w:r>
    </w:p>
    <w:p w:rsidR="00163957" w:rsidRDefault="00163957" w:rsidP="00163957">
      <w:pPr>
        <w:pStyle w:val="TextoNormal"/>
      </w:pPr>
    </w:p>
    <w:p w:rsidR="00163957" w:rsidRDefault="00163957" w:rsidP="00163957">
      <w:pPr>
        <w:pStyle w:val="TextoNormal"/>
      </w:pPr>
      <w:r>
        <w:t>Asimismo, considera que cuando la Sentencia del Tribunal Supremo afirma, en su fundamento jurídico 6, párrafo 5, que “los departamentos, llamados a organizar la docencia, disponen de margen suficiente para aprovechar de manera satisfactoria el personal docente adscrito a ellos sin que por ello sufra el interés general que preocupa a la Universidad de Lleida”, lo hace basándose en meros juicio de valor y afirmaciones inciertas, sin tener en cuenta que la legislación aplicable al caso no confiere a las universidades capacidad autónoma para la fijación del gasto en materia de personal.</w:t>
      </w:r>
    </w:p>
    <w:p w:rsidR="00163957" w:rsidRDefault="00163957" w:rsidP="00163957">
      <w:pPr>
        <w:pStyle w:val="TextoNormal"/>
      </w:pPr>
    </w:p>
    <w:p w:rsidR="00163957" w:rsidRDefault="00163957" w:rsidP="00163957">
      <w:pPr>
        <w:pStyle w:val="TextoNormal"/>
      </w:pPr>
      <w:r>
        <w:t>b) En relación con el derecho a la autonomía universitaria (art. 27.10 CE), la recurrente estima que la vulneración deriva del desconocimiento, por parte del Tribunal Supremo, de la capacidad de la universidad para definir las plazas y el contenido, tipo y características de su profesorado, de acuerdo con el art. 2.2 e), i) y k) LOU. La Universidad de Lleida considera que el Tribunal Supremo desconoce su capacidad para determinar si una plaza docente debe o no ser vinculada y, por ello, le obliga a crear un nuevo puesto de trabajo a tiempo completo para sustituir una plaza vinculada y a tiempo parcial, al margen de las necesidades docentes, investigadoras y de estudio que conforman el núcleo fundamental de la autonomía universitaria.</w:t>
      </w:r>
    </w:p>
    <w:p w:rsidR="00163957" w:rsidRDefault="00163957" w:rsidP="00163957">
      <w:pPr>
        <w:pStyle w:val="TextoNormal"/>
      </w:pPr>
    </w:p>
    <w:p w:rsidR="00163957" w:rsidRDefault="00163957" w:rsidP="00163957">
      <w:pPr>
        <w:pStyle w:val="TextoNormal"/>
      </w:pPr>
      <w:r>
        <w:t>A juicio de la recurrente en amparo, que trae a colación la doctrina constitucional en materia de autonomía universitaria, no cabe la menor duda de que forma parte de dicha autonomía decidir si las plazas deben o no desvincularse y, con más razón, establecer el contenido, el perfil y las características de su profesorado, aspectos todos ellos que corresponden única y exclusivamente a la universidad, según indica el art. 2.2 apartados e) i) y k) de la Ley Orgánica de universidades. Insiste la recurrente en la idea de que la decisión de vincular o de crear una plaza se realiza atendiendo estrictamente a cuestiones docentes, de investigación y de estudio, aspectos todos ellos que configuran el núcleo sustantivo de la autonomía universitaria. Así pues, en la medida en que la Sentencia del Tribunal Supremo obliga a la Universidad a desvincular la plaza o, en su caso, a crear una nueva plaza prescindiendo de su voluntad y obviando las necesidades docentes, para así permitir que el Sr. Rubio pueda jubilarse a los 70 años, dicha resolución atenta contra la autonomía universitaria reconocida en la Constitución Española.</w:t>
      </w:r>
    </w:p>
    <w:p w:rsidR="00163957" w:rsidRDefault="00163957" w:rsidP="00163957">
      <w:pPr>
        <w:pStyle w:val="TextoNormal"/>
      </w:pPr>
    </w:p>
    <w:p w:rsidR="00163957" w:rsidRDefault="00163957" w:rsidP="00163957">
      <w:pPr>
        <w:pStyle w:val="TextoNormal"/>
      </w:pPr>
      <w:r>
        <w:t>Como argumento adicional, la recurrente en amparo niega que su actuación haya infringido el art. 23.2 CE, puesto que el objeto del debate no es determinar si el Sr. Rubio tiene derecho a continuar como profesor con plaza vinculada hasta los 70 años, sino determinar si tenía derecho a cambiar la naturaleza de su cargo de profesor de universidad con plaza vinculada y dedicación a tiempo parcial en la universidad, para disponer, tras su jubilación en el Instituto Catalán de la Salud, de un plaza a tiempo completo y no vinculada en el área de conocimiento “Patología General”, en la cual resulta esencial la prestación de una actividad asistencial.</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providencia de 12 de septiembre de 2013, la Sala Segunda de este Tribunal acordó admitir a trámite el recurso de amparo, de conformidad con lo previsto en el art. 11.2 de la Ley Orgánica del Tribunal Constitucional (LOTC), a condición de que el Procurador don Juan Carlos Estévez Fernández Novoa acreditase, en el plazo de diez días, su representación de la recurrente con poder notarial. El requerimiento al Procurador fue atendido mediante escrito presentado en el Registro General de este Tribunal el día 26 de septiembre de 2013. En el citado proveído se acordó requerir a la Sección Séptima de la Sala de lo Contencioso-Administrativo del Tribunal Supremo y a la Sección Cuarta de la Sala de lo Contencioso-Administrativo del Tribunal Superior de Justicia de Cataluña, a fin de que, en plazo que no excediera de diez días, remitieran certificación o fotocopia adverada de las actuaciones correspondientes al recurso de casación núm. 1569-2009 y al recurso núm. 1171-2005, respectivamente. Asimismo, se dispuso el previo emplazamiento de quienes hubieran sido parte en el procedimiento, salvo la parte recurrente en amparo, para que en el plazo de diez días pudieran comparecer en el presente recurso de amparo, si así lo desearan.</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fechado el 19 de julio de 2013, el Magistrado de este Tribunal don Juan José González Rivas solicitó a la Sala que se le tuviera por abstenido en el presente recurso de amparo, puesto que formó parte de la Sección Séptima de la Sala Tercera del Tribunal Supremo que dictó la Sentencia de 12 de diciembre de 2011 y el Auto de 12 de junio de 2012, resoluciones que han sido impugnadas en el presente recurso de amparo. Mediante el Auto 168/2013, de 9 de septiembre, la Sala Segunda de este Tribunal acordó estimar justificada la abstención del referido Magistrado, apartándole definitivamente del conocimiento del recurso, en aplicación de lo previsto en el art. 219.11 de la Ley Orgánica del Poder Judicial, precepto al que se remite el art. 80 LOTC.</w:t>
      </w:r>
    </w:p>
    <w:p w:rsidR="00163957" w:rsidRDefault="00163957" w:rsidP="00163957">
      <w:pPr>
        <w:pStyle w:val="TextoNormal"/>
      </w:pPr>
    </w:p>
    <w:p w:rsidR="00163957" w:rsidRDefault="00163957" w:rsidP="00163957">
      <w:pPr>
        <w:pStyle w:val="TextoNormal"/>
      </w:pPr>
      <w:r w:rsidRPr="00163957">
        <w:rPr>
          <w:rStyle w:val="NumeroAFNegritaCaracter"/>
        </w:rPr>
        <w:t>6</w:t>
      </w:r>
      <w:r>
        <w:t>. Por escrito presentado el 7 de octubre de 2013, la Procuradora de los Tribunales doña Victoria Pérez-Mulet Diez-Picazo solicitó que se la tuviera por personada en el presente recurso de amparo, en nombre y representación de don Manuel Rubio Caballero. Mediante diligencia de ordenación de 10 de octubre de 2013 se acordó tenerla por personada y parte en el procedimiento, a condición de que dicha Procuradora acreditase la representación que decía ostentar con poder original en el plazo de diez días. Asimismo, se acordó dar vista de las actuaciones recibidas, por un plazo común de veinte días, a las partes personadas y al Ministerio Fiscal para que, de conformidad con el art. 52.1 LOTC, presentaran las alegaciones pertinentes. El requerimiento efectuado a la Procuradora fue atendido mediante escrito registrado el 25 de octubre de 2013.</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7</w:t>
      </w:r>
      <w:r>
        <w:t>. El Procurador de los Tribunales don Juan Carlos Estévez Fernández Novoa, en nombre y representación de la Universidad de Lleida, presentó escrito de alegaciones el día 12 de noviembre de 2013, en el cual reitera lo expresado en el escrito de demanda y profundiza en la idea de que no existe confrontación alguna entre los arts. 23.2 y 27.10 CE en el presente supuesto.</w:t>
      </w:r>
    </w:p>
    <w:p w:rsidR="00163957" w:rsidRDefault="00163957" w:rsidP="00163957">
      <w:pPr>
        <w:pStyle w:val="TextoNormal"/>
      </w:pPr>
    </w:p>
    <w:p w:rsidR="00163957" w:rsidRDefault="00163957" w:rsidP="00163957">
      <w:pPr>
        <w:pStyle w:val="TextoNormal"/>
      </w:pPr>
      <w:r w:rsidRPr="00163957">
        <w:rPr>
          <w:rStyle w:val="NumeroAFNegritaCaracter"/>
        </w:rPr>
        <w:t>8</w:t>
      </w:r>
      <w:r>
        <w:t>. Por medio de escrito registrado el 14 de noviembre de 2013, el Ministerio Fiscal presentó sus alegaciones, solicitando la desestimación de la pretensión de amparo.</w:t>
      </w:r>
    </w:p>
    <w:p w:rsidR="00163957" w:rsidRDefault="00163957" w:rsidP="00163957">
      <w:pPr>
        <w:pStyle w:val="TextoNormal"/>
      </w:pPr>
    </w:p>
    <w:p w:rsidR="00163957" w:rsidRDefault="00163957" w:rsidP="00163957">
      <w:pPr>
        <w:pStyle w:val="TextoNormal"/>
      </w:pPr>
      <w:r>
        <w:t>a) Respecto de la invocación del derecho a la tutela judicial efectiva (art. 24.1 CE), el Ministerio Fiscal niega legitimación a la recurrente. A ese respecto, considera que la Universidad de Lleida anuda la lesión del derecho a obtener una resolución fundada en Derecho a su facultad de ordenar la actividad docente de su personal, es decir, a la finalidad de hacer efectiva la potestad pública que ostenta. Siendo así, la recurrente no se sitúa en una posición equivalente a la de las personas jurídico-privadas; por ello, conforme a la doctrina recogida en la STC 206/2011, de 19 de diciembre, FJ 2, carece de legitimación para invocar la lesión del art. 24.1 CE.</w:t>
      </w:r>
    </w:p>
    <w:p w:rsidR="00163957" w:rsidRDefault="00163957" w:rsidP="00163957">
      <w:pPr>
        <w:pStyle w:val="TextoNormal"/>
      </w:pPr>
    </w:p>
    <w:p w:rsidR="00163957" w:rsidRDefault="00163957" w:rsidP="00163957">
      <w:pPr>
        <w:pStyle w:val="TextoNormal"/>
      </w:pPr>
      <w:r>
        <w:t>Con carácter subsidiario, caso de no apreciarse la falta de legitimación, el Ministerio Fiscal sostiene que se han de analizar de forma conjunta la invocación procesal y la material, ya que, si bien la recurrente alega formalmente una lesión autónoma de la tutela judicial efectiva, realmente los argumentos en que se apoya sirven para sustentar la lesión del derecho sustantivo de la autonomía universitaria (art. 27.10 CE).</w:t>
      </w:r>
    </w:p>
    <w:p w:rsidR="00163957" w:rsidRDefault="00163957" w:rsidP="00163957">
      <w:pPr>
        <w:pStyle w:val="TextoNormal"/>
      </w:pPr>
    </w:p>
    <w:p w:rsidR="00163957" w:rsidRDefault="00163957" w:rsidP="00163957">
      <w:pPr>
        <w:pStyle w:val="TextoNormal"/>
      </w:pPr>
      <w:r>
        <w:t>Así, y deteniéndose en el análisis de la eventual lesión conexa de los arts. 24.1 y 27.10 CE, el Ministerio Fiscal parte del análisis de la naturaleza de las plazas vinculadas y de su regulación legal, para ulteriormente descender del marco normativo general al contenido del Concierto entre la Universidad de Lleida y el Instituto Catalán de la Salud, que fue aprobado por resolución de la Presidencia de la Generalitat de 18 de marzo de 1996, y que estableció la vinculación entre la plaza asistencial de jefe de medicina interna del hospital universitario Arnau de Vilanova y la de profesor titular de patología general de la Universidad de Lleida, ambas atribuidas al Sr. Rubio Caballero.</w:t>
      </w:r>
    </w:p>
    <w:p w:rsidR="00163957" w:rsidRDefault="00163957" w:rsidP="00163957">
      <w:pPr>
        <w:pStyle w:val="TextoNormal"/>
      </w:pPr>
    </w:p>
    <w:p w:rsidR="00163957" w:rsidRDefault="00163957" w:rsidP="00163957">
      <w:pPr>
        <w:pStyle w:val="TextoNormal"/>
      </w:pPr>
      <w:r>
        <w:t xml:space="preserve">Reconoce el Ministerio Fiscal que en toda la normativa que trae a su escrito de alegaciones no se contiene una regulación específica sobre el régimen de jubilación que corresponde a los funcionarios que estén ocupando plazas vinculadas. Por tanto, considera de aplicación el régimen de jubilación correspondiente a cada una de las relaciones de servicios; y así, para la relación funcionarial administrativa (profesor titular de universidad) es de aplicación la disposición adicional decimoquinta de la Ley 30/1984, de 2 de agosto, de reforma de la función pública, en la redacción dada por la Ley 27/1994, de 29 de septiembre, mientras que para la relación estatutaria sanitaria (jefe de medicina interna del hospital universitario Arnau de Vilanova) resulta de aplicación lo dispuesto en el art. 26.1 de la Ley 55/2003, de 16 de diciembre, que aprueba el estatuto básico del personal estatutario de los servicios de salud. El problema radica en que el primer régimen establece la edad de jubilación forzosa para los funcionarios de los cuerpos docentes universitarios a los 70 años, y el segundo prevé la jubilación forzosa del personal sanitario a los 65 años. La diferencia es salvada por el Tribunal Supremo disociando las edades de jubilación, lo que supone una exigencia de desvinculación de la plaza. Para el Ministerio Fiscal tal opción no incurre en el manifiesto </w:t>
      </w:r>
      <w:r>
        <w:lastRenderedPageBreak/>
        <w:t>error que denuncia la demandante en amparo, porque el Tribunal Supremo ha razonado que no es posible aplicar en el caso de los profesores titulares de universidad que ocupan plazas vinculadas una causa de jubilación que no tiene sustento legal, y que contradice la normativa legal estatal aplicable sobre jubilación a los funcionarios docentes universitario. Razonamiento que tiene en cuenta la particular naturaleza de las plazas vinculadas, pero que estima que la misma no legitima que se pueda aplicar una causa de jubilación no prevista por la normativa que las regula. Por tanto, concluye el Ministerio Fiscal que no estamos ante un supuesto de resolución no fundada en derecho que deba ser sometido al control de este Tribunal en vía de amparo, ni que la resolución combatida sea inmotivada, irrazonable o arbitraria.</w:t>
      </w:r>
    </w:p>
    <w:p w:rsidR="00163957" w:rsidRDefault="00163957" w:rsidP="00163957">
      <w:pPr>
        <w:pStyle w:val="TextoNormal"/>
      </w:pPr>
    </w:p>
    <w:p w:rsidR="00163957" w:rsidRDefault="00163957" w:rsidP="00163957">
      <w:pPr>
        <w:pStyle w:val="TextoNormal"/>
      </w:pPr>
      <w:r>
        <w:t>b) Respecto de la lesión del derecho a la autonomía universitaria (art. 27.10 CE), el Ministerio Fiscal recuerda que la naturaleza de dicho derecho fundamental y el alcance de su configuración legal vienen recogidos en los arts. 2.2 de la Ley Orgánica 6/2011, de 21 diciembre, de universidades y 3 de la Ley Orgánica 11/1983, de 25 de agosto, de reforma universitaria. En ese contexto incluye a las plazas vinculadas, respecto de las cuales considera que: a) las mismas sirven a los objetivos de la universidad de garantizar una adecuada docencia teórico-práctica en determinadas áreas de conocimiento de las enseñanzas relacionadas con las ciencias de la salud; b) la determinación de dichas plazas queda comprendida en el ámbito de la autonomía universitaria, siempre con sujeción a lo acordado en los conciertos que establezcan las universidades con las respectivas instituciones sanitarias y que habrán de respetar las bases generales establecidas en el Real Decreto 1558/1986, de 28 de junio; c) la vinculación no supone que las relaciones de servicios profesionales que se corresponden con las dos plazas desaparezcan en virtud de la vinculación, de modo que se aplicará al personal que ocupe estas plazas vinculadas el régimen de derechos y deberes correspondientes a las respectivas condiciones de funcionario docente y estatutario asistencial (art. 4, base 14 del Real Decreto 1558/1986).</w:t>
      </w:r>
    </w:p>
    <w:p w:rsidR="00163957" w:rsidRDefault="00163957" w:rsidP="00163957">
      <w:pPr>
        <w:pStyle w:val="TextoNormal"/>
      </w:pPr>
    </w:p>
    <w:p w:rsidR="00163957" w:rsidRDefault="00163957" w:rsidP="00163957">
      <w:pPr>
        <w:pStyle w:val="TextoNormal"/>
      </w:pPr>
      <w:r>
        <w:t xml:space="preserve">También considera que el mecanismo de las plazas vinculadas habilita a la universidad, en el ejercicio de su autonomía, para determinar las plazas docentes que deben ser vinculadas a otras plazas asistenciales, así como para poder decidir, en su caso, la desvinculación de las mismas a través de los conciertos que la universidad establezca con las instituciones sanitarias. Sin embargo, dicho Ente no queda apoderado para asumir la competencia estatal de cara a regular la extinción de la relación funcionarial docente por jubilación y generar </w:t>
      </w:r>
      <w:r w:rsidRPr="00163957">
        <w:rPr>
          <w:i/>
        </w:rPr>
        <w:t>extra legem</w:t>
      </w:r>
      <w:r>
        <w:t xml:space="preserve"> una causa de jubilación sobrevenida.</w:t>
      </w:r>
    </w:p>
    <w:p w:rsidR="00163957" w:rsidRDefault="00163957" w:rsidP="00163957">
      <w:pPr>
        <w:pStyle w:val="TextoNormal"/>
      </w:pPr>
    </w:p>
    <w:p w:rsidR="00163957" w:rsidRDefault="00163957" w:rsidP="00163957">
      <w:pPr>
        <w:pStyle w:val="TextoNormal"/>
      </w:pPr>
      <w:r>
        <w:t>Los anteriores argumentos llevan al Ministerio Fiscal a concluir que corresponde a la universidad, en ejercicio de la autonomía que le reconoce el art. 27.10 CE: a) decidir si desvincula o no la plaza que ocupaba el Sr. Rubio Caballero, tras su jubilación por el Instituto Catalán de la Salud, facultad que se ejerce por la comisión mixta del convenio que, mediante resolución de 8 de julio de 2005 decidió no desvincular la plaza y declararla vacante (apartado quinto del Concierto aprobado por resolución de 18 de marzo de 1996 de la Presidencia de la Generalitat); y b) establecer y modificar la relación de puestos de trabajo y por tanto decidir cómo incorpora a las actividades docentes del área de patología general al profesor titular de dicha asignatura, que no puede desempeñar ya la función docente en plaza vinculada.</w:t>
      </w:r>
    </w:p>
    <w:p w:rsidR="00163957" w:rsidRDefault="00163957" w:rsidP="00163957">
      <w:pPr>
        <w:pStyle w:val="TextoNormal"/>
      </w:pPr>
    </w:p>
    <w:p w:rsidR="00163957" w:rsidRDefault="00163957" w:rsidP="00163957">
      <w:pPr>
        <w:pStyle w:val="TextoNormal"/>
      </w:pPr>
      <w:r>
        <w:lastRenderedPageBreak/>
        <w:t>Como argumento final, el Ministerio Fiscal considera que no cabe aceptar la alegación de que la Sentencia impugnada no ha tenido en cuenta el juicio de ponderación entre la posible lesión del derecho del art. 23.2 CE y la del art. 27.10 CE. Sobre ese particular sostiene que el Tribunal Supremo sí ha evaluado el posible conflicto y ha afirmado que el aprovechamiento, en la forma en que la Universidad decida, de los conocimientos y la larga experiencia asistencial sanitaria del Sr. Rubio Caballero no compromete el interés general. Por todo ello, el Fiscal interesa la desestimación del presente recurso de amparo.</w:t>
      </w:r>
    </w:p>
    <w:p w:rsidR="00163957" w:rsidRDefault="00163957" w:rsidP="00163957">
      <w:pPr>
        <w:pStyle w:val="TextoNormal"/>
      </w:pPr>
    </w:p>
    <w:p w:rsidR="00163957" w:rsidRDefault="00163957" w:rsidP="00163957">
      <w:pPr>
        <w:pStyle w:val="TextoNormal"/>
      </w:pPr>
      <w:r w:rsidRPr="00163957">
        <w:rPr>
          <w:rStyle w:val="NumeroAFNegritaCaracter"/>
        </w:rPr>
        <w:t>9</w:t>
      </w:r>
      <w:r>
        <w:t>. Mediante escrito presentado ante este Tribunal el 15 de noviembre de 2013, don Manuel Rubio Caballero, representado por la Procuradora de los Tribunales doña Victoria Pérez-Mulet Díez-Picazo y asistido por el Letrado don Julio Hernández Puértolas, presentó sus alegaciones, oponiéndose a la estimación del recurso de amparo interpuesto por la Universidad de Lleida.</w:t>
      </w:r>
    </w:p>
    <w:p w:rsidR="00163957" w:rsidRDefault="00163957" w:rsidP="00163957">
      <w:pPr>
        <w:pStyle w:val="TextoNormal"/>
      </w:pPr>
    </w:p>
    <w:p w:rsidR="00163957" w:rsidRDefault="00163957" w:rsidP="00163957">
      <w:pPr>
        <w:pStyle w:val="TextoNormal"/>
      </w:pPr>
      <w:r>
        <w:t>a) En respuesta a la denunciada vulneración del art. 24.1 CE, entiende que dicha invocación carece de fundamento, en la medida en que la motivación de la Sentencia impugnada no es manifiestamente irrazonable, pues contiene un pronunciamiento que alberga los criterios jurídicos esenciales que fundamentan la decisión contenida en el fallo. Asimismo, indica que la motivación de la Sentencia no es contradictoria, ni incurre en incoherencia lógica que determine su irrazonabilidad manifiesta en el sentido precisado por la doctrina de este Alto Tribunal (con cita de la STC 214/1999, de 29 de noviembre), ni contiene meros juicios de valor carentes de significación jurídica, sino que efectúa un análisis de los hechos, las pruebas practicadas, las alegaciones y pretensiones de las partes, y la normativa aplicable que permite conocer cuáles han sido los criterios jurídicos en que se basa la decisión final (por todas, STC 187/2000, de 10 de julio). Por ello, so pretexto de vulneración del derecho a la tutela judicial efectiva, la argumentación de la Universidad recurrente encubre una mera discrepancia con el pronunciamiento judicial combatido, cuya revisión en sede constitucional no resulta procedente, al tratarse de una decisión razonada, motivada y fundada en Derecho que satisface cumplidamente el derecho a la tutela judicial efectiva.</w:t>
      </w:r>
    </w:p>
    <w:p w:rsidR="00163957" w:rsidRDefault="00163957" w:rsidP="00163957">
      <w:pPr>
        <w:pStyle w:val="TextoNormal"/>
      </w:pPr>
    </w:p>
    <w:p w:rsidR="00163957" w:rsidRDefault="00163957" w:rsidP="00163957">
      <w:pPr>
        <w:pStyle w:val="TextoNormal"/>
      </w:pPr>
      <w:r>
        <w:t>b) También se rechaza la denunciada vulneración del derecho a la autonomía universitaria de la recurrente en amparo (art. 27.10 CE). De un lado, entiende que el alcance del fallo de la Sentencia impugnada es muy limitado y no comporta una efectiva limitación de la autonomía. En contra de lo que se afirma en la demanda de amparo, el fallo judicial no obliga a la Universidad a desvincular la plaza, crear una nueva o modificar alguna existente, sino que se limita a declarar nula la resolución de la Universidad de Lleida por la que declaraba la jubilación forzosa de don Manuel Rubio Caballero y, en consecuencia, a reconocerle el derecho a percibir las retribuciones salariales que le habrían correspondido de haber permanecido en servicio activo hasta la fecha en la que le hubiera correspondido jubilarse de su puesto docente. Por tanto, en la medida en que no ha existido restitución al puesto de trabajo en razón de la edad del recurrente en casación al momento en que se pronuncia la Sentencia del Tribunal Supremo, no se comprende de qué manera tal pronunciamiento habría afectado a la libertad académica y, por tanto, de qué modo habría afectado a la autonomía universitaria que la garantiza (con cita de la STC 47/2005, de 3 de marzo).</w:t>
      </w:r>
    </w:p>
    <w:p w:rsidR="00163957" w:rsidRDefault="00163957" w:rsidP="00163957">
      <w:pPr>
        <w:pStyle w:val="TextoNormal"/>
      </w:pPr>
    </w:p>
    <w:p w:rsidR="00163957" w:rsidRDefault="00163957" w:rsidP="00163957">
      <w:pPr>
        <w:pStyle w:val="TextoNormal"/>
      </w:pPr>
      <w:r>
        <w:t xml:space="preserve">Por otro lado, afirma que la recurrente en amparo se atribuye implícitamente la competencia para determinar la edad de jubilación del Sr. Rubio Caballero, al margen de la previsión legal y obviando la triple atribución competencial que sobre la materia de enseñanza </w:t>
      </w:r>
      <w:r>
        <w:lastRenderedPageBreak/>
        <w:t>universitaria se prevé en la Constitución, particularmente la competencia atribuida al Estado por la Ley Orgánica de universidades respecto de la configuración del cuerpo de funcionarios al que se encomienda la educación superior, siendo inherente a este sistema funcionarial la existencia de un régimen uniforme de acceso, permanencia y jubilación del profesorado en todas las universidades, tal y como se deriva de lo establecido en la disposición adicional decimoquinta.5 de la Ley 30/1984.</w:t>
      </w:r>
    </w:p>
    <w:p w:rsidR="00163957" w:rsidRDefault="00163957" w:rsidP="00163957">
      <w:pPr>
        <w:pStyle w:val="TextoNormal"/>
      </w:pPr>
    </w:p>
    <w:p w:rsidR="00163957" w:rsidRDefault="00163957" w:rsidP="00163957">
      <w:pPr>
        <w:pStyle w:val="TextoNormal"/>
      </w:pPr>
      <w:r>
        <w:t>Como tercer argumento, niega que la Sentencia del Tribunal Supremo imponga, directa o indirectamente, la desvinculación de las plazas que había ocupado el Sr. Rubio Caballero, a lo que añade que no existió una injerencia externa en la toma de decisiones de la Universidad porque fue ésta, a través de sus representantes en la comisión mixta de la Universidad de Lleida-Hospital Universitario Arnau de Vilanova de Lleida (constituida por el Concierto suscrito por la Universidad de Lleida y el Instituto Catalán de la Salud el 20 diciembre de 1994), quien decidió no desvincular la plaza y proceder a la jubilación del Sr. Rubio Caballero a sabiendas que ello repercutía en sus funciones docentes.</w:t>
      </w:r>
    </w:p>
    <w:p w:rsidR="00163957" w:rsidRDefault="00163957" w:rsidP="00163957">
      <w:pPr>
        <w:pStyle w:val="TextoNormal"/>
      </w:pPr>
    </w:p>
    <w:p w:rsidR="00163957" w:rsidRDefault="00163957" w:rsidP="00163957">
      <w:pPr>
        <w:pStyle w:val="TextoNormal"/>
      </w:pPr>
      <w:r>
        <w:t>También refiere que la Universidad de Lleida no ha concretado de qué manera la decisión contenida en el fallo de la Sentencia impugnada ha mermado de manera efectiva su capacidad de auto-organización respecto del Departamento de medicina, impidiéndole tomar una determinada decisión más favorable para el interés general protegido que la que le impone el órgano judicial. Esta parte recuerda en relación con esta alegación que el apartado quinto letra e) del Concierto entre la Universidad de Lleida y el Instituto Catalán de la Salud preveía como regla general la desvinculación de las plazas cuando un profesor con plaza vinculada causara baja por cualquier motivo y que, en este caso, la comisión mixta Universidad de Lleida-Instituto Catalán de la Salud, tomó la decisión de no desvincular en contra de la previsión genérica referida. Se rechaza, asimismo, el argumento del perjuicio de la organización de la docencia afirmándose en cambio que la asignatura de patología general que impartía don Manuel Rubio Caballero corresponde a la fase preclínica y no es imprescindible efectuar sus prácticas en un hospital, afirmación que se completa con la referida a que el Departamento de Medicina de la Universidad de Lleida está integrado por seis áreas de conocimiento, lo que da cuenta del amplio margen de movilidad interna de los profesores a disposición de la Universidad, y ello sin olvidar que el art. 6 del Reglamento interno del departamento prevé la posibilidad de que un profesor tenga una participación intensiva en tareas de investigación.</w:t>
      </w:r>
    </w:p>
    <w:p w:rsidR="00163957" w:rsidRDefault="00163957" w:rsidP="00163957">
      <w:pPr>
        <w:pStyle w:val="TextoNormal"/>
      </w:pPr>
    </w:p>
    <w:p w:rsidR="00163957" w:rsidRDefault="00163957" w:rsidP="00163957">
      <w:pPr>
        <w:pStyle w:val="TextoNormal"/>
      </w:pPr>
      <w:r>
        <w:t>Se niega, asimismo, que la plaza haya estado siempre vinculada, lo que vendría a sustentar la tesis de la posibilidad de desvinculación, recordando que la vinculación se produjo mediante resolución de 18 de marzo de 1996 del Departamento de la Presidencia de la Generalitat de Cataluña, por la que se aprobó el concierto entre la Universidad y el Instituto Catalán de la Salud, cuando el Sr. Rubio ya era funcionario del cuerpo docente como profesor titular de universidad desde el 15 de mayo de 1986 y Jefe del Servicio de medicina interna del hospital universitario Arnau de Vilanova desde 1970.</w:t>
      </w:r>
    </w:p>
    <w:p w:rsidR="00163957" w:rsidRDefault="00163957" w:rsidP="00163957">
      <w:pPr>
        <w:pStyle w:val="TextoNormal"/>
      </w:pPr>
    </w:p>
    <w:p w:rsidR="00163957" w:rsidRDefault="00163957" w:rsidP="00163957">
      <w:pPr>
        <w:pStyle w:val="TextoNormal"/>
      </w:pPr>
      <w:r>
        <w:t xml:space="preserve">Para concluir su escrito de alegaciones, esta parte se refiere a dos cuestiones. De un lado a la cuantificación del salario adeudado por la Universidad al profesor Rubio Caballero, que se refiere al pago equivalente a la diferencia entre la pensión percibida y el salario que le hubiera correspondido si hubiera desempeñado una plaza a tiempo completo. Esta parte defiende esta cuantificación afirmando que el art. 135.1 del Decreto 201/2003, de 26 de </w:t>
      </w:r>
      <w:r>
        <w:lastRenderedPageBreak/>
        <w:t>agosto, por el que se aprueban los estatutos de la Universidad de Lleida se refiere al carácter preferente del régimen de dedicación a tiempo completo de su profesorado y que el punto 5.1.3 f) del concierto vigente en el ámbito docente asistencial e investigador entre la Universidad de Lleida y el Instituto Catalán de la Salud (de 2006), establece que el profesor contratado cuya dedicación sea únicamente en la universidad y en la institución sanitaria tendrá el reconocimiento académico a tiempo completo. De otro lado, se sostiene que la permanencia por parte de profesores universitarios en una plaza vinculada más allá de los 75 años de edad no provoca un perjuicio al interés general, tal y como afirma la recurrente, máxime cuando, en este caso el Sr. Rubio ya ha superado la edad de 70 años y no puede reincorporarse a su puesto, por lo que el fallo de la Sentencia impugnada en ningún caso podría provocar el perjuicio al interés general que aquella invoca la Universidad.</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10 de marzo de 2016 se señaló para la votación y fallo del presente recurso el día catorce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amparo tiene por objeto la impugnación de la Sentencia de la Sala Tercera del Tribunal Supremo de 12 de diciembre de 2011, que estimó el recurso de casación interpuesto por don Manuel Rubio Caballero contra la Sentencia de 14 de enero de 1999 de la Sección Cuarta de la Sala de lo Contencioso-Administrativo del Tribunal Superior de Justicia de Cataluña.</w:t>
      </w:r>
    </w:p>
    <w:p w:rsidR="00163957" w:rsidRDefault="00163957" w:rsidP="00163957">
      <w:pPr>
        <w:pStyle w:val="TextoNormal"/>
      </w:pPr>
    </w:p>
    <w:p w:rsidR="00163957" w:rsidRDefault="00163957" w:rsidP="00163957">
      <w:pPr>
        <w:pStyle w:val="TextoNormal"/>
      </w:pPr>
      <w:r>
        <w:t>La estimación del recurso de casación lesiona, a juicio de la Universidad de Lleida, su derecho a la autonomía universitaria (art. 27.10 CE), en la medida en que anula la decisión de la Universidad de vincular la jubilación del Sr. Rubio Caballero a su cese, también por jubilación obligatoria, como médico del Servicio Catalán de Salud, y ello en función de que el profesor ocupaba una plaza vinculada. Asimismo, considera la recurrente que la Sentencia impugnada vulnera su derecho a la tutela judicial efectiva (art. 24.1 CE), al haber errado en la interpretación del mandato contenido en el art. 23.2 CE, y basar su decisión en una serie de juicios de valor inciertos.</w:t>
      </w:r>
    </w:p>
    <w:p w:rsidR="00163957" w:rsidRDefault="00163957" w:rsidP="00163957">
      <w:pPr>
        <w:pStyle w:val="TextoNormal"/>
      </w:pPr>
    </w:p>
    <w:p w:rsidR="00163957" w:rsidRDefault="00163957" w:rsidP="00163957">
      <w:pPr>
        <w:pStyle w:val="TextoNormal"/>
      </w:pPr>
      <w:r>
        <w:t>Tanto el profesor personado como el Ministerio Fiscal interesan la desestimación del recurso de amparo. En síntesis, ambos entienden que el régimen de jubilación forzosa para los profesores universitarios está legalmente configurado, de modo que no es dable que la Universidad establezca diferencias entre la edad de jubilación forzosa de los funcionarios que ocupen una plaza docente vinculada y la de quienes disfrutan de una plaza docente ordinaria. Además, el Fiscal considera que la Universidad de Lleida carece de legitimación para invocar la lesión del derecho a la tutela judicial efectiva sin indefensión (art. 24.1CE), pues dicha alegación tiene por objeto la garantía de su facultad para ordenar la actividad docente, lo que le sitúa en una posición diferente a la de las personas jurídico-privadas.</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Con carácter previo a abordar el presente asunto cumple hacer referencia a la especial trascendencia constitucional de este recurso de amparo. Si bien ninguna de las partes comparecidas ha puesto en duda la concurrencia, como requisito para la admisión [arts. 49.1 y 50.1 b) de la Ley Orgánica del Tribunal Constitucional: LOTC], de la especial trascendencia </w:t>
      </w:r>
      <w:r>
        <w:lastRenderedPageBreak/>
        <w:t xml:space="preserve">constitucional, su condición como requisito de admisión y, por tanto, de orden público procesal, así como exigencias de certeza y buena administración de justicia (STEDH de 20 de enero de 2015, caso </w:t>
      </w:r>
      <w:r w:rsidRPr="00163957">
        <w:rPr>
          <w:i/>
        </w:rPr>
        <w:t>Arribas Antón contra España</w:t>
      </w:r>
      <w:r>
        <w:t>, apartado 46) obligan a explicitar su cumplimiento para hacer así reconocibles los criterios empleados al efecto por este Tribunal (en idéntico sentido, STC 232/2015, de 5 de noviembre, FJ 2).</w:t>
      </w:r>
    </w:p>
    <w:p w:rsidR="00163957" w:rsidRDefault="00163957" w:rsidP="00163957">
      <w:pPr>
        <w:pStyle w:val="TextoNormal"/>
      </w:pPr>
    </w:p>
    <w:p w:rsidR="00163957" w:rsidRDefault="00163957" w:rsidP="00163957">
      <w:pPr>
        <w:pStyle w:val="TextoNormal"/>
      </w:pPr>
      <w:r>
        <w:t>La Sala Segunda de este Tribunal ha tomado la decisión de admitir el presente recurso de amparo porque el problema planteado surge de un supuesto que no es totalmente coincidente con los que anteriormente han sido objeto de tratamiento en este Tribunal, al ser llamado a pronunciarse sobre el alcance del derecho a la autonomía universitaria. Si bien, como se verá, existe doctrina constitucional sobre el alcance del contenido esencial de la autonomía universitaria proyectado en la potestad administrativa de personal —entre otras— que permite a las universidades llevar a cabo la gestión de sus intereses propios (así, nos hemos referido a cuestiones relativas al reclutamiento de personal, a la progresión en la carrera académica y a las condiciones de ejercicio de la función docente), no hemos tenido ocasión de establecer si la determinación del régimen de jubilación queda o no incluida en el ámbito propio del derecho fundamental a la autonomía universitaria allí donde la ley guarde silencio. Por tanto, este recurso de amparo da pie a desarrollar nuestra doctrina sobre las garantías que coadyuvan al respeto de la autonomía universitaria [supuesto a) de los enunciados en la STC 155/2009, de 25 de junio, FJ 2], entendida como determinación de las condiciones de ejercicio por el personal docente de las funciones públicas que le están encomendadas.</w:t>
      </w:r>
    </w:p>
    <w:p w:rsidR="00163957" w:rsidRDefault="00163957" w:rsidP="00163957">
      <w:pPr>
        <w:pStyle w:val="TextoNormal"/>
      </w:pPr>
    </w:p>
    <w:p w:rsidR="00163957" w:rsidRDefault="00163957" w:rsidP="00163957">
      <w:pPr>
        <w:pStyle w:val="TextoNormal"/>
      </w:pPr>
      <w:r w:rsidRPr="00163957">
        <w:rPr>
          <w:rStyle w:val="NumeroAFNegritaCaracter"/>
        </w:rPr>
        <w:t>3</w:t>
      </w:r>
      <w:r>
        <w:t>. También con carácter previo a abordar el fondo del asunto procede dar respuesta a la falta de legitimación que alega el Ministerio Fiscal respecto de la invocación por la Universidad recurrente en amparo del derecho a la tutela judicial efectiva sin indefensión (art. 24.1 CE).</w:t>
      </w:r>
    </w:p>
    <w:p w:rsidR="00163957" w:rsidRDefault="00163957" w:rsidP="00163957">
      <w:pPr>
        <w:pStyle w:val="TextoNormal"/>
      </w:pPr>
    </w:p>
    <w:p w:rsidR="00163957" w:rsidRDefault="00163957" w:rsidP="00163957">
      <w:pPr>
        <w:pStyle w:val="TextoNormal"/>
      </w:pPr>
      <w:r>
        <w:t>Toda vez que la Universitat de Lleida es una institución de Derecho público tal y como se define en el art. 1 del Decreto 201/2003, de 26 de agosto, por el que se aprueban los estatutos de la Universidad de Lleida, redactado con arreglo a lo previsto en los arts. 2.1 y 3.1 de la Ley Orgánica 6/2001, de 21 de diciembre, de universidades (LOU), es preciso aplicar a la misma nuestra doctrina en relación con los límites a la invocación por parte de personas jurídico-públicas de determinados derechos fundamentales en sede de amparo constitucional, concretamente del derecho a la tutela judicial efectiva del art. 24.1 CE.</w:t>
      </w:r>
    </w:p>
    <w:p w:rsidR="00163957" w:rsidRDefault="00163957" w:rsidP="00163957">
      <w:pPr>
        <w:pStyle w:val="TextoNormal"/>
      </w:pPr>
    </w:p>
    <w:p w:rsidR="00163957" w:rsidRDefault="00163957" w:rsidP="00163957">
      <w:pPr>
        <w:pStyle w:val="TextoNormal"/>
      </w:pPr>
      <w:r>
        <w:t xml:space="preserve">Nuestra doctrina al respecto se recoge fundamentalmente en la STC 175/2001, de 26 de julio (FFJJ 3 a 8), donde dijimos que sólo en supuestos excepcionales disfruta una organización jurídica pública del derecho fundamental a la tutela judicial efectiva ante los órganos judiciales del Estado y sólo excepcionalmente podemos considerar al recurso de amparo como cauce idóneo para que las personas públicas denuncien una defectuosa tutela de los jueces y tribunales. La STC 175/2001, literalmente citada después por la STC 206/2011 que invoca el Ministerio Fiscal para oponer la falta de legitimación de la Universidad recurrente en amparo, establece que “el derecho a la tutela judicial efectiva, como derecho fundamental, protege, antes que nada, a los individuos frente al poder, de ahí que las personas jurídico públicas sólo excepcionalmente sean titulares del derecho fundamental a la tutela judicial efectiva, y por este motivo el recurso de amparo sólo excepcionalmente sea un cauce idóneo </w:t>
      </w:r>
      <w:r>
        <w:lastRenderedPageBreak/>
        <w:t>para que estas organizaciones jurídico-públicas denuncien una defectuosa tutela de este derecho por parte de los Jueces y Tribunales.” (STC 89/2011, de 6 de junio, FJ 3). Y añade: “más concretamente, gozan del derecho fundamental reconocido en el art. 24.1 CE únicamente cuando la posición procesal de las personas jurídico-públicas sea equivalente a la de las personas privadas, supuesto en el que son titulares del derecho a la tutela judicial efectiva sin indefensión sin restricciones. A tal supuesto hemos añadido también el derecho de acceso al proceso (cuya protección tan sólo cabe reconocer a las personas jurídico-públicas frente a las decisiones adoptadas por órganos judiciales pero no frente al legislador) y el derecho a no sufrir indefensión en el seno del proceso al que se ha accedido (y ello con independencia de qué derechos o competencias se hagan valer, quiénes sean las otras partes procesales y el orden jurisdiccional ante el que actúen)”.</w:t>
      </w:r>
    </w:p>
    <w:p w:rsidR="00163957" w:rsidRDefault="00163957" w:rsidP="00163957">
      <w:pPr>
        <w:pStyle w:val="TextoNormal"/>
      </w:pPr>
    </w:p>
    <w:p w:rsidR="00163957" w:rsidRDefault="00163957" w:rsidP="00163957">
      <w:pPr>
        <w:pStyle w:val="TextoNormal"/>
      </w:pPr>
      <w:r>
        <w:t>En el caso que nos ocupa, y tal y como pone de manifiesto el Ministerio Fiscal en su escrito de alegaciones, la Universidad recurrente en amparo invoca el derecho fundamental a la tutela judicial efectiva, en defensa de una potestad pública, en este caso la vinculada con la organización de personal docente (selección, formación, promoción del personal docente y determinación de las condiciones de desarrollo de sus actividades tal y como establece el art. 2.2. LOU), dándose la particularidad de que es la defensa de esta misma potestad, integrada en el derecho a la autonomía universitaria, como luego veremos, la que sustenta su invocación del art. 27.10 CE frente a la resolución del Tribunal Supremo y frente a la pretensión de quien fue recurrente en casación, un docente sometido a la potestad a la que venimos haciendo referencia.</w:t>
      </w:r>
    </w:p>
    <w:p w:rsidR="00163957" w:rsidRDefault="00163957" w:rsidP="00163957">
      <w:pPr>
        <w:pStyle w:val="TextoNormal"/>
      </w:pPr>
    </w:p>
    <w:p w:rsidR="00163957" w:rsidRDefault="00163957" w:rsidP="00163957">
      <w:pPr>
        <w:pStyle w:val="TextoNormal"/>
      </w:pPr>
      <w:r>
        <w:t>En el fundamento jurídico 2 de la STC 206/2011, de 19 de diciembre, afirmamos, invocando en el mismo sentido las SSTC 239/2001 y 240/2001, ambas de 18 de diciembre, y 56/2002, de 11 de marzo, que “no concurre la equivalencia de la posición de los sujetos privados con la que ocupa la persona jurídico-pública cuando ésta interviene en el proceso para defender el modo como ha ejercido un poder exorbitante”. En este caso se puede acudir a idéntico razonamiento, en la medida en que la Universidad defiende en el procedimiento ordinario, y lo hace también en el recurso de amparo, su potestad de organización docente, esto es su “poder” frente al sujeto de dicho poder, el profesor, debiendo concluirse, por tanto, que en este proceso el individuo, la persona privada, y la Universidad, la persona jurídico-pública, no ocupan una posición procesal equivalente por lo que no cabe entender que esta última ostente la legitimación necesaria para invocar la lesión de su derecho a la tutela judicial efectiva. Por tanto, debemos inadmitir, en este punto, la pretensión de amparo relacionada con la invocación del art. 24.1 CE, sin que la fase procesal en la que nos encontramos suponga un obstáculo a este pronunciamiento (por todas, SSTC 323/2006, de 20 de noviembre, FJ 1; 191/2009, de 28 de septiembre, FJ 2; 53/2010, de 4 de octubre, FJ 2; 12/2011, de 28 de febrero, FJ 2, y 44/2011, de 11 de abril, FJ 2).</w:t>
      </w:r>
    </w:p>
    <w:p w:rsidR="00163957" w:rsidRDefault="00163957" w:rsidP="00163957">
      <w:pPr>
        <w:pStyle w:val="TextoNormal"/>
      </w:pPr>
    </w:p>
    <w:p w:rsidR="00163957" w:rsidRDefault="00163957" w:rsidP="00163957">
      <w:pPr>
        <w:pStyle w:val="TextoNormal"/>
      </w:pPr>
      <w:r>
        <w:t>A mayor abundamiento, y siguiendo de nuevo el razonamiento contenido en la STC 206/2011, que reproduce una situación idéntica, una lectura de las razones empleadas por la representación de la Universitat de Lleida “para desarrollar este motivo del recurso pone de manifiesto que bajo la denuncia formal de una vulneración autónoma del derecho fundamental a la tutela judicial efectiva (art. 24.1 CE), subyace, en rigor, una argumentación que remite al segundo de los motivos empleados por la mencionada Universidad: la infracción de la autonomía universitaria protegida por el art. 27.10 CE”.</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4</w:t>
      </w:r>
      <w:r>
        <w:t>. La demanda de amparo exige de este Tribunal determinar, en primer término, el alcance de la autonomía universitaria para definir si la integración del régimen jurídico de las plazas vinculadas, en aquello que las disposiciones legales aplicables aparentemente no prevén, y, concretamente, en lo relativo al régimen de jubilación forzosa puede considerarse o no ejercicio de la misma.</w:t>
      </w:r>
    </w:p>
    <w:p w:rsidR="00163957" w:rsidRDefault="00163957" w:rsidP="00163957">
      <w:pPr>
        <w:pStyle w:val="TextoNormal"/>
      </w:pPr>
    </w:p>
    <w:p w:rsidR="00163957" w:rsidRDefault="00163957" w:rsidP="00163957">
      <w:pPr>
        <w:pStyle w:val="TextoNormal"/>
      </w:pPr>
      <w:r>
        <w:t>La autonomía universitaria ha sido vinculada, desde la STC 26/1987, de 27 de febrero —primera en que se define el contenido del art. 27.10 CE—, a la garantía de la libertad académica, que está integrada por las libertades de enseñanza, estudio e investigación, frente a las injerencias externas (en este sentido se pronuncian después las SSTC 55/1989, de 23 de febrero, 106/1990, de 6 de junio, y 187/1991, de 3 de octubre). En el fundamento jurídico 4 de la STC 26/1987, de 27 de febrero, se afirma indubitadamente su carácter de derecho fundamental “por su reconocimiento en la Sección 1ª del Capítulo Segundo del Título I, por los términos utilizados en la redacción del precepto, por los antecedentes constituyentes del debate parlamentario que llevaron a esa conceptuación y por su fundamento en la libertad académica que proclama la propia LRU”, línea consolidada posteriormente en las SSTC 55/1989, de 23 de febrero, 130/1991, de 6 de junio, 187/1991, de 3 de octubre, y 156/1994, de 25 de abril.</w:t>
      </w:r>
    </w:p>
    <w:p w:rsidR="00163957" w:rsidRDefault="00163957" w:rsidP="00163957">
      <w:pPr>
        <w:pStyle w:val="TextoNormal"/>
      </w:pPr>
    </w:p>
    <w:p w:rsidR="00163957" w:rsidRDefault="00163957" w:rsidP="00163957">
      <w:pPr>
        <w:pStyle w:val="TextoNormal"/>
      </w:pPr>
      <w:r>
        <w:t>Se establece, asimismo, que la autonomía universitaria es la “dimensión institucional de la libertad académica que garantiza y completa su dimensión individual, constituida por la libertad de cátedra. Ambas sirven para delimitar ese ‘espacio de libertad intelectual’ sin el cual no es posible ‘la creación, desarrollo, transmisión y crítica de la ciencia, de la técnica y de la cultura’ [art. 1.2 a) LRU] que constituye la última razón de ser de la Universidad. Esta vinculación entre las dos dimensiones de la libertad académica explica que una y otra aparezcan en la Sección de la Constitución consagrada a los derechos fundamentales y libertades públicas, aunque sea en artículos distintos: la libertad de cátedra en el 20.1 c) y la autonomía de las Universidades en el 27.10” (STC 26/1987, de 27 de febrero, FJ 4). En síntesis, se reconoce que el contenido esencial de la autonomía universitaria, definida como derecho fundamental, está integrado por los elementos necesarios para asegurar el respeto de la libertad académica.</w:t>
      </w:r>
    </w:p>
    <w:p w:rsidR="00163957" w:rsidRDefault="00163957" w:rsidP="00163957">
      <w:pPr>
        <w:pStyle w:val="TextoNormal"/>
      </w:pPr>
    </w:p>
    <w:p w:rsidR="00163957" w:rsidRDefault="00163957" w:rsidP="00163957">
      <w:pPr>
        <w:pStyle w:val="TextoNormal"/>
      </w:pPr>
      <w:r>
        <w:t>A partir de la definición de la finalidad del derecho fundamental constitucionalmente reconocido, nuestra doctrina ha reiterado que se trata de un derecho de configuración legal. Ello significa, de un lado, tal y como se establece en el fundamento jurídico 2 de la STC 55/1989, de 23 de febrero, que “el legislador puede regularla en la forma que estime más conveniente, si bien siempre dentro del marco de la Constitución y del respeto a su contenido esencial”, no pudiendo, por tanto, “rebasar o desconocer la autonomía universitaria introduciendo limitaciones o sometimientos que la conviertan en mera proclamación teórica, sino que ha de respetar ‘el contenido esencial’ que como derecho fundamental preserva el art. 53.1 CE”. Pero también significa, por otro lado, que “una vez delimitado legalmente el ámbito de su autonomía, la Universidad posee, en principio, plena capacidad de decisión en aquellos aspectos que no son objeto de regulación específica en la ley, lo cual no significa —como ha precisado la referida Sentencia— que no existan limitaciones derivadas del ejercicio de otros derechos fundamentales, o de un sistema universitario nacional que exige instancias coordinadoras” (en el mismo sentido se pronuncian, entre otras, las SSTC 187/1991, de 3 de octubre, FJ 3; 130/1991, de 6 de junio, FJ 3, y 103/2001, de 23 de abril, FJ 4).</w:t>
      </w:r>
    </w:p>
    <w:p w:rsidR="00163957" w:rsidRDefault="00163957" w:rsidP="00163957">
      <w:pPr>
        <w:pStyle w:val="TextoNormal"/>
      </w:pPr>
    </w:p>
    <w:p w:rsidR="00163957" w:rsidRDefault="00163957" w:rsidP="00163957">
      <w:pPr>
        <w:pStyle w:val="TextoNormal"/>
      </w:pPr>
      <w:r>
        <w:t>Dentro del anterior marco constitucional, el legislador ha desarrollado en el art. 2.2 LOU, como antes lo hiciera en el art. 3.2 de la Ley Orgánica 11/1983, de 25 de agosto, de reforma universitaria (LRU), el derecho a la autonomía universitaria, determinando que éste comprende: a) La elaboración de sus Estatutos y, en el caso de las universidades privadas, de sus propias normas de organización y funcionamiento, así como de las demás normas de régimen interno; b) La elección, designación y remoción de los correspondientes órganos de gobierno y representación; c) La creación de estructuras específicas que actúen como soporte de la investigación y de la docencia; d) La elaboración y aprobación de planes de estudio e investigación y de enseñanzas específicas de formación; e) La selección, formación y promoción del personal docente e investigador y de administración y servicios, así como la determinación de las condiciones en que han de desarrollar sus actividades; f) La admisión, régimen de permanencia y verificación de conocimientos de los estudiantes; g) La expedición de los títulos de carácter oficial y validez en todo el territorio nacional y de sus diplomas y títulos propios; h) La elaboración, aprobación y gestión de los presupuestos y la administración de sus bienes; i) El establecimiento y modificación de las relaciones de puestos de trabajo; j) El establecimiento de relaciones con otras entidades para la promoción y desarrollo de sus fines institucionales; k) Cualquier otra competencia necesaria para el adecuado cumplimiento de las funciones señaladas en el apartado 2 del artículo 1.</w:t>
      </w:r>
    </w:p>
    <w:p w:rsidR="00163957" w:rsidRDefault="00163957" w:rsidP="00163957">
      <w:pPr>
        <w:pStyle w:val="TextoNormal"/>
      </w:pPr>
    </w:p>
    <w:p w:rsidR="00163957" w:rsidRDefault="00163957" w:rsidP="00163957">
      <w:pPr>
        <w:pStyle w:val="TextoNormal"/>
      </w:pPr>
      <w:r>
        <w:t>Las anteriores facultades y competencias integran, en términos positivos, el contenido esencial de la autonomía universitaria, habiéndose asumido su valor como parámetro de constitucionalidad en las SSTC 47/2005, de 3 de marzo, FJ 5; 183/2011, de 21 de noviembre, FJ 6; 87/2014, de 29 de mayo, FJ 7, y 176/2015, de 22 de julio, FJ 5, como antes se hiciera para el precepto equivalente de la Ley Orgánica de reforma universitaria en las SSTC 106/1990, de 6 de junio, FJ 8; 187/1991, de 3 de octubre, FJ 3, y 155/1997, de 29 de septiembre, FJ 2.</w:t>
      </w:r>
    </w:p>
    <w:p w:rsidR="00163957" w:rsidRDefault="00163957" w:rsidP="00163957">
      <w:pPr>
        <w:pStyle w:val="TextoNormal"/>
      </w:pPr>
    </w:p>
    <w:p w:rsidR="00163957" w:rsidRDefault="00163957" w:rsidP="00163957">
      <w:pPr>
        <w:pStyle w:val="TextoNormal"/>
      </w:pPr>
      <w:r>
        <w:t>La lectura de la Ley Orgánica de universidades nos lleva a conformar la autonomía universitaria como expresión de su autogobierno, de auto-regulación, de autonomía financiera y de capacidad para desarrollar una línea docente e investigadora propia. En ese marco, la concreción de la carrera del cuerpo docente e investigador ocupa una posición central, en la medida en que es la universidad, dentro de los márgenes que le concede la ley al determinar las condiciones de acceso a los cuerpos docentes universitarios en el marco de los límites que se derivan del art. 23 CE, quien establece y modifica sus plantillas y tiene capacidad de selección y promoción del personal docente e investigador (en relación con la Ley Orgánica de reforma universitaria, pero siendo trasladable el argumento a la ley actualmente vigente, STC 215/1991, de 14 de noviembre, FJ 4).</w:t>
      </w:r>
    </w:p>
    <w:p w:rsidR="00163957" w:rsidRDefault="00163957" w:rsidP="00163957">
      <w:pPr>
        <w:pStyle w:val="TextoNormal"/>
      </w:pPr>
    </w:p>
    <w:p w:rsidR="00163957" w:rsidRDefault="00163957" w:rsidP="00163957">
      <w:pPr>
        <w:pStyle w:val="TextoNormal"/>
      </w:pPr>
      <w:r>
        <w:t xml:space="preserve">Así, la doctrina constitucional referida a la facultad reconocida en el art. 2.2 e) LOU de “selección, formación y promoción del personal docente e investigador y de administración y servicios, así como la determinación de las condiciones en que han de desarrollar sus actividades”, se ha desarrollado en materia de selección y promoción del personal docente e investigador. La STC 26/1987, de 11 de febrero, afirmó expresamente “la naturaleza estrictamente académica de la selección y formación de plantillas del profesorado universitario” [FJ 12 5) a)]; la STC 131/2013, de 5 de junio, descartó en el fundamento jurídico 8 b) que la evaluación positiva para contratar personal docente vulnerase la autonomía universitaria; y la STC 87/2014, de 29 de mayo, en su fundamento jurídico 6, garantizó la libertad </w:t>
      </w:r>
      <w:r>
        <w:lastRenderedPageBreak/>
        <w:t>de cada universidad para seleccionar su personal docente e investigador y, por ello, para establecer el sistema general de designación de las comisiones que han de juzgar la provisión de plazas.</w:t>
      </w:r>
    </w:p>
    <w:p w:rsidR="00163957" w:rsidRDefault="00163957" w:rsidP="00163957">
      <w:pPr>
        <w:pStyle w:val="TextoNormal"/>
      </w:pPr>
    </w:p>
    <w:p w:rsidR="00163957" w:rsidRDefault="00163957" w:rsidP="00163957">
      <w:pPr>
        <w:pStyle w:val="TextoNormal"/>
      </w:pPr>
      <w:r>
        <w:t>No obstante, también hemos afirmado que “este reconocimiento de que la selección del personal docente e investigador por cada universidad es uno de los ámbitos comprendidos en el contenido esencial de su derecho fundamental a la autonomía universitaria no se comporta como un límite absoluto que haga imposible cualquier intervención legislativa en ese ámbito. Y así, en el fundamento jurídico 4 a) de la STC 26/1987, que es donde resolvimos que la autonomía universitaria en nuestro sistema se reconoce como un derecho fundamental y donde perfilamos los contornos que delimitan su contenido esencial, precisamos que ‘naturalmente que esta conceptuación como derecho fundamental con que se configura la autonomía universitaria no excluye las limitaciones que al mismo imponen otros derechos fundamentales (como es el de igualdad de acceso al estudio, a la docencia y a la investigación) o la existencia de un sistema universitario nacional que exige instancias coordinadoras; ni tampoco las limitaciones propias del servicio público que desempeña y que pone de relieve el legislador en las primeras palabras del art. 1 LRU’ y, en este punto, subrayamos estas importantes limitaciones: otros derechos fundamentales, la existencia de un sistema universitario nacional y el servicio público, referidas al momento histórico —1987— en que la Sentencia se publica” (STC 87/2014, de 29 de mayo, FJ 6).</w:t>
      </w:r>
    </w:p>
    <w:p w:rsidR="00163957" w:rsidRDefault="00163957" w:rsidP="00163957">
      <w:pPr>
        <w:pStyle w:val="TextoNormal"/>
      </w:pPr>
    </w:p>
    <w:p w:rsidR="00163957" w:rsidRDefault="00163957" w:rsidP="00163957">
      <w:pPr>
        <w:pStyle w:val="TextoNormal"/>
      </w:pPr>
      <w:r>
        <w:t>Por lo que hace a nuestra doctrina constitucional previa en materia de potestad de configuración de las plantillas, esto es, en relación con el establecimiento y modificación de sus relaciones de puestos de trabajo [art. 2.2 i) LOU], que la Universidad recurrente en amparo cita también en defensa de su decisión de resolver la jubilación forzosa del profesor Rubio Caballero, hemos dicho que esta facultad tiene una relación directa con la selección de personal docente e investigador, en la medida en que ésta solamente se producirá una vez que de la configuración de la plantilla se derive la liberación de determinados puestos de trabajo, o la necesidad de crear puestos de trabajo nuevos en régimen laboral o con vinculación funcionarial. A este respecto, la STC 156/1994, de 25 de abril, estableció, en su fundamento jurídico 3, que no atentaba contra el derecho a la autonomía universitaria el establecimiento, por parte del Real Decreto 2360/1984, de un límite mínimo de catedráticos y profesores titulares a tiempo completo necesario para crear un departamento. Esta forma de condicionar la configuración de las plantillas fue considerada por nuestra doctrina como un límite aceptable a la autonomía universitaria por las siguientes razones: “en primer término, porque, siendo el Departamento una ‘estructura básica’, no cabe eliminar la posibilidad de que se establezcan ciertos límites por quien tiene la responsabilidad última del servicio público universitario, entendido como sistema nacional. Y en segundo lugar, porque el límite mínimo establecido, aunque pueda parecer riguroso, deja una amplia autonomía a las Universidades para establecer no sólo cómo, sino, sobre todo, qué Departamentos crear, encontrando al tiempo explicación en la conveniencia de no multiplicar en exceso las estructuras internas (con las consiguientes secuelas burocráticas) de las Universidades, así como en la de asegurar un nivel mínimo de docentes e investigadores en todo Departamento, requisito esencial habida cuenta de las importantes funciones atribuidas a los Departamentos. Por último, no se acierta a comprender de qué manera la fijación de un límite semejante afecta a la libertad académica —de estudio, docencia e investigación—, que —no debe olvidarse— constituye la razón de ser de la autonomía universitaria”.</w:t>
      </w:r>
    </w:p>
    <w:p w:rsidR="00163957" w:rsidRDefault="00163957" w:rsidP="00163957">
      <w:pPr>
        <w:pStyle w:val="TextoNormal"/>
      </w:pPr>
    </w:p>
    <w:p w:rsidR="00163957" w:rsidRDefault="00163957" w:rsidP="00163957">
      <w:pPr>
        <w:pStyle w:val="TextoNormal"/>
      </w:pPr>
      <w:r>
        <w:lastRenderedPageBreak/>
        <w:t>Esta Sentencia, como hacía también la STC 26/1987 en el fundamento jurídico 4 a), nos recuerda que la conceptuación como derecho fundamental de la autonomía universitaria permite incluir límites al mismo, bien asumiendo que tales limitaciones proceden de otros derechos fundamentales, bien reconociendo que existe un sistema universitario nacional que exige instancias coordinadoras, bien, por último, asumiendo que la condición de la universidad como servicio público también puede introducir límites a su propia autonomía. No existirá, en cambio, ninguna sujeción en el ejercicio de dichas facultades a controles de oportunidad que dejarían a la universidad (individual o colectivamente considerada) en una situación de subordinación incompatible con el respeto al derecho fundamental a la autonomía universitaria.</w:t>
      </w:r>
    </w:p>
    <w:p w:rsidR="00163957" w:rsidRDefault="00163957" w:rsidP="00163957">
      <w:pPr>
        <w:pStyle w:val="TextoNormal"/>
      </w:pPr>
    </w:p>
    <w:p w:rsidR="00163957" w:rsidRDefault="00163957" w:rsidP="00163957">
      <w:pPr>
        <w:pStyle w:val="TextoNormal"/>
      </w:pPr>
      <w:r w:rsidRPr="00163957">
        <w:rPr>
          <w:rStyle w:val="NumeroAFNegritaCaracter"/>
        </w:rPr>
        <w:t>5</w:t>
      </w:r>
      <w:r>
        <w:t>. Descendiendo al caso que nos ocupa, la Universidad argumenta que, si no puede jubilar en el mismo momento en que se causa baja en el Instituto Catalán de la Salud a quien se considera por el art. 61 LOU que ocupa un solo puesto de trabajo, se le está imponiendo a la comisión mixta que gestiona el concierto la desvinculación de la plaza vinculada, cuestión que debería quedar a su exclusiva decisión, por cuanto la misma afecta a la organización docente, y por conexión a la autonomía universitaria. De hecho, tal y como se relata en los antecedentes, la determinación de la jubilación forzosa en su plaza de titular de universidad del profesor Sr. Rubio viene precedida de la decisión de la comisión mixta, integrada por la Universidad y el Instituto Catalán de Salud, de no desvincular la plaza que ocupaba.</w:t>
      </w:r>
    </w:p>
    <w:p w:rsidR="00163957" w:rsidRDefault="00163957" w:rsidP="00163957">
      <w:pPr>
        <w:pStyle w:val="TextoNormal"/>
      </w:pPr>
    </w:p>
    <w:p w:rsidR="00163957" w:rsidRDefault="00163957" w:rsidP="00163957">
      <w:pPr>
        <w:pStyle w:val="TextoNormal"/>
      </w:pPr>
      <w:r>
        <w:t>Pues bien, no se le puede negar a la recurrente que tanto la firma como la gestión del concierto con el Instituto Catalán de la Salud forman parte inherente de su propia autonomía universitaria, como expresión de las facultades, reconocidas en el art. 2.2 LOU de: elaboración de sus propias normas de régimen interno (a); creación de estructuras específicas que actúen como soporte de la investigación y de la docencia (c); selección, formación y promoción del personal docente e investigador, así como determinación de las condiciones en que han de desarrollar sus actividades (e); establecimiento y modificación de sus relaciones de puestos de trabajo (i); y establecimiento de relaciones con otras entidades para la promoción y desarrollo de sus fines institucionales (j). Por tanto, tampoco se puede negar que la decisión sobre la vinculación o desvinculación de la plaza que ocupaba el profesor Rubio Caballero hasta su jubilación en el Instituto Catalán de la Salud, forma parte integrante de la referida facultad de gestión y ejecución del concierto, y se conecta con el ejercicio de la autonomía universitaria en la medida en que puede llegar a mediatizar las condiciones de desarrollo de la actividad docente e investigadora [art. 2.2 e) LOU] en relación con unas determinadas plazas que pasan de estar vinculadas a no estarlo.</w:t>
      </w:r>
    </w:p>
    <w:p w:rsidR="00163957" w:rsidRDefault="00163957" w:rsidP="00163957">
      <w:pPr>
        <w:pStyle w:val="TextoNormal"/>
      </w:pPr>
    </w:p>
    <w:p w:rsidR="00163957" w:rsidRDefault="00163957" w:rsidP="00163957">
      <w:pPr>
        <w:pStyle w:val="TextoNormal"/>
      </w:pPr>
      <w:r>
        <w:t>Ahora bien, lo que no es posible reconocerle a la Universidad recurrente es que sus facultades de gestión del concierto con el Instituto Catalán de la Salud, que sí pueden considerarse parte integrante del derecho a la autonomía universitaria de que es titular, puedan condicionar a su vez el régimen de jubilación del cuerpo de funcionarios docentes, puesto que tal régimen legal actúa inevitablemente como límite de la autonomía que hemos reconocido a la recurrente en amparo.</w:t>
      </w:r>
    </w:p>
    <w:p w:rsidR="00163957" w:rsidRDefault="00163957" w:rsidP="00163957">
      <w:pPr>
        <w:pStyle w:val="TextoNormal"/>
      </w:pPr>
    </w:p>
    <w:p w:rsidR="00163957" w:rsidRDefault="00163957" w:rsidP="00163957">
      <w:pPr>
        <w:pStyle w:val="TextoNormal"/>
      </w:pPr>
      <w:r>
        <w:t xml:space="preserve">No cabe defender que, en aras de garantizar la autonomía universitaria, las universidades puedan modular la edad de jubilación del profesorado adscrito a plazas vinculadas, es decir, puedan ajustar en su interés la aplicación del régimen funcionarial de jubilación forzosa, </w:t>
      </w:r>
      <w:r>
        <w:lastRenderedPageBreak/>
        <w:t>mediante un instrumento administrativo como es la decisión de desvincular o no una determinada plaza previamente vinculada, una decisión que no está sujeta a ningún elemento reglado y que no está prevista para que las comisiones mixtas modulen el régimen de jubilación aplicable al profesorado, porque este régimen sólo puede venir determinado por la ley. En la STC 8/2015, de 22 de enero, lo dijimos expresamente cuando recordamos que “la determinación tanto de la edad como de los efectos de la jubilación en orden a la eventual extinción de la relación laboral es una materia que, en principio, pertenece al ámbito propio de la ley, por estar en juego el ejercicio del derecho al trabajo (art. 35.1 CE), razón por la cual la Constitución, de un lado, obliga a los poderes públicos a promover las condiciones para que la igualdad sea real y efectiva en orden a la participación de todos los ciudadanos en la vida social (art. 9.2 CE), y, de otro, atribuye al Estado la competencia exclusiva para regular las condiciones básicas que garanticen la igualdad de todos en el ejercicio de los derechos constitucionales (art. 149.1.1 CE). Y, podemos añadir, en segundo lugar, que la consagración constitucional del derecho al trabajo (at. 35.1 CE) determina que el recurso a la edad de jubilación como causa extintiva de la relación laboral opere como una fórmula racional conforme a la cual, en la medida de lo posible y siempre que las circunstancias socio-económicas lo permitan, sea ejercitada como una opción voluntaria del trabajador y no como una imposición del legislador” (FJ 10).</w:t>
      </w:r>
    </w:p>
    <w:p w:rsidR="00163957" w:rsidRDefault="00163957" w:rsidP="00163957">
      <w:pPr>
        <w:pStyle w:val="TextoNormal"/>
      </w:pPr>
    </w:p>
    <w:p w:rsidR="00163957" w:rsidRDefault="00163957" w:rsidP="00163957">
      <w:pPr>
        <w:pStyle w:val="TextoNormal"/>
      </w:pPr>
      <w:r>
        <w:t>Por otro lado, podría derivarse de lo resuelto por la STC 99/1987, de 11 de junio, y de lo expuesto en su fundamento jurídico 5, que la determinación de la edad de jubilación no afecta directamente a la autonomía universitaria, es decir, no es desarrollo del derecho fundamental, aunque sea un aspecto relacionado con la universidad, en la medida en que atañe al régimen funcionarial del personal a su servicio; cuestión de la que, en aquel pronunciamiento, el Tribunal deducía la inexistencia de reserva de ley orgánica a la hora de regular la edad de jubilación de los docentes universitarios. Asimismo decíamos en la STC 235/1991, de 12 de diciembre, FJ 2, que “en materia de función pública al Estado corresponde, en virtud de lo establecido en el art. 149.1.18 CE, la competencia exclusiva para establecer las bases del régimen estatutario de los funcionarios de las Administraciones Públicas, expresión que según hemos declarado se refiere a ‘todas las Administraciones Públicas’ (SSTC 25/1983, 76/1983 y 99/1987)”. Esa competencia supone que “como dijimos en nuestra STC 26/1987 … una vez establecido el sistema funcionarial de los Cuerpos Docentes Universitarios en el art. 33 de la LOU, es inherente a ese sistema la existencia de un régimen uniforme sobre determinados aspectos del estatuto funcionarial, lo que en último término impone ciertas limitaciones, tanto de la autonomía universitaria, como de la de las Comunidades Autónomas (STC 26/1987)”. Del mismo modo que dijimos en la STC 235/1991, de 12 de diciembre, FJ 2, que muchos aspectos del estatuto funcionarial docente (duración de la jornada laboral, reparto de horas entre docencia y asistencia al alumnado, exención o incremento de obligaciones docentes, cómputo del tiempo de dedicación a la docencia, fijación de nuevas actividades y elección del régimen del profesorado) están íntimamente conectados con la autonomía universitaria y, más concretamente, con la libertad para la enseñanza y la investigación que constituyen su justificación última, a pesar de lo cual, son regulados por la ley imponiendo cierta limitación a la autonomía universitaria, podemos entender ahora que la determinación de la edad de jubilación puede afectar tangencialmente a dicha autonomía, pero no por ello puede ser dejada en manos de quien es titular de tal derecho, facultándole a apartarse de las previsiones legales generalmente aplicable a estos efectos.</w:t>
      </w:r>
    </w:p>
    <w:p w:rsidR="00163957" w:rsidRDefault="00163957" w:rsidP="00163957">
      <w:pPr>
        <w:pStyle w:val="TextoNormal"/>
      </w:pPr>
    </w:p>
    <w:p w:rsidR="00163957" w:rsidRDefault="00163957" w:rsidP="00163957">
      <w:pPr>
        <w:pStyle w:val="TextoNormal"/>
      </w:pPr>
      <w:r>
        <w:lastRenderedPageBreak/>
        <w:t>Por tanto verificamos, tal y como establecimos como pauta de razonamiento en la STC 87/2014, de 29 de mayo, que la actividad administrativa en presencia, esto es, la decisión de declarar la jubilación forzosa de un funcionario de los cuerpos docentes sin cobertura legal al efecto, no puede ser expresión de uno de los ámbitos que según la Ley Orgánica de universidades integran el contenido esencial del derecho fundamental a la autonomía universitaria. No podemos asumir el argumento de que, no existiendo régimen legal específico para la jubilación forzosa de quienes ocupen plazas vinculadas, la Universidad está en condiciones, en ejercicio de su derecho a la autonomía universitaria, de colmar esa laguna para garantizar la aplicación de una decisión administrativa previamente adoptada, esa sí, en ejercicio de su derecho fundamental a la autonomía universitaria.</w:t>
      </w:r>
    </w:p>
    <w:p w:rsidR="00163957" w:rsidRDefault="00163957" w:rsidP="00163957">
      <w:pPr>
        <w:pStyle w:val="TextoNormal"/>
      </w:pPr>
    </w:p>
    <w:p w:rsidR="00163957" w:rsidRDefault="00163957" w:rsidP="00163957">
      <w:pPr>
        <w:pStyle w:val="TextoNormal"/>
      </w:pPr>
      <w:r>
        <w:t>El régimen legal existe, y viene conformado por el art. 26, apartado 2, de la Ley 55/2003, de 16 de diciembre, del estatuto marco del personal estatutario de los servicios de salud, y por la disposición adicional decimoquinta de la Ley 30/1984, de 2 de agosto, de medidas para la reforma de la función pública, en la redacción dada por la Ley 27/1994, de 29 de septiembre, de modificación de la edad de jubilación de los funcionarios de los cuerpos docentes universitarios. Cosa distinta es que la aplicación de tal régimen legal fuerce a la Universidad bien a servirse de uno de los instrumentos que el concierto firmado con el Instituto Catalán de la Salud le proporciona para salvar las dificultades de articulación de un régimen legal complejo, esto es, la desvinculación de la plaza en el momento en que se produce la baja de quien la ocupaba en uno de los dos servicios; bien a adoptar medidas de reorganización de la plantilla, o de la docencia, para integrar en un régimen distinto a quien, jubilado como médico del Instituto Catalán de la Salud, tiene derecho a permanecer en activo en su actividad docente hasta que cumpla los 70 años; o, por último, a proveer una nueva plaza en otro régimen para quien ya no puede seguir ocupando una plaza vinculada. Cualquiera de estas opciones, o cualquier otra que pudiera asumir la Universidad, siempre dentro del respeto a la normativa vigente en materia de jubilación de los miembros del cuerpo de funcionarios, serían adoptadas en ejercicio de una autonomía universitaria que, si bien se ve limitada en los términos expuestos, guarda un amplio margen de decisión.</w:t>
      </w:r>
    </w:p>
    <w:p w:rsidR="00163957" w:rsidRDefault="00163957" w:rsidP="00163957">
      <w:pPr>
        <w:pStyle w:val="TextoNormal"/>
      </w:pPr>
    </w:p>
    <w:p w:rsidR="00163957" w:rsidRDefault="00163957" w:rsidP="00163957">
      <w:pPr>
        <w:pStyle w:val="TextoNormal"/>
      </w:pPr>
      <w:r>
        <w:t>Siguiendo el mismo razonamiento, tampoco limita indebidamente la autonomía universitaria la decisión del Tribunal Supremo de que la Universidad recurrente satisfaga al profesor Rubio Caballero, ante la imposibilidad del reingreso, en el importe correspondiente a los ingresos dejados de percibir como su hubiera permanecido en activo como profesor titular a tiempo completo. Tal interpretación sobre el tipo de dedicación del profesor en el hipotético caso de que no hubiera mediado la decisión de jubilarlo indebidamente, se deriva de lo previsto en el marco normativo aplicable, y concretamente de la Resolución de 18 de marzo de 1996, por la que se aprueba el concierto establecido en el ámbito docente asistencial e investigador entre la Universidad de Lleida y el Instituto Catalán de la Salud, publicado en el “Diari Oficial de la Generalitat de Catalunya” núm. 2221, de 21 de junio de 1996. En dicho concierto, además de otras cuestiones, se prevé en su artículo 5 d), que “el profesorado con plaza vinculada con dedicación sólo a la Universidad y a la institución sanitaria tendrá dedicación académica a tiempo completo”, previsión que no hace sino ser reflejo de lo previsto en el art. 135.1 del Decreto 201/2003, de 26 de agosto, por el que se aprueban los estatutos de la Universidad de Lleida, que se refiere al carácter preferente del régimen de dedicación a tiempo completo de su profesorado.</w:t>
      </w:r>
    </w:p>
    <w:p w:rsidR="00163957" w:rsidRDefault="00163957" w:rsidP="00163957">
      <w:pPr>
        <w:pStyle w:val="TextoNormal"/>
      </w:pPr>
    </w:p>
    <w:p w:rsidR="00163957" w:rsidRDefault="00163957" w:rsidP="00163957">
      <w:pPr>
        <w:pStyle w:val="TextoNormal"/>
      </w:pPr>
      <w:r>
        <w:lastRenderedPageBreak/>
        <w:t>Podríamos concluir, por tanto, tal y como decíamos en el fundamento jurídico 3 de la STC 179/1996, de 12 de noviembre, que “la Universidad recurrente pretende convertir un problema de interpretación de la legalidad en un supuesto de colisión entre derechos fundamentales, en su opinión, judicialmente resuelto de modo lesivo para el derecho a la autonomía universitaria del que es titular”. En este caso, determinar la edad de jubilación sencillamente no integra el derecho a la autonomía universitaria en ninguna de sus vertientes, y el ejercicio del derecho a determinar las condiciones en que han de desarrollar sus actividades los docentes, no puede dejar de observar los límites que a la autonomía impone el respeto a la existencia de un sistema universitario nacional que exige instancias coordinadoras, y que presupone la existencia de un cuerpo nacional de funcionarios cuyo régimen de jubilación no puede ser determinado por cada universidad atendiendo al caso concreto, que es lo que pretende la Universidad recurrente, sino que responderá a la estricta aplicación de la legalidad vigente.</w:t>
      </w:r>
    </w:p>
    <w:p w:rsidR="00163957" w:rsidRDefault="00163957" w:rsidP="00163957">
      <w:pPr>
        <w:pStyle w:val="TextoNormal"/>
      </w:pPr>
    </w:p>
    <w:p w:rsidR="00163957" w:rsidRDefault="00163957" w:rsidP="00163957">
      <w:pPr>
        <w:pStyle w:val="TextoNormal"/>
      </w:pPr>
      <w:r>
        <w:t>Así pues, la decisión de la Sala Tercera del Tribunal Supremo de 12 de diciembre de 2011, estimatoria del recurso de casación interpuesto por don Manuel Rubio Caballero, que niega a la Universidad de Lleida la posibilidad de jubilar forzosamente al profesor, sin cobertura legal, a la edad de 65 años, no podemos entender que vulnere el derecho a la autonomía universitaria invocado por la Universidad de Lleida al interponer el presente recurso de amparo.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Inadmitir el recurso de amparo en lo relativo a la invocación por parte de la Universidad de Lleida del derecho a la tutela judicial efectiva.</w:t>
      </w:r>
    </w:p>
    <w:p w:rsidR="00163957" w:rsidRDefault="00163957" w:rsidP="00163957">
      <w:pPr>
        <w:pStyle w:val="TextoNormal"/>
      </w:pPr>
    </w:p>
    <w:p w:rsidR="00163957" w:rsidRDefault="00163957" w:rsidP="00163957">
      <w:pPr>
        <w:pStyle w:val="TextoNormal"/>
      </w:pPr>
      <w:r>
        <w:t>2º Desestimar el amparo interpuesto por la representación procesal de la Universidad de Lleida en defensa de su derecho a la autonomía universitaria (art. 27.10 CE) contra la Sentencia de la Sala Tercera del Tribunal Supremo de 12 de diciembre de 2011</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48" w:name="SENTENCIA_2016_45"/>
      <w:r>
        <w:lastRenderedPageBreak/>
        <w:t>SENTENCIA 45/2016, de 14 de marzo de 2016</w:t>
      </w:r>
    </w:p>
    <w:bookmarkEnd w:id="48"/>
    <w:p w:rsidR="00163957" w:rsidRDefault="00163957" w:rsidP="00163957">
      <w:pPr>
        <w:pStyle w:val="TtuloResolucin"/>
      </w:pPr>
      <w:r>
        <w:t>Sala Segunda</w:t>
      </w:r>
    </w:p>
    <w:p w:rsidR="00163957" w:rsidRDefault="00163957" w:rsidP="00163957">
      <w:pPr>
        <w:pStyle w:val="TtuloBOE"/>
      </w:pPr>
      <w:r>
        <w:t>(BOE núm. 97, de 22 de abril de 2016)</w:t>
      </w:r>
    </w:p>
    <w:p w:rsidR="00163957" w:rsidRDefault="00163957" w:rsidP="00163957">
      <w:pPr>
        <w:pStyle w:val="TextoNormalCentrado"/>
      </w:pPr>
      <w:r>
        <w:t>ECLI:ES:TC:2016:45</w:t>
      </w:r>
    </w:p>
    <w:p w:rsidR="00163957" w:rsidRDefault="00163957" w:rsidP="00163957">
      <w:pPr>
        <w:pStyle w:val="TextoNormalCentrado"/>
      </w:pPr>
    </w:p>
    <w:p w:rsidR="00163957" w:rsidRDefault="00163957" w:rsidP="00163957">
      <w:pPr>
        <w:pStyle w:val="SntesisDescriptiva"/>
      </w:pPr>
      <w:r>
        <w:t>Recurso de amparo 4679-2013. Promovido por doña Aida Quero Martínez en relación con las resoluciones de la dirección médica del Hospital Universitario Central de Asturias sobre servicios mínimos con ocasión del ejercicio del derecho de huelga, y las Sentencias del Tribunal Superior de Justicia de Asturias y de un Juzgado de lo Contencioso-Administrativo de Oviedo, que confirmaron su legalidad.</w:t>
      </w:r>
    </w:p>
    <w:p w:rsidR="00163957" w:rsidRDefault="00163957" w:rsidP="00163957">
      <w:pPr>
        <w:pStyle w:val="SntesisDescriptiva"/>
      </w:pPr>
    </w:p>
    <w:p w:rsidR="00163957" w:rsidRDefault="00163957" w:rsidP="00163957">
      <w:pPr>
        <w:pStyle w:val="SntesisAnaltica"/>
      </w:pPr>
      <w:r>
        <w:t>Supuesta vulneración del derecho a la huelga: resoluciones administrativas que, con motivación suficiente, designaron a la demandante de amparo como personal encargado del mantenimiento de los servicios esenciales durante sendas jornadas de huelga.</w:t>
      </w:r>
    </w:p>
    <w:p w:rsidR="00163957" w:rsidRDefault="00163957" w:rsidP="00163957">
      <w:pPr>
        <w:pStyle w:val="SntesisAnaltica"/>
      </w:pPr>
    </w:p>
    <w:p w:rsidR="00163957" w:rsidRDefault="00163957" w:rsidP="00163957">
      <w:pPr>
        <w:pStyle w:val="Extracto"/>
      </w:pPr>
      <w:r>
        <w:t>1.</w:t>
      </w:r>
      <w:r>
        <w:tab/>
        <w:t>La negativa de la dirección médica del hospital a la petición de sustitución resulta justificada, dado que, a fecha 15 y 20 de noviembre de 2012, no era posible constatar si en las respectivas jornadas de huelga convocadas para los días siguientes —16 y 21— habría suficiente personal no huelguista para cubrir los servicios mínimos fijados, de modo que el imperativo de asegurar la prestación de los servicios esenciales, máxime si cabe en atención a la trascendencia de los bienes protegidos en el ámbito sanitario, conduce a dotar de legitimidad a la respuesta denegatoria examinada [FJ 4.c)].</w:t>
      </w:r>
    </w:p>
    <w:p w:rsidR="00163957" w:rsidRDefault="00163957" w:rsidP="00163957">
      <w:pPr>
        <w:pStyle w:val="Extracto"/>
      </w:pPr>
    </w:p>
    <w:p w:rsidR="00163957" w:rsidRDefault="00163957" w:rsidP="00163957">
      <w:pPr>
        <w:pStyle w:val="Extracto"/>
      </w:pPr>
      <w:r>
        <w:t>2.</w:t>
      </w:r>
      <w:r>
        <w:tab/>
        <w:t>Aun cuando la sustitución se solicitara para después de iniciadas las jornadas de huelga, la decisión desestimatoria de la dirección del hospital adoptada los días inmediatamente previos no resulta lesiva del derecho a la huelga de la demandante de amparo, porque ya en ese momento era evidente que, aun cuando asistiera al trabajo más personal que el requerido para cubrir servicios mínimos, subsistiría la imposibilidad de liberar a la recurrente de su condición de personal asignado a la cobertura de dichos servicios, ante el riesgo, o de hacer peligrar el mantenimiento de los servicios esenciales, o de menoscabar el derecho de huelga de los facultativos no designados que se limitaran a acudir al trabajo [FJ 5.b)].</w:t>
      </w:r>
    </w:p>
    <w:p w:rsidR="00163957" w:rsidRDefault="00163957" w:rsidP="00163957">
      <w:pPr>
        <w:pStyle w:val="Extracto"/>
      </w:pPr>
    </w:p>
    <w:p w:rsidR="00163957" w:rsidRDefault="00163957" w:rsidP="00163957">
      <w:pPr>
        <w:pStyle w:val="Extracto"/>
      </w:pPr>
      <w:r>
        <w:t>3.</w:t>
      </w:r>
      <w:r>
        <w:tab/>
        <w:t>Doctrina sobre la fijación de los servicios mínimos a cumplir por los trabajadores [FJ 3].</w:t>
      </w:r>
    </w:p>
    <w:p w:rsidR="00163957" w:rsidRDefault="00163957" w:rsidP="00163957">
      <w:pPr>
        <w:pStyle w:val="Extracto"/>
      </w:pPr>
    </w:p>
    <w:p w:rsidR="00163957" w:rsidRDefault="00163957" w:rsidP="00163957">
      <w:pPr>
        <w:pStyle w:val="Extracto"/>
      </w:pPr>
      <w:r>
        <w:t>4.</w:t>
      </w:r>
      <w:r>
        <w:tab/>
        <w:t>No cabe descartar la posibilidad de arbitrar procedimientos mediante los que, en cada huelga, los trabajadores puedan manifestar voluntariamente su disponibilidad para ser designados como personal encargado del mantenimiento de los servicios esenciales, lo que facilitaría la aplicación del criterio de asignar preferentemente los servicios mínimos a quienes libremente decidan no sumarse a la huelga convocada y, de este modo, tratar de tender al mínimo sacrificio posible del derecho de huelga, si bien la actual legislación sobre huelga no prevé ningún protocolo de actuación en tal sentido [FJ 4.b).</w:t>
      </w:r>
    </w:p>
    <w:p w:rsidR="00163957" w:rsidRDefault="00163957" w:rsidP="00163957">
      <w:pPr>
        <w:pStyle w:val="Extracto"/>
      </w:pPr>
    </w:p>
    <w:p w:rsidR="00163957" w:rsidRDefault="00163957" w:rsidP="00163957">
      <w:pPr>
        <w:pStyle w:val="Extracto"/>
      </w:pPr>
      <w:r>
        <w:t>5.</w:t>
      </w:r>
      <w:r>
        <w:tab/>
        <w:t xml:space="preserve">En virtud del carácter </w:t>
      </w:r>
      <w:r w:rsidRPr="00163957">
        <w:rPr>
          <w:i/>
        </w:rPr>
        <w:t xml:space="preserve">uti singuli </w:t>
      </w:r>
      <w:r>
        <w:t xml:space="preserve">del derecho de huelga, la presencia en el trabajo al inicio de la huelga de trabajadores no designados que puedan hacerse cargo de </w:t>
      </w:r>
      <w:r>
        <w:lastRenderedPageBreak/>
        <w:t>los servicios mínimos no garantiza su permanencia durante el transcurso de aquélla, de tal modo que si, a la vista de la asistencia al trabajo una vez comenzada la huelga, se eximiera a los trabajadores designados de tal condición, tal exención podría llevar a la inadmisible consecuencia de hacer peligrar la exigencia constitucional de garantizar el mantenimiento de los servicios esenciales [FJ 5.a)].</w:t>
      </w:r>
    </w:p>
    <w:p w:rsidR="00163957" w:rsidRDefault="00163957" w:rsidP="00163957">
      <w:pPr>
        <w:pStyle w:val="Extracto"/>
      </w:pPr>
    </w:p>
    <w:p w:rsidR="00163957" w:rsidRDefault="00163957" w:rsidP="00163957">
      <w:pPr>
        <w:pStyle w:val="Extracto"/>
      </w:pPr>
      <w:r>
        <w:t>6.</w:t>
      </w:r>
      <w:r>
        <w:tab/>
        <w:t>El supuesto de hecho permite perfilar o aclarar el alcance de la doctrina constitucional sobre la particular situación en que, con ocasión de una convocatoria de huelga que afecte a un servicio esencial para la comunidad, necesitado, por tanto, del establecimiento de servicios mínimos, algún empleado o trabajador inicialmente designado para la prestación de dichos servicios haya solicitado ser sustituido en dicha prestación por otro compañero que no haya secundado la huelga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4679-2013, promovido por doña Aida Quero Martínez, representada por el Procurador de los Tribunales don Nicolás Álvarez Real y asistida por el Abogado don Domingo Villaamil Gómez de la Torre, contra las Resoluciones de la Dirección Médica del Hospital Universitario Central de Asturias de 15 y 20 de noviembre de 2012. Ha comparecido la Letrada del Servicio de Salud del Principado de Asturias. Ha intervenido el Ministerio Fiscal. Ha sido Ponente el Magistrado don Antonio Narváez Rodríguez,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día 25 de julio de 2013, el Procurador de los Tribunales don Nicolás Álvarez Real, en nombre y representación de doña Aida Quero Martínez y bajo la dirección del Abogado don Domingo Villaamil Gómez de la Torre, interpuso recurso de amparo contra las resoluciones referidas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en que se fundamenta la demanda de amparo son, sucintamente expuestos, los siguientes:</w:t>
      </w:r>
    </w:p>
    <w:p w:rsidR="00163957" w:rsidRDefault="00163957" w:rsidP="00163957">
      <w:pPr>
        <w:pStyle w:val="TextoNormal"/>
      </w:pPr>
    </w:p>
    <w:p w:rsidR="00163957" w:rsidRDefault="00163957" w:rsidP="00163957">
      <w:pPr>
        <w:pStyle w:val="TextoNormal"/>
      </w:pPr>
      <w:r>
        <w:lastRenderedPageBreak/>
        <w:t>a) Doña Aida Quero Martínez es personal estatuario en el servicio de neumología ocupacional del Hospital Universitario Central de Asturias perteneciente al Servicio de Salud del Principado de Asturias.</w:t>
      </w:r>
    </w:p>
    <w:p w:rsidR="00163957" w:rsidRDefault="00163957" w:rsidP="00163957">
      <w:pPr>
        <w:pStyle w:val="TextoNormal"/>
      </w:pPr>
    </w:p>
    <w:p w:rsidR="00163957" w:rsidRDefault="00163957" w:rsidP="00163957">
      <w:pPr>
        <w:pStyle w:val="TextoNormal"/>
      </w:pPr>
      <w:r>
        <w:t>b) Con ocasión de la huelga convocada para los médicos y demás facultativos empleados en el ámbito de atención primaria y atención especializada de las instituciones sanitarias del Servicio de Salud del Principado de Asturias, a desarrollar, en jornadas de veinticuatro horas, los días 6, 7, 9, 12, 14, 16, 19, 21, 23, 26, 28 y 30 de noviembre de 2012, la Consejería de Sanidad dictó resolución de 2 de noviembre de 2012 (“Boletín Oficial del Principado de Asturias” núm. 256, de 5 de noviembre), por la que se establecieron los servicios mínimos precisos para garantizar el mantenimiento de los servicios públicos esenciales de la comunidad, concretándose que, en la unidad de neumología ocupacional del Hospital Universitario Central de Asturias, dichos servicios mínimos serían cubiertos por un facultativo en turno de mañana. A tal efecto, por el citado hospital se designó a la ahora demandante de amparo para cubrir los servicios mínimos correspondientes a los días 16 y 21 de noviembre de 2012 en la indicada unidad de neumología ocupacional.</w:t>
      </w:r>
    </w:p>
    <w:p w:rsidR="00163957" w:rsidRDefault="00163957" w:rsidP="00163957">
      <w:pPr>
        <w:pStyle w:val="TextoNormal"/>
      </w:pPr>
    </w:p>
    <w:p w:rsidR="00163957" w:rsidRDefault="00163957" w:rsidP="00163957">
      <w:pPr>
        <w:pStyle w:val="TextoNormal"/>
      </w:pPr>
      <w:r>
        <w:t>c) Por la recurrente en amparo se dirigieron sendos escritos a la dirección médica del Hospital Universitario Central de Asturias con fecha, respectivamente, de 15 y 20 de noviembre de 2012, en los que, en relación con las jornadas de huelga de los días 16 y 21, manifestaba que quería “notificar antes de que se inicie la jornada de huelga que el/la compareciente desea ejercer su derecho fundamental a la huelga en el supuesto de que los mínimos pudieran ser cubiertos por personal de su misma categoría y servicio que decidan no hacer huelga, solicitando al efecto que se produzca la correspondiente sustitución en dicha asignación de mínimos”. Asimismo, añadía que, presentada la petición por escrito, solicitaba respuesta fundamentada por el mismo conducto, manifestando que, sin perjuicio del ejercicio de las correspondientes acciones, sólo ejercería su derecho a la huelga si dicha sustitución de mínimos fuera autorizada.</w:t>
      </w:r>
    </w:p>
    <w:p w:rsidR="00163957" w:rsidRDefault="00163957" w:rsidP="00163957">
      <w:pPr>
        <w:pStyle w:val="TextoNormal"/>
      </w:pPr>
    </w:p>
    <w:p w:rsidR="00163957" w:rsidRDefault="00163957" w:rsidP="00163957">
      <w:pPr>
        <w:pStyle w:val="TextoNormal"/>
      </w:pPr>
      <w:r>
        <w:t>d) Las indicadas solicitudes fueron contestadas por la directora del Hospital Universitario Central de Asturias mediante sendos escritos fechados, respectivamente, los días 15 y 20 de noviembre de 2012, en los que se informaba a la solicitante de que, una vez evaluada la situación específica que crearía acceder a su petición, no era posible atender a la misma, dado que el cambio pretendido dificultaría o impediría la observancia de los servicios mínimos precisos para garantizar el cumplimiento del servicio público esencial encomendado a la institución. A esta justificación, en la contestación de 15 de noviembre de 2012 se añadía, de una parte, que la solicitud había sido presentada por la interesada “en el día de hoy a las 14:15 h” y, de otro lado, que no podía atenderse a la petición “dado que la jornada de huelga ya está iniciada”.</w:t>
      </w:r>
    </w:p>
    <w:p w:rsidR="00163957" w:rsidRDefault="00163957" w:rsidP="00163957">
      <w:pPr>
        <w:pStyle w:val="TextoNormal"/>
      </w:pPr>
    </w:p>
    <w:p w:rsidR="00163957" w:rsidRDefault="00163957" w:rsidP="00163957">
      <w:pPr>
        <w:pStyle w:val="TextoNormal"/>
      </w:pPr>
      <w:r>
        <w:t>e) En las hojas de seguimiento de incidencia de la huelga se hace constar la asistencia en la unidad de neumología ocupacional de dos facultativos el día 16 de noviembre de 2012 y de cuatro facultativos el día 21 de noviembre de 2012; en la relación de los que concurrieron se encontraba la demandante de amparo, habiéndose consignado en la hoja correspondiente que lo hacía en prestación de servicios mínimos.</w:t>
      </w:r>
    </w:p>
    <w:p w:rsidR="00163957" w:rsidRDefault="00163957" w:rsidP="00163957">
      <w:pPr>
        <w:pStyle w:val="TextoNormal"/>
      </w:pPr>
    </w:p>
    <w:p w:rsidR="00163957" w:rsidRDefault="00163957" w:rsidP="00163957">
      <w:pPr>
        <w:pStyle w:val="TextoNormal"/>
      </w:pPr>
      <w:r>
        <w:t xml:space="preserve">f) Las citadas resoluciones de la directora del Hospital Universitario Central de Asturias de 15 y 20 de noviembre de 2012 fueron impugnadas por la ahora demandante de amparo </w:t>
      </w:r>
      <w:r>
        <w:lastRenderedPageBreak/>
        <w:t>mediante recurso contencioso-administrativo, que fue tramitado por el procedimiento especial de protección de derechos fundamentales; se invocaba como pretensión la vulneración del derecho de huelga. Mediante Sentencia de 1 de marzo de 2013, dictada en autos de derechos fundamentales núm. 363-2012, el Juzgado de lo Contencioso-Administrativo núm. 3 de Oviedo desestimó el recurso, al considerar que las resoluciones impugnadas no habían vulnerado el derecho de huelga. Las razones que esgrimió la Sentencia para llegar a dicha decisión fueron: i) en primer lugar, porque los escritos de solicitud presentados por la actora eran lo suficientemente ambiguos como para entender que pretendía ser sustituida en su condición de “servicio mínimo” el día anterior a la jornada de huelga, siendo inaceptable su pretensión en tal escenario dado que, en ese día previo, nadie podía saber quiénes ejercitarían o no su derecho de huelga; ii) en segundo término, porque, conforme a la declaración testifical de la directora médica del hospital, la designación de los trabajadores que deben prestar los servicios mínimos no se hace, con carácter general, de forma aleatoria o al azar por los jefes de servicio, sino tomando en consideración los cometidos de cada facultativo, su especialidad, etc., lo que haría que el servicio se viera perjudicado si se atendiese la voluntad del trabajador de ser liberado de su condición de servicio mínimo; iii) como tercer argumento aduce el Juzgado que, cuando un trabajador es designado como servicio mínimo, se erige en garantía del mantenimiento de los servicios esenciales, de modo que debe cumplir tal cometido, sin que pueda pretender excusarse del mismo mediante la alegación de que otros empleados van a desempeñar o están desempeñando su trabajo, pues el derecho de huelga puede ejercitarse por cada trabajador en cualquier momento; iv) finalmente, señala la Sentencia que se aprecia en la actora un comportamiento en cierto modo abusivo por cuanto que presenta su solicitud el día inmediato anterior a la jornada de huelga y con un modelo estandarizado que indica que responde a criterios de actuación generalizados, en lo que parece que es una combinación del ejercicio del derecho de huelga y la pretensión de perturbar aún más el desenvolvimiento del servicio público.</w:t>
      </w:r>
    </w:p>
    <w:p w:rsidR="00163957" w:rsidRDefault="00163957" w:rsidP="00163957">
      <w:pPr>
        <w:pStyle w:val="TextoNormal"/>
      </w:pPr>
    </w:p>
    <w:p w:rsidR="00163957" w:rsidRDefault="00163957" w:rsidP="00163957">
      <w:pPr>
        <w:pStyle w:val="TextoNormal"/>
      </w:pPr>
      <w:r>
        <w:t>g) Frente a la anterior Sentencia se interpuso recurso de apelación, sustanciado en el rollo núm. 81-2013, que fue desestimado por la Sala de lo Contencioso-Administrativo del Tribunal Superior de Justicia de Asturias mediante Sentencia de 28 de junio de 2013. A tal efecto, se argumenta por el Tribunal que el escrito de interposición del recurso se limita a hacer consideraciones sobre la falta de acierto en los razonamientos empleados por el Juzgador para rechazar la pretensión deducida, pero sin efectuar ninguna consideración respecto a la infracción del ordenamiento jurídico que pudiera determinar la revocación de la Sentencia apelada, considerando los hechos plenamente concretados y aceptados. Asimismo, indica la Sentencia de apelación que la pretensión deducida de ser eximida de la obligación de prestar los servicios mínimos para los que ha sido designada si los mismos se estiman cubiertos por quienes no se acogen al derecho de huelga no se contempla en la legislación vigente y, por ello, ni puede invocarse que la Sentencia apelada haya infringido el ordenamiento legal aplicable al caso ni que haya ocasionado vulneración alguna del derecho de huelga, en cuanto que la designación para desarrollar los servicios mínimos constituye una limitación a dicho derecho.</w:t>
      </w:r>
    </w:p>
    <w:p w:rsidR="00163957" w:rsidRDefault="00163957" w:rsidP="00163957">
      <w:pPr>
        <w:pStyle w:val="TextoNormal"/>
      </w:pPr>
    </w:p>
    <w:p w:rsidR="00163957" w:rsidRDefault="00163957" w:rsidP="00163957">
      <w:pPr>
        <w:pStyle w:val="TextoNormal"/>
      </w:pPr>
      <w:r w:rsidRPr="00163957">
        <w:rPr>
          <w:rStyle w:val="NumeroAFNegritaCaracter"/>
        </w:rPr>
        <w:t>3</w:t>
      </w:r>
      <w:r>
        <w:t>. En la demanda de amparo, la demandante alega que las resoluciones de la dirección médica del Hospital Universitario Central de Asturias de 15 y 20 de noviembre de 2012, mediante las que dicho órgano no accedió a cambiar la designación de la demandante para cubrir los servicios mínimos, resultan lesivas de su derecho de huelga reconocido en el art. 28.2 CE.</w:t>
      </w:r>
    </w:p>
    <w:p w:rsidR="00163957" w:rsidRDefault="00163957" w:rsidP="00163957">
      <w:pPr>
        <w:pStyle w:val="TextoNormal"/>
      </w:pPr>
    </w:p>
    <w:p w:rsidR="00163957" w:rsidRDefault="00163957" w:rsidP="00163957">
      <w:pPr>
        <w:pStyle w:val="TextoNormal"/>
      </w:pPr>
      <w:r>
        <w:t xml:space="preserve">a) La demandante indica, como cuestión nuclear del recurso, que el aspecto jurídico planteado en el proceso por derechos fundamentales consiste en dilucidar si un trabajador designado como servicio mínimo puede ser liberado de tal condición cuando, llegado el día de la huelga, se comprueba que el número de facultativos de su servicio que han decidido no secundar la huelga es mayor que el fijado como mínimos a efectos de cubrir los servicios esenciales. Tras mostrar su discrepancia con los razonamientos del Juez de instancia y de la Sentencia del Tribunal Superior de Justicia de Asturias, insiste en que hay que situarse, no en el plano de que se esté pidiendo que se sustituya </w:t>
      </w:r>
      <w:r w:rsidRPr="00163957">
        <w:rPr>
          <w:i/>
        </w:rPr>
        <w:t>a priori</w:t>
      </w:r>
      <w:r>
        <w:t xml:space="preserve"> a la demandante para que se asignen los mínimos antes del inicio de la jornada a otra persona, sino en el de que, habiendo acudido aquélla a la hora de inicio de su jornada a cubrir los mínimos, resulte que el número de facultativos que no quieran secundar la huelga sea mayor de aquel que la autoridad gubernativa haya fijado como mínimos. Es decir, según razona, los servicios esenciales de la comunidad ya están más que cubiertos por personal que decide no hacer huelga, y, por tanto, la finalidad a que responde la limitación del derecho de huelga está colmada. Según afirma, no se trata de impugnar la designación realizada para cubrir los mínimos, sino el mantenimiento de dicha designación cuando la causa a que responde ya no se da, y esto no genera dificultad o impedimento alguno de carácter asistencial.</w:t>
      </w:r>
    </w:p>
    <w:p w:rsidR="00163957" w:rsidRDefault="00163957" w:rsidP="00163957">
      <w:pPr>
        <w:pStyle w:val="TextoNormal"/>
      </w:pPr>
    </w:p>
    <w:p w:rsidR="00163957" w:rsidRDefault="00163957" w:rsidP="00163957">
      <w:pPr>
        <w:pStyle w:val="TextoNormal"/>
      </w:pPr>
      <w:r>
        <w:t>Añade que todo acto de restricción de un derecho fundamental debe estar mínimamente motivado y dicha justificación debe responder a la finalidad a que responde. Respecto a la motivación de la denegación de la posibilidad de ejercer el derecho de huelga el día 16 de noviembre indica que es difícil superar la arbitrariedad y el absurdo: afirma que es falso que la jornada de huelga para la que se efectúa la solicitud estuviera iniciada, pues la petición se hace el día 15 de noviembre de 2012 para ejercer el derecho de huelga el día 16 y la contestación de la dirección médica es del día 15 de noviembre; además, señala, debe tenerse en cuenta que la recurrente tenía encargado un trabajo administrativo (realización de informes para equipos de valoración de incapacidades con relación a la neumoconiosis), sin que se le asignara paciente alguno. Por lo que se refiere a la motivación de la denegación del ejercicio del derecho de huelga el día 21 de noviembre, considera que se trata de una respuesta completamente genérica y difusa, sin aludir a cuáles sean los impedimentos o dificultades concretas que se producirían como consecuencia del ejercicio del derecho de huelga por la ahora demandante de amparo, existiendo suficientes facultativos de su categoría y especialidad que podrían cubrir los servicios mínimos fijados.</w:t>
      </w:r>
    </w:p>
    <w:p w:rsidR="00163957" w:rsidRDefault="00163957" w:rsidP="00163957">
      <w:pPr>
        <w:pStyle w:val="TextoNormal"/>
      </w:pPr>
    </w:p>
    <w:p w:rsidR="00163957" w:rsidRDefault="00163957" w:rsidP="00163957">
      <w:pPr>
        <w:pStyle w:val="TextoNormal"/>
      </w:pPr>
      <w:r>
        <w:t>b) En cuanto a otras razones adyacentes a la principal por las que las Sentencias dictadas confirman que las resoluciones recurridas no vulneran el derecho fundamental invocado, la demanda de amparo empieza señalando que la crítica de la Sentencia del Tribunal Superior de Justicia de Asturias de que el recurso de apelación no había fundamentado jurídicamente por qué la Sentencia de instancia era contraria al ordenamiento jurídico no es acorde con la realidad, pues en el recurso formulado se rebaten los argumentos esgrimidos en la citada Sentencia de instancia y se fundamenta por qué se entiende vulnerado el derecho de huelga. Dicho esto, la demanda expone las razones por las que discrepa de otros argumentos contenidos en la Sentencia de instancia.</w:t>
      </w:r>
    </w:p>
    <w:p w:rsidR="00163957" w:rsidRDefault="00163957" w:rsidP="00163957">
      <w:pPr>
        <w:pStyle w:val="TextoNormal"/>
      </w:pPr>
    </w:p>
    <w:p w:rsidR="00163957" w:rsidRDefault="00163957" w:rsidP="00163957">
      <w:pPr>
        <w:pStyle w:val="TextoNormal"/>
      </w:pPr>
      <w:r>
        <w:t xml:space="preserve">Por lo que atañe al argumento de que la solicitud formulada era ambigua, indica que del tenor de la misma, se desprende que se quiere hacer la notificación de la pretensión antes de que se inicie la huelga (para que la dirección pueda valorarla y no pedirlo sorpresivamente </w:t>
      </w:r>
      <w:r>
        <w:lastRenderedPageBreak/>
        <w:t>el día de la huelga), pero la sustitución se pide “en el supuesto de que los mínimos pudieran ser cubiertos por personal de su misma categoría que decidan no hacer huelga”, lo que solo se puede saber el día de la huelga. También discrepa de que pueda dudarse de la buena fe de la solicitante por haber utilizado un modelo seriado para la petición.</w:t>
      </w:r>
    </w:p>
    <w:p w:rsidR="00163957" w:rsidRDefault="00163957" w:rsidP="00163957">
      <w:pPr>
        <w:pStyle w:val="TextoNormal"/>
      </w:pPr>
    </w:p>
    <w:p w:rsidR="00163957" w:rsidRDefault="00163957" w:rsidP="00163957">
      <w:pPr>
        <w:pStyle w:val="TextoNormal"/>
      </w:pPr>
      <w:r>
        <w:t>Respecto al argumento de que de la prueba testifical de la directora médica del hospital se desprende que la designación de los trabajadores que deben prestar los servicios mínimos se hace tomando en consideración los cometidos y especialidad de cada facultativo, la demanda señala que quien debe contestar sobre tal cuestión es el “Director del Área de Gestión Clínica del Corazón”, jefe asistencial de la demandante, que es el que dio los nombres a la dirección de las personas que debían cubrir los mínimos, el cual testificó, haciendo las siguientes declaraciones: que no se designaban a los facultativos para cubrir los mínimos por sus perfiles, que se hacía de forma rotatoria, que todos estaban perfectamente capacitados para cubrir dichos mínimos, que ningún perjuicio ni dificultad con relación al cumplimiento de los servicios mínimos se hubiera producido si se hubiera autorizado la sustitución, y que la solicitante en los días para los que se solicitó tal cambio no tenía asignada actividad relacionada con la atención a pacientes. Además, añade, que la propia directora médica que testificó señaló que no había evaluado ninguna situación específica, siendo incapaz de dar una sola dificultad concreta que se hubiera producido por la sustitución, reconociendo que utilizó un formulario.</w:t>
      </w:r>
    </w:p>
    <w:p w:rsidR="00163957" w:rsidRDefault="00163957" w:rsidP="00163957">
      <w:pPr>
        <w:pStyle w:val="TextoNormal"/>
      </w:pPr>
    </w:p>
    <w:p w:rsidR="00163957" w:rsidRDefault="00163957" w:rsidP="00163957">
      <w:pPr>
        <w:pStyle w:val="TextoNormal"/>
      </w:pPr>
      <w:r>
        <w:t>c) Finalmente, en cuanto a la especial trascendencia constitucional del recurso, la demanda de amparo argumenta que la relevancia constitucional del caso reside en la cuestión denominada como nuclear, sobre la que sólo existen pronunciamientos fragmentarios que no abordan la cuestión de fondo por parte del Tribunal Constitucional. Indica la recurrente que al respecto sólo conoce la STC 123/1990, y en la jurisdicción ordinaria, la STS, Sala de lo Social, de 25 de enero de 2010: según afirma, ambas abordan el tema de la designación como mínimos antes de la huelga, pero no la posibilidad del cambio cuando se comprueba, iniciada la huelga, que dicho cambio haría posible la plena realización de los dos derechos en conflicto —el de huelga y el de los ciudadanos al mantenimiento de los servicios esenciales de la comunidad—. Señala que ninguna sentencia hasta ahora analiza la conformidad con el derecho de huelga de que al trabajador designado como mínimo se le retire la asignación cuando se comprueba, ya iniciada la huelga, que los mínimos fijados por la autoridad gubernativa pueden ser perfectamente cubiertos por personal que decide no secundarla.</w:t>
      </w:r>
    </w:p>
    <w:p w:rsidR="00163957" w:rsidRDefault="00163957" w:rsidP="00163957">
      <w:pPr>
        <w:pStyle w:val="TextoNormal"/>
      </w:pPr>
    </w:p>
    <w:p w:rsidR="00163957" w:rsidRDefault="00163957" w:rsidP="00163957">
      <w:pPr>
        <w:pStyle w:val="TextoNormal"/>
      </w:pPr>
      <w:r>
        <w:t>Por todo lo dicho, la recurrente solicita se le otorgue el amparo y se declare la nulidad de las resoluciones de la dirección médica del Hospital Universitario Central de Asturias de 15 y 20 de noviembre de 2012.</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Por providencia de 6 de noviembre de 2014, la Sección Cuarta del Tribunal Constitucional acordó la admisión a trámite de la demanda de amparo, y, a tenor de lo dispuesto en el art. 51 de la Ley Orgánica del Tribunal Constitucional (LOTC), ordenó dirigir atenta comunicación a la Sección Única de la Sala de lo Contencioso-Administrativo del Tribunal Superior de Justicia de Asturias y al Juzgado de lo Contencioso-Administrativo núm. 3 de Oviedo, a fin de que en plazo que no excediera de diez días remitieran, respectivamente, certificación o fotocopia adverada de las actuaciones correspondientes al recurso de apelación núm. 81-2013 y a los autos de derechos fundamentales núm. 363-2012, interesando al propio tiempo al citado Juzgado a que emplazara a quienes fueron parte en el procedimiento, </w:t>
      </w:r>
      <w:r>
        <w:lastRenderedPageBreak/>
        <w:t>con excepción de la recurrente en amparo, para que en el plazo de diez días pudieran comparecer en este proceso constitucional. Todo ello se condicionaba a que por el procurador don Nicolás Álvarez Real, en el plazo de diez días, se presentara el poder para pleitos original acreditativo de la representación de doña Aida Quero Martínez. Tal requerimiento se cumplió en fecha 12 de noviembre de 2014.</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registrado ante este Tribunal el 1 de diciembre de 2014, la Letrada del Servicio de Salud del Principado de Asturias, en la representación que ostenta, solicitó que se le tuviera por personada en el presente recurso de amparo.</w:t>
      </w:r>
    </w:p>
    <w:p w:rsidR="00163957" w:rsidRDefault="00163957" w:rsidP="00163957">
      <w:pPr>
        <w:pStyle w:val="TextoNormal"/>
      </w:pPr>
    </w:p>
    <w:p w:rsidR="00163957" w:rsidRDefault="00163957" w:rsidP="00163957">
      <w:pPr>
        <w:pStyle w:val="TextoNormal"/>
      </w:pPr>
      <w:r w:rsidRPr="00163957">
        <w:rPr>
          <w:rStyle w:val="NumeroAFNegritaCaracter"/>
        </w:rPr>
        <w:t>6</w:t>
      </w:r>
      <w:r>
        <w:t>. Por diligencia de ordenación de 2 de diciembre de 2014 de la Secretaría de Justicia de la Sala Segunda de este Tribunal se tuvo por personada y parte en el procedimiento a la Letrada del Servicio de Salud del Principado de Asturias y, asimismo, se acordó dar vista de las actuaciones recibidas a las partes personadas y al Ministerio Fiscal por plazo común de veinte días, para que, dentro de dicho término, pudieran presentar las alegaciones que estimasen pertinentes, conforme al art. 52.1 LOTC.</w:t>
      </w:r>
    </w:p>
    <w:p w:rsidR="00163957" w:rsidRDefault="00163957" w:rsidP="00163957">
      <w:pPr>
        <w:pStyle w:val="TextoNormal"/>
      </w:pPr>
    </w:p>
    <w:p w:rsidR="00163957" w:rsidRDefault="00163957" w:rsidP="00163957">
      <w:pPr>
        <w:pStyle w:val="TextoNormal"/>
      </w:pPr>
      <w:r w:rsidRPr="00163957">
        <w:rPr>
          <w:rStyle w:val="NumeroAFNegritaCaracter"/>
        </w:rPr>
        <w:t>7</w:t>
      </w:r>
      <w:r>
        <w:t>. La representación procesal de la demandante de amparo formuló sus alegaciones, mediante escrito que tuvo entrada en el Registro General de este Tribunal el día 5 de enero de 2015, en el que se reafirma en las pretensiones y alegaciones de la demanda de amparo.</w:t>
      </w:r>
    </w:p>
    <w:p w:rsidR="00163957" w:rsidRDefault="00163957" w:rsidP="00163957">
      <w:pPr>
        <w:pStyle w:val="TextoNormal"/>
      </w:pPr>
    </w:p>
    <w:p w:rsidR="00163957" w:rsidRDefault="00163957" w:rsidP="00163957">
      <w:pPr>
        <w:pStyle w:val="TextoNormal"/>
      </w:pPr>
      <w:r w:rsidRPr="00163957">
        <w:rPr>
          <w:rStyle w:val="NumeroAFNegritaCaracter"/>
        </w:rPr>
        <w:t>8</w:t>
      </w:r>
      <w:r>
        <w:t>. Por escrito registrado ante este Tribunal el 13 de enero de 2015, la Letrada del Servicio de Salud del Principado de Asturias presentó sus alegaciones en petición de que fuera denegado el amparo. Considera que las negativas a las dos solicitudes de sustitución presentadas están plenamente motivadas y, al respecto, aduce que, una vez fijados los servicios mínimos, los trabajadores designados tienen obligación de cumplirlos, sin que resulte razonable eximirles de tal deber, sustituyéndolos por otros trabajadores en atención al seguimiento que exista de la huelga ya que, entre otras razones, tal circunstancial conllevaría un grave riesgo para el aseguramiento de la efectividad de los servicios esenciales, pudiendo generarse un caos en su prestación dado el elevado número de trabajadores y las dimensiones del Servicio Público de Salud del Principado de Asturias, no pudiendo el mismo día de la huelga “pararse” la Administración en sustituir a unos trabajadores por otros preparando nuevas designaciones, notificaciones, etc., para garantizar la prestación sanitaria.</w:t>
      </w:r>
    </w:p>
    <w:p w:rsidR="00163957" w:rsidRDefault="00163957" w:rsidP="00163957">
      <w:pPr>
        <w:pStyle w:val="TextoNormal"/>
      </w:pPr>
    </w:p>
    <w:p w:rsidR="00163957" w:rsidRDefault="00163957" w:rsidP="00163957">
      <w:pPr>
        <w:pStyle w:val="TextoNormal"/>
      </w:pPr>
      <w:r w:rsidRPr="00163957">
        <w:rPr>
          <w:rStyle w:val="NumeroAFNegritaCaracter"/>
        </w:rPr>
        <w:t>9</w:t>
      </w:r>
      <w:r>
        <w:t>. También, mediante escrito registrado el día 13 de enero de 2015, el Fiscal ante el Tribunal Constitucional interesó que, con suspensión del plazo para formular alegaciones, se acordara reclamar certificación o fotocopia adverada del expediente administrativo del que trae causa el proceso contencioso-administrativo origen de este recurso de amparo.</w:t>
      </w:r>
    </w:p>
    <w:p w:rsidR="00163957" w:rsidRDefault="00163957" w:rsidP="00163957">
      <w:pPr>
        <w:pStyle w:val="TextoNormal"/>
      </w:pPr>
    </w:p>
    <w:p w:rsidR="00163957" w:rsidRDefault="00163957" w:rsidP="00163957">
      <w:pPr>
        <w:pStyle w:val="TextoNormal"/>
      </w:pPr>
      <w:r w:rsidRPr="00163957">
        <w:rPr>
          <w:rStyle w:val="NumeroAFNegritaCaracter"/>
        </w:rPr>
        <w:t>10</w:t>
      </w:r>
      <w:r>
        <w:t xml:space="preserve">. Por diligencia de ordenación de 14 de enero de 2015, la Secretaría de Justicia de la Sala Segunda del Tribunal acordó incorporar a lo actuado los escritos presentados por las partes personadas y el Ministerio Fiscal, así como librar comunicación al Servicio de Salud del Principado de Asturias, a fin de que expidiera y remitiera copia del expediente administrativo en el que se dictaron las resoluciones de la dirección médica del Hospital Universitario Central de Asturias de 15 y 20 de noviembre de 2012, que fueron causa de los autos </w:t>
      </w:r>
      <w:r>
        <w:lastRenderedPageBreak/>
        <w:t>sobre derechos fundamentales 363-2012 seguidos en el Juzgado de lo Contencioso-Administrativo núm. 3 de Oviedo.</w:t>
      </w:r>
    </w:p>
    <w:p w:rsidR="00163957" w:rsidRDefault="00163957" w:rsidP="00163957">
      <w:pPr>
        <w:pStyle w:val="TextoNormal"/>
      </w:pPr>
    </w:p>
    <w:p w:rsidR="00163957" w:rsidRDefault="00163957" w:rsidP="00163957">
      <w:pPr>
        <w:pStyle w:val="TextoNormal"/>
      </w:pPr>
      <w:r>
        <w:t>Mediante nueva diligencia de ordenación de la misma Secretaría de Justicia de 29 de enero de 2015 se acordó dar vista de las actuaciones recibidas a las partes personadas y al Ministerio Fiscal por nuevo plazo común de veinte días, conforme al art. 52.1 LOTC.</w:t>
      </w:r>
    </w:p>
    <w:p w:rsidR="00163957" w:rsidRDefault="00163957" w:rsidP="00163957">
      <w:pPr>
        <w:pStyle w:val="TextoNormal"/>
      </w:pPr>
    </w:p>
    <w:p w:rsidR="00163957" w:rsidRDefault="00163957" w:rsidP="00163957">
      <w:pPr>
        <w:pStyle w:val="TextoNormal"/>
      </w:pPr>
      <w:r w:rsidRPr="00163957">
        <w:rPr>
          <w:rStyle w:val="NumeroAFNegritaCaracter"/>
        </w:rPr>
        <w:t>11</w:t>
      </w:r>
      <w:r>
        <w:t>. En virtud de escrito registrado el día 18 de febrero de 2015 ante este Tribunal, el Ministerio Fiscal presentó sus alegaciones a favor del otorgamiento del amparo solicitado, por entender que las resoluciones de la dirección médica del Hospital Universitario Central de Asturias de 15 y 20 de noviembre de 2012, así como las sentencias a que dio lugar su impugnación habían vulnerado el derecho fundamental de huelga de la demandante.</w:t>
      </w:r>
    </w:p>
    <w:p w:rsidR="00163957" w:rsidRDefault="00163957" w:rsidP="00163957">
      <w:pPr>
        <w:pStyle w:val="TextoNormal"/>
      </w:pPr>
    </w:p>
    <w:p w:rsidR="00163957" w:rsidRDefault="00163957" w:rsidP="00163957">
      <w:pPr>
        <w:pStyle w:val="TextoNormal"/>
      </w:pPr>
      <w:r>
        <w:t>Al respecto, el Fiscal repasa la doctrina constitucional sobre el derecho de huelga, sus límites, los servicios mínimos, y la designación de las personas que deben realizar estos últimos, y a la luz de dicha doctrina, efectúa las siguientes consideraciones: i) que, aunque el derecho de huelga esté limitado por la necesidad de observar los servicios mínimos que mantengan los servicios esenciales, ello no significa, ni la supresión de tal derecho, ni el establecimiento de garantías destinadas a mantener un funcionamiento normal (STC 53/1986, FJ 3); ii) con cita de las SSTC 33/1981, FJ 4, y 296/2006, FJ 4, considera que deben observarse los criterios específicos para la fijación de los servicios mínimos, en cuanto que la concreta designación de los trabajadores por la empresa es aplicación y desarrollo de lo anterior, debiendo tener presente la necesidad de favorecer soluciones ponderadas y respetuosas con los derechos afectados; iii) afirma que la valoración de las medidas para la observancia de los servicios mínimos requiere un juicio ponderado en el que han de ser objeto de valoración las circunstancias concurrentes, debiendo constituir dicha ponderación uno de los elementos que permita enjuiciar la adecuación y proporcionalidad entre la protección del interés de la comunidad y la restricción impuesta al ejercicio del derecho de huelga (STC 53/1986); iv) en cuanto a la concreta designación de los trabajadores que deben desempeñar los servicios mínimos, alude a lo indicado en la STC 123/1990, FJ 2, afirmando que, en el caso examinado, la sustitución es a instancia del trabajador afectado, sin que pueda reputarse como sustitución interna (STC 33/2011, FJ 4); y v) indica que la doctrina constitucional admite la posibilidad de una sustitución como la propuesta por la recurrente, dando preferencia para la realización de los servicios esenciales a los trabajadores que decidan libremente no sumarse a la huelga convocada, tal y como deriva del ATC 304/1997, FJ 3, y la STC 123/1990, FJ 3, aun cuando, según esta última, ello no supone que pueda exigirse siempre a la empresa que excluya en principio de esos servicios a los trabajadores que deseen secundar la huelga.</w:t>
      </w:r>
    </w:p>
    <w:p w:rsidR="00163957" w:rsidRDefault="00163957" w:rsidP="00163957">
      <w:pPr>
        <w:pStyle w:val="TextoNormal"/>
      </w:pPr>
    </w:p>
    <w:p w:rsidR="00163957" w:rsidRDefault="00163957" w:rsidP="00163957">
      <w:pPr>
        <w:pStyle w:val="TextoNormal"/>
      </w:pPr>
      <w:r>
        <w:t xml:space="preserve">Desde la anterior perspectiva afirma que la negativa ahora enjuiciada, en tanto restrictiva de un derecho fundamental, requiere una motivación sustancial, conforme a la doctrina constitucional (STC 46/2014, FJ 4), citando específicamente la STC 53/1986, FJ 6, en que se exige que el acto por el que se determinan los servicios mínimos ha de ser adecuadamente motivado. En cuanto a las resoluciones administrativas impugnadas, el Fiscal considera que ambas efectúan una alusión genérica a las razones de la denegación, carente de todo soporte fáctico o razonamiento en apoyo de la misma, apreciando también una imprecisión en la relativa al día 16 de noviembre de 2012, al aludir a que la jornada de huelga ya estaba iniciada, dado que, aun cuando el período de huelga en días alternos se había iniciado el 6 </w:t>
      </w:r>
      <w:r>
        <w:lastRenderedPageBreak/>
        <w:t>de noviembre, la sustitución se solicitó y contestó el 15 de noviembre, anterior, por tanto, a la jornada de huelga afectada. Por ello, considera que se trata de una justificación genérica, huérfana de toda referencia al caso concreto, que bien podría aplicarse a cualquier convocatoria de huelga de análogas características, recordando que la STC 53/1986, FJ 6, consideró que no eran suficientes indicaciones genéricas, aplicables a cualquier conflicto y de las que no puedan derivarse criterios para enjuiciar la proporcionalidad de la restricción que al ejercicio del derecho de huelga se impone.</w:t>
      </w:r>
    </w:p>
    <w:p w:rsidR="00163957" w:rsidRDefault="00163957" w:rsidP="00163957">
      <w:pPr>
        <w:pStyle w:val="TextoNormal"/>
      </w:pPr>
    </w:p>
    <w:p w:rsidR="00163957" w:rsidRDefault="00163957" w:rsidP="00163957">
      <w:pPr>
        <w:pStyle w:val="TextoNormal"/>
      </w:pPr>
      <w:r>
        <w:t>Asimismo, añade que el trabajador afectado es el que asume las consecuencias del ejercicio del derecho de huelga, sin que se aprecie un perjuicio respecto de los que acuden a su trabajo voluntariamente, y sin que del uso de los modelos formalizados pueda derivarse, ni aparezca corroborado por los hechos, un seguimiento masivo y perturbador del cumplimiento de los servicios mínimos. Admite que, una vez iniciado el proceso contencioso-administrativo, se incorporó un informe justificativo del Subdirector de Gestión del Servicio de Salud del Principado de Asturias, si bien, dicho informe no puede subsanar las deficiencias de motivación de las resoluciones denegatorias, pues dicha motivación ha de existir en el momento de adoptarse la decisión (STC 53/1986, FJ 6); además, indica, el citado informe alude igualmente a aspectos generales del desarrollo previsible de la huelga, como es el número de designaciones de puestos de servicios mínimos en el hospital (414), pero sin aclarar por qué no es posible valorar la posibilidad de sustitución cuando solo existía una petición entre los cientos de servicios nombrados, ni en qué medida podía producirse esa dificultad o impedimento hipotético.</w:t>
      </w:r>
    </w:p>
    <w:p w:rsidR="00163957" w:rsidRDefault="00163957" w:rsidP="00163957">
      <w:pPr>
        <w:pStyle w:val="TextoNormal"/>
      </w:pPr>
    </w:p>
    <w:p w:rsidR="00163957" w:rsidRDefault="00163957" w:rsidP="00163957">
      <w:pPr>
        <w:pStyle w:val="TextoNormal"/>
      </w:pPr>
      <w:r>
        <w:t>A juicio del Fiscal, existen además elementos posteriores que avalarían la necesidad de una mayor ponderación de las circunstancias a la hora de responder a la petición de sustitución realizada: según las hojas de seguimiento de la huelga, la asistencia de los facultativos en la unidad de neumología ocupacional fue, respectivamente en los días 16 y 21 de noviembre de 2012, del 50 por 100 y del 100 por 100, lo que parece acercarse más a una situación de normalidad que a la existencia de unos servicios mínimos en caso de huelga; además, mediante escrito de 4 de febrero de 2013, se aporta por la recurrente justificación de dos anulaciones de servicios mínimos de dos facultativos del servicio de ginecología, aludiendo a que el número de facultativos trabajando excedía el de los fijados como servicios mínimos, lo que acredita la posibilidad de valoración individual en función de las circunstancias concurrentes y de una adecuada ponderación y sustitución.</w:t>
      </w:r>
    </w:p>
    <w:p w:rsidR="00163957" w:rsidRDefault="00163957" w:rsidP="00163957">
      <w:pPr>
        <w:pStyle w:val="TextoNormal"/>
      </w:pPr>
    </w:p>
    <w:p w:rsidR="00163957" w:rsidRDefault="00163957" w:rsidP="00163957">
      <w:pPr>
        <w:pStyle w:val="TextoNormal"/>
      </w:pPr>
      <w:r>
        <w:t>Por todo lo dicho, el Fiscal concluye que, en este caso, no constan las razones de las denegaciones impugnadas, cuando la alternativa propuesta es una medida que, por sí misma, no es necesariamente perturbadora de la prestación de los servicios mínimos y comporta un criterio que salvaguarda en la medida de lo posible el derecho invocado. Afirma que se ha acudido a una justificación por vía de hipótesis, que lleva a adoptar la medida más restrictiva del derecho de huelga, que aparece como desproporcionada por no justificada. Considera, en fin, que las resoluciones impugnadas carecen de una ponderación adecuada en la forma de ejecución de los servicios mínimos ante una petición puntual de sustitución, sin que se proceda a una evaluación de las circunstancias, que sea conciliadora de los derechos en conflicto, por lo que la ausencia de una motivación adecuada lesiona el derecho de huelga.</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12</w:t>
      </w:r>
      <w:r>
        <w:t>. Por la representación procesal de la recurrente se presentó nuevo escrito registrado ante este Tribunal el 27 de febrero de 2015, en el que vuelve a reafirmarse en las pretensiones y alegaciones contenidas en el escrito de interposición del recurso de amparo, dando las mismas por reproducidas.</w:t>
      </w:r>
    </w:p>
    <w:p w:rsidR="00163957" w:rsidRDefault="00163957" w:rsidP="00163957">
      <w:pPr>
        <w:pStyle w:val="TextoNormal"/>
      </w:pPr>
    </w:p>
    <w:p w:rsidR="00163957" w:rsidRDefault="00163957" w:rsidP="00163957">
      <w:pPr>
        <w:pStyle w:val="TextoNormal"/>
      </w:pPr>
      <w:r w:rsidRPr="00163957">
        <w:rPr>
          <w:rStyle w:val="NumeroAFNegritaCaracter"/>
        </w:rPr>
        <w:t>13</w:t>
      </w:r>
      <w:r>
        <w:t>. Por providencia de 10 de marzo de 2016, 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el presente recurso de amparo, la demandante —personal estatutario con categoría de facultativa especialista de área de neumología— impugna las resoluciones de la dirección médica del Hospital Universitario Central de Asturias de 15 y 20 de noviembre de 2012, que desestimaron otros tantos escritos presentados por la recurrente en aquellas mismas fechas; en dichos escritos la actora había solicitado ser sustituida en su designación como personal asignado a cubrir los servicios mínimos en las jornadas de huelga convocadas para los días 16 y 21 de dicho mes y año, tras expresar su deseo de ejercer su derecho a la huelga en el supuesto de que dichos servicios mínimos pudieran ser cubiertos por personal de su misma categoría y servicio que decidiera no sumarse a la convocatoria de paro. La pretensión de la actora se formuló en el marco de la huelga convocada para los médicos y demás facultativos empleados en el ámbito de atención primaria y atención especializada de las instituciones sanitarias del Servicio de Salud del Principado de Asturias, a desarrollar, en jornadas de veinticuatro horas, los días 6, 7, 9, 12, 14, 16, 19, 21, 23, 26, 28 y 30 de noviembre de 2012.</w:t>
      </w:r>
    </w:p>
    <w:p w:rsidR="00163957" w:rsidRDefault="00163957" w:rsidP="00163957">
      <w:pPr>
        <w:pStyle w:val="TextoNormal"/>
      </w:pPr>
    </w:p>
    <w:p w:rsidR="00163957" w:rsidRDefault="00163957" w:rsidP="00163957">
      <w:pPr>
        <w:pStyle w:val="TextoNormal"/>
      </w:pPr>
      <w:r>
        <w:t>a) Para la demandante de amparo, las resoluciones administrativas recurridas han vulnerado su derecho fundamental a la huelga reconocido en el art. 28.2 CE, por las razones que se han expuesto de modo detallado en los antecedentes y que, de modo resumido, se ciñen, de una parte, a haber tenido que asistir a la prestación de los servicios mínimos en las fechas en que fue designada para su cobertura, cuando, de modo anticipado, había anunciado que deseaba secundar la huelga convocada y que, si había otros facultativos que no participaran en el paro convocado y que fueran suficientes para la cobertura del servicio, se procediera anticipadamente a su sustitución, lo que así aconteció en las fechas de referencia, por lo que la dirección del hospital podría haberlo así solucionado y no lo hizo. Y, de otro lado, la actora muestra también su desacuerdo con la argumentación esgrimida por las sentencias judiciales que, asimismo, desestimaron su impugnación y confirmaron la adecuación a derecho de las resoluciones administrativas. No obstante, pese a las discrepancias expresadas —con alusión, entre otros aspectos, a los resultados de la prueba practicada en el proceso o a los reproches dirigidos a la suficiencia y adecuación del escrito de interposición del recurso de apelación presentado—, lo cierto es que la recurrente no imputa a estos pronunciamientos judiciales ninguna lesión autónoma de derechos fundamentales, dado que la demanda concreta que estamos ante un recurso interpuesto al amparo del art. 43 de la Ley Orgánica del Tribunal Constitucional (LOTC), precisando en el encabezamiento y el suplico que, como ya se ha dicho, el objeto de la impugnación son las referidas resoluciones de la dirección médica del hospital por vulneración del derecho a la huelga reconocido en el art. 28.2 CE. Esta cuestión, por tanto, será la que habrá de recibir respuesta en nuestra resolución.</w:t>
      </w:r>
    </w:p>
    <w:p w:rsidR="00163957" w:rsidRDefault="00163957" w:rsidP="00163957">
      <w:pPr>
        <w:pStyle w:val="TextoNormal"/>
      </w:pPr>
    </w:p>
    <w:p w:rsidR="00163957" w:rsidRDefault="00163957" w:rsidP="00163957">
      <w:pPr>
        <w:pStyle w:val="TextoNormal"/>
      </w:pPr>
      <w:r>
        <w:t>b) Frente a las alegaciones de la demandante de amparo, la Letrada del Servicio de Salud del Principado de Asturias solicita la desestimación del recurso, al considerar que las resoluciones impugnadas no vulneran el art. 28.2 CE, aduciendo el caos en la prestación de los servicios mínimos que la pretensión de la demandante habría ocasionado, dado el elevado número de trabajadores y las dimensiones de dicho Servicio de Salud, con el consiguiente riesgo para la garantía de los servicios esenciales.</w:t>
      </w:r>
    </w:p>
    <w:p w:rsidR="00163957" w:rsidRDefault="00163957" w:rsidP="00163957">
      <w:pPr>
        <w:pStyle w:val="TextoNormal"/>
      </w:pPr>
    </w:p>
    <w:p w:rsidR="00163957" w:rsidRDefault="00163957" w:rsidP="00163957">
      <w:pPr>
        <w:pStyle w:val="TextoNormal"/>
      </w:pPr>
      <w:r>
        <w:t>c) Finalmente, el Ministerio Fiscal interesa, en cambio, la estimación del recurso de amparo, por apreciar que las resoluciones administrativas impugnadas conculcan el derecho a la huelga de la actora. En tal sentido arguye que la cuestión ha de valorarse desde la perspectiva de que la doctrina constitucional admite la posibilidad de una sustitución como la propuesta por la recurrente, dando preferencia para la realización de los servicios esenciales a los trabajadores que decidan libremente no sumarse a la huelga convocada, de acuerdo con lo indicado en la STC 123/1990, de 2 de julio, FJ 3. Desde esta óptica indica que la negativa enjuiciada, en tanto restrictiva de un derecho fundamental, requiere una motivación sustancial, y con apoyo en la jurisprudencia constitucional sobre la fundamentación exigida a los actos de la autoridad gubernativa de fijación de los servicios mínimos, concluye que, en este caso, la motivación incluida en las resoluciones recurridas resulta genérica, sin referencia al caso concreto y sin una ponderación adecuada, habiéndose adoptado la medida más limitativa del derecho de huelga, que considera desproporcionada por no justificada.</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Aunque las partes comparecidas no han puesto en duda que concurra el requisito de admisión previsto en los arts. 49.1 y 50.1 b) de nuestra Ley Orgánica reguladora, exigencias de certeza y buena administración de justicia (STEDH de 20 de enero de 2015, caso </w:t>
      </w:r>
      <w:r w:rsidRPr="00163957">
        <w:rPr>
          <w:i/>
        </w:rPr>
        <w:t>Arribas Antón contra España</w:t>
      </w:r>
      <w:r>
        <w:t>, apartado 46) obligan a explicitar el cumplimiento del mismo, a efectos de que los supuestos de especial trascendencia constitucional establecidos con carácter general por este Tribunal en su STC 155/2009, de 25 de junio, ,FJ 2, pasen a ser plenamente recognoscibles para todos los ciudadanos que pretendan acceder al recurso de amparo.</w:t>
      </w:r>
    </w:p>
    <w:p w:rsidR="00163957" w:rsidRDefault="00163957" w:rsidP="00163957">
      <w:pPr>
        <w:pStyle w:val="TextoNormal"/>
      </w:pPr>
    </w:p>
    <w:p w:rsidR="00163957" w:rsidRDefault="00163957" w:rsidP="00163957">
      <w:pPr>
        <w:pStyle w:val="TextoNormal"/>
      </w:pPr>
      <w:r>
        <w:t>En el presente caso, la especial trascendencia constitucional de este recurso se fundamenta en la necesidad de emitir un pronunciamiento sobre una particular cuestión que afecta al derecho fundamental de huelga reconocido en el art. 28.2 CE y que no ha tenido ocasión de abordar con anterioridad este Tribunal. En concreto, la problemática ahora suscitada alude a la posibilidad de ser relevada una determinada empleada pública, en este caso una facultativa perteneciente al personal estatutario de la Administración, de su condición de designada para la prestación de servicios mínimos en una actividad pública de interés esencial para la comunidad (servicio sanitario), cuando aquélla ha expresado su intención de ejercitar el derecho de huelga en el día de asignación, para el caso de que, llegada esa fecha, que, en el caso de autos eran las siguientes a las de la puesta de manifiesto de aquella decisión, sea relevada de tal prestación por haber concurrido a su puesto de trabajo otros profesionales sanitarios, compañeros suyos en el área asistencial, que no han secundado la huelga.</w:t>
      </w:r>
    </w:p>
    <w:p w:rsidR="00163957" w:rsidRDefault="00163957" w:rsidP="00163957">
      <w:pPr>
        <w:pStyle w:val="TextoNormal"/>
      </w:pPr>
    </w:p>
    <w:p w:rsidR="00163957" w:rsidRDefault="00163957" w:rsidP="00163957">
      <w:pPr>
        <w:pStyle w:val="TextoNormal"/>
      </w:pPr>
      <w:r>
        <w:t xml:space="preserve">El supuesto de hecho, así enunciado, permite a este Tribunal perfilar o aclarar el alcance de su doctrina sobre la particular situación en que, con ocasión de una convocatoria de huelga que afecte a un servicio esencial para la comunidad, necesitado, por tanto, del establecimiento de servicios mínimos, algún empleado o trabajador inicialmente designado para la prestación de dichos servicios haya solicitado ser sustituido en dicha prestación por otro </w:t>
      </w:r>
      <w:r>
        <w:lastRenderedPageBreak/>
        <w:t>compañero que no haya secundado la huelga. En el caso de autos concurre, pues, la causa a) recogida en el fundamento jurídico 2 de la STC 155/2009, de 25 de junio, esto es, la de hallarnos en el caso de resolver un recurso “que plantee un problema o una faceta de un derecho fundamental susceptible de amparo sobre el que no haya doctrina del Tribunal Constitucional”.</w:t>
      </w:r>
    </w:p>
    <w:p w:rsidR="00163957" w:rsidRDefault="00163957" w:rsidP="00163957">
      <w:pPr>
        <w:pStyle w:val="TextoNormal"/>
      </w:pPr>
    </w:p>
    <w:p w:rsidR="00163957" w:rsidRDefault="00163957" w:rsidP="00163957">
      <w:pPr>
        <w:pStyle w:val="TextoNormal"/>
      </w:pPr>
      <w:r w:rsidRPr="00163957">
        <w:rPr>
          <w:rStyle w:val="NumeroAFNegritaCaracter"/>
        </w:rPr>
        <w:t>3</w:t>
      </w:r>
      <w:r>
        <w:t>. Una vez delimitadas las posiciones de las partes y del Ministerio Fiscal, así como apreciada, también, la especial trascendencia constitucional de este recurso respecto de la cuestión planteada, hay que empezar su enjuiciamiento señalando que, conforme al art. 18 de la Ley 55/2003, de 16 de diciembre, del estatuto marco del personal estatutario de los servicios de salud, “el personal estatutario ostenta, en los términos establecidos en la Constitución y en la legislación específicamente aplicable” el derecho “a la huelga, garantizándose en todo caso el mantenimiento de los servicios que resulten esenciales para la atención sanitaria a la población” —previsión análoga a la contenida en la Ley del estatuto básico del empleado público, que asimismo reconoce el derecho de los empleados públicos “al ejercicio de la huelga, con la garantía del mantenimiento de los servicios esenciales de la comunidad” [arts. 2.4 y 15 c) del Real Decreto Legislativo 5/2015, de 30 de octubre]—. Pues bien, como ya hemos hecho en otros aspectos relacionados con el ejercicio del derecho de huelga por este personal (STC 58/2013, de 11 de marzo), también en este caso procede resolver si las resoluciones recurridas resultan respetuosas con el art. 28.2 CE.</w:t>
      </w:r>
    </w:p>
    <w:p w:rsidR="00163957" w:rsidRDefault="00163957" w:rsidP="00163957">
      <w:pPr>
        <w:pStyle w:val="TextoNormal"/>
      </w:pPr>
    </w:p>
    <w:p w:rsidR="00163957" w:rsidRDefault="00163957" w:rsidP="00163957">
      <w:pPr>
        <w:pStyle w:val="TextoNormal"/>
      </w:pPr>
      <w:r>
        <w:t>Para ello, y dado que la queja de la recurrente está relacionada con su designación como personal para cubrir los servicios mínimos fijados, hemos de recordar que, además de reconocer el derecho a la huelga, el art. 28.2 CE también dispone que “[l]a ley que regule el ejercicio de este derecho establecerá las garantías precisas para asegurar el mantenimiento de los servicios esenciales de la comunidad”. En pronunciamientos previos, este Tribunal ya ha destacado que el establecimiento de tales garantías del mantenimiento de los servicios esenciales constituye una limitación expresa al derecho a la huelga, habiendo afirmado que “[e]l derecho de la comunidad a estas prestaciones vitales es prioritario respecto del derecho a la huelga” (SSTC 11/1981, de 8 de abril, FJ 18; 53/1986, de 5 de mayo, FJ 3, y 43/1990, de 15 de marzo, FJ 5).</w:t>
      </w:r>
    </w:p>
    <w:p w:rsidR="00163957" w:rsidRDefault="00163957" w:rsidP="00163957">
      <w:pPr>
        <w:pStyle w:val="TextoNormal"/>
      </w:pPr>
    </w:p>
    <w:p w:rsidR="00163957" w:rsidRDefault="00163957" w:rsidP="00163957">
      <w:pPr>
        <w:pStyle w:val="TextoNormal"/>
      </w:pPr>
      <w:r>
        <w:t>En ausencia hasta el momento de ley posconstitucional reguladora del ejercicio del derecho de huelga, la principal técnica que viene utilizándose para garantizar el mantenimiento de los referidos servicios esenciales es la de la fijación de los servicios mínimos a cumplir por los trabajadores, sobre la que este Tribunal ha establecido ya una consolidada doctrina constitucional, de entre la que interesa ahora destacar los aspectos que siguen, a efectos de delimitar después con mayor precisión la cuestión jurídica a resolver.</w:t>
      </w:r>
    </w:p>
    <w:p w:rsidR="00163957" w:rsidRDefault="00163957" w:rsidP="00163957">
      <w:pPr>
        <w:pStyle w:val="TextoNormal"/>
      </w:pPr>
    </w:p>
    <w:p w:rsidR="00163957" w:rsidRDefault="00163957" w:rsidP="00163957">
      <w:pPr>
        <w:pStyle w:val="TextoNormal"/>
      </w:pPr>
      <w:r>
        <w:t xml:space="preserve">a) Una primera idea a señalar es que, conforme a nuestra jurisprudencia constitucional, los servicios mínimos han de ser fijados por la autoridad gubernativa, debiendo tener presente al determinar su alcance que, en la adopción de las medidas que garanticen el mantenimiento de los servicios esenciales, “[e]s imprescindible … ponderar las concretas circunstancias concurrentes en la huelga, así como las necesidades del servicio y la naturaleza de los derechos o bienes constitucionalmente protegidos sobre los que aquélla repercute, de modo que exista una razonable proporción entre los sacrificios impuestos a los huelguistas y los que padezcan los usuarios de los servicios esenciales” (STC 148/1993, de 29 de abril, </w:t>
      </w:r>
      <w:r>
        <w:lastRenderedPageBreak/>
        <w:t>FJ 5). Asimismo, en atención a la doctrina constitucional que requiere la exigencia de motivación en las medidas restrictivas de un derecho constitucional (STC 26/1981, de 17 de julio, FJ 14), hemos venido entendiendo que ese acto de la autoridad gubernativa por el que determina las prestaciones mínimas ha de estar adecuadamente motivado, debiendo hacer explícitos, siquiera sea sucintamente, los factores o criterios seguidos para fijar el nivel de tales servicios, “siendo insuficientes a este propósito las indicaciones genéricas que pueden predicarse de cualquier conflicto o de cualquier actividad, y de las cuales no quepa inferir criterio para enjuiciar la ordenación y la proporcionalidad de la restricción que al ejercicio del derecho de huelga se impone” (por todas, STC 193/2006, de 19 de junio, FJ 2).</w:t>
      </w:r>
    </w:p>
    <w:p w:rsidR="00163957" w:rsidRDefault="00163957" w:rsidP="00163957">
      <w:pPr>
        <w:pStyle w:val="TextoNormal"/>
      </w:pPr>
    </w:p>
    <w:p w:rsidR="00163957" w:rsidRDefault="00163957" w:rsidP="00163957">
      <w:pPr>
        <w:pStyle w:val="TextoNormal"/>
      </w:pPr>
      <w:r>
        <w:t>En el supuesto ahora enjuiciado, la decisión gubernativa de fijación de servicios mínimos se adoptó mediante resolución de la Consejería de Sanidad del Principado de Asturias de 2 de noviembre de 2012, en la que, por lo que ahora interesa, se concretó que, dentro del Hospital Universitario Central de Asturias, la prestación de servicios mínimos en la unidad de neumología ocupacional a la que pertenece la recurrente se realizaría por un facultativo en turno de mañana.</w:t>
      </w:r>
    </w:p>
    <w:p w:rsidR="00163957" w:rsidRDefault="00163957" w:rsidP="00163957">
      <w:pPr>
        <w:pStyle w:val="TextoNormal"/>
      </w:pPr>
    </w:p>
    <w:p w:rsidR="00163957" w:rsidRDefault="00163957" w:rsidP="00163957">
      <w:pPr>
        <w:pStyle w:val="TextoNormal"/>
      </w:pPr>
      <w:r>
        <w:t>b) Junto a lo dicho, este Tribunal también ha señalado que, una vez fijados los servicios mínimos por la autoridad gubernativa, nada impide que su ejecución o puesta en práctica discurra por los cauces propios de la autonomía colectiva o se confíe a los órganos de dirección y gestión de la entidad afectada (SSTC 27/1989, de 3 de febrero, FJ 3; 53/1986, de 5 de mayo, FJ 5; y 296/2006, de 11 de octubre, FJ 4). Así, con relación a esta última posibilidad hemos afirmado que “[l]a empresa puede completar técnica y funcionalmente las previsiones de la disposición sobre mantenimiento de los servicios esenciales … y a ella puede confiarse también su puesta en práctica” (SSTC 8/1992, de 16 de enero, FJ 4, y 193/2006, FJ 10).</w:t>
      </w:r>
    </w:p>
    <w:p w:rsidR="00163957" w:rsidRDefault="00163957" w:rsidP="00163957">
      <w:pPr>
        <w:pStyle w:val="TextoNormal"/>
      </w:pPr>
    </w:p>
    <w:p w:rsidR="00163957" w:rsidRDefault="00163957" w:rsidP="00163957">
      <w:pPr>
        <w:pStyle w:val="TextoNormal"/>
      </w:pPr>
      <w:r>
        <w:t>A tal objeto, en el caso que ahora nos ocupa, los órganos de dirección de la entidad hospitalaria comunicaron a la ahora recurrente su nombramiento como personal designado para cubrir los servicios mínimos correspondientes a las jornadas de huelga de los días 16 y 21 de noviembre de 2012, generándose para ella, de este modo, el deber de su cumplimiento (STC 123/1990, de 2 de julio, FJ 5).</w:t>
      </w:r>
    </w:p>
    <w:p w:rsidR="00163957" w:rsidRDefault="00163957" w:rsidP="00163957">
      <w:pPr>
        <w:pStyle w:val="TextoNormal"/>
      </w:pPr>
    </w:p>
    <w:p w:rsidR="00163957" w:rsidRDefault="00163957" w:rsidP="00163957">
      <w:pPr>
        <w:pStyle w:val="TextoNormal"/>
      </w:pPr>
      <w:r>
        <w:t>c) Estas dos decisiones indicadas —la resolución de fijación de los servicios mínimos por la autoridad gubernativa y la designación de la demandante como personal asignado a su prestación— son los actos que, ya sea con carácter colectivo o individual, restringen de forma inicial y directa el derecho a la huelga de los convocados, en aras al fin legítimo de garantizar el mantenimiento de los servicios esenciales de la comunidad. Ni una ni otra decisión constituye, sin embargo, el objeto de la impugnación formulada por la recurrente ante la jurisdicción ordinaria y ahora traída a este Tribunal. Por el contrario, la queja aquí planteada se dirige frente a dos decisiones posteriores adoptadas por la dirección médica del hospital en respuesta a sendas solicitudes presentadas por la ahora demandante de amparo, en las que, sin cobertura expresa en la actual normativa sobre huelga —que guarda silencio al respecto—, requería ser sustituida en su previa designación como personal encargado de cumplir los servicios mínimos en los días 16 y 21 de noviembre de 2012, para el caso de que pudieran hacerlos otros empleados que no se sumaran a la huelga.</w:t>
      </w:r>
    </w:p>
    <w:p w:rsidR="00163957" w:rsidRDefault="00163957" w:rsidP="00163957">
      <w:pPr>
        <w:pStyle w:val="TextoNormal"/>
      </w:pPr>
    </w:p>
    <w:p w:rsidR="00163957" w:rsidRDefault="00163957" w:rsidP="00163957">
      <w:pPr>
        <w:pStyle w:val="TextoNormal"/>
      </w:pPr>
      <w:r>
        <w:lastRenderedPageBreak/>
        <w:t>Exactamente, en el escrito presentado el día 15 de noviembre de 2012 con relación a la jornada de huelga del día siguiente, la recurrente manifestaba en el punto segundo de su escrito dirigido a la dirección médica del hospital “que quiere notificar antes de que se inicie la jornada de huelga que el/la compareciente desea ejercer su derecho fundamental a la huelga en el supuesto de que los mínimos pudieran ser cubiertos por personal de su misma categoría y servicio que decidan no hacer huelga, solicitando al efecto que se produzca la correspondiente sustitución en dicha asignación de mínimos”. Asimismo, añadía que, presentada la petición por escrito, solicitaba respuesta fundamentada por el mismo conducto. Idéntica solicitud dirigió la demandante el día 20 de noviembre de 2012 con relación a la jornada de huelga convocada para el día 21 del mismo mes y año.</w:t>
      </w:r>
    </w:p>
    <w:p w:rsidR="00163957" w:rsidRDefault="00163957" w:rsidP="00163957">
      <w:pPr>
        <w:pStyle w:val="TextoNormal"/>
      </w:pPr>
    </w:p>
    <w:p w:rsidR="00163957" w:rsidRDefault="00163957" w:rsidP="00163957">
      <w:pPr>
        <w:pStyle w:val="TextoNormal"/>
      </w:pPr>
      <w:r>
        <w:t>Como respuesta por parte de la directora del Hospital Universitario Central de Asturias, los mismos días 15 y 20 de noviembre de 2012 se formalizaron sendos escritos dirigidos a la recurrente, en los términos que hemos reflejado en los antecedentes y que eran casi idénticos en ambos casos, con las únicas variaciones de que, en el primero de ellos, fechado el día 15 de noviembre, se hacía constar que la solicitud había sido presentada a las 14:15 horas del indicado día y se indicaba también, aunque de modo erróneo, que no era posible atenderla porque la jornada de huelga estaba ya iniciada, pero argumentando los dos escritos que el motivo de la denegación era que “su cambio dificultaría o impediría la observancia de los servicios mínimos precisos para garantizar el cumplimiento del servicio público esencial encomendado a esta institución”.</w:t>
      </w:r>
    </w:p>
    <w:p w:rsidR="00163957" w:rsidRDefault="00163957" w:rsidP="00163957">
      <w:pPr>
        <w:pStyle w:val="TextoNormal"/>
      </w:pPr>
    </w:p>
    <w:p w:rsidR="00163957" w:rsidRDefault="00163957" w:rsidP="00163957">
      <w:pPr>
        <w:pStyle w:val="TextoNormal"/>
      </w:pPr>
      <w:r>
        <w:t>d) Estos dos escritos desestimatorios de la dirección médica del hospital constituyen, en fin, las resoluciones impugnadas en el presente recurso de amparo, a las que la recurrente imputa la vulneración del derecho a la huelga reconocido en el art. 28.2 CE, en los términos ya indicados.</w:t>
      </w:r>
    </w:p>
    <w:p w:rsidR="00163957" w:rsidRDefault="00163957" w:rsidP="00163957">
      <w:pPr>
        <w:pStyle w:val="TextoNormal"/>
      </w:pPr>
    </w:p>
    <w:p w:rsidR="00163957" w:rsidRDefault="00163957" w:rsidP="00163957">
      <w:pPr>
        <w:pStyle w:val="TextoNormal"/>
      </w:pPr>
      <w:r>
        <w:t>En su argumentación, la demanda de amparo indica que la cuestión aquí planteada no coincide ni encuentra respuesta en el pronunciamiento que, sobre designación de trabajadores para la cobertura de servicios mínimos, se realizó en la STC 123/1990, de 2 de julio. Por lo que ahora interesa, recordemos que, además de señalar que la pertenencia a un sindicato no es razón para eximir a un trabajador de la designación como garante de los servicios esenciales, esta Sentencia afirmó que “[n]o cabe negar que en determinadas circunstancias, en huelgas parciales o minoritarias de alguna duración el respeto al derecho de huelga puede llevar a dar preferencia para la realización de los servicios esenciales a los trabajadores que decidan libremente no sumarse a la huelga convocada. Sin embargo, esto no supone que pueda exigirse siempre y en todo caso a la empresa que excluya en principio de esos servicios a los trabajadores que deseen secundar la huelga. En la huelga que está en la base del presente caso, de muy breve duración, y en relación a una empresa de grandes dimensiones, resulta evidente que no existía ningún medio que permitiese a la dirección de la empresa conocer de antemano quiénes se iban a sumar o no a la huelga, para poder asignar preferentemente los servicios mínimos a los no huelguistas” (STC 123/1990, FJ 3, y con posterioridad, ATC 304/1997, de 17 de septiembre, FJ 3).</w:t>
      </w:r>
    </w:p>
    <w:p w:rsidR="00163957" w:rsidRDefault="00163957" w:rsidP="00163957">
      <w:pPr>
        <w:pStyle w:val="TextoNormal"/>
      </w:pPr>
    </w:p>
    <w:p w:rsidR="00163957" w:rsidRDefault="00163957" w:rsidP="00163957">
      <w:pPr>
        <w:pStyle w:val="TextoNormal"/>
      </w:pPr>
      <w:r>
        <w:t xml:space="preserve">Considera la recurrente que esta STC 123/1990 no aborda el tema a dilucidar en el actual recurso, dado que la pretensión aquí examinada de ser relevada de su condición de designada para la prestación de servicios mínimos no se formula como una solicitud de sustitución </w:t>
      </w:r>
      <w:r w:rsidRPr="00163957">
        <w:rPr>
          <w:i/>
        </w:rPr>
        <w:t>a priori</w:t>
      </w:r>
      <w:r>
        <w:t xml:space="preserve"> antes del inicio de la jornada de huelga, sino como una reasignación posterior </w:t>
      </w:r>
      <w:r>
        <w:lastRenderedPageBreak/>
        <w:t>cuando, ya comenzada la huelga, se comprueba que los servicios mínimos fijados pueden ser cubiertos por personal que no ha secundado la huelga.</w:t>
      </w:r>
    </w:p>
    <w:p w:rsidR="00163957" w:rsidRDefault="00163957" w:rsidP="00163957">
      <w:pPr>
        <w:pStyle w:val="TextoNormal"/>
      </w:pPr>
    </w:p>
    <w:p w:rsidR="00163957" w:rsidRDefault="00163957" w:rsidP="00163957">
      <w:pPr>
        <w:pStyle w:val="TextoNormal"/>
      </w:pPr>
      <w:r w:rsidRPr="00163957">
        <w:rPr>
          <w:rStyle w:val="NumeroAFNegritaCaracter"/>
        </w:rPr>
        <w:t>4</w:t>
      </w:r>
      <w:r>
        <w:t>. Así delimitados los presupuestos que determinan la cuestión debatida en este procedimiento, procede ya abordar su resolución y decidir si las resoluciones impugnadas son o no contrarias al derecho fundamental reconocido en el art. 28.2 CE.</w:t>
      </w:r>
    </w:p>
    <w:p w:rsidR="00163957" w:rsidRDefault="00163957" w:rsidP="00163957">
      <w:pPr>
        <w:pStyle w:val="TextoNormal"/>
      </w:pPr>
    </w:p>
    <w:p w:rsidR="00163957" w:rsidRDefault="00163957" w:rsidP="00163957">
      <w:pPr>
        <w:pStyle w:val="TextoNormal"/>
      </w:pPr>
      <w:r>
        <w:t>a) Con carácter inicial ha de advertirse que, aun cuando las respectivas demandas presentadas en la jurisdicción ordinaria y en el presente recurso de amparo insisten en que la pretensión de la recurrente causante del litigio era la de ser relevada de la realización de servicios mínimos una vez comenzadas las jornadas de huelga para las que había sido designada, lo cierto es que ya la Sentencia del Juzgado de lo Contencioso-Administrativo núm. 3 de Oviedo ponía de relieve el carácter ambiguo del texto de la solicitud presentada ante la dirección médica del hospital, cuyo tenor —antes reproducido— también permitía entender que lo requerido por la facultativa era ser sustituida antes de iniciarse las referidas jornadas de huelga. A ello contribuía que nada se decía en los escritos ni respecto al momento en que debía valorarse la existencia de personal no huelguista suficiente ni tampoco respecto a cuándo —antes o después de empezar las jornadas de huelga— pretendía la solicitante tener conocimiento de la decisión del hospital sobre su sustitución o no.</w:t>
      </w:r>
    </w:p>
    <w:p w:rsidR="00163957" w:rsidRDefault="00163957" w:rsidP="00163957">
      <w:pPr>
        <w:pStyle w:val="TextoNormal"/>
      </w:pPr>
    </w:p>
    <w:p w:rsidR="00163957" w:rsidRDefault="00163957" w:rsidP="00163957">
      <w:pPr>
        <w:pStyle w:val="TextoNormal"/>
      </w:pPr>
      <w:r>
        <w:t>b) Situados en esta posible interpretación de las solicitudes —esto es, entendidas como requerimiento de sustitución antes de iniciarse las jornadas de huelga—, hay que empezar señalando que la exigencia constitucional de garantizar el mantenimiento de los servicios esenciales requiere que la designación de los trabajadores encargados de su cumplimiento se realice con carácter previo al comienzo de las jornadas de huelga, a fin de asegurar que, durante el desarrollo de éstas, exista un número de trabajadores suficientes que puedan llevar a cabo tales servicios. Cierto es que una solución para alcanzar el óptimo equilibrio entre el derecho de huelga y los intereses de la comunidad sería, como deriva de la STC 123/1990, atribuir “preferencia para la realización de los servicios esenciales a los trabajadores que decidan libremente no sumarse a la huelga convocada”. Con todo, la propia STC 123/1990, FJ 3, ya dejaba ver que este criterio no constituía una exigencia en todo caso y que podía depender de ciertas circunstancias como el tipo y duración de la huelga o las propias dimensiones de la empresa, circunstancias que en definitiva posibilitaran constatar la imprescindible condición de que hubieran concurrido medios que permitieran a los sujetos encargados de la designación “conocer de antemano quiénes se iban a sumar o no a la huelga”.</w:t>
      </w:r>
    </w:p>
    <w:p w:rsidR="00163957" w:rsidRDefault="00163957" w:rsidP="00163957">
      <w:pPr>
        <w:pStyle w:val="TextoNormal"/>
      </w:pPr>
    </w:p>
    <w:p w:rsidR="00163957" w:rsidRDefault="00163957" w:rsidP="00163957">
      <w:pPr>
        <w:pStyle w:val="TextoNormal"/>
      </w:pPr>
      <w:r>
        <w:t xml:space="preserve">El propio respeto al contenido del derecho de huelga dificulta, no obstante, la presencia de este último presupuesto. Como ya afirmamos en la STC 11/1981, de 8 de abril, FJ 11, el derecho de huelga es un derecho atribuido a los trabajadores </w:t>
      </w:r>
      <w:r w:rsidRPr="00163957">
        <w:rPr>
          <w:i/>
        </w:rPr>
        <w:t>uti singuli</w:t>
      </w:r>
      <w:r>
        <w:t>, de modo que “a cada uno de ellos corresponde el derecho de sumarse o no a las huelgas declaradas”, decisión ésta que pueden adoptar tanto en cualquier momento anterior a su inicio, como también durante su transcurso. No existe, por tanto, un momento determinado previo a la huelga en que necesariamente se adquiera la condición de trabajador “no huelguista”, ni tampoco tal condición resultaría inmodificable. Además, ni sobre el trabajador pesa obligación normativa alguna de comunicar al empresario su decisión de adherirse o no a la convocatoria de huelga, ni tampoco sobre la empresa la facultad de indagar a este respecto.</w:t>
      </w:r>
    </w:p>
    <w:p w:rsidR="00163957" w:rsidRDefault="00163957" w:rsidP="00163957">
      <w:pPr>
        <w:pStyle w:val="TextoNormal"/>
      </w:pPr>
    </w:p>
    <w:p w:rsidR="00163957" w:rsidRDefault="00163957" w:rsidP="00163957">
      <w:pPr>
        <w:pStyle w:val="TextoNormal"/>
      </w:pPr>
      <w:r>
        <w:lastRenderedPageBreak/>
        <w:t>No cabe descartar la posibilidad de arbitrar procedimientos mediante los que, en cada huelga, los trabajadores puedan manifestar voluntariamente su disponibilidad para ser designados como personal encargado del mantenimiento de los servicios esenciales, medida esta que facilitaría la aplicación del referido criterio de asignar preferentemente los servicios mínimos a quienes libremente decidan no sumarse a la huelga convocada y, de este modo, tratar de tender al mínimo sacrificio posible del derecho de huelga. Sin embargo, la actual legislación sobre huelga no prevé ningún protocolo de actuación en tal sentido.</w:t>
      </w:r>
    </w:p>
    <w:p w:rsidR="00163957" w:rsidRDefault="00163957" w:rsidP="00163957">
      <w:pPr>
        <w:pStyle w:val="TextoNormal"/>
      </w:pPr>
    </w:p>
    <w:p w:rsidR="00163957" w:rsidRDefault="00163957" w:rsidP="00163957">
      <w:pPr>
        <w:pStyle w:val="TextoNormal"/>
      </w:pPr>
      <w:r>
        <w:t>En definitiva, el conjunto de premisas indicadas dificulta cuando no impide, la posibilidad de que la dirección de la empresa —o los sujetos encargados de la designación— pueda conocer con antelación la postura de los trabajadores ante la convocatoria de huelga, lo que puede determinar que, antes de su inicio, resulte imposible hacer efectivo el criterio de asignar preferentemente los servicios mínimos a los “no huelguistas”. Y ello sucede, tanto en el momento de proceder al nombramiento de los trabajadores designados, como, en su caso, también con posterioridad, a efectos de atender eventuales solicitudes de reasignación.</w:t>
      </w:r>
    </w:p>
    <w:p w:rsidR="00163957" w:rsidRDefault="00163957" w:rsidP="00163957">
      <w:pPr>
        <w:pStyle w:val="TextoNormal"/>
      </w:pPr>
    </w:p>
    <w:p w:rsidR="00163957" w:rsidRDefault="00163957" w:rsidP="00163957">
      <w:pPr>
        <w:pStyle w:val="TextoNormal"/>
      </w:pPr>
      <w:r>
        <w:t>c) En consecuencia, trasladando estos razonamientos a la controversia ahora enjuiciada, cabe concluir que, ante la posible interpretación de la solicitud de la recurrente como requerimiento para que la sustitución se llevara a cabo antes de iniciarse las jornadas de huelga afectadas, la propia doctrina sentada en la STC 123/1990 proporciona acomodo a la denegación comunicada por la dirección médica del hospital, pues, al margen de la escasa antelación con que se efectuó la petición de cambio (la víspera de cada una de dichas jornadas de huelga), también aquí puede afirmarse que, en el supuesto que está en la base del presente proceso —jornadas de huelga intermitente de un día en un ente de las dimensiones del Hospital Universitario Central de Asturias—, resulta evidente que no existía ningún medio que permitiese a la dirección de la entidad conocer de antemano quiénes no iban a sumarse a la huelga en los días para los que se solicitaba el cambio. Y ello, habida cuenta de que, como se ha dicho, no existe deber normativo de los trabajadores de comunicar su decisión de adhesión o no, y tampoco constan en el caso elementos que conduzcan a una conclusión distinta a la indicada. Por tanto, siendo estos los presupuestos, ha de considerarse que la negativa de la dirección médica del hospital a la petición de sustitución resulta justificada, dado que, a fecha 15 y 20 de noviembre de 2012, no era posible constatar si en las respectivas jornadas de huelga convocadas para los días siguientes —16 y 21— habría suficiente personal no huelguista para cubrir los servicios mínimos fijados, cuyo necesario cumplimiento deriva del propio art. 28.2 CE. De este modo, el imperativo de asegurar la prestación de los servicios esenciales, máxime si cabe en atención a la trascendencia de los bienes protegidos en un ámbito como el de la sanidad, conduce a dotar de legitimidad a la respuesta denegatoria examinada.</w:t>
      </w:r>
    </w:p>
    <w:p w:rsidR="00163957" w:rsidRDefault="00163957" w:rsidP="00163957">
      <w:pPr>
        <w:pStyle w:val="TextoNormal"/>
      </w:pPr>
    </w:p>
    <w:p w:rsidR="00163957" w:rsidRDefault="00163957" w:rsidP="00163957">
      <w:pPr>
        <w:pStyle w:val="TextoNormal"/>
      </w:pPr>
      <w:r>
        <w:t xml:space="preserve">A esta necesaria garantía de los servicios esenciales aluden las resoluciones impugnadas de 15 y 20 de noviembre de 2012 cuando, para justificar la denegación de la solicitud presentada, arguyen la dificultad o impedimento de la observancia de los servicios mínimos que la sustitución pretendida comportaría, factor este que, en principio y como se ha visto, se evidencia en todo supuesto como consecuencia del propio régimen constitucional y normativo del derecho de huelga. En el enjuiciamiento de la motivación ofrecida, este dato resulta determinante, junto con otros factores que también cabe valorar a dicho efecto (STC 123/1990, FJ 3), tales como el ámbito de la huelga, su alcance y circunstancias temporales, o la secuencia temporal que medie entre el momento de designación del trabajador para la </w:t>
      </w:r>
      <w:r>
        <w:lastRenderedPageBreak/>
        <w:t>prestación de los servicios mínimos, el de la presentación de su solicitud de sustitución, el de la decisión denegatoria, y aquél en que haya de prestar los referidos servicios mínimos. Como ya se ha visto, tales factores se concretaban en este caso en una situación de huelga en el ámbito de la sanidad, que afectaba al conjunto del Hospital Universitario Central de Asturias en su totalidad (con más de cuatrocientos empleados designados para atender servicios mínimos en las distintas unidades), que se ejercía de forma intermitente en jornadas de un solo día, y en que la petición formulada por la recurrente se refería a una solicitud de sustitución de su previa designación como personal asignado a la prestación de servicios mínimos, cuya presentación se efectuó con apenas un día de antelación respecto a las jornadas para las que la recurrente solicitaba ser sustituida. Estas circunstancias venían a flexibilizar en el supuesto el rigor requerido a la motivación de los acuerdos de denegación cuestionados, en los que expresamente se aludía a la dificultad o impedimento para cubrir los servicios mínimos que la citada solicitud comportaría a efectos de garantizar el cumplimiento de los servicios esenciales, que es la razón que, por los motivos indicados, justifica la respuesta desestimatoria del hospital.</w:t>
      </w:r>
    </w:p>
    <w:p w:rsidR="00163957" w:rsidRDefault="00163957" w:rsidP="00163957">
      <w:pPr>
        <w:pStyle w:val="TextoNormal"/>
      </w:pPr>
    </w:p>
    <w:p w:rsidR="00163957" w:rsidRDefault="00163957" w:rsidP="00163957">
      <w:pPr>
        <w:pStyle w:val="TextoNormal"/>
      </w:pPr>
      <w:r>
        <w:t>En el presente supuesto y a la vista de las dos peticiones cursadas (en ambos supuestos con el mismo texto redactado mecanográficamente, con espacios para su personalización y expresión de las concretas fechas de la asignación de servicios mínimos y de la solicitud, para su rellenado a mano) y de la inmediatez de las fechas de su presentación a la dirección del hospital, hemos de concluir que las resoluciones recurridas han incluido una motivación adecuada, habida cuenta de todas las circunstancias expuestas, sin que merezca reproche constitucional en cuanto a su suficiencia.</w:t>
      </w:r>
    </w:p>
    <w:p w:rsidR="00163957" w:rsidRDefault="00163957" w:rsidP="00163957">
      <w:pPr>
        <w:pStyle w:val="TextoNormal"/>
      </w:pPr>
    </w:p>
    <w:p w:rsidR="00163957" w:rsidRDefault="00163957" w:rsidP="00163957">
      <w:pPr>
        <w:pStyle w:val="TextoNormal"/>
      </w:pPr>
      <w:r>
        <w:t>El hecho de que la contestación del día 15 incluyera la referencia a que “la jornada de huelga ya está iniciada”, siendo que la sustitución se requería para el día 16, no resta validez a esta afirmación, máxime si se tiene en cuenta que la controversia se plantea en el transcurso de una huelga intermitente que venía desarrollándose desde el 6 de noviembre de 2012, y dado que, de cualquier modo, el argumento relativo a la necesidad de asegurar el cumplimiento de los servicios mínimos presenta autonomía y mantiene su valor justificativo en todo caso.</w:t>
      </w:r>
    </w:p>
    <w:p w:rsidR="00163957" w:rsidRDefault="00163957" w:rsidP="00163957">
      <w:pPr>
        <w:pStyle w:val="TextoNormal"/>
      </w:pPr>
    </w:p>
    <w:p w:rsidR="00163957" w:rsidRDefault="00163957" w:rsidP="00163957">
      <w:pPr>
        <w:pStyle w:val="TextoNormal"/>
      </w:pPr>
      <w:r>
        <w:t>Consiguientemente, atendida la posible interpretación de las solicitudes como requerimiento de sustitución antes del inicio de las jornadas de huelga, y vista la justificación que para tal caso presenta la desestimación comunicada por la dirección médica del hospital, lo dicho hasta ahora bastaría para concluir que las resoluciones impugnadas no vulneran el derecho de huelga de la recurrente, con la consiguiente denegación del amparo.</w:t>
      </w:r>
    </w:p>
    <w:p w:rsidR="00163957" w:rsidRDefault="00163957" w:rsidP="00163957">
      <w:pPr>
        <w:pStyle w:val="TextoNormal"/>
      </w:pPr>
    </w:p>
    <w:p w:rsidR="00163957" w:rsidRDefault="00163957" w:rsidP="00163957">
      <w:pPr>
        <w:pStyle w:val="TextoNormal"/>
      </w:pPr>
      <w:r w:rsidRPr="00163957">
        <w:rPr>
          <w:rStyle w:val="NumeroAFNegritaCaracter"/>
        </w:rPr>
        <w:t>5</w:t>
      </w:r>
      <w:r>
        <w:t>. En cualquier caso, a esta misma conclusión se llega en el presente procedimiento, aun cuando se interprete, como también resulta posible y pretende la recurrente, que su solicitud hubiera requerido la sustitución para el supuesto de que, ya iniciadas las jornadas de huelga y personada al comienzo de éstas, se hubiere constatado que los servicios mínimos fijados podían ser cubiertos por personal de su misma categoría y servicio que hubiera decidido no hacer huelga.</w:t>
      </w:r>
    </w:p>
    <w:p w:rsidR="00163957" w:rsidRDefault="00163957" w:rsidP="00163957">
      <w:pPr>
        <w:pStyle w:val="TextoNormal"/>
      </w:pPr>
    </w:p>
    <w:p w:rsidR="00163957" w:rsidRDefault="00163957" w:rsidP="00163957">
      <w:pPr>
        <w:pStyle w:val="TextoNormal"/>
      </w:pPr>
      <w:r>
        <w:t xml:space="preserve">a) Ciertamente y según figura en las actuaciones, consta que, en la hoja de seguimiento de la incidencia de la huelga correspondiente a la jornada del día 16, junto a la recurrente asistió al trabajo otro facultativo, y que en la jornada correspondiente al día 21 firmaron la </w:t>
      </w:r>
      <w:r>
        <w:lastRenderedPageBreak/>
        <w:t>asistencia los cuatro facultativos de la unidad de neumología ocupacional, siendo que, como ya se ha dicho, la resolución de la Consejería de Sanidad del Principado de Asturias por la que se establecieron los servicios mínimos había fijado su cobertura por un facultativo en turno de mañana. Ahora bien, a efectos de valorar la contestación desestimatoria, dada a la petición de sustitución formulada por la recurrente, necesariamente ha de tomarse en consideración que, en principio, la condición de “no huelguista” durante toda la jornada de huelga sólo puede constatarse una vez finalizada la misma, de tal modo que el propio respeto al art. 28.2 CE dificulta o impide que la inicial designación para cumplir los servicios mínimos pueda ser reasignada a trabajadores “no huelguistas”, incluso después del inicio de la huelga.</w:t>
      </w:r>
    </w:p>
    <w:p w:rsidR="00163957" w:rsidRDefault="00163957" w:rsidP="00163957">
      <w:pPr>
        <w:pStyle w:val="TextoNormal"/>
      </w:pPr>
    </w:p>
    <w:p w:rsidR="00163957" w:rsidRDefault="00163957" w:rsidP="00163957">
      <w:pPr>
        <w:pStyle w:val="TextoNormal"/>
      </w:pPr>
      <w:r>
        <w:t xml:space="preserve">Al respecto, ha de tenerse en cuenta que, en virtud del mencionado carácter </w:t>
      </w:r>
      <w:r w:rsidRPr="00163957">
        <w:rPr>
          <w:i/>
        </w:rPr>
        <w:t>uti singuli</w:t>
      </w:r>
      <w:r>
        <w:t xml:space="preserve"> del derecho de huelga, en principio nada impide que un trabajador no designado para el mantenimiento de servicios esenciales pueda decantarse por desempeñar su trabajo al comienzo de la huelga y, con posterioridad, durante su desarrollo, cambie su criterio y decida sumarse a la misma, tras haber llegado a tal convicción, ya sea por reflexión personal, ya por otras vías como la propia acción informativa de los piquetes. Consiguientemente, la presencia en el trabajo al inicio de la huelga de trabajadores no designados que puedan hacerse cargo de los servicios mínimos no garantiza su permanencia durante el transcurso de aquélla, de tal modo que si, a la vista de la asistencia al trabajo una vez comenzada la huelga, se eximiera a los trabajadores designados de tal condición, tal exención podría llevar a la inadmisible consecuencia de hacer peligrar la exigencia constitucional de garantizar el mantenimiento de los servicios esenciales. Y si para evitar tal riesgo se procediera a una reasignación formal de la condición de trabajador designado para prestar los servicios mínimos, haciéndola recaer sobre trabajadores inicialmente no designados por el solo hecho de haber acudido al trabajo, en tal caso habría que concluir que, salvo que mediaran razones justificativas —y no la mera voluntad de secundar la huelga de los asignados en origen—, tal reasignación supondría una ilegítima restricción del derecho a la huelga de dichos trabajadores no designados en inicio, en tanto que, a diferencia de aquéllos, sobre estos últimos no recaía en principio obligación alguna de asistir al trabajo para preservar los servicios esenciales y, consiguientemente, contaban con la facultad —que quedaría eliminada— de adherirse a la huelga en cualquier momento de su desarrollo.</w:t>
      </w:r>
    </w:p>
    <w:p w:rsidR="00163957" w:rsidRDefault="00163957" w:rsidP="00163957">
      <w:pPr>
        <w:pStyle w:val="TextoNormal"/>
      </w:pPr>
    </w:p>
    <w:p w:rsidR="00163957" w:rsidRDefault="00163957" w:rsidP="00163957">
      <w:pPr>
        <w:pStyle w:val="TextoNormal"/>
      </w:pPr>
      <w:r>
        <w:t>Así pues, el derecho a la huelga de los trabajadores designados para prestar servicios mínimos no sólo puede quedar limitado por la exigencia constitucional de garantizar el mantenimiento de los servicios esenciales —que prima sobre aquél—, sino que, además, también ha de conciliarse con el respeto al derecho de huelga de los trabajadores no designados y su consiguiente facultad de sumarse a la misma en cualquier momento de su transcurso.</w:t>
      </w:r>
    </w:p>
    <w:p w:rsidR="00163957" w:rsidRDefault="00163957" w:rsidP="00163957">
      <w:pPr>
        <w:pStyle w:val="TextoNormal"/>
      </w:pPr>
    </w:p>
    <w:p w:rsidR="00163957" w:rsidRDefault="00163957" w:rsidP="00163957">
      <w:pPr>
        <w:pStyle w:val="TextoNormal"/>
      </w:pPr>
      <w:r>
        <w:t xml:space="preserve">b) A estas consideraciones ha de unirse la idea ya expuesta de que en ningún momento —y tampoco tras el inicio de la huelga— recae deber normativo alguno sobre los trabajadores de expresar su postura ante la misma ni tampoco sobre la empresa de indagar al respecto. Por ello, habida cuenta de que la recurrente fundaba su solicitud de sustitución únicamente en su deseo de ejercer la huelga, los anteriores razonamientos conducen a declarar que, aun cuando la sustitución se solicitara para después de iniciadas las jornadas de huelga convocadas los días 16 y 21 de noviembre de 2012, la decisión desestimatoria de la dirección médica del hospital, adoptada los días inmediatamente previos —15 y 20— no resulta lesiva del derecho a la huelga de la demandante de amparo. Esto es así porque ya en ese momento era evidente que, aun cuando al inicio de las jornadas de huelga asistiera al trabajo </w:t>
      </w:r>
      <w:r>
        <w:lastRenderedPageBreak/>
        <w:t>personal en número superior al requerido para cubrir los servicios mínimos, incluso en tal situación subsistiría en principio la imposibilidad de liberar a la recurrente de su condición de personal asignado a la cobertura de dichos servicios, ante el riesgo, o bien de hacer peligrar el mantenimiento de los servicios esenciales, o bien de menoscabar el derecho de huelga de los facultativos inicialmente no designados que se limitaran a acudir al trabajo.</w:t>
      </w:r>
    </w:p>
    <w:p w:rsidR="00163957" w:rsidRDefault="00163957" w:rsidP="00163957">
      <w:pPr>
        <w:pStyle w:val="TextoNormal"/>
      </w:pPr>
    </w:p>
    <w:p w:rsidR="00163957" w:rsidRDefault="00163957" w:rsidP="00163957">
      <w:pPr>
        <w:pStyle w:val="TextoNormal"/>
      </w:pPr>
      <w:r>
        <w:t>Siendo estos los presupuestos derivados del actual régimen constitucional y normativo de este derecho fundamental, no cabe, pues, considerar lesivo del derecho de huelga de la recurrente que, sin esperar al inicio de las jornadas de huelga —de un día y con fijación de servicios mínimos en la unidad de neumología ocupacional sólo en turno de mañana—, una entidad de las dimensiones del Hospital Universitario Central de Asturias avanzara ya la contestación solicitada —requerida además por escrito—, y que, vistos los referidos obstáculos para conciliar tal petición con el propio respeto al art. 28.2 CE incluso después de comenzada la huelga, dicha respuesta fuera de signo desestimatorio en atención a la exigencia constitucional prioritaria de salvaguardar el mantenimiento de los servicios esenciales, cuya garantía —en este caso además en el ámbito sanitario— requiere certeza respecto a los sujetos designados para su prestación.</w:t>
      </w:r>
    </w:p>
    <w:p w:rsidR="00163957" w:rsidRDefault="00163957" w:rsidP="00163957">
      <w:pPr>
        <w:pStyle w:val="TextoNormal"/>
      </w:pPr>
    </w:p>
    <w:p w:rsidR="00163957" w:rsidRDefault="00163957" w:rsidP="00163957">
      <w:pPr>
        <w:pStyle w:val="TextoNormal"/>
      </w:pPr>
      <w:r>
        <w:t>En consecuencia, aun cuando se interprete que lo solicitado por la facultativa era la sustitución de su designación como personal encargado de los servicios mínimos después de iniciadas las jornadas de huelga, también en este caso cabe apreciar que la decisión denegatoria de la dirección médica del hospital, adecuadamente motivada por las mismas razones expresadas en el fundamento jurídico 4, no resulta contraria al derecho a la huelga de la recurrente.</w:t>
      </w:r>
    </w:p>
    <w:p w:rsidR="00163957" w:rsidRDefault="00163957" w:rsidP="00163957">
      <w:pPr>
        <w:pStyle w:val="TextoNormal"/>
      </w:pPr>
    </w:p>
    <w:p w:rsidR="00163957" w:rsidRDefault="00163957" w:rsidP="00163957">
      <w:pPr>
        <w:pStyle w:val="TextoNormal"/>
      </w:pPr>
      <w:r w:rsidRPr="00163957">
        <w:rPr>
          <w:rStyle w:val="NumeroAFNegritaCaracter"/>
        </w:rPr>
        <w:t>6</w:t>
      </w:r>
      <w:r>
        <w:t>. En definitiva, por todo lo indicado, hemos de concluir que las resoluciones de la dirección médica del Hospital Universitario Central de Asturias de 15 y 20 de noviembre de 2012, impugnadas en este procedimiento, no vulneran el derecho fundamental del art. 28.2 CE. Por todo ello, procede la desestimación del recurso de amparo interpuesto.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amparo solicitado por doña Aida Quero Martínez.</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49" w:name="SENTENCIA_2016_46"/>
      <w:r>
        <w:lastRenderedPageBreak/>
        <w:t>SENTENCIA 46/2016, de 14 de marzo de 2016</w:t>
      </w:r>
    </w:p>
    <w:bookmarkEnd w:id="49"/>
    <w:p w:rsidR="00163957" w:rsidRDefault="00163957" w:rsidP="00163957">
      <w:pPr>
        <w:pStyle w:val="TtuloResolucin"/>
      </w:pPr>
      <w:r>
        <w:t>Sala Primera</w:t>
      </w:r>
    </w:p>
    <w:p w:rsidR="00163957" w:rsidRDefault="00163957" w:rsidP="00163957">
      <w:pPr>
        <w:pStyle w:val="TtuloBOE"/>
      </w:pPr>
      <w:r>
        <w:t>(BOE núm. 97, de 22 de abril de 2016)</w:t>
      </w:r>
    </w:p>
    <w:p w:rsidR="00163957" w:rsidRDefault="00163957" w:rsidP="00163957">
      <w:pPr>
        <w:pStyle w:val="TextoNormalCentrado"/>
      </w:pPr>
      <w:r>
        <w:t>ECLI:ES:TC:2016:46</w:t>
      </w:r>
    </w:p>
    <w:p w:rsidR="00163957" w:rsidRDefault="00163957" w:rsidP="00163957">
      <w:pPr>
        <w:pStyle w:val="TextoNormalCentrado"/>
      </w:pPr>
    </w:p>
    <w:p w:rsidR="00163957" w:rsidRDefault="00163957" w:rsidP="00163957">
      <w:pPr>
        <w:pStyle w:val="SntesisDescriptiva"/>
      </w:pPr>
      <w:r>
        <w:t>Cuestión de inconstitucionalidad 4759-2013. Planteada por la Sala de lo Social del Tribunal Superior de Justicia de Andalucía en relación con sendos preceptos del Decreto-ley de la Junta de Andalucía 3/2012, de 24 de julio, de medidas fiscales, administrativas y laborales y en materia de hacienda pública para el reequilibrio económico y financiero de la Junta de Andalucía, y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extinción, por pérdida de objeto, de la cuestión de inconstitucionalidad (STC 83/2015).</w:t>
      </w:r>
    </w:p>
    <w:p w:rsidR="00163957" w:rsidRDefault="00163957" w:rsidP="00163957">
      <w:pPr>
        <w:pStyle w:val="SntesisAnaltica"/>
      </w:pPr>
    </w:p>
    <w:p w:rsidR="00163957" w:rsidRDefault="00163957" w:rsidP="00163957">
      <w:pPr>
        <w:pStyle w:val="Extracto"/>
      </w:pPr>
      <w:r>
        <w:t>1.</w:t>
      </w:r>
      <w:r>
        <w:tab/>
        <w:t>Asunto sustancialmente idéntico al resuelto por la STC 83/2015, relativa a la pérdida de objeto de la cuestión de inconstitucionalidad como consecuencia de la satisfacción extraprocesal de la pretensión [FFJJ 2,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4759-2013, promovida por la Sala de lo Social del Tribunal Superior de Justicia de Andalucía contra el artículo único.3, del Decreto-ley 3/2012, de 24 de julio, por el que se modifica el Decreto-ley 1/2012, de 19 de junio, de medidas fiscales, administrativas y laborales y en materia de hacienda pública para el reequilibrio económico y financiero de la Junta de Andalucía, y el art. 2 del Real Decreto-ley 20/2012, de 13 de julio, de medidas para garantizar la estabilidad presupuestaria y de fomento de la competitividad, por posible vulneración del art. 9.3 CE. Han formulado alegaciones el Fiscal General del Estado, el Abogado del Estado, el Letrado del Parlamento de Andalucía, el Letrado de la Junta de Andalucía y la Agencia de Medio Ambiente y Agua de Andalucía. Ha sido Ponente el Magistrado don Juan Antonio Xiol Ríos, quien expresa el parecer del Tribunal.</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29 de julio de 2013 tuvo entrada en el Registro General de este Tribunal un oficio de la Sala de lo Social del Tribunal Superior de Justicia de Andalucía al que se acompaña, junto con el testimonio del procedimiento núm. 9-2013, el Auto de 18 de julio de 2013, por el que se acuerda plantear cuestión de inconstitucionalidad en relación con el artículo único.3 del Decreto-ley 3/2012, de 24 de julio, por el que se modifica el Decreto-ley 1/2012, de 19 de junio, de medidas fiscales, administrativas y laborales y en materia de hacienda pública para el reequilibrio económico y financiero de la Junta de Andalucía, y el art. 2 del Real Decreto-ley 20/2012, de 13 de julio, de medidas para garantizar la estabilidad presupuestaria y de fomento de la competitividad, por posible lesión del art. 9.3 CE, sobre el principio de irretroactividad de disposiciones restrictivas de derechos individuales.</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procesales de la cuestión de inconstitucionalidad planteada son, sucintamente expuestos, los siguientes:</w:t>
      </w:r>
    </w:p>
    <w:p w:rsidR="00163957" w:rsidRDefault="00163957" w:rsidP="00163957">
      <w:pPr>
        <w:pStyle w:val="TextoNormal"/>
      </w:pPr>
    </w:p>
    <w:p w:rsidR="00163957" w:rsidRDefault="00163957" w:rsidP="00163957">
      <w:pPr>
        <w:pStyle w:val="TextoNormal"/>
      </w:pPr>
      <w:r>
        <w:t>a) La Agencia de Medio Ambiente y Agua de Andalucía se constituyó conforme a la Ley 1/2011, de 17 de febrero, de reordenación del sector público de Andalucía. Se rige por los aún vigentes convenios colectivos de la extinta Empresa de Gestión Medioambiental, S.A., en cuyo personal se subrogó. Tras la publicación del Real Decreto-ley 20/2012, y la posterior publicación del Decreto-ley 3/2012, la empresa decidió la supresión de la paga extraordinaria del mes de diciembre de 2012, de conformidad con lo dispuesto en las disposiciones citadas. La federación agroalimentaria de Comisiones Obreras (CCOO) presentó en fecha 10 de abril de 2013 demanda de conflicto colectivo contra la Agencia (autos 9/2013), en la que solicitaba se reconociera el derecho al pago de la parte proporcional de la paga extraordinaria correspondiente al período comprendido entre el 1 y el 14 de julio de 2013. En fecha 16 de mayo de 2013, la Central Sindical Independiente y de Funcionarios (CSIF) presentó igualmente demanda de conflicto colectivo contra la Agencia (autos 12/2013), en la que, con carácter subsidiario, se solicitaba idéntica pretensión a la anterior. En la demanda solicitaba, igualmente, el planteamiento por la Sala de una cuestión de inconstitucionalidad ante el Tribunal Constitucional sobre el Real Decreto-ley 20/2012, por considerarlo contrario a los arts. 86.1, 37.1, 28.1, 14 y 9.3 CE. Por Auto de 30 de mayo de 2013, la Sala acordó acumular ambos procedimientos.</w:t>
      </w:r>
    </w:p>
    <w:p w:rsidR="00163957" w:rsidRDefault="00163957" w:rsidP="00163957">
      <w:pPr>
        <w:pStyle w:val="TextoNormal"/>
      </w:pPr>
    </w:p>
    <w:p w:rsidR="00163957" w:rsidRDefault="00163957" w:rsidP="00163957">
      <w:pPr>
        <w:pStyle w:val="TextoNormal"/>
      </w:pPr>
      <w:r>
        <w:t xml:space="preserve">b) Tras la celebración del acto del juicio el día 12 de junio de 2013, concluso el procedimiento y dentro del plazo para dictar Sentencia, el órgano judicial dictó providencia de 17 de junio de 2013 por la que acordó oír a las partes y al Ministerio Fiscal para que alegasen sobre la pertinencia de plantear cuestión de inconstitucionalidad en relación con el art. 2 del Real Decreto-ley 20/2012, por posible vulneración del art. 9.3 CE. Según señalaba la Sala en la providencia, la duda de constitucionalidad se concretaba en que el citado precepto establece la reducción de las retribuciones en las cuantías que correspondiera percibir en el mes de diciembre de 2012 como consecuencia de la supresión de la paga o gratificación extraordinaria, sin establecer excepción alguna en cuanto a la parte que ya se hubiera devengado a la fecha de su entrada en vigor, el 15 de julio de 2012, lo que, teniendo en cuenta que la jurisprudencia del Tribunal Supremo ha establecido que las gratificaciones extraordinarias constituyen una manifestación del salario diferido y se devengan día a día, podría </w:t>
      </w:r>
      <w:r>
        <w:lastRenderedPageBreak/>
        <w:t>vulnerar el art. 9.3 CE, que garantiza la irretroactividad de las disposiciones restrictivas de derechos individuales.</w:t>
      </w:r>
    </w:p>
    <w:p w:rsidR="00163957" w:rsidRDefault="00163957" w:rsidP="00163957">
      <w:pPr>
        <w:pStyle w:val="TextoNormal"/>
      </w:pPr>
    </w:p>
    <w:p w:rsidR="00163957" w:rsidRDefault="00163957" w:rsidP="00163957">
      <w:pPr>
        <w:pStyle w:val="TextoNormal"/>
      </w:pPr>
      <w:r>
        <w:t>c) Por escrito de 9 de julio de 2013, el Ministerio Fiscal estimó procesalmente adecuado el planteamiento de la cuestión, sin pronunciarse sobre el fondo del asunto. La Central Sindical Independiente y de Funcionarios y la Unión General de Trabajadores se mostraron favorables al planteamiento de la cuestión, mediante escritos de 2 de julio y 25 de junio de 2013, respectivamente. La federación agroalimentaria de CCOO, se manifestó en contra del planteamiento de la cuestión en escrito de 28 de junio, por entender que el período reclamado de la paga extraordinaria es anterior a la entrada en vigor del Real Decreto-ley 20/2012, y, por tanto, no se ve afectado por el mismo.</w:t>
      </w:r>
    </w:p>
    <w:p w:rsidR="00163957" w:rsidRDefault="00163957" w:rsidP="00163957">
      <w:pPr>
        <w:pStyle w:val="TextoNormal"/>
      </w:pPr>
    </w:p>
    <w:p w:rsidR="00163957" w:rsidRDefault="00163957" w:rsidP="00163957">
      <w:pPr>
        <w:pStyle w:val="TextoNormal"/>
      </w:pPr>
      <w:r w:rsidRPr="00163957">
        <w:rPr>
          <w:rStyle w:val="NumeroAFNegritaCaracter"/>
        </w:rPr>
        <w:t>3</w:t>
      </w:r>
      <w:r>
        <w:t>. Por Auto de 18 de julio de 2013, la Sala de lo Social del Tribunal Superior de Justicia de Andalucía acordó plantear la presente cuestión de inconstitucionalidad y del análisis de su contenido interesa destacar los siguientes puntos:</w:t>
      </w:r>
    </w:p>
    <w:p w:rsidR="00163957" w:rsidRDefault="00163957" w:rsidP="00163957">
      <w:pPr>
        <w:pStyle w:val="TextoNormal"/>
      </w:pPr>
    </w:p>
    <w:p w:rsidR="00163957" w:rsidRDefault="00163957" w:rsidP="00163957">
      <w:pPr>
        <w:pStyle w:val="TextoNormal"/>
      </w:pPr>
      <w:r>
        <w:t>a) Tras precisar los antecedentes de hecho en el planteamiento de la cuestión y trascribir los preceptos legales afectados, señala la Sala que está claro que estas disposiciones suprimen la percepción de la paga extraordinaria del mes de diciembre del año 2012 para el personal laboral del sector público andaluz, y que lo hacen a partir de su entrada en vigor (día 15 de julio de 2013), sin precisar el legislador excepciones por derechos ya devengados. Señala la Sala que el legislador es plenamente consciente de la posibilidad de que haya comenzado a devengarse la paga extraordinaria cuya percepción se suprime, en tanto que indica que la medida afecta a cuantías “que corresponda percibir”, en tiempo verbal no condicional, admitiendo que el derecho ya se ha generado, no obstante lo cual cierra la puerta a su abono. Desde esa perspectiva, entiende la Sala que no es posible interpretar el art. 2 del Real Decreto-ley 20/2012 considerando que cabe abonar aquella parte de la paga extraordinaria de diciembre que ya se hubiera devengado a la fecha de la entrada en vigor de la citada norma. En definitiva, por mucho que ya se hubiera devengado la paga extraordinaria correspondiente a los días trabajados, la aplicación del citado artículo 2 no daría lugar a su abono. Pues bien, atendiendo a la consolidada jurisprudencia, según la cual, las pagas extraordinarias son salario diferido y se devengan día a día, aquella norma podría considerarse contraria al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con rango de ley. Señala que esta duda de constitucionalidad ha sido planteada ya ante el Tribunal Constitucional por la Sala de lo Social de la Audiencia Nacional en su Auto de 1 de marzo de 2013, cuyos argumentos hace suyos la Sala ahora proponente y reitera, aunque extendiéndolos al precepto de la norma autonómica. Expuesto lo que precede, indica que las normas cuyo ajuste constitucional se cuestiona (artículo único.3 del Decreto-ley 3/2012 y artículo 2 del Real Decreto-ley 20/2012) son determinantes para el resultado del litigio y no admiten una interpretación que los acomode al texto constitucional, dado que una de las pretensiones formuladas en las demandas es, justamente, que se mantenga incólume la percepción de la parte ya devengada de la paga extraordinaria de diciembre de 2012 a pesar de lo dispuesto en los preceptos citados.</w:t>
      </w:r>
    </w:p>
    <w:p w:rsidR="00163957" w:rsidRDefault="00163957" w:rsidP="00163957">
      <w:pPr>
        <w:pStyle w:val="TextoNormal"/>
      </w:pPr>
    </w:p>
    <w:p w:rsidR="00163957" w:rsidRDefault="00163957" w:rsidP="00163957">
      <w:pPr>
        <w:pStyle w:val="TextoNormal"/>
      </w:pPr>
      <w:r>
        <w:lastRenderedPageBreak/>
        <w:t>b) Sintetiza seguidamente el Auto la doctrina constitucional sobre la prohibición de retroactividad de las disposiciones sancionadoras no favorables o restrictivas de derechos individuales prevista en el art. 9.3 CE, e indica que, conforme a ella, solo puede afirmarse que una norma es retroactiva a los efectos del citado precepto cuando incide sobre “relaciones consagradas” y afecta a “situaciones agotadas”. El espíritu restrictivo que impregna el art. 9.3 CE queda plasmado en la Sentencia del Tribunal Constitucional de 20 de abril de 2009, que ha aclarado que la referencia de ese precepto constitucional a la “restricción de derechos individuales” ha de entenderse referida a las limitaciones introducidas en el ámbito de los derechos fundamentales y de las libertades públicas. A la vista de lo anterior, lo primero que hay que preguntarse es si estamos ante un derecho individual en el sentido apuntado desde esa consideración restrictiva, lo que entiende la Sala que merece una respuesta positiva.</w:t>
      </w:r>
    </w:p>
    <w:p w:rsidR="00163957" w:rsidRDefault="00163957" w:rsidP="00163957">
      <w:pPr>
        <w:pStyle w:val="TextoNormal"/>
      </w:pPr>
    </w:p>
    <w:p w:rsidR="00163957" w:rsidRDefault="00163957" w:rsidP="00163957">
      <w:pPr>
        <w:pStyle w:val="TextoNormal"/>
      </w:pPr>
      <w:r>
        <w:t>Indica, en tal sentido, que los derechos retributivos, consagrados en el art. 35 CE, pertenecen a esa esfera general de protección de la persona y que el texto constitucional reconoce el derecho a la remuneración suficiente (lo que, en principio se correspondería solo con el salario mínimo interprofesional), pero también el derecho al trabajo, siendo una de las notas esenciales su carácter remunerado. Partiendo de ese enfoque, el Tribunal Constitucional ha venido admitiendo con naturalidad su encaje en el supuesto de hecho del art. 9.3 CE, incluso ante normas que, como la de ahora, se inspiran en la finalidad de la contención del gasto público mediante la reducción retributiva. En este sentido, cita la Sentencia de 15 de diciembre de 2005 (en la que se niega que la regulación de la retribución para el personal de una Administración autonómica vulnere el art. 9.3 CE pero por motivos distintos a su no consideración como derechos individuales a los que alude el precepto), y el Auto 162/2012, de 13 de septiembre, que rechaza que la reducción de las retribuciones impuesta legalmente afecte al art. 9.3 CE, pero no por no tratarse de derechos individuales protegibles sino por no poseer efectos retroactivos al examinarse una regulación pro futuro. Es decir, si la reducción retributiva afectara a derechos ya devengados podría desplegar efectos sobre ella el principio de interdicción de retroactividad, tal como sugiere el Tribunal. A la vista de todo ello, se considera que en el caso de autos se cumple el presupuesto básico del art. 9.3 CE, esto es, que nos encontremos ante derechos individuales amparables por el principio de interdicción de retroactividad.</w:t>
      </w:r>
    </w:p>
    <w:p w:rsidR="00163957" w:rsidRDefault="00163957" w:rsidP="00163957">
      <w:pPr>
        <w:pStyle w:val="TextoNormal"/>
      </w:pPr>
    </w:p>
    <w:p w:rsidR="00163957" w:rsidRDefault="00163957" w:rsidP="00163957">
      <w:pPr>
        <w:pStyle w:val="TextoNormal"/>
      </w:pPr>
      <w:r>
        <w:t xml:space="preserve">c) Seguidamente analiza si el artículo único.3, del Decreto-ley 3/2012, en la remisión que realiza al artículo 2 del Real Decreto-ley 20/2012, al establecer la supresión de la paga extraordinaria de diciembre de 2012 para el personal laboral del sector público andaluz, supone una retroactividad prohibida por el art. 9.3 CE, esto es, la que incide sobre los efectos jurídicos ya producidos al amparo de una norma anteriormente vigente. Para ello, considera preciso determinar si el derecho a la paga extraordinaria estaba ya consolidado, asumido e integrado en el patrimonio de los trabajadores cuando entró en vigor el Real Decreto-ley citado, o, por el contrario, se trataba de una expectativa de derecho, o de un derecho futuro o condicionado. Pues bien, dado que la regulación legal de las pagas extraordinarias no ofrece respuesta a este interrogante (se limita a fijar el momento de su percepción), se ha de tener en cuenta la jurisprudencia del Tribunal Supremo, que configura la paga mencionada como de devengo diario y de cobro aplazado (se citan la SSTS de 4 de abril de 2008, 21 de abril de 2010, 4 de noviembre de 2010, 5 de noviembre de 2010, 21 de diciembre de 2010, y 10 de marzo de 2011). Se pregunta la Sala si la posible inconstitucionalidad del art. 2 del Real Decreto-ley 20/2012 puede operar tomando como referencia un criterio jurisprudencial </w:t>
      </w:r>
      <w:r>
        <w:lastRenderedPageBreak/>
        <w:t>y se llega a la conclusión de que la configuración normativa del derecho a las pagas extraordinarias se ve complementada por su configuración jurisprudencial, por lo que ha de ser así. Se destaca a este respecto que no estamos ante un pronunciamiento aislado de un tribunal menor, sino ante jurisprudencia, y que, además, ha sido dictada en unificación de doctrina. Por ello, el criterio del Tribunal Supremo sobre el devengo diario de la paga extraordinaria se alza con valor normativo complementario, de modo que forma una unidad con la ley como parámetro de la inconstitucionalidad del art. 2 del Real Decreto-ley cuestionado. Teniendo en cuenta todo lo anterior, señala que estamos ante un derecho que se genera día a día, incorporándose como tal al acervo patrimonial de los trabajadores, y que, en el caso examinado, al ser las tres pagas extras contempladas en el convenio colectivo de aplicación como de devengo anual, a la fecha de entrada en vigor del Real Decreto-ley 20/2012 ya se había devengado y generado el derecho a la parte de la paga extra de navidad proporcional a los días trabajados, que, sin embargo, el art. 2 de la norma suprime, operando una retroactividad auténtica o de grado máximo.</w:t>
      </w:r>
    </w:p>
    <w:p w:rsidR="00163957" w:rsidRDefault="00163957" w:rsidP="00163957">
      <w:pPr>
        <w:pStyle w:val="TextoNormal"/>
      </w:pPr>
    </w:p>
    <w:p w:rsidR="00163957" w:rsidRDefault="00163957" w:rsidP="00163957">
      <w:pPr>
        <w:pStyle w:val="TextoNormal"/>
      </w:pPr>
      <w:r>
        <w:t>d) Llegados a este punto, señala el Auto, el siguiente paso a examinar es si esa retroactividad carece de justificación habilitante, pues pueden concurrir exigencias cualificadas del bien común que podrían imponerse excepcionalmente (cita la STC 19 de noviembre de 1992). Señala la Sala que la situación crítica que vive el país probablemente justifica medidas restrictivas de derechos como aquellas a las que venimos asistiendo en los últimos tiempos, pero no abre la puerta, sin más, a que esas restricciones operen de modo retroactivo. Entiende que la excepción a la irretroactividad recogida en la doctrina constitucional debe interpretarse de forma restrictiva y que no cabe extenderla a toda medida de interés general. En definitiva, considera que la reducción del déficit público puede justificar muchas cosas, pero no reúne la nota de cualificación absolutamente excepcional que sería necesaria para sacrificar el principio constitucional de seguridad jurídica que sustenta la irretroactividad, en aras del bien común, y que es el interés general lo que se ataca cuando se niega, a quienes han prestado sus servicios, el derecho a percibir el salario correspondiente. Hace referencia, igualmente, a algunos pronunciamientos del Tribunal Europeo de Derechos Humanos en los que se considera que se mantiene una concepción realmente cualificada del “interés general”, y se señala que no se considera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ciudadanos.</w:t>
      </w:r>
    </w:p>
    <w:p w:rsidR="00163957" w:rsidRDefault="00163957" w:rsidP="00163957">
      <w:pPr>
        <w:pStyle w:val="TextoNormal"/>
      </w:pPr>
    </w:p>
    <w:p w:rsidR="00163957" w:rsidRDefault="00163957" w:rsidP="00163957">
      <w:pPr>
        <w:pStyle w:val="TextoNormal"/>
      </w:pPr>
      <w:r>
        <w:t>e) Finalmente, la Sala se plantea la posibilidad de que estemos ante una expropiación legislativa de derechos, pero rechaza tal hipótesis en cuanto que la previsión en este caso de una hipotética compensación o devolución futura de cantidades en modo alguno resultaría asimilable al justo precio al que alude la Ley de expropiación forzosa. Ni siquiera está garantizada y no es propiamente una devolución, puesto que las cuantías detraídas se transformarían en aportaciones a planes de pensiones o contratos de seguro en los términos que establezca el legislador, sujetas, además, al previo cumplimiento de los objetivos de estabilidad presupuestaria. Por otra parte, el carácter meramente hipotético y condicionado de la devolución de las cantidades detraídas a raíz de la supresión de la paga extraordinaria de diciembre de 2012 diluye cualquier brizna de proporcionalidad de la compensación que pudiera alegarse para justificar la injerencia retroactiva y se aleja del concepto de expropiación legislativa de derechos.</w:t>
      </w:r>
    </w:p>
    <w:p w:rsidR="00163957" w:rsidRDefault="00163957" w:rsidP="00163957">
      <w:pPr>
        <w:pStyle w:val="TextoNormal"/>
      </w:pPr>
    </w:p>
    <w:p w:rsidR="00163957" w:rsidRDefault="00163957" w:rsidP="00163957">
      <w:pPr>
        <w:pStyle w:val="TextoNormal"/>
      </w:pPr>
      <w:r>
        <w:t>f) Por todo lo expuesto, la Sala de lo Social del Tribunal Superior de Justicia concluye que el artículo único.3 del Decreto-ley 3/2012, de 24 de julio, por el que se modifica el Decreto-ley 1/2012, de 19 de junio, de medidas fiscales, administrativas y laborales y en materia de hacienda pública para el reequilibrio económico y financiero de la Junta de Andalucía, para adaptarlo al Real Decreto-ley 20/2012, de 13 de julio, de medidas para garantizar la estabilidad presupuestaria y de fomento de la competitividad, en la remisión íntegra que hace al artículo 2 de este último, ha podido vulnerar el principio de irretroactividad de las disposiciones restrictivas de derechos individuales, previsto en el art. 9.3 CE, al establecer la supresión de la paga extraordinaria de diciembre de 2012 para el personal laboral del sector público, sin introducir excepción alguna respecto de las cuantías ya devengadas en el momento de su entrada en vigor.</w:t>
      </w:r>
    </w:p>
    <w:p w:rsidR="00163957" w:rsidRDefault="00163957" w:rsidP="00163957">
      <w:pPr>
        <w:pStyle w:val="TextoNormal"/>
      </w:pPr>
    </w:p>
    <w:p w:rsidR="00163957" w:rsidRDefault="00163957" w:rsidP="00163957">
      <w:pPr>
        <w:pStyle w:val="TextoNormal"/>
      </w:pPr>
      <w:r w:rsidRPr="00163957">
        <w:rPr>
          <w:rStyle w:val="NumeroAFNegritaCaracter"/>
        </w:rPr>
        <w:t>4</w:t>
      </w:r>
      <w:r>
        <w:t>. El Pleno de este Tribunal, a propuesta de la Sección Primera, acordó admitir a trámite la cuestión mediante providencia de 24 de septiembre de 2013; deferir a la Sala Primera su conocimiento; dar traslado de las actuaciones recibidas al Congreso de los Diputados y al Senado, por conducto de sus Presidentes, al Gobierno, por conducto del Ministro de Justicia, y al Fiscal General del Estado, así como al Parlamento de Andalucía y la Junta de Andalucía, por conducto de sus Presidentes, al objeto de que, en el improrrogable plazo de 15 días, pudieran personarse en el procedimiento y formular las alegaciones que estimasen convenientes; comunicar la resolución a la Sala de lo Social del Tribunal Superior de Justicia de Andalucía, con sede en Málaga,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 y en el “Boletín Oficial de la Junta de Andalucía”.</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el 7 de octubre de 2013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163957" w:rsidRDefault="00163957" w:rsidP="00163957">
      <w:pPr>
        <w:pStyle w:val="TextoNormal"/>
      </w:pPr>
      <w:r>
        <w:t>Mediante escrito registrado el 9 de octubre de 2013, el Presidente del Senado comunicó a este Tribunal el acuerdo de la Mesa para que se diera por personada a la Cámara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Abogado del Estado, mediante escrito de alegaciones registrado el 11 de octubre de 2013, se personó interesando la desestimación de la cuestión de inconstitucionalidad por las razones que, resumidamente, se exponen a continuación.</w:t>
      </w:r>
    </w:p>
    <w:p w:rsidR="00163957" w:rsidRDefault="00163957" w:rsidP="00163957">
      <w:pPr>
        <w:pStyle w:val="TextoNormal"/>
      </w:pPr>
    </w:p>
    <w:p w:rsidR="00163957" w:rsidRDefault="00163957" w:rsidP="00163957">
      <w:pPr>
        <w:pStyle w:val="TextoNormal"/>
      </w:pPr>
      <w:r>
        <w:t xml:space="preserve">Comienza señalando que el Juzgado no se cuestiona genéricamente la supresión de la paga extra al personal funcionario,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w:t>
      </w:r>
      <w:r>
        <w:lastRenderedPageBreak/>
        <w:t>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163957" w:rsidRDefault="00163957" w:rsidP="00163957">
      <w:pPr>
        <w:pStyle w:val="TextoNormal"/>
      </w:pPr>
    </w:p>
    <w:p w:rsidR="00163957" w:rsidRDefault="00163957" w:rsidP="00163957">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163957" w:rsidRDefault="00163957" w:rsidP="00163957">
      <w:pPr>
        <w:pStyle w:val="TextoNormal"/>
      </w:pPr>
    </w:p>
    <w:p w:rsidR="00163957" w:rsidRDefault="00163957" w:rsidP="00163957">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163957" w:rsidRDefault="00163957" w:rsidP="00163957">
      <w:pPr>
        <w:pStyle w:val="TextoNormal"/>
      </w:pPr>
    </w:p>
    <w:p w:rsidR="00163957" w:rsidRDefault="00163957" w:rsidP="00163957">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w:t>
      </w:r>
      <w:r>
        <w:lastRenderedPageBreak/>
        <w:t>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00163957" w:rsidRDefault="00163957" w:rsidP="00163957">
      <w:pPr>
        <w:pStyle w:val="TextoNormal"/>
      </w:pPr>
    </w:p>
    <w:p w:rsidR="00163957" w:rsidRDefault="00163957" w:rsidP="00163957">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163957" w:rsidRDefault="00163957" w:rsidP="00163957">
      <w:pPr>
        <w:pStyle w:val="TextoNormal"/>
      </w:pPr>
    </w:p>
    <w:p w:rsidR="00163957" w:rsidRDefault="00163957" w:rsidP="00163957">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163957" w:rsidRDefault="00163957" w:rsidP="00163957">
      <w:pPr>
        <w:pStyle w:val="TextoNormal"/>
      </w:pPr>
    </w:p>
    <w:p w:rsidR="00163957" w:rsidRDefault="00163957" w:rsidP="00163957">
      <w:pPr>
        <w:pStyle w:val="TextoNormal"/>
      </w:pPr>
      <w:r>
        <w:t>Por todo ello, se interesa la desestimación de la cuestión.</w:t>
      </w:r>
    </w:p>
    <w:p w:rsidR="00163957" w:rsidRDefault="00163957" w:rsidP="00163957">
      <w:pPr>
        <w:pStyle w:val="TextoNormal"/>
      </w:pPr>
    </w:p>
    <w:p w:rsidR="00163957" w:rsidRDefault="00163957" w:rsidP="00163957">
      <w:pPr>
        <w:pStyle w:val="TextoNormal"/>
      </w:pPr>
      <w:r w:rsidRPr="00163957">
        <w:rPr>
          <w:rStyle w:val="NumeroAFNegritaCaracter"/>
        </w:rPr>
        <w:t>7</w:t>
      </w:r>
      <w:r>
        <w:t>. El Letrado del Parlamento de Andalucía presentó su escrito de alegaciones el 18 de octubre de 2013.</w:t>
      </w:r>
    </w:p>
    <w:p w:rsidR="00163957" w:rsidRDefault="00163957" w:rsidP="00163957">
      <w:pPr>
        <w:pStyle w:val="TextoNormal"/>
      </w:pPr>
    </w:p>
    <w:p w:rsidR="00163957" w:rsidRDefault="00163957" w:rsidP="00163957">
      <w:pPr>
        <w:pStyle w:val="TextoNormal"/>
      </w:pPr>
      <w:r>
        <w:t xml:space="preserve">Tras exponer los antecedentes de la cuestión, señala el Letrado del Parlamento de Andalucía que la Sala de lo Social utiliza distintas líneas argumentales conducentes todas ellas a </w:t>
      </w:r>
      <w:r>
        <w:lastRenderedPageBreak/>
        <w:t>determinar la supuesta vulneración del art. 9.3 CE como consecuencia de la supresión de la paga extraordinaria de diciembre de 2012. Señala que la primera línea argumental se dirige a considerar que aquellos preceptos constituyen una restricción de derechos individuales consagrados en el art. 35 CE y particularmente el derecho “a una remuneración suficiente para satisfacer sus necesidades y las de su familia”. A su juicio, no todos los conceptos retributivos que en un momento determinado conforman la nómina de un trabajador pueden incluirse en el contenido esencial del derecho constitucional protegido, por ello no puede afirmarse que nos encontremos ante la vulneración del derecho al trabajo tal como este se encuentra recogido en el texto constitucional.</w:t>
      </w:r>
    </w:p>
    <w:p w:rsidR="00163957" w:rsidRDefault="00163957" w:rsidP="00163957">
      <w:pPr>
        <w:pStyle w:val="TextoNormal"/>
      </w:pPr>
    </w:p>
    <w:p w:rsidR="00163957" w:rsidRDefault="00163957" w:rsidP="00163957">
      <w:pPr>
        <w:pStyle w:val="TextoNormal"/>
      </w:pPr>
      <w:r>
        <w:t>Una segunda línea argumental esgrimida por la Sala consiste en considerar que las normas sobre las que recaen las dudas de constitucionalidad son contrarias al bloque de constitucionalidad configurado en este caso por la Constitución y la jurisprudencia del Tribunal Supremo atinente al caso. Señala que en ningún caso la jurisprudencia ordinaria, por importante que resulte, puede formar parte del bloque de constitucionalidad. De admitirse dicha posibilidad, el Tribunal Constitucional quedaría sujeto a la interpretación que de las leyes realizara el Tribunal Supremo vaciando el significado de su función como “intérprete supremo” de la Constitución. En consecuencia, entiende que es este un fundamento de la Sala que ha de rechazarse de pleno.</w:t>
      </w:r>
    </w:p>
    <w:p w:rsidR="00163957" w:rsidRDefault="00163957" w:rsidP="00163957">
      <w:pPr>
        <w:pStyle w:val="TextoNormal"/>
      </w:pPr>
    </w:p>
    <w:p w:rsidR="00163957" w:rsidRDefault="00163957" w:rsidP="00163957">
      <w:pPr>
        <w:pStyle w:val="TextoNormal"/>
      </w:pPr>
      <w:r>
        <w:t>Atendiendo a la citada jurisprudencia del Tribunal Supremo considera la Sala que las normas objeto de este planteamiento de inconstitucionalidad tienen carácter retroactivo por lo que resultarían contrarias al art. 9.3 CE. Indica que nos encontramos ante una construcción estrictamente jurisprudencial sin que la misma se haya trasladado a la legislación ordinaria y aún menos a la constitucional que nada dice sobre esta materia. En todo caso, afirma que, a su juicio, el cómputo prorrateado de la paga extraordinaria persigue una finalidad de mejora de las condiciones económicas del trabajador al término de su relación laboral, condición ésta ausente en este caso.</w:t>
      </w:r>
    </w:p>
    <w:p w:rsidR="00163957" w:rsidRDefault="00163957" w:rsidP="00163957">
      <w:pPr>
        <w:pStyle w:val="TextoNormal"/>
      </w:pPr>
    </w:p>
    <w:p w:rsidR="00163957" w:rsidRDefault="00163957" w:rsidP="00163957">
      <w:pPr>
        <w:pStyle w:val="TextoNormal"/>
      </w:pPr>
      <w:r>
        <w:t>No obstante lo anterior, señala que si el Tribunal Constitucional acogiera las argumentaciones expuestas por la Sala de lo Social respecto al carácter retroactivo de las normas a que se refiere el presente escrito de alegaciones, considera que las mismas no serían contrarias a la Constitución de acuerdo con el principio de proporcionalidad aplicado a las mismas. Así, recuerda la crisis económica en la que nos encontramos y el carácter estrictamente temporal de la medida. Por lo que a la finalidad se refiere, considerada ésta como la relación existente entre la medida adoptada y el objeto que se persigue, resulta imposible negar su presencia en este caso por cuanto el Tribunal Constitucional ha reconducido la finalidad perseguida a bienes y valores de relevancia constitucional y a ellos se orienta la decisión plasmada en la ley. Se trata de los principios de estabilidad presupuestaria y contención del déficit que han sido elevados a la superior categoría de principios y valores constitucionales mediante la modificación del art. 135 CE. Finalmente, en relación con la idoneidad de la medida legislativa al fin perseguido, señala que con la supresión de las pagas extraordinarias el Estado ha hecho uso de un recurso que afecta precisamente al ámbito laboral introduciendo con ello un principio de equidad entre quienes poseen un trabajo fijo y estable y quienes se encuentran en paro, medida que no puede calificarse más que como razonable y equilibrada y adecuada al objetivo señalado.</w:t>
      </w:r>
    </w:p>
    <w:p w:rsidR="00163957" w:rsidRDefault="00163957" w:rsidP="00163957">
      <w:pPr>
        <w:pStyle w:val="TextoNormal"/>
      </w:pPr>
    </w:p>
    <w:p w:rsidR="00163957" w:rsidRDefault="00163957" w:rsidP="00163957">
      <w:pPr>
        <w:pStyle w:val="TextoNormal"/>
      </w:pPr>
      <w:r>
        <w:lastRenderedPageBreak/>
        <w:t>A la vista de todo lo expuesto y del gravísimo estado en que se encuentra el país en el momento de dictarse las normas que aquí se cuestionan, se pregunta qué situación ha de producirse para obtener la cualificación de excepcional. En consecuencia, solicita que se desestime la presente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8</w:t>
      </w:r>
      <w:r>
        <w:t>. Por escrito registrado el 21 de octubre de 2013 se persona el procurador don Luciano Rosch Nadal en nombre y representación de la Agencia de Medio Ambiente y Agua de Andalucía.</w:t>
      </w:r>
    </w:p>
    <w:p w:rsidR="00163957" w:rsidRDefault="00163957" w:rsidP="00163957">
      <w:pPr>
        <w:pStyle w:val="TextoNormal"/>
      </w:pPr>
    </w:p>
    <w:p w:rsidR="00163957" w:rsidRDefault="00163957" w:rsidP="00163957">
      <w:pPr>
        <w:pStyle w:val="TextoNormal"/>
      </w:pPr>
      <w:r>
        <w:t>Por diligencia de ordenación de 30 de octubre de 2013 se acuerda tenerle por personado y parte en la presente cuestión de inconstitucionalidad, acordándose entender con él las sucesivas actuaciones, y conforme establece el art. 37.2 LOTC se le concede un plazo de 15 días para que formule las alegaciones que estime convenientes.</w:t>
      </w:r>
    </w:p>
    <w:p w:rsidR="00163957" w:rsidRDefault="00163957" w:rsidP="00163957">
      <w:pPr>
        <w:pStyle w:val="TextoNormal"/>
      </w:pPr>
    </w:p>
    <w:p w:rsidR="00163957" w:rsidRDefault="00163957" w:rsidP="00163957">
      <w:pPr>
        <w:pStyle w:val="TextoNormal"/>
      </w:pPr>
      <w:r w:rsidRPr="00163957">
        <w:rPr>
          <w:rStyle w:val="NumeroAFNegritaCaracter"/>
        </w:rPr>
        <w:t>9</w:t>
      </w:r>
      <w:r>
        <w:t>. El Letrado de la Junta de Andalucía presenta su escrito de alegaciones el 23 de octubre de 2013.</w:t>
      </w:r>
    </w:p>
    <w:p w:rsidR="00163957" w:rsidRDefault="00163957" w:rsidP="00163957">
      <w:pPr>
        <w:pStyle w:val="TextoNormal"/>
      </w:pPr>
    </w:p>
    <w:p w:rsidR="00163957" w:rsidRDefault="00163957" w:rsidP="00163957">
      <w:pPr>
        <w:pStyle w:val="TextoNormal"/>
      </w:pPr>
      <w:r>
        <w:t>A su juicio la norma autonómica no vulnera el art. 9.3 CE. Señala que para determinar cuándo una norma tiene el carácter retroactivo proscrito constitucionalmente hay que analizar, de un lado, el grado de retroactividad de la norma cuestionada y, de otro, las circunstancias específicas que concurren en cada supuesto.</w:t>
      </w:r>
    </w:p>
    <w:p w:rsidR="00163957" w:rsidRDefault="00163957" w:rsidP="00163957">
      <w:pPr>
        <w:pStyle w:val="TextoNormal"/>
      </w:pPr>
    </w:p>
    <w:p w:rsidR="00163957" w:rsidRDefault="00163957" w:rsidP="00163957">
      <w:pPr>
        <w:pStyle w:val="TextoNormal"/>
      </w:pPr>
      <w:r>
        <w:t>Con relación a la primera cuestión, el grado de retroactividad, tras recordar la doctrina del Tribunal Constitucional, entiende que las normas en cuestión no inciden sobre un derecho ya patrimonializado por los empleados públicos: la parte de tiempo transcurrido desde el mes de junio hasta la entrada en vigor de la norma —15 de julio— no ha pasado a constituir un derecho consolidado y adquirido del trabajador. Esta situación de consolidación o agotamiento de la situación jurídica sólo se habría producido si, de forma efectiva, el empleado público hubiera percibido ya la parte de paga extraordinaria devengada hasta el 15 de julio, fecha de entrada en vigor de la norma. Situación que no se produce aquí en la medida en que la norma no incide sobre un efecto jurídico ya producido.</w:t>
      </w:r>
    </w:p>
    <w:p w:rsidR="00163957" w:rsidRDefault="00163957" w:rsidP="00163957">
      <w:pPr>
        <w:pStyle w:val="TextoNormal"/>
      </w:pPr>
    </w:p>
    <w:p w:rsidR="00163957" w:rsidRDefault="00163957" w:rsidP="00163957">
      <w:pPr>
        <w:pStyle w:val="TextoNormal"/>
      </w:pPr>
      <w:r>
        <w:t xml:space="preserve">Afirma que no puede anteponerse una doctrina interpretativa del Tribunal Supremo frente a una norma de rango legal para que aquella actúe como parámetro de la constitucionalidad de ésta. La constitucionalidad del Real Decreto-ley 20/2012 no puede examinada sobre la premisa de una determinada interpretación jurisprudencial respecto al devengo de las pagas extraordinarias y menos aún la del Decreto-ley 3/2012 pues si dicha doctrina sólo tendría prioridad ante el silencio de la ley este no sería el caso en el supuesto concreto de la Comunidad Autónoma andaluza. En el supuesto que nos ocupa la normativa propia de esta Comunidad Autónoma si prevé de manera expresa cuándo se produce el devengo de la paga extraordinaria. Tanto la Ley 6/1985, de 28 de noviembre, de ordenación de la función de pública de la Junta de Andalucía como el vigente VI convenio colectivo para el personal laboral de la Administración de la Junta de Andalucía, establecen al respecto que el derecho de dicho personal del sector público a dos gratificaciones extraordinarias al año se devengará los días uno de los meses de junio y diciembre y se abonaran conjuntamente con la nómina ordinaria correspondiente a dichas mensualidades, añadiendo en el caso del personal funcionario, “con referencia a la situación y derechos del funcionario en dichas fechas”. De conformidad con este artículo, el devengo de la segunda paga extraordinaria tiene lugar el </w:t>
      </w:r>
      <w:r>
        <w:lastRenderedPageBreak/>
        <w:t>1 de diciembre. Y por devengo debe entenderse, conforme al diccionario de la Real Academia Española, “la adquisición del derecho a alguna percepción o retribución por razón de trabajo, servicio u otro título”. Conforme a lo anterior, es el día 1 de diciembre y no antes cuando se produce el nacimiento de cualquier derecho a percepciones correspondientes a la segunda paga extraordinaria anual, excepto si se produce el cese en la situación de servicio activo con anterioridad a dicho 1 de diciembre, en cuyo caso y por mandato legal, será esa fecha y por esa situación la que determine el devengo de tal paga.</w:t>
      </w:r>
    </w:p>
    <w:p w:rsidR="00163957" w:rsidRDefault="00163957" w:rsidP="00163957">
      <w:pPr>
        <w:pStyle w:val="TextoNormal"/>
      </w:pPr>
    </w:p>
    <w:p w:rsidR="00163957" w:rsidRDefault="00163957" w:rsidP="00163957">
      <w:pPr>
        <w:pStyle w:val="TextoNormal"/>
      </w:pPr>
      <w:r>
        <w:t>Con carácter subsidiario a lo anterior, considera que en todo caso concurren exigencias cualificadas del bien común que permiten excepcionar la aplicación del principio de irretroactividad. Entiende que la situación económica excepcional que el propio Auto de la Sala de lo Social reconoce colma suficientemente, conforme a la doctrina constitucional, el concepto jurídico indeterminado sobre el que descansa la excepción al ajuste constitucional de una retroactividad auténtica o de grado máximo.</w:t>
      </w:r>
    </w:p>
    <w:p w:rsidR="00163957" w:rsidRDefault="00163957" w:rsidP="00163957">
      <w:pPr>
        <w:pStyle w:val="TextoNormal"/>
      </w:pPr>
    </w:p>
    <w:p w:rsidR="00163957" w:rsidRDefault="00163957" w:rsidP="00163957">
      <w:pPr>
        <w:pStyle w:val="TextoNormal"/>
      </w:pPr>
      <w:r w:rsidRPr="00163957">
        <w:rPr>
          <w:rStyle w:val="NumeroAFNegritaCaracter"/>
        </w:rPr>
        <w:t>10</w:t>
      </w:r>
      <w:r>
        <w:t>. El Fiscal General del Estado presentó escrito de alegaciones ante este Tribunal el 5 de noviembre de 2013 interesando la estimación de la presente cuestión de inconstitucionalidad.</w:t>
      </w:r>
    </w:p>
    <w:p w:rsidR="00163957" w:rsidRDefault="00163957" w:rsidP="00163957">
      <w:pPr>
        <w:pStyle w:val="TextoNormal"/>
      </w:pPr>
    </w:p>
    <w:p w:rsidR="00163957" w:rsidRDefault="00163957" w:rsidP="00163957">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163957" w:rsidRDefault="00163957" w:rsidP="00163957">
      <w:pPr>
        <w:pStyle w:val="TextoNormal"/>
      </w:pPr>
    </w:p>
    <w:p w:rsidR="00163957" w:rsidRDefault="00163957" w:rsidP="00163957">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163957">
        <w:rPr>
          <w:i/>
        </w:rPr>
        <w:t>N.K.M. c. Hungría</w:t>
      </w:r>
      <w:r>
        <w:t xml:space="preserve">), que declaró la vulneración del art. 1 del protocolo núm. 1 anexo al convenio por un acto de privación de </w:t>
      </w:r>
      <w:r>
        <w:lastRenderedPageBreak/>
        <w:t>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El Fiscal General del Estado concluye sus alegaciones precisando que en el Auto de planteamiento no se cuestiona todo el art. 2 del Real Decreto-ley 20/2012 sino en concreto, su apartado 2.2, ya que es éste el que resulta aplicable para resolver el pleito sometido a su conocimiento y relevante en cuánto el recurso del proceso subyacente se refiere exclusivamente al personal laboral.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w:t>
      </w:r>
    </w:p>
    <w:p w:rsidR="00163957" w:rsidRDefault="00163957" w:rsidP="00163957">
      <w:pPr>
        <w:pStyle w:val="TextoNormal"/>
      </w:pPr>
    </w:p>
    <w:p w:rsidR="00163957" w:rsidRDefault="00163957" w:rsidP="00163957">
      <w:pPr>
        <w:pStyle w:val="TextoNormal"/>
      </w:pPr>
      <w:r w:rsidRPr="00163957">
        <w:rPr>
          <w:rStyle w:val="NumeroAFNegritaCaracter"/>
        </w:rPr>
        <w:t>11</w:t>
      </w:r>
      <w:r>
        <w:t>. 11. El 12 de noviembre de 2013 presentó su escrito de alegaciones la Agencia de Medio Ambiente y Agua de Andalucía.</w:t>
      </w:r>
    </w:p>
    <w:p w:rsidR="00163957" w:rsidRDefault="00163957" w:rsidP="00163957">
      <w:pPr>
        <w:pStyle w:val="TextoNormal"/>
      </w:pPr>
    </w:p>
    <w:p w:rsidR="00163957" w:rsidRDefault="00163957" w:rsidP="00163957">
      <w:pPr>
        <w:pStyle w:val="TextoNormal"/>
      </w:pPr>
      <w:r>
        <w:t xml:space="preserve">Señala que debe prestarse especial atención a la singularidad de la suspensión del deber de pago de la paga extra de diciembre en el ámbito de la Comunidad Autónoma de Andalucía. En este ámbito, hay que tener en consideración que, con anterioridad a la entrada en vigor del Real Decreto-ley 20/2012 y a fecha 1 de julio de 2012, ya estaba en vigor el Decreto-Ley 1/2012, de 19 de junio, de medidas fiscales, administrativas, laborales y en materia de hacienda pública para el reequilibrio económico financiero de la Junta de Andalucía, cuyo art. 234 establecía una reducción de la masa salarial del personal laboral del 5 por ciento. Este precepto fue reproducido con la misma numeración y contenido en el Decreto-ley 3/2012, quedando suspendido finalmente para 2012, en la medida en que dicha suspensión se compensaba con la supresión de la paga extra, motivo por el cual, incluso si no </w:t>
      </w:r>
      <w:r>
        <w:lastRenderedPageBreak/>
        <w:t>hubiera existido la supresión de la paga extra, los trabajadores habrían tenido un decremento salarial del 5 por 100.</w:t>
      </w:r>
    </w:p>
    <w:p w:rsidR="00163957" w:rsidRDefault="00163957" w:rsidP="00163957">
      <w:pPr>
        <w:pStyle w:val="TextoNormal"/>
      </w:pPr>
    </w:p>
    <w:p w:rsidR="00163957" w:rsidRDefault="00163957" w:rsidP="00163957">
      <w:pPr>
        <w:pStyle w:val="TextoNormal"/>
      </w:pPr>
      <w:r>
        <w:t>Considera que no procede la reclamación de pago proporcional a los días de julio transcurridos hasta la entrada en vigor del Real Decreto-ley 20/2012. Y ello, por cuanto según el diccionario de la Real Academia Española, por devengo se entiende la adquisición del derecho a alguna percepción o retribución por razón de trabajo, servicio u otro título. Por lo que es en el mes de diciembre cuando se produce el nacimiento del derecho a percepciones correspondientes a la segunda paga extraordinaria. Excepto si antes se produce el cese en la situación de servicio activo, en cuyo caso será la fecha de fin en esa situación la que determine el devengo de dicha paga.</w:t>
      </w:r>
    </w:p>
    <w:p w:rsidR="00163957" w:rsidRDefault="00163957" w:rsidP="00163957">
      <w:pPr>
        <w:pStyle w:val="TextoNormal"/>
      </w:pPr>
    </w:p>
    <w:p w:rsidR="00163957" w:rsidRDefault="00163957" w:rsidP="00163957">
      <w:pPr>
        <w:pStyle w:val="TextoNormal"/>
      </w:pPr>
      <w:r>
        <w:t>Por lo tanto, dado que no existe un derecho adquirido durante el referido período sobre la paga extraordinaria de diciembre de 2012, no puede alegarse que se haga una aplicación retroactiva de dicho Real Decreto.</w:t>
      </w:r>
    </w:p>
    <w:p w:rsidR="00163957" w:rsidRDefault="00163957" w:rsidP="00163957">
      <w:pPr>
        <w:pStyle w:val="TextoNormal"/>
      </w:pPr>
    </w:p>
    <w:p w:rsidR="00163957" w:rsidRDefault="00163957" w:rsidP="00163957">
      <w:pPr>
        <w:pStyle w:val="TextoNormal"/>
      </w:pPr>
      <w:r w:rsidRPr="00163957">
        <w:rPr>
          <w:rStyle w:val="NumeroAFNegritaCaracter"/>
        </w:rPr>
        <w:t>12</w:t>
      </w:r>
      <w:r>
        <w:t>. Por providencia de 10 de marzo de 2016 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Sala de lo Social del Tribunal Superior de Justicia de Andalucía, con sede en Málaga, plantea cuestión de inconstitucionalidad respecto del artículo único.3 del Decreto-ley 3/2012, de 24 de julio, por el que se modifica el Decreto-ley 1/2012, de 19 de junio, de medidas fiscales, administrativas y laborales y en materia de hacienda pública para el reequilibrio económico y financiero de la Junta de Andalucía, y el art. 2 del Real Decreto-ley 20/2012, de 13 de julio, de medidas para garantizar la estabilidad presupuestaria y de fomento de la competitividad. Este precepto,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los citados artículos, en su aplicación al personal laboral,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w:t>
      </w:r>
    </w:p>
    <w:p w:rsidR="00163957" w:rsidRDefault="00163957" w:rsidP="00163957">
      <w:pPr>
        <w:pStyle w:val="TextoNormal"/>
      </w:pPr>
    </w:p>
    <w:p w:rsidR="00163957" w:rsidRDefault="00163957" w:rsidP="00163957">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el Letrado de la Junta de Andalucía, el Letrado del Parlamento de Andalucía y la Agencia de Medio Ambiente y Agua de Andalucía, solicitan su desestimación.</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análisis de la cuestión planteada conviene realizar una serie de precisiones para acotar debidamente el objeto de la misma y el alcance de nuestro enjuiciamiento.</w:t>
      </w:r>
    </w:p>
    <w:p w:rsidR="00163957" w:rsidRDefault="00163957" w:rsidP="00163957">
      <w:pPr>
        <w:pStyle w:val="TextoNormal"/>
      </w:pPr>
    </w:p>
    <w:p w:rsidR="00163957" w:rsidRDefault="00163957" w:rsidP="00163957">
      <w:pPr>
        <w:pStyle w:val="TextoNormal"/>
      </w:pPr>
      <w:r>
        <w:lastRenderedPageBreak/>
        <w:t>a) Así, en primer lugar, resulta obligado advertir, que la Sala de lo Social del Tribunal Superior de Justicia de Andalucía cuestiona los preceptos señalados en su aplicación al personal laboral. Ello se conecta lógicamente con el juicio de relevancia, correctamente expresado por el órgano judicial, pues la cuestión de inconstitucionalidad trae causa de un proceso de conflicto colectivo promovido por la federación agroalimentaria de Comisiones Obreras con motivo de la supresión por la Agencia de Medio Ambiente y Agua de Andalucía, por aplicación de las previsiones contenidas en el Real Decreto-ley 20/2012 y en el Decreto-ley autonómico 3/2012, de la paga o gratificación extraordinaria de diciembre de 2012 al personal de dicha Agencia, proceso en el que lo pretendido es justamente que se declare el derecho a percibir la parte proporcional de la paga extra de diciembre de 2012 que consideran ya devengada al momento de la entrada en vigor del Real Decreto-ley 20/2012 (del 1 al 14 de julio), porque, de acuerdo con el art. 9.3 CE, no cabe que la supresión de esa paga extra por el Real Decreto-ley 20/2012 tenga efectos retroactivos.</w:t>
      </w:r>
    </w:p>
    <w:p w:rsidR="00163957" w:rsidRDefault="00163957" w:rsidP="00163957">
      <w:pPr>
        <w:pStyle w:val="TextoNormal"/>
      </w:pPr>
    </w:p>
    <w:p w:rsidR="00163957" w:rsidRDefault="00163957" w:rsidP="00163957">
      <w:pPr>
        <w:pStyle w:val="TextoNormal"/>
      </w:pPr>
      <w:r>
        <w:t>b) Por otra parte debe tenerse en cuenta que no se cuestiona por la Sala de lo Social del Tribunal Superior de Justicia de Andalucía la medida de supresión de la paga extraordinaria de diciembre de 2012 en sí misma considerada, sino sólo en cuanto su aplicación haya podido suponer la infracción del principio de irretroactividad establecido en el art. 9.3 CE, al no contemplar excepción alguna respecto de las cuantías que se entienden ya devengadas de dicha paga extra a la fecha de entrada en vigor del Real Decreto-ley 20/2012 (que tuvo lugar el 15 de julio de 2012, conforme a su disposición final decimoquinta), ni fijar indemnización alguna por la supresión de un derecho patrimonial. A esta concreta duda de constitucionalidad deberá, pues, ceñirse nuestro enjuiciamiento.</w:t>
      </w:r>
    </w:p>
    <w:p w:rsidR="00163957" w:rsidRDefault="00163957" w:rsidP="00163957">
      <w:pPr>
        <w:pStyle w:val="TextoNormal"/>
      </w:pPr>
    </w:p>
    <w:p w:rsidR="00163957" w:rsidRDefault="00163957" w:rsidP="00163957">
      <w:pPr>
        <w:pStyle w:val="TextoNormal"/>
      </w:pPr>
      <w:r w:rsidRPr="00163957">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163957" w:rsidRDefault="00163957" w:rsidP="00163957">
      <w:pPr>
        <w:pStyle w:val="TextoNormal"/>
      </w:pPr>
    </w:p>
    <w:p w:rsidR="00163957" w:rsidRDefault="00163957" w:rsidP="00163957">
      <w:pPr>
        <w:pStyle w:val="TextoNormal"/>
      </w:pPr>
      <w:r>
        <w:t xml:space="preserve">De conformidad con lo dispuesto en dicha norma, la disposición adicional decimoquinta de la Ley 1/2015, de 21 de diciembre, de presupuestos de la Comunidad Autónoma de Andalucía para el año 2016, dispone que en la nómina del mes de febrero de 2016 se percibirá la parte proporcional correspondiente a los primeros 44 días de la paga extraordinaria, así como de la paga adicional de complemento específico o pagas adicionales, o importes equivalentes correspondientes al mes de diciembre de 2012, dejadas de percibir por aplicación del Real Decreto-ley 20/2012, de 13 de julio, de medidas para garantizar la estabilidad presupuestaria y de fomento de la competitividad, y de la disposición transitoria primera de la Ley 3/2012, de 21 de septiembre, de medidas fiscales, administrativas, laborales y en materia de hacienda pública para el reequilibrio económico-financiero de la Junta de Andalucía. Así, por resolución de 30 de diciembre de 2015, de la Secretaría General para la Administración pública, se dictan instrucciones para la recuperación, en la nómina de febrero de 2016, por el personal de la Administración de la Junta de Andalucía, sus instituciones y agencias administrativas, las agencias de régimen especial y las agencias públicas empresariales, sociedades mercantiles del sector público andaluz, y consorcios y fundaciones, de la </w:t>
      </w:r>
      <w:r>
        <w:lastRenderedPageBreak/>
        <w:t>parte proporcional correspondiente a los primeros 44 días de la paga extraordinaria de diciembre de 2012.</w:t>
      </w:r>
    </w:p>
    <w:p w:rsidR="00163957" w:rsidRDefault="00163957" w:rsidP="00163957">
      <w:pPr>
        <w:pStyle w:val="TextoNormal"/>
      </w:pPr>
    </w:p>
    <w:p w:rsidR="00163957" w:rsidRDefault="00163957" w:rsidP="00163957">
      <w:pPr>
        <w:pStyle w:val="TextoNormal"/>
      </w:pPr>
      <w:r>
        <w:t xml:space="preserve">Como consecuencia del abono de los 44 días devengados de la paga extraordinaria correspondiente al mes de diciembre de 2012, debemos remitirnos a lo dicho en nuestra STC 83/2015, de 30 de abril, sobre la posible pérdida de objeto de la cuestión de inconstitucionalidad. En concreto, en el fundamento jurídico 3 de la citada STC 83/2015, ya pusimos de relieve la innegable incidencia que tenía la medida contenida en la disposición adicional duodécima de la Ley 36/2014, de presupuestos generales del Estado para 2015, sobre la pretensión deducida en el pleito </w:t>
      </w:r>
      <w:r w:rsidRPr="00163957">
        <w:rPr>
          <w:i/>
        </w:rPr>
        <w:t>a quo</w:t>
      </w:r>
      <w:r>
        <w:t>, “que afecta de modo determinante a la subsistencia del presente proceso constitucional, dada la estrecha vinculación existente entre toda cuestión de inconstitucionalidad y el procedimiento judicial de que dimana”.</w:t>
      </w:r>
    </w:p>
    <w:p w:rsidR="00163957" w:rsidRDefault="00163957" w:rsidP="00163957">
      <w:pPr>
        <w:pStyle w:val="TextoNormal"/>
      </w:pPr>
    </w:p>
    <w:p w:rsidR="00163957" w:rsidRDefault="00163957" w:rsidP="00163957">
      <w:pPr>
        <w:pStyle w:val="TextoNormal"/>
      </w:pPr>
      <w:r>
        <w:t>Pues bien, en la presente cuestión de inconstitucionalidad se plantea si la supresión del derecho de los empleados de la Agencia de Medio Ambiente y Agua de Andalucía a percibir la parte proporcional (en concreto, del 1 al 14 de julio)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de 2012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163957" w:rsidRDefault="00163957" w:rsidP="00163957">
      <w:pPr>
        <w:pStyle w:val="TextoNormal"/>
      </w:pPr>
    </w:p>
    <w:p w:rsidR="00163957" w:rsidRDefault="00163957" w:rsidP="00163957">
      <w:pPr>
        <w:pStyle w:val="TextoNormal"/>
      </w:pPr>
      <w:r>
        <w:t>Conforme a lo expuesto, el abono a los empleados de la Agencia de Medio Ambiente y Agua de Andalucía,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de 14 de abril, FJ 3; y en el mismo sentido AATC 340/2003, de 21 de octubre, FJ único, y 75/2004, de 9 de marzo, FJ único).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Declarar la extinción de la presente cuestión de inconstitucionalidad por desaparición sobrevenida de su objeto.</w:t>
      </w:r>
    </w:p>
    <w:p w:rsidR="00163957" w:rsidRDefault="00163957" w:rsidP="00163957">
      <w:pPr>
        <w:pStyle w:val="TextoNormal"/>
      </w:pPr>
    </w:p>
    <w:p w:rsidR="00163957" w:rsidRDefault="00163957" w:rsidP="00163957">
      <w:pPr>
        <w:pStyle w:val="TextoNormal"/>
      </w:pPr>
      <w:r>
        <w:lastRenderedPageBreak/>
        <w:t>Publíquese esta Sentencia en el “Boletín Oficial del Estado”.</w:t>
      </w:r>
    </w:p>
    <w:p w:rsidR="00163957" w:rsidRDefault="00163957" w:rsidP="00163957">
      <w:pPr>
        <w:pStyle w:val="TextoNormal"/>
      </w:pPr>
      <w:r>
        <w:t>Dada en Madrid, a catorce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50" w:name="SENTENCIA_2016_47"/>
      <w:r>
        <w:lastRenderedPageBreak/>
        <w:t>SENTENCIA 47/2016, de 14 de marzo de 2016</w:t>
      </w:r>
    </w:p>
    <w:bookmarkEnd w:id="50"/>
    <w:p w:rsidR="00163957" w:rsidRDefault="00163957" w:rsidP="00163957">
      <w:pPr>
        <w:pStyle w:val="TtuloResolucin"/>
      </w:pPr>
      <w:r>
        <w:t>Sala Segunda</w:t>
      </w:r>
    </w:p>
    <w:p w:rsidR="00163957" w:rsidRDefault="00163957" w:rsidP="00163957">
      <w:pPr>
        <w:pStyle w:val="TtuloBOE"/>
      </w:pPr>
      <w:r>
        <w:t>(BOE núm. 97, de 22 de abril de 2016)</w:t>
      </w:r>
    </w:p>
    <w:p w:rsidR="00163957" w:rsidRDefault="00163957" w:rsidP="00163957">
      <w:pPr>
        <w:pStyle w:val="TextoNormalCentrado"/>
      </w:pPr>
      <w:r>
        <w:t>ECLI:ES:TC:2016:47</w:t>
      </w:r>
    </w:p>
    <w:p w:rsidR="00163957" w:rsidRDefault="00163957" w:rsidP="00163957">
      <w:pPr>
        <w:pStyle w:val="TextoNormalCentrado"/>
      </w:pPr>
    </w:p>
    <w:p w:rsidR="00163957" w:rsidRDefault="00163957" w:rsidP="00163957">
      <w:pPr>
        <w:pStyle w:val="SntesisDescriptiva"/>
      </w:pPr>
      <w:r>
        <w:t>Cuestión de inconstitucionalidad 4894-2013. Planteada por Sala de lo Social del Tribunal Superior de Justicia de Andalucía, con sede en Granada, en relación con el artículo 2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extinción, por pérdida de objeto, de la cuestión de inconstitucionalidad (STC 83/2015).</w:t>
      </w:r>
    </w:p>
    <w:p w:rsidR="00163957" w:rsidRDefault="00163957" w:rsidP="00163957">
      <w:pPr>
        <w:pStyle w:val="SntesisAnaltica"/>
      </w:pPr>
    </w:p>
    <w:p w:rsidR="00163957" w:rsidRDefault="00163957" w:rsidP="00163957">
      <w:pPr>
        <w:pStyle w:val="Extracto"/>
      </w:pPr>
      <w:r>
        <w:t>1.</w:t>
      </w:r>
      <w:r>
        <w:tab/>
        <w:t>Asunto sustancialmente idéntico al resuelto por la STC 83/2015, relativa a la pérdida de objeto de la cuestión de inconstitucionalidad como consecuencia de la satisfacción extraprocesal de la pretensión [FFJJ 2 a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4894-2013, promovida por Sala de lo Social del Tribunal Superior de Justicia de Andalucía (Granada) contra el art. 2 del Real Decreto-ley 20/2012, de 13 de julio, de medidas para garantizar la estabilidad presupuestaria y de fomento de la competitividad, por posible vulneración del art. 9.3 CE. Han formulado alegaciones el Fiscal General del Estado, el Abogado del Estado y la Letrada de la Junta de Andalucía. Ha sido Ponente el Magistrado don Juan José González Rivas,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1 de agosto de 2013 tuvo entrada en el Registro General de este Tribunal un oficio de la Sala de lo Social del Tribunal Superior de Justicia de Andalucía, con sede en Granada, al que se acompaña, junto con el testimonio del procedimiento de conflicto colectivo núm. 6-2013, el Auto de 12 de julio de 2013, por el que se acuerda plantear cuestión de inconstitucionalidad en relación con el art. 2 del Real Decreto-ley 20/2012, de 13 de julio, de medidas para garantizar la estabilidad presupuestaria y de fomento de la competitividad, en su </w:t>
      </w:r>
      <w:r>
        <w:lastRenderedPageBreak/>
        <w:t>aplicación al personal laboral del sector público, por posible lesión del art. 9.3 CE, sobre el principio de irretroactividad de disposiciones restrictivas de derechos individuales.</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procesales de la cuestión de inconstitucionalidad planteada son, sucintamente expuestos, los siguientes:</w:t>
      </w:r>
    </w:p>
    <w:p w:rsidR="00163957" w:rsidRDefault="00163957" w:rsidP="00163957">
      <w:pPr>
        <w:pStyle w:val="TextoNormal"/>
      </w:pPr>
    </w:p>
    <w:p w:rsidR="00163957" w:rsidRDefault="00163957" w:rsidP="00163957">
      <w:pPr>
        <w:pStyle w:val="TextoNormal"/>
      </w:pPr>
      <w:r>
        <w:t>a) La Agencia de Gestión Agraria y Pesquera de Andalucía (AGAPA), constituida por Decreto 99/2011, de 19 de abril, consta de personal funcionario y laboral. Conforme al Real Decreto-ley 20/2012 y al Decreto-ley autonómico 3/2012 (que adaptó las retribuciones del empleo público andaluz al Real Decreto-ley anterior), la agencia acuerda en comisión formada por su director y los representantes de los sindicatos CCOO, UGT y UITA la supresión de la paga extraordinaria del mes de diciembre de 2012, salvo en las retribuciones que no alcancen en cómputo anual 1,5 veces el salario mínimo interprofesional. La federación agroalimentaria de CCOO presenta en fecha 10 de abril de 2013 demanda de conflicto colectivo contra la Agencia y los sindicatos UGT, CSIF y UITA, solicitando: 1) la anulación de la supresión íntegra de la paga extraordinaria o, al menos, el reconocimiento del derecho al pago de la parte proporcional de la paga correspondiente al período comprendido entre el 1 y el 14 de julio de 2012; y 2) en relación con los trabajadores discontinuos, el reconocimiento de que en ningún caso debió suprimírseles la paga a la vista de que sus retribuciones no alcanzan el mínimo exigido y de que, todo lo más, correspondía una reducción de 1/14 parte, habida cuenta de que sólo trabajan 6 meses al año.</w:t>
      </w:r>
    </w:p>
    <w:p w:rsidR="00163957" w:rsidRDefault="00163957" w:rsidP="00163957">
      <w:pPr>
        <w:pStyle w:val="TextoNormal"/>
      </w:pPr>
    </w:p>
    <w:p w:rsidR="00163957" w:rsidRDefault="00163957" w:rsidP="00163957">
      <w:pPr>
        <w:pStyle w:val="TextoNormal"/>
      </w:pPr>
      <w:r>
        <w:t>b) Tras la celebración del acto del juicio el 23 de mayo de 2013, concluso el procedimiento y dentro del plazo para dictar Sentencia, el órgano judicial dicta providencia de 28 mayo de 2013 por la que acuerda oír a las partes y al Ministerio Fiscal para que aleguen sobre la pertinencia de plantear cuestión de inconstitucionalidad en relación con el art. 2 del Real Decreto-ley 20/2012, por posible vulneración del art. 9.3 CE. La duda de constitucionalidad se concreta en que el citado precepto establece la reducción de las retribuciones en las cuantías que correspondía percibir en el mes de diciembre de 2012 como consecuencia de la supresión de la paga o gratificación extraordinaria, sin establecer excepción alguna en cuanto a la parte que ya se había devengado a la fecha de su entrada en vigor, el 15 de julio de 2012, lo que, teniendo en cuenta que la jurisprudencia del Tribunal Supremo ha establecido que las gratificaciones extraordinarias constituyen una manifestación del salario diferido y se devengan día a día, podría vulnerar el art. 9.3 CE, que garantiza la irretroactividad de las disposiciones restrictivas de derechos individuales.</w:t>
      </w:r>
    </w:p>
    <w:p w:rsidR="00163957" w:rsidRDefault="00163957" w:rsidP="00163957">
      <w:pPr>
        <w:pStyle w:val="TextoNormal"/>
      </w:pPr>
    </w:p>
    <w:p w:rsidR="00163957" w:rsidRDefault="00163957" w:rsidP="00163957">
      <w:pPr>
        <w:pStyle w:val="TextoNormal"/>
      </w:pPr>
      <w:r>
        <w:t xml:space="preserve">c) Por escrito de 10 de junio de 2013, el Ministerio Fiscal se muestra favorable al planteamiento de la cuestión sin entrar en el fondo, teniendo en cuenta que el Tribunal Constitucional ya ha admitido la cuestión de inconstitucionalidad 1697-2013. En 20 del mismo mes tienen entrada las alegaciones de CCOO, por un lado, y de la AGAPA, por otro. El primero se opone al planteamiento por considerar que el </w:t>
      </w:r>
      <w:r w:rsidRPr="00163957">
        <w:rPr>
          <w:i/>
        </w:rPr>
        <w:t>petitum</w:t>
      </w:r>
      <w:r>
        <w:t xml:space="preserve"> de la demanda no se ve afectado por el Real Decreto-ley 20/2012; la segunda insiste en que la no inclusión de la paga extraordinaria era una medida a la que estaba obligada por estar impuesta en una norma estatal de rango legal. Por escrito registrado en 11 de julio de 2013, UGT se muestra favorable al planteamiento de la cuestión.</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3</w:t>
      </w:r>
      <w:r>
        <w:t>. Por Auto de 12 de julio de 2013, la Sala de lo Social del Tribunal Superior de Justicia de Andalucía acordó plantear la presente cuestión de inconstitucionalidad y del análisis de su contenido interesa destacar los siguientes puntos:</w:t>
      </w:r>
    </w:p>
    <w:p w:rsidR="00163957" w:rsidRDefault="00163957" w:rsidP="00163957">
      <w:pPr>
        <w:pStyle w:val="TextoNormal"/>
      </w:pPr>
    </w:p>
    <w:p w:rsidR="00163957" w:rsidRDefault="00163957" w:rsidP="00163957">
      <w:pPr>
        <w:pStyle w:val="TextoNormal"/>
      </w:pPr>
      <w:r>
        <w:t>a) Tras precisar los antecedentes de hecho en el planteamiento de la cuestión y trascribir los preceptos legales afectados, la Sala expone la doctrina constitucional sobre los requisitos de admisibilidad de las cuestiones de inconstitucionalidad, juicio de relevancia e imposibilidad de acomodar por vía interpretativa la regulación controvertida al marco constitucional. Esto conduce a la Sala al núcleo de su duda del problema.</w:t>
      </w:r>
    </w:p>
    <w:p w:rsidR="00163957" w:rsidRDefault="00163957" w:rsidP="00163957">
      <w:pPr>
        <w:pStyle w:val="TextoNormal"/>
      </w:pPr>
    </w:p>
    <w:p w:rsidR="00163957" w:rsidRDefault="00163957" w:rsidP="00163957">
      <w:pPr>
        <w:pStyle w:val="TextoNormal"/>
      </w:pPr>
      <w:r>
        <w:t>b) Razona la Sala con base en el convenio colectivo de aplicación y citando jurisprudencia del Tribunal Supremo que la paga extraordinaria es un salario que se devenga día a día, pero que se abona de manera diferida. Entiende que, cuando en 15 de julio de 2012 entró en vigor el Real Decreto-ley 20/2012, los trabajadores habían ya devengado catorce días de la paga extraordinaria de diciembre. El derecho a la retribución del trabajo de cada uno de esos días estaba de este modo ya incorporado en su patrimonio al término de cada jornada laboral. Afirma, citando la doctrina constitucional y el art. 2.3 del Código civil, que la norma, al suprimir íntegramente el abono de la paga extraordinaria, habría producido una retroactividad auténtica, por incidir sobre situaciones consagradas o agotadas. Consecuentemente, el art. 2 del Real Decreto-ley 20/2012 al negar el salario ya devengado por esos catorce días, habría suprimido derechos consolidados en contra de la prohibición constitucional de retroactividad de las disposiciones restrictivas de derechos (art. 9.3 CE). A ello añade que el argumento del Real Decreto-ley del grave daño al interés público derivado de la alteración de las circunstancias económicas es insuficiente para ajustarse a la legalidad que requiere la Constitución.</w:t>
      </w:r>
    </w:p>
    <w:p w:rsidR="00163957" w:rsidRDefault="00163957" w:rsidP="00163957">
      <w:pPr>
        <w:pStyle w:val="TextoNormal"/>
      </w:pPr>
    </w:p>
    <w:p w:rsidR="00163957" w:rsidRDefault="00163957" w:rsidP="00163957">
      <w:pPr>
        <w:pStyle w:val="TextoNormal"/>
      </w:pPr>
      <w:r>
        <w:t>c) Por todo lo expuesto, la Sala de lo Social del Tribunal Superior de Justicia concluye que el art. 2 del Real Decreto-ley 20/2012 es aplicable al caso, que el fallo depende de su validez y que no es posible acomodarlo a la Constitución por vía interpretativa, pues ha podido vulnerar el principio de irretroactividad de las disposiciones restrictivas de derechos individuales, previsto en el art. 9.3 CE, al establecer la supresión de la paga extraordinaria de diciembre de 2012 para el personal laboral del sector público.</w:t>
      </w:r>
    </w:p>
    <w:p w:rsidR="00163957" w:rsidRDefault="00163957" w:rsidP="00163957">
      <w:pPr>
        <w:pStyle w:val="TextoNormal"/>
      </w:pPr>
    </w:p>
    <w:p w:rsidR="00163957" w:rsidRDefault="00163957" w:rsidP="00163957">
      <w:pPr>
        <w:pStyle w:val="TextoNormal"/>
      </w:pPr>
      <w:r w:rsidRPr="00163957">
        <w:rPr>
          <w:rStyle w:val="NumeroAFNegritaCaracter"/>
        </w:rPr>
        <w:t>4</w:t>
      </w:r>
      <w:r>
        <w:t>. El Pleno de este Tribunal, a propuesta de la Sección Tercera, acordó admitir a trámite la cuestión mediante providencia de 24 de septiembre de 2013;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15 días, pudieran personarse en el procedimiento y formular las alegaciones que estimasen convenientes; comunicar la resolución a la Sala de lo Social del Tribunal Superior de Justicia de Andalucía,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Por escrito registrado el 7 de octubre de 2013 el Presidente del Congreso de los Diputados comunicó a este Tribunal la decisión de la Mesa de que se diera por personada a la </w:t>
      </w:r>
      <w:r>
        <w:lastRenderedPageBreak/>
        <w:t>Cámara y por ofrecida su colaboración a los efectos del art. 88.1 LOTC, con remisión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t>Mediante escrito registrado el 9 de octubre de 2013, el Presidente del Senado comunicó a este Tribunal el acuerdo de la Mesa para que se diera por personada a la Cámara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Abogado del Estado, mediante escrito de alegaciones registrado el 11 de octubre de 2014, se personó interesando la desestimación de la cuestión de inconstitucionalidad por las razones que, resumidamente, se exponen a continuación.</w:t>
      </w:r>
    </w:p>
    <w:p w:rsidR="00163957" w:rsidRDefault="00163957" w:rsidP="00163957">
      <w:pPr>
        <w:pStyle w:val="TextoNormal"/>
      </w:pPr>
    </w:p>
    <w:p w:rsidR="00163957" w:rsidRDefault="00163957" w:rsidP="00163957">
      <w:pPr>
        <w:pStyle w:val="TextoNormal"/>
      </w:pPr>
      <w:r>
        <w:t>Comienza señalando que el Auto de planteamiento no cuestiona la totalidad del extenso art. 2 del Real Decreto-ley 20/2012; únicamente se refiere, por posible vulneración de los derechos adquiridos, a la aplicación retroactiva del Real Decreto-ley a las cuantías que entiende ya devengadas correspondientes a la paga de diciembre de 2012, entre el 1 de junio de 2012 y el 15 de julio de 2012, fecha de publicación del Real Decreto-ley. Con lo cual, señala, los preceptos cuestionados vendrían a vulnerar una consolidada jurisprudencia según la cual las pagas extraordinarias “constituyen una manifestación del salario diferido y se devengan día a día”; por lo que concluye que la supresión de la paga extra devengada entre los días 1 a 15 de julio podría infringir el art. 9.3 CE.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 15 de julio de 2012).</w:t>
      </w:r>
    </w:p>
    <w:p w:rsidR="00163957" w:rsidRDefault="00163957" w:rsidP="00163957">
      <w:pPr>
        <w:pStyle w:val="TextoNormal"/>
      </w:pPr>
    </w:p>
    <w:p w:rsidR="00163957" w:rsidRDefault="00163957" w:rsidP="00163957">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163957" w:rsidRDefault="00163957" w:rsidP="00163957">
      <w:pPr>
        <w:pStyle w:val="TextoNormal"/>
      </w:pPr>
    </w:p>
    <w:p w:rsidR="00163957" w:rsidRDefault="00163957" w:rsidP="00163957">
      <w:pPr>
        <w:pStyle w:val="TextoNormal"/>
      </w:pPr>
      <w: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w:t>
      </w:r>
      <w:r>
        <w:lastRenderedPageBreak/>
        <w:t>Auto de planteamiento, la cuestión radica en determinar si el derecho a la paga extraordinaria de Navidad, en cantidad proporcional a los días 1 a 15 de julio, “estaba ya consolidado, asumido e integrado en el patrimonio de los trabajadores cuando entró en vigor” el Real Decreto-ley 20/2012, o si, por el contrario, se trataba de una expectativa de derecho o de un derecho futuro o condicionado.</w:t>
      </w:r>
    </w:p>
    <w:p w:rsidR="00163957" w:rsidRDefault="00163957" w:rsidP="00163957">
      <w:pPr>
        <w:pStyle w:val="TextoNormal"/>
      </w:pPr>
    </w:p>
    <w:p w:rsidR="00163957" w:rsidRDefault="00163957" w:rsidP="00163957">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163957" w:rsidRDefault="00163957" w:rsidP="00163957">
      <w:pPr>
        <w:pStyle w:val="TextoNormal"/>
      </w:pPr>
    </w:p>
    <w:p w:rsidR="00163957" w:rsidRDefault="00163957" w:rsidP="00163957">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163957" w:rsidRDefault="00163957" w:rsidP="00163957">
      <w:pPr>
        <w:pStyle w:val="TextoNormal"/>
      </w:pPr>
    </w:p>
    <w:p w:rsidR="00163957" w:rsidRDefault="00163957" w:rsidP="00163957">
      <w:pPr>
        <w:pStyle w:val="TextoNormal"/>
      </w:pPr>
      <w: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w:t>
      </w:r>
      <w:r>
        <w:lastRenderedPageBreak/>
        <w:t>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163957" w:rsidRDefault="00163957" w:rsidP="00163957">
      <w:pPr>
        <w:pStyle w:val="TextoNormal"/>
      </w:pPr>
    </w:p>
    <w:p w:rsidR="00163957" w:rsidRDefault="00163957" w:rsidP="00163957">
      <w:pPr>
        <w:pStyle w:val="TextoNormal"/>
      </w:pPr>
      <w:r>
        <w:t>Por todo ello, se interesa la desestimación de la cuestión.</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registrado el 25 de octubre de 2013 se personó la Letrada de la Junta de Andalucía y formuló las siguientes alegaciones.</w:t>
      </w:r>
    </w:p>
    <w:p w:rsidR="00163957" w:rsidRDefault="00163957" w:rsidP="00163957">
      <w:pPr>
        <w:pStyle w:val="TextoNormal"/>
      </w:pPr>
    </w:p>
    <w:p w:rsidR="00163957" w:rsidRDefault="00163957" w:rsidP="00163957">
      <w:pPr>
        <w:pStyle w:val="TextoNormal"/>
      </w:pPr>
      <w:r>
        <w:t>Afirma la Letrada de la Junta de Andalucía que, a su juicio, el art. 2 del Real Decreto-ley 20/2012 no infringe el art. 9.3 CE. Señala que para determinar cuándo una norma tiene el carácter retroactivo proscrito constitucionalmente hay que analizar, de un lado, el grado de retroactividad de la norma cuestionada y, de otro, las circunstancias específicas que concurren en cada supuesto.</w:t>
      </w:r>
    </w:p>
    <w:p w:rsidR="00163957" w:rsidRDefault="00163957" w:rsidP="00163957">
      <w:pPr>
        <w:pStyle w:val="TextoNormal"/>
      </w:pPr>
    </w:p>
    <w:p w:rsidR="00163957" w:rsidRDefault="00163957" w:rsidP="00163957">
      <w:pPr>
        <w:pStyle w:val="TextoNormal"/>
      </w:pPr>
      <w:r>
        <w:t>Con relación a la primera cuestión, el grado de retroactividad, tras recordar la doctrina del Tribunal Constitucional, entiende que las normas en cuestión no inciden sobre un derecho ya patrimonializado por los empleados públicos: la parte de tiempo transcurrido desde el mes de junio hasta la entrada en vigor de la norma —15 de julio— no ha pasado a constituir un derecho consolidado y adquirido del trabajador. Esta situación de consolidación o agotamiento de la situación jurídica sólo se habría producido si, de forma efectiva, el empleado público hubiera percibido ya la parte de paga extraordinaria devengada hasta el 15 de julio, fecha de entrada en vigor de la norma. Situación que no se produce aquí en la medida en que la norma no incide sobre un efecto jurídico ya producido.</w:t>
      </w:r>
    </w:p>
    <w:p w:rsidR="00163957" w:rsidRDefault="00163957" w:rsidP="00163957">
      <w:pPr>
        <w:pStyle w:val="TextoNormal"/>
      </w:pPr>
    </w:p>
    <w:p w:rsidR="00163957" w:rsidRDefault="00163957" w:rsidP="00163957">
      <w:pPr>
        <w:pStyle w:val="TextoNormal"/>
      </w:pPr>
      <w:r>
        <w:t>Afirma que no puede anteponerse una doctrina interpretativa del Tribunal Supremo frente a una norma de rango legal para que aquella actúe como parámetro de la constitucionalidad de ésta. La constitucionalidad del Real Decreto-ley 20/2012 no puede ser examinada sobre la premisa de una determinada interpretación jurisprudencial respecto al devengo de las pagas extraordinarias. En el supuesto que nos ocupa la normativa propia de esta Comunidad Autónoma si prevé de manera expresa cuándo se produce el devengo de la paga extraordinaria. Tanto la Ley 6/1985, de 28 de noviembre, de ordenación de la función de pública de la Junta de Andalucía como el vigente VI convenio colectivo para el personal laboral de la Administración de la Junta de Andalucía, como, en el caso que nos ocupa, en el V convenio colectivo interprovincial de la Agencia de Gestión Agraria y Pesquera de Andalucía. Así, en el art. 29 del citado convenio colectivo interprovincial aplicable se establece que el devengo de las pagas extraordinarias es semestral, razón por la cual el devengo de esta paga no se produce día a día como afirma la Sala de Granada, sino, de conformidad con la normativa específica aplicable, semestralmente. De conformidad con este artículo, el devengo de la segunda paga extraordinaria tiene lugar en el mes de diciembre. Y por devengo debe entenderse, conforme al diccionario de la Real Academia Española, “la adquisición del derecho a alguna percepción o retribución por razón de trabajo, servicio u otro título”. Conforme a lo anterior, es en diciembre y no antes cuando se produce el nacimiento de cualquier derecho a percepciones correspondientes a la segunda paga extraordinaria anual.</w:t>
      </w:r>
    </w:p>
    <w:p w:rsidR="00163957" w:rsidRDefault="00163957" w:rsidP="00163957">
      <w:pPr>
        <w:pStyle w:val="TextoNormal"/>
      </w:pPr>
    </w:p>
    <w:p w:rsidR="00163957" w:rsidRDefault="00163957" w:rsidP="00163957">
      <w:pPr>
        <w:pStyle w:val="TextoNormal"/>
      </w:pPr>
      <w:r>
        <w:lastRenderedPageBreak/>
        <w:t>Con carácter subsidiario a lo anterior, considera que en todo caso concurren exigencias cualificadas del bien común que permiten excepcionar la aplicación del principio de irretroactividad. Entiende que la situación económica excepcional que el propio Auto de la Sala de lo Social reconoce colma suficientemente, conforme a la doctrina constitucional, el concepto jurídico indeterminado sobre el que descansa la excepción al ajuste constitucional de una retroactividad auténtica o de grado máximo.</w:t>
      </w:r>
    </w:p>
    <w:p w:rsidR="00163957" w:rsidRDefault="00163957" w:rsidP="00163957">
      <w:pPr>
        <w:pStyle w:val="TextoNormal"/>
      </w:pPr>
    </w:p>
    <w:p w:rsidR="00163957" w:rsidRDefault="00163957" w:rsidP="00163957">
      <w:pPr>
        <w:pStyle w:val="TextoNormal"/>
      </w:pPr>
      <w:r w:rsidRPr="00163957">
        <w:rPr>
          <w:rStyle w:val="NumeroAFNegritaCaracter"/>
        </w:rPr>
        <w:t>8</w:t>
      </w:r>
      <w:r>
        <w:t>. Por diligencia de ordenación de 30 de octubre de 2013 se acordó unir a las presentes actuaciones el escrito de la Letrada de la Junta de Andalucía personándose y formulando alegaciones en representación de la misma, y tenerla por personada y parte en la presente cuestión de inconstitucionalidad acordándose entender con ella las sucesivas actuaciones.</w:t>
      </w:r>
    </w:p>
    <w:p w:rsidR="00163957" w:rsidRDefault="00163957" w:rsidP="00163957">
      <w:pPr>
        <w:pStyle w:val="TextoNormal"/>
      </w:pPr>
    </w:p>
    <w:p w:rsidR="00163957" w:rsidRDefault="00163957" w:rsidP="00163957">
      <w:pPr>
        <w:pStyle w:val="TextoNormal"/>
      </w:pPr>
      <w:r w:rsidRPr="00163957">
        <w:rPr>
          <w:rStyle w:val="NumeroAFNegritaCaracter"/>
        </w:rPr>
        <w:t>9</w:t>
      </w:r>
      <w:r>
        <w:t>. El Fiscal General del Estado presentó escrito de alegaciones ante este Tribunal el 31 de octubre de 2013 interesando la estimación de la presente cuestión de inconstitucionalidad.</w:t>
      </w:r>
    </w:p>
    <w:p w:rsidR="00163957" w:rsidRDefault="00163957" w:rsidP="00163957">
      <w:pPr>
        <w:pStyle w:val="TextoNormal"/>
      </w:pPr>
    </w:p>
    <w:p w:rsidR="00163957" w:rsidRDefault="00163957" w:rsidP="00163957">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163957" w:rsidRDefault="00163957" w:rsidP="00163957">
      <w:pPr>
        <w:pStyle w:val="TextoNormal"/>
      </w:pPr>
    </w:p>
    <w:p w:rsidR="00163957" w:rsidRDefault="00163957" w:rsidP="00163957">
      <w:pPr>
        <w:pStyle w:val="TextoNormal"/>
      </w:pPr>
      <w:r>
        <w:t>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w:t>
      </w:r>
      <w:r w:rsidRPr="00163957">
        <w:rPr>
          <w:i/>
        </w:rPr>
        <w:t>caso N.K.M. v. Hungría</w:t>
      </w:r>
      <w:r>
        <w:t xml:space="preserve">),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w:t>
      </w:r>
      <w:r>
        <w:lastRenderedPageBreak/>
        <w:t>de que esta se realizará. Y entiende que en el caso ahora examinado sí existía esa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El Fiscal General del Estado concluye sus alegaciones precisando que en el Auto de planteamiento no se cuestiona todo el art. 2 del Real Decreto-ley 20/2012 sino en concreto, su apartado 2.2 ya que éste es el que resulta aplicable para resolver el pleito sometido a su conocimiento y relevante en cuánto la demanda del proceso subyacente se refiere exclusivamente al personal laboral.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28 de mayo de 2015 la Sala Segunda acordó, de conformidad con lo dispuesto en el art. 88.1 LOTC, dirigir atenta comunicación a la Agencia de Gestión Agraria y Pesquera de Andalucía, a fin de que indique a este Tribunal si, en atención a lo previsto en la disposición adicional duodécima de la Ley 36/2014, de presupuestos generales del Estado para el año 2015, o por cualquier otra circunstancia, ha satisfecho a su personal laboral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163957" w:rsidRDefault="00163957" w:rsidP="00163957">
      <w:pPr>
        <w:pStyle w:val="TextoNormal"/>
      </w:pPr>
    </w:p>
    <w:p w:rsidR="00163957" w:rsidRDefault="00163957" w:rsidP="00163957">
      <w:pPr>
        <w:pStyle w:val="TextoNormal"/>
      </w:pPr>
      <w:r w:rsidRPr="00163957">
        <w:rPr>
          <w:rStyle w:val="NumeroAFNegritaCaracter"/>
        </w:rPr>
        <w:t>11</w:t>
      </w:r>
      <w:r>
        <w:t>. En contestación a dicha providencia la Agencia de Gestión Agraria y Pesquera de Andalucía remitió a este Tribunal, con fecha de entrada 24 de junio de 2015, escrito del Secretario General que el que se pone de manifiesto que por esa Agencia no se ha acreditado ni satisfecho cantidad alguna en concepto de recuperación de la parte proporcional de la paga extraordinaria al personal laboral propio o de catálogo.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12</w:t>
      </w:r>
      <w:r>
        <w:t>. Por providencia de 10 de marzo de 2016 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Sala de lo Social del Tribunal Superior de Justicia de Andalucía, con sede en Granada, plantea cuestión de inconstitucionalidad respecto del art. 2 del Real Decreto-ley 20/2012, de 13 de julio, de medidas para garantizar la estabilidad presupuestaria y de fomento de la competitividad. En síntesis, la Sala entiende que el citado artículo, en su aplicación al personal laboral, puede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w:t>
      </w:r>
    </w:p>
    <w:p w:rsidR="00163957" w:rsidRDefault="00163957" w:rsidP="00163957">
      <w:pPr>
        <w:pStyle w:val="TextoNormal"/>
      </w:pPr>
    </w:p>
    <w:p w:rsidR="00163957" w:rsidRDefault="00163957" w:rsidP="00163957">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y la Letrada de la Junta de Andalucía solicitan su desestimación.</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análisis de la cuestión planteada conviene realizar una serie de precisiones para acotar debidamente el objeto de la misma y el alcance de nuestro enjuiciamiento.</w:t>
      </w:r>
    </w:p>
    <w:p w:rsidR="00163957" w:rsidRDefault="00163957" w:rsidP="00163957">
      <w:pPr>
        <w:pStyle w:val="TextoNormal"/>
      </w:pPr>
    </w:p>
    <w:p w:rsidR="00163957" w:rsidRDefault="00163957" w:rsidP="00163957">
      <w:pPr>
        <w:pStyle w:val="TextoNormal"/>
      </w:pPr>
      <w:r>
        <w:t>a) Así, en primer lugar, resulta obligado advertir, que la Sala de lo Social del Tribunal Superior de Justicia de Andalucía cuestiona el precepto señalado en su aplicación al personal laboral. Ello se conecta lógicamente con el juicio de relevancia, correctamente expresado por el órgano judicial, pues la cuestión de inconstitucionalidad trae causa de un proceso de conflicto colectivo promovido por la federación agroalimentaria de Comisiones Obreras con motivo de la supresión por la Agencia de Gestión Agraria y Pesquera de Andalucía, por aplicación de las previsiones contenidas en el Real Decreto-ley 20/2012, de la paga o gratificación extraordinaria de diciembre de 2012 al personal de dicha Agencia, proceso en el que lo pretendido con carácter subsidiario a la pretensión principal (referida a que se anule la supresión íntegra de la paga extraordinaria) es justamente que se declare el derecho a percibir la parte proporcional de la paga extra de diciembre de 2012 que consideran ya devengada al momento de la entrada en vigor del Real Decreto-ley 20/2012 (del 1 al 14 de julio), porque, de acuerdo con el art. 9.3 CE, no cabe que la supresión de esa paga extra por el Real Decreto-ley 20/2012 tenga efectos retroactivos.</w:t>
      </w:r>
    </w:p>
    <w:p w:rsidR="00163957" w:rsidRDefault="00163957" w:rsidP="00163957">
      <w:pPr>
        <w:pStyle w:val="TextoNormal"/>
      </w:pPr>
    </w:p>
    <w:p w:rsidR="00163957" w:rsidRDefault="00163957" w:rsidP="00163957">
      <w:pPr>
        <w:pStyle w:val="TextoNormal"/>
      </w:pPr>
      <w:r>
        <w:t xml:space="preserve">b) Por otra parte debe tenerse en cuenta que no se cuestiona por la Sala de lo Social del Tribunal Superior de Justicia de Andalucía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ni fijar indemnización </w:t>
      </w:r>
      <w:r>
        <w:lastRenderedPageBreak/>
        <w:t xml:space="preserve">alguna por la supresión de un derecho patrimonial. A esta concreta duda de constitucionalidad, planteada a partir de la pretensión subsidiaria en el proceso </w:t>
      </w:r>
      <w:r w:rsidRPr="00163957">
        <w:rPr>
          <w:i/>
        </w:rPr>
        <w:t>a quo</w:t>
      </w:r>
      <w:r>
        <w:t>, deberá, pues, ceñirse nuestro enjuiciamiento.</w:t>
      </w:r>
    </w:p>
    <w:p w:rsidR="00163957" w:rsidRDefault="00163957" w:rsidP="00163957">
      <w:pPr>
        <w:pStyle w:val="TextoNormal"/>
      </w:pPr>
    </w:p>
    <w:p w:rsidR="00163957" w:rsidRDefault="00163957" w:rsidP="00163957">
      <w:pPr>
        <w:pStyle w:val="TextoNormal"/>
      </w:pPr>
      <w:r w:rsidRPr="00163957">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163957" w:rsidRDefault="00163957" w:rsidP="00163957">
      <w:pPr>
        <w:pStyle w:val="TextoNormal"/>
      </w:pPr>
    </w:p>
    <w:p w:rsidR="00163957" w:rsidRDefault="00163957" w:rsidP="00163957">
      <w:pPr>
        <w:pStyle w:val="TextoNormal"/>
      </w:pPr>
      <w:r>
        <w:t>De conformidad con lo dispuesto en dicha norma, la disposición adicional decimoquinta de la Ley 1/2015, de 21 de diciembre, de presupuestos de la Comunidad Autónoma de Andalucía para el año 2016, dispone que en la nómina del mes de febrero de 2016 se percibirá la parte proporcional correspondiente a los primeros 44 días de la paga extraordinaria, así como de la paga adicional de complemento específico o pagas adicionales, o importes equivalentes correspondientes al mes de diciembre de 2012, dejadas de percibir por aplicación del Real Decreto-ley 20/2012, de 13 de julio, de medidas para garantizar la estabilidad presupuestaria y de fomento de la competitividad, y de la disposición transitoria primera de la Ley 3/2012, de 21 de septiembre, de medidas fiscales, administrativas, laborales y en materia de hacienda pública para el reequilibrio económico-financiero de la Junta de Andalucía. Así, por resolución de 30 de diciembre de 2015, de la Secretaría General para la Administración pública, se dictan instrucciones para la recuperación, en la nómina de febrero de 2016, por el personal de la Administración de la Junta de Andalucía, sus instituciones y agencias administrativas, las agencias de régimen especial y las agencias públicas empresariales, sociedades mercantiles del sector público andaluz, y consorcios y fundaciones, de la parte proporcional correspondiente a los primeros 44 días de la paga extraordinaria de diciembre de 2012.</w:t>
      </w:r>
    </w:p>
    <w:p w:rsidR="00163957" w:rsidRDefault="00163957" w:rsidP="00163957">
      <w:pPr>
        <w:pStyle w:val="TextoNormal"/>
      </w:pPr>
    </w:p>
    <w:p w:rsidR="00163957" w:rsidRDefault="00163957" w:rsidP="00163957">
      <w:pPr>
        <w:pStyle w:val="TextoNormal"/>
      </w:pPr>
      <w:r>
        <w:t xml:space="preserve">Como consecuencia del abono de los 44 días devengados de la paga extraordinaria correspondiente al mes de diciembre de 2012, debemos remitirnos a lo dicho en nuestra STC 83/2015, de 30 de abril, sobre la posible pérdida de objeto de la cuestión de inconstitucionalidad. En concreto, en el fundamento jurídico 3 de la citada STC 83/2015, ya pusimos de relieve la innegable incidencia que tenía la medida contenida en la disposición adicional duodécima de la Ley 36/2014, de presupuestos generales del Estado para 2015, sobre la pretensión deducida en el pleito </w:t>
      </w:r>
      <w:r w:rsidRPr="00163957">
        <w:rPr>
          <w:i/>
        </w:rPr>
        <w:t>a quo</w:t>
      </w:r>
      <w:r>
        <w:t>, “que afecta de modo determinante a la subsistencia del presente proceso constitucional, dada la estrecha vinculación existente entre toda cuestión de inconstitucionalidad y el procedimiento judicial de que dimana”.</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En la presente cuestión de inconstitucionalidad se plantea si la supresión del derecho de los empleados de la Agencia de Gestión Agraria y Pesquera de Andalucía a percibir la parte proporcional (en concreto, del 1 al 14 de julio) de la paga extra de diciembre de 2012, por entenderse ya devengada al momento de la entrada en vigor del Real Decreto-ley 20/2012, contraviene el art. 9.3 CE. En esos términos planteada la cuestión es obligado concluir, como hicimos en la STC 83/2015, que “la recuperación por esos trabajadores de la parte proporcional correspondiente a los primeros 44 días de la paga extra de diciembre </w:t>
      </w:r>
      <w:r>
        <w:lastRenderedPageBreak/>
        <w:t>de 2012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163957" w:rsidRDefault="00163957" w:rsidP="00163957">
      <w:pPr>
        <w:pStyle w:val="TextoNormal"/>
      </w:pPr>
    </w:p>
    <w:p w:rsidR="00163957" w:rsidRDefault="00163957" w:rsidP="00163957">
      <w:pPr>
        <w:pStyle w:val="TextoNormal"/>
      </w:pPr>
      <w:r>
        <w:t>Conforme a lo expuesto, el abono a los empleados de la Agencia de Gestión Agraria y Pesquera de Andalucía, cuya demanda ha dado lugar al planteamiento de la presente cuestión de inconstitucionalidad, de la parte correspondiente a 44 días de la paga extraordinaria de diciembre de 2012,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de 14 de abril, FJ 3; y en el mismo sentido AATC 340/2003, de 21 de octubre, FJ único, y 75/2004, de 9 de marzo, FJ único).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Declarar la extinción de la presente cuestión de inconstitucionalidad por desaparición sobrevenida de su objeto.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51" w:name="SENTENCIA_2016_48"/>
      <w:r>
        <w:lastRenderedPageBreak/>
        <w:t>SENTENCIA 48/2016, de 14 de marzo de 2016</w:t>
      </w:r>
    </w:p>
    <w:bookmarkEnd w:id="51"/>
    <w:p w:rsidR="00163957" w:rsidRDefault="00163957" w:rsidP="00163957">
      <w:pPr>
        <w:pStyle w:val="TtuloResolucin"/>
      </w:pPr>
      <w:r>
        <w:t>Sala Primera</w:t>
      </w:r>
    </w:p>
    <w:p w:rsidR="00163957" w:rsidRDefault="00163957" w:rsidP="00163957">
      <w:pPr>
        <w:pStyle w:val="TtuloBOE"/>
      </w:pPr>
      <w:r>
        <w:t>(BOE núm. 97, de 22 de abril de 2016)</w:t>
      </w:r>
    </w:p>
    <w:p w:rsidR="00163957" w:rsidRDefault="00163957" w:rsidP="00163957">
      <w:pPr>
        <w:pStyle w:val="TextoNormalCentrado"/>
      </w:pPr>
      <w:r>
        <w:t>ECLI:ES:TC:2016:48</w:t>
      </w:r>
    </w:p>
    <w:p w:rsidR="00163957" w:rsidRDefault="00163957" w:rsidP="00163957">
      <w:pPr>
        <w:pStyle w:val="TextoNormalCentrado"/>
      </w:pPr>
    </w:p>
    <w:p w:rsidR="00163957" w:rsidRDefault="00163957" w:rsidP="00163957">
      <w:pPr>
        <w:pStyle w:val="SntesisDescriptiva"/>
      </w:pPr>
      <w:r>
        <w:t>Recurso de amparo 415-2014. Promovido por don César Prosper Silvestre respecto de los Autos de la Sala de lo Penal del Tribunal Supremo y de la Audiencia Provincial de Valencia sobre liquidación de condena.</w:t>
      </w:r>
    </w:p>
    <w:p w:rsidR="00163957" w:rsidRDefault="00163957" w:rsidP="00163957">
      <w:pPr>
        <w:pStyle w:val="SntesisDescriptiva"/>
      </w:pPr>
    </w:p>
    <w:p w:rsidR="00163957" w:rsidRDefault="00163957" w:rsidP="00163957">
      <w:pPr>
        <w:pStyle w:val="SntesisAnaltica"/>
      </w:pPr>
      <w:r>
        <w:t>Vulneración del derecho a la libertad personal: resoluciones judiciales que no ponderaron adecuadamente el tiempo servido en prisión con antelación a la reforma del régimen de abono de la prisión preventiva (STC 261/2015).</w:t>
      </w:r>
    </w:p>
    <w:p w:rsidR="00163957" w:rsidRDefault="00163957" w:rsidP="00163957">
      <w:pPr>
        <w:pStyle w:val="SntesisAnaltica"/>
      </w:pPr>
    </w:p>
    <w:p w:rsidR="00163957" w:rsidRDefault="00163957" w:rsidP="00163957">
      <w:pPr>
        <w:pStyle w:val="Extracto"/>
      </w:pPr>
      <w:r>
        <w:t>1.</w:t>
      </w:r>
      <w:r>
        <w:tab/>
        <w:t>Asunto sustancialmente idéntico al resuelto por la STC 261/2015, relativa a la doctrina sobre el abono de la prisión provisional a internos mixtos [FFJJ 1 a 4].</w:t>
      </w:r>
    </w:p>
    <w:p w:rsidR="00163957" w:rsidRDefault="00163957" w:rsidP="00163957">
      <w:pPr>
        <w:pStyle w:val="Extracto"/>
      </w:pPr>
    </w:p>
    <w:p w:rsidR="00163957" w:rsidRDefault="00163957" w:rsidP="00163957">
      <w:pPr>
        <w:pStyle w:val="Extracto"/>
      </w:pPr>
      <w:r>
        <w:t>2.</w:t>
      </w:r>
      <w:r>
        <w:tab/>
        <w:t>La especial trascendencia constitucional reside en que se suscita un problema o una faceta de un derecho fundamental susceptible de amparo sobre el que no hay doctrina del Tribunal Constitucional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415-2014, promovido por don César Prosper Silvestre, representado por la Procuradora de los Tribunales doña Águeda María Meseguer Guillén, bajo la dirección de la Letrada doña María Yolanda Martín López, contra el Auto de la Sala Segunda del Tribunal Supremo de 5 de diciembre de 2013, por el que acuerda no haber lugar a la admisión del recurso de casación núm. 10823-2013 interpuesto contra el Auto de la Sección Tercera de la Audiencia Provincial de Valencia de 9 de mayo de 2013, dictado en la ejecutoria núm. 71-2011, en que se acuerda denegar la revisión de la liquidación de la condena y el abono de cierto periodo de prisión preventiva. Ha intervenido el Ministerio Fiscal. Ha sido Ponente el Magistrado don Juan Antonio Xiol Ríos, quien expresa el parecer de la Sala.</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Procuradora de los Tribunales doña Águeda María Meseguer Guillén, en nombre y representación de don César Prosper Silvestre, y bajo la dirección de la Letrada doña María Yolanda Martín López, interpuso demanda de amparo contra las resoluciones judiciales que se mencionan en el encabezamiento de esta Sentencia, mediante escrito registrado en este Tribunal el 4 de febrero de 2014, tras haberse verificado el nombramiento de profesionales del turno de oficio solicitado por el recurrente mediante escrito registrado en este Tribunal el 23 de enero de 2014.</w:t>
      </w:r>
    </w:p>
    <w:p w:rsidR="00163957" w:rsidRDefault="00163957" w:rsidP="00163957">
      <w:pPr>
        <w:pStyle w:val="TextoNormal"/>
      </w:pPr>
    </w:p>
    <w:p w:rsidR="00163957" w:rsidRDefault="00163957" w:rsidP="00163957">
      <w:pPr>
        <w:pStyle w:val="TextoNormal"/>
      </w:pPr>
      <w:r w:rsidRPr="00163957">
        <w:rPr>
          <w:rStyle w:val="NumeroAFNegritaCaracter"/>
        </w:rPr>
        <w:t>2</w:t>
      </w:r>
      <w:r>
        <w:t>. El recurso tiene su origen en los siguientes antecedentes:</w:t>
      </w:r>
    </w:p>
    <w:p w:rsidR="00163957" w:rsidRDefault="00163957" w:rsidP="00163957">
      <w:pPr>
        <w:pStyle w:val="TextoNormal"/>
      </w:pPr>
    </w:p>
    <w:p w:rsidR="00163957" w:rsidRDefault="00163957" w:rsidP="00163957">
      <w:pPr>
        <w:pStyle w:val="TextoNormal"/>
      </w:pPr>
      <w:r>
        <w:t>a) La Sección Tercera de la Audiencia Provincial de Valencia, por Auto de 9 de mayo de 2013, dictado en la ejecutoria núm. 71-2011, acordó denegar al recurrente la revisión de la liquidación de su condena practicada el 22 de julio de 2011 y el abono del periodo de prisión preventiva sufrido entre el 24 de abril de 2009 y el 8 de julio de 2011 en esa misma causa.</w:t>
      </w:r>
    </w:p>
    <w:p w:rsidR="00163957" w:rsidRDefault="00163957" w:rsidP="00163957">
      <w:pPr>
        <w:pStyle w:val="TextoNormal"/>
      </w:pPr>
    </w:p>
    <w:p w:rsidR="00163957" w:rsidRDefault="00163957" w:rsidP="00163957">
      <w:pPr>
        <w:pStyle w:val="TextoNormal"/>
      </w:pPr>
      <w:r>
        <w:t>En el auto se establece como hechos que en la causa de referencia se había dictado Sentencia de 6 de junio de 2011 condenando al recurrente a una pena de prisión de cinco años y seis meses, ordenándose su ejecución el 8 de julio de 2011. El recurrente había estado en situación de prisión preventiva en esa causa desde el 20 de abril de 2009 hasta el 8 de julio de 2011, practicándose una liquidación en que se le abonaron cuatro días de prisión preventiva —del 20 de abril de 2009 al 23 de abril de 2009—, habida cuenta de que desde el 24 de abril de 2009 al 6 de mayo de 2011 estaba cumpliendo una pena de dos años de prisión y quince días de responsabilidad personal subsidiaria en la ejecutoria núm. 1482-2008 del Juzgado de lo Penal núm. 13 de Valencia y a partir del 7 de mayo de 2011 comenzó el cumplimiento de una pena de un año y once meses de prisión en la ejecutoria núm. 932-2008 del Juzgado de lo Penal núm. 5 de Valencia, que tenía prevista la extinción el 31 de marzo de 2013.</w:t>
      </w:r>
    </w:p>
    <w:p w:rsidR="00163957" w:rsidRDefault="00163957" w:rsidP="00163957">
      <w:pPr>
        <w:pStyle w:val="TextoNormal"/>
      </w:pPr>
    </w:p>
    <w:p w:rsidR="00163957" w:rsidRDefault="00163957" w:rsidP="00163957">
      <w:pPr>
        <w:pStyle w:val="TextoNormal"/>
      </w:pPr>
      <w:r>
        <w:t>El Auto expone que procede denegar la petición de revisión formulada por el penado “porque de conformidad con reiterada doctrina del Tribunal Supremo, no cabe aplicarle la doctrina del Tribunal Constitucional del doble cómputo del tiempo de privación de libertad como preventivo y como penado, ni siquiera hasta la fecha de entrada en vigor de la Ley Orgánica 5/2010, como interesaba el Ministerio Fiscal”. A esos efectos, se expone, que de conformidad con la STS 265/2012, de 3 de abril, la nueva redacción dada al art. 58.1 por la Ley Orgánica 5/2010, de 22 de junio, en que se establece que “en ningún caso un mismo periodo de privación de libertad podrá ser abonado a más de una causa”, afecta a las sentencias dictadas con posterioridad a su entrada en vigor, lo que es el caso ya que la sentencia a ejecutar es de 6 de junio de 2011, por lo que “no es posible proceder al abono que se interesa ni siquiera con relación al período de preventiva anterior a la entrada en vigor de la citada Ley Orgánica (el 23-12-2010)”.</w:t>
      </w:r>
    </w:p>
    <w:p w:rsidR="00163957" w:rsidRDefault="00163957" w:rsidP="00163957">
      <w:pPr>
        <w:pStyle w:val="TextoNormal"/>
      </w:pPr>
    </w:p>
    <w:p w:rsidR="00163957" w:rsidRDefault="00163957" w:rsidP="00163957">
      <w:pPr>
        <w:pStyle w:val="TextoNormal"/>
      </w:pPr>
      <w:r>
        <w:t xml:space="preserve">b) El demandante de amparo, por escrito registrado el 7 de octubre de 2013, interpuso recurso de casación ante la Sala Segunda del Tribunal Supremo, tramitado con el núm. 10823-2013, alegando indebida aplicación del art. 58.1 del Código penal (CP), en la redacción previa a la dada por la Ley Orgánica 5/2010, así como infracción del art. 5.1 de la Ley </w:t>
      </w:r>
      <w:r>
        <w:lastRenderedPageBreak/>
        <w:t>Orgánica del Poder Judicial (LOPJ) por no haberse hecho aplicación del art. 58.1 CP en la interpretación dada por la STC 57/2008, lo que daría lugar a una vulneración del derecho a la libertad (art. 17.1 CE) y a la aplicación retroactiva de una norma peyorativa que supone un alargamiento de la situación de privación de libertad.</w:t>
      </w:r>
    </w:p>
    <w:p w:rsidR="00163957" w:rsidRDefault="00163957" w:rsidP="00163957">
      <w:pPr>
        <w:pStyle w:val="TextoNormal"/>
      </w:pPr>
    </w:p>
    <w:p w:rsidR="00163957" w:rsidRDefault="00163957" w:rsidP="00163957">
      <w:pPr>
        <w:pStyle w:val="TextoNormal"/>
      </w:pPr>
      <w:r>
        <w:t>c) El recurso de casación fue inadmitido por Auto de 5 de diciembre de 2013, argumentando que, de conformidad con reiterada jurisprudencia de la Sala Segunda del Tribunal Supremo, la norma sobre el abono de la prisión provisional afecta a una cuestión de ejecución por lo que ha de aplicarse la concreta previsión legal vigente al momento de verificarse las operaciones correspondientes a la ejecución. Ello determina que en este caso, al haberse dictado la Sentencia que se pretende ejecutar el 6 de junio de 2011, la redacción del art. 58.1 CP aplicable es la vigente tras la entrada en vigor de la Ley Orgánica 5/2010 y no la previa que fue interpretada por la STC 57/2008.</w:t>
      </w:r>
    </w:p>
    <w:p w:rsidR="00163957" w:rsidRDefault="00163957" w:rsidP="00163957">
      <w:pPr>
        <w:pStyle w:val="TextoNormal"/>
      </w:pPr>
    </w:p>
    <w:p w:rsidR="00163957" w:rsidRDefault="00163957" w:rsidP="00163957">
      <w:pPr>
        <w:pStyle w:val="TextoNormal"/>
      </w:pPr>
      <w:r w:rsidRPr="00163957">
        <w:rPr>
          <w:rStyle w:val="NumeroAFNegritaCaracter"/>
        </w:rPr>
        <w:t>3</w:t>
      </w:r>
      <w:r>
        <w:t>. El recurrente alega que las resoluciones judiciales impugnadas han vulnerado sus derechos a la tutela judicial efectiva (art. 24.1 CE) y a la libertad personal (art. 17.1 CE), al haberse alargado ilegítimamente una situación de privación de libertad por la negativa a abonar para el cumplimiento de la pena de prisión impuesta en la causa el tiempo de prisión preventiva sufrido como consecuencia de la medida cautelar adoptada en ese mismo procedimiento que se simultaneó con la condición de penado en otras causas —desde el 24 de abril de 2009 hasta el 8 de julio de 2011—, en virtud de la aplicación retroactiva del art. 58.1 CP, en la redacción dada por la Ley Orgánica 5/2010, que resulta contraria a la jurisprudencia constitucional establecida en la STC 57/2008, de 28 de abril.</w:t>
      </w:r>
    </w:p>
    <w:p w:rsidR="00163957" w:rsidRDefault="00163957" w:rsidP="00163957">
      <w:pPr>
        <w:pStyle w:val="TextoNormal"/>
      </w:pPr>
    </w:p>
    <w:p w:rsidR="00163957" w:rsidRDefault="00163957" w:rsidP="00163957">
      <w:pPr>
        <w:pStyle w:val="TextoNormal"/>
      </w:pPr>
    </w:p>
    <w:p w:rsidR="00163957" w:rsidRDefault="00163957" w:rsidP="00163957">
      <w:pPr>
        <w:pStyle w:val="TextoNormal"/>
      </w:pPr>
      <w:r>
        <w:t>El recurrente justifica la especial trascendencia constitucional del recurso en que las resoluciones judiciales se apartan de la jurisprudencia constitucional en la materia, a cuya sujeción viene obligada por el art. 5.1 LOPJ. Igualmente, se afirma que se trata de un supuesto novedoso ya que el Tribunal Constitucional no ha tenido la oportunidad de pronunciarse respecto de los límites a la aplicación temporal de la redacción dada al art. 58.1 CP por la Ley Orgánica 5/2010.</w:t>
      </w:r>
    </w:p>
    <w:p w:rsidR="00163957" w:rsidRDefault="00163957" w:rsidP="00163957">
      <w:pPr>
        <w:pStyle w:val="TextoNormal"/>
      </w:pPr>
    </w:p>
    <w:p w:rsidR="00163957" w:rsidRDefault="00163957" w:rsidP="00163957">
      <w:pPr>
        <w:pStyle w:val="TextoNormal"/>
      </w:pPr>
      <w:r w:rsidRPr="00163957">
        <w:rPr>
          <w:rStyle w:val="NumeroAFNegritaCaracter"/>
        </w:rPr>
        <w:t>4</w:t>
      </w:r>
      <w:r>
        <w:t>. La Sala Primera de este Tribunal, por providencia de 2 de febrero de 2015, acordó admitir a trámite la demanda de amparo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plazo de diez días en el proceso de amparo.</w:t>
      </w:r>
    </w:p>
    <w:p w:rsidR="00163957" w:rsidRDefault="00163957" w:rsidP="00163957">
      <w:pPr>
        <w:pStyle w:val="TextoNormal"/>
      </w:pPr>
    </w:p>
    <w:p w:rsidR="00163957" w:rsidRDefault="00163957" w:rsidP="00163957">
      <w:pPr>
        <w:pStyle w:val="TextoNormal"/>
      </w:pPr>
      <w:r w:rsidRPr="00163957">
        <w:rPr>
          <w:rStyle w:val="NumeroAFNegritaCaracter"/>
        </w:rPr>
        <w:t>5</w:t>
      </w:r>
      <w:r>
        <w:t>. La Secretaría de Justicia de la Sala Primera de este Tribunal, por diligencia de ordenación de 11 de marzo de 2015, acordó tener por recibido el testimonio de las actuaciones y dar vista de las actuaciones al Ministerio Fiscal y a la parte recurrente por un plazo común de veinte días para presentar las alegaciones que estimasen pertinentes, de conformidad con el art. 52 LOTC.</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El Ministerio Fiscal, en escrito registrado el 30 de abril de 2015, interesa que se otorgue el amparo, se declare vulnerado el derecho a la libertad (art. 17. 1 CE) del demandante, </w:t>
      </w:r>
      <w:r>
        <w:lastRenderedPageBreak/>
        <w:t>se anulen las resoluciones judiciales impugnadas y se retrotraigan las actuaciones al momento inmediatamente anterior al Auto por la Audiencia Provincial para que se dicte una nueva resolución respetuosa con el derecho a la libertad del demandante.</w:t>
      </w:r>
    </w:p>
    <w:p w:rsidR="00163957" w:rsidRDefault="00163957" w:rsidP="00163957">
      <w:pPr>
        <w:pStyle w:val="TextoNormal"/>
      </w:pPr>
    </w:p>
    <w:p w:rsidR="00163957" w:rsidRDefault="00163957" w:rsidP="00163957">
      <w:pPr>
        <w:pStyle w:val="TextoNormal"/>
      </w:pPr>
      <w:r>
        <w:t>El Ministerio Fiscal argumenta que el art. 58 CP no puede ser conceptuado como una norma meramente de ejecución de las penas porque con su aplicación se puede reducir el tiempo de permanencia en prisión del condenado y, por tanto, determinadas interpretaciones pueden suponer un alargamiento ilegítimo de la situación de privación de libertad. En relación con ello, afirma que en el presente caso el demandante estuvo en prisión preventiva durante un periodo de tiempo en que estaba en vigor la regulación precedente sobre la materia, que interpretada conforme a una consolidada doctrina del Tribunal Constitucional conllevaba la obligación de un doble cómputo de la situación de privación de libertad, cuando se simultaneaban las condiciones de penado y preso preventivo, lo que suponía una efectiva reducción de la condena privativa de libertad a extinguir. Igualmente, el Ministerio Fiscal dice que, frente a la interpretación sustentada por las resoluciones judiciales impugnadas, caben otras interpretaciones sobre el momento en que la nueva regulación de la materia debería ser aplicable, concluyendo que la interpretación realizada, fuertemente restrictiva del derecho a la libertad del demandante, carece de sustrato normativo sólido y determina la aplicabilidad del llamado sistema de doble cómputo derivado de la regulación del art. 58.1 previa a la reforma operada por la Ley Orgánica 5/2010 a partir de un elemento completamente ajeno a dicha institución, cual es el momento de enjuiciamiento y firmeza de las sentencias, que puede variar según la sobrecarga de trabajo de los órganos judiciales o por causas ajenas al comportamiento de los condenados.</w:t>
      </w:r>
    </w:p>
    <w:p w:rsidR="00163957" w:rsidRDefault="00163957" w:rsidP="00163957">
      <w:pPr>
        <w:pStyle w:val="TextoNormal"/>
      </w:pPr>
    </w:p>
    <w:p w:rsidR="00163957" w:rsidRDefault="00163957" w:rsidP="00163957">
      <w:pPr>
        <w:pStyle w:val="TextoNormal"/>
      </w:pPr>
      <w:r>
        <w:t>El Ministerio Fiscal, por último, sostiene que tampoco las resoluciones impugnadas se acomodan a la jurisprudencia del Tribunal Constitucional sobre el efecto de las modificaciones legislativas de normas procesales que afectan de manera peyorativa a la libertad, afirmando que el Tribunal Constitucional se ha pronunciado expresamente en el caso de la prisión provisional, estableciendo que la elección de la ley aplicable debe hacerse de la manera más favorable al derecho fundamental a la libertad y, por tanto, acudiendo a la ley anterior más beneficiosa (STC 32/1987, de 12 de marzo), considerando aplicable el art. 9.3 CE a las normas procesales en la STC 117/1985 de 18 de julio.</w:t>
      </w:r>
    </w:p>
    <w:p w:rsidR="00163957" w:rsidRDefault="00163957" w:rsidP="00163957">
      <w:pPr>
        <w:pStyle w:val="TextoNormal"/>
      </w:pPr>
    </w:p>
    <w:p w:rsidR="00163957" w:rsidRDefault="00163957" w:rsidP="00163957">
      <w:pPr>
        <w:pStyle w:val="TextoNormal"/>
      </w:pPr>
      <w:r w:rsidRPr="00163957">
        <w:rPr>
          <w:rStyle w:val="NumeroAFNegritaCaracter"/>
        </w:rPr>
        <w:t>7</w:t>
      </w:r>
      <w:r>
        <w:t>. El recurrente, en escrito registrado el 7 de abril de 2015, presentó sus alegaciones, ratificándose en su escrito de demanda.</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10 de marzo de 2016 se señaló para la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objeto de este recurso de amparo es determinar si vulnera el derecho a la libertad personal (art. 17.1 CE) del recurrente la decisión judicial de no computar el tiempo simultáneamente cumplido en la condición de preso preventivo y penado para determinar el periodo de cumplimiento efectivo de la condena impuesta. La decisión judicial se funda en el argumento de que, tratándose de la ejecución de una Sentencia dictada con posterioridad a la entrada en vigor de la Ley Orgánica 5/2010, de 22 de junio, el precepto aplicable es el </w:t>
      </w:r>
      <w:r>
        <w:lastRenderedPageBreak/>
        <w:t>art. 58.1 del Código Penal (CP) en la redacción dada por la citada Ley Orgánica 5/2010, que impide el doble cómputo.</w:t>
      </w:r>
    </w:p>
    <w:p w:rsidR="00163957" w:rsidRDefault="00163957" w:rsidP="00163957">
      <w:pPr>
        <w:pStyle w:val="TextoNormal"/>
      </w:pPr>
    </w:p>
    <w:p w:rsidR="00163957" w:rsidRDefault="00163957" w:rsidP="00163957">
      <w:pPr>
        <w:pStyle w:val="TextoNormal"/>
      </w:pPr>
      <w:r w:rsidRPr="00163957">
        <w:rPr>
          <w:rStyle w:val="NumeroAFNegritaCaracter"/>
        </w:rPr>
        <w:t>2</w:t>
      </w:r>
      <w:r>
        <w:t>. La demanda fue admitida a trámite, junto con otros recursos que planteaban la misma cuestión, por considerar que tenía especial trascendencia constitucional al suscitar un problema o una faceta de un derecho fundamental susceptible de amparo sobre el que no haya doctrina del Tribunal Constitucional [STC 155/2009, de 25 de junio, FJ 2 a)], ya que no existía ningún pronunciamiento de este Tribunal sobre la eventual afectación que sobre el derecho a la libertad personal (art. 17.1 CE) podría tener la doctrina de la Sala Segunda del Tribunal Supremo consistente en aplicar la nueva redacción dada al art. 58.1 CP por la Ley Orgánica 5/2010 a supuestos en que se había simultaneado la condición de preso preventivo y penado bajo la vigencia de la redacción dada con anterioridad al art. 58.1 CP por la Ley Orgánica 15/2003, de 25 de noviembre, cuya interpretación conforme con el artículo 17.1 CE había sido establecida en la STC 57/2008, de 28 de abril.</w:t>
      </w:r>
    </w:p>
    <w:p w:rsidR="00163957" w:rsidRDefault="00163957" w:rsidP="00163957">
      <w:pPr>
        <w:pStyle w:val="TextoNormal"/>
      </w:pPr>
    </w:p>
    <w:p w:rsidR="00163957" w:rsidRDefault="00163957" w:rsidP="00163957">
      <w:pPr>
        <w:pStyle w:val="TextoNormal"/>
      </w:pPr>
      <w:r w:rsidRPr="00163957">
        <w:rPr>
          <w:rStyle w:val="NumeroAFNegritaCaracter"/>
        </w:rPr>
        <w:t>3</w:t>
      </w:r>
      <w:r>
        <w:t>. La cuestión suscitada en este recurso de amparo ha sido objeto de reciente pronunciamiento en la STC 261/2015, de 14 de diciembre, a cuya fundamentación es preciso remitirse.</w:t>
      </w:r>
    </w:p>
    <w:p w:rsidR="00163957" w:rsidRDefault="00163957" w:rsidP="00163957">
      <w:pPr>
        <w:pStyle w:val="TextoNormal"/>
      </w:pPr>
    </w:p>
    <w:p w:rsidR="00163957" w:rsidRDefault="00163957" w:rsidP="00163957">
      <w:pPr>
        <w:pStyle w:val="TextoNormal"/>
      </w:pPr>
      <w:r>
        <w:t>Resumidamente, en el fundamento jurídico 7 de la STC 261/2015 se ha establecido que la posibilidad de aplicar el doble cómputo en los supuestos en que se simultanea la condición de preso preventivo y de penado a que se refería la STC 57/2008 se genera momento a momento, de modo que (i) la modificación legislativa operada en el art. 58.1 CP por la Ley Orgánica 5/2010 para prohibir el doble cómputo no puede desconocer los beneficios del doble abono ya generados en periodos de tiempo en que no estaba vigente y a los que resulta aplicable la interpretación del art. 58.1 CP sustentada en la citada STC 57/2008; pero (ii) la aplicación de la norma derogada no puede tener un aplicación hacia el futuro para situaciones de simultaneidad que todavía no se han producido cuando la redacción de dicho precepto ya prohíbe esa práctica. Por tanto, se concluye que la interpretación judicial según la cual no resulta procedente el abono del periodo o fracción del tiempo en que se ha cumplido simultáneamente la medida cautelar de prisión preventiva y la pena de prisión bajo la vigencia de la redacción del art. 58.1 CP previa a la reforma operada por la Ley Orgánica 5/2010 no resulta respetuosa del derecho fundamental a la libertad personal que reconoce el art. 17.1 CE. Solo a partir de la fecha de entrada en vigor de la redacción dada al art. 58 CP por la citada Ley Orgánica 5/2010 resulta aplicable la nueva redacción que prohíbe el doble abono; manteniéndose en cuanto al tramo anterior el criterio interpretativo sentado en la STC 57/2008 para la redacción del art. 58.1 CP previa a la reforma de la Ley Orgánica 5/2010.</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En el presente caso, tal como se ha expuesto más ampliamente en los antecedentes, han quedado acreditados los siguientes extremos: (i) el recurrente había solicitado el abono de la totalidad del periodo de tiempo en que había simultaneado la condición de preso preventivo y penado en la causa de referencia, esto es, desde el 24 de abril de 2009 hasta el 8 de julio de 2011, considerando aplicable a todo ese periodo la interpretación que se había realizado por la STC 57/2008 del art. 58.1 CP en la redacción previa a la reforma de la Ley Orgánica 5/2010; y (ii) las resoluciones judiciales impugnadas denegaron el abono de cualquier momento de ese periodo con el argumento de que la sentencia que debía ejecutarse se </w:t>
      </w:r>
      <w:r>
        <w:lastRenderedPageBreak/>
        <w:t>había pronunciado con posterioridad a la entrada en vigor de la nueva redacción dada al art. 58 por la Ley Orgánica 57/2008, que ya prohibía ese doble abono.</w:t>
      </w:r>
    </w:p>
    <w:p w:rsidR="00163957" w:rsidRDefault="00163957" w:rsidP="00163957">
      <w:pPr>
        <w:pStyle w:val="TextoNormal"/>
      </w:pPr>
    </w:p>
    <w:p w:rsidR="00163957" w:rsidRDefault="00163957" w:rsidP="00163957">
      <w:pPr>
        <w:pStyle w:val="TextoNormal"/>
      </w:pPr>
      <w:r>
        <w:t>Pues bien, de conformidad con la jurisprudencia constitucional establecida en la ya citada STC 261/2015, hay que concluir que el derecho a la libertad (art. 17.1 CE) del recurrente ha resultado vulnerado por las resoluciones judiciales que aplican el art. 58.1 CP, en la redacción dada por la Ley Orgánica 5/2010, a todo el periodo de cumplimiento simultáneo de la medida cautelar de prisión preventiva y de la pena de prisión. Una decisión judicial respetuosa con el derecho a la libertad del recurrente impone que, de acuerdo con el criterio del Tribunal, en relación con el periodo de tiempo de cumplimiento simultáneo producido con anterioridad a la entrada en vigor de la Ley Orgánica 5/2010, sea aplicado el art. 58.1 CP, en la redacción previa a la operada por la citada Ley Orgánica 5/2010, conforme a la interpretación efectuada en la STC 57/2008.</w:t>
      </w:r>
    </w:p>
    <w:p w:rsidR="00163957" w:rsidRDefault="00163957" w:rsidP="00163957">
      <w:pPr>
        <w:pStyle w:val="TextoNormal"/>
      </w:pPr>
    </w:p>
    <w:p w:rsidR="00163957" w:rsidRDefault="00163957" w:rsidP="00163957">
      <w:pPr>
        <w:pStyle w:val="TextoNormal"/>
      </w:pPr>
      <w:r>
        <w:t>Por tanto, debe otorgarse el amparo solicitado, con reconocimiento de que se ha vulnerado el derecho a la libertad del recurrente, para cuyo restablecimiento es preciso anular las resoluciones judiciales impugnadas con retroacción de actuaciones para que haya un nuevo pronunciamiento judicial respetuoso con el derecho fundamental vulnerado.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don César Prosper Silvestre y, en su virtud:</w:t>
      </w:r>
    </w:p>
    <w:p w:rsidR="00163957" w:rsidRDefault="00163957" w:rsidP="00163957">
      <w:pPr>
        <w:pStyle w:val="TextoNormal"/>
      </w:pPr>
    </w:p>
    <w:p w:rsidR="00163957" w:rsidRDefault="00163957" w:rsidP="00163957">
      <w:pPr>
        <w:pStyle w:val="TextoNormal"/>
      </w:pPr>
      <w:r>
        <w:t>1º Declarar que ha sido vulnerado el derecho fundamental del demandante de amparo a la libertad personal (art. 17.1 CE).</w:t>
      </w:r>
    </w:p>
    <w:p w:rsidR="00163957" w:rsidRDefault="00163957" w:rsidP="00163957">
      <w:pPr>
        <w:pStyle w:val="TextoNormal"/>
      </w:pPr>
    </w:p>
    <w:p w:rsidR="00163957" w:rsidRDefault="00163957" w:rsidP="00163957">
      <w:pPr>
        <w:pStyle w:val="TextoNormal"/>
      </w:pPr>
      <w:r>
        <w:t>2º Restablecerle en su derecho y, en consecuencia, declarar la nulidad del Auto de la Sección Tercera de la Audiencia Provincial de Valencia de 9 de mayo de 2013, dictado en la ejecutoria núm. 71-2011, y del Auto de la Sala Segunda del Tribunal Supremo de 5 de diciembre de 2013, dictado en el recurso de casación núm. 10823-2013.</w:t>
      </w:r>
    </w:p>
    <w:p w:rsidR="00163957" w:rsidRDefault="00163957" w:rsidP="00163957">
      <w:pPr>
        <w:pStyle w:val="TextoNormal"/>
      </w:pPr>
    </w:p>
    <w:p w:rsidR="00163957" w:rsidRDefault="00163957" w:rsidP="00163957">
      <w:pPr>
        <w:pStyle w:val="TextoNormal"/>
      </w:pPr>
      <w:r>
        <w:t>3º Retrotraer las actuaciones al momento inmediatamente anterior al pronunciamiento de la primera de las citadas resoluciones para que el órgano judicial dicte una nueva respetuosa con el derecho fundamental vulnerado.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52" w:name="SENTENCIA_2016_49"/>
      <w:r>
        <w:lastRenderedPageBreak/>
        <w:t>SENTENCIA 49/2016, de 14 de marzo de 2016</w:t>
      </w:r>
    </w:p>
    <w:bookmarkEnd w:id="52"/>
    <w:p w:rsidR="00163957" w:rsidRDefault="00163957" w:rsidP="00163957">
      <w:pPr>
        <w:pStyle w:val="TtuloResolucin"/>
      </w:pPr>
      <w:r>
        <w:t>Sala Segunda</w:t>
      </w:r>
    </w:p>
    <w:p w:rsidR="00163957" w:rsidRDefault="00163957" w:rsidP="00163957">
      <w:pPr>
        <w:pStyle w:val="TtuloBOE"/>
      </w:pPr>
      <w:r>
        <w:t>(BOE núm. 97, de 22 de abril de 2016)</w:t>
      </w:r>
    </w:p>
    <w:p w:rsidR="00163957" w:rsidRDefault="00163957" w:rsidP="00163957">
      <w:pPr>
        <w:pStyle w:val="TextoNormalCentrado"/>
      </w:pPr>
      <w:r>
        <w:t>ECLI:ES:TC:2016:49</w:t>
      </w:r>
    </w:p>
    <w:p w:rsidR="00163957" w:rsidRDefault="00163957" w:rsidP="00163957">
      <w:pPr>
        <w:pStyle w:val="TextoNormalCentrado"/>
      </w:pPr>
    </w:p>
    <w:p w:rsidR="00163957" w:rsidRDefault="00163957" w:rsidP="00163957">
      <w:pPr>
        <w:pStyle w:val="SntesisDescriptiva"/>
      </w:pPr>
      <w:r>
        <w:t>Recurso de amparo 878-2014. Promovido por don José Luis Calvo Picallo en relación con los Autos dictados por un Juzgado de Primera Instancia de Ferrol dictados en procedimiento de ejecución hipotecaria.</w:t>
      </w:r>
    </w:p>
    <w:p w:rsidR="00163957" w:rsidRDefault="00163957" w:rsidP="00163957">
      <w:pPr>
        <w:pStyle w:val="SntesisDescriptiva"/>
      </w:pPr>
    </w:p>
    <w:p w:rsidR="00163957" w:rsidRDefault="00163957" w:rsidP="00163957">
      <w:pPr>
        <w:pStyle w:val="SntesisAnaltica"/>
      </w:pPr>
      <w:r>
        <w:t>Vulneración del derecho a la tutela judicial efectiva (resolución fundada en Derecho): resolución judicial que no examina una cuestión relativa al incumplimiento de un requisito procesal derivado del propio título de ejecución y apreciable de oficio (STC 39/2015).</w:t>
      </w:r>
    </w:p>
    <w:p w:rsidR="00163957" w:rsidRDefault="00163957" w:rsidP="00163957">
      <w:pPr>
        <w:pStyle w:val="SntesisAnaltica"/>
      </w:pPr>
    </w:p>
    <w:p w:rsidR="00163957" w:rsidRDefault="00163957" w:rsidP="00163957">
      <w:pPr>
        <w:pStyle w:val="Extracto"/>
      </w:pPr>
      <w:r>
        <w:t>1.</w:t>
      </w:r>
      <w:r>
        <w:tab/>
        <w:t>En el seno de un procedimiento de ejecución hipotecaria, la negativa judicial a examinar una cuestión relativa al incumplimiento de un requisito procesal derivado del propio título de ejecución y apreciable de oficio por el órgano judicial, resulta a todas luces desproporcionada, por excesivamente formalista, e incompatible con el derecho fundamental a la tutela judicial efectiva (STC 39/2015) [FJ 4].</w:t>
      </w:r>
    </w:p>
    <w:p w:rsidR="00163957" w:rsidRDefault="00163957" w:rsidP="00163957">
      <w:pPr>
        <w:pStyle w:val="Extracto"/>
      </w:pPr>
    </w:p>
    <w:p w:rsidR="00163957" w:rsidRDefault="00163957" w:rsidP="00163957">
      <w:pPr>
        <w:pStyle w:val="Extracto"/>
      </w:pPr>
      <w:r>
        <w:t>2.</w:t>
      </w:r>
      <w:r>
        <w:tab/>
        <w:t>La incongruencia omisiva se produce cuando una pretensión relevante y debidamente planteada ante un órgano judicial no encuentra respuesta alguna, siquiera tácita, por parte de éste (SSTC 155/2012; 269/2006) [FJ 3].</w:t>
      </w:r>
    </w:p>
    <w:p w:rsidR="00163957" w:rsidRDefault="00163957" w:rsidP="00163957">
      <w:pPr>
        <w:pStyle w:val="Extracto"/>
      </w:pPr>
    </w:p>
    <w:p w:rsidR="00163957" w:rsidRDefault="00163957" w:rsidP="00163957">
      <w:pPr>
        <w:pStyle w:val="Extracto"/>
      </w:pPr>
      <w:r>
        <w:t>3.</w:t>
      </w:r>
      <w:r>
        <w:tab/>
        <w:t>El derecho a la tutela judicial efectiva incluye el derecho a obtener una resolución judicial de fondo cuando no existen obstáculos legales para ello (STC 107/1993), y puede satisfacerse igualmente con una decisión de inadmisión, siempre y cuando esta respuesta sea consecuencia de la aplicación razonada y proporcionada de una causa legal en la que se prevea tal consecuencia (SSTC 158/2000; 111/2009)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amparo núm. 878-2014, promovido por don José Luis Calvo Picallo, representado por el Procurador de los Tribunales don Argimiro Vázquez Guillén y defendido por el Letrado don Manuel Arias Eibe, contra el Auto del Juzgado de Primera Instancia núm. 5 de Ferrol de 15 de enero de 2014 que desestimó el incidente de nulidad de actuaciones promovido contra el Auto dictado por este mismo Juzgado en fecha de 9 de octubre de </w:t>
      </w:r>
      <w:r>
        <w:lastRenderedPageBreak/>
        <w:t>2013 que desestimaba la oposición planteada en el procedimiento de ejecución hipotecaria núm. 228-2011. Ha comparecido el Banco Bilbao Vizcaya Argentaria, S.A., representado por el Procurador de los Tribunales don Manuel Infante Sánchez, y el Ministerio Fiscal. Ha sido Ponente el Magistrado don Juan José González Rivas,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13 de febrero de 2014, el Procurador de los Tribunales don Argimiro Vázquez Guillén, en nombre y representación de don José Luis Calvo Picallo, interpuso recurso de amparo contra las resoluciones referidas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en que se fundamenta la demanda de amparo son, sucintamente expuestos, los siguientes:</w:t>
      </w:r>
    </w:p>
    <w:p w:rsidR="00163957" w:rsidRDefault="00163957" w:rsidP="00163957">
      <w:pPr>
        <w:pStyle w:val="TextoNormal"/>
      </w:pPr>
    </w:p>
    <w:p w:rsidR="00163957" w:rsidRDefault="00163957" w:rsidP="00163957">
      <w:pPr>
        <w:pStyle w:val="TextoNormal"/>
      </w:pPr>
      <w:r>
        <w:t>a) En el Juzgado de Primera instancia núm. 5 de Ferrol, y a instancias de la entidad Banco Bilbao Vizcaya Argentaria, S.A. (BBVA), se sigue procedimiento de ejecución hipotecaria núm. 228-2011 contra Instalaciones y Climatizaciones de Galicia, S.L. (Inclima, S.L.), y contra don José Luis Calvo Picallo en relación con la finca registral núm. 8178, inscrita en el Registro de la Propiedad de Pontedeume en favor de este último.</w:t>
      </w:r>
    </w:p>
    <w:p w:rsidR="00163957" w:rsidRDefault="00163957" w:rsidP="00163957">
      <w:pPr>
        <w:pStyle w:val="TextoNormal"/>
      </w:pPr>
    </w:p>
    <w:p w:rsidR="00163957" w:rsidRDefault="00163957" w:rsidP="00163957">
      <w:pPr>
        <w:pStyle w:val="TextoNormal"/>
      </w:pPr>
      <w:r>
        <w:t>b) La ausencia de intervención de los ejecutados en la tramitación del procedimiento de ejecución hipotecaria, por falta de emplazamiento personal de los mismos, dio lugar a la interposición de recurso de amparo ante este Tribunal, al que correspondió el núm. 6076-2012, y en el que finalmente recayó STC 122/2013, de 20 de mayo, otorgando el amparo y ordenando “retrotraer las actuaciones al momento inmediatamente anterior al requerimiento de pago a los demandados para que se les comunique el despacho de ejecución en legal forma”.</w:t>
      </w:r>
    </w:p>
    <w:p w:rsidR="00163957" w:rsidRDefault="00163957" w:rsidP="00163957">
      <w:pPr>
        <w:pStyle w:val="TextoNormal"/>
      </w:pPr>
    </w:p>
    <w:p w:rsidR="00163957" w:rsidRDefault="00163957" w:rsidP="00163957">
      <w:pPr>
        <w:pStyle w:val="TextoNormal"/>
      </w:pPr>
      <w:r>
        <w:t>c) Una vez retrotraídas las actuaciones, con fecha de 21 de junio de 2013 se llevó a cabo la notificación del despacho de la ejecución y el requerimiento de pago. El ahora recurrente, personalmente y en su condición de administrador de sociedad mercantil Inclima, S.L., mediante escrito presentado el 14 de junio de 2013, formuló, al amparo de la disposición transitoria cuarta de la Ley 1/2013, de 14 de mayo, de medidas para reforzar la protección a los deudores hipotecarios, reestructuración de deuda y alquiler social, incidente de oposición a la ejecución hipotecaria, que denominaba “incidente excepcional de suspensión”, por la existencia de dos cláusulas abusivas; una referida a los intereses moratorios, establecidos en el 29 por 100 anual, y otra relativa al vencimiento anticipado del contrato por cualquier incumplimiento.</w:t>
      </w:r>
    </w:p>
    <w:p w:rsidR="00163957" w:rsidRDefault="00163957" w:rsidP="00163957">
      <w:pPr>
        <w:pStyle w:val="TextoNormal"/>
      </w:pPr>
    </w:p>
    <w:p w:rsidR="00163957" w:rsidRDefault="00163957" w:rsidP="00163957">
      <w:pPr>
        <w:pStyle w:val="TextoNormal"/>
      </w:pPr>
      <w:r>
        <w:t xml:space="preserve">d) Mediante escrito con entrada en el Juzgado en fecha 10 de julio de 2013, la representación procesal de Inclima, S.L., y del ahora demandante don José Luis Calvo Picallo, formuló oposición a la ejecución alegando, en síntesis: (i) que Inclima, S.L., era deudor de BBVA, pero no era deudor hipotecario porque, no siendo propietario de la finca hipotecada, nunca la pudo gravar, y que el Sr. Calvo que, como propietario de la finca hipotecada fue </w:t>
      </w:r>
      <w:r>
        <w:lastRenderedPageBreak/>
        <w:t>quien constituyó la hipoteca, había sido demandado no en su calidad de hipotecante no deudor sino como fiador solidario de Inclima, S.L., razón por la cual el mismo carecía de legitimación pasiva en el proceso de ejecución hipotecaria iniciado, todo ello al amparo de lo dispuesto en los arts. 579, 682.1 y 685.1 de la Ley de enjuiciamiento civil (LEC); (ii) que, siendo variable el interés pactado en el préstamo garantizado con la hipoteca, la demanda no se acompañaba de la documentación requerida en los arts. 573, 574 y 575.3 LEC y no se ha notificado al hipotecante no deudor el saldo resultante.</w:t>
      </w:r>
    </w:p>
    <w:p w:rsidR="00163957" w:rsidRDefault="00163957" w:rsidP="00163957">
      <w:pPr>
        <w:pStyle w:val="TextoNormal"/>
      </w:pPr>
    </w:p>
    <w:p w:rsidR="00163957" w:rsidRDefault="00163957" w:rsidP="00163957">
      <w:pPr>
        <w:pStyle w:val="TextoNormal"/>
      </w:pPr>
      <w:r>
        <w:t>e) Por diligencia de ordenación de la Secretaria Judicial de fecha 9 de septiembre de 2013 se acordó dar traslado de los mencionados escritos a la parte ejecutante para alegaciones en el plazo de cinco días. La representación procesal del BBVA presentó escrito en fecha 19 de septiembre de 2013 en que impugnaba la oposición fundada en la existencia de cláusulas abusivas y la oposición a la ejecución hipotecaria por motivos procesales.</w:t>
      </w:r>
    </w:p>
    <w:p w:rsidR="00163957" w:rsidRDefault="00163957" w:rsidP="00163957">
      <w:pPr>
        <w:pStyle w:val="TextoNormal"/>
      </w:pPr>
    </w:p>
    <w:p w:rsidR="00163957" w:rsidRDefault="00163957" w:rsidP="00163957">
      <w:pPr>
        <w:pStyle w:val="TextoNormal"/>
      </w:pPr>
      <w:r>
        <w:t>f) En fecha de 9 de octubre de 2013 el Juzgado de Primera instancia núm. 5 de Ferrol dictó Auto por el que se desestimaban ambos incidentes: (i) el de oposición a la ejecución por causas procesales porque ninguno de los motivos en los que la misma se sustentaba puede encuadrarse, según el Juzgado, en los tasados que contempla el art. 695 LEC; el de nulidad de cláusulas abusivas porque, careciendo la entidad demandada de la condición de consumidor a tenor de lo dispuesto en el Real Decreto Legislativo 1/2007, de 16 de noviembre, no le es de aplicación el motivo de oposición invocado, que es el recogido en el art. 695.1.4 LEC, lo que no resulta modificado por el hecho de que el Sr. Calvo fuera fiador de la entidad deudora, ya que lo decisivo, en opinión del Juzgado, es la condición de las partes intervinientes en el contrato. Como consecuencia de la desestimación de la oposición se acordaba la continuación de la tramitación de la ejecución. Dicha resolución fue objeto de aclaración por Auto de 8 de noviembre de 2013 en el que se acuerda rectificar la parte dispositiva indicándose al pie de la misma que dicha resolución “no es susceptible de recurso alguno”.</w:t>
      </w:r>
    </w:p>
    <w:p w:rsidR="00163957" w:rsidRDefault="00163957" w:rsidP="00163957">
      <w:pPr>
        <w:pStyle w:val="TextoNormal"/>
      </w:pPr>
    </w:p>
    <w:p w:rsidR="00163957" w:rsidRDefault="00163957" w:rsidP="00163957">
      <w:pPr>
        <w:pStyle w:val="TextoNormal"/>
      </w:pPr>
      <w:r>
        <w:t>g) Frente a dicho Auto la representación procesal del demandante de amparo promovió, por escrito registrado el 18 de noviembre de 2013, incidente de nulidad de actuaciones alegando la vulneración de sus derechos a la tutela judicial efectiva sin indefensión, al no haber sido resueltos los motivos de oposición a la ejecución aducidos, y por infracción de la garantía del procedimiento porque el incidente excepcional de suspensión por existencia de cláusulas abusivas debió resolverse tras la celebración de vista correspondiente, de acuerdo con lo ordenado por la disposición transitoria cuarta de la Ley 1/2013, de 14 de mayo. Alegaba, además, que no se compartían los argumentos de fondo, en cuanto que los preceptos de la Ley de enjuiciamiento civil dirigidos a la defensa frente a las cláusulas abusivas son, a su juicio, perfectamente aplicables a las ejecuciones que afecten a quien no sea consumidor en sentido estricto.</w:t>
      </w:r>
    </w:p>
    <w:p w:rsidR="00163957" w:rsidRDefault="00163957" w:rsidP="00163957">
      <w:pPr>
        <w:pStyle w:val="TextoNormal"/>
      </w:pPr>
    </w:p>
    <w:p w:rsidR="00163957" w:rsidRDefault="00163957" w:rsidP="00163957">
      <w:pPr>
        <w:pStyle w:val="TextoNormal"/>
      </w:pPr>
      <w:r>
        <w:t xml:space="preserve">h) En fecha de 15 de enero de 2014, el Juzgado de Primera instancia núm. 5 de Ferrol dictó Auto desestimando el incidente de nulidad y ordenando que prosiguiera la tramitación de la ejecución. Razona, en síntesis, que la resolución impugnada no ha ocasionado indefensión a la parte por no preceder a la misma la celebración de vista, al no haberla solicitado la parte ni resultar precisa, por haber vertido aquélla sus alegaciones previamente por escrito. En segundo lugar, argumenta que las modificaciones introducidas en la Ley de enjuiciamiento civil por la Ley 1/2013, de 14 de mayo, tuvieron como finalidad adaptar nuestra </w:t>
      </w:r>
      <w:r>
        <w:lastRenderedPageBreak/>
        <w:t>legislación interna a la Sentencia de 14 de marzo de 2013 del Tribunal de Justicia de la Unión Europea, en cuya resolución, dictada para resolver la cuestión prejudicial planteada por el Juzgado de lo Mercantil núm. 3 de Barcelona respecto a la interpretación de la Directiva 93/13/CEE del Consejo, de 5 de abril, se establece la obligación de los jueces de suprimir las cláusulas abusivas para que no produzcan efectos vinculantes para el consumidor.</w:t>
      </w:r>
    </w:p>
    <w:p w:rsidR="00163957" w:rsidRDefault="00163957" w:rsidP="00163957">
      <w:pPr>
        <w:pStyle w:val="TextoNormal"/>
      </w:pPr>
    </w:p>
    <w:p w:rsidR="00163957" w:rsidRDefault="00163957" w:rsidP="00163957">
      <w:pPr>
        <w:pStyle w:val="TextoNormal"/>
      </w:pPr>
      <w:r w:rsidRPr="00163957">
        <w:rPr>
          <w:rStyle w:val="NumeroAFNegritaCaracter"/>
        </w:rPr>
        <w:t>3</w:t>
      </w:r>
      <w:r>
        <w:t>. La parte recurrente aduce en su demanda de amparo que las resoluciones judiciales impugnadas infringen el derecho a la tutela judicial efectiva en cuanto al derecho a obtener una resolución judicial congruente y fundada en derecho y en cuanto al derecho a un procedimiento con todas las garantías (art. 24 CE). Termina suplicando el reconocimiento de “su derecho a una tutela judicial efectiva, a la congruencia de las resoluciones judiciales, y al derecho de defensa; y se declare la nulidad del Auto de fecha 9 de octubre de 2013, así como del Auto de fecha 15 de enero de 2014, dictados por el Juzgado de Primera Instancia núm. 5 de Ferrol en los autos de ejecución hipotecaria 228/11, y en su consecuencia, de lo actuado en dicho proceso, desde el citado Auto de fecha 9 de octubre, con retroacción de las actuaciones al momento anterior al mismo, a fin de que sea dictada resolución congruente y respetuosa con los derechos fundamentales lesionados”.</w:t>
      </w:r>
    </w:p>
    <w:p w:rsidR="00163957" w:rsidRDefault="00163957" w:rsidP="00163957">
      <w:pPr>
        <w:pStyle w:val="TextoNormal"/>
      </w:pPr>
    </w:p>
    <w:p w:rsidR="00163957" w:rsidRDefault="00163957" w:rsidP="00163957">
      <w:pPr>
        <w:pStyle w:val="TextoNormal"/>
      </w:pPr>
      <w:r>
        <w:t>Argumenta, para ello, lo que a continuación se sintetiza:</w:t>
      </w:r>
    </w:p>
    <w:p w:rsidR="00163957" w:rsidRDefault="00163957" w:rsidP="00163957">
      <w:pPr>
        <w:pStyle w:val="TextoNormal"/>
      </w:pPr>
    </w:p>
    <w:p w:rsidR="00163957" w:rsidRDefault="00163957" w:rsidP="00163957">
      <w:pPr>
        <w:pStyle w:val="TextoNormal"/>
      </w:pPr>
      <w:r>
        <w:t>a) En primer lugar, el Auto de 9 de octubre de 2013 se dictó sin haberse seguido el procedimiento debido, ya que, habiéndose suscitado un incidente excepcional promoviendo la suspensión del procedimiento de ejecución y habiéndose planteado oposición a la ejecución instada, lo procedente habría sido resolver el incidente de nulidad planteado antes de hacerlo sobre la oposición. En su lugar, el Juzgado acordó, en una misma resolución y sin celebración de vista, tanto la desestimación del incidente de suspensión como la de la oposición, infringiendo tanto lo dispuesto en la disposición transitoria cuarta de la Ley 1/2013 como en el art. 695 LEC.</w:t>
      </w:r>
    </w:p>
    <w:p w:rsidR="00163957" w:rsidRDefault="00163957" w:rsidP="00163957">
      <w:pPr>
        <w:pStyle w:val="TextoNormal"/>
      </w:pPr>
    </w:p>
    <w:p w:rsidR="00163957" w:rsidRDefault="00163957" w:rsidP="00163957">
      <w:pPr>
        <w:pStyle w:val="TextoNormal"/>
      </w:pPr>
      <w:r>
        <w:t>b) En segundo lugar, la desestimación de este incidente fundado en la existencia de cláusulas abusivas, a juicio del recurrente, carece de una fundamentación razonable en derecho, ya que, contrariamente a lo que se expresa en el Auto del Juzgado, la Ley 1/2013 no restringe las medidas que establece para reforzar la protección de los deudores hipotecarios, entre las que se encuentra la de declarar la improcedencia de la ejecución de títulos que contengan cláusulas abusivas, a quienes tengan la condición de consumidores conforme a la legislación española.</w:t>
      </w:r>
    </w:p>
    <w:p w:rsidR="00163957" w:rsidRDefault="00163957" w:rsidP="00163957">
      <w:pPr>
        <w:pStyle w:val="TextoNormal"/>
      </w:pPr>
    </w:p>
    <w:p w:rsidR="00163957" w:rsidRDefault="00163957" w:rsidP="00163957">
      <w:pPr>
        <w:pStyle w:val="TextoNormal"/>
      </w:pPr>
      <w:r>
        <w:t>c) Por último, la resolución judicial puede tildarse de incongruente porque no estudia los demás motivos de oposición que afectan al título ejecutivo, como son, por una parte, que Inclima, S.L., no es deudor hipotecario porque no ostentó nunca la titularidad dominical de la finca hipotecada, la cual pertenecía al recurrente en amparo, que, sin embargo, fue demandado no como hipotecante no deudor, sino como fiador de la citada entidad mercantil, lo que determina que carezca de legitimación pasiva en el proceso de ejecución hipotecaria instado por el BBVA. Y porque a la demanda no se acompañaban las certificaciones acreditativas de la práctica de las liquidaciones efectuadas, preceptivas cuando, como ocurre en el presente caso, se trata de operaciones de préstamo sometidas a interés variable.</w:t>
      </w:r>
    </w:p>
    <w:p w:rsidR="00163957" w:rsidRDefault="00163957" w:rsidP="00163957">
      <w:pPr>
        <w:pStyle w:val="TextoNormal"/>
      </w:pPr>
    </w:p>
    <w:p w:rsidR="00163957" w:rsidRDefault="00163957" w:rsidP="00163957">
      <w:pPr>
        <w:pStyle w:val="TextoNormal"/>
      </w:pPr>
      <w:r>
        <w:lastRenderedPageBreak/>
        <w:t>En la demanda se solicitaba, por medio de otrosí, la suspensión de los Autos recurridos recaídos en el procedimiento de ejecución hipotecaria núm. 228-2011 con el fin de que no se cause un daño irreparable, ejecutando y desahuciando a las personas de la vivienda objeto de la ejecución.</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providencia de 6 de octubre de 2015, la Sala Segunda de este Tribunal acordó la admisión a trámite de la demanda de amparo presentada, “apreciando que concurre en el mismo una especial trascendencia constitucional (art. 50.1 LOTC) porque el recurso puede dar ocasión al Tribunal para aclarar o cambiar su doctrina, como consecuencia de un proceso de reflexión interna [STC 155/2009, FJ 2, b)]”, y, de conformidad con lo dispuesto en el art. 51 de la Ley Orgánica del Tribunal Constitucional (LOTC), dirigir atenta comunicación al Juzgado de Primera Instancia núm. 5 de Ferrol, a fin de que, en plazo que no exceda de diez días, remitiera certificación o fotocopia adverada de las actuaciones correspondientes al procedimiento de ejecución hipotecaria núm. 228-2011 y emplazase a quienes hubieran sido parte en el procedimiento, excepto a la parte recurrente en amparo, para que en el plazo de diez días pudieran comparecer en el recurso de amparo.</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la misma fecha, la Sección acordó formar la oportuna pieza para la tramitación del incidente de suspensión y, conforme a lo dispuesto en el art. 56 LOTC, concedió un plazo común de tres días a la parte recurrente y al Ministerio Fiscal para que alegaran lo que estimaran pertinente sobre dicha suspensión. Evacuados los trámites correspondientes, mediante Auto de 2 de noviembre de 2015, la Sala Segunda acordó suspender la ejecución de los Autos del Juzgado de Primera Instancia núm. 5 de Ferrol de 9 de octubre de 2013 y 15 de enero de 2014, recaídos en el procedimiento de ejecución hipotecaria núm. 228-2011.</w:t>
      </w:r>
    </w:p>
    <w:p w:rsidR="00163957" w:rsidRDefault="00163957" w:rsidP="00163957">
      <w:pPr>
        <w:pStyle w:val="TextoNormal"/>
      </w:pPr>
    </w:p>
    <w:p w:rsidR="00163957" w:rsidRDefault="00163957" w:rsidP="00163957">
      <w:pPr>
        <w:pStyle w:val="TextoNormal"/>
      </w:pPr>
      <w:r w:rsidRPr="00163957">
        <w:rPr>
          <w:rStyle w:val="NumeroAFNegritaCaracter"/>
        </w:rPr>
        <w:t>6</w:t>
      </w:r>
      <w:r>
        <w:t>. Por diligencia de ordenación del Secretario de Justicia de la Sala Segunda de este Tribunal de fecha 11 de noviembre de 2015, se acordó tener por personado y parte en el procedimiento al Procurador don Manuel Infante Sánchez, en nombre y representación de Banco Bilbao Vizcaya Argentaria, S.A., ordenándose entender con él las sucesivas actuaciones, y, con arreglo al art. 52 LOTC, conceder a las partes personadas y el Ministerio Fiscal el plazo común de veinte días para que, con vista de las actuaciones, formulasen alegaciones.</w:t>
      </w:r>
    </w:p>
    <w:p w:rsidR="00163957" w:rsidRDefault="00163957" w:rsidP="00163957">
      <w:pPr>
        <w:pStyle w:val="TextoNormal"/>
      </w:pPr>
    </w:p>
    <w:p w:rsidR="00163957" w:rsidRDefault="00163957" w:rsidP="00163957">
      <w:pPr>
        <w:pStyle w:val="TextoNormal"/>
      </w:pPr>
      <w:r w:rsidRPr="00163957">
        <w:rPr>
          <w:rStyle w:val="NumeroAFNegritaCaracter"/>
        </w:rPr>
        <w:t>7</w:t>
      </w:r>
      <w:r>
        <w:t>. En fecha 16 de diciembre de 2015 el Ministerio Fiscal presentó su escrito de alegaciones en el que termina solicitando que se otorgue el amparo al haberse vulnerado el derecho fundamental a la tutela judicial efectiva (art. 24.1 CE) del recurrente. Tras relatar los antecedentes fácticos y resumir las alegaciones formuladas por el recurrente, argumenta el Fiscal ante el Tribunal Constitucional lo que a continuación se sintetiza.</w:t>
      </w:r>
    </w:p>
    <w:p w:rsidR="00163957" w:rsidRDefault="00163957" w:rsidP="00163957">
      <w:pPr>
        <w:pStyle w:val="TextoNormal"/>
      </w:pPr>
    </w:p>
    <w:p w:rsidR="00163957" w:rsidRDefault="00163957" w:rsidP="00163957">
      <w:pPr>
        <w:pStyle w:val="TextoNormal"/>
      </w:pPr>
      <w:r>
        <w:t xml:space="preserve">a) Aun cuando en la demanda de amparo se considere que el derecho fundamental vulnerado es el de la tutela judicial efectiva desde la perspectiva del derecho a un proceso con todas las garantías y del derecho a la congruencia de las resoluciones judiciales, el fundamento de la pretensión de amparo evidencia, en opinión del Fiscal, que el derecho que puede considerarse vulnerado es el de la tutela judicial efectiva, pero desde la perspectiva de la motivación de las resoluciones judiciales, ya que, en primer lugar, carece de trascendencia constitucional que la oposición a la ejecución se resuelva en el mismo Auto en el que se </w:t>
      </w:r>
      <w:r>
        <w:lastRenderedPageBreak/>
        <w:t>resuelve la petición de suspensión, pues lo decisivo es que ambas pretensiones fueron resueltas; y, aun cuando no medió la celebración de vista, lo trascendente es, con independencia de que se solicitara o no su celebración, no tanto la realización de dicho acto procesal, como que el recurrente se viera privado de articular algún medio de defensa, alegación que, sin embargo, no se articula convenientemente en la demanda de amparo. Y, en segundo lugar, no puede sostenerse que las resoluciones judiciales no hayan analizado todos los motivos de oposición planteados, singularmente los que afectaban a la validez del título ejecutivo o de la constitución de la relación procesal, ya que todos ellos fueron analizados y desestimados, si bien con una motivación tan escueta que difícilmente puede entenderse que satisfaga el canon constitucional al respecto.</w:t>
      </w:r>
    </w:p>
    <w:p w:rsidR="00163957" w:rsidRDefault="00163957" w:rsidP="00163957">
      <w:pPr>
        <w:pStyle w:val="TextoNormal"/>
      </w:pPr>
    </w:p>
    <w:p w:rsidR="00163957" w:rsidRDefault="00163957" w:rsidP="00163957">
      <w:pPr>
        <w:pStyle w:val="TextoNormal"/>
      </w:pPr>
      <w:r>
        <w:t>b) La fundamentación de la desestimación de la oposición sobre las cláusulas abusivas no se ajusta a los cánones de constitucionalidad de motivación, a juicio del Fiscal, por los siguientes razonamientos:</w:t>
      </w:r>
    </w:p>
    <w:p w:rsidR="00163957" w:rsidRDefault="00163957" w:rsidP="00163957">
      <w:pPr>
        <w:pStyle w:val="TextoNormal"/>
      </w:pPr>
    </w:p>
    <w:p w:rsidR="00163957" w:rsidRDefault="00163957" w:rsidP="00163957">
      <w:pPr>
        <w:pStyle w:val="TextoNormal"/>
      </w:pPr>
      <w:r>
        <w:t>En primer lugar, el Juzgado debió tener en consideración que la ejecución se dirigía tanto contra Inclima, S.L., como contra el recurrente en amparo, que, debiendo responder de las obligaciones contraídas por aquélla, no consta, sin embargo, que no tuviera la condición de consumidor y este extremo no fue tomado en consideración por el Juzgado.</w:t>
      </w:r>
    </w:p>
    <w:p w:rsidR="00163957" w:rsidRDefault="00163957" w:rsidP="00163957">
      <w:pPr>
        <w:pStyle w:val="TextoNormal"/>
      </w:pPr>
    </w:p>
    <w:p w:rsidR="00163957" w:rsidRDefault="00163957" w:rsidP="00163957">
      <w:pPr>
        <w:pStyle w:val="TextoNormal"/>
      </w:pPr>
      <w:r>
        <w:t>En segundo lugar, porque, cualquiera que sea el valor que se pueda atribuir a la exposición de motivos de una disposición normativa de carácter general, la misma no puede sustituir al propio texto normativo. En el texto de la modificación introducida en la Ley de enjuiciamiento civil por la Ley 1/2013 no aparece, ni expresa ni implícitamente, que se restringiera su aplicación a los negocios jurídicos celebrados con consumidores, puesto que en el art. 695.1.4 LEC se establece con carácter general que, en cualquier proceso de ejecución hipotecaria, se puede fundamentar la oposición en la existencia de cláusulas abusivas.</w:t>
      </w:r>
    </w:p>
    <w:p w:rsidR="00163957" w:rsidRDefault="00163957" w:rsidP="00163957">
      <w:pPr>
        <w:pStyle w:val="TextoNormal"/>
      </w:pPr>
    </w:p>
    <w:p w:rsidR="00163957" w:rsidRDefault="00163957" w:rsidP="00163957">
      <w:pPr>
        <w:pStyle w:val="TextoNormal"/>
      </w:pPr>
      <w:r>
        <w:t>En tercer lugar, porque habría que verificar si el concepto normativo de consumidor tiene la misma extensión en nuestro derecho interno que en el derecho comunitario, verificación que es omitida por el Juzgado y que posiblemente conduciría a concluir que el concepto de consumidor comunitario tiene mayor extensión, como lo revela la Sentencia de 3 de septiembre de 2015 del Tribunal de Justicia de la Unión Europea, dictada en el asunto C 110/14, en la que se considera consumidor al contratante que ejerce la abogacía y celebra con un banco un contrato de préstamo sin precisar el destino del mismo, cuando dicho contrato no esté vinculado a la actividad profesional del referido abogado.</w:t>
      </w:r>
    </w:p>
    <w:p w:rsidR="00163957" w:rsidRDefault="00163957" w:rsidP="00163957">
      <w:pPr>
        <w:pStyle w:val="TextoNormal"/>
      </w:pPr>
    </w:p>
    <w:p w:rsidR="00163957" w:rsidRDefault="00163957" w:rsidP="00163957">
      <w:pPr>
        <w:pStyle w:val="TextoNormal"/>
      </w:pPr>
      <w:r>
        <w:t>c) Por lo que respecta a la fundamentación de la desestimación de los restantes motivos de oposición, tampoco satisface la resolución impugnada las exigencias constitucionales sobre motivación de las resoluciones judiciales.</w:t>
      </w:r>
    </w:p>
    <w:p w:rsidR="00163957" w:rsidRDefault="00163957" w:rsidP="00163957">
      <w:pPr>
        <w:pStyle w:val="TextoNormal"/>
      </w:pPr>
    </w:p>
    <w:p w:rsidR="00163957" w:rsidRDefault="00163957" w:rsidP="00163957">
      <w:pPr>
        <w:pStyle w:val="TextoNormal"/>
      </w:pPr>
      <w:r>
        <w:t>En primer lugar, limitarse a decir, como se hace por el Juzgado, que los motivos de oposición invocados no están comprendidos en la legislación vigente, sin contraponer el texto legal con cada uno de los motivos de oposición, supone dar al justiciable una respuesta genérica que, por su vaguedad y abstracción, sume a éste en situación de indefensión.</w:t>
      </w:r>
    </w:p>
    <w:p w:rsidR="00163957" w:rsidRDefault="00163957" w:rsidP="00163957">
      <w:pPr>
        <w:pStyle w:val="TextoNormal"/>
      </w:pPr>
    </w:p>
    <w:p w:rsidR="00163957" w:rsidRDefault="00163957" w:rsidP="00163957">
      <w:pPr>
        <w:pStyle w:val="TextoNormal"/>
      </w:pPr>
      <w:r>
        <w:t xml:space="preserve">En segundo lugar, porque, pese a la dicción literal de los arts. 695.1 y 698.1 LEC, es evidente que el órgano judicial, antes de despachar la ejecución, tiene que realizar alguna </w:t>
      </w:r>
      <w:r>
        <w:lastRenderedPageBreak/>
        <w:t>actividad para comprobar que la demanda y la documentación que a la misma se acompaña se ajustan a lo dispuesto en la legislación vigente. No se puede olvidar que las disposiciones generales sobre el proceso de ejecución contenidas en el tít. III del libro III de la Ley de enjuiciamiento civil son de aplicación a todos los procesos de ejecución, salvo que, como ocurre con los motivos de oposición en los procesos de ejecución hipotecaria, se establezcan excepciones. Pues bien, en dichas reglas generales se establece que solamente se podrá despachar ejecución si concurren los presupuestos procesales (art. 551.1 LEC), debiendo denegarse el despacho de la misma si no concurren los presupuestos y requisitos legalmente exigidos para ello (art. 552 LEC), preceptos cuya aplicación es perfectamente compatible con los que restringen los motivos de oposición en el proceso de ejecución hipotecaria (arts. 695 a 698 LEC), si bien en el presente caso no lo fueron porque el Juzgado entendió, erróneamente, que solamente se podían articular como motivos de oposición los previstos en el art. 695 LEC.</w:t>
      </w:r>
    </w:p>
    <w:p w:rsidR="00163957" w:rsidRDefault="00163957" w:rsidP="00163957">
      <w:pPr>
        <w:pStyle w:val="TextoNormal"/>
      </w:pPr>
    </w:p>
    <w:p w:rsidR="00163957" w:rsidRDefault="00163957" w:rsidP="00163957">
      <w:pPr>
        <w:pStyle w:val="TextoNormal"/>
      </w:pPr>
      <w:r w:rsidRPr="00163957">
        <w:rPr>
          <w:rStyle w:val="NumeroAFNegritaCaracter"/>
        </w:rPr>
        <w:t>8</w:t>
      </w:r>
      <w:r>
        <w:t>. La parte recurrente presentó escrito, en fecha de 18 de diciembre de 2015, en que se ratifica y remite íntegramente a la demanda inicial.</w:t>
      </w:r>
    </w:p>
    <w:p w:rsidR="00163957" w:rsidRDefault="00163957" w:rsidP="00163957">
      <w:pPr>
        <w:pStyle w:val="TextoNormal"/>
      </w:pPr>
    </w:p>
    <w:p w:rsidR="00163957" w:rsidRDefault="00163957" w:rsidP="00163957">
      <w:pPr>
        <w:pStyle w:val="TextoNormal"/>
      </w:pPr>
      <w:r w:rsidRPr="00163957">
        <w:rPr>
          <w:rStyle w:val="NumeroAFNegritaCaracter"/>
        </w:rPr>
        <w:t>9</w:t>
      </w:r>
      <w:r>
        <w:t>. El Procurador don Manuel Infante Sánchez, en nombre y representación de Banco Bilbao Vizcaya Argentaria, S.A., presentó escrito el mismo día 18 de diciembre de 2015 en el que interesa la desestimación del recurso de amparo. Por lo que a este recurso de amparo interesa, argumenta, en resumen, lo que sigue:</w:t>
      </w:r>
    </w:p>
    <w:p w:rsidR="00163957" w:rsidRDefault="00163957" w:rsidP="00163957">
      <w:pPr>
        <w:pStyle w:val="TextoNormal"/>
      </w:pPr>
    </w:p>
    <w:p w:rsidR="00163957" w:rsidRDefault="00163957" w:rsidP="00163957">
      <w:pPr>
        <w:pStyle w:val="TextoNormal"/>
      </w:pPr>
      <w:r>
        <w:t>a) El hecho de que no se haya resuelto el incidente excepcional de oposición a la ejecución por existencia de cláusulas abusivas con carácter previo a la oposición por razones procesales, y que dicha resolución se haya producido simultáneamente, no implica que se hayan vulnerado los derechos de defensa de la demandante, porque aunque ambas cuestiones se hayan decidido a la vez y por el mismo Auto, ello no le supuso indefensión ni en la oposición ni en el incidente, desde el momento que la recurrente pudo, y lo hizo, alegar en ambos casos, y las cuestiones por ella planteadas fueron debidamente resueltas por el Juzgado. Aunque la norma establezca la celebración de vista, cuando la cuestión a debatir en la misma sea estrictamente jurídica, y las partes hayan presentado alegaciones, la celebración de una vista sería innecesaria y superflua, y desde tal punto de vista facultativa para el juez, en su función de director del pleito. Conforme a la doctrina jurisprudencial, la interesada debe no solo alegar sino también justificar que la prueba no practicada en la vista no celebrada ha mermado su derecho de defensa, para lo que debe alegar la prueba concreta que pretendía haber realizado y justificar el alcance de la misma, explicando las razones de su trascendencia.</w:t>
      </w:r>
    </w:p>
    <w:p w:rsidR="00163957" w:rsidRDefault="00163957" w:rsidP="00163957">
      <w:pPr>
        <w:pStyle w:val="TextoNormal"/>
      </w:pPr>
    </w:p>
    <w:p w:rsidR="00163957" w:rsidRDefault="00163957" w:rsidP="00163957">
      <w:pPr>
        <w:pStyle w:val="TextoNormal"/>
      </w:pPr>
      <w:r>
        <w:t xml:space="preserve">b) En relación con el denunciado carácter abusivo de cláusulas, la vía del incidente planteado es, a su juicio, improcedente por estar vedada al recurrente, dada su condición de no consumidor, y en consecuencia el rechazo de su pretensión por el Juzgado es perfectamente ajustada a derecho, siendo perfectamente aceptable la decisión de inadmisión/desestimación del incidente alcanzada. En el peor de los casos, la supuesta abusividad de las cláusulas pudo haberse planteado dentro de la oposición y al amparo del motivo de oposición 4 añadido al art. 695.1 LEC por la Ley 1/2013, de 14 de mayo, aun cuando tampoco de haberlo planteado así hubiera podido prosperar su alegación, dado que en el trasfondo del tema late que la aplicación de dicho motivo 4 responde a la modificación introducida por la Ley </w:t>
      </w:r>
      <w:r>
        <w:lastRenderedPageBreak/>
        <w:t>1/2013, que se refiere a los consumidores, con lo que resulta cuestionable que esta pretensión pueda prosperar para los no consumidores al amparo de tal precepto.</w:t>
      </w:r>
    </w:p>
    <w:p w:rsidR="00163957" w:rsidRDefault="00163957" w:rsidP="00163957">
      <w:pPr>
        <w:pStyle w:val="TextoNormal"/>
      </w:pPr>
    </w:p>
    <w:p w:rsidR="00163957" w:rsidRDefault="00163957" w:rsidP="00163957">
      <w:pPr>
        <w:pStyle w:val="TextoNormal"/>
      </w:pPr>
      <w:r>
        <w:t>c) Respecto de los motivos procesales de oposición a la ejecución, considera que los alegados no tienen encaje en el artículo 695.1 LEC, por lo que la desestimación de la oposición por tal razón resulta plenamente ajustada a Derecho, y en nada causa la resolución dictada indefensión material a la recurrente, en el sentido constitucional del término. En realidad, la manera correcta de plantear las pretensiones alegadas en su oposición habría sido la de acudir a la vía que el artículo 698.1 LEC establece para aquellas reclamaciones que no puedan considerarse incluidas en los artículos anteriores, entre las que estaría incluida la pretensión de la recurrente. Los motivos alegados sí han sido examinados y se ha dictado resolución al respecto, concluyendo que los mismos no constituyen motivos que tengan encaje entre los motivos de oposición que regula, con carácter tasado, el citado art. 695.1 LEC.</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10 de marzo de 2016 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Se interpone el presente recurso de amparo contra el Auto dictado por el Juzgado de Primera Instancia núm. 5 de Ferrol en fecha de 9 de octubre de 2013 que desestimaba la oposición planteada en el procedimiento de ejecución hipotecaria núm. 228-2011, así como contra el Auto de 15 de enero de 2014 por el que el mismo órgano judicial desestimó el incidente de nulidad de actuaciones promovido contra el primero.</w:t>
      </w:r>
    </w:p>
    <w:p w:rsidR="00163957" w:rsidRDefault="00163957" w:rsidP="00163957">
      <w:pPr>
        <w:pStyle w:val="TextoNormal"/>
      </w:pPr>
    </w:p>
    <w:p w:rsidR="00163957" w:rsidRDefault="00163957" w:rsidP="00163957">
      <w:pPr>
        <w:pStyle w:val="TextoNormal"/>
      </w:pPr>
      <w:r>
        <w:t>En el apartado de antecedentes ha quedado expuesto el procedimiento seguido ante el Juzgado de Primera Instancia, una vez cumplida la Sentencia precedente de este Tribunal 122/2013, de 20 de mayo, que ordenó la retroacción de actuaciones, así como las razones por las que dicho órgano judicial rechazó, en las dos resoluciones que se impugnan, las alegaciones de la parte recurrente y que, sintéticamente, consistieron en considerar, respecto de la oposición a la ejecución hipotecaria por razones procesales, que los motivos aducidos no tienen cabida en el art. 695 de la Ley de enjuiciamiento civil (LEC), y, respecto de la oposición fundada en la existencia de cláusulas abusivas, en rechazar dicha calificación al carecer la entidad demandada de la condición de consumidor, resultando indiferente, a tales efectos, la naturaleza de fiador solidario del ahora demandante de amparo.</w:t>
      </w:r>
    </w:p>
    <w:p w:rsidR="00163957" w:rsidRDefault="00163957" w:rsidP="00163957">
      <w:pPr>
        <w:pStyle w:val="TextoNormal"/>
      </w:pPr>
    </w:p>
    <w:p w:rsidR="00163957" w:rsidRDefault="00163957" w:rsidP="00163957">
      <w:pPr>
        <w:pStyle w:val="TextoNormal"/>
      </w:pPr>
      <w:r>
        <w:t xml:space="preserve">A juicio de la parte recurrente, el Auto de 9 de octubre de 2013 habría lesionado su derecho fundamental a la tutela judicial efectiva por tres motivos. En primer lugar, aduce que el Juzgado resolvió en una misma resolución y sin celebración de vista, tanto “el incidente extraordinario de suspensión”, que a su entender debió resolverse primero, como la oposición a la ejecución, infringiendo lo dispuesto en la disposición transitoria cuarta de la Ley 1/2013 y en el art. 695 LEC. En segundo lugar, argumenta que la desestimación de la oposición por la existencia de cláusulas abusivas carece de una fundamentación razonable en derecho, ya que la Ley 1/2013 no restringe las medidas que establece para reforzar la protección de los deudores hipotecarios a quienes tengan la condición de consumidores. En tercer lugar, considera que la resolución incurre en incongruencia porque no examina los </w:t>
      </w:r>
      <w:r>
        <w:lastRenderedPageBreak/>
        <w:t>demás motivos de oposición que afectan al título ejecutivo, como son, por una parte, que Inclima, S.L., no es deudor hipotecario porque no ostentó nunca la titularidad dominical de la finca hipotecada, que pertenecía al recurrente en amparo. Éste fue demandado no como hipotecante no deudor, sino como fiador de la citada entidad mercantil, y a la demanda no se acompañaban las certificaciones acreditativas de la práctica de las liquidaciones efectuadas, preceptivas cuando, como ocurre en el presente caso, se trata de operaciones de préstamo sometidas a interés variable.</w:t>
      </w:r>
    </w:p>
    <w:p w:rsidR="00163957" w:rsidRDefault="00163957" w:rsidP="00163957">
      <w:pPr>
        <w:pStyle w:val="TextoNormal"/>
      </w:pPr>
    </w:p>
    <w:p w:rsidR="00163957" w:rsidRDefault="00163957" w:rsidP="00163957">
      <w:pPr>
        <w:pStyle w:val="TextoNormal"/>
      </w:pPr>
      <w:r>
        <w:t>El Ministerio Fiscal interesa la estimación del recurso de amparo al entender, en síntesis, que las resoluciones impugnadas no se acomodan al canon de motivación exigible tanto respecto del rechazo de la naturaleza abusiva de las cláusulas como respecto de la oposición a la ejecución por razones procesales. Entiende, por el contrario, que la aducida infracción de procedimiento carece de trascendencia constitucional.</w:t>
      </w:r>
    </w:p>
    <w:p w:rsidR="00163957" w:rsidRDefault="00163957" w:rsidP="00163957">
      <w:pPr>
        <w:pStyle w:val="TextoNormal"/>
      </w:pPr>
    </w:p>
    <w:p w:rsidR="00163957" w:rsidRDefault="00163957" w:rsidP="00163957">
      <w:pPr>
        <w:pStyle w:val="TextoNormal"/>
      </w:pPr>
      <w:r>
        <w:t>La representación del BBVA considera que las quejas carecen de sustento en cuanto que, en resumen, el procedimiento seguido no ha mermado el derecho de defensa de la parte recurrente, resulta ajustada a derecho la desestimación de la pretensión respecto de las calificadas cláusulas abusivas, y no constituyen las aducidas razones procesales motivos que tengan encaje entre los de oposición que regula, con carácter tasado, el art. 695.1 LEC.</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exigencias de certeza y buena administración de justicia (STEDH de 20 de enero de 2015, caso </w:t>
      </w:r>
      <w:r w:rsidRPr="00163957">
        <w:rPr>
          <w:i/>
        </w:rPr>
        <w:t>Arribas Antón c. España</w:t>
      </w:r>
      <w:r>
        <w:t>, § 46) obligan a explicitar el cumplimiento del mismo a fin de hacer así recognoscibles los criterios empleados al efecto por este Tribunal.</w:t>
      </w:r>
    </w:p>
    <w:p w:rsidR="00163957" w:rsidRDefault="00163957" w:rsidP="00163957">
      <w:pPr>
        <w:pStyle w:val="TextoNormal"/>
      </w:pPr>
    </w:p>
    <w:p w:rsidR="00163957" w:rsidRDefault="00163957" w:rsidP="00163957">
      <w:pPr>
        <w:pStyle w:val="TextoNormal"/>
      </w:pPr>
      <w:r>
        <w:t>En el presente caso, este Tribunal decidió admitir este recurso de amparo apreciando que concurría en el mismo especial trascendencia constitucional [art. 50.1 de la Ley Orgánica del Tribunal Constitucional (LOTC)] porque el recurso puede dar ocasión al Tribunal para aclarar o cambiar su doctrina, como consecuencia de un proceso de reflexión interna [STC 155/2009, de 25 de junio, FJ 2 b)].</w:t>
      </w:r>
    </w:p>
    <w:p w:rsidR="00163957" w:rsidRDefault="00163957" w:rsidP="00163957">
      <w:pPr>
        <w:pStyle w:val="TextoNormal"/>
      </w:pPr>
    </w:p>
    <w:p w:rsidR="00163957" w:rsidRDefault="00163957" w:rsidP="00163957">
      <w:pPr>
        <w:pStyle w:val="TextoNormal"/>
      </w:pPr>
      <w:r w:rsidRPr="00163957">
        <w:rPr>
          <w:rStyle w:val="NumeroAFNegritaCaracter"/>
        </w:rPr>
        <w:t>3</w:t>
      </w:r>
      <w:r>
        <w:t>. Dado que a las pretendidas infracciones procedimentales no se anuda la consecución de indefensión material alguna (por todas, STC 122/2007, de 21 de mayo, FJ 3), comenzamos por el examen del tercer y último motivo de queja, en que la parte recurrente imputa a las resoluciones impugnadas incongruencia omisiva, al no examinar los motivos de oposición que hemos denominado procesales. Se referían estas causas de oposición a la falta de legitimación pasiva del ahora recurrente, por haber sido demandado en la condición de fiador solidario en lugar de hipotecante no deudor, así como a que, siendo variable el interés pactado en el préstamo garantizado con la hipoteca, la demanda no se acompañaba de la documentación requerida en los arts. 573, 574 y 575.3 LEC, y no se había notificado al hipotecante no deudor el saldo resultante de la liquidación efectuada según el título.</w:t>
      </w:r>
    </w:p>
    <w:p w:rsidR="00163957" w:rsidRDefault="00163957" w:rsidP="00163957">
      <w:pPr>
        <w:pStyle w:val="TextoNormal"/>
      </w:pPr>
    </w:p>
    <w:p w:rsidR="00163957" w:rsidRDefault="00163957" w:rsidP="00163957">
      <w:pPr>
        <w:pStyle w:val="TextoNormal"/>
      </w:pPr>
      <w:r>
        <w:t xml:space="preserve">El Auto de 9 de octubre de 2013 señala sobre dicha oposición a la ejecución que “respecto de los motivos de oposición manifestados por la parte ejecutada en el escrito de 8 de julio </w:t>
      </w:r>
      <w:r>
        <w:lastRenderedPageBreak/>
        <w:t>de 2013, ninguno de ellos puede encuadrarse en los motivos tasados de oposición que contempla el art 695 de la LEC antes indicado, por lo que deben rechazarse sus alegaciones”. Nada dice sobre esta materia el Auto de 15 de enero de 2014 resolutorio del incidente de nulidad de actuaciones.</w:t>
      </w:r>
    </w:p>
    <w:p w:rsidR="00163957" w:rsidRDefault="00163957" w:rsidP="00163957">
      <w:pPr>
        <w:pStyle w:val="TextoNormal"/>
      </w:pPr>
    </w:p>
    <w:p w:rsidR="00163957" w:rsidRDefault="00163957" w:rsidP="00163957">
      <w:pPr>
        <w:pStyle w:val="TextoNormal"/>
      </w:pPr>
      <w:r>
        <w:t>Como puede observarse, no hay inicialmente falta de respuesta judicial a las cuestiones planteadas, sino una decisión consistente en no entrar en el examen de las mismas sobre la base de la concurrencia de un óbice procesal que lo imposibilita, como es el carácter tasado de los motivos de oposición a la ejecución hipotecaria que el juzgado deduce del contenido del art. 695 LEC.</w:t>
      </w:r>
    </w:p>
    <w:p w:rsidR="00163957" w:rsidRDefault="00163957" w:rsidP="00163957">
      <w:pPr>
        <w:pStyle w:val="TextoNormal"/>
      </w:pPr>
    </w:p>
    <w:p w:rsidR="00163957" w:rsidRDefault="00163957" w:rsidP="00163957">
      <w:pPr>
        <w:pStyle w:val="TextoNormal"/>
      </w:pPr>
      <w:r>
        <w:t>La queja no puede encuadrase, por tanto, en el ámbito de la incongruencia omisiva, que se produce cuando “una pretensión relevante y debidamente planteada ante un órgano judicial no encuentra respuesta alguna, siquiera tácita, por parte de éste” (SSTC 155/2012, de 16 de julio, FJ 2, y 269/2006, de 11 de septiembre, FJ 4; por todas). Se refiere, más bien, al derecho a obtener una resolución sobre el fondo de la cuestión objeto de debate (derecho de acceso a la jurisdicción), integrado también en el art. 24.1 CE. En relación con esta concreta vertiente del derecho fundamental, la doctrina de este Tribunal Constitucional ha mantenido de forma constante que el derecho a la tutela judicial efectiva, “que incluye el derecho a obtener una resolución judicial de fondo cuando no existen obstáculos legales para ello” (STC 107/1993, de 22 de marzo, FJ 2), puede satisfacerse igualmente con “una decisión de inadmisión, siempre y cuando esta respuesta sea consecuencia de la aplicación razonada y proporcionada de una causa legal en la que se prevea tal consecuencia” (STC 158/2000, de 12 de junio, FJ 5. En igual sentido, SSTC 115/1999, de 14 de junio, FJ 2; 157/1999, de 14 de septiembre, FJ 2; 33/2002, de 11 de febrero de 2002, FJ 5, y 111/2009, de 11 de mayo, FJ 2).</w:t>
      </w:r>
    </w:p>
    <w:p w:rsidR="00163957" w:rsidRDefault="00163957" w:rsidP="00163957">
      <w:pPr>
        <w:pStyle w:val="TextoNormal"/>
      </w:pPr>
    </w:p>
    <w:p w:rsidR="00163957" w:rsidRDefault="00163957" w:rsidP="00163957">
      <w:pPr>
        <w:pStyle w:val="TextoNormal"/>
      </w:pPr>
      <w:r w:rsidRPr="00163957">
        <w:rPr>
          <w:rStyle w:val="NumeroAFNegritaCaracter"/>
        </w:rPr>
        <w:t>4</w:t>
      </w:r>
      <w:r>
        <w:t>. Sobre una queja similar hemos tenido ocasión de pronunciarnos en la STC 39/2015, de 2 de marzo, en la que concluíamos que, en el seno de un procedimiento de ejecución hipotecaria, la negativa judicial a examinar una cuestión relativa al incumplimiento de un requisito procesal derivado del propio título de ejecución y apreciable de oficio por el órgano judicial, “resulta a todas luces desproporcionada, por excesivamente formalista, e incompatible con el derecho fundamental a la tutela judicial efectiva”. A fin de evitar innecesarias reiteraciones, nos remitimos a sus fundamentos jurídicos 5 y 6, cuya síntesis permite subrayar que en aquel supuesto “la decisión del órgano judicial de no resolver la cuestión procesal planteada por los ejecutados se refiere a un óbice apreciable de oficio por el juez, que afecta a la procedencia misma del procedimiento de ejecución hipotecaria, lo que debería justificar… que el órgano judicial hubiera dado respuesta a la alegación de la parte de improcedencia del procedimiento especial”.</w:t>
      </w:r>
    </w:p>
    <w:p w:rsidR="00163957" w:rsidRDefault="00163957" w:rsidP="00163957">
      <w:pPr>
        <w:pStyle w:val="TextoNormal"/>
      </w:pPr>
    </w:p>
    <w:p w:rsidR="00163957" w:rsidRDefault="00163957" w:rsidP="00163957">
      <w:pPr>
        <w:pStyle w:val="TextoNormal"/>
      </w:pPr>
      <w:r>
        <w:t>En el caso examinado, lo que planteó el demandante de amparo, en el incidente de oposición a la ejecución hipotecaria por motivos procesales, fue su falta de legitimación pasiva así como el incumplimiento de un requisito procesal derivado del propio título de ejecución, en cuanto se pactaba un interés variable, presupuesto y requisito apreciables de oficio por el órgano judicial, lo que, como señalábamos en la citada Sentencia 39/2015 (FJ 6), era argumento suficiente para que tales cuestiones hubieran sido resueltos en el seno del incidente de oposición, a pesar de no estar previsto así expresamente por la norma.</w:t>
      </w:r>
    </w:p>
    <w:p w:rsidR="00163957" w:rsidRDefault="00163957" w:rsidP="00163957">
      <w:pPr>
        <w:pStyle w:val="TextoNormal"/>
      </w:pPr>
    </w:p>
    <w:p w:rsidR="00163957" w:rsidRDefault="00163957" w:rsidP="00163957">
      <w:pPr>
        <w:pStyle w:val="TextoNormal"/>
      </w:pPr>
      <w:r>
        <w:lastRenderedPageBreak/>
        <w:t>En suma, la decisión de no entrar en el examen de la cuestiones planteadas no es conforme con el derecho fundamental a la tutela judicial efectiva proclamado por el art. 24.1 CE.</w:t>
      </w:r>
    </w:p>
    <w:p w:rsidR="00163957" w:rsidRDefault="00163957" w:rsidP="00163957">
      <w:pPr>
        <w:pStyle w:val="TextoNormal"/>
      </w:pPr>
    </w:p>
    <w:p w:rsidR="00163957" w:rsidRDefault="00163957" w:rsidP="00163957">
      <w:pPr>
        <w:pStyle w:val="TextoNormal"/>
      </w:pPr>
      <w:r w:rsidRPr="00163957">
        <w:rPr>
          <w:rStyle w:val="NumeroAFNegritaCaracter"/>
        </w:rPr>
        <w:t>5</w:t>
      </w:r>
      <w:r>
        <w:t>. Los razonamientos expuestos, que nos relevan de la necesidad de examinar los restantes quejas, de conformidad con el art. 55.1 de la Ley Orgánica del Tribunal Constitucional, conducen a estimar el recurso de amparo por vulneración del art. 24.1 CE, y a anular las resoluciones judiciales impugnadas, retrotrayendo las actuaciones al momento anterior al dictado del Auto de 9 de octubre de 2013 para que se dicte nueva resolución con respeto al derecho fundamental reconocido.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don José Luis Calvo Picallo y, en su virtud:</w:t>
      </w:r>
    </w:p>
    <w:p w:rsidR="00163957" w:rsidRDefault="00163957" w:rsidP="00163957">
      <w:pPr>
        <w:pStyle w:val="TextoNormal"/>
      </w:pPr>
    </w:p>
    <w:p w:rsidR="00163957" w:rsidRDefault="00163957" w:rsidP="00163957">
      <w:pPr>
        <w:pStyle w:val="TextoNormal"/>
      </w:pPr>
      <w:r>
        <w:t>1º Declarar vulnerado el derecho del recurrente en amparo a la tutela judicial efectiva (art. 24.1 CE).</w:t>
      </w:r>
    </w:p>
    <w:p w:rsidR="00163957" w:rsidRDefault="00163957" w:rsidP="00163957">
      <w:pPr>
        <w:pStyle w:val="TextoNormal"/>
      </w:pPr>
    </w:p>
    <w:p w:rsidR="00163957" w:rsidRDefault="00163957" w:rsidP="00163957">
      <w:pPr>
        <w:pStyle w:val="TextoNormal"/>
      </w:pPr>
      <w:r>
        <w:t>2º Restablecer su derecho y, a tal fin, anular el Auto dictado por el Juzgado de Primera Instancia núm. 5 de Ferrol en fecha de 9 de octubre de 2013 así como el Auto de 15 de enero de 2014, resoluciones recaídas en el procedimiento de ejecución hipotecaria núm. 228-2011.</w:t>
      </w:r>
    </w:p>
    <w:p w:rsidR="00163957" w:rsidRDefault="00163957" w:rsidP="00163957">
      <w:pPr>
        <w:pStyle w:val="TextoNormal"/>
      </w:pPr>
    </w:p>
    <w:p w:rsidR="00163957" w:rsidRDefault="00163957" w:rsidP="00163957">
      <w:pPr>
        <w:pStyle w:val="TextoNormal"/>
      </w:pPr>
      <w:r>
        <w:t>3º Retrotraer las actuaciones al momento anterior al de dictarse la primera de las mencionadas resoluciones para que se dicte otra respetuosa con el derecho fundamental vulnerado.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53" w:name="SENTENCIA_2016_50"/>
      <w:r>
        <w:lastRenderedPageBreak/>
        <w:t>SENTENCIA 50/2016, de 14 de marzo de 2016</w:t>
      </w:r>
    </w:p>
    <w:bookmarkEnd w:id="53"/>
    <w:p w:rsidR="00163957" w:rsidRDefault="00163957" w:rsidP="00163957">
      <w:pPr>
        <w:pStyle w:val="TtuloResolucin"/>
      </w:pPr>
      <w:r>
        <w:t>Sala Primera</w:t>
      </w:r>
    </w:p>
    <w:p w:rsidR="00163957" w:rsidRDefault="00163957" w:rsidP="00163957">
      <w:pPr>
        <w:pStyle w:val="TtuloBOE"/>
      </w:pPr>
      <w:r>
        <w:t>(BOE núm. 97, de 22 de abril de 2016)</w:t>
      </w:r>
    </w:p>
    <w:p w:rsidR="00163957" w:rsidRDefault="00163957" w:rsidP="00163957">
      <w:pPr>
        <w:pStyle w:val="TextoNormalCentrado"/>
      </w:pPr>
      <w:r>
        <w:t>ECLI:ES:TC:2016:50</w:t>
      </w:r>
    </w:p>
    <w:p w:rsidR="00163957" w:rsidRDefault="00163957" w:rsidP="00163957">
      <w:pPr>
        <w:pStyle w:val="TextoNormalCentrado"/>
      </w:pPr>
    </w:p>
    <w:p w:rsidR="00163957" w:rsidRDefault="00163957" w:rsidP="00163957">
      <w:pPr>
        <w:pStyle w:val="SntesisDescriptiva"/>
      </w:pPr>
      <w:r>
        <w:t>Recurso de amparo 3807-2014. Promovido por el Fiscal ante el Tribunal Constitucional en relación con los Autos de la Audiencia Provincial y de un Juzgado de Primera Instancia de Las Palmas de Gran Canaria sobre internamiento involuntario por trastorno psiquiátrico.</w:t>
      </w:r>
    </w:p>
    <w:p w:rsidR="00163957" w:rsidRDefault="00163957" w:rsidP="00163957">
      <w:pPr>
        <w:pStyle w:val="SntesisDescriptiva"/>
      </w:pPr>
    </w:p>
    <w:p w:rsidR="00163957" w:rsidRDefault="00163957" w:rsidP="00163957">
      <w:pPr>
        <w:pStyle w:val="SntesisAnaltica"/>
      </w:pPr>
      <w:r>
        <w:t>Vulneración del derecho a la libertad personal: privación de representación y defensa de la afectada por la medida de internamiento (STC 22/2016).</w:t>
      </w:r>
    </w:p>
    <w:p w:rsidR="00163957" w:rsidRDefault="00163957" w:rsidP="00163957">
      <w:pPr>
        <w:pStyle w:val="SntesisAnaltica"/>
      </w:pPr>
    </w:p>
    <w:p w:rsidR="00163957" w:rsidRDefault="00163957" w:rsidP="00163957">
      <w:pPr>
        <w:pStyle w:val="Extracto"/>
      </w:pPr>
      <w:r>
        <w:t>1.</w:t>
      </w:r>
      <w:r>
        <w:tab/>
        <w:t>La negación de la intervención en primera instancia de su representante procesal y defensora produjo la vulneración del derecho a la asistencia jurídica, que en este ámbito del proceso de internamiento involuntario del art. 763 LEC por trastorno psíquico, se reconduce a una lesión del derecho a la libertad del art. 17.1 CE (SSTC 141/2012; 22/2016) [FJ 6].</w:t>
      </w:r>
    </w:p>
    <w:p w:rsidR="00163957" w:rsidRDefault="00163957" w:rsidP="00163957">
      <w:pPr>
        <w:pStyle w:val="Extracto"/>
      </w:pPr>
    </w:p>
    <w:p w:rsidR="00163957" w:rsidRDefault="00163957" w:rsidP="00163957">
      <w:pPr>
        <w:pStyle w:val="Extracto"/>
      </w:pPr>
      <w:r>
        <w:t>2.</w:t>
      </w:r>
      <w:r>
        <w:tab/>
        <w:t>El hecho de que el art. 763.3</w:t>
      </w:r>
      <w:r w:rsidRPr="00163957">
        <w:rPr>
          <w:i/>
        </w:rPr>
        <w:t xml:space="preserve"> in fine </w:t>
      </w:r>
      <w:r>
        <w:t>LEC garantice la posibilidad de recurso de apelación contra la decisión adoptada, no legitima la privación de una garantía esencial del procedimiento de primera instancia [FJ 5].</w:t>
      </w:r>
    </w:p>
    <w:p w:rsidR="00163957" w:rsidRDefault="00163957" w:rsidP="00163957">
      <w:pPr>
        <w:pStyle w:val="Extracto"/>
      </w:pPr>
    </w:p>
    <w:p w:rsidR="00163957" w:rsidRDefault="00163957" w:rsidP="00163957">
      <w:pPr>
        <w:pStyle w:val="Extracto"/>
      </w:pPr>
      <w:r>
        <w:t>3.</w:t>
      </w:r>
      <w:r>
        <w:tab/>
        <w:t xml:space="preserve">La legitimación para recurrir en amparo que la Constitución atribuye al Ministerio Fiscal, y que aparece igualmente recogida en el art. 46.1 b) LOTC, se configura como un </w:t>
      </w:r>
      <w:r w:rsidRPr="00163957">
        <w:rPr>
          <w:i/>
        </w:rPr>
        <w:t xml:space="preserve">ius agendi </w:t>
      </w:r>
      <w:r>
        <w:t>reconocido a este órgano en mérito a su específica posición institucional, funcionalmente delimitada en el art. 124.1 de la norma fundamental (STC 17/2006) [FJ 2].</w:t>
      </w:r>
    </w:p>
    <w:p w:rsidR="00163957" w:rsidRDefault="00163957" w:rsidP="00163957">
      <w:pPr>
        <w:pStyle w:val="Extracto"/>
      </w:pPr>
    </w:p>
    <w:p w:rsidR="00163957" w:rsidRDefault="00163957" w:rsidP="00163957">
      <w:pPr>
        <w:pStyle w:val="Extracto"/>
      </w:pPr>
      <w:r>
        <w:t>4.</w:t>
      </w:r>
      <w:r>
        <w:tab/>
        <w:t>Promoviendo el amparo constitucional, el Ministerio Fiscal defiende, ciertamente, derechos fundamentales pero lo hace, y en esto reside la peculiar naturaleza de su acción, no porque ostente su titularidad, sino como portador del interés público en la integridad y efectividad de tales derechos (SSTC 208/2013; 182/2015) [FJ 2].</w:t>
      </w:r>
    </w:p>
    <w:p w:rsidR="00163957" w:rsidRDefault="00163957" w:rsidP="00163957">
      <w:pPr>
        <w:pStyle w:val="Extracto"/>
      </w:pPr>
    </w:p>
    <w:p w:rsidR="00163957" w:rsidRDefault="00163957" w:rsidP="00163957">
      <w:pPr>
        <w:pStyle w:val="Extracto"/>
      </w:pPr>
      <w:r>
        <w:t>5.</w:t>
      </w:r>
      <w:r>
        <w:tab/>
        <w:t>Este Tribunal ha venido admitiendo la legitimación del Ministerio Fiscal para interponer recurso de amparo no sólo en defensa de derechos fundamentales de los ciudadanos, sino también para denunciar la vulneración del derecho a la tutela judicial efectiva del propio Ministerio Fiscal en su condición de parte procesal en el proceso</w:t>
      </w:r>
      <w:r w:rsidRPr="00163957">
        <w:rPr>
          <w:i/>
        </w:rPr>
        <w:t xml:space="preserve"> a quo </w:t>
      </w:r>
      <w:r>
        <w:t>(SSTC 148/1994; 17/2006) [FJ 2].</w:t>
      </w:r>
    </w:p>
    <w:p w:rsidR="00163957" w:rsidRDefault="00163957" w:rsidP="00163957">
      <w:pPr>
        <w:pStyle w:val="Extracto"/>
      </w:pPr>
    </w:p>
    <w:p w:rsidR="00163957" w:rsidRDefault="00163957" w:rsidP="00163957">
      <w:pPr>
        <w:pStyle w:val="Extracto"/>
      </w:pPr>
      <w:r>
        <w:t>6.</w:t>
      </w:r>
      <w:r>
        <w:tab/>
        <w:t>El derecho a la asistencia jurídica de la persona internada requiere siempre la actuación, en su nombre, de un representante procesal y un defensor, reconociéndose con carácter general para todos los procesos sobre capacidad de las personas (STC 7/2011) [FJ 4]</w:t>
      </w:r>
    </w:p>
    <w:p w:rsidR="00163957" w:rsidRDefault="00163957" w:rsidP="00163957">
      <w:pPr>
        <w:pStyle w:val="Extracto"/>
      </w:pPr>
    </w:p>
    <w:p w:rsidR="00163957" w:rsidRDefault="00163957" w:rsidP="00163957">
      <w:pPr>
        <w:pStyle w:val="Extracto"/>
      </w:pPr>
      <w:r>
        <w:t>7.</w:t>
      </w:r>
      <w:r>
        <w:tab/>
        <w:t xml:space="preserve">Los procedimientos sobre internación de personas se encuadran entre aquéllos en los que la garantía constitucional de la defensa letrada se convierte en una exigencia estructural del proceso tendente a asegurar su correcto desenvolvimiento, en que la pasividad del titular del derecho debe ser suplida por el órgano judicial, </w:t>
      </w:r>
      <w:r>
        <w:lastRenderedPageBreak/>
        <w:t>ofreciendo al interesado una oportunidad de reparar tal omisión (STC 189/2006) [FJ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Xíol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3807-2014, promovido por el Fiscal ante el Tribunal Constitucional, contra el Auto del Juzgado de Primera Instancia núm. 15 de Las Palmas de Gran Canaria, de 5 de marzo de 2014, que ratifica una medida de internamiento urgente por trastorno psíquico, y contra el Auto de la Sección Tercera de la Audiencia Provincial de Las Palmas de Gran Canaria, de 9 de mayo de 2014, que desestimó el recurso de apelación interpuesto contra la anterior resolución. Ha intervenido en este proceso doña R.A.S., representada por el Procurador don José Ramón Pardo Martínez y asistida por el abogado don Juan Carlos Martín Luis. Ha sido Ponente el Magistrado don Francisco Pérez de los Cobos Orihuel,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el 16 de junio de 2014, el Fiscal ante el Tribunal Constitucional promovió recurso de amparo contra las resoluciones judiciales a la que se ha hecho referencia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con relevancia para el presente recurso de amparo y a los que se refiere la demanda presentada, son los siguientes:</w:t>
      </w:r>
    </w:p>
    <w:p w:rsidR="00163957" w:rsidRDefault="00163957" w:rsidP="00163957">
      <w:pPr>
        <w:pStyle w:val="TextoNormal"/>
      </w:pPr>
    </w:p>
    <w:p w:rsidR="00163957" w:rsidRDefault="00163957" w:rsidP="00163957">
      <w:pPr>
        <w:pStyle w:val="TextoNormal"/>
      </w:pPr>
      <w:r>
        <w:t>a) Con fecha 3 de marzo de 2014, se recibió en el Decanato de los Juzgados de Las Palmas de Gran Canaria, un escrito procedente del servicio de psiquiatría del Hospital Universitario de Gran Canaria Doctor Negrín, donde se comunica en un impreso dispuesto al efecto, “de acuerdo con la normativa legal vigente sobre internamiento psiquiátrico involuntario”, que a partir del día 1 de marzo permanece ingresada en el servicio de psiquiatría la paciente doña R.A.S., “a tenor de valoración psiquiátrica de la que ha sido objeto por considerarse indispensable la continuación de su ingreso hospitalario”. El escrito aparece firmado por la “Psiquiatra de Guardia”, sin identificar.</w:t>
      </w:r>
    </w:p>
    <w:p w:rsidR="00163957" w:rsidRDefault="00163957" w:rsidP="00163957">
      <w:pPr>
        <w:pStyle w:val="TextoNormal"/>
      </w:pPr>
    </w:p>
    <w:p w:rsidR="00163957" w:rsidRDefault="00163957" w:rsidP="00163957">
      <w:pPr>
        <w:pStyle w:val="TextoNormal"/>
      </w:pPr>
      <w:r>
        <w:lastRenderedPageBreak/>
        <w:t>b) La Secretaria del Juzgado de Primera Instancia núm. 15 de Las Palmas de Gran Canaria, al que fue turnado el escrito, dictó un decreto el 3 de marzo de 2014 teniendo por solicitado a dicho Juzgado una autorización para el internamiento involuntario de doña R.A.S. (procedimiento núm. 165-2014), acordando en su parte dispositiva lo que sigue: “INCOESE expediente en orden a la autorización necesaria del internamiento. Procédase al EXAMEN de la persona internada. Únase a las actuaciones el preceptivo DICTAMEN FACULTATIVO que deberá emitirse. Comuníquese al Centro Hospitalario la incoación del expediente. Verificado lo anterior pase lo actuado al Ministerio Fiscal para informe”.</w:t>
      </w:r>
    </w:p>
    <w:p w:rsidR="00163957" w:rsidRDefault="00163957" w:rsidP="00163957">
      <w:pPr>
        <w:pStyle w:val="TextoNormal"/>
      </w:pPr>
    </w:p>
    <w:p w:rsidR="00163957" w:rsidRDefault="00163957" w:rsidP="00163957">
      <w:pPr>
        <w:pStyle w:val="TextoNormal"/>
      </w:pPr>
      <w:r>
        <w:t>c) Ya con fecha 5 de marzo de 2014, la Secretaría del Juzgado dictó un oficio dirigido al Hospital Doctor Negrín por el que comunica que se ha incoado el expediente “para la RATIFICACIÓN O DENEGACIÓN del INTERNAMIENTO” solicitado, y que “el próximo día 5”; es decir, ese mismo día, “…en horas de la mañana, se procederá por el Sr. MAGISTRADA-JUEZ de este Juzgado al examen personal de la persona ingresada”, requiriendo se informe al Juzgado el eventual alta de la paciente, “al objeto de evitar desplazamientos innecesarios”.</w:t>
      </w:r>
    </w:p>
    <w:p w:rsidR="00163957" w:rsidRDefault="00163957" w:rsidP="00163957">
      <w:pPr>
        <w:pStyle w:val="TextoNormal"/>
      </w:pPr>
    </w:p>
    <w:p w:rsidR="00163957" w:rsidRDefault="00163957" w:rsidP="00163957">
      <w:pPr>
        <w:pStyle w:val="TextoNormal"/>
      </w:pPr>
      <w:r>
        <w:t>El oficio fue remitido por vía fax al Hospital Negrín, a las 10:28 horas del citado día 5 de marzo de 2014.</w:t>
      </w:r>
    </w:p>
    <w:p w:rsidR="00163957" w:rsidRDefault="00163957" w:rsidP="00163957">
      <w:pPr>
        <w:pStyle w:val="TextoNormal"/>
      </w:pPr>
    </w:p>
    <w:p w:rsidR="00163957" w:rsidRDefault="00163957" w:rsidP="00163957">
      <w:pPr>
        <w:pStyle w:val="TextoNormal"/>
      </w:pPr>
      <w:r>
        <w:t>d) Las siguientes actuaciones que constan en el expediente, todas ellas referidas igualmente al 5 de marzo de 2014 son, por orden, las siguientes:</w:t>
      </w:r>
    </w:p>
    <w:p w:rsidR="00163957" w:rsidRDefault="00163957" w:rsidP="00163957">
      <w:pPr>
        <w:pStyle w:val="TextoNormal"/>
      </w:pPr>
    </w:p>
    <w:p w:rsidR="00163957" w:rsidRDefault="00163957" w:rsidP="00163957">
      <w:pPr>
        <w:pStyle w:val="TextoNormal"/>
      </w:pPr>
      <w:r>
        <w:t>(i) Dictamen de experto, suscrito por la facultativa designada por el Juzgado, quien compareció en el centro hospitalario y tras reconocer a la internada, expone concisamente los trastornos que considera que ésta padece, recomendando con base en los mismos que: “debe permanecer ingresada”.</w:t>
      </w:r>
    </w:p>
    <w:p w:rsidR="00163957" w:rsidRDefault="00163957" w:rsidP="00163957">
      <w:pPr>
        <w:pStyle w:val="TextoNormal"/>
      </w:pPr>
    </w:p>
    <w:p w:rsidR="00163957" w:rsidRDefault="00163957" w:rsidP="00163957">
      <w:pPr>
        <w:pStyle w:val="TextoNormal"/>
      </w:pPr>
      <w:r>
        <w:t>(ii) Examen de doña R.A.S. llevado a cabo por la Magistrada-Juez en el centro hospitalario, haciéndose constar en el acta que extiende la Secretaria del Juzgado, que doña R.A.S. manifiesta: “Que quiere que se le nombre un abogado”.</w:t>
      </w:r>
    </w:p>
    <w:p w:rsidR="00163957" w:rsidRDefault="00163957" w:rsidP="00163957">
      <w:pPr>
        <w:pStyle w:val="TextoNormal"/>
      </w:pPr>
    </w:p>
    <w:p w:rsidR="00163957" w:rsidRDefault="00163957" w:rsidP="00163957">
      <w:pPr>
        <w:pStyle w:val="TextoNormal"/>
      </w:pPr>
      <w:r>
        <w:t>(iii) Informe de transmisión por fax del Juzgado a la Fiscalía, dando traslado del escrito del hospital y de las dos pruebas practicadas.</w:t>
      </w:r>
    </w:p>
    <w:p w:rsidR="00163957" w:rsidRDefault="00163957" w:rsidP="00163957">
      <w:pPr>
        <w:pStyle w:val="TextoNormal"/>
      </w:pPr>
    </w:p>
    <w:p w:rsidR="00163957" w:rsidRDefault="00163957" w:rsidP="00163957">
      <w:pPr>
        <w:pStyle w:val="TextoNormal"/>
      </w:pPr>
      <w:r>
        <w:t>(iv) Auto del Juzgado por el que se provee a doña R.A.S. del beneficio de justicia gratuita, señalando que se trata “de un procedimiento en el que es preceptiva la intervención de Procurador y letrado de conformidad con lo previsto en el Art. 23 y 31 de la LEC”, y acordando requerir a los Colegios de Abogados y de Procuradores de Las Palmas de Gran Canaria para que efectúen “de forma inmediata” las designaciones de profesionales.</w:t>
      </w:r>
    </w:p>
    <w:p w:rsidR="00163957" w:rsidRDefault="00163957" w:rsidP="00163957">
      <w:pPr>
        <w:pStyle w:val="TextoNormal"/>
      </w:pPr>
    </w:p>
    <w:p w:rsidR="00163957" w:rsidRDefault="00163957" w:rsidP="00163957">
      <w:pPr>
        <w:pStyle w:val="TextoNormal"/>
      </w:pPr>
      <w:r>
        <w:t>Figura al efecto un oficio dirigido al Colegio de Abogados de Las Palmas, remitido por fax ese día 5 de marzo a las 13:48 horas, y un segundo envío el 6 de marzo a las 13:58 horas.</w:t>
      </w:r>
    </w:p>
    <w:p w:rsidR="00163957" w:rsidRDefault="00163957" w:rsidP="00163957">
      <w:pPr>
        <w:pStyle w:val="TextoNormal"/>
      </w:pPr>
    </w:p>
    <w:p w:rsidR="00163957" w:rsidRDefault="00163957" w:rsidP="00163957">
      <w:pPr>
        <w:pStyle w:val="TextoNormal"/>
      </w:pPr>
      <w:r>
        <w:t>e) El propio día 5 de marzo de 2014, el Juzgado dictó un nuevo Auto con la siguiente dispositiva: “Se RATIFICA el internamiento de D./Dña. [R.A.S.] en el Centro HOSPITAL DOCTOR NEGRIN, a los fines de que pueda recibir el tratamiento médico adecuado, de</w:t>
      </w:r>
      <w:r>
        <w:lastRenderedPageBreak/>
        <w:t>biendo informar a este Juzgado dicho Centro, CADA SEIS MESES de su estado y evolución, y en todo caso, del alta médica cuando se produzca. Notifíquese al Ministerio Fiscal así como al referido Centro la presente resolución por la que se ratifica el internamiento quien deberá informar en el día de la fecha a la persona ingresada con entrega de copia de la presente resolución. Contra este auto cabe interponer recurso de APELACIÓN mediante la preparación ante este Tribunal en el plazo de CINCO DIAS”.</w:t>
      </w:r>
    </w:p>
    <w:p w:rsidR="00163957" w:rsidRDefault="00163957" w:rsidP="00163957">
      <w:pPr>
        <w:pStyle w:val="TextoNormal"/>
      </w:pPr>
    </w:p>
    <w:p w:rsidR="00163957" w:rsidRDefault="00163957" w:rsidP="00163957">
      <w:pPr>
        <w:pStyle w:val="TextoNormal"/>
      </w:pPr>
      <w:r>
        <w:t>Este Auto contiene un único fundamento de Derecho (aunque numerado como “PRIMERO”), con el siguiente texto:</w:t>
      </w:r>
    </w:p>
    <w:p w:rsidR="00163957" w:rsidRDefault="00163957" w:rsidP="00163957">
      <w:pPr>
        <w:pStyle w:val="TextoNormal"/>
      </w:pPr>
    </w:p>
    <w:p w:rsidR="00163957" w:rsidRDefault="00163957" w:rsidP="00163957">
      <w:pPr>
        <w:pStyle w:val="TextoNormal"/>
      </w:pPr>
      <w:r>
        <w:t>“A la vista de lo actuado, y teniendo en cuenta el contenido del Artículo 763 LEC, apreciando la existencia actual de trastorno psíquico de D./Dña. R.A.S. debe ratificarse su internamiento hospitalario en el Centro Hospital Dr. Negrín donde permanecerá hasta su total recuperación, debiendo informar a este Juzgado dicho Centro la fecha de ingreso y el tiempo de permanencia si la misma excediere de seis meses, en cuyo caso deberán informar de su estado y evolución y en todo caso, del alta médica cuando se produzca.”</w:t>
      </w:r>
    </w:p>
    <w:p w:rsidR="00163957" w:rsidRDefault="00163957" w:rsidP="00163957">
      <w:pPr>
        <w:pStyle w:val="TextoNormal"/>
      </w:pPr>
    </w:p>
    <w:p w:rsidR="00163957" w:rsidRDefault="00163957" w:rsidP="00163957">
      <w:pPr>
        <w:pStyle w:val="TextoNormal"/>
      </w:pPr>
      <w:r>
        <w:t>f) El 6 de marzo de 2014, tuvo entrada en el Juzgado un escrito que llevaba fecha 5 de marzo de 2014, firmado por la Fiscal designada para actuar en el procedimiento, donde alega: “El Fiscal, evacuando el traslado que para informe le ha sido conferido, dice: Que, con carácter previo y toda vez que la internada Dña. R.A.S. ha manifestado su deseo de ser asistida de letrado, se interesa se proceda a dicho nombramiento y se dé traslado de las actuaciones al Letrado”.</w:t>
      </w:r>
    </w:p>
    <w:p w:rsidR="00163957" w:rsidRDefault="00163957" w:rsidP="00163957">
      <w:pPr>
        <w:pStyle w:val="TextoNormal"/>
      </w:pPr>
    </w:p>
    <w:p w:rsidR="00163957" w:rsidRDefault="00163957" w:rsidP="00163957">
      <w:pPr>
        <w:pStyle w:val="TextoNormal"/>
      </w:pPr>
      <w:r>
        <w:t>g) La Secretaría del Juzgado dictó diligencia de ordenación el día 6 de marzo, indicando: “El anterior escrito del Ministerio Fiscal, únase a los autos y estese a lo acordado por Autos dictados en el día de ayer, así como a la espera de que, los respectivos Colegios de Abogados y Procuradores, procedan a la designación de profesionales por el turno de oficio para la representación y defensa de la internada, a quienes les será notificada la resolución por la que se ratifica su internamiento, a los efectos de que, si lo consideran oportuno, puedan recurrirla”.</w:t>
      </w:r>
    </w:p>
    <w:p w:rsidR="00163957" w:rsidRDefault="00163957" w:rsidP="00163957">
      <w:pPr>
        <w:pStyle w:val="TextoNormal"/>
      </w:pPr>
    </w:p>
    <w:p w:rsidR="00163957" w:rsidRDefault="00163957" w:rsidP="00163957">
      <w:pPr>
        <w:pStyle w:val="TextoNormal"/>
      </w:pPr>
      <w:r>
        <w:t>Consta enviado un único fax al Colegio de Procuradores de Las Palmas de Gran Canaria, el 6 de marzo a las 13:55 horas.</w:t>
      </w:r>
    </w:p>
    <w:p w:rsidR="00163957" w:rsidRDefault="00163957" w:rsidP="00163957">
      <w:pPr>
        <w:pStyle w:val="TextoNormal"/>
      </w:pPr>
    </w:p>
    <w:p w:rsidR="00163957" w:rsidRDefault="00163957" w:rsidP="00163957">
      <w:pPr>
        <w:pStyle w:val="TextoNormal"/>
      </w:pPr>
      <w:r>
        <w:t>h) El 7 de marzo de 2014 tuvieron entrada en el Juzgado dos escritos, uno procedente del Colegio de Procuradores de Las Palmas de Gran Canaria y otro del Colegio de Abogados de la misma capital, por el que se comunican los nombramientos provisionales requeridos.</w:t>
      </w:r>
    </w:p>
    <w:p w:rsidR="00163957" w:rsidRDefault="00163957" w:rsidP="00163957">
      <w:pPr>
        <w:pStyle w:val="TextoNormal"/>
      </w:pPr>
    </w:p>
    <w:p w:rsidR="00163957" w:rsidRDefault="00163957" w:rsidP="00163957">
      <w:pPr>
        <w:pStyle w:val="TextoNormal"/>
      </w:pPr>
      <w:r>
        <w:t>i) La Secretaría del Juzgado dictó diligencia de ordenación ese día 7 de marzo de 2014, en la que hizo constar:</w:t>
      </w:r>
    </w:p>
    <w:p w:rsidR="00163957" w:rsidRDefault="00163957" w:rsidP="00163957">
      <w:pPr>
        <w:pStyle w:val="TextoNormal"/>
      </w:pPr>
    </w:p>
    <w:p w:rsidR="00163957" w:rsidRDefault="00163957" w:rsidP="00163957">
      <w:pPr>
        <w:pStyle w:val="TextoNormal"/>
      </w:pPr>
      <w:r>
        <w:t>“Se tiene por personada y parte a Dña. R.A.S.”, con indicación de la Procuradora y Abogada de oficio, respectivamente designados. Y añade: “Se pone en conocimiento de dichas profesionales que su cliente se encuentra actualmente ingresada en la Unidad de Psiquiatría del Hospital Universitario de Gran Canaria Dr. Negrín … y que el día 5 de Marzo de 2014 tras su reconocimiento médico y examen judicial, se dictó Auto de ratificación de su inter</w:t>
      </w:r>
      <w:r>
        <w:lastRenderedPageBreak/>
        <w:t>namiento, el cual le será notificado a su Procuradora, de forma telemática, a efectos de apelación, quedando las actuaciones a su disposición en la secretaría del Juzgado para su debida instrucción”.</w:t>
      </w:r>
    </w:p>
    <w:p w:rsidR="00163957" w:rsidRDefault="00163957" w:rsidP="00163957">
      <w:pPr>
        <w:pStyle w:val="TextoNormal"/>
      </w:pPr>
    </w:p>
    <w:p w:rsidR="00163957" w:rsidRDefault="00163957" w:rsidP="00163957">
      <w:pPr>
        <w:pStyle w:val="TextoNormal"/>
      </w:pPr>
      <w:r>
        <w:t>j) La Fiscal actuante en el procedimiento, presentó el 18 de marzo de 2014 escrito de interposición de recurso de apelación contra “el Auto de 5 de marzo de 2014, notificado en Fiscalía el pasado 6 de marzo, por infracción del artículo 763.3 de la Ley de Enjuiciamiento Civil y de los artículos 17.1 y 24.2 de la Constitución Española”.</w:t>
      </w:r>
    </w:p>
    <w:p w:rsidR="00163957" w:rsidRDefault="00163957" w:rsidP="00163957">
      <w:pPr>
        <w:pStyle w:val="TextoNormal"/>
      </w:pPr>
    </w:p>
    <w:p w:rsidR="00163957" w:rsidRDefault="00163957" w:rsidP="00163957">
      <w:pPr>
        <w:pStyle w:val="TextoNormal"/>
      </w:pPr>
      <w:r>
        <w:t>Se alega en el recurso la inobservancia de normas esenciales del procedimiento con resultado de indefensión para la persona afectada por la medida de internamiento: primero, porque dicha medida se ratifica por el Juzgado “con anterioridad a que el Ministerio Fiscal emite el informe preceptivo”, el cual se presentó dentro del plazo legal de 72 horas que tenía la autoridad judicial para resolver. Y segundo, porque no se garantizó a la persona internada su derecho de defensa letrada, en contra de lo previsto en el art. 763.3 de la Ley de enjuiciamiento civil (LEC), que lo garantiza “en todas las actuaciones”, teniendo en cuenta además que doña R.A.S. solicitó expresamente el nombramiento de abogado. El escrito cita las SSTC 141/2012, de 2 de julio y 7/2011, de 14 de febrero.</w:t>
      </w:r>
    </w:p>
    <w:p w:rsidR="00163957" w:rsidRDefault="00163957" w:rsidP="00163957">
      <w:pPr>
        <w:pStyle w:val="TextoNormal"/>
      </w:pPr>
    </w:p>
    <w:p w:rsidR="00163957" w:rsidRDefault="00163957" w:rsidP="00163957">
      <w:pPr>
        <w:pStyle w:val="TextoNormal"/>
      </w:pPr>
      <w:r>
        <w:t xml:space="preserve">k) El recurso de apelación fue admitido a trámite por diligencia de ordenación de la Secretaría del Juzgado </w:t>
      </w:r>
      <w:r w:rsidRPr="00163957">
        <w:rPr>
          <w:i/>
        </w:rPr>
        <w:t>a quo</w:t>
      </w:r>
      <w:r>
        <w:t>, de 20 de marzo de 2014, dando traslado del mismo a la representación procesal de doña R.A.S., la cual presentó escrito el 7 de abril de 2014 adhiriéndose íntegramente al recurso formulado por el Ministerio Fiscal, “habida cuenta la flagrante vulneración de los derechos más fundamentales de mi representada y la gran indefensión que por ello se le ocasiona, compartiendo en todos sus extremos el recurso formulado por los motivos razonados en el mismo”.</w:t>
      </w:r>
    </w:p>
    <w:p w:rsidR="00163957" w:rsidRDefault="00163957" w:rsidP="00163957">
      <w:pPr>
        <w:pStyle w:val="TextoNormal"/>
      </w:pPr>
    </w:p>
    <w:p w:rsidR="00163957" w:rsidRDefault="00163957" w:rsidP="00163957">
      <w:pPr>
        <w:pStyle w:val="TextoNormal"/>
      </w:pPr>
      <w:r>
        <w:t>l) Con fecha 9 de mayo de 2014, la Sección Tercera de la Audiencia Provincial de Las Palmas de Gran Canaria dictó Auto en el rollo de apelación núm. 273-2014, con la siguiente dispositiva: “Se desestima el recurso de apelación interpuesto por la FISCALÍA PROVINCIAL DE LAS PALMAS, contra el auto de 5 de marzo del 2014, dictado por el Juzgado de Primera Instancia Nº 15 de Las Palmas de Gran Canaria y la impugnación deducida por la representación legal de Dª R.A.S., confirmándolo íntegramente”.</w:t>
      </w:r>
    </w:p>
    <w:p w:rsidR="00163957" w:rsidRDefault="00163957" w:rsidP="00163957">
      <w:pPr>
        <w:pStyle w:val="TextoNormal"/>
      </w:pPr>
    </w:p>
    <w:p w:rsidR="00163957" w:rsidRDefault="00163957" w:rsidP="00163957">
      <w:pPr>
        <w:pStyle w:val="TextoNormal"/>
      </w:pPr>
      <w:r>
        <w:t>El Auto, donde figuran como parte apelante el Ministerio Fiscal y como “parte impugnante adherido al recurso de apelación” la representación procesal de doña R.A.S. actuando en nombre de ésta, sostiene en su fundamento jurídico segundo que no se ha producido la infracción de ninguna regla sustancial del procedimiento susceptible de causar una indefensión con “consecuencias prácticas”, esto es, “un perjuicio real y efectivo de los intereses del afectado por ella”, pues únicamente se constata:</w:t>
      </w:r>
    </w:p>
    <w:p w:rsidR="00163957" w:rsidRDefault="00163957" w:rsidP="00163957">
      <w:pPr>
        <w:pStyle w:val="TextoNormal"/>
      </w:pPr>
    </w:p>
    <w:p w:rsidR="00163957" w:rsidRDefault="00163957" w:rsidP="00163957">
      <w:pPr>
        <w:pStyle w:val="TextoNormal"/>
      </w:pPr>
      <w:r>
        <w:t>“[u]n error en el auto apelado cuando se transcribe que se ha evacuado por el Ministerio Fiscal informe favorable al internamiento, pero esta equivocación era y es susceptible de subsanación sin que deba originar el efecto de nulidad pretendido pues, al entender de este Tribunal, ninguno de los motivos alegados en el recurso son causantes de efectiva indefensión a la afectada en este procedimiento, ni se han violado sus derechos constitucionales pues realmente no se le ha privado de su derecho de defensa, ni de la oportunidad de com</w:t>
      </w:r>
      <w:r>
        <w:lastRenderedPageBreak/>
        <w:t>batir la resolución judicial cuya nulidad se interesa, como tampoco se le ha negado el derecho a la tutela judicial efectiva, ni siquiera el derecho a proponer prueba, que podría haber ejercitado su representación legal o el propio Ministerio Fiscal proponiéndola en la alzada”.</w:t>
      </w:r>
    </w:p>
    <w:p w:rsidR="00163957" w:rsidRDefault="00163957" w:rsidP="00163957">
      <w:pPr>
        <w:pStyle w:val="TextoNormal"/>
      </w:pPr>
    </w:p>
    <w:p w:rsidR="00163957" w:rsidRDefault="00163957" w:rsidP="00163957">
      <w:pPr>
        <w:pStyle w:val="TextoNormal"/>
      </w:pPr>
      <w:r>
        <w:t>A continuación, el Auto descarta la vulneración del derecho a la asistencia jurídica, ya que sin negar que la resolución recurrida se dictó antes de disponerse del criterio del Fiscal y del abogado de la afectada, considera irrelevante lo solicitado por ambos con posterioridad:</w:t>
      </w:r>
    </w:p>
    <w:p w:rsidR="00163957" w:rsidRDefault="00163957" w:rsidP="00163957">
      <w:pPr>
        <w:pStyle w:val="TextoNormal"/>
      </w:pPr>
    </w:p>
    <w:p w:rsidR="00163957" w:rsidRDefault="00163957" w:rsidP="00163957">
      <w:pPr>
        <w:pStyle w:val="TextoNormal"/>
      </w:pPr>
      <w:r>
        <w:t>“Ninguna razón de fondo se aporta que implique la efectiva y material indefensión que se invoca. El informe evacuado por el Ministerio Fiscal con fecha 5 de marzo de 2014, que en efecto tuvo entrada en el juzgado el siguiente día 6, se limitaba a interesar que con carácter previo, habiendo manifestado Dª R.A. su deseo de ser asistida de Letrado, se procediera a dicho nombramiento y se diera traslado de las actuaciones al Letrado, cuando a entender de este Tribunal el informe del Ministerio Público podía haberse evacuado igualmente sin necesidad de esperar al nombramiento –que, por otra parte, ya se había interesado por el órgano judicial, vía fax, el mismo día 5 de marzo-; es más, ni siquiera con posterioridad al nombramiento ya realizado consta evacuado ese informe, ni mucho menos algún óbice material a la ratificación del internamiento que se acordó, no se olvide, en protección de la afectada. Tampoco los profesionales designados, aunque lo fueron con posterioridad (7 de marzo) opusieron objeción alguna al serles notificado el auto por el que se ratificaba el internamiento, en cuyo momento tuvieron oportunidad de hacer valer el derecho de defensa de su representada, es sólo al evacuar el traslado del recurso interpuesto por el Ministerio Fiscal cuando deciden impugnar el fallo adhiriéndose simplemente a los motivos formales invocados en la apelación sin ninguna razón de fondo que pudiera justificar su oposición a la ratificación del internamiento”.</w:t>
      </w:r>
    </w:p>
    <w:p w:rsidR="00163957" w:rsidRDefault="00163957" w:rsidP="00163957">
      <w:pPr>
        <w:pStyle w:val="TextoNormal"/>
      </w:pPr>
    </w:p>
    <w:p w:rsidR="00163957" w:rsidRDefault="00163957" w:rsidP="00163957">
      <w:pPr>
        <w:pStyle w:val="TextoNormal"/>
      </w:pPr>
      <w:r>
        <w:t>m) Consta además en las actuaciones, a los efectos que importan a este amparo y que más adelante se concretarán, que el día 30 de junio de 2014 tuvo entrada en el Juzgado de Primera Instancia competente, escrito del jefe del servicio de psiquiatría del Hospital Universitario de Gran Canaria Doctor Negrín, informando que “el/la paciente Dª [R.A.S.], que ingresó en el Servicio de Psiquiatría el 14/2/14 ha sido dada de alta de este Centro con fecha 27/03/14”.</w:t>
      </w:r>
    </w:p>
    <w:p w:rsidR="00163957" w:rsidRDefault="00163957" w:rsidP="00163957">
      <w:pPr>
        <w:pStyle w:val="TextoNormal"/>
      </w:pPr>
    </w:p>
    <w:p w:rsidR="00163957" w:rsidRDefault="00163957" w:rsidP="00163957">
      <w:pPr>
        <w:pStyle w:val="TextoNormal"/>
      </w:pPr>
      <w:r w:rsidRPr="00163957">
        <w:rPr>
          <w:rStyle w:val="NumeroAFNegritaCaracter"/>
        </w:rPr>
        <w:t>3</w:t>
      </w:r>
      <w:r>
        <w:t>. El Fiscal ante este Tribunal Constitucional formaliza demanda de amparo al estimar que los dos Autos ya identificados y que impugna, “han lesionado el derecho fundamental a la libertad personal (art. 17.1 CE), a un proceso con todas las garantías (art. 24.2 CE), así como el derecho de defensa y de asistencia letrada (art. 24.2 CE)”; estos dos últimos por resultar instrumentales a su vez del primero de los derechos invocados.</w:t>
      </w:r>
    </w:p>
    <w:p w:rsidR="00163957" w:rsidRDefault="00163957" w:rsidP="00163957">
      <w:pPr>
        <w:pStyle w:val="TextoNormal"/>
      </w:pPr>
    </w:p>
    <w:p w:rsidR="00163957" w:rsidRDefault="00163957" w:rsidP="00163957">
      <w:pPr>
        <w:pStyle w:val="TextoNormal"/>
      </w:pPr>
      <w:r>
        <w:t xml:space="preserve">Luego de hacer una recapitulación de los avatares procesales del caso, el escrito señala que el Fiscal actúa con la legitimación que le corresponde por mor de los arts. 162.1 b) CE y 46.1 b) de la Ley Orgánica del Tribunal Constitucional (LOTC), y que ha sido reconocida por la doctrina de este Tribunal (cita la STC 86/1985, FJ 1). Se recuerda además que la Fiscalía intervino como “parte </w:t>
      </w:r>
      <w:r w:rsidRPr="00163957">
        <w:rPr>
          <w:i/>
        </w:rPr>
        <w:t>necesaria</w:t>
      </w:r>
      <w:r>
        <w:t xml:space="preserve"> en el proceso </w:t>
      </w:r>
      <w:r w:rsidRPr="00163957">
        <w:rPr>
          <w:i/>
        </w:rPr>
        <w:t>a quo</w:t>
      </w:r>
      <w:r>
        <w:t xml:space="preserve">”, con la legitimación que le confieren los arts. 3.3 y 3.7 del Estatuto Orgánico del Ministerio Fiscal “y art. 763.3, en relación con el art. 758, ambos de la LEC”; sin olvidar que esta materia tiene “un marcado </w:t>
      </w:r>
      <w:r>
        <w:lastRenderedPageBreak/>
        <w:t>interés público e importancia social”, como ha asentado este Tribunal en la STC 141/2012, de 2 de julio, FJ 2.</w:t>
      </w:r>
    </w:p>
    <w:p w:rsidR="00163957" w:rsidRDefault="00163957" w:rsidP="00163957">
      <w:pPr>
        <w:pStyle w:val="TextoNormal"/>
      </w:pPr>
    </w:p>
    <w:p w:rsidR="00163957" w:rsidRDefault="00163957" w:rsidP="00163957">
      <w:pPr>
        <w:pStyle w:val="TextoNormal"/>
      </w:pPr>
      <w:r>
        <w:t xml:space="preserve">Ya en cuanto al fondo, se ofrece detallada cuenta de diversos instrumentos internacionales en materia de derechos humanos donde se exige el cumplimiento del principio de legalidad de toda medida de internamiento, destacando el art. 5.1.e) del Convenio europeo para la protección de los derechos humanos y de las libertades fundamentales (CEDH), y la jurisprudencia del Tribunal Europeo de Derechos Humanos (se citan las SSTEDH “caso </w:t>
      </w:r>
      <w:r w:rsidRPr="00163957">
        <w:rPr>
          <w:i/>
        </w:rPr>
        <w:t>Wassink v. Holanda</w:t>
      </w:r>
      <w:r>
        <w:t xml:space="preserve">, de 27 septiembre 1990, § 24; </w:t>
      </w:r>
      <w:r w:rsidRPr="00163957">
        <w:rPr>
          <w:i/>
        </w:rPr>
        <w:t>Benham v. Reino Unido</w:t>
      </w:r>
      <w:r>
        <w:t xml:space="preserve">, 10 junio 1996, § 40; caso </w:t>
      </w:r>
      <w:r w:rsidRPr="00163957">
        <w:rPr>
          <w:i/>
        </w:rPr>
        <w:t>S. v. Estonia</w:t>
      </w:r>
      <w:r>
        <w:t>, de 4 octubre 2011, § 41”).</w:t>
      </w:r>
    </w:p>
    <w:p w:rsidR="00163957" w:rsidRDefault="00163957" w:rsidP="00163957">
      <w:pPr>
        <w:pStyle w:val="TextoNormal"/>
      </w:pPr>
    </w:p>
    <w:p w:rsidR="00163957" w:rsidRDefault="00163957" w:rsidP="00163957">
      <w:pPr>
        <w:pStyle w:val="TextoNormal"/>
      </w:pPr>
      <w:r>
        <w:t xml:space="preserve">Se centra después el escrito en la regulación del procedimiento civil de internamiento involuntario urgente del art. 763 LEC, pasando revista a las garantías reconocidas por la citada STC 141/2012, en cuanto a las dos fases que lo articulan, la extrajudicial (comunicación del centro médico al tribunal competente) -FJ 5- y la judicial, dirigida a la ratificación o no de la medida —FJ 6—. Se invoca la jurisprudencia del Tribunal Europeo de Derechos Humanos acerca del deber de los órganos judiciales de adoptar medidas suficientes para proteger los derechos de los afectados y garantizar para ellos un proceso justo (SSTEDH caso </w:t>
      </w:r>
      <w:r w:rsidRPr="00163957">
        <w:rPr>
          <w:i/>
        </w:rPr>
        <w:t>Wassink c. Holanda</w:t>
      </w:r>
      <w:r>
        <w:t xml:space="preserve">, de 27 de septiembre de 1990, § 30; </w:t>
      </w:r>
      <w:r w:rsidRPr="00163957">
        <w:rPr>
          <w:i/>
        </w:rPr>
        <w:t>Megyeri c. Alemania</w:t>
      </w:r>
      <w:r>
        <w:t xml:space="preserve">, de 12 de mayo de 1992, § 23; caso </w:t>
      </w:r>
      <w:r w:rsidRPr="00163957">
        <w:rPr>
          <w:i/>
        </w:rPr>
        <w:t>Winterwerp c. Holanda</w:t>
      </w:r>
      <w:r>
        <w:t>, de 24 octubre, 1979, § 44).</w:t>
      </w:r>
    </w:p>
    <w:p w:rsidR="00163957" w:rsidRDefault="00163957" w:rsidP="00163957">
      <w:pPr>
        <w:pStyle w:val="TextoNormal"/>
      </w:pPr>
    </w:p>
    <w:p w:rsidR="00163957" w:rsidRDefault="00163957" w:rsidP="00163957">
      <w:pPr>
        <w:pStyle w:val="TextoNormal"/>
      </w:pPr>
      <w:r>
        <w:t>Hechas estas consideraciones, pasa la demanda a referirse al contenido de las resoluciones recurridas. Tras precisar que “ni la garantía relativa al plazo temporal máximo de 72 horas, ni la relativa a la exigencia de información de derechos merece reproche alguno”, se precisa que la impugnación se refiere al incumplimiento de otras dos garantías previstas en el procedimiento de internamiento:</w:t>
      </w:r>
    </w:p>
    <w:p w:rsidR="00163957" w:rsidRDefault="00163957" w:rsidP="00163957">
      <w:pPr>
        <w:pStyle w:val="TextoNormal"/>
      </w:pPr>
    </w:p>
    <w:p w:rsidR="00163957" w:rsidRDefault="00163957" w:rsidP="00163957">
      <w:pPr>
        <w:pStyle w:val="TextoNormal"/>
      </w:pPr>
      <w:r>
        <w:t xml:space="preserve">a) En primer lugar, se refiere a la efectividad del derecho de representación y defensa de la persona internada que consagra el art. 763.3 LEC, el cual se remite al art. 758 del mismo texto legal. Señala que la importancia de este derecho radica en que la persona se encuentra afectada por una limitación o restricción de su derecho a la libertad personal, pero además “en un estado de especial dificultad para ejercer su autodefensa, precisamente por su estado de trastorno psíquico y su situación de internamiento” (cita las SSTEDH </w:t>
      </w:r>
      <w:r w:rsidRPr="00163957">
        <w:rPr>
          <w:i/>
        </w:rPr>
        <w:t>Megyeri c. Alemania</w:t>
      </w:r>
      <w:r>
        <w:t xml:space="preserve">, cit., §§ 22-23; </w:t>
      </w:r>
      <w:r w:rsidRPr="00163957">
        <w:rPr>
          <w:i/>
        </w:rPr>
        <w:t>Magalhaes Pereira c. Portugal</w:t>
      </w:r>
      <w:r>
        <w:t xml:space="preserve">, de 26 de febrero de 2002, §§ 56 a 62, y </w:t>
      </w:r>
      <w:r w:rsidRPr="00163957">
        <w:rPr>
          <w:i/>
        </w:rPr>
        <w:t>D.D. c. Lituania</w:t>
      </w:r>
      <w:r>
        <w:t>, de 14 de febrero de 2012, § 118).</w:t>
      </w:r>
    </w:p>
    <w:p w:rsidR="00163957" w:rsidRDefault="00163957" w:rsidP="00163957">
      <w:pPr>
        <w:pStyle w:val="TextoNormal"/>
      </w:pPr>
    </w:p>
    <w:p w:rsidR="00163957" w:rsidRDefault="00163957" w:rsidP="00163957">
      <w:pPr>
        <w:pStyle w:val="TextoNormal"/>
      </w:pPr>
      <w:r>
        <w:t>Afirma que este derecho se “incumplió radicalmente”, porque tras manifestar doña R.A.S. que quería ser asistida por Abogado y “en un primer momento” el Juzgado activó los trámites para la designación provisional de este profesional; sin embargo, lejos de aguardar a la comunicación del Colegio de Abogados al que se había dirigido, prefirió dictar el Auto de ratificación del internamiento el mismo día 5 de marzo, sin razones de “extrema urgencia” que justificaran esa celeridad, pues aún faltaban 24 horas para la expiración del plazo legal. Añade que de haber creído el Juzgado que la designación no estaría formalizada a tiempo, su deber era adoptar medidas adicionales para garantizarla, en todo caso ese derecho de asistencia jurídica “no puede hacerse depender de la mayor o menor rapidez en la comunicación y coordinación entre los diferentes órganos e instituciones implicadas en la designación de Abogado”.</w:t>
      </w:r>
    </w:p>
    <w:p w:rsidR="00163957" w:rsidRDefault="00163957" w:rsidP="00163957">
      <w:pPr>
        <w:pStyle w:val="TextoNormal"/>
      </w:pPr>
    </w:p>
    <w:p w:rsidR="00163957" w:rsidRDefault="00163957" w:rsidP="00163957">
      <w:pPr>
        <w:pStyle w:val="TextoNormal"/>
      </w:pPr>
      <w:r>
        <w:lastRenderedPageBreak/>
        <w:t>En el presente caso el derecho de defensa de la internada se postergó a la fase de recurso, “sin permitir la posibilidad de la práctica de prueba o la realización de las alegaciones que la defensa letrada de la persona afectada por la medida pudiera realizar en el plazo que aun restaba para tomar una decisión acerca de la ratificación del internamiento. Se vació con ello el derecho, que el propio artículo 763.3 LEC reconoce a la persona afectada por la medida de internamiento, a disponer de representación y defensa ‘en todas las actuaciones’ en los términos señalados en el artículo 758 LEC”. Se hace también cita de la STC 7/2011, relativa al derecho del demandado para comparecer con su propia defensa y representación en el proceso de incapacitación, doctrina que considera aplicable a este procedimiento especial.</w:t>
      </w:r>
    </w:p>
    <w:p w:rsidR="00163957" w:rsidRDefault="00163957" w:rsidP="00163957">
      <w:pPr>
        <w:pStyle w:val="TextoNormal"/>
      </w:pPr>
    </w:p>
    <w:p w:rsidR="00163957" w:rsidRDefault="00163957" w:rsidP="00163957">
      <w:pPr>
        <w:pStyle w:val="TextoNormal"/>
      </w:pPr>
      <w:r>
        <w:t xml:space="preserve">b) El último tramo del escrito de demanda desarrolla la segunda queja, “la omisión del dictamen preceptivo al Ministerio Fiscal”. Si bien el Juzgado dio traslado de las pruebas practicadas para que la Fiscal actuante emitiera su dictamen, no esperó sin embargo a recibirlo sino que pasó a resolver la ratificación del internamiento, prescindiendo con ello de una garantía esencial del art. 763.3 LEC, la cual “hunde sus raíces en la misión constitucional atribuida a esta institución de promoción de la acción de la justicia en defensa de la legalidad y de los derechos de los ciudadanos”, </w:t>
      </w:r>
      <w:r w:rsidRPr="00163957">
        <w:rPr>
          <w:i/>
        </w:rPr>
        <w:t>ex</w:t>
      </w:r>
      <w:r>
        <w:t xml:space="preserve"> art. 124 CE, y adquiere singular importancia en “la defensa de personas pertenecientes a colectivos especialmente vulnerables, como se proyecta normativamente en el art. 3.7 del Estatuto Orgánico del Ministerio Fiscal y que entronca con el mandato de protección especial de personas en situación de discapacidad contenido en el art. 49 CE”. Además al Fiscal le corresponde velar por el respeto a la libertad personal, como sucede en los procedimientos de </w:t>
      </w:r>
      <w:r w:rsidRPr="00163957">
        <w:rPr>
          <w:i/>
        </w:rPr>
        <w:t>habeas corpus</w:t>
      </w:r>
      <w:r>
        <w:t xml:space="preserve"> y estos de internamiento involuntario por razón de trastorno psíquico.</w:t>
      </w:r>
    </w:p>
    <w:p w:rsidR="00163957" w:rsidRDefault="00163957" w:rsidP="00163957">
      <w:pPr>
        <w:pStyle w:val="TextoNormal"/>
      </w:pPr>
    </w:p>
    <w:p w:rsidR="00163957" w:rsidRDefault="00163957" w:rsidP="00163957">
      <w:pPr>
        <w:pStyle w:val="TextoNormal"/>
      </w:pPr>
      <w:r>
        <w:t>Añade que, “el dictamen —con independencia de cual fuera su contenido— fue incorporado a la causa al día siguiente, 6 de marzo de 2014, cuando aún no había vencido el plazo máximo de 72 horas previsto en la ley”. Y afirma que se está ante una garantía de obligado cumplimiento “para que la limitación del derecho a la libertad personal pueda considerarse constitucional y cumpla con la garantía de legalidad proclamada en el art. 17.1 CE”.</w:t>
      </w:r>
    </w:p>
    <w:p w:rsidR="00163957" w:rsidRDefault="00163957" w:rsidP="00163957">
      <w:pPr>
        <w:pStyle w:val="TextoNormal"/>
      </w:pPr>
    </w:p>
    <w:p w:rsidR="00163957" w:rsidRDefault="00163957" w:rsidP="00163957">
      <w:pPr>
        <w:pStyle w:val="TextoNormal"/>
      </w:pPr>
      <w:r>
        <w:t>En consecuencia el Fiscal solicita se dicte Sentencia otorgando el amparo, con nulidad de los Autos impugnados.</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Con fecha 15 de diciembre de 2014, la Sala Primera de este Tribunal dictó providencia admitiendo a trámite la demanda de amparo, ordenándose dirigir comunicación tanto a la Sección Tercera de la Audiencia Provincial de Las Palmas de Gran Canaria, como al Juzgado de Primera Instancia núm. 15 de Las Palmas de Gran Canaria, para que en el plazo de diez días </w:t>
      </w:r>
      <w:r w:rsidRPr="00163957">
        <w:rPr>
          <w:i/>
        </w:rPr>
        <w:t>ex</w:t>
      </w:r>
      <w:r>
        <w:t xml:space="preserve"> art. 51 de la Ley Orgánica del Tribunal Constitucional (LOTC), remitieran certificación o fotocopia adverada, respectivamente, de las actuaciones relativas al rollo de apelación núm. 273-2014 y las del procedimiento de internamiento psiquiátrico núm. 165-2014; con emplazamiento a las partes del proceso, excepto la parte recurrente en amparo, para su posible comparecencia.</w:t>
      </w:r>
    </w:p>
    <w:p w:rsidR="00163957" w:rsidRDefault="00163957" w:rsidP="00163957">
      <w:pPr>
        <w:pStyle w:val="TextoNormal"/>
      </w:pPr>
    </w:p>
    <w:p w:rsidR="00163957" w:rsidRDefault="00163957" w:rsidP="00163957">
      <w:pPr>
        <w:pStyle w:val="TextoNormal"/>
      </w:pPr>
      <w:r>
        <w:t xml:space="preserve">Asimismo y conforme a lo previsto en el art. 46.2 LOTC, se acordó la publicación de la admisión del recurso en el “Boletín Oficial del Estado” (BOE), “a efectos de que otros posibles interesados puedan comparecer y personarse ante este Tribunal dentro de los diez días </w:t>
      </w:r>
      <w:r>
        <w:lastRenderedPageBreak/>
        <w:t>siguientes” a dicha publicación. Esta última tuvo lugar en el “BOE” núm. 306, de fecha 19 de diciembre de 2014.</w:t>
      </w:r>
    </w:p>
    <w:p w:rsidR="00163957" w:rsidRDefault="00163957" w:rsidP="00163957">
      <w:pPr>
        <w:pStyle w:val="TextoNormal"/>
      </w:pPr>
    </w:p>
    <w:p w:rsidR="00163957" w:rsidRDefault="00163957" w:rsidP="00163957">
      <w:pPr>
        <w:pStyle w:val="TextoNormal"/>
      </w:pPr>
      <w:r w:rsidRPr="00163957">
        <w:rPr>
          <w:rStyle w:val="NumeroAFNegritaCaracter"/>
        </w:rPr>
        <w:t>5</w:t>
      </w:r>
      <w:r>
        <w:t>. Recibida la comunicación de este Tribunal Constitucional, la Secretaría del Juzgado de Primera Instancia núm. 15 de Las Palmas de Gran Canaria dictó diligencia de ordenación el 23 de enero de 2015, ordenando el emplazamiento de doña R.A.S. a través de su representación procesal. Esta última presentó escrito el 13 de febrero de 2015 por el que, “teniendo en cuenta que el procedimiento de amparo constitucional se tramitará en Madrid”, solicitó se requiriera a los Colegios de Abogados y de Procuradores de Madrid, para la designación de “sendos profesionales” que la representen y defiendan en dicho proceso.</w:t>
      </w:r>
    </w:p>
    <w:p w:rsidR="00163957" w:rsidRDefault="00163957" w:rsidP="00163957">
      <w:pPr>
        <w:pStyle w:val="TextoNormal"/>
      </w:pPr>
    </w:p>
    <w:p w:rsidR="00163957" w:rsidRDefault="00163957" w:rsidP="00163957">
      <w:pPr>
        <w:pStyle w:val="TextoNormal"/>
      </w:pPr>
      <w:r w:rsidRPr="00163957">
        <w:rPr>
          <w:rStyle w:val="NumeroAFNegritaCaracter"/>
        </w:rPr>
        <w:t>6</w:t>
      </w:r>
      <w:r>
        <w:t>. La Secretaría de Justicia de la Sección Segunda, Sala Primera, de este Tribunal, dictó diligencia de ordenación el 10 de marzo de 2015 por la que, que a la vista de lo manifestado en el escrito de referencia, se acordó dirigir oficio al Sr. Decano del Colegio de Abogados de Madrid, para la designación de abogado y procurador de oficio “que se encargue de la defensa y representación” de doña R.A.S.</w:t>
      </w:r>
    </w:p>
    <w:p w:rsidR="00163957" w:rsidRDefault="00163957" w:rsidP="00163957">
      <w:pPr>
        <w:pStyle w:val="TextoNormal"/>
      </w:pPr>
    </w:p>
    <w:p w:rsidR="00163957" w:rsidRDefault="00163957" w:rsidP="00163957">
      <w:pPr>
        <w:pStyle w:val="TextoNormal"/>
      </w:pPr>
      <w:r w:rsidRPr="00163957">
        <w:rPr>
          <w:rStyle w:val="NumeroAFNegritaCaracter"/>
        </w:rPr>
        <w:t>7</w:t>
      </w:r>
      <w:r>
        <w:t>. Por diligencia de ordenación de la Secretaría de Justicia de la Sala Primera de este Tribunal, de 30 de marzo de 2015, se tuvieron por recibidos los testimonios del Juzgado de Primera Instancia núm. 15 de Las Palmas de Gran Canaria y de la Sección Tercera de la Audiencia Provincial de Las Palmas de Gran Canaria; así como los oficios del Colegio de Procuradores y del Colegio de Abogados de Madrid, designando al Procurador don José Ramón Pardo Martínez para que asuma la representación de doña R.A.S., y al Letrado don Juan Carlos Martín Luis para su defensa, teniéndose por hechas tales designaciones, “entendiéndose la presente y sucesivas diligencias, con el indicado Procurador”.</w:t>
      </w:r>
    </w:p>
    <w:p w:rsidR="00163957" w:rsidRDefault="00163957" w:rsidP="00163957">
      <w:pPr>
        <w:pStyle w:val="TextoNormal"/>
      </w:pPr>
    </w:p>
    <w:p w:rsidR="00163957" w:rsidRDefault="00163957" w:rsidP="00163957">
      <w:pPr>
        <w:pStyle w:val="TextoNormal"/>
      </w:pPr>
      <w:r>
        <w:t>Asimismo, se concedió audiencia por plazo común de veinte días al Ministerio Fiscal y a las partes personadas, para formular alegaciones (art. 52.1 LOTC).</w:t>
      </w:r>
    </w:p>
    <w:p w:rsidR="00163957" w:rsidRDefault="00163957" w:rsidP="00163957">
      <w:pPr>
        <w:pStyle w:val="TextoNormal"/>
      </w:pPr>
    </w:p>
    <w:p w:rsidR="00163957" w:rsidRDefault="00163957" w:rsidP="00163957">
      <w:pPr>
        <w:pStyle w:val="TextoNormal"/>
      </w:pPr>
      <w:r w:rsidRPr="00163957">
        <w:rPr>
          <w:rStyle w:val="NumeroAFNegritaCaracter"/>
        </w:rPr>
        <w:t>8</w:t>
      </w:r>
      <w:r>
        <w:t>. La representación procesal de doña R.A.S. presentó su escrito, el cual fue registrado el 24 de abril de 2015, interesando se dictase Sentencia otorgando el amparo, con nulidad de las resoluciones impugnadas, “ordenando retrotraer las actuaciones al momento inmediatamente anterior al auto de internamiento”.</w:t>
      </w:r>
    </w:p>
    <w:p w:rsidR="00163957" w:rsidRDefault="00163957" w:rsidP="00163957">
      <w:pPr>
        <w:pStyle w:val="TextoNormal"/>
      </w:pPr>
    </w:p>
    <w:p w:rsidR="00163957" w:rsidRDefault="00163957" w:rsidP="00163957">
      <w:pPr>
        <w:pStyle w:val="TextoNormal"/>
      </w:pPr>
      <w:r>
        <w:t>El escrito señala que dicha parte “está plenamente de acuerdo con los motivos que amparan el recurso de amparo planteado por el Ministerio Fiscal”. Luego de hacer un recorrido por las incidencias procesales habidas en la vía judicial previa, y resumir los motivos que defiende el Fiscal en su recurso de amparo, se insiste en que “se adhiere a los fundamentos jurídicos y doctrina jurisprudencial del Alto Tribunal que los respaldan”, refiriéndose a las dos garantías del procedimiento de internamiento que se consideran conculcadas (valoración del dictamen del Ministerio Fiscal y derecho de defensa y asistencia letrada), al haberse dictado el Auto de ratificación de la medida de internamiento, prescindiendo de ambas.</w:t>
      </w:r>
    </w:p>
    <w:p w:rsidR="00163957" w:rsidRDefault="00163957" w:rsidP="00163957">
      <w:pPr>
        <w:pStyle w:val="TextoNormal"/>
      </w:pPr>
    </w:p>
    <w:p w:rsidR="00163957" w:rsidRDefault="00163957" w:rsidP="00163957">
      <w:pPr>
        <w:pStyle w:val="TextoNormal"/>
      </w:pPr>
      <w:r w:rsidRPr="00163957">
        <w:rPr>
          <w:rStyle w:val="NumeroAFNegritaCaracter"/>
        </w:rPr>
        <w:t>9</w:t>
      </w:r>
      <w:r>
        <w:t>. El Fiscal presentó escrito de alegaciones registrado el 4 de mayo de 2015, por el que mantuvo su solicitud de otorgamiento del amparo, haciendo para ello un resumen de los argumentos vertidos en la demanda.</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10</w:t>
      </w:r>
      <w:r>
        <w:t>. Por providencia de fecha de 10 de marzo de 2016, 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Fiscal ante este Tribunal Constitucional interpone recurso de amparo contra el Auto dictado por el Juzgado de Primera Instancia núm. 15 de Las Palmas de Gran Canaria en fecha 5 de marzo de 2014, por el que se acordó ratificar la medida de internamiento en centro hospitalario, por razón de trastorno psíquico y al amparo del art. 763 de la Ley de enjuiciamiento civil (LEC), de doña R.A.S.</w:t>
      </w:r>
    </w:p>
    <w:p w:rsidR="00163957" w:rsidRDefault="00163957" w:rsidP="00163957">
      <w:pPr>
        <w:pStyle w:val="TextoNormal"/>
      </w:pPr>
    </w:p>
    <w:p w:rsidR="00163957" w:rsidRDefault="00163957" w:rsidP="00163957">
      <w:pPr>
        <w:pStyle w:val="TextoNormal"/>
      </w:pPr>
      <w:r>
        <w:t>A dicha resolución judicial le atribuye la demanda la doble vulneración del derecho a la libertad personal (art. 17.1 CE) y la del derecho a un proceso con todas las garantías (art. 24.2 CE), al haberse omitido dos de las garantías esenciales de dicho procedimiento especial como son, de un lado, el proveer a la afectada de una defensa letrada antes de resolver el Juzgado sobre la ratificación del internamiento, con el fin de que aquélla pudiera actuar a su favor a partir de las pruebas practicadas, tal como además la propia interesada había solicitado; y de otro lado el contar con el dictamen del Ministerio Fiscal, también para que fuera tenido en cuenta al momento de dictar la resolución procedente. Se recurre también en este proceso el Auto de la Sección Tercera de la Audiencia Provincial de Las Palmas de Gran Canaria, de 9 de mayo de 2014, desestimatorio del recurso de apelación promovido por la Fiscal actuante en el procedimiento, contra aquel Auto de primera instancia.</w:t>
      </w:r>
    </w:p>
    <w:p w:rsidR="00163957" w:rsidRDefault="00163957" w:rsidP="00163957">
      <w:pPr>
        <w:pStyle w:val="TextoNormal"/>
      </w:pPr>
    </w:p>
    <w:p w:rsidR="00163957" w:rsidRDefault="00163957" w:rsidP="00163957">
      <w:pPr>
        <w:pStyle w:val="TextoNormal"/>
      </w:pPr>
      <w:r>
        <w:t>La representación procesal de doña R.A.S. ha comparecido en este proceso interesando el otorgamiento del amparo solicitado por el Fiscal, adhiriéndose a los motivos defendidos por éste en su demanda.</w:t>
      </w:r>
    </w:p>
    <w:p w:rsidR="00163957" w:rsidRDefault="00163957" w:rsidP="00163957">
      <w:pPr>
        <w:pStyle w:val="TextoNormal"/>
      </w:pPr>
    </w:p>
    <w:p w:rsidR="00163957" w:rsidRDefault="00163957" w:rsidP="00163957">
      <w:pPr>
        <w:pStyle w:val="TextoNormal"/>
      </w:pPr>
      <w:r>
        <w:t xml:space="preserve">Debemos asimismo indicar que, de acuerdo con las potestades atribuidas a este Tribunal </w:t>
      </w:r>
      <w:r w:rsidRPr="00163957">
        <w:rPr>
          <w:i/>
        </w:rPr>
        <w:t>ex</w:t>
      </w:r>
      <w:r>
        <w:t xml:space="preserve"> art. 86.3 de la Ley Orgánica del Tribunal Constitucional (LOTC) y el acuerdo del Pleno de 23 de julio de 2015, en materia de protección de datos de carácter personal en el ámbito de la publicación y difusión de sus resoluciones jurisdiccionales, la presente Sentencia no incluye la identificación completa de la persona sometida a internamiento por razón de trastorno psíquico, cuyos derechos ha tutelado el Fiscal mediante la interposición del presente recurso de amparo, con el fin de proteger así su intimidad, “…teniendo en cuenta los hechos del caso (SSTC 114/2006, de 5 de abril, FJ 7; 176/2008, de 22 de diciembre, FJ 9; y 77/2009, de 23 de marzo, FJ 5)” [STC 141/2012, FJ 8; en el mismo sentido, SSTC 182/2015; 13/2016, de 1 de febrero, FJ 1, y 22/2016, de 15 de febrero, FJ 1].</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El presente recurso guarda sustancial identidad con el resuelto por este Tribunal en su reciente Sentencia 22/2016, de 15 de febrero. No solamente se tratan de resoluciones recaídas en procesos de internamiento urgente del art. 763 LEC, sino que han sido dictadas por los mismos órganos judiciales, su contenido es literalmente el mismo en sus pasajes principales, y coinciden también los motivos para su impugnación, en ambos casos promovida por el Ministerio Fiscal tanto en la instancia como aquí en amparo. Incluso —aunque este sea ya un dato anecdótico— son iguales las fechas en que se sustanciaron las dos causas ante el Juzgado </w:t>
      </w:r>
      <w:r w:rsidRPr="00163957">
        <w:rPr>
          <w:i/>
        </w:rPr>
        <w:t>a quo</w:t>
      </w:r>
      <w:r>
        <w:t xml:space="preserve">. Se diferencian por supuesto las personas afectadas y el diagnóstico ofrecido por los respectivos centros hospitalarios para justificar el internamiento de cada </w:t>
      </w:r>
      <w:r>
        <w:lastRenderedPageBreak/>
        <w:t>una, aunque esta última circunstancia, como se verá, no resulta relevante para la resolución del caso.</w:t>
      </w:r>
    </w:p>
    <w:p w:rsidR="00163957" w:rsidRDefault="00163957" w:rsidP="00163957">
      <w:pPr>
        <w:pStyle w:val="TextoNormal"/>
      </w:pPr>
    </w:p>
    <w:p w:rsidR="00163957" w:rsidRDefault="00163957" w:rsidP="00163957">
      <w:pPr>
        <w:pStyle w:val="TextoNormal"/>
      </w:pPr>
      <w:r>
        <w:t>Por tanto y con el fin de preservar la necesaria unidad de criterio, seguiremos aquí los razonamientos y conclusiones alcanzados en la indicada STC 22/2016. Tal como expusimos en ella, antes de entrar en el análisis de las dos quejas constitucionales que tiene la demanda, han de despejarse las dudas sobre la concurrencia de los presupuestos procesales de la legitimación y la especial trascendencia constitucional del recurso.</w:t>
      </w:r>
    </w:p>
    <w:p w:rsidR="00163957" w:rsidRDefault="00163957" w:rsidP="00163957">
      <w:pPr>
        <w:pStyle w:val="TextoNormal"/>
      </w:pPr>
    </w:p>
    <w:p w:rsidR="00163957" w:rsidRDefault="00163957" w:rsidP="00163957">
      <w:pPr>
        <w:pStyle w:val="TextoNormal"/>
      </w:pPr>
      <w:r>
        <w:t xml:space="preserve">En cuanto a la legitimación activa del Ministerio Fiscal, éste denuncia no solamente la omisión de una garantía del procedimiento </w:t>
      </w:r>
      <w:r w:rsidRPr="00163957">
        <w:rPr>
          <w:i/>
        </w:rPr>
        <w:t>a quo</w:t>
      </w:r>
      <w:r>
        <w:t xml:space="preserve"> (falta de asistencia de abogado), que tiene como directa afectada a la persona sometida a internamiento, doña R.A.S., sino que alega también la inobservancia de la audiencia al Fiscal como parte del procedimiento, lo que deriva en la lesión de un derecho procesal propio, al margen del menoscabo que supone sobre otra de las garantías del procedimiento instrumentado a favor de la internada. Planteado en estos términos resulta de aplicación la STC 22/2016, FJ 2, donde distinguimos los dos ámbitos de legitimación activa que coexistían en el recurso, los dos acreditados positivamente:</w:t>
      </w:r>
    </w:p>
    <w:p w:rsidR="00163957" w:rsidRDefault="00163957" w:rsidP="00163957">
      <w:pPr>
        <w:pStyle w:val="TextoNormal"/>
      </w:pPr>
    </w:p>
    <w:p w:rsidR="00163957" w:rsidRDefault="00163957" w:rsidP="00163957">
      <w:pPr>
        <w:pStyle w:val="TextoNormal"/>
      </w:pPr>
      <w:r>
        <w:t xml:space="preserve">“a) En el primero de ellos, el que supone interponer el recurso de amparo a falta de la iniciativa del propio sujeto perjudicado y en defensa de éste, la doctrina este Tribunal, contenida en la STC 17/2006, de 30 de enero, FJ 4, enseña que: ‘La legitimación para recurrir en amparo que el art. 162.1 b) CE atribuye al Ministerio Fiscal, y que aparece igualmente recogida en el art. 46.1 b) LOTC, se configura, según tuvimos ocasión de señalar en la STC 86/1985, de 10 de julio, FJ 1, como un </w:t>
      </w:r>
      <w:r w:rsidRPr="00163957">
        <w:rPr>
          <w:i/>
        </w:rPr>
        <w:t>ius agendi</w:t>
      </w:r>
      <w:r>
        <w:t xml:space="preserve"> reconocido a este órgano en mérito a su específica posición institucional, funcionalmente delimitada en el art. 124.1 de la norma fundamental. Promoviendo el amparo constitucional, el Ministerio Fiscal defiende, ciertamente, derechos fundamentales, pero lo hace, y en esto reside la peculiar naturaleza de su acción, no porque ostente su titularidad, sino como portador del interés público en la integridad y efectividad de tales derechos…’ Más recientemente, SSTC 208/2013, de 16 de diciembre, encabezamiento; 12/2014, de 27 de enero, FJ 2 y 182/2015, de 7 de septiembre, FJ 2.</w:t>
      </w:r>
    </w:p>
    <w:p w:rsidR="00163957" w:rsidRDefault="00163957" w:rsidP="00163957">
      <w:pPr>
        <w:pStyle w:val="TextoNormal"/>
      </w:pPr>
    </w:p>
    <w:p w:rsidR="00163957" w:rsidRDefault="00163957" w:rsidP="00163957">
      <w:pPr>
        <w:pStyle w:val="TextoNormal"/>
      </w:pPr>
      <w:r>
        <w:t xml:space="preserve">b) El segundo ámbito también encuentra reconocimiento en la doctrina de este Tribunal. En la antes citada STC 17/2006, un recurso de amparo interpuesto por el Ministerio Fiscal donde éste aducía indefensión (art. 24.1 CE) por falta de la debida audiencia en el acto de exploración de menores en la apelación de un proceso de divorcio, afirmamos su legitimación para reaccionar frente a este tipo de lesiones dada la finalidad de su intervención en el proceso, señalando en el FJ 4 que: ‘…este Tribunal ha venido admitiendo la legitimación del Ministerio Fiscal para interponer recurso de amparo no sólo en defensa de derechos fundamentales de los ciudadanos, sino también para denunciar la vulneración del derecho a la tutela judicial efectiva (art. 24.1 CE) del propio Ministerio Fiscal en su condición de parte procesal en el proceso </w:t>
      </w:r>
      <w:r w:rsidRPr="00163957">
        <w:rPr>
          <w:i/>
        </w:rPr>
        <w:t>a quo</w:t>
      </w:r>
      <w:r>
        <w:t xml:space="preserve"> (así, SSTC 148/1994, de 12 de mayo, y 256/1994, de 26 de septiembre). En el caso que nos ocupa conviene precisar que el Ministerio Fiscal interpone el recurso de amparo en su carácter de parte en el proceso judicial correspondiente y a su vez en su calidad de defensor de los derechos fundamentales y libertades públicas de los ciudadanos’.</w:t>
      </w:r>
    </w:p>
    <w:p w:rsidR="00163957" w:rsidRDefault="00163957" w:rsidP="00163957">
      <w:pPr>
        <w:pStyle w:val="TextoNormal"/>
      </w:pPr>
    </w:p>
    <w:p w:rsidR="00163957" w:rsidRDefault="00163957" w:rsidP="00163957">
      <w:pPr>
        <w:pStyle w:val="TextoNormal"/>
      </w:pPr>
      <w:r>
        <w:lastRenderedPageBreak/>
        <w:t xml:space="preserve">La doctrina de referencia resulta trasladable al proceso de internamiento involuntario por trastorno psíquico que nos ocupa pues, como afirma el Fiscal ante este Tribunal Constitucional en su escrito de demanda, el Ministerio Fiscal ‘intervino como parte necesaria en el proceso </w:t>
      </w:r>
      <w:r w:rsidRPr="00163957">
        <w:rPr>
          <w:i/>
        </w:rPr>
        <w:t>a quo</w:t>
      </w:r>
      <w:r>
        <w:t xml:space="preserve"> precisamente en su condición de defensor de los derechos fundamentales en juego’. Debe tenerse en cuenta que el art. 749.1 LEC señala de manera clara que en los procesos ‘sobre capacidad de las personas… será siempre parte el Ministerio Fiscal, aunque no haya sido promotor de los mismos ni deba, conforme a la Ley, asumir la defensa de alguna de las partes’. El precepto no hace distinción dentro de los distintos procesos sobre capacidad que regula la ley procesal, y el art. 763 LEC se incluye al final, pero dentro, del Capítulo correspondiente a todos ellos. En el procedimiento de internamiento involuntario se conoce de la posible merma de la capacidad de obrar de una persona, aunque sea transitoria, por causa de un trastorno mental, y su protección a través de la medida específica de tratamiento en un centro con medios y personal adecuados.</w:t>
      </w:r>
    </w:p>
    <w:p w:rsidR="00163957" w:rsidRDefault="00163957" w:rsidP="00163957">
      <w:pPr>
        <w:pStyle w:val="TextoNormal"/>
      </w:pPr>
    </w:p>
    <w:p w:rsidR="00163957" w:rsidRDefault="00163957" w:rsidP="00163957">
      <w:pPr>
        <w:pStyle w:val="TextoNormal"/>
      </w:pPr>
      <w:r>
        <w:t>Cabe así concluir que se cumple el presupuesto subjetivo de la legitimación del Fiscal ante este Tribunal, para plantear las dos quejas que conforman su demanda de amparo”.</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Por lo que respecta al presupuesto objetivo de la especial trascendencia constitucional del recurso, </w:t>
      </w:r>
      <w:r w:rsidRPr="00163957">
        <w:rPr>
          <w:i/>
        </w:rPr>
        <w:t>ex</w:t>
      </w:r>
      <w:r>
        <w:t xml:space="preserve"> art. 50.1 b) LOTC, señalamos en la STC 22/2016, FJ 3, que el mismo concurre pues “[c]on su admisión a trámite y el dictado de la presente Sentencia, tiene este Tribunal la ocasión de aclarar nuestra doctrina previa (STC 155/2009, FJ 2, apartado ‘b’), acerca del contenido y alcance del derecho de asistencia jurídica de la persona sometida a este procedimiento.</w:t>
      </w:r>
    </w:p>
    <w:p w:rsidR="00163957" w:rsidRDefault="00163957" w:rsidP="00163957">
      <w:pPr>
        <w:pStyle w:val="TextoNormal"/>
      </w:pPr>
    </w:p>
    <w:p w:rsidR="00163957" w:rsidRDefault="00163957" w:rsidP="00163957">
      <w:pPr>
        <w:pStyle w:val="TextoNormal"/>
      </w:pPr>
      <w:r>
        <w:t xml:space="preserve">Tal precisión se formula ‘…en salvaguarda del principio de seguridad jurídica que, conforme a la Sentencia del Tribunal Europeo de Derechos Humanos de 20 de enero de 2015, dictada en el asunto </w:t>
      </w:r>
      <w:r w:rsidRPr="00163957">
        <w:rPr>
          <w:i/>
        </w:rPr>
        <w:t>Arribas Antón contra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00163957" w:rsidRDefault="00163957" w:rsidP="00163957">
      <w:pPr>
        <w:pStyle w:val="TextoNormal"/>
      </w:pPr>
    </w:p>
    <w:p w:rsidR="00163957" w:rsidRDefault="00163957" w:rsidP="00163957">
      <w:pPr>
        <w:pStyle w:val="TextoNormal"/>
      </w:pPr>
      <w:r w:rsidRPr="00163957">
        <w:rPr>
          <w:rStyle w:val="NumeroAFNegritaCaracter"/>
        </w:rPr>
        <w:t>4</w:t>
      </w:r>
      <w:r>
        <w:t>. Ha de darse ya inicio al estudio de las quejas de la demanda de amparo, comenzando por la lesión del derecho a la asistencia letrada de la persona sujeta a internamiento, doña R.A.S. Durante el acto de exploración judicial ésta manifestó el deseo de que se le nombrara un abogado para su defensa y aunque se proveyó inicialmente a esa solicitud, acordando el Juzgado dirigir comunicación al Colegio de Abogados de Las Palmas de Gran Canaria para el respectivo nombramiento; sin embargo y sin recibir respuesta de éste, el Juzgado dictó Auto de ratificación del internamiento ese mismo día 5 de marzo de 2014 pese a que, como ya se ha dicho, tenía margen hasta el día siguiente para resolver.</w:t>
      </w:r>
    </w:p>
    <w:p w:rsidR="00163957" w:rsidRDefault="00163957" w:rsidP="00163957">
      <w:pPr>
        <w:pStyle w:val="TextoNormal"/>
      </w:pPr>
    </w:p>
    <w:p w:rsidR="00163957" w:rsidRDefault="00163957" w:rsidP="00163957">
      <w:pPr>
        <w:pStyle w:val="TextoNormal"/>
      </w:pPr>
      <w:r>
        <w:t xml:space="preserve">Conforme razonamos en la citada STC 22/2016, FJ 4: </w:t>
      </w:r>
    </w:p>
    <w:p w:rsidR="00163957" w:rsidRDefault="00163957" w:rsidP="00163957">
      <w:pPr>
        <w:pStyle w:val="TextoNormal"/>
      </w:pPr>
    </w:p>
    <w:p w:rsidR="00163957" w:rsidRDefault="00163957" w:rsidP="00163957">
      <w:pPr>
        <w:pStyle w:val="TextoNormal"/>
      </w:pPr>
      <w:r>
        <w:t>“Expuesto en estos términos, hemos de recordar que la STC 141/2012, de 2 de julio, declaró en su FJ 6 a), que en el procedimiento de internamiento urgente no voluntario por trastorno psíquico del art. 763 LEC:</w:t>
      </w:r>
    </w:p>
    <w:p w:rsidR="00163957" w:rsidRDefault="00163957" w:rsidP="00163957">
      <w:pPr>
        <w:pStyle w:val="TextoNormal"/>
      </w:pPr>
    </w:p>
    <w:p w:rsidR="00163957" w:rsidRDefault="00163957" w:rsidP="00163957">
      <w:pPr>
        <w:pStyle w:val="TextoNormal"/>
      </w:pPr>
      <w:r>
        <w:lastRenderedPageBreak/>
        <w:t>‘El Juez ha de informar al interno o a su representante acerca de su situación material y procesal, lo que implica a su vez el derecho del afectado (o su representante en su nombre) a ser oído personalmente dentro del procedimiento.</w:t>
      </w:r>
    </w:p>
    <w:p w:rsidR="00163957" w:rsidRDefault="00163957" w:rsidP="00163957">
      <w:pPr>
        <w:pStyle w:val="TextoNormal"/>
      </w:pPr>
    </w:p>
    <w:p w:rsidR="00163957" w:rsidRDefault="00163957" w:rsidP="00163957">
      <w:pPr>
        <w:pStyle w:val="TextoNormal"/>
      </w:pPr>
      <w:r>
        <w:t>Además y conforme recoge expresamente el art. 763.3 LEC, el privado de libertad también será informado de su derecho a contar con Abogado y Procurador en este trámite y de su derecho a la práctica de pruebas’.</w:t>
      </w:r>
    </w:p>
    <w:p w:rsidR="00163957" w:rsidRDefault="00163957" w:rsidP="00163957">
      <w:pPr>
        <w:pStyle w:val="TextoNormal"/>
      </w:pPr>
    </w:p>
    <w:p w:rsidR="00163957" w:rsidRDefault="00163957" w:rsidP="00163957">
      <w:pPr>
        <w:pStyle w:val="TextoNormal"/>
      </w:pPr>
      <w:r>
        <w:t>Procede en este momento concretar el alcance de la segunda de las garantías así enunciada:</w:t>
      </w:r>
    </w:p>
    <w:p w:rsidR="00163957" w:rsidRDefault="00163957" w:rsidP="00163957">
      <w:pPr>
        <w:pStyle w:val="TextoNormal"/>
      </w:pPr>
    </w:p>
    <w:p w:rsidR="00163957" w:rsidRDefault="00163957" w:rsidP="00163957">
      <w:pPr>
        <w:pStyle w:val="TextoNormal"/>
      </w:pPr>
      <w:r>
        <w:t>a) El derecho a la asistencia jurídica de la persona internada requiere siempre la actuación, en su nombre, de un representante procesal y un defensor. Así lo reconocimos con carácter general para todos los procesos sobre capacidad de las personas, en nuestra STC 7/2011, de 14 de febrero, FJ 5, por cuanto: ‘…este tipo de procedimientos se encuadra entre aquéllos en los que la garantía constitucional de la defensa letrada se convierte en una exigencia estructural del proceso tendente a asegurar su correcto desenvolvimiento, lo que, como también se ha dicho anteriormente, ha llevado a este Tribunal a establecer que la pasividad del titular del derecho deba ser suplida por el órgano judicial, ofreciendo al interesado una oportunidad de reparar tal omisión (STC 189/2006, de 19 de junio, FJ 2)…’.</w:t>
      </w:r>
    </w:p>
    <w:p w:rsidR="00163957" w:rsidRDefault="00163957" w:rsidP="00163957">
      <w:pPr>
        <w:pStyle w:val="TextoNormal"/>
      </w:pPr>
    </w:p>
    <w:p w:rsidR="00163957" w:rsidRDefault="00163957" w:rsidP="00163957">
      <w:pPr>
        <w:pStyle w:val="TextoNormal"/>
      </w:pPr>
      <w:r>
        <w:t>Y no otra cosa cabe predicar en el procedimiento de internamiento del art. 763 LEC, sea o no urgente, porque así lo impone el apartado tercero del precepto, según se recuerda en la STC 141/2012 ya citada, encontrándonos, como ya se precisó antes, en uno de los procesos sobre capacidad de las personas.</w:t>
      </w:r>
    </w:p>
    <w:p w:rsidR="00163957" w:rsidRDefault="00163957" w:rsidP="00163957">
      <w:pPr>
        <w:pStyle w:val="TextoNormal"/>
      </w:pPr>
    </w:p>
    <w:p w:rsidR="00163957" w:rsidRDefault="00163957" w:rsidP="00163957">
      <w:pPr>
        <w:pStyle w:val="TextoNormal"/>
      </w:pPr>
      <w:r>
        <w:t>Tal y como además declaramos en la misma STC 141/2012, de 2 de julio, FJ 6, el art. 763 LEC instrumenta dentro de nuestro sistema de justicia civil, el procedimiento al que se refiere el art. 5.4 CEDH (‘[t]oda persona privada de su libertad mediante detención o internamiento tendrá derecho a presentar un recurso ante un órgano judicial, a fin de que se pronuncie en breve plazo sobre la legalidad de su privación de libertad y ordene su puesta en libertad si fuera ilegal’).</w:t>
      </w:r>
    </w:p>
    <w:p w:rsidR="00163957" w:rsidRDefault="00163957" w:rsidP="00163957">
      <w:pPr>
        <w:pStyle w:val="TextoNormal"/>
      </w:pPr>
    </w:p>
    <w:p w:rsidR="00163957" w:rsidRDefault="00163957" w:rsidP="00163957">
      <w:pPr>
        <w:pStyle w:val="TextoNormal"/>
      </w:pPr>
      <w:r>
        <w:t xml:space="preserve">La jurisprudencia del Tribunal Europeo de Derechos Humanos viene señalando reiteradamente, en aplicación de este precepto, que la persona sometida a una medida de internamiento psiquiátrico debe tener, de un lado, el derecho a ser oída ante la autoridad competente, por sí misma o si carece de la capacidad para ello, a través de algún tipo de representación, pues de lo contrario no se cumpliría con una garantía esencial del procedimiento, para lo que deberán arbitrarse las salvaguardias especiales de orden procesal que permitan la protección de sus intereses. De otro lado, la persona también tiene derecho contar con un asesor legal, sin que recaiga sobre ella la iniciativa de su designación [entre otras, SSTEDH de 24 de octubre de 1979, asunto </w:t>
      </w:r>
      <w:r w:rsidRPr="00163957">
        <w:rPr>
          <w:i/>
        </w:rPr>
        <w:t>Winterwerp c. Holanda</w:t>
      </w:r>
      <w:r>
        <w:t xml:space="preserve">, §§ 60 y 66; 12 de mayo de 1992, asunto </w:t>
      </w:r>
      <w:r w:rsidRPr="00163957">
        <w:rPr>
          <w:i/>
        </w:rPr>
        <w:t>Megyeri c. Alemania</w:t>
      </w:r>
      <w:r>
        <w:t xml:space="preserve">, § 22, apartados c) y d); 14 de febrero de 2012, asunto </w:t>
      </w:r>
      <w:r w:rsidRPr="00163957">
        <w:rPr>
          <w:i/>
        </w:rPr>
        <w:t>D.D. c. Lituania</w:t>
      </w:r>
      <w:r>
        <w:t>, §§ 163, apartado c), y 166].</w:t>
      </w:r>
    </w:p>
    <w:p w:rsidR="00163957" w:rsidRDefault="00163957" w:rsidP="00163957">
      <w:pPr>
        <w:pStyle w:val="TextoNormal"/>
      </w:pPr>
    </w:p>
    <w:p w:rsidR="00163957" w:rsidRDefault="00163957" w:rsidP="00163957">
      <w:pPr>
        <w:pStyle w:val="TextoNormal"/>
      </w:pPr>
      <w:r>
        <w:t xml:space="preserve">b) Para hacer efectivo este derecho a la asistencia jurídica, que resulta irrenunciable para su titular, el Juez debe dirigirse al afectado; si es en la modalidad de internamiento urgente con la antelación necesaria dentro del plazo de las 72 horas en que ha de sustanciarse el </w:t>
      </w:r>
      <w:r>
        <w:lastRenderedPageBreak/>
        <w:t>procedimiento; antes o a más tardar durante el acto de exploración judicial del art. 763.3 LEC, a fin de informarle de la apertura del proceso y su finalidad, así como del derecho que tiene a una asistencia jurídica, pudiendo optar la persona por un abogado y procurador, sean de su confianza o designados por el Juzgado de entre los del turno de oficio. Si nada manifiesta al respecto, bien porque no desea hacerlo, bien porque no es capaz de comprender lo que el Juez le dice o de comunicar una respuesta, su representación y defensa deben ser asumidas por el Fiscal actuante en la causa, que es lo que establece en ese caso el art. 758 LEC, al que se remite de manera expresa y sin reservas el art. 763.3 de la misma Ley.</w:t>
      </w:r>
    </w:p>
    <w:p w:rsidR="00163957" w:rsidRDefault="00163957" w:rsidP="00163957">
      <w:pPr>
        <w:pStyle w:val="TextoNormal"/>
      </w:pPr>
    </w:p>
    <w:p w:rsidR="00163957" w:rsidRDefault="00163957" w:rsidP="00163957">
      <w:pPr>
        <w:pStyle w:val="TextoNormal"/>
      </w:pPr>
      <w:r>
        <w:t>Sin embargo, de ser el Fiscal el promotor de la medida de internamiento no podrá ser designado como su defensor, ordenando en tal supuesto el propio art. 758 LEC que se le designe un defensor judicial para que le represente; en este caso, se entiende, a los únicos efectos del procedimiento de internamiento. Dicho defensor judicial, que puede ser el representante legal del internado (si es menor de edad, quien ejerce la patria potestad; si es persona ya incapacitada por sentencia, su tutor) o sino quien designe el Juzgado, nombrará entonces abogado y procurador o solicitará al Juzgado su designación de entre los profesionales de oficio.</w:t>
      </w:r>
    </w:p>
    <w:p w:rsidR="00163957" w:rsidRDefault="00163957" w:rsidP="00163957">
      <w:pPr>
        <w:pStyle w:val="TextoNormal"/>
      </w:pPr>
    </w:p>
    <w:p w:rsidR="00163957" w:rsidRDefault="00163957" w:rsidP="00163957">
      <w:pPr>
        <w:pStyle w:val="TextoNormal"/>
      </w:pPr>
      <w:r>
        <w:t>Con este sistema escalonado, en definitiva, se evita un vacío en la asistencia jurídica del internado durante este procedimiento especial, en el que está en juego, no debe olvidarse en ningún momento, el derecho fundamental a la libertad de la persona (art. 17.1 CE)”.</w:t>
      </w:r>
    </w:p>
    <w:p w:rsidR="00163957" w:rsidRDefault="00163957" w:rsidP="00163957">
      <w:pPr>
        <w:pStyle w:val="TextoNormal"/>
      </w:pPr>
    </w:p>
    <w:p w:rsidR="00163957" w:rsidRDefault="00163957" w:rsidP="00163957">
      <w:pPr>
        <w:pStyle w:val="TextoNormal"/>
      </w:pPr>
      <w:r w:rsidRPr="00163957">
        <w:rPr>
          <w:rStyle w:val="NumeroAFNegritaCaracter"/>
        </w:rPr>
        <w:t>5</w:t>
      </w:r>
      <w:r>
        <w:t>. Las consideraciones que preceden y el examen de los hechos, conducen a la estimación de este motivo planteado por el Fiscal en su demanda de amparo. Según se ha relatado ya, la comunicación del centro médico al Juzgado Decano de Las Palmas de Gran Canaria se produjo el 3 de marzo de 2014, dando traslado de ella en el mismo día al Juzgado de Primera Instancia núm. 15, el cual habría de hacerse cargo del caso.</w:t>
      </w:r>
    </w:p>
    <w:p w:rsidR="00163957" w:rsidRDefault="00163957" w:rsidP="00163957">
      <w:pPr>
        <w:pStyle w:val="TextoNormal"/>
      </w:pPr>
    </w:p>
    <w:p w:rsidR="00163957" w:rsidRDefault="00163957" w:rsidP="00163957">
      <w:pPr>
        <w:pStyle w:val="TextoNormal"/>
      </w:pPr>
      <w:r>
        <w:t xml:space="preserve">El Juzgado </w:t>
      </w:r>
      <w:r w:rsidRPr="00163957">
        <w:rPr>
          <w:i/>
        </w:rPr>
        <w:t>a quo</w:t>
      </w:r>
      <w:r>
        <w:t>, tras abrir la causa el propio día 3, sustanció todo el procedimiento y le puso fin el 5 de marzo de 2014, mediante el Auto de ratificación del internamiento, cuando todavía le restaba un día más dentro del plazo -expiraba el 6 de marzo-, con la consecuencia, producto de tal premura, de descuidar la efectividad del derecho a la asistencia jurídica de doña R.A.S.</w:t>
      </w:r>
    </w:p>
    <w:p w:rsidR="00163957" w:rsidRDefault="00163957" w:rsidP="00163957">
      <w:pPr>
        <w:pStyle w:val="TextoNormal"/>
      </w:pPr>
    </w:p>
    <w:p w:rsidR="00163957" w:rsidRDefault="00163957" w:rsidP="00163957">
      <w:pPr>
        <w:pStyle w:val="TextoNormal"/>
      </w:pPr>
      <w:r>
        <w:t>Así, en principio y respetando la voluntad expresada por esta última en el acto de exploración, el Juzgado había proveído para que se le nombrara un Abogado, dirigiéndose a través de la Secretaría por fax al Colegio de Abogados de Las Palmas de Gran Canaria, a fin de que procedieran a su designación “inmediata” (doña R.A.S. no había hecho indicación de abogado de su preferencia), aunque sin hacer lo propio, como era debido, para la designación de un Procurador.</w:t>
      </w:r>
    </w:p>
    <w:p w:rsidR="00163957" w:rsidRDefault="00163957" w:rsidP="00163957">
      <w:pPr>
        <w:pStyle w:val="TextoNormal"/>
      </w:pPr>
    </w:p>
    <w:p w:rsidR="00163957" w:rsidRDefault="00163957" w:rsidP="00163957">
      <w:pPr>
        <w:pStyle w:val="TextoNormal"/>
      </w:pPr>
      <w:r>
        <w:t xml:space="preserve">Sin embargo, desconociendo si el Colegio podía dar una respuesta al requerimiento efectuado el propio día 5 o al siguiente y, en caso de imposibilidad de éste, teniendo la alternativa de designar a la Fiscal actuante como defensora de doña R.A.S. (al no haber promovido el internamiento), el Juzgado en cambio optó por poner fin al proceso dictando el Auto de ratificación, lo que impedía ya toda asistencia jurídica a favor de la afectada en la primera instancia. El envío de un segundo fax al Colegio de Abogados el 6 de marzo, y en la misma </w:t>
      </w:r>
      <w:r>
        <w:lastRenderedPageBreak/>
        <w:t>fecha otra comunicación (por vez primera) al Colegio de Procuradores también de Las Palmas de Gran Canaria, ya sólo podía tener virtualidad a efectos de que, tras su posterior designación, dichos profesionales pudieran recurrir el Auto.</w:t>
      </w:r>
    </w:p>
    <w:p w:rsidR="00163957" w:rsidRDefault="00163957" w:rsidP="00163957">
      <w:pPr>
        <w:pStyle w:val="TextoNormal"/>
      </w:pPr>
    </w:p>
    <w:p w:rsidR="00163957" w:rsidRDefault="00163957" w:rsidP="00163957">
      <w:pPr>
        <w:pStyle w:val="TextoNormal"/>
      </w:pPr>
      <w:r>
        <w:t xml:space="preserve">El hecho de que el art. 763.3 </w:t>
      </w:r>
      <w:r w:rsidRPr="00163957">
        <w:rPr>
          <w:i/>
        </w:rPr>
        <w:t>in fine</w:t>
      </w:r>
      <w:r>
        <w:t xml:space="preserve"> LEC garantice la posibilidad de recurso de apelación contra la decisión adoptada, no legitima la privación de una garantía esencial del procedimiento de primera instancia. No puede concederse por esto la razón a la respuesta dada por la Sección Tercera de la Audiencia Provincial de Las Palmas de Gran Canaria, que en su Auto de 9 de mayo de 2014 minimiza esta cuestión señalando que los profesionales designados no recurrieron </w:t>
      </w:r>
      <w:r w:rsidRPr="00163957">
        <w:rPr>
          <w:i/>
        </w:rPr>
        <w:t>ab initio</w:t>
      </w:r>
      <w:r>
        <w:t xml:space="preserve"> el Auto del Juzgado sino que se limitaron a adherirse al recurso presentado por el Fiscal. No repara la Audiencia en que, admitiendo en su Auto la condición de parte impugnante adherida al recurso de doña R.A.S., tal adhesión formalizada por su representante procesal suponía su oposición al internamiento, justamente por habérsele privado de representación y defensa a doña R.A.S. en la primera instancia del proceso, por causa atribuible al órgano judicial, tal como se ha explicado.</w:t>
      </w:r>
    </w:p>
    <w:p w:rsidR="00163957" w:rsidRDefault="00163957" w:rsidP="00163957">
      <w:pPr>
        <w:pStyle w:val="TextoNormal"/>
      </w:pPr>
    </w:p>
    <w:p w:rsidR="00163957" w:rsidRDefault="00163957" w:rsidP="00163957">
      <w:pPr>
        <w:pStyle w:val="TextoNormal"/>
      </w:pPr>
      <w:r w:rsidRPr="00163957">
        <w:rPr>
          <w:rStyle w:val="NumeroAFNegritaCaracter"/>
        </w:rPr>
        <w:t>6</w:t>
      </w:r>
      <w:r>
        <w:t>. La negación de esta intervención de su representante procesal y defensora produjo, pues, la vulneración del derecho a la asistencia jurídica, que en este ámbito del proceso de internamiento involuntario del art. 763 LEC por trastorno psíquico, se reconduce a una lesión del derecho a la libertad del art. 17.1 CE (SSTC 141/2012, de 2 de julio, FJ 1; 13/2016, de 1 de febrero, FJ 3, y 22/2016, de 15 de febrero, FJ 6), del que resulta titular doña R.A.S., lo que determina la estimación en este punto de la demanda de amparo, por lo que resulta innecesario analizar la otra queja vertida en esta última, acerca de la falta de valoración del dictamen del Ministerio Fiscal.</w:t>
      </w:r>
    </w:p>
    <w:p w:rsidR="00163957" w:rsidRDefault="00163957" w:rsidP="00163957">
      <w:pPr>
        <w:pStyle w:val="TextoNormal"/>
      </w:pPr>
    </w:p>
    <w:p w:rsidR="00163957" w:rsidRDefault="00163957" w:rsidP="00163957">
      <w:pPr>
        <w:pStyle w:val="TextoNormal"/>
      </w:pPr>
      <w:r>
        <w:t>Como consecuencia, procede declarar la nulidad de las resoluciones judiciales impugnadas. Además, de acuerdo a lo señalado en la STC 141/2012, de 2 de julio, FJ 8, “la Sentencia ha de tener efectos puramente declarativos, sin acordar retroacción alguna de las actuaciones destinada a subsanar la omisión de derechos dentro del procedimiento, teniendo en cuenta la situación de libertad del recurrente materializada tras aquel alta médica y que la tutela de su derecho fundamental queda garantizada con los pronunciamientos indicados, siguiendo así la doctrina de este Tribunal fijada para situaciones similares (SSTC 12/2007, de 15 de enero, FJ 4; 169/2008, de 15 de diciembre, FJ 7 y 179/2011, de 21 de noviembre, FJ 6)” (en el mismo sentido, SSTC 182/2015, de 7 de septiembre, FJ 7, y 22/2016, de 15 de febrero, FJ 6).</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el Fiscal ante el Tribunal Constitucional y, en su virtud:</w:t>
      </w:r>
    </w:p>
    <w:p w:rsidR="00163957" w:rsidRDefault="00163957" w:rsidP="00163957">
      <w:pPr>
        <w:pStyle w:val="TextoNormal"/>
      </w:pPr>
    </w:p>
    <w:p w:rsidR="00163957" w:rsidRDefault="00163957" w:rsidP="00163957">
      <w:pPr>
        <w:pStyle w:val="TextoNormal"/>
      </w:pPr>
      <w:r>
        <w:lastRenderedPageBreak/>
        <w:t>1º Declarar que se ha vulnerado el derecho fundamental a la libertad personal (art. 17.1 CE) de doña R.A.S.</w:t>
      </w:r>
    </w:p>
    <w:p w:rsidR="00163957" w:rsidRDefault="00163957" w:rsidP="00163957">
      <w:pPr>
        <w:pStyle w:val="TextoNormal"/>
      </w:pPr>
    </w:p>
    <w:p w:rsidR="00163957" w:rsidRDefault="00163957" w:rsidP="00163957">
      <w:pPr>
        <w:pStyle w:val="TextoNormal"/>
      </w:pPr>
      <w:r>
        <w:t>2º Restablecerla en la integridad de su derecho y, a tal fin, declarar la nulidad del Auto del Juzgado de Primera Instancia núm. 15 de Las Palmas de Gran Canaria, de 5 de marzo de 2014 (procedimiento de internamiento núm. 165-2014), y del Auto de la Sección Tercera de la Audiencia Provincial de Las Palmas de Gran Canaria, de 9 de mayo de 2014 (rollo de apelación núm. 273-2014).</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54" w:name="SENTENCIA_2016_51"/>
      <w:r>
        <w:lastRenderedPageBreak/>
        <w:t>SENTENCIA 51/2016, de 14 de marzo de 2016</w:t>
      </w:r>
    </w:p>
    <w:bookmarkEnd w:id="54"/>
    <w:p w:rsidR="00163957" w:rsidRDefault="00163957" w:rsidP="00163957">
      <w:pPr>
        <w:pStyle w:val="TtuloResolucin"/>
      </w:pPr>
      <w:r>
        <w:t>Sala Primera</w:t>
      </w:r>
    </w:p>
    <w:p w:rsidR="00163957" w:rsidRDefault="00163957" w:rsidP="00163957">
      <w:pPr>
        <w:pStyle w:val="TtuloBOE"/>
      </w:pPr>
      <w:r>
        <w:t>(BOE núm. 97, de 22 de abril de 2016)</w:t>
      </w:r>
    </w:p>
    <w:p w:rsidR="00163957" w:rsidRDefault="00163957" w:rsidP="00163957">
      <w:pPr>
        <w:pStyle w:val="TextoNormalCentrado"/>
      </w:pPr>
      <w:r>
        <w:t>ECLI:ES:TC:2016:51</w:t>
      </w:r>
    </w:p>
    <w:p w:rsidR="00163957" w:rsidRDefault="00163957" w:rsidP="00163957">
      <w:pPr>
        <w:pStyle w:val="TextoNormalCentrado"/>
      </w:pPr>
    </w:p>
    <w:p w:rsidR="00163957" w:rsidRDefault="00163957" w:rsidP="00163957">
      <w:pPr>
        <w:pStyle w:val="SntesisDescriptiva"/>
      </w:pPr>
      <w:r>
        <w:t>Recurso de amparo 5251-2014. Promovido por don Florentino Renedo García y doña Rosa María Bahillo Lomas en relación con las Sentencias de la Audiencia Provincial y de un Juzgado de lo Penal de Palencia que les condenó por un delito de estafa.</w:t>
      </w:r>
    </w:p>
    <w:p w:rsidR="00163957" w:rsidRDefault="00163957" w:rsidP="00163957">
      <w:pPr>
        <w:pStyle w:val="SntesisDescriptiva"/>
      </w:pPr>
    </w:p>
    <w:p w:rsidR="00163957" w:rsidRDefault="00163957" w:rsidP="00163957">
      <w:pPr>
        <w:pStyle w:val="SntesisAnaltica"/>
      </w:pPr>
      <w:r>
        <w:t>Vulneración del derecho a la tutela judicial efectiva (resolución fundada en Derecho): Sentencias que se apartan conscientemente de una doctrina reiterada y conocida del Tribunal Constitucional (STC 63/2005).</w:t>
      </w:r>
    </w:p>
    <w:p w:rsidR="00163957" w:rsidRDefault="00163957" w:rsidP="00163957">
      <w:pPr>
        <w:pStyle w:val="SntesisAnaltica"/>
      </w:pPr>
    </w:p>
    <w:p w:rsidR="00163957" w:rsidRDefault="00163957" w:rsidP="00163957">
      <w:pPr>
        <w:pStyle w:val="Extracto"/>
      </w:pPr>
      <w:r>
        <w:t>1.</w:t>
      </w:r>
      <w:r>
        <w:tab/>
        <w:t>En las resoluciones impugnadas se incurre en manifiesto desconocimiento del deber de acatamiento de la doctrina del Tribunal Constitucional, lo cual supone una quiebra patente del mandato recogido en el art. 5.1 de la Ley Orgánica del Poder Judicial, de la que deriva la consiguiente lesión del derecho a la tutela judicial efectiva consagrado en el art. 24.1 CE [FJ 2].</w:t>
      </w:r>
    </w:p>
    <w:p w:rsidR="00163957" w:rsidRDefault="00163957" w:rsidP="00163957">
      <w:pPr>
        <w:pStyle w:val="Extracto"/>
      </w:pPr>
    </w:p>
    <w:p w:rsidR="00163957" w:rsidRDefault="00163957" w:rsidP="00163957">
      <w:pPr>
        <w:pStyle w:val="Extracto"/>
      </w:pPr>
      <w:r>
        <w:t>2.</w:t>
      </w:r>
      <w:r>
        <w:tab/>
        <w:t>El art. 132.2 del Código penal, en la redacción vigente en el momento en que se cometieron los hechos que dieron lugar a las resoluciones impugnadas -en la que se disponía que la prescripción “se interrumpirá, quedando sin efecto el tiempo transcurrido cuando el procedimiento se dirija contra el culpable”- debe ser interpretado en el sentido de entender que la querella o denuncia son solicitudes de iniciación del procedimiento que no tienen por sí solas eficacia para interrumpir el cómputo del plazo de prescripción y que es necesario un acto de interposición judicial o de dirección procesal del procedimiento contra el culpable (STC 63/2005) [FJ 2].</w:t>
      </w:r>
    </w:p>
    <w:p w:rsidR="00163957" w:rsidRDefault="00163957" w:rsidP="00163957">
      <w:pPr>
        <w:pStyle w:val="Extracto"/>
      </w:pPr>
    </w:p>
    <w:p w:rsidR="00163957" w:rsidRDefault="00163957" w:rsidP="00163957">
      <w:pPr>
        <w:pStyle w:val="Extracto"/>
      </w:pPr>
      <w:r>
        <w:t>3.</w:t>
      </w:r>
      <w:r>
        <w:tab/>
        <w:t>La demanda de amparo ha sido admitida a trámite por apreciar que concurre una especial trascendencia constitucional como consecuencia de que la doctrina de este Tribunal, sobre el derecho fundamental que se alega, podría estar siendo incumplida de modo general o reiterado por la jurisdicción ordinaria [FJ 1].</w:t>
      </w:r>
    </w:p>
    <w:p w:rsidR="00163957" w:rsidRDefault="00163957" w:rsidP="00163957">
      <w:pPr>
        <w:pStyle w:val="Extracto"/>
      </w:pPr>
    </w:p>
    <w:p w:rsidR="00163957" w:rsidRDefault="00163957" w:rsidP="00163957">
      <w:pPr>
        <w:pStyle w:val="Extracto"/>
      </w:pPr>
      <w:r>
        <w:t>4.</w:t>
      </w:r>
      <w:r>
        <w:tab/>
        <w:t>La negativa manifiesta al deber de acatamiento de esta concreta jurisprudencia constitucional por parte de las resoluciones impugnadas es determinante para que se otorgue el amparo por la vulneración del derecho a la tutela judicial efectiva (art. 24.1 CE), para cuyo restablecimiento es preciso la anulación de las resoluciones impugnadas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lastRenderedPageBreak/>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5251-2014, promovido por don Florentino Renedo García y doña Rosa María Bahillo Lomas, representados por la Procuradora de los Tribunales doña María de los Ángeles Gáldiz de la Plaza, bajo la dirección del Letrado don Miguel Polvorosa Mies, contra la Sentencia de la Audiencia Provincial de Palencia de 22 de julio de 2014, por la que se desestima el recurso de apelación núm. 15-2014, interpuesto contra la Sentencia del Juzgado de lo Penal núm. 1 de Palencia de 4 de noviembre de 2013, dictada en el procedimiento abreviado núm. 495-2012. Han comparecido don Alejandro Benjamín Levy y doña Susana Elba Yamplosky, representados por la Procuradora de los Tribunales doña Ana Dolores Leal Labrador, bajo la asistencia del Letrado don Joaquín Garrachón Romero-Mazariegos. Ha intervenido el Ministerio Fiscal. Ha sido Ponente el Magistrado don Juan Antonio Xiol Ríos, quien expresa el parecer de la Sala.</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Procuradora de los Tribunales María de los Ángeles Gáldiz de la Plaza, en nombre y representación de don Florentino Renedo García y doña Rosa María Bahillo Lomas, y bajo la dirección del Letrado don Miguel Polvorosa Mies, interpuso demanda de amparo contra las resoluciones judiciales que se mencionan en el encabezamiento de esta Sentencia, mediante escrito registrado en este Tribunal el 1 de septiembre de 2014.</w:t>
      </w:r>
    </w:p>
    <w:p w:rsidR="00163957" w:rsidRDefault="00163957" w:rsidP="00163957">
      <w:pPr>
        <w:pStyle w:val="TextoNormal"/>
      </w:pPr>
    </w:p>
    <w:p w:rsidR="00163957" w:rsidRDefault="00163957" w:rsidP="00163957">
      <w:pPr>
        <w:pStyle w:val="TextoNormal"/>
      </w:pPr>
      <w:r w:rsidRPr="00163957">
        <w:rPr>
          <w:rStyle w:val="NumeroAFNegritaCaracter"/>
        </w:rPr>
        <w:t>2</w:t>
      </w:r>
      <w:r>
        <w:t>. El recurso tiene su origen en los siguientes antecedentes:</w:t>
      </w:r>
    </w:p>
    <w:p w:rsidR="00163957" w:rsidRDefault="00163957" w:rsidP="00163957">
      <w:pPr>
        <w:pStyle w:val="TextoNormal"/>
      </w:pPr>
    </w:p>
    <w:p w:rsidR="00163957" w:rsidRDefault="00163957" w:rsidP="00163957">
      <w:pPr>
        <w:pStyle w:val="TextoNormal"/>
      </w:pPr>
      <w:r>
        <w:t>a) El Juzgado de lo Penal núm. 1 de Palencia, por Sentencia de 4 de noviembre de 2013, dictada en el procedimiento abreviado núm. 495-2012, condenó a los recurrentes como autores de un delito de estafa a las penas de un año y tres meses de prisión, accesorias y al abono de las costas y una indemnización civil. La Sentencia declara como hechos probados que los acusados, con idea de obtener un ilícito beneficio económico, vendieron una vivienda al matrimonio compuesto por don Alejandro Benjamín Levy y doña Susana Elba Yamplosky, ocultándoles que se trataba de una vivienda de protección oficial, mediante un contrato privado firmado el 11 de agosto de 2004, que fue elevado a escritura pública el 13 de agosto de 2004. La denuncia se formuló el 6 de agosto de 2009, cuando los compradores descubrieron la condición de vivienda protegida, acordándose por Auto del Juzgado de Instrucción núm. 2 de Palencia de 24 de agosto de 2009 la incoación de las diligencias previas 1312-2009. La Sentencia rechaza que concurra la prescripción del delito alegada por los acusados remitiéndose a lo ya resuelto sobre el particular por el Auto de la Audiencia Provincial de Palencia de 23 de julio de 2012, dictado en el rollo de apelación núm. 183-2012.</w:t>
      </w:r>
    </w:p>
    <w:p w:rsidR="00163957" w:rsidRDefault="00163957" w:rsidP="00163957">
      <w:pPr>
        <w:pStyle w:val="TextoNormal"/>
      </w:pPr>
    </w:p>
    <w:p w:rsidR="00163957" w:rsidRDefault="00163957" w:rsidP="00163957">
      <w:pPr>
        <w:pStyle w:val="TextoNormal"/>
      </w:pPr>
      <w:r>
        <w:lastRenderedPageBreak/>
        <w:t>b) Los recurrentes formularon recurso de apelación, que fue tramitado con el núm. 15-2014 por la Audiencia Provincial de Palencia, alegando, entre otros extremos, la prescripción del delito, con el argumento de que aunque el delito se hubiera cometido el 13 de agosto de 2004, cuando se elevó a escritura pública el contrato y se tomara como plazo de prescripción los cinco años, dicho plazo ya había transcurrido cuando el 24 de agosto de 2009 se dicta el Auto de incoación de diligencias previas como primer acto judicial con eficacia interruptora de la prescripción del delito de acuerdo con lo establecido en el art. 132.2 del Código penal (CP), en la redacción previa a la dada por la Ley Orgánica 5/2010, de 22 de junio, interpretado por la STC 63/2005, de 14 de marzo.</w:t>
      </w:r>
    </w:p>
    <w:p w:rsidR="00163957" w:rsidRDefault="00163957" w:rsidP="00163957">
      <w:pPr>
        <w:pStyle w:val="TextoNormal"/>
      </w:pPr>
    </w:p>
    <w:p w:rsidR="00163957" w:rsidRDefault="00163957" w:rsidP="00163957">
      <w:pPr>
        <w:pStyle w:val="TextoNormal"/>
      </w:pPr>
      <w:r>
        <w:t>c) El recurso de apelación fue desestimado por Sentencia de 22 de julio de 2014 argumentando, por lo que respecta a la prescripción invocada, que la jurisprudencia constitucional, si bien ha establecido que no basta para entender interrumpido el plazo de prescripción del delito a que se refiere el entonces vigente art. 132.2 CP el hecho de la mera presentación de la denuncia o querella, siendo necesario que exista un “acto de interposición judicial”; sin embargo, la Sala Segunda del Tribunal Supremo, mediante acuerdo del Pleno no jurisdiccional de 25 de abril de 2006, decidió mantener su jurisprudencia tradicional, considerando que “el verdadero acto que interrumpe la prescripción es la presentación en plazo de la denuncia o querella”. A partir de ello, se razona que al haberse cometido el delito el 13 de agosto de 2004 y siendo el plazo de prescripción de cinco años, dicho plazo no había transcurrido todavía cuando se presentó la denuncia ante la policía el 7 de agosto de 2009, lo que fue convalidado retroactivamente con la posterior decisión judicial de incoación de las diligencias previas.</w:t>
      </w:r>
    </w:p>
    <w:p w:rsidR="00163957" w:rsidRDefault="00163957" w:rsidP="00163957">
      <w:pPr>
        <w:pStyle w:val="TextoNormal"/>
      </w:pPr>
    </w:p>
    <w:p w:rsidR="00163957" w:rsidRDefault="00163957" w:rsidP="00163957">
      <w:pPr>
        <w:pStyle w:val="TextoNormal"/>
      </w:pPr>
      <w:r w:rsidRPr="00163957">
        <w:rPr>
          <w:rStyle w:val="NumeroAFNegritaCaracter"/>
        </w:rPr>
        <w:t>3</w:t>
      </w:r>
      <w:r>
        <w:t>. Los recurrentes alegan que las resoluciones judiciales impugnadas han vulnerado su derecho a la tutela judicial efectiva (art. 24.1 CE), en relación con el derecho a la libertad personal (art. 17.1 CE), al haber interpretado y aplicado la institución de la prescripción del delito de forma contraria a una reiterada doctrina constitucional que establece que, de conformidad con la redacción del art. 132.2 CP previa a su reforma por la Ley Orgánica 5/2010, no tiene efecto interruptor de la prescripción la mera presentación de una demanda o querella, sino que es necesario un acto judicial. Los recurrentes también invocan el derecho a la presunción de inocencia (art. 24.2 CE) al entender que no había quedado acreditado el elemento subjetivo del delito de estafa.</w:t>
      </w:r>
    </w:p>
    <w:p w:rsidR="00163957" w:rsidRDefault="00163957" w:rsidP="00163957">
      <w:pPr>
        <w:pStyle w:val="TextoNormal"/>
      </w:pPr>
    </w:p>
    <w:p w:rsidR="00163957" w:rsidRDefault="00163957" w:rsidP="00163957">
      <w:pPr>
        <w:pStyle w:val="TextoNormal"/>
      </w:pPr>
      <w:r>
        <w:t>Los recurrentes justifican la especial trascendencia constitucional del recurso poniendo de manifiesto, entre otros extremos, que la decisión judicial impugnada supone una negativa manifiesta al deber de acatamiento de la doctrina del Tribunal Constitucional [STC 155/2009, de 25 de junio, FJ 2 f)], en relación con una jurisprudencia establecida en numerosas sentencias, que tiene su origen en la STC 63/2005, de 14 de marzo.</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La Sala Primera de este Tribunal, por providencia de 13 de abril de 2015, acordó admitir a trámite la demanda de amparo apreciando que concurre una especial trascendencia constitucional como consecuencia de que la doctrina de este Tribunal sobre el derecho fundamental que se alega podría estar siendo incumplida de modo general o reiterado por la jurisdicción ordinaria [STC 155/2009, FJ 2 e)]; y, en aplicación de lo dispuesto en el art. 51 de la Ley Orgánica del Tribunal Constitucional (LOTC), requerir a los órganos judiciales la remisión del testimonio de las actuaciones y el emplazamiento de quienes hubieran sido parte en el procedimiento, a excepción del recurrente, para que pudiesen comparecer en el </w:t>
      </w:r>
      <w:r>
        <w:lastRenderedPageBreak/>
        <w:t>plazo de diez días en el proceso de amparo. Igualmente, se acordó formar la correspondiente pieza separada de suspensión, en la que, tras los trámites oportunos, se acordó por ATC 94/2015, de 25 de mayo, acceder a la suspensión solicitada en relación con las penas de prisión y accesorias.</w:t>
      </w:r>
    </w:p>
    <w:p w:rsidR="00163957" w:rsidRDefault="00163957" w:rsidP="00163957">
      <w:pPr>
        <w:pStyle w:val="TextoNormal"/>
      </w:pPr>
    </w:p>
    <w:p w:rsidR="00163957" w:rsidRDefault="00163957" w:rsidP="00163957">
      <w:pPr>
        <w:pStyle w:val="TextoNormal"/>
      </w:pPr>
      <w:r w:rsidRPr="00163957">
        <w:rPr>
          <w:rStyle w:val="NumeroAFNegritaCaracter"/>
        </w:rPr>
        <w:t>5</w:t>
      </w:r>
      <w:r>
        <w:t>. La Secretaría de Justicia de la Sala Primera de este Tribunal, por diligencia de ordenación de 6 de julio de 2015, acordó tener por recibido el testimonio de las actuaciones, por personado y parte a la Procuradora de los Tribunales doña Ana Dolores Leal Labrador, en nombre y representación de don Alejandro Benjamín Levy y doña Susana Elba Yamplosky, y dar vista de las actuaciones al Ministerio Fiscal y a las partes personadas por un plazo común de veinte días para presentar las alegaciones que estimasen pertinentes, de conformidad con el art. 52 LOTC.</w:t>
      </w:r>
    </w:p>
    <w:p w:rsidR="00163957" w:rsidRDefault="00163957" w:rsidP="00163957">
      <w:pPr>
        <w:pStyle w:val="TextoNormal"/>
      </w:pPr>
    </w:p>
    <w:p w:rsidR="00163957" w:rsidRDefault="00163957" w:rsidP="00163957">
      <w:pPr>
        <w:pStyle w:val="TextoNormal"/>
      </w:pPr>
      <w:r w:rsidRPr="00163957">
        <w:rPr>
          <w:rStyle w:val="NumeroAFNegritaCaracter"/>
        </w:rPr>
        <w:t>6</w:t>
      </w:r>
      <w:r>
        <w:t>. La parte comparecida, en escrito registrado el 4 de septiembre de 2015, formula sus alegaciones solicitando que se desestime íntegramente el recurso de amparo interpuesto por considerar que la interpretación judicial aplicada para entender interrumpido el plazo de prescripción es respetuosa con el derecho fundamental invocado y que tampoco concurre la vulneración aducida del derecho a la presunción de inocencia, al haberse fundamentad la condena en prueba de cargo válida.</w:t>
      </w:r>
    </w:p>
    <w:p w:rsidR="00163957" w:rsidRDefault="00163957" w:rsidP="00163957">
      <w:pPr>
        <w:pStyle w:val="TextoNormal"/>
      </w:pPr>
    </w:p>
    <w:p w:rsidR="00163957" w:rsidRDefault="00163957" w:rsidP="00163957">
      <w:pPr>
        <w:pStyle w:val="TextoNormal"/>
      </w:pPr>
      <w:r w:rsidRPr="00163957">
        <w:rPr>
          <w:rStyle w:val="NumeroAFNegritaCaracter"/>
        </w:rPr>
        <w:t>7</w:t>
      </w:r>
      <w:r>
        <w:t>. El Ministerio Fiscal, en escrito registrado el 30 de julio de 2015, interesa que se otorgue el amparo, se declare vulnerado el derecho a la tutela judicial efectiva de los recurrentes y se anulen las resoluciones judiciales impugnadas.</w:t>
      </w:r>
    </w:p>
    <w:p w:rsidR="00163957" w:rsidRDefault="00163957" w:rsidP="00163957">
      <w:pPr>
        <w:pStyle w:val="TextoNormal"/>
      </w:pPr>
    </w:p>
    <w:p w:rsidR="00163957" w:rsidRDefault="00163957" w:rsidP="00163957">
      <w:pPr>
        <w:pStyle w:val="TextoNormal"/>
      </w:pPr>
      <w:r>
        <w:t>El Ministerio Fiscal argumenta que existe una muy consolidada jurisprudencia constitucional sobre la interpretación de la interrupción del plazo de prescripción en aplicación del art. 132.2 CP, en su redacción previa a la reforma operada por la Ley Orgánica 5/2010, conforme a la cual no cabe entender que la mera presentación de una denuncia o querella sea suficiente para producir el efecto interruptor. En relación con ello, afirma que en las resoluciones impugnadas, al insistir en que se ha interrumpido el plazo de prescripción con la denuncia de los recurrentes, se incurre en un manifiesto desconocimiento del deber de acatamiento de la doctrina del Tribunal Constitucional y de ello deriva la consiguiente lesión del derecho a la tutela judicial efectiva de los demandantes (art. 24.1 CE). Subsidiariamente, considera que la vulneración aducida del derecho a la presunción de inocencia (art. 24.2 CE) está incursa en causa de inadmisión por falta de agotamiento, ya que no se invocó en el recurso de apelación y, además, no concurre pues la condena se fundamentó en prueba de cargo suficiente.</w:t>
      </w:r>
    </w:p>
    <w:p w:rsidR="00163957" w:rsidRDefault="00163957" w:rsidP="00163957">
      <w:pPr>
        <w:pStyle w:val="TextoNormal"/>
      </w:pPr>
    </w:p>
    <w:p w:rsidR="00163957" w:rsidRDefault="00163957" w:rsidP="00163957">
      <w:pPr>
        <w:pStyle w:val="TextoNormal"/>
      </w:pPr>
      <w:r w:rsidRPr="00163957">
        <w:rPr>
          <w:rStyle w:val="NumeroAFNegritaCaracter"/>
        </w:rPr>
        <w:t>8</w:t>
      </w:r>
      <w:r>
        <w:t>. Los recurrentes no presentaron alegaciones.</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10 de marzo de 2016, se señaló para la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objeto de este recurso de amparo es determinar si vulnera el derecho de los recurrentes a la tutela judicial efectiva (art. 24.1 CE), en relación con su derecho a la libertad personal (art. 17.1 CE), la decisión judicial de no considerar prescrito el delito de estafa por el que han sido condenados, con fundamento en una interpretación y aplicación del art. 132.2 del Código penal (CP), en su redacción previa a la reforma operada por la Ley Orgánica 5/2010, de 22 de junio, conforme a la cual la mera presentación de una denuncia interrumpe la prescripción del delito, apartándose con ello de una jurisprudencia constitucional constante que tiene su origen en la STC 63/2005, de 14 de marzo.</w:t>
      </w:r>
    </w:p>
    <w:p w:rsidR="00163957" w:rsidRDefault="00163957" w:rsidP="00163957">
      <w:pPr>
        <w:pStyle w:val="TextoNormal"/>
      </w:pPr>
    </w:p>
    <w:p w:rsidR="00163957" w:rsidRDefault="00163957" w:rsidP="00163957">
      <w:pPr>
        <w:pStyle w:val="TextoNormal"/>
      </w:pPr>
      <w:r>
        <w:t>La demanda de amparo ha sido admitida a trámite por apreciar que concurre una especial trascendencia constitucional como consecuencia de que la doctrina de este Tribunal sobre el derecho fundamental que se alega podría estar siendo incumplida de modo general o reiterado por la jurisdicción ordinaria [STC 155/2009, FJ 2 e)].</w:t>
      </w:r>
    </w:p>
    <w:p w:rsidR="00163957" w:rsidRDefault="00163957" w:rsidP="00163957">
      <w:pPr>
        <w:pStyle w:val="TextoNormal"/>
      </w:pPr>
    </w:p>
    <w:p w:rsidR="00163957" w:rsidRDefault="00163957" w:rsidP="00163957">
      <w:pPr>
        <w:pStyle w:val="TextoNormal"/>
      </w:pPr>
      <w:r w:rsidRPr="00163957">
        <w:rPr>
          <w:rStyle w:val="NumeroAFNegritaCaracter"/>
        </w:rPr>
        <w:t>2</w:t>
      </w:r>
      <w:r>
        <w:t>. El Tribunal ha reiterado, desde la STC 63/2005, de 14 de marzo, FJ 8, que el art. 132.2 del Código penal (CP), en la redacción vigente en el momento en que se cometieron los hechos que dieron lugar a las resoluciones impugnadas (en la que se disponía que la prescripción “se interrumpirá, quedando sin efecto el tiempo transcurrido cuando el procedimiento se dirija contra el culpable”) debe ser interpretado en el sentido de entender que la querella o denuncia es una solicitud de iniciación del procedimiento, pero no un procedimiento ya iniciado, por lo que no tienen por sí solas eficacia para interrumpir el cómputo del plazo de prescripción y que es necesario un “acto de interposición judicial” o de “dirección procesal del procedimiento contra el culpable”. En consecuencia, la interpretación del art. 132.2 CP, en el sentido de que la simple presentación de una denuncia o querella, sin que medie ningún acto de interposición judicial, interrumpe el plazo de prescripción, no respeta las exigencias de tutela reforzada, al no tomar en consideración, ni las exigencias derivadas de la seguridad jurídica, ni el fundamento de la institución, ni la implicación del derecho a la libertad (art. 17.1 CE).</w:t>
      </w:r>
    </w:p>
    <w:p w:rsidR="00163957" w:rsidRDefault="00163957" w:rsidP="00163957">
      <w:pPr>
        <w:pStyle w:val="TextoNormal"/>
      </w:pPr>
    </w:p>
    <w:p w:rsidR="00163957" w:rsidRDefault="00163957" w:rsidP="00163957">
      <w:pPr>
        <w:pStyle w:val="TextoNormal"/>
      </w:pPr>
      <w:r>
        <w:t>En relación con ello, este Tribunal, en los casos en que se han producido pronunciamientos judiciales contrarios a esta interpretación, ha concluido que tales pronunciamientos incurren en manifiesto desconocimiento del deber de acatamiento de la doctrina del Tribunal Constitucional, lo cual supone una quiebra patente del mandato recogido en el art. 5.1 de la Ley Orgánica del Poder Judicial, de la que deriva la consiguiente lesión del derecho a la tutela judicial efectiva consagrado en el art. 24.1 CE (así, SSTC 147/2009, de 15 de junio, FJ 2; 195/2009, de 28 de septiembre, FJ 5; 206/2009, de 23 de noviembre, FJ 3; 59/2010, de 4 de octubre, FJ 4; 95/2010, de 15 de noviembre, FJ 5; y 133/2011, de 18 de julio, FJ 3; 1/2013, de 14 de enero; FJ 3; 2/2013, de 14 de enero; FJ 7, y 32/2013, de 11 de febrero, FJ 4).</w:t>
      </w:r>
    </w:p>
    <w:p w:rsidR="00163957" w:rsidRDefault="00163957" w:rsidP="00163957">
      <w:pPr>
        <w:pStyle w:val="TextoNormal"/>
      </w:pPr>
    </w:p>
    <w:p w:rsidR="00163957" w:rsidRDefault="00163957" w:rsidP="00163957">
      <w:pPr>
        <w:pStyle w:val="TextoNormal"/>
      </w:pPr>
      <w:r w:rsidRPr="00163957">
        <w:rPr>
          <w:rStyle w:val="NumeroAFNegritaCaracter"/>
        </w:rPr>
        <w:t>3</w:t>
      </w:r>
      <w:r>
        <w:t>. En el presente caso, tal como se ha expuesto más ampliamente en los antecedentes, ha quedado acreditado que las resoluciones judiciales impugnadas han concluido que el delito de estafa por el que han sido condenados los recurrentes no había prescrito con el único argumento de que la presentación de la denuncia por parte de los perjudicados produjo la interrupción de la prescripción.</w:t>
      </w:r>
    </w:p>
    <w:p w:rsidR="00163957" w:rsidRDefault="00163957" w:rsidP="00163957">
      <w:pPr>
        <w:pStyle w:val="TextoNormal"/>
      </w:pPr>
    </w:p>
    <w:p w:rsidR="00163957" w:rsidRDefault="00163957" w:rsidP="00163957">
      <w:pPr>
        <w:pStyle w:val="TextoNormal"/>
      </w:pPr>
      <w:r>
        <w:t>Por tanto, tal como también solicita el Ministerio Fiscal, la negativa manifiesta al deber de acatamiento de esta concreta jurisprudencia constitucional por parte de las resoluciones impugnadas es determinante para que se otorgue el amparo por la vulneración del derecho a la tutela judicial efectiva (art. 24.1 CE), para cuyo restablecimiento es preciso la anulación de las resoluciones impugnadas.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don Florentino Renedo García y doña Rosa María Bahillo Lomas y, en su virtud:</w:t>
      </w:r>
    </w:p>
    <w:p w:rsidR="00163957" w:rsidRDefault="00163957" w:rsidP="00163957">
      <w:pPr>
        <w:pStyle w:val="TextoNormal"/>
      </w:pPr>
    </w:p>
    <w:p w:rsidR="00163957" w:rsidRDefault="00163957" w:rsidP="00163957">
      <w:pPr>
        <w:pStyle w:val="TextoNormal"/>
      </w:pPr>
      <w:r>
        <w:t>1º Declarar que ha sido vulnerado el derecho fundamental de los demandantes de amparo a la tutela judicial efectiva (art. 24.1 CE).</w:t>
      </w:r>
    </w:p>
    <w:p w:rsidR="00163957" w:rsidRDefault="00163957" w:rsidP="00163957">
      <w:pPr>
        <w:pStyle w:val="TextoNormal"/>
      </w:pPr>
    </w:p>
    <w:p w:rsidR="00163957" w:rsidRDefault="00163957" w:rsidP="00163957">
      <w:pPr>
        <w:pStyle w:val="TextoNormal"/>
      </w:pPr>
      <w:r>
        <w:t>2º Restablecerles en su derecho y, en consecuencia, declarar la nulidad de la Sentencia del Juzgado de lo Penal núm. 1 de Palencia de 4 de noviembre de 2013, dictada en el procedimiento abreviado núm. 495-2012 y de la Sentencia de la Audiencia Provincial de Palencia de 22 de julio de 2014, por la que se desestima el recurso de apelación núm. 15-2014.</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55" w:name="SENTENCIA_2016_52"/>
      <w:r>
        <w:lastRenderedPageBreak/>
        <w:t>SENTENCIA 52/2016, de 14 de marzo de 2016</w:t>
      </w:r>
    </w:p>
    <w:bookmarkEnd w:id="55"/>
    <w:p w:rsidR="00163957" w:rsidRDefault="00163957" w:rsidP="00163957">
      <w:pPr>
        <w:pStyle w:val="TtuloResolucin"/>
      </w:pPr>
      <w:r>
        <w:t>Sala Segunda</w:t>
      </w:r>
    </w:p>
    <w:p w:rsidR="00163957" w:rsidRDefault="00163957" w:rsidP="00163957">
      <w:pPr>
        <w:pStyle w:val="TtuloBOE"/>
      </w:pPr>
      <w:r>
        <w:t>(BOE núm. 97, de 22 de abril de 2016)</w:t>
      </w:r>
    </w:p>
    <w:p w:rsidR="00163957" w:rsidRDefault="00163957" w:rsidP="00163957">
      <w:pPr>
        <w:pStyle w:val="TextoNormalCentrado"/>
      </w:pPr>
      <w:r>
        <w:t>ECLI:ES:TC:2016:52</w:t>
      </w:r>
    </w:p>
    <w:p w:rsidR="00163957" w:rsidRDefault="00163957" w:rsidP="00163957">
      <w:pPr>
        <w:pStyle w:val="TextoNormalCentrado"/>
      </w:pPr>
    </w:p>
    <w:p w:rsidR="00163957" w:rsidRDefault="00163957" w:rsidP="00163957">
      <w:pPr>
        <w:pStyle w:val="SntesisDescriptiva"/>
      </w:pPr>
      <w:r>
        <w:t>Cuestión de inconstitucionalidad 4183-2015. Planteada por el Juzgado de lo Contencioso-Administrativo número 1 de Algeciras en relación con el artículo 2.1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extinción, por pérdida de objeto, de la cuestión de inconstitucionalidad (STC 83/2015).</w:t>
      </w:r>
    </w:p>
    <w:p w:rsidR="00163957" w:rsidRDefault="00163957" w:rsidP="00163957">
      <w:pPr>
        <w:pStyle w:val="SntesisAnaltica"/>
      </w:pPr>
    </w:p>
    <w:p w:rsidR="00163957" w:rsidRDefault="00163957" w:rsidP="00163957">
      <w:pPr>
        <w:pStyle w:val="Extracto"/>
      </w:pPr>
      <w:r>
        <w:t>1.</w:t>
      </w:r>
      <w:r>
        <w:tab/>
        <w:t>sunto sustancialmente idéntico al resuelto por la STC 83/2015, relativa a la doctrina sobre la desaparición sobrevenida de objeto de la cuestión de inconstitucionalidad como consecuencia de la satisfacción extraprocesal de la pretensión [FFJJ 2,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4183-2015, promovida por el Juzgado de lo Contencioso-Administrativo número 1 de Algeciras en relación con el art. 2.1 del Real Decreto-ley 20/2012, de 13 de julio, de medidas para garantizar la estabilidad presupuestaria y de fomento de la competitividad. Han intervenido y formulado alegaciones el Gobierno y el Fiscal General del Estado. Ha sido Ponente el Magistrado don Pedro José González-Trevijano Sánchez,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14 de julio de 2015 tuvo entrada en el Registro General de este Tribunal escrito del Juzgado de lo Contencioso-Administrativo número 1 de Algeciras al que se acompaña, junto con el testimonio del procedimiento abreviado 240-2014, el Auto de 8 de julio de 2015 por el que se acuerda plantear cuestión de inconstitucionalidad en relación con el art. 2.1 del Real Decreto-ley 20/2012, de 13 de julio, de medidas para garantizar la estabilidad presupuestaria y de fomento de la competitividad, precepto que tiene el siguiente tenor:</w:t>
      </w:r>
    </w:p>
    <w:p w:rsidR="00163957" w:rsidRDefault="00163957" w:rsidP="00163957">
      <w:pPr>
        <w:pStyle w:val="TextoNormal"/>
      </w:pPr>
    </w:p>
    <w:p w:rsidR="00163957" w:rsidRDefault="00163957" w:rsidP="00163957">
      <w:pPr>
        <w:pStyle w:val="TextoNormal"/>
      </w:pPr>
      <w:r>
        <w:t>“En el año 2012 el personal del sector público definido en el artículo 22.Uno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que interesa destacar a los efectos de este proceso constitucional son los siguientes:</w:t>
      </w:r>
    </w:p>
    <w:p w:rsidR="00163957" w:rsidRDefault="00163957" w:rsidP="00163957">
      <w:pPr>
        <w:pStyle w:val="TextoNormal"/>
      </w:pPr>
    </w:p>
    <w:p w:rsidR="00163957" w:rsidRDefault="00163957" w:rsidP="00163957">
      <w:pPr>
        <w:pStyle w:val="TextoNormal"/>
      </w:pPr>
      <w:r>
        <w:t>a) El 25 de noviembre de 2013, don E.R.M., médico en el área de Gestión Sanitaria del Campo de Gibraltar, organismo autónomo dependiente de la Junta de Andalucía, formuló recurso contencioso-administrativo contra la resolución de la dirección de gerencia del área de Gestión Sanitaria del Campo de Gibraltar, del Servicio Andaluz de Salud (SAS), de 16 septiembre de 2013, por la que se deniega el abono de la parte proporcional de la paga extraordinaria devengada desde el 1 de junio de hasta el 14 de julio de 2012. El único motivo de la demanda es precisamente la inconstitucionalidad por retroactividad de los arts. 2 y 3 del Real Decreto-ley 20/2012, por lo que solicita la declaración de nulidad de la Resolución y el abono de la parte proporcional de la paga correspondiente al mencionado período, más los intereses correspondientes, así como el planteamiento de cuestión de inconstitucionalidad en relación con el citado Real Decreto-ley, por vulneración del art. 9.3 CE.</w:t>
      </w:r>
    </w:p>
    <w:p w:rsidR="00163957" w:rsidRDefault="00163957" w:rsidP="00163957">
      <w:pPr>
        <w:pStyle w:val="TextoNormal"/>
      </w:pPr>
    </w:p>
    <w:p w:rsidR="00163957" w:rsidRDefault="00163957" w:rsidP="00163957">
      <w:pPr>
        <w:pStyle w:val="TextoNormal"/>
      </w:pPr>
      <w:r>
        <w:t>b) Admitida la demanda para su tramitación por las normas de procedimiento abreviado, por el Juzgado de lo Contencioso-Administrativo núm. 1 de Algeciras, se celebró la vista del procedimiento abreviado en fecha 19 de mayo de 2015, sin que conste su contenido por no haber sido adjuntado el testimonio de su grabación audiovisual.</w:t>
      </w:r>
    </w:p>
    <w:p w:rsidR="00163957" w:rsidRDefault="00163957" w:rsidP="00163957">
      <w:pPr>
        <w:pStyle w:val="TextoNormal"/>
      </w:pPr>
    </w:p>
    <w:p w:rsidR="00163957" w:rsidRDefault="00163957" w:rsidP="00163957">
      <w:pPr>
        <w:pStyle w:val="TextoNormal"/>
      </w:pPr>
      <w:r>
        <w:t>c) Conclusas las actuaciones, por providencia de 26 de mayo de 2015, el órgano judicial acordó, de conformidad con el art. 163 CE y el art. 35 de la Ley Orgánica del Tribunal Constitucional (LOTC), dar traslado a las partes y al Ministerio Fiscal para que en plazo de diez días aleguen lo que tengan por conveniente acerca de la posible inconstitucionalidad del art. 2.1 del Real Decreto-ley 20/2012, de 13 de julio, y de los arts. 7 y 9 de la Ley 3/2012, de 21 de septiembre, de la Comunidad Autónoma de Andalucía, en relación con el principio de irretroactividad de las disposiciones restrictivas de derechos individuales, reconocido en el art. 9.3 CE.</w:t>
      </w:r>
    </w:p>
    <w:p w:rsidR="00163957" w:rsidRDefault="00163957" w:rsidP="00163957">
      <w:pPr>
        <w:pStyle w:val="TextoNormal"/>
      </w:pPr>
    </w:p>
    <w:p w:rsidR="00163957" w:rsidRDefault="00163957" w:rsidP="00163957">
      <w:pPr>
        <w:pStyle w:val="TextoNormal"/>
      </w:pPr>
      <w:r>
        <w:t>d) El Ministerio Fiscal formuló alegaciones en fecha 1 de junio de 2015, en las que considera cumplidos los juicios de aplicabilidad y relevancia, y no se opone al planteamiento de la cuestión. No se formularon alegaciones por el recurrente ni por el Servicio Andaluz de Salud, declarándose la caducidad de su derecho por decreto de 12 de junio de 2015.</w:t>
      </w:r>
    </w:p>
    <w:p w:rsidR="00163957" w:rsidRDefault="00163957" w:rsidP="00163957">
      <w:pPr>
        <w:pStyle w:val="TextoNormal"/>
      </w:pPr>
    </w:p>
    <w:p w:rsidR="00163957" w:rsidRDefault="00163957" w:rsidP="00163957">
      <w:pPr>
        <w:pStyle w:val="TextoNormal"/>
      </w:pPr>
      <w:r>
        <w:t>e) Por Auto de 8 de julio de 2015, el Juzgado acordó plantear la cuestión de inconstitucionalidad únicamente en relación con el art. 2.1 del Real Decreto-ley 20/2012.</w:t>
      </w:r>
    </w:p>
    <w:p w:rsidR="00163957" w:rsidRDefault="00163957" w:rsidP="00163957">
      <w:pPr>
        <w:pStyle w:val="TextoNormal"/>
      </w:pPr>
    </w:p>
    <w:p w:rsidR="00163957" w:rsidRDefault="00163957" w:rsidP="00163957">
      <w:pPr>
        <w:pStyle w:val="TextoNormal"/>
      </w:pPr>
      <w:r w:rsidRPr="00163957">
        <w:rPr>
          <w:rStyle w:val="NumeroAFNegritaCaracter"/>
        </w:rPr>
        <w:t>3</w:t>
      </w:r>
      <w:r>
        <w:t>. Del Auto de planteamiento interesa destacar lo siguiente:</w:t>
      </w:r>
    </w:p>
    <w:p w:rsidR="00163957" w:rsidRDefault="00163957" w:rsidP="00163957">
      <w:pPr>
        <w:pStyle w:val="TextoNormal"/>
      </w:pPr>
    </w:p>
    <w:p w:rsidR="00163957" w:rsidRDefault="00163957" w:rsidP="00163957">
      <w:pPr>
        <w:pStyle w:val="TextoNormal"/>
      </w:pPr>
      <w:r>
        <w:t xml:space="preserve">a) Tras exponer los antecedentes de hecho de la presente cuestión de inconstitucionalidad, afirma el Auto que constituye el objeto de la misma la resolución por la que se deniega </w:t>
      </w:r>
      <w:r>
        <w:lastRenderedPageBreak/>
        <w:t>la reclamación de las cuantías correspondientes a la parte proporcional de la paga extraordinaria de 2012, devengadas entre el 1 de junio y el 14 de julio de ese año, por personal estatutario del SAS. La única cuestión controvertida del litigio consiste en determinar si la aplicación que el SAS realiza del art. 2.1 del Real Decreto-ley 20/2012, denegando el abono de la cantidad reclamada, fue conforme a derecho, o si, por el contrario, tal norma debió aplicarse interpretando que la parte trabajada entre el 1de junio y el 14 de julio de 2012, correspondía a una parte de la paga extraordinaria de 2012 ya devengada, siendo un derecho consolidado, cuya supresión con carácter retroactivo no contempla el Real Decreto-ley 20/2012, por no disponerlo de manera expresa ni en sus disposiciones transitorias ni en su disposición final decimoquinta, en donde se manifiesta que la norma entrará en vigor el día siguiente al de su publicación.</w:t>
      </w:r>
    </w:p>
    <w:p w:rsidR="00163957" w:rsidRDefault="00163957" w:rsidP="00163957">
      <w:pPr>
        <w:pStyle w:val="TextoNormal"/>
      </w:pPr>
    </w:p>
    <w:p w:rsidR="00163957" w:rsidRDefault="00163957" w:rsidP="00163957">
      <w:pPr>
        <w:pStyle w:val="TextoNormal"/>
      </w:pPr>
      <w:r>
        <w:t>b) Afirma el Auto que, siendo pacífica la jurisprudencia acerca de la naturaleza de salario diferido de las pagas extraordinarias, devengándose día a día, conforme se realiza la prestación que se remunera con esa retribución, surgen las dudas de constitucionalidad en relación con el art. 2.1 del Real Decreto-ley, por poder contener tal precepto un mandato de aplicación retroactiva, contrario a lo dispuesto en el art. 9.3 CE. Considera que, en virtud del principio de irretroactividad de las disposiciones restrictivas de derechos individuales reconocido en el art. 9.3 CE; del art. 2.3 del Código civil (“las leyes no tendrán efecto retroactivo si no dispusieren lo contrario”) y del art. 5.3 de la Ley Orgánica 6/1985, del Poder Judicial (“procederá el planteamiento de la cuestión de inconstitucionalidad cuando por vía interpretativa no sea posible la acomodación de la norma al ordenamiento constitucional”) resultaría conforme a derecho una interpretación no retroactiva del citado art. 2.1, en virtud de la cual se entendiese que la paga extra suprimida no alcanza a las cantidades devengadas con anterioridad a la entrada en vigor del Real Decreto-ley.</w:t>
      </w:r>
    </w:p>
    <w:p w:rsidR="00163957" w:rsidRDefault="00163957" w:rsidP="00163957">
      <w:pPr>
        <w:pStyle w:val="TextoNormal"/>
      </w:pPr>
    </w:p>
    <w:p w:rsidR="00163957" w:rsidRDefault="00163957" w:rsidP="00163957">
      <w:pPr>
        <w:pStyle w:val="TextoNormal"/>
      </w:pPr>
      <w:r>
        <w:t>c) Sin embargo —prosigue el Auto— dicha interpretación es difícilmente defendible, tras la aprobación de la Ley 36/2014, de 26 de diciembre, de presupuestos generales del Estado para el año 2015, cuya disposición adicional decimosegunda contempla la recuperación de la paga extraordinaria y adicional del mes de diciembre de 2012, en los términos allí definidos. Y recuerda también la reciente STC 83/2015, en relación a una cuestión de inconstitucionalidad formulada por la Sala de lo Social de la Audiencia Nacional, ante la duda de una posible infracción del principio de irretroactividad del art. 9.3 CE por el art. 2.1 del Real Decreto-ley 20/2012, pronunciamiento del que puede extraerse una interpretación auténtica del carácter retroactivo del art. 2.1 del Real Decreto-ley 20/2012, realizada por el legislador estatal en la disposición adicional decimosegunda de la Ley 36/2014, que permite concluir que el citado precepto suprimió, con carácter retroactivo, con efectos de 1 de junio de 2012, la paga extraordinaria de los empleados del sector público de todas las Administraciones públicas, en posible contravención con el principio de irretroactividad reconocido en el art. 9.3 CE, lo que evidencia la relevancia constitucional de la cuestión. Constata además que no se ha acordado la recuperación de tal paga respecto del personal estatutario del Servicio Andaluz de Salud, al que pertenece el actor del pleito del que trae causa este incidente.</w:t>
      </w:r>
    </w:p>
    <w:p w:rsidR="00163957" w:rsidRDefault="00163957" w:rsidP="00163957">
      <w:pPr>
        <w:pStyle w:val="TextoNormal"/>
      </w:pPr>
    </w:p>
    <w:p w:rsidR="00163957" w:rsidRDefault="00163957" w:rsidP="00163957">
      <w:pPr>
        <w:pStyle w:val="TextoNormal"/>
      </w:pPr>
      <w:r>
        <w:t>Concluye el Auto rechazando el planteamiento de la cuestión en relación con los arts. 7 y 9 de la Ley 3/2012, de 21 de septiembre, vigente desde el 2 de octubre, por considerar que no es en estos preceptos donde se fundamenta la supresión de la paga extraordinaria.</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4</w:t>
      </w:r>
      <w:r>
        <w:t>. Por providencia de 22 de septiembre de 2015, el Pleno del Tribunal, a propuesta de la Sección Tercera, acordó admitir a trámite la cuestión de inconstitucionalidad planteada y, de conformidad con lo dispuesto en el artículo 10.1 c) LOTC, deferir a la Sala Segunda a la que por turno objetivo le ha correspondido, el conocimiento de la presente cuestión, así como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de conformidad con el art. 35.3 LOTC. Y se ordenó, por último, la publicación de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presentado en el Registro General de este Tribunal el 30 de septiembre de 2015, el Presidente del Senado comunicó el acuerdo de la Mesa de la Cámara de personarse en el presente proceso constitucional, ofreciendo su colaboración a los efectos del art. 88.1 LOTC.</w:t>
      </w:r>
    </w:p>
    <w:p w:rsidR="00163957" w:rsidRDefault="00163957" w:rsidP="00163957">
      <w:pPr>
        <w:pStyle w:val="TextoNormal"/>
      </w:pPr>
    </w:p>
    <w:p w:rsidR="00163957" w:rsidRDefault="00163957" w:rsidP="00163957">
      <w:pPr>
        <w:pStyle w:val="TextoNormal"/>
      </w:pPr>
      <w:r>
        <w:t>Asimismo, y mediante escrito presentado en el Registro General de este Tribunal el 1 de octubre de 2015, el Presidente del Congreso de los Diputados comunicó la decisión de la Mesa de esa Cámara de personarse en el presente proceso constitucional,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Abogado del Estado, mediante escrito de alegaciones registrado el 30 de septiembre de 2015, se personó en el presente proceso constitucional interesando la desestimación de la cuestión de inconstitucionalidad por las razones que, resumidamente, se exponen a continuación.</w:t>
      </w:r>
    </w:p>
    <w:p w:rsidR="00163957" w:rsidRDefault="00163957" w:rsidP="00163957">
      <w:pPr>
        <w:pStyle w:val="TextoNormal"/>
      </w:pPr>
    </w:p>
    <w:p w:rsidR="00163957" w:rsidRDefault="00163957" w:rsidP="00163957">
      <w:pPr>
        <w:pStyle w:val="TextoNormal"/>
      </w:pPr>
      <w:r>
        <w:t>Comienza señalando que aunque el Auto de planteamiento cuestiona la totalidad del art. 2.1 del Real Decreto-ley 20/2012, sin embargo no cuestiona genéricamente la supresión de la paga extraordinaria de diciembre de 2012 contenida en aquel precepto, sino que tan solo reprocha al legislador que no haya incluido una disposición transitoria por la cual se hubiera exceptuado de la mencionada supresión la parte proporcional de la paga extraordinaria que se entiende devengada del 1 de junio al 14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imposición al legislador, con respecto a su libertad de configuración, de establecimiento de una expresa excepción a la supresión de la paga extraordinaria, de la parte proporcional al tiempo que va entre el 1 de junio y el 14 de julio de 2012.</w:t>
      </w:r>
    </w:p>
    <w:p w:rsidR="00163957" w:rsidRDefault="00163957" w:rsidP="00163957">
      <w:pPr>
        <w:pStyle w:val="TextoNormal"/>
      </w:pPr>
    </w:p>
    <w:p w:rsidR="00163957" w:rsidRDefault="00163957" w:rsidP="00163957">
      <w:pPr>
        <w:pStyle w:val="TextoNormal"/>
      </w:pPr>
      <w: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Indica, en tal sentido, que una norma que aspira a la contención del gasto de personal (como principal componente del gasto público) no es ni una norma sancionadora, ni una </w:t>
      </w:r>
      <w:r>
        <w:lastRenderedPageBreak/>
        <w:t>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163957" w:rsidRDefault="00163957" w:rsidP="00163957">
      <w:pPr>
        <w:pStyle w:val="TextoNormal"/>
      </w:pPr>
    </w:p>
    <w:p w:rsidR="00163957" w:rsidRDefault="00163957" w:rsidP="00163957">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al 14 de julio, “estaba ya consolidado, asumido e integrado en el patrimonio de los trabajadores” cuando entró en vigor el Real Decreto-ley 20/2012, o si, por el contrario, se trataba de una expectativa de derecho o de un derecho futuro o condicionado. Y al respecto, considera que para el personal estatutario de los servicios de salud, al que resulta aplicable la normativa de los funcionarios a tenor del art. 14 de la Ley 7/2007, de 12 de abril, del estatuto básico del empleado público, el derecho a la paga extraordinaria, en la cuantía fijada en la Ley de presupuestos (art. 21), solo nace el primer día hábil de diciembre (art. 22.4). De modo que durante los meses de junio y julio de 2012 no había nacido este derecho.</w:t>
      </w:r>
    </w:p>
    <w:p w:rsidR="00163957" w:rsidRDefault="00163957" w:rsidP="00163957">
      <w:pPr>
        <w:pStyle w:val="TextoNormal"/>
      </w:pPr>
    </w:p>
    <w:p w:rsidR="00163957" w:rsidRDefault="00163957" w:rsidP="00163957">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general”.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163957" w:rsidRDefault="00163957" w:rsidP="00163957">
      <w:pPr>
        <w:pStyle w:val="TextoNormal"/>
      </w:pPr>
    </w:p>
    <w:p w:rsidR="00163957" w:rsidRDefault="00163957" w:rsidP="00163957">
      <w:pPr>
        <w:pStyle w:val="TextoNormal"/>
      </w:pPr>
      <w:r>
        <w:t xml:space="preserve">En tal sentido, se hace referencia a lo indicado al respecto en el preámbulo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w:t>
      </w:r>
      <w:r>
        <w:lastRenderedPageBreak/>
        <w:t>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163957" w:rsidRDefault="00163957" w:rsidP="00163957">
      <w:pPr>
        <w:pStyle w:val="TextoNormal"/>
      </w:pPr>
    </w:p>
    <w:p w:rsidR="00163957" w:rsidRDefault="00163957" w:rsidP="00163957">
      <w:pPr>
        <w:pStyle w:val="TextoNormal"/>
      </w:pPr>
      <w:r>
        <w:t>Finalmente, alude a la estabilidad presupuestaria consagrada en el art. 135.1 CE y a la obligación de las Comunidades Autónomas de aplicar este principio (at. 135.6). Por todo ello, interesa la desestimación de la cuestión de inconstitucionalidad suscitada.</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registrado en este Tribunal el 22 de octubre de 2015, la Fiscal General del Estado evacuó el trámite de alegaciones, solicitando la declaración de inconstitucionalidad del precepto cuestionado por considerarlo contrario al principio de irretroactividad de las disposiciones restrictivas de derechos individuales que garantiza el art. 9.3 CE. Hace especial mención a que, a pesar de lo previsto en la disposición adicional duodécima de la Ley 36/2014, de 26 de diciembre, de presupuestos generales del Estado para el año 2015, acerca de la recuperación de la paga extraordinaria de diciembre de 2012 por el personal del sector público, la Junta de Andalucía no ha acordado la recuperación de la citada paga extraordinaria para el personal del SAS.</w:t>
      </w:r>
    </w:p>
    <w:p w:rsidR="00163957" w:rsidRDefault="00163957" w:rsidP="00163957">
      <w:pPr>
        <w:pStyle w:val="TextoNormal"/>
      </w:pPr>
    </w:p>
    <w:p w:rsidR="00163957" w:rsidRDefault="00163957" w:rsidP="00163957">
      <w:pPr>
        <w:pStyle w:val="TextoNormal"/>
      </w:pPr>
      <w:r>
        <w:t>Con este presupuesto, la Fiscal considera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w:t>
      </w:r>
    </w:p>
    <w:p w:rsidR="00163957" w:rsidRDefault="00163957" w:rsidP="00163957">
      <w:pPr>
        <w:pStyle w:val="TextoNormal"/>
      </w:pPr>
    </w:p>
    <w:p w:rsidR="00163957" w:rsidRDefault="00163957" w:rsidP="00163957">
      <w:pPr>
        <w:pStyle w:val="TextoNormal"/>
      </w:pPr>
      <w:r>
        <w:t>Alcanzada la conclusión anterior, pasa a analizar si la norma cuestionada contiene un grado de retroactividad permitido por el art. 9.3 CE a la luz de la doctrina constitucional que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(Sala de lo Social), las gratificaciones extraordinarias se devengan día a día. A la vista de la interpretación de la legalidad ordinaria por el máximo órgano jurisdiccional a quien compete dicha función, resulta evidente, a juicio de la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w:t>
      </w:r>
    </w:p>
    <w:p w:rsidR="00163957" w:rsidRDefault="00163957" w:rsidP="00163957">
      <w:pPr>
        <w:pStyle w:val="TextoNormal"/>
      </w:pPr>
    </w:p>
    <w:p w:rsidR="00163957" w:rsidRDefault="00163957" w:rsidP="00163957">
      <w:pPr>
        <w:pStyle w:val="TextoNormal"/>
      </w:pPr>
      <w:r>
        <w:t xml:space="preserve">Además, entiende que el criterio del Auto de planteamiento tendría el respaldo de la Sentencia del Tribunal Europeo de Derecho Humanos de 14 de mayo de 2013 (caso </w:t>
      </w:r>
      <w:r w:rsidRPr="00163957">
        <w:rPr>
          <w:i/>
        </w:rPr>
        <w:t>N.K.M. c. Hungría</w:t>
      </w:r>
      <w:r>
        <w:t xml:space="preserve">),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w:t>
      </w:r>
      <w:r>
        <w:lastRenderedPageBreak/>
        <w:t>una “expectativa legítima” de que esta se realizará. Y entiende que en el caso ahora examinado sí existía esa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La Fiscal General del Estado concluye sus alegaciones precisando, en cuanto a los efectos de la hipotética declaración de inconstitucionalidad, que tratándose de un supuesto de retroactividad máxima en relación con derechos ya integrados en el patrimonio de sus titulares, el efecto en caso de una declaración de inconstitucionalidad habría de limitarse al período ya mencionado comprendido entre las fechas del 1de junio y el 14 de julio de 2012.</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10 de marzo de 2016 se acordó señalar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Juzgado de lo Contencioso-Administrativo núm. 1 de Algeciras plantea cuestión de inconstitucionalidad respecto del art. 2.1 del Real Decreto-ley 20/2012, de 13 de julio, de medidas para garantizar la estabilidad presupuestaria y de fomento de la competitividad, precepto que, en lo que aquí importa, dispone para todo el personal del sector público definido en el art. 22.1 de la Ley 2/2012, de presupuestos generales del Estado para 2012, la supresión de la paga extraordinaria y de la paga adicional de complemento específico o pagas adicionales equivalentes, del mes de diciembre de 2012.</w:t>
      </w:r>
    </w:p>
    <w:p w:rsidR="00163957" w:rsidRDefault="00163957" w:rsidP="00163957">
      <w:pPr>
        <w:pStyle w:val="TextoNormal"/>
      </w:pPr>
    </w:p>
    <w:p w:rsidR="00163957" w:rsidRDefault="00163957" w:rsidP="00163957">
      <w:pPr>
        <w:pStyle w:val="TextoNormal"/>
      </w:pPr>
      <w:r>
        <w:t xml:space="preserve">En síntesis, el Juzgado considera que el citado art. 2.1 del Real Decreto-ley 20/2012, en su aplicación al personal estatutario de los servicios de salud, categoría a la que pertenece el recurrente, puede vulnerar el principio constitucional de interdicción de la retroactividad de las disposiciones sancionadoras no favorables o restrictivas de derechos individuales, consagrado en el art. 9.3 CE, al no contemplar excepción alguna respecto de las cuantías ya devengadas al momento de la entrada en vigor del Real Decreto-ley 20/2012 (esto es, desde </w:t>
      </w:r>
      <w:r>
        <w:lastRenderedPageBreak/>
        <w:t xml:space="preserve">el 1 de junio al 14 de julio de 2012), que son las únicas que reclama el recurrente en el proceso </w:t>
      </w:r>
      <w:r w:rsidRPr="00163957">
        <w:rPr>
          <w:i/>
        </w:rPr>
        <w:t>a quo</w:t>
      </w:r>
      <w:r>
        <w:t>.</w:t>
      </w:r>
    </w:p>
    <w:p w:rsidR="00163957" w:rsidRDefault="00163957" w:rsidP="00163957">
      <w:pPr>
        <w:pStyle w:val="TextoNormal"/>
      </w:pPr>
    </w:p>
    <w:p w:rsidR="00163957" w:rsidRDefault="00163957" w:rsidP="00163957">
      <w:pPr>
        <w:pStyle w:val="TextoNormal"/>
      </w:pPr>
      <w:r>
        <w:t>En los términos en que han sido recogidos en los antecedentes de esta Sentencia, la Fiscal General del Estado coincide con el juicio de inconstitucionalidad formulado por el Auto de planteamiento de la cuestión, por lo que interesa la estimación de la misma, mientras que el Abogado del Estado solicita su desestimación.</w:t>
      </w:r>
    </w:p>
    <w:p w:rsidR="00163957" w:rsidRDefault="00163957" w:rsidP="00163957">
      <w:pPr>
        <w:pStyle w:val="TextoNormal"/>
      </w:pPr>
    </w:p>
    <w:p w:rsidR="00163957" w:rsidRDefault="00163957" w:rsidP="00163957">
      <w:pPr>
        <w:pStyle w:val="TextoNormal"/>
      </w:pPr>
      <w:r>
        <w:t>La presente cuestión de inconstitucionalidad ha sido planteada por el mismo órgano judicial, en relación con la misma disposición, y en base a idénticos argumentos, que los que motivaron la cuestión de inconstitucionalidad 4182-2015, resuelta por este Tribunal en la Sentencia 43/2016, de 3 de marzo, por lo que son trasladables al presente supuesto los argumentos contenidos en la misma.</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examen de fondo de la cuestión de inconstitucionalidad suscitada, es obligado detenerse a analizar si su objeto pervive.</w:t>
      </w:r>
    </w:p>
    <w:p w:rsidR="00163957" w:rsidRDefault="00163957" w:rsidP="00163957">
      <w:pPr>
        <w:pStyle w:val="TextoNormal"/>
      </w:pPr>
    </w:p>
    <w:p w:rsidR="00163957" w:rsidRDefault="00163957" w:rsidP="00163957">
      <w:pPr>
        <w:pStyle w:val="TextoNormal"/>
      </w:pPr>
      <w:r>
        <w:t>En este sentido, y aun conociendo lo resuelto por este Tribunal en casos similares desde la STC 83/2015, de 30 de abril, tanto el Juzgado promotor de la cuestión como la Fiscal General del Estado hacen especial hincapié en el Auto de planteamiento y en sus alegaciones, en que, en el ámbito de la Comunidad Autónoma de Andalucía no se ha producido ni acordado esa recuperación de las cuantías ya devengadas, para el personal del Servicio Andaluz de Salud, al que pertenece el recurrente. De ahí que sostengan ambos que pervive y es procedente esta concreta cuestión de inconstitucionalidad.</w:t>
      </w:r>
    </w:p>
    <w:p w:rsidR="00163957" w:rsidRDefault="00163957" w:rsidP="00163957">
      <w:pPr>
        <w:pStyle w:val="TextoNormal"/>
      </w:pPr>
    </w:p>
    <w:p w:rsidR="00163957" w:rsidRDefault="00163957" w:rsidP="00163957">
      <w:pPr>
        <w:pStyle w:val="TextoNormal"/>
      </w:pPr>
      <w:r>
        <w:t>Pues bien, esto, que era cierto en el momento de promoverse la cuestión de inconstitucionalidad y de evacuar sus alegaciones la Fiscal General del Estado, ya no lo es en el momento de dictarse esta Sentencia. Efectivamente, en virtud de la habilitación general contenida en la disposición adicional decimosegunda de la Ley 36/2014, de presupuestos generales del Estado para 2015, la Ley 1/2015, de 21 de diciembre, del presupuesto de la Comunidad Autónoma de Andalucía para el año 2016 ha previsto en su disposición adicional decimoquinta, bajo el epígrafe “recuperación de la paga extraordinaria y adicional, o importes equivalentes del mes de diciembre de 2012”, lo siguiente:</w:t>
      </w:r>
    </w:p>
    <w:p w:rsidR="00163957" w:rsidRDefault="00163957" w:rsidP="00163957">
      <w:pPr>
        <w:pStyle w:val="TextoNormal"/>
      </w:pPr>
    </w:p>
    <w:p w:rsidR="00163957" w:rsidRDefault="00163957" w:rsidP="00163957">
      <w:pPr>
        <w:pStyle w:val="TextoNormal"/>
      </w:pPr>
      <w:r>
        <w:t>“En la nómina del mes de febrero de 2016 se percibirá la parte proporcional correspondiente a los primeros 44 días de la paga extraordinaria, así como de la paga adicional del complemento específico o pagas adicionales, o importes equivalentes correspondientes al mes de diciembre de 2012, dejadas de percibir por aplicación del Real Decreto-ley 20/2012, de 13 de julio, de medidas para garantizar la estabilidad presupuestaria y de fomento de la competitividad, y de la disposición transitoria primera de la Ley 3/2012, de 21 de septiembre, de Medidas Fiscales, Administrativas, Laborales y en materia de Hacienda Pública para el reequilibrio económico-financiero de la Junta de Andalucía.</w:t>
      </w:r>
    </w:p>
    <w:p w:rsidR="00163957" w:rsidRDefault="00163957" w:rsidP="00163957">
      <w:pPr>
        <w:pStyle w:val="TextoNormal"/>
      </w:pPr>
    </w:p>
    <w:p w:rsidR="00163957" w:rsidRDefault="00163957" w:rsidP="00163957">
      <w:pPr>
        <w:pStyle w:val="TextoNormal"/>
      </w:pPr>
      <w:r>
        <w:t>La recuperación de las cuantías referidas en el párrafo anterior se establece de conformidad con lo dispuesto en la disposición adicional décima segunda de la Ley 36/2014, de 26 de diciembre, de Presupuestos Generales del Estado para el año 2015.</w:t>
      </w:r>
    </w:p>
    <w:p w:rsidR="00163957" w:rsidRDefault="00163957" w:rsidP="00163957">
      <w:pPr>
        <w:pStyle w:val="TextoNormal"/>
      </w:pPr>
    </w:p>
    <w:p w:rsidR="00163957" w:rsidRDefault="00163957" w:rsidP="00163957">
      <w:pPr>
        <w:pStyle w:val="TextoNormal"/>
      </w:pPr>
      <w:r>
        <w:lastRenderedPageBreak/>
        <w:t>Se habilita a la Consejería de Hacienda y Administración Pública para determinar los términos y condiciones de aplicación.</w:t>
      </w:r>
    </w:p>
    <w:p w:rsidR="00163957" w:rsidRDefault="00163957" w:rsidP="00163957">
      <w:pPr>
        <w:pStyle w:val="TextoNormal"/>
      </w:pPr>
    </w:p>
    <w:p w:rsidR="00163957" w:rsidRDefault="00163957" w:rsidP="00163957">
      <w:pPr>
        <w:pStyle w:val="TextoNormal"/>
      </w:pPr>
      <w:r>
        <w:t>Lo dispuesto en esta disposición adicional no será de aplicación a quienes hubieran percibido las retribuciones reguladas en la misma.”</w:t>
      </w:r>
    </w:p>
    <w:p w:rsidR="00163957" w:rsidRDefault="00163957" w:rsidP="00163957">
      <w:pPr>
        <w:pStyle w:val="TextoNormal"/>
      </w:pPr>
    </w:p>
    <w:p w:rsidR="00163957" w:rsidRDefault="00163957" w:rsidP="00163957">
      <w:pPr>
        <w:pStyle w:val="TextoNormal"/>
      </w:pPr>
      <w:r>
        <w:t>La aplicación efectiva de esta previsión se ordena en las instrucciones contenidas en la resolución de 30 de diciembre de 2015, de la Secretaría General para la Administración pública, publicada en el “Boletín Oficial de la Junta de Andalucía” núm. 4, de 8 de enero de 2016. Unas instrucciones que incluyen como “criterio general” el siguiente: “[d]e acuerdo con lo establecido en la disposición adicional decimoquinta de la Ley del Presupuesto de la Comunidad Autónoma de Andalucía para 2016, las cantidades que se pueden reconocer lo son en concepto de recuperación de los importes dejados de percibir como consecuencia de la supresión de la paga extraordinaria, paga adicional de complemento específico o pagas adicionales, o importes equivalentes correspondientes al mes de diciembre de 2012, por aplicación del Real Decreto-ley 20/2012, de 13 de julio. Y asimismo, los importes equivalentes, en el resto de situaciones previstas en la disposición transitoria primera de la Ley 3/2012, de 21 de septiembre” (apartado 2). Más en concreto, en relación con el personal “estatutario”, expresamente contemplado en el apartado 3 de las Instrucciones y que es el que aquí interesa, la Resolución dispone que “de acuerdo con lo establecido en la disposición adicional citada”, este personal “percibirá la parte proporcional correspondiente a los primeros 44 días de la paga extraordinaria y, en su caso, de la paga adicional o equivalentes del mes de diciembre de 2012 que fueron suprimidas”.</w:t>
      </w:r>
    </w:p>
    <w:p w:rsidR="00163957" w:rsidRDefault="00163957" w:rsidP="00163957">
      <w:pPr>
        <w:pStyle w:val="TextoNormal"/>
      </w:pPr>
    </w:p>
    <w:p w:rsidR="00163957" w:rsidRDefault="00163957" w:rsidP="00163957">
      <w:pPr>
        <w:pStyle w:val="TextoNormal"/>
      </w:pPr>
      <w:r w:rsidRPr="00163957">
        <w:rPr>
          <w:rStyle w:val="NumeroAFNegritaCaracter"/>
        </w:rPr>
        <w:t>3</w:t>
      </w:r>
      <w:r>
        <w:t>. Como consecuencia de lo señalado en la normativa citada, debemos remitirnos a lo razonado en la citada STC 83/2015, de 30 de abril, y en otras de la misma serie, acerca de la pérdida de objeto de cuestiones de inconstitucionalidad en las que se planteaba la misma duda de constitucionalidad que en ésta.</w:t>
      </w:r>
    </w:p>
    <w:p w:rsidR="00163957" w:rsidRDefault="00163957" w:rsidP="00163957">
      <w:pPr>
        <w:pStyle w:val="TextoNormal"/>
      </w:pPr>
    </w:p>
    <w:p w:rsidR="00163957" w:rsidRDefault="00163957" w:rsidP="00163957">
      <w:pPr>
        <w:pStyle w:val="TextoNormal"/>
      </w:pPr>
      <w:r>
        <w:t xml:space="preserve">En el fundamento jurídico tercero de esa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w:t>
      </w:r>
      <w:r w:rsidRPr="00163957">
        <w:rPr>
          <w:i/>
        </w:rPr>
        <w:t>a quo</w:t>
      </w:r>
      <w:r>
        <w:t>,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00163957" w:rsidRDefault="00163957" w:rsidP="00163957">
      <w:pPr>
        <w:pStyle w:val="TextoNormal"/>
      </w:pPr>
    </w:p>
    <w:p w:rsidR="00163957" w:rsidRDefault="00163957" w:rsidP="00163957">
      <w:pPr>
        <w:pStyle w:val="TextoNormal"/>
      </w:pPr>
      <w:r>
        <w:t>En la presente cuestión de inconstitucionalidad se plantea si la supresión del derecho de los funcionarios del Servicio Andaluz de Salud a percibir la parte proporcional (en concreto, 44 días) de la paga extra de diciembre de 2012, por entenderse ya devengada al momento de la entrada en vigor del Real Decreto-ley 20/2012, contraviene el art. 9.3 CE. En esos términos, es obligado concluir, como hicimos en la STC 83/2015, que “la recuperación por esos trabajadores [en este caso, personal estatutario] de la parte proporcional correspon</w:t>
      </w:r>
      <w:r>
        <w:lastRenderedPageBreak/>
        <w:t>diente a los primeros 44 días de la paga extra de diciembre de 2012”, en virtud de lo establecido en la citada disposición adicional decimoquinta de la Ley 1/2015, de 21 de diciembre, del presupuesto de la Comunidad Autónoma de Andalucía para el año 2016,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163957" w:rsidRDefault="00163957" w:rsidP="00163957">
      <w:pPr>
        <w:pStyle w:val="TextoNormal"/>
      </w:pPr>
    </w:p>
    <w:p w:rsidR="00163957" w:rsidRDefault="00163957" w:rsidP="00163957">
      <w:pPr>
        <w:pStyle w:val="TextoNormal"/>
      </w:pPr>
      <w:r>
        <w:t>En este mismo sentido, STC 141/2015, de 22 de junio, en relación con la Ley de presupuestos e instrucciones dictadas al efecto por la Comunidad Autónoma de la Región de Murcia; y STC 227/2015, de 2 de noviembre, sobre el personal estatutario de los servicios de salud.</w:t>
      </w:r>
    </w:p>
    <w:p w:rsidR="00163957" w:rsidRDefault="00163957" w:rsidP="00163957">
      <w:pPr>
        <w:pStyle w:val="TextoNormal"/>
      </w:pPr>
    </w:p>
    <w:p w:rsidR="00163957" w:rsidRDefault="00163957" w:rsidP="00163957">
      <w:pPr>
        <w:pStyle w:val="TextoNormal"/>
      </w:pPr>
      <w:r>
        <w:t>Conforme a lo expuesto, la regulación contenida en la citada disposición adicional decimoquinta de la Ley 1/2015, de 21 de diciembre, del presupuesto de la Comunidad Autónoma de Andalucía para el año 2016,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Declarar la extinción de la presente cuestión de inconstitucionalidad por pérdida sobrevenida de su objeto.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56" w:name="SENTENCIA_2016_53"/>
      <w:r>
        <w:lastRenderedPageBreak/>
        <w:t>SENTENCIA 53/2016, de 17 de marzo de 2016</w:t>
      </w:r>
    </w:p>
    <w:bookmarkEnd w:id="56"/>
    <w:p w:rsidR="00163957" w:rsidRDefault="00163957" w:rsidP="00163957">
      <w:pPr>
        <w:pStyle w:val="TtuloResolucin"/>
      </w:pPr>
      <w:r>
        <w:t>Pleno</w:t>
      </w:r>
    </w:p>
    <w:p w:rsidR="00163957" w:rsidRDefault="00163957" w:rsidP="00163957">
      <w:pPr>
        <w:pStyle w:val="TtuloBOE"/>
      </w:pPr>
      <w:r>
        <w:t>(BOE núm. 97, de 22 de abril de 2016)</w:t>
      </w:r>
    </w:p>
    <w:p w:rsidR="00163957" w:rsidRDefault="00163957" w:rsidP="00163957">
      <w:pPr>
        <w:pStyle w:val="TextoNormalCentrado"/>
      </w:pPr>
      <w:r>
        <w:t>ECLI:ES:TC:2016:53</w:t>
      </w:r>
    </w:p>
    <w:p w:rsidR="00163957" w:rsidRDefault="00163957" w:rsidP="00163957">
      <w:pPr>
        <w:pStyle w:val="TextoNormalCentrado"/>
      </w:pPr>
    </w:p>
    <w:p w:rsidR="00163957" w:rsidRDefault="00163957" w:rsidP="00163957">
      <w:pPr>
        <w:pStyle w:val="SntesisDescriptiva"/>
      </w:pPr>
      <w:r>
        <w:t>Conflicto positivo de competencia 2900-2011. Planteado por el Gobierno de la Generalitat de Cataluña en relación con diversos preceptos del Real Decreto 102/2011, de 28 de enero, relativo a la mejora de la calidad del aire.</w:t>
      </w:r>
    </w:p>
    <w:p w:rsidR="00163957" w:rsidRDefault="00163957" w:rsidP="00163957">
      <w:pPr>
        <w:pStyle w:val="SntesisDescriptiva"/>
      </w:pPr>
    </w:p>
    <w:p w:rsidR="00163957" w:rsidRDefault="00163957" w:rsidP="00163957">
      <w:pPr>
        <w:pStyle w:val="SntesisAnaltica"/>
      </w:pPr>
      <w:r>
        <w:t>Competencias sobre sanidad, servicio meteorológico y medio ambiente: constitucionalidad de los preceptos reglamentarios que atribuyen a la Administración del Estado el ejercicio de funciones ejecutivas. Votos particulares.</w:t>
      </w:r>
    </w:p>
    <w:p w:rsidR="00163957" w:rsidRDefault="00163957" w:rsidP="00163957">
      <w:pPr>
        <w:pStyle w:val="SntesisAnaltica"/>
      </w:pPr>
    </w:p>
    <w:p w:rsidR="00163957" w:rsidRDefault="00163957" w:rsidP="00163957">
      <w:pPr>
        <w:pStyle w:val="Extracto"/>
      </w:pPr>
      <w:r>
        <w:t>1.</w:t>
      </w:r>
      <w:r>
        <w:tab/>
        <w:t>No cabe excluir en materia de medio ambiente la existencia de facultades estatales de coordinación, en aras a asegurar la adopción sistematizada por las Comunidades Autónomas de medidas para afrontar un problema que, por su dimensión, afecta más allá de los límites del propio territorio (STC 329/1993) [FJ 5].</w:t>
      </w:r>
    </w:p>
    <w:p w:rsidR="00163957" w:rsidRDefault="00163957" w:rsidP="00163957">
      <w:pPr>
        <w:pStyle w:val="Extracto"/>
      </w:pPr>
    </w:p>
    <w:p w:rsidR="00163957" w:rsidRDefault="00163957" w:rsidP="00163957">
      <w:pPr>
        <w:pStyle w:val="Extracto"/>
      </w:pPr>
      <w:r>
        <w:t>2.</w:t>
      </w:r>
      <w:r>
        <w:tab/>
        <w:t>La referencia al título competencial “servicio meteorológico” permite un encaje de la regulación impugnada relativo a la mejora de la calidad del aire, debido a la naturaleza de las actividades que realizan las agencias oficiales de meteorología, entre las que preponderantemente se cuentan servicios relativos a la vigilancia y la investigación sobre la composición química de la atmósfera y la calidad del aire [FJ 4].</w:t>
      </w:r>
    </w:p>
    <w:p w:rsidR="00163957" w:rsidRDefault="00163957" w:rsidP="00163957">
      <w:pPr>
        <w:pStyle w:val="Extracto"/>
      </w:pPr>
    </w:p>
    <w:p w:rsidR="00163957" w:rsidRDefault="00163957" w:rsidP="00163957">
      <w:pPr>
        <w:pStyle w:val="Extracto"/>
      </w:pPr>
      <w:r>
        <w:t>3.</w:t>
      </w:r>
      <w:r>
        <w:tab/>
        <w:t>El carácter supraterritorial del fenómeno ambiental, no convierte a la competencia ejecutiva en estatal, pues la supraterritorialidad no se configura como título competencial en materia de medio ambiente siendo, por tanto, este factor insuficiente para desplazar la competencia al Estado y vaciar o reducir la competencia autonómica en la materia, aunque sí pueda dar lugar a mecanismos de cooperación y coordinación (SSTC 329/1993; 102/1995) [FJ 2].</w:t>
      </w:r>
    </w:p>
    <w:p w:rsidR="00163957" w:rsidRDefault="00163957" w:rsidP="00163957">
      <w:pPr>
        <w:pStyle w:val="Extracto"/>
      </w:pPr>
    </w:p>
    <w:p w:rsidR="00163957" w:rsidRDefault="00163957" w:rsidP="00163957">
      <w:pPr>
        <w:pStyle w:val="Extracto"/>
      </w:pPr>
      <w:r>
        <w:t>4.</w:t>
      </w:r>
      <w:r>
        <w:tab/>
        <w:t>Las exigencias derivadas del Derecho de la Unión no pueden ser irrelevantes a la hora de establecer los márgenes constitucionalmente admisibles de libertad de apreciación política de que gozan los órganos constitucionales (STC 1/2012) [FJ 2].</w:t>
      </w:r>
    </w:p>
    <w:p w:rsidR="00163957" w:rsidRDefault="00163957" w:rsidP="00163957">
      <w:pPr>
        <w:pStyle w:val="Extracto"/>
      </w:pPr>
    </w:p>
    <w:p w:rsidR="00163957" w:rsidRDefault="00163957" w:rsidP="00163957">
      <w:pPr>
        <w:pStyle w:val="Extracto"/>
      </w:pPr>
      <w:r>
        <w:t>5.</w:t>
      </w:r>
      <w:r>
        <w:tab/>
        <w:t>En la incorporación de las directivas de la Unión Europea al ordenamiento interno, se deben conciliar en la medida de lo posible, el orden interno de distribución de poderes por un lado y el cumplimiento pleno y tempestivo de las obligaciones del Estado en el seno de la Unión por otro (STC 1/2012) [FJ 2].</w:t>
      </w:r>
    </w:p>
    <w:p w:rsidR="00163957" w:rsidRDefault="00163957" w:rsidP="00163957">
      <w:pPr>
        <w:pStyle w:val="Extracto"/>
      </w:pPr>
    </w:p>
    <w:p w:rsidR="00163957" w:rsidRDefault="00163957" w:rsidP="00163957">
      <w:pPr>
        <w:pStyle w:val="Extracto"/>
      </w:pPr>
      <w:r>
        <w:t>6.</w:t>
      </w:r>
      <w:r>
        <w:tab/>
        <w:t>Desde una perspectiva sustantiva, el concepto de medio ambiente se identifica con el de ecosistema [conjunto de recursos naturales (aire, agua, atmósfera, flora, fauna) que constituye el medio en el que se desenvuelve la vida del hombre], pero se extiende también a otros elementos que no son naturaleza, como es el caso del paisaje (STC 102/1995) [FJ 2].</w:t>
      </w:r>
    </w:p>
    <w:p w:rsidR="00163957" w:rsidRDefault="00163957" w:rsidP="00163957">
      <w:pPr>
        <w:pStyle w:val="Extracto"/>
      </w:pPr>
    </w:p>
    <w:p w:rsidR="00163957" w:rsidRDefault="00163957" w:rsidP="00163957">
      <w:pPr>
        <w:pStyle w:val="Extracto"/>
      </w:pPr>
      <w:r>
        <w:lastRenderedPageBreak/>
        <w:t>7.</w:t>
      </w:r>
      <w:r>
        <w:tab/>
        <w:t>Desde una perspectiva dinámica o funcional, el concepto de medio ambiente hace referencia a una realidad que precisa conservación, protección e incluso, eventualmente, mejora (STC 102/1995) [FJ 2].</w:t>
      </w:r>
    </w:p>
    <w:p w:rsidR="00163957" w:rsidRDefault="00163957" w:rsidP="00163957">
      <w:pPr>
        <w:pStyle w:val="Extracto"/>
      </w:pPr>
    </w:p>
    <w:p w:rsidR="00163957" w:rsidRDefault="00163957" w:rsidP="00163957">
      <w:pPr>
        <w:pStyle w:val="Extracto"/>
      </w:pPr>
      <w:r>
        <w:t>8.</w:t>
      </w:r>
      <w:r>
        <w:tab/>
        <w:t>Factores tales como la erosión del suelo, su deforestación y desertización, la contaminación de las aguas marítimas y fluviales, la contaminación de la atmósfera o la extinción de especies enteras, la contaminación acústica y otras manifestaciones similares explican la aparición del concepto de medio ambiente nacido para reconducir a la unidad los diversos componentes de una realidad en peligro (STC 102/1995) [FJ 2].</w:t>
      </w:r>
    </w:p>
    <w:p w:rsidR="00163957" w:rsidRDefault="00163957" w:rsidP="00163957">
      <w:pPr>
        <w:pStyle w:val="Extracto"/>
      </w:pPr>
    </w:p>
    <w:p w:rsidR="00163957" w:rsidRDefault="00163957" w:rsidP="00163957">
      <w:pPr>
        <w:pStyle w:val="Extracto"/>
      </w:pPr>
      <w:r>
        <w:t>9.</w:t>
      </w:r>
      <w:r>
        <w:tab/>
        <w:t>En relación precisamente con la lucha contra la contaminación atmosférica, la protección del medio ambiente tiene como objetivo final y está íntimamente unida a la protección de la salud de las personas (STC 329/1993), por lo que es difícil deslindar, en numerosos supuestos, las materias de salud y medioambiente [FJ 2].</w:t>
      </w:r>
    </w:p>
    <w:p w:rsidR="00163957" w:rsidRDefault="00163957" w:rsidP="00163957">
      <w:pPr>
        <w:pStyle w:val="Extracto"/>
      </w:pPr>
    </w:p>
    <w:p w:rsidR="00163957" w:rsidRDefault="00163957" w:rsidP="00163957">
      <w:pPr>
        <w:pStyle w:val="Extracto"/>
      </w:pPr>
      <w:r>
        <w:t>10.</w:t>
      </w:r>
      <w:r>
        <w:tab/>
        <w:t>En materia de salud, el art. 149.1.16 CE confiere al Estado la potestad para dictar las bases de la legislación, pero también para llevar a cabo la coordinación general de la sanidad, competencia que responde a la globalidad del sistema sanitario y persigue la integración de la diversidad de las partes o subsistemas en el conjunto o sistema, evitando contradicciones y reduciendo disfunciones que, de subsistir, impedirán o dificultarán la realidad misma del sistema (STC 194/2004)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conflicto positivo de competencia núm. 2900-2011, promovido por el Gobierno de la Generalitat de Cataluña, frente a diversos preceptos del Real Decreto 102/2011, de 28 de enero, relativo a la mejora de la calidad del aire, y concretamente contra el último párrafo del art. 3.1 y los arts. 3.3 e), 8, 9.2, 12 y 24.4. Ha formulado alegaciones el Abogado del Estado. Ha sido Ponente el Magistrado don Antonio Narváez Rodríguez, quien expresa el parecer del Tribunal.</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19 de mayo de 2011, la Abogada de la Generalitat de Cataluña, en la representación que legalmente ostenta, formalizó conflicto positivo de competencia contra el último párrafo del art. 3.1 y los arts. 3.3 e), 8, 9.2, 12 y 24.4 del Real Decreto 102/2011, de 28 de enero, relativo a la mejora de la calidad del aire, por considerar que reservan al Estado unas funciones de ejecución y de coordinación que vulneran las competencias medioambientales de la Generalitat.</w:t>
      </w:r>
    </w:p>
    <w:p w:rsidR="00163957" w:rsidRDefault="00163957" w:rsidP="00163957">
      <w:pPr>
        <w:pStyle w:val="TextoNormal"/>
      </w:pPr>
    </w:p>
    <w:p w:rsidR="00163957" w:rsidRDefault="00163957" w:rsidP="00163957">
      <w:pPr>
        <w:pStyle w:val="TextoNormal"/>
      </w:pPr>
      <w:r w:rsidRPr="00163957">
        <w:rPr>
          <w:rStyle w:val="NumeroAFNegritaCaracter"/>
        </w:rPr>
        <w:t>2</w:t>
      </w:r>
      <w:r>
        <w:t>. El conflicto se funda en los motivos que, resumidamente, se exponen a continuación:</w:t>
      </w:r>
    </w:p>
    <w:p w:rsidR="00163957" w:rsidRDefault="00163957" w:rsidP="00163957">
      <w:pPr>
        <w:pStyle w:val="TextoNormal"/>
      </w:pPr>
    </w:p>
    <w:p w:rsidR="00163957" w:rsidRDefault="00163957" w:rsidP="00163957">
      <w:pPr>
        <w:pStyle w:val="TextoNormal"/>
      </w:pPr>
      <w:r>
        <w:t>a) Comienza la representante de la Generalitat, tras referirse al objeto del conflicto, aludiendo al requerimiento de incompetencia que el Consejo Ejecutivo de la Generalitat de Cataluña dirigió al Gobierno de la Nación a fin de que acordara modificar el mencionado Real Decreto y dar una redacción nueva a los preceptos señalados con la finalidad de que la regulación fuera respetuosa con las competencias de ejecución de la Generalitat en materia de medio ambiente. El requerimiento fue rechazado.</w:t>
      </w:r>
    </w:p>
    <w:p w:rsidR="00163957" w:rsidRDefault="00163957" w:rsidP="00163957">
      <w:pPr>
        <w:pStyle w:val="TextoNormal"/>
      </w:pPr>
    </w:p>
    <w:p w:rsidR="00163957" w:rsidRDefault="00163957" w:rsidP="00163957">
      <w:pPr>
        <w:pStyle w:val="TextoNormal"/>
      </w:pPr>
      <w:r>
        <w:t>b) Sigue a continuación una exposición introductoria sobre el contenido del Real Decreto 102/2011 y los títulos competenciales en los que se basa el Estado para su establecimiento, así como sobre los términos en que ha discurrido la controversia con el Gobierno de la Nación.</w:t>
      </w:r>
    </w:p>
    <w:p w:rsidR="00163957" w:rsidRDefault="00163957" w:rsidP="00163957">
      <w:pPr>
        <w:pStyle w:val="TextoNormal"/>
      </w:pPr>
    </w:p>
    <w:p w:rsidR="00163957" w:rsidRDefault="00163957" w:rsidP="00163957">
      <w:pPr>
        <w:pStyle w:val="TextoNormal"/>
      </w:pPr>
      <w:r>
        <w:t>La Abogada de la Generalitat señala que, de acuerdo con el art. 144.1 del Estatuto de Autonomía de Cataluña, corresponde a la Generalitat la competencia compartida en materia de medio ambiente y, concretamente, la competencia para el establecimiento de normas adicionales de protección que incluye, entre otras, conforme a la letra h), la relativa a la regulación del ambiente atmosférico y de las diversas clases de contaminación de éste, así como la declaración de zonas de atmósfera contaminada y el establecimiento de otros instrumentos de control de la contaminación, con independencia de la Administración competente para autorizar la obra, la instalación o la actividad que la produzca. A estas competencias hay que añadir, destaca la Abogada de la Generalitat, la función ejecutiva que corresponde a la Generalitat, de acuerdo con el art. 111 del Estatuto de Autonomía, en el marco de las bases que fije el Estado. En definitiva, sostiene que, en el territorio de Cataluña, la función ejecutiva en materia de medio ambiente no es una competencia concurrente sino exclusiva de la Generalitat y sólo, excepcionalmente, puede admitirse que el Estado realice funciones ejecutivas en este ámbito (STC 329/1993).</w:t>
      </w:r>
    </w:p>
    <w:p w:rsidR="00163957" w:rsidRDefault="00163957" w:rsidP="00163957">
      <w:pPr>
        <w:pStyle w:val="TextoNormal"/>
      </w:pPr>
    </w:p>
    <w:p w:rsidR="00163957" w:rsidRDefault="00163957" w:rsidP="00163957">
      <w:pPr>
        <w:pStyle w:val="TextoNormal"/>
      </w:pPr>
      <w:r>
        <w:t>El último párrafo del art. 3.1 y los arts. 8, 9 y 12.2 del Real Decreto vulneran, dirá la Abogada de la Generalitat, el sistema de distribución de competencias antes expuesto, al establecer un sistema de control y garantía de calidad del aire por el que se reserva al Estado el ejercicio de funciones estrictamente ejecutivas, como son la implantación de puntos de muestreo para hacer mediciones de diferentes contaminantes y su gestión de manera directa, en contra de lo que dispone el art. 144.1 h) del Estatuto de Autonomía de Cataluña.</w:t>
      </w:r>
    </w:p>
    <w:p w:rsidR="00163957" w:rsidRDefault="00163957" w:rsidP="00163957">
      <w:pPr>
        <w:pStyle w:val="TextoNormal"/>
      </w:pPr>
    </w:p>
    <w:p w:rsidR="00163957" w:rsidRDefault="00163957" w:rsidP="00163957">
      <w:pPr>
        <w:pStyle w:val="TextoNormal"/>
      </w:pPr>
      <w:r>
        <w:lastRenderedPageBreak/>
        <w:t>c) Tras esta exposición introductoria, la Abogada de la Generalitat se adentra en la fundamentación de la invasión competencial que, en su opinión, ocasionan los preceptos señalados.</w:t>
      </w:r>
    </w:p>
    <w:p w:rsidR="00163957" w:rsidRDefault="00163957" w:rsidP="00163957">
      <w:pPr>
        <w:pStyle w:val="TextoNormal"/>
      </w:pPr>
    </w:p>
    <w:p w:rsidR="00163957" w:rsidRDefault="00163957" w:rsidP="00163957">
      <w:pPr>
        <w:pStyle w:val="TextoNormal"/>
      </w:pPr>
      <w:r>
        <w:t>En primer lugar, la Abogada de la Generalitat considera imprescindible enmarcar la regulación de los preceptos en un título competencial. A estos efectos, afirma que los artículos en cuestión al establecer unos controles sobre la calidad del aire y atribuir unas funciones de coordinación respecto a las actuaciones autonómicas en materia de calidad del aire, responden a la finalidad que genéricamente establece el art.1 del Real Decreto, esto es, evitar, prevenir y reducir los efectos nocivos de las sustancias referidas sobre la salud humana, el medio ambiente en su conjunto y otros bienes de cualquier naturaleza, sin que del contenido de estos preceptos sea posible deducir la afectación a otra materia que no sea el medio ambiente. Acepta la Abogada de la Generalitat que, en relación con la calidad de la atmósfera, puede haber otras materias conexas, pero que, en sí misma, la atmósfera es un elemento del medio ambiente y que las propias cuestiones relativas al medio ambiente se caracterizan por su carácter complejo y polifacético. Así, dirá, la incidencia sobre la salud humana y la calidad de vida de muchas medidas relativas al medio ambiente constituye una constante, pero resulta “insuficiente para trasladar su regulación al ámbito material de la sanidad”. A esta conclusión, afirma, ha llegado además ya el Tribunal Constitucional en su Sentencia 102/1995 (FFJJ 4 y 7) en la que pese a reconocer la interrelación entre sanidad y medioambiente, concluye que en la regulación de la contaminación del aire prima la materia medio ambiente sobre la materia sanitaria. Por tanto, de acuerdo con la doctrina del Tribunal, la Abogada de la Generalitat entiende que hay que concluir que el control de la calidad del aire y las medidas relativas a la colaboración de las Administraciones públicas para asegurar la eficacia de estos controles se incardinan en la materia ambiental, puesto que tienden directamente a la preservación, conservación y mejora de los recursos naturales, con independencia de los beneficios de todo tipo que estos controles pueden generar. Por otra parte, añade, el Real Decreto 102/2011 no tiene por objeto regular los controles sanitarios sobre el medio ambiente, sino establecer un control de la calidad del aire ambiente, “cuya utilidad va más allá de su posible incidencia sobre la salud humana”. Y ese encuadre de la regulación en el art. 149.1.23 CE y art. 144.1 h) del Estatuto de Autonomía de Cataluña (EAC) se ve reforzado, según la Abogada de la Generalitat, por el carácter exclusivamente ambiental del Real Decreto 102/2011.</w:t>
      </w:r>
    </w:p>
    <w:p w:rsidR="00163957" w:rsidRDefault="00163957" w:rsidP="00163957">
      <w:pPr>
        <w:pStyle w:val="TextoNormal"/>
      </w:pPr>
    </w:p>
    <w:p w:rsidR="00163957" w:rsidRDefault="00163957" w:rsidP="00163957">
      <w:pPr>
        <w:pStyle w:val="TextoNormal"/>
      </w:pPr>
      <w:r>
        <w:t>d) A continuación, la Abogada de la Generalitat se adentra en el examen de cada uno de los preceptos objeto de conflicto, comenzando por el último párrafo del art. 3.1.</w:t>
      </w:r>
    </w:p>
    <w:p w:rsidR="00163957" w:rsidRDefault="00163957" w:rsidP="00163957">
      <w:pPr>
        <w:pStyle w:val="TextoNormal"/>
      </w:pPr>
    </w:p>
    <w:p w:rsidR="00163957" w:rsidRDefault="00163957" w:rsidP="00163957">
      <w:pPr>
        <w:pStyle w:val="TextoNormal"/>
      </w:pPr>
      <w:r>
        <w:t>La Abogada de la Generalitat argumenta que este párrafo del art. 3.1 reserva dos funciones de ejecución a un órgano estatal (la Agencia Estatal de Meteorología): implantar un sistema de control y garantía de calidad que asegure unos resultados fiables y uniformes en la Red EMEP/VAG/CAMP y realizar las mediciones de partículas PM2 5, metales pesados e hidrocarburos aromáticos policíclicos y de amoníaco en estaciones rurales de fondo. Se trata, dirá, con claridad, de funciones de ejecución puesto que “comportan la realización material de las correspondientes mediciones de sustancias y su gestión de forma directa”.</w:t>
      </w:r>
    </w:p>
    <w:p w:rsidR="00163957" w:rsidRDefault="00163957" w:rsidP="00163957">
      <w:pPr>
        <w:pStyle w:val="TextoNormal"/>
      </w:pPr>
    </w:p>
    <w:p w:rsidR="00163957" w:rsidRDefault="00163957" w:rsidP="00163957">
      <w:pPr>
        <w:pStyle w:val="TextoNormal"/>
      </w:pPr>
      <w:r>
        <w:t xml:space="preserve">e) Los arts. 8 y 9.2 del Real Decreto 102/2011, señala la Abogada de la Generalitat, atribuyen al Estado el establecimiento de unos puntos de muestreo o estaciones de medición </w:t>
      </w:r>
      <w:r>
        <w:lastRenderedPageBreak/>
        <w:t>para hacer las mediciones indicativas, de acuerdo con unos requisitos de ubicación y funcionamiento. Y el art. 12, añade, también atribuye al Estado la determinación de cinco puntos para la medición de niveles en el aire ambiente del amoniaco. No cuestiona la Abogada de la Generalitat la competencia del Estado para determinar criterios técnicos de funcionamiento y de ubicación sino “que se atribuya al Estado actividades de ejecución como son la instalación de puntos de muestreo o las estaciones de medición que comprenden la realización material de todas las operaciones que requieren su montaje, que indudablemente son actuaciones de carácter ejecutivo y que se insertan de modo natural en las competencias de la Generalitat en materia de medio ambiente”.</w:t>
      </w:r>
    </w:p>
    <w:p w:rsidR="00163957" w:rsidRDefault="00163957" w:rsidP="00163957">
      <w:pPr>
        <w:pStyle w:val="TextoNormal"/>
      </w:pPr>
    </w:p>
    <w:p w:rsidR="00163957" w:rsidRDefault="00163957" w:rsidP="00163957">
      <w:pPr>
        <w:pStyle w:val="TextoNormal"/>
      </w:pPr>
      <w:r>
        <w:t>En apoyo de su argumentación, la Abogada de la Generalitat cita la doctrina del Tribunal Constitucional conforme a la cual la intervención estatal en funciones ejecutivas o de gestión ordinaria en materia de medio ambiente es una solución excepcional (SSTC 33/2005, FJ 6, y STC 194/2004, FJ 11) que sólo resulta aceptable cuando sea necesaria para evitar daños irreparables, por razones de seguridad y grave y urgente necesidad, y cuando la intervención separada de las Comunidades Autónomas no garantice el efectivo cumplimiento de la norma básica de que se trata (SSTC 329/1993, FJ 4, y 194/2004, FJ 7 y 11). Circunstancias excepcionales, dirá, que no concurren en el presente caso.</w:t>
      </w:r>
    </w:p>
    <w:p w:rsidR="00163957" w:rsidRDefault="00163957" w:rsidP="00163957">
      <w:pPr>
        <w:pStyle w:val="TextoNormal"/>
      </w:pPr>
    </w:p>
    <w:p w:rsidR="00163957" w:rsidRDefault="00163957" w:rsidP="00163957">
      <w:pPr>
        <w:pStyle w:val="TextoNormal"/>
      </w:pPr>
      <w:r>
        <w:t>Rechaza, además, que la reserva de competencias ejecutivas pueda justificarse por las peculiaridades de la red EMEP y, concretamente, por el ámbito supraautonómico e incluso supranacional de la red o redes que puedan crearse al amparo de los arts. 8, 9.2 y 12 del Real Decreto 102/2011, pues, en su opinión, de la doctrina constitucional se deduce que además del carácter supraautonómico del fenómeno objeto de la competencia, es preciso que no sea posible el fraccionamiento de la actividad pública ejercida sobre él y aún en este caso, siempre que la actuación no pueda ejercerse mediante mecanismos de cooperación o coordinación y requiera un grado de homogeneidad que sólo puede garantizar la atribución a un único titular que ha de ser forzosamente el Estado, es decir, un ente supraordenado capaz de integrar intereses contrapuestos de sus componentes parciales, sin olvidar que también puede ser causa justificativa el peligro inminente de daños irreparables que nos sitúa en el terreno del estado de necesidad (SSTC 194/2004 FJ 7, y 102/1995, FJ 8).</w:t>
      </w:r>
    </w:p>
    <w:p w:rsidR="00163957" w:rsidRDefault="00163957" w:rsidP="00163957">
      <w:pPr>
        <w:pStyle w:val="TextoNormal"/>
      </w:pPr>
    </w:p>
    <w:p w:rsidR="00163957" w:rsidRDefault="00163957" w:rsidP="00163957">
      <w:pPr>
        <w:pStyle w:val="TextoNormal"/>
      </w:pPr>
      <w:r>
        <w:t>Ninguna de estas circunstancias, insiste la Abogada de la Generalitat, justifica la regulación ahora controvertida, puesto que la garantía del sistema puede lograrse con el mero establecimiento de métodos de implantación y criterios de medición que articulen una homogeneidad técnica de determinados aspectos y posibiliten la acción conjunta de las autoridades estatales y de la comunidad en el ejercicio de sus respectivas competencias. Igualmente, dirá, cabe establecer deberes de información y mecanismos de colaboración para el suministro y tratamiento de la información de forma que se asegure el cumplimiento de las obligaciones internacionales y comunitarias.</w:t>
      </w:r>
    </w:p>
    <w:p w:rsidR="00163957" w:rsidRDefault="00163957" w:rsidP="00163957">
      <w:pPr>
        <w:pStyle w:val="TextoNormal"/>
      </w:pPr>
    </w:p>
    <w:p w:rsidR="00163957" w:rsidRDefault="00163957" w:rsidP="00163957">
      <w:pPr>
        <w:pStyle w:val="TextoNormal"/>
      </w:pPr>
      <w:r>
        <w:t xml:space="preserve">La Abogada de la Generalitat considera, además, que los compromisos adquiridos con la Unión Europea sobre la calidad del aire ambiente y la obligación del Estado de suministrarle información obtenida en la red tampoco justifican que se deban centralizar las mediciones y las actividades de vigilancia de las que se obtiene esa información, si se han establecido los aludidos criterios homogeneizadores. Señala, además, que el art. 196.4 EAC establece que la Generalitat ha de adoptar las medidas necesarias para ejecutar las obligaciones derivadas de los tratados y los convenios internacionales ratificados por España o que vinculen </w:t>
      </w:r>
      <w:r>
        <w:lastRenderedPageBreak/>
        <w:t>al Estado en el ámbito de sus competencias y asimismo, de acuerdo con el art. 189 EAC, corresponde a la Generalitat aplicar y ejecutar el derecho de la Unión Europea. Y, recuerda que, conforme a la doctrina del Tribunal Constitucional (por todas, cita la STC 165/1994, de 26 de mayo, FJ 5) la dimensión externa de un asunto no puede servir para realizar una interpretación expansiva del art. 149.1.3 que venga a subsumir en la competencia estatal toda medida dotada de una cierta incidencia exterior, ya que si así fuera se produciría una reordenación del propio orden constitucional de distribución de competencias entre el Estado y las Comunidades Autónomas.</w:t>
      </w:r>
    </w:p>
    <w:p w:rsidR="00163957" w:rsidRDefault="00163957" w:rsidP="00163957">
      <w:pPr>
        <w:pStyle w:val="TextoNormal"/>
      </w:pPr>
    </w:p>
    <w:p w:rsidR="00163957" w:rsidRDefault="00163957" w:rsidP="00163957">
      <w:pPr>
        <w:pStyle w:val="TextoNormal"/>
      </w:pPr>
      <w:r>
        <w:t>Es más, dirá la Abogada de la Generalitat, la Ley 34/2007, de 15 de noviembre, de calidad del aire y protección de la atmósfera, a diferencia del Real Decreto 102/2011, es claramente respetuosa con las competencias de las Comunidades Autónomas cuando determina en su art. 5.1 c) que corresponde a la Administración General del Estado definir y establecer, con la participación de las Comunidades Autónomas, los requisitos mínimos a los que deben ajustarse las estaciones, redes, métodos y otros sistemas de evaluación de la calidad del aire, es decir, corresponde al Estado establecer unos criterios técnicos homogéneos que impedirán el fraccionamiento del sistema unitario. Conforme a ello, el art. 5.2 de la propia Ley, añade la Abogada de la Generalitat, dispone que corresponde a las Comunidades Autónomas evaluar la calidad del aire y ello evidentemente comporta la implantación real de los puntos de muestreo de acuerdo con los criterios técnicos que imponga el Estado y, al mismo tiempo, comporta que sea la Comunidad Autónoma la que lleve a cabo la efectiva realización de mediciones de partículas y substancias contaminantes que prevén los arts. 8, 9.2 y 12 del Real Decreto. Y, concluye, que si bien el Estado no ha materializado el traspaso de las correspondientes estaciones de la red EMEP, ello no supone la renuncia de la Generalitat al ejercicio de sus competencias ejecutivas, teniendo en cuenta que, conforme a la propia doctrina del Tribunal Constitucional, las competencias son irrenunciables.</w:t>
      </w:r>
    </w:p>
    <w:p w:rsidR="00163957" w:rsidRDefault="00163957" w:rsidP="00163957">
      <w:pPr>
        <w:pStyle w:val="TextoNormal"/>
      </w:pPr>
    </w:p>
    <w:p w:rsidR="00163957" w:rsidRDefault="00163957" w:rsidP="00163957">
      <w:pPr>
        <w:pStyle w:val="TextoNormal"/>
      </w:pPr>
      <w:r>
        <w:t>f) Los arts. 3.3 e) y 24.4 del Real Decreto 102/2011 atribuyen al Estado, según la Abogada de la Generalitat de Cataluña, unas funciones incondicionadas de coordinación que se fundan “en el mero hecho de que la actuación de las Comunidades Autónomas o la adopción de medidas que pretenda llevar a cabo sobrepase o incluya el territorio de otras Comunidades Autónomas”. Hay que tener en cuenta, dirá, que el art. 115 EAC regula el problema de la supraterritorialidad y de él se desprende que, cuando el objeto de una competencia tiene un alcance superior al territorio de Cataluña, la Generalitat ha de ejercerla sobre la parte situada en su territorio y el Estado podrá coordinar a las Comunidades Autónomas afectadas sólo cuando no hayan funcionado previamente los mecanismos de colaboración. Y añade que el Tribunal Constitucional al pronunciarse sobre la constitucionalidad de este precepto del Estatuto dijo que la privación a las Comunidades Autónomas del ejercicio de sus competencias cuando sus actos pudieran originar consecuencias más allá de sus límites territoriales equivaldría necesariamente a privarlas pura y simplemente de toda capacidad de actuación.</w:t>
      </w:r>
    </w:p>
    <w:p w:rsidR="00163957" w:rsidRDefault="00163957" w:rsidP="00163957">
      <w:pPr>
        <w:pStyle w:val="TextoNormal"/>
      </w:pPr>
    </w:p>
    <w:p w:rsidR="00163957" w:rsidRDefault="00163957" w:rsidP="00163957">
      <w:pPr>
        <w:pStyle w:val="TextoNormal"/>
      </w:pPr>
      <w:r>
        <w:t xml:space="preserve">Concluye la Abogada de la Generalitat que la coordinación ha de respetar la distribución competencial y “no puede superar los caracteres propios de la coordinación, es decir, la fijación de medios y sistemas de relación que hagan posible la información recíproca, la homogeneidad técnica, cuando sea necesaria, y la acción conjunta de las diferentes autoridades, de manera que consiga la integración de actos parciales en un sistema”. En definitiva, se defiende un concepto procedimental de la coordinación que la Abogada de la Generalitat </w:t>
      </w:r>
      <w:r>
        <w:lastRenderedPageBreak/>
        <w:t>infiere de las SSTC 32/1983, 102/1995, 148/2000, 194/2004 y 1/2011, que establecen, dirá, una doctrina conforme a la cual la coordinación no otorga al Estado competencias que no ostente, de modo que el ejercicio de la misma no le permite sustraer competencias a las Comunidades Autónomas ni desplazar sus competencias de ejecución. Es más, señala que la STC 329/1993 ya fijó los parámetros que legitimaban la intervención estatal y a los que debería haberse ceñido la potestad coordinadora que atribuye el Real Decreto 102/2011 al Estado. En esta línea, advierte, se encuentra además el art. 6.2 de la Ley 34/2007 que prevé que las situaciones entre dos o más Comunidades Autónomas en relación con la calidad del aire se resuelva mediante un mecanismo de cooperación “como es el deber de asistencia mutua entre las propias Comunidades Autónomas afectadas y en los términos previstos en los respectivos planes para reducir los niveles de contaminación y ello en colaboración con el Estado”.</w:t>
      </w:r>
    </w:p>
    <w:p w:rsidR="00163957" w:rsidRDefault="00163957" w:rsidP="00163957">
      <w:pPr>
        <w:pStyle w:val="TextoNormal"/>
      </w:pPr>
    </w:p>
    <w:p w:rsidR="00163957" w:rsidRDefault="00163957" w:rsidP="00163957">
      <w:pPr>
        <w:pStyle w:val="TextoNormal"/>
      </w:pPr>
      <w:r>
        <w:t>Por todo lo anterior, la Abogada de la Generalitat concluye que los preceptos impugnados constituyen “evidente extralimitación competencial y avalan sobradamente el planteamiento del presente conflicto”, solicitando que se tenga por planteado el conflicto y se dicte sentencia por la que declare el Tribunal Constitucional que los preceptos en cuestión vulneran el orden constitucional de competencias.</w:t>
      </w:r>
    </w:p>
    <w:p w:rsidR="00163957" w:rsidRDefault="00163957" w:rsidP="00163957">
      <w:pPr>
        <w:pStyle w:val="TextoNormal"/>
      </w:pPr>
    </w:p>
    <w:p w:rsidR="00163957" w:rsidRDefault="00163957" w:rsidP="00163957">
      <w:pPr>
        <w:pStyle w:val="TextoNormal"/>
      </w:pPr>
      <w:r w:rsidRPr="00163957">
        <w:rPr>
          <w:rStyle w:val="NumeroAFNegritaCaracter"/>
        </w:rPr>
        <w:t>3</w:t>
      </w:r>
      <w:r>
        <w:t>. Por providencia de 7 de junio de 2011, el Pleno, a propuesta de la Sección Segunda, acordó admitir a trámite el conflicto positivo de competencia promovido por el Gobierno de la Generalitat de Cataluña, y en su representación y defensa, por la Abogada del mismo, frente al Gobierno de la Nación, en relación en el último párrafo del art. 3.1 y los arts. 3.3 e), 8, 9.2, 12 y 24.4 del Real Decreto 102/2011, de 28 de enero, relativo a la mejora de la calidad del aire. Se acordó también dar traslado de la demanda y documentos presentados al Gobierno de la Nación, por conducto de su Presidente, al objeto de que en el plazo de veinte días y, por medio de la representación procesal que determina el art. 82.2 de la Ley Orgánica del Tribunal Constitucional (LOTC), aporte cuanto documentos y alegaciones considere convenientes;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artículo 61.2 LOTC; y publicar la incoación del conflicto en el “Boletín Oficial del Estado” y en el “Diari Oficial de la Generalitat de Catalunya”.</w:t>
      </w:r>
    </w:p>
    <w:p w:rsidR="00163957" w:rsidRDefault="00163957" w:rsidP="00163957">
      <w:pPr>
        <w:pStyle w:val="TextoNormal"/>
      </w:pPr>
    </w:p>
    <w:p w:rsidR="00163957" w:rsidRDefault="00163957" w:rsidP="00163957">
      <w:pPr>
        <w:pStyle w:val="TextoNormal"/>
      </w:pPr>
      <w:r w:rsidRPr="00163957">
        <w:rPr>
          <w:rStyle w:val="NumeroAFNegritaCaracter"/>
        </w:rPr>
        <w:t>4</w:t>
      </w:r>
      <w:r>
        <w:t>. Por escrito registrado en este Tribunal el día 17 de junio de 2011, el Abogado del Estado se personó en el proceso solicitando una prórroga del plazo concedido para formular alegaciones, que fue concedida mediante providencia de 21 de junio de 2011. Finalmente, dicho escrito tuvo entrada en el Registro General de este Tribunal el día 15 de julio de 2011, oponiéndose el Abogado del Estado a la demanda con fundamento en las razones que se resumen a continuación:</w:t>
      </w:r>
    </w:p>
    <w:p w:rsidR="00163957" w:rsidRDefault="00163957" w:rsidP="00163957">
      <w:pPr>
        <w:pStyle w:val="TextoNormal"/>
      </w:pPr>
    </w:p>
    <w:p w:rsidR="00163957" w:rsidRDefault="00163957" w:rsidP="00163957">
      <w:pPr>
        <w:pStyle w:val="TextoNormal"/>
      </w:pPr>
      <w:r>
        <w:t xml:space="preserve">a) En primer término, el escrito precisa el objeto del conflicto y hace referencia a la controversia previa que dio lugar al requerimiento de incompetencia por parte de la Generalitat de Cataluña. Señala el Abogado del Estado que la Generalitat insiste al interponer el conflicto positivo de competencia en la inconstitucionalidad de los arts. 8, 9.2 y 12.1 del </w:t>
      </w:r>
      <w:r>
        <w:lastRenderedPageBreak/>
        <w:t>Real Decreto 102/2011 pese a lo dictaminado por el Consejo de Garantías Estatutarias conforme al cual estos preceptos no son contrarios a los arts. 149.1.23 CE y 144.1 h) EAC si se interpretan conforme se indica en el apartado tercero de su fundamento jurídico 5.</w:t>
      </w:r>
    </w:p>
    <w:p w:rsidR="00163957" w:rsidRDefault="00163957" w:rsidP="00163957">
      <w:pPr>
        <w:pStyle w:val="TextoNormal"/>
      </w:pPr>
    </w:p>
    <w:p w:rsidR="00163957" w:rsidRDefault="00163957" w:rsidP="00163957">
      <w:pPr>
        <w:pStyle w:val="TextoNormal"/>
      </w:pPr>
      <w:r>
        <w:t>A continuación, el Abogado del Estado afirma que el problema que suscita el conflicto se cifra en la incidencia de las competencias exclusivas reservadas por la Constitución al Estado sobre competencias de Cataluña asumidas bajo el título de compartidas e indica que sobre esta cuestión existe doctrina clara del Tribunal Constitucional en los fundamentos jurídicos 60 y 64 de la STC 31/2010. De esta doctrina deduce el Abogado del Estado que “al definir la competencia autonómica, el Estatuto no puede determinar el modo de ejercicio ni el alcance de las competencias estatales” y que, en el caso que nos ocupa, el art. 144.1 h) EAC “no puede limitar la competencia exclusiva que sobre legislación medioambiental la Constitución ha atribuido al Estado”.</w:t>
      </w:r>
    </w:p>
    <w:p w:rsidR="00163957" w:rsidRDefault="00163957" w:rsidP="00163957">
      <w:pPr>
        <w:pStyle w:val="TextoNormal"/>
      </w:pPr>
    </w:p>
    <w:p w:rsidR="00163957" w:rsidRDefault="00163957" w:rsidP="00163957">
      <w:pPr>
        <w:pStyle w:val="TextoNormal"/>
      </w:pPr>
      <w:r>
        <w:t>b) El Abogado del Estado reconoce que no cuenta el Estado con un título competencial específico para la ejecución del Derecho comunitario y que, en cada materia, dependerá de la distribución constitucional de competencias existente, pero ello no impide, como también ha aclarado el Tribunal Constitucional (SSTC 236/1991; 13/1998; 128/1999), que el Derecho comunitario no pueda y deba tenerse en cuenta para realizar una adecuada interpretación de la distribución competencial. Y a estos efectos, defiende que la existencia de obligaciones internacionales del Estado “constituye sin duda un aspecto de primordial trascendencia para la salvaguardia del carácter básico de los preceptos objeto de conflicto, pues, como veremos, tales obligaciones postulan una mayor homogeneización en las tareas operativas que aquí se cuestionan”.</w:t>
      </w:r>
    </w:p>
    <w:p w:rsidR="00163957" w:rsidRDefault="00163957" w:rsidP="00163957">
      <w:pPr>
        <w:pStyle w:val="TextoNormal"/>
      </w:pPr>
    </w:p>
    <w:p w:rsidR="00163957" w:rsidRDefault="00163957" w:rsidP="00163957">
      <w:pPr>
        <w:pStyle w:val="TextoNormal"/>
      </w:pPr>
      <w:r>
        <w:t>c) A continuación, expone el Abogado del Estado los títulos competenciales en los que se ha basado el Estado para dictar el Real Decreto 102/2011 que son, tal y como establece la disposición final segunda de la propia norma, los títulos previstos en el art. 149.1.16 y 23 CE, en materia de bases y coordinación general de la sanidad y de legislación básica sobre protección del medio ambiente, lo que, dirá, es acorde con la finalidad que, de acuerdo con su propio art. 1, tiene la regulación: “evitar, prevenir y reducir los efectos nocivos de las sustancias mencionadas sobre la salud humana, el medio ambiente en su conjunto y demás bienes de cualquier naturaleza”. El hecho de que en tal disposición final no se concrete qué título concreto ampara a cada precepto, no impide, dirá el Abogado del Estado, la alegación concurrente de ambos títulos (art. 149.1.16 y 23 CE) dada la esencial trascendencia que la calidad del aire y la protección de la atmósfera tienen para la salud humana.</w:t>
      </w:r>
    </w:p>
    <w:p w:rsidR="00163957" w:rsidRDefault="00163957" w:rsidP="00163957">
      <w:pPr>
        <w:pStyle w:val="TextoNormal"/>
      </w:pPr>
    </w:p>
    <w:p w:rsidR="00163957" w:rsidRDefault="00163957" w:rsidP="00163957">
      <w:pPr>
        <w:pStyle w:val="TextoNormal"/>
      </w:pPr>
      <w:r>
        <w:t>Identificados los dos títulos (art. 149.1.16 y 23 CE) que amparan la regulación controvertida, el Abogado del Estado se adentra en el análisis específico de cada uno de ellos.</w:t>
      </w:r>
    </w:p>
    <w:p w:rsidR="00163957" w:rsidRDefault="00163957" w:rsidP="00163957">
      <w:pPr>
        <w:pStyle w:val="TextoNormal"/>
      </w:pPr>
    </w:p>
    <w:p w:rsidR="00163957" w:rsidRDefault="00163957" w:rsidP="00163957">
      <w:pPr>
        <w:pStyle w:val="TextoNormal"/>
      </w:pPr>
      <w:r>
        <w:t xml:space="preserve">En relación con el art. 149.1.23 CE, el ejercicio de facultades de ejecución en materia de medio ambiente queda limitado, reconoce el Abogado del Estado, a ocasiones excepcionales en las que además de ejercitar funciones de coordinación, los actos de ejecución son necesarios por la naturaleza de la materia para evitar daños irreparables y para asegurar la consecución de la finalidad objetiva que corresponde a la competencia estatal de bases (STC 329/1993). De acuerdo con esta doctrina, señala el Abogado del Estado, la mera existencia de un problema de contaminación de dimensión supraautonómica no legitima sin más la actuación directa y única del Estado con exclusión de la competencia ejecutiva autonómica, </w:t>
      </w:r>
      <w:r>
        <w:lastRenderedPageBreak/>
        <w:t>lo que sólo es admisible “en aquellos casos excepcionales en que la intervención separada de las diversas Comunidades Autónomas no permitieran salvaguardar la eficacia de las medidas a tomar, y resulte necesaria una decisión unitaria del Estado a causa de poderosas razones de seguridad y grave y urgente necesidad que justifican la utilización estatal sobre bases de la dependencia en materia de protección del medio ambiente y para evitar daños irreparables” (STC 329/1993, FJ 4).</w:t>
      </w:r>
    </w:p>
    <w:p w:rsidR="00163957" w:rsidRDefault="00163957" w:rsidP="00163957">
      <w:pPr>
        <w:pStyle w:val="TextoNormal"/>
      </w:pPr>
    </w:p>
    <w:p w:rsidR="00163957" w:rsidRDefault="00163957" w:rsidP="00163957">
      <w:pPr>
        <w:pStyle w:val="TextoNormal"/>
      </w:pPr>
      <w:r>
        <w:t>Por otra parte, el Abogado del Estado recuerda que, pese a que no se haya incluido en la disposición final segunda del Real Decreto 102/2011, no puede olvidarse el contenido de la competencia exclusiva del Estado sobre el servicio meteorológico (art. 149.1.20 CE) y respecto del que el Tribunal Constitucional ha afirmado que “esta competencia estatal no impide que los Estatutos de Autonomía puedan atribuir la correlativa competencia sobre el mismo objeto jurídico siempre que, de un lado, se restrinja al territorio de la Comunidad Autónoma y, de otro, no limite la plena competencia estatal sobre meteorología en la totalidad del territorio español, que incluye la adopción de cualquier medida normativa y aplicativa con apoyo físico en todo el territorio del Estado y, por tanto, en cada territorio autonómico” (STC 31/2010, FJ 88).</w:t>
      </w:r>
    </w:p>
    <w:p w:rsidR="00163957" w:rsidRDefault="00163957" w:rsidP="00163957">
      <w:pPr>
        <w:pStyle w:val="TextoNormal"/>
      </w:pPr>
    </w:p>
    <w:p w:rsidR="00163957" w:rsidRDefault="00163957" w:rsidP="00163957">
      <w:pPr>
        <w:pStyle w:val="TextoNormal"/>
      </w:pPr>
      <w:r>
        <w:t>Los fenómenos meteorológicos y climáticos, dirá el Abogado del Estado, tienen una profunda incidencia en la calidad del medio natural y una de las funciones con creciente importancia de los servicios meteorológicos nacionales viene siendo, como se señala en la exposición de motivos del Real Decreto 186/2008, de 8 de febrero, “el apoyo a las políticas relacionadas con la calidad del aire y el medio ambiente, así como el estudio y valoración de los efectos del cambio climático, proporcionando escenarios regionalizados de su posible impacto”. Por ello, dirá, el art. 8 del Real Decreto 186/2008 incluye entre las competencias de la Agencia Estatal de Meteorología “el mantenimiento de una vigilancia continua, eficaz y sostenible de las condiciones meteorológicas, climáticas y de la estructura y composición física y química de la atmósfera sobre el territorio nacional, y también el establecimiento, desarrollo, gestión y mantenimiento de las diferentes redes de observación, sistemas e infraestructuras técnicas necesarias para el cumplimiento de las funciones de la Agencia”.</w:t>
      </w:r>
    </w:p>
    <w:p w:rsidR="00163957" w:rsidRDefault="00163957" w:rsidP="00163957">
      <w:pPr>
        <w:pStyle w:val="TextoNormal"/>
      </w:pPr>
    </w:p>
    <w:p w:rsidR="00163957" w:rsidRDefault="00163957" w:rsidP="00163957">
      <w:pPr>
        <w:pStyle w:val="TextoNormal"/>
      </w:pPr>
      <w:r>
        <w:t>En relación con el art. 149.1.16 CE, el Abogado del Estado destaca que aunque la competencia estatal para fijar las bases es una competencia de regulación, en determinadas materias, ciertas decisiones y actuaciones de tipo aparentemente coyuntural que tienen por objeto la regulación inmediata de situaciones concretas, pueden tener un carácter básico por la interdependencia de éstas en todo el territorio nacional y por su incidencia en los fundamentos mismos del sistema normativo y esto es lo que ocurre en el ámbito de la sanidad interior, puesto que “determinadas medidas concretas por su contenido, pero necesariamente generales en cuanto a su ámbito territorial de eficacia son inseparables de otras medidas de ordenación normativa básica y deben ser por ello incluidas en el concepto de bases de competencia estatal”. Ello explica, según el Abogado del Estado, que el Real Decreto 102/2011 haya atribuido a la Administración del Estado “la determinación, con carácter general, de los métodos de análisis y medición y de los requisitos técnicos y condiciones mínimas en materia de control sanitario del medio ambiente”.</w:t>
      </w:r>
    </w:p>
    <w:p w:rsidR="00163957" w:rsidRDefault="00163957" w:rsidP="00163957">
      <w:pPr>
        <w:pStyle w:val="TextoNormal"/>
      </w:pPr>
    </w:p>
    <w:p w:rsidR="00163957" w:rsidRDefault="00163957" w:rsidP="00163957">
      <w:pPr>
        <w:pStyle w:val="TextoNormal"/>
      </w:pPr>
      <w:r>
        <w:t xml:space="preserve">Por otra parte, según añade, el concepto mismo de coordinación general que recoge el art. 149.1.16 CE está indisolublemente ligado a la competencia estatal de fijación de bases, </w:t>
      </w:r>
      <w:r>
        <w:lastRenderedPageBreak/>
        <w:t>tal y como se establece en la más reciente doctrina del Tribunal Constitucional sobre coordinación (STC 194/2005, FFJJ 8 y 9). Coordinación que, en cuanto técnica de reducción a la unidad, postula una ordenada integración en un sistema general de los sistemas autonómicos.</w:t>
      </w:r>
    </w:p>
    <w:p w:rsidR="00163957" w:rsidRDefault="00163957" w:rsidP="00163957">
      <w:pPr>
        <w:pStyle w:val="TextoNormal"/>
      </w:pPr>
    </w:p>
    <w:p w:rsidR="00163957" w:rsidRDefault="00163957" w:rsidP="00163957">
      <w:pPr>
        <w:pStyle w:val="TextoNormal"/>
      </w:pPr>
      <w:r>
        <w:t>En el ámbito sanitario, la coordinación cobra singular importancia, según el Abogado del Estado, al ser necesario un mínimo normativo que obvie posibles contradicciones entre Administraciones y que busque la integración de una diversidad de intereses contrapuestos de distintas Comunidades Autónomas en un conjunto unitario y operativo, en el que se persigue como objetivo final, a través de la protección de la atmósfera, la protección de la salud humana. En esta línea, señala el Abogado del Estado, parte del contenido del Real Decreto 102/2011 responde al ejercicio de la competencia estatal para asegurar dicha coordinación general.</w:t>
      </w:r>
    </w:p>
    <w:p w:rsidR="00163957" w:rsidRDefault="00163957" w:rsidP="00163957">
      <w:pPr>
        <w:pStyle w:val="TextoNormal"/>
      </w:pPr>
    </w:p>
    <w:p w:rsidR="00163957" w:rsidRDefault="00163957" w:rsidP="00163957">
      <w:pPr>
        <w:pStyle w:val="TextoNormal"/>
      </w:pPr>
      <w:r>
        <w:t>A modo de cierre de este apartado sobre los títulos competenciales que amparan la regulación estatal, el Abogado del Estado hace referencia al criterio de territorialidad, indicando que este criterio ha de guiar el ejercicio de competencias por las Comunidades Autónomas y recuerda que el propio art. 115.1 EAC contiene una referencia clara al territorio como límite de las competencias de la Generalitat. A continuación señala que el Tribunal Constitucional ha insistido en la STC 31/2010 (FJ 63) en su doctrina sobre la territorialidad conforme a la cual “el alcance supraterritorial del objeto de una competencia autonómica no supone, por sí solo, la desposesión de su titularidad en beneficio del Estado, pues esa consecuencia sólo cabe en el supuesto de que la actividad pública ejercida sobre aquel objeto ‘no sea susceptible de fraccionamiento y, aun en este caso, cuando dicha actuación no pueda llevarse a cabo mediante mecanismos de cooperación o coordinación, sino que requiera un grado de homogeneidad que sólo pueda garantizar su atribución a un único titular, que forzosamente debe ser el Estado, o cuando sea necesario recurrir a un ente con capacidad de integrar intereses contrapuestos de varias Comunidades Autónomas’.” Y en este sentido agrega que el preámbulo de la Ley 34/2007 destaca una idea obvia pero relevante como que “el aire y la contaminación no conocen deslindes territoriales o administrativos”.</w:t>
      </w:r>
    </w:p>
    <w:p w:rsidR="00163957" w:rsidRDefault="00163957" w:rsidP="00163957">
      <w:pPr>
        <w:pStyle w:val="TextoNormal"/>
      </w:pPr>
    </w:p>
    <w:p w:rsidR="00163957" w:rsidRDefault="00163957" w:rsidP="00163957">
      <w:pPr>
        <w:pStyle w:val="TextoNormal"/>
      </w:pPr>
      <w:r>
        <w:t>d) Tras una exposición introductoria sobre el sistema de protección del ambiente atmosférico que configura la Ley 34/2007 y, en desarrollo de ella, el Real Decreto 102/2011, el Abogado del Estado se refiere a la red española EMEP/VAG/CAMP que pretende dar satisfacción a los compromisos de medición de contaminantes asumidos por España en estos tres programas, que se dedica a la observación de la composición química de la atmósfera a escala regional lejos de fuentes de contaminación.</w:t>
      </w:r>
    </w:p>
    <w:p w:rsidR="00163957" w:rsidRDefault="00163957" w:rsidP="00163957">
      <w:pPr>
        <w:pStyle w:val="TextoNormal"/>
      </w:pPr>
    </w:p>
    <w:p w:rsidR="00163957" w:rsidRDefault="00163957" w:rsidP="00163957">
      <w:pPr>
        <w:pStyle w:val="TextoNormal"/>
      </w:pPr>
      <w:r>
        <w:t>El Abogado del Estado añade que las mediciones realizadas por las estaciones de esta red permiten determinar los niveles de contaminación de fondo de una región y evaluar el transporte desde fuentes emisoras ubicadas a gran distancia de ellas. De ahí, dirá, que su emplazamiento deba seguir los criterios de representatividad definidos para cada red, criterios que establecen la anchura de su malla y las distancias mínimas a distintos focos de emisores de contaminación. Y ello, sostiene, porque cada estación ha de ser representativa, en cuanto a calidad de aire y precipitación, de un área extensa en torno a ella, evitando perturbaciones locales que puedan tener influencia sobre las mediciones.</w:t>
      </w:r>
    </w:p>
    <w:p w:rsidR="00163957" w:rsidRDefault="00163957" w:rsidP="00163957">
      <w:pPr>
        <w:pStyle w:val="TextoNormal"/>
      </w:pPr>
    </w:p>
    <w:p w:rsidR="00163957" w:rsidRDefault="00163957" w:rsidP="00163957">
      <w:pPr>
        <w:pStyle w:val="TextoNormal"/>
      </w:pPr>
      <w:r>
        <w:lastRenderedPageBreak/>
        <w:t>En cualquier caso, señala el Abogado del Estado que las estaciones de la red EMEP/VAG/CAMP pertenecen a la Agencia Estatal de Meteorología y no sólo realizan las mediciones controvertidas en este conflicto competencial, sino también mediciones vinculadas al mantenimiento de la vigilancia continua, eficaz y sostenible de las condiciones meteorológicas, climáticas y de la estructura y composición física y química de la atmósfera sobre el territorio nacional que corresponde a la Agencia. En definitiva, el Abogado del Estado afirma que estas estaciones coadyuvan a realizar además de las medioambientales, otras funciones que corresponden al Estado en ejercicio de muy diversos títulos competenciales: aviación civil, defensa, investigación, tráfico y circulación de vehículos a motor, obras públicas de interés general y, destacadamente, el reservado al Estado por el art. 149.1.20 CE sobre el servicio meteorológico.</w:t>
      </w:r>
    </w:p>
    <w:p w:rsidR="00163957" w:rsidRDefault="00163957" w:rsidP="00163957">
      <w:pPr>
        <w:pStyle w:val="TextoNormal"/>
      </w:pPr>
    </w:p>
    <w:p w:rsidR="00163957" w:rsidRDefault="00163957" w:rsidP="00163957">
      <w:pPr>
        <w:pStyle w:val="TextoNormal"/>
      </w:pPr>
      <w:r>
        <w:t>e) Procede, a continuación, el Abogado del Estado a defender la constitucionalidad de cada uno de los preceptos impugnados, comenzando con el último párrafo del art. 3.1 y los arts. 8, 9.2 y 12 del Real Decreto 102/2011.</w:t>
      </w:r>
    </w:p>
    <w:p w:rsidR="00163957" w:rsidRDefault="00163957" w:rsidP="00163957">
      <w:pPr>
        <w:pStyle w:val="TextoNormal"/>
      </w:pPr>
    </w:p>
    <w:p w:rsidR="00163957" w:rsidRDefault="00163957" w:rsidP="00163957">
      <w:pPr>
        <w:pStyle w:val="TextoNormal"/>
      </w:pPr>
      <w:r>
        <w:t>Al efecto señala que, como el propio Consejo de Garantías Estatutarias de Cataluña ha señalado, cabe una interpretación conforme de estos preceptos, de acuerdo con la que “el establecimiento por el Ministerio de Medio Ambiente, y Medio Rural y Marino de los puntos de muestreo (arts. 8 y 9.2) o la determinación por tal Departamento de puntos rurales de fondo (art. 12.1) para la realización de mediciones indicativas de determinadas sustancias, ha de entenderse referido exclusivamente al señalamiento técnico por el Estado de la exacta ubicación de tales puntos, excluyéndose con ello cualquier tipo de operación material que requiera la instalación efectiva de dichos puntos”.</w:t>
      </w:r>
    </w:p>
    <w:p w:rsidR="00163957" w:rsidRDefault="00163957" w:rsidP="00163957">
      <w:pPr>
        <w:pStyle w:val="TextoNormal"/>
      </w:pPr>
    </w:p>
    <w:p w:rsidR="00163957" w:rsidRDefault="00163957" w:rsidP="00163957">
      <w:pPr>
        <w:pStyle w:val="TextoNormal"/>
      </w:pPr>
      <w:r>
        <w:t>Destaca, además, que el señalamiento de los puntos de muestreo se lleva a cabo conforme a los criterios fijados en los arts. 6 y 7 de la Directiva 2008/50/CEE, siendo estos criterios los que recoge el Real Decreto 102/2011 relacionándolos, además de en el anexo III, en los artículos impugnados.</w:t>
      </w:r>
    </w:p>
    <w:p w:rsidR="00163957" w:rsidRDefault="00163957" w:rsidP="00163957">
      <w:pPr>
        <w:pStyle w:val="TextoNormal"/>
      </w:pPr>
    </w:p>
    <w:p w:rsidR="00163957" w:rsidRDefault="00163957" w:rsidP="00163957">
      <w:pPr>
        <w:pStyle w:val="TextoNormal"/>
      </w:pPr>
      <w:r>
        <w:t>Rechaza la contradicción insalvable que advierte la actora entre la Ley 34/2007 y el Real Decreto 102/2011, pues considera que los preceptos que se cuestionan son respetuosos con los arts. 5.1 c) y 5.2 de la Ley: “el Estado únicamente se reserva la fijación técnica de la exacta ubicación del punto de muestreo sin que ello suponga la realización de las operaciones materiales de montaje efectivo; en todos estos preceptos se prevé expresamente el ejercicio paralelo de las competencias autonómicas, pues según su tenor literal el establecimiento o determinación de los puntos se lleva a cabo en colaboración con las Comunidades Autónomas”.</w:t>
      </w:r>
    </w:p>
    <w:p w:rsidR="00163957" w:rsidRDefault="00163957" w:rsidP="00163957">
      <w:pPr>
        <w:pStyle w:val="TextoNormal"/>
      </w:pPr>
    </w:p>
    <w:p w:rsidR="00163957" w:rsidRDefault="00163957" w:rsidP="00163957">
      <w:pPr>
        <w:pStyle w:val="TextoNormal"/>
      </w:pPr>
      <w:r>
        <w:t xml:space="preserve">Reitera, a continuación, el Abogado del Estado, los argumentos ya esgrimidos en contestación al requerimiento autonómico. En primer lugar, alega que el emplazamiento de las estaciones de la red EMEP debe seguir los criterios de representatividad definidos para cada red, que establecen la anchura de su malla y las distancias mínimas a distintos tipos de focos emisores de contaminación, de tal forma que las estaciones han de ser representativas de un área extensa en torno a ella de un mínimo de 50.000 km2, de acuerdo con lo dispuesto en la estrategia de vigilancia EMEP; una superficie que, por lo general, dirá, es superior a la de una Comunidad Autónoma. Es más, la realización de mediciones a través de estaciones de la red EMEP requiere la aplicación de unos procedimientos de mantenimiento, validación, </w:t>
      </w:r>
      <w:r>
        <w:lastRenderedPageBreak/>
        <w:t>verificación, etc., únicos, de manera que los datos obtenidos de todas ellas sean comparables, homogéneos y respondan a unos criterios de calidad homologables.</w:t>
      </w:r>
    </w:p>
    <w:p w:rsidR="00163957" w:rsidRDefault="00163957" w:rsidP="00163957">
      <w:pPr>
        <w:pStyle w:val="TextoNormal"/>
      </w:pPr>
    </w:p>
    <w:p w:rsidR="00163957" w:rsidRDefault="00163957" w:rsidP="00163957">
      <w:pPr>
        <w:pStyle w:val="TextoNormal"/>
      </w:pPr>
      <w:r>
        <w:t>Respecto de las mediciones indicativas, el Abogado del Estado sostiene que tanto la Directiva 2004/107/CE como la 2008/50/CE y la propia Ley 34/2007 hacen referencia a los principios de coordinación y colaboración y a la obligación de coordinar las actividades de vigilancia de las mediciones indicativas con la Estrategia de vigilancia continuada y medición del programa EMEP. Una conclusión a la que, dirá, se llega también teniendo en cuenta los principios de eficacia y eficiencia que lleva a concluir que lo lógico es que la misma red coordinadora realice directamente las mediciones. Esta idea se ve reforzada, en su opinión, por el criterio de supraterritorialidad, puesto que las mediciones indicativas han de realizarse, conforme a las Directivas, en un punto de muestreo por cada 100.000 km2, superficie que excede del ámbito de cualquier Comunidad Autónoma, y además corresponden a mediciones de contaminación atmosférica de fondo.</w:t>
      </w:r>
    </w:p>
    <w:p w:rsidR="00163957" w:rsidRDefault="00163957" w:rsidP="00163957">
      <w:pPr>
        <w:pStyle w:val="TextoNormal"/>
      </w:pPr>
    </w:p>
    <w:p w:rsidR="00163957" w:rsidRDefault="00163957" w:rsidP="00163957">
      <w:pPr>
        <w:pStyle w:val="TextoNormal"/>
      </w:pPr>
      <w:r>
        <w:t>Por último, el Abogado del Estado afirma que pese a que la demanda no contiene un alegato impugnatorio concreto relativo a la atribución a la Agencia Estatal de Meteorología de la implantación de un sistema de control y garantía de calidad de los resultados obtenidos en la red EMEP/VAG/CAMP de contaminación atmosférica de fondo, este inciso del precepto no hace sino concretar la función que corresponde al Ministerio de Medio Ambiente y Medio Rural y Marino conforme al art. 3.1 f) del Real Decreto 102/2011, que no es otra que elaborar un sistema de control y garantía de calidad que asegure la exhaustividad, coherencia, transparencia, comparabilidad y confianza en todo el proceso objeto de sus actuaciones.</w:t>
      </w:r>
    </w:p>
    <w:p w:rsidR="00163957" w:rsidRDefault="00163957" w:rsidP="00163957">
      <w:pPr>
        <w:pStyle w:val="TextoNormal"/>
      </w:pPr>
    </w:p>
    <w:p w:rsidR="00163957" w:rsidRDefault="00163957" w:rsidP="00163957">
      <w:pPr>
        <w:pStyle w:val="TextoNormal"/>
      </w:pPr>
      <w:r>
        <w:t>f) Finalmente, en relación con los arts. 3.3 e) y 24.4 del Real Decreto 102/2011, el Abogado del Estado afirma que estos preceptos sólo se refieren a supuestos de contaminación atmosférica que afecten a un territorio de mayor extensión que el de una Comunidad Autónoma y respetan escrupulosamente, mediante previsiones expresas, el ejercicio coordinado y paralelo de las competencias autonómicas.</w:t>
      </w:r>
    </w:p>
    <w:p w:rsidR="00163957" w:rsidRDefault="00163957" w:rsidP="00163957">
      <w:pPr>
        <w:pStyle w:val="TextoNormal"/>
      </w:pPr>
    </w:p>
    <w:p w:rsidR="00163957" w:rsidRDefault="00163957" w:rsidP="00163957">
      <w:pPr>
        <w:pStyle w:val="TextoNormal"/>
      </w:pPr>
      <w:r>
        <w:t>Niega, por otra parte, el Abogado del Estado que exista contradicción entre los preceptos controvertidos y la Ley 34/2007. El art. 3.3 e) del Real Decreto 102/2011 incluye entre las actuaciones que corresponden a las Comunidades Autónomas las de colaborar entre sí en el supuesto de que se sobrepasen los objetivos de calidad del aire fijados en un ámbito territorial superior al de una Comunidad Autónoma, bajo la coordinación del Ministerio de Medio Ambiente, Medio Rural y Marino. Es más, sostiene que el art. 6 de la Ley 34/2007 se refiere a la cooperación y colaboración interadministrativa y prevé la necesidad de que se asegure la coherencia de las actuaciones administrativas en los supuestos en que la contaminación atmosférica afecte a un territorio más extenso que el de un municipio o comunidad autonómica y para el supuesto de que se sobrepasen los objetivos de calidad del aire fijados en un ámbito territorial superior al de una comunidad autónoma, según señala “la Administración General del Estado colaborará a este fin con las Comunidades Autónomas afectadas o que, sin estarlo, hayan contribuido a generar dicha situación” (ap. 2), colaboración que no impide el ejercicio de su competencia de coordinación, cuya esencia es la unidad de actuaciones.</w:t>
      </w:r>
    </w:p>
    <w:p w:rsidR="00163957" w:rsidRDefault="00163957" w:rsidP="00163957">
      <w:pPr>
        <w:pStyle w:val="TextoNormal"/>
      </w:pPr>
    </w:p>
    <w:p w:rsidR="00163957" w:rsidRDefault="00163957" w:rsidP="00163957">
      <w:pPr>
        <w:pStyle w:val="TextoNormal"/>
      </w:pPr>
      <w:r>
        <w:t xml:space="preserve">Por su parte, el art. 24 del Real Decreto 102/2011, según el Abogado del Estado, prevé que cuando el plan autonómico de calidad para zonas con nivel de contaminantes superiores </w:t>
      </w:r>
      <w:r>
        <w:lastRenderedPageBreak/>
        <w:t>a los límites fijados implique la realización de actuaciones en actividades, instalaciones o zonas situadas en el territorio de otra Comunidad Autónoma, la Administración General del Estado y las Comunidades Autónomas realizarán planes conjuntos de actuación para reducir la contaminación, correspondiendo a la Conferencia Sectorial en materia de medio ambiente, órgano de cooperación multilateral, la iniciativa para acordar la realización de planes conjuntos, la aprobación de su contenido y el seguimiento y evaluación multilateral de su puesta en práctica. El Estado se reserva únicamente la facultad de coordinar, esto es, la facultad de asegurar la adopción coordinada por las Comunidades Autónomas de medidas en cada uno de sus territorios para afrontar un problema de dimensión supraautonómica.</w:t>
      </w:r>
    </w:p>
    <w:p w:rsidR="00163957" w:rsidRDefault="00163957" w:rsidP="00163957">
      <w:pPr>
        <w:pStyle w:val="TextoNormal"/>
      </w:pPr>
    </w:p>
    <w:p w:rsidR="00163957" w:rsidRDefault="00163957" w:rsidP="00163957">
      <w:pPr>
        <w:pStyle w:val="TextoNormal"/>
      </w:pPr>
      <w:r>
        <w:t>El controvertido art. 24.4 incorpora, señala el Abogado del Estado, lo dispuesto en la Directiva 2008/50/CE en sus arts. 23 y 25.1 y atiende correctamente a los principios de cooperación y colaboración al atribuir a la Conferencia Sectorial de Medio Ambiente la aprobación de los planes conjuntos cuando “la contaminación atmosférica afecte a un ámbito territorial superior al de una comunidad autónoma, o su ámbito incluya actividades, infraestructuras o zonas de competencia de otras Administraciones públicas”, tal y como dispone el art. 16.3 de la Ley 34/2007.</w:t>
      </w:r>
    </w:p>
    <w:p w:rsidR="00163957" w:rsidRDefault="00163957" w:rsidP="00163957">
      <w:pPr>
        <w:pStyle w:val="TextoNormal"/>
      </w:pPr>
    </w:p>
    <w:p w:rsidR="00163957" w:rsidRDefault="00163957" w:rsidP="00163957">
      <w:pPr>
        <w:pStyle w:val="TextoNormal"/>
      </w:pPr>
      <w:r>
        <w:t>La coordinación estatal resulta, según el Abogado del Estado, imprescindible para asegurar actuaciones coherentes que garanticen la necesaria homogeneidad técnica al intervenir distintas Administraciones públicas. Una coordinación que está justificada, en su opinión, si se atiende al carácter transfronterizo de la contaminación que no se detiene en los límites territoriales de cada Comunidad Autónoma, así como a la supraterritorialidad derivada de la extensión, fijada internacionalmente, de las regiones cuya calidad del aire procede evaluar y al alto grado de homogeneidad técnica requerido.</w:t>
      </w:r>
    </w:p>
    <w:p w:rsidR="00163957" w:rsidRDefault="00163957" w:rsidP="00163957">
      <w:pPr>
        <w:pStyle w:val="TextoNormal"/>
      </w:pPr>
    </w:p>
    <w:p w:rsidR="00163957" w:rsidRDefault="00163957" w:rsidP="00163957">
      <w:pPr>
        <w:pStyle w:val="TextoNormal"/>
      </w:pPr>
      <w:r>
        <w:t>En definitiva, el Abogado del Estado sostiene que los preceptos impugnados establecen un marco legal mínimo en el que se fijan las bases para una adecuada evaluación y gestión de la calidad del aire basándose en la participación, cooperación y coordinación de las distintas Administraciones públicas.</w:t>
      </w:r>
    </w:p>
    <w:p w:rsidR="00163957" w:rsidRDefault="00163957" w:rsidP="00163957">
      <w:pPr>
        <w:pStyle w:val="TextoNormal"/>
      </w:pPr>
    </w:p>
    <w:p w:rsidR="00163957" w:rsidRDefault="00163957" w:rsidP="00163957">
      <w:pPr>
        <w:pStyle w:val="TextoNormal"/>
      </w:pPr>
      <w:r>
        <w:t>Por todo lo anterior, suplica que se declare que la competencia controvertida corresponde al Estado y que sea desestimado en su integridad el presente conflicto.</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15 de marzo de 2016, se señaló para deliberación y votación de la presente Sentencia el día 17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proceso constitucional tiene por objeto resolver el conflicto positivo de competencia planteado por el Gobierno de la Generalitat de Cataluña contra el último párrafo del art. 3.1 y contra los arts. 3.3 e), 8, 9.2, 12 y 24.4 del Real Decreto 102/2011, de 28 de enero, relativo a la mejora de la calidad del aire.</w:t>
      </w:r>
    </w:p>
    <w:p w:rsidR="00163957" w:rsidRDefault="00163957" w:rsidP="00163957">
      <w:pPr>
        <w:pStyle w:val="TextoNormal"/>
      </w:pPr>
    </w:p>
    <w:p w:rsidR="00163957" w:rsidRDefault="00163957" w:rsidP="00163957">
      <w:pPr>
        <w:pStyle w:val="TextoNormal"/>
      </w:pPr>
      <w:r>
        <w:t xml:space="preserve">Como se ha expuesto en los antecedentes, el Gobierno de la Generalitat de Cataluña considera que los preceptos impugnados vulneran la distribución constitucional y estatutaria de competencias en materia de medio ambiente al atribuir a la Administración del Estado </w:t>
      </w:r>
      <w:r>
        <w:lastRenderedPageBreak/>
        <w:t>competencias de ejecución y coordinación en aquella materia sin que concurran las circunstancias excepcionales que, de acuerdo con la doctrina del Tribunal Constitucional, pueden justificar esta atribución, y sin que pueda hacerlo tampoco ni el carácter supraterritorial de la contaminación atmosférica, ni la dimensión internacional y europea de las obligaciones asumidas por el Estado en relación con su control.</w:t>
      </w:r>
    </w:p>
    <w:p w:rsidR="00163957" w:rsidRDefault="00163957" w:rsidP="00163957">
      <w:pPr>
        <w:pStyle w:val="TextoNormal"/>
      </w:pPr>
    </w:p>
    <w:p w:rsidR="00163957" w:rsidRDefault="00163957" w:rsidP="00163957">
      <w:pPr>
        <w:pStyle w:val="TextoNormal"/>
      </w:pPr>
      <w:r>
        <w:t>Por el contrario, el Abogado del Estado rechaza la vulneración competencial denunciada, indicando que los preceptos impugnados han sido dictados, no sólo al amparo del art. 149.1.23 CE, que atribuye al Estado la legislación básica en materia de medio ambiente, sino también del art. 149.1.16 CE, conforme al cual corresponden al Estado las bases y la coordinación general de la sanidad, y del art. 149.1.20 CE, que le asigna al Estado la competencia exclusiva sobre el servicio meteorológico. Añade que, además, no puede obviarse que, como se afirma en el preámbulo de la Ley 34/2007, el aire y la contaminación no conocen deslindes territoriales o administrativos y que, por razones de homogeneidad y eficiencia técnica, determinadas mediciones o actuaciones referidas a espacios superiores al territorio de cualquier Comunidad Autónoma, o sólo pueden realizarse por la Administración del Estado, o bien requieren de su coordinación. Conclusión que, además, se ve reforzada por la regulación internacional y europea de la contaminación atmosférica.</w:t>
      </w:r>
    </w:p>
    <w:p w:rsidR="00163957" w:rsidRDefault="00163957" w:rsidP="00163957">
      <w:pPr>
        <w:pStyle w:val="TextoNormal"/>
      </w:pPr>
    </w:p>
    <w:p w:rsidR="00163957" w:rsidRDefault="00163957" w:rsidP="00163957">
      <w:pPr>
        <w:pStyle w:val="TextoNormal"/>
      </w:pPr>
      <w:r>
        <w:t>La controversia gira, pues, de un lado, en torno al encuadramiento material de la regulación que abordan los preceptos impugnados y, de otro, en torno a la justificación de la atribución al Estado de funciones de carácter ejecutivo y de coordinación.</w:t>
      </w:r>
    </w:p>
    <w:p w:rsidR="00163957" w:rsidRDefault="00163957" w:rsidP="00163957">
      <w:pPr>
        <w:pStyle w:val="TextoNormal"/>
      </w:pPr>
    </w:p>
    <w:p w:rsidR="00163957" w:rsidRDefault="00163957" w:rsidP="00163957">
      <w:pPr>
        <w:pStyle w:val="TextoNormal"/>
      </w:pPr>
      <w:r w:rsidRPr="00163957">
        <w:rPr>
          <w:rStyle w:val="NumeroAFNegritaCaracter"/>
        </w:rPr>
        <w:t>2</w:t>
      </w:r>
      <w:r>
        <w:t>. El Real Decreto 102/2011, de 28 de enero, relativo a la mejora de la calidad del aire, persigue, de acuerdo con lo dispuesto en su preámbulo, el desarrollo de la Ley 34/2007, de 15 de noviembre, de calidad del aire y protección de la atmósfera y de la Ley 14/1986, general de sanidad. Asimismo, procede a la trasposición de la Directiva 2008/50/CE, relativa a la calidad del aire ambiente y a una atmósfera más limpia en Europa.</w:t>
      </w:r>
    </w:p>
    <w:p w:rsidR="00163957" w:rsidRDefault="00163957" w:rsidP="00163957">
      <w:pPr>
        <w:pStyle w:val="TextoNormal"/>
      </w:pPr>
    </w:p>
    <w:p w:rsidR="00163957" w:rsidRDefault="00163957" w:rsidP="00163957">
      <w:pPr>
        <w:pStyle w:val="TextoNormal"/>
      </w:pPr>
      <w:r>
        <w:t>El Real Decreto 102/2011 tiene por objeto definir los objetivos de calidad del aire; regular la evaluación, mantenimiento y mejora de la calidad en relación con determinadas sustancias; establecer métodos y criterios comunes de evaluación de las concentraciones de otras; determinar la información a la población y a la Comisión Europea; y establecer para el amoniaco métodos y criterios de evaluación, así como la información a facilitar a la población y a intercambiar entre Administraciones. Todo ello con la finalidad, según se dice en el art. 1 del Real Decreto, de evitar, prevenir y reducir los efectos nocivos de las sustancias mencionadas sobre la salud humana, el medio ambiente en su conjunto y demás bienes de cualquier naturaleza.</w:t>
      </w:r>
    </w:p>
    <w:p w:rsidR="00163957" w:rsidRDefault="00163957" w:rsidP="00163957">
      <w:pPr>
        <w:pStyle w:val="TextoNormal"/>
      </w:pPr>
    </w:p>
    <w:p w:rsidR="00163957" w:rsidRDefault="00163957" w:rsidP="00163957">
      <w:pPr>
        <w:pStyle w:val="TextoNormal"/>
      </w:pPr>
      <w:r>
        <w:t>Para abordar la resolución del conflicto planteado procede, en primer lugar, analizar el contenido y alcance de los diversos títulos competenciales que invoca el propio Real Decreto y también, en su caso, los que alegan las partes, para luego, en segundo lugar, efectuar el encuadramiento competencial de los concretos preceptos controvertidos.</w:t>
      </w:r>
    </w:p>
    <w:p w:rsidR="00163957" w:rsidRDefault="00163957" w:rsidP="00163957">
      <w:pPr>
        <w:pStyle w:val="TextoNormal"/>
      </w:pPr>
    </w:p>
    <w:p w:rsidR="00163957" w:rsidRDefault="00163957" w:rsidP="00163957">
      <w:pPr>
        <w:pStyle w:val="TextoNormal"/>
      </w:pPr>
      <w:r>
        <w:t xml:space="preserve">Conviene, en todo caso, recordar, en primer término, dada la relevancia del contexto internacional y comunitario de la regulación que nos ocupa, que es doctrina de este Tribunal que “la traslación al ordenamiento interno de este Derecho supranacional no afecta a los criterios constitucionales de reparto competencial, que no resultan alterados ni por el ingreso </w:t>
      </w:r>
      <w:r>
        <w:lastRenderedPageBreak/>
        <w:t>de España en la Comunidad Europea ni por la promulgación de las normas comunitarias”. Ahora bien, “en la incorporación de las directivas al ordenamiento interno como, en general, en la ejecución del Derecho de la Unión por los poderes públicos españoles se deben conciliar, en la mayor medida de lo posible, el orden interno de distribución de poderes, por un lado, y el cumplimiento pleno y tempestivo de las obligaciones del Estado en el seno de la Unión, por otro” (STC 1/2012, FJ 9). Por ello, el enjuiciamiento del Derecho interno que realice una trasposición de Directivas europeas ha de llevarse a efecto por este Tribunal desde la perspectiva de su adecuación constitucional debiendo, no obstante, partirse para ello de la idea de que “las exigencias derivadas del Derecho de la Unión no pueden ser irrelevantes a la hora de establecer los márgenes constitucionalmente admisibles de libertad de apreciación política de que gozan los órganos constitucionales” (STC 1/2012, FJ 9).</w:t>
      </w:r>
    </w:p>
    <w:p w:rsidR="00163957" w:rsidRDefault="00163957" w:rsidP="00163957">
      <w:pPr>
        <w:pStyle w:val="TextoNormal"/>
      </w:pPr>
    </w:p>
    <w:p w:rsidR="00163957" w:rsidRDefault="00163957" w:rsidP="00163957">
      <w:pPr>
        <w:pStyle w:val="TextoNormal"/>
      </w:pPr>
      <w:r>
        <w:t>El Real Decreto 102/2011, en su disposición final segunda, invoca como amparo de la regulación que establece las competencias que los arts. 149.1.16 y 149.1.23 CE le otorgan al Estado en materia de bases y coordinación general de la sanidad y de legislación básica sobre protección del medio ambiente. No obstante, como ya se ha señalado más arriba, el Abogado del Estado alega también como fundamento de la regulación impugnada, la competencia exclusiva del Estado sobre servicio meteorológico (art. 149.1.20 CE).</w:t>
      </w:r>
    </w:p>
    <w:p w:rsidR="00163957" w:rsidRDefault="00163957" w:rsidP="00163957">
      <w:pPr>
        <w:pStyle w:val="TextoNormal"/>
      </w:pPr>
    </w:p>
    <w:p w:rsidR="00163957" w:rsidRDefault="00163957" w:rsidP="00163957">
      <w:pPr>
        <w:pStyle w:val="TextoNormal"/>
      </w:pPr>
      <w:r>
        <w:t>a) La distribución de competencias en materia medioambiental resulta compleja. El Estado en virtud del art. 149.1.23 CE ostenta competencia para establecer la legislación básica sobre protección del medio ambiente y a las Comunidades Autónomas corresponde, de acuerdo con sus Estatutos, dictar normas adicionales de protección, así como la gestión.</w:t>
      </w:r>
    </w:p>
    <w:p w:rsidR="00163957" w:rsidRDefault="00163957" w:rsidP="00163957">
      <w:pPr>
        <w:pStyle w:val="TextoNormal"/>
      </w:pPr>
    </w:p>
    <w:p w:rsidR="00163957" w:rsidRDefault="00163957" w:rsidP="00163957">
      <w:pPr>
        <w:pStyle w:val="TextoNormal"/>
      </w:pPr>
      <w:r>
        <w:t>La materia medio ambiente, ha dicho este Tribunal, ha de entenderse desde una doble perspectiva: sustantiva y dinámica. Desde una perspectiva sustantiva, el concepto de medio ambiente se identifica con el de ecosistema [conjunto de recursos naturales (aire, agua, atmósfera, flora, fauna) que constituyen el medio en el que se desenvuelve la vida del hombre], pero se extiende también a otros elementos que no son naturaleza, como es el caso del paisaje (STC 102/1995, FJ 6). Por otra parte, desde una perspectiva dinámica o funcional, el concepto hace referencia a una realidad que precisa conservación, protección e incluso, eventualmente, mejora. Sólo —ha dicho el Tribunal (STC 102/1995, FJ 7)— factores tales como la erosión del suelo, su deforestación y desertización, la contaminación de las aguas marítimas y fluviales, la contaminación de la atmósfera o la extinción de especies enteras, la contaminación acústica y otras manifestaciones similares explican la aparición del concepto de medio ambiente “nacido para reconducir a la unidad los diversos componentes de una realidad en peligro” (FJ 7).</w:t>
      </w:r>
    </w:p>
    <w:p w:rsidR="00163957" w:rsidRDefault="00163957" w:rsidP="00163957">
      <w:pPr>
        <w:pStyle w:val="TextoNormal"/>
      </w:pPr>
    </w:p>
    <w:p w:rsidR="00163957" w:rsidRDefault="00163957" w:rsidP="00163957">
      <w:pPr>
        <w:pStyle w:val="TextoNormal"/>
      </w:pPr>
      <w:r>
        <w:t>Los elementos del ecosistema, sin embargo, con frecuencia tienen un carácter supraterritorial, lo que ha suscitado la cuestión relativa a la posibilidad de que el Estado asuma en materia medioambiental competencias de mera ejecución. Tal cuestión se planteó, por ejemplo, en relación con los parques nacionales y con la declaración de zonas ambientales contaminadas.</w:t>
      </w:r>
    </w:p>
    <w:p w:rsidR="00163957" w:rsidRDefault="00163957" w:rsidP="00163957">
      <w:pPr>
        <w:pStyle w:val="TextoNormal"/>
      </w:pPr>
    </w:p>
    <w:p w:rsidR="00163957" w:rsidRDefault="00163957" w:rsidP="00163957">
      <w:pPr>
        <w:pStyle w:val="TextoNormal"/>
      </w:pPr>
      <w:r>
        <w:t xml:space="preserve">En ambos casos, el Tribunal (STC 329/1993, de 12 de noviembre, y 102/1995, de 26 de junio) ha afirmado que el carácter supraterritorial del fenómeno ambiental, no convierte a la competencia ejecutiva en estatal, pues la supraterritorialidad no se configura como título competencial en materia de medio ambiente, siendo, por tanto, este factor insuficiente para </w:t>
      </w:r>
      <w:r>
        <w:lastRenderedPageBreak/>
        <w:t>desplazar la competencia al Estado y vaciar o reducir la competencia autonómica en la materia, aunque sí pueda dar lugar a mecanismos de cooperación y coordinación.</w:t>
      </w:r>
    </w:p>
    <w:p w:rsidR="00163957" w:rsidRDefault="00163957" w:rsidP="00163957">
      <w:pPr>
        <w:pStyle w:val="TextoNormal"/>
      </w:pPr>
    </w:p>
    <w:p w:rsidR="00163957" w:rsidRDefault="00163957" w:rsidP="00163957">
      <w:pPr>
        <w:pStyle w:val="TextoNormal"/>
      </w:pPr>
      <w:r>
        <w:t>En relación con la declaración de las zonas ambientales contaminadas, teniendo en cuenta que esa declaración lleva aparejada determinadas obligaciones, límites y prohibiciones y que el área contaminada puede superar el ámbito territorial de una Comunidad Autónoma o requerir correcciones en el territorio de otra Comunidad Autónoma y que constitucionalmente ninguna de las Comunidades Autónomas puede adoptar medidas al efecto que tengan eficacia directa en el territorio de la otra, el Tribunal señaló, en su STC 329/1993, que ello no obsta a que el problema pueda resolverse sin necesidad de que el Estado se reserve la competencia. Entre otras razones, porque podría haberse previsto la coordinación estatal de la actuación de las Comunidades Autónomas.</w:t>
      </w:r>
    </w:p>
    <w:p w:rsidR="00163957" w:rsidRDefault="00163957" w:rsidP="00163957">
      <w:pPr>
        <w:pStyle w:val="TextoNormal"/>
      </w:pPr>
    </w:p>
    <w:p w:rsidR="00163957" w:rsidRDefault="00163957" w:rsidP="00163957">
      <w:pPr>
        <w:pStyle w:val="TextoNormal"/>
      </w:pPr>
      <w:r>
        <w:t>En efecto, el Tribunal ha afirmado que “no cabe excluir en esta materia de medio ambiente la existencia de facultades estatales de coordinación” y que estas facultades “podrían asegurar la adopción coordinada por las Comunidades Autónomas afectadas de medidas en cada uno de sus territorios para afrontar un problema que, por su dimensión afecta más allá de los límites del propio territorio”.</w:t>
      </w:r>
    </w:p>
    <w:p w:rsidR="00163957" w:rsidRDefault="00163957" w:rsidP="00163957">
      <w:pPr>
        <w:pStyle w:val="TextoNormal"/>
      </w:pPr>
    </w:p>
    <w:p w:rsidR="00163957" w:rsidRDefault="00163957" w:rsidP="00163957">
      <w:pPr>
        <w:pStyle w:val="TextoNormal"/>
      </w:pPr>
      <w:r>
        <w:t>No obstante lo anterior, cabe igualmente destacar que la delimitación entre la materia medioambiente y otras materias resulta singularmente compleja dado el carácter transversal e intersectorial del medioambiente que, no sólo afecta a diversos recursos naturales (aguas, flora y fauna, espacios naturales, atmósfera…), sino que también está íntimamente ligado a otros campos de la actividad humana.</w:t>
      </w:r>
    </w:p>
    <w:p w:rsidR="00163957" w:rsidRDefault="00163957" w:rsidP="00163957">
      <w:pPr>
        <w:pStyle w:val="TextoNormal"/>
      </w:pPr>
    </w:p>
    <w:p w:rsidR="00163957" w:rsidRDefault="00163957" w:rsidP="00163957">
      <w:pPr>
        <w:pStyle w:val="TextoNormal"/>
      </w:pPr>
      <w:r>
        <w:t xml:space="preserve">b) Así, la relación entre medioambiente y salud es manifiesta desde los orígenes del Derecho medioambiental que se encuentran, sin lugar a dudas, en las antiguas normas de salubridad de las poblaciones. Los daños y el deterioro del medio ambiente no sólo afectan al medio natural, sino también a la salud y a la calidad de vida de las personas. La conciencia sobre la interacción entre medioambiente y salud ha ido, además, en aumento en los últimos años y ha resultado ser mucho más intensa y relevante de lo que se pensaba. Como se señala en la estrategia europea de medio ambiente y salud (COM/2003/0338), en el plan comunitario de acción de medio ambiente y salud (2004-2010) y también en nuestra legislación sanitaria (Ley 33/2011, de 4 de octubre, general de salud pública), los factores ambientales tienen un efecto significativo sobre la salud de la ciudadanía, siendo necesaria una mayor atención a la interacción de las distintas sustancias contaminantes en el cuerpo humano. Por ello, en la estrategia europea de medio ambiente y salud, la Comisión propone un enfoque integrado basado en una cooperación más estrecha entre los ámbitos de la salud, el medioambiente y la investigación y un sistema que integre información sobre el estado del medio ambiente, el ecosistema y la salud humana. Y en el plan de acción europeo de medio ambiente y salud, la comisión asume la responsabilidad de determinar con más precisión la relación existente entre un medio ambiente desfavorable y la salud con la finalidad de actuar con más eficacia. Es más, en la revisión intermedia del plan de acción europeo sobre medio ambiente y salud (2004-2010), la Comisión ha subrayado los crecientes vínculos entre las políticas de medio ambiente y salud, especialmente en cuanto al desarrollo de sistemas de información, la concesión de prioridad a las interacciones de salud y medio ambiente en el campo de la investigación y el refuerzo de la cooperación entre los sectores del medio ambiente, la investigación y la sanidad. Por otra parte, en nuestra legislación sanitaria nacional </w:t>
      </w:r>
      <w:r>
        <w:lastRenderedPageBreak/>
        <w:t>también se advierte un cambio de enfoque. Hasta fechas recientes ha primado la preocupación por la prestación sanitaria y su adecuada regulación, pero en la Ley 33/2011, general de salud pública, se advierte ya el creciente interés por la prevención de los efectos adversos que sobre la salud pueden tener diferentes factores, elementos y agentes físicos, químicos y biológicos, regulándose la sanidad ambiental como función de identificación, evaluación, gestión y comunicación de los riesgos para la salud que pueden derivarse de los condicionantes ambientales, así como de vigilancia de los factores ambientales de carácter físico, químico o biológico y de las situaciones ambientales que afectan o pueden afectar a la salud (art. 30).</w:t>
      </w:r>
    </w:p>
    <w:p w:rsidR="00163957" w:rsidRDefault="00163957" w:rsidP="00163957">
      <w:pPr>
        <w:pStyle w:val="TextoNormal"/>
      </w:pPr>
    </w:p>
    <w:p w:rsidR="00163957" w:rsidRDefault="00163957" w:rsidP="00163957">
      <w:pPr>
        <w:pStyle w:val="TextoNormal"/>
      </w:pPr>
      <w:r>
        <w:t>La contaminación del aire se considera el principal factor medioambiental de riesgo de muerte prematura en Europa, estando, por otra parte, las partículas entre los contaminantes más problemáticos desde una perspectiva sanitaria y, dentro de las partículas, en especial, las PM 2,5 cuyo menor diámetro facilita la penetración en los pulmones. En su informe sobre la calidad del aire de 2014, la Agencia Europea de Medio Ambiente afirma que se estima que la exposición a las PM 2,5 fue en el año 2011 la causa de 458.000 muertes prematuras en Europa y que la exposición al ozono en el mismo año ocasionó aproximadamente 17.400 muertes prematuras. La contaminación atmosférica no sólo produce, por otra parte, muertes prematuras sino que además incrementa la incidencia de un amplio espectro de enfermedades, como las enfermedades cardiovasculares, las enfermedades respiratorias y el cáncer.</w:t>
      </w:r>
    </w:p>
    <w:p w:rsidR="00163957" w:rsidRDefault="00163957" w:rsidP="00163957">
      <w:pPr>
        <w:pStyle w:val="TextoNormal"/>
      </w:pPr>
    </w:p>
    <w:p w:rsidR="00163957" w:rsidRDefault="00163957" w:rsidP="00163957">
      <w:pPr>
        <w:pStyle w:val="TextoNormal"/>
      </w:pPr>
      <w:r>
        <w:t>En definitiva, como ya ha tenido ocasión de señalar este Tribunal (STC 329/1993, FJ 4), en relación precisamente con la lucha contra la contaminación atmosférica, la protección del medio ambiente “tiene como objetivo final y está íntimamente unida a ‘la protección de la salud de las personas’”. De ahí las dificultades de deslindar, en numerosos supuestos, las materias de salud y medioambiente. Ciertamente, hasta el momento, el Tribunal ha encuadrado cada precepto en una y otra de estas materias utilizando para ello el criterio de la especificidad o finalidad primordial de la disposición analizada. Así, por ejemplo, mientras que ha considerado que las medidas de control de la calidad del agua destinada al consumo humano se inscriben en la materia sanidad (STC 208/1991, de 31 de octubre, FJ 4), ha ubicado las declaraciones de zona atmosférica contaminada en la materia medio ambiente (STC 329/1993, de 12 de noviembre).</w:t>
      </w:r>
    </w:p>
    <w:p w:rsidR="00163957" w:rsidRDefault="00163957" w:rsidP="00163957">
      <w:pPr>
        <w:pStyle w:val="TextoNormal"/>
      </w:pPr>
    </w:p>
    <w:p w:rsidR="00163957" w:rsidRDefault="00163957" w:rsidP="00163957">
      <w:pPr>
        <w:pStyle w:val="TextoNormal"/>
      </w:pPr>
      <w:r>
        <w:t>En materia de salud, el art. 149.1.16 CE confiere al Estado potestad para dictar las bases, pero también para llevar a cabo la coordinación general de la sanidad. El Tribunal ha destacado que esta competencia estatal de coordinación responde a la “globalidad del sistema sanitario” (por todas, STC 194/2004, FJ 8) y persigue “la integración de la diversidad de las partes o subsistemas en el conjunto o sistema, evitando contradicciones y reduciendo disfunciones que, de subsistir, impedirán o dificultarán respectivamente la realidad misma del sistema”.</w:t>
      </w:r>
    </w:p>
    <w:p w:rsidR="00163957" w:rsidRDefault="00163957" w:rsidP="00163957">
      <w:pPr>
        <w:pStyle w:val="TextoNormal"/>
      </w:pPr>
    </w:p>
    <w:p w:rsidR="00163957" w:rsidRDefault="00163957" w:rsidP="00163957">
      <w:pPr>
        <w:pStyle w:val="TextoNormal"/>
      </w:pPr>
      <w:r>
        <w:t xml:space="preserve">c) Resta por examinar el alcance del último de los títulos competenciales invocados, el art. 149.1.20 CE que atribuye al Estado competencia exclusiva sobre el servicio meteorológico. Este Tribunal ha tenido la ocasión de afirmar en su STC 31/2010 (FJ 88) que las Comunidades Autónomas pueden asumir competencias en relación con servicios meteorológicos propios, siempre que ello no limite la plena competencia estatal sobre meteorología en la totalidad del territorio español, lo que incluye la adopción de cualquier medida normativa </w:t>
      </w:r>
      <w:r>
        <w:lastRenderedPageBreak/>
        <w:t>y aplicativa con apoyo físico en todo el territorio del Estado y, en consecuencia, en cada territorio autonómico.</w:t>
      </w:r>
    </w:p>
    <w:p w:rsidR="00163957" w:rsidRDefault="00163957" w:rsidP="00163957">
      <w:pPr>
        <w:pStyle w:val="TextoNormal"/>
      </w:pPr>
    </w:p>
    <w:p w:rsidR="00163957" w:rsidRDefault="00163957" w:rsidP="00163957">
      <w:pPr>
        <w:pStyle w:val="TextoNormal"/>
      </w:pPr>
      <w:r>
        <w:t>Sin embargo, hasta el momento este Tribunal no ha determinado el contenido y alcance de esta concreta competencia, ni ha tenido ocasión de deslindarla de otras materias afines como el medio ambiente. En una primera aproximación semántica, cabe destacar que, de acuerdo con el Diccionario de la Real Academia Española, la meteorología es la ciencia que trata de la atmósfera y los meteoros. No obstante, el contenido y alcance del término “servicio meteorológico” ha de indagarse ulteriormente prestando atención a la función que habitualmente han realizado y que siguen realizando, hoy en día, estos servicios, y que se vincula fundamentalmente con la recopilación y análisis de aquellos datos relativos a la composición física y química de la atmósfera, sin perjuicio de que, con posterioridad, puedan ser utilizados en su valoración para fines diversos.</w:t>
      </w:r>
    </w:p>
    <w:p w:rsidR="00163957" w:rsidRDefault="00163957" w:rsidP="00163957">
      <w:pPr>
        <w:pStyle w:val="TextoNormal"/>
      </w:pPr>
    </w:p>
    <w:p w:rsidR="00163957" w:rsidRDefault="00163957" w:rsidP="00163957">
      <w:pPr>
        <w:pStyle w:val="TextoNormal"/>
      </w:pPr>
      <w:r>
        <w:t>Así, la declaración de la Organización Meteorológica Mundial sobre el funcionamiento de los servicios meteorológicos nacionales señala, entre las funciones que desarrollan éstos, las siguientes: mantener un registro histórico continuo, fiable y completo de los datos meteorológicos, climáticos, hidrológicos y medioambientales conexos a nivel nacional; participar en el desarrollo, implantación y operación de sistemas nacionales de alerta temprana de riesgos entre otros campos en el de la contaminación transfronteriza; implantar y operar redes de estaciones de observación que recopilan observaciones del sistema tierra-atmósfera-océano en tiempo real, en apoyo de la prestación de servicios meteorológicos, climáticos, hidrológicos y medioambientales conexos, y de actividades de investigación, incluidas la evaluación y la proyección del cambio climático; adquirir y operar sistemas de proceso de datos y de predicción para prestar servicios meteorológicos, climáticos, hidrológicos y medioambientales conexos en tiempo real, como las alertas y avisos dirigidos al público, y a sectores como la agricultura, los recursos hídricos, la energía, la salud, la navegación, la aviación, la defensa nacional y el medio ambiente.</w:t>
      </w:r>
    </w:p>
    <w:p w:rsidR="00163957" w:rsidRDefault="00163957" w:rsidP="00163957">
      <w:pPr>
        <w:pStyle w:val="TextoNormal"/>
      </w:pPr>
    </w:p>
    <w:p w:rsidR="00163957" w:rsidRDefault="00163957" w:rsidP="00163957">
      <w:pPr>
        <w:pStyle w:val="TextoNormal"/>
      </w:pPr>
      <w:r>
        <w:t xml:space="preserve">Se señala en la declaración, además, que los servicios meteorológicos nacionales recopilan datos de observaciones y proporcionan información útil para asesorar a los gobiernos respecto de acuerdos medioambientales internacionales y regionales y de disposiciones de funcionamiento relativas al tiempo, el clima, el agua y el medio ambiente. La propia Organización Meteorológica Mundial coordina la actividad científica mundial comprendiendo desde la predicción meteorológica hasta la investigación sobre la contaminación del aire, el cambio climático, los estudios sobre la capa de ozono y la predicción de las tormentas tropicales. Facilita, además, información sobre el estado del sistema climático mundial y del medio ambiente atmosférico y elabora diversas evaluaciones científicas, declaraciones, boletines y otras advertencias sobre el estado del clima y el medio ambiente. De esta forma, proporciona, además, apoyo directo a varios acuerdos multilaterales sobre medio ambiente, entre ellos los relativos al cambio climático, la protección de la capa de ozono, la diversidad biológica y la contaminación atmosférica transfronteriza a larga distancia. La Organización Meteorológica Mundial organiza y promueve la investigación internacional y las evaluaciones científicas de las condiciones ambientales regionales y mundiales. Cuenta con una comisión de ciencias atmosféricas y desarrolla el programa de vigilancia de la atmósfera global sobre química atmosférica (VAG) en el marco del programa de investigación de la atmósfera y el medio ambiente que coordina y fomenta la investigación sobre la estructura y composición de la atmósfera. El VAG es un programa que proporciona información y datos </w:t>
      </w:r>
      <w:r>
        <w:lastRenderedPageBreak/>
        <w:t>científicos sobre la composición química de la atmósfera, su cambio natural y de origen antropogénico, y para ayudar a comprender las interacciones entre la atmósfera, los océanos y la biosfera. Las áreas focales del programa son los gases de efecto invernadero, el ozono, la radiación ultravioleta, los aerosoles, una selección de gases reactivos y la composición química de la precipitación.</w:t>
      </w:r>
    </w:p>
    <w:p w:rsidR="00163957" w:rsidRDefault="00163957" w:rsidP="00163957">
      <w:pPr>
        <w:pStyle w:val="TextoNormal"/>
      </w:pPr>
    </w:p>
    <w:p w:rsidR="00163957" w:rsidRDefault="00163957" w:rsidP="00163957">
      <w:pPr>
        <w:pStyle w:val="TextoNormal"/>
      </w:pPr>
      <w:r>
        <w:t>En definitiva, las funciones que llevan a cabo hoy las organizaciones y servicios meteorológicos son singularmente extensas, abarcando tareas que van más allá de la predicción del tiempo y que alcanzan aquellas referidas a la recopilación de datos, a la vigilancia y a la investigación acerca de la composición física y química de la atmósfera, facilitando así datos e información que, una vez recogidos por tales servicios meteorológicos, proporcionarán apoyo a las diversas políticas públicas, entre ellas la medioambiental y la sanitaria —pero también otras como las relativas a la navegación, la aviación civil, la defensa nacional, el tráfico etc.—; políticas públicas que pueden pertenecer al Estado o a una Comunidad Autónoma.</w:t>
      </w:r>
    </w:p>
    <w:p w:rsidR="00163957" w:rsidRDefault="00163957" w:rsidP="00163957">
      <w:pPr>
        <w:pStyle w:val="TextoNormal"/>
      </w:pPr>
    </w:p>
    <w:p w:rsidR="00163957" w:rsidRDefault="00163957" w:rsidP="00163957">
      <w:pPr>
        <w:pStyle w:val="TextoNormal"/>
      </w:pPr>
      <w:r w:rsidRPr="00163957">
        <w:rPr>
          <w:rStyle w:val="NumeroAFNegritaCaracter"/>
        </w:rPr>
        <w:t>3</w:t>
      </w:r>
      <w:r>
        <w:t>. Una vez examinado el alcance de los diversos títulos competenciales invocados y dadas las interrelaciones entre las materias implicadas en la presente regulación, no procede realizar un encuadramiento general del Real Decreto 102/2011, sino llevar a cabo el mismo en relación con cada precepto concreto en función de la materia que regule y la finalidad u objetivo al que atienda. De este modo, una vez analizado el contexto normativo del Real Decreto 102/2011, así como la distribución de competencias en las materias involucradas, debemos proceder ya al análisis concreto de los preceptos controvertidos, comenzando por el último párrafo del art. 3.1 y por los arts. 8, 9.2 y 12 del Real Decreto 102/2011, de 28 de enero, de mejora de calidad del aire, cuya impugnación está estrechamente vinculada.</w:t>
      </w:r>
    </w:p>
    <w:p w:rsidR="00163957" w:rsidRDefault="00163957" w:rsidP="00163957">
      <w:pPr>
        <w:pStyle w:val="TextoNormal"/>
      </w:pPr>
    </w:p>
    <w:p w:rsidR="00163957" w:rsidRDefault="00163957" w:rsidP="00163957">
      <w:pPr>
        <w:pStyle w:val="TextoNormal"/>
      </w:pPr>
      <w:r>
        <w:t>El último párrafo del art. 3.1 atribuye a la Agencia Estatal de Meteorología, adscrita al Ministerio de Medio Ambiente y Medio Rural y Marino y responsable de la gestión de la red EMEP/VAG/CAMP de contaminación atmosférica de fondo, por un lado, la implantación de un sistema de control y garantía de calidad que asegure la exhaustividad, coherencia, transparencia, comparabilidad y confianza de los resultados obtenidos en dicha red, y, por otro, la realización de determinadas mediciones. Concretamente, le atribuye la realización de las mediciones indicativas de partículas PM 2,5 descritas en el artículo 8; de las mediciones indicativas de metales pesados e hidrocarburos aromáticos policíclicos descritas en el artículo 9; y de las mediciones de amoniaco en estaciones rurales de fondo señaladas en el artículo 12.</w:t>
      </w:r>
    </w:p>
    <w:p w:rsidR="00163957" w:rsidRDefault="00163957" w:rsidP="00163957">
      <w:pPr>
        <w:pStyle w:val="TextoNormal"/>
      </w:pPr>
    </w:p>
    <w:p w:rsidR="00163957" w:rsidRDefault="00163957" w:rsidP="00163957">
      <w:pPr>
        <w:pStyle w:val="TextoNormal"/>
      </w:pPr>
      <w:r>
        <w:t xml:space="preserve">El art. 8, relativo a los criterios adicionales para las partículas PM 2,5, establece que, además de las evaluaciones indicadas en el artículo 6, el Ministerio de Medio Ambiente, y Medio Rural y Marino, en colaboración con las Comunidades Autónomas, establecerá puntos de muestreo para mediciones indicativas en ubicaciones rurales de fondo alejadas de fuentes significativas de contaminación atmosférica con el objetivo de facilitar, como mínimo, información acerca de la concentración másica total y la especiación química de las concentraciones de partículas PM 2,5, en medias anuales. Para ello, el precepto dispone que se emplearán los siguientes criterios: a) Se instalará un punto de muestreo cada 100.000 km2; b) Se podrá acordar con los Estados limítrofes el establecimiento de una o varias estaciones de medición comunes que abarquen las zonas colindantes relevantes con el fin de conseguir la resolución espacial necesaria; c) Cuando proceda, las actividades de control </w:t>
      </w:r>
      <w:r>
        <w:lastRenderedPageBreak/>
        <w:t>deberán coordinarse con la Estrategia de vigilancia continuada y medición del programa de cooperación para la vigilancia continua y la evaluación del transporte a gran distancia de contaminantes atmosféricos en Europa (EMEP); d) El apartado I del anexo V y las especificaciones de los sistemas de control y garantía de calidad se aplicarán en relación con los objetivos de calidad de los datos para las mediciones de la concentración másica de las particular y el anexo VIII se aplicará en su integridad.</w:t>
      </w:r>
    </w:p>
    <w:p w:rsidR="00163957" w:rsidRDefault="00163957" w:rsidP="00163957">
      <w:pPr>
        <w:pStyle w:val="TextoNormal"/>
      </w:pPr>
    </w:p>
    <w:p w:rsidR="00163957" w:rsidRDefault="00163957" w:rsidP="00163957">
      <w:pPr>
        <w:pStyle w:val="TextoNormal"/>
      </w:pPr>
      <w:r>
        <w:t>El precepto impugnado se encuentra íntimamente relacionado con la Directiva 2008/50/CE, relativa a la calidad del aire ambiente y a una atmósfera más limpia en Europa que pone de relieve la importancia de realizar las mediciones detalladas de las partículas finas (PM 2,5) en ubicaciones rurales de fondo, al margen de las mediciones fijas (destinadas a evaluar el cumplimiento de los valores límite y de los umbrales de alerta), con el fin de comprender mejor las repercusiones de este contaminante y de desarrollar las políticas apropiadas; mediciones que han de ser coherentes con las del programa de cooperación para la vigilancia continua y la evaluación de transporte a gran distancia de contaminantes atmosféricos en Europa (EMEP). Estas mediciones en ubicaciones rurales de fondo se realizan con el objetivo de facilitar, dice el art. 6.5 de la Directiva, información acerca de la concentración másica total y la especiación química de las concentraciones de partículas finas (PM 2,5) en medias anuales. Para ello, dispone este precepto, se instalará un punto de muestreo cada 100.000 km2; cada Estado miembro deberá establecer al menos una estación de medición o podrá acordar con los Estados limítrofes el establecimiento de una o varias estaciones de medición comunes que abarquen las zonas colindantes relevantes con el fin de conseguir la resolución espacial necesaria; y cuando proceda, las actividades de vigilancia deberán coordinarse con la estrategia de vigilancia continuada y medición del programa de cooperación para la vigilancia continua y la evaluación del transporte a gran distancia de contaminantes atmosféricos en Europa.</w:t>
      </w:r>
    </w:p>
    <w:p w:rsidR="00163957" w:rsidRDefault="00163957" w:rsidP="00163957">
      <w:pPr>
        <w:pStyle w:val="TextoNormal"/>
      </w:pPr>
    </w:p>
    <w:p w:rsidR="00163957" w:rsidRDefault="00163957" w:rsidP="00163957">
      <w:pPr>
        <w:pStyle w:val="TextoNormal"/>
      </w:pPr>
      <w:r>
        <w:t>En definitiva, como se aclara en el anexo IV de la Directiva, el principal objetivo de las mediciones en ubicaciones rurales de fondo con independencia de la concentración en el aire ambiente es asegurar que se facilite información suficiente sobre los niveles de contaminación de fondo. Una información que, añade la Directiva, resulta esencial para evaluar los niveles incrementados de las zonas más contaminadas (como las zonas urbanas, los lugares industriales y los emplazamientos con influencia de tráfico), determinar la posible contribución del transporte a larga distancia de contaminantes transfronterizos, complementar los análisis de distribución según las fuentes y para la comprensión de contaminantes específicos como las partículas. La información resulta, además, esencial, sigue explicando la Directiva, para el mayor uso de las técnicas de modelización en zonas urbanas. Este tipo de mediciones, según la Directiva, han de realizarse fundamentalmente en ubicaciones rurales de fondo que cumplan con los criterios recogidos en las secciones A, B y C del anexo III, es decir, entre otros factores, evitando que los puntos de muestreo estén influidos por las aglomeraciones o los emplazamientos industriales de los alrededores, es decir, los situados a menos de cinco kilómetros.</w:t>
      </w:r>
    </w:p>
    <w:p w:rsidR="00163957" w:rsidRDefault="00163957" w:rsidP="00163957">
      <w:pPr>
        <w:pStyle w:val="TextoNormal"/>
      </w:pPr>
    </w:p>
    <w:p w:rsidR="00163957" w:rsidRDefault="00163957" w:rsidP="00163957">
      <w:pPr>
        <w:pStyle w:val="TextoNormal"/>
      </w:pPr>
      <w:r>
        <w:t xml:space="preserve">El art. 9.2 del Real Decreto impugnado, que regula los criterios adicionales para arsénico, cadmio, mercurio, níquel e hidrocarburos aromáticos policíclicos, dispone que, independientemente de los niveles en aire ambiente, el Ministerio de Medio Ambiente, y Medio Rural y Marino, en colaboración con las Comunidades Autónomas, establecerá un punto de muestreo cada 100.000 km2 para la medición indicativa, en el aire ambiente, del arsénico, </w:t>
      </w:r>
      <w:r>
        <w:lastRenderedPageBreak/>
        <w:t>cadmio, mercurio gaseoso total, níquel, benzo(a)pireno, y de los demás hidrocarburos aromáticos policíclicos contemplados en el apartado 1, así como de sus depósitos totales. También —añade— se medirá el mercurio particulado y el mercurio gaseoso divalente. Estas medidas se coordinarán con la Estrategia de vigilancia continuada y medición del Programa EMEP y los lugares de muestreo para estos contaminantes deberán seleccionarse de manera que pueda identificarse la variación geográfica y las tendencias a largo plazo. Con tal finalidad, se aplicarán los apartados II, III y IV del anexo III.</w:t>
      </w:r>
    </w:p>
    <w:p w:rsidR="00163957" w:rsidRDefault="00163957" w:rsidP="00163957">
      <w:pPr>
        <w:pStyle w:val="TextoNormal"/>
      </w:pPr>
    </w:p>
    <w:p w:rsidR="00163957" w:rsidRDefault="00163957" w:rsidP="00163957">
      <w:pPr>
        <w:pStyle w:val="TextoNormal"/>
      </w:pPr>
      <w:r>
        <w:t>El control de la contaminación por arsénico, cadmio, mercurio, níquel e hidrocarburos aromáticos policíclicos en el aire ambiente cuenta con una regulación independiente en el Derecho comunitario. No ha sido incluida en la Directiva 2008/50/CE, sino que sigue rigiéndose por la Directiva 2004/107/CE, de 15 de diciembre; su consolidación con la Directiva 2004/107/CE ha quedado pospuesta a que se adquiera suficiente experiencia en cuanto a su aplicación. Los datos científicos, dice la Directiva 2004/107/CE, muestran que estas sustancias son cancerígenos genotóxicos para el ser humano y que no hay ningún límite identificable por debajo del cual estas sustancias no constituyan un riesgo para la salud humana. La Directiva regula las mediciones fijas de estos contaminantes, pero también, las mediciones indicativas a realizar con independencia de los niveles de concentración en el aire ambiente y dispone, al respecto, que se establecerá un punto básico de muestreo cada 100.000 km2, obligando a cada Estado miembro a establecer al menos una estación de medición y abriendo la puerta a que, de común acuerdo, puedan también los Estados miembros fronterizos establecer una o varias estaciones de medición comunes que cubran zonas vecinas con el fin de lograr la resolución espacial necesaria. Las mediciones deben coordinarse con la estrategia de control y el programa de cooperación para la vigilancia continua y la evaluación del transporte a gran distancia de contaminantes atmosféricos de Europa (EMEP). Los lugares de muestreo deberán seleccionarse de manera que pueda identificarse la variación geográfica y las tendencias a largo plazo y se aplicarán las secciones I, II y III del anexo III, de acuerdo con los cuales el lugar de muestreo, en el caso de las concentraciones de fondo, no debe estar influido por aglomeraciones o emplazamientos industriales de su entorno, es decir, emplazamientos situados a escasos kilómetros. En la medición de depósitos en zonas rurales se aplicarán, en la medida de lo posible, las directrices y criterios EMEP.</w:t>
      </w:r>
    </w:p>
    <w:p w:rsidR="00163957" w:rsidRDefault="00163957" w:rsidP="00163957">
      <w:pPr>
        <w:pStyle w:val="TextoNormal"/>
      </w:pPr>
    </w:p>
    <w:p w:rsidR="00163957" w:rsidRDefault="00163957" w:rsidP="00163957">
      <w:pPr>
        <w:pStyle w:val="TextoNormal"/>
      </w:pPr>
      <w:r>
        <w:t>Finalmente, el art. 12 del Real Decreto impugnado, sobre las mediciones de las concentraciones de amoniaco, establece, en su apartado 1, que el Ministerio de Medio Ambiente, y Medio Rural y Marino, en colaboración con las Comunidades Autónomas, determinará 5 puntos rurales de fondo para la medición de niveles en aire ambiente del amoníaco, repartidos uniformemente por el territorio español. Estas medidas se coordinarán con la estrategia de vigilancia continuada y medición del programa EMEP. Su apartado 2 añade que, además, las autoridades competentes garantizarán al menos un punto para la medición de amoniaco en un área de intensidad elevada de tráfico en todas las ciudades con un número de habitantes superior a 500.000. Y, por último, en el apartado 3, se dispone que la ubicación de los puntos de muestreo para la medición de las concentraciones de amoniaco, los objetivos de calidad de los datos, y las técnicas de análisis para la evaluación de las concentraciones se ajustarán al contenido del anexo XII.</w:t>
      </w:r>
    </w:p>
    <w:p w:rsidR="00163957" w:rsidRDefault="00163957" w:rsidP="00163957">
      <w:pPr>
        <w:pStyle w:val="TextoNormal"/>
      </w:pPr>
    </w:p>
    <w:p w:rsidR="00163957" w:rsidRDefault="00163957" w:rsidP="00163957">
      <w:pPr>
        <w:pStyle w:val="TextoNormal"/>
      </w:pPr>
      <w:r>
        <w:t xml:space="preserve">La Abogada de la Generalitat afirma que los preceptos referidos reservan al Estado dos funciones de clara ejecución, que corresponde llevar a cabo a las Comunidades Autónomas: </w:t>
      </w:r>
      <w:r>
        <w:lastRenderedPageBreak/>
        <w:t>a) la implantación de un sistema de control y garantía de calidad que asegure unos resultados fiables y uniformes en la Red EMEP/VAG/CAMP y b) la realización de mediciones de partículas PM 2,5, metales pesados, hidrocarburos aromáticos policíclicos y de amoniaco en estaciones rurales de fondo. La representación autonómica no cuestiona la competencia del Estado para determinar los criterios técnicos de funcionamiento sino únicamente que se atribuyan al Estado las actividades puramente de ejecución, como es la instalación de los puntos de muestreo o las estaciones de medición, esto es “la realización material de todas las operaciones que requieren su montaje”. Considera que la propia Ley 34/2007 dispone, en su opinión, cómo debe la Administración del Estado determinar los requisitos mínimos a los que deberán ajustarse las estaciones, redes, métodos y otros sistemas de evaluación de la calidad del aire con la finalidad de evitar el fraccionamiento del sistema unitario [art. 5.1 c)], atribuyendo a las Comunidades Autónomas evaluar la calidad del aire (art. 5.2) lo que comporta la implantación de los puntos de muestreo y la realización efectiva de las mediciones de partículas.</w:t>
      </w:r>
    </w:p>
    <w:p w:rsidR="00163957" w:rsidRDefault="00163957" w:rsidP="00163957">
      <w:pPr>
        <w:pStyle w:val="TextoNormal"/>
      </w:pPr>
    </w:p>
    <w:p w:rsidR="00163957" w:rsidRDefault="00163957" w:rsidP="00163957">
      <w:pPr>
        <w:pStyle w:val="TextoNormal"/>
      </w:pPr>
      <w:r>
        <w:t>El Abogado del Estado defiende la constitucionalidad de los preceptos afirmando la posibilidad de realizar una interpretación conforme de los mismos, de acuerdo con la cual hay que entender que estos preceptos lo que reservan al Estado es la fijación técnica de la exacta ubicación del punto de muestreo o del punto rural de fondo sin que ello suponga “la realización de las operaciones materiales de montaje efectivo”, lo cual, se hará, destaca, en colaboración con las Comunidades Autónomas, tal y como establece el propio precepto. Por otra parte, dirá, la realización de mediciones a través de las estaciones de la red EMEP requiere la aplicación de unos procedimientos de mantenimiento, validación, verificación, etc., únicos, de manera que los datos obtenidos de todas ellas sean comparables, homogéneos y respondan a unos criterios de calidad homologables. Es imprescindible, en su opinión, coordinar las actividades de vigilancia de las medidas indicativas con la estrategia de vigilancia continuada y medición del programa EMEP, por lo que es lógico —y así lo exigen también los principios de eficiencia y eficacia— que la misma red coordinadora realice directamente las mediciones. En definitiva, considera que estas mediciones indicativas se caracterizan por su supraterritorialidad y por unas peculiaridades que justifican su realización por el Estado.</w:t>
      </w:r>
    </w:p>
    <w:p w:rsidR="00163957" w:rsidRDefault="00163957" w:rsidP="00163957">
      <w:pPr>
        <w:pStyle w:val="TextoNormal"/>
      </w:pPr>
    </w:p>
    <w:p w:rsidR="00163957" w:rsidRDefault="00163957" w:rsidP="00163957">
      <w:pPr>
        <w:pStyle w:val="TextoNormal"/>
      </w:pPr>
      <w:r>
        <w:t>El último párrafo del art. 3.1 aquí controvertido atribuye, efectivamente, a la Agencia Estatal de Meteorología el establecimiento de un sistema de control y garantía de calidad que asegure la exhaustividad, coherencia, transparencia, comparabilidad y confianza de los resultados obtenidos en la red EMEP/VAG/CAMP de contaminación atmosférica de fondo, y, asimismo, atribuye a la Agencia Estatal de Meteorología, la realización de determinadas mediciones que han de realizarse, también, en estaciones rurales de fondo y que han de coordinarse con las mediciones del programa EMEP.</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Pues bien, antes de dar respuesta a la controversia planteada, es preciso advertir que la red nacional coexiste con las redes autonómicas y locales, que también llevan a cabo sus propias mediciones. La red nacional EMEP/VAG/CAMP es un conjunto de estaciones ubicadas en distintos puntos del territorio nacional a través de la cual la Agencia Estatal de Meteorología desarrolla distintas funciones. Como ha explicado el Abogado del Estado, por una parte, sirve para dar cumplimiento a los programas EMEP, VAG y CAMP, cada uno de los cuales tiene una función diversa. El programa EMEP es un programa de cooperación para la vigilancia continua y la evaluación del transporte a gran distancia de contaminantes </w:t>
      </w:r>
      <w:r>
        <w:lastRenderedPageBreak/>
        <w:t>atmosféricos en Europa, que deriva del Convenio de Ginebra sobre contaminación transfronteriza de 1977; su finalidad es proporcionar información a los países miembros sobre la concentración y depósito de contaminantes atmosféricos, así como sobre su transporte y los flujos a través de las fronteras nacionales. El programa VAG, por su parte, pertenece al programa de investigación de la atmósfera y el medio ambiente (PIAMA) de la Organización Meteorológica Mundial, cuyo fin es comprender los cambios naturales y antropogénicos de la atmósfera, conocer las interacciones entre la atmósfera, el océano y la biosfera y facilitar información científicamente fiable para el desarrollo de políticas medioambientales nacional e internacionales. Y el programa CAMP o programa integral de control atmosférico deriva del convenio Oslo-París para la protección del medio ambiente marino del nordeste del Atlántico y tiene por objeto conocer los aportes atmosféricos a la región atlántica y estudiar sus efectos sobre el medio marino.</w:t>
      </w:r>
    </w:p>
    <w:p w:rsidR="00163957" w:rsidRDefault="00163957" w:rsidP="00163957">
      <w:pPr>
        <w:pStyle w:val="TextoNormal"/>
      </w:pPr>
    </w:p>
    <w:p w:rsidR="00163957" w:rsidRDefault="00163957" w:rsidP="00163957">
      <w:pPr>
        <w:pStyle w:val="TextoNormal"/>
      </w:pPr>
      <w:r>
        <w:t>Las estaciones de la red realizan, además, otras actividades características de los servicios meteorológicos tales como la vigilancia continua de las condiciones meteorológicas, climáticas y de la estructura y composición física y química de la atmósfera con la finalidad de realizar predicciones sobre el tiempo y la evolución del clima, así como de colaborar a la realización de otras políticas, entre las cuales se encuentran no sólo la medioambiental, sino también otras como la defensa, la navegación, la aviación civil, el tráfico, etc.</w:t>
      </w:r>
    </w:p>
    <w:p w:rsidR="00163957" w:rsidRDefault="00163957" w:rsidP="00163957">
      <w:pPr>
        <w:pStyle w:val="TextoNormal"/>
      </w:pPr>
    </w:p>
    <w:p w:rsidR="00163957" w:rsidRDefault="00163957" w:rsidP="00163957">
      <w:pPr>
        <w:pStyle w:val="TextoNormal"/>
      </w:pPr>
      <w:r>
        <w:t>Las estaciones de la red cumplen, por tanto, una función muy diversa y compleja, pudiendo destacarse, además, que no todas las estaciones realizan las mismas tareas de medición asumidas por la red. Ninguna competencia puede, por tanto, corresponder a la Comunidad Autónoma de Cataluña respecto a la instalación o a las operaciones materiales de montaje de estaciones pertenecientes al Estado y a través de las cuales éste desarrolla funciones de su competencia exclusiva. También hay que rechazar las alegaciones de la parte promotora del conflicto relativas a la atribución al Estado del establecimiento de un sistema de control y garantía de calidad que asegure la exhaustividad, coherencia, transparencia, comparabilidad y confianza de los resultados obtenidos por la red, pues si la red es estatal, indudablemente la competencia para establecer este sistema de control y garantía de calidad corresponde también al Estado.</w:t>
      </w:r>
    </w:p>
    <w:p w:rsidR="00163957" w:rsidRDefault="00163957" w:rsidP="00163957">
      <w:pPr>
        <w:pStyle w:val="TextoNormal"/>
      </w:pPr>
    </w:p>
    <w:p w:rsidR="00163957" w:rsidRDefault="00163957" w:rsidP="00163957">
      <w:pPr>
        <w:pStyle w:val="TextoNormal"/>
      </w:pPr>
      <w:r>
        <w:t>Cuestión distinta es que la atribución de alguna de las funciones de medición a la Agencia Estatal de Meteorología pueda representar una invasión competencial por asignar al Estado indebidamente competencias de gestión propias de las Comunidades Autónomas, y, en lo que ahora interesa, de Cataluña, que, de ser así, habría ésta de llevar a efecto a través de sus propias estaciones y redes, pero, en modo alguno, a hacerlo mediante estaciones del Estado que cumplen funciones que competen a éste.</w:t>
      </w:r>
    </w:p>
    <w:p w:rsidR="00163957" w:rsidRDefault="00163957" w:rsidP="00163957">
      <w:pPr>
        <w:pStyle w:val="TextoNormal"/>
      </w:pPr>
    </w:p>
    <w:p w:rsidR="00163957" w:rsidRDefault="00163957" w:rsidP="00163957">
      <w:pPr>
        <w:pStyle w:val="TextoNormal"/>
      </w:pPr>
      <w:r>
        <w:t>En este sentido, discute la Generalitat de Cataluña la atribución que realiza el art. 3 del Real Decreto al Estado de la implantación de puntos de muestreo para hacer concretas mediciones de diferentes contaminantes. Este precepto establece, en efecto, que la Agencia Estatal de Meteorología realizará las mediciones indicativas de las partículas finas, los metales pesados e hidrocarburos aromáticos policíclicos y las mediciones de amoníaco en estaciones rurales de fondo y los arts. 8, 9 y 12 disponen que el Ministerio de Medio Ambiente y Medio Rural y Marino, en colaboración con las Comunidades Autónomas, establezca puntos de muestreo para mediciones indicativas rurales de fondo en relación con estas sustancias.</w:t>
      </w:r>
    </w:p>
    <w:p w:rsidR="00163957" w:rsidRDefault="00163957" w:rsidP="00163957">
      <w:pPr>
        <w:pStyle w:val="TextoNormal"/>
      </w:pPr>
    </w:p>
    <w:p w:rsidR="00163957" w:rsidRDefault="00163957" w:rsidP="00163957">
      <w:pPr>
        <w:pStyle w:val="TextoNormal"/>
      </w:pPr>
      <w:r>
        <w:t>Pues bien, es cierto, como afirma la Generalitat de Cataluña, que de la lectura conjunta de los arts. 3, 8, 9 y 12 no cabe deducir, como pretende el Abogado del Estado, que estos preceptos sólo reserven al Estado la determinación de los puntos de muestreo, pues la literalidad del art. 3 no deja lugar a dudas de la atribución de la realización misma de las mediciones a la Agencia Estatal de Meteorología.</w:t>
      </w:r>
    </w:p>
    <w:p w:rsidR="00163957" w:rsidRDefault="00163957" w:rsidP="00163957">
      <w:pPr>
        <w:pStyle w:val="TextoNormal"/>
      </w:pPr>
    </w:p>
    <w:p w:rsidR="00163957" w:rsidRDefault="00163957" w:rsidP="00163957">
      <w:pPr>
        <w:pStyle w:val="TextoNormal"/>
      </w:pPr>
      <w:r>
        <w:t>Es preciso, por tanto, determinar si la asignación a la Agencia estatal de estas concretas mediciones cuenta con cobertura en el texto constitucional y, más concretamente, en las competencias del Estado o si, por el contrario, constituye una invasión de las competencias autonómicas.</w:t>
      </w:r>
    </w:p>
    <w:p w:rsidR="00163957" w:rsidRDefault="00163957" w:rsidP="00163957">
      <w:pPr>
        <w:pStyle w:val="TextoNormal"/>
      </w:pPr>
    </w:p>
    <w:p w:rsidR="00163957" w:rsidRDefault="00163957" w:rsidP="00163957">
      <w:pPr>
        <w:pStyle w:val="TextoNormal"/>
      </w:pPr>
      <w:r>
        <w:t>A esos efectos, hay que tener en cuenta, en primer lugar, que se trata de mediciones que no impiden a las Comunidades Autónomas realizar sus propias evaluaciones y mediciones. Y, en segundo lugar, que se trata de mediciones indicativas. El objetivo de las mediciones indicativas de las partículas finas y de los metales pesados e hidrocarburos aromáticos policíclicos es la vigilancia, el seguimiento y conocimiento de estos contaminantes con la finalidad, en su caso, de entender la repercusión de los mismos en la salud y en los ecosistemas y poder desarrollar políticas adecuadas. Así, en el caso de las partículas finas, como ya hemos visto, se confiere singular importancia a la obtención de información sobre la concentración másica total y la especiación química de las concentraciones en medias anuales. Por su parte, en relación con el amoniaco, como se explica en el preámbulo del Real Decreto, es importante mantener “una vigilancia de los niveles [de amoniaco] en aire ambiente mediante su medición en estaciones de fondo regional y en estaciones de tráfico de las principales ciudades españolas”, aunque por el momento no se ha considerado necesario definir objetivos de calidad para este contaminante.</w:t>
      </w:r>
    </w:p>
    <w:p w:rsidR="00163957" w:rsidRDefault="00163957" w:rsidP="00163957">
      <w:pPr>
        <w:pStyle w:val="TextoNormal"/>
      </w:pPr>
    </w:p>
    <w:p w:rsidR="00163957" w:rsidRDefault="00163957" w:rsidP="00163957">
      <w:pPr>
        <w:pStyle w:val="TextoNormal"/>
      </w:pPr>
      <w:r>
        <w:t xml:space="preserve">Es lógico, por tanto, dado el propósito inmediato de estas mediciones, que no es otro que la recopilación de información sobre la composición química de la atmósfera, que éstas se coordinen con la estrategia de vigilancia continua del programa EMEP y se realicen a través de las mismas estaciones. Así, las mediciones a las que se refieren el último párrafo del art. 3.1 y los arts. 8, 9.2 y 12 del Real Decreto 102/2011 tienen como objetivo el perfeccionamiento del conocimiento científico sobre la composición química de la atmósfera, es decir, un fin que, dada la amplia actividad investigadora instrumental que desarrollan hoy en día los servicios meteorológicos, pueden entenderse englobadas en el título competencial sobre servicio meteorológico que se recoge en el art. 149.1.20 CE. En efecto, como se ha expuesto anteriormente, los servicios meteorológicos no se limitan a realizar actividades de predicción del clima, sino que extienden su campo de acción al análisis, estudio e investigación de la composición física y química de la atmósfera realizando mediciones a nivel nacional y facilitando información y datos que pueden proporcionar apoyo a diversas políticas públicas, entre ellas la medioambiental o la sanitaria. Así, la información obtenida con tales mediciones contribuirá ulteriormente también, y en su caso, al desarrollo y ejecución de diferentes iniciativas políticas tendentes a la protección de la salud o del medio ambiente, entrando de ese modo en juego y, a partir de entonces, los títulos competenciales correspondientes sobre los que las Comunidades Autónomas han asumido competencias. Ahora bien, se trata de mediciones que el Estado, a través de su servicio meteorológico, está legitimado para realizar </w:t>
      </w:r>
      <w:r w:rsidRPr="00163957">
        <w:rPr>
          <w:i/>
        </w:rPr>
        <w:t>ex</w:t>
      </w:r>
      <w:r>
        <w:t xml:space="preserve"> art. 149.1.20 CE, dado que son previas por indicativas, a las que más adelante deban ser valoradas desde diferentes perspectivas de actuación, que estarán entonces </w:t>
      </w:r>
      <w:r>
        <w:lastRenderedPageBreak/>
        <w:t>encaminadas a la protección de bienes e intereses constitucionalmente relevantes como los que se han expuesto.</w:t>
      </w:r>
    </w:p>
    <w:p w:rsidR="00163957" w:rsidRDefault="00163957" w:rsidP="00163957">
      <w:pPr>
        <w:pStyle w:val="TextoNormal"/>
      </w:pPr>
    </w:p>
    <w:p w:rsidR="00163957" w:rsidRDefault="00163957" w:rsidP="00163957">
      <w:pPr>
        <w:pStyle w:val="TextoNormal"/>
      </w:pPr>
      <w:r>
        <w:t>A partir de las mediciones realizadas y de los valores así obtenidos, se inicia un proceso de análisis y de elaboración de conclusiones que sirven de presupuesto para tomas de decisión posteriores sobre los niveles y umbrales que aparecen definidos en el art. 2 del Real Decreto 102/2011, en función de los diferentes objetivos para los que aquellas mediciones iniciales han servido de presupuesto, permitiendo de ese modo la realización de variadas iniciativas que tiendan a satisfacer diferentes objetivos, no tanto ya en materia medioambiental, cuanto también en otras distintas, que se citan en el último párrafo del art. 1 del propio Real Decreto 102/2011 (preservación de la salud o de otros bienes o intereses generales que no se especifican en el precepto, pero que se exponen con una fórmula abstracta, que puede abarcar una variedad de fines: protección civil, seguridad del tráfico aéreo, etc.).</w:t>
      </w:r>
    </w:p>
    <w:p w:rsidR="00163957" w:rsidRDefault="00163957" w:rsidP="00163957">
      <w:pPr>
        <w:pStyle w:val="TextoNormal"/>
      </w:pPr>
    </w:p>
    <w:p w:rsidR="00163957" w:rsidRDefault="00163957" w:rsidP="00163957">
      <w:pPr>
        <w:pStyle w:val="TextoNormal"/>
      </w:pPr>
      <w:r>
        <w:t>Por tanto, el Real Decreto 102/2011 establece un régimen jurídico que tiene un alcance mucho más ambicioso que el de la exclusiva protección medioambiental. Cierto es que su art. 1 incluye como uno de sus objetivos el citado de la protección del medioambiente, pero abarca otros de diferente naturaleza. De modo expreso, el último párrafo de aquel precepto alude, no solamente al precitado, sino también a la salud humana y a otros bienes e intereses generales, sin precisa cita y a título meramente enunciativo, pero que reflejan el carácter multidisciplinar de los objetivos que pretende alcanzar esta norma.</w:t>
      </w:r>
    </w:p>
    <w:p w:rsidR="00163957" w:rsidRDefault="00163957" w:rsidP="00163957">
      <w:pPr>
        <w:pStyle w:val="TextoNormal"/>
      </w:pPr>
    </w:p>
    <w:p w:rsidR="00163957" w:rsidRDefault="00163957" w:rsidP="00163957">
      <w:pPr>
        <w:pStyle w:val="TextoNormal"/>
      </w:pPr>
      <w:r>
        <w:t>En consecuencia, la vocación regulatoria del Real Decreto 102/2011 no se ciñe de modo exclusivo a la materia medioambiental, sino que sus objetivos transcienden a otros bienes e intereses generales, que, por no estar especificados, pueden ser de diferente condición, siempre que, lógicamente, se hallen relacionados con la evaluación de la composición física y química del aire. La utilización del título competencial sobre medio ambiente no resulta totalmente conciliable con la variedad de objetivos que pretende conseguir la norma reglamentaria impugnada, ni tampoco se corresponde en su totalidad con el contenido y alcance de los preceptos recurridos, pues, como se ha señalado, los que integran el primer bloque impugnativo de este conflicto establecen un régimen de mediciones que sirve de presupuesto para atender a diferentes objetivos, cierto es que uno de ellos relacionado con iniciativas medioambientales, pero también lo son para otros diferentes fines, a los que están igualmente destinadas aquellas mediciones.</w:t>
      </w:r>
    </w:p>
    <w:p w:rsidR="00163957" w:rsidRDefault="00163957" w:rsidP="00163957">
      <w:pPr>
        <w:pStyle w:val="TextoNormal"/>
      </w:pPr>
    </w:p>
    <w:p w:rsidR="00163957" w:rsidRDefault="00163957" w:rsidP="00163957">
      <w:pPr>
        <w:pStyle w:val="TextoNormal"/>
      </w:pPr>
      <w:r>
        <w:t>En definitiva, la normativa reglamentaria que ahora se impugna establece una regulación destinada al desenvolvimiento de unas actividades de medición y obtención de indicadores cuya finalidad es el perfeccionamiento del conocimiento científico sobre determinados elementos contaminantes que son vertidos a la atmósfera, estableciendo un régimen de actuaciones que es previo a lo que, con posterioridad, pueda ser objeto de análisis y valoración a los efectos de llevar a buen término diferentes iniciativas que, en función del ámbito sectorial en que se materialicen, corresponderán a las administraciones que posean la correspondiente competencia.</w:t>
      </w:r>
    </w:p>
    <w:p w:rsidR="00163957" w:rsidRDefault="00163957" w:rsidP="00163957">
      <w:pPr>
        <w:pStyle w:val="TextoNormal"/>
      </w:pPr>
    </w:p>
    <w:p w:rsidR="00163957" w:rsidRDefault="00163957" w:rsidP="00163957">
      <w:pPr>
        <w:pStyle w:val="TextoNormal"/>
      </w:pPr>
      <w:r>
        <w:t xml:space="preserve">A la vista, pues, de la configuración y alcance que presenta esta norma reglamentaria, se trata ahora de determinar cuál es el título competencial que habilita al Estado para dictar los preceptos que han sido objeto de esta impugnación. A este respecto, habría que comenzar </w:t>
      </w:r>
      <w:r>
        <w:lastRenderedPageBreak/>
        <w:t>diciendo que el problema de la contaminación atmosférica y el encuadramiento competencial que este Tribunal ha venido haciendo respecto de la normativa, ya sea estatal o autonómica, que ha abordado la regulación de esta materia, lo ha sido siempre desde el análisis de los títulos competenciales recogidos en los apartados 16 y 23 del art. 149.1 CE, esto es desde el marco de la protección de la salud y del medioambiente, en unos casos haciéndolo por separado y en otros de modo conjunto, en función de las materias reguladas por las normas enjuiciadas, tal y como se ha expuesto anteriormente. No obstante, cuando ha tenido que abordar un conflicto competencial sobre cuestiones que afectan a la calidad del aire y a la contaminación atmosférica originada por el vertido y la propagación de diferentes tipos de elementos contaminantes, la doctrina tradicional de este Tribunal ha ubicado esta cuestión en el ámbito de la protección medioambiental y, por tanto, con invocación preferente del título del art. 149.1.23, ha resuelto la problemática así suscitada. En este sentido, la STC 329/1993, tantas veces citada, al amparo del título competencial expuesto, dio de este modo solución al conflicto competencial planteado.</w:t>
      </w:r>
    </w:p>
    <w:p w:rsidR="00163957" w:rsidRDefault="00163957" w:rsidP="00163957">
      <w:pPr>
        <w:pStyle w:val="TextoNormal"/>
      </w:pPr>
    </w:p>
    <w:p w:rsidR="00163957" w:rsidRDefault="00163957" w:rsidP="00163957">
      <w:pPr>
        <w:pStyle w:val="TextoNormal"/>
      </w:pPr>
      <w:r>
        <w:t xml:space="preserve">Por tanto, ningún obstáculo parecería existir, </w:t>
      </w:r>
      <w:r w:rsidRPr="00163957">
        <w:rPr>
          <w:i/>
        </w:rPr>
        <w:t>prima facie</w:t>
      </w:r>
      <w:r>
        <w:t>, para que la problemática competencial suscitada por la Generalitat de Cataluña hubiera ahora de ser analizada bajo el mismo prisma del título competencial contenido en el art. 149.1.23 CE y, en consecuencia, resolver las denuncias de invasión competencial planteadas atendiendo a la doctrina tradicional de este Tribunal sobre el reparto de competencias entre la normativa básica y las normas adicionales de protección que se han citado.</w:t>
      </w:r>
    </w:p>
    <w:p w:rsidR="00163957" w:rsidRDefault="00163957" w:rsidP="00163957">
      <w:pPr>
        <w:pStyle w:val="TextoNormal"/>
      </w:pPr>
    </w:p>
    <w:p w:rsidR="00163957" w:rsidRDefault="00163957" w:rsidP="00163957">
      <w:pPr>
        <w:pStyle w:val="TextoNormal"/>
      </w:pPr>
      <w:r>
        <w:t>Sin embargo, como hemos destacado anteriormente, el Real Decreto 102/2011 establece un régimen jurídico que tiene un alcance mucho más ambicioso que el de la exclusiva protección medioambiental, no tanto ya porque abarca otros objetivos, además del citado, cuanto más porque los preceptos ahora enjuiciados regulan una actuación previa de medición y obtención de índices que servirán de presupuesto de actuación para la determinación de iniciativas que tiendan a cumplir aquellos objetivos.</w:t>
      </w:r>
    </w:p>
    <w:p w:rsidR="00163957" w:rsidRDefault="00163957" w:rsidP="00163957">
      <w:pPr>
        <w:pStyle w:val="TextoNormal"/>
      </w:pPr>
    </w:p>
    <w:p w:rsidR="00163957" w:rsidRDefault="00163957" w:rsidP="00163957">
      <w:pPr>
        <w:pStyle w:val="TextoNormal"/>
      </w:pPr>
      <w:r>
        <w:t>Pues bien, la referencia al título competencial “servicio meteorológico”, que se enuncia en el art. 149.1.20 CE como una más del variopinto haz de competencias exclusivas del Estado que atienden a diversas finalidades, permite, sin embargo, un acomodado encaje de la regulación ahora impugnada en aquel, porque se corresponde con la configuración y el funcionamiento de lo que, al momento presente, representan las agencias oficiales de meteorología y los servicios de interés general que prestan, entre los que preponderantemente se cuentan los relativos a la vigilancia y la investigación sobre la composición química de la atmósfera y la calidad del aire, en los términos y con el sentido que hemos expuesto.</w:t>
      </w:r>
    </w:p>
    <w:p w:rsidR="00163957" w:rsidRDefault="00163957" w:rsidP="00163957">
      <w:pPr>
        <w:pStyle w:val="TextoNormal"/>
      </w:pPr>
    </w:p>
    <w:p w:rsidR="00163957" w:rsidRDefault="00163957" w:rsidP="00163957">
      <w:pPr>
        <w:pStyle w:val="TextoNormal"/>
      </w:pPr>
      <w:r>
        <w:t>En consecuencia, procede desestimar el conflicto en relación con el art. 3.1, último párrafo, y con los arts. 8, 9.2 y 12 del Real Decreto 102/2011.</w:t>
      </w:r>
    </w:p>
    <w:p w:rsidR="00163957" w:rsidRDefault="00163957" w:rsidP="00163957">
      <w:pPr>
        <w:pStyle w:val="TextoNormal"/>
      </w:pPr>
    </w:p>
    <w:p w:rsidR="00163957" w:rsidRDefault="00163957" w:rsidP="00163957">
      <w:pPr>
        <w:pStyle w:val="TextoNormal"/>
      </w:pPr>
      <w:r w:rsidRPr="00163957">
        <w:rPr>
          <w:rStyle w:val="NumeroAFNegritaCaracter"/>
        </w:rPr>
        <w:t>5</w:t>
      </w:r>
      <w:r>
        <w:t>. Analizados estos primeros preceptos, procedemos a continuación a analizar el conflicto suscitado por los arts. 3.3 e) y 24.4 del Real Decreto 102/2011.</w:t>
      </w:r>
    </w:p>
    <w:p w:rsidR="00163957" w:rsidRDefault="00163957" w:rsidP="00163957">
      <w:pPr>
        <w:pStyle w:val="TextoNormal"/>
      </w:pPr>
    </w:p>
    <w:p w:rsidR="00163957" w:rsidRDefault="00163957" w:rsidP="00163957">
      <w:pPr>
        <w:pStyle w:val="TextoNormal"/>
      </w:pPr>
      <w:r>
        <w:t xml:space="preserve">El art. 3.3 e) establece que “las Comunidades Autónomas, en el ámbito de sus respectivas competencias, y las entidades locales cuando corresponda según lo previsto en el artículo 5 de la Ley 34/2007, de 15 de noviembre, de calidad del aire y prevención de la atmósfera, el artículo 26 de la Ley 7/1985, de 2 de abril, Reguladora de las Bases de Régimen Local, en </w:t>
      </w:r>
      <w:r>
        <w:lastRenderedPageBreak/>
        <w:t>los artículos 41 y 42 de la Ley 14/1986, de 25 de abril, General de Sanidad, en los artículos 5, 8 y 10 de la Ley 34/2007 y en la legislación de las Comunidades Autónomas, colaborarán entre sí en el supuesto de que se sobrepasen los objetivos de calidad del aire fijados en un ámbito territorial superior al de una Comunidad Autónoma, bajo la coordinación del Ministerio de Medio Ambiente, y Medio Rural y Marino”.</w:t>
      </w:r>
    </w:p>
    <w:p w:rsidR="00163957" w:rsidRDefault="00163957" w:rsidP="00163957">
      <w:pPr>
        <w:pStyle w:val="TextoNormal"/>
      </w:pPr>
    </w:p>
    <w:p w:rsidR="00163957" w:rsidRDefault="00163957" w:rsidP="00163957">
      <w:pPr>
        <w:pStyle w:val="TextoNormal"/>
      </w:pPr>
      <w:r>
        <w:t>Por su parte, el art. 24.4, relativo a los planes de mejora de calidad del aire, dispone que, en el caso de que las medidas de control para reducir la contaminación atmosférica que se establezcan en el plan que, en su caso, elabore cada Comunidad Autónoma, suponga realizar actuaciones en actividades, instalaciones o zonas situadas en el territorio de otra Comunidad Autónoma, de acuerdo con lo establecido en el título I de la Ley 30/1992, de 26 de noviembre, de régimen jurídico de las Administraciones públicas y del procedimiento administrativo común, la Administración General del Estado y las Comunidades Autónomas que correspondan acordarán la realización de planes conjuntos de actuación para el logro de objetivos de reducción de la contaminación atmosférica establecidos en este artículo. Y a estos efectos, establece que corresponde a la Conferencia Sectorial en materia de medio ambiente, bajo la coordinación del Ministerio de Medio Ambiente, y Medio Rural y Marino, la iniciativa para acordar la realización de planes conjuntos, la aprobación de su contenido, así como el seguimiento y evaluación multilateral de su puesta en práctica.</w:t>
      </w:r>
    </w:p>
    <w:p w:rsidR="00163957" w:rsidRDefault="00163957" w:rsidP="00163957">
      <w:pPr>
        <w:pStyle w:val="TextoNormal"/>
      </w:pPr>
    </w:p>
    <w:p w:rsidR="00163957" w:rsidRDefault="00163957" w:rsidP="00163957">
      <w:pPr>
        <w:pStyle w:val="TextoNormal"/>
      </w:pPr>
      <w:r>
        <w:t>La Abogada de la Generalitat de Cataluña sostiene que ambos preceptos vulneran las competencias autonómicas puesto que la coordinación estatal sólo está justificada cuando no han funcionado los mecanismos de colaboración, es decir, cuando responda a un criterio de subsidiariedad, y en ningún caso puede superar los caracteres propios de la coordinación, es decir, la fijación de medios y sistemas de relación que hagan posible la información recíproca, la homogeneidad técnica, cuando sea necesaria, y la acción conjunta de las diferentes autoridades, de manera que consiga la integración de los actos parciales en un sistema. Lo que no cabe, dirá la representación procesal de la Generalitat, es que la coordinación otorgue al Estado competencias que no ostenta, ni tampoco sustraer competencias a las Comunidades Autónomas o desplazar sus competencias de ejecución. Concluye que, en consecuencia, los preceptos reglamentarios controvertidos, no son acordes a la doctrina constitucional, ni tampoco conforme siquiera con la propia Ley 34/2007, que prevé que las situaciones entre dos o más Comunidades Autónomas en relación con la calidad del aire se resuelva mediante un mecanismo de cooperación como es el del deber de mutua asistencia, en los términos previstos en los respectivos planes para reducir los niveles de contaminación, y en colaboración con el Estado.</w:t>
      </w:r>
    </w:p>
    <w:p w:rsidR="00163957" w:rsidRDefault="00163957" w:rsidP="00163957">
      <w:pPr>
        <w:pStyle w:val="TextoNormal"/>
      </w:pPr>
    </w:p>
    <w:p w:rsidR="00163957" w:rsidRDefault="00163957" w:rsidP="00163957">
      <w:pPr>
        <w:pStyle w:val="TextoNormal"/>
      </w:pPr>
      <w:r>
        <w:t xml:space="preserve">El Abogado del Estado sostiene, por el contrario, la constitucionalidad de los arts. 3.3 e) y 24.4 del Real Decreto, así como su conformidad a la Ley 34/2007. Argumenta que ambos preceptos regulan supuestos en los que la contaminación atmosférica afecta más allá del territorio de una Comunidad Autónoma, bien porque los objetivos de calidad se han superado en un ámbito territorial superior al de una Comunidad Autónoma o bien porque las medidas de control necesarias para reducir la contaminación exija realizar actuaciones en actividades, instalaciones o zonas situadas en el territorio de otra Comunidad Autónoma. Añade que, además, la regulación respeta el ejercicio coordinado y paralelo de las competencias autonómicas. Y niega, finalmente, que exista contradicción con el art. 6.2 de la Ley 34/2007, puesto que la cooperación y colaboración interadministrativas a las que este precepto se refiere no impide el ejercicio de la competencia de coordinación que corresponde </w:t>
      </w:r>
      <w:r>
        <w:lastRenderedPageBreak/>
        <w:t>al Estado y cuya esencia es la unidad de actuaciones: el Estado se reserva únicamente la facultad de coordinar, esto es, de asegurar la adopción coordinada por las Comunidades Autónomas de medidas en cada uno de sus territorios para afrontar un problema de dimensión supraautonómica.</w:t>
      </w:r>
    </w:p>
    <w:p w:rsidR="00163957" w:rsidRDefault="00163957" w:rsidP="00163957">
      <w:pPr>
        <w:pStyle w:val="TextoNormal"/>
      </w:pPr>
    </w:p>
    <w:p w:rsidR="00163957" w:rsidRDefault="00163957" w:rsidP="00163957">
      <w:pPr>
        <w:pStyle w:val="TextoNormal"/>
      </w:pPr>
      <w:r>
        <w:t>Los artículos controvertidos han de reputarse acordes al orden de distribución de competencias. Tal y como hemos señalado en el fundamento jurídico tercero de esta Sentencia, la coordinación, en el ámbito medioambiental, tiene una singular importancia, dado el alcance supraterritorial de muchos de los problemas que se plantean en este ámbito así como del carácter esencial de la coherencia y homogeneidad técnica de la actuación de las Administraciones Públicas en este sector, razón por la cual, este Tribunal ya ha tenido ocasión de afirmar que es legítimo que el Estado ejerza, en aquellos supuestos en los que aparezcan esas circunstancias (supraterritorialidad, necesidad de coherencia y homogeneidad técnica), facultades de coordinación.</w:t>
      </w:r>
    </w:p>
    <w:p w:rsidR="00163957" w:rsidRDefault="00163957" w:rsidP="00163957">
      <w:pPr>
        <w:pStyle w:val="TextoNormal"/>
      </w:pPr>
    </w:p>
    <w:p w:rsidR="00163957" w:rsidRDefault="00163957" w:rsidP="00163957">
      <w:pPr>
        <w:pStyle w:val="TextoNormal"/>
      </w:pPr>
      <w:r>
        <w:t>Ello es congruente con la doctrina de este Tribunal que ha considerado que “no cabe excluir en esta materia de medio ambiente la existencia de facultades estatales de coordinación. Estas facultades de coordinación podrían asegurar la adopción coordinada por las Comunidades Autónomas afectadas de medidas en cada uno de sus territorios para afrontar un problema que, por su dimensión afecta más allá de los límites del propio territorio” (STC 329/1993, de 12 de noviembre, FJ 3).</w:t>
      </w:r>
    </w:p>
    <w:p w:rsidR="00163957" w:rsidRDefault="00163957" w:rsidP="00163957">
      <w:pPr>
        <w:pStyle w:val="TextoNormal"/>
      </w:pPr>
    </w:p>
    <w:p w:rsidR="00163957" w:rsidRDefault="00163957" w:rsidP="00163957">
      <w:pPr>
        <w:pStyle w:val="TextoNormal"/>
      </w:pPr>
      <w:r>
        <w:t>Tanto el art. 3.3 e) como el art. 24.4 del Real Decreto reconocen facultades al Estado en supuestos de supraterritorialidad, en los que para la consecución de los objetivos perseguidos (reducción de los niveles de contaminación y adopción de las medidas de reacción pertinentes) es esencial la coherencia y la homogeneidad técnica en la actuación de las Comunidades Autónomas. Con ello, en modo alguno, se eliminan las competencias de la Generalitat de Cataluña en materia medioambiental, ni se impone la coordinación obviando las posibilidades de cooperación y colaboración entre las Comunidades Autónomas.</w:t>
      </w:r>
    </w:p>
    <w:p w:rsidR="00163957" w:rsidRDefault="00163957" w:rsidP="00163957">
      <w:pPr>
        <w:pStyle w:val="TextoNormal"/>
      </w:pPr>
    </w:p>
    <w:p w:rsidR="00163957" w:rsidRDefault="00163957" w:rsidP="00163957">
      <w:pPr>
        <w:pStyle w:val="TextoNormal"/>
      </w:pPr>
      <w:r>
        <w:t>En el art. 3.3 e) se prevé, de hecho, que tenga lugar la colaboración interadministrativa que sea precisa y conveniente y la facultad de coordinación del Ministerio de Medio Ambiente sirve a la finalidad de asegurar o garantizar que esa colaboración se traduce en una actuación coherente y homogénea que permita alcanzar los fines u objetivos fijados en la normativa medioambiental.</w:t>
      </w:r>
    </w:p>
    <w:p w:rsidR="00163957" w:rsidRDefault="00163957" w:rsidP="00163957">
      <w:pPr>
        <w:pStyle w:val="TextoNormal"/>
      </w:pPr>
    </w:p>
    <w:p w:rsidR="00163957" w:rsidRDefault="00163957" w:rsidP="00163957">
      <w:pPr>
        <w:pStyle w:val="TextoNormal"/>
      </w:pPr>
      <w:r>
        <w:t>Por otra parte, el art. 24.4 prevé la realización de planes conjuntos de actuación, lo cual no es sino una vía o instrumento para lograr una actuación conjunta de las Comunidades Autónomas en aquellos supuestos en los que para la consecución de los fines propios de una Comunidad Autónoma se precisa la adopción de ciertas medidas en el territorio de otra Comunidad Autónoma. Estos planes conjuntos se contemplan en la propia Ley 30/1992, de 26 de noviembre, de régimen jurídico de las Administraciones públicas y del procedimiento administrativo común (art. 7) como un instrumento de cooperación o concertación administrativa multilateral que se elabora y aprueba en el seno de las conferencias sectoriales. Éstas son a su vez órganos multilaterales, integrados por miembros del Gobierno de la Nación y de los Gobiernos de las Comunidades Autónomas, que tienen por finalidad hacer efectivo el principio de cooperación y encauzar el ejercicio de las facultades de coordinación del Estado.</w:t>
      </w:r>
    </w:p>
    <w:p w:rsidR="00163957" w:rsidRDefault="00163957" w:rsidP="00163957">
      <w:pPr>
        <w:pStyle w:val="TextoNormal"/>
      </w:pPr>
    </w:p>
    <w:p w:rsidR="00163957" w:rsidRDefault="00163957" w:rsidP="00163957">
      <w:pPr>
        <w:pStyle w:val="TextoNormal"/>
      </w:pPr>
      <w:r>
        <w:t>En el presente caso, el art. 24.4 atribuye a la Conferencia Sectorial de Medio Ambiente, bajo la coordinación del Ministerio de Medio Ambiente, y Medio Rural y Marino, la iniciativa para acordar la realización de planes conjuntos, la aprobación de su contenido y el seguimiento y evaluación multilateral de su puesta en práctica.</w:t>
      </w:r>
    </w:p>
    <w:p w:rsidR="00163957" w:rsidRDefault="00163957" w:rsidP="00163957">
      <w:pPr>
        <w:pStyle w:val="TextoNormal"/>
      </w:pPr>
    </w:p>
    <w:p w:rsidR="00163957" w:rsidRDefault="00163957" w:rsidP="00163957">
      <w:pPr>
        <w:pStyle w:val="TextoNormal"/>
      </w:pPr>
      <w:r>
        <w:t>Pues bien, el art. 1 del Reglamento interno de la Conferencia Sectorial de Medio Ambiente (aprobado en reunión de 29 de julio de 2009 y publicado en página web http://www.seap.minhap.gob.es/web/areas/politica_autonomica/coop_autonomica/Conf_Sectoriales/Documentacion/Conf_Sect_Regl.htm) establece que este órgano se ha constituido de acuerdo con lo previsto en el artículo 5 de la Ley 30/1992 y que tiene por finalidad asegurar la necesaria coherencia, coordinación y colaboración entre la Administración General del Estado y la de las Comunidades Autónomas en materia de medio ambiente. Está constituida por el titular del Ministerio de Medio Ambiente, Rural y Marino y por los titulares de las Consejerías de las Comunidades Autónomas y de las Ciudades Autónomas de Ceuta y Melilla, competentes en materia de medio ambiente. Y los acuerdos del pleno se adoptan por asentimiento de todos sus miembros y, en su defecto, por el voto favorable de la Administración General del Estado y de la mayoría de los representantes de las Comunidades Autónomas, y surten sus efectos para aquellos miembros que hayan expresado su voto favorable a partir de su adopción, pudiendo adherirse posteriormente aquellas Comunidades Autónomas que no hubieran expresado su voto favorable. El funcionamiento de la Conferencia Sectorial de Medio Ambiente se basa, pues, sin lugar a dudas, en los principios de colaboración, voluntariedad y consenso. La coordinación que realiza el Ministerio de Medio Ambiente, y Medio Rural y Marino tiende a asegurar la coherencia de la actuación de las Administraciones autonómicas en relación con un supuesto de hecho supraterritorial que exige una reacción con la finalidad de proteger el medio ambiente y la salud pública.</w:t>
      </w:r>
    </w:p>
    <w:p w:rsidR="00163957" w:rsidRDefault="00163957" w:rsidP="00163957">
      <w:pPr>
        <w:pStyle w:val="TextoNormal"/>
      </w:pPr>
    </w:p>
    <w:p w:rsidR="00163957" w:rsidRDefault="00163957" w:rsidP="00163957">
      <w:pPr>
        <w:pStyle w:val="TextoNormal"/>
      </w:pPr>
      <w:r>
        <w:t>En definitiva, los arts. 3.3 e) y 24.4 del Real Decreto 102/2011 —desarrollo por otra parte del art. 5 de la Ley 34/2007 al que ya nos hemos referido más arriba— no eliminan los mecanismos de colaboración y cooperación entre Comunidades Autónomas y contemplan funciones de coordinación del Estado en aquellos supuestos en los que conforme a la doctrina de este Tribunal resulta legítimo y acorde con nuestro texto constitucional.</w:t>
      </w:r>
    </w:p>
    <w:p w:rsidR="00163957" w:rsidRDefault="00163957" w:rsidP="00163957">
      <w:pPr>
        <w:pStyle w:val="TextoNormal"/>
      </w:pPr>
    </w:p>
    <w:p w:rsidR="00163957" w:rsidRDefault="00163957" w:rsidP="00163957">
      <w:pPr>
        <w:pStyle w:val="TextoNormal"/>
      </w:pPr>
      <w:r>
        <w:t>Procede, en consecuencia, desestimar también el conflicto interpuesto en relación con los arts. 3.3 e) y 24.4 del Real Decreto 102/2011.</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presente conflicto positivo de competencia núm. 2900-2011.</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lastRenderedPageBreak/>
        <w:t>Dada en Madrid, a diecisiete de marzo de dos mil dieciséis.</w:t>
      </w:r>
    </w:p>
    <w:p w:rsidR="00163957" w:rsidRDefault="00163957" w:rsidP="00163957">
      <w:pPr>
        <w:pStyle w:val="ParrafoNormal"/>
      </w:pPr>
    </w:p>
    <w:p w:rsidR="00163957" w:rsidRDefault="00163957" w:rsidP="00163957">
      <w:pPr>
        <w:pStyle w:val="TextoNormalNegritaCentrado"/>
        <w:keepNext/>
      </w:pPr>
      <w:r>
        <w:t>Voto particular que formulan la Magistrada doña Adela Asua Batarrita y el Magistrado don Fernando Valdés Dal-Ré a la Sentencia dictada en el conflicto positivo de competencia núm. 2900-2011.</w:t>
      </w:r>
    </w:p>
    <w:p w:rsidR="00163957" w:rsidRDefault="00163957" w:rsidP="00163957">
      <w:pPr>
        <w:pStyle w:val="TextoNormalNegritaCentrado"/>
        <w:keepNext/>
      </w:pPr>
    </w:p>
    <w:p w:rsidR="00163957" w:rsidRDefault="00163957" w:rsidP="00163957">
      <w:pPr>
        <w:pStyle w:val="TextoNormal"/>
      </w:pPr>
      <w:r>
        <w:t>En ejercicio de la facultad que nos confiere el art. 90.2 de la Ley Orgánica del Tribunal Constitucional (LOTC) y con pleno respeto a la opinión de la mayoría del Pleno, expresamos nuestra discrepancia parcial con el fallo de la Sentencia y con la argumentación que lo sustenta, en virtud de los argumentos que defendimos en la deliberación del Pleno y que exponemos a continuación.</w:t>
      </w:r>
    </w:p>
    <w:p w:rsidR="00163957" w:rsidRDefault="00163957" w:rsidP="00163957">
      <w:pPr>
        <w:pStyle w:val="TextoNormal"/>
      </w:pPr>
    </w:p>
    <w:p w:rsidR="00163957" w:rsidRDefault="00163957" w:rsidP="00163957">
      <w:pPr>
        <w:pStyle w:val="TextoNormal"/>
      </w:pPr>
      <w:r>
        <w:t>Nuestra discrepancia se centra en el encuadramiento material y, por ende, competencial, de la función de medición de determinadas sustancias contaminantes que se atribuye a la Agencia Estatal de Meteorología. La norma impugnada —el Real Decreto 102/2011, de 28 de enero, relativo a la calidad del aire— aduce como títulos habilitantes las bases de la sanidad (art. 149.1.16 CE) y las bases del medio ambiente (art. 149.1.23 CE). El Abogado del Estado aduce, además, la competencia exclusiva sobre “servicio meteorológico” (art. 149.1.20 CE).</w:t>
      </w:r>
    </w:p>
    <w:p w:rsidR="00163957" w:rsidRDefault="00163957" w:rsidP="00163957">
      <w:pPr>
        <w:pStyle w:val="TextoNormal"/>
      </w:pPr>
    </w:p>
    <w:p w:rsidR="00163957" w:rsidRDefault="00163957" w:rsidP="00163957">
      <w:pPr>
        <w:pStyle w:val="TextoNormal"/>
      </w:pPr>
      <w:r>
        <w:t>1. A la hora de analizar esos tres títulos, la Sentencia exagera deliberadamente a nuestro juicio la complejidad de la delimitación de la materia “medio ambiente” con respecto a otras materias, con frases como la “distribución de competencias en materia medioambiental resulta compleja”, “la delimitación entre la materia medioambiente y otras materias resulta singularmente compleja dado el carácter transversal e intersectorial del medio ambiente” o “las dificultades de deslindar, en numerosos supuestos, las materias de salud y medio ambiente”. Que este Tribunal, que cuenta con una amplia jurisprudencia constitucional sobre la distribución competencial en materia de medio ambiente, afirme en la actualidad con tanta insistencia la complejidad y dificultad de la delimitación, sorprenderá probablemente a cualquier jurista informado. Todas estas consideraciones sirven en realidad de preparación para la conclusión que quiere extraer la Sentencia de la que disentimos: incardinar la cuestión controvertida no en la materia de medio ambiente, como resultaría de forma natural de nuestra doctrina reiterada, sino en la de meteorología.</w:t>
      </w:r>
    </w:p>
    <w:p w:rsidR="00163957" w:rsidRDefault="00163957" w:rsidP="00163957">
      <w:pPr>
        <w:pStyle w:val="TextoNormal"/>
      </w:pPr>
    </w:p>
    <w:p w:rsidR="00163957" w:rsidRDefault="00163957" w:rsidP="00163957">
      <w:pPr>
        <w:pStyle w:val="TextoNormal"/>
      </w:pPr>
      <w:r>
        <w:t xml:space="preserve">En efecto, la gran novedad de la Sentencia es el nuevo protagonismo otorgado al título estatal exclusivo en materia de “servicio meteorológico”. El punto de partida es el siguiente: “el contenido y alcance del término ‘servicio meteorológico’ ha de indagarse ulteriormente prestando atención a la función que habitualmente han realizado y que siguen realizando, hoy en día, estos servicios, y que se vincula fundamentalmente con la recopilación y análisis de aquellos datos relativos a la composición física y química de la atmósfera”. En otras palabras, para indagar el perímetro de la materia “servicio meteorológico” no delimitada previamente en la jurisprudencia constitucional, la Sentencia sostiene que hay que examinar las funciones que prestan en la actualidad las organizaciones responsables de esos servicios. Como se recordará, el conflicto se ha interpuesto justamente contra la atribución a la Agencia Estatal de Meteorología de la medición de determinadas sustancias contaminantes. Lo cual podría plantear un círculo vicioso, pues el hecho de que una determinada organización </w:t>
      </w:r>
      <w:r>
        <w:lastRenderedPageBreak/>
        <w:t>se encargue del “servicio meteorológico” no quiere decir que todos los servicios que lleve a cabo sean también “meteorológicos”.</w:t>
      </w:r>
    </w:p>
    <w:p w:rsidR="00163957" w:rsidRDefault="00163957" w:rsidP="00163957">
      <w:pPr>
        <w:pStyle w:val="TextoNormal"/>
      </w:pPr>
    </w:p>
    <w:p w:rsidR="00163957" w:rsidRDefault="00163957" w:rsidP="00163957">
      <w:pPr>
        <w:pStyle w:val="TextoNormal"/>
      </w:pPr>
      <w:r>
        <w:t>Como la facultad de medición controvertida no pertenecía anteriormente al haz de facultades de la citada Agencia estatal, la Sentencia acude a un documento externo a nuestro ordenamiento jurídico, la denominada “Declaración de la Organización Meteorológica Mundial sobre el funcionamiento de los servicios meteorológicos nacionales” (así, sin fecha o referencia más precisa). Del análisis del contenido de esa Declaración, la Sentencia de la que disentimos extrae la conclusión de que “las funciones que llevan a cabo hoy las organizaciones y servicios meteorológicos son singularmente extensas”, pues entre sus funciones se incluiría el registro fiable y continuo de diversos datos, también ambientales.</w:t>
      </w:r>
    </w:p>
    <w:p w:rsidR="00163957" w:rsidRDefault="00163957" w:rsidP="00163957">
      <w:pPr>
        <w:pStyle w:val="TextoNormal"/>
      </w:pPr>
    </w:p>
    <w:p w:rsidR="00163957" w:rsidRDefault="00163957" w:rsidP="00163957">
      <w:pPr>
        <w:pStyle w:val="TextoNormal"/>
      </w:pPr>
      <w:r>
        <w:t>Una vez abierta la posibilidad de encuadrar la actividad controvertida en la materia de meteorología, la Sentencia zanja expeditivamente la impugnación de la atribución a la Agencia Estatal de Meteorología de facultades de medición con dos argumentos adicionales: no se impide a las Comunidades Autónomas realizar sus propias evaluaciones y mediciones; y las mediciones que realiza la Agencia Estatal de Meteorología son “indicativas”, sirven como presupuesto para atender a diferentes objetivos, tanto ambientales como no ambientales, y su finalidad es “el perfeccionamiento del conocimiento científico sobre determinados elementos contaminantes”.</w:t>
      </w:r>
    </w:p>
    <w:p w:rsidR="00163957" w:rsidRDefault="00163957" w:rsidP="00163957">
      <w:pPr>
        <w:pStyle w:val="TextoNormal"/>
      </w:pPr>
    </w:p>
    <w:p w:rsidR="00163957" w:rsidRDefault="00163957" w:rsidP="00163957">
      <w:pPr>
        <w:pStyle w:val="TextoNormal"/>
      </w:pPr>
      <w:r>
        <w:t>A nuestro juicio, y como expondremos a continuación, ni esos argumentos son convincentes, ni la forma de razonar de la Sentencia aplica correctamente las reglas ordinarias de la interpretación jurídica, que lógicamente también vinculan a este Tribunal.</w:t>
      </w:r>
    </w:p>
    <w:p w:rsidR="00163957" w:rsidRDefault="00163957" w:rsidP="00163957">
      <w:pPr>
        <w:pStyle w:val="TextoNormal"/>
      </w:pPr>
    </w:p>
    <w:p w:rsidR="00163957" w:rsidRDefault="00163957" w:rsidP="00163957">
      <w:pPr>
        <w:pStyle w:val="TextoNormal"/>
      </w:pPr>
      <w:r>
        <w:t>2. La forma de interpretar evolutivamente el alcance de la materia competencial “servicio meteorológico” que se desprende de la Sentencia no resulta ortodoxa.</w:t>
      </w:r>
    </w:p>
    <w:p w:rsidR="00163957" w:rsidRDefault="00163957" w:rsidP="00163957">
      <w:pPr>
        <w:pStyle w:val="TextoNormal"/>
      </w:pPr>
    </w:p>
    <w:p w:rsidR="00163957" w:rsidRDefault="00163957" w:rsidP="00163957">
      <w:pPr>
        <w:pStyle w:val="TextoNormal"/>
      </w:pPr>
      <w:r>
        <w:t xml:space="preserve">Por de pronto, el criterio evolutivo de interpretación es sumamente peligroso si no se maneja con prudencia, pues pone en peligro el delicado equilibrio que en materia competencial se desprende del bloque de constitucionalidad. En algunos ordenamientos constitucionales como en el austriaco rige justamente el “principio de petrificación” de la interpretación de los títulos competenciales: los títulos competenciales no se expanden en virtud de una pretendida evolución de las cosas, sino que se ciñen al significado que poseían en el momento de su atribución. Si bien consideramos que, en un sistema constitucional como el nuestro caracterizado por su rigidez jurídica y política, las cláusulas competenciales han de abrirse a las realidades sociales imprevistas o sobrevenidas al momento constituyente (piénsese en las tecnologías de la comunicación inexistentes en 1978), debe rechazarse como hecho propiciador de una interpretación evolutiva la circunstancia de que, en la práctica, determinados servicios o agencias estatales hayan ampliado o pretendan ampliar </w:t>
      </w:r>
      <w:r w:rsidRPr="00163957">
        <w:rPr>
          <w:i/>
        </w:rPr>
        <w:t>pro futuro</w:t>
      </w:r>
      <w:r>
        <w:t xml:space="preserve"> el elenco de funciones o misiones que tradicionalmente tenían atribuidas, pues mediante semejante interpretación evolutiva de los títulos competenciales se puede alterar la propia distribución competencial, como demuestra el presente caso.</w:t>
      </w:r>
    </w:p>
    <w:p w:rsidR="00163957" w:rsidRDefault="00163957" w:rsidP="00163957">
      <w:pPr>
        <w:pStyle w:val="TextoNormal"/>
      </w:pPr>
    </w:p>
    <w:p w:rsidR="00163957" w:rsidRDefault="00163957" w:rsidP="00163957">
      <w:pPr>
        <w:pStyle w:val="TextoNormal"/>
      </w:pPr>
      <w:r>
        <w:t xml:space="preserve">Por otro lado, también es discutible que, salvados los obstáculos anteriores, la definición de una materia competencial se pueda realizar exclusivamente con la ayuda de un documento como la aludida “Declaración de la Organización Meteorológica Mundial sobre el funcionamiento de los servicios meteorológicos nacionales”. El documento más próximo </w:t>
      </w:r>
      <w:r>
        <w:lastRenderedPageBreak/>
        <w:t xml:space="preserve">que hemos podido localizar en internet lleva por nombre “Declaración de la Organización Meteorológica Mundial sobre el papel y el funcionamiento de los servicios meteorológicos e hidrológicos nacionales”. Una simple lectura del documento basta para apreciar que su finalidad no es la delimitación competencial de los servicios meteorológicos en los Estados federales o compuestos, sino dar pautas, buenas prácticas, para la gobernanza y buena gestión de esos servicios a nivel estatal, servicios que se definen en términos extremadamente amplios, no solo meteorológicos y climáticos, sino también hidrológicos y ambientales. El propio título de la declaración se refiere a los “servicios meteorológicos </w:t>
      </w:r>
      <w:r w:rsidRPr="00163957">
        <w:rPr>
          <w:i/>
        </w:rPr>
        <w:t>e hidrológicos</w:t>
      </w:r>
      <w:r>
        <w:t xml:space="preserve"> nacionales”: así pues, con el canon interpretativo de la Sentencia, la materia “meteorología” también podría incluir la política de aguas o de cambio climático, lo que sería un absurdo. Por lo demás, esa declaración de la Organización Meteorológica Mundial no prejuzga quién debe realizar esos servicios a nivel interno. Ello se ve claramente en el fragmento siguiente sobre el ente responsable de esos servicios: “puede tratarse de organismos gubernamentales, organismos gubernamentales semiautónomos, organizaciones de propiedad estatal o empresas privadas”.</w:t>
      </w:r>
    </w:p>
    <w:p w:rsidR="00163957" w:rsidRDefault="00163957" w:rsidP="00163957">
      <w:pPr>
        <w:pStyle w:val="TextoNormal"/>
      </w:pPr>
    </w:p>
    <w:p w:rsidR="00163957" w:rsidRDefault="00163957" w:rsidP="00163957">
      <w:pPr>
        <w:pStyle w:val="TextoNormal"/>
      </w:pPr>
      <w:r>
        <w:t>Finalmente, resulta sorprendente que en todo el razonamiento que despliega la Sentencia están ausentes las referencias a la propia legislación española de protección de la atmósfera, tanto a la histórica Ley 38/1972, de 22 de diciembre, de protección del ambiente atmosférico como a la vigente Ley 34/2007, de 15 de noviembre, de calidad del aire y protección de la atmósfera. La Sentencia menciona un único documento de procedencia internacional, pero ignora los datos que le ofrece el propio ordenamiento interno. Si los criterios histórico y sistemático de interpretación arrojan un resultado claro e indiscutible, este no puede ser sustituido acudiendo al criterio evolutivo de interpretación.</w:t>
      </w:r>
    </w:p>
    <w:p w:rsidR="00163957" w:rsidRDefault="00163957" w:rsidP="00163957">
      <w:pPr>
        <w:pStyle w:val="TextoNormal"/>
      </w:pPr>
    </w:p>
    <w:p w:rsidR="00163957" w:rsidRDefault="00163957" w:rsidP="00163957">
      <w:pPr>
        <w:pStyle w:val="TextoNormal"/>
      </w:pPr>
      <w:r>
        <w:t>3. El otro bloque de argumentos se refieren al carácter indicativo e instrumental de las mediciones y a la amplitud de los objetivos que persigue el Real Decreto impugnado, a diferencia de la limitación de objetivos que supuestamente caracterizaría a las normas “meramente” ambientales.</w:t>
      </w:r>
    </w:p>
    <w:p w:rsidR="00163957" w:rsidRDefault="00163957" w:rsidP="00163957">
      <w:pPr>
        <w:pStyle w:val="TextoNormal"/>
      </w:pPr>
    </w:p>
    <w:p w:rsidR="00163957" w:rsidRDefault="00163957" w:rsidP="00163957">
      <w:pPr>
        <w:pStyle w:val="TextoNormal"/>
      </w:pPr>
      <w:r>
        <w:t>Por un lado, la Sentencia pretende introducir una diferenciación entre un ámbito técnico-científico previo y un ámbito propiamente jurídico-administrativo de decisión y gestión de políticas públicas. La fase o actividad previa de mediciones indicativas y preparatorias tendría el progreso científico y la acumulación de datos como única preocupación, y solo la fase posterior de utilización de los datos estaría regida por la distribución competencial, ya sea medio ambiente, sanidad, protección civil, etc. Esta diferenciación no tiene fundamento constitucional. Es cierto que determinadas materias expresamente previstas en el sistema constitucional de competencias como la estadística o la meteorología tienen como objeto autónomo la obtención, elaboración y procesado de información general o meteorológica y, por tanto, poseen un carácter instrumental para actividades públicas y privadas. Pero ello no significa que su alcance puede extenderse en detrimento de los títulos competenciales que regulan esas otras actividades. En concreto la materia competencial “meteorología” no puede ampliarse en detrimento del alcance de la materia “medio ambiente”. La medición de la calidad del aire ha sido siempre una actividad estrictamente administrativa desde la primera legislación española de protección del ambiente atmosférico de 1972, y así ha venido siendo interpretado y aplicado hasta la fecha en nuestro ordenamiento jurídico.</w:t>
      </w:r>
    </w:p>
    <w:p w:rsidR="00163957" w:rsidRDefault="00163957" w:rsidP="00163957">
      <w:pPr>
        <w:pStyle w:val="TextoNormal"/>
      </w:pPr>
    </w:p>
    <w:p w:rsidR="00163957" w:rsidRDefault="00163957" w:rsidP="00163957">
      <w:pPr>
        <w:pStyle w:val="TextoNormal"/>
      </w:pPr>
      <w:r>
        <w:lastRenderedPageBreak/>
        <w:t>Ya la Ley 38/1972, de 22 de diciembre, de protección del ambiente atmosférico y el Decreto 833/1975, de 6 de febrero, por el que se desarrolla aquella Ley 38/1972 establecieron un sistema de vigilancia de la calidad del aire, denominado red nacional de vigilancia y previsión de la contaminación atmosférica (art. 10.1 LPAA y arts. 5 y sigs. del Decreto 833/1975). Con la aprobación de la Constitución española, las facultades de medición y vigilancia se transfirieron a las Comunidades Autónomas. La vigente Ley 34/2007, de 15 de noviembre, de calidad del aire y protección de la atmósfera atribuye a la Administración General del Estado, entre otras funciones, las siguientes: “f) […] Realizar la evaluación, el seguimiento y la recopilación de la información técnica sobre la contaminación de fondo para el cumplimiento de las obligaciones derivadas de convenios u otro tipo de compromisos internacionales sobre contaminación transfronteriza. La información obtenida se integrará en el sistema español de información, vigilancia y prevención de la contaminación atmosférica y será facilitada periódicamente a las comunidades autónomas” y “g) Coordinar el sistema español de información, vigilancia y prevención de la contaminación atmosférica” (art. 5). Pero no las mediciones, pues son las Comunidades Autónomas, quienes, “en el ejercicio de sus competencias, evaluarán la calidad del aire” (</w:t>
      </w:r>
      <w:r w:rsidRPr="00163957">
        <w:rPr>
          <w:i/>
        </w:rPr>
        <w:t>ibídem</w:t>
      </w:r>
      <w:r>
        <w:t>). Asimismo, el art. 3 del Real Decreto 1073/2002 —la anterior norma reguladora derogada por el Real Decreto 102/2011 objeto del presente conflicto— admitía con naturalidad que las Comunidades Autónomas ejercieran “en su ámbito territorial la toma de datos y evaluación de las concentraciones de los contaminantes regulados” y que el Ministerio de Medio Ambiente, a través de la Dirección General de Calidad y Evaluación Ambiental, adoptara las medidas de coordinación necesarias para facilitar a la Comisión Europea los datos e informaciones derivados de la normativa comunitaria y para llevar a cabo programas comunitarios de garantía de la calidad organizados por la Comisión Europea.</w:t>
      </w:r>
    </w:p>
    <w:p w:rsidR="00163957" w:rsidRDefault="00163957" w:rsidP="00163957">
      <w:pPr>
        <w:pStyle w:val="TextoNormal"/>
      </w:pPr>
    </w:p>
    <w:p w:rsidR="00163957" w:rsidRDefault="00163957" w:rsidP="00163957">
      <w:pPr>
        <w:pStyle w:val="TextoNormal"/>
      </w:pPr>
      <w:r>
        <w:t>Por otro lado, de forma harto voluntarista la Sentencia formula una concepción restringida de lo ambiental (en contradicción, por otra parte, con sus abundantes referencias previas a la complejidad de lo ambiental) y la contrapone a una supuesta amplitud de lo meteorológico, que sorprenderá a cualquier jurista ambientalista. Se argumenta que el régimen jurídico que establece el Real Decreto 102/2011 tendría un alcance mucho más ambicioso que el de la exclusiva protección medioambiental, pues abarcaría una amplia serie de objetivos, tanto ambientales como no ambientales (¡incluso la seguridad del tráfico aéreo!), de manera que los objetivos que se pretenden alcanzar con esa atribución no son “totalmente conciliables” con el título competencial sobre medio ambiente. Esta argumentación es, en efecto, asombrosa. El medio ambiente es precisamente un claro ejemplo de materia transversal, de carácter complejo y polifacético. Por eso, resulta sorprendente contraponer su supuesto carácter limitado con el más amplio (¡!) del de la meteorología. Recordemos lo que a este respecto declaró la STC 102/1995, FJ 3:</w:t>
      </w:r>
    </w:p>
    <w:p w:rsidR="00163957" w:rsidRDefault="00163957" w:rsidP="00163957">
      <w:pPr>
        <w:pStyle w:val="TextoNormal"/>
      </w:pPr>
    </w:p>
    <w:p w:rsidR="00163957" w:rsidRDefault="00163957" w:rsidP="00163957">
      <w:pPr>
        <w:pStyle w:val="TextoNormal"/>
      </w:pPr>
      <w:r>
        <w:t xml:space="preserve">“El carácter complejo y polifacético que tienen las cuestiones relativas al medio ambiente determina precisamente que afecte a los más variados sectores del ordenamiento jurídico (STC 64/1982) y provoca una correlativa complejidad en el reparto de competencias entre el Estado y las Comunidades Autónomas. Por eso mismo, el medio ambiente da lugar a unas competencias, tanto estatales como autonómicas, con un carácter metafóricamente "transversal" por incidir en otras materias incluidas también, cada una a su manera, en el esquema constitucional de competencias (art. 148.1.1.ª, 3.ª, 7.ª, 8.ª, 10ª y 11ª C.E.) en cuanto tales materias tienen como objeto los elementos integrantes del medio (las aguas, la atmósfera, la fauna y la flora, los minerales) o ciertas actividades humanas sobre ellos (agricultura, </w:t>
      </w:r>
      <w:r>
        <w:lastRenderedPageBreak/>
        <w:t>industria, minería, urbanismo, transportes) que a su vez generan agresiones al ambiente o riesgos potenciales para él”.</w:t>
      </w:r>
    </w:p>
    <w:p w:rsidR="00163957" w:rsidRDefault="00163957" w:rsidP="00163957">
      <w:pPr>
        <w:pStyle w:val="TextoNormal"/>
      </w:pPr>
    </w:p>
    <w:p w:rsidR="00163957" w:rsidRDefault="00163957" w:rsidP="00163957">
      <w:pPr>
        <w:pStyle w:val="TextoNormal"/>
      </w:pPr>
      <w:r>
        <w:t>Si se asume con naturalidad el carácter transversal y plurifacético del medio ambiente, no debería sorprender que una norma de protección de la calidad del aire como es el Real Decreto 102/2011 incluya objetivos como la preservación de la salud y otros. El carácter “ambicioso” y la amplitud de objetivos que la Sentencia atribuye al Real Decreto controvertido no encuentran explicación en su naturaleza de norma “meteorológica”, sino en su condición de norma ambiental; una norma que, desde su título, se refiere a “la mejora de la calidad del aire”.</w:t>
      </w:r>
    </w:p>
    <w:p w:rsidR="00163957" w:rsidRDefault="00163957" w:rsidP="00163957">
      <w:pPr>
        <w:pStyle w:val="TextoNormal"/>
      </w:pPr>
    </w:p>
    <w:p w:rsidR="00163957" w:rsidRDefault="00163957" w:rsidP="00163957">
      <w:pPr>
        <w:pStyle w:val="TextoNormal"/>
      </w:pPr>
      <w:r>
        <w:t>4. Por todo ello, a nuestro juicio el encuadramiento competencial correcto de las funciones de medición controvertidas era el medio ambiente. Al tratarse de facultades ejecutivas, su titularidad debía corresponder a las Comunidades Autónomas. En suma, la Sentencia debió haber estimado parcialmente el presente conflicto positivo de competencias en relación con los arts. 3.1, último párrafo, 8, 9 y 12 del Real Decreto 102/2011 y, en consecuencia, declarar la titularidad autonómica de la competencia controvertida.</w:t>
      </w:r>
    </w:p>
    <w:p w:rsidR="00163957" w:rsidRDefault="00163957" w:rsidP="00163957">
      <w:pPr>
        <w:pStyle w:val="TextoNormal"/>
      </w:pPr>
    </w:p>
    <w:p w:rsidR="00163957" w:rsidRDefault="00163957" w:rsidP="00163957">
      <w:pPr>
        <w:pStyle w:val="TextoNormal"/>
      </w:pPr>
      <w:r>
        <w:t>Madrid, a diecisiete de marzo de dos mil dieciséis.</w:t>
      </w:r>
    </w:p>
    <w:p w:rsidR="00163957" w:rsidRDefault="00163957" w:rsidP="00163957">
      <w:pPr>
        <w:pStyle w:val="TextoNormal"/>
      </w:pPr>
    </w:p>
    <w:p w:rsidR="00163957" w:rsidRDefault="00163957" w:rsidP="00163957">
      <w:pPr>
        <w:pStyle w:val="TextoNormalNegritaCentrado"/>
        <w:keepNext/>
      </w:pPr>
      <w:r>
        <w:t>Voto particular que formula el Magistrado don Juan Antonio Xiol Ríos respecto de la Sentencia dictada en el conflicto positivo de competencia núm. 2900-2011.</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en la que se sustenta la Sentencia, manifiesto mi discrepancia con la fundamentación jurídica y con el fallo, que, en mi opinión, hubiera debido ser parcialmente estimatorio en relación con el último párrafo del art. 3.1 y los arts. 8, 9.2, 12 del Real Decreto 102/2011, de 28 de enero, relativo a la mejora de la calidad del aire.</w:t>
      </w:r>
    </w:p>
    <w:p w:rsidR="00163957" w:rsidRDefault="00163957" w:rsidP="00163957">
      <w:pPr>
        <w:pStyle w:val="TextoNormal"/>
      </w:pPr>
    </w:p>
    <w:p w:rsidR="00163957" w:rsidRDefault="00163957" w:rsidP="00163957">
      <w:pPr>
        <w:pStyle w:val="TextoNormal"/>
      </w:pPr>
      <w:r>
        <w:t>1. Se causó indefensión a la Comunidad Autónoma. La opinión mayoritaria en que se sustenta la Sentencia justifica la constitucionalidad de la medición directa por parte de la Agencia Estatal de Meteorología de determinados elementos químicos presentes en la atmósfera prevista en los artículos 3.1, 8, 9.2 y 12 del Real Decreto 102/2011, argumentando que es una regulación amparada en la competencia estatal exclusiva referida al servicio meteorológico (art. 149.1.20 CE).</w:t>
      </w:r>
    </w:p>
    <w:p w:rsidR="00163957" w:rsidRDefault="00163957" w:rsidP="00163957">
      <w:pPr>
        <w:pStyle w:val="TextoNormal"/>
      </w:pPr>
    </w:p>
    <w:p w:rsidR="00163957" w:rsidRDefault="00163957" w:rsidP="00163957">
      <w:pPr>
        <w:pStyle w:val="TextoNormal"/>
      </w:pPr>
      <w:r>
        <w:t xml:space="preserve">Dicho título competencial no aparece invocado en el real decreto impugnado, cuya disposición final segunda, bajo el título de “fundamento constitucional”, se limita a mencionar que “[e]l presente real decreto se dicta al amparo de las competencias exclusivas que al Estado otorga el artículo 149.1.16 y 23 de la Constitución, en materia de bases y coordinación general de la sanidad y de legislación básica sobre protección del medio ambiente”. Del mismo modo, tampoco en el informe del Consejo de Estado de 13 de enero de 2011 elaborado sobre el proyecto de Real Decreto (número de expediente 2462/2010) se establece ninguna referencia a la competencia estatal en materia de meteorología. En coherencia con ello, la Comunidad Autónoma de Cataluña únicamente controvierte y rebate en su demanda </w:t>
      </w:r>
      <w:r>
        <w:lastRenderedPageBreak/>
        <w:t>los títulos competenciales referidos a las materias sanitaria y de medio ambiente, omitiendo cualquier mención al servicio meteorológico.</w:t>
      </w:r>
    </w:p>
    <w:p w:rsidR="00163957" w:rsidRDefault="00163957" w:rsidP="00163957">
      <w:pPr>
        <w:pStyle w:val="TextoNormal"/>
      </w:pPr>
    </w:p>
    <w:p w:rsidR="00163957" w:rsidRDefault="00163957" w:rsidP="00163957">
      <w:pPr>
        <w:pStyle w:val="TextoNormal"/>
      </w:pPr>
      <w:r>
        <w:t>Este Tribunal no queda constreñido en la resolución de las controversias que se le plantean por las alegaciones de las partes. En este caso, sin embargo, concurren singulares circunstancias que hacían obligada la aplicación del art. 84 de la Ley Orgánica del Tribunal Constitucional (dando nueva audiencia a las partes sobre un motivo distinto de los alegados) como son que, (i) tal como ya se ha expuesto, ni en la propia norma ni en la demanda aparece controvertido ese título competencial, solo invocado por la Abogacía del Estado en un momento procesal en que la comunidad autónoma recurrente no ha podido alegar al respecto; (ii) es un título competencial sobre el que, como se reconoce en la opinión mayoritaria en que se funda la sentencia, no existe una jurisprudencia constitucional consolidada que delimite su contenido; y (iii) el art. 144.5 EAC también regula la competencia meteorológica de la Comunidad Autónoma de Cataluña al establecer que “[c]orresponde a la Generalitat el establecimiento de un servicio meteorológico propio, el suministro de información meteorológica y climática, incluyendo el pronóstico, el control y el seguimiento de las situaciones meteorológicas de riesgo, así como la investigación en estos ámbitos y la elaboración de la cartografía climática”.</w:t>
      </w:r>
    </w:p>
    <w:p w:rsidR="00163957" w:rsidRDefault="00163957" w:rsidP="00163957">
      <w:pPr>
        <w:pStyle w:val="TextoNormal"/>
      </w:pPr>
    </w:p>
    <w:p w:rsidR="00163957" w:rsidRDefault="00163957" w:rsidP="00163957">
      <w:pPr>
        <w:pStyle w:val="TextoNormal"/>
      </w:pPr>
      <w:r>
        <w:t>Considero, en suma, que hubiera sido necesario abrir un trámite de audiencia para evitar la indefensión de la comunidad autónoma recurrente.</w:t>
      </w:r>
    </w:p>
    <w:p w:rsidR="00163957" w:rsidRDefault="00163957" w:rsidP="00163957">
      <w:pPr>
        <w:pStyle w:val="TextoNormal"/>
      </w:pPr>
    </w:p>
    <w:p w:rsidR="00163957" w:rsidRDefault="00163957" w:rsidP="00163957">
      <w:pPr>
        <w:pStyle w:val="TextoNormal"/>
      </w:pPr>
      <w:r>
        <w:t>2. El Estado no tiene competencia exclusiva en materia de meteorología. Al margen de lo anterior, también discrepo con la conclusión de que esta concreta actividad de medición de la calidad del aire quede amparada en la competencia estatal exclusiva en materia de meteorología, ya que (i) implica una interpretación desproporcionada de esta competencia estatal que no responde a su reconocimiento constitucional y (ii) es incoherente con la jurisprudencia constitucional establecida en la STC 31/2010, de 28 de junio, FJ 88, y con determinadas afirmaciones sustentadas por la opinión mayoritaria.</w:t>
      </w:r>
    </w:p>
    <w:p w:rsidR="00163957" w:rsidRDefault="00163957" w:rsidP="00163957">
      <w:pPr>
        <w:pStyle w:val="TextoNormal"/>
      </w:pPr>
    </w:p>
    <w:p w:rsidR="00163957" w:rsidRDefault="00163957" w:rsidP="00163957">
      <w:pPr>
        <w:pStyle w:val="TextoNormal"/>
      </w:pPr>
      <w:r>
        <w:t>(i) El artículo 149.1.20 CE establece que el Estado tiene competencia exclusiva en materia de “[m]arina mercante y abanderamiento de buques; iluminación de costas y señales marítimas; puertos de interés general; aeropuertos de interés general; control del espacio aéreo, tránsito y transporte aéreo, servicio meteorológico y matriculación de aeronaves”. Una interpretación fundada en el uso pragmático del lenguaje y mínimamente sistemática de este precepto, basada los principios de plenitud y coherencia, no deja lugar a dudas acerca de que la referencia que se hace a la competencia en materia de servicio meteorológico, por ubicarse entre las competencias en materia de trasporte aéreo y matriculación de aeronaves, lo es a los únicos efectos de garantizar la seguridad aérea y no a cualquier otra finalidad. Resulta, ciertamente, difícil argumentar lo obvio: no cualquier medición de datos meteorológicos ni mucho menos, como sostiene la opinión mayoritaria, cualquier actividad o función que la Declaración de la Organización Meteorológica Mundial otorga a los servicios meteorológicos nacionales puede ser una competencia exclusiva del Estado al amparo del artículo 149.1.20 CE.</w:t>
      </w:r>
    </w:p>
    <w:p w:rsidR="00163957" w:rsidRDefault="00163957" w:rsidP="00163957">
      <w:pPr>
        <w:pStyle w:val="TextoNormal"/>
      </w:pPr>
    </w:p>
    <w:p w:rsidR="00163957" w:rsidRDefault="00163957" w:rsidP="00163957">
      <w:pPr>
        <w:pStyle w:val="TextoNormal"/>
      </w:pPr>
      <w:r>
        <w:t xml:space="preserve">(ii) La consagración que se hace en la opinión mayoritaria en la que se sustenta la sentencia de las mediciones meteorológica y de la propia creación de los servicios meteorológicos, con independencia de la finalidad o el carácter instrumental de las políticas públicas </w:t>
      </w:r>
      <w:r>
        <w:lastRenderedPageBreak/>
        <w:t>a cuyo servicio respondan, es contradictoria con lo ya concluido en la STC 31/2010, de 28 de junio, cuyo fundamento jurídico 88 declaró la constitucionalidad de la previsión del art. 144.5 del Estatuto de Autonomía de Cataluña donde se establece, como ya se ha dicho, que “[c]orresponde a la Generalitat el establecimiento de un servicio meteorológico propio”. Igualmente es incoherente con algunas de las afirmaciones contenidas en la sentencia como la referida en el fundamento jurídico 4, cuarto párrafo, en que se afirma que “[c]uestión distinta es que la atribución de alguna de las funciones de medición a la Agencia Estatal de Meteorología pueda representar una invasión competencial por asignar al Estado indebidamente competencias de gestión propias de las Comunidades Autónomas, y, en lo que ahora interesa, de Cataluña, que, de ser así, habría ésta de llevar a efecto a través de sus propias estaciones y redes, pero, en modo alguno, a hacerlo mediante estaciones del Estado que cumplen funciones que competen a éste”. Es contradictorio sustentar que el art. 149.1.20 CE determina la competencia exclusiva del Estado en materia de servicio meteorológico y, simultáneamente, afirmar que existen funciones propias de un servicio meteorológico que puedan invadir competencias autonómicas.</w:t>
      </w:r>
    </w:p>
    <w:p w:rsidR="00163957" w:rsidRDefault="00163957" w:rsidP="00163957">
      <w:pPr>
        <w:pStyle w:val="TextoNormal"/>
      </w:pPr>
    </w:p>
    <w:p w:rsidR="00163957" w:rsidRDefault="00163957" w:rsidP="00163957">
      <w:pPr>
        <w:pStyle w:val="TextoNormal"/>
      </w:pPr>
      <w:r>
        <w:t>Por tanto, la competencia del art. 149.1.20 CE, en cuanto a la mera obtención de mediciones o datos, que es lo concretamente controvertido en este conflicto positivo de competencias, solo podría interpretarse desde un punto de vista sistemático como referida a las relativas a la seguridad aérea, que en este caso es indubitado que no estaría afectada. La competencia en relación con cualquier otra actividad de medición meteorológica queda vinculada, por su carácter instrumental, a la determinación de cuál sea la función y utilidad de dichas mediciones. De ese modo, el análisis que hubiera debido desarrollarse en este caso era si estas concretas mediciones controvertidas quedaban vinculadas a la legislación básica sobre protección del medio ambiente (art. 149.1.23 CE) y a las bases y coordinación general de la sanidad (art. 149.1.16 CE).</w:t>
      </w:r>
    </w:p>
    <w:p w:rsidR="00163957" w:rsidRDefault="00163957" w:rsidP="00163957">
      <w:pPr>
        <w:pStyle w:val="TextoNormal"/>
      </w:pPr>
    </w:p>
    <w:p w:rsidR="00163957" w:rsidRDefault="00163957" w:rsidP="00163957">
      <w:pPr>
        <w:pStyle w:val="TextoNormal"/>
      </w:pPr>
      <w:r>
        <w:t>3. Prevalencia de la competencia sobre medio ambiente. Considero que la competencia controvertida en este caso es la referida a la legislación básica sobre protección del medio ambiente (art. 149.1.23 CE) y no la referida a las bases y coordinación general de la sanidad (art. 149.1.16 CE) y que, en ese sentido, la ejecución de las mediciones previstas en la normativa impugnada incidiría en aspectos de ejecución que, aun pudiendo tener incidencia supraautonómica, es susceptible de fraccionamiento y coordinación, por lo que se trataría de una competencia autonómica al amparo del art. 144.1 h) del Estatuto de Autonomía de Cataluña, que establece la competencia compartida en materia de medio ambiente y, específicamente, cuando se trata de “[l]a regulación del ambiente atmosférico y de las distintas clases de contaminación del mismo, la declaración de zonas de atmósfera contaminada y el establecimiento de otros instrumentos de control de la contaminación con independencia de la administración competente para autorizar la obra, la instalación o la actividad que la produzca”.</w:t>
      </w:r>
    </w:p>
    <w:p w:rsidR="00163957" w:rsidRDefault="00163957" w:rsidP="00163957">
      <w:pPr>
        <w:pStyle w:val="TextoNormal"/>
      </w:pPr>
    </w:p>
    <w:p w:rsidR="00163957" w:rsidRDefault="00163957" w:rsidP="00163957">
      <w:pPr>
        <w:pStyle w:val="TextoNormal"/>
      </w:pPr>
      <w:r>
        <w:t xml:space="preserve">Por lo que se refiere a la determinación de la competencia controvertida, creo que el estado actual del pensamiento y de la ciencia obligan a concluir la preponderancia que en este caso tiene el medio ambiente, en su concreta dimensión de la calidad del aire, respecto de los aspectos sanitarios. Hoy puede sostenerse que la opinión contraria implica una trivialización del derecho al medio ambiente (art. 45 CE), en cuanto supone reducir el concepto a una consideración del ecosistema como el conjunto de recursos naturales —aire, agua, atmósfera, flora, fauna— que constituyen el medio en el que se desenvuelve la vida del ser </w:t>
      </w:r>
      <w:r>
        <w:lastRenderedPageBreak/>
        <w:t>humano y a la eventual incidencia que podría tener su deterioro en la salud de este, lo que ha llevado incluso a cierta corriente jurisprudencial a concluir que las medidas de control de la calidad de las aguas superficiales que se destinan a la producción de agua potable se inscriben en la materia sanitaria (STC 208/1991, de 31 de octubre, FJ 4). Frente a ello, considero que el medio ambiente debe trascender, también en su consideración normativa, de una visión antropocéntrica, individualista y temporal. El medio ambiente y las políticas públicas que inciden en su protección suponen un elemento condicionante de la supervivencia de la especie humana y de la vida en el planeta y, además, son también un elemento de responsabilidad intergeneracional implícito en el concepto de solidaridad colectiva reclamado por la Constitución (art. 45.2 CE). En ese sentido, considero que, como se declara en la STC 329/1993, de 12 de noviembre, las concretas cuestiones que afectan a la calidad del aire y a la contaminación atmosférica originada por el vertido y la propagación de diferentes tipos de elementos contaminantes deben quedar ubicadas en el ámbito de la protección medioambiental a que se refiere el art. 149.1.23 CE.</w:t>
      </w:r>
    </w:p>
    <w:p w:rsidR="00163957" w:rsidRDefault="00163957" w:rsidP="00163957">
      <w:pPr>
        <w:pStyle w:val="TextoNormal"/>
      </w:pPr>
    </w:p>
    <w:p w:rsidR="00163957" w:rsidRDefault="00163957" w:rsidP="00163957">
      <w:pPr>
        <w:pStyle w:val="TextoNormal"/>
      </w:pPr>
      <w:r>
        <w:t>La trivialización que observo resulta a mi juicio grave cuando estas competencias sobre medio ambiente se disuelven en una actividad, como el servicio meteorológico, que ni siquiera aparece mencionado con carácter general en la Constitución ni relacionado con derecho alguno, y que la opinión mayoritaria (muy lejos de las preocupaciones a que he hecho referencia) entiende como vinculado a la actividad técnica de hecho desarrollada por las instituciones encargadas de la medición de ciertos parámetros atmosféricos con abstracción de su finalidad.</w:t>
      </w:r>
    </w:p>
    <w:p w:rsidR="00163957" w:rsidRDefault="00163957" w:rsidP="00163957">
      <w:pPr>
        <w:pStyle w:val="TextoNormal"/>
      </w:pPr>
    </w:p>
    <w:p w:rsidR="00163957" w:rsidRDefault="00163957" w:rsidP="00163957">
      <w:pPr>
        <w:pStyle w:val="TextoNormal"/>
      </w:pPr>
      <w:r>
        <w:t>4. Conclusión. Considero, en suma, que el encuadramiento competencial que defiende la opinión mayoritaria en que se funda la sentencia no ha sido sometido a contradicción y es inadecuado con arreglo a una interpretación gramatical y sistemática de la Constitución y al tratamiento que los consensos sociales trabajosamente logrados imponen sobre el medio ambiente; y que, de haberse seguido el método de análisis a mi juicio correcto, este hubiera conducido a la procedencia de estimar el recurso en este punto.</w:t>
      </w:r>
    </w:p>
    <w:p w:rsidR="00163957" w:rsidRDefault="00163957" w:rsidP="00163957">
      <w:pPr>
        <w:pStyle w:val="TextoNormal"/>
      </w:pPr>
    </w:p>
    <w:p w:rsidR="00163957" w:rsidRDefault="00163957" w:rsidP="00163957">
      <w:pPr>
        <w:pStyle w:val="TextoNormal"/>
      </w:pPr>
      <w:r>
        <w:t>Madrid, a diecisiete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57" w:name="SENTENCIA_2016_54"/>
      <w:r>
        <w:lastRenderedPageBreak/>
        <w:t>SENTENCIA 54/2016, de 17 de marzo de 2016</w:t>
      </w:r>
    </w:p>
    <w:bookmarkEnd w:id="57"/>
    <w:p w:rsidR="00163957" w:rsidRDefault="00163957" w:rsidP="00163957">
      <w:pPr>
        <w:pStyle w:val="TtuloResolucin"/>
      </w:pPr>
      <w:r>
        <w:t>Pleno</w:t>
      </w:r>
    </w:p>
    <w:p w:rsidR="00163957" w:rsidRDefault="00163957" w:rsidP="00163957">
      <w:pPr>
        <w:pStyle w:val="TtuloBOE"/>
      </w:pPr>
      <w:r>
        <w:t>(BOE núm. 97, de 22 de abril de 2016)</w:t>
      </w:r>
    </w:p>
    <w:p w:rsidR="00163957" w:rsidRDefault="00163957" w:rsidP="00163957">
      <w:pPr>
        <w:pStyle w:val="TextoNormalCentrado"/>
      </w:pPr>
      <w:r>
        <w:t>ECLI:ES:TC:2016:54</w:t>
      </w:r>
    </w:p>
    <w:p w:rsidR="00163957" w:rsidRDefault="00163957" w:rsidP="00163957">
      <w:pPr>
        <w:pStyle w:val="TextoNormalCentrado"/>
      </w:pPr>
    </w:p>
    <w:p w:rsidR="00163957" w:rsidRDefault="00163957" w:rsidP="00163957">
      <w:pPr>
        <w:pStyle w:val="SntesisDescriptiva"/>
      </w:pPr>
      <w:r>
        <w:t>Recurso de inconstitucionalidad 4217-2012. Interpuesto por el Parlamento de Navarra en relación con diversos preceptos del Real Decreto-ley 14/2012, de 20 de abril, de medidas urgentes de racionalización del gasto público en el ámbito educativo.</w:t>
      </w:r>
    </w:p>
    <w:p w:rsidR="00163957" w:rsidRDefault="00163957" w:rsidP="00163957">
      <w:pPr>
        <w:pStyle w:val="SntesisDescriptiva"/>
      </w:pPr>
    </w:p>
    <w:p w:rsidR="00163957" w:rsidRDefault="00163957" w:rsidP="00163957">
      <w:pPr>
        <w:pStyle w:val="SntesisAnaltica"/>
      </w:pPr>
      <w:r>
        <w:t>Competencias sobre educación, función pública y ordenación general de la economía: constitucionalidad de los preceptos legales estatales relativos a la jornada lectiva y sustitución del personal docente (STC 26/2016). Voto particular.</w:t>
      </w:r>
    </w:p>
    <w:p w:rsidR="00163957" w:rsidRDefault="00163957" w:rsidP="00163957">
      <w:pPr>
        <w:pStyle w:val="SntesisAnaltica"/>
      </w:pPr>
    </w:p>
    <w:p w:rsidR="00163957" w:rsidRDefault="00163957" w:rsidP="00163957">
      <w:pPr>
        <w:pStyle w:val="Extracto"/>
      </w:pPr>
      <w:r>
        <w:t>1.</w:t>
      </w:r>
      <w:r>
        <w:tab/>
        <w:t>Asunto sustancialmente idéntico al resuelto por la STC 26/2016, relativa a la doctrina sobre el reparto de competencias en materia educativa no universitaria [FFJJ 2 a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4217-2012, interpuesto por el Parlamento de Navarra contra los arts. 3 y 4 y, por conexión, la disposición final 1ª del Real Decreto-ley 14/2012, de 20 de abril, de medidas urgentes de racionalización del gasto público en el ámbito educativo. Ha comparecido y formulado alegaciones la Abogada del Estado. Ha sido ponente el Magistrado don Fernando Valdés Dal-Ré,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9 de julio de 2012, el Letrado del Parlamento de Navarra, en la representación que legalmente ostenta, promovió recurso de inconstitucionalidad contra los arts. 3 y 4 y, por conexión, la disposición final primera del Real Decreto-ley 14/2012, de 20 de abril, de medidas urgentes de racionalización del gasto público en el ámbito educativo.</w:t>
      </w:r>
    </w:p>
    <w:p w:rsidR="00163957" w:rsidRDefault="00163957" w:rsidP="00163957">
      <w:pPr>
        <w:pStyle w:val="TextoNormal"/>
      </w:pPr>
    </w:p>
    <w:p w:rsidR="00163957" w:rsidRDefault="00163957" w:rsidP="00163957">
      <w:pPr>
        <w:pStyle w:val="TextoNormal"/>
      </w:pPr>
      <w:r>
        <w:lastRenderedPageBreak/>
        <w:t>La impugnación se fundamenta en los motivos que se resumen a continuación.</w:t>
      </w:r>
    </w:p>
    <w:p w:rsidR="00163957" w:rsidRDefault="00163957" w:rsidP="00163957">
      <w:pPr>
        <w:pStyle w:val="TextoNormal"/>
      </w:pPr>
    </w:p>
    <w:p w:rsidR="00163957" w:rsidRDefault="00163957" w:rsidP="00163957">
      <w:pPr>
        <w:pStyle w:val="TextoNormal"/>
      </w:pPr>
      <w:r>
        <w:t>a) En ejercicio de las competencias atribuidas al Estado por el art. 149.1.30 CE, en conexión con las atribuidas por las reglas 1 y 18 del mismo precepto constitucional, y con carácter orgánico en lo que supone desarrollo del art. 27 CE, el Estado ha legislado abundantemente, regulando el derecho a la educación, configurando el sistema educativo y diseñando el gobierno de los centros docentes.</w:t>
      </w:r>
    </w:p>
    <w:p w:rsidR="00163957" w:rsidRDefault="00163957" w:rsidP="00163957">
      <w:pPr>
        <w:pStyle w:val="TextoNormal"/>
      </w:pPr>
    </w:p>
    <w:p w:rsidR="00163957" w:rsidRDefault="00163957" w:rsidP="00163957">
      <w:pPr>
        <w:pStyle w:val="TextoNormal"/>
      </w:pPr>
      <w:r>
        <w:t>La competencia de Navarra en materia de enseñanza viene establecida en el art. 47 de la Ley Orgánica de reintegración y amejoramiento del régimen foral de Navarra (LORAFNA). Como reza el precepto, la Comunidad Foral tiene competencia “plena” para la regulación y gestión (o administración) de la “enseñanza en toda su extensión”, si bien marcada por una intensa y extensa limitación: el condicionamiento que restringe las potestades normativas de Navarra recoge prácticamente la totalidad de las previsiones constitucionales en la materia [arts. 27, 20 a) y 149.1.1, 18 y 30 CE], las leyes orgánicas y las complementarias estatales derivadas de ambas. La doctrina interpreta esta singular alusión a la plenitud en la voluntad del amejoramiento de asumir la totalidad del elenco competencial que constitucionalmente no corresponde al Estado y, desde luego, la gestión del servicio público de la enseñanza no universitaria en su totalidad, como pone de relieve el Real Decreto 1070/1990, de 31 de agosto, de traspaso de servicios en esta materia.</w:t>
      </w:r>
    </w:p>
    <w:p w:rsidR="00163957" w:rsidRDefault="00163957" w:rsidP="00163957">
      <w:pPr>
        <w:pStyle w:val="TextoNormal"/>
      </w:pPr>
    </w:p>
    <w:p w:rsidR="00163957" w:rsidRDefault="00163957" w:rsidP="00163957">
      <w:pPr>
        <w:pStyle w:val="TextoNormal"/>
      </w:pPr>
      <w:r>
        <w:t>Como avala la jurisprudencia constitucional (SSTC 77/1985, de 27 de junio; 137/1986, de 6 de noviembre, y otras), a grandes rasgos y con excepción de la alta inspección, el Estado ostenta competencias de carácter normativo con alcance orgánico y básico derivado de los preceptos constitucionales referidos, en garantía de la homogeneidad y unidad del sistema educativo, así como de las condiciones básicas de igualdad de todos los ciudadanos en el ejercicio del derecho fundamental a la educación (STC 6/1982, de 27 de febrero, FJ 4). La Comunidad Foral de Navarra dispone de competencias de desarrollo normativo y de regulación propia de los aspectos no básicos del sistema educativo, así como las ejecutivo-administrativas para la gestión del sistema en su territorio.</w:t>
      </w:r>
    </w:p>
    <w:p w:rsidR="00163957" w:rsidRDefault="00163957" w:rsidP="00163957">
      <w:pPr>
        <w:pStyle w:val="TextoNormal"/>
      </w:pPr>
    </w:p>
    <w:p w:rsidR="00163957" w:rsidRDefault="00163957" w:rsidP="00163957">
      <w:pPr>
        <w:pStyle w:val="TextoNormal"/>
      </w:pPr>
      <w:r>
        <w:t>En cuanto al régimen estatutario de los funcionarios públicos, corresponde al Estado dictar las bases (art. 149.1.18 CE) y a Navarra, en virtud de su régimen foral, la competencia exclusiva, “respetando los derechos y obligaciones esenciales que la legislación básica reconozca a los funcionarios públicos”. Así la Comunidad Foral queda sometida sólo a una parte del estatuto funcionarial básico. La limitación y cuantificación de las retribuciones del personal al servicio de las Administraciones públicas no constituyen medidas integradas en el régimen estatutario de los funcionarios públicos, sino disposiciones emanadas del art. 149.1.13, en relación con el art. 156, ambos de la Constitución (SSTC 140/1990, de 20 de septiembre, y 148/2006, de 11 de mayo).</w:t>
      </w:r>
    </w:p>
    <w:p w:rsidR="00163957" w:rsidRDefault="00163957" w:rsidP="00163957">
      <w:pPr>
        <w:pStyle w:val="TextoNormal"/>
      </w:pPr>
    </w:p>
    <w:p w:rsidR="00163957" w:rsidRDefault="00163957" w:rsidP="00163957">
      <w:pPr>
        <w:pStyle w:val="TextoNormal"/>
      </w:pPr>
      <w:r>
        <w:t>b) Desde la STC 54/1982, de 26 de julio, FJ 5 b), el Tribunal ha sostenido que no puede considerarse como básica la jornada establecida a efectos retributivos. Esta tesis fue plenamente asumida por el Estado, que desde entonces no ha establecido una norma básica relativa a la jornada laboral de los funcionarios públicos, porque su determinación y distribución no forma parte del régimen estatutario a efectos de lo previsto en el art. 149.1.18 CE. Y así lo ha recogido la Ley 7/2007, de 12 abril, por la que se aprueba el estatuto básico del empleado público (LEEP) en sus arts. 37.1 m) y 47.</w:t>
      </w:r>
    </w:p>
    <w:p w:rsidR="00163957" w:rsidRDefault="00163957" w:rsidP="00163957">
      <w:pPr>
        <w:pStyle w:val="TextoNormal"/>
      </w:pPr>
    </w:p>
    <w:p w:rsidR="00163957" w:rsidRDefault="00163957" w:rsidP="00163957">
      <w:pPr>
        <w:pStyle w:val="TextoNormal"/>
      </w:pPr>
      <w:r>
        <w:t>En el ámbito de Navarra, la regulación de la jornada se ha abordado por la legislación foral emanada de la competencia histórica sobre el estatuto de la función pública. El Decreto Foral 225/1998, de 6 de julio, regula la jornada y el horario del personal docente no universitario por remisión a la establecida con carácter general para los funcionarios dependientes del Gobierno de Navarra. Fija la jornada presencial en el centro docente en treinta horas semanales, y dispone que el resto (no presencial) se dedicará a la preparación de las actividades docentes y al perfeccionamiento del profesorado, sin perjuicio de la obligación de participar en los órganos de selección o actividades análogas. En función de los niveles educativos, distribuye la jornada presencial en horas lectivas, horas de cómputo lectivo y horas complementarias.</w:t>
      </w:r>
    </w:p>
    <w:p w:rsidR="00163957" w:rsidRDefault="00163957" w:rsidP="00163957">
      <w:pPr>
        <w:pStyle w:val="TextoNormal"/>
      </w:pPr>
    </w:p>
    <w:p w:rsidR="00163957" w:rsidRDefault="00163957" w:rsidP="00163957">
      <w:pPr>
        <w:pStyle w:val="TextoNormal"/>
      </w:pPr>
      <w:r>
        <w:t>La determinación de la jornada lectiva del personal docente no universitario se inserta con naturalidad en las competencias forales de normación y gestión del servicio público de educación, en convergencia con la relativa a la regulación del régimen estatutario de sus funcionarios públicos, que tiene el plus derivado de la sujeción solo a los derechos y obligaciones esenciales [art. 49.1 b) LORAFNA]. No se discute que el Estado establezca las enseñanzas mínimas y el horario a ellas destinado, pero el modo de cumplir estas exigencias con los recursos humanos de los que se dispone se defiere a la entera responsabilidad del titular del servicio público educativo, en este caso la Comunidad Foral de Navarra.</w:t>
      </w:r>
    </w:p>
    <w:p w:rsidR="00163957" w:rsidRDefault="00163957" w:rsidP="00163957">
      <w:pPr>
        <w:pStyle w:val="TextoNormal"/>
      </w:pPr>
    </w:p>
    <w:p w:rsidR="00163957" w:rsidRDefault="00163957" w:rsidP="00163957">
      <w:pPr>
        <w:pStyle w:val="TextoNormal"/>
      </w:pPr>
      <w:r>
        <w:t>c) Los arts. 3 y 4 del Real Decreto-ley 14/2012, dirigidos a establecer un mínimo de jornada lectiva del personal docente y a fijar límites a la sustitución del profesorado, carecen de un efecto relevante y significativo en la actividad económica general, aunque ciertamente pueden contribuir en alguna medida a reducir el gasto público y a facilitar, en un grado menor, la consecución del objetivo de estabilidad presupuestaria. En cualquier caso, la mera invocación de esta finalidad por la citada norma no convierte dichas medidas en mecanismos indispensables para alcanzar fines de política económica general que, en consecuencia, no encuentran cobijo en la competencia estatal dimanante del art. 149.1.13 CE, como se desprende de la STC 36/2012, de 15 de marzo, FJ 4.</w:t>
      </w:r>
    </w:p>
    <w:p w:rsidR="00163957" w:rsidRDefault="00163957" w:rsidP="00163957">
      <w:pPr>
        <w:pStyle w:val="TextoNormal"/>
      </w:pPr>
    </w:p>
    <w:p w:rsidR="00163957" w:rsidRDefault="00163957" w:rsidP="00163957">
      <w:pPr>
        <w:pStyle w:val="TextoNormal"/>
      </w:pPr>
      <w:r>
        <w:t>La proyección del art. 149.1.13 CE puede alcanzar al personal propio de los servicios públicos autonómicos y, más concretamente, al gasto público generado por dicho personal, como determinó para la Comunidad Foral de Navarra la STC 148/2006 en relación con los techos máximos de incremento de la masa salarial del sector público. Lo mismo cabe decir de la restricción de la oferta pública de empleo (STC 178/2006, de 6 de junio, FJ 3). Las medidas avaladas por la jurisprudencia constitucional afectan a la masa salarial global o al conjunto retributivo del sector público, con el objeto de contener o reducir el capítulo presupuestario de los gastos de personal, en cuanto segmento global del gasto corriente, de extraordinaria entidad cuantitativa.</w:t>
      </w:r>
    </w:p>
    <w:p w:rsidR="00163957" w:rsidRDefault="00163957" w:rsidP="00163957">
      <w:pPr>
        <w:pStyle w:val="TextoNormal"/>
      </w:pPr>
    </w:p>
    <w:p w:rsidR="00163957" w:rsidRDefault="00163957" w:rsidP="00163957">
      <w:pPr>
        <w:pStyle w:val="TextoNormal"/>
      </w:pPr>
      <w:r>
        <w:t>Los preceptos aquí impugnados representan un supuesto muy distinto, al estar limitadas a un tipo específico de personal y no constituir acciones de dirección económica, sino estrictas medidas normativas y de gestión del personal docente no universitario. El entendimiento contrario supondría un vaciamiento competencial, con grave quebrantamiento del esquema diseñado por el bloque de la constitucionalidad, ya que resulta difícil imaginar medida pública alguna que no tenga incidencia en la vertiente del gasto público.</w:t>
      </w:r>
    </w:p>
    <w:p w:rsidR="00163957" w:rsidRDefault="00163957" w:rsidP="00163957">
      <w:pPr>
        <w:pStyle w:val="TextoNormal"/>
      </w:pPr>
    </w:p>
    <w:p w:rsidR="00163957" w:rsidRDefault="00163957" w:rsidP="00163957">
      <w:pPr>
        <w:pStyle w:val="TextoNormal"/>
      </w:pPr>
      <w:r>
        <w:lastRenderedPageBreak/>
        <w:t>El Estado dispone de mecanismos específicos para la consecución del objetivo de estabilidad presupuestaria, principio consagrado en el art. 135 CE, al que están sujetas todas las Administraciones públicas. Estos instrumentos, enderezados al establecimiento de los objetivos de estabilidad, a la prevención de desviaciones, al control de su cumplimiento y a la corrección en caso necesario, constituyen un engranaje básico de las finanzas públicas, que irradia toda la actuación pública y que, llegado el caso, puede condicionar intensamente la autonomía financiera de las Comunidades Autónomas en el ejercicio de sus competencias. No se discute la plena aplicación a Navarra del régimen constitucional de estabilidad presupuestaria, y su sujeción a la Ley Orgánica 2/2012, de 27 de abril, de estabilidad presupuestaria y sostenibilidad financiera en los términos de su disposición final tercera. Conforme a la Ley Orgánica 2/2012, corresponde al Estado la fijación de los objetivos de estabilidad presupuestaria de todo el sector público y a las Comunidades Autónomas la aprobación de su techo de gasto no financiero, coherente con el objetivo de estabilidad presupuestaria (límite del déficit estructural), pudiendo operar para ello con la capacidad de su sistema tributario, de especial importancia en Navarra, al relacionarse directamente su poder tributario con su capacidad de gasto. Partiendo del insoslayable ajuste a los objetivos de estabilidad, las Comunidades Autónomas gozan de discrecionalidad para determinar la cuantía y estructura de su gasto público, sin que el Estado pueda dirigir y condicionar las facultades de gasto inherentes a sus competencias, indicándoles a qué finalidades y en qué cuantía deben destinar sus recursos públicos, sin perjuicio de las limitaciones derivadas de la legislación básica que le corresponda dictar en virtud de los títulos competenciales que le reconoce el bloque de la constitucionalidad.</w:t>
      </w:r>
    </w:p>
    <w:p w:rsidR="00163957" w:rsidRDefault="00163957" w:rsidP="00163957">
      <w:pPr>
        <w:pStyle w:val="TextoNormal"/>
      </w:pPr>
    </w:p>
    <w:p w:rsidR="00163957" w:rsidRDefault="00163957" w:rsidP="00163957">
      <w:pPr>
        <w:pStyle w:val="TextoNormal"/>
      </w:pPr>
      <w:r>
        <w:t>Al margen de los mecanismos establecidos por la Ley Orgánica 2/2012, la contribución al logro de los objetivos de déficit y volumen de deuda asignados debe realizarse por los distintos subsectores públicos en el ámbito de los títulos competenciales que les atribuye el bloque de la constitucionalidad. La mera invocación de la finalidad consagrada por el art. 135 CE, no autoriza al Estado, al socaire de la competencia prevista en el art. 149.1.13 CE, a dictar cualesquiera disposiciones transversales afectantes a materias que sean competencia específica de las Comunidades Autónomas, de acuerdo con sus Estatutos y la Constitución. Las facultades estatales pueden afectar de manera bien intensa al ámbito de decisión autonómico, siempre que se desvíen del objetivo fijado o lo incumplan, conforme a lo establecido en la Ley Orgánica 2/2012. Lo que no cabe es sustituir tales mecanismos preferentes por medidas legales preventivas, con vigencia nacional uniforme, emanadas por el Estado, en materias sobre las que carece de competencia.</w:t>
      </w:r>
    </w:p>
    <w:p w:rsidR="00163957" w:rsidRDefault="00163957" w:rsidP="00163957">
      <w:pPr>
        <w:pStyle w:val="TextoNormal"/>
      </w:pPr>
    </w:p>
    <w:p w:rsidR="00163957" w:rsidRDefault="00163957" w:rsidP="00163957">
      <w:pPr>
        <w:pStyle w:val="TextoNormal"/>
      </w:pPr>
      <w:r>
        <w:t xml:space="preserve">Sin entrar a valorar si las medidas sobre jornada y sustituciones del profesorado (arts. 3 y 4 del Real Decreto-ley 14/2012) son necesarias, idóneas o adecuadas a la finalidad pretendida, es la Administración educativa foral la competente para la gestión de los recursos humanos a asignar a los centros docentes. En coherencia con ello, la Comunidad Foral, sin desviarse del objetivo de estabilidad que tiene asignado, goza del poder ínsito a su autogobierno para decidir los recursos públicos que destina a esta rama de la enseñanza. Atendiendo a las enseñanzas mínimas y horarios de este carácter básicamente establecidos, podrá resolver acerca del régimen de dedicación de su funcionariado y del modo de proveer a su sustitución cuando las necesidades lo reclamen. Más específicamente aún, respetando los límites estatales sobre el monto global del salario público, podrá optar por su ponderación relativa en los distintos servicios públicos. La política propia en esta materia comprende </w:t>
      </w:r>
      <w:r>
        <w:lastRenderedPageBreak/>
        <w:t>tanto la opción de implantar medidas de austeridad en el segmento de los recursos humanos docentes como la de trasladarlas a otras variantes del mismo, o a otros servicios públicos.</w:t>
      </w:r>
    </w:p>
    <w:p w:rsidR="00163957" w:rsidRDefault="00163957" w:rsidP="00163957">
      <w:pPr>
        <w:pStyle w:val="TextoNormal"/>
      </w:pPr>
    </w:p>
    <w:p w:rsidR="00163957" w:rsidRDefault="00163957" w:rsidP="00163957">
      <w:pPr>
        <w:pStyle w:val="TextoNormal"/>
      </w:pPr>
      <w:r>
        <w:t>d) Bajo las anteriores premisas, los arts. 3 y 4 del Real Decreto-ley 14/2012 carecen de cobertura competencial.</w:t>
      </w:r>
    </w:p>
    <w:p w:rsidR="00163957" w:rsidRDefault="00163957" w:rsidP="00163957">
      <w:pPr>
        <w:pStyle w:val="TextoNormal"/>
      </w:pPr>
    </w:p>
    <w:p w:rsidR="00163957" w:rsidRDefault="00163957" w:rsidP="00163957">
      <w:pPr>
        <w:pStyle w:val="TextoNormal"/>
      </w:pPr>
      <w:r>
        <w:t>(i) La regulación con carácter básico de la parte lectiva de la jornada del personal docente (art. 3) ha reducido y limitado el ámbito decisorio de la Comunidad Foral, al fijar unos mínimos superiores a los establecidos en la normativa foral antes citada y en los correspondientes pactos.</w:t>
      </w:r>
    </w:p>
    <w:p w:rsidR="00163957" w:rsidRDefault="00163957" w:rsidP="00163957">
      <w:pPr>
        <w:pStyle w:val="TextoNormal"/>
      </w:pPr>
    </w:p>
    <w:p w:rsidR="00163957" w:rsidRDefault="00163957" w:rsidP="00163957">
      <w:pPr>
        <w:pStyle w:val="TextoNormal"/>
      </w:pPr>
      <w:r>
        <w:t>La naturaleza del impacto del precepto básico impugnado es apreciable teniendo en cuenta que no recae sobre la jornada general, ni siquiera sobre la jornada presencial. Incide en un escalón más reducido, la jornada lectiva dedicada a la docencia directa, y además, trascendiendo la simple asignación de horario lectivo mínimo, penetra en el régimen de compensación de horas complementarias. Ese intenso grado regulativo no es encuadrable ni en las bases del régimen estatutario de los funcionarios públicos ni en las bases del sistema educativo, y su relación con las condiciones básicas del ejercicio del derecho a la educación es tan remota que no merece análisis detenido. Tampoco puede encuadrarse en el art. 149.1.13 CE, al tratarse de una medida singular, no global, que casa mal con la incidencia directa en la planificación general de la actividad económica, según la interpretación de la jurisprudencia constitucional.</w:t>
      </w:r>
    </w:p>
    <w:p w:rsidR="00163957" w:rsidRDefault="00163957" w:rsidP="00163957">
      <w:pPr>
        <w:pStyle w:val="TextoNormal"/>
      </w:pPr>
    </w:p>
    <w:p w:rsidR="00163957" w:rsidRDefault="00163957" w:rsidP="00163957">
      <w:pPr>
        <w:pStyle w:val="TextoNormal"/>
      </w:pPr>
      <w:r>
        <w:t>Se trata en definitiva de una disposición específica que es inconstitucional al entrar de lleno en la potestad foral de organización de los servicios educativos no universitarios y de regulación y gestión de los recursos humanos docentes que le están adscritos, materias prototípicas de la competencia de la Comunidad Foral de Navarra, a tenor de lo previsto en los arts. 47 y 49.1 b) LORAFNA.</w:t>
      </w:r>
    </w:p>
    <w:p w:rsidR="00163957" w:rsidRDefault="00163957" w:rsidP="00163957">
      <w:pPr>
        <w:pStyle w:val="TextoNormal"/>
      </w:pPr>
    </w:p>
    <w:p w:rsidR="00163957" w:rsidRDefault="00163957" w:rsidP="00163957">
      <w:pPr>
        <w:pStyle w:val="TextoNormal"/>
      </w:pPr>
      <w:r>
        <w:t>(ii) El artículo 4 regula la sustitución de profesores por funcionarios interinos, referencia inequívocamente trasladable, dada su identidad de razón, al personal contratado administrativo previsto en el art. 88.5 del estatuto del personal al servicio de las Administraciones públicas de navarra, texto refundido aprobado por Decreto Foral Legislativo 251/1993, de 30 de agosto. La intensidad y alcance de la medida estatal puede valorarse en comparación con otras medidas estatales sobre congelación de las ofertas de empleo o limitación de la reposición de efectivos que, pese a su aguda afectación al poder organizatorio y de gestión, dejan un margen de apreciación a las Comunidades Autónomas y otras Administraciones públicas para valorar la necesidad de contratación temporal, con salvaguarda de la prestación de los servicios públicos esenciales, como la educación, especialmente en la etapa obligatoria.</w:t>
      </w:r>
    </w:p>
    <w:p w:rsidR="00163957" w:rsidRDefault="00163957" w:rsidP="00163957">
      <w:pPr>
        <w:pStyle w:val="TextoNormal"/>
      </w:pPr>
    </w:p>
    <w:p w:rsidR="00163957" w:rsidRDefault="00163957" w:rsidP="00163957">
      <w:pPr>
        <w:pStyle w:val="TextoNormal"/>
      </w:pPr>
      <w:r>
        <w:t xml:space="preserve">La medida recogida en el art. 4 del Real Decreto-ley 14/2012 va mucho más allá de las citadas, avaladas por la jurisprudencia constitucional, porque no deja margen alguno a la Administración educativa de la Comunidad Foral de Navarra para valorar las necesidades de prestación docente y proveer a la garantía del servicio esencial de la educación, en forma acorde con sus facultades organizatorias de los recursos humanos. La taxatividad del aplazamiento inexcusable “a diez días lectivos” es buena prueba de ello. La disposición parece dirigida a un ente público pródigo, que no supiese por sí mismo discernir sobre la forma </w:t>
      </w:r>
      <w:r>
        <w:lastRenderedPageBreak/>
        <w:t>más razonable de proveer a la prestación de sus servicios. Por las razones ya aducidas, el precepto menoscaba la competencia foral en materia educativa y de regulación y gestión de recursos humanos [arts. 47 y 49.1 b) LORAFNA].</w:t>
      </w:r>
    </w:p>
    <w:p w:rsidR="00163957" w:rsidRDefault="00163957" w:rsidP="00163957">
      <w:pPr>
        <w:pStyle w:val="TextoNormal"/>
      </w:pPr>
    </w:p>
    <w:p w:rsidR="00163957" w:rsidRDefault="00163957" w:rsidP="00163957">
      <w:pPr>
        <w:pStyle w:val="TextoNormal"/>
      </w:pPr>
      <w:r>
        <w:t>(iii) Los artículos 3 y 4 son asimismo aplicables a los “centros docentes privados sostenidos con fondos públicos”, o centros concertados. Los arts. 116 y 117 de la Ley Orgánica 2/2006, de 3 de mayo, de educación (LOE) establecen el régimen básico de los conciertos educativos, debiendo suscribir los centros un concierto con la correspondiente Administración educativa. El importe mínimo del módulo económico por unidad escolar se fija anualmente en la Ley de presupuestos generales del Estado, pudiendo ser mejorado por las Comunidades Autónomas, a las que corresponde formalizar los conciertos y abonar, con cargo a sus propios presupuestos, los importes correspondientes.</w:t>
      </w:r>
    </w:p>
    <w:p w:rsidR="00163957" w:rsidRDefault="00163957" w:rsidP="00163957">
      <w:pPr>
        <w:pStyle w:val="TextoNormal"/>
      </w:pPr>
    </w:p>
    <w:p w:rsidR="00163957" w:rsidRDefault="00163957" w:rsidP="00163957">
      <w:pPr>
        <w:pStyle w:val="TextoNormal"/>
      </w:pPr>
      <w:r>
        <w:t>Siendo superior la jornada lectiva fijada en el art. 3 del Real Decreto-ley 14/2012 a la establecida por la Ley Foral de presupuestos para 2012, se condicionan las facultades de Navarra, que no puede instituir un módulo que establezca una jornada lectiva inferior a 25 horas semanales. De esta forma, lo que era un umbral mínimo susceptible de mejora se convierte en un tope máximo de financiación que no puede sobrepasar la Comunidad Foral. Con ello se incide indirectamente en la capacidad de Navarra para configurar la forma y la cuantía en que financia la actividad de los centros concertados, coartando su competencia para configurar su propio modelo docente y diseñar sus propios parámetros respecto a las prestaciones educativas que considere pertinentes. Se limita así la capacidad de gasto de la Comunidad Foral en materia educativa, sin título legítimo para hacerlo.</w:t>
      </w:r>
    </w:p>
    <w:p w:rsidR="00163957" w:rsidRDefault="00163957" w:rsidP="00163957">
      <w:pPr>
        <w:pStyle w:val="TextoNormal"/>
      </w:pPr>
    </w:p>
    <w:p w:rsidR="00163957" w:rsidRDefault="00163957" w:rsidP="00163957">
      <w:pPr>
        <w:pStyle w:val="TextoNormal"/>
      </w:pPr>
      <w:r>
        <w:t>Lo mismo habría que concluir respecto a la sustitución de profesores en los centros concertados, en la medida en que pueda condicionar su financiación por la Comunidad Foral, coartando así su política educativa propia.</w:t>
      </w:r>
    </w:p>
    <w:p w:rsidR="00163957" w:rsidRDefault="00163957" w:rsidP="00163957">
      <w:pPr>
        <w:pStyle w:val="TextoNormal"/>
      </w:pPr>
    </w:p>
    <w:p w:rsidR="00163957" w:rsidRDefault="00163957" w:rsidP="00163957">
      <w:pPr>
        <w:pStyle w:val="TextoNormal"/>
      </w:pPr>
      <w:r>
        <w:t>(iv) Por conexión con los arts. 3 y 4, es inconstitucional la disposición final primera del Real Decreto-ley 14/2012, en cuanto pretende dotar a las medidas impugnadas de carácter básico, carente de fundamento constitucional.</w:t>
      </w:r>
    </w:p>
    <w:p w:rsidR="00163957" w:rsidRDefault="00163957" w:rsidP="00163957">
      <w:pPr>
        <w:pStyle w:val="TextoNormal"/>
      </w:pPr>
    </w:p>
    <w:p w:rsidR="00163957" w:rsidRDefault="00163957" w:rsidP="00163957">
      <w:pPr>
        <w:pStyle w:val="TextoNormal"/>
      </w:pPr>
      <w:r w:rsidRPr="00163957">
        <w:rPr>
          <w:rStyle w:val="NumeroAFNegritaCaracter"/>
        </w:rPr>
        <w:t>2</w:t>
      </w:r>
      <w:r>
        <w:t>. Por providencia de 16 de julio de 2012, el Pleno, a propuesta de la Sección Tercera, acordó admitir a trámite el recurso y, de conformidad con lo establecido en el art. 34 de la Ley Orgánica del Tribunal Constitucional (LOTC), dar traslado de la demanda al Congreso de los Diputados, al Senado y al Gobierno, al objeto de personarse en el proceso y formular alegaciones en el plazo de quince días. Asimismo se ordenó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El día 20 de julio de 2012, la Abogada del Estado se personó en el proceso en nombre del Gobierno, solicitando una prórroga de ocho días en el plazo concedido para formular alegaciones, que le fue concedida por providencia de 25 de julio de 2012.</w:t>
      </w:r>
    </w:p>
    <w:p w:rsidR="00163957" w:rsidRDefault="00163957" w:rsidP="00163957">
      <w:pPr>
        <w:pStyle w:val="TextoNormal"/>
      </w:pPr>
    </w:p>
    <w:p w:rsidR="00163957" w:rsidRDefault="00163957" w:rsidP="00163957">
      <w:pPr>
        <w:pStyle w:val="TextoNormal"/>
      </w:pPr>
      <w:r w:rsidRPr="00163957">
        <w:rPr>
          <w:rStyle w:val="NumeroAFNegritaCaracter"/>
        </w:rPr>
        <w:t>4</w:t>
      </w:r>
      <w:r>
        <w:t>. Por sendos escritos registrados con fecha 27 de julio y 5 de septiembre de 2012, los Presidentes del Congreso de los Diputados y del Senado comunicaron la personación de las respectivas Cámaras en el proceso,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5</w:t>
      </w:r>
      <w:r>
        <w:t>. La Abogada del Estado, en la representación que legalmente ostenta, presentó su escrito de alegaciones el día 21 de septiembre de 2012, instando la desestimación del recurso en atención a la argumentación que se sintetiza seguidamente:</w:t>
      </w:r>
    </w:p>
    <w:p w:rsidR="00163957" w:rsidRDefault="00163957" w:rsidP="00163957">
      <w:pPr>
        <w:pStyle w:val="TextoNormal"/>
      </w:pPr>
    </w:p>
    <w:p w:rsidR="00163957" w:rsidRDefault="00163957" w:rsidP="00163957">
      <w:pPr>
        <w:pStyle w:val="TextoNormal"/>
      </w:pPr>
      <w:r>
        <w:t>a) El Real Decreto-ley 14/2012 persigue mejorar la eficiencia del gasto público en educación y contribuir al cumplimiento del objetivo de estabilidad presupuestaria que deriva del marco constitucional y de los compromisos con la Unión Europea. Las medidas que contiene proporcionan el marco básico que permita a las Comunidades Autónomas, sobre las que recae la mayor parte del gasto educativo, racionalizar dicho gasto y contribuir al objetivo común de la estabilidad presupuestaria, que para las Comunidades Autónomas se traduce en un déficit máximo del 1,5 por 100 de su producto interior bruto.</w:t>
      </w:r>
    </w:p>
    <w:p w:rsidR="00163957" w:rsidRDefault="00163957" w:rsidP="00163957">
      <w:pPr>
        <w:pStyle w:val="TextoNormal"/>
      </w:pPr>
    </w:p>
    <w:p w:rsidR="00163957" w:rsidRDefault="00163957" w:rsidP="00163957">
      <w:pPr>
        <w:pStyle w:val="TextoNormal"/>
      </w:pPr>
      <w:r>
        <w:t>Las impugnadas son medidas excepcionales para una situación excepcional, como precisa la exposición de motivos del Real Decreto-ley 14/2012, que también se pronuncia sobre su correcto amparo competencial. En concreto, como señala la memoria de impacto normativo de la disposición, las medidas para el ámbito de la enseñanza no universitaria tienen carácter coyuntural, y su vigencia queda limitada al mantenimiento de las condiciones macroeconómicas que impone un escenario presupuestario de contención del gasto público.</w:t>
      </w:r>
    </w:p>
    <w:p w:rsidR="00163957" w:rsidRDefault="00163957" w:rsidP="00163957">
      <w:pPr>
        <w:pStyle w:val="TextoNormal"/>
      </w:pPr>
    </w:p>
    <w:p w:rsidR="00163957" w:rsidRDefault="00163957" w:rsidP="00163957">
      <w:pPr>
        <w:pStyle w:val="TextoNormal"/>
      </w:pPr>
      <w:r>
        <w:t>La exposición de motivos enmarca la norma en las medidas imprescindibles para reducir el déficit del conjunto de las Administraciones públicas, solicitadas por la Unión Europea y por diversos organismos internacionales ante la situación de desconfianza en la deuda soberana de la zona euro creada desde la crisis griega desencadenada en 2010. El Real Decreto-ley 14/2012 se adopta en el contexto de una crisis económica global sobre cuya gravedad no hace falta abundar en exceso. Así lo recogen los informes anuales del Banco de España desde 2008 a 2011 para apreciar la singular gravedad de la crisis, que probablemente solo tenga parangón con la de 1929. El Tribunal no se ha mostrado ajeno a la gravedad de esta crisis (ATC 161/2012, de 13 de septiembre, FJ 4).</w:t>
      </w:r>
    </w:p>
    <w:p w:rsidR="00163957" w:rsidRDefault="00163957" w:rsidP="00163957">
      <w:pPr>
        <w:pStyle w:val="TextoNormal"/>
      </w:pPr>
    </w:p>
    <w:p w:rsidR="00163957" w:rsidRDefault="00163957" w:rsidP="00163957">
      <w:pPr>
        <w:pStyle w:val="TextoNormal"/>
      </w:pPr>
      <w:r>
        <w:t>En la senda de consolidación fiscal pactada con los órganos de la Unión Europea, España se ha visto obligada a una fuerte reducción del déficit en términos de PIB (del 8,5 por 100 en 2011 al 5,3 en 2012), que además debe abordarse en un contexto recesivo, lo que ha exigido adoptar importantes medidas de reducción del gasto público. No cabe desconocer el peso del gasto educativo en el conjunto del gasto público español (un 10,99 por 100 en 2010); concretamente, como se recoge en el documento núm. 1, la evolución del porcentaje del gasto público en educación de las Administraciones autonómicas entre los años 2000 (9,20) y 2010 (9,05) permite constatar que éstas dedican una parte importante de su presupuesto a dicho servicio esencial.</w:t>
      </w:r>
    </w:p>
    <w:p w:rsidR="00163957" w:rsidRDefault="00163957" w:rsidP="00163957">
      <w:pPr>
        <w:pStyle w:val="TextoNormal"/>
      </w:pPr>
    </w:p>
    <w:p w:rsidR="00163957" w:rsidRDefault="00163957" w:rsidP="00163957">
      <w:pPr>
        <w:pStyle w:val="TextoNormal"/>
      </w:pPr>
      <w:r>
        <w:t>b) La disposición final primera del Real Decreto-ley 14/2012 cita como títulos competenciales que amparan la norma los previstos en los apartados 1, 13, 18 y 30 del art. 149.1 CE.</w:t>
      </w:r>
    </w:p>
    <w:p w:rsidR="00163957" w:rsidRDefault="00163957" w:rsidP="00163957">
      <w:pPr>
        <w:pStyle w:val="TextoNormal"/>
      </w:pPr>
    </w:p>
    <w:p w:rsidR="00163957" w:rsidRDefault="00163957" w:rsidP="00163957">
      <w:pPr>
        <w:pStyle w:val="TextoNormal"/>
      </w:pPr>
      <w:r>
        <w:t xml:space="preserve">(i) La jurisprudencia constitucional se ha ocupado extensamente de la interpretación del art. 149.1.1 CE (por todas, STC 61/1997, de 20 de marzo, FFJJ 7 y 8). De esta interpretación deriva que esta habilitación no proporciona cobertura competencial autónoma al contenido material del Real Decreto-ley 14/2012, únicamente refuerza el campo acotado de las normas </w:t>
      </w:r>
      <w:r>
        <w:lastRenderedPageBreak/>
        <w:t>básicas para el desarrollo del art. 27 CE, por lo que en este supuesto carecería de entidad si no es por conexión al “ejercicio en condiciones de igualdad” de los derechos reconocidos en el art. 27 CE, finalidad ya atendida por el art. 149.1.30 CE, segundo inciso. No puede estimarse por tanto prevalente para la resolución de este recurso (STC 212/2005, de 21 de julio, FJ 5).</w:t>
      </w:r>
    </w:p>
    <w:p w:rsidR="00163957" w:rsidRDefault="00163957" w:rsidP="00163957">
      <w:pPr>
        <w:pStyle w:val="TextoNormal"/>
      </w:pPr>
    </w:p>
    <w:p w:rsidR="00163957" w:rsidRDefault="00163957" w:rsidP="00163957">
      <w:pPr>
        <w:pStyle w:val="TextoNormal"/>
      </w:pPr>
      <w:r>
        <w:t>(ii) En cuanto a la invocación del art. 149.1.18 CE, en lo que pudiera afectar a la enseñanza no universitaria, la normativa básica estatal impugnada tiene también como finalidad garantizar a los administrados un tratamiento común frente a las Administraciones públicas. Fija unos mínimos en relación con la jornada lectiva y la sustitución de profesores que tiene como consecuencia última que los alumnos, como administrados sujetos a una relación especial, reciban una formación común. La finalidad prioritaria no es dar un trato genéricamente homogéneo a tales administrados sino, desde una perspectiva estrictamente docente, garantizar una calidad mínima de la enseñanza. Y si bien los preceptos impugnados pudieran tener un efecto reflejo en la organización de la Administración educativa e incluso en el acceso a determinados puestos de trabajo, no es discutible que, al prevalecer la finalidad de garantizar una mínima calidad de la enseñanza mediante la exigencia de tales medidas, es el art. 149.1.30 CE el que ofrece cobertura a los preceptos impugnados.</w:t>
      </w:r>
    </w:p>
    <w:p w:rsidR="00163957" w:rsidRDefault="00163957" w:rsidP="00163957">
      <w:pPr>
        <w:pStyle w:val="TextoNormal"/>
      </w:pPr>
    </w:p>
    <w:p w:rsidR="00163957" w:rsidRDefault="00163957" w:rsidP="00163957">
      <w:pPr>
        <w:pStyle w:val="TextoNormal"/>
      </w:pPr>
      <w:r>
        <w:t>Por otra parte, interesa también poner de manifiesto que, de acuerdo con el art. 2.3 LEEP, el personal docente se rige en primer lugar por lo previsto en la legislación específica del Estado, integrada por la Ley Orgánica de educación y sus reglamentos de desarrollo. En este sentido, el legislador estatal ha establecido previsiones concretas sobre el horario del personal estatutario de los servicios de salud en la Ley 55/2003, del estatuto marco del personal estatutario de los servicios de salud (arts. 47 y ss.), que justifica en el establecimiento de un régimen común para garantizar el funcionamiento armónico y homogéneo de los servicios de salud. De este modo, en la medida en que el propio Ley del estatuto básico del empleado público se remite a la legislación específica de los funcionarios docentes y sanitarios, y la legislación específica de los funcionarios sanitarios aborda la regulación concreta de los horarios de los mismos, no cabría negar la procedencia de regular los horarios lectivos en el marco de la legislación específica de los funcionarios docentes.</w:t>
      </w:r>
    </w:p>
    <w:p w:rsidR="00163957" w:rsidRDefault="00163957" w:rsidP="00163957">
      <w:pPr>
        <w:pStyle w:val="TextoNormal"/>
      </w:pPr>
    </w:p>
    <w:p w:rsidR="00163957" w:rsidRDefault="00163957" w:rsidP="00163957">
      <w:pPr>
        <w:pStyle w:val="TextoNormal"/>
      </w:pPr>
      <w:r>
        <w:t>En cualquier caso, hay que tener en cuenta que, en virtud del art. 49.l b) LORAFNA, la Comunidad Foral de Navarra tiene competencias más intensas que las restantes Comunidades Autónomas en materia de régimen estatutario de la función pública, que van más allá del puro desarrollo de las bases estatales. En virtud de esta competencia, la Comunidad Foral de Navarra ha establecido un régimen jurídico especial en materia de función pública con mayores especificidades que las restantes regiones.</w:t>
      </w:r>
    </w:p>
    <w:p w:rsidR="00163957" w:rsidRDefault="00163957" w:rsidP="00163957">
      <w:pPr>
        <w:pStyle w:val="TextoNormal"/>
      </w:pPr>
    </w:p>
    <w:p w:rsidR="00163957" w:rsidRDefault="00163957" w:rsidP="00163957">
      <w:pPr>
        <w:pStyle w:val="TextoNormal"/>
      </w:pPr>
      <w:r>
        <w:t xml:space="preserve">(iii) Partiendo de la doctrina sentada por el Tribunal Constitucional en el ámbito del art. 149.1.30 CE y de los requisitos materiales de la normativa básica (SSTC 154/2005, de 9 de junio, FJ 8; 222/2006, de 6 de julio, FJ 3; 101/2005, de 20 de abril, FJ 5; 141/1993, de 22 de abril, FJ 3; 212/2005, de 21 de julio, FJ 6, y 131/1996, de 11 de julio, FFJJ 5 y 9), los preceptos controvertidos serán constitucionales si se mantienen dentro del legítimo ejercicio competencial, es decir, si reúnen los requisitos materiales y formales para que puedan tener la consideración de básicos. La fijación mínima de plazos en la duración de la jornada lectiva o el régimen de sustitución del profesorado, además de en las ineludibles exigencias de </w:t>
      </w:r>
      <w:r>
        <w:lastRenderedPageBreak/>
        <w:t>racionalización del gasto educativo, encuentran su justificación en garantizar una mínima calidad en la enseñanza.</w:t>
      </w:r>
    </w:p>
    <w:p w:rsidR="00163957" w:rsidRDefault="00163957" w:rsidP="00163957">
      <w:pPr>
        <w:pStyle w:val="TextoNormal"/>
      </w:pPr>
    </w:p>
    <w:p w:rsidR="00163957" w:rsidRDefault="00163957" w:rsidP="00163957">
      <w:pPr>
        <w:pStyle w:val="TextoNormal"/>
      </w:pPr>
      <w:r>
        <w:t>El razonamiento de la STC 49/1988, de 22 de marzo, FJ 2, relativo a la imposibilidad de establecer una separación radical entre la competencia para dictar normas básicas relativas a la organización y la actividad externa de las cajas de ahorro, es naturalmente trasladable a este debate. La incidencia en la actividad docente, es decir, en la calidad de la enseñanza (de indudable competencia estatal, en cuanto garante de que los títulos oficiales respondan a un mínimo de conocimientos homogéneos) no puede realizarse sin producir un cierto efecto reflejo en la organización, dado que ésta existe para realizar aquella actividad. Sin embargo, esta incidencia es indirecta o refleja, pues el legislador estatal no especifica cómo deben plasmarse organizativamente las previsiones básicas relativas al personal docente no universitario, dejando un amplio margen de desarrollo autonómico para elegir la fórmula más adecuada, en concreto, la fijación temporal última, a las especificidades regionales.</w:t>
      </w:r>
    </w:p>
    <w:p w:rsidR="00163957" w:rsidRDefault="00163957" w:rsidP="00163957">
      <w:pPr>
        <w:pStyle w:val="TextoNormal"/>
      </w:pPr>
    </w:p>
    <w:p w:rsidR="00163957" w:rsidRDefault="00163957" w:rsidP="00163957">
      <w:pPr>
        <w:pStyle w:val="TextoNormal"/>
      </w:pPr>
      <w:r>
        <w:t>Con el fin de asegurar una formación común y de calidad que garantice la validez de los títulos correspondientes, el Estado debe fijar la impartición temporal mínima por parte del personal docente de cada una de las materias en las que los estudiantes deben acreditar sus capacidades. No cabe ninguna duda de la importancia que la duración de la parte de la jornada laboral que efectivamente se dedica a la impartición de clases (jornada lectiva) tiene en la transmisión y adquisición del conocimiento. Esa calidad docente está directamente relacionada con la duración mínima de la parte lectiva de la jornada semanal del personal docente, en tanto constituye el tiempo real que el profesorado dedica a la docencia directa del alumno.</w:t>
      </w:r>
    </w:p>
    <w:p w:rsidR="00163957" w:rsidRDefault="00163957" w:rsidP="00163957">
      <w:pPr>
        <w:pStyle w:val="TextoNormal"/>
      </w:pPr>
    </w:p>
    <w:p w:rsidR="00163957" w:rsidRDefault="00163957" w:rsidP="00163957">
      <w:pPr>
        <w:pStyle w:val="TextoNormal"/>
      </w:pPr>
      <w:r>
        <w:t>(iv) Siendo el principal objetivo del Real Decreto-ley 14/2012 el de contribuir a la consecución del objetivo de estabilidad presupuestaria, derivado del marco constitucional y de la Unión Europea, y concretado en los presupuestos generales del Estado para 2012, el análisis de constitucionalidad de las medidas impugnadas ha de efectuarse fundamentalmente por contraste con lo dispuesto en el art. 149.1.13 CE, teniendo igualmente presente el principio de coordinación con las haciendas públicas, consagrado en el art. 156 CE.</w:t>
      </w:r>
    </w:p>
    <w:p w:rsidR="00163957" w:rsidRDefault="00163957" w:rsidP="00163957">
      <w:pPr>
        <w:pStyle w:val="TextoNormal"/>
      </w:pPr>
    </w:p>
    <w:p w:rsidR="00163957" w:rsidRDefault="00163957" w:rsidP="00163957">
      <w:pPr>
        <w:pStyle w:val="TextoNormal"/>
      </w:pPr>
      <w:r>
        <w:t>En este sentido, la memoria de análisis de impacto normativo estima que la aplicación de las medidas recogidas en el Real Decreto-ley 14/2012 puede producir una minoración de 3.756 millones de euros en los presupuestos de las Administraciones educativas. Constituye consolidada doctrina constitucional (SSTC 237/1992, de 15 de diciembre; 171/1996, de 30 de octubre, y 134/2011, de 20 de julio, entre otras) que la contención de los gastos corrientes, consuntivos, y la correlativa reducción del déficit público, medidas encaminadas a la consecución de la estabilidad económica y a la gradual recuperación del equilibrio presupuestario, son objetivos que legitiman la intervención del Estad</w:t>
      </w:r>
      <w:r w:rsidRPr="00163957">
        <w:rPr>
          <w:i/>
        </w:rPr>
        <w:t xml:space="preserve">o </w:t>
      </w:r>
      <w:r>
        <w:t>ex art. 149.1.13 CE.</w:t>
      </w:r>
    </w:p>
    <w:p w:rsidR="00163957" w:rsidRDefault="00163957" w:rsidP="00163957">
      <w:pPr>
        <w:pStyle w:val="TextoNormal"/>
      </w:pPr>
    </w:p>
    <w:p w:rsidR="00163957" w:rsidRDefault="00163957" w:rsidP="00163957">
      <w:pPr>
        <w:pStyle w:val="TextoNormal"/>
      </w:pPr>
      <w:r>
        <w:t xml:space="preserve">El art. 135 CE incorpora la estabilidad presupuestaria como principio constitucional (apartado 1) y, tras consagrar la prohibición de incurrir en un déficit estructural que supere los márgenes establecidos, en su caso, por la Unión Europea (apartado 2), establece en su apartado 6 que “las Comunidades Autónomas, de acuerdo con sus respectivos Estatutos y dentro de los límites a que se refiere este artículo, adoptarán las disposiciones que procedan para la aplicación efectiva del principio de estabilidad en sus normas y decisiones presupuestarias”. En cumplimiento del mandato del apartado 5, se ha aprobado la Ley Orgánica </w:t>
      </w:r>
      <w:r>
        <w:lastRenderedPageBreak/>
        <w:t>2/2012, destacando lo dispuesto en su artículo 7 en relación con el principio de eficiencia en la asignación y utilización de los recursos públicos. Estos mandatos claramente constituyen bienes o intereses constitucionalmente protegidos que dotan de plena validez a la normativa introducida por el Real Decreto-ley 14/2012.</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15 de marzo de 2016 se señaló para deliberación y votación del presente recurso el día 17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este recurso de inconstitucionalidad, el Parlamento de Navarra ha impugnado los arts. 3 y 4 y, por conexión, la disposición final primera del Real Decreto-ley 14/2012, de 20 de abril, de medidas urgentes de racionalización del gasto público en el ámbito educativo. Considera que estos preceptos vulneran las competencias forales de organización de los servicios educativos no universitarios y de regulación y gestión de los recursos humanos docentes que le están adscritos, que corresponden a la Comunidad Foral en virtud de lo dispuesto por los arts. 47 y 49.1 b) de la Ley Orgánica de reintegración y amejoramiento del régimen foral de Navarra (LORAFNA).</w:t>
      </w:r>
    </w:p>
    <w:p w:rsidR="00163957" w:rsidRDefault="00163957" w:rsidP="00163957">
      <w:pPr>
        <w:pStyle w:val="TextoNormal"/>
      </w:pPr>
    </w:p>
    <w:p w:rsidR="00163957" w:rsidRDefault="00163957" w:rsidP="00163957">
      <w:pPr>
        <w:pStyle w:val="TextoNormal"/>
      </w:pPr>
      <w:r>
        <w:t>La Abogada del Estado ha instado la íntegra desestimación del recurso, por considerar que los preceptos impugnados responden al ejercicio de las competencias reservadas al Estado por el art. 149.1, reglas 13, 18 y 30 de la Constitución.</w:t>
      </w:r>
    </w:p>
    <w:p w:rsidR="00163957" w:rsidRDefault="00163957" w:rsidP="00163957">
      <w:pPr>
        <w:pStyle w:val="TextoNormal"/>
      </w:pPr>
    </w:p>
    <w:p w:rsidR="00163957" w:rsidRDefault="00163957" w:rsidP="00163957">
      <w:pPr>
        <w:pStyle w:val="TextoNormal"/>
      </w:pPr>
      <w:r w:rsidRPr="00163957">
        <w:rPr>
          <w:rStyle w:val="NumeroAFNegritaCaracter"/>
        </w:rPr>
        <w:t>2</w:t>
      </w:r>
      <w:r>
        <w:t>. Esta controversia ha quedado ya resuelta en la STC 26/2016, de 18 de febrero, que ha ratificado la competencia estatal para la regulación recogida en los preceptos impugnados en este proceso, en atención a los razonamientos que, siendo aplicables en su integridad, se exponen ahora en síntesis.</w:t>
      </w:r>
    </w:p>
    <w:p w:rsidR="00163957" w:rsidRDefault="00163957" w:rsidP="00163957">
      <w:pPr>
        <w:pStyle w:val="TextoNormal"/>
      </w:pPr>
    </w:p>
    <w:p w:rsidR="00163957" w:rsidRDefault="00163957" w:rsidP="00163957">
      <w:pPr>
        <w:pStyle w:val="TextoNormal"/>
      </w:pPr>
      <w:r>
        <w:t>a) En el fundamento jurídico 6 a), hemos señalado que las medidas introducidas en los arts. 3 y 4 del Real Decreto-ley 14/2012 son cuestiones que afectan a la ordenación del servicio público educativo, por lo que su concreto contenido material está relacionado con la educación. Por tanto, los títulos competenciales estatales a considerar son el art. 149.1.30 CE y, complementariamente, el art. 149.1.18 CE, en lo que respecta a la función pública docente. Estos son los títulos que resultan aplicables por ser más específicos que los que, con carácter más genérico, recogen el art. 149.1.1 y 13 CE.</w:t>
      </w:r>
    </w:p>
    <w:p w:rsidR="00163957" w:rsidRDefault="00163957" w:rsidP="00163957">
      <w:pPr>
        <w:pStyle w:val="TextoNormal"/>
      </w:pPr>
    </w:p>
    <w:p w:rsidR="00163957" w:rsidRDefault="00163957" w:rsidP="00163957">
      <w:pPr>
        <w:pStyle w:val="TextoNormal"/>
      </w:pPr>
      <w:r>
        <w:t>b) El fundamento jurídico 6 b) aborda el examen del art. 3 del Real Decreto-ley 14/2012, cuyo objetivo es fijar un número mínimo de horas de dedicación lectiva del personal docente. Persigue garantizar el derecho a la educación en su dimensión prestacional, y fija un criterio de coordinación que el Estado puede establecer en ejercicio de sus competencias básicas en materia de educación.</w:t>
      </w:r>
    </w:p>
    <w:p w:rsidR="00163957" w:rsidRDefault="00163957" w:rsidP="00163957">
      <w:pPr>
        <w:pStyle w:val="TextoNormal"/>
      </w:pPr>
    </w:p>
    <w:p w:rsidR="00163957" w:rsidRDefault="00163957" w:rsidP="00163957">
      <w:pPr>
        <w:pStyle w:val="TextoNormal"/>
      </w:pPr>
      <w:r>
        <w:t xml:space="preserve">Cabe considerar que una de las previsiones básicas dirigidas a definir y hacer efectivo el nivel prestacional financiado con fondos públicos en el ámbito de la enseñanza es la determinación cuantitativa de las horas lectivas que debe impartir el personal docente. El carácter único del sistema educativo en todo el territorio nacional puede reclamar, al tratarse de centros sostenidos con fondos públicos, un tratamiento mínimamente homogéneo del ejercicio </w:t>
      </w:r>
      <w:r>
        <w:lastRenderedPageBreak/>
        <w:t>de la tarea docente dentro de la jornada laboral del profesorado, medida que tiene por finalidad garantizar el cumplimiento de las obligaciones de los poderes públicos en materia de educación, que han de desarrollarse en el marco básico que establezca el Estado. Supone así un mínimo común denominador normativo en materia de programación docente, que además garantiza una continuidad en el proceso de aprendizaje de los alumnos, proceso para el que el régimen de dedicación del profesorado no resulta inocuo o indiferente.</w:t>
      </w:r>
    </w:p>
    <w:p w:rsidR="00163957" w:rsidRDefault="00163957" w:rsidP="00163957">
      <w:pPr>
        <w:pStyle w:val="TextoNormal"/>
      </w:pPr>
    </w:p>
    <w:p w:rsidR="00163957" w:rsidRDefault="00163957" w:rsidP="00163957">
      <w:pPr>
        <w:pStyle w:val="TextoNormal"/>
      </w:pPr>
      <w:r>
        <w:t xml:space="preserve">Para el caso específico de los profesores con la condición de funcionarios públicos, el legislador estatal se encuentra además legitimado para dictar la previsión controvertida en virtud del título competencial </w:t>
      </w:r>
      <w:r w:rsidRPr="00163957">
        <w:rPr>
          <w:i/>
        </w:rPr>
        <w:t>ex</w:t>
      </w:r>
      <w:r>
        <w:t xml:space="preserve"> art. 149.1.18 CE. Las bases del régimen estatutario de los funcionarios públicos incluyen, en principio, la normación relativa a los derechos y deberes de los funcionarios, y no cabe duda de que la fijación de la jornada de trabajo constituye una previsión integrada en esta esfera. La determinación de la parte lectiva de la jornada del personal docente, incluido el aspecto relativo a la compensación con horas complementarias, con carácter básico, se justifica porque con ello se logra una mínima y fundamental homogeneidad en un aspecto sustancial de su régimen funcionarial, máxime si se trata de funcionarios de ámbito estatal que pueden prestar servicio en cualquier parte del sistema educativo.</w:t>
      </w:r>
    </w:p>
    <w:p w:rsidR="00163957" w:rsidRDefault="00163957" w:rsidP="00163957">
      <w:pPr>
        <w:pStyle w:val="TextoNormal"/>
      </w:pPr>
    </w:p>
    <w:p w:rsidR="00163957" w:rsidRDefault="00163957" w:rsidP="00163957">
      <w:pPr>
        <w:pStyle w:val="TextoNormal"/>
      </w:pPr>
      <w:r>
        <w:t>Por último, el carácter mínimo de la regla establecida (o de máximo, en el caso de las horas complementarias con que se compensa el posible exceso lectivo), así como el margen de organización y concreción del total de la dedicación del profesor, cuya carga lectiva podría incluso aumentarse, permiten apreciar que el precepto cuestionado no cierra a las Comunidades Autónomas toda posibilidad de desarrollo y aplicación de la normativa básica sobre la materia.</w:t>
      </w:r>
    </w:p>
    <w:p w:rsidR="00163957" w:rsidRDefault="00163957" w:rsidP="00163957">
      <w:pPr>
        <w:pStyle w:val="TextoNormal"/>
      </w:pPr>
    </w:p>
    <w:p w:rsidR="00163957" w:rsidRDefault="00163957" w:rsidP="00163957">
      <w:pPr>
        <w:pStyle w:val="TextoNormal"/>
      </w:pPr>
      <w:r>
        <w:t>c) El fundamento jurídico 6 c) trata del art. 4 del Real Decreto-ley 14/2012, que introduce una limitación temporal para el nombramiento de profesores interinos para la sustitución transitoria de profesores, que sólo será aplicable en caso de ausencias superiores a diez días lectivos.</w:t>
      </w:r>
    </w:p>
    <w:p w:rsidR="00163957" w:rsidRDefault="00163957" w:rsidP="00163957">
      <w:pPr>
        <w:pStyle w:val="TextoNormal"/>
      </w:pPr>
    </w:p>
    <w:p w:rsidR="00163957" w:rsidRDefault="00163957" w:rsidP="00163957">
      <w:pPr>
        <w:pStyle w:val="TextoNormal"/>
      </w:pPr>
      <w:r>
        <w:t>En tanto que relativa a situaciones de vacío temporal en la impartición de docencia, la norma se incardina en el art. 149.1.30 CE, dado que persigue garantizar una mínima homogeneidad en el proceso de sustitución del profesorado a través del establecimiento de una regla básica relativa a los medios humanos disponibles, a efectos de determinar y hacer efectivo el nivel prestacional de la enseñanza financiado con fondos públicos. Es cierto que se reducen las atribuciones que correspondían a la Comunidad Autónoma, pero no se vacían de contenido, puesto que, respetando ese límite, puede seguir regulando las sustituciones de profesores. Es posible un cierto desarrollo por parte de las Administraciones educativas, pues puede entenderse que se trata de un plazo mínimo, que no puede ser reducido por las Administraciones educativas, y no se regula el resto de cuestiones que afectan al régimen de sustitución.</w:t>
      </w:r>
    </w:p>
    <w:p w:rsidR="00163957" w:rsidRDefault="00163957" w:rsidP="00163957">
      <w:pPr>
        <w:pStyle w:val="TextoNormal"/>
      </w:pPr>
    </w:p>
    <w:p w:rsidR="00163957" w:rsidRDefault="00163957" w:rsidP="00163957">
      <w:pPr>
        <w:pStyle w:val="TextoNormal"/>
      </w:pPr>
      <w:r>
        <w:t>d) La impugnación de la disposición final primera, cuestionada por conexión, en la medida en que enuncia los títulos competenciales que habilitan al Estado para establecer los preceptos recurridos del Real Decreto-ley 14/2012, ha quedado resuelta en consonancia con las conclusiones alcanzadas en el examen de aquellos (FJ 6).</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inconstitucionalidad núm. 4217-2012.</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diecisiete de marzo de dos mil dieciséis.</w:t>
      </w:r>
    </w:p>
    <w:p w:rsidR="00163957" w:rsidRDefault="00163957" w:rsidP="00163957">
      <w:pPr>
        <w:pStyle w:val="ParrafoNormal"/>
      </w:pPr>
    </w:p>
    <w:p w:rsidR="00163957" w:rsidRDefault="00163957" w:rsidP="00163957">
      <w:pPr>
        <w:pStyle w:val="TextoNormalNegritaCentrado"/>
        <w:keepNext/>
      </w:pPr>
      <w:r>
        <w:t>Voto particular que formulan la Magistrada doña Adela Asua Batarrita y el Magistrado don Fernando Valdés Dal-Ré a la Sentencia dictada en el recurso de inconstitucionalidad núm. 4217-2012.</w:t>
      </w:r>
    </w:p>
    <w:p w:rsidR="00163957" w:rsidRDefault="00163957" w:rsidP="00163957">
      <w:pPr>
        <w:pStyle w:val="TextoNormalNegritaCentrado"/>
        <w:keepNext/>
      </w:pPr>
    </w:p>
    <w:p w:rsidR="00163957" w:rsidRDefault="00163957" w:rsidP="00163957">
      <w:pPr>
        <w:pStyle w:val="TextoNormal"/>
      </w:pPr>
      <w:r>
        <w:t>En ejercicio de la facultad que nos confiere el art. 90.2 de la Ley Orgánica del Tribunal Constitucional, y con absoluto respeto a la opinión expresada por la mayoría del Pleno, formulamos el presente Voto particular por los mismos motivos que nos llevaron a discrepar de la STC 26/2016, de 18 de febrero.</w:t>
      </w:r>
    </w:p>
    <w:p w:rsidR="00163957" w:rsidRDefault="00163957" w:rsidP="00163957">
      <w:pPr>
        <w:pStyle w:val="TextoNormal"/>
      </w:pPr>
    </w:p>
    <w:p w:rsidR="00163957" w:rsidRDefault="00163957" w:rsidP="00163957">
      <w:pPr>
        <w:pStyle w:val="TextoNormal"/>
      </w:pPr>
      <w:r>
        <w:t>En lo que concierne a la desestimación de la impugnación dirigida contra los arts. 3 y 4 del Real Decreto-ley 14/2012, de 20 de abril, de medidas urgentes de racionalización del gasto educativo, que constituyen el objeto de este proceso, las razones de nuestra discrepancia están recogidas en los apartados 1 y 2 del mencionado Voto particular, al que nos remitimos.</w:t>
      </w:r>
    </w:p>
    <w:p w:rsidR="00163957" w:rsidRDefault="00163957" w:rsidP="00163957">
      <w:pPr>
        <w:pStyle w:val="TextoNormal"/>
      </w:pPr>
    </w:p>
    <w:p w:rsidR="00163957" w:rsidRDefault="00163957" w:rsidP="00163957">
      <w:pPr>
        <w:pStyle w:val="TextoNormal"/>
      </w:pPr>
      <w:r>
        <w:t>Y en tal sentido emitimos este Voto particular.</w:t>
      </w:r>
    </w:p>
    <w:p w:rsidR="00163957" w:rsidRDefault="00163957" w:rsidP="00163957">
      <w:pPr>
        <w:pStyle w:val="TextoNormal"/>
      </w:pPr>
    </w:p>
    <w:p w:rsidR="00163957" w:rsidRDefault="00163957" w:rsidP="00163957">
      <w:pPr>
        <w:pStyle w:val="TextoNormal"/>
      </w:pPr>
      <w:r>
        <w:t>Madrid, a diecisiete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58" w:name="SENTENCIA_2016_55"/>
      <w:r>
        <w:lastRenderedPageBreak/>
        <w:t>SENTENCIA 55/2016, de 17 de marzo de 2016</w:t>
      </w:r>
    </w:p>
    <w:bookmarkEnd w:id="58"/>
    <w:p w:rsidR="00163957" w:rsidRDefault="00163957" w:rsidP="00163957">
      <w:pPr>
        <w:pStyle w:val="TtuloResolucin"/>
      </w:pPr>
      <w:r>
        <w:t>Pleno</w:t>
      </w:r>
    </w:p>
    <w:p w:rsidR="00163957" w:rsidRDefault="00163957" w:rsidP="00163957">
      <w:pPr>
        <w:pStyle w:val="TtuloBOE"/>
      </w:pPr>
      <w:r>
        <w:t>(BOE núm. 97, de 22 de abril de 2016)</w:t>
      </w:r>
    </w:p>
    <w:p w:rsidR="00163957" w:rsidRDefault="00163957" w:rsidP="00163957">
      <w:pPr>
        <w:pStyle w:val="TextoNormalCentrado"/>
      </w:pPr>
      <w:r>
        <w:t>ECLI:ES:TC:2016:55</w:t>
      </w:r>
    </w:p>
    <w:p w:rsidR="00163957" w:rsidRDefault="00163957" w:rsidP="00163957">
      <w:pPr>
        <w:pStyle w:val="TextoNormalCentrado"/>
      </w:pPr>
    </w:p>
    <w:p w:rsidR="00163957" w:rsidRDefault="00163957" w:rsidP="00163957">
      <w:pPr>
        <w:pStyle w:val="SntesisDescriptiva"/>
      </w:pPr>
      <w:r>
        <w:t>Recurso de inconstitucionalidad 5755-2012. Interpuesto por la Asamblea de Extremadura respecto de los artículos 27 y 38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Competencias sobre ordenación general de la economía y comercio; autonomía financiera: desaparición sobrevenida parcial del objeto del proceso, constitucionalidad del precepto legal estatal relativo al régimen de horarios comerciales (STC 136/2015).</w:t>
      </w:r>
    </w:p>
    <w:p w:rsidR="00163957" w:rsidRDefault="00163957" w:rsidP="00163957">
      <w:pPr>
        <w:pStyle w:val="SntesisAnaltica"/>
      </w:pPr>
    </w:p>
    <w:p w:rsidR="00163957" w:rsidRDefault="00163957" w:rsidP="00163957">
      <w:pPr>
        <w:pStyle w:val="Extracto"/>
      </w:pPr>
      <w:r>
        <w:t>1.</w:t>
      </w:r>
      <w:r>
        <w:tab/>
        <w:t>El Estado, al dictar las reglas impugnadas sobre horarios comerciales con el carácter de norma básica ex art. 149.1.13 CE, no ha vulnerado las competencias autonómicas en materia de comercio interior, de conformidad con la doctrina establecida en las SSTC 165/2015 y 18/2016 [FJ 4].</w:t>
      </w:r>
    </w:p>
    <w:p w:rsidR="00163957" w:rsidRDefault="00163957" w:rsidP="00163957">
      <w:pPr>
        <w:pStyle w:val="Extracto"/>
      </w:pPr>
    </w:p>
    <w:p w:rsidR="00163957" w:rsidRDefault="00163957" w:rsidP="00163957">
      <w:pPr>
        <w:pStyle w:val="Extracto"/>
      </w:pPr>
      <w:r>
        <w:t>2.</w:t>
      </w:r>
      <w:r>
        <w:tab/>
        <w:t>La regulación estatal básica en materias sobre horario global de los comercios, fijación del número y determinación de los domingos y festivos de apertura autorizada o delimitación de zonas de gran afluencia turística, entre otras, debe ser completada por la normativa de las Comunidades Autónomas en varios de sus aspectos, de manera que cabe la opción de la regulación autonómica de modo que no se agotan las posibilidades de que el legislador autonómico pueda desarrollar la norma básica (SSTC 156/2015, 18/2016) [FJ 4].</w:t>
      </w:r>
    </w:p>
    <w:p w:rsidR="00163957" w:rsidRDefault="00163957" w:rsidP="00163957">
      <w:pPr>
        <w:pStyle w:val="Extracto"/>
      </w:pPr>
    </w:p>
    <w:p w:rsidR="00163957" w:rsidRDefault="00163957" w:rsidP="00163957">
      <w:pPr>
        <w:pStyle w:val="Extracto"/>
      </w:pPr>
      <w:r>
        <w:t>3.</w:t>
      </w:r>
      <w:r>
        <w:tab/>
        <w:t>Reitera la doctrina sobre los límites de la intervención estatal en la regulación de los horarios comerciales de las SSTC 88/2010 y 26/2012 [FJ 4].</w:t>
      </w:r>
    </w:p>
    <w:p w:rsidR="00163957" w:rsidRDefault="00163957" w:rsidP="00163957">
      <w:pPr>
        <w:pStyle w:val="Extracto"/>
      </w:pPr>
    </w:p>
    <w:p w:rsidR="00163957" w:rsidRDefault="00163957" w:rsidP="00163957">
      <w:pPr>
        <w:pStyle w:val="Extracto"/>
      </w:pPr>
      <w:r>
        <w:t>4.</w:t>
      </w:r>
      <w:r>
        <w:tab/>
        <w:t>La STC 136/2015 declaró la inconstitucionalidad y nulidad de uno de los preceptos controvertidos por vulneración del art. 86.1 CE, con lo que ha desaparecido sobrevenidamente el objeto de este proceso constitucional en relación al mismo [FJ 3].</w:t>
      </w:r>
    </w:p>
    <w:p w:rsidR="00163957" w:rsidRDefault="00163957" w:rsidP="00163957">
      <w:pPr>
        <w:pStyle w:val="Extracto"/>
      </w:pPr>
    </w:p>
    <w:p w:rsidR="00163957" w:rsidRDefault="00163957" w:rsidP="00163957">
      <w:pPr>
        <w:pStyle w:val="Extracto"/>
      </w:pPr>
      <w:r>
        <w:t>5.</w:t>
      </w:r>
      <w:r>
        <w:tab/>
        <w:t>Doctrina sobre la pervivencia de objeto tras modificación legislativa (STC 134/2011) [FJ 3].</w:t>
      </w:r>
    </w:p>
    <w:p w:rsidR="00163957" w:rsidRDefault="00163957" w:rsidP="00163957">
      <w:pPr>
        <w:pStyle w:val="Extracto"/>
      </w:pPr>
    </w:p>
    <w:p w:rsidR="00163957" w:rsidRDefault="00163957" w:rsidP="00163957">
      <w:pPr>
        <w:pStyle w:val="Extracto"/>
      </w:pPr>
      <w:r>
        <w:t>6.</w:t>
      </w:r>
      <w:r>
        <w:tab/>
        <w:t>Aunque la argumentación establecida en la ley impugnada sea sucinta, expresa la reivindicación planteada y no puede ser calificada de insuficiente, pues se indican tanto las razones de la vulneración competencial que se denuncia como el precepto estatutario atributivo de las competencias autonómicas que se entienden vulneradas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Garcia, don Juan Antonio Xiol Rios, don Pedro José González-Trevijano </w:t>
      </w:r>
      <w:r>
        <w:lastRenderedPageBreak/>
        <w:t>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5755/2012 promovido por la Asamblea de Extremadura contra los arts. 27 y 38 del Real Decreto-ley 20/2012, de 13 de julio, de medidas para garantizar la estabilidad presupuestaria y de fomento de la competitividad. Ha comparecido y formulado alegaciones el Abogado del Estado. Ha sido Ponente el Magistrado don Pedro José González-Trevijano Sánchez,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15 de octubre de 2012, dos Diputados de la Asamblea de Extremadura, comisionados al efecto por el Pleno de la Cámara, promueven recurso de inconstitucionalidad contra los arts. 27 y 38 del Real Decreto-ley 20/2012, de 13 de julio, de medidas para garantizar la estabilidad presupuestaria y de fomento de la competitividad.</w:t>
      </w:r>
    </w:p>
    <w:p w:rsidR="00163957" w:rsidRDefault="00163957" w:rsidP="00163957">
      <w:pPr>
        <w:pStyle w:val="TextoNormal"/>
      </w:pPr>
    </w:p>
    <w:p w:rsidR="00163957" w:rsidRDefault="00163957" w:rsidP="00163957">
      <w:pPr>
        <w:pStyle w:val="TextoNormal"/>
      </w:pPr>
      <w:r>
        <w:t>Los motivos del recurso son, sucintamente expuestos, los siguientes:</w:t>
      </w:r>
    </w:p>
    <w:p w:rsidR="00163957" w:rsidRDefault="00163957" w:rsidP="00163957">
      <w:pPr>
        <w:pStyle w:val="TextoNormal"/>
      </w:pPr>
    </w:p>
    <w:p w:rsidR="00163957" w:rsidRDefault="00163957" w:rsidP="00163957">
      <w:pPr>
        <w:pStyle w:val="TextoNormal"/>
      </w:pPr>
      <w:r>
        <w:t xml:space="preserve">En cuanto al art. 38 del Real Decreto-ley 20/2012 la demanda recuerda la doctrina constitucional acerca de la autonomía financiera de las Comunidades Autónomas señalando que la máxima expresión de esa autonomía se pone de manifiesto cuando una Comunidad Autónoma crea una nueva figura tributaria, con los límites constitucionalmente establecidos, por su Estatuto de Autonomía y por la Ley Orgánica 8/1980, de 22 de septiembre, de financiación de las Comunidades Autónomas (LOFCA). Señala a continuación que la modificación por el Real Decreto-ley 20/2012 de los apartados 4 del art. 17 y 5 del art. 18 de la Ley 54/1997, de 27 de noviembre, del sector eléctrico, al disponer la repercusión obligatoria de los tributos o recargos autonómicos que graven este ámbito a los consumidores que residan en su territorio, modifica un aspecto esencial, la prohibición de repercusión a los consumidores de energía, de la regulación de un tributo autonómico, creado por la Ley 7/1997, de 29 de mayo, de medidas fiscales sobre la producción y el transporte de energía que incidan sobre el medio ambiente, como expresión de su naturaleza extrafiscal. Dicha obligación de repercusión haría perder al tributo autonómico su finalidad. La demanda argumenta que carece de sentido “obligar a repercutir un impuesto cuando puede controlarse que su pago no genera ningún efecto en el precio final de la energía”. A la expresa vulneración de la autonomía financiera autonómica se sumaría, según la demanda, la contradicción que la obligación de repercusión supone, repercusión que ha sido ya expresamente prohibida por el legislador autonómico en el art. 16.2 del Decreto Legislativo 2/2006, de 12 de diciembre, </w:t>
      </w:r>
      <w:r>
        <w:lastRenderedPageBreak/>
        <w:t>por el que se aprueba el texto refundido de las disposiciones legales de la Comunidad Autónoma de Extremadura en materia de tributos propios. Contradicción que, en aplicación del principio de competencia, ha de resolverse a favor del legislador autonómico.</w:t>
      </w:r>
    </w:p>
    <w:p w:rsidR="00163957" w:rsidRDefault="00163957" w:rsidP="00163957">
      <w:pPr>
        <w:pStyle w:val="TextoNormal"/>
      </w:pPr>
    </w:p>
    <w:p w:rsidR="00163957" w:rsidRDefault="00163957" w:rsidP="00163957">
      <w:pPr>
        <w:pStyle w:val="TextoNormal"/>
      </w:pPr>
      <w:r>
        <w:t>Respecto al art. 27 se alega que las modificaciones introducidas en el régimen de los horarios comerciales infringen la distribución de competencias entre el Estado y las Comunidades Autónomas, vulnerando lo establecido en el art. 9.1.16 del Estatuto de Autonomía de Extremadura que atribuye a esa Comunidad Autónoma competencias exclusivas en materia de comercio minorista. La demanda alude a la doctrina constitucional acerca de la posible incidencia de normas básicas sobre las competencias autonómicas en materia de comercio interior al amparo del art. 149.1.13 CE, pero estima que “si bien el Estado puede legislar con carácter básico sobre la libertad de horarios, lo que no puede hacer es limitarlos de forma absoluta, descendiendo en la regulación con tal grado de detalle que impida la legislación de desarrollo autonómica”. La Asamblea de Extremadura entiende que los objetivos que dicen perseguirse por la norma impugnada no justifican su adopción al amparo del art. 149.1.13 CE, argumentando la imposibilidad de que los fines buscados por las reformas en los horarios comerciales permitan vaciar la competencia autonómica, dado que no tendrían la incidencia directa y significativa en la actividad económica general. Por el contrario, la demanda sostiene que “la estructuración u ordenación del mercado de la distribución corresponde en primera instancia a las Comunidades Autónomas a las que el bloque de la constitucionalidad ha atribuido la competencia exclusiva sobre comercio interior y, en consecuencia, la posibilidad de diseñar políticas comerciales propias”.</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13 de noviembre de 2012 el Pleno, a propuesta de la Sección Segunda, acordó admitir a trámite el recurso de inconstitucionalidad promovido por la Asamblea de Extremadura en relación con los arts. 27 y 38 del Real Decreto-ley 20/2012, de 13 de julio, de medidas para garantizar la estabilidad presupuestaria y de fomento de la competitividad;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puedan personarse en el proceso y formular las alegaciones que estimaren convenientes, así como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registrado el 19 de noviembre de 2012 el Abogado del Estado se personó en nombre del Gobierno solicitando una prórroga en el plazo inicialmente concedido para la formulación de alegaciones, prórroga que le fue concedida por providencia del Pleno de 20 de noviembre de 2012.</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escrito registrado con fecha 23 de noviembre de 2012, el Presidente del Congreso de los Diputados comunicó el acuerdo de la Mesa de la Cámara de personarse en el procedimiento y ofrecer su colaboración a los efectos del art. 88.1 LOTC. Lo mismo hizo el Presidente del Senado mediante escrito registrado el día 28 de noviembre de 2012.</w:t>
      </w:r>
    </w:p>
    <w:p w:rsidR="00163957" w:rsidRDefault="00163957" w:rsidP="00163957">
      <w:pPr>
        <w:pStyle w:val="TextoNormal"/>
      </w:pPr>
    </w:p>
    <w:p w:rsidR="00163957" w:rsidRDefault="00163957" w:rsidP="00163957">
      <w:pPr>
        <w:pStyle w:val="TextoNormal"/>
      </w:pPr>
      <w:r w:rsidRPr="00163957">
        <w:rPr>
          <w:rStyle w:val="NumeroAFNegritaCaracter"/>
        </w:rPr>
        <w:t>5</w:t>
      </w:r>
      <w:r>
        <w:t>. Las alegaciones presentadas por el Abogado del Estado, en representación del Gobierno, fueron registradas en este Tribunal el día 17 de diciembre de 2012.</w:t>
      </w:r>
    </w:p>
    <w:p w:rsidR="00163957" w:rsidRDefault="00163957" w:rsidP="00163957">
      <w:pPr>
        <w:pStyle w:val="TextoNormal"/>
      </w:pPr>
    </w:p>
    <w:p w:rsidR="00163957" w:rsidRDefault="00163957" w:rsidP="00163957">
      <w:pPr>
        <w:pStyle w:val="TextoNormal"/>
      </w:pPr>
      <w:r>
        <w:lastRenderedPageBreak/>
        <w:t>Respecto al art. 38 del Real Decreto-ley 20/2012 indica que la demanda funda sus alegaciones en la contradicción con una norma autonómica, el art. 16.2 del Decreto Legislativo 2/2006, de 12 de diciembre, por el que se aprueba el texto refundido de las disposiciones legales de la Comunidad Autónoma de Extremadura en materia de tributos propios. Por el contrario considera que el encuadramiento correcto de la cuestión controvertida lleva a considerar que la norma supone un adecuado ejercicio de las competencias estatales en relación con el régimen económico del sector eléctrico, tal como se definen en las SSTC 18/2011 y 148/2011, siendo el título estatal prevalente para su establecimiento el del art. 149.1.13 CE. Conforme con ello estima que el legislador básico estatal, dentro del ámbito de sus competencias, se limita a garantizar la existencia de un régimen económico único para todo el territorio nacional del sector eléctrico, evitando que el sobrecoste originado por decisiones con vigencia territorial limitada afecten a todos los consumidores de España. Lo que el legislador estatal pretende con la reforma impugnada “es que los tributos autonómicos no tengan repercusión en el precio final de la energía eléctrica que se deba pagar en todo el territorio nacional, sino que se soporte en aquellas Comunidades Autónomas que decidan imponerlo, en coherencia con el principio de territorialidad consignado en el artículo 9 LOFCA”. Esta finalidad se concreta sin cuestionar las decisiones autonómicas de imponer determinados tributos mediante una previsión que “garantice que el desenvolvimiento y la aplicación del tributo no tenga incidencia en los precios del sistema eléctrico nacional”.</w:t>
      </w:r>
    </w:p>
    <w:p w:rsidR="00163957" w:rsidRDefault="00163957" w:rsidP="00163957">
      <w:pPr>
        <w:pStyle w:val="TextoNormal"/>
      </w:pPr>
    </w:p>
    <w:p w:rsidR="00163957" w:rsidRDefault="00163957" w:rsidP="00163957">
      <w:pPr>
        <w:pStyle w:val="TextoNormal"/>
      </w:pPr>
      <w:r>
        <w:t>Sobre el art. 27, el Abogado del Estado considera que debe inadmitirse el recurso por incumplimiento de la carga alegatoria pues la demanda “no especifica qué apartados de este extenso precepto considera inconstitucionales y tampoco del cuerpo del escrito se deducen concretos reproches a sus diferentes enunciados más allá de la genérica alegación de que la regulación estatal habría alcanzado ‘tal grado de detalle que impid(e) la legislación de desarrollo autonómica’”, sin que esa afirmación se proyecte a concretos preceptos o enunciados del extenso art. 27.</w:t>
      </w:r>
    </w:p>
    <w:p w:rsidR="00163957" w:rsidRDefault="00163957" w:rsidP="00163957">
      <w:pPr>
        <w:pStyle w:val="TextoNormal"/>
      </w:pPr>
    </w:p>
    <w:p w:rsidR="00163957" w:rsidRDefault="00163957" w:rsidP="00163957">
      <w:pPr>
        <w:pStyle w:val="TextoNormal"/>
      </w:pPr>
      <w:r>
        <w:t>Para el caso de que el Tribunal decida entrar en el fondo del asunto el Abogado del Estado justifica la plena constitucionalidad del precepto impugnado. Comienza aludiendo a la doctrina constitucional sobre la extensión de las bases en materia de horarios comerciales en las que se han examinado normas estatales que permitían muy diversos grados de liberalización y, por tanto, un correlativo mayor o menor espacio de desarrollo autonómico. De dicha doctrina el Abogado del Estado deduce que “el Tribunal ha reiterado que cuando la normativa estatal básica desregule, por liberalizar, un sector, resulta lógico que no permita normativa autonómica de desarrollo, salvo que ésta se limitase a reproducir la liberalización ya efectuada desde la norma básica. Pero es que además, una norma básica que afecte sólo a una submateria —horarios comerciales— de un título competencial autonómico más amplio —comercio interior—, nunca puede producir un vaciamiento, por sí sola, de esta competencia, dado que ésta siempre tendría un ámbito material más extenso sobre el que podría seguir desplegándose, y que no quedaría afectado por el ejercicio por el Estado de la competencia liberalizadora en materia económica”.</w:t>
      </w:r>
    </w:p>
    <w:p w:rsidR="00163957" w:rsidRDefault="00163957" w:rsidP="00163957">
      <w:pPr>
        <w:pStyle w:val="TextoNormal"/>
      </w:pPr>
    </w:p>
    <w:p w:rsidR="00163957" w:rsidRDefault="00163957" w:rsidP="00163957">
      <w:pPr>
        <w:pStyle w:val="TextoNormal"/>
      </w:pPr>
      <w:r>
        <w:t xml:space="preserve">A continuación defiende el carácter materialmente básico del precepto señalando que el mismo “pretende establecer un régimen mínimo de libertad de horario, dentro del cual el legislador autonómico pueda optar por grados superiores de liberalización; articulándose, por tanto, según el esquema clásico del par bases-norma de desarrollo”. El art. 27 del Real Decreto-ley 20/2012 da nueva redacción a los artículos 3.1, 4 y 5 de la Ley 1/2004, de 21 </w:t>
      </w:r>
      <w:r>
        <w:lastRenderedPageBreak/>
        <w:t>de diciembre, de horarios comerciales. La nueva redacción del artículo 3.1 de la Ley de horarios comerciales fija el número de horas mínimas en que los comercios podrán estar abiertos semanalmente en 90, frente a las 72 que establecía la redacción anterior. Para el Abogado del Estado se trata de una formulación típicamente básica en la que se opta por fijar un mínimo nacional de liberalización por razones económicas, que las Comunidades Autónomas pueden aumentar, gozando, por tanto, de margen de desarrollo. El art. 4 de la Ley de horarios comerciales, al modificar el régimen de domingos y festivos de apertura, se limita a concretar mínimos de liberalización que pueden incrementarse y lo mismo sucede con los criterios dentro de los cuales las Comunidades Autónomas deberán decidir, en ejercicio de su autonomía, qué concretos domingos y festivos permiten a los comercios abrir en sus territorios. Respecto al art. 5, entiende que la queja se circunscribe a los apartados 4 y 5, pues los restantes se ajustan a la doctrina de la STC 140/2011. En cuanto a los mencionados entiende que no se les puede reprochar el agotamiento de la regulación por cuanto el Estado se ha limitado a precisar los criterios mínimos que deben seguir las Comunidades Autónomas para determinar las denominadas zonas de gran afluencia turística.</w:t>
      </w:r>
    </w:p>
    <w:p w:rsidR="00163957" w:rsidRDefault="00163957" w:rsidP="00163957">
      <w:pPr>
        <w:pStyle w:val="TextoNormal"/>
      </w:pPr>
    </w:p>
    <w:p w:rsidR="00163957" w:rsidRDefault="00163957" w:rsidP="00163957">
      <w:pPr>
        <w:pStyle w:val="TextoNormal"/>
      </w:pPr>
      <w:r>
        <w:t>Finalmente el Abogado del Estado rebate, aludiendo a la memoria de impacto normativo del Real Decreto-ley 20/2012, las afirmaciones de la demanda acerca de la falta de incidencia de las medidas sobre el sistema económico en su conjunto.</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15 de marzo de 2016 se señaló para deliberación y votación de la presente Sentencia el día 17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presente resolución tiene por objeto resolver el recurso de inconstitucionalidad interpuesto por la Asamblea de Extremadura contra los arts. 27 y 38 del Real Decreto-ley 20/2012, de 13 de julio, de medidas para garantizar la estabilidad presupuestaria y de fomento de la competitividad.</w:t>
      </w:r>
    </w:p>
    <w:p w:rsidR="00163957" w:rsidRDefault="00163957" w:rsidP="00163957">
      <w:pPr>
        <w:pStyle w:val="TextoNormal"/>
      </w:pPr>
    </w:p>
    <w:p w:rsidR="00163957" w:rsidRDefault="00163957" w:rsidP="00163957">
      <w:pPr>
        <w:pStyle w:val="TextoNormal"/>
      </w:pPr>
      <w:r>
        <w:t>Como se ha expuesto en los antecedentes la representación procesal de la Asamblea de Extremadura denuncia que el art. 27 vulnera las competencias autonómicas en materia de comercio, alegando que la modificación de la normativa en materia de horarios comerciales no cumple el requisito de resultar eficaz para el fomento de la actividad económica y no puede ampararse en el art. 149.1.13 CE. Por su parte al art. 38 se le imputa la vulneración de la autonomía financiera de la Comunidad Autónoma, en cuanto que, al disponer la repercusión obligatoria de los tributos o recargos autonómicos a los consumidores del territorio, altera la previa configuración de un tributo autonómico en el que establecía expresamente la prohibición de repercusión a los consumidores de energía. El Abogado del Estado ha negado las vulneraciones denunciadas respecto al art. 38 y solicitando la inadmisión y, subsidiariamente, la desestimación del recurso, en lo relativo al art. 27.</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abordar el examen de fondo de la impugnación planteada es necesario pronunciarse acerca del óbice procesal formulado por el Abogado del Estado que ha solicitado la inadmisión del recurso en lo que respecta al art. 27 del Real Decreto-ley 20/2012, dado que, a su entender, la demanda no habría justificado la vulneración competencial que le imputa, incumpliendo con ello la necesaria carga alegatoria.</w:t>
      </w:r>
    </w:p>
    <w:p w:rsidR="00163957" w:rsidRDefault="00163957" w:rsidP="00163957">
      <w:pPr>
        <w:pStyle w:val="TextoNormal"/>
      </w:pPr>
    </w:p>
    <w:p w:rsidR="00163957" w:rsidRDefault="00163957" w:rsidP="00163957">
      <w:pPr>
        <w:pStyle w:val="TextoNormal"/>
      </w:pPr>
      <w:r>
        <w:t>Es notorio que la carga argumental en torno a la inconstitucionalidad del precepto corresponde a la parte que lo impugna. Al igual que afirmamos en las SSTC 195/2012, de 31 de octubre, FJ 4, y 84/2013 de 11 de abril, FJ 3, “resulta de aplicación la doctrina recopilada en la STC 158/2011, de 19 de octubre, según la cual ‘no basta la mera invocación formal de los preceptos en la demanda (STC 98/1989, de 1 de junio, FJ 5) o, incluso …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de 12 de mayo, FJ 7 B); 214/1994, de 14 de julio, FJ 3; 195/1998, de 1 de octubre, FJ 1]. Efectivamente, hemos de recordar aquí una vez más que la impugnación de las normas debe ir acompañada de la preceptiva fundamentación y precisión que permitan conocer las razones por las que los recurrentes entienden que las disposiciones impugnadas transgreden el orden constitucional (SSTC 118/1996, de 27 de junio, FJ 2; y 118/1998, de 4 de junio,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(STC 233/1999, de 16 de diciembre, FJ 2)”.</w:t>
      </w:r>
    </w:p>
    <w:p w:rsidR="00163957" w:rsidRDefault="00163957" w:rsidP="00163957">
      <w:pPr>
        <w:pStyle w:val="TextoNormal"/>
      </w:pPr>
    </w:p>
    <w:p w:rsidR="00163957" w:rsidRDefault="00163957" w:rsidP="00163957">
      <w:pPr>
        <w:pStyle w:val="TextoNormal"/>
      </w:pPr>
      <w:r>
        <w:t>Por tanto, este Tribunal no puede reconstruir de oficio la demanda ni suplir las razones de los recurrentes cuando éstas no se aportan en su recurso (entre otras muchas, STC 208/2014, de 15 de diciembre, FJ 4), pero, teniendo presentes las alegaciones de la demanda, hemos de concluir que en este caso se ha cumplido la carga alegatoria. La demanda cita expresamente tanto los preceptos constitucional, art. 149.1.13 CE, como estatutario, art. 9.1.16 del Estatuto de Autonomía de Extremadura, que entiende vulnerados y, a partir de ellos, desarrolla una argumentación en el que la infracción de la competencia autonómica en materia de comercio interior, por el carácter excesivamente detallado de la regulación que impide el desarrollo autonómico, se vincula a la queja genérica de la falta de carácter básico del precepto impugnado por no tratarse de una medida de política económica que pueda adoptarse por el Estado al amparo del art. 149.1.13 CE. Es cierto que, como alega el Abogado del Estado, la argumentación se formula de un modo genérico o global, pues esas afirmaciones no se concretan luego respecto a cada uno de los aspectos de la regulación de los horarios comerciales a los que se refiere el impugnado art. 27. No obstante, dicha argumentación, aun siendo sucinta, resulta, sin duda, expresiva de la reivindicación planteada y no puede ser calificada de insuficiente, pues se indican tanto las razones de la vulneración competencial que se denuncia (la insuficiencia del título competencial estatal y la minuciosidad de las normas impugnadas que dejarían sin contenido las competencias autonómicas) como el precepto estatutario atributivo de las competencias autonómicas que se entienden vulneradas.</w:t>
      </w:r>
    </w:p>
    <w:p w:rsidR="00163957" w:rsidRDefault="00163957" w:rsidP="00163957">
      <w:pPr>
        <w:pStyle w:val="TextoNormal"/>
      </w:pPr>
    </w:p>
    <w:p w:rsidR="00163957" w:rsidRDefault="00163957" w:rsidP="00163957">
      <w:pPr>
        <w:pStyle w:val="TextoNormal"/>
      </w:pPr>
      <w:r w:rsidRPr="00163957">
        <w:rPr>
          <w:rStyle w:val="NumeroAFNegritaCaracter"/>
        </w:rPr>
        <w:t>3</w:t>
      </w:r>
      <w:r>
        <w:t>. Hemos de examinar la incidencia que sobre el objeto de este proceso constitucional tengan tanto las modificaciones sobrevenidas de los preceptos impugnados como decisiones anteriores de este Tribunal, en concreto la STC 136/2015, de 11 de junio.</w:t>
      </w:r>
    </w:p>
    <w:p w:rsidR="00163957" w:rsidRDefault="00163957" w:rsidP="00163957">
      <w:pPr>
        <w:pStyle w:val="TextoNormal"/>
      </w:pPr>
    </w:p>
    <w:p w:rsidR="00163957" w:rsidRDefault="00163957" w:rsidP="00163957">
      <w:pPr>
        <w:pStyle w:val="TextoNormal"/>
      </w:pPr>
      <w:r>
        <w:t xml:space="preserve">En cuanto a lo primero, los apartados 4 y 5 del art. 5 de la Ley 1/2004, de 21 de diciembre, de horarios comerciales, a los que se refiere el art. 27 del Real Decreto-ley 20/2012 han sido posteriormente modificados, primero, por el art. 7.1 y 2, del Real Decreto-ley 8/2014, de 4 </w:t>
      </w:r>
      <w:r>
        <w:lastRenderedPageBreak/>
        <w:t>de julio, de aprobación de medidas urgentes para el crecimiento, la competitividad y la eficiencia y, finalmente, por el art. 7.1 y 2, de la Ley 18/2014, de 15 de octubre, de la misma denominación, que, respectivamente, añadieron dos nuevos párrafos al apartado 4 del art. 5 de la Ley de horarios comerciales; y el segundo, modificó el texto del apartado 5 de ese mismo art. 5 de la Ley de horarios comerciales.</w:t>
      </w:r>
    </w:p>
    <w:p w:rsidR="00163957" w:rsidRDefault="00163957" w:rsidP="00163957">
      <w:pPr>
        <w:pStyle w:val="TextoNormal"/>
      </w:pPr>
    </w:p>
    <w:p w:rsidR="00163957" w:rsidRDefault="00163957" w:rsidP="00163957">
      <w:pPr>
        <w:pStyle w:val="TextoNormal"/>
      </w:pPr>
      <w:r>
        <w:t>Estas modificaciones no afectan, sin embargo, al objeto del presente proceso constitucional por cuanto las normas posteriores vienen a plantear, en esencia, los mismos problemas competenciales que la norma impugnada. Resulta entonces de aplicación nuestra doctrina respecto a los procesos promovidos por causa de vulneración del orden constitucional de distribución de competencias en la que hemos insistido, como excepción a la regla general sobre la carencia de sentido que tiene para el Tribunal pronunciarse en un recurso de inconstitucionalidad sobre normas que el legislador ha expulsado del ordenamiento mediante su derogación, en que “la función de preservar los ámbitos respectivos de competencias no puede quedar enervada por la sola derogación o modificación de las disposiciones cuya adopción dio lugar al litigio (SSTC 182/1988, FJ 1; 248/1988, FJ 2; y 167/1993, FJ 2; 329/1993, FJ 1; 165/1994, FJ 2; y 196/1993, FJ 2)” [STC 134/2011, de 20 de julio, FJ 2 b)]. Por ello,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y STC 147/1998, fundamento jurídico 5)” [STC 134/2011, FJ 2.b)].</w:t>
      </w:r>
    </w:p>
    <w:p w:rsidR="00163957" w:rsidRDefault="00163957" w:rsidP="00163957">
      <w:pPr>
        <w:pStyle w:val="TextoNormal"/>
      </w:pPr>
    </w:p>
    <w:p w:rsidR="00163957" w:rsidRDefault="00163957" w:rsidP="00163957">
      <w:pPr>
        <w:pStyle w:val="TextoNormal"/>
      </w:pPr>
      <w:r>
        <w:t>Por otra parte la STC 136/2015 ha declarado la inconstitucionalidad y nulidad del art. 38 y de la disposición adicional decimoquinta del Real Decreto-ley 20/2012 por vulneración del art. 86.1 CE. De acuerdo con ello y conforme a nuestra doctrina (al respecto, STC 259/2007, de 19 de diciembre, FJ 2, y las allí citadas) ha desaparecido sobrevenidamente el objeto de este proceso constitucional en relación con el art. 38 del Real Decreto-ley 20/2012, quedando circunscrito al art. 27 del Real Decreto-ley 20/2012.</w:t>
      </w:r>
    </w:p>
    <w:p w:rsidR="00163957" w:rsidRDefault="00163957" w:rsidP="00163957">
      <w:pPr>
        <w:pStyle w:val="TextoNormal"/>
      </w:pPr>
    </w:p>
    <w:p w:rsidR="00163957" w:rsidRDefault="00163957" w:rsidP="00163957">
      <w:pPr>
        <w:pStyle w:val="TextoNormal"/>
      </w:pPr>
      <w:r w:rsidRPr="00163957">
        <w:rPr>
          <w:rStyle w:val="NumeroAFNegritaCaracter"/>
        </w:rPr>
        <w:t>4</w:t>
      </w:r>
      <w:r>
        <w:t>. Al art. 27 del Real Decreto-Ley 20/2012 se le reprocha la vulneración de las competencias autonómicas en materia de comercio interior, vulneración que es negada por el Abogado del Estado.</w:t>
      </w:r>
    </w:p>
    <w:p w:rsidR="00163957" w:rsidRDefault="00163957" w:rsidP="00163957">
      <w:pPr>
        <w:pStyle w:val="TextoNormal"/>
      </w:pPr>
    </w:p>
    <w:p w:rsidR="00163957" w:rsidRDefault="00163957" w:rsidP="00163957">
      <w:pPr>
        <w:pStyle w:val="TextoNormal"/>
      </w:pPr>
      <w:r>
        <w:t>Este precepto viene a modificar determinados preceptos de la Ley de horarios comerciales. Así, el apartado uno modifica el art. 3.1 de la Ley de horarios comerciales, estableciendo que el horario global en el cual los comercios podrán desarrollar su actividad en días laborables no podrá ser restringido por las Comunidades Autónomas a menos de 90 horas. El apartado dos reforma el art. 4 de la Ley de horarios comerciales, relativo a la apertura de los comercios en domingos y festivos, los cuales se fijan en un mínimo de dieciséis, número que podrá ser incrementado y disminuido por las Comunidades Autónomas pero no por debajo de diez, teniendo en cuenta para determinar los festivos de apertura los criterios prioritarios formulados al efecto por el apartado 5 de este art. 4. Finalmente, el apartado tres da una nueva redacción al art. 5 de la Ley de horarios comerciales, fijando la regla de la plena libertad de horario para los denominados “establecimientos con régimen especial de horarios”, entre los cuales se encuentran los ubicados en las “zonas de gran afluencia turística”.</w:t>
      </w:r>
    </w:p>
    <w:p w:rsidR="00163957" w:rsidRDefault="00163957" w:rsidP="00163957">
      <w:pPr>
        <w:pStyle w:val="TextoNormal"/>
      </w:pPr>
    </w:p>
    <w:p w:rsidR="00163957" w:rsidRDefault="00163957" w:rsidP="00163957">
      <w:pPr>
        <w:pStyle w:val="TextoNormal"/>
      </w:pPr>
      <w:r>
        <w:lastRenderedPageBreak/>
        <w:t>Dicho art. 27 se afirma dictado al amparo del art. 149.1.13 CE, según establece la disposición final cuarta del propio Real Decreto-ley 20/2012. Fundamento competencial que es negado por la Asamblea de Extremadura argumentando, en primer lugar, que la modificación de la normativa en materia de horarios comerciales no tendría una incidencia directa y significativa en la actividad económica general y, en segundo lugar, que su grado de detalle excluye la intervención autonómica en la materia.</w:t>
      </w:r>
    </w:p>
    <w:p w:rsidR="00163957" w:rsidRDefault="00163957" w:rsidP="00163957">
      <w:pPr>
        <w:pStyle w:val="TextoNormal"/>
      </w:pPr>
    </w:p>
    <w:p w:rsidR="00163957" w:rsidRDefault="00163957" w:rsidP="00163957">
      <w:pPr>
        <w:pStyle w:val="TextoNormal"/>
      </w:pPr>
      <w:r>
        <w:t xml:space="preserve">En el examen de esta impugnación hemos de partir de la doctrina de las SSTC 156/2015, de 9 de julio, FFJJ 9 y 10, y 18/2016, de 4 de febrero, FJ 9. En ambas ya establecimos que el Estado al dictar las reglas impugnadas contenidas en el art. 27 del Real Decreto-ley 20/2012, con el carácter de norma básica </w:t>
      </w:r>
      <w:r w:rsidRPr="00163957">
        <w:rPr>
          <w:i/>
        </w:rPr>
        <w:t>ex</w:t>
      </w:r>
      <w:r>
        <w:t xml:space="preserve"> art. 149.1.13 CE, se ha atenido a un ejercicio adecuado de sus competencias, sin incurrir en un exceso competencial vulnerador de las competencias autonómicas en materia de comercio interior.</w:t>
      </w:r>
    </w:p>
    <w:p w:rsidR="00163957" w:rsidRDefault="00163957" w:rsidP="00163957">
      <w:pPr>
        <w:pStyle w:val="TextoNormal"/>
      </w:pPr>
    </w:p>
    <w:p w:rsidR="00163957" w:rsidRDefault="00163957" w:rsidP="00163957">
      <w:pPr>
        <w:pStyle w:val="TextoNormal"/>
      </w:pPr>
      <w:r>
        <w:t>Ninguno de los argumentos expuestos en la demanda puede modificar la anterior conclusión, pues, además, se formulan de modo genérico, de modo que nuestra contestación tampoco ha de ser exhaustiva (en el mismo sentido, STC 197/2015, de 24 de septiembre, FJ 7).</w:t>
      </w:r>
    </w:p>
    <w:p w:rsidR="00163957" w:rsidRDefault="00163957" w:rsidP="00163957">
      <w:pPr>
        <w:pStyle w:val="TextoNormal"/>
      </w:pPr>
    </w:p>
    <w:p w:rsidR="00163957" w:rsidRDefault="00163957" w:rsidP="00163957">
      <w:pPr>
        <w:pStyle w:val="TextoNormal"/>
      </w:pPr>
      <w:r>
        <w:t>Así, en primer lugar, se alega la falta de cobertura de la regulación estatal de horarios comerciales en el art. 149.1.13 CE.</w:t>
      </w:r>
    </w:p>
    <w:p w:rsidR="00163957" w:rsidRDefault="00163957" w:rsidP="00163957">
      <w:pPr>
        <w:pStyle w:val="TextoNormal"/>
      </w:pPr>
    </w:p>
    <w:p w:rsidR="00163957" w:rsidRDefault="00163957" w:rsidP="00163957">
      <w:pPr>
        <w:pStyle w:val="TextoNormal"/>
      </w:pPr>
      <w:r>
        <w:t>Esta alegación no puede ser estimada, ya que, como hemos advertido, la intervención estatal en la regulación de los horarios comerciales ya ha sido reconocida por nuestra doctrina por su carácter “particularmente relevante en la ordenación de la actividad comercial minorista, rama o sector de la economía nacional respecto a la cual el Estado puede, conforme a nuestra doctrina, establecer medidas básicas en cuanto lo requiera la adecuada ordenación de la actividad económica” (STC 88/2010, de 15 de noviembre, FJ 5, reiterado en STC 26/2012, de 1 de marzo, FJ 7). Tampoco, frente a lo argumentado en la demanda, nos corresponde formular juicios acerca de si la norma es susceptible o no de conseguir los objetivos de política económica perseguidos, sino exclusivamente determinar si los preceptos sometidos a nuestro enjuiciamiento encuentra amparo en el art. 149.1.13 CE en los términos exigidos por la doctrina de este Tribunal [STC 18/2016, FJ 9 a)].</w:t>
      </w:r>
    </w:p>
    <w:p w:rsidR="00163957" w:rsidRDefault="00163957" w:rsidP="00163957">
      <w:pPr>
        <w:pStyle w:val="TextoNormal"/>
      </w:pPr>
    </w:p>
    <w:p w:rsidR="00163957" w:rsidRDefault="00163957" w:rsidP="00163957">
      <w:pPr>
        <w:pStyle w:val="TextoNormal"/>
      </w:pPr>
      <w:r>
        <w:t>La segunda vertiente de la queja es la imposibilidad de desarrollo de las normas estatales, con el consiguiente vaciamiento de la competencia autonómica en materia de comercio interior.</w:t>
      </w:r>
    </w:p>
    <w:p w:rsidR="00163957" w:rsidRDefault="00163957" w:rsidP="00163957">
      <w:pPr>
        <w:pStyle w:val="TextoNormal"/>
      </w:pPr>
    </w:p>
    <w:p w:rsidR="00163957" w:rsidRDefault="00163957" w:rsidP="00163957">
      <w:pPr>
        <w:pStyle w:val="TextoNormal"/>
      </w:pPr>
      <w:r>
        <w:t xml:space="preserve">Esta tacha tampoco puede ser acogida pues, para la consecución de los objetivos básicos que persigue, la norma estatal únicamente pretende establecer un régimen dentro del cual cabe legítimamente la opción de la regulación autonómica. Dicha regulación se desprende del propio precepto impugnado, que debe ser completado por la normativa de las Comunidades Autónomas en varios de sus aspectos (horario global de los comercios; fijación del número y determinación de los domingos y festivos de apertura autorizada o delimitación de zonas de gran afluencia turística, entre otros). De esta manera no se agotan las posibilidades de que el legislador autonómico con competencia para ello pueda llevar a cabo desarrollos normativos de la norma básica [STC 156/2015, FJ 10, específicamente respecto a la </w:t>
      </w:r>
      <w:r>
        <w:lastRenderedPageBreak/>
        <w:t>apertura de comercios en domingos y festivos y a las zonas de gran afluencia turística, reiterado en STC 18/2016, FJ 9 b)].</w:t>
      </w:r>
    </w:p>
    <w:p w:rsidR="00163957" w:rsidRDefault="00163957" w:rsidP="00163957">
      <w:pPr>
        <w:pStyle w:val="TextoNormal"/>
      </w:pPr>
    </w:p>
    <w:p w:rsidR="00163957" w:rsidRDefault="00163957" w:rsidP="00163957">
      <w:pPr>
        <w:pStyle w:val="TextoNormal"/>
      </w:pPr>
      <w:r>
        <w:t>Finalmente, en este mismo sentido, cabe recordar que la doctrina de este Tribunal sobre el límite de la legislación básica no puede proyectarse únicamente sobre un aspecto parcial de la competencia autonómica, como serían los horarios comerciales, en relación con la entera materia objeto de esa competencia autonómica. Es claro que las competencias autonómicas, en particular la de comercio interior, que se relacionan con las previsiones estatales en materia de horarios que hemos considerado básicas, se ven afectadas en su extensión, pero la afectación se produce de tal modo que no impide, en lo restante, el pleno desenvolvimiento de la competencia autonómica en materia de comercio interior cuya vulneración se ha denunciado en este proceso. Esta última posee un ámbito mucho más extenso, mientras que la norma del Estado sólo afecta a una materia o subsector específico dentro de ese ámbito, el relativo al régimen de horarios comerciales. Así, no cabe estimar producido un vaciamiento de aquella competencia, aunque se haya reducido en una concreta materia o subsector específicos [STC 284/1993, de 30 de septiembre, FJ 4 c), citando la STC 225/1993, de 8 de julio, FJ 4 b), y STC 170/2012, de 4 de octubre, FJ 10].</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Declarar la extinción del recurso por desaparición sobrevenida de su objeto respecto del art. 38 del Real Decreto-ley 20/2012, de 13 de julio, de medidas para garantizar la estabilidad presupuestaria y de fomento de la competitividad.</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diecisiete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59" w:name="SENTENCIA_2016_56"/>
      <w:r>
        <w:lastRenderedPageBreak/>
        <w:t>SENTENCIA 56/2016, de 17 de marzo de 2016</w:t>
      </w:r>
    </w:p>
    <w:bookmarkEnd w:id="59"/>
    <w:p w:rsidR="00163957" w:rsidRDefault="00163957" w:rsidP="00163957">
      <w:pPr>
        <w:pStyle w:val="TtuloResolucin"/>
      </w:pPr>
      <w:r>
        <w:t>Pleno</w:t>
      </w:r>
    </w:p>
    <w:p w:rsidR="00163957" w:rsidRDefault="00163957" w:rsidP="00163957">
      <w:pPr>
        <w:pStyle w:val="TtuloBOE"/>
      </w:pPr>
      <w:r>
        <w:t>(BOE núm. 97, de 22 de abril de 2016)</w:t>
      </w:r>
    </w:p>
    <w:p w:rsidR="00163957" w:rsidRDefault="00163957" w:rsidP="00163957">
      <w:pPr>
        <w:pStyle w:val="TextoNormalCentrado"/>
      </w:pPr>
      <w:r>
        <w:t>ECLI:ES:TC:2016:56</w:t>
      </w:r>
    </w:p>
    <w:p w:rsidR="00163957" w:rsidRDefault="00163957" w:rsidP="00163957">
      <w:pPr>
        <w:pStyle w:val="TextoNormalCentrado"/>
      </w:pPr>
    </w:p>
    <w:p w:rsidR="00163957" w:rsidRDefault="00163957" w:rsidP="00163957">
      <w:pPr>
        <w:pStyle w:val="SntesisDescriptiva"/>
      </w:pPr>
      <w:r>
        <w:t>Recurso de inconstitucionalidad 4980-2013. Interpuesto por más de cincuenta diputados, de los Grupos Parlamentarios Socialista; IU, ICV-EUIA, CHA, La Izquierda Plural; Catalán (Convergència i Unió) y Mixto, en relación con diversos preceptos de la Ley de Cortes de Aragón 3/2013, de 9 de mayo, de uso, protección y promoción de las lenguas y modalidades lingüísticas propias de Aragón.</w:t>
      </w:r>
    </w:p>
    <w:p w:rsidR="00163957" w:rsidRDefault="00163957" w:rsidP="00163957">
      <w:pPr>
        <w:pStyle w:val="SntesisDescriptiva"/>
      </w:pPr>
    </w:p>
    <w:p w:rsidR="00163957" w:rsidRDefault="00163957" w:rsidP="00163957">
      <w:pPr>
        <w:pStyle w:val="SntesisAnaltica"/>
      </w:pPr>
      <w:r>
        <w:t>Régimen lingüístico y principio de no discriminación: constitucionalidad de los preceptos legales relativos a las lenguas y modalidades lingüísticas propias de Aragón, zonas de utilización y régimen de la Academia Aragonesa de la Lengua.</w:t>
      </w:r>
    </w:p>
    <w:p w:rsidR="00163957" w:rsidRDefault="00163957" w:rsidP="00163957">
      <w:pPr>
        <w:pStyle w:val="SntesisAnaltica"/>
      </w:pPr>
    </w:p>
    <w:p w:rsidR="00163957" w:rsidRDefault="00163957" w:rsidP="00163957">
      <w:pPr>
        <w:pStyle w:val="Extracto"/>
      </w:pPr>
      <w:r>
        <w:t>1.</w:t>
      </w:r>
      <w:r>
        <w:tab/>
        <w:t>La Ley impugnada establece una única Academia Aragonesa de la Lengua e identifica las lenguas por el ámbito territorial al que se extiende su uso, sin emplear en ningún momento las denominaciones de aragonés y catalán; en concreto, se refiere a la lengua aragonesa propia de las áreas pirenaica y prepirenaica y a la lengua aragonesa propia del área oriental [FJ 2].</w:t>
      </w:r>
    </w:p>
    <w:p w:rsidR="00163957" w:rsidRDefault="00163957" w:rsidP="00163957">
      <w:pPr>
        <w:pStyle w:val="Extracto"/>
      </w:pPr>
    </w:p>
    <w:p w:rsidR="00163957" w:rsidRDefault="00163957" w:rsidP="00163957">
      <w:pPr>
        <w:pStyle w:val="Extracto"/>
      </w:pPr>
      <w:r>
        <w:t>2.</w:t>
      </w:r>
      <w:r>
        <w:tab/>
        <w:t>El legislador autonómico no ha vulnerado la reserva de ley que establece el Estatuto de Autonomía de Aragón, pues es el propio legislador el que fija la existencia de dos zonas de utilización histórica predominante, así como el procedimiento para declarar los municipios que las integran al atribuir tal declaración al Gobierno [FJ 4].</w:t>
      </w:r>
    </w:p>
    <w:p w:rsidR="00163957" w:rsidRDefault="00163957" w:rsidP="00163957">
      <w:pPr>
        <w:pStyle w:val="Extracto"/>
      </w:pPr>
    </w:p>
    <w:p w:rsidR="00163957" w:rsidRDefault="00163957" w:rsidP="00163957">
      <w:pPr>
        <w:pStyle w:val="Extracto"/>
      </w:pPr>
      <w:r>
        <w:t>3.</w:t>
      </w:r>
      <w:r>
        <w:tab/>
        <w:t>La reserva de ley no excluye la posibilidad de que las leyes contengan remisiones a normas reglamentarias pero sí que tales remisiones hagan posible una regulación independiente y no claramente subordinada a la Ley, lo que supondría una degradación de la reserva formulada por la Constitución en favor del legislador [FJ 4].</w:t>
      </w:r>
    </w:p>
    <w:p w:rsidR="00163957" w:rsidRDefault="00163957" w:rsidP="00163957">
      <w:pPr>
        <w:pStyle w:val="Extracto"/>
      </w:pPr>
    </w:p>
    <w:p w:rsidR="00163957" w:rsidRDefault="00163957" w:rsidP="00163957">
      <w:pPr>
        <w:pStyle w:val="Extracto"/>
      </w:pPr>
      <w:r>
        <w:t>4.</w:t>
      </w:r>
      <w:r>
        <w:tab/>
        <w:t>El precepto impugnado, al limitarse a reconocer el “derecho a expresarse” en las lenguas propias sin precisar qué concretas obligaciones derivan para las administraciones local y autonómica del ejercicio de este derecho en las zonas de utilización predominante, no incurre en discriminación por indiferenciación [FJ 5].</w:t>
      </w:r>
    </w:p>
    <w:p w:rsidR="00163957" w:rsidRDefault="00163957" w:rsidP="00163957">
      <w:pPr>
        <w:pStyle w:val="Extracto"/>
      </w:pPr>
    </w:p>
    <w:p w:rsidR="00163957" w:rsidRDefault="00163957" w:rsidP="00163957">
      <w:pPr>
        <w:pStyle w:val="Extracto"/>
      </w:pPr>
      <w:r>
        <w:t>5.</w:t>
      </w:r>
      <w:r>
        <w:tab/>
        <w:t>Si bien la Constitución proscribe la distinción infundada o discriminatoria, no consagra un derecho a la desigualdad de trato ni ampara la falta de distinción entre supuestos desiguales, no existiendo un derecho subjetivo al trato normativo desigual (STC 183/2014) [FJ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w:t>
      </w:r>
      <w:r>
        <w:lastRenderedPageBreak/>
        <w:t>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4980-2013, interpuesto por más de cincuenta diputados, integrantes de los Grupos Parlamentarios Socialista; IU, ICV-EUIA, CHA, La Izquierda Plural; Catalán (Convergència i Unió) y Mixto, contra los arts. 2.2, 5, 6, 7, 8 y 16 de la Ley de Cortes de Aragón 3/2013, de 9 de mayo, de uso, protección y promoción de las lenguas y modalidades lingüísticas propias de Aragón. Han formulado alegaciones el Gobierno y las Cortes de Aragón. Ha sido Ponente el Magistrado don Juan Antonio Xiol Ríos,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Con fecha 13 de agosto de 2013 tuvo entrada en el Registro General de este Tribunal escrito de doña Virginia Aragón Segura, Procuradora de los Tribunales, en nombre y representación de más de cincuenta diputados integrantes de los Grupos Parlamentarios Socialista; IU, ICV-EUIA, CHA: La Izquierda Plural; Catalán (Convergència i Unió) y Mixto, por el que se interpone recurso de inconstitucionalidad contra los arts. 2.2, 5, 6, 7, 8 y 16 de la Ley de Cortes de Aragón 3/2013, de 9 de mayo, de uso, protección y promoción de las lenguas y modalidades lingüísticas propias de Aragón, publicada en el “Boletín Oficial de Aragón” de 24 de mayo de 2013.</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Los motivos de inconstitucionalidad en los que se basa la impugnación se articulan en torno a tres argumentos. El primero y más general, se refiere a la inadecuación de la nueva regulación al marco constitucional de las lenguas y es la base para la impugnación de los arts. 2.2, 5, 7 y 8 de la Ley. El segundo, dirigido contra los arts. 5 y 6 de la Ley, denuncia la desregulación y deslegalización de aspectos esenciales del régimen jurídico de las lenguas propias de Aragón con infracción del principio de reserva de ley. El tercero, que se proyecta sobre el artículo 16, trata de la discriminación </w:t>
      </w:r>
      <w:r w:rsidRPr="00163957">
        <w:rPr>
          <w:i/>
        </w:rPr>
        <w:t>de facto</w:t>
      </w:r>
      <w:r>
        <w:t xml:space="preserve"> que se causa a los hablantes de las lenguas propias minoritarias de Aragón. Las alegaciones de inconstitucionalidad son, en sustancia, las siguientes:</w:t>
      </w:r>
    </w:p>
    <w:p w:rsidR="00163957" w:rsidRDefault="00163957" w:rsidP="00163957">
      <w:pPr>
        <w:pStyle w:val="TextoNormal"/>
      </w:pPr>
    </w:p>
    <w:p w:rsidR="00163957" w:rsidRDefault="00163957" w:rsidP="00163957">
      <w:pPr>
        <w:pStyle w:val="TextoNormal"/>
      </w:pPr>
      <w:r>
        <w:t xml:space="preserve">a) Sobre la falta de adecuación de la nueva regulación de las lenguas y modalidades lingüísticas propias de Aragón al marco constitucional de las lenguas. El recurso describe en primer término la situación inmediatamente anterior a la aprobación de la Ley 3/2013. El régimen de uso, protección y promoción de las lenguas propias de Aragón se contenía en la Ley 10/2009, de 22 de diciembre, que, en desarrollo de lo previsto en el art. 7 de la Ley Orgánica 5/2007, de 20 de abril, de reforma del Estatuto de Autonomía de Aragón, aun sin </w:t>
      </w:r>
      <w:r>
        <w:lastRenderedPageBreak/>
        <w:t>establecer una estricta oficialidad del aragonés y el catalán, sí reconocía oficial y formalmente a ambas lenguas y preveía, en consecuencia, una serie de derechos de los ciudadanos y, correlativamente, de deberes y obligaciones para las Administraciones públicas aragonesas. La Ley 10/2009 identificó las lenguas propias como “lengua aragonesa” y “catalán”, estableció las zonas de utilización predominante de las mismas y creo la Academia de la Lengua Aragonesa y la Academia Aragonesa del Catalán, encargadas de fijar la norma para el uso correcto de cada una de estas lenguas y de asesorar a las administraciones en su uso. La Ley contenía asimismo disposiciones de detalle en relación con la enseñanza, validez de los documentos redactados en estas lenguas, su empleo ante las instituciones aragonesas y la administración, el uso toponímico y en antropónimos y una variedad de medidas de fomento y divulgación. Esta regulación, según se afirma en el recurso, era coherente con el marco constitucional, con la jurisprudencia constitucional y con el compromiso adquirido por el Estado tras la ratificación de la Carta Europea de las lenguas regionales o minoritarias.</w:t>
      </w:r>
    </w:p>
    <w:p w:rsidR="00163957" w:rsidRDefault="00163957" w:rsidP="00163957">
      <w:pPr>
        <w:pStyle w:val="TextoNormal"/>
      </w:pPr>
    </w:p>
    <w:p w:rsidR="00163957" w:rsidRDefault="00163957" w:rsidP="00163957">
      <w:pPr>
        <w:pStyle w:val="TextoNormal"/>
      </w:pPr>
      <w:r>
        <w:t>La Constitución, sostiene el recurso, remite a los Estatutos y las leyes para fijar el alcance de la oficialidad aunque no la oficialidad en cuanto tal (STC 82/1986, FJ 2, a propósito de la interpretación del art. 3.2 CE). Considera asimismo que existe una “escala de oficialidad”, con un mínimo derivado del mero hecho del reconocimiento formal de la lengua propia, que se concreta en su reconocimiento por los poderes públicos —“independientemente de su realidad y peso como fenómeno social” (STC 82/1986, FJ 2)— y una serie de efectos asociados tanto en el ámbito de la comunicación de los poderes públicos entre sí y con los ciudadanos, como en relación con la enseñanza de la lengua. El recurso se refiere asimismo al valor de la Carta Europea de las lenguas regionales o minoritarias, y recuerda las obligaciones asumidas por el Estado con su ratificación, respecto de las cuales, en 2005 y en 2008 el Comité de Ministros instó a las autoridades españolas a adoptar el marco jurídico apropiado para las lenguas aragonesa y catalana en Aragón, lo que se cumplió, según el recurso, con la Ley 10/2009.</w:t>
      </w:r>
    </w:p>
    <w:p w:rsidR="00163957" w:rsidRDefault="00163957" w:rsidP="00163957">
      <w:pPr>
        <w:pStyle w:val="TextoNormal"/>
      </w:pPr>
    </w:p>
    <w:p w:rsidR="00163957" w:rsidRDefault="00163957" w:rsidP="00163957">
      <w:pPr>
        <w:pStyle w:val="TextoNormal"/>
      </w:pPr>
      <w:r>
        <w:t>La descripción de la situación anterior sirve en el escrito de interposición del recurso para marcar el contraste con la Ley 3/2013. Según se expone, esta Ley no reconoce los derechos y obligaciones asociados al reconocimiento oficial de una lengua —aunque se trate de una cooficialidad parcial, limitada a partes del territorio de la Comunidad y de mínimos—. Tampoco respeta la garantía institucional vinculada al derecho al uso de la lengua propia, que implica que la lengua sea reconocible, lo que a juicio de los recurrentes queda en entredicho a la vista de los arts. 2.2 y 5 de la Ley, que emplean circunloquios para evitar la denominación tradicional de “lengua aragonesa” y “catalán”. También afecta a la garantía de estas lenguas la fusión de las dos Academias en una sola (art. 7) que establecerá la norma de uso (art. 8), lo que se considera que redundará en perjuicio del aragonés, la lengua con menos presencia. La nueva regulación, se dice, no sólo deja de acomodarse al marco constitucional fijado en los arts. 3.2 y 3.3. CE, sino que, además, en la medida en que altera a la baja el estatus mínimo fijado por la Ley 10/2009, vulnera el principio de confianza legítima derivado del art. 9.3 CE y pugna con el principio de irregresividad, entendido como prohibición de merma del estatuto jurídico de una lengua, al menos en función de lo garantizado por la Carta Europea de las lenguas regionales o minoritarias, que define el derecho a usar la lengua regional o minoritaria en la vida privada y pública como un derecho imprescriptible.</w:t>
      </w:r>
    </w:p>
    <w:p w:rsidR="00163957" w:rsidRDefault="00163957" w:rsidP="00163957">
      <w:pPr>
        <w:pStyle w:val="TextoNormal"/>
      </w:pPr>
    </w:p>
    <w:p w:rsidR="00163957" w:rsidRDefault="00163957" w:rsidP="00163957">
      <w:pPr>
        <w:pStyle w:val="TextoNormal"/>
      </w:pPr>
      <w:r>
        <w:lastRenderedPageBreak/>
        <w:t>b) Inconstitucionalidad de los arts. 5 y 6 por vulneración de reserva legal. Indica el recurso que, en contradicción con lo previsto en el art. 7.2 del Estatuto de Autonomía de Aragón (que remite a la Ley para el establecimiento de las zonas de uso predominante de las lenguas y modalidades propias de Aragón), el art. 5 impugnado se refiere a “unas zonas” de utilización histórica predominante de las lenguas propias y el art. 6 dispone que será el Gobierno de Aragón el que, después de oír a los ayuntamientos afectados, declarará “las zonas y municipios a que se refiere el art. 5”, lo que implica la deslegalización de este aspecto con la consiguiente vulneración de la previsión del Estatuto. El recurso, por otra parte, considera la reserva de ley una garantía de los derechos lingüísticos que conecta con el art. 53.1 CE.</w:t>
      </w:r>
    </w:p>
    <w:p w:rsidR="00163957" w:rsidRDefault="00163957" w:rsidP="00163957">
      <w:pPr>
        <w:pStyle w:val="TextoNormal"/>
      </w:pPr>
    </w:p>
    <w:p w:rsidR="00163957" w:rsidRDefault="00163957" w:rsidP="00163957">
      <w:pPr>
        <w:pStyle w:val="TextoNormal"/>
      </w:pPr>
      <w:r>
        <w:t>c) Entienden los recurrentes que el art. 16 de la Ley, al omitir toda referencia a obligaciones concretas de las Administraciones públicas en cuanto al uso de la lengua propia en procedimientos administrativos vulnera el art. 14 CE y discrimina a los hablantes de estas lenguas minoritarias. Sostienen que la regulación actual, que suprime los derechos que regulaba la Ley anterior, desconoce las obligaciones que al respecto impone la Carta Europea de las lenguas regionales o minoritarias en el artículo 10. Se trataría, según afirma el recurso, de un caso claro de discriminación por indiferenciación: la Ley establece un régimen jurídico en todo similar al existente en las comunidades monolingües, ignorando, en cuanto a sus consecuencias jurídicas, la realidad plurilingüe de la Comunidad de Aragón.</w:t>
      </w:r>
    </w:p>
    <w:p w:rsidR="00163957" w:rsidRDefault="00163957" w:rsidP="00163957">
      <w:pPr>
        <w:pStyle w:val="TextoNormal"/>
      </w:pPr>
    </w:p>
    <w:p w:rsidR="00163957" w:rsidRDefault="00163957" w:rsidP="00163957">
      <w:pPr>
        <w:pStyle w:val="TextoNormal"/>
      </w:pPr>
      <w:r>
        <w:t>El escrito de interposición del recurso concluye solicitando la declaración de inconstitucionalidad y nulidad de los preceptos impugnados.</w:t>
      </w:r>
    </w:p>
    <w:p w:rsidR="00163957" w:rsidRDefault="00163957" w:rsidP="00163957">
      <w:pPr>
        <w:pStyle w:val="TextoNormal"/>
      </w:pPr>
    </w:p>
    <w:p w:rsidR="00163957" w:rsidRDefault="00163957" w:rsidP="00163957">
      <w:pPr>
        <w:pStyle w:val="TextoNormal"/>
      </w:pPr>
      <w:r w:rsidRPr="00163957">
        <w:rPr>
          <w:rStyle w:val="NumeroAFNegritaCaracter"/>
        </w:rPr>
        <w:t>3</w:t>
      </w:r>
      <w:r>
        <w:t>. Mediante providencia de 24 de septiembre de 2013, el Pleno, a propuesta de la Sección Primera, acordó admitir a trámite el recurso de inconstitucionalidad promovido por más de cincuenta Diputados de los Grupos Parlamentarios Socialista; IU, ICV-EUIA, CHA, La Izquierda Plural; Catalán (Convergència i Unió) y Mixto, contra los arts. 2.2, 5, 6, 7, 8 y 16 de la Ley de Cortes de Aragón 3/2013, de 9 de mayo, de uso, protección y promoción de las lenguas y modalidades lingüísticas propias de Aragón; dar traslado de la demanda y documentos presentados, conforme ordena el art. 34 de la Ley Orgánica del Tribunal Constitucional (LOTC), al Congreso de los Diputados y al Senado, al Gobierno, así como a la Diputación General de Aragón y a las Cortes de Aragón, al objeto de que, en el plazo de quince días, pudieran personarse en el proceso y formular las alegaciones que estimaren pertinentes; y, por último, publicar la incoación del recurso en el “Boletín Oficial del Estado” y en el “Boletín Oficial de Aragón”.</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escrito registrado en fecha 7 de octubre de 2013, el Presidente del Congreso de los Diputados comunicó el acuerdo de la Mesa de la Cámara en el sentido de darse por personada en el proceso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registrado el día 9 de octubre de 2013, el Presidente del Senado comunicó a este Tribunal el acuerdo de la Mesa de la Cámara en el sentido de darse por personada en el proceso,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La Letrada de las Cortes de Aragón, mediante escrito registrado en este Tribunal con fecha de 10 de octubre de 2013, se persona en el procedimiento y solicita prórroga del plazo </w:t>
      </w:r>
      <w:r>
        <w:lastRenderedPageBreak/>
        <w:t>concedido para formular alegaciones por ocho días más, lo que se le concede por providencia de 14 de octubre de 2013.</w:t>
      </w:r>
    </w:p>
    <w:p w:rsidR="00163957" w:rsidRDefault="00163957" w:rsidP="00163957">
      <w:pPr>
        <w:pStyle w:val="TextoNormal"/>
      </w:pPr>
    </w:p>
    <w:p w:rsidR="00163957" w:rsidRDefault="00163957" w:rsidP="00163957">
      <w:pPr>
        <w:pStyle w:val="TextoNormal"/>
      </w:pPr>
      <w:r w:rsidRPr="00163957">
        <w:rPr>
          <w:rStyle w:val="NumeroAFNegritaCaracter"/>
        </w:rPr>
        <w:t>7</w:t>
      </w:r>
      <w:r>
        <w:t>. El Abogado del Estado, mediante escrito registrado en fecha 18 de octubre de 2013, manifestó su intención de no formular alegaciones, y se personó en el presente procedimiento a los efectos de que en su día se le notifiquen las resoluciones que en él se dicten.</w:t>
      </w:r>
    </w:p>
    <w:p w:rsidR="00163957" w:rsidRDefault="00163957" w:rsidP="00163957">
      <w:pPr>
        <w:pStyle w:val="TextoNormal"/>
      </w:pPr>
    </w:p>
    <w:p w:rsidR="00163957" w:rsidRDefault="00163957" w:rsidP="00163957">
      <w:pPr>
        <w:pStyle w:val="TextoNormal"/>
      </w:pPr>
      <w:r w:rsidRPr="00163957">
        <w:rPr>
          <w:rStyle w:val="NumeroAFNegritaCaracter"/>
        </w:rPr>
        <w:t>8</w:t>
      </w:r>
      <w:r>
        <w:t>. La Letrada de la Comunidad Autónoma de Aragón, en la representación que legalmente ostenta, se personó en el proceso mediante escrito registrado en este Tribunal con fecha de 29 de octubre de 2013, en el que solicita se dicte Sentencia que desestime el recurso, declarando la inexistencia de inconstitucionalidad en los arts. 2.2, 5, 6, 7, 8 y 16 de la Ley 3/2013, de 9 de mayo, de uso, protección y promoción de las lenguas y modalidades lingüísticas propias de Aragón, con base en las alegaciones que a continuación se resumen.</w:t>
      </w:r>
    </w:p>
    <w:p w:rsidR="00163957" w:rsidRDefault="00163957" w:rsidP="00163957">
      <w:pPr>
        <w:pStyle w:val="TextoNormal"/>
      </w:pPr>
    </w:p>
    <w:p w:rsidR="00163957" w:rsidRDefault="00163957" w:rsidP="00163957">
      <w:pPr>
        <w:pStyle w:val="TextoNormal"/>
      </w:pPr>
      <w:r>
        <w:t xml:space="preserve">Comienza su escrito con una consideración general sobre el marco constitucional de la regulación del pluralismo lingüístico sobre la base de lo previsto en el art. 3 CE apartados 1 y 2. Tras reproducir una larga cita de la STC 82/1986, expone la Letrada de la Comunidad que en ese marco, el Estatuto de Autonomía de Aragón, en su artículo 7, reconoce las lenguas y modalidades lingüísticas de Aragón, aunque dispone con claridad que la única lengua oficial de Aragón es el castellano. Rechaza que pueda hablarse de una “cuasioficialidad” o “reconocimiento oficial” de una lengua sin estatus de cooficialidad, pues, según afirma, en el modelo español no hay </w:t>
      </w:r>
      <w:r w:rsidRPr="00163957">
        <w:rPr>
          <w:i/>
        </w:rPr>
        <w:t>tertium genus</w:t>
      </w:r>
      <w:r>
        <w:t>: una lengua o es oficial, o no lo es, y para que lo sea es precisa la expresa declaración en ese sentido del Estatuto de Autonomía. En cuanto a la Ley 3/2013 impugnada, el escrito realiza una valoración general en cuanto a su conformidad con la Constitución, refiriéndose al contexto y la realidad social en que se dicta. En particular, pone de relieve que esta Ley, frente a la anterior de 2009, trata de dar un paso más en el reconocimiento de las distintas variedades y modalidades lingüísticas existentes en Aragón, motivo por el cual “opta por nomenclaturas más flexibles” frente al uso por la anterior de las menciones a la “lengua aragonesa” y “catalán”.</w:t>
      </w:r>
    </w:p>
    <w:p w:rsidR="00163957" w:rsidRDefault="00163957" w:rsidP="00163957">
      <w:pPr>
        <w:pStyle w:val="TextoNormal"/>
      </w:pPr>
    </w:p>
    <w:p w:rsidR="00163957" w:rsidRDefault="00163957" w:rsidP="00163957">
      <w:pPr>
        <w:pStyle w:val="TextoNormal"/>
      </w:pPr>
      <w:r>
        <w:t>Pasando ya a las infracciones constitucionales denunciadas, la representación del Gobierno regional se refiere en primer término a la falta de concreción de las mismas. El recurso, en su opinión, está dirigido más contra la opción legislativa que contra preceptos específicos de la Ley, de modo que se echa en falta el análisis de los preceptos impugnados y la correlativa fundamentación de la presunta infracción constitucional.</w:t>
      </w:r>
    </w:p>
    <w:p w:rsidR="00163957" w:rsidRDefault="00163957" w:rsidP="00163957">
      <w:pPr>
        <w:pStyle w:val="TextoNormal"/>
      </w:pPr>
    </w:p>
    <w:p w:rsidR="00163957" w:rsidRDefault="00163957" w:rsidP="00163957">
      <w:pPr>
        <w:pStyle w:val="TextoNormal"/>
      </w:pPr>
      <w:r>
        <w:t xml:space="preserve">En relación con el primer motivo de inconstitucionalidad que afecta a los arts. 2.2, 5, 7 y 8 y que se refiere a la supuesta regresión y vulneración de los derechos adquiridos con infracción del principio de confianza legítima, directamente conectado con la seguridad jurídica, el escrito insiste en que con la nueva ley, que carece de aplicación retroactiva y no restringe ningún derecho, los derechos de los ciudadanos se ven en realidad ampliados “al permitir contemplar las diversas variedades lingüísticas que no se preveían en la anterior normativa”. En todo caso se indica que el contenido de los artículos impugnados no guarda relación con la infracción constitucional denunciada. A la vista de la jurisprudencia constitucional (STC 27/1981, FJ 10) tampoco hay pérdida de derechos adquiridos, ni se produce la vulneración del principio no constitucionalizado de confianza legítima. Las normas impugnadas no son inciertas y con la derogación de la Ley anterior no se produce la supresión de ningún estatus jurídico mínimo. En cuanto al cambio de configuración de las zonas de </w:t>
      </w:r>
      <w:r>
        <w:lastRenderedPageBreak/>
        <w:t>utilización de las lenguas, la versión actual permite “un mayor reconocimiento de las lenguas que conforman el patrimonio cultural aragonés” y la unificación en una única Academia responde a razones organizativas perfectamente conformes a la Constitución y el bloque de constitucionalidad.</w:t>
      </w:r>
    </w:p>
    <w:p w:rsidR="00163957" w:rsidRDefault="00163957" w:rsidP="00163957">
      <w:pPr>
        <w:pStyle w:val="TextoNormal"/>
      </w:pPr>
    </w:p>
    <w:p w:rsidR="00163957" w:rsidRDefault="00163957" w:rsidP="00163957">
      <w:pPr>
        <w:pStyle w:val="TextoNormal"/>
      </w:pPr>
      <w:r>
        <w:t>En cuanto a la presunta vulneración del principio de reserva de ley de los artículos 5 y 6, la Letrada de la Comunidad estima que no se produce, dado que es la Ley la que efectivamente se refiere a las zonas de uso predominante de las lenguas y modalidades propias de Aragón y la remisión reglamentaria obedece exclusivamente a la finalidad de que los municipios sitos en estas zonas sean oídos como localidades afectadas por lo dispuesto en la ley. Se señala además que la Ley anterior de 2009 preveía un mecanismo similar.</w:t>
      </w:r>
    </w:p>
    <w:p w:rsidR="00163957" w:rsidRDefault="00163957" w:rsidP="00163957">
      <w:pPr>
        <w:pStyle w:val="TextoNormal"/>
      </w:pPr>
    </w:p>
    <w:p w:rsidR="00163957" w:rsidRDefault="00163957" w:rsidP="00163957">
      <w:pPr>
        <w:pStyle w:val="TextoNormal"/>
      </w:pPr>
      <w:r>
        <w:t>En cuanto a la infracción del art. 14 CE por el art. 16 de la Ley 3/2013 el escrito vuelve sobre las consideraciones a propósito de la existencia de una sola lengua oficial en Aragón, el castellano, de modo que no cabe plantear la equiparación con esta lengua de las lenguas propias. No obstante, la Ley reconoce el derecho de todos los hablantes de las zonas de utilización predominante a expresarse de forma oral y escrita en las lenguas y modalidades lingüísticas propias con la Administración, sin relegar a ninguna lengua o modalidad lingüística. La diferencia, por tanto estribaría en la distinción entre el derecho de los ciudadanos a “relacionarse” con las Administraciones públicas en la lengua oficial y el derecho que el art. 16 de la Ley 3/2013 reconoce a “expresarse” en lenguas y modalidades lingüísticas propias de Aragón, sin discriminar a ninguna de ellas.</w:t>
      </w:r>
    </w:p>
    <w:p w:rsidR="00163957" w:rsidRDefault="00163957" w:rsidP="00163957">
      <w:pPr>
        <w:pStyle w:val="TextoNormal"/>
      </w:pPr>
    </w:p>
    <w:p w:rsidR="00163957" w:rsidRDefault="00163957" w:rsidP="00163957">
      <w:pPr>
        <w:pStyle w:val="TextoNormal"/>
      </w:pPr>
      <w:r w:rsidRPr="00163957">
        <w:rPr>
          <w:rStyle w:val="NumeroAFNegritaCaracter"/>
        </w:rPr>
        <w:t>9</w:t>
      </w:r>
      <w:r>
        <w:t>. Mediante escrito presentado en el Registro General de este Tribunal con fecha de 5 de noviembre de 2013, la Letrada de las Cortes de Aragón, en la representación que ostenta, solicita se dicte sentencia en la que se desestime el presente recurso de inconstitucionalidad. Las alegaciones que formula en defensa de la constitucionalidad de los arts. 2.2, 5, 6, 7, 8 y 16 de la Ley 3/2013, de 9 de mayo, de uso, protección y promoción de las lenguas y modalidades lingüísticas propias de Aragón son, en sustancia, las siguientes:</w:t>
      </w:r>
    </w:p>
    <w:p w:rsidR="00163957" w:rsidRDefault="00163957" w:rsidP="00163957">
      <w:pPr>
        <w:pStyle w:val="TextoNormal"/>
      </w:pPr>
    </w:p>
    <w:p w:rsidR="00163957" w:rsidRDefault="00163957" w:rsidP="00163957">
      <w:pPr>
        <w:pStyle w:val="TextoNormal"/>
      </w:pPr>
      <w:r>
        <w:t>En relación con el primer motivo de inconstitucionalidad alegado, que parte de la disconformidad del régimen legal de las lenguas propias de Aragón con el marco constitucional de las lenguas, considera conveniente esta representación realizar algunas precisiones sobre el contexto en el que se introduce la normativa impugnada y tener presente la evolución del régimen estatutario de las lenguas en Aragón. Recuerda a este respecto que el primer Estatuto de 1982 no preveía más que una protección de signo cultural de la pluralidad idiomática de la región y que fue solo con el Estatuto de 1996 cuando se incorpora la mención expresa a “lenguas y modalidades lingüísticas” y se añaden unas garantías específicas en relación con su enseñanza y su uso en las zonas de utilización predominante, de acuerdo con lo que estableciera una ley de Cortes (en relación con el contenido y carácter de esta remisión a la ley, el escrito se refiere a una variedad de consultas y dictámenes que excluyeron la posibilidad de regular la cooficialidad de una lengua en una ley distinta del Estatuto). El Estatuto de 2007 no ha alterado en lo esencial la situación: su artículo 7 remite a la Ley para todo lo relativo al régimen de protección, uso y promoción de las lenguas propias, sin especificar cuáles son estas y sin hacer mención alguna a su estatus. De aquí se concluye, según el escrito, la deliberada opción del Estatuto de Autonomía por limitar el estatuto de lengua oficial al castellano. En lo relativo al marco constitucional, la Letrada de las Cortes cues</w:t>
      </w:r>
      <w:r>
        <w:lastRenderedPageBreak/>
        <w:t xml:space="preserve">tiona la interpretación postulada por los recurrentes del art. 3 CE, en particular, las conclusiones que se extraen de sus apartados 2 y 3 en cuanto al reconocimiento de las lenguas oficiales. El escrito respalda la tesis de la existencia de una reserva de Estatuto para lo relativo a la declaración de la lengua oficial distinta del castellano y rechaza la tesis de la “escala de oficialidad”. En cuanto a la incidencia en esta materia de la Carta Europea de las lenguas regionales y minoritarias ratificada por España, niega que la Carta pueda servir como canon autónomo de validez y, en todo caso, se llama la atención sobre la falta de concreción de las supuestas vulneraciones de sus preceptos, sobre todo, teniendo en cuenta la matizada obligación asumida por el Estado en relación con las lenguas regionales no oficiales de acuerdo con lo establecido en el instrumento de ratificación. Las consideraciones de tipo general se cierran con una referencia a la alegación de los recurrentes de que la protección de las lenguas implica una garantía institucional. Frente a esta afirmación se argumenta que la Constitución no ha configurado como “derecho fundamental” los derechos lingüísticos del art. 3 CE, de modo que no puede hablarse de un contenido esencial, ni un contenido mínimo </w:t>
      </w:r>
      <w:r w:rsidRPr="00163957">
        <w:rPr>
          <w:i/>
        </w:rPr>
        <w:t>ex constitutione</w:t>
      </w:r>
      <w:r>
        <w:t>, sino de derechos de configuración legal dependientes en todo de la ley.</w:t>
      </w:r>
    </w:p>
    <w:p w:rsidR="00163957" w:rsidRDefault="00163957" w:rsidP="00163957">
      <w:pPr>
        <w:pStyle w:val="TextoNormal"/>
      </w:pPr>
    </w:p>
    <w:p w:rsidR="00163957" w:rsidRDefault="00163957" w:rsidP="00163957">
      <w:pPr>
        <w:pStyle w:val="TextoNormal"/>
      </w:pPr>
      <w:r>
        <w:t>Entrando en el análisis de la impugnación de artículos concretos, en relación con la tacha de inconstitucionalidad atribuida a los arts. 2.2 y 5 de la Ley, estima la representante de las Cortes que la identificación de las lenguas vinculándolas a la zona de su utilización predominante es una legítima opción legislativa que no vulnera ninguna garantía institucional, del mismo modo que tampoco vulnera ningún derecho ni precepto constitucional la unificación de las Academias de la lengua, una opción legislativa que se desenvuelve en el marco de la competencia autonómica de autoorganización. La queja relativa a que esta unificación (arts. 7 y 8 de la Ley) conllevará un perjuicio para una de las lenguas es una pura hipótesis carente de valor como argumento de inconstitucionalidad. Frente al argumento de que la Ley 3/2013 ha implicado pérdida de derechos adquiridos, en la medida en que ha rebajado un supuesto estatus mínimo irreversible y ha lesionado el principio de confianza legítima, se aduce que el art. 9.3 CE no tiene aplicación en este supuesto y se recuerda que el derecho de las personas al uso de lenguas no oficiales es un derecho de configuración legal que no deriva ni de la Constitución ni del Estatuto, sino de su normativa reguladora. El principio de irreversibilidad tampoco puede nacer de la Carta Europea de lenguas regionales y minoritarias y, se menciona la STC 165/2013 en apoyo del argumento que se sostiene frente a esta alegación, al reconocer libertad al legislador actual para regular esta materia sin restricciones derivadas de supuestos derechos adquiridos. En cuanto a la supuesta vulneración por los arts. 5 y 6 de la reserva de ley, la impugnación carecería de fundamento, pues estos artículos cumplen con lo previsto en el art. 7.2 del Estatuto de autonomía y la jurisprudencia constitucional admite la remisión reglamentaria, que en el caso concreto pretende dar voz a los municipios afectados. Por último, el reproche de inconstitucionalidad que se hace al art. 16 de la Ley fundado en que este artículo, al omitir cualquier referencia a procedimientos administrativos, relega el uso de la lengua propia al ámbito privado y discrimina a sus hablantes, no toma en cuenta que el estatuto de las lenguas propias de Aragón no es el de la oficialidad, de modo que no puede encontrarse discriminación en el trato diferente de dos situaciones distintas, sin olvidar que ni la Constitución impone la oficialidad de las lenguas propias, ni el Estatuto de Aragón la reconoce.</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15 de marzo de 2016 se señaló para deliberación y votación de la presente Sentencia el día 17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inconstitucionalidad ha sido promovido por más de cincuenta Diputados integrantes de los Grupos Parlamentarios Socialista, IU, ICV-EUIA, CHA, La Izquierda Plural, Catalán (Convergència i Unió) y Mixto y se dirige contra los arts. 2.2, 5, 6, 7, 8 y 16 de la Ley de Cortes de Aragón 3/2013 de 9 de mayo, de uso, protección y promoción de las lenguas y modalidades lingüísticas propias de Aragón.</w:t>
      </w:r>
    </w:p>
    <w:p w:rsidR="00163957" w:rsidRDefault="00163957" w:rsidP="00163957">
      <w:pPr>
        <w:pStyle w:val="TextoNormal"/>
      </w:pPr>
    </w:p>
    <w:p w:rsidR="00163957" w:rsidRDefault="00163957" w:rsidP="00163957">
      <w:pPr>
        <w:pStyle w:val="TextoNormal"/>
      </w:pPr>
      <w:r>
        <w:t>Los Diputados impulsores del recurso, según se ha expuesto con más detalle en los antecedentes, sostienen que la regulación contenida en los preceptos impugnados no se adecúa al marco constitucional de regulación del pluralismo lingüístico (art. 3.2 y 3.3 CE), que con estos preceptos se ha operado una merma del estatus y garantía del aragonés y catalán como lenguas de uso tradicional en ciertas zonas de Aragón, así como una pérdida de derechos para los hablantes de estas lenguas minoritarias (art. 9.3 CE), quienes resultan discriminados por una legislación que no tiene en cuenta su singularidad y no establece medidas específicamente adaptadas a la misma (art. 14 CE), ignorando las obligaciones asumidas por el Estado español al ratificar la Carta Europea de lenguas regionales y minoritarias. Denuncian asimismo que la Ley impugnada, al encomendar al ejecutivo autonómico la tarea de delimitar las zonas de empleo predominante de las lenguas propias, infringe la reserva de ley prevista en el Estatuto de Autonomía de Aragón (art. 7.2 EAAr). El recurso se cierra con una reflexión crítica a propósito de la falta de medidas legales concretas consecuentes con la realidad plurilingüe de Aragón que hace que, pese al reconocimiento de esta realidad en el Estatuto, su régimen jurídico sea indistinguible del de las Comunidades monolingües.</w:t>
      </w:r>
    </w:p>
    <w:p w:rsidR="00163957" w:rsidRDefault="00163957" w:rsidP="00163957">
      <w:pPr>
        <w:pStyle w:val="TextoNormal"/>
      </w:pPr>
    </w:p>
    <w:p w:rsidR="00163957" w:rsidRDefault="00163957" w:rsidP="00163957">
      <w:pPr>
        <w:pStyle w:val="TextoNormal"/>
      </w:pPr>
      <w:r>
        <w:t>Tanto las Cortes como el Gobierno de Aragón consideran el recurso infundado. Sus alegaciones coinciden en calificar de errada la interpretación que los recurrentes hacen del marco regulador, constitucional y estatutario, y sostienen que los presuntos motivos de inconstitucionalidad no son otra cosa más que el desacuerdo de los recurrentes con una legítima opción legislativa que cuenta con respaldo estatutario y constitucional.</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entrar en el examen de las impugnaciones concretas y para precisar su exacto alcance convendrá, como también han hecho los personados en este procedimiento en sus escritos, situar en contexto las normas impugnadas con una breve referencia al marco regulador y un somero repaso de las vicisitudes de la legislación sobre lenguas en la Comunidad de Aragón.</w:t>
      </w:r>
    </w:p>
    <w:p w:rsidR="00163957" w:rsidRDefault="00163957" w:rsidP="00163957">
      <w:pPr>
        <w:pStyle w:val="TextoNormal"/>
      </w:pPr>
    </w:p>
    <w:p w:rsidR="00163957" w:rsidRDefault="00163957" w:rsidP="00163957">
      <w:pPr>
        <w:pStyle w:val="TextoNormal"/>
      </w:pPr>
      <w:r>
        <w:t xml:space="preserve">En la configuración del estatuto de las lenguas españolas distintas del castellano la Constitución deja un importante espacio a la regulación por los Estatutos y las leyes de las Comunidades Autónomas. En el artículo 3 del texto constitucional se fijaron los acuerdos básicos que actúan como premisa para cualquier desarrollo normativo en este ámbito sin que se imponga un único modelo de regulación y gestión del pluralismo lingüístico. Según este Tribunal advirtió tempranamente, “la Constitución de 1978 reconoce la realidad plurilingüe de la Nación española y, viendo en ella un valor cultural no sólo asumible, sino también digno de ser promovido, obtiene de dicha realidad una serie de consecuencias jurídicas en orden a la posible atribución de carácter oficial a las diversas lenguas españolas, a la protección efectiva de todas ellas y a la configuración de derechos y deberes individuales en materia lingüística” (STC 82/1986, de 26 de junio, FJ 2). En cuanto a la “posible atribución </w:t>
      </w:r>
      <w:r>
        <w:lastRenderedPageBreak/>
        <w:t>de carácter oficial”, el art. 3.2 de la Constitución remite a los Estatutos de Autonomía la decisión sobre el reconocimiento de las lenguas propias como lenguas oficiales y la determinación, en cada caso, del alcance de la cooficialidad. Para lo demás, tanto en lo que se refiere a las medidas de protección como a la configuración de los derechos y deberes individuales en materia lingüística, habrá que estar a lo que dispongan Estado y Comunidades Autónomas en sus respectivos ámbitos de competencia, pues, como también se afirma en la sentencia antes citada, “no cabe contraponer el castellano en cuanto lengua española oficial del Estado, y las ‘demás lenguas españolas’ en cuanto cooficiales en las distintas Comunidades, como asuntos privativos respectivamente del Estado en sentido estricto y de las Comunidades Autónomas individualmente consideradas” (STC 82/1986, FJ 4) y la garantía constitucional del pluralismo lingüístico, en los términos del art. 3.3 de la Constitución, incumbe por igual al Estado y a las Comunidades Autónomas.</w:t>
      </w:r>
    </w:p>
    <w:p w:rsidR="00163957" w:rsidRDefault="00163957" w:rsidP="00163957">
      <w:pPr>
        <w:pStyle w:val="TextoNormal"/>
      </w:pPr>
    </w:p>
    <w:p w:rsidR="00163957" w:rsidRDefault="00163957" w:rsidP="00163957">
      <w:pPr>
        <w:pStyle w:val="TextoNormal"/>
      </w:pPr>
      <w:r>
        <w:t>La Ley de la que proceden los preceptos recurridos —Ley de Cortes de Aragón 3/2013 de 9 de mayo, de uso, protección y promoción de las lenguas y modalidades lingüísticas propias de Aragón—, deroga y sustituye a la Ley 10/2009, de 22 de diciembre, de uso, protección y promoción de las lenguas propias de Aragón y, como esta, se dicta en desarrollo de lo previsto en el art. 7 de la Ley Orgánica 5/2007, de 20 de abril, de reforma del Estatuto de Autonomía de Aragón. Bajo la rúbrica “Lenguas y modalidades lingüísticas”, este artículo dispone lo siguiente:</w:t>
      </w:r>
    </w:p>
    <w:p w:rsidR="00163957" w:rsidRDefault="00163957" w:rsidP="00163957">
      <w:pPr>
        <w:pStyle w:val="TextoNormal"/>
      </w:pPr>
    </w:p>
    <w:p w:rsidR="00163957" w:rsidRDefault="00163957" w:rsidP="00163957">
      <w:pPr>
        <w:pStyle w:val="TextoNormal"/>
      </w:pPr>
      <w:r>
        <w:t>“1. Las lenguas y modalidades lingüísticas propias de Aragón constituyen una de las manifestaciones más destacadas del patrimonio histórico y cultural aragonés y un valor social de respeto, convivencia y entendimiento.</w:t>
      </w:r>
    </w:p>
    <w:p w:rsidR="00163957" w:rsidRDefault="00163957" w:rsidP="00163957">
      <w:pPr>
        <w:pStyle w:val="TextoNormal"/>
      </w:pPr>
    </w:p>
    <w:p w:rsidR="00163957" w:rsidRDefault="00163957" w:rsidP="00163957">
      <w:pPr>
        <w:pStyle w:val="TextoNormal"/>
      </w:pPr>
      <w:r>
        <w:t>2. Una ley de las Cortes de Aragón establecerá las zonas de uso predominante de las lenguas y modalidades propias de Aragón, regulará el régimen jurídico, los derechos de utilización de los hablantes de esos territorios, promoverá la protección, recuperación, enseñanza, promoción y difusión del patrimonio lingüístico de Aragón, y favorecerá, en las zonas de utilización predominante, el uso de las lenguas propias en las relaciones de los ciudadanos con las Administraciones públicas aragonesas.</w:t>
      </w:r>
    </w:p>
    <w:p w:rsidR="00163957" w:rsidRDefault="00163957" w:rsidP="00163957">
      <w:pPr>
        <w:pStyle w:val="TextoNormal"/>
      </w:pPr>
    </w:p>
    <w:p w:rsidR="00163957" w:rsidRDefault="00163957" w:rsidP="00163957">
      <w:pPr>
        <w:pStyle w:val="TextoNormal"/>
      </w:pPr>
      <w:r>
        <w:t>3. Nadie podrá ser discriminado por razón de la lengua.”</w:t>
      </w:r>
    </w:p>
    <w:p w:rsidR="00163957" w:rsidRDefault="00163957" w:rsidP="00163957">
      <w:pPr>
        <w:pStyle w:val="TextoNormal"/>
      </w:pPr>
      <w:r>
        <w:t>La remisión al legislador ya estaba presente en la regulación estatutaria anterior, introducida con la reforma de 1996 del Estatuto (Ley Orgánica 5/1996, de 30 de diciembre, de reforma de la Ley Orgánica 8/1982, de 10 de agosto, de Estatuto de Autonomía de Aragón, modificada por Ley Orgánica 6/1994, de 24 de marzo, de reforma de dicho Estatuto), aunque era menos pormenorizada y se limitaba a establecer que “[s]e garantizará [la] enseñanza y el derecho de los hablantes [de las lenguas y modalidades lingüísticas de Aragón] en la forma que establezca una Ley de Cortes de Aragón para las zonas de utilización predominante de aquéllas”. La Ley en cuestión no llegó a dictarse. Con todo, la modificación de 1996 supuso un cambio significativo respecto de la redacción originaria del art. 7 del Estatuto (Ley Orgánica 8/1982, de 10 de agosto, de Estatuto de Autonomía de Aragón) que tan solo disponía que “[l]as diversas modalidades lingüísticas de Aragón gozarán de protección, como elementos integrantes de su patrimonio cultural e histórico”.</w:t>
      </w:r>
    </w:p>
    <w:p w:rsidR="00163957" w:rsidRDefault="00163957" w:rsidP="00163957">
      <w:pPr>
        <w:pStyle w:val="TextoNormal"/>
      </w:pPr>
    </w:p>
    <w:p w:rsidR="00163957" w:rsidRDefault="00163957" w:rsidP="00163957">
      <w:pPr>
        <w:pStyle w:val="TextoNormal"/>
      </w:pPr>
      <w:r>
        <w:t xml:space="preserve">El Estatuto de Aragón, por lo tanto, contiene un reconocimiento de las lenguas propias y remite a la Ley para la regulación de los distintos aspectos de su régimen jurídico, uso, </w:t>
      </w:r>
      <w:r>
        <w:lastRenderedPageBreak/>
        <w:t>protección y promoción y para la determinación de las zonas de uso predominante. Como también sucede en otros Estatutos, este reconocimiento del plurilingüismo en la Comunidad no lleva aparejada la atribución de carácter oficial a las lenguas propias, que, por otra parte y de modo más excepcional, no son identificadas bajo una concreta denominación. Han sido las leyes reguladoras de aspectos relativos al uso de las lenguas propias las que eventualmente han procedido a identificarlas como lengua aragonesa y catalán. La Ley 10/2009, de 22 de diciembre de uso, protección y promoción de las lenguas propias de Aragón, en consecuencia con esta identificación, previó la creación de la Academia de la Lengua Aragonesa y la Academia Aragonesa del Catalán. La Ley 3/2013, de 9 de mayo, que deroga la Ley 10/2009, de 22 de diciembre, establece en su lugar la creación de una única Academia Aragonesa de la Lengua y procede a identificar las lenguas por relación al ámbito territorial al que se extiende su uso, sin emplear en ningún momento las denominaciones de aragonés y catalán (en concreto, la ley se refiere a “la lengua aragonesa propia de las áreas pirenaica y prepirenaica” y a  “la lengua aragonesa propia del área oriental”, así como a sus respectivas modalidades lingüísticas).</w:t>
      </w:r>
    </w:p>
    <w:p w:rsidR="00163957" w:rsidRDefault="00163957" w:rsidP="00163957">
      <w:pPr>
        <w:pStyle w:val="TextoNormal"/>
      </w:pPr>
    </w:p>
    <w:p w:rsidR="00163957" w:rsidRDefault="00163957" w:rsidP="00163957">
      <w:pPr>
        <w:pStyle w:val="TextoNormal"/>
      </w:pPr>
      <w:r>
        <w:t>En la medida en que el Estatuto de Autonomía de Aragón “protege y ampara” las lenguas y modalidades lingüísticas propias de Aragón, no hay duda de que resultan de aplicación las disposiciones de la Carta Europea de las lenguas regionales o minoritarias, en los términos de la declaración del Estado español incluida en el instrumento de ratificación de la Carta de 2 de febrero de 2001 (“BOE” núm. 222, de 15 de septiembre de 2001) según la cual, a los efectos de la Carta se entienden por lenguas regionales o minoritarias, además de las reconocidas como oficiales, “las que los Estatutos de Autonomía protegen y amparan en los territorios donde tradicionalmente se hablan”. La referencia a las lenguas regionales de Aragón como lenguas regionales o minoritarias aparece en todos los informes que el Estado español remite periódicamente al Secretariado General del Consejo de Europa como autoridad encargada de monitorizar el cumplimiento de las obligaciones asumidas por los Estados firmantes, de acuerdo con lo previsto en el art. 15 de la Carta.</w:t>
      </w:r>
    </w:p>
    <w:p w:rsidR="00163957" w:rsidRDefault="00163957" w:rsidP="00163957">
      <w:pPr>
        <w:pStyle w:val="TextoNormal"/>
      </w:pPr>
    </w:p>
    <w:p w:rsidR="00163957" w:rsidRDefault="00163957" w:rsidP="00163957">
      <w:pPr>
        <w:pStyle w:val="TextoNormal"/>
      </w:pPr>
      <w:r w:rsidRPr="00163957">
        <w:rPr>
          <w:rStyle w:val="NumeroAFNegritaCaracter"/>
        </w:rPr>
        <w:t>3</w:t>
      </w:r>
      <w:r>
        <w:t>. El recurso se estructura en tres bloques impugnativos. El orden que siguen los escritos de alegaciones del Gobierno y las Cortes de Aragón es el que se va a seguir también para analizar los motivos de inconstitucionalidad aducidos.</w:t>
      </w:r>
    </w:p>
    <w:p w:rsidR="00163957" w:rsidRDefault="00163957" w:rsidP="00163957">
      <w:pPr>
        <w:pStyle w:val="TextoNormal"/>
      </w:pPr>
    </w:p>
    <w:p w:rsidR="00163957" w:rsidRDefault="00163957" w:rsidP="00163957">
      <w:pPr>
        <w:pStyle w:val="TextoNormal"/>
      </w:pPr>
      <w:r>
        <w:t>El primero de estos bloques se refiere a la inconstitucionalidad en que, según los recurrentes, incurren los arts. 2.2, 5, 7 y 8 de la Ley 3/2013, relativos a la identificación de las lenguas y modalidades lingüísticas propias de Aragón (art. 2.2), sus zonas de utilización predominante (art. 5) y a la creación y regulación de la composición y funciones de la nueva Academia Aragonesa de la Lengua (arts. 7 y 8). El reproche que se dirige contra estos preceptos es que con ellos se ha provocado una merma en la garantía y en el estatus de las lenguas propias de Aragón y que, como consecuencia de una regulación que se califica de regresiva, se han vulnerado los derechos de sus hablantes. El recurso sostiene, en sustancia, que el cambio de regulación, por su entidad y su impacto sobre la situación previa, lesiona el principio de confianza legítima, directamente conectado con el principio de seguridad jurídica (art. 9.3 CE), y vulnera lo dispuesto en el art. 3 de la Constitución, así como los principios y derechos reconocidos en la Carta Europea de las lenguas regionales o minoritarias.</w:t>
      </w:r>
    </w:p>
    <w:p w:rsidR="00163957" w:rsidRDefault="00163957" w:rsidP="00163957">
      <w:pPr>
        <w:pStyle w:val="TextoNormal"/>
      </w:pPr>
    </w:p>
    <w:p w:rsidR="00163957" w:rsidRDefault="00163957" w:rsidP="00163957">
      <w:pPr>
        <w:pStyle w:val="TextoNormal"/>
      </w:pPr>
      <w:r>
        <w:lastRenderedPageBreak/>
        <w:t>Los recurrentes consideran que el carácter peyorativo de la reforma es la causa de la inconstitucionalidad, por ello su argumentación está construida a partir de la comparación o contraposición entre el régimen de la Ley 10/2009, de 22 de diciembre y el actual. Los representantes de la Cámara y del Ejecutivo autonómicos se oponen a este motivo del conflicto, al entender que la Ley 10/2009 no constituye un parámetro de constitucionalidad.</w:t>
      </w:r>
    </w:p>
    <w:p w:rsidR="00163957" w:rsidRDefault="00163957" w:rsidP="00163957">
      <w:pPr>
        <w:pStyle w:val="TextoNormal"/>
      </w:pPr>
    </w:p>
    <w:p w:rsidR="00163957" w:rsidRDefault="00163957" w:rsidP="00163957">
      <w:pPr>
        <w:pStyle w:val="TextoNormal"/>
      </w:pPr>
      <w:r>
        <w:t>El Tribunal estima que esta objeción es acertada. Es una premisa básica, asociada al principio democrático, que el legislador del pasado no puede vincular al legislador del futuro y, por tanto, que no existe un genérico derecho al mantenimiento de la Ley y a la intangibilidad de las situaciones jurídicas nacidas a su amparo. Y aunque el principio de seguridad jurídica impone en cualquier estado de Derecho que la sucesión de normas se atenga a ciertas condiciones, entre ellas no se encuentra la interdicción de la reforma peyorativa. El art. 9.3 CE, al tiempo que garantiza la seguridad jurídica, no veda el cambio sino la retroactividad de las disposiciones sancionadoras no favorables o restrictivas de derechos individuales y, en relación con estas disposiciones, “lo que el art. 9.3 CE prohíbe es ‘la incidencia de la nueva ley en los efectos jurídicos ya producidos de situaciones anteriores, de suerte que la incidencia en los derechos, en cuanto a su proyección hacia el futuro, no pertenece al campo estricto de la irretroactividad’” (STC 49/2015, de 9 de abril, FJ 4, con cita de la STC 42/1986, de 10 de abril). En consecuencia, esta alegación debe ser desestimada.</w:t>
      </w:r>
    </w:p>
    <w:p w:rsidR="00163957" w:rsidRDefault="00163957" w:rsidP="00163957">
      <w:pPr>
        <w:pStyle w:val="TextoNormal"/>
      </w:pPr>
    </w:p>
    <w:p w:rsidR="00163957" w:rsidRDefault="00163957" w:rsidP="00163957">
      <w:pPr>
        <w:pStyle w:val="TextoNormal"/>
      </w:pPr>
      <w:r>
        <w:t>Los recurrentes sostienen también que los preceptos impugnados, al no denominar a estas lenguas con su nombre tradicional, aragonés y catalán, lesionan la garantía constitucional, que exige especial respeto y protección de las lenguas. Se aduce que la pérdida del nombre tradicional, por el que son comúnmente conocidas, las despoja de identidad o, como se dice en el escrito de interposición, reivindicando la protección de la lengua como una garantía institucional, las priva de un elemento de reconocibilidad. Por ello, los recurrentes entienden que recurrir al circunloquio en los artículos 2.2 y 5 para evitar deliberadamente toda referencia al aragonés y catalán implica, en definitiva, según esto, una regresión en el estatuto de estas lenguas y la lesión de la confianza legítima de los afectados.</w:t>
      </w:r>
    </w:p>
    <w:p w:rsidR="00163957" w:rsidRDefault="00163957" w:rsidP="00163957">
      <w:pPr>
        <w:pStyle w:val="TextoNormal"/>
      </w:pPr>
    </w:p>
    <w:p w:rsidR="00163957" w:rsidRDefault="00163957" w:rsidP="00163957">
      <w:pPr>
        <w:pStyle w:val="TextoNormal"/>
      </w:pPr>
      <w:r>
        <w:t xml:space="preserve">El art. 4.1 de la Ley 3/1999, de 10 de marzo, del patrimonio cultural aragonés ha sido, sin embargo, modificado por el art. 35 de la Ley 2/2016, de 28 de enero, de medidas fiscales y administrativas de la Comunidad Autónoma de Aragón. Esta modificación es relevante, pues determina que, en lo relativo a este concreto motivo del recurso, la impugnación haya perdido objeto al producirse la recuperación de la denominación “aragonés” y “catalán” para referirse a las lenguas y modalidades lingüísticas propias de Aragón que regulan los preceptos legales ahora impugnados. En efecto, según dispone el citado art. 4.1 de la Ley 3/1999, de 10 de marzo, del patrimonio cultural aragonés, en la redacción ahora vigente, “[e]l aragonés y el catalán de Aragón, en los que están incluidas sus variedades dialectales, son las lenguas y modalidades lingüísticas propias a que se refieren el art. 7 del Estatuto de Autonomía de Aragón de 2007 y la Ley 3/2013, de 9 de mayo, de uso protección y promoción de las lenguas y modalidades lingüísticas propias de Aragón”. Esta reforma legal, aunque no modifica expresamente los preceptos impugnados en este proceso constitucional, incide directamente en la cuestión que ahora se examina, pues, al establecer que el aragonés y el catalán de Aragón son las lenguas y modalidades lingüísticas propias a las que se refiere la Ley 3/2013, de 9 de mayo, de uso protección y promoción de las lenguas y modalidades lingüísticas propias de Aragón, determina la pérdida de vigencia de la denominación en su </w:t>
      </w:r>
      <w:r>
        <w:lastRenderedPageBreak/>
        <w:t>día adoptada, en la que los recurrentes han fundamentado la inconstitucionalidad de los artículos 2.2 y 5 por estimarla contraria al principio de respeto y protección de las lenguas. De este modo, versando el enjuiciamiento sobre un recurso de inconstitucionalidad, que tiene por finalidad la depuración objetiva del ordenamiento jurídico, y habiendo desaparecido el elemento causal que constituye el presupuesto del motivo en el que los recurrentes fundamentan la inconstitucionalidad de estos preceptos, no procede entrar a analizar esta concreta impugnación.</w:t>
      </w:r>
    </w:p>
    <w:p w:rsidR="00163957" w:rsidRDefault="00163957" w:rsidP="00163957">
      <w:pPr>
        <w:pStyle w:val="TextoNormal"/>
      </w:pPr>
    </w:p>
    <w:p w:rsidR="00163957" w:rsidRDefault="00163957" w:rsidP="00163957">
      <w:pPr>
        <w:pStyle w:val="TextoNormal"/>
      </w:pPr>
      <w:r>
        <w:t>Tampoco procede examinar la impugnación de los artículos 7 y 8. Como ha declarado este Tribunal, entre otras muchas en la STC 152/2014, de 25 de septiembre, FJ 4, “[c]uando lo que se encuentra en juego es la depuración del ordenamiento jurídico resulta carga de los recurrentes, no solo abrir la vía para que el Tribunal pueda pronunciarse, sino también colaborar con la justicia del Tribunal mediante un pormenorizado análisis de las cuestiones que se suscitan, por lo cual, si no se atiende esta exigencia, se falta a la diligencia procesalmente requerida (SSTC 13/2007, de 18 de enero, FJ 1, y 217/2013, de 19 de diciembre, FJ 1, por todas)”. En el presente caso los recurrentes no han cumplido la carga alegatoria a la que están obligados, pues se han limitado a aducir que, al unificarse las diferentes Academias propias en una sola (art. 7), se va a establecer una norma lingüística única (art. 8), que puede conllevar la desaparición del aragonés a medio plazo. Esta argumentación no puede fundamentar una pretensión de declaración de inconstitucionalidad de los referidos preceptos, pues se limita a expresar un temor —una mera hipótesis, sobre la que no existe específicamente argumentación alguna—, que, como tal, es inhábil para cumplir la carga alegatoria exigible a quienes pretenden obtener de este Tribunal una declaración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4</w:t>
      </w:r>
      <w:r>
        <w:t>. La segunda impugnación se dirige contra los arts. 5 y 6 de la Ley por estimar que vulneran lo que el recurso denomina “el principio de reserva de ley”. Entienden los recurrentes que, contrariando lo previsto en el art. 7.2 EAAr, que contiene una llamada a la Ley de Cortes de Aragón para el establecimiento de las zonas de uso predominante de las lenguas y modalidades lingüísticas propias, los artículos impugnados deslegalizan esta materia, al disponer que será al Gobierno de Aragón, previa audiencia de los municipios afectados, quien declare estas zonas. Según se aduce, la regulación que contienen estos preceptos dejan al arbitrio de las autoridades locales derechos básicos vinculados al ejercicio de derechos fundamentales, y por ello, además de la vulneración de la reserva de ley invocada, se alega también la infracción de los principios de seguridad jurídica y de protección de la confianza legítima.</w:t>
      </w:r>
    </w:p>
    <w:p w:rsidR="00163957" w:rsidRDefault="00163957" w:rsidP="00163957">
      <w:pPr>
        <w:pStyle w:val="TextoNormal"/>
      </w:pPr>
    </w:p>
    <w:p w:rsidR="00163957" w:rsidRDefault="00163957" w:rsidP="00163957">
      <w:pPr>
        <w:pStyle w:val="TextoNormal"/>
      </w:pPr>
      <w:r>
        <w:t>Este motivo del recurso tampoco puede prosperar. No hay duda de que las disposiciones del Estatuto, también en lo que se refiere a la llamada a la Ley para la regulación de ciertas materias, deben ser respetadas por el legislador y que la infracción del Estatuto por la Ley autonómica es recurrible ante este Tribunal, en la medida en que el Estatuto es parámetro de validez de la Ley autonómica. Otro entendimiento supondría “privar a los Estatutos de Autonomía de su condición de “norma institucional básica de cada Comunidad Autónoma” (art. 147.1 CE), a cuyo respeto, en todas sus partes, vienen principalmente obligados los órganos instituidos y regulados, precisamente, por los propios Estatutos de Autonomía” (STC 223/2006, de 6 de julio, FJ 3).</w:t>
      </w:r>
    </w:p>
    <w:p w:rsidR="00163957" w:rsidRDefault="00163957" w:rsidP="00163957">
      <w:pPr>
        <w:pStyle w:val="TextoNormal"/>
      </w:pPr>
    </w:p>
    <w:p w:rsidR="00163957" w:rsidRDefault="00163957" w:rsidP="00163957">
      <w:pPr>
        <w:pStyle w:val="TextoNormal"/>
      </w:pPr>
      <w:r>
        <w:lastRenderedPageBreak/>
        <w:t>En este caso, sin embargo, no puede apreciarse que el legislador autonómico haya vulnerado la reserva de ley que establece el art. 7.2 EAAr. En lo que ahora interesa, la reserva de ley que contiene este precepto se limita a establecer que “[u]na ley de las Cortes de Aragón establecerá las zonas de uso predominante de las lenguas y modalidades propias de Aragón”. Esta previsión estatutaria no puede considerase vulnerada por los preceptos ahora impugnados, pues es el propio legislador el que establece la existencia de dos zonas de utilización histórica predominante de la lengua aragonesa propia y sus modalidades lingüísticas en la Comunidad Autónoma: la de las áreas pirenaica y prepirenaica y la del área oriental (art. 5) y el que establece también el procedimiento para declarar las zonas y municipios que se integran las misma, al atribuir la declaración de las zonas de utilización de estas lenguas al Gobierno, tras oír a los ayuntamientos afectados.</w:t>
      </w:r>
    </w:p>
    <w:p w:rsidR="00163957" w:rsidRDefault="00163957" w:rsidP="00163957">
      <w:pPr>
        <w:pStyle w:val="TextoNormal"/>
      </w:pPr>
    </w:p>
    <w:p w:rsidR="00163957" w:rsidRDefault="00163957" w:rsidP="00163957">
      <w:pPr>
        <w:pStyle w:val="TextoNormal"/>
      </w:pPr>
      <w:r>
        <w:t>Como ha señalado reiteradamente este Tribunal, la reserva de ley “no excluye, ciertamente, la posibilidad de que las leyes contengan remisiones a normas reglamentarias, pero sí que tales remisiones hagan posible una regulación independiente y no claramente subordinada a la Ley, lo que supondría una degradación de la reserva formulada por la Constitución en favor del legislador” (STC 83/1984, de 24 de julio en el mimos sentido, SSTC 225/1993, de 8 de julio, FJ 6; 18/2011, de 3 de marzo, FJ 9, y 233/2015, de 5 de noviembre FJ 3). Esta doctrina, aunque está establecida en relación con materias que están reservadas a la ley por la Constitución, resulta plenamente aplicable al supuesto que ahora nos ocupa, pues, en definitiva, de lo que se trata también en este caso es de garantizar el cumplimiento de la norma estatutaria que establece reserva a la Ley autonómica una determinada materia. En el caso que ahora se examina esta reserva no puede considerarse degradada por la regulación que efectúan los arts. 5 y 6 de la Ley de Cortes de Aragón 3/2013 de 9 de mayo, pues cabe entender que cuando el art. 7.2 EAAr dispone que “[u]na ley de las Cortes de Aragón establecerá las zonas de uso predominante de las lenguas y modalidades propias de Aragón”, no está exigiendo que sea la Ley la que delimite dichas zonas y establezca los municipios concretos que se integran en ellas, sino únicamente que las prevea y regule el modo en el que van a ser delimitadas. Los preceptos impugnados respetan estas exigencias, pues como se ha indicado, el artículo 5 establece las zonas de utilización de las lenguas y modalidades lingüísticas propias y el artículo 6 establece el procedimiento para su delimitación, atribuyendo la competencia para declarar los municipios que integran dichas áreas al Gobierno de Aragón y estableciendo como trámite necesario en ese procedimiento la audiencia de los ayuntamientos afectados.</w:t>
      </w:r>
    </w:p>
    <w:p w:rsidR="00163957" w:rsidRDefault="00163957" w:rsidP="00163957">
      <w:pPr>
        <w:pStyle w:val="TextoNormal"/>
      </w:pPr>
    </w:p>
    <w:p w:rsidR="00163957" w:rsidRDefault="00163957" w:rsidP="00163957">
      <w:pPr>
        <w:pStyle w:val="TextoNormal"/>
      </w:pPr>
      <w:r>
        <w:t>La regulación que establecen los preceptos impugnados para delimitar las zonas de utilización predominante de las lenguas y modalidades lingüísticas propias no es, ciertamente, la única posible, pero de esto no puede concluirse que la decisión adoptada por el legislador sea contraria al art. 7.2 EAAr, del que no puede derivarse la exigencia, como parecen sostener los recurrentes, de que la delimitación de estas zonas debe efectuarse en una norma con rango de ley. Como se afirmó en la STC 15/2000, de 20 de enero, FJ 4, “más allá de los límites explícitos que para el legislador autonómico resulten de la Constitución y del propio Estatuto de Autonomía, como norma institucional básica, no cabe configurar para su labor límites o reservas implícitas”, y en el presente caso, como acaba de indicarse, ni del Estatuto de Autonomía ni tampoco de la Constitución, determinan que solo por ley pueden delimitarse las zonas de utilización de las lenguas y modalidades lingüísticas propias.</w:t>
      </w:r>
    </w:p>
    <w:p w:rsidR="00163957" w:rsidRDefault="00163957" w:rsidP="00163957">
      <w:pPr>
        <w:pStyle w:val="TextoNormal"/>
      </w:pPr>
    </w:p>
    <w:p w:rsidR="00163957" w:rsidRDefault="00163957" w:rsidP="00163957">
      <w:pPr>
        <w:pStyle w:val="TextoNormal"/>
      </w:pPr>
      <w:r>
        <w:lastRenderedPageBreak/>
        <w:t>Por otra parte, el riesgo de inestabilidad e inseguridad que los recurrentes atribuyen a la forma en la que los preceptos legales disponen que han de determinarse las zonas de utilización de las lenguas y modalidades lingüísticas propias —consideran que, al hacer depender la determinación de las zonas de decisiones municipales y del ejecutivo autonómico, el resultado podría ser alterado cada vez que se produce un cambio en la composición política de los órganos de gobierno tras las elecciones— no puede conllevar, en sí mismo, la lesión del principio de seguridad jurídica (art. 9.3 CE) que los recurrentes aducen. Como este Tribunal ha sostenido reiteradamente, ni de este principio de ningún otro se deriva derecho al mantenimiento de un determinado régimen jurídico, pues ello daría lugar a la petrificación del ordenamiento jurídico [SSTC 332/2005, de 15 de diciembre, FJ 17, y 237/2012, de 13 de diciembre, FJ 9 c), entre otras muchas], por lo que no puede fundamentar una vulneración del referido principio constitucional la mera posibilidad de que la delimitación de estas zonas pueda ser objeto de modificaciones.</w:t>
      </w:r>
    </w:p>
    <w:p w:rsidR="00163957" w:rsidRDefault="00163957" w:rsidP="00163957">
      <w:pPr>
        <w:pStyle w:val="TextoNormal"/>
      </w:pPr>
    </w:p>
    <w:p w:rsidR="00163957" w:rsidRDefault="00163957" w:rsidP="00163957">
      <w:pPr>
        <w:pStyle w:val="TextoNormal"/>
      </w:pPr>
      <w:r w:rsidRPr="00163957">
        <w:rPr>
          <w:rStyle w:val="NumeroAFNegritaCaracter"/>
        </w:rPr>
        <w:t>5</w:t>
      </w:r>
      <w:r>
        <w:t>. La última impugnación tiene por objeto el art. 16 de la Ley que en materia de uso de las lenguas propias y respecto de las relaciones de los ciudadanos con las Administraciones públicas, que dispone: “Se reconoce a todos los ciudadanos el derecho a expresarse de forma oral y escrita, además de en castellano, en las lenguas y modalidades lingüísticas propias de Aragón, en sus respectivas zonas de utilización predominante, de acuerdo con lo previsto en la presente ley”. La tacha de inconstitucionalidad deriva, según el recurso, no de lo que el precepto dice, sino de lo que no dice. Más específicamente, el reproche que se hace es que puesto que no se precisa ninguna concreta obligación para los poderes públicos, el precepto es una fórmula vacía, que no toma en consideración la situación singular de los hablantes de las lenguas minoritarias. Lo que se denuncia es, en definitiva, una vulneración de la igualdad por indiferenciación, esto es, por no contemplar la ley un régimen especial y específico para los hablantes de las lenguas propias en su relación con las administraciones local y autonómica.</w:t>
      </w:r>
    </w:p>
    <w:p w:rsidR="00163957" w:rsidRDefault="00163957" w:rsidP="00163957">
      <w:pPr>
        <w:pStyle w:val="TextoNormal"/>
      </w:pPr>
    </w:p>
    <w:p w:rsidR="00163957" w:rsidRDefault="00163957" w:rsidP="00163957">
      <w:pPr>
        <w:pStyle w:val="TextoNormal"/>
      </w:pPr>
      <w:r>
        <w:t xml:space="preserve">Esta impugnación también ha de ser desestimada. Como el Tribunal ha declarado reiteradamente, si bien el art. 14 CE proscribe la distinción infundada o discriminatoria, “no consagra un derecho a la desigualdad de trato, ni ampara la falta de distinción entre supuestos desiguales, no existiendo un derecho subjetivo al trato normativo desigual” (STC 183/2014, de 6 de noviembre de 2014, FJ 3 que cita, por todas, las SSTC 38/2014, de 11 de marzo, FJ 6, y 198/2012, de 6 de noviembre, FJ 13). Debe indicarse, por otra parte, que la invocación en este punto de la Carta Europea de las lenguas regionales y minoritarias, que en su artículo 10 contiene una relación de compromisos que los poderes públicos asumen en relación con el uso de lenguas minoritarias en procedimientos administrativos y en la relación con las autoridades administrativas y los servicios públicos, no altera esta conclusión. La Carta, como tratado válidamente celebrado, se integra desde su ratificación en el “ordenamiento jurídico interno” (art. 96.1 CE), y tiene además el valor interpretativo que le confiere el art. 10.2 CE (ATC 166/2005, de 19 de abril, FJ 4). De ahí que este Tribunal haya declarado que aunque la “Carta no puede erigirse en canon autónomo de validez del precepto legal cuestionado, podemos sin embargo convenir en que la misma proporciona pautas interpretativas del régimen jurídico de la cooficialidad lingüística.” (ATC 166/2005, de 19 de abril, FJ 5). Ahora bien, los criterios hermenéuticos que puede aportar este tratado internacional solo pueden tener la eficacia que la propia Carta determina. En relación con la aplicación de las obligaciones contenidas en la parte III (arts. 8 a 14 relativos a aspectos tales como enseñanza, justicia, autoridades administrativas y servicios públicos o medios de </w:t>
      </w:r>
      <w:r>
        <w:lastRenderedPageBreak/>
        <w:t>comunicación) la Declaración del Estado español precisa que respecto de las lenguas no oficiales que los Estatutos de Autonomía protegen y amparan en los territorios donde tradicionalmente se hablan se aplicarán las disposiciones “que puedan razonablemente aplicarse”, atendidos los objetivos y principios de la Carta. En consecuencia, no cabe deducir para el caso de las lenguas propias que no tienen la consideración de oficial la aplicabilidad inmediata de las obligaciones de la parte III de la Carta, incluidas las contenidas en el art. 10 de la Carta Europea de las lenguas regionales o minoritarias, ni, por tanto, puede reconocerse, en relación con este tipo de lenguas, que dichos preceptos tengan el mismo valor interpretativo que tienen respecto las lenguas que los Estatutos de autonomía reconocen como oficiales.</w:t>
      </w:r>
    </w:p>
    <w:p w:rsidR="00163957" w:rsidRDefault="00163957" w:rsidP="00163957">
      <w:pPr>
        <w:pStyle w:val="TextoNormal"/>
      </w:pPr>
    </w:p>
    <w:p w:rsidR="00163957" w:rsidRDefault="00163957" w:rsidP="00163957">
      <w:pPr>
        <w:pStyle w:val="TextoNormal"/>
      </w:pPr>
      <w:r>
        <w:t>Por todo ello, no puede apreciarse que al art. 16 de la Ley 3/2013, de 9 de mayo, al limitarse a reconocer el “derecho a expresarse” en las lenguas propias sin precisar qué concretas obligaciones derivan para las administraciones local y autonómica del ejercicio de este derecho en las zonas de utilización predominante haya vulnerado el principio de igualdad (art. 14 CE) por incurrir en discriminación por indiferenciación, como sostienen los recurrentes, pues, como se ha indicado, de acuerdo con reiterada jurisprudencia el principio de igualdad no garantiza un derecho al trato normativo desigual, ni tampoco puede apreciarse que en el presente caso, en virtud de lo establecido en el art. 10. 2 CE, la Carta Europea de las lenguas regionales y minoritarias exija una interpretación distinta del referido principio constitucional.</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inconstitucionalidad interpuesto contra los arts. 2.2, 5, 6, 7, 8 y 16 de la Ley de Cortes de Aragón 3/2013 de 9 de mayo, de uso, protección y promoción de las lenguas y modalidades lingüísticas propias de Aragón.</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diecisiete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60" w:name="SENTENCIA_2016_57"/>
      <w:r>
        <w:lastRenderedPageBreak/>
        <w:t>SENTENCIA 57/2016, de 17 de marzo de 2016</w:t>
      </w:r>
    </w:p>
    <w:bookmarkEnd w:id="60"/>
    <w:p w:rsidR="00163957" w:rsidRDefault="00163957" w:rsidP="00163957">
      <w:pPr>
        <w:pStyle w:val="TtuloResolucin"/>
      </w:pPr>
      <w:r>
        <w:t>Pleno</w:t>
      </w:r>
    </w:p>
    <w:p w:rsidR="00163957" w:rsidRDefault="00163957" w:rsidP="00163957">
      <w:pPr>
        <w:pStyle w:val="TtuloBOE"/>
      </w:pPr>
      <w:r>
        <w:t>(BOE núm. 97, de 22 de abril de 2016)</w:t>
      </w:r>
    </w:p>
    <w:p w:rsidR="00163957" w:rsidRDefault="00163957" w:rsidP="00163957">
      <w:pPr>
        <w:pStyle w:val="TextoNormalCentrado"/>
      </w:pPr>
      <w:r>
        <w:t>ECLI:ES:TC:2016:57</w:t>
      </w:r>
    </w:p>
    <w:p w:rsidR="00163957" w:rsidRDefault="00163957" w:rsidP="00163957">
      <w:pPr>
        <w:pStyle w:val="TextoNormalCentrado"/>
      </w:pPr>
    </w:p>
    <w:p w:rsidR="00163957" w:rsidRDefault="00163957" w:rsidP="00163957">
      <w:pPr>
        <w:pStyle w:val="SntesisDescriptiva"/>
      </w:pPr>
      <w:r>
        <w:t>Recurso de inconstitucionalidad 5009-2013. Interpuesto por el Gobierno de Canarias en relación con diversos preceptos de la Ley 2/2013, de 29 de mayo, de protección y uso sostenible del litoral y de modificación de la Ley 22/1988, de 28 de julio, de costas.</w:t>
      </w:r>
    </w:p>
    <w:p w:rsidR="00163957" w:rsidRDefault="00163957" w:rsidP="00163957">
      <w:pPr>
        <w:pStyle w:val="SntesisDescriptiva"/>
      </w:pPr>
    </w:p>
    <w:p w:rsidR="00163957" w:rsidRDefault="00163957" w:rsidP="00163957">
      <w:pPr>
        <w:pStyle w:val="SntesisAnaltica"/>
      </w:pPr>
      <w:r>
        <w:t>Competencias sobre urbanismo, ordenación del litoral y del territorio; autonomía local: interpretación conforme de los preceptos legales estatales que excluyen determinados núcleos de población del dominio público marítimo terrestre e imponen a las Comunidades Autónomas el deber de elaborar un plan sobre la posible incidencia del cambio climático en el dominio público marítimo-terrestre (SSTC 233/2015 y 28/2016). Voto particular.</w:t>
      </w:r>
    </w:p>
    <w:p w:rsidR="00163957" w:rsidRDefault="00163957" w:rsidP="00163957">
      <w:pPr>
        <w:pStyle w:val="SntesisAnaltica"/>
      </w:pPr>
    </w:p>
    <w:p w:rsidR="00163957" w:rsidRDefault="00163957" w:rsidP="00163957">
      <w:pPr>
        <w:pStyle w:val="Extracto"/>
      </w:pPr>
      <w:r>
        <w:t>1.</w:t>
      </w:r>
      <w:r>
        <w:tab/>
        <w:t>El precepto de la Ley de Costas, que se limita a remitir la concreción de un criterio decisor a una normativa que responda al conocimiento técnico, supone que el desarrollo reglamentario que se haga no es una regulación independiente, sino que está subordinada al significado de dicha regla sustantiva; y examinar si los criterios técnicos que reglamentariamente se fijen se ajustan a la función que les impone, por ser de mera legalidad, es un control que incumbe al juez ordinario (STC 6/2016) [FJ 3 a)].</w:t>
      </w:r>
    </w:p>
    <w:p w:rsidR="00163957" w:rsidRDefault="00163957" w:rsidP="00163957">
      <w:pPr>
        <w:pStyle w:val="Extracto"/>
      </w:pPr>
    </w:p>
    <w:p w:rsidR="00163957" w:rsidRDefault="00163957" w:rsidP="00163957">
      <w:pPr>
        <w:pStyle w:val="Extracto"/>
      </w:pPr>
      <w:r>
        <w:t>2.</w:t>
      </w:r>
      <w:r>
        <w:tab/>
        <w:t>Aplica la doctrina de la STC 233/2015, relativa a que la reserva de ley no impide que las leyes contengan remisiones a normas reglamentarias [FJ 3 a)].</w:t>
      </w:r>
    </w:p>
    <w:p w:rsidR="00163957" w:rsidRDefault="00163957" w:rsidP="00163957">
      <w:pPr>
        <w:pStyle w:val="Extracto"/>
      </w:pPr>
    </w:p>
    <w:p w:rsidR="00163957" w:rsidRDefault="00163957" w:rsidP="00163957">
      <w:pPr>
        <w:pStyle w:val="Extracto"/>
      </w:pPr>
      <w:r>
        <w:t>3.</w:t>
      </w:r>
      <w:r>
        <w:tab/>
        <w:t>Excluir de la zona marítimo-terrestre los terrenos que sean inundados artificial y controladamente no excede el margen otorgado a la ley por la Constitución, pues ésta puede reducir este dominio público de configuración legal [FJ 3 b)].</w:t>
      </w:r>
    </w:p>
    <w:p w:rsidR="00163957" w:rsidRDefault="00163957" w:rsidP="00163957">
      <w:pPr>
        <w:pStyle w:val="Extracto"/>
      </w:pPr>
    </w:p>
    <w:p w:rsidR="00163957" w:rsidRDefault="00163957" w:rsidP="00163957">
      <w:pPr>
        <w:pStyle w:val="Extracto"/>
      </w:pPr>
      <w:r>
        <w:t>4.</w:t>
      </w:r>
      <w:r>
        <w:tab/>
        <w:t>Atribuir a las dunas carácter demanial hasta el límite que resulte necesario para garantizar la estabilidad de la playa y la defensa de la costa es constitucional, ya que utiliza un criterio definitorio de esta realidad que hace posible el cumplimiento de las funciones naturales de protección del litoral [FJ 3 c)].</w:t>
      </w:r>
    </w:p>
    <w:p w:rsidR="00163957" w:rsidRDefault="00163957" w:rsidP="00163957">
      <w:pPr>
        <w:pStyle w:val="Extracto"/>
      </w:pPr>
    </w:p>
    <w:p w:rsidR="00163957" w:rsidRDefault="00163957" w:rsidP="00163957">
      <w:pPr>
        <w:pStyle w:val="Extracto"/>
      </w:pPr>
      <w:r>
        <w:t>5.</w:t>
      </w:r>
      <w:r>
        <w:tab/>
        <w:t>Aplica la doctrina constitucional de la STC 233/2015 sobre la función de las dunas en la protección de las playas [FJ 3 c)].</w:t>
      </w:r>
    </w:p>
    <w:p w:rsidR="00163957" w:rsidRDefault="00163957" w:rsidP="00163957">
      <w:pPr>
        <w:pStyle w:val="Extracto"/>
      </w:pPr>
    </w:p>
    <w:p w:rsidR="00163957" w:rsidRDefault="00163957" w:rsidP="00163957">
      <w:pPr>
        <w:pStyle w:val="Extracto"/>
      </w:pPr>
      <w:r>
        <w:t>6.</w:t>
      </w:r>
      <w:r>
        <w:tab/>
        <w:t xml:space="preserve">El condicionamiento normativo consistente en imponer que la Administración autonómica realice su competencia ejecutiva mediante la técnica de la declaración responsable se encuentra amparado por las competencias estatales </w:t>
      </w:r>
      <w:r w:rsidRPr="00163957">
        <w:rPr>
          <w:i/>
        </w:rPr>
        <w:t>ex</w:t>
      </w:r>
      <w:r>
        <w:t xml:space="preserve"> arts. 149.1.18 y 149.1.23 CE [FJ 4].</w:t>
      </w:r>
    </w:p>
    <w:p w:rsidR="00163957" w:rsidRDefault="00163957" w:rsidP="00163957">
      <w:pPr>
        <w:pStyle w:val="Extracto"/>
      </w:pPr>
    </w:p>
    <w:p w:rsidR="00163957" w:rsidRDefault="00163957" w:rsidP="00163957">
      <w:pPr>
        <w:pStyle w:val="Extracto"/>
      </w:pPr>
      <w:r>
        <w:t>7.</w:t>
      </w:r>
      <w:r>
        <w:tab/>
        <w:t>La previsión de que la Administración autonómica realice su competencia ejecutiva mediante la técnica de la declaración responsable no afecta a sus competencias urbanísticas, pues se distingue de la autorización urbanística, que podrá ser denegada si las obras no se ajustan a los requerimientos urbanísticos [FJ 4].</w:t>
      </w:r>
    </w:p>
    <w:p w:rsidR="00163957" w:rsidRDefault="00163957" w:rsidP="00163957">
      <w:pPr>
        <w:pStyle w:val="Extracto"/>
      </w:pPr>
    </w:p>
    <w:p w:rsidR="00163957" w:rsidRDefault="00163957" w:rsidP="00163957">
      <w:pPr>
        <w:pStyle w:val="Extracto"/>
      </w:pPr>
      <w:r>
        <w:lastRenderedPageBreak/>
        <w:t>8.</w:t>
      </w:r>
      <w:r>
        <w:tab/>
        <w:t>No se invade la competencia autonómica de ejecución en materia de medio ambiente, dado que la disposición recurrida sitúa expresamente ante la Administración autonómica la verificación de estas exigencias ambientales, señalando que la declaración responsable se presentará ante ella [FJ 4].</w:t>
      </w:r>
    </w:p>
    <w:p w:rsidR="00163957" w:rsidRDefault="00163957" w:rsidP="00163957">
      <w:pPr>
        <w:pStyle w:val="Extracto"/>
      </w:pPr>
    </w:p>
    <w:p w:rsidR="00163957" w:rsidRDefault="00163957" w:rsidP="00163957">
      <w:pPr>
        <w:pStyle w:val="Extracto"/>
      </w:pPr>
      <w:r>
        <w:t>9.</w:t>
      </w:r>
      <w:r>
        <w:tab/>
        <w:t xml:space="preserve">El Estado, </w:t>
      </w:r>
      <w:r w:rsidRPr="00163957">
        <w:rPr>
          <w:i/>
        </w:rPr>
        <w:t>ex</w:t>
      </w:r>
      <w:r>
        <w:t xml:space="preserve"> art. 149.1.18 CE, puede imponer un mecanismo concreto de intervención administrativa, ya que tal previsión forma parte de la regulación común uniforme que permite garantizar el tratamiento común de los titulares de derechos sobre la zona de servidumbre y protección (STC 49/2013, FJ 11) [FJ 4].</w:t>
      </w:r>
    </w:p>
    <w:p w:rsidR="00163957" w:rsidRDefault="00163957" w:rsidP="00163957">
      <w:pPr>
        <w:pStyle w:val="Extracto"/>
      </w:pPr>
    </w:p>
    <w:p w:rsidR="00163957" w:rsidRDefault="00163957" w:rsidP="00163957">
      <w:pPr>
        <w:pStyle w:val="Extracto"/>
      </w:pPr>
      <w:r>
        <w:t>10.</w:t>
      </w:r>
      <w:r>
        <w:tab/>
        <w:t>La cuestión planteada sobre el régimen de ocupación y uso de las playas atendiendo a su naturaleza es sustancialmente similar a la decidida por la STC 28/2016 [FJ 5].</w:t>
      </w:r>
    </w:p>
    <w:p w:rsidR="00163957" w:rsidRDefault="00163957" w:rsidP="00163957">
      <w:pPr>
        <w:pStyle w:val="Extracto"/>
      </w:pPr>
    </w:p>
    <w:p w:rsidR="00163957" w:rsidRDefault="00163957" w:rsidP="00163957">
      <w:pPr>
        <w:pStyle w:val="Extracto"/>
      </w:pPr>
      <w:r>
        <w:t>11.</w:t>
      </w:r>
      <w:r>
        <w:tab/>
        <w:t>Debe desestimarse la impugnación del precepto relativo al posible uso de la zona de servicio portuaria a usos distintos a la actividad portuaria, pues no impone al legislador autonómico ningún uso concreto para la zona de servicio de los puertos de su competencia (STC 28/2016) [FJ 6].</w:t>
      </w:r>
    </w:p>
    <w:p w:rsidR="00163957" w:rsidRDefault="00163957" w:rsidP="00163957">
      <w:pPr>
        <w:pStyle w:val="Extracto"/>
      </w:pPr>
    </w:p>
    <w:p w:rsidR="00163957" w:rsidRDefault="00163957" w:rsidP="00163957">
      <w:pPr>
        <w:pStyle w:val="Extracto"/>
      </w:pPr>
      <w:r>
        <w:t>12.</w:t>
      </w:r>
      <w:r>
        <w:tab/>
        <w:t>La cuestión planteada sobre el precepto que permite la suspensión de actos y acuerdos adoptados por las entidades locales que afecten a la integridad del dominio público marítimo terrestre o de la servidumbre de protección es sustancialmente similar a la decidida por las SSTC 6/2016 y 28/2016 [FJ 7].</w:t>
      </w:r>
    </w:p>
    <w:p w:rsidR="00163957" w:rsidRDefault="00163957" w:rsidP="00163957">
      <w:pPr>
        <w:pStyle w:val="Extracto"/>
      </w:pPr>
    </w:p>
    <w:p w:rsidR="00163957" w:rsidRDefault="00163957" w:rsidP="00163957">
      <w:pPr>
        <w:pStyle w:val="Extracto"/>
      </w:pPr>
      <w:r>
        <w:t>13.</w:t>
      </w:r>
      <w:r>
        <w:tab/>
        <w:t>Es constitucional establecer que los titulares de las concesiones deben acreditar, mediante declaración responsable, que las obras que en ellas realicen cumplen los requisitos exigidos, dado que está dictada al amparo de lo establecido en los arts. 149.1.1 y en el art. 149.1.23 CE [FJ 8]. [FJ 8].</w:t>
      </w:r>
    </w:p>
    <w:p w:rsidR="00163957" w:rsidRDefault="00163957" w:rsidP="00163957">
      <w:pPr>
        <w:pStyle w:val="Extracto"/>
      </w:pPr>
    </w:p>
    <w:p w:rsidR="00163957" w:rsidRDefault="00163957" w:rsidP="00163957">
      <w:pPr>
        <w:pStyle w:val="Extracto"/>
      </w:pPr>
      <w:r>
        <w:t>14.</w:t>
      </w:r>
      <w:r>
        <w:tab/>
        <w:t>La cuestión planteada en el presente procedimiento en relación con el precepto que excluye a determinados núcleos de población del dominio público marítimo terrestre ya ha sido resuelta por la STC 233/2015 [FJ 9].</w:t>
      </w:r>
    </w:p>
    <w:p w:rsidR="00163957" w:rsidRDefault="00163957" w:rsidP="00163957">
      <w:pPr>
        <w:pStyle w:val="Extracto"/>
      </w:pPr>
    </w:p>
    <w:p w:rsidR="00163957" w:rsidRDefault="00163957" w:rsidP="00163957">
      <w:pPr>
        <w:pStyle w:val="Extracto"/>
      </w:pPr>
      <w:r>
        <w:t>15.</w:t>
      </w:r>
      <w:r>
        <w:tab/>
        <w:t>La cuestión planteada en el presente procedimiento en relación con el precepto que atribuye al Estado la función de elaborar una estrategia para la adaptación de la costa a los efectos del cambio climático ya ha sido resuelta por la STC 28/2016 [FJ 10].</w:t>
      </w:r>
    </w:p>
    <w:p w:rsidR="00163957" w:rsidRDefault="00163957" w:rsidP="00163957">
      <w:pPr>
        <w:pStyle w:val="Extracto"/>
      </w:pPr>
    </w:p>
    <w:p w:rsidR="00163957" w:rsidRDefault="00163957" w:rsidP="00163957">
      <w:pPr>
        <w:pStyle w:val="Extracto"/>
      </w:pPr>
      <w:r>
        <w:t>16.</w:t>
      </w:r>
      <w:r>
        <w:tab/>
        <w:t>La imposición de plazos, el sometimiento a informes estatales y la prohibición de nuevas construcciones previstos en la disposición impugnada son recto ejercicio de la competencia estatal, y no condicionantes ilegítimos de las atribuciones autonómicas en materia de ordenación del territorio y urbanismo (STC 233/2015) [FJ 11].</w:t>
      </w:r>
    </w:p>
    <w:p w:rsidR="00163957" w:rsidRDefault="00163957" w:rsidP="00163957">
      <w:pPr>
        <w:pStyle w:val="Extracto"/>
      </w:pPr>
    </w:p>
    <w:p w:rsidR="00163957" w:rsidRDefault="00163957" w:rsidP="00163957">
      <w:pPr>
        <w:pStyle w:val="Extracto"/>
      </w:pPr>
      <w:r>
        <w:t>17.</w:t>
      </w:r>
      <w:r>
        <w:tab/>
        <w:t xml:space="preserve">Los efectos que produce el planeamiento vigente son de carácter meramente urbanístico, mientras que la eficacia que se deriva de la disposición impugnada es radicalmente distinta: modula determinados núcleos o áreas el régimen de protección del dominio público marítimo-terrestre, una cuestión sobre la que no había </w:t>
      </w:r>
      <w:r>
        <w:lastRenderedPageBreak/>
        <w:t>ninguna situación consolidada al tiempo que se aprueba la Ley impugnada [FJ 11].</w:t>
      </w:r>
    </w:p>
    <w:p w:rsidR="00163957" w:rsidRDefault="00163957" w:rsidP="00163957">
      <w:pPr>
        <w:pStyle w:val="Extracto"/>
      </w:pPr>
    </w:p>
    <w:p w:rsidR="00163957" w:rsidRDefault="00163957" w:rsidP="00163957">
      <w:pPr>
        <w:pStyle w:val="Extracto"/>
      </w:pPr>
      <w:r>
        <w:t>18.</w:t>
      </w:r>
      <w:r>
        <w:tab/>
        <w:t>Se justifica una intervención como la que diseña el precepto impugnado, que cobra todo su sentido en atención a la titularidad estatal del demanio y el deber de preservación de su integridad, por la necesidad de preservar las características propias de la zona marítimo-terrestre en relación con las repercusiones que el cambio climático puede tener sobre bienes demaniales [FJ 10].</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5009-2013, interpuesto por el Gobierno de Canarias, representado por la Directora General del Servicio Jurídico del Gobierno de Canarias, contra los arts. 1, apartados 2, 8, 12, 16, 38 y 40; disposiciones adicionales cuarta, séptima, octava, novena; disposición transitoria primera; disposición final segunda y anexo de la Ley 2/2013, de 29 de mayo, de protección y uso sostenible del litoral y de modificación de la Ley 22/1988, de 28 de julio. Han comparecido y formulado alegaciones el Gobierno de Canarias, representado por su Letrada, y el Abogado del Estado, en la representación que ostenta. Ha sido Ponente el Magistrado don Juan José González Rivas,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29 de agosto de 2013, la Directora General del Servicio Jurídico del Gobierno de Canarias, en representación del Gobierno de Canarias, interpuso recurso de inconstitucionalidad contra los artículos y disposiciones de la Ley 2/2013, de 29 de mayo, de protección y uso sostenible del litoral y de modificación de la Ley 22/1988, de 28 de julio, de costas (LC), invocados en el encabezamiento de esta resolución.</w:t>
      </w:r>
    </w:p>
    <w:p w:rsidR="00163957" w:rsidRDefault="00163957" w:rsidP="00163957">
      <w:pPr>
        <w:pStyle w:val="TextoNormal"/>
      </w:pPr>
    </w:p>
    <w:p w:rsidR="00163957" w:rsidRDefault="00163957" w:rsidP="00163957">
      <w:pPr>
        <w:pStyle w:val="TextoNormal"/>
      </w:pPr>
      <w:r>
        <w:t xml:space="preserve">La parte actora afirma, con carácter general, que la STC 149/1991, de 4 de julio, al resolver varios recursos de inconstitucionalidad promovidos contra la Ley 22/1988, de 28 de julio, de costas, entre otros, por el propio Gobierno de Canarias, y anular algunos preceptos </w:t>
      </w:r>
      <w:r>
        <w:lastRenderedPageBreak/>
        <w:t>de la norma que habilitaban al Estado para dictar disposiciones que no sólo condicionaban la competencia asumida por las Comunidades Autónomas para la ordenación de su propio territorio, sino que procedían directamente a ordenarlo, nos ofrece unas importantes pautas interpretativas sobre el régimen jurídico del dominio público marítimo terrestre que han de justificar el presente recurso de inconstitucionalidad.</w:t>
      </w:r>
    </w:p>
    <w:p w:rsidR="00163957" w:rsidRDefault="00163957" w:rsidP="00163957">
      <w:pPr>
        <w:pStyle w:val="TextoNormal"/>
      </w:pPr>
    </w:p>
    <w:p w:rsidR="00163957" w:rsidRDefault="00163957" w:rsidP="00163957">
      <w:pPr>
        <w:pStyle w:val="TextoNormal"/>
      </w:pPr>
      <w:r>
        <w:t>En primer lugar, que la titularidad estatal del dominio público y la competencia para determinar las categorías de bienes que lo integran no son criterios de delimitación competencial. En este sentido, las facultades reconocidas al Estado para determinar y aun gestionar determinados usos del demanio y para aprobar planes o programas integrados de obras, no pueden condicionar la actividad de ordenación territorial ni pueden, en modo alguno, pretender ordenar directamente el territorio sustituyendo al titular de esta competencia.</w:t>
      </w:r>
    </w:p>
    <w:p w:rsidR="00163957" w:rsidRDefault="00163957" w:rsidP="00163957">
      <w:pPr>
        <w:pStyle w:val="TextoNormal"/>
      </w:pPr>
    </w:p>
    <w:p w:rsidR="00163957" w:rsidRDefault="00163957" w:rsidP="00163957">
      <w:pPr>
        <w:pStyle w:val="TextoNormal"/>
      </w:pPr>
      <w:r>
        <w:t>En segundo lugar, se afirmó que las Comunidades Autónomas, al ejercitar sus competencias sobre ordenación del territorio y, señaladamente, del litoral, tampoco están legitimadas para adoptar cualquier tipo de decisión que interfiera sobre las facultades estatales relativas al dominio público marítimo-terrestre.</w:t>
      </w:r>
    </w:p>
    <w:p w:rsidR="00163957" w:rsidRDefault="00163957" w:rsidP="00163957">
      <w:pPr>
        <w:pStyle w:val="TextoNormal"/>
      </w:pPr>
    </w:p>
    <w:p w:rsidR="00163957" w:rsidRDefault="00163957" w:rsidP="00163957">
      <w:pPr>
        <w:pStyle w:val="TextoNormal"/>
      </w:pPr>
      <w:r>
        <w:t>Para el Gobierno de Canarias, el sistema de protección de la costa que se articula en la Ley 2/2013, de 29 de mayo, viene a suponer una notable quiebra del sistema de distribución competencial establecido por la Constitución y el Estatuto de Autonomía de Canarias. El Gobierno de Canarias argumenta, además, un reproche de inconstitucionalidad añadido, consistente en que, además de la vulneración del orden competencial, la norma recurrida violenta los principios de igualdad, de seguridad jurídica, de interdicción de la arbitrariedad de los poderes públicos y de irretroactividad de las normas restrictivas de derechos individuales, lesiona el derecho a la tutela judicial efectiva y contraviene el art. 132.2 CE en lo referente a la definición del dominio público marítimo terrestre. Esta argumentación general, en la que se basa el recurso, se traslada luego al examen de cada uno de los preceptos impugnados.</w:t>
      </w:r>
    </w:p>
    <w:p w:rsidR="00163957" w:rsidRDefault="00163957" w:rsidP="00163957">
      <w:pPr>
        <w:pStyle w:val="TextoNormal"/>
      </w:pPr>
    </w:p>
    <w:p w:rsidR="00163957" w:rsidRDefault="00163957" w:rsidP="00163957">
      <w:pPr>
        <w:pStyle w:val="TextoNormal"/>
      </w:pPr>
      <w:r>
        <w:t>a) Recurre el Gobierno de Canarias el artículo primero, apartado 2, de la Ley 2/2013, de 29 de mayo, por el que se modifica el art. 3 de la Ley 22/1988, de 28 de julio, de costas, por vulneración del art. 132.2 CE en relación con el art. 45 CE, y por contravención del principio de seguridad jurídica (art. 9.3 CE). Impugna en concreto (a) el primer párrafo del art. 3.1 a) LC, en cuanto remite la determinación del alcance de la olas en los mayores temporales conocidos a “los criterios técnicos que se establezcan reglamentariamente”, entendiendo el recurrente que este reenvío constituye una deslegalización contraria al art. 132.2 CE; (b) el nuevo párrafo 3 del art. 3.1 a) LC, en la medida que excluye de la zona marítimo-terrestre los “terrenos que sean inundados artificial y controladamente, como consecuencia de obras o instalaciones realizadas al efecto, siempre que antes de la inundación no fueran de dominio público”; y (c) el art. 3.1 b) LC, en tanto que atribuye carácter demanial a las dunas solamente “hasta el límite que resulte necesario para garantizar la estabilidad de la playa y la defensa de la costa”.</w:t>
      </w:r>
    </w:p>
    <w:p w:rsidR="00163957" w:rsidRDefault="00163957" w:rsidP="00163957">
      <w:pPr>
        <w:pStyle w:val="TextoNormal"/>
      </w:pPr>
    </w:p>
    <w:p w:rsidR="00163957" w:rsidRDefault="00163957" w:rsidP="00163957">
      <w:pPr>
        <w:pStyle w:val="TextoNormal"/>
      </w:pPr>
      <w:r>
        <w:t xml:space="preserve">b) Se impugna también el artículo primero, apartado 8, de la Ley 2/2013, de 29 de mayo, por el que se introduce un art. 13 </w:t>
      </w:r>
      <w:r w:rsidRPr="00163957">
        <w:rPr>
          <w:i/>
        </w:rPr>
        <w:t>bis</w:t>
      </w:r>
      <w:r>
        <w:t xml:space="preserve"> a la Ley 22/1988, de 28 de julio, de costas, por vulnerar la competencia autonómica en materia urbanística y de protección del medio ambiente.</w:t>
      </w:r>
    </w:p>
    <w:p w:rsidR="00163957" w:rsidRDefault="00163957" w:rsidP="00163957">
      <w:pPr>
        <w:pStyle w:val="TextoNormal"/>
      </w:pPr>
    </w:p>
    <w:p w:rsidR="00163957" w:rsidRDefault="00163957" w:rsidP="00163957">
      <w:pPr>
        <w:pStyle w:val="TextoNormal"/>
      </w:pPr>
      <w:r>
        <w:lastRenderedPageBreak/>
        <w:t>El Gobierno de Canarias considera que el último párrafo del apartado 3 de este art. 13 bis LC impone a las Administraciones autonómicas, a través de la expresión “deberán acreditarse … mediante una declaración responsable”, un concreto título de intervención administrativa, invadiendo así la competencia autonómica en materia de ordenación del territorio y del litoral, urbanismo y vivienda [art. 30.15 del Estatuto de Autonomía de Canarias (EACan)], además de la de desarrollo legislativo y ejecución en materia de protección del medio ambiente (art. 32.12 del EACan).</w:t>
      </w:r>
    </w:p>
    <w:p w:rsidR="00163957" w:rsidRDefault="00163957" w:rsidP="00163957">
      <w:pPr>
        <w:pStyle w:val="TextoNormal"/>
      </w:pPr>
    </w:p>
    <w:p w:rsidR="00163957" w:rsidRDefault="00163957" w:rsidP="00163957">
      <w:pPr>
        <w:pStyle w:val="TextoNormal"/>
      </w:pPr>
      <w:r>
        <w:t>c) Para el Gobierno de Canarias el artículo primero, apartado 12, de la Ley 2/2013, de 29 de mayo, por el que se introduce un apartado 6 al artículo 33 de la Ley 22/1988, de 28 de julio, de costas, es inconstitucional por vulneración de la competencia autonómica sobre ordenación del territorio y del litoral.</w:t>
      </w:r>
    </w:p>
    <w:p w:rsidR="00163957" w:rsidRDefault="00163957" w:rsidP="00163957">
      <w:pPr>
        <w:pStyle w:val="TextoNormal"/>
      </w:pPr>
    </w:p>
    <w:p w:rsidR="00163957" w:rsidRDefault="00163957" w:rsidP="00163957">
      <w:pPr>
        <w:pStyle w:val="TextoNormal"/>
      </w:pPr>
      <w:r>
        <w:t>La demanda hace valer tres motivos, todos ellos de carácter competencial. En primer lugar, los recurrentes sostienen que “la nueva regulación … por lo que se refiere a los tramos urbanos de playas, permite autorizar un concreto uso en los eventos de interés general con repercusión turística. Esta regulación no encuentra amparo en los títulos competenciales invocados además de suponer vulneración de las competencias autonómicas recogidas en el art. 30.15 EAC”. El siguiente reproche de inconstitucionalidad, parcialmente coincidente con el anterior, se dirige a la remisión a la potestad reglamentaria del régimen de usos de las playas, argumentando los recurrentes que “el art. 33.6 [LC] contiene una habilitación genérica para que por medio de un reglamento estatal se establezca el régimen de usos de las playas”. El último motivo formulado en la demanda para sostener la impugnación de este precepto es que, a juicio de los recurrentes, “es reprochable desde la perspectiva constitucional la pretendida competencia reglamentaria estatal para deslindar los tramos urbanos de los naturales, pues tal intervención resultaría inseparable de la competencia para clasificar los suelos colindantes como urbanizados o no urbanizados”, con lo que se vulnera la competencia autonómica en materia urbanística.</w:t>
      </w:r>
    </w:p>
    <w:p w:rsidR="00163957" w:rsidRDefault="00163957" w:rsidP="00163957">
      <w:pPr>
        <w:pStyle w:val="TextoNormal"/>
      </w:pPr>
    </w:p>
    <w:p w:rsidR="00163957" w:rsidRDefault="00163957" w:rsidP="00163957">
      <w:pPr>
        <w:pStyle w:val="TextoNormal"/>
      </w:pPr>
      <w:r>
        <w:t>d) El Gobierno de Canarias afirma la inconstitucionalidad del art. 1.16, de la Ley 2/2013, de 29 de mayo, por el que se añade un nuevo apartado 4 al art. 49 de la Ley 22/1988, de 28 de julio, de costas, por vulneración de la competencia autonómica para el desarrollo de su política portuaria.</w:t>
      </w:r>
    </w:p>
    <w:p w:rsidR="00163957" w:rsidRDefault="00163957" w:rsidP="00163957">
      <w:pPr>
        <w:pStyle w:val="TextoNormal"/>
      </w:pPr>
    </w:p>
    <w:p w:rsidR="00163957" w:rsidRDefault="00163957" w:rsidP="00163957">
      <w:pPr>
        <w:pStyle w:val="TextoNormal"/>
      </w:pPr>
      <w:r>
        <w:t>Los recurrentes sostienen que “la modificación legislativa contempla una auténtica regulación de los usos en las zonas de servicio portuarias de los bienes adscritos que supone una clara invasión de las competencias de la Comunidad Autónoma de Canarias en relación con los puertos que no tengan la calificación de interés general, puertos de refugio, pesqueros y deportivos (art 30.22 del EAC)”. Y añaden que “esta modificación legal se ampara en el título competencial del Estado recogido en el art. 149.1.18 CE: legislación básica sobre contratos y concesiones administrativas, título competencial que no enerva ni desplaza el que ostenta la Comunidad Autónoma en relación con el desarrollo de su política portuaria”.</w:t>
      </w:r>
    </w:p>
    <w:p w:rsidR="00163957" w:rsidRDefault="00163957" w:rsidP="00163957">
      <w:pPr>
        <w:pStyle w:val="TextoNormal"/>
      </w:pPr>
    </w:p>
    <w:p w:rsidR="00163957" w:rsidRDefault="00163957" w:rsidP="00163957">
      <w:pPr>
        <w:pStyle w:val="TextoNormal"/>
      </w:pPr>
      <w:r>
        <w:t>e) También, el Gobierno de Canarias afirma la inconstitucionalidad del artículo primero, apartado 38, de la Ley 2/2013, de 29 de mayo, por el cual, el actual párrafo del art. 119 de la Ley 22/1988, de 28 de julio, de costas, pasa a ser el apartado 1 y se introduce un nuevo apartado 2 en dicho precepto, por vulneración de la autonomía local.</w:t>
      </w:r>
    </w:p>
    <w:p w:rsidR="00163957" w:rsidRDefault="00163957" w:rsidP="00163957">
      <w:pPr>
        <w:pStyle w:val="TextoNormal"/>
      </w:pPr>
    </w:p>
    <w:p w:rsidR="00163957" w:rsidRDefault="00163957" w:rsidP="00163957">
      <w:pPr>
        <w:pStyle w:val="TextoNormal"/>
      </w:pPr>
      <w:r>
        <w:lastRenderedPageBreak/>
        <w:t>f) La parte recurrente afirma la inconstitucionalidad del art. 1.40 de la Ley 2/2013, de 29 de mayo, en la medida que introduce en la disposición transitoria cuarta de la Ley 22/1988, de 28 de julio, de costas un nuevo apartado 3, por vulneración de las competencias autonómicas en materia urbanística y de protección del medio ambiente, predicando también la inconstitucionalidad de la disposición final segunda de la referida Ley 2/2013, de 29 de mayo.</w:t>
      </w:r>
    </w:p>
    <w:p w:rsidR="00163957" w:rsidRDefault="00163957" w:rsidP="00163957">
      <w:pPr>
        <w:pStyle w:val="TextoNormal"/>
      </w:pPr>
    </w:p>
    <w:p w:rsidR="00163957" w:rsidRDefault="00163957" w:rsidP="00163957">
      <w:pPr>
        <w:pStyle w:val="TextoNormal"/>
      </w:pPr>
      <w:r>
        <w:t>g) El Gobierno de Canarias afirma que las reglas especiales de delimitación del demanio costero para la Isla de Formentera (disposición adicional cuarta de la Ley 2/2013) y la exclusión de determinados núcleos de población del dominio público marítimo terrestre (disposición adicional séptima y anexo de la Ley 2/2013) vulneran el art. 132 CE, así como los principios de igualdad, seguridad jurídica e interdicción de la arbitrariedad, previstos en los arts. 14 y 9.3 CE.</w:t>
      </w:r>
    </w:p>
    <w:p w:rsidR="00163957" w:rsidRDefault="00163957" w:rsidP="00163957">
      <w:pPr>
        <w:pStyle w:val="TextoNormal"/>
      </w:pPr>
    </w:p>
    <w:p w:rsidR="00163957" w:rsidRDefault="00163957" w:rsidP="00163957">
      <w:pPr>
        <w:pStyle w:val="TextoNormal"/>
      </w:pPr>
      <w:r>
        <w:t>h) La demanda afirma la inconstitucionalidad de la disposición adicional octava de la Ley 2/2013, de 29 de mayo, en lo relativo al informe sobre las posibles incidencias del cambio climático en el dominio público marítimo terrestre, por vulneración de la competencia autonómica de desarrollo legislativo y ejecución en materia de medio ambiente.</w:t>
      </w:r>
    </w:p>
    <w:p w:rsidR="00163957" w:rsidRDefault="00163957" w:rsidP="00163957">
      <w:pPr>
        <w:pStyle w:val="TextoNormal"/>
      </w:pPr>
    </w:p>
    <w:p w:rsidR="00163957" w:rsidRDefault="00163957" w:rsidP="00163957">
      <w:pPr>
        <w:pStyle w:val="TextoNormal"/>
      </w:pPr>
      <w:r>
        <w:t>El Gobierno de Canarias impugna esta disposición “por cuanto la misma desconoce las competencias de la Comunidad Autónoma de desarrollo legislativo y ejecución en materia de medio ambiente (art. 32.12 EAC)”. Afirma, de un lado, que “la regulación legal que ahora se cuestiona, en su apartado primero, en la medida en que reserva al Estado, sin la participación de las Comunidades Autónomas, la función de elaborar una estrategia para la adaptación a la costa a los efectos del cambio climático vulnera el sistema de distribución competencial desconociendo la necesaria coordinación que debe existir entre las Administraciones Públicas que ostentan competencias concurrentes sobre un mismo espacio físico”. La demanda razona, respecto a la otra impugnación, que se dirige respecto del apartado segundo de esta disposición, referida a “las Comunidades Autónomas a las que se hayan adscrito terrenos de dominio público marítimo-terrestre”, que “la exigencia de una evaluación estratégica de las costas españolas a fin de valorar los efectos del cambio climático no impide que, en el ámbito competencial que le es propio, la Comunidad Autónoma, pueda elaborarlo y aprobarlo, por lo que no se justifica que esa aprobación corresponda al Estado. Por tanto, este apartado 2 es inconstitucional en cuanto prevé que la aprobación del plan autonómico corresponda a la Administración estatal”.</w:t>
      </w:r>
    </w:p>
    <w:p w:rsidR="00163957" w:rsidRDefault="00163957" w:rsidP="00163957">
      <w:pPr>
        <w:pStyle w:val="TextoNormal"/>
      </w:pPr>
    </w:p>
    <w:p w:rsidR="00163957" w:rsidRDefault="00163957" w:rsidP="00163957">
      <w:pPr>
        <w:pStyle w:val="TextoNormal"/>
      </w:pPr>
      <w:r>
        <w:t>i) La parte recurrente afirma la inconstitucionalidad de la disposición adicional novena de la Ley 2/2013, de 29 de mayo, sobre garantía del funcionamiento temporal de determinadas instalaciones de depuración, por vulneración de los arts. 24, 117.3, 118 y 9.3 CE.</w:t>
      </w:r>
    </w:p>
    <w:p w:rsidR="00163957" w:rsidRDefault="00163957" w:rsidP="00163957">
      <w:pPr>
        <w:pStyle w:val="TextoNormal"/>
      </w:pPr>
    </w:p>
    <w:p w:rsidR="00163957" w:rsidRDefault="00163957" w:rsidP="00163957">
      <w:pPr>
        <w:pStyle w:val="TextoNormal"/>
      </w:pPr>
      <w:r>
        <w:t>j) Finalmente, la demanda afirma la inconstitucionalidad de la disposición transitoria primera de la Ley 2/2013, de 29 de mayo, sobre aplicación de la disposición transitoria tercera, apartado 3, de la Ley 22/1988, de 28 de julio, de costas, por vulneración de las competencias autonómicas de ordenación del territorio y del litoral y de urbanismo, así como de los principios de seguridad jurídica y de irretroactividad de las normas restrictivas de derechos individuales.</w:t>
      </w:r>
    </w:p>
    <w:p w:rsidR="00163957" w:rsidRDefault="00163957" w:rsidP="00163957">
      <w:pPr>
        <w:pStyle w:val="TextoNormal"/>
      </w:pPr>
    </w:p>
    <w:p w:rsidR="00163957" w:rsidRDefault="00163957" w:rsidP="00163957">
      <w:pPr>
        <w:pStyle w:val="TextoNormal"/>
      </w:pPr>
      <w:r>
        <w:lastRenderedPageBreak/>
        <w:t>El recurrente sostiene que el régimen establecido en este precepto se vincula a conceptos urbanísticos, de donde deriva que incurre en extralimitación competencial porque esta regulación se incardina en la competencia autonómica sobre urbanismo, recordando que la Comunidad Autónoma de Canarias, en ejercicio de la misma (30.15 EACan), ha dictado la Ley 7/2009, de 6 de mayo, de modificación del texto refundido de las Leyes de ordenación del territorio de Canarias y de espacios naturales de Canarias sobre declaración y ordenación de áreas urbanas en el litoral canario, que ha dispuesto un régimen similar. También considera, por conexión, que el señalamiento de un plazo para la delimitación por la Administración urbanística de los núcleos o áreas afectados (apartados 1 y 2), la necesidad de informe estatal vinculante (apartados 2 y 3) y la prohibición de nuevas construcciones (apartado 4) inciden en esta misma lesión competencial.</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8 de octubre de 2013, el Pleno de este Tribunal acordó admitir a trámite el recurso de inconstitucionalidad y dar traslado de la demanda y documentos presentados al Congreso de los Diputados y al Senado, por conducto de sus Presidentes, y al Gobierno, a través del Ministro de Justicia, al objeto de que en el plazo de quince días pudieran personarse en el procedimiento y formular las alegaciones que estimaran convenientes. Asimismo, se acordó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Mediante escrito presentado el 23 de octubre de 2013, el Presidente del Congreso de los Diputados comunicó que la Mesa de la Cámara, en reunión de 22 de octubre de 2013, acordó que se tuviera por personada a esta Cámara en el procedimiento, por ofrecida su colaboración a los efectos del art. 88.1 de la Ley Orgánica del Tribunal Constitucional (LOTC) y remitir la documentación a la Dirección de Estudios, Análisis y Publicaciones y a la asesoría jurídica de la Secretaría General. Por escrito presentado el 22 de octubre de 2013, el Presidente del Senado comunicó que la Mesa de la Cámara, en reunión de 22 de octubre de 2013, acordó que se tuviera por personada a esta Cámara en el procedimiento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4</w:t>
      </w:r>
      <w:r>
        <w:t>. Por escrito presentado el 18 de noviembre de 2013, el Abogado del Estado presentó escrito de alegaciones, solicitando la desestimación íntegra del recurso. El Abogado del Estado considera que el recurso se basa en una concepción constitucionalmente autosuficiente del dominio público marítimo-terrestre mismo y de las partes de este que se enumeran en el art. 132.2 CE. El análisis de la STC 149/1991, de 4 de julio (FJ 2), permite constatar que la Ley de costas se encargó de concretar y determinar aquello que es zona marítimo-terrestre y playa, estableciendo criterios detallados que dotan de contenido jurídico a aquellos conceptos. Considera que, aunque estos conceptos no pueden apartarse de su valor léxico, la mera mención constitucional de “zona marítimo-terrestre” y “playa” no es suficiente para fijar su concreta extensión. Por este motivo, la ley, sin separarse ni distorsionar lo que comúnmente se entiende por playa y zona marítimo-terrestre, debe concretar el alcance técnico y material de estos conceptos. En este sentido, considera que los términos de la reserva constitucional de ley contenida en el art. 132.2 CE llevan implícito cierto margen de libertad para que el legislador determine razonablemente estos conceptos del modo más adecuado a los fines y objetivos que lícitamente se proponga o a las necesidades sociales que hayan de satisfacerse.</w:t>
      </w:r>
    </w:p>
    <w:p w:rsidR="00163957" w:rsidRDefault="00163957" w:rsidP="00163957">
      <w:pPr>
        <w:pStyle w:val="TextoNormal"/>
      </w:pPr>
    </w:p>
    <w:p w:rsidR="00163957" w:rsidRDefault="00163957" w:rsidP="00163957">
      <w:pPr>
        <w:pStyle w:val="TextoNormal"/>
      </w:pPr>
      <w:r>
        <w:lastRenderedPageBreak/>
        <w:t>Sobre los principios del art. 9.3 CE, tras recordar la doctrina sentada en la STC 128/2009, de 1 de junio (FJ 3), a propósito de la interdicción de la arbitrariedad de los poderes públicos, considera que no puede identificarse arbitrariedad con opción del legislador sobre una determinada visión del ámbito de la realidad que se pretende regular, siempre que esta opción no implique discriminación. Acerca del significado constitucional del principio de seguridad jurídica referido al ejercicio de la potestad legislativa, cita la doctrina de la STC 90/2009, de 20 de abril (FJ 4), para concluir que nos encontramos ante el ejercicio de una opción por parte del legislador cuyas legítimas finalidades, tal y como se desprende con claridad del preámbulo de la Ley impugnada, son la protección del litoral y la seguridad jurídica. A continuación, procede a rebatir, precepto por precepto, cada una de las impugnaciones realizadas.</w:t>
      </w:r>
    </w:p>
    <w:p w:rsidR="00163957" w:rsidRDefault="00163957" w:rsidP="00163957">
      <w:pPr>
        <w:pStyle w:val="TextoNormal"/>
      </w:pPr>
    </w:p>
    <w:p w:rsidR="00163957" w:rsidRDefault="00163957" w:rsidP="00163957">
      <w:pPr>
        <w:pStyle w:val="TextoNormal"/>
      </w:pPr>
      <w:r>
        <w:t>a) Sobre el artículo primero, apartado 2, de la Ley 2/2013, de 29 de mayo, por el que se modifica el art. 3 de la Ley 22/1988, de 28 de julio, de costas, que se impugna por vulneración del art. 132.2 CE en relación con el art. 45 CE y por contravención del principio de seguridad jurídica (art. 9.3 CE), considera que el reglamento es el instrumento idóneo para fijar criterios técnicos que, por su complejidad, no son materia propia de la ley. Afirma que la reforma resuelve en el mismo sentido que determinó el Tribunal Supremo en alguna ocasión en la que consideró que no formaba parte del dominio público marítimo terrestre un terreno que no es naturalmente inundable, tal y como señala expresamente el primer inciso del art. 6.2 del Reglamento general para desarrollo y ejecución de la Ley 22/1988, de 28 de julio, de costas, aprobado por Real Decreto 1471/1989, de 1 de diciembre. Finalmente considera que, ni en el concepto de playa, ni en el de duna, existe restricción alguna en relación a la regulación de la Ley 22/1988, de 28 de julio, sino que, al contrario, se incorpora a esta el criterio, que hasta ahora aparecía en el art. 4 d) del Reglamento.</w:t>
      </w:r>
    </w:p>
    <w:p w:rsidR="00163957" w:rsidRDefault="00163957" w:rsidP="00163957">
      <w:pPr>
        <w:pStyle w:val="TextoNormal"/>
      </w:pPr>
    </w:p>
    <w:p w:rsidR="00163957" w:rsidRDefault="00163957" w:rsidP="00163957">
      <w:pPr>
        <w:pStyle w:val="TextoNormal"/>
      </w:pPr>
      <w:r>
        <w:t xml:space="preserve">b) En relación con el artículo primero, apartado 8, de la Ley 2/2013, de 29 de mayo, por el que se introduce el art. 13 </w:t>
      </w:r>
      <w:r w:rsidRPr="00163957">
        <w:rPr>
          <w:i/>
        </w:rPr>
        <w:t>bis</w:t>
      </w:r>
      <w:r>
        <w:t xml:space="preserve"> de la Ley 22/1988, de 28 de julio, de costas, que se impugna por cuanto vulnera las competencias autonómicas en materia urbanística y de protección del medio ambiente, el Abogado del Estado afirma que las limitaciones y condiciones establecidas se imponen con la finalidad de proteger el dominio público marítimo-terrestre, resultando, a su juicio, palmario el respeto de la competencia urbanística autonómica.</w:t>
      </w:r>
    </w:p>
    <w:p w:rsidR="00163957" w:rsidRDefault="00163957" w:rsidP="00163957">
      <w:pPr>
        <w:pStyle w:val="TextoNormal"/>
      </w:pPr>
    </w:p>
    <w:p w:rsidR="00163957" w:rsidRDefault="00163957" w:rsidP="00163957">
      <w:pPr>
        <w:pStyle w:val="TextoNormal"/>
      </w:pPr>
      <w:r>
        <w:t>c) Sobre la impugnación del artículo primero, apartado 40, de la Ley 2/2013, de 29 de mayo, por el que se modifican las letras a), b) y c) del apartado 2 de la disposición transitoria cuarta de la Ley 22/1988, de 28 de julio, de costas y se introduce en la misma un nuevo apartado 3, por vulneración de las competencias autonómicas en materia urbanística y de protección del medio ambiente, predicándose también la inconstitucionalidad de la disposición final segunda de la referida Ley 2/2013, de 29 de mayo, sostiene el Abogado del Estado que la disposición transitoria cuarta no solo se refiere a las obras que se realizan en las edificaciones sitas en la zona de servidumbre de protección, sino que también a las obras que ocupan terrenos de dominio público mientras la concesión esté en vigor [apartado 2, letra a)], respecto de las cuales no cabe duda de que la legislación estatal puede imponer a sus concesionarios la obligación de que las limitaciones y condiciones de referencia se acrediten por medio de una declaración responsable a presentar ante la propia Administración General del Estado como trámite previo a la autorización urbanística de la obra por el organismo competente.</w:t>
      </w:r>
    </w:p>
    <w:p w:rsidR="00163957" w:rsidRDefault="00163957" w:rsidP="00163957">
      <w:pPr>
        <w:pStyle w:val="TextoNormal"/>
      </w:pPr>
    </w:p>
    <w:p w:rsidR="00163957" w:rsidRDefault="00163957" w:rsidP="00163957">
      <w:pPr>
        <w:pStyle w:val="TextoNormal"/>
      </w:pPr>
      <w:r>
        <w:lastRenderedPageBreak/>
        <w:t>d) Respecto de la impugnación del artículo primero, apartado 12, de la Ley 2/2013, de 29 de mayo, por el que se introduce un nuevo apartado 6 en el artículo 33.6 de la Ley 22/1988, de 28 de julio, de costas, que se considera inconstitucional por vulneración de la competencia autonómica sobre ordenación del territorio y del litoral, el Abogado del Estado da por reproducido parte del fundamento jurídico 4 de la STC 149/1991, de 4 de julio, del que colige que el Estado tiene competencia sobre la gestión del dominio público marítimo-terrestre y está habilitado para establecer limitaciones, sea como titular del demanio, sea en uso de la competencia para establecer la legislación básica sobre medio ambiente.</w:t>
      </w:r>
    </w:p>
    <w:p w:rsidR="00163957" w:rsidRDefault="00163957" w:rsidP="00163957">
      <w:pPr>
        <w:pStyle w:val="TextoNormal"/>
      </w:pPr>
    </w:p>
    <w:p w:rsidR="00163957" w:rsidRDefault="00163957" w:rsidP="00163957">
      <w:pPr>
        <w:pStyle w:val="TextoNormal"/>
      </w:pPr>
      <w:r>
        <w:t>e) En relación con la impugnación del art. 1.16 de la Ley 2/2013, de 29 de mayo, por el que se introduce un nuevo apartado 4 en el artículo 49 de la Ley 22/1988, de costas, de 28 de julio, que se impugna por vulneración de la competencia autonómica para el desarrollo de su política portuaria, el Abogado del Estado señala que las competencias autonómicas en materia de puertos y de ordenación del territorio quedan incólumes.</w:t>
      </w:r>
    </w:p>
    <w:p w:rsidR="00163957" w:rsidRDefault="00163957" w:rsidP="00163957">
      <w:pPr>
        <w:pStyle w:val="TextoNormal"/>
      </w:pPr>
    </w:p>
    <w:p w:rsidR="00163957" w:rsidRDefault="00163957" w:rsidP="00163957">
      <w:pPr>
        <w:pStyle w:val="TextoNormal"/>
      </w:pPr>
      <w:r>
        <w:t>f) En el análisis de la impugnación del art. 1.38 de la Ley 2/2013, por el que se introduce un nuevo art. 119.2 de la Ley 22/1988, de 28 de julio, de costas, el Abogado del Estado señala que el control previsto en el art. 67 de la Ley 7/1985, de 2 de abril, de bases del régimen local, es un control de legalidad que se activa por motivos de gravedad y urgencia que, por su propia naturaleza, hacen que este mecanismo de control deba ser excepcional.</w:t>
      </w:r>
    </w:p>
    <w:p w:rsidR="00163957" w:rsidRDefault="00163957" w:rsidP="00163957">
      <w:pPr>
        <w:pStyle w:val="TextoNormal"/>
      </w:pPr>
    </w:p>
    <w:p w:rsidR="00163957" w:rsidRDefault="00163957" w:rsidP="00163957">
      <w:pPr>
        <w:pStyle w:val="TextoNormal"/>
      </w:pPr>
      <w:r>
        <w:t>g) Sobre la impugnación de la disposición adicional cuarta de la Ley 2/2013, que regula el deslinde de la isla de Formentera, por vulnerar el art. 132 CE y los principios de igualdad, seguridad jurídica e interdicción de la arbitrariedad (arts. 14 y 9.3 CE), el Abogado del Estado señala que el presupuesto que justifica que se establezca esta regla especial son las condiciones físicas y geomorfológicas de la isla, lo cual no implica una vulneración del art. 132.2 CE.</w:t>
      </w:r>
    </w:p>
    <w:p w:rsidR="00163957" w:rsidRDefault="00163957" w:rsidP="00163957">
      <w:pPr>
        <w:pStyle w:val="TextoNormal"/>
      </w:pPr>
    </w:p>
    <w:p w:rsidR="00163957" w:rsidRDefault="00163957" w:rsidP="00163957">
      <w:pPr>
        <w:pStyle w:val="TextoNormal"/>
      </w:pPr>
      <w:r>
        <w:t xml:space="preserve">h) En relación con la impugnación de la disposición adicional séptima y del anexo de la Ley 2/2013, por vulneración del art. 132 CE y de los principios de igualdad, seguridad jurídica e interdicción de la arbitrariedad </w:t>
      </w:r>
      <w:r w:rsidRPr="00163957">
        <w:rPr>
          <w:i/>
        </w:rPr>
        <w:t>ex</w:t>
      </w:r>
      <w:r>
        <w:t xml:space="preserve"> arts. 14 y 9.3 CE, el Abogado del Estado señala que el legislador ofrece motivos concretos que justifican su decisión en el preámbulo legal, niega que haya contradicción alguna entre la parte expositiva y dispositiva de la norma, y afirma que ninguno de los núcleos en Canarias se halla en la misma situación.</w:t>
      </w:r>
    </w:p>
    <w:p w:rsidR="00163957" w:rsidRDefault="00163957" w:rsidP="00163957">
      <w:pPr>
        <w:pStyle w:val="TextoNormal"/>
      </w:pPr>
    </w:p>
    <w:p w:rsidR="00163957" w:rsidRDefault="00163957" w:rsidP="00163957">
      <w:pPr>
        <w:pStyle w:val="TextoNormal"/>
      </w:pPr>
      <w:r>
        <w:t>i) En el tema concerniente a la impugnación de la disposición adicional octava de la Ley 2/2013, de 29 de mayo, en lo relativo al informe sobre las posibles incidencias del cambio climático en el dominio público marítimo terrestre, por vulneración de la competencia autonómica de desarrollo legislativo y ejecución en materia de medio ambiente, el Abogado del Estado señala que, si resulta indiscutible que el Estado tiene competencia sobre la gestión del dominio público marítimo-terrestre, será forzoso admitir que podrá realizar el referido informe. Además, considera que la participación autonómica queda garantizada.</w:t>
      </w:r>
    </w:p>
    <w:p w:rsidR="00163957" w:rsidRDefault="00163957" w:rsidP="00163957">
      <w:pPr>
        <w:pStyle w:val="TextoNormal"/>
      </w:pPr>
    </w:p>
    <w:p w:rsidR="00163957" w:rsidRDefault="00163957" w:rsidP="00163957">
      <w:pPr>
        <w:pStyle w:val="TextoNormal"/>
      </w:pPr>
      <w:r>
        <w:t>j) Sobre la impugnación de la disposición adicional novena de la Ley 2/2013, de 29 de mayo, por vulneración de los arts. 24, 117.3, 118 y 9.3 CE, el Abogado del Estado señala que estamos ante el ejercicio de la competencia del Estado para determinar supuestos de suspensión de sentencias judiciales siempre y cuando exista suficiente justificación, como aquí sucede.</w:t>
      </w:r>
    </w:p>
    <w:p w:rsidR="00163957" w:rsidRDefault="00163957" w:rsidP="00163957">
      <w:pPr>
        <w:pStyle w:val="TextoNormal"/>
      </w:pPr>
    </w:p>
    <w:p w:rsidR="00163957" w:rsidRDefault="00163957" w:rsidP="00163957">
      <w:pPr>
        <w:pStyle w:val="TextoNormal"/>
      </w:pPr>
      <w:r>
        <w:t>k) La impugnación de la disposición transitoria primera de la Ley 2/2013, de 29 de mayo, por vulneración de las competencias autonómicas de ordenación del territorio y del litoral y de urbanismo, así como de los principios de seguridad jurídica y de irretroactividad de las normas restrictivas de derechos individuales, es rechazada por el Abogado del Estado, ya que lo que hace la disposición transitoria primera impugnada es elevar a rango legal una previsión ya existente en el reglamento, ampliándola para asegurar la adecuada igualdad entre los particulares afectados por situaciones que expresamente no se encontraban incorporadas a la norma, manteniendo la necesaria delimitación por la Administración urbanística competente, como ya preveía la normativa anterior validada por el Tribunal Constitucional, y que era respetuosa del orden constitucional de distribución de competencias.</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15 de marzo de 2016, se señaló para deliberación y votación de la presente Sentencia el día 17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inconstitucionalidad se interpone por el Gobierno de Canarias contra el art. 1, apartados 2, 8, 12, 16, 38 y 40; las disposiciones adicionales cuarta, séptima, octava y novena; la disposición transitoria primera; y el anexo de la Ley 2/2013, de 29 de mayo, de protección y uso sostenible del litoral y de modificación de la Ley 22/1988, de 28 de julio, de costas. En lo sucesivo, las normas afectadas se citarán como Ley 2/2013, (LC 1988, cuando se aluda al texto anterior a la reforma y LC, cuando se trate del texto vigente tras la reforma). El alcance de cada impugnación, tanto en cuanto al contenido del precepto como respecto de los argumentos del recurrente y del Abogado del Estado, será delimitado en el momento de abordar el análisis pormenorizado de cada precepto.</w:t>
      </w:r>
    </w:p>
    <w:p w:rsidR="00163957" w:rsidRDefault="00163957" w:rsidP="00163957">
      <w:pPr>
        <w:pStyle w:val="TextoNormal"/>
      </w:pPr>
    </w:p>
    <w:p w:rsidR="00163957" w:rsidRDefault="00163957" w:rsidP="00163957">
      <w:pPr>
        <w:pStyle w:val="TextoNormal"/>
      </w:pPr>
      <w:r w:rsidRPr="00163957">
        <w:rPr>
          <w:rStyle w:val="NumeroAFNegritaCaracter"/>
        </w:rPr>
        <w:t>2</w:t>
      </w:r>
      <w:r>
        <w:t>. Procede determinar los parámetros de constitucionalidad de los que hemos de servirnos para enjuiciar las impugnaciones formuladas. Salvo la impugnación del art. 119.2 LC, cuyo parámetro de control es la autonomía local constitucionalmente garantizada, a cuya configuración en la doctrina de este Tribunal aludiremos a su tiempo, el resto de impugnaciones tienen carácter competencial o gravitan alrededor de cómo vinculan los arts. 132 y 45 CE la delimitación legal del demanio costero. Este segundo orden de cuestiones debe resolverse con arreglo a la doctrina recogida en la STC 149/1991, de 4 de julio (que enjuició la LC 1988) y en la STC 233/2015, que se ha ocupado precisamente de la Ley 2/2013.</w:t>
      </w:r>
    </w:p>
    <w:p w:rsidR="00163957" w:rsidRDefault="00163957" w:rsidP="00163957">
      <w:pPr>
        <w:pStyle w:val="TextoNormal"/>
      </w:pPr>
    </w:p>
    <w:p w:rsidR="00163957" w:rsidRDefault="00163957" w:rsidP="00163957">
      <w:pPr>
        <w:pStyle w:val="TextoNormal"/>
      </w:pPr>
      <w:r>
        <w:t>Respecto a la dimensión competencial, el art. 30.15 del Estatuto de Autonomía de Canarias (EACan) atribuye a Canarias competencia sobre ordenación del territorio. Ninguna duda cabe sobre la pertenencia del litoral al territorio [STC 141/1991, de 4 de julio, FJ 1 a)], de modo que es competencia autonómica la ordenación territorial del demanio costero. Esta atribución que “tiene por objeto la actividad consistente en la delimitación de los diversos usos a que pueda destinarse el suelo o espacio físico territorial” “no puede entenderse en términos tan absolutos que elimine o destruya las competencias que la propia Constitución reserva al Estado, aunque el uso que éste haga de ellas condicione necesariamente la ordenación del territorio” [STC 141/1991, FJ 1 b)].</w:t>
      </w:r>
    </w:p>
    <w:p w:rsidR="00163957" w:rsidRDefault="00163957" w:rsidP="00163957">
      <w:pPr>
        <w:pStyle w:val="TextoNormal"/>
      </w:pPr>
    </w:p>
    <w:p w:rsidR="00163957" w:rsidRDefault="00163957" w:rsidP="00163957">
      <w:pPr>
        <w:pStyle w:val="TextoNormal"/>
      </w:pPr>
      <w:r>
        <w:lastRenderedPageBreak/>
        <w:t>a) Este condicionamiento legítimo a la competencia autonómica de ordenación del territorio nace, de un lado, de la titularidad estatal del demanio costero (art. 132.2 CE), que motiva que competa al Estado la gestión de los bienes que lo integran, al igual que la regulación y el otorgamiento de los títulos que habilitan los usos que no son libres. El Tribunal razonó esta atribución competencial y sus límites en la STC 149/1991 [FJ 4 a) y FJ 4 b)], señalando que “esas facultades dominicales sólo pueden ser legítimamente utilizadas en atención a los fines públicos que justifican la existencia del dominio público, esto es, para asegurar la protección de la integridad del demanio, la preservación de sus características naturales y la libre utilización pública y gratuita, no para condicionar abusivamente la utilización de competencias ajenas y en lo que aquí más directamente nos .ocupa, de la competencia autonómica para la ordenación territorial”.</w:t>
      </w:r>
    </w:p>
    <w:p w:rsidR="00163957" w:rsidRDefault="00163957" w:rsidP="00163957">
      <w:pPr>
        <w:pStyle w:val="TextoNormal"/>
      </w:pPr>
    </w:p>
    <w:p w:rsidR="00163957" w:rsidRDefault="00163957" w:rsidP="00163957">
      <w:pPr>
        <w:pStyle w:val="TextoNormal"/>
      </w:pPr>
      <w:r>
        <w:t>La STC 31/2010, de 28 de junio, FJ 92, introdujo un matiz en este reparto competencial, consistente en que “dado que la Generalitat ostenta competencias de ordenación del litoral y otras específicas (sobre puertos de competencia autonómica, instalaciones de ocio, marisqueo y acuicultura, entre otras), la competencia estatal de protección del demanio concurre con las señaladas competencias autonómicas, de modo que —a un lado ahora ‘las concesiones de obras fijas en el mar’, que examinaremos a continuación—, aquélla no resulta vulnerada. La norma estatutaria impugnada se limita a reconocer a la Generalitat las señaladas funciones ejecutivas de su competencia cuyo ejercicio expresamente se somete al respeto del ‘régimen general del dominio público’, lo que implica su plena sujeción a las potestades estatales, pues dicho régimen corresponde establecerlo al Estado, titular del demanio, con libertad de configuración”.</w:t>
      </w:r>
    </w:p>
    <w:p w:rsidR="00163957" w:rsidRDefault="00163957" w:rsidP="00163957">
      <w:pPr>
        <w:pStyle w:val="TextoNormal"/>
      </w:pPr>
    </w:p>
    <w:p w:rsidR="00163957" w:rsidRDefault="00163957" w:rsidP="00163957">
      <w:pPr>
        <w:pStyle w:val="TextoNormal"/>
      </w:pPr>
      <w:r>
        <w:t>Por otro lado, la gestión del demanio costero mediante adscripción, figura prevista para terrenos destinados a puertos o vías de transporte de titularidad autonómica, tiene un régimen especial. El Tribunal precisó en dicha STC 149/1991 [FJ 4 d) b) a’)], y ha reiterado después (por todas, 34/2014, de 27 de febrero, FJ 4), los siguientes criterios:</w:t>
      </w:r>
    </w:p>
    <w:p w:rsidR="00163957" w:rsidRDefault="00163957" w:rsidP="00163957">
      <w:pPr>
        <w:pStyle w:val="TextoNormal"/>
      </w:pPr>
    </w:p>
    <w:p w:rsidR="00163957" w:rsidRDefault="00163957" w:rsidP="00163957">
      <w:pPr>
        <w:pStyle w:val="TextoNormal"/>
      </w:pPr>
      <w:r>
        <w:t>“[L]a indudable titularidad autonómica de las obras e instalaciones portuarias no conlleva la plena titularidad demanial de aquella franja de terreno que es de titularidad estatal, por mandato expreso de la Constitución. […] el hecho de la adscripción no exonera a la Administración del Estado de su deber de velar por la integridad física y jurídica del demanio marítimo-terrestre y que, por tanto, es legítimo que la Ley prevea cauces que le permitan conocer a tiempo si las obras de modificación proyectadas por una Comunidad Autónoma pueden llegar a producir una alteración importante del dominio, o influyen sobre la costa y pueden afectar a su regresión, o distorsionan la dinámica litoral, a los efectos previstos por los arts. 42.2 y 44.2 y 3 de la Ley de Costas”.</w:t>
      </w:r>
    </w:p>
    <w:p w:rsidR="00163957" w:rsidRDefault="00163957" w:rsidP="00163957">
      <w:pPr>
        <w:pStyle w:val="TextoNormal"/>
      </w:pPr>
    </w:p>
    <w:p w:rsidR="00163957" w:rsidRDefault="00163957" w:rsidP="00163957">
      <w:pPr>
        <w:pStyle w:val="TextoNormal"/>
      </w:pPr>
      <w:r>
        <w:t xml:space="preserve">b) La proyección de la indicada competencia autonómica sobre el litoral también resulta acotada por el uso que el Estado haga de las que le incumben para alcanzar los fines que ampara el art. 45 CE. Este Tribunal estableció </w:t>
      </w:r>
      <w:r w:rsidRPr="00163957">
        <w:rPr>
          <w:i/>
        </w:rPr>
        <w:t>in extenso</w:t>
      </w:r>
      <w:r>
        <w:t xml:space="preserve"> en la STC 149/1991, de 4 de julio, FJ 1 d):</w:t>
      </w:r>
    </w:p>
    <w:p w:rsidR="00163957" w:rsidRDefault="00163957" w:rsidP="00163957">
      <w:pPr>
        <w:pStyle w:val="TextoNormal"/>
      </w:pPr>
    </w:p>
    <w:p w:rsidR="00163957" w:rsidRDefault="00163957" w:rsidP="00163957">
      <w:pPr>
        <w:pStyle w:val="TextoNormal"/>
      </w:pPr>
      <w:r>
        <w:t>“Esta incidencia está legitimada, en lo que al espacio demanial se refiere, por la titularidad estatal del mismo. En lo que toca a los terrenos colindantes… ha de hacerse por otra vía, apoyándose en otras competencias reservadas al Estado en exclusiva por el art. 149.1 CE.</w:t>
      </w:r>
    </w:p>
    <w:p w:rsidR="00163957" w:rsidRDefault="00163957" w:rsidP="00163957">
      <w:pPr>
        <w:pStyle w:val="TextoNormal"/>
      </w:pPr>
    </w:p>
    <w:p w:rsidR="00163957" w:rsidRDefault="00163957" w:rsidP="00163957">
      <w:pPr>
        <w:pStyle w:val="TextoNormal"/>
      </w:pPr>
      <w:r>
        <w:t>El primero de tales títulos es el enunciado en el art. 149.1.1, que opera aquí en dos planos. En primer lugar para asegurar una igualdad básica en el ejercicio del derecho a disfrutar de un medio ambiente adecuado al desarrollo de la persona (art. 45 CE)… La necesidad de asegurar la igualdad de todos los españoles en el ejercicio de este derecho no quedaría asegurada si el Estado, en uso de la competencia exclusiva que le otorga el art. 149.1.1, no regulase las condiciones básicas de la propiedad sobre los terrenos colindantes de la zona marítimo-terrestre, una regulación que, naturalmente, no excluye la posibilidad de que, a través de los correspondientes instrumentos de ordenación, las Comunidades Autónomas condicionen adicionalmente el uso que a esos terrenos puede darse.</w:t>
      </w:r>
    </w:p>
    <w:p w:rsidR="00163957" w:rsidRDefault="00163957" w:rsidP="00163957">
      <w:pPr>
        <w:pStyle w:val="TextoNormal"/>
      </w:pPr>
    </w:p>
    <w:p w:rsidR="00163957" w:rsidRDefault="00163957" w:rsidP="00163957">
      <w:pPr>
        <w:pStyle w:val="TextoNormal"/>
      </w:pPr>
      <w:r>
        <w:t>El segundo, aunque no secundario, de los indicados títulos es el que, en relación con la protección del medio ambiente consagra el art. 149.1.23. Es, sin duda, la protección de la naturaleza la finalidad inmediata que persiguen las normas mediante las que se establecen limitaciones en el uso de los terrenos colindantes a fin de preservar las características propias (incluso, claro está, los valores paisajísticos) de la zona marítimo-terrestre y, por tanto, es a partir de esa finalidad primaria como se han de articular, para respetar la delimitación competencial que impone el bloque de la constitucionalidad, la obligación que al legislador estatal impone el art. 132.2 CE y las competencias asumidas por las Comunidades Autónomas”.</w:t>
      </w:r>
    </w:p>
    <w:p w:rsidR="00163957" w:rsidRDefault="00163957" w:rsidP="00163957">
      <w:pPr>
        <w:pStyle w:val="TextoNormal"/>
      </w:pPr>
    </w:p>
    <w:p w:rsidR="00163957" w:rsidRDefault="00163957" w:rsidP="00163957">
      <w:pPr>
        <w:pStyle w:val="TextoNormal"/>
      </w:pPr>
      <w:r w:rsidRPr="00163957">
        <w:rPr>
          <w:rStyle w:val="NumeroAFNegritaCaracter"/>
        </w:rPr>
        <w:t>3</w:t>
      </w:r>
      <w:r>
        <w:t>. El Gobierno de Canarias afirma la inconstitucionalidad del artículo primero, apartado 2, de la Ley 2/2013, que establece la redacción del art. 3 LC.</w:t>
      </w:r>
    </w:p>
    <w:p w:rsidR="00163957" w:rsidRDefault="00163957" w:rsidP="00163957">
      <w:pPr>
        <w:pStyle w:val="TextoNormal"/>
      </w:pPr>
    </w:p>
    <w:p w:rsidR="00163957" w:rsidRDefault="00163957" w:rsidP="00163957">
      <w:pPr>
        <w:pStyle w:val="TextoNormal"/>
      </w:pPr>
      <w:r>
        <w:t>a) Impugna primero la definición que el primer párrafo del art. 3.1 a) LC hace de la zona marítimo-terrestre. El art. 3.1 a) LC 1988 fijó su extensión por referencia al alcance de las olas en los mayores temporales conocidos como criterio delimitador del límite interior de la zona. La modificación introducida en el primer párrafo de este precepto por el art. 1.2 de la Ley 2/2013 remite tal alcance a “los criterios técnicos que se establezcan reglamentariamente”, entendiendo el recurrente que este reenvío constituye una deslegalización contraria al art. 132.2 CE. La STC 233/2015, FJ 3 a) recuerda que “la reserva de ley no impide que las leyes ‘contengan remisiones a normas reglamentarias, pero sí que tales remisiones hagan posible una regulación independiente y no claramente subordinada a la Ley, lo que supondría una degradación de la reserva formulada por la Constitución a favor del legislador’ (SSTC 83/1984, de 24 de julio, FJ 4; 292/2000, de 30 de noviembre, FJ 14, y 18/2011, de 3 de marzo, FJ 9)”. Aplicando tal doctrina a este caso, el inciso recurrido del art. 3.1 a) LC remite al reglamento la concreción técnica de una regla sustantiva que la misma norma legal señala [“se limita a remitir la concreción de este criterio decisor … a una normativa que responda al conocimiento técnico”, según la STC 233/2015, FJ 3 a)], así que el desarrollo reglamentario que se haga no es una regulación independiente, sino que está subordinada al significado de dicha regla sustantiva y examinar si los criterios técnicos que reglamentariamente se fijen, regulados actualmente en el art. 4 del Reglamento general de costas aprobado por Real Decreto 876/2014, de 10 de octubre, se ajustan a la función que hemos dicho que el art. 3.1 a) LC les impone, por ser de mera legalidad, es un control que incumbe al juez ordinario. El mismo criterio ha sido adoptado igualmente en la STC 6/2016, FJ 3.</w:t>
      </w:r>
    </w:p>
    <w:p w:rsidR="00163957" w:rsidRDefault="00163957" w:rsidP="00163957">
      <w:pPr>
        <w:pStyle w:val="TextoNormal"/>
      </w:pPr>
    </w:p>
    <w:p w:rsidR="00163957" w:rsidRDefault="00163957" w:rsidP="00163957">
      <w:pPr>
        <w:pStyle w:val="TextoNormal"/>
      </w:pPr>
      <w:r>
        <w:t xml:space="preserve">b) Se impugna el párrafo 3 del art. 3.1 a) LC por excluir de la zona marítimo-terrestre los “terrenos que sean inundados artificial y controladamente, como consecuencia de obras o </w:t>
      </w:r>
      <w:r>
        <w:lastRenderedPageBreak/>
        <w:t>instalaciones realizadas al efecto, siempre que antes de la inundación no fueran de dominio público”.</w:t>
      </w:r>
    </w:p>
    <w:p w:rsidR="00163957" w:rsidRDefault="00163957" w:rsidP="00163957">
      <w:pPr>
        <w:pStyle w:val="TextoNormal"/>
      </w:pPr>
    </w:p>
    <w:p w:rsidR="00163957" w:rsidRDefault="00163957" w:rsidP="00163957">
      <w:pPr>
        <w:pStyle w:val="TextoNormal"/>
      </w:pPr>
      <w:r>
        <w:t xml:space="preserve">Como destacan las SSTC 149/1991 y 233/2015, el art. 132.2 CE faculta al legislador estatal para fijar qué bienes integran el demanio estatal, imponiéndole que necesariamente harán parte de él la zona marítimo-terrestre y las playas. Fuera de la inclusión obligatoria de estos espacios, dicho legislador puede, con el límite indicado en la STC 149/1991, FJ 2 b), sumar otros bienes o géneros de bienes al demanio a modo de contenido adicional, pero igualmente puede excluir los terrenos que de este modo hubiera añadido previamente, sin con ello desbordar el límite constitucionalmente impuesto ex arts. 132.2 y 45 CE, que se ciñe a los bienes de inclusión obligatoria. En este mismo sentido demos declarado en la STC 233/2015, FJ 2 b), que la interpretación sistemática de los arts. 45 y 132 CE “[delimita] el contorno de la discrecionalidad del legislador, lógicamente más reducido cuando afecta al núcleo de los bienes demanializados </w:t>
      </w:r>
      <w:r w:rsidRPr="00163957">
        <w:rPr>
          <w:i/>
        </w:rPr>
        <w:t>ex</w:t>
      </w:r>
      <w:r>
        <w:t xml:space="preserve"> art. 132.2 CE y más extenso cuando se trata de definir el dominio público de configuración legal o el régimen general de uso de los bienes de dominio público”.</w:t>
      </w:r>
    </w:p>
    <w:p w:rsidR="00163957" w:rsidRDefault="00163957" w:rsidP="00163957">
      <w:pPr>
        <w:pStyle w:val="TextoNormal"/>
      </w:pPr>
    </w:p>
    <w:p w:rsidR="00163957" w:rsidRDefault="00163957" w:rsidP="00163957">
      <w:pPr>
        <w:pStyle w:val="TextoNormal"/>
      </w:pPr>
      <w:r>
        <w:t>Conforme a esta doctrina, la STC 233/2015, FJ 3 b), ha resuelto que dado que el art. 4 LC 1988 incluyó los terrenos inundados “por cualquier causa” en el ámbito del dominio público de configuración legal, la mera disminución de dicho espacio contenida en el art. 3.1 a) LC, en sí mismo considerada, no excede el margen otorgado a la ley en la Constitución, pues éste puede reducir este dominio público de configuración legal sin que ello dé lugar a la infracción constitucional alegada por el recurrente.</w:t>
      </w:r>
    </w:p>
    <w:p w:rsidR="00163957" w:rsidRDefault="00163957" w:rsidP="00163957">
      <w:pPr>
        <w:pStyle w:val="TextoNormal"/>
      </w:pPr>
    </w:p>
    <w:p w:rsidR="00163957" w:rsidRDefault="00163957" w:rsidP="00163957">
      <w:pPr>
        <w:pStyle w:val="TextoNormal"/>
      </w:pPr>
      <w:r>
        <w:t>El Gobierno de Canarias sostiene esta impugnación en un segundo argumento. Según la interpretación que hacen los recurrentes del art. 3.1 a) LC, la exclusión comprendería terrenos que, antes de ser inundados artificialmente, eran naturalmente inundables. La literalidad del inciso “siempre que antes de la inundación no fueran de dominio público” admitiría entenderlo referido a la regla de delimitación del dominio público vigente al tiempo de la inundación, y es sabido que antes de la LC 1988 existían terrenos naturalmente inundables de propiedad privada. Una lectura de conjunto del art. 3.1 a) LC no permite esta interpretación literal. Tal como se desprende del criterio mediante el que la STC 233/2015, FJ 3 b), resuelve respecto del primer argumento, el inciso “siempre que antes de la inundación no fueran de dominio público” ha de conectarse con la normativa ahora en vigor, en especial con el párrafo segundo del art. 3.1 a) LC, según el que integran la zona marítimo-terrestre “los terrenos bajos que se inundan como consecuencia del flujo y reflujo de las mareas, de las olas o de la filtración del agua del mar”. De este modo, la norma fija la inundabilidad natural de los terrenos como criterio que precisa el concepto de zona marítimo terrestre, lo que no resulta irracional o caprichoso, ni tampoco se aparta en nada de la noción genérica de la zona marítimo-terrestre como zona en donde el mar entra en contacto con la tierra emergida. La norma recurrida no excede, por tanto, el margen que tiene el legislador para escoger los criterios definitorios que considere más convenientes. Como destaca la STC 233/2015, FJ 3 b), “al asegurar en definitiva la preservación de la integridad física y jurídica de las zonas naturalmente inundables, descarta la arbitrariedad, al tiempo que corrobora que el legislador no ha incurrido en vulneración del art. 132.2 CE”.</w:t>
      </w:r>
    </w:p>
    <w:p w:rsidR="00163957" w:rsidRDefault="00163957" w:rsidP="00163957">
      <w:pPr>
        <w:pStyle w:val="TextoNormal"/>
      </w:pPr>
    </w:p>
    <w:p w:rsidR="00163957" w:rsidRDefault="00163957" w:rsidP="00163957">
      <w:pPr>
        <w:pStyle w:val="TextoNormal"/>
      </w:pPr>
      <w:r>
        <w:lastRenderedPageBreak/>
        <w:t>En suma, no quedando afectados por la exclusión los terrenos naturalmente inundables que son zona marítimo-terrestre, de dominio público por imperativo constitucional, y constatado que la reforma de 2013 no afecta a la consideración demanial de las zonas naturalmente inundables, la alteración de los criterios de delimitación del dominio público de configuración legal no constituye motivo de infracción del art. 132.2 CE.</w:t>
      </w:r>
    </w:p>
    <w:p w:rsidR="00163957" w:rsidRDefault="00163957" w:rsidP="00163957">
      <w:pPr>
        <w:pStyle w:val="TextoNormal"/>
      </w:pPr>
    </w:p>
    <w:p w:rsidR="00163957" w:rsidRDefault="00163957" w:rsidP="00163957">
      <w:pPr>
        <w:pStyle w:val="TextoNormal"/>
      </w:pPr>
      <w:r>
        <w:t>c) El recurso se dirige también contra el art. 3.1 b) LC, en tanto que atribuye carácter demanial a las dunas “hasta el límite que resulte necesario para garantizar la estabilidad de la playa y la defensa de la costa”. La demanda arguye que las dunas en su totalidad son parte de las playas y excluir del demanio costero una parte de ellas vulnera los arts. 132.2 y 45 CE.</w:t>
      </w:r>
    </w:p>
    <w:p w:rsidR="00163957" w:rsidRDefault="00163957" w:rsidP="00163957">
      <w:pPr>
        <w:pStyle w:val="TextoNormal"/>
      </w:pPr>
    </w:p>
    <w:p w:rsidR="00163957" w:rsidRDefault="00163957" w:rsidP="00163957">
      <w:pPr>
        <w:pStyle w:val="TextoNormal"/>
      </w:pPr>
      <w:r>
        <w:t>Como ya anticipamos en la STC 233/2015 [FJ 3 C)], las dunas, en la conciencia social dominante, forman parte necesaria de “las playas”, que es la realidad natural constitucionalmente garantizada, en la medida que son parte esencial de ellas, esto es, en tanto que, por cumplir la función natural de ecosistema de transición, estabilizando la playa y protegiendo la costa, son elementos imprescindibles “para preservar la integridad no solo jurídica, sino también física, del demanio natural” [STC 233/2015, FJ 3 c)]. Consecuentemente, la delimitación legal de las playas realizada en el art. 3.1 b) LC, en cuanto a la inclusión de las dunas solamente “hasta el límite que resulte necesario para garantizar la estabilidad de la playa y la defensa de la costa”, utiliza un criterio definitorio de esta realidad natural que hace posible el cumplimiento de las funciones naturales de protección del litoral que realiza, de manera que procede desestimar la impugnación del art. 3.1 b) LC y confirmar su constitucionalidad. El mismo criterio ha sido adoptado en la STC 6/2016, FJ 3, al concluir “que no es posible apreciar que la nueva regulación de las dunas suponga la incorporación de criterios de delimitación del dominio público natural que puedan poner en riesgo su integridad”.</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El Gobierno de Canarias impugna el artículo primero, apartado 8, de la Ley 2/2013, en tanto que introduce el apartado 3 el art. 13 </w:t>
      </w:r>
      <w:r w:rsidRPr="00163957">
        <w:rPr>
          <w:i/>
        </w:rPr>
        <w:t>bis</w:t>
      </w:r>
      <w:r>
        <w:t xml:space="preserve"> LC, que queda redactado del siguiente modo:</w:t>
      </w:r>
    </w:p>
    <w:p w:rsidR="00163957" w:rsidRDefault="00163957" w:rsidP="00163957">
      <w:pPr>
        <w:pStyle w:val="TextoNormal"/>
      </w:pPr>
    </w:p>
    <w:p w:rsidR="00163957" w:rsidRDefault="00163957" w:rsidP="00163957">
      <w:pPr>
        <w:pStyle w:val="TextoNormal"/>
      </w:pPr>
      <w:r>
        <w:t>“3. Los titulares de las obras e instalaciones que tras la revisión del deslinde se incorporen a la zona de servidumbre de protección podrán realizar obras de reparación, mejora, consolidación y modernización siempre que no impliquen aumento de volumen, altura ni superficie.</w:t>
      </w:r>
    </w:p>
    <w:p w:rsidR="00163957" w:rsidRDefault="00163957" w:rsidP="00163957">
      <w:pPr>
        <w:pStyle w:val="TextoNormal"/>
      </w:pPr>
    </w:p>
    <w:p w:rsidR="00163957" w:rsidRDefault="00163957" w:rsidP="00163957">
      <w:pPr>
        <w:pStyle w:val="TextoNormal"/>
      </w:pPr>
      <w:r>
        <w:t>Estas obras deberán suponer una mejora en la eficiencia energética. A tal efecto y cuando les resulte aplicable tendrán que obtener una calificación energética final que alcance una mejora de dos letras o una letra B, lo que se acreditará mediante la certificación de eficiencia energética, de acuerdo con lo previsto en el Real Decreto 235/2013, de 5 de abril, por el que se aprueba el procedimiento básico para la certificación de la eficiencia energética de los edificios o lo que cualquier otra norma pueda establecer en el futuro para la certificación de edificios existentes.</w:t>
      </w:r>
    </w:p>
    <w:p w:rsidR="00163957" w:rsidRDefault="00163957" w:rsidP="00163957">
      <w:pPr>
        <w:pStyle w:val="TextoNormal"/>
      </w:pPr>
    </w:p>
    <w:p w:rsidR="00163957" w:rsidRDefault="00163957" w:rsidP="00163957">
      <w:pPr>
        <w:pStyle w:val="TextoNormal"/>
      </w:pPr>
      <w:r>
        <w:t xml:space="preserve">Asimismo, en estas obras, cuando proceda, se emplearán los mecanismos, sistemas, instalaciones y equipamientos individuales y/o colectivos que supongan un ahorro efectivo en el consumo de agua. En el caso de que afecten a jardines y espacios verdes, para su riego </w:t>
      </w:r>
      <w:r>
        <w:lastRenderedPageBreak/>
        <w:t>fomentarán el uso de recursos hídricos marginales, tales como aguas regeneradas o aguas de lluvia almacenadas.</w:t>
      </w:r>
    </w:p>
    <w:p w:rsidR="00163957" w:rsidRDefault="00163957" w:rsidP="00163957">
      <w:pPr>
        <w:pStyle w:val="TextoNormal"/>
      </w:pPr>
    </w:p>
    <w:p w:rsidR="00163957" w:rsidRDefault="00163957" w:rsidP="00163957">
      <w:pPr>
        <w:pStyle w:val="TextoNormal"/>
      </w:pPr>
      <w:r>
        <w:t xml:space="preserve">Las circunstancias a las que se refiere este apartado deberán acreditarse ante la Administración autonómica, mediante una declaración responsable, de acuerdo con lo previsto en el art. 71 </w:t>
      </w:r>
      <w:r w:rsidRPr="00163957">
        <w:rPr>
          <w:i/>
        </w:rPr>
        <w:t>bis</w:t>
      </w:r>
      <w:r>
        <w:t xml:space="preserve"> de la Ley 30/1992, de 26 de noviembre, de Régimen Jurídico de las Administraciones Públicas y Procedimiento Administrativo Común, con carácter previo a la autorización urbanística que proceda. En caso de que las obras o instalaciones afecten a la servidumbre de tránsito se requerirá que, con carácter previo, la Administración del Estado emita un informe favorable en el que conste que la servidumbre de tránsito queda garantizada. Este informe deberá emitirse en el plazo de dos meses desde su solicitud, si en dicho plazo no se emitiera se entenderá que tiene carácter favorable.”</w:t>
      </w:r>
    </w:p>
    <w:p w:rsidR="00163957" w:rsidRDefault="00163957" w:rsidP="00163957">
      <w:pPr>
        <w:pStyle w:val="TextoNormal"/>
      </w:pPr>
    </w:p>
    <w:p w:rsidR="00163957" w:rsidRDefault="00163957" w:rsidP="00163957">
      <w:pPr>
        <w:pStyle w:val="TextoNormal"/>
      </w:pPr>
      <w:r>
        <w:t>El Gobierno de Canarias considera que el último párrafo del apartado 3 de este art. 13 bis LC impone a las Administraciones autonómicas, a través de la expresión “deberán acreditarse … mediante una declaración responsable”, un concreto título de intervención administrativa, invadiendo así su competencia en materia de ordenación del territorio y del litoral, urbanismo y vivienda (art. 30.15 EACan), además de la de desarrollo legislativo y ejecución en materia de protección ambiental (art. 32.12 EACan).</w:t>
      </w:r>
    </w:p>
    <w:p w:rsidR="00163957" w:rsidRDefault="00163957" w:rsidP="00163957">
      <w:pPr>
        <w:pStyle w:val="TextoNormal"/>
      </w:pPr>
    </w:p>
    <w:p w:rsidR="00163957" w:rsidRDefault="00163957" w:rsidP="00163957">
      <w:pPr>
        <w:pStyle w:val="TextoNormal"/>
      </w:pPr>
      <w:r>
        <w:t>Abordar esta impugnación requiere resaltar, para empezar, que el recurrente no discute la exigencia de que las obras que se realicen en la servidumbre de protección supongan una mejora en la eficiencia energética y un ahorro efectivo en el consumo de agua, lo que implica que debamos partir de que este requerimiento establecido por el Estado es recto ejercicio de su competencia de legislación básica en materia ambiental. La controversia se ciñe a la imposición por el Estado de un concreto mecanismo de intervención administrativa para verificar que tales circunstancias se cumplen.</w:t>
      </w:r>
    </w:p>
    <w:p w:rsidR="00163957" w:rsidRDefault="00163957" w:rsidP="00163957">
      <w:pPr>
        <w:pStyle w:val="TextoNormal"/>
      </w:pPr>
    </w:p>
    <w:p w:rsidR="00163957" w:rsidRDefault="00163957" w:rsidP="00163957">
      <w:pPr>
        <w:pStyle w:val="TextoNormal"/>
      </w:pPr>
      <w:r>
        <w:t xml:space="preserve">Procede descartar que esta previsión afecte a la competencia urbanística autonómica, pues el propio precepto deja a salvo, como algo distinto, la autorización urbanística, que podrá ser denegada por la autoridad competente si las obras no se ajustan a los requerimientos urbanísticos. Es cierto, por otra parte, que la competencia urbanística está condicionada a la realización del ahorro energético y de agua mencionados en el art. 13 </w:t>
      </w:r>
      <w:r w:rsidRPr="00163957">
        <w:rPr>
          <w:i/>
        </w:rPr>
        <w:t>bis</w:t>
      </w:r>
      <w:r>
        <w:t xml:space="preserve"> LC, de modo que sin que esto se acredite no se podrá otorgar la licencia urbanística. Pero este condicionamiento no es inconstitucional, pues deriva del ejercicio por el Estado de su competencia legislación básica en materia de medio ambiente, que, como hemos dicho, no ha sido discutida.</w:t>
      </w:r>
    </w:p>
    <w:p w:rsidR="00163957" w:rsidRDefault="00163957" w:rsidP="00163957">
      <w:pPr>
        <w:pStyle w:val="TextoNormal"/>
      </w:pPr>
    </w:p>
    <w:p w:rsidR="00163957" w:rsidRDefault="00163957" w:rsidP="00163957">
      <w:pPr>
        <w:pStyle w:val="TextoNormal"/>
      </w:pPr>
      <w:r>
        <w:t>Tampoco se invade la competencia autonómica de ejecución en materia de medio ambiente dado que la disposición recurrida sitúa expresamente “ante la Administración autonómica” la verificación de estas exigencias ambientales, señalando que la declaración responsable se presentará ante ella.</w:t>
      </w:r>
    </w:p>
    <w:p w:rsidR="00163957" w:rsidRDefault="00163957" w:rsidP="00163957">
      <w:pPr>
        <w:pStyle w:val="TextoNormal"/>
      </w:pPr>
    </w:p>
    <w:p w:rsidR="00163957" w:rsidRDefault="00163957" w:rsidP="00163957">
      <w:pPr>
        <w:pStyle w:val="TextoNormal"/>
      </w:pPr>
      <w:r>
        <w:t xml:space="preserve">Resta examinar si es constitucional que el Estado condicione normativamente cómo la Administración autonómica ha de materializar su competencia ejecutiva. Hemos resuelto esta cuestión afirmativamente en la STC 49/2013, de 28 de febrero, donde declaramos que, en una materia como los aprovechamientos forestales en que la competencia ejecutiva era </w:t>
      </w:r>
      <w:r>
        <w:lastRenderedPageBreak/>
        <w:t xml:space="preserve">autonómica, podía el Estado </w:t>
      </w:r>
      <w:r w:rsidRPr="00163957">
        <w:rPr>
          <w:i/>
        </w:rPr>
        <w:t>ex</w:t>
      </w:r>
      <w:r>
        <w:t xml:space="preserve"> art. 149.1.18 CE imponer un concreto mecanismo de intervención administrativa -la comunicación previa con veto, esto es, con un plazo limitado para que la Administración pueda llevar a cabo su actividad de control o comprobación de que lo notificado responde a la legalidad- porque tal previsión “forma parte de esa regulación común uniforme que permite garantizar el tratamiento común de los titulares de derechos sobre los montes ordenados” (STC 49/2013, de 28 de febrero, FJ 11).</w:t>
      </w:r>
    </w:p>
    <w:p w:rsidR="00163957" w:rsidRDefault="00163957" w:rsidP="00163957">
      <w:pPr>
        <w:pStyle w:val="TextoNormal"/>
      </w:pPr>
    </w:p>
    <w:p w:rsidR="00163957" w:rsidRDefault="00163957" w:rsidP="00163957">
      <w:pPr>
        <w:pStyle w:val="TextoNormal"/>
      </w:pPr>
      <w:r>
        <w:t xml:space="preserve">Además, la previsión normativa que examinamos se orienta al logro de un objetivo ambiental, por lo que encaja perfectamente en la competencia estatal de legislación básica en materia ambiental </w:t>
      </w:r>
      <w:r w:rsidRPr="00163957">
        <w:rPr>
          <w:i/>
        </w:rPr>
        <w:t>ex</w:t>
      </w:r>
      <w:r>
        <w:t xml:space="preserve"> art. 149.1.23 CE. Este objetivo ambiental es que la verificación de las circunstancias que exige el párrafo tercero del art. 13 </w:t>
      </w:r>
      <w:r w:rsidRPr="00163957">
        <w:rPr>
          <w:i/>
        </w:rPr>
        <w:t>bis</w:t>
      </w:r>
      <w:r>
        <w:t xml:space="preserve"> LC se haga de un modo separado respecto del control proyectado sobre los requisitos urbanísticos, para lo cual se establece un mecanismo de control distinto que tendrá lugar con carácter previo.</w:t>
      </w:r>
    </w:p>
    <w:p w:rsidR="00163957" w:rsidRDefault="00163957" w:rsidP="00163957">
      <w:pPr>
        <w:pStyle w:val="TextoNormal"/>
      </w:pPr>
    </w:p>
    <w:p w:rsidR="00163957" w:rsidRDefault="00163957" w:rsidP="00163957">
      <w:pPr>
        <w:pStyle w:val="TextoNormal"/>
      </w:pPr>
      <w:r>
        <w:t>En todo caso, los dos objetivos que hemos mencionado: garantizar el tratamiento común de los titulares de derechos sobre la servidumbre de protección y asegurar un control independiente de estas circunstancias, aparecen destacados en el preámbulo de Ley 2/2013, que, aludiendo a la declaración responsable, afirma que “se prefiere este medio a la autorización autonómica para evitar que se yuxtaponga a la licencia urbanística y se reduzcan las cargas administrativas, sin menoscabo del interés ambiental a proteger”.</w:t>
      </w:r>
    </w:p>
    <w:p w:rsidR="00163957" w:rsidRDefault="00163957" w:rsidP="00163957">
      <w:pPr>
        <w:pStyle w:val="TextoNormal"/>
      </w:pPr>
    </w:p>
    <w:p w:rsidR="00163957" w:rsidRDefault="00163957" w:rsidP="00163957">
      <w:pPr>
        <w:pStyle w:val="TextoNormal"/>
      </w:pPr>
      <w:r>
        <w:t xml:space="preserve">En conclusión, el condicionamiento normativo consistente en imponer que la Administración autonómica realice su competencia ejecutiva mediante la técnica de la declaración responsable se encuentra amparado por las competencias estatales </w:t>
      </w:r>
      <w:r w:rsidRPr="00163957">
        <w:rPr>
          <w:i/>
        </w:rPr>
        <w:t>ex</w:t>
      </w:r>
      <w:r>
        <w:t xml:space="preserve"> art. 149.1.18 y art. 149.1.23 CE, de modo que el precepto impugnado es plenamente constitucional.</w:t>
      </w:r>
    </w:p>
    <w:p w:rsidR="00163957" w:rsidRDefault="00163957" w:rsidP="00163957">
      <w:pPr>
        <w:pStyle w:val="TextoNormal"/>
      </w:pPr>
    </w:p>
    <w:p w:rsidR="00163957" w:rsidRDefault="00163957" w:rsidP="00163957">
      <w:pPr>
        <w:pStyle w:val="TextoNormal"/>
      </w:pPr>
      <w:r w:rsidRPr="00163957">
        <w:rPr>
          <w:rStyle w:val="NumeroAFNegritaCaracter"/>
        </w:rPr>
        <w:t>5</w:t>
      </w:r>
      <w:r>
        <w:t>. El recurrente afirma la inconstitucionalidad del artículo primero, apartado 12, de la Ley 2/2013, que introduce un apartado 6 al art. 33 de la Ley 22/1988, por vulnerar la competencia autonómica sobre ordenación del territorio y del litoral (art. 30.15 EACan).</w:t>
      </w:r>
    </w:p>
    <w:p w:rsidR="00163957" w:rsidRDefault="00163957" w:rsidP="00163957">
      <w:pPr>
        <w:pStyle w:val="TextoNormal"/>
      </w:pPr>
    </w:p>
    <w:p w:rsidR="00163957" w:rsidRDefault="00163957" w:rsidP="00163957">
      <w:pPr>
        <w:pStyle w:val="TextoNormal"/>
      </w:pPr>
      <w:r>
        <w:t>Este mismo precepto legal ha sido impugnado en el asunto resuelto por la STC 233/2015, pero entonces los motivos gravitaban en torno al art. 132.2 CE (porque el precepto dividía el género indivisible que es constitucionalmente la playa y deslegalizaba su delimitación) y al art. 9.3 CE (porque la distinción tan genérica entre tramos urbanos y naturales daña la seguridad jurídica). Esta demanda, por el contrario, hace valer tres motivos de carácter competencial, que no coinciden con los anteriores y sí con los que sustentan el recurso de inconstitucionalidad resuelto por la STC 28/2016, de 18 de febrero. Dada la absoluta identidad de argumentación entre ambos recursos, procede desestimar esta impugnación por remisión a las razones expuestas con detalle en el fundamento jurídico tercero de dicha STC 28/2016.</w:t>
      </w:r>
    </w:p>
    <w:p w:rsidR="00163957" w:rsidRDefault="00163957" w:rsidP="00163957">
      <w:pPr>
        <w:pStyle w:val="TextoNormal"/>
      </w:pPr>
    </w:p>
    <w:p w:rsidR="00163957" w:rsidRDefault="00163957" w:rsidP="00163957">
      <w:pPr>
        <w:pStyle w:val="TextoNormal"/>
      </w:pPr>
      <w:r w:rsidRPr="00163957">
        <w:rPr>
          <w:rStyle w:val="NumeroAFNegritaCaracter"/>
        </w:rPr>
        <w:t>6</w:t>
      </w:r>
      <w:r>
        <w:t>. El Gobierno de Canarias afirma, en cuarto lugar, la inconstitucionalidad del artículo primero, apartado 16, de la Ley 2/2013, por el que se añade un nuevo apartado 4 al art. 49 de la Ley 22/1988, de costas, de 28 de julio, por vulneración de la competencia autonómica sobre puertos que no tengan la calificación de interés general, puertos de refugio, pesqueros y deportivos (art. 30.22 EACan). El nuevo art. 49.4 LC queda redactado del siguiente modo:</w:t>
      </w:r>
    </w:p>
    <w:p w:rsidR="00163957" w:rsidRDefault="00163957" w:rsidP="00163957">
      <w:pPr>
        <w:pStyle w:val="TextoNormal"/>
      </w:pPr>
    </w:p>
    <w:p w:rsidR="00163957" w:rsidRDefault="00163957" w:rsidP="00163957">
      <w:pPr>
        <w:pStyle w:val="TextoNormal"/>
      </w:pPr>
      <w:r>
        <w:t xml:space="preserve">“4. En la zona de servicio portuaria de los bienes de dominio público marítimo-terrestre adscritos, que no reúnan las características del artículo 3, además de los usos necesarios para </w:t>
      </w:r>
      <w:r>
        <w:lastRenderedPageBreak/>
        <w:t>el desarrollo de la actividad portuaria, se podrán permitir usos comerciales y de restauración, siempre que no se perjudique el dominio público marítimo-terrestre, ni la actividad portuaria y se ajusten a lo establecido en el planeamiento urbanístico. En todo caso, se prohíben las edificaciones destinadas a residencia o habitación.</w:t>
      </w:r>
    </w:p>
    <w:p w:rsidR="00163957" w:rsidRDefault="00163957" w:rsidP="00163957">
      <w:pPr>
        <w:pStyle w:val="TextoNormal"/>
      </w:pPr>
    </w:p>
    <w:p w:rsidR="00163957" w:rsidRDefault="00163957" w:rsidP="00163957">
      <w:pPr>
        <w:pStyle w:val="TextoNormal"/>
      </w:pPr>
      <w:r>
        <w:t>Reglamentariamente se fijarán los criterios de asignación de superficie máxima para los usos previstos en el párrafo anterior, teniendo en cuenta el número de amarres del puerto y los demás requisitos necesarios para no perjudicar el dominio público marítimo-terrestre, ni la actividad portuaria.”</w:t>
      </w:r>
    </w:p>
    <w:p w:rsidR="00163957" w:rsidRDefault="00163957" w:rsidP="00163957">
      <w:pPr>
        <w:pStyle w:val="TextoNormal"/>
      </w:pPr>
    </w:p>
    <w:p w:rsidR="00163957" w:rsidRDefault="00163957" w:rsidP="00163957">
      <w:pPr>
        <w:pStyle w:val="TextoNormal"/>
      </w:pPr>
      <w:r>
        <w:t>En los términos detallados en el fundamento jurídico 2 de esta resolución, la doctrina constitucional [por todas, las SSTC 149/1991, FFJJ 4 a) y 4 c), y 34/2014, de 27 de febrero, FFJJ 3, 4 y 5] acerca de los bienes del demanio marítimo-terrestre adscritos a las Comunidades Autónomas para el ejercicio de sus competencias portuarias presenta varios aspectos destacados: a) la gestión de los bienes de dominio público adscritos a una Comunidad Autónoma, a diferencia de lo que es regla general para los bienes demaniales, incumbe a ésta, como consecuencia de que “la competencia autonómica abarca a todos los servicio portuarios … de donde se sigue que las obras e instalaciones del puerto son creadas y gestionadas por la Comunidad Autónoma”; b) no obstante, las entidades autonómicas desempeñarán esta competencia dentro de los límites que, en aras de proteger los intereses ambientales y la integridad del demanio costero, señale el legislador estatal en virtud de las habilitaciones derivadas de la titularidad estatal sobre el demanio natural ex art. 132.2 CE y de las atribuciones materiales que le corresponden en virtud de art. 149.1.23 CE; c) las normas con las que el Estado puede condicionar el ejercicio de esta competencia autonómica no pueden, transcendiendo el establecimiento de límites orientados a la satisfacción de las objetivos indicados, imponer los usos que caben en la zona de servicio portuaria de los bienes adscritos, pues ello invadiría las atribuciones autonómicas en materia portuaria.</w:t>
      </w:r>
    </w:p>
    <w:p w:rsidR="00163957" w:rsidRDefault="00163957" w:rsidP="00163957">
      <w:pPr>
        <w:pStyle w:val="TextoNormal"/>
      </w:pPr>
    </w:p>
    <w:p w:rsidR="00163957" w:rsidRDefault="00163957" w:rsidP="00163957">
      <w:pPr>
        <w:pStyle w:val="TextoNormal"/>
      </w:pPr>
      <w:r>
        <w:t>En el caso examinado, las partes admiten este reparto competencial y la controversia radica en que, mientras el Abogado del Estado afirma que el art. 49.4 LC se ciñe a indicar los límites que enmarcan la competencia autonómica, los recurrentes sostienen que “la modificación legislativa contempla una auténtica regulación de los usos en las zonas de servicio portuarias de los bienes adscritos que supone una clara invasión de las competencias de la Comunidad Autónoma de Canarias en relación con los puertos que no tengan la calificación de interés general, puertos de refugio, pesqueros y deportivos (art 30.22 del EACan)”. Y añaden que “esta modificación legal se ampara en el título competencial del Estado recogido en el art. 149.1.18 CE: legislación básica sobre contratos y concesiones administrativas, título competencial que no enerva ni desplaza el que ostenta la Comunidad Autónoma en relación con el desarrollo de su política portuaria”.</w:t>
      </w:r>
    </w:p>
    <w:p w:rsidR="00163957" w:rsidRDefault="00163957" w:rsidP="00163957">
      <w:pPr>
        <w:pStyle w:val="TextoNormal"/>
      </w:pPr>
    </w:p>
    <w:p w:rsidR="00163957" w:rsidRDefault="00163957" w:rsidP="00163957">
      <w:pPr>
        <w:pStyle w:val="TextoNormal"/>
      </w:pPr>
      <w:r>
        <w:t xml:space="preserve">El encuadre competencial de esta impugnación requiere apuntar que el título estatal relevante es, más que el art. 149.1.18 CE indicado en la demanda, el resultante del art. 149.1.23 CE, aparte del derivado del art. 132.2 CE, pues así viene este Tribunal sustanciando esta clase de controversias (por todas, la citada STC 34/2014). Además de ello, la disposición final segunda de la Ley 2/2013 afirma con carácter general en su primer apartado que “esta ley se dicta al amparo de lo establecido en el art. 149.1.1 y en el art. 149.1.23 CE que atribuyen al Estado competencias en la regulación de las condiciones básicas que </w:t>
      </w:r>
      <w:r>
        <w:lastRenderedPageBreak/>
        <w:t>garanticen la igualdad de todos los españoles en el ejercicio de los derechos y en el cumplimiento de los deberes constitucionales y en materia de legislación básica sobre protección del medio ambiente”. El apartado tercero de esa misma disposición, señala que el art. 1.16 de la Ley 2/2013, en tanto añade un art. 49.4 LC sobre usos permitidos en la zona de servicio portuario de los bienes del demanio costero adscritos, constituye legislación básica sobre contratos y concesiones administrativas dictada al amparo del art. 149.1.18 CE y le otorga una cobertura adicional, sin excluir lo dispuesto en la cláusula general del apartado primero.</w:t>
      </w:r>
    </w:p>
    <w:p w:rsidR="00163957" w:rsidRDefault="00163957" w:rsidP="00163957">
      <w:pPr>
        <w:pStyle w:val="TextoNormal"/>
      </w:pPr>
    </w:p>
    <w:p w:rsidR="00163957" w:rsidRDefault="00163957" w:rsidP="00163957">
      <w:pPr>
        <w:pStyle w:val="TextoNormal"/>
      </w:pPr>
      <w:r>
        <w:t>Con este encuadre competencial, y aplicando la doctrina constitucional constante que se ha reseñado, el dilema radica en si el art. 49.4 LC diseña un marco normativo que, orientado por fines ambientales y de preservación de la integridad del demanio, condiciona al legislador autonómico portuario o, por el contrario, impone a éste unos concretos usos en la zona de servicio portuario de los bienes del demanio costero adscritos. Este es precisamente el planteamiento que hace el recurrente en el recurso de inconstitucionalidad resuelto por la STC 28/2016, de 18 de febrero, por lo que, de acuerdo con lo razonado en su fundamento jurídico cuarto, debe desestimarse la impugnación del art. 49.4 LC porque no impone al legislador autonómico ningún uso concreto para la zona de servicio de los puertos de su competencia. Se ciñe a señalar, en atención a la tutela de los intereses ambientales (art. 149.1.23 CE) y de la integridad del dominio público marítimo-terrestre (art. 132.2 CE), un marco dentro del cual el legislador autonómico podrá, con entera libertad, hacer sus legítimas opciones. Las mismas razones se extienden, por conexión, a la disposición final segunda de la Ley 2/2013.</w:t>
      </w:r>
    </w:p>
    <w:p w:rsidR="00163957" w:rsidRDefault="00163957" w:rsidP="00163957">
      <w:pPr>
        <w:pStyle w:val="TextoNormal"/>
      </w:pPr>
    </w:p>
    <w:p w:rsidR="00163957" w:rsidRDefault="00163957" w:rsidP="00163957">
      <w:pPr>
        <w:pStyle w:val="TextoNormal"/>
      </w:pPr>
      <w:r w:rsidRPr="00163957">
        <w:rPr>
          <w:rStyle w:val="NumeroAFNegritaCaracter"/>
        </w:rPr>
        <w:t>7</w:t>
      </w:r>
      <w:r>
        <w:t>. El recurrente impugna el artículo primero, apartado 38, de la Ley 2/2013, que añade un art. 119.2 LC redactado como sigue:</w:t>
      </w:r>
    </w:p>
    <w:p w:rsidR="00163957" w:rsidRDefault="00163957" w:rsidP="00163957">
      <w:pPr>
        <w:pStyle w:val="TextoNormal"/>
      </w:pPr>
    </w:p>
    <w:p w:rsidR="00163957" w:rsidRDefault="00163957" w:rsidP="00163957">
      <w:pPr>
        <w:pStyle w:val="TextoNormal"/>
      </w:pPr>
      <w:r>
        <w:t>“2. Sin perjuicio de lo dispuesto en el apartado anterior y de acuerdo con el procedimiento previsto en el art. 67 de la Ley 7/1985, de 2 de abril, de bases del régimen local, el Delegado del Gobierno, a instancia del Ministro de Agricultura, Alimentación y Medio Ambiente, podrá suspender los actos y acuerdos adoptados por las entidades locales que afecten a la integridad del dominio público marítimo terrestre o de la servidumbre de protección o que supongan una infracción manifiesta de lo dispuesto en el art. 25 de la presente Ley.”</w:t>
      </w:r>
    </w:p>
    <w:p w:rsidR="00163957" w:rsidRDefault="00163957" w:rsidP="00163957">
      <w:pPr>
        <w:pStyle w:val="TextoNormal"/>
      </w:pPr>
    </w:p>
    <w:p w:rsidR="00163957" w:rsidRDefault="00163957" w:rsidP="00163957">
      <w:pPr>
        <w:pStyle w:val="TextoNormal"/>
      </w:pPr>
      <w:r>
        <w:t>La demanda razona con argumentos completamente coincidentes a los que se hacen valer en las precedentes SSTC 6/2016, FJ 4.d), y 28/2016, FJ 5. Debido a esta coincidencia corresponde desestimar esta impugnación y hacerlo por referencia a los criterios establecidos en dichas sentencias de este Tribunal.</w:t>
      </w:r>
    </w:p>
    <w:p w:rsidR="00163957" w:rsidRDefault="00163957" w:rsidP="00163957">
      <w:pPr>
        <w:pStyle w:val="TextoNormal"/>
      </w:pPr>
    </w:p>
    <w:p w:rsidR="00163957" w:rsidRDefault="00163957" w:rsidP="00163957">
      <w:pPr>
        <w:pStyle w:val="TextoNormal"/>
      </w:pPr>
      <w:r w:rsidRPr="00163957">
        <w:rPr>
          <w:rStyle w:val="NumeroAFNegritaCaracter"/>
        </w:rPr>
        <w:t>8</w:t>
      </w:r>
      <w:r>
        <w:t>. El Gobierno de Canarias impugna el artículo primero, apartado 40, de la Ley 2/2013, en tanto que introduce un nuevo apartado 3 en la disposición transitoria cuarta de la Ley de costas, que tiene la siguiente redacción:</w:t>
      </w:r>
    </w:p>
    <w:p w:rsidR="00163957" w:rsidRDefault="00163957" w:rsidP="00163957">
      <w:pPr>
        <w:pStyle w:val="TextoNormal"/>
      </w:pPr>
    </w:p>
    <w:p w:rsidR="00163957" w:rsidRDefault="00163957" w:rsidP="00163957">
      <w:pPr>
        <w:pStyle w:val="TextoNormal"/>
      </w:pPr>
      <w:r>
        <w:t>“3. Las obras, a las que se refiere el apartado segundo de esta disposición transitoria, cuando les sea aplicable, deberán:</w:t>
      </w:r>
    </w:p>
    <w:p w:rsidR="00163957" w:rsidRDefault="00163957" w:rsidP="00163957">
      <w:pPr>
        <w:pStyle w:val="TextoNormal"/>
      </w:pPr>
    </w:p>
    <w:p w:rsidR="00163957" w:rsidRDefault="00163957" w:rsidP="00163957">
      <w:pPr>
        <w:pStyle w:val="TextoNormal"/>
      </w:pPr>
      <w:r>
        <w:t xml:space="preserve">a) Suponer una mejora en la eficiencia energética. A tal efecto, tendrán que obtener una calificación energética final que alcance una mejora de dos letras o una letra B, lo que se acreditará mediante la certificación de eficiencia energética, de acuerdo con lo previsto en </w:t>
      </w:r>
      <w:r>
        <w:lastRenderedPageBreak/>
        <w:t>el Real Decreto 235/2013, de 5 de abril, por el que se aprueba el procedimiento básico para la certificación de la eficiencia energética de los edificios o lo que cualquier otra norma pueda establecer en el futuro para la certificación de edificios existentes.</w:t>
      </w:r>
    </w:p>
    <w:p w:rsidR="00163957" w:rsidRDefault="00163957" w:rsidP="00163957">
      <w:pPr>
        <w:pStyle w:val="TextoNormal"/>
      </w:pPr>
    </w:p>
    <w:p w:rsidR="00163957" w:rsidRDefault="00163957" w:rsidP="00163957">
      <w:pPr>
        <w:pStyle w:val="TextoNormal"/>
      </w:pPr>
      <w:r>
        <w:t>b) Emplear los mecanismos, sistemas, instalaciones y equipamientos individuales y/o colectivos que supongan un ahorro efectivo en el consumo de agua. En el caso de que afecten a jardines y espacios verdes, para su riego fomentarán el uso de recursos hídricos marginales, tales como aguas regeneradas o aguas de lluvia almacenadas.</w:t>
      </w:r>
    </w:p>
    <w:p w:rsidR="00163957" w:rsidRDefault="00163957" w:rsidP="00163957">
      <w:pPr>
        <w:pStyle w:val="TextoNormal"/>
      </w:pPr>
    </w:p>
    <w:p w:rsidR="00163957" w:rsidRDefault="00163957" w:rsidP="00163957">
      <w:pPr>
        <w:pStyle w:val="TextoNormal"/>
      </w:pPr>
      <w:r>
        <w:t xml:space="preserve">No podrán ser autorizadas por el órgano urbanístico competente sin que los titulares de las concesiones acrediten haber presentado ante la Administración del Estado y los de las construcciones e instalaciones ante los órganos competentes de las Comunidades Autónomas una declaración responsable en la que de manera expresa y clara manifiesten que tales obras no supondrán un aumento del volumen, altura ni superficie de las construcciones existentes y que cumplen con los requisitos establecidos anteriormente sobre eficiencia energética y ahorro de agua, cuando les sean de aplicación. La declaración responsable se ajustará a lo dispuesto en el artículo 71 </w:t>
      </w:r>
      <w:r w:rsidRPr="00163957">
        <w:rPr>
          <w:i/>
        </w:rPr>
        <w:t>bis</w:t>
      </w:r>
      <w:r>
        <w:t xml:space="preserve"> de la Ley 30/1992, de 26 de noviembre, de Régimen Jurídico de las Administraciones Públicas y Procedimiento Administrativo Común.”</w:t>
      </w:r>
    </w:p>
    <w:p w:rsidR="00163957" w:rsidRDefault="00163957" w:rsidP="00163957">
      <w:pPr>
        <w:pStyle w:val="TextoNormal"/>
      </w:pPr>
    </w:p>
    <w:p w:rsidR="00163957" w:rsidRDefault="00163957" w:rsidP="00163957">
      <w:pPr>
        <w:pStyle w:val="TextoNormal"/>
      </w:pPr>
      <w:r>
        <w:t xml:space="preserve">El Gobierno de Canarias considera que el último párrafo de este precepto, al establecer que los titulares de las construcciones e instalaciones acreditarán mediante la presentación de una declaración responsable que las obras que en ellas se realizan cumplen los requisitos exigidos, está imponiendo a las Administraciones autonómicas un concreto título de intervención administrativa, invadiendo así la competencia autonómica en materia de ordenación del territorio y del litoral, urbanismo y vivienda (art. 30.15 EACan), además de la de desarrollo legislativo y ejecución en materia de protección del medio ambiente (art. 32.12 EACan). Sostiene, además, que el título competencial invocado (legislación básica sobre contratos y concesiones </w:t>
      </w:r>
      <w:r w:rsidRPr="00163957">
        <w:rPr>
          <w:i/>
        </w:rPr>
        <w:t>ex</w:t>
      </w:r>
      <w:r>
        <w:t xml:space="preserve"> art. 149.1.18 CE) no puede amparar una regulación como la que se impugna, con lo que predica la inconstitucionalidad también de la disposición final segunda de la Ley 2/2013. En apoyo de su argumentación se remite a los mismos motivos ya alegados al tratar de la impugnación del nuevo art. 13 </w:t>
      </w:r>
      <w:r w:rsidRPr="00163957">
        <w:rPr>
          <w:i/>
        </w:rPr>
        <w:t>bis</w:t>
      </w:r>
      <w:r>
        <w:t xml:space="preserve"> de la citada Ley.</w:t>
      </w:r>
    </w:p>
    <w:p w:rsidR="00163957" w:rsidRDefault="00163957" w:rsidP="00163957">
      <w:pPr>
        <w:pStyle w:val="TextoNormal"/>
      </w:pPr>
    </w:p>
    <w:p w:rsidR="00163957" w:rsidRDefault="00163957" w:rsidP="00163957">
      <w:pPr>
        <w:pStyle w:val="TextoNormal"/>
      </w:pPr>
      <w:r>
        <w:t xml:space="preserve">A la vista de la similitud que presenta la regulación del precepto que aquí se impugna y la del último párrafo del apartado 3 de este art. 13 </w:t>
      </w:r>
      <w:r w:rsidRPr="00163957">
        <w:rPr>
          <w:i/>
        </w:rPr>
        <w:t>bis</w:t>
      </w:r>
      <w:r>
        <w:t xml:space="preserve"> LC, así como la identidad esencial de la argumentación de los recurrentes en ambos casos, resultan aquí de aplicación las consideraciones expuestas anteriormente respecto de la impugnación del art. 13 </w:t>
      </w:r>
      <w:r w:rsidRPr="00163957">
        <w:rPr>
          <w:i/>
        </w:rPr>
        <w:t>bis</w:t>
      </w:r>
      <w:r>
        <w:t xml:space="preserve"> LC, en virtud de las cuales se afirmaba entonces que el art. 13 </w:t>
      </w:r>
      <w:r w:rsidRPr="00163957">
        <w:rPr>
          <w:i/>
        </w:rPr>
        <w:t>bis</w:t>
      </w:r>
      <w:r>
        <w:t xml:space="preserve"> LC, y por lo mismo —se declara ahora— el nuevo apartado 3 introducido en la disposición transitoria cuarta, son normas materialmente básicas </w:t>
      </w:r>
      <w:r w:rsidRPr="00163957">
        <w:rPr>
          <w:i/>
        </w:rPr>
        <w:t>ex</w:t>
      </w:r>
      <w:r>
        <w:t xml:space="preserve"> art. 149.1.23 CE, aparte de ser básicas también desde una perspectiva formal en la medida que constan en una ley. Estos argumentos nos conducen a desestimar el primero de los motivos que sostienen esta impugnación.</w:t>
      </w:r>
    </w:p>
    <w:p w:rsidR="00163957" w:rsidRDefault="00163957" w:rsidP="00163957">
      <w:pPr>
        <w:pStyle w:val="TextoNormal"/>
      </w:pPr>
    </w:p>
    <w:p w:rsidR="00163957" w:rsidRDefault="00163957" w:rsidP="00163957">
      <w:pPr>
        <w:pStyle w:val="TextoNormal"/>
      </w:pPr>
      <w:r>
        <w:t xml:space="preserve">En cuanto al segundo de dichos motivos, debe partirse de que la disposición final segunda de la Ley 2/2013 afirma con carácter general en su primer apartado que “esta ley se dicta al amparo de lo establecido en el art. 149.1.1 y en el art. 149.1.23 CE que atribuyen al Estado competencias en la regulación de las condiciones básicas que garanticen la igualdad de todos los españoles en el ejercicio de los derechos y en el cumplimiento de los deberes constitucionales y en materia de legislación básica sobre protección del medio ambiente”. El </w:t>
      </w:r>
      <w:r>
        <w:lastRenderedPageBreak/>
        <w:t>apartado tercero de esa misma disposición, que señala que el art. 1.40 de la Ley 2/2013 constituye legislación básica sobre contratos y concesiones administrativas dictada al amparo del art. 149.1.18 CE, le otorga una cobertura adicional, sin excluir lo dispuesto en la cláusula general del apartado primero. Estas razones, en particular por la cobertura competencial que el art. 149.1.23 CE ofrece al nuevo apartado 3 introducido en la disposición transitoria cuarta, conducen a desestimar este segundo motivo de impugnación de este precepto legal, que se extendía por conexión a la disposición final segunda de la Ley 2/2013.</w:t>
      </w:r>
    </w:p>
    <w:p w:rsidR="00163957" w:rsidRDefault="00163957" w:rsidP="00163957">
      <w:pPr>
        <w:pStyle w:val="TextoNormal"/>
      </w:pPr>
    </w:p>
    <w:p w:rsidR="00163957" w:rsidRDefault="00163957" w:rsidP="00163957">
      <w:pPr>
        <w:pStyle w:val="TextoNormal"/>
      </w:pPr>
      <w:r w:rsidRPr="00163957">
        <w:rPr>
          <w:rStyle w:val="NumeroAFNegritaCaracter"/>
        </w:rPr>
        <w:t>9</w:t>
      </w:r>
      <w:r>
        <w:t>. El Gobierno de Canarias impugna la disposición adicional séptima de la Ley 2/2013. Le imputa, como ocurría también en el recurso de inconstitucionalidad resuelto en la STC 233/2015, que la exclusión que realiza de determinados núcleos de población del dominio público marítimo terrestre habría lesionado el art. 132.2 CE, en la medida que éste impediría la operación de exclusión de bienes del demanio natural aunque hayan sido alterados por mano del hombre.</w:t>
      </w:r>
    </w:p>
    <w:p w:rsidR="00163957" w:rsidRDefault="00163957" w:rsidP="00163957">
      <w:pPr>
        <w:pStyle w:val="TextoNormal"/>
      </w:pPr>
    </w:p>
    <w:p w:rsidR="00163957" w:rsidRDefault="00163957" w:rsidP="00163957">
      <w:pPr>
        <w:pStyle w:val="TextoNormal"/>
      </w:pPr>
      <w:r>
        <w:t>Se denuncia asimismo la infracción de los arts. 9.3 (interdicción de la arbitrariedad) y 14 CE. El argumento que sostiene esta segunda impugnación, al igual que sucedía en el recurso de inconstitucionalidad resuelto en la STC 233/2015, consiste en que la norma recurrida, al excluir del demanio costero a 12 municipios, les está dando un trato privilegiado respecto de los demás municipios costeros que se hallan en esa misma situación, con lo que consagra un trato discriminatorio y, por tanto, arbitrario.</w:t>
      </w:r>
    </w:p>
    <w:p w:rsidR="00163957" w:rsidRDefault="00163957" w:rsidP="00163957">
      <w:pPr>
        <w:pStyle w:val="TextoNormal"/>
      </w:pPr>
    </w:p>
    <w:p w:rsidR="00163957" w:rsidRDefault="00163957" w:rsidP="00163957">
      <w:pPr>
        <w:pStyle w:val="TextoNormal"/>
      </w:pPr>
      <w:r>
        <w:t>El Gobierno de Canarias sostiene esta última impugnación con un argumento adicional. Afirma que, en caso de que el Tribunal considerase constitucional el trato favorable que prevé la norma recurrida para los doce municipios que enuncia, lo que resultaría discriminatorio, y por ello vulneraría los arts. 9.3 (interdicción de la arbitrariedad) y 14 CE, sería no dispensar ese mismo trato a los municipios canarios que están en la misma situación, esto es, omitir en la norma estatal los núcleos costeros canarios que, descritos en el documento 3 anexo a la demanda con su correspondiente cartografía, representan ejemplos análogos de situaciones en que los terrenos en que se hayan enclavados resultan “absolutamente innecesarios para la protección o utilización del dominio público marítimo-terrestre por las razones que en cada caso se exponen”, constituyendo áreas de viviendas consolidadas con anterioridad a la Ley de costas de 1988: Tufia, en el término municipal de Telde, provincia de las Palmas; Ojos de Garza, en el término municipal de Telde, provincia de Las Palmas; El Golfo, en el término municipal de Yaiza, provincia de Las Palmas; Robinson, en el término municipal de Pájara, provincia de Las Palmas; Pozo de las Calcosas, en el término municipal de Valverde, provincia de Santa Cruz de Tenerife; La Bombilla, en el término municipal de Tazacorte, provincia de Santa Cruz de Tenerife; y Bocacangrejo, en el término municipal de El Rosario, provincia de Santa Cruz de Tenerife.</w:t>
      </w:r>
    </w:p>
    <w:p w:rsidR="00163957" w:rsidRDefault="00163957" w:rsidP="00163957">
      <w:pPr>
        <w:pStyle w:val="TextoNormal"/>
      </w:pPr>
    </w:p>
    <w:p w:rsidR="00163957" w:rsidRDefault="00163957" w:rsidP="00163957">
      <w:pPr>
        <w:pStyle w:val="TextoNormal"/>
      </w:pPr>
      <w:r>
        <w:t xml:space="preserve">El Tribunal aprecia que el Gobierno de Canarias, a pesar de que formalmente apoya la vulneración que alega de los arts. 9.3 (interdicción de la arbitrariedad) y 14 CE en dos líneas de razonamiento diferentes, en realidad está formulando la misma impugnación desde dos perspectivas. Primero está sosteniendo que el trato favorable </w:t>
      </w:r>
      <w:r w:rsidRPr="00163957">
        <w:rPr>
          <w:i/>
        </w:rPr>
        <w:t>ex</w:t>
      </w:r>
      <w:r>
        <w:t xml:space="preserve"> disposición adicional séptima de la Ley 2/2013 es discriminatorio respecto de todos los núcleos costeros de España que presenten las mismas características, solicitando que el Tribunal declare inconstitucional y nula la previsión de que los municipios enunciados reciban ese distinto trato. Y luego, en segundo lugar, de un modo más específico, lo que está argumentando es que el trato </w:t>
      </w:r>
      <w:r>
        <w:lastRenderedPageBreak/>
        <w:t xml:space="preserve">favorable </w:t>
      </w:r>
      <w:r w:rsidRPr="00163957">
        <w:rPr>
          <w:i/>
        </w:rPr>
        <w:t>ex</w:t>
      </w:r>
      <w:r>
        <w:t xml:space="preserve"> disposición adicional séptima de la Ley 2/2013 es discriminatorio respecto los núcleos costeros canarios que estén en la misma situación, apuntando en este caso que la discriminación procedería de la omisión de estos últimos en el precepto impugnado.</w:t>
      </w:r>
    </w:p>
    <w:p w:rsidR="00163957" w:rsidRDefault="00163957" w:rsidP="00163957">
      <w:pPr>
        <w:pStyle w:val="TextoNormal"/>
      </w:pPr>
    </w:p>
    <w:p w:rsidR="00163957" w:rsidRDefault="00163957" w:rsidP="00163957">
      <w:pPr>
        <w:pStyle w:val="TextoNormal"/>
      </w:pPr>
      <w:r>
        <w:t>En suma, se trata en sustancia de la misma impugnación, centrada en si resulta discriminatorio excluir del dominio público marítimo-terrestre a los doce núcleos costeros enunciados en la ley estatal y mantener dentro de él a otros núcleos costeros que son igualmente innecesarios para la protección del litoral. Cosa distinta es que, en el eventual supuesto de que una impugnación así se estimase, el modo de reparar que insta el Gobierno de Canarias sea distinto, pues no requiere que se prive del privilegio a los 12 núcleos costeros contenidos en la norma estatal recurrida mediante la declaración de nulidad de dicha norma, sino que se extienda el privilegio a los núcleos costeros canarios que estén en la misma situación, acabando en virtud de su inclusión con la omisión que produciría la discriminación.</w:t>
      </w:r>
    </w:p>
    <w:p w:rsidR="00163957" w:rsidRDefault="00163957" w:rsidP="00163957">
      <w:pPr>
        <w:pStyle w:val="TextoNormal"/>
      </w:pPr>
    </w:p>
    <w:p w:rsidR="00163957" w:rsidRDefault="00163957" w:rsidP="00163957">
      <w:pPr>
        <w:pStyle w:val="TextoNormal"/>
      </w:pPr>
      <w:r>
        <w:t xml:space="preserve">La STC 233/2015, en su fundamento jurídico 14, ha abordado una alegación idéntica, que se apoyaba también, de un lado, en el art. 132.2 CE y, de otro, en los arts. 9.3 (interdicción de la arbitrariedad) y 14 CE. En dicha resolución el Tribunal ha declarado que el precepto recurrido es constitucional siempre que se tenga presente que “el recto entendimiento de la disposición adicional séptima de la Ley 2/2013 de acuerdo con la Constitución permite considerar que sus consecuencias jurídicas no se extienden a la regulación del completo régimen jurídico que deriva de que los núcleos de población enumerados en el anexo de la Ley han perdido las características naturales que determinaron su inclusión en el dominio público marítimo-terrestre en virtud de deslindes anteriores. Por el contrario, su virtualidad radica en la identificación, </w:t>
      </w:r>
      <w:r w:rsidRPr="00163957">
        <w:rPr>
          <w:i/>
        </w:rPr>
        <w:t>ope legis</w:t>
      </w:r>
      <w:r>
        <w:t xml:space="preserve">, de unos terrenos que notoriamente han perdido por obra de la acción del hombre las características de dominio público natural, excluyéndose la necesidad de esa justificación, que según su propio apartado 4 no implica la efectividad inmediata de la exclusión, siendo solo el presupuesto para la iniciación del expediente que, en su caso, puede terminar con su desafectación. Hemos de atender asimismo a lo dispuesto en el art. 18.2 LC, a cuyo tenor tal desafectación deberá ser expresa y, antes de proceder a ella, habrán de practicarse los correspondientes deslindes, que según el art. 26.1 del Reglamento general de costas deben especificar los planos que se aprueban, que han de permitir georreferenciar en la cartografía catastral el límite interior del dominio público marítimo-terrestre, así como el de la ribera del mar cuando no coincida con aquel, además de hacer constar la geolocalización de las servidumbres impuestas a los terrenos colindantes. La disposición impugnada no excluye la aplicación, caso por caso, de todos estos requisitos, que constituyen una exigencia previa e imprescindible para que la situación jurídica registral tanto de los bienes de dominio público como de las fincas colindantes no perturbe la seguridad jurídica garantizada por el art. 9.3 CE. Del mismo modo, la identificación </w:t>
      </w:r>
      <w:r w:rsidRPr="00163957">
        <w:rPr>
          <w:i/>
        </w:rPr>
        <w:t>ope legis</w:t>
      </w:r>
      <w:r>
        <w:t xml:space="preserve"> de los terrenos que han perdido sus características naturales no se extiende a excluir la verificación, en cada caso, de que dicha pérdida determina también que ya no son necesarios para la protección o utilización del dominio público, según lo previsto en el art. 17 LC, que exige la previa declaración de innecesariedad. Todas estas operaciones, lógicamente, requieren la adopción de las correspondientes resoluciones administrativas, siempre susceptibles como ya hemos dicho de control en vía jurisdiccional, como impone el art. 106.1 CE”.</w:t>
      </w:r>
    </w:p>
    <w:p w:rsidR="00163957" w:rsidRDefault="00163957" w:rsidP="00163957">
      <w:pPr>
        <w:pStyle w:val="TextoNormal"/>
      </w:pPr>
    </w:p>
    <w:p w:rsidR="00163957" w:rsidRDefault="00163957" w:rsidP="00163957">
      <w:pPr>
        <w:pStyle w:val="TextoNormal"/>
      </w:pPr>
      <w:r>
        <w:t xml:space="preserve">Con esta interpretación el precepto impugnado no implica ninguna discriminación entre núcleos costeros. Tanto los doce enunciados en la disposición adicional séptima de la Ley 2/2013 como cualesquiera otros omitidos en ella, radiquen en la Comunidad Autónoma de </w:t>
      </w:r>
      <w:r>
        <w:lastRenderedPageBreak/>
        <w:t>Canarias o no, podrán, a través de los expedientes administrativos legalmente previstos y que han sido someramente recordados en la interpretación conforme del precepto recurrido que acabamos de extractar, obtener la declaración de que, por las alteraciones sufridas en sus características naturales, no son ya necesarios para la protección o utilización del dominio público y, en consecuencia, la correlativa desafectación.</w:t>
      </w:r>
    </w:p>
    <w:p w:rsidR="00163957" w:rsidRDefault="00163957" w:rsidP="00163957">
      <w:pPr>
        <w:pStyle w:val="TextoNormal"/>
      </w:pPr>
    </w:p>
    <w:p w:rsidR="00163957" w:rsidRDefault="00163957" w:rsidP="00163957">
      <w:pPr>
        <w:pStyle w:val="TextoNormal"/>
      </w:pPr>
      <w:r>
        <w:t xml:space="preserve">Esta </w:t>
      </w:r>
      <w:r w:rsidRPr="00163957">
        <w:rPr>
          <w:i/>
        </w:rPr>
        <w:t>ratio</w:t>
      </w:r>
      <w:r>
        <w:t xml:space="preserve"> es plenamente trasladable a la presente impugnación, y así se hará constar en el fallo.</w:t>
      </w:r>
    </w:p>
    <w:p w:rsidR="00163957" w:rsidRDefault="00163957" w:rsidP="00163957">
      <w:pPr>
        <w:pStyle w:val="TextoNormal"/>
      </w:pPr>
    </w:p>
    <w:p w:rsidR="00163957" w:rsidRDefault="00163957" w:rsidP="00163957">
      <w:pPr>
        <w:pStyle w:val="TextoNormal"/>
      </w:pPr>
      <w:r w:rsidRPr="00163957">
        <w:rPr>
          <w:rStyle w:val="NumeroAFNegritaCaracter"/>
        </w:rPr>
        <w:t>10</w:t>
      </w:r>
      <w:r>
        <w:t>. El Gobierno de Canarias afirma la inconstitucionalidad de la disposición adicional octava de la Ley 2/2013, que establece lo siguiente:</w:t>
      </w:r>
    </w:p>
    <w:p w:rsidR="00163957" w:rsidRDefault="00163957" w:rsidP="00163957">
      <w:pPr>
        <w:pStyle w:val="TextoNormal"/>
      </w:pPr>
    </w:p>
    <w:p w:rsidR="00163957" w:rsidRDefault="00163957" w:rsidP="00163957">
      <w:pPr>
        <w:pStyle w:val="TextoNormal"/>
      </w:pPr>
      <w:r>
        <w:t>“1. El Ministerio de Agricultura, Alimentación y Medio Ambiente procederá, en el plazo de dos años desde la entrada en vigor de la presente Ley, a elaborar una estrategia para la adaptación de la costa a los efectos del cambio climático, que se someterá a Evaluación Ambiental Estratégica, en la que se indicarán los distintos grados de vulnerabilidad y riesgo del litoral y se propondrán medidas para hacer frente a sus posibles efectos.</w:t>
      </w:r>
    </w:p>
    <w:p w:rsidR="00163957" w:rsidRDefault="00163957" w:rsidP="00163957">
      <w:pPr>
        <w:pStyle w:val="TextoNormal"/>
      </w:pPr>
    </w:p>
    <w:p w:rsidR="00163957" w:rsidRDefault="00163957" w:rsidP="00163957">
      <w:pPr>
        <w:pStyle w:val="TextoNormal"/>
      </w:pPr>
      <w:r>
        <w:t>2. Igualmente las Comunidades Autónomas a las que se hayan adscrito terrenos de dominio público marítimo-terrestre, de acuerdo con el artículo 49 de la Ley 22/1988, de 28 de julio, de Costas, presentarán en el mismo plazo señalado en el apartado anterior, al Ministerio de Agricultura, Alimentación y Medio Ambiente, para su aprobación, un Plan de adaptación de dichos terrenos y de las estructuras construidas sobre ellos para hacer frente a los posibles efectos del cambio climático.”</w:t>
      </w:r>
    </w:p>
    <w:p w:rsidR="00163957" w:rsidRDefault="00163957" w:rsidP="00163957">
      <w:pPr>
        <w:pStyle w:val="TextoNormal"/>
      </w:pPr>
    </w:p>
    <w:p w:rsidR="00163957" w:rsidRDefault="00163957" w:rsidP="00163957">
      <w:pPr>
        <w:pStyle w:val="TextoNormal"/>
      </w:pPr>
      <w:r>
        <w:t>El Gobierno de Canarias formula dos impugnaciones. Afirma, de un lado, que “la regulación legal que ahora se cuestiona, en su apartado primero, en la medida en que reserva al Estado, sin la participación de las Comunidades Autónomas, la función de elaborar una estrategia para la adaptación de la costa a los efectos del cambio climático … vulnera el sistema de distribución competencial desconociendo la necesaria coordinación que debe existir entre las Administraciones Públicas que ostentan competencias concurrentes sobre un mismo espacio físico”. La concurrencia de competencias sobre un mismo espacio físico exige la coexistencia de, al menos, dos competencias sobre objetos materiales distintos.</w:t>
      </w:r>
    </w:p>
    <w:p w:rsidR="00163957" w:rsidRDefault="00163957" w:rsidP="00163957">
      <w:pPr>
        <w:pStyle w:val="TextoNormal"/>
      </w:pPr>
    </w:p>
    <w:p w:rsidR="00163957" w:rsidRDefault="00163957" w:rsidP="00163957">
      <w:pPr>
        <w:pStyle w:val="TextoNormal"/>
      </w:pPr>
      <w:r>
        <w:t>Por otra parte, los recurrentes señalan que la competencia autonómica que concurriría sobre el litoral con la estatal de legislación básica en materia ambiental (art. 149.1.23 CE) es la de desarrollo legislativo y ejecución en materia de medio ambiente (art. 32.12 EACan), esto es, una competencia que atribuye a la Comunidad Autónoma funciones distintas —desarrollo legislativo y ejecución— pero sobre el mismo ámbito material (medio ambiente). En aplicación de constante doctrina constitucional, la impugnación de las normas por supuestos vicios de inconstitucionalidad precisa de una fundamentación que contenga un análisis y una argumentación suficientes en la demanda (por todas, STC 72/2014, de 8 de mayo, FJ 4) y en este caso los recurrentes no han levantado la carga que les incumbe en relación a esta impugnación del apartado primero de la disposición adicional octava de la Ley 2/2013.</w:t>
      </w:r>
    </w:p>
    <w:p w:rsidR="00163957" w:rsidRDefault="00163957" w:rsidP="00163957">
      <w:pPr>
        <w:pStyle w:val="TextoNormal"/>
      </w:pPr>
    </w:p>
    <w:p w:rsidR="00163957" w:rsidRDefault="00163957" w:rsidP="00163957">
      <w:pPr>
        <w:pStyle w:val="TextoNormal"/>
      </w:pPr>
      <w:r>
        <w:t xml:space="preserve">La demanda razona, respecto a la otra impugnación, que se dirige respecto del apartado segundo de esta disposición, referida a “las Comunidades Autónomas a las que se hayan </w:t>
      </w:r>
      <w:r>
        <w:lastRenderedPageBreak/>
        <w:t>adscrito terrenos de dominio público marítimo-terrestre”, que “la exigencia de una evaluación estratégica de las costas españolas a fin de valorar los efectos del cambio climático no impide que, en el ámbito competencial que le es propio, la Comunidad Autónoma, pueda elaborarlo y aprobarlo, por lo que no se justifica que esa aprobación corresponda al Estado. Por tanto, este apartado 2 es inconstitucional en cuanto prevé que la aprobación del plan autonómico corresponda a la Administración estatal”.</w:t>
      </w:r>
    </w:p>
    <w:p w:rsidR="00163957" w:rsidRDefault="00163957" w:rsidP="00163957">
      <w:pPr>
        <w:pStyle w:val="TextoNormal"/>
      </w:pPr>
    </w:p>
    <w:p w:rsidR="00163957" w:rsidRDefault="00163957" w:rsidP="00163957">
      <w:pPr>
        <w:pStyle w:val="TextoNormal"/>
      </w:pPr>
      <w:r>
        <w:t>La STC 28/2016, FJ 7, ha abordado una impugnación idéntica y la ha resuelto declarando que el precepto recurrido es constitucional siempre que se tenga presente lo siguiente:</w:t>
      </w:r>
    </w:p>
    <w:p w:rsidR="00163957" w:rsidRDefault="00163957" w:rsidP="00163957">
      <w:pPr>
        <w:pStyle w:val="TextoNormal"/>
      </w:pPr>
    </w:p>
    <w:p w:rsidR="00163957" w:rsidRDefault="00163957" w:rsidP="00163957">
      <w:pPr>
        <w:pStyle w:val="TextoNormal"/>
      </w:pPr>
      <w:r>
        <w:t>“En su examen debemos partir de que se trata de bienes de dominio público adscritos a las Comunidades Autónomas, recordando al efecto la doctrina de la STC 149/1991, FJ 4 D.b.a’), en el que señalamos que ‘…la indudable titularidad autonómica de las obras e instalaciones portuarias no conlleva la plena titularidad demanial de aquella franja de terreno que es de titularidad estatal, por mandato expreso de la Constitución’, indicando además que dicha titularidad demanial del Estado justificaba que la Ley pudiera otorgar a la Administración Central la facultad de emitir un acto que otorgue el derecho a ocupar la ribera del mar necesaria para ampliar un puerto o para trazar una vía de transporte, facilitando así la colaboración entre las Administraciones estatal y autonómica para el cumplimiento de sus distintos fines: proteger la integridad del demanio costero y proveer los servicios portuarios y viarios de su competencia.</w:t>
      </w:r>
    </w:p>
    <w:p w:rsidR="00163957" w:rsidRDefault="00163957" w:rsidP="00163957">
      <w:pPr>
        <w:pStyle w:val="TextoNormal"/>
      </w:pPr>
    </w:p>
    <w:p w:rsidR="00163957" w:rsidRDefault="00163957" w:rsidP="00163957">
      <w:pPr>
        <w:pStyle w:val="TextoNormal"/>
      </w:pPr>
      <w:r>
        <w:t>Por tanto, el legislador estatal no sólo está facultado, sino obligado, a proteger el demanio marítimo-terrestre a fin de asegurar tanto el mantenimiento de su integridad física y jurídica, como su uso público y sus valores paisajísticos. Tampoco el hecho de que sobre los bienes adscritos se hayan desarrollado las correspondientes infraestructuras, hace perder a dichos bienes su condición demanial, tal y como acabamos de advertir, y, por tanto, no exonera al Estado de su deber de velar por la integridad física y jurídica del demanio maritimo-terrestre. Máxime si se tiene en cuenta que, como ya señalo la referida STC 149/1991, las obras sobre dicho dominio pueden llegar a producir una alteración importante del dominio, influir sobre la costa, afectar a su regresión, o distorsionar la dinámica litoral. Extremos todos ellos de indudable importancia desde el punto de vista de la adaptación de la costa a los efectos del cambio climático, cuya relevancia desde la perspectiva medioambiental ya ha sido destacada por la STC 233/2015, FFJJ 2.c) y 3 c).</w:t>
      </w:r>
    </w:p>
    <w:p w:rsidR="00163957" w:rsidRDefault="00163957" w:rsidP="00163957">
      <w:pPr>
        <w:pStyle w:val="TextoNormal"/>
      </w:pPr>
    </w:p>
    <w:p w:rsidR="00163957" w:rsidRDefault="00163957" w:rsidP="00163957">
      <w:pPr>
        <w:pStyle w:val="TextoNormal"/>
      </w:pPr>
      <w:r>
        <w:t>Lo anterior justifica una intervención como la que diseña el precepto impugnado, que cobra todo su sentido en atención a la titularidad estatal del demanio y el deber de preservación de su integridad. Por tanto, dado que la misma se explica por la necesidad de preservar las características propias de la zona marítimo-terrestre en relación con las repercusiones que el cambio climático puede tener sobre tales bienes demaniales, a tales extremos ha de quedar limitado el acto aprobatorio estatal sin que en ningún caso pueda extenderse al modo de disponer y configurar las infraestructuras autonómicas, que queda fuera del ámbito de aprobación estatal circunscrito, como se ha dicho, a los efectos de asegurar que el mencionado plan de adaptación cumpla la finalidad de garantizar la protección y defensa de las condiciones medioambientales del demanio frente al cambio climático. En suma, así interpretado, el precepto no resulta contrario a las competencias autonómicas. Esta interpretación de conformidad se llevará al fallo”.</w:t>
      </w:r>
    </w:p>
    <w:p w:rsidR="00163957" w:rsidRDefault="00163957" w:rsidP="00163957">
      <w:pPr>
        <w:pStyle w:val="TextoNormal"/>
      </w:pPr>
    </w:p>
    <w:p w:rsidR="00163957" w:rsidRDefault="00163957" w:rsidP="00163957">
      <w:pPr>
        <w:pStyle w:val="TextoNormal"/>
      </w:pPr>
      <w:r>
        <w:lastRenderedPageBreak/>
        <w:t>Estos criterios son directamente aplicables a la presente impugnación, que debe desestimarse en virtud de ellos, de lo que se dejará expresa constancia en el fallo.</w:t>
      </w:r>
    </w:p>
    <w:p w:rsidR="00163957" w:rsidRDefault="00163957" w:rsidP="00163957">
      <w:pPr>
        <w:pStyle w:val="TextoNormal"/>
      </w:pPr>
    </w:p>
    <w:p w:rsidR="00163957" w:rsidRDefault="00163957" w:rsidP="00163957">
      <w:pPr>
        <w:pStyle w:val="TextoNormal"/>
      </w:pPr>
      <w:r w:rsidRPr="00163957">
        <w:rPr>
          <w:rStyle w:val="NumeroAFNegritaCaracter"/>
        </w:rPr>
        <w:t>11</w:t>
      </w:r>
      <w:r>
        <w:t>. Finalmente, el Gobierno de Canarias afirma la inconstitucionalidad de la disposición transitoria primera de la Ley 2/2013, sobre la aplicación de la disposición transitoria tercera, apartado 3, de la Ley 22/1988, que dispone lo siguiente:</w:t>
      </w:r>
    </w:p>
    <w:p w:rsidR="00163957" w:rsidRDefault="00163957" w:rsidP="00163957">
      <w:pPr>
        <w:pStyle w:val="TextoNormal"/>
      </w:pPr>
    </w:p>
    <w:p w:rsidR="00163957" w:rsidRDefault="00163957" w:rsidP="00163957">
      <w:pPr>
        <w:pStyle w:val="TextoNormal"/>
      </w:pPr>
      <w:r>
        <w:t>“1. En el plazo de dos años desde la entrada en vigor de la presente Ley, se podrá instar que el régimen previsto en la disposición transitoria tercera, apartado 3, de la Ley 22/1988, de 28 de julio, de Costas, se aplique igualmente a los núcleos o áreas que, a su entrada en vigor, no estuvieran clasificados como suelo urbano pero que, en ese momento, reunieran alguno de los siguientes requisitos:</w:t>
      </w:r>
    </w:p>
    <w:p w:rsidR="00163957" w:rsidRDefault="00163957" w:rsidP="00163957">
      <w:pPr>
        <w:pStyle w:val="TextoNormal"/>
      </w:pPr>
    </w:p>
    <w:p w:rsidR="00163957" w:rsidRDefault="00163957" w:rsidP="00163957">
      <w:pPr>
        <w:pStyle w:val="TextoNormal"/>
      </w:pPr>
      <w:r>
        <w:t>a) En municipios con planeamiento, los terrenos que, o bien cuenten con acceso rodado, abastecimiento de agua, evacuación de aguas residuales y suministro de energía eléctrica y estuvieran consolidados por la edificación en al menos un tercio de su superficie, o bien, careciendo de alguno de los requisitos citados, estuvieran comprendidos en áreas consolidadas por la edificación como mínimo en dos terceras partes de su superficie, de conformidad con la ordenación de aplicación.</w:t>
      </w:r>
    </w:p>
    <w:p w:rsidR="00163957" w:rsidRDefault="00163957" w:rsidP="00163957">
      <w:pPr>
        <w:pStyle w:val="TextoNormal"/>
      </w:pPr>
    </w:p>
    <w:p w:rsidR="00163957" w:rsidRDefault="00163957" w:rsidP="00163957">
      <w:pPr>
        <w:pStyle w:val="TextoNormal"/>
      </w:pPr>
      <w:r>
        <w:t>b) En municipios sin planeamiento, los terrenos que, o bien cuenten con acceso rodado, abastecimiento de agua, evacuación de aguas residuales y suministro de energía eléctrica y estuvieran consolidados por la edificación en al menos un tercio de su superficie, o bien, careciendo de alguno de los requisitos citados, estuvieran comprendidos en áreas consolidadas por la edificación como mínimo en la mitad de su superficie.</w:t>
      </w:r>
    </w:p>
    <w:p w:rsidR="00163957" w:rsidRDefault="00163957" w:rsidP="00163957">
      <w:pPr>
        <w:pStyle w:val="TextoNormal"/>
      </w:pPr>
    </w:p>
    <w:p w:rsidR="00163957" w:rsidRDefault="00163957" w:rsidP="00163957">
      <w:pPr>
        <w:pStyle w:val="TextoNormal"/>
      </w:pPr>
      <w:r>
        <w:t>2. Esta disposición se aplicará a los núcleos o áreas delimitados por el planeamiento, y en defecto de este, serán delimitados por la Administración urbanística competente; en ambos casos, previo informe favorable del Ministerio de Agricultura, Alimentación y Medio Ambiente que deberá pronunciarse sobre la delimitación y compatibilidad de tales núcleos o áreas con la integridad y defensa del dominio público marítimo-terrestre. Este informe deberá emitirse en el plazo de dieciocho meses desde que haya sido solicitado por la Administración urbanística. En caso de que no se emitiera en este plazo se entenderá que es favorable.</w:t>
      </w:r>
    </w:p>
    <w:p w:rsidR="00163957" w:rsidRDefault="00163957" w:rsidP="00163957">
      <w:pPr>
        <w:pStyle w:val="TextoNormal"/>
      </w:pPr>
    </w:p>
    <w:p w:rsidR="00163957" w:rsidRDefault="00163957" w:rsidP="00163957">
      <w:pPr>
        <w:pStyle w:val="TextoNormal"/>
      </w:pPr>
      <w:r>
        <w:t>3. Las Administraciones urbanísticas que ya hayan delimitado o clasificado como suelo urbano a los núcleos o áreas a los que se refiere el apartado primero de esta disposición deberán solicitar al Ministerio de Agricultura, Alimentación y Medio Ambiente el informe previsto en el apartado segundo de esta disposición en el plazo de tres meses desde la entrada en vigor de la presente Ley. El informe deberá emitirse en el plazo de dieciocho meses desde que haya sido solicitado. En caso de que no se emitiera en ese plazo se entenderá que es favorable.</w:t>
      </w:r>
    </w:p>
    <w:p w:rsidR="00163957" w:rsidRDefault="00163957" w:rsidP="00163957">
      <w:pPr>
        <w:pStyle w:val="TextoNormal"/>
      </w:pPr>
    </w:p>
    <w:p w:rsidR="00163957" w:rsidRDefault="00163957" w:rsidP="00163957">
      <w:pPr>
        <w:pStyle w:val="TextoNormal"/>
      </w:pPr>
      <w:r>
        <w:t>4. No obstante, en los núcleos y áreas a los que se refiere la presente disposición, no se podrán autorizar nuevas construcciones de las prohibidas en el artículo 25 de la Ley 22/1988, de 28 de julio, de Costas.”</w:t>
      </w:r>
    </w:p>
    <w:p w:rsidR="00163957" w:rsidRDefault="00163957" w:rsidP="00163957">
      <w:pPr>
        <w:pStyle w:val="TextoNormal"/>
      </w:pPr>
    </w:p>
    <w:p w:rsidR="00163957" w:rsidRDefault="00163957" w:rsidP="00163957">
      <w:pPr>
        <w:pStyle w:val="TextoNormal"/>
      </w:pPr>
      <w:r>
        <w:lastRenderedPageBreak/>
        <w:t>El recurrente sostiene que el régimen establecido en esta norma se vincula a conceptos urbanísticos, de donde deriva que incurre en extralimitación competencial porque esta regulación se incardina en la competencia autonómica sobre urbanismo, recordando que la Comunidad Autónoma de Canarias, en ejercicio de la misma (30.15 EACan), ha dictado Ley 7/2009, de 6 de mayo, de modificación del texto refundido de las leyes de ordenación del territorio de Canarias y de espacios naturales de Canarias sobre declaración y ordenación de áreas urbanas en el litoral canario, que ha dispuesto un régimen parcialmente distinto. También considera, por conexión, que el señalamiento de un plazo para la delimitación por la Administración urbanística de los núcleos o áreas afectados (apartados 1 y 2), la necesidad de informe estatal vinculante (apartados 2 y 3) y, en fin, la prohibición de nuevas construcciones (apartado 4) inciden en esta misma vulneración competencial.</w:t>
      </w:r>
    </w:p>
    <w:p w:rsidR="00163957" w:rsidRDefault="00163957" w:rsidP="00163957">
      <w:pPr>
        <w:pStyle w:val="TextoNormal"/>
      </w:pPr>
    </w:p>
    <w:p w:rsidR="00163957" w:rsidRDefault="00163957" w:rsidP="00163957">
      <w:pPr>
        <w:pStyle w:val="TextoNormal"/>
      </w:pPr>
      <w:r>
        <w:t>La Ley 7/2009 fue recurrida ante este Tribunal y resuelta por STC 5/2015, de 22 de enero, que declaró inconstitucionales y nulos los arts. 1, 2 y los apartados 2 y 3 del art. 3 de la citada Ley territorial 7/2009, de 6 de mayo, de modificación del texto refundido de las leyes de ordenación del territorio de Canarias y espacios naturales de Canarias.</w:t>
      </w:r>
    </w:p>
    <w:p w:rsidR="00163957" w:rsidRDefault="00163957" w:rsidP="00163957">
      <w:pPr>
        <w:pStyle w:val="TextoNormal"/>
      </w:pPr>
    </w:p>
    <w:p w:rsidR="00163957" w:rsidRDefault="00163957" w:rsidP="00163957">
      <w:pPr>
        <w:pStyle w:val="TextoNormal"/>
      </w:pPr>
      <w:r>
        <w:t>La STC 233/2015, FJ 16, ha desestimado una impugnación idéntica basándose en que “ya en la STC 149/1991, nos pronunciamos sobre esta cuestión, afirmando como incuestionable que ‘la incidencia que todo ello tiene en las competencias urbanísticas de las Administraciones autonómicas y municipales correspondientes queda plenamente justificada en la medida en que, como ya se ha visto, también lo están las prohibiciones y limitaciones que, en relación al uso del suelo por razones medioambientales (art. 149.1.23 C.E.), se imponen en las zonas de servidumbre de protección y de influencia. Cabe aun añadir que este régimen transitorio encuentra además complementaria cobertura en la competencia que al Estado reserva el art. 149.1.1 de la C.E., ya que con él se garantiza que las limitaciones y servidumbres que establece la Ley no tengan una proyección desigual sobre las facultades de los propietarios según las diversas situaciones urbanísticas de los terrenos e inmuebles de su titularidad’ [FJ 8 D)]. Y así lo hemos ratificado en las SSTC 198/1991, de 17 de octubre, 87/2012, de 18 de abril, 137/2012, de 19 de junio, 34/2014, de 27 de febrero, y 5/2015, de 22 de enero”. El mismo criterio ha sido adoptado en la STC 6/2016, FJ 4 e).</w:t>
      </w:r>
    </w:p>
    <w:p w:rsidR="00163957" w:rsidRDefault="00163957" w:rsidP="00163957">
      <w:pPr>
        <w:pStyle w:val="TextoNormal"/>
      </w:pPr>
    </w:p>
    <w:p w:rsidR="00163957" w:rsidRDefault="00163957" w:rsidP="00163957">
      <w:pPr>
        <w:pStyle w:val="TextoNormal"/>
      </w:pPr>
      <w:r>
        <w:t>La doctrina expuesta, determina que la imposición de plazos, el sometimiento a informes estatales y la prohibición de nuevas construcciones previstos en la disposición impugnada son recto ejercicio de la competencia estatal, y no condicionantes ilegítimos de las atribuciones autonómicas en materia de ordenación del territorio y urbanismo. De este modo, las impugnaciones conexas que formulaba la demanda también deban ser desestimadas.</w:t>
      </w:r>
    </w:p>
    <w:p w:rsidR="00163957" w:rsidRDefault="00163957" w:rsidP="00163957">
      <w:pPr>
        <w:pStyle w:val="TextoNormal"/>
      </w:pPr>
    </w:p>
    <w:p w:rsidR="00163957" w:rsidRDefault="00163957" w:rsidP="00163957">
      <w:pPr>
        <w:pStyle w:val="TextoNormal"/>
      </w:pPr>
      <w:r>
        <w:t xml:space="preserve">La demanda contiene también una impugnación autónoma referida al informe estatal previsto en el apartado 3. El recurrente sostiene que, dado que el informe allí previsto se refiere a un planeamiento ya aprobado y vigente, sus efectos se proyectan respecto de una situación jurídica consumada, por lo que conlleva una retroactividad auténtica prohibida por el art 9.3 CE. Esta impugnación también debe ser desestimada porque los efectos que produce el planeamiento vigente son de carácter meramente urbanístico, mientras que la eficacia que se deriva de la disposición impugnada, que es respecto de la que el informe estatal ha de pronunciarse, es radicalmente distinta, pues persigue modular en lo que hace a determinados núcleos o áreas el régimen de protección del dominio público marítimo-terrestre, </w:t>
      </w:r>
      <w:r>
        <w:lastRenderedPageBreak/>
        <w:t>cuestión esta última sobre la que no había ninguna situación consolidada al tiempo que se aprueba la Ley 2/2013.</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Declarar que ha perdido objeto la impugnación de las disposiciones adicionales cuarta y novena de la Ley 2/2013, de 29 de mayo, de protección y uso sostenible del litoral y de modificación de la Ley 22/1988, de 28 de julio.</w:t>
      </w:r>
    </w:p>
    <w:p w:rsidR="00163957" w:rsidRDefault="00163957" w:rsidP="00163957">
      <w:pPr>
        <w:pStyle w:val="TextoNormal"/>
      </w:pPr>
    </w:p>
    <w:p w:rsidR="00163957" w:rsidRDefault="00163957" w:rsidP="00163957">
      <w:pPr>
        <w:pStyle w:val="TextoNormal"/>
      </w:pPr>
      <w:r>
        <w:t>2º Declarar que la disposición adicional séptima y, por conexión, el anexo de la Ley 2/2013 no son inconstitucionales siempre que se interpreten en los términos establecidos en el fundamento jurídico noveno.</w:t>
      </w:r>
    </w:p>
    <w:p w:rsidR="00163957" w:rsidRDefault="00163957" w:rsidP="00163957">
      <w:pPr>
        <w:pStyle w:val="TextoNormal"/>
      </w:pPr>
    </w:p>
    <w:p w:rsidR="00163957" w:rsidRDefault="00163957" w:rsidP="00163957">
      <w:pPr>
        <w:pStyle w:val="TextoNormal"/>
      </w:pPr>
      <w:r>
        <w:t>3º Declarar que el apartado 2 de la disposición adicional octava de la Ley 2/2013 es conforme con el orden constitucional de distribución de competencias interpretado en los términos del fundamento jurídico décimo.</w:t>
      </w:r>
    </w:p>
    <w:p w:rsidR="00163957" w:rsidRDefault="00163957" w:rsidP="00163957">
      <w:pPr>
        <w:pStyle w:val="TextoNormal"/>
      </w:pPr>
    </w:p>
    <w:p w:rsidR="00163957" w:rsidRDefault="00163957" w:rsidP="00163957">
      <w:pPr>
        <w:pStyle w:val="TextoNormal"/>
      </w:pPr>
      <w:r>
        <w:t>4º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diecisiete de marzo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Juan Antonio Xiol Ríos respecto de la Sentencia dictada en el recurso de inconstitucionalidad núm. 5009-2013.</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en la que se sustenta la sentencia, manifiesto mi discrepancia con su fundamento jurídico 9 y con la interpretación conforme a la Constitución que se efectúa de la disposición adicional séptima de la Ley 2/2013,de 29 de mayo.</w:t>
      </w:r>
    </w:p>
    <w:p w:rsidR="00163957" w:rsidRDefault="00163957" w:rsidP="00163957">
      <w:pPr>
        <w:pStyle w:val="TextoNormal"/>
      </w:pPr>
    </w:p>
    <w:p w:rsidR="00163957" w:rsidRDefault="00163957" w:rsidP="00163957">
      <w:pPr>
        <w:pStyle w:val="TextoNormal"/>
      </w:pPr>
      <w:r>
        <w:t xml:space="preserve">1. La Sentencia desestima la impugnación de la disposición adicional séptima al considerar que esta norma no implica ninguna discriminación entre núcleos costeros, pues, según se sostiene, la regulación que esta norma establece no resulta aplicable únicamente a los doce núcleos de población a los que expresamente se refiere esta disposición, que son los enumerados en el anexo de esta ley, en la extensión que se fija en la planimetría incorporada al propio anexo, sino a “cualesquiera otros omitidos en ella, radiquen en la Comunidad Autónoma de Canarias o no”. Según se afirma en el fundamento jurídico 9 </w:t>
      </w:r>
      <w:r w:rsidRPr="00163957">
        <w:rPr>
          <w:i/>
        </w:rPr>
        <w:t>in fine</w:t>
      </w:r>
      <w:r>
        <w:t>, estos otros núcleos de población no expresamente previstos en la referida disposición adicional “a través de los expedientes administrativos legalmente previstos [… podrán] obtener la declara</w:t>
      </w:r>
      <w:r>
        <w:lastRenderedPageBreak/>
        <w:t>ción de que, por las alteraciones sufridas en sus características naturales, no son ya necesarios para la protección o utilización del dominio público y, en consecuencia, la correlativa desafectación”.</w:t>
      </w:r>
    </w:p>
    <w:p w:rsidR="00163957" w:rsidRDefault="00163957" w:rsidP="00163957">
      <w:pPr>
        <w:pStyle w:val="TextoNormal"/>
      </w:pPr>
    </w:p>
    <w:p w:rsidR="00163957" w:rsidRDefault="00163957" w:rsidP="00163957">
      <w:pPr>
        <w:pStyle w:val="TextoNormal"/>
      </w:pPr>
      <w:r>
        <w:t>Tal declaración me parece un esfuerzo loable para tratar de conservar la ley y evitar, por tanto, su declaración de inconstitucionalidad. Sin embargo, en este caso, efectuar esta interpretación de la disposición impugnada, que es la que efectuó la STC 233/2015 cuando enjuició esta misma disposición, no resulta, en mi opinión, admisible. En el supuesto que ahora se analiza existen circunstancias que, a mi juicio, hubieran justificado que el Tribunal hubiera cambiado de criterio y hubiera declarado la inconstitucionalidad y nulidad de esta disposición adicional por ser contraria al art. 14 CE.</w:t>
      </w:r>
    </w:p>
    <w:p w:rsidR="00163957" w:rsidRDefault="00163957" w:rsidP="00163957">
      <w:pPr>
        <w:pStyle w:val="TextoNormal"/>
      </w:pPr>
    </w:p>
    <w:p w:rsidR="00163957" w:rsidRDefault="00163957" w:rsidP="00163957">
      <w:pPr>
        <w:pStyle w:val="TextoNormal"/>
      </w:pPr>
      <w:r>
        <w:t xml:space="preserve">2. En el presente caso, no cabe interpretar esta disposición adicional en el sentido que efectúa la Sentencia, porque esto supone ir más allá de lo que la propia norma establece (expresamente dice que la regulación prevista en la misma es solo aplicable a los doce núcleos de población que enumera su anexo y en la planimetría incorporada al mismo), lo que conlleva, por tanto, que el Tribunal actúe, no como juez de la norma sometida a su consideración, sino como legislador, lo que excede de su propia jurisdicción. Pero, además, se da la circunstancia de que, en este caso, al entender que la interpretación que establece la STC 233/2015 resulta de aplicación a cualquier núcleo de población que se encuentre en las mismas circunstancias que los que establece esta disposición adicional, se está desvirtuando la interpretación conforme a la que llegó el Tribunal en la citada sentencia. Según se declaró en la STC 233/2015, FJ 14, la virtualidad de esta disposición “radica en la identificación, </w:t>
      </w:r>
      <w:r w:rsidRPr="00163957">
        <w:rPr>
          <w:i/>
        </w:rPr>
        <w:t>ope legis</w:t>
      </w:r>
      <w:r>
        <w:t>, de unos terrenos que notoriamente han perdido por obra de la acción del hombre las características de dominio público natural excluyéndose la necesidad de esa justificación, que según su propio apartado 4 no implica la efectividad inmediata de la exclusión, siendo solo el presupuesto para la iniciación del expediente que, en su caso, puede terminar con su desafectación”. Esta virtualidad, como es evidente, no puede tenerla respecto de los núcleos de población que no se encuentran expresamente mencionados en el anexo de la ley, pues al no estar nombrados en la ley, la disposición impugnada no puede tener respecto de ellos ese efecto identificador, que es la virtualidad que tiene esta disposición, según se estableció en la STC 233/2015. Esta interpretación permite, ciertamente, descartar la vulneración del art. 24.1 CE que, entre otras vulneraciones, incluida la del art. 14 CE, se aducía en el recurso del que trae causa la referida sentencia —los recurrentes, adujeron, entre otros motivos, que este precepto determinaba una exclusión legal de los referidos terrenos del dominio público, lo que conllevaba que esta supuesta desafectación no pudiera ser contralada por los jueces y tribunales al haberla efectuado el legislador—, pero no permite considerar resuelta la vulneración del principio de igualdad tal y como se plantea en el presente recurso de inconstitucionalidad.</w:t>
      </w:r>
    </w:p>
    <w:p w:rsidR="00163957" w:rsidRDefault="00163957" w:rsidP="00163957">
      <w:pPr>
        <w:pStyle w:val="TextoNormal"/>
      </w:pPr>
    </w:p>
    <w:p w:rsidR="00163957" w:rsidRDefault="00163957" w:rsidP="00163957">
      <w:pPr>
        <w:pStyle w:val="TextoNormal"/>
      </w:pPr>
      <w:r>
        <w:t xml:space="preserve">En efecto, la interpretación conforme que se establece en relación con esta disposición adicional supone extender el régimen jurídico que prevé esta disposición a terrenos distintos de los expresamente previstos en la misma y esta extensión, al margen de privar de fundamento a la interpretación conforme que efectuó la STC 233/2015 —como se ha indicado en la citada sentencia se consideró que la virtualidad de esta disposición era únicamente identificar </w:t>
      </w:r>
      <w:r w:rsidRPr="00163957">
        <w:rPr>
          <w:i/>
        </w:rPr>
        <w:t>ope legis</w:t>
      </w:r>
      <w:r>
        <w:t xml:space="preserve"> los terrenos que podían ser desafectados siguiendo los procedimientos administrativos previstos en el art. 18 de la propia Ley de Costas— conlleva que este Tribunal </w:t>
      </w:r>
      <w:r>
        <w:lastRenderedPageBreak/>
        <w:t>se erija en legislador y atribuya a una norma un contenido que no estaba previsto en la misma, ni su inclusión es una exigencia constitucional.</w:t>
      </w:r>
    </w:p>
    <w:p w:rsidR="00163957" w:rsidRDefault="00163957" w:rsidP="00163957">
      <w:pPr>
        <w:pStyle w:val="TextoNormal"/>
      </w:pPr>
    </w:p>
    <w:p w:rsidR="00163957" w:rsidRDefault="00163957" w:rsidP="00163957">
      <w:pPr>
        <w:pStyle w:val="TextoNormal"/>
      </w:pPr>
      <w:r>
        <w:t>3. Por ello, como considero que este Tribunal no puede actuar como legislador positivo, y esta norma establece una diferencia de trato que carece de justificación —ni el legislador ha expuesto las razones por las que específicamente establece un específico régimen para unos determinados núcleos de población, ni estas razones pueden inferirse de la propia Ley 2/2013, de 29 de mayo— el único modo de garantizar el respeto del principio de igualdad que consagra el art. 14 CE, es declarar inconstitucional la norma impugnada y anularla; no ampliar el régimen jurídico previsto en la misma a todos los terrenos que se encontraran en las mismas circunstancias que los que expresamente menciona el anexo de esta Ley.</w:t>
      </w:r>
    </w:p>
    <w:p w:rsidR="00163957" w:rsidRDefault="00163957" w:rsidP="00163957">
      <w:pPr>
        <w:pStyle w:val="TextoNormal"/>
      </w:pPr>
    </w:p>
    <w:p w:rsidR="00163957" w:rsidRDefault="00163957" w:rsidP="00163957">
      <w:pPr>
        <w:pStyle w:val="TextoNormal"/>
      </w:pPr>
      <w:r>
        <w:t>Con el fallo aprobado, a mi entender, se deja en entredicho el principio de seguridad jurídica y se abre un profundo interrogante sobre la protección del espacio marítimo-terrestre, por lo que lamento que me resulte imposible compartir la solución adoptada.</w:t>
      </w:r>
    </w:p>
    <w:p w:rsidR="00163957" w:rsidRDefault="00163957" w:rsidP="00163957">
      <w:pPr>
        <w:pStyle w:val="TextoNormal"/>
      </w:pPr>
    </w:p>
    <w:p w:rsidR="00163957" w:rsidRDefault="00163957" w:rsidP="00163957">
      <w:pPr>
        <w:pStyle w:val="TextoNormal"/>
      </w:pPr>
      <w:r>
        <w:t>Madrid, a diecisiete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61" w:name="SENTENCIA_2016_58"/>
      <w:r>
        <w:lastRenderedPageBreak/>
        <w:t>SENTENCIA 58/2016, de 17 de marzo de 2016</w:t>
      </w:r>
    </w:p>
    <w:bookmarkEnd w:id="61"/>
    <w:p w:rsidR="00163957" w:rsidRDefault="00163957" w:rsidP="00163957">
      <w:pPr>
        <w:pStyle w:val="TtuloResolucin"/>
      </w:pPr>
      <w:r>
        <w:t>Pleno</w:t>
      </w:r>
    </w:p>
    <w:p w:rsidR="00163957" w:rsidRDefault="00163957" w:rsidP="00163957">
      <w:pPr>
        <w:pStyle w:val="TtuloBOE"/>
      </w:pPr>
      <w:r>
        <w:t>(BOE núm. 97, de 22 de abril de 2016)</w:t>
      </w:r>
    </w:p>
    <w:p w:rsidR="00163957" w:rsidRDefault="00163957" w:rsidP="00163957">
      <w:pPr>
        <w:pStyle w:val="TextoNormalCentrado"/>
      </w:pPr>
      <w:r>
        <w:t>ECLI:ES:TC:2016:58</w:t>
      </w:r>
    </w:p>
    <w:p w:rsidR="00163957" w:rsidRDefault="00163957" w:rsidP="00163957">
      <w:pPr>
        <w:pStyle w:val="TextoNormalCentrado"/>
      </w:pPr>
    </w:p>
    <w:p w:rsidR="00163957" w:rsidRDefault="00163957" w:rsidP="00163957">
      <w:pPr>
        <w:pStyle w:val="SntesisDescriptiva"/>
      </w:pPr>
      <w:r>
        <w:t>Cuestión interna de inconstitucionalidad 5344-2013. Planteada por la Sala Segunda del Tribunal Constitucional en relación con el art. 102 bis.2 de la Ley 29/1998, de 13 de julio, reguladora de la jurisdicción contencioso-administrativa, añadido por la Ley 13/2009, de 3 de noviembre, de reforma de la legislación procesal para la implantación de la nueva oficina judicial.</w:t>
      </w:r>
    </w:p>
    <w:p w:rsidR="00163957" w:rsidRDefault="00163957" w:rsidP="00163957">
      <w:pPr>
        <w:pStyle w:val="SntesisDescriptiva"/>
      </w:pPr>
    </w:p>
    <w:p w:rsidR="00163957" w:rsidRDefault="00163957" w:rsidP="00163957">
      <w:pPr>
        <w:pStyle w:val="SntesisAnaltica"/>
      </w:pPr>
      <w:r>
        <w:t>Derecho a la tutela judicial efectiva y principio de exclusividad de la potestad jurisdiccional: nulidad del precepto legal que excluye la intervención judicial en la revisión de las diligencias de ordenación dictadas por el Letrado de la Administración de Justicia.</w:t>
      </w:r>
    </w:p>
    <w:p w:rsidR="00163957" w:rsidRDefault="00163957" w:rsidP="00163957">
      <w:pPr>
        <w:pStyle w:val="SntesisAnaltica"/>
      </w:pPr>
    </w:p>
    <w:p w:rsidR="00163957" w:rsidRDefault="00163957" w:rsidP="00163957">
      <w:pPr>
        <w:pStyle w:val="Extracto"/>
      </w:pPr>
      <w:r>
        <w:t>1.</w:t>
      </w:r>
      <w:r>
        <w:tab/>
        <w:t>El artículo 102 bis. 2 de la Ley reguladora de la Jurisdicción Contencioso-administrativa es inconstitucional al crear un espacio de inmunidad jurisdiccional incompatible con el derecho fundamental a la tutela judicial efectiva y la reserva de jurisdicción a los Jueces y Tribunales integrantes el poder judicial [FJ 7].</w:t>
      </w:r>
    </w:p>
    <w:p w:rsidR="00163957" w:rsidRDefault="00163957" w:rsidP="00163957">
      <w:pPr>
        <w:pStyle w:val="Extracto"/>
      </w:pPr>
    </w:p>
    <w:p w:rsidR="00163957" w:rsidRDefault="00163957" w:rsidP="00163957">
      <w:pPr>
        <w:pStyle w:val="Extracto"/>
      </w:pPr>
      <w:r>
        <w:t>2.</w:t>
      </w:r>
      <w:r>
        <w:tab/>
        <w:t>La exclusión del recurso judicial contra de los decretos del Letrado de la Administración de Justicia que resuelven la reposición cercena el derecho del justiciable a someter a la decisión última del Juez o Tribunal, a quien compete de modo exclusivo la potestad jurisdiccional, la resolución de una cuestión que atañe a sus derechos e intereses legítimos, pudiendo afectar incluso a otro derecho fundamental (ATC 163/2013) [FJ 7].</w:t>
      </w:r>
    </w:p>
    <w:p w:rsidR="00163957" w:rsidRDefault="00163957" w:rsidP="00163957">
      <w:pPr>
        <w:pStyle w:val="Extracto"/>
      </w:pPr>
    </w:p>
    <w:p w:rsidR="00163957" w:rsidRDefault="00163957" w:rsidP="00163957">
      <w:pPr>
        <w:pStyle w:val="Extracto"/>
      </w:pPr>
      <w:r>
        <w:t>3.</w:t>
      </w:r>
      <w:r>
        <w:tab/>
        <w:t>Es exigencia ineludible del derecho a la tutela judicial efectiva garantizado por el art. 24.1 CE que toda resolución del Letrado de la Administración de Justicia en el proceso pueda ser sometida al control del Juez o tribunal [FJ 4].</w:t>
      </w:r>
    </w:p>
    <w:p w:rsidR="00163957" w:rsidRDefault="00163957" w:rsidP="00163957">
      <w:pPr>
        <w:pStyle w:val="Extracto"/>
      </w:pPr>
    </w:p>
    <w:p w:rsidR="00163957" w:rsidRDefault="00163957" w:rsidP="00163957">
      <w:pPr>
        <w:pStyle w:val="Extracto"/>
      </w:pPr>
      <w:r>
        <w:t>4.</w:t>
      </w:r>
      <w:r>
        <w:tab/>
        <w:t>Del principio de exclusividad de Jueces y Magistrados en el ejercicio de la potestad jurisdiccional no puede inferirse la existencia de una correlativa prohibición impuesta al legislador, por la que se condicione su libertad de configuración para elegir el nivel de densidad normativa con que pretende regular una determinada materia (SSTC 181/2000, 190/2005) [FJ 4].</w:t>
      </w:r>
    </w:p>
    <w:p w:rsidR="00163957" w:rsidRDefault="00163957" w:rsidP="00163957">
      <w:pPr>
        <w:pStyle w:val="Extracto"/>
      </w:pPr>
    </w:p>
    <w:p w:rsidR="00163957" w:rsidRDefault="00163957" w:rsidP="00163957">
      <w:pPr>
        <w:pStyle w:val="Extracto"/>
      </w:pPr>
      <w:r>
        <w:t>5.</w:t>
      </w:r>
      <w:r>
        <w:tab/>
        <w:t>En la distribución de funciones dentro del proceso, la Ley 13/2009 reserva a los Jueces y Magistrados las decisiones procesales que puedan afectar a la función o potestad estrictamente jurisdiccional y atribuye a los Letrados de la Administración de Justicia, que asumen la dirección de la oficina judicial, aquellas funciones que no tienen carácter jurisdiccional, lo que incluye el dictado de resoluciones procesales que no tengan este carácter [FJ 4].</w:t>
      </w:r>
    </w:p>
    <w:p w:rsidR="00163957" w:rsidRDefault="00163957" w:rsidP="00163957">
      <w:pPr>
        <w:pStyle w:val="Extracto"/>
      </w:pPr>
    </w:p>
    <w:p w:rsidR="00163957" w:rsidRDefault="00163957" w:rsidP="00163957">
      <w:pPr>
        <w:pStyle w:val="Extracto"/>
      </w:pPr>
      <w:r>
        <w:t>6.</w:t>
      </w:r>
      <w:r>
        <w:tab/>
        <w:t>El amparo contra actos judiciales</w:t>
      </w:r>
      <w:r w:rsidRPr="00163957">
        <w:rPr>
          <w:i/>
        </w:rPr>
        <w:t xml:space="preserve"> ex</w:t>
      </w:r>
      <w:r>
        <w:t xml:space="preserve"> art. 44 LOTC ha de entenderse referido a los Juzgados y Tribunales servidos por Jueces y Magistrados integrados en el Poder Judicial, sin que quepa realizar una interpretación amplia de ese concepto que </w:t>
      </w:r>
      <w:r>
        <w:lastRenderedPageBreak/>
        <w:t>permita convertir en objeto del recurso de amparo todo acto procedente de cualquier sujeto que se encuentre incluido en la organización judicial (ATC 163/2013) [FJ 3].</w:t>
      </w:r>
    </w:p>
    <w:p w:rsidR="00163957" w:rsidRDefault="00163957" w:rsidP="00163957">
      <w:pPr>
        <w:pStyle w:val="Extracto"/>
      </w:pPr>
    </w:p>
    <w:p w:rsidR="00163957" w:rsidRDefault="00163957" w:rsidP="00163957">
      <w:pPr>
        <w:pStyle w:val="Extracto"/>
      </w:pPr>
      <w:r>
        <w:t>7.</w:t>
      </w:r>
      <w:r>
        <w:tab/>
        <w:t>La lesión constitucional recurrible en amparo sólo podría ser atribuible a una actuación de los órganos judiciales, que son los llamados a prestar la tutela jurisdiccional de los derechos (STC 76/1999)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interna de inconstitucionalidad núm. 5344-2013, planteada por la Sala Segunda del Tribunal Constitucional en relación con el art. 102 bis, apartado 2, de la Ley 29/1998, de 13 de julio, reguladora de la jurisdicción contencioso-administrativa, añadido por la Ley 13/2009, de 3 de noviembre, de reforma de la legislación procesal para la implantación de la nueva oficina judicial. Han intervenido el Abogado del Estado y el Fiscal General del Estado. Ha sido Ponente el Magistrado don Andrés Ollero Tassara,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Mediante providencia de 8 de octubre de 2013, el Pleno de este Tribunal admitió a trámite una cuestión interna de inconstitucionalidad planteada por su Sala Segunda en el recurso de amparo núm. 4577-2011, en relación con el art. 102 </w:t>
      </w:r>
      <w:r w:rsidRPr="00163957">
        <w:rPr>
          <w:i/>
        </w:rPr>
        <w:t>bis</w:t>
      </w:r>
      <w:r>
        <w:t>.2, de la Ley 29/1998, de 13 de julio, reguladora de la jurisdicción contencioso-administrativa (LJCA), añadido por la Ley 13/2009, de 3 de noviembre, de reforma de la legislación procesal para la implantación de la nueva oficina judicial, por posible vulneración del art. 24.1 CE.</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de la presente cuestión interna de inconstitucionalidad son los que a continuación se resumen.</w:t>
      </w:r>
    </w:p>
    <w:p w:rsidR="00163957" w:rsidRDefault="00163957" w:rsidP="00163957">
      <w:pPr>
        <w:pStyle w:val="TextoNormal"/>
      </w:pPr>
    </w:p>
    <w:p w:rsidR="00163957" w:rsidRDefault="00163957" w:rsidP="00163957">
      <w:pPr>
        <w:pStyle w:val="TextoNormal"/>
      </w:pPr>
      <w:r>
        <w:t>a) El 29 de julio de 2011 tuvo entrada en el Registro General de este Tribunal escrito del Letrado don Alfonso Carbonell Tortosa (posteriormente ratificado por escrito de 29 de no</w:t>
      </w:r>
      <w:r>
        <w:lastRenderedPageBreak/>
        <w:t>viembre de 2011 del Procurador designado de oficio, a instancias del recurrente, por el Colegio de Procuradores de Madrid) por el que se interponía recurso de amparo en nombre y representación de don J.V.L.E. contra el decreto del Secretario de Justicia del Juzgado de lo Contencioso-Administrativo núm. 27 de Madrid de 26 de mayo de 2011, dictado en el procedimiento abreviado núm. 30-2011, al considerar vulnerado el derecho al proceso sin dilaciones indebidas (art. 24.2 CE).</w:t>
      </w:r>
    </w:p>
    <w:p w:rsidR="00163957" w:rsidRDefault="00163957" w:rsidP="00163957">
      <w:pPr>
        <w:pStyle w:val="TextoNormal"/>
      </w:pPr>
    </w:p>
    <w:p w:rsidR="00163957" w:rsidRDefault="00163957" w:rsidP="00163957">
      <w:pPr>
        <w:pStyle w:val="TextoNormal"/>
      </w:pPr>
      <w:r>
        <w:t>Los hechos de los que trae causa el recurso de amparo (tramitado ante la Sala Segunda de este Tribunal con el núm. 4577-2011) son, en síntesis, los siguientes:</w:t>
      </w:r>
    </w:p>
    <w:p w:rsidR="00163957" w:rsidRDefault="00163957" w:rsidP="00163957">
      <w:pPr>
        <w:pStyle w:val="TextoNormal"/>
      </w:pPr>
    </w:p>
    <w:p w:rsidR="00163957" w:rsidRDefault="00163957" w:rsidP="00163957">
      <w:pPr>
        <w:pStyle w:val="TextoNormal"/>
      </w:pPr>
      <w:r>
        <w:t>El 10 de diciembre de 2010 el recurrente presentó ante los Juzgados de lo Contencioso-Administrativo de Madrid demanda contra la resolución de la Delegación del Gobierno en Madrid de 22 de septiembre de 2010, por la que se decretaba su expulsión del territorio nacional, con prohibición de entrada por un período de tres años en España y en los restantes territorios comprendidos en el Convenio de aplicación del acuerdo Schengen de 19 de junio de 1990 (autos de procedimiento abreviado núm. 30-2011). El 26 de enero de 2011 fue turnada la demanda al Juzgado de lo Contencioso-Administrativo núm. 27 de Madrid, el cual, por Auto de esa misma fecha, confirmó la medida cautelarísima de suspensión de la orden administrativa de expulsión, previamente acordada por el Juzgado de Instrucción núm. 18 de Madrid.</w:t>
      </w:r>
    </w:p>
    <w:p w:rsidR="00163957" w:rsidRDefault="00163957" w:rsidP="00163957">
      <w:pPr>
        <w:pStyle w:val="TextoNormal"/>
      </w:pPr>
    </w:p>
    <w:p w:rsidR="00163957" w:rsidRDefault="00163957" w:rsidP="00163957">
      <w:pPr>
        <w:pStyle w:val="TextoNormal"/>
      </w:pPr>
      <w:r>
        <w:t>Por decreto del Secretario del Juzgado de 25 de abril de 2011 se acordó la admisión a trámite de la demanda contencioso-administrativa y, por diligencia de ordenación de esa misma fecha, se señaló para la celebración del juicio oral el 22 de abril de 2014 a las 10:30 horas, al amparo de lo establecido por el art. 182 de la Ley 1/2000, de enjuiciamiento civil (LEC). El recurrente interpuso recurso de reposición contra la diligencia de ordenación de 25 de abril de 2011, al entender, a los efectos que ahora interesan, que lo dilatado del plazo de señalamiento para la vista vulnera su derecho a un proceso sin dilaciones indebidas (art. 24.2 CE). El recurso de reposición fue desestimado por decreto del Secretario Judicial de 26 de mayo de 2011, que confirmó la diligencia recurrida en todos sus extremos.</w:t>
      </w:r>
    </w:p>
    <w:p w:rsidR="00163957" w:rsidRDefault="00163957" w:rsidP="00163957">
      <w:pPr>
        <w:pStyle w:val="TextoNormal"/>
      </w:pPr>
    </w:p>
    <w:p w:rsidR="00163957" w:rsidRDefault="00163957" w:rsidP="00163957">
      <w:pPr>
        <w:pStyle w:val="TextoNormal"/>
      </w:pPr>
      <w:r>
        <w:t>La demanda de amparo se basó en la vulneración del derecho a un proceso sin dilaciones indebidas (art. 24.2 CE), al no entender razonable que se señale para el 22 de abril de 2014 la celebración de la vista de un procedimiento abreviado contencioso-administrativo —que se inspira en el juicio verbal civil— cuando la demanda fue interpuesta el 10 de diciembre de 2010. Al considerase de escasa complejidad el asunto, por grande que fuera la carga de trabajo de los tribunales, se invoca que el art. 440.1 LEC, supletoriamente aplicable, establece un plazo máximo de veinte días entre la admisión de la demanda y la celebración del juicio oral.</w:t>
      </w:r>
    </w:p>
    <w:p w:rsidR="00163957" w:rsidRDefault="00163957" w:rsidP="00163957">
      <w:pPr>
        <w:pStyle w:val="TextoNormal"/>
      </w:pPr>
    </w:p>
    <w:p w:rsidR="00163957" w:rsidRDefault="00163957" w:rsidP="00163957">
      <w:pPr>
        <w:pStyle w:val="TextoNormal"/>
      </w:pPr>
      <w:r>
        <w:t xml:space="preserve">A juicio del recurrente en amparo, el decreto del Secretario del Juzgado de 26 de mayo de 2011 agota todos los medios de impugnación previstos por las normas procesales para los casos concretos, dado que, de conformidad con lo previsto por los arts. 79 y 102 </w:t>
      </w:r>
      <w:r w:rsidRPr="00163957">
        <w:rPr>
          <w:i/>
        </w:rPr>
        <w:t>bis</w:t>
      </w:r>
      <w:r>
        <w:t xml:space="preserve"> 2 LJCA (en la redacción que les dio la Ley 13/2009, de reforma de la legislación procesal para la implantación de la nueva oficina judicial), contra el decreto que resuelve el recurso de reposición no se dará recurso alguno, siendo así imputable la vulneración del derecho al Juzgado de lo Contencioso-Administrativo núm. 27 de Madrid.</w:t>
      </w:r>
    </w:p>
    <w:p w:rsidR="00163957" w:rsidRDefault="00163957" w:rsidP="00163957">
      <w:pPr>
        <w:pStyle w:val="TextoNormal"/>
      </w:pPr>
    </w:p>
    <w:p w:rsidR="00163957" w:rsidRDefault="00163957" w:rsidP="00163957">
      <w:pPr>
        <w:pStyle w:val="TextoNormal"/>
      </w:pPr>
      <w:r>
        <w:lastRenderedPageBreak/>
        <w:t xml:space="preserve">b) Admitido el recurso de amparo por providencia de 15 de marzo de 2012 de la Sala Segunda del Tribunal Constitucional, se siguió la tramitación del recurso (núm. 4577-2011) conforme al cauce legalmente previsto hasta la conclusión del mismo, dictándose la providencia de 16 de julio de 2012, en cuya virtud, de conformidad con lo dispuesto en los arts. 55.2 y 35.2 de la Ley Orgánica del Tribunal Constitucional (LOTC) y con suspensión del plazo para dictar Sentencia, se acordó oír a las partes y al Ministerio Fiscal para que en el plazo común de diez días pudieran alegar lo que desearan sobre la pertinencia de plantear cuestión interna de inconstitucionalidad en relación con el art. 102 </w:t>
      </w:r>
      <w:r w:rsidRPr="00163957">
        <w:rPr>
          <w:i/>
        </w:rPr>
        <w:t>bis</w:t>
      </w:r>
      <w:r>
        <w:t>.2 LJCA. Este precepto excluye del recurso directo de revisión el decreto del Secretario Judicial resolutivo del recurso de reposición contra la diligencia de ordenación que señala el día del juicio oral, lo que privaría al justiciable de la posibilidad de someter a la decisión última del titular del órgano la cuestión, que afecta al derecho a un proceso sin dilaciones indebidas (art. 24.2 CE).</w:t>
      </w:r>
    </w:p>
    <w:p w:rsidR="00163957" w:rsidRDefault="00163957" w:rsidP="00163957">
      <w:pPr>
        <w:pStyle w:val="TextoNormal"/>
      </w:pPr>
    </w:p>
    <w:p w:rsidR="00163957" w:rsidRDefault="00163957" w:rsidP="00163957">
      <w:pPr>
        <w:pStyle w:val="TextoNormal"/>
      </w:pPr>
      <w:r>
        <w:t xml:space="preserve">c) El Abogado del Estado formuló sus alegaciones por escrito de 3 de septiembre de 2012. Afirmó que la eventual declaración de inconstitucionalidad y nulidad del art. 102 bis.2 LJCA, no serviría para que se señalaran más tempranamente las vistas de los procedimientos abreviados relativos a expulsión de extranjeros. Considera que existe una notoria dificultad para construir un razonamiento convincente que permita mediar la gran distancia existente entre la proclamación del derecho al proceso sin dilaciones indebidas (art. 24.2 CE) y la creación </w:t>
      </w:r>
      <w:r w:rsidRPr="00163957">
        <w:rPr>
          <w:i/>
        </w:rPr>
        <w:t>ex novo</w:t>
      </w:r>
      <w:r>
        <w:t xml:space="preserve"> de un recurso de revisión contra el decreto del Secretario Judicial que desestima la previa reposición contra la diligencia de señalamiento. Por tales razones entiende que no es pertinente plantear cuestión interna de inconstitucionalidad.</w:t>
      </w:r>
    </w:p>
    <w:p w:rsidR="00163957" w:rsidRDefault="00163957" w:rsidP="00163957">
      <w:pPr>
        <w:pStyle w:val="TextoNormal"/>
      </w:pPr>
    </w:p>
    <w:p w:rsidR="00163957" w:rsidRDefault="00163957" w:rsidP="00163957">
      <w:pPr>
        <w:pStyle w:val="TextoNormal"/>
      </w:pPr>
      <w:r>
        <w:t>d) Por su parte, el Ministerio Fiscal, mediante escrito presentado el 14 de septiembre de 2012, se pronunció a favor de elevar la cuestión al Pleno de este Tribunal, por entender que no debería poder quedar fuera del control judicial la revisión de las resoluciones atribuidas a la competencia de los Secretarios Judiciales cuando las mismas puedan afectar a los derechos fundamentales. Pese a que el legislador no haya previsto expresamente la posibilidad de control judicial de tales resoluciones cuando se produzca una lesión, no considera posible encontrar una interpretación de la norma cuestionada que permita la revisión judicial de una resolución del Secretario Judicial que afecta a un derecho fundamental.</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Por ATC 163/2013, de 9 de septiembre, la Sala Segunda acuerda elevar al Pleno del Tribunal cuestión interna de inconstitucionalidad respecto del art. 102 </w:t>
      </w:r>
      <w:r w:rsidRPr="00163957">
        <w:rPr>
          <w:i/>
        </w:rPr>
        <w:t>bis</w:t>
      </w:r>
      <w:r>
        <w:t>.2 LJCA (en la redacción dada al mismo por la Ley 13/2009, de 3 de noviembre, de reforma de la legislación procesal para la implantación de la nueva oficina judicial), por oposición al art. 24.1 CE.</w:t>
      </w:r>
    </w:p>
    <w:p w:rsidR="00163957" w:rsidRDefault="00163957" w:rsidP="00163957">
      <w:pPr>
        <w:pStyle w:val="TextoNormal"/>
      </w:pPr>
    </w:p>
    <w:p w:rsidR="00163957" w:rsidRDefault="00163957" w:rsidP="00163957">
      <w:pPr>
        <w:pStyle w:val="TextoNormal"/>
      </w:pPr>
      <w:r>
        <w:t xml:space="preserve">La Sala Segunda fundamenta el planteamiento de la cuestión interna de inconstitucionalidad en que, si bien el derecho que se dice vulnerado en el recurso de amparo es el derecho fundamental a un proceso sin dilaciones indebidas (art. 24.2 CE), “la línea argumentativa de la demanda de amparo aparece condicionada, en cuanto a los requisitos procesales, al entendimiento de que se han agotado todos los medios de impugnación jurisdiccionales previstos por las normas procesales para el caso concreto y que la violación de derechos que se invoca es imputable a una acción u omisión del órgano judicial correspondiente”. Esta línea de argumentación determinaría que en el recurso de amparo se esté impugnando, bajo la cobertura del art. 44 LOTC, un acto de un órgano judicial que no emana del titular del mismo </w:t>
      </w:r>
      <w:r>
        <w:lastRenderedPageBreak/>
        <w:t xml:space="preserve">—el Juez o Magistrado—, sino de la Secretaria Judicial de aquél. Esto plantearía una situación no solamente atípica sino problemática en cuanto a su encaje en el amparo contra actos judiciales a que se refiere el citado art. 44 LOTC. Este precepto permite la interposición del recurso contra las violaciones de los derechos y libertades protegibles en amparo “que tuvieran su origen inmediato y directo en un acto u omisión de un órgano judicial”. Esta expresión habría de entenderse referida, de conformidad con las previsiones del art. 117 CE, a los Juzgados y Tribunales servidos por Jueces y Magistrados integrados en el Poder Judicial; a ellos corresponde el ejercicio de la potestad jurisdiccional, juzgando y haciendo ejecutar lo juzgado y no cabría realizar una interpretación amplia de ese concepto que “permita convertir en objeto del recurso de amparo todo acto procedente de cualquier sujeto que se encuentre incluido en la organización judicial”. De este modo, concluye la Sala, resultaría procedente elevar al Pleno cuestión de inconstitucionalidad respecto del art. 102 </w:t>
      </w:r>
      <w:r w:rsidRPr="00163957">
        <w:rPr>
          <w:i/>
        </w:rPr>
        <w:t>bis</w:t>
      </w:r>
      <w:r>
        <w:t>.2, de la LJCA, “en la medida en que este precepto excluye del recurso directo de revisión el decreto del Secretario Judicial resolutivo del recurso de reposición contra las diligencias de ordenación del Secretario del Juzgado, y, entre ellas, la que señala el día para la celebración de la vista en el procedimiento abreviado, privando así al justiciable de la posibilidad de someter a la decisión última del titular del órgano una cuestión tan importante como es la relativa a la afección de un derecho fundamental, que en el presente caso se refiere, como ya ha quedado expuesto, al derecho a un proceso sin dilaciones indebidas, todo lo cual, como ha señalado el Ministerio Fiscal, puede suponer una desatención del derecho a la tutela judicial efectiva del art. 24.1 CE” (ATC 163/2013, FJ 2).</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8 de octubre de 2013, el Pleno del Tribunal Constitucional acordó tener por planteada la presente cuestión interna de inconstitucionalidad, en aplicación de los arts. 55.2 y 35.2 LOTC; reservarse su conocimiento y, de conformidad con el art. 37.3 LOTC, dar traslado de las actuaciones recibidas al Congreso de los Diputados y al Senado, por conducto de sus Presidentes, al Gobierno, por conducto del Ministro de Justicia, y al Fiscal General del Estado, para que en el plazo improrrogable de quince días pudieran personarse en el proceso y formular las alegaciones que estimasen convenientes.</w:t>
      </w:r>
    </w:p>
    <w:p w:rsidR="00163957" w:rsidRDefault="00163957" w:rsidP="00163957">
      <w:pPr>
        <w:pStyle w:val="TextoNormal"/>
      </w:pPr>
    </w:p>
    <w:p w:rsidR="00163957" w:rsidRDefault="00163957" w:rsidP="00163957">
      <w:pPr>
        <w:pStyle w:val="TextoNormal"/>
      </w:pPr>
      <w:r w:rsidRPr="00163957">
        <w:rPr>
          <w:rStyle w:val="NumeroAFNegritaCaracter"/>
        </w:rPr>
        <w:t>5</w:t>
      </w:r>
      <w:r>
        <w:t>. El 23 de octubre de 2013 tuvo entrada en el Registro General de este Tribunal comunicación del Presidente del Senado dando cuenta de que la Mesa de la Cámara acordó personarse en el proceso y ofrecer su colaboración a los efectos del art. 88.1 LOTC. Idéntico ofrecimiento por parte del Congreso de los Diputados fue comunicado por su Presidente a este Tribunal mediante oficio registrado el 24 de noviembre de 2013.</w:t>
      </w:r>
    </w:p>
    <w:p w:rsidR="00163957" w:rsidRDefault="00163957" w:rsidP="00163957">
      <w:pPr>
        <w:pStyle w:val="TextoNormal"/>
      </w:pPr>
    </w:p>
    <w:p w:rsidR="00163957" w:rsidRDefault="00163957" w:rsidP="00163957">
      <w:pPr>
        <w:pStyle w:val="TextoNormal"/>
      </w:pPr>
      <w:r w:rsidRPr="00163957">
        <w:rPr>
          <w:rStyle w:val="NumeroAFNegritaCaracter"/>
        </w:rPr>
        <w:t>6</w:t>
      </w:r>
      <w:r>
        <w:t>. El Abogado del Estado se personó en el proceso y formuló sus alegaciones por escrito registrado el 6 de noviembre de 2013, en el que se solicita la desestimación íntegra de la cuestión interna de inconstitucionalidad. Sus argumentos se distribuyen en cuatro alegaciones, con el contenido que a continuación se resume.</w:t>
      </w:r>
    </w:p>
    <w:p w:rsidR="00163957" w:rsidRDefault="00163957" w:rsidP="00163957">
      <w:pPr>
        <w:pStyle w:val="TextoNormal"/>
      </w:pPr>
    </w:p>
    <w:p w:rsidR="00163957" w:rsidRDefault="00163957" w:rsidP="00163957">
      <w:pPr>
        <w:pStyle w:val="TextoNormal"/>
      </w:pPr>
      <w:r>
        <w:t xml:space="preserve">Tras delimitar el objeto de la presente cuestión interna de inconstitucionalidad, se alude a las funciones del Secretario Judicial tras la reforma de la legislación procesal operada por la Ley 13/2009. Se recuerda que la finalidad de la reforma era asegurar la prestación del servicio público en que consiste la Justicia de una manera más ágil, transparente y conforme a los valores constitucionales. Esto implicaría una racionalización y optimización de los recursos que se destinan a la Administración de la Justicia; con ese fin, la ley encomienda </w:t>
      </w:r>
      <w:r>
        <w:lastRenderedPageBreak/>
        <w:t>distintas funciones a los operadores jurídicos, que se integran en la Administración de Justicia, para conseguir la racionalización de su funcionamiento. Al Secretario se atribuyeron no sólo funciones de impulso procesal sino otras que, con remisión literal a la exposición de motivos de la Ley 13/2009, se califican como “materias colaterales a la función jurisdiccional” indispensables para el ejercicio de esta. Por el contrario, cuando el contenido de la decisión implica mayor afectación al derecho de acceso a la justicia, su decisión se reserva al titular del órgano judicial. Se ilustran estas consideraciones previas con pasajes de la exposición de motivos de la Ley 13/2009, así como con fragmentos seleccionados del informe del Consejo General del Poder Judicial al anteproyecto de ley y de la Comisión de Justicia del Congreso de los Diputados durante el trámite parlamentario, en lo referente a las nuevas funciones del Secretario Judicial.</w:t>
      </w:r>
    </w:p>
    <w:p w:rsidR="00163957" w:rsidRDefault="00163957" w:rsidP="00163957">
      <w:pPr>
        <w:pStyle w:val="TextoNormal"/>
      </w:pPr>
    </w:p>
    <w:p w:rsidR="00163957" w:rsidRDefault="00163957" w:rsidP="00163957">
      <w:pPr>
        <w:pStyle w:val="TextoNormal"/>
      </w:pPr>
      <w:r>
        <w:t xml:space="preserve">Entrando en el fondo del asunto, el Abogado del Estado examina el régimen de recursos contra las que la ley denomina “resoluciones procesales” del Secretario Judicial, en los arts. 451 y 454 LEC, como régimen general, y en el cuestionado art. 102 </w:t>
      </w:r>
      <w:r w:rsidRPr="00163957">
        <w:rPr>
          <w:i/>
        </w:rPr>
        <w:t>bis</w:t>
      </w:r>
      <w:r>
        <w:t>.2 LJCA en particular. Esta regulación contempla la posibilidad de que la resolución del Secretario Judicial sea revisada por el Juez o Tribunal correspondiente; como excepción, los decretos del Secretario Judicial que resuelven recursos de reposición contra diligencias de ordenación, salvo que se diga expresamente otra cosa, no son susceptibles de recurso alguno, sin perjuicio de la posibilidad de reproducir la cuestión, en el proceso contencioso-administrativo, al recurrirse la resolución definitiva.</w:t>
      </w:r>
    </w:p>
    <w:p w:rsidR="00163957" w:rsidRDefault="00163957" w:rsidP="00163957">
      <w:pPr>
        <w:pStyle w:val="TextoNormal"/>
      </w:pPr>
    </w:p>
    <w:p w:rsidR="00163957" w:rsidRDefault="00163957" w:rsidP="00163957">
      <w:pPr>
        <w:pStyle w:val="TextoNormal"/>
      </w:pPr>
      <w:r>
        <w:t>De todo ello concluye el Abogado del Estado que, a diferencia de lo que se sostiene en el Auto de planteamiento de la cuestión interna de inconstitucionalidad, la norma cuestionada no impedía que, en este caso, las resoluciones del Secretario Judicial recurridas en amparo fueran sometidas a la revisión del Juez por vía de recurso; en su opinión, el recurrente pudo haber impugnado el decreto del Secretario resolutorio del recurso de reposición a través del recurso que procede contra la resolución definitiva del procedimiento abreviado contencioso-administrativo.</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El Fiscal General del Estado, mediante escrito de 18 de diciembre de 2013, interesó la estimación de la presente cuestión interna de inconstitucionalidad. Alega que no resulta sostenible una interpretación favorable a la posibilidad de que los Secretarios Judiciales enjuicien las lesiones de derechos fundamentales que puedan ocasionar sus resoluciones; tal exégesis sería contraria a la Constitución, dada la exclusividad de ejercicio de la potestad jurisdiccional por Jueces y Tribunales </w:t>
      </w:r>
      <w:r w:rsidRPr="00163957">
        <w:rPr>
          <w:i/>
        </w:rPr>
        <w:t>ex</w:t>
      </w:r>
      <w:r>
        <w:t xml:space="preserve"> art. 117.3 CE. Considera incluso que colisionaría frontalmente con el espíritu de la Ley 13/2009, pues pertenecen a la competencia exclusiva de Jueces y Tribunales todos aquellos supuestos en que pueda estar comprometida la vulneración de un derecho fundamental y su posible reparación. Por consiguiente, no debería quedar fuera del control judicial la revisión de las resoluciones atribuidas a la competencia de los Secretarios Judiciales, cuando las mismas puedan afectar a los derechos fundamentales y sean estos invocados por los ciudadanos a través de los mecanismos procesales oportunos.</w:t>
      </w:r>
    </w:p>
    <w:p w:rsidR="00163957" w:rsidRDefault="00163957" w:rsidP="00163957">
      <w:pPr>
        <w:pStyle w:val="TextoNormal"/>
      </w:pPr>
    </w:p>
    <w:p w:rsidR="00163957" w:rsidRDefault="00163957" w:rsidP="00163957">
      <w:pPr>
        <w:pStyle w:val="TextoNormal"/>
      </w:pPr>
      <w:r>
        <w:t xml:space="preserve">Adicionalmente, el Fiscal General del Estado descarta la posibilidad de articular un recurso de amparo por lesión de derechos fundamentales directamente contra resoluciones del Secretario Judicial que no han sido objeto de revisión judicial; ello resultaría contrario a la propia naturaleza subsidiaria del recurso de amparo frente al cometido originario de Jueces </w:t>
      </w:r>
      <w:r>
        <w:lastRenderedPageBreak/>
        <w:t>y Tribunales de dar protección a los derechos fundamentales. La propia Ley Orgánica del Tribunal Constitucional en su art. 44.1 se refiere a la lesión de los derechos por los actos y omisiones de los órganos judiciales. La argumentación expuesta se apoya en la propia doctrina del Tribunal Constitucional, que ha reconocido a Jueces y Tribunales como guardianes naturales de los derechos fundamentales (STC 227/1999). Los actos judiciales susceptibles de ser recurridos en amparo por los cauces del art. 44 LOTC son exclusivamente los que emanan del Juez o Tribunal en sentido estricto, en cuanto que órganos con jurisdicción, y no los que emanen de los Secretarios Judiciales.</w:t>
      </w:r>
    </w:p>
    <w:p w:rsidR="00163957" w:rsidRDefault="00163957" w:rsidP="00163957">
      <w:pPr>
        <w:pStyle w:val="TextoNormal"/>
      </w:pPr>
    </w:p>
    <w:p w:rsidR="00163957" w:rsidRDefault="00163957" w:rsidP="00163957">
      <w:pPr>
        <w:pStyle w:val="TextoNormal"/>
      </w:pPr>
      <w:r>
        <w:t>Tampoco resultaría posible considerar que, frente a los decretos del Secretario Judicial que desestiman el recurso de reposición en el que se alegaba la lesión de un derecho fundamental, sea procedente interponer incidente de nulidad de actuaciones del art. 241 de la Ley Orgánica del Poder Judicial (LOPJ); la lesión del derecho fundamental ya fue invocada y además no proviene del Juez o Tribunal, mientras el incidente de nulidad requiere que la lesión “no haya podido denunciarse antes de recaer resolución que ponga fin al proceso y siempre que dicha resolución no sea susceptible de recurso ordinario ni extraordinario”, siendo competente para conocer del incidente de nulidad “el mismo Juzgado o Tribunal que dictó la resolución que hubiera adquirido firmeza” (art. 241.1 LOPJ).</w:t>
      </w:r>
    </w:p>
    <w:p w:rsidR="00163957" w:rsidRDefault="00163957" w:rsidP="00163957">
      <w:pPr>
        <w:pStyle w:val="TextoNormal"/>
      </w:pPr>
    </w:p>
    <w:p w:rsidR="00163957" w:rsidRDefault="00163957" w:rsidP="00163957">
      <w:pPr>
        <w:pStyle w:val="TextoNormal"/>
      </w:pPr>
      <w:r>
        <w:t>Para el Fiscal General del Estado no es factible, en definitiva, una interpretación del precepto legal cuestionado conforme con la Constitución de la que quepa deducir la posibilidad de interponer un incidente de nulidad de actuaciones o un recurso de revisión ante el Juez o Tribunal contra el decreto del Secretario Judicial cuando está en juego un derecho fundamental; por ello concluye que debe declararse la inconstitucionalidad del precepto cuestionado.</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15 de marzo de 2016 se señaló para deliberación y votación de la presente Sentencia el día 17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La presente cuestión interna de inconstitucionalidad se plantea en relación con el art. 102 </w:t>
      </w:r>
      <w:r w:rsidRPr="00163957">
        <w:rPr>
          <w:i/>
        </w:rPr>
        <w:t>bis</w:t>
      </w:r>
      <w:r>
        <w:t>.2 de la Ley reguladora de la jurisdicción contencioso-administrativa (LJCA), precepto añadido por el art. 14.45 de la Ley 13/2009, de 3 de noviembre, de reforma de la legislación procesal para la implantación de la nueva oficina judicial, por posible vulneración del art. 24.1 CE (ATC 163/2013, de 9 de septiembre). El precepto cuestionado establece el régimen de impugnación de las resoluciones de los Secretarios Judiciales (actualmente denominados Letrados de la Administración de Justicia) en el proceso contencioso-administrativo, en los términos que siguen:</w:t>
      </w:r>
    </w:p>
    <w:p w:rsidR="00163957" w:rsidRDefault="00163957" w:rsidP="00163957">
      <w:pPr>
        <w:pStyle w:val="TextoNormal"/>
      </w:pPr>
    </w:p>
    <w:p w:rsidR="00163957" w:rsidRDefault="00163957" w:rsidP="00163957">
      <w:pPr>
        <w:pStyle w:val="TextoNormal"/>
      </w:pPr>
      <w:r>
        <w:t>“2. Contra el decreto resolutivo de la reposición no se dará recurso alguno, sin perjuicio de reproducir la cuestión al recurrir, si fuere procedente, la resolución definitiva.</w:t>
      </w:r>
    </w:p>
    <w:p w:rsidR="00163957" w:rsidRDefault="00163957" w:rsidP="00163957">
      <w:pPr>
        <w:pStyle w:val="TextoNormal"/>
      </w:pPr>
    </w:p>
    <w:p w:rsidR="00163957" w:rsidRDefault="00163957" w:rsidP="00163957">
      <w:pPr>
        <w:pStyle w:val="TextoNormal"/>
      </w:pPr>
      <w:r>
        <w:t>Cabrá recurso directo de revisión contra los decretos por los que se ponga fin al procedimiento o impidan su continuación. Dicho recurso carecerá de efectos suspensivos sin que, en ningún caso, proceda actuar en sentido contrario a lo que se hubiese resuelto.</w:t>
      </w:r>
    </w:p>
    <w:p w:rsidR="00163957" w:rsidRDefault="00163957" w:rsidP="00163957">
      <w:pPr>
        <w:pStyle w:val="TextoNormal"/>
      </w:pPr>
    </w:p>
    <w:p w:rsidR="00163957" w:rsidRDefault="00163957" w:rsidP="00163957">
      <w:pPr>
        <w:pStyle w:val="TextoNormal"/>
      </w:pPr>
      <w:r>
        <w:lastRenderedPageBreak/>
        <w:t>Cabrá interponer igualmente recurso directo de revisión contra los decretos en aquellos casos en que expresamente se prevea.”</w:t>
      </w:r>
    </w:p>
    <w:p w:rsidR="00163957" w:rsidRDefault="00163957" w:rsidP="00163957">
      <w:pPr>
        <w:pStyle w:val="TextoNormal"/>
      </w:pPr>
    </w:p>
    <w:p w:rsidR="00163957" w:rsidRDefault="00163957" w:rsidP="00163957">
      <w:pPr>
        <w:pStyle w:val="TextoNormal"/>
      </w:pPr>
      <w:r>
        <w:t xml:space="preserve">El Auto de planteamiento de la cuestión interna de inconstitucionalidad [art. 55.2 de la Ley Orgánica del Tribunal Constitucional (LOTC)] considera que el art. 102 </w:t>
      </w:r>
      <w:r w:rsidRPr="00163957">
        <w:rPr>
          <w:i/>
        </w:rPr>
        <w:t>bis</w:t>
      </w:r>
      <w:r>
        <w:t xml:space="preserve">.2 LJCA podría vulnerar el derecho a la tutela judicial efectiva (art. 24.1 CE), en la medida en que excluye la posibilidad de que el decreto del Secretario Judicial (ahora Letrado de la Administración de Justicia) que resuelve el recurso de reposición contra sus propias diligencias de ordenación (y, entre ellas, la que señala el día para la celebración de la vista en el procedimiento abreviado, como sucede en el proceso </w:t>
      </w:r>
      <w:r w:rsidRPr="00163957">
        <w:rPr>
          <w:i/>
        </w:rPr>
        <w:t>a quo</w:t>
      </w:r>
      <w:r>
        <w:t>), sea revisado por el Juez o Tribunal a través de un recurso directo de revisión. Se privaría con ello al justiciable de la posibilidad de someter a la decisión última del titular del órgano una cuestión que afecta a un derecho fundamental (en el caso, la vulneración del derecho a un proceso sin dilaciones indebidas, garantizado por el art. 24.2 CE), como consecuencia de esta desatención del derecho a la tutela judicial efectiva que garantiza el art. 24.1 CE.</w:t>
      </w:r>
    </w:p>
    <w:p w:rsidR="00163957" w:rsidRDefault="00163957" w:rsidP="00163957">
      <w:pPr>
        <w:pStyle w:val="TextoNormal"/>
      </w:pPr>
    </w:p>
    <w:p w:rsidR="00163957" w:rsidRDefault="00163957" w:rsidP="00163957">
      <w:pPr>
        <w:pStyle w:val="TextoNormal"/>
      </w:pPr>
      <w:r>
        <w:t>El Abogado del Estado solicita la desestimación de la presente cuestión, mientras que el Ministerio Fiscal interesa su estimación, por las razones que se resumen en los antecedentes de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El precepto que es objeto de la presente cuestión de inconstitucionalidad está en directa conexión con la articulación procesal del modelo de oficina judicial que diseñó la Ley Orgánica 19/2003, de 23 de diciembre, de modificación de la Ley Orgánica 6/1985, de 1 de julio, del Poder Judicial, y desarrolló la Ley 13/2009, de 3 de noviembre, de reforma de la legislación procesal para la implantación de la nueva oficina judicial. El refuerzo de la figura del Secretario Judicial en nuestra Administración de Justicia se convierte en una de las claves de esta reforma legal, como advierte la exposición de motivos de la Ley Orgánica 19/2003 y reitera el preámbulo de la Ley 13/2009. La reciente Ley Orgánica 7/2015, de 21 de julio, por la que se modifica la Ley Orgánica del Poder Judicial, da nuevos pasos en la consolidación de este modelo de oficina judicial, cuya dirección asumen los Letrados de la Administración de Justicia, nueva denominación de los Secretarios Judiciales.</w:t>
      </w:r>
    </w:p>
    <w:p w:rsidR="00163957" w:rsidRDefault="00163957" w:rsidP="00163957">
      <w:pPr>
        <w:pStyle w:val="TextoNormal"/>
      </w:pPr>
    </w:p>
    <w:p w:rsidR="00163957" w:rsidRDefault="00163957" w:rsidP="00163957">
      <w:pPr>
        <w:pStyle w:val="TextoNormal"/>
      </w:pPr>
      <w:r>
        <w:t>La reforma de la oficina judicial iniciada con la Ley Orgánica 19/2003 obedece al objetivo de asegurar la prestación del servicio público que constituye la Administración de Justicia de forma acorde con los nuevos retos que plantea la sociedad actual, a fin de dispensar a los ciudadanos un servicio próximo y de calidad, más ágil, eficiente y transparente, lo que implica conseguir una optimización y racionalización de los medios que se destinan a la Justicia. A tal efecto, una de las claves fundamentales de la reforma consiste precisamente, como queda dicho, en potenciar la intervención de los Secretarios Judiciales, actuales Letrados de la Administración de Justicia, llamados a responsabilizarse, por su capacitación profesional como técnicos en Derecho, “de determinadas materias que si bien quedan fuera de la potestad jurisdiccional atribuida con exclusividad a Jueces y Tribunales, no por ello son menos importantes para la buena marcha del servicio público que constituye la Administración de Justicia”, como señala el preámbulo de la Ley 13/2009, de reforma de la legislación procesal para la implantación de la nueva oficina judicial.</w:t>
      </w:r>
    </w:p>
    <w:p w:rsidR="00163957" w:rsidRDefault="00163957" w:rsidP="00163957">
      <w:pPr>
        <w:pStyle w:val="TextoNormal"/>
      </w:pPr>
    </w:p>
    <w:p w:rsidR="00163957" w:rsidRDefault="00163957" w:rsidP="00163957">
      <w:pPr>
        <w:pStyle w:val="TextoNormal"/>
      </w:pPr>
      <w:r>
        <w:t xml:space="preserve">Así, el Letrado de la Administración de Justicia (antes Secretario Judicial), además de ejercer en exclusividad su tradicional función de fedatario público dentro del proceso, así </w:t>
      </w:r>
      <w:r>
        <w:lastRenderedPageBreak/>
        <w:t>como la de impulso de las actuaciones procesales que ya tenía atribuida (por medio de las diligencias de ordenación), asume ahora también otras funciones “en materias colaterales a la función jurisdiccional” (preámbulo de la Ley 13/2009) y se le reconoce la facultad de dictar determinadas resoluciones motivadas (decretos), relevantes para la buena marcha del proceso. De acuerdo con este nuevo modelo de oficina judicial, configurada como organización instrumental que sirve de soporte y apoyo a la actividad jurisdiccional de Jueces y Tribunales [art. 435.1 de la Ley Orgánica del Poder Judicial (LOPJ)], la toma de decisiones dentro del proceso se distribuye ahora entre Jueces y Magistrados, por un lado, y Letrados de la Administración de Justicia, por otro. Se reservan a los primeros las resoluciones que se integran en lo que el Preámbulo de la Ley 13/2009 denomina “función estrictamente jurisdiccional”, en consonancia con lo establecido en los arts. 24.1 y 117 CE. Se trata, en definitiva (continúa el preámbulo citado) “de que los Jueces y Magistrados dediquen todos sus esfuerzos a las funciones que les vienen encomendadas por la Constitución: juzgar y hacer ejecutar lo juzgado. Para ello es preciso descargarles de todas aquellas tareas no vinculadas estrictamente a las funciones constitucionales que se acaban de señalar, y a ello tiende el nuevo modelo de la oficina judicial. En ella, se atribuirán a otros funcionarios aquellas responsabilidades y funciones que no tienen carácter jurisdiccional”. Por ello, concluye el preámbulo de la Ley 13/2009, “salvo los supuestos en que una toma de decisión procesal pudiera afectar a la función estrictamente jurisdiccional, se ha optado por atribuir la competencia del trámite de que se trate al Secretario judicial” (Letrado de la Administración de Justicia, tras el cambio de denominación introducido por la Ley Orgánica 7/2015, de 21 de julio).</w:t>
      </w:r>
    </w:p>
    <w:p w:rsidR="00163957" w:rsidRDefault="00163957" w:rsidP="00163957">
      <w:pPr>
        <w:pStyle w:val="TextoNormal"/>
      </w:pPr>
    </w:p>
    <w:p w:rsidR="00163957" w:rsidRDefault="00163957" w:rsidP="00163957">
      <w:pPr>
        <w:pStyle w:val="TextoNormal"/>
      </w:pPr>
      <w:r>
        <w:t>De acuerdo con este modelo de distribución de competencias entre Jueces y Magistrados y Letrados de la Administración de Justicia, en el marco de la moderna oficina judicial, la Ley 13/2009 acomete una minuciosa reforma horizontal de las leyes procesales en todos los órdenes jurisdiccionales. Introduce en cada una de ellas normas generales y especiales expresivas de los supuestos en que las “resoluciones procesales” —denominación que engloba en la nueva nomenclatura legal tanto a las “resoluciones judiciales”, dictadas por Jueces o Tribunales, como las de los Letrados de la Administración de Justicia, como expresan el art. 206 de la Ley de enjuiciamiento civil (LEC) y los arts. 244 y 456 LOPJ— deben ser dictadas por el Juez o Tribunal o por el Letrado de la Administración de Justicia. Se indica igualmente la denominación y forma de la resolución de que se trate (providencias, autos y sentencias en el caso de las resoluciones judiciales; diligencias y decretos en el caso de las resoluciones de los Letrados de la Administración de Justicia), así como su régimen de impugnación. En tal sentido el art. 456.4 LOPJ, en la redacción resultante de la Ley Orgánica 7/2015, de 21 de julio, determina con carácter general que “las diligencias de ordenación y los decretos serán recurribles en los casos y formas previstos en las leyes procesales”.</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El cuestionado art. 102 </w:t>
      </w:r>
      <w:r w:rsidRPr="00163957">
        <w:rPr>
          <w:i/>
        </w:rPr>
        <w:t>bis</w:t>
      </w:r>
      <w:r>
        <w:t xml:space="preserve">.2 LJCA, que se corresponde con las previsiones generales contenidas en los arts. 454 y 454 </w:t>
      </w:r>
      <w:r w:rsidRPr="00163957">
        <w:rPr>
          <w:i/>
        </w:rPr>
        <w:t>bis</w:t>
      </w:r>
      <w:r>
        <w:t xml:space="preserve">.1 LEC (este último añadido también por la Ley 13/2009 y modificado por la Ley 37/2011, de 10 de octubre), establece el régimen de recursos en el proceso contencioso-administrativo contra las resoluciones del Secretario Judicial, ahora Letrado de la Administración de Justicia. De este modo contra las diligencias de ordenación y decretos no definitivos del Letrado de la Administración de Justicia cabe recurso de reposición ante el propio Letrado que dictó la resolución recurrida (excepto en los casos en los que la ley prevea recurso directo de revisión ante el Juez o Tribunal). Contra los decretos definitivos del Letrado de la Administración de Justicia (esto es, aquellos por los que se </w:t>
      </w:r>
      <w:r>
        <w:lastRenderedPageBreak/>
        <w:t>ponga fin al procedimiento o que impidan su continuación) y en los demás casos legalmente previstos, cabrá recurso directo de revisión, a resolver por el Juez o Tribunal, según proceda. Contra los decretos del Letrado de la Administración de Justicia resolutorios del recurso de reposición promovido contra las diligencias de ordenación y decretos no definitivos “no se dará recurso alguno”, sin perjuicio de reproducir la queja al recurrir, en su caso, la resolución definitiva que recaiga en el proceso contencioso-administrativo.</w:t>
      </w:r>
    </w:p>
    <w:p w:rsidR="00163957" w:rsidRDefault="00163957" w:rsidP="00163957">
      <w:pPr>
        <w:pStyle w:val="TextoNormal"/>
      </w:pPr>
    </w:p>
    <w:p w:rsidR="00163957" w:rsidRDefault="00163957" w:rsidP="00163957">
      <w:pPr>
        <w:pStyle w:val="TextoNormal"/>
      </w:pPr>
      <w:r>
        <w:t xml:space="preserve">Es en esta concreta previsión legal de exclusión de recursos, contenida en el primer párrafo del art. 102 </w:t>
      </w:r>
      <w:r w:rsidRPr="00163957">
        <w:rPr>
          <w:i/>
        </w:rPr>
        <w:t>bis</w:t>
      </w:r>
      <w:r>
        <w:t>.2 LJCA (“Contra el decreto resolutivo de la reposición no se dará recurso alguno, sin perjuicio de reproducir la cuestión al recurrir, si fuere procedente, la resolución definitiva”), en la que reside la duda que se plantea en la presente cuestión interna de inconstitucionalidad, a la vista del razonamiento que se contiene en el ATC 163/2013; a ella habrá de ceñirse nuestro pronunciamiento. Los dos párrafos restantes del precepto legal cuestionado no resultan afectados por la duda de constitucionalidad que plantea la Sala Segunda de este Tribunal.</w:t>
      </w:r>
    </w:p>
    <w:p w:rsidR="00163957" w:rsidRDefault="00163957" w:rsidP="00163957">
      <w:pPr>
        <w:pStyle w:val="TextoNormal"/>
      </w:pPr>
    </w:p>
    <w:p w:rsidR="00163957" w:rsidRDefault="00163957" w:rsidP="00163957">
      <w:pPr>
        <w:pStyle w:val="TextoNormal"/>
      </w:pPr>
      <w:r>
        <w:t xml:space="preserve">En efecto, como quedó expuesto en el relato de antecedentes, la Sala Segunda, proponente de la cuestión (ATC 163/2013), razona que contra el decreto del Secretario Judicial (ahora Letrado de la Administración de Justicia) que desestima el recurso de reposición contra la diligencia de ordenación que señaló fecha para la vista del procedimiento abreviado contencioso-administrativo (acto que se considera lesivo del derecho fundamental a un proceso sin dilaciones indebidas en el recurso de amparo del que trae causa la presente cuestión interna) no cabe, de acuerdo con lo dispuesto en el art. 102 </w:t>
      </w:r>
      <w:r w:rsidRPr="00163957">
        <w:rPr>
          <w:i/>
        </w:rPr>
        <w:t>bis</w:t>
      </w:r>
      <w:r>
        <w:t>.2 LJCA, recurso alguno ante el Juez o Tribunal, titular de la función jurisdiccional.</w:t>
      </w:r>
    </w:p>
    <w:p w:rsidR="00163957" w:rsidRDefault="00163957" w:rsidP="00163957">
      <w:pPr>
        <w:pStyle w:val="TextoNormal"/>
      </w:pPr>
    </w:p>
    <w:p w:rsidR="00163957" w:rsidRDefault="00163957" w:rsidP="00163957">
      <w:pPr>
        <w:pStyle w:val="TextoNormal"/>
      </w:pPr>
      <w:r>
        <w:t>Ello determina para la Sala Segunda que en el recurso de amparo del que trae causa la cuestión interna que nos ocupa “se esté recurriendo, bajo la cobertura del art. 44 LOTC, un acto de un órgano judicial que, sin embargo, no emana del titular del mismo, es decir, que no es dictado por el Juez o Magistrado, sino por la Secretaria Judicial de aquél, lo que ciertamente plantea una situación no solamente atípica sino problemática en cuanto a su encaje en el amparo contra actos judiciales a que se refiere el citado art. 44 LOTC”. Este precepto “permite la interposición del recurso contra las violaciones de los derechos y libertades protegibles en amparo ‘que tuvieran su origen inmediato y directo en un acto u omisión de un órgano judicial’, expresión esta última que ha de entenderse referida, de conformidad con las previsiones del art. 117 CE, a los Juzgados y Tribunales servidos por Jueces y Magistrados integrados en el Poder Judicial, y a los que corresponde el ejercicio de la potestad jurisdiccional, juzgando y haciendo ejecutar lo juzgado, sin que quepa realizar una interpretación amplia de ese concepto que permita convertir en objeto del recurso de amparo todo acto procedente de cualquier sujeto que se encuentre incluido en la organización judicial. Esto es, la lesión constitucional recurrible en amparo sólo podría ser atribuible a una actuación de los órganos judiciales, ‘que son los llamados a prestar la tutela jurisdiccional de los derechos’ (STC 76/1999, de 26 de abril)” (ATC 163/2013, FJ 2).</w:t>
      </w:r>
    </w:p>
    <w:p w:rsidR="00163957" w:rsidRDefault="00163957" w:rsidP="00163957">
      <w:pPr>
        <w:pStyle w:val="TextoNormal"/>
      </w:pPr>
    </w:p>
    <w:p w:rsidR="00163957" w:rsidRDefault="00163957" w:rsidP="00163957">
      <w:pPr>
        <w:pStyle w:val="TextoNormal"/>
      </w:pPr>
      <w:r>
        <w:t xml:space="preserve">Por ello se considera procedente por la Sala Segunda, de conformidad con lo previsto en el art. 55.2 LOTC, plantear cuestión interna de inconstitucionalidad respecto del art. 102 </w:t>
      </w:r>
      <w:r w:rsidRPr="00163957">
        <w:rPr>
          <w:i/>
        </w:rPr>
        <w:t>bis</w:t>
      </w:r>
      <w:r>
        <w:t xml:space="preserve">.2 LJCA, “en la medida en que este precepto excluye del recurso directo de revisión el decreto del Secretario Judicial resolutivo del recurso de reposición contra las diligencias de ordenación del Secretario del Juzgado, y, entre ellas, la que señala el día para la celebración </w:t>
      </w:r>
      <w:r>
        <w:lastRenderedPageBreak/>
        <w:t>de la vista en el procedimiento abreviado, privando así al justiciable de la posibilidad de someter a la decisión última del titular del órgano una cuestión tan importante como es la relativa a la afección de un derecho fundamental, que en el presente caso se refiere, como ya ha quedado expuesto, al derecho a un proceso sin dilaciones indebidas, todo lo cual, como ha señalado el Ministerio Fiscal, puede suponer una desatención del derecho a la tutela judicial efectiva del art. 24.1 CE”.</w:t>
      </w:r>
    </w:p>
    <w:p w:rsidR="00163957" w:rsidRDefault="00163957" w:rsidP="00163957">
      <w:pPr>
        <w:pStyle w:val="TextoNormal"/>
      </w:pPr>
    </w:p>
    <w:p w:rsidR="00163957" w:rsidRDefault="00163957" w:rsidP="00163957">
      <w:pPr>
        <w:pStyle w:val="TextoNormal"/>
      </w:pPr>
      <w:r>
        <w:t>La duda de constitucionalidad afecta pues, en los términos expuestos, al régimen de recursos legalmente establecido contra los decretos de los Letrados de la Administración de Justicia en el proceso contencioso-administrativo resolutivos de la reposición, en la medida en que su aplicación pueda impedir que las decisiones procesales de aquellos en las que resulte afectado un derecho fundamental (como lo es, en el caso en que se plantea la cuestión, el derecho a un proceso sin dilaciones indebidas, en conexión con el derecho a la tutela judicial efectiva) sean revisadas por los Jueces y Tribunales, titulares en exclusiva de la potestad jurisdiccional (art. 117.3 CE). Se vedaría así que los Jueces y Magistrados, como primeros garantes de los derechos fundamentales en nuestro ordenamiento jurídico, dispensen la tutela judicial efectiva sin indefensión que a todos garantiza el art. 24.1 CE y hagan efectiva la subsidiariedad que caracteriza al proceso constitucional de amparo (por todas, SSTC 147/1994, de 12 de mayo, FJ 2; 71/2000, de 13 de marzo, FJ 3; 214/2000, de 18 de septiembre, FJ 3; 13/2005, de 31 de enero, FJ 3, y 150/2011, de 29 de septiembre, FJ 11).</w:t>
      </w:r>
    </w:p>
    <w:p w:rsidR="00163957" w:rsidRDefault="00163957" w:rsidP="00163957">
      <w:pPr>
        <w:pStyle w:val="TextoNormal"/>
      </w:pPr>
    </w:p>
    <w:p w:rsidR="00163957" w:rsidRDefault="00163957" w:rsidP="00163957">
      <w:pPr>
        <w:pStyle w:val="TextoNormal"/>
      </w:pPr>
      <w:r>
        <w:t xml:space="preserve">No forma parte de la presente cuestión interna de inconstitucionalidad resolver si es o no conforme con la Constitución que el señalamiento para el acto del juicio en el procedimiento abreviado contencioso-administrativo sea acordado por resolución del Letrado de la Administración de Justicia (en vez de por resolución del Juez o Tribunal), toda vez que la norma legal que así lo establece (art. 78.3 LJCA, según la nueva redacción dada por la Ley 13/2009), no ha sido cuestionada en el Auto de planteamiento (ATC 163/2013); ello sin perjuicio de que este Tribunal pudiera eventualmente hacer uso de la facultad que le confiere el art. 39.1 LOTC, en caso de declarar la inconstitucionalidad y nulidad del cuestionado primer párrafo del art. 102 </w:t>
      </w:r>
      <w:r w:rsidRPr="00163957">
        <w:rPr>
          <w:i/>
        </w:rPr>
        <w:t>bis</w:t>
      </w:r>
      <w:r>
        <w:t>.2 LJCA.</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La clave de la cuestión planteada reside, por tanto, en determinar si la previsión contenida en el primer párrafo del art. 102 </w:t>
      </w:r>
      <w:r w:rsidRPr="00163957">
        <w:rPr>
          <w:i/>
        </w:rPr>
        <w:t>bis</w:t>
      </w:r>
      <w:r>
        <w:t>.2 LJCA es compatible con el derecho a la tutela judicial efectiva sin indefensión que garantiza el art. 24.1 CE y con el principio de exclusividad de la potestad jurisdiccional, o principio de “reserva de jurisdicción” (STC 181/2000, de 29 de junio, FJ 19), consagrado por el art. 117.3 CE —“El ejercicio de la potestad jurisdiccional en todo tipo de procesos, juzgando y haciendo ejecutar lo juzgado, corresponde exclusivamente a los Juzgados y Tribunales determinados por las leyes, según las normas de competencia y procedimiento que las mismas establezcan”— y derivado del principio de independencia judicial garantizado por el art. 117.1 CE —“La justicia emana del pueblo y se administra en nombre del Rey por Jueces y Magistrados integrantes del poder judicial, independientes, inamovibles, responsables y sometidos únicamente al imperio de la ley”—. Este Tribunal ha tenido ocasión de recordarlo en diversas ocasiones (SSTC 108/1986, de 26 de julio, FJ 6; 231/2005, de 26 de septiembre, FJ 7, y 37/2012, de 19 de marzo, FJ 5, por todas).</w:t>
      </w:r>
    </w:p>
    <w:p w:rsidR="00163957" w:rsidRDefault="00163957" w:rsidP="00163957">
      <w:pPr>
        <w:pStyle w:val="TextoNormal"/>
      </w:pPr>
    </w:p>
    <w:p w:rsidR="00163957" w:rsidRDefault="00163957" w:rsidP="00163957">
      <w:pPr>
        <w:pStyle w:val="TextoNormal"/>
      </w:pPr>
      <w:r>
        <w:t xml:space="preserve">Es, en efecto, a los Jueces y Magistrados, individualmente o integrados en Salas o Secciones de Justicia, a quienes corresponde dispensar la tutela judicial efectiva (art. 24.1 CE), </w:t>
      </w:r>
      <w:r>
        <w:lastRenderedPageBreak/>
        <w:t>en el ejercicio de la potestad jurisdiccional, cuyo contenido se extiende a “juzgar y hacer ejecutar lo juzgado” (art. 117.3 CE); potestad exclusiva “justamente derivada del principio de independencia judicial que garantiza el art. 117.1 CE” (STC 231/2005, FJ 7), que es “consustancial a todo Estado democrático” (STC 37/2012, FJ 5).</w:t>
      </w:r>
    </w:p>
    <w:p w:rsidR="00163957" w:rsidRDefault="00163957" w:rsidP="00163957">
      <w:pPr>
        <w:pStyle w:val="TextoNormal"/>
      </w:pPr>
    </w:p>
    <w:p w:rsidR="00163957" w:rsidRDefault="00163957" w:rsidP="00163957">
      <w:pPr>
        <w:pStyle w:val="TextoNormal"/>
      </w:pPr>
      <w:r>
        <w:t>Como este Tribunal ha señalado, “el Poder Judicial consiste en la potestad de ejercer la jurisdicción, y su independencia se predica de todos y cada uno de los Jueces en cuanto ejercen tal función, quienes precisamente integran el poder judicial o son miembros de él porque son los encargados de ejercerla. Así resulta claramente del artículo 117.1 de la Constitución” (STC 108/1986, FJ 6). “La independencia es atributo consustancial a la función de juzgar, en cuanto implica que Jueces y Tribunales no están subordinados en el ejercicio de su función jurisdiccional a ningún otro poder público, sino sometidos única y exclusivamente ‘al imperio de la ley’, esto es, sujetos al Derecho … Por eso la legitimación democrática del Poder Judicial deriva directamente de la Constitución, que configura a la justicia como independiente, sometida únicamente al Derecho y no a opciones políticas. Es más, si en un Estado no existe un poder judicial independiente (independencia que se predica de todos y cada uno de los jueces y magistrados integrantes del poder judicial) entonces lo que no hay es Estado de Derecho, pieza esencial, como es sabido, de un Estado auténticamente constitucional” (STC 37/2012, FJ 5). Justamente por ello, la proclamación constitucional de la independencia del Poder Judicial va acompañada del establecimiento de diversas garantías adecuadas a asegurar su efectividad, como son, entre otras, la inamovilidad, la imparcialidad, el estatuto jurídico de Jueces y Magistrados, y el régimen de responsabilidad (SSTC 108/1986, FJ 6, y 37/2012, FJ 6).</w:t>
      </w:r>
    </w:p>
    <w:p w:rsidR="00163957" w:rsidRDefault="00163957" w:rsidP="00163957">
      <w:pPr>
        <w:pStyle w:val="TextoNormal"/>
      </w:pPr>
    </w:p>
    <w:p w:rsidR="00163957" w:rsidRDefault="00163957" w:rsidP="00163957">
      <w:pPr>
        <w:pStyle w:val="TextoNormal"/>
      </w:pPr>
      <w:r>
        <w:t>Del principio de exclusividad de Jueces y Magistrados en el ejercicio de la potestad jurisdiccional (art. 117.3 CE), derivado a su vez del principio de independencia judicial (art. 117.1 CE), no puede, sin embargo, “inferirse la existencia de una correlativa prohibición impuesta al legislador, por la que se condicione su libertad de configuración para elegir el nivel de densidad normativa con que pretende regular una determinada materia” (SSTC 181/2000, de 29 de junio, FJ 19, y 190/2005, de 7 de julio, FJ 6).</w:t>
      </w:r>
    </w:p>
    <w:p w:rsidR="00163957" w:rsidRDefault="00163957" w:rsidP="00163957">
      <w:pPr>
        <w:pStyle w:val="TextoNormal"/>
      </w:pPr>
    </w:p>
    <w:p w:rsidR="00163957" w:rsidRDefault="00163957" w:rsidP="00163957">
      <w:pPr>
        <w:pStyle w:val="TextoNormal"/>
      </w:pPr>
      <w:r>
        <w:t>En este sentido no puede merecer en principio reproche de inconstitucionalidad la opción tomada por el legislador, en el marco del modelo de oficina judicial que diseñó la Ley Orgánica 19/2003 y desarrolló la Ley 13/2009 y que reafirma la reciente Ley Orgánica 7/2015, de 21 de julio. De acuerdo con esta opción legislativa, como ya hemos señalado, la toma de decisiones en el proceso se distribuye entre Jueces y Magistrados, por un lado, y Letrados de la Administración de Justicia, por otro. Se reserva a los primeros, como es obligado, las decisiones procesales que puedan afectar a la función o potestad estrictamente jurisdiccional, que les viene constitucionalmente reservada en exclusiva (art. 117.3 CE); y se atribuye a los segundos, que asumen la dirección de la oficina judicial, aquellas funciones que no tienen carácter jurisdiccional, lo que incluye el dictado de resoluciones procesales que no tengan este carácter.</w:t>
      </w:r>
    </w:p>
    <w:p w:rsidR="00163957" w:rsidRDefault="00163957" w:rsidP="00163957">
      <w:pPr>
        <w:pStyle w:val="TextoNormal"/>
      </w:pPr>
    </w:p>
    <w:p w:rsidR="00163957" w:rsidRDefault="00163957" w:rsidP="00163957">
      <w:pPr>
        <w:pStyle w:val="TextoNormal"/>
      </w:pPr>
      <w:r>
        <w:t xml:space="preserve">En esta distribución de funciones dentro del proceso, el sistema establecido por la Ley 13/2009, en desarrollo de las previsiones de la Ley Orgánica 19/2003, no elude poner de relieve el lugar preeminente que ocupa el Juez o Tribunal, como titular de la potestad jurisdiccional, con respecto al que corresponde al Letrado de la Administración de Justicia, como director de la oficina judicial, que sirve de apoyo a la actividad jurisdiccional de Jueces y </w:t>
      </w:r>
      <w:r>
        <w:lastRenderedPageBreak/>
        <w:t>Tribunales (art. 435.1 LOPJ). Son los Jueces y Magistrados quienes ejercen en exclusiva la función de juzgar y de hacer ejecutar lo juzgado (art. 117.3 CE); en última instancia, se pretende garantizar que toda resolución del Letrado de la Administración de Justicia en el proceso pueda ser sometida al control del Juez o Tribunal, lo que resulta una exigencia ineludible del derecho a la tutela judicial efectiva garantizado por el art. 24.1 CE, así como en los textos internacionales sobre derechos fundamentales y libertades ratificados por España (art. 10.2 CE).</w:t>
      </w:r>
    </w:p>
    <w:p w:rsidR="00163957" w:rsidRDefault="00163957" w:rsidP="00163957">
      <w:pPr>
        <w:pStyle w:val="TextoNormal"/>
      </w:pPr>
    </w:p>
    <w:p w:rsidR="00163957" w:rsidRDefault="00163957" w:rsidP="00163957">
      <w:pPr>
        <w:pStyle w:val="TextoNormal"/>
      </w:pPr>
      <w:r>
        <w:t xml:space="preserve">El legislador ha plasmado esta garantía de control judicial tanto de modo directo, a través del recurso de revisión contra los decretos del Letrado de la Administración de Justicia que pongan fin al proceso o impidan su continuación (art. 454 </w:t>
      </w:r>
      <w:r w:rsidRPr="00163957">
        <w:rPr>
          <w:i/>
        </w:rPr>
        <w:t>bis</w:t>
      </w:r>
      <w:r>
        <w:t xml:space="preserve">.1 LEC, párrafo segundo, y el propio art. 102 </w:t>
      </w:r>
      <w:r w:rsidRPr="00163957">
        <w:rPr>
          <w:i/>
        </w:rPr>
        <w:t>bis</w:t>
      </w:r>
      <w:r>
        <w:t xml:space="preserve">.2 LJCA cuestionado, que viene a reproducirlo) como, indirectamente, en el caso de los decretos del Letrado de la Administración de Justicia resolutivos de la reposición, cuyo objeto, aun no siendo recurrible en revisión ante el Juez o Tribunal, puede ser sometido a la consideración del Juez o Tribunal dentro del proceso. Así ocurre tanto en el proceso civil, en “la primera audiencia ante el tribunal tras la toma de la decisión” (art. 454 </w:t>
      </w:r>
      <w:r w:rsidRPr="00163957">
        <w:rPr>
          <w:i/>
        </w:rPr>
        <w:t>bis</w:t>
      </w:r>
      <w:r>
        <w:t xml:space="preserve">.1 LEC, párrafo primero), como en el proceso contencioso-administrativo, al recurrir la resolución definitiva que recaiga en el proceso; siempre, claro está, que fuere procedente el recurso (art. 102 </w:t>
      </w:r>
      <w:r w:rsidRPr="00163957">
        <w:rPr>
          <w:i/>
        </w:rPr>
        <w:t>bis</w:t>
      </w:r>
      <w:r>
        <w:t>.2 LJCA, párrafo primero), cuestión sobre la que luego volveremos, sin perjuicio de recordar que en la Ley 15/2015, de 2 de julio, de Jurisdicción Voluntaria, el legislador se ha decantado por establecer que los decretos de los Letrados de la Administración de Justicia que resuelvan expedientes de jurisdicción voluntaria serán en todo caso susceptibles de recurso de revisión ante el Juez competente (art. 20.2), lo que no carece de relevancia a los efectos que nos ocupan.</w:t>
      </w:r>
    </w:p>
    <w:p w:rsidR="00163957" w:rsidRDefault="00163957" w:rsidP="00163957">
      <w:pPr>
        <w:pStyle w:val="TextoNormal"/>
      </w:pPr>
    </w:p>
    <w:p w:rsidR="00163957" w:rsidRDefault="00163957" w:rsidP="00163957">
      <w:pPr>
        <w:pStyle w:val="TextoNormal"/>
      </w:pPr>
      <w:r>
        <w:t>Valga asimismo señalar que en la reciente Sentencia de 18 de febrero de 2016 (asunto C-49/14) el Tribunal de Justicia de la Unión Europea ha apreciado que el proceso monitorio español para reclamar el cobro de una deuda cuando el demandado no se opone formalmente, que concluye mediante decreto del Letrado de la Administración de Justicia con valor de título ejecutivo, no es conforme con el Derecho comunitario, al no permitir la intervención de un Juez que pueda apreciar la existencia o no de cláusulas abusivas (§§ 34 a 55).</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El problema que se plantea en la presente cuestión interna reside, justamente, en que no es descartable la eventualidad de que existan supuestos en los que la decisión del Letrado de la Administración de Justicia excluida por el legislador del recurso de revisión ante el Juez o Tribunal (párrafo primero del art. 102 </w:t>
      </w:r>
      <w:r w:rsidRPr="00163957">
        <w:rPr>
          <w:i/>
        </w:rPr>
        <w:t>bis</w:t>
      </w:r>
      <w:r>
        <w:t>.2 LJCA) concierna a cuestiones relevantes en el marco del proceso, que atañen a la función jurisdiccional reservada en exclusiva a Jueces y Magistrados (art. 117.3 CE), a quienes compete dispensar la tutela judicial efectiva sin indefensión que a todos garantiza el art. 24.1 CE.</w:t>
      </w:r>
    </w:p>
    <w:p w:rsidR="00163957" w:rsidRDefault="00163957" w:rsidP="00163957">
      <w:pPr>
        <w:pStyle w:val="TextoNormal"/>
      </w:pPr>
    </w:p>
    <w:p w:rsidR="00163957" w:rsidRDefault="00163957" w:rsidP="00163957">
      <w:pPr>
        <w:pStyle w:val="TextoNormal"/>
      </w:pPr>
      <w:r>
        <w:t xml:space="preserve">Tal acontece precisamente en el supuesto —al que se refiere la Sala Segunda de este Tribunal al plantear la presente cuestión interna de inconstitucionalidad en su ATC 163/2013— del señalamiento por el Letrado de la Administración de Justicia del día para la celebración de la vista en el procedimiento abreviado contencioso-administrativo (art. 78.3 LJCA. Esta decisión, una vez confirmada en reposición por el Letrado, queda excluida del recurso directo de revisión ante el Juez o Tribunal, conforme a lo dispuesto en el cuestionado párrafo primero del art. 102 </w:t>
      </w:r>
      <w:r w:rsidRPr="00163957">
        <w:rPr>
          <w:i/>
        </w:rPr>
        <w:t>bis</w:t>
      </w:r>
      <w:r>
        <w:t xml:space="preserve">.2 LJCA, privándose con ello al justiciable de la posibilidad </w:t>
      </w:r>
      <w:r>
        <w:lastRenderedPageBreak/>
        <w:t>de someter a la decisión última del titular del órgano judicial una cuestión que afecta a un derecho fundamental, que en el caso sería el derecho a un proceso sin dilaciones indebidas, garantizado por el art. 24.2 CE (por la demora, que el justiciable considera excesiva, en la fecha señalada para la vista); lo que a su vez podría suponer “una desatención del derecho a la tutela judicial efectiva del art. 24.1 CE” (ATC 163/2013, FJ 2).</w:t>
      </w:r>
    </w:p>
    <w:p w:rsidR="00163957" w:rsidRDefault="00163957" w:rsidP="00163957">
      <w:pPr>
        <w:pStyle w:val="TextoNormal"/>
      </w:pPr>
    </w:p>
    <w:p w:rsidR="00163957" w:rsidRDefault="00163957" w:rsidP="00163957">
      <w:pPr>
        <w:pStyle w:val="TextoNormal"/>
      </w:pPr>
      <w:r>
        <w:t xml:space="preserve">La duda de constitucionalidad que se plantea en relación con el párrafo primero del art. 102 </w:t>
      </w:r>
      <w:r w:rsidRPr="00163957">
        <w:rPr>
          <w:i/>
        </w:rPr>
        <w:t>bis</w:t>
      </w:r>
      <w:r>
        <w:t>.2 LJCA no puede ser salvada mediante la interpretación que propone el Abogado del Estado. Este sostiene, como ha quedado reflejado en el relato de antecedentes de esta Sentencia, que el precepto cuestionado no impide que la decisión del Secretario Judicial (ahora Letrado de la Administración de Justicia) sobre señalamiento para la vista sea sometida a la revisión del Juez o Tribunal, pues el justiciable podría impugnar el decreto del Letrado de la Administración de Justicia resolutorio de la reposición a través del recurso procedente contra la resolución definitiva que recaiga en el proceso contencioso-administrativo.</w:t>
      </w:r>
    </w:p>
    <w:p w:rsidR="00163957" w:rsidRDefault="00163957" w:rsidP="00163957">
      <w:pPr>
        <w:pStyle w:val="TextoNormal"/>
      </w:pPr>
    </w:p>
    <w:p w:rsidR="00163957" w:rsidRDefault="00163957" w:rsidP="00163957">
      <w:pPr>
        <w:pStyle w:val="TextoNormal"/>
      </w:pPr>
      <w:r>
        <w:t xml:space="preserve">Sin embargo, esta interpretación no resuelve el problema planteado pues, en primer lugar, supone obviar que la posibilidad de “reproducir la cuestión al recurrir, si fuere procedente, la resolución definitiva” (párrafo primero del art. 102 </w:t>
      </w:r>
      <w:r w:rsidRPr="00163957">
        <w:rPr>
          <w:i/>
        </w:rPr>
        <w:t>bis</w:t>
      </w:r>
      <w:r>
        <w:t>.2 LJCA) sólo existe cuando la resolución definitiva del proceso contencioso-administrativo sea susceptible de recurso. Y no puede olvidarse que contra las sentencias dictadas por los Juzgados de lo Contencioso-Administrativo o los Juzgados Centrales de lo Contencioso-Administrativo en procesos de cuantía inferior a 30.000 € (que se sustancia por los trámites del procedimiento abreviado, según el art. 78 LJCA) o en materia electoral (art. 8.5 LJCA y arts. 49 y 109 de la Ley Orgánica del régimen electoral general) no cabe recurso alguno (art. 81.1 LJCA), salvo el de apelación en los supuestos en que se declare la inadmisibilidad del recurso contencioso-administrativo (art. 81.2 LJCA). Asimismo existen sentencias dictadas en única instancia por los Tribunales de lo Contencioso-Administrativo contra las que no cabe recurso (arts. 86 y 96 LJCA). Es obvio que en tales supuestos no sería posible someter el decreto del Letrado de la Administración de Justicia a la revisión del Juez o Tribunal por vía de recurso contra la resolución definitiva recaída en el proceso.</w:t>
      </w:r>
    </w:p>
    <w:p w:rsidR="00163957" w:rsidRDefault="00163957" w:rsidP="00163957">
      <w:pPr>
        <w:pStyle w:val="TextoNormal"/>
      </w:pPr>
    </w:p>
    <w:p w:rsidR="00163957" w:rsidRDefault="00163957" w:rsidP="00163957">
      <w:pPr>
        <w:pStyle w:val="TextoNormal"/>
      </w:pPr>
      <w:r>
        <w:t xml:space="preserve">En segundo lugar, conviene advertir que ni siquiera en los supuestos en que la resolución definitiva recaída en el proceso contencioso-administrativo sea susceptible de recurso se resolvería la duda de constitucionalidad planteada en la presente cuestión interna, por cuanto la misma atañe a la afectación en el proceso </w:t>
      </w:r>
      <w:r w:rsidRPr="00163957">
        <w:rPr>
          <w:i/>
        </w:rPr>
        <w:t>a quo</w:t>
      </w:r>
      <w:r>
        <w:t xml:space="preserve"> del derecho a un proceso sin dilaciones indebidas (art. 24.2 CE), dada la singularidad que presenta el régimen de protección de este derecho fundamental mediante el recurso de amparo constitucional.</w:t>
      </w:r>
    </w:p>
    <w:p w:rsidR="00163957" w:rsidRDefault="00163957" w:rsidP="00163957">
      <w:pPr>
        <w:pStyle w:val="TextoNormal"/>
      </w:pPr>
    </w:p>
    <w:p w:rsidR="00163957" w:rsidRDefault="00163957" w:rsidP="00163957">
      <w:pPr>
        <w:pStyle w:val="TextoNormal"/>
      </w:pPr>
      <w:r>
        <w:t xml:space="preserve">En efecto, a diferencia de que lo sucede con los restantes derechos fundamentales tutelables en amparo (arts. 53.2 CE y 41.1 LOTC), que exigen el agotamiento de la vía judicial procedente como requisito inexcusable para poder acudir al recurso de amparo constitucional [arts. 43.1 y 44.1 a) LOTC], y sin perjuicio de otras excepciones a la regla general de subsidiariedad (por todas, STC 4/2010, de 17 de marzo, FFJJ 3 y 4), en el caso del derecho a un proceso sin dilaciones indebidas la denuncia de la vulneración ha de efectuarse mientras el proceso judicial está aún pendiente, con el fin precisamente de poner fin a la dilación denunciada, puesto que de lo que se trata es de conseguir que el órgano judicial dicte la </w:t>
      </w:r>
      <w:r>
        <w:lastRenderedPageBreak/>
        <w:t>resolución que proceda sin más demora. De este modo, si las supuestas dilaciones no subsisten en el momento de interponerse el recurso de amparo entonces esta queja pierde su objeto, toda vez que la alegación de la lesión del derecho fundamental a un proceso sin dilaciones indebidas “carece de sentido cuando el procedimiento ya ha finalizado” (entre otras muchas, SSTC 51/1985, de 10 de abril, FJ 4; 146/2000, de 29 de mayo, FJ 3; 237/2001, de 18 de diciembre, FJ 3; 73/2004, de 22 de abril, FJ 2, y 126/2011, de 18 de julio, FJ 5); la apreciación en el proceso constitucional de amparo de las pretendidas dilaciones indebidas “no podría conducir a que este Tribunal adoptase medida alguna para hacerlas cesar” (SSTC 224/1991, de 25 de noviembre, FJ 2; 97/2003, de 2 de junio, FJ 4, y 147/2006, de 8 de mayo, FJ único, por todas).</w:t>
      </w:r>
    </w:p>
    <w:p w:rsidR="00163957" w:rsidRDefault="00163957" w:rsidP="00163957">
      <w:pPr>
        <w:pStyle w:val="TextoNormal"/>
      </w:pPr>
    </w:p>
    <w:p w:rsidR="00163957" w:rsidRDefault="00163957" w:rsidP="00163957">
      <w:pPr>
        <w:pStyle w:val="TextoNormal"/>
      </w:pPr>
      <w:r>
        <w:t xml:space="preserve">En consecuencia, la tesis del Abogado del Estado no puede ser compartida, pues obligar al justiciable a esperar a que recaiga la sentencia resolutoria del proceso contencioso-administrativo para plantear en vía de recurso (cuando este proceda, no se olvide) la eventual vulneración del derecho fundamental al proceso sin dilaciones indebidas (art. 24.2 CE) vaciaría de contenido la tutela que el Tribunal Constitucional puede otorgar en relación con este derecho fundamental. Pues, de acuerdo con la doctrina citada, carece de objeto alegar la vulneración del derecho a un proceso sin dilaciones indebidas cuando estas, de haberse efectivamente producido, ya han cesado, al haber finalizado el proceso judicial. No resulta posible, por tanto, la interpretación </w:t>
      </w:r>
      <w:r w:rsidRPr="00163957">
        <w:rPr>
          <w:i/>
        </w:rPr>
        <w:t>secundum constitutionem</w:t>
      </w:r>
      <w:r>
        <w:t xml:space="preserve"> del precepto legal cuestionado que propone la Abogacía del Estado.</w:t>
      </w:r>
    </w:p>
    <w:p w:rsidR="00163957" w:rsidRDefault="00163957" w:rsidP="00163957">
      <w:pPr>
        <w:pStyle w:val="TextoNormal"/>
      </w:pPr>
    </w:p>
    <w:p w:rsidR="00163957" w:rsidRDefault="00163957" w:rsidP="00163957">
      <w:pPr>
        <w:pStyle w:val="TextoNormal"/>
      </w:pPr>
      <w:r w:rsidRPr="00163957">
        <w:rPr>
          <w:rStyle w:val="NumeroAFNegritaCaracter"/>
        </w:rPr>
        <w:t>6</w:t>
      </w:r>
      <w:r>
        <w:t>. Por otra parte ha de señalarse que la existencia en nuestro ordenamiento jurídico de instrumentos o remedios alternativos al régimen de recursos, como son la declaración de nulidad del art. 240.2 LOPJ y el incidente de nulidad de actuaciones del art. 241 LOPJ, no permite tampoco una interpretación conforme a la Constitución del precepto legal cuestionado.</w:t>
      </w:r>
    </w:p>
    <w:p w:rsidR="00163957" w:rsidRDefault="00163957" w:rsidP="00163957">
      <w:pPr>
        <w:pStyle w:val="TextoNormal"/>
      </w:pPr>
    </w:p>
    <w:p w:rsidR="00163957" w:rsidRDefault="00163957" w:rsidP="00163957">
      <w:pPr>
        <w:pStyle w:val="TextoNormal"/>
      </w:pPr>
      <w:r>
        <w:t xml:space="preserve">Por lo que se refiere a la previsión del primer párrafo del art. 240.2 LOPJ, a cuyo tenor “el Juzgado o Tribunal podrá, de oficio o a instancia de parte, antes de que hubiera recaído resolución que ponga fin al proceso, y siempre que no proceda su subsanación, declarar, previa audiencia de las partes, la nulidad de todas las actuaciones o de alguna en particular”, conviene advertir que esta nulidad de pleno derecho de los actos procesales ha de referirse a alguno de los casos enumerados por el art. 238 LOPJ, lo que determina la inviabilidad de este remedio procesal para otros supuestos. Tal acontecería precisamente en el asunto suscitado en el proceso </w:t>
      </w:r>
      <w:r w:rsidRPr="00163957">
        <w:rPr>
          <w:i/>
        </w:rPr>
        <w:t>a quo</w:t>
      </w:r>
      <w:r>
        <w:t>; que da lugar al planteamiento de la presente cuestión interna de inconstitucionalidad, pues el señalamiento de la vista por el Letrado de la Administración de Justicia para una fecha que el justiciable considera excesiva e injustificadamente tardía no tiene cabida en ninguno de los supuestos tasados por el art. 238 LOPJ.</w:t>
      </w:r>
    </w:p>
    <w:p w:rsidR="00163957" w:rsidRDefault="00163957" w:rsidP="00163957">
      <w:pPr>
        <w:pStyle w:val="TextoNormal"/>
      </w:pPr>
    </w:p>
    <w:p w:rsidR="00163957" w:rsidRDefault="00163957" w:rsidP="00163957">
      <w:pPr>
        <w:pStyle w:val="TextoNormal"/>
      </w:pPr>
      <w:r>
        <w:t xml:space="preserve">Tampoco la vía del incidente de nulidad de actuaciones que regula el art 241 LOPJ permite salvar la duda de constitucionalidad planteada por el ATC 163/2013. Este remedio excepcional lo es frente a resoluciones judiciales que pongan fin al proceso y sean firmes (esto es, no susceptibles de recurso ordinario ni extraordinario). Tiene por objeto solicitar la nulidad fundada en la vulneración de cualquier derecho fundamental de los referidos en el art. 53.2 CE (lo que excluye la idoneidad del incidente de nulidad del art 241 LOPJ para plantear infracciones legales ajenas a la vulneración de derechos fundamentales protegibles en amparo). Exige siempre que la vulneración del derecho fundamental alegada “no haya </w:t>
      </w:r>
      <w:r>
        <w:lastRenderedPageBreak/>
        <w:t xml:space="preserve">podido denunciarse antes de recaer resolución que ponga fin al proceso y siempre que dicha resolución no sea susceptible de recurso ordinario ni extraordinario” (art. 241.1 LOPJ). En todo caso, como señala el Fiscal General del Estado en sus alegaciones, el incidente de nulidad sería inviable en el supuesto que da lugar al planteamiento de la presente cuestión, pues la lesión del derecho fundamental a un proceso sin dilaciones indebidas ya fue invocada en el proceso </w:t>
      </w:r>
      <w:r w:rsidRPr="00163957">
        <w:rPr>
          <w:i/>
        </w:rPr>
        <w:t>a quo</w:t>
      </w:r>
      <w:r>
        <w:t xml:space="preserve"> antes de recaer la resolución que puso fin al mismo y además esa vulneración del derecho garantizado por el art. 24.2 CE no proviene del Juez o Tribunal (“será competente para conocer de este incidente el mismo Juzgado o Tribunal que dictó la resolución que hubiera adquirido firmeza”, dispone el art. 241.1 LOPJ).</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El derecho fundamental garantizado por el art. 24.1 CE comporta que la tutela de los derechos e intereses legítimos de los justiciables sea dispensada por los Jueces y Tribunales, a quienes está constitucionalmente reservada en exclusividad el ejercicio de la potestad jurisdiccional (art. 117.3 CE). Este axioma veda que el legislador excluya de manera absoluta e incondicionada la posibilidad de recurso judicial contra los decretos de los Letrados de la Administración de Justicia resolutorios de la reposición, como acontece en el cuestionado párrafo primero del art. 102 </w:t>
      </w:r>
      <w:r w:rsidRPr="00163957">
        <w:rPr>
          <w:i/>
        </w:rPr>
        <w:t>bis</w:t>
      </w:r>
      <w:r>
        <w:t>.2 LJCA.</w:t>
      </w:r>
    </w:p>
    <w:p w:rsidR="00163957" w:rsidRDefault="00163957" w:rsidP="00163957">
      <w:pPr>
        <w:pStyle w:val="TextoNormal"/>
      </w:pPr>
    </w:p>
    <w:p w:rsidR="00163957" w:rsidRDefault="00163957" w:rsidP="00163957">
      <w:pPr>
        <w:pStyle w:val="TextoNormal"/>
      </w:pPr>
      <w:r>
        <w:t>Entenderlo de otro modo supondría admitir la existencia de un sector de inmunidad jurisdiccional, lo que no se compadece con el derecho a la tutela judicial efectiva (así, STC 149/2000, de 1 de junio, FJ 3, para otro supuesto de exclusión de recurso judicial) y conduce a privar al justiciable de su derecho a que la decisión procesal del Letrado de la Administración de Justicia sea examinada y revisada por quien está investido de jurisdicción (esto es, por el Juez o Tribunal), lo que constituiría una patente violación del derecho a la tutela judicial efectiva (SSTC 115/1999, de 14 de junio, FJ 4, y 208/2015, de 5 de octubre, FJ 5).</w:t>
      </w:r>
    </w:p>
    <w:p w:rsidR="00163957" w:rsidRDefault="00163957" w:rsidP="00163957">
      <w:pPr>
        <w:pStyle w:val="TextoNormal"/>
      </w:pPr>
    </w:p>
    <w:p w:rsidR="00163957" w:rsidRDefault="00163957" w:rsidP="00163957">
      <w:pPr>
        <w:pStyle w:val="TextoNormal"/>
      </w:pPr>
      <w:r>
        <w:t xml:space="preserve">En suma, el párrafo primero del art. 102 </w:t>
      </w:r>
      <w:r w:rsidRPr="00163957">
        <w:rPr>
          <w:i/>
        </w:rPr>
        <w:t>bis</w:t>
      </w:r>
      <w:r>
        <w:t>.2 LJCA, redactado por la Ley 13/2009 (“Contra el decreto resolutivo de la reposición no se dará recurso alguno, sin perjuicio de reproducir la cuestión al recurrir, si fuere procedente, la resolución definitiva”),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como señala el ATC 163/2013, FJ 2, el derecho del justiciable a someter a la decisión última del Juez o Tribunal, a quien compete de modo exclusivo la potestad jurisdiccional, la resolución de una cuestión que atañe a sus derechos e intereses y legítimos, pudiendo afectar incluso a otro derecho fundamental: a un proceso sin dilaciones indebidas. Ello implica que tal exclusión deba reputarse lesiva del derecho a la tutela judicial efectiva que a todos garantiza el art. 24.1 CE y del principio de exclusividad de la potestad jurisdiccional (art. 117.3 CE).</w:t>
      </w:r>
    </w:p>
    <w:p w:rsidR="00163957" w:rsidRDefault="00163957" w:rsidP="00163957">
      <w:pPr>
        <w:pStyle w:val="TextoNormal"/>
      </w:pPr>
    </w:p>
    <w:p w:rsidR="00163957" w:rsidRDefault="00163957" w:rsidP="00163957">
      <w:pPr>
        <w:pStyle w:val="TextoNormal"/>
      </w:pPr>
      <w:r>
        <w:t xml:space="preserve">Nuestro fallo ha de declarar, por tanto, la inconstitucionalidad y nulidad del primer párrafo del art. 102 </w:t>
      </w:r>
      <w:r w:rsidRPr="00163957">
        <w:rPr>
          <w:i/>
        </w:rPr>
        <w:t>bis</w:t>
      </w:r>
      <w:r>
        <w:t xml:space="preserve">.2 LJCA, debiendo precisarse que, en tanto el legislador no se pronuncie al respecto, el recurso judicial procedente frente al decreto del Letrado de la Administración de Justicia resolutivo de la reposición ha de ser el directo de revisión al que se refiere el propio art. 102 </w:t>
      </w:r>
      <w:r w:rsidRPr="00163957">
        <w:rPr>
          <w:i/>
        </w:rPr>
        <w:t>bis</w:t>
      </w:r>
      <w:r>
        <w:t>.2 LJCA.</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 xml:space="preserve">Estimar la presente cuestión de inconstitucionalidad y, en su virtud, declarar la inconstitucionalidad y nulidad del primer párrafo del art. 102 </w:t>
      </w:r>
      <w:r w:rsidRPr="00163957">
        <w:rPr>
          <w:i/>
        </w:rPr>
        <w:t>bis</w:t>
      </w:r>
      <w:r>
        <w:t>.2 de la Ley 29/1998, de 13 de julio, reguladora de la jurisdicción contencioso-administrativa, en la redacción dada por la Ley 13/2009, de 3 de noviembre, de reforma de la legislación procesal para la implantación de la nueva oficina judicial.</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diecisiete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62" w:name="SENTENCIA_2016_59"/>
      <w:r>
        <w:lastRenderedPageBreak/>
        <w:t>SENTENCIA 59/2016, de 17 de marzo de 2016</w:t>
      </w:r>
    </w:p>
    <w:bookmarkEnd w:id="62"/>
    <w:p w:rsidR="00163957" w:rsidRDefault="00163957" w:rsidP="00163957">
      <w:pPr>
        <w:pStyle w:val="TtuloResolucin"/>
      </w:pPr>
      <w:r>
        <w:t>Pleno</w:t>
      </w:r>
    </w:p>
    <w:p w:rsidR="00163957" w:rsidRDefault="00163957" w:rsidP="00163957">
      <w:pPr>
        <w:pStyle w:val="TtuloBOE"/>
      </w:pPr>
      <w:r>
        <w:t>(BOE núm. 97, de 22 de abril de 2016)</w:t>
      </w:r>
    </w:p>
    <w:p w:rsidR="00163957" w:rsidRDefault="00163957" w:rsidP="00163957">
      <w:pPr>
        <w:pStyle w:val="TextoNormalCentrado"/>
      </w:pPr>
      <w:r>
        <w:t>ECLI:ES:TC:2016:59</w:t>
      </w:r>
    </w:p>
    <w:p w:rsidR="00163957" w:rsidRDefault="00163957" w:rsidP="00163957">
      <w:pPr>
        <w:pStyle w:val="TextoNormalCentrado"/>
      </w:pPr>
    </w:p>
    <w:p w:rsidR="00163957" w:rsidRDefault="00163957" w:rsidP="00163957">
      <w:pPr>
        <w:pStyle w:val="SntesisDescriptiva"/>
      </w:pPr>
      <w:r>
        <w:t>Recurso de inconstitucionalidad 576-2014. Interpuesto por el Presidente del Gobierno, en relación con los artículos 33.2 y 46.2 de la Ley Foral 17/2001, de 12 de julio, reguladora del comercio en Navarra, en la redacción dada por la Ley Foral 15/2013, de 17 de abril.</w:t>
      </w:r>
    </w:p>
    <w:p w:rsidR="00163957" w:rsidRDefault="00163957" w:rsidP="00163957">
      <w:pPr>
        <w:pStyle w:val="SntesisDescriptiva"/>
      </w:pPr>
    </w:p>
    <w:p w:rsidR="00163957" w:rsidRDefault="00163957" w:rsidP="00163957">
      <w:pPr>
        <w:pStyle w:val="SntesisAnaltica"/>
      </w:pPr>
      <w:r>
        <w:t>Competencias sobre ordenación general de la economía y comercio: nulidad parcial del precepto legal relativo a la venta en rebajas (STC 18/2016).</w:t>
      </w:r>
    </w:p>
    <w:p w:rsidR="00163957" w:rsidRDefault="00163957" w:rsidP="00163957">
      <w:pPr>
        <w:pStyle w:val="SntesisAnaltica"/>
      </w:pPr>
    </w:p>
    <w:p w:rsidR="00163957" w:rsidRDefault="00163957" w:rsidP="00163957">
      <w:pPr>
        <w:pStyle w:val="Extracto"/>
      </w:pPr>
      <w:r>
        <w:t>1.</w:t>
      </w:r>
      <w:r>
        <w:tab/>
        <w:t>Los criterios introducidos por el legislador foral para establecer como hábiles domingos y festivos no contradice los criterios formulados por el Estado, en la medida en que no son excluyentes entre sí [FJ 4].</w:t>
      </w:r>
    </w:p>
    <w:p w:rsidR="00163957" w:rsidRDefault="00163957" w:rsidP="00163957">
      <w:pPr>
        <w:pStyle w:val="Extracto"/>
      </w:pPr>
    </w:p>
    <w:p w:rsidR="00163957" w:rsidRDefault="00163957" w:rsidP="00163957">
      <w:pPr>
        <w:pStyle w:val="Extracto"/>
      </w:pPr>
      <w:r>
        <w:t>2.</w:t>
      </w:r>
      <w:r>
        <w:tab/>
        <w:t>El legislador foral se acomoda a los criterios establecidos por la legislación estatal básica, ya que el número total de domingos y festivos en que se admite la apertura es de diez, coincidiendo con el mínimo estatal [FJ 4].</w:t>
      </w:r>
    </w:p>
    <w:p w:rsidR="00163957" w:rsidRDefault="00163957" w:rsidP="00163957">
      <w:pPr>
        <w:pStyle w:val="Extracto"/>
      </w:pPr>
    </w:p>
    <w:p w:rsidR="00163957" w:rsidRDefault="00163957" w:rsidP="00163957">
      <w:pPr>
        <w:pStyle w:val="Extracto"/>
      </w:pPr>
      <w:r>
        <w:t>3.</w:t>
      </w:r>
      <w:r>
        <w:tab/>
        <w:t>Doctrina sobre legislación estatal básica en materia de horarios comerciales (STC 26/2012, 156/2015) [FJ 4].</w:t>
      </w:r>
    </w:p>
    <w:p w:rsidR="00163957" w:rsidRDefault="00163957" w:rsidP="00163957">
      <w:pPr>
        <w:pStyle w:val="Extracto"/>
      </w:pPr>
    </w:p>
    <w:p w:rsidR="00163957" w:rsidRDefault="00163957" w:rsidP="00163957">
      <w:pPr>
        <w:pStyle w:val="Extracto"/>
      </w:pPr>
      <w:r>
        <w:t>4.</w:t>
      </w:r>
      <w:r>
        <w:tab/>
        <w:t>El legislador foral introduce en el régimen aplicable a las ventas en rebajas unas medidas restrictivas de la libertad del comerciante que no tienen cabida en el régimen liberalizador que configura el legislador estatal con carácter básico [FJ 5].</w:t>
      </w:r>
    </w:p>
    <w:p w:rsidR="00163957" w:rsidRDefault="00163957" w:rsidP="00163957">
      <w:pPr>
        <w:pStyle w:val="Extracto"/>
      </w:pPr>
    </w:p>
    <w:p w:rsidR="00163957" w:rsidRDefault="00163957" w:rsidP="00163957">
      <w:pPr>
        <w:pStyle w:val="Extracto"/>
      </w:pPr>
      <w:r>
        <w:t>5.</w:t>
      </w:r>
      <w:r>
        <w:tab/>
        <w:t>La regulación foral limita el número de períodos de ventas en rebajas a dos únicas temporadas al año, acotando además las épocas en que cada una de ellas podrá tener lugar, e impone, además, para cada uno de tales períodos de rebajas una duración mínima de una semana y una máxima de dos meses. La regulación estatal básica no circunscribe la temporada de rebajas a uno o varios periodos estacionales concretos ni otorga a este tipo de figura promocional una duración determinada, permitiendo que sea el comerciante quien libremente decida al respecto [FJ 5].</w:t>
      </w:r>
    </w:p>
    <w:p w:rsidR="00163957" w:rsidRDefault="00163957" w:rsidP="00163957">
      <w:pPr>
        <w:pStyle w:val="Extracto"/>
      </w:pPr>
    </w:p>
    <w:p w:rsidR="00163957" w:rsidRDefault="00163957" w:rsidP="00163957">
      <w:pPr>
        <w:pStyle w:val="Extracto"/>
      </w:pPr>
      <w:r>
        <w:t>6.</w:t>
      </w:r>
      <w:r>
        <w:tab/>
        <w:t>Aplica la doctrina de la STC 18/2016, en relación con el carácter básico de la regulación estatal de apertura en domingos y festivos [FJ 5].</w:t>
      </w:r>
    </w:p>
    <w:p w:rsidR="00163957" w:rsidRDefault="00163957" w:rsidP="00163957">
      <w:pPr>
        <w:pStyle w:val="Extracto"/>
      </w:pPr>
    </w:p>
    <w:p w:rsidR="00163957" w:rsidRDefault="00163957" w:rsidP="00163957">
      <w:pPr>
        <w:pStyle w:val="Extracto"/>
      </w:pPr>
      <w:r>
        <w:t>7.</w:t>
      </w:r>
      <w:r>
        <w:tab/>
        <w:t>El tenor literal del precepto sobre ventas en rebajas es concluyente y no concede margen a una interpretación conforme con el orden constitucional de distribución de competencias [FJ 5].</w:t>
      </w:r>
    </w:p>
    <w:p w:rsidR="00163957" w:rsidRDefault="00163957" w:rsidP="00163957">
      <w:pPr>
        <w:pStyle w:val="Extracto"/>
      </w:pPr>
    </w:p>
    <w:p w:rsidR="00163957" w:rsidRDefault="00163957" w:rsidP="00163957">
      <w:pPr>
        <w:pStyle w:val="Extracto"/>
      </w:pPr>
      <w:r>
        <w:t>8.</w:t>
      </w:r>
      <w:r>
        <w:tab/>
        <w:t>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w:t>
      </w:r>
      <w:r>
        <w:lastRenderedPageBreak/>
        <w:t>cluir que esa reconstrucción es la norma constitucional, con la consiguiente asunción por el Tribunal Constitucional de una función de legislador positivo que institucionalmente no le corresponde (SSTC 30/2011, 32/2011) [FJ 5].</w:t>
      </w:r>
    </w:p>
    <w:p w:rsidR="00163957" w:rsidRDefault="00163957" w:rsidP="00163957">
      <w:pPr>
        <w:pStyle w:val="Extracto"/>
      </w:pPr>
    </w:p>
    <w:p w:rsidR="00163957" w:rsidRDefault="00163957" w:rsidP="00163957">
      <w:pPr>
        <w:pStyle w:val="Extracto"/>
      </w:pPr>
      <w:r>
        <w:t>9.</w:t>
      </w:r>
      <w:r>
        <w:tab/>
        <w:t>Doctrina sobre legislación estatal básica en materia de comercio interior (SSTC 77/2004, FJ 3; 31/2010, FJ 68; 271/2015) [FJ 3].</w:t>
      </w:r>
    </w:p>
    <w:p w:rsidR="00163957" w:rsidRDefault="00163957" w:rsidP="00163957">
      <w:pPr>
        <w:pStyle w:val="Extracto"/>
      </w:pPr>
    </w:p>
    <w:p w:rsidR="00163957" w:rsidRDefault="00163957" w:rsidP="00163957">
      <w:pPr>
        <w:pStyle w:val="Extracto"/>
      </w:pPr>
      <w:r>
        <w:t>10.</w:t>
      </w:r>
      <w:r>
        <w:tab/>
        <w:t>Se han cumplido los todos los requisitos exigidos por el art. 33.2 LOTC  para interponer el recurso de inconstitucionalidad en el plazo especial de nueve meses, aplicándose la doctrina de las SSTC 207/2013 y 111/2014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576-2014 interpuesto por el Presidente del Gobierno, representado por el Abogado del Estado, contra los arts. 2 y 3 de la Ley Foral 15/2013, de 17 de abril, en cuanto que modifican los artículos 33.2 y 46.2, respectivamente, de la Ley Foral 17/2001, de 12 de julio, reguladora del comercio en Navarra. Ha formulado alegaciones el Parlamento de Navarra. Ha sido Ponente la Magistrada doña Encarnación Roca Trías,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Constitucional el día 29 de enero de 2014 el Abogado del Estado, en nombre del Presidente del Gobierno, interpone recurso de inconstitucionalidad contra los arts. 2 y 3 de la Ley Foral 15/2013, de 17 de abril, en cuanto que modifican los artículos 33.2 y 46.2, respectivamente, de la Ley Foral 17/2001, de 12 de julio, reguladora del comercio en Navarra. El Abogado del Estado invocó el art. 161.2 CE en relación con el art. 30 de la Ley Orgánica del Tribunal Constitucional (LOTC) a fin de que se produjera la suspensión de los preceptos objeto de recurso.</w:t>
      </w:r>
    </w:p>
    <w:p w:rsidR="00163957" w:rsidRDefault="00163957" w:rsidP="00163957">
      <w:pPr>
        <w:pStyle w:val="TextoNormal"/>
      </w:pPr>
    </w:p>
    <w:p w:rsidR="00163957" w:rsidRDefault="00163957" w:rsidP="00163957">
      <w:pPr>
        <w:pStyle w:val="TextoNormal"/>
      </w:pPr>
      <w:r>
        <w:t>El recurso se fundamenta en los motivos que, resumidamente, se exponen a continuación:</w:t>
      </w:r>
    </w:p>
    <w:p w:rsidR="00163957" w:rsidRDefault="00163957" w:rsidP="00163957">
      <w:pPr>
        <w:pStyle w:val="TextoNormal"/>
      </w:pPr>
    </w:p>
    <w:p w:rsidR="00163957" w:rsidRDefault="00163957" w:rsidP="00163957">
      <w:pPr>
        <w:pStyle w:val="TextoNormal"/>
      </w:pPr>
      <w:r>
        <w:t xml:space="preserve">El Abogado del Estado señala que la legislación estatal reguladora de los horarios comerciales, y, en general, la normativa referente a aspectos propios del comercio minorista, </w:t>
      </w:r>
      <w:r>
        <w:lastRenderedPageBreak/>
        <w:t>cuando no traspasa los contornos de lo que puede entenderse como básico siguiendo los criterios de la jurisprudencia del Tribunal Constitucional, es una materia que cabe integrarla, desde la perspectiva jurídico-constitucional, en el título competencial del art. 149.1.13 CE. En concreto, la libertad de horarios comerciales, en cuanto a sus aspectos propios de regulación, puede encuadrarse como un subsector específico al que directamente se refiere la regulación en materia de comercio interior. En ese sentido sostiene, con cita de la STC 124/2003, que la atribución competencial exclusiva a los Estatutos de Autonomía no impide la intersección del título estatal, afectando a un subsector concreto dentro del espacio más amplio de la competencia autonómica. Este criterio se completa con el del carácter potencialmente agotador de las bases de carácter liberalizador de un sector económico, citando la doctrina de las SSTC 225/1993, 254/2004 o 31/2010. Es doctrina constitucional consolidada la posibilidad de incidencia transversal específica, cuando está justificada, por parte del título estatal en el ámbito más general de la competencia autonómica, en particular en relación con la regulación de los horarios comerciales y de determinados aspectos o áreas de la realidad económico-social del comercio minorista.</w:t>
      </w:r>
    </w:p>
    <w:p w:rsidR="00163957" w:rsidRDefault="00163957" w:rsidP="00163957">
      <w:pPr>
        <w:pStyle w:val="TextoNormal"/>
      </w:pPr>
    </w:p>
    <w:p w:rsidR="00163957" w:rsidRDefault="00163957" w:rsidP="00163957">
      <w:pPr>
        <w:pStyle w:val="TextoNormal"/>
      </w:pPr>
      <w:r>
        <w:t>Los arts. 2 y 3 de la Ley Foral 15/2013, de 17 de abril, mediante los que se modifican a su vez los arts. 33.2 y 46.2 de la Ley Foral 17/2001, contienen una regulación que restringe el alcance liberalizador de los horarios comerciales que se establece en la legislación estatal. El primero de ellos delimita la posibilidad de apertura de los comercios en festivos y domingos, reduciéndola a un máximo de un día hábil por cada mes, a excepción de diciembre en el que podrán establecerse dos, y a un máximo de dos domingos autorizados como hábiles durante el año, y que no podrán ser consecutivos. Frente a ello, la norma estatal introducida por el Real Decreto-ley 20/2012, modificando el art. 4 de la Ley 1/2004, de 21 de diciembre, de horarios comerciales, “establece previsiones o criterios de claro y evidente mayor amplitud de margen disponibilidad para que las Comunidades Autónomas fijen los calendarios de apertura; criterios tales como la apertura de un día festivo cuando coincidan dos o más continuados; la apertura en los domingos y festivos de los períodos de rebajas; la apertura en los domingos y festivos de mayor afluencia turística en la Comunidad Autónoma y la apertura en los domingos y festivos de la campaña de Navidad”. El segundo precepto impugnado restringe los períodos de venta en rebajas, contraviniendo la norma estatal que prevé o permite que las ventas en rebajas tengan lugar en los períodos estacionales de mayor interés comercial según el criterio de cada comerciante, y que la duración de cada período será la que libremente decida cada comerciante. Al respecto señala que no puede admitirse que la norma de desarrollo pretenda afectar al alcance liberalizador de la norma estatal, introduciendo restricciones que ésta no ha previsto.</w:t>
      </w:r>
    </w:p>
    <w:p w:rsidR="00163957" w:rsidRDefault="00163957" w:rsidP="00163957">
      <w:pPr>
        <w:pStyle w:val="TextoNormal"/>
      </w:pPr>
    </w:p>
    <w:p w:rsidR="00163957" w:rsidRDefault="00163957" w:rsidP="00163957">
      <w:pPr>
        <w:pStyle w:val="TextoNormal"/>
      </w:pPr>
      <w:r>
        <w:t>La regulación autonómica sobre horarios comerciales y venta en rebajas, afecta de manera restrictiva a una clase de normativa estatal cuyo carácter básico ha sido declarado por la doctrina constitucional, planteándose un problema de inconstitucionalidad de carácter mediato o indirecto. Esta clase de vulneración exige la concurrencia de dos circunstancias: (i) que la norma estatal infringida sea una norma básica en el doble sentido material y formal, así como, (ii) en segundo lugar, que la contradicción entre ambas normas, estatal y autonómica, sea efectiva e insalvable por vía interpretativa. En el caso de los horarios comerciales las normas estatales cumplen los anteriores criterios conforme a doctrina constitucional reiterada (de la que cita las SSTC 26/2012 y 140/2011, entre otras).</w:t>
      </w:r>
    </w:p>
    <w:p w:rsidR="00163957" w:rsidRDefault="00163957" w:rsidP="00163957">
      <w:pPr>
        <w:pStyle w:val="TextoNormal"/>
      </w:pPr>
    </w:p>
    <w:p w:rsidR="00163957" w:rsidRDefault="00163957" w:rsidP="00163957">
      <w:pPr>
        <w:pStyle w:val="TextoNormal"/>
      </w:pPr>
      <w:r>
        <w:lastRenderedPageBreak/>
        <w:t>La cuestión de la libertad de regulación en materia de ventas en rebajas que introduce el Real Decreto-Ley 20/2012 se incardinaría en la competencia estatal para el establecimiento de la normativa básica en defensa de la competencia, bajo la cobertura del art. 149.1.13 CE. Esta legislación básica estatal, es decir, el art. 25 de la Ley 7/1996, de 15 de enero, de ordenación del comercio minorista, resulta vulnerada por el art. 3 de la Ley Foral 15/2013, que da nueva redacción al artículo 46.2 de la Ley Foral 17/2001, en relación con la regulación parcial de las ventas en rebajas. Esta norma estatal fue dictada también al amparo del art. 149.1.6 CE. El Abogado del Estado alude, por último, al dictamen del Consejo de Estado, que ha señalado la contradicción entre el precepto estatal y el autonómico.</w:t>
      </w:r>
    </w:p>
    <w:p w:rsidR="00163957" w:rsidRDefault="00163957" w:rsidP="00163957">
      <w:pPr>
        <w:pStyle w:val="TextoNormal"/>
      </w:pPr>
    </w:p>
    <w:p w:rsidR="00163957" w:rsidRDefault="00163957" w:rsidP="00163957">
      <w:pPr>
        <w:pStyle w:val="TextoNormal"/>
      </w:pPr>
      <w:r>
        <w:t>Por todo ello, el Abogado del Estado considera que los arts. 2 y 3 de la Ley Foral 15/2013, de 17 de abril, de modificación de determinados artículos de la Ley Foral 17/2001, de 12 de julio, reguladora del comercio en Navarra, por los que se da nueva redacción a los artículos 33.2 y 46.2 de ésta, son inconstitucionales por contravenir de la legislación estatal básica establecida en los arts. 4 de la Ley 1/2004, de 21 de diciembre, de horarios comerciales, y 25 de la Ley 7/1996, de 15 de enero, de ordenación del comercio minorista, conforme a la redacción dada a estos preceptos por el Real Decreto-ley 20/2012.</w:t>
      </w:r>
    </w:p>
    <w:p w:rsidR="00163957" w:rsidRDefault="00163957" w:rsidP="00163957">
      <w:pPr>
        <w:pStyle w:val="TextoNormal"/>
      </w:pPr>
    </w:p>
    <w:p w:rsidR="00163957" w:rsidRDefault="00163957" w:rsidP="00163957">
      <w:pPr>
        <w:pStyle w:val="TextoNormal"/>
      </w:pPr>
      <w:r w:rsidRPr="00163957">
        <w:rPr>
          <w:rStyle w:val="NumeroAFNegritaCaracter"/>
        </w:rPr>
        <w:t>2</w:t>
      </w:r>
      <w:r>
        <w:t>. Por providencia de 11 de febrero de 2014, el Pleno acordó, a propuesta de la Sección Primera, admitir a trámite el recurso de inconstitucionalidad promovido por el Presidente del Gobierno y, en su representación y defensa, por el Abogado del Estado, contra los arts. 2 y 3 de la Ley Foral 15/2013, de 17 de abril, en cuanto que modifican los artículos 33.2 y 46.2, respectivamente, de la Ley Foral 17/2001, de 12 de julio, reguladora del comercio en Navarra; dar traslado de la demanda y documentos presentados, conforme establece el artículo 34 LOTC, al Congreso de los Diputados, al Senado y al Gobierno y al Parlamento de Navarra, por conducto de sus Presidentes, al objeto de que, en el plazo de 15 días, puedan personarse en el proceso y formular las alegaciones que estimaren convenientes; tener por invocado por el Presidente del Gobierno el artículo 161.2 CE, lo que, a su tenor y conforme dispone el art. 30 LOTC, produce la suspensión de la vigencia y aplicación de los preceptos impugnados, desde la fecha de interposición del recurso —29 de enero de 2014— para las partes del proceso y desde el día en que aparezca publicada la suspensión en el “Boletín Oficial del Estado” para los terceros, lo que se comunicó a los Presidentes del Gobierno y del Parlamento de Navarra y, finalmente, publicar la incoación del recurso en el “Boletín Oficial del Estado” y en el “Boletín Oficial de Navarra”.</w:t>
      </w:r>
    </w:p>
    <w:p w:rsidR="00163957" w:rsidRDefault="00163957" w:rsidP="00163957">
      <w:pPr>
        <w:pStyle w:val="TextoNormal"/>
      </w:pPr>
    </w:p>
    <w:p w:rsidR="00163957" w:rsidRDefault="00163957" w:rsidP="00163957">
      <w:pPr>
        <w:pStyle w:val="TextoNormal"/>
      </w:pPr>
      <w:r w:rsidRPr="00163957">
        <w:rPr>
          <w:rStyle w:val="NumeroAFNegritaCaracter"/>
        </w:rPr>
        <w:t>3</w:t>
      </w:r>
      <w:r>
        <w:t>. El Presidente del Congreso de los Diputados, mediante escrito registrado el día 20 de febrero de 2014, comunicó que la Mesa de la Cámara había acordado dar por personada a la Cámara en este procedimiento y por ofrecida su colaboración a los efectos del art. 88.1 LOTC. Lo mismo hizo el Presidente del Senado por escrito registrado el 6 de marzo.</w:t>
      </w:r>
    </w:p>
    <w:p w:rsidR="00163957" w:rsidRDefault="00163957" w:rsidP="00163957">
      <w:pPr>
        <w:pStyle w:val="TextoNormal"/>
      </w:pPr>
    </w:p>
    <w:p w:rsidR="00163957" w:rsidRDefault="00163957" w:rsidP="00163957">
      <w:pPr>
        <w:pStyle w:val="TextoNormal"/>
      </w:pPr>
      <w:r w:rsidRPr="00163957">
        <w:rPr>
          <w:rStyle w:val="NumeroAFNegritaCaracter"/>
        </w:rPr>
        <w:t>4</w:t>
      </w:r>
      <w:r>
        <w:t>. El Parlamento de Navarra formuló sus alegaciones mediante escrito registrado el día 12 de marzo de 2014, interesando la inadmisión del recurso y, subsidiariamente, su desestimación, por las razones de las que resumidamente se deja constancia.</w:t>
      </w:r>
    </w:p>
    <w:p w:rsidR="00163957" w:rsidRDefault="00163957" w:rsidP="00163957">
      <w:pPr>
        <w:pStyle w:val="TextoNormal"/>
      </w:pPr>
    </w:p>
    <w:p w:rsidR="00163957" w:rsidRDefault="00163957" w:rsidP="00163957">
      <w:pPr>
        <w:pStyle w:val="TextoNormal"/>
      </w:pPr>
      <w:r>
        <w:t xml:space="preserve">El recurso debe ser inadmitido por haber sido presentado fuera de plazo. La Ley Foral 15/2013 fue publicada en el “Boletín Oficial de Navarra” el 29 de abril de 2013, habiéndose </w:t>
      </w:r>
      <w:r>
        <w:lastRenderedPageBreak/>
        <w:t>interpuesto el recurso de inconstitucionalidad con fecha 29 de enero de 2014, una vez superado con creces el plazo establecido en el art. 33.1 LOTC. La demanda no ha alegado ni acreditado el cumplimiento de los trámites previstos en el art. 33.2 LOTC, siendo carga procesal del recurrente su invocación y, en su caso, la aportación documental que permita la ampliación del plazo procesal previsto en el apartado 1, plazo de caducidad que no admite interrupciones (ATC 547/1989, de 15 de noviembre). Tratándose de un trámite insubsanable en este momento procesal, se solicita que se declare la inadmisión del recurso de inconstitucional por ser manifiestamente extemporáneo.</w:t>
      </w:r>
    </w:p>
    <w:p w:rsidR="00163957" w:rsidRDefault="00163957" w:rsidP="00163957">
      <w:pPr>
        <w:pStyle w:val="TextoNormal"/>
      </w:pPr>
    </w:p>
    <w:p w:rsidR="00163957" w:rsidRDefault="00163957" w:rsidP="00163957">
      <w:pPr>
        <w:pStyle w:val="TextoNormal"/>
      </w:pPr>
      <w:r>
        <w:t>En cuanto al fondo del asunto, el Letrado del Parlamento de Navarra denuncia que la noción de competencia en materia de comercio interior de la que parte el Abogado del Estado supone vaciarla de contenido, a pesar de lo establecido en el art 56.1 d) de la Ley Orgánica 13/1982, de 10 de agosto, de reintegración y amejoramiento del régimen foral de Navarra (LORAFNA). Indica además que el Real Decreto-ley 20/2012 se encuentra cuestionado en varios recursos de inconstitucionalidad tanto por razones formales —la falta de presupuesto habilitante— como materiales, por vulneración de las competencias autonómicas. El Letrado del Parlamento de Navarra niega el presupuesto del que se parte en el recurso de inconstitucionalidad respecto a la relación del comercio interior con el art. 149.1.13 CE, pues ello reduciría la legislación foral que desarrolla el art 56.1 d) LORAFNA a un mero complemento necesario de la legislación básica. En definitiva, según el Letrado del Parlamento de Navarra, el título de comercio interior debe ser interpretado de forma diversa a la que propone la representación del Estado, no debiendo ser, por tanto, encuadrado en el concepto ordenación general de la economía sino, por el contrario, permitiendo que cumpla una función ordenadora que equilibre el principio de libre apertura con otros, que tienen que ver con la preservación del pequeño comercio, la existencia de un tejido comercial como urdimbre de la trama urbana y el mantenimiento de puestos de trabajadores autónomos.</w:t>
      </w:r>
    </w:p>
    <w:p w:rsidR="00163957" w:rsidRDefault="00163957" w:rsidP="00163957">
      <w:pPr>
        <w:pStyle w:val="TextoNormal"/>
      </w:pPr>
    </w:p>
    <w:p w:rsidR="00163957" w:rsidRDefault="00163957" w:rsidP="00163957">
      <w:pPr>
        <w:pStyle w:val="TextoNormal"/>
      </w:pPr>
      <w:r>
        <w:t>Respecto al impugnado art. 2 de la Ley Foral 15/2013, niega que la norma reduzca el marco general liberalizador de la economía del país pues “siendo la liberalización de los horarios comerciales un criterio tendencial y gradual, que permite a cada Comunidad Autónoma un régimen de apertura acomodado a su estructura comercial y a su régimen de población y políticas comerciales, no puede considerarse que la opción de Navarra por un interpretación restrictiva, pero que supone una voluntad de cumplimiento en sus términos generales de la legislación en materia de horarios comerciales, pueda concitar la atención del Gobierno de la Nación con tanto ímpetu”. La representación procesal del Parlamento de Navarra señala que se cumple el mínimo de apertura de diez días, velando por no incumplir ninguno de los límites expresos a los que hace referencia el art 56.1 d) LORAFNA.</w:t>
      </w:r>
    </w:p>
    <w:p w:rsidR="00163957" w:rsidRDefault="00163957" w:rsidP="00163957">
      <w:pPr>
        <w:pStyle w:val="TextoNormal"/>
      </w:pPr>
    </w:p>
    <w:p w:rsidR="00163957" w:rsidRDefault="00163957" w:rsidP="00163957">
      <w:pPr>
        <w:pStyle w:val="TextoNormal"/>
      </w:pPr>
      <w:r>
        <w:t xml:space="preserve">Sobre la regulación de las ventas en rebajas, alega que “sin negar el carácter restrictivo que el legislador foral hace del nuevo régimen de rebajas, no puede dejar de tenerse en cuenta con carácter general, tal como el art. 3 dispone, que ‘la venta en rebajas será fijada según el criterio del comerciante y decidiendo libremente su duración, con sujeción a los siguientes parámetros, que los apartados a, b y c) del art. 46.2 establecen, no pueden entenderse sino una regulación general que como mínimo deberán llevar a cabo los establecimientos comerciales sin que la regulación foral pueda impedir otros periodos de rebajas de mayor interés comercial sin condicionarlas a épocas concretas’". Por ello concluye que interpretado “como un mínimo que los comerciantes deben observar, pero que no les impide </w:t>
      </w:r>
      <w:r>
        <w:lastRenderedPageBreak/>
        <w:t>acogerse o llevar a cabo otras rebajas cuando lo consideren de interés comercial, el art. 3 de la Ley Foral 15/2013, puede considerarse conforme a la Constitución”.</w:t>
      </w:r>
    </w:p>
    <w:p w:rsidR="00163957" w:rsidRDefault="00163957" w:rsidP="00163957">
      <w:pPr>
        <w:pStyle w:val="TextoNormal"/>
      </w:pPr>
    </w:p>
    <w:p w:rsidR="00163957" w:rsidRDefault="00163957" w:rsidP="00163957">
      <w:pPr>
        <w:pStyle w:val="TextoNormal"/>
      </w:pPr>
      <w:r w:rsidRPr="00163957">
        <w:rPr>
          <w:rStyle w:val="NumeroAFNegritaCaracter"/>
        </w:rPr>
        <w:t>5</w:t>
      </w:r>
      <w:r>
        <w:t>. El Gobierno de Navarra, por escrito registrado el día 14 de marzo de 2014 comunicó el acuerdo que había adoptado en el sentido de “darse por enterado de la interposición y admisión a trámite del recurso de inconstitucionalidad núm. 576-2014, promovido por el Presidente del Gobierno contra los arts. 2 y 3 de la Ley Foral 15/2013, de 17 de abril, por los que se modifican los artículos 33.2 y 46.2, respectivamente, de la Ley Foral 17/2001, de 12 de julio, reguladora del comercio en Navarra”.</w:t>
      </w:r>
    </w:p>
    <w:p w:rsidR="00163957" w:rsidRDefault="00163957" w:rsidP="00163957">
      <w:pPr>
        <w:pStyle w:val="TextoNormal"/>
      </w:pPr>
    </w:p>
    <w:p w:rsidR="00163957" w:rsidRDefault="00163957" w:rsidP="00163957">
      <w:pPr>
        <w:pStyle w:val="TextoNormal"/>
      </w:pPr>
      <w:r w:rsidRPr="00163957">
        <w:rPr>
          <w:rStyle w:val="NumeroAFNegritaCaracter"/>
        </w:rPr>
        <w:t>6</w:t>
      </w:r>
      <w:r>
        <w:t>. Próximo a finalizar el plazo de cinco meses que señala el art. 161.2 CE desde que se produjo la suspensión de la Ley Foral 2/2014, el Pleno, por providencia de 1 de abril de 2014, acordó oír a las partes personadas —Abogado del Estado y Parlamento de Navarra— para que, en el plazo de cinco días, expusieran lo que consideraran conveniente acerca del mantenimiento o levantamiento de la suspensión. Evacuado por las partes el trámite de alegaciones conferido, el Pleno del Tribunal, mediante ATC 153/2014, de 27 de mayo, acordó levantar la suspensión de los arts. 2 y 3 de la Ley Foral 15/2013, en cuanto que modifican los arts. 33.3 y 46.2, respectivamente, de la Ley Foral 17/2001, de 12 de julio, reguladora del comercio de Navarra.</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15 de marzo de 2016, se señaló para deliberación y votación de la presente Sentencia el día 17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presente resolución ha de resolver el recurso de inconstitucionalidad planteado por el Presidente del Gobierno contra los arts. 2 y 3 de la Ley Foral 15/2013, de 17 de abril, en cuanto que modifican los arts. 33.2 y 46.2, respectivamente, de la Ley Foral 17/2001, de 12 de julio, reguladora del comercio en Navarra.</w:t>
      </w:r>
    </w:p>
    <w:p w:rsidR="00163957" w:rsidRDefault="00163957" w:rsidP="00163957">
      <w:pPr>
        <w:pStyle w:val="TextoNormal"/>
      </w:pPr>
    </w:p>
    <w:p w:rsidR="00163957" w:rsidRDefault="00163957" w:rsidP="00163957">
      <w:pPr>
        <w:pStyle w:val="TextoNormal"/>
      </w:pPr>
      <w:r>
        <w:t xml:space="preserve">Como ha quedado expuesto en los antecedentes, el Abogado del Estado argumenta que los dos preceptos impugnados establecen una regulación que restringe el alcance liberalizador de los horarios comerciales acerca del régimen de apertura en festivos y en lo relativo a los períodos de venta en rebajas, establecidos por los arts. 27 y 28 del Real Decreto-ley 20/2012, que modificaron en estos aspectos la Ley 1/2004, de 21 de diciembre, de horarios comerciales y la Ley 7/1996, de 15 de enero, de ordenación del comercio minorista, respectivamente, vulnerando así las competencias estatales </w:t>
      </w:r>
      <w:r w:rsidRPr="00163957">
        <w:rPr>
          <w:i/>
        </w:rPr>
        <w:t>ex</w:t>
      </w:r>
      <w:r>
        <w:t xml:space="preserve"> art. 149.1.13 CE en materia de ordenación general de la economía en el subsector del comercio. El Letrado del Parlamento ha interesado la inadmisión del recurso por extemporáneo y, subsidiariamente, su desestimación por entender que en el caso del art. 33.2 no se vulneran las bases estatales y que el art. 46.2 admite una interpretación conforme compatible con ellas.</w:t>
      </w:r>
    </w:p>
    <w:p w:rsidR="00163957" w:rsidRDefault="00163957" w:rsidP="00163957">
      <w:pPr>
        <w:pStyle w:val="TextoNormal"/>
      </w:pPr>
    </w:p>
    <w:p w:rsidR="00163957" w:rsidRDefault="00163957" w:rsidP="00163957">
      <w:pPr>
        <w:pStyle w:val="TextoNormal"/>
      </w:pPr>
      <w:r w:rsidRPr="00163957">
        <w:rPr>
          <w:rStyle w:val="NumeroAFNegritaCaracter"/>
        </w:rPr>
        <w:t>2</w:t>
      </w:r>
      <w:r>
        <w:t>. Expuestas las posiciones de las partes en el proceso y antes de comenzar a resolverlo hemos de examinar el óbice procesal formulado por el Letrado del Parlamento Foral.</w:t>
      </w:r>
    </w:p>
    <w:p w:rsidR="00163957" w:rsidRDefault="00163957" w:rsidP="00163957">
      <w:pPr>
        <w:pStyle w:val="TextoNormal"/>
      </w:pPr>
    </w:p>
    <w:p w:rsidR="00163957" w:rsidRDefault="00163957" w:rsidP="00163957">
      <w:pPr>
        <w:pStyle w:val="TextoNormal"/>
      </w:pPr>
      <w:r>
        <w:lastRenderedPageBreak/>
        <w:t>Éste solicita la inadmisión por haberse presentado el recurso fuera del plazo de tres meses establecido en el art. 33.1 de la Ley Orgánica del Tribunal Constitucional (LOTC), sin que resulte aplicable la ampliación a nueve meses prevista en el art. 33.2 LOTC, al no haberse alegado ni acreditado el cumplimiento de los requisitos establecidos en este precepto.</w:t>
      </w:r>
    </w:p>
    <w:p w:rsidR="00163957" w:rsidRDefault="00163957" w:rsidP="00163957">
      <w:pPr>
        <w:pStyle w:val="TextoNormal"/>
      </w:pPr>
    </w:p>
    <w:p w:rsidR="00163957" w:rsidRDefault="00163957" w:rsidP="00163957">
      <w:pPr>
        <w:pStyle w:val="TextoNormal"/>
      </w:pPr>
      <w:r>
        <w:t>Esta objeción debe rechazarse, como ya hiciéramos en las SSTC 207/2013, de 5 de diciembre, FJ 1 a), y 111/2014, de 26 de junio, FJ 1 a). Como en aquellas ocasiones se razonó, también en este proceso se han cumplido todos los requisitos exigidos por el art. 33.2 LOTC para interponer el recurso de inconstitucionalidad en el plazo especial de nueve meses. El acuerdo de la Junta de Cooperación Administración General del Estado-Comunidad Foral de Navarra relativo a la Ley Foral 15/2013 fue suscrito el 21 de junio de 2013, y notificado al Tribunal Constitucional mediante escrito registrado el 8 de julio de 2013, dentro de los tres meses siguientes a la publicación oficial de la Ley en el “Boletín Oficial de Navarra”. El referido acuerdo fue publicado con fecha 5 de agosto de 2013 en el “Boletín Oficial del Estado” (por resolución de 10 de julio de 2013, de la Secretaría General de Coordinación Autonómica y Local), y en el “Boletín Oficial de Navarra” (por resolución 472/2013, de 11 de julio, del Director General de Presidencia y Justicia de la Comunidad Foral), siendo por tanto de general conocimiento.</w:t>
      </w:r>
    </w:p>
    <w:p w:rsidR="00163957" w:rsidRDefault="00163957" w:rsidP="00163957">
      <w:pPr>
        <w:pStyle w:val="TextoNormal"/>
      </w:pPr>
    </w:p>
    <w:p w:rsidR="00163957" w:rsidRDefault="00163957" w:rsidP="00163957">
      <w:pPr>
        <w:pStyle w:val="TextoNormal"/>
      </w:pPr>
      <w:r>
        <w:t>Por tanto, el recurso no es extemporáneo y no puede aceptarse el óbice procesal planteado por el Parlamento de Navarra.</w:t>
      </w:r>
    </w:p>
    <w:p w:rsidR="00163957" w:rsidRDefault="00163957" w:rsidP="00163957">
      <w:pPr>
        <w:pStyle w:val="TextoNormal"/>
      </w:pPr>
    </w:p>
    <w:p w:rsidR="00163957" w:rsidRDefault="00163957" w:rsidP="00163957">
      <w:pPr>
        <w:pStyle w:val="TextoNormal"/>
      </w:pPr>
      <w:r w:rsidRPr="00163957">
        <w:rPr>
          <w:rStyle w:val="NumeroAFNegritaCaracter"/>
        </w:rPr>
        <w:t>3</w:t>
      </w:r>
      <w:r>
        <w:t>. Dado el contenido de los preceptos impugnados, la controversia competencial suscitada en el presente proceso ha de encuadrarse, en la materia comercio interior. Ello no se discute por las partes comparecidas, que han centrado el debate en el alcance que ha de atribuirse a las competencias estatales derivadas del art. 149.1.13 CE en relación con las competencias autonómicas en materia de comercio interior, asumidas en los términos del apartado d) del art. 56.1 la Ley Orgánica 13/1982, de 10 de agosto, de reintegración y amejoramiento del Régimen Foral de Navarra (LORAFNA), que le atribuye competencia exclusiva sobre “Comercio interior ... sin perjuicio de la política general de precios, de la libre circulación de bienes en el territorio nacional y de la legislación sobre defensa de la competencia”, correspondiéndole tal competencia “De acuerdo con las bases y la ordenación de la actividad económica general y de la política monetaria, crediticia, bancaria y de seguros del Estado ... en los términos de los pertinentes preceptos constitucionales”.</w:t>
      </w:r>
    </w:p>
    <w:p w:rsidR="00163957" w:rsidRDefault="00163957" w:rsidP="00163957">
      <w:pPr>
        <w:pStyle w:val="TextoNormal"/>
      </w:pPr>
    </w:p>
    <w:p w:rsidR="00163957" w:rsidRDefault="00163957" w:rsidP="00163957">
      <w:pPr>
        <w:pStyle w:val="TextoNormal"/>
      </w:pPr>
      <w:r>
        <w:t>Debe tenerse en cuenta que este Tribunal ha precisado que “aun existiendo una competencia sobre un subsector económico que una Comunidad Autónoma ha asumido como 'exclusiva' en su Estatuto … esta atribución competencial 'no excluye la competencia estatal para establecer las bases y la coordinación de ese subsector, y que el ejercicio autonómico de esta competencia exclusiva puede estar condicionado por medidas estatales, que en ejercicio de una competencia propia y diferenciada pueden desplegarse autónomamente sobre diversos campos o materias” (STC 77/2004, de 29 de abril, FJ 3, y las en ella citadas). Así, conforme al criterio recogido por el texto estatutario e igualmente destacado por nuestra doctrina, las competencias autonómicas no pueden dejar de atemperarse, según prevé la propia LORAFNA, a la disciplina establecida por el Estado en el ejercicio de sus competencias propias.</w:t>
      </w:r>
    </w:p>
    <w:p w:rsidR="00163957" w:rsidRDefault="00163957" w:rsidP="00163957">
      <w:pPr>
        <w:pStyle w:val="TextoNormal"/>
      </w:pPr>
    </w:p>
    <w:p w:rsidR="00163957" w:rsidRDefault="00163957" w:rsidP="00163957">
      <w:pPr>
        <w:pStyle w:val="TextoNormal"/>
      </w:pPr>
      <w:r>
        <w:lastRenderedPageBreak/>
        <w:t>En el caso que nos ocupa, ello se traduce en el ejercicio de la competencia autonómica en el marco de los principios básicos que el Estado haya establecido al amparo de su competencia sobre las “bases y coordinación de la planificación general de la actividad económica” del art. 149.1.13 CE (en tal sentido, STC 31/2010, de 28 de junio, FJ 68). De hecho, el Abogado del Estado ha argumentado que las normas forales impugnadas incurren en una inconstitucionalidad de carácter mediato o indirecto, en cuanto que lo impugnado es la infracción de las normas básicas en materia de horarios comerciales y de períodos de venta en rebajas anteriormente citadas, establecidas por el Estado al amparo del art. 149.1.13 CE, derivando la inconstitucionalidad de su efectiva contradicción con aquellas.</w:t>
      </w:r>
    </w:p>
    <w:p w:rsidR="00163957" w:rsidRDefault="00163957" w:rsidP="00163957">
      <w:pPr>
        <w:pStyle w:val="TextoNormal"/>
      </w:pPr>
    </w:p>
    <w:p w:rsidR="00163957" w:rsidRDefault="00163957" w:rsidP="00163957">
      <w:pPr>
        <w:pStyle w:val="TextoNormal"/>
      </w:pPr>
      <w:r>
        <w:t>Por tanto, de acuerdo con nuestra consolidada doctrina el análisis de la posible inconstitucionalidad mediata del precepto legal autonómico cuestionado exige, examinar, en primer lugar, el carácter básico, tanto formal como material, de la regulación estatal a la que debe ajustarse la normativa autonómica de desarrollo; y, en segundo lugar, si la posible contradicción entre ambas normas, estatal y autonómica es efectiva e insalvable por vía interpretativa (por todas, STC 271/2015, de 17 de diciembre, FJ 3).</w:t>
      </w:r>
    </w:p>
    <w:p w:rsidR="00163957" w:rsidRDefault="00163957" w:rsidP="00163957">
      <w:pPr>
        <w:pStyle w:val="TextoNormal"/>
      </w:pPr>
    </w:p>
    <w:p w:rsidR="00163957" w:rsidRDefault="00163957" w:rsidP="00163957">
      <w:pPr>
        <w:pStyle w:val="TextoNormal"/>
      </w:pPr>
      <w:r w:rsidRPr="00163957">
        <w:rPr>
          <w:rStyle w:val="NumeroAFNegritaCaracter"/>
        </w:rPr>
        <w:t>4</w:t>
      </w:r>
      <w:r>
        <w:t>. Conforme a los anteriores criterios podemos ya abordar la resolución de la controversia competencial que aquí se plantea, comenzando por el art. 2 de la Ley Foral 15/2013, que modifica el artículo 33 de la Ley Foral 17/2001, de 12 de julio, reguladora del comercio en Navarra, para darle la siguiente redacción:</w:t>
      </w:r>
    </w:p>
    <w:p w:rsidR="00163957" w:rsidRDefault="00163957" w:rsidP="00163957">
      <w:pPr>
        <w:pStyle w:val="TextoNormal"/>
      </w:pPr>
    </w:p>
    <w:p w:rsidR="00163957" w:rsidRDefault="00163957" w:rsidP="00163957">
      <w:pPr>
        <w:pStyle w:val="TextoNormal"/>
      </w:pPr>
      <w:r>
        <w:t>“Artículo 33. Apertura en domingos y festivos.</w:t>
      </w:r>
    </w:p>
    <w:p w:rsidR="00163957" w:rsidRDefault="00163957" w:rsidP="00163957">
      <w:pPr>
        <w:pStyle w:val="TextoNormal"/>
      </w:pPr>
    </w:p>
    <w:p w:rsidR="00163957" w:rsidRDefault="00163957" w:rsidP="00163957">
      <w:pPr>
        <w:pStyle w:val="TextoNormal"/>
      </w:pPr>
      <w:r>
        <w:t>1. Los domingos y festivos no serán hábiles para el ejercicio de la actividad comercial en la Comunidad Foral de Navarra, salvo los expresamente autorizados.</w:t>
      </w:r>
    </w:p>
    <w:p w:rsidR="00163957" w:rsidRDefault="00163957" w:rsidP="00163957">
      <w:pPr>
        <w:pStyle w:val="TextoNormal"/>
      </w:pPr>
    </w:p>
    <w:p w:rsidR="00163957" w:rsidRDefault="00163957" w:rsidP="00163957">
      <w:pPr>
        <w:pStyle w:val="TextoNormal"/>
      </w:pPr>
      <w:r>
        <w:t>2. Antes del 1 de noviembre se establecerá por el Departamento competente en materia de comercio, previa audiencia del Consejo de Comercio de Navarra, el calendario que regirá para el año siguiente, comprensivo de los domingos y festivos que se consideren hábiles. El número de domingos y festivos que se consideren hábiles será de diez.</w:t>
      </w:r>
    </w:p>
    <w:p w:rsidR="00163957" w:rsidRDefault="00163957" w:rsidP="00163957">
      <w:pPr>
        <w:pStyle w:val="TextoNormal"/>
      </w:pPr>
    </w:p>
    <w:p w:rsidR="00163957" w:rsidRDefault="00163957" w:rsidP="00163957">
      <w:pPr>
        <w:pStyle w:val="TextoNormal"/>
      </w:pPr>
      <w:r>
        <w:t>Los criterios para dicho establecimiento serán los siguientes:</w:t>
      </w:r>
    </w:p>
    <w:p w:rsidR="00163957" w:rsidRDefault="00163957" w:rsidP="00163957">
      <w:pPr>
        <w:pStyle w:val="TextoNormal"/>
      </w:pPr>
    </w:p>
    <w:p w:rsidR="00163957" w:rsidRDefault="00163957" w:rsidP="00163957">
      <w:pPr>
        <w:pStyle w:val="TextoNormal"/>
      </w:pPr>
      <w:r>
        <w:t>a) Un máximo de 1 día hábil por cada mes, a excepción de diciembre en el que podrán establecerse dos.</w:t>
      </w:r>
    </w:p>
    <w:p w:rsidR="00163957" w:rsidRDefault="00163957" w:rsidP="00163957">
      <w:pPr>
        <w:pStyle w:val="TextoNormal"/>
      </w:pPr>
    </w:p>
    <w:p w:rsidR="00163957" w:rsidRDefault="00163957" w:rsidP="00163957">
      <w:pPr>
        <w:pStyle w:val="TextoNormal"/>
      </w:pPr>
      <w:r>
        <w:t>b) Un máximo de 2 domingos autorizados como hábiles durante el año. Estos domingos, en ningún caso podrán ser consecutivos.</w:t>
      </w:r>
    </w:p>
    <w:p w:rsidR="00163957" w:rsidRDefault="00163957" w:rsidP="00163957">
      <w:pPr>
        <w:pStyle w:val="TextoNormal"/>
      </w:pPr>
    </w:p>
    <w:p w:rsidR="00163957" w:rsidRDefault="00163957" w:rsidP="00163957">
      <w:pPr>
        <w:pStyle w:val="TextoNormal"/>
      </w:pPr>
      <w:r>
        <w:t>3. Este calendario será susceptible de variación por el departamento competente, previa solicitud motivada. En el caso de los ayuntamientos y para variaciones en sus respectivos términos municipales, la solicitud deberá realizarse con una antelación de dos meses.</w:t>
      </w:r>
    </w:p>
    <w:p w:rsidR="00163957" w:rsidRDefault="00163957" w:rsidP="00163957">
      <w:pPr>
        <w:pStyle w:val="TextoNormal"/>
      </w:pPr>
    </w:p>
    <w:p w:rsidR="00163957" w:rsidRDefault="00163957" w:rsidP="00163957">
      <w:pPr>
        <w:pStyle w:val="TextoNormal"/>
      </w:pPr>
      <w:r>
        <w:t>4. El horario de apertura y cierre de los establecimientos comerciales en los domingos y festivos autorizados, con una jornada comercial máxima de quince horas, será fijado libremente por cada comerciante, todo ello sin perjuicio de los derechos reconocidos a los trabajadores en el régimen laboral.”</w:t>
      </w:r>
    </w:p>
    <w:p w:rsidR="00163957" w:rsidRDefault="00163957" w:rsidP="00163957">
      <w:pPr>
        <w:pStyle w:val="TextoNormal"/>
      </w:pPr>
    </w:p>
    <w:p w:rsidR="00163957" w:rsidRDefault="00163957" w:rsidP="00163957">
      <w:pPr>
        <w:pStyle w:val="TextoNormal"/>
      </w:pPr>
      <w:r>
        <w:t>El Abogado del Estado ha cuestionado únicamente la nueva redacción del apartado 2 del art. 33, argumentado que el precepto restringe la posibilidad de apertura de los comercios dentro de los días festivos y los domingos establecido en el art. 27 del Real Decreto-ley 20/2012, al modificar el art. 4 de la Ley 1/2004, de 21 de diciembre, de horarios comerciales. El Letrado del Parlamento de Navarra, sin desmentir el carácter restrictivo de la norma foral, ha negado la anterior vulneración en la medida en que estima que el legislador foral ha procedido a la acomodación de la nueva legislación en materia de horarios comerciales, estableciendo un régimen de apertura ajustado a su estructura comercial y a su régimen de población y políticas comerciales.</w:t>
      </w:r>
    </w:p>
    <w:p w:rsidR="00163957" w:rsidRDefault="00163957" w:rsidP="00163957">
      <w:pPr>
        <w:pStyle w:val="TextoNormal"/>
      </w:pPr>
    </w:p>
    <w:p w:rsidR="00163957" w:rsidRDefault="00163957" w:rsidP="00163957">
      <w:pPr>
        <w:pStyle w:val="TextoNormal"/>
      </w:pPr>
      <w:r>
        <w:t>En el examen de esta queja hemos de tener presente que, como ya advirtiera la STC 26/2012, de 1 de marzo, FJ 8, “la opción legislativa estatal permitiendo la apertura en festivos supone el establecimiento de normas básicas en lo relativo a la intervención administrativa en la fijación de los horarios comerciales, su concreción requiere la actuación autonómica con la consecuencia de que el establecimiento de dicho régimen debe respetar, como regla general, el reiterado criterio de este Tribunal Constitucional respecto a la articulación de las bases y su desarrollo como esquema de distribución de competencias entre el Estado y las Comunidades Autónomas, permitiendo a éstas, dentro del margen establecido por las bases estatales, la adopción de sus propias decisiones en desarrollo de las mismas”.</w:t>
      </w:r>
    </w:p>
    <w:p w:rsidR="00163957" w:rsidRDefault="00163957" w:rsidP="00163957">
      <w:pPr>
        <w:pStyle w:val="TextoNormal"/>
      </w:pPr>
    </w:p>
    <w:p w:rsidR="00163957" w:rsidRDefault="00163957" w:rsidP="00163957">
      <w:pPr>
        <w:pStyle w:val="TextoNormal"/>
      </w:pPr>
      <w:r>
        <w:t>El régimen establecido en el art. 27.2 del Real Decreto-Ley 20/2012, al modificar el art. 4 de la Ley 1/2004, ha de ser considerado formal y materialmente básico. Desde la perspectiva formal, así se afirma en la disposición final cuarta del Real Decreto-ley 20/2012 y desde un punto de vista material así lo declaran las SSTC 156/2015, de 9 de julio, FJ 10, y 18/2016, de 4 de febrero, FJ 9 b), en el primer caso en relación con los criterios para la determinación de los domingos y festivos de apertura del art. 4.5 y en el segundo respecto a la fijación por el Estado de un número de festivos hábiles para el ejercicio de la actividad comercial y a su concreción por cada Comunidad Autónoma (arts. 4.1, 4.2 y 4.4).</w:t>
      </w:r>
    </w:p>
    <w:p w:rsidR="00163957" w:rsidRDefault="00163957" w:rsidP="00163957">
      <w:pPr>
        <w:pStyle w:val="TextoNormal"/>
      </w:pPr>
    </w:p>
    <w:p w:rsidR="00163957" w:rsidRDefault="00163957" w:rsidP="00163957">
      <w:pPr>
        <w:pStyle w:val="TextoNormal"/>
      </w:pPr>
      <w:r>
        <w:t>El punto de partida del régimen establecido en el art. 27.2 del Real Decreto-ley 20/2012 es el reconocimiento de las competencias autonómicas para determinar los domingos o días festivos en los que podrán permanecer abiertos al público los comercios (apartado 4), respetando el mínimo anual (señalado en los apartados 1 y 2). Dentro de ese marco común, el legislador estatal ha optado por establecer que “el número mínimo de domingos y días festivos en los que los comerciantes podrán permanecer abiertos al público será de dieciséis” (art 4.1), si bien admite que las Comunidades Autónomas puedan modificar dicho número en atención a diversos criterios que la norma estatal concreta, con el carácter de prioritarios, en el art. 4.5 y sin que en ningún caso pueda limitarse el total de domingos y festivos de apertura autorizada por debajo de diez (art. 4.2). Siendo éstas las bases estatales, el legislador foral se acomoda a ellas, tanto en la regla general que declara inhábiles los domingos y festivos, salvo los expresamente autorizados, como sobre el número de festivos autorizados, toda vez que el número total de domingos y festivos en que se admite la apertura es de diez, coincidiendo con el mínimo estatal.</w:t>
      </w:r>
    </w:p>
    <w:p w:rsidR="00163957" w:rsidRDefault="00163957" w:rsidP="00163957">
      <w:pPr>
        <w:pStyle w:val="TextoNormal"/>
      </w:pPr>
    </w:p>
    <w:p w:rsidR="00163957" w:rsidRDefault="00163957" w:rsidP="00163957">
      <w:pPr>
        <w:pStyle w:val="TextoNormal"/>
      </w:pPr>
      <w:r>
        <w:t xml:space="preserve">Ahora bien, una vez fijado ese número, resulta que el legislador estatal no distingue entre domingos y festivos para que las Comunidades Autónomas determinen los días de apertura autorizada. Frente a este régimen, la norma foral impone un máximo de dos domingos de </w:t>
      </w:r>
      <w:r>
        <w:lastRenderedPageBreak/>
        <w:t>apertura al año, exigiendo que en ningún caso sean consecutivos. De este modo, los ocho días restantes en los que, no tratándose de días hábiles, se permite la apertura del establecimiento hasta el máximo de diez fijado por el legislador foral, habrán de ser forzosamente días festivos, condición ésta tampoco prevista en la norma básica. Estas divergencias, derivadas del silencio de la norma estatal, no son suficientes para apreciar que entre ésta y la autonómica exista una contradicción insalvable. Los criterios de la Ley Foral para determinar los días de apertura en domingos y festivos, bien que diferentes, no excluyen a priori la aplicación de los fijados por la norma estatal en trance de determinar los festivos de apertura (apertura en al menos un día festivo cuando se produzca la coincidencia de dos o más festivos continuados; en los correspondientes a los períodos de rebajas; en los de mayor afluencia turística en la Comunidad Autónoma o en los de la campaña de Navidad). Algo que, en todo caso, no queda a la libre voluntad del comerciante, sino que corresponde a la intervención de la Comunidad Autónoma (art. 4.5 de la Ley 1/2004), lo que, por lo demás, se desprende de los criterios de la norma estatal pues, salvo el relativo a la campaña de Navidad, pueden variar en cada Comunidad Autónoma.</w:t>
      </w:r>
    </w:p>
    <w:p w:rsidR="00163957" w:rsidRDefault="00163957" w:rsidP="00163957">
      <w:pPr>
        <w:pStyle w:val="TextoNormal"/>
      </w:pPr>
    </w:p>
    <w:p w:rsidR="00163957" w:rsidRDefault="00163957" w:rsidP="00163957">
      <w:pPr>
        <w:pStyle w:val="TextoNormal"/>
      </w:pPr>
      <w:r>
        <w:t>Por tanto, en el enjuiciamiento abstracto que ahora nos corresponde, es posible apreciar que, con independencia del resultado que pueda producir su aplicación en un caso concreto, la introducción de estos criterios por el legislador foral (un máximo de día por mes, a excepción de diciembre en el que podrán establecerse dos, y un máximo de dos domingos autorizados como hábiles durante el año, sin que puedan ser consecutivos) no contradice los formulados por el Estado en el art. 4.5 (con el carácter de prioritarios, no exclusivos) en la medida en que no son excluyentes entre sí. Por lo demás, tampoco la norma básica estatal contiene una prohibición expresa para la existencia de criterios sobre esta cuestión en las normas autonómicas sobre horarios comerciales, sino que únicamente reclama que, a la hora de fijar los domingos y festivos de apertura autorizada, se tengan en cuenta los que ella establece, condición que no puede estimarse incumplida por el tenor del art. 33.2 de la Ley Foral 17/2001 (en un sentido similar STC 271/2015, de 17 de diciembre, FJ 5, sobre los criterios de puntuación en los procesos de admisión de alumnos en centros docentes no universitarios sostenidos con fondos públicos).</w:t>
      </w:r>
    </w:p>
    <w:p w:rsidR="00163957" w:rsidRDefault="00163957" w:rsidP="00163957">
      <w:pPr>
        <w:pStyle w:val="TextoNormal"/>
      </w:pPr>
    </w:p>
    <w:p w:rsidR="00163957" w:rsidRDefault="00163957" w:rsidP="00163957">
      <w:pPr>
        <w:pStyle w:val="TextoNormal"/>
      </w:pPr>
      <w:r>
        <w:t>En todo caso, ya advirtió la STC 156/2015, FJ 10, al pronunciarse sobre el régimen de apertura de domingos y festivos que realizan los diversos apartados del artículo 4 de la Ley 1/2004, que se trataba de una regulación que dejaba un margen de desarrollo a las Comunidades Autónomas, ya que les faculta —teniendo en cuenta los criterios establecidos por el precepto estatal en su apartado 5— para que sean ellas las que establezcan los concretos domingos y festivos de apertura, en cuanto que “no se agotan las posibilidades de que el legislador autonómico con competencia para ello pueda llevar a cabo desarrollos normativos que, sin detrimento de la eficacia de la norma estatal básica, permitan que cada Comunidad Autónoma pueda establecer sistemas singularizados en materia de apertura de comercios en domingos y festivos”. Dicha concreción se encuentra, como ha quedado expuesto, sujeta a los límites que en ejercicio de la competencia exclusiva que le reconoce el artículo 149.1.13 de la Constitución, puede el Estado imponer, pero tales límites no se ven vulnerados ahora por la norma impugnada (de modo similar en la STC 26/2012, FJ 8), sin que, por otra parte, el Abogado del Estado haya desarrollado argumentación alguna para justificar la existencia de una contradicción determinante de la inconstitucionalidad de los criterios establecidos por el precepto autonómico.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5</w:t>
      </w:r>
      <w:r>
        <w:t>. El otro precepto impugnado, el art. 3 de la Ley Foral 15/2013, modifica el apartado 2 del artículo 46 de la Ley Foral 17/2001, de 12 de julio, reguladora del comercio en Navarra, al que da la siguiente redacción:</w:t>
      </w:r>
    </w:p>
    <w:p w:rsidR="00163957" w:rsidRDefault="00163957" w:rsidP="00163957">
      <w:pPr>
        <w:pStyle w:val="TextoNormal"/>
      </w:pPr>
    </w:p>
    <w:p w:rsidR="00163957" w:rsidRDefault="00163957" w:rsidP="00163957">
      <w:pPr>
        <w:pStyle w:val="TextoNormal"/>
      </w:pPr>
      <w:r>
        <w:t>“2. La venta en rebajas será fijada según el criterio del comerciante y decidiendo libremente su duración, con sujeción a los siguientes parámetros:</w:t>
      </w:r>
    </w:p>
    <w:p w:rsidR="00163957" w:rsidRDefault="00163957" w:rsidP="00163957">
      <w:pPr>
        <w:pStyle w:val="TextoNormal"/>
      </w:pPr>
    </w:p>
    <w:p w:rsidR="00163957" w:rsidRDefault="00163957" w:rsidP="00163957">
      <w:pPr>
        <w:pStyle w:val="TextoNormal"/>
      </w:pPr>
      <w:r>
        <w:t>a) Podrán celebrarse en dos temporadas anuales: una, iniciada al principio del año, y la otra, en torno al periodo estival, atendiendo a los usos y costumbres, y a los periodos de mayor venta.</w:t>
      </w:r>
    </w:p>
    <w:p w:rsidR="00163957" w:rsidRDefault="00163957" w:rsidP="00163957">
      <w:pPr>
        <w:pStyle w:val="TextoNormal"/>
      </w:pPr>
    </w:p>
    <w:p w:rsidR="00163957" w:rsidRDefault="00163957" w:rsidP="00163957">
      <w:pPr>
        <w:pStyle w:val="TextoNormal"/>
      </w:pPr>
      <w:r>
        <w:t>b) Las rebajas tendrán una duración mínima de una semana y una máxima de dos meses.</w:t>
      </w:r>
    </w:p>
    <w:p w:rsidR="00163957" w:rsidRDefault="00163957" w:rsidP="00163957">
      <w:pPr>
        <w:pStyle w:val="TextoNormal"/>
      </w:pPr>
    </w:p>
    <w:p w:rsidR="00163957" w:rsidRDefault="00163957" w:rsidP="00163957">
      <w:pPr>
        <w:pStyle w:val="TextoNormal"/>
      </w:pPr>
      <w:r>
        <w:t>c) Las fechas iniciales y finales de cada temporada se determinarán mediante orden foral del consejero del Departamento competente.</w:t>
      </w:r>
    </w:p>
    <w:p w:rsidR="00163957" w:rsidRDefault="00163957" w:rsidP="00163957">
      <w:pPr>
        <w:pStyle w:val="TextoNormal"/>
      </w:pPr>
    </w:p>
    <w:p w:rsidR="00163957" w:rsidRDefault="00163957" w:rsidP="00163957">
      <w:pPr>
        <w:pStyle w:val="TextoNormal"/>
      </w:pPr>
      <w:r>
        <w:t>d) Las fechas de rebajas elegidas por cada comerciante, dentro de los criterios establecidos en la Orden Foral, deberán ser expuesta en el exterior de cada establecimiento comercial en lugar visible al público, incluso cuando dichos establecimientos permanezcan cerrados.”</w:t>
      </w:r>
    </w:p>
    <w:p w:rsidR="00163957" w:rsidRDefault="00163957" w:rsidP="00163957">
      <w:pPr>
        <w:pStyle w:val="TextoNormal"/>
      </w:pPr>
    </w:p>
    <w:p w:rsidR="00163957" w:rsidRDefault="00163957" w:rsidP="00163957">
      <w:pPr>
        <w:pStyle w:val="TextoNormal"/>
      </w:pPr>
      <w:r>
        <w:t>El Abogado del Estado considera que la nueva redacción del art. 46.2 de la Ley Foral 17/2001 incurre en inconstitucionalidad mediata por vulnerar el art. 28 del Real Decreto-ley 20/2012, cuyo apartado 3 modifica el art. 25 de la Ley 7/1996, que fijaba las temporadas de rebajas y su duración, para establecer que cada comerciante podrá decidirlos libremente. El Letrado del Parlamento de Navarra ha negado la contradicción con la norma estatal, sosteniendo que los parámetros de las letras a), b) y c) del art. 46.2 no pueden entenderse sino como una regulación general que, como mínimo, deberán llevar a cabo los establecimientos comerciales, sin que la regulación foral pueda impedir otros periodos de rebajas de mayor interés comercial ni condicionarlas a épocas concretas.</w:t>
      </w:r>
    </w:p>
    <w:p w:rsidR="00163957" w:rsidRDefault="00163957" w:rsidP="00163957">
      <w:pPr>
        <w:pStyle w:val="TextoNormal"/>
      </w:pPr>
    </w:p>
    <w:p w:rsidR="00163957" w:rsidRDefault="00163957" w:rsidP="00163957">
      <w:pPr>
        <w:pStyle w:val="TextoNormal"/>
      </w:pPr>
      <w:r>
        <w:t>El art. 28 del Real Decreto-ley 20/2012 se afirma dictado al amparo del art. 149.1.13 CE, según reza la disposición final cuarta, pese a que en la versión originaria de la Ley 7/1996, su art. 25, ahora modificado, se fundamentaba en la competencia exclusiva que el art. 149.1.6 CE atribuye al Estado para regular el derecho mercantil de la competencia. Dicha distinción no es relevante a los efectos del presente proceso, pues no sólo el legislador estatal es libre para determinar el título competencial en el que funda sus decisiones, siendo lo único relevante que responda a un legítimo ejercicio de las competencias estatales, sino que, en todo caso, corresponde a este Tribunal identificar si finalmente el título competencial concreto que ofrezca —cuando proceda— da cobertura al precepto impugnado.</w:t>
      </w:r>
    </w:p>
    <w:p w:rsidR="00163957" w:rsidRDefault="00163957" w:rsidP="00163957">
      <w:pPr>
        <w:pStyle w:val="TextoNormal"/>
      </w:pPr>
    </w:p>
    <w:p w:rsidR="00163957" w:rsidRDefault="00163957" w:rsidP="00163957">
      <w:pPr>
        <w:pStyle w:val="TextoNormal"/>
      </w:pPr>
      <w:r>
        <w:t xml:space="preserve">El art. 28.3 del Real Decreto-ley 20/2012 es un precepto básico en el doble sentido material y formal. En el sentido formal, porque así se declara en la disposición final cuarta del Real Decreto-ley 20/2012. También lo es en sentido material, pues “le es aplicable nuestra doctrina según la cual las normas que regulan un marco temporal para el desarrollo de específicas modalidades de ventas, deben considerarse integradas en las normas que velan por la defensa de la competencia (por todas, STC 106/2009, de 4 de mayo, FJ 2), siendo, por tanto, competencia del Estado </w:t>
      </w:r>
      <w:r w:rsidRPr="00163957">
        <w:rPr>
          <w:i/>
        </w:rPr>
        <w:t>ex</w:t>
      </w:r>
      <w:r>
        <w:t xml:space="preserve"> art. 149.1.13 CE” (STC 18/2016, FJ 10).</w:t>
      </w:r>
    </w:p>
    <w:p w:rsidR="00163957" w:rsidRDefault="00163957" w:rsidP="00163957">
      <w:pPr>
        <w:pStyle w:val="TextoNormal"/>
      </w:pPr>
    </w:p>
    <w:p w:rsidR="00163957" w:rsidRDefault="00163957" w:rsidP="00163957">
      <w:pPr>
        <w:pStyle w:val="TextoNormal"/>
      </w:pPr>
      <w:r>
        <w:lastRenderedPageBreak/>
        <w:t>Sentado el carácter básico de la norma estatal, debemos comprobar si la nueva redacción del art. 46.2 de la Ley Foral 17/2001 incurre en una contradicción constitucional insalvable por vía interpretativa. La norma básica no circunscribe la temporada de rebajas a uno o varios periodos estacionales concretos, como tampoco otorga a este tipo de figura promocional una duración determinada, permitiendo así que sea el comerciante quien libremente adopte las correspondientes decisiones al respecto. El contraste entre el tenor del precepto estatal y el contenido del precepto foral es, pues, evidente, ya que este último limita el número de períodos de ventas en rebajas a dos únicas temporadas al año, acotando además las épocas en que cada una de ellas podrá tener lugar, e impone, además, para cada uno de tales períodos de rebajas una duración mínima de una semana y una máxima de dos meses. De este modo, el legislador foral introduce en el régimen aplicable a las ventas en rebajas, unas medidas restrictivas de la libertad del comerciante que no tienen cabida en el régimen liberalizador que configura el legislador estatal con carácter básico en este ámbito.</w:t>
      </w:r>
    </w:p>
    <w:p w:rsidR="00163957" w:rsidRDefault="00163957" w:rsidP="00163957">
      <w:pPr>
        <w:pStyle w:val="TextoNormal"/>
      </w:pPr>
    </w:p>
    <w:p w:rsidR="00163957" w:rsidRDefault="00163957" w:rsidP="00163957">
      <w:pPr>
        <w:pStyle w:val="TextoNormal"/>
      </w:pPr>
      <w:r>
        <w:t>Esa contradicción no puede ser salvada por una interpretación como la que propone el Letrado del Parlamento de Navarra. Ciertamente,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de una función de legislador positivo que institucionalmente no le corresponde” (por todas, SSTC 30/2011, de 16 de marzo, FJ 11; y 32/2011, de 17 de marzo de 2011, FJ 9). El tenor literal del cuestionado art. 46.2 es concluyente y no concede margen a una interpretación conforme con el orden constitucional de distribución de competencias como la que se nos propone. De hecho, esa interpretación obvia los imperativos términos en los que el art. 46.2 aparece formulado, pues la proclamada libertad del comerciante lo es “con sujeción a los siguientes parámetros” entre los que se encuentra la restricción a dos temporadas anuales: una, iniciada al principio del año, y la otra, en torno al periodo estival; la fijación de su duración mínima y máxima y la determinación por el consejero competente de las fechas iniciales y finales de cada temporada.</w:t>
      </w:r>
    </w:p>
    <w:p w:rsidR="00163957" w:rsidRDefault="00163957" w:rsidP="00163957">
      <w:pPr>
        <w:pStyle w:val="TextoNormal"/>
      </w:pPr>
    </w:p>
    <w:p w:rsidR="00163957" w:rsidRDefault="00163957" w:rsidP="00163957">
      <w:pPr>
        <w:pStyle w:val="TextoNormal"/>
      </w:pPr>
      <w:r>
        <w:t>Consecuentemente, el inciso “con sujeción a los siguientes parámetros”, las letras a), b) y c) y el inciso “dentro de los criterios establecidos en la Orden Foral” de la letra d), todos ellos del art. 46.2 de la Ley Foral 17/2001, de 12 de julio, reguladora del comercio en Navarra, en la redacción dada por el art. 3 de la Ley Foral 15/2013, en los que se residencia la contradicción con la norma estatal, son contrarios al orden constitucional de distribución de competencias y, por tanto, inconstitucionales y nulos.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 xml:space="preserve">1º Estimar parcialmente el presente recurso de inconstitucionalidad y, en consecuencia, declarar que son contrarios al orden constitucional de distribución de competencias y, por </w:t>
      </w:r>
      <w:r>
        <w:lastRenderedPageBreak/>
        <w:t>tanto, inconstitucionales y nulos el inciso “con sujeción a los siguientes parámetros”; las letras a), b) y c) y el inciso “dentro de los criterios establecidos en la Orden Foral” de la letra d), todos ellos del art. 46.2 de la Ley Foral 17/2001, de 12 de julio, reguladora del comercio en Navarra, en la redacción dada por el art. 3 de la Ley Foral 15/2013, de 17 de abril.</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diecisiete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63" w:name="SENTENCIA_2016_60"/>
      <w:r>
        <w:lastRenderedPageBreak/>
        <w:t>SENTENCIA 60/2016, de 17 de marzo de 2016</w:t>
      </w:r>
    </w:p>
    <w:bookmarkEnd w:id="63"/>
    <w:p w:rsidR="00163957" w:rsidRDefault="00163957" w:rsidP="00163957">
      <w:pPr>
        <w:pStyle w:val="TtuloResolucin"/>
      </w:pPr>
      <w:r>
        <w:t>Pleno</w:t>
      </w:r>
    </w:p>
    <w:p w:rsidR="00163957" w:rsidRDefault="00163957" w:rsidP="00163957">
      <w:pPr>
        <w:pStyle w:val="TtuloBOE"/>
      </w:pPr>
      <w:r>
        <w:t>(BOE núm. 97, de 22 de abril de 2016)</w:t>
      </w:r>
    </w:p>
    <w:p w:rsidR="00163957" w:rsidRDefault="00163957" w:rsidP="00163957">
      <w:pPr>
        <w:pStyle w:val="TextoNormalCentrado"/>
      </w:pPr>
      <w:r>
        <w:t>ECLI:ES:TC:2016:60</w:t>
      </w:r>
    </w:p>
    <w:p w:rsidR="00163957" w:rsidRDefault="00163957" w:rsidP="00163957">
      <w:pPr>
        <w:pStyle w:val="TextoNormalCentrado"/>
      </w:pPr>
    </w:p>
    <w:p w:rsidR="00163957" w:rsidRDefault="00163957" w:rsidP="00163957">
      <w:pPr>
        <w:pStyle w:val="SntesisDescriptiva"/>
      </w:pPr>
      <w:r>
        <w:t>Recurso de inconstitucionalidad 1820-2014. Interpuesto por el Parlamento de Cataluña en relación con diversos preceptos de la Ley 24/2013, de 26 de diciembre, del sector eléctrico.</w:t>
      </w:r>
    </w:p>
    <w:p w:rsidR="00163957" w:rsidRDefault="00163957" w:rsidP="00163957">
      <w:pPr>
        <w:pStyle w:val="SntesisDescriptiva"/>
      </w:pPr>
    </w:p>
    <w:p w:rsidR="00163957" w:rsidRDefault="00163957" w:rsidP="00163957">
      <w:pPr>
        <w:pStyle w:val="SntesisAnaltica"/>
      </w:pPr>
      <w:r>
        <w:t>Competencias sobre ordenación general de la economía y sector eléctrico: interpretación conforme del precepto legal estatal relativo a la resolución de controversias sobre suministro de energía eléctrica (STC 32/2016). Votos particulares.</w:t>
      </w:r>
    </w:p>
    <w:p w:rsidR="00163957" w:rsidRDefault="00163957" w:rsidP="00163957">
      <w:pPr>
        <w:pStyle w:val="SntesisAnaltica"/>
      </w:pPr>
    </w:p>
    <w:p w:rsidR="00163957" w:rsidRDefault="00163957" w:rsidP="00163957">
      <w:pPr>
        <w:pStyle w:val="Extracto"/>
      </w:pPr>
      <w:r>
        <w:t>1.</w:t>
      </w:r>
      <w:r>
        <w:tab/>
        <w:t>Asunto sustancialmente idéntico al resuelto por la STC 32/2016, que aplica doctrina sobre las competencias en materia de ordenación general de la economía y sector eléctrico [FFJJ 3 a 9].</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1820-2014 interpuesto por el Parlament de Cataluña contra los arts. 9, 40, 43.5, 46, 51, 52.4 y disposición final segunda de la Ley 24/2013, de 26 de diciembre, del sector eléctrico. Ha comparecido y formulado alegaciones el Abogado del Estado. Ha sido Ponente el Presidente don Francisco Pérez de los Cobos Orihuel,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25 de marzo de 2014 el Letrado del Parlamento de Cataluña, en la representación que legalmente ostenta, promueve recurso de inconstitucionalidad contra los arts. 9, 40, 43.5, 46, 51, 52.4 y la disposición final segunda de la Ley 24/2013, de 26 de diciembre, del sector eléctrico (LSE).</w:t>
      </w:r>
    </w:p>
    <w:p w:rsidR="00163957" w:rsidRDefault="00163957" w:rsidP="00163957">
      <w:pPr>
        <w:pStyle w:val="TextoNormal"/>
      </w:pPr>
    </w:p>
    <w:p w:rsidR="00163957" w:rsidRDefault="00163957" w:rsidP="00163957">
      <w:pPr>
        <w:pStyle w:val="TextoNormal"/>
      </w:pPr>
      <w:r>
        <w:t>Los motivos del recurso son, resumidamente expuestos, los siguientes:</w:t>
      </w:r>
    </w:p>
    <w:p w:rsidR="00163957" w:rsidRDefault="00163957" w:rsidP="00163957">
      <w:pPr>
        <w:pStyle w:val="TextoNormal"/>
      </w:pPr>
    </w:p>
    <w:p w:rsidR="00163957" w:rsidRDefault="00163957" w:rsidP="00163957">
      <w:pPr>
        <w:pStyle w:val="TextoNormal"/>
      </w:pPr>
      <w:r>
        <w:lastRenderedPageBreak/>
        <w:t>El escrito de interposición alude, en primer lugar, a la delimitación del marco constitucional y estatutario de distribución de competencias en materia de energía eléctrica, señalando que, en el caso del Estado, confluyen dos títulos competenciales específicos, el del art. 149.1.22 CE, relativo a la autorización de las instalaciones eléctricas si el aprovechamiento afecta a otra Comunidad o el transporte de energía salga de su ámbito territorial, y el del art. 149.1.25 CE sobre las bases del régimen minero y energético. A ambos títulos se añade el más genérico del art. 149.1.13 CE, relativo a las bases y coordinación de la planificación general de la actividad económica, que incide también en el ámbito de la energía eléctrica. Por su parte, el art. 133 del Estatuto de Autonomía de Cataluña (EAC, en adelante) atribuye a la Generalitat la competencia compartida en materia de energía.</w:t>
      </w:r>
    </w:p>
    <w:p w:rsidR="00163957" w:rsidRDefault="00163957" w:rsidP="00163957">
      <w:pPr>
        <w:pStyle w:val="TextoNormal"/>
      </w:pPr>
    </w:p>
    <w:p w:rsidR="00163957" w:rsidRDefault="00163957" w:rsidP="00163957">
      <w:pPr>
        <w:pStyle w:val="TextoNormal"/>
      </w:pPr>
      <w:r>
        <w:t>A continuación examina el alcance de los dos títulos competenciales estatales señalando, en cuanto al art. 149.1.22 CE, que el Tribunal Constitucional ha establecido una doctrina que considera que para que el Estado pueda autorizar las instalaciones eléctricas, es suficiente que concurra una de las dos condiciones previstas por la norma constitucional —que el aprovechamiento afecte otra Comunidad Autónoma, o que el transporte de la energía salga de su respectivo ámbito territorial—, sin perjuicio de que, para determinar si un aprovechamiento afecta a otra Comunidad Autónoma, deba atenderse a situaciones fácticas, tal como se desprende de la STC 181/2013. En cuanto al art. 149.1.13 CE estima procedente su uso, dada la importancia del sector para el conjunto de la economía, si bien una cuestión distinta es si la invocación de este título está plenamente justificada. Indica además que la doctrina constitucional sitúa ambos títulos en una posición de necesaria concurrencia, a pesar de reconocer el carácter genérico del primero y el específico del segundo, recogiendo profusamente la doctrina en torno a ambos títulos competenciales así como en relación a las bases estatales en materia de energía, en el doble sentido material y formal.</w:t>
      </w:r>
    </w:p>
    <w:p w:rsidR="00163957" w:rsidRDefault="00163957" w:rsidP="00163957">
      <w:pPr>
        <w:pStyle w:val="TextoNormal"/>
      </w:pPr>
    </w:p>
    <w:p w:rsidR="00163957" w:rsidRDefault="00163957" w:rsidP="00163957">
      <w:pPr>
        <w:pStyle w:val="TextoNormal"/>
      </w:pPr>
      <w:r>
        <w:t>Por lo que se refiere a las competencias de la Generalitat de Cataluña, el art. 133.1 EAC le atribuye la competencia compartida en materia de energía, mientras que el art. 133.2 dispone que la Generalitat participa, mediante la emisión de un informe previo, en el procedimiento de otorgamiento de la autorización de las instalaciones de producción y transporte de energía que superen el territorio de Cataluña o cuando la energía sea objeto de aprovechamiento fuera de este territorio, y el art. 133.3 determina que la Generalitat participa en la regulación y planificación de ámbito estatal del sector de la energía que afecte al territorio de Cataluña, preceptos estos dos últimos declarados constitucionales en la STC 31/2010, FJ 79.</w:t>
      </w:r>
    </w:p>
    <w:p w:rsidR="00163957" w:rsidRDefault="00163957" w:rsidP="00163957">
      <w:pPr>
        <w:pStyle w:val="TextoNormal"/>
      </w:pPr>
    </w:p>
    <w:p w:rsidR="00163957" w:rsidRDefault="00163957" w:rsidP="00163957">
      <w:pPr>
        <w:pStyle w:val="TextoNormal"/>
      </w:pPr>
      <w:r>
        <w:t xml:space="preserve">Examinando ya los concretos preceptos impugnados el Letrado del Parlamento de Cataluña alega que el art. 9 LSE, dedicado a la regulación del autoconsumo, invade las competencias autonómicas del art. 133.1 EAC. Argumenta al respecto que el autoconsumo de energía eléctrica tiene un impacto económico especialmente reducido porque afecta fundamentalmente la demanda de energía. Ciertamente, la demanda de los consumidores afecta al sistema eléctrico, pero la Ley del sector eléctrico en ningún momento pretende obligar a los consumidores a someterse a un determinado esquema o régimen de demanda. El único efecto que puede tener el autoconsumo sobre el conjunto del sistema eléctrico es que su existencia reduzca la demanda del consumidor y, en este sentido, la existencia del autoconsumo no tiene por qué afectar la economía del sistema eléctrico más que cualquier otra medida de ahorro energético. Por ello la escasa trascendencia económica del autoconsumo </w:t>
      </w:r>
      <w:r>
        <w:lastRenderedPageBreak/>
        <w:t>determina que el art. 9 no encuentre amparo en el art. 149.1.13 CE, sino que ha de examinarse la incidencia de los arts. 149.1.22 y 25 CE. Afirma al respecto que de la regulación del autoconsumo que contiene el art. 9 LSE se deduce que la energía eléctrica autoconsumida es aquélla que se produce y se consume en la propia instalación del consumidor. En consecuencia el autoconsumo de energía eléctrica trata de actividades de producción y consumo de energía, en instalaciones que transcurren íntegramente por el territorio de la Comunidad Autónoma, por lo que, para el caso de Cataluña, la Generalitat ha de poder ejercer las funciones derivadas de la competencia compartida en materia de energía que ha asumido de conformidad con el art. 133.1 EAC. En particular, respecto al apartado 4, que prevé que los consumidores acogidos a las modalidades de autoconsumo se inscriban en el registro administrativo de autoconsumo de energía eléctrica, creado por el Ministerio de Industria, Energía y Turismo, atribuyendo al Estado la regulación de la organización y del procedimiento de inscripción y de comunicación de datos al registro, argumenta que se trata de una función ejecutiva que, por aplicación de la doctrina de la STC 223/2000, FJ 12, correspondería en todo caso a la Generalitat de Cataluña.</w:t>
      </w:r>
    </w:p>
    <w:p w:rsidR="00163957" w:rsidRDefault="00163957" w:rsidP="00163957">
      <w:pPr>
        <w:pStyle w:val="TextoNormal"/>
      </w:pPr>
    </w:p>
    <w:p w:rsidR="00163957" w:rsidRDefault="00163957" w:rsidP="00163957">
      <w:pPr>
        <w:pStyle w:val="TextoNormal"/>
      </w:pPr>
      <w:r>
        <w:t>Respecto a los arts. 40 y 46 el Letrado del Parlamento de Cataluña alega que impiden el ejercicio de las competencias autonómicas. A tal efecto, compara ambas regulaciones con sus precedentes de la Ley 54/1997 y señala que, en el caso del artículo 40, referido a las empresas distribuidoras, se han ampliado considerablemente sus obligaciones y se ha reducido expresamente el margen de actuación de las Comunidades Autónomas respecto de la situación anterior. Sería el caso del art. 40.1 a) en relación a los niveles de calidad, en el que se reduce la participación de las Comunidades Autónomas a un trámite de audiencia, cuando la Ley de Cataluña 18/2008, de 23 de diciembre, de garantía y calidad del suministro eléctrico, establece en su art. 6, las condiciones para la garantía y el restablecimiento del suministro eléctrico en el marco de las competencias de la Generalitat. Cuestiona igualmente el art. 40.1 b), que atribuye a la Administración General del Estado la fijación de los criterios para garantizar que las redes de distribución tengan la capacidad para asumir, a largo plazo, una demanda razonable de distribución de electricidad, previa audiencia de las Comunidades Autónomas y el artículo 40.1 c) que también reserva implícitamente al reglamento estatal la definición de los criterios de conexión de las redes de distribución, en la medida que dicha definición debe hacerse previa audiencia de las Comunidades Autónomas.</w:t>
      </w:r>
    </w:p>
    <w:p w:rsidR="00163957" w:rsidRDefault="00163957" w:rsidP="00163957">
      <w:pPr>
        <w:pStyle w:val="TextoNormal"/>
      </w:pPr>
    </w:p>
    <w:p w:rsidR="00163957" w:rsidRDefault="00163957" w:rsidP="00163957">
      <w:pPr>
        <w:pStyle w:val="TextoNormal"/>
      </w:pPr>
      <w:r>
        <w:t xml:space="preserve">Respecto al art. 46 sobre las empresas comercializadoras en relación con el suministro, señala que, en comparación con el art. 45 de la Ley 54/1997, el nivel de detalle con el que se regulan sus obligaciones no deja margen al ejercicio de las competencias autonómicas. Alude así a las remisiones reglamentarias de los apartados 1 y 2, así como la regulación en lo relativo a la atención a los consumidores, añadiendo la obligación de ofrecer a estos últimos la posibilidad de solucionar los conflictos a través de una entidad que cumpla los requisitos establecidos por la normativa comunitaria. Esta regulación tan detallista y que contiene remisiones a reglamentos estatales como la que prevé el art. 46.2 a) no deja margen a las Comunidades Autónomas respeto de la regulación de las obligaciones y los derechos de dichas empresas en cuanto al suministro. Además, en este caso, la doctrina constitucional establecida en la STC 4/2013, amparándose en el hecho de que las actividades de comercialización de energía eléctrica se desarrollan en el marco de las condiciones pactadas libremente por las partes, permite concluir que la normativa que la Comunidad Autónoma aprobase al respecto no tendría una repercusión económica en el sector eléctrico, por lo que, al </w:t>
      </w:r>
      <w:r>
        <w:lastRenderedPageBreak/>
        <w:t>no afectar el régimen económico del sector, carece de fundamento atribuir carácter básico a la totalidad de preceptos que dentro de la Ley regulan esta actividad.</w:t>
      </w:r>
    </w:p>
    <w:p w:rsidR="00163957" w:rsidRDefault="00163957" w:rsidP="00163957">
      <w:pPr>
        <w:pStyle w:val="TextoNormal"/>
      </w:pPr>
    </w:p>
    <w:p w:rsidR="00163957" w:rsidRDefault="00163957" w:rsidP="00163957">
      <w:pPr>
        <w:pStyle w:val="TextoNormal"/>
      </w:pPr>
      <w:r>
        <w:t>El art. 43.5 vulnera las competencias autonómicas al atribuir al Estado la regulación del procedimiento para resolver los conflictos entre los usuarios finales y las empresas suministradoras de energía eléctrica que no se sometan a las entidades de resolución alternativa de litigios en materia de consumo o cuando éstas no resulten competentes para la resolución del conflicto. Lo que se establece es un procedimiento específico por razón de la materia de energía eléctrica, siempre y cuando se den dos condiciones: que la controversia afecte a específicos derechos como usuarios finales y que esté regulada por la normativa referente a la protección específica de los usuarios finales de energía eléctrica, a lo que habría que añadir una tercera, que es que los sujetos conflicto se encuentren ubicados en el ámbito territorial de la Comunidad Autónoma en cuestión, en este caso, Cataluña. En este sentido, la demanda alega que se trata del el ejercicio de funciones que corresponden a la Generalitat de Cataluña que tiene atribuida la competencia compartida en materia de energía eléctrica, por lo que le corresponde la regulación del procedimiento específico en este ámbito material; y, en segundo lugar, el ejercicio de las facultades ejecutivas vinculadas al mismo.</w:t>
      </w:r>
    </w:p>
    <w:p w:rsidR="00163957" w:rsidRDefault="00163957" w:rsidP="00163957">
      <w:pPr>
        <w:pStyle w:val="TextoNormal"/>
      </w:pPr>
    </w:p>
    <w:p w:rsidR="00163957" w:rsidRDefault="00163957" w:rsidP="00163957">
      <w:pPr>
        <w:pStyle w:val="TextoNormal"/>
      </w:pPr>
      <w:r>
        <w:t>El art. 51, al regular la calidad del suministro, lo hace de forma tan detallada y completa que no deja margen a la Generalitat para ejercer su competencia compartida para legislar y establecer unos criterios de calidad adecuados a las características de la red eléctrica de Cataluña, obviando que el control de la actividad de distribución eléctrica y de la calidad del servicio eléctrico son de competencia autonómica. La atribución al Estado del conjunto de funciones y potestades al que aluden sus cinco apartados no deja margen a la Generalitat de Cataluña para ejercer su competencia compartida para legislar y establecer unos criterios de calidad adecuados a las características de la red eléctrica de Cataluña, teniendo en cuenta que la tipología de las redes de distribución no es homogénea en el conjunto del Estado. Algo similar se alega respecto al art. 52.4, esta vez en relación con la determinación de los que se consideran suministros esenciales sometidos a un régimen específico y diferenciado, por cuanto no deja ningún margen a la Generalitat para poder determinar otros suministros en su ámbito territorial, aludiendo al Decreto-ley 6/2013, de 23 de diciembre, por el que se modifica la Ley 22/2010, de 20 de julio, del Código de consumo de Cataluña, que regula la figura del “consumidor vulnerable”, medidas que quedan en entredicho si se considera básico el art. 52.4 LSE, ya que la misma literalidad del precepto lleva a concluir que es una lista cerrada, en el sentido de que no permite a las Comunidades Autónomas atribuir la calificación de esencial a otros suministros. Por último, la disposición final segunda se impugna en cuanto que declara básicos los arts. 9, 40, 43.5, 46, 51 y 52.4 LSE.</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6 de mayo de 2014 el Pleno, a propuesta de la Sección Segunda, acordó admitir a trámite el recurso de inconstitucionalidad promovido por el Parlamento de Cataluña y, en su representación y defensa, por el Letrado del mismo, contra los arts. 9, 40, 43.5, 46, 51, 52.4 y la disposición final segunda de la Ley 24/2013, de 26 de diciembre, del sector eléctrico;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registrado el 9 de mayo de 2014 el Abogado del Estado se personó en nombre del Gobierno solicitando una prórroga en el plazo para la formulación de alegaciones, prórroga que le fue concedida por providencia del Pleno de 19 de mayo de 2014.</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escrito registrado con fecha 19 de mayo de 2014 el Presidente del Congreso de los Diputados comunicó el acuerdo de la Mesa de la Cámara de personarse en el procedimiento y ofrecer su colaboración a los efectos del art. 88.1 LOTC. Lo mismo hizo el Presidente del Senado por escrito que tuvo entrada en este Tribunal el día 28 de mayo de 2014.</w:t>
      </w:r>
    </w:p>
    <w:p w:rsidR="00163957" w:rsidRDefault="00163957" w:rsidP="00163957">
      <w:pPr>
        <w:pStyle w:val="TextoNormal"/>
      </w:pPr>
    </w:p>
    <w:p w:rsidR="00163957" w:rsidRDefault="00163957" w:rsidP="00163957">
      <w:pPr>
        <w:pStyle w:val="TextoNormal"/>
      </w:pPr>
      <w:r w:rsidRPr="00163957">
        <w:rPr>
          <w:rStyle w:val="NumeroAFNegritaCaracter"/>
        </w:rPr>
        <w:t>5</w:t>
      </w:r>
      <w:r>
        <w:t>. Las alegaciones presentadas por el Abogado del Estado interesando la desestimación del recurso fueron registradas en este Tribunal el día 11 de junio de 2014.</w:t>
      </w:r>
    </w:p>
    <w:p w:rsidR="00163957" w:rsidRDefault="00163957" w:rsidP="00163957">
      <w:pPr>
        <w:pStyle w:val="TextoNormal"/>
      </w:pPr>
    </w:p>
    <w:p w:rsidR="00163957" w:rsidRDefault="00163957" w:rsidP="00163957">
      <w:pPr>
        <w:pStyle w:val="TextoNormal"/>
      </w:pPr>
      <w:r>
        <w:t>Comienza haciendo referencia al marco competencial en el que se inserta el presente recurso, aludiendo a las competencias estatales derivadas de los arts. 149.1.13, 22 y 25 CE, así como a la doctrina constitucional sobre su alcance respectivo, citando las SSTC 18/2011 y 181/2013, esta última en relación con el entrecruzamiento competencial que se produce en materia de sector eléctrico y destacando las líneas generales de la doctrina constitucional en relación con cada uno de los títulos competenciales estatales.</w:t>
      </w:r>
    </w:p>
    <w:p w:rsidR="00163957" w:rsidRDefault="00163957" w:rsidP="00163957">
      <w:pPr>
        <w:pStyle w:val="TextoNormal"/>
      </w:pPr>
    </w:p>
    <w:p w:rsidR="00163957" w:rsidRDefault="00163957" w:rsidP="00163957">
      <w:pPr>
        <w:pStyle w:val="TextoNormal"/>
      </w:pPr>
      <w:r>
        <w:t xml:space="preserve">En cuanto a la impugnación del art. 9 indica que el Estado regula el autoconsumo de energía eléctrica amparándose en la competencia exclusiva para el establecimiento de las bases del sector energético. Según el Abogado del Estado el autoconsumo de energía eléctrica presenta beneficios para el sistema porque reduce las pérdidas de red y minimiza el impacto de las instalaciones eléctricas de su entorno, pero no reduce los costes de mantenimiento de las redes de transporte y distribución ni los costes ajenos al suministro que se encuentran imputados a los peajes de acceso y, en algunos casos, incluso puede generar costes de inversión adicionales en las redes para adecuarlas a las necesidades derivadas de dicha generación distribuida. Un consumidor sujeto al régimen de autoconsumo se beneficia del respaldo del sistema, aun cuando esté consumiendo electricidad autoproducida por su instalación de generación, por lo que debe colaborar con los costes del sistema, incluidos los necesarios para financiar las tecnologías de respaldo. En cuanto a la imposición a los autoconsumidores de la obligación de contribución a los costes del sistema, abriendo la posibilidad de que el Gobierno pueda establecer reducciones en los peajes, cargos y costes argumenta que las obligaciones de contribución a los costes del sistema han de establecerse de modo coherente y equitativo por el Estado para todos los autoconsumidores, ya que el cálculo de estos costes y su cobertura mediante el pago de peajes y cargos, han de calcularse técnicamente de forma unitaria. Respecto a la carga de inscripción en un registro administrativo con el fin de controlar las instalaciones de autoconsumo, señala que simplemente impone de la obligación de inscripción, sin detenerse en las formas de acceso al registro ni en el modo de comunicación de datos, extremos para cuya disciplina se remite al ulterior desarrollo reglamentario, momento en el que podrá enjuiciarse si el Estado sobrepasa el ejercicio de las facultades que le corresponden en virtud de su competencia sobre las bases del régimen energético sin perjuicio de indicar que esta obligación de inscripción se impone en ejercicio de la facultad de regulación del régimen económico del sector eléctrico y se exige a los solos efectos de publicidad y conocimiento del número y características de los auto consumidores, desprovista de cualquier otro efecto jurídico. En cuanto a la remisión al </w:t>
      </w:r>
      <w:r>
        <w:lastRenderedPageBreak/>
        <w:t>reglamento para la determinación de las condiciones técnicas y administrativas de conexión a la red, el Abogado del Estado trae a colación la doctrina constitucional sobre el aspecto material de las bases, que pueden estar formuladas en normas con rango de ley, en disposiciones reglamentarias, e incluso en actos de ejecución.</w:t>
      </w:r>
    </w:p>
    <w:p w:rsidR="00163957" w:rsidRDefault="00163957" w:rsidP="00163957">
      <w:pPr>
        <w:pStyle w:val="TextoNormal"/>
      </w:pPr>
    </w:p>
    <w:p w:rsidR="00163957" w:rsidRDefault="00163957" w:rsidP="00163957">
      <w:pPr>
        <w:pStyle w:val="TextoNormal"/>
      </w:pPr>
      <w:r>
        <w:t>Respecto al art. 40 señala que la afirmación del recurrente acerca del ámbito autonómico de la red de distribución en Cataluña carece de relevancia para el deslinde competencial en esta materia. Indica que uno de los principios básicos del sistema es el derecho de todos los consumidores al acceso y conexión de las redes en cualquier parte del territorio nacional, principio ratificado por la doctrina constitucional en la STC 18/2011. Por tanto, a juicio del Abogado del Estado, la Ley del sector eléctrico, cuando establece las obligaciones de los sujetos distribuidores de energía eléctrica, se desenvuelve en los contornos de la competencia del Estado para el establecimiento de las bases del sector eléctrico y, a tal efecto, establece una relación de obligaciones que se imponen con carácter general a todos los distribuidores, de modo que asegura coherencia, seguridad y homogeneidad en el ejercicio de esta actividad esencial para el sector eléctrico. Tarea en la que se sirve del auxilio reglamentario para la regulación de determinadas cuestiones técnicas, variables, específicas y concretas para cuya disciplina la ley se muestra especialmente inidónea.</w:t>
      </w:r>
    </w:p>
    <w:p w:rsidR="00163957" w:rsidRDefault="00163957" w:rsidP="00163957">
      <w:pPr>
        <w:pStyle w:val="TextoNormal"/>
      </w:pPr>
    </w:p>
    <w:p w:rsidR="00163957" w:rsidRDefault="00163957" w:rsidP="00163957">
      <w:pPr>
        <w:pStyle w:val="TextoNormal"/>
      </w:pPr>
      <w:r>
        <w:t xml:space="preserve">Sobre el art. 43.5 indica que la competencia para establecer el mecanismo de resolución de conflictos allí previsto se inserta en la competencia estatal sobre el sector eléctrico, habiendo señalado la STC 18/2011 que el establecimiento de fórmulas heterocompositivas de resolución de conflictos corresponde al Estado. En lo que al art. 46 respecta el Abogado del Estado defiende que el establecimiento de un elenco de obligaciones a los sujetos comercializadores de energía eléctrica </w:t>
      </w:r>
      <w:r w:rsidRPr="00163957">
        <w:rPr>
          <w:i/>
        </w:rPr>
        <w:t>ex</w:t>
      </w:r>
      <w:r>
        <w:t xml:space="preserve"> art. 149.1.25 CE persigue “una regulación del sistema eléctrico que obedezca a unos contornos comunes y reconocibles en toda España. Es por ello que los sujetos comercializadores han de tener unas mismas obligaciones sea cual fuere el lugar donde prestan sus servicios y con independencia de que presten sus servicios sólo en el territorio de una Comunidad Autónoma”. Así, desde un punto de vista material, la norma es básica por cuanto mediante la determinación de las obligaciones de los comercializadores se garantiza el cumplimiento del objetivo de la Ley del sector eléctrico, que según su art. 1.1, es garantizar el suministro de energía eléctrica, y adecuarlo a las necesidades de los consumidores en términos de seguridad, calidad, eficiencia, objetividad, transparencia y al mínimo coste. Desde un punto de vista formal la intervención del reglamento en la delimitación de lo básico se justifica porque la propia norma legal lo reclama para completar la regulación de la disciplina básica por ella definida y conseguir la exigible calidad y seguridad en el suministro, así como también por su carácter marcadamente técnico, justificativo de su tratamiento por normas reglamentarias.</w:t>
      </w:r>
    </w:p>
    <w:p w:rsidR="00163957" w:rsidRDefault="00163957" w:rsidP="00163957">
      <w:pPr>
        <w:pStyle w:val="TextoNormal"/>
      </w:pPr>
    </w:p>
    <w:p w:rsidR="00163957" w:rsidRDefault="00163957" w:rsidP="00163957">
      <w:pPr>
        <w:pStyle w:val="TextoNormal"/>
      </w:pPr>
      <w:r>
        <w:t xml:space="preserve">La impugnación del art. 51 se descarta argumentando que la regulación de la calidad del suministro se inserta en la competencia exclusiva atribuida al Estado en el art. 149.1.25 CE, mientras que a la Comunidad Autónoma incumbe el establecimiento de normas adicionales en la materia, a la vez que la calificación del suministro como de interés económico general sustenta esta regulación también en la competencia del Estado para el establecimiento de las bases y coordinación de la planificación de la política económica. Para el Abogado del Estado, el art. 51 simplemente persigue establecer índices, parámetros o criterios mínimos, objetivos, transparentes, comparables y evaluables de calidad del servicio, con la lógica </w:t>
      </w:r>
      <w:r>
        <w:lastRenderedPageBreak/>
        <w:t>finalidad de que todos los consumidores tengan un acceso equiparable al suministro eléctrico, ejerciendo así el derecho consagrado en el art. 7 LSE y reconocido como de interés económico general.</w:t>
      </w:r>
    </w:p>
    <w:p w:rsidR="00163957" w:rsidRDefault="00163957" w:rsidP="00163957">
      <w:pPr>
        <w:pStyle w:val="TextoNormal"/>
      </w:pPr>
    </w:p>
    <w:p w:rsidR="00163957" w:rsidRDefault="00163957" w:rsidP="00163957">
      <w:pPr>
        <w:pStyle w:val="TextoNormal"/>
      </w:pPr>
      <w:r>
        <w:t>Finalmente, en cuanto al art. 52.4 señala que la alteración por ministerio de la ley del régimen contractual vigente entre el comercializador y el consumidor afecta frontalmente al régimen económico del sistema eléctrico, pues determina una alteración en la retribución de la prestación del servicio pactado entre la empresa comercializadora y el consumidor. Por último, sobre la impugnación de la disposición final segunda indica, citando la STC 18/2011, que debe desestimarse en la medida en que el Tribunal se pronuncie sobre el carácter básico de cada uno de los preceptos impugnados.</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15 de marzo de 2016 se señaló para deliberación y votación de la presente Sentencia el día 17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el presente proceso constitucional debemos resolver el recurso de inconstitucionalidad interpuesto por el Parlamento de Cataluña contra los arts. 9, 40, 43.5, 46, 51, 52.4 y la disposición final segunda de la Ley 24/2013, de 26 de diciembre, del sector eléctrico (LSE).</w:t>
      </w:r>
    </w:p>
    <w:p w:rsidR="00163957" w:rsidRDefault="00163957" w:rsidP="00163957">
      <w:pPr>
        <w:pStyle w:val="TextoNormal"/>
      </w:pPr>
    </w:p>
    <w:p w:rsidR="00163957" w:rsidRDefault="00163957" w:rsidP="00163957">
      <w:pPr>
        <w:pStyle w:val="TextoNormal"/>
      </w:pPr>
      <w:r>
        <w:t>Como ha quedado expuesto en los antecedentes el Parlamento de Cataluña considera que los preceptos referidos resultan contrarios al orden constitucional de distribución de competencias, pues estima, en síntesis, que los mismos no pueden encontrar amparo en los títulos competenciales estatales relacionados con la energía eléctrica, vulnerando, por el contrario, las competencias autonómicas del art. 133 del Estatuto de Autonomía de Cataluña (EAC). Al anterior planteamiento se ha opuesto la Abogacía del Estado señalando que los preceptos objeto de recurso constituyen un adecuado ejercicio de las competencias estatales que derivan, en el caso de los preceptos objeto de este proceso, de los arts. 149.1.13 y 149.1.25 CE.</w:t>
      </w:r>
    </w:p>
    <w:p w:rsidR="00163957" w:rsidRDefault="00163957" w:rsidP="00163957">
      <w:pPr>
        <w:pStyle w:val="TextoNormal"/>
      </w:pPr>
    </w:p>
    <w:p w:rsidR="00163957" w:rsidRDefault="00163957" w:rsidP="00163957">
      <w:pPr>
        <w:pStyle w:val="TextoNormal"/>
      </w:pPr>
      <w:r>
        <w:t>La Ley del sector eléctrico ha sufrido varias modificaciones parciales durante la pendencia del proceso, modificaciones que, como se expone en la STC 32/2016, de 18 de febrero, FJ 2, no han afectado a su subsistencia.</w:t>
      </w:r>
    </w:p>
    <w:p w:rsidR="00163957" w:rsidRDefault="00163957" w:rsidP="00163957">
      <w:pPr>
        <w:pStyle w:val="TextoNormal"/>
      </w:pPr>
    </w:p>
    <w:p w:rsidR="00163957" w:rsidRDefault="00163957" w:rsidP="00163957">
      <w:pPr>
        <w:pStyle w:val="TextoNormal"/>
      </w:pPr>
      <w:r w:rsidRPr="00163957">
        <w:rPr>
          <w:rStyle w:val="NumeroAFNegritaCaracter"/>
        </w:rPr>
        <w:t>2</w:t>
      </w:r>
      <w:r>
        <w:t>. Del examen de la demanda se deduce con claridad que nos encontramos ante un recurso de inconstitucionalidad de carácter exclusivamente competencial. Recurso que guarda sustancial identidad con el interpuesto por el Gobierno de la Generalitat de Cataluña contra determinados preceptos de la Ley del sector eléctrico. Dicho recurso ha sido resuelto por la ya citada STC 32/2016, a la que ahora hemos de remitirnos en lo procedente. De acuerdo con ello podemos ya comenzar el enjuiciamiento que se nos demanda.</w:t>
      </w:r>
    </w:p>
    <w:p w:rsidR="00163957" w:rsidRDefault="00163957" w:rsidP="00163957">
      <w:pPr>
        <w:pStyle w:val="TextoNormal"/>
      </w:pPr>
    </w:p>
    <w:p w:rsidR="00163957" w:rsidRDefault="00163957" w:rsidP="00163957">
      <w:pPr>
        <w:pStyle w:val="TextoNormal"/>
      </w:pPr>
      <w:r w:rsidRPr="00163957">
        <w:rPr>
          <w:rStyle w:val="NumeroAFNegritaCaracter"/>
        </w:rPr>
        <w:t>3</w:t>
      </w:r>
      <w:r>
        <w:t>. El primer precepto impugnado es el art. 9 que regula las instalaciones de autoconsumo de energía eléctrica.</w:t>
      </w:r>
    </w:p>
    <w:p w:rsidR="00163957" w:rsidRDefault="00163957" w:rsidP="00163957">
      <w:pPr>
        <w:pStyle w:val="TextoNormal"/>
      </w:pPr>
    </w:p>
    <w:p w:rsidR="00163957" w:rsidRDefault="00163957" w:rsidP="00163957">
      <w:pPr>
        <w:pStyle w:val="TextoNormal"/>
      </w:pPr>
      <w:r>
        <w:lastRenderedPageBreak/>
        <w:t>El Letrado del Parlamento de Cataluña entiende que esta regulación se relaciona directamente con las competencias autorizatorias de la Comunidad Autónoma, pues su único efecto es la reducción de la demanda de energía, de manera que no está justificada la existencia de una regulación singularizada de este tipo de consumidores. Se cuestiona en particular el apartado 4, en la medida en que atribuye funciones ejecutivas al Estado, cuando correspondería a la Comunidad Autónoma la regulación del procedimiento de inscripción así como la organización y gestión del registro que se regula en dicho apartado.</w:t>
      </w:r>
    </w:p>
    <w:p w:rsidR="00163957" w:rsidRDefault="00163957" w:rsidP="00163957">
      <w:pPr>
        <w:pStyle w:val="TextoNormal"/>
      </w:pPr>
    </w:p>
    <w:p w:rsidR="00163957" w:rsidRDefault="00163957" w:rsidP="00163957">
      <w:pPr>
        <w:pStyle w:val="TextoNormal"/>
      </w:pPr>
      <w:r>
        <w:t>Abordando en primer lugar la queja genérica que se formula respecto a la totalidad del art. 9 ha de apreciarse que, en el planteamiento del Letrado del Parlamento de Cataluña, late una cierta confusión entre las competencias en materia de autorización de instalaciones eléctricas, a las que se refieren tanto el art. 149.1.22 CE como el art. 133.1 a) y b) EAC con las competencias estatales para el establecimiento de las bases del sector eléctrico que derivan del art. 149.1.25 CE y que delimitan el carácter compartido de la competencia autonómica. En efecto, dejando ahora aparte lo dispuesto en el art. 9.4, se aprecia que los restantes apartados del art. 9 no desbordan, desde esta última perspectiva, el concepto material de bases que se define en la STC 32/2016, FJ 4, con cita de otras. Dicha regulación persigue integrar este modo de producción y consumo de electricidad en el sistema eléctrico, así como prever el establecimiento por vía reglamentaria de un régimen económico de las distintas modalidades de autoconsumo, determinando la contribución de la energía autoconsumida a la cobertura de los costes y servicios del sistema eléctrico. Por un lado, define el régimen básico de la actividad de uno de los sujetos que interviene en el sistema eléctrico, definición que ha de responder a unas características homogéneas en un sistema que opera de forma única para todo el territorio nacional, y, por otro, establece una serie de criterios generales respecto al régimen económico aplicable al mismo, extremos ambos que tienen por finalidad garantizar un desarrollo ordenado de la actividad compatible con la sostenibilidad económica y técnica del sistema en su conjunto, uno de los objetivos fundamentales de la Ley del sector eléctrico. Se trata, entonces, de una cuestión que se sitúa en el ámbito de la ordenación básica de las actividades de suministro de energía eléctrica y del establecimiento de su régimen económico, para lo que los títulos de los arts. 149.1.13 y 25 CE proporcionan fundamento competencial adecuado.</w:t>
      </w:r>
    </w:p>
    <w:p w:rsidR="00163957" w:rsidRDefault="00163957" w:rsidP="00163957">
      <w:pPr>
        <w:pStyle w:val="TextoNormal"/>
      </w:pPr>
    </w:p>
    <w:p w:rsidR="00163957" w:rsidRDefault="00163957" w:rsidP="00163957">
      <w:pPr>
        <w:pStyle w:val="TextoNormal"/>
      </w:pPr>
      <w:r>
        <w:t>La tacha específica que se formula al art. 9.4, relativa a una posible gestión centralizada del registro administrativo de autoconsumo de energía eléctrica debe ser desestimada por las razones que ya expresamos en la STC 32/2016, FJ 6. Allí señalamos que este precepto “se limita a crear un registro único en relación con los consumidores acogidos a las modalidades de autoconsumo de energía eléctrica, quedando diferido a un posterior desarrollo reglamentario las cuestiones relativas a la organización, así como el procedimiento de inscripción y comunicación de datos en relación con el registro estatal. De este modo, atendiendo a las competencias estatales en la materia, la mera creación del registro administrativo de autoconsumo de energía eléctrica, único contenido del precepto impugnado, no ha invadido las competencias autonómicas, sin perjuicio de señalar que el uso que ha hecho el Gobierno de la remisión al reglamento (Real Decreto 900/2015, de 9 de octubre, por el que se regulan las condiciones administrativas, técnicas y económicas de las modalidades de suministro de energía eléctrica con autoconsumo y de producción con autoconsumo) pueda, en su caso, ser objeto del correspondiente control, por las vías procedimentales apropiadas, ante este Tribunal o ante la jurisdicción ordinaria”.</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4</w:t>
      </w:r>
      <w:r>
        <w:t>. Examinaremos ahora el art. 40, relativo a los derechos y obligaciones que pesan sobre las empresas distribuidoras de energía eléctrica.</w:t>
      </w:r>
    </w:p>
    <w:p w:rsidR="00163957" w:rsidRDefault="00163957" w:rsidP="00163957">
      <w:pPr>
        <w:pStyle w:val="TextoNormal"/>
      </w:pPr>
    </w:p>
    <w:p w:rsidR="00163957" w:rsidRDefault="00163957" w:rsidP="00163957">
      <w:pPr>
        <w:pStyle w:val="TextoNormal"/>
      </w:pPr>
      <w:r>
        <w:t>El Letrado del Parlamento de Cataluña considera que, por comparación con su antecedente en la Ley 54/1997, este precepto ha ampliado considerablemente sus obligaciones, impidiendo con ello el desarrollo de las competencias autonómicas. Específicamente ha cuestionado la atribución de la potestad reglamentaria al Gobierno en los casos previstos en el art. 40.1 a), b) y c).</w:t>
      </w:r>
    </w:p>
    <w:p w:rsidR="00163957" w:rsidRDefault="00163957" w:rsidP="00163957">
      <w:pPr>
        <w:pStyle w:val="TextoNormal"/>
      </w:pPr>
    </w:p>
    <w:p w:rsidR="00163957" w:rsidRDefault="00163957" w:rsidP="00163957">
      <w:pPr>
        <w:pStyle w:val="TextoNormal"/>
      </w:pPr>
      <w:r>
        <w:t>Ambas quejas han sido desestimadas en la STC 32/2016, FJ 9. En cuanto a la primera apreciamos que “la queja global que se formula al art. 40 carece de la concreción necesaria para su valoración pues, más allá de comparar la regulación ahora vigente con su antecedente para argumentar que se ha ampliado el elenco de obligaciones y derechos que afectan a los distribuidores, lo cierto es que luego no se concretan los términos en los que esa afirmada ampliación se ha traducido en una vulneración de las competencias autonómicas, teniendo presente que al Estado corresponde establecer, tanto la regulación básica aplicable a los sujetos del sistema eléctrico, entre los que se encuentran los distribuidores, como las directrices que han de regir las actividades destinadas al suministro de energía eléctrica. Por lo demás, es evidente que, formulado en los anteriores términos, el argumento es contrario a la doctrina de este Tribunal sobre la variabilidad de las bases que viene a afirmar que aunque las bases, por su propia esencia, tienen vocación de estabilidad en ningún caso son inamovibles ni puede predicarse de ellas la petrificación, incompatible con el talante evolutivo del Derecho. Por ello, corresponde en cada momento al legislador estatal establecer las bases en cada materia respetando el orden constitucional de reparto de competencias (por todas, STC 17/2014, de 30 de enero, FJ 4, con cita de la STC 24/2013, de 31 de enero, FJ 6)”.</w:t>
      </w:r>
    </w:p>
    <w:p w:rsidR="00163957" w:rsidRDefault="00163957" w:rsidP="00163957">
      <w:pPr>
        <w:pStyle w:val="TextoNormal"/>
      </w:pPr>
    </w:p>
    <w:p w:rsidR="00163957" w:rsidRDefault="00163957" w:rsidP="00163957">
      <w:pPr>
        <w:pStyle w:val="TextoNormal"/>
      </w:pPr>
      <w:r>
        <w:t>Igualmente rechazamos que las remisiones reglamentarias contenidas en los apartados a), b) y c) del art. 40.1 LSE vulnerasen las competencias autonómicas. En cuanto al apartado a), entre otras razones, indicamos que “la intervención del reglamento en la determinación de los niveles de calidad del servicio ya ha sido admitida por nuestra doctrina (SSTC 148/2011, FJ 6, y 4/2013, FFJJ 5 y 7), dado que se trata de un parámetro técnico del sector eléctrico”.</w:t>
      </w:r>
    </w:p>
    <w:p w:rsidR="00163957" w:rsidRDefault="00163957" w:rsidP="00163957">
      <w:pPr>
        <w:pStyle w:val="TextoNormal"/>
      </w:pPr>
    </w:p>
    <w:p w:rsidR="00163957" w:rsidRDefault="00163957" w:rsidP="00163957">
      <w:pPr>
        <w:pStyle w:val="TextoNormal"/>
      </w:pPr>
      <w:r>
        <w:t>El apartado b) atribuye a la Administración General del Estado la fijación de los criterios para garantizar que las redes de distribución tengan la capacidad para asumir, a largo plazo, una demanda razonable de distribución de electricidad, previa audiencia de las Comunidades Autónomas y de las Ciudades de Ceuta y Melilla. Como afirma la STC 32/2016, FJ 9, “esta atribución se relaciona directamente con el principio de garantía del suministro en la debidas condiciones de continuidad y seguridad a todos los consumidores dentro del territorio nacional establecido en el art. 1 en relación con el 7.1 LSE, principio ya considerado básico por la doctrina constitucional (por todas, STC 18/2011, FJ 8). Por otra parte, en cuanto alude a la fijación de criterios para garantizar la capacidad adecuada de las redes de distribución, no contradice nuestra doctrina sobre el alcance formal de las bases, por tratarse de una materia eminentemente técnica que reclama la colaboración reglamentaria (STC 18/2011, FJ 10)”.</w:t>
      </w:r>
    </w:p>
    <w:p w:rsidR="00163957" w:rsidRDefault="00163957" w:rsidP="00163957">
      <w:pPr>
        <w:pStyle w:val="TextoNormal"/>
      </w:pPr>
    </w:p>
    <w:p w:rsidR="00163957" w:rsidRDefault="00163957" w:rsidP="00163957">
      <w:pPr>
        <w:pStyle w:val="TextoNormal"/>
      </w:pPr>
      <w:r>
        <w:lastRenderedPageBreak/>
        <w:t>Por último la llamada al reglamento estatal para la definición de los criterios de conexión de las redes de distribución que se contiene en el art. 40.1 c), “se refiere, una vez más, a una materia técnica en la que es admisible la colaboración reglamentaria y que tiene directa relación con la ordenación del sector y con las condiciones de competencia en el mercado eléctrico. El derecho de acceso de terceros a las redes de distribución, con su correspondiente uso, es, dado el carácter de monopolio natural de las redes, uno de sus pilares fundamentales, en cuanto que, al suponer la facultad de utilización de la red ya instalada, permite un mercado de agentes múltiples en un sistema de red única. Esa es la conclusión que se desprende de los no impugnados arts. 8.2 y 33 LSE y de su evidente conexión con la garantía de la regularidad y calidad del suministro, tal como proclama el art. 7.1 LSE” (STC 32/2016, FJ 9).</w:t>
      </w:r>
    </w:p>
    <w:p w:rsidR="00163957" w:rsidRDefault="00163957" w:rsidP="00163957">
      <w:pPr>
        <w:pStyle w:val="TextoNormal"/>
      </w:pPr>
    </w:p>
    <w:p w:rsidR="00163957" w:rsidRDefault="00163957" w:rsidP="00163957">
      <w:pPr>
        <w:pStyle w:val="TextoNormal"/>
      </w:pPr>
      <w:r w:rsidRPr="00163957">
        <w:rPr>
          <w:rStyle w:val="NumeroAFNegritaCaracter"/>
        </w:rPr>
        <w:t>5</w:t>
      </w:r>
      <w:r>
        <w:t>. La impugnación del art. 43.5, que atribuye a órganos estatales la regulación del procedimiento y la resolución de los conflictos entre los usuarios finales que sean personas físicas y las empresas suministradoras de energía eléctrica cuando no se sometan a las entidades de resolución alternativa de litigios en materia de consumo o no resulten competentes para la resolución del conflicto, ha sido resuelta en la STC 32/2016, FJ 10 y fallo.</w:t>
      </w:r>
    </w:p>
    <w:p w:rsidR="00163957" w:rsidRDefault="00163957" w:rsidP="00163957">
      <w:pPr>
        <w:pStyle w:val="TextoNormal"/>
      </w:pPr>
    </w:p>
    <w:p w:rsidR="00163957" w:rsidRDefault="00163957" w:rsidP="00163957">
      <w:pPr>
        <w:pStyle w:val="TextoNormal"/>
      </w:pPr>
      <w:r>
        <w:t>Allí consideramos que la atribución al Ministerio de Industria, Energía y Turismo de la competencia ejecutiva de resolución de las controversias podía ser interpretada de modo conforme con el orden constitucional de distribución de competencias “ya que no puede excluirse totalmente la aplicación de este mecanismo a controversias que incidan en el correcto funcionamiento del sistema eléctrico en su conjunto dado el principio de red única que lo informa, trascendiendo al ámbito autonómico y afectando con ello al régimen económico del sector, en el bien entendido que, como se expone a continuación, el art. 149.1.25 CE no habilita para determinar que un órgano estatal asuma la tarea ejecutiva relacionada con la resolución de todas las controversias que plantean las personas físicas que sean usuarios finales de energía eléctrica. Por otra parte, conforme a su dicción literal, la atribución a un órgano estatal de esta función se hace “sin perjuicio de las competencias del resto de Administraciones Públicas”. El precepto no es, por tanto, excluyente de las competencias autonómicas en la materia en aquellos supuestos que no estén vinculados a aspectos básicos que corresponde al Estado garantizar. Es posible entonces que las Comunidades Autónomas, en su propio ámbito de competencias, regulen asimismo dicho procedimiento de resolución de conflictos, teniendo en cuenta que muchos de los derechos específicos en esta materia reconocidos, entre otros, en el art. 44 LSE tienen relación con las competencias autonómicas y no afectan a la unidad del régimen económico del sector ni al principio de garantía del suministro en la debidas condiciones de calidad y continuidad, asumidas por el Estado para velar por el correcto funcionamiento del sistema eléctrico en su conjunto”.</w:t>
      </w:r>
    </w:p>
    <w:p w:rsidR="00163957" w:rsidRDefault="00163957" w:rsidP="00163957">
      <w:pPr>
        <w:pStyle w:val="TextoNormal"/>
      </w:pPr>
    </w:p>
    <w:p w:rsidR="00163957" w:rsidRDefault="00163957" w:rsidP="00163957">
      <w:pPr>
        <w:pStyle w:val="TextoNormal"/>
      </w:pPr>
      <w:r>
        <w:t xml:space="preserve">Lo propio sucede con la competencia para establecer el procedimiento “pues, en este caso, la norma habilita para regular exclusivamente el que ha de seguirse ante un órgano estatal por afectar a aspectos relacionados con las competencias básicas que corresponden al Estado. Por otra parte, en cuanto que se formulan los principios generales —transparencia, sencillez, gratuidad— que deben informar esta clase de procedimientos, su concreción en el procedimiento correspondiente también ha de ser asumida por la Comunidad Autónoma cuando resulte ser competente </w:t>
      </w:r>
      <w:r w:rsidRPr="00163957">
        <w:rPr>
          <w:i/>
        </w:rPr>
        <w:t>ratione materiae</w:t>
      </w:r>
      <w:r>
        <w:t>” (STC 32/2016, FJ 10).</w:t>
      </w:r>
    </w:p>
    <w:p w:rsidR="00163957" w:rsidRDefault="00163957" w:rsidP="00163957">
      <w:pPr>
        <w:pStyle w:val="TextoNormal"/>
      </w:pPr>
    </w:p>
    <w:p w:rsidR="00163957" w:rsidRDefault="00163957" w:rsidP="00163957">
      <w:pPr>
        <w:pStyle w:val="TextoNormal"/>
      </w:pPr>
      <w:r>
        <w:lastRenderedPageBreak/>
        <w:t>En suma, interpretado en este sentido, el art. 43.5 no es contrario al orden constitucional de distribución de competencias y así se dispondrá en el fallo.</w:t>
      </w:r>
    </w:p>
    <w:p w:rsidR="00163957" w:rsidRDefault="00163957" w:rsidP="00163957">
      <w:pPr>
        <w:pStyle w:val="TextoNormal"/>
      </w:pPr>
    </w:p>
    <w:p w:rsidR="00163957" w:rsidRDefault="00163957" w:rsidP="00163957">
      <w:pPr>
        <w:pStyle w:val="TextoNormal"/>
      </w:pPr>
      <w:r w:rsidRPr="00163957">
        <w:rPr>
          <w:rStyle w:val="NumeroAFNegritaCaracter"/>
        </w:rPr>
        <w:t>6</w:t>
      </w:r>
      <w:r>
        <w:t>. Las tachas formuladas al art. 46, relativo a las obligaciones y derechos de las empresas comercializadoras en relación al suministro, ya se desestimaron en la STC 32/2016, FJ 11.</w:t>
      </w:r>
    </w:p>
    <w:p w:rsidR="00163957" w:rsidRDefault="00163957" w:rsidP="00163957">
      <w:pPr>
        <w:pStyle w:val="TextoNormal"/>
      </w:pPr>
    </w:p>
    <w:p w:rsidR="00163957" w:rsidRDefault="00163957" w:rsidP="00163957">
      <w:pPr>
        <w:pStyle w:val="TextoNormal"/>
      </w:pPr>
      <w:r>
        <w:t xml:space="preserve">La queja genérica respecto al excesivo grado de detalle de la regulación que plantea el Parlamento de Cataluña ha de ser contestada en similares términos a la que se formulaba al art. 40. Así, siendo los comercializadores uno de los sujetos que interviene en el sistema eléctrico el Estado está competencialmente habilitado </w:t>
      </w:r>
      <w:r w:rsidRPr="00163957">
        <w:rPr>
          <w:i/>
        </w:rPr>
        <w:t>ex</w:t>
      </w:r>
      <w:r>
        <w:t xml:space="preserve"> art. 149.1.25 CE para establecer el régimen común aplicable a los mismos. En todo caso, la inconcreción de la queja formulada respecto al alcance de ese régimen común impide su valoración, pues la demanda no proporciona a este Tribunal los necesarios elementos de juicio para valorar en qué medida esa nueva regulación podía incurrir en vulneración de las competencias autonómicas. No pueden considerarse tales las afirmaciones de la demanda respecto a “la regulación en lo relativo a la atención a los consumidores, añadiendo la obligación de ofrecer a estos últimos la posibilidad de solucionar los conflictos a través de una entidad que cumpla los requisitos establecidos por la normativa comunitaria”, pues así se describe la regulación pero no se expresa en qué se vulnera la competencia [en un sentido similar, STC 183/2014, de 6 de noviembre, FJ 2 b)]. Tampoco la mera variación de la normativa considerada básica por el Estado puede servir como argumento suficiente en tal sentido.</w:t>
      </w:r>
    </w:p>
    <w:p w:rsidR="00163957" w:rsidRDefault="00163957" w:rsidP="00163957">
      <w:pPr>
        <w:pStyle w:val="TextoNormal"/>
      </w:pPr>
    </w:p>
    <w:p w:rsidR="00163957" w:rsidRDefault="00163957" w:rsidP="00163957">
      <w:pPr>
        <w:pStyle w:val="TextoNormal"/>
      </w:pPr>
      <w:r>
        <w:t>Por otra parte, “la referencia al desarrollo reglamentario en relación con el derecho de acceso que se contiene en el art. 46.2 a) no puede considerarse contraria al orden competencial por las razones que ya hemos dejado expuestas al analizar ese mismo derecho de acceso con relación a los distribuidores. La afirmación de la demanda acerca de la falta de conexión entre el régimen económico del sector eléctrico y la actividad de comercialización tampoco puede tomarse en consideración, ya que con ello se obvia la relación de los comercializadores con determinados aspectos de ese régimen, pues han de abonar a los distribuidores una parte de su retribución, los peajes de acceso a las redes, y los comercializadores de referencia son retribuidos con cargo a los ya mencionados ‘precio voluntario para el pequeño consumidor’ y ‘tarifa de último recurso’, únicas en todo el territorio nacional y determinadas conforme a lo dispuesto en el art. 17 LSE” (STC 32/2016, FJ 11).</w:t>
      </w:r>
    </w:p>
    <w:p w:rsidR="00163957" w:rsidRDefault="00163957" w:rsidP="00163957">
      <w:pPr>
        <w:pStyle w:val="TextoNormal"/>
      </w:pPr>
    </w:p>
    <w:p w:rsidR="00163957" w:rsidRDefault="00163957" w:rsidP="00163957">
      <w:pPr>
        <w:pStyle w:val="TextoNormal"/>
      </w:pPr>
      <w:r w:rsidRPr="00163957">
        <w:rPr>
          <w:rStyle w:val="NumeroAFNegritaCaracter"/>
        </w:rPr>
        <w:t>7</w:t>
      </w:r>
      <w:r>
        <w:t>. También debemos desestimar la impugnación del art. 51 LSE, relativo a la calidad del suministro eléctrico, cuestionado por lo que se considera un carácter excesivamente detallado de su regulación.</w:t>
      </w:r>
    </w:p>
    <w:p w:rsidR="00163957" w:rsidRDefault="00163957" w:rsidP="00163957">
      <w:pPr>
        <w:pStyle w:val="TextoNormal"/>
      </w:pPr>
    </w:p>
    <w:p w:rsidR="00163957" w:rsidRDefault="00163957" w:rsidP="00163957">
      <w:pPr>
        <w:pStyle w:val="TextoNormal"/>
      </w:pPr>
      <w:r>
        <w:t>Como recuerda la STC 32/2016, FJ 12, “la doctrina de la mencionada STC 4/2013, FJ 5, conduce a la desestimación de la impugnación. En la mencionada Sentencia el Tribunal consideró que la regulación de la entonces vigente Ley 54/1997 y, en especial, su art. 48, que no presenta sustanciales diferencias, salvo lo que inmediatamente se dirá, con el impugnado art. 51 LSE, era, además de indudablemente básica desde la perspectiva formal, merecedora de esa misma calificación desde un punto de vista material, por cuanto declaramos, que se regulaban ‘…aspectos relacionados con la continuidad y la calidad en el suministro eléctrico que constituyen un común normativo necesario para asegurar el principio de garantía del suministro de energía eléctrica a todos los demandantes del mismo, con la nece</w:t>
      </w:r>
      <w:r>
        <w:lastRenderedPageBreak/>
        <w:t>saria continuidad y calidad, principio proclamado en el art. 10.1 de la Ley del sector eléctrico y cuyo carácter básico hemos declarado en la STC 18/2011, FJ 8. Por otro lado, el establecimiento de unas determinadas medidas de calidad del suministro de energía eléctrica constituye también, como ya hemos señalado en la STC 148/2011, FFJJ 6 y 8 in fine, una garantía tanto para los consumidores como para el correcto funcionamiento de los diferentes sectores de la economía nacional. Por ello, estos preceptos presentan también una clara dimensión básica desde la perspectiva material’”.</w:t>
      </w:r>
    </w:p>
    <w:p w:rsidR="00163957" w:rsidRDefault="00163957" w:rsidP="00163957">
      <w:pPr>
        <w:pStyle w:val="TextoNormal"/>
      </w:pPr>
    </w:p>
    <w:p w:rsidR="00163957" w:rsidRDefault="00163957" w:rsidP="00163957">
      <w:pPr>
        <w:pStyle w:val="TextoNormal"/>
      </w:pPr>
      <w:r>
        <w:t>Por lo que respecta a las remisiones reglamentarias del art. 51 ya establecimos, aludiendo a la doctrina de la STC 4/2013, que el mero hecho de que existan, único aspecto sobre el que es posible ahora pronunciarse, no determina por esa razón su inconstitucionalidad, sin perjuicio de que un eventual desarrollo reglamentario del art. 51 pueda ser controlado por las vías procedentes, bien ante la jurisdicción ordinaria o ante este Tribunal.</w:t>
      </w:r>
    </w:p>
    <w:p w:rsidR="00163957" w:rsidRDefault="00163957" w:rsidP="00163957">
      <w:pPr>
        <w:pStyle w:val="TextoNormal"/>
      </w:pPr>
    </w:p>
    <w:p w:rsidR="00163957" w:rsidRDefault="00163957" w:rsidP="00163957">
      <w:pPr>
        <w:pStyle w:val="TextoNormal"/>
      </w:pPr>
      <w:r w:rsidRPr="00163957">
        <w:rPr>
          <w:rStyle w:val="NumeroAFNegritaCaracter"/>
        </w:rPr>
        <w:t>8</w:t>
      </w:r>
      <w:r>
        <w:t>. El último precepto impugnado es el art. 52.4 que regula los suministros calificados legalmente como esenciales. Precepto que ya enjuiciamos en la STC 32/2016, FJ 13, alcanzado una conclusión desestimatoria de la impugnación.</w:t>
      </w:r>
    </w:p>
    <w:p w:rsidR="00163957" w:rsidRDefault="00163957" w:rsidP="00163957">
      <w:pPr>
        <w:pStyle w:val="TextoNormal"/>
      </w:pPr>
    </w:p>
    <w:p w:rsidR="00163957" w:rsidRDefault="00163957" w:rsidP="00163957">
      <w:pPr>
        <w:pStyle w:val="TextoNormal"/>
      </w:pPr>
      <w:r>
        <w:t>Allí se señaló que “conforme a su tenor literal, el precepto impugnado, bien que con una técnica legislativa ciertamente mejorable, establece, al igual que sus antecedentes inmediatos (arts. 50.3 de la Ley 54/1997 y 89 del Real Decreto 1955/2000), una serie de ‘criterios’, a partir de los cuales es posible considerar como esencial el suministro de energía eléctrica a determinados edificios o instalaciones. Según su tenor y finalidad, el precepto encaja con naturalidad en el concepto de bases del sector eléctrico en la medida en que se relaciona con uno de los principios que lo rige, el de garantía del suministro, que, en este caso, es absoluta, como ya hemos indicado”.</w:t>
      </w:r>
    </w:p>
    <w:p w:rsidR="00163957" w:rsidRDefault="00163957" w:rsidP="00163957">
      <w:pPr>
        <w:pStyle w:val="TextoNormal"/>
      </w:pPr>
    </w:p>
    <w:p w:rsidR="00163957" w:rsidRDefault="00163957" w:rsidP="00163957">
      <w:pPr>
        <w:pStyle w:val="TextoNormal"/>
      </w:pPr>
      <w:r w:rsidRPr="00163957">
        <w:rPr>
          <w:rStyle w:val="NumeroAFNegritaCaracter"/>
        </w:rPr>
        <w:t>9</w:t>
      </w:r>
      <w:r>
        <w:t>. Por último, la impugnación por conexión de la disposición final segunda que enuncia los títulos competenciales que habilitan al Estado para aprobar la Ley del sector eléctrico ha de resolverse en consonancia con las conclusiones alcanzadas en los anteriores fundamentos jurídicos, procediendo, por tanto, su desestimación.</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Declarar que el art. 43.5 de la Ley 24/2013, de 26 de diciembre, del sector eléctrico, es conforme con la Constitución interpretado en los términos señalados en el fundamentos jurídico 5.</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diecisiete de marzo de dos mil dieciséis.</w:t>
      </w:r>
    </w:p>
    <w:p w:rsidR="00163957" w:rsidRDefault="00163957" w:rsidP="00163957">
      <w:pPr>
        <w:pStyle w:val="ParrafoNormal"/>
      </w:pPr>
    </w:p>
    <w:p w:rsidR="00163957" w:rsidRDefault="00163957" w:rsidP="00163957">
      <w:pPr>
        <w:pStyle w:val="TextoNormalNegritaCentrado"/>
        <w:keepNext/>
      </w:pPr>
      <w:r>
        <w:t>Voto particular que formula la Magistrada doña Adela Asua Batarrita, respecto de la Sentencia dictada en el recurso de inconstitucionalidad núm. 1820-2014.</w:t>
      </w:r>
    </w:p>
    <w:p w:rsidR="00163957" w:rsidRDefault="00163957" w:rsidP="00163957">
      <w:pPr>
        <w:pStyle w:val="TextoNormalNegritaCentrado"/>
        <w:keepNext/>
      </w:pPr>
    </w:p>
    <w:p w:rsidR="00163957" w:rsidRDefault="00163957" w:rsidP="00163957">
      <w:pPr>
        <w:pStyle w:val="TextoNormal"/>
      </w:pPr>
      <w:r>
        <w:t>Con respeto a la opinión mayoritaria de mis compañeros en la que se sustenta la Sentencia, manifiesto mi discrepancia con la argumentación y decisión de desestimar el recurso de inconstitucionalidad referido a la impugnación del art. 43.5 de la Ley 24/2013, de 26 de diciembre, del sector eléctrico, desarrollados en el fundamento jurídico 5.</w:t>
      </w:r>
    </w:p>
    <w:p w:rsidR="00163957" w:rsidRDefault="00163957" w:rsidP="00163957">
      <w:pPr>
        <w:pStyle w:val="TextoNormal"/>
      </w:pPr>
    </w:p>
    <w:p w:rsidR="00163957" w:rsidRDefault="00163957" w:rsidP="00163957">
      <w:pPr>
        <w:pStyle w:val="TextoNormal"/>
      </w:pPr>
      <w:r>
        <w:t>Las razones de mi discrepancia son las mismas que expuse en mí Voto particular formulado a la STC 32/2016, de 18 de febrero, al que para evitar reiteraciones innecesarias me remito.</w:t>
      </w:r>
    </w:p>
    <w:p w:rsidR="00163957" w:rsidRDefault="00163957" w:rsidP="00163957">
      <w:pPr>
        <w:pStyle w:val="TextoNormal"/>
      </w:pPr>
    </w:p>
    <w:p w:rsidR="00163957" w:rsidRDefault="00163957" w:rsidP="00163957">
      <w:pPr>
        <w:pStyle w:val="TextoNormal"/>
      </w:pPr>
      <w:r>
        <w:t>Madrid, a diecisiete de marzo de dos mil dieciséis.</w:t>
      </w:r>
    </w:p>
    <w:p w:rsidR="00163957" w:rsidRDefault="00163957" w:rsidP="00163957">
      <w:pPr>
        <w:pStyle w:val="TextoNormal"/>
      </w:pPr>
    </w:p>
    <w:p w:rsidR="00163957" w:rsidRDefault="00163957" w:rsidP="00163957">
      <w:pPr>
        <w:pStyle w:val="TextoNormalNegritaCentrado"/>
        <w:keepNext/>
      </w:pPr>
      <w:r>
        <w:t>Voto particular que formula el Magistrado don Juan Antonio Xiol Ríos, al que se adhieren la Magistrada doña Encarnación Roca Trías y el Magistrado don Fernando Valdés Dal-Ré, respecto de la Sentencia dictada en el recurso de inconstitucionalidad núm. 1820-2014.</w:t>
      </w:r>
    </w:p>
    <w:p w:rsidR="00163957" w:rsidRDefault="00163957" w:rsidP="00163957">
      <w:pPr>
        <w:pStyle w:val="TextoNormalNegritaCentrado"/>
        <w:keepNext/>
      </w:pPr>
    </w:p>
    <w:p w:rsidR="00163957" w:rsidRDefault="00163957" w:rsidP="00163957">
      <w:pPr>
        <w:pStyle w:val="TextoNormal"/>
      </w:pPr>
      <w:r>
        <w:t>Con respeto a la opinión mayoritaria de mis compañeros en la que se sustenta la Sentencia, manifiesto mi discrepancia con la argumentación y decisión de desestimar el recurso de inconstitucionalidad referido a la impugnación del art. 43.5 de la Ley 24/2013, de 26 de diciembre, del sector eléctrico, desarrollados en el fundamento jurídico 5.</w:t>
      </w:r>
    </w:p>
    <w:p w:rsidR="00163957" w:rsidRDefault="00163957" w:rsidP="00163957">
      <w:pPr>
        <w:pStyle w:val="TextoNormal"/>
      </w:pPr>
    </w:p>
    <w:p w:rsidR="00163957" w:rsidRDefault="00163957" w:rsidP="00163957">
      <w:pPr>
        <w:pStyle w:val="TextoNormal"/>
      </w:pPr>
      <w:r>
        <w:t>Las razones de mi discrepancia son coincidentes con las que ya fueron expuestas en el Voto particular formulado a la STC 32/2016, de 18 de febrero, al que para evitar reiteraciones innecesarias me remito.</w:t>
      </w:r>
    </w:p>
    <w:p w:rsidR="00163957" w:rsidRDefault="00163957" w:rsidP="00163957">
      <w:pPr>
        <w:pStyle w:val="TextoNormal"/>
      </w:pPr>
    </w:p>
    <w:p w:rsidR="00163957" w:rsidRDefault="00163957" w:rsidP="00163957">
      <w:pPr>
        <w:pStyle w:val="TextoNormal"/>
      </w:pPr>
      <w:r>
        <w:t>Madrid, a diecisiete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64" w:name="SENTENCIA_2016_61"/>
      <w:r>
        <w:lastRenderedPageBreak/>
        <w:t>SENTENCIA 61/2016, de 17 de marzo de 2016</w:t>
      </w:r>
    </w:p>
    <w:bookmarkEnd w:id="64"/>
    <w:p w:rsidR="00163957" w:rsidRDefault="00163957" w:rsidP="00163957">
      <w:pPr>
        <w:pStyle w:val="TtuloResolucin"/>
      </w:pPr>
      <w:r>
        <w:t>Pleno</w:t>
      </w:r>
    </w:p>
    <w:p w:rsidR="00163957" w:rsidRDefault="00163957" w:rsidP="00163957">
      <w:pPr>
        <w:pStyle w:val="TtuloBOE"/>
      </w:pPr>
      <w:r>
        <w:t>(BOE núm. 97, de 22 de abril de 2016)</w:t>
      </w:r>
    </w:p>
    <w:p w:rsidR="00163957" w:rsidRDefault="00163957" w:rsidP="00163957">
      <w:pPr>
        <w:pStyle w:val="TextoNormalCentrado"/>
      </w:pPr>
      <w:r>
        <w:t>ECLI:ES:TC:2016:61</w:t>
      </w:r>
    </w:p>
    <w:p w:rsidR="00163957" w:rsidRDefault="00163957" w:rsidP="00163957">
      <w:pPr>
        <w:pStyle w:val="TextoNormalCentrado"/>
      </w:pPr>
    </w:p>
    <w:p w:rsidR="00163957" w:rsidRDefault="00163957" w:rsidP="00163957">
      <w:pPr>
        <w:pStyle w:val="SntesisDescriptiva"/>
      </w:pPr>
      <w:r>
        <w:t>Recurso de inconstitucionalidad 2408-2014. Interpuesto por la Junta de Extremadura contra el artículo 1, apartados dos y tres; disposición adicional primera; disposición transitoria tercera; disposiciones finales segunda y octava; y disposición derogatoria única del Real Decreto-ley 9/2013, de 12 de julio, por el que se adoptan medidas urgentes para garantizar la estabilidad financiera del sistema eléctrico.</w:t>
      </w:r>
    </w:p>
    <w:p w:rsidR="00163957" w:rsidRDefault="00163957" w:rsidP="00163957">
      <w:pPr>
        <w:pStyle w:val="SntesisDescriptiva"/>
      </w:pPr>
    </w:p>
    <w:p w:rsidR="00163957" w:rsidRDefault="00163957" w:rsidP="00163957">
      <w:pPr>
        <w:pStyle w:val="SntesisAnaltica"/>
      </w:pPr>
      <w:r>
        <w:t>Límites a los decretos-leyes, principios de jerarquía normativa, seguridad jurídica y de irretroactividad de las normas restrictivas de derechos individuales; derecho a la tutela judicial efectiva: acreditación de la concurrencia del presupuesto habilitante; constitucionalidad de los preceptos legales que establecen un nuevo régimen retributivo para los titulares de las instalaciones de producción de energía eléctrica en régimen primado (STC 270/2015). Voto particular.</w:t>
      </w:r>
    </w:p>
    <w:p w:rsidR="00163957" w:rsidRDefault="00163957" w:rsidP="00163957">
      <w:pPr>
        <w:pStyle w:val="SntesisAnaltica"/>
      </w:pPr>
    </w:p>
    <w:p w:rsidR="00163957" w:rsidRDefault="00163957" w:rsidP="00163957">
      <w:pPr>
        <w:pStyle w:val="Extracto"/>
      </w:pPr>
      <w:r>
        <w:t>1.</w:t>
      </w:r>
      <w:r>
        <w:tab/>
        <w:t>Reitera la doctrina de la STC 270/2015 sobre el presupuesto habilitante del Decreto-ley y los principios de irretroactividad, confianza legítima y jerarquía normativa [FFJJ 3 a 6].</w:t>
      </w:r>
    </w:p>
    <w:p w:rsidR="00163957" w:rsidRDefault="00163957" w:rsidP="00163957">
      <w:pPr>
        <w:pStyle w:val="Extracto"/>
      </w:pPr>
    </w:p>
    <w:p w:rsidR="00163957" w:rsidRDefault="00163957" w:rsidP="00163957">
      <w:pPr>
        <w:pStyle w:val="Extracto"/>
      </w:pPr>
      <w:r>
        <w:t>2.</w:t>
      </w:r>
      <w:r>
        <w:tab/>
        <w:t>En la norma controvertida se incluyen aspectos concretos, anteriormente previstos en normas de rango reglamentario, pero es ésta una posibilidad que no cabe reputar inconstitucional, pues desde una perspectiva constitucional debe partirse, como hemos reconocido en otras ocasiones, de que nuestro sistema de fuentes no contempla reservas de reglamento, lo cual implica que a la ley no le está vedada la regulación de materias atribuidas anteriormente al poder reglamentario (STC 5/1981) [FJ 7].</w:t>
      </w:r>
    </w:p>
    <w:p w:rsidR="00163957" w:rsidRDefault="00163957" w:rsidP="00163957">
      <w:pPr>
        <w:pStyle w:val="Extracto"/>
      </w:pPr>
    </w:p>
    <w:p w:rsidR="00163957" w:rsidRDefault="00163957" w:rsidP="00163957">
      <w:pPr>
        <w:pStyle w:val="Extracto"/>
      </w:pPr>
      <w:r>
        <w:t>3.</w:t>
      </w:r>
      <w:r>
        <w:tab/>
        <w:t>La remisión a la modificación o desarrollo reglamentario de aquellos aspectos del Real Decreto-ley que previamente se encontraban contemplados en normas de esta naturaleza, no supone una deslegalización, sino meramente el mantenimiento de la suficiencia del rango reglamentario para la regulación de esa materia [FJ 7].</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el recurso de inconstitucionalidad núm. 2408-2014 interpuesto por la Junta de Extremadura contra el artículo 1, apartados dos y tres; disposición adicional primera; disposición transitoria tercera; disposiciones finales segunda y octava; y disposición derogatoria única del Real Decreto-ley 9/2013, de 12 de julio, por el que se adoptan medidas urgentes para garantizar la estabilidad financiera del sistema eléctrico. Ha comparecido y formulado alegaciones el Abogado del Estado. Ha sido Ponente el Magistrado don Santiago Martínez-Vares García,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día 14 de abril de 2014 tuvo entrada en el Registro General de este Tribunal, escrito presentado por el Letrado de la Junta de Extremadura por el que, en representación del Gobierno de esa Comunidad Autónoma, interpone recurso de inconstitucionalidad contra el artículo 1, apartados dos y tres; disposición adicional primera; disposición transitoria tercera; disposiciones finales segunda y octava; y disposición derogatoria única del Real Decreto-ley 9/2013, de 12 de julio, por el que se adoptan medidas urgentes para garantizar la estabilidad financiera del sistema eléctrico. La impugnación se fundamenta en los motivos que se resumen a continuación.</w:t>
      </w:r>
    </w:p>
    <w:p w:rsidR="00163957" w:rsidRDefault="00163957" w:rsidP="00163957">
      <w:pPr>
        <w:pStyle w:val="TextoNormal"/>
      </w:pPr>
    </w:p>
    <w:p w:rsidR="00163957" w:rsidRDefault="00163957" w:rsidP="00163957">
      <w:pPr>
        <w:pStyle w:val="TextoNormal"/>
      </w:pPr>
      <w:r>
        <w:t>a) Ausencia del presupuesto habilitante de la extraordinaria y urgente necesidad, contemplado en el art. 86.1 CE, para la utilización del instrumento normativo del decreto-ley.</w:t>
      </w:r>
    </w:p>
    <w:p w:rsidR="00163957" w:rsidRDefault="00163957" w:rsidP="00163957">
      <w:pPr>
        <w:pStyle w:val="TextoNormal"/>
      </w:pPr>
    </w:p>
    <w:p w:rsidR="00163957" w:rsidRDefault="00163957" w:rsidP="00163957">
      <w:pPr>
        <w:pStyle w:val="TextoNormal"/>
      </w:pPr>
      <w:r>
        <w:t>Tras un extenso análisis de la doctrina constitucional en la materia, considera la demanda que el presente Real Decreto-ley constituye el último jalón en la interminable modificación legislativa del régimen jurídico del sector eléctrico, por lo que las medidas adoptadas en el mismo no abordan un problema coyuntural o sobrevenido sino estructural, y para solventarlo de manera coyuntural se ha acudido reiteradamente desde el año 2009, a normas de carácter urgente, que han abordado aspectos recurrentes y fragmentarios, sin acreditar la necesidad de una acción normativa inmediata, que exonere la aprobación de una ley; prueba de lo afirmado sería para el Letrado, el régimen transitorio que la norma establece, que remite a un ulterior Real Decreto del Gobierno la ordenación de la producción de energía eléctrica en régimen especial. Señala también que fue la misma sesión del Consejo de Ministros, la que el 12 de julio de 2014 aprobó el Real Decreto-ley 9/2013 que ahora se impugna, y el anteproyecto de ley que definitivamente ha desembocado en la Ley 24/2013, de 26 de diciembre, que derogó la anterior Ley 54/1997, en su práctica totalidad; estamos pues ante un proceso de desapoderamiento del poder legislativo, fruto de una actuación improvisada pero mantenida en el tiempo, o bien ante una estrategia planificada de cambios paulatinos que no justifica la elección del instrumento normativo escogido para su aplicación.</w:t>
      </w:r>
    </w:p>
    <w:p w:rsidR="00163957" w:rsidRDefault="00163957" w:rsidP="00163957">
      <w:pPr>
        <w:pStyle w:val="TextoNormal"/>
      </w:pPr>
    </w:p>
    <w:p w:rsidR="00163957" w:rsidRDefault="00163957" w:rsidP="00163957">
      <w:pPr>
        <w:pStyle w:val="TextoNormal"/>
      </w:pPr>
      <w:r>
        <w:t>b) Vulneración del principio de irretroactividad de las disposiciones no favorables o restrictivas de derechos individuales (art. 9.3 CE).</w:t>
      </w:r>
    </w:p>
    <w:p w:rsidR="00163957" w:rsidRDefault="00163957" w:rsidP="00163957">
      <w:pPr>
        <w:pStyle w:val="TextoNormal"/>
      </w:pPr>
    </w:p>
    <w:p w:rsidR="00163957" w:rsidRDefault="00163957" w:rsidP="00163957">
      <w:pPr>
        <w:pStyle w:val="TextoNormal"/>
      </w:pPr>
      <w:r>
        <w:t xml:space="preserve">Afirma la demanda que la retroactividad de la norma cuestionada se evidencia en el establecimiento de un régimen transitorio (disposición transitoria tercera) que da lugar a la aplicación de una normativa anterior (Real Decreto 661/2007 y Real Decreto 1578/2008), </w:t>
      </w:r>
      <w:r>
        <w:lastRenderedPageBreak/>
        <w:t>que se declara en vigor, y determina que la liquidación de la actividad de producción haya de hacerse en base a aquel sistema, pero como “pago a cuenta”, hasta la entrada en vigor del nuevo régimen retributivo. En realidad, lo que se viene a decir es que la energía producida desde la entrada en vigor del Real Decreto-ley 9/2013 queda sujeta a un nuevo régimen retributivo que ni tan siquiera existía en el momento de aprobación de la norma, ni existe tampoco en la fecha de redacción de la presente demanda.</w:t>
      </w:r>
    </w:p>
    <w:p w:rsidR="00163957" w:rsidRDefault="00163957" w:rsidP="00163957">
      <w:pPr>
        <w:pStyle w:val="TextoNormal"/>
      </w:pPr>
    </w:p>
    <w:p w:rsidR="00163957" w:rsidRDefault="00163957" w:rsidP="00163957">
      <w:pPr>
        <w:pStyle w:val="TextoNormal"/>
      </w:pPr>
      <w:r>
        <w:t>A juicio del Letrado la norma impugnada produce una retroactividad en grado máximo, en cuanto despliega efectos jurídicos desfavorables sobre situaciones ya definitivamente consolidadas (como la percepción ya verificada de las primas). La disposición transitoria tercera en clara relación con la disposición final segunda, constituyen disposiciones restrictivas de derechos individuales, al afectar a derechos consolidados, dando lugar a una retroactividad de grado máximo, que afecta a los titulares de producción de energía incardinados en el sistema.</w:t>
      </w:r>
    </w:p>
    <w:p w:rsidR="00163957" w:rsidRDefault="00163957" w:rsidP="00163957">
      <w:pPr>
        <w:pStyle w:val="TextoNormal"/>
      </w:pPr>
    </w:p>
    <w:p w:rsidR="00163957" w:rsidRDefault="00163957" w:rsidP="00163957">
      <w:pPr>
        <w:pStyle w:val="TextoNormal"/>
      </w:pPr>
      <w:r>
        <w:t>Asimismo y con expresa remisión a la jurisprudencia del Tribunal Europeo de Derechos Humanos, considera la demanda que desde una concepción realmente cualificada del interés general, no cabe entender que la pretensión de reducir el déficit tarifario constituya sin más un “bien común” que permita exceptuar los básicos principios constitucionales de irretroactividad y seguridad jurídica, los cuales sí cabe identificar con el interés general, pues es justamente el interés general lo que se ataca cuando se niega, a quienes ya han producido la electricidad, el derecho a percibir la retribución correspondiente, previamente pactada para ese período.</w:t>
      </w:r>
    </w:p>
    <w:p w:rsidR="00163957" w:rsidRDefault="00163957" w:rsidP="00163957">
      <w:pPr>
        <w:pStyle w:val="TextoNormal"/>
      </w:pPr>
    </w:p>
    <w:p w:rsidR="00163957" w:rsidRDefault="00163957" w:rsidP="00163957">
      <w:pPr>
        <w:pStyle w:val="TextoNormal"/>
      </w:pPr>
      <w:r>
        <w:t>c) Vulneración del principio de seguridad jurídica, en su configuración de confianza legítima en la actuación de los poderes públicos, y del principio de interdicción de arbitrariedad (art. 9.3 CE).</w:t>
      </w:r>
    </w:p>
    <w:p w:rsidR="00163957" w:rsidRDefault="00163957" w:rsidP="00163957">
      <w:pPr>
        <w:pStyle w:val="TextoNormal"/>
      </w:pPr>
    </w:p>
    <w:p w:rsidR="00163957" w:rsidRDefault="00163957" w:rsidP="00163957">
      <w:pPr>
        <w:pStyle w:val="TextoNormal"/>
      </w:pPr>
      <w:r>
        <w:t>Afirma la demanda que el principio de seguridad jurídica impuesto por el art. 9.3 CE pretende proporcionar certeza sobre el ordenamiento jurídico de aplicación y los intereses que se tutelan, procurando claridad, evitando la confusión normativa y asegurando las expectativas razonables de los ciudadanos en cuanto a cuál deba ser el comportamiento y actuación de los poderes públicos en la aplicación y generación del derecho, y el Real Decreto-ley 9/2013 quiebra ese principio en diversos aspectos. En primer lugar, porque modifica las “reglas del juego” haciendo desaparecer las originariamente existentes para sustituirlas por otras completamente diferentes, y ello en un entorno económico de inversiones de larga duración. En segundo término, porque establece un nuevo sistema que se fundamenta en conceptos absolutamente indeterminados, tales como el rendimiento medio del mercado secundario de obligaciones del Estado a diez años, o conceptualizaciones tan genéricas y subjetivas como la de “empresa eficiente y bien gestionada”, o de valores, ingresos y costes “estándar”. En tercer lugar, la disposición transitoria tercera deja en la absoluta indefinición a los actuales productores de energía eléctrica en régimen especial, ya que éstos difícilmente pueden acometer la explotación de sus instalaciones, en fase de toma de decisiones, cuando ni siquiera está definido el régimen económico al que van a estar sujetos y respecto del cual se adelantan pagos “a cuenta”. Consecuentemente, afirma la demanda que la alteración de las reglas de juego económico que marcaban el sistema retributivo de la producción de energía en régimen especial es de tal calado, que hace irreconocible el sistema originario, quebrando la legítima confianza de los inversores en el ordenamiento jurídico español.</w:t>
      </w:r>
    </w:p>
    <w:p w:rsidR="00163957" w:rsidRDefault="00163957" w:rsidP="00163957">
      <w:pPr>
        <w:pStyle w:val="TextoNormal"/>
      </w:pPr>
    </w:p>
    <w:p w:rsidR="00163957" w:rsidRDefault="00163957" w:rsidP="00163957">
      <w:pPr>
        <w:pStyle w:val="TextoNormal"/>
      </w:pPr>
      <w:r>
        <w:t>Tras un extenso y minucioso examen de la doctrina y la jurisprudencia vertida sobre el principio de seguridad jurídica y su corolario, el principio de confianza legítima, afirma el Letrado que las medidas incorporadas al Real Decreto-ley 9/2013, que en definitiva vienen a liquidar un determinado régimen económico para imponer otro, diferente y contrario a los intereses de los productores de energía eléctrica en régimen especial, no garantizaría “la proporcionalidad en la contribución a los sobrecostes del sistema eléctrico, en función de las características de cada tecnología”. Se ha sustituido un régimen (primado) por otro absolutamente diferente, antieconómico para los productores de energía en régimen especial, que mantenían su confianza, al momento de hacer sus inversiones, en aspectos económicos que han desaparecido del ordenamiento jurídico, avocándolos a una inseguridad jurídica manifiesta.</w:t>
      </w:r>
    </w:p>
    <w:p w:rsidR="00163957" w:rsidRDefault="00163957" w:rsidP="00163957">
      <w:pPr>
        <w:pStyle w:val="TextoNormal"/>
      </w:pPr>
    </w:p>
    <w:p w:rsidR="00163957" w:rsidRDefault="00163957" w:rsidP="00163957">
      <w:pPr>
        <w:pStyle w:val="TextoNormal"/>
      </w:pPr>
      <w:r>
        <w:t>d) Vulneración del principio de superior rango de los tratados internacionales y del principio de jerarquía normativa (art. 96 en relación con el art. 9.3 CE).</w:t>
      </w:r>
    </w:p>
    <w:p w:rsidR="00163957" w:rsidRDefault="00163957" w:rsidP="00163957">
      <w:pPr>
        <w:pStyle w:val="TextoNormal"/>
      </w:pPr>
    </w:p>
    <w:p w:rsidR="00163957" w:rsidRDefault="00163957" w:rsidP="00163957">
      <w:pPr>
        <w:pStyle w:val="TextoNormal"/>
      </w:pPr>
      <w:r>
        <w:t>Afirma la demanda que los efectos derivados de la norma que se impugna son contrarios a los principios y compromisos internacionales firmados por el Reino de España, que vinculan a todos los poderes públicos, incluido el Poder Ejecutivo, en el ejercicio de su potestad legislativa impropia a través de la aprobación de los decretos-leyes. El Reino de España ratificó con fecha 11 de diciembre de 1997, el denominado Tratado de Lisboa sobre la energía, de 17 de diciembre de 1994 (Tratado sobre la Carta de la energía), que establece el marco legal para fomentar la cooperación a largo plazo en el ámbito de la energía entre los diferentes países firmantes, en la búsqueda de una garantía en las inversiones de unos países en otros (arts. 10 y 13).</w:t>
      </w:r>
    </w:p>
    <w:p w:rsidR="00163957" w:rsidRDefault="00163957" w:rsidP="00163957">
      <w:pPr>
        <w:pStyle w:val="TextoNormal"/>
      </w:pPr>
    </w:p>
    <w:p w:rsidR="00163957" w:rsidRDefault="00163957" w:rsidP="00163957">
      <w:pPr>
        <w:pStyle w:val="TextoNormal"/>
      </w:pPr>
      <w:r>
        <w:t xml:space="preserve">El Real Decreto-ley 9/2013, e incluso las anteriores modificaciones al sistema retributivo de las energías especiales, verificadas desde el año 2009, han desdibujado primero y luego suprimido </w:t>
      </w:r>
      <w:r w:rsidRPr="00163957">
        <w:rPr>
          <w:i/>
        </w:rPr>
        <w:t>de facto</w:t>
      </w:r>
      <w:r>
        <w:t xml:space="preserve"> y ahora </w:t>
      </w:r>
      <w:r w:rsidRPr="00163957">
        <w:rPr>
          <w:i/>
        </w:rPr>
        <w:t>ex lege</w:t>
      </w:r>
      <w:r>
        <w:t xml:space="preserve"> el sistema retributivo existente en el Reino de España, centro de atracción de numerosos fondos de inversión extranjeros. Se ha creado con ello una evidente inestabilidad e inseguridad, y se han destruido las condiciones de estabilidad del sistema y su transparencia, contraviniendo lo dispuesto en los citados preceptos del Tratado de Lisboa en materia de Energía, y vulnerando con ello el art. 96 en relación con el art. 9.3 CE.</w:t>
      </w:r>
    </w:p>
    <w:p w:rsidR="00163957" w:rsidRDefault="00163957" w:rsidP="00163957">
      <w:pPr>
        <w:pStyle w:val="TextoNormal"/>
      </w:pPr>
    </w:p>
    <w:p w:rsidR="00163957" w:rsidRDefault="00163957" w:rsidP="00163957">
      <w:pPr>
        <w:pStyle w:val="TextoNormal"/>
      </w:pPr>
      <w:r>
        <w:t>e) Vulneración de los principios de legalidad y jerarquía normativa (arts. 9.1 y 9.3 CE).</w:t>
      </w:r>
    </w:p>
    <w:p w:rsidR="00163957" w:rsidRDefault="00163957" w:rsidP="00163957">
      <w:pPr>
        <w:pStyle w:val="TextoNormal"/>
      </w:pPr>
    </w:p>
    <w:p w:rsidR="00163957" w:rsidRDefault="00163957" w:rsidP="00163957">
      <w:pPr>
        <w:pStyle w:val="TextoNormal"/>
      </w:pPr>
      <w:r>
        <w:t>Afirma la demanda que la disposición final octava del Real Decreto-ley 9/2013, en su apartado primero dispone que las determinaciones de las disposiciones reglamentarias que son objeto de modificación por el Real Decreto-ley, podrán ser modificadas no ya por disposiciones con rango de ley (dado que el rango se eleva) sino por normas de rango reglamentario. En el apartado segundo contempla que los arts. 4, 5 y 7 así como los anexos del Real Decreto-ley, podrán ser modificados por una simple Orden Ministerial, debiendo entenderse que en el concepto cabe igualmente la derogación. En suma, se afirma, aquello que nace como una norma con rango de ley, emanada del Consejo de Ministros y convalidada por el Congreso de los Diputados, puede modificarse o suprimirse por la voluntad de un Ministro, sin sujeción a procedimiento alguno, previsión que conculca el principio constitucional de jerarquía normativa.</w:t>
      </w:r>
    </w:p>
    <w:p w:rsidR="00163957" w:rsidRDefault="00163957" w:rsidP="00163957">
      <w:pPr>
        <w:pStyle w:val="TextoNormal"/>
      </w:pPr>
    </w:p>
    <w:p w:rsidR="00163957" w:rsidRDefault="00163957" w:rsidP="00163957">
      <w:pPr>
        <w:pStyle w:val="TextoNormal"/>
      </w:pPr>
      <w:r>
        <w:t>f) Vulneración del derecho a la tutela judicial efectiva (art. 24.1 CE).</w:t>
      </w:r>
    </w:p>
    <w:p w:rsidR="00163957" w:rsidRDefault="00163957" w:rsidP="00163957">
      <w:pPr>
        <w:pStyle w:val="TextoNormal"/>
      </w:pPr>
    </w:p>
    <w:p w:rsidR="00163957" w:rsidRDefault="00163957" w:rsidP="00163957">
      <w:pPr>
        <w:pStyle w:val="TextoNormal"/>
      </w:pPr>
      <w:r>
        <w:t xml:space="preserve">La demanda señala al respecto que el Real Decreto-ley 9/2013 entra a ordenar materias que, en puridad, son propias de la ordenación reglamentaria, y así se ha venido llevando a efecto en nuestro ordenamiento jurídico. Es decir, se anula y deroga el régimen económico y retributivo de la producción de energía eléctrica en régimen especial, que ha sido ordenado en todo momento a través de normas reglamentarias (Reales Decretos 436/2004 y 661/2007), lo que implica que </w:t>
      </w:r>
      <w:r w:rsidRPr="00163957">
        <w:rPr>
          <w:i/>
        </w:rPr>
        <w:t>ex lege</w:t>
      </w:r>
      <w:r>
        <w:t xml:space="preserve"> se viene no ya a alterar de manera sustancial, sino a eliminar el régimen económico de producción de energía eléctrica en este subsector, a través de la disposición derogatoria única. Esta modificación, en realidad derogación, responde a un evidente interés en alterar, hasta suprimirlo, el régimen de primas a la producción, con especial incidencia en las energías renovables, afectando con ello a un sector estratégico del desarrollo, de la Comunidad Autónoma de Extremadura y esencial en cuanto a la utilización “limpia” de sus recursos.</w:t>
      </w:r>
    </w:p>
    <w:p w:rsidR="00163957" w:rsidRDefault="00163957" w:rsidP="00163957">
      <w:pPr>
        <w:pStyle w:val="TextoNormal"/>
      </w:pPr>
    </w:p>
    <w:p w:rsidR="00163957" w:rsidRDefault="00163957" w:rsidP="00163957">
      <w:pPr>
        <w:pStyle w:val="TextoNormal"/>
      </w:pPr>
      <w:r>
        <w:t>Considera la demanda que el hecho de que el Gobierno haya acudido de forma recurrente y constante a la figura del Real Decreto-ley, a efectos de ordenar el régimen retributivo de estas instalaciones de producción de energía, ya desde el año 2009, y sin que ello se justifique siempre y en todo caso por la necesidad de modificar normas que tienen rango de ley, obedece a un fraude de ley, que no es otro que el de subvertir el sistema de revisión jurisdiccional de las disposiciones de carácter reglamentario por los Tribunales ordinarios de justicia, privando de este modo a terceros (normalmente los productores/inversores afectados) de la posibilidad de acudir a los mismos en el ejercicio de sus legítimos derechos y privándoles de la posibilidad de acceder a la justicia constitucional, por las limitaciones que esta jurisdicción presenta en orden a la legitimación para la interposición de los correspondientes recursos de inconstitucionalidad, causándoles manifiesta indefensión, con vulneración del derecho a la tutela judicial efectiva. En otros términos, se considera que, a pesar de no existir en nuestro ordenamiento la “reserva reglamentaria”, la apelación a la figura del decreto-ley para la regulación de esta materia se efectúa con una aparente intención de sustraer una norma que, por su contenido, es claramente reglamentaria, del conocimiento de la justicia ordinaria, violentando el mencionado derecho constitucional a la tutela judicial efectiva de quienes ven directamente afectados sus intereses económicos por la ordenación establecida en el Real Decreto-ley 9/2013.</w:t>
      </w:r>
    </w:p>
    <w:p w:rsidR="00163957" w:rsidRDefault="00163957" w:rsidP="00163957">
      <w:pPr>
        <w:pStyle w:val="TextoNormal"/>
      </w:pPr>
    </w:p>
    <w:p w:rsidR="00163957" w:rsidRDefault="00163957" w:rsidP="00163957">
      <w:pPr>
        <w:pStyle w:val="TextoNormal"/>
      </w:pPr>
      <w:r w:rsidRPr="00163957">
        <w:rPr>
          <w:rStyle w:val="NumeroAFNegritaCaracter"/>
        </w:rPr>
        <w:t>2</w:t>
      </w:r>
      <w:r>
        <w:t>. El Pleno del Tribunal, a propuesta de la Sección Segunda, y mediante providencia de 27 de mayo de 2014, admitió a trámite el presente recurso de inconstitucionalidad, acordando dar traslado de la demanda y documentos presentados, conforme establece el art. 34 de la Ley Orgánica del Tribunal Constitucional, al Congreso de los Diputados y al Senado, por conducto de sus Presidentes, y al Gobierno de la Nación a través del Ministerio de Justicia, al objeto de que en el plazo de quince días, pudieran personarse en el proceso y formular las alegaciones que estimaran, así como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El Presidente del Congreso de los Diputados, mediante escrito recibido el 5 de junio de 2014, comunicó el acuerdo de la Mesa de la Cámara de personarse en el proceso, ofreciendo su colaboración, a los efectos del art. 88.1 de la Lely Orgánica del Tribunal Constitucional (LOTC).</w:t>
      </w:r>
    </w:p>
    <w:p w:rsidR="00163957" w:rsidRDefault="00163957" w:rsidP="00163957">
      <w:pPr>
        <w:pStyle w:val="TextoNormal"/>
      </w:pPr>
    </w:p>
    <w:p w:rsidR="00163957" w:rsidRDefault="00163957" w:rsidP="00163957">
      <w:pPr>
        <w:pStyle w:val="TextoNormal"/>
      </w:pPr>
      <w:r>
        <w:t>El Presidente del Senado, mediante escrito registrado en este Tribunal el 11 de junio de 2014, comunicó asimismo el acuerdo de la Mesa de la Cámara, de personarse en el proceso y dar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4</w:t>
      </w:r>
      <w:r>
        <w:t>. El Abogado del Estado, en escrito de 11 de junio de 2014, se personó, en nombre del Gobierno, en el presente proceso, solicitando una prórroga por el máximo legal, del plazo concedido para formular alegaciones. Y en providencia de 12 de junio, el Pleno del Tribunal acordó el otorgamiento de la prórroga solicitada.</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de 2 de julio de 2014, el Abogado del Estado formuló escrito de alegaciones, en el que solicita se tenga por evacuado el trámite conferido y, en su día, se dicte Sentencia desestimatoria del presente recurso en todos sus extremos.</w:t>
      </w:r>
    </w:p>
    <w:p w:rsidR="00163957" w:rsidRDefault="00163957" w:rsidP="00163957">
      <w:pPr>
        <w:pStyle w:val="TextoNormal"/>
      </w:pPr>
    </w:p>
    <w:p w:rsidR="00163957" w:rsidRDefault="00163957" w:rsidP="00163957">
      <w:pPr>
        <w:pStyle w:val="TextoNormal"/>
      </w:pPr>
      <w:r>
        <w:t>En primer término, y en cuanto a la alegada vulneración del art. 86.1 CE, el Abogado del Estado se remite a los razonamientos expuestos en el informe de la Secretaría General Técnica del Ministerio de Industria, Turismo y Comercio, en el que se manifiesta que: la situación de extraordinaria y urgente necesidad deriva del carácter insostenible del déficit del sector eléctrico y de la necesidad de adoptar medidas urgentes de vigencia inmediata que permitan poner término a dicha situación. En los últimos ejercicios, el déficit tarifario ha continuado su crecimiento, hasta situarse, según los últimos datos disponibles de la Comisión Nacional de la Energía, en un saldo de deuda acumulada de 26.062,51 millones de euros, a 10 de mayo de 2013. De forma complementaria al cálculo de la deuda del sistema eléctrico, dicha comisión señala que desde el año 2003 hasta el 10 de mayo de 2013, el importe satisfecho para financiar el déficit del sistema eléctrico a través de anualidades que se incorporan en los peajes de acceso de los consumidores, a precios corrientes de cada año, ascienda a 11.823 millones de euros. Por este motivo se han venido adoptando en los últimos años una serie de medidas de carácter urgente que afectan tanto a la partida de costes como a la de ingresos.</w:t>
      </w:r>
    </w:p>
    <w:p w:rsidR="00163957" w:rsidRDefault="00163957" w:rsidP="00163957">
      <w:pPr>
        <w:pStyle w:val="TextoNormal"/>
      </w:pPr>
    </w:p>
    <w:p w:rsidR="00163957" w:rsidRDefault="00163957" w:rsidP="00163957">
      <w:pPr>
        <w:pStyle w:val="TextoNormal"/>
      </w:pPr>
      <w:r>
        <w:t>Acaba señalando el citado informe, que es en definitiva la gravísima situación financiera del sistema eléctrico, motivada por la evolución descontrolada e insostenible del déficit de tarifa, la que ha hecho necesario la adopción de múltiples medidas excepcionales y urgentes que han afectado a todos los agentes del sistema, desde los operadores de instalaciones de negación de redes a los consumidores, pasando por los contribuyentes a través de los presupuestos generales del Estado. Todo ello con el objetivo de contener los costes y, a la vez, dar estabilidad al sistema para evitar en lo posible futuras desviaciones con respecto a las estimaciones.</w:t>
      </w:r>
    </w:p>
    <w:p w:rsidR="00163957" w:rsidRDefault="00163957" w:rsidP="00163957">
      <w:pPr>
        <w:pStyle w:val="TextoNormal"/>
      </w:pPr>
    </w:p>
    <w:p w:rsidR="00163957" w:rsidRDefault="00163957" w:rsidP="00163957">
      <w:pPr>
        <w:pStyle w:val="TextoNormal"/>
      </w:pPr>
      <w:r>
        <w:t xml:space="preserve">Las anteriores razones se ponen también de relieve en la exposición de motivos del Real Decreto-ley, añadiendo a las mismas el hecho de haber tenido lugar durante el primer semestre del año 2013 una serie de circunstancias que han variado las hipótesis sobre las que se realizaron las estimaciones, lo que podría producir nuevos desajustes al final del ejercicio si no se toman nuevas medidas de urgencia para corregir la situación. Las desviaciones vienen motivadas por la concurrencia de unas condiciones meteorológicas atípicas con índices muy altos de pluviometría y vientos, lo que ha supuesto el hundimiento del precio del mercado diario y un incremento de horas de funcionamiento de determinadas tecnologías y, en particular, la eólica con derecho a régimen primado. A ello se ha añadido también el efecto </w:t>
      </w:r>
      <w:r>
        <w:lastRenderedPageBreak/>
        <w:t>de la crisis económica sobre las economías domésticas, que ha producido una contracción de la demanda más acusada de lo previsto.</w:t>
      </w:r>
    </w:p>
    <w:p w:rsidR="00163957" w:rsidRDefault="00163957" w:rsidP="00163957">
      <w:pPr>
        <w:pStyle w:val="TextoNormal"/>
      </w:pPr>
    </w:p>
    <w:p w:rsidR="00163957" w:rsidRDefault="00163957" w:rsidP="00163957">
      <w:pPr>
        <w:pStyle w:val="TextoNormal"/>
      </w:pPr>
      <w:r>
        <w:t>Continúa señalando el Abogado del Estado que, expuesta la situación de gravedad en relación con la estabilidad financiera del sistema eléctrico en la exposición de motivos, la tardanza en la adopción de medidas legislativas podría haber afectado muy negativamente al mantenimiento mismo de la producción y suministro de energía eléctrica. No es tanto la imprevisibilidad en sí de las circunstancias, cuanto la gravedad de las mismas como efecto derivado de regulaciones anteriores que introdujeron en el sistema patrones de primas y subvención que devienen excesivamente costosos para unos presupuestos en situación de contracción económica y la consiguiente urgencia de adoptar las medidas normativas adecuadas para su solución.</w:t>
      </w:r>
    </w:p>
    <w:p w:rsidR="00163957" w:rsidRDefault="00163957" w:rsidP="00163957">
      <w:pPr>
        <w:pStyle w:val="TextoNormal"/>
      </w:pPr>
    </w:p>
    <w:p w:rsidR="00163957" w:rsidRDefault="00163957" w:rsidP="00163957">
      <w:pPr>
        <w:pStyle w:val="TextoNormal"/>
      </w:pPr>
      <w:r>
        <w:t xml:space="preserve">En relación con la alegada vulneración del principio de irretroactividad del art. 9.3 CE, señala que, de conformidad con la doctrina constitucional, el concepto de </w:t>
      </w:r>
      <w:r w:rsidRPr="00163957">
        <w:rPr>
          <w:i/>
        </w:rPr>
        <w:t>carácter estable</w:t>
      </w:r>
      <w:r>
        <w:t xml:space="preserve"> de las medidas legislativas adoptadas, no significa el derecho a un régimen jurídico inamovible ni la petrificación del ordenamiento, sino que el principio de seguridad jurídica resulta compatible con la alterabilidad del ordenamiento y la libertad de configuración del legislador en orden al desarrollo y evolución del ordenamiento jurídico, hasta los límites que puedan considerarse como adecuados a los principios del art. 9 CE. Destaca también que la doctrina ha mantenido que el art. 9.3 CE no contiene en absoluto un límite de carácter general a la retroactividad </w:t>
      </w:r>
      <w:r w:rsidRPr="00163957">
        <w:rPr>
          <w:i/>
        </w:rPr>
        <w:t>in peius</w:t>
      </w:r>
      <w:r>
        <w:t xml:space="preserve"> de las leyes; y la expresión “restrictiva de derechos individuales” ha de referirse a derechos adquiridos, entendiendo por tales los que surgen de situaciones agotadas o relaciones concluidas, consumadas bajo la anterior legislación, no a las aún vivas o que se hallaren produciendo efectos jurídicos, y de cara a esos efectos futuros, tras la entrada en vigor de la nueva norma.</w:t>
      </w:r>
    </w:p>
    <w:p w:rsidR="00163957" w:rsidRDefault="00163957" w:rsidP="00163957">
      <w:pPr>
        <w:pStyle w:val="TextoNormal"/>
      </w:pPr>
    </w:p>
    <w:p w:rsidR="00163957" w:rsidRDefault="00163957" w:rsidP="00163957">
      <w:pPr>
        <w:pStyle w:val="TextoNormal"/>
      </w:pPr>
      <w:r>
        <w:t>En este sentido, la disposición final segunda del Real Decreto-ley 9/2013 establece la vigencia del nuevo régimen de retribución desde la entrada en vigor de dicho Real Decreto-ley, esto es, sin efecto retroactivo alguno, aplicable a la actividad de producción que se lleva a cabo a partir de fuentes de energía renovables, cogeneración y residuos con régimen económico sujeto a prima; no se trata de un régimen jurídico de retribuciones aplazado. El destinatario de la norma sabe qué sistema nuevo de retribuciones, sobre qué bases se asienta y en qué consiste, desde la entrada en vigor del Real Decreto-ley, y cómo se aplicará, es decir, la aplicación provisional con facturaciones a cuenta del sistema vigente; y el porqué de la situación: necesidad de precisión reguladora en el sistema de facturación mediante normativa reglamentaria de carácter técnico.</w:t>
      </w:r>
    </w:p>
    <w:p w:rsidR="00163957" w:rsidRDefault="00163957" w:rsidP="00163957">
      <w:pPr>
        <w:pStyle w:val="TextoNormal"/>
      </w:pPr>
    </w:p>
    <w:p w:rsidR="00163957" w:rsidRDefault="00163957" w:rsidP="00163957">
      <w:pPr>
        <w:pStyle w:val="TextoNormal"/>
      </w:pPr>
      <w:r>
        <w:t>A juicio del Abogado del Estado, los elementos normativos básicos o esenciales de la reforma ya están prefijados en la nueva redacción del art. 30.4 de la Ley 54/1997, modificado por el art. 1.3 del Real Decreto-ley. La referencia que se efectúa al Real Decreto que modificará el modelo retributivo, significa el desarrollo, detalle o concreción de ese nuevo régimen retributivo que introduce el Real Decreto-ley 9/2013. Por su parte, la disposición transitoria tercera contiene una norma lógica de derecho transitorio puesto que la nueva regulación establecida prevé un desarrollo reglamentario para su efectiva aplicación, sin que ello suponga en modo alguno deslegalización o remisión en bloque a la norma reglamentaria, sino, por el contrario, una norma de concreción y ejecución del régimen jurídico esencial ya establecido o configurado por el Real Decreto-ley.</w:t>
      </w:r>
    </w:p>
    <w:p w:rsidR="00163957" w:rsidRDefault="00163957" w:rsidP="00163957">
      <w:pPr>
        <w:pStyle w:val="TextoNormal"/>
      </w:pPr>
    </w:p>
    <w:p w:rsidR="00163957" w:rsidRDefault="00163957" w:rsidP="00163957">
      <w:pPr>
        <w:pStyle w:val="TextoNormal"/>
      </w:pPr>
      <w:r>
        <w:t>No se produce, a su juicio, un efecto retroactivo, en tanto que el nuevo régimen jurídico se aplica desde la entrada en vigor del Real Decreto-ley 9/2013, y así lo prevé de manera explícita la norma, con independencia de que quepa una normativa de desarrollo. La retroactividad que pudiera apreciarse lo sería solo de grado mínimo, pues la aplicación de la nueva ley se produce sólo respecto de los efectos de las situaciones que se generen tras la entrada en vigor de la misma, algo admitido doctrinalmente por la jurisprudencia constitucional, máxime en lo que se refiere al cambio legislativo que experimente el ordenamiento a través de normas con rango de ley, cuya actividad innovadora no contraviene el principio de irretroactividad. Tampoco nos hallamos ante una norma sancionadora en sentido técnico, y la misma no posee alcance expropiatorio alguno, ni incide en derechos patrimoniales ya consolidados e incorporados definitivamente al patrimonio del destinatario de la norma o modificativa de situaciones jurídicas favorables ya agotadas o consumadas.</w:t>
      </w:r>
    </w:p>
    <w:p w:rsidR="00163957" w:rsidRDefault="00163957" w:rsidP="00163957">
      <w:pPr>
        <w:pStyle w:val="TextoNormal"/>
      </w:pPr>
    </w:p>
    <w:p w:rsidR="00163957" w:rsidRDefault="00163957" w:rsidP="00163957">
      <w:pPr>
        <w:pStyle w:val="TextoNormal"/>
      </w:pPr>
      <w:r>
        <w:t>Respecto de la infracción del principio de seguridad jurídica (art. 9.3 CE), señala el Abogado del Estado que la constatación de la generación e incremento del déficit tarifario y la constante preocupación por su corrección, a fin de garantizar la financiación y viabilidad definitiva del sistema, atestiguan la gravedad de la situación, y frente a ese objetivo patente del legislador, no cabe adoptar una postura de sorpresa acerca de la evolución de las medidas legislativas ni de falta de previsibilidad. Las circunstancias que motivan la regulación de fondo contenida en el Real Decreto-ley, y su condición de norma con rango de ley disipan la objeción de una supuesta o hipotética falta de seguridad jurídica respecto de la situación regulada, conforme y por comparación con la normativa preexistente que viene a modificar. Se recuerda que, conforme a la doctrina constitucional, el principio de seguridad protege la confianza de los ciudadanos, pero no puede entenderse como un supuesto derecho al mantenimiento de un determinado régimen jurídico; la confianza que protege ese principio es únicamente la que puede existir frente a cambios normativos que no sean razonablemente previsibles, y no puede resultar previsible el mantenimiento indefinido e inamovible de una situación, que no conceda al legislador la posibilidad de alteración de ese régimen o la innovación de la realidad jurídica, hacia una situación regida por premisas normales de explotación económica de mercado, en un sector empresarial determinado, es decir no puede pretenderse la permanencia de un sistema protegido.</w:t>
      </w:r>
    </w:p>
    <w:p w:rsidR="00163957" w:rsidRDefault="00163957" w:rsidP="00163957">
      <w:pPr>
        <w:pStyle w:val="TextoNormal"/>
      </w:pPr>
    </w:p>
    <w:p w:rsidR="00163957" w:rsidRDefault="00163957" w:rsidP="00163957">
      <w:pPr>
        <w:pStyle w:val="TextoNormal"/>
      </w:pPr>
      <w:r>
        <w:t>Se rechaza la supuesta desigualdad de trato entre empresas del sector eléctrico, pues, como se pone de manifiesto en el informe de la Secretaría General Técnica, “la evolución descontrolada e insostenible del déficit de tarifa ha hecho necesaria la adopción de múltiples medidas…que han afectado a todos los agentes del sistema…”. La modificación que ahora se introduce no constituye pues, una medida aislada sino una norma que se integra dentro del conjunto sistemático del ordenamiento.</w:t>
      </w:r>
    </w:p>
    <w:p w:rsidR="00163957" w:rsidRDefault="00163957" w:rsidP="00163957">
      <w:pPr>
        <w:pStyle w:val="TextoNormal"/>
      </w:pPr>
    </w:p>
    <w:p w:rsidR="00163957" w:rsidRDefault="00163957" w:rsidP="00163957">
      <w:pPr>
        <w:pStyle w:val="TextoNormal"/>
      </w:pPr>
      <w:r>
        <w:t xml:space="preserve">En lo que se refiere a la pretendida vulneración del Tratado sobre la Carta de la energía, se afirma que la variación del ordenamiento jurídico se ha producido en el ámbito del derecho interno, no por lo que al Tratado respecta. En todo caso, como ha declarado también la jurisprudencia constitucional, los tratados internacionales no constituyen en sí mismos parámetros o premisas de comparación para valorar la constitucionalidad de las leyes; y las posibles consecuencias de su vulneración pertenecen más bien al ámbito de la legislación ordinaria, al no formar parte los tratados en sí del bloque de la constitucionalidad. En todo caso —se añade— el Tratado no ha sido vulnerado por el Real Decreto-ley 9/2013, pues las </w:t>
      </w:r>
      <w:r>
        <w:lastRenderedPageBreak/>
        <w:t>determinaciones contenidas en aquél en orden a la protección de las inversiones se adecúan a la misma justificación sobre la conformidad con la Constitución española del Real Decreto-ley, en tanto que de esa adecuación constitucional cabe derivar la consideración de un tratamiento justo y equitativo en lo que a la regulación contenida en el Real Decreto-ley se refiere o al tratamiento de las inversiones procedentes de otros Estados miembros, partes contratantes de la Carta, no menos favorable que a las inversiones nacionales en el mismo sector.</w:t>
      </w:r>
    </w:p>
    <w:p w:rsidR="00163957" w:rsidRDefault="00163957" w:rsidP="00163957">
      <w:pPr>
        <w:pStyle w:val="TextoNormal"/>
      </w:pPr>
    </w:p>
    <w:p w:rsidR="00163957" w:rsidRDefault="00163957" w:rsidP="00163957">
      <w:pPr>
        <w:pStyle w:val="TextoNormal"/>
      </w:pPr>
      <w:r>
        <w:t xml:space="preserve">El cambio de situaciones objetivas y la regulación general que modifica la materia bajo cuyo marco se efectuaron las inversiones no supone una expropiación de derechos, pues el inversor materializó su inversión bajo la vigencia de un régimen jurídico concreto, a cuya petrificación o inalterabilidad no tenía derecho. El Real Decreto-ley posee una eficacia </w:t>
      </w:r>
      <w:r w:rsidRPr="00163957">
        <w:rPr>
          <w:i/>
        </w:rPr>
        <w:t>ex nunc</w:t>
      </w:r>
      <w:r>
        <w:t>, lo cual, de acuerdo con la jurisprudencia constitucional, no supone afectación desfavorable a los derechos adquiridos desde la perspectiva constitucional, es decir, la reforma no incide en derechos patrimoniales ya consolidados e incorporados definitivamente al patrimonio del destinatario, o en situaciones jurídicas favorables ya agotadas o consumadas.</w:t>
      </w:r>
    </w:p>
    <w:p w:rsidR="00163957" w:rsidRDefault="00163957" w:rsidP="00163957">
      <w:pPr>
        <w:pStyle w:val="TextoNormal"/>
      </w:pPr>
    </w:p>
    <w:p w:rsidR="00163957" w:rsidRDefault="00163957" w:rsidP="00163957">
      <w:pPr>
        <w:pStyle w:val="TextoNormal"/>
      </w:pPr>
      <w:r>
        <w:t>La disposición final octava tiene por finalidad mantener el rango de las normas reglamentarias que resulten afectadas por lo dispuesto en el Real Decreto-ley, evitando la elevación de rango y permitiendo su control por la jurisdicción ordinaria. Cualquier norma con rango de ley puede, desde la perspectiva constitucional, remitirse al reglamento para completar la regulación, siempre que no nos hallemos ante una materia reservada por la Constitución a la ley formal; y lo que protege el principio de legalidad y jerarquía normativa es, precisamente, la hipótesis inversa, la regulación reglamentaria de materias para las que exista una reserva de ley formal, hipótesis que no se produce en el presente supuesto.</w:t>
      </w:r>
    </w:p>
    <w:p w:rsidR="00163957" w:rsidRDefault="00163957" w:rsidP="00163957">
      <w:pPr>
        <w:pStyle w:val="TextoNormal"/>
      </w:pPr>
    </w:p>
    <w:p w:rsidR="00163957" w:rsidRDefault="00163957" w:rsidP="00163957">
      <w:pPr>
        <w:pStyle w:val="TextoNormal"/>
      </w:pPr>
      <w:r>
        <w:t>Finalmente, se rechaza la supuesta vulneración del art. 24.1 CE, puesto que no estamos ante una materia únicamente regulada por normas de rango reglamentario, sino por el contrario, el sustrato que es objeto de la presente regulación, se hallaba, en sus aspectos esenciales y definitorios, regulado en normas con rango de ley. Se recuerda asimismo que en nuestro sistema constitucional no existen materias reservadas exclusivamente al poder reglamentario e inmunes a la regulación por ley formal, por lo que no cabe oponer ante una ley formal, la previa regulación por reglamento de un determinado ámbito material.</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15 de marzo de 2016, se acordó señalar para deliberación y votación de la presente Sentencia el día 17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el presente proceso constitucional debemos resolver el recurso de inconstitucionalidad interpuesto por la Junta de Extremadura contra el artículo 1, apartados dos y tres; disposición adicional primera; disposición transitoria tercera; disposiciones finales segunda y octava; y disposición derogatoria única del Real Decreto-ley 9/2013, de 12 de julio, por el que se adoptan medidas urgentes para garantizar la estabilidad financiera del sistema eléctrico.</w:t>
      </w:r>
    </w:p>
    <w:p w:rsidR="00163957" w:rsidRDefault="00163957" w:rsidP="00163957">
      <w:pPr>
        <w:pStyle w:val="TextoNormal"/>
      </w:pPr>
    </w:p>
    <w:p w:rsidR="00163957" w:rsidRDefault="00163957" w:rsidP="00163957">
      <w:pPr>
        <w:pStyle w:val="TextoNormal"/>
      </w:pPr>
      <w:r>
        <w:lastRenderedPageBreak/>
        <w:t>Los preceptos impugnados vienen, en lo sustancial, a modificar la Ley 54/1997, de 27 de noviembre, del sector eléctrico, en orden al establecimiento de un nuevo régimen retributivo para las instalaciones de producción de energía eléctrica a partir de fuentes de energía renovable, cogeneración y residuos, y a habilitar al Gobierno para la aprobación por real decreto del régimen jurídico y económico para estas instalaciones con retribución primada, que modificará el régimen retributivo de las instalaciones existentes, y será de aplicación desde la entrada en vigor del presente Real Decreto-ley.</w:t>
      </w:r>
    </w:p>
    <w:p w:rsidR="00163957" w:rsidRDefault="00163957" w:rsidP="00163957">
      <w:pPr>
        <w:pStyle w:val="TextoNormal"/>
      </w:pPr>
    </w:p>
    <w:p w:rsidR="00163957" w:rsidRDefault="00163957" w:rsidP="00163957">
      <w:pPr>
        <w:pStyle w:val="TextoNormal"/>
      </w:pPr>
      <w:r>
        <w:t>Como ha quedado expuesto en los antecedentes, el Gobierno de Extremadura considera que los preceptos impugnados infringen: el art. 86.1 CE, por no concurrir el presupuesto habilitante de la extraordinaria y urgente necesidad para la utilización de la figura del decreto-ley; los principios de seguridad jurídica, interdicción de arbitrariedad, e irretroactividad de las disposiciones restrictivas de derechos individuales (art. 9.3 CE), en cuanto la modificación del régimen retributivo de estas instalaciones menoscaba la debida certeza del ordenamiento jurídico, frustrando la confianza legítima en el poder público que tal principio constitucional protege y contempla una eficacia retroactiva en grado máximo de la normativa reglamentaria de desarrollo; el principio de jerarquía normativa (art. 96 en relación con el art. 9.3 CE), por vulneración de lo dispuesto en los arts. 10 y 13 del Tratado sobre la Carta de la Energía, que forma parte del ordenamiento interno español; y los principios de legalidad (art. 9.1 CE) y de tutela judicial efectiva (art. 24.1 CE) al elevarse una previa regulación reglamentaria al rango de ley formal y, simultáneamente permitirse en la disposición final octava, la modificación por normas reglamentarias de lo dispuesto en esta norma con rango de ley.</w:t>
      </w:r>
    </w:p>
    <w:p w:rsidR="00163957" w:rsidRDefault="00163957" w:rsidP="00163957">
      <w:pPr>
        <w:pStyle w:val="TextoNormal"/>
      </w:pPr>
    </w:p>
    <w:p w:rsidR="00163957" w:rsidRDefault="00163957" w:rsidP="00163957">
      <w:pPr>
        <w:pStyle w:val="TextoNormal"/>
      </w:pPr>
      <w:r>
        <w:t>El Abogado del Estado defiende, por el contrario, la constitucionalidad de los preceptos impugnados, rechazando, por los motivos que se resumen en los antecedentes de esta Sentencia, la vulneración de los preceptos constitucionales alegados por los recurrentes.</w:t>
      </w:r>
    </w:p>
    <w:p w:rsidR="00163957" w:rsidRDefault="00163957" w:rsidP="00163957">
      <w:pPr>
        <w:pStyle w:val="TextoNormal"/>
      </w:pPr>
    </w:p>
    <w:p w:rsidR="00163957" w:rsidRDefault="00163957" w:rsidP="00163957">
      <w:pPr>
        <w:pStyle w:val="TextoNormal"/>
      </w:pPr>
      <w:r w:rsidRPr="00163957">
        <w:rPr>
          <w:rStyle w:val="NumeroAFNegritaCaracter"/>
        </w:rPr>
        <w:t>2</w:t>
      </w:r>
      <w:r>
        <w:t>. Las cuestiones controvertidas en el presente proceso, presentan una sustancial coincidencia con las suscitadas en el recurso de inconstitucionalidad tramitado bajo el número 5347-2013 y resuelto por la reciente STC 270/2015, de 17 de diciembre, cuya doctrina resulta, en consecuencia, de directa aplicación al supuesto que nos ocupa.</w:t>
      </w:r>
    </w:p>
    <w:p w:rsidR="00163957" w:rsidRDefault="00163957" w:rsidP="00163957">
      <w:pPr>
        <w:pStyle w:val="TextoNormal"/>
      </w:pPr>
    </w:p>
    <w:p w:rsidR="00163957" w:rsidRDefault="00163957" w:rsidP="00163957">
      <w:pPr>
        <w:pStyle w:val="TextoNormal"/>
      </w:pPr>
      <w:r>
        <w:t>Con carácter previo al examen de fondo, y en lo que respecta a la pervivencia del proceso tras las modificaciones efectuadas en la norma impugnada por la Ley 24/2013, de 26 de diciembre, del sector eléctrico, hemos tenido ocasión de señalar que tales modificaciones “no han dado lugar a una derogación, o, lo que es lo mismo, a la remoción absoluta de las situaciones jurídicas creadas al amparo de la disposición impugnada, sino, más bien al contrario, a una novación actualizada del régimen retributivo que se contempla en los preceptos impugnados para la actividad de producción a partir de fuentes de energía renovables, cogeneración y residuos con régimen económico primado; régimen jurídico al que expresamente se remite la Ley 24/2013 y que, en consecuencia y en lo sustancial, ha resultado incorporado, en sus propios términos, a una norma con rango formal de ley. Por esta razón la modificación de las normas impugnadas en el presente proceso no permite apreciar la desaparición del objeto del recurso de inconstitucionalidad formulado, siendo procedente, en consecuencia, el examen de fondo de los preceptos impugnados” (STC 270/2015, FJ 2).</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3</w:t>
      </w:r>
      <w:r>
        <w:t>. Entrando pues en el examen de fondo, procede examinar en primer término la tacha de inconstitucionalidad relativa a la vulneración del art. 86.1 CE, que se fundamenta en la ausencia del presupuesto habilitante de la “extraordinaria y urgente necesidad”, por considerar que la regulación impugnada carece de eficacia inmediata y constituye una modificación estructural del régimen retributivo, en modo alguno indispensable para atender a la situación de urgencia que se pretende subvenir.</w:t>
      </w:r>
    </w:p>
    <w:p w:rsidR="00163957" w:rsidRDefault="00163957" w:rsidP="00163957">
      <w:pPr>
        <w:pStyle w:val="TextoNormal"/>
      </w:pPr>
    </w:p>
    <w:p w:rsidR="00163957" w:rsidRDefault="00163957" w:rsidP="00163957">
      <w:pPr>
        <w:pStyle w:val="TextoNormal"/>
      </w:pPr>
      <w:r>
        <w:t>El cumplimiento de los requisitos previstos en el art. 86.1 CE, fue objeto de examen pormenorizado en el fundamento jurídico 5 de la STC 270/2015, entendiendo que “las razones que motivaron la aprobación de esta norma de urgencia derivan de la evolución expansiva de los costes del sistema eléctrico, unida a las consecuencias de la crisis económica y a la necesidad de cumplimiento de los objetivos de déficit para el año 2014, que determinan la necesidad de adopción de una serie de medidas dirigidas a garantizar la estabilidad financiera del sistema eléctrico, mediante una revisión de su marco regulatorio. Es pues, la situación de crisis económica que ha repercutido en una caída imprevista de la demanda de energía eléctrica, junto con el incremento general de costes, que ha provocado un aumento imprevisto del déficit tarifario, lo que justifica la adopción de las medidas contempladas en la norma que se examina”.</w:t>
      </w:r>
    </w:p>
    <w:p w:rsidR="00163957" w:rsidRDefault="00163957" w:rsidP="00163957">
      <w:pPr>
        <w:pStyle w:val="TextoNormal"/>
      </w:pPr>
    </w:p>
    <w:p w:rsidR="00163957" w:rsidRDefault="00163957" w:rsidP="00163957">
      <w:pPr>
        <w:pStyle w:val="TextoNormal"/>
      </w:pPr>
      <w:r>
        <w:t>En relación con la justificación específica de las medidas adoptadas, consideramos que “el argumento que sustenta las modificaciones introducidas viene a ser coincidente con el de carácter general, si bien se singulariza en el hecho de que, entre las partidas de costes que han contribuido en mayor medida al incremento del déficit tarifario destacan las primas del régimen especial y las anualidades de déficits acumulados, partidas que se han multiplicado por seis y por nueve respectivamente entre 2004 y 2012. En concreto, en el período 2013 se alude a la concurrencia de unas condiciones meteorológicas atípicas que han ocasionado, por un lado el hundimiento del precio del mercado diario hasta un nivel mínimo, y el incremento de las horas de funcionamiento de determinadas tecnologías con derecho a régimen económico primado, lo que ha determinado una notable desviación al alza del sobrecoste del régimen especial, como consecuencia de los menores precios de mercado registrados; a ello se añade que la difícil situación presupuestaria no permite dotar, en su totalidad, este extracoste, sin comprometer el cumplimiento de los objetivos de déficit para el ejercicio 2014. Sobre esta base, el nuevo régimen jurídico y económico para las instalaciones de producción de energía eléctrica existentes a partir de fuentes de energía renovable, cogeneración y residuos, se basa en la percepción de los ingresos derivados de la participación en el mercado, con una retribución específica que permita la cobertura de los costes adicionales de estas instalaciones respecto de las del resto de tecnologías en el mercado, y les permita competir en el mercado en nivel de igualdad con el resto de las tecnologías y obtener una rentabilidad razonable”.</w:t>
      </w:r>
    </w:p>
    <w:p w:rsidR="00163957" w:rsidRDefault="00163957" w:rsidP="00163957">
      <w:pPr>
        <w:pStyle w:val="TextoNormal"/>
      </w:pPr>
    </w:p>
    <w:p w:rsidR="00163957" w:rsidRDefault="00163957" w:rsidP="00163957">
      <w:pPr>
        <w:pStyle w:val="TextoNormal"/>
      </w:pPr>
      <w:r>
        <w:t xml:space="preserve">Por lo que respecta a la conexión de sentido, dijimos que “las medidas propuestas, en cuanto persiguen precisamente un ajuste de los costes en el sector eléctrico, guardan la necesaria conexión entre la situación de extraordinaria y urgente necesidad descrita, y las medidas adoptadas para hacerle frente. Además, las medidas previstas modifican de modo inmediato la situación jurídica existente, en cuanto que el nuevo sistema retributivo que la norma inicia, si bien requiere el necesario desarrollo reglamentario, es aplicable desde el momento de la entrada en vigor del Real Decreto-ley 9/2013. Efectivamente, éste establece la aplicación transitoria del régimen retributivo anterior, ahora con el carácter de pagos a </w:t>
      </w:r>
      <w:r>
        <w:lastRenderedPageBreak/>
        <w:t>cuenta, que se liquidarán definitivamente en el momento en que se apruebe el aludido desarrollo reglamentario”.</w:t>
      </w:r>
    </w:p>
    <w:p w:rsidR="00163957" w:rsidRDefault="00163957" w:rsidP="00163957">
      <w:pPr>
        <w:pStyle w:val="TextoNormal"/>
      </w:pPr>
    </w:p>
    <w:p w:rsidR="00163957" w:rsidRDefault="00163957" w:rsidP="00163957">
      <w:pPr>
        <w:pStyle w:val="TextoNormal"/>
      </w:pPr>
      <w:r>
        <w:t>Procede, por tanto, desestimar el recurso en este punto.</w:t>
      </w:r>
    </w:p>
    <w:p w:rsidR="00163957" w:rsidRDefault="00163957" w:rsidP="00163957">
      <w:pPr>
        <w:pStyle w:val="TextoNormal"/>
      </w:pPr>
    </w:p>
    <w:p w:rsidR="00163957" w:rsidRDefault="00163957" w:rsidP="00163957">
      <w:pPr>
        <w:pStyle w:val="TextoNormal"/>
      </w:pPr>
      <w:r w:rsidRPr="00163957">
        <w:rPr>
          <w:rStyle w:val="NumeroAFNegritaCaracter"/>
        </w:rPr>
        <w:t>4</w:t>
      </w:r>
      <w:r>
        <w:t>. En segundo lugar, se alega por los recurrentes la infracción del principio de seguridad jurídica, y su corolario de protección de la confianza legítima, así como del principio de irretroactividad de las normas, contemplados ambos en el art. 9.3 CE. Los argumentos expuestos por los recurrentes, fueron expresamente rechazados en el fundamento jurídico 7 a) de la STC 270/2015, a la que también procede remitirse en este punto.</w:t>
      </w:r>
    </w:p>
    <w:p w:rsidR="00163957" w:rsidRDefault="00163957" w:rsidP="00163957">
      <w:pPr>
        <w:pStyle w:val="TextoNormal"/>
      </w:pPr>
    </w:p>
    <w:p w:rsidR="00163957" w:rsidRDefault="00163957" w:rsidP="00163957">
      <w:pPr>
        <w:pStyle w:val="TextoNormal"/>
      </w:pPr>
      <w:r>
        <w:t>Afirmamos entonces que “el principio de seguridad jurídica, entendido como la certeza sobre el ordenamiento jurídico aplicable, la ausencia de confusión normativa y la previsibilidad en la aplicación de derecho, no resulta afectado por los preceptos que son objeto del presente recurso de inconstitucionalidad. (…) No estamos ante una norma incierta o falta de la indispensable claridad, pues cuenta con un contenido preciso y unos efectos perfectamente determinados.</w:t>
      </w:r>
    </w:p>
    <w:p w:rsidR="00163957" w:rsidRDefault="00163957" w:rsidP="00163957">
      <w:pPr>
        <w:pStyle w:val="TextoNormal"/>
      </w:pPr>
    </w:p>
    <w:p w:rsidR="00163957" w:rsidRDefault="00163957" w:rsidP="00163957">
      <w:pPr>
        <w:pStyle w:val="TextoNormal"/>
      </w:pPr>
      <w:r>
        <w:t>El respeto de dicho principio, y su corolario, el principio de confianza legítima, es compatible con las modificaciones en el régimen retributivo de las energías renovables realizado por el Real Decreto-ley 9/2013, más aún —como sucede en el presente caso—, en un ámbito sujeto a un elevada intervención administrativa en virtud de su incidencia en intereses generales, y a un complejo sistema regulatorio que hace inviable la pretensión de que los elementos más favorables estén investidos de permanencia o inalterabilidad frente al ejercicio de una potestad legislativa que obliga a los poderes públicos a la adaptación de dicha regulación a una cambiante realidad económica”.</w:t>
      </w:r>
    </w:p>
    <w:p w:rsidR="00163957" w:rsidRDefault="00163957" w:rsidP="00163957">
      <w:pPr>
        <w:pStyle w:val="TextoNormal"/>
      </w:pPr>
    </w:p>
    <w:p w:rsidR="00163957" w:rsidRDefault="00163957" w:rsidP="00163957">
      <w:pPr>
        <w:pStyle w:val="TextoNormal"/>
      </w:pPr>
      <w:r>
        <w:t>Estimamos también que “los cambios legislativos producidos no pueden ser cuestionados desde la óptica del principio de confianza legítima. Este principio no protege de modo absoluto la estabilidad regulatoria, ni la inmutabilidad de las normas precedentes, máxime en el contexto en que se promulgó el Real Decreto-Ley que ahora se enjuicia, es decir, de dificultades económicas y de crecimiento del déficit del sistema eléctrico. Los principios de seguridad jurídica y su corolario, el de confianza legítima, no suponen el derecho de los actores económicos a la permanencia de la regulación existente en un momento dado en un determinado sector de actividad. Dicha estabilidad regulatoria es compatible con cambios legislativos, cuando sean previsibles y derivados de exigencias claras del interés general.</w:t>
      </w:r>
    </w:p>
    <w:p w:rsidR="00163957" w:rsidRDefault="00163957" w:rsidP="00163957">
      <w:pPr>
        <w:pStyle w:val="TextoNormal"/>
      </w:pPr>
    </w:p>
    <w:p w:rsidR="00163957" w:rsidRDefault="00163957" w:rsidP="00163957">
      <w:pPr>
        <w:pStyle w:val="TextoNormal"/>
      </w:pPr>
      <w:r>
        <w:t>A este respecto, las medidas cuestionadas implican, ciertamente, una modificación respecto del régimen anterior, decisión que el legislador de urgencia adopta a la vista de la situación en la que se encontraba el sistema eléctrico. No cabe calificar de inesperada la modificación producida, pues la evolución de las circunstancias que afectaban a dicho sector de la economía, hacían necesario acometer ajustes de este marco normativo, como efecto de las difíciles circunstancias del sector en su conjunto y la necesidad de asegurar el necesario equilibrio económico y la adecuada gestión del sistema. No cabe, por tanto, argumentar que la modificación del régimen retributivo que se examina fuera imprevisible para un ‘operador económico prudente y diligente’, atendiendo a las circunstancias económicas y a la insuficiencia de las medidas adoptadas para reducir un déficit persistente y continuamente al alza del sistema eléctrico no suficientemente atajado con disposiciones anteriores.</w:t>
      </w:r>
    </w:p>
    <w:p w:rsidR="00163957" w:rsidRDefault="00163957" w:rsidP="00163957">
      <w:pPr>
        <w:pStyle w:val="TextoNormal"/>
      </w:pPr>
    </w:p>
    <w:p w:rsidR="00163957" w:rsidRDefault="00163957" w:rsidP="00163957">
      <w:pPr>
        <w:pStyle w:val="TextoNormal"/>
      </w:pPr>
      <w:r>
        <w:t>El preámbulo del Real Decreto-ley determina que su objeto es evitar la ‘sobre-retribución’ de determinadas instalaciones de régimen especial, sin que los principios invocados por los recurrentes —seguridad jurídica y confianza legítima— puedan constituir un obstáculo insalvable para que el titular de la potestad legislativa pueda introducir medidas de carácter general que impliquen una alteración de determinados aspectos del régimen retributivo anterior. Estamos pues ante una norma clara, que no genera duda sobre sus efectos, los presupuestos de hecho a los que se aplica o sus consecuencias jurídicas, por lo que, ni desde una vertiente objetiva ni desde una subjetiva genera incertidumbre sobre su alcance. En una situación de crisis económica generalizada, modificaciones análogas a la presente han sido llevadas a cabo en éste y en otros sectores económicos, que, además, están sometidos a una intervención administrativa más intensa, dada su incidencia en los intereses generales, como lo es la actividad de producción de energía eléctrica. Ello hace particularmente inviable la pretensión de que los elementos más favorables de su régimen económico estén investidos de una pretensión de permanencia e inalterabilidad en el tiempo, pues es precisamente la protección de esos intereses generales la premisa que obliga a los poderes públicos a adaptar su regulación al cambio de las circunstancias.</w:t>
      </w:r>
    </w:p>
    <w:p w:rsidR="00163957" w:rsidRDefault="00163957" w:rsidP="00163957">
      <w:pPr>
        <w:pStyle w:val="TextoNormal"/>
      </w:pPr>
    </w:p>
    <w:p w:rsidR="00163957" w:rsidRDefault="00163957" w:rsidP="00163957">
      <w:pPr>
        <w:pStyle w:val="TextoNormal"/>
      </w:pPr>
      <w:r>
        <w:t>En palabras de este Tribunal, los principios de seguridad jurídica y confianza legítima no permiten consagrar un pretendido derecho a la congelación del ordenamiento jurídico existente (SSTC 182/1997, de 28 de octubre, FJ 13 y 183/2014, de 6 de noviembre, FJ 3) ni, evidentemente pueden impedir la introducción de modificaciones legislativas repentinas, máxime cuando lo hace el legislador de urgencia (STC 237/2012, de 13 de diciembre, FJ 6). En estos casos, es precisamente la perentoriedad de la reacción legislativa —cuya concurrencia en este caso ya ha sido examinada— la que abre la puerta a la injerencia del gobierno en la legislación vigente, al amparo del art. 86.1 CE (STC 81/2015, de 30 de abril, FJ 8). No sería coherente con el carácter dinámico del ordenamiento jurídico y con nuestra doctrina constante acerca de que la realización del principio de seguridad jurídica, aquí en su vertiente de protección de la confianza legítima, no puede dar lugar a la congelación o petrificación de ese mismo ordenamiento (por todas, STC 183/2014, FJ 3), por lo que no cabe sino concluir que la regulación impugnada se enmarca en el margen de configuración del legislador, que tiene plena libertad para elegir entre las distintas opciones posibles, dentro de la Constitución”.</w:t>
      </w:r>
    </w:p>
    <w:p w:rsidR="00163957" w:rsidRDefault="00163957" w:rsidP="00163957">
      <w:pPr>
        <w:pStyle w:val="TextoNormal"/>
      </w:pPr>
    </w:p>
    <w:p w:rsidR="00163957" w:rsidRDefault="00163957" w:rsidP="00163957">
      <w:pPr>
        <w:pStyle w:val="TextoNormal"/>
      </w:pPr>
      <w:r w:rsidRPr="00163957">
        <w:rPr>
          <w:rStyle w:val="NumeroAFNegritaCaracter"/>
        </w:rPr>
        <w:t>5</w:t>
      </w:r>
      <w:r>
        <w:t>. Se alega también por los recurrentes que la regulación impugnada viene a establecer una retroactividad incompatible con lo dispuesto en el art. 9.3 CE.</w:t>
      </w:r>
    </w:p>
    <w:p w:rsidR="00163957" w:rsidRDefault="00163957" w:rsidP="00163957">
      <w:pPr>
        <w:pStyle w:val="TextoNormal"/>
      </w:pPr>
    </w:p>
    <w:p w:rsidR="00163957" w:rsidRDefault="00163957" w:rsidP="00163957">
      <w:pPr>
        <w:pStyle w:val="TextoNormal"/>
      </w:pPr>
      <w:r>
        <w:t xml:space="preserve">Conviene precisar a este respecto que, como ya se avanzó, el Real Decreto-ley 9/2013, viene a establecer un nuevo régimen retributivo para determinadas instalaciones de producción de energía eléctrica; deroga expresamente el Real Decreto 661/2007, de 25 de mayo, por el que se regula la actividad de producción de energía eléctrica en régimen especial, así como el Real Decreto 1578/2008, de 26 de septiembre, de retribución de la actividad de producción de energía eléctrica mediante tecnología solar fotovoltaica. Pero, el nuevo sistema retributivo, iniciado por el Real Decreto-ley 9/2013 y asumido por la Ley 24/2013, requiere el necesario desarrollo reglamentario para la aplicación efectiva de dicho régimen retributivo a cada una de las instalaciones de producción de energía eléctrica, y, para resolver la situación de vacío reglamentario provocado por la derogación de los anteriores reglamentos, la disposición transitoria tercera del mismo, dispone que temporalmente serán de </w:t>
      </w:r>
      <w:r>
        <w:lastRenderedPageBreak/>
        <w:t>aplicación los derogados Reales Decretos 661/2007 y1578/2008, con carácter transitorio, hasta la aprobación de las disposiciones necesarias para la plena aplicación del nuevo régimen retributivo.</w:t>
      </w:r>
    </w:p>
    <w:p w:rsidR="00163957" w:rsidRDefault="00163957" w:rsidP="00163957">
      <w:pPr>
        <w:pStyle w:val="TextoNormal"/>
      </w:pPr>
    </w:p>
    <w:p w:rsidR="00163957" w:rsidRDefault="00163957" w:rsidP="00163957">
      <w:pPr>
        <w:pStyle w:val="TextoNormal"/>
      </w:pPr>
      <w:r>
        <w:t>El desarrollo reglamentario de este nuevo régimen retributivo, previsto en la disposición final segunda del Real Decreto-ley 9/2013 y reiterado en la disposición final tercera de la Ley 24/2013, de 26 de diciembre, del sector eléctrico, se ha llevado a cabo a través del Real Decreto 413/2014, de 6 de junio, por el que se regula la actividad de producción de energía eléctrica a partir de fuentes de energía renovables, cogeneración y residuos, y con ello ha cesado la aplicación del régimen transitorio previsto en la disposición transitoria tercera. Como ya afirmamos en las SSTC 96/2014, FJ 3 c) y 183/2014, FJ 2, “lo sucedido durante estos meses es que las instalaciones existentes han recibido los pagos procedentes de ‘liquidaciones a cuenta’ del nuevo sistema, emitidas al amparo de ese régimen transitorio. Este fue previsto al objeto de mantener los flujos retributivos de las instalaciones, evitando los perjuicios que hubiera causado la demora en el desarrollo reglamentario. Una vez aprobadas las disposiciones normativas necesarias para la aplicación definitiva del nuevo régimen retributivo, se procederá a practicar una regularización correspondiente por los derechos de cobro o en su caso las obligaciones de pago resultantes de la aplicación del vigente sistema retributivo, con efectos desde la entrada en vigor del Real Decreto-ley 9/2013, de 12 de julio, tal y como establece su disposición final segunda”.</w:t>
      </w:r>
    </w:p>
    <w:p w:rsidR="00163957" w:rsidRDefault="00163957" w:rsidP="00163957">
      <w:pPr>
        <w:pStyle w:val="TextoNormal"/>
      </w:pPr>
    </w:p>
    <w:p w:rsidR="00163957" w:rsidRDefault="00163957" w:rsidP="00163957">
      <w:pPr>
        <w:pStyle w:val="TextoNormal"/>
      </w:pPr>
      <w:r>
        <w:t xml:space="preserve">En definitiva, el Real Decreto-ley 9/2013 entró en vigor al día siguiente de su publicación en el “Boletín Oficial del Estado” (tal y como establece su disposición final décima), pero sus efectos, en lo relativo a las liquidaciones derivadas del nuevo régimen retributivo, se aplican a partir de la publicación del Real Decreto 413/2014, produciéndose una disociación temporal entre la vigencia inmediata de la norma y el ámbito temporal de eficacia. Ahora bien, ello no implica, como alega la parte recurrente, que la norma impugnada tenga carácter retroactivo, puesto que “el Real Decreto-ley 9/2013 tiene una vigencia inmediata y produce efectos a partir de su entrada en vigor. Los titulares de las instalaciones de producción de energía eléctrica en régimen primado están sujetos a ese nuevo régimen retributivo desde la fecha de entrada en vigor del Real Decreto-ley 9/2013, sin perjuicio de que la cuantificación precisa de dicha retribución no se produzca hasta la aprobación de la norma reglamentaria correspondiente, y sin que dicha sujeción conlleve una afectación desfavorable a los derechos adquiridos, desde una perspectiva constitucional, esto es, no incide en derechos patrimoniales previamente consolidados e incorporados definitivamente al patrimonio del destinatario, o en situaciones jurídicas ya agotadas o consumadas. (…) No estamos, en suma, ante una norma sancionadora o restrictiva de derechos, ni ante una regulación que afecte a una situación ‘agotada’, consolidada, perfeccionada o patrimonializada —en los términos utilizados por nuestra jurisprudencia— que haya sido revertida </w:t>
      </w:r>
      <w:r w:rsidRPr="00163957">
        <w:rPr>
          <w:i/>
        </w:rPr>
        <w:t>in peius</w:t>
      </w:r>
      <w:r>
        <w:t xml:space="preserve"> con efecto retroactivo, por lo que no concurre un supuesto de retroactividad constitucionalmente prohibida, y, en consecuencia, no se produce una vulneración del art. 9.3 CE” (STC 270/2015, FJ 7 c).</w:t>
      </w:r>
    </w:p>
    <w:p w:rsidR="00163957" w:rsidRDefault="00163957" w:rsidP="00163957">
      <w:pPr>
        <w:pStyle w:val="TextoNormal"/>
      </w:pPr>
    </w:p>
    <w:p w:rsidR="00163957" w:rsidRDefault="00163957" w:rsidP="00163957">
      <w:pPr>
        <w:pStyle w:val="TextoNormal"/>
      </w:pPr>
      <w:r w:rsidRPr="00163957">
        <w:rPr>
          <w:rStyle w:val="NumeroAFNegritaCaracter"/>
        </w:rPr>
        <w:t>6</w:t>
      </w:r>
      <w:r>
        <w:t>. Debe rechazarse asimismo la infracción de lo dispuesto en el art. 9.1 en conexión con el art. 96 CE, que los recurrentes fundan en la pretendida contravención de los arts. 10 y 13 del Tratado sobre la Carta de la Energía.</w:t>
      </w:r>
    </w:p>
    <w:p w:rsidR="00163957" w:rsidRDefault="00163957" w:rsidP="00163957">
      <w:pPr>
        <w:pStyle w:val="TextoNormal"/>
      </w:pPr>
    </w:p>
    <w:p w:rsidR="00163957" w:rsidRDefault="00163957" w:rsidP="00163957">
      <w:pPr>
        <w:pStyle w:val="TextoNormal"/>
      </w:pPr>
      <w:r>
        <w:t xml:space="preserve">Dicha cuestión fue objeto asimismo de específico examen en el fundamento jurídico 6 de la STC 270/2015, en donde recordamos que “este Tribunal ha declarado reiteradamente </w:t>
      </w:r>
      <w:r>
        <w:lastRenderedPageBreak/>
        <w:t xml:space="preserve">que los tratados internacionales no constituyen por sí mismos parámetro de contraste para valorar la posible inconstitucionalidad de las leyes, pues la supuesta contradicción de los tratados por las leyes o por otras disposiciones normativas posteriores no es cuestión que afecte a la constitucionalidad de éstas y que, por tanto, deba ser resuelto por el Tribunal Constitucional (STC 49/1988, fundamento jurídico 14, </w:t>
      </w:r>
      <w:r w:rsidRPr="00163957">
        <w:rPr>
          <w:i/>
        </w:rPr>
        <w:t>in fine</w:t>
      </w:r>
      <w:r>
        <w:t>), sino que, como puro problema de selección del derecho aplicable al caso concreto, su resolución corresponde a los órganos judiciales en los litigios de que conozcan (STC 28/1991, de 14 de febrero, FJ 5, y 207/2013, de 5 de diciembre, FJ 4). En suma, no corresponde a este Tribunal determinar la compatibilidad o no de un precepto legal con un tratado internacional, ni éstos pueden erigirse en normas fundamentales y criterios de constitucionalidad (STC 142/1993, de 22 de abril, FJ 3)”.</w:t>
      </w:r>
    </w:p>
    <w:p w:rsidR="00163957" w:rsidRDefault="00163957" w:rsidP="00163957">
      <w:pPr>
        <w:pStyle w:val="TextoNormal"/>
      </w:pPr>
    </w:p>
    <w:p w:rsidR="00163957" w:rsidRDefault="00163957" w:rsidP="00163957">
      <w:pPr>
        <w:pStyle w:val="TextoNormal"/>
      </w:pPr>
      <w:r>
        <w:t>Por otro lado y en este mismo sentido “tampoco la incorporación de un tratado al ordenamiento jurídico interno, tras su ratificación y publicación oficial, determina —como pretenden los recurrentes—, la supuesta vulneración del principio de jerarquía normativa, puesto que la garantía de la jerarquía normativa proscribe que una norma de rango inferior contravenga lo dispuesto en una de rango superior. Sin embargo, si el criterio de enjuiciamiento en un proceso de constitucionalidad viene proporcionado por la Constitución y, eventualmente, por las normas que integran el bloque de constitucionalidad, dado que, por definición, en todo recurso de inconstitucionalidad subyace un problema de jerarquía normativa, resulta que tal jerarquía no es un canon idóneo para esta labor. La apreciación de contradicción entre un texto legal y la Constitución no entraña una mera transgresión por norma de rango inferior de lo establecido en otra de rango superior, sino pura y simplemente, la inconstitucionalidad de la norma con rango de ley (SSTC 91/1998, de 23 de abril, FJ 2 y 198/2012, de 26 de noviembre, FJ 2 a)”.</w:t>
      </w:r>
    </w:p>
    <w:p w:rsidR="00163957" w:rsidRDefault="00163957" w:rsidP="00163957">
      <w:pPr>
        <w:pStyle w:val="TextoNormal"/>
      </w:pPr>
    </w:p>
    <w:p w:rsidR="00163957" w:rsidRDefault="00163957" w:rsidP="00163957">
      <w:pPr>
        <w:pStyle w:val="TextoNormal"/>
      </w:pPr>
      <w:r w:rsidRPr="00163957">
        <w:rPr>
          <w:rStyle w:val="NumeroAFNegritaCaracter"/>
        </w:rPr>
        <w:t>7</w:t>
      </w:r>
      <w:r>
        <w:t>. Por último, tampoco pueden aceptarse los argumentos esgrimidos por los recurrentes en relación a la supuesta e improcedente elevación de rango de la materia regulada, y la paralela remisión al desarrollo reglamentario de las normas de dicho rango, incorporadas al presente Real Decreto-ley, en los términos previstos en la disposición final octava.</w:t>
      </w:r>
    </w:p>
    <w:p w:rsidR="00163957" w:rsidRDefault="00163957" w:rsidP="00163957">
      <w:pPr>
        <w:pStyle w:val="TextoNormal"/>
      </w:pPr>
    </w:p>
    <w:p w:rsidR="00163957" w:rsidRDefault="00163957" w:rsidP="00163957">
      <w:pPr>
        <w:pStyle w:val="TextoNormal"/>
      </w:pPr>
      <w:r>
        <w:t>En cuanto a la supuesta “elevación de rango”, conviene recordar que el objeto principal de la norma que se analiza es la modificación de régimen retributivo de las instalaciones producción de energía eléctrica en régimen especial, materia ésta previamente regulada en normas con rango de ley, como claramente se deriva del hecho de que el art. 1 proceda expresamente a la modificación una norma con rango de ley, en concreto, en la Ley 54/1997, de 27 de noviembre, del sector eléctrico. Además de ello, se incluyen en la norma aspectos concretos, anteriormente previstos en normas de rango reglamentario, pero es ésta una posibilidad que no cabe reputar inconstitucional, pues desde una perspectiva constitucional debe partirse, como hemos reconocido en otras ocasiones, de que nuestro sistema de fuentes no contempla reservas de reglamento, lo cual implica que a la ley no le está vedada la regulación de materias atribuidas anteriormente al poder reglamentario [por todas, SSTC 5/1981, de 13 de febrero, FJ 21 b); 73/2000, de 14 de marzo, FJ 15; y 104/2000, de 13 de abril, FJ 9]. Aunque en la mayoría de los supuestos nos hemos referido a leyes formales, esta doctrina también nos ha llevado en el pasado a aceptar la posibilidad de que los decretos-leyes eleven y congelen el rango normativo de materias que anteriormente estaban deslegalizadas (STC 60/1986, de 20 de mayo, FJ 2) (SSTC 332/2005, de 15 de diciembre, FJ 5; y 199/2015, de 24 de septiembre, FJ 7).</w:t>
      </w:r>
    </w:p>
    <w:p w:rsidR="00163957" w:rsidRDefault="00163957" w:rsidP="00163957">
      <w:pPr>
        <w:pStyle w:val="TextoNormal"/>
      </w:pPr>
    </w:p>
    <w:p w:rsidR="00163957" w:rsidRDefault="00163957" w:rsidP="00163957">
      <w:pPr>
        <w:pStyle w:val="TextoNormal"/>
      </w:pPr>
      <w:r>
        <w:t>En el mismo sentido, la remisión a la modificación o desarrollo reglamentario de aquellos aspectos del Real Decreto-ley que previamente se encontraban contemplados en normas de esta naturaleza, no supone una deslegalización, sino meramente el mantenimiento de la suficiencia del rango reglamentario para la regulación de esa materia. La norma controvertida se limita pues a afrontar la urgencia de la necesidad de regulación con el texto del decreto-ley, mediante la elevación de rango única y exclusivamente de modo transitorio, y hasta tanto se desarrollen reglamentariamente esas previsiones. Por lo tanto, “si el Tribunal no pone obstáculos constitucionales a la congelación de rango por medio del recurso al decreto-ley de materias que anteriormente estaban deslegalizadas, con menor motivo rechazará esta opción, cuando la misma tiene una duración limitada en el tiempo” (STC 199/2015, FJ 7).</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presente recurso de inconstitucionalidad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diecisiete de marzo de dos mil dieciséis.</w:t>
      </w:r>
    </w:p>
    <w:p w:rsidR="00163957" w:rsidRDefault="00163957" w:rsidP="00163957">
      <w:pPr>
        <w:pStyle w:val="ParrafoNormal"/>
      </w:pPr>
    </w:p>
    <w:p w:rsidR="00163957" w:rsidRDefault="00163957" w:rsidP="00163957">
      <w:pPr>
        <w:pStyle w:val="TextoNormalNegritaCentrado"/>
        <w:keepNext/>
      </w:pPr>
      <w:r>
        <w:t>Voto particular concurrente que formula el Magistrado don Juan Antonio Xiol Ríos respecto de la Sentencia dictada en el recurso de inconstitucionalidad núm. 2408-2014, al que se adhieren la Magistrada doña Adela Asua Batarrita y el Magistrado don Fernando Valdés Dal-Ré.</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en la que se sustenta la Sentencia, manifiesto mi discrepancia con su fundamentación jurídica, aunque no con el fallo, referida a la invocación de los principios de seguridad jurídica y confianza legítima analizada en el fundamento jurídico 4, respecto de la modificación del régimen de incentivos a las energías renovables.</w:t>
      </w:r>
    </w:p>
    <w:p w:rsidR="00163957" w:rsidRDefault="00163957" w:rsidP="00163957">
      <w:pPr>
        <w:pStyle w:val="TextoNormal"/>
      </w:pPr>
    </w:p>
    <w:p w:rsidR="00163957" w:rsidRDefault="00163957" w:rsidP="00163957">
      <w:pPr>
        <w:pStyle w:val="TextoNormal"/>
      </w:pPr>
      <w:r>
        <w:t>La razón de mi discrepancia es coincidente con la que ya fue expuesta en el Voto particular concurrente a la STC 270/2015, de 17 de diciembre, al que para evitar reiteraciones innecesarias me remito.</w:t>
      </w:r>
    </w:p>
    <w:p w:rsidR="00163957" w:rsidRDefault="00163957" w:rsidP="00163957">
      <w:pPr>
        <w:pStyle w:val="TextoNormal"/>
      </w:pPr>
    </w:p>
    <w:p w:rsidR="00163957" w:rsidRDefault="00163957" w:rsidP="00163957">
      <w:pPr>
        <w:pStyle w:val="TextoNormal"/>
      </w:pPr>
      <w:r>
        <w:t>Madrid, a diecisiete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65" w:name="SENTENCIA_2016_62"/>
      <w:r>
        <w:lastRenderedPageBreak/>
        <w:t>SENTENCIA 62/2016, de 17 de marzo de 2016</w:t>
      </w:r>
    </w:p>
    <w:bookmarkEnd w:id="65"/>
    <w:p w:rsidR="00163957" w:rsidRDefault="00163957" w:rsidP="00163957">
      <w:pPr>
        <w:pStyle w:val="TtuloResolucin"/>
      </w:pPr>
      <w:r>
        <w:t>Pleno</w:t>
      </w:r>
    </w:p>
    <w:p w:rsidR="00163957" w:rsidRDefault="00163957" w:rsidP="00163957">
      <w:pPr>
        <w:pStyle w:val="TtuloBOE"/>
      </w:pPr>
      <w:r>
        <w:t>(BOE núm. 97, de 22 de abril de 2016)</w:t>
      </w:r>
    </w:p>
    <w:p w:rsidR="00163957" w:rsidRDefault="00163957" w:rsidP="00163957">
      <w:pPr>
        <w:pStyle w:val="TextoNormalCentrado"/>
      </w:pPr>
      <w:r>
        <w:t>ECLI:ES:TC:2016:62</w:t>
      </w:r>
    </w:p>
    <w:p w:rsidR="00163957" w:rsidRDefault="00163957" w:rsidP="00163957">
      <w:pPr>
        <w:pStyle w:val="TextoNormalCentrado"/>
      </w:pPr>
    </w:p>
    <w:p w:rsidR="00163957" w:rsidRDefault="00163957" w:rsidP="00163957">
      <w:pPr>
        <w:pStyle w:val="SntesisDescriptiva"/>
      </w:pPr>
      <w:r>
        <w:t>Recurso de inconstitucionalidad 5831-2014. Interpuesto por la Presidenta del Gobierno en funciones respecto del Decreto-ley de Cataluña 6/2013, de 23 de diciembre, por el que se modifica la Ley 22/2010, de 20 de julio, del Código de consumo de Cataluña.</w:t>
      </w:r>
    </w:p>
    <w:p w:rsidR="00163957" w:rsidRDefault="00163957" w:rsidP="00163957">
      <w:pPr>
        <w:pStyle w:val="SntesisDescriptiva"/>
      </w:pPr>
    </w:p>
    <w:p w:rsidR="00163957" w:rsidRDefault="00163957" w:rsidP="00163957">
      <w:pPr>
        <w:pStyle w:val="SntesisAnaltica"/>
      </w:pPr>
      <w:r>
        <w:t>Competencias sobre ordenación general de la economía y régimen energético: nulidad de los preceptos legales autonómicos que introducen un mecanismo de protección de la garantía del suministro eléctrico o de gas al consumidor vulnerable que contraviene la regulación básica estatal. Votos particulares.</w:t>
      </w:r>
    </w:p>
    <w:p w:rsidR="00163957" w:rsidRDefault="00163957" w:rsidP="00163957">
      <w:pPr>
        <w:pStyle w:val="SntesisAnaltica"/>
      </w:pPr>
    </w:p>
    <w:p w:rsidR="00163957" w:rsidRDefault="00163957" w:rsidP="00163957">
      <w:pPr>
        <w:pStyle w:val="Extracto"/>
      </w:pPr>
      <w:r>
        <w:t>1.</w:t>
      </w:r>
      <w:r>
        <w:tab/>
        <w:t>Tanto la prohibición de desconexión del suministro eléctrico o de gas, en aras a la protección del consumidor vulnerable, como la imposición de un deber de aplazamiento y/o fraccionamiento de la deuda pendiente con la empresa suministradora,  contravienen la regulación que, con carácter básico, se establece en la Ley del sector eléctrico y en la Ley del sector de hidrocarburos [FJ 11].</w:t>
      </w:r>
    </w:p>
    <w:p w:rsidR="00163957" w:rsidRDefault="00163957" w:rsidP="00163957">
      <w:pPr>
        <w:pStyle w:val="Extracto"/>
      </w:pPr>
    </w:p>
    <w:p w:rsidR="00163957" w:rsidRDefault="00163957" w:rsidP="00163957">
      <w:pPr>
        <w:pStyle w:val="Extracto"/>
      </w:pPr>
      <w:r>
        <w:t>2.</w:t>
      </w:r>
      <w:r>
        <w:tab/>
        <w:t>La regulación estatal básica ya había optado por la protección del consumidor vulnerable mediante un sistema de bonificación, a través de la financiación de parte del precio del suministro de la electricidad y gas; sin establecer prohibiciones de desconexión del suministro respecto a clientes vulnerables en períodos críticos, ni exceptuar a los mismos del régimen general cuya regulación es idéntica para todos los consumidores sujetos a tarifa de último recurso [FJ 10].</w:t>
      </w:r>
    </w:p>
    <w:p w:rsidR="00163957" w:rsidRDefault="00163957" w:rsidP="00163957">
      <w:pPr>
        <w:pStyle w:val="Extracto"/>
      </w:pPr>
    </w:p>
    <w:p w:rsidR="00163957" w:rsidRDefault="00163957" w:rsidP="00163957">
      <w:pPr>
        <w:pStyle w:val="Extracto"/>
      </w:pPr>
      <w:r>
        <w:t>3.</w:t>
      </w:r>
      <w:r>
        <w:tab/>
        <w:t>Ninguna objeción podría efectuarse si el legislador catalán hubiese desarrollado medidas asistenciales consistentes en prestaciones económicas, pero los preceptos impugnados diseñan un modelo de garantía de suministro distinto, que contraviene la regulación básica [FJ 11].</w:t>
      </w:r>
    </w:p>
    <w:p w:rsidR="00163957" w:rsidRDefault="00163957" w:rsidP="00163957">
      <w:pPr>
        <w:pStyle w:val="Extracto"/>
      </w:pPr>
    </w:p>
    <w:p w:rsidR="00163957" w:rsidRDefault="00163957" w:rsidP="00163957">
      <w:pPr>
        <w:pStyle w:val="Extracto"/>
      </w:pPr>
      <w:r>
        <w:t>4.</w:t>
      </w:r>
      <w:r>
        <w:tab/>
        <w:t>El diseño configurado por el legislador estatal para proteger al consumidor vulnerable asegura una regulación normativa uniforme en todo el territorio nacional necesaria para asegurar la unidad fundamental prevista por las normas del bloque de constitucionalidad que establecen la distribución de competencias (SSTC 18/2011; 32/2016) [FJ 10].</w:t>
      </w:r>
    </w:p>
    <w:p w:rsidR="00163957" w:rsidRDefault="00163957" w:rsidP="00163957">
      <w:pPr>
        <w:pStyle w:val="Extracto"/>
      </w:pPr>
    </w:p>
    <w:p w:rsidR="00163957" w:rsidRDefault="00163957" w:rsidP="00163957">
      <w:pPr>
        <w:pStyle w:val="Extracto"/>
      </w:pPr>
      <w:r>
        <w:t>5.</w:t>
      </w:r>
      <w:r>
        <w:tab/>
        <w:t>La eventual contravención con la normativa básica ocasiona la inconstitucionalidad de carácter mediato o indirecto (STC 260/2015) [FJ 8].</w:t>
      </w:r>
    </w:p>
    <w:p w:rsidR="00163957" w:rsidRDefault="00163957" w:rsidP="00163957">
      <w:pPr>
        <w:pStyle w:val="Extracto"/>
      </w:pPr>
    </w:p>
    <w:p w:rsidR="00163957" w:rsidRDefault="00163957" w:rsidP="00163957">
      <w:pPr>
        <w:pStyle w:val="Extracto"/>
      </w:pPr>
      <w:r>
        <w:t>6.</w:t>
      </w:r>
      <w:r>
        <w:tab/>
        <w:t>Por su contenido y finalidad, los preceptos impugnados presentan una conexión más estrecha con el ámbito del sector energético, de preferente aplicación, dado el carácter específico del mismo, lo que determina el desplazamiento de los títulos competenciales “consumo” y “servicios sociales” [FJ 5].</w:t>
      </w:r>
    </w:p>
    <w:p w:rsidR="00163957" w:rsidRDefault="00163957" w:rsidP="00163957">
      <w:pPr>
        <w:pStyle w:val="Extracto"/>
      </w:pPr>
    </w:p>
    <w:p w:rsidR="00163957" w:rsidRDefault="00163957" w:rsidP="00163957">
      <w:pPr>
        <w:pStyle w:val="Extracto"/>
      </w:pPr>
      <w:r>
        <w:lastRenderedPageBreak/>
        <w:t>7.</w:t>
      </w:r>
      <w:r>
        <w:tab/>
        <w:t>Doctrina sobre competencia, sobre bases y coordinación de la planificación general de la actividad económica y sobre bases del régimen energético (STC 18/2011) [FFJJ 6, 7].</w:t>
      </w:r>
    </w:p>
    <w:p w:rsidR="00163957" w:rsidRDefault="00163957" w:rsidP="00163957">
      <w:pPr>
        <w:pStyle w:val="Extracto"/>
      </w:pPr>
    </w:p>
    <w:p w:rsidR="00163957" w:rsidRDefault="00163957" w:rsidP="00163957">
      <w:pPr>
        <w:pStyle w:val="Extracto"/>
      </w:pPr>
      <w:r>
        <w:t>8.</w:t>
      </w:r>
      <w:r>
        <w:tab/>
        <w:t>El proceso no ha perdido su objeto, pese a la derogación de los preceptos impugnados, dado su carácter competencial y porque la controversia no puede entenderse resuelta por la derogación de la norma; además, los preceptos derogados han sido sustituidos por otra norma que plantearía similares problemas de constitucionalidad [FJ 2].</w:t>
      </w:r>
    </w:p>
    <w:p w:rsidR="00163957" w:rsidRDefault="00163957" w:rsidP="00163957">
      <w:pPr>
        <w:pStyle w:val="Extracto"/>
      </w:pPr>
    </w:p>
    <w:p w:rsidR="00163957" w:rsidRDefault="00163957" w:rsidP="00163957">
      <w:pPr>
        <w:pStyle w:val="Extracto"/>
      </w:pPr>
      <w:r>
        <w:t>9.</w:t>
      </w:r>
      <w:r>
        <w:tab/>
        <w:t>Doctrina sobre la pervivencia de objeto del recurso de inconstitucionalidad tras la derogación de la norma (SSTC 134/2011, 161/2012, 133/2012, 26/2015, 108/2015)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5831-2014, interpuesto por la Presidenta del Gobierno —en funciones—, contra el Decreto-ley del Parlamento de Cataluña 6/2013, de 23 de diciembre, por el que se modifica la Ley 22/2010, de 20 de julio, del código de consumo de Cataluña. Han intervenido y formulado alegaciones la Generalitat y el Parlamento de Cataluña. Ha sido Ponente el Magistrado don Santiago Martínez-Vares García, que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29 de septiembre de 2014 tuvo entrada en el Registro General de este Tribunal un escrito del Abogado del Estado, en nombre de la Presidenta del Gobierno en funciones, por el que interpone un recurso de inconstitucionalidad contra el Decreto-ley de Cataluña 6/2013, de 23 de diciembre, por el que se modifica la Ley 22/2010, de 20 de julio, del código de consumo de Cataluña (en adelante, Decreto-ley 6/2013), haciendo invocación del art. 161.2 CE a fin de que se produzca la suspensión de la norma impugnada en el presente recurso de inconstitucionalidad.</w:t>
      </w:r>
    </w:p>
    <w:p w:rsidR="00163957" w:rsidRDefault="00163957" w:rsidP="00163957">
      <w:pPr>
        <w:pStyle w:val="TextoNormal"/>
      </w:pPr>
    </w:p>
    <w:p w:rsidR="00163957" w:rsidRDefault="00163957" w:rsidP="00163957">
      <w:pPr>
        <w:pStyle w:val="TextoNormal"/>
      </w:pPr>
      <w:r>
        <w:lastRenderedPageBreak/>
        <w:t>Comienza sus alegaciones indicando que el objeto del recurso lo integra la totalidad del Decreto-ley 6/2013, cuyo contenido extracta a continuación. Adelanta que la impugnación es de carácter competencial, al contravenir la norma impugnada la normativa estatal de carácter básico. Considera que el Decreto-ley 6/2013 incurre en inconstitucionalidad mediata derivada de la contravención de la Ley 24/2013, de 26 de diciembre, del sector eléctrico (en adelante, LSE), de carácter básico de conformidad con su disposición final segunda, y la Ley 34/1998, de 7 de octubre, del sector de los hidrocarburos, también de carácter básico, conforme a su disposición final primera, por ser dictadas al amparo de las competencias que al Estado reconocen las reglas 13 y 25 del art. 149.1 de la Constitución, así como con su normativa de desarrollo.</w:t>
      </w:r>
    </w:p>
    <w:p w:rsidR="00163957" w:rsidRDefault="00163957" w:rsidP="00163957">
      <w:pPr>
        <w:pStyle w:val="TextoNormal"/>
      </w:pPr>
    </w:p>
    <w:p w:rsidR="00163957" w:rsidRDefault="00163957" w:rsidP="00163957">
      <w:pPr>
        <w:pStyle w:val="TextoNormal"/>
      </w:pPr>
      <w:r>
        <w:t>Refiere que la determinación del título competencial prevalente viene dificultada porque la norma impugnada omite expresar el título competencial en que se fundamenta. Descarta que la competencia, en materia de consumo, establecida en el art. 123 del Estatuto de Autonomía de Cataluña (en adelante, EAC), faculte a la Generalitat para contravenir las bases del Estado en materia energética, pudiendo el Estado incidir directamente en las competencias que sobre defensa del consumidor le corresponda a determinadas Comunidades Autónomas. Afirma que la competencia compartida en materia de energía, reconocida en el art. 133 EAC, debe sujetarse a las reglas 13 y 25 del art. 149.1 CE que atribuyen al Estado competencias, respectivamente, en materia de “bases y coordinación de la planificación general de la actividad económica” y “bases del régimen energético”, en tanto títulos competenciales específicos y prevalentes, citando entre otras las SSTC 18/2011, 135/2012 y 8/2013.</w:t>
      </w:r>
    </w:p>
    <w:p w:rsidR="00163957" w:rsidRDefault="00163957" w:rsidP="00163957">
      <w:pPr>
        <w:pStyle w:val="TextoNormal"/>
      </w:pPr>
    </w:p>
    <w:p w:rsidR="00163957" w:rsidRDefault="00163957" w:rsidP="00163957">
      <w:pPr>
        <w:pStyle w:val="TextoNormal"/>
      </w:pPr>
      <w:r>
        <w:t>Con carácter previo al examen del texto de la norma impugnada, precisa que la norma básica estatal de referencia para valorar la constitucionalidad del Decreto-ley 6/2013, es la Ley del sector eléctrico cuya vigencia es anterior a la del Decreto-ley 6/2013 y que además deroga la anterior Ley estatal 54/1997 a la que alude el preámbulo de la norma impugnada.</w:t>
      </w:r>
    </w:p>
    <w:p w:rsidR="00163957" w:rsidRDefault="00163957" w:rsidP="00163957">
      <w:pPr>
        <w:pStyle w:val="TextoNormal"/>
      </w:pPr>
    </w:p>
    <w:p w:rsidR="00163957" w:rsidRDefault="00163957" w:rsidP="00163957">
      <w:pPr>
        <w:pStyle w:val="TextoNormal"/>
      </w:pPr>
      <w:r>
        <w:t>En relación con el art. 1 del Decreto-Ley 6/2013, que establece los requisitos para definir al colectivo de personas “en situación de vulnerabilidad económica”, afirma que “nada cabe oponer a la definición por parte de la Generalitat de Cataluña de las personas que puedan considerarse en la mencionada situación”. Ahora bien, entiende que “no resulta conforme al orden constitucional de competencias la aplicación de dicha categoría a los consumidores de energía eléctrica y de gas, con el objeto de aplicarles un régimen económico diferente del previsto con carácter estatal, incidiendo de esta manera en la regulación del sector”. Considera que la Generalitat, en ejercicio de sus competencias en materia de asistencia social y/o de consumo, podría establecer un sistema de ayudas que no contraviniera con la regulación del sector eléctrico establecido en la normativa básica, tales como ayudas directas para consumo energético o pago de la deuda de estos consumidores, evitando así cualquier discriminación y alteración del flujo económico que se deriva de la aplicación de los peajes de acceso.</w:t>
      </w:r>
    </w:p>
    <w:p w:rsidR="00163957" w:rsidRDefault="00163957" w:rsidP="00163957">
      <w:pPr>
        <w:pStyle w:val="TextoNormal"/>
      </w:pPr>
    </w:p>
    <w:p w:rsidR="00163957" w:rsidRDefault="00163957" w:rsidP="00163957">
      <w:pPr>
        <w:pStyle w:val="TextoNormal"/>
      </w:pPr>
      <w:r>
        <w:t xml:space="preserve">Recuerda que la Directiva 2009/72/CE, dictada en el marco de lucha contra la pobreza energética, preveía que se definiera por los Estados al “cliente vulnerable”, respecto del cual podía preverse una prohibición de desconexión de electricidad en periodos críticos, fue traspuesta por el Real Decreto-ley 13/2012, de 30 de marzo. La Ley del sector eléctrico, reservó al Gobierno, mediante Reglamento, la definición, requisitos y medidas a adoptar a favor de </w:t>
      </w:r>
      <w:r>
        <w:lastRenderedPageBreak/>
        <w:t>los “consumidores vulnerables”, incluidos los requisitos para la aplicación del bono social. Asimismo, la disposición transitoria segunda disponía que transitoriamente, hasta que se determinen reglamentariamente por el Gobierno los requisitos para ser considerado consumidor vulnerable, dicha categoría se encuentra ligada al perceptor del bono social. Refiere que los requisitos para tener derecho a la percepción del bono social establecidos a nivel nacional difieren de los recogidos en el art. 1 del Decreto-ley catalán.</w:t>
      </w:r>
    </w:p>
    <w:p w:rsidR="00163957" w:rsidRDefault="00163957" w:rsidP="00163957">
      <w:pPr>
        <w:pStyle w:val="TextoNormal"/>
      </w:pPr>
    </w:p>
    <w:p w:rsidR="00163957" w:rsidRDefault="00163957" w:rsidP="00163957">
      <w:pPr>
        <w:pStyle w:val="TextoNormal"/>
      </w:pPr>
      <w:r>
        <w:t>Afirma que conforme a la Ley del sector eléctrico, los consumidores vulnerables tendrán derecho a la tarifa de último recurso, que será una tarifa reducida, siendo ésta única en todo el territorio nacional y correspondiendo al Gobierno la determinación de la metodología para su cálculo y su aprobación, tomando en consideración los peajes de acceso a las redes de transporte y distribución y los cargos que correspondan. Alega que en cumplimiento de dicha previsión, el Real Decreto 216/2014, de 28 de marzo, define las tarifas de último recurso, entre las que se encuentra aquella de aplicación a los consumidores vulnerables, cuyo precio será el que resulte de aplicar el precio voluntario para el pequeño consumidor descontando un 25 por 100 en todos los términos que lo componen.</w:t>
      </w:r>
    </w:p>
    <w:p w:rsidR="00163957" w:rsidRDefault="00163957" w:rsidP="00163957">
      <w:pPr>
        <w:pStyle w:val="TextoNormal"/>
      </w:pPr>
    </w:p>
    <w:p w:rsidR="00163957" w:rsidRDefault="00163957" w:rsidP="00163957">
      <w:pPr>
        <w:pStyle w:val="TextoNormal"/>
      </w:pPr>
      <w:r>
        <w:t>Para el Abogado del Estado, el carácter básico de tales previsiones es claro, en la medida en que establecen el régimen jurídico común de acceso al suministro eléctrico en España. De lo que resulta, que la definición del colectivo de personas en situación de vulnerabilidad económica que contiene el art. 1 del Decreto-ley 6/2013, vinculado con las consecuencias previstas en el art. 2 de la citada norma, son contrarias a la legislación básica estatal.</w:t>
      </w:r>
    </w:p>
    <w:p w:rsidR="00163957" w:rsidRDefault="00163957" w:rsidP="00163957">
      <w:pPr>
        <w:pStyle w:val="TextoNormal"/>
      </w:pPr>
    </w:p>
    <w:p w:rsidR="00163957" w:rsidRDefault="00163957" w:rsidP="00163957">
      <w:pPr>
        <w:pStyle w:val="TextoNormal"/>
      </w:pPr>
      <w:r>
        <w:t>Por otra parte, entiende que las previsiones del art. 2 del Decreto-ley 6/2013, de 23 de diciembre, que imposibilitan que el suministro de energía eléctrica sea suspendido entre los meses de noviembre a marzo a las personas en situación de vulnerabilidad económica y posibilita el aplazamiento de la deuda, contravienen el art. 85 del Real Decreto 1955/2000, de 1 de diciembre, por el que se regulan las actividades de transporte, distribución, comercialización, suministro y procedimientos de autorización de instalaciones de energía eléctrica, de carácter asimismo básico y que no prevé excepciones en la regulación del régimen de suspensión del suministro o de aplazamiento de la deuda para los referidos consumidores.</w:t>
      </w:r>
    </w:p>
    <w:p w:rsidR="00163957" w:rsidRDefault="00163957" w:rsidP="00163957">
      <w:pPr>
        <w:pStyle w:val="TextoNormal"/>
      </w:pPr>
    </w:p>
    <w:p w:rsidR="00163957" w:rsidRDefault="00163957" w:rsidP="00163957">
      <w:pPr>
        <w:pStyle w:val="TextoNormal"/>
      </w:pPr>
      <w:r>
        <w:t>El aplazamiento de la deuda, así como la posibilidad de acuerdo de precios sociales previsto en el nuevo apartado 8 introducido por el art. 2 del Decreto-ley 6/2013, de 23 de diciembre, repercute directamente sobre los ingresos del sector eléctrico al alterar el pago por aplicación de peajes de acceso y cargos que los consumidores deben realizar en circunstancias normales y que, en último extremo, deben ser declarados al sistema de liquidaciones del sector eléctrico, tiene repercusión en el resto de consumidores de energía eléctrica a nivel nacional, que asumirán el impacto de que haya consumidores que no paguen el suministro en igualdad de condiciones.</w:t>
      </w:r>
    </w:p>
    <w:p w:rsidR="00163957" w:rsidRDefault="00163957" w:rsidP="00163957">
      <w:pPr>
        <w:pStyle w:val="TextoNormal"/>
      </w:pPr>
    </w:p>
    <w:p w:rsidR="00163957" w:rsidRDefault="00163957" w:rsidP="00163957">
      <w:pPr>
        <w:pStyle w:val="TextoNormal"/>
      </w:pPr>
      <w:r>
        <w:t xml:space="preserve">Añade que los costes derivados de la aplicación del bono social, son financiados desde el 1 de enero de 2014 por las empresas verticalmente integradas recogidas en la orden por la que se fijan los porcentajes de reparto de las cantidades a financiar relativas al bono social correspondientes a 2014 y que con anterioridad, el sistema eléctrico venía soportando dicho coste. Insiste en que cualquier aplazamiento de pago, además de implicar una alteración de lo dispuesto por la legislación básica, implica un coste de financiación, que repercute directamente en las empresas suministradoras y, en último extremo, en el sistema eléctrico en su </w:t>
      </w:r>
      <w:r>
        <w:lastRenderedPageBreak/>
        <w:t>conjunto (tanto consumidores como otros sujetos) que debe soportar el coste del sistema que esto conlleva lo que rompe el sistema eléctrico nacional en su aspecto económico tal y como indicó la STC 148/2011, de 28 de septiembre.</w:t>
      </w:r>
    </w:p>
    <w:p w:rsidR="00163957" w:rsidRDefault="00163957" w:rsidP="00163957">
      <w:pPr>
        <w:pStyle w:val="TextoNormal"/>
      </w:pPr>
    </w:p>
    <w:p w:rsidR="00163957" w:rsidRDefault="00163957" w:rsidP="00163957">
      <w:pPr>
        <w:pStyle w:val="TextoNormal"/>
      </w:pPr>
      <w:r>
        <w:t>A continuación refiere que la definición del colectivo de personas en situación de vulnerabilidad económica y la imposibilidad de suspensión del suministro, establecida en la norma impugnada, también se aplica al suministro de gas. Afirma que la regulación estatal establecida en la Ley del sector de hidrocarburos, de acuerdo con lo dispuesto en su disposición final primera tiene carácter básico (arts. 149.1.13 y 25), y en su artículo 88 se precisa el régimen jurídico de la suspensión del suministro de los combustibles gaseosos por impago. A su vez, el art. 57 del Real Decreto 1434/2002, de 27 de diciembre, por el que se regulan las actividades de transporte, distribución, comercialización, suministro y procedimiento de autorización de instalaciones de gas natural, regula en su capítulo VIII, la suspensión de suministro. Y por último, la Ley del sector de hidrocarburos en el artículo 57.3 atribuye al Ministro de Industria, Energía y Turismo el establecimiento de las condiciones específicas de suministro para quienes tengan la consideración de clientes vulnerables, definiendo en su art. 81 los derechos de los comercializadores a facturar y cobrar los suministros, así como la obligación de abonar en los plazos establecidos en la legislación los peajes y cánones de acceso a las instalaciones gasistas que correspondan.</w:t>
      </w:r>
    </w:p>
    <w:p w:rsidR="00163957" w:rsidRDefault="00163957" w:rsidP="00163957">
      <w:pPr>
        <w:pStyle w:val="TextoNormal"/>
      </w:pPr>
    </w:p>
    <w:p w:rsidR="00163957" w:rsidRDefault="00163957" w:rsidP="00163957">
      <w:pPr>
        <w:pStyle w:val="TextoNormal"/>
      </w:pPr>
      <w:r>
        <w:t>Finalmente concluye indicando que el carácter básico tanto de la Ley 34/1998, de 7 de octubre, como del Real Decreto 1434/2002, de 27 de diciembre, lo que determina —que al igual que en el caso del sector eléctrico—, que lo establecido en los arts. 1 y 2 del Decreto-ley 6/2013, de 23 de diciembre, de la Generalitat de Cataluña contraviene la legislación básica del Estado en el ámbito del sector del gas, afectando, de nuevo, especialmente, a su dimensión económica.</w:t>
      </w:r>
    </w:p>
    <w:p w:rsidR="00163957" w:rsidRDefault="00163957" w:rsidP="00163957">
      <w:pPr>
        <w:pStyle w:val="TextoNormal"/>
      </w:pPr>
    </w:p>
    <w:p w:rsidR="00163957" w:rsidRDefault="00163957" w:rsidP="00163957">
      <w:pPr>
        <w:pStyle w:val="TextoNormal"/>
      </w:pPr>
      <w:r w:rsidRPr="00163957">
        <w:rPr>
          <w:rStyle w:val="NumeroAFNegritaCaracter"/>
        </w:rPr>
        <w:t>2</w:t>
      </w:r>
      <w:r>
        <w:t>. Por providencia de 21 de octubre de 2014 el Pleno del Tribunal Constitucional, a propuesta de la Sección Segunda, acordó admitir a trámite el recurso de inconstitucionalidad y dar traslado de la demanda y documentos presentados, conforme establece el art. 34 de la Ley Orgánica del Tribunal Constitucional (LOTC), al Congreso de los Diputados y al Senado así como a la Generalitat de Cataluña y al Parlamento de Cataluña, por conducto de sus Presidentes, al objeto de que en el plazo de quince días pudieran personarse en el proceso y formular las alegaciones que estimaren convenientes. Asimismo, se tuvo por invocado por el Presidente del Gobierno el art. 161.2 de la Ley Orgánica del Tribunal Constitucional (LOTC,) lo que, a su tenor y conforme dispone el art. 30 LOTC, produce la suspensión de la vigencia y aplicación de los preceptos impugnados desde la fecha de interposición del recurso —29 de septiembre de 2014— para las partes del proceso y desde el día en que aparezca publicada la suspensión en el “Boletín Oficial del Estado” para los terceros, lo que se comunicó a los Presidentes del Gobierno de la Generalitat de Cataluña y del Parlamento de Cataluña. Por último, también se ordenó publicar la incoación del recurso en el “Boletín Oficial del Estado” y en el “Diari Oficial de la Generalitat de Cataluña”.</w:t>
      </w:r>
    </w:p>
    <w:p w:rsidR="00163957" w:rsidRDefault="00163957" w:rsidP="00163957">
      <w:pPr>
        <w:pStyle w:val="TextoNormal"/>
      </w:pPr>
    </w:p>
    <w:p w:rsidR="00163957" w:rsidRDefault="00163957" w:rsidP="00163957">
      <w:pPr>
        <w:pStyle w:val="TextoNormal"/>
      </w:pPr>
      <w:r w:rsidRPr="00163957">
        <w:rPr>
          <w:rStyle w:val="NumeroAFNegritaCaracter"/>
        </w:rPr>
        <w:t>3</w:t>
      </w:r>
      <w:r>
        <w:t>. Mediante escrito registrado el 29 de octubre de 2014, el Presidente del Senado comunicó que la Mesa de la Cámara se personaba en el proceso,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4</w:t>
      </w:r>
      <w:r>
        <w:t>. Mediante escrito registrado el 30 de octubre de 2014, el Presidente del Congreso de los Diputados, comunicó que la Mesa de la Cámara, en su reunión de 28 de octubre, había acordado que la Cámara se personase en este procedimiento y ofrecer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el 7 de noviembre de 2014, la Letrado de la Generalitat de Cataluña presentó sus alegaciones interesando la desestimación íntegra del recurso de inconstitucionalidad.</w:t>
      </w:r>
    </w:p>
    <w:p w:rsidR="00163957" w:rsidRDefault="00163957" w:rsidP="00163957">
      <w:pPr>
        <w:pStyle w:val="TextoNormal"/>
      </w:pPr>
    </w:p>
    <w:p w:rsidR="00163957" w:rsidRDefault="00163957" w:rsidP="00163957">
      <w:pPr>
        <w:pStyle w:val="TextoNormal"/>
      </w:pPr>
      <w:r>
        <w:t>Inicia sus alegaciones exponiendo el contenido del Decreto-ley 6/2013. A continuación aborda el concepto de “pobreza energética”, referido a la imposibilidad de mantener la vivienda con una temperatura adecuada durante los meses fríos, afirmando que Cataluña figura entre las Comunidades Autónomas más afectadas por dicha pobreza. Señala que las Directivas 2009/72CE y 2009/73/CE del Parlamento Europeo y del Consejo, ambas de 13 de julio de 2008, contienen normas comunes en el mercando interior de la electricidad y del gas natural, por la que se insta a los Estados miembros a incluir el concepto de pobreza energética y a combatir sus efectos. Refiere que pese a que ambas Directivas establecen como plazo de incorporación al derecho interno el 3 de marzo de 2011, ni la Ley del sector eléctrico define el concepto de consumidor vulnerable, sino que remite a un ulterior reglamento del Gobierno, limitándose a establecer una especie de conexión entre los perceptores del bono social y los consumidores vulnerables, sin asimilar ambos conceptos. Tampoco la Ley del sector de hidrocarburos, anterior a las mencionadas Directivas, contiene medida alguna de protección de los clientes vulnerables, si bien el artículo 57 faculta al Ministro de Industria, Energía y Turismo para que pueda establecer condiciones específicas para este tipo de consumidores cuyas características no define.</w:t>
      </w:r>
    </w:p>
    <w:p w:rsidR="00163957" w:rsidRDefault="00163957" w:rsidP="00163957">
      <w:pPr>
        <w:pStyle w:val="TextoNormal"/>
      </w:pPr>
    </w:p>
    <w:p w:rsidR="00163957" w:rsidRDefault="00163957" w:rsidP="00163957">
      <w:pPr>
        <w:pStyle w:val="TextoNormal"/>
      </w:pPr>
      <w:r>
        <w:t>Encuadra los preceptos impugnados en el marco de las competencias exclusivas asumidas en materia de servicios sociales, voluntariado, menores y protección en el art. 166 del Estatuto de Autonomía de Cataluña (EAC) y en materia de consumo en el art. 123 EAC. Considera que la competencia exclusiva en servicios sociales comprende de acuerdo con la letra a) del art. 166 EAC, la regulación y la ordenación de la actividad de servicios sociales, las prestaciones técnicas y las prestaciones económicas con finalidad asistencial o complementarias de otros sistemas de previsión pública. Por otra parte, la competencia exclusiva en materia de consumo incluye, la defensa de los derechos de los consumidores y usuarios proclamados en el art. 28 EAC, entre los que se encuentran la protección de su salud y seguridad.</w:t>
      </w:r>
    </w:p>
    <w:p w:rsidR="00163957" w:rsidRDefault="00163957" w:rsidP="00163957">
      <w:pPr>
        <w:pStyle w:val="TextoNormal"/>
      </w:pPr>
    </w:p>
    <w:p w:rsidR="00163957" w:rsidRDefault="00163957" w:rsidP="00163957">
      <w:pPr>
        <w:pStyle w:val="TextoNormal"/>
      </w:pPr>
      <w:r>
        <w:t>Entiende que el objeto de la regulación es garantizar la salud del colectivo de clientes vulnerables pues el suministro de energía les permite mantener una temperatura adecuada en su vivienda, evitando la marginación social, mediante la imposibilidad de cortar el suministro de energía durante los meses más fríos del año o aplazando el pago de las facturas. Tales medidas protectoras se encuadran en materia de asistencia social, como reconoce la representación procesal del Estado, que cuestiona únicamente el modo de articularlas. Afirma la representante de la Generalitat que se pretende proteger a un tipo de consumidor que en definitiva podrá pagar de forma fraccionada sus suministros, por lo que los preceptos impugnados también se encuadran en materia de consumo.</w:t>
      </w:r>
    </w:p>
    <w:p w:rsidR="00163957" w:rsidRDefault="00163957" w:rsidP="00163957">
      <w:pPr>
        <w:pStyle w:val="TextoNormal"/>
      </w:pPr>
    </w:p>
    <w:p w:rsidR="00163957" w:rsidRDefault="00163957" w:rsidP="00163957">
      <w:pPr>
        <w:pStyle w:val="TextoNormal"/>
      </w:pPr>
      <w:r>
        <w:lastRenderedPageBreak/>
        <w:t>Efectúa algunas consideraciones sobre el número de personas que se han beneficiado de la regulación según informaciones periodísticas, refiriendo que no existe razón alguna para objetar que una Comunidad Autónoma ejecute el Derecho de la Unión Europea en el ámbito de sus competencias, con cita de la STC 148/1998.</w:t>
      </w:r>
    </w:p>
    <w:p w:rsidR="00163957" w:rsidRDefault="00163957" w:rsidP="00163957">
      <w:pPr>
        <w:pStyle w:val="TextoNormal"/>
      </w:pPr>
    </w:p>
    <w:p w:rsidR="00163957" w:rsidRDefault="00163957" w:rsidP="00163957">
      <w:pPr>
        <w:pStyle w:val="TextoNormal"/>
      </w:pPr>
      <w:r>
        <w:t>A continuación, a la luz de la cita de las SSTC 223/2000, 18/2011, y 4/2013, aborda el concepto de bases en general y específicamente en el sector eléctrico sobre el que se proyecta la competencia estatal. Indica que el carácter estratégico para la economía de un país que se atribuye al sector eléctrico y del gas, tal y como indica la STC 154/2013, no obsta a que deba ser interpretado de forma estricta cuando concurre con una materia o título competencial más específico —STC 164/2001—.</w:t>
      </w:r>
    </w:p>
    <w:p w:rsidR="00163957" w:rsidRDefault="00163957" w:rsidP="00163957">
      <w:pPr>
        <w:pStyle w:val="TextoNormal"/>
      </w:pPr>
    </w:p>
    <w:p w:rsidR="00163957" w:rsidRDefault="00163957" w:rsidP="00163957">
      <w:pPr>
        <w:pStyle w:val="TextoNormal"/>
      </w:pPr>
      <w:r>
        <w:t>Refiere que ni la Ley del sector eléctrico, ni el Reglamento definen las características del consumidor vulnerable y aunque la disposición transitoria décima, que regula temporalmente el bono social e identifica sus posibles beneficiarios, se refiera a los consumidores vulnerables “sus determinaciones no contemplan en ningún momento al consumidor vulnerable”, sin que por el título de la disposición o por la remisión al apartado 1 del art. 45 LSE se pueda establecer dicha identificación. Añade que al margen de la interpretación formal es posible que la condición de beneficiario de bono social no convierta al perceptor en consumidor vulnerable, aunque el consumidor vulnerable tenga derecho a ser beneficiario del bono social. Afirma que tampoco se ha articulado un procedimiento que impida el corte de suministro a los consumidores vulnerables en el periodo invernal al que deba ajustarse la norma autonómica de desarrollo de las bases.</w:t>
      </w:r>
    </w:p>
    <w:p w:rsidR="00163957" w:rsidRDefault="00163957" w:rsidP="00163957">
      <w:pPr>
        <w:pStyle w:val="TextoNormal"/>
      </w:pPr>
    </w:p>
    <w:p w:rsidR="00163957" w:rsidRDefault="00163957" w:rsidP="00163957">
      <w:pPr>
        <w:pStyle w:val="TextoNormal"/>
      </w:pPr>
      <w:r>
        <w:t>Abunda en la constitucionalidad de la norma impugnada indicando que ésta no incide en ninguna de los aspectos calificados constitucionalmente como bases del sector energético, pues si bien es cierto que la medida tiene relación con el suministro, al impedir el corte temporalmente, no modifica, ni establece directrices principales. Al propio tiempo el aplazamiento en el pago no incide en el régimen económico dado que la compañía comercializadora percibirá iguales ingresos, pero de forma aplazada. Por otra parte, el aplazamiento tampoco afecta a las liquidaciones del sector eléctrico, ni repercute en el régimen económico del sistema, pues la empresa comercializadora debe contratar y abonar el peaje de accesos a las redes de transporte y distribución correspondiente a la empresa distribuidora, con independencia de su cobro al consumidor final conforme a lo dispuesto en el art. 40.2 j) LSE. De ello resulta que no se impone ninguna obligación a las empresas distribuidoras a diferencia del supuesto que contemplaba la STC 148/2011, que por tanto no resulta de aplicación. Afirma que conforme a la STC 4/2013 la retribución de los costes de la actividad de comercialización no afecta al régimen económico del sistema eléctrico, ni dicha actividad tiene la condición de actividad regulada —STC 18/2011—, por lo que su regulación también se determina por las leyes autonómicas de desarrollo.</w:t>
      </w:r>
    </w:p>
    <w:p w:rsidR="00163957" w:rsidRDefault="00163957" w:rsidP="00163957">
      <w:pPr>
        <w:pStyle w:val="TextoNormal"/>
      </w:pPr>
    </w:p>
    <w:p w:rsidR="00163957" w:rsidRDefault="00163957" w:rsidP="00163957">
      <w:pPr>
        <w:pStyle w:val="TextoNormal"/>
      </w:pPr>
      <w:r>
        <w:t>Insiste en la constitucionalidad del impedimento del corte de suministro previsto en los apartados 6 y 7 del art. 252.2 de la Ley 22/2010, pues aunque no se prevé por el Real Decreto 1955/2000, éste es anterior a la Directiva mencionada y debe efectuarse “una lectura integradora de la normativa” que permita concluir que no se vulnera la normativa básica. Además en ningún caso existe una prohibición absoluta de suspensión del suministro sino un aplazamiento en el tiempo.</w:t>
      </w:r>
    </w:p>
    <w:p w:rsidR="00163957" w:rsidRDefault="00163957" w:rsidP="00163957">
      <w:pPr>
        <w:pStyle w:val="TextoNormal"/>
      </w:pPr>
    </w:p>
    <w:p w:rsidR="00163957" w:rsidRDefault="00163957" w:rsidP="00163957">
      <w:pPr>
        <w:pStyle w:val="TextoNormal"/>
      </w:pPr>
      <w:r>
        <w:lastRenderedPageBreak/>
        <w:t>Refiere que el apartado 8 del art. 252.4 de la Ley 22/2010, por el que se habilita a las empresas suministradoras y a las Administraciones públicas para acordar mecanismos de intercambios de información y de precios sociales, no incide en el régimen económico del sistema eléctrico, pues solo prevé que las empresas suministradoras y las administraciones públicas establezcan mecanismos de información y mientras las empresas comercializadoras paguen los peajes a las distribuidoras, no debería existir inconveniente alguno para que pacten sobre los precios.</w:t>
      </w:r>
    </w:p>
    <w:p w:rsidR="00163957" w:rsidRDefault="00163957" w:rsidP="00163957">
      <w:pPr>
        <w:pStyle w:val="TextoNormal"/>
      </w:pPr>
    </w:p>
    <w:p w:rsidR="00163957" w:rsidRDefault="00163957" w:rsidP="00163957">
      <w:pPr>
        <w:pStyle w:val="TextoNormal"/>
      </w:pPr>
      <w:r>
        <w:t>Finalmente reitera los mismos argumentos en defensa de la constitucionalidad de la redacción del art. 111.1 v) de la Ley 22/2010 y los apartados 6 y 7 del art. 252.4 de la Ley 22/2010, en lo relativo a la regulación del gas por la norma impugnada. Específicamente señala que el Real Decreto 1434/2002 por el que se regulan las actividades de transporte, distribución, comercialización, suministro y procedimientos de autorización de las instalaciones de gas natural, prevé en su artículo 56 la posibilidad de que la Administración competente pueda decidir si se autoriza o no la suspensión del suministro del gas y de acuerdo con la distribución de competencias, al tratarse del ejercicio de una función ejecutiva la competencia le corresponde a la Comunidad Autónoma.</w:t>
      </w:r>
    </w:p>
    <w:p w:rsidR="00163957" w:rsidRDefault="00163957" w:rsidP="00163957">
      <w:pPr>
        <w:pStyle w:val="TextoNormal"/>
      </w:pPr>
    </w:p>
    <w:p w:rsidR="00163957" w:rsidRDefault="00163957" w:rsidP="00163957">
      <w:pPr>
        <w:pStyle w:val="TextoNormal"/>
      </w:pPr>
      <w:r w:rsidRPr="00163957">
        <w:rPr>
          <w:rStyle w:val="NumeroAFNegritaCaracter"/>
        </w:rPr>
        <w:t>6</w:t>
      </w:r>
      <w:r>
        <w:t>. La Letrado del Parlamento de Cataluña cumplimentó el trámite de alegaciones mediante escrito registrado el 13 de noviembre de 2014 en el que solicita la desestimación del recurso de inconstitucionalidad.</w:t>
      </w:r>
    </w:p>
    <w:p w:rsidR="00163957" w:rsidRDefault="00163957" w:rsidP="00163957">
      <w:pPr>
        <w:pStyle w:val="TextoNormal"/>
      </w:pPr>
    </w:p>
    <w:p w:rsidR="00163957" w:rsidRDefault="00163957" w:rsidP="00163957">
      <w:pPr>
        <w:pStyle w:val="TextoNormal"/>
      </w:pPr>
      <w:r>
        <w:t>Inicia sus alegaciones delimitando los ejes sobre los que pivota el Decreto-ley 6/2013, en sus arts. 1 y 2, deteniéndose en el examen de la finalidad perseguida a la luz del preámbulo de la norma: dar una respuesta inmediata a una situación de urgencia social derivada de la imposibilidad de muchas familias catalanas de atender el pago de suministros de luz y gas, de la que se ha hecho eco el propio Sindic de Greuges, cumpliendo, por otra parte, con el mandato de las Directivas 2009/72/CE y 2009/73/CE.</w:t>
      </w:r>
    </w:p>
    <w:p w:rsidR="00163957" w:rsidRDefault="00163957" w:rsidP="00163957">
      <w:pPr>
        <w:pStyle w:val="TextoNormal"/>
      </w:pPr>
    </w:p>
    <w:p w:rsidR="00163957" w:rsidRDefault="00163957" w:rsidP="00163957">
      <w:pPr>
        <w:pStyle w:val="TextoNormal"/>
      </w:pPr>
      <w:r>
        <w:t>Detalla el contenido de la regulación impugnada y justifica la existencia del presupuesto habilitante del Decreto-ley conforme al art. 64 EAC, advirtiendo que dicha concurrencia no ha sido cuestionada por la representación procesal del Estado, cuya impugnación excluye totalmente el título competencial en base al cual se aprobó la norma impugnada, esto es, las competencias exclusivas reconocidas en los arts. 123 y 166 EAC en materia de consumo y servicios sociales, desplazando forzadamente el contenido de la norma impugnada al ámbito material de “energía”, pese a que el elemento energético es accesorio respecto del resto de las materias competenciales concernidas, prescindiendo a su vez de las competencias compartidas, asumidas por la Generalitat en el art. 133 EAC. Entiende que la representación del Estado ha efectuado un encuadre material erróneo prescindiendo del juicio de ponderación de títulos competenciales.</w:t>
      </w:r>
    </w:p>
    <w:p w:rsidR="00163957" w:rsidRDefault="00163957" w:rsidP="00163957">
      <w:pPr>
        <w:pStyle w:val="TextoNormal"/>
      </w:pPr>
    </w:p>
    <w:p w:rsidR="00163957" w:rsidRDefault="00163957" w:rsidP="00163957">
      <w:pPr>
        <w:pStyle w:val="TextoNormal"/>
      </w:pPr>
      <w:r>
        <w:t xml:space="preserve">Afirma que la definición de “personas en situación de vulnerabilidad económica”, viene a completar la protección de los consumidores y usuarios en virtud de la competencia estatutariamente reconocida. Añade que las medidas contempladas en el art. 2 del Decreto-ley 6/2013 frente a un eventual corte de suministro en periodo invernal, así como los mecanismos de intercambio de información, no afectan a la competencia estatal en la fijación de tarifas, ni provoca desajuste económico en el sistema eléctrico, teniendo cobertura además de en los títulos competenciales exclusivos y compartidos indicados (arts. 123, 166 y 133 </w:t>
      </w:r>
      <w:r>
        <w:lastRenderedPageBreak/>
        <w:t>EAC), en la competencia para el desarrollo y aplicación del derecho de la Unión Europea en el ámbito de sus competencias (art. 189 EAC).</w:t>
      </w:r>
    </w:p>
    <w:p w:rsidR="00163957" w:rsidRDefault="00163957" w:rsidP="00163957">
      <w:pPr>
        <w:pStyle w:val="TextoNormal"/>
      </w:pPr>
    </w:p>
    <w:p w:rsidR="00163957" w:rsidRDefault="00163957" w:rsidP="00163957">
      <w:pPr>
        <w:pStyle w:val="TextoNormal"/>
      </w:pPr>
      <w:r>
        <w:t>Expone la doctrina constitucional sobre la delimitación de títulos competenciales concurrentes, la determinación del título competencial prevalente mediante el juicio de ponderación de títulos competenciales e intereses afectados, los riesgos de vaciamiento del contenido de títulos competenciales específicos en caso de concurrencia con genéricas competencias estatales o de títulos competenciales horizontales, como sucede en materia de “ordenación general de la economía”, reiterando que el encuadre material llevado a cabo por el recurrente es erróneo y prescinde del juicio de ponderación de títulos competenciales que debe llevarse a cabo, obviando las referidas competencias exclusivas y compartidas de la Generalitat.</w:t>
      </w:r>
    </w:p>
    <w:p w:rsidR="00163957" w:rsidRDefault="00163957" w:rsidP="00163957">
      <w:pPr>
        <w:pStyle w:val="TextoNormal"/>
      </w:pPr>
    </w:p>
    <w:p w:rsidR="00163957" w:rsidRDefault="00163957" w:rsidP="00163957">
      <w:pPr>
        <w:pStyle w:val="TextoNormal"/>
      </w:pPr>
      <w:r>
        <w:t>Considera que la falta de impugnación por parte del recurrente del uso del Decreto-ley, comporta su conformidad con la existencia de la conexión entre la grave situación de pobreza energética existente y la situación de urgencia apreciada, con el uso de las medidas efectivamente instrumentadas.</w:t>
      </w:r>
    </w:p>
    <w:p w:rsidR="00163957" w:rsidRDefault="00163957" w:rsidP="00163957">
      <w:pPr>
        <w:pStyle w:val="TextoNormal"/>
      </w:pPr>
    </w:p>
    <w:p w:rsidR="00163957" w:rsidRDefault="00163957" w:rsidP="00163957">
      <w:pPr>
        <w:pStyle w:val="TextoNormal"/>
      </w:pPr>
      <w:r>
        <w:t>A continuación afirma que la STC 31/2010 reconoció competencia compartida en materia de energía a la Generalitat y que la STC 18/2011 justifica la intervención del Estado en la ordenación del sector eléctrico tanto a través del título general relativo a la planificación general de la economía (art. 149.1.13 CE), como mediante el más específico relativo al sector energético (art. 149.1.25 CE), sin perjuicio de la competencia derivada del art. 149.1.22 CE delimitada en la STC 181/2013. Recuerda tanto la doctrina constitucional que delimita el contenido de la competencia sobre planificación general de la actividad económica —con cita entre otras de las SSTC 135/2012, 243/2012, 34/2013 y 124/2003—, como la doctrina constitucional sobre el concepto de bases, con carácter general —desde el prisma formal y material—, y específicamente en relación con el sector eléctrico con apoyo en las SSTC 4/2013 y 18/2011. Insiste que el carácter compartido de la competencia en materia de energía resulta del art. 133.1 EAC, que atribuye —como indica la STC 148/2011— a las Comunidades Autónomas un margen para el desarrollo por estas de actuaciones y políticas propias en materia de calidad del suministro. Señala que el exceso de la Ley del sector eléctrico en la declaración de lo básico, que eliminaba desarrollo legislativo autonómico o el ejercicio de facultades de mejora en la calidad del servicio se puso de manifiesto en el recurso de inconstitucionalidad núm. 1820-2014 interpuesto por la representación del Parlamento de Cataluña.</w:t>
      </w:r>
    </w:p>
    <w:p w:rsidR="00163957" w:rsidRDefault="00163957" w:rsidP="00163957">
      <w:pPr>
        <w:pStyle w:val="TextoNormal"/>
      </w:pPr>
    </w:p>
    <w:p w:rsidR="00163957" w:rsidRDefault="00163957" w:rsidP="00163957">
      <w:pPr>
        <w:pStyle w:val="TextoNormal"/>
      </w:pPr>
      <w:r>
        <w:t>Afirma que el contenido del Decreto-ley 6/2013 no afecta a las bases establecidas en la Ley del sector eléctrico. Por una parte, cuestiona la falta de argumentación sobre los motivos de inconstitucionalidad del apartado 8 y 9 del art. 252.4 de la Ley 22/2010, no bastando la mera invocación formal de la noma vulnerada para enervar la presunción de constitucionalidad (STC 13/2007). Al propio tiempo refiere que los apartados 6 y 7 añadidos al art. 252.4 de la Ley 22/2010 no afectan al régimen retributivo que conforma la materia relativa a las bases del sector eléctrico, pues se establece un aplazamiento en el pago de la deuda por suministro y una prohibición del corte del suministro —no una condonación de la deuda—, por lo que no supone un coste para la empresa suministradora, ni para los demás consumidores o usuarios del servicio.</w:t>
      </w:r>
    </w:p>
    <w:p w:rsidR="00163957" w:rsidRDefault="00163957" w:rsidP="00163957">
      <w:pPr>
        <w:pStyle w:val="TextoNormal"/>
      </w:pPr>
    </w:p>
    <w:p w:rsidR="00163957" w:rsidRDefault="00163957" w:rsidP="00163957">
      <w:pPr>
        <w:pStyle w:val="TextoNormal"/>
      </w:pPr>
      <w:r>
        <w:lastRenderedPageBreak/>
        <w:t>Refiere que siendo las empresas distribuidoras las que, como gestoras de la red de distribución, contratan los peajes de acceso a las redes de transporte y distribución con las comercializadoras y siendo estas últimas las que deben abonar el peaje a la distribuidora con independencia de su cobro del consumidor final —arts. 40.2 i) y j) y 46.1 d) LSE—, decae el argumento del recurrente por el que el aplazamiento en el pago repercute en los ingresos del sector eléctrico que deben ser declarados en el sistema de liquidaciones, lo único que sucederá es que la comercializadora cobrará con retraso, sin que se alteren los precios de los peajes, por lo que no es de aplicación la STC 148/2011 alegada por la representación procesal del Estado. Rechaza por tanto que exista repercusión alguna para el resto de los consumidores de energía eléctrica, como se afirma en el recurso.</w:t>
      </w:r>
    </w:p>
    <w:p w:rsidR="00163957" w:rsidRDefault="00163957" w:rsidP="00163957">
      <w:pPr>
        <w:pStyle w:val="TextoNormal"/>
      </w:pPr>
    </w:p>
    <w:p w:rsidR="00163957" w:rsidRDefault="00163957" w:rsidP="00163957">
      <w:pPr>
        <w:pStyle w:val="TextoNormal"/>
      </w:pPr>
      <w:r>
        <w:t>Finalmente, retoma las alegaciones iniciales, insistiendo en que la norma impugnada tiene cobertura además de en los títulos competenciales exclusivos y compartidos (arts. 123, 166 y 133 EAC), en la competencia para el desarrollo y aplicación del derecho de la Unión Europea en el ámbito de sus competencias (art. 189 EAC), deteniéndose en el examen del contenido de las Directivas 2009/72/CE y 2009/73/CE.</w:t>
      </w:r>
    </w:p>
    <w:p w:rsidR="00163957" w:rsidRDefault="00163957" w:rsidP="00163957">
      <w:pPr>
        <w:pStyle w:val="TextoNormal"/>
      </w:pPr>
    </w:p>
    <w:p w:rsidR="00163957" w:rsidRDefault="00163957" w:rsidP="00163957">
      <w:pPr>
        <w:pStyle w:val="TextoNormal"/>
      </w:pPr>
      <w:r w:rsidRPr="00163957">
        <w:rPr>
          <w:rStyle w:val="NumeroAFNegritaCaracter"/>
        </w:rPr>
        <w:t>7</w:t>
      </w:r>
      <w:r>
        <w:t>. El Pleno, mediante providencia de 18 de noviembre de 2014, acordó oír al Abogado del Estado para que, en el plazo de cinco días, expusiera lo que considerase conveniente acerca del levantamiento de la suspensión solicitado en los escritos de alegaciones efectuados por la Abogada de la Generalitat de Cataluña y la Letrada del Parlamento de Cataluña.</w:t>
      </w:r>
    </w:p>
    <w:p w:rsidR="00163957" w:rsidRDefault="00163957" w:rsidP="00163957">
      <w:pPr>
        <w:pStyle w:val="TextoNormal"/>
      </w:pPr>
    </w:p>
    <w:p w:rsidR="00163957" w:rsidRDefault="00163957" w:rsidP="00163957">
      <w:pPr>
        <w:pStyle w:val="TextoNormal"/>
      </w:pPr>
      <w:r w:rsidRPr="00163957">
        <w:rPr>
          <w:rStyle w:val="NumeroAFNegritaCaracter"/>
        </w:rPr>
        <w:t>8</w:t>
      </w:r>
      <w:r>
        <w:t>. Evacuado el trámite conferido, el Pleno del Tribunal dictó el ATC 23/2015, de 3 de febrero, acordando no haber lugar a pronunciarse sobre el mantenimiento o levantamiento de la suspensión del Decreto-ley 6/2013, de 23 de diciembre, al quedar derogado por la Ley del Parlamento Catalán 20/2014.</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15 de marzo de 2016, se señaló el día 17 del mismo mes y año para deliberación y votación de la presente Sentencia.</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proceso constitucional tiene por objeto el enjuiciamiento del recurso de inconstitucionalidad interpuesto por la Presidenta del Gobierno —en funciones—, contra el Decreto-ley de Cataluña 6/2013, de 23 de diciembre, por el que se modifica la Ley 22/2010, de 20 de julio, del Código de consumo de Cataluña.</w:t>
      </w:r>
    </w:p>
    <w:p w:rsidR="00163957" w:rsidRDefault="00163957" w:rsidP="00163957">
      <w:pPr>
        <w:pStyle w:val="TextoNormal"/>
      </w:pPr>
    </w:p>
    <w:p w:rsidR="00163957" w:rsidRDefault="00163957" w:rsidP="00163957">
      <w:pPr>
        <w:pStyle w:val="TextoNormal"/>
      </w:pPr>
      <w:r>
        <w:t>El recurso de inconstitucionalidad se plantea por motivos competenciales, al considerar el Abogado del Estado que los preceptos impugnados no respetan el orden constitucional de distribución de competencias, en concreto incurren en inconstitucionalidad mediata derivada de la contravención de la Ley 24/2013, de 26 de diciembre, del sector eléctrico (en adelante, LSE), de carácter básico de conformidad con su disposición final segunda y de la Ley 34/1998, de 7 de octubre, del sector de los hidrocarburos (en adelante, LSH), también de carácter básico, conforme a su disposición final primera, —y de las normas reglamentarias que las desarrollan—, dictadas al amparo de las competencias que al Estado reconocen las reglas 13 y 25 del art. 149.1 de la Constitución.</w:t>
      </w:r>
    </w:p>
    <w:p w:rsidR="00163957" w:rsidRDefault="00163957" w:rsidP="00163957">
      <w:pPr>
        <w:pStyle w:val="TextoNormal"/>
      </w:pPr>
    </w:p>
    <w:p w:rsidR="00163957" w:rsidRDefault="00163957" w:rsidP="00163957">
      <w:pPr>
        <w:pStyle w:val="TextoNormal"/>
      </w:pPr>
      <w:r w:rsidRPr="00163957">
        <w:rPr>
          <w:rStyle w:val="NumeroAFNegritaCaracter"/>
        </w:rPr>
        <w:t>2</w:t>
      </w:r>
      <w:r>
        <w:t>. Una vez expuestas sintéticamente las posiciones de las partes, conviene realizar una precisión de orden procesal, antes de proceder al examen de la cuestión de fondo.</w:t>
      </w:r>
    </w:p>
    <w:p w:rsidR="00163957" w:rsidRDefault="00163957" w:rsidP="00163957">
      <w:pPr>
        <w:pStyle w:val="TextoNormal"/>
      </w:pPr>
    </w:p>
    <w:p w:rsidR="00163957" w:rsidRDefault="00163957" w:rsidP="00163957">
      <w:pPr>
        <w:pStyle w:val="TextoNormal"/>
      </w:pPr>
      <w:r>
        <w:t>El Decreto-ley 6/2013 que fue convalidado por el Parlamento de Cataluña el 22 de enero de 2014 mediante la resolución 480/X del Parlamento de Cataluña (“DOGC” núm. 247, de 27 de enero de 2014) y que modificó la Ley 22/2010, de 20 de julio, del código de consumo de Cataluña, ha sido derogado por la Ley 20/2014, de 29 de diciembre, del código de consumo de Cataluña, para la mejora de la protección de las personas consumidoras en materia de créditos y préstamos hipotecarios, vulnerabilidad económica y relaciones de consumo [disposición derogatoria primera b)]. En el artículo 3 de la misma, se da una nueva definición de personas en situación de vulnerabilidad económica añadiendo la letra w) al art. 111.2 de la Ley 22/2010 y en su art. 17 se añaden cinco apartados, del 6 al 10, al art. 252.4 de la Ley 22/2010, en que se establecen deberes de información de las “empresas prestadoras”, así como el procedimiento aplicable en caso de impago a las personas en situación de vulnerabilidad económica en términos similares a los establecidos en la norma impugnada.</w:t>
      </w:r>
    </w:p>
    <w:p w:rsidR="00163957" w:rsidRDefault="00163957" w:rsidP="00163957">
      <w:pPr>
        <w:pStyle w:val="TextoNormal"/>
      </w:pPr>
    </w:p>
    <w:p w:rsidR="00163957" w:rsidRDefault="00163957" w:rsidP="00163957">
      <w:pPr>
        <w:pStyle w:val="TextoNormal"/>
      </w:pPr>
      <w:r>
        <w:t>De acuerdo con nuestra doctrina, la regla general es que en los procesos de inconstitucionalidad la derogación de la norma que se recurre produce la extinción del proceso (por todas, SSTC 19/2012, de 15 de febrero, FJ 2; 216/2012, de 14 de noviembre, FJ 2, 9/2013, de 28 de enero, FJ 2, y 108/2015, de 28 de mayo, FJ 2), ya que la finalidad de este proceso abstracto no es otro que la depuración del ordenamiento jurídico, algo innecesario cuando, como aquí sucede, el propio legislador ha expulsado la norma de dicho ordenamiento.</w:t>
      </w:r>
    </w:p>
    <w:p w:rsidR="00163957" w:rsidRDefault="00163957" w:rsidP="00163957">
      <w:pPr>
        <w:pStyle w:val="TextoNormal"/>
      </w:pPr>
    </w:p>
    <w:p w:rsidR="00163957" w:rsidRDefault="00163957" w:rsidP="00163957">
      <w:pPr>
        <w:pStyle w:val="TextoNormal"/>
      </w:pPr>
      <w:r>
        <w:t>Dicha regla tiene como excepciones, entre otras, como en el caso que nos ocupa, que el pleito tenga carácter competencial y que tal controversia no pueda entenderse resuelta con la derogación de la norma [por todas, SSTC 134/2011, de 20 de julio, FJ 2 b); 161/2012, de 20 de septiembre, FJ 2 b); 133/2012, de 19 de junio, FJ 2; 26/2015, de 19 de febrero, FJ 3, y 108/2015, de 28 de mayo, FJ 2]. Así sucede en este caso, ya que además, los preceptos derogados han sido sustituidos por otra norma que plantearía, en su caso, similares problemas de constitucionalidad. En consecuencia, el presente proceso no ha perdido objeto, subsistiendo ambos motivos impugnatorios.</w:t>
      </w:r>
    </w:p>
    <w:p w:rsidR="00163957" w:rsidRDefault="00163957" w:rsidP="00163957">
      <w:pPr>
        <w:pStyle w:val="TextoNormal"/>
      </w:pPr>
    </w:p>
    <w:p w:rsidR="00163957" w:rsidRDefault="00163957" w:rsidP="00163957">
      <w:pPr>
        <w:pStyle w:val="TextoNormal"/>
      </w:pPr>
      <w:r w:rsidRPr="00163957">
        <w:rPr>
          <w:rStyle w:val="NumeroAFNegritaCaracter"/>
        </w:rPr>
        <w:t>3</w:t>
      </w:r>
      <w:r>
        <w:t>. Al abordar las cuestiones de fondo resulta imprescindible, en primer término, delimitar el objeto de este proceso constitucional. En tal sentido, el Decreto-ley, impugnado en su totalidad por el Abogado del Estado, en su art. 1, modifica el art. 111.2 del referido Código de consumo, añadiendo la letra v) que define a las “personas en situación de vulnerabilidad económica” como aquellas que carecen de recursos económicos, de acuerdo a los siguientes criterios: i) que el total de ingresos de los miembros de la unidad familiar no alcance determinada cantidad fijada con referencia al indicador de renta de suficiencia; ii) no tengan posibilidad de reducir el gasto relativo al consumo de bienes o servicios; iii) y acrediten que las tarifas contratadas por suministros lo son en la modalidad de tarifa social.</w:t>
      </w:r>
    </w:p>
    <w:p w:rsidR="00163957" w:rsidRDefault="00163957" w:rsidP="00163957">
      <w:pPr>
        <w:pStyle w:val="TextoNormal"/>
      </w:pPr>
    </w:p>
    <w:p w:rsidR="00163957" w:rsidRDefault="00163957" w:rsidP="00163957">
      <w:pPr>
        <w:pStyle w:val="TextoNormal"/>
      </w:pPr>
      <w:r>
        <w:t xml:space="preserve">A su vez, el art. 2 añade al art. 252.4 del Código de consumo cuatro nuevos apartados: el 6, 7, 8 y 9. El apartado 6 establece, el procedimiento para evitar el corte del suministro, que deberá seguir el consumidor considerado “persona en situación de vulnerabilidad económica”, en caso de impago del mismo, cuando reciba un aviso de interrupción del suministro </w:t>
      </w:r>
      <w:r>
        <w:lastRenderedPageBreak/>
        <w:t>eléctrico o de gas evitando, de este modo, que “la empresa suministradora” corte dicho suministro a consecuencia del impago. En el apartado 7 se refiere a las unidades familiares que no alcancen los ingresos a los que alude la letra v) del art. 111.2, señalando que no se les podrá cortar el suministro entre los meses de noviembre y marzo, ambos incluidos, indicando que la deuda que se pueda acumular con “las empresas suministradoras” quedará aplazada conforme a lo que pacten las “empresas suministradoras” con el consumidor, o determine el arbitraje o mediación, estableciendo en todo caso el derecho del consumidor a satisfacer la deuda de manera íntegra o fraccionada entre los meses de abril a octubre siguientes. En el apartado 8, nuevamente en relación con las “empresas suministradoras” de los servicios básicos de electricidad y gas, se establece la posibilidad de acordar con las Administraciones públicas mecanismos de intercambio de información y de precios sociales con el fin de “mejorar la prevención y la planificación de las actuaciones públicas”. Y, por último, en el apartado 9 impone a las “empresas suministradoras” que habiliten los mecanismos de información necesarios para poner en conocimiento de los servicios sociales básicos y los usuarios, la información existente y actualizada sobre las tarifas sociales y/o las demás ayudas y medidas previstas para hacer frente a la pobreza energética.</w:t>
      </w:r>
    </w:p>
    <w:p w:rsidR="00163957" w:rsidRDefault="00163957" w:rsidP="00163957">
      <w:pPr>
        <w:pStyle w:val="TextoNormal"/>
      </w:pPr>
    </w:p>
    <w:p w:rsidR="00163957" w:rsidRDefault="00163957" w:rsidP="00163957">
      <w:pPr>
        <w:pStyle w:val="TextoNormal"/>
      </w:pPr>
      <w:r>
        <w:t xml:space="preserve">Ahora bien, pese a que se impugna formalmente la totalidad del Decreto-ley, de la argumentación del recurso resulta que no se atribuye vicio alguno de inconstitucionalidad respecto a la definición de persona en situación de vulnerabilidad económica (art. 1 del Decreto-ley 6/2013), es más, se afirma expresamente que “nada cabe oponer a la definición por parte de la Generalitat de Cataluña de las personas que puedan considerarse en la mencionada situación”, pues lo que se cuestiona no es que el precepto establezca los requisitos para definir a las personas en situación de vulnerabilidad económica, sino que se les aplique un régimen económico diferente del previsto con carácter estatal, incidiendo de este modo en la regulación del sector de la energía eléctrica y del gas. Consecuente con dicha manifestación no se aportan argumentos por el Abogado del Estado que justifiquen que el referido art. 1 del Decreto-ley, en sí mismo considerado, resulte contrario al orden constitucional de distribución de competencias en materia energética entre el Estado y la Comunidad Autónoma de Cataluña. Dicho defecto argumental, también se aprecia en relación con la eventual inconstitucionalidad de los párrafos primero y tercero del apartado sexto del art. 252.4 de la Ley 22/2010 —introducidos por el art. 2 del Decreto-ley 6/2013—, relativos al deber que tienen las personas en situación de vulnerabilidad de presentar un informe de los servicios sociales o una copia de su solicitud, o al establecimiento para las Administraciones públicas de la obligación de emitir ese informe en cierto plazo, y con determinado contenido y vigencia. Tampoco contiene la demanda argumentos que cuestionen la posibilidad de acordar mecanismos de intercambio de información entre las empresas suministradoras y las Administraciones públicas, con el objetivo de mejorar la prevención y la planificación de las actuaciones públicas o el deber de las empresas suministradoras de habilitar los mecanismos de información necesarios para poner en conocimiento de los servicios sociales básicos y los usuarios, la información existente y actualizada sobre las tarifas sociales y/o las demás ayudas y medidas para hacer frente a la pobreza energética (apartados 8 y 9, del art. 252.4 de la Ley 22/2010, introducidos por el art. 2 del Decreto-ley 6/2013), como tampoco se contempla argumentación que sustente la impugnación de la disposición transitoria del Decreto-ley impugnado por la que se precisa cuándo es exigible el requisito de ser beneficiario del bono social para ser considerado persona en situación de vulnerabilidad económica. Este incumplimiento, de la carga de argumentar —puesto por otra parte de manifiesto por la </w:t>
      </w:r>
      <w:r>
        <w:lastRenderedPageBreak/>
        <w:t>Letrado del Parlamento de Cataluña en sus alegaciones—, es motivo suficiente para desestimar esta parte del recurso de inconstitucionalidad (por todas, SSTC 43/1996, de 14 de marzo, FJ 5; 8/2012, 18 de enero, FJ 7, y 104/2015, de 28 de mayo, FJ 11).</w:t>
      </w:r>
    </w:p>
    <w:p w:rsidR="00163957" w:rsidRDefault="00163957" w:rsidP="00163957">
      <w:pPr>
        <w:pStyle w:val="TextoNormal"/>
      </w:pPr>
    </w:p>
    <w:p w:rsidR="00163957" w:rsidRDefault="00163957" w:rsidP="00163957">
      <w:pPr>
        <w:pStyle w:val="TextoNormal"/>
      </w:pPr>
      <w:r w:rsidRPr="00163957">
        <w:rPr>
          <w:rStyle w:val="NumeroAFNegritaCaracter"/>
        </w:rPr>
        <w:t>4</w:t>
      </w:r>
      <w:r>
        <w:t>. Como ha quedado expuesto en los antecedentes nos encontramos ante un recurso de inconstitucionalidad de carácter exclusivamente competencial, por lo que debemos comenzar por efectuar el encuadramiento de los preceptos impugnados —cuyo conflicto constitucional subsiste tras lo expuesto en el fundamento segundo de esta Sentencia—, esto es el párrafo segundo del apartado 6 y el apartado 7 del art. 252.4 de la Ley 22/2010, introducidos por el art. 2 del Decreto-ley 6/2013, respecto de los que, conforme a lo expuesto anteriormente, subsiste la controversia competencial, en el orden constitucional.</w:t>
      </w:r>
    </w:p>
    <w:p w:rsidR="00163957" w:rsidRDefault="00163957" w:rsidP="00163957">
      <w:pPr>
        <w:pStyle w:val="TextoNormal"/>
      </w:pPr>
    </w:p>
    <w:p w:rsidR="00163957" w:rsidRDefault="00163957" w:rsidP="00163957">
      <w:pPr>
        <w:pStyle w:val="TextoNormal"/>
      </w:pPr>
      <w:r>
        <w:t>Para el Abogado del Estado, como ya hemos referido en los antecedentes, la norma impugnada infringe las competencias del Estado previstas en los arts. 149.1.13 y 25 CE: “bases y coordinación de la planificación general de la actividad económica” y “bases del régimen minero y energético”, respectivamente, al contravenir la Ley del sector eléctrico y la Ley del sector de hidrocarburos —cuyo carácter básico viene establecido por las disposiciones finales segunda y primera respectivamente—, así como por los arts. 85 del Real Decreto 1955/2000, de 1 de diciembre y 57 del Real Decreto 1434/2002, de 27 de septiembre, que prevén, en idénticos términos, la facultad de la empresa distribuidora de suspender el suministro eléctrico a los consumidores cuando hayan transcurrido al menos dos meses desde que les hubiera sido requerido fehacientemente el pago, sin que el mismo se hubiera hecho efectivo. Considera el Abogado del Estado que el carácter básico de tales previsiones es claro, en la medida que establecen el régimen jurídico común de acceso al suministro eléctrico en España.</w:t>
      </w:r>
    </w:p>
    <w:p w:rsidR="00163957" w:rsidRDefault="00163957" w:rsidP="00163957">
      <w:pPr>
        <w:pStyle w:val="TextoNormal"/>
      </w:pPr>
    </w:p>
    <w:p w:rsidR="00163957" w:rsidRDefault="00163957" w:rsidP="00163957">
      <w:pPr>
        <w:pStyle w:val="TextoNormal"/>
      </w:pPr>
      <w:r>
        <w:t>Para los Letrados de la Generalitat y del Parlamento de Cataluña, la regulación del Decreto-ley impugnado, que se dicta en atención al mandato a los estados miembros de la Unión de adoptar las medidas adecuadas para garantizar el suministro eléctrico a los consumidores vulnerables contenido en la Directiva 2009/72/CE, de 13 de julio, se encuadra en las competencias exclusivas y compartida asumidas en los arts. 123, 133 y 166 del Estatuto de Autonomía de Cataluña (EAC), respectivamente: “en materia de consumo”, “en materia de energía” y “en materia de servicios sociales", y que, en todo caso, esta última incluye en su número 1 a) “la regulación y la ordenación de la actividad de servicios sociales, las prestaciones técnicas y las prestaciones económicas con finalidad asistencial o complementarias de otros sistemas de previsión pública”.</w:t>
      </w:r>
    </w:p>
    <w:p w:rsidR="00163957" w:rsidRDefault="00163957" w:rsidP="00163957">
      <w:pPr>
        <w:pStyle w:val="TextoNormal"/>
      </w:pPr>
    </w:p>
    <w:p w:rsidR="00163957" w:rsidRDefault="00163957" w:rsidP="00163957">
      <w:pPr>
        <w:pStyle w:val="TextoNormal"/>
      </w:pPr>
      <w:r w:rsidRPr="00163957">
        <w:rPr>
          <w:rStyle w:val="NumeroAFNegritaCaracter"/>
        </w:rPr>
        <w:t>5</w:t>
      </w:r>
      <w:r>
        <w:t>. Nuestra labor de encuadre competencial de la materia ha de comenzar por el examen del objeto de la regulación legal y su incardinación material, no sin antes recordar que las normas de Derecho europeo —citadas en defensa de los preceptos impugnados—, ni son canon de constitucionalidad de las leyes, estatales o autonómicas, ni predeterminan, tampoco, el reparto interno de competencias en orden al desarrollo o ejecución de la normativa de la Unión (STC 103/2015, de 28 de mayo, FJ 3).</w:t>
      </w:r>
    </w:p>
    <w:p w:rsidR="00163957" w:rsidRDefault="00163957" w:rsidP="00163957">
      <w:pPr>
        <w:pStyle w:val="TextoNormal"/>
      </w:pPr>
    </w:p>
    <w:p w:rsidR="00163957" w:rsidRDefault="00163957" w:rsidP="00163957">
      <w:pPr>
        <w:pStyle w:val="TextoNormal"/>
      </w:pPr>
      <w:r>
        <w:t>Ello obliga a atender “al contenido de los preceptos controvertidos”, así como “al carácter, sentido y finalidad de las disposiciones traídas en conflicto” (STC 45/2015, de 5 de marzo, FJ 3) y a la primacía de los títulos competenciales específicos, de preferente aplicación, frente a los generales.</w:t>
      </w:r>
    </w:p>
    <w:p w:rsidR="00163957" w:rsidRDefault="00163957" w:rsidP="00163957">
      <w:pPr>
        <w:pStyle w:val="TextoNormal"/>
      </w:pPr>
    </w:p>
    <w:p w:rsidR="00163957" w:rsidRDefault="00163957" w:rsidP="00163957">
      <w:pPr>
        <w:pStyle w:val="TextoNormal"/>
      </w:pPr>
      <w:r>
        <w:t>Adentrándonos en dicha labor, debemos recordar que el art. 2 establece, mediante el añadido de los apartados 6 y 7 al art. 252.4 de la Ley 22/2010:</w:t>
      </w:r>
    </w:p>
    <w:p w:rsidR="00163957" w:rsidRDefault="00163957" w:rsidP="00163957">
      <w:pPr>
        <w:pStyle w:val="TextoNormal"/>
      </w:pPr>
    </w:p>
    <w:p w:rsidR="00163957" w:rsidRDefault="00163957" w:rsidP="00163957">
      <w:pPr>
        <w:pStyle w:val="TextoNormal"/>
      </w:pPr>
      <w:r>
        <w:t>“6. Al recibir un aviso de interrupción del suministro de electricidad o gas las personas en situación de vulnerabilidad económica, que cumplen los requisitos establecidos en la letra v) del art. 111.2, deben presentar en el plazo máximo de diez días desde su recepción un informe de los servicios sociales básicos sobre su situación personal o, en su caso, copia de la solicitud registrada de haber solicitado su emisión.</w:t>
      </w:r>
    </w:p>
    <w:p w:rsidR="00163957" w:rsidRDefault="00163957" w:rsidP="00163957">
      <w:pPr>
        <w:pStyle w:val="TextoNormal"/>
      </w:pPr>
    </w:p>
    <w:p w:rsidR="00163957" w:rsidRDefault="00163957" w:rsidP="00163957">
      <w:pPr>
        <w:pStyle w:val="TextoNormal"/>
      </w:pPr>
      <w:r>
        <w:t>En el caso de que no se haya presentado el informe de los servicios sociales básicos, sino únicamente su solicitud, la empresa suministradora suspenderá la interrupción del suministro hasta que éste se aporte, o transcurran dos meses desde que se le comunicó que se había solicitado.</w:t>
      </w:r>
    </w:p>
    <w:p w:rsidR="00163957" w:rsidRDefault="00163957" w:rsidP="00163957">
      <w:pPr>
        <w:pStyle w:val="TextoNormal"/>
      </w:pPr>
    </w:p>
    <w:p w:rsidR="00163957" w:rsidRDefault="00163957" w:rsidP="00163957">
      <w:pPr>
        <w:pStyle w:val="TextoNormal"/>
      </w:pPr>
      <w:r>
        <w:t>Las Administraciones públicas responsables deben emitir este informe en el plazo máximo de quince días, desde la fecha de su solicitud. Este informe, que acreditará el cumplimiento de los requisitos previstos en la letra v) del art. 111.2, puede ser también emitido de oficio por los servicios sociales básicos, y tiene una vigencia de seis meses a partir de su emisión, sin perjuicio de su renovación.</w:t>
      </w:r>
    </w:p>
    <w:p w:rsidR="00163957" w:rsidRDefault="00163957" w:rsidP="00163957">
      <w:pPr>
        <w:pStyle w:val="TextoNormal"/>
      </w:pPr>
    </w:p>
    <w:p w:rsidR="00163957" w:rsidRDefault="00163957" w:rsidP="00163957">
      <w:pPr>
        <w:pStyle w:val="TextoNormal"/>
      </w:pPr>
      <w:r>
        <w:t>7. Respecto a las unidades familiares a las que se refiere la letra v) del art. 111.2 quedarán protegidas de corte de suministro entre los meses de noviembre y marzo, ambos incluidos. La deuda que se pueda acumular con las empresas suministradoras se aplazará con las condiciones que ambas partes acuerden o bien mediante los mecanismos de mediación y arbitraje que las partes acepten. Sin perjuicio de los acuerdos o del resultado de la mediación o arbitraje, el consumidor tiene, en cualquier caso, el derecho a satisfacer la deuda pendiente de manera íntegra o fraccionada entre los meses de abril a octubre siguientes.”</w:t>
      </w:r>
    </w:p>
    <w:p w:rsidR="00163957" w:rsidRDefault="00163957" w:rsidP="00163957">
      <w:pPr>
        <w:pStyle w:val="TextoNormal"/>
      </w:pPr>
    </w:p>
    <w:p w:rsidR="00163957" w:rsidRDefault="00163957" w:rsidP="00163957">
      <w:pPr>
        <w:pStyle w:val="TextoNormal"/>
      </w:pPr>
      <w:r>
        <w:t>Tal y como hemos adelantado el conflicto constitucional se circunscribe al párrafo segundo del apartado sexto y al apartado séptimo del art. 252.4 de la Ley 22/2010, en la redacción dada a los mismos por el Decreto-ley 6/2013, de 23 de diciembre, de la Generalitat de Cataluña. Dichos preceptos, configuran obligaciones y derechos de las empresas comercializadoras de electricidad y gas en relación con el deber de suministro y el derecho a reclamar el pago de las facturas, y lo hacen mediante la introducción de una causa de suspensión de la interrupción del suministro eléctrico o de gas, aplicable a las personas en situación de vulnerabilidad económica y a determinadas unidades familiares, así como la imposición de un deber de aplazamiento y/o fraccionamiento de la deuda pendiente con la “empresa suministradora”. Es claro que la norma está vinculada con el ámbito material de la energía, en particular, en los subsectores eléctrico y de gas, sin que ello suponga desconocer que las medidas pretenden la protección de situaciones de vulnerabilidad económica, en el marco de la asistencia social y la protección del consumidor.</w:t>
      </w:r>
    </w:p>
    <w:p w:rsidR="00163957" w:rsidRDefault="00163957" w:rsidP="00163957">
      <w:pPr>
        <w:pStyle w:val="TextoNormal"/>
      </w:pPr>
    </w:p>
    <w:p w:rsidR="00163957" w:rsidRDefault="00163957" w:rsidP="00163957">
      <w:pPr>
        <w:pStyle w:val="TextoNormal"/>
      </w:pPr>
      <w:r>
        <w:t xml:space="preserve">Ahora bien el carácter interdisciplinario o pluridisciplinario del conjunto normativo que, sin contornos precisos, tiene por objeto la protección del consumidor, o la asistencia social (STC 71/1982, de 30 de noviembre, FJ 2), así como también la posible inclusión de normas que aún con la finalidad de proteger al consumidor afectan a sectores distintos, tendrá que </w:t>
      </w:r>
      <w:r>
        <w:lastRenderedPageBreak/>
        <w:t>llevarnos a utilizar, como hemos adelantado, técnicas para indagar cuál es el título competencial que debe prevalecer. Dichos métodos de encuadre competencial, como hemos señalado, deberán tener muy presente, el contenido, sentido y finalidad de los preceptos controvertidos, así como la preferencia de los títulos competenciales específicos sobre los generales (STC 45/2015, FJ 3).</w:t>
      </w:r>
    </w:p>
    <w:p w:rsidR="00163957" w:rsidRDefault="00163957" w:rsidP="00163957">
      <w:pPr>
        <w:pStyle w:val="TextoNormal"/>
      </w:pPr>
    </w:p>
    <w:p w:rsidR="00163957" w:rsidRDefault="00163957" w:rsidP="00163957">
      <w:pPr>
        <w:pStyle w:val="TextoNormal"/>
      </w:pPr>
      <w:r>
        <w:t>En tal sentido, el contenido del precepto entronca directamente con la ordenación del suministro de electricidad y de gas, los derechos y obligaciones de los sujetos intervinientes, entre los que se encuentran la obligación de las empresas comercializadoras de suministrar la electricidad y el gas, el derecho a exigir el pago del suministro y a adoptar medidas respecto a los consumidores que estén en situación de impago. En efecto, tales preceptos inciden directamente en la configuración del contenido del régimen jurídico de uno de los sujetos que intervienen en el sector eléctrico y de gas, al afectar directamente a sus obligaciones y derechos, y también conciernen a la garantía del suministro al tener como finalidad introducir una causa de suspensión de la interrupción del mismo en caso de impago. Tales circunstancias, nos permiten considerar que por su contenido y finalidad, los preceptos impugnados presentan una conexión más estrecha con el ámbito del sector energético, de preferente aplicación, dado el carácter específico del mismo, lo que determina el desplazamiento de los títulos competenciales “consumo” y “servicios sociales” (arts. 123 y 166 EAC), de carácter más amplios, que ni tan siquiera se citan en el Decreto-ley 6/2013 como sustento de los preceptos cuestionados, sino que únicamente aparecen mencionados en las alegaciones de la Generalitat y del Parlamento de Cataluña.</w:t>
      </w:r>
    </w:p>
    <w:p w:rsidR="00163957" w:rsidRDefault="00163957" w:rsidP="00163957">
      <w:pPr>
        <w:pStyle w:val="TextoNormal"/>
      </w:pPr>
    </w:p>
    <w:p w:rsidR="00163957" w:rsidRDefault="00163957" w:rsidP="00163957">
      <w:pPr>
        <w:pStyle w:val="TextoNormal"/>
      </w:pPr>
      <w:r w:rsidRPr="00163957">
        <w:rPr>
          <w:rStyle w:val="NumeroAFNegritaCaracter"/>
        </w:rPr>
        <w:t>6</w:t>
      </w:r>
      <w:r>
        <w:t>. Delimitado de esta forma el ámbito material de nuestro enjuiciamiento los títulos competenciales que debemos tomar en consideración son, en el caso del Estado, las “bases y coordinación de la planificación general de la actividad económica” del art. 149.1.13 CE, así como las “bases del régimen … energético” del art. 149.1.25 CE. En relación con tales títulos competenciales, este Tribunal ya ha tenido oportunidad de pronunciarse sobre su alcance en la STC 18/2011, de 3 de marzo, FJ 6 (recordando la doctrina expuesta en las SSTC 197/1996, de 28 de noviembre, y 223/2000, de 21 de septiembre), indicando:</w:t>
      </w:r>
    </w:p>
    <w:p w:rsidR="00163957" w:rsidRDefault="00163957" w:rsidP="00163957">
      <w:pPr>
        <w:pStyle w:val="TextoNormal"/>
      </w:pPr>
    </w:p>
    <w:p w:rsidR="00163957" w:rsidRDefault="00163957" w:rsidP="00163957">
      <w:pPr>
        <w:pStyle w:val="TextoNormal"/>
      </w:pPr>
      <w:r>
        <w:t>“a) Aunque es cierto que este Tribunal ha fijado como criterio general que en los supuestos de concurrencia de títulos competenciales debe prevalecer la regla competencial específica sobre la más genérica, hemos precisado también que este criterio no puede tener un carácter absoluto. Partiendo de estas apreciaciones, hemos advertido que ‘no podría afirmarse con carácter general, y menos aún absoluto, que en un sector tan importante para el desarrollo de la actividad económica en general como el del petróleo —de ahí sin duda la concurrencia de una pluralidad de títulos competenciales—, las competencias específicas, por ejemplo, en materia energética, hayan de prevalecer necesariamente y en todo caso sobre las relativas a la planificación económica; y mucho menos que las primeras hayan de desplazar totalmente a las segundas. Las competencias de ordenación o dirección general de la economía —entre las que han de encuadrarse las relativas a planificación, de un lado, y, de otro, las de ordenación de concretos sectores económicos, entre los que se cuenta el energético y, dentro de éste, el subsector del petróleo— han de ejercerse conjunta y armónicamente, cada cual dentro de su respectivo ámbito material de actuación, que será preciso delimitar en cada caso.’ [STC 197/1996, FJ 4 A)].</w:t>
      </w:r>
    </w:p>
    <w:p w:rsidR="00163957" w:rsidRDefault="00163957" w:rsidP="00163957">
      <w:pPr>
        <w:pStyle w:val="TextoNormal"/>
      </w:pPr>
    </w:p>
    <w:p w:rsidR="00163957" w:rsidRDefault="00163957" w:rsidP="00163957">
      <w:pPr>
        <w:pStyle w:val="TextoNormal"/>
      </w:pPr>
      <w:r>
        <w:lastRenderedPageBreak/>
        <w:t>b) Hemos precisado, en este sentido, que ‘dentro de la competencia de dirección de la actividad económica general tienen cobertura ‘las normas estatales que fijan las líneas directrices y los criterios globales de ordenación de sectores económicos concretos, así como las previsiones de acciones o medidas singulares que sean necesarias para alcanzar los fines propuestos dentro de la ordenación de cada sector’ (STC 95/1986, FJ 4 y, en los mismos términos, STC 188/1989, FJ 4, con cita de las SSTC 152/1988 y 75/1989). Doctrina aplicable con mayor razón a supuestos en los que existen, como en el presente, reservas competenciales expresas en favor del Estado tanto respecto de la actividad económica general (art. 149.1.13 CE) como del específico sector energético (art. 149.1.25 CE). Por lo que no es preciso efectuar esfuerzo interpretativo alguno para afirmar, respecto al presente supuesto, que de esa competencia estatal de dirección general de la economía a la que este Tribunal se ha referido forman parte, en cuanto la misma pueda recaer sobre el sector petrolero, no sólo las genéricas competencias relativas a las bases y coordinación de la planificación general de la actividad económica, sino también las más específicas de ordenación del sector energético, referentes a las bases del régimen del mismo.’ [STC 197/1996, FJ 4 A)].</w:t>
      </w:r>
    </w:p>
    <w:p w:rsidR="00163957" w:rsidRDefault="00163957" w:rsidP="00163957">
      <w:pPr>
        <w:pStyle w:val="TextoNormal"/>
      </w:pPr>
    </w:p>
    <w:p w:rsidR="00163957" w:rsidRDefault="00163957" w:rsidP="00163957">
      <w:pPr>
        <w:pStyle w:val="TextoNormal"/>
      </w:pPr>
      <w:r>
        <w:t xml:space="preserve">c) En todo caso debe tenerse presente que no son ‘equivalentes o intercambiables el título genérico relativo a planificación económica y el específico referente a la ordenación de un sector aun en el supuesto en que ambos pertenezcan a un mismo titular’, puesto que las facultades de actuación conferidas al Estado por el título competencial genérico y el específico no tienen por qué coincidir. ‘Cuando se trata de reconocer o negar carácter básico a un concreto precepto legal, será preciso determinar en cada caso si éste opera realmente, por ejemplo, en el ámbito de la planificación económica, o bien, también por ejemplo, en el del régimen energético. Sin olvidar, finalmente, que la competencia estatal en cuanto a planificación económica </w:t>
      </w:r>
      <w:r w:rsidRPr="00163957">
        <w:rPr>
          <w:i/>
        </w:rPr>
        <w:t>ex</w:t>
      </w:r>
      <w:r>
        <w:t xml:space="preserve"> art. 149.1.13 CE -y en ello difiere de la relativa a régimen energético </w:t>
      </w:r>
      <w:r w:rsidRPr="00163957">
        <w:rPr>
          <w:i/>
        </w:rPr>
        <w:t>ex</w:t>
      </w:r>
      <w:r>
        <w:t xml:space="preserve"> art. 149.1.25 CE- no se agota en las bases, sino que comprende además la ‘coordinación’ en tal materia. Esto es, le corresponde una facultad que presupone lógicamente la existencia de competencias autonómicas, aun de mera ejecución, que deben ser respetadas, y con la que se persigue, en esencia, la integración de las diversas partes del sistema en el conjunto del mismo mediante la adopción por el Estado de medios y sistemas de relación, bien tras la correspondiente intervención económica bien incluso con carácter preventivo, para asegurar la información recíproca, la homogeneidad técnica en ciertos aspectos y la acción conjunta de las autoridades estatales y autonómicas en el ejercicio de sus respectivas competencias.’ [STC 197/1996, FJ 4 B)].</w:t>
      </w:r>
    </w:p>
    <w:p w:rsidR="00163957" w:rsidRDefault="00163957" w:rsidP="00163957">
      <w:pPr>
        <w:pStyle w:val="TextoNormal"/>
      </w:pPr>
    </w:p>
    <w:p w:rsidR="00163957" w:rsidRDefault="00163957" w:rsidP="00163957">
      <w:pPr>
        <w:pStyle w:val="TextoNormal"/>
      </w:pPr>
      <w:r>
        <w:t xml:space="preserve">Las consideraciones relativas al sector petrolero, al que se refirió la STC 197/1996, de 28 de noviembre, son perfectamente trasladables al sector eléctrico, el cual no sólo constituye un sector estratégico para el funcionamiento de cualquier sociedad moderna, representando por sí mismo una parte muy importante dentro del conjunto de la economía nacional, sino que es clave como factor de producción esencial para la práctica totalidad de los restantes sectores económicos, condicionando de manera determinante en muchos casos su competitividad. Y todo ello sin olvidar que es hoy en día indispensable para la vida cotidiana de los ciudadanos. Estas circunstancias justifican que el Estado pueda intervenir en la ordenación del sector eléctrico tanto a través del título general relativo a la planificación general de la economía (art. 149.1.13 CE) como mediante el más específico relativo al sector energético (art. 149.1.25 CE), debiendo determinarse en cada caso a la hora de enjuiciar los preceptos cuestionados en este proceso constitucional qué título competencial ampara, en </w:t>
      </w:r>
      <w:r>
        <w:lastRenderedPageBreak/>
        <w:t>su caso, la actividad normativa del Estado, pues uno y otro título competencial no confieren al Estado las mismas potestades de actuación”.</w:t>
      </w:r>
    </w:p>
    <w:p w:rsidR="00163957" w:rsidRDefault="00163957" w:rsidP="00163957">
      <w:pPr>
        <w:pStyle w:val="TextoNormal"/>
      </w:pPr>
    </w:p>
    <w:p w:rsidR="00163957" w:rsidRDefault="00163957" w:rsidP="00163957">
      <w:pPr>
        <w:pStyle w:val="TextoNormal"/>
      </w:pPr>
      <w:r>
        <w:t>Dichos títulos deben ser puestos en relación con el art. 133.1 EAC —al que tampoco se refiere el Decreto-ley 6/2013 impugnado—, que atribuye a la Generalitat la competencia compartida en materia de energía incluyendo los aspectos siguientes: “ a) La regulación de las actividades de producción, almacenaje y transporte de energía, el otorgamiento de las autorizaciones de las instalaciones que transcurran íntegramente por el territorio de Cataluña y el ejercicio de las actividades de inspección y control de todas las instalaciones existentes en Cataluña; b) La regulación de la actividad de distribución de energía que se lleve a cabo en Cataluña, el otorgamiento de las autorizaciones de las instalaciones correspondientes y el ejercicio de las actividades de inspección y control de todas las instalaciones existentes en Cataluña; c) El desarrollo de las normas complementarias de calidad de los servicios de suministro de energía; d) El fomento y la gestión de las energías renovables y de la eficiencia energética”.</w:t>
      </w:r>
    </w:p>
    <w:p w:rsidR="00163957" w:rsidRDefault="00163957" w:rsidP="00163957">
      <w:pPr>
        <w:pStyle w:val="TextoNormal"/>
      </w:pPr>
    </w:p>
    <w:p w:rsidR="00163957" w:rsidRDefault="00163957" w:rsidP="00163957">
      <w:pPr>
        <w:pStyle w:val="TextoNormal"/>
      </w:pPr>
      <w:r w:rsidRPr="00163957">
        <w:rPr>
          <w:rStyle w:val="NumeroAFNegritaCaracter"/>
        </w:rPr>
        <w:t>7</w:t>
      </w:r>
      <w:r>
        <w:t>. Conviene ahora remitirnos a nuestra doctrina acerca de los requisitos de carácter formal y material que han de cumplir las bases estatales, a los que hemos aludido entre otras en la STC 4/2013, de 17 de enero, FJ 5, al afirmar que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w:t>
      </w:r>
    </w:p>
    <w:p w:rsidR="00163957" w:rsidRDefault="00163957" w:rsidP="00163957">
      <w:pPr>
        <w:pStyle w:val="TextoNormal"/>
      </w:pPr>
    </w:p>
    <w:p w:rsidR="00163957" w:rsidRDefault="00163957" w:rsidP="00163957">
      <w:pPr>
        <w:pStyle w:val="TextoNormal"/>
      </w:pPr>
      <w:r>
        <w:t>Por lo que hace a la perspectiva formal, en el ámbito de la energía eléctrica, la doctrina constitucional entiende que el concepto de bases comprende las normas básicas con rango legal sobre la ordenación del sector eléctrico, y también, de manera excepcional y de acuerdo con la doctrina constitucional sobre el concepto material de bases, normas de carácter reglamentario y actos de naturaleza ejecutiva, especialmente, pero no sólo, con respecto al régimen económico del sector (STC 18/2011, FJ 8). En el caso de la ordenación del sector eléctrico la intervención de la norma reglamentaria, amparada tanto en el título general relativo a la planificación de la economía (art. 149.1.13 CE) como en el más específico relativo al sector energético (art. 149.1.25 CE), se justifica por la importancia del sector eléctrico para el conjunto de la economía nacional y por su carácter esencial para la totalidad de los sectores económicos y para la vida cotidiana (STC 148/2011, de 28 de septiembre, FJ 6), así como en los casos en los que la propia norma legal lo reclama para completar la regulación de la disciplina básica por ella definida y conseguir la exigible calidad y seguridad en el suministro y también por su carácter marcadamente técnico, justificativo de su tratamiento por normas reglamentarias (STC 4/2013, FJ 5).</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Sentados los anteriores criterios, la cuestión que se plantea es si el art. 2 del Decreto-ley 6/2013, que añade el párrafo segundo del apartado 6 y el apartado 7 del art. 252.4 de la Ley 22/2010 por los que se establece una causa de suspensión de la interrupción del suministro eléctrico o de gas, así como la imposición de un deber de aplazamiento y/o fraccionamiento de la deuda pendiente con la “empresa suministradora” —entiéndase comercializadora—, en los términos trascritos en el fundamento jurídico cinco, es compatible con la </w:t>
      </w:r>
      <w:r>
        <w:lastRenderedPageBreak/>
        <w:t>regulación básica estatal relativa a la suspensión del suministro prevista en las leyes del sector eléctrico y de hidrocarburos.</w:t>
      </w:r>
    </w:p>
    <w:p w:rsidR="00163957" w:rsidRDefault="00163957" w:rsidP="00163957">
      <w:pPr>
        <w:pStyle w:val="TextoNormal"/>
      </w:pPr>
    </w:p>
    <w:p w:rsidR="00163957" w:rsidRDefault="00163957" w:rsidP="00163957">
      <w:pPr>
        <w:pStyle w:val="TextoNormal"/>
      </w:pPr>
      <w:r>
        <w:t>La eventual contravención con la normativa básica, ocasionaría la inconstitucionalidad de carácter mediato o indirecto (por todas, SSTC 260/2015, de 3 de diciembre, FJ 3). Ahora bien, para que dicha eventualidad —afirmada por el Abogado del Estado y negada por los defensores de la normativa autonómica— se materialice, será necesario que concurran dos condiciones: que la norma estatal infringida sea material y formalmente básica y que la contradicción entre la norma autonómica y estatal sea real e insalvable por vía interpretativa (por todas, STC 271/2015, de 17 de diciembre, FJ 3).</w:t>
      </w:r>
    </w:p>
    <w:p w:rsidR="00163957" w:rsidRDefault="00163957" w:rsidP="00163957">
      <w:pPr>
        <w:pStyle w:val="TextoNormal"/>
      </w:pPr>
    </w:p>
    <w:p w:rsidR="00163957" w:rsidRDefault="00163957" w:rsidP="00163957">
      <w:pPr>
        <w:pStyle w:val="TextoNormal"/>
      </w:pPr>
      <w:r>
        <w:t>De acuerdo con las alegaciones del Abogado del Estado, el carácter básico de tales previsiones es claro, en la medida en que los preceptos estatales establecen el régimen jurídico común de acceso al suministro eléctrico y de gas en España y la contradicción es evidente al no establecerse en los arts. 85 del Real Decreto 1955/2000 y 57 del Real Decreto 1434/2002 excepción alguna al corte del suministro y a la reclamación de las deudas por las comercializadoras en caso de impago de las mismas. La Letrado de la Generalitat no cuestiona, como quedó expuesto en los antecedentes, el carácter básico de la regulación. Lo que cuestiona es el encuadre competencial y la existencia de contradicción por no haberse articulado en la normativa estatal un procedimiento que impida el corte del suministro eléctrico. Por su parte, la Letrada del Parlamento de Cataluña, además de cuestionar el encuadre competencial, se limita a poner de manifiesto de modo genérico, que en el recurso de inconstitucionalidad núm. 1820-2014, se denunció el exceso de la Ley del sector eléctrico en la declaración de lo básico, si bien en sus alegaciones no hace referencia a la concreta impugnación efectuada por el Abogado del Estado en el presente recurso.</w:t>
      </w:r>
    </w:p>
    <w:p w:rsidR="00163957" w:rsidRDefault="00163957" w:rsidP="00163957">
      <w:pPr>
        <w:pStyle w:val="TextoNormal"/>
      </w:pPr>
    </w:p>
    <w:p w:rsidR="00163957" w:rsidRDefault="00163957" w:rsidP="00163957">
      <w:pPr>
        <w:pStyle w:val="TextoNormal"/>
      </w:pPr>
      <w:r w:rsidRPr="00163957">
        <w:rPr>
          <w:rStyle w:val="NumeroAFNegritaCaracter"/>
        </w:rPr>
        <w:t>9</w:t>
      </w:r>
      <w:r>
        <w:t>. Antes de dar una respuesta a la cuestión es conveniente hacer unas consideraciones acerca del origen y la evolución de la normativa relativa a la protección del consumidor vulnerable en el ámbito eléctrico y gasista, a la que han aludido las partes de este proceso en sus alegaciones, y a la que se refiere, en parte, el preámbulo del Decreto-ley 6/2013 cuando afirma que “la Directiva 2009/72/CE, de 13 de julio de 2009, sobre normas comunes para el mercado interior de la electricidad y por la cual se deroga la Directiva 2003/54/CE, en relación con el suministro eléctrico contiene el mandato a los estados miembros de adoptar las medidas adecuadas para garantizar el suministro eléctrico a los consumidores vulnerables”.</w:t>
      </w:r>
    </w:p>
    <w:p w:rsidR="00163957" w:rsidRDefault="00163957" w:rsidP="00163957">
      <w:pPr>
        <w:pStyle w:val="TextoNormal"/>
      </w:pPr>
    </w:p>
    <w:p w:rsidR="00163957" w:rsidRDefault="00163957" w:rsidP="00163957">
      <w:pPr>
        <w:pStyle w:val="TextoNormal"/>
      </w:pPr>
      <w:r>
        <w:t>a) En el ámbito de la energía eléctrica, la Directiva 2003/54/CE, de 26 de julio, sobre normas comunes sobre mercado interior de la electricidad, preveía en su art. 3.5 la posibilidad de que los Estados garantizaran una protección adecuada a los clientes vulnerables. Dicha Directiva, que dio carta de naturaleza al suministro de último recurso, fue derogada por la Directiva 2009/72/CE del Parlamento Europeo y del Consejo, de 13 de julio de 2009.</w:t>
      </w:r>
    </w:p>
    <w:p w:rsidR="00163957" w:rsidRDefault="00163957" w:rsidP="00163957">
      <w:pPr>
        <w:pStyle w:val="TextoNormal"/>
      </w:pPr>
    </w:p>
    <w:p w:rsidR="00163957" w:rsidRDefault="00163957" w:rsidP="00163957">
      <w:pPr>
        <w:pStyle w:val="TextoNormal"/>
      </w:pPr>
      <w:r>
        <w:t xml:space="preserve">En atención a las previsiones del art. 3 de la Directiva 2003/54/CE, y con la finalidad de establecer mecanismos adicionales de protección para colectivos vulnerables en el sector eléctrico, se crea por el Real Decreto-ley 6/2009, de 30 de abril, un bono social para proteger la seguridad jurídica y confianza legítima de los consumidores más desprotegidos. Se configura el bono social, en su artículo 2.2 como una obligación de servicio público que pretende ayudar a colectivos vulnerables —en función de la importancia del suministro de </w:t>
      </w:r>
      <w:r>
        <w:lastRenderedPageBreak/>
        <w:t>energía para la propia vida del ser humano— de forma que paguen por la electricidad un precio inferior al de mercado. De tal modo, se establece una bonificación a favor de determinados consumidores de electricidad acogidos a la tarifa de último recurso que cumplan con las características sociales, de consumo y poder adquisitivo que se determinen por orden del Ministro de Industria, Turismo y Comercio, previo acuerdo de la Comisión Delegada del Gobierno para Asuntos Económicos. A tales efectos, se remitía a un umbral referenciado a un indicador de renta per cápita familiar, limitándose, en todo caso, a personas físicas en su vivienda habitual (art. 2.1 Real Decreto-ley 6/2009). En su disposición transitoria segunda, se preveía que hasta que se desarrollara lo previsto en el artículo 2, tendrían derecho al bono social los suministros de los consumidores, que siendo personas físicas, tuvieran una potencia contratada inferior a 3 kw en su vivienda habitual, los consumidores con 60 o más años de edad que acrediten ser pensionistas del Sistema de la Seguridad Social por jubilación, incapacidad permanente y viudedad y que percibieran las cuantías mínimas vigentes en cada momento para dichas clases de pensión con respecto a los titulares con cónyuge a cargo o a los titulares sin cónyuge que vivieran en una unidad económica unipersonal, así como los beneficiarios de pensiones del extinguido Seguro Obligatorio de Vejez e Invalidez y de pensiones no contributivas de jubilación e invalidez mayores de 60 años. Asimismo, se indica que tendrán derecho los consumidores que acrediten ser familias numerosas o que forman parte de una unidad familiar que tenga todos sus miembros en situación de desempleo.</w:t>
      </w:r>
    </w:p>
    <w:p w:rsidR="00163957" w:rsidRDefault="00163957" w:rsidP="00163957">
      <w:pPr>
        <w:pStyle w:val="TextoNormal"/>
      </w:pPr>
    </w:p>
    <w:p w:rsidR="00163957" w:rsidRDefault="00163957" w:rsidP="00163957">
      <w:pPr>
        <w:pStyle w:val="TextoNormal"/>
      </w:pPr>
      <w:r>
        <w:t>Como se ha adelantado la Directiva 2003/54/CE, de 26 de julio, fue derogada por la Directiva 2009/72/CE, de 13 de julio, sobre normas comunes para el mercado interior de la electricidad. En relación con el consumidor vulnerable el considerando 45 de la misma indicaba que “es importante que los Estados miembros adopten las medidas necesarias para proteger a los consumidores vulnerables en el contexto del mercado interior de la electricidad. Dichas medidas pueden diferir en función de las circunstancias concretas de cada Estado miembro, y podrán incluir medidas específicas relacionadas con el pago de las facturas de electricidad o medidas más generales adoptadas dentro del sistema de seguridad social”, debiendo asegurarse que todos los consumidores y en especial los vulnerables “puedan beneficiarse de la competencia y de precios justos” (considerando 50). Ya dentro de las “obligaciones de servicio público y protección a clientes”, en lo que atañe a este proceso constitucional, se establece en el artículo 3.7 que “los Estados miembros… garantizarán una protección adecuada de los clientes vulnerables. A este respecto, cada uno de los Estados miembros definirá el concepto de cliente vulnerable que podrá referirse a la pobreza energética y, entre otras cosas, a la prohibición de desconexión de la electricidad a dichos clientes en períodos críticos."</w:t>
      </w:r>
    </w:p>
    <w:p w:rsidR="00163957" w:rsidRDefault="00163957" w:rsidP="00163957">
      <w:pPr>
        <w:pStyle w:val="TextoNormal"/>
      </w:pPr>
    </w:p>
    <w:p w:rsidR="00163957" w:rsidRDefault="00163957" w:rsidP="00163957">
      <w:pPr>
        <w:pStyle w:val="TextoNormal"/>
      </w:pPr>
      <w:r>
        <w:t xml:space="preserve">Posteriormente se aprobó el Real Decreto-ley 9/2013, de 12 de julio, en cuya exposición de motivos indica que “con el fin de dar … continuidad a esta medida de protección adicional del derecho al suministro de electricidad en el marco de la Directiva 2009/72/CE, del Parlamento Europeo y del Consejo de 13 de julio de 2009, sobre normas comunes para el mercado interior de la electricidad y por la que se deroga la Directiva 2003/54/CE”, mediante la Orden IET/843/2012, de 25 de abril, se estableció, “el bono social como coste del sistema eléctrico, y por tanto, cubierto por todos los consumidores eléctricos, y las tarifas de referencia para la aplicación del bono social”. De este modo la disposición transitoria primera, apartado 1, del Real Decreto-ley 9/2013, determinó que “antes de 1 de julio de </w:t>
      </w:r>
      <w:r>
        <w:lastRenderedPageBreak/>
        <w:t>2014, se procederá a la revisión de la caracterización del bono social. Hasta que dicha revisión tenga lugar, dicha caracterización será la contemplada en la disposición transitoria segunda del Real Decreto-ley 6/2009, de 30 de abril, por el que se adoptan determinadas medidas en el sector energético y se aprueba el bono social, en la Resolución de 26 de junio de 2009, de la Secretaría de Estado de Energía, por la que se determina el procedimiento de puesta en marcha del bono social y en las disposiciones adicionales cuarta y quinta de la Orden IET/843/2012, de 25 de abril, por la que se establecen los peajes de acceso a partir de 1 de abril de 2012 y determinadas tarifas y primas de las instalaciones del régimen especial.”</w:t>
      </w:r>
    </w:p>
    <w:p w:rsidR="00163957" w:rsidRDefault="00163957" w:rsidP="00163957">
      <w:pPr>
        <w:pStyle w:val="TextoNormal"/>
      </w:pPr>
    </w:p>
    <w:p w:rsidR="00163957" w:rsidRDefault="00163957" w:rsidP="00163957">
      <w:pPr>
        <w:pStyle w:val="TextoNormal"/>
      </w:pPr>
      <w:r>
        <w:t>En dicha resolución de 26 de junio de 2009, la Secretaría de Estado de Energía, determina el procedimiento de puesta en marcha del bono social y los consumidores que tendrán derecho al bono social (bien en atención a la potencia contratada en su primera vivienda, a ser pensionistas del Sistema de la Seguridad Social que reúnan ciertas características, o beneficiarios de pensiones del extinguido Seguro Obligatorio de Vejez e Invalidez y de pensiones no contributivas de jubilación e invalidez mayores de 60 años, a pertenecer a familias numerosas, a estar en situación de desempleo).</w:t>
      </w:r>
    </w:p>
    <w:p w:rsidR="00163957" w:rsidRDefault="00163957" w:rsidP="00163957">
      <w:pPr>
        <w:pStyle w:val="TextoNormal"/>
      </w:pPr>
    </w:p>
    <w:p w:rsidR="00163957" w:rsidRDefault="00163957" w:rsidP="00163957">
      <w:pPr>
        <w:pStyle w:val="TextoNormal"/>
      </w:pPr>
      <w:r>
        <w:t>Finalmente, en esta evolución, la Ley 24/2013, de 26 de diciembre, refiere en su exposición de motivos que “en lo relativo a los consumidores, la presente ley establece la regulación sobre la que se van a basar las relaciones entre los consumidores y las empresas comercializadoras y distribuidoras en relación con el suministro de energía eléctrica, mediante el establecimiento de sus derechos y obligaciones en el marco general de contratación. Para ello, se observan las disposiciones de la citada Directiva 2009/72/CE de 13 de julio de 2009 relativas a derechos de los consumidores … Se define asimismo la figura del consumidor vulnerable, vinculado a determinadas características sociales, de consumo y poder adquisitivo, y se establece la adopción de las medidas oportunas para garantizar una protección adecuada a estos consumidores. Estos consumidores tendrán derecho a una tarifa reducida respecto del precio voluntario para el pequeño consumidor”. A tal fin, “y en relación al consumidor vulnerable se recoge lo previsto en el Real Decreto-ley 9/2013, de 12 de julio, por el que se adoptan medidas urgentes para garantizar la estabilidad financiera del sistema eléctrico, añadiendo que el bono social será considerado obligación de servicio público de acuerdo con la citada Directiva 2009/72/CE de 13 de julio de 2009”.</w:t>
      </w:r>
    </w:p>
    <w:p w:rsidR="00163957" w:rsidRDefault="00163957" w:rsidP="00163957">
      <w:pPr>
        <w:pStyle w:val="TextoNormal"/>
      </w:pPr>
    </w:p>
    <w:p w:rsidR="00163957" w:rsidRDefault="00163957" w:rsidP="00163957">
      <w:pPr>
        <w:pStyle w:val="TextoNormal"/>
      </w:pPr>
      <w:r>
        <w:t xml:space="preserve">En desarrollo de dicho propósito el art. 45 LSE, que lleva por rubrica “consumidores vulnerables”, remite la definición del consumidor vulnerable y los requisitos que deben cumplir, así como las medidas a adoptar para este colectivo, a la determinación reglamentaria por el Gobierno, que en todo caso, se circunscribirá a personas físicas en su vivienda habitual (apartado primero). Del mismo modo, se determinará por real decreto del Consejo de Ministros las características que deban cumplir los consumidores vulnerables para ser beneficiarios del bono social (apartado segundo). Se define el bono social como la diferencia entre el valor del precio voluntario para el pequeño consumidor y la tarifa de último recurso fijada por el Ministro de Industria, Energía y Turismo, previo acuerdo de la Comisión Delegada del Gobierno para Asuntos Económicos y hasta que dicha tarifa se fije resultará de aplicación lo dispuesto en la disposición adicional quinta de la Orden IET/843/2012, de 25 de abril, imponiendo, en todo caso, al comercializador de referencia que lo aplique en las facturas de los consumidores que puedan quedar acogidos al mismo (apartado tercero y disposición transitoria décima LSE). Atribuye al bono social la naturaleza de obligación de </w:t>
      </w:r>
      <w:r>
        <w:lastRenderedPageBreak/>
        <w:t>servicio público según lo dispuesto en la Directiva 2009/72/CE del Parlamento Europeo y del Consejo, de 13 de julio de 2009, sobre normas comunes para el mercado interior de la electricidad y por la que se deroga la Directiva 2003/54/CE y será asumido por las matrices de los grupos de sociedades o, en su caso, sociedades que desarrollen simultáneamente las actividades de producción, distribución y comercialización de energía eléctrica (apartado cuarto).</w:t>
      </w:r>
    </w:p>
    <w:p w:rsidR="00163957" w:rsidRDefault="00163957" w:rsidP="00163957">
      <w:pPr>
        <w:pStyle w:val="TextoNormal"/>
      </w:pPr>
    </w:p>
    <w:p w:rsidR="00163957" w:rsidRDefault="00163957" w:rsidP="00163957">
      <w:pPr>
        <w:pStyle w:val="TextoNormal"/>
      </w:pPr>
      <w:r>
        <w:t>Por otra parte, en el art. 52.3 LSE se excluye en el caso de impago la posibilidad de suspender el suministro de energía eléctrica a los consumidores acogidos a tarifas de último recurso, entre los que se encuentran los consumidores vulnerables a quienes se le bonifica parte del precio, hasta que no transcurran dos meses desde que se les hubiera requerido fehacientemente de pago, estableciéndose determinadas garantías y remitiéndose al reglamento la determinación de las condiciones en que se podrá llevar a cabo la suspensión.</w:t>
      </w:r>
    </w:p>
    <w:p w:rsidR="00163957" w:rsidRDefault="00163957" w:rsidP="00163957">
      <w:pPr>
        <w:pStyle w:val="TextoNormal"/>
      </w:pPr>
    </w:p>
    <w:p w:rsidR="00163957" w:rsidRDefault="00163957" w:rsidP="00163957">
      <w:pPr>
        <w:pStyle w:val="TextoNormal"/>
      </w:pPr>
      <w:r>
        <w:t>En el art. 65.25 LSE se califica como infracción muy grave el incumplimiento por parte de las empresas distribuidoras y comercializadoras de electricidad de cualquier medida de protección al consumidor establecida en la Ley y su normativa de desarrollo, en especial las relativas a los consumidores vulnerables.</w:t>
      </w:r>
    </w:p>
    <w:p w:rsidR="00163957" w:rsidRDefault="00163957" w:rsidP="00163957">
      <w:pPr>
        <w:pStyle w:val="TextoNormal"/>
      </w:pPr>
    </w:p>
    <w:p w:rsidR="00163957" w:rsidRDefault="00163957" w:rsidP="00163957">
      <w:pPr>
        <w:pStyle w:val="TextoNormal"/>
      </w:pPr>
      <w:r>
        <w:t>Y finalmente, la disposición transitoria décima, establece que hasta que se desarrolle lo previsto en el art. 45.1 tendrán derecho al bono social los suministros que reúnan determinadas características que son coincidentes con las establecidas en la disposición transitoria segunda del Real Decreto-Ley 6/2009, de 30 de abril al que ya hemos hecho referencia. Remitiéndose en cuanto al procedimiento para acreditar las condiciones que dan derecho a la bonificación a la resolución de 26 de junio de 2009, de la Secretaría de Estado de Energía.</w:t>
      </w:r>
    </w:p>
    <w:p w:rsidR="00163957" w:rsidRDefault="00163957" w:rsidP="00163957">
      <w:pPr>
        <w:pStyle w:val="TextoNormal"/>
      </w:pPr>
    </w:p>
    <w:p w:rsidR="00163957" w:rsidRDefault="00163957" w:rsidP="00163957">
      <w:pPr>
        <w:pStyle w:val="TextoNormal"/>
      </w:pPr>
      <w:r>
        <w:t>b) En el sector gasista, la necesidad de garantizar una protección adecuada a los clientes vulnerables se recogió la Directiva 2003/55/CE, de 26 de junio, sobre normas comunes para el mercado interior del gas natural, que también fue derogada por la Directiva 2009/73/CE del Parlamento Europeo y del Consejo, de 13 de julio de 2009.</w:t>
      </w:r>
    </w:p>
    <w:p w:rsidR="00163957" w:rsidRDefault="00163957" w:rsidP="00163957">
      <w:pPr>
        <w:pStyle w:val="TextoNormal"/>
      </w:pPr>
    </w:p>
    <w:p w:rsidR="00163957" w:rsidRDefault="00163957" w:rsidP="00163957">
      <w:pPr>
        <w:pStyle w:val="TextoNormal"/>
      </w:pPr>
      <w:r>
        <w:t xml:space="preserve">Como se ha adelantado también, la Directiva 2003/55/CE, de 26 de junio de 2003, sobre normas comunes para el mercado interior del gas natural, fue derogada por la Directiva 2009/73/CE del Parlamento Europeo y del Consejo, de 13 de julio de 2009, que establece previsiones análogas a las mencionadas en la Directiva 2009/72/CE, en relación con la protección del consumidor vulnerable (considerandos 47 y 50, y art. 3.3). Posteriormente a esta última Directiva, como también hemos indicado, se aprobó el Real Decreto-ley 13/2012, de 30 de marzo, por el que se transponen directivas en materia de mercados interiores de electricidad y gas. De este modo la disposición final primera, apartado 2, indica que mediante el art. 2 de dicho Real Decreto-ley 13/2012, “se incorpora parcialmente al derecho español la Directiva 2009/73/CE, del Parlamento Europeo y del Consejo, de 13 de julio de 2009, sobre normas comunes para el mercado interior del gas natural” y “en línea con lo dispuesto en la Directiva 2009/73/CE, se recogen nuevas obligaciones a los comercializadores para asegurar la protección de los consumidores domésticos” (apartado IV del preámbulo). De este modo el art. 2.4 da una nueva redacción al art. 57 LSH, regulando tanto la tarifa de último recurso como la posibilidad de que el Ministro de Industria, Energía y Turismo establezca “condiciones específicas de suministro para determinados consumidores que, por </w:t>
      </w:r>
      <w:r>
        <w:lastRenderedPageBreak/>
        <w:t>sus características económicas, sociales o de suministro, tengan la consideración de clientes vulnerables”.</w:t>
      </w:r>
    </w:p>
    <w:p w:rsidR="00163957" w:rsidRDefault="00163957" w:rsidP="00163957">
      <w:pPr>
        <w:pStyle w:val="TextoNormal"/>
      </w:pPr>
    </w:p>
    <w:p w:rsidR="00163957" w:rsidRDefault="00163957" w:rsidP="00163957">
      <w:pPr>
        <w:pStyle w:val="TextoNormal"/>
      </w:pPr>
      <w:r w:rsidRPr="00163957">
        <w:rPr>
          <w:rStyle w:val="NumeroAFNegritaCaracter"/>
        </w:rPr>
        <w:t>10</w:t>
      </w:r>
      <w:r>
        <w:t>. Expuesto lo anterior estamos en condiciones de abordar si las normas estatales infringidas son material y formalmente básicas, así como si eventualmente los preceptos impugnados contravienen la normativa básica estatal. A tal fin conviene destacar que de la regulación expuesta resulta que el Estado ha incorporado las Directivas 2009/72/CE y 2009/73/CE optando, dentro del margen que en las mismas se establece, por la protección del consumidor vulnerable mediante un sistema de bonificación a través de la financiación de parte del precio del suministro de la electricidad y gas (arts. 45 LSE y 57 LSH) y no mediante el establecimiento de prohibiciones de desconexión del suministro respecto a dichos clientes en períodos críticos, o en otros, al no exceptuar a los mismos del régimen general cuya regulación es idéntica para todos los consumidores sujetos a tarifa de último recurso (arts. 52.3 LSE y 88.3 LSH) .</w:t>
      </w:r>
    </w:p>
    <w:p w:rsidR="00163957" w:rsidRDefault="00163957" w:rsidP="00163957">
      <w:pPr>
        <w:pStyle w:val="TextoNormal"/>
      </w:pPr>
    </w:p>
    <w:p w:rsidR="00163957" w:rsidRDefault="00163957" w:rsidP="00163957">
      <w:pPr>
        <w:pStyle w:val="TextoNormal"/>
      </w:pPr>
      <w:r>
        <w:t>En efecto, tal y como se ha indicado los arts. 45 LSE y 57 LSH tienen como finalidad incorporar el mandato dirigido a los Estados miembros consistente en adoptar las medidas adecuadas para garantizar el suministro eléctrico a los consumidores vulnerables, tanto en el sector eléctrico como en el sector de hidrocarburos, medidas que se proyectan sobre todo el territorio nacional y que en el marco de la sostenibilidad económica y financiera del sistema eléctrico y gasista, suponen una clara opción por un modelo de protección de la garantía del suministro para los consumidores vulnerables consistente en la bonificación de parte del precio, frente a otros modelos que, siendo igualmente legítimos, como la prohibición de desconexión, también pudieran garantizar el suministro a dicho colectivo. Por tanto, el legislador estatal ha optado por no exceptuar el régimen de corte del suministro por impago previsto en los arts. 52.3 LSE y 88.3 LSH. Es precisamente ese objetivo de garantizar el suministro de energía eléctrica el que justifica la consideración del bono social como una obligación de servicio público (art. 45.4 LSE), que conecta con el principio básico de la garantía del suministro eléctrico y con la previsión del art. 3.2 de las Directivas 2009/72/CE y 2009/73/CE, por la que “los Estados miembros podrán imponer a las empresas eléctricas, en aras del interés económico general, obligaciones de servicio público que podrán referirse… al precio de los suministros”.</w:t>
      </w:r>
    </w:p>
    <w:p w:rsidR="00163957" w:rsidRDefault="00163957" w:rsidP="00163957">
      <w:pPr>
        <w:pStyle w:val="TextoNormal"/>
      </w:pPr>
    </w:p>
    <w:p w:rsidR="00163957" w:rsidRDefault="00163957" w:rsidP="00163957">
      <w:pPr>
        <w:pStyle w:val="TextoNormal"/>
      </w:pPr>
      <w:r>
        <w:t xml:space="preserve">Tales previsiones, en el marco del diseño configurado por el legislador estatal de protección del consumidor vulnerable, aseguran una regulación normativa uniforme en el ámbito de la garantía del suministro de la electricidad y del gas, vigente en todo el territorio estatal, necesaria “para asegurar la unidad fundamental prevista por las normas del bloque de la constitucionalidad que establecen la distribución de competencias” (STC 18/2011, de 3 de marzo, FJ 9) y que por ello encajan en el concepto de bases del sector eléctrico en la medida en que se relaciona con uno de los principios que lo rige, el de garantía del suministro, que, en este caso, es absoluta (SSTC 32/2016, de 18 de febrero, FJ 13, y 18/2011, FJ 8). Dichas previsiones se alcanzan mediante la fijación de una tarifa reducida para los consumidores vulnerables que supone la imposición a los comercializadores de referencia de la obligación de aplicarla en las facturas de los consumidores que puedan quedar acogidos a la misma (art. 45.3 y disposición transitoria décima LSE, así como art. 57.2 LSH), y a las matrices de los grupos de sociedades o, en su caso, sociedades que desarrollen simultáneamente las actividades de producción, distribución y comercialización de energía eléctrica la carga de financiarla (art. 45.4 LSE), por lo que en tanto que supone la imposición de obligaciones y </w:t>
      </w:r>
      <w:r>
        <w:lastRenderedPageBreak/>
        <w:t xml:space="preserve">cargas a los sujetos que intervienen en el sistema eléctrico, la competencia del estado resulta de la habilitación </w:t>
      </w:r>
      <w:r w:rsidRPr="00163957">
        <w:rPr>
          <w:i/>
        </w:rPr>
        <w:t>ex</w:t>
      </w:r>
      <w:r>
        <w:t xml:space="preserve"> art. 149.1.25 CE para establecer el régimen común (STC 32/2016, FJ 11).</w:t>
      </w:r>
    </w:p>
    <w:p w:rsidR="00163957" w:rsidRDefault="00163957" w:rsidP="00163957">
      <w:pPr>
        <w:pStyle w:val="TextoNormal"/>
      </w:pPr>
    </w:p>
    <w:p w:rsidR="00163957" w:rsidRDefault="00163957" w:rsidP="00163957">
      <w:pPr>
        <w:pStyle w:val="TextoNormal"/>
      </w:pPr>
      <w:r>
        <w:t>A idéntica conclusión puede llegarse en relación con los arts. 52.3 LSE y 88.3 LSH, que establecen las condiciones en las que podrá ser suspendido el suministro de energía eléctrica o el de combustibles gaseosos, en el caso del sector eléctrico, a los consumidores acogidos a precios voluntarios para el pequeño consumidor o a tarifas de último recurso, y, en el caso del sector de hidrocarburos a los consumidores privados sujetos a tarifa, cuando hayan transcurrido al menos dos meses desde que les hubiera sido requerido fehacientemente el pago, sin que el mismo se hubiera hecho efectivo. Tales preceptos establecen derechos y obligaciones para los consumidores y empresas suministradoras, estableciendo un régimen homogéneo que asegura un tratamiento común en cuanto a las consecuencias derivadas del impago del suministro eléctrico y de gas en todo el territorio nacional. Dicho régimen normativo por su carácter esencial en la configuración de la posición de los intervinientes y por definir el estatus de uno de los sujetos que actúan en el sector eléctrico y gasista, dada la importancia de tales sectores para el conjunto de la economía nacional y para la totalidad de los otros sectores económicos y la vida cotidiana, no puede por menos de calificarse normativamente como básico. Si a ello añadimos, además, que dicha regulación se refiere al contenido y a la continuidad de la garantía del suministro, es indudable su dimensión básica desde una perspectiva material (STC 18/2011, FJ 8). En tal sentido, también podemos afirmar que el art. 52.3 LSE “encaja con naturalidad en el concepto de bases del sector eléctrico en la medida en que se relaciona con uno de los principios que lo rige, el de garantía del suministro, que, en este caso, es absoluta, como ya hemos indicado” (STC 32/2016, FJ 13).</w:t>
      </w:r>
    </w:p>
    <w:p w:rsidR="00163957" w:rsidRDefault="00163957" w:rsidP="00163957">
      <w:pPr>
        <w:pStyle w:val="TextoNormal"/>
      </w:pPr>
    </w:p>
    <w:p w:rsidR="00163957" w:rsidRDefault="00163957" w:rsidP="00163957">
      <w:pPr>
        <w:pStyle w:val="TextoNormal"/>
      </w:pPr>
      <w:r>
        <w:t>Del mismo modo desde la perspectiva formal, los mencionados preceptos por su rango normativo satisfacen las exigencias para alcanzar la naturaleza de básicos (disposición final segunda LSE y disposición final primera LSH) regulando, de este modo, aspectos vinculados a la garantía del suministro eléctrico y gasista y a las obligaciones de los sujetos intervinientes en tales subsectores.</w:t>
      </w:r>
    </w:p>
    <w:p w:rsidR="00163957" w:rsidRDefault="00163957" w:rsidP="00163957">
      <w:pPr>
        <w:pStyle w:val="TextoNormal"/>
      </w:pPr>
    </w:p>
    <w:p w:rsidR="00163957" w:rsidRDefault="00163957" w:rsidP="00163957">
      <w:pPr>
        <w:pStyle w:val="TextoNormal"/>
      </w:pPr>
      <w:r w:rsidRPr="00163957">
        <w:rPr>
          <w:rStyle w:val="NumeroAFNegritaCaracter"/>
        </w:rPr>
        <w:t>11</w:t>
      </w:r>
      <w:r>
        <w:t>. Llegados a este punto y demostrado el carácter básico de la regulación, podemos afirmar que la introducción en el párrafo segundo del apartado 6 y en el apartado 7 del art. 252.4 de la Ley 22/2010, por el art. 2 del Decreto-ley 6/2013, de la Generalitat de Cataluña, de la prohibición de desconexión del suministro eléctrico o de gas, en aras a la protección del consumidor vulnerable, aplicable a las personas en situación de vulnerabilidad económica y a determinadas unidades familiares, así como la imposición de un deber de aplazamiento y/o fraccionamiento de la deuda pendiente con la “empresa suministradora”, contraviene la regulación que con el carácter de básico se establece en la Ley del sector eléctrico y en la Ley del sector de hidrocarburos. Dicho incumplimiento de las normas básicas resulta de imponer a las empresas comercializadoras el suministro de electricidad y gas pese al impago del suministro, estableciendo la prohibición de desconexión de modo incompatible con las previsiones básicas que optan por un diseño de protección del consumidor vulnerable a través de la bonificación del precio del suministro. Ninguna objeción podría efectuarse al desarrollo por parte del legislador catalán de medidas asistenciales consistentes en prestaciones económicas tendentes a evitar la interrupción del suministro de electricidad y gas a los consumidores vulnerables que reciban un aviso de interrupción conforme al art. 166.1 a) EAC.</w:t>
      </w:r>
    </w:p>
    <w:p w:rsidR="00163957" w:rsidRDefault="00163957" w:rsidP="00163957">
      <w:pPr>
        <w:pStyle w:val="TextoNormal"/>
      </w:pPr>
    </w:p>
    <w:p w:rsidR="00163957" w:rsidRDefault="00163957" w:rsidP="00163957">
      <w:pPr>
        <w:pStyle w:val="TextoNormal"/>
      </w:pPr>
      <w:r>
        <w:t>Pero en tanto que los preceptos impugnados establecen el derecho del consumidor a que continúe el suministro eléctrico o de gas, pese al impago y correlativamente imponen a las comercializadoras la obligación de suministrar electricidad y gas, establecen un diseño de protección de la garantía del suministro al consumidor vulnerable que contraviene la regulación básica, en la que se opta por un modelo de protección consistente en el reconocimiento del derecho a una tarifa reducida, obligatoria para las empresas comercializadoras y financiada por los distintos sujetos intervinientes.</w:t>
      </w:r>
    </w:p>
    <w:p w:rsidR="00163957" w:rsidRDefault="00163957" w:rsidP="00163957">
      <w:pPr>
        <w:pStyle w:val="TextoNormal"/>
      </w:pPr>
    </w:p>
    <w:p w:rsidR="00163957" w:rsidRDefault="00163957" w:rsidP="00163957">
      <w:pPr>
        <w:pStyle w:val="TextoNormal"/>
      </w:pPr>
      <w:r>
        <w:t>Tampoco se puede considerar que esta concreta regulación se ampare en la competencia compartida del art. 133.1 EAC —invocado por la Generalitat y el Parlamento de Cataluña—. En efecto, si bien puede entenderse que dicho precepto estatutario no excluye, las actuaciones autonómicas que pudieran adoptarse para proteger a los denominados consumidores vulnerables, tales actuaciones deben, en todo caso, respetar las bases establecidas por el Estado en materia de energía, lo que, como ya se ha expuesto, no sucede en el supuesto que aquí hemos enjuiciado.</w:t>
      </w:r>
    </w:p>
    <w:p w:rsidR="00163957" w:rsidRDefault="00163957" w:rsidP="00163957">
      <w:pPr>
        <w:pStyle w:val="TextoNormal"/>
      </w:pPr>
    </w:p>
    <w:p w:rsidR="00163957" w:rsidRDefault="00163957" w:rsidP="00163957">
      <w:pPr>
        <w:pStyle w:val="TextoNormal"/>
      </w:pPr>
      <w:r>
        <w:t>Por los argumentos anteriores debe estimarse la impugnación del párrafo segundo del apartado 6 y del apartado 7 del art. 252.4 de la Ley 22/2013 introducidos por el art. 2 del Decreto-ley de Cataluña 6/2013, de 23 de diciembre.</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parcialmente el recurso de inconstitucionalidad interpuesto por el Gobierno de España contra el Decreto-ley de Cataluña 6/2013, de 23 de diciembre, y, en consecuencia:</w:t>
      </w:r>
    </w:p>
    <w:p w:rsidR="00163957" w:rsidRDefault="00163957" w:rsidP="00163957">
      <w:pPr>
        <w:pStyle w:val="TextoNormal"/>
      </w:pPr>
    </w:p>
    <w:p w:rsidR="00163957" w:rsidRDefault="00163957" w:rsidP="00163957">
      <w:pPr>
        <w:pStyle w:val="TextoNormal"/>
      </w:pPr>
      <w:r>
        <w:t>a) Declarar que el párrafo segundo del apartado 6 y el apartado 7 del art. 252-4 de la Ley 22/2010 introducidos por el art. 2 del Decreto-ley de Cataluña 6/2013, de 23 de diciembre, son inconstitucionales y nulos.</w:t>
      </w:r>
    </w:p>
    <w:p w:rsidR="00163957" w:rsidRDefault="00163957" w:rsidP="00163957">
      <w:pPr>
        <w:pStyle w:val="TextoNormal"/>
      </w:pPr>
    </w:p>
    <w:p w:rsidR="00163957" w:rsidRDefault="00163957" w:rsidP="00163957">
      <w:pPr>
        <w:pStyle w:val="TextoNormal"/>
      </w:pPr>
      <w:r>
        <w:t>b) Desestimar en todo lo demás el recurso planteado.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diecisiete de marzo de dos mil dieciséis.</w:t>
      </w:r>
    </w:p>
    <w:p w:rsidR="00163957" w:rsidRDefault="00163957" w:rsidP="00163957">
      <w:pPr>
        <w:pStyle w:val="ParrafoNormal"/>
      </w:pPr>
    </w:p>
    <w:p w:rsidR="00163957" w:rsidRDefault="00163957" w:rsidP="00163957">
      <w:pPr>
        <w:pStyle w:val="TextoNormalNegritaCentrado"/>
        <w:keepNext/>
      </w:pPr>
      <w:r>
        <w:t>Voto particular que formulan la Magistrada doña Adela Asua Batarrita y el Magistrado don Fernando Valdés Dal-Ré a la Sentencia dictada en el recurso de inconstitucionalidad núm. 5831-2014.</w:t>
      </w:r>
    </w:p>
    <w:p w:rsidR="00163957" w:rsidRDefault="00163957" w:rsidP="00163957">
      <w:pPr>
        <w:pStyle w:val="TextoNormalNegritaCentrado"/>
        <w:keepNext/>
      </w:pPr>
    </w:p>
    <w:p w:rsidR="00163957" w:rsidRDefault="00163957" w:rsidP="00163957">
      <w:pPr>
        <w:pStyle w:val="TextoNormal"/>
      </w:pPr>
      <w:r>
        <w:t xml:space="preserve">En ejercicio de la facultad que nos confiere el art. 90.2 de la Ley Orgánica del Tribunal Constitucional y con pleno respeto a la opinión de la mayoría del Pleno, expresamos nuestra </w:t>
      </w:r>
      <w:r>
        <w:lastRenderedPageBreak/>
        <w:t>discrepancia con el fallo de la Sentencia y con la argumentación que lo sustenta, principalmente en el fundamento jurídico 10, en virtud de los argumentos que defendimos en la deliberación del Pleno y que exponemos a continuación.</w:t>
      </w:r>
    </w:p>
    <w:p w:rsidR="00163957" w:rsidRDefault="00163957" w:rsidP="00163957">
      <w:pPr>
        <w:pStyle w:val="TextoNormal"/>
      </w:pPr>
    </w:p>
    <w:p w:rsidR="00163957" w:rsidRDefault="00163957" w:rsidP="00163957">
      <w:pPr>
        <w:pStyle w:val="TextoNormal"/>
      </w:pPr>
      <w:r>
        <w:t>La Sentencia de la que discrepamos estima parcialmente el recurso de inconstitucionalidad interpuesto por el Gobierno de España contra el Decreto-ley catalán 6/2013, de 23 de diciembre, por el que se modifica la Ley 22/2010, de 20 de julio, del código de consumo de Cataluña, al considerar que varias de las disposiciones impugnadas contradicen las normas básicas dictadas por el Estado en esta materia, en concreto las establecidas en las Leyes 24/2013, de 26 de diciembre, del sector eléctrico (LSE) y 34/1998, de 7 de octubre, del sector de los hidrocarburos.</w:t>
      </w:r>
    </w:p>
    <w:p w:rsidR="00163957" w:rsidRDefault="00163957" w:rsidP="00163957">
      <w:pPr>
        <w:pStyle w:val="TextoNormal"/>
      </w:pPr>
    </w:p>
    <w:p w:rsidR="00163957" w:rsidRDefault="00163957" w:rsidP="00163957">
      <w:pPr>
        <w:pStyle w:val="TextoNormal"/>
      </w:pPr>
      <w:r>
        <w:t>La declaración de contravención de la normativa estatal por la norma impugnada que efectúa la Sentencia se basa en los argumentos de que “el Estado ha incorporado las Directivas 2009/72/CE y 2009/73/CE optando, dentro del margen que en las mismas se establece, por la protección del consumidor vulnerable mediante un sistema de bonificación a través de la financiación de parte del precio del suministro de la electricidad y gas (arts. 45 LSE y 57 de la Ley del sector de hidrocarburos) y no mediante el establecimiento de prohibiciones de desconexión del suministro respecto a dichos clientes en períodos críticos, o en otros” y de que “los arts. 45 LSE y 57 de la Ley del sector de hidrocarburos tienen como finalidad incorporar el mandato dirigido a los Estados miembros consistente en adoptar las medidas adecuadas para garantizar el suministro eléctrico a los consumidores vulnerables, tanto en el sector eléctrico como en el sector de hidrocarburos, medidas que se proyectan sobre todo el territorio nacional y que en el marco de la sostenibilidad económica y financiera del sistema eléctrico y gasista, suponen una clara opción por un modelo de protección de la garantía del suministro para los consumidores vulnerables consistente en la bonificación de parte del precio, frente a otros modelos que, siendo igualmente legítimos, como la prohibición de desconexión, también pudieran garantizar el suministro a dicho colectivo” (FJ 10). En síntesis, la Sentencia argumenta que “el legislador estatal ha optado por no exceptuar el régimen de corte del suministro por impago previsto en los arts. 52.3 LSE y 88.3 LSH” (ibídem). En consecuencia, los apartados 6 y 7 añadidos al art. 252-4 de la Ley 22/2010 por el art. 2 del Decreto-ley impugnado vulnerarían el régimen homogéneo que establece la normativa estatal básica en cuanto a las consecuencias derivadas del impago del suministro eléctrico y de gas en todo el territorio del Estado.</w:t>
      </w:r>
    </w:p>
    <w:p w:rsidR="00163957" w:rsidRDefault="00163957" w:rsidP="00163957">
      <w:pPr>
        <w:pStyle w:val="TextoNormal"/>
      </w:pPr>
    </w:p>
    <w:p w:rsidR="00163957" w:rsidRDefault="00163957" w:rsidP="00163957">
      <w:pPr>
        <w:pStyle w:val="TextoNormal"/>
      </w:pPr>
      <w:r>
        <w:t>En nuestra opinión, ni la premisa de la que parte la Sentencia ni la conclusión de contradicción a la que llega son correctas.</w:t>
      </w:r>
    </w:p>
    <w:p w:rsidR="00163957" w:rsidRDefault="00163957" w:rsidP="00163957">
      <w:pPr>
        <w:pStyle w:val="TextoNormal"/>
      </w:pPr>
    </w:p>
    <w:p w:rsidR="00163957" w:rsidRDefault="00163957" w:rsidP="00163957">
      <w:pPr>
        <w:pStyle w:val="TextoNormal"/>
      </w:pPr>
      <w:r>
        <w:t xml:space="preserve">1. La simple lectura de las normas estatales invocadas por el Abogado del Estado permite comprobar que ninguna de ellas regula las medidas para garantizar una protección adecuada de los clientes vulnerables en los términos que reclama la Directiva 2009/72/CE (y, antes, la Directiva 2003/54/CE). La única norma estatal que de alguna forma se podría acercar a ese propósito es el Real Decreto-ley 13/2012, de 30 de marzo, por el que se pretende transponer precisamente, entre otras, la Directiva 2009/72/CE. Sin embargo, el Real Decreto-ley 13/2012 se limita a prever que “serán considerados como consumidores vulnerables los consumidores de electricidad que cumplan con las características sociales, de consumo y poder adquisitivo que se determinen” y remite al desarrollo reglamentario, sin mayores precisiones, tanto la definición de consumidor vulnerable como la concreción de las medidas </w:t>
      </w:r>
      <w:r>
        <w:lastRenderedPageBreak/>
        <w:t>de protección del consumidor vulneración (art. 44.4 de la Ley 54/1997, de 27 de noviembre, del sector eléctrico, en la redacción dada por el Real Decreto-ley 13/2012; precepto que, en una modificación posterior, se ha convertido en el vigente art. 45 LSE). Y de forma transitoria se determina que “hasta que se desarrolle lo establecido en el apartado 4 del artículo 44 de la presente ley, se considera que un consumidor es vulnerable cuando se encuentre dentro del ámbito de aplicación del artículo 2 y disposición transitoria segunda del Real Decreto-ley 6/2009, de 30 de abril, por el que se adoptan determinadas medidas en el sector energético y se aprueba el bono social, así como en la disposición adicional segunda del Real Decreto-ley 14/2010, de 23 de diciembre, por el que se establecen medidas urgentes para la corrección del déficit tarifario del sector eléctrico” (disposición transitoria vigésima de la Ley 54/1997, énfasis añadido, en la redacción dada por el Real Decreto-ley 13/2012). Como se aprecia con claridad, las propias previsiones normativas contenidas en el Real Decreto-ley 13/2012 asumen la insuficiencia de la regulación estatal para dar cumplimiento a lo exigido por la Directiva 2009/72/CE.</w:t>
      </w:r>
    </w:p>
    <w:p w:rsidR="00163957" w:rsidRDefault="00163957" w:rsidP="00163957">
      <w:pPr>
        <w:pStyle w:val="TextoNormal"/>
      </w:pPr>
    </w:p>
    <w:p w:rsidR="00163957" w:rsidRDefault="00163957" w:rsidP="00163957">
      <w:pPr>
        <w:pStyle w:val="TextoNormal"/>
      </w:pPr>
      <w:r>
        <w:t>Por lo que respecta al suministro de gas natural, el Abogado del Estado no ha alegado ninguna norma estatal de transposición de la Directiva 2009/73/CE, limitándose a invocar disposiciones preexistentes de la legislación estatal reguladora del sector de hidrocarburos que se refieren a la suspensión del suministro en caso de impago o bien que contienen una habilitación normativa para regular las condiciones específicas de suministro para los clientes considerados vulnerables.</w:t>
      </w:r>
    </w:p>
    <w:p w:rsidR="00163957" w:rsidRDefault="00163957" w:rsidP="00163957">
      <w:pPr>
        <w:pStyle w:val="TextoNormal"/>
      </w:pPr>
    </w:p>
    <w:p w:rsidR="00163957" w:rsidRDefault="00163957" w:rsidP="00163957">
      <w:pPr>
        <w:pStyle w:val="TextoNormal"/>
      </w:pPr>
      <w:r>
        <w:t>Así pues, se puede constatar con suma facilidad que la normativa básica que invoca el Abogado del Estado no contiene una regulación específica dirigida a proteger a los clientes vulnerables frente a la pobreza energética, en particular contra la desconexión de la electricidad y del gas natural en periodos críticos del año. En el ámbito de la energía eléctrica, como hemos visto, y como reconoce la propia Sentencia en el fundamento jurídico 9, el art. 45 LSE se ha limitado a remitir al desarrollo reglamentario la definición de consumidor vulnerable, los requisitos que deben cumplir así como las medidas a adoptar para este colectivo. Sin embargo, en el fundamento jurídico 10 se considera que es justamente ese art. 45 LSE, que carece de regulación sustantiva alguna, el precepto que, en el ámbito de la energía eléctrica, tiene como finalidad incorporar el mandato de la Directiva 2009/72/CE dirigido a garantizar el suministro eléctrico frente a los consumidores vulnerables.</w:t>
      </w:r>
    </w:p>
    <w:p w:rsidR="00163957" w:rsidRDefault="00163957" w:rsidP="00163957">
      <w:pPr>
        <w:pStyle w:val="TextoNormal"/>
      </w:pPr>
    </w:p>
    <w:p w:rsidR="00163957" w:rsidRDefault="00163957" w:rsidP="00163957">
      <w:pPr>
        <w:pStyle w:val="TextoNormal"/>
      </w:pPr>
      <w:r>
        <w:t>En lugar de admitir lisa y llanamente que la normativa estatal no contiene una regulación específica de protección de los consumidores vulnerables frente a la pobreza energética, la Sentencia de la que discrepo trae a colación diversas medidas legislativas que den la impresión de que la preocupación por la pobreza energética no es del todo ajena a la normativa estatal: entre otras, se alude al llamado bono social, que no es más un precio de la electricidad inferior al mercado que se prevé en relación con amplias categorías de consumidores, incluidas las familias numerosas, o al mecanismo regulado en el art. 52.3 LSE, que exige un plazo de dos meses entre el requerimiento fehaciente de pago y la suspensión del suministro. No obstante, todas las medidas que invoca la Sentencia son accesorias y perfectamente diferenciables de la regulación específica que contempla el Derecho de la Unión y que contiene la norma autonómica impugnada. En suma, no se cumple la premisa de la que parte la argumentación de la Sentencia: la existencia efectiva de una transposición estatal suficiente.</w:t>
      </w:r>
    </w:p>
    <w:p w:rsidR="00163957" w:rsidRDefault="00163957" w:rsidP="00163957">
      <w:pPr>
        <w:pStyle w:val="TextoNormal"/>
      </w:pPr>
    </w:p>
    <w:p w:rsidR="00163957" w:rsidRDefault="00163957" w:rsidP="00163957">
      <w:pPr>
        <w:pStyle w:val="TextoNormal"/>
      </w:pPr>
      <w:r>
        <w:lastRenderedPageBreak/>
        <w:t>2. El Decreto-ley impugnado se dirige a establecer unos parámetros económicos objetivos que definen a las personas que se encuentran en situación de vulnerabilidad económica y a establecer las medidas que las protejan de posibles interrupciones de suministro durante los meses de invierno. El punto de partida de la regulación catalana es, como se declara expresamente en el preámbulo, el marco jurídico europeo conformado por la Directiva 2009/72/CE y su parcial o deficiente transposición estatal.</w:t>
      </w:r>
    </w:p>
    <w:p w:rsidR="00163957" w:rsidRDefault="00163957" w:rsidP="00163957">
      <w:pPr>
        <w:pStyle w:val="TextoNormal"/>
      </w:pPr>
    </w:p>
    <w:p w:rsidR="00163957" w:rsidRDefault="00163957" w:rsidP="00163957">
      <w:pPr>
        <w:pStyle w:val="TextoNormal"/>
      </w:pPr>
      <w:r>
        <w:t>Las medidas adecuadas para garantizar el suministro eléctrico de los consumidores vulnerables que reclama la Directiva no son, en efecto, una mera posibilidad regulatoria para el legislador español. La Directiva 2009/72/CE obliga a los Estados miembros a introducir medidas para combatir la llamada “pobreza energética”. Esto es lo que prescriben los apartados 7 y 8 del art. 3 de la Directiva: “Los Estados miembros adoptarán las medidas oportunas para proteger a los clientes finales y, en particular, garantizarán una protección adecuada de los clientes vulnerables. A este respecto, cada uno de los Estados miembros definirá el concepto de cliente vulnerable que podrá referirse a la pobreza energética y, entre otras cosas, a la prohibición de desconexión de la electricidad a dichos clientes en períodos críticos…”; “Los Estados miembros adoptarán las medidas adecuadas, tales como planes nacionales de acción en materia de energía, prestaciones en el marco de regímenes de seguridad social para garantizar el necesario suministro de electricidad a los clientes vulnerables o el apoyo a mejoras de la eficiencia energética, con el fin de atajar la pobreza energética donde se haya constatado, también en el contexto más amplio de la pobreza en general…”. Los Estados miembros tenían que adoptar las disposiciones necesarias para dar cumplimiento a las previsiones de la Directiva 2009/72/CE para el 3 de marzo de 2011.</w:t>
      </w:r>
    </w:p>
    <w:p w:rsidR="00163957" w:rsidRDefault="00163957" w:rsidP="00163957">
      <w:pPr>
        <w:pStyle w:val="TextoNormal"/>
      </w:pPr>
    </w:p>
    <w:p w:rsidR="00163957" w:rsidRDefault="00163957" w:rsidP="00163957">
      <w:pPr>
        <w:pStyle w:val="TextoNormal"/>
      </w:pPr>
      <w:r>
        <w:t>Las mencionadas prescripciones de la Directiva 2009/72/CE no constituyen ninguna novedad. Ya el art. 3.5 de la Directiva 2003/54/CE de 26 de junio de 2003, sobre normas comunes para el mercado interior de la electricidad, derogada justamente por la Directiva 2009/72/CE, obligaba a los Estados miembros a adoptar las medidas oportunas para proteger a los clientes finales y, en particular, a garantizar una protección adecuada de los clientes vulnerables, incluidas medidas que les ayuden a evitar la interrupción del suministro. La Directiva 2009/72/CE reitera la exigencia y precisa el tipo de medidas necesarias.</w:t>
      </w:r>
    </w:p>
    <w:p w:rsidR="00163957" w:rsidRDefault="00163957" w:rsidP="00163957">
      <w:pPr>
        <w:pStyle w:val="TextoNormal"/>
      </w:pPr>
    </w:p>
    <w:p w:rsidR="00163957" w:rsidRDefault="00163957" w:rsidP="00163957">
      <w:pPr>
        <w:pStyle w:val="TextoNormal"/>
      </w:pPr>
      <w:r>
        <w:t>Igualmente, en relación con el suministro de gas natural el art. 3.3 de la Directiva 2009/73/CE (y, antes, la Directiva 2003/55/CE) contiene un mandato similar dirigido a los Estados miembros para que incluyan el concepto de pobreza energética y combatan sus efectos.</w:t>
      </w:r>
    </w:p>
    <w:p w:rsidR="00163957" w:rsidRDefault="00163957" w:rsidP="00163957">
      <w:pPr>
        <w:pStyle w:val="TextoNormal"/>
      </w:pPr>
    </w:p>
    <w:p w:rsidR="00163957" w:rsidRDefault="00163957" w:rsidP="00163957">
      <w:pPr>
        <w:pStyle w:val="TextoNormal"/>
      </w:pPr>
      <w:r>
        <w:t>3. Puede ser controvertido el exacto encuadramiento material de las medidas contempladas por el Decreto-ley impugnado, pero lo que no puede discutirse es que en el momento en que se dicta ninguna norma estatal ha dado pleno cumplimiento a las previsiones de las Directivas 2009/72/CE y 2009/73/CE en materia de pobreza energética. La habilitación que contiene el art. 45 LSE no ha sido ejercida todavía en el momento en que se aprueba la Sentencia de la que disiento, transcurridos cinco años desde la fecha máxima de transposición.</w:t>
      </w:r>
    </w:p>
    <w:p w:rsidR="00163957" w:rsidRDefault="00163957" w:rsidP="00163957">
      <w:pPr>
        <w:pStyle w:val="TextoNormal"/>
      </w:pPr>
    </w:p>
    <w:p w:rsidR="00163957" w:rsidRDefault="00163957" w:rsidP="00163957">
      <w:pPr>
        <w:pStyle w:val="TextoNormal"/>
      </w:pPr>
      <w:r>
        <w:t xml:space="preserve">En las circunstancias que concurren en la aprobación de la norma autonómica impugnada —amplio transcurso del plazo de transposición de la Directiva 2009/72/CE y falta de adopción por el legislador estatal, por las razones que sean, de las medidas adecuadas para su </w:t>
      </w:r>
      <w:r>
        <w:lastRenderedPageBreak/>
        <w:t>transposición en el ámbito de la pobreza energética en ejercicio de su competencia legislativa básica en materia energética—, una Comunidad Autónoma puede dictar en el ámbito de sus propias competencias las medidas que considere adecuadas para dar cumplimiento a lo exigido por el Derecho de la Unión. De acuerdo con el art. 189 EAC, Cataluña puede aplicar, transponer y ejecutar el Derecho de la Unión Europea en el ámbito de sus competencias. Otra interpretación no solo iría en contra del bloque de constitucionalidad sino que también resultaría incompatible con el debido cumplimiento de las obligaciones derivadas de nuestra pertenencia a la Unión Europea.</w:t>
      </w:r>
    </w:p>
    <w:p w:rsidR="00163957" w:rsidRDefault="00163957" w:rsidP="00163957">
      <w:pPr>
        <w:pStyle w:val="TextoNormal"/>
      </w:pPr>
    </w:p>
    <w:p w:rsidR="00163957" w:rsidRDefault="00163957" w:rsidP="00163957">
      <w:pPr>
        <w:pStyle w:val="TextoNormal"/>
      </w:pPr>
      <w:r>
        <w:t>En nuestro modelo de distribución de competencias solo el ejercicio constitucionalmente legítimo de la competencia estatal de legislación básica puede cerrar el paso a la legislación autonómica; siempre, claro, está que esta entre en contradicción insalvable. Ni el silencio de las bases ni la mera previsión genérica de un indeterminado desarrollo reglamentario por una norma básica pueden bloquear el ejercicio de las competencias autonómicas en el espacio normativo no ocupado efectivamente por las bases. Las normas autonómicas solo tienen como límite el contenido normativo de las normas básicas válidamente dictadas por el Estado, no sus silencios u omisiones. Solo este entendimiento resulta, a mi juicio, compatible con el sistema constitucional de competencias.</w:t>
      </w:r>
    </w:p>
    <w:p w:rsidR="00163957" w:rsidRDefault="00163957" w:rsidP="00163957">
      <w:pPr>
        <w:pStyle w:val="TextoNormal"/>
      </w:pPr>
    </w:p>
    <w:p w:rsidR="00163957" w:rsidRDefault="00163957" w:rsidP="00163957">
      <w:pPr>
        <w:pStyle w:val="TextoNormal"/>
      </w:pPr>
      <w:r>
        <w:t>4. Por el contrario, la Sentencia de la que discrepamos afirma, contra toda evidencia, que “el Estado ha incorporado las Directivas 2009/72/CE y 2009/73/CE optando, dentro del margen que en las mismas se establece, por la protección del consumidor vulnerable mediante un sistema de bonificación a través de la financiación de parte del precio del suministro de la electricidad y gas (arts. 45 LSE y 57 de la Ley del sector de hidrocarburos) y no mediante el establecimiento de prohibiciones de desconexión del suministro respecto a dichos clientes en períodos críticos, o en otros”. Como hemos indicado anteriormente, el art. 45 LSE se limita a remitir al desarrollo reglamentario la eventual regulación de protección de los consumidores vulnerables frente a la pobreza energética. Ni regula ni prohíbe regular a las Comunidades Autónomas. No se expresa ni se puede deducir de la legislación estatal básica una voluntad de los órganos centrales del Estado de no adoptar esa regulación o de no ejercer la habilitación normativa conferida por el art. 45 LSE; y, sobre todo, no se expresa ni se puede deducir pronunciamiento alguno sobre la voluntad de excluir cualquier mecanismo de suspensión de la desconexión del suministro a consumidores vulnerables en periodos críticos. Sin embargo, esta es la interpretación que formula la Sentencia: le atribuye a la normativa básica estatal una voluntad legislativa de no desarrollar una protección específica frente a la pobreza energética; le atribuye incluso la voluntad de excluir normas prohibitivas de desconexión del suministro en periodos críticos. A nuestro juicio, se trata de una atribución de intenciones al legislador estatal no solo insostenible con los cánones ordinarios de interpretación, sino también incompatible con la función de la jurisdicción constitucional.</w:t>
      </w:r>
    </w:p>
    <w:p w:rsidR="00163957" w:rsidRDefault="00163957" w:rsidP="00163957">
      <w:pPr>
        <w:pStyle w:val="TextoNormal"/>
      </w:pPr>
    </w:p>
    <w:p w:rsidR="00163957" w:rsidRDefault="00163957" w:rsidP="00163957">
      <w:pPr>
        <w:pStyle w:val="TextoNormal"/>
      </w:pPr>
      <w:r>
        <w:t>5. Por último, conviene subrayar que el hecho de que la norma catalana haya definido determinados consumidores como vulnerables y les haya conferido cierta protección frente a la desconexión del suministro por impago durante periodos críticos del año no significa que ello, por sí mismo, produzca una afectación al suministro o al régimen económico del sector eléctrico, tal como parece argüir la Sentencia de la que discrepo. La norma impugnada se limita a suspender temporalmente la desconexión del suministro eléctrico en determina</w:t>
      </w:r>
      <w:r>
        <w:lastRenderedPageBreak/>
        <w:t>dos casos (consumidores vulnerables cuya condición ha sido reconocida por la Administración competente), aplazando en la misma medida el pago del suministro prestado y adeudado al comercializador. Con ello, la norma autonómica no afecta al régimen económico del sector eléctrico en su conjunto, ni modifica ni sustituye el régimen estatal por unas normas propias. En el sistema diseñado por la legislación básica estatal, la retribución de los costes de comercialización no afecta al régimen económico del sector, pues, por una parte, la comercialización no tiene la condición de actividad regulada y, por otra, las empresas comercializadoras deben abonar a las empresas distribuidoras el peaje de acceso a las redes de transporte y distribución, con independencia de que cobren o no al consumidor final.</w:t>
      </w:r>
    </w:p>
    <w:p w:rsidR="00163957" w:rsidRDefault="00163957" w:rsidP="00163957">
      <w:pPr>
        <w:pStyle w:val="TextoNormal"/>
      </w:pPr>
    </w:p>
    <w:p w:rsidR="00163957" w:rsidRDefault="00163957" w:rsidP="00163957">
      <w:pPr>
        <w:pStyle w:val="TextoNormal"/>
      </w:pPr>
      <w:r>
        <w:t>Esto no es nada nuevo para este Tribunal, pues se trata de doctrina reiterada. En la STC 4/2013, de 17 de enero, este Tribunal afirmó que “dada la diferencia de funciones asignadas a las mismas en el sistema eléctrico según lo dispuesto en los arts. 9.1 e) y f) de la Ley del sector eléctrico, debe distinguirse entre el régimen económico aplicable a las empresas comercializadoras y a las distribuidoras”; “La diferencia de funciones que cumplen unas y otras en el sector eléctrico determina que, como ya hemos examinado, la distribución tenga el carácter de actividad regulada (art. 11.2 de la Ley del sector eléctrico), mientras que la comercialización se ejerce libremente en los términos de la Ley del sector eléctrico, con la excepción de los comercializadores de último recurso. Por esta razón, las alegaciones del Abogado del Estado sobre la vulneración del régimen económico del sector eléctrico no pueden prosperar en relación con las empresas comercializadoras puesto que, en este caso, conforme a la propia Ley del sector eléctrico (arts. 11.3 y 16.4), el suministro de energía, responsabilidad de estas empresas elegidas libremente por los consumidores, se realiza mediante la libre contratación de la energía y el correspondiente contrato de acceso a las redes [art. 44.1 de la Ley del sector eléctrico y 79.2 b) del Real Decreto 1955/2000], razón por la cual la retribución de los costes de la actividad de comercialización será la que libremente se pacte entre las partes. Este extremo determina que no se produzca en este supuesto la denunciada afectación al régimen económico del sector eléctrico” (FJ 10).</w:t>
      </w:r>
    </w:p>
    <w:p w:rsidR="00163957" w:rsidRDefault="00163957" w:rsidP="00163957">
      <w:pPr>
        <w:pStyle w:val="TextoNormal"/>
      </w:pPr>
    </w:p>
    <w:p w:rsidR="00163957" w:rsidRDefault="00163957" w:rsidP="00163957">
      <w:pPr>
        <w:pStyle w:val="TextoNormal"/>
      </w:pPr>
      <w:r>
        <w:t>Y en la reciente STC 32/2016, de 18 de febrero, este Tribunal tuvo de nuevo ocasión de descartar un argumento similar con respecto a una interferencia mucha más incisiva en los intereses de los comercializadores: la imposibilidad legal de interrumpir los suministros considerados esenciales por el art. 52.4 LSE. Frente al argumento aducido por el Abogado del Estado de que la fijación de dichos suministros esenciales afectaba al régimen económico del sector (y, por tanto, las Comunidades Autónomas no deberían poder ampliar ese elenco de supuestos), el Tribunal señaló que los “sujetos afectados por esta ininterrumpibilidad son los comercializadores, cuya actividad no tiene el calificativo legal de regulada y cuyo interés en cobrar créditos resulta asegurado por las acciones jurisdiccionales de que disponen, y, además por la regla establecida en el propio texto legal”, a través de la cual pueden afectar cualquier pago del titular del servicio al abono de las facturas impagadas de servicios esenciales (STC 32/2016, de 18 de febrero, FJ 13).</w:t>
      </w:r>
    </w:p>
    <w:p w:rsidR="00163957" w:rsidRDefault="00163957" w:rsidP="00163957">
      <w:pPr>
        <w:pStyle w:val="TextoNormal"/>
      </w:pPr>
    </w:p>
    <w:p w:rsidR="00163957" w:rsidRDefault="00163957" w:rsidP="00163957">
      <w:pPr>
        <w:pStyle w:val="TextoNormal"/>
      </w:pPr>
      <w:r>
        <w:t>Pues bien, en coherente aplicación del criterio sentado en la STC 32/2016 la Sentencia de la que discrepamos tenía que haber entendido igualmente que los sujetos afectados por la suspensión temporal del corte del suministro regulada por la norma impugnada en este proceso (interferencia —cabe insistir— cualitativa y cuantitativamente inferior que la ininterrumpibilidad absoluta de los suministros considerados esenciales que prescribe la norma</w:t>
      </w:r>
      <w:r>
        <w:lastRenderedPageBreak/>
        <w:t>tiva básica) son “los comercializadores cuya actividad no tiene el calificativo legal de regulada y cuyo interés en cobrar créditos resulta asegurado por las acciones jurisdiccionales de que disponen”.</w:t>
      </w:r>
    </w:p>
    <w:p w:rsidR="00163957" w:rsidRDefault="00163957" w:rsidP="00163957">
      <w:pPr>
        <w:pStyle w:val="TextoNormal"/>
      </w:pPr>
    </w:p>
    <w:p w:rsidR="00163957" w:rsidRDefault="00163957" w:rsidP="00163957">
      <w:pPr>
        <w:pStyle w:val="TextoNormal"/>
      </w:pPr>
      <w:r>
        <w:t>Así pues, tampoco desde la perspectiva de la incidencia en el régimen económico del sector eléctrico en su conjunto puede concluirse contravención alguna de la legislación básica estatal por la normativa impugnada.</w:t>
      </w:r>
    </w:p>
    <w:p w:rsidR="00163957" w:rsidRDefault="00163957" w:rsidP="00163957">
      <w:pPr>
        <w:pStyle w:val="TextoNormal"/>
      </w:pPr>
    </w:p>
    <w:p w:rsidR="00163957" w:rsidRDefault="00163957" w:rsidP="00163957">
      <w:pPr>
        <w:pStyle w:val="TextoNormal"/>
      </w:pPr>
      <w:r>
        <w:t>6. Una vez expuesta nuestra discrepancia con la conclusión de contravención, consideramos conveniente poner de manifiesto el sentido de la impugnación del Abogado del Estado, pues repercute en la forma de razonar de la Sentencia.</w:t>
      </w:r>
    </w:p>
    <w:p w:rsidR="00163957" w:rsidRDefault="00163957" w:rsidP="00163957">
      <w:pPr>
        <w:pStyle w:val="TextoNormal"/>
      </w:pPr>
    </w:p>
    <w:p w:rsidR="00163957" w:rsidRDefault="00163957" w:rsidP="00163957">
      <w:pPr>
        <w:pStyle w:val="TextoNormal"/>
      </w:pPr>
      <w:r>
        <w:t xml:space="preserve">La impugnación del Abogado del Estado no se dirige a la definición de consumidores vulnerables y a algunas medidas de carácter accesorio (mecanismos de intercambio de información) que contiene la norma autonómica, sino a que a las personas en situación de vulnerabilidad económica se les aplique en Cataluña un régimen económico diferente del previsto con carácter estatal. He aquí el núcleo de la impugnación estatal: no que la regulación autonómica contravenga las bases estatales, sino que contenga un régimen </w:t>
      </w:r>
      <w:r w:rsidRPr="00163957">
        <w:rPr>
          <w:i/>
        </w:rPr>
        <w:t>diferente</w:t>
      </w:r>
      <w:r>
        <w:t>. Esta concepción del ejercicio competencial autonómico es radicalmente incompatible con la doctrina reiterada de este Tribunal: “El principio constitucional de igualdad no impone que todas las Comunidades Autónomas ostenten las mismas competencias, ni, menos aún, que tengan que ejercerlas de una manera o con un contenido y unos resultados idénticos o semejantes. La autonomía significa precisamente la capacidad de cada nacionalidad o región para decidir cuándo y cómo ejercer sus propias competencias, en el marco de la Constitución y del Estatuto. Y si, como es lógico, de dicho ejercicio derivan desigualdades en la posición jurídica de los ciudadanos residentes en cada una de las distintas Comunidades Autónomas, no por ello resultan necesariamente infringidos los arts. 1, 9.2, 14, 139.1 y 149.1.1 de la Constitución, ya que éstos preceptos no exigen un tratamiento jurídico uniforme de los derechos y deberes de los ciudadanos en todo tipo de materias y en todo el territorio del Estado, lo que sería frontalmente incompatible con la autonomía, sino, a lo sumo, y por lo que al ejercicio de los derechos y al cumplimiento de los deberes constitucionales se refiere, una igualdad de las posiciones jurídicas fundamentales” (STC 37/1987, de 26 de marzo, FJ 10, reiterada en muchísimas otras posteriores).</w:t>
      </w:r>
    </w:p>
    <w:p w:rsidR="00163957" w:rsidRDefault="00163957" w:rsidP="00163957">
      <w:pPr>
        <w:pStyle w:val="TextoNormal"/>
      </w:pPr>
    </w:p>
    <w:p w:rsidR="00163957" w:rsidRDefault="00163957" w:rsidP="00163957">
      <w:pPr>
        <w:pStyle w:val="TextoNormal"/>
      </w:pPr>
      <w:r>
        <w:t>Como el planteamiento del Abogado del Estado no puede aceptarse sin más, la Sentencia de la que discrepamos convierte una diferencia de regulación autonómica (que en el presente caso se conecta con exigencias europeas) en una contravención insalvable de la normativa básica estatal. Ello redunda en una preocupante erosión de las competencias legislativas autonómicas, cuyo ejercicio no tendría como límite solo el contenido normativo de las normas básicas válidamente dictadas por el Estado, sino también una peculiar prohibición de desarrollo y de diferenciación, incluso cuando, como ocurre en el presente caso, las normas básicas que regulen la cuestión no han llegado a materializarse.</w:t>
      </w:r>
    </w:p>
    <w:p w:rsidR="00163957" w:rsidRDefault="00163957" w:rsidP="00163957">
      <w:pPr>
        <w:pStyle w:val="TextoNormal"/>
      </w:pPr>
    </w:p>
    <w:p w:rsidR="00163957" w:rsidRDefault="00163957" w:rsidP="00163957">
      <w:pPr>
        <w:pStyle w:val="TextoNormal"/>
      </w:pPr>
      <w:r>
        <w:t xml:space="preserve">Las posibles implicaciones de la fundamentación de la presente Sentencia para nuestra futura jurisprudencia son preocupantes. Se podrá impedir a las Comunidades Autónomas que, en ejercicio de sus competencias, adopten disposiciones diferentes a las normas estatales con el mismo propósito de tutela si, por su contenido o intensidad, los órganos centrales del Estado consideran que de alguna manera alteran el equilibrio de intereses establecido </w:t>
      </w:r>
      <w:r>
        <w:lastRenderedPageBreak/>
        <w:t>por las normas estatales de carácter básico, incluso aunque no exista norma alguna que lo prohíba. Significativamente, y esto da una idea de qué queda de la competencia autonómica compartida en materia energética, el fundamento jurídico 11 de la propia Sentencia reduce a las medidas asistenciales la posible intervención de las Comunidades Autónomas en el ámbito de la pobreza energética.</w:t>
      </w:r>
    </w:p>
    <w:p w:rsidR="00163957" w:rsidRDefault="00163957" w:rsidP="00163957">
      <w:pPr>
        <w:pStyle w:val="TextoNormal"/>
      </w:pPr>
    </w:p>
    <w:p w:rsidR="00163957" w:rsidRDefault="00163957" w:rsidP="00163957">
      <w:pPr>
        <w:pStyle w:val="TextoNormal"/>
      </w:pPr>
      <w:r>
        <w:t>7. En definitiva, la Sentencia debió declarar que la norma autonómica impugnada no contraviene la normativa estatal de carácter básico, ni en consecuencia incurre en inconstitucionalidad mediata alguna.</w:t>
      </w:r>
    </w:p>
    <w:p w:rsidR="00163957" w:rsidRDefault="00163957" w:rsidP="00163957">
      <w:pPr>
        <w:pStyle w:val="TextoNormal"/>
      </w:pPr>
    </w:p>
    <w:p w:rsidR="00163957" w:rsidRDefault="00163957" w:rsidP="00163957">
      <w:pPr>
        <w:pStyle w:val="TextoNormal"/>
      </w:pPr>
      <w:r>
        <w:t>Madrid, a diecisiete de marzo de dos mil dieciséis.</w:t>
      </w:r>
    </w:p>
    <w:p w:rsidR="00163957" w:rsidRDefault="00163957" w:rsidP="00163957">
      <w:pPr>
        <w:pStyle w:val="TextoNormal"/>
      </w:pPr>
    </w:p>
    <w:p w:rsidR="00163957" w:rsidRDefault="00163957" w:rsidP="00163957">
      <w:pPr>
        <w:pStyle w:val="TextoNormalNegritaCentrado"/>
        <w:keepNext/>
      </w:pPr>
      <w:r>
        <w:t>Voto particular que formula el Magistrado don Juan Antonio Xiol Ríos a la Sentencia dictada en el recurso de inconstitucionalidad núm. 5831-2014.</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en la que se sustenta la Sentencia, manifiesto mi discrepancia con su fundamentación jurídica y con su fallo, que, en mi opinión, hubiera debido ser íntegramente desestimatorio.</w:t>
      </w:r>
    </w:p>
    <w:p w:rsidR="00163957" w:rsidRDefault="00163957" w:rsidP="00163957">
      <w:pPr>
        <w:pStyle w:val="TextoNormal"/>
      </w:pPr>
    </w:p>
    <w:p w:rsidR="00163957" w:rsidRDefault="00163957" w:rsidP="00163957">
      <w:pPr>
        <w:pStyle w:val="TextoNormal"/>
      </w:pPr>
      <w:r>
        <w:t>1. Planteamiento.</w:t>
      </w:r>
    </w:p>
    <w:p w:rsidR="00163957" w:rsidRDefault="00163957" w:rsidP="00163957">
      <w:pPr>
        <w:pStyle w:val="TextoNormal"/>
      </w:pPr>
    </w:p>
    <w:p w:rsidR="00163957" w:rsidRDefault="00163957" w:rsidP="00163957">
      <w:pPr>
        <w:pStyle w:val="TextoNormal"/>
      </w:pPr>
      <w:r>
        <w:t>El objeto de este recurso de inconstitucionalidad es determinar si la regulación desarrollada por el Decreto-ley de Cataluña 6/2013, de 23 de diciembre, por el que se modifica la Ley 22/2010, de 20 de julio, del Código de consumo de Cataluña, en relación con la interrupción del suministro domiciliario de electricidad y gas de las personas que están en una situación de vulnerabilidad económica, invade las competencias estatales básicas en materia de planificación general del sistema económico (art. 149.1.13 CE) y del régimen energético (art. 149.1.25 CE), por ser contraria a la regulación de carácter básico sobre la materia contenida en la Ley 24/2013, de 26 de diciembre, del sector eléctrico (LSE), y la Ley 34/1998, de 7 de octubre, del sector de los hidrocarburos, respectivamente.</w:t>
      </w:r>
    </w:p>
    <w:p w:rsidR="00163957" w:rsidRDefault="00163957" w:rsidP="00163957">
      <w:pPr>
        <w:pStyle w:val="TextoNormal"/>
      </w:pPr>
    </w:p>
    <w:p w:rsidR="00163957" w:rsidRDefault="00163957" w:rsidP="00163957">
      <w:pPr>
        <w:pStyle w:val="TextoNormal"/>
      </w:pPr>
      <w:r>
        <w:t>La opinión mayoritaria que sustenta la sentencia fundamenta la estimación del recurso en un proceso silogístico en el cual: (i) la premisa mayor es que las medidas controvertidas deben quedar encuadradas, por su carácter prevalente respecto de las competencias asumidas por la Comunidad Autónoma de Cataluña en materia de consumo (art. 123 EAC) y de servicios sociales (art. 166 EAC), dentro de las competencias estatales básicas en materia de planificación general del sistema económico (art. 149.1.13 CE) y del régimen energético (art. 149.1.25 CE); (ii) la premisa menor es que existe una normativa estatal de carácter básico de protección a los consumidores vulnerables inmersos en situaciones de pobreza energética que queda limitada a las tarifas de último recurso y el bono social, sin incidir en el régimen de la interrupción del suministro y la reclamación por las comercializadoras de las deudas en caso de impago; y (iii) la conclusión es que, al existir una contradicción entre la normativa básica estatal —sistema basado en el bono social— y la regulación autonómica controvertida —sistema basado en causales de suspensión de interrupción del suministro y aplazamiento de la deuda en periodos críticos— esta última incurre en inconstitucionalidad mediata.</w:t>
      </w:r>
    </w:p>
    <w:p w:rsidR="00163957" w:rsidRDefault="00163957" w:rsidP="00163957">
      <w:pPr>
        <w:pStyle w:val="TextoNormal"/>
      </w:pPr>
    </w:p>
    <w:p w:rsidR="00163957" w:rsidRDefault="00163957" w:rsidP="00163957">
      <w:pPr>
        <w:pStyle w:val="TextoNormal"/>
      </w:pPr>
      <w:r>
        <w:lastRenderedPageBreak/>
        <w:t>Pues bien, discrepo de ambas premisas y, consecuentemente, de la conclusión alcanzada por los razonamientos que a continuación se expresan.</w:t>
      </w:r>
    </w:p>
    <w:p w:rsidR="00163957" w:rsidRDefault="00163957" w:rsidP="00163957">
      <w:pPr>
        <w:pStyle w:val="TextoNormal"/>
      </w:pPr>
    </w:p>
    <w:p w:rsidR="00163957" w:rsidRDefault="00163957" w:rsidP="00163957">
      <w:pPr>
        <w:pStyle w:val="TextoNormal"/>
      </w:pPr>
      <w:r>
        <w:t>2. Las medidas controvertidas deben encuadrarse en las materias de consumo y servicios sociales y no en las de régimen energético y planificación general del sistema económico.</w:t>
      </w:r>
    </w:p>
    <w:p w:rsidR="00163957" w:rsidRDefault="00163957" w:rsidP="00163957">
      <w:pPr>
        <w:pStyle w:val="TextoNormal"/>
      </w:pPr>
    </w:p>
    <w:p w:rsidR="00163957" w:rsidRDefault="00163957" w:rsidP="00163957">
      <w:pPr>
        <w:pStyle w:val="TextoNormal"/>
      </w:pPr>
      <w:r>
        <w:t>La normativa impugnada, en la parte que ha sido anulada por la presente sentencia, configura las obligaciones y derechos de las empresas comercializadoras de electricidad y gas en relación con el deber de suministro y el derecho a reclamar el pago de las facturas de los consumidores en situación de especial vulnerabilidad por estar inmersos en una situación de pobreza energética, estableciendo (i) una causa de suspensión de la posibilidad de interrupción del suministro por impago de dos meses consecutivos, entre los meses de noviembre y marzo y (ii) el aplazamiento y/o fraccionamiento de la deuda pendiente con las condiciones que ambas partes acuerden o bien mediante los mecanismos de mediación y arbitraje que las partes acepten. La opinión mayoritaria en la que se sustenta la sentencia afirma que el contenido y finalidad de esta regulación, por incidir directamente en la configuración del contenido del régimen jurídico de las empresas comercializadoras, hace prevalente la materia competencial del régimen energético.</w:t>
      </w:r>
    </w:p>
    <w:p w:rsidR="00163957" w:rsidRDefault="00163957" w:rsidP="00163957">
      <w:pPr>
        <w:pStyle w:val="TextoNormal"/>
      </w:pPr>
    </w:p>
    <w:p w:rsidR="00163957" w:rsidRDefault="00163957" w:rsidP="00163957">
      <w:pPr>
        <w:pStyle w:val="TextoNormal"/>
      </w:pPr>
      <w:r>
        <w:t>No puedo compartir esa afirmación. En el Voto particular que formulé en la STC 32/2016, de 18 de febrero, en relación con el análisis de constitucionalidad del art. 43.5 LSE, defendí que establecer una vía administrativa a través de la cual unos determinados consumidores (las personas físicas que sean usuarios finales de energía eléctrica) pueden recurrir en defensa de sus derechos queda amparada en la materia competencial del régimen energético debido a que la implantación de este tipo de procedimientos, por tener como finalidad estructural garantizar los derechos de una categoría de consumidores, contribuye a asegurar la efectividad del propio sistema. En el presente caso, sin embargo, no se aprecia ninguna nota en el contenido de la normativa impugnada que permita afirmar que es una regulación de carácter sistémico que afecte al régimen energético. Más bien, con el telón de fondo de los mandatos constitucionales del art. 51.1 CE de que “[l]os poderes públicos garantizarán la defensa de los consumidores y usuarios, protegiendo, mediante procedimientos eficaces, la seguridad, la salud y los legítimos intereses económicos de los mismos” y del art. 128.1 CE de que “[t]oda la riqueza del país en sus distintas formas y sea cual fuere su titularidad está subordinada al interés general”, se pone de manifiesto que se están regulando determinadas garantías —ciertamente en el marco del sector energético— en protección de los consumidores especialmente vulnerables por estar inmersos en situaciones de pobreza energética. Estas garantías consisten en que en la prestación del servicio de suministro doméstico de energía dentro del ámbito territorial de Cataluña se flexibilizan las específicas medidas del régimen de interrupción y pagos de las deudas limitándolas, además, a un concreto periodo temporal crítico en que la situación de pobreza energética es susceptible de traducirse en consecuencias negativas para la salud de los consumidores, tal como ha sido documentado por el Síndic de Greuges, en el informe sobre la pobreza energética en Cataluña, de octubre de 2013. No es, pues, una normativa que se despegue de una regulación sobre derechos básicos de los consumidores y usuarios en el sentido definido, por ejemplo, en el art. 8 a) y f) del Real Decreto Legislativo 1/2007, de 16 de noviembre, por el que se aprueba el texto refundido de la Ley general para la defensa de los consumidores y usuarios y otras leyes complementarias, cuando establece que “[s]on derechos básicos de los consu</w:t>
      </w:r>
      <w:r>
        <w:lastRenderedPageBreak/>
        <w:t>midores y usuarios: a) La protección contra los riesgos que puedan afectar su salud o seguridad … f) La protección de sus derechos mediante procedimientos eficaces, en especial ante situaciones de inferioridad, subordinación e indefensión”.</w:t>
      </w:r>
    </w:p>
    <w:p w:rsidR="00163957" w:rsidRDefault="00163957" w:rsidP="00163957">
      <w:pPr>
        <w:pStyle w:val="TextoNormal"/>
      </w:pPr>
    </w:p>
    <w:p w:rsidR="00163957" w:rsidRDefault="00163957" w:rsidP="00163957">
      <w:pPr>
        <w:pStyle w:val="TextoNormal"/>
      </w:pPr>
      <w:r>
        <w:t>A esa misma conclusión puede llegarse si se atiende, por ejemplo, a (i) la circunstancia de que la normativa impugnada supone una modificación específica del Código de consumo de Cataluña; y (ii) que la Directiva 2009/72/CE del Parlamento Europeo y del Consejo, de 13 de julio de 2009, sobre normas comunes para el mercado interior de la electricidad, y la Directiva 2009/73 del Parlamento Europeo y del Consejo, de 13 de julio de 2009, sobre normas comunes para el mercado interior del gas natural, que son las que regulan la obligación nacional de establecer una normativa que garantice una protección adecuada de los clientes vulnerables en situaciones de pobreza energética, establecen esa previsión dentro de un artículo intitulado “Obligaciones de servicio público y protección del cliente”.</w:t>
      </w:r>
    </w:p>
    <w:p w:rsidR="00163957" w:rsidRDefault="00163957" w:rsidP="00163957">
      <w:pPr>
        <w:pStyle w:val="TextoNormal"/>
      </w:pPr>
    </w:p>
    <w:p w:rsidR="00163957" w:rsidRDefault="00163957" w:rsidP="00163957">
      <w:pPr>
        <w:pStyle w:val="TextoNormal"/>
      </w:pPr>
      <w:r>
        <w:t>Con este contexto normativo a mi juicio no cabe sostener, como hace la opinión mayoritaria en la que se sustenta la sentencia, que en esta normativa son prevalentes consideraciones sistémicas del régimen energético —por incidir directamente en la configuración del contenido del régimen jurídico de las empresas comercializadoras— sobre la evidencia de que su contenido material tiene una finalidad de protección de los consumidores y de atención social a los problemas concretos, cotidianos y angustiosos de las personas y familias más vulnerables en situación de pobreza energética que no alcanzan con los ingresos que pueden aportar con su actividad privada y/o el apoyo público de las diferentes instituciones a satisfacer las mínimas condiciones de habitabilidad de sus viviendas durante los periodos críticos de frío. Una concepción de esas características para mí resulta difícilmente compatible con la definición que da el art. 1.1 CE de España como un Estado social; la cual implica que el mundo de los sistemas está subordinado al mundo de la vida.</w:t>
      </w:r>
    </w:p>
    <w:p w:rsidR="00163957" w:rsidRDefault="00163957" w:rsidP="00163957">
      <w:pPr>
        <w:pStyle w:val="TextoNormal"/>
      </w:pPr>
    </w:p>
    <w:p w:rsidR="00163957" w:rsidRDefault="00163957" w:rsidP="00163957">
      <w:pPr>
        <w:pStyle w:val="TextoNormal"/>
      </w:pPr>
      <w:r>
        <w:t>En suma, como vengo haciendo infructuosamente en esta y otras deliberaciones anteriores, invito a reflexionar sobre si el papel de los juristas y en especial de los jueces constitucionales en la sociedad actual va más allá del positivismo formalista y sobre si un sistema que, por perfecto que parezca en términos de simetría lógica, subordine su mantenimiento y funcionamiento a la marginación o exclusión social de parte de su población, tiene cabida en un régimen jurídico-constitucional que se define como social y democrático.</w:t>
      </w:r>
    </w:p>
    <w:p w:rsidR="00163957" w:rsidRDefault="00163957" w:rsidP="00163957">
      <w:pPr>
        <w:pStyle w:val="TextoNormal"/>
      </w:pPr>
    </w:p>
    <w:p w:rsidR="00163957" w:rsidRDefault="00163957" w:rsidP="00163957">
      <w:pPr>
        <w:pStyle w:val="TextoNormal"/>
      </w:pPr>
      <w:r>
        <w:t>3. Las medidas controvertidas, incluso hipotéticamente encuadradas en el régimen energético, son una competencia compartida con la Comunidad Autónoma de Cataluña.</w:t>
      </w:r>
    </w:p>
    <w:p w:rsidR="00163957" w:rsidRDefault="00163957" w:rsidP="00163957">
      <w:pPr>
        <w:pStyle w:val="TextoNormal"/>
      </w:pPr>
    </w:p>
    <w:p w:rsidR="00163957" w:rsidRDefault="00163957" w:rsidP="00163957">
      <w:pPr>
        <w:pStyle w:val="TextoNormal"/>
      </w:pPr>
      <w:r>
        <w:t xml:space="preserve">El art. 133.1 c) EAC establece que “[c]orresponde a la Generalitat la competencia compartida en materia de energía. Esta competencia incluye en todo caso: … c) el desarrollo de las normas complementarias de calidad de los servicios de suministro de energía”. Pues bien, las cuestiones referidas a la interrupción del suministro son una normativa materialmente encuadrable en la regulación de la calidad del suministro energético. A esa conclusión se llega con un razonamiento puramente sistemático sobre la regulación estatal en la materia. En efecto, (i) el título VIII LSE regula el “Suministro de energía eléctrica”; (ii) su capítulo II regula, precisamente, la “Calidad del suministro eléctrico”; y (iii) el art. 52, que es en el que se regula la suspensión del suministro y que es uno de los preceptos que se utiliza en la opinión mayoritaria en la que se sustenta la sentencia como norma básica de contraste, está ubicado dentro de ese capítulo dedicado a la calidad del suministro. Parece que la lógica </w:t>
      </w:r>
      <w:r>
        <w:lastRenderedPageBreak/>
        <w:t>formal impone que (i) si la normativa estatal de contraste define la materia controvertida como una cuestión relativa a la calidad del suministro; (ii) entonces, es, de conformidad con el art. 133.1.c) EAC, una competencia compartida en materia de energía en la medida en que puede concluirse que supone el desarrollo de normas complementarias.</w:t>
      </w:r>
    </w:p>
    <w:p w:rsidR="00163957" w:rsidRDefault="00163957" w:rsidP="00163957">
      <w:pPr>
        <w:pStyle w:val="TextoNormal"/>
      </w:pPr>
    </w:p>
    <w:p w:rsidR="00163957" w:rsidRDefault="00163957" w:rsidP="00163957">
      <w:pPr>
        <w:pStyle w:val="TextoNormal"/>
      </w:pPr>
      <w:r>
        <w:t>A una conclusión semejante debe llegarse en relación con el suministro de gas, toda vez que si bien las sistemática de la Ley del sector de los hidrocarburos no permite una conclusión tan directa como la derivada de la LSE, también se pone de manifiesto que la suspensión del suministro (art. 88 de la Ley del sector de los hidrocarburos  que es la norma básica de contraste utilizada en la opinión mayoritaria en la que se sustenta la sentencia) es una cuestión en relación directa con la materia referida a la calidad del suministro de gases licuados (art. 86 de la Ley del sector de los hidrocarburos).</w:t>
      </w:r>
    </w:p>
    <w:p w:rsidR="00163957" w:rsidRDefault="00163957" w:rsidP="00163957">
      <w:pPr>
        <w:pStyle w:val="TextoNormal"/>
      </w:pPr>
    </w:p>
    <w:p w:rsidR="00163957" w:rsidRDefault="00163957" w:rsidP="00163957">
      <w:pPr>
        <w:pStyle w:val="TextoNormal"/>
      </w:pPr>
      <w:r>
        <w:t>Por tanto, considero, y esta es mi segunda discrepancia con la premisa mayor sobre el encuadre competencial realizado por la opinión mayoritaria en la que se sustenta la sentencia, que el parámetro de control de constitucionalidad debería haber sido, al menos, que la norma impugnada está encuadrada en una competencia compartida y no es una competencia exclusiva. Esto implica, como se declara en las SSTC 148/2011, de 28 de septiembre, FJ 5 y 4/2013, de 17 de enero, FJ 10, que ha de existir un margen para el desarrollo por las comunidades autónomas de actuaciones u políticas propias en materia de calidad del suministro eléctrico.</w:t>
      </w:r>
    </w:p>
    <w:p w:rsidR="00163957" w:rsidRDefault="00163957" w:rsidP="00163957">
      <w:pPr>
        <w:pStyle w:val="TextoNormal"/>
      </w:pPr>
    </w:p>
    <w:p w:rsidR="00163957" w:rsidRDefault="00163957" w:rsidP="00163957">
      <w:pPr>
        <w:pStyle w:val="TextoNormal"/>
      </w:pPr>
      <w:r>
        <w:t>4. La normativa estatal que se establece como de contraste no tiene carácter materialmente básico.</w:t>
      </w:r>
    </w:p>
    <w:p w:rsidR="00163957" w:rsidRDefault="00163957" w:rsidP="00163957">
      <w:pPr>
        <w:pStyle w:val="TextoNormal"/>
      </w:pPr>
    </w:p>
    <w:p w:rsidR="00163957" w:rsidRDefault="00163957" w:rsidP="00163957">
      <w:pPr>
        <w:pStyle w:val="TextoNormal"/>
      </w:pPr>
      <w:r>
        <w:t>La opinión mayoritaria en la que se sustenta la Sentencia afirma que los arts. 52.3 LSE y 88.3 de la Ley del sector de los hidrocarburos, y su normativa de desarrollo reglamentario —en que se regulan las condiciones de la interrupción del suministro por impago sin prever ninguna excepción o posibilidad de suspensión en supuestos de pobreza energética— son materialmente básicos. Esa afirmación se fundamenta en que tales preceptos establecen derechos y obligaciones para los diversos sujetos intervinientes en el sector del suministro eléctrico y gasista garantizando un régimen homogéneo que asegura un tratamiento común en todo el territorio nacional en cuanto a las consecuencias derivadas del impago del suministro eléctrico y de gas y que estos sectores energéticos son de gran importancia para el conjunto de la economía nacional y para la totalidad de los otros sectores económicos y la vida cotidiana.</w:t>
      </w:r>
    </w:p>
    <w:p w:rsidR="00163957" w:rsidRDefault="00163957" w:rsidP="00163957">
      <w:pPr>
        <w:pStyle w:val="TextoNormal"/>
      </w:pPr>
    </w:p>
    <w:p w:rsidR="00163957" w:rsidRDefault="00163957" w:rsidP="00163957">
      <w:pPr>
        <w:pStyle w:val="TextoNormal"/>
      </w:pPr>
      <w:r>
        <w:t>Nuevamente debo discrepar de esta afirmación contenida en la premisa menor del proceso silogístico. Me resulta extraño que en el marco de una jurisprudencia constitucional a mi juicio, como vengo defendiendo en las deliberaciones, excesivamente autorreferente y cerrada (habitualmente solo busca una fuente autoritativa de legitimación —en el sentido de Summers— en sus propios precedentes), no se haya atendido en este caso a dos pronunciamientos del Pleno de este Tribunal relativamente cercanos en el tiempo para analizar el carácter materialmente básico de esta normativa.</w:t>
      </w:r>
    </w:p>
    <w:p w:rsidR="00163957" w:rsidRDefault="00163957" w:rsidP="00163957">
      <w:pPr>
        <w:pStyle w:val="TextoNormal"/>
      </w:pPr>
    </w:p>
    <w:p w:rsidR="00163957" w:rsidRDefault="00163957" w:rsidP="00163957">
      <w:pPr>
        <w:pStyle w:val="TextoNormal"/>
      </w:pPr>
      <w:r>
        <w:t xml:space="preserve">Me refiero, en primer lugar, a la STC 4/2013, de 17 de enero, FJ 10. En esta Sentencia, con fundamento en el diferente régimen económico aplicable en la legislación eléctrica a </w:t>
      </w:r>
      <w:r>
        <w:lastRenderedPageBreak/>
        <w:t>las empresas comercializadoras —que está liberalizado— y a las distribuidoras de electricidad —que tiene la consideración de actividad regulada—, se concluía que la normativa autonómica entonces impugnada —imposición de determinadas obligaciones de contenido económico a ambos tipos de empresas— no incidía en el régimen económico del sector eléctrico en lo que se refería a la empresas comercializadoras. Por su parte, respecto de las empresas suministradoras, se afirmaba que, aunque se impusieran condiciones susceptibles de generar costes, ello no podía suponer por sí solo la vulneración de las competencias del Estado en relación con el régimen económico del sector eléctrico. El argumento era que “[e]n caso contrario, podría producirse un vaciamiento de las competencias autonómicas que cuentan con expreso reconocimiento estatutario sin que, por otra parte, pueda deducirse del precepto impugnado cuestionamiento alguno del carácter único del régimen económico del sector eléctrico, ni de las competencias estatales relativas a su determinación” (STC 4/2013, FJ 10).</w:t>
      </w:r>
    </w:p>
    <w:p w:rsidR="00163957" w:rsidRDefault="00163957" w:rsidP="00163957">
      <w:pPr>
        <w:pStyle w:val="TextoNormal"/>
      </w:pPr>
    </w:p>
    <w:p w:rsidR="00163957" w:rsidRDefault="00163957" w:rsidP="00163957">
      <w:pPr>
        <w:pStyle w:val="TextoNormal"/>
      </w:pPr>
      <w:r>
        <w:t>En segundo lugar, la STC 32/2016, de 18 de febrero, en que se analizaba la prohibición prevista en el art. 52.4 LSE de interrumpir los suministros considerados esenciales, también resulta relevante. En esta sentencia se rebate la alegación del abogado del Estado de que la fijación de dichos suministros esenciales afectaba al régimen económico del sector, afirmando que “[l]os sujetos afectados por esta ininterrumpibilidad son los comercializadores, cuya actividad no tiene el calificativo legal de regulada y cuyo interés en cobrar sus créditos resulta asegurada por las acciones jurisdiccionales de que disponen, y, además, por la regla establecida en el propio texto legal, a través de la que, como se ha mencionado anteriormente, pueden afectar cualquier pago del titular del servicio al abono de las facturas impagadas de servicios esenciales” (FJ 13).</w:t>
      </w:r>
    </w:p>
    <w:p w:rsidR="00163957" w:rsidRDefault="00163957" w:rsidP="00163957">
      <w:pPr>
        <w:pStyle w:val="TextoNormal"/>
      </w:pPr>
    </w:p>
    <w:p w:rsidR="00163957" w:rsidRDefault="00163957" w:rsidP="00163957">
      <w:pPr>
        <w:pStyle w:val="TextoNormal"/>
      </w:pPr>
      <w:r>
        <w:t>Con estos precedentes, tan cercanos en el tiempo y tajantes en su tenor, no puede compartirse la idea de que la normativa estatal reguladora de la interrupción del suministro en caso de impagos a las empresas comercializadoras tenga el carácter de materialmente básica y, en coherencia con ello, que la imposición de determinadas obligaciones a las empresas comercializadoras en protección de situaciones de pobreza energética en periodos críticos, que ni siquiera tienen el carácter de condonación de una deuda sino de un mero aplazamiento, pudiera suponer la contravención de normativa básica estatal del sistema energético por afectación a su régimen económico.</w:t>
      </w:r>
    </w:p>
    <w:p w:rsidR="00163957" w:rsidRDefault="00163957" w:rsidP="00163957">
      <w:pPr>
        <w:pStyle w:val="TextoNormal"/>
      </w:pPr>
    </w:p>
    <w:p w:rsidR="00163957" w:rsidRDefault="00163957" w:rsidP="00163957">
      <w:pPr>
        <w:pStyle w:val="TextoNormal"/>
      </w:pPr>
      <w:r>
        <w:t>5. La normativa estatal, aunque pudiera ser considerada básica, no agota el sistema de protección de los consumidores vulnerables inmersos en una situación de pobreza energética.</w:t>
      </w:r>
    </w:p>
    <w:p w:rsidR="00163957" w:rsidRDefault="00163957" w:rsidP="00163957">
      <w:pPr>
        <w:pStyle w:val="TextoNormal"/>
      </w:pPr>
    </w:p>
    <w:p w:rsidR="00163957" w:rsidRDefault="00163957" w:rsidP="00163957">
      <w:pPr>
        <w:pStyle w:val="TextoNormal"/>
      </w:pPr>
      <w:r>
        <w:t>La opinión mayoritaria en la que se sustenta la Sentencia afirma que la regulación estatal básica que tiene por objeto la protección de las personas y familias en situación de vulnerabilidad económica no se produce mediante el establecimiento de prohibiciones de desconexión del suministro respecto a dichos clientes en períodos críticos, ya que no exceptúa estos consumidores del régimen general sobre interrupción del suministro (arts. 52.3 LSE y 85 del Real Decreto 1955/2000, para el sector eléctrico; y arts. 88.3 de la Ley del sector de los hidrocarburos y 57 del Real Decreto 1434/2002, para el sector gasista); sino que queda limitada a las tarifas de último recurso y el bono social (arts. 45 LSE y 57 de la Ley del sector de los hidrocarburos).</w:t>
      </w:r>
    </w:p>
    <w:p w:rsidR="00163957" w:rsidRDefault="00163957" w:rsidP="00163957">
      <w:pPr>
        <w:pStyle w:val="TextoNormal"/>
      </w:pPr>
    </w:p>
    <w:p w:rsidR="00163957" w:rsidRDefault="00163957" w:rsidP="00163957">
      <w:pPr>
        <w:pStyle w:val="TextoNormal"/>
      </w:pPr>
      <w:r>
        <w:lastRenderedPageBreak/>
        <w:t>Pues bien, incluso aunque se compartiera el carácter básico en materia de régimen energético de esta normativa, mi segunda discrepancia con la premisa menor de la opinión mayoritaria en la que se sustenta la sentencia, radica en que (i) el sistema estatal de protección de este tipo de consumidores vulnerables, en trasposición de las obligaciones comunitarias, a mi juicio no está ya concretado de manera definitiva; y que (ii) las tarifas de último recurso y el bono social no agotan el sistema de protección del suministro energético doméstico en situaciones de especial vulnerabilidad.</w:t>
      </w:r>
    </w:p>
    <w:p w:rsidR="00163957" w:rsidRDefault="00163957" w:rsidP="00163957">
      <w:pPr>
        <w:pStyle w:val="TextoNormal"/>
      </w:pPr>
    </w:p>
    <w:p w:rsidR="00163957" w:rsidRDefault="00163957" w:rsidP="00163957">
      <w:pPr>
        <w:pStyle w:val="TextoNormal"/>
      </w:pPr>
      <w:r>
        <w:t>El art. 3.7 de la Directiva 2009/72/CE, de 13 de julio, por la que se establecen las normas comunes para el mercado interior de la electricidad, dispone que “[l]os Estados miembros adoptarán las medidas oportunas para proteger a los clientes finales y, en particular, garantizarán una protección adecuada de los clientes vulnerables. A este respecto, cada uno de los Estados miembros definirá el concepto de cliente vulnerable que podrá referirse a la pobreza energética y, entre otras cosas, a la prohibición de desconexión de la electricidad a dichos clientes en períodos críticos”. Del mismo modo, el art. 3.3 de la Directiva 2009/73/CE, por la que se establecen normas comunes para el mercado interior del gas natural, y de modo paralelo a la electricidad, dispone que “[l]os Estados miembros adoptarán las medidas oportunas para proteger a los clientes finales y, en particular, garantizarán una protección adecuada de los clientes vulnerables. A este respecto, cada uno de los Estados miembros definirá el concepto de cliente vulnerable que podrá referirse a la pobreza energética y, entre otras cosas, a la prohibición de desconexión de dichos clientes en períodos críticos”.</w:t>
      </w:r>
    </w:p>
    <w:p w:rsidR="00163957" w:rsidRDefault="00163957" w:rsidP="00163957">
      <w:pPr>
        <w:pStyle w:val="TextoNormal"/>
      </w:pPr>
    </w:p>
    <w:p w:rsidR="00163957" w:rsidRDefault="00163957" w:rsidP="00163957">
      <w:pPr>
        <w:pStyle w:val="TextoNormal"/>
      </w:pPr>
      <w:r>
        <w:t>La trasposición de estas concretas y específicas previsiones de la normativa comunitaria tuvo lugar mediante el Real Decreto-ley 13/2012, de 30 de marzo, tal como se reconoce en su exposición de motivos. A esos efectos, y por lo que se refiere al sector eléctrico, la trasposición dio lugar a que se incluyeran los arts. 44.4 y 44.5 en la entonces vigente LSE 1997 y que, tras la aprobación de la LSE 2013, pasaron a ser los art. 45.1 y 43.3, respectivamente, con un contenido no modificado. En concreto, el entonces art. 44.5 LSE 1997 y ahora art. 43.3 LSE 2013 dispone que “[r]eglamentariamente se establecerán, por las Administraciones Públicas competentes, medidas de protección al consumidor que deberán recogerse en las condiciones contractuales para los contratos de suministro de los comercializadores con aquellos consumidores que por sus características de consumo o condiciones de suministro requieran un tratamiento contractual específico”; y en el entonces art. 44.4 LSE 1997 y ahora art. 45.1 LSE 2013, en que se pretende dar concreta regulación a los “consumidores vulnerables”, que es el título de dicho precepto en la LSE 2103, se establece, en el párrafo primero, que “serán considerados como consumidores vulnerables los consumidores de electricidad que cumplan con las características sociales, de consumo y poder adquisitivo que se determinen. En todo caso, se circunscribirá a personas físicas en su vivienda habitual”; y, en el párrafo segundo, que “la definición de los consumidores vulnerables y los requisitos que deben cumplir, así como las medidas a adoptar para este colectivo, se determinarán reglamentariamente por el Gobierno”. Los restantes apartados regulan el bono social como una de las medidas de aplicación a los consumidores vulnerables. Por su parte, la disposición transitoria vigésima LSE 1997 y ahora disposición transitoria décima LSE 2013, “Consumidor vulnerable y bono social” establece la normativa transitoria de la aplicación del bono social hasta el desarrollo reglamentario del art. 45.1 LSE.</w:t>
      </w:r>
    </w:p>
    <w:p w:rsidR="00163957" w:rsidRDefault="00163957" w:rsidP="00163957">
      <w:pPr>
        <w:pStyle w:val="TextoNormal"/>
      </w:pPr>
    </w:p>
    <w:p w:rsidR="00163957" w:rsidRDefault="00163957" w:rsidP="00163957">
      <w:pPr>
        <w:pStyle w:val="TextoNormal"/>
      </w:pPr>
      <w:r>
        <w:lastRenderedPageBreak/>
        <w:t>Hasta la fecha, y a pesar de la existencia de una remisión expresa, no existe ningún desarrollo reglamentario que incida sobre un concepto de consumidor vulnerable ni sobre las medidas “a adoptar” respecto de este colectivo, manteniéndose solo —y con carácter transitorio— la previa normativa sobre el bono social. Así se ha admitido en declaraciones públicas por las autoridades en la materia.</w:t>
      </w:r>
    </w:p>
    <w:p w:rsidR="00163957" w:rsidRDefault="00163957" w:rsidP="00163957">
      <w:pPr>
        <w:pStyle w:val="TextoNormal"/>
      </w:pPr>
    </w:p>
    <w:p w:rsidR="00163957" w:rsidRDefault="00163957" w:rsidP="00163957">
      <w:pPr>
        <w:pStyle w:val="TextoNormal"/>
      </w:pPr>
      <w:r>
        <w:t>Por su parte, en lo referido a la normativa gasista, la trasposición y desarrollo de la concreta previsión comunitaria respecto de consumidores vulnerables también fue afrontada por el Real Decreto Ley 13/2012, que fue el que dio nueva redacción al vigente art. 57.3 de la Ley del sector de los hidrocarburos, en que se establece que “el Ministro de Industria, Energía y Turismo podrá establecer condiciones específicas de suministro para determinados consumidores que, por sus características económicas, sociales o de suministro, tengan la consideración de clientes vulnerable”. Sin embargo, ninguna normativa de desarrollo reglamentario se ha establecido.</w:t>
      </w:r>
    </w:p>
    <w:p w:rsidR="00163957" w:rsidRDefault="00163957" w:rsidP="00163957">
      <w:pPr>
        <w:pStyle w:val="TextoNormal"/>
      </w:pPr>
    </w:p>
    <w:p w:rsidR="00163957" w:rsidRDefault="00163957" w:rsidP="00163957">
      <w:pPr>
        <w:pStyle w:val="TextoNormal"/>
      </w:pPr>
      <w:r>
        <w:t>Por tanto, con este contexto normativo, parece que (i) si la normativa impugnada se refiere específicamente a la regulación del suministro domiciliario de energía a consumidores vulnerables por estar inmersos en una situación de pobreza energética y a las medidas que se deben adoptar en tales casos en el sentido de la Directiva 2009/72/CE, para el suministro eléctrico, y la Directiva 2009/73/CE, para el suministro de gas natural; y (ii) en el ámbito estatal la trasposición de esa normativa se produjo mediante el Real Decreto-ley 13/2012, dando lugar a la redacción de los artículos 43.3 y 45.1 LSE 2013 y art. 57.3 de la Ley del sector de los hidrocarburos, que no han sido desarrollados reglamentariamente; entonces (iii) no puede pretenderse que la normativa estatal de contraste esté compuesta, como se pretende, a mi juicio erróneamente, por la opinión mayoritaria en la que se sustenta la sentencia, por un sistema cerrado y agotado basado en los ya citados arts. 43.3 y 45.1 LSE 2013 y art. 57.3 de la Ley del sector de los hidrocarburos, que no han sido desarrollados reglamentariamente, y que ni siquiera aportan una definición reconocible de consumidor vulnerable vinculado a una situación de pobreza energética.</w:t>
      </w:r>
    </w:p>
    <w:p w:rsidR="00163957" w:rsidRDefault="00163957" w:rsidP="00163957">
      <w:pPr>
        <w:pStyle w:val="TextoNormal"/>
      </w:pPr>
    </w:p>
    <w:p w:rsidR="00163957" w:rsidRDefault="00163957" w:rsidP="00163957">
      <w:pPr>
        <w:pStyle w:val="TextoNormal"/>
      </w:pPr>
      <w:r>
        <w:t>6. No existe contradicción entre la normativa estatal y la regulación autonómica controvertida.</w:t>
      </w:r>
    </w:p>
    <w:p w:rsidR="00163957" w:rsidRDefault="00163957" w:rsidP="00163957">
      <w:pPr>
        <w:pStyle w:val="TextoNormal"/>
      </w:pPr>
    </w:p>
    <w:p w:rsidR="00163957" w:rsidRDefault="00163957" w:rsidP="00163957">
      <w:pPr>
        <w:pStyle w:val="TextoNormal"/>
      </w:pPr>
      <w:r>
        <w:t>Continuando con mi cadena de hipótesis, incluso en el caso en que pudiera llegar a afirmarse que la regulación prevista en los arts. 43.3 y 45.1 LSE 2013 y art. 57.3 de la Ley del sector de los hidrocarburos, respecto de los consumidores vulnerables tuviera el carácter materialmente básico, sin embargo, tampoco podría concluirse que exista una contradicción normativa, pues la normativa autonómica sería el desarrollo de normas complementarias en materia de calidad del suministro vinculadas a situaciones de vulnerabilidad económica.</w:t>
      </w:r>
    </w:p>
    <w:p w:rsidR="00163957" w:rsidRDefault="00163957" w:rsidP="00163957">
      <w:pPr>
        <w:pStyle w:val="TextoNormal"/>
      </w:pPr>
    </w:p>
    <w:p w:rsidR="00163957" w:rsidRDefault="00163957" w:rsidP="00163957">
      <w:pPr>
        <w:pStyle w:val="TextoNormal"/>
      </w:pPr>
      <w:r>
        <w:t>Como se ha expuesto, la Ley del sector eléctrico y la Ley del sector de los hidrocarburos, y su normativa de desarrollo reglamentario, no establecen una definición de consumidor vulnerable ni las medidas que deben adoptarse para atender a esas situaciones, especialmente, en los términos enunciados en las directivas comunitarias, las que tienen que ver con “periodos críticos”. Ese vacío regulatorio impide afirmar que la normativa autonómica controvertida puede ser contraria a una regulación inexistente por falta de desarrollo reglamentario.</w:t>
      </w:r>
    </w:p>
    <w:p w:rsidR="00163957" w:rsidRDefault="00163957" w:rsidP="00163957">
      <w:pPr>
        <w:pStyle w:val="TextoNormal"/>
      </w:pPr>
    </w:p>
    <w:p w:rsidR="00163957" w:rsidRDefault="00163957" w:rsidP="00163957">
      <w:pPr>
        <w:pStyle w:val="TextoNormal"/>
      </w:pPr>
      <w:r>
        <w:lastRenderedPageBreak/>
        <w:t>De ese modo, aun considerando que esta normativa estatal pudiera tener la consideración de básica, si (i) hay una renuncia expresa a establecer ese desarrollo normativo por parte del Estado, y (ii) es una materia en la que, como ya se ha expuesto, existe una competencia compartida por referirse a la calidad del suministro, entonces (iii) la normativa autonómica podrá establecer una regulación propia que ocupe el espacio normativo abandonado por el Estado.</w:t>
      </w:r>
    </w:p>
    <w:p w:rsidR="00163957" w:rsidRDefault="00163957" w:rsidP="00163957">
      <w:pPr>
        <w:pStyle w:val="TextoNormal"/>
      </w:pPr>
    </w:p>
    <w:p w:rsidR="00163957" w:rsidRDefault="00163957" w:rsidP="00163957">
      <w:pPr>
        <w:pStyle w:val="TextoNormal"/>
      </w:pPr>
      <w:r>
        <w:t>Por tanto, también tengo que discrepar con la conclusión de que existe una contradicción entre la normativa básica estatal y la regulación autonómica controvertida, ya que, por la tan citada renuncia estatal al establecimiento de un sistema de protección a consumidores vulnerables por estar inmersos en situaciones de pobreza energética al que le obliga la legislación energética, en el momento actual no puede hacerse un juicio de inconstitucionalidad de la normativa autonómica por falta de contraste con una norma estatal que incida sobre la misma materia a regular. Solo en el momento en que fuera desarrollada por la normativa estatal ese sistema podría, en su caso, hacerse un juicio de contraste que conllevara una inconstitucionalidad sobrevenida de la normativa autonómica.</w:t>
      </w:r>
    </w:p>
    <w:p w:rsidR="00163957" w:rsidRDefault="00163957" w:rsidP="00163957">
      <w:pPr>
        <w:pStyle w:val="TextoNormal"/>
      </w:pPr>
    </w:p>
    <w:p w:rsidR="00163957" w:rsidRDefault="00163957" w:rsidP="00163957">
      <w:pPr>
        <w:pStyle w:val="TextoNormal"/>
      </w:pPr>
      <w:r>
        <w:t>Madrid, a diecisiete de marzo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66" w:name="SENTENCIA_2016_63"/>
      <w:r>
        <w:lastRenderedPageBreak/>
        <w:t>SENTENCIA 63/2016, de 11 de abril de 2016</w:t>
      </w:r>
    </w:p>
    <w:bookmarkEnd w:id="66"/>
    <w:p w:rsidR="00163957" w:rsidRDefault="00163957" w:rsidP="00163957">
      <w:pPr>
        <w:pStyle w:val="TtuloResolucin"/>
      </w:pPr>
      <w:r>
        <w:t>Sala Segunda</w:t>
      </w:r>
    </w:p>
    <w:p w:rsidR="00163957" w:rsidRDefault="00163957" w:rsidP="00163957">
      <w:pPr>
        <w:pStyle w:val="TtuloBOE"/>
      </w:pPr>
      <w:r>
        <w:t>(BOE núm. 122, de 20 de mayo de 2016)</w:t>
      </w:r>
    </w:p>
    <w:p w:rsidR="00163957" w:rsidRDefault="00163957" w:rsidP="00163957">
      <w:pPr>
        <w:pStyle w:val="TextoNormalCentrado"/>
      </w:pPr>
      <w:r>
        <w:t>ECLI:ES:TC:2016:63</w:t>
      </w:r>
    </w:p>
    <w:p w:rsidR="00163957" w:rsidRDefault="00163957" w:rsidP="00163957">
      <w:pPr>
        <w:pStyle w:val="TextoNormalCentrado"/>
      </w:pPr>
    </w:p>
    <w:p w:rsidR="00163957" w:rsidRDefault="00163957" w:rsidP="00163957">
      <w:pPr>
        <w:pStyle w:val="SntesisDescriptiva"/>
      </w:pPr>
      <w:r>
        <w:t>Recurso de amparo 4577-2011. Promovido por don José Vicente Lapo Estrada respecto de la diligencia de ordenación dictada por la Secretaría Judicial de un Juzgado de lo Contencioso-Administrativo de Madrid, convocando a las partes para la celebración de vista en proceso sobre de expulsión del territorio nacional, y del decreto de la misma Secretaría que confirmó aquella en reposición.</w:t>
      </w:r>
    </w:p>
    <w:p w:rsidR="00163957" w:rsidRDefault="00163957" w:rsidP="00163957">
      <w:pPr>
        <w:pStyle w:val="SntesisDescriptiva"/>
      </w:pPr>
    </w:p>
    <w:p w:rsidR="00163957" w:rsidRDefault="00163957" w:rsidP="00163957">
      <w:pPr>
        <w:pStyle w:val="SntesisAnaltica"/>
      </w:pPr>
      <w:r>
        <w:t>Vulneración del derecho a un proceso sin dilaciones indebidas: demora superior a dos años en la celebración de la vista del juicio en un procedimiento abreviado contencioso-administrativo (STC 142/2010).</w:t>
      </w:r>
    </w:p>
    <w:p w:rsidR="00163957" w:rsidRDefault="00163957" w:rsidP="00163957">
      <w:pPr>
        <w:pStyle w:val="SntesisAnaltica"/>
      </w:pPr>
    </w:p>
    <w:p w:rsidR="00163957" w:rsidRDefault="00163957" w:rsidP="00163957">
      <w:pPr>
        <w:pStyle w:val="Extracto"/>
      </w:pPr>
      <w:r>
        <w:t>1.</w:t>
      </w:r>
      <w:r>
        <w:tab/>
        <w:t>La demora superior a dos años en la celebración de la vista del juicio sobre orden de expulsión del territorio nacional vulnera el derecho a un proceso sin dilaciones indebidas [FJ 7].</w:t>
      </w:r>
    </w:p>
    <w:p w:rsidR="00163957" w:rsidRDefault="00163957" w:rsidP="00163957">
      <w:pPr>
        <w:pStyle w:val="Extracto"/>
      </w:pPr>
    </w:p>
    <w:p w:rsidR="00163957" w:rsidRDefault="00163957" w:rsidP="00163957">
      <w:pPr>
        <w:pStyle w:val="Extracto"/>
      </w:pPr>
      <w:r>
        <w:t>2.</w:t>
      </w:r>
      <w:r>
        <w:tab/>
        <w:t>El hecho de que la demora se deba a motivos estructurales, no imputables directamente al órgano judicial, no impide apreciar la vulneración del derecho del recurrente a un proceso sin dilaciones indebidas, pues esta situación no altera la naturaleza injustificada de dichas dilaciones (STC 142/2010) [FJ 6].</w:t>
      </w:r>
    </w:p>
    <w:p w:rsidR="00163957" w:rsidRDefault="00163957" w:rsidP="00163957">
      <w:pPr>
        <w:pStyle w:val="Extracto"/>
      </w:pPr>
    </w:p>
    <w:p w:rsidR="00163957" w:rsidRDefault="00163957" w:rsidP="00163957">
      <w:pPr>
        <w:pStyle w:val="Extracto"/>
      </w:pPr>
      <w:r>
        <w:t>3.</w:t>
      </w:r>
      <w:r>
        <w:tab/>
        <w:t>El juicio sobre el contenido concreto de las dilaciones, y sobre si son o no indebidas, debe ser el resultado de la aplicación a las circunstancias específicas de cada caso de los criterios objetivos que la jurisprudencia constitucional ha ido precisando: la complejidad del litigio, los márgenes ordinarios de duración de los litigios del mismo tipo, el interés que arriesga el demandante de amparo, su conducta procesal y la conducta de las autoridades (STC 142/2010, 54/2014) [FJ 4].</w:t>
      </w:r>
    </w:p>
    <w:p w:rsidR="00163957" w:rsidRDefault="00163957" w:rsidP="00163957">
      <w:pPr>
        <w:pStyle w:val="Extracto"/>
      </w:pPr>
    </w:p>
    <w:p w:rsidR="00163957" w:rsidRDefault="00163957" w:rsidP="00163957">
      <w:pPr>
        <w:pStyle w:val="Extracto"/>
      </w:pPr>
      <w:r>
        <w:t>4.</w:t>
      </w:r>
      <w:r>
        <w:tab/>
        <w:t>El recurso plantea dos aspectos que le otorgan especial transcendencia constitucional: por una parte, el incumplimiento general y reiterado de la doctrina constitucional sobre el derecho a un proceso sin dilaciones indebidas y, por otra parte, la necesidad de que el Tribunal Constitucional se pronunciara sobre el problema derivado de la exclusión de la intervención judicial respecto de las decisiones de los secretarios judiciales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Dal-Re,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4577-2011, promovido por don José Vicente Lapo Estrada, representado por el Procurador de los Tribunales don Ramón María Querol Aragón y asistido por el Letrado don Alfonso Carbonell Tortosa, contra la diligencia de ordenación de la Secretaria Judicial del Juzgado de lo Contencioso-Administrativo núm. 27 de Madrid, de 25 de abril de 2011, que convocó a las partes para la celebración de la vista del procedimiento abreviado núm. 30-2011, y contra el decreto de la misma Secretaria, de 26 de mayo de 2011, que desestimó el recurso de reposición deducido contra la referida diligencia de ordenación. Ha sido parte el Abogado del Estado y ha intervenido el Ministerio Fiscal. Ha sido Ponente la Magistrada doña Adela Asua Batarrita,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día 29 de julio de 2011, el Letrado don Alfonso Carbonell Tortosa interpuso recurso de amparo contra las resoluciones señaladas en el encabezamiento. Asimismo, solicitó la designación de Procurador del turno de oficio para su cliente.</w:t>
      </w:r>
    </w:p>
    <w:p w:rsidR="00163957" w:rsidRDefault="00163957" w:rsidP="00163957">
      <w:pPr>
        <w:pStyle w:val="TextoNormal"/>
      </w:pPr>
    </w:p>
    <w:p w:rsidR="00163957" w:rsidRDefault="00163957" w:rsidP="00163957">
      <w:pPr>
        <w:pStyle w:val="TextoNormal"/>
      </w:pPr>
      <w:r w:rsidRPr="00163957">
        <w:rPr>
          <w:rStyle w:val="NumeroAFNegritaCaracter"/>
        </w:rPr>
        <w:t>2</w:t>
      </w:r>
      <w:r>
        <w:t>. La demanda de amparo trae causa, en síntesis, de los siguientes hechos:</w:t>
      </w:r>
    </w:p>
    <w:p w:rsidR="00163957" w:rsidRDefault="00163957" w:rsidP="00163957">
      <w:pPr>
        <w:pStyle w:val="TextoNormal"/>
      </w:pPr>
    </w:p>
    <w:p w:rsidR="00163957" w:rsidRDefault="00163957" w:rsidP="00163957">
      <w:pPr>
        <w:pStyle w:val="TextoNormal"/>
      </w:pPr>
      <w:r>
        <w:t xml:space="preserve">a) Con fecha 10 de diciembre de 2010 el recurrente presentó ante el Decanato de los Juzgados de lo Contencioso-Administrativo de Madrid demanda interponiendo recurso contencioso-administrativo, por el procedimiento abreviado, contra la resolución de la Delegación del Gobierno en Madrid de 22 de septiembre de 2010, por la que se decretaba su expulsión del territorio nacional, con prohibición de entrada por un período de tres años en España y en los restantes territorios comprendidos en el Convenio de aplicación del acuerdo </w:t>
      </w:r>
      <w:r w:rsidRPr="00163957">
        <w:rPr>
          <w:i/>
        </w:rPr>
        <w:t>Schengen</w:t>
      </w:r>
      <w:r>
        <w:t xml:space="preserve"> de 19 de junio de 1990 (autos de procedimiento abreviado núm. 30-2011).</w:t>
      </w:r>
    </w:p>
    <w:p w:rsidR="00163957" w:rsidRDefault="00163957" w:rsidP="00163957">
      <w:pPr>
        <w:pStyle w:val="TextoNormal"/>
      </w:pPr>
    </w:p>
    <w:p w:rsidR="00163957" w:rsidRDefault="00163957" w:rsidP="00163957">
      <w:pPr>
        <w:pStyle w:val="TextoNormal"/>
      </w:pPr>
      <w:r>
        <w:t>b) La demanda fue turnada el 26 de enero de 2011 al Juzgado de lo Contencioso-Administrativo núm. 27 de Madrid, que, por Auto de la misma fecha, acordó confirmar la medida cautelarísima de suspensión de la orden administrativa de expulsión, previamente acordada por el Juzgado de Instrucción núm. 14 de Madrid en Auto de 25 de enero de 2011.</w:t>
      </w:r>
    </w:p>
    <w:p w:rsidR="00163957" w:rsidRDefault="00163957" w:rsidP="00163957">
      <w:pPr>
        <w:pStyle w:val="TextoNormal"/>
      </w:pPr>
    </w:p>
    <w:p w:rsidR="00163957" w:rsidRDefault="00163957" w:rsidP="00163957">
      <w:pPr>
        <w:pStyle w:val="TextoNormal"/>
      </w:pPr>
      <w:r>
        <w:t>c) Por decreto de la Secretaria del Juzgado de 25 de abril de 2011 se acordó la admisión a trámite de la demanda contencioso-administrativa. Asimismo, por diligencia de ordenación de la misma fecha, se acordó convocar a las partes para la celebración de la vista el 22 de abril de 2014 a las 10:30 horas, al amparo de lo establecido por el art. 182 de la Ley de enjuiciamiento civil (LEC).</w:t>
      </w:r>
    </w:p>
    <w:p w:rsidR="00163957" w:rsidRDefault="00163957" w:rsidP="00163957">
      <w:pPr>
        <w:pStyle w:val="TextoNormal"/>
      </w:pPr>
    </w:p>
    <w:p w:rsidR="00163957" w:rsidRDefault="00163957" w:rsidP="00163957">
      <w:pPr>
        <w:pStyle w:val="TextoNormal"/>
      </w:pPr>
      <w:r>
        <w:t xml:space="preserve">d) Mediante escrito presentado el 10 de mayo de 2011, el actor interpuso recurso de reposición contra la diligencia de ordenación de 25 de abril de 2011, al entender que un señalamiento para el juicio oral en fecha tan alejada en el tiempo superaba con creces las previsiones legales establecidas al respecto y el carácter razonable del plazo en que debe </w:t>
      </w:r>
      <w:r>
        <w:lastRenderedPageBreak/>
        <w:t>desenvolverse el proceso, implicando una vulneración del derecho fundamental a un proceso sin dilaciones indebidas (art. 24.2 CE). El recurso de reposición fue desestimado por decreto de la Secretaria Judicial de 26 de mayo de 2011, que confirmó la diligencia recurrida en todos sus extremos, al considerar que el señalamiento se había ajustado a lo dispuesto en los arts. 182 LEC y 78 y ss. de la Ley reguladora de la jurisdicción contencioso-administrativa (LJCA).</w:t>
      </w:r>
    </w:p>
    <w:p w:rsidR="00163957" w:rsidRDefault="00163957" w:rsidP="00163957">
      <w:pPr>
        <w:pStyle w:val="TextoNormal"/>
      </w:pPr>
    </w:p>
    <w:p w:rsidR="00163957" w:rsidRDefault="00163957" w:rsidP="00163957">
      <w:pPr>
        <w:pStyle w:val="TextoNormal"/>
      </w:pPr>
      <w:r w:rsidRPr="00163957">
        <w:rPr>
          <w:rStyle w:val="NumeroAFNegritaCaracter"/>
        </w:rPr>
        <w:t>3</w:t>
      </w:r>
      <w:r>
        <w:t>. La demanda de amparo denuncia la vulneración del derecho a un proceso sin dilaciones indebidas (art. 24.2 CE), sosteniendo que el señalamiento de la vista del procedimiento contencioso-administrativo para el 22 de abril de 2014, cuando el recurso se presentó el 10 de diciembre de 2010, supera con creces las previsiones legales establecidas al respecto y el carácter razonable del plazo en el que debe desenvolverse el proceso abreviado, en función de las circunstancias específicas del caso (sobre su expulsión del territorio español), que determinan un interés especialmente relevante para el actor, quien, mientras no se resuelva el recurso, verá inadmitida a trámite cualquier solicitud de regularización. Afirma que, siendo el asunto de escasa complejidad, aun admitiendo la posibilidad de algún retraso ante el cúmulo de trabajo que asumen los Juzgados de lo Contencioso-Administrativo de Madrid, ha de tenerse en cuenta que el art. 440.1 LEC, supletoriamente aplicable, establece un plazo máximo de 20 días entre la admisión de la demanda y la celebración de la vista. Señala que otros Juzgados, en procedimientos abreviados sobre extranjería cuyo número identifica, han adelantado los señalamientos. Por ello, solicita el reconocimiento de la vulneración de su derecho a un proceso sin dilaciones indebidas y la anticipación del señalamiento para la celebración de la vista.</w:t>
      </w:r>
    </w:p>
    <w:p w:rsidR="00163957" w:rsidRDefault="00163957" w:rsidP="00163957">
      <w:pPr>
        <w:pStyle w:val="TextoNormal"/>
      </w:pPr>
    </w:p>
    <w:p w:rsidR="00163957" w:rsidRDefault="00163957" w:rsidP="00163957">
      <w:pPr>
        <w:pStyle w:val="TextoNormal"/>
      </w:pPr>
      <w:r>
        <w:t xml:space="preserve">El recurrente aduce asimismo que se han agotado todos los medios de impugnación jurisdiccionales previstos por las normas procesales para el caso concreto, señalando que, de conformidad con lo previsto en los arts. 79 y 102 </w:t>
      </w:r>
      <w:r w:rsidRPr="00163957">
        <w:rPr>
          <w:i/>
        </w:rPr>
        <w:t>bis</w:t>
      </w:r>
      <w:r>
        <w:t>.2 LJCA (en la redacción dada a los mismos por la Ley 13/2009, de 3 de noviembre, de reforma de la legislación procesal para la implantación de la nueva oficina judicial), contra el decreto que resuelve el recurso de reposición no se dará recurso alguno, siendo imputable la violación del derecho fundamental que se invoca al órgano Juzgado de lo Contencioso-Administrativo núm. 27 de Madrid, cuya Secretaria dictó las resoluciones impugnadas.</w:t>
      </w:r>
    </w:p>
    <w:p w:rsidR="00163957" w:rsidRDefault="00163957" w:rsidP="00163957">
      <w:pPr>
        <w:pStyle w:val="TextoNormal"/>
      </w:pPr>
    </w:p>
    <w:p w:rsidR="00163957" w:rsidRDefault="00163957" w:rsidP="00163957">
      <w:pPr>
        <w:pStyle w:val="TextoNormal"/>
      </w:pPr>
      <w:r>
        <w:t>Finalmente, en cuanto a la especial trascendencia constitucional del recurso, el demandante alega el motivo e) del fundamento jurídico 2 de la STC 155/2009, de 25 de junio, argumentando que la doctrina de este Tribunal sobre el derecho a un proceso sin dilaciones indebidas está siendo incumplida de un modo general y reiterado por los distintos Juzgados de lo Contencioso-Administrativo de Madrid, los cuales justifican las demoras de varios años en los señalamientos de los procedimientos abreviados en materia de extranjería con razones como el respeto al orden de antigüedad, las deficiencias estructurales u organizativas o la abrumadora carga de trabajo que pesa sobre los órganos judiciales, las cuales, de acuerdo con la doctrina del Tribunal Constitucional y del Tribunal Europeo de Derechos Humanos no justifican el retraso ni impiden reconocer la vulneración del derecho a obtener una decisión definitiva en un plazo razonable.</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Una vez que el Sr. Lapo Estrada ratificó la demanda de amparo presentada por su Letrado, y designado por el Ilustre Colegio de Procuradores de Madrid Procurador del turno de justicia gratuita, por diligencia de ordenación de 18 de noviembre de 2011 se concedió </w:t>
      </w:r>
      <w:r>
        <w:lastRenderedPageBreak/>
        <w:t>al Procurador designado un plazo de diez días para que se ratificara en el escrito de formalización del recurso presentado por el Letrado, trámite que fue evacuado mediante escrito presentado el 29 de noviembre de 2011.</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15 de marzo de 2012, la Sala Segunda de este Tribunal acordó la admisión a trámite del recurso, y, de acuerdo con lo dispuesto en al art. 51 LOTC, acordó solicitar del Juzgado de lo Contencioso-Administrativo núm. 27 de Madrid que remitiera certificación o fotocopia adverada de las actuaciones correspondientes al procedimiento abreviado núm. 30-2011, previo emplazamiento de quien hubiera sido parte en el proceso, excepto la parte recurrente en amparo, para que, en el término de diez días, pudiera comparecer en el presente proceso constitucional.</w:t>
      </w:r>
    </w:p>
    <w:p w:rsidR="00163957" w:rsidRDefault="00163957" w:rsidP="00163957">
      <w:pPr>
        <w:pStyle w:val="TextoNormal"/>
      </w:pPr>
    </w:p>
    <w:p w:rsidR="00163957" w:rsidRDefault="00163957" w:rsidP="00163957">
      <w:pPr>
        <w:pStyle w:val="TextoNormal"/>
      </w:pPr>
      <w:r w:rsidRPr="00163957">
        <w:rPr>
          <w:rStyle w:val="NumeroAFNegritaCaracter"/>
        </w:rPr>
        <w:t>6</w:t>
      </w:r>
      <w:r>
        <w:t>. El Abogado del Estado se personó por escrito de 21 de marzo de 2012. Mediante diligencia de ordenación de 12 de abril de 2012, se tuvo por personado al representante procesal del Estado y se acordó dar vista de las actuaciones a las partes personadas y al Ministerio Fiscal, por plazo común de veinte días, para que, a tenor de lo dispuesto en el art. 52.1 de la Ley Orgánica del Tribunal Constitucional (LOTC), pudieran presentar las alegaciones que estimasen oportunas.</w:t>
      </w:r>
    </w:p>
    <w:p w:rsidR="00163957" w:rsidRDefault="00163957" w:rsidP="00163957">
      <w:pPr>
        <w:pStyle w:val="TextoNormal"/>
      </w:pPr>
    </w:p>
    <w:p w:rsidR="00163957" w:rsidRDefault="00163957" w:rsidP="00163957">
      <w:pPr>
        <w:pStyle w:val="TextoNormal"/>
      </w:pPr>
      <w:r w:rsidRPr="00163957">
        <w:rPr>
          <w:rStyle w:val="NumeroAFNegritaCaracter"/>
        </w:rPr>
        <w:t>7</w:t>
      </w:r>
      <w:r>
        <w:t>. El demandante de amparo presentó escrito el 20 de abril de 2012, ratificándose en los argumentos expuestos en la demanda de amparo.</w:t>
      </w:r>
    </w:p>
    <w:p w:rsidR="00163957" w:rsidRDefault="00163957" w:rsidP="00163957">
      <w:pPr>
        <w:pStyle w:val="TextoNormal"/>
      </w:pPr>
    </w:p>
    <w:p w:rsidR="00163957" w:rsidRDefault="00163957" w:rsidP="00163957">
      <w:pPr>
        <w:pStyle w:val="TextoNormal"/>
      </w:pPr>
      <w:r w:rsidRPr="00163957">
        <w:rPr>
          <w:rStyle w:val="NumeroAFNegritaCaracter"/>
        </w:rPr>
        <w:t>8</w:t>
      </w:r>
      <w:r>
        <w:t>. El Abogado del Estado formuló sus alegaciones en escrito presentado el 4 de mayo de 2012, solicitando la inadmisión y, subsidiariamente, la desestimación de la demanda de amparo. La solicitud de inadmisión del recurso la sustenta el Abogado del Estado en la no concurrencia de la especial trascendencia constitucional exigible, pues sobre el retraso en el señalamiento de las vistas de los procedimientos contencioso-administrativos abreviados que versan sobre sanciones de expulsión hay sobrada doctrina constitucional, sin que se haya acreditado la generalidad en el pretendido incumplimiento de la doctrina sentada al respecto por los Juzgados de lo Contencioso-Administrativo de Madrid, máxime cuando se señala la diligencia con la que actúan algunos de ellos en los señalamientos. Con carácter subsidiario, solicita la denegación del amparo, en primer lugar, por entender que el interés que en el proceso contencioso-administrativo arriesga el demandante está protegido por el hecho de haber obtenido una medida cautelarísima de suspensión que supone que la expulsión no podrá ejecutarse mientras esté abierta la vía judicial. En segundo lugar, porque la duración del procedimiento que inició el recurrente está dentro de la que normalmente experimentan los juicios del mismo tipo, sin que la demanda de amparo ofrezca indicio alguno de prueba respecto a este reproche, y sin que sea dado comparar la realidad empírica del sistema judicial con una especie de “ideal de funcionamiento” que tampoco es seguro que se alcanzara por mucho que se incrementara la inversión en la organización judicial, algo que, por lo demás, resulta impensable en el actual contexto de aguda y profunda crisis financiera pública. En esta línea, se señala que las deficiencias estructurales podrían acaso aquilatarse mediante el estándar de “prestación razonablemente exigible a un servicio público”, cuya configuración concreta debe tener en cuenta lo que, de manera realista, pueda esperar el usuario de un servicio atendido el nivel medio de prestación de los demás. Matizado así el concepto, resulta dudoso, cuando menos, que pueda hablarse de “deficiencia estructural” que pueda dar lugar a un pronunciamiento favorable.</w:t>
      </w:r>
    </w:p>
    <w:p w:rsidR="00163957" w:rsidRDefault="00163957" w:rsidP="00163957">
      <w:pPr>
        <w:pStyle w:val="TextoNormal"/>
      </w:pPr>
    </w:p>
    <w:p w:rsidR="00163957" w:rsidRDefault="00163957" w:rsidP="00163957">
      <w:pPr>
        <w:pStyle w:val="TextoNormal"/>
      </w:pPr>
      <w:r w:rsidRPr="00163957">
        <w:rPr>
          <w:rStyle w:val="NumeroAFNegritaCaracter"/>
        </w:rPr>
        <w:t>9</w:t>
      </w:r>
      <w:r>
        <w:t xml:space="preserve">. El Ministerio Fiscal, por escrito que tuvo entrada en este Tribunal el 23 de mayo de 2012, interesó la estimación del presente recurso de amparo. Tras exponer los antecedentes del caso y el tenor de la queja articulada por el recurrente, afirma el Fiscal, a la luz de la jurisprudencia de este Tribunal Constitucional, que se ha vulnerado el derecho del actor a un proceso sin dilaciones indebidas (art. 24.2 CE), sin que tal infracción traiga su causa de la inactividad procesal durante un largo período ni de la pasividad judicial, debiendo descartarse, también, la complejidad del litigio, que tiene por objeto una resolución administrativa de expulsión y prohibición de reentrada en España de un ciudadano extranjero, habiéndose fundamentado la imposibilidad de realizar antes el señalamiento en razones de deficiencias estructurales de la justicia. Y, aun en ese caso, una dilación indebida sigue siendo tal y vulnera el derecho constitucional invocado. Además, siguiendo la doctrina sentada en la STC 94/2008, de 21 de julio, la dilación no puede imputarse a la conducta procesal del demandante pues éste no se limitó a estimar en exceso lejana la fecha señalada para la celebración del juicio, sino que solicitó la anticipación de la vista </w:t>
      </w:r>
      <w:r w:rsidRPr="00163957">
        <w:rPr>
          <w:i/>
        </w:rPr>
        <w:t>ex</w:t>
      </w:r>
      <w:r>
        <w:t xml:space="preserve"> art. 63.1 LJCA en base a la situación personal en la que quedaba. Por otra parte, se refiere el Fiscal al interés que arriesgaba el recurrente en el litigio, dirigido a combatir la resolución de expulsión y, en último término, a lograr autorización para permanecer en España sobre la base de una situación de entrada legal, previa disposición de permiso de residencia y trabajo, lo cual resultaba esencial y especialmente relevante no solo para sus derechos o intereses legítimos, pues quedaban afectados tanto su derecho a la vida privada y familiar como el interés de su hijo menor, de nacionalidad española, todo ello a pesar de la medida cautelar adoptada en la causa, que impedía le ejecución efectiva de la resolución de expulsión. En atención a lo expuesto, solicita el Fiscal el otorgamiento del amparo, que deberá ser parcial, al no poder entrar este Tribunal, según su propia doctrina, en los problemas estructurales de la Administración de Justicia, en cuanto a la petición de adelanto del señalamiento de la vista.</w:t>
      </w:r>
    </w:p>
    <w:p w:rsidR="00163957" w:rsidRDefault="00163957" w:rsidP="00163957">
      <w:pPr>
        <w:pStyle w:val="TextoNormal"/>
      </w:pPr>
    </w:p>
    <w:p w:rsidR="00163957" w:rsidRDefault="00163957" w:rsidP="00163957">
      <w:pPr>
        <w:pStyle w:val="TextoNormal"/>
      </w:pPr>
      <w:r w:rsidRPr="00163957">
        <w:rPr>
          <w:rStyle w:val="NumeroAFNegritaCaracter"/>
        </w:rPr>
        <w:t>10</w:t>
      </w:r>
      <w:r>
        <w:t xml:space="preserve">. Previa audiencia de las partes, por ATC 163/2013, de 9 de septiembre, la Sala Segunda de este Tribunal acordó elevar al Pleno cuestión interna de inconstitucionalidad respecto del art. 102 </w:t>
      </w:r>
      <w:r w:rsidRPr="00163957">
        <w:rPr>
          <w:i/>
        </w:rPr>
        <w:t>bis</w:t>
      </w:r>
      <w:r>
        <w:t>, apartado 2, de la ley 29/1998, de 13 de julio, reguladora de la jurisdicción contencioso-administrativa, en la redacción dada al mismo por la Ley 13/2009, de 3 de noviembre, de reforma de la legislación procesal para la implantación de la nueva oficina judicial, por oposición al art. 24.1 CE, con suspensión del plazo para dictar Sentencia en el presente recurso de amparo.</w:t>
      </w:r>
    </w:p>
    <w:p w:rsidR="00163957" w:rsidRDefault="00163957" w:rsidP="00163957">
      <w:pPr>
        <w:pStyle w:val="TextoNormal"/>
      </w:pPr>
    </w:p>
    <w:p w:rsidR="00163957" w:rsidRDefault="00163957" w:rsidP="00163957">
      <w:pPr>
        <w:pStyle w:val="TextoNormal"/>
      </w:pPr>
      <w:r w:rsidRPr="00163957">
        <w:rPr>
          <w:rStyle w:val="NumeroAFNegritaCaracter"/>
        </w:rPr>
        <w:t>11</w:t>
      </w:r>
      <w:r>
        <w:t xml:space="preserve">. Por providencia de 8 de octubre de 2013, el Pleno acordó admitir a trámite la cuestión interna de inconstitucionalidad, reservar para sí el conocimiento de la misma y, de conformidad con el art. 37.3 LOTC, dar traslado de las actuaciones al Congreso de los Diputados y al Senado, por conducto de sus Presidentes, al Gobierno, por conducto del Ministro de Justicia, y al Fiscal General del Estado. Asimismo, se acordó la publicación de la cuestión interna de inconstitucionalidad en el “Boletín Oficial del Estado”. Mediante STC 58/2016, de 17 de marzo, se resolvió tal cuestión, considerando el Tribunal que resultaba inconstitucional y nulo el primer párrafo del apartado 2 del art. 102 </w:t>
      </w:r>
      <w:r w:rsidRPr="00163957">
        <w:rPr>
          <w:i/>
        </w:rPr>
        <w:t>bis</w:t>
      </w:r>
      <w:r>
        <w:t xml:space="preserve"> LJCA, en la redacción dada por la Ley 13/2009, de 3 de noviembre.</w:t>
      </w:r>
    </w:p>
    <w:p w:rsidR="00163957" w:rsidRDefault="00163957" w:rsidP="00163957">
      <w:pPr>
        <w:pStyle w:val="TextoNormal"/>
      </w:pPr>
    </w:p>
    <w:p w:rsidR="00163957" w:rsidRDefault="00163957" w:rsidP="00163957">
      <w:pPr>
        <w:pStyle w:val="TextoNormal"/>
      </w:pPr>
      <w:r w:rsidRPr="00163957">
        <w:rPr>
          <w:rStyle w:val="NumeroAFNegritaCaracter"/>
        </w:rPr>
        <w:t>12</w:t>
      </w:r>
      <w:r>
        <w:t>. Por providencia de 7 de abril de 2016 se señaló para la deliberación y votación de la presente Sentencia el día 11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demanda de amparo se dirige contra la diligencia de ordenación de la Secretaria Judicial (en denominación actual tras la Ley Orgánica 7/2015, Letrada de la Administración de Justicia) del Juzgado de lo Contencioso-Administrativo núm. 27 de Madrid, de 25 de abril de 2011, que convocó a las partes para la celebración de la vista del procedimiento abreviado núm. 30-2011 el 22 de abril de 2014, y contra el decreto de la misma Secretaria, de 26 de mayo de 2011, que desestimó el recurso de reposición deducido contra la referida diligencia de ordenación contra la anterior. Considera el actor que dichas resoluciones vulneran su derecho fundamental a un proceso sin dilaciones indebidas (art. 24.2 CE) porque el señalamiento de la vista del procedimiento contencioso-administrativo para esa fecha, cuando el recurso se presentó el 10 de diciembre de 2010, supone un retraso excesivo, superando con creces las previsiones legales establecidas al respecto y el carácter razonable del plazo en el que debe desenvolverse el proceso abreviado, en función de las circunstancias del caso.</w:t>
      </w:r>
    </w:p>
    <w:p w:rsidR="00163957" w:rsidRDefault="00163957" w:rsidP="00163957">
      <w:pPr>
        <w:pStyle w:val="TextoNormal"/>
      </w:pPr>
    </w:p>
    <w:p w:rsidR="00163957" w:rsidRDefault="00163957" w:rsidP="00163957">
      <w:pPr>
        <w:pStyle w:val="TextoNormal"/>
      </w:pPr>
      <w:r>
        <w:t>El Abogado del Estado, como ha quedado expuesto con más detalle en los antecedentes, ha interesado la inadmisión del recurso de amparo por carecer de especial trascendencia constitucional, y, subsidiariamente, su desestimación, al considerar que no se ha producido la lesión denunciada por el actor. Por su parte, el Ministerio Fiscal ha solicitado el otorgamiento parcial del amparo por estimar que se ha producido la vulneración del derecho a la tutela judicial efectiva del demandante de amparo, pero excluyendo que este Tribunal acceda a la petición de adelanto de la fecha de la vista.</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análisis de la cuestión de fondo, es preciso abordar el estudio del óbice procesal opuesto por el Abogado del Estado que, como ya se ha indicado, considera que el recurso debe inadmitirse por carecer de especial trascendencia constitucional.</w:t>
      </w:r>
    </w:p>
    <w:p w:rsidR="00163957" w:rsidRDefault="00163957" w:rsidP="00163957">
      <w:pPr>
        <w:pStyle w:val="TextoNormal"/>
      </w:pPr>
    </w:p>
    <w:p w:rsidR="00163957" w:rsidRDefault="00163957" w:rsidP="00163957">
      <w:pPr>
        <w:pStyle w:val="TextoNormal"/>
      </w:pPr>
      <w:r>
        <w:t xml:space="preserve">Este Tribunal ha venido distinguiendo entre la justificación de la especial trascendencia constitucional, que es un requisito procesal que debe cumplir toda demanda [art. 49.1 </w:t>
      </w:r>
      <w:r w:rsidRPr="00163957">
        <w:rPr>
          <w:i/>
        </w:rPr>
        <w:t>in fine</w:t>
      </w:r>
      <w:r>
        <w:t xml:space="preserve"> de la Ley Orgánica del Tribunal Constitucional (LOTC)], y la existencia misma de la especial trascendencia constitucional, que es una apreciación que corresponde al Tribunal.</w:t>
      </w:r>
    </w:p>
    <w:p w:rsidR="00163957" w:rsidRDefault="00163957" w:rsidP="00163957">
      <w:pPr>
        <w:pStyle w:val="TextoNormal"/>
      </w:pPr>
    </w:p>
    <w:p w:rsidR="00163957" w:rsidRDefault="00163957" w:rsidP="00163957">
      <w:pPr>
        <w:pStyle w:val="TextoNormal"/>
      </w:pPr>
      <w:r>
        <w:t xml:space="preserve">Respecto del requisito procesal, ha señalado reiteradamente este Tribunal que, de conformidad con el art. 50.1 a) LOTC la admisión del recurso de amparo exige el cumplimiento de los requisitos establecidos en los arts. 41 a 46 y 49 LOTC, disponiendo este último precepto en su apartado 1 </w:t>
      </w:r>
      <w:r w:rsidRPr="00163957">
        <w:rPr>
          <w:i/>
        </w:rPr>
        <w:t>in fine</w:t>
      </w:r>
      <w:r>
        <w:t>, de forma inequívoca, que la demanda ha de justificar la especial trascendencia constitucional del recurso. Para satisfacer esta exigencia,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163957" w:rsidRDefault="00163957" w:rsidP="00163957">
      <w:pPr>
        <w:pStyle w:val="TextoNormal"/>
      </w:pPr>
    </w:p>
    <w:p w:rsidR="00163957" w:rsidRDefault="00163957" w:rsidP="00163957">
      <w:pPr>
        <w:pStyle w:val="TextoNormal"/>
      </w:pPr>
      <w:r>
        <w:t xml:space="preserve">En el presente caso, la demanda razona específicamente sobre la especial trascendencia constitucional del recurso, con cita expresa de la STC 155/2009, de 25 de junio, invocando </w:t>
      </w:r>
      <w:r>
        <w:lastRenderedPageBreak/>
        <w:t>el motivo e) de su fundamento jurídico 2, y alegando, en síntesis, el incumplimiento general y reiterado de la doctrina de este Tribunal sobre el derecho a un proceso sin dilaciones indebidas por los distintos Juzgados de lo Contencioso-Administrativo de Madrid, los cuales justifican las demoras de varios años en los señalamientos de los procedimientos abreviados en materia de extranjería con razones que, según la doctrina constitucional, en ningún caso pueden fundamentar el retraso.</w:t>
      </w:r>
    </w:p>
    <w:p w:rsidR="00163957" w:rsidRDefault="00163957" w:rsidP="00163957">
      <w:pPr>
        <w:pStyle w:val="TextoNormal"/>
      </w:pPr>
    </w:p>
    <w:p w:rsidR="00163957" w:rsidRDefault="00163957" w:rsidP="00163957">
      <w:pPr>
        <w:pStyle w:val="TextoNormal"/>
      </w:pPr>
      <w:r>
        <w:t>Por tanto, y con independencia de la valoración que las alegaciones recogidas en la demanda puedan merecer, cabe apreciar un esfuerzo argumental de la parte recurrente destinado a cumplimentar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que tenemos asentados en nuestra doctrina antes citada, sin que, por las razones que a continuación se expondrán, pueda estimarse que el razonamiento de la demanda se encuentre ayuno de acreditación.</w:t>
      </w:r>
    </w:p>
    <w:p w:rsidR="00163957" w:rsidRDefault="00163957" w:rsidP="00163957">
      <w:pPr>
        <w:pStyle w:val="TextoNormal"/>
      </w:pPr>
    </w:p>
    <w:p w:rsidR="00163957" w:rsidRDefault="00163957" w:rsidP="00163957">
      <w:pPr>
        <w:pStyle w:val="TextoNormal"/>
      </w:pPr>
      <w:r>
        <w:t>En relación con la especial trascendencia constitucional de esta demanda de amparo, hemos declarado, entre otras muchas, en la STC 54/2015, de 16 de marzo, FJ 4,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163957" w:rsidRDefault="00163957" w:rsidP="00163957">
      <w:pPr>
        <w:pStyle w:val="TextoNormal"/>
      </w:pPr>
    </w:p>
    <w:p w:rsidR="00163957" w:rsidRDefault="00163957" w:rsidP="00163957">
      <w:pPr>
        <w:pStyle w:val="TextoNormal"/>
      </w:pPr>
      <w:r>
        <w:t xml:space="preserve">Pues bien, en el presente caso, este Tribunal aprecia que el recurso plantea dos aspectos que le otorgan especial trascendencia constitucional: por una parte, la propia causa alegada por el actor, que resulta corroborada a poco que se consulten los más recientes pronunciamientos estimatorios de este Tribunal en materia de dilaciones indebidas (SSTC 54/2014, de 10 de abril; 58/2014, de 5 de mayo; 99/2014, de 23 de junio; 74/2015, de 27 de abril; 87/2015, de 11 de mayo, y 88/2015, de 11 de mayo), referidos todos ellos a asuntos de extranjería seguidos ante distintos Juzgados de lo Contencioso-Administrativo de Madrid, circunstancia que concurre igualmente en otros cinco recursos de amparo admitidos a trámite y pendientes de Sentencia. Por otra parte, porque el recurso suscitó a este Tribunal Constitucional la necesidad de afrontar el problema derivado de la exclusión de la intervención judicial, conforme al art. 102 </w:t>
      </w:r>
      <w:r w:rsidRPr="00163957">
        <w:rPr>
          <w:i/>
        </w:rPr>
        <w:t>bis</w:t>
      </w:r>
      <w:r>
        <w:t>.2 de la Ley reguladora de la jurisdicción contencioso-administrativa (LJCA), respecto a decisiones de los secretarios judiciales, lo que impedía la observancia del principio de subsidiariedad del recurso de amparo ante este Tribunal, y correlativo cumplimiento de la exigencia establecida en el art. 44.1 a) LOTC. Lo cual motivó el planteamiento de una cuestión interna de inconstitucionalidad, resuelta en sentido estimatorio por el Pleno en STC 58/2016, de 17 de marzo.</w:t>
      </w:r>
    </w:p>
    <w:p w:rsidR="00163957" w:rsidRDefault="00163957" w:rsidP="00163957">
      <w:pPr>
        <w:pStyle w:val="TextoNormal"/>
      </w:pPr>
    </w:p>
    <w:p w:rsidR="00163957" w:rsidRDefault="00163957" w:rsidP="00163957">
      <w:pPr>
        <w:pStyle w:val="TextoNormal"/>
      </w:pPr>
      <w:r>
        <w:t xml:space="preserve">Las anteriores precisiones sobre la especial trascendencia constitucional se formulan “en salvaguarda del principio de seguridad jurídica que, conforme a la Sentencia del Tribunal Europeo de Derechos Humanos de 20 de enero de 2015, dictada en el asunto </w:t>
      </w:r>
      <w:r w:rsidRPr="00163957">
        <w:rPr>
          <w:i/>
        </w:rPr>
        <w:t>Arribas Antón c. España</w:t>
      </w:r>
      <w:r>
        <w:t xml:space="preserve">, § 46, exige explicitar no solamente los criterios de definición del requisito de la especial trascendencia constitucional (a tal efecto, esencialmente, la precitada STC 155/2009), sino también su aplicación en los asuntos que se admiten a trámite, con el fin de </w:t>
      </w:r>
      <w:r>
        <w:lastRenderedPageBreak/>
        <w:t>asegurar con ello una buena administración de la Justicia” (STC 194/2015, de 21 de septiembre, FJ 2).</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Todavía existe otra cuestión que es preciso aclarar antes de proceder a examinar la queja planteada por el demandante de amparo. El problema reside en que, a pesar de la errónea indicación de recursos contenida en el decreto de la Secretaria del Juzgado de 26 de mayo de 2011 (resolutorio del recurso de reposición promovido contra la diligencia de ordenación que señaló la fecha de la vista), ofreciendo la posibilidad de interponer recurso de revisión contra el mismo, el art. 102 </w:t>
      </w:r>
      <w:r w:rsidRPr="00163957">
        <w:rPr>
          <w:i/>
        </w:rPr>
        <w:t>bis</w:t>
      </w:r>
      <w:r>
        <w:t xml:space="preserve">.2 LJCA (introducido por la Ley 13/2009, de 3 de noviembre, de reforma de la legislación procesal para la implantación de la nueva oficina judicial), como bien se señala en la demanda de amparo, vedaba terminantemente tal posibilidad, al disponer que “contra el decreto resolutivo de la reposición no se dará recurso alguno, sin perjuicio de reproducir la cuestión al recurrir, si fuere procedente, la resolución definitiva”. En este punto, no está de más recordar que la instrucción sobre recursos no forma parte del </w:t>
      </w:r>
      <w:r w:rsidRPr="00163957">
        <w:rPr>
          <w:i/>
        </w:rPr>
        <w:t>decisum</w:t>
      </w:r>
      <w:r>
        <w:t xml:space="preserve"> de la resolución, ni está dotada, por ello, de la fuerza propia de éste (entre otras muchas, STC 242/2007, de 10 de diciembre, FJ 3). La instrucción de recursos constituye una simple información al interesado, el cual no está obligado a seguirla si la considera errónea (STC 241/2006, de 20 de julio, FJ 3).</w:t>
      </w:r>
    </w:p>
    <w:p w:rsidR="00163957" w:rsidRDefault="00163957" w:rsidP="00163957">
      <w:pPr>
        <w:pStyle w:val="TextoNormal"/>
      </w:pPr>
    </w:p>
    <w:p w:rsidR="00163957" w:rsidRDefault="00163957" w:rsidP="00163957">
      <w:pPr>
        <w:pStyle w:val="TextoNormal"/>
      </w:pPr>
      <w:r>
        <w:t xml:space="preserve">Así pues, al demandante de amparo, ante la clara previsión del art. 102 </w:t>
      </w:r>
      <w:r w:rsidRPr="00163957">
        <w:rPr>
          <w:i/>
        </w:rPr>
        <w:t>bis</w:t>
      </w:r>
      <w:r>
        <w:t>.2 LJCA, y la consiguiente necesidad de cumplir el plazo legalmente previsto para la interposición del recurso de amparo, no le quedaba otra vía que acudir directamente ante este Tribunal Constitucional, sin haber podido someter previamente a la consideración del Juez la lesión de su derecho a un proceso sin dilaciones indebidas. A pesar de que resultara contrario al principio de subsidiariedad que informa el planteamiento del amparo, ya que, como se señala, entre otras muchas, en la STC 152/2015, de 6 de julio, FJ 2, “en virtud de lo dispuesto en el art. 53.2 CE, la tutela general de los derechos y libertades corresponde, en primer lugar, a los órganos del Poder Judicial”, y, como consecuencia de ello, “cuando existe un recurso susceptible de ser utilizado y adecuado por su carácter y naturaleza para tutelar la libertad o derecho que se entiende vulnerado, tal recurso ha de interponerse antes de acudir a este Tribunal”. Respeto a la subsidiariedad del amparo que resultaba imposible de observar en este caso, dado el tenor legal del referido precepto.</w:t>
      </w:r>
    </w:p>
    <w:p w:rsidR="00163957" w:rsidRDefault="00163957" w:rsidP="00163957">
      <w:pPr>
        <w:pStyle w:val="TextoNormal"/>
      </w:pPr>
    </w:p>
    <w:p w:rsidR="00163957" w:rsidRDefault="00163957" w:rsidP="00163957">
      <w:pPr>
        <w:pStyle w:val="TextoNormal"/>
      </w:pPr>
      <w:r>
        <w:t xml:space="preserve">A la vista de dicha situación, y ante la existencia de una amplia serie de recursos de amparo referidos a la misma materia en los que se suscitaba idéntica problemática, esta Sala acordó plantear cuestión interna de inconstitucionalidad respecto al art. 102 </w:t>
      </w:r>
      <w:r w:rsidRPr="00163957">
        <w:rPr>
          <w:i/>
        </w:rPr>
        <w:t>bis</w:t>
      </w:r>
      <w:r>
        <w:t xml:space="preserve">.2 LJCA por medio del ATC 163/2013, de 9 de septiembre, actuación que resultaba imprescindible, a pesar de que haya producido como inevitable efecto un lamentable retraso en la resolución del presente recurso de amparo. Dicha cuestión ha sido estimada por la recientísima STC 58/2016, de 17 de marzo, en la que el Pleno de este Tribunal ha reconocido que la imposibilidad de impugnar el decreto resolutorio de la reposición no era salvable ni a través de la opción de impugnar la resolución que ponga fin al proceso (que no siempre cabe y que carece de virtualidad tratándose del derecho a un proceso sin dilaciones indebidas, cuya alegación carece de sentido cuando el proceso ha finalizado, según nuestra reiterada doctrina), ni por las vías establecidas en los arts. 240.2 y 241.1 de la Ley Orgánica del Poder Judicial (LOPJ); por ello, ha resuelto que el párrafo primero del citado precepto incurre en insalvable inconstitucionalidad al crear un espacio de inmunidad jurisdiccional incompatible con el derecho fundamental a la tutela judicial efectiva y la reserva de jurisdicción a los </w:t>
      </w:r>
      <w:r>
        <w:lastRenderedPageBreak/>
        <w:t xml:space="preserve">jueces y Tribunales integrantes del poder judicial: “El precepto cuestionado, en cuanto excluye del recurso judicial a determinados decretos definitivos del Letrado de la Administración de Justicia (aquellos que resuelven la reposición), cercena, como señala el ATC 163/2013, FJ 2, el derecho del justiciable a someter a la decisión última del Juez o Tribunal, a quien compete de modo exclusivo la potestad jurisdiccional, la resolución de una cuestión que atañe a sus derechos e intereses y legítimos, pudiendo afectar incluso a otro derecho fundamental: a un proceso sin dilaciones indebidas. Ello implica que tal exclusión deba reputarse lesiva del derecho a la tutela judicial efectiva que a todos garantiza el art. 24.1 CE y del principio de exclusividad de la potestad jurisdiccional (art. 117.3 CE)” (FJ 7). Asimismo, la Sentencia precisa que hasta que el legislador no se pronuncie al respecto, el recurso judicial procedente frente al decreto del Letrado de la Administración de Justicia resolutivo de la reposición ha de ser el directo de revisión al que se refiere el propio art. 102 </w:t>
      </w:r>
      <w:r w:rsidRPr="00163957">
        <w:rPr>
          <w:i/>
        </w:rPr>
        <w:t>bis</w:t>
      </w:r>
      <w:r>
        <w:t>.2 LJCA.</w:t>
      </w:r>
    </w:p>
    <w:p w:rsidR="00163957" w:rsidRDefault="00163957" w:rsidP="00163957">
      <w:pPr>
        <w:pStyle w:val="TextoNormal"/>
      </w:pPr>
    </w:p>
    <w:p w:rsidR="00163957" w:rsidRDefault="00163957" w:rsidP="00163957">
      <w:pPr>
        <w:pStyle w:val="TextoNormal"/>
      </w:pPr>
      <w:r>
        <w:t>La reciente declaración de la inconstitucionalidad de dicho precepto no permite, precisamente por la fecha en que se produce, que en el presente caso pueda apreciarse el óbice de falta de agotamiento de la vía judicial previa. Es indudable que, en el momento en el que el actor trató de reaccionar contra la presunta lesión de su derecho fundamental a un proceso sin dilaciones indebidas, no podía en modo alguno obtener una respuesta judicial previa dado el veto al respecto previsto en el párrafo primero de aquel precepto, ahora declarado inconstitucional. Por otro lado, tampoco cabe, a la luz del pronunciamiento contenido en la STC 58/2016, de 17 de marzo, retrotraer las actuaciones para que el actor pueda utilizar la vía del recurso de revisión, de acuerdo con lo que se indica en el fundamento jurídico 7 de dicha Sentencia, porque el proceso se encuentra ya concluso tras haberse dictado por el Juzgado Sentencia estimatoria del recurso, de modo que no se produciría otro efecto que el de perjudicar al actor, añadiendo además nuevas dilaciones a las ya padecidas.</w:t>
      </w:r>
    </w:p>
    <w:p w:rsidR="00163957" w:rsidRDefault="00163957" w:rsidP="00163957">
      <w:pPr>
        <w:pStyle w:val="TextoNormal"/>
      </w:pPr>
    </w:p>
    <w:p w:rsidR="00163957" w:rsidRDefault="00163957" w:rsidP="00163957">
      <w:pPr>
        <w:pStyle w:val="TextoNormal"/>
      </w:pPr>
      <w:r>
        <w:t xml:space="preserve">La solución constitucionalmente adecuada, dada la declaración de inconstitucionalidad del art. 102 </w:t>
      </w:r>
      <w:r w:rsidRPr="00163957">
        <w:rPr>
          <w:i/>
        </w:rPr>
        <w:t>bis</w:t>
      </w:r>
      <w:r>
        <w:t xml:space="preserve">.2 LJCA, es proceder a examinar la queja de fondo articulada en el presente recurso de amparo, pues fue la propia Ley la que impidió la intervención del Magistrado-Juez de lo Contencioso-Administrativo núm. 27 de Madrid, en ejercicio de su función jurisdiccional de tutela de los derechos fundamentales, lo cual justifica que este Tribunal intervenga para reparar la lesión del derecho a un proceso sin dilaciones indebidas del actor. Por lo demás, no es la primera vez que en la vía de amparo se convierte en objeto de enjuiciamiento la actuación de un Secretario Judicial (actualmente Letrado de la Administración de Justicia), pues ya en la STC 208/2015, de 5 de octubre, nos vimos obligados a examinar sendas resoluciones procesales de un Secretario Judicial que, extralimitándose en su competencia, negó a la parte demandante de amparo en aquel asunto la condición de parte en el procedimiento judicial </w:t>
      </w:r>
      <w:r w:rsidRPr="00163957">
        <w:rPr>
          <w:i/>
        </w:rPr>
        <w:t>a quo</w:t>
      </w:r>
      <w:r>
        <w:t>, rechazándole los escritos presentados, entre ellos, uno promoviendo un incidente de nulidad de actuaciones, lo que, en aquel supuesto, impidió que el Juez pudiera desarrollar su función jurisdiccional en protección del derecho fundamental a la tutela judicial efectiva sin indefensión, en su variante de acceso a la jurisdicción, de forma similar a lo que aquí acontece.</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Una vez aclarado el anterior extremo, podemos proceder a analizar la queja que se ha suscitado en este recurso, que recae, como ya se ha expuesto reiteradamente, sobre el derecho a un proceso sin dilaciones indebidas, consagrado en el art. 24.2 CE. Pues bien, para determinar si nos encontramos o no ante una vulneración del meritado derecho, hemos de </w:t>
      </w:r>
      <w:r>
        <w:lastRenderedPageBreak/>
        <w:t>acudir a las pautas que nos ofrece nuestra jurisprudencia, conforme a la cual, este derecho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no toda infracción de los plazos procesales o toda excesiva duración temporal de las actuaciones judiciales supone una vulneración del derecho fundamental que estamos comentando (por todas, STC 54/2014, de 10 de abril, FJ 4); por otra parte, el derecho fundamental referido no puede identificarse con un derecho al riguroso cumplimiento de los plazos procesales, configurándose a partir de la dimensión temporal de todo proceso y su razonabilidad (STC 142/2010, de 21 de diciembre, FJ 3). Como hemos subrayado, más recientemente, en las SSTC 89/2014, de 9 de junio, FJ 4; 99/2014, de 23 de junio, FJ 4, y 74/2015, de 27 de abril, FJ 4, con cita de la jurisprudencia precedente, la prohibición de retrasos injustificados en la marcha de los procesos judiciales impone a los Jueces y Tribunales el deber de obrar con la celeridad que les permita la duración normal o acostumbrada de los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Tales son la complejidad del litigio, los márgenes ordinarios de duración de los litigios del mismo tipo, el interés que arriesga el demandante de amparo, su conducta procesal y la conducta de las autoridades.</w:t>
      </w:r>
    </w:p>
    <w:p w:rsidR="00163957" w:rsidRDefault="00163957" w:rsidP="00163957">
      <w:pPr>
        <w:pStyle w:val="TextoNormal"/>
      </w:pPr>
    </w:p>
    <w:p w:rsidR="00163957" w:rsidRDefault="00163957" w:rsidP="00163957">
      <w:pPr>
        <w:pStyle w:val="TextoNormal"/>
      </w:pPr>
      <w:r w:rsidRPr="00163957">
        <w:rPr>
          <w:rStyle w:val="NumeroAFNegritaCaracter"/>
        </w:rPr>
        <w:t>5</w:t>
      </w:r>
      <w:r>
        <w:t>. Aplicando la anterior doctrina al caso presente, podemos afirmar, en primer lugar, que el asunto planteado no reviste una especial complejidad, al tratarse de un recurso interpuesto contra una resolución administrativa sancionadora que acuerda la expulsión del recurrente por encontrarse irregularmente en territorio español. Teniendo en cuenta la pretensión deducida ante el órgano judicial —que ni siquiera éste califica como particularmente compleja—, no parece razonable que en un procedimiento de esta naturaleza se haya diferido, con evidente perjuicio del recurrente, la vista de su recurso contencioso-administrativo a una fecha tan lejana como el 22 de abril de 2014, cuando el citado recurso había sido interpuesto el 10 de diciembre de 2010. Ello ha supuesto para el demandante una espera de más de tres años para poder saber si podía permanecer o no lícitamente en España.</w:t>
      </w:r>
    </w:p>
    <w:p w:rsidR="00163957" w:rsidRDefault="00163957" w:rsidP="00163957">
      <w:pPr>
        <w:pStyle w:val="TextoNormal"/>
      </w:pPr>
    </w:p>
    <w:p w:rsidR="00163957" w:rsidRDefault="00163957" w:rsidP="00163957">
      <w:pPr>
        <w:pStyle w:val="TextoNormal"/>
      </w:pPr>
      <w:r>
        <w:t xml:space="preserve">En cuanto al criterio relativo a los márgenes ordinarios de duración de los litigios, este Tribunal ha tenido ocasión de pronunciarse, en diferentes ocasiones, sobre la vulneración del derecho a un proceso sin dilaciones indebidas, con motivo del señalamiento de la vista, en procedimientos relativos a extranjería. Concretamente, en el supuesto analizado en la STC 142/2010, de 21 de diciembre, el señalamiento de la vista se fijó para año y medio después, respecto a la interposición del recurso contencioso-administrativo, frente a una denegación de solicitud de asilo. En supuestos de impugnación de resoluciones de expulsión, este Tribunal apreció la existencia de dilaciones, entre otras muchas, en la STC 54/2014, de 10 de abril, por un señalamiento fijado para 2 años y 6 meses posteriores a la interposición del recurso; en la STC 99/2014, de 23 de junio, por un señalamiento posterior en algo más de 2 años a la interposición del recurso; y en la STC 88/2015, de 11 de mayo, el señalamiento tuvo un retraso similar al anterior. Finalmente, analizando lo ocurrido en un </w:t>
      </w:r>
      <w:r>
        <w:lastRenderedPageBreak/>
        <w:t>caso de impugnación de la denegación de una autorización de residencia, la STC 74/2015, de 27 de abril, apreció la existencia de dilaciones indebidas por un retraso en el señalamiento de la vista de 2 años y medio. Por consiguiente, cabe apreciar que el presente caso se inscribe también en lo que nuestra doctrina ha calificado como demora constitutiva de una dilación indebida.</w:t>
      </w:r>
    </w:p>
    <w:p w:rsidR="00163957" w:rsidRDefault="00163957" w:rsidP="00163957">
      <w:pPr>
        <w:pStyle w:val="TextoNormal"/>
      </w:pPr>
    </w:p>
    <w:p w:rsidR="00163957" w:rsidRDefault="00163957" w:rsidP="00163957">
      <w:pPr>
        <w:pStyle w:val="TextoNormal"/>
      </w:pPr>
      <w:r>
        <w:t>Por otra parte, el retraso en la tramitación procesal ha de ser ponderado de acuerdo al interés que arriesgue el recurrente en el pleito. En este caso, el interés consistía en obtener una resolución judicial que determinara si era ajustada a Derecho la resolución administrativa que acordó su expulsión del territorio nacional y la prohibición de entrada en España por un periodo de tres años, que fue adoptada por la Delegación del Gobierno en Madrid. Es evidente que, al igual que otros casos, como el resuelto por las SSTC 58/2014, de 5 de mayo, FJ 5, y 99/2014, de 23 de junio, FJ 5, esta decisión afectaba necesariamente a un ámbito preferente de sus derechos e intereses legítimos y, además, relacionado con la organización de la propia vida familiar y social, pues del sentido de la misma habría de depender su permanencia o no en España; teniendo en cuenta, además, que el recurrente tenía un hijo menor de edad de nacionalidad española. Aspectos cuya relevancia no puede resultar alterada por la alegación del Abogado del Estado acerca de la suspensión cautelarísima de la expulsión acordada en su día por el Juzgado de Instrucción núm. 14 de Madrid y ratificada posteriormente por el Juzgado de lo Contencioso-Administrativo núm. 27 de Madrid, pues la suspensión no impide que se produzcan consecuencias negativas derivadas de la incertidumbre de su situación personal.</w:t>
      </w:r>
    </w:p>
    <w:p w:rsidR="00163957" w:rsidRDefault="00163957" w:rsidP="00163957">
      <w:pPr>
        <w:pStyle w:val="TextoNormal"/>
      </w:pPr>
    </w:p>
    <w:p w:rsidR="00163957" w:rsidRDefault="00163957" w:rsidP="00163957">
      <w:pPr>
        <w:pStyle w:val="TextoNormal"/>
      </w:pPr>
      <w:r>
        <w:t>Asimismo, ha de excluirse que la conducta procesal del demandante merezca algún reproche en relación a las dilaciones ocurridas, ya que la denuncia de éstas se produjo inmediatamente a través de la presentación del recurso de reposición el 10 de mayo de 2011 contra la diligencia de ordenación de 25 de abril de 2011, que había efectuado el señalamiento para la vista. Recurso en el que el actor puso de manifiesto la vulneración del derecho fundamental a un proceso sin dilaciones indebidas y en el que solicitó expresamente que se anticipara la fecha de celebración de la vista.</w:t>
      </w:r>
    </w:p>
    <w:p w:rsidR="00163957" w:rsidRDefault="00163957" w:rsidP="00163957">
      <w:pPr>
        <w:pStyle w:val="TextoNormal"/>
      </w:pPr>
    </w:p>
    <w:p w:rsidR="00163957" w:rsidRDefault="00163957" w:rsidP="00163957">
      <w:pPr>
        <w:pStyle w:val="TextoNormal"/>
      </w:pPr>
      <w:r w:rsidRPr="00163957">
        <w:rPr>
          <w:rStyle w:val="NumeroAFNegritaCaracter"/>
        </w:rPr>
        <w:t>6</w:t>
      </w:r>
      <w:r>
        <w:t>. Expuesto lo anterior, es preciso subrayar que la dilación denunciada por el demandante de amparo no tiene su origen en el silencio judicial ante peticiones de la parte, ni en la inactividad procesal durante largos períodos de tiempo, ni en la demora en proceder a señalar la fecha de la vista, sino por mediar un período excesivo de tiempo entre el momento en que se dictó la diligencia de ordenación de señalamiento de la vista y la fecha fijada para tal acto procesal, decisión tomada de acuerdo con las reglas de los arts. 182 LEC y 78 LJCA, ajustándose al orden de antigüedad, por lo que el retraso parece obedecer a causas estructurales y a la carga de trabajo que pesa sobre el órgano judicial.</w:t>
      </w:r>
    </w:p>
    <w:p w:rsidR="00163957" w:rsidRDefault="00163957" w:rsidP="00163957">
      <w:pPr>
        <w:pStyle w:val="TextoNormal"/>
      </w:pPr>
    </w:p>
    <w:p w:rsidR="00163957" w:rsidRDefault="00163957" w:rsidP="00163957">
      <w:pPr>
        <w:pStyle w:val="TextoNormal"/>
      </w:pPr>
      <w:r>
        <w:t>No obstante, el hecho de que la presente demora se deba a motivos estructurales, no imputables directamente al órgano judicial, no impide apreciar la vulneración del derecho del recurrente a un proceso sin dilaciones indebidas, pues esta situación no altera la naturaleza injustificada de dichas dilaciones, según reiterada jurisprudencia de este Tribunal y del Tribunal Europeo de Derechos Humanos, en tanto que el ciudadano es ajeno a esas circunstancias.</w:t>
      </w:r>
    </w:p>
    <w:p w:rsidR="00163957" w:rsidRDefault="00163957" w:rsidP="00163957">
      <w:pPr>
        <w:pStyle w:val="TextoNormal"/>
      </w:pPr>
    </w:p>
    <w:p w:rsidR="00163957" w:rsidRDefault="00163957" w:rsidP="00163957">
      <w:pPr>
        <w:pStyle w:val="TextoNormal"/>
      </w:pPr>
      <w:r>
        <w:lastRenderedPageBreak/>
        <w:t>Sobre este extremo, nos recuerda la STC 142/2010, de 21 de diciembre, FJ 4, que “como ha señalado este Tribunal, entre otras, en las SSTC 160/2004, de 4 de octubre, FJ 5, y 153/2005, de 6 de junio, FJ 6,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180/1996, de 16 de noviembre, FJ 4)”.</w:t>
      </w:r>
    </w:p>
    <w:p w:rsidR="00163957" w:rsidRDefault="00163957" w:rsidP="00163957">
      <w:pPr>
        <w:pStyle w:val="TextoNormal"/>
      </w:pPr>
    </w:p>
    <w:p w:rsidR="00163957" w:rsidRDefault="00163957" w:rsidP="00163957">
      <w:pPr>
        <w:pStyle w:val="TextoNormal"/>
      </w:pPr>
      <w:r>
        <w:t xml:space="preserve">Igual criterio sostiene el Tribunal Europeo de Derechos Humanos, al afirmar en su Sentencia de 7 de julio de 1989, caso </w:t>
      </w:r>
      <w:r w:rsidRPr="00163957">
        <w:rPr>
          <w:i/>
        </w:rPr>
        <w:t>Unión Alimentaria Sanders c. España</w:t>
      </w:r>
      <w:r>
        <w:t xml:space="preserve">, el carácter estructural de las dilaciones sufridas por la sociedad demandante, concluyendo que esta situación no puede privar a los ciudadanos de su derecho al respeto del plazo razonable (§§ 38 y 42), o cuando en la Sentencia de 11 de marzo de 2004, caso </w:t>
      </w:r>
      <w:r w:rsidRPr="00163957">
        <w:rPr>
          <w:i/>
        </w:rPr>
        <w:t>Lenaerts c. Bélgica</w:t>
      </w:r>
      <w:r>
        <w:t xml:space="preserve"> (§ 18),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w:t>
      </w:r>
    </w:p>
    <w:p w:rsidR="00163957" w:rsidRDefault="00163957" w:rsidP="00163957">
      <w:pPr>
        <w:pStyle w:val="TextoNormal"/>
      </w:pPr>
    </w:p>
    <w:p w:rsidR="00163957" w:rsidRDefault="00163957" w:rsidP="00163957">
      <w:pPr>
        <w:pStyle w:val="TextoNormal"/>
      </w:pPr>
      <w:r w:rsidRPr="00163957">
        <w:rPr>
          <w:rStyle w:val="NumeroAFNegritaCaracter"/>
        </w:rPr>
        <w:t>7</w:t>
      </w:r>
      <w:r>
        <w:t>. Por todo lo anterior, cabe concluir que se ha vulnerado en este caso el derecho a un proceso sin dilaciones indebidas del recurrente (art. 24.2 CE), como consecuencia de la fecha fijada por el órgano judicial para la celebración de la vista de su recurso contencioso-administrativo. Al igual que en otros casos resueltos por este Tribunal (por todas, STC 89/2014, de 9 de junio, FJ 7), el otorgamiento del amparo debe limitarse a la declaración de la violación del derecho fundamental, dado que, celebrada efectivamente la vista en la dilatada fecha señalada en su día para el 22 de abril de 2014, el Juzgado de lo Contencioso-Administrativo núm. 27 de Madrid dictó, pocos días después, Sentencia estimatoria del recurso contra la resolución de expulsión.</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lastRenderedPageBreak/>
        <w:t>Ha decidido</w:t>
      </w:r>
    </w:p>
    <w:p w:rsidR="00163957" w:rsidRDefault="00163957" w:rsidP="00163957">
      <w:pPr>
        <w:pStyle w:val="TextoNormalCentrado"/>
        <w:keepNext/>
      </w:pPr>
    </w:p>
    <w:p w:rsidR="00163957" w:rsidRDefault="00163957" w:rsidP="00163957">
      <w:pPr>
        <w:pStyle w:val="TextoNormal"/>
      </w:pPr>
      <w:r>
        <w:t>Estimar el recurso de amparo interpuesto por don José Vicente Lapo Estrada, y, en su virtud, declarar que se ha vulnerado su derecho a un proceso sin dilaciones indebidas (art. 24.2 CE).</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once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67" w:name="SENTENCIA_2016_64"/>
      <w:r>
        <w:lastRenderedPageBreak/>
        <w:t>SENTENCIA 64/2016, de 11 de abril de 2016</w:t>
      </w:r>
    </w:p>
    <w:bookmarkEnd w:id="67"/>
    <w:p w:rsidR="00163957" w:rsidRDefault="00163957" w:rsidP="00163957">
      <w:pPr>
        <w:pStyle w:val="TtuloResolucin"/>
      </w:pPr>
      <w:r>
        <w:t>Sala Segunda</w:t>
      </w:r>
    </w:p>
    <w:p w:rsidR="00163957" w:rsidRDefault="00163957" w:rsidP="00163957">
      <w:pPr>
        <w:pStyle w:val="TtuloBOE"/>
      </w:pPr>
      <w:r>
        <w:t>(BOE núm. 122, de 20 de mayo de 2016)</w:t>
      </w:r>
    </w:p>
    <w:p w:rsidR="00163957" w:rsidRDefault="00163957" w:rsidP="00163957">
      <w:pPr>
        <w:pStyle w:val="TextoNormalCentrado"/>
      </w:pPr>
      <w:r>
        <w:t>ECLI:ES:TC:2016:64</w:t>
      </w:r>
    </w:p>
    <w:p w:rsidR="00163957" w:rsidRDefault="00163957" w:rsidP="00163957">
      <w:pPr>
        <w:pStyle w:val="TextoNormalCentrado"/>
      </w:pPr>
    </w:p>
    <w:p w:rsidR="00163957" w:rsidRDefault="00163957" w:rsidP="00163957">
      <w:pPr>
        <w:pStyle w:val="SntesisDescriptiva"/>
      </w:pPr>
      <w:r>
        <w:t>Recurso de amparo 528-2014. Promovido por don Tomás Aguililla Durán y don Juan López López en relación con las Sentencias del Tribunal Superior de Justicia de Cataluña y de un Juzgado de lo Social de Granollers dictadas en proceso sobre tutela de derechos fundamentales.</w:t>
      </w:r>
    </w:p>
    <w:p w:rsidR="00163957" w:rsidRDefault="00163957" w:rsidP="00163957">
      <w:pPr>
        <w:pStyle w:val="SntesisDescriptiva"/>
      </w:pPr>
    </w:p>
    <w:p w:rsidR="00163957" w:rsidRDefault="00163957" w:rsidP="00163957">
      <w:pPr>
        <w:pStyle w:val="SntesisAnaltica"/>
      </w:pPr>
      <w:r>
        <w:t>Supuesta vulneración del derecho a la libertad sindical: pérdida de la condición de representantes de los trabajadores resultante del cierre del centro de trabajo y el traslado de la actividad a otro centro. Voto particular.</w:t>
      </w:r>
    </w:p>
    <w:p w:rsidR="00163957" w:rsidRDefault="00163957" w:rsidP="00163957">
      <w:pPr>
        <w:pStyle w:val="SntesisAnaltica"/>
      </w:pPr>
    </w:p>
    <w:p w:rsidR="00163957" w:rsidRDefault="00163957" w:rsidP="00163957">
      <w:pPr>
        <w:pStyle w:val="Extracto"/>
      </w:pPr>
      <w:r>
        <w:t>1.</w:t>
      </w:r>
      <w:r>
        <w:tab/>
        <w:t xml:space="preserve">La enumeración de derechos efectuada en el art. 28.1 CE no se realiza con el carácter de </w:t>
      </w:r>
      <w:r w:rsidRPr="00163957">
        <w:rPr>
          <w:i/>
        </w:rPr>
        <w:t>numerus clausus</w:t>
      </w:r>
      <w:r>
        <w:t>, sino que en el contenido de dicho precepto se integra también la vertiente funcional, es decir, el derecho de los sindicatos a ejercer aquellas actividades dirigidas a la defensa, protección y promoción de los intereses de los trabajadores (SSTC 94/1995; 198/2004) [FJ 4].</w:t>
      </w:r>
    </w:p>
    <w:p w:rsidR="00163957" w:rsidRDefault="00163957" w:rsidP="00163957">
      <w:pPr>
        <w:pStyle w:val="Extracto"/>
      </w:pPr>
    </w:p>
    <w:p w:rsidR="00163957" w:rsidRDefault="00163957" w:rsidP="00163957">
      <w:pPr>
        <w:pStyle w:val="Extracto"/>
      </w:pPr>
      <w:r>
        <w:t>2.</w:t>
      </w:r>
      <w:r>
        <w:tab/>
        <w:t>Los sindicatos pueden ostentar derechos o facultades adicionales, atribuidos por normas legales o por convenios colectivos, que se añaden al núcleo mínimo e indisponible de la libertad sindical, de manera que el derecho fundamental se integra, no sólo por su contenido esencial, sino también por ese contenido adicional y promocional; y los actos contrarios a este último también son susceptibles de infringir el art. 28.1 CE (SSTC 173/1992; 36/2004) [FJ 4].</w:t>
      </w:r>
    </w:p>
    <w:p w:rsidR="00163957" w:rsidRDefault="00163957" w:rsidP="00163957">
      <w:pPr>
        <w:pStyle w:val="Extracto"/>
      </w:pPr>
    </w:p>
    <w:p w:rsidR="00163957" w:rsidRDefault="00163957" w:rsidP="00163957">
      <w:pPr>
        <w:pStyle w:val="Extracto"/>
      </w:pPr>
      <w:r>
        <w:t>3.</w:t>
      </w:r>
      <w:r>
        <w:tab/>
        <w:t>Los derechos adicionales de los sindicatos, en la medida que sobrepasan el contenido esencial que ha de ser garantizado a todos los sindicatos, son de creación infraconstitucional y deben ser ejercitados en el marco de su regulación, pudiendo ser alterados o suprimidos por la norma legal o convencional que los establece, no estando su configuración sometida a más límite que el de no vulnerar el contenido esencial del derecho de libertad sindical (SSTC 201/1999; 44/2004) [FJ 4].</w:t>
      </w:r>
    </w:p>
    <w:p w:rsidR="00163957" w:rsidRDefault="00163957" w:rsidP="00163957">
      <w:pPr>
        <w:pStyle w:val="Extracto"/>
      </w:pPr>
    </w:p>
    <w:p w:rsidR="00163957" w:rsidRDefault="00163957" w:rsidP="00163957">
      <w:pPr>
        <w:pStyle w:val="Extracto"/>
      </w:pPr>
      <w:r>
        <w:t>4.</w:t>
      </w:r>
      <w:r>
        <w:tab/>
        <w:t>El contenido del derecho de la libertad sindical no se agota en el doble plano -en el esencial y adicional de fuente legal o convencional-, dado que pueden también existir derechos sindicales que tengan su fuente de asignación en una concesión unilateral del empresario (SSTC 132/2000; 269/2000) [FJ 4].</w:t>
      </w:r>
    </w:p>
    <w:p w:rsidR="00163957" w:rsidRDefault="00163957" w:rsidP="00163957">
      <w:pPr>
        <w:pStyle w:val="Extracto"/>
      </w:pPr>
    </w:p>
    <w:p w:rsidR="00163957" w:rsidRDefault="00163957" w:rsidP="00163957">
      <w:pPr>
        <w:pStyle w:val="Extracto"/>
      </w:pPr>
      <w:r>
        <w:t>5.</w:t>
      </w:r>
      <w:r>
        <w:tab/>
        <w:t>El empresario podrá suprimir las mejoras o derechos sindicales que previamente haya concedido; lo que no implica, sin embargo, que las decisiones empresariales sobre dicha supresión resulten ajenas a todo control constitucional desde la perspectiva del art. 28.1 CE, puesto que también la voluntad empresarial se encuentra limitada por el derecho fundamental de libertad sindical, de manera que la posibilidad de invalidación de lo previamente concedido tendrá su límite en que no se verifique la supresión con una motivación antisindical (STC 269/2000) [FJ 4].</w:t>
      </w:r>
    </w:p>
    <w:p w:rsidR="00163957" w:rsidRDefault="00163957" w:rsidP="00163957">
      <w:pPr>
        <w:pStyle w:val="Extracto"/>
      </w:pPr>
    </w:p>
    <w:p w:rsidR="00163957" w:rsidRDefault="00163957" w:rsidP="00163957">
      <w:pPr>
        <w:pStyle w:val="Extracto"/>
      </w:pPr>
      <w:r>
        <w:lastRenderedPageBreak/>
        <w:t>6.</w:t>
      </w:r>
      <w:r>
        <w:tab/>
        <w:t>El contenido adicional del derecho fundamental de la libertad sindical, ya sea de fuente legal o convencional, ya tenga origen en una atribución unilateral del empresario, puede añadir prerrogativas y poderes sindicales distintos a los comprendidos en el contenido esencial del art. 28.1 CE, pero puede también quedar referido a los derechos y facultades que integran ese núcleo mínimo e indisponible del derecho fundamental, articulándolos [FJ 4].</w:t>
      </w:r>
    </w:p>
    <w:p w:rsidR="00163957" w:rsidRDefault="00163957" w:rsidP="00163957">
      <w:pPr>
        <w:pStyle w:val="Extracto"/>
      </w:pPr>
    </w:p>
    <w:p w:rsidR="00163957" w:rsidRDefault="00163957" w:rsidP="00163957">
      <w:pPr>
        <w:pStyle w:val="Extracto"/>
      </w:pPr>
      <w:r>
        <w:t>7.</w:t>
      </w:r>
      <w:r>
        <w:tab/>
        <w:t>Las organizaciones sindicales tienen derecho a que el empresario asuma las obligaciones y cargas que las normas legales o pactadas o sus previos actos le impongan para promocionar la eficacia del derecho de libertad sindical en la empresa (contenido adicional) aunque, al mismo tiempo, no pueden demandar actos positivos de esa naturaleza promocional si no existe una fuente generadora de tal obligación [FJ 4].</w:t>
      </w:r>
    </w:p>
    <w:p w:rsidR="00163957" w:rsidRDefault="00163957" w:rsidP="00163957">
      <w:pPr>
        <w:pStyle w:val="Extracto"/>
      </w:pPr>
    </w:p>
    <w:p w:rsidR="00163957" w:rsidRDefault="00163957" w:rsidP="00163957">
      <w:pPr>
        <w:pStyle w:val="Extracto"/>
      </w:pPr>
      <w:r>
        <w:t>8.</w:t>
      </w:r>
      <w:r>
        <w:tab/>
        <w:t>El crédito horario es una garantía cuya finalidad consiste en otorgarles a los trabajadores sindicales una protección específica en atención a la compleja posición jurídica que los mismos asumen frente a los empresarios (STC 40/1985) [FJ 4].</w:t>
      </w:r>
    </w:p>
    <w:p w:rsidR="00163957" w:rsidRDefault="00163957" w:rsidP="00163957">
      <w:pPr>
        <w:pStyle w:val="Extracto"/>
      </w:pPr>
    </w:p>
    <w:p w:rsidR="00163957" w:rsidRDefault="00163957" w:rsidP="00163957">
      <w:pPr>
        <w:pStyle w:val="Extracto"/>
      </w:pPr>
      <w:r>
        <w:t>9.</w:t>
      </w:r>
      <w:r>
        <w:tab/>
        <w:t>El derecho al crédito de horas retribuidas forma parte del contenido adicional del derecho a la libertad sindical, y es de libre reconocimiento y configuración por el legislador y, en su caso, por la negociación colectiva (STC 241/2005) [FJ 4].</w:t>
      </w:r>
    </w:p>
    <w:p w:rsidR="00163957" w:rsidRDefault="00163957" w:rsidP="00163957">
      <w:pPr>
        <w:pStyle w:val="Extracto"/>
      </w:pPr>
    </w:p>
    <w:p w:rsidR="00163957" w:rsidRDefault="00163957" w:rsidP="00163957">
      <w:pPr>
        <w:pStyle w:val="Extracto"/>
      </w:pPr>
      <w:r>
        <w:t>10.</w:t>
      </w:r>
      <w:r>
        <w:tab/>
        <w:t>El derecho de las organizaciones sindicales a la presentación de candidaturas para la elección de comités de empresa, delegados de personal y de los correspondientes órganos de las Administraciones públicas forma parte del contenido adicional del derecho a la libertad sindical (STC 200/2006) [FJ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amparo núm. 528-2014, promovido por don Tomás Aguililla Durán y don Juan López López, representados por la Procuradora de los Tribunales doña María Isabel Torres Ruiz y asistidos por el Abogado don José Antonio González Espada, contra la Sentencia de 22 de noviembre de 2013 de la Sala de lo Social del Tribunal Superior de Justicia de Catalunya, dictada en el recurso de suplicación núm. 4317-2013, que revocó la Sentencia del Juzgado de lo Social núm. 1 de Granollers, de 18 de enero de 2013, en autos sobre tutela de derechos fundamentales núm. 952-2012. Ha intervenido el Ministerio Fiscal. </w:t>
      </w:r>
      <w:r>
        <w:lastRenderedPageBreak/>
        <w:t>Ha comparecido la Procuradora de los Tribunales doña Laura Lozano Montalvo, en representación de la entidad Logisters Logística, S.A., (antes FCC Logística S.A.), bajo la dirección letrada de don Santiago Valentín-Gamazo Gómez-Alonso. Ha sido Ponente el Magistrado don Fernando Valdés Dal-Ré,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que tuvo entrada en el Registro General de este Tribunal el día 28 de enero de 2014, la Procuradora de los Tribunales doña María Isabel Torres Ruiz, actuando en nombre y representación de don Tomás Aguililla Durán y don Juan López López, presentó recurso de amparo constitucional contra la Sentencia de suplicación citada en el encabezamiento, al considerarla contraria al derecho fundamental consagrado en el art. 28.1 CE.</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de los que trae causa la demanda son, en síntesis, los siguientes:</w:t>
      </w:r>
    </w:p>
    <w:p w:rsidR="00163957" w:rsidRDefault="00163957" w:rsidP="00163957">
      <w:pPr>
        <w:pStyle w:val="TextoNormal"/>
      </w:pPr>
    </w:p>
    <w:p w:rsidR="00163957" w:rsidRDefault="00163957" w:rsidP="00163957">
      <w:pPr>
        <w:pStyle w:val="TextoNormal"/>
      </w:pPr>
      <w:r>
        <w:t>a) Los recurrentes en amparo prestaban servicios para la demandada con la categoría de auxiliares de almacén en el centro de trabajo sito en Palau de Plegamans, que contaba con una plantilla de sesenta y ocho trabajadores. Fueron elegidos miembros del comité de empresa, junto a una tercera trabajadora, en las elecciones celebradas en fecha de 10 de junio del 2011 en dicho centro de trabajo, formando parte todos ellos de la candidatura del sindicato CGT.</w:t>
      </w:r>
    </w:p>
    <w:p w:rsidR="00163957" w:rsidRDefault="00163957" w:rsidP="00163957">
      <w:pPr>
        <w:pStyle w:val="TextoNormal"/>
      </w:pPr>
    </w:p>
    <w:p w:rsidR="00163957" w:rsidRDefault="00163957" w:rsidP="00163957">
      <w:pPr>
        <w:pStyle w:val="TextoNormal"/>
      </w:pPr>
      <w:r>
        <w:t>b) En el centro de trabajo de Palau de legamans se realizaban servicios para diversos clientes. En el mes de marzo del 2011, la empresa demandada comunicó al Comité de empresa que la actividad que se desarrollaba en el centro de trabajo para uno de los clientes iba a trasladarse al centro de trabajo situado en la localidad de Alovera (Guadalajara), lo que podría acarrear extinciones de contratos de trabajo y traslados. Dicha decisión empresarial trajo consigo una gran conflictividad laboral (convocatoria de distintas jomadas de huelga, interposición de demandas impugnando la decisión de los traslados y de tutela de derechos fundamentales por vulneración del derecho de huelga, denuncias ante la Inspección de Trabajo, etc.).</w:t>
      </w:r>
    </w:p>
    <w:p w:rsidR="00163957" w:rsidRDefault="00163957" w:rsidP="00163957">
      <w:pPr>
        <w:pStyle w:val="TextoNormal"/>
      </w:pPr>
    </w:p>
    <w:p w:rsidR="00163957" w:rsidRDefault="00163957" w:rsidP="00163957">
      <w:pPr>
        <w:pStyle w:val="TextoNormal"/>
      </w:pPr>
      <w:r>
        <w:t>c) En fechas posteriores la empresa decidió cerrar el centro de trabajo de Palau de Plegamans, comunicándose el hecho a los trabajadores en julio de 2011. La principal circunstancia que justificaba la sociedad empleadora para la adopción de la medida fue la menor necesidad de capacidad del almacén tras la pérdida de la actividad relativa a aquel cliente, por lo que —señalaba la comunicación empresarial— “coincidiendo con la finalización del contrato de arrendamiento de las actuales instalaciones, se ha optado por un posicionamiento en un centro más pequeño, el cual cumple con los requisitos exigidos en cuanto a las características de las instalaciones para el depósito de los productos de clientes pertenecientes al sector farmacéutico y sanitario ... Es necesario un cambio de domicilio del centro de trabajo...”.</w:t>
      </w:r>
    </w:p>
    <w:p w:rsidR="00163957" w:rsidRDefault="00163957" w:rsidP="00163957">
      <w:pPr>
        <w:pStyle w:val="TextoNormal"/>
      </w:pPr>
    </w:p>
    <w:p w:rsidR="00163957" w:rsidRDefault="00163957" w:rsidP="00163957">
      <w:pPr>
        <w:pStyle w:val="TextoNormal"/>
      </w:pPr>
      <w:r>
        <w:t xml:space="preserve">d) Los hechos declarados probados del proceso judicial, sin dar cuenta de lo que ocurriera con la extinciones contractuales y los traslados inicialmente anunciados al centro de trabajo de Alovera (Guadalajara), describen en cambio que catorce trabajadores fueron trasladados </w:t>
      </w:r>
      <w:r>
        <w:lastRenderedPageBreak/>
        <w:t>al centro de nueva creación anunciado en la comunicación de julio de 2011 y situado en Parets del Vallés, lo que tuvo lugar el día de 2 de enero del 2012. El nuevo centro, se afirma en el relato fáctico, se dedicaba en exclusiva a uno de los clientes que anteriormente ocupaban la actividad en Palau de Plegamans. Por su parte, entre finales del 2011 y principios del 2012, otros 22 trabajadores del centro de origen fueron trasladados a una segunda unidad productiva, preexistente, sita en la localidad de La Granada (Barcelona), integrándose en ella la actividad referida a varios clientes que ocupaban antes el trabajo del centro de Palau de Plegamans.</w:t>
      </w:r>
    </w:p>
    <w:p w:rsidR="00163957" w:rsidRDefault="00163957" w:rsidP="00163957">
      <w:pPr>
        <w:pStyle w:val="TextoNormal"/>
      </w:pPr>
    </w:p>
    <w:p w:rsidR="00163957" w:rsidRDefault="00163957" w:rsidP="00163957">
      <w:pPr>
        <w:pStyle w:val="TextoNormal"/>
      </w:pPr>
      <w:r>
        <w:t>e) En cuanto a los miembros del comité de empresa del centro de trabajo de Palau de Plegamans, fueron trasladados al centro de Parets del Vallés los ahora recurrentes en amparo, teniendo por nuevo destino el centro de La Granada el resto de sus integrantes, salvo uno de ellos que decidió extinguir su contrato.</w:t>
      </w:r>
    </w:p>
    <w:p w:rsidR="00163957" w:rsidRDefault="00163957" w:rsidP="00163957">
      <w:pPr>
        <w:pStyle w:val="TextoNormal"/>
      </w:pPr>
    </w:p>
    <w:p w:rsidR="00163957" w:rsidRDefault="00163957" w:rsidP="00163957">
      <w:pPr>
        <w:pStyle w:val="TextoNormal"/>
      </w:pPr>
      <w:r>
        <w:t>f) En La Granada existía un comité de empresa. Sus pactos (los hechos probados mencionan exclusivamente los de carácter económico) no tienen vigencia para los trabajadores del centro de Parets del Vallés.</w:t>
      </w:r>
    </w:p>
    <w:p w:rsidR="00163957" w:rsidRDefault="00163957" w:rsidP="00163957">
      <w:pPr>
        <w:pStyle w:val="TextoNormal"/>
      </w:pPr>
    </w:p>
    <w:p w:rsidR="00163957" w:rsidRDefault="00163957" w:rsidP="00163957">
      <w:pPr>
        <w:pStyle w:val="TextoNormal"/>
      </w:pPr>
      <w:r>
        <w:t>g) Uno de los recurrentes en amparo, don Tomás Aguililla, remitió comunicación a la empresa en el mes de abril de 2012 —en fecha posterior por tanto a su incorporación al nuevo centro de trabajo de Parets del Vallés— en la que anunciaba que haría uso de ocho horas sindicales de crédito horario para realizar tareas de asesoramiento en Barcelona. La empresa le respondió lo siguiente, como hiciera igualmente con otra integrante del Comité de Palau de Plegamans trasladada a La Granada y que efectuó idéntica comunicación: “Mediante la presente le recordamos que tras su adscripción a centro de trabajo sito en La Granada (en un caso) en Parets del Vallés (en otro caso) al cual usted pertenece actualmente, ha dejado de ostentar la condición de legal representante de los trabajadores, condición que obtuvo en fecha de 10 de junio del 2011 al ser elegido por los empleados del Centro de trabajo de Palau de Plegamans, como miembro del Comité de Empresa del referido centro de trabajo. En consecuencia, usted ha dejado de disponer del crédito de horas mensuales retribuidas para el ejercicio de funciones de representación, previsto en el art. 68 e) del vigente Estatuto de los Trabajadores. Sin perjuicio de lo anterior, igualmente le recordamos que mantiene el resto de garantías que le confiere el art. 68 c) del precepto legal indicado en el párrafo anterior...”.</w:t>
      </w:r>
    </w:p>
    <w:p w:rsidR="00163957" w:rsidRDefault="00163957" w:rsidP="00163957">
      <w:pPr>
        <w:pStyle w:val="TextoNormal"/>
      </w:pPr>
    </w:p>
    <w:p w:rsidR="00163957" w:rsidRDefault="00163957" w:rsidP="00163957">
      <w:pPr>
        <w:pStyle w:val="TextoNormal"/>
      </w:pPr>
      <w:r>
        <w:t>h) Tras un intento de reconsideración instado por don Tomás Aguililla, al cual la empresa contestó reiterando el criterio expuesto, formuló junto con el otro recurrente en amparo demanda de tutela de derechos fundamentales por vulneración del derecho a la libertad sindical (art. 28.1 CE), autos núm. 952-2012 del Juzgado de lo Social núm. 1 de Granollers. Impugnaban el no reconocimiento de la condición de legales representantes de los trabajadores desde el cierre del centro de trabajo de Palau de Plegamans y el traslado al centro de Parets del Vallés, de lo que sería expresión concreta la denegación por la empresa de derechos como el crédito de horas sindicales. Solicitaban la declaración de la vulneración del derecho fundamental, el restablecimiento en la integridad de sus derechos de representación, informando de ello al personal afectado, y una reparación por los daños morales sufridos.</w:t>
      </w:r>
    </w:p>
    <w:p w:rsidR="00163957" w:rsidRDefault="00163957" w:rsidP="00163957">
      <w:pPr>
        <w:pStyle w:val="TextoNormal"/>
      </w:pPr>
    </w:p>
    <w:p w:rsidR="00163957" w:rsidRDefault="00163957" w:rsidP="00163957">
      <w:pPr>
        <w:pStyle w:val="TextoNormal"/>
      </w:pPr>
      <w:r>
        <w:t xml:space="preserve">La empresa se opuso a la demanda, alegando falta de legitimación activa e inadecuación de procedimiento, a cuyo objeto aducía que la acción en defensa del derecho a la libertad </w:t>
      </w:r>
      <w:r>
        <w:lastRenderedPageBreak/>
        <w:t>sindical en su vertiente colectiva corresponde únicamente a los sindicatos, por lo que debería haberse recurrido al procedimiento ordinario. En cuanto al fondo del asunto, negaba la existencia de vulneración alguna del derecho a la libertad sindical, toda vez que la desaparición del centro en el que fueron elegidos los actores conllevaba legalmente la extinción del mandato representativo.</w:t>
      </w:r>
    </w:p>
    <w:p w:rsidR="00163957" w:rsidRDefault="00163957" w:rsidP="00163957">
      <w:pPr>
        <w:pStyle w:val="TextoNormal"/>
      </w:pPr>
    </w:p>
    <w:p w:rsidR="00163957" w:rsidRDefault="00163957" w:rsidP="00163957">
      <w:pPr>
        <w:pStyle w:val="TextoNormal"/>
      </w:pPr>
      <w:r>
        <w:t>Dictó Sentencia el Juzgado de lo Social núm. 1 de Granollers, en fecha de 18 de enero de 2013. Rechazó las objeciones procesales formuladas por la demandada en atención a la condición de representantes unitarios sindicalizados de los actores, toda vez que fueron elegidos en la candidatura presentada por CGT a las elecciones de la representación legal de los trabajadores en el centro de trabajo de Palau de Plegamans. Y estimó la demanda, por vulneración del derecho fundamental aducido, con los siguientes argumentos: i) que no se trata de un supuesto de sucesión empresarial; ii) que el traslado obedece a una cuestión organizativa, resultando que el centro de Parets del Vallés se inauguró con la llegada de los medios materiales y de los trabajadores procedentes de Palau de Plegamans y continuó con la actividad productiva de ese centro en lo referente al cliente “Indo”; iii) que a diferencia del centro de La Granada no existía en Parets del Vallés comité de empresa u otro órgano de representación y que tampoco prestaban en él sus servicios trabajadores distintos a los que procedían del centro de Palau de Plegamans, de suerte que no concurría un supuesto de doble representación; iv) que, a la vista de dichas circunstancias, la decisión unilateral de la demandada de dejar sin efecto el mandato de representación de los trabajadores en un centro en el que no existía representación alguna, unitaria o sindical, vulneraría las directrices de la Directiva del Consejo 2001/23/CE, de 12 de marzo de 2001, pues sin suficiente motivo los trabajadores que ya habían elegido a sus representantes fueron privados de las funciones ejercidas por éstos y ello pese a que todos los trasladados al centro de Parets del Vallés habían formado parte del censo electoral que los eligió en Palau de Plegamans; v) que lo anterior no es obstáculo para que puedan celebrarse nuevas elecciones en el centro de trabajo de Parets del Vallés, en esta ocasión de delegados de personal, al haber disminuido la plantilla; vi) que a los trabajadores no se les informó del fin del mandato del comité de empresa elegido en Palau de Plegamans, de modo que se les privó además de la posibilidad de efectuar un preaviso electoral desde el comienzo de su prestación de servicios en el centro de Parets del Vallés; vii) que no es a la empresa a quien le corresponde decidir cuándo expira el mandato de los representantes de los trabajadores, sino a estos.</w:t>
      </w:r>
    </w:p>
    <w:p w:rsidR="00163957" w:rsidRDefault="00163957" w:rsidP="00163957">
      <w:pPr>
        <w:pStyle w:val="TextoNormal"/>
      </w:pPr>
    </w:p>
    <w:p w:rsidR="00163957" w:rsidRDefault="00163957" w:rsidP="00163957">
      <w:pPr>
        <w:pStyle w:val="TextoNormal"/>
      </w:pPr>
      <w:r>
        <w:t>Estimaba por ello la demanda, declaraba lesionado el derecho fundamental invocado (art. 28.1 CE), por negarse a los actores su condición de legales representantes de los trabajadores, ordenando a la empresa el cese inmediato en tal conducta, con restablecimiento de la integridad de sus derechos representativos y el abono de una indemnización de 10.000 € a favor de cada uno de los demandantes.</w:t>
      </w:r>
    </w:p>
    <w:p w:rsidR="00163957" w:rsidRDefault="00163957" w:rsidP="00163957">
      <w:pPr>
        <w:pStyle w:val="TextoNormal"/>
      </w:pPr>
    </w:p>
    <w:p w:rsidR="00163957" w:rsidRDefault="00163957" w:rsidP="00163957">
      <w:pPr>
        <w:pStyle w:val="TextoNormal"/>
      </w:pPr>
      <w:r>
        <w:t>i) En el sucesivo recurso de suplicación formalizado por la demandada FCC Logística, S.A., dictó la Sentencia recurrida en amparo, de 22 de noviembre de 2013, la Sala de lo Social del Tribunal Superior de Justicia de Cataluña (recurso de suplicación núm. 4317-2013).</w:t>
      </w:r>
    </w:p>
    <w:p w:rsidR="00163957" w:rsidRDefault="00163957" w:rsidP="00163957">
      <w:pPr>
        <w:pStyle w:val="TextoNormal"/>
      </w:pPr>
    </w:p>
    <w:p w:rsidR="00163957" w:rsidRDefault="00163957" w:rsidP="00163957">
      <w:pPr>
        <w:pStyle w:val="TextoNormal"/>
      </w:pPr>
      <w:r>
        <w:t xml:space="preserve">Después de desestimar el motivo del recurso articulado con base en la misma objeción de procedibilidad formulada en la instancia, razona la cuestión de fondo con los siguientes </w:t>
      </w:r>
      <w:r>
        <w:lastRenderedPageBreak/>
        <w:t>fundamentos: i) que según la doctrina del Tribunal Supremo, contenida, entre otras, en Sentencia de 23 de julio de 1990, lo determinante para que no se pierda la condición de miembro del comité de empresa es la subsistencia del centro de trabajo para el que el trabajador fue elegido, sin que dicho cometido se vea afectado cuando se produce la integración o asunción de la actividad por un nuevo empresario, lo que es coherente con el contenido del art 63 de la Ley del estatuto de los trabajadores (LET); ii) que, sin embargo, desaparecido el centro de trabajo y trasladados los trabajadores a otros distintos, como ocurre en el presente caso, no puede permanecer la condición representativa; iii) que por más que el centro de trabajo de Parets del Vallés fuera de nueva creación y que los trabajadores que fueron destinados a él hubieran pertenecido al centro de trabajo de Palau de Plegamans, no puede afirmarse que se trate de la misma unidad productiva, pues sólo se desarrolla en él una parte de la actividad del centro de trabajo desaparecido y únicamente una pequeña parte de trabajadores que prestaban servicio en el de origen pasaron al nuevo, habiéndose distribuido el resto en otros destinos; iv) que de la Directiva del Consejo 2001/23/CE, de 12 de marzo de 2001, sólo se sigue la procedencia de la convocatoria y celebración de elecciones en esos casos.</w:t>
      </w:r>
    </w:p>
    <w:p w:rsidR="00163957" w:rsidRDefault="00163957" w:rsidP="00163957">
      <w:pPr>
        <w:pStyle w:val="TextoNormal"/>
      </w:pPr>
    </w:p>
    <w:p w:rsidR="00163957" w:rsidRDefault="00163957" w:rsidP="00163957">
      <w:pPr>
        <w:pStyle w:val="TextoNormal"/>
      </w:pPr>
      <w:r>
        <w:t>Estimaba en consecuencia el recurso de suplicación y absolvía a FCC Logística, S.A., de las pretensiones formuladas en su contra, al no existir vulneración alguna del derecho a la libertad sindical.</w:t>
      </w:r>
    </w:p>
    <w:p w:rsidR="00163957" w:rsidRDefault="00163957" w:rsidP="00163957">
      <w:pPr>
        <w:pStyle w:val="TextoNormal"/>
      </w:pPr>
    </w:p>
    <w:p w:rsidR="00163957" w:rsidRDefault="00163957" w:rsidP="00163957">
      <w:pPr>
        <w:pStyle w:val="TextoNormal"/>
      </w:pPr>
      <w:r w:rsidRPr="00163957">
        <w:rPr>
          <w:rStyle w:val="NumeroAFNegritaCaracter"/>
        </w:rPr>
        <w:t>3</w:t>
      </w:r>
      <w:r>
        <w:t>. A juicio de los recurrentes en amparo se ha vulnerado su derecho a la libertad sindical (art. 28.1 CE). Incontrovertida su condición de representantes unitarios sindicalizados, consideran que la decisión de la empresa, confirmada por la resolución judicial recurrida en amparo, impide su actividad sindical, dado que el ejercicio de su cargo representativo forma parte del derecho fundamental al haber obtenido su condición como consecuencia de la incorporación a la candidatura electoral de la CGT [art. 2.2 d) de la Ley Orgánica de libertad sindical: LOLS]. Esto así, prosiguen, la denunciada conducta empresarial no sólo tiene relevancia en relación con los mecanismos de representación unitaria de los trabajadores configurados en la legalidad ordinaria, sino que supone una injerencia empresarial contraria al art. 28.1 CE.</w:t>
      </w:r>
    </w:p>
    <w:p w:rsidR="00163957" w:rsidRDefault="00163957" w:rsidP="00163957">
      <w:pPr>
        <w:pStyle w:val="TextoNormal"/>
      </w:pPr>
    </w:p>
    <w:p w:rsidR="00163957" w:rsidRDefault="00163957" w:rsidP="00163957">
      <w:pPr>
        <w:pStyle w:val="TextoNormal"/>
      </w:pPr>
      <w:r>
        <w:t xml:space="preserve">En esta tipología de casos la legislación ordinaria establece garantías expresas de la representatividad de los trabajadores en el art. 44 del Real Decreto Legislativo 1/1995, de 24 de marzo, por el que se aprueba el texto refundido de la Ley del estatuto de los trabajadores (LET, actualmente Real Decreto Legislativo 2/2015, de 23 de octubre). Claro que, dice el recurso, el precepto citado solo contempla explícitamente el mantenimiento de la representación si se produce un cambio de titularidad del centro de trabajo o unidad productiva autónoma, existiendo sin embargo una laguna legal y jurisprudencial en supuestos de desaparición del centro de trabajo de origen para ser sustituido por otros de la misma empresa (sin cesión de la titularidad), particularmente si esos centros son creados </w:t>
      </w:r>
      <w:r w:rsidRPr="00163957">
        <w:rPr>
          <w:i/>
        </w:rPr>
        <w:t>ex novo</w:t>
      </w:r>
      <w:r>
        <w:t xml:space="preserve"> por la empleadora, disgregando a los trabajadores. La ausencia de normas legales, colectivas y determinaciones jurisprudenciales sobre esa hipótesis ha llevado al Tribunal Superior de Justicia de Catalunya, confirmando la decisión empresarial, a declarar la pérdida de la condición representativa y de la protección constitucional del derecho fundamental del art. 28.1 CE. Consideran los recurrentes, por el contrario, que cuando se habla de centros de trabajo no debe pensarse en la “finca” en la que se sitúa el lugar de la prestación, sino, conforme a lo establecido en la Directiva del Consejo 2001/23/CE, de 12 de marzo de 2001, en su art. 1.1 b), en “un conjunto de medios organizados, a fin de llevar a cabo una actividad económica, ya </w:t>
      </w:r>
      <w:r>
        <w:lastRenderedPageBreak/>
        <w:t xml:space="preserve">fuere esencial o accesoria”, definición idéntica a la positivizada por el art. 44.2 LET. De ello infieren que la representación deberá pervivir al margen y con total independencia del lugar concreto donde dichos medios organizados se ubiquen, ya que, de otro modo, como la empresa a través del legítimo </w:t>
      </w:r>
      <w:r w:rsidRPr="00163957">
        <w:rPr>
          <w:i/>
        </w:rPr>
        <w:t>ius variandi</w:t>
      </w:r>
      <w:r>
        <w:t xml:space="preserve"> tiene la potestad de decidir y modificar unilateralmente el lugar de prestación de servicios, el ejercicio y la vigencia real del cargo representativo y de la actividad sindical quedaría supeditada en la práctica a la voluntad empresarial y no a la voluntad de los trabajadores electores, soslayándose que los delegados de personal y miembros del Comité durante su mandato solamente podrán ser revocados “por decisión de los trabajadores que los hayan elegido” (art. 67.3 LET).</w:t>
      </w:r>
    </w:p>
    <w:p w:rsidR="00163957" w:rsidRDefault="00163957" w:rsidP="00163957">
      <w:pPr>
        <w:pStyle w:val="TextoNormal"/>
      </w:pPr>
    </w:p>
    <w:p w:rsidR="00163957" w:rsidRDefault="00163957" w:rsidP="00163957">
      <w:pPr>
        <w:pStyle w:val="TextoNormal"/>
      </w:pPr>
      <w:r>
        <w:t>En consecuencia, concluye el escrito de alegaciones, como el nuevo centro de trabajo de Parets del Vallès continúa la misma actividad, con los mismos trabajadores, realizando idénticas funciones, con medios coincidentes, para la misma mercantil empleadora y prestando servicios para un cliente de ésta, no existiendo otros trabajadores distintos de los que provenían del centro de origen y participaron en el proceso electoral de 2011 ni tampoco otro órgano de representación unitaria que provoque un escenario de doble representación, a los demandantes debía reconocérseles el derecho a mantener el ejercicio de sus competencias de representación y el disfrute de las garantías de tal condición hasta que no se promoviesen y celebrasen elecciones en el nuevo centro de trabajo. En ello abundan tres elementos, que según su alegato la Sala de lo Social habría pasado por alto: i) que la disgregación de la plantilla constituyó una estrategia empresarial para anular a los representantes de los trabajadores que lideraron las movilizaciones contra el cierre del centro de trabajo de Palau de Plegamans; ii) que dicha conflictividad laboral revela un indicio de la vulneración del derecho fundamental del art. 28.1 CE (motivación empresarial antisindical), que debe producir la aplicación de la doctrina constitucional de la prueba indiciaria en el proceso laboral, y iii) que en aplicación de dicha jurisprudencia se constata que la empresa no aportó ninguna razón objetiva que justificase su comportamiento, más allá de aprovechar la laguna legal.</w:t>
      </w:r>
    </w:p>
    <w:p w:rsidR="00163957" w:rsidRDefault="00163957" w:rsidP="00163957">
      <w:pPr>
        <w:pStyle w:val="TextoNormal"/>
      </w:pPr>
    </w:p>
    <w:p w:rsidR="00163957" w:rsidRDefault="00163957" w:rsidP="00163957">
      <w:pPr>
        <w:pStyle w:val="TextoNormal"/>
      </w:pPr>
      <w:r>
        <w:t>Por todo lo cual solicitan que se otorgue el amparo interesado, se declare lesionado art. 28.1 CE y se decrete la nulidad de la Sentencia dictada por la Sala de lo Social del Tribunal Superior de Justicia de Cataluña, así como la firmeza de la Sentencia de instancia, de 18 de enero de 2013, del Juzgado de lo Social núm. 1 de Granollers.</w:t>
      </w:r>
    </w:p>
    <w:p w:rsidR="00163957" w:rsidRDefault="00163957" w:rsidP="00163957">
      <w:pPr>
        <w:pStyle w:val="TextoNormal"/>
      </w:pPr>
    </w:p>
    <w:p w:rsidR="00163957" w:rsidRDefault="00163957" w:rsidP="00163957">
      <w:pPr>
        <w:pStyle w:val="TextoNormal"/>
      </w:pPr>
      <w:r w:rsidRPr="00163957">
        <w:rPr>
          <w:rStyle w:val="NumeroAFNegritaCaracter"/>
        </w:rPr>
        <w:t>4</w:t>
      </w:r>
      <w:r>
        <w:t>. En virtud de providencia de la Sección Cuarta de la Sala Segunda de este Tribunal, de 4 de diciembre de 2014, se acordó la admisión a trámite de la demanda de amparo y se solicitó la certificación o fotocopia adverada de las actuaciones a los órganos judiciales que intervinieron en los diferentes grados jurisdiccionales, así como la práctica de los emplazamientos correspondientes.</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registrado en este Tribunal el día 22 de enero de 2015, la Procuradora doña Laura Lozano Montalvo solicitó que se le tuviera por personada en nombre y representación de Logisters Logística, S.A.</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Por diligencia de ordenación de la Secretaría de Justicia de la Sala Segunda de este Tribunal, de 4 de febrero de 2015, se tuvieron por recibidos los testimonios de las actuaciones y el escrito de la Procuradora doña Laura Lozano Montalvo, a quien se tuvo por personada y parte en la representación que ostenta, acordándose abrir el plazo común de veinte </w:t>
      </w:r>
      <w:r>
        <w:lastRenderedPageBreak/>
        <w:t>días al Ministerio Fiscal y a las partes personadas, de conformidad con el art. 52.1 de la Ley Orgánica del Tribunal Constitucional (LOTC), para que pudieran presentar las alegaciones que a su derecho conviniere.</w:t>
      </w:r>
    </w:p>
    <w:p w:rsidR="00163957" w:rsidRDefault="00163957" w:rsidP="00163957">
      <w:pPr>
        <w:pStyle w:val="TextoNormal"/>
      </w:pPr>
    </w:p>
    <w:p w:rsidR="00163957" w:rsidRDefault="00163957" w:rsidP="00163957">
      <w:pPr>
        <w:pStyle w:val="TextoNormal"/>
      </w:pPr>
      <w:r w:rsidRPr="00163957">
        <w:rPr>
          <w:rStyle w:val="NumeroAFNegritaCaracter"/>
        </w:rPr>
        <w:t>7</w:t>
      </w:r>
      <w:r>
        <w:t>. La representación procesal de los demandantes de amparo se ratificó en el contenido de su demanda, según consta en escrito de 20 de febrero de 2015.</w:t>
      </w:r>
    </w:p>
    <w:p w:rsidR="00163957" w:rsidRDefault="00163957" w:rsidP="00163957">
      <w:pPr>
        <w:pStyle w:val="TextoNormal"/>
      </w:pPr>
    </w:p>
    <w:p w:rsidR="00163957" w:rsidRDefault="00163957" w:rsidP="00163957">
      <w:pPr>
        <w:pStyle w:val="TextoNormal"/>
      </w:pPr>
      <w:r w:rsidRPr="00163957">
        <w:rPr>
          <w:rStyle w:val="NumeroAFNegritaCaracter"/>
        </w:rPr>
        <w:t>8</w:t>
      </w:r>
      <w:r>
        <w:t>. Logisters Logística, S.A., evacuó el trámite de alegaciones el día 9 de marzo de 2015. A su juicio, la clave de la regulación legal viene dada por la conservación o no de la autonomía de la unidad productiva, cosa que en este asunto no sucede al haberse producido el cierre del centro de trabajo de origen y el traslado de sus trabajadores a otros centros de la misma empresa, extinguiéndose la autonomía del centro y, derivadamente, la condición representativa. Respecto de la Directiva 2001/23/CE, de 12 de marzo, art. 6.1, la compareciente sostiene que no es claro que la adopción de las medidas necesarias para salvaguardar la garantía representativa, a las que esa Directiva se refiere, implique obligatoriamente, en supuestos como el de autos, el mantenimiento de la condición de los representantes legales previamente elegidos hasta la designación de otros nuevos en la empresa o centro de trabajo de destino. En consecuencia, no cabe advertir los presupuestos que desencadenan el “efecto directo” de la Directiva, según la jurisprudencia comunitaria, consistentes en que la norma sea clara y precisa, en el sentido de que plasme una obligación concreta y que su mandato sea incondicional, sin dejar márgenes de apreciación discrecional.</w:t>
      </w:r>
    </w:p>
    <w:p w:rsidR="00163957" w:rsidRDefault="00163957" w:rsidP="00163957">
      <w:pPr>
        <w:pStyle w:val="TextoNormal"/>
      </w:pPr>
    </w:p>
    <w:p w:rsidR="00163957" w:rsidRDefault="00163957" w:rsidP="00163957">
      <w:pPr>
        <w:pStyle w:val="TextoNormal"/>
      </w:pPr>
      <w:r>
        <w:t>De otra parte, rechaza Logisters Logística, S.A., que el cierre del centro de trabajo de Palau de Plegamans obedeciera a una represalia antisindical, estando por el contrario motivado por la salida del cliente Reckitt Benckisser de las tareas que se llevaban a cabo en aquellas instalaciones, lo que suponía la menor necesidad de capacidad de almacén; una circunstancia que coincidió en el tiempo con la finalización del contrato de alquiler que la empresa había concertado en esa infraestructura, optándose por un centro de trabajo más pequeño.</w:t>
      </w:r>
    </w:p>
    <w:p w:rsidR="00163957" w:rsidRDefault="00163957" w:rsidP="00163957">
      <w:pPr>
        <w:pStyle w:val="TextoNormal"/>
      </w:pPr>
    </w:p>
    <w:p w:rsidR="00163957" w:rsidRDefault="00163957" w:rsidP="00163957">
      <w:pPr>
        <w:pStyle w:val="TextoNormal"/>
      </w:pPr>
      <w:r>
        <w:t>En definitiva, termina el escrito, la reacción empresarial no supuso una vulneración del derecho fundamental de libertad sindical (art. 28.1 CE), sino un regular ejercicio de facultades empresariales conforme a la legislación vigente, razón por la cual solicita la denegación del amparo interesado.</w:t>
      </w:r>
    </w:p>
    <w:p w:rsidR="00163957" w:rsidRDefault="00163957" w:rsidP="00163957">
      <w:pPr>
        <w:pStyle w:val="TextoNormal"/>
      </w:pPr>
    </w:p>
    <w:p w:rsidR="00163957" w:rsidRDefault="00163957" w:rsidP="00163957">
      <w:pPr>
        <w:pStyle w:val="TextoNormal"/>
      </w:pPr>
      <w:r w:rsidRPr="00163957">
        <w:rPr>
          <w:rStyle w:val="NumeroAFNegritaCaracter"/>
        </w:rPr>
        <w:t>9</w:t>
      </w:r>
      <w:r>
        <w:t>. El Fiscal ante el Tribunal Constitucional evacuó el trámite de alegaciones mediante escrito registrado el día 13 de marzo de 2015. A su criterio, la resolución recurrida margina la dimensión constitucional de la controversia y realiza una interpretación simplista de la normativa de aplicación, pues del examen conjunto de la misma (arts. 44.5, 63 y 67.3 LET, en relación con la Directiva 2001/23/CE) no se extraen las conclusiones que ha obtenido la Sala de lo Social, como tampoco de la jurisprudencia que cita en su apoyo.</w:t>
      </w:r>
    </w:p>
    <w:p w:rsidR="00163957" w:rsidRDefault="00163957" w:rsidP="00163957">
      <w:pPr>
        <w:pStyle w:val="TextoNormal"/>
      </w:pPr>
    </w:p>
    <w:p w:rsidR="00163957" w:rsidRDefault="00163957" w:rsidP="00163957">
      <w:pPr>
        <w:pStyle w:val="TextoNormal"/>
      </w:pPr>
      <w:r>
        <w:t xml:space="preserve">En efecto, de la indicada normativa fluye la voluntad legislativa de que los trabajadores no se vean privados de sus representantes. No por otro motivo se contempla el supuesto de transmisión de una empresa con pervivencia del centro de trabajo (ordenándose el mantenimiento de la representación preexistente) y, en segundo lugar, el escenario en el que los trabajadores pasan a desempeñar sus tareas en otros centros de trabajo en los que ya existen </w:t>
      </w:r>
      <w:r>
        <w:lastRenderedPageBreak/>
        <w:t>representantes, circunstancia que justifica el cese en sus funciones de la representación del centro de origen. La Directiva 2001/23/CE, por su parte, también atiende a la necesidad de mantenimiento de los derechos de los trabajadores en caso de traspasos de empresas, de centros de actividad o de partes de empresas o de centro de actividad. En consecuencia, si en el presente supuesto se estimaba que el nuevo centro de trabajo contaba con autonomía, ante la ausencia de norma expresa de aplicación pero por su similitud debería haberse seguido lo dispuesto en el art. 6.1 de la Directiva, primer párrafo, de suerte que el estatuto y la función de los representantes o de la representación de los trabajadores afectados habría sido declarada subsistente. De su lado, en el caso contrario resultaría de aplicación lo establecido en el último párrafo del art. 6.1 de la Directiva, esto es, la necesidad de adopción de medidas para garantizar que los trabajadores traspasados se hallasen debidamente representados con posterioridad al mismo, de conformidad con la legislación o prácticas nacionales vigentes y durante el período necesario para la constitución de una nueva representación.</w:t>
      </w:r>
    </w:p>
    <w:p w:rsidR="00163957" w:rsidRDefault="00163957" w:rsidP="00163957">
      <w:pPr>
        <w:pStyle w:val="TextoNormal"/>
      </w:pPr>
    </w:p>
    <w:p w:rsidR="00163957" w:rsidRDefault="00163957" w:rsidP="00163957">
      <w:pPr>
        <w:pStyle w:val="TextoNormal"/>
      </w:pPr>
      <w:r>
        <w:t>De todo ello infiere que el razonamiento desplegado por la sentencia cuestionada desatendió datos relevantes desde el punto de vista del derecho fundamental del art. 28.1 CE: “que los trabajadores pertenecían con exclusividad a un centro de trabajo que desapareció, habían sido trasladados a un nuevo centro de trabajo en el que sólo trabajaban trabajadores del anterior centro de trabajo desaparecido, que al nuevo centro habían sido trasladados los medios del centro de trabajo desaparecido y también parte de su actividad que era la única realizada, que los trabajadores anteriormente representados ahora carecían de representación y que a dicho centro de trabajo también habían sido trasladados parte de los representantes unitarios que habían sido elegidos en fechas muy recientes, por cierto, en el anterior y extinto centro de trabajo, y que la empresa les había negado su condición de representantes de los trabajadores, quedando los mismos desprovistos de toda representación”.</w:t>
      </w:r>
    </w:p>
    <w:p w:rsidR="00163957" w:rsidRDefault="00163957" w:rsidP="00163957">
      <w:pPr>
        <w:pStyle w:val="TextoNormal"/>
      </w:pPr>
    </w:p>
    <w:p w:rsidR="00163957" w:rsidRDefault="00163957" w:rsidP="00163957">
      <w:pPr>
        <w:pStyle w:val="TextoNormal"/>
      </w:pPr>
      <w:r>
        <w:t>Aprecia, en suma, la vulneración del art. 28.1 CE, interesando el otorgamiento del amparo, con declaración de la vulneración de ese derecho, anulación de la Sentencia de la Sala de lo Social del Tribunal Superior de Justicia de Catalunya y retroacción de las actuaciones al momento inmediatamente anterior al dictado de la misma, para nuevo pronunciamiento respetuoso con el derecho fundamental y congruente con las pretensiones de la empresa recurrente, que también cuestionó la indemnización concedida en instancia a los demandantes de amparo, sin que ello fuera examinado por la Sala.</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7 de abril de 2016 se señaló para la deliberación y votación de la presente Sentencia el día 11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recurso de amparo se dirige contra la Sentencia de 22 de noviembre de 2013 de la Sala de lo Social del Tribunal Superior de Justicia de Catalunya, dictada en el recurso de suplicación núm. 4317-2013, que revocó la Sentencia del Juzgado de lo Social núm.1 de Granollers, de 18 de enero de 2013, en autos sobre tutela de derechos fundamentales. Los demandantes de amparo denuncian la lesión del derecho a la libertad sindical (art. 28.1 CE) por habérseles impedido el ejercicio de la actividad representativa como expresión de su actividad sindical; derecho fundamental que queda comprometido a su juicio como consecuencia de su incorporación a la candidatura electoral a los órganos de la representación de </w:t>
      </w:r>
      <w:r>
        <w:lastRenderedPageBreak/>
        <w:t>los trabajadores presentada por la CGT en el centro de trabajo de Palau de Plegamans. Rechazan así la conclusión alcanzada por la empresa y la Sentencia recurrida sobre el significado del silencio legal respecto de los efectos en la condición representativa en supuestos de desaparición de un centro de trabajo para ser sustituido por otros de la misma empresa, sin cesión de la titularidad de la unidad productiva, que ha conducido en el caso de autos a la pérdida de la condición representativa de quienes la poseían, como representantes legales de los trabajadores, en el centro de origen. Añaden a esa primera clave interpretativa la existencia de indicios de motivación antisindical de la decisión empresarial, que en su opinión no habrían sido contrarrestados por la empleadora en el proceso judicial.</w:t>
      </w:r>
    </w:p>
    <w:p w:rsidR="00163957" w:rsidRDefault="00163957" w:rsidP="00163957">
      <w:pPr>
        <w:pStyle w:val="TextoNormal"/>
      </w:pPr>
    </w:p>
    <w:p w:rsidR="00163957" w:rsidRDefault="00163957" w:rsidP="00163957">
      <w:pPr>
        <w:pStyle w:val="TextoNormal"/>
      </w:pPr>
      <w:r>
        <w:t>Logisters Logística, S.A., descarta que se haya producido la lesión denunciada, razonando los motivos de su actuación e invocando la regulación legal que le ampararía. Por su parte, el Ministerio Fiscal interesa la estimación de la demanda, considerando que de la normativa reguladora cabía inferir una necesidad de protección de la función de representación y condición de representantes de los recurrentes en amparo.</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Aunque ninguna de las partes comparecidas ha puesto en duda la especial trascendencia constitucional de este recurso, que es requisito para su admisión de conformidad con el art. 50.1 b) de nuestra Ley Orgánica, exigencias de certeza y buena administración de justicia (STEDH de 20 de enero de 2015, caso </w:t>
      </w:r>
      <w:r w:rsidRPr="00163957">
        <w:rPr>
          <w:i/>
        </w:rPr>
        <w:t>Arribas Antón c. España</w:t>
      </w:r>
      <w:r>
        <w:t>, apartado 46) obligan a explicitar su cumplimiento para hacer así recognoscibles los criterios empleados al efecto por este Tribunal.</w:t>
      </w:r>
    </w:p>
    <w:p w:rsidR="00163957" w:rsidRDefault="00163957" w:rsidP="00163957">
      <w:pPr>
        <w:pStyle w:val="TextoNormal"/>
      </w:pPr>
    </w:p>
    <w:p w:rsidR="00163957" w:rsidRDefault="00163957" w:rsidP="00163957">
      <w:pPr>
        <w:pStyle w:val="TextoNormal"/>
      </w:pPr>
      <w:r>
        <w:t>En el presente caso, el Tribunal decidió admitir el recurso de amparo porque su objeto da ocasión de establecer doctrina sobre el derecho de libertad sindical (art. 28.1 CE) en situaciones como la que es objeto de controversia, pues no existe ningún pronunciamiento previo en la jurisprudencia constitucional acerca de si procede el mantenimiento de la condición representativa obtenida en el centro de origen en casos de representación unitaria sindicalizada y traslado de trabajadores, sin transmisión de la titularidad, a otra unidad productiva de la misma empresa que no cuenta con representación legal constituida [supuesto a) de los enunciados en la STC 155/2009, de 25 de junio, FJ 2].</w:t>
      </w:r>
    </w:p>
    <w:p w:rsidR="00163957" w:rsidRDefault="00163957" w:rsidP="00163957">
      <w:pPr>
        <w:pStyle w:val="TextoNormal"/>
      </w:pPr>
    </w:p>
    <w:p w:rsidR="00163957" w:rsidRDefault="00163957" w:rsidP="00163957">
      <w:pPr>
        <w:pStyle w:val="TextoNormal"/>
      </w:pPr>
      <w:r w:rsidRPr="00163957">
        <w:rPr>
          <w:rStyle w:val="NumeroAFNegritaCaracter"/>
        </w:rPr>
        <w:t>3</w:t>
      </w:r>
      <w:r>
        <w:t>. Tampoco ha sido motivo de objeción en este procedimiento constitucional el protagonismo del derecho a la libertad sindical de los representantes unitarios sindicalizados, sino solo su alcance o, si se prefiere, la vulneración o no del art. 28.1 CE como consecuencia de la decisión empresarial adoptada en el caso enjuiciado, por restricción de los derechos de representación de los mismos.</w:t>
      </w:r>
    </w:p>
    <w:p w:rsidR="00163957" w:rsidRDefault="00163957" w:rsidP="00163957">
      <w:pPr>
        <w:pStyle w:val="TextoNormal"/>
      </w:pPr>
    </w:p>
    <w:p w:rsidR="00163957" w:rsidRDefault="00163957" w:rsidP="00163957">
      <w:pPr>
        <w:pStyle w:val="TextoNormal"/>
      </w:pPr>
      <w:r>
        <w:t xml:space="preserve">Para confirmar ese hecho que las partes no cuestionan, bastará con poner de manifiesto que el factor sindical tiene en el supuesto de hecho el indudable protagonismo que reseñaba la reciente STC 100/2014, de 23 de junio, FJ 4: “cuando el representante unitario de los trabajadores está afiliado a un sindicato su actividad, a la vista de las circunstancias que concurran en cada caso, podrá tener consecuencias desde la perspectiva del art. 28.1 CE”. Así lo han declarado los órganos judiciales en este asunto (hecho probado quinto de las Sentencias dictadas en el proceso), partiendo de la vinculación entre aquella condición representativa y su actividad sindical y de la posibilidad consiguiente, bien conforme a la dimensión individual bien a la colectiva de ese derecho del art. 28.1 CE, de canalizar la pretensión por el cauce de tutela de derechos fundamentales que eligieron en el proceso </w:t>
      </w:r>
      <w:r>
        <w:lastRenderedPageBreak/>
        <w:t>(fundamento de Derecho segundo de la Sentencia de 22 de noviembre de 2013 de la Sala de lo Social del Tribunal Superior de Justicia de Catalunya, y fundamento de Derecho tercero de la Sentencia de 18 de enero de 2013 del Juzgado de lo Social núm. 1 de Granollers).</w:t>
      </w:r>
    </w:p>
    <w:p w:rsidR="00163957" w:rsidRDefault="00163957" w:rsidP="00163957">
      <w:pPr>
        <w:pStyle w:val="TextoNormal"/>
      </w:pPr>
    </w:p>
    <w:p w:rsidR="00163957" w:rsidRDefault="00163957" w:rsidP="00163957">
      <w:pPr>
        <w:pStyle w:val="TextoNormal"/>
      </w:pPr>
      <w:r w:rsidRPr="00163957">
        <w:rPr>
          <w:rStyle w:val="NumeroAFNegritaCaracter"/>
        </w:rPr>
        <w:t>4</w:t>
      </w:r>
      <w:r>
        <w:t>. Planteada por los recurrentes la vulneración de su derecho de libertad sindical (art. 28.1 CE), debemos comenzar por recordar nuestra doctrina relativa al contenido plural de este derecho.</w:t>
      </w:r>
    </w:p>
    <w:p w:rsidR="00163957" w:rsidRDefault="00163957" w:rsidP="00163957">
      <w:pPr>
        <w:pStyle w:val="TextoNormal"/>
      </w:pPr>
    </w:p>
    <w:p w:rsidR="00163957" w:rsidRDefault="00163957" w:rsidP="00163957">
      <w:pPr>
        <w:pStyle w:val="TextoNormal"/>
      </w:pPr>
      <w:r>
        <w:t>De modo exhaustivo lo recogió la STC 281/2005, de 7 de noviembre, FJ 3, que reproducimos:</w:t>
      </w:r>
    </w:p>
    <w:p w:rsidR="00163957" w:rsidRDefault="00163957" w:rsidP="00163957">
      <w:pPr>
        <w:pStyle w:val="TextoNormal"/>
      </w:pPr>
    </w:p>
    <w:p w:rsidR="00163957" w:rsidRDefault="00163957" w:rsidP="00163957">
      <w:pPr>
        <w:pStyle w:val="TextoNormal"/>
      </w:pPr>
      <w:r>
        <w:t xml:space="preserve">“Aun cuando del tenor literal del art. 28.1 CE pudiera deducirse la restricción del contenido de la libertad sindical a una vertiente exclusivamente organizativa o asociativa, este Tribunal ha declarado reiteradamente, en virtud de una interpretación sistemática de los arts. 7 y 28 CE, efectuada según el canon hermenéutico del art. 10.2 CE, que llama a los textos internacionales ratificados por España —en este caso, Convenios de la Organización Internacional del Trabajo núms. 87 y 98, señaladamente—, que la enumeración de derechos efectuada en el primeramente referido precepto constitucional no se realiza con el carácter de </w:t>
      </w:r>
      <w:r w:rsidRPr="00163957">
        <w:rPr>
          <w:i/>
        </w:rPr>
        <w:t>numerus clausus,</w:t>
      </w:r>
      <w:r>
        <w:t xml:space="preserve"> sino que en el contenido de dicho precepto se integra también la vertiente funcional, es decir,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94/1995, de 19 de junio, FJ 2; 308/2000, de 18 de diciembre, FJ 6; 185/2003, de 27 de octubre, FJ 6, y 198/2004, de 15 de noviembre, FJ 5). Las anteriores expresiones del derecho fundamental (organizativas o asociativas y funcionales o de actividad) constituyen su núcleo mínimo e indisponible, el contenido esencial de la libertad sindical. En particular, en coherencia con la vertiente funcional del derecho, la Ley Orgánica de Libertad Sindical (LOLS) establece que la libertad sindical comprende el derecho a la actividad sindical [art. 2.1 d)] y, de otra parte, que las organizaciones sindicales, en el ejercicio de su libertad sindical, tienen derecho a desarrollar actividades sindicales en la empresa o fuera de ella [art. 2.2 d)].</w:t>
      </w:r>
    </w:p>
    <w:p w:rsidR="00163957" w:rsidRDefault="00163957" w:rsidP="00163957">
      <w:pPr>
        <w:pStyle w:val="TextoNormal"/>
      </w:pPr>
    </w:p>
    <w:p w:rsidR="00163957" w:rsidRDefault="00163957" w:rsidP="00163957">
      <w:pPr>
        <w:pStyle w:val="TextoNormal"/>
      </w:pPr>
      <w:r>
        <w:t>Junto a los anteriores los sindicatos pueden ostentar derechos o facultades adicionales, atribuidos por normas legales o por convenios colectivos, que se añaden a aquel núcleo mínimo e indisponible de la libertad sindical. Así el derecho fundamental se integra, no sólo por su contenido esencial, sino también por ese contenido adicional y promocional, de modo que los actos contrarios a este último son también susceptibles de infringir el art. 28.1 CE (entre tantas otras, por ejemplo, SSTC 173/1992, de 29 de octubre, FJ 3; 164/1993, de 18 de mayo, FJ 3; 1/1994, de 17 de enero, FJ 4; 13/1997, de 27 de enero, FJ 3, o 36/2004, de 8 de marzo, FJ 3). Estos derechos adicionales, en la medida que sobrepasan el contenido esencial que ha de ser garantizado a todos los sindicatos, son de creación infraconstitucional y deben ser ejercitados en el marco de su regulación, pudiendo ser alterados o suprimidos por la norma legal o convencional que los establece, no estando su configuración sometida a más límite que el de no vulnerar el contenido esencial del derecho de libertad sindical (SSTC 201/1999, de 8 de noviembre, FJ 4; y 44/2004, de 23 de marzo, FJ 3).</w:t>
      </w:r>
    </w:p>
    <w:p w:rsidR="00163957" w:rsidRDefault="00163957" w:rsidP="00163957">
      <w:pPr>
        <w:pStyle w:val="TextoNormal"/>
      </w:pPr>
    </w:p>
    <w:p w:rsidR="00163957" w:rsidRDefault="00163957" w:rsidP="00163957">
      <w:pPr>
        <w:pStyle w:val="TextoNormal"/>
      </w:pPr>
      <w:r>
        <w:lastRenderedPageBreak/>
        <w:t>El contenido del derecho no se agota en ese doble plano, esencial y adicional de fuente legal o convencional, dado que pueden también existir derechos sindicalmente caracterizados que tengan su fuente de asignación en una concesión unilateral del empresario (SSTC 132/2000, de 16 de mayo, y 269/2000, de 13 de noviembre). En estos casos, a diferencia de lo que ocurre con el contenido adicional de fuente legal o convencional, que resulta indisponible para el empresario, éste podrá suprimir las mejoras o derechos de esa naturaleza que previamente haya concedido. Ello no implica, sin embargo, que las decisiones empresariales de ese estilo (supresión de concesiones unilaterales previas que incrementen los derechos y facultades de las organizaciones sindicales) resulten ajenas a todo control constitucional desde la perspectiva del art. 28.1 CE, puesto que (como dicen aquellos pronunciamientos constitucionales) también la voluntad empresarial se encuentra limitada por el derecho fundamental de libertad sindical, de manera que la posibilidad de invalidación de lo previamente concedido tendrá su límite en que no se verifique la supresión con una motivación antisindical (STC 269/2000, de 13 de noviembre, FJ 5).</w:t>
      </w:r>
    </w:p>
    <w:p w:rsidR="00163957" w:rsidRDefault="00163957" w:rsidP="00163957">
      <w:pPr>
        <w:pStyle w:val="TextoNormal"/>
      </w:pPr>
    </w:p>
    <w:p w:rsidR="00163957" w:rsidRDefault="00163957" w:rsidP="00163957">
      <w:pPr>
        <w:pStyle w:val="TextoNormal"/>
      </w:pPr>
      <w:r>
        <w:t>… (Como es obvio el contenido adicional del derecho fundamental, ya sea de fuente legal o convencional, ya tenga origen en una atribución unilateral del empresario, puede añadir prerrogativas y poderes sindicales distintos a los comprendidos en el contenido esencial del art. 28.1 CE, pero puede también quedar referido a los derechos y facultades que integran ese núcleo mínimo e indisponible del derecho fundamental, articulando, más que nuevos derechos sindicales, ventajas y posibilidades complementarias, esto es, precondiciones para un ejercicio efectivo e instrumentos de acción positiva para el favorecimiento y la mayor intensidad de los derechos que integran el contenido esencial de atribución constitucional directa. Lo que significa que la libertad de las organizaciones sindicales para organizarse a través de los instrumentos de actuación que consideren más adecuados podrá venir acompañada y favorecida por cargas y obligaciones de terceros, como el empresario, dirigidas a una efectividad promocional de los derechos y facultades que forman parte del contenido esencial de la libertad sindical).</w:t>
      </w:r>
    </w:p>
    <w:p w:rsidR="00163957" w:rsidRDefault="00163957" w:rsidP="00163957">
      <w:pPr>
        <w:pStyle w:val="TextoNormal"/>
      </w:pPr>
    </w:p>
    <w:p w:rsidR="00163957" w:rsidRDefault="00163957" w:rsidP="00163957">
      <w:pPr>
        <w:pStyle w:val="TextoNormal"/>
      </w:pPr>
      <w:r>
        <w:t>En definitiva, las organizaciones sindicales tienen derecho a que el empresario asuma las obligaciones y cargas que las normas legales o pactadas o sus previos actos le impongan para promocionar la eficacia del derecho de libertad sindical en la empresa (contenido adicional) aunque, conforme a lo dicho, al mismo tiempo, no pueden demandar actos positivos de esa naturaleza promocional si no existe una fuente generadora de tal obligación. Claro que (y este elemento resultará decisivo en el presente caso) no puede confundirse la ausencia de una obligación promocional que grave al empresario fuera de aquellos ámbitos con la posibilidad de que éste adopte decisiones de carácter meramente negativo, disuasorias o impeditivas del desarrollo del derecho, dirigidas únicamente a entorpecer su efectividad”.</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De ese enunciado de contenidos de la libertad sindical se desprende la diferente fuente de atribución (constitucional, legal, convencional o por concesión unilateral) de las facultades y derechos que integran la libertad sindical, pero también, como es igualmente meridiano, la distinta posibilidad de incidencia sobrevenida en los mismos, en un abanico de condiciones y límites dispares según cual fuere la fuente de reconocimiento. Se advierte, asimismo, que el control constitucional desde la perspectiva del art. 28.1 CE compete a este Tribunal con independencia de cuál fuera la fuente de atribución de los derechos o facultades sindicales, si bien conforme a un disímil canon de constitucionalidad en función de aquella atribución dispar. Esa circunstancia nos obliga a realizar un previo encuadramiento </w:t>
      </w:r>
      <w:r>
        <w:lastRenderedPageBreak/>
        <w:t>para analizar la eventual vulneración del derecho fundamental de los recurrentes por la exclusión de su condición representativa y del ejercicio de su función como representantes legales sindicalizados de los trabajadores a raíz del cierre del centro de trabajo de Palau de Plegamans.</w:t>
      </w:r>
    </w:p>
    <w:p w:rsidR="00163957" w:rsidRDefault="00163957" w:rsidP="00163957">
      <w:pPr>
        <w:pStyle w:val="TextoNormal"/>
      </w:pPr>
    </w:p>
    <w:p w:rsidR="00163957" w:rsidRDefault="00163957" w:rsidP="00163957">
      <w:pPr>
        <w:pStyle w:val="TextoNormal"/>
      </w:pPr>
      <w:r>
        <w:t>Según pusimos de manifiesto en los antecedentes de la presente resolución, el momento en el que se verificó el conflicto interpretativo sobre el derecho de representación a debate vino a ser el de la comunicación, por parte de uno de los recurrentes, de su intención de disfrutar del llamado crédito de horas mensuales retribuidas para el ejercicio de sus funciones de representación [art. 68 e) del texto refundido de la Ley del estatuto de los trabajadores (LET)]. Una garantía cuya finalidad, en palabras de nuestra STC 40/1985, de 13 de marzo, FJ 2, consiste en otorgarles “una protección específica en atención a la compleja posición jurídica que los mismos asumen frente a los empresarios”. Según la jurisprudencia constitucional, el derecho al crédito de horas retribuidas forma parte del contenido adicional del derecho a la libertad sindical, y es de libre reconocimiento y configuración por el legislador y, en su caso, por la negociación colectiva (por todas, STC 241/2005, de 10 de octubre, FJ 3). Un mismo encuadramiento (contenido adicional de la libertad sindical) corresponde al derecho de las organizaciones sindicales a la presentación de candidaturas para la elección de comités de empresa y delegados de personal y de los correspondientes órganos de las Administraciones públicas (por todas, STC 200/2006, de 3 de julio, FJ 3); derecho de cuyo ejercicio nació, tras su incorporación a la lista de la CGT, la condición representativa de los recurrentes en amparo.</w:t>
      </w:r>
    </w:p>
    <w:p w:rsidR="00163957" w:rsidRDefault="00163957" w:rsidP="00163957">
      <w:pPr>
        <w:pStyle w:val="TextoNormal"/>
      </w:pPr>
    </w:p>
    <w:p w:rsidR="00163957" w:rsidRDefault="00163957" w:rsidP="00163957">
      <w:pPr>
        <w:pStyle w:val="TextoNormal"/>
      </w:pPr>
      <w:r>
        <w:t>Son tales elementos, en consecuencia, los que definen el encuadramiento y la dimensión constitucional del caso, ya por constituir el último de los citados la fuente de atribución de la condición representativa (con la participación en un proceso electoral en listas de una organización sindical), ya por quedar asociado aquel otro (el crédito horario reclamado) al ejercicio de dicha función de representación. Dos elementos de referencia ambos comprendidos, según se ha expuesto, entre los que integran el contenido adicional del derecho fundamental del art. 28.1 CE.</w:t>
      </w:r>
    </w:p>
    <w:p w:rsidR="00163957" w:rsidRDefault="00163957" w:rsidP="00163957">
      <w:pPr>
        <w:pStyle w:val="TextoNormal"/>
      </w:pPr>
    </w:p>
    <w:p w:rsidR="00163957" w:rsidRDefault="00163957" w:rsidP="00163957">
      <w:pPr>
        <w:pStyle w:val="TextoNormal"/>
      </w:pPr>
      <w:r w:rsidRPr="00163957">
        <w:rPr>
          <w:rStyle w:val="NumeroAFNegritaCaracter"/>
        </w:rPr>
        <w:t>6</w:t>
      </w:r>
      <w:r>
        <w:t>. Respecto de ese contenido adicional de la libertad sindical hemos declarado reiteradamente que “la función revisora de este Tribunal debe limitarse a examinar el carácter motivado, razonable y no indebidamente restrictivo de la resolución impugnada, así como la justificación finalista de las normas que considera aplicables” (por todas, STC 200/2006, de 3 de julio, FJ 4).</w:t>
      </w:r>
    </w:p>
    <w:p w:rsidR="00163957" w:rsidRDefault="00163957" w:rsidP="00163957">
      <w:pPr>
        <w:pStyle w:val="TextoNormal"/>
      </w:pPr>
    </w:p>
    <w:p w:rsidR="00163957" w:rsidRDefault="00163957" w:rsidP="00163957">
      <w:pPr>
        <w:pStyle w:val="TextoNormal"/>
      </w:pPr>
      <w:r>
        <w:t xml:space="preserve">Pues bien, según la Sentencia de 22 de noviembre de 2013 de la Sala de lo Social del Tribunal Superior de Justicia de Catalunya, dictada en el recurso de suplicación núm. 4317-2013, la decisión empresarial vendría a encontrar soporte en la siguiente secuencia de fundamentos: i) el mantenimiento de la condición de miembro del comité de empresa requiere de la subsistencia del centro de trabajo para el que se fue elegido; ii) desaparecido el centro de trabajo y trasladados los trabajadores a otros distintos, como ocurre en el presente caso, no pervive la condición de representante legal de los trabajadores (a juicio de la Sala, el centro de trabajo de Parets del Vallés no puede equipararse a la unidad productiva de origen pues sólo se desarrolla en él una parte de la actividad del centro de trabajo desaparecido y únicamente una pequeña parte de trabajadores que prestaban servicio en aquél, el de Palau de Plegamans, pasaron a desarrollar su actividad en el nuevo, habiéndose distribuido el resto </w:t>
      </w:r>
      <w:r>
        <w:lastRenderedPageBreak/>
        <w:t>en otros destinos); iii) la Directiva del Consejo 2001/23/CE, de 12 de marzo de 2001, solo contempla la procedencia de la convocatoria y celebración de elecciones en esos casos, mientras que, por su parte, la regulación contenida en la Ley del estatuto de los trabajadores no obligaría tampoco a una decisión distinta a la adoptada.</w:t>
      </w:r>
    </w:p>
    <w:p w:rsidR="00163957" w:rsidRDefault="00163957" w:rsidP="00163957">
      <w:pPr>
        <w:pStyle w:val="TextoNormal"/>
      </w:pPr>
    </w:p>
    <w:p w:rsidR="00163957" w:rsidRDefault="00163957" w:rsidP="00163957">
      <w:pPr>
        <w:pStyle w:val="TextoNormal"/>
      </w:pPr>
      <w:r>
        <w:t xml:space="preserve">De esos fundamentos que conforman la </w:t>
      </w:r>
      <w:r w:rsidRPr="00163957">
        <w:rPr>
          <w:i/>
        </w:rPr>
        <w:t>ratio decidendi</w:t>
      </w:r>
      <w:r>
        <w:t xml:space="preserve"> de la Sentencia recurrida se infiere, en resumidas cuentas, que no existe una previsión legal o convencional que garantice el mantenimiento de la condición de representante legal en casos como el enjuiciado y que no puede, por consiguiente, considerarse que la supresión de esa condición en esos concretos supuestos contraríe un derecho atribuido por normas legales o convencionales (o por concesiones unilaterales del empresario, que en esta ocasión tampoco constan). Y así ocurre a la vista de los enunciados normativos y de las circunstancias acreditadas en el caso, en efecto, resultando por lo demás necesario recordar que no toda reducción de las posibilidades de acción o de la capacidad de obrar de un sindicato (tampoco las que repercutan en sus representantes en el marco de los órganos de la representación unitaria) puede calificarse automáticamente como atentado a la libertad sindical, pues es preciso que esas eventuales restricciones sean arbitrarias, injustificadas o contrarias a la ley (por todas, STC 147/2001, de 27 de junio, FJ 5), calificación que, según se ha expuesto, no procede en esta ocasión a falta de una previsión infraconstitucional (contenido adicional de la libertad sindical) que atribuya expresamente el derecho pretendido.</w:t>
      </w:r>
    </w:p>
    <w:p w:rsidR="00163957" w:rsidRDefault="00163957" w:rsidP="00163957">
      <w:pPr>
        <w:pStyle w:val="TextoNormal"/>
      </w:pPr>
    </w:p>
    <w:p w:rsidR="00163957" w:rsidRDefault="00163957" w:rsidP="00163957">
      <w:pPr>
        <w:pStyle w:val="TextoNormal"/>
      </w:pPr>
      <w:r>
        <w:t>Por lo demás, y pese a lo que aduce la demanda de amparo, no hay soporte fáctico ni razonamiento judicial que permitan asociar indiciariamente los actos de conflictividad laboral del año 2011 con la negativa de la empresa a reconocer a los recurrentes la condición de representantes legales en el centro de destino. Antes al contrario, el objeto del debate procesal ha gravitado en esencia, como después la demanda de amparo, en torno a la interpretación que para el derecho reclamado proceda a la vista de la regulación legal o el silencio normativo en la materia, quedando en el terreno de la alegación meramente retórica la pretendida intencionalidad antisindical de la empleadora.</w:t>
      </w:r>
    </w:p>
    <w:p w:rsidR="00163957" w:rsidRDefault="00163957" w:rsidP="00163957">
      <w:pPr>
        <w:pStyle w:val="TextoNormal"/>
      </w:pPr>
    </w:p>
    <w:p w:rsidR="00163957" w:rsidRDefault="00163957" w:rsidP="00163957">
      <w:pPr>
        <w:pStyle w:val="TextoNormal"/>
      </w:pPr>
      <w:r>
        <w:t>Descartada, pues, la lesión del derecho fundamental denunciada en esta sede constitucional, procede desestimar el amparo solicitado.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amparo promovido por don Tomás Aguililla Durán y don Juan López López.</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once de abril de dos mil dieciséis.</w:t>
      </w:r>
    </w:p>
    <w:p w:rsidR="00163957" w:rsidRDefault="00163957" w:rsidP="00163957">
      <w:pPr>
        <w:pStyle w:val="ParrafoNormal"/>
      </w:pPr>
    </w:p>
    <w:p w:rsidR="00163957" w:rsidRDefault="00163957" w:rsidP="00163957">
      <w:pPr>
        <w:pStyle w:val="TextoNormalNegritaCentrado"/>
        <w:keepNext/>
      </w:pPr>
      <w:r>
        <w:lastRenderedPageBreak/>
        <w:t>Voto particular que formula el Magistrado don Fernando Valdés Dal-Ré a la Sentencia dictada en el recurso de amparo núm. 528-2014, al que se adhiere la Magistrada doña Adela Asua Batarrita.</w:t>
      </w:r>
    </w:p>
    <w:p w:rsidR="00163957" w:rsidRDefault="00163957" w:rsidP="00163957">
      <w:pPr>
        <w:pStyle w:val="TextoNormalNegritaCentrado"/>
        <w:keepNext/>
      </w:pPr>
    </w:p>
    <w:p w:rsidR="00163957" w:rsidRDefault="00163957" w:rsidP="00163957">
      <w:pPr>
        <w:pStyle w:val="TextoNormal"/>
      </w:pPr>
      <w:r>
        <w:t>1. Como manifesté durante la deliberación del presente proceso constitucional, disiento de la decisión mayoritariamente adoptada. Dentro del máximo respeto al parecer de mis compañeros de Sala, entiendo que el fallo debió de declarar la vulneración del art. 28.1 CE, en su vertiente funcional.</w:t>
      </w:r>
    </w:p>
    <w:p w:rsidR="00163957" w:rsidRDefault="00163957" w:rsidP="00163957">
      <w:pPr>
        <w:pStyle w:val="TextoNormal"/>
      </w:pPr>
    </w:p>
    <w:p w:rsidR="00163957" w:rsidRDefault="00163957" w:rsidP="00163957">
      <w:pPr>
        <w:pStyle w:val="TextoNormal"/>
      </w:pPr>
      <w:r>
        <w:t xml:space="preserve">2. En el último párrafo del fundamento jurídico 5 la mayoría sitúa la solución del proceso de amparo en el resultado que acarree la aplicación del canon de constitucionalidad correspondiente al </w:t>
      </w:r>
      <w:r w:rsidRPr="00163957">
        <w:rPr>
          <w:i/>
        </w:rPr>
        <w:t>contenido adicional</w:t>
      </w:r>
      <w:r>
        <w:t xml:space="preserve"> de la libertad sindical. En efecto, tras haber hecho recordatorio de que forman parte del contenido adicional del derecho a la libertad sindical tanto el llamado crédito de horas mensuales retribuidas para el ejercicio de las funciones de representación, como el derecho de las organizaciones sindicales a la presentación de candidaturas para la elección de comités de empresa y delegados de personal y de los correspondientes órganos de las Administraciones públicas, declara la sentencia que tales elementos y tal encuadramiento definen la dimensión constitucional y la problemática que suscita el caso, “ya por constituir el último de los citados la fuente de atribución de la condición representativa (con la participación en un proceso electoral en listas de una organización sindical), ya por quedar asociado aquel otro (el crédito horario reclamado) al ejercicio de dicha función de representación. Dos elementos de referencia ambos comprendidos, según se ha expuesto, entre los que integran el contenido adicional del derecho fundamental del art. 28.1 CE”.</w:t>
      </w:r>
    </w:p>
    <w:p w:rsidR="00163957" w:rsidRDefault="00163957" w:rsidP="00163957">
      <w:pPr>
        <w:pStyle w:val="TextoNormal"/>
      </w:pPr>
    </w:p>
    <w:p w:rsidR="00163957" w:rsidRDefault="00163957" w:rsidP="00163957">
      <w:pPr>
        <w:pStyle w:val="TextoNormal"/>
      </w:pPr>
      <w:r>
        <w:t>Si fuera correcto tal encuadramiento, esto es, desde el prisma del contenido adicional de la libertad sindical, podría compartirse el juicio que contiene el texto aprobado, pues la pretensión de los recurrentes carecería de amparo a falta de previsiones infraconstitucionales que regulasen la materia controvertida en el sentido reclamado.</w:t>
      </w:r>
    </w:p>
    <w:p w:rsidR="00163957" w:rsidRDefault="00163957" w:rsidP="00163957">
      <w:pPr>
        <w:pStyle w:val="TextoNormal"/>
      </w:pPr>
    </w:p>
    <w:p w:rsidR="00163957" w:rsidRDefault="00163957" w:rsidP="00163957">
      <w:pPr>
        <w:pStyle w:val="TextoNormal"/>
      </w:pPr>
      <w:r>
        <w:t>Sin embargo, no es ese el escenario en el que nos sume la problemática suscitada en este recurso. En rigor, y en contra de lo que declara el pronunciamiento constitucional, no queda comprometido en el presente caso el derecho a la presentación de candidaturas en las elecciones a la representación unitaria, ni tampoco el derivado a favor de los representantes electos a un crédito de horas para el ejercicio de sus funciones [art. 68 e) LET]. Antes al contrario, el debate esencial reside, y así se articula en la demanda de amparo, en la decisión empresarial de negar la condición representativa obtenida por quienes, en las listas de un sindicato, fueron previamente elegidos en el proceso electoral y antes del vencimiento del mandato legalmente previsto para el Comité de empresa. Una consecuencia que la empresa justificó en la desaparición del centro de origen, en Palau de Plegamans, y en el silencio legal —que equivaldría a su juicio a la inexistencia del derecho— sobre el mantenimiento de la representación en esos supuestos, y que en cambio los recurrentes denunciaron porque llevó aparejada un vacío de representación para los trabajadores y de la capacidad de acción de los representantes electos y del sindicato que a través de ellos ejercía la acción sindical en la empresa.</w:t>
      </w:r>
    </w:p>
    <w:p w:rsidR="00163957" w:rsidRDefault="00163957" w:rsidP="00163957">
      <w:pPr>
        <w:pStyle w:val="TextoNormal"/>
      </w:pPr>
    </w:p>
    <w:p w:rsidR="00163957" w:rsidRDefault="00163957" w:rsidP="00163957">
      <w:pPr>
        <w:pStyle w:val="TextoNormal"/>
      </w:pPr>
      <w:r>
        <w:lastRenderedPageBreak/>
        <w:t>En contra de la premisa que subraya la mayoría, por tanto, enlazaba la controversia no ya con aquellos derechos adicionales de la libertad sindical, de configuración infraconstitucional, sino con el contenido esencial del art. 28.1 CE, en su vertiente funcional, es decir, con el derecho de los sindicatos a ejercer aquellas actividades dirigidas a la defensa, protección y promoción de los intereses de los trabajadores; en suma, a desplegar los medios de acción necesarios para que puedan cumplir las funciones que constitucionalmente les corresponden (por todas, SSTC 94/1995, de 19 de junio, FJ 2; 308/2000, de 18 de diciembre, FJ 6; 185/2003, de 27 de octubre, FJ 6, y 198/2004, de 15 de noviembre, FJ 5). Dicha actividad sindical y, consiguientemente, la dimensión colectiva del derecho fundamental quedaban comprometidas, pues la decisión de supresión de la representación legalmente constituida repercute no sólo en los recurrentes sino también, directamente, en la actuación del sindicato en el seno de la empresa.</w:t>
      </w:r>
    </w:p>
    <w:p w:rsidR="00163957" w:rsidRDefault="00163957" w:rsidP="00163957">
      <w:pPr>
        <w:pStyle w:val="TextoNormal"/>
      </w:pPr>
    </w:p>
    <w:p w:rsidR="00163957" w:rsidRDefault="00163957" w:rsidP="00163957">
      <w:pPr>
        <w:pStyle w:val="TextoNormal"/>
      </w:pPr>
      <w:r>
        <w:t>3. En consecuencia, nuestra Sentencia debía revisar si una interpretación como la realizada por la empleadora, confirmada en sede judicial, respetaba o no el derecho fundamental en su vertiente funcional (aquí, la actividad sindical en la empresa), como expresión del contenido esencial del art. 28.1 CE. En concreto, se planteaba la cuestión de analizar si la pretensión empresarial de suprimir la representación en estas hipótesis de rearticulación orgánica de los centros de trabajo de una misma empresa, sin cambio de titularidad o sucesión empresarial (art. 44.5 LET), con transferencia de trabajadores a una unidad productiva que carece de órganos de representación conformados, es compatible o no con la garantía de la actividad sindical del sindicato y sus agentes en la empresa.</w:t>
      </w:r>
    </w:p>
    <w:p w:rsidR="00163957" w:rsidRDefault="00163957" w:rsidP="00163957">
      <w:pPr>
        <w:pStyle w:val="TextoNormal"/>
      </w:pPr>
    </w:p>
    <w:p w:rsidR="00163957" w:rsidRDefault="00163957" w:rsidP="00163957">
      <w:pPr>
        <w:pStyle w:val="TextoNormal"/>
      </w:pPr>
      <w:r>
        <w:t>A mi criterio la respuesta es sencilla. La dimensión funcional del derecho fundamental permite distinguir una garantía mínima para esos supuestos, a saber: que durante el período necesario para la nueva designación de la representación de los trabajadores en el centro de destino debe asegurarse el mantenimiento de los derechos de la actividad representativa de los sindicatos por medio de sus representantes. Esta premisa comporta, a los efectos analizados, la continuidad de la condición de representantes unitarios de las personas elegidas en el centro de origen siempre y cuando exista lo que podríamos llamar “coincidencia predominante entre electos y cuerpo electoral”, es decir, siempre que no se desnaturalice la representación entre quienes fueron electores y representantes electos y quienes integren la nueva unidad productiva, como en el presente caso acontecía. Solo así se garantiza la dimensión funcional del derecho fundamental cuando no existe órgano de representación constituido en la unidad de destino y concurre, además, aquella coincidencia entre el cuerpo electoral y los representantes electos en los supuestos en los que la empresa, el centro de actividad o una parte de éstos conserve su autonomía con ocasión de la rearticulación de su estructura orgánica en distintas unidades productivas.</w:t>
      </w:r>
    </w:p>
    <w:p w:rsidR="00163957" w:rsidRDefault="00163957" w:rsidP="00163957">
      <w:pPr>
        <w:pStyle w:val="TextoNormal"/>
      </w:pPr>
    </w:p>
    <w:p w:rsidR="00163957" w:rsidRDefault="00163957" w:rsidP="00163957">
      <w:pPr>
        <w:pStyle w:val="TextoNormal"/>
      </w:pPr>
      <w:r>
        <w:t>Bajo esas circunstancias, debió otorgarse el amparo interesado. En efecto, al centro de Parets del Vallés fueron trasladados, exclusivamente, trabajadores del centro de Palau de Plegamans, donde los recurrentes habían sido elegidos miembros del Comité de empresa en las elecciones de 10 de junio de 2011. Así pues, en tanto se procediera a articular la nueva representación, el vínculo habilitante de la pervivencia del mandato era incuestionable, al no existir trabajadores ajenos al centro de origen que quebraran la representatividad de los recurrentes, rompiendo aquella coherencia entre el cuerpo electoral y los representantes electos.</w:t>
      </w:r>
    </w:p>
    <w:p w:rsidR="00163957" w:rsidRDefault="00163957" w:rsidP="00163957">
      <w:pPr>
        <w:pStyle w:val="TextoNormal"/>
      </w:pPr>
    </w:p>
    <w:p w:rsidR="00163957" w:rsidRDefault="00163957" w:rsidP="00163957">
      <w:pPr>
        <w:pStyle w:val="TextoNormal"/>
      </w:pPr>
      <w:r>
        <w:lastRenderedPageBreak/>
        <w:t>Siendo de ese modo, tanto la empresa como luego la Sala de lo Social del Tribunal Superior de Justicia interpretaron el vacío normativo de manera inconciliable con la dimensión funcional del contenido esencial de la libertad sindical (art. 28.1 CE), impidiendo la garantía del derecho fundamental en el período transitorio hasta la elección de una nueva representación legal de los trabajadores. Por estas razones, que evidencian la minusvaloración de la dimensión funcional de la libertad sindical, debió reconocerse la violación del art. 28.1 CE.</w:t>
      </w:r>
    </w:p>
    <w:p w:rsidR="00163957" w:rsidRDefault="00163957" w:rsidP="00163957">
      <w:pPr>
        <w:pStyle w:val="TextoNormal"/>
      </w:pPr>
    </w:p>
    <w:p w:rsidR="00163957" w:rsidRDefault="00163957" w:rsidP="00163957">
      <w:pPr>
        <w:pStyle w:val="TextoNormal"/>
      </w:pPr>
      <w:r>
        <w:t>Y en tal sentido emito este Voto particular.</w:t>
      </w:r>
    </w:p>
    <w:p w:rsidR="00163957" w:rsidRDefault="00163957" w:rsidP="00163957">
      <w:pPr>
        <w:pStyle w:val="TextoNormal"/>
      </w:pPr>
    </w:p>
    <w:p w:rsidR="00163957" w:rsidRDefault="00163957" w:rsidP="00163957">
      <w:pPr>
        <w:pStyle w:val="TextoNormal"/>
      </w:pPr>
      <w:r>
        <w:t>Madrid, a once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68" w:name="SENTENCIA_2016_65"/>
      <w:r>
        <w:lastRenderedPageBreak/>
        <w:t>SENTENCIA 65/2016, de 11 de abril de 2016</w:t>
      </w:r>
    </w:p>
    <w:bookmarkEnd w:id="68"/>
    <w:p w:rsidR="00163957" w:rsidRDefault="00163957" w:rsidP="00163957">
      <w:pPr>
        <w:pStyle w:val="TtuloResolucin"/>
      </w:pPr>
      <w:r>
        <w:t>Sala Primera</w:t>
      </w:r>
    </w:p>
    <w:p w:rsidR="00163957" w:rsidRDefault="00163957" w:rsidP="00163957">
      <w:pPr>
        <w:pStyle w:val="TtuloBOE"/>
      </w:pPr>
      <w:r>
        <w:t>(BOE núm. 122, de 20 de mayo de 2016)</w:t>
      </w:r>
    </w:p>
    <w:p w:rsidR="00163957" w:rsidRDefault="00163957" w:rsidP="00163957">
      <w:pPr>
        <w:pStyle w:val="TextoNormalCentrado"/>
      </w:pPr>
      <w:r>
        <w:t>ECLI:ES:TC:2016:65</w:t>
      </w:r>
    </w:p>
    <w:p w:rsidR="00163957" w:rsidRDefault="00163957" w:rsidP="00163957">
      <w:pPr>
        <w:pStyle w:val="TextoNormalCentrado"/>
      </w:pPr>
    </w:p>
    <w:p w:rsidR="00163957" w:rsidRDefault="00163957" w:rsidP="00163957">
      <w:pPr>
        <w:pStyle w:val="SntesisDescriptiva"/>
      </w:pPr>
      <w:r>
        <w:t>Recurso de amparo 6312-2014. Promovido por doña R.C.M.S., respecto de las resoluciones dictadas por la Audiencia Provincial y un Juzgado de Primera Instancia de Granada, que denegaron el incidente de nulidad de actuaciones promovido en procedimiento de oposición de medidas de menores a raíz de la Sentencia del Tribunal Europeo de Derechos Humanos de 18 de junio de 2013.</w:t>
      </w:r>
    </w:p>
    <w:p w:rsidR="00163957" w:rsidRDefault="00163957" w:rsidP="00163957">
      <w:pPr>
        <w:pStyle w:val="SntesisDescriptiva"/>
      </w:pPr>
    </w:p>
    <w:p w:rsidR="00163957" w:rsidRDefault="00163957" w:rsidP="00163957">
      <w:pPr>
        <w:pStyle w:val="SntesisAnaltica"/>
      </w:pPr>
      <w:r>
        <w:t>Vulneración del derecho a la tutela judicial efectiva (acceso al recurso): inadmisión de un incidente de nulidad de actuaciones fundada en la aplicación de una norma derogada.</w:t>
      </w:r>
    </w:p>
    <w:p w:rsidR="00163957" w:rsidRDefault="00163957" w:rsidP="00163957">
      <w:pPr>
        <w:pStyle w:val="SntesisAnaltica"/>
      </w:pPr>
    </w:p>
    <w:p w:rsidR="00163957" w:rsidRDefault="00163957" w:rsidP="00163957">
      <w:pPr>
        <w:pStyle w:val="Extracto"/>
      </w:pPr>
      <w:r>
        <w:t>1.</w:t>
      </w:r>
      <w:r>
        <w:tab/>
        <w:t>El órgano judicial no sólo está obligado a aplicar la norma vigente para apoyar su decisión en una causa legal existente, sino que también debe realizar una interpretación no restrictiva de los motivos de inadmisión, tramitar el incidente y motivar, en cualquier caso, suficientemente su decisión [FJ 6].</w:t>
      </w:r>
    </w:p>
    <w:p w:rsidR="00163957" w:rsidRDefault="00163957" w:rsidP="00163957">
      <w:pPr>
        <w:pStyle w:val="Extracto"/>
      </w:pPr>
    </w:p>
    <w:p w:rsidR="00163957" w:rsidRDefault="00163957" w:rsidP="00163957">
      <w:pPr>
        <w:pStyle w:val="Extracto"/>
      </w:pPr>
      <w:r>
        <w:t>2.</w:t>
      </w:r>
      <w:r>
        <w:tab/>
        <w:t>La inadmisión quedaba reducida a que no se daban los requisitos para interponer el incidente de nulidad de actuaciones, aunque el Juzgado aplicó una regulación derogada de la norma en la que se acotaba el ámbito del incidente a los defectos formales causantes de indefensión y al vicio de incongruencia [FJ 6].</w:t>
      </w:r>
    </w:p>
    <w:p w:rsidR="00163957" w:rsidRDefault="00163957" w:rsidP="00163957">
      <w:pPr>
        <w:pStyle w:val="Extracto"/>
      </w:pPr>
    </w:p>
    <w:p w:rsidR="00163957" w:rsidRDefault="00163957" w:rsidP="00163957">
      <w:pPr>
        <w:pStyle w:val="Extracto"/>
      </w:pPr>
      <w:r>
        <w:t>3.</w:t>
      </w:r>
      <w:r>
        <w:tab/>
        <w:t>La nueva regulación del incidente de nulidad de actuaciones del art. 241.1 LOPJ   sirve para reparar aquellas lesiones de cualquier derecho fundamental que no puedan serlo a través de los recursos ordinarios o extraordinarios previstos por la ley [FJ 5].</w:t>
      </w:r>
    </w:p>
    <w:p w:rsidR="00163957" w:rsidRDefault="00163957" w:rsidP="00163957">
      <w:pPr>
        <w:pStyle w:val="Extracto"/>
      </w:pPr>
    </w:p>
    <w:p w:rsidR="00163957" w:rsidRDefault="00163957" w:rsidP="00163957">
      <w:pPr>
        <w:pStyle w:val="Extracto"/>
      </w:pPr>
      <w:r>
        <w:t>4.</w:t>
      </w:r>
      <w:r>
        <w:tab/>
        <w:t>La resolución de la pretensión deducida mediante una selección arbitraria y manifiestamente irrazonable del Derecho aplicable, como lo es la aplicación de una norma derogada, no satisface el derecho a la tutela judicial efectiva (STC 144/2003) [FJ 6].</w:t>
      </w:r>
    </w:p>
    <w:p w:rsidR="00163957" w:rsidRDefault="00163957" w:rsidP="00163957">
      <w:pPr>
        <w:pStyle w:val="Extracto"/>
      </w:pPr>
    </w:p>
    <w:p w:rsidR="00163957" w:rsidRDefault="00163957" w:rsidP="00163957">
      <w:pPr>
        <w:pStyle w:val="Extracto"/>
      </w:pPr>
      <w:r>
        <w:t>5.</w:t>
      </w:r>
      <w:r>
        <w:tab/>
        <w:t>Dada la pretensión de reapertura de un proceso concluido, con resolución judicial firme y autoridad de cosa juzgada, como efecto de una Sentencia del TEDH, ésta tiene carácter declarativo y no anula ni modifica por sí misma los actos, en este caso Sentencias, declarados contrarios al Convenio pues éste, desde la perspectiva del Derecho internacional (art. 96 CE), ni ha introducido en el orden jurídico interno una instancia superior supranacional de revisión o control directo de las decisiones judiciales o administrativas internas, ni impone a los Estados miembros medidas procesales concretas -anulatorias o rescisorias- para asegurar la reparación de la violación del Convenio declarada por el Tribunal [FJ 4].</w:t>
      </w:r>
    </w:p>
    <w:p w:rsidR="00163957" w:rsidRDefault="00163957" w:rsidP="00163957">
      <w:pPr>
        <w:pStyle w:val="Extracto"/>
      </w:pPr>
    </w:p>
    <w:p w:rsidR="00163957" w:rsidRDefault="00163957" w:rsidP="00163957">
      <w:pPr>
        <w:pStyle w:val="Extracto"/>
      </w:pPr>
      <w:r>
        <w:t>6.</w:t>
      </w:r>
      <w:r>
        <w:tab/>
        <w:t xml:space="preserve">La elección por parte del legislador del recurso de revisión como cauce procesal determina que las decisiones sobre su admisión queden sujetas al principio de interpretación </w:t>
      </w:r>
      <w:r w:rsidRPr="00163957">
        <w:rPr>
          <w:i/>
        </w:rPr>
        <w:t>pro actione</w:t>
      </w:r>
      <w:r>
        <w:t>; planteamiento, por otra parte, ya apuntado por este Tribunal antes de la reforma (STC 70/2007) [FJ 4].</w:t>
      </w:r>
    </w:p>
    <w:p w:rsidR="00163957" w:rsidRDefault="00163957" w:rsidP="00163957">
      <w:pPr>
        <w:pStyle w:val="Extracto"/>
      </w:pPr>
    </w:p>
    <w:p w:rsidR="00163957" w:rsidRDefault="00163957" w:rsidP="00163957">
      <w:pPr>
        <w:pStyle w:val="Extracto"/>
      </w:pPr>
      <w:r>
        <w:t>7.</w:t>
      </w:r>
      <w:r>
        <w:tab/>
        <w:t>Doctrina sobre la interpretación de las normas que integren alguna vía rescisoria de sentencias firmes (STC 185/1990) [FJ 5].</w:t>
      </w:r>
    </w:p>
    <w:p w:rsidR="00163957" w:rsidRDefault="00163957" w:rsidP="00163957">
      <w:pPr>
        <w:pStyle w:val="Extracto"/>
      </w:pPr>
    </w:p>
    <w:p w:rsidR="00163957" w:rsidRDefault="00163957" w:rsidP="00163957">
      <w:pPr>
        <w:pStyle w:val="Extracto"/>
      </w:pPr>
      <w:r>
        <w:t>8.</w:t>
      </w:r>
      <w:r>
        <w:tab/>
        <w:t>Doctrina sobre la revisión de decisiones judiciales de inadmisión en vía de amparo (SSTC 252/2000, FJ 2; STC 217/2009) [FJ 5].</w:t>
      </w:r>
    </w:p>
    <w:p w:rsidR="00163957" w:rsidRDefault="00163957" w:rsidP="00163957">
      <w:pPr>
        <w:pStyle w:val="Extracto"/>
      </w:pPr>
    </w:p>
    <w:p w:rsidR="00163957" w:rsidRDefault="00163957" w:rsidP="00163957">
      <w:pPr>
        <w:pStyle w:val="Extracto"/>
      </w:pPr>
      <w:r>
        <w:t>9.</w:t>
      </w:r>
      <w:r>
        <w:tab/>
        <w:t>Concurre una especial trascendencia constitucional porque el recurso plantea un problema o afecta a una faceta de un derecho fundamental sobre el que no hay doctrina de este Tribunal (STC 155/2009)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6312-2014, promovido por doña R.C.M.S., representada por la Procuradora de los Tribunales doña María Amparo Alonso León y bajo la dirección de la Letrada doña María José López Góngora, contra el Auto de 3 de septiembre de 2014, dictado por la Sección Quinta de la Audiencia Provincial de Granada recaído en recurso de apelación núm. 157-2014, y contra el apelado Auto del Juzgado de Primera Instancia núm. 16 de Granada de 9 de enero de 2014, en incidente extraordinario de nulidad de actuaciones en procedimiento de oposición de medidas de menores, autos núm. 1634-2013. Ha sido parte la Letrada de la Junta de Andalucía, en la representación que ostenta. Ha intervenido el Ministerio Fiscal. Ha sido Ponente el Presidente don Francisco Pérez de los Cobos Orihuel, quien expresa el parecer de la Sala.</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21 de octubre de 2014, la Procuradora de los Tribunales doña María Amparo Alonso León, en nombre y representación de doña R.C.M.S. y bajo la dirección letrada de doña María José López Góngora, interpuso demanda de amparo contra las resoluciones que se mencionan en el encabezamiento de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El recurso de amparo trae causa de los siguientes antecedentes sucintamente expuestos:</w:t>
      </w:r>
    </w:p>
    <w:p w:rsidR="00163957" w:rsidRDefault="00163957" w:rsidP="00163957">
      <w:pPr>
        <w:pStyle w:val="TextoNormal"/>
      </w:pPr>
    </w:p>
    <w:p w:rsidR="00163957" w:rsidRDefault="00163957" w:rsidP="00163957">
      <w:pPr>
        <w:pStyle w:val="TextoNormal"/>
      </w:pPr>
      <w:r>
        <w:lastRenderedPageBreak/>
        <w:t>a) La menor, hija de la recurrente en amparo, fue declarada en situación de desamparo por la Consejería de Igualdad y Bienestar Social de la Junta de Andalucía el 25 de agosto de 2005. El 23 de marzo de 2007 se formuló propuesta de constitución judicial de acogimiento familiar preadoptivo, la recurrente formuló oposición a la medida y el asunto se siguió ante el Juzgado de Primera Instancia núm. 16 de Granada, autos 2188-2007. La oposición fue desestimada por Sentencia del Juzgado de Primera Instancia núm. 16 de Granada, de 4 de septiembre de 2009, confirmada en apelación por Sentencia de la Audiencia Provincial de Granada (Sección Quinta) de 18 de junio de 2010. Por diligencia de ordenación de 15 de septiembre de 2010 se declaró la firmeza de la resolución. La recurrente interpuso entonces recurso de amparo, que fue inadmitido por providencia de este Tribunal de 27 de octubre de 2011.</w:t>
      </w:r>
    </w:p>
    <w:p w:rsidR="00163957" w:rsidRDefault="00163957" w:rsidP="00163957">
      <w:pPr>
        <w:pStyle w:val="TextoNormal"/>
      </w:pPr>
    </w:p>
    <w:p w:rsidR="00163957" w:rsidRDefault="00163957" w:rsidP="00163957">
      <w:pPr>
        <w:pStyle w:val="TextoNormal"/>
      </w:pPr>
      <w:r>
        <w:t xml:space="preserve">b) La recurrente formuló demanda ante el Tribunal Europeo de Derechos Humanos. Por STEDH de 18 de junio de 2013, asunto </w:t>
      </w:r>
      <w:r w:rsidRPr="00163957">
        <w:rPr>
          <w:i/>
        </w:rPr>
        <w:t>R.M.S. c. España</w:t>
      </w:r>
      <w:r>
        <w:t>, el Tribunal Europeo declaró que había habido violación del art. 8 del Convenio europeo para la protección de los derechos humanos y de las libertades fundamentales (CEDH), derecho al respeto a la vida privada y familiar, al apreciar que las autoridades españolas no habían desplegado los esfuerzos adecuados y suficientes para hacer respetar el derecho de la demandante a vivir con su hija (apartado 93). La Sentencia pone de relieve los efectos perniciosos del paso del tiempo que “ha tenido como efecto hacer muy difícilmente reversible una situación que se hubiera podido enmendar con otros medios que no fueran la separación y la declaración de la niña en situación de desamparo” (apartado 91). Y sigue: “Es así como el tiempo transcurrido, consecuencia de la inercia de la Administración, y la propia inercia de las jurisdicciones internas, que no han estimado irrazonables los motivos dados por la Administración para privar a una madre de su hija fundándose, únicamente, en motivos económicos —la salud mental de la madre, inicialmente esgrimida, no fue objeto de ninguna peritación—, han contribuido, de manera decisiva, a la imposibilidad de cualquier reagrupamiento familiar entre la demandante y su hija. La demandante y su hija se vieron por última vez el 27 de septiembre de 2005, y, desde entonces, la demandante no ha cesado de reclamarla, tanto ante los órganos competentes de la Administración, como ante las jurisdicciones internas” (apartado 92).</w:t>
      </w:r>
    </w:p>
    <w:p w:rsidR="00163957" w:rsidRDefault="00163957" w:rsidP="00163957">
      <w:pPr>
        <w:pStyle w:val="TextoNormal"/>
      </w:pPr>
    </w:p>
    <w:p w:rsidR="00163957" w:rsidRDefault="00163957" w:rsidP="00163957">
      <w:pPr>
        <w:pStyle w:val="TextoNormal"/>
      </w:pPr>
      <w:r>
        <w:t>En relación con la aplicación del art. 41 CEDH, declarada la violación del derecho de la demandante a vivir con su hija, violando su derecho al respeto de su vida privada y familiar, garantizado por el art. 8 CEDH, sigue el Tribunal, “por consiguiente, las Autoridades nacionales competentes deben tomar las medidas apropiadas en el interés superior de la niña” (apartado 101). Al fin, se condena al Estado al pago de cantidad, inferior a la solicitada, en concepto de daño moral, gastos y costas, y se rechaza la satisfacción equitativa por lo demás.</w:t>
      </w:r>
    </w:p>
    <w:p w:rsidR="00163957" w:rsidRDefault="00163957" w:rsidP="00163957">
      <w:pPr>
        <w:pStyle w:val="TextoNormal"/>
      </w:pPr>
    </w:p>
    <w:p w:rsidR="00163957" w:rsidRDefault="00163957" w:rsidP="00163957">
      <w:pPr>
        <w:pStyle w:val="TextoNormal"/>
      </w:pPr>
      <w:r>
        <w:t xml:space="preserve">c) Tras la Sentencia del Tribunal Europeo de Derechos Humanos, la recurrente en amparo formuló incidente extraordinario de nulidad de actuaciones [art. 241 de la Ley Orgánica del Poder Judicial (LOPJ)] ante el Juzgado de Primera Instancia núm. 16 de Granada, autos 1634-2013. El incidente se dirigía contra la Sentencia del Juzgado de Primera Instancia núm. 16 de Granada, de 4 de septiembre de 2009, dictada en autos 2188-2007, interesando la reposición de las actuaciones al momento anterior a la misma y, en su día, previos los trámites oportunos, el dictado de una nueva resolución de conformidad con la Sentencia del Tribunal Europeo de Derechos Humanos, y que, en su virtud, se acordase no haber lugar al acogimiento familiar de la menor, ordenando la adopción de cuantas medidas fueran necesarias en orden a facilitar que la menor fuera devuelta a su madre; “subsidiariamente”, la </w:t>
      </w:r>
      <w:r>
        <w:lastRenderedPageBreak/>
        <w:t>adopción de las medidas oportunas en orden a que se constituyera acogimiento familiar permanente en favor del tío abuelo de la menor, con derecho a visitas, adoptándose cuantas medidas fueran necesarias en orden a facilitar que la menor fuera devuelta a su madre.</w:t>
      </w:r>
    </w:p>
    <w:p w:rsidR="00163957" w:rsidRDefault="00163957" w:rsidP="00163957">
      <w:pPr>
        <w:pStyle w:val="TextoNormal"/>
      </w:pPr>
    </w:p>
    <w:p w:rsidR="00163957" w:rsidRDefault="00163957" w:rsidP="00163957">
      <w:pPr>
        <w:pStyle w:val="TextoNormal"/>
      </w:pPr>
      <w:r>
        <w:t>El incidente fue inadmitido por Auto de 9 de enero de 2014. El Auto hace una referencia al sistema de protección de menores y reproduce el art. 46.2 CEDH y el art. 241.1 LOPJ en los siguientes términos: “no se admitirán con carácter general incidentes de nulidad de actuaciones. Sin embargo, excepcionalmente quienes sean parte legítima o hubieran debido serlo, podrán pedir por escrito que se declare la nulidad de actuaciones fundada en defectos de forma que hayan causado indefensión o en la incongruencia del fallo, siempre que los primeros no hayan podido denunciarse antes de recaer resolución que ponga fin al proceso y que, en uno y otro caso, ésta no sea susceptible de recurso ordinario o extraordinario”. Tras lo cual el Auto inadmite con la siguiente motivación: “Invocado el art. 241 LOPJ y atendido su tenor, atendido lo dispuesto en el art. 46 CEDH, y fundamentalmente visto el estado de los autos 2188-2007 de este Juzgado, considerando que no se dan los requisitos previstos en el mencionado precepto 241 LOPJ para la apertura del interesado incidente de nulidad de actuaciones de los autos 2188-2007, se acuerda no haber lugar a admitirlo a trámite”. El Auto contenía pie de recurso que indicaba recurso de apelación.</w:t>
      </w:r>
    </w:p>
    <w:p w:rsidR="00163957" w:rsidRDefault="00163957" w:rsidP="00163957">
      <w:pPr>
        <w:pStyle w:val="TextoNormal"/>
      </w:pPr>
    </w:p>
    <w:p w:rsidR="00163957" w:rsidRDefault="00163957" w:rsidP="00163957">
      <w:pPr>
        <w:pStyle w:val="TextoNormal"/>
      </w:pPr>
      <w:r>
        <w:t>d) Contra el Auto del Juzgado la recurrente interpuso recurso de apelación, que fue desestimado por Auto de la Audiencia Provincial de Granada (Sección Quinta) de 3 de septiembre de 2014. El Auto, con cita de los arts. 238.1, párrafo 3 (</w:t>
      </w:r>
      <w:r w:rsidRPr="00163957">
        <w:rPr>
          <w:i/>
        </w:rPr>
        <w:t>sic</w:t>
      </w:r>
      <w:r>
        <w:t>, art. 228.1, párrafo 3) LEC y 241.3 (</w:t>
      </w:r>
      <w:r w:rsidRPr="00163957">
        <w:rPr>
          <w:i/>
        </w:rPr>
        <w:t>sic</w:t>
      </w:r>
      <w:r>
        <w:t>, 241.1, párrafo. 3) LOPJ, declara el recurso inadmisible, lo que da lugar a su desestimación habida cuenta del momento procesal.</w:t>
      </w:r>
    </w:p>
    <w:p w:rsidR="00163957" w:rsidRDefault="00163957" w:rsidP="00163957">
      <w:pPr>
        <w:pStyle w:val="TextoNormal"/>
      </w:pPr>
    </w:p>
    <w:p w:rsidR="00163957" w:rsidRDefault="00163957" w:rsidP="00163957">
      <w:pPr>
        <w:pStyle w:val="TextoNormal"/>
      </w:pPr>
      <w:r>
        <w:t>e) De forma paralela se sigue ante el mismo Juzgado de Primera Instancia núm. 16 de Granada el procedimiento de adopción de la menor, autos 599-2011. En este procedimiento la recurrente en amparo ha promovido incidente de oposición, autos 1153-2013.</w:t>
      </w:r>
    </w:p>
    <w:p w:rsidR="00163957" w:rsidRDefault="00163957" w:rsidP="00163957">
      <w:pPr>
        <w:pStyle w:val="TextoNormal"/>
      </w:pPr>
    </w:p>
    <w:p w:rsidR="00163957" w:rsidRDefault="00163957" w:rsidP="00163957">
      <w:pPr>
        <w:pStyle w:val="TextoNormal"/>
      </w:pPr>
      <w:r w:rsidRPr="00163957">
        <w:rPr>
          <w:rStyle w:val="NumeroAFNegritaCaracter"/>
        </w:rPr>
        <w:t>3</w:t>
      </w:r>
      <w:r>
        <w:t>. En la demanda de amparo se denuncia la vulneración del derecho fundamental a un proceso con todas las garantías (art. 24.2 CE), en relación con el art. 10.2 CE y con el art. 13 CEDH, y del derecho fundamental a la tutela judicial efectiva sin indefensión (art. 24.1 CE), en relación con el derecho fundamental a la integridad física y moral de la menor (art. 15 CE), reclamándose su interpretación conforme al art. 8 CEDH. Según se desprende de la demanda se reclama en nombre de la menor y en el propio.</w:t>
      </w:r>
    </w:p>
    <w:p w:rsidR="00163957" w:rsidRDefault="00163957" w:rsidP="00163957">
      <w:pPr>
        <w:pStyle w:val="TextoNormal"/>
      </w:pPr>
    </w:p>
    <w:p w:rsidR="00163957" w:rsidRDefault="00163957" w:rsidP="00163957">
      <w:pPr>
        <w:pStyle w:val="TextoNormal"/>
      </w:pPr>
      <w:r>
        <w:t>Con relación a la vulneración del derecho fundamental a un proceso con todas las garantías (art. 24.2 CE), la recurrente, con invocación del art. 10.2 CE, exige la aplicación por nuestros tribunales de la jurisprudencia del Tribunal Europeo de Derechos Humanos y la obligación del Estado de poner término a la violación de un derecho, una vez que ha sido declarada por el Tribunal Europeo de Derechos Humanos. En este sentido, tras constatar la inexistencia de un procedimiento específico a tal fin en el ordenamiento español, de recordar las SSTC en la materia y citar doctrina científica, el recurso concluye la idoneidad del incidente para articular su pretensión, habida cuenta de la reforma operada por la Ley Orgánica 6/2007, de 24 de mayo, subrayando que la doctrina constitucional precitada es anterior a esta reforma legal.</w:t>
      </w:r>
    </w:p>
    <w:p w:rsidR="00163957" w:rsidRDefault="00163957" w:rsidP="00163957">
      <w:pPr>
        <w:pStyle w:val="TextoNormal"/>
      </w:pPr>
    </w:p>
    <w:p w:rsidR="00163957" w:rsidRDefault="00163957" w:rsidP="00163957">
      <w:pPr>
        <w:pStyle w:val="TextoNormal"/>
      </w:pPr>
      <w:r>
        <w:lastRenderedPageBreak/>
        <w:t>Asimismo se denuncia la vulneración del derecho fundamental a la tutela judicial efectiva sin indefensión (art. 24.1 CE) en la vertiente de derecho a una resolución judicial motivada y fundada en derecho, en relación con el derecho fundamental a la integridad física y moral de la menor (art. 15 CE), reclamándose su interpretación conforme al art. 8 CEDH. La vulneración del derecho fundamental a la tutela judicial efectiva sin indefensión (art. 24.1 CE) en la vertiente de derecho a una resolución judicial motivada y fundada en derecho, también se asocia a la infracción del principio de interdicción de la arbitrariedad (art. 9.3 CE) y del art. 208.2 de la Ley de enjuiciamiento civil (LEC). Así, la recurrente aduce que las razones para la inadmisión no son claras; que parece que se inadmite por considerar que la ejecución corresponde al Comité de Ministros del Consejo de Europea, por virtud del art. 46 CEDH, cuando es al Estado infractor al que corresponde en exclusiva la ejecución. Y sostiene que, en espera de una solución legislativa, el incidente extraordinario es el único remedio procesal posible y que su inadmisión en el caso fue inmotivada, en contra de lo establecido en la STC 153/2012, de 16 de julio.</w:t>
      </w:r>
    </w:p>
    <w:p w:rsidR="00163957" w:rsidRDefault="00163957" w:rsidP="00163957">
      <w:pPr>
        <w:pStyle w:val="TextoNormal"/>
      </w:pPr>
    </w:p>
    <w:p w:rsidR="00163957" w:rsidRDefault="00163957" w:rsidP="00163957">
      <w:pPr>
        <w:pStyle w:val="TextoNormal"/>
      </w:pPr>
      <w:r>
        <w:t>Por último, la recurrente denuncia infracción del art. 241 LOPJ en relación con el art. 117.4 CE y con el derecho fundamental a un proceso con todas las garantías (art. 24.2 CE), en conexión con el art. 13 CEDH. La recurrente reproduce el art. 241 LOPJ, que vincula al derecho a un recurso efectivo (art. 13 CEDH) y al art. 117.4 CE, para seguidamente establecer que, a su juicio, en el caso concurrían los requisitos de admisión del incidente, en particular, por cuanto se pretende la nulidad por vulneración de un derecho fundamental de los consagrados en el art. 53.2 CE (art. 24.2 CE, en relación con el art. 10.2 CE y art. 24.1 CE, en relación con el art. 15 CE), así como por la imposibilidad de denuncia anterior pues el vicio resulta de la Sentencia del Tribunal Europeo de Derechos Humanos. Pese a ello, sigue la recurrente, el Juzgado inadmitió el incidente, con una motivación errónea (la remisión al Comité de Ministros) con la consecuencia de privación del único recurso interno efectivo. Al fin, la recurrente suscita la cuestión del alcance que cabe otorga a la protección vía recurso de amparo, prevista para los derechos reconocidos en los arts. 14 a 29 CE y el derecho a la objeción de conciencia, art. 30 CE, y la posibilidad de que en dicho procedimiento, así como en el incidente extraordinario de nulidad pueden invocarse también derechos protegidos por el Convenio europeo para la protección de los derechos humanos y de las libertades fundamentales y la Carta de los derechos fundamentales de la Unión Europea.</w:t>
      </w:r>
    </w:p>
    <w:p w:rsidR="00163957" w:rsidRDefault="00163957" w:rsidP="00163957">
      <w:pPr>
        <w:pStyle w:val="TextoNormal"/>
      </w:pPr>
    </w:p>
    <w:p w:rsidR="00163957" w:rsidRDefault="00163957" w:rsidP="00163957">
      <w:pPr>
        <w:pStyle w:val="TextoNormal"/>
      </w:pPr>
      <w:r>
        <w:t>Por todo ello se solicita que se declare las vulneraciones de derechos denunciadas, la nulidad de los Autos recurridos en amparo y la retroacción al dictado del Auto del Juzgado de Primera Instancia de 9 de enero de 2014, autos 1634-2013, a fin de que se dicte otro que respete los derechos fundamentales vulnerados en el sentido de declarar la nulidad de la Sentencia del Juzgado de Primera Instancia núm. 16 de Granada, de 4 de septiembre de 2009, dictada en autos 2188-2007, y declarar no haber lugar al acogimiento familiar de la menor, ordenando la adopción de cuantas medidas fueran necesarias en orden a facilitar que la menor sea devuelta a su madre; y “alternativamente”, la adopción de las medidas oportunas en orden a que se constituya acogimiento familiar permanente en favor del tío abuelo de la menor, con derecho a visitas, adoptándose cuantas medidas fueran necesarias en orden a facilitar que la menor sea devuelta a su madre.</w:t>
      </w:r>
    </w:p>
    <w:p w:rsidR="00163957" w:rsidRDefault="00163957" w:rsidP="00163957">
      <w:pPr>
        <w:pStyle w:val="TextoNormal"/>
      </w:pPr>
    </w:p>
    <w:p w:rsidR="00163957" w:rsidRDefault="00163957" w:rsidP="00163957">
      <w:pPr>
        <w:pStyle w:val="TextoNormal"/>
      </w:pPr>
      <w:r>
        <w:t>Mediante otrosí en la propia demanda de amparo se solicitó la suspensión del juicio en oposición a la adopción que se sigue ante el Juzgado de Primera Instancia núm. 16 de Granada, autos 1153-2013, así como el establecimiento de un régimen de visitas.</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21 de septiembre de 2015, la Sala Primera de este Tribunal acordó la admisión a trámite de la demanda y, a tenor de lo dispuesto en el art. 51 LOTC, requerir a la Audiencia Provincial de Granada para que en plazo de diez días remitiera testimonio de la apelación núm. 157-2014, así como al Juzgado Primera Instancia núm. 16 de Granada, para que en el mismo plazo remitiera testimonio de las actuaciones correspondientes al procedimiento oposición medidas de protección menores núm. 1634-2013, interesándose al tiempo que se emplazara a quienes fueron parte en el procedimiento, a excepción de la recurrente en amparo, para que en el plazo de diez días pudieran comparecer en este proceso constitucional; asimismo, acordó formar la correspondiente pieza separada de suspensión.</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la misma fecha la Sala Primera acordó la apertura de la correspondiente pieza separada para la tramitación del incidente de suspensión, concediéndose un plazo común de tres días a la recurrente y al Ministerio Fiscal para que formularan alegaciones sobre el particular, conforme a lo previsto en el art. 56 LOTC. Por Auto de 2 de noviembre de 2015, rectificado por Auto de 30 de noviembre de 2015, la Sala Primera de este Tribunal acordó la suspensión del procedimiento de adopción y del incidente de oposición.</w:t>
      </w:r>
    </w:p>
    <w:p w:rsidR="00163957" w:rsidRDefault="00163957" w:rsidP="00163957">
      <w:pPr>
        <w:pStyle w:val="TextoNormal"/>
      </w:pPr>
    </w:p>
    <w:p w:rsidR="00163957" w:rsidRDefault="00163957" w:rsidP="00163957">
      <w:pPr>
        <w:pStyle w:val="TextoNormal"/>
      </w:pPr>
      <w:r w:rsidRPr="00163957">
        <w:rPr>
          <w:rStyle w:val="NumeroAFNegritaCaracter"/>
        </w:rPr>
        <w:t>6</w:t>
      </w:r>
      <w:r>
        <w:t>. Por diligencia de ordenación de 6 de noviembre de 2015 del Secretario de Justicia de la Sala Primera se tuvieron por recibidos los testimonios de las actuaciones y el escrito de la Letrada de la Junta de Andalucía, a quien se tuvo por personada y parte en nombre y representación de dicha Junta de Andalucía, y se acordó, a tenor de lo dispuesto en el art. 52 LOTC, dar vista de todas las actuaciones del presente recurso de amparo, por un plazo común de veinte días, al Ministerio Fiscal y a las partes personadas, para que dentro de dicho término pudieran presentar las alegaciones que estimaran pertinentes.</w:t>
      </w:r>
    </w:p>
    <w:p w:rsidR="00163957" w:rsidRDefault="00163957" w:rsidP="00163957">
      <w:pPr>
        <w:pStyle w:val="TextoNormal"/>
      </w:pPr>
    </w:p>
    <w:p w:rsidR="00163957" w:rsidRDefault="00163957" w:rsidP="00163957">
      <w:pPr>
        <w:pStyle w:val="TextoNormal"/>
      </w:pPr>
      <w:r w:rsidRPr="00163957">
        <w:rPr>
          <w:rStyle w:val="NumeroAFNegritaCaracter"/>
        </w:rPr>
        <w:t>7</w:t>
      </w:r>
      <w:r>
        <w:t>. La representación procesal de la demandante de amparo formuló sus alegaciones mediante escrito que tuvo su entrada en el Registro General de este Tribunal el día 7 de diciembre de 2015, en el que mantiene y da por reproducidas las formuladas con ocasión de la demanda y de la pieza separada de suspensión.</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Por escrito que tuvo entrada en este Tribunal el 15 de diciembre de 2015 la Letrada de la Junta de Andalucía formuló sus alegaciones, suplicando la inadmisión o subsidiaria desestimación. La Letrada indica que la condena en cantidad establecida en la Sentencia del Tribunal Europeo de Derechos Humanos ha sido pagada, y, en cuanto a la situación de la menor, expone que la demanda de la recurrente parte de una interpretación errónea de la Sentencia del Tribunal Europeo de Derechos Humanos, que no dice que las resoluciones judiciales y administrativas deban ser anuladas ni la menor devuelta, que el restablecimiento de la situación anterior sólo procede “en la medida de lo posible” y, en el supuesto de autos, es imposible por contrario al interés de la menor; y subraya que cualquier medida que permitiera la mera relación de la menor con la recurrente sería contraria al interés del menor y al art. 15 CE pues la menor tiene 14 años y lleva 10 sin ver a la recurrente. A las alegaciones se adjunta el informe de ejecución remitido por España al Comité de Ministros del Consejo de Europa el 13 de noviembre de 2015 del que se desprende que España considera que la Sentencia del Tribunal Europeo de Derechos Humanos ha sido cumplida. Hay que poner de relieve que, en este informe, asociado al cumplimiento de la Sentencia del Tribunal Europeo </w:t>
      </w:r>
      <w:r>
        <w:lastRenderedPageBreak/>
        <w:t>de Derechos Humanos, se señala que la demandante dispone todavía de diversos recursos judiciales, en particular, se refiere la pendencia del presente recurso de amparo.</w:t>
      </w:r>
    </w:p>
    <w:p w:rsidR="00163957" w:rsidRDefault="00163957" w:rsidP="00163957">
      <w:pPr>
        <w:pStyle w:val="TextoNormal"/>
      </w:pPr>
    </w:p>
    <w:p w:rsidR="00163957" w:rsidRDefault="00163957" w:rsidP="00163957">
      <w:pPr>
        <w:pStyle w:val="TextoNormal"/>
      </w:pPr>
      <w:r>
        <w:t>La Letrada de la Junta también defiende la inadmisión del incidente pues sostiene la inidoneidad del incidente como medio para la ejecución de la Sentencia del Tribunal Europeo de Derechos Humanos, menos aun cuando dicha ejecución no exige la anulación de la resolución recaída. Igualmente aprecia la falta de especial trascendencia constitucional del caso, así como la incongruencia de las pretensiones de la demanda de amparo y las pretendidas vulneraciones de derechos que le sirven de fundamento.</w:t>
      </w:r>
    </w:p>
    <w:p w:rsidR="00163957" w:rsidRDefault="00163957" w:rsidP="00163957">
      <w:pPr>
        <w:pStyle w:val="TextoNormal"/>
      </w:pPr>
    </w:p>
    <w:p w:rsidR="00163957" w:rsidRDefault="00163957" w:rsidP="00163957">
      <w:pPr>
        <w:pStyle w:val="TextoNormal"/>
      </w:pPr>
      <w:r w:rsidRPr="00163957">
        <w:rPr>
          <w:rStyle w:val="NumeroAFNegritaCaracter"/>
        </w:rPr>
        <w:t>9</w:t>
      </w:r>
      <w:r>
        <w:t>. El Fiscal ante el Tribunal Constitucional presentó sus alegaciones mediante escrito registrado el día 16 de diciembre de 2015, interesando el otorgamiento del amparo por vulneración del derecho fundamental a un proceso con todas las garantías (art. 24.2 CE) y del derecho fundamental a la tutela judicial efectiva sin indefensión (art. 24.1 CE) con declaración de nulidad de los Autos de la Audiencia Provincial de Granada y del Juzgado de Primera Instancia núm. 16 de Granada, con retroacción de actuaciones al momento anterior al de dictarse el mismo.</w:t>
      </w:r>
    </w:p>
    <w:p w:rsidR="00163957" w:rsidRDefault="00163957" w:rsidP="00163957">
      <w:pPr>
        <w:pStyle w:val="TextoNormal"/>
      </w:pPr>
    </w:p>
    <w:p w:rsidR="00163957" w:rsidRDefault="00163957" w:rsidP="00163957">
      <w:pPr>
        <w:pStyle w:val="TextoNormal"/>
      </w:pPr>
      <w:r>
        <w:t>Tras acotar el análisis en amparo a las vulneraciones denunciadas producidas con posterioridad a la Sentencia del Tribunal Europeo de Derechos Humanos, el Fiscal argumenta la vulneración del derecho fundamental a un proceso con todas las garantías (art. 24.2 CE). A tal efecto, y tras destacar la particularidad del caso de autos frente a los precedentes resueltos por el Tribunal Constitucional (anteriores a la reforma del incidente de nulidad de actuaciones por la Ley Orgánica 6/2007 y referidos en su mayoría a condenas penales y al recurso de revisión, distinto en el orden penal y en el civil) parte de la doctrina establecida en la STC 245/1991, de 16 de diciembre, en relación con la naturaleza de las Sentencias del Tribunal Europeo de Derechos Humanos en cuanto a su eficacia y las condiciones para que puedan conducir a un amparo, para afirmar que concurren en el caso de autos. Así, afirma que la vulneración del art. 8 CEDH reconocida por el Tribunal Europeo de Derechos Humanos tiene su trasunto en el derecho fundamental protegido por el art. 15 CE, y que dicha vulneración persiste en el momento actual. Asimismo, y siguiendo la STC 245/1991, entiende el Fiscal que el órgano encargado de dotarle de ejecutividad, es el propio Tribunal Constitucional. Se pregunta entonces sobre el procedimiento adecuado para la ejecución, constatada la ausencia de una previsión normativa (en descripción de la situación anterior a la reforma legislativa operada por la Ley Orgánica 7/2015 y el sobrevenido fin de las dudas procedimentales). En este sentido, plantea la idoneidad del incidente de nulidad de actuaciones, a la luz de la nueva regulación del incidente como garante de derechos surgida de la reforma operada por la Ley Orgánica 6/2007. De todo lo anterior concluye el Fiscal que el órgano judicial debió dar una respuesta a la solicitud de ejecución de la Sentencia del Tribunal Europeo de Derechos Humanos, que no pudo ser el simple rechazo por motivos formales, pues, entiende el Fiscal, “las mismas razones históricamente esgrimidas por el TC para considerarse competente para ejecutar esas Sentencias del Tribunal Europeo de Derechos Humanos, son trasladables en el nuevo estado de cosa, a la vista de la naturaleza actual del incidente de nulidad de actuaciones, a los órganos judiciales en general”. Al fin, con invocación de la STC 153/2012, el Fiscal vincula la inadmisión del incidente, con una motivación confusa, al cierre del acceso al proceso a la recurrente.</w:t>
      </w:r>
    </w:p>
    <w:p w:rsidR="00163957" w:rsidRDefault="00163957" w:rsidP="00163957">
      <w:pPr>
        <w:pStyle w:val="TextoNormal"/>
      </w:pPr>
    </w:p>
    <w:p w:rsidR="00163957" w:rsidRDefault="00163957" w:rsidP="00163957">
      <w:pPr>
        <w:pStyle w:val="TextoNormal"/>
      </w:pPr>
      <w:r>
        <w:lastRenderedPageBreak/>
        <w:t>El Fiscal considera igualmente vulnerando el derecho fundamental a la tutela judicial efectiva sin indefensión (art. 24.1 CE) en la vertiente de derecho a una resolución judicial motivada pues, vista la motivación del Auto del Juzgado, considera la inadmisión del incidente carente de la más mínima motivación, que no fue enmendada por la confusa decisión de la Audiencia.</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7 de abril de 2016 se señaló para deliberación y votación de la presente Sentencia el día 11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amparo se dirige contra el Auto de 3 de septiembre de 2014, dictado por la Sección Quinta de la Audiencia Provincial de Granada recaído en recurso de apelación núm. 157-2014, así como contra el Auto apelado, Auto del Juzgado de Primera Instancia núm. 16 de Granada de 9 de enero de 2014, que inadmite el incidente extraordinario de nulidad de actuaciones promovido en procedimiento de oposición de medidas de menores, autos núm. 1634-2013.</w:t>
      </w:r>
    </w:p>
    <w:p w:rsidR="00163957" w:rsidRDefault="00163957" w:rsidP="00163957">
      <w:pPr>
        <w:pStyle w:val="TextoNormal"/>
      </w:pPr>
    </w:p>
    <w:p w:rsidR="00163957" w:rsidRDefault="00163957" w:rsidP="00163957">
      <w:pPr>
        <w:pStyle w:val="TextoNormal"/>
      </w:pPr>
      <w:r>
        <w:t>En la demanda de amparo se denuncia la vulneración del derecho fundamental a un proceso con todas las garantías (art. 24.2 CE), en conexión con el art. 10.2 CE y con el derecho a un recurso efectivo [art. 13 del Convenio europeo para la protección de los derechos humanos y de las libertades fundamentales (CEDH)]. Asimismo se denuncia la vulneración del derecho fundamental a la tutela judicial efectiva sin indefensión (art. 24.1 CE) en la vertiente de derecho a una resolución judicial motivada y fundada en derecho, en conexión con el derecho fundamental a la vida y la integridad física del menor (art. 15 CE) y con el derecho al respeto a la vida privada y familiar (art. 8 CEDH), En síntesis, se alega la inmotivada inadmisión del incidente de nulidad de actuaciones, que ha impedido una decisión sobre el fondo de la pretensión, y se defiende la idoneidad del incidente extraordinario como vía para articular la pretensión.</w:t>
      </w:r>
    </w:p>
    <w:p w:rsidR="00163957" w:rsidRDefault="00163957" w:rsidP="00163957">
      <w:pPr>
        <w:pStyle w:val="TextoNormal"/>
      </w:pPr>
    </w:p>
    <w:p w:rsidR="00163957" w:rsidRDefault="00163957" w:rsidP="00163957">
      <w:pPr>
        <w:pStyle w:val="TextoNormal"/>
      </w:pPr>
      <w:r>
        <w:t>La Letrada de la Junta de Andalucía interesa la inadmisión o, subsidiariamente, la desestimación del recurso de amparo. En síntesis, argumenta el cumplimento de la Sentencia del Tribunal Europeo de Derechos Humanos toda vez que la condena en cantidad ha sido pagada y la adopción de medidas respecto de la menor es incompatible con su interés superior, y defiende la correcta inadmisión del incidente. Además, aprecia falta de especial trascendencia constitucional e incongruencia de las pretensiones con las pretendidas vulneraciones de derechos que le sirven de fundamento.</w:t>
      </w:r>
    </w:p>
    <w:p w:rsidR="00163957" w:rsidRDefault="00163957" w:rsidP="00163957">
      <w:pPr>
        <w:pStyle w:val="TextoNormal"/>
      </w:pPr>
    </w:p>
    <w:p w:rsidR="00163957" w:rsidRDefault="00163957" w:rsidP="00163957">
      <w:pPr>
        <w:pStyle w:val="TextoNormal"/>
      </w:pPr>
      <w:r>
        <w:t xml:space="preserve">El Ministerio Fiscal interesa la estimación del recurso por entender que concurre la vulneración del derecho fundamental a un proceso con todas las garantías (art. 24.2 CE), que conecta con el derecho fundamental de acceso al proceso (art. 24.1 CE), y del derecho fundamental a la tutela judicial efectiva sin indefensión (art. 24.1 CE). En relación con el derecho al proceso con todas las garantías (art. 24. 2 CE), funda su argumentación en la STC 245/1991, de 16 de diciembre. Considera que la vulneración del art. 8 CEDH reconocida por el Tribunal Europeo de Derechos Humanos tiene su trasunto en una vulneración del art. 15 CE, y que persiste en el momento actual, y cuestiona la inadmisión del incidente por motivos formales, con una motivación confusa, sin tener en cuenta la nueva regulación del </w:t>
      </w:r>
      <w:r>
        <w:lastRenderedPageBreak/>
        <w:t>incidente como garante de derechos surgida de la reforma operada por la Ley Orgánica 6/2007 y sin considerar la consecuencia de cierre de acceso al proceso a la recurrente. Igualmente sostiene la vulneración del derecho fundamental a la tutela judicial efectiva sin indefensión (art. 24.1 CE) en la vertiente de derecho a una resolución judicial motivada por la inmotivada inadmisión del incidente.</w:t>
      </w:r>
    </w:p>
    <w:p w:rsidR="00163957" w:rsidRDefault="00163957" w:rsidP="00163957">
      <w:pPr>
        <w:pStyle w:val="TextoNormal"/>
      </w:pPr>
    </w:p>
    <w:p w:rsidR="00163957" w:rsidRDefault="00163957" w:rsidP="00163957">
      <w:pPr>
        <w:pStyle w:val="TextoNormal"/>
      </w:pPr>
      <w:r>
        <w:t>La circunstancia de que esté involucrada una menor de edad en el presente recurso de amparo explica que, de conformidad con el art. 8 de las Reglas mínimas de las Naciones Unidas para la Administración de Justicia de menores, conocidas como Reglas de Beijing y contenidas en la resolución de la Asamblea General 40/33, de 28 de noviembre de 1985, no se incluyan en esta resolución el nombre y apellidos completos de la menor de edad ni el de sus padres, al objeto de respetar su intimidad (SSTC 114/2006, de 5 de abril, FJ 7; 41/2009, de 9 de febrero, FJ 1, y 57/2013, de 11 de marzo, FJ 1).</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La concurrencia en el caso de la especial trascendencia constitucional de este recurso ha sido cuestionada por la Letrada de la Junta. En todo caso, habida cuenta de que es requisito para su admisión de conformidad con los arts. 49.1 y 50.1 b) de nuestra Ley Orgánica reguladora, esta condición de requisito de admisión y por consiguiente de orden público procesal (entre otras, STC 113/2012, de 24 de mayo, FJ 2, y las allí citadas) así como exigencias de certeza y buena administración de justicia (STEDH de 20 de enero de 2015, caso </w:t>
      </w:r>
      <w:r w:rsidRPr="00163957">
        <w:rPr>
          <w:i/>
        </w:rPr>
        <w:t>Arribas Antón c. España</w:t>
      </w:r>
      <w:r>
        <w:t>, apartado 46) obligan a explicitar el cumplimiento de ese requisito para hacer así recognoscibles los criterios empleados al efecto por este Tribunal.</w:t>
      </w:r>
    </w:p>
    <w:p w:rsidR="00163957" w:rsidRDefault="00163957" w:rsidP="00163957">
      <w:pPr>
        <w:pStyle w:val="TextoNormal"/>
      </w:pPr>
    </w:p>
    <w:p w:rsidR="00163957" w:rsidRDefault="00163957" w:rsidP="00163957">
      <w:pPr>
        <w:pStyle w:val="TextoNormal"/>
      </w:pPr>
      <w:r>
        <w:t>En el presente caso, este Tribunal decidió admitir este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w:t>
      </w:r>
    </w:p>
    <w:p w:rsidR="00163957" w:rsidRDefault="00163957" w:rsidP="00163957">
      <w:pPr>
        <w:pStyle w:val="TextoNormal"/>
      </w:pPr>
    </w:p>
    <w:p w:rsidR="00163957" w:rsidRDefault="00163957" w:rsidP="00163957">
      <w:pPr>
        <w:pStyle w:val="TextoNormal"/>
      </w:pPr>
      <w:r w:rsidRPr="00163957">
        <w:rPr>
          <w:rStyle w:val="NumeroAFNegritaCaracter"/>
        </w:rPr>
        <w:t>3</w:t>
      </w:r>
      <w:r>
        <w:t>. Entrando ya en el fondo, y a la vista de los términos en que ha sido planteado el presente recurso de amparo, el objeto del recurso se circunscribe al control constitucional del Auto del Juzgado de Primera Instancia núm. 16 de Granada, de 9 de enero de 2014, en incidente extraordinario de nulidad de actuaciones en procedimiento de oposición de medidas de menores, autos núm. 1634-2013. Aunque formalmente el recurso se dirige igualmente contra el Auto de 3 de septiembre de 2014, dictado por la Sección Quinta de la Audiencia Provincial de Granada recaído en recurso de apelación núm. 157-2014, esta resolución sólo resulta impugnada en cuanto no ha remediado en apelación la lesión que se imputa al Juzgado (apelación inadmisible mas no manifiestamente improcedente a efectos de agotamiento de la vía judicial como requisito de amparo, en cuanto fue indicada por el órgano judicial, STC 241/2006, de 20 de julio, FJ 3).</w:t>
      </w:r>
    </w:p>
    <w:p w:rsidR="00163957" w:rsidRDefault="00163957" w:rsidP="00163957">
      <w:pPr>
        <w:pStyle w:val="TextoNormal"/>
      </w:pPr>
    </w:p>
    <w:p w:rsidR="00163957" w:rsidRDefault="00163957" w:rsidP="00163957">
      <w:pPr>
        <w:pStyle w:val="TextoNormal"/>
      </w:pPr>
      <w:r>
        <w:t xml:space="preserve">En lo atinente a las resoluciones judiciales que resuelven sobre el incidente extraordinario de nulidad de actuaciones hay que recordar que en las SSTC 107/2011, de 20 de junio, y 153/2012, de 16 de julio, hemos diferenciado dos situaciones. De una parte, aquellas en las que la respuesta judicial sea contraria a la nueva función institucional del incidente del art. 241 de la Ley Orgánica del Poder Judicial (LOPJ) pero sólo evidencie que la petición de nulidad no surtió el efecto que estaba llamada a producir, sin que de ello se derive una vulneración autónoma de los derechos alegados; esto es, las situaciones en las que quepa </w:t>
      </w:r>
      <w:r>
        <w:lastRenderedPageBreak/>
        <w:t>calificar el incidente interpuesto como un instrumento necesario para el agotamiento de la vía judicial previa pero no determinante de una lesión adicional a la que en él se denunciaba. De otra parte, los supuestos en los que el recurso de amparo se dirige en exclusiva contra el Auto o providencia resolutorios de dicho remedio procesal, en tanto que en ellos se habría cometido la vulneración de que se trate. En un caso, entonces, el órgano judicial no repara la lesión previa; en el otro, antes bien, causa una vulneración autónoma con ocasión de la nulidad solicitada (en ese sentido, STC 153/2012), siendo sólo en este último supuesto cuando la resolución judicial adquiere dimensión constitucional en orden a la denuncia de una lesión diferenciada en amparo, resultando en cambio una mera expresión de agotamiento de la vía judicial en la primera hipótesis enunciada (STC 169/2013, de 7 de octubre, FJ 2). En el caso de autos, al Auto del Juzgado de Primera Instancia núm. 16 de Granada, de 9 de enero de 2014 se imputa una vulneración autónoma por lo que, trasladada la precitada doctrina, constituye un supuesto con dimensión constitucional.</w:t>
      </w:r>
    </w:p>
    <w:p w:rsidR="00163957" w:rsidRDefault="00163957" w:rsidP="00163957">
      <w:pPr>
        <w:pStyle w:val="TextoNormal"/>
      </w:pPr>
    </w:p>
    <w:p w:rsidR="00163957" w:rsidRDefault="00163957" w:rsidP="00163957">
      <w:pPr>
        <w:pStyle w:val="TextoNormal"/>
      </w:pPr>
      <w:r w:rsidRPr="00163957">
        <w:rPr>
          <w:rStyle w:val="NumeroAFNegritaCaracter"/>
        </w:rPr>
        <w:t>4</w:t>
      </w:r>
      <w:r>
        <w:t>. Como se ha dicho, las vulneraciones denunciadas se anudan, a juicio de la recurrente, a la indebida inadmisión del incidente de nulidad, su defectuosa motivación y la viabilidad del incidente. Esta cuestión se subsume en el derecho fundamental a la tutela judicial efectiva sin indefensión (art. 24.1 CE) y, bien que suscita una cuestión de motivación y fundamentación en derecho, de forma más precisa compromete la vertiente de derecho de acceso a los recursos legalmente establecidos, según el planteamiento aceptado por este Tribunal (SSTC 107/2011, de 20 de junio, FJ 1, y 153/2012, de 16 de julio, FJ 1).</w:t>
      </w:r>
    </w:p>
    <w:p w:rsidR="00163957" w:rsidRDefault="00163957" w:rsidP="00163957">
      <w:pPr>
        <w:pStyle w:val="TextoNormal"/>
      </w:pPr>
    </w:p>
    <w:p w:rsidR="00163957" w:rsidRDefault="00163957" w:rsidP="00163957">
      <w:pPr>
        <w:pStyle w:val="TextoNormal"/>
      </w:pPr>
      <w:r>
        <w:t xml:space="preserve">Dada la peculiar pretensión articulada, esto es, la reapertura de un proceso concluido, con resolución judicial firme y autoridad de cosa juzgada, como efecto de una Sentencia del Tribunal Europeo de Derechos Humanos, conviene establecer con precisión los términos del análisis. En primer lugar, en síntesis de lo establecido sobre la cuestión por este Tribunal, hay que recordar que “de la propia regulación del Convenio, y de su interpretación por el Tribunal Europeo, se deriva que las resoluciones del Tribunal tienen carácter declarativo y no anulan ni modifican por sí mismas los actos, en este caso Sentencias, declarados contrarios al Convenio ... Desde la perspectiva del Derecho internacional y de su fuerza vinculante (art. 96 CE), el Convenio ni ha introducido en el orden jurídico interno una instancia superior supranacional en el sentido técnico del término, de revisión o control directo de las decisiones judiciales o administrativas internas, ni tampoco impone a los Estados miembros unas medidas procesales concretas de carácter anulatorio o rescisorio para asegurar la reparación de la violación del Convenio declarada por el Tribunal”. “[E]l Convenio Europeo de Derechos Humanos no obliga a dar efecto interno a las Sentencias del Tribunal Europeo de Derechos Humanos mediante la anulación de la autoridad de cosa juzgada y de la fuerza ejecutoria de la decisión judicial nacional que dicho Tribunal haya estimado contraria al Convenio, ni tampoco confiere al justiciable un derecho para ampliar los motivos previstos en el Derecho interno para la reapertura del procedimiento judicial que ha dado lugar a una Sentencia firme y ejecutoria” (ATC 119/2010, de 4 de octubre, FJ 2, ATC 129/2008, de 26 de mayo, FJ 2). Igualmente hay que recordar que la STC 245/1991, de 16 de diciembre, sobre la que construye sus alegaciones el Ministerio Fiscal, “tiene un carácter rigurosamente excepcional” (ATC 119/2010, de 4 de octubre, FJ 3). Todo lo cual no obsta a lo que se reclama en la demanda de amparo, que es una respuesta motivada al incidente promovido; petición que respeta el “ámbito al que se circunscribe el recurso de amparo en garantía de </w:t>
      </w:r>
      <w:r>
        <w:lastRenderedPageBreak/>
        <w:t>la operatividad y eficacia de este medio excepcional de protección de los derechos fundamentales, al fiscalizar el cumplimiento que de las Sentencias del Tribunal Europeo de Derechos Humanos realicen los órganos judiciales” (ATC 132/2013, de 29 de mayo, FJ 4).</w:t>
      </w:r>
    </w:p>
    <w:p w:rsidR="00163957" w:rsidRDefault="00163957" w:rsidP="00163957">
      <w:pPr>
        <w:pStyle w:val="TextoNormal"/>
      </w:pPr>
    </w:p>
    <w:p w:rsidR="00163957" w:rsidRDefault="00163957" w:rsidP="00163957">
      <w:pPr>
        <w:pStyle w:val="TextoNormal"/>
      </w:pPr>
      <w:r>
        <w:t xml:space="preserve">En segundo lugar, y en relación con el canon de análisis, habida cuenta de que la pretensión se canalizó mediante un incidente extraordinario de nulidad de actuaciones el derecho fundamental comprometido es el derecho de acceso a los recursos legalmente establecidos. No obstante, conviene poner de relieve que el incidente de nulidad se articuló ante el vacío legal sobre cuál debía ser el cauce procesal. Este déficit, ya apreciado por nuestra STC 245/1991, de 16 de diciembre, FJ 5, ha sido enmendado por la Ley Orgánica 7/2015, de 21 de julio, por la que se modifica la Ley Orgánica 6/1985, de 1 de julio, del Poder Judicial, que designa a tal fin el recurso de revisión ante el Tribunal Supremo (artículo único, tres, que añade un nuevo art. 5 </w:t>
      </w:r>
      <w:r w:rsidRPr="00163957">
        <w:rPr>
          <w:i/>
        </w:rPr>
        <w:t>bis</w:t>
      </w:r>
      <w:r>
        <w:t xml:space="preserve"> a la Ley Orgánica del Poder Judicial). En concreto, en el orden civil, la disposición final cuarta, apartado 13, de dicha Ley Orgánica modifica el art. 510.2 LEC, en el siguiente sentido: “Asimismo se podrá interponer recurso de revisión contra una resolución judicial firme cuando el Tribunal Europeo de Derechos Humanos haya declarado que dicha resolución ha sido dictada en violación de alguno de los derechos reconocidos en el Convenio Europeo para la Protección de los Derechos Humanos y Libertades Fundamentales y sus Protocolos, siempre que la violación, por su naturaleza y gravedad, entrañe efectos que persistan y no puedan cesar de ningún otro modo que no sea mediante esta revisión, sin que la misma pueda perjudicar los derechos adquiridos de buena fe por terceras personas”. En consonancia, se modifica el art. 511 LEC, que reconoce la legitimación activa sólo al que hubiera sido demandante ante el Tribunal Europeo de Derechos Humanos, así como el art. 512.1 LEC, que fija el plazo de un año desde la firmeza de la Sentencia del Tribunal Europeo de Derechos Humanos para interponer el recurso.</w:t>
      </w:r>
    </w:p>
    <w:p w:rsidR="00163957" w:rsidRDefault="00163957" w:rsidP="00163957">
      <w:pPr>
        <w:pStyle w:val="TextoNormal"/>
      </w:pPr>
    </w:p>
    <w:p w:rsidR="00163957" w:rsidRDefault="00163957" w:rsidP="00163957">
      <w:pPr>
        <w:pStyle w:val="TextoNormal"/>
      </w:pPr>
      <w:r>
        <w:t xml:space="preserve">Pues bien, respecto al recurso de revisión hay que recordar que, “como hemos señalado en anteriores ocasiones en las que se han examinado quejas relativas a la vulneración del derecho a la tutela judicial por inadmisión del recurso de revisión, el procedimiento al que la ley denomina ‘recurso de revisión’ no es un recurso, en su sentido propio de mecanismo procesal dirigido a la reforma o a la anulación de una resolución judicial que por esta posibilidad aún no deviene firme, sino más bien una vía de impugnación autónoma; ‘es en realidad un proceso especial y autónomo de carácter impugnativo o una acción provista de finalidad resolutoria de Sentencias firmes’ (STC 158/1987, de 20 de octubre, FJ 2), por lo que, como señala la STC 11/2005, de 31 de enero, FJ 4 (y recuerda la STC 197/2006, de 3 de julio, FJ 5), la denegación de acceso al denominado ‘recurso de revisión’, en materia civil y social, es una denegación de acceso a la jurisdicción, no una denegación de acceso a un recurso (la misma doctrina hemos sentado para el recurso de revisión en materia penal: SSTC 150/1997, de 29 de septiembre, FJ 3; 123/2004, de 13 de julio, FJ 3; 240/2005, de 10 de octubre, FJ 5; y recientemente, STC 70/2007, de 16 de abril, FJ 3)” (STC 18/2009, de 26 de enero, FJ 3). En consecuencia, la elección por parte del legislador del recurso de revisión como cauce procesal determina que las decisiones sobre su admisión queden sujetas al principio de interpretación </w:t>
      </w:r>
      <w:r w:rsidRPr="00163957">
        <w:rPr>
          <w:i/>
        </w:rPr>
        <w:t>pro actione</w:t>
      </w:r>
      <w:r>
        <w:t>; planteamiento, por otra parte, ya apuntado por este Tribunal antes de la reforma (STC 70/2007, de 16 de abril, FJ 3).</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Delimitado el objeto del recurso de amparo en los términos expuestos, hay que recordar que, en relación con las resoluciones judiciales de inadmisión, “es nuestra doctrina reiterada, como sintetiza la STC 252/2000, de 30 de octubre, FJ 2, que ‘el derecho a la obtención </w:t>
      </w:r>
      <w:r>
        <w:lastRenderedPageBreak/>
        <w:t>de un pronunciamiento jurisdiccional sobre el fondo de la pretensión, como parte del derecho a la tutela judicial efectiva garantizado en el art. 24.1 CE, se satisface también con una respuesta de inadmisión fundada en una causa legal que haya sido apreciada razonablemente por el órgano judicial (así, y entre otras, ya desde nuestra temprana STC 11/1982, de 29 de marzo, las SSTC 69/1984, de 11 de junio, y, entre las más recientes, 8/1998, de 13 de enero, y 122/1999, de 28 de junio). Por ello, las decisiones judiciales de inadmisión no son, en principio, revisables en la vía de amparo, salvo que vulneren el derecho a la tutela judicial efectiva, lo que ocurre cuando carecen de la debida motivación (SSTC 214/1988, de 14 de noviembre; 63/1992, de 29 de abril); se funden en una interpretación de la legalidad ordinaria arbitraria o manifiestamente irrazonable (STC 133/2000, de 16 de mayo); sean el resultado de un error patente (SSTC 295/2000, de 11 de diciembre; 134/2001, de 13 de junio); se apoyen en una causa legal inexistente o en la exigencia de unos requisitos formales excesivamente rigurosos (SSTC 69/1984, de 11 de junio; 57/1988, de 5 de abril; 18/1993, de 18 de enero; 172/1995, de 21 de noviembre; 135/1998, de 29 de junio; 168/1998, de 21 de julio; 63/2000, de 13 de marzo, y 230/2000, de 2 de octubre). El control constitucional de estas decisiones de inadmisión se realiza de forma especialmente intensa cuando determinan la imposibilidad de obtener una primera respuesta judicial (SSTC 87/1986, de 27 de junio, y 118/1987, de 8 de julio, hasta la STC 16/1999, de 22 de febrero), atenuándose ese control en fase de recurso (por todas, SSTC 37/1995, de 7 de febrero, 115/1999, de 14 de junio)” (STC 217/2009, de 14 de diciembre, FJ 3).</w:t>
      </w:r>
    </w:p>
    <w:p w:rsidR="00163957" w:rsidRDefault="00163957" w:rsidP="00163957">
      <w:pPr>
        <w:pStyle w:val="TextoNormal"/>
      </w:pPr>
    </w:p>
    <w:p w:rsidR="00163957" w:rsidRDefault="00163957" w:rsidP="00163957">
      <w:pPr>
        <w:pStyle w:val="TextoNormal"/>
      </w:pPr>
      <w:r>
        <w:t>En particular, respecto del deber de motivación del incidente extraordinario de nulidad de actuaciones, hemos de partir de la sustancial reforma operada por la Ley Orgánica 6/2007, de 24 de mayo: “En efecto, la Ley Orgánica 6/2007, de 24 de mayo, modificó la redacción del art. 241.1 LOPJ, que regula el incidente de nulidad de actuaciones. Su finalidad fue ampliar el ámbito objetivo del incidente, limitado en la anterior redacción de la Ley Orgánica 19/2003 a los supuestos de defectos de forma que hubieran ocasionado indefensión e incongruencia del fallo, y posibilitando que el incidente pudiera ser utilizado para denunciar la vulneración de cualquier derecho fundamental susceptible de amparo constitucional (art. 53.2 CE). La propia exposición de motivos de la citada Ley Orgánica 6/2007 así lo expresa al afirmar que “se introduce una configuración del incidente de nulidad de actuaciones mucho más amplia, porque se permite su solicitud con base en cualquier vulneración de alguno de los derechos fundamentales referidos en el artículo 53.2 de la Constitución en lugar de la alegación de indefensión o incongruencia prevista hasta el momento” (STC 9/2014, de 27 de enero, FJ 4). En este sentido, por ejemplo, en una interpretación teleológica de la nueva redacción, el TS ha considerado el incidente de nulidad de actuaciones “como el medio más idóneo para valorar si se ha producido una vulneración de derechos fundamentales conforme a la interpretación que de los mismos realiza” el Tribunal Europeo de Derechos Humanos, cuando, tras la Sentencia del Tribunal Supremo, han aparecido Sentencias del Tribunal Europeo de Derechos Humanos sobre la cuestión objeto del proceso [ATS (Pleno de la Sala de lo Civil) de 2 de febrero de 2015].</w:t>
      </w:r>
    </w:p>
    <w:p w:rsidR="00163957" w:rsidRDefault="00163957" w:rsidP="00163957">
      <w:pPr>
        <w:pStyle w:val="TextoNormal"/>
      </w:pPr>
    </w:p>
    <w:p w:rsidR="00163957" w:rsidRDefault="00163957" w:rsidP="00163957">
      <w:pPr>
        <w:pStyle w:val="TextoNormal"/>
      </w:pPr>
      <w:r>
        <w:t xml:space="preserve">En línea con lo anterior, como ha establecido la STC 153/2012, de 16 de julio: “el incidente de nulidad de actuaciones asume, tras la configuración del nuevo amparo constitucional, una función esencial de tutela y defensa de los derechos fundamentales que puede y debe ser controlada por este Tribunal cuando las hipotéticas lesiones autónomas que en él se produzcan tengan “especial trascendencia constitucional”. No puede considerarse como un mero trámite formal previo al amparo constitucional sino como un verdadero instrumento </w:t>
      </w:r>
      <w:r>
        <w:lastRenderedPageBreak/>
        <w:t>procesal que, en la vía de la jurisdicción ordinaria, podrá remediar aquellas lesiones de derechos fundamentales que no hayan “podido denunciarse antes de recaer resolución que ponga fin al proceso y siempre que dicha resolución no sea susceptible de recurso ordinario ni extraordinario” (art. 241.1 LOPJ). En definitiva, el incidente de nulidad de actuaciones sirve, como así ha querido el legislador orgánico, para reparar aquellas lesiones de cualquier derecho fundamental que no puedan serlo a través de los recursos ordinarios o extraordinarios previstos por la ley; su función en materia de tutela de derechos es, por tanto, la misma, en el ámbito de aplicación que le otorga el art. 241.1 LOPJ, que la realizada como consecuencia de la interposición de un recurso ordinario o extraordinario y como tal debe ser atendida por los órganos judiciales. Una deficiente protección de los derechos denunciados por parte del órgano judicial puede dejar al recurrente sin ningún tipo de protección en aquellos casos en los que las vulneraciones en las que supuestamente incurriera la resolución impugnada a través del incidente de nulidad de actuaciones, carecieran de trascendencia constitucional. Es por ello que el órgano judicial debe, salvo que se den las causas de inadmisión de plano, en el que podrá realizarse una motivación sucinta (art. 241.1 LOPJ), realizar una interpretación no restrictiva de los motivos de inadmisión, tramitar el incidente y motivar, en cualquier caso, suficientemente su decisión. Como se dijo en la STC 185/1990, de 15 de noviembre, FJ 5, “será preciso interpretar las normas procesales que integren alguna vía rescisoria de Sentencias firmes en el sentido más favorable para permitir la tutela en fase jurisdiccional de los derechos fundamentales” (FJ 3).</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En el caso de autos, el Auto impugnado en amparo inadmitió el incidente con la siguiente motivación: “Invocado el art. 241 LOPJ y atendido su tenor, atendido lo dispuesto en el art. 46 CEDH, y fundamentalmente visto el estado de los autos 2188/77 de este Juzgado, considerando que no se dan los requisitos previstos en el mencionado precepto 241 LOPJ para la apertura del interesado incidente de nulidad de actuaciones de los autos 2188/2007, se acuerda no haber lugar a admitirlo a trámite”. Pues bien, analizada la motivación, se concluye que la </w:t>
      </w:r>
      <w:r w:rsidRPr="00163957">
        <w:rPr>
          <w:i/>
        </w:rPr>
        <w:t>ratio decidendi</w:t>
      </w:r>
      <w:r>
        <w:t xml:space="preserve"> se constriñe a la afirmación de que “no se dan los requisitos” del art. 241 LOPJ. En efecto, la invocación del art. 46 CEDH, en concreto, hay que entender del art. 46.2, que es el reproducido por el Auto, es irrazonable si se pretende como </w:t>
      </w:r>
      <w:r w:rsidRPr="00163957">
        <w:rPr>
          <w:i/>
        </w:rPr>
        <w:t>ratio decidendi</w:t>
      </w:r>
      <w:r>
        <w:t xml:space="preserve"> de la inadmisión. El art. 46.2 CEDH se limita a establecer que “la Sentencia definitiva del Tribunal se transmitirá al Comité de Ministros, que velará por su ejecución”, lo que sólo mediante una quiebra lógica constitucionalmente censurable podría identificarse con la atribución al Comité de Ministros de una competencia para la ejecución de las Sentencias del Tribunal Europeo de Derechos Humanos en España. Tampoco cabe sostener la inadmisión en el “estado de los autos” so pena de hacer supuesto de la cuestión, pues lo que se pide precisamente al órgano judicial es que se altere el estado de los autos a resultas de la Sentencia del Tribunal Europeo de Derechos Humanos.</w:t>
      </w:r>
    </w:p>
    <w:p w:rsidR="00163957" w:rsidRDefault="00163957" w:rsidP="00163957">
      <w:pPr>
        <w:pStyle w:val="TextoNormal"/>
      </w:pPr>
    </w:p>
    <w:p w:rsidR="00163957" w:rsidRDefault="00163957" w:rsidP="00163957">
      <w:pPr>
        <w:pStyle w:val="TextoNormal"/>
      </w:pPr>
      <w:r>
        <w:t xml:space="preserve">Por tanto, la razón de la inadmisión queda reducida a que, a juicio del órgano judicial, no se dan los requisitos del art. 241 LOPJ. Ahora bien, como ha quedado expuesto en los Antecedentes, el Juzgado aplica el art. 241 LOPJ, pero en su redacción derogada por la reforma de la Ley Orgánica 6/2007, de 24 de mayo, es decir, la que acotaba el ámbito del incidente a los defectos formales causantes de indefensión y al vicio de incongruencia. Este Tribunal ya ha valorado que “la resolución de la pretensión deducida mediante una selección arbitraria y manifiestamente irrazonable del Derecho aplicable como lo es la aplicación de una norma derogada no satisface el derecho a la tutela judicial efectiva (art. 24.1 CE)” (STC 144/2003, de 14 de julio, FJ 3). En el caso de autos, la aplicación de la norma derogada es </w:t>
      </w:r>
      <w:r>
        <w:lastRenderedPageBreak/>
        <w:t>de particular trascendencia constitucional habida cuenta de que, como se ha dicho, la nueva redacción responde a una función ampliada del incidente y estructural en el sistema de protección de los derechos fundamentales, lo que conlleva la obligación del órgano judicial, no sólo de aplicar la norma vigente para apoyar su decisión en una causa legal existente, sino, como señala la doctrina precitada, de realizar una interpretación no restrictiva de los motivos de inadmisión, tramitar el incidente y motivar, en cualquier caso, suficientemente su decisión.</w:t>
      </w:r>
    </w:p>
    <w:p w:rsidR="00163957" w:rsidRDefault="00163957" w:rsidP="00163957">
      <w:pPr>
        <w:pStyle w:val="TextoNormal"/>
      </w:pPr>
    </w:p>
    <w:p w:rsidR="00163957" w:rsidRDefault="00163957" w:rsidP="00163957">
      <w:pPr>
        <w:pStyle w:val="TextoNormal"/>
      </w:pPr>
      <w:r w:rsidRPr="00163957">
        <w:rPr>
          <w:rStyle w:val="NumeroAFNegritaCaracter"/>
        </w:rPr>
        <w:t>7</w:t>
      </w:r>
      <w:r>
        <w:t>. 7. Además, la pretensión planteada al Juzgado estaba directamente vinculada con la situación de una menor; de hecho, la demanda de amparo asocia la denuncia de vulneración del derecho a la tutela judicial efectiva (art. 24.1 CE) con el derecho a la integridad física y moral de la menor (art. 15 CE) y con el art. 8 CEDH. Hay que recordar que, como ha señalado la STC 217/2009, de 14 de diciembre, que consideró contraria al derecho fundamental la decisión de inadmisión de un recurso: “el principio de interés superior del menor debe inspirar la actuación jurisdiccional en los procesos matrimoniales y de familia (STC 71/2004, de 19 de abril, FJ 5) y que la tramitación de dichos procesos debe estar presidida por un criterio de flexibilidad procedimental”. Y sigue: “En este contexto, resultaría de aplicación el canon reforzado de la tutela judicial efectiva que este Tribunal utiliza cuando la cuestión de fondo sobre la que se proyecta la tutela se conecta con otros derechos fundamentales del recurrente (por todas STC 292/2005, de 10 de noviembre, FJ 3, dictada por el Pleno de este Tribunal y STC 93/2006, de 27 de marzo, FJ 3)” (FJ 5).</w:t>
      </w:r>
    </w:p>
    <w:p w:rsidR="00163957" w:rsidRDefault="00163957" w:rsidP="00163957">
      <w:pPr>
        <w:pStyle w:val="TextoNormal"/>
      </w:pPr>
    </w:p>
    <w:p w:rsidR="00163957" w:rsidRDefault="00163957" w:rsidP="00163957">
      <w:pPr>
        <w:pStyle w:val="TextoNormal"/>
      </w:pPr>
      <w:r>
        <w:t>En consecuencia, en el caso de autos la decisión sobre la admisión o no del incidente no puede soslayar el interés superior del menor, que reclama, en la medida en que sea legalmente posible, y tan pronto como sea legalmente posible, pues el paso del tiempo es pernicioso, preservar la seguridad jurídica y estabilidad de la menor, esto es, proporcionar una resolución judicial motivada que permita saber con certeza si su situación de acogimiento, derivada de los autos ya archivados y que la recurrente solicita reabrir, no queda afectada por la Sentencia del Tribunal Europeo de Derechos Humanos; en particular, vista la conexión con los autos sobre adopción de la menor e incidente de oposición (ATC 179/2015, de 2 de noviembre, de suspensión, rectificado por ATC 198/2015, de 30 de noviembre), estos sí, abiertos, y sin perjuicio de lo que corresponda valorar en el seno de aquel proceso respecto de los efectos de la Sentencia del Tribunal Europeo de Derechos Humanos.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amparo solicitado por doña R.C.M.S., en su nombre y en el de su hija menor de edad, y, en su virtud:</w:t>
      </w:r>
    </w:p>
    <w:p w:rsidR="00163957" w:rsidRDefault="00163957" w:rsidP="00163957">
      <w:pPr>
        <w:pStyle w:val="TextoNormal"/>
      </w:pPr>
    </w:p>
    <w:p w:rsidR="00163957" w:rsidRDefault="00163957" w:rsidP="00163957">
      <w:pPr>
        <w:pStyle w:val="TextoNormal"/>
      </w:pPr>
      <w:r>
        <w:t>1º Declarar que ha sido vulnerado su derecho fundamental a la tutela judicial efectiva sin indefensión (art. 24.1 CE).</w:t>
      </w:r>
    </w:p>
    <w:p w:rsidR="00163957" w:rsidRDefault="00163957" w:rsidP="00163957">
      <w:pPr>
        <w:pStyle w:val="TextoNormal"/>
      </w:pPr>
    </w:p>
    <w:p w:rsidR="00163957" w:rsidRDefault="00163957" w:rsidP="00163957">
      <w:pPr>
        <w:pStyle w:val="TextoNormal"/>
      </w:pPr>
      <w:r>
        <w:lastRenderedPageBreak/>
        <w:t>2º Restablecerle en su derecho y, en consecuencia, declarar la nulidad del Auto de 3 de septiembre de 2014, dictado por la Sección Quinta de la Audiencia Provincial de Granada recaído en recurso de apelación núm. 157-2014, así como del Auto del Juzgado de Primera Instancia núm. 16 de Granada de 9 de enero de 2014, en incidente extraordinario de nulidad de actuaciones en procedimiento de oposición de medidas de menores, autos núm. 1634-2013, que inadmite el incidente formulado por la demandante de amparo.</w:t>
      </w:r>
    </w:p>
    <w:p w:rsidR="00163957" w:rsidRDefault="00163957" w:rsidP="00163957">
      <w:pPr>
        <w:pStyle w:val="TextoNormal"/>
      </w:pPr>
    </w:p>
    <w:p w:rsidR="00163957" w:rsidRDefault="00163957" w:rsidP="00163957">
      <w:pPr>
        <w:pStyle w:val="TextoNormal"/>
      </w:pPr>
      <w:r>
        <w:t>3º Retrotraer las actuaciones al momento inmediatamente anterior al pronunciamiento de la primera de las citadas resoluciones para que el órgano judicial dicte una nueva respetuosa con el derecho fundamental vulnerado.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once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69" w:name="SENTENCIA_2016_66"/>
      <w:r>
        <w:lastRenderedPageBreak/>
        <w:t>SENTENCIA 66/2016, de 14 de abril de 2016</w:t>
      </w:r>
    </w:p>
    <w:bookmarkEnd w:id="69"/>
    <w:p w:rsidR="00163957" w:rsidRDefault="00163957" w:rsidP="00163957">
      <w:pPr>
        <w:pStyle w:val="TtuloResolucin"/>
      </w:pPr>
      <w:r>
        <w:t>Pleno</w:t>
      </w:r>
    </w:p>
    <w:p w:rsidR="00163957" w:rsidRDefault="00163957" w:rsidP="00163957">
      <w:pPr>
        <w:pStyle w:val="TtuloBOE"/>
      </w:pPr>
      <w:r>
        <w:t>(BOE núm. 122, de 20 de mayo de 2016)</w:t>
      </w:r>
    </w:p>
    <w:p w:rsidR="00163957" w:rsidRDefault="00163957" w:rsidP="00163957">
      <w:pPr>
        <w:pStyle w:val="TextoNormalCentrado"/>
      </w:pPr>
      <w:r>
        <w:t>ECLI:ES:TC:2016:66</w:t>
      </w:r>
    </w:p>
    <w:p w:rsidR="00163957" w:rsidRDefault="00163957" w:rsidP="00163957">
      <w:pPr>
        <w:pStyle w:val="TextoNormalCentrado"/>
      </w:pPr>
    </w:p>
    <w:p w:rsidR="00163957" w:rsidRDefault="00163957" w:rsidP="00163957">
      <w:pPr>
        <w:pStyle w:val="SntesisDescriptiva"/>
      </w:pPr>
      <w:r>
        <w:t>Recurso de inconstitucionalidad 4529-2012. Interpuesto por el Consejo de Gobierno del Principado de Asturias en relación con los artículos 3 y 4 del Real Decreto-ley 14/2012, de 20 de abril, de medidas urgentes de racionalización del gasto público en el ámbito educativo.</w:t>
      </w:r>
    </w:p>
    <w:p w:rsidR="00163957" w:rsidRDefault="00163957" w:rsidP="00163957">
      <w:pPr>
        <w:pStyle w:val="SntesisDescriptiva"/>
      </w:pPr>
    </w:p>
    <w:p w:rsidR="00163957" w:rsidRDefault="00163957" w:rsidP="00163957">
      <w:pPr>
        <w:pStyle w:val="SntesisAnaltica"/>
      </w:pPr>
      <w:r>
        <w:t>Competencias sobre educación, función pública y ordenación general de la economía: constitucionalidad de los preceptos legales estatales relativos a la jornada lectiva y sustitución del personal docente (STC 26/2016). Voto particular.</w:t>
      </w:r>
    </w:p>
    <w:p w:rsidR="00163957" w:rsidRDefault="00163957" w:rsidP="00163957">
      <w:pPr>
        <w:pStyle w:val="SntesisAnaltica"/>
      </w:pPr>
    </w:p>
    <w:p w:rsidR="00163957" w:rsidRDefault="00163957" w:rsidP="00163957">
      <w:pPr>
        <w:pStyle w:val="Extracto"/>
      </w:pPr>
      <w:r>
        <w:t>1.</w:t>
      </w:r>
      <w:r>
        <w:tab/>
        <w:t>Asunto sustancialmente idéntico al resuelto por la STC 26/2016, relativa a la doctrina sobre el reparto de competencias en materia educativa no universitaria [FFJJ 2 a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4529-2012, promovido por el Consejo de Gobierno del Principado de Asturias contra los arts. 3 y 4 del Real Decreto-ley 14/2012, de 20 de abril, de medidas urgentes de racionalización del gasto público en el ámbito educativo. Ha sido Ponente el Presidente don Francisco Pérez de los Cobos Orihuel,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Mediante escrito registrado en este Tribunal el día 20 de julio de 2012, el Letrado del Servicio Jurídico del Principado de Asturias, en la representación que legalmente ostenta de esa Comunidad Autónoma, interpuso recurso de inconstitucionalidad contra los arts. 3 y 4 del Real Decreto-ley 14/2012, de 20 de abril, de medidas urgentes de racionalización del gasto público en el ámbito educativo. El escrito se acompaña, entre otros documentos, del preceptivo dictamen previo del Consejo Consultivo de Asturias de 13 de julio de 2012, en </w:t>
      </w:r>
      <w:r>
        <w:lastRenderedPageBreak/>
        <w:t>el que se concluye que los preceptos indicados pueden exceder las bases que corresponde establecer al Estado, con invasión de las competencias autonómicas de desarrollo legislativo y ejecución en materia de enseñanza.</w:t>
      </w:r>
    </w:p>
    <w:p w:rsidR="00163957" w:rsidRDefault="00163957" w:rsidP="00163957">
      <w:pPr>
        <w:pStyle w:val="TextoNormal"/>
      </w:pPr>
    </w:p>
    <w:p w:rsidR="00163957" w:rsidRDefault="00163957" w:rsidP="00163957">
      <w:pPr>
        <w:pStyle w:val="TextoNormal"/>
      </w:pPr>
      <w:r w:rsidRPr="00163957">
        <w:rPr>
          <w:rStyle w:val="NumeroAFNegritaCaracter"/>
        </w:rPr>
        <w:t>2</w:t>
      </w:r>
      <w:r>
        <w:t>. El escrito de interposición, tras los oportunos fundamentos jurídico-procesales, en los que se justifican los requisitos de legitimación, competencia, plazo y representación para la interposición del recurso y se identifican tanto los preceptos legales impugnados como los preceptos constitucionales y estatutarios infringidos, ofrece la argumentación material o de fondo en la que se sustenta el recurso.</w:t>
      </w:r>
    </w:p>
    <w:p w:rsidR="00163957" w:rsidRDefault="00163957" w:rsidP="00163957">
      <w:pPr>
        <w:pStyle w:val="TextoNormal"/>
      </w:pPr>
    </w:p>
    <w:p w:rsidR="00163957" w:rsidRDefault="00163957" w:rsidP="00163957">
      <w:pPr>
        <w:pStyle w:val="TextoNormal"/>
      </w:pPr>
      <w:r>
        <w:t>Los arts. 3 y 4 del Real Decreto-ley 14/2012, que constituyen el objeto del recurso de inconstitucionalidad, afectan a dos aspectos del régimen jurídico del profesorado de enseñanzas generales no universitarias, reguladas en la Ley Orgánica 2/2006, de 3 de mayo, de educación (LOE). Por un lado, el art. 3 establece el horario lectivo mínimo del profesorado, que será de 25 horas en educación infantil y primaria, y de 25 horas en las restantes enseñanzas. No se regula toda la jornada laboral del profesor, ni siquiera todas sus tareas presenciales, aunque se incluye un sistema de compensación entre horas lectivas y horas complementarias. Se trata de unas previsiones excesivamente minuciosas, de carácter reglamentista y ordenancista, que no es el que corresponde a la legislación básica estatal. Por otro lado, el art. 4 limita las posibilidades de realizar nombramientos de funcionarios interinos para sustituciones de profesores, obligando a que las situaciones de necesidad sean atendidas durante los primeros diez días lectivos con recursos propios del centro. Esta medida lesiona la elemental potestad de autoorganización de las Comunidades Autónomas de sus recursos humanos para la prestación de servicios públicos, impidiéndoles incluso decidir atender las sustituciones con medios personales de centros docentes diferentes del que padece una necesidad.</w:t>
      </w:r>
    </w:p>
    <w:p w:rsidR="00163957" w:rsidRDefault="00163957" w:rsidP="00163957">
      <w:pPr>
        <w:pStyle w:val="TextoNormal"/>
      </w:pPr>
    </w:p>
    <w:p w:rsidR="00163957" w:rsidRDefault="00163957" w:rsidP="00163957">
      <w:pPr>
        <w:pStyle w:val="TextoNormal"/>
      </w:pPr>
      <w:r>
        <w:t>Aunque la disposición final primera del Decreto-ley invoca las competencias estatales recogidas en los apartados 1, 13, 18 y 30 del art. 149.1 CE, la Letrada del Principado de Asturias niega que las medidas impugnadas puedan tener cobertura en las mismas por los motivos que más adelante se exponen.</w:t>
      </w:r>
    </w:p>
    <w:p w:rsidR="00163957" w:rsidRDefault="00163957" w:rsidP="00163957">
      <w:pPr>
        <w:pStyle w:val="TextoNormal"/>
      </w:pPr>
    </w:p>
    <w:p w:rsidR="00163957" w:rsidRDefault="00163957" w:rsidP="00163957">
      <w:pPr>
        <w:pStyle w:val="TextoNormal"/>
      </w:pPr>
      <w:r>
        <w:t xml:space="preserve">El escrito de recurso presta especial atención a los límites aplicables a la legislación básica estatal, que debe restringirse a la regulación imprescindible de los aspectos esenciales que garanticen la uniformidad de una materia en todo el territorio del Estado (denominador normativo común), dejando un espacio normativo sustantivo y suficiente a las Comunidades Autónomas para el desarrollo de políticas propias, sin ahogarlo por su excesivo detalle y exhaustividad. En este sentido, se cita la STC 22/2012, de 16 de febrero, FJ 3, sobre el alcance de las bases estatales en materia de sanidad, que puede ser también de aplicación al campo educativo. Allí insistía este Tribunal en que la delimitación material de lo básico no puede agotar la regulación de una materia, vaciando de contenido las competencias que puedan tener las Comunidades Autónomas. Lo básico es sólo lo esencial, nuclear o imprescindible en esa materia. Sin embargo, las medidas estatales recurridas “alcanzan extremos de desarrollo insospechados” al establecer “guarismos mínimos concretos inflexibles y de obligado cumplimiento”. Además, introducen “un sistema de compensación entre horas lectivas y complementarias y prohíben sustituir a los profesores titulares por interinos, durante un plazo concreto y minucioso de diez días”, lo cual implica que otros profesores del centro, aún sin la especialización necesaria, tendrán que ampliar su horario lectivo mínimo, con la </w:t>
      </w:r>
      <w:r>
        <w:lastRenderedPageBreak/>
        <w:t>consiguiente merma de calidad en la prestación del servicio. En definitiva, son normas “de extremo detalle y concreción, férreamente intervencionistas, y no susceptibles de desarrollo legislativo o normativo alguno”.</w:t>
      </w:r>
    </w:p>
    <w:p w:rsidR="00163957" w:rsidRDefault="00163957" w:rsidP="00163957">
      <w:pPr>
        <w:pStyle w:val="TextoNormal"/>
      </w:pPr>
    </w:p>
    <w:p w:rsidR="00163957" w:rsidRDefault="00163957" w:rsidP="00163957">
      <w:pPr>
        <w:pStyle w:val="TextoNormal"/>
      </w:pPr>
      <w:r>
        <w:t>De hecho, la legislación básica estatal no había entrado hasta ahora en cuestiones de horario, organización de los centros y sustitución de profesores. El art. 124 LOE sobre estas cuestiones no tiene carácter básico, y la disposición adicional primera de la Ley Orgánica 3/1985, de 3 de julio, reguladora del derecho a la educación, no menciona estos aspectos en la enumeración de cuestiones básicas de competencia del Estado en materia educativa.</w:t>
      </w:r>
    </w:p>
    <w:p w:rsidR="00163957" w:rsidRDefault="00163957" w:rsidP="00163957">
      <w:pPr>
        <w:pStyle w:val="TextoNormal"/>
      </w:pPr>
    </w:p>
    <w:p w:rsidR="00163957" w:rsidRDefault="00163957" w:rsidP="00163957">
      <w:pPr>
        <w:pStyle w:val="TextoNormal"/>
      </w:pPr>
      <w:r>
        <w:t>Por el contrario, la Comunidad Autónoma del Principado de Asturias ostenta competencias de desarrollo legislativo y ejecución de la enseñanza en toda su extensión [art. 18 de la Ley Orgánica 7/1981, de 30 de diciembre, del Estatuto de Autonomía para Asturias (EAAst)], y de autoorganización de sus instituciones (arts. 10.1.1 y 15.3 EAAst). Y por ello, desde hace años han sido disposiciones autonómicas —instrucciones aprobadas mediante resoluciones administrativas de la Consejería— las que han regido la organización de los centros y de las sustituciones del profesorado. De manera que el Real Decreto-ley impugnado produciría “una auténtica mutación constitucional y legal contraria a una praxis legislativa universal y pacíficamente admitida”, que no tiene respaldo competencial en el art. 149.1.30 CE.</w:t>
      </w:r>
    </w:p>
    <w:p w:rsidR="00163957" w:rsidRDefault="00163957" w:rsidP="00163957">
      <w:pPr>
        <w:pStyle w:val="TextoNormal"/>
      </w:pPr>
    </w:p>
    <w:p w:rsidR="00163957" w:rsidRDefault="00163957" w:rsidP="00163957">
      <w:pPr>
        <w:pStyle w:val="TextoNormal"/>
      </w:pPr>
      <w:r>
        <w:t>El resto del escrito de interposición del recurso pormenoriza la extralimitación del Estado en el ejercicio de cada una de las competencias constitucionales invocadas por el Gobierno para legislar con urgencia.</w:t>
      </w:r>
    </w:p>
    <w:p w:rsidR="00163957" w:rsidRDefault="00163957" w:rsidP="00163957">
      <w:pPr>
        <w:pStyle w:val="TextoNormal"/>
      </w:pPr>
    </w:p>
    <w:p w:rsidR="00163957" w:rsidRDefault="00163957" w:rsidP="00163957">
      <w:pPr>
        <w:pStyle w:val="TextoNormal"/>
      </w:pPr>
      <w:r>
        <w:t>En primer lugar, no sería de aplicación el art. 149.1.1 CE, que permite al Estado establecer condiciones básicas homogéneas en el ejercicio de derechos y deberes constitucionales, entendiendo por tales sólo los recogidos en la Constitución, y no otros derechos de configuración legal, ni relaciones de sujeción especial o cuestiones internas de la Administración, como ocurre en este caso. Estrictamente hablando, los arts. 3 y 4 del Real Decreto-ley no afectan al derecho a la educación de los españoles desde un punto vista material o sustantivo (el currículo o el horario lectivo del alumnado), ni finalista o teleológico (garantía de calidad del servicio educativo), sino que disciplinan el horario lectivo y las sustituciones del profesorado en el marco de relaciones jurídicas de carácter especial o internas de la Administración. En cambio, los estudiantes continuarán recibiendo los servicios educativos en las mismas condiciones. Aparte de que la competencia estatal de regulación de las condiciones básicas de ejercicio de un derecho fundamental sólo se puede proyectar sobre tal derecho, y no sobre todo el sector material en el que se ejerce, tal como ya aclaró nuestra STC 61/1997, de 20 de marzo, FJ 7, respecto al derecho de propiedad y el sector urbanístico. Se invoca también nuestra jurisprudencia sobre la aplicación prevalente del título competencial más específico, cuando confluyen varios. De manera que en este supuesto las competencias estatales sobre economía, educación y régimen funcionarial desplazarían la más general derivada del art. 149.1.1 CE.</w:t>
      </w:r>
    </w:p>
    <w:p w:rsidR="00163957" w:rsidRDefault="00163957" w:rsidP="00163957">
      <w:pPr>
        <w:pStyle w:val="TextoNormal"/>
      </w:pPr>
    </w:p>
    <w:p w:rsidR="00163957" w:rsidRDefault="00163957" w:rsidP="00163957">
      <w:pPr>
        <w:pStyle w:val="TextoNormal"/>
      </w:pPr>
      <w:r>
        <w:t xml:space="preserve">Respecto a la competencia para el desarrollo del contenido esencial del derecho a la educación (art. 149.1.30 CE, en relación con el art. 27 CE), se niega que el objeto de los preceptos impugnados del decreto-ley sea subsumible en ese título, por no perseguirse objetivos curriculares, ni la garantía homogénea del derecho a la educación de todos los escolares, </w:t>
      </w:r>
      <w:r>
        <w:lastRenderedPageBreak/>
        <w:t>sino más bien la contención del gasto educativo y, subsidiariamente, la adopción de medidas organizativas del personal funcionario. Con cita de la jurisprudencia constitucional sobre el alcance concreto de las competencias educativas del Estado, se rechaza que sea de aplicación la STC 88/1983, de 27 de octubre, que afirmó la constitucionalidad de una norma estatal que fijaba horarios escolares mínimos. No estamos en definitiva ante una norma materialmente educativa o reguladora de las enseñanzas en nuestro sistema educativo. La invocación de las competencias educativas estatales es sólo a modo de pretexto para adoptar medidas que tienen una finalidad económica, organizativa y funcionarial. Y en todo caso se menoscaban las competencias autonómicas de desarrollo legislativo, por excederse el detalle que corresponde establecer a una normativa básica.</w:t>
      </w:r>
    </w:p>
    <w:p w:rsidR="00163957" w:rsidRDefault="00163957" w:rsidP="00163957">
      <w:pPr>
        <w:pStyle w:val="TextoNormal"/>
      </w:pPr>
    </w:p>
    <w:p w:rsidR="00163957" w:rsidRDefault="00163957" w:rsidP="00163957">
      <w:pPr>
        <w:pStyle w:val="TextoNormal"/>
      </w:pPr>
      <w:r>
        <w:t>Tampoco los preceptos impugnados pueden ampararse en la competencia estatal sobre las bases del régimen funcionarial (art. 149.1.18 CE), por proyectarse sobre cuestiones internas de la Administración autonómica (horario laboral mínimo de actividad docente, sistema de compensación horaria, y prohibición parcial de sustituciones mediante funcionarios interinos). La jurisprudencia constitucional viene reconociendo a las Comunidades Autónomas un espacio normativo amplio en todo lo que se refiere a la organización y funcionamiento interno de las Administraciones públicas por referirse a situaciones de sujeción especial. Las bases estatales tienen aquí un alcance más limitado (STC 1/2003, de 16 de enero, FJ 8), sobre todo cuando éstas no inciden directamente sobre su actividad externa ni, por tanto, en la garantía de un tratamiento común de los ciudadanos. Aquí no se está estableciendo el régimen jurídico básico, abstracto y general de los empleados públicos, sino concretando cuestiones de puro desarrollo, relativas a condiciones accesorias de trabajo, de ordinario reguladas por disposiciones reglamentarias, sin precedente en la legislación estatal básica hasta el momento.</w:t>
      </w:r>
    </w:p>
    <w:p w:rsidR="00163957" w:rsidRDefault="00163957" w:rsidP="00163957">
      <w:pPr>
        <w:pStyle w:val="TextoNormal"/>
      </w:pPr>
    </w:p>
    <w:p w:rsidR="00163957" w:rsidRDefault="00163957" w:rsidP="00163957">
      <w:pPr>
        <w:pStyle w:val="TextoNormal"/>
      </w:pPr>
      <w:r>
        <w:t xml:space="preserve">Finalmente, se reconoce que el Decreto-ley recurrido tiene una finalidad fundamentalmente económica, tal como se desprende de su título y de su preámbulo. Pero se arguye que la competencia estatal sobre las bases y coordinación de la planificación general de la actividad económica (art. 149.1.13 CE) sólo permite regular aspectos capitales de la economía sin invadir las competencias propias de las Comunidades Autónomas, mereciendo una interpretación restrictiva frente a títulos más específicos (STC 164/2001, de 11 de junio, FJ 9), que resultarían prevalentes (SSTC 45/2001, de 15 de febrero, FJ 8, y 67/1996, de 18 de abril, FJ 2). En este sentido, ese título competencial da cobertura, exclusivamente, a elementos indispensables “para alcanzar fines de política económica” (STC 158/1988, de 20 de julio, FJ 4) y que, aun siendo sectoriales, tengan “inmediata y directa relación con la dirección de la economía” (STC 61/1997, de 20 de marzo, FJ 36). Sin embargo, aquí estamos ante unas medidas muy concretas y específicas que recaen sobre cuestiones de detalle de un colectivo muy específico de empleados públicos. No se trata en ningún caso de aspectos esenciales de la economía española, ni de medidas de planificación general o sectorial subsumibles en el título competencial estatal, con el que en todo caso tendrían una relación indirecta o remota. Sólo estamos ante un pretexto para entrar a regular cuestiones de desarrollo legislativo de competencia autonómica en materia educativa y de régimen jurídico de los funcionarios autonómicos. Porque la fijación de un horario lectivo mínimo y la sustitución de profesores no tienen relación directa e inmediata con la dirección de la economía, ni constituyen bases y coordinación de la planificación de la actividad económica. Por último, se recuerda que el art. 156 CE garantiza la autonomía financiera de las Comunidades Autónomas, de manera que el objetivo de la estabilidad presupuestaria, establecido </w:t>
      </w:r>
      <w:r>
        <w:lastRenderedPageBreak/>
        <w:t>con carácter vinculante por el art. 135 CE, deja libertad a las Administraciones autonómicas para elegir los medios adecuados para alcanzar los límites de déficit y deuda que el Estado pueda concretar.</w:t>
      </w:r>
    </w:p>
    <w:p w:rsidR="00163957" w:rsidRDefault="00163957" w:rsidP="00163957">
      <w:pPr>
        <w:pStyle w:val="TextoNormal"/>
      </w:pPr>
    </w:p>
    <w:p w:rsidR="00163957" w:rsidRDefault="00163957" w:rsidP="00163957">
      <w:pPr>
        <w:pStyle w:val="TextoNormal"/>
      </w:pPr>
      <w:r w:rsidRPr="00163957">
        <w:rPr>
          <w:rStyle w:val="NumeroAFNegritaCaracter"/>
        </w:rPr>
        <w:t>3</w:t>
      </w:r>
      <w:r>
        <w:t>. El 13 de septiembre de 2012 el Pleno del Tribunal Constitucional acordó providencia de admisión a trámite del recurso de inconstitucionalidad planteado, notificándose por la Secretaria de Justicia de este Tribunal al Consejo de Gobierno del Principado de Asturias, con sello de entrada de 19 de septiembre de 2012, y publicándose en el “Boletín Oficial del Estado” de 21 de septiembre de 2012. De conformidad con lo previsto en el art. 34 de la Ley Orgánica del Tribunal Constitucional (LOTC) se dio traslado de las actuaciones al Congreso de los Diputados y al Senado, por conducto de sus Presidentes, y al Gobierno de la Nación, por conducto del Ministro de Justicia, con sello de recepción en este caso del 17 de septiembre, para que pudieran personarse en el proceso y formular las alegaciones que estimasen pertinentes.</w:t>
      </w:r>
    </w:p>
    <w:p w:rsidR="00163957" w:rsidRDefault="00163957" w:rsidP="00163957">
      <w:pPr>
        <w:pStyle w:val="TextoNormal"/>
      </w:pPr>
    </w:p>
    <w:p w:rsidR="00163957" w:rsidRDefault="00163957" w:rsidP="00163957">
      <w:pPr>
        <w:pStyle w:val="TextoNormal"/>
      </w:pPr>
      <w:r w:rsidRPr="00163957">
        <w:rPr>
          <w:rStyle w:val="NumeroAFNegritaCaracter"/>
        </w:rPr>
        <w:t>4</w:t>
      </w:r>
      <w:r>
        <w:t>. El Abogado del Estado, mediante escrito registrado en este Tribunal Constitucional el 19 de septiembre de 2012, se personó en el proceso en nombre del Gobierno, solicitando además prórroga por ocho días más del plazo concedido para formular alegaciones en el recurso. Esa prórroga, a contar a partir del día siguiente al de expiración del plazo ordinario, le fue concedida por el Pleno de este Tribunal Constitucional por providencia del 20 de septiembre de 2012, notificada el 25 de septiembre de 2012. Igualmente, la concesión de la prórroga fue comunicada al Consejo de Gobierno del Principado de Asturias mediante escrito con sello de entrada del 28 de septiembre de 2012. La Abogacía del Estado evacuó el trámite de alegaciones al recurso de inconstitucionalidad dentro de la prórroga del plazo conferido, mediante escrito registrado el 19 de octubre de 2012.</w:t>
      </w:r>
    </w:p>
    <w:p w:rsidR="00163957" w:rsidRDefault="00163957" w:rsidP="00163957">
      <w:pPr>
        <w:pStyle w:val="TextoNormal"/>
      </w:pPr>
    </w:p>
    <w:p w:rsidR="00163957" w:rsidRDefault="00163957" w:rsidP="00163957">
      <w:pPr>
        <w:pStyle w:val="TextoNormal"/>
      </w:pPr>
      <w:r w:rsidRPr="00163957">
        <w:rPr>
          <w:rStyle w:val="NumeroAFNegritaCaracter"/>
        </w:rPr>
        <w:t>5</w:t>
      </w:r>
      <w:r>
        <w:t>. El Presidente del Senado, por escrito registrado en este Tribunal el día 26 de septiembre de 2013, interesó se tuviera por personada a dicha Cámara y por ofrecida su colaboración a los efectos del art. 88.1 LOTC. En los mismos términos, y mediante escrito registrado el mismo día 26 de septiembre de 2012, el Presidente del Congreso comunicó el acuerdo adoptado por la Mesa de la Cámara, que además remitía el asunto a la Dirección de Estudios, Análisis y Publicaciones y a la asesoría jurídica de la Secretaría General de la Cámara.</w:t>
      </w:r>
    </w:p>
    <w:p w:rsidR="00163957" w:rsidRDefault="00163957" w:rsidP="00163957">
      <w:pPr>
        <w:pStyle w:val="TextoNormal"/>
      </w:pPr>
    </w:p>
    <w:p w:rsidR="00163957" w:rsidRDefault="00163957" w:rsidP="00163957">
      <w:pPr>
        <w:pStyle w:val="TextoNormal"/>
      </w:pPr>
      <w:r w:rsidRPr="00163957">
        <w:rPr>
          <w:rStyle w:val="NumeroAFNegritaCaracter"/>
        </w:rPr>
        <w:t>6</w:t>
      </w:r>
      <w:r>
        <w:t>. En su escrito de alegaciones la Abogada del Estado interesa la íntegra desestimación del recurso de inconstitucionalidad. En él se fijan en primer lugar los términos del recurso presentado, identificando el objeto preciso de la impugnación y los títulos competenciales en conflicto. El objeto de recurso son los arts. 3 y 4 del Real Decreto-ley 14/2012, de 20 de abril, de racionalización del gasto público educativo, destacándose que ambos se enmarcan en una medida legislativa de urgencia que tiene como finalidad fundamental facilitar, mediante una serie de medidas en materia de enseñanza universitaria y no universitaria, la consecución de la estabilidad presupuestaria de las Comunidades Autónomas, cuyo déficit máximo permitido para 2012 fue del 1,5 por 100 de su PIB. Estas medidas se consideran necesarias mientras las condiciones macroeconómicas impongan un escenario presupuestario de contención severa del gasto público. Por esa razón, el título competencial principal empleado por el Estado, dentro de los cuatro invocados en la disposición final primera del Real Decreto-ley recurrido, es el derivado del art. 149.1.13 CE (bases y coordinación de la pla</w:t>
      </w:r>
      <w:r>
        <w:lastRenderedPageBreak/>
        <w:t>nificación general de la economía), tal como desprende de la exposición de motivos. Mientras que por parte de la Comunidad Autónoma del Principado de Asturias entran en juego su competencia de desarrollo legislativo y ejecución en materia de educación (art. 18.1 EAAst) y su competencia exclusiva sobre organización, régimen y funcionamiento de sus instituciones de autogobierno (art. 10.1.1 EAAst).</w:t>
      </w:r>
    </w:p>
    <w:p w:rsidR="00163957" w:rsidRDefault="00163957" w:rsidP="00163957">
      <w:pPr>
        <w:pStyle w:val="TextoNormal"/>
      </w:pPr>
    </w:p>
    <w:p w:rsidR="00163957" w:rsidRDefault="00163957" w:rsidP="00163957">
      <w:pPr>
        <w:pStyle w:val="TextoNormal"/>
      </w:pPr>
      <w:r>
        <w:t>a) La Abogada del Estado dedica una amplia argumentación a la justificación de la situación de crisis económica sin precedentes que estaba atravesando nuestro país al tiempo de dictarse el Real Decreto-ley 14/2012, así como al impacto que en el gasto público tiene el sector educativo. En este contexto, en el que los organismos internacionales alertaban de su desconfianza en la deuda soberana de la zona euro a partir de la crisis griega de 2010, la Unión Europea exige una reducción severa del déficit de las Administraciones públicas. Por esa razón, la exposición de motivos del Real Decreto-ley recurrido explica que se establecen medidas imprescindibles para la consolidación fiscal exigida desde Europa, proporcionando a las Administraciones educativas una serie de instrumentos para lograr alcanzarla en su ámbito. Respecto a la gravedad de la crisis económica y financiera sufrida por nuestro país se recogen citas de los informes de coyuntura económica del Banco de España. En los correspondientes a 2008 y 2009 se llega a hablar de una espiral catastrófica, no conocida desde el final de la segunda guerra mundial, que plantea el reto de la propia sostenibilidad de las finanzas públicas para hacer frente a sus obligaciones de pago y el peligro del contagio de la crisis de credibilidad fiscal griega. En el informe de 2011 se alerta de la prolongación y recrudecimiento de la crisis de la deuda soberana en la zona euro, aconsejándose ajustes urgentes para corregir desequilibrios. La crisis se agudiza por los problemas financieros de los sistemas bancarios y del sector privado, donde se sigue destruyendo empleo, prosigue el ajuste inmobiliario y no se mejora la competitividad ni el apalancamiento financiero. Estas circunstancias habrían sido reconocidas por este Tribunal en su Auto 161/2012, de 13 de septiembre, FJ 4, en el que se rechaza el levantamiento de la suspensión de una orden de la Junta de Andalucía en materia de educación, por apelación a la necesidad de contener el gasto público en el contexto económico de crisis que se atraviesa.</w:t>
      </w:r>
    </w:p>
    <w:p w:rsidR="00163957" w:rsidRDefault="00163957" w:rsidP="00163957">
      <w:pPr>
        <w:pStyle w:val="TextoNormal"/>
      </w:pPr>
    </w:p>
    <w:p w:rsidR="00163957" w:rsidRDefault="00163957" w:rsidP="00163957">
      <w:pPr>
        <w:pStyle w:val="TextoNormal"/>
      </w:pPr>
      <w:r>
        <w:t>En cuanto a la necesidad de acometer la corrección del déficit público se invoca el libro amarillo de presentación del proyecto de presupuestos generales del Estado para 2012, en el que se destacaba la desviación de 2,5 puntos del déficit reconocido por el Gobierno saliente respecto del calculado por el entrante (en realidad el déficit fue del 8,5 por 100 del PIB nacional, en vez del 6 por 100, lo que equivale a un desfase de unos 27.000 millones de euros). Esta circunstancia obligó a tomar medidas urgentes de ajuste, puesto que la Ley de presupuestos generales para 2012 pasó a fijar finalmente un objetivo de déficit del 5,3 por 100 sobre el PIB para el conjunto de las Administraciones públicas. Se destaca además que el gasto educativo representa un importante porcentaje de ese gasto público. En concreto, un 10,99 por 100 en 2010, del que la mayor parte corresponde a las Comunidades Autónomas, según datos oficiales del Ministerio del ramo, que contienen la serie histórica desglosada entre 2000 y 2010, que se adjunta al escrito de alegaciones.</w:t>
      </w:r>
    </w:p>
    <w:p w:rsidR="00163957" w:rsidRDefault="00163957" w:rsidP="00163957">
      <w:pPr>
        <w:pStyle w:val="TextoNormal"/>
      </w:pPr>
    </w:p>
    <w:p w:rsidR="00163957" w:rsidRDefault="00163957" w:rsidP="00163957">
      <w:pPr>
        <w:pStyle w:val="TextoNormal"/>
      </w:pPr>
      <w:r>
        <w:t>b) En segundo lugar, el escrito de alegaciones contiene también una extensa motivación sobre los títulos competenciales implicados en la resolución del recurso planteado.</w:t>
      </w:r>
    </w:p>
    <w:p w:rsidR="00163957" w:rsidRDefault="00163957" w:rsidP="00163957">
      <w:pPr>
        <w:pStyle w:val="TextoNormal"/>
      </w:pPr>
    </w:p>
    <w:p w:rsidR="00163957" w:rsidRDefault="00163957" w:rsidP="00163957">
      <w:pPr>
        <w:pStyle w:val="TextoNormal"/>
      </w:pPr>
      <w:r>
        <w:t xml:space="preserve">En cuanto al art. 149.1.1 CE, sin negar su relevancia, se remarca que no es un título prevalente que proporcione cobertura autónoma a la norma. Más bien tiene una función </w:t>
      </w:r>
      <w:r>
        <w:lastRenderedPageBreak/>
        <w:t>habilitante de competencias más específicas y conexas con derechos constitucionales, sobre todo para procurar cierta homogeneidad social en su ejercicio, y por tanto, para garantizar la uniformidad de las condiciones de vida en el territorio nacional. Con cita de nuestra STC 61/1997, de 20 de marzo, FFJJ 7 y 8, se indica que el objeto de este título competencial recae sobre derechos y deberes constitucionales, y no sobre las materias en las que éstos se insertan.</w:t>
      </w:r>
    </w:p>
    <w:p w:rsidR="00163957" w:rsidRDefault="00163957" w:rsidP="00163957">
      <w:pPr>
        <w:pStyle w:val="TextoNormal"/>
      </w:pPr>
    </w:p>
    <w:p w:rsidR="00163957" w:rsidRDefault="00163957" w:rsidP="00163957">
      <w:pPr>
        <w:pStyle w:val="TextoNormal"/>
      </w:pPr>
      <w:r>
        <w:t>Por su parte, el art. 149.1.18 CE, al permitir fijar las bases del régimen estatutario de los funcionarios públicos, prestaría cobertura especialmente a las medidas del decreto-ley relativas al profesorado universitario, con preferencia a la prestada por las competencias estatales sobre educación. Sin embargo, respecto a las medidas sobre profesorado no universitario entiende la Abogada del Estado que sería prevalente la invocación del art. 149.1.30 CE, ya que su finalidad prioritaria sería la garantía de la calidad mínima de la enseñanza, aunque aquéllas repercutan en la organización administrativa y en el acceso a puestos de trabajo en el sector público. De todas formas, no es descartable la invocación del apartado 18 del art. 149.1 CE para justificar medidas sobre horarios de los profesores, en la medida en que el propio art. 2.3 de la Ley 7/2007, de 12 de abril, sobre el estatuto básico del empleado público (LEEP), remite, respecto a determinados colectivos de empleados como el personal docente y sanitario, a la legislación específica estatal y autonómica que se dicte para regularlos. Y de hecho, respecto al personal sanitario, hace tiempo que el legislador estatal ha establecido previsiones concretas sobre su horario de trabajo a través de los arts. 47 y siguientes de la Ley 55/2003, de 16 de diciembre, del estatuto marco del personal estatutario de los servicios de salud, de modo similar a como ahora pasa a hacerlo el decreto-ley impugnado respecto al personal docente no universitario. Además, se resalta que la legislación básica estatal en este ámbito del empleo público condiciona las competencias exclusivas del Principado de Asturias sobre organización, régimen y funcionamiento de sus instituciones de autogobierno (arts. 10.1.1 y 15.3 EAAst).</w:t>
      </w:r>
    </w:p>
    <w:p w:rsidR="00163957" w:rsidRDefault="00163957" w:rsidP="00163957">
      <w:pPr>
        <w:pStyle w:val="TextoNormal"/>
      </w:pPr>
    </w:p>
    <w:p w:rsidR="00163957" w:rsidRDefault="00163957" w:rsidP="00163957">
      <w:pPr>
        <w:pStyle w:val="TextoNormal"/>
      </w:pPr>
      <w:r>
        <w:t>En relación con el art. 149.1.30 CE, el escrito de alegaciones recuerda que este título consta de dos incisos. El alcance del primero, sobre las condiciones de obtención, expedición y homologación de títulos académicos y profesionales, vendría expuesto en nuestra STC 154/2005, de 9 de junio, FJ 8. El segundo se proyecta sobre las normas básicas de desarrollo del art. 27 CE, planteándose en este recurso el problema del alcance material de las mismas, dado que se alega el exceso en el que ha incurrido el Gobierno. Si bien esas bases tienen una gran variedad en función del ámbito sobre el que recaigan, no tienen por qué constreñirse sólo a pautas genéricas y abstractas, pudiendo comprender reglas de distinto tipo, topes máximos, niveles mínimos, tramos, e incluso actos de naturaleza ejecutiva (STC 222/2006, de 6 de julio, FJ 3). A la vez, con carácter general, esa regulación no puede ser de tanto detalle que no deje espacio para el desarrollo autonómico. Al final, el contenido y alcance concreto de lo básico será determinado por el legislador estatal, siempre sin alterar el orden constitucional y estatutario y sin perjuicio del control que corresponde hacer a este Tribunal Constitucional (STC 141/1993, de 22 de abril, FJ 3). En este sentido, por ejemplo, la STC 131/1996, de 11 de julio, consideró básica la fijación por el Estado de un porcentaje mínimo de profesores doctores para cada ciclo universitario, así como de profesorado funcionario para las universidades públicas, en cuanto medida de garantía de un mínimo de calidad de la enseñanza, a pesar del reflejo que esas previsiones tienen en los aspectos organizativos de las universidades. Lo mismo ocurriría en el caso del Real Decreto-ley recu</w:t>
      </w:r>
      <w:r>
        <w:lastRenderedPageBreak/>
        <w:t>rrido, en cuanto contiene medidas sobre la duración de la jornada docente y sobre las sustituciones del profesorado, que tienen sin duda consecuencias de carácter organizativo del sistema educativo, pero cuyo sentido primordial es asegurar un nivel mínimo del servicio docente en todo el Estado. Además, esos efectos organizativos son de carácter indirecto y reflejo, pues dejan un margen amplio de plasmación a las Comunidades Autónomas.</w:t>
      </w:r>
    </w:p>
    <w:p w:rsidR="00163957" w:rsidRDefault="00163957" w:rsidP="00163957">
      <w:pPr>
        <w:pStyle w:val="TextoNormal"/>
      </w:pPr>
    </w:p>
    <w:p w:rsidR="00163957" w:rsidRDefault="00163957" w:rsidP="00163957">
      <w:pPr>
        <w:pStyle w:val="TextoNormal"/>
      </w:pPr>
      <w:r>
        <w:t>De todos modos, para la Abogada del Estado el principal título competencial de cobertura del Real Decreto-ley 14/2012, debido a la finalidad de esta disposición, está en el apartado 13 del art. 149.1 CE, en conexión con el principio de coordinación de las haciendas públicas por parte del Estado (art. 156 CE). Recuerda en este sentido que la jurisprudencia de este Tribunal [SSTC 186/1988, de 17 de octubre, FJ 2, y 133/1997, de 16 de julio, FJ 4 c)] entiende que ese título ampara acciones unitarias en todo el territorio del Estado para la consecución de objetivos de política económica nacional, efectuando incluso una planificación de detalle, aunque sin poder vaciar por esta vía las competencias asumidas por las Comunidades Autónomas. Más en concreto, cabe establecer por esta vía medidas de contención de gastos corrientes y de reducción del déficit público, en línea con las exigencias de estabilidad presupuestaria y de prohibición de un déficit estructural superior al que se establezca, que están ahora contempladas en el art. 135 CE y son desarrolladas por la Ley Orgánica 2/2012, de 27 de abril, de estabilidad presupuestaria y sostenibilidad financiera. Así, la jurisprudencia constitucional habría admitido establecer, con apoyo en los arts. 149.1.13 y 156.1 CE (y no en el art. 149.1.18 CE), techos de gasto de las Administraciones públicas a través de los presupuestos generales del Estado como medida de política económica. Es el caso de la imposición de límites al incremento global de retribuciones de los empleados públicos (no de los empleados autonómicos considerados individualmente) o de restricciones al volumen cuantitativo de las plazas contenidas en la oferta de empleo público (SSTC 63/1986, de 21 de mayo, FFJJ 6 y 11; 148/2006, de 11 de mayo, FJ 4). Son medidas de política económica general, y no de régimen estatutario de los funcionarios públicos, puesto que no se circunscriben a este colectivo, sino que se aplican al más general de los empleados públicos, y tienen carácter coyuntural, sin integrarse propiamente en el estatus funcionarial. Lo mismo ocurriría en el caso del Real Decreto-ley 14/2012, que contiene medidas de ordenación general de la economía, no destinadas a los funcionarios de las Comunidades Autónomas, sino a todos los empleados públicos de las Administraciones educativas, que son adoptadas con carácter excepcional o transitorio y no estructural, para atender un escenario presupuestario concreto.</w:t>
      </w:r>
    </w:p>
    <w:p w:rsidR="00163957" w:rsidRDefault="00163957" w:rsidP="00163957">
      <w:pPr>
        <w:pStyle w:val="TextoNormal"/>
      </w:pPr>
    </w:p>
    <w:p w:rsidR="00163957" w:rsidRDefault="00163957" w:rsidP="00163957">
      <w:pPr>
        <w:pStyle w:val="TextoNormal"/>
      </w:pPr>
      <w:r>
        <w:t>c) Finalmente, el escrito de alegaciones defiende más en detalle la constitucionalidad de los dos preceptos impugnados del Real Decreto-ley 14/2012, frente a la negación por la parte recurrente de que constituyan bases y coordinación de la planificación general de la actividad económica por no tener verdadera relación con la dirección de la economía. Sin embargo, se sostiene que ambos artículos contienen medidas coyunturales de carácter básico para la contención del déficit público, dotadas de flexibilidad, al ofrecerse a las Comunidades Autónomas como herramientas complementarias para el cumplimiento mediante su concurso de los compromisos vinculantes de alcanzar la estabilidad presupuestaria pública.</w:t>
      </w:r>
    </w:p>
    <w:p w:rsidR="00163957" w:rsidRDefault="00163957" w:rsidP="00163957">
      <w:pPr>
        <w:pStyle w:val="TextoNormal"/>
      </w:pPr>
    </w:p>
    <w:p w:rsidR="00163957" w:rsidRDefault="00163957" w:rsidP="00163957">
      <w:pPr>
        <w:pStyle w:val="TextoNormal"/>
      </w:pPr>
      <w:r>
        <w:t xml:space="preserve">En concreto, las medidas inciden en el coste del profesorado en los presupuestos públicos, cuya relevancia se acredita mediante la aportación de un documento anexo, en el que se indica que los costes de personal en los presupuestos de 2012 ascendieron a “29.522 millones de euros, un 56 por 100 del total del gasto público educativo, que incluidas las </w:t>
      </w:r>
      <w:r>
        <w:lastRenderedPageBreak/>
        <w:t>cotizaciones sociales imputadas representaría el 64,0 por 100; en el caso de las Administraciones educativas, se eleva al 71,1 por 100”.</w:t>
      </w:r>
    </w:p>
    <w:p w:rsidR="00163957" w:rsidRDefault="00163957" w:rsidP="00163957">
      <w:pPr>
        <w:pStyle w:val="TextoNormal"/>
      </w:pPr>
    </w:p>
    <w:p w:rsidR="00163957" w:rsidRDefault="00163957" w:rsidP="00163957">
      <w:pPr>
        <w:pStyle w:val="TextoNormal"/>
      </w:pPr>
      <w:r>
        <w:t>Pues bien, el art. 3 del Real Decreto-ley 14/2012 establece dos previsiones básicas que constituyen un mínimo común denominador para garantizar una calidad homogénea de los servicios docentes en todo el territorio estatal, que las Comunidades Autónomas pueden concretar. Se trata de un mínimo de horas lectivas de los profesores de centros docentes públicos y concertados, y de un mínimo normativo para aplicar el régimen de compensación del exceso de horas docentes con horas complementarias. Esas medidas, adoptadas en virtud de la competencia estatal de dirección de la actividad económica general y de coordinación en materia de hacienda pública (arts. 149.1.13ª y 156.1 CE), tendrían además un carácter coyuntural o temporal.</w:t>
      </w:r>
    </w:p>
    <w:p w:rsidR="00163957" w:rsidRDefault="00163957" w:rsidP="00163957">
      <w:pPr>
        <w:pStyle w:val="TextoNormal"/>
      </w:pPr>
    </w:p>
    <w:p w:rsidR="00163957" w:rsidRDefault="00163957" w:rsidP="00163957">
      <w:pPr>
        <w:pStyle w:val="TextoNormal"/>
      </w:pPr>
      <w:r>
        <w:t>En cuanto a su impacto económico, se aportan datos estimativos de la reducción de profesorado que la medida puede comportar y, por tanto, de los gastos de personal que permitiría reducir, desglosados por niveles de enseñanza y excluyendo los centros con plantilla inferior a diez profesores. Los gastos corrientes por esos conceptos podrían rebajarse en 840 millones de euros, aunque el impacto final dependerá del grado de implantación de la medida en cada territorio.</w:t>
      </w:r>
    </w:p>
    <w:p w:rsidR="00163957" w:rsidRDefault="00163957" w:rsidP="00163957">
      <w:pPr>
        <w:pStyle w:val="TextoNormal"/>
      </w:pPr>
    </w:p>
    <w:p w:rsidR="00163957" w:rsidRDefault="00163957" w:rsidP="00163957">
      <w:pPr>
        <w:pStyle w:val="TextoNormal"/>
      </w:pPr>
      <w:r>
        <w:t>Se recuerda además que el art. 17 de la Ley 2/2012, de 29 de junio, de presupuestos generales del Estado para 2012, estableció también el patrón de las veinticinco horas lectivas semanales por profesor para el cálculo del importe de los conciertos educativos por las Administraciones, y que la disposición adicional 71 de la misma Ley también pasó a establecer la jornada mínima de trabajo para todo el sector público.</w:t>
      </w:r>
    </w:p>
    <w:p w:rsidR="00163957" w:rsidRDefault="00163957" w:rsidP="00163957">
      <w:pPr>
        <w:pStyle w:val="TextoNormal"/>
      </w:pPr>
    </w:p>
    <w:p w:rsidR="00163957" w:rsidRDefault="00163957" w:rsidP="00163957">
      <w:pPr>
        <w:pStyle w:val="TextoNormal"/>
      </w:pPr>
      <w:r>
        <w:t>De igual manera, el art. 4 del Real Decreto-ley 14/2012, sobre el nombramiento de funcionarios docentes interinos, también tendría su fundamento en el art. 149.1.13 CE como medida coyuntural de contención del gasto público en aras de alcanzar el objetivo de la estabilidad presupuestaria. La medida no menoscaba la potestad autonómica de autoorganización para la prestación de sus servicios públicos, valorando sus necesidades y recursos humanos disponibles. El precepto establece un periodo de diez días lectivos para poder acudir al nombramiento de personal interino, lo cual tiene carácter básico por tratarse de un mínimo, que no impide a las Comunidades Autónomas ejercer sus competencias a partir del mismo.</w:t>
      </w:r>
    </w:p>
    <w:p w:rsidR="00163957" w:rsidRDefault="00163957" w:rsidP="00163957">
      <w:pPr>
        <w:pStyle w:val="TextoNormal"/>
      </w:pPr>
    </w:p>
    <w:p w:rsidR="00163957" w:rsidRDefault="00163957" w:rsidP="00163957">
      <w:pPr>
        <w:pStyle w:val="TextoNormal"/>
      </w:pPr>
      <w:r>
        <w:t>Su impacto económico no es fácil de calcular, pero rondaría los 1.900 euros por cada supuesto de posible sustitución en los centros públicos (considerando que las retribuciones por todos los conceptos del profesorado interino están en torno a los 190 euros por día lectivo). En total, atendiendo a que los centros docentes públicos superan los 680.000 profesores en nuestro país, “por cada punto porcentual en la tasa de sustituciones cabe estimar el impacto presupuestario en una cifra cercana a los 9,3 millones de euros”. La medida también incidiría en el coste de la enseñanza concertada, cuyo cálculo incluye el pago de las sustituciones de profesorado.</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12 de abril de 2016 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objeto del presente recurso de inconstitucionalidad interpuesto por el Consejo de Gobierno del Principado de Asturias es la impugnación de los arts. 3 y 4 del Real Decreto-ley 14/2012, de 20 de abril, de medidas urgentes de racionalización del gasto público en el ámbito educativo, que fue convalidado por el Congreso de los Diputados mediante Resolución de 17 de mayo de 2012 (“Boletín Oficial del Estado” del 25 de mayo de 2012). Concretamente, se sostiene que esos preceptos invaden las competencias asumidas por la Comunidad Autónoma del Principado de Asturias en el art. 10.1.1 (competencia exclusiva sobre la organización, régimen y funcionamiento de las instituciones de autogobierno del Principado), en relación con el art. 15.3 (régimen estatutario de sus funcionarios, de acuerdo con la legislación básica del Estado), y en el art. 18.1 (desarrollo legislativo y ejecución de la enseñanza en toda su extensión, niveles y grados) de su Estatuto de Autonomía, aprobado por Ley Orgánica 7/1981, de 30 de diciembre (EAAst).</w:t>
      </w:r>
    </w:p>
    <w:p w:rsidR="00163957" w:rsidRDefault="00163957" w:rsidP="00163957">
      <w:pPr>
        <w:pStyle w:val="TextoNormal"/>
      </w:pPr>
    </w:p>
    <w:p w:rsidR="00163957" w:rsidRDefault="00163957" w:rsidP="00163957">
      <w:pPr>
        <w:pStyle w:val="TextoNormal"/>
      </w:pPr>
      <w:r>
        <w:t>Por su parte, la Abogada del Estado solicita la desestimación del recurso de inconstitucionalidad en su integridad por considerar que el Real Decreto-ley 14/2012, aprobado en una situación de grave crisis económica y de necesidad acuciante de corrección de un abultado déficit público, tiene cobertura competencial derivada del art. 149.1.1, 13, 18 y 30 CE, y no vulnera las competencias que corresponden a la Comunidad Autónoma del Principado de Asturias.</w:t>
      </w:r>
    </w:p>
    <w:p w:rsidR="00163957" w:rsidRDefault="00163957" w:rsidP="00163957">
      <w:pPr>
        <w:pStyle w:val="TextoNormal"/>
      </w:pPr>
    </w:p>
    <w:p w:rsidR="00163957" w:rsidRDefault="00163957" w:rsidP="00163957">
      <w:pPr>
        <w:pStyle w:val="TextoNormal"/>
      </w:pPr>
      <w:r w:rsidRPr="00163957">
        <w:rPr>
          <w:rStyle w:val="NumeroAFNegritaCaracter"/>
        </w:rPr>
        <w:t>2</w:t>
      </w:r>
      <w:r>
        <w:t>. Esta controversia ha quedado ya resuelta en nuestra STC 26/2016, de 18 de febrero, que, con ocasión de un recurso de inconstitucionalidad paralelo, interpuesto por la Junta de Andalucía contra la misma disposición estatal (aunque respecto a un mayor número de preceptos) y en mérito a argumentos semejantes, ha ratificado la competencia estatal para aprobar la regulación contenida en los preceptos impugnados en este proceso. Igualmente, también con relación a los arts. 3 y 4 del Real Decreto-ley 14/2012, el mismo criterio ha quedado plasmado en la STC 54/2016, de 17 de marzo, dictada en aplicación de doctrina para resolver un recurso planteado por el Parlamento de Navarra. En consecuencia, nos limitaremos a exponer a continuación la síntesis de esos mismos razonamientos relativos al concreto objeto de impugnación del presente recurso, que conducen a su íntegra desestimación.</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En la primera de estas Sentencias constatábamos que las medidas introducidas en los arts. 3 y 4 del Real Decreto-Ley 14/2012 se integran en un conjunto más amplio de previsiones dirigidas a la contención del gasto público en el ámbito educativo. Por su parte, la disposición final primera del Real Decreto-ley 14/2012 atribuye a la totalidad de la norma el carácter de legislación básica y la afirma dictada al amparo de las competencias estatales de los apartados 1, 13, 18 y 30 del art. 149.1 CE. </w:t>
      </w:r>
    </w:p>
    <w:p w:rsidR="00163957" w:rsidRDefault="00163957" w:rsidP="00163957">
      <w:pPr>
        <w:pStyle w:val="TextoNormal"/>
      </w:pPr>
    </w:p>
    <w:p w:rsidR="00163957" w:rsidRDefault="00163957" w:rsidP="00163957">
      <w:pPr>
        <w:pStyle w:val="TextoNormal"/>
      </w:pPr>
      <w:r>
        <w:t xml:space="preserve">En cuanto al ajuste competencial de las medidas contenidas en los preceptos impugnados, y concretamente respecto al exceso en la fijación de las bases que corresponde establecer al Estado en materias de legislación compartida, nos hemos pronunciado de manera específica en el fundamento jurídico 6, apartados a), b) y c) de la STC 26/2016, de 18 de febrero, al que necesariamente nos tenemos que remitir. Como allí dijimos, a efectos de determinar el concreto título competencial que pueda prestar cobertura a las previsiones recurridas y así valorar si esa cobertura es suficiente de acuerdo con su alcance y contenido, hemos de tener </w:t>
      </w:r>
      <w:r>
        <w:lastRenderedPageBreak/>
        <w:t>en cuenta que, conforme a nuestra doctrina, cuando sea posible la identificación de más de un título competencial, habrá que estar al título prevalente, que de ordinario será el más específico de los que estén en juego, sin que quepa descartar en algún caso la posible invocación simultánea o indistinta de varios títulos competenciales estatales que confluyan o se solapen en la misma regulación (SSTC 81/2012, de 18 de abril, y 120/2012, de 5 de junio).</w:t>
      </w:r>
    </w:p>
    <w:p w:rsidR="00163957" w:rsidRDefault="00163957" w:rsidP="00163957">
      <w:pPr>
        <w:pStyle w:val="TextoNormal"/>
      </w:pPr>
    </w:p>
    <w:p w:rsidR="00163957" w:rsidRDefault="00163957" w:rsidP="00163957">
      <w:pPr>
        <w:pStyle w:val="TextoNormal"/>
      </w:pPr>
      <w:r>
        <w:t>Pues bien, en el fundamento jurídico 6 a) de la STC 26/2016, de 18 de febrero, hemos manifestado que los arts. 3 y 4 del Real Decreto-ley 14/2012, que establecen en materia de educación no universitaria un horario lectivo mínimo del profesorado, un máximo de compensación de docencia del profesorado con horas complementarias y una limitación al nombramiento de personal interino para cubrir las ausencias del profesorado, han de ser encuadrados competencialmente “en función, no de su finalidad, sino de su concreto contenido material que, en el caso, está, evidentemente relacionado con la educación, con lo que los títulos estatales a considerar son el art. 149.1.30 CE y, complementariamente, el art. 149.1.18 CE, en lo que respecta a la función pública docente, ambos más específicos que el genérico del art. 149.1.13 CE”. El contenido educativo de estas medidas prevalece por tanto a efectos competenciales sobre la índole y finalidad económica de la norma adoptada. E igualmente desplaza la cobertura que pudiera derivar del art. 149.1.1 CE, también invocado por la disposición final primera del Real Decreto-ley, por su carácter genérico respecto a los títulos mencionados.</w:t>
      </w:r>
    </w:p>
    <w:p w:rsidR="00163957" w:rsidRDefault="00163957" w:rsidP="00163957">
      <w:pPr>
        <w:pStyle w:val="TextoNormal"/>
      </w:pPr>
    </w:p>
    <w:p w:rsidR="00163957" w:rsidRDefault="00163957" w:rsidP="00163957">
      <w:pPr>
        <w:pStyle w:val="TextoNormal"/>
      </w:pPr>
      <w:r w:rsidRPr="00163957">
        <w:rPr>
          <w:rStyle w:val="NumeroAFNegritaCaracter"/>
        </w:rPr>
        <w:t>4</w:t>
      </w:r>
      <w:r>
        <w:t>. Hechas estas precisiones, se puede acometer el examen de constitucionalidad de cada uno de los dos preceptos impugnados por el Gobierno asturiano por razón de su ajuste al orden constitucional de reparto de competencias entre el Estado y la Comunidad Autónoma del Principado de Asturias.</w:t>
      </w:r>
    </w:p>
    <w:p w:rsidR="00163957" w:rsidRDefault="00163957" w:rsidP="00163957">
      <w:pPr>
        <w:pStyle w:val="TextoNormal"/>
      </w:pPr>
    </w:p>
    <w:p w:rsidR="00163957" w:rsidRDefault="00163957" w:rsidP="00163957">
      <w:pPr>
        <w:pStyle w:val="TextoNormal"/>
      </w:pPr>
      <w:r>
        <w:t>El art. 3 del Real Decreto-ley 14/2012 establece en sus dos apartados dos umbrales, uno mínimo y otro máximo, que afectan a la regulación de la jornada lectiva del profesorado de las enseñanzas contempladas en la Ley Orgánica de educación en centros públicos y privados sostenidos con fondos públicos. Por un lado, se fija el número mínimo de horas semanales de clase a impartir por el personal docente, que será de 20 horas con carácter general, y de 25 horas para los estadios educativos iniciales (educación infantil y primaria). Por otro, se limita a una hora por periodo lectivo la compensación máxima a reconocer al profesorado con horas complementarias cuando su número de horas de clase impartidas exceda la carga lectiva prevista, y siempre a partir de los mínimos aludidos de 20 y 25 horas semanales, según el nivel de enseñanza.</w:t>
      </w:r>
    </w:p>
    <w:p w:rsidR="00163957" w:rsidRDefault="00163957" w:rsidP="00163957">
      <w:pPr>
        <w:pStyle w:val="TextoNormal"/>
      </w:pPr>
    </w:p>
    <w:p w:rsidR="00163957" w:rsidRDefault="00163957" w:rsidP="00163957">
      <w:pPr>
        <w:pStyle w:val="TextoNormal"/>
      </w:pPr>
      <w:r>
        <w:t xml:space="preserve">Como bien hemos resumido en la STC 54/2016, FJ 2 b), respecto a la legitimidad constitucional de este precepto desde un punto de vista competencial, el legislador estatal puede establecer reglas sobre el mínimo de dedicación lectiva del personal docente para garantizar el derecho a la educación en su dimensión prestacional y en ejercicio de sus funciones de coordinación derivadas de sus competencias básicas en materia de educación. La determinación cuantitativa de las horas lectivas a impartir por el personal docente en las enseñanzas reguladas en la Ley Orgánica de educación constituye una previsión básica que incide en la vertiente prestacional del derecho a la educación que es financiada con fondos públicos, y que es coherente con el carácter único del sistema educativo en todo el territorio nacional. Se trata de un mínimo común denominador normativo en materia de programación docente, </w:t>
      </w:r>
      <w:r>
        <w:lastRenderedPageBreak/>
        <w:t xml:space="preserve">que afecta a los centros públicos y privados concertados, y que no resulta ajeno a las competencias estatales </w:t>
      </w:r>
      <w:r w:rsidRPr="00163957">
        <w:rPr>
          <w:i/>
        </w:rPr>
        <w:t>ex</w:t>
      </w:r>
      <w:r>
        <w:t xml:space="preserve"> art. 149.1.30 CE.</w:t>
      </w:r>
    </w:p>
    <w:p w:rsidR="00163957" w:rsidRDefault="00163957" w:rsidP="00163957">
      <w:pPr>
        <w:pStyle w:val="TextoNormal"/>
      </w:pPr>
    </w:p>
    <w:p w:rsidR="00163957" w:rsidRDefault="00163957" w:rsidP="00163957">
      <w:pPr>
        <w:pStyle w:val="TextoNormal"/>
      </w:pPr>
      <w:r>
        <w:t>Pero asimismo, en segundo lugar, la competencia estatal para dictar esa regulación encuentra también cobertura en el art. 149.1.18 CE respecto a los profesores que tengan la condición de funcionarios públicos, sobre todo teniendo en cuenta que son funcionarios de ámbito estatal en el sentido de que pueden prestar servicio en cualquier parte del sistema educativo (STC 213/2013). La competencia sobre las bases del régimen estatutario de ese personal permite al Estado regular sus derechos y deberes, entre los cuales se encuentra la fijación de la jornada de trabajo que han de cubrir. El establecimiento de un mínimo de horas lectivas y de un máximo de compensación con horas complementarias del exceso de docencia que pueda impartir el profesorado, se justifica en el logro de una homogeneidad fundamental en un aspecto sustancial del régimen funcionarial del colectivo docente.</w:t>
      </w:r>
    </w:p>
    <w:p w:rsidR="00163957" w:rsidRDefault="00163957" w:rsidP="00163957">
      <w:pPr>
        <w:pStyle w:val="TextoNormal"/>
      </w:pPr>
    </w:p>
    <w:p w:rsidR="00163957" w:rsidRDefault="00163957" w:rsidP="00163957">
      <w:pPr>
        <w:pStyle w:val="TextoNormal"/>
      </w:pPr>
      <w:r>
        <w:t>Además, como indicamos en el fundamento jurídico 6 b) de la STC 26/2016, de 18 de febrero, el carácter mínimo de la regla establecida en el cuestionado art. 3 (o de máximo, en el caso de las horas complementarias con que se compensa el posible exceso lectivo), así como el margen de organización y concreción del total de la dedicación del profesor, cuya carga lectiva podría incluso aumentarse, permiten apreciar que el precepto impugnado no cierra a las Comunidades Autónomas toda posibilidad de desarrollo y aplicación de la normativa básica sobre la materia.</w:t>
      </w:r>
    </w:p>
    <w:p w:rsidR="00163957" w:rsidRDefault="00163957" w:rsidP="00163957">
      <w:pPr>
        <w:pStyle w:val="TextoNormal"/>
      </w:pPr>
    </w:p>
    <w:p w:rsidR="00163957" w:rsidRDefault="00163957" w:rsidP="00163957">
      <w:pPr>
        <w:pStyle w:val="TextoNormal"/>
      </w:pPr>
      <w:r>
        <w:t>Por tanto, el art. 3 del Real Decreto-ley 14/2012, tanto en su apartado 1 como 2, no es inconstitucional, y tiene cobertura dentro de las competencias estatales sobre las normas básicas de desarrollo del art. 27 CE y sobre las bases del régimen estatutario de los funcionarios públicos, respecto al profesorado que tiene esta condición.</w:t>
      </w:r>
    </w:p>
    <w:p w:rsidR="00163957" w:rsidRDefault="00163957" w:rsidP="00163957">
      <w:pPr>
        <w:pStyle w:val="TextoNormal"/>
      </w:pPr>
    </w:p>
    <w:p w:rsidR="00163957" w:rsidRDefault="00163957" w:rsidP="00163957">
      <w:pPr>
        <w:pStyle w:val="TextoNormal"/>
      </w:pPr>
      <w:r w:rsidRPr="00163957">
        <w:rPr>
          <w:rStyle w:val="NumeroAFNegritaCaracter"/>
        </w:rPr>
        <w:t>5</w:t>
      </w:r>
      <w:r>
        <w:t>. Por su parte, el art. 4 del Real Decreto-ley 14/2012 exige, también en el ámbito de las enseñanzas no universitarias, una duración mínima de diez días de las bajas de los profesores para poder recurrir al nombramiento de profesores interinos para su sustitución. En consecuencia, los centros docentes sostenidos con fondos públicos (centros públicos y concertados) deberán atender con su propia plantilla todo tipo de bajas laborales, permisos, licencias o supuestos análogos de duración inferior a diez días, sin posibilidad de contratación adicional de personal. Hay que indicar que la redacción de este precepto ha cambiado en virtud de la disposición final décima quinta de la Ley 48/2015, de 29 de octubre, de presupuestos generales del Estado para el año 2016. En cualquier caso, esta modificación legal no elimina el objeto de la presente controversia, y nos obliga a pronunciarnos sobre su cobertura competencial.</w:t>
      </w:r>
    </w:p>
    <w:p w:rsidR="00163957" w:rsidRDefault="00163957" w:rsidP="00163957">
      <w:pPr>
        <w:pStyle w:val="TextoNormal"/>
      </w:pPr>
    </w:p>
    <w:p w:rsidR="00163957" w:rsidRDefault="00163957" w:rsidP="00163957">
      <w:pPr>
        <w:pStyle w:val="TextoNormal"/>
      </w:pPr>
      <w:r>
        <w:t>En este sentido, el Consejo de Gobierno del Principado de Asturias señala que lleva años regulando la organización de los centros y de las sustituciones del profesorado mediante instrucciones aprobadas por resolución de la Consejería competente en la materia. Sin embargo, está claro que esas disposiciones administrativas no forman parte del canon de constitucionalidad que debe aplicar este Tribunal, de manera que la cuestión decisiva es valorar, si en esa cuestión específica y en uso de sus competencias propias, el Estado puede imponer una duración mínima de las situaciones de ausencia del profesorado a efectos de proceder a su sustitución.</w:t>
      </w:r>
    </w:p>
    <w:p w:rsidR="00163957" w:rsidRDefault="00163957" w:rsidP="00163957">
      <w:pPr>
        <w:pStyle w:val="TextoNormal"/>
      </w:pPr>
    </w:p>
    <w:p w:rsidR="00163957" w:rsidRDefault="00163957" w:rsidP="00163957">
      <w:pPr>
        <w:pStyle w:val="TextoNormal"/>
      </w:pPr>
      <w:r>
        <w:lastRenderedPageBreak/>
        <w:t>Pues bien, de acuerdo con el fundamento jurídico 6 c) de la STC 26/2016, de 18 de febrero, “A efectos competenciales, el legislador estatal ha querido establecer una norma que tiene por objeto regular el proceso de sustituciones docentes por parte de los centros públicos y privados sostenidos con fondos públicos, regulación que, afectando al funcionamiento de dichos centros, repercute en la contratación de profesorado interino, y, por tanto, en la prestación del servicio público educativo por su relación con la impartición de docencia. La norma, en tanto que relativa a situaciones de vacío temporal en la impartición de docencia, se incardina así en el art. 149.1.30 CE y persigue garantizar una mínima homogeneidad en el proceso de sustitución del profesorado a través del establecimiento de esta regla básica relativa a los medios humanos disponibles, encontrándose entre las medidas que, como antes se ha dicho, puede establecer el legislador estatal como norma básica a efectos de determinar y hacer efectivo el nivel prestacional de la enseñanza financiado con fondos públicos. Es cierto que el Real Decreto-ley 14/2012 reduce en este punto, por consiguiente, las atribuciones que correspondían a la Comunidad Autónoma, pero no las vacía de contenido, puesto que, respetando ese límite, puede seguir regulando las sustituciones de profesores”, dado que el límite temporal establecido de los diez días puede entenderse como un plazo mínimo que no puede ser reducido por las Administraciones educativas, por un lado, y no agota toda la regulación del régimen de sustituciones en caso de bajas del personal docente, por otro.</w:t>
      </w:r>
    </w:p>
    <w:p w:rsidR="00163957" w:rsidRDefault="00163957" w:rsidP="00163957">
      <w:pPr>
        <w:pStyle w:val="TextoNormal"/>
      </w:pPr>
    </w:p>
    <w:p w:rsidR="00163957" w:rsidRDefault="00163957" w:rsidP="00163957">
      <w:pPr>
        <w:pStyle w:val="TextoNormal"/>
      </w:pPr>
      <w:r>
        <w:t>En definitiva, el art. 4 del Real Decreto-ley 14/2012 contiene una medida básica en materia de sustituciones del profesorado en enseñanzas no universitarias, que no es inconstitucional.</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inconstitucionalidad núm. 4529-2012.</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abril de dos mil dieciséis.</w:t>
      </w:r>
    </w:p>
    <w:p w:rsidR="00163957" w:rsidRDefault="00163957" w:rsidP="00163957">
      <w:pPr>
        <w:pStyle w:val="ParrafoNormal"/>
      </w:pPr>
    </w:p>
    <w:p w:rsidR="00163957" w:rsidRDefault="00163957" w:rsidP="00163957">
      <w:pPr>
        <w:pStyle w:val="TextoNormalNegritaCentrado"/>
        <w:keepNext/>
      </w:pPr>
      <w:r>
        <w:t>Voto particular que formulan la Magistrada doña Adela Asua Batarrita y el Magistrado don Fernando Valdés Dal-Ré a la Sentencia dictada en el recurso de inconstitucionalidad núm. 4529-2012.</w:t>
      </w:r>
    </w:p>
    <w:p w:rsidR="00163957" w:rsidRDefault="00163957" w:rsidP="00163957">
      <w:pPr>
        <w:pStyle w:val="TextoNormalNegritaCentrado"/>
        <w:keepNext/>
      </w:pPr>
    </w:p>
    <w:p w:rsidR="00163957" w:rsidRDefault="00163957" w:rsidP="00163957">
      <w:pPr>
        <w:pStyle w:val="TextoNormal"/>
      </w:pPr>
      <w:r>
        <w:t>En ejercicio de la facultad que nos confiere el art. 90.2 de la Ley Orgánica del Tribunal Constitucional, y con absoluto respeto a la opinión expresada por la mayoría del Pleno, formulamos el presente Voto particular por los mismos motivos que nos llevaron a discrepar de la STC 26/2016, de 18 de febrero.</w:t>
      </w:r>
    </w:p>
    <w:p w:rsidR="00163957" w:rsidRDefault="00163957" w:rsidP="00163957">
      <w:pPr>
        <w:pStyle w:val="TextoNormal"/>
      </w:pPr>
    </w:p>
    <w:p w:rsidR="00163957" w:rsidRDefault="00163957" w:rsidP="00163957">
      <w:pPr>
        <w:pStyle w:val="TextoNormal"/>
      </w:pPr>
      <w:r>
        <w:t xml:space="preserve">En lo que concierne a la desestimación de la impugnación dirigida contra los arts. 3 y 4 del Real Decreto-ley 14/2012, de 20 de abril, de medidas urgentes de racionalización del </w:t>
      </w:r>
      <w:r>
        <w:lastRenderedPageBreak/>
        <w:t>gasto educativo, que constituyen el objeto de este proceso, las razones de nuestra discrepancia están recogidas en los apartados 1 y 2 del mencionado Voto particular, al que nos remitimos.</w:t>
      </w:r>
    </w:p>
    <w:p w:rsidR="00163957" w:rsidRDefault="00163957" w:rsidP="00163957">
      <w:pPr>
        <w:pStyle w:val="TextoNormal"/>
      </w:pPr>
    </w:p>
    <w:p w:rsidR="00163957" w:rsidRDefault="00163957" w:rsidP="00163957">
      <w:pPr>
        <w:pStyle w:val="TextoNormal"/>
      </w:pPr>
      <w:r>
        <w:t>Y en tal sentido emitimos este Voto particular.</w:t>
      </w:r>
    </w:p>
    <w:p w:rsidR="00163957" w:rsidRDefault="00163957" w:rsidP="00163957">
      <w:pPr>
        <w:pStyle w:val="TextoNormal"/>
      </w:pPr>
    </w:p>
    <w:p w:rsidR="00163957" w:rsidRDefault="00163957" w:rsidP="00163957">
      <w:pPr>
        <w:pStyle w:val="TextoNormal"/>
      </w:pPr>
      <w:r>
        <w:t>Madrid, a catorce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70" w:name="SENTENCIA_2016_67"/>
      <w:r>
        <w:lastRenderedPageBreak/>
        <w:t>SENTENCIA 67/2016, de 14 de abril de 2016</w:t>
      </w:r>
    </w:p>
    <w:bookmarkEnd w:id="70"/>
    <w:p w:rsidR="00163957" w:rsidRDefault="00163957" w:rsidP="00163957">
      <w:pPr>
        <w:pStyle w:val="TtuloResolucin"/>
      </w:pPr>
      <w:r>
        <w:t>Pleno</w:t>
      </w:r>
    </w:p>
    <w:p w:rsidR="00163957" w:rsidRDefault="00163957" w:rsidP="00163957">
      <w:pPr>
        <w:pStyle w:val="TtuloBOE"/>
      </w:pPr>
      <w:r>
        <w:t>(BOE núm. 122, de 20 de mayo de 2016)</w:t>
      </w:r>
    </w:p>
    <w:p w:rsidR="00163957" w:rsidRDefault="00163957" w:rsidP="00163957">
      <w:pPr>
        <w:pStyle w:val="TextoNormalCentrado"/>
      </w:pPr>
      <w:r>
        <w:t>ECLI:ES:TC:2016:67</w:t>
      </w:r>
    </w:p>
    <w:p w:rsidR="00163957" w:rsidRDefault="00163957" w:rsidP="00163957">
      <w:pPr>
        <w:pStyle w:val="TextoNormalCentrado"/>
      </w:pPr>
    </w:p>
    <w:p w:rsidR="00163957" w:rsidRDefault="00163957" w:rsidP="00163957">
      <w:pPr>
        <w:pStyle w:val="SntesisDescriptiva"/>
      </w:pPr>
      <w:r>
        <w:t>Recurso de inconstitucionalidad 370-2013. Interpuesto por el Consejo de Gobierno de la Comunidad Autónoma de Canarias en relación con los artículos 3 y 4 del Real Decreto-ley 14/2012, de 20 de abril, de medidas urgentes de racionalización del gasto público en el ámbito educativo.</w:t>
      </w:r>
    </w:p>
    <w:p w:rsidR="00163957" w:rsidRDefault="00163957" w:rsidP="00163957">
      <w:pPr>
        <w:pStyle w:val="SntesisDescriptiva"/>
      </w:pPr>
    </w:p>
    <w:p w:rsidR="00163957" w:rsidRDefault="00163957" w:rsidP="00163957">
      <w:pPr>
        <w:pStyle w:val="SntesisAnaltica"/>
      </w:pPr>
      <w:r>
        <w:t>Límites a los decretos-leyes; competencias sobre educación, función pública y ordenación general de la economía: constitucionalidad de los preceptos legales estatales relativos a la jornada lectiva y sustitución del personal docente (STC 26/2016). Voto particular.</w:t>
      </w:r>
    </w:p>
    <w:p w:rsidR="00163957" w:rsidRDefault="00163957" w:rsidP="00163957">
      <w:pPr>
        <w:pStyle w:val="SntesisAnaltica"/>
      </w:pPr>
    </w:p>
    <w:p w:rsidR="00163957" w:rsidRDefault="00163957" w:rsidP="00163957">
      <w:pPr>
        <w:pStyle w:val="Extracto"/>
      </w:pPr>
      <w:r>
        <w:t>1.</w:t>
      </w:r>
      <w:r>
        <w:tab/>
        <w:t>Asunto sustancialmente idéntico al resuelto por la STC 26/2016, relativa a la doctrina sobre el reparto de competencias en materia educativa no universitaria [FFJJ 2 a 6].</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370-2013, promovido por el Consejo de Gobierno de la Comunidad Autónoma de Canarias contra los arts. 3 y 4 del Real Decreto-ley 14/2012, de 20 de abril, de medidas urgentes de racionalización del gasto público en el ámbito educativo. Ha sido Ponente el Magistrado don Santiago Martínez-Vares García,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día 21 de enero de 2013, la Directora General del servicio jurídico del Gobierno de Canarias, en nombre y representación del Consejo de Gobierno de Canarias, interpuso recurso de inconstitucionalidad contra los arts. 3 y 4 del Real Decreto-ley 14/2012, de 20 de abril, de medidas urgentes de racionalización del gasto público en el ámbito educativo.</w:t>
      </w:r>
    </w:p>
    <w:p w:rsidR="00163957" w:rsidRDefault="00163957" w:rsidP="00163957">
      <w:pPr>
        <w:pStyle w:val="TextoNormal"/>
      </w:pPr>
    </w:p>
    <w:p w:rsidR="00163957" w:rsidRDefault="00163957" w:rsidP="00163957">
      <w:pPr>
        <w:pStyle w:val="TextoNormal"/>
      </w:pPr>
      <w:r>
        <w:t>Los antecedentes del escrito explican y justifican documentalmente que con fecha 14 de junio de 2012, de conformidad con lo dispuesto en el art. 33.2 de la Ley Orgánica del Tribunal Constitucional (LOTC), se adoptó un acuerdo en el seno de la Comisión Bilateral de Cooperación entre la Administración General del Estado y la Comunidad Autónoma de Canarias para iniciar negociaciones para la resolución de discrepancias surgidas por la aprobación del mencionado Real Decreto-ley. El acuerdo fue notificado a este Tribunal Constitucional el 2 de julio de 2012 y publicado en el “Boletín Oficial del Estado” de 23 de julio, y en el “Boletín Oficial de Canarias” de 30 de julio. Ante el mantenimiento de las discrepancias entre las partes, con fecha 10 de enero de 2013 el Gobierno de Canarias adoptó la decisión de formular demanda de inconstitucionalidad contra los arts. 3 y 4 del Real Decreto-ley 14/2012, y de solicitar simultáneamente dictamen al Consejo Consultivo de Canarias.</w:t>
      </w:r>
    </w:p>
    <w:p w:rsidR="00163957" w:rsidRDefault="00163957" w:rsidP="00163957">
      <w:pPr>
        <w:pStyle w:val="TextoNormal"/>
      </w:pPr>
    </w:p>
    <w:p w:rsidR="00163957" w:rsidRDefault="00163957" w:rsidP="00163957">
      <w:pPr>
        <w:pStyle w:val="TextoNormal"/>
      </w:pPr>
      <w:r w:rsidRPr="00163957">
        <w:rPr>
          <w:rStyle w:val="NumeroAFNegritaCaracter"/>
        </w:rPr>
        <w:t>2</w:t>
      </w:r>
      <w:r>
        <w:t>. . El escrito de interposición del recurso, tras recoger unos sucintos antecedentes y fundamentos jurídico-procesales, invoca un doble motivo de inconstitucionalidad de los preceptos impugnados. Por un lado, la ausencia de presupuesto habilitante para su aprobación, de acuerdo con las exigencias establecidas en el art. 86 CE, y de otro, la invasión de competencias de la Comunidad Autónoma en relación con la enseñanza y el régimen estatutario de sus funcionarios [art. 32.1 y 6 del Estatuto de Autonomía de Canarias (EACan)].</w:t>
      </w:r>
    </w:p>
    <w:p w:rsidR="00163957" w:rsidRDefault="00163957" w:rsidP="00163957">
      <w:pPr>
        <w:pStyle w:val="TextoNormal"/>
      </w:pPr>
    </w:p>
    <w:p w:rsidR="00163957" w:rsidRDefault="00163957" w:rsidP="00163957">
      <w:pPr>
        <w:pStyle w:val="TextoNormal"/>
      </w:pPr>
      <w:r>
        <w:t>a) Como es conocido, se recuerda que el ejercicio de la potestad legislativa por parte del Gobierno prevista en el art. 86 CE está supeditada al cumplimiento de unos requisitos materiales y a la concurrencia de un presupuesto habilitante, que es la existencia de una situación de extraordinaria y urgente necesidad y de una relación de conexión entre ese presupuesto y la medida que se adopte. Con cita de jurisprudencia constitucional, se insiste en que la extraordinaria y urgente necesidad no es una cláusula o expresión vacía de significado, de libre apreciación por el Gobierno, sino un límite jurídico. De manera que en casos de uso abusivo o arbitrario el Tribunal Constitucional podrá rechazar la valoración realizada por el Gobierno y declarar la inconstitucionalidad del Real Decreto-ley. En especial, se invoca nuestra STC 68/2007, de 27 de marzo, en la que declaramos la inconstitucionalidad de un real decreto-ley de reforma laboral por vulneración del art. 86.1 CE. De acuerdo con lo expresado en esa Sentencia, la relación de conexión entre un real decreto-ley y su presupuesto habilitante debe ser objeto de un análisis riguroso, al suponer aquél una excepción al procedimiento legislativo ordinario, con sus posibilidades de participación de minorías parlamentarias. Aunque no sólo las situaciones de fuerza mayor o emergencia habiliten al Gobierno para ejercer su potestad legislativa extraordinaria, siempre será necesaria la concurrencia de ciertas notas de excepcionalidad, gravedad, relevancia o imprevisibilidad, que requieran una acción normativa inmediata en plazos más breves que los de tramitación parlamentaria de una ley.</w:t>
      </w:r>
    </w:p>
    <w:p w:rsidR="00163957" w:rsidRDefault="00163957" w:rsidP="00163957">
      <w:pPr>
        <w:pStyle w:val="TextoNormal"/>
      </w:pPr>
    </w:p>
    <w:p w:rsidR="00163957" w:rsidRDefault="00163957" w:rsidP="00163957">
      <w:pPr>
        <w:pStyle w:val="TextoNormal"/>
      </w:pPr>
      <w:r>
        <w:t xml:space="preserve">El escrito sostiene que en este caso no es posible apreciar, en un juicio externo de verificación, el cumplimiento de los requisitos constitucionales derivados del art. 86.1 CE para la aprobación de los arts. 3 y 4 del Real Decreto-ley 14/2012. Desde luego, los motivos que justifican la extraordinaria y urgente necesidad de estas medidas sobre la jornada lectiva y la sustitución de profesores no están explicitados de manera razonada. La invocación de la necesaria eficacia del servicio educativo no convierte esas medidas en imprescindibles para </w:t>
      </w:r>
      <w:r>
        <w:lastRenderedPageBreak/>
        <w:t>cumplir con la consolidación fiscal y la reducción del déficit de la Unión Europea. Se concluye así que no concurre el presupuesto habilitante necesario para aprobar por real decreto-ley esos preceptos.</w:t>
      </w:r>
    </w:p>
    <w:p w:rsidR="00163957" w:rsidRDefault="00163957" w:rsidP="00163957">
      <w:pPr>
        <w:pStyle w:val="TextoNormal"/>
      </w:pPr>
    </w:p>
    <w:p w:rsidR="00163957" w:rsidRDefault="00163957" w:rsidP="00163957">
      <w:pPr>
        <w:pStyle w:val="TextoNormal"/>
      </w:pPr>
      <w:r>
        <w:t>b) Desde el punto de vista competencial, se constata que la disposición final primera del Real Decreto-ley invoca de manera indistinta los títulos competenciales estatales recogidos en los apartados 1, 13, 18 y 30 del art. 149.1 CE. Sin embargo, a juicio de la parte recurrente ninguno de ellos ampara las medidas contempladas en sus arts. 3 y 4, que exceden el marco de la legislación básica que esos apartados permiten aprobar al Estado. Y paralelamente la regulación introducida por el Gobierno invade directamente la competencia de la Comunidad Autónoma de Canarias para el desarrollo legislativo y ejecución en materia de régimen estatutario de sus funcionarios.</w:t>
      </w:r>
    </w:p>
    <w:p w:rsidR="00163957" w:rsidRDefault="00163957" w:rsidP="00163957">
      <w:pPr>
        <w:pStyle w:val="TextoNormal"/>
      </w:pPr>
    </w:p>
    <w:p w:rsidR="00163957" w:rsidRDefault="00163957" w:rsidP="00163957">
      <w:pPr>
        <w:pStyle w:val="TextoNormal"/>
      </w:pPr>
      <w:r>
        <w:t>a.- Antes de examinar el alcance de los títulos competenciales invocados, el escrito de recurso analiza la finalidad y objeto de los dos preceptos recurridos. La exposición de motivos del Real Decreto-ley 14/2012 invoca en general la necesidad de reducir el déficit público y alcanzar la estabilidad presupuestaria, añadiendo además que las medidas adoptadas mejoran de manera permanente la eficiencia del sistema educativo. Sin embargo, se cuestiona la inconsistencia del argumento de que la regulación de la jornada lectiva del profesorado contribuya a la garantía del cumplimiento de los objetivos, competencias y contenidos de las enseñanzas. Y sobre todo, se niega que la misma tenga cobertura en la regulación básica de desarrollo del art. 27 CE, ni en las bases del régimen jurídico de los funcionarios, por su carácter detallado y minucioso, que no deja margen de desarrollo autonómico. Y en cuanto al régimen de sustituciones, estamos ante una norma alejada de la realidad por obligar sin matices a cubrir las ausencias cortas de profesores con los recursos propios del centro, sin tener en cuenta la existencia de escuelas unitarias con un único profesor titular. Pero además esa regla impide el ejercicio de la competencia autonómica de planificación y ordenación de sus efectivos para la prestación de sus servicios públicos. Son las Administraciones autonómicas las que por cercanía, conocimiento del entorno y por su competencia de gestión del servicio pueden decidir mejor sobre la organización de la docencia en los centros educativos, siendo muy cuestionable que las medidas impuestas por el Gobierno de la Nación permitan mejorar la gestión del servicio en clave de ahorro, igualdad y mejora de la calidad. En definitiva, la finalidad de los arts. 3 y 4 del Real Decreto-ley sería la mejora de la eficiencia del sistema educativo (en cuanto al horario lectivo de los profesores y al régimen de sustituciones), pero esa motivación tiene difícil encaje en títulos competenciales de carácter estatal.</w:t>
      </w:r>
    </w:p>
    <w:p w:rsidR="00163957" w:rsidRDefault="00163957" w:rsidP="00163957">
      <w:pPr>
        <w:pStyle w:val="TextoNormal"/>
      </w:pPr>
    </w:p>
    <w:p w:rsidR="00163957" w:rsidRDefault="00163957" w:rsidP="00163957">
      <w:pPr>
        <w:pStyle w:val="TextoNormal"/>
      </w:pPr>
      <w:r>
        <w:t xml:space="preserve">b.- Con alusión a la jurisprudencia de este Tribunal se afirma que la competencia para establecer las condiciones básicas que garanticen la igualdad de todos los españoles en el ejercicio de sus derechos y en el cumplimiento de sus deberes constitucionales (art. 149.1.1 CE) no permite al Estado imponer un régimen jurídico acabado y completo de esos derechos y deberes. A este respecto, la igualdad debe entenderse en sentido finalista y no material, ni absoluto. Además, las condiciones básicas aluden al contenido primario de un derecho o de posiciones jurídicas fundamentales, y han de circunscribirse a las que sean imprescindibles o necesarias para garantizar esa igualdad, pues de otro modo se solaparían inevitablemente con otras competencias. En cualquier caso, la Directora General del servicio jurídico del Gobierno de Canarias niega que las medidas en materia de jornada lectiva y régimen de </w:t>
      </w:r>
      <w:r>
        <w:lastRenderedPageBreak/>
        <w:t xml:space="preserve">sustituciones del profesorado encuentren encaje como condiciones básicas </w:t>
      </w:r>
      <w:r w:rsidRPr="00163957">
        <w:rPr>
          <w:i/>
        </w:rPr>
        <w:t>ex</w:t>
      </w:r>
      <w:r>
        <w:t xml:space="preserve"> art. 149.1.1 CE, que persigan la igualdad de todos los españoles.</w:t>
      </w:r>
    </w:p>
    <w:p w:rsidR="00163957" w:rsidRDefault="00163957" w:rsidP="00163957">
      <w:pPr>
        <w:pStyle w:val="TextoNormal"/>
      </w:pPr>
    </w:p>
    <w:p w:rsidR="00163957" w:rsidRDefault="00163957" w:rsidP="00163957">
      <w:pPr>
        <w:pStyle w:val="TextoNormal"/>
      </w:pPr>
      <w:r>
        <w:t>c.- Respecto al título competencial sobre las bases y coordinación de la planificación general de la actividad económica, el escrito de recurso sostiene que al contener el Real Decreto-ley 14/2012 una cláusula competencial acumulativa, la aplicación del art. 149.1.13 CE debería ceder ante otros títulos más específicos, salvo que haya una vinculación específica con el preciso contenido normativo de aquella disposición. La doctrina constitucional (SSTC 77/2004, de 29 de abril, FJ 4, y 164/2001, de 11 de julio, FJ 9) niega que esa competencia estatal pueda extenderse a cualquier acción de naturaleza económica en detrimento de competencias autonómicas concretas, de manera que su objeto son disposiciones estatales que tengan una incidencia directa y significativa en la actividad económica general. En otro caso, cuando concurren con materias o títulos competenciales más específicos, debe ser objeto de una interpretación estricta. En este sentido, se citan un par de ejemplos en los que este Tribunal ha rechazado la cobertura de este título competencial transversal sobre medidas estatales sobre financiación de acciones formativas de trabajadores ocupados (STC 190/2002, de 17 de octubre, FJ 5), por no ser acciones estrictamente económicas, sino de capacitación profesional, o sobre el establecimiento de una renta básica de emancipación de jóvenes (STC 36/2012, de 15 de marzo, FJ 5), por su escasa relevancia económica.</w:t>
      </w:r>
    </w:p>
    <w:p w:rsidR="00163957" w:rsidRDefault="00163957" w:rsidP="00163957">
      <w:pPr>
        <w:pStyle w:val="TextoNormal"/>
      </w:pPr>
    </w:p>
    <w:p w:rsidR="00163957" w:rsidRDefault="00163957" w:rsidP="00163957">
      <w:pPr>
        <w:pStyle w:val="TextoNormal"/>
      </w:pPr>
      <w:r>
        <w:t>En el caso de los arts. 3 y 4 del Real Decreto-ley 14/2012, no se aprecia su conexión con la planificación económica general, aparte de que en todo caso corresponde a cada Administración la responsabilidad de alcanzar la estabilidad presupuestaria por las vías que considere oportunas. El art. 135 CE establece ese principio y prohíbe el déficit estructural de las Administraciones, pero impone una reserva de Ley Orgánica para su desarrollo, así como la participación de los órganos de coordinación institucional entre administraciones públicas, reglas que no se han respetado con la adopción del Real Decreto-ley recurrido.</w:t>
      </w:r>
    </w:p>
    <w:p w:rsidR="00163957" w:rsidRDefault="00163957" w:rsidP="00163957">
      <w:pPr>
        <w:pStyle w:val="TextoNormal"/>
      </w:pPr>
    </w:p>
    <w:p w:rsidR="00163957" w:rsidRDefault="00163957" w:rsidP="00163957">
      <w:pPr>
        <w:pStyle w:val="TextoNormal"/>
      </w:pPr>
      <w:r>
        <w:t>d.- Las medidas impugnadas tampoco tendrían acomodo en el art. 149.1.18 CE, que atribuye al Estado la competencia sobre las bases del régimen estatutario de los funcionarios públicos. La parte recurrente alega que la disposición adicional sexta de la Ley Orgánica 2/2006, de 3 de mayo, de educación (LOE), regula precisamente las bases del régimen estatutario del colectivo de los funcionarios públicos docentes, sin incluir en absoluto las cuestiones del horario o las sustituciones de ese personal. Además, con carácter más general, el art. 47 de la Ley del estatuto básico del empleado público (LEEP) atribuye a cada Administración pública la fijación de la jornada general y las especiales de sus funcionarios públicos.</w:t>
      </w:r>
    </w:p>
    <w:p w:rsidR="00163957" w:rsidRDefault="00163957" w:rsidP="00163957">
      <w:pPr>
        <w:pStyle w:val="TextoNormal"/>
      </w:pPr>
    </w:p>
    <w:p w:rsidR="00163957" w:rsidRDefault="00163957" w:rsidP="00163957">
      <w:pPr>
        <w:pStyle w:val="TextoNormal"/>
      </w:pPr>
      <w:r>
        <w:t>En esta línea, se reproduce parcialmente nuestra STC 235/1991, de 12 de diciembre, en la que declaramos que el contenido del calendario académico universitario no puede calificarse de básico, sino que corresponde fijarlo a cada universidad y a su Comunidad Autónoma.</w:t>
      </w:r>
    </w:p>
    <w:p w:rsidR="00163957" w:rsidRDefault="00163957" w:rsidP="00163957">
      <w:pPr>
        <w:pStyle w:val="TextoNormal"/>
      </w:pPr>
    </w:p>
    <w:p w:rsidR="00163957" w:rsidRDefault="00163957" w:rsidP="00163957">
      <w:pPr>
        <w:pStyle w:val="TextoNormal"/>
      </w:pPr>
      <w:r>
        <w:t xml:space="preserve">El escrito de recurso reproduce también nuestra STC 54/1982, de 26 de julio, FJ 5, en el que rechazamos el carácter básico de un precepto legal estatal que fijaba el montante de horas de la jornada laboral de los funcionarios a efectos retributivos, así como nuestra STC 165/1986, de 18 de diciembre, FJ 7, que reconoce la capacidad de una Comunidad Autónoma para, al ejecutar legislación básica estatal sobre funcionarios públicos, establecer las </w:t>
      </w:r>
      <w:r>
        <w:lastRenderedPageBreak/>
        <w:t>matizaciones necesarias derivadas de las características propias de la organización administrativa autonómica.</w:t>
      </w:r>
    </w:p>
    <w:p w:rsidR="00163957" w:rsidRDefault="00163957" w:rsidP="00163957">
      <w:pPr>
        <w:pStyle w:val="TextoNormal"/>
      </w:pPr>
    </w:p>
    <w:p w:rsidR="00163957" w:rsidRDefault="00163957" w:rsidP="00163957">
      <w:pPr>
        <w:pStyle w:val="TextoNormal"/>
      </w:pPr>
      <w:r>
        <w:t>Se invoca también finalmente una resolución de la Secretaría de Estado de Administraciones Públicas de 28 de diciembre de 2012, por la que se dictan instrucciones sobre jornada y horarios de trabajo del personal al servicio de la Administración General del Estado y sus organismos públicos. Esta viene a reconocer en su preámbulo que las Administraciones públicas (en plural) son competentes para establecer la ordenación del tiempo de trabajo del personal a su servicio, precisamente en aplicación del art. 47 LEEP, y además alude a que la Ley de presupuestos generales del Estado para 2012 estableció un mínimo de horas semanales de trabajo efectivo (y no su montante preciso y cerrado). El escrito de recurso infiere que, dado que esta resolución administrativa es sólo de aplicación al ámbito del sector público estatal, se estaría reconociendo que las Comunidades Autónomas son competentes para regular el horario de su propio personal. Argumentos que serían también trasladables a la cuestión del régimen de sustitución de los profesores.</w:t>
      </w:r>
    </w:p>
    <w:p w:rsidR="00163957" w:rsidRDefault="00163957" w:rsidP="00163957">
      <w:pPr>
        <w:pStyle w:val="TextoNormal"/>
      </w:pPr>
    </w:p>
    <w:p w:rsidR="00163957" w:rsidRDefault="00163957" w:rsidP="00163957">
      <w:pPr>
        <w:pStyle w:val="TextoNormal"/>
      </w:pPr>
      <w:r>
        <w:t>e.- La parte recurrente sostiene que el establecimiento de la jornada lectiva del profesorado y la limitación de las sustituciones de los profesores titulares por interinos son ámbitos propios de la ordenación del servicio educativo de cada Comunidad Autónoma, que exceden el alcance de la competencia estatal para dictar las normas básicas del art. 27 CE.</w:t>
      </w:r>
    </w:p>
    <w:p w:rsidR="00163957" w:rsidRDefault="00163957" w:rsidP="00163957">
      <w:pPr>
        <w:pStyle w:val="TextoNormal"/>
      </w:pPr>
    </w:p>
    <w:p w:rsidR="00163957" w:rsidRDefault="00163957" w:rsidP="00163957">
      <w:pPr>
        <w:pStyle w:val="TextoNormal"/>
      </w:pPr>
      <w:r>
        <w:t>Con una extensa cita de nuestra STC 184/2012, de 17 de octubre, FJ 3, se resume el alcance del doble título competencial estatal del art. 149.1.30 CE, para indicar que, a efectos de las normas básicas de desarrollo del derecho a la educación, éstas atañen a “la función de definir los principios normativos y generales y uniformes de ordenación de las materias enunciadas en tal art. 27 CE”, sin olvidar que “en la configuración del sistema educativo han de participar los niveles de gobierno estatal y autonómico, de acuerdo con sus competencias”. Este reparto competencial no daría cobertura al Estado para introducir una regulación como la de los arts. 3 y 4 del Real Decreto-ley 14/2012.</w:t>
      </w:r>
    </w:p>
    <w:p w:rsidR="00163957" w:rsidRDefault="00163957" w:rsidP="00163957">
      <w:pPr>
        <w:pStyle w:val="TextoNormal"/>
      </w:pPr>
    </w:p>
    <w:p w:rsidR="00163957" w:rsidRDefault="00163957" w:rsidP="00163957">
      <w:pPr>
        <w:pStyle w:val="TextoNormal"/>
      </w:pPr>
      <w:r>
        <w:t>f.- Finalmente, el escrito de recurso sostiene que los preceptos impugnados invaden positivamente las competencias autonómicas de desarrollo legislativo y ejecución en materia de enseñanza y de régimen estatutario de sus funcionarios, recogidas en los arts. 32.1 y 32.6 EACan. El legislador estatal excede la fijación del común denominador normativo que le corresponde en este ámbito, dejando vacías de contenido y de capacidad decisoria las competencias de la Comunidad Autónoma de Canarias.</w:t>
      </w:r>
    </w:p>
    <w:p w:rsidR="00163957" w:rsidRDefault="00163957" w:rsidP="00163957">
      <w:pPr>
        <w:pStyle w:val="TextoNormal"/>
      </w:pPr>
    </w:p>
    <w:p w:rsidR="00163957" w:rsidRDefault="00163957" w:rsidP="00163957">
      <w:pPr>
        <w:pStyle w:val="TextoNormal"/>
      </w:pPr>
      <w:r w:rsidRPr="00163957">
        <w:rPr>
          <w:rStyle w:val="NumeroAFNegritaCaracter"/>
        </w:rPr>
        <w:t>3</w:t>
      </w:r>
      <w:r>
        <w:t>. El 12 de febrero de 2013 el Pleno del Tribunal Constitucional acordó providencia de admisión a trámite del recurso de inconstitucionalidad planteado, que fue notificada el 18 de febrero de 2013 por la Secretaria de Justicia de este Tribunal al Gobierno de Canarias a través de la Dirección General del servicio jurídico, y se publicó en el “Boletín Oficial del Estado” de 22 de febrero de 2013. De conformidad con lo previsto en el art. 34 LOTC se dio traslado de las actuaciones al Congreso de los Diputados y al Senado, por conducto de sus Presidentes, y al Gobierno de la Nación, por conducto del Ministro de Justicia, con sello de recepción en este caso del 18 de febrero de 2013, para que pudieran personarse en el proceso y formular las alegaciones que estimasen pertinentes.</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4</w:t>
      </w:r>
      <w:r>
        <w:t>. El Abogado del Estado, mediante escrito registrado en este Tribunal Constitucional el 19 de febrero de 2013, se personó en el proceso en nombre del Gobierno, solicitando además prórroga por ocho días más del plazo concedido para formular alegaciones en el recurso. Esa prórroga, a contar a partir del día siguiente al de expiración del plazo ordinario, le fue concedida por el Pleno de este Tribunal Constitucional mediante providencia del 20 de febrero de 2013, que fue notificada a las partes en el proceso. La Abogacía del Estado evacuó el trámite de alegaciones al recurso de inconstitucionalidad dentro de la prórroga del plazo conferido, mediante escrito registrado en este Tribunal el 28 de febrero de 2013.</w:t>
      </w:r>
    </w:p>
    <w:p w:rsidR="00163957" w:rsidRDefault="00163957" w:rsidP="00163957">
      <w:pPr>
        <w:pStyle w:val="TextoNormal"/>
      </w:pPr>
    </w:p>
    <w:p w:rsidR="00163957" w:rsidRDefault="00163957" w:rsidP="00163957">
      <w:pPr>
        <w:pStyle w:val="TextoNormal"/>
      </w:pPr>
      <w:r w:rsidRPr="00163957">
        <w:rPr>
          <w:rStyle w:val="NumeroAFNegritaCaracter"/>
        </w:rPr>
        <w:t>5</w:t>
      </w:r>
      <w:r>
        <w:t>. El Presidente del Senado, por escrito registrado en este Tribunal el día 27 de febrero de 2013, interesó se tuviera por personada a dicha Cámara y por ofrecida su colaboración a los efectos del art. 88.1 LOTC. En los mismos términos, y mediante escrito también registrado el día 27 de septiembre de 2013, el Presidente del Congreso comunicó el acuerdo adoptado por la Mesa de la Cámara, que además remitía el asunto a la Dirección de Estudios, Análisis y Publicaciones y a la asesoría jurídica de la Secretaría General de la Cámara.</w:t>
      </w:r>
    </w:p>
    <w:p w:rsidR="00163957" w:rsidRDefault="00163957" w:rsidP="00163957">
      <w:pPr>
        <w:pStyle w:val="TextoNormal"/>
      </w:pPr>
    </w:p>
    <w:p w:rsidR="00163957" w:rsidRDefault="00163957" w:rsidP="00163957">
      <w:pPr>
        <w:pStyle w:val="TextoNormal"/>
      </w:pPr>
      <w:r w:rsidRPr="00163957">
        <w:rPr>
          <w:rStyle w:val="NumeroAFNegritaCaracter"/>
        </w:rPr>
        <w:t>6</w:t>
      </w:r>
      <w:r>
        <w:t>. En su escrito de alegaciones la Abogada del Estado interesa la íntegra desestimación del recurso de inconstitucionalidad. En él se fijan en primer lugar los términos del recurso presentado, identificando el objeto de impugnación y los títulos competenciales en conflicto. Los preceptos impugnados (arts. 3 y 4 del Real Decreto-ley 14/2012, de 20 de abril, de racionalización del gasto público educativo, cuyo contenido se reproduce), se enmarcan en una medida legislativa de urgencia que tiene como finalidad fundamental mejorar la eficiencia del gasto público en educación, proporcionando concretamente a las Comunidades Autónomas, que son las que soportan la mayor parte de ese peso, vías para alcanzar la estabilidad presupuestaria. A este respecto, el déficit autonómico máximo permitido para 2012 fue del 1,5 por 100 de su PIB. Estas medidas se consideran necesarias mientras las condiciones macroeconómicas impongan un escenario presupuestario de contención severa del gasto público, y por tanto tienen un carácter coyuntural o temporal, tal como indica la memoria de análisis de impacto normativo. El fundamento competencial invocado por el Estado se encuentra en la disposición final primera del Real Decreto-ley recurrido, que hace referencia, igual que la exposición de motivos, a los títulos recogidos en los apartados 1, 13, 18 y 30 del art. 149.1 CE. Mientras que por parte de la Comunidad Autónoma de Canarias entran en juego sus competencias de desarrollo legislativo y ejecución en materia de enseñanza (art. 32.1 EACan) y en relación con el régimen estatutario de sus funcionarios (art. 32.6 EACan).</w:t>
      </w:r>
    </w:p>
    <w:p w:rsidR="00163957" w:rsidRDefault="00163957" w:rsidP="00163957">
      <w:pPr>
        <w:pStyle w:val="TextoNormal"/>
      </w:pPr>
    </w:p>
    <w:p w:rsidR="00163957" w:rsidRDefault="00163957" w:rsidP="00163957">
      <w:pPr>
        <w:pStyle w:val="TextoNormal"/>
      </w:pPr>
      <w:r>
        <w:t>De modo paralelo al escrito de interposición del recurso, las alegaciones de la Abogada del Estado tratan de contraargumentar los dos motivos de inconstitucionalidad esgrimidos por el Gobierno de Canarias: por un lado, la inexistencia de una situación de extraordinaria y urgente necesidad así como de conexión de sentido entre ella y las medidas contenidas en los arts. 3 y 4 del Real Decreto-ley 14/2012, y por otro, la invasión estatal de las competencias autonómicas en materia de enseñanza y de régimen estatutario funcionarial.</w:t>
      </w:r>
    </w:p>
    <w:p w:rsidR="00163957" w:rsidRDefault="00163957" w:rsidP="00163957">
      <w:pPr>
        <w:pStyle w:val="TextoNormal"/>
      </w:pPr>
    </w:p>
    <w:p w:rsidR="00163957" w:rsidRDefault="00163957" w:rsidP="00163957">
      <w:pPr>
        <w:pStyle w:val="TextoNormal"/>
      </w:pPr>
      <w:r>
        <w:t xml:space="preserve">a) Se recoge en primer lugar la jurisprudencia constitucional consolidada sobre las exigencias derivadas del art. 86.1 CE para el uso por el Gobierno de su potestad legislativa extraordinaria, destacando que su control jurídico por este Tribunal no permite suplantar a los órganos constitucionales competentes para aprobar y convalidar un Real Decreto-ley, </w:t>
      </w:r>
      <w:r>
        <w:lastRenderedPageBreak/>
        <w:t>así como que este instrumento normativo tiene una especial aptitud para atender “coyunturas económicas problemáticas” (STC 23/1993, de 21 de enero, FJ 5), citándose varios ejemplos examinados por este Tribunal. En definitiva, “el presupuesto habilitante del Derecho-ley viene constituido por una situación de necesidad relativa respecto de una acción del Gobierno que requiera una actuación normativa inmediata de rango legal que no pueda satisfacerse a través de los procedimientos previstos para la elaboración de la ley”, condiciones que el Real Decreto-ley 14/2012 cumpliría claramente.</w:t>
      </w:r>
    </w:p>
    <w:p w:rsidR="00163957" w:rsidRDefault="00163957" w:rsidP="00163957">
      <w:pPr>
        <w:pStyle w:val="TextoNormal"/>
      </w:pPr>
    </w:p>
    <w:p w:rsidR="00163957" w:rsidRDefault="00163957" w:rsidP="00163957">
      <w:pPr>
        <w:pStyle w:val="TextoNormal"/>
      </w:pPr>
      <w:r>
        <w:t>La Abogada del Estado dedica una amplia argumentación a la exteriorización del presupuesto habilitante del Real Decreto-ley en su expediente de elaboración, en su exposición de motivos y en su debate de convalidación. Ese presupuesto se plasma en la situación de crisis económica sin precedentes que estaba atravesando nuestro país al tiempo de dictarse el Real Decreto-ley 14/2012. En ese contexto, en el que los organismos internacionales alertaban sobre su desconfianza en la deuda soberana de la zona Euro a partir de la crisis griega de 2010, la Unión Europea exige una reducción severa del déficit de las Administraciones públicas. Por esa razón, la exposición de motivos del Real Decreto-ley recurrido explica que se establecen medidas imprescindibles para la consolidación fiscal exigida desde Europa, proporcionando a las Administraciones educativas una serie de instrumentos para lograr alcanzarla en sus territorios. En esta línea insistió el Ministro de Educación, Cultura y Deporte en el debate parlamentario de convalidación del Real Decreto-ley: se trata de medidas excepcionales para atender una situación también excepcional, teniendo en cuenta que el 70 por 100 del presupuesto de las Comunidades Autónomas está vinculado a sanidad y educación.</w:t>
      </w:r>
    </w:p>
    <w:p w:rsidR="00163957" w:rsidRDefault="00163957" w:rsidP="00163957">
      <w:pPr>
        <w:pStyle w:val="TextoNormal"/>
      </w:pPr>
    </w:p>
    <w:p w:rsidR="00163957" w:rsidRDefault="00163957" w:rsidP="00163957">
      <w:pPr>
        <w:pStyle w:val="TextoNormal"/>
      </w:pPr>
      <w:r>
        <w:t>Respecto a la gravedad de la crisis económica y financiera sufrida por nuestro país se recogen citas de los informes de coyuntura económica del Banco de España. En los correspondientes a 2008 y 2009 se llega a hablar de una espiral catastrófica, no conocida desde el final de la segunda guerra mundial, que plantea el reto de la propia sostenibilidad de las finanzas públicas para hacer frente a sus obligaciones de pago y el peligro del contagio de la crisis de credibilidad fiscal griega. En el informe de 2011 se alerta de la prolongación y recrudecimiento de la crisis de la deuda soberana en la zona Euro, aconsejándose ajustes urgentes para corregir desequilibrios. La crisis se agudiza por los problemas financieros de los sistemas bancarios y del sector privado, donde se sigue destruyendo empleo, prosigue el ajuste inmobiliario y no se mejora la competitividad ni el apalancamiento financiero. Estas circunstancias habrían sido reconocidas por este Tribunal en su Auto 161/2012, de 13 de septiembre, FJ 4, en el que se rechaza el levantamiento de la suspensión de una orden de la Junta de Andalucía en materia de educación, por apelación a la necesidad de contener el gasto público en el contexto económico de crisis que se atraviesa.</w:t>
      </w:r>
    </w:p>
    <w:p w:rsidR="00163957" w:rsidRDefault="00163957" w:rsidP="00163957">
      <w:pPr>
        <w:pStyle w:val="TextoNormal"/>
      </w:pPr>
    </w:p>
    <w:p w:rsidR="00163957" w:rsidRDefault="00163957" w:rsidP="00163957">
      <w:pPr>
        <w:pStyle w:val="TextoNormal"/>
      </w:pPr>
      <w:r>
        <w:t xml:space="preserve">En cuanto a la necesidad de acometer la corrección del déficit público se invoca el libro amarillo de presentación del proyecto de presupuestos generales del Estado para 2012, en el que se destacaba la existencia de una desviación de 2,5 puntos del déficit reconocido por el Gobierno saliente respecto del calculado por el entrante tras las elecciones de finales de 2011 (8,5 por 100 del PIB nacional, en vez del 6 por 100, equivalente a casi 27.000 millones de euros). Esta circunstancia obligó a tomar medidas urgentes de ajuste, puesto que la Ley de presupuestos generales para 2012 pasó a fijar finalmente un objetivo de déficit del 5,3 por 100 sobre el PIB para el conjunto de las Administraciones públicas. Se destaca además </w:t>
      </w:r>
      <w:r>
        <w:lastRenderedPageBreak/>
        <w:t>que el gasto educativo representa un importante porcentaje de ese gasto público. En concreto, un 10,99 por 100 en 2010, del que la mayor parte corresponde a las Comunidades Autónomas, según datos oficiales del Ministerio del ramo, que contienen la serie histórica desglosada entre 2000 y 2010, y que se adjuntan al escrito de alegaciones. Como ya se ha apuntado, el Ministro de Educación, Cultura y Deporte insistió en su comparecencia parlamentaria en que en el último ejercicio económico la mayor desviación de déficit público se produjo en el gasto autonómico, cuyos componentes principales son el gasto educativo y el sanitario. De ahí que el Gobierno quisiera abrir vías a las Comunidades Autónomas para introducir criterios de racionalización y eficiencia en la prestación de servicios básicos como el de la educación.</w:t>
      </w:r>
    </w:p>
    <w:p w:rsidR="00163957" w:rsidRDefault="00163957" w:rsidP="00163957">
      <w:pPr>
        <w:pStyle w:val="TextoNormal"/>
      </w:pPr>
    </w:p>
    <w:p w:rsidR="00163957" w:rsidRDefault="00163957" w:rsidP="00163957">
      <w:pPr>
        <w:pStyle w:val="TextoNormal"/>
      </w:pPr>
      <w:r>
        <w:t>b) El escrito de alegaciones contiene también una extensa justificación de los cuatro títulos competenciales referidos en la disposición final primera del Real Decreto-ley 14/2012, y que servirían como fundamento para la adopción de las medidas contenidas en los arts. 3 y 4.</w:t>
      </w:r>
    </w:p>
    <w:p w:rsidR="00163957" w:rsidRDefault="00163957" w:rsidP="00163957">
      <w:pPr>
        <w:pStyle w:val="TextoNormal"/>
      </w:pPr>
    </w:p>
    <w:p w:rsidR="00163957" w:rsidRDefault="00163957" w:rsidP="00163957">
      <w:pPr>
        <w:pStyle w:val="TextoNormal"/>
      </w:pPr>
      <w:r>
        <w:t>En cuanto a la competencia transversal del art. 149.1.1 CE (condiciones básicas que garanticen la igualdad de todos los españoles en el ejercicio de los derechos y en el cumplimiento de los deberes constitucionales), sin negar su relevancia, se remarca que no es un título prevalente que proporcione cobertura autónoma a la norma. Más bien tiene una función habilitante de competencias más específicas y conexas con derechos constitucionales, sobre todo para procurar cierta homogeneidad social en su ejercicio, y por tanto, garantizar la uniformidad de las condiciones de vida en el territorio nacional. Con cita de nuestra STC 61/1997, de 20 de marzo, FFJJ 7 y 8, se indica que el objeto de este título competencial recae sobre derechos y deberes constitucionales básicos, y no sobre las materias en las que éstos se insertan.</w:t>
      </w:r>
    </w:p>
    <w:p w:rsidR="00163957" w:rsidRDefault="00163957" w:rsidP="00163957">
      <w:pPr>
        <w:pStyle w:val="TextoNormal"/>
      </w:pPr>
    </w:p>
    <w:p w:rsidR="00163957" w:rsidRDefault="00163957" w:rsidP="00163957">
      <w:pPr>
        <w:pStyle w:val="TextoNormal"/>
      </w:pPr>
      <w:r>
        <w:t>Por su parte, el art. 149.1.18 CE, al permitir fijar las bases del régimen estatutario de los funcionarios públicos, prestaría cobertura especialmente a las medidas del Real Decreto-ley relativas al profesorado universitario, con preferencia a la prestada por las competencias estatales sobre educación. Sin embargo, respecto a las medidas sobre profesorado no universitario entiende la Abogada del Estado que sería prevalente la invocación del art. 149.1.30 CE, ya que su finalidad prioritaria sería la garantía de la calidad mínima de la enseñanza, aunque aquéllas repercutan en la organización administrativa y en el acceso a puestos de trabajo en el sector público. De todas formas, no es descartable la invocación del apartado 18 del art. 149.1 CE, cuya finalidad es la garantía a los administrados de un tratamiento común ante las Administraciones públicas. Además, el art. 2.3 LEEP, remite, en el caso de determinados colectivos de empleados como el personal docente y sanitario, a la legislación específica estatal y autonómica que se dicte para regularlos. Y de hecho, respecto al personal sanitario, hace tiempo que el legislador estatal ha establecido previsiones concretas sobre su horario de trabajo a través de los arts. 46 y ss. de la Ley 55/2003, de 16 de diciembre, del estatuto marco del personal estatutario de los servicios de salud, de modo similar a como ahora pasa a hacerlo el Real Decreto-ley impugnado respecto al personal docente no universitario.</w:t>
      </w:r>
    </w:p>
    <w:p w:rsidR="00163957" w:rsidRDefault="00163957" w:rsidP="00163957">
      <w:pPr>
        <w:pStyle w:val="TextoNormal"/>
      </w:pPr>
    </w:p>
    <w:p w:rsidR="00163957" w:rsidRDefault="00163957" w:rsidP="00163957">
      <w:pPr>
        <w:pStyle w:val="TextoNormal"/>
      </w:pPr>
      <w:r>
        <w:t>En relación con el art. 149.1.30 CE, el escrito de alegaciones recuerda que este título consta de dos incisos, cuyo alcance viene bien descrito en la STC 214/2012, de 14 de no</w:t>
      </w:r>
      <w:r>
        <w:lastRenderedPageBreak/>
        <w:t>viembre, FJ 3, que a su vez proviene de la STC 184/2012, de 17 de octubre, y que se reproduce en su integridad. La controversia en el presente recurso se proyecta sobre el alcance material y el uso que se hace del segundo inciso, la competencia estatal sobre las normas básicas de desarrollo del art. 27 CE, dado que se alega el exceso en el que ha incurrido el Gobierno. Si bien esas bases tienen una gran variedad en función del ámbito sobre el que recaigan, no tienen por qué constreñirse sólo a pautas genéricas y abstractas, pudiendo comprender reglas de distinto tipo, topes máximos, niveles mínimos, tramos, e incluso actos de naturaleza ejecutiva (STC 222/2006, de 6 de julio, FJ 3). A la vez, con carácter general, esa regulación no puede ser de tanto detalle que no deje espacio para el desarrollo autonómico. Al final, el contenido y alcance concreto de lo básico será determinado por el legislador estatal, siempre sin alterar el orden constitucional y estatutario y sin perjuicio del control que corresponde hacer a este Tribunal Constitucional (STC 141/1993, de 22 de abril, FJ 3). En este sentido, por ejemplo, la STC 131/1996, de 11 de julio, consideró básica la fijación por el Estado de un porcentaje mínimo de profesores doctores para cada ciclo universitario, así como de profesorado funcionario para las universidades públicas, en cuanto medida de garantía de un mínimo de calidad de la enseñanza, a pesar del reflejo que esas previsiones tienen en los aspectos organizativos de las universidades. Lo mismo ocurriría en el caso del Real Decreto-ley recurrido, en cuanto contiene medidas sobre la duración de la jornada docente y sobre las sustituciones del profesorado, que tienen sin duda consecuencias de carácter organizativo en el sistema educativo, pero cuyo sentido primordial es asegurar un nivel mínimo del servicio docente en todo el Estado. Además, esos efectos organizativos son de carácter indirecto y reflejo, pues dejan un margen amplio de plasmación a las Comunidades Autónomas.</w:t>
      </w:r>
    </w:p>
    <w:p w:rsidR="00163957" w:rsidRDefault="00163957" w:rsidP="00163957">
      <w:pPr>
        <w:pStyle w:val="TextoNormal"/>
      </w:pPr>
    </w:p>
    <w:p w:rsidR="00163957" w:rsidRDefault="00163957" w:rsidP="00163957">
      <w:pPr>
        <w:pStyle w:val="TextoNormal"/>
      </w:pPr>
      <w:r>
        <w:t xml:space="preserve">De todos modos, para la Abogada del Estado el principal título competencial de cobertura del Real Decreto-ley 14/2012, debido a la finalidad de esta disposición, está en el apartado 13 del art. 149.1 CE, en conexión con el principio de coordinación de las haciendas públicas por parte del Estado (art. 156 CE). Recuerda que la jurisprudencia de este Tribunal [SSTC 186/1988, de 17 de octubre, FJ 2, y 133/1997, de 16 de julio, FJ 4 c)] sostiene que ese título ampara acciones unitarias en todo el territorio del Estado para la consecución de objetivos de política económica nacional, efectuando incluso una planificación de detalle, aunque sin poder vaciar por ello las competencias asumidas por las Comunidades Autónomas. Más en concreto, cabe establecer por esta vía medidas de contención de gastos corrientes y de reducción del déficit público, en línea con las exigencias de estabilidad presupuestaria y de prohibición de un déficit estructural superior al que se establezca, que están ahora contempladas en el art. 135 CE y son desarrolladas por la Ley Orgánica 2/2012, de 27 de abril, de estabilidad presupuestaria y sostenibilidad financiera. Así, la jurisprudencia constitucional habría admitido la fijación, con apoyo en los arts. 149.1.13 y 156.1 CE (y no en el art. 149.1.18 CE), de techos de gasto de las Administraciones públicas a través de los presupuestos generales del Estado como medida de política económica. Es el caso de la imposición de límites al incremento global de retribuciones de los empleados públicos (no de los empleados autonómicos considerados individualmente) o de restricciones al volumen cuantitativo de las plazas contenidas en la oferta de empleo público (SSTC 63/1986, de 21 de mayo, FFJJ 6 y 11, y 148/2006, de 11 de mayo, FJ 4). Son medidas de política económica general, y no de régimen estatutario de los funcionarios públicos, puesto que no se circunscriben a este colectivo, sino que se aplican al más general de los empleados públicos, y tienen carácter coyuntural, sin integrarse propiamente en el estatus funcionarial. Así ocurriría en el caso del Real Decreto-ley 14/2012, que contiene medidas de ordenación general de </w:t>
      </w:r>
      <w:r>
        <w:lastRenderedPageBreak/>
        <w:t>la economía, no destinadas a los funcionarios de las Comunidades Autónomas, sino a todos los empleados públicos de las Administraciones educativas, que son adoptadas con carácter excepcional o transitorio y no estructural, para atender un escenario presupuestario concreto. En consecuencia, el título competencial autonómico de contraste sería el del art. 31.4 EACan, sobre la ordenación y planificación de la actividad económica regional. Sin perjuicio de que, si al final se determinase la preferencia de aplicar el art. 149.1.18 CE como título competencial, las medidas adoptadas sobre duración mínima de la jornada docente y sobre el periodo mínimo para proceder al nombramiento de interinos para sustitución de profesores, encontrarían sustento en el mismo. En este caso correspondería a la Comunidad Autónoma de Canarias, de conformidad con el art. 32.1 EACan, el desarrollo y ejecución de esas prescripciones.</w:t>
      </w:r>
    </w:p>
    <w:p w:rsidR="00163957" w:rsidRDefault="00163957" w:rsidP="00163957">
      <w:pPr>
        <w:pStyle w:val="TextoNormal"/>
      </w:pPr>
    </w:p>
    <w:p w:rsidR="00163957" w:rsidRDefault="00163957" w:rsidP="00163957">
      <w:pPr>
        <w:pStyle w:val="TextoNormal"/>
      </w:pPr>
      <w:r>
        <w:t>c) Finalmente, el escrito de alegaciones defiende más en detalle la constitucionalidad de los dos preceptos impugnados del Real Decreto-ley 14/2012, frente a la negación por la parte recurrente de que constituyan bases y coordinación de la planificación general de la actividad económica por no tener verdadera relación con la dirección de la economía. Sin embargo, se sostiene que ambos artículos contienen medidas coyunturales de carácter básico para la contención del déficit público, dotadas de flexibilidad, al ofrecerse a las Comunidades Autónomas como herramientas complementarias para el cumplimiento mediante su concurso del compromiso vinculante de alcanzar la estabilidad presupuestaria pública.</w:t>
      </w:r>
    </w:p>
    <w:p w:rsidR="00163957" w:rsidRDefault="00163957" w:rsidP="00163957">
      <w:pPr>
        <w:pStyle w:val="TextoNormal"/>
      </w:pPr>
    </w:p>
    <w:p w:rsidR="00163957" w:rsidRDefault="00163957" w:rsidP="00163957">
      <w:pPr>
        <w:pStyle w:val="TextoNormal"/>
      </w:pPr>
      <w:r>
        <w:t>En concreto, las medidas recurridas inciden en las partidas sobre profesorado de los presupuestos públicos, cuya relevancia es notable, atendiendo a los datos aportados por un informe del Ministerio de Educación, Cultura y Deporte, elaborado en relación con este recurso y que se adjunta al escrito de alegaciones. Los costes de personal consignados para 2012 ascendieron a “29.522 millones de euros, un 56 por 100 del total del gasto público educativo, que incluidas las cotizaciones sociales imputadas representaría el 64,0 por 100; en el caso de las Administraciones educativas, se eleva al 71,1 por 100”. Esos gastos corresponden a una plantilla de más de 682.000 profesores de centros de enseñanzas de régimen general no universitarias, y de más de 37.000 docentes en centros de enseñanzas de régimen especial.</w:t>
      </w:r>
    </w:p>
    <w:p w:rsidR="00163957" w:rsidRDefault="00163957" w:rsidP="00163957">
      <w:pPr>
        <w:pStyle w:val="TextoNormal"/>
      </w:pPr>
    </w:p>
    <w:p w:rsidR="00163957" w:rsidRDefault="00163957" w:rsidP="00163957">
      <w:pPr>
        <w:pStyle w:val="TextoNormal"/>
      </w:pPr>
      <w:r>
        <w:t>Pues bien, el art. 3 del Real Decreto-ley 14/2012 establece dos previsiones básicas que constituyen un mínimo común denominador para garantizar una calidad homogénea de los servicios docentes en todo el territorio estatal, que las Comunidades Autónomas pueden concretar. Se trata de un mínimo de horas lectivas de los profesores de centros docentes públicos y concertados, y de un máximo normativo para aplicar el régimen de compensación de los casos de exceso de horas docentes con horas complementarias. Esas medidas, adoptadas en virtud de la competencia estatal de dirección de la actividad económica general y de coordinación en materia de hacienda pública (arts. 149.1.13 y 156.1 CE), tendrían además un carácter coyuntural o temporal.</w:t>
      </w:r>
    </w:p>
    <w:p w:rsidR="00163957" w:rsidRDefault="00163957" w:rsidP="00163957">
      <w:pPr>
        <w:pStyle w:val="TextoNormal"/>
      </w:pPr>
    </w:p>
    <w:p w:rsidR="00163957" w:rsidRDefault="00163957" w:rsidP="00163957">
      <w:pPr>
        <w:pStyle w:val="TextoNormal"/>
      </w:pPr>
      <w:r>
        <w:t>En cuanto a su impacto económico, se aportan datos estimativos de la reducción de profesorado que la medida puede comportar y, por tanto, de los gastos de personal que permitiría reducir, desglosados por niveles de enseñanza y excluyendo los centros con plantilla inferior a diez profesores. En total, los gastos corrientes por esos conceptos podrían rebajarse en 840 millones de euros, aunque el impacto final dependerá del grado de implantación de la medida en cada territorio.</w:t>
      </w:r>
    </w:p>
    <w:p w:rsidR="00163957" w:rsidRDefault="00163957" w:rsidP="00163957">
      <w:pPr>
        <w:pStyle w:val="TextoNormal"/>
      </w:pPr>
    </w:p>
    <w:p w:rsidR="00163957" w:rsidRDefault="00163957" w:rsidP="00163957">
      <w:pPr>
        <w:pStyle w:val="TextoNormal"/>
      </w:pPr>
      <w:r>
        <w:t>Se recuerda además que el art. 17 de la Ley 2/2012, de 29 de junio, de presupuestos generales del Estado para 2012, estableció también el patrón de las veinticinco horas lectivas semanales por profesor para el cálculo del importe de los conciertos educativos por las Administraciones, y que la disposición adicional septuagésima primera de la misma ley también pasó a establecer la jornada mínima de trabajo para el sector público en general.</w:t>
      </w:r>
    </w:p>
    <w:p w:rsidR="00163957" w:rsidRDefault="00163957" w:rsidP="00163957">
      <w:pPr>
        <w:pStyle w:val="TextoNormal"/>
      </w:pPr>
    </w:p>
    <w:p w:rsidR="00163957" w:rsidRDefault="00163957" w:rsidP="00163957">
      <w:pPr>
        <w:pStyle w:val="TextoNormal"/>
      </w:pPr>
      <w:r>
        <w:t>De igual manera, el art. 4 del Real Decreto-ley 14/2012, que limita el nombramiento de funcionarios docentes interinos para cubrir sustituciones, también tendría su fundamento en el art. 149.1.13 CE como medida coyuntural de contención del gasto público en aras de alcanzar el objetivo de la estabilidad presupuestaria, mejorando la eficiencia de los recursos humanos de las Administraciones educativas. Esta prescripción no menoscaba la potestad autonómica de autoorganización para la prestación de sus servicios públicos, valorando sus concretas necesidades y recursos humanos disponibles. El precepto establece un periodo de diez días lectivos para poder acudir al nombramiento de personal interino, lo cual tiene carácter básico por tratarse de un mínimo, que no impide a las Comunidades Autónomas ejercer sus competencias sobre sus servicios.</w:t>
      </w:r>
    </w:p>
    <w:p w:rsidR="00163957" w:rsidRDefault="00163957" w:rsidP="00163957">
      <w:pPr>
        <w:pStyle w:val="TextoNormal"/>
      </w:pPr>
    </w:p>
    <w:p w:rsidR="00163957" w:rsidRDefault="00163957" w:rsidP="00163957">
      <w:pPr>
        <w:pStyle w:val="TextoNormal"/>
      </w:pPr>
      <w:r>
        <w:t>Su impacto económico no es fácil de calcular, pero rondaría los 1.900 euros por cada supuesto de posible sustitución en los centros públicos (considerando que las retribuciones por todos los conceptos del profesorado interino están en torno a los 190 euros por día lectivo). En total, atendiendo al volumen referido de las plantillas docentes, antes referido, “por cada punto porcentual en la tasa de sustituciones cabe estimar el impacto presupuestario en una cifra cercana a los 9,3 millones de euros”. La medida también incidiría en el coste de los conciertos educativos, cuyo cálculo incluye el pago de las sustituciones de profesorado.</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12 de abril de 2016se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este recurso de inconstitucionalidad, el Gobierno de Canarias ha impugnado los arts. 3 y 4 del Real Decreto-ley 14/2012, de 20 de abril, de medidas urgentes de racionalización del gasto público en el ámbito educativo. Por un lado, se aduce la infracción del art. 86.1 CE, tanto por no existir una situación de extraordinaria y urgente necesidad que justifique la aprobación de esas medidas mediante Real Decreto-ley del Gobierno de la Nación, como por negarse la relación de conexión de las mismas con esa situación excepcional. Por otro lado, se argumenta la vulneración de las competencias asumidas por la Comunidad Autónoma de Canarias en los arts. 32.1 y 32.6 de su Estatuto de Autonomía, aprobado por Ley Orgánica 10/1982, de 10 de agosto (EACan), en materia de enseñanza y de régimen estatutario de sus funcionarios.</w:t>
      </w:r>
    </w:p>
    <w:p w:rsidR="00163957" w:rsidRDefault="00163957" w:rsidP="00163957">
      <w:pPr>
        <w:pStyle w:val="TextoNormal"/>
      </w:pPr>
    </w:p>
    <w:p w:rsidR="00163957" w:rsidRDefault="00163957" w:rsidP="00163957">
      <w:pPr>
        <w:pStyle w:val="TextoNormal"/>
      </w:pPr>
      <w:r>
        <w:t xml:space="preserve">Por su parte, la Abogada del Estado solicita la desestimación del recurso de inconstitucionalidad en su integridad por considerar que existía en el momento de aprobarse el Real Decreto-ley una situación de grave crisis económica y de necesidad acuciante de corrección de un abultado déficit público, y que cada una de las medidas contenidas en la disposición legislativa de urgencia estaban orientadas a la consecución de un importante ahorro para las </w:t>
      </w:r>
      <w:r>
        <w:lastRenderedPageBreak/>
        <w:t>arcas públicas, estimado en más de 3.700 millones de euros entre todas ellas. Además, sostiene que todas las medidas han sido adoptadas en ejercicio de competencias de titularidad estatal (</w:t>
      </w:r>
      <w:r w:rsidRPr="00163957">
        <w:rPr>
          <w:i/>
        </w:rPr>
        <w:t>ex</w:t>
      </w:r>
      <w:r>
        <w:t xml:space="preserve"> art. 149.1.1, 13, 18 y 30 CE), sin invasión de las que corresponden a la Comunidad Autónoma de Canarias.</w:t>
      </w:r>
    </w:p>
    <w:p w:rsidR="00163957" w:rsidRDefault="00163957" w:rsidP="00163957">
      <w:pPr>
        <w:pStyle w:val="TextoNormal"/>
      </w:pPr>
    </w:p>
    <w:p w:rsidR="00163957" w:rsidRDefault="00163957" w:rsidP="00163957">
      <w:pPr>
        <w:pStyle w:val="TextoNormal"/>
      </w:pPr>
      <w:r w:rsidRPr="00163957">
        <w:rPr>
          <w:rStyle w:val="NumeroAFNegritaCaracter"/>
        </w:rPr>
        <w:t>2</w:t>
      </w:r>
      <w:r>
        <w:t>. Para resolver el presente recurso de inconstitucionalidad hemos de tener en cuenta lo afirmado en la STC 26/2016, de 18 de febrero, que ha ratificado la competencia estatal para la regulación recogida en los preceptos impugnados. Igualmente, nuestro criterio ha quedado plasmado en la STC 54/2016, de 17 de marzo.</w:t>
      </w:r>
    </w:p>
    <w:p w:rsidR="00163957" w:rsidRDefault="00163957" w:rsidP="00163957">
      <w:pPr>
        <w:pStyle w:val="TextoNormal"/>
      </w:pPr>
    </w:p>
    <w:p w:rsidR="00163957" w:rsidRDefault="00163957" w:rsidP="00163957">
      <w:pPr>
        <w:pStyle w:val="TextoNormal"/>
      </w:pPr>
      <w:r w:rsidRPr="00163957">
        <w:rPr>
          <w:rStyle w:val="NumeroAFNegritaCaracter"/>
        </w:rPr>
        <w:t>3</w:t>
      </w:r>
      <w:r>
        <w:t>. En cuanto a la posible vulneración del art. 86.1 CE por parte del Real Decreto-ley 14/2012, de 20 de abril, conforme a nuestra doctrina debemos examinar en primer lugar, la concurrencia de la situación de urgencia y necesidad que se pretendía afrontar con la aprobación del Real Decreto-ley para, a continuación, caso de resultar procedente, abordar el estudio de las medidas concretamente impugnadas y su conexión de sentido con dicha situación de urgencia y necesidad (STC 26/2016, FJ 2).</w:t>
      </w:r>
    </w:p>
    <w:p w:rsidR="00163957" w:rsidRDefault="00163957" w:rsidP="00163957">
      <w:pPr>
        <w:pStyle w:val="TextoNormal"/>
      </w:pPr>
    </w:p>
    <w:p w:rsidR="00163957" w:rsidRDefault="00163957" w:rsidP="00163957">
      <w:pPr>
        <w:pStyle w:val="TextoNormal"/>
      </w:pPr>
      <w:r>
        <w:t>Por lo que hace a la definición de la concurrencia del presupuesto habilitante, hemos apreciado en el fundamento jurídico 3 de la STC 26/2016, de 18 de febrero, que “la motivación ofrecida en el preámbulo de la norma y desarrollada por el Ministro en el debate parlamentario de convalidación, permite, por tanto, afirmar que el Gobierno ha justificado de manera suficiente, explícita y razonada la concurrencia de una situación de extraordinaria y urgente necesidad justificativa del recurso a la legislación de urgencia. Se trata, así, de hacer posible el cumplimiento de los objetivos de déficit comprometidos por España y con esta finalidad se adoptan una serie de medidas de racionalización del gasto educativo dirigidas al cumplimiento del mencionado objetivo”.</w:t>
      </w:r>
    </w:p>
    <w:p w:rsidR="00163957" w:rsidRDefault="00163957" w:rsidP="00163957">
      <w:pPr>
        <w:pStyle w:val="TextoNormal"/>
      </w:pPr>
    </w:p>
    <w:p w:rsidR="00163957" w:rsidRDefault="00163957" w:rsidP="00163957">
      <w:pPr>
        <w:pStyle w:val="TextoNormal"/>
      </w:pPr>
      <w:r>
        <w:t>En cuanto a la conexión de sentido entre la situación de necesidad definida y las medidas que en el Real Decreto-ley se adoptan, debemos examinarla en relación a cada uno de los preceptos que han sido impugnados por este motivo. Pero antes resulta pertinente recordar las consideraciones previas en atención al campo material sobre el que incide el Real Decreto-ley 14/2012, que es la educación, y que comporta matices especiales para el empleo de esta fórmula legislativa de urgencia y a las que nos referimos en la citada STC 26/2016, FJ 4.</w:t>
      </w:r>
    </w:p>
    <w:p w:rsidR="00163957" w:rsidRDefault="00163957" w:rsidP="00163957">
      <w:pPr>
        <w:pStyle w:val="TextoNormal"/>
      </w:pPr>
    </w:p>
    <w:p w:rsidR="00163957" w:rsidRDefault="00163957" w:rsidP="00163957">
      <w:pPr>
        <w:pStyle w:val="TextoNormal"/>
      </w:pPr>
      <w:r>
        <w:t xml:space="preserve">Por un lado, el carácter compartido de la competencia normativa de desarrollo del art. 27 CE que hace que la regulación estatal precise de ordinario de un desarrollo, que no corresponde hacer al Estado, sino a las Comunidades Autónomas. De manera que, aunque la efectividad real o material de una medida no sea estrictamente inmediata, al estar necesitada de ese desarrollo e implementación, a efectos de valorar su urgencia o perentoriedad es preciso atender a la justificación de la necesidad de la actuación expedita del Estado en el ejercicio de sus competencias, y no estrictamente de la cadena de efectos sucesivos que sus decisiones deban tener para producir un impacto final en la realidad. Por otro lado, se da la circunstancia de que el sistema educativo se desarrolla en cursos escolares que se programan y se suceden anualmente, aunque sin coincidir con el año natural. De manera que, cuando una medida de reforma educativa afecte a la organización y prestación del servicio docente, la situación extraordinaria y urgente puede consistir en la necesidad de llegar a tiempo al comienzo del siguiente curso (y si es posible al periodo previo de su programación) para que </w:t>
      </w:r>
      <w:r>
        <w:lastRenderedPageBreak/>
        <w:t>esa reforma pueda ser efectiva sin provocar dificultades insalvables para los responsables de la prestación del servicio educativo involucrados en su aplicación.</w:t>
      </w:r>
    </w:p>
    <w:p w:rsidR="00163957" w:rsidRDefault="00163957" w:rsidP="00163957">
      <w:pPr>
        <w:pStyle w:val="TextoNormal"/>
      </w:pPr>
    </w:p>
    <w:p w:rsidR="00163957" w:rsidRDefault="00163957" w:rsidP="00163957">
      <w:pPr>
        <w:pStyle w:val="TextoNormal"/>
      </w:pPr>
      <w:r>
        <w:t>Esas dos características permiten descartar como argumento para negar la posibilidad de regular por real decreto-ley aspectos como el número de horas lectivas por profesor establecidas en el art. 3, o el régimen de sustituciones de profesores del art. 4, en la medida en que no son susceptibles de aplicación inmediata. Es cierto que ambas medidas constituyen bases que tienen que ser desarrolladas por la Comunidad Autónoma, y que por lo tanto su impacto en el objetivo de estabilidad presupuestaria sólo se verificaría si su aplicación condujese a una eventual reducción del profesorado de los centros, que es algo que les corresponde a ellas decidir. Pero precisamente por estas circunstancias se pone más de manifiesto la urgencia de la actuación estatal, que no tiene por objetivo su aplicación en el curso escolar 2011-2012 en el que se adoptó, sino en los siguientes cursos escolares, y mientras perdure la situación de ajuste presupuestario extraordinario. Solo adoptando estas medidas de impacto sobre la capacidad de las plantillas docentes antes del comienzo del curso 2012-2013, que a su vez incidirán, cuando se concreten y apliquen, en el volumen de recursos humanos necesarios para la prestación de los servicios ofrecidos en los centros educativos, será posible para las Comunidades Autónomas planificar las necesidades docentes para ese nuevo curso y plasmar su previsible impacto en los siguientes presupuestos públicos a aprobar, que en este caso fueron los de 2013.</w:t>
      </w:r>
    </w:p>
    <w:p w:rsidR="00163957" w:rsidRDefault="00163957" w:rsidP="00163957">
      <w:pPr>
        <w:pStyle w:val="TextoNormal"/>
      </w:pPr>
    </w:p>
    <w:p w:rsidR="00163957" w:rsidRDefault="00163957" w:rsidP="00163957">
      <w:pPr>
        <w:pStyle w:val="TextoNormal"/>
      </w:pPr>
      <w:r>
        <w:t>Por tanto, no sólo existía al tiempo de aprobarse el Real Decreto-ley 14/2012 una situación económica de emergencia en el ajuste de las cuentas públicas al umbral máximo de déficit permitido, sino que las medidas en el sector educativo que el Gobierno de la Nación consideró oportuno aprobar para afrontarla, y que han sido recurridas por el Gobierno de Canarias, exigían por la propia naturaleza de la materia su adopción inmediata, sin confiarlas al ritmo de tramitación propio del legislador ordinario, con el fin de que pudiesen tener impacto en los siguientes presupuestos públicos educativos a aprobar, y por tanto en el logro de la consolidación fiscal que se consideraba clave para salir de la crisis económica.</w:t>
      </w:r>
    </w:p>
    <w:p w:rsidR="00163957" w:rsidRDefault="00163957" w:rsidP="00163957">
      <w:pPr>
        <w:pStyle w:val="TextoNormal"/>
      </w:pPr>
    </w:p>
    <w:p w:rsidR="00163957" w:rsidRDefault="00163957" w:rsidP="00163957">
      <w:pPr>
        <w:pStyle w:val="TextoNormal"/>
      </w:pPr>
      <w:r>
        <w:t>En definitiva, la conexión de sentido no puede valorarse aquí por la efectividad práctica o material de la medida adoptada sino en cuanto que la norma produce el efecto inmediato de permitir a las Comunidades Autónomas tomar a su vez las decisiones que les corresponden sobre la impartición de este tipo de enseñanzas. Por otra parte, no puede obviarse que, tanto la regulación prevista en el art. 3 del Real Decreto ley tiene como finalidad la contención de los gastos de personal docente, mediante la fijación de un mínimo de dedicación lectiva que pretende maximizar el aprovechamiento de los recursos de personal docente de los centros. Conforme a la exposición de motivos del Real Decreto-ley 14/2012, el objetivo que inspira las medidas en él introducidas es la contención del gasto público y la consecución del equilibrio presupuestario; también el Ministro de Educación, Cultura y Deporte, en el trámite de convalidación, vinculó el cuestionado art. 3 con el logro de la solidez presupuestaria.</w:t>
      </w:r>
    </w:p>
    <w:p w:rsidR="00163957" w:rsidRDefault="00163957" w:rsidP="00163957">
      <w:pPr>
        <w:pStyle w:val="TextoNormal"/>
      </w:pPr>
    </w:p>
    <w:p w:rsidR="00163957" w:rsidRDefault="00163957" w:rsidP="00163957">
      <w:pPr>
        <w:pStyle w:val="TextoNormal"/>
      </w:pPr>
      <w:r>
        <w:t>Asimismo, el art. 4 del Real Decreto-ley al prever la no cobertura de las bajas y ausencias breves de profesores mediante la contratación de personal interino, con el que no se deberán cargar los centros docentes, es una medida de contención de gasto para contribuir al objetivo conjunto de la reducción del déficit público.</w:t>
      </w:r>
    </w:p>
    <w:p w:rsidR="00163957" w:rsidRDefault="00163957" w:rsidP="00163957">
      <w:pPr>
        <w:pStyle w:val="TextoNormal"/>
      </w:pPr>
    </w:p>
    <w:p w:rsidR="00163957" w:rsidRDefault="00163957" w:rsidP="00163957">
      <w:pPr>
        <w:pStyle w:val="TextoNormal"/>
      </w:pPr>
      <w:r>
        <w:lastRenderedPageBreak/>
        <w:t>Por tanto, también desde esta perspectiva, es posible apreciar la existencia de conexión de sentido entre la concreta medida y la situación de urgencia a la que se pretende hacer frente.</w:t>
      </w:r>
    </w:p>
    <w:p w:rsidR="00163957" w:rsidRDefault="00163957" w:rsidP="00163957">
      <w:pPr>
        <w:pStyle w:val="TextoNormal"/>
      </w:pPr>
    </w:p>
    <w:p w:rsidR="00163957" w:rsidRDefault="00163957" w:rsidP="00163957">
      <w:pPr>
        <w:pStyle w:val="TextoNormal"/>
      </w:pPr>
      <w:r w:rsidRPr="00163957">
        <w:rPr>
          <w:rStyle w:val="NumeroAFNegritaCaracter"/>
        </w:rPr>
        <w:t>4</w:t>
      </w:r>
      <w:r>
        <w:t>. Resuelta la cuestión relativa al empleo por el Gobierno del procedimiento legislativo de urgencia, es preciso acometer las alegaciones relacionadas con la falta de competencia estatal para la adopción de los arts. 3 y 4 del Real Decreto-ley 14/2012, y concretamente con el exceso en la fijación de las bases que corresponde establecer al Estado en materias de legislación compartida.</w:t>
      </w:r>
    </w:p>
    <w:p w:rsidR="00163957" w:rsidRDefault="00163957" w:rsidP="00163957">
      <w:pPr>
        <w:pStyle w:val="TextoNormal"/>
      </w:pPr>
    </w:p>
    <w:p w:rsidR="00163957" w:rsidRDefault="00163957" w:rsidP="00163957">
      <w:pPr>
        <w:pStyle w:val="TextoNormal"/>
      </w:pPr>
      <w:r>
        <w:t>En cuanto al ajuste competencial de las medidas contenidas en los preceptos impugnados, y concretamente respecto al exceso en la fijación de las bases que corresponde establecer al Estado en materias de legislación compartida, nos hemos pronunciado de manera específica en el fundamento jurídico 6, apartados a), b) y c) de la STC 26/2016, de 18 de febrero, al que necesariamente nos tenemos que remitir.</w:t>
      </w:r>
    </w:p>
    <w:p w:rsidR="00163957" w:rsidRDefault="00163957" w:rsidP="00163957">
      <w:pPr>
        <w:pStyle w:val="TextoNormal"/>
      </w:pPr>
    </w:p>
    <w:p w:rsidR="00163957" w:rsidRDefault="00163957" w:rsidP="00163957">
      <w:pPr>
        <w:pStyle w:val="TextoNormal"/>
      </w:pPr>
      <w:r>
        <w:t>Como allí dijimos, a efectos de determinar el concreto título competencial que pueda prestar cobertura a las previsiones recurridas y, así valorar si esa cobertura es suficiente de acuerdo con su alcance y contenido, hemos de tener en cuenta que, conforme a nuestra doctrina, cuando sea posible la identificación de más de un título competencial, habrá que estar al título prevalente, que de ordinario será el más específico de los que estén en juego, sin que quepa descartar en algún caso la posible invocación simultánea o indistinta de varios títulos competenciales estatales que confluyan o se solapen en la misma regulación (SSTC 81/2012, de 18 de abril, y 120/2012, de 5 de junio).</w:t>
      </w:r>
    </w:p>
    <w:p w:rsidR="00163957" w:rsidRDefault="00163957" w:rsidP="00163957">
      <w:pPr>
        <w:pStyle w:val="TextoNormal"/>
      </w:pPr>
    </w:p>
    <w:p w:rsidR="00163957" w:rsidRDefault="00163957" w:rsidP="00163957">
      <w:pPr>
        <w:pStyle w:val="TextoNormal"/>
      </w:pPr>
      <w:r>
        <w:t>Pues bien, en el fundamento jurídico 6 a) de la STC 26/2016, de 18 de febrero, hemos manifestado que los arts. 3 y 4 del Real Decreto-ley 14/2012, que establecen en materia de educación no universitaria un horario lectivo mínimo del profesorado, un máximo de compensación de docencia del profesorado con horas complementarias y una limitación al nombramiento de personal interino para cubrir las ausencias del profesorado, han de ser encuadrados competencialmente “en función, no de su finalidad, sino de su concreto contenido material que, en el caso, está, evidentemente relacionado con la educación, con lo que los títulos estatales a considerar son el art. 149.1.30 CE y, complementariamente, el art. 149.1.18 CE, en lo que respecta a la función pública docente, ambos más específicos que el genérico del art. 149.1.13 CE”. El contenido educativo de estas medidas prevalece por tanto a efectos competenciales sobre la índole y finalidad económica de la norma adoptada. E igualmente desplaza la cobertura que pudiera derivar del art. 149.1.1 CE, también invocado por la disposición final primera del Real Decreto-ley, por su carácter genérico respecto a los títulos mencionados.</w:t>
      </w:r>
    </w:p>
    <w:p w:rsidR="00163957" w:rsidRDefault="00163957" w:rsidP="00163957">
      <w:pPr>
        <w:pStyle w:val="TextoNormal"/>
      </w:pPr>
    </w:p>
    <w:p w:rsidR="00163957" w:rsidRDefault="00163957" w:rsidP="00163957">
      <w:pPr>
        <w:pStyle w:val="TextoNormal"/>
      </w:pPr>
      <w:r w:rsidRPr="00163957">
        <w:rPr>
          <w:rStyle w:val="NumeroAFNegritaCaracter"/>
        </w:rPr>
        <w:t>5</w:t>
      </w:r>
      <w:r>
        <w:t>. Hechas estas precisiones, se puede acometer el examen de constitucionalidad de cada uno de los dos preceptos impugnados por el Gobierno canario por razón de su ajuste al orden constitucional de reparto de competencias entre el Estado y la Comunidad Autónoma de Canarias.</w:t>
      </w:r>
    </w:p>
    <w:p w:rsidR="00163957" w:rsidRDefault="00163957" w:rsidP="00163957">
      <w:pPr>
        <w:pStyle w:val="TextoNormal"/>
      </w:pPr>
    </w:p>
    <w:p w:rsidR="00163957" w:rsidRDefault="00163957" w:rsidP="00163957">
      <w:pPr>
        <w:pStyle w:val="TextoNormal"/>
      </w:pPr>
      <w:r>
        <w:t xml:space="preserve">El art. 3 del Real Decreto-ley 14/2012 establece en sus dos apartados dos umbrales, uno mínimo y otro máximo, que afectan a la regulación de la jornada lectiva del profesorado de </w:t>
      </w:r>
      <w:r>
        <w:lastRenderedPageBreak/>
        <w:t>las enseñanzas contempladas en la Ley orgánica de educación en centros públicos y privados sostenidos con fondos públicos. Por un lado, se fija el número mínimo de horas semanales de clase a impartir por el personal docente, que será de 20 horas con carácter general, y de 25 horas para los estadios educativos iniciales (educación infantil y primaria). Por otro, se limita a una hora por periodo lectivo la compensación máxima a reconocer al profesorado con horas complementarias cuando su número de horas de clase impartidas exceda la carga lectiva prevista, y siempre a partir de los mínimos aludidos de 20 y 25 horas semanales, según el nivel de enseñanza.</w:t>
      </w:r>
    </w:p>
    <w:p w:rsidR="00163957" w:rsidRDefault="00163957" w:rsidP="00163957">
      <w:pPr>
        <w:pStyle w:val="TextoNormal"/>
      </w:pPr>
    </w:p>
    <w:p w:rsidR="00163957" w:rsidRDefault="00163957" w:rsidP="00163957">
      <w:pPr>
        <w:pStyle w:val="TextoNormal"/>
      </w:pPr>
      <w:r>
        <w:t xml:space="preserve">Como bien hemos resumido en la STC 54/2016, FJ 2 b), respecto a la legitimidad constitucional de este precepto desde un punto de vista competencial, el legislador estatal puede establecer reglas sobre el mínimo de dedicación lectiva del personal docente para garantizar el derecho a la educación en su dimensión prestacional y en ejercicio de sus funciones de coordinación derivadas de sus competencias básicas en materia de educación. La determinación cuantitativa de las horas lectivas a impartir por el personal docente en las enseñanzas reguladas en la Ley Orgánica de educación constituye una previsión básica que incide en la vertiente prestacional del derecho a la educación que es financiada con fondos públicos, y que es coherente con el carácter único del sistema educativo en todo el territorio nacional. Se trata de un mínimo común denominador normativo en materia de programación docente, que afecta a los centros públicos y privados concertados, y que no resulta ajeno a las competencias estatales </w:t>
      </w:r>
      <w:r w:rsidRPr="00163957">
        <w:rPr>
          <w:i/>
        </w:rPr>
        <w:t>ex</w:t>
      </w:r>
      <w:r>
        <w:t xml:space="preserve"> art. 149.1.30 CE.</w:t>
      </w:r>
    </w:p>
    <w:p w:rsidR="00163957" w:rsidRDefault="00163957" w:rsidP="00163957">
      <w:pPr>
        <w:pStyle w:val="TextoNormal"/>
      </w:pPr>
    </w:p>
    <w:p w:rsidR="00163957" w:rsidRDefault="00163957" w:rsidP="00163957">
      <w:pPr>
        <w:pStyle w:val="TextoNormal"/>
      </w:pPr>
      <w:r>
        <w:t>Pero asimismo, en segundo lugar, la competencia estatal para dictar esa regulación encuentra también cobertura en el art. 149.1.18 CE respecto a los profesores que tengan la condición de funcionarios públicos, sobre todo teniendo en cuenta que son funcionarios de ámbito estatal en el sentido de que pueden prestar servicio en cualquier parte del sistema educativo (STC 213/2013). La competencia sobre las bases del régimen estatutario de ese personal permite al Estado regular sus derechos y deberes, entre los cuales se encuentra la fijación de la jornada de trabajo que han de cubrir. El establecimiento de un mínimo de horas lectivas y de un máximo de compensación con horas complementarias del exceso de docencia que pueda impartir el profesorado, se justifica en el logro de una homogeneidad fundamental en un aspecto sustancial del régimen funcionarial del colectivo docente.</w:t>
      </w:r>
    </w:p>
    <w:p w:rsidR="00163957" w:rsidRDefault="00163957" w:rsidP="00163957">
      <w:pPr>
        <w:pStyle w:val="TextoNormal"/>
      </w:pPr>
    </w:p>
    <w:p w:rsidR="00163957" w:rsidRDefault="00163957" w:rsidP="00163957">
      <w:pPr>
        <w:pStyle w:val="TextoNormal"/>
      </w:pPr>
      <w:r>
        <w:t>Además, como indicamos en el fundamento jurídico 6 b) de la STC 26/2016, de 18 de febrero, el carácter mínimo de la regla establecida en el cuestionado art. 3 (o de máximo, en el caso de las horas complementarias con que se compensa el posible exceso lectivo), así como el margen de organización y concreción del total de la dedicación del profesor, cuya carga lectiva podría incluso aumentarse, permiten apreciar que el precepto impugnado no cierra a las Comunidades Autónomas toda posibilidad de desarrollo y aplicación de la normativa básica sobre la materia.</w:t>
      </w:r>
    </w:p>
    <w:p w:rsidR="00163957" w:rsidRDefault="00163957" w:rsidP="00163957">
      <w:pPr>
        <w:pStyle w:val="TextoNormal"/>
      </w:pPr>
    </w:p>
    <w:p w:rsidR="00163957" w:rsidRDefault="00163957" w:rsidP="00163957">
      <w:pPr>
        <w:pStyle w:val="TextoNormal"/>
      </w:pPr>
      <w:r>
        <w:t>Por tanto, el art. 3 del Real Decreto-ley 14/2012, tanto en su apartado 1 como en el 2, no es inconstitucional, y tiene cobertura dentro de las competencias estatales sobre las normas básicas de desarrollo del art. 27 CE y sobre las bases del régimen estatutario de los funcionarios públicos, respecto al profesorado que tiene esta condición.</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6</w:t>
      </w:r>
      <w:r>
        <w:t>. Por su parte, el art. 4 del Real Decreto-ley 14/2012 exige, también en el ámbito de las enseñanzas no universitarias, una duración mínima de diez días de las bajas de los profesores para poder recurrir al nombramiento de profesores interinos para su sustitución. En consecuencia, los centros docentes sostenidos con fondos públicos (centros públicos y concertados) deberán atender con su propia plantilla todo tipo de bajas laborales, permisos, licencias o supuestos análogos de duración inferior a diez días, sin posibilidad de contratación adicional de personal. Hay que indicar que la redacción de este precepto ha cambiado en virtud de la disposición final décima quinta de la Ley 48/2015, de 29 de octubre, de presupuestos generales del Estado para el año 2016. En cualquier caso, esta modificación legal no elimina el objeto de la presente controversia, y nos obliga a pronunciarnos sobre su cobertura competencial.</w:t>
      </w:r>
    </w:p>
    <w:p w:rsidR="00163957" w:rsidRDefault="00163957" w:rsidP="00163957">
      <w:pPr>
        <w:pStyle w:val="TextoNormal"/>
      </w:pPr>
    </w:p>
    <w:p w:rsidR="00163957" w:rsidRDefault="00163957" w:rsidP="00163957">
      <w:pPr>
        <w:pStyle w:val="TextoNormal"/>
      </w:pPr>
      <w:r>
        <w:t>De acuerdo con el fundamento jurídico 6 c) de la STC 26/2016, de 18 de febrero, “a efectos competenciales, el legislador estatal ha querido establecer una norma que tiene por objeto regular el proceso de sustituciones docentes por parte de los centros públicos y privados sostenidos con fondos públicos, regulación que, afectando al funcionamiento de dichos centros, repercute en la contratación de profesorado interino, y, por tanto, en la prestación del servicio público educativo por su relación con la impartición de docencia. La norma, en tanto que relativa a situaciones de vacío temporal en la impartición de docencia, se incardina así en el art. 149.1.30 CE y persigue garantizar una mínima homogeneidad en el proceso de sustitución del profesorado a través del establecimiento de esta regla básica relativa a los medios humanos disponibles, encontrándose entre las medidas que, como antes se ha dicho, puede establecer el legislador estatal como norma básica a efectos de determinar y hacer efectivo el nivel prestacional de la enseñanza financiado con fondos públicos. Es cierto que el Real Decreto-ley 14/2012 reduce en este punto, por consiguiente, las atribuciones que correspondían a la Comunidad Autónoma, pero no las vacía de contenido, puesto que, respetando ese límite, puede seguir regulando las sustituciones de profesores”, dado que el límite temporal establecido de los diez días puede entenderse como un plazo mínimo que no puede ser reducido por las Administraciones educativas, por un lado, y no agota toda la regulación del régimen de sustituciones en caso de bajas del personal docente, por otro.</w:t>
      </w:r>
    </w:p>
    <w:p w:rsidR="00163957" w:rsidRDefault="00163957" w:rsidP="00163957">
      <w:pPr>
        <w:pStyle w:val="TextoNormal"/>
      </w:pPr>
    </w:p>
    <w:p w:rsidR="00163957" w:rsidRDefault="00163957" w:rsidP="00163957">
      <w:pPr>
        <w:pStyle w:val="TextoNormal"/>
      </w:pPr>
      <w:r>
        <w:t>En definitiva, el art. 4 del Real Decreto-ley 14/2012 contiene una medida básica en materia de sustituciones del profesorado en enseñanzas no universitarias, que no es inconstitucional.</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inconstitucionalidad núm. 370/2013.</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abril de dos mil dieciséis.</w:t>
      </w:r>
    </w:p>
    <w:p w:rsidR="00163957" w:rsidRDefault="00163957" w:rsidP="00163957">
      <w:pPr>
        <w:pStyle w:val="ParrafoNormal"/>
      </w:pPr>
    </w:p>
    <w:p w:rsidR="00163957" w:rsidRDefault="00163957" w:rsidP="00163957">
      <w:pPr>
        <w:pStyle w:val="TextoNormalNegritaCentrado"/>
        <w:keepNext/>
      </w:pPr>
      <w:r>
        <w:lastRenderedPageBreak/>
        <w:t>Voto particular que formulan la Magistrada doña Adela Asua Batarrita y el Magistrado don Fernando Valdés Dal-Ré a la Sentencia dictada en el recurso de inconstitucionalidad núm. 370-2013.</w:t>
      </w:r>
    </w:p>
    <w:p w:rsidR="00163957" w:rsidRDefault="00163957" w:rsidP="00163957">
      <w:pPr>
        <w:pStyle w:val="TextoNormalNegritaCentrado"/>
        <w:keepNext/>
      </w:pPr>
    </w:p>
    <w:p w:rsidR="00163957" w:rsidRDefault="00163957" w:rsidP="00163957">
      <w:pPr>
        <w:pStyle w:val="TextoNormal"/>
      </w:pPr>
      <w:r>
        <w:t>En ejercicio de la facultad que nos confiere el art. 90.2 de la Ley Orgánica del Tribunal Constitucional, y con absoluto respeto a la opinión expresada por la mayoría del Pleno, formulamos el presente Voto particular por los mismos motivos que nos llevaron a discrepar de la STC 26/2016, de 18 de febrero.</w:t>
      </w:r>
    </w:p>
    <w:p w:rsidR="00163957" w:rsidRDefault="00163957" w:rsidP="00163957">
      <w:pPr>
        <w:pStyle w:val="TextoNormal"/>
      </w:pPr>
    </w:p>
    <w:p w:rsidR="00163957" w:rsidRDefault="00163957" w:rsidP="00163957">
      <w:pPr>
        <w:pStyle w:val="TextoNormal"/>
      </w:pPr>
      <w:r>
        <w:t>En lo que concierne a la desestimación de la impugnación dirigida contra los arts. 3 y 4 del Real Decreto-ley 14/2012, de 20 de abril, de medidas urgentes de racionalización del gasto educativo, que constituyen el objeto de este proceso, las razones de nuestra discrepancia están recogidas en los apartados 1 y 2 del mencionado Voto particular, al que nos remitimos.</w:t>
      </w:r>
    </w:p>
    <w:p w:rsidR="00163957" w:rsidRDefault="00163957" w:rsidP="00163957">
      <w:pPr>
        <w:pStyle w:val="TextoNormal"/>
      </w:pPr>
    </w:p>
    <w:p w:rsidR="00163957" w:rsidRDefault="00163957" w:rsidP="00163957">
      <w:pPr>
        <w:pStyle w:val="TextoNormal"/>
      </w:pPr>
      <w:r>
        <w:t>Y en tal sentido emitimos este Voto particular.</w:t>
      </w:r>
    </w:p>
    <w:p w:rsidR="00163957" w:rsidRDefault="00163957" w:rsidP="00163957">
      <w:pPr>
        <w:pStyle w:val="TextoNormal"/>
      </w:pPr>
    </w:p>
    <w:p w:rsidR="00163957" w:rsidRDefault="00163957" w:rsidP="00163957">
      <w:pPr>
        <w:pStyle w:val="TextoNormal"/>
      </w:pPr>
      <w:r>
        <w:t>Madrid, a catorce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71" w:name="SENTENCIA_2016_68"/>
      <w:r>
        <w:lastRenderedPageBreak/>
        <w:t>SENTENCIA 68/2016, de 14 de abril de 2016</w:t>
      </w:r>
    </w:p>
    <w:bookmarkEnd w:id="71"/>
    <w:p w:rsidR="00163957" w:rsidRDefault="00163957" w:rsidP="00163957">
      <w:pPr>
        <w:pStyle w:val="TtuloResolucin"/>
      </w:pPr>
      <w:r>
        <w:t>Pleno</w:t>
      </w:r>
    </w:p>
    <w:p w:rsidR="00163957" w:rsidRDefault="00163957" w:rsidP="00163957">
      <w:pPr>
        <w:pStyle w:val="TtuloBOE"/>
      </w:pPr>
      <w:r>
        <w:t>(BOE núm. 122, de 20 de mayo de 2016)</w:t>
      </w:r>
    </w:p>
    <w:p w:rsidR="00163957" w:rsidRDefault="00163957" w:rsidP="00163957">
      <w:pPr>
        <w:pStyle w:val="TextoNormalCentrado"/>
      </w:pPr>
      <w:r>
        <w:t>ECLI:ES:TC:2016:68</w:t>
      </w:r>
    </w:p>
    <w:p w:rsidR="00163957" w:rsidRDefault="00163957" w:rsidP="00163957">
      <w:pPr>
        <w:pStyle w:val="TextoNormalCentrado"/>
      </w:pPr>
    </w:p>
    <w:p w:rsidR="00163957" w:rsidRDefault="00163957" w:rsidP="00163957">
      <w:pPr>
        <w:pStyle w:val="SntesisDescriptiva"/>
      </w:pPr>
      <w:r>
        <w:t>Recurso de inconstitucionalidad 382-2013. Interpuesto por el Consejo de Gobierno de la Comunidad Autónoma del País Vasco en relación con los arts. 3 y 4 del Real Decreto-ley 14/2012, de 20 de abril, de medidas urgentes de racionalización del gasto público en el ámbito educativo.</w:t>
      </w:r>
    </w:p>
    <w:p w:rsidR="00163957" w:rsidRDefault="00163957" w:rsidP="00163957">
      <w:pPr>
        <w:pStyle w:val="SntesisDescriptiva"/>
      </w:pPr>
    </w:p>
    <w:p w:rsidR="00163957" w:rsidRDefault="00163957" w:rsidP="00163957">
      <w:pPr>
        <w:pStyle w:val="SntesisAnaltica"/>
      </w:pPr>
      <w:r>
        <w:t>Límites a los decretos-leyes; competencias sobre educación, función pública y ordenación general de la economía: constitucionalidad de los preceptos legales estatales relativos a la jornada lectiva y sustitución del personal docente (STC 26/2016). Voto particular.</w:t>
      </w:r>
    </w:p>
    <w:p w:rsidR="00163957" w:rsidRDefault="00163957" w:rsidP="00163957">
      <w:pPr>
        <w:pStyle w:val="SntesisAnaltica"/>
      </w:pPr>
    </w:p>
    <w:p w:rsidR="00163957" w:rsidRDefault="00163957" w:rsidP="00163957">
      <w:pPr>
        <w:pStyle w:val="Extracto"/>
      </w:pPr>
      <w:r>
        <w:t>1.</w:t>
      </w:r>
      <w:r>
        <w:tab/>
        <w:t>Asunto sustancialmente idéntico al resuelto por la STC 26/2016, relativa a la doctrina sobre el reparto de competencias en materia educativa no universitaria [FFJJ 2 a 6].</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382-2013, promovido por el Consejo de Gobierno de la Comunidad Autónoma del País Vasco contra los arts. 3 y 4 del Real Decreto-ley 14/2012, de 20 de abril, de medidas urgentes de racionalización del gasto público en el ámbito educativo. Ha sido Ponente el Magistrado don Juan José González Rivas,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día 21 de enero de 2013, el Procurador de los Tribunales don Felipe Juanas Blanco, en nombre y representación de la Comunidad Autónoma del País Vasco, interpuso recurso de inconstitucionalidad contra los arts. 3 y 4 del Real Decreto-ley 14/2012, de 20 de abril, de medidas urgentes de racionalización del gasto público en el ámbito educativo.</w:t>
      </w:r>
    </w:p>
    <w:p w:rsidR="00163957" w:rsidRDefault="00163957" w:rsidP="00163957">
      <w:pPr>
        <w:pStyle w:val="TextoNormal"/>
      </w:pPr>
    </w:p>
    <w:p w:rsidR="00163957" w:rsidRDefault="00163957" w:rsidP="00163957">
      <w:pPr>
        <w:pStyle w:val="TextoNormal"/>
      </w:pPr>
      <w:r>
        <w:t>Los antecedentes del escrito explican y justifican documentalmente que tras la publicación del mencionado Real Decreto-ley el Gobierno Vasco adoptó un acuerdo el 29 de mayo de 2012 por el que se autorizaba la interposición de un recurso de inconstitucionalidad contra los arts. 3, 4, 6.1, 6.2, 6.4, y 6.5, apartados 1 y 4, del Real Decreto-ley 14/2012, de 20 de abril. Unas fechas después, el 14 de junio de 2012, el Ministro de Hacienda y Administraciones Públicas y la Consejera de Justicia y Administración Pública del Gobierno Vasco suscribieron un acuerdo de iniciación de negociaciones entre las Administraciones que representaban para la resolución de discrepancias surgidas sobre los mencionados preceptos, el cual fue comunicado a este Tribunal Constitucional a los efectos de lo previsto en el art. 33.2 de la Ley Orgánica del Tribunal Constitucional (LOTC) mediante escrito registrado el 27 de junio de 2012. Celebrada la reunión del grupo de trabajo de la Comisión Bilateral de Cooperación de la Administración del Estado-Administración de la Comunidad Autónoma del País Vasco el 16 de enero de 2013, y al no alcanzarse un acuerdo en relación con los arts. 3 y 4 del Real Decreto-ley 14/2012, se procede a la interposición de un recurso de inconstitucionalidad frente a esos preceptos.</w:t>
      </w:r>
    </w:p>
    <w:p w:rsidR="00163957" w:rsidRDefault="00163957" w:rsidP="00163957">
      <w:pPr>
        <w:pStyle w:val="TextoNormal"/>
      </w:pPr>
    </w:p>
    <w:p w:rsidR="00163957" w:rsidRDefault="00163957" w:rsidP="00163957">
      <w:pPr>
        <w:pStyle w:val="TextoNormal"/>
      </w:pPr>
      <w:r w:rsidRPr="00163957">
        <w:rPr>
          <w:rStyle w:val="NumeroAFNegritaCaracter"/>
        </w:rPr>
        <w:t>2</w:t>
      </w:r>
      <w:r>
        <w:t>. El escrito de interposición del recurso invoca un doble motivo de inconstitucionalidad de los preceptos impugnados. Por un lado, la ausencia de presupuesto habilitante para su aprobación, de acuerdo con las exigencias establecidas en el art. 86 CE, y de otro, la doble vulneración del art. 149.1.1, 13, 18 y 30 CE y de los arts. 10.2, 10.4 y 16 del Estatuto de Autonomía del País Vasco, aprobado por Ley Orgánica 3/1979, de 18 de diciembre (EAPV), y de las competencias en ellos recogidas.</w:t>
      </w:r>
    </w:p>
    <w:p w:rsidR="00163957" w:rsidRDefault="00163957" w:rsidP="00163957">
      <w:pPr>
        <w:pStyle w:val="TextoNormal"/>
      </w:pPr>
    </w:p>
    <w:p w:rsidR="00163957" w:rsidRDefault="00163957" w:rsidP="00163957">
      <w:pPr>
        <w:pStyle w:val="TextoNormal"/>
      </w:pPr>
      <w:r>
        <w:t>En síntesis, los argumentos esenciales pueden concretarse en los siguientes puntos:</w:t>
      </w:r>
    </w:p>
    <w:p w:rsidR="00163957" w:rsidRDefault="00163957" w:rsidP="00163957">
      <w:pPr>
        <w:pStyle w:val="TextoNormal"/>
      </w:pPr>
    </w:p>
    <w:p w:rsidR="00163957" w:rsidRDefault="00163957" w:rsidP="00163957">
      <w:pPr>
        <w:pStyle w:val="TextoNormal"/>
      </w:pPr>
      <w:r>
        <w:t>a) Se argumenta que el presupuesto habilitante para el ejercicio de la potestad legislativa excepcional del art. 86 CE requiere la doble concurrencia de una situación de extraordinaria y urgente necesidad y de una conexión de sentido, en términos de adecuación y congruencia, entre esa situación y las medidas contenidas en el Real Decreto-ley que apruebe el Gobierno para hacer frente a la misma. La comprobación de la existencia de esas dos notas requiere la valoración conjunta de todos los factores que condujeron al Gobierno a la aprobación de la disposición “que son, básicamente, los que quedan reflejados en la exposición de motivos de la norma, a lo largo del debate parlamentario de convalidación y en el propio expediente de elaboración de la misma” (STC 137/2011, de 14 de septiembre, FJ 4). Corresponde a este Tribunal Constitucional realizar el control externo de la concurrencia del presupuesto habilitante, que en caso de ausencia llevará a un pronunciamiento anulatorio (STC 68/2007, de 28 de marzo).</w:t>
      </w:r>
    </w:p>
    <w:p w:rsidR="00163957" w:rsidRDefault="00163957" w:rsidP="00163957">
      <w:pPr>
        <w:pStyle w:val="TextoNormal"/>
      </w:pPr>
    </w:p>
    <w:p w:rsidR="00163957" w:rsidRDefault="00163957" w:rsidP="00163957">
      <w:pPr>
        <w:pStyle w:val="TextoNormal"/>
      </w:pPr>
      <w:r>
        <w:t xml:space="preserve">A juicio del Gobierno Vasco tanto la exposición de motivos del Real Decreto-ley 14/2012 como las palabras del Ministro de Educación, Cultura y Deporte en el debate parlamentario de convalidación adolecen de una evidente generalidad sobre la necesidad y urgencia de las concretas medidas adoptadas. La primera alude simplemente a la exigencia de “cumplir con la senda de la consolidación fiscal fijada y con el compromiso de reducción de déficit de la Unión Europea”, así como de proporcionar a las Administraciones educativas un conjunto de instrumentos que permitan cumplir los objetivos de estabilidad presupuestaria y contención del gasto público sin renunciar a la calidad del sistema educativo. </w:t>
      </w:r>
      <w:r>
        <w:lastRenderedPageBreak/>
        <w:t>Las segundas insisten en la función de la norma aprobada por el Gobierno de facilitar instrumentos a las Comunidades Autónomas para cumplir con el inexcusable objetivo de déficit público.</w:t>
      </w:r>
    </w:p>
    <w:p w:rsidR="00163957" w:rsidRDefault="00163957" w:rsidP="00163957">
      <w:pPr>
        <w:pStyle w:val="TextoNormal"/>
      </w:pPr>
    </w:p>
    <w:p w:rsidR="00163957" w:rsidRDefault="00163957" w:rsidP="00163957">
      <w:pPr>
        <w:pStyle w:val="TextoNormal"/>
      </w:pPr>
      <w:r>
        <w:t>Además, para el Gobierno vasco los arts. 3 y 4 del Real Decreto-ley 14/2012 carecerían de concreta conexión de sentido con el objetivo de reducción de ese déficit. No se justifica respecto a ellos la necesidad de una acción normativa inmediata, en un plazo más breve que para la tramitación parlamentaria de una ley, bien por el procedimiento ordinario, bien por el procedimiento de urgencia, ni los perjuicios, obstáculos o merma de efectividad que habrían padecido los objetivos perseguidos por esas disposiciones en caso de seguir el curso parlamentario ordinario. Ni el número de horas lectivas por profesor establecidas en el art. 3, ni el régimen de sustituciones de profesores del art. 4 son susceptibles de aplicación inmediata. Ambas medidas constituyen bases que han de ser desarrolladas por la Comunidad Autónoma, lo que conlleva la práctica imposibilidad de aplicación en el curso escolar 2011-2012, ya muy avanzado al aprobarse el Real Decreto-ley, y por tanto, la no concurrencia del presupuesto de extraordinaria y urgente necesidad. Además, en el caso de la regulación de la jornada lectiva del profesorado, su impacto sobre el objetivo de estabilidad presupuestaria pasa por su traducción en una eventual reducción del profesorado, la cual requiere una decisión discrecional que corresponde adoptar a cada Comunidad Autónoma en virtud de su realidad territorial, logística y pedagógica, y que no puede tener la inmediatez que es exigible para atajar una situación de extraordinaria y urgente necesidad.</w:t>
      </w:r>
    </w:p>
    <w:p w:rsidR="00163957" w:rsidRDefault="00163957" w:rsidP="00163957">
      <w:pPr>
        <w:pStyle w:val="TextoNormal"/>
      </w:pPr>
    </w:p>
    <w:p w:rsidR="00163957" w:rsidRDefault="00163957" w:rsidP="00163957">
      <w:pPr>
        <w:pStyle w:val="TextoNormal"/>
      </w:pPr>
      <w:r>
        <w:t>b) Desde el punto de vista competencial, el escrito de interposición del recurso aduce que el Real Decreto-ley 14/2012 incide sobre la educación, que se considera “parte del núcleo esencial de nuestra autonomía reconocida constitucionalmente”. Se indica también que, como la disposición final primera del Real Decreto-ley contiene un fundamento competencial múltiple, es necesario deslindar el título competencial prevalente para la adopción de cada medida, de acuerdo con el contenido de la misma y con el fin de la norma atributiva de competencias (STC 153/1985, de 7 de noviembre, FJ 3). En esa tarea de identificación de la cobertura las competencias genéricas deben ceder ante las específicas (STC 190/2000, de 13 de julio, FJ 4). La exposición de motivos debería facilitar esta tarea, pero los ejes teóricos sobre los que justifica la adopción del Real Decreto-ley (consolidación fiscal y reducción del déficit público, por un lado, y conjugación de calidad, eficiencia y contención del gasto público educativo, por otra), en absoluto habilitan al Estado para incidir con tal grado de injerencia en todos los niveles educativos, determinando el número mínimo de horas lectivas del profesorado e impidiendo la cobertura de ausencias del profesorado inferiores a diez días con nuevo personal interino.</w:t>
      </w:r>
    </w:p>
    <w:p w:rsidR="00163957" w:rsidRDefault="00163957" w:rsidP="00163957">
      <w:pPr>
        <w:pStyle w:val="TextoNormal"/>
      </w:pPr>
    </w:p>
    <w:p w:rsidR="00163957" w:rsidRDefault="00163957" w:rsidP="00163957">
      <w:pPr>
        <w:pStyle w:val="TextoNormal"/>
      </w:pPr>
      <w:r>
        <w:t>A continuación se examina el alcance de cada uno de los títulos competenciales invocados por el Gobierno para la aprobación del Real Decreto-ley 14/2012, concluyendo que ninguno de ellos justifica las medidas concretas adoptadas, incurriéndose en un exceso competencial que ignora los títulos autonómicos conexos en materia de educación, de autoorganización de los servicios públicos y de desarrollo del régimen estatutario de los funcionarios públicos.</w:t>
      </w:r>
    </w:p>
    <w:p w:rsidR="00163957" w:rsidRDefault="00163957" w:rsidP="00163957">
      <w:pPr>
        <w:pStyle w:val="TextoNormal"/>
      </w:pPr>
    </w:p>
    <w:p w:rsidR="00163957" w:rsidRDefault="00163957" w:rsidP="00163957">
      <w:pPr>
        <w:pStyle w:val="TextoNormal"/>
      </w:pPr>
      <w:r>
        <w:t xml:space="preserve">a) La aplicabilidad de los apartados 1 y 30 del art. 149.1 CE se examina de manera conjunta, de acuerdo con lo manifestado por este Tribunal en su STC 188/2001, de 20 de septiembre, FJ 6, en tanto que las condiciones básicas de ejercicio de derechos fundamentales </w:t>
      </w:r>
      <w:r>
        <w:lastRenderedPageBreak/>
        <w:t>que puede dictar el Estado en virtud del art. 149.1.1 CE se proyecta genéricamente sobre todos los derechos, cediendo en el caso del derecho a la educación ante la competencia más específica y completa derivada del art. 149.1.30 CE sobre las normas básicas en esta materia.</w:t>
      </w:r>
    </w:p>
    <w:p w:rsidR="00163957" w:rsidRDefault="00163957" w:rsidP="00163957">
      <w:pPr>
        <w:pStyle w:val="TextoNormal"/>
      </w:pPr>
    </w:p>
    <w:p w:rsidR="00163957" w:rsidRDefault="00163957" w:rsidP="00163957">
      <w:pPr>
        <w:pStyle w:val="TextoNormal"/>
      </w:pPr>
      <w:r>
        <w:t>En cualquier caso, se sostiene que ninguno de esos apartados legitima las medidas cuestionadas sobre la determinación de la jornada lectiva y el régimen de sustitución de los profesores, pues no tienen relación directa con la garantía del derecho fundamental a la educación. En este sentido, se recoge la jurisprudencia constitucional que vincula la competencia estatal del art. 149.1.30 CE con la consecución de un nivel mínimo de homogeneidad en el sistema educativo mediante el establecimiento de enseñanzas mínimas (con sus contenidos, bloques temáticos y créditos horarios). Sin embargo, las medidas recurridas del Real Decreto-ley no tienen relación con la consecución de objetivos curriculares, ni con la fijación de principios normativos generales y uniformes en materia de educación. En todo caso, inciden en aspectos de autoorganización que corresponde decidir a las Administraciones educativas y a los titulares de los centros. Pero no afectan al horario lectivo del alumnado, ni tienen conexión con las enseñanzas mínimas de los distintos niveles educativos, ni con los requisitos básicos de los centros docentes, que integran el contenido de la normativa básica del Estado dictada hasta ahora en la materia.</w:t>
      </w:r>
    </w:p>
    <w:p w:rsidR="00163957" w:rsidRDefault="00163957" w:rsidP="00163957">
      <w:pPr>
        <w:pStyle w:val="TextoNormal"/>
      </w:pPr>
    </w:p>
    <w:p w:rsidR="00163957" w:rsidRDefault="00163957" w:rsidP="00163957">
      <w:pPr>
        <w:pStyle w:val="TextoNormal"/>
      </w:pPr>
      <w:r>
        <w:t>En definitiva, afirmar la competencia del Estado para dictar los arts. 3 y 4 del Real Decreto-ley 14/2012 en virtud del art. 149.1.30 CE implicaría el vaciamiento de las competencias del País Vasco recogidas en los arts. 10.2 y 16 EAPV para establecer su organización interna y para la ordenación de la docencia.</w:t>
      </w:r>
    </w:p>
    <w:p w:rsidR="00163957" w:rsidRDefault="00163957" w:rsidP="00163957">
      <w:pPr>
        <w:pStyle w:val="TextoNormal"/>
      </w:pPr>
    </w:p>
    <w:p w:rsidR="00163957" w:rsidRDefault="00163957" w:rsidP="00163957">
      <w:pPr>
        <w:pStyle w:val="TextoNormal"/>
      </w:pPr>
      <w:r>
        <w:t>b) Tampoco los arts. 3 y 4 del Real Decreto-ley tendrían acomodo en la competencia exclusiva del Estado para establecer las bases, tanto del régimen jurídico de las Administraciones públicas, como del régimen estatutario de sus funcionarios. Ni las condiciones de sustitución del profesorado constituyen parte de las primeras, ni el horario lectivo del profesorado se integra dentro de las segundas.</w:t>
      </w:r>
    </w:p>
    <w:p w:rsidR="00163957" w:rsidRDefault="00163957" w:rsidP="00163957">
      <w:pPr>
        <w:pStyle w:val="TextoNormal"/>
      </w:pPr>
    </w:p>
    <w:p w:rsidR="00163957" w:rsidRDefault="00163957" w:rsidP="00163957">
      <w:pPr>
        <w:pStyle w:val="TextoNormal"/>
      </w:pPr>
      <w:r>
        <w:t xml:space="preserve">Por un lado, las bases del régimen de las Administraciones públicas permiten al Estado establecer los elementos esenciales que garanticen un régimen jurídico unitario para todas ellas en materia de organización y funcionamiento. Pero el régimen de sustituciones de los profesores no puede catalogarse como una regla básica de funcionamiento de la Administración educativa. Además, el objetivo de esas bases es la garantía de un tratamiento común de los ciudadanos ante las Administraciones públicas, y aquí lo que se persigue es una reducción de gastos, y no la preservación de posibles derechos de los estudiantes en caso de sustitución de su profesor. Conforme a lo indicado en nuestra STC 50/1999, de 6 de abril, FJ 3, cuanto menor sea la incidencia externa de una cuestión como la presente, menor será la cobertura que pueda prestar al Estado el título competencial analizado. Por lo cual la medida adoptada se inmiscuye en la potestad autoorganizativa de la Comunidad Autónoma, por no tener relación con el aseguramiento de un tratamiento común de los ciudadanos, en este caso de los estudiantes. Es más, las limitaciones impuestas a la sustitución del profesorado en todo caso pueden producir perjuicios significativos a los usuarios del servicio educativo desde el punto de vista pedagógico. Porque el legislador estatal parte de la premisa equivocada de la intercambiabilidad genérica del profesorado, sin tener en cuenta su diversa cualificación profesional, por lo que la impartición adecuada de los contenidos curriculares </w:t>
      </w:r>
      <w:r>
        <w:lastRenderedPageBreak/>
        <w:t>quedará en caso de ausencias o bajas al albur de la disponibilidad de profesores de la especialidad necesaria para cubrir la sustitución.</w:t>
      </w:r>
    </w:p>
    <w:p w:rsidR="00163957" w:rsidRDefault="00163957" w:rsidP="00163957">
      <w:pPr>
        <w:pStyle w:val="TextoNormal"/>
      </w:pPr>
    </w:p>
    <w:p w:rsidR="00163957" w:rsidRDefault="00163957" w:rsidP="00163957">
      <w:pPr>
        <w:pStyle w:val="TextoNormal"/>
      </w:pPr>
      <w:r>
        <w:t>Se argumenta también que el régimen de sustituciones del art. 4 del Real Decreto-ley no contiene una norma básica por su excesivo grado de concreción y detalle, que no admite en la práctica desarrollo normativo por parte de las Comunidades Autónomas. Estas se convierten en meras aplicadoras de la regla, porque a pesar de plantearse las ratios de sustituciones como mínimas, sólo podrían empeorarse por parte de las Administraciones educativas, y no mejorarse. Lo cual es contrario a las competencias educativas del País Vasco (art. 16 EAPV).</w:t>
      </w:r>
    </w:p>
    <w:p w:rsidR="00163957" w:rsidRDefault="00163957" w:rsidP="00163957">
      <w:pPr>
        <w:pStyle w:val="TextoNormal"/>
      </w:pPr>
    </w:p>
    <w:p w:rsidR="00163957" w:rsidRDefault="00163957" w:rsidP="00163957">
      <w:pPr>
        <w:pStyle w:val="TextoNormal"/>
      </w:pPr>
      <w:r>
        <w:t>Por otro lado, las bases del régimen estatutario de los funcionarios públicos no permiten al Estado introducir reglas sobre la sustitución de empleados públicos ni sobre su jornada de trabajo, que son cuestiones que corresponden a cada Comunidad Autónoma en la gestión de sus propios efectivos. De hecho, la Ley 7/2007, de 12 de abril, del estatuto básico del empleado público (LEEP) no contiene previsión material alguna al respecto. Es más, el art. 47 LEEP afirma positivamente que las Administraciones públicas fijarán la jornada de trabajo de sus funcionarios, lo que viene a negar el carácter básico de esta cuestión. Por tanto, el régimen de sustituciones (art. 4 del Real Decreto-ley) lesiona la potestad de autoorganización de la Comunidad Autónoma del País Vasco (art. 10.2 EAPV) y la fijación del horario de trabajo de los empleados docentes (art. 3 del Real Decreto-ley) invade, además de la anterior, la competencia exclusiva sobre el régimen estatutario de los funcionarios del País Vasco (art. 10.4 EAPV).</w:t>
      </w:r>
    </w:p>
    <w:p w:rsidR="00163957" w:rsidRDefault="00163957" w:rsidP="00163957">
      <w:pPr>
        <w:pStyle w:val="TextoNormal"/>
      </w:pPr>
    </w:p>
    <w:p w:rsidR="00163957" w:rsidRDefault="00163957" w:rsidP="00163957">
      <w:pPr>
        <w:pStyle w:val="TextoNormal"/>
      </w:pPr>
      <w:r>
        <w:t>Para el Gobierno Vasco y en coherencia con la doctrina jurisprudencial de este Tribunal “el legislador estatal postconstitucional ha procedido a regular de manera completa, al menos aparentemente, las bases del régimen estatutario de los funcionarios públicos” (STC 37/2002, de 14 de febrero, FJ 9), y el hecho es que ni la Ley 30/1984, de 2 de agosto, de medidas para la reforma de la función pública, ni la Ley 53/1984, de 26 de diciembre, de incompatibilidades del personal al servicio de las Administraciones públicas, ni la Ley del estatuto básico del empleado público contienen normas de fijación de la jornada de los empleados públicos. El art. 3 del Real Decreto-ley 14/2012, supone una excepción a lo establecido en el art. 47 LEEP, que no tendría amparo en el art. 2.3 LEEP, que remite a su legislación específica la regulación del personal docente y de los servicios de salud, ya que esta remisión se debe entender circunscrita a sus especialidades. En el caso del personal docente, esas especialidades se contendrían en la disposición adicional sexta de la Ley Orgánica 2/2006, de 3 de mayo, de educación (LOE), que se refiere a las bases del régimen estatutario de la función pública docente, y se circunscribe a las normas de ingreso, movilidad entre cuerpos docentes, reordenación de cuerpos y escalas y a los concursos de traslados de ámbito estatal.</w:t>
      </w:r>
    </w:p>
    <w:p w:rsidR="00163957" w:rsidRDefault="00163957" w:rsidP="00163957">
      <w:pPr>
        <w:pStyle w:val="TextoNormal"/>
      </w:pPr>
    </w:p>
    <w:p w:rsidR="00163957" w:rsidRDefault="00163957" w:rsidP="00163957">
      <w:pPr>
        <w:pStyle w:val="TextoNormal"/>
      </w:pPr>
      <w:r>
        <w:t xml:space="preserve">Las bases estatales en materia de funcionarios públicos pueden establecer deberes dentro de su estatuto, pero no concretar su contenido. Y en el caso de la jornada lectiva del profesorado, esa concreción excesiva no queda desmentida por el hecho de que no se fije la parte no lectiva de la jornada. En todo caso el Estado podría introducir alguna limitación a la competencia autonómica de regulación de la jornada de los profesores, pero siempre derivada de derechos y principios constitucionales, como el derecho a la educación, la protección de la seguridad e higiene en el trabajo o de la garantía del descanso de los trabajadores. </w:t>
      </w:r>
      <w:r>
        <w:lastRenderedPageBreak/>
        <w:t>Ninguno de ellos está presente en el art. 3 del Real Decreto-ley 14/2012. El derecho a la educación no se protege fijando el horario del profesorado, sino los contenidos, objetivos y créditos horarios de las enseñanzas mínimas. Tampoco la protección del trabajador docente inspira esa regulación. De hecho, la memoria de análisis de impacto normativo alude a que si existe legislación específica sobre el horario laboral de los funcionarios sanitarios (arts. 46 y ss. de la Ley 55/2003, de 16 de diciembre, del estatuto marco del personal estatutario de los servicios de salud), pero resulta que ésta sí está orientada a la protección de la seguridad y salud de este personal, a diferencia de lo que ocurre aquí con el profesorado funcionario.</w:t>
      </w:r>
    </w:p>
    <w:p w:rsidR="00163957" w:rsidRDefault="00163957" w:rsidP="00163957">
      <w:pPr>
        <w:pStyle w:val="TextoNormal"/>
      </w:pPr>
    </w:p>
    <w:p w:rsidR="00163957" w:rsidRDefault="00163957" w:rsidP="00163957">
      <w:pPr>
        <w:pStyle w:val="TextoNormal"/>
      </w:pPr>
      <w:r>
        <w:t>c) El Gobierno Vasco señala que la competencia estatal sobre las bases y coordinación de la planificación general de la actividad económica tampoco da cobertura a los arts. 3 y 4 del Real Decreto-ley 14/2012, aunque se trate de una disposición dictada para la contención del gasto público y el logro de objetivos de reducción de déficit exigidos por la Unión Europea.</w:t>
      </w:r>
    </w:p>
    <w:p w:rsidR="00163957" w:rsidRDefault="00163957" w:rsidP="00163957">
      <w:pPr>
        <w:pStyle w:val="TextoNormal"/>
      </w:pPr>
    </w:p>
    <w:p w:rsidR="00163957" w:rsidRDefault="00163957" w:rsidP="00163957">
      <w:pPr>
        <w:pStyle w:val="TextoNormal"/>
      </w:pPr>
      <w:r>
        <w:t>Es cierto que el Ministro de Educación, Cultura y Deporte justificó estas medidas en el debate de convalidación parlamentaria del Real Decreto-ley en la necesidad de ayudar a las Comunidades Autónomas a cumplir con sus obligaciones de estabilidad presupuestaria. Pero en realidad estamos ante imposiciones directas de prescripciones que impiden a las Comunidades Autónomas ejercer sus competencias propias para alcanzar un resultado final, como es no exceder el objetivo de déficit público asignado. Aparte de que en el caso del País Vasco se trataría de medidas innecesarias, dado que esta Comunidad Autónoma estaba dando cumplimiento satisfactorio a su plan económico-financiero de reequilibrio 2012-2014, supervisado por el Estado. Así lo acredita un informe del propio Ministerio de Hacienda y Administraciones Públicas del tercer trimestre de 2012, cuya copia se aporta.</w:t>
      </w:r>
    </w:p>
    <w:p w:rsidR="00163957" w:rsidRDefault="00163957" w:rsidP="00163957">
      <w:pPr>
        <w:pStyle w:val="TextoNormal"/>
      </w:pPr>
    </w:p>
    <w:p w:rsidR="00163957" w:rsidRDefault="00163957" w:rsidP="00163957">
      <w:pPr>
        <w:pStyle w:val="TextoNormal"/>
      </w:pPr>
      <w:r>
        <w:t>Si se admite que el Estado, mediante la invocación del art. 149.1.13 CE, puede adoptar legítimamente cualquier medida que conecte con el objetivo de la estabilidad presupuestaria, quedaría subvertido todo el orden constitucional de distribución de competencias. Además, ni la memoria de impacto normativo, ni la intervención del Ministro en sede parlamentaria justificaron realmente que las medidas del Real Decreto-ley 14/2012 coadyuvasen en concreto al cumplimiento del objetivo del déficit por las Comunidades Autónomas.</w:t>
      </w:r>
    </w:p>
    <w:p w:rsidR="00163957" w:rsidRDefault="00163957" w:rsidP="00163957">
      <w:pPr>
        <w:pStyle w:val="TextoNormal"/>
      </w:pPr>
    </w:p>
    <w:p w:rsidR="00163957" w:rsidRDefault="00163957" w:rsidP="00163957">
      <w:pPr>
        <w:pStyle w:val="TextoNormal"/>
      </w:pPr>
      <w:r>
        <w:t>Antes de pasar a examinar en detalle los preceptos recurridos, el escrito de interposición recuerda cuatro aspectos de la doctrina constitucional en relación con el art. 149.1.13 CE. Así, las medidas estales adoptadas en virtud de este título competencial: primero, deben estar vinculadas con el logro de fines de unidad económica (STC 13/2007, de 18 de enero, FJ 6); segundo, deben tener incidencia relevante en la actividad económica (STC 164/2001, de 11 de julio, FJ 9); tercero, deben tener conexión estrecha y ser determinantes para el logro de fines de política económica general (STC 61/1997, de 20 de marzo, FJ 36); y cuarto, no pueden comportar el vaciamiento de competencias autonómicas (SSTC 118/1996, de 27 de junio, y 61/1997, de 20 de marzo).</w:t>
      </w:r>
    </w:p>
    <w:p w:rsidR="00163957" w:rsidRDefault="00163957" w:rsidP="00163957">
      <w:pPr>
        <w:pStyle w:val="TextoNormal"/>
      </w:pPr>
    </w:p>
    <w:p w:rsidR="00163957" w:rsidRDefault="00163957" w:rsidP="00163957">
      <w:pPr>
        <w:pStyle w:val="TextoNormal"/>
      </w:pPr>
      <w:r>
        <w:t xml:space="preserve">Respecto al art. 3 del Real Decreto-ley 14/2012 (jornada lectiva mínima del profesorado no universitario), se niega por el Gobierno Vasco que la medida tenga carácter coyuntural o temporal, tal como expresa la memoria de análisis de impacto normativo (pág. 29), y se asegura que tiene vocación estructural o de permanencia. En consecuencia, su fundamento </w:t>
      </w:r>
      <w:r>
        <w:lastRenderedPageBreak/>
        <w:t>debería encontrarse en el título sustantivo del régimen estatutario de los funcionarios públicos (art. 149.1.18 CE), por estar modificando ese estatuto, y no en las bases y coordinación de la planificación económica (art. 149.1.13 CE), que sólo podrían albergar medidas que afecten a las retribuciones de los empleados públicos o a los gastos en plazas de nuevo ingreso de carácter coyuntural o de eficacia limitada en el tiempo (STC 178/2006, de 6 de junio, FJ 3). Además, aunque la memoria normativa estipule en 840 millones de euros el posible ahorro derivado de la aplicación de esta medida, se trata de una “estimación azarosa sin justificación en datos reales económicos”, cuestionándose que la misma vaya a tener una incidencia directa en la economía, y no simplemente circunstancial, sin vinculación con los objetivos de política económica del Gobierno, por lo que no puede tener cobertura en el art. 149.1.13 CE. Estaríamos más bien ante un mero instrumento de gestión de recursos humanos de efectos inciertos y dispares en cada Administración, puesto que la reordenación de la jornada lectiva sólo se traducirá en ahorro presupuestario si comporta el redimensionamiento de la plantilla docente, cuestión que es de competencia autonómica y condicionada por las ratios de calidad que quiera establecer cada Administración educativa.</w:t>
      </w:r>
    </w:p>
    <w:p w:rsidR="00163957" w:rsidRDefault="00163957" w:rsidP="00163957">
      <w:pPr>
        <w:pStyle w:val="TextoNormal"/>
      </w:pPr>
    </w:p>
    <w:p w:rsidR="00163957" w:rsidRDefault="00163957" w:rsidP="00163957">
      <w:pPr>
        <w:pStyle w:val="TextoNormal"/>
      </w:pPr>
      <w:r>
        <w:t>El art. 4 del Real Decreto-ley 14/2012 (limitación de las sustituciones de profesores con nuevo profesorado interino), igualmente consistiría en una medida estructural no amparada por el art. 149.1.13 CE, que afecta al núcleo intangible de la organización de los servicios propios de cada Comunidad Autónoma. No se trata de una medida coyuntural con incidencia directa y significativa en el gasto público, como demuestra el hecho de que su magnitud económica no esté tasada en la memoria de impacto, sino meramente estimada en 250 millones de euros “por su dificultad de evaluación”. Lo cual es tanto como reconocer su falta de conexión directa con fines de política económica general, como la reducción del déficit y el logro de la estabilidad presupuestaria.</w:t>
      </w:r>
    </w:p>
    <w:p w:rsidR="00163957" w:rsidRDefault="00163957" w:rsidP="00163957">
      <w:pPr>
        <w:pStyle w:val="TextoNormal"/>
      </w:pPr>
    </w:p>
    <w:p w:rsidR="00163957" w:rsidRDefault="00163957" w:rsidP="00163957">
      <w:pPr>
        <w:pStyle w:val="TextoNormal"/>
      </w:pPr>
      <w:r>
        <w:t>Se insiste también en que esta medida hurta a la Comunidad Autónoma del País Vasco de todo margen de desarrollo normativo, al que tiene derecho conforme a los arts. 16 y 10.2 EAPV, pues no es viable elevar aún más los umbrales mínimos marcados por la norma sin dejar de garantizar la calidad de la enseñanza. Falta por tanto el triple carácter genérico, directivo y finalista que es propio de las medidas estatales justificadas como bases de la planificación general de la actividad económica (STC 332/2005, de 15 de diciembre).</w:t>
      </w:r>
    </w:p>
    <w:p w:rsidR="00163957" w:rsidRDefault="00163957" w:rsidP="00163957">
      <w:pPr>
        <w:pStyle w:val="TextoNormal"/>
      </w:pPr>
    </w:p>
    <w:p w:rsidR="00163957" w:rsidRDefault="00163957" w:rsidP="00163957">
      <w:pPr>
        <w:pStyle w:val="TextoNormal"/>
      </w:pPr>
      <w:r>
        <w:t>El Gobierno Vasco reconoce que en ocasiones la jurisprudencia constitucional ha admitido la invocación del art. 149.1.13 CE por el Estado para justificar su apuesta por una opción concreta de política económica, reduciendo el margen de actuación autonómica a aspectos meramente organizativos y procedimentales. Así habría ocurrido en materia de ordenación del crédito, de horarios comerciales, de planes de reconversión de actividades económicas, con cita de las correspondientes sentencias. Pero esta doctrina no sería aplicable al caso del art. 4 del Real Decreto-ley 14/2012, por no versar éste sobre una actividad de naturaleza directamente económica, ni ser una acción estratégica para la economía del Estado en su conjunto. Sencillamente, no toda medida que tenga un efecto económico es una medida de política económica.</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El 12 de febrero de 2013 el Pleno del Tribunal Constitucional acordó por providencia la admisión a trámite del recurso de inconstitucionalidad planteado, que fue notificada el 19 de febrero de 2013 por la Secretaria de Justicia de este Tribunal al Gobierno Vasco por medio del Procurador don Felipe Juanas Blanco, y se publicó en el “Boletín Oficial del </w:t>
      </w:r>
      <w:r>
        <w:lastRenderedPageBreak/>
        <w:t>Estado” de 22 de febrero de 2013. De conformidad con lo previsto en el art. 34 LOTC se dio traslado de las actuaciones al Congreso de los Diputados y al Senado, por conducto de sus Presidentes, y al Gobierno de la Nación, por conducto del Ministro de Justicia, con sello de recepción en este caso del 18 de febrero de 2013, para que pudieran personarse en el proceso y formular las alegaciones que estimasen pertinentes.</w:t>
      </w:r>
    </w:p>
    <w:p w:rsidR="00163957" w:rsidRDefault="00163957" w:rsidP="00163957">
      <w:pPr>
        <w:pStyle w:val="TextoNormal"/>
      </w:pPr>
    </w:p>
    <w:p w:rsidR="00163957" w:rsidRDefault="00163957" w:rsidP="00163957">
      <w:pPr>
        <w:pStyle w:val="TextoNormal"/>
      </w:pPr>
      <w:r w:rsidRPr="00163957">
        <w:rPr>
          <w:rStyle w:val="NumeroAFNegritaCaracter"/>
        </w:rPr>
        <w:t>4</w:t>
      </w:r>
      <w:r>
        <w:t>. El Abogado del Estado, mediante escrito registrado en este Tribunal Constitucional el 19 de febrero de 2013, se personó en el proceso en nombre del Gobierno, solicitando además prórroga del plazo para formular alegaciones en el recurso por el máximo legal de ocho días. Esa prórroga, a contar a partir del día siguiente al de expiración del plazo ordinario, le fue concedida por el Pleno de este Tribunal Constitucional mediante providencia de 20 de febrero de 2013, que fue notificada a las partes en el proceso. La Abogacía del Estado evacuó el trámite de alegaciones al recurso de inconstitucionalidad dentro de la prórroga del plazo conferido, mediante escrito registrado en este Tribunal el 8 de marzo de 2013.</w:t>
      </w:r>
    </w:p>
    <w:p w:rsidR="00163957" w:rsidRDefault="00163957" w:rsidP="00163957">
      <w:pPr>
        <w:pStyle w:val="TextoNormal"/>
      </w:pPr>
    </w:p>
    <w:p w:rsidR="00163957" w:rsidRDefault="00163957" w:rsidP="00163957">
      <w:pPr>
        <w:pStyle w:val="TextoNormal"/>
      </w:pPr>
      <w:r w:rsidRPr="00163957">
        <w:rPr>
          <w:rStyle w:val="NumeroAFNegritaCaracter"/>
        </w:rPr>
        <w:t>5</w:t>
      </w:r>
      <w:r>
        <w:t>. El Presidente del Senado, por escrito registrado en este Tribunal el día 27 de febrero de 2013, interesó se tuviera por personada a dicha Cámara y por ofrecida su colaboración a los efectos del art. 88.1 LOTC. En los mismos términos, y mediante escrito también registrado el día 27 de septiembre de 2013, el Presidente del Congreso comunicó el acuerdo adoptado por la Mesa de la Cámara, que además remitía el asunto a la Dirección de Estudios, Análisis y Publicaciones y a la asesoría jurídica de la Secretaría General de la Cámara.</w:t>
      </w:r>
    </w:p>
    <w:p w:rsidR="00163957" w:rsidRDefault="00163957" w:rsidP="00163957">
      <w:pPr>
        <w:pStyle w:val="TextoNormal"/>
      </w:pPr>
    </w:p>
    <w:p w:rsidR="00163957" w:rsidRDefault="00163957" w:rsidP="00163957">
      <w:pPr>
        <w:pStyle w:val="TextoNormal"/>
      </w:pPr>
      <w:r w:rsidRPr="00163957">
        <w:rPr>
          <w:rStyle w:val="NumeroAFNegritaCaracter"/>
        </w:rPr>
        <w:t>6</w:t>
      </w:r>
      <w:r>
        <w:t>. En su escrito de alegaciones la Abogada del Estado interesa la íntegra desestimación del recurso de inconstitucionalidad. En él se fijan en primer lugar los términos del recurso presentado, identificando el objeto de impugnación y los títulos competenciales en conflicto. Los preceptos impugnados (arts. 3 y 4 del Real Decreto-ley 14/2012, de 20 de abril, de racionalización del gasto público educativo, cuyo contenido se reproduce), se enmarcan en una medida legislativa de urgencia que tiene como finalidad fundamental mejorar la eficiencia del gasto público en educación, proporcionando concretamente a las Comunidades Autónomas, que son las que soportan la mayor parte de ese peso, vías para alcanzar la estabilidad presupuestaria. A este respecto, el déficit autonómico máximo permitido para 2012 fue del 1,5 por 100 de su PIB. Estas medidas se consideran necesarias mientras las condiciones macroeconómicas impongan un escenario presupuestario de contención severa del gasto público. El fundamento competencial invocado por el Estado se encuentra en la disposición final primera del Real Decreto-ley recurrido, que hace referencia, igual que la exposición de motivos, a los títulos recogidos en los apartados 1, 13, 18 y 30 del art. 149.1 CE. Mientras que por parte de la Comunidad Autónoma del País Vasco entran en juego su competencia de desarrollo legislativo y ejecución en materia de educación (art. 16 EAPV), su competencia exclusiva sobre organización, régimen y funcionamiento de sus instituciones de autogobierno (art. 10.2 EAPV), y su competencia exclusiva sobre el estatuto de los funcionarios del País Vasco (art. 10.4 EAPV).</w:t>
      </w:r>
    </w:p>
    <w:p w:rsidR="00163957" w:rsidRDefault="00163957" w:rsidP="00163957">
      <w:pPr>
        <w:pStyle w:val="TextoNormal"/>
      </w:pPr>
    </w:p>
    <w:p w:rsidR="00163957" w:rsidRDefault="00163957" w:rsidP="00163957">
      <w:pPr>
        <w:pStyle w:val="TextoNormal"/>
      </w:pPr>
      <w:r>
        <w:t>De modo paralelo al escrito de interposición del recurso, las alegaciones de la Abogada del Estado tratan de contraargumentar la inexistencia de presupuesto constitucional habilitante del Real Decreto-ley y el exceso estatal en el ejercicio de sus competencias básicas, por no dejar margen de desarrollo de sus prescripciones a las Comunidades Autónomas, basándose en los siguientes puntos:</w:t>
      </w:r>
    </w:p>
    <w:p w:rsidR="00163957" w:rsidRDefault="00163957" w:rsidP="00163957">
      <w:pPr>
        <w:pStyle w:val="TextoNormal"/>
      </w:pPr>
    </w:p>
    <w:p w:rsidR="00163957" w:rsidRDefault="00163957" w:rsidP="00163957">
      <w:pPr>
        <w:pStyle w:val="TextoNormal"/>
      </w:pPr>
      <w:r>
        <w:t>a) Se recoge en primer lugar la jurisprudencia constitucional consolidada sobre las exigencias derivadas del art. 86.1 CE para el uso por el Gobierno de su potestad legislativa extraordinaria, destacando que su control jurídico por este Tribunal no permite suplantar a los órganos constitucionales competentes para aprobar y convalidar un real decreto-ley, así como que este instrumento normativo tiene una especial aptitud para atender “coyunturas económicas problemáticas” (STC 23/1993, de 21 de enero, FJ 5), citándose varios ejemplos examinados por este Tribunal. En definitiva, “el presupuesto habilitante del Derecho-ley viene constituido por una situación de necesidad relativa respecto de una acción del Gobierno que requiera una actuación normativa inmediata de rango legal que no pueda satisfacerse a través de los procedimientos previstos para la elaboración de la ley”, condiciones que el Real Decreto-ley 14/2012 cumpliría claramente.</w:t>
      </w:r>
    </w:p>
    <w:p w:rsidR="00163957" w:rsidRDefault="00163957" w:rsidP="00163957">
      <w:pPr>
        <w:pStyle w:val="TextoNormal"/>
      </w:pPr>
    </w:p>
    <w:p w:rsidR="00163957" w:rsidRDefault="00163957" w:rsidP="00163957">
      <w:pPr>
        <w:pStyle w:val="TextoNormal"/>
      </w:pPr>
      <w:r>
        <w:t>La Abogada del Estado dedica una amplia argumentación a la exteriorización del presupuesto habilitante del Real Decreto-ley en su expediente de elaboración, en su exposición de motivos y en su debate de convalidación. Ese presupuesto proviene de la situación de crisis económica sin precedentes que estaba atravesando nuestro país al tiempo de dictarse el Real Decreto-ley 14/2012. En ese contexto, en el que los organismos internacionales alertaban sobre su desconfianza en la deuda soberana de la zona Euro a partir de la crisis griega de 2010, la Unión Europea exige una reducción severa del déficit de las Administraciones públicas. Por esa razón, la exposición de motivos del Real Decreto-ley recurrido explica que se establecen medidas imprescindibles para la consolidación fiscal exigida desde Europa, proporcionando a las Administraciones educativas una serie de instrumentos para lograr alcanzarla en sus territorios. Respecto a la gravedad de la crisis económica y financiera sufrida por nuestro país se recogen citas de los informes de coyuntura económica del Banco de España. En los correspondientes a 2008 y 2009 se llega a hablar de una espiral catastrófica, no conocida desde el final de la segunda guerra mundial, que plantea el reto de la propia sostenibilidad de las finanzas públicas para hacer frente a sus obligaciones de pago y el peligro del contagio de la crisis de credibilidad fiscal griega. En el informe de 2011 se alerta de la prolongación y recrudecimiento de la crisis de la deuda soberana en la zona Euro, aconsejándose ajustes urgentes para corregir desequilibrios. La crisis se agudiza por los problemas financieros de los sistemas bancarios y del sector privado, donde se sigue destruyendo empleo, prosigue el ajuste inmobiliario y no se mejora la competitividad ni el apalancamiento financiero. Estas circunstancias habrían sido reconocidas por este Tribunal en su Auto 161/2012, de 13 de septiembre, FJ 4, en el que se rechaza el levantamiento de la suspensión de una Orden de la Junta de Andalucía en materia de educación, por apelación a la necesidad de contener el gasto público en el contexto económico de crisis que se atraviesa.</w:t>
      </w:r>
    </w:p>
    <w:p w:rsidR="00163957" w:rsidRDefault="00163957" w:rsidP="00163957">
      <w:pPr>
        <w:pStyle w:val="TextoNormal"/>
      </w:pPr>
    </w:p>
    <w:p w:rsidR="00163957" w:rsidRDefault="00163957" w:rsidP="00163957">
      <w:pPr>
        <w:pStyle w:val="TextoNormal"/>
      </w:pPr>
      <w:r>
        <w:t xml:space="preserve">En cuanto a la necesidad de acometer la corrección del déficit público se invoca el Libro Amarillo de Presentación del Proyecto de Presupuestos Generales del Estado para 2012, en el que se destacaba la existencia de una desviación de 2,5 puntos del déficit reconocido por el Gobierno saliente respecto del calculado por el entrante tras las elecciones de finales de 2011 (8,5 por 100 del PIB nacional, en vez del 6 por 100, equivalente a unos 27.000 millones de euros). Esta circunstancia obligó a tomar medidas urgentes de ajuste, dado que además la Ley de Presupuestos Generales para 2012 pasó a fijar finalmente un objetivo de déficit del 5,3 por 100 sobre el PIB para el conjunto de las Administraciones públicas. Se destaca también que el gasto educativo representa un importante porcentaje de ese gasto público. </w:t>
      </w:r>
      <w:r>
        <w:lastRenderedPageBreak/>
        <w:t>En concreto, un 10,99 por 100 en 2010, del que la mayor parte corresponde a las Comunidades Autónomas, según datos oficiales del Ministerio del ramo, que contienen la serie histórica desglosada entre 2000 y 2010, y que se adjuntan al escrito de alegaciones. Además, en su comparecencia parlamentaria, el Ministro de Educación, Cultura y Deporte insistió en que en el último ejercicio económico la mayor desviación de déficit público se produjo en el gasto autonómico, cuyos componentes principales son el gasto educativo y el sanitario. De ahí que el Gobierno haya querido abrir vías a las Comunidades Autónomas para introducir criterios de racionalización y eficiencia en la prestación de servicios básicos como el de la educación.</w:t>
      </w:r>
    </w:p>
    <w:p w:rsidR="00163957" w:rsidRDefault="00163957" w:rsidP="00163957">
      <w:pPr>
        <w:pStyle w:val="TextoNormal"/>
      </w:pPr>
    </w:p>
    <w:p w:rsidR="00163957" w:rsidRDefault="00163957" w:rsidP="00163957">
      <w:pPr>
        <w:pStyle w:val="TextoNormal"/>
      </w:pPr>
      <w:r>
        <w:t>b) El escrito de alegaciones contiene también una extensa justificación de los cuatro títulos competenciales referidos en la disposición final primera del Real decreto-ley 14/2012.</w:t>
      </w:r>
    </w:p>
    <w:p w:rsidR="00163957" w:rsidRDefault="00163957" w:rsidP="00163957">
      <w:pPr>
        <w:pStyle w:val="TextoNormal"/>
      </w:pPr>
    </w:p>
    <w:p w:rsidR="00163957" w:rsidRDefault="00163957" w:rsidP="00163957">
      <w:pPr>
        <w:pStyle w:val="TextoNormal"/>
      </w:pPr>
      <w:r>
        <w:t>En cuanto a la competencia transversal del art. 149.1.1 CE (condiciones básicas que garanticen la igualdad de todos los españoles en el ejercicio de los derechos y en el cumplimiento de los deberes constitucionales), sin negar su relevancia, se remarca que no es un título prevalente que proporcione cobertura autónoma a la norma. Más bien tiene una función habilitante de competencias más específicas y conexas con derechos constitucionales, sobre todo para procurar cierta homogeneidad social en su ejercicio, y por tanto, garantizar la uniformidad de las condiciones de vida en el territorio nacional. Con cita de nuestra STC 61/1997, de 20 de marzo, FFJJ 7 y 8, se indica que el objeto de este título competencial recae sobre derechos y deberes constitucionales básicos, y no sobre las materias en las que éstos se insertan.</w:t>
      </w:r>
    </w:p>
    <w:p w:rsidR="00163957" w:rsidRDefault="00163957" w:rsidP="00163957">
      <w:pPr>
        <w:pStyle w:val="TextoNormal"/>
      </w:pPr>
    </w:p>
    <w:p w:rsidR="00163957" w:rsidRDefault="00163957" w:rsidP="00163957">
      <w:pPr>
        <w:pStyle w:val="TextoNormal"/>
      </w:pPr>
      <w:r>
        <w:t>Por su parte, el art. 149.1.18 CE, al permitir fijar las bases del régimen estatutario de los funcionarios públicos, prestaría cobertura especialmente a las medidas del Decreto-ley relativas al profesorado universitario, con preferencia a la prestada por las competencias estatales sobre educación. Sin embargo, respecto a las medidas sobre profesorado no universitario entiende la Abogada del Estado que sería prevalente la invocación del art. 149.1.30 CE, ya que su finalidad prioritaria sería la garantía de la calidad mínima de la enseñanza, aunque aquéllas repercutan en la organización administrativa y en el acceso a puestos de trabajo en el sector público. De todas formas, no es descartable la invocación del apartado 18 del art. 149.1 CE para justificar medidas sobre horarios de los profesores, en la medida en que el propio art. 2.3 LEEP, remite, respecto a determinados colectivos de empleados como el personal docente y sanitario, a la legislación específica estatal y autonómica que se dicte para regularlos. Y de hecho, respecto al personal sanitario, hace tiempo que el legislador estatal ha establecido previsiones concretas sobre su horario de trabajo a través de los arts. 46 y siguientes de la Ley 55/2003, de 16 de diciembre, del estatuto marco del personal estatutario de los servicios de salud, de un modo similar al que ahora pasa a hacerlo el Decreto-ley impugnado respecto al personal docente no universitario. Además, se resalta que en todo caso la legislación básica estatal en este ámbito del empleo público condiciona las competencias exclusivas del País Vasco sobre organización, régimen y funcionamiento de sus instituciones de autogobierno (art. 10.2. y 4 EAPV).</w:t>
      </w:r>
    </w:p>
    <w:p w:rsidR="00163957" w:rsidRDefault="00163957" w:rsidP="00163957">
      <w:pPr>
        <w:pStyle w:val="TextoNormal"/>
      </w:pPr>
    </w:p>
    <w:p w:rsidR="00163957" w:rsidRDefault="00163957" w:rsidP="00163957">
      <w:pPr>
        <w:pStyle w:val="TextoNormal"/>
      </w:pPr>
      <w:r>
        <w:t xml:space="preserve">En relación con el art. 149.1.30 CE, el escrito de alegaciones recuerda que este título consta de dos incisos. El alcance del primero, sobre las condiciones de obtención, expedición y homologación de títulos académicos y profesionales, vendría expuesto en nuestra STC 154/2005, de 9 de junio, FJ 8. El segundo se proyecta sobre las normas básicas de </w:t>
      </w:r>
      <w:r>
        <w:lastRenderedPageBreak/>
        <w:t>desarrollo del art. 27 CE, planteándose en este recurso el problema del alcance material de las mismas, dado que se alega el exceso en el que ha incurrido el Gobierno. Si bien esas bases tienen una gran variedad en función del ámbito sobre el que recaigan, no tienen por qué constreñirse sólo a pautas genéricas y abstractas, pudiendo comprender reglas de distinto tipo, topes máximos, niveles mínimos, tramos, e incluso actos de naturaleza ejecutiva (STC 222/2006, de 6 de julio, FJ 3). A la vez, con carácter general, esa regulación no puede ser de tanto detalle que no deje espacio para el desarrollo autonómico. Al final, el contenido y alcance concreto de lo básico será determinado por el legislador estatal, siempre sin alterar el orden constitucional y estatutario y sin perjuicio del control que corresponde hacer a este Tribunal Constitucional (STC 141/1993, de 22 de abril, FJ 3). En este sentido, por ejemplo, la STC 131/1996, de 11 de julio, consideró básica la fijación por el Estado de un porcentaje mínimo de profesores doctores para cada ciclo universitario, así como de profesorado funcionario para las universidades públicas, en cuanto medida de garantía de un mínimo de calidad de la enseñanza, a pesar del reflejo que esas previsiones tienen en los aspectos organizativos de las universidades. Lo mismo ocurriría en el caso del Real Decreto-ley recurrido, en cuanto contiene medidas sobre la duración de la jornada docente y sobre las sustituciones del profesorado, que tienen sin duda consecuencias de carácter organizativo del sistema educativo, pero cuyo sentido primordial es asegurar un nivel mínimo del servicio docente en todo el Estado. Además, esos efectos organizativos son de carácter indirecto y reflejo, pues dejan un margen amplio de plasmación a las Comunidades Autónomas.</w:t>
      </w:r>
    </w:p>
    <w:p w:rsidR="00163957" w:rsidRDefault="00163957" w:rsidP="00163957">
      <w:pPr>
        <w:pStyle w:val="TextoNormal"/>
      </w:pPr>
    </w:p>
    <w:p w:rsidR="00163957" w:rsidRDefault="00163957" w:rsidP="00163957">
      <w:pPr>
        <w:pStyle w:val="TextoNormal"/>
      </w:pPr>
      <w:r>
        <w:t xml:space="preserve">De todos modos, para la Abogada del Estado el principal título competencial de cobertura del Real Decreto-ley 14/2012, debido a la finalidad de esta disposición, está en el apartado 13 del art. 149.1 CE, en conexión con el principio de coordinación de las haciendas públicas por parte del Estado (art. 156 CE). Recuerda que la jurisprudencia de este Tribunal [SSTC 186/1988, de 17 de octubre, FJ 2, y 133/1997, de 16 de julio, FJ 4.C)] entiende que ese título ampara acciones unitarias en todo el territorio del Estado para la consecución de objetivos de política económica nacional, efectuando incluso una planificación de detalle, aunque sin poder vaciar por ello las competencias asumidas por las Comunidades Autónomas. Más en concreto, cabe establecer por esta vía medidas de contención de gastos corrientes y de reducción del déficit público, en línea con las exigencias de estabilidad presupuestaria y de prohibición de un déficit estructural superior al que se establezca, que están ahora contempladas en el art. 135 CE y son desarrolladas por la Ley Orgánica 2/2012, de 27 de abril, de estabilidad presupuestaria y sostenibilidad financiera. Así, la jurisprudencia constitucional habría admitido la fijación, con apoyo en los arts. 149.1.13 y 156.1 CE (y no en el art. 149.1.18 CE), de techos de gasto de las Administraciones públicas a través de los Presupuestos Generales del Estado como medida de política económica. Es el caso de la imposición de límites al incremento global de retribuciones de los empleados públicos (no de los empleados autonómicos considerados individualmente) o de restricciones al volumen cuantitativo de las plazas contenidas en la oferta de empleo público (SSTC 63/1986, de 21 de mayo, FFJJ 6 y 11; 148/2006, de 11 de mayo, FJ 4). Son medidas de política económica general, y no de régimen estatutario de los funcionarios públicos, puesto que no se circunscriben a este colectivo, sino que se aplican al más general de los empleados públicos, y tienen carácter coyuntural, sin integrarse propiamente en el estatus funcionarial. Así ocurriría en el caso del Real Decreto-ley 14/2012, que contiene medidas de ordenación general de la economía, no destinadas a los funcionarios de las Comunidades Autónomas, sino a todos los empleados públicos de las Administraciones educativas, que son adoptadas con carácter </w:t>
      </w:r>
      <w:r>
        <w:lastRenderedPageBreak/>
        <w:t>excepcional o transitorio y no estructural, para atender un escenario presupuestario concreto. En consecuencia, el título competencial autonómico de contraste sería el del art. 10.25 EAPV, sobre la promoción, desarrollo económico y planificación de la actividad económica del País Vasco de acuerdo con la ordenación general de la economía.</w:t>
      </w:r>
    </w:p>
    <w:p w:rsidR="00163957" w:rsidRDefault="00163957" w:rsidP="00163957">
      <w:pPr>
        <w:pStyle w:val="TextoNormal"/>
      </w:pPr>
    </w:p>
    <w:p w:rsidR="00163957" w:rsidRDefault="00163957" w:rsidP="00163957">
      <w:pPr>
        <w:pStyle w:val="TextoNormal"/>
      </w:pPr>
      <w:r>
        <w:t>c) Finalmente, el escrito de alegaciones defiende más en detalle la constitucionalidad de los dos preceptos impugnados del Real Decreto-ley 14/2012. Frente a la negación por la parte recurrente de que esas previsiones constituyan bases y coordinación de la planificación general de la actividad económica por no tener verdadera relación con la dirección de la economía, se sostiene que ambos artículos contienen medidas coyunturales de carácter básico para la contención del déficit público. Además, están dotadas de flexibilidad, al ofrecerse a las Comunidades Autónomas como herramientas complementarias a su servicio para el cumplimiento del compromiso vinculante de alcanzar la estabilidad presupuestaria pública.</w:t>
      </w:r>
    </w:p>
    <w:p w:rsidR="00163957" w:rsidRDefault="00163957" w:rsidP="00163957">
      <w:pPr>
        <w:pStyle w:val="TextoNormal"/>
      </w:pPr>
    </w:p>
    <w:p w:rsidR="00163957" w:rsidRDefault="00163957" w:rsidP="00163957">
      <w:pPr>
        <w:pStyle w:val="TextoNormal"/>
      </w:pPr>
      <w:r>
        <w:t>En concreto, las medidas recurridas inciden en las partidas sobre profesorado de los presupuestos públicos, cuya relevancia es notable. Los costes de personal consignados para 2012 ascendieron a “29.522 millones de euros, un 56 por 100 del total del gasto público educativo, que incluidas las cotizaciones sociales imputadas representaría el 64,0 por 100; en el caso de las Administraciones educativas, se eleva al 71,1 por 100”. Esos gastos corresponden a una plantilla de más de 682.000 profesores de centros de enseñanzas de régimen general no universitarias, y de más de 37.000 docentes en centros de enseñanzas de régimen especial.</w:t>
      </w:r>
    </w:p>
    <w:p w:rsidR="00163957" w:rsidRDefault="00163957" w:rsidP="00163957">
      <w:pPr>
        <w:pStyle w:val="TextoNormal"/>
      </w:pPr>
    </w:p>
    <w:p w:rsidR="00163957" w:rsidRDefault="00163957" w:rsidP="00163957">
      <w:pPr>
        <w:pStyle w:val="TextoNormal"/>
      </w:pPr>
      <w:r>
        <w:t>Pues bien, el art. 3 del Real Decreto-ley 14/2012 establece dos previsiones básicas que constituyen un mínimo común denominador para garantizar una calidad homogénea de los servicios docentes en todo el territorio estatal, que las Comunidades Autónomas pueden concretar. Se trata de un mínimo de horas lectivas de los profesores de centros docentes públicos y concertados, y de un mínimo normativo para aplicar el régimen de compensación de los casos de exceso de horas docentes con horas complementarias. Esas medidas, adoptadas en virtud de la competencia estatal de dirección de la actividad económica general y de coordinación en materia de hacienda pública (arts. 149.1.13 y 156.1 CE), tendrían además un carácter coyuntural o temporal.</w:t>
      </w:r>
    </w:p>
    <w:p w:rsidR="00163957" w:rsidRDefault="00163957" w:rsidP="00163957">
      <w:pPr>
        <w:pStyle w:val="TextoNormal"/>
      </w:pPr>
    </w:p>
    <w:p w:rsidR="00163957" w:rsidRDefault="00163957" w:rsidP="00163957">
      <w:pPr>
        <w:pStyle w:val="TextoNormal"/>
      </w:pPr>
      <w:r>
        <w:t>En cuanto a su impacto económico, se aportan datos estimativos de la reducción de profesorado que la medida puede comportar y, por tanto, de los gastos de personal que permitiría reducir, desglosados por niveles de enseñanza y excluyendo los centros con plantilla inferior a diez profesores. En total, los gastos corrientes por esos conceptos podrían rebajarse en 840 millones de euros, aunque el impacto final dependerá del grado de implantación de la medida en cada territorio.</w:t>
      </w:r>
    </w:p>
    <w:p w:rsidR="00163957" w:rsidRDefault="00163957" w:rsidP="00163957">
      <w:pPr>
        <w:pStyle w:val="TextoNormal"/>
      </w:pPr>
    </w:p>
    <w:p w:rsidR="00163957" w:rsidRDefault="00163957" w:rsidP="00163957">
      <w:pPr>
        <w:pStyle w:val="TextoNormal"/>
      </w:pPr>
      <w:r>
        <w:t>Se recuerda además que el art. 17 de la Ley 2/2012, de 29 de junio, de Presupuestos Generales del Estado para 2012, estableció también el patrón de las veinticinco horas lectivas semanales por profesor para el cálculo del importe de los conciertos educativos por las Administraciones, y que la disposición adicional septuagésima primera de la misma ley también pasó a establecer la jornada mínima de trabajo para todo el sector público.</w:t>
      </w:r>
    </w:p>
    <w:p w:rsidR="00163957" w:rsidRDefault="00163957" w:rsidP="00163957">
      <w:pPr>
        <w:pStyle w:val="TextoNormal"/>
      </w:pPr>
    </w:p>
    <w:p w:rsidR="00163957" w:rsidRDefault="00163957" w:rsidP="00163957">
      <w:pPr>
        <w:pStyle w:val="TextoNormal"/>
      </w:pPr>
      <w:r>
        <w:lastRenderedPageBreak/>
        <w:t>De igual manera, el art. 4 del Real Decreto-ley 14/2012, que limita el nombramiento de funcionarios docentes interinos para cubrir sustituciones, también tendría su fundamento en el art. 149.1.13 CE como medida coyuntural de contención del gasto público en aras de alcanzar el objetivo de la estabilidad presupuestaria, mejorando la eficiencia de los recursos humanos de las Administraciones educativas. Esta prescripción no menoscaba la potestad autonómica de autoorganización para la prestación de sus servicios públicos, valorando sus concretas necesidades y recursos humanos disponibles. El precepto establece un periodo de diez días lectivos para poder acudir al nombramiento de personal interino, lo cual tiene un carácter básico por tratarse de un mínimo, que no impide a las Comunidades Autónomas ejercer sus competencias sobre sus servicios.</w:t>
      </w:r>
    </w:p>
    <w:p w:rsidR="00163957" w:rsidRDefault="00163957" w:rsidP="00163957">
      <w:pPr>
        <w:pStyle w:val="TextoNormal"/>
      </w:pPr>
    </w:p>
    <w:p w:rsidR="00163957" w:rsidRDefault="00163957" w:rsidP="00163957">
      <w:pPr>
        <w:pStyle w:val="TextoNormal"/>
      </w:pPr>
      <w:r>
        <w:t>Su impacto económico no es fácil de calcular, pero rondaría los 1.900 euros por cada supuesto de posible sustitución en los centros públicos (considerando que las retribuciones por todos los conceptos del profesorado interino están en torno a los 190 euros por día lectivo). En total, atendiendo al volumen referido de las plantillas docentes, antes referido, “por cada punto porcentual en la tasa de sustituciones cabe estimar el impacto presupuestario en una cifra cercana a los 9,3 millones de euros”. La medida también incidiría en el coste de los conciertos educativos, cuyo cálculo incluye el pago de las sustituciones de profesorado.</w:t>
      </w:r>
    </w:p>
    <w:p w:rsidR="00163957" w:rsidRDefault="00163957" w:rsidP="00163957">
      <w:pPr>
        <w:pStyle w:val="TextoNormal"/>
      </w:pPr>
    </w:p>
    <w:p w:rsidR="00163957" w:rsidRDefault="00163957" w:rsidP="00163957">
      <w:pPr>
        <w:pStyle w:val="TextoNormal"/>
      </w:pPr>
      <w:r w:rsidRPr="00163957">
        <w:rPr>
          <w:rStyle w:val="NumeroAFNegritaCaracter"/>
        </w:rPr>
        <w:t>7</w:t>
      </w:r>
      <w:r>
        <w:t>. Mediante escrito registrado el día 17 de abril de 2013, el Procurador de los Tribunales don Felipe Juanas Blasco solicitó se le diera traslado de las alegaciones formuladas por la Abogacía del Estado, dándose cumplimiento a la misma mediante providencia de 19 de abril, que fue notificada a las partes en el proceso.</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12 de abril de 2016 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objeto del presente recurso de inconstitucionalidad interpuesto por el Gobierno Vasco son los arts. 3 y 4 del Real Decreto-ley 14/2012, de 20 de abril, de medidas urgentes de racionalización del gasto público en el ámbito educativo, que fue convalidado por el Congreso de los Diputados mediante resolución de 17 de mayo de 2012 (“Boletín Oficial del Estado” del 25 de mayo de 2012). Por un lado, se aduce la infracción del art. 86.1 CE, tanto por no existir una situación de extraordinaria y urgente necesidad que justifique la aprobación de esas medidas mediante decreto-ley del Gobierno de la Nación, como por negarse la relación de conexión de las mismas con esa situación excepcional. Por otro lado, se argumenta la vulneración de las competencias asumidas por la Comunidad Autónoma del País Vasco en los arts. 10.2, 10.4 y 16 de su Estatuto de Autonomía, aprobado por Ley Orgánica 3/1979, de 18 de diciembre (EAPV), en materia de empleo público y de educación.</w:t>
      </w:r>
    </w:p>
    <w:p w:rsidR="00163957" w:rsidRDefault="00163957" w:rsidP="00163957">
      <w:pPr>
        <w:pStyle w:val="TextoNormal"/>
      </w:pPr>
    </w:p>
    <w:p w:rsidR="00163957" w:rsidRDefault="00163957" w:rsidP="00163957">
      <w:pPr>
        <w:pStyle w:val="TextoNormal"/>
      </w:pPr>
      <w:r>
        <w:t xml:space="preserve">Por su parte, la Abogada del Estado solicita la desestimación del recurso de inconstitucionalidad en su integridad por considerar que existía en el momento de aprobarse el Real Decreto-ley una situación de grave crisis económica y de necesidad acuciante de corrección de un abultado déficit público, y que cada una de las medidas contenidas en la disposición legislativa de urgencia estaban orientadas a la consecución de un importante ahorro para las </w:t>
      </w:r>
      <w:r>
        <w:lastRenderedPageBreak/>
        <w:t>arcas públicas, estimado en más de 3.700 millones de euros entre todas ellas. Además, sostiene que todas las medidas han sido adoptadas en ejercicio de competencias de titularidad estatal (</w:t>
      </w:r>
      <w:r w:rsidRPr="00163957">
        <w:rPr>
          <w:i/>
        </w:rPr>
        <w:t>ex</w:t>
      </w:r>
      <w:r>
        <w:t xml:space="preserve"> art. 149.1.1, 13, 18 y 30 CE), sin invasión de las que corresponden a la Comunidad Autónoma del País Vasco.</w:t>
      </w:r>
    </w:p>
    <w:p w:rsidR="00163957" w:rsidRDefault="00163957" w:rsidP="00163957">
      <w:pPr>
        <w:pStyle w:val="TextoNormal"/>
      </w:pPr>
    </w:p>
    <w:p w:rsidR="00163957" w:rsidRDefault="00163957" w:rsidP="00163957">
      <w:pPr>
        <w:pStyle w:val="TextoNormal"/>
      </w:pPr>
      <w:r w:rsidRPr="00163957">
        <w:rPr>
          <w:rStyle w:val="NumeroAFNegritaCaracter"/>
        </w:rPr>
        <w:t>2</w:t>
      </w:r>
      <w:r>
        <w:t>. Esta controversia ha quedado ya resuelta en nuestra STC 26/2016, de 15 de febrero, que, con ocasión de un recurso de inconstitucionalidad paralelo, interpuesto por la Junta de Andalucía contra la misma disposición estatal (aunque respecto a un mayor número de preceptos) y en mérito a argumentos semejantes, ha ratificado la competencia estatal para aprobar la regulación contenida en los preceptos impugnados en este proceso. Igualmente, nuestro criterio ha quedado plasmado en la STC 54/2016, de 17 de marzo, dictada en aplicación de doctrina para resolver el recurso planteado por el Parlamento de Navarra contra los arts. 3 y 4 del Real Decreto-ley 14/2012. En consecuencia, nos limitaremos a exponer a continuación la síntesis de esos mismos razonamientos relativos al concreto objeto de impugnación del presente recurso, que conducen a su íntegra desestimación.</w:t>
      </w:r>
    </w:p>
    <w:p w:rsidR="00163957" w:rsidRDefault="00163957" w:rsidP="00163957">
      <w:pPr>
        <w:pStyle w:val="TextoNormal"/>
      </w:pPr>
    </w:p>
    <w:p w:rsidR="00163957" w:rsidRDefault="00163957" w:rsidP="00163957">
      <w:pPr>
        <w:pStyle w:val="TextoNormal"/>
      </w:pPr>
      <w:r w:rsidRPr="00163957">
        <w:rPr>
          <w:rStyle w:val="NumeroAFNegritaCaracter"/>
        </w:rPr>
        <w:t>3</w:t>
      </w:r>
      <w:r>
        <w:t>. En cuanto a la posible vulneración del art. 86.1 CE por parte del Real Decreto-ley 14/2012, de 20 de abril, hemos apreciado en el fundamento jurídico 3 de la STC 26/2016, de 15 de febrero, que “el Gobierno ha justificado de manera suficiente, explícita, y razonada la concurrencia de una situación de extraordinaria y urgente necesidad justificativa del recurso a la legislación de urgencia”, tanto a través de la motivación del preámbulo de la norma, como de la defensa de la misma por parte del Ministro de Educación, Cultura y Deporte en el debate parlamentario de convalidación. Y es que al tiempo de dictarse el Real Decreto-ley concurría en nuestro sistema económico una necesidad excepcional de corrección del déficit público, derivada de los compromisos de consolidación fiscal asumidos por España. Con esta medida de choque, entre otras, el Gobierno de la Nación hizo frente a la necesidad perentoria de reducir el gasto del sector público español. Como ya indicamos en la STC 12/2015, de 5 de febrero, FJ 3, el recurso a la técnica legislativa extraordinaria del decreto-ley ha sido muy frecuente para afrontar “coyunturas económicas problemáticas” de muy distinto tipo. Y, con cita de la STC 6/1983, de 4 de febrero, FJ 5, recordábamos allí que “la necesidad justificadora de los Decretos-leyes no se puede entender como una necesidad absoluta que suponga un peligro grave para el sistema constitucional o para el orden público entendido como normal ejercicio de los derechos fundamentales y libertades públicas y normal funcionamiento de los servicios públicos, sino que hay que entenderlo con mayor amplitud como necesidad relativa respecto de situaciones concretas de los objetivos gubernamentales que, por razones difíciles de prever, requieren una acción normativa inmediata en un plazo más breve que el requerido por la vía normal o por el procedimiento de urgencia para la tramitación parlamentaria de las leyes”.</w:t>
      </w:r>
    </w:p>
    <w:p w:rsidR="00163957" w:rsidRDefault="00163957" w:rsidP="00163957">
      <w:pPr>
        <w:pStyle w:val="TextoNormal"/>
      </w:pPr>
    </w:p>
    <w:p w:rsidR="00163957" w:rsidRDefault="00163957" w:rsidP="00163957">
      <w:pPr>
        <w:pStyle w:val="TextoNormal"/>
      </w:pPr>
      <w:r>
        <w:t xml:space="preserve">En segundo lugar, respecto a la conexión de sentido de las concretas medidas adoptadas con esa situación excepcional, el Gobierno ha explicado la relevancia del gasto educativo en el conjunto del gasto público y, por tanto, la necesidad de que desde este sector se contribuya al control global del déficit. Además, consciente de las competencias que corresponden en la materia a las Comunidades Autónomas, su objetivo ha sido el de proporcionar a las mismas una serie de herramientas con las que lograr sus respectivos objetivos de estabilidad presupuestaria. Son las Administraciones educativas las que, en ejercicio de sus competencias, han de conjugar la intensidad de las distintas medidas contenidas en el Real </w:t>
      </w:r>
      <w:r>
        <w:lastRenderedPageBreak/>
        <w:t>Decreto-ley 14/2012, dentro de los márgenes que la norma permite, para acomodar su umbral general de gasto al máximo permitido (1,5 por 100 del PIB regional en aquel ejercicio económico de 2012).</w:t>
      </w:r>
    </w:p>
    <w:p w:rsidR="00163957" w:rsidRDefault="00163957" w:rsidP="00163957">
      <w:pPr>
        <w:pStyle w:val="TextoNormal"/>
      </w:pPr>
    </w:p>
    <w:p w:rsidR="00163957" w:rsidRDefault="00163957" w:rsidP="00163957">
      <w:pPr>
        <w:pStyle w:val="TextoNormal"/>
      </w:pPr>
      <w:r>
        <w:t>Ahora bien, el requisito de la extraordinaria y urgente necesidad y su relación de conexión deben ser satisfechas por cada una de las medidas contenidas en los preceptos impugnados del Real Decreto-ley 14/2012, ya que éstas tienen carácter independiente, aunque estén conectadas por razón de la materia y del objetivo final a cumplir. A estos efectos, hemos indicado en el fundamento jurídico 4 de la STC 26/2016, de 15 de febrero, que en el ámbito educativo la legislación estatal de urgencia viene condicionada por dos características que inciden en la valoración del presupuesto habilitante establecido en la Constitución. Por un lado, el carácter compartido de la competencia normativa de desarrollo del art. 27 CE (al igual que ocurre en materia de función pública, también afectada por el Real Decreto-ley cuestionado), que hace que la regulación estatal precise de ordinario de un desarrollo, que no corresponde hacer al Estado, sino a las Comunidades Autónomas. De manera que, aunque la efectividad real o material de una medida no sea estrictamente inmediata, al estar necesitada de ese desarrollo y aplicación, a efectos de valorar su urgencia o perentoriedad es preciso atender a la justificación de la necesidad de la actuación expedita del Estado en el ejercicio de sus competencias, y no de la cadena de efectos sucesivos que sus decisiones deban tener para producir un impacto final en la realidad. Por otro lado, se da la circunstancia de que el sistema educativo se desarrolla en cursos escolares que se programan y se suceden anualmente y sin coincidir con el año natural. De manera que, cuando una medida de reforma educativa afecte a la organización y prestación del servicio docente, la situación extraordinaria y urgente a atender consiste con frecuencia en la necesidad de llegar a tiempo al comienzo del siguiente curso (y si es posible al periodo previo de su programación) para que esa reforma pueda ser efectiva sin provocar dificultades insalvables para los responsables de la prestación del servicio educativo involucrados en su aplicación.</w:t>
      </w:r>
    </w:p>
    <w:p w:rsidR="00163957" w:rsidRDefault="00163957" w:rsidP="00163957">
      <w:pPr>
        <w:pStyle w:val="TextoNormal"/>
      </w:pPr>
    </w:p>
    <w:p w:rsidR="00163957" w:rsidRDefault="00163957" w:rsidP="00163957">
      <w:pPr>
        <w:pStyle w:val="TextoNormal"/>
      </w:pPr>
      <w:r>
        <w:t>Esas dos características permiten desestimar los argumentos expresados por el Gobierno Vasco en su recurso, en el sentido de que ni el número de horas lectivas por profesor establecidas en el art. 3, ni el régimen de sustituciones de profesores del art. 4, son susceptibles de aplicación inmediata, puesto que ambas medidas constituyen bases que tienen que ser desarrolladas por la Comunidad Autónoma, y cuyo impacto en el objetivo de estabilidad presupuestaria sólo se verificaría si su aplicación condujese a una eventual reducción del profesorado de los centros, que es algo que les corresponde a ellas decidir. Precisamente por estas circunstancias se pone más de manifiesto la urgencia de la actuación estatal, que no tiene por objetivo su aplicación en el curso escolar 2011-2012 en el que se adoptó (lo cual es materialmente imposible, como señala el Gobierno Vasco), sino en los siguientes cursos escolares, y mientras perdure la situación de ajuste presupuestario extraordinario. Solo adoptando estas medidas de impacto sobre la capacidad de las plantillas docentes antes del comienzo del curso 2012-2013, que a su vez incidirán, cuando se concreten y apliquen, en el volumen de recursos humanos necesarios para la prestación de los servicios ofrecidos en los centros educativos, será posible por las Comunidades Autónomas planificar las necesidades docentes para ese nuevo curso y plasmar su previsible impacto en los siguientes presupuestos públicos a aprobar, que en este caso fueron los de 2013.</w:t>
      </w:r>
    </w:p>
    <w:p w:rsidR="00163957" w:rsidRDefault="00163957" w:rsidP="00163957">
      <w:pPr>
        <w:pStyle w:val="TextoNormal"/>
      </w:pPr>
    </w:p>
    <w:p w:rsidR="00163957" w:rsidRDefault="00163957" w:rsidP="00163957">
      <w:pPr>
        <w:pStyle w:val="TextoNormal"/>
      </w:pPr>
      <w:r>
        <w:t xml:space="preserve">Por tanto, no sólo existía al tiempo de aprobarse el Real Decreto-ley 14/2012 una situación económica de emergencia en el ajuste de las cuentas públicas al umbral máximo de </w:t>
      </w:r>
      <w:r>
        <w:lastRenderedPageBreak/>
        <w:t>déficit permitido, sino que las medidas en el sector educativo que el Gobierno de la Nación consideró oportuno aprobar para afrontarla, y que han sido recurridas por el Gobierno Vasco, exigían por la propia naturaleza de la materia su adopción inmediata, sin confiarlas al ritmo de tramitación propio del legislador ordinario, con el fin de que pudiesen tener impacto en los siguientes presupuestos públicos educativos a aprobar, y por tanto en el logro de la consolidación fiscal que se consideraba clave para salir de la crisis económica.</w:t>
      </w:r>
    </w:p>
    <w:p w:rsidR="00163957" w:rsidRDefault="00163957" w:rsidP="00163957">
      <w:pPr>
        <w:pStyle w:val="TextoNormal"/>
      </w:pPr>
    </w:p>
    <w:p w:rsidR="00163957" w:rsidRDefault="00163957" w:rsidP="00163957">
      <w:pPr>
        <w:pStyle w:val="TextoNormal"/>
      </w:pPr>
      <w:r>
        <w:t>En definitiva, la conexión de sentido no puede valorarse aquí por la efectividad práctica o material de la medida adoptada sino en cuanto que la norma produce el efecto inmediato de permitir a las Comunidades Autónomas tomar a su vez las decisiones que les corresponden sobre la impartición de este tipo de enseñanzas. Por otra parte, no puede obviarse que la regulación prevista en el art. 3 del Real Decreto ley tiene como finalidad la contención de los gastos de personal docente, mediante la fijación de un mínimo de dedicación lectiva que pretende maximizar el aprovechamiento de los recursos de personal docente de los centros. Conforme a la exposición de motivos del Real Decreto-ley 14/2012, el objetivo que inspira las medidas en él introducidas es la contención del gasto público y la consecución del equilibrio presupuestario; también el Ministro de Educación, Cultura y Deporte, en el trámite de convalidación, vinculó el cuestionado art. 3 con el logro de la solidez presupuestaria.</w:t>
      </w:r>
    </w:p>
    <w:p w:rsidR="00163957" w:rsidRDefault="00163957" w:rsidP="00163957">
      <w:pPr>
        <w:pStyle w:val="TextoNormal"/>
      </w:pPr>
    </w:p>
    <w:p w:rsidR="00163957" w:rsidRDefault="00163957" w:rsidP="00163957">
      <w:pPr>
        <w:pStyle w:val="TextoNormal"/>
      </w:pPr>
      <w:r>
        <w:t>Asimismo, el art. 4 del Real Decreto-ley al prever la no cobertura de las bajas y ausencias breves de profesores mediante la contratación de personal interino, con el que no se deberán cargar los centros docentes, es una medida de contención de gasto para contribuir al objetivo conjunto de la reducción del déficit público.</w:t>
      </w:r>
    </w:p>
    <w:p w:rsidR="00163957" w:rsidRDefault="00163957" w:rsidP="00163957">
      <w:pPr>
        <w:pStyle w:val="TextoNormal"/>
      </w:pPr>
    </w:p>
    <w:p w:rsidR="00163957" w:rsidRDefault="00163957" w:rsidP="00163957">
      <w:pPr>
        <w:pStyle w:val="TextoNormal"/>
      </w:pPr>
      <w:r>
        <w:t>En consecuencia, también desde esta perspectiva, es posible apreciar la existencia de conexión de sentido entre la concreta medida y la situación de urgencia a la que se pretende hacer frente.</w:t>
      </w:r>
    </w:p>
    <w:p w:rsidR="00163957" w:rsidRDefault="00163957" w:rsidP="00163957">
      <w:pPr>
        <w:pStyle w:val="TextoNormal"/>
      </w:pPr>
    </w:p>
    <w:p w:rsidR="00163957" w:rsidRDefault="00163957" w:rsidP="00163957">
      <w:pPr>
        <w:pStyle w:val="TextoNormal"/>
      </w:pPr>
      <w:r w:rsidRPr="00163957">
        <w:rPr>
          <w:rStyle w:val="NumeroAFNegritaCaracter"/>
        </w:rPr>
        <w:t>4</w:t>
      </w:r>
      <w:r>
        <w:t>. Resuelta la cuestión relativa al empleo por el Gobierno del procedimiento legislativo de urgencia, es preciso acometer las alegaciones relacionadas con la falta de competencia estatal para la adopción de los arts. 3 y 4 del Real Decreto-ley 14/2012, y concretamente con el exceso en la fijación de las bases que corresponde establecer al Estado en materias de legislación compartida. Sobre esta cuestión nos hemos pronunciado específicamente en el fundamento jurídico 6, apartados a), b) y c) de la STC 26/2016, de 15 de febrero, al que necesariamente nos tenemos que remitir.</w:t>
      </w:r>
    </w:p>
    <w:p w:rsidR="00163957" w:rsidRDefault="00163957" w:rsidP="00163957">
      <w:pPr>
        <w:pStyle w:val="TextoNormal"/>
      </w:pPr>
    </w:p>
    <w:p w:rsidR="00163957" w:rsidRDefault="00163957" w:rsidP="00163957">
      <w:pPr>
        <w:pStyle w:val="TextoNormal"/>
      </w:pPr>
      <w:r>
        <w:t>Como allí dijimos, a efectos de determinar el concreto título competencial que les pueda prestar cobertura y valorar si esa cobertura es suficiente de acuerdo con su alcance y contenido, hemos de tener en cuenta que, conforme a nuestra doctrina, cuando sea posible la identificación de más de un título competencial, habrá que estar al título prevalente de cobertura, que de ordinario será el más específico de los que estén en juego, sin que quepa descartar en algún caso la posible invocación simultánea o indistinta de varios títulos competenciales estatales que confluyan o se solapen en la misma regulación (SSTC 81/2012, de 18 de abril, y 120/2012, de 5 de junio).</w:t>
      </w:r>
    </w:p>
    <w:p w:rsidR="00163957" w:rsidRDefault="00163957" w:rsidP="00163957">
      <w:pPr>
        <w:pStyle w:val="TextoNormal"/>
      </w:pPr>
    </w:p>
    <w:p w:rsidR="00163957" w:rsidRDefault="00163957" w:rsidP="00163957">
      <w:pPr>
        <w:pStyle w:val="TextoNormal"/>
      </w:pPr>
      <w:r>
        <w:t xml:space="preserve">Pues bien, en el fundamento jurídico 6 a) de la STC 26/2016, de 15 de febrero, hemos manifestado que los arts. 3 y 4 del Real Decreto-ley 14/2012, que en materia de educación </w:t>
      </w:r>
      <w:r>
        <w:lastRenderedPageBreak/>
        <w:t>no universitaria establecen un horario lectivo mínimo del profesorado, un máximo de compensación de docencia con horas complementarias y una limitación al nombramiento de personal interino para cubrir las ausencias del profesorado, han de ser encuadrados competencialmente “en función, no de su finalidad, sino de su concreto contenido material que, en el caso, está, evidentemente relacionado con la educación, con lo que los títulos estatales a considerar son el art. 149.1.30 CE y, complementariamente, el art. 149.1.18 CE, en lo que respecta a la función pública docente, ambos más específicos que el genérico del art. 149.1.13 CE”. El contenido educativo de estas medidas prevalece por tanto a efectos competenciales sobre la índole y finalidad claramente económica de la norma adoptada. E igualmente desplaza la cobertura que pudiera derivar del art. 149.1.1 CE, también invocado por la disposición final primera del Real Decreto-ley, por su carácter genérico respecto a los títulos mencionados.</w:t>
      </w:r>
    </w:p>
    <w:p w:rsidR="00163957" w:rsidRDefault="00163957" w:rsidP="00163957">
      <w:pPr>
        <w:pStyle w:val="TextoNormal"/>
      </w:pPr>
    </w:p>
    <w:p w:rsidR="00163957" w:rsidRDefault="00163957" w:rsidP="00163957">
      <w:pPr>
        <w:pStyle w:val="TextoNormal"/>
      </w:pPr>
      <w:r w:rsidRPr="00163957">
        <w:rPr>
          <w:rStyle w:val="NumeroAFNegritaCaracter"/>
        </w:rPr>
        <w:t>5</w:t>
      </w:r>
      <w:r>
        <w:t>. Hechas estas precisiones, se puede acometer el examen de constitucionalidad de cada uno de los dos preceptos impugnados por el Gobierno Vasco por razón de su ajuste al orden constitucional de reparto de competencias entre el Estado y la Comunidad Autónoma del País Vasco.</w:t>
      </w:r>
    </w:p>
    <w:p w:rsidR="00163957" w:rsidRDefault="00163957" w:rsidP="00163957">
      <w:pPr>
        <w:pStyle w:val="TextoNormal"/>
      </w:pPr>
    </w:p>
    <w:p w:rsidR="00163957" w:rsidRDefault="00163957" w:rsidP="00163957">
      <w:pPr>
        <w:pStyle w:val="TextoNormal"/>
      </w:pPr>
      <w:r>
        <w:t>El art. 3 del Real Decreto-ley 14/2012 establece en sus dos apartados dos umbrales, uno mínimo y otro máximo, que afectan a la regulación de la jornada lectiva del profesorado de las enseñanzas contempladas en la Ley Orgánica de educación (LOE). Por un lado, se fija el número mínimo de horas de clase a impartir por el personal docente, que será de 20 horas con carácter general, y de 25 horas para los estadios iniciales (educación infantil y primaria). Por otro, se limita a una hora por periodo lectivo la compensación máxima a reconocer al profesorado con horas complementarias cuando su número de horas de clase impartidas exceda la carga lectiva prevista, y siempre a partir de los mínimos aludidos de 20 y 25 horas, según el nivel de enseñanza.</w:t>
      </w:r>
    </w:p>
    <w:p w:rsidR="00163957" w:rsidRDefault="00163957" w:rsidP="00163957">
      <w:pPr>
        <w:pStyle w:val="TextoNormal"/>
      </w:pPr>
    </w:p>
    <w:p w:rsidR="00163957" w:rsidRDefault="00163957" w:rsidP="00163957">
      <w:pPr>
        <w:pStyle w:val="TextoNormal"/>
      </w:pPr>
      <w:r>
        <w:t>Como bien hemos resumido en la STC 54/2016, de 17 de marzo, FJ 2 b), respecto a la legitimidad constitucional de este precepto desde un punto de vista competencial, el legislador estatal puede establecer reglas sobre el mínimo de dedicación lectiva del personal docente para garantizar el derecho a la educación en su dimensión prestacional y en ejercicio de sus funciones de coordinación derivadas de sus competencias básicas en materia de educación.</w:t>
      </w:r>
    </w:p>
    <w:p w:rsidR="00163957" w:rsidRDefault="00163957" w:rsidP="00163957">
      <w:pPr>
        <w:pStyle w:val="TextoNormal"/>
      </w:pPr>
    </w:p>
    <w:p w:rsidR="00163957" w:rsidRDefault="00163957" w:rsidP="00163957">
      <w:pPr>
        <w:pStyle w:val="TextoNormal"/>
      </w:pPr>
      <w:r>
        <w:t xml:space="preserve">Por un lado, la determinación cuantitativa de las horas lectivas a impartir por el personal docente en las enseñanzas reguladas en la Ley Orgánica de educación constituye una previsión básica que incide en la vertiente prestacional del derecho a la educación que es financiada con fondos públicos, y que es coherente con el carácter único del sistema educativo en todo el territorio nacional. Se trata de un mínimo común denominador normativo en materia de programación docente, que afecta a los centros públicos y privados concertados, y que no resulta ajena a las competencias estatales </w:t>
      </w:r>
      <w:r w:rsidRPr="00163957">
        <w:rPr>
          <w:i/>
        </w:rPr>
        <w:t>ex</w:t>
      </w:r>
      <w:r>
        <w:t xml:space="preserve"> art. 149.1.30. Pero además, en segundo lugar, la competencia estatal para dictar esa regulación encuentra también cobertura en el art. 149.1.18 CE respecto a los profesores que tengan la condición de funcionarios públicos, sobre todo teniendo en cuenta que son funcionarios de ámbito estatal en el sentido de que pueden prestar servicio en cualquier parte del territorio nacional (STC 213/2013, de 19 de diciembre, FJ 4). La competencia sobre las bases del régimen estatutario de ese personal permite al Estado regular sus derechos y deberes, entre los cuales se encuentra la fijación </w:t>
      </w:r>
      <w:r>
        <w:lastRenderedPageBreak/>
        <w:t>de la jornada de trabajo que han de cubrir. El establecimiento de un mínimo de horas lectivas y de un máximo de compensación con horas complementarias del exceso de docencia que pueda impartir el profesorado, se justifica en el logro de una homogeneidad fundamental en un aspecto sustancial del régimen funcionarial del colectivo docente.</w:t>
      </w:r>
    </w:p>
    <w:p w:rsidR="00163957" w:rsidRDefault="00163957" w:rsidP="00163957">
      <w:pPr>
        <w:pStyle w:val="TextoNormal"/>
      </w:pPr>
    </w:p>
    <w:p w:rsidR="00163957" w:rsidRDefault="00163957" w:rsidP="00163957">
      <w:pPr>
        <w:pStyle w:val="TextoNormal"/>
      </w:pPr>
      <w:r>
        <w:t>Además, como indicamos en el fundamento jurídico 6 b) de la STC 26/2016, de 15 de febrero, el carácter mínimo de la regla establecida en el cuestionado art. 3 (o de máximo, en el caso de las horas complementarias con que se compensa el posible exceso lectivo) así como el margen de organización y concreción del total de la dedicación del profesor, cuya carga lectiva podría incluso aumentarse, permiten apreciar que el precepto impugnado no cierra a las Comunidades Autónomas toda posibilidad de desarrollo y aplicación de la normativa básica sobre la materia.</w:t>
      </w:r>
    </w:p>
    <w:p w:rsidR="00163957" w:rsidRDefault="00163957" w:rsidP="00163957">
      <w:pPr>
        <w:pStyle w:val="TextoNormal"/>
      </w:pPr>
    </w:p>
    <w:p w:rsidR="00163957" w:rsidRDefault="00163957" w:rsidP="00163957">
      <w:pPr>
        <w:pStyle w:val="TextoNormal"/>
      </w:pPr>
      <w:r>
        <w:t>Por tanto, el art. 3 del Real Decreto-ley 14/2012, tanto en su apartado 1 como 2, no es inconstitucional, y tiene cobertura dentro de las competencias estatales exclusivas sobre las normas básicas de desarrollo del art. 27 CE y sobre las bases del régimen estatutario de los funcionarios públicos respecto al profesorado que tiene esta condición.</w:t>
      </w:r>
    </w:p>
    <w:p w:rsidR="00163957" w:rsidRDefault="00163957" w:rsidP="00163957">
      <w:pPr>
        <w:pStyle w:val="TextoNormal"/>
      </w:pPr>
    </w:p>
    <w:p w:rsidR="00163957" w:rsidRDefault="00163957" w:rsidP="00163957">
      <w:pPr>
        <w:pStyle w:val="TextoNormal"/>
      </w:pPr>
      <w:r w:rsidRPr="00163957">
        <w:rPr>
          <w:rStyle w:val="NumeroAFNegritaCaracter"/>
        </w:rPr>
        <w:t>6</w:t>
      </w:r>
      <w:r>
        <w:t>. Por su parte, el art. 4 del Real Decreto-ley 14/2012 exige, también en el ámbito de las enseñanzas no universitarias, una duración mínima de diez días de las bajas de los profesores para poder recurrir al nombramiento de profesores interinos para su sustitución. En consecuencia, los centros docentes sostenidos con fondos públicos (centros públicos y concertados) deberán atender con su propia plantilla todo tipo de bajas laborales, permisos, licencias o supuestos análogos de duración inferior a diez días, sin posibilidad de contratación adicional de personal. Hay que indicar que la redacción de este precepto ha cambiado en virtud de la disposición final décima quinta de la Ley 48/2015, de 29 de octubre, de presupuestos generales del Estado para el año 2016, que introduce algunas excepciones en las que sí cabe proceder a la sustitución inmediata de profesores. En cualquier caso, esta modificación no elimina el objeto de la presente controversia y nos obliga a pronunciarnos sobre su cobertura competencial.</w:t>
      </w:r>
    </w:p>
    <w:p w:rsidR="00163957" w:rsidRDefault="00163957" w:rsidP="00163957">
      <w:pPr>
        <w:pStyle w:val="TextoNormal"/>
      </w:pPr>
    </w:p>
    <w:p w:rsidR="00163957" w:rsidRDefault="00163957" w:rsidP="00163957">
      <w:pPr>
        <w:pStyle w:val="TextoNormal"/>
      </w:pPr>
      <w:r>
        <w:t xml:space="preserve">De acuerdo con el fundamento jurídico 6 c) de la STC 26/2016, de 15 de febrero, “a efectos competenciales, el legislador estatal ha querido establecer una norma que tiene por objeto regular el proceso de sustituciones docentes por parte de los centros públicos y privados sostenidos con fondos públicos, regulación que, afectando al funcionamiento de dichos centros, repercute en la contratación de profesorado interino, y, por tanto, en la prestación del servicio público educativo por su relación con la impartición de docencia. La norma, en tanto que relativa a situaciones de vacío temporal en la impartición de docencia, se incardina así en el art. 149.1.30 CE y persigue garantizar una mínima homogeneidad en el proceso de sustitución del profesorado a través del establecimiento de esta regla básica relativa a los medios humanos disponibles, encontrándose entre las medidas que, como antes se ha dicho, puede establecer el legislador estatal como norma básica a efectos de determinar y hacer efectivo el nivel prestacional de la enseñanza financiado con fondos públicos. Es cierto que el Real Decreto-ley 14/2012 reduce en este punto, por consiguiente, las atribuciones que correspondían a la Comunidad Autónoma, pero no las vacía de contenido, puesto que, respetando ese límite, puede seguir regulando las sustituciones de profesores”, dado que el límite temporal establecido de los diez días puede ser modificado al alza, por un lado, </w:t>
      </w:r>
      <w:r>
        <w:lastRenderedPageBreak/>
        <w:t>y no agota toda la regulación del régimen de sustituciones en caso de bajas del personal docente, por otro.</w:t>
      </w:r>
    </w:p>
    <w:p w:rsidR="00163957" w:rsidRDefault="00163957" w:rsidP="00163957">
      <w:pPr>
        <w:pStyle w:val="TextoNormal"/>
      </w:pPr>
    </w:p>
    <w:p w:rsidR="00163957" w:rsidRDefault="00163957" w:rsidP="00163957">
      <w:pPr>
        <w:pStyle w:val="TextoNormal"/>
      </w:pPr>
      <w:r>
        <w:t>En definitiva, el art. 4 del Real Decreto-ley 14/2012 contiene una medida básica en materia de sustituciones del profesorado en enseñanzas no universitarias, que no es inconstitucional.</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inconstitucionalidad núm. 382-2013.</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abril de dos mil dieciséis.</w:t>
      </w:r>
    </w:p>
    <w:p w:rsidR="00163957" w:rsidRDefault="00163957" w:rsidP="00163957">
      <w:pPr>
        <w:pStyle w:val="ParrafoNormal"/>
      </w:pPr>
    </w:p>
    <w:p w:rsidR="00163957" w:rsidRDefault="00163957" w:rsidP="00163957">
      <w:pPr>
        <w:pStyle w:val="TextoNormalNegritaCentrado"/>
        <w:keepNext/>
      </w:pPr>
      <w:r>
        <w:t>Voto particular que formulan la Magistrada doña Adela Asua Batarrita y el Magistrado don Fernando Valdés Dal-Ré a la Sentencia dictada en el recurso de inconstitucionalidad núm. 382-2013.</w:t>
      </w:r>
    </w:p>
    <w:p w:rsidR="00163957" w:rsidRDefault="00163957" w:rsidP="00163957">
      <w:pPr>
        <w:pStyle w:val="TextoNormalNegritaCentrado"/>
        <w:keepNext/>
      </w:pPr>
    </w:p>
    <w:p w:rsidR="00163957" w:rsidRDefault="00163957" w:rsidP="00163957">
      <w:pPr>
        <w:pStyle w:val="TextoNormal"/>
      </w:pPr>
      <w:r>
        <w:t>En ejercicio de la facultad que nos confiere el art. 90.2 de la Ley Orgánica del Tribunal Constitucional, y con absoluto respeto a la opinión expresada por la mayoría del Pleno, formulamos el presente Voto particular por los mismos motivos que nos llevaron a discrepar de la STC 26/2016, de 18 de febrero.</w:t>
      </w:r>
    </w:p>
    <w:p w:rsidR="00163957" w:rsidRDefault="00163957" w:rsidP="00163957">
      <w:pPr>
        <w:pStyle w:val="TextoNormal"/>
      </w:pPr>
    </w:p>
    <w:p w:rsidR="00163957" w:rsidRDefault="00163957" w:rsidP="00163957">
      <w:pPr>
        <w:pStyle w:val="TextoNormal"/>
      </w:pPr>
      <w:r>
        <w:t>En lo que concierne a la desestimación de la impugnación dirigida contra los arts. 3 y 4 del Real Decreto-ley 14/2012, de 20 de abril, de medidas urgentes de racionalización del gasto educativo, que constituyen el objeto de este proceso, las razones de nuestra discrepancia están recogidas en los apartados 1 y 2 del mencionado Voto particular, al que nos remitimos.</w:t>
      </w:r>
    </w:p>
    <w:p w:rsidR="00163957" w:rsidRDefault="00163957" w:rsidP="00163957">
      <w:pPr>
        <w:pStyle w:val="TextoNormal"/>
      </w:pPr>
    </w:p>
    <w:p w:rsidR="00163957" w:rsidRDefault="00163957" w:rsidP="00163957">
      <w:pPr>
        <w:pStyle w:val="TextoNormal"/>
      </w:pPr>
      <w:r>
        <w:t>Y en tal sentido emitimos este Voto particular.</w:t>
      </w:r>
    </w:p>
    <w:p w:rsidR="00163957" w:rsidRDefault="00163957" w:rsidP="00163957">
      <w:pPr>
        <w:pStyle w:val="TextoNormal"/>
      </w:pPr>
    </w:p>
    <w:p w:rsidR="00163957" w:rsidRDefault="00163957" w:rsidP="00163957">
      <w:pPr>
        <w:pStyle w:val="TextoNormal"/>
      </w:pPr>
      <w:r>
        <w:t>Madrid, a catorce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72" w:name="SENTENCIA_2016_69"/>
      <w:r>
        <w:lastRenderedPageBreak/>
        <w:t>SENTENCIA 69/2016, de 14 de abril de 2016</w:t>
      </w:r>
    </w:p>
    <w:bookmarkEnd w:id="72"/>
    <w:p w:rsidR="00163957" w:rsidRDefault="00163957" w:rsidP="00163957">
      <w:pPr>
        <w:pStyle w:val="TtuloResolucin"/>
      </w:pPr>
      <w:r>
        <w:t>Pleno</w:t>
      </w:r>
    </w:p>
    <w:p w:rsidR="00163957" w:rsidRDefault="00163957" w:rsidP="00163957">
      <w:pPr>
        <w:pStyle w:val="TtuloBOE"/>
      </w:pPr>
      <w:r>
        <w:t>(BOE núm. 122, de 20 de mayo de 2016)</w:t>
      </w:r>
    </w:p>
    <w:p w:rsidR="00163957" w:rsidRDefault="00163957" w:rsidP="00163957">
      <w:pPr>
        <w:pStyle w:val="TextoNormalCentrado"/>
      </w:pPr>
      <w:r>
        <w:t>ECLI:ES:TC:2016:69</w:t>
      </w:r>
    </w:p>
    <w:p w:rsidR="00163957" w:rsidRDefault="00163957" w:rsidP="00163957">
      <w:pPr>
        <w:pStyle w:val="TextoNormalCentrado"/>
      </w:pPr>
    </w:p>
    <w:p w:rsidR="00163957" w:rsidRDefault="00163957" w:rsidP="00163957">
      <w:pPr>
        <w:pStyle w:val="SntesisDescriptiva"/>
      </w:pPr>
      <w:r>
        <w:t>Recurso de amparo 3660-2013. Promovido por don Francisco de la Rosa Castillo respecto de la Sentencia dictada por un Juzgado de Primera Instancia de Albacete en juicio verbal de reclamación de indemnización por culpa extracontractual.</w:t>
      </w:r>
    </w:p>
    <w:p w:rsidR="00163957" w:rsidRDefault="00163957" w:rsidP="00163957">
      <w:pPr>
        <w:pStyle w:val="SntesisDescriptiva"/>
      </w:pPr>
    </w:p>
    <w:p w:rsidR="00163957" w:rsidRDefault="00163957" w:rsidP="00163957">
      <w:pPr>
        <w:pStyle w:val="SntesisAnaltica"/>
      </w:pPr>
      <w:r>
        <w:t>Vulneración del derecho a la huelga: responsabilidad civil extracontractual de quien actuó como dirigente de un piquete huelguístico. Votos particulares.</w:t>
      </w:r>
    </w:p>
    <w:p w:rsidR="00163957" w:rsidRDefault="00163957" w:rsidP="00163957">
      <w:pPr>
        <w:pStyle w:val="SntesisAnaltica"/>
      </w:pPr>
    </w:p>
    <w:p w:rsidR="00163957" w:rsidRDefault="00163957" w:rsidP="00163957">
      <w:pPr>
        <w:pStyle w:val="Extracto"/>
      </w:pPr>
      <w:r>
        <w:t>1.</w:t>
      </w:r>
      <w:r>
        <w:tab/>
        <w:t>Procede el otorgamiento del amparo al demandante por vulneración del derecho a la huelga, pero exclusivamente en lo que concierne a la condena relativa a los daños personales a indemnizar [FJ 5].</w:t>
      </w:r>
    </w:p>
    <w:p w:rsidR="00163957" w:rsidRDefault="00163957" w:rsidP="00163957">
      <w:pPr>
        <w:pStyle w:val="Extracto"/>
      </w:pPr>
    </w:p>
    <w:p w:rsidR="00163957" w:rsidRDefault="00163957" w:rsidP="00163957">
      <w:pPr>
        <w:pStyle w:val="Extracto"/>
      </w:pPr>
      <w:r>
        <w:t>2.</w:t>
      </w:r>
      <w:r>
        <w:tab/>
        <w:t>En la atribución de responsabilidad civil por daños derivados de la actuación huelguística ilícita de un piquete violento se debe atender a la conducta individualizada de sus miembros en la producción del acto dañoso: por sí sola, la condición de líder del piquete no constituye título constitucionalmente válido para imputar tal responsabilidad [FJ 4 a)].</w:t>
      </w:r>
    </w:p>
    <w:p w:rsidR="00163957" w:rsidRDefault="00163957" w:rsidP="00163957">
      <w:pPr>
        <w:pStyle w:val="Extracto"/>
      </w:pPr>
    </w:p>
    <w:p w:rsidR="00163957" w:rsidRDefault="00163957" w:rsidP="00163957">
      <w:pPr>
        <w:pStyle w:val="Extracto"/>
      </w:pPr>
      <w:r>
        <w:t>3.</w:t>
      </w:r>
      <w:r>
        <w:tab/>
        <w:t xml:space="preserve">La responsabilidad por daños personales se vincula a la agresión física sufrida por el titular de un </w:t>
      </w:r>
      <w:r w:rsidRPr="00163957">
        <w:rPr>
          <w:i/>
        </w:rPr>
        <w:t>pub</w:t>
      </w:r>
      <w:r>
        <w:t>, fundamentándose la condena al recurrente en su anuencia o consentimiento del acto dañoso, pero sin que conste acreditada ni su autoría material, ni tampoco que éste diera ninguna directriz para su comisión [FJ 4 a)].</w:t>
      </w:r>
    </w:p>
    <w:p w:rsidR="00163957" w:rsidRDefault="00163957" w:rsidP="00163957">
      <w:pPr>
        <w:pStyle w:val="Extracto"/>
      </w:pPr>
    </w:p>
    <w:p w:rsidR="00163957" w:rsidRDefault="00163957" w:rsidP="00163957">
      <w:pPr>
        <w:pStyle w:val="Extracto"/>
      </w:pPr>
      <w:r>
        <w:t>4.</w:t>
      </w:r>
      <w:r>
        <w:tab/>
        <w:t>La decisión judicial de atribuir en exclusiva al recurrente la responsabilidad civil por daños personales, en su condición de líder del piquete y sin que haya quedado acreditada su participación en la comisión de los daños indemnizados, ha de considerarse contraria al derecho a la huelga [FJ 4 a)].</w:t>
      </w:r>
    </w:p>
    <w:p w:rsidR="00163957" w:rsidRDefault="00163957" w:rsidP="00163957">
      <w:pPr>
        <w:pStyle w:val="Extracto"/>
      </w:pPr>
    </w:p>
    <w:p w:rsidR="00163957" w:rsidRDefault="00163957" w:rsidP="00163957">
      <w:pPr>
        <w:pStyle w:val="Extracto"/>
      </w:pPr>
      <w:r>
        <w:t>5.</w:t>
      </w:r>
      <w:r>
        <w:tab/>
        <w:t>La imputación al recurrente de la responsabilidad civil por los daños materiales derivados del cierre del local no vulnera su derecho a la huelga; en este supuesto, la conducta dañosa está fuera de la esfera de tutela del citado derecho fundamental y, además, se atribuye como “acto propio” del demandante de amparo [FJ 4 b)].</w:t>
      </w:r>
    </w:p>
    <w:p w:rsidR="00163957" w:rsidRDefault="00163957" w:rsidP="00163957">
      <w:pPr>
        <w:pStyle w:val="Extracto"/>
      </w:pPr>
    </w:p>
    <w:p w:rsidR="00163957" w:rsidRDefault="00163957" w:rsidP="00163957">
      <w:pPr>
        <w:pStyle w:val="Extracto"/>
      </w:pPr>
      <w:r>
        <w:t>6.</w:t>
      </w:r>
      <w:r>
        <w:tab/>
        <w:t xml:space="preserve">Excede de los márgenes constitucionalmente tutelados proferir insultos hacia el titular del </w:t>
      </w:r>
      <w:r w:rsidRPr="00163957">
        <w:rPr>
          <w:i/>
        </w:rPr>
        <w:t>pub</w:t>
      </w:r>
      <w:r>
        <w:t xml:space="preserve"> dirigidos a lograr, no ya la adhesión de otros trabajadores a la huelga, sino el cierre empresarial, dado que también deben ser respetados otros bienes constitucionalmente protegidos como la libertad de trabajar o de empresa [FJ 4 b)].</w:t>
      </w:r>
    </w:p>
    <w:p w:rsidR="00163957" w:rsidRDefault="00163957" w:rsidP="00163957">
      <w:pPr>
        <w:pStyle w:val="Extracto"/>
      </w:pPr>
    </w:p>
    <w:p w:rsidR="00163957" w:rsidRDefault="00163957" w:rsidP="00163957">
      <w:pPr>
        <w:pStyle w:val="Extracto"/>
      </w:pPr>
      <w:r>
        <w:t>7.</w:t>
      </w:r>
      <w:r>
        <w:tab/>
        <w:t>Doctrina sobre el alcance del derecho a huelga en relación con el derecho de difusión e información de la misma (SSTC 332/1994; 137/1997; 37/1998; y ATC 158/1994)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lastRenderedPageBreak/>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3660-2013, promovido por don Francisco de la Rosa Castillo, representado por la Procuradora de los Tribunales doña Isabel Cañedo Vega, bajo la dirección del Letrado don Rufino Alarcón Sánchez, contra la Sentencia del Juzgado de Primera Instancia núm. 5 de Albacete, de 18 de enero de 2013, dictada en autos de juicio verbal núm. 195/2012, así como contra la providencia del mismo Juzgado, de 5 de marzo de 2013, por la que se inadmite a trámite el incidente de nulidad de actuaciones promovido frente a la citada Sentencia, y contra el Auto de 19 de abril de 2013, también del Juzgado de Primera Instancia núm. 5 de Albacete, por el que se desestima el recurso de reposición interpuesto frente a la anterior providencia. Ha intervenido el Ministerio Fiscal. Ha sido Ponente el Presidente don Francisco Pérez de los Cobos Orihuel,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12 de junio de 2013, la Procuradora de los Tribunales doña Isabel Cañedo Vega, en nombre y representación de don Francisco de la Rosa Castillo, formuló demanda de amparo contra las resoluciones judiciales reseñadas en el encabezamiento de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relevantes para la resolución del presente recurso de amparo son, sucintamente expuestos, los siguientes:</w:t>
      </w:r>
    </w:p>
    <w:p w:rsidR="00163957" w:rsidRDefault="00163957" w:rsidP="00163957">
      <w:pPr>
        <w:pStyle w:val="TextoNormal"/>
      </w:pPr>
    </w:p>
    <w:p w:rsidR="00163957" w:rsidRDefault="00163957" w:rsidP="00163957">
      <w:pPr>
        <w:pStyle w:val="TextoNormal"/>
      </w:pPr>
      <w:r>
        <w:t xml:space="preserve">a) Frente al demandante de amparo, el titular de un </w:t>
      </w:r>
      <w:r w:rsidRPr="00163957">
        <w:rPr>
          <w:i/>
        </w:rPr>
        <w:t>pub</w:t>
      </w:r>
      <w:r>
        <w:t xml:space="preserve"> interpuso demanda de juicio verbal en reclamación de indemnización por culpa extracontractual por daños personales por lesiones y daños materiales por lucro cesante derivado del cierre de su local. Según la demanda, tales daños se habían producido en el curso de la jornada de huelga general de 29 de septiembre de 2010, como consecuencia de los actos de agresión y violencia de un piquete dirigido por el demandado.</w:t>
      </w:r>
    </w:p>
    <w:p w:rsidR="00163957" w:rsidRDefault="00163957" w:rsidP="00163957">
      <w:pPr>
        <w:pStyle w:val="TextoNormal"/>
      </w:pPr>
    </w:p>
    <w:p w:rsidR="00163957" w:rsidRDefault="00163957" w:rsidP="00163957">
      <w:pPr>
        <w:pStyle w:val="TextoNormal"/>
      </w:pPr>
      <w:r>
        <w:t>b) La Sentencia del Juzgado de Primera Instancia núm. 5 de Albacete, de 18 de enero de 2013, estimó la indicada demanda y condenó al ahora recurrente en amparo a abonar al actor la cantidad de 816,82 €, en que cifraba los daños sufridos.</w:t>
      </w:r>
    </w:p>
    <w:p w:rsidR="00163957" w:rsidRDefault="00163957" w:rsidP="00163957">
      <w:pPr>
        <w:pStyle w:val="TextoNormal"/>
      </w:pPr>
    </w:p>
    <w:p w:rsidR="00163957" w:rsidRDefault="00163957" w:rsidP="00163957">
      <w:pPr>
        <w:pStyle w:val="TextoNormal"/>
      </w:pPr>
      <w:r>
        <w:lastRenderedPageBreak/>
        <w:t xml:space="preserve">Por lo que se refiere a los daños personales, la Sentencia considera indiscutido que el demandante fue agredido por integrantes indeterminados del piquete informativo que se personó a las puertas del establecimiento de su titularidad, sin que tales miembros del piquete llegaran a ser identificados por la Policía Nacional cuando acudió al lugar. Asimismo, referido por una testigo que una persona se subió a unas mesas y que, al ser cogida del brazo por el actor, se cayó y se inició el tumulto, el Juzgado no considera probado que el perjudicado contribuyera a la producción del resultado dañoso. Afirma también que, a partir de la única declaración testifical imparcial con que se cuenta —la de los agentes de la Policía Nacional que acudieron al lugar de los hechos inmediatamente después de su producción—, el demandado tenía la condición de cabecilla, líder o dirigente del piquete informativo, siendo posible establecer su presencia en el </w:t>
      </w:r>
      <w:r w:rsidRPr="00163957">
        <w:rPr>
          <w:i/>
        </w:rPr>
        <w:t>pub</w:t>
      </w:r>
      <w:r>
        <w:t xml:space="preserve"> del demandante en el momento de la agresión. Según añade la Sentencia, “[l]os agentes manifiestan que se había formado un tumulto. Había un piquete compuesto por una (</w:t>
      </w:r>
      <w:r w:rsidRPr="00163957">
        <w:rPr>
          <w:i/>
        </w:rPr>
        <w:t>sic</w:t>
      </w:r>
      <w:r>
        <w:t>) cien personas bajo distintas banderas sindicales ciertamente y presumiblemente también integrado por no afiliados, pero a cuyo frente se encontraba claramente el Sr. De la Rosa”; “[e]ra éste quien dirigía al grupo, portando incluso un altavoz. Era él el que indicaba lo que se hacía y lo que no. Él movilizaba al grupo”; “[t]ambién señalan los agentes que producido el tumulto las expresiones del demandado no eran apaciguadoras sino todo lo contrario”.</w:t>
      </w:r>
    </w:p>
    <w:p w:rsidR="00163957" w:rsidRDefault="00163957" w:rsidP="00163957">
      <w:pPr>
        <w:pStyle w:val="TextoNormal"/>
      </w:pPr>
    </w:p>
    <w:p w:rsidR="00163957" w:rsidRDefault="00163957" w:rsidP="00163957">
      <w:pPr>
        <w:pStyle w:val="TextoNormal"/>
      </w:pPr>
      <w:r>
        <w:t>A partir de estas circunstancias, y situada la principal discrepancia entre las partes en si el demandado debe o no responder de un hecho ajeno, la Sentencia aplica al caso la doctrina jurisprudencial que, aun referida al ámbito penal, se ha desarrollado respecto a la responsabilidad civil de sindicatos en el caso de condena a afiliados de los mismos o incluso de terceros ajenos como autores del delito tipificado en el art. 315 del Código penal y que considera aplicable a un ilícito civil, puesto que en el caso del ilícito penal siempre serían mayores las exigencias. Al respecto indica que jurisprudencialmente se ha entendido que es necesaria una relación de dependencia entre el causante del daño y la persona individual o jurídica bajo cuya dependencia se halla, habiéndose realizado una interpretación flexible, de modo que tal situación de dependencia alcanza a cualquier relación jurídica o de hecho o cualquier otro vínculo por el que el agente se halla bajo la dependencia onerosa o gratuita, duradera y permanente o puramente circunstancial o esporádica, o al menos, que la tarea, actividad, misión, servicio o función que realiza el autor del hecho ilícito cuente con el beneplácito o aquiescencia del supuesto responsable civil. Considera el Juzgado que tal circunstancia concurre en el caso, afirmando que la anuencia del demandado hace que tenga que soportar los daños que la actividad que consintió haya podido ocasionar, de modo que se le condena a indemnizar al actor en la cantidad de 255,82 € en concepto de daños personales.</w:t>
      </w:r>
    </w:p>
    <w:p w:rsidR="00163957" w:rsidRDefault="00163957" w:rsidP="00163957">
      <w:pPr>
        <w:pStyle w:val="TextoNormal"/>
      </w:pPr>
    </w:p>
    <w:p w:rsidR="00163957" w:rsidRDefault="00163957" w:rsidP="00163957">
      <w:pPr>
        <w:pStyle w:val="TextoNormal"/>
      </w:pPr>
      <w:r>
        <w:t xml:space="preserve">En cuanto a la indemnización por daños materiales derivados del cierre del local, la Sentencia afirma que, sin perjuicio de que por lo ya razonado también surgiría la obligación del demandado de resarcirlos, en este caso la responsabilidad es consecuencia de acto propio. Al respecto indica que, según el atestado levantado por los agentes, cuando llegaron al lugar de los hechos “identificaron al demandado el cual discutía acaloradamente con el propietario, que resultó ser el actor”. Añade la Sentencia que “[s]e manifiesta también que fue identificado el Sr. De la Rosa como el autor de los insultos citados por el denunciante…‘cabrón, cierra hijo de puta, qué hacéis ahí’…”; y asimismo indica que“[e]n el acto de la vista los citados testigos manifiestan que lo que ellos pudieron comprobar es que las expresiones del demandado incitaban en todo momento a que se cerrara el pub en cuestión (en el que por </w:t>
      </w:r>
      <w:r>
        <w:lastRenderedPageBreak/>
        <w:t xml:space="preserve">otro lado se hallaron restos de petardos y vasos rotos) a toda costa, cuando quien aparecía como titular del mismo (trabajador autónomo o empresario pero en definitiva trabajador) pretendía mantener abierto al público el local”. Afirma así el Juzgado que se ha producido una colisión entre el derecho a la huelga y el derecho al trabajo y que, en virtud de la prueba analizada, la conducta del demandado y del piquete informativo no puede considerarse una consecuencia del legítimo derecho de huelga, dado que, conforme a la doctrina del Tribunal Constitucional, el ejercicio de este derecho no comprende la posibilidad de ejercer violencia sobre los trabajadores, incluso la violencia moral, de alcance intimidatorio o coactivo (SSTC 71/1992 y 137/1997). A juicio de la Sentencia, la conducta del demandado sobrepasa los límites constitucionalmente protegidos en orden a asegurar el libre desarrollo de las tareas propias de los piquetes de información, persuasión e incluso presión. En consecuencia, por lo dicho, estima la pretensión de que el demandado abone al propietario del </w:t>
      </w:r>
      <w:r w:rsidRPr="00163957">
        <w:rPr>
          <w:i/>
        </w:rPr>
        <w:t>pub</w:t>
      </w:r>
      <w:r>
        <w:t xml:space="preserve"> 561 €, en concepto de lucro cesante por el cierre del local.</w:t>
      </w:r>
    </w:p>
    <w:p w:rsidR="00163957" w:rsidRDefault="00163957" w:rsidP="00163957">
      <w:pPr>
        <w:pStyle w:val="TextoNormal"/>
      </w:pPr>
    </w:p>
    <w:p w:rsidR="00163957" w:rsidRDefault="00163957" w:rsidP="00163957">
      <w:pPr>
        <w:pStyle w:val="TextoNormal"/>
      </w:pPr>
      <w:r>
        <w:t>c) Frente a la anterior sentencia, el recurrente en amparo interpuso incidente de nulidad de actuaciones por considerar que aquélla vulneraba el derecho fundamental de huelga (art. 28.2 CE) y el de tutela judicial efectiva en su vertiente de derecho a un Juez imparcial (art. 24 CE). Mediante providencia de 5 de marzo de 2013, el Juzgado de Primera Instancia núm. 5 de Albacete declaró no haber lugar a su admisión, instruyendo al pie de la misma la posibilidad de interponer recurso de reposición.</w:t>
      </w:r>
    </w:p>
    <w:p w:rsidR="00163957" w:rsidRDefault="00163957" w:rsidP="00163957">
      <w:pPr>
        <w:pStyle w:val="TextoNormal"/>
      </w:pPr>
    </w:p>
    <w:p w:rsidR="00163957" w:rsidRDefault="00163957" w:rsidP="00163957">
      <w:pPr>
        <w:pStyle w:val="TextoNormal"/>
      </w:pPr>
      <w:r>
        <w:t>d) Interpuesto el indicado recurso de reposición, el Juzgado de Primera Instancia núm. 5 de Albacete lo desestimó por Auto de 19 de abril de 2013, en el que se manifiesta que en la resolución recurrida ya se sopesó si se estaba ante el ejercicio del derecho de huelga por parte del demandado y se concluyó que se había sobrepasado, no apreciándose vulneración ni de este derecho ni del de tutela judicial.</w:t>
      </w:r>
    </w:p>
    <w:p w:rsidR="00163957" w:rsidRDefault="00163957" w:rsidP="00163957">
      <w:pPr>
        <w:pStyle w:val="TextoNormal"/>
      </w:pPr>
    </w:p>
    <w:p w:rsidR="00163957" w:rsidRDefault="00163957" w:rsidP="00163957">
      <w:pPr>
        <w:pStyle w:val="TextoNormal"/>
      </w:pPr>
      <w:r w:rsidRPr="00163957">
        <w:rPr>
          <w:rStyle w:val="NumeroAFNegritaCaracter"/>
        </w:rPr>
        <w:t>3</w:t>
      </w:r>
      <w:r>
        <w:t>. En su demanda de amparo, el recurrente estima que las referidas resoluciones judiciales dictadas por el Juzgado de Primera Instancia núm. 5 de Albacete —Sentencia, providencia y Auto— han vulnerado el derecho fundamental a la huelga consagrado en el art. 28.2 CE.</w:t>
      </w:r>
    </w:p>
    <w:p w:rsidR="00163957" w:rsidRDefault="00163957" w:rsidP="00163957">
      <w:pPr>
        <w:pStyle w:val="TextoNormal"/>
      </w:pPr>
    </w:p>
    <w:p w:rsidR="00163957" w:rsidRDefault="00163957" w:rsidP="00163957">
      <w:pPr>
        <w:pStyle w:val="TextoNormal"/>
      </w:pPr>
      <w:r>
        <w:t>a) El demandante —que afirma ser trabajador del sindicato Comisiones Obreras de Castilla-La Mancha y haber participado en un piquete informativo en la huelga general de 29 de septiembre de 2010— fija la especial trascendencia constitucional del recurso en la inexistencia de doctrina constitucional sobre la responsabilidad civil de quienes participan de forma activa en los “piquetes de huelga” —dirigiéndolos visiblemente— respecto de los daños y perjuicios que pudieran ocasionar terceras personas indeterminadas que integran el mismo piquete, cuando no queda acreditado que exista ningún tipo de dependencia o relación jurídica entre aquel y estos. Señala que, en función de la respuesta del Tribunal Constitucional, el derecho fundamental de huelga, en cuanto a la función de promover y dirigir piquetes informativos, podrá ser ejercitado con mayor o menor libertad y seguridad jurídica, pues si se confirmara la constitucionalidad de la interpretación del Juzgado de Primera Instancia núm. 5 de Albacete existirán en el futuro pocos o ningún dirigentes de piquetes informativos, salvo que tal función la desempeñen personas insolventes patrimonialmente de forma vitalicia. La interpretación del Tribunal Constitucional se hace más precisa, añade, en la actual situación de inexistencia de desarrollo por ley orgánica del derecho fundamental de huelga.</w:t>
      </w:r>
    </w:p>
    <w:p w:rsidR="00163957" w:rsidRDefault="00163957" w:rsidP="00163957">
      <w:pPr>
        <w:pStyle w:val="TextoNormal"/>
      </w:pPr>
    </w:p>
    <w:p w:rsidR="00163957" w:rsidRDefault="00163957" w:rsidP="00163957">
      <w:pPr>
        <w:pStyle w:val="TextoNormal"/>
      </w:pPr>
      <w:r>
        <w:t>b) En su argumentación jurídica, la demanda de amparo señala que la interpretación mantenida en la Sentencia recurrida supone una sanción o efecto desfavorable por el mero hecho de dirigir un piquete informativo en la huelga general indicada, cuando alguna persona de tal piquete, sin relación con dicho dirigente, lleva a cabo un acto ilícito. Con apoyo en la STC 137/1997, aduce que el modelo de huelga consagrado en el art. 28.2 CE legitima la participación activa en la misma, realizando acciones para provocar la adhesión y simpatía de otros trabajadores y ciudadanos en general, e incluyendo los piquetes informativos —sea como mero participante o como dirigente del mismo—. Por ello, entiende, no son respetuosas con el derecho de huelga las resoluciones judiciales que hacen descansar la imputación de responsabilidad por daños ocasionados por terceros, a quienes como personas físicas a título individual se limitan a dirigir un piquete informativo, por el mero hecho de asumir esa actuación directiva. El demandante considera que los esquemas de la responsabilidad civil deben matizarse en el supuesto de daños derivados del ejercicio del derecho de huelga imputables a los huelguistas, para evitar mermar o limitar el propio derecho fundamental. Al respecto advierte sobre el efecto perverso y disuasorio para los trabajadores del ejercicio del derecho de huelga en caso de admitirse la reclamación mecánica por daños derivados de la huelga por el mero hecho de su participación activa, con independencia de quiénes sean los autores materiales del daño. En este caso, remarca que, aun cuando las resoluciones recurridas reconocen implícitamente que el recurrente no participó directamente en los hechos lesivos, se le imputa la responsabilidad por ser “el cabecilla” del piquete informativo, insistiendo en que, por el mero hecho de dirigir el piquete, la sentencia impugnada considera que “se ha sobrepasado” en el ejercicio del derecho fundamental, lo que supone una violación de dicho derecho.</w:t>
      </w:r>
    </w:p>
    <w:p w:rsidR="00163957" w:rsidRDefault="00163957" w:rsidP="00163957">
      <w:pPr>
        <w:pStyle w:val="TextoNormal"/>
      </w:pPr>
    </w:p>
    <w:p w:rsidR="00163957" w:rsidRDefault="00163957" w:rsidP="00163957">
      <w:pPr>
        <w:pStyle w:val="TextoNormal"/>
      </w:pPr>
      <w:r>
        <w:t>c) Considera asimismo que, además de prescindir de la doctrina de la STC 254/1988 —a la que añade la cita de la STS, Sala Social, de 18 de julio de 1986—, la juzgadora aplica jurisprudencia de la Sala Penal del Tribunal Supremo dictada para enjuiciar la responsabilidad civil subsidiaria del sindicato por los daños causados por un piquete de huelga. No obstante, entiende, trasladar a una persona física como el recurrente la teoría del riesgo creado para imputarle responsabilidad civil directa y exclusiva se traduce en la restricción injustificada del ejercicio del derecho de huelga.</w:t>
      </w:r>
    </w:p>
    <w:p w:rsidR="00163957" w:rsidRDefault="00163957" w:rsidP="00163957">
      <w:pPr>
        <w:pStyle w:val="TextoNormal"/>
      </w:pPr>
    </w:p>
    <w:p w:rsidR="00163957" w:rsidRDefault="00163957" w:rsidP="00163957">
      <w:pPr>
        <w:pStyle w:val="TextoNormal"/>
      </w:pPr>
      <w:r>
        <w:t>Indica también que la Sentencia silencia el hecho que desencadena el conflicto —caída al suelo de una huelguista por la acción de quien invoca el daño—, de ahí que, salvo que conste probado que el líder del piquete fue quien dio directamente las órdenes de causar el daño, no se le puede imputar responsabilidad, pues de lo contrario se hace una interpretación que potencia los límites a la efectividad del derecho de huelga. Entiende que el citado hecho impone la ausencia de relación de causalidad entre el actuar del recurrente —dirigir el piquete— y el daño producido.</w:t>
      </w:r>
    </w:p>
    <w:p w:rsidR="00163957" w:rsidRDefault="00163957" w:rsidP="00163957">
      <w:pPr>
        <w:pStyle w:val="TextoNormal"/>
      </w:pPr>
    </w:p>
    <w:p w:rsidR="00163957" w:rsidRDefault="00163957" w:rsidP="00163957">
      <w:pPr>
        <w:pStyle w:val="TextoNormal"/>
      </w:pPr>
      <w:r>
        <w:t xml:space="preserve">Por último, en la demanda se señala que el art. 5.2 de la Ley Orgánica 11/1985, de libertad sindical, exonera de responsabilidad al sindicato por actos de sus afiliados, salvo que quede acreditado que se llevaron a cabo actuando por orden y por cuenta del sindicato. Por ello, considera, con mayor razón debería haberse interpretado la inimputabilidad de responsabilidad al recurrente, que, siendo demandado a título personal o como persona física, se limitó a dirigir el piquete informativo de huelga, sin intervenir en los hechos que generaron </w:t>
      </w:r>
      <w:r>
        <w:lastRenderedPageBreak/>
        <w:t>el daño invocado, y sin poder evitarlos ante un hecho imprevisto derivado de la actuación previa realizada por quien alega haber sufrido daño.</w:t>
      </w:r>
    </w:p>
    <w:p w:rsidR="00163957" w:rsidRDefault="00163957" w:rsidP="00163957">
      <w:pPr>
        <w:pStyle w:val="TextoNormal"/>
      </w:pPr>
    </w:p>
    <w:p w:rsidR="00163957" w:rsidRDefault="00163957" w:rsidP="00163957">
      <w:pPr>
        <w:pStyle w:val="TextoNormal"/>
      </w:pPr>
      <w:r>
        <w:t>Por todo lo dicho, el recurrente solicita la declaración de vulneración del derecho al ejercicio de la huelga y de nulidad de las resoluciones judiciales recurridas, así como la devolución de la cantidad de 816,82 € más los intereses legales.</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15 de diciembre de 2014, la Sala Primera de este Tribunal acordó admitir a trámite la demanda presentada y, conforme a lo dispuesto en el art. 51 de la Ley Orgánica del Tribunal Constitucional (LOTC), dirigir atenta comunicación al Juzgado de Primera Instancia núm. 5 de Albacete a fin de que, en plazo que no excediera de diez días, remitiera certificación o fotocopia adverada de las actuaciones correspondientes al juicio verbal núm. 195-2012, interesándose al propio tiempo del órgano judicial que emplazara a quienes hubieran sido parte en el procedimiento, excepto a la parte recurrente en amparo, para que pudieran comparecer en el plazo de diez días.</w:t>
      </w:r>
    </w:p>
    <w:p w:rsidR="00163957" w:rsidRDefault="00163957" w:rsidP="00163957">
      <w:pPr>
        <w:pStyle w:val="TextoNormal"/>
      </w:pPr>
    </w:p>
    <w:p w:rsidR="00163957" w:rsidRDefault="00163957" w:rsidP="00163957">
      <w:pPr>
        <w:pStyle w:val="TextoNormal"/>
      </w:pPr>
      <w:r w:rsidRPr="00163957">
        <w:rPr>
          <w:rStyle w:val="NumeroAFNegritaCaracter"/>
        </w:rPr>
        <w:t>5</w:t>
      </w:r>
      <w:r>
        <w:t>. Por diligencia de ordenación de la Secretaría de Justicia de la Sala Primera de este Tribunal de 10 de febrero de 2015 se tuvieron por recibidos los testimonios de las actuaciones remitidos por el Juzgado de Primera Instancia núm. 5 de Albacete. Asimismo, a tenor de lo dispuesto en el artículo 52 LOTC, se dio vista de todas las actuaciones, por un plazo común de veinte días, al Ministerio Fiscal y a las partes personadas para que, dentro de dicho término, pudieran presentar las alegaciones que a su derecho conviniera.</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escrito de 5 de marzo de 2015, la representación procesal del recurrente se ratificó íntegramente en el contenido de la demanda de amparo.</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El Ministerio Fiscal presentó sus alegaciones mediante escrito de 31 de marzo de 2015, en el que interesa que se otorgue el amparo por vulneración del derecho fundamental a la huelga, declarando la nulidad de las resoluciones recurridas, con retroacción de actuaciones para que la Juez </w:t>
      </w:r>
      <w:r w:rsidRPr="00163957">
        <w:rPr>
          <w:i/>
        </w:rPr>
        <w:t>a quo</w:t>
      </w:r>
      <w:r>
        <w:t xml:space="preserve"> dicte, respecto a la responsabilidad civil por lucro cesante derivada del cierre del local, una nueva resolución respetuosa con dicho derecho fundamental.</w:t>
      </w:r>
    </w:p>
    <w:p w:rsidR="00163957" w:rsidRDefault="00163957" w:rsidP="00163957">
      <w:pPr>
        <w:pStyle w:val="TextoNormal"/>
      </w:pPr>
    </w:p>
    <w:p w:rsidR="00163957" w:rsidRDefault="00163957" w:rsidP="00163957">
      <w:pPr>
        <w:pStyle w:val="TextoNormal"/>
      </w:pPr>
      <w:r>
        <w:t xml:space="preserve">a) El Fiscal recuerda la doctrina constitucional sobre la imposición de sanciones penales y laborales disciplinarias a los participantes en una huelga, señalando las conductas que este Tribunal ha considerado totalmente ajenas al ejercicio del derecho de huelga —entre otras, se citan las SSTC 2/1982, 332/1994, 40/1995, etc., con mención especial a las SSTC 254/1988 y 104/2011—. Indica asimismo que la actuación del demandante de amparo, como integrante de un piquete informativo, formaba parte, </w:t>
      </w:r>
      <w:r w:rsidRPr="00163957">
        <w:rPr>
          <w:i/>
        </w:rPr>
        <w:t>prima facie</w:t>
      </w:r>
      <w:r>
        <w:t>, del ejercicio legítimo del derecho a la huelga, en los términos establecidos en la STC 137/1997, al desarrollar “funciones de información, propaganda, persuasión a los demás trabajadores para que se sumen a la huelga o disuasión a los que han optado por continuar el trabajo”.</w:t>
      </w:r>
    </w:p>
    <w:p w:rsidR="00163957" w:rsidRDefault="00163957" w:rsidP="00163957">
      <w:pPr>
        <w:pStyle w:val="TextoNormal"/>
      </w:pPr>
    </w:p>
    <w:p w:rsidR="00163957" w:rsidRDefault="00163957" w:rsidP="00163957">
      <w:pPr>
        <w:pStyle w:val="TextoNormal"/>
      </w:pPr>
      <w:r>
        <w:t xml:space="preserve">b) Añade que la Juez </w:t>
      </w:r>
      <w:r w:rsidRPr="00163957">
        <w:rPr>
          <w:i/>
        </w:rPr>
        <w:t>a quo</w:t>
      </w:r>
      <w:r>
        <w:t xml:space="preserve"> hace responsable al recurrente de las lesiones sufridas por el propietario del </w:t>
      </w:r>
      <w:r w:rsidRPr="00163957">
        <w:rPr>
          <w:i/>
        </w:rPr>
        <w:t>pub</w:t>
      </w:r>
      <w:r>
        <w:t xml:space="preserve">, pese a reconocer expresamente que no tuvo participación directa en las mismas en tanto la agresión se realizó por integrantes indeterminados del piquete informativo. A su juicio, no puede compartirse el razonamiento judicial, fundado en una suerte de </w:t>
      </w:r>
      <w:r>
        <w:lastRenderedPageBreak/>
        <w:t>responsabilidad cuasi-objetiva basada en la creación del riesgo, derivada de la condición de “cabecilla” del piquete. Considera que, a la vista de los hechos declarados probados en la Sentencia, no puede concluirse que la actuación del demandante de amparo sobrepasara los límites constitucionalmente protegidos en orden a asegurar el libre desarrollo de las tareas de información, persuasión y presión, en un contexto de ejercicio legítimo del derecho a la huelga. Además, indica, no hay ningún dato que permitiera concluir que la agresión sufrida por el propietario del establecimiento fuera premeditada o previsible o que hubiera sido alentada, instigada u ordenada por el demandante de amparo. Por ello, entiende que la condena del recurrente como responsable civil directo por las lesiones causadas por terceros indeterminados no se ajusta al estándar de razonabilidad constitucional exigible a toda resolución judicial.</w:t>
      </w:r>
    </w:p>
    <w:p w:rsidR="00163957" w:rsidRDefault="00163957" w:rsidP="00163957">
      <w:pPr>
        <w:pStyle w:val="TextoNormal"/>
      </w:pPr>
    </w:p>
    <w:p w:rsidR="00163957" w:rsidRDefault="00163957" w:rsidP="00163957">
      <w:pPr>
        <w:pStyle w:val="TextoNormal"/>
      </w:pPr>
      <w:r>
        <w:t xml:space="preserve">No considera admisible la traslación de la doctrina jurisprudencial desarrollada respecto a la responsabilidad civil subsidiaria de sindicatos en caso de condena a sus afiliados o a terceros como autores del delito tipificado en el art. 315 del Código penal, que la Sentencia recurrida entiende aplicable a los ilícitos civiles, trasladando la exigencia de relación de dependencia entre el autor del delito y la persona individual o jurídica bajo cuya dependencia se encuentra. En su opinión, las situaciones son sustancialmente diferentes, señalando que en este caso no se trata de un supuesto de responsabilidad civil subsidiaria </w:t>
      </w:r>
      <w:r w:rsidRPr="00163957">
        <w:rPr>
          <w:i/>
        </w:rPr>
        <w:t>ex</w:t>
      </w:r>
      <w:r>
        <w:t xml:space="preserve"> delito, sino de responsabilidad civil directa del demandante de amparo, e indicando además que la relación de dependencia exigida por la doctrina jurisprudencial no puede predicarse de quien asume, de hecho, la condición de “líder” del piquete de huelga, sin que exista otro tipo de vinculación o relación con las personas que lo integran, y sin que conste acreditado que quienes causaron las lesiones actuasen por orden y/o a instancia del recurrente. En otras palabras, afirma, no puede hacerse recaer en el demandante de amparo la responsabilidad civil directa por lesiones causadas al margen de todo elemento culpabilístico, pues ninguna participación tuvo en la actuación agresiva, sin que su condición de “líder” del piquete sea título suficiente para estimar concurrente una “relación de dependencia” de los miembros integrantes del piquete a los efectos de imputarle, por vía de responsabilidad civil, el resultado de los actos lesivos cometidos por los primeros.</w:t>
      </w:r>
    </w:p>
    <w:p w:rsidR="00163957" w:rsidRDefault="00163957" w:rsidP="00163957">
      <w:pPr>
        <w:pStyle w:val="TextoNormal"/>
      </w:pPr>
    </w:p>
    <w:p w:rsidR="00163957" w:rsidRDefault="00163957" w:rsidP="00163957">
      <w:pPr>
        <w:pStyle w:val="TextoNormal"/>
      </w:pPr>
      <w:r>
        <w:t>Advierte que el razonamiento expuesto para imputarle la responsabilidad civil directa y exclusiva se traduce en una restricción objetiva e injustificada del ejercicio del derecho fundamental de huelga, resultando una medida desproporcionada, con un efecto disuasorio o desalentador en su ejercicio (SSTC 88/2003, FJ 8, y 104/2011, FJ 9). A su entender, hacer responsable civilmente a quien asume la condición de líder de un piquete informativo por las lesiones causadas por terceros supone desconocer el contenido esencial del ejercicio del derecho de huelga y provoca, en su proyección futura, un efecto inhibidor en quien, como líder de un piquete, pretenda llevar a cabo funciones de información, propaganda, persuasión o disuasión durante el desarrollo de una huelga.</w:t>
      </w:r>
    </w:p>
    <w:p w:rsidR="00163957" w:rsidRDefault="00163957" w:rsidP="00163957">
      <w:pPr>
        <w:pStyle w:val="TextoNormal"/>
      </w:pPr>
    </w:p>
    <w:p w:rsidR="00163957" w:rsidRDefault="00163957" w:rsidP="00163957">
      <w:pPr>
        <w:pStyle w:val="TextoNormal"/>
      </w:pPr>
      <w:r>
        <w:t xml:space="preserve">c) A la misma conclusión llega respecto al reconocimiento de responsabilidad civil del demandante de amparo por los perjuicios derivados del lucro cesante derivado del cierre del local, responsabilidad que la Juez </w:t>
      </w:r>
      <w:r w:rsidRPr="00163957">
        <w:rPr>
          <w:i/>
        </w:rPr>
        <w:t>a quo</w:t>
      </w:r>
      <w:r>
        <w:t xml:space="preserve"> imputa por actos propios constitutivos de un comportamiento coactivo —el hecho de discutir “acaloradamente” con el propietario del establecimiento y las expresiones “cabrón, cierra, hijo de puta, qué hacéis aquí”—. El Fiscal señala que la Sentencia no dio por acreditado que el demandante de amparo fuera una de las </w:t>
      </w:r>
      <w:r>
        <w:lastRenderedPageBreak/>
        <w:t>personas que entraron de forma violenta en el establecimiento y lanzaron petardos y ocasionaron la rotura de vasos, consiguiendo que los clientes abandonaran el local; y asimismo, tampoco esta entrada en el local resultaba previsible, ni consta acreditado que fue ordenada o instigada por el recurrente.</w:t>
      </w:r>
    </w:p>
    <w:p w:rsidR="00163957" w:rsidRDefault="00163957" w:rsidP="00163957">
      <w:pPr>
        <w:pStyle w:val="TextoNormal"/>
      </w:pPr>
    </w:p>
    <w:p w:rsidR="00163957" w:rsidRDefault="00163957" w:rsidP="00163957">
      <w:pPr>
        <w:pStyle w:val="TextoNormal"/>
      </w:pPr>
      <w:r>
        <w:t>En atención a la doctrina constitucional (SSTC 137/1997, FJ 4, y 104/2011, FJ 6), considera que la actuación del demandante de amparo debe situarse en el contexto de enfrentamiento y tensión que caracteriza las situaciones de huelga. Considera que el requerir a terceros que se adhieran a la huelga, aunque sea con actitud vehemente o con acaloramiento o insistencia, formaría parte del contenido esencial de este derecho fundamental, si bien, también este Tribunal ha señalado que el ejercicio del derecho de huelga no ampara proferir insultos o expresiones injuriosas a terceros (STC 332/1994, FJ 6). En consecuencia, indica, las expresiones o insultos proferidos por el recurrente contra el propietario del local —que estimó acreditados la Sentencia— no estarían amparados por el ejercicio legítimo del derecho a la huelga. Ahora bien, aduce que los hechos que se imputan al demandante de amparo son posteriores al momento en que determinadas personas accedieron al interior del local, consiguiendo que los clientes lo abandonaran, habiendo reconocido el actor en su demanda que los agentes policiales le recomendaron el cierre del local, dato que no fue ponderado en la Sentencia.</w:t>
      </w:r>
    </w:p>
    <w:p w:rsidR="00163957" w:rsidRDefault="00163957" w:rsidP="00163957">
      <w:pPr>
        <w:pStyle w:val="TextoNormal"/>
      </w:pPr>
    </w:p>
    <w:p w:rsidR="00163957" w:rsidRDefault="00163957" w:rsidP="00163957">
      <w:pPr>
        <w:pStyle w:val="TextoNormal"/>
      </w:pPr>
      <w:r>
        <w:t>A su modo de ver, la argumentación de la Juez, que atribuyó al recurrente la responsabilidad civil por los perjuicios ocasionados por el cierre del local sobre la única base de que su actuación había rebasado los límites del ejercicio legítimo de la huelga, resulta manifiestamente insuficiente y no cumpliría con el estándar de motivación reforzada exigible cuando están en juego derechos fundamentales. Aduce que no existe en la Sentencia la más mínima justificación sobre la relación de causalidad adecuada entre la actuación imputada al demandante de amparo y el resultado producido, ni tampoco se ponderó adecuadamente el contexto en que tuvo lugar. Por ello, concluye, tales circunstancias conllevan una vulneración del derecho a la huelga, señalando que declarar la responsabilidad civil directa del recurrente por lucro cesante resulta una medida desproporcionada, que provoca un efecto de desaliento en el ejercicio del citado derecho.</w:t>
      </w:r>
    </w:p>
    <w:p w:rsidR="00163957" w:rsidRDefault="00163957" w:rsidP="00163957">
      <w:pPr>
        <w:pStyle w:val="TextoNormal"/>
      </w:pPr>
    </w:p>
    <w:p w:rsidR="00163957" w:rsidRDefault="00163957" w:rsidP="00163957">
      <w:pPr>
        <w:pStyle w:val="TextoNormal"/>
      </w:pPr>
      <w:r w:rsidRPr="00163957">
        <w:rPr>
          <w:rStyle w:val="NumeroAFNegritaCaracter"/>
        </w:rPr>
        <w:t>8</w:t>
      </w:r>
      <w:r>
        <w:t>. El Pleno de este Tribunal, por providencia de 16 de febrero de 2016, acordó, conforme establece el artículo 10.1 n) LOTC y a propuesta de tres Magistrados, recabar para sí el conocimiento del presente recurso de amparo.</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12 de abril de 2016 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presente recurso de amparo se dirige contra la Sentencia del Juzgado de Primera Instancia núm. 5 de Albacete, de 18 de enero de 2013, estimatoria de una demanda de juicio verbal en reclamación de cantidad entablada contra el ahora recurrente. Asimismo, también se impugna la providencia del mismo Juzgado, de 5 de marzo de 2013, por la que se inadmite a trámite el incidente de nulidad de actuaciones promovido frente a la citada Sentencia, así como el Auto de 19 de abril de 2013, también del Juzgado de Primera Instancia núm. 5 de </w:t>
      </w:r>
      <w:r>
        <w:lastRenderedPageBreak/>
        <w:t>Albacete, por el que se desestima el recurso de reposición interpuesto frente a la anterior providencia.</w:t>
      </w:r>
    </w:p>
    <w:p w:rsidR="00163957" w:rsidRDefault="00163957" w:rsidP="00163957">
      <w:pPr>
        <w:pStyle w:val="TextoNormal"/>
      </w:pPr>
    </w:p>
    <w:p w:rsidR="00163957" w:rsidRDefault="00163957" w:rsidP="00163957">
      <w:pPr>
        <w:pStyle w:val="TextoNormal"/>
      </w:pPr>
      <w:r>
        <w:t xml:space="preserve">Como se ha expuesto con más detalle en los antecedentes de hecho, la Sentencia recurrida —que las demás resoluciones impugnadas dejan inalterada— condena al demandante de amparo al abono de la cantidad de 816,82 € en concepto de indemnización por culpa extracontractual por los daños personales y materiales que se ocasionaron al titular de un </w:t>
      </w:r>
      <w:r w:rsidRPr="00163957">
        <w:rPr>
          <w:i/>
        </w:rPr>
        <w:t>pub</w:t>
      </w:r>
      <w:r>
        <w:t xml:space="preserve"> como consecuencia de la acción de un piquete informativo —compuesto por unas cien personas— durante una jornada de huelga general: i) por lo que se refiere a los daños personales —respecto a los que la indemnización asciende a 255,82 €—, la Sentencia considera que las lesiones fueron fruto de la agresión llevada a cabo por integrantes indeterminados del piquete, imputándose la responsabilidad civil al ahora recurrente habida cuenta de su condición de líder o dirigente de dicho piquete y en atención a su anuencia respecto al hecho ilícito; ii) en cuanto a los daños materiales por lucro cesante derivados del cierre del local motivado por la actuación del piquete —cuya indemnización se fija en 561 €—, la Sentencia recurrida entiende que, en este caso y sin perjuicio de lo anterior, la responsabilidad del demandante de amparo le es imputable por un hecho propio, en la medida en que por los agentes de la Policía Nacional se refiere la discusión acalorada del ahora recurrente con el propietario del establecimiento, se manifiesta también que aquel fue identificado como autor de los insultos citados por el denunciante —“cabrón, cierra hijo de puta, qué hacéis ahí”—, y se atiende asimismo a que, según comprobaron los citados agentes, sus expresiones incitaban al cierre del </w:t>
      </w:r>
      <w:r w:rsidRPr="00163957">
        <w:rPr>
          <w:i/>
        </w:rPr>
        <w:t>pub</w:t>
      </w:r>
      <w:r>
        <w:t xml:space="preserve"> a toda costa frente a la pretensión contraria de su titular —local en el que hallaron restos de petardos y vasos rotos—, todo lo cual lleva a la Juez a considerar que se trata de una conducta que sobrepasa los límites del legítimo derecho a la huelga.</w:t>
      </w:r>
    </w:p>
    <w:p w:rsidR="00163957" w:rsidRDefault="00163957" w:rsidP="00163957">
      <w:pPr>
        <w:pStyle w:val="TextoNormal"/>
      </w:pPr>
    </w:p>
    <w:p w:rsidR="00163957" w:rsidRDefault="00163957" w:rsidP="00163957">
      <w:pPr>
        <w:pStyle w:val="TextoNormal"/>
      </w:pPr>
      <w:r>
        <w:t>Por el contrario, en su demanda, el recurrente atribuye a las resoluciones recurridas la lesión del derecho a la huelga reconocido en el art. 28.2 CE, pues, según indica, la imputación de responsabilidad civil al dirigente de un piquete informativo por los daños ocasionados por terceros constituye una restricción injustificada del citado derecho, que además tiene efectos disuasorios para el ejercicio de tal función directiva en futuras huelgas. También el Ministerio Fiscal aprecia la vulneración denunciada e interesa la estimación del recurso de amparo en los términos que han quedado expuestos en los antecedentes.</w:t>
      </w:r>
    </w:p>
    <w:p w:rsidR="00163957" w:rsidRDefault="00163957" w:rsidP="00163957">
      <w:pPr>
        <w:pStyle w:val="TextoNormal"/>
      </w:pPr>
    </w:p>
    <w:p w:rsidR="00163957" w:rsidRDefault="00163957" w:rsidP="00163957">
      <w:pPr>
        <w:pStyle w:val="TextoNormal"/>
      </w:pPr>
      <w:r w:rsidRPr="00163957">
        <w:rPr>
          <w:rStyle w:val="NumeroAFNegritaCaracter"/>
        </w:rPr>
        <w:t>2</w:t>
      </w:r>
      <w:r>
        <w:t>. En la valoración de la queja planteada hemos de recordar que, “[d]e conformidad con lo establecido en el art. 6.6 del Real Decreto-ley 17/1977, de 4 de marzo, ya la STC 11/1981 destacó en su fundamento jurídico 11 que una de las facultades del derecho de huelga es la publicidad o proyección exterior de la misma”, facultad que “abarca no sólo la publicidad del hecho mismo de la huelga, sino también de sus circunstancias o de los obstáculos que se oponen a su desarrollo, a los efectos de exponer la propia postura, recabar la solidaridad de terceros o superar su oposición” (STC 137/1997, de 21 de julio, FJ 3). En coherencia con ello, este Tribunal ha afirmado que “[e]l derecho de huelga implica el de requerir de otros la adhesión a la misma y a participar, dentro del marco legal, en acciones conjuntas dirigidas a tal fin”, de ahí que “[l]a actividad del llamado piquete de huelguistas con sus funciones de información, propaganda, persuasión a los demás trabajadores para que se sumen a la huelga o disuasión a los que han optado por continuar el trabajo, integra pues el contenido del derecho reconocido en el art. 28.2 C.E.” (STC 137/1997, FJ 3).</w:t>
      </w:r>
    </w:p>
    <w:p w:rsidR="00163957" w:rsidRDefault="00163957" w:rsidP="00163957">
      <w:pPr>
        <w:pStyle w:val="TextoNormal"/>
      </w:pPr>
    </w:p>
    <w:p w:rsidR="00163957" w:rsidRDefault="00163957" w:rsidP="00163957">
      <w:pPr>
        <w:pStyle w:val="TextoNormal"/>
      </w:pPr>
      <w:r>
        <w:lastRenderedPageBreak/>
        <w:t>Ahora bien, también este Tribunal ha reiterado que “el derecho de huelga no incluye la posibilidad de ejercer coacciones sobre terceros porque ello afecta a otros bienes o derechos constitucionalmente protegidos, como la libertad de trabajar o la dignidad de la persona y su derecho a la integridad moral que plasman los arts. 10.1 y 15 C.E.” (STC 137/1997, FJ 3); y en la misma línea se ha señalado que “[l]a difusión de la huelga ha de llevarse a cabo con medios lícitos y sin ejercer coacciones sobre los demás trabajadores, a los que debe ser respetada, en su caso, su opción por no ejercer el derecho”, de modo que “[q]uedan, por lo tanto, fuera del derecho a difundir la huelga la realización de coacciones o de actos vandálicos, los cuales en modo alguno pueden verse justificados por la difusión o el éxito de la huelga, o usados como un factor multiplicador de los efectos de la misma” (ATC 158/1994, de 9 de mayo, FJ 3).</w:t>
      </w:r>
    </w:p>
    <w:p w:rsidR="00163957" w:rsidRDefault="00163957" w:rsidP="00163957">
      <w:pPr>
        <w:pStyle w:val="TextoNormal"/>
      </w:pPr>
    </w:p>
    <w:p w:rsidR="00163957" w:rsidRDefault="00163957" w:rsidP="00163957">
      <w:pPr>
        <w:pStyle w:val="TextoNormal"/>
      </w:pPr>
      <w:r>
        <w:t>Así, en el ámbito de las sanciones penales, “el ATC 36/1989, a propósito de la queja interpuesta por quienes fueron condenados como autores de un delito de coacciones… por impedir materialmente el acceso de la clientela y otras personas al establecimiento mediante actitudes violentas y de fuerza que coaccionaron la actuación de los clientes del bar, del empresario y de sus familiares, subrayó que el derecho de huelga no comprende la posibilidad de ejercer sobre terceros una violencia moral de alcance intimidatorio o coactivo” y “[e]l ATC 71/1992, examinando la condena impuesta por la comisión de una falta… a los que anunciaron graves consecuencias para los trabajadores que persistían en su intención de acudir a prestar servicios, reiteró que una actividad tendente a la intimidación ilícita del resto de los trabajadores y que persigue limitar su capacidad de decisión mediante la coacción psicológica o presión moral, no queda comprendida en el derecho fundamental” (STC 137/1997, FJ 3, que asimismo consideró que excedía de los márgenes protegidos por el derecho de huelga la conducta de los componentes de un piquete que impedían la entrada y salida de vehículos de la fábrica).</w:t>
      </w:r>
    </w:p>
    <w:p w:rsidR="00163957" w:rsidRDefault="00163957" w:rsidP="00163957">
      <w:pPr>
        <w:pStyle w:val="TextoNormal"/>
      </w:pPr>
    </w:p>
    <w:p w:rsidR="00163957" w:rsidRDefault="00163957" w:rsidP="00163957">
      <w:pPr>
        <w:pStyle w:val="TextoNormal"/>
      </w:pPr>
      <w:r>
        <w:t>Por su parte, analizando el ajuste constitucional de la imposición de determinadas sanciones disciplinarias laborales, el Tribunal ha tenido ocasión de precisar que, entre otras, “son conductas totalmente ajenas al ejercicio del derecho de huelga impedir la entrada en la fábrica a los directivos, trabajadores de empresas contratistas o a los designados para atender los servicios mínimos y amenazar a los que estaban en su puesto de trabajo para que lo abandonaran (ATC 570/1987); golpear y amenazar a un trabajador para eliminar de hecho su libertad de trabajo (ATC 193/1993); agredir e insultar al personal de seguridad y causar incendios y daños en las instalaciones de la empresa (ATC 158/1994); interceptar y golpear el vehículo que trasladaba a los trabajadores, insultando a sus ocupantes (STC 332/1994); insultar a los trabajadores que accedían al centro de trabajo (STC 333/1994); u obstaculizar e impedir a clientes y trabajadores el libre acceso a la empresa, profiriendo palabras injuriosas e insultantes contra quienes no secundaban la huelga (STC 40/1995…)” (STC 137/1997, FJ 3).</w:t>
      </w:r>
    </w:p>
    <w:p w:rsidR="00163957" w:rsidRDefault="00163957" w:rsidP="00163957">
      <w:pPr>
        <w:pStyle w:val="TextoNormal"/>
      </w:pPr>
    </w:p>
    <w:p w:rsidR="00163957" w:rsidRDefault="00163957" w:rsidP="00163957">
      <w:pPr>
        <w:pStyle w:val="TextoNormal"/>
      </w:pPr>
      <w:r>
        <w:t>En definitiva, como síntesis de nuestra doctrina constitucional en la materia, cabe concluir que el derecho de huelga incluye el derecho de difusión e información sobre la misma —publicidad “pacífica”—, “pero no puede tutelar el de coaccionar, amenazar, o ejercer actos de violencia para perseguir sus fines”, siendo obligado respetar la libertad de los trabajadores que optan por no ejercer el derecho de huelga —art. 6.4 del Real Decreto-ley 17/1977— (SSTC 332/1994, de 19 de diciembre, FJ 6, y 37/1998, de 17 de febrero, FJ 3; o ATC 158/1994, de 9 de mayo, FJ 3).</w:t>
      </w:r>
    </w:p>
    <w:p w:rsidR="00163957" w:rsidRDefault="00163957" w:rsidP="00163957">
      <w:pPr>
        <w:pStyle w:val="TextoNormal"/>
      </w:pPr>
    </w:p>
    <w:p w:rsidR="00163957" w:rsidRDefault="00163957" w:rsidP="00163957">
      <w:pPr>
        <w:pStyle w:val="TextoNormal"/>
      </w:pPr>
      <w:r w:rsidRPr="00163957">
        <w:rPr>
          <w:rStyle w:val="NumeroAFNegritaCaracter"/>
        </w:rPr>
        <w:t>3</w:t>
      </w:r>
      <w:r>
        <w:t>. En atención a la doctrina expuesta hemos de declarar que, desde una perspectiva objetiva o material, las conductas que han dado origen a la condena por responsabilidad civil ahora cuestionada —básicamente, agresión física e insultos dirigidos al cierre de un local de trabajo— no pueden considerarse incluidas en el derecho fundamental a la huelga, situándose extramuros de éste, en tanto sobrepasan los límites constitucionalmente protegidos “en orden a asegurar el libre desarrollo de las tareas de información, persuasión y presión” (STC 137/1997, FJ 4). Ha de partirse de la idea de que, efectivamente, tales conductas desarrolladas en el contexto de una huelga pueden dar lugar al nacimiento de responsabilidad civil a efectos de resarcir los daños causados, máxime teniendo en cuenta que los dañados son también titulares de otros derechos constitucionales que pueden quedar afectados —</w:t>
      </w:r>
      <w:r w:rsidRPr="00163957">
        <w:rPr>
          <w:i/>
        </w:rPr>
        <w:t>v.gr</w:t>
      </w:r>
      <w:r>
        <w:t>. el derecho a la vida y a la integridad física y moral (art. 15 CE), el derecho al trabajo (art. 35.1 CE), la libertad de empresa (art. 38 CE)—. En todo caso es evidente que para que nazca la obligación de reparación en favor de los dañados es necesaria la concurrencia de determinados presupuestos, cuya apreciación en cada supuesto ha de ser respetuosa con los derechos fundamentales de aquellos a quienes se imputa la responsabilidad.</w:t>
      </w:r>
    </w:p>
    <w:p w:rsidR="00163957" w:rsidRDefault="00163957" w:rsidP="00163957">
      <w:pPr>
        <w:pStyle w:val="TextoNormal"/>
      </w:pPr>
    </w:p>
    <w:p w:rsidR="00163957" w:rsidRDefault="00163957" w:rsidP="00163957">
      <w:pPr>
        <w:pStyle w:val="TextoNormal"/>
      </w:pPr>
      <w:r>
        <w:t>Este es precisamente el punto controvertido en el presente recurso. En él, el debate constitucional suscitado gira en torno a la imputación subjetiva de la citada responsabilidad civil, aspecto sobre el que la actual normativa en materia de huelga no establece una regla específica, a diferencia de lo que sucede en relación con los daños causados durante el ejercicio de otros derechos fundamentales como el derecho de reunión (art. 4 de la Ley Orgánica 9/1983, de 15 de julio). De cualquier modo, resulta obvio que, por más que los actos dañosos enjuiciados en este supuesto queden materialmente fuera del ejercicio legítimo del derecho de huelga y puedan dar lugar a responsabilidad civil, tal derecho fundamental podría quedar vulnerado si la indicada responsabilidad se atribuye a huelguistas respecto a los que, desde la perspectiva constitucional, no se ofrece título subjetivo suficiente de imputación. En este procedimiento, por tanto, debe determinarse si la imposición al demandante de amparo de la indicada responsabilidad civil por daños resulta o no respetuosa con el referido derecho fundamental reconocido en el art. 28.2 CE.</w:t>
      </w:r>
    </w:p>
    <w:p w:rsidR="00163957" w:rsidRDefault="00163957" w:rsidP="00163957">
      <w:pPr>
        <w:pStyle w:val="TextoNormal"/>
      </w:pPr>
    </w:p>
    <w:p w:rsidR="00163957" w:rsidRDefault="00163957" w:rsidP="00163957">
      <w:pPr>
        <w:pStyle w:val="TextoNormal"/>
      </w:pPr>
      <w:r>
        <w:t>Siendo esta la cuestión a dilucidar, resulta oportuno efectuar con carácter previo algunas precisiones.</w:t>
      </w:r>
    </w:p>
    <w:p w:rsidR="00163957" w:rsidRDefault="00163957" w:rsidP="00163957">
      <w:pPr>
        <w:pStyle w:val="TextoNormal"/>
      </w:pPr>
    </w:p>
    <w:p w:rsidR="00163957" w:rsidRDefault="00163957" w:rsidP="00163957">
      <w:pPr>
        <w:pStyle w:val="TextoNormal"/>
      </w:pPr>
      <w:r>
        <w:t>a) Por un lado, ha de partirse de que la fijación de los criterios de imputación de la responsabilidad civil y la determinación de ésta constituyen competencias propias de los tribunales ordinarios, en ejercicio de la función jurisdiccional que les atribuye el art. 117.3 CE (STC 214/2007, de 8 de octubre, FJ 4, y ATC 314/1985, de 8 de mayo, FJ 4). No obstante, si bien “[n]o corresponde a la jurisdicción constitucional, que no es una jurisdicción revisora, adoptar decisiones respecto al modo en que haya de entenderse, interpretarse o aplicarse la legalidad ordinaria”, ello es así “con la única excepción de aquellos casos en los que se vulneren derechos fundamentales o libertades públicas susceptibles de recurso de amparo constitucional” (STC 165/1999, de 27 de septiembre, FJ 6; o SSTC 58/1983, de 29 de junio, FJ 3, y 151/2013, de 9 de septiembre, FJ 4). En consecuencia, sin perjuicio de que este Tribunal debe, en principio, respetar el margen de apreciación del órgano judicial en la atribución de la responsabilidad civil impuesta en la sentencia recurrida, nos corresponde revisar su decisión, a los solos efectos de valorar si la misma tiene o puede tener un efecto lesivo del contenido del derecho fundamental a la huelga.</w:t>
      </w:r>
    </w:p>
    <w:p w:rsidR="00163957" w:rsidRDefault="00163957" w:rsidP="00163957">
      <w:pPr>
        <w:pStyle w:val="TextoNormal"/>
      </w:pPr>
    </w:p>
    <w:p w:rsidR="00163957" w:rsidRDefault="00163957" w:rsidP="00163957">
      <w:pPr>
        <w:pStyle w:val="TextoNormal"/>
      </w:pPr>
      <w:r>
        <w:t>b) Por otro lado, siendo el analizado un supuesto de condena por responsabilidad civil, el asunto se sitúa en un terreno distinto al de otros pronunciamientos de este Tribunal en que, como ya se ha visto, también hemos examinado la actuación de piquetes violentos o coactivos, pero a efectos de enjuiciar la responsabilidad penal o laboral impuesta.</w:t>
      </w:r>
    </w:p>
    <w:p w:rsidR="00163957" w:rsidRDefault="00163957" w:rsidP="00163957">
      <w:pPr>
        <w:pStyle w:val="TextoNormal"/>
      </w:pPr>
    </w:p>
    <w:p w:rsidR="00163957" w:rsidRDefault="00163957" w:rsidP="00163957">
      <w:pPr>
        <w:pStyle w:val="TextoNormal"/>
      </w:pPr>
      <w:r>
        <w:t>Significativamente, cuando se trata de atribuir responsabilidad por la imposición de ilícitos penales, hemos de tener en cuenta que, por imperativo del art. 25.1 CE, rige el principio de personalidad de la pena. Por tal razón, hemos afirmado que “[e]l ejercicio abusivo del derecho de huelga no puede identificarse con la participación en grupos de huelguistas, y tampoco la mera representación de los mismos es, de acuerdo con la ley, motivo suficiente para ser responsabilizado por el delito de coacciones cometido por otros. Tales interpretaciones no tienen en cuenta que el derecho de huelga, reconocido en el art. 28 CE, implica el derecho a requerir de otros la adhesión a la huelga y a participar, dentro del marco legal, en acciones conjuntas dirigidas a tal fin, sin que quepa admitir que el art. 496 del Código Penal [entonces aplicado] hace responsables a quienes encabezan tales acciones de los excesos punibles que puedan cometer otras personas de un grupo. Un entendimiento de esta especie del art. 496 C.P. no sólo superaría los límites legales previstos en el art. 28 CE, sino que chocaría abiertamente con el principio de personalidad de la pena, que, como ha declarado este Tribunal, está protegido también por el art. 25.1 de la Norma fundamental” (STC 254/1988, de 21 de diciembre, FJ 5). En otras palabras, lo que en esta STC 254/1988 se concluyó es que la imposición de una pena por participar en piquetes violentos o coactivos “debía tener lugar tras una individualización adecuada de los actos ilícitos y no mediante la imputación colectiva a un grupo de determinados actos penalmente reprochables, para condenar a cualquiera de ellos” (STC 332/1994, FJ 6). Pues bien, sin perjuicio de las conclusiones a que finalmente se llegue en esta resolución, es obvio que ese principio de personalidad de la pena derivado del art. 25.1 CE no constituye una exigencia constitucional en el ámbito de imputación de la responsabilidad civil.</w:t>
      </w:r>
    </w:p>
    <w:p w:rsidR="00163957" w:rsidRDefault="00163957" w:rsidP="00163957">
      <w:pPr>
        <w:pStyle w:val="TextoNormal"/>
      </w:pPr>
    </w:p>
    <w:p w:rsidR="00163957" w:rsidRDefault="00163957" w:rsidP="00163957">
      <w:pPr>
        <w:pStyle w:val="TextoNormal"/>
      </w:pPr>
      <w:r>
        <w:t xml:space="preserve">Siendo este último punto un aspecto en común con la imposición de la responsabilidad disciplinaria laboral (STC 332/1994, FJ 6), los presupuestos de partida tampoco resultan totalmente coincidentes. En esta última esfera nos encontramos en el ámbito del contrato de trabajo, donde el órgano judicial ordinario goza de un importante margen de apreciación para determinar si la concreta actuación de cada trabajador sancionado resulta constitutiva de infracción laboral y, en particular, si incurre en transgresión de la buena fe contractual, habiendo afirmado en tal sentido este Tribunal que la relevancia en la relación contractual de las acciones de un piquete violento o coactivo “ha de ser apreciada por los órganos judiciales laborales, que habrán de ponderar y valorar en cada caso la gravedad de la conducta de cada uno de los sujetos participantes en los actos ilícitos, determinando, en su caso, si es merecedora del despido…, de modo que sólo en el supuesto de que tal apreciación de legalidad hubiese sido claramente irrazonada podría estar producida la vulneración constitucional y sustituirla por un criterio más ajustado” (ATC 158/1994, FJ 3 —que no consideró lesivo del derecho de huelga el despido de un trabajador que, aunque no fuera autor material de un incendio, se significó en el piquete con su presencia y dirección, consintiendo tal acto ilícito y constando haber incurrido en otras infracciones como amenazas a los vigilantes—; o ATC 193/1993, de 14 de junio, FJ 3 —que tampoco apreció vulneración del derecho de huelga en la decisión judicial que confirmó la procedencia de un despido por haber contribuido el sancionado a impedir la decidida voluntad de otro trabajador de acudir a su puesto </w:t>
      </w:r>
      <w:r>
        <w:lastRenderedPageBreak/>
        <w:t>de trabajo, “aunque efectivamente no hubiera hecho acciones en sí mismas violentas, o de las que se le pudiera eventualmente derivar responsabilidad patrimonial o penal”—). En el caso ahora enjuiciado, sin embargo, las resoluciones impugnadas abordan un supuesto de responsabilidad civil “extracontractual” en el contexto de un piquete violento o intimidatorio (arts. 1902 y ss. del Código civil), y su objeto, en lo que aquí interesa, persigue determinar el sujeto sobre el que debe recaer la obligación de indemnizar por daños concretos causados.</w:t>
      </w:r>
    </w:p>
    <w:p w:rsidR="00163957" w:rsidRDefault="00163957" w:rsidP="00163957">
      <w:pPr>
        <w:pStyle w:val="TextoNormal"/>
      </w:pPr>
    </w:p>
    <w:p w:rsidR="00163957" w:rsidRDefault="00163957" w:rsidP="00163957">
      <w:pPr>
        <w:pStyle w:val="TextoNormal"/>
      </w:pPr>
      <w:r>
        <w:t>Precisamente, estas particularidades del presente supuesto, no coincidente con otros analizados en pronunciamientos anteriores, determinan la especial trascendencia constitucional del actual recurso de amparo [art. 50.1 b) de la Ley Orgánica del Tribunal Constitucional (LOTC)], en tanto que permite a este Tribunal examinar desde una perspectiva distinta la eventual incidencia que la imposición de responsabilidad por la actuación de piquetes violentos o intimidatorios pudiera tener sobre el derecho a la huelga (STC 155/2009, FJ 2).</w:t>
      </w:r>
    </w:p>
    <w:p w:rsidR="00163957" w:rsidRDefault="00163957" w:rsidP="00163957">
      <w:pPr>
        <w:pStyle w:val="TextoNormal"/>
      </w:pPr>
    </w:p>
    <w:p w:rsidR="00163957" w:rsidRDefault="00163957" w:rsidP="00163957">
      <w:pPr>
        <w:pStyle w:val="TextoNormal"/>
      </w:pPr>
      <w:r w:rsidRPr="00163957">
        <w:rPr>
          <w:rStyle w:val="NumeroAFNegritaCaracter"/>
        </w:rPr>
        <w:t>4</w:t>
      </w:r>
      <w:r>
        <w:t>. Realizadas las anteriores precisiones, procede ya entrar en la valoración específica de si la interpretación de la legalidad ordinaria efectuada por las resoluciones judiciales recurridas y la consiguiente decisión adoptada resultan acordes con el derecho a la huelga reconocido en el art. 28.2 CE. Para ello, atendiendo al análisis diferenciado que la sentencia recurrida efectúa, resulta asimismo oportuno abordar de forma separada los razonamientos y conclusiones realizados por el órgano judicial en relación con los dos conceptos y títulos por los que condena al recurrente al pago de la cantidad fijada. Obviamente, en este enjuiciamiento, hemos de estar a los hechos establecidos en la citada sentencia [art. 44.1 b) LOTC], no correspondiendo “a este Tribunal revisar la valoración de las pruebas a través de las cuales el órgano judicial alcanza su íntima convicción, pues este Tribunal no es una tercera instancia” (STC 170/2002, de 30 de septiembre, FJ 16; o STC 15/2008, de 31 de enero, FJ 6).</w:t>
      </w:r>
    </w:p>
    <w:p w:rsidR="00163957" w:rsidRDefault="00163957" w:rsidP="00163957">
      <w:pPr>
        <w:pStyle w:val="TextoNormal"/>
      </w:pPr>
    </w:p>
    <w:p w:rsidR="00163957" w:rsidRDefault="00163957" w:rsidP="00163957">
      <w:pPr>
        <w:pStyle w:val="TextoNormal"/>
      </w:pPr>
      <w:r>
        <w:t xml:space="preserve">a) Por lo que se refiere a la indemnización impuesta por los daños personales, la Sentencia impugnada considera indiscutido que el titular del </w:t>
      </w:r>
      <w:r w:rsidRPr="00163957">
        <w:rPr>
          <w:i/>
        </w:rPr>
        <w:t>pub</w:t>
      </w:r>
      <w:r>
        <w:t xml:space="preserve"> fue agredido por integrantes indeterminados del piquete informativo, cuyos miembros no llegaron a ser identificados por la policía, señalando el órgano judicial que la discrepancia principal entre las partes se centra en la responsabilidad del demandado por hecho ajeno. Con todo, identificado el recurrente por los agentes de la policía como la persona que, portando un altavoz, dirigía y movilizaba al grupo —formado por unas cien personas—, la resolución recurrida le imputa la responsabilidad civil por los daños personales causados, a la luz, según indica, de la doctrina jurisprudencial sentada en el ámbito penal en relación con la responsabilidad civil de los sindicatos en caso de que sus afiliados o incluso terceros ajenos hayan sido condenados como autores del delito tipificado en el art. 315 del Código penal, entendiendo la juzgadora que tal doctrina es aplicable a un ilícito civil, dado que en los ilícitos penales siempre serían mayores las exigencias. Asimismo razona el órgano judicial que la necesaria relación de dependencia entre el causante del daño y la persona individual o jurídica bajo cuya dependencia se halla ha sido objeto de una interpretación jurisprudencial flexible, alcanzando tal situación de dependencia a cualquier relación jurídica o de hecho o a cualquier otro vínculo por el cual el agente se encuentra bajo dependencia —incluso puramente circunstancial o esporádica—, o cuando la actividad que realiza el autor del hecho ilícito cuente con el beneplácito o aquiescencia del supuesto responsable civil, lo que, considera acontece en el </w:t>
      </w:r>
      <w:r>
        <w:lastRenderedPageBreak/>
        <w:t>caso, afirmando que la anuencia del ahora recurrente hace que tenga que soportar los daños que la actividad que consintió haya podido ocasionar.</w:t>
      </w:r>
    </w:p>
    <w:p w:rsidR="00163957" w:rsidRDefault="00163957" w:rsidP="00163957">
      <w:pPr>
        <w:pStyle w:val="TextoNormal"/>
      </w:pPr>
    </w:p>
    <w:p w:rsidR="00163957" w:rsidRDefault="00163957" w:rsidP="00163957">
      <w:pPr>
        <w:pStyle w:val="TextoNormal"/>
      </w:pPr>
      <w:r>
        <w:t>Aun cuando la Sentencia recurrida no cita pronunciamientos de aplicación de la doctrina jurisprudencial a la que alude, parece que, como indica el Fiscal, se refiere a la aplicada por los tribunales para determinar la responsabilidad civil “subsidiaria” dimanante de delito (art. 120.4 del Código penal), refiriéndose la juzgadora específicamente a supuestos de atribución de la responsabilidad a “sindicatos”. En el caso que nos ocupa, y como también apunta el Fiscal, nos encontramos, por el contrario, ante un supuesto de imputación directa de responsabilidad civil a quien actúa como líder o cabecilla de un piquete, sin que ni siquiera en la fundamentación jurídica de la sentencia se aluda a una eventual conexión entre la imputación de la responsabilidad al recurrente y su vinculación con uno de los sindicatos convocantes de la huelga. De cualquier modo, es necesario dejar claro que nuestro pronunciamiento en este punto no tiene por objeto enjuiciar la legitimidad constitucional de la doctrina jurisprudencial mencionada por la sentencia recurrida, sino tan sólo valorar su aplicación al caso concreto examinado, desde la estricta perspectiva que nos compete; y ello, como ya se ha dicho, únicamente por cuanto que, en este supuesto, se encuentra en juego un derecho fundamental susceptible de amparo como es el derecho a la huelga.</w:t>
      </w:r>
    </w:p>
    <w:p w:rsidR="00163957" w:rsidRDefault="00163957" w:rsidP="00163957">
      <w:pPr>
        <w:pStyle w:val="TextoNormal"/>
      </w:pPr>
    </w:p>
    <w:p w:rsidR="00163957" w:rsidRDefault="00163957" w:rsidP="00163957">
      <w:pPr>
        <w:pStyle w:val="TextoNormal"/>
      </w:pPr>
      <w:r>
        <w:t xml:space="preserve">Acotado así el objeto de nuestro pronunciamiento en este aspecto, resulta esencial tener presente que, en la Sentencia impugnada, la responsabilidad por daños personales se vincula exclusivamente a la agresión física sufrida por el titular del </w:t>
      </w:r>
      <w:r w:rsidRPr="00163957">
        <w:rPr>
          <w:i/>
        </w:rPr>
        <w:t>pub</w:t>
      </w:r>
      <w:r>
        <w:t>, fundamentándose la condena del ahora recurrente en su anuencia o consentimiento del acto dañoso, pero sin que conste acreditada ni su autoría material, ni tampoco que éste diera ninguna directriz para su comisión; y aunque es cierto que el órgano judicial indica que, en la declaración de los agentes de policía —única testifical imparcial con que la juzgadora dice contar—, aquéllos señalaron que “las expresiones del demandado no eran apaciguadoras sino todo lo contrario”, también lo es que se refieren a ellas “producido el tumulto”, e indicándose asimismo en la resolución que los agentes “acudieron al lugar de los hechos inmediatamente después de su producción”. Nos encontramos, por tanto, ante un supuesto en que la responsabilidad civil por daños personales se imputa a quien actuó como líder o cabecilla de un piquete, condenándosele al pago de una indemnización como consecuencia de un acto de violencia física realizado por terceros o que, cuando menos, no consta como propio o instigado por él, y sin que tampoco se precisen en la sentencia datos fácticos concretos y acreditados sobre el alcance de la actuación del recurrente en el momento exacto de la agresión. Pues bien, sin perjuicio de la valoración que a otros efectos merezca su conducta anterior o posterior —y sobre la que luego se volverá—, hemos de concluir que, en las circunstancias descritas, la imputación al recurrente de la responsabilidad civil por daños personales derivados de la agresión física resulta lesiva de su derecho a la huelga, no siendo posible considerar que tal imputación es respetuosa con este derecho fundamental cuando la propia sentencia califica la agresión como “hecho ajeno” e impone la obligación de resarcimiento por mera “anuencia”, en los términos a que se ha hecho referencia.</w:t>
      </w:r>
    </w:p>
    <w:p w:rsidR="00163957" w:rsidRDefault="00163957" w:rsidP="00163957">
      <w:pPr>
        <w:pStyle w:val="TextoNormal"/>
      </w:pPr>
    </w:p>
    <w:p w:rsidR="00163957" w:rsidRDefault="00163957" w:rsidP="00163957">
      <w:pPr>
        <w:pStyle w:val="TextoNormal"/>
      </w:pPr>
      <w:r>
        <w:t xml:space="preserve">En ausencia de previsión legal que regule la cuestión, el respeto al citado derecho fundamental requiere que, en la atribución de responsabilidad civil por daños derivados de la actuación huelguística ilícita de un piquete violento, los órganos judiciales deben atender cuidadosamente a la conducta personal e individualizada de sus miembros en la producción del acto dañoso, de modo que, por sí sola, la condición de integrante e incluso líder del </w:t>
      </w:r>
      <w:r>
        <w:lastRenderedPageBreak/>
        <w:t>piquete no constituye título suficiente y constitucionalmente válido para que pueda imputarse tal responsabilidad. De no mediar esta garantía, atribuir exclusivamente a quien integra y, en su caso, dirige el piquete la responsabilidad civil por los daños ocasionados por la acción colectiva o singular de algunos de sus miembros, con independencia de cuál haya sido la concreta actuación individual de aquél en la producción del hecho dañoso, podría representar un perjuicio o sanción por el ejercicio del derecho fundamental de huelga.</w:t>
      </w:r>
    </w:p>
    <w:p w:rsidR="00163957" w:rsidRDefault="00163957" w:rsidP="00163957">
      <w:pPr>
        <w:pStyle w:val="TextoNormal"/>
      </w:pPr>
    </w:p>
    <w:p w:rsidR="00163957" w:rsidRDefault="00163957" w:rsidP="00163957">
      <w:pPr>
        <w:pStyle w:val="TextoNormal"/>
      </w:pPr>
      <w:r>
        <w:t>En consecuencia, en el caso examinado y como ya se ha avanzado, la decisión judicial de atribuir en exclusiva al recurrente la responsabilidad civil por daños personales, en su condición de líder del piquete y sin que haya quedado acreditada su participación o incidencia en la comisión de la agresión causante de los daños indemnizados, ha de considerarse contraria al derecho a la huelga reconocido en el art. 28.2 CE.</w:t>
      </w:r>
    </w:p>
    <w:p w:rsidR="00163957" w:rsidRDefault="00163957" w:rsidP="00163957">
      <w:pPr>
        <w:pStyle w:val="TextoNormal"/>
      </w:pPr>
    </w:p>
    <w:p w:rsidR="00163957" w:rsidRDefault="00163957" w:rsidP="00163957">
      <w:pPr>
        <w:pStyle w:val="TextoNormal"/>
      </w:pPr>
      <w:r>
        <w:t xml:space="preserve">b) Distinta valoración merece la Sentencia recurrida en relación con la imputación de la responsabilidad civil por daños materiales, en cuya virtud se impone al recurrente el pago de una indemnización por el lucro cesante derivado del cierre del local. En este caso, sin perjuicio de apoyarse en el razonamiento empleado respecto a los daños personales, la sentencia recurrida afirma que la obligación del ahora demandante de amparo de resarcir tales daños materiales es consecuencia de acto propio, infiriéndose de su argumentación la conexión apreciada por la Juez entre el comportamiento del recurrente y el cierre del </w:t>
      </w:r>
      <w:r w:rsidRPr="00163957">
        <w:rPr>
          <w:i/>
        </w:rPr>
        <w:t>pub</w:t>
      </w:r>
      <w:r>
        <w:t xml:space="preserve">. Al respecto se expone en la resolución que, conforme al atestado de los agentes instructores, una vez en el lugar de los hechos tras haber sido comisionados por la producción de una agresión, apreciaron que el ahora demandante de amparo mantenía una discusión acalorada con el titular del </w:t>
      </w:r>
      <w:r w:rsidRPr="00163957">
        <w:rPr>
          <w:i/>
        </w:rPr>
        <w:t>pub</w:t>
      </w:r>
      <w:r>
        <w:t>, incluyéndose también la manifestación de que aquél fue identificado “como el autor de los insultos citados por el denunciante,… ‘cabrón, cierra hijo de puta, qué hacéis ahí’”, y reflejándose asimismo que, en el acto de la vista, tales testigos afirmaron que lo que ellos pudieron comprobar es que las expresiones del entonces demandado y ahora recurrente en amparo “incitaban en todo momento a que se cerrara el pub en cuestión (en el que por otro lado se hallaron restos de petardos y vasos rotos) a toda costa, cuando quien aparecía como titular del mismo… pretendía mantener abierto al público el local”. Por parte de la juzgadora se considera que esta conducta del ahora recurrente no se ajusta al ejercicio legítimo del derecho de huelga y, en consecuencia, le impone la obligación de reparar los daños derivados del cierre del local.</w:t>
      </w:r>
    </w:p>
    <w:p w:rsidR="00163957" w:rsidRDefault="00163957" w:rsidP="00163957">
      <w:pPr>
        <w:pStyle w:val="TextoNormal"/>
      </w:pPr>
    </w:p>
    <w:p w:rsidR="00163957" w:rsidRDefault="00163957" w:rsidP="00163957">
      <w:pPr>
        <w:pStyle w:val="TextoNormal"/>
      </w:pPr>
      <w:r>
        <w:t xml:space="preserve">Efectivamente, como aprecia el órgano judicial y ya antes se ha afirmado al recordar la doctrina constitucional en la materia, el comportamiento descrito se sitúa extramuros del ámbito protegido por el derecho de huelga, que no tutela comportamientos intimidatorios encaminados a eliminar o anular la libertad de trabajo de quienes deciden no secundar o apoyar la huelga convocada. Cierto es que este Tribunal ya ha señalado que “las situaciones de conflicto que dan lugar a las huelgas suelen afectar a aspectos especialmente relevantes y sensibles de la vida de los trabajadores y de sus familias, y en estas circunstancias no puede exigírseles que en el legítimo desarrollo de sus facultades de información, proselitismo y presión, guarden unas pautas de comportamiento corteses, propias de momentos de normalidad” (STC 137/1997, FJ 4). Pero también de conformidad con nuestra doctrina (SSTC 332/1994; 333/1994; 40/1995; ATC 36/1989), ha de considerarse que, en el desarrollo de dichas tareas, excede de los márgenes constitucionalmente tutelados la conducta consistente en proferir insultos hacia quienes desean ejercer su libertad de trabajo o de empresa —en este caso, el titular del </w:t>
      </w:r>
      <w:r w:rsidRPr="00163957">
        <w:rPr>
          <w:i/>
        </w:rPr>
        <w:t>pub</w:t>
      </w:r>
      <w:r>
        <w:t xml:space="preserve"> (“trabajador autónomo o empresario”, conforme a la </w:t>
      </w:r>
      <w:r>
        <w:lastRenderedPageBreak/>
        <w:t xml:space="preserve">sentencia recurrida)—, no estando comprendida en el derecho a la huelga la posibilidad de limitar la capacidad de decisión de terceros mediante violencia o presión moral de alcance intimidatorio o coactivo, dado que también deben ser respetados otros bienes constitucionalmente protegidos como la libertad de trabajar, la libertad de empresa, o la dignidad de las personas y su derecho a la integridad moral (arts. 10.1 y 15 CE). Tal clima de intimidación, en el contexto expuesto de un piquete masivo violento liderado y dirigido por el aquí demandante, es el que la sentencia recurrida valora en el presente supuesto, en el que, por otra parte, los actos considerados en relación con el titular del </w:t>
      </w:r>
      <w:r w:rsidRPr="00163957">
        <w:rPr>
          <w:i/>
        </w:rPr>
        <w:t>pub</w:t>
      </w:r>
      <w:r>
        <w:t xml:space="preserve"> están dirigidos a lograr, no ya propiamente la adhesión de otros trabajadores a la huelga, sino el cierre empresarial. El comportamiento valorado, en definitiva, transgrede los límites del derecho a la huelga reconocido en el art. 28.2 CE, y de forma ilegítima restringe otros bienes y derechos constitucionales como los ya mencionados.</w:t>
      </w:r>
    </w:p>
    <w:p w:rsidR="00163957" w:rsidRDefault="00163957" w:rsidP="00163957">
      <w:pPr>
        <w:pStyle w:val="TextoNormal"/>
      </w:pPr>
    </w:p>
    <w:p w:rsidR="00163957" w:rsidRDefault="00163957" w:rsidP="00163957">
      <w:pPr>
        <w:pStyle w:val="TextoNormal"/>
      </w:pPr>
      <w:r>
        <w:t xml:space="preserve">Además, partiendo del ya referido respeto de este Tribunal a la valoración probatoria realizada por los tribunales ordinarios, a lo dicho en este punto se une que la Sentencia considera demostrada la realización de la indicada conducta por el ahora recurrente, conducta ésta que, como acaba de indicarse, no constituye ejercicio del derecho a la huelga y a la que la juzgadora vincula los daños materiales derivados del cierre del local, sin que, pese a las alegaciones del Fiscal, proceda en esta sede sustituir la apreciación judicial sobre la relación de causalidad existente entre la actuación del imputado y el resultado dañoso indemnizado —en este caso, el cierre del </w:t>
      </w:r>
      <w:r w:rsidRPr="00163957">
        <w:rPr>
          <w:i/>
        </w:rPr>
        <w:t>pub</w:t>
      </w:r>
      <w:r>
        <w:t>, que no es efecto o consecuencia del uso legítimo del derecho de huelga, sino que es resultado de una actuación no amparada por este derecho fundamental—. Como de modo análogo hemos indicado en el ámbito de las sanciones disciplinarias laborales (STC 332/1994, FJ 6, y ATC 158/1994, FJ 3), también aquí hemos de señalar que, una vez advertido que el comportamiento atribuido al recurrente no puede ser amparado por el art. 28.2 CE, la relevancia que en materia de responsabilidad civil deba asignarse al mismo constituye una cuestión de legalidad ordinaria, cuya determinación corresponde en principio a los órganos judiciales.</w:t>
      </w:r>
    </w:p>
    <w:p w:rsidR="00163957" w:rsidRDefault="00163957" w:rsidP="00163957">
      <w:pPr>
        <w:pStyle w:val="TextoNormal"/>
      </w:pPr>
    </w:p>
    <w:p w:rsidR="00163957" w:rsidRDefault="00163957" w:rsidP="00163957">
      <w:pPr>
        <w:pStyle w:val="TextoNormal"/>
      </w:pPr>
      <w:r>
        <w:t>Por tanto, en tales circunstancias, ha de concluirse que la imputación al recurrente de la responsabilidad civil por los daños materiales consistentes en el lucro cesante derivado del cierre del local no vulnera su derecho a la huelga, dado que, en este supuesto, la conducta dañosa considerada no sólo está fuera de la esfera de tutela del citado derecho fundamental, sino que, además, se atribuye como “acto propio” del demandante de amparo.</w:t>
      </w:r>
    </w:p>
    <w:p w:rsidR="00163957" w:rsidRDefault="00163957" w:rsidP="00163957">
      <w:pPr>
        <w:pStyle w:val="TextoNormal"/>
      </w:pPr>
    </w:p>
    <w:p w:rsidR="00163957" w:rsidRDefault="00163957" w:rsidP="00163957">
      <w:pPr>
        <w:pStyle w:val="TextoNormal"/>
      </w:pPr>
      <w:r w:rsidRPr="00163957">
        <w:rPr>
          <w:rStyle w:val="NumeroAFNegritaCaracter"/>
        </w:rPr>
        <w:t>5</w:t>
      </w:r>
      <w:r>
        <w:t>. En atención a las conclusiones alcanzadas procede, en definitiva, el otorgamiento del amparo al demandante por vulneración del derecho a la huelga (art. 28.2 CE), con el consiguiente reconocimiento del derecho fundamental lesionado y la declaración de nulidad de la Sentencia recurrida (art. 55.1 LOTC), pero exclusivamente en lo que concierne a la condena relativa a los daños personales a indemnizar. Consiguientemente, en los mismos términos procede asimismo anular las posteriores resoluciones judiciales —providencia y Auto— también impugnadas en este recurso.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parcialmente el recurso de amparo interpuesto por don Francisco de la Rosa Castillo y, en su virtud:</w:t>
      </w:r>
    </w:p>
    <w:p w:rsidR="00163957" w:rsidRDefault="00163957" w:rsidP="00163957">
      <w:pPr>
        <w:pStyle w:val="TextoNormal"/>
      </w:pPr>
    </w:p>
    <w:p w:rsidR="00163957" w:rsidRDefault="00163957" w:rsidP="00163957">
      <w:pPr>
        <w:pStyle w:val="TextoNormal"/>
      </w:pPr>
      <w:r>
        <w:t>1º Reconocer que ha sido vulnerado su derecho a la huelga (art. 28.2 CE).</w:t>
      </w:r>
    </w:p>
    <w:p w:rsidR="00163957" w:rsidRDefault="00163957" w:rsidP="00163957">
      <w:pPr>
        <w:pStyle w:val="TextoNormal"/>
      </w:pPr>
    </w:p>
    <w:p w:rsidR="00163957" w:rsidRDefault="00163957" w:rsidP="00163957">
      <w:pPr>
        <w:pStyle w:val="TextoNormal"/>
      </w:pPr>
      <w:r>
        <w:t>2º Declarar la nulidad de la Sentencia del Juzgado de Primera Instancia núm. 5 de Albacete, de 18 de enero de 2013, dictada en autos de juicio verbal núm. 195-2012, exclusivamente en lo que se refiere a la condena relativa a los daños personales a indemnizar, así como de la providencia del mismo Juzgado de 5 de marzo de 2013, que inadmite a trámite el incidente de nulidad promovido contra la anterior Sentencia, y del Auto de 19 de abril de 2013, que desestima el recurso de reposición interpuesto frente a la anterior providencia.</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abril de dos mil dieciséis.</w:t>
      </w:r>
    </w:p>
    <w:p w:rsidR="00163957" w:rsidRDefault="00163957" w:rsidP="00163957">
      <w:pPr>
        <w:pStyle w:val="ParrafoNormal"/>
      </w:pPr>
    </w:p>
    <w:p w:rsidR="00163957" w:rsidRDefault="00163957" w:rsidP="00163957">
      <w:pPr>
        <w:pStyle w:val="TextoNormalNegritaCentrado"/>
        <w:keepNext/>
      </w:pPr>
      <w:r>
        <w:t>Voto particular que formulan la Magistrada doña Adela Asua Batarrita y el Magistrado don Fernando Valdés Dal-Ré a la Sentencia dictada en el recurso de amparo avocado núm. 3660-2013.</w:t>
      </w:r>
    </w:p>
    <w:p w:rsidR="00163957" w:rsidRDefault="00163957" w:rsidP="00163957">
      <w:pPr>
        <w:pStyle w:val="TextoNormalNegritaCentrado"/>
        <w:keepNext/>
      </w:pPr>
    </w:p>
    <w:p w:rsidR="00163957" w:rsidRDefault="00163957" w:rsidP="00163957">
      <w:pPr>
        <w:pStyle w:val="TextoNormal"/>
      </w:pPr>
      <w:r>
        <w:t>1. Como manifestamos durante la deliberación del presente proceso constitucional, disentimos de la decisión mayoritariamente adoptada. Dentro del máximo respeto hacia el parecer de nuestros compañeros del Pleno, entendemos que el fallo debió de declarar la vulneración del art. 28.2 CE.</w:t>
      </w:r>
    </w:p>
    <w:p w:rsidR="00163957" w:rsidRDefault="00163957" w:rsidP="00163957">
      <w:pPr>
        <w:pStyle w:val="TextoNormal"/>
      </w:pPr>
    </w:p>
    <w:p w:rsidR="00163957" w:rsidRDefault="00163957" w:rsidP="00163957">
      <w:pPr>
        <w:pStyle w:val="TextoNormal"/>
      </w:pPr>
      <w:r>
        <w:t xml:space="preserve">2. La Sentencia del Juzgado de Primera Instancia núm. 5 de Albacete, de 18 de enero de 2013, estableció que el demandado tenía la condición de dirigente del piquete informativo que se encontraba en el </w:t>
      </w:r>
      <w:r w:rsidRPr="00163957">
        <w:rPr>
          <w:i/>
        </w:rPr>
        <w:t>pub</w:t>
      </w:r>
      <w:r>
        <w:t xml:space="preserve"> en el momento de los hechos, que movilizaba a un grupo importante de personas y que sus palabras expresaban una situación de confrontación y conflicto.</w:t>
      </w:r>
    </w:p>
    <w:p w:rsidR="00163957" w:rsidRDefault="00163957" w:rsidP="00163957">
      <w:pPr>
        <w:pStyle w:val="TextoNormal"/>
      </w:pPr>
    </w:p>
    <w:p w:rsidR="00163957" w:rsidRDefault="00163957" w:rsidP="00163957">
      <w:pPr>
        <w:pStyle w:val="TextoNormal"/>
      </w:pPr>
      <w:r>
        <w:t>La resolución impugnada en amparo entendió que eran imputables al recurrente, tanto los daños directos ocasionales en el local como los derivados del lucro cesante por el cierre del local mismo. En este último sentido, razonaba que debía resarcir el daño por ser responsable directo del mismo (“acto propio”), haciendo descansar esa conclusión en el siguiente acervo probatorio: i) que según el atestado levantado por los agentes de la policía, identificaron al demandado en el proceso judicial discutiendo acaloradamente con el propietario; ii) que el Sr. De la Rosa fue autor de los insultos citados por el denunciante; y iii) que los testigos manifestaron que las expresiones del ahora recurrente en amparo incitaban a que se cerrara el pub en cuestión a toda costa, pese a que quien aparecía como titular del mismo pretendía mantenerlo abierto al público. Con ese fundamento, declaraba la sentencia recurrida en amparo que la conducta enjuiciada sobrepasaba los límites constitucionalmente protegidos en el libre desarrollo de las tareas propias de los piquetes de información, siendo por ello el ahora demandante responsable del daño causado, en concepto de lucro cesante, por el cierre del local.</w:t>
      </w:r>
    </w:p>
    <w:p w:rsidR="00163957" w:rsidRDefault="00163957" w:rsidP="00163957">
      <w:pPr>
        <w:pStyle w:val="TextoNormal"/>
      </w:pPr>
    </w:p>
    <w:p w:rsidR="00163957" w:rsidRDefault="00163957" w:rsidP="00163957">
      <w:pPr>
        <w:pStyle w:val="TextoNormal"/>
      </w:pPr>
      <w:r>
        <w:t>3. La presente Sentencia se ocupa de una cuestión novedosa en sede constitucional: la responsabilidad civil extracontractual exigida al dirigente o líder de un piquete huelguístico. No es difícil advertir, como el demandante pone de manifiesto, que el art. 28.2 CE queda abiertamente comprometido, puesto que de la efectiva cobertura que aquel derecho fundamental ofrezca en ese marco de reclamación de responsabilidades civiles, frente a la imposición de indemnizaciones resarcitorias de daños, podrá depender que el derecho fundamental se ejercite o que se imponga el llamado “efecto desaliento”.</w:t>
      </w:r>
    </w:p>
    <w:p w:rsidR="00163957" w:rsidRDefault="00163957" w:rsidP="00163957">
      <w:pPr>
        <w:pStyle w:val="TextoNormal"/>
      </w:pPr>
    </w:p>
    <w:p w:rsidR="00163957" w:rsidRDefault="00163957" w:rsidP="00163957">
      <w:pPr>
        <w:pStyle w:val="TextoNormal"/>
      </w:pPr>
      <w:r>
        <w:t>Bajo esas circunstancias, visto el protagonismo del art. 28.2 CE en esa tipología de casos, no será de recibo una aplicación de las reglas legales de la responsabilidad civil al margen de la concurrencia del derecho fundamental, pues equivaldría a actuar de espaldas a la problemática constitucional que irrumpe en tales situaciones. No pueden aplicarse las reglas legales ordinarias, en suma, como si no estuviera en juego aquel derecho fundamental. Creemos que la Sentencia recurrida lo hizo, como también lo hace el pronunciamiento constitucional que suscribe la mayoría. Señaladamente porque, a nuestro parecer, renuncia a realizar una valoración de los hechos acreditados desde el prisma del derecho fundamental comprometido y la tutela que otorga.</w:t>
      </w:r>
    </w:p>
    <w:p w:rsidR="00163957" w:rsidRDefault="00163957" w:rsidP="00163957">
      <w:pPr>
        <w:pStyle w:val="TextoNormal"/>
      </w:pPr>
    </w:p>
    <w:p w:rsidR="00163957" w:rsidRDefault="00163957" w:rsidP="00163957">
      <w:pPr>
        <w:pStyle w:val="TextoNormal"/>
      </w:pPr>
      <w:r>
        <w:t xml:space="preserve">En esa renuncia situamos nuestra discrepancia y la clave para la solución del recurso. Es sabido que este Tribunal no puede formular unos hechos distintos a los declarados probados en el proceso judicial, contrariando así la exigencia impuesta por el art. 44.1 b) de la Ley Orgánica del Tribunal Constitucional, favoreciendo un enjuiciamiento que lleve a conclusiones distintas de las acogidas en el precedente proceso judicial. Esa actuación, nos está vedada, pues este Tribunal no se ocupa de decidir cuestiones de hecho, ni tiene en su cometido revisar el </w:t>
      </w:r>
      <w:r w:rsidRPr="00163957">
        <w:rPr>
          <w:i/>
        </w:rPr>
        <w:t>factum</w:t>
      </w:r>
      <w:r>
        <w:t xml:space="preserve"> judicial (véase, por ejemplo, ya en las iniciales SSTC 2/1982, de 29 de enero, y 11/1982, de 29 de marzo). Sin embargo, sí nos corresponde valorar la interpretación de los hechos realizada por la Sentencia impugnada, sin alterarlos, a la vista del derecho fundamental en presencia. Aunque no solo, nos debemos principalmente a ese cometido en aquellos casos en los que la realidad probatoria sea particularmente compleja y resulte especialmente difícil hacer aflorar, para corregirlas, las vulneraciones existentes.</w:t>
      </w:r>
    </w:p>
    <w:p w:rsidR="00163957" w:rsidRDefault="00163957" w:rsidP="00163957">
      <w:pPr>
        <w:pStyle w:val="TextoNormal"/>
      </w:pPr>
    </w:p>
    <w:p w:rsidR="00163957" w:rsidRDefault="00163957" w:rsidP="00163957">
      <w:pPr>
        <w:pStyle w:val="TextoNormal"/>
      </w:pPr>
      <w:r>
        <w:t>En definitiva, la imposibilidad legal y material de alterar los hechos no puede conducir a que el Tribunal Constitucional abdique de su función de protección de los derechos fundamentales; incluso cuando eso le lleve a revisar, sin alterar los hechos, el razonamiento judicial de carácter fáctico en el contraste con la tutela ofrecida por el derecho fundamental de que se trate. Lo hemos explicitado en casos de prueba indiciaria (STC 17/2003, de 30 de enero, FJ 3) y no tenemos duda de que tal criterio, por responder a la misma lógica y función jurisdiccional, debe subrayarse como regla general. Esto es, debemos alcanzar “una interpretación propia del relato fáctico conforme a los derechos y valores constitucionales” en presencia (por todas, además de aquella STC 17/2003, recientemente también STC 183/2015, de 10 de septiembre, FJ 4).</w:t>
      </w:r>
    </w:p>
    <w:p w:rsidR="00163957" w:rsidRDefault="00163957" w:rsidP="00163957">
      <w:pPr>
        <w:pStyle w:val="TextoNormal"/>
      </w:pPr>
    </w:p>
    <w:p w:rsidR="00163957" w:rsidRDefault="00163957" w:rsidP="00163957">
      <w:pPr>
        <w:pStyle w:val="TextoNormal"/>
      </w:pPr>
      <w:r>
        <w:t>4. La Sentencia de la mayoría desatiende esa función de revisión, pese a haber afirmado en sus inicios la voluntad de hacerlo (FJ 3).</w:t>
      </w:r>
    </w:p>
    <w:p w:rsidR="00163957" w:rsidRDefault="00163957" w:rsidP="00163957">
      <w:pPr>
        <w:pStyle w:val="TextoNormal"/>
      </w:pPr>
    </w:p>
    <w:p w:rsidR="00163957" w:rsidRDefault="00163957" w:rsidP="00163957">
      <w:pPr>
        <w:pStyle w:val="TextoNormal"/>
      </w:pPr>
      <w:r>
        <w:t xml:space="preserve">Incurre en esa renuncia cuando expresamente afirma que se debe a la valoración probatoria realizada por los tribunales ordinarios [FJ 4 b), dando al parecer por suficiente que la </w:t>
      </w:r>
      <w:r>
        <w:lastRenderedPageBreak/>
        <w:t>sentencia recurrida considere demostrada “la realización de la indicada conducta por el ahora recurrente”, el denominado acto propio que se asocia al daño material], como si no tuviéramos delante los datos fácticos en los que el juzgador sostuvo su conclusión y no pudiéramos, sin alterar los hechos probados, revisar si la consideración valorativa efectuada en el proceso judicial era o no compatible con la efectividad del derecho fundamental del art. 28.2 CE. En otras palabras, la Sentencia constitucional asume acríticamente que el cierre del local fue consecuencia de un “acto propio” del recurrente en amparo.</w:t>
      </w:r>
    </w:p>
    <w:p w:rsidR="00163957" w:rsidRDefault="00163957" w:rsidP="00163957">
      <w:pPr>
        <w:pStyle w:val="TextoNormal"/>
      </w:pPr>
    </w:p>
    <w:p w:rsidR="00163957" w:rsidRDefault="00163957" w:rsidP="00163957">
      <w:pPr>
        <w:pStyle w:val="TextoNormal"/>
      </w:pPr>
      <w:r>
        <w:t>Al margen de ello, la Sentencia de nuestro disentimiento parece querer cumplir con la debida revisión constitucional cuando se adentra a renglón seguido en un examen de la juridicidad/antijuridicidad de la conducta. En efecto, dice esta resolución que la conducta enjuiciada se situó extramuros del ámbito protegido por el derecho de huelga, que no tutela comportamientos intimidatorios encaminados a eliminar o anular la libertad de trabajo de quienes deciden no secundar o apoyar la medida de huelga convocada. Que eso sea cierto y que pueda haberse producido así en el caso, lo que bien podría haber acontecido, nada acredita, sin embargo, ya que no demuestra ni da sustento al fundamento argumental de la Sentencia recurrida, a saber: que fuera el comportamiento del actor (incluso si se califica como intimidatorio o insultante) el determinante del cierre del local. Esta es la cuestión que debía abordarse a la vista de los hechos y en su contraste con la cobertura del derecho fundamental del art. 28.2 CE. Y, eso es lo que no se ha hecho.</w:t>
      </w:r>
    </w:p>
    <w:p w:rsidR="00163957" w:rsidRDefault="00163957" w:rsidP="00163957">
      <w:pPr>
        <w:pStyle w:val="TextoNormal"/>
      </w:pPr>
    </w:p>
    <w:p w:rsidR="00163957" w:rsidRDefault="00163957" w:rsidP="00163957">
      <w:pPr>
        <w:pStyle w:val="TextoNormal"/>
      </w:pPr>
      <w:r>
        <w:t>Confirmando la responsabilidad civil que le fue impuesta al recurrente por daños materiales, este Tribunal ha consentido que perviva un perjuicio económico impuesto como reacción contra el ejercicio de huelga, pese a que la responsabilidad imputada quede sostenida en elementos probatorios tan leves, básicamente especulativos, demostrativos a lo más, acaso, de un modo de actuar (presionante o con vocación de influir sobre otra persona —el titular del negocio— para condicionar su comportamiento), pero no acreditativos de una expresión de conducta que fuera necesariamente la razón que llevó el cierre del local, como elemento desencadenante de la obligación de resarcir el daño.</w:t>
      </w:r>
    </w:p>
    <w:p w:rsidR="00163957" w:rsidRDefault="00163957" w:rsidP="00163957">
      <w:pPr>
        <w:pStyle w:val="TextoNormal"/>
      </w:pPr>
    </w:p>
    <w:p w:rsidR="00163957" w:rsidRDefault="00163957" w:rsidP="00163957">
      <w:pPr>
        <w:pStyle w:val="TextoNormal"/>
      </w:pPr>
      <w:r>
        <w:t xml:space="preserve">Dicho de otro modo, la Sentencia acepta que indicios tenuemente probatorios o inferencias débiles e indeterminadas como los que han sido cuestionados en este recurso se conviertan en un título subjetivo suficiente de imputación y den lugar a la responsabilidad de un huelguista, aunque no haya una conexión causal probada entre ese agente y el daño que ha sido objetivado. Se sanciona de ese modo no ya la participación en una huelga sino, lo que es más grave aún, la participación </w:t>
      </w:r>
      <w:r w:rsidRPr="00163957">
        <w:rPr>
          <w:i/>
        </w:rPr>
        <w:t>activa o directiva</w:t>
      </w:r>
      <w:r>
        <w:t xml:space="preserve"> en la medida de autotutela colectiva, esto es, la participación en una condición en la que se da una penetración adicional o expresión de mayor intensidad del derecho fundamental del art. 28.2 CE.</w:t>
      </w:r>
    </w:p>
    <w:p w:rsidR="00163957" w:rsidRDefault="00163957" w:rsidP="00163957">
      <w:pPr>
        <w:pStyle w:val="TextoNormal"/>
      </w:pPr>
    </w:p>
    <w:p w:rsidR="00163957" w:rsidRDefault="00163957" w:rsidP="00163957">
      <w:pPr>
        <w:pStyle w:val="TextoNormal"/>
      </w:pPr>
      <w:r>
        <w:t xml:space="preserve">5. Frente a la solución adoptada consideramos, en línea con lo propuesto por el Ministerio Fiscal, que el respeto a los derechos fundamentales requiere que, en la atribución de responsabilidad civil, los órganos judiciales atiendan siempre a la conducta personal e individualizada en la producción del acto dañoso, contextualizada en la situación de conflicto. En ese sentido, la condición de dirigente o líder de un piquete no constituye razón suficiente para que pueda imputarse tal responsabilidad, salvo que exista prueba que acredite subjetivamente la autoría y objetivamente el daño causado, así como indefectiblemente (pues de lo contrario estaríamos ante una imputación de responsabilidad de espaldas a la lógica de este derecho fundamental de conflicto) la desvinculación plena entre el daño ocasionado y el </w:t>
      </w:r>
      <w:r>
        <w:lastRenderedPageBreak/>
        <w:t>hecho huelguístico (o lo que es lo mismo, la instrumentalización de la situación de conflicto como pretexto para causarlo, al margen de la finalidad propia del derecho fundamental de huelga).</w:t>
      </w:r>
    </w:p>
    <w:p w:rsidR="00163957" w:rsidRDefault="00163957" w:rsidP="00163957">
      <w:pPr>
        <w:pStyle w:val="TextoNormal"/>
      </w:pPr>
    </w:p>
    <w:p w:rsidR="00163957" w:rsidRDefault="00163957" w:rsidP="00163957">
      <w:pPr>
        <w:pStyle w:val="TextoNormal"/>
      </w:pPr>
      <w:r>
        <w:t>Nada de eso se nos ofrece en el presente caso; antes al contrario, la imputación de responsabilidad se realizó sin otro sustento que —más o menos explícitamente declarado— el de aquella condición directiva o de liderazgo del piquete huelguista. Y es que, como con acierto señala el Fiscal, no existe la más mínima justificación acreditativa acerca de la relación de causalidad entre la actuación imputada al demandante de amparo y el resultado producido (cierre del local de negocio), ni la debida ponderación del contexto en el que tuvo lugar su conducta.</w:t>
      </w:r>
    </w:p>
    <w:p w:rsidR="00163957" w:rsidRDefault="00163957" w:rsidP="00163957">
      <w:pPr>
        <w:pStyle w:val="TextoNormal"/>
      </w:pPr>
    </w:p>
    <w:p w:rsidR="00163957" w:rsidRDefault="00163957" w:rsidP="00163957">
      <w:pPr>
        <w:pStyle w:val="TextoNormal"/>
      </w:pPr>
      <w:r>
        <w:t>Se olvida con ello la enunciada relación de causalidad pero también, como señalara entre tantas otras la STC 198/2014, de 15 de noviembre, que es preciso analizar la conducta de que se trate encuadrada en el contexto de conflicto en el que se desarrolla. Explicitar el conflicto que subyace en el curso de la huelga, como es obvio, no es un acto ajeno al derecho; antes bien, se trata de su expresión primaria, inherente o congénita, conectada de forma patente y natural con el desarrollo de la medida colectiva, entre cuyas facultades se encuentra no solo la de dar la publicidad o proyección exterior de la misma, sino —no debe olvidarse— también la de recabar la solidaridad de terceros o superar su oposición. El juicio sobre si fue esto lo que se pretendía por el piquete o si hubo un acto abiertamente ajeno y desvinculado del conflicto colectivo e imputable al recurrente, que habría instrumentalizado el hecho huelguístico a otro fin, es lo que los órganos judiciales y este Tribunal debían analizar, sin desembocar, como hicieron, en una lógica presuntiva y especulativa contra derecho.</w:t>
      </w:r>
    </w:p>
    <w:p w:rsidR="00163957" w:rsidRDefault="00163957" w:rsidP="00163957">
      <w:pPr>
        <w:pStyle w:val="TextoNormal"/>
      </w:pPr>
    </w:p>
    <w:p w:rsidR="00163957" w:rsidRDefault="00163957" w:rsidP="00163957">
      <w:pPr>
        <w:pStyle w:val="TextoNormal"/>
      </w:pPr>
      <w:r>
        <w:t>Por esos caminos no podrá evitarse el efecto desaliento al que nos referíamos anteriormente. Y es que asignar rápidamente y sin extrema prudencia consecuencias negativas al ejercicio de los derechos fundamentales en zonas grises o de frontera, esto es, allá donde puede ser más conflictivo su ejercicio por existir mayor cercanía con la extralimitación o el exceso, conllevará un inevitable efecto disuasorio, lo que, centrado en el derecho de huelga, puede no sólo repercutir y tener consecuencia en el condenado en el proceso, como aquí se ha examinado, sino también en la efectividad de la medida de autotutela colectiva constitucionalmente consagrada con rotundidad para la defensa y promoción de los intereses de los trabajadores.</w:t>
      </w:r>
    </w:p>
    <w:p w:rsidR="00163957" w:rsidRDefault="00163957" w:rsidP="00163957">
      <w:pPr>
        <w:pStyle w:val="TextoNormal"/>
      </w:pPr>
    </w:p>
    <w:p w:rsidR="00163957" w:rsidRDefault="00163957" w:rsidP="00163957">
      <w:pPr>
        <w:pStyle w:val="TextoNormal"/>
      </w:pPr>
      <w:r>
        <w:t>En definitiva, a la luz del art. 28.2 CE, debería haberse otorgado el amparo interesado en toda su extensión.</w:t>
      </w:r>
    </w:p>
    <w:p w:rsidR="00163957" w:rsidRDefault="00163957" w:rsidP="00163957">
      <w:pPr>
        <w:pStyle w:val="TextoNormal"/>
      </w:pPr>
    </w:p>
    <w:p w:rsidR="00163957" w:rsidRDefault="00163957" w:rsidP="00163957">
      <w:pPr>
        <w:pStyle w:val="TextoNormal"/>
      </w:pPr>
      <w:r>
        <w:t>Y en tal sentido emitimos este Voto particular.</w:t>
      </w:r>
    </w:p>
    <w:p w:rsidR="00163957" w:rsidRDefault="00163957" w:rsidP="00163957">
      <w:pPr>
        <w:pStyle w:val="TextoNormal"/>
      </w:pPr>
    </w:p>
    <w:p w:rsidR="00163957" w:rsidRDefault="00163957" w:rsidP="00163957">
      <w:pPr>
        <w:pStyle w:val="TextoNormal"/>
      </w:pPr>
      <w:r>
        <w:t>Madrid, a catorce de abril de dos mil dieciséis.</w:t>
      </w:r>
    </w:p>
    <w:p w:rsidR="00163957" w:rsidRDefault="00163957" w:rsidP="00163957">
      <w:pPr>
        <w:pStyle w:val="TextoNormal"/>
      </w:pPr>
    </w:p>
    <w:p w:rsidR="00163957" w:rsidRDefault="00163957" w:rsidP="00163957">
      <w:pPr>
        <w:pStyle w:val="TextoNormalNegritaCentrado"/>
        <w:keepNext/>
      </w:pPr>
      <w:r>
        <w:lastRenderedPageBreak/>
        <w:t>Voto particular parcialmente disidente que formula la Magistrada doña Encarnación Roca Trías a la Sentencia dictada en el recurso de amparo avocado núm. 3660-2013.</w:t>
      </w:r>
    </w:p>
    <w:p w:rsidR="00163957" w:rsidRDefault="00163957" w:rsidP="00163957">
      <w:pPr>
        <w:pStyle w:val="TextoNormalNegritaCentrado"/>
        <w:keepNext/>
      </w:pPr>
    </w:p>
    <w:p w:rsidR="00163957" w:rsidRDefault="00163957" w:rsidP="00163957">
      <w:pPr>
        <w:pStyle w:val="TextoNormal"/>
      </w:pPr>
      <w:r>
        <w:t>En ejercicio de la facultad que me confiere el art. 90.2 de la Ley Orgánica del Tribunal Constitucional y con pleno respeto a la opinión mayoritaria de mis compañeros de Pleno, expreso mi discrepancia parcial con la Sentencia.</w:t>
      </w:r>
    </w:p>
    <w:p w:rsidR="00163957" w:rsidRDefault="00163957" w:rsidP="00163957">
      <w:pPr>
        <w:pStyle w:val="TextoNormal"/>
      </w:pPr>
    </w:p>
    <w:p w:rsidR="00163957" w:rsidRDefault="00163957" w:rsidP="00163957">
      <w:pPr>
        <w:pStyle w:val="TextoNormal"/>
      </w:pPr>
      <w:r>
        <w:t>1. A los efectos de la mejor comprensión de la argumentación de este Voto disidente, debo hacer un breve resumen de los hechos que dan lugar a este recurso de amparo.</w:t>
      </w:r>
    </w:p>
    <w:p w:rsidR="00163957" w:rsidRDefault="00163957" w:rsidP="00163957">
      <w:pPr>
        <w:pStyle w:val="TextoNormal"/>
      </w:pPr>
    </w:p>
    <w:p w:rsidR="00163957" w:rsidRDefault="00163957" w:rsidP="00163957">
      <w:pPr>
        <w:pStyle w:val="TextoNormal"/>
      </w:pPr>
      <w:r>
        <w:t xml:space="preserve">a) El titular de un local comercial ejercitó acción de responsabilidad civil </w:t>
      </w:r>
      <w:r w:rsidRPr="00163957">
        <w:rPr>
          <w:i/>
        </w:rPr>
        <w:t>ex</w:t>
      </w:r>
      <w:r>
        <w:t xml:space="preserve"> art. 1902 del Código civil frente al demandante de amparo en reclamación de indemnización por daños personales y materiales que le había causado el piquete informativo del que el recurrente de amparo formaba parte, en el curso de la jornada de huelga general de 29 de septiembre de 2010. La acción de responsabilidad civil se ejercitó después de haber sido sobreseída la acción penal.</w:t>
      </w:r>
    </w:p>
    <w:p w:rsidR="00163957" w:rsidRDefault="00163957" w:rsidP="00163957">
      <w:pPr>
        <w:pStyle w:val="TextoNormal"/>
      </w:pPr>
    </w:p>
    <w:p w:rsidR="00163957" w:rsidRDefault="00163957" w:rsidP="00163957">
      <w:pPr>
        <w:pStyle w:val="TextoNormal"/>
      </w:pPr>
      <w:r>
        <w:t>b) La Sentencia del Juzgado de Primera Instancia núm. 5 de Albacete, de 18 de enero de 2013, estimó la demanda, condenando al ahora recurrente, al considerar indiscutido que el demandante fue agredido por integrantes indeterminados del piquete informativo, del que el demandado formaba parte como cabecilla o líder y en atención a su anuencia respecto al hecho ilícito .</w:t>
      </w:r>
    </w:p>
    <w:p w:rsidR="00163957" w:rsidRDefault="00163957" w:rsidP="00163957">
      <w:pPr>
        <w:pStyle w:val="TextoNormal"/>
      </w:pPr>
    </w:p>
    <w:p w:rsidR="00163957" w:rsidRDefault="00163957" w:rsidP="00163957">
      <w:pPr>
        <w:pStyle w:val="TextoNormal"/>
      </w:pPr>
      <w:r>
        <w:t>Contra esta decisión plantea el recurrente el presente recurso de amparo, por vulneración del derecho fundamental a la huelga (art. 28.2 CE). El recurso es parcialmente estimado en la Sentencia cuyo fallo y motivación, respetuosamente, no comparto.</w:t>
      </w:r>
    </w:p>
    <w:p w:rsidR="00163957" w:rsidRDefault="00163957" w:rsidP="00163957">
      <w:pPr>
        <w:pStyle w:val="TextoNormal"/>
      </w:pPr>
    </w:p>
    <w:p w:rsidR="00163957" w:rsidRDefault="00163957" w:rsidP="00163957">
      <w:pPr>
        <w:pStyle w:val="TextoNormal"/>
      </w:pPr>
      <w:r>
        <w:t>La razón radica fundamentalmente en que, tal y como expuse en la deliberación del Pleno, la cuestión que se somete a nuestra consideración se inserta en un verdadero supuesto de responsabilidad civil relativo a la obligación de un miembro del piquete informativo de reparar los daños ocasionados a un tercero en el transcurso de una huelga general y presenta dificultades para su adaptación a las líneas de resolución que aquellos casos en los que se analiza la responsabilidad penal o laboral en ese mismo contexto de huelga.</w:t>
      </w:r>
    </w:p>
    <w:p w:rsidR="00163957" w:rsidRDefault="00163957" w:rsidP="00163957">
      <w:pPr>
        <w:pStyle w:val="TextoNormal"/>
      </w:pPr>
    </w:p>
    <w:p w:rsidR="00163957" w:rsidRDefault="00163957" w:rsidP="00163957">
      <w:pPr>
        <w:pStyle w:val="TextoNormal"/>
      </w:pPr>
      <w:r>
        <w:t>2. Para llegar a las anteriores conclusiones que dan lugar a la estimación parcial del recurso, la argumentación de la presente Sentencia se apoya en la doctrina emanada de este Tribunal respecto a otros supuestos en los que se han ventilado las posibles responsabilidades penales y laborales derivadas del ejercicio del derecho huelga, a pesar de reconocer en su fundamento jurídico 3 que “la particularidad de este supuesto no es coincidente con otros analizados anteriormente”.</w:t>
      </w:r>
    </w:p>
    <w:p w:rsidR="00163957" w:rsidRDefault="00163957" w:rsidP="00163957">
      <w:pPr>
        <w:pStyle w:val="TextoNormal"/>
      </w:pPr>
    </w:p>
    <w:p w:rsidR="00163957" w:rsidRDefault="00163957" w:rsidP="00163957">
      <w:pPr>
        <w:pStyle w:val="TextoNormal"/>
      </w:pPr>
      <w:r>
        <w:t xml:space="preserve">De esta forzada analogía con los supuestos de responsabilidad penal y laboral, llega a la conclusión de que tratándose de daños personales a terceros la única imputación de responsabilidad civil que cabe hacer es la que denomina directa por actos propios del miembro del piquete, eso sí “una vez que el órgano judicial haya atendido cuidadosamente a la conducta personal e individualizada de todos sus componentes en la producción del acto dañoso, de modo que, por sí sola, la condición de integrante e incluso líder del piquete no constituye </w:t>
      </w:r>
      <w:r>
        <w:lastRenderedPageBreak/>
        <w:t>título suficiente y constitucionalmente válido para que pueda imputarse tal responsabilidad”.</w:t>
      </w:r>
    </w:p>
    <w:p w:rsidR="00163957" w:rsidRDefault="00163957" w:rsidP="00163957">
      <w:pPr>
        <w:pStyle w:val="TextoNormal"/>
      </w:pPr>
    </w:p>
    <w:p w:rsidR="00163957" w:rsidRDefault="00163957" w:rsidP="00163957">
      <w:pPr>
        <w:pStyle w:val="TextoNormal"/>
      </w:pPr>
      <w:r>
        <w:t>Con el debido respeto a los argumentos de la mayoría que entiende que debe distinguirse según el tipo de daños ocasionado, considero que la debida protección a los derechos fundamentales de la víctima del daño ocasionado durante el transcurso de la huelga general de 29 de septiembre de 2010 no se alcanza cuando se limita la responsabilidad del miembro del piquete a los daños ocasionados por el cierre del local (lucro cesante). A mi modo de entender, el problema constitucional que plantea la sentencia con la que no estoy acuerdo en parte, se centra en determinar si habiéndose producido una lesión de los derechos fundamentales de quien reclama los daños en la vía civil, estos derechos deben quedar postergados frente al derecho de huelga que dice ejercer el recurrente.</w:t>
      </w:r>
    </w:p>
    <w:p w:rsidR="00163957" w:rsidRDefault="00163957" w:rsidP="00163957">
      <w:pPr>
        <w:pStyle w:val="TextoNormal"/>
      </w:pPr>
    </w:p>
    <w:p w:rsidR="00163957" w:rsidRDefault="00163957" w:rsidP="00163957">
      <w:pPr>
        <w:pStyle w:val="TextoNormal"/>
      </w:pPr>
      <w:r>
        <w:t>En efecto, el titular del pub arrasado es titular de su derecho a la integridad física (art. 15 CE), su derecho al trabajo (art. 35 CE), su derecho a la propiedad (art. 33 CE) y su derecho a la libertad de empresa (art. 38 CE). Todos ellos relacionados con la dignidad personal (art. 10.1 CE). La jurisprudencia de este Tribunal, tal como pone de relieve el fundamento jurídico 2 de la Sentencia de la que respetuosamente discrepo, no configura el derecho de huelga como absoluto (en realidad no lo es ni el derecho a la vida), de modo que cuando en el transcurso de una huelga se produzca cualquiera de los daños que se han recogido en las diversas sentencias citadas, haya violencia u otro tipo de excesos, el que los produce debe responder. A partir de esta doctrina, que acepto sin discusión, el problema se plantea ante la falta de una ley de huelga, que regule la responsabilidad de los causantes del daño, a diferencia de lo que ocurre con la Ley reguladora del derecho de reunión, cuyo artículo 4.2 y 3 establece la responsabilidad de los organizadores, solidaria cuando varios miembros de la manifestación hayan ocasionado los daños.</w:t>
      </w:r>
    </w:p>
    <w:p w:rsidR="00163957" w:rsidRDefault="00163957" w:rsidP="00163957">
      <w:pPr>
        <w:pStyle w:val="TextoNormal"/>
      </w:pPr>
    </w:p>
    <w:p w:rsidR="00163957" w:rsidRDefault="00163957" w:rsidP="00163957">
      <w:pPr>
        <w:pStyle w:val="TextoNormal"/>
      </w:pPr>
      <w:r>
        <w:t>Como diré a continuación, será por tanto, la norma civil la que colme el vacío dejado por la falta de regulación y no porque sea civil, sino porque constituye la única manera de proteger los derechos fundamentales lesionados, dado que el miembro del piquete que comete estos actos, en puridad no está ejerciendo el derecho de huelga.</w:t>
      </w:r>
    </w:p>
    <w:p w:rsidR="00163957" w:rsidRDefault="00163957" w:rsidP="00163957">
      <w:pPr>
        <w:pStyle w:val="TextoNormal"/>
      </w:pPr>
    </w:p>
    <w:p w:rsidR="00163957" w:rsidRDefault="00163957" w:rsidP="00163957">
      <w:pPr>
        <w:pStyle w:val="TextoNormal"/>
      </w:pPr>
      <w:r>
        <w:t>Al no tratarse de una acción que caiga en el ámbito penal, al haber sido sobreseído el asunto, sino en la vía civil y tratándose de daños materiales o patrimoniales, no es necesaria una imputación individualizada, dado que “también deben ser respetados otros bienes constitucionalmente protegidos como la libertad de trabajar, la libertad de empresa, o la dignidad de las personas y su derecho a la integridad moral (arts. 10.1 y 15 C.E)”. Es decir, que la actitud violenta e intimidatoria del demandante de amparo —que ha quedado acreditada— es título suficiente para imputarle responsabilidad civil por los daños patrimoniales. Por ello no coincido con la Sentencia que excluye los personales, primando en el primer caso el respeto a los derechos fundamentales de la víctima y, por el contrario, en el segundo, haciendo prevalecer el derecho a la huelga del demandante de amparo.</w:t>
      </w:r>
    </w:p>
    <w:p w:rsidR="00163957" w:rsidRDefault="00163957" w:rsidP="00163957">
      <w:pPr>
        <w:pStyle w:val="TextoNormal"/>
      </w:pPr>
    </w:p>
    <w:p w:rsidR="00163957" w:rsidRDefault="00163957" w:rsidP="00163957">
      <w:pPr>
        <w:pStyle w:val="TextoNormal"/>
      </w:pPr>
      <w:r>
        <w:t>En materia de reparación de daños, donde la Ley no distingue no debemos distinguir nosotros: no existe motivo para que se utilicen diferentes criterios de imputación dependiendo de si el daño es personal o patrimonial, porque el problema suscitado es de causalidad y no de voluntariedad, dolo o culpa.</w:t>
      </w:r>
    </w:p>
    <w:p w:rsidR="00163957" w:rsidRDefault="00163957" w:rsidP="00163957">
      <w:pPr>
        <w:pStyle w:val="TextoNormal"/>
      </w:pPr>
    </w:p>
    <w:p w:rsidR="00163957" w:rsidRDefault="00163957" w:rsidP="00163957">
      <w:pPr>
        <w:pStyle w:val="TextoNormal"/>
      </w:pPr>
      <w:r>
        <w:lastRenderedPageBreak/>
        <w:t>3. Dicho lo anterior, tengo que poner de relieve que la Sentencia de la que discrepo en parte, parece no haber tenido en cuenta que este Tribunal ha declarado en numerosas ocasiones que el ejercicio del derecho a la huelga no es absoluto e ilimitado. La novedad de este caso consiste en que la reclamación de amparo se efectúa contra una sentencia pronunciada en la vía civil y nunca nos hemos pronunciado sobre la responsabilidad civil derivada del ejercicio del derecho a la huelga. Ahora bien, la falta de una normativa especial o específica para estos supuestos, no significa en absoluto la existencia de una laguna legal, ni la necesidad de llevar a cabo una interpretación analógica de la jurisprudencia constitucional en materia de responsabilidad penal o laboral en materia del derecho de huelga. La norma general existe y es la que, como hizo el órgano judicial a quo, necesariamente ha de aplicarse a este supuesto (es decir, las reglas generales de la responsabilidad extracontractual de los arts. 1902 y ss. del Código civil). Todavía más: cabe recordar que las normas penales cumplen una función preventiva-punitiva, es decir, previenen y sancionan conductas reprochables tipificadas legalmente. Las normas civiles de responsabilidad, sin embargo, poseen exclusivamente una finalidad indemnizatoria de los daños producidos a los derechos fundamentales de los individuos y por ello se reparan daños personales y patrimoniales.</w:t>
      </w:r>
    </w:p>
    <w:p w:rsidR="00163957" w:rsidRDefault="00163957" w:rsidP="00163957">
      <w:pPr>
        <w:pStyle w:val="TextoNormal"/>
      </w:pPr>
    </w:p>
    <w:p w:rsidR="00163957" w:rsidRDefault="00163957" w:rsidP="00163957">
      <w:pPr>
        <w:pStyle w:val="TextoNormal"/>
      </w:pPr>
      <w:r>
        <w:t>Los daños producidos a terceros durante el transcurso de una huelga, por lo tanto, no están sustraídos al sistema de responsabilidad civil, pues tampoco existe norma legal que los contemple como un supuesto de fuerza mayor, en el que la víctima deba asumirlos.</w:t>
      </w:r>
    </w:p>
    <w:p w:rsidR="00163957" w:rsidRDefault="00163957" w:rsidP="00163957">
      <w:pPr>
        <w:pStyle w:val="TextoNormal"/>
      </w:pPr>
    </w:p>
    <w:p w:rsidR="00163957" w:rsidRDefault="00163957" w:rsidP="00163957">
      <w:pPr>
        <w:pStyle w:val="TextoNormal"/>
      </w:pPr>
      <w:r>
        <w:t>Es cierto que para imputar la responsabilidad civil debe establecerse la necesaria relación causal entre la conducta del demandado y el perjuicio cuya reparación se reclama, pero precisamente es lo que hace el órgano judicial mediante el uso del criterio de la solidaridad impropia.</w:t>
      </w:r>
    </w:p>
    <w:p w:rsidR="00163957" w:rsidRDefault="00163957" w:rsidP="00163957">
      <w:pPr>
        <w:pStyle w:val="TextoNormal"/>
      </w:pPr>
    </w:p>
    <w:p w:rsidR="00163957" w:rsidRDefault="00163957" w:rsidP="00163957">
      <w:pPr>
        <w:pStyle w:val="TextoNormal"/>
      </w:pPr>
      <w:r>
        <w:t>El supuesto analizado en la sentencia, es el típico de daños causados por sujeto indeterminado de grupo. Es decir, que la conducta de cualquiera de los miembros identificados de ese grupo (piquete informativo) es causalmente adecuada para originar los daños cuya reparación se reclama. El criterio es el de la solidaridad impropia: se puede imputar la responsabilidad a cualquiera de ellos o a todos por igual o por cuotas. La carga de la prueba que exima del deber de reparar los daños es del sujeto del grupo. La labor del piquete informativo y, en consecuencia, de cualquiera de sus miembros, por su propia naturaleza, puede causar daños. En el caso concreto, además, está probado que el demandante desarrollaba un papel de líder. Con la aplicación de esta regla, se evita la impunidad por daños producidos por quien se excede en el ejercicio del derecho de huelga.</w:t>
      </w:r>
    </w:p>
    <w:p w:rsidR="00163957" w:rsidRDefault="00163957" w:rsidP="00163957">
      <w:pPr>
        <w:pStyle w:val="TextoNormal"/>
      </w:pPr>
    </w:p>
    <w:p w:rsidR="00163957" w:rsidRDefault="00163957" w:rsidP="00163957">
      <w:pPr>
        <w:pStyle w:val="TextoNormal"/>
      </w:pPr>
      <w:r>
        <w:t>4. Como expuse en la deliberación, el núcleo del problema que se suscita en este recurso es el de si la aplicación del criterio de la solidaridad impropia para imputar el deber de reparar los daños al miembro identificado de un piquete informativo limita o no el derecho a la huelga, al conllevar la posibilidad de que al tener que asumir sus consecuencias lesivas, pueda estar disuadiendo de su ejercicio. No comparto esta idea.</w:t>
      </w:r>
    </w:p>
    <w:p w:rsidR="00163957" w:rsidRDefault="00163957" w:rsidP="00163957">
      <w:pPr>
        <w:pStyle w:val="TextoNormal"/>
      </w:pPr>
    </w:p>
    <w:p w:rsidR="00163957" w:rsidRDefault="00163957" w:rsidP="00163957">
      <w:pPr>
        <w:pStyle w:val="TextoNormal"/>
      </w:pPr>
      <w:r>
        <w:t>Para dar respuesta al problema, he de aclarar que es cierto que la titular del órgano judicial ha dictado una resolución confusa, porque apoya su decisión en normas y jurisprudencia bien distintas, ya sean penales, laborales o civiles, pero ello sólo implicaría si acaso una vulneración del art. 24 CE, que no ha sido invocada. Por ello, no se puede escudar el Tribunal en estas razones y en realidad no lo hace.</w:t>
      </w:r>
    </w:p>
    <w:p w:rsidR="00163957" w:rsidRDefault="00163957" w:rsidP="00163957">
      <w:pPr>
        <w:pStyle w:val="TextoNormal"/>
      </w:pPr>
    </w:p>
    <w:p w:rsidR="00163957" w:rsidRDefault="00163957" w:rsidP="00163957">
      <w:pPr>
        <w:pStyle w:val="TextoNormal"/>
      </w:pPr>
      <w:r>
        <w:t>No se puede sostener que el deber de reparar los daños causados sea un límite al ejercicio del derecho de huelga. La proposición es la contraria: precisamente al ejercer el derecho de huelga se han causado daños y la ponderación debe hacerse en el conflicto que se suscita con otros derechos también reconocidos en la Constitución cuyo titular es la víctima del daño. Es doctrina reiterada de este Tribunal la de que el derecho de huelga no comprende la coacción, amenaza o ejercicio de actos de violencia para perseguir sus fines, ni la limitación de la capacidad de decisión de otros mediante la coacción psicológica o moral. Los piquetes violentos, que imponen la realización de la huelga, deben considerarse prohibidos, desde el momento en que ejercer sobre terceros una violencia moral de alcance intimidatorio es contrario a bienes constitucionalmente protegidos, como la dignidad de la persona y su derecho a la integridad moral (arts. 10 y 15 CE), como he dicho ya.</w:t>
      </w:r>
    </w:p>
    <w:p w:rsidR="00163957" w:rsidRDefault="00163957" w:rsidP="00163957">
      <w:pPr>
        <w:pStyle w:val="TextoNormal"/>
      </w:pPr>
    </w:p>
    <w:p w:rsidR="00163957" w:rsidRDefault="00163957" w:rsidP="00163957">
      <w:pPr>
        <w:pStyle w:val="TextoNormal"/>
      </w:pPr>
      <w:r>
        <w:t>5. A mi juicio, pues, en la ponderación de los derechos constitucionales en conflicto (derecho a la huelga vs. cualesquiera otros derechos fundamentales), debe encontrarse un argumento de mayor peso que el que ofrece la Sentencia para sacrificar los de la víctima del daño, pues en definitiva el demandante de amparo ejercitó su derecho a la huelga y, precisamente durante la misma, causó daños, pretendiendo una suerte de reconocimiento por parte de este Tribunal de un ejercicio ilimitado del derecho de huelga, así como la indemnidad respecto a las consecuencias lesivas del mismo. ¿El ejercicio del derecho de huelga conlleva el de causar daños a terceros? No alcanzo a ver la razón de privilegiar el derecho a la huelga frente a otros derechos fundamentales, como tampoco la distinción que se hace en la Sentencia respecto a la naturaleza de los daños, cuando el problema ha de centrarse en el deber de repararlos, que no exige la identificación del causante cuando es parte integrante del grupo que los causó y a cuyos miembros puede siempre repetir en proporción a las distintas cuotas de responsabilidad de cada uno. Creo que lo que late en el fondo en esta Sentencia es una visión punitiva-sancionadora del sistema civil del derecho de daños, que es justamente el que no tiene.</w:t>
      </w:r>
    </w:p>
    <w:p w:rsidR="00163957" w:rsidRDefault="00163957" w:rsidP="00163957">
      <w:pPr>
        <w:pStyle w:val="TextoNormal"/>
      </w:pPr>
    </w:p>
    <w:p w:rsidR="00163957" w:rsidRDefault="00163957" w:rsidP="00163957">
      <w:pPr>
        <w:pStyle w:val="TextoNormal"/>
      </w:pPr>
      <w:r>
        <w:t>El recurrente no vio limitado su ejercicio del derecho a la huelga, porque que en realidad lo ejerció abusivamente. Argumentar en contra de la aplicación de las reglas generales del derecho de daños en aquellos casos en que los perjuicios se causen por un piquete informativo, conlleva una suerte de reconocimiento a la indemnidad en el ejercicio de las funciones que tiene encomendada, nunca antes reconocido por este Tribunal.</w:t>
      </w:r>
    </w:p>
    <w:p w:rsidR="00163957" w:rsidRDefault="00163957" w:rsidP="00163957">
      <w:pPr>
        <w:pStyle w:val="TextoNormal"/>
      </w:pPr>
    </w:p>
    <w:p w:rsidR="00163957" w:rsidRDefault="00163957" w:rsidP="00163957">
      <w:pPr>
        <w:pStyle w:val="TextoNormal"/>
      </w:pPr>
      <w:r>
        <w:t>En situaciones como la enjuiciada no sólo hay que tener en cuenta el derecho a la huelga, sino el resto de los derechos igualmente fundamentales que se puedan ver afectados y, desde luego, el empleo de la violencia, intimidación o coacción, no puede contemplarse, en caso alguno, como ejercicio de un derecho. Presumir que responsabilizar civilmente a un sujeto indeterminado de un piquete conlleva una limitación del derecho a la huelga porque le disuade de integrarse en ellos y, por prevención, exigir la responsabilidad directa e individualizada en estos casos, es tanto como permitir todas aquellas extralimitaciones que bajo el anonimato se realicen en el ejercicio del derecho a la huelga.</w:t>
      </w:r>
    </w:p>
    <w:p w:rsidR="00163957" w:rsidRDefault="00163957" w:rsidP="00163957">
      <w:pPr>
        <w:pStyle w:val="TextoNormal"/>
      </w:pPr>
    </w:p>
    <w:p w:rsidR="00163957" w:rsidRDefault="00163957" w:rsidP="00163957">
      <w:pPr>
        <w:pStyle w:val="TextoNormal"/>
      </w:pPr>
      <w:r>
        <w:t>Y en este sentido emito mi Voto particular parcialmente discrepante con la Sentencia en el sentido de que debería haberse desestimado el recurso de amparo en relación a todos los daños producidos por el piquete informativo, sin limitarlos a los daños materiales.</w:t>
      </w:r>
    </w:p>
    <w:p w:rsidR="00163957" w:rsidRDefault="00163957" w:rsidP="00163957">
      <w:pPr>
        <w:pStyle w:val="TextoNormal"/>
      </w:pPr>
    </w:p>
    <w:p w:rsidR="00163957" w:rsidRDefault="00163957" w:rsidP="00163957">
      <w:pPr>
        <w:pStyle w:val="TextoNormal"/>
      </w:pPr>
      <w:r>
        <w:lastRenderedPageBreak/>
        <w:t>Madrid, a catorce de abril de dos mil dieciséis.</w:t>
      </w:r>
    </w:p>
    <w:p w:rsidR="00163957" w:rsidRDefault="00163957" w:rsidP="00163957">
      <w:pPr>
        <w:pStyle w:val="TextoNormal"/>
      </w:pPr>
    </w:p>
    <w:p w:rsidR="00163957" w:rsidRDefault="00163957" w:rsidP="00163957">
      <w:pPr>
        <w:pStyle w:val="TextoNormalNegritaCentrado"/>
        <w:keepNext/>
      </w:pPr>
      <w:r>
        <w:t>Voto particular que formula el Magistrado don Juan Antonio Xiol Ríos a la Sentencia dictada en el recurso de amparo avocado núm. 3660-2013.</w:t>
      </w:r>
    </w:p>
    <w:p w:rsidR="00163957" w:rsidRDefault="00163957" w:rsidP="00163957">
      <w:pPr>
        <w:pStyle w:val="TextoNormalNegritaCentrado"/>
        <w:keepNext/>
      </w:pPr>
    </w:p>
    <w:p w:rsidR="00163957" w:rsidRDefault="00163957" w:rsidP="00163957">
      <w:pPr>
        <w:pStyle w:val="TextoNormal"/>
      </w:pPr>
      <w:r>
        <w:t>Me adhiero en su totalidad al Voto particular formulado por la Magistrada doña Adela Asua Batarrita y el Magistrado don Fernando Valdés Dal-Ré a la Sentencia citada en el recurso de amparo avocado núm. 3660-2013.</w:t>
      </w:r>
    </w:p>
    <w:p w:rsidR="00163957" w:rsidRDefault="00163957" w:rsidP="00163957">
      <w:pPr>
        <w:pStyle w:val="TextoNormal"/>
      </w:pPr>
    </w:p>
    <w:p w:rsidR="00163957" w:rsidRDefault="00163957" w:rsidP="00163957">
      <w:pPr>
        <w:pStyle w:val="TextoNormal"/>
      </w:pPr>
      <w:r>
        <w:t>Me importa destacar que estoy de acuerdo con la doctrina que se sienta en la primera parte de la Sentencia (estimación del amparo respecto de la condena a indemnizar por daños personales) consistente en que la dirección de un piquete informativo no es suficiente para imputar a quien la lleva a cabo las consecuencias dañosas de la conducta de alguno de los integrantes del piquete. Creo que esta doctrina es la que debe prevalecer.</w:t>
      </w:r>
    </w:p>
    <w:p w:rsidR="00163957" w:rsidRDefault="00163957" w:rsidP="00163957">
      <w:pPr>
        <w:pStyle w:val="TextoNormal"/>
      </w:pPr>
    </w:p>
    <w:p w:rsidR="00163957" w:rsidRDefault="00163957" w:rsidP="00163957">
      <w:pPr>
        <w:pStyle w:val="TextoNormal"/>
      </w:pPr>
      <w:r>
        <w:t>Como se explica con encomiable precisión en el Voto al que me adhiero, esta doctrina debía haber llevado a la estimación total del recurso. La opinión mayoritaria, en realidad, no aplica a la segunda reclamación (sobre lucro cesante) la doctrina general que aplica a la primera. Reconozco, sin embargo, que esta solución puede haberse visto forzada por la necesidad de encontrar un punto de equilibrio, habida cuenta de que una opinión, reflejada en uno de los Votos particulares anunciados, propugnaba la desestimación total del recurso mediante la aplicación pura y simple de la teoría de la responsabilidad civil al caso examinado, excluyendo cualquier modulación relacionada con la influencia del ejercicio del derecho de huelga en el ámbito de la imputación objetiva del resultado dañoso.</w:t>
      </w:r>
    </w:p>
    <w:p w:rsidR="00163957" w:rsidRDefault="00163957" w:rsidP="00163957">
      <w:pPr>
        <w:pStyle w:val="TextoNormal"/>
      </w:pPr>
    </w:p>
    <w:p w:rsidR="00163957" w:rsidRDefault="00163957" w:rsidP="00163957">
      <w:pPr>
        <w:pStyle w:val="TextoNormal"/>
      </w:pPr>
      <w:r>
        <w:t>Madrid, a catorce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73" w:name="SENTENCIA_2016_70"/>
      <w:r>
        <w:lastRenderedPageBreak/>
        <w:t>SENTENCIA 70/2016, de 14 de abril de 2016</w:t>
      </w:r>
    </w:p>
    <w:bookmarkEnd w:id="73"/>
    <w:p w:rsidR="00163957" w:rsidRDefault="00163957" w:rsidP="00163957">
      <w:pPr>
        <w:pStyle w:val="TtuloResolucin"/>
      </w:pPr>
      <w:r>
        <w:t>Pleno</w:t>
      </w:r>
    </w:p>
    <w:p w:rsidR="00163957" w:rsidRDefault="00163957" w:rsidP="00163957">
      <w:pPr>
        <w:pStyle w:val="TtuloBOE"/>
      </w:pPr>
      <w:r>
        <w:t>(BOE núm. 122, de 20 de mayo de 2016)</w:t>
      </w:r>
    </w:p>
    <w:p w:rsidR="00163957" w:rsidRDefault="00163957" w:rsidP="00163957">
      <w:pPr>
        <w:pStyle w:val="TextoNormalCentrado"/>
      </w:pPr>
      <w:r>
        <w:t>ECLI:ES:TC:2016:70</w:t>
      </w:r>
    </w:p>
    <w:p w:rsidR="00163957" w:rsidRDefault="00163957" w:rsidP="00163957">
      <w:pPr>
        <w:pStyle w:val="TextoNormalCentrado"/>
      </w:pPr>
    </w:p>
    <w:p w:rsidR="00163957" w:rsidRDefault="00163957" w:rsidP="00163957">
      <w:pPr>
        <w:pStyle w:val="SntesisDescriptiva"/>
      </w:pPr>
      <w:r>
        <w:t>Recurso de inconstitucionalidad 5567-2013. Interpuesto por el Gobierno de Canarias respecto del artículo 7 de la Ley 38/2003, de 17 de noviembre, general de subvenciones, en la redacción dada por el Real Decreto-ley 7/2013, de 28 de junio, de medidas urgentes de naturaleza tributaria, presupuestaria y de fomento de la investigación, el desarrollo y la innovación.</w:t>
      </w:r>
    </w:p>
    <w:p w:rsidR="00163957" w:rsidRDefault="00163957" w:rsidP="00163957">
      <w:pPr>
        <w:pStyle w:val="SntesisDescriptiva"/>
      </w:pPr>
    </w:p>
    <w:p w:rsidR="00163957" w:rsidRDefault="00163957" w:rsidP="00163957">
      <w:pPr>
        <w:pStyle w:val="SntesisAnaltica"/>
      </w:pPr>
      <w:r>
        <w:t>Límites de los decretos-leyes, reserva de ley orgánica: nulidad del precepto legal relativo a las responsabilidades derivadas de las correcciones financieras acordadas por las instituciones de la Unión Europea.</w:t>
      </w:r>
    </w:p>
    <w:p w:rsidR="00163957" w:rsidRDefault="00163957" w:rsidP="00163957">
      <w:pPr>
        <w:pStyle w:val="SntesisAnaltica"/>
      </w:pPr>
    </w:p>
    <w:p w:rsidR="00163957" w:rsidRDefault="00163957" w:rsidP="00163957">
      <w:pPr>
        <w:pStyle w:val="Extracto"/>
      </w:pPr>
      <w:r>
        <w:t>1.</w:t>
      </w:r>
      <w:r>
        <w:tab/>
        <w:t>No ha quedado acreditada la existencia de extraordinaria y urgente necesidad para dictar decretos-leyes [FJ 7].</w:t>
      </w:r>
    </w:p>
    <w:p w:rsidR="00163957" w:rsidRDefault="00163957" w:rsidP="00163957">
      <w:pPr>
        <w:pStyle w:val="Extracto"/>
      </w:pPr>
    </w:p>
    <w:p w:rsidR="00163957" w:rsidRDefault="00163957" w:rsidP="00163957">
      <w:pPr>
        <w:pStyle w:val="Extracto"/>
      </w:pPr>
      <w:r>
        <w:t>2.</w:t>
      </w:r>
      <w:r>
        <w:tab/>
        <w:t>El Gobierno no ha justificado suficientemente, ni en la exposición de motivos, ni tampoco en el trámite de convalidación parlamentaria del Real Decreto-ley, la necesaria urgencia de introducir una mejora técnica en el sistema de traslado de responsabilidades derivadas de las correcciones financieras acordadas por las instituciones de la Unión Europea [FJ 7].</w:t>
      </w:r>
    </w:p>
    <w:p w:rsidR="00163957" w:rsidRDefault="00163957" w:rsidP="00163957">
      <w:pPr>
        <w:pStyle w:val="Extracto"/>
      </w:pPr>
    </w:p>
    <w:p w:rsidR="00163957" w:rsidRDefault="00163957" w:rsidP="00163957">
      <w:pPr>
        <w:pStyle w:val="Extracto"/>
      </w:pPr>
      <w:r>
        <w:t>3.</w:t>
      </w:r>
      <w:r>
        <w:tab/>
        <w:t>Ya existía un procedimiento de traslado de responsabilidades, que no se ve alterado sustancialmente, aunque sí clarificado, con el nuevo artículo 7.1 a) de la Ley general de subvenciones, no innovándose la regulación del régimen de traslado de responsabilidades en lo que se refiere a los posibles incumplimientos del Derecho de la Unión Europea. Su efecto, más limitado, radica en introducir una mejora técnica en la normativa ya existente, de suerte que se excluyen del régimen de los procedimientos contenidos en la Ley general de subvenciones aquellos supuestos que tengan su origen en correcciones financieras acordadas mediante sentencias, actos o decisiones dictados por las instituciones europeas [FJ 6].</w:t>
      </w:r>
    </w:p>
    <w:p w:rsidR="00163957" w:rsidRDefault="00163957" w:rsidP="00163957">
      <w:pPr>
        <w:pStyle w:val="Extracto"/>
      </w:pPr>
    </w:p>
    <w:p w:rsidR="00163957" w:rsidRDefault="00163957" w:rsidP="00163957">
      <w:pPr>
        <w:pStyle w:val="Extracto"/>
      </w:pPr>
      <w:r>
        <w:t>4.</w:t>
      </w:r>
      <w:r>
        <w:tab/>
        <w:t>Doctrina sobre el control del presupuesto habilitante para dictar decretos leyes (STC 142/2014) [FJ 4].</w:t>
      </w:r>
    </w:p>
    <w:p w:rsidR="00163957" w:rsidRDefault="00163957" w:rsidP="00163957">
      <w:pPr>
        <w:pStyle w:val="Extracto"/>
      </w:pPr>
    </w:p>
    <w:p w:rsidR="00163957" w:rsidRDefault="00163957" w:rsidP="00163957">
      <w:pPr>
        <w:pStyle w:val="Extracto"/>
      </w:pPr>
      <w:r>
        <w:t>5.</w:t>
      </w:r>
      <w:r>
        <w:tab/>
        <w:t>Dado que la demanda no despliega un razonamiento individualizado con respecto de todo el artículo impugnado, sino que se centra únicamente en uno de sus apartados, sólo con respecto del mismo puede entenderse que se levanta adecuadamente la carga procesal oportuna, y el enjuiciamiento se ceñirá a ese inciso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w:t>
      </w:r>
      <w:r>
        <w:lastRenderedPageBreak/>
        <w:t>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5567-2013, interpuesto por el Gobierno de Canarias contra la disposición final segunda del Real Decreto-ley 7/2013, de 28 de junio, de medidas urgentes de naturaleza tributaria, presupuestaria y de fomento de la investigación, el desarrollo y la innovación. Ha sido Ponente el Magistrado don Ricardo Enríquez Sancho, que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el Tribunal con fecha 30 de septiembre de 2013 la Directora del servicio jurídico del Gobierno de Canarias, en la representación que legalmente ostenta, interpone recurso de inconstitucionalidad contra la disposición final segunda del Real Decreto-ley 7/2013, de 28 de junio, de medidas urgentes de naturaleza tributaria, presupuestaria y de fomento de la investigación, el desarrollo y la innovación, por la que se modifica el art. 7 de la Ley 38/2003, del 17 noviembre, general de subvenciones.</w:t>
      </w:r>
    </w:p>
    <w:p w:rsidR="00163957" w:rsidRDefault="00163957" w:rsidP="00163957">
      <w:pPr>
        <w:pStyle w:val="TextoNormal"/>
      </w:pPr>
    </w:p>
    <w:p w:rsidR="00163957" w:rsidRDefault="00163957" w:rsidP="00163957">
      <w:pPr>
        <w:pStyle w:val="TextoNormal"/>
      </w:pPr>
      <w:r>
        <w:t>Comienza el escrito exponiendo el contexto en el que se inserta la presente controversia, haciendo referencia, por un lado, a la reforma del artículo 135 de la Constitución y, por otro, a la Ley Orgánica 2/2012, de 27 abril, de estabilidad presupuestaria y sostenibilidad financiera (en adelante, Ley Orgánica 2/2012), y en concreto recogiendo el tenor literal de la disposición adicional segunda de la citada Ley Orgánica, intitulada “[R]esponsabilidad por incumplimiento de normas del derecho comunitario”.</w:t>
      </w:r>
    </w:p>
    <w:p w:rsidR="00163957" w:rsidRDefault="00163957" w:rsidP="00163957">
      <w:pPr>
        <w:pStyle w:val="TextoNormal"/>
      </w:pPr>
    </w:p>
    <w:p w:rsidR="00163957" w:rsidRDefault="00163957" w:rsidP="00163957">
      <w:pPr>
        <w:pStyle w:val="TextoNormal"/>
      </w:pPr>
      <w:r>
        <w:t>Cita seguidamente el recurso de inconstitucionalidad que interpuso la misma demandante frente a esta disposición adicional segunda, entre otros preceptos de la Ley Orgánica 2/2012, registrado con el número 557-2013, así como al requerimiento de incompetencia formulado por esta Comunidad Autónoma al Gobierno del Estado, al amparo de lo establecido en el artículo 63 de la Ley Orgánica del Tribunal Constitucional (LOTC) respecto de varios preceptos y disposiciones del Real Decreto 515/2013, de 5 julio, por el que se regulan los criterios y el procedimiento para determinar y repercutir las responsabilidades por incumplimiento del Derecho de la Unión Europea.</w:t>
      </w:r>
    </w:p>
    <w:p w:rsidR="00163957" w:rsidRDefault="00163957" w:rsidP="00163957">
      <w:pPr>
        <w:pStyle w:val="TextoNormal"/>
      </w:pPr>
    </w:p>
    <w:p w:rsidR="00163957" w:rsidRDefault="00163957" w:rsidP="00163957">
      <w:pPr>
        <w:pStyle w:val="TextoNormal"/>
      </w:pPr>
      <w:r>
        <w:t xml:space="preserve">a) Expuesto así el contexto, se refiere el escrito a las medidas contenidas en el Real Decreto-ley 7/2013, objeto de este recurso. Tras recoger el tenor de la disposición final segunda que se impugna, y que otorga nueva redacción al artículo 7 de la Ley general de subvenciones, comienza con el primero de los motivos de inconstitucionalidad, que se refiere a la ausencia del presupuesto habilitante de la norma impugnada, por lo que resultaría contraria </w:t>
      </w:r>
      <w:r>
        <w:lastRenderedPageBreak/>
        <w:t>al art. 86.1 CE. Se refiere el escrito a la doctrina del Tribunal Constitucional acerca de dicho presupuesto, contenida entre otras en la STC 68/2007, de 27 marzo, alegando que la medida se justifica en aras a conseguir la coherencia de dos disposiciones, la Ley general de subvenciones y la Ley Orgánica 2/2012, pero nada se indica acerca de las notas de urgencia y carácter extraordinario, que sin embargo y de acuerdo con lo indicado en la STC 170/2012, del 4 octubre, FJ 6, deben concurrir en cada una de las medidas que se contemplan en el texto de un decreto-ley. Destaca que en la exposición de motivos se hace referencia a la extraordinaria y urgente necesidad con respecto de la adopción de otras medidas, pero sin que se ofrezca ninguna indicación suficiente con respecto de la medida que ahora se impugna.</w:t>
      </w:r>
    </w:p>
    <w:p w:rsidR="00163957" w:rsidRDefault="00163957" w:rsidP="00163957">
      <w:pPr>
        <w:pStyle w:val="TextoNormal"/>
      </w:pPr>
    </w:p>
    <w:p w:rsidR="00163957" w:rsidRDefault="00163957" w:rsidP="00163957">
      <w:pPr>
        <w:pStyle w:val="TextoNormal"/>
      </w:pPr>
      <w:r>
        <w:t>Se refiere también la demanda al debate de convalidación, que tuvo lugar en sesión plenaria celebrada en el Congreso de los Diputados el día 17 julio 2013. En dicho debate el Ministro de Hacienda y Administraciones Públicas se refirió a la urgencia de la medida, que se concreta en la existencia de condenas al Reino de España, y la necesidad de la pronta iniciación de los correspondientes procedimientos de repercusión de responsabilidades. Sin embargo, —se afirma en la demanda— no se hace referencia suficiente a la extraordinaria necesidad, no siendo novedoso que el Reino de España resulte condenado por incumplimiento de las obligaciones derivadas del Derecho comunitario y habiendo por otro lado transcurrido tiempo sobrado desde la entrada en vigor de la Ley Orgánica 2/2012, 6 abril para que el Gobierno del Estado hubiera iniciado la modificación oportuna para adaptar los textos legales pertinentes a los dictados de la citada Ley Orgánica.</w:t>
      </w:r>
    </w:p>
    <w:p w:rsidR="00163957" w:rsidRDefault="00163957" w:rsidP="00163957">
      <w:pPr>
        <w:pStyle w:val="TextoNormal"/>
      </w:pPr>
    </w:p>
    <w:p w:rsidR="00163957" w:rsidRDefault="00163957" w:rsidP="00163957">
      <w:pPr>
        <w:pStyle w:val="TextoNormal"/>
      </w:pPr>
      <w:r>
        <w:t>b) En segundo lugar considera que la norma es inconstitucional porque vulnera la autonomía política y financiera de la Comunidad Autónoma de Canarias y por extralimitación del contenido de los artículos 81 y 135 de la Constitución.</w:t>
      </w:r>
    </w:p>
    <w:p w:rsidR="00163957" w:rsidRDefault="00163957" w:rsidP="00163957">
      <w:pPr>
        <w:pStyle w:val="TextoNormal"/>
      </w:pPr>
    </w:p>
    <w:p w:rsidR="00163957" w:rsidRDefault="00163957" w:rsidP="00163957">
      <w:pPr>
        <w:pStyle w:val="TextoNormal"/>
      </w:pPr>
      <w:r>
        <w:t>En su alegato se refiere en detalle al recurso de inconstitucionalidad interpuesto contra la disposición adicional segunda de la Ley Orgánica 2/2012 reiterando los motivos de inconstitucionalidad dirigidos contra la misma, que serían extensibles a la nueva redacción del artículo 7 de la Ley general de subvenciones dada por la disposición que se recurre. Reitera en las páginas que siguen los motivos de inconstitucionalidad que motivaron la interposición del citado recurso de inconstitucionalidad 557-2013 y que considera plenamente trasladables al vigente art. 7 de la Ley general de subvenciones. De esta manera, se reiteran las cuestiones relativas, primero, al presupuesto de la derivación de la responsabilidad, segundo, a la competencia para derivar la responsabilidad, y, por último, al método para hacer efectiva la responsabilidad. En esencia considera la demanda, al igual que hizo en el citado recurso de inconstitucionalidad contra la citada disposición adicional segunda de la Ley Orgánica 2/2012, que con la regulación que se combate la Administración del Estado pasa en la práctica de coordinadora a superior jerárquica de las Comunidades Autónomas, lo que vulnera la autonomía política y en concreto su autonomía financiera.</w:t>
      </w:r>
    </w:p>
    <w:p w:rsidR="00163957" w:rsidRDefault="00163957" w:rsidP="00163957">
      <w:pPr>
        <w:pStyle w:val="TextoNormal"/>
      </w:pPr>
    </w:p>
    <w:p w:rsidR="00163957" w:rsidRDefault="00163957" w:rsidP="00163957">
      <w:pPr>
        <w:pStyle w:val="TextoNormal"/>
      </w:pPr>
      <w:r>
        <w:t>Ello se concreta, en primer lugar, en el presupuesto de la derivación de la responsabilidad toda vez que la sanción se impone en un procedimiento en el que la Administración a la que luego se trasladará no ha sido oída.</w:t>
      </w:r>
    </w:p>
    <w:p w:rsidR="00163957" w:rsidRDefault="00163957" w:rsidP="00163957">
      <w:pPr>
        <w:pStyle w:val="TextoNormal"/>
      </w:pPr>
    </w:p>
    <w:p w:rsidR="00163957" w:rsidRDefault="00163957" w:rsidP="00163957">
      <w:pPr>
        <w:pStyle w:val="TextoNormal"/>
      </w:pPr>
      <w:r>
        <w:t xml:space="preserve">En segundo lugar, en la competencia para derivar la responsabilidad, que se atribuye al Consejo de Ministros, lo que resulta contrario a la doctrina del Tribunal Constitucional (se </w:t>
      </w:r>
      <w:r>
        <w:lastRenderedPageBreak/>
        <w:t>cita la STC 45/2001), que impide que la aplicación del Derecho comunitario altere las competencias de las Comunidades Autónomas.</w:t>
      </w:r>
    </w:p>
    <w:p w:rsidR="00163957" w:rsidRDefault="00163957" w:rsidP="00163957">
      <w:pPr>
        <w:pStyle w:val="TextoNormal"/>
      </w:pPr>
    </w:p>
    <w:p w:rsidR="00163957" w:rsidRDefault="00163957" w:rsidP="00163957">
      <w:pPr>
        <w:pStyle w:val="TextoNormal"/>
      </w:pPr>
      <w:r>
        <w:t>En tercer lugar, el método para hacer efectiva la responsabilidad puede consistir en la compensación o en la retención de la deuda con las cantidades que el Estado deba transferir a la correspondiente Comunidad Autónoma. Al respecto considera que el mecanismo de compensación de créditos no resulta procedente por no darse los requisitos para ello; a saber, que éstos sean líquidos, vencidos y exigibles. Concluye con la cita de la STC 36/2013, FJ 9, que reitera que no está permitida la acción unilateral y ejecutiva que tanto la disposición adicional segunda como, por extensión, el Real Decreto-ley 7/2013, en cuanto modifica el art. 7 de la Ley general de subvenciones, contemplan.</w:t>
      </w:r>
    </w:p>
    <w:p w:rsidR="00163957" w:rsidRDefault="00163957" w:rsidP="00163957">
      <w:pPr>
        <w:pStyle w:val="TextoNormal"/>
      </w:pPr>
    </w:p>
    <w:p w:rsidR="00163957" w:rsidRDefault="00163957" w:rsidP="00163957">
      <w:pPr>
        <w:pStyle w:val="TextoNormal"/>
      </w:pPr>
      <w:r w:rsidRPr="00163957">
        <w:rPr>
          <w:rStyle w:val="NumeroAFNegritaCaracter"/>
        </w:rPr>
        <w:t>2</w:t>
      </w:r>
      <w:r>
        <w:t>. Por providencia de 22 de octubre de 2013 el Pleno del Tribunal acordó admitir a trámite el recurso de inconstitucionalidad. Asimismo, se acordó dar traslado de la demanda y documentos presentados, conforme al art. 34 LOTC, al Congreso de los Diputados y al Senado, por conducto de sus Presidentes, y al Gobierno, a través del Ministro de Justicia, al objeto de que en el plazo de quince días pudieran personarse en el proceso y formular las alegaciones que estimen convenientes, así como publicar la incoación del proceso en el “Boletín Oficial del Estado”, lo que se llevó a efecto en el núm. 262, de 1 de noviembre de 2013.</w:t>
      </w:r>
    </w:p>
    <w:p w:rsidR="00163957" w:rsidRDefault="00163957" w:rsidP="00163957">
      <w:pPr>
        <w:pStyle w:val="TextoNormal"/>
      </w:pPr>
    </w:p>
    <w:p w:rsidR="00163957" w:rsidRDefault="00163957" w:rsidP="00163957">
      <w:pPr>
        <w:pStyle w:val="TextoNormal"/>
      </w:pPr>
      <w:r w:rsidRPr="00163957">
        <w:rPr>
          <w:rStyle w:val="NumeroAFNegritaCaracter"/>
        </w:rPr>
        <w:t>3</w:t>
      </w:r>
      <w:r>
        <w:t>. El 30 de octubre tuvo entrada en el Registro General de este Tribunal el escrito del Abogado del Estado, por el que se persona en el procedimiento y solicita que se le prorrogue el plazo de alegaciones del art. 34.2 LOTC por ocho días más.</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escrito presentado en el Registro General de este Tribunal con fecha 31 de octubre de 2013 el Presidente del Congreso de los Diputados comunicó a este Tribunal el acuerdo de la Mesa de la Cámara de dar por personada a la misma en el procedimiento, ofreciendo su colaboración a los efectos del art. 88.1 LOTC. Asimismo acordó su remisión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rsidRPr="00163957">
        <w:rPr>
          <w:rStyle w:val="NumeroAFNegritaCaracter"/>
        </w:rPr>
        <w:t>5</w:t>
      </w:r>
      <w:r>
        <w:t>. El 6 de noviembre de 2013 tuvo entrada en el Registro General de este Tribunal un escrito del Presidente del Senado por el que se comunicó el acuerdo adoptado por la Mesa de la Cámara de personarse en el procedimiento, ofreciendo su colaboración a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providencia de 4 de noviembre de 2013 el Pleno del Tribunal acordó incorporar a las actuaciones el anterior escrito del Abogado del Estado, teniéndole por personado en la representación que legalmente ostenta y prorrogándose en ocho días más el plazo concedido por providencia de 22 de octubre de 2013, a contar desde el siguiente al de expiración del ordinario.</w:t>
      </w:r>
    </w:p>
    <w:p w:rsidR="00163957" w:rsidRDefault="00163957" w:rsidP="00163957">
      <w:pPr>
        <w:pStyle w:val="TextoNormal"/>
      </w:pPr>
    </w:p>
    <w:p w:rsidR="00163957" w:rsidRDefault="00163957" w:rsidP="00163957">
      <w:pPr>
        <w:pStyle w:val="TextoNormal"/>
      </w:pPr>
      <w:r w:rsidRPr="00163957">
        <w:rPr>
          <w:rStyle w:val="NumeroAFNegritaCaracter"/>
        </w:rPr>
        <w:t>7</w:t>
      </w:r>
      <w:r>
        <w:t>. El 27 de noviembre de 2013 se registra en el Tribunal el escrito del Abogado del Estado, por el que se interesa la desestimación total del recurso con base en las alegaciones que en lo que sigue se resumen:</w:t>
      </w:r>
    </w:p>
    <w:p w:rsidR="00163957" w:rsidRDefault="00163957" w:rsidP="00163957">
      <w:pPr>
        <w:pStyle w:val="TextoNormal"/>
      </w:pPr>
    </w:p>
    <w:p w:rsidR="00163957" w:rsidRDefault="00163957" w:rsidP="00163957">
      <w:pPr>
        <w:pStyle w:val="TextoNormal"/>
      </w:pPr>
      <w:r>
        <w:t>a) En relación con el primer motivo, referido a la no concurrencia de presupuesto habilitante, comienza el alegato recogiendo la doctrina constitucional contenida, entre otras, en la STC 1/2012, de 13 de enero, FJ 6. Se refiere a continuación a la especial aptitud del real decreto-ley para atender a coyunturas problemáticas, recogiendo también de manera extensa la doctrina pertinente. A continuación destaca que en la exposición de motivos de la norma impugnada se hace una mención expresa al presupuesto habilitante al afirmarse que “en el conjunto y en cada una de las medidas que se adoptan, concurren, por su naturaleza y finalidad… las circunstancias de extraordinaria y urgente necesidad”.</w:t>
      </w:r>
    </w:p>
    <w:p w:rsidR="00163957" w:rsidRDefault="00163957" w:rsidP="00163957">
      <w:pPr>
        <w:pStyle w:val="TextoNormal"/>
      </w:pPr>
    </w:p>
    <w:p w:rsidR="00163957" w:rsidRDefault="00163957" w:rsidP="00163957">
      <w:pPr>
        <w:pStyle w:val="TextoNormal"/>
      </w:pPr>
      <w:r>
        <w:t>Finalmente se refiere al debate de convalidación en el Congreso de los Diputados recogiendo la intervención del Ministro de Hacienda y Administraciones Públicas, en los mismos términos que lo hace también la demanda, y considerando que es manifiesto que se ha cumplido con carácter formal el citado presupuesto habilitante. Concluye con una referencia a algunos de los incumplimientos del Derecho de la Unión Europea que han dado lugar, como por ejemplo sucedió en el caso de la Sentencia del Tribunal de Justicia de la Unión Europea del 11 diciembre 2012, a la imposición de multas coercitivas por cada día de retraso en la puesta en práctica de las medidas necesarias para dar cumplimiento a la sentencia.</w:t>
      </w:r>
    </w:p>
    <w:p w:rsidR="00163957" w:rsidRDefault="00163957" w:rsidP="00163957">
      <w:pPr>
        <w:pStyle w:val="TextoNormal"/>
      </w:pPr>
    </w:p>
    <w:p w:rsidR="00163957" w:rsidRDefault="00163957" w:rsidP="00163957">
      <w:pPr>
        <w:pStyle w:val="TextoNormal"/>
      </w:pPr>
      <w:r>
        <w:t>b) En cuanto al segundo motivo, comienza por destacar que el recurso de inconstitucionalidad sólo se desarrolla en relación con el apartado 1 a) del artículo 7 de la Ley general de subvenciones, en la redacción dada por la disposición impugnada, y en la medida en que efectúa una remisión al régimen jurídico establecido en la disposición adicional segunda de la Ley Orgánica 2/2012, de 27 abril, de estabilidad presupuestaria y sostenibilidad financiera. El recurso queda así acotado no sólo porque la impugnación se ciñe al citado apartado 1 a) del artículo 7 de la Ley general de subvenciones, sino porque la argumentación expuesta en la demanda se fundamenta en idénticas razones a las que dieron lugar al recurso de inconstitucionalidad 557-2013.</w:t>
      </w:r>
    </w:p>
    <w:p w:rsidR="00163957" w:rsidRDefault="00163957" w:rsidP="00163957">
      <w:pPr>
        <w:pStyle w:val="TextoNormal"/>
      </w:pPr>
    </w:p>
    <w:p w:rsidR="00163957" w:rsidRDefault="00163957" w:rsidP="00163957">
      <w:pPr>
        <w:pStyle w:val="TextoNormal"/>
      </w:pPr>
      <w:r>
        <w:t>Con carácter previo se precisa que el argumento de la demanda que se refiere a la incompatibilidad entre la norma que se impugna y la vulneración de la reserva de ley orgánica sólo puede predicarse de la disposición adicional segunda de la Ley Orgánica 2/2012 puesto que la que ahora se impugna no tiene rango de orgánica.</w:t>
      </w:r>
    </w:p>
    <w:p w:rsidR="00163957" w:rsidRDefault="00163957" w:rsidP="00163957">
      <w:pPr>
        <w:pStyle w:val="TextoNormal"/>
      </w:pPr>
    </w:p>
    <w:p w:rsidR="00163957" w:rsidRDefault="00163957" w:rsidP="00163957">
      <w:pPr>
        <w:pStyle w:val="TextoNormal"/>
      </w:pPr>
      <w:r>
        <w:t>A partir de ahí, se refiere a la doctrina del Tribunal Constitucional relativa a la exigencia de responsabilidades por decisiones de órganos de la Unión Europea, siendo así que en el régimen que regula el artículo 7.1 a) de la Ley general de subvenciones las responsabilidades derivadas de las correcciones financieras han sido determinadas por actos de las instituciones europeas. Responde a continuación a las tres cuestiones que se plantean:</w:t>
      </w:r>
    </w:p>
    <w:p w:rsidR="00163957" w:rsidRDefault="00163957" w:rsidP="00163957">
      <w:pPr>
        <w:pStyle w:val="TextoNormal"/>
      </w:pPr>
    </w:p>
    <w:p w:rsidR="00163957" w:rsidRDefault="00163957" w:rsidP="00163957">
      <w:pPr>
        <w:pStyle w:val="TextoNormal"/>
      </w:pPr>
      <w:r>
        <w:t xml:space="preserve">En primer lugar, sobre que la Administración a quien se imputa la sanción no haya sido oída en el procedimiento que da lugar a la misma, alega que la regulación contenida en la norma que se recurre no se extiende a regular el procedimiento de imposición de sanciones que, como no podía ser de otro modo, se regula por la normativa europea. En todo caso, es reiterada la doctrina constitucional en el sentido de que la responsabilidad financiera </w:t>
      </w:r>
      <w:r w:rsidRPr="00163957">
        <w:rPr>
          <w:i/>
        </w:rPr>
        <w:t>ad extra</w:t>
      </w:r>
      <w:r>
        <w:t xml:space="preserve"> del Estado como consecuencia de irregularidades o negligencias imputables a las administraciones no le impide repercutir la misma sobre éstas (se cita, entre otras, la STC 79/1992, FJ 5).</w:t>
      </w:r>
    </w:p>
    <w:p w:rsidR="00163957" w:rsidRDefault="00163957" w:rsidP="00163957">
      <w:pPr>
        <w:pStyle w:val="TextoNormal"/>
      </w:pPr>
    </w:p>
    <w:p w:rsidR="00163957" w:rsidRDefault="00163957" w:rsidP="00163957">
      <w:pPr>
        <w:pStyle w:val="TextoNormal"/>
      </w:pPr>
      <w:r>
        <w:t>En segundo lugar, tampoco supone una invasión competencial el hecho de que la competencia para derivar la responsabilidad se atribuya al Consejo de Ministros, que asume la función de declarar la responsabilidad en tanto que órgano competente para ello, y previa audiencia de la administración afectada. Se trata de una organización interna que encuentra acomodo en el ámbito competencial del Estado como se desprende de la doctrina constitucional citando en ese sentido la STC 130/2013, de 4 de junio, FJ 9.</w:t>
      </w:r>
    </w:p>
    <w:p w:rsidR="00163957" w:rsidRDefault="00163957" w:rsidP="00163957">
      <w:pPr>
        <w:pStyle w:val="TextoNormal"/>
      </w:pPr>
    </w:p>
    <w:p w:rsidR="00163957" w:rsidRDefault="00163957" w:rsidP="00163957">
      <w:pPr>
        <w:pStyle w:val="TextoNormal"/>
      </w:pPr>
      <w:r>
        <w:t>Por último, se remite a las alegaciones hechas valer en el recurso de inconstitucionalidad registrado con el número 557-2013 contra la disposición adicional segunda de la Ley Orgánica 2/2012 que recoge en lo que sigue, finalizando por solicitar la desestimación íntegra del recurso.</w:t>
      </w:r>
    </w:p>
    <w:p w:rsidR="00163957" w:rsidRDefault="00163957" w:rsidP="00163957">
      <w:pPr>
        <w:pStyle w:val="TextoNormal"/>
      </w:pPr>
    </w:p>
    <w:p w:rsidR="00163957" w:rsidRDefault="00163957" w:rsidP="00163957">
      <w:pPr>
        <w:pStyle w:val="TextoNormal"/>
      </w:pPr>
      <w:r w:rsidRPr="00163957">
        <w:rPr>
          <w:rStyle w:val="NumeroAFNegritaCaracter"/>
        </w:rPr>
        <w:t>8</w:t>
      </w:r>
      <w:r>
        <w:t>. Mediante providencia de 12 de abril de 2016, 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el presente recurso de inconstitucionalidad el Gobierno de Canarias impugna la disposición final segunda del Real Decreto-ley 7/2013, de 28 de junio, de medidas urgentes de naturaleza tributaria, presupuestaria y de fomento de la investigación, el desarrollo y la innovación (en adelante, Real Decreto-ley 7/2013), norma que otorga nueva redacción al art. 7 de la Ley 38/2003, de 17 de noviembre, general de subvenciones.</w:t>
      </w:r>
    </w:p>
    <w:p w:rsidR="00163957" w:rsidRDefault="00163957" w:rsidP="00163957">
      <w:pPr>
        <w:pStyle w:val="TextoNormal"/>
      </w:pPr>
    </w:p>
    <w:p w:rsidR="00163957" w:rsidRDefault="00163957" w:rsidP="00163957">
      <w:pPr>
        <w:pStyle w:val="TextoNormal"/>
      </w:pPr>
      <w:r>
        <w:t>La demanda considera que el Real Decreto-ley carece de presupuesto habilitante, por lo que es contrario al art. 86.1 CE. En cuanto al fondo, la nueva redacción otorgada al artículo 7 de la Ley general de subvenciones vulnera la autonomía política y financiera de la Comunidad Autónoma de Canarias, incumpliendo además la reserva de ley orgánica de los arts. 81 y 135 CE.</w:t>
      </w:r>
    </w:p>
    <w:p w:rsidR="00163957" w:rsidRDefault="00163957" w:rsidP="00163957">
      <w:pPr>
        <w:pStyle w:val="TextoNormal"/>
      </w:pPr>
    </w:p>
    <w:p w:rsidR="00163957" w:rsidRDefault="00163957" w:rsidP="00163957">
      <w:pPr>
        <w:pStyle w:val="TextoNormal"/>
      </w:pPr>
      <w:r>
        <w:t>El Abogado del Estado considera que el recurso de inconstitucionalidad sólo se desarrolla en relación con el apartado 1 a) del artículo 7 de la Ley general de subvenciones, en la redacción dada por la disposición impugnada, y en la medida en que efectúa una remisión al régimen jurídico establecido en la disposición adicional segunda de la Ley Orgánica 2/2012, de 27 abril, de estabilidad presupuestaria y sostenibilidad financiera. Con respecto a este precepto, interesa la desestimación íntegra del recurso con los argumentos recogidos en el antecedente séptimo.</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abordar el fondo de las impugnaciones, debemos precisar el objeto de este proceso constitucional, comenzando por responder al óbice que plantea el Abogado del Estado.</w:t>
      </w:r>
    </w:p>
    <w:p w:rsidR="00163957" w:rsidRDefault="00163957" w:rsidP="00163957">
      <w:pPr>
        <w:pStyle w:val="TextoNormal"/>
      </w:pPr>
    </w:p>
    <w:p w:rsidR="00163957" w:rsidRDefault="00163957" w:rsidP="00163957">
      <w:pPr>
        <w:pStyle w:val="TextoNormal"/>
      </w:pPr>
      <w:r>
        <w:t xml:space="preserve">Efectivamente, y como por otro lado se afirma en la propia demanda, los argumentos desplegados están directamente conectados con lo alegado, en su día, en el recurso de inconstitucionalidad registrado con el número 557-2013, resuelto por la STC 215/2014, de 18 de diciembre, en relación con la citada disposición adicional segunda. La consecuencia de </w:t>
      </w:r>
      <w:r>
        <w:lastRenderedPageBreak/>
        <w:t>esta conexión es que la argumentación de la demanda se ciñe al citado apartado a) del artículo 7.1 de la Ley general de subvenciones, sin que se ofrezcan argumentos algunos acerca del resto del precepto, que se refiere a otros supuestos de responsabilidad.</w:t>
      </w:r>
    </w:p>
    <w:p w:rsidR="00163957" w:rsidRDefault="00163957" w:rsidP="00163957">
      <w:pPr>
        <w:pStyle w:val="TextoNormal"/>
      </w:pPr>
    </w:p>
    <w:p w:rsidR="00163957" w:rsidRDefault="00163957" w:rsidP="00163957">
      <w:pPr>
        <w:pStyle w:val="TextoNormal"/>
      </w:pPr>
      <w:r>
        <w:t>Como hemos reiterado tantas veces, “la impugnación de normas debe ir acompañada con una fundamentación que permita a las partes, a las que asiste el derecho de defensa (en este caso, al Abogado del Estado), así como a este Tribunal que ha de pronunciar Sentencia, conocer las razones por las cuales los recurrentes entienden que las disposiciones cuestionadas vulneran el orden constitucional. Cuando lo que se encuentra en juego es la depuración del ordenamiento jurídico resulta carga de los recurrentes, no sólo abrir la vía para que el Tribunal pueda pronunciarse, sino también colaborar con la justicia del Tribunal mediante un pormenorizado análisis de las cuestiones que se suscitan, por lo cual, si no se atiende esta exigencia, se falta a la diligencia procesalmente requerida. En suma la presunción de constitucionalidad de normas con rango de ley no puede desvirtuarse sin una argumentación suficiente, no siendo admisibles las impugnaciones globales carentes de un razonamiento desarrollado que las sustente” [STC 101/2013, de 23 de abril, FJ 11; en el mismo sentido SSTC 204/2011, de 15 de diciembre, FJ 2 b), y 100/2013, de 23 de abril, FJ 2 c)].</w:t>
      </w:r>
    </w:p>
    <w:p w:rsidR="00163957" w:rsidRDefault="00163957" w:rsidP="00163957">
      <w:pPr>
        <w:pStyle w:val="TextoNormal"/>
      </w:pPr>
    </w:p>
    <w:p w:rsidR="00163957" w:rsidRDefault="00163957" w:rsidP="00163957">
      <w:pPr>
        <w:pStyle w:val="TextoNormal"/>
      </w:pPr>
      <w:r>
        <w:t>Por tanto, y dado que la demanda no despliega un razonamiento individualizado con respecto de todo el artículo 7, sino que se centra únicamente en el apartado 1, letra a), sólo con respecto del mismo puede entenderse que se levanta adecuadamente la carga procesal oportuna, por lo que el enjuiciamiento se ceñirá al citado inciso, cuyo tenor es el siguiente:</w:t>
      </w:r>
    </w:p>
    <w:p w:rsidR="00163957" w:rsidRDefault="00163957" w:rsidP="00163957">
      <w:pPr>
        <w:pStyle w:val="TextoNormal"/>
      </w:pPr>
    </w:p>
    <w:p w:rsidR="00163957" w:rsidRDefault="00163957" w:rsidP="00163957">
      <w:pPr>
        <w:pStyle w:val="TextoNormal"/>
      </w:pPr>
      <w:r>
        <w:t>“a) La responsabilidad de los sujetos previstos en la disposición adicional segunda de la Ley Orgánica 2/2012, de 27 de abril de Estabilidad presupuestaria y Sostenibilidad Financiera, que tenga su origen en correcciones financieras acordadas mediante sentencias, actos o decisiones dictados por las instituciones europeas se determinará y repercutirá conforme al régimen establecido en la citada ley y su normativa de desarrollo”.</w:t>
      </w:r>
    </w:p>
    <w:p w:rsidR="00163957" w:rsidRDefault="00163957" w:rsidP="00163957">
      <w:pPr>
        <w:pStyle w:val="TextoNormal"/>
      </w:pPr>
    </w:p>
    <w:p w:rsidR="00163957" w:rsidRDefault="00163957" w:rsidP="00163957">
      <w:pPr>
        <w:pStyle w:val="TextoNormal"/>
      </w:pPr>
      <w:r w:rsidRPr="00163957">
        <w:rPr>
          <w:rStyle w:val="NumeroAFNegritaCaracter"/>
        </w:rPr>
        <w:t>3</w:t>
      </w:r>
      <w:r>
        <w:t>. Planteado en estos términos el debate, debemos centrarnos, en primer lugar, en si concurre o no en la disposición final segunda del Real Decreto-ley 7/2013, el presupuesto de la extraordinaria y urgente necesidad establecido por el art. 86.1 CE.</w:t>
      </w:r>
    </w:p>
    <w:p w:rsidR="00163957" w:rsidRDefault="00163957" w:rsidP="00163957">
      <w:pPr>
        <w:pStyle w:val="TextoNormal"/>
      </w:pPr>
    </w:p>
    <w:p w:rsidR="00163957" w:rsidRDefault="00163957" w:rsidP="00163957">
      <w:pPr>
        <w:pStyle w:val="TextoNormal"/>
      </w:pPr>
      <w:r>
        <w:t>Como ha quedado expuesto, la demanda considera que la medida se justifica en aras a conseguir la coherencia de la Ley general de subvenciones y la Ley Orgánica 2/2012, sin que se haga indicación alguna, ni en la exposición de motivos ni en la memoria de la norma, acerca de las notas de urgencia y carácter extraordinario. Si bien en el debate de convalidación el Ministro de Hacienda y Administraciones Públicas se refirió a la urgencia de la medida, ello se concretó en la existencia de condenas al Reino de España y la necesidad de la pronta iniciación de los correspondientes procedimientos de repercusión de responsabilidades. Sin embargo, no sólo no es novedoso que el Reino de España resulte condenado por incumplimiento de las obligaciones derivadas del Derecho comunitario, sino que sobre todo había transcurrido tiempo sobrado desde la entrada en vigor de la citada Ley Orgánica 2/2012, para que el Gobierno del Estado hubiera iniciado la modificación oportuna de adaptación de los textos legales a la citada Ley Orgánica.</w:t>
      </w:r>
    </w:p>
    <w:p w:rsidR="00163957" w:rsidRDefault="00163957" w:rsidP="00163957">
      <w:pPr>
        <w:pStyle w:val="TextoNormal"/>
      </w:pPr>
    </w:p>
    <w:p w:rsidR="00163957" w:rsidRDefault="00163957" w:rsidP="00163957">
      <w:pPr>
        <w:pStyle w:val="TextoNormal"/>
      </w:pPr>
      <w:r>
        <w:t xml:space="preserve">El Abogado del Estado se opone a ello refiriéndose a la especial aptitud del real decreto-ley para atender a coyunturas problemáticas, con cita de la STC 1/2012, de 13 de enero, FJ </w:t>
      </w:r>
      <w:r>
        <w:lastRenderedPageBreak/>
        <w:t>6. Añade que en la exposición de motivos de la norma impugnada se hace una mención expresa al presupuesto habilitante afirmándose que “en el conjunto y en cada una de las medidas que se adoptan, concurren, por su naturaleza y finalidad… las circunstancias de extraordinaria y urgente necesidad”. Por último, alega que la intervención del Ministro de Hacienda y Administraciones Públicas en el debate de convalidación en el Congreso de los Diputados permite dar por cumplido, con carácter formal, el citado presupuesto habilitante.</w:t>
      </w:r>
    </w:p>
    <w:p w:rsidR="00163957" w:rsidRDefault="00163957" w:rsidP="00163957">
      <w:pPr>
        <w:pStyle w:val="TextoNormal"/>
      </w:pPr>
    </w:p>
    <w:p w:rsidR="00163957" w:rsidRDefault="00163957" w:rsidP="00163957">
      <w:pPr>
        <w:pStyle w:val="TextoNormal"/>
      </w:pPr>
      <w:r w:rsidRPr="00163957">
        <w:rPr>
          <w:rStyle w:val="NumeroAFNegritaCaracter"/>
        </w:rPr>
        <w:t>4</w:t>
      </w:r>
      <w:r>
        <w:t>. De acuerdo con nuestra doctrina sobre el presupuesto habilitante exigido por el art. 86.1 CE, (recogida entre muchas otras en las SSTC 182/1997, de 28 de octubre, FJ 3; 137/2011, de 14 de septiembre; 39/2013, de 14 de febrero; 96/2014, de 12 de junio, FJ 5; 183/2014, de 6 de noviembre; 12/2015, de 5 de febrero; 27 y 29/2015, ambas de 19 de febrero; 47/2015 y 48/2015, ambas de 5 de marzo; 81/2015, de 30 de abril, FJ 2; 156/2015, de 9 de julio, y recientemente, 211/2015, de 8 de octubre de 2015, FJ 4), dicho precepto establece una habilitación al Gobierno para dictar normas con fuerza de ley, pero en la medida en que supone sustituir en su función al Parlamento, es una facultad excepcional al procedimiento legislativo ordinario que en consecuencia se encuentra sometida a estrictos requisitos. En concreto, es precisa la concurrencia de conexión entre la facultad legislativa excepcional y la existencia del presupuesto habilitante, o lo que es lo mismo, que se trate de una situación “de extraordinaria y urgente necesidad”.</w:t>
      </w:r>
    </w:p>
    <w:p w:rsidR="00163957" w:rsidRDefault="00163957" w:rsidP="00163957">
      <w:pPr>
        <w:pStyle w:val="TextoNormal"/>
      </w:pPr>
    </w:p>
    <w:p w:rsidR="00163957" w:rsidRDefault="00163957" w:rsidP="00163957">
      <w:pPr>
        <w:pStyle w:val="TextoNormal"/>
      </w:pPr>
      <w:r>
        <w:t>Esta cláusula no está vacía de contenido, si bien la función de este Tribunal es llevar a cabo un control externo, verificando, pero sin sustituirlo, el juicio político o de oportunidad que corresponde primordialmente al Gobierno y al Congreso de los Diputados en el ejercicio de la función de control parlamentario (art. 86.2 CE).</w:t>
      </w:r>
    </w:p>
    <w:p w:rsidR="00163957" w:rsidRDefault="00163957" w:rsidP="00163957">
      <w:pPr>
        <w:pStyle w:val="TextoNormal"/>
      </w:pPr>
    </w:p>
    <w:p w:rsidR="00163957" w:rsidRDefault="00163957" w:rsidP="00163957">
      <w:pPr>
        <w:pStyle w:val="TextoNormal"/>
      </w:pPr>
      <w:r>
        <w:t>Tal control externo acerca del cumplimiento de la cláusula de la “extraordinaria y urgente necesidad” implica, que la medida deba superar una exigencia doble; de una parte, deberá comprobarse que el Gobierno ha identificado, de manera explícita y razonada, que concurre una singular situación de extraordinaria y urgente necesidad. En este sentido, este Tribunal ha reiterado que no es imprescindible que la definición expresa de la extraordinaria y urgente necesidad se contenga en el propio Real Decreto-ley, sino que tal presupuesto cabe deducirlo igualmente de una pluralidad de elementos, debiendo valorarse conjuntamente aquellos factores que condujeron al Gobierno a dictar la disposición legal excepcional y que son, básicamente, “los que quedan reflejados en la exposición de motivos de la norma, a lo largo del debate parlamentario de convalidación, y en el propio expediente de elaboración de la misma” (STC 142/2014, de 11 de septiembre, FJ 3, con cita de las SSTC 29/1982, de 31 de mayo, FJ 4; 182/1997, de 28 de octubre, FJ 4; 11/2002, de 17 de enero, FJ 4, y 137/2003, de 3 de julio, FJ 3).</w:t>
      </w:r>
    </w:p>
    <w:p w:rsidR="00163957" w:rsidRDefault="00163957" w:rsidP="00163957">
      <w:pPr>
        <w:pStyle w:val="TextoNormal"/>
      </w:pPr>
    </w:p>
    <w:p w:rsidR="00163957" w:rsidRDefault="00163957" w:rsidP="00163957">
      <w:pPr>
        <w:pStyle w:val="TextoNormal"/>
      </w:pPr>
      <w:r>
        <w:t>De otra parte, deberá verificarse que existe efectivamente una adecuada conexión de sentido entre la situación de necesidad definida y las medidas adoptadas mediante la norma de urgencia, que deben así ser congruentes con la situación que se trata de afrontar.</w:t>
      </w:r>
    </w:p>
    <w:p w:rsidR="00163957" w:rsidRDefault="00163957" w:rsidP="00163957">
      <w:pPr>
        <w:pStyle w:val="TextoNormal"/>
      </w:pPr>
    </w:p>
    <w:p w:rsidR="00163957" w:rsidRDefault="00163957" w:rsidP="00163957">
      <w:pPr>
        <w:pStyle w:val="TextoNormal"/>
      </w:pPr>
      <w:r w:rsidRPr="00163957">
        <w:rPr>
          <w:rStyle w:val="NumeroAFNegritaCaracter"/>
        </w:rPr>
        <w:t>5</w:t>
      </w:r>
      <w:r>
        <w:t>. A partir de la doctrina anterior, debe ahora analizarse si concurre en la medida a la que se refiere la disposición final segunda del Real Decreto-ley 7/2013 en el doble sentido señalado, el presupuesto habilitante de la “extraordinaria y urgente necesidad”, exigida por el art. 86.1 CE.</w:t>
      </w:r>
    </w:p>
    <w:p w:rsidR="00163957" w:rsidRDefault="00163957" w:rsidP="00163957">
      <w:pPr>
        <w:pStyle w:val="TextoNormal"/>
      </w:pPr>
    </w:p>
    <w:p w:rsidR="00163957" w:rsidRDefault="00163957" w:rsidP="00163957">
      <w:pPr>
        <w:pStyle w:val="TextoNormal"/>
      </w:pPr>
      <w:r>
        <w:lastRenderedPageBreak/>
        <w:t>Para examinar la concurrencia del citado doble requisito, la extraordinaria y urgente necesidad, de una parte, y la conexión de sentido entre dicha urgencia y la medida adoptada, de otra, han de tenerse en cuenta como ha quedado expuesto las circunstancias que rodearon la adopción del citado precepto, comenzando por los motivos hechos explícitos por el Gobierno, tanto en el momento de la aprobación del propio instrumento normativo como en el debate posterior de convalidación.</w:t>
      </w:r>
    </w:p>
    <w:p w:rsidR="00163957" w:rsidRDefault="00163957" w:rsidP="00163957">
      <w:pPr>
        <w:pStyle w:val="TextoNormal"/>
      </w:pPr>
    </w:p>
    <w:p w:rsidR="00163957" w:rsidRDefault="00163957" w:rsidP="00163957">
      <w:pPr>
        <w:pStyle w:val="TextoNormal"/>
      </w:pPr>
      <w:r>
        <w:t>En primer lugar, en la exposición de motivos del Real Decreto-ley 7/2013, se contiene una justificación general, afirmándose que “en el conjunto y en cada una de las medidas que se adoptan, concurren, por su naturaleza y finalidad, tal como se ha ido explicando en los apartados anteriores, las circunstancias de extraordinaria y urgente necesidad que exige el artículo 86 de la Constitución Española como presupuestos habilitantes para la aprobación de un Real Decreto-ley” (apartado VII).</w:t>
      </w:r>
    </w:p>
    <w:p w:rsidR="00163957" w:rsidRDefault="00163957" w:rsidP="00163957">
      <w:pPr>
        <w:pStyle w:val="TextoNormal"/>
      </w:pPr>
    </w:p>
    <w:p w:rsidR="00163957" w:rsidRDefault="00163957" w:rsidP="00163957">
      <w:pPr>
        <w:pStyle w:val="TextoNormal"/>
      </w:pPr>
      <w:r>
        <w:t>A partir de ahí, las diferentes medidas incluidas en el Real Decreto-ley tienen su justificación propia en función de su específica naturaleza, pues la norma adopta medidas de diversa índole.</w:t>
      </w:r>
    </w:p>
    <w:p w:rsidR="00163957" w:rsidRDefault="00163957" w:rsidP="00163957">
      <w:pPr>
        <w:pStyle w:val="TextoNormal"/>
      </w:pPr>
    </w:p>
    <w:p w:rsidR="00163957" w:rsidRDefault="00163957" w:rsidP="00163957">
      <w:pPr>
        <w:pStyle w:val="TextoNormal"/>
      </w:pPr>
      <w:r>
        <w:t>En este pleito, y como ha quedado expuesto, la vulneración del presupuesto de hecho habilitante se imputa solo a la citada disposición final, por lo que lo único relevante es la justificación específica que se refiere a este precepto (STC 29/2015, FJ 3, por todas). Pues bien, la regulación de la medida se justifica en el apartado V en los siguientes términos:</w:t>
      </w:r>
    </w:p>
    <w:p w:rsidR="00163957" w:rsidRDefault="00163957" w:rsidP="00163957">
      <w:pPr>
        <w:pStyle w:val="TextoNormal"/>
      </w:pPr>
    </w:p>
    <w:p w:rsidR="00163957" w:rsidRDefault="00163957" w:rsidP="00163957">
      <w:pPr>
        <w:pStyle w:val="TextoNormal"/>
      </w:pPr>
      <w:r>
        <w:t>“La Ley Orgánica 2/2012, de 27 de abril, de Estabilidad Presupuestaria y Sostenibilidad Financiera, regula en su disposición adicional segunda la responsabilidad por incumplimiento de normas de Derecho comunitario, estableciendo que las Administraciones Públicas y cualesquiera otras entidades integrantes del sector público que, en el ejercicio de sus competencias, incumplieran obligaciones derivadas de normas del derecho de la Unión Europea, dando lugar a que el Reino de España sea sancionado por las instituciones europeas, asumirán, en la parte que les sea imputable, las responsabilidades que se devenguen de tal incumplimiento. Asimismo, dispone que corresponde al Consejo de Ministros declarar la responsabilidad por dicho incumplimiento y acordar, en su caso, la compensación o retención que corresponda.</w:t>
      </w:r>
    </w:p>
    <w:p w:rsidR="00163957" w:rsidRDefault="00163957" w:rsidP="00163957">
      <w:pPr>
        <w:pStyle w:val="TextoNormal"/>
      </w:pPr>
    </w:p>
    <w:p w:rsidR="00163957" w:rsidRDefault="00163957" w:rsidP="00163957">
      <w:pPr>
        <w:pStyle w:val="TextoNormal"/>
      </w:pPr>
      <w:r>
        <w:t>Por otro lado, la Ley 38/2003, de 17 de noviembre, General de Subvenciones, regula en su artículo siete, la responsabilidad financiera derivada en materia de gestión de fondos procedentes de la Unión Europea, no ajustándose lo allí dispuesto a lo previsto en la citada disposición adicional segunda de la Ley Orgánica de Estabilidad Presupuestaria y Sostenibilidad Financiera.</w:t>
      </w:r>
    </w:p>
    <w:p w:rsidR="00163957" w:rsidRDefault="00163957" w:rsidP="00163957">
      <w:pPr>
        <w:pStyle w:val="TextoNormal"/>
      </w:pPr>
    </w:p>
    <w:p w:rsidR="00163957" w:rsidRDefault="00163957" w:rsidP="00163957">
      <w:pPr>
        <w:pStyle w:val="TextoNormal"/>
      </w:pPr>
      <w:r>
        <w:t>Por ello, es necesario llevar a cabo una modificación del citado artículo siete de la Ley General de Subvenciones, que se recoge en la disposición final segunda, estableciendo la competencia del Consejo de Ministros para resolver los procedimientos para la determinación y repercusión de la responsabilidad derivada del incumplimiento por parte de los sujetos integrantes del sector público de las obligaciones establecidas en la normativa europea, al mismo tiempo que se define el procedimiento aplicable para aquellos casos distintos a los previstos en la disposición adicional segunda de la Ley Orgánica de Estabilidad Presupuestaria y Sostenibilidad Financiera.</w:t>
      </w:r>
    </w:p>
    <w:p w:rsidR="00163957" w:rsidRDefault="00163957" w:rsidP="00163957">
      <w:pPr>
        <w:pStyle w:val="TextoNormal"/>
      </w:pPr>
    </w:p>
    <w:p w:rsidR="00163957" w:rsidRDefault="00163957" w:rsidP="00163957">
      <w:pPr>
        <w:pStyle w:val="TextoNormal"/>
      </w:pPr>
      <w:r>
        <w:t>Asimismo, se derogan aquellas normas que con carácter sectorial regulaban un procedimiento específico para la determinación y repercusión de las responsabilidades derivadas del incumplimiento de la normativa europea, eliminándose así la dispersión normativa existente en la materia.”</w:t>
      </w:r>
    </w:p>
    <w:p w:rsidR="00163957" w:rsidRDefault="00163957" w:rsidP="00163957">
      <w:pPr>
        <w:pStyle w:val="TextoNormal"/>
      </w:pPr>
    </w:p>
    <w:p w:rsidR="00163957" w:rsidRDefault="00163957" w:rsidP="00163957">
      <w:pPr>
        <w:pStyle w:val="TextoNormal"/>
      </w:pPr>
      <w:r>
        <w:t>La memoria justificativa del Real Decreto-ley, aportada por el Abogado del Estado, se refiere en sus páginas 4, 10 y 11 a la necesidad de adaptar el procedimiento previsto en la Ley general de subvenciones en materia de responsabilidad financiera derivada de la gestión de fondos procedentes de la Unión Europea a lo dispuesto en la disposición adicional segunda de la Ley Orgánica 2/2012, al mismo tiempo que se define el procedimiento aplicable para aquellos casos distintos a allí previstos.</w:t>
      </w:r>
    </w:p>
    <w:p w:rsidR="00163957" w:rsidRDefault="00163957" w:rsidP="00163957">
      <w:pPr>
        <w:pStyle w:val="TextoNormal"/>
      </w:pPr>
    </w:p>
    <w:p w:rsidR="00163957" w:rsidRDefault="00163957" w:rsidP="00163957">
      <w:pPr>
        <w:pStyle w:val="TextoNormal"/>
      </w:pPr>
      <w:r>
        <w:t>Finalmente, en el debate de convalidación del Real Decreto-ley ahora examinado (Cortes Generales. “Diario de Sesiones del Congreso de los Diputados.” Pleno y Diputación Permanente. X Legislatura. Año 2013, núm. 130. Sesión plenaria núm. 123, de 17 de julio, págs. 30 a 43) el Ministro de Hacienda y Administraciones Públicas defendió, en idénticos términos a los de la memoria justificativa, la necesidad de aprobar el citado Real Decreto-ley y adoptar una serie de medidas “que son necesarias, urgentes, extraordinarias, comprometidas algunas de ellas en el programa de estabilidad del Reino de España que abarca el periodo 2013-2016” (pág. 31).</w:t>
      </w:r>
    </w:p>
    <w:p w:rsidR="00163957" w:rsidRDefault="00163957" w:rsidP="00163957">
      <w:pPr>
        <w:pStyle w:val="TextoNormal"/>
      </w:pPr>
    </w:p>
    <w:p w:rsidR="00163957" w:rsidRDefault="00163957" w:rsidP="00163957">
      <w:pPr>
        <w:pStyle w:val="TextoNormal"/>
      </w:pPr>
      <w:r>
        <w:t>En cuanto a la medida aquí adoptada, su defensa se efectuó en los siguientes términos:</w:t>
      </w:r>
    </w:p>
    <w:p w:rsidR="00163957" w:rsidRDefault="00163957" w:rsidP="00163957">
      <w:pPr>
        <w:pStyle w:val="TextoNormal"/>
      </w:pPr>
    </w:p>
    <w:p w:rsidR="00163957" w:rsidRDefault="00163957" w:rsidP="00163957">
      <w:pPr>
        <w:pStyle w:val="TextoNormal"/>
      </w:pPr>
      <w:r>
        <w:t>“Es importante la modificación del artículo 7 de la Ley 38/2003, General de Subvenciones, de 17 de noviembre, mediante este real decreto. La citada modificación se refiere a la disposición adicional segunda de la Ley orgánica de estabilidad presupuestaria y sostenibilidad financiera, que regula la responsabilidad por incumplimiento de normas de derecho comunitario. Esta disposición es muy importante porque permite repercutir a las administraciones públicas que hayan incumplido la normativa europea todas aquellas sanciones impuestas al Reino de España derivadas de dicho incumplimiento. De forma que estamos concretando la responsabilidad de la Administración incumplidora, que es la que tendrá que sufragar los costes. La Ley General de Subvenciones regula a su vez, en su artículo 7, la responsabilidad financiera derivada en materia de gestión de fondos procedentes de la Unión Europea, no ajustándose el procedimiento allí previsto a lo dispuesto en la disposición adicional segunda de la Ley orgánica de estabilidad presupuestaria y sostenibilidad financiera. Es necesario modificar este artículo 7 con el objeto de establecer la competencia del Consejo de Ministros para resolver los procedimientos incluidos dentro del ámbito de aplicación de la disposición adicional segunda de la Ley orgánica de estabilidad presupuestaria y sostenibilidad financiera, regular el procedimiento y órgano competente aplicables en el cese de responsabilidades financieras distintas a las previstas en la disposición adicional segunda de la misma ley orgánica, y eliminar la dispersión normativa existente, que es excesivamente abundante y no tiene mayor sentido; todo ello urgente y necesario, ya que estos procedimientos de repercusión de responsabilidades deben iniciarse ya, pues el Reino de España ya ha sido condenado por incumplimiento de obligaciones en determinadas ocasiones, por tanto, hay que trasladarlas a la Administración competente.” (pág. 33).</w:t>
      </w:r>
    </w:p>
    <w:p w:rsidR="00163957" w:rsidRDefault="00163957" w:rsidP="00163957">
      <w:pPr>
        <w:pStyle w:val="TextoNormal"/>
      </w:pPr>
    </w:p>
    <w:p w:rsidR="00163957" w:rsidRDefault="00163957" w:rsidP="00163957">
      <w:pPr>
        <w:pStyle w:val="TextoNormal"/>
      </w:pPr>
      <w:r>
        <w:lastRenderedPageBreak/>
        <w:t>Del debate parlamentario posterior no se puede extraer ninguna información adicional que ayude a examinar si concurría en este caso el presupuesto habilitante.</w:t>
      </w:r>
    </w:p>
    <w:p w:rsidR="00163957" w:rsidRDefault="00163957" w:rsidP="00163957">
      <w:pPr>
        <w:pStyle w:val="TextoNormal"/>
      </w:pPr>
    </w:p>
    <w:p w:rsidR="00163957" w:rsidRDefault="00163957" w:rsidP="00163957">
      <w:pPr>
        <w:pStyle w:val="TextoNormal"/>
      </w:pPr>
      <w:r>
        <w:t>En conclusión, la urgente y extraordinaria necesidad que el Gobierno apreció como fundamento para la adopción de la medida ahora cuestionada se basaba en la necesidad de adaptar el art. 7 de la Ley general de subvenciones a lo dispuesto en la Ley Orgánica 2/2012, de estabilidad presupuestaria y sostenibilidad financiera, radicando la urgencia en la necesidad de que se inicien los procedimientos de repercusión de responsabilidades derivados de las condenas al Reino de España, de suerte que las mismas puedan ser trasladadas a la Administración competente.</w:t>
      </w:r>
    </w:p>
    <w:p w:rsidR="00163957" w:rsidRDefault="00163957" w:rsidP="00163957">
      <w:pPr>
        <w:pStyle w:val="TextoNormal"/>
      </w:pPr>
    </w:p>
    <w:p w:rsidR="00163957" w:rsidRDefault="00163957" w:rsidP="00163957">
      <w:pPr>
        <w:pStyle w:val="TextoNormal"/>
      </w:pPr>
      <w:r w:rsidRPr="00163957">
        <w:rPr>
          <w:rStyle w:val="NumeroAFNegritaCaracter"/>
        </w:rPr>
        <w:t>6</w:t>
      </w:r>
      <w:r>
        <w:t>. Para valorar la concurrencia de la situación de extraordinaria y urgente necesidad que, en los términos que se han expuesto, ha sido apreciada por el Gobierno, debemos partir de que la disposición final segunda del Real Decreto-ley 7/2013 ha modificado el art. 7 de la Ley general de subvenciones, intitulado “[r]esponsabilidad financiera derivada de la gestión de fondos procedentes de la Unión Europea”.</w:t>
      </w:r>
    </w:p>
    <w:p w:rsidR="00163957" w:rsidRDefault="00163957" w:rsidP="00163957">
      <w:pPr>
        <w:pStyle w:val="TextoNormal"/>
      </w:pPr>
    </w:p>
    <w:p w:rsidR="00163957" w:rsidRDefault="00163957" w:rsidP="00163957">
      <w:pPr>
        <w:pStyle w:val="TextoNormal"/>
      </w:pPr>
      <w:r>
        <w:t>El art. 7 de la Ley general de subvenciones establecía ya en su redacción originaria el mandato de que las Administraciones públicas que gestionaran o controlaran fondos procedentes de la Unión Europea estaban obligadas a asumir la responsabilidad pertinente derivada de tales actuaciones.</w:t>
      </w:r>
    </w:p>
    <w:p w:rsidR="00163957" w:rsidRDefault="00163957" w:rsidP="00163957">
      <w:pPr>
        <w:pStyle w:val="TextoNormal"/>
      </w:pPr>
    </w:p>
    <w:p w:rsidR="00163957" w:rsidRDefault="00163957" w:rsidP="00163957">
      <w:pPr>
        <w:pStyle w:val="TextoNormal"/>
      </w:pPr>
      <w:r>
        <w:t>La disposición recurrida introduce las siguientes modificaciones:</w:t>
      </w:r>
    </w:p>
    <w:p w:rsidR="00163957" w:rsidRDefault="00163957" w:rsidP="00163957">
      <w:pPr>
        <w:pStyle w:val="TextoNormal"/>
      </w:pPr>
    </w:p>
    <w:p w:rsidR="00163957" w:rsidRDefault="00163957" w:rsidP="00163957">
      <w:pPr>
        <w:pStyle w:val="TextoNormal"/>
      </w:pPr>
      <w:r>
        <w:t>— Mientras que la redacción originaria del art. 7.1 de la Ley general de subvenciones especificaba los diferentes fondos europeos, con referencia explícita a cada uno de ellos (“Fondo Europeo de Orientación y Garantía Agraria (secciones Orientación y Garantía), Fondo Europeo de Desarrollo Regional, Fondo Social Europeo, Instrumento Financiero de Orientación Pesquera y Fondo de Cohesión”), la vigente se refiere sin más a los “Fondos procedentes de la Unión Europea”, englobando por lo tanto todos los anteriores.</w:t>
      </w:r>
    </w:p>
    <w:p w:rsidR="00163957" w:rsidRDefault="00163957" w:rsidP="00163957">
      <w:pPr>
        <w:pStyle w:val="TextoNormal"/>
      </w:pPr>
    </w:p>
    <w:p w:rsidR="00163957" w:rsidRDefault="00163957" w:rsidP="00163957">
      <w:pPr>
        <w:pStyle w:val="TextoNormal"/>
      </w:pPr>
      <w:r>
        <w:t>— A continuación, se establecen dos regímenes diferenciados para hacer frente a dicha responsabilidad:</w:t>
      </w:r>
    </w:p>
    <w:p w:rsidR="00163957" w:rsidRDefault="00163957" w:rsidP="00163957">
      <w:pPr>
        <w:pStyle w:val="TextoNormal"/>
      </w:pPr>
    </w:p>
    <w:p w:rsidR="00163957" w:rsidRDefault="00163957" w:rsidP="00163957">
      <w:pPr>
        <w:pStyle w:val="TextoNormal"/>
      </w:pPr>
      <w:r>
        <w:t>El primero, regulado en la letra a), se remite a la citada disposición adicional segunda de la Ley Orgánica 2/2012, disponiendo que “[l]a responsabilidad de los sujetos previstos en la Disposición Adicional segunda de la Ley Orgánica 2/2012, de 27 de abril de Estabilidad presupuestaria y Sostenibilidad Financiera, que tenga su origen en correcciones financieras acordadas mediante sentencias, actos o decisiones dictados por las instituciones europeas se determinará y repercutirá conforme al régimen establecido en la citada ley y su normativa de desarrollo”.</w:t>
      </w:r>
    </w:p>
    <w:p w:rsidR="00163957" w:rsidRDefault="00163957" w:rsidP="00163957">
      <w:pPr>
        <w:pStyle w:val="TextoNormal"/>
      </w:pPr>
    </w:p>
    <w:p w:rsidR="00163957" w:rsidRDefault="00163957" w:rsidP="00163957">
      <w:pPr>
        <w:pStyle w:val="TextoNormal"/>
      </w:pPr>
      <w:r>
        <w:t>El segundo régimen, contenido en la letra b), se refiere a los demás casos, estableciéndose entonces el procedimiento para determinar la responsabilidad en el título II de la Ley general de subvenciones.</w:t>
      </w:r>
    </w:p>
    <w:p w:rsidR="00163957" w:rsidRDefault="00163957" w:rsidP="00163957">
      <w:pPr>
        <w:pStyle w:val="TextoNormal"/>
      </w:pPr>
    </w:p>
    <w:p w:rsidR="00163957" w:rsidRDefault="00163957" w:rsidP="00163957">
      <w:pPr>
        <w:pStyle w:val="TextoNormal"/>
      </w:pPr>
      <w:r>
        <w:lastRenderedPageBreak/>
        <w:t>Resumidamente, lo que hace la nueva redacción del artículo 7.1 a) —única a la que se extiende el examen según lo expuesto en el fundamento segundo—, es precisar que la responsabilidad de los sujetos previstos en la citada disposición adicional segunda, esto es, las Administraciones públicas y cualesquiera otras entidades mencionadas en el apartado 2 del artículo 2, por incumplimiento de obligaciones derivadas de normas del derecho de la Unión Europea, será determinada y repercutida de acuerdo con lo establecido en dicha Ley Orgánica 2/2012.</w:t>
      </w:r>
    </w:p>
    <w:p w:rsidR="00163957" w:rsidRDefault="00163957" w:rsidP="00163957">
      <w:pPr>
        <w:pStyle w:val="TextoNormal"/>
      </w:pPr>
    </w:p>
    <w:p w:rsidR="00163957" w:rsidRDefault="00163957" w:rsidP="00163957">
      <w:pPr>
        <w:pStyle w:val="TextoNormal"/>
      </w:pPr>
      <w:r>
        <w:t>En consecuencia, el sistema de traslado de responsabilidad no se ve alterado sustancialmente con el nuevo artículo 7.1 a) de la Ley general de subvenciones, de manera que la modificación que en este precepto introduce la norma de urgencia no innova la regulación del régimen de traslado de responsabilidades en lo que se refiere a los posibles incumplimientos del Derecho de la Unión Europea. Su efecto, más limitado, radica en introducir una mejora técnica en la normativa ya existente, de suerte que se excluyen del régimen de los procedimientos contenidos en la Ley general de subvenciones aquellos supuestos que tengan su origen en correcciones financieras acordadas mediante sentencias, actos o decisiones dictados por las instituciones europeas. De modo que, si bien se clarifican los procedimientos, ya existía un procedimiento de traslado de responsabilidades.</w:t>
      </w:r>
    </w:p>
    <w:p w:rsidR="00163957" w:rsidRDefault="00163957" w:rsidP="00163957">
      <w:pPr>
        <w:pStyle w:val="TextoNormal"/>
      </w:pPr>
    </w:p>
    <w:p w:rsidR="00163957" w:rsidRDefault="00163957" w:rsidP="00163957">
      <w:pPr>
        <w:pStyle w:val="TextoNormal"/>
      </w:pPr>
      <w:r w:rsidRPr="00163957">
        <w:rPr>
          <w:rStyle w:val="NumeroAFNegritaCaracter"/>
        </w:rPr>
        <w:t>7</w:t>
      </w:r>
      <w:r>
        <w:t>. Así expuestas las razones exteriorizadas por el Gobierno, y descrita la medida normativa que se cuestiona, debemos concluir que, con arreglo a la doctrina de este Tribunal ya expuesta, no se ha dado cumplimiento al primero de los requisitos exigidos para utilizar este vehículo normativo que exige el art. 86.1 CE, ya que el Gobierno, a quien corresponde la carga de acreditar que concurre el presupuesto habilitante en la norma de urgencia, no ha explicitado de modo suficiente, ni en la exposición de motivos, ni tampoco en el trámite de convalidación parlamentaria del Real Decreto-ley, una argumentación sobre la necesaria urgencia de la medida.</w:t>
      </w:r>
    </w:p>
    <w:p w:rsidR="00163957" w:rsidRDefault="00163957" w:rsidP="00163957">
      <w:pPr>
        <w:pStyle w:val="TextoNormal"/>
      </w:pPr>
    </w:p>
    <w:p w:rsidR="00163957" w:rsidRDefault="00163957" w:rsidP="00163957">
      <w:pPr>
        <w:pStyle w:val="TextoNormal"/>
      </w:pPr>
      <w:r>
        <w:t>Como se ha constatado, ni en el preámbulo de la norma ni en la memoria de impacto normativo se hace referencia alguna a la situación de “extraordinaria y urgente necesidad”, limitándose uno y otra a reiterar la necesidad y la conveniencia de adaptar el artículo 7 de la Ley general de subvenciones a lo establecido en la Ley Orgánica 2/2012.</w:t>
      </w:r>
    </w:p>
    <w:p w:rsidR="00163957" w:rsidRDefault="00163957" w:rsidP="00163957">
      <w:pPr>
        <w:pStyle w:val="TextoNormal"/>
      </w:pPr>
    </w:p>
    <w:p w:rsidR="00163957" w:rsidRDefault="00163957" w:rsidP="00163957">
      <w:pPr>
        <w:pStyle w:val="TextoNormal"/>
      </w:pPr>
      <w:r>
        <w:t>Seguidamente, en el debate de convalidación, se ofrecen razones para justificar la concurrencia del presupuesto habilitante que se concretan también en dicha conveniencia de adaptar la Ley general de subvenciones a lo ya previamente establecido en la citada Ley Orgánica, añadiéndose que es necesario que puedan iniciarse los procedimientos de repercusión de responsabilidades toda vez que “el Reino de España ya ha sido condenado por incumplimiento de obligaciones en determinadas ocasiones, por tanto, hay que trasladarlas a la Administración competente”.</w:t>
      </w:r>
    </w:p>
    <w:p w:rsidR="00163957" w:rsidRDefault="00163957" w:rsidP="00163957">
      <w:pPr>
        <w:pStyle w:val="TextoNormal"/>
      </w:pPr>
    </w:p>
    <w:p w:rsidR="00163957" w:rsidRDefault="00163957" w:rsidP="00163957">
      <w:pPr>
        <w:pStyle w:val="TextoNormal"/>
      </w:pPr>
      <w:r>
        <w:t>Pues bien, lo cierto es que ya era posible realizar dicho traslado de responsabilidades con el marco jurídico vigente en el momento en el que se aprueba el Real Decreto-ley 7/2013.</w:t>
      </w:r>
    </w:p>
    <w:p w:rsidR="00163957" w:rsidRDefault="00163957" w:rsidP="00163957">
      <w:pPr>
        <w:pStyle w:val="TextoNormal"/>
      </w:pPr>
    </w:p>
    <w:p w:rsidR="00163957" w:rsidRDefault="00163957" w:rsidP="00163957">
      <w:pPr>
        <w:pStyle w:val="TextoNormal"/>
      </w:pPr>
      <w:r>
        <w:t xml:space="preserve">En efecto, y como ha quedado expuesto, la Ley Orgánica 2/2012 había establecido en su artículo 8 y en la disposición adicional segunda, un régimen jurídico de responsabilidad por incumplimiento de normas de Derecho comunitario, al que la nueva redacción del artículo 7.1 a) de la Ley general de subvenciones se remite. Este régimen permitía ya el traslado de </w:t>
      </w:r>
      <w:r>
        <w:lastRenderedPageBreak/>
        <w:t>responsabilidades derivadas de posibles condenas, siendo el Consejo de Ministros “el órgano competente para declarar las responsabilidades previstas en los apartados anteriores y acordar, en su caso, la compensación o retención de dichas deudas con las cantidades que deba transferir el Estado a la Administración o entidad responsable por cualquier concepto, presupuestario y no presupuestario” (disposición adicional segunda, apartado 2, de la citada Ley Orgánica 2/2012).</w:t>
      </w:r>
    </w:p>
    <w:p w:rsidR="00163957" w:rsidRDefault="00163957" w:rsidP="00163957">
      <w:pPr>
        <w:pStyle w:val="TextoNormal"/>
      </w:pPr>
    </w:p>
    <w:p w:rsidR="00163957" w:rsidRDefault="00163957" w:rsidP="00163957">
      <w:pPr>
        <w:pStyle w:val="TextoNormal"/>
      </w:pPr>
      <w:r>
        <w:t>En desarrollo de la citada disposición adicional segunda, y por habilitación expresa de su apartado 3, el Gobierno, en ejercicio de su competencia, había aprobado el Real Decreto 515/2013, de 5 de julio, por el que se regulan los criterios y el procedimiento para determinar y repercutir las responsabilidades por incumplimiento del Derecho de la Unión Europea norma que, según se expone en su preámbulo, “desarrolla un procedimiento general de determinación y repercusión de las responsabilidades derivadas de los incumplimientos del Derecho de la Unión Europea. La existencia del citado procedimiento general, supone una gran novedad en el ordenamiento jurídico español, ya que hasta la fecha sólo existían regulaciones dispersas y de carácter sectorial en determinadas materias, como son la gestión de fondos procedentes de la Unión Europea, los compromisos adquiridos en materia de estabilidad presupuestaria, en materia de aguas o los servicios del mercado interior”. A tales efectos, se arbitra allí un procedimiento para dar traslado de las responsabilidades en que se pudiera incurrir, correspondiendo la competencia al Consejo de Ministros para resolver el procedimiento (art. 7.2 del Real Decreto 515/2013), de acuerdo con lo previsto en la disposición adicional segunda, apartado 2, de la Ley Orgánica 2/2012.</w:t>
      </w:r>
    </w:p>
    <w:p w:rsidR="00163957" w:rsidRDefault="00163957" w:rsidP="00163957">
      <w:pPr>
        <w:pStyle w:val="TextoNormal"/>
      </w:pPr>
    </w:p>
    <w:p w:rsidR="00163957" w:rsidRDefault="00163957" w:rsidP="00163957">
      <w:pPr>
        <w:pStyle w:val="TextoNormal"/>
      </w:pPr>
      <w:r>
        <w:t>Este Tribunal ya se ha pronunciado tanto sobre la citada disposición adicional segunda, apartado 2, de la Ley Orgánica 2/2012 como sobre su desarrollo mediante el Real Decreto 515/2013, normas que, respectivamente, fueron impugnadas por el Gobierno de Canarias en el recurso de inconstitucionalidad registrado con el número 557-2013, desestimado mediante la STC 215/2014, de 18 de diciembre, y en el conflicto positivo de competencia núm. 6893-2013, que fue igualmente desestimado mediante nuestra STC 31/2016, de 18 de febrero, en aplicación de la doctrina sentada en la STC 215/2014.</w:t>
      </w:r>
    </w:p>
    <w:p w:rsidR="00163957" w:rsidRDefault="00163957" w:rsidP="00163957">
      <w:pPr>
        <w:pStyle w:val="TextoNormal"/>
      </w:pPr>
    </w:p>
    <w:p w:rsidR="00163957" w:rsidRDefault="00163957" w:rsidP="00163957">
      <w:pPr>
        <w:pStyle w:val="TextoNormal"/>
      </w:pPr>
      <w:r>
        <w:t>Pues bien, en esta última Sentencia ya constatamos que “[l]a previsión contenida en la disposición impugnada es desarrollo del principio de responsabilidad previsto en el art. 8 de la Ley Orgánica 2/2012, no impugnado en este proceso constitucional, conforme al cual, ‘las Administraciones Públicas que incumplan las obligaciones contenidas en esta Ley, así como las que provoquen o contribuyan a producir el incumplimiento de los compromisos asumidos por España de acuerdo con la normativa europea asumirán en la parte que les sea imputable las responsabilidades que de tal incumplimiento se hubiesen derivado’ (apartado 1). El desarrollo de ese principio de responsabilidad se ha visto posteriormente complementado por el Real Decreto 515/2013, de 5 de julio, por el que se regulan los criterios y el procedimiento para determinar y repercutir las responsabilidades por incumplimiento del Derecho de la Unión Europea” (STC 215/2014, FJ 9).</w:t>
      </w:r>
    </w:p>
    <w:p w:rsidR="00163957" w:rsidRDefault="00163957" w:rsidP="00163957">
      <w:pPr>
        <w:pStyle w:val="TextoNormal"/>
      </w:pPr>
    </w:p>
    <w:p w:rsidR="00163957" w:rsidRDefault="00163957" w:rsidP="00163957">
      <w:pPr>
        <w:pStyle w:val="TextoNormal"/>
      </w:pPr>
      <w:r>
        <w:t xml:space="preserve">Asimismo, también constatamos en dicha Sentencia que el sistema de repercusión de responsabilidades tenía su antecedente en la anterior normativa de estabilidad presupuestaria, de manera que dicho sistema de traslado de responsabilidad fue establecido por primera vez, en materia de estabilidad presupuestaria, en el art. 4 de la Ley Orgánica 5/2001, de 13 </w:t>
      </w:r>
      <w:r>
        <w:lastRenderedPageBreak/>
        <w:t>de diciembre, complementaria a la Ley general de estabilidad presupuestaria, que en su redacción original estableció que “[l]as Comunidades Autónomas que, incumpliendo las obligaciones contenidas en la presente Ley Orgánica o los acuerdos que, en su ejecución, fuesen adoptados por el Ministerio de Hacienda o por el Consejo de Política Fiscal y Financiera de las Comunidades Autónomas, provoquen o contribuyan a producir el incumplimiento de las obligaciones asumidas por España frente a la Unión Europea como consecuencia del Pacto de Estabilidad y Crecimiento, asumirán en la parte que les sea imputable las responsabilidades que de tal incumplimiento se hubiesen derivado”. Con posterioridad, tras su reforma mediante el artículo único.5 de la Ley Orgánica 3/2006, de 26 de mayo, dicho procedimiento se trasladó al artículo 7, apartado 4, manteniéndose la redacción.</w:t>
      </w:r>
    </w:p>
    <w:p w:rsidR="00163957" w:rsidRDefault="00163957" w:rsidP="00163957">
      <w:pPr>
        <w:pStyle w:val="TextoNormal"/>
      </w:pPr>
    </w:p>
    <w:p w:rsidR="00163957" w:rsidRDefault="00163957" w:rsidP="00163957">
      <w:pPr>
        <w:pStyle w:val="TextoNormal"/>
      </w:pPr>
      <w:r>
        <w:t xml:space="preserve">La conclusión de lo anterior es que en el momento en que se aprobó el Real Decreto-ley 7/2013, en nuestro ordenamiento jurídico ya existía un sistema que permite al Estado repercutir </w:t>
      </w:r>
      <w:r w:rsidRPr="00163957">
        <w:rPr>
          <w:i/>
        </w:rPr>
        <w:t>ad intra</w:t>
      </w:r>
      <w:r>
        <w:t xml:space="preserve"> la responsabilidad que en cada caso proceda, sobre el que este Tribunal ha tenido además ocasión de pronunciarse en diversas ocasiones, tanto con respecto de la vigente Ley Orgánica 2/2012 (STC 215/2014), como en relación con los sistemas previamente establecidos en la Ley Orgánica 5/2001, de 13 de diciembre, complementaria a Ley general de estabilidad presupuestaria, y en la Ley 18/2001, de 12 de diciembre, general de estabilidad presupuestaria (SSTC 188/2011, de 23 de noviembre, FJ 9; 196/2011, de 13 de diciembre, FJ 11; 198/2011, de 13 de diciembre, FJ 15); o, finalmente, en relación con la propia Ley general de subvenciones [STC 130/2013, de 4 de junio, FJ 9 D)].</w:t>
      </w:r>
    </w:p>
    <w:p w:rsidR="00163957" w:rsidRDefault="00163957" w:rsidP="00163957">
      <w:pPr>
        <w:pStyle w:val="TextoNormal"/>
      </w:pPr>
    </w:p>
    <w:p w:rsidR="00163957" w:rsidRDefault="00163957" w:rsidP="00163957">
      <w:pPr>
        <w:pStyle w:val="TextoNormal"/>
      </w:pPr>
      <w:r>
        <w:t>A ello hay que añadir, como se ha concluido en el fundamento anterior, que dicho sistema de responsabilidad no es modificado con el nuevo art. 7.1 a) de la Ley general de subvenciones, que se limita a introducir una mejora técnica.</w:t>
      </w:r>
    </w:p>
    <w:p w:rsidR="00163957" w:rsidRDefault="00163957" w:rsidP="00163957">
      <w:pPr>
        <w:pStyle w:val="TextoNormal"/>
      </w:pPr>
    </w:p>
    <w:p w:rsidR="00163957" w:rsidRDefault="00163957" w:rsidP="00163957">
      <w:pPr>
        <w:pStyle w:val="TextoNormal"/>
      </w:pPr>
      <w:r>
        <w:t>Sin enjuiciar la necesidad, conveniencia u oportunidad de introducir dicha modificación normativa, lo relevante a efectos de este proceso es que no ha quedado acreditada la existencia de urgente y extraordinaria necesidad. En concreto nada impedía, con anterioridad a la adopción de la norma de urgencia, que pudieran iniciarse los procedimientos de repercusión de responsabilidades que fueran necesarios para que las condenas al Reino de España por incumplimiento de obligaciones fueran trasladadas a la Administración competente.</w:t>
      </w:r>
    </w:p>
    <w:p w:rsidR="00163957" w:rsidRDefault="00163957" w:rsidP="00163957">
      <w:pPr>
        <w:pStyle w:val="TextoNormal"/>
      </w:pPr>
    </w:p>
    <w:p w:rsidR="00163957" w:rsidRDefault="00163957" w:rsidP="00163957">
      <w:pPr>
        <w:pStyle w:val="TextoNormal"/>
      </w:pPr>
      <w:r>
        <w:t xml:space="preserve">De esta manera, y puesto que la urgente y extraordinaria necesidad se concreta en la necesidad de trasladar estas condenas pecuniarias a quien sea responsable del incumplimiento, una vez constatado que existía ya un mecanismo para cumplir dicho objetivo sólo cabe concluir que no se ha cumplido el presupuesto habilitante ya que, primero, la medida adoptada carece del carácter extraordinario que este mecanismo excepcional debe de tener; y, segundo, no se ha acreditado la urgencia de introducir una mejora técnica en el artículo 7.1 a) de la Ley general de subvenciones. En suma, no se han hecho explícitas las razones que justificaron la selección, para esta medida concreta, de un plazo más breve que el requerido para la tramitación parlamentaria de las leyes, sea por el procedimiento ordinario o por el de urgencia. Como tantas veces hemos reiterado, “aun cuando hemos descartado también que la utilización por el Gobierno de su potestad legislativa extraordinaria deba circunscribirse a situaciones de fuerza mayor o de emergencia, es lo cierto que hemos exigido la concurrencia de ciertas notas de excepcionalidad, gravedad, relevancia e imprevisibilidad que determinen la necesidad de una acción normativa inmediata en un plazo más breve que </w:t>
      </w:r>
      <w:r>
        <w:lastRenderedPageBreak/>
        <w:t>el requerido para la tramitación parlamentaria de las leyes, bien sea por el procedimiento ordinario o por el de urgencia” (STC 137/2011, de 14 de septiembre, FJ 7).</w:t>
      </w:r>
    </w:p>
    <w:p w:rsidR="00163957" w:rsidRDefault="00163957" w:rsidP="00163957">
      <w:pPr>
        <w:pStyle w:val="TextoNormal"/>
      </w:pPr>
    </w:p>
    <w:p w:rsidR="00163957" w:rsidRDefault="00163957" w:rsidP="00163957">
      <w:pPr>
        <w:pStyle w:val="TextoNormal"/>
      </w:pPr>
      <w:r>
        <w:t>No desvirtúa la anterior conclusión la referencia a las coyunturas problemáticas que hace el Abogado del Estado. Ciertamente, y como afirma en su escrito y hemos recordado en la STC 156/2015, de 9 de julio, este Tribunal ha admitido el uso del decreto-ley en situaciones que hemos denominado como “coyunturas económicas problemáticas”, que son aquéllas en las que sea imprescindible el uso de la legislación de urgencia para subvenir a “situaciones concretas de los objetivos gubernamentales que por razones difíciles de prever requieran una acción normativa inmediata en un plazo más breve que el requerido por la vía normal o por el procedimiento de urgencia para la tramitación parlamentaria de las leyes” (STC 156/2015, FJ 4; con cita de las SSTC 31/2011, de 17 de marzo, FJ 4; 137/2011, de 14 de septiembre, FJ 6, y 100/2012, de 8 de mayo, FJ 8). Ahora bien, por lo ya concluido, es evidente que la medida impugnada no puede sin más justificarse por relación a las citadas coyunturas problemáticas, fundamentalmente porque, como hemos constatado, su contenido normativo tiene un limitado alcance de innovación del ordenamiento jurídico, de suerte que la coyuntura de incumplimiento de la normativa de estabilidad presupuestaria, a que se refiere el Abogado del Estado en su escrito, había sido abordada extensamente en la citada Ley Orgánica 2/2012, en los términos expuestos.</w:t>
      </w:r>
    </w:p>
    <w:p w:rsidR="00163957" w:rsidRDefault="00163957" w:rsidP="00163957">
      <w:pPr>
        <w:pStyle w:val="TextoNormal"/>
      </w:pPr>
    </w:p>
    <w:p w:rsidR="00163957" w:rsidRDefault="00163957" w:rsidP="00163957">
      <w:pPr>
        <w:pStyle w:val="TextoNormal"/>
      </w:pPr>
      <w:r w:rsidRPr="00163957">
        <w:rPr>
          <w:rStyle w:val="NumeroAFNegritaCaracter"/>
        </w:rPr>
        <w:t>8</w:t>
      </w:r>
      <w:r>
        <w:t>. En suma, a la vista de las circunstancias concurrentes y de las razones expuestas, hemos de concluir que en este caso el Gobierno no ha aportado una justificación suficiente que permita apreciar la existencia del presupuesto habilitante de la extraordinaria y urgente necesidad requerido por el art. 86.1 CE para el uso de la legislación de urgencia en relación con la disposición final segunda del Real Decreto-ley 7/2013, de 28 de junio, de medidas urgentes de naturaleza tributaria, presupuestaria y de fomento de la investigación, el desarrollo y la innovación, en la nueva redacción que otorga al art. 7.1 a) de la Ley 38/2003, de 17 de noviembre, general de subvenciones, lo que ha de determinar la declaración de inconstitucionalidad y nulidad de dicha disposición.</w:t>
      </w:r>
    </w:p>
    <w:p w:rsidR="00163957" w:rsidRDefault="00163957" w:rsidP="00163957">
      <w:pPr>
        <w:pStyle w:val="TextoNormal"/>
      </w:pPr>
    </w:p>
    <w:p w:rsidR="00163957" w:rsidRDefault="00163957" w:rsidP="00163957">
      <w:pPr>
        <w:pStyle w:val="TextoNormal"/>
      </w:pPr>
      <w:r>
        <w:t>La estimación de este primer motivo del recurso de inconstitucionalidad convierte en innecesario, como antes hemos señalado, el enjuiciamiento del resto de los motivos impugnatorios, no siendo tampoco preciso profundizar en el examen del segundo aspecto de los presupuestos exigidos por nuestra doctrina para reconocer la adecuación constitucional del uso por el Gobierno de esta modalidad legislativa, esto es si concurre la adecuada conexión entre la situación de urgencia apreciada y su correspondencia con las medidas legislativas adoptadas.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lastRenderedPageBreak/>
        <w:t>Ha decidido</w:t>
      </w:r>
    </w:p>
    <w:p w:rsidR="00163957" w:rsidRDefault="00163957" w:rsidP="00163957">
      <w:pPr>
        <w:pStyle w:val="TextoNormalCentrado"/>
        <w:keepNext/>
      </w:pPr>
    </w:p>
    <w:p w:rsidR="00163957" w:rsidRDefault="00163957" w:rsidP="00163957">
      <w:pPr>
        <w:pStyle w:val="TextoNormal"/>
      </w:pPr>
      <w:r>
        <w:t>Estimar el recurso de inconstitucionalidad interpuesto por el Gobierno de Canarias contra la disposición final segunda del Real Decreto-ley 7/2013, de 28 de junio, de medidas urgentes de naturaleza tributaria, presupuestaria y de fomento de la investigación, el desarrollo y la innovación, en la nueva redacción que otorga al art. 7.1, apartado a), de la Ley 38/2003, de 17 de noviembre, general de subvenciones, y, en consecuencia, declarar su inconstitucionalidad y consiguiente nulidad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74" w:name="SENTENCIA_2016_71"/>
      <w:r>
        <w:lastRenderedPageBreak/>
        <w:t>SENTENCIA 71/2016, de 14 de abril de 2016</w:t>
      </w:r>
    </w:p>
    <w:bookmarkEnd w:id="74"/>
    <w:p w:rsidR="00163957" w:rsidRDefault="00163957" w:rsidP="00163957">
      <w:pPr>
        <w:pStyle w:val="TtuloResolucin"/>
      </w:pPr>
      <w:r>
        <w:t>Pleno</w:t>
      </w:r>
    </w:p>
    <w:p w:rsidR="00163957" w:rsidRDefault="00163957" w:rsidP="00163957">
      <w:pPr>
        <w:pStyle w:val="TtuloBOE"/>
      </w:pPr>
      <w:r>
        <w:t>(BOE núm. 122, de 20 de mayo de 2016)</w:t>
      </w:r>
    </w:p>
    <w:p w:rsidR="00163957" w:rsidRDefault="00163957" w:rsidP="00163957">
      <w:pPr>
        <w:pStyle w:val="TextoNormalCentrado"/>
      </w:pPr>
      <w:r>
        <w:t>ECLI:ES:TC:2016:71</w:t>
      </w:r>
    </w:p>
    <w:p w:rsidR="00163957" w:rsidRDefault="00163957" w:rsidP="00163957">
      <w:pPr>
        <w:pStyle w:val="TextoNormalCentrado"/>
      </w:pPr>
    </w:p>
    <w:p w:rsidR="00163957" w:rsidRDefault="00163957" w:rsidP="00163957">
      <w:pPr>
        <w:pStyle w:val="SntesisDescriptiva"/>
      </w:pPr>
      <w:r>
        <w:t>Cuestión de inconstitucionalidad 389-2014. Planteada por la Sala de lo Social del Tribunal Superior de Justicia de Canarias respecto de la disposición adicional quincuagésima séptima de la Ley 10/2012, de 29 de diciembre, de presupuestos generales de la Comunidad Autónoma de Canarias.</w:t>
      </w:r>
    </w:p>
    <w:p w:rsidR="00163957" w:rsidRDefault="00163957" w:rsidP="00163957">
      <w:pPr>
        <w:pStyle w:val="SntesisDescriptiva"/>
      </w:pPr>
    </w:p>
    <w:p w:rsidR="00163957" w:rsidRDefault="00163957" w:rsidP="00163957">
      <w:pPr>
        <w:pStyle w:val="SntesisAnaltica"/>
      </w:pPr>
      <w:r>
        <w:t>Principio de igualdad: nulidad del precepto legal que introduce una reducción de jornada de trabajo para el personal laboral indefinido y temporal (STC 104/2004).</w:t>
      </w:r>
    </w:p>
    <w:p w:rsidR="00163957" w:rsidRDefault="00163957" w:rsidP="00163957">
      <w:pPr>
        <w:pStyle w:val="SntesisAnaltica"/>
      </w:pPr>
    </w:p>
    <w:p w:rsidR="00163957" w:rsidRDefault="00163957" w:rsidP="00163957">
      <w:pPr>
        <w:pStyle w:val="Extracto"/>
      </w:pPr>
      <w:r>
        <w:t>1.</w:t>
      </w:r>
      <w:r>
        <w:tab/>
        <w:t>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(SSTC 200/2001; 88/2005) [FJ 3].</w:t>
      </w:r>
    </w:p>
    <w:p w:rsidR="00163957" w:rsidRDefault="00163957" w:rsidP="00163957">
      <w:pPr>
        <w:pStyle w:val="Extracto"/>
      </w:pPr>
    </w:p>
    <w:p w:rsidR="00163957" w:rsidRDefault="00163957" w:rsidP="00163957">
      <w:pPr>
        <w:pStyle w:val="Extracto"/>
      </w:pPr>
      <w:r>
        <w:t>2.</w:t>
      </w:r>
      <w:r>
        <w:tab/>
        <w:t>Es necesario, para que la diferencia de trato sea constitucionalmente lícita, que las consecuencias jurídicas que se deriven de tal distinción sean proporcionadas a la finalidad perseguida, de suerte que se eviten resultados excesivamente gravosos o desmedidos (SSTC 200/2001; 88/2005) [FJ 3].</w:t>
      </w:r>
    </w:p>
    <w:p w:rsidR="00163957" w:rsidRDefault="00163957" w:rsidP="00163957">
      <w:pPr>
        <w:pStyle w:val="Extracto"/>
      </w:pPr>
    </w:p>
    <w:p w:rsidR="00163957" w:rsidRDefault="00163957" w:rsidP="00163957">
      <w:pPr>
        <w:pStyle w:val="Extracto"/>
      </w:pPr>
      <w:r>
        <w:t>3.</w:t>
      </w:r>
      <w:r>
        <w:tab/>
        <w:t>Las diferencias de trato entre trabajadores temporales y fijos han de tener su origen en datos objetivos relacionados con la prestación de trabajo o el régimen jurídico del contrato (en particular en lo relativo a sus causas de extinción) que las expliquen razonablemente (SSTC 177/1993; 104/2004) [FJ 4].</w:t>
      </w:r>
    </w:p>
    <w:p w:rsidR="00163957" w:rsidRDefault="00163957" w:rsidP="00163957">
      <w:pPr>
        <w:pStyle w:val="Extracto"/>
      </w:pPr>
    </w:p>
    <w:p w:rsidR="00163957" w:rsidRDefault="00163957" w:rsidP="00163957">
      <w:pPr>
        <w:pStyle w:val="Extracto"/>
      </w:pPr>
      <w:r>
        <w:t>4.</w:t>
      </w:r>
      <w:r>
        <w:tab/>
        <w:t>La jurisprudencia constitucional deduce un criterio de igualación (STC 59/1982) entre los trabajadores con contratos de duración determinada y los trabajadores fijos comparables, de tal suerte que el mero hecho de tener un contrato de duración determinada no puede justificar un trato diferente que no aparezca fundado en razones objetivas suficientes [FJ 5].</w:t>
      </w:r>
    </w:p>
    <w:p w:rsidR="00163957" w:rsidRDefault="00163957" w:rsidP="00163957">
      <w:pPr>
        <w:pStyle w:val="Extracto"/>
      </w:pPr>
    </w:p>
    <w:p w:rsidR="00163957" w:rsidRDefault="00163957" w:rsidP="00163957">
      <w:pPr>
        <w:pStyle w:val="Extracto"/>
      </w:pPr>
      <w:r>
        <w:t>5.</w:t>
      </w:r>
      <w:r>
        <w:tab/>
        <w:t>La menor dificultad que tienen los procesos selectivos que superan quienes se incorporan con carácter temporal a la Administración pública, respecto de los que tienen que superar aquellos que se integran como personal fijo, no justifica que respecto de estos trabajadores se adopten medidas que no estén justificadas en datos objetivos relacionados con la prestación de trabajo que tienen que desempeñar o que sean consustanciales a la naturaleza temporal de su relación de empleo [FJ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 xml:space="preserve">El Pleno del Tribunal Constitucional, compuesto por don Francisco Pérez de los Cobos Orihuel, Presidente, doña Adela Asua Batarrita, doña Encarnación Roca Trías, don Andrés </w:t>
      </w:r>
      <w:r>
        <w:lastRenderedPageBreak/>
        <w:t>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389-2014, promovida por la Sala de lo Social del Tribunal Superior de Justicia de Canarias contra la disposición adicional quinquagésima séptima de la Ley 10/2012, de 29 de diciembre, de Presupuestos Generales de la Comunidad Autónoma de Canarias, por posible vulneración del art. 14 CE. Han formulado alegaciones el Fiscal General del Estado, el Gobierno de Canarias y los Sindicatos Intersindical Canaria y Comisiones Obreras de Canarias. Ha sido Ponente el Magistrado don Juan Antonio Xiol Ríos,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22 de enero de 2014 tuvo entrada en el Registro General de este Tribunal un oficio de la Sala de lo Social del Tribunal Superior de Justicia de Canarias, con sede en Las Palmas de Gran Canaria, al que se adjuntaba testimonio de las actuaciones correspondientes a la demanda de conflicto colectivo presentada por la Letrada del servicio jurídico del Gobierno de Canarias contra los sindicatos UGT, CCOO, Intersindical Canaria (IC), Sindicato de Empleados Públicos de Canarias (SEPCA) y el comité intercentros de la Comunidad Autónoma de Canarias.</w:t>
      </w:r>
    </w:p>
    <w:p w:rsidR="00163957" w:rsidRDefault="00163957" w:rsidP="00163957">
      <w:pPr>
        <w:pStyle w:val="TextoNormal"/>
      </w:pPr>
    </w:p>
    <w:p w:rsidR="00163957" w:rsidRDefault="00163957" w:rsidP="00163957">
      <w:pPr>
        <w:pStyle w:val="TextoNormal"/>
      </w:pPr>
      <w:r>
        <w:t>La documentación aportada incluye el Auto de 11 de diciembre de 2013, en el que se acuerda plantear cuestión de inconstitucionalidad sobre la disposición adicional quincuagésima séptima de la Ley 10/2012, de 29 de diciembre, de presupuestos generales de la Comunidad Autónoma de Canarias, por posible vulneración del art. 14 CE.</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procesales de la cuestión de inconstitucionalidad planteada son, sucintamente expuestos, los siguientes:</w:t>
      </w:r>
    </w:p>
    <w:p w:rsidR="00163957" w:rsidRDefault="00163957" w:rsidP="00163957">
      <w:pPr>
        <w:pStyle w:val="TextoNormal"/>
      </w:pPr>
    </w:p>
    <w:p w:rsidR="00163957" w:rsidRDefault="00163957" w:rsidP="00163957">
      <w:pPr>
        <w:pStyle w:val="TextoNormal"/>
      </w:pPr>
      <w:r>
        <w:t xml:space="preserve">a) El 20 de febrero de 2013 tuvo entrada en la Sala de lo Social del Tribunal Superior de Justicia de Canarias una demanda de conflicto colectivo interpuesta por la Letrada del servicio jurídico del Gobierno de Canarias por la que se solicitaba que se declarara que “la medida adoptada por la Administración Pública de la Comunidad Autónoma de Canarias, sus organismos autónomos y entidades de Derecho público con presupuesto limitativo respecto al personal laboral indefinido y temporal a su servicio en lo que a la reducción de jornada laboral y salario en un 20 por 100 durante el ejercicio 2013 se refiere es ajustada a derecho, por cuanto ha sido adoptada en cumplimiento del mandato legal contenido en la </w:t>
      </w:r>
      <w:r>
        <w:lastRenderedPageBreak/>
        <w:t>disposición adicional quincuagésima séptima de la Ley 10/2012, de 29 de diciembre, de Presupuestos Generales de la Comunidad Autónoma de Canarias para 2013”.</w:t>
      </w:r>
    </w:p>
    <w:p w:rsidR="00163957" w:rsidRDefault="00163957" w:rsidP="00163957">
      <w:pPr>
        <w:pStyle w:val="TextoNormal"/>
      </w:pPr>
    </w:p>
    <w:p w:rsidR="00163957" w:rsidRDefault="00163957" w:rsidP="00163957">
      <w:pPr>
        <w:pStyle w:val="TextoNormal"/>
      </w:pPr>
      <w:r>
        <w:t>b) La demanda fue admitida a trámite por decreto de 18 de marzo de 2013. Se señaló para juicio el 9 de abril de 2013. Por providencia de 8 de abril de 2013 se suspendió la vista al haber dictado un acuerdo el Gobierno de Canarias por el que se dejó sin efecto la modificación de la jornada y el salario del personal de la Comunidad Autónoma al que se refería la demanda de conflicto colectivo presentada. La referida providencia requería a la Administración demandante para que manifestara si continuaba con su demanda. La Letrada del servicio jurídico del Gobierno de Canarias manifestó su interés en continuar con el procedimiento. La vista se celebró el 28 de mayo 2013.</w:t>
      </w:r>
    </w:p>
    <w:p w:rsidR="00163957" w:rsidRDefault="00163957" w:rsidP="00163957">
      <w:pPr>
        <w:pStyle w:val="TextoNormal"/>
      </w:pPr>
    </w:p>
    <w:p w:rsidR="00163957" w:rsidRDefault="00163957" w:rsidP="00163957">
      <w:pPr>
        <w:pStyle w:val="TextoNormal"/>
      </w:pPr>
      <w:r>
        <w:t>c) El 2 de julio de 2013 se dictó providencia por la que, con suspensión del plazo para dictar sentencia, se otorgó a las partes y al Ministerio Fiscal un plazo común de diez días para que pudieran alegar cuanto desearan sobre la pertinencia de plantear cuestión de inconstitucionalidad en relación con la disposición adicional quincuagésima séptima de la Ley 10/2012, de 29 de diciembre, del Parlamento de Canarias, por vulneración del art. 14 CE.</w:t>
      </w:r>
    </w:p>
    <w:p w:rsidR="00163957" w:rsidRDefault="00163957" w:rsidP="00163957">
      <w:pPr>
        <w:pStyle w:val="TextoNormal"/>
      </w:pPr>
    </w:p>
    <w:p w:rsidR="00163957" w:rsidRDefault="00163957" w:rsidP="00163957">
      <w:pPr>
        <w:pStyle w:val="TextoNormal"/>
      </w:pPr>
      <w:r>
        <w:t>La Comunidad Autónoma de Canarias se opuso al planteamiento de la cuestión de inconstitucionalidad al considerar que la referida disposición adicional no vulneraba el art. 14 CE.</w:t>
      </w:r>
    </w:p>
    <w:p w:rsidR="00163957" w:rsidRDefault="00163957" w:rsidP="00163957">
      <w:pPr>
        <w:pStyle w:val="TextoNormal"/>
      </w:pPr>
    </w:p>
    <w:p w:rsidR="00163957" w:rsidRDefault="00163957" w:rsidP="00163957">
      <w:pPr>
        <w:pStyle w:val="TextoNormal"/>
      </w:pPr>
      <w:r>
        <w:t>El Fiscal, por su parte, sin entrar en la constitucionalidad o inconstitucionalidad del precepto citado entiende que se cumplen todos los requisitos del art. 35 de la Ley Orgánica del Tribunal Constitucional (LOTC) y, por lo tanto, nada opone al planteamiento de la cuestión de inconstitucionalidad.</w:t>
      </w:r>
    </w:p>
    <w:p w:rsidR="00163957" w:rsidRDefault="00163957" w:rsidP="00163957">
      <w:pPr>
        <w:pStyle w:val="TextoNormal"/>
      </w:pPr>
    </w:p>
    <w:p w:rsidR="00163957" w:rsidRDefault="00163957" w:rsidP="00163957">
      <w:pPr>
        <w:pStyle w:val="TextoNormal"/>
      </w:pPr>
      <w:r>
        <w:t>El Sindicato de Empleados Públicos de Canarias interesó que se planteara la cuestión por infracción del art. 14 CE porque aplica la reducción de la jornada y de retribuciones al personal laboral temporal no haciéndolo respecto al personal fijo y porque aplica la reducción a un determinado grupo o colectivo de personal laboral no haciéndolo respecto a otro —el personal señalado en el número 4 de la disposición adicional quincuagésima séptima sin motivación alguna. Añade que el procedimiento de reducción de jornada, establecido en el art. 47 del texto refundido de la Ley del estatuto de los trabajadores, relativo a la suspensión del contrato o reducción de jornada, no es de aplicación a las Administraciones públicas, por así venir expresamente dispuesto en la disposición adicional vigésimo primera del estatuto de los trabajadores.</w:t>
      </w:r>
    </w:p>
    <w:p w:rsidR="00163957" w:rsidRDefault="00163957" w:rsidP="00163957">
      <w:pPr>
        <w:pStyle w:val="TextoNormal"/>
      </w:pPr>
    </w:p>
    <w:p w:rsidR="00163957" w:rsidRDefault="00163957" w:rsidP="00163957">
      <w:pPr>
        <w:pStyle w:val="TextoNormal"/>
      </w:pPr>
      <w:r>
        <w:t>El sindicato Comisiones Obreras de Canarias consideró que en el presente caso, en virtud del principio de primacía que rige el Derecho comunitario, debía aplicarse la Directiva 70/1999 y desestimar la demanda, al considerar que la disposición adicional quincuagésima séptima de la Ley 10/2012 vulnera la referida Directiva. Considera que igualmente se vulnera la disposición adicional vigésima primera del estatuto de los trabajadores que establece la imposibilidad de aplicar las medidas contempladas en el art. 47 del texto refundido de la Ley del estatuto de los trabajadores (LET) a aquellas Administraciones públicas que no se financien mayoritariamente con ingresos obtenidos como contrapartida de operaciones realizadas en el mercado. Añade que no se han seguido las previsiones establecidas en los apartados 3 y 4 del art. 41 LET.</w:t>
      </w:r>
    </w:p>
    <w:p w:rsidR="00163957" w:rsidRDefault="00163957" w:rsidP="00163957">
      <w:pPr>
        <w:pStyle w:val="TextoNormal"/>
      </w:pPr>
    </w:p>
    <w:p w:rsidR="00163957" w:rsidRDefault="00163957" w:rsidP="00163957">
      <w:pPr>
        <w:pStyle w:val="TextoNormal"/>
      </w:pPr>
      <w:r w:rsidRPr="00163957">
        <w:rPr>
          <w:rStyle w:val="NumeroAFNegritaCaracter"/>
        </w:rPr>
        <w:t>3</w:t>
      </w:r>
      <w:r>
        <w:t>. Por Auto de 11 diciembre de 2013 se eleva la presente cuestión de inconstitucionalidad y del análisis de su contenido interesa destacar los siguientes puntos:</w:t>
      </w:r>
    </w:p>
    <w:p w:rsidR="00163957" w:rsidRDefault="00163957" w:rsidP="00163957">
      <w:pPr>
        <w:pStyle w:val="TextoNormal"/>
      </w:pPr>
    </w:p>
    <w:p w:rsidR="00163957" w:rsidRDefault="00163957" w:rsidP="00163957">
      <w:pPr>
        <w:pStyle w:val="TextoNormal"/>
      </w:pPr>
      <w:r>
        <w:t>a) Tras reproducir el contenido de la disposición adicional quincuagésima séptima de la Ley 10/2012, de 29 de diciembre de presupuestos generales de la Comunidad Autónomas de Canarias para 2013, recuerda la Sala que para la aplicación de lo previsto en dicha norma el Director General de la Función Pública de la consejería de Presidencia, Justicia e Igualdad del Gobierno de Canarias, dictó el 10 de enero de 2013 unas instrucciones a fin de que por las secretarías generales técnicas de los distintos departamentos y órganos equivalentes de los diferentes organismos autónomos, se adoptasen las medidas procedentes para garantizar, tanto su aplicación efectiva, como el adecuado funcionamiento de los servicios. Asimismo, señala que por acuerdo del Gobierno de Canarias adoptado en sesión de 4 de abril de 2013 y al amparo de la misma disposición adicional citada, se dejó sin efecto la reducción de jornada y proporcional de retribución de los funcionarios interinos y del personal indefinido declarado por resolución judicial o administrativa y temporal del ámbito de la Administración General de la Comunidad Autónoma de Canarias cuyo acuerdo surtía efectos desde el día 1 de mayo de 2013. El acuerdo fue incorporado a la resolución de la Secretaría General de la Presidencia del Gobierno de 5 de abril de 2013 (“BOC” 8 de abril de 2013). En consecuencia, las medidas cuya declaración de validez se solicita únicamente se han mantenido en vigor durante el período de 1 de enero de 2013 a 30 de abril de 2013.</w:t>
      </w:r>
    </w:p>
    <w:p w:rsidR="00163957" w:rsidRDefault="00163957" w:rsidP="00163957">
      <w:pPr>
        <w:pStyle w:val="TextoNormal"/>
      </w:pPr>
    </w:p>
    <w:p w:rsidR="00163957" w:rsidRDefault="00163957" w:rsidP="00163957">
      <w:pPr>
        <w:pStyle w:val="TextoNormal"/>
      </w:pPr>
      <w:r>
        <w:t>b) Afirma la Sala que, aunque en el juicio las partes demandadas han sostenido diversas argumentaciones tendentes a soslayar o eludir la inaplicación de la norma cuestionada al considerar que es contraria a la Directiva 1999/70 CE, y aunque a “primera vista parece que la Sala podría haber entrado a resolver sobre lo solicitado al amparo de ‘la doctrina de los actos claros’” dada la eficacia directa de la Directiva 1999/70, “la Sala entiende que, derivando las medidas en cuestión [las instrucciones dictadas por el Director General para la aplicación de lo previsto en la disposición adicional quincuagésima séptima] de la referida Ley autonómica, cuya disposición quincuagésima séptima contiene un mandato discriminatorio fundamentado en la imposición de condiciones de trabajo desiguales a los trabajadores indefinidos no fijos y a los temporales respecto de los trabajadores fijos, la única vía posible para inaplicar tal norma es la prevista en el art. 163 de la Constitución en relación con el artículo 42.1 del Estatuto de Autonomía de Canarias”. Por todo ello concluye que la decisión del proceso de conflicto colectivo por el que la Letrada del servicio jurídico del Gobierno de Canarias solicita la declaración de validez de las medidas adoptadas por el Director General de la Función Pública, en virtud de las instrucciones dictadas el 10 de enero de 2013, depende de la propia validez de la disposición adicional quincuagésima séptima de la Ley 10/2012, de 29 de diciembre, de presupuestos generales de la Comunidad Autónoma de Canarias para 2013.</w:t>
      </w:r>
    </w:p>
    <w:p w:rsidR="00163957" w:rsidRDefault="00163957" w:rsidP="00163957">
      <w:pPr>
        <w:pStyle w:val="TextoNormal"/>
      </w:pPr>
    </w:p>
    <w:p w:rsidR="00163957" w:rsidRDefault="00163957" w:rsidP="00163957">
      <w:pPr>
        <w:pStyle w:val="TextoNormal"/>
      </w:pPr>
      <w:r>
        <w:t>c) Señala el Auto de planteamiento que la referida norma vulnera el principio de igualdad que consagra el art. 14 CE al haber impuesto al personal laboral temporal y al personal laboral indefinido “unas condiciones de trabajo distintas de las establecidas para el personal laboral fijo, sin justificación suficiente más allá de unas ‘razones de contención de gasto público’ cuya necesidad venía a afectar a todo el personal de la Administración de la Comunidad Autónoma dadas las dificultades presupuestarias derivadas de la situación de crisis económica padecida”.</w:t>
      </w:r>
    </w:p>
    <w:p w:rsidR="00163957" w:rsidRDefault="00163957" w:rsidP="00163957">
      <w:pPr>
        <w:pStyle w:val="TextoNormal"/>
      </w:pPr>
    </w:p>
    <w:p w:rsidR="00163957" w:rsidRDefault="00163957" w:rsidP="00163957">
      <w:pPr>
        <w:pStyle w:val="TextoNormal"/>
      </w:pPr>
      <w:r>
        <w:t>A juicio de la Sala, no podía la Comunidad Autónoma establecer válidamente el trato desigual y diferenciado ni en cuanto a jornada ni en cuanto a retribución de su personal laboral temporal ni de su personal laboral indefinido declarado como tal por resolución judicial o administrativa, en relación con el personal laboral fijo, pues las mismas razones de contención del gasto público y de mantenimiento del empleo, deberían haberla obligado a disponer ambas modificaciones de sus condiciones de trabajo para todo su personal laboral de forma generalizada, sin hacer de peor condición a unos sobre otros.</w:t>
      </w:r>
    </w:p>
    <w:p w:rsidR="00163957" w:rsidRDefault="00163957" w:rsidP="00163957">
      <w:pPr>
        <w:pStyle w:val="TextoNormal"/>
      </w:pPr>
    </w:p>
    <w:p w:rsidR="00163957" w:rsidRDefault="00163957" w:rsidP="00163957">
      <w:pPr>
        <w:pStyle w:val="TextoNormal"/>
      </w:pPr>
      <w:r>
        <w:t>Insiste en que la norma legal cuestionada ha venido a dar un trato desfavorable en sus condiciones de trabajo, sin razón objetiva alguna —más allá de unas circunstancias económicas desfavorables con incidencia sobre toda la Administración de la Comunidad Autónoma— al personal laboral temporal y al personal laboral indefinido, declarado como tal por resolución judicial o administrativa, respecto del personal laboral fijo. Y ni siquiera se podría argumentar que una parte del personal así preterido fuera indefinido y por tanto no sujeto a una contratación de duración determinada, porque a pesar de tratarse de una modalidad de personal laboral recogida en el art. 8.2 c) de la Ley del estatuto básico del empleado público (LEEP), su naturaleza jurídica ya fue establecida en la STS de 20 de enero de 1998. Así, la supuesta indefinición de la relación laboral, derivada de una previa contratación temporal sucesiva en fraude de ley, no es más que una contratación temporal (de algún modo asimilable a una interinidad), pues su vigencia se extiende por un período determinado, que finaliza cuando la plaza se cubre reglamentariamente o es amortizada a voluntad de la propia Administración empleadora, como ha puesto de manifiesto la reciente STS de 22 de julio de 2013.</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8 de abril de 2014 la Sección Primera acordó, a los efectos que determina el art. 37.1 LOTC, oír al Fiscal General del Estado para que, en el plazo de diez días, alegue lo que considere conveniente acerca de la admisibilidad de la presente cuestión de inconstitucionalidad, por si fuese notoriamente infundada.</w:t>
      </w:r>
    </w:p>
    <w:p w:rsidR="00163957" w:rsidRDefault="00163957" w:rsidP="00163957">
      <w:pPr>
        <w:pStyle w:val="TextoNormal"/>
      </w:pPr>
    </w:p>
    <w:p w:rsidR="00163957" w:rsidRDefault="00163957" w:rsidP="00163957">
      <w:pPr>
        <w:pStyle w:val="TextoNormal"/>
      </w:pPr>
      <w:r w:rsidRPr="00163957">
        <w:rPr>
          <w:rStyle w:val="NumeroAFNegritaCaracter"/>
        </w:rPr>
        <w:t>5</w:t>
      </w:r>
      <w:r>
        <w:t>. El Fiscal General del Estado, por escrito registrado el 9 de mayo de 2014, afirma que la Sala de lo Social del Tribunal Superior de Justicia de Canarias con lo que discrepa es con la selección de trabajadores a los que se les ha aplicado la medida, esto es, aquellos que tienen una contratación más precaria, y no a los trabajadores fijos. Señala que en el proceso subyacente la Administración entonces demandante analizó la normativa ahora cuestionada, asignándole los siguientes elementos esenciales: ser una medida coyuntural para el 2013 y con posibilidad de ser dejada sin efecto si se diesen las condiciones para ello, como así acaeció, el establecimiento de un porcentaje de reducción de jornada diferente en función del desempeño habitual de la jornada de trabajo y la no aplicación de la medida a determinados colectivos de empleados públicos vinculados a la prestación de servicios públicos esenciales.</w:t>
      </w:r>
    </w:p>
    <w:p w:rsidR="00163957" w:rsidRDefault="00163957" w:rsidP="00163957">
      <w:pPr>
        <w:pStyle w:val="TextoNormal"/>
      </w:pPr>
    </w:p>
    <w:p w:rsidR="00163957" w:rsidRDefault="00163957" w:rsidP="00163957">
      <w:pPr>
        <w:pStyle w:val="TextoNormal"/>
      </w:pPr>
      <w:r>
        <w:t>Todo ello contradice, a juicio del Fiscal, la afirmación de que parte el Auto promoviendo la cuestión de que la medida se ha impuesto a los trabajadores con contratación precaria frente a los trabajadores fijos, puesto que hay trabajadores con contratación regida por el carácter de interinidad a los que no se les ha aplicado la medida.</w:t>
      </w:r>
    </w:p>
    <w:p w:rsidR="00163957" w:rsidRDefault="00163957" w:rsidP="00163957">
      <w:pPr>
        <w:pStyle w:val="TextoNormal"/>
      </w:pPr>
    </w:p>
    <w:p w:rsidR="00163957" w:rsidRDefault="00163957" w:rsidP="00163957">
      <w:pPr>
        <w:pStyle w:val="TextoNormal"/>
      </w:pPr>
      <w:r>
        <w:lastRenderedPageBreak/>
        <w:t>Señala que la Comunidad Autónoma en su demanda de conflicto colectivo expuso las razones que le habían llevado a esta elección, esto es, que este había sido el criterio seguido en el Real Decreto 1483/2012, de 29 de octubre, por el que se aprueba el Reglamento de los procedimientos de despido colectivo y de suspensión de contratos y reducción de jornada, en el que para los despidos colectivos en su art. 41 se establecía como criterio de prioridad de permanencia en el ente, organismo o entidad pública al personal fijo que hubiera adquirido esta condición de acuerdo con los principios de igualdad, mérito y capacidad a través de un procedimiento selectivo de ingreso convocado al efecto, cuando así lo establezca dicho organismo o entidad pública. Por lo tanto, indica, el tener en cuenta el criterio del modo en que se hubiere accedido al empleo público, tiene una justificación que no puede desconocerse y es el criterio que se ha utilizado para decisiones más radicales como el despido colectivo, de manera que sí aparece una razón objetiva para el trato dispar.</w:t>
      </w:r>
    </w:p>
    <w:p w:rsidR="00163957" w:rsidRDefault="00163957" w:rsidP="00163957">
      <w:pPr>
        <w:pStyle w:val="TextoNormal"/>
      </w:pPr>
    </w:p>
    <w:p w:rsidR="00163957" w:rsidRDefault="00163957" w:rsidP="00163957">
      <w:pPr>
        <w:pStyle w:val="TextoNormal"/>
      </w:pPr>
      <w:r>
        <w:t>Por lo señalado, el Fiscal General del Estado solicita que se dicte Auto inadmitiendo la presente cuestión por ser notoriamente infundada.</w:t>
      </w:r>
    </w:p>
    <w:p w:rsidR="00163957" w:rsidRDefault="00163957" w:rsidP="00163957">
      <w:pPr>
        <w:pStyle w:val="TextoNormal"/>
      </w:pPr>
    </w:p>
    <w:p w:rsidR="00163957" w:rsidRDefault="00163957" w:rsidP="00163957">
      <w:pPr>
        <w:pStyle w:val="TextoNormal"/>
      </w:pPr>
      <w:r w:rsidRPr="00163957">
        <w:rPr>
          <w:rStyle w:val="NumeroAFNegritaCaracter"/>
        </w:rPr>
        <w:t>6</w:t>
      </w:r>
      <w:r>
        <w:t>. El Pleno de este Tribunal, a propuesta de la Sección Primera, acordó admitir a trámite la cuestión mediante providencia de 2 de diciembre de 2014; reservar para sí su conocimiento; dar traslado de las actuaciones recibidas al Congreso de los Diputados y al Senado, por conducto de sus Presidentes, al Gobierno, por conducto del Ministro de Justicia, y al Fiscal General del Estado, así como al Gobierno de Canarias y al Parlamento de Canarias, por conducto de sus Presidentes para que, en el improrrogable plazo de 15 días, pudieran personarse en el procedimiento y formular las alegaciones que estimasen convenientes; comunicar la presente resolución a la Sala de lo Social del Tribunal Superior de Justicia de Canarias, a fin de que, de conformidad con lo dispuesto en el art. 35 LOTC, permaneciese suspendido el proceso hasta que este Tribunal resolviese efectivamente la cuestión; y publicar la incoación de la cuestión en el “Boletín Oficial del Estado” y en el “Boletín Oficial de Canarias”.</w:t>
      </w:r>
    </w:p>
    <w:p w:rsidR="00163957" w:rsidRDefault="00163957" w:rsidP="00163957">
      <w:pPr>
        <w:pStyle w:val="TextoNormal"/>
      </w:pPr>
    </w:p>
    <w:p w:rsidR="00163957" w:rsidRDefault="00163957" w:rsidP="00163957">
      <w:pPr>
        <w:pStyle w:val="TextoNormal"/>
      </w:pPr>
      <w:r w:rsidRPr="00163957">
        <w:rPr>
          <w:rStyle w:val="NumeroAFNegritaCaracter"/>
        </w:rPr>
        <w:t>7</w:t>
      </w:r>
      <w:r>
        <w:t>. Mediante escrito registrado el 17 de febrero de 2014, el Presidente del Senado comunicó a este Tribunal el acuerdo de la Mesa para que se diera por personada a esta Cámara y por ofrecida su colaboración a los efectos del art. 88.1 LOTC.</w:t>
      </w:r>
    </w:p>
    <w:p w:rsidR="00163957" w:rsidRDefault="00163957" w:rsidP="00163957">
      <w:pPr>
        <w:pStyle w:val="TextoNormal"/>
      </w:pPr>
    </w:p>
    <w:p w:rsidR="00163957" w:rsidRDefault="00163957" w:rsidP="00163957">
      <w:pPr>
        <w:pStyle w:val="TextoNormal"/>
      </w:pPr>
      <w:r>
        <w:t>Por escrito registrado el 18 de diciembre de 2014 el Presidente del Congreso de los Diputados comunicó a este Tribunal la decisión de la Mesa de que se diera por personada a esta Cámara y por ofrecida su colaboración a los efectos del art. 88.1 LOTC, con remisión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rsidRPr="00163957">
        <w:rPr>
          <w:rStyle w:val="NumeroAFNegritaCaracter"/>
        </w:rPr>
        <w:t>8</w:t>
      </w:r>
      <w:r>
        <w:t>. El 17 de diciembre de 2014 presentó escrito en el Registro General de este Tribunal la procuradora de los Tribunales doña Flora Toledo Hontiyuelos en nombre y representación de intersindical canaria, solicitando que se la tenga por comparecida en la representación que acredita y personada en forma, entendiéndose con ella las sucesivas diligencia a que haya lugar en derecho.</w:t>
      </w:r>
    </w:p>
    <w:p w:rsidR="00163957" w:rsidRDefault="00163957" w:rsidP="00163957">
      <w:pPr>
        <w:pStyle w:val="TextoNormal"/>
      </w:pPr>
    </w:p>
    <w:p w:rsidR="00163957" w:rsidRDefault="00163957" w:rsidP="00163957">
      <w:pPr>
        <w:pStyle w:val="TextoNormal"/>
      </w:pPr>
      <w:r>
        <w:lastRenderedPageBreak/>
        <w:t>Por diligencia de ordenación de 18 de diciembre de 2014 se acuerda unir a las presentes actuaciones el escrito presentado por la procuradora doña Flora Toledo Hontiyuelos y tenerla por personada y parte en la presente cuestión de inconstitucionalidad, acordándose entender con ella las sucesivas actuaciones, y, conforme establece el art. 37.2 LOTC, concederle un plazo de quince días para que formule las alegaciones que estime convenientes.</w:t>
      </w:r>
    </w:p>
    <w:p w:rsidR="00163957" w:rsidRDefault="00163957" w:rsidP="00163957">
      <w:pPr>
        <w:pStyle w:val="TextoNormal"/>
      </w:pPr>
    </w:p>
    <w:p w:rsidR="00163957" w:rsidRDefault="00163957" w:rsidP="00163957">
      <w:pPr>
        <w:pStyle w:val="TextoNormal"/>
      </w:pPr>
      <w:r w:rsidRPr="00163957">
        <w:rPr>
          <w:rStyle w:val="NumeroAFNegritaCaracter"/>
        </w:rPr>
        <w:t>9</w:t>
      </w:r>
      <w:r>
        <w:t>. Mediante escrito presentado el 23 de diciembre de 2014 el Letrado don José I. Cestau Benito se personó el procedimiento en nombre y representación del Sindicato Comisiones Obreras de Canarias.</w:t>
      </w:r>
    </w:p>
    <w:p w:rsidR="00163957" w:rsidRDefault="00163957" w:rsidP="00163957">
      <w:pPr>
        <w:pStyle w:val="TextoNormal"/>
      </w:pPr>
    </w:p>
    <w:p w:rsidR="00163957" w:rsidRDefault="00163957" w:rsidP="00163957">
      <w:pPr>
        <w:pStyle w:val="TextoNormal"/>
      </w:pPr>
      <w:r>
        <w:t>Por diligencia de ordenación de 8 de enero de 2015 se acordó unir a las presentes actuaciones el escrito presentado por el Letrado don José I. Cestau Benito, y requerirle para que en el plazo de diez días se persone mediante procurador de Madrid con poder al efecto, bajo apercibimiento de tenerle por decaído en su derecho.</w:t>
      </w:r>
    </w:p>
    <w:p w:rsidR="00163957" w:rsidRDefault="00163957" w:rsidP="00163957">
      <w:pPr>
        <w:pStyle w:val="TextoNormal"/>
      </w:pPr>
    </w:p>
    <w:p w:rsidR="00163957" w:rsidRDefault="00163957" w:rsidP="00163957">
      <w:pPr>
        <w:pStyle w:val="TextoNormal"/>
      </w:pPr>
      <w:r w:rsidRPr="00163957">
        <w:rPr>
          <w:rStyle w:val="NumeroAFNegritaCaracter"/>
        </w:rPr>
        <w:t>10</w:t>
      </w:r>
      <w:r>
        <w:t>. Mediante escrito presentado en el Registro General de este Tribunal el 26 de diciembre de 2014, el Abogado del Estado comunicó a este Tribunal que en el presente procedimiento no formula alegaciones y que se persona exclusivamente a los efectos de que en su día se le notifiquen las resoluciones que en él se dicten.</w:t>
      </w:r>
    </w:p>
    <w:p w:rsidR="00163957" w:rsidRDefault="00163957" w:rsidP="00163957">
      <w:pPr>
        <w:pStyle w:val="TextoNormal"/>
      </w:pPr>
    </w:p>
    <w:p w:rsidR="00163957" w:rsidRDefault="00163957" w:rsidP="00163957">
      <w:pPr>
        <w:pStyle w:val="TextoNormal"/>
      </w:pPr>
      <w:r w:rsidRPr="00163957">
        <w:rPr>
          <w:rStyle w:val="NumeroAFNegritaCaracter"/>
        </w:rPr>
        <w:t>11</w:t>
      </w:r>
      <w:r>
        <w:t>. El Fiscal General del Estado presentó su escrito de alegaciones ante este Tribunal con fecha 9 de enero de 2015, interesando la estimación de la presente cuestión de inconstitucionalidad.</w:t>
      </w:r>
    </w:p>
    <w:p w:rsidR="00163957" w:rsidRDefault="00163957" w:rsidP="00163957">
      <w:pPr>
        <w:pStyle w:val="TextoNormal"/>
      </w:pPr>
    </w:p>
    <w:p w:rsidR="00163957" w:rsidRDefault="00163957" w:rsidP="00163957">
      <w:pPr>
        <w:pStyle w:val="TextoNormal"/>
      </w:pPr>
      <w:r>
        <w:t>Tras recordar los antecedentes de la presente cuestión de inconstitucionalidad afirma que la Sala de lo Social del Tribunal Superior de Justicia de Canarias con lo que discrepa es con la selección de trabajadores a los que se les ha aplicado la medida, esto es, aquellos que tienen una contratación más precaria, y no a los trabajadores fijos. Señala que en el proceso subyacente la Administración entonces demandante analizó la normativa ahora cuestionada, asignándole los siguientes elementos esenciales: ser una medida coyuntural para el 2013 y con posibilidad de ser dejada sin efecto si se diesen las condiciones para ello, como así acaeció, el establecimiento de un porcentaje de reducción de jornada diferente en función del desempeño habitual de la jornada de trabajo y la no aplicación de la medida a determinados colectivos de empleados públicos vinculados a la prestación de servicios públicos esenciales.</w:t>
      </w:r>
    </w:p>
    <w:p w:rsidR="00163957" w:rsidRDefault="00163957" w:rsidP="00163957">
      <w:pPr>
        <w:pStyle w:val="TextoNormal"/>
      </w:pPr>
    </w:p>
    <w:p w:rsidR="00163957" w:rsidRDefault="00163957" w:rsidP="00163957">
      <w:pPr>
        <w:pStyle w:val="TextoNormal"/>
      </w:pPr>
      <w:r>
        <w:t>Todo ello contradice, a juicio del Fiscal, la afirmación de que parte el Auto promoviendo la cuestión de que la medida se ha impuesto a los trabajadores con contratación precaria frente a los trabajadores fijos, puesto que hay trabajadores con contratación regida por el carácter de interinidad a los que no se les ha aplicado la medida.</w:t>
      </w:r>
    </w:p>
    <w:p w:rsidR="00163957" w:rsidRDefault="00163957" w:rsidP="00163957">
      <w:pPr>
        <w:pStyle w:val="TextoNormal"/>
      </w:pPr>
    </w:p>
    <w:p w:rsidR="00163957" w:rsidRDefault="00163957" w:rsidP="00163957">
      <w:pPr>
        <w:pStyle w:val="TextoNormal"/>
      </w:pPr>
      <w:r>
        <w:t xml:space="preserve">Señala que la Comunidad Autónoma en su demanda de conflicto colectivo expuso las razones que le habían llevado a esta elección, esto es, que este había sido el criterio seguido en el Real Decreto 1483/2012, de 29 de octubre, por el que se aprueba el Reglamento de los procedimientos de despido colectivo y de suspensión de contratos y reducción de jornada, en el que para los despidos colectivos en su art. 41 se establecía como criterio de prioridad </w:t>
      </w:r>
      <w:r>
        <w:lastRenderedPageBreak/>
        <w:t>de permanencia en el ente, organismo o entidad pública al personal fijo que hubiera adquirido esta condición de acuerdo con los principios de igualdad, mérito y capacidad a través de un procedimiento selectivo de ingreso convocado al efecto, cuando así lo establezca dicho organismo o entidad pública. Por lo tanto, indica, el tener en cuenta el criterio del modo en que se hubiere accedido al empleo público, tiene una justificación que no puede desconocerse y es el criterio que se ha utilizado para decisiones más radicales como el despido colectivo, de manera que sí aparece una razón objetiva para el trato dispar.</w:t>
      </w:r>
    </w:p>
    <w:p w:rsidR="00163957" w:rsidRDefault="00163957" w:rsidP="00163957">
      <w:pPr>
        <w:pStyle w:val="TextoNormal"/>
      </w:pPr>
    </w:p>
    <w:p w:rsidR="00163957" w:rsidRDefault="00163957" w:rsidP="00163957">
      <w:pPr>
        <w:pStyle w:val="TextoNormal"/>
      </w:pPr>
      <w:r>
        <w:t>A continuación, afirma el Fiscal que aunque la cuestión no ha sido planteada por vulneración del art. 149.1.17 CE, el extremo de que estamos ante una materia laboral no ha sido ajeno a la controversia, y ello aparece de modo claro, pues tanto la fijación de la jornada como la de la remuneración, así como la suspensión del contrato de trabajo son materias genuinamente laborales y reguladas en el estatuto de los trabajadores, concretamente por lo que ahora interesa en el art. 47 LET, que regula la suspensión del contrato o reducción de jornadas por causas económicas, técnicas, organizativas o de producción o derivadas de fuerza mayor. Procede, por tanto, a su juicio, analizar si la disposición adicional quincuagésima séptima de la Ley 10/2012, de presupuestos generales de la Comunidad Autónoma de Canarias, contradice la legislación estatal de referencia.</w:t>
      </w:r>
    </w:p>
    <w:p w:rsidR="00163957" w:rsidRDefault="00163957" w:rsidP="00163957">
      <w:pPr>
        <w:pStyle w:val="TextoNormal"/>
      </w:pPr>
    </w:p>
    <w:p w:rsidR="00163957" w:rsidRDefault="00163957" w:rsidP="00163957">
      <w:pPr>
        <w:pStyle w:val="TextoNormal"/>
      </w:pPr>
      <w:r>
        <w:t>En una primera aproximación, señala, la citada disposición contradice la regulación estatal pues la disposición adicional vigésima primera del estatuto de los trabajadores establece que “lo previsto en el art. 47 de esta ley no será de aplicación a las Administraciones Públicas y a las entidades de derecho público vinculadas o dependientes de una o varias de ellas y de otros organismos públicos, salvo a aquellas que se financien mayoritariamente con ingresos obtenidos como contrapartida de operaciones realizadas en el mercado”. En la misma línea menciona el Real Decreto 1483/2012, de 28 de diciembre, por el que se aprueba el Reglamento de los procedimientos de despido colectivo y de suspensión de contratos y reducción de jornada.</w:t>
      </w:r>
    </w:p>
    <w:p w:rsidR="00163957" w:rsidRDefault="00163957" w:rsidP="00163957">
      <w:pPr>
        <w:pStyle w:val="TextoNormal"/>
      </w:pPr>
    </w:p>
    <w:p w:rsidR="00163957" w:rsidRDefault="00163957" w:rsidP="00163957">
      <w:pPr>
        <w:pStyle w:val="TextoNormal"/>
      </w:pPr>
      <w:r>
        <w:t>Señala que lo regulado por la disposición adicional quincuagésima séptima de la Ley 10/2012, de presupuestos generales de la Comunidad Autónoma de Canarias es una materia contemplada en el art. 47 LET, que en virtud de lo dispuesto en la disposición adicional vigésima primera de dicho texto legal, no es de aplicación a las Administraciones públicas y a las entidades de derecho público y otros organismos públicos. Existe una clara contradicción entre la norma autonómica cuestionada y la regulación estatal de referencia, por ello el Fiscal General del Estado solicita que se estime la presente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12</w:t>
      </w:r>
      <w:r>
        <w:t>. El 12 de enero de 2015 presentó su escrito de alegaciones la Directora General del servicio jurídico del Gobierno de Canarias por el que solicita la desestimación de la cuestión.</w:t>
      </w:r>
    </w:p>
    <w:p w:rsidR="00163957" w:rsidRDefault="00163957" w:rsidP="00163957">
      <w:pPr>
        <w:pStyle w:val="TextoNormal"/>
      </w:pPr>
    </w:p>
    <w:p w:rsidR="00163957" w:rsidRDefault="00163957" w:rsidP="00163957">
      <w:pPr>
        <w:pStyle w:val="TextoNormal"/>
      </w:pPr>
      <w:r>
        <w:t>Afirma que fundamentada la posible vulneración del art. 14 CE en la cláusula genérica del principio de igualdad no podemos entender vulnerado tal principio toda vez que situaciones jurídicas diferenciadas admiten un tratamiento desigual, siempre que aparezca ese diferente trato dotado de una justificación objetiva y razonable.</w:t>
      </w:r>
    </w:p>
    <w:p w:rsidR="00163957" w:rsidRDefault="00163957" w:rsidP="00163957">
      <w:pPr>
        <w:pStyle w:val="TextoNormal"/>
      </w:pPr>
    </w:p>
    <w:p w:rsidR="00163957" w:rsidRDefault="00163957" w:rsidP="00163957">
      <w:pPr>
        <w:pStyle w:val="TextoNormal"/>
      </w:pPr>
      <w:r>
        <w:lastRenderedPageBreak/>
        <w:t>A su juicio, la disposición adicional quincuagésima séptima contiene una reducción de jornada y proporcional de salario con una justificación razonable que guarda la debida proporcionalidad entre la medida adoptada, el resultado producido y la finalidad pretendida.</w:t>
      </w:r>
    </w:p>
    <w:p w:rsidR="00163957" w:rsidRDefault="00163957" w:rsidP="00163957">
      <w:pPr>
        <w:pStyle w:val="TextoNormal"/>
      </w:pPr>
    </w:p>
    <w:p w:rsidR="00163957" w:rsidRDefault="00163957" w:rsidP="00163957">
      <w:pPr>
        <w:pStyle w:val="TextoNormal"/>
      </w:pPr>
      <w:r>
        <w:t>a) Se trata de una medida de carácter coyuntural, para el ejercicio 2013, sin vocación de permanencia en el ordenamiento jurídico, adoptada por razones de carácter presupuestario, orientada en exclusiva a la contención del gasto público.</w:t>
      </w:r>
    </w:p>
    <w:p w:rsidR="00163957" w:rsidRDefault="00163957" w:rsidP="00163957">
      <w:pPr>
        <w:pStyle w:val="TextoNormal"/>
      </w:pPr>
    </w:p>
    <w:p w:rsidR="00163957" w:rsidRDefault="00163957" w:rsidP="00163957">
      <w:pPr>
        <w:pStyle w:val="TextoNormal"/>
      </w:pPr>
      <w:r>
        <w:t>b) Se trata de una medida que es considerada proporcional y la menos gravosa. De entre las posibles medidas a adoptar en el marco del ordenamiento jurídico al tiempo de aprobar los presupuestos generales para el siguiente ejercicio, la reducción de jornada de trabajo y proporcional reducción de retribuciones se erigió, sin lugar a dudas, como la menos gravosa para el conjunto de los empleados públicos, la única que garantizaba la estabilidad laboral y el mantenimiento del empleo público al tiempo que proporcionaba el necesario ahorro presupuestario que permitiera cerrar unos presupuestos que respondieran a las exigencias derivadas de la estabilidad presupuestaria.</w:t>
      </w:r>
    </w:p>
    <w:p w:rsidR="00163957" w:rsidRDefault="00163957" w:rsidP="00163957">
      <w:pPr>
        <w:pStyle w:val="TextoNormal"/>
      </w:pPr>
    </w:p>
    <w:p w:rsidR="00163957" w:rsidRDefault="00163957" w:rsidP="00163957">
      <w:pPr>
        <w:pStyle w:val="TextoNormal"/>
      </w:pPr>
      <w:r>
        <w:t>Señala que en el Auto la Sala de lo Social del Tribunal Superior de Justicia de Canarias considera que las razones de contención del gasto público que inspiraron la medida legal debieron justificar la extensión de la misma a todo el personal laboral de forma generalizada. Sin embargo, entiende que esta consideración requiere un comentario específico. De un lado, evidencia la ausencia de valoración por el Tribunal en su Auto de la importante circunstancia de que la propia norma legal excluyó de la reducción de jornada y salario al personal al servicio de los órganos judiciales y fiscales de la Administración de Justicia, al personal docente no universitario, al personal funcionario, laboral y estatutario que presta servicio en las gerencias y centros de Salud del Servicio Canario de Salud y al personal del Instituto Canario de Hemodonación y Hemoterapia que presta servicios en la red transfusional y bancos de sangre. Es decir, la no aplicación de la medida a determinados colectivos de empleados públicos vinculados a la prestación de servicios públicos esenciales. Con lo cual debe rechazarse la contraposición de la que parte el Auto de 11 de diciembre de 2013 entre personal laboral indefinido y temporal con personal laboral fijo: los extremos de comparación no son estrictamente estos.</w:t>
      </w:r>
    </w:p>
    <w:p w:rsidR="00163957" w:rsidRDefault="00163957" w:rsidP="00163957">
      <w:pPr>
        <w:pStyle w:val="TextoNormal"/>
      </w:pPr>
    </w:p>
    <w:p w:rsidR="00163957" w:rsidRDefault="00163957" w:rsidP="00163957">
      <w:pPr>
        <w:pStyle w:val="TextoNormal"/>
      </w:pPr>
      <w:r>
        <w:t>De otro lado, pone de manifiesto la falta de análisis de la proporcionalidad de la medida, requisito imprescindible para justificar un tratamiento desigual entre el personal al servicio de la Administración pública de la Comunidad Autónoma de Canarias. Desconoce el órgano judicial el objetivo de control de déficit que correspondía alcanzar a esta Administración.</w:t>
      </w:r>
    </w:p>
    <w:p w:rsidR="00163957" w:rsidRDefault="00163957" w:rsidP="00163957">
      <w:pPr>
        <w:pStyle w:val="TextoNormal"/>
      </w:pPr>
    </w:p>
    <w:p w:rsidR="00163957" w:rsidRDefault="00163957" w:rsidP="00163957">
      <w:pPr>
        <w:pStyle w:val="TextoNormal"/>
      </w:pPr>
      <w:r>
        <w:t xml:space="preserve">c) En tercer lugar, señala que se trata de una medida que no supone una desigualdad ilícita puesto que vino referida a aquellos empleados públicos cuya relación de sujeción con la Administración pública carecía del vínculo de estabilidad que ofrece la condición de funcionario de carrera y de trabajador fijo, y siempre que sus funciones no estuvieran directamente relacionada con los servicios públicos esenciales que excepcionó la propia norma legal. Precisamente las relaciones de sujeción temporales, que carecen de aquella nota de permanencia y, por tanto, con naturaleza provisional, sujetas su vigencia a término son las más frágiles, desde la perspectiva del vínculo, y las que permiten su extinción con mayor facilidad utilizando los instrumentos legales a disposición de la Administración empleadora. Precisamente, por razón de esta provisionalidad y en evitación de medidas drásticas que </w:t>
      </w:r>
      <w:r>
        <w:lastRenderedPageBreak/>
        <w:t>supusieran la extinción de su relación con la Administración es por lo que se optó por reducir su jornada de trabajo y proporcionalmente sus retribuciones.</w:t>
      </w:r>
    </w:p>
    <w:p w:rsidR="00163957" w:rsidRDefault="00163957" w:rsidP="00163957">
      <w:pPr>
        <w:pStyle w:val="TextoNormal"/>
      </w:pPr>
    </w:p>
    <w:p w:rsidR="00163957" w:rsidRDefault="00163957" w:rsidP="00163957">
      <w:pPr>
        <w:pStyle w:val="TextoNormal"/>
      </w:pPr>
      <w:r>
        <w:t>Insiste en que no se trata de una diferencia de trato arbitraria ni caprichosa. Ni tampoco estamos ante situaciones jurídicas iguales, pues la naturaleza temporal o fija del vínculo con la Administración es bastante y suficiente para ofrecer un trato diferenciado.</w:t>
      </w:r>
    </w:p>
    <w:p w:rsidR="00163957" w:rsidRDefault="00163957" w:rsidP="00163957">
      <w:pPr>
        <w:pStyle w:val="TextoNormal"/>
      </w:pPr>
    </w:p>
    <w:p w:rsidR="00163957" w:rsidRDefault="00163957" w:rsidP="00163957">
      <w:pPr>
        <w:pStyle w:val="TextoNormal"/>
      </w:pPr>
      <w:r w:rsidRPr="00163957">
        <w:rPr>
          <w:rStyle w:val="NumeroAFNegritaCaracter"/>
        </w:rPr>
        <w:t>13</w:t>
      </w:r>
      <w:r>
        <w:t>. Por escrito registrado el 13 de enero de 2015 presentó su escrito de alegaciones la representación de Intersindical Canaria.</w:t>
      </w:r>
    </w:p>
    <w:p w:rsidR="00163957" w:rsidRDefault="00163957" w:rsidP="00163957">
      <w:pPr>
        <w:pStyle w:val="TextoNormal"/>
      </w:pPr>
    </w:p>
    <w:p w:rsidR="00163957" w:rsidRDefault="00163957" w:rsidP="00163957">
      <w:pPr>
        <w:pStyle w:val="TextoNormal"/>
      </w:pPr>
      <w:r>
        <w:t>Señala, brevemente, que el principio de igualdad resulta vulnerado al haber impuesto al personal laboral temporal y al personal laboral indefinido unas condiciones de trabajo distintas de las establecidas para el personal fijo sin justificación suficiente y amparándose la Comunidad Autónoma en razones “presupuestarias”.</w:t>
      </w:r>
    </w:p>
    <w:p w:rsidR="00163957" w:rsidRDefault="00163957" w:rsidP="00163957">
      <w:pPr>
        <w:pStyle w:val="TextoNormal"/>
      </w:pPr>
    </w:p>
    <w:p w:rsidR="00163957" w:rsidRDefault="00163957" w:rsidP="00163957">
      <w:pPr>
        <w:pStyle w:val="TextoNormal"/>
      </w:pPr>
      <w:r>
        <w:t>Concluye que el mandato contenido en la disposición adicional quincuagésima séptima de la Ley 10/2012 es inconstitucional por vulnerar el art. 14 CE en su vertiente del principio de igualdad entre todos los trabajadores de la Comunidad Autónoma de Canarias al establecer condiciones de trabajo diferentes y hacer de peor condición al personal laboral indefinido que haya sido declarado como tal por resolución judicial o administrativa y al personal temporal en relación con el personal laboral fijo mediante la imposición de una reducción del 20 por 100 de su jornada y de sus retribuciones por razones de contención del gasto público y con la finalidad de mantener el empleo público.</w:t>
      </w:r>
    </w:p>
    <w:p w:rsidR="00163957" w:rsidRDefault="00163957" w:rsidP="00163957">
      <w:pPr>
        <w:pStyle w:val="TextoNormal"/>
      </w:pPr>
    </w:p>
    <w:p w:rsidR="00163957" w:rsidRDefault="00163957" w:rsidP="00163957">
      <w:pPr>
        <w:pStyle w:val="TextoNormal"/>
      </w:pPr>
      <w:r w:rsidRPr="00163957">
        <w:rPr>
          <w:rStyle w:val="NumeroAFNegritaCaracter"/>
        </w:rPr>
        <w:t>14</w:t>
      </w:r>
      <w:r>
        <w:t>. Por escrito presentado el 21 de enero de 2015 el Letrado-Secretario General del Parlamento de Canarias se adhiere a las alegaciones que se formulan por el Letrado del servicio jurídico del Gobierno de Canarias.</w:t>
      </w:r>
    </w:p>
    <w:p w:rsidR="00163957" w:rsidRDefault="00163957" w:rsidP="00163957">
      <w:pPr>
        <w:pStyle w:val="TextoNormal"/>
      </w:pPr>
    </w:p>
    <w:p w:rsidR="00163957" w:rsidRDefault="00163957" w:rsidP="00163957">
      <w:pPr>
        <w:pStyle w:val="TextoNormal"/>
      </w:pPr>
      <w:r w:rsidRPr="00163957">
        <w:rPr>
          <w:rStyle w:val="NumeroAFNegritaCaracter"/>
        </w:rPr>
        <w:t>15</w:t>
      </w:r>
      <w:r>
        <w:t>. El 22 de enero de 2015 presenta escrito la procuradora doña Ana María García Fernández en nombre y representación del sindicato Comisiones Obreras Canarias personándose en el procedimiento.</w:t>
      </w:r>
    </w:p>
    <w:p w:rsidR="00163957" w:rsidRDefault="00163957" w:rsidP="00163957">
      <w:pPr>
        <w:pStyle w:val="TextoNormal"/>
      </w:pPr>
    </w:p>
    <w:p w:rsidR="00163957" w:rsidRDefault="00163957" w:rsidP="00163957">
      <w:pPr>
        <w:pStyle w:val="TextoNormal"/>
      </w:pPr>
      <w:r>
        <w:t>Por diligencia de ordenación de 26 de enero de 2015 se acuerda unir a las actuaciones el escrito presentado por la procuradora doña Ana María García Fernández y tenerla por personada y parte en la presente cuestión de inconstitucionalidad, acordándose entender con ella las sucesivas actuaciones, y, conforme establece el art. 37.2 LOTC, concederle un plazo de 15 días para que formule las alegaciones que estime convenientes.</w:t>
      </w:r>
    </w:p>
    <w:p w:rsidR="00163957" w:rsidRDefault="00163957" w:rsidP="00163957">
      <w:pPr>
        <w:pStyle w:val="TextoNormal"/>
      </w:pPr>
    </w:p>
    <w:p w:rsidR="00163957" w:rsidRDefault="00163957" w:rsidP="00163957">
      <w:pPr>
        <w:pStyle w:val="TextoNormal"/>
      </w:pPr>
      <w:r w:rsidRPr="00163957">
        <w:rPr>
          <w:rStyle w:val="NumeroAFNegritaCaracter"/>
        </w:rPr>
        <w:t>16</w:t>
      </w:r>
      <w:r>
        <w:t>. Por escrito registrado el 16 de febrero de 2015 presentó sus alegaciones la representación del sindicato Comisiones Obreras Canarias.</w:t>
      </w:r>
    </w:p>
    <w:p w:rsidR="00163957" w:rsidRDefault="00163957" w:rsidP="00163957">
      <w:pPr>
        <w:pStyle w:val="TextoNormal"/>
      </w:pPr>
    </w:p>
    <w:p w:rsidR="00163957" w:rsidRDefault="00163957" w:rsidP="00163957">
      <w:pPr>
        <w:pStyle w:val="TextoNormal"/>
      </w:pPr>
      <w:r>
        <w:t>Señala, siguiendo lo manifestado en el trámite de alegaciones ante el Tribunal Superior de Justicia de Canarias que nos encontramos ante un caso evidente de vulneración de la Directiva 70/1999. Indica que la única excepción que admite la Directiva para que pueda operarse un trato retributivo diferente entre personal fijo y personal temporal radica en que se justifique un trato diferente por razones objetivas.</w:t>
      </w:r>
    </w:p>
    <w:p w:rsidR="00163957" w:rsidRDefault="00163957" w:rsidP="00163957">
      <w:pPr>
        <w:pStyle w:val="TextoNormal"/>
      </w:pPr>
    </w:p>
    <w:p w:rsidR="00163957" w:rsidRDefault="00163957" w:rsidP="00163957">
      <w:pPr>
        <w:pStyle w:val="TextoNormal"/>
      </w:pPr>
      <w:r>
        <w:lastRenderedPageBreak/>
        <w:t>A primer vista, añade, la única razón objetiva que podría esgrimirse como fundamento de la diferencia de trato radica en que la reducción retributiva es paralela o, formalmente, es consecuencia de una reducción de la jornada de trabajo, reducción que no se opera respecto de los trabajadores fijos y los funcionarios de carrera y que podría justificar, en un apriorístico análisis teórico, que exista un diferente régimen retributivo entre unos y otros, atendiendo al diferente régimen de jornada. Sin embargo, afirma, un análisis más profundo de la medida permite constatar que la situación es justamente la inversa: la reducción de jornada no es la causa que motiva la reducción retributiva sino su consecuencia, ya que el único motivo que se esgrime, tanto en la exposición de motivo de la Ley 10/2012 como en el preámbulo de la instrucción de la Dirección General de la Función Pública, es la necesidad de contención del gasto público, no por una eventual innecesariedad de la prestación de la actividad a jornada completa, lo que evidencia que la idea central de la medida es operar una reducción retributiva y, como consecuencia de ella, se opera la reducción proporcional de la jornada de trabajo. Consecuentemente, no es la reducción de jornada una razón objetiva que justifique causalmente la medida de reducción retributiva, sino que a consecuencia de la reducción retributiva porcentual la Administración exonera al personal afectado de un porcentaje igual en la prestación de su jornada de trabajo.</w:t>
      </w:r>
    </w:p>
    <w:p w:rsidR="00163957" w:rsidRDefault="00163957" w:rsidP="00163957">
      <w:pPr>
        <w:pStyle w:val="TextoNormal"/>
      </w:pPr>
    </w:p>
    <w:p w:rsidR="00163957" w:rsidRDefault="00163957" w:rsidP="00163957">
      <w:pPr>
        <w:pStyle w:val="TextoNormal"/>
      </w:pPr>
      <w:r>
        <w:t>Afirma que este sindicato se adhiere plenamente a los argumentos contenidos en el Auto de 11 de diciembre de 2013 que plantea la cuestión de inconstitucionalidad y que da por reproducidos, pues considera que la disposición adicional quincuagésima séptima de la Ley 10/2012, de presupuestos generales de la Comunidad Autónomas Canarias vulnera el principio de igualdad consagrado en el art. 14 CE al establecer condiciones de trabajo diferentes y hacer de peor condición al personal laboral indefinido que haya sido declarado como tal por resolución judicial o administrativa y al personal laboral temporal, en relación con el personal laboral fijo, mediante la imposición, exclusivamente a aquellos, de una reducción del 20 por 100 de su jornada y de sus retribuciones por razones de contención del gasto público y con la finalidad de mantener el empleo público, extensivo al personal con jornada de trabajo a tiempo parcial inferior a 25 horas semanales, en las condiciones allí establecidas.</w:t>
      </w:r>
    </w:p>
    <w:p w:rsidR="00163957" w:rsidRDefault="00163957" w:rsidP="00163957">
      <w:pPr>
        <w:pStyle w:val="TextoNormal"/>
      </w:pPr>
    </w:p>
    <w:p w:rsidR="00163957" w:rsidRDefault="00163957" w:rsidP="00163957">
      <w:pPr>
        <w:pStyle w:val="TextoNormal"/>
      </w:pPr>
      <w:r w:rsidRPr="00163957">
        <w:rPr>
          <w:rStyle w:val="NumeroAFNegritaCaracter"/>
        </w:rPr>
        <w:t>17</w:t>
      </w:r>
      <w:r>
        <w:t>. Por providencia de 12 de abril de 2016 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Sala de lo Social del Tribunal Superior de Justicia de Canarias (con sede en Las Palmas de Gran Canaria) plantea cuestión de inconstitucionalidad respecto de la disposición adicional quincuagésima séptima de la Ley 10/2012, de 29 de diciembre, de presupuestos generales de la Comunidad Autónoma de Canarias para 2013, por posible vulneración del art. 14 CE.</w:t>
      </w:r>
    </w:p>
    <w:p w:rsidR="00163957" w:rsidRDefault="00163957" w:rsidP="00163957">
      <w:pPr>
        <w:pStyle w:val="TextoNormal"/>
      </w:pPr>
    </w:p>
    <w:p w:rsidR="00163957" w:rsidRDefault="00163957" w:rsidP="00163957">
      <w:pPr>
        <w:pStyle w:val="TextoNormal"/>
      </w:pPr>
      <w:r>
        <w:t xml:space="preserve">El Fiscal General del Estado solicita la estimación de la cuestión de inconstitucionalidad planteada por vulneración del art. 149.1.7 CE al considerar que lo regulado por la disposición adicional quincuagésima séptima de la Ley 10/2012 es una materia contemplada en el art. 47 del texto refundido de la Ley del estatuto de los trabajadores, precepto que, en virtud </w:t>
      </w:r>
      <w:r>
        <w:lastRenderedPageBreak/>
        <w:t>de lo dispuesto en la disposición adicional vigésima primera de dicho texto legal, no es de aplicación a las Administraciones públicas.</w:t>
      </w:r>
    </w:p>
    <w:p w:rsidR="00163957" w:rsidRDefault="00163957" w:rsidP="00163957">
      <w:pPr>
        <w:pStyle w:val="TextoNormal"/>
      </w:pPr>
    </w:p>
    <w:p w:rsidR="00163957" w:rsidRDefault="00163957" w:rsidP="00163957">
      <w:pPr>
        <w:pStyle w:val="TextoNormal"/>
      </w:pPr>
      <w:r>
        <w:t>Los sindicatos Intersindical Canaria y Comisiones Obreras solicitan la estimación por vulneración del art. 14 CE alegando que la norma cuestionada establece condiciones de trabajo diferentes y hace de peor condición al personal laboral indefinido y al personal temporal en relación con el personal laboral fijo.</w:t>
      </w:r>
    </w:p>
    <w:p w:rsidR="00163957" w:rsidRDefault="00163957" w:rsidP="00163957">
      <w:pPr>
        <w:pStyle w:val="TextoNormal"/>
      </w:pPr>
    </w:p>
    <w:p w:rsidR="00163957" w:rsidRDefault="00163957" w:rsidP="00163957">
      <w:pPr>
        <w:pStyle w:val="TextoNormal"/>
      </w:pPr>
      <w:r>
        <w:t>Por su parte el Gobierno de Canarias solicita la desestimación de la cuestión por entender que no estamos ante situaciones jurídicas iguales, pues la naturaleza temporal o fija del vínculo con la Administración es suficiente para justificar un trato diferenciado.</w:t>
      </w:r>
    </w:p>
    <w:p w:rsidR="00163957" w:rsidRDefault="00163957" w:rsidP="00163957">
      <w:pPr>
        <w:pStyle w:val="TextoNormal"/>
      </w:pPr>
    </w:p>
    <w:p w:rsidR="00163957" w:rsidRDefault="00163957" w:rsidP="00163957">
      <w:pPr>
        <w:pStyle w:val="TextoNormal"/>
      </w:pPr>
      <w:r w:rsidRPr="00163957">
        <w:rPr>
          <w:rStyle w:val="NumeroAFNegritaCaracter"/>
        </w:rPr>
        <w:t>2</w:t>
      </w:r>
      <w:r>
        <w:t>. Con la finalidad de determinar el objeto de la cuestión planteada y decidir acerca de una eventual pérdida de su objeto, antes de entrar en el examen del fondo resulta procedente examinar el contenido de la disposición impugnada y las resoluciones administrativas dictadas con posterioridad a ella, en la medida en que estas pueden afectar a su eficacia. La disposición adicional quincuagésima séptima de la Ley de presupuestos de la Comunidad Autónoma de Canarias ha previsto con carácter coyuntural durante el ejercicio 2013, por razones de contención del gasto público, una reducción de la jornada de trabajo del personal funcionario interino y del personal laboral temporal e indefinido de un 20 por 100. Esta medida no se aplica a los empleados públicos vinculados a la prestación de servicios públicos esenciales, como justicia, sanidad y educación. Para los trabajadores con jornada de trabajo a tiempo parcial inferior a 25 horas semanales la reducción es del 10 por 100.</w:t>
      </w:r>
    </w:p>
    <w:p w:rsidR="00163957" w:rsidRDefault="00163957" w:rsidP="00163957">
      <w:pPr>
        <w:pStyle w:val="TextoNormal"/>
      </w:pPr>
    </w:p>
    <w:p w:rsidR="00163957" w:rsidRDefault="00163957" w:rsidP="00163957">
      <w:pPr>
        <w:pStyle w:val="TextoNormal"/>
      </w:pPr>
      <w:r>
        <w:t>El texto de la disposición adicional quincuagésima séptima de la Ley 10/2012, de 29 de diciembre, de presupuestos generales de la Comunidad Autónoma de Canarias es, en efecto, el siguiente:</w:t>
      </w:r>
    </w:p>
    <w:p w:rsidR="00163957" w:rsidRDefault="00163957" w:rsidP="00163957">
      <w:pPr>
        <w:pStyle w:val="TextoNormal"/>
      </w:pPr>
    </w:p>
    <w:p w:rsidR="00163957" w:rsidRDefault="00163957" w:rsidP="00163957">
      <w:pPr>
        <w:pStyle w:val="TextoNormal"/>
      </w:pPr>
      <w:r>
        <w:t>“Reducción de la jornada de trabajo de los funcionarios interinos y del personal laboral indefinido y temporal del ámbito de la Administración General de la Comunidad Autónoma de Canarias</w:t>
      </w:r>
    </w:p>
    <w:p w:rsidR="00163957" w:rsidRDefault="00163957" w:rsidP="00163957">
      <w:pPr>
        <w:pStyle w:val="TextoNormal"/>
      </w:pPr>
    </w:p>
    <w:p w:rsidR="00163957" w:rsidRDefault="00163957" w:rsidP="00163957">
      <w:pPr>
        <w:pStyle w:val="TextoNormal"/>
      </w:pPr>
      <w:r>
        <w:t>1. Durante el ejercicio 2013 la jornada de trabajo del personal funcionario interino, del personal laboral indefinido que haya sido declarado como tal por resolución judicial o administrativa y del personal laboral temporal, incluidos en el ámbito de la Administración General de la Comunidad Autónoma de Canarias, de sus organismos autónomos y entidades de Derecho público con presupuesto limitativo, se reduce en un 20 por 100, reduciéndose en el mismo porcentaje sus retribuciones, por razones de contención del gasto público y con la finalidad de mantener el empleo público.</w:t>
      </w:r>
    </w:p>
    <w:p w:rsidR="00163957" w:rsidRDefault="00163957" w:rsidP="00163957">
      <w:pPr>
        <w:pStyle w:val="TextoNormal"/>
      </w:pPr>
    </w:p>
    <w:p w:rsidR="00163957" w:rsidRDefault="00163957" w:rsidP="00163957">
      <w:pPr>
        <w:pStyle w:val="TextoNormal"/>
      </w:pPr>
      <w:r>
        <w:t>La reducción anterior será de aplicación al personal señalado, sin perjuicio de las reducciones de jornada que, por aplicación de normas legales, reglamentarias o convencionales, se encuentre disfrutando a título individual.</w:t>
      </w:r>
    </w:p>
    <w:p w:rsidR="00163957" w:rsidRDefault="00163957" w:rsidP="00163957">
      <w:pPr>
        <w:pStyle w:val="TextoNormal"/>
      </w:pPr>
    </w:p>
    <w:p w:rsidR="00163957" w:rsidRDefault="00163957" w:rsidP="00163957">
      <w:pPr>
        <w:pStyle w:val="TextoNormal"/>
      </w:pPr>
      <w:r>
        <w:t>2. No obstante lo previsto en el apartado anterior, el personal con jornada de trabajo a tiempo parcial inferior a veinticinco horas semanales de trabajo efectivo en cómputo anual experimentará una reducción de jornada de un 10 por 100, reduciéndose en el mismo porcentaje sus retribuciones.</w:t>
      </w:r>
    </w:p>
    <w:p w:rsidR="00163957" w:rsidRDefault="00163957" w:rsidP="00163957">
      <w:pPr>
        <w:pStyle w:val="TextoNormal"/>
      </w:pPr>
    </w:p>
    <w:p w:rsidR="00163957" w:rsidRDefault="00163957" w:rsidP="00163957">
      <w:pPr>
        <w:pStyle w:val="TextoNormal"/>
      </w:pPr>
      <w:r>
        <w:t>3. El Consejo de Gobierno, a propuesta de las consejerías de Presidencia, Justicia e Igualdad y Economía, Hacienda y Seguridad, podrá aprobar las medidas necesarias para minorar o dejar sin efecto la reducción de jornada de trabajo y proporcional de retribuciones prevista en esta disposición.</w:t>
      </w:r>
    </w:p>
    <w:p w:rsidR="00163957" w:rsidRDefault="00163957" w:rsidP="00163957">
      <w:pPr>
        <w:pStyle w:val="TextoNormal"/>
      </w:pPr>
    </w:p>
    <w:p w:rsidR="00163957" w:rsidRDefault="00163957" w:rsidP="00163957">
      <w:pPr>
        <w:pStyle w:val="TextoNormal"/>
      </w:pPr>
      <w:r>
        <w:t>4. La presente disposición adicional no se aplicará al personal al servicio de los órganos judiciales y fiscales de la Administración de Justicia, al personal docente no universitario ni al personal funcionario, laboral y estatutario que presta servicios en las gerencias y centros de salud del Servicio Canario de la Salud, ni al personal de Instituto Canario de Hemodonación y Hemoterapia que presta servicios en la red transfusional y bancos de sangre.”</w:t>
      </w:r>
    </w:p>
    <w:p w:rsidR="00163957" w:rsidRDefault="00163957" w:rsidP="00163957">
      <w:pPr>
        <w:pStyle w:val="TextoNormal"/>
      </w:pPr>
    </w:p>
    <w:p w:rsidR="00163957" w:rsidRDefault="00163957" w:rsidP="00163957">
      <w:pPr>
        <w:pStyle w:val="TextoNormal"/>
      </w:pPr>
      <w:r>
        <w:t>Por acuerdo del Gobierno de Canarias del 4 de abril de 2013 (“BOC” núm. 66, de 8 de abril), con amparo en la previsión contenida en el número 3 de la disposición adicional quincuagésima séptima de la Ley 10/2012, de 29 de diciembre, se ha dejado sin efecto la reducción de jornada de trabajo y proporcional de retribuciones de los funcionarios interinos y del personal laboral indefinido y temporal del ámbito de la Administración General de la Comunidad Autónoma de Canarias con efectos desde el 1 de mayo de 2013.</w:t>
      </w:r>
    </w:p>
    <w:p w:rsidR="00163957" w:rsidRDefault="00163957" w:rsidP="00163957">
      <w:pPr>
        <w:pStyle w:val="TextoNormal"/>
      </w:pPr>
    </w:p>
    <w:p w:rsidR="00163957" w:rsidRDefault="00163957" w:rsidP="00163957">
      <w:pPr>
        <w:pStyle w:val="TextoNormal"/>
      </w:pPr>
      <w:r>
        <w:t>Por resolución del Gobierno de Canarias de 28 de noviembre de 2013 se ha acordado ampliar los términos del acuerdo de 4 de abril de 2013 en el sentido de retrotraer su efectividad a 1 de enero de 2013 exclusivamente en relación con aquellos afectados por la aplicación de la citada disposición que, encontrándose en situación de servicio activo, individualmente, y dentro del plazo que establezca al efecto la Consejería de Presidencia, Justicia e Igualdad, manifiesten su voluntad de que les sea aplicado este acuerdo. De este modo, según establece la citada resolución, a los empleados públicos que resultaron afectados por la aplicación de la citada disposición y que, encontrándose en situación de servicio activo, hagan expresa manifestación de voluntad de aplicación de este acuerdo, conforme al modelo que figura como anexo al mismo, se les acreditará en nómina, en el mes de diciembre de 2013, las cantidades equivalentes a las retribuciones dejadas de percibir en el periodo enero a abril del año en curso como consecuencia de la aplicación de la disposición adicional quincuagésima séptima de la Ley 10/2012, quedando obligados a recuperar la parte de jornada no realizada durante los meses de referencia (20 por 100 o 10 por 100, según los casos), en los términos que se establezcan por la Consejería de Presidencia, Justicia e Igualdad.</w:t>
      </w:r>
    </w:p>
    <w:p w:rsidR="00163957" w:rsidRDefault="00163957" w:rsidP="00163957">
      <w:pPr>
        <w:pStyle w:val="TextoNormal"/>
      </w:pPr>
    </w:p>
    <w:p w:rsidR="00163957" w:rsidRDefault="00163957" w:rsidP="00163957">
      <w:pPr>
        <w:pStyle w:val="TextoNormal"/>
      </w:pPr>
      <w:r>
        <w:t>Tratándose de una cuestión de inconstitucionalidad, la modificación del régimen de aplicación de la disposición legal impugnada comportaría la pérdida de objeto del proceso constitucional si, una vez operada, aquella dejara de ser aplicable o no fuera ya relevante para la resolución del proceso judicial en el que ha sido planteada (entre otras, STC 73/2014, de 8 de mayo, FJ 2). Pues bien, en este caso los citados acuerdos no hacen perder objeto a la presente cuestión de inconstitucionalidad, pues no cabe excluir que la resolución que se dicte pueda tener efectos sobre eventuales demandas planteadas contra el Gobierno de Canarias por trabajadores que hayan decidido no adherirse al acuerdo o por trabajadores a los que no les sea de aplicación por no encontrarse en situación de servicio activo.</w:t>
      </w:r>
    </w:p>
    <w:p w:rsidR="00163957" w:rsidRDefault="00163957" w:rsidP="00163957">
      <w:pPr>
        <w:pStyle w:val="TextoNormal"/>
      </w:pPr>
    </w:p>
    <w:p w:rsidR="00163957" w:rsidRDefault="00163957" w:rsidP="00163957">
      <w:pPr>
        <w:pStyle w:val="TextoNormal"/>
      </w:pPr>
      <w:r>
        <w:t xml:space="preserve">Con carácter previo a analizar el fondo de la presente cuestión es preciso también delimitar su objeto. El órgano judicial plantea esta cuestión de inconstitucionalidad respecto de la disposición adicional quincuagésima séptima de la Ley 10/2012, de 29 de diciembre, de </w:t>
      </w:r>
      <w:r>
        <w:lastRenderedPageBreak/>
        <w:t xml:space="preserve">presupuestos generales de la Comunidad Autónoma de Canarias para 2013 en su integridad. Sin embargo la norma cuestionada no resulta aplicable y relevante para el fallo en la parte de la misma que se refiere a los funcionarios interinos, pues la controversia planteada en el proceso </w:t>
      </w:r>
      <w:r w:rsidRPr="00163957">
        <w:rPr>
          <w:i/>
        </w:rPr>
        <w:t>a quo</w:t>
      </w:r>
      <w:r>
        <w:t xml:space="preserve"> no afecta a este tipo de personal, sino al personal laboral indefinido y temporal. En consecuencia, permanece fuera del objeto de la presente cuestión la regulación que establece esta norma en relación con los funcionarios interinos y queda, por tanto, limitado su objeto a la parte que se refiere al personal laboral indefinido y temporal.</w:t>
      </w:r>
    </w:p>
    <w:p w:rsidR="00163957" w:rsidRDefault="00163957" w:rsidP="00163957">
      <w:pPr>
        <w:pStyle w:val="TextoNormal"/>
      </w:pPr>
    </w:p>
    <w:p w:rsidR="00163957" w:rsidRDefault="00163957" w:rsidP="00163957">
      <w:pPr>
        <w:pStyle w:val="TextoNormal"/>
      </w:pPr>
      <w:r w:rsidRPr="00163957">
        <w:rPr>
          <w:rStyle w:val="NumeroAFNegritaCaracter"/>
        </w:rPr>
        <w:t>3</w:t>
      </w:r>
      <w:r>
        <w:t>. La Sala de lo Social del Tribunal Superior de Justicia de Canarias entiende que la disposición adicional quincuagésima séptima de la Ley 10/2012, de 29 de diciembre, de presupuestos generales de la Comunidad Autónoma de Canarias para 2013, vulnera el art. 14 CE al haber impuesto al personal laboral temporal y al personal laboral indefinido que haya sido declarado como tal por resolución judicial o administrativa unas condiciones de trabajo distintas de las establecidas para el personal laboral fijo sin justificación suficiente, más allá de unas “razones de contención de gasto público” cuya necesidad afecta a todo el personal de la Administración de la Comunidad Autónoma, dadas las dificultades presupuestarias derivadas de la situación de crisis económica padecida. Según se sostiene en el auto de planteamiento, la norma impugnada aplica la reducción prevista de la jornada al personal laboral indefinido que haya sido declarado como tal por resolución judicial o administrativa y al personal laboral temporal, pero no al personal fijo ha vulnerado el principio de igualdad.</w:t>
      </w:r>
    </w:p>
    <w:p w:rsidR="00163957" w:rsidRDefault="00163957" w:rsidP="00163957">
      <w:pPr>
        <w:pStyle w:val="TextoNormal"/>
      </w:pPr>
    </w:p>
    <w:p w:rsidR="00163957" w:rsidRDefault="00163957" w:rsidP="00163957">
      <w:pPr>
        <w:pStyle w:val="TextoNormal"/>
      </w:pPr>
      <w:r>
        <w:t>El Tribunal tiene declarado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entre otras).</w:t>
      </w:r>
    </w:p>
    <w:p w:rsidR="00163957" w:rsidRDefault="00163957" w:rsidP="00163957">
      <w:pPr>
        <w:pStyle w:val="TextoNormal"/>
      </w:pPr>
    </w:p>
    <w:p w:rsidR="00163957" w:rsidRDefault="00163957" w:rsidP="00163957">
      <w:pPr>
        <w:pStyle w:val="TextoNormal"/>
      </w:pPr>
      <w:r>
        <w:t>Lo propio del juicio de igualdad, ha dicho el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Solo una vez verificado uno y otro presupuesto resulta procedente entrar a determinar la licitud constitucional o no de la diferencia contenida en la norma’ (STC 200/2001, de 4 de octubre, FJ 5)” (STC 156/2014, de 25 de septiembre). La regla o criterio igualatorio “puede ser sancionado directamente por la Constitución … arrancar de la Ley o de una norma escrita de inferior rango, de la costumbre o de los principios generales del Derecho … Cualquier excepción o limitación temporal del criterio de igualación ha de tener una justificación razonable, que corresponde al Tribunal Constitucional examinar”. (STC 59/1982, de 28 de julio, FJ 3).</w:t>
      </w:r>
    </w:p>
    <w:p w:rsidR="00163957" w:rsidRDefault="00163957" w:rsidP="00163957">
      <w:pPr>
        <w:pStyle w:val="TextoNormal"/>
      </w:pPr>
    </w:p>
    <w:p w:rsidR="00163957" w:rsidRDefault="00163957" w:rsidP="00163957">
      <w:pPr>
        <w:pStyle w:val="TextoNormal"/>
      </w:pPr>
      <w:r w:rsidRPr="00163957">
        <w:rPr>
          <w:rStyle w:val="NumeroAFNegritaCaracter"/>
        </w:rPr>
        <w:t>4</w:t>
      </w:r>
      <w:r>
        <w:t>. En el presente supuesto nos encontramos ante dos grupos diferenciados —el de los trabajadores fijos y el de los trabajadores indefinidos y temporales— a los que se otorga tratamiento distinto en la disposición adicional quincuagésima séptima de la Ley 10/2012, de 29 de diciembre, de presupuestos generales de la Comunidad Autónoma de Canarias para 2013, por cuanto solo a los segundos se les reduce en un 20 por 100 su jornada de trabajo. Sucede, pues, que la naturaleza del contrato de trabajo determina la aplicación o no de la reducción.</w:t>
      </w:r>
    </w:p>
    <w:p w:rsidR="00163957" w:rsidRDefault="00163957" w:rsidP="00163957">
      <w:pPr>
        <w:pStyle w:val="TextoNormal"/>
      </w:pPr>
    </w:p>
    <w:p w:rsidR="00163957" w:rsidRDefault="00163957" w:rsidP="00163957">
      <w:pPr>
        <w:pStyle w:val="TextoNormal"/>
      </w:pPr>
      <w:r>
        <w:t>La STC 104/2004, de 28 de junio, FJ 6, resume la jurisprudencia constitucional respecto a la diferencia entre trabajadores temporales y fijos declarando que, “si bien la duración del contrato no es un factor desdeñable a la hora de establecer ciertas diferencias en aquellas situaciones (SSTC 136/1987, de 22 de julio, FJ 6; 177/1993, de 31 de mayo, FJ 3), las diferencias han de tener su origen en datos objetivos relacionados con la prestación de trabajo o el régimen jurídico del contrato (en particular en lo relativo a sus causas de extinción) que las expliquen razonablemente (STC 177/1993), pero no alcanzan al distinto tratamiento que, en perjuicio de los trabajadores temporales, se dispensa sin apoyo en datos objetivos y con merma de su posición misma como trabajadores de la empresa, como ocurría en el caso de la exclusión del ámbito personal de aplicación del convenio colectivo, incrementando las dificultades de un conjunto de sujetos sin poder negociador propio (STC 136/1987) o en las diferencias retributivas ajenas al contenido y condiciones de la prestación de trabajo que realizaban estos trabajadores en relación a los fijos (STC 177/1993)”.</w:t>
      </w:r>
    </w:p>
    <w:p w:rsidR="00163957" w:rsidRDefault="00163957" w:rsidP="00163957">
      <w:pPr>
        <w:pStyle w:val="TextoNormal"/>
      </w:pPr>
    </w:p>
    <w:p w:rsidR="00163957" w:rsidRDefault="00163957" w:rsidP="00163957">
      <w:pPr>
        <w:pStyle w:val="TextoNormal"/>
      </w:pPr>
      <w:r>
        <w:t xml:space="preserve">La citada Sentencia continúa señalando que, “[a]sí, toda diferencia de tratamiento debe estar justificada por razones objetivas, sin que resulte compatible con el art. 14 CE un tratamiento, ya sea general o específico en relación con ámbitos concretos de las condiciones de trabajo, que configure a los trabajadores temporales como colectivo en una posición de segundo orden en relación con los trabajadores con contratos de duración indefinida … Es claro que tanto unos como otros gozan de la fijeza que se deriva de las estipulaciones de su contrato de trabajo respecto de su duración y de las disposiciones legales que regulan sus causas de extinción, y que tanto unos como otros pertenecen durante la vigencia de su contrato a la plantilla de la empresa para la que prestan sus servicios, sin que resulte admisible ninguna diferencia de tratamiento que no esté justificada por razones objetivas. La clarificación de estos principios básicos, frente a cualquier vacilación o duda interpretativa que pudiera existir, ha sido una de las constantes de la actividad del legislador ordinario, nacional y comunitario, en estos últimos años en la ordenación del trabajo temporal. Así, no está de más recordar el contenido de la Directiva 1999/70/CE, del Consejo, de 28 de junio de 1999, relativa al Acuerdo marco de la Confederación europea de sindicatos, la Unión de confederaciones de industria y empleadores de Europa y el Centro europeo de la empresa pública sobre el trabajo de duración determinada, que, recogiendo el acuerdo al respecto de los interlocutores sociales europeos que refleja el título de la Directiva, tiene por objeto precisamente el establecimiento de ‘un marco general para garantizar la igualdad de trato a los trabajadores con un contrato de duración determinada, protegiéndolos contra la discriminación’ (párrafo segundo del Preámbulo). Para el logro del tal objetivo la Directiva establece, entre otras cuestiones, que ‘por lo que respecta a las condiciones de trabajo, no podrá tratarse a los trabajadores con contratos de duración determinada de una manera menos favorable que a los trabajadores fijos comparables por el mero hecho de tener un contrato de </w:t>
      </w:r>
      <w:r>
        <w:lastRenderedPageBreak/>
        <w:t>duración determinada, a menos que se justifique un trato diferente por razones objetivas’ (cláusula 4.1)”.</w:t>
      </w:r>
    </w:p>
    <w:p w:rsidR="00163957" w:rsidRDefault="00163957" w:rsidP="00163957">
      <w:pPr>
        <w:pStyle w:val="TextoNormal"/>
      </w:pPr>
    </w:p>
    <w:p w:rsidR="00163957" w:rsidRDefault="00163957" w:rsidP="00163957">
      <w:pPr>
        <w:pStyle w:val="TextoNormal"/>
      </w:pPr>
      <w:r>
        <w:t xml:space="preserve">Conviene señalar que el Tribunal de Justicia de la Unión Europea, cuando se ha pronunciado sobre la interpretación del principio de no discriminación contenido en la referida cláusula 4.1 de la Directiva 1999/70/CE, ha establecido una doctrina muy similar a la que ha llegado este Tribunal en relación con las diferencias de trato entre trabajadores fijos y temporales. Esta doctrina se ha establecido, entre otras, en Sentencias que han sido dictadas con ocasión de cuestiones prejudiciales planteadas por jueces españoles sobre complementos retributivos que la normativa interna no reconocía a los funcionarios interinos (entre otras, STJUE de 13 de septiembre de 2007, asunto </w:t>
      </w:r>
      <w:r w:rsidRPr="00163957">
        <w:rPr>
          <w:i/>
        </w:rPr>
        <w:t>del Cerro Alonso</w:t>
      </w:r>
      <w:r>
        <w:t xml:space="preserve">, STJUE de 22 de diciembre de 2010, asunto </w:t>
      </w:r>
      <w:r w:rsidRPr="00163957">
        <w:rPr>
          <w:i/>
        </w:rPr>
        <w:t>Gavieiro Gavieiro e Iglesias Torres</w:t>
      </w:r>
      <w:r>
        <w:t xml:space="preserve">, ATJUE de 9 de febrero de 2012, asunto </w:t>
      </w:r>
      <w:r w:rsidRPr="00163957">
        <w:rPr>
          <w:i/>
        </w:rPr>
        <w:t>Lorenzo Martínez</w:t>
      </w:r>
      <w:r>
        <w:t xml:space="preserve">) o al personal eventual (STJUE de 9 julio de 2015, asunto </w:t>
      </w:r>
      <w:r w:rsidRPr="00163957">
        <w:rPr>
          <w:i/>
        </w:rPr>
        <w:t>Regojo Dans</w:t>
      </w:r>
      <w:r>
        <w:t xml:space="preserve">). En esta última Sentencia, apartado 41, se afirma que el “Acuerdo marco, y en particular su cláusula 4, tiene por objeto la aplicación de dicho principio a los trabajadores con un contrato de duración determinada con la finalidad de impedir que una relación laboral de esta naturaleza sea utilizada por un empleador para privar a dichos trabajadores de derechos reconocidos a los trabajadores con contrato de duración indefinida (sentencias </w:t>
      </w:r>
      <w:r w:rsidRPr="00163957">
        <w:rPr>
          <w:i/>
        </w:rPr>
        <w:t>Del Cerro Alonso</w:t>
      </w:r>
      <w:r>
        <w:t xml:space="preserve">, C 307/05, EU:C:2007:509, apartado 37; </w:t>
      </w:r>
      <w:r w:rsidRPr="00163957">
        <w:rPr>
          <w:i/>
        </w:rPr>
        <w:t>Gavieiro Gavieiro e Iglesias Torres</w:t>
      </w:r>
      <w:r>
        <w:t xml:space="preserve">, C 444/09 y C 456/09, EU:C:2010:819, apartado 48, y </w:t>
      </w:r>
      <w:r w:rsidRPr="00163957">
        <w:rPr>
          <w:i/>
        </w:rPr>
        <w:t>Nierodzik</w:t>
      </w:r>
      <w:r>
        <w:t xml:space="preserve">, C 38/13, EU:C:2014:152, apartado 23, y autos </w:t>
      </w:r>
      <w:r w:rsidRPr="00163957">
        <w:rPr>
          <w:i/>
        </w:rPr>
        <w:t>Montoya Medina</w:t>
      </w:r>
      <w:r>
        <w:t xml:space="preserve">, C 273/10, EU:C:2011:167, apartado 30, y </w:t>
      </w:r>
      <w:r w:rsidRPr="00163957">
        <w:rPr>
          <w:i/>
        </w:rPr>
        <w:t>Lorenzo Martínez</w:t>
      </w:r>
      <w:r>
        <w:t xml:space="preserve">, C 556/11, EU:C:2012:67, apartado 35).” Según se deduce de esta jurisprudencia, los trabajadores con contrato de duración determinada no pueden, sin que exista justificación objetiva alguna, ser tratados de manera menos favorable que los trabajadores fijos que se encuentran en una situación comparable. Como se afirma en el apartado 45 de la STJUE de 9 julio de 2015, asunto </w:t>
      </w:r>
      <w:r w:rsidRPr="00163957">
        <w:rPr>
          <w:i/>
        </w:rPr>
        <w:t>Regojo Dans</w:t>
      </w:r>
      <w:r>
        <w:t xml:space="preserve">, “[a] este respecto, procede recordar que el concepto de ‘trabajador con contrato de duración indefinida comparable’ se define en la cláusula 3, apartado 2, del Acuerdo marco como ‘un trabajador con un contrato o relación laboral de duración indefinida, en el mismo centro de trabajo, que realice un trabajo u ocupación idéntico o similar, teniendo en cuenta su cualificación y las tareas que desempeña’”. De ahí que en esta Sentencia se sostenga, apartado 46, que “[p]ara apreciar si determinados trabajadores ejercen un trabajo idéntico o similar, en el sentido del Acuerdo marco, en virtud de sus cláusulas 3, apartado 2, y 4, apartado 1, debe tenerse en cuenta un conjunto de factores, como la naturaleza del trabajo, las condiciones de formación y las condiciones laborales”. Más adelante se precisa (apartado 56) que “la referencia a la mera naturaleza temporal de la relación de servicio del personal de la Administración Pública no es conforme a estos requisitos y, por tanto, no puede constituir, por sí sola, una razón objetiva, en el sentido de la cláusula 4, apartado 1, del Acuerdo marco (sentencia </w:t>
      </w:r>
      <w:r w:rsidRPr="00163957">
        <w:rPr>
          <w:i/>
        </w:rPr>
        <w:t>Gavieiro Gavieiro e Iglesias Torres</w:t>
      </w:r>
      <w:r>
        <w:t xml:space="preserve">, C 444/09 y C 456/09, EU:C:2010:819, apartado 56, y autos </w:t>
      </w:r>
      <w:r w:rsidRPr="00163957">
        <w:rPr>
          <w:i/>
        </w:rPr>
        <w:t>Montoya Medina</w:t>
      </w:r>
      <w:r>
        <w:t xml:space="preserve">, C 273/10, EU:C:2011:167, apartado 42, y </w:t>
      </w:r>
      <w:r w:rsidRPr="00163957">
        <w:rPr>
          <w:i/>
        </w:rPr>
        <w:t>Lorenzo Martínez</w:t>
      </w:r>
      <w:r>
        <w:t>, C 556/11, EU:C:2012:67, apartado 49)”.</w:t>
      </w:r>
    </w:p>
    <w:p w:rsidR="00163957" w:rsidRDefault="00163957" w:rsidP="00163957">
      <w:pPr>
        <w:pStyle w:val="TextoNormal"/>
      </w:pPr>
    </w:p>
    <w:p w:rsidR="00163957" w:rsidRDefault="00163957" w:rsidP="00163957">
      <w:pPr>
        <w:pStyle w:val="TextoNormal"/>
      </w:pPr>
      <w:r>
        <w:t xml:space="preserve">Estas consideraciones han determinado que el Tribunal de Justicia de la Unión Europea haya declarado que “[l]a cláusula 4, apartado 1, del Acuerdo marco debe interpretarse en el sentido de que se opone a una norma nacional, como la controvertida en el litigio principal, que excluye, sin justificación alguna por razones objetivas, al personal eventual del derecho a percibir los trienios concedidos, en particular, a los funcionarios de carrera, cuando, en relación con la percepción de dicho complemento salarial, ambas categorías de trabajadores </w:t>
      </w:r>
      <w:r>
        <w:lastRenderedPageBreak/>
        <w:t xml:space="preserve">se hallan en situaciones comparables” (STJUE de 9 julio de 2015, asunto </w:t>
      </w:r>
      <w:r w:rsidRPr="00163957">
        <w:rPr>
          <w:i/>
        </w:rPr>
        <w:t>Regojo Dans</w:t>
      </w:r>
      <w:r>
        <w:t xml:space="preserve">, apartado 62). A esta misma conclusión llegó también el Tribunal de Justicia en el ATJUE de 9 de febrero de 2012, asunto </w:t>
      </w:r>
      <w:r w:rsidRPr="00163957">
        <w:rPr>
          <w:i/>
        </w:rPr>
        <w:t>Lorenzo Martínez</w:t>
      </w:r>
      <w:r>
        <w:t>, dictado con ocasión de una cuestión prejudicial en relación con la reclamación por una profesora de enseñanza no universitaria interina sobre el reconocimiento y cobro de los “sexenios” que la normativa interna española solo reconocía a los profesores funcionarios de carrera. Esta doctrina ha sido tenida en cuenta, desde una perspectiva distinta de la que ahora se analiza, en la STC 232/2015, de 5 de noviembre.</w:t>
      </w:r>
    </w:p>
    <w:p w:rsidR="00163957" w:rsidRDefault="00163957" w:rsidP="00163957">
      <w:pPr>
        <w:pStyle w:val="TextoNormal"/>
      </w:pPr>
    </w:p>
    <w:p w:rsidR="00163957" w:rsidRDefault="00163957" w:rsidP="00163957">
      <w:pPr>
        <w:pStyle w:val="TextoNormal"/>
      </w:pPr>
      <w:r>
        <w:t>De este modo, el Tribunal de Justicia ha asentado una doctrina en relación con la cláusula 4.1 de la Directiva 1999/70/CE similar a la que este Tribunal ha establecido en relación con el art. 14 CE cuando ha tenido que pronunciarse sobre la constitucionalidad de las diferencias de trato entre trabajadores temporales y fijos.</w:t>
      </w:r>
    </w:p>
    <w:p w:rsidR="00163957" w:rsidRDefault="00163957" w:rsidP="00163957">
      <w:pPr>
        <w:pStyle w:val="TextoNormal"/>
      </w:pPr>
    </w:p>
    <w:p w:rsidR="00163957" w:rsidRDefault="00163957" w:rsidP="00163957">
      <w:pPr>
        <w:pStyle w:val="TextoNormal"/>
      </w:pPr>
      <w:r w:rsidRPr="00163957">
        <w:rPr>
          <w:rStyle w:val="NumeroAFNegritaCaracter"/>
        </w:rPr>
        <w:t>5</w:t>
      </w:r>
      <w:r>
        <w:t>. Por tanto, de la jurisprudencia constitucional, se deduce un criterio de igualación (STC 59/1982, de 28 de julio, FJ 3) entre los trabajadores con contratos de duración determinada y los trabajadores fijos comparables, de tal suerte que el mero hecho de tener un contrato de duración determinada no puede justificar un trato diferente que no aparezca fundado en razones objetivas suficientes.</w:t>
      </w:r>
    </w:p>
    <w:p w:rsidR="00163957" w:rsidRDefault="00163957" w:rsidP="00163957">
      <w:pPr>
        <w:pStyle w:val="TextoNormal"/>
      </w:pPr>
    </w:p>
    <w:p w:rsidR="00163957" w:rsidRDefault="00163957" w:rsidP="00163957">
      <w:pPr>
        <w:pStyle w:val="TextoNormal"/>
      </w:pPr>
      <w:r>
        <w:t>En el presente caso cabe apreciar que la norma cuestionada, al establecer la reducción de jornada respecto del personal laboral indefinido y temporal del ámbito de la Administración General de la Comunidad Autónoma de Canarias, trata de forma diferente a los trabajadores fijos y a los trabajadores que no tienen este carácter. Debe tenerse en cuenta que la categoría de personal laboral indefinido tiene su origen en la solución jurisprudencial aplicada para salir al paso de la existencia de irregularidades en la contratación temporal de las Administraciones públicas. Dichas irregularidades, como pone de relieve la jurisprudencia del Tribunal Supremo (SSTS 20 de enero de 1998 y 22 de julio de 2013, entre otras muchas), pese a su ilicitud, no podían determinar la adquisición de la fijeza por el trabajador afectado, pues tal efecto pugnaría con los principios legales y constitucionales que garantizan el acceso al empleo público —tanto funcionarial, como laboral— en condiciones que se ajusten a los principios de igualdad, mérito, capacidad y publicidad.</w:t>
      </w:r>
    </w:p>
    <w:p w:rsidR="00163957" w:rsidRDefault="00163957" w:rsidP="00163957">
      <w:pPr>
        <w:pStyle w:val="TextoNormal"/>
      </w:pPr>
    </w:p>
    <w:p w:rsidR="00163957" w:rsidRDefault="00163957" w:rsidP="00163957">
      <w:pPr>
        <w:pStyle w:val="TextoNormal"/>
      </w:pPr>
      <w:r>
        <w:t>En consecuencia, el carácter indefinido del contrato, aun cuando implica que este no esté sometido a término cierto o determinado, no supone que el trabajador consolide una plaza fija en plantilla, por lo que, desde el punto de vista que ahora interesa, no puede apreciarse que exista una diferencia sustancial entre el contrato indefinido y el contrato temporal. Por ello puede afirmarse que la norma cuestionada establece una diferencia de trato entre los trabajadores temporales (en los que ha de considerarse incluido el personal laboral indefinido) y los trabajadores fijos.</w:t>
      </w:r>
    </w:p>
    <w:p w:rsidR="00163957" w:rsidRDefault="00163957" w:rsidP="00163957">
      <w:pPr>
        <w:pStyle w:val="TextoNormal"/>
      </w:pPr>
    </w:p>
    <w:p w:rsidR="00163957" w:rsidRDefault="00163957" w:rsidP="00163957">
      <w:pPr>
        <w:pStyle w:val="TextoNormal"/>
      </w:pPr>
      <w:r>
        <w:t xml:space="preserve">No obstante, para apreciar la quiebra del principio de igualdad no basta con que exista un trato diferente entre estos dos tipos de trabajadores sino que, como se ha indicado, es preciso, además, que no existan causas objetivas que permitan considerar razonable esta diferenciación. Y a los efectos de apreciar si estas causas objetivas existen ha de partirse de la premisa, como también se ha señalado, de que tanto la jurisprudencia de este Tribunal como la del Tribunal de Justicia de la Unión Europea ha reconocido la existencia de un criterio igualitario entre los trabajadores temporales y fijos que no puede ser excepcionado </w:t>
      </w:r>
      <w:r>
        <w:lastRenderedPageBreak/>
        <w:t>por razón de la duración. De ahí que el diferente trato que se otorgue a estos trabajadores solo puede considerarse acorde con el referido criterio igualitario si el trato distinto se justifica en la naturaleza del específico trabajo que desempeñen o sea una consecuencia inherente a su condición de trabajadores temporales, como sucede, en particular, en lo que se refiere a las causas que determinan la extinción de su relación contractual.</w:t>
      </w:r>
    </w:p>
    <w:p w:rsidR="00163957" w:rsidRDefault="00163957" w:rsidP="00163957">
      <w:pPr>
        <w:pStyle w:val="TextoNormal"/>
      </w:pPr>
    </w:p>
    <w:p w:rsidR="00163957" w:rsidRDefault="00163957" w:rsidP="00163957">
      <w:pPr>
        <w:pStyle w:val="TextoNormal"/>
      </w:pPr>
      <w:r>
        <w:t>En el presente caso la disposición adicional que se enjuicia establece, con carácter general, la reducción de jornada del personal funcionario interino, del personal laboral indefinido y del personal laboral temporal, por lo que es claro que la diferenciación no se establece por razón de la naturaleza del trabajo que se desempeña, sino por el hecho de que este personal no tiene una relación de empleo fija con la Administración. Esta circunstancia, de acuerdo con la doctrina establecida en la STC 104/2004, de 28 de junio, FJ 6, no puede considerarse, por sí sola, una justificación razonable que permita considerar acorde con el principio de igualdad la medida establecida, pues, aunque para acceder a una relación de empleo fija con la Administración, bien como funcionario de carrera, bien como personal laboral fijo, se exija superar unos procesos selectivos que acrediten el mérito y capacidad y estos procesos selectivos sean diferentes de los que han de superar aquellos que tienen un vínculo temporal con la Administración, esta diferente forma de acceso no permite en este supuesto entender justificada la diferencia de trato. La menor dificultad que tiene los procesos selectivos que superan quienes se incorporan con carácter temporal a la Administración pública respecto de los que tienen que superar aquellos que se integran como personal fijo no justifica que respecto de estos trabajadores se adopten medidas que no estén justificadas en datos objetivos relacionados con la prestación de trabajo que tienen que desempeñar o que sean consustanciales a la naturaleza temporal de su relación de empleo.</w:t>
      </w:r>
    </w:p>
    <w:p w:rsidR="00163957" w:rsidRDefault="00163957" w:rsidP="00163957">
      <w:pPr>
        <w:pStyle w:val="TextoNormal"/>
      </w:pPr>
    </w:p>
    <w:p w:rsidR="00163957" w:rsidRDefault="00163957" w:rsidP="00163957">
      <w:pPr>
        <w:pStyle w:val="TextoNormal"/>
      </w:pPr>
      <w:r>
        <w:t>De ahí que como la medida prevista en la norma cuestionada no tiene esta justificación, sino que se fundamenta, como expresamente se reconoce en su apartado primero, en razones de contención de gasto público y tiene como finalidad mantener el empleo público, hacer recaer estas medidas únicamente en los empleados públicos que tienen la condición de temporales no puede considerarse acorde con el principio de igualdad. Esta previsión, como se ha indicado rompe el criterio igualitario entre los trabajadores con contratos de duración determinada y los trabajadores fijos comparables que se deduce de la doctrina de este Tribunal (STC 104/2004, de 28 de junio) así como de la aplicación del Derecho europeo y la interpretación que del mismo ha hecho el Tribunal de Justicia de la Unión Europea.</w:t>
      </w:r>
    </w:p>
    <w:p w:rsidR="00163957" w:rsidRDefault="00163957" w:rsidP="00163957">
      <w:pPr>
        <w:pStyle w:val="TextoNormal"/>
      </w:pPr>
    </w:p>
    <w:p w:rsidR="00163957" w:rsidRDefault="00163957" w:rsidP="00163957">
      <w:pPr>
        <w:pStyle w:val="TextoNormal"/>
      </w:pPr>
      <w:r w:rsidRPr="00163957">
        <w:rPr>
          <w:rStyle w:val="NumeroAFNegritaCaracter"/>
        </w:rPr>
        <w:t>6</w:t>
      </w:r>
      <w:r>
        <w:t>. La consecuencia a que debe llegarse es, pues, la de la estimación de la cuestión de constitucionalidad planteada por la Sala de lo Social del Tribunal Superior de Justicia de Canarias (con sede de Las Palmas de Gran Canaria) respecto de la disposición adicional quincuagésima séptima de la Ley 10/2012, de 29 de diciembre, de presupuestos generales de la Comunidad Autónoma de Canarias para 2013, por vulnerar el art. 14 CE. Esta conclusión nos exime de entrar a analizar la alegación de la Fiscal General del Estado en la que se sostiene que la norma cuestionada podría vulnerar el art. 149.1.7 CE.</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la presente cuestión de inconstitucionalidad y, en consecuencia, declarar inconstitucional y nula la Disposición Adicional quincuagésima séptima de la ley 10/2012, de 29 de diciembre, de presupuestos generales de la Comunidad Autónoma de Canarias para 2013 en la parte de la misma que se refiere al personal laboral indefinido y al personal laboral temporal, lo que conlleva la nulidad e inconstitucionalidad del inciso contenido en su rúbrica “y del personal laboral indefinido y temporal” y la del inciso “del personal laboral indefinido que haya sido declarado como tal por resolución judicial o administrativa y del personal laboral temporal” contenido en su apartado 1.</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75" w:name="SENTENCIA_2016_72"/>
      <w:r>
        <w:lastRenderedPageBreak/>
        <w:t>SENTENCIA 72/2016, de 14 de abril de 2016</w:t>
      </w:r>
    </w:p>
    <w:bookmarkEnd w:id="75"/>
    <w:p w:rsidR="00163957" w:rsidRDefault="00163957" w:rsidP="00163957">
      <w:pPr>
        <w:pStyle w:val="TtuloResolucin"/>
      </w:pPr>
      <w:r>
        <w:t>Pleno</w:t>
      </w:r>
    </w:p>
    <w:p w:rsidR="00163957" w:rsidRDefault="00163957" w:rsidP="00163957">
      <w:pPr>
        <w:pStyle w:val="TtuloBOE"/>
      </w:pPr>
      <w:r>
        <w:t>(BOE núm. 122, de 20 de mayo de 2016)</w:t>
      </w:r>
    </w:p>
    <w:p w:rsidR="00163957" w:rsidRDefault="00163957" w:rsidP="00163957">
      <w:pPr>
        <w:pStyle w:val="TextoNormalCentrado"/>
      </w:pPr>
      <w:r>
        <w:t>ECLI:ES:TC:2016:72</w:t>
      </w:r>
    </w:p>
    <w:p w:rsidR="00163957" w:rsidRDefault="00163957" w:rsidP="00163957">
      <w:pPr>
        <w:pStyle w:val="TextoNormalCentrado"/>
      </w:pPr>
    </w:p>
    <w:p w:rsidR="00163957" w:rsidRDefault="00163957" w:rsidP="00163957">
      <w:pPr>
        <w:pStyle w:val="SntesisDescriptiva"/>
      </w:pPr>
      <w:r>
        <w:t>Recurso de inconstitucionalidad 5819-2014. Interpuesto por el Consejo de Gobierno de la Junta de Andalucía respecto de diversos preceptos de la Ley 24/2013, de 26 de diciembre, del sector eléctrico.</w:t>
      </w:r>
    </w:p>
    <w:p w:rsidR="00163957" w:rsidRDefault="00163957" w:rsidP="00163957">
      <w:pPr>
        <w:pStyle w:val="SntesisDescriptiva"/>
      </w:pPr>
    </w:p>
    <w:p w:rsidR="00163957" w:rsidRDefault="00163957" w:rsidP="00163957">
      <w:pPr>
        <w:pStyle w:val="SntesisAnaltica"/>
      </w:pPr>
      <w:r>
        <w:t>Competencias sobre ordenación general de la economía y sector eléctrico: constitucionalidad de los preceptos legales relativos al autoconsumo de energía eléctrica y a la tipificación de las infracciones graves y muy graves en esta misma materia (STC 60/2016).</w:t>
      </w:r>
    </w:p>
    <w:p w:rsidR="00163957" w:rsidRDefault="00163957" w:rsidP="00163957">
      <w:pPr>
        <w:pStyle w:val="SntesisAnaltica"/>
      </w:pPr>
    </w:p>
    <w:p w:rsidR="00163957" w:rsidRDefault="00163957" w:rsidP="00163957">
      <w:pPr>
        <w:pStyle w:val="Extracto"/>
      </w:pPr>
      <w:r>
        <w:t>1.</w:t>
      </w:r>
      <w:r>
        <w:tab/>
        <w:t>Asunto sustancialmente idéntico al resuelto por la STC 60/2016, en relación con la doctrina sobre el orden constitucional de distribución de competencias y el concepto material de bases del sector eléctrico [FFJJ 2,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5819-2014 interpuesto por el Consejo de Gobierno de la Junta de Andalucía contra los arts. 9, 64.43, 65.35 y disposición final segunda de la Ley 24/2013, de 26 de diciembre, del sector eléctrico. Ha comparecido y formulado alegaciones el Abogado del Estado. Ha sido Ponente el Magistrado don Ricardo Enríquez Sancho,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26 de septiembre de 2014 el Letrado de la Junta de Andalucía, en la representación que legalmente ostenta, promueve recurso de inconstitucionalidad contra los arts. 9, 64.43, 65.35 y disposición final segunda de la Ley 24/2013, de 26 de diciembre, del sector eléctrico (en adelante, LSE).</w:t>
      </w:r>
    </w:p>
    <w:p w:rsidR="00163957" w:rsidRDefault="00163957" w:rsidP="00163957">
      <w:pPr>
        <w:pStyle w:val="TextoNormal"/>
      </w:pPr>
    </w:p>
    <w:p w:rsidR="00163957" w:rsidRDefault="00163957" w:rsidP="00163957">
      <w:pPr>
        <w:pStyle w:val="TextoNormal"/>
      </w:pPr>
      <w:r>
        <w:lastRenderedPageBreak/>
        <w:t>Los motivos del recurso son, resumidamente expuestos, los siguientes:</w:t>
      </w:r>
    </w:p>
    <w:p w:rsidR="00163957" w:rsidRDefault="00163957" w:rsidP="00163957">
      <w:pPr>
        <w:pStyle w:val="TextoNormal"/>
      </w:pPr>
    </w:p>
    <w:p w:rsidR="00163957" w:rsidRDefault="00163957" w:rsidP="00163957">
      <w:pPr>
        <w:pStyle w:val="TextoNormal"/>
      </w:pPr>
      <w:r>
        <w:t>El escrito de interposición alude, en primer lugar, a la delimitación del marco constitucional y estatutario de distribución de competencias en materia de energía, medio ambiente, ordenación del territorio y urbanismo, pues todos ellos se encontrarían aquí concernidos. Señala que, en el caso del Estado, confluyen dos títulos competenciales específicos, el del art. 149.1.22 CE, relativo a la autorización de las instalaciones eléctricas si el aprovechamiento afecta a otra Comunidad o el transporte de energía salga de su ámbito territorial, y el del art. 149.1.25 CE sobre las bases del régimen minero y energético. A ambos títulos se añade el más genérico del art. 149.1.13 CE, relativo a las bases y coordinación de la planificación general de la actividad económica, que incide también en el ámbito de la energía eléctrica. Por su parte compete a la Comunidad Autónoma el desarrollo legislativo de las bases estatales, lo que entraña la capacidad para orientar, dentro del respeto a las mencionadas bases, políticas propias en materia energética. Destaca también la relación directa de aquella con la competencia autonómica sobre medio ambiente, especialmente cuando se trata de las llamadas energías renovables y de la denominada eficiencia energética. En último lugar alude al reparto competencial en materia de ordenación del territorio y urbanismo, para concluir que el ámbito de autonomía de Andalucía queda afectado por los preceptos impugnados.</w:t>
      </w:r>
    </w:p>
    <w:p w:rsidR="00163957" w:rsidRDefault="00163957" w:rsidP="00163957">
      <w:pPr>
        <w:pStyle w:val="TextoNormal"/>
      </w:pPr>
    </w:p>
    <w:p w:rsidR="00163957" w:rsidRDefault="00163957" w:rsidP="00163957">
      <w:pPr>
        <w:pStyle w:val="TextoNormal"/>
      </w:pPr>
      <w:r>
        <w:t>Menciona a continuación la importancia de la energía para el desarrollo económico y social así como el impulso dado en Andalucía a las energías renovables y al ahorro y la eficiencia energética. Con ello pretende expresarse que la Comunidad Autónoma ha venido desarrollando una política energética propia, en el marco y desde el respeto a la planificación y competencias estatales, orientada fundamentalmente al desarrollo de las energías renovables. Política autonómica que se ve cercenada con la nueva normativa básica estatal. En concreto la demanda considera que “con la actual regulación del autoconsumo se ve frenado por tanto el elevado potencial de ahorro energético y mejora de la eficiencia energética existente en todos los sectores de actividad, cuya puesta en valor incrementarla la competitividad de las empresas y mejoraría las economías domésticas y del sector público”.</w:t>
      </w:r>
    </w:p>
    <w:p w:rsidR="00163957" w:rsidRDefault="00163957" w:rsidP="00163957">
      <w:pPr>
        <w:pStyle w:val="TextoNormal"/>
      </w:pPr>
    </w:p>
    <w:p w:rsidR="00163957" w:rsidRDefault="00163957" w:rsidP="00163957">
      <w:pPr>
        <w:pStyle w:val="TextoNormal"/>
      </w:pPr>
      <w:r>
        <w:t xml:space="preserve">La demanda sostiene que la detallada regulación del art. 9 en materia de autoconsumo vacía de contenido las competencias autonómicas de desarrollo normativo y ejecución, pues con ello se niega a la Comunidad Autónoma el margen de desarrollo legislativo de las bases estatales, operación que entraña una verdadera capacidad para orientar, dentro del respeto a las mencionadas bases, políticas propias en materia energética. En este punto la demanda dice compartir “los razonamientos expresados en el Dictamen 7/2014, de 27 de febrero, del Consejo de Garantías Estatutarias, en cuanto afirma que desde el punto de vista de la vertiente de territorialidad el autoconsumo (como energía que se produce y consume en la propia instalación del consumidor) no puede afectar a la explotación unificada del sistema energético; como tampoco, desde el punto de vista económico, la falta de relevancia para la protección de los intereses económicos generales, al afectar única y exclusivamente a un potencial factor de reducción de demanda (facilitando, por otro lado, el ahorro y la eficiencia y -por ende• reduciendo la dependencia energética)”. Destacando el carácter intraautonómico de las instalaciones de autoconsumo entiende la demanda que la regulación del apartado 4 del art. 9 en torno a la obligación de inscribirse en el registro administrativo de autoconsumo de energía eléctrica, creado a tal efecto en el Ministerio de Industria, Energía y Turismo, así como la previsión de que reglamentariamente se establecerá por el Gobierno </w:t>
      </w:r>
      <w:r>
        <w:lastRenderedPageBreak/>
        <w:t>la organización, el procedimiento de inscripción y comunicación de datos al registro administrativo de autoconsumo de energía eléctrica, vulnera las competencias autonómicas.</w:t>
      </w:r>
    </w:p>
    <w:p w:rsidR="00163957" w:rsidRDefault="00163957" w:rsidP="00163957">
      <w:pPr>
        <w:pStyle w:val="TextoNormal"/>
      </w:pPr>
    </w:p>
    <w:p w:rsidR="00163957" w:rsidRDefault="00163957" w:rsidP="00163957">
      <w:pPr>
        <w:pStyle w:val="TextoNormal"/>
      </w:pPr>
      <w:r>
        <w:t>Las limitaciones introducidas por el legislador estatal para el desarrollo del autoconsumo vienen a configurar una restricción en términos tales que, por razones económicas, impiden su implantación en Andalucía, cuando, en atención a su alcance general intracomunitario, debería impedirse una regulación estatal del autoconsumo tan extensa y tan limitativa.</w:t>
      </w:r>
    </w:p>
    <w:p w:rsidR="00163957" w:rsidRDefault="00163957" w:rsidP="00163957">
      <w:pPr>
        <w:pStyle w:val="TextoNormal"/>
      </w:pPr>
    </w:p>
    <w:p w:rsidR="00163957" w:rsidRDefault="00163957" w:rsidP="00163957">
      <w:pPr>
        <w:pStyle w:val="TextoNormal"/>
      </w:pPr>
      <w:r>
        <w:t>La demanda también concluye que si la regulación del autoconsumo es inconstitucional lo son los arts. 64.43 y 65.35 que tipifican infracciones respecto al mismo, pues sabido es el carácter fiduciario de la potestad sancionadora respecto de la competencia. Igualmente, por razones sistemáticas, se recurre la disposición final segunda en la medida en que declara básicos los preceptos que se impugnan, “por lo que la inconstitucionalidad de esos preceptos se extiende también, respecto a estos preceptos, a la disposición final segunda”.</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21 de octubre de 2014 el Pleno, a propuesta de la Sección Cuarta, acordó admitir a trámite el recurso de inconstitucionalidad promovido por el Consejo de Gobierno de la Junta de Andalucía y, en su representación y defensa, por el Letrado del mismo, contra los arts. 9, 64.43, 65.35 y disposición final segunda de la Ley 24/2013, de 26 de diciembre, del sector eléctrico; dar traslado de la demanda y documentos presentados, conforme establece el artículo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3. Mediante escrito registrado con fecha 29 de octubre de 2014 el Presidente del Senado comunicó el acuerdo de la Mesa de la Cámara de personarse en el procedimiento y ofrecer su colaboración a los efectos del art. 88.1 LOTC. Lo mismo hizo el Presidente del Congreso de los Diputados por escrito que tuvo entrada en este Tribunal el día 30 de octubre de 2014.</w:t>
      </w:r>
    </w:p>
    <w:p w:rsidR="00163957" w:rsidRDefault="00163957" w:rsidP="00163957">
      <w:pPr>
        <w:pStyle w:val="TextoNormal"/>
      </w:pPr>
    </w:p>
    <w:p w:rsidR="00163957" w:rsidRDefault="00163957" w:rsidP="00163957">
      <w:pPr>
        <w:pStyle w:val="TextoNormal"/>
      </w:pPr>
      <w:r w:rsidRPr="00163957">
        <w:rPr>
          <w:rStyle w:val="NumeroAFNegritaCaracter"/>
        </w:rPr>
        <w:t>4</w:t>
      </w:r>
      <w:r>
        <w:t>. Por escrito registrado el 30 de octubre de 2014 el Abogado del Estado se personó en nombre del Gobierno solicitando una prórroga en el plazo para la formulación de alegaciones, prórroga que le fue concedida por providencia del Pleno de 31 de octubre de 2014.</w:t>
      </w:r>
    </w:p>
    <w:p w:rsidR="00163957" w:rsidRDefault="00163957" w:rsidP="00163957">
      <w:pPr>
        <w:pStyle w:val="TextoNormal"/>
      </w:pPr>
    </w:p>
    <w:p w:rsidR="00163957" w:rsidRDefault="00163957" w:rsidP="00163957">
      <w:pPr>
        <w:pStyle w:val="TextoNormal"/>
      </w:pPr>
      <w:r w:rsidRPr="00163957">
        <w:rPr>
          <w:rStyle w:val="NumeroAFNegritaCaracter"/>
        </w:rPr>
        <w:t>5</w:t>
      </w:r>
      <w:r>
        <w:t>. Las alegaciones presentadas por el Abogado del Estado interesando la desestimación del recurso fueron registradas en este Tribunal el día 25 de noviembre de 2014.</w:t>
      </w:r>
    </w:p>
    <w:p w:rsidR="00163957" w:rsidRDefault="00163957" w:rsidP="00163957">
      <w:pPr>
        <w:pStyle w:val="TextoNormal"/>
      </w:pPr>
    </w:p>
    <w:p w:rsidR="00163957" w:rsidRDefault="00163957" w:rsidP="00163957">
      <w:pPr>
        <w:pStyle w:val="TextoNormal"/>
      </w:pPr>
      <w:r>
        <w:t>Comienza haciendo referencia al marco competencial en el que se inserta el recurso, aludiendo a las competencias estatales derivadas de los arts. 149.1.13, 22 y 25 CE, así como a la doctrina constitucional sobre su alcance respectivo, citando las STC 18/2011 y 181/2013, esta última en relación con el entrecruzamiento competencial que se produce en materia de sector eléctrico y destacando las líneas generales de la doctrina constitucional en relación con cada uno de los títulos competenciales estatales. Indica también las competencias de la Comunidad Autónoma de Andalucía reproduciendo los preceptos estatutarios.</w:t>
      </w:r>
    </w:p>
    <w:p w:rsidR="00163957" w:rsidRDefault="00163957" w:rsidP="00163957">
      <w:pPr>
        <w:pStyle w:val="TextoNormal"/>
      </w:pPr>
    </w:p>
    <w:p w:rsidR="00163957" w:rsidRDefault="00163957" w:rsidP="00163957">
      <w:pPr>
        <w:pStyle w:val="TextoNormal"/>
      </w:pPr>
      <w:r>
        <w:lastRenderedPageBreak/>
        <w:t>En cuanto a la impugnación del art. 9 señala que el Estado regula el autoconsumo de energía eléctrica amparándose en la competencia exclusiva para el establecimiento de las bases del sector energético. Según el Abogado del Estado el autoconsumo de energía eléctrica presenta beneficios para el sistema porque reduce las pérdidas de red y minimiza el impacto de las instalaciones eléctricas de su entorno, pero no reduce los costes de mantenimiento de las redes de transporte y distribución ni los costes ajenos al suministro que se encuentran imputados a los peajes de acceso y, en algunos casos, incluso puede generar costes de inversión adicionales en las redes para adecuarlas a las necesidades derivadas de dicha generación distribuida. Un consumidor sujeto al régimen de autoconsumo se beneficia del respaldo del sistema, aun cuando esté consumiendo electricidad autoproducida por su instalación de generación, por lo que debe colaborar con los costes del sistema, incluidos los necesarios para financiar las tecnologías de respaldo. En cuanto a la imposición a los autoconsumidores de la obligación de contribución a los costes del sistema, abriendo la posibilidad de que el Gobierno pueda establecer reducciones en los peajes, cargos y costes argumenta que las obligaciones de contribución a los costes del sistema han de establecerse de modo coherente y equitativo por el Estado para todos los autoconsumidores, ya que el cálculo de estos costes y su cobertura mediante el pago de peajes y cargos, han de calcularse técnicamente de forma unitaria.</w:t>
      </w:r>
    </w:p>
    <w:p w:rsidR="00163957" w:rsidRDefault="00163957" w:rsidP="00163957">
      <w:pPr>
        <w:pStyle w:val="TextoNormal"/>
      </w:pPr>
    </w:p>
    <w:p w:rsidR="00163957" w:rsidRDefault="00163957" w:rsidP="00163957">
      <w:pPr>
        <w:pStyle w:val="TextoNormal"/>
      </w:pPr>
      <w:r>
        <w:t>Respecto a la carga de inscripción en un registro administrativo con el fin de controlar las instalaciones de autoconsumo, señala que simplemente impone de la obligación de inscripción, sin detenerse en las formas de acceso al Registro ni en el modo de comunicación de datos, extremos para cuya disciplina se remite al ulterior desarrollo reglamentario, momento en el que podrá enjuiciarse si el Estado sobrepasa el ejercicio de las facultades que le corresponden en virtud de su competencia sobre las bases del régimen energético sin perjuicio de indicar que esta obligación de inscripción se impone en ejercicio de la facultad de regulación del régimen económico del sector eléctrico y se exige a los solos efectos de publicidad y conocimiento del número y características de los auto consumidores, desprovista de cualquier otro efecto jurídico. En cuanto a la remisión al reglamento para la determinación de las condiciones técnicas y administrativas de conexión a la red, el Abogado del Estado trae a colación la doctrina constitucional sobre el aspecto material de las bases, que pueden estar formuladas en normas con rango de ley, en disposiciones reglamentarias, e incluso en actos de ejecución.</w:t>
      </w:r>
    </w:p>
    <w:p w:rsidR="00163957" w:rsidRDefault="00163957" w:rsidP="00163957">
      <w:pPr>
        <w:pStyle w:val="TextoNormal"/>
      </w:pPr>
    </w:p>
    <w:p w:rsidR="00163957" w:rsidRDefault="00163957" w:rsidP="00163957">
      <w:pPr>
        <w:pStyle w:val="TextoNormal"/>
      </w:pPr>
      <w:r>
        <w:t>Sobre la impugnación de los arts. 64.43 y 65.35 LSE indica que la competencia para la regulación del régimen sancionador se encuentra vinculada con la competencia para la regulación sustantiva en la materia y, en cuanto a la disposición final segunda, resalta que, en la medida en que el Tribunal Constitucional se pronuncie sobre el carácter básico de cada uno de los preceptos recurridos no es preciso un pronunciamiento específico sobre este punto.</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12 de abril de 2016 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el presente proceso constitucional debemos resolver el recurso de inconstitucionalidad interpuesto por el Consejo de Gobierno de la Junta de Andalucía contra los arts. 9, 64.43, 65.35 y disposición final segunda de la Ley 24/2013, de 26 de diciembre, del sector eléctrico (LSE).</w:t>
      </w:r>
    </w:p>
    <w:p w:rsidR="00163957" w:rsidRDefault="00163957" w:rsidP="00163957">
      <w:pPr>
        <w:pStyle w:val="TextoNormal"/>
      </w:pPr>
    </w:p>
    <w:p w:rsidR="00163957" w:rsidRDefault="00163957" w:rsidP="00163957">
      <w:pPr>
        <w:pStyle w:val="TextoNormal"/>
      </w:pPr>
      <w:r>
        <w:t>Los preceptos impugnados se refieren a la regulación del autoconsumo de energía eléctrica (art. 9) y a la tipificación de las infracciones graves y muy graves en relación con el autoconsumo (arts. 64, apartado 43, y 65, apartado 35, respectivamente). La disposición final segunda se refiere al carácter básico de la norma y los títulos competenciales en los que se ampara.</w:t>
      </w:r>
    </w:p>
    <w:p w:rsidR="00163957" w:rsidRDefault="00163957" w:rsidP="00163957">
      <w:pPr>
        <w:pStyle w:val="TextoNormal"/>
      </w:pPr>
    </w:p>
    <w:p w:rsidR="00163957" w:rsidRDefault="00163957" w:rsidP="00163957">
      <w:pPr>
        <w:pStyle w:val="TextoNormal"/>
      </w:pPr>
      <w:r>
        <w:t>El recurso considera que la regulación del art. 9 relativa al autoconsumo vulnera, por su carácter excesivamente detallado, las competencias autonómicas en materia de energía, estableciendo un régimen restrictivo que, en la práctica va a impedir, por razones económicas, su implantación en Andalucía. Se cuestiona en particular la obligación de inscripción en un registro administrativo creado a tal efecto en el Ministerio de Industria y Energía que deriva del art. 9.4. Los arts. 64.63 y 65.35 se impugnan por relación a la queja anterior en cuanto que tipifican infracciones sobre el autoconsumo. La disposición final segunda (aunque la demanda reproduce la disposición final tercera) se impugna por razones sistemáticas en la medida en que declara básicos los preceptos que se recurren.</w:t>
      </w:r>
    </w:p>
    <w:p w:rsidR="00163957" w:rsidRDefault="00163957" w:rsidP="00163957">
      <w:pPr>
        <w:pStyle w:val="TextoNormal"/>
      </w:pPr>
    </w:p>
    <w:p w:rsidR="00163957" w:rsidRDefault="00163957" w:rsidP="00163957">
      <w:pPr>
        <w:pStyle w:val="TextoNormal"/>
      </w:pPr>
      <w:r w:rsidRPr="00163957">
        <w:rPr>
          <w:rStyle w:val="NumeroAFNegritaCaracter"/>
        </w:rPr>
        <w:t>2</w:t>
      </w:r>
      <w:r>
        <w:t>. Debemos comenzar delimitando el objeto del recurso, pues ha de ser inadmitido en lo que respecta a la disposición final segunda LSE.</w:t>
      </w:r>
    </w:p>
    <w:p w:rsidR="00163957" w:rsidRDefault="00163957" w:rsidP="00163957">
      <w:pPr>
        <w:pStyle w:val="TextoNormal"/>
      </w:pPr>
    </w:p>
    <w:p w:rsidR="00163957" w:rsidRDefault="00163957" w:rsidP="00163957">
      <w:pPr>
        <w:pStyle w:val="TextoNormal"/>
      </w:pPr>
      <w:r>
        <w:t>Como expresamente señala el art. 33.2 b) de la Ley Orgánica del Tribunal Constitucional (LOTC) y como también ha afirmado este Tribunal, en los supuestos en que se acuda al trámite conciliatorio previo contemplado en el citado precepto de la Ley Orgánica del Tribunal Constitucional, el marco de la discrepancia o controversia es el que se establece “en el acuerdo sobre iniciación de las negociaciones, que es objeto de publicación oficial y se comunica al Tribunal Constitucional. Es este acuerdo, por tanto, el que desempeña una función de delimitación del contenido de un eventual recurso de inconstitucionalidad posterior” [SSTC 8/2012, de 18 de enero, FJ 2 a); 182/2013, de 23 de octubre, FJ 2 a), 34/2014, de 27 de febrero, FJ 2 a) y 197/2015, de 24 de septiembre, FJ 2 c)]. Conforme a dicho criterio no puede pretenderse ahora impugnar la disposición final segunda LSE, ya que no se incluyó en su momento en el acuerdo de inicio de negociaciones exigido por el art. 33.2 LOTC. En efecto, el Acuerdo de la Subcomisión de Seguimiento Normativo, Prevención y Solución de Controversias de la Comisión Bilateral de Cooperación Administración General del Estado-Comunidad Autónoma de Andalucía en relación con la Ley 24/2013, de 26 de diciembre, del sector eléctrico (resolución de 4 de abril de 2014, de la Secretaría General de Coordinación Autonómica y Local del Ministerio de Hacienda y Administraciones Públicas, publicada en el “BOE” de 24 de abril) no contiene mención alguna a la disposición final segunda, impugnada ahora por conexión.</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Así delimitado el objeto del proceso tampoco pueden tomarse en consideración las alegaciones de la demanda respecto al carácter limitativo del autoconsumo que resultaría de </w:t>
      </w:r>
      <w:r>
        <w:lastRenderedPageBreak/>
        <w:t>la regulación impugnada, pues no corresponde a este Tribunal pronunciarse acerca de si la norma va a producir o no los efectos denunciados, sino enjuiciar su conformidad con el orden constitucional de distribución de competencias [en el mismo sentido, STC 18/2016, de 4 de febrero, FJ 9 a)].</w:t>
      </w:r>
    </w:p>
    <w:p w:rsidR="00163957" w:rsidRDefault="00163957" w:rsidP="00163957">
      <w:pPr>
        <w:pStyle w:val="TextoNormal"/>
      </w:pPr>
    </w:p>
    <w:p w:rsidR="00163957" w:rsidRDefault="00163957" w:rsidP="00163957">
      <w:pPr>
        <w:pStyle w:val="TextoNormal"/>
      </w:pPr>
      <w:r>
        <w:t>La controversia competencial planteada ha quedado ya resuelta en la STC 60/2016 de 17 de marzo FJ 3, que, a su vez, se remite a la doctrina de la STC 32/2016, de 18 de febrero.</w:t>
      </w:r>
    </w:p>
    <w:p w:rsidR="00163957" w:rsidRDefault="00163957" w:rsidP="00163957">
      <w:pPr>
        <w:pStyle w:val="TextoNormal"/>
      </w:pPr>
    </w:p>
    <w:p w:rsidR="00163957" w:rsidRDefault="00163957" w:rsidP="00163957">
      <w:pPr>
        <w:pStyle w:val="TextoNormal"/>
      </w:pPr>
      <w:r>
        <w:t>Así, en cuanto al art. 9, ya hemos establecido que la impugnación no puede ser estimada pues en ella “late una cierta confusión entre las competencias en materia de autorización de instalaciones eléctricas, a las que se refieren tanto el art. 149.1.22 CE como el art. 133.1 a) y b) EAC con las competencias estatales para el establecimiento de las bases del sector eléctrico que derivan del art. 149.1.25 CE y que delimitan el carácter compartido de la competencia autonómica. En efecto, dejando ahora aparte lo dispuesto en el art. 9.4, se aprecia que los restantes apartados del art. 9 no desbordan, desde esta última perspectiva, el concepto material de bases que se define en la STC 32/2016, FJ 4, con cita de otras. Dicha regulación persigue integrar este modo de producción y consumo de electricidad en el sistema eléctrico, así como prever el establecimiento por vía reglamentaria de un régimen económico de las distintas modalidades de autoconsumo, determinando la contribución de la energía autoconsumida a la cobertura de los costes y servicios del sistema eléctrico. Por un lado, define el régimen básico de la actividad de uno de los sujetos que interviene en el sistema eléctrico, definición que ha de responder a unas características homogéneas en un sistema que opera de forma única para todo el territorio nacional, y, por otro, establece una serie de criterios generales respecto al régimen económico aplicable al mismo, extremos ambos que tienen por finalidad garantizar un desarrollo ordenado de la actividad compatible con la sostenibilidad económica y técnica del sistema en su conjunto, uno de los objetivos fundamentales de la LSE. Se trata, entonces, de una cuestión que se sitúa en el ámbito de la ordenación básica de las actividades de suministro de energía eléctrica y del establecimiento de su régimen económico, para lo que los títulos de los arts. 149.1.13 y 25 CE proporcionan fundamento competencial adecuado” (STC 60/2016 de 17 de marzo, FJ 3).</w:t>
      </w:r>
    </w:p>
    <w:p w:rsidR="00163957" w:rsidRDefault="00163957" w:rsidP="00163957">
      <w:pPr>
        <w:pStyle w:val="TextoNormal"/>
      </w:pPr>
    </w:p>
    <w:p w:rsidR="00163957" w:rsidRDefault="00163957" w:rsidP="00163957">
      <w:pPr>
        <w:pStyle w:val="TextoNormal"/>
      </w:pPr>
      <w:r>
        <w:t>La misma suerte ha de correr la tacha específica que se formula al art. 9.4, relativa a una posible gestión centralizada del registro administrativo de autoconsumo de energía eléctrica, pues debe ser desestimada por las razones que ya expresamos en la STC 32/2016, FJ 6, y reiteramos en la STC 60/2016 de 17 de marzo, FJ 3. Este precepto “se limita a crear un registro único en relación con los consumidores acogidos a las modalidades de autoconsumo de energía eléctrica, quedando diferido a un posterior desarrollo reglamentario las cuestiones relativas a la organización, así como el procedimiento de inscripción y comunicación de datos en relación con el registro estatal. De este modo, atendiendo a las competencias estatales en la materia, la mera creación del registro administrativo de autoconsumo de energía eléctrica, único contenido del precepto impugnado, no ha invadido las competencias autonómicas, sin perjuicio de señalar que el uso que ha hecho el Gobierno de la remisión al reglamento (Real Decreto 900/2015, de 9 de octubre, por el que se regulan las condiciones administrativas, técnicas y económicas de las modalidades de suministro de energía eléctrica con autoconsumo y de producción con autoconsumo) pueda, en su caso, ser objeto del correspondiente control, por las vías procedimentales apropiadas, ante este Tribunal o ante la jurisdicción ordinaria”.</w:t>
      </w:r>
    </w:p>
    <w:p w:rsidR="00163957" w:rsidRDefault="00163957" w:rsidP="00163957">
      <w:pPr>
        <w:pStyle w:val="TextoNormal"/>
      </w:pPr>
    </w:p>
    <w:p w:rsidR="00163957" w:rsidRDefault="00163957" w:rsidP="00163957">
      <w:pPr>
        <w:pStyle w:val="TextoNormal"/>
      </w:pPr>
      <w:r>
        <w:lastRenderedPageBreak/>
        <w:t>Tampoco pueden estimarse las quejas planteadas respecto a los arts. 64.43 y 65.35 LSE, pues su impugnación no es autónoma, sino que se vincula a la del art. 9, que ya ha quedado desechada en los términos que ya se han expuesto. Por lo demás tampoco la mera tipificación de las conductas previstas en estos preceptos permite deducir, como se hace en la demanda, que las competencias sancionadoras hayan quedado reservadas en todo caso al Estado, cuando la propia Ley del sector eléctrico reconoce la existencia de potestad sancionadora autonómica en el art. 73.2.</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Inadmitir el recurso de inconstitucionalidad en lo que respecta a la disposición final segunda de la Ley 24/2013, de 26 de diciembre, del sector eléctrico.</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76" w:name="SENTENCIA_2016_73"/>
      <w:r>
        <w:lastRenderedPageBreak/>
        <w:t>SENTENCIA 73/2016, de 14 de abril de 2016</w:t>
      </w:r>
    </w:p>
    <w:bookmarkEnd w:id="76"/>
    <w:p w:rsidR="00163957" w:rsidRDefault="00163957" w:rsidP="00163957">
      <w:pPr>
        <w:pStyle w:val="TtuloResolucin"/>
      </w:pPr>
      <w:r>
        <w:t>Pleno</w:t>
      </w:r>
    </w:p>
    <w:p w:rsidR="00163957" w:rsidRDefault="00163957" w:rsidP="00163957">
      <w:pPr>
        <w:pStyle w:val="TtuloBOE"/>
      </w:pPr>
      <w:r>
        <w:t>(BOE núm. 122, de 20 de mayo de 2016)</w:t>
      </w:r>
    </w:p>
    <w:p w:rsidR="00163957" w:rsidRDefault="00163957" w:rsidP="00163957">
      <w:pPr>
        <w:pStyle w:val="TextoNormalCentrado"/>
      </w:pPr>
      <w:r>
        <w:t>ECLI:ES:TC:2016:73</w:t>
      </w:r>
    </w:p>
    <w:p w:rsidR="00163957" w:rsidRDefault="00163957" w:rsidP="00163957">
      <w:pPr>
        <w:pStyle w:val="TextoNormalCentrado"/>
      </w:pPr>
    </w:p>
    <w:p w:rsidR="00163957" w:rsidRDefault="00163957" w:rsidP="00163957">
      <w:pPr>
        <w:pStyle w:val="SntesisDescriptiva"/>
      </w:pPr>
      <w:r>
        <w:t>Recurso de inconstitucionalidad 6513-2014. Interpuesto por el Presidente del Gobierno en relación con diversos preceptos de la Ley 2/2014, de 27 de enero, de medidas fiscales, administrativas, financieras y del sector público de Cataluña.</w:t>
      </w:r>
    </w:p>
    <w:p w:rsidR="00163957" w:rsidRDefault="00163957" w:rsidP="00163957">
      <w:pPr>
        <w:pStyle w:val="SntesisDescriptiva"/>
      </w:pPr>
    </w:p>
    <w:p w:rsidR="00163957" w:rsidRDefault="00163957" w:rsidP="00163957">
      <w:pPr>
        <w:pStyle w:val="SntesisAnaltica"/>
      </w:pPr>
      <w:r>
        <w:t>Competencias sobre ordenación general de la economía, seguridad social, régimen energético y medio ambiente: nulidad de los preceptos legales que prohíben, de manera absoluta e incondicionada, una técnica de investigación y explotación de hidrocarburos (STC 106/2014) y regulan el régimen transitorio de implantación de establecimientos comerciales fuera de trama urbana. Votos particulares.</w:t>
      </w:r>
    </w:p>
    <w:p w:rsidR="00163957" w:rsidRDefault="00163957" w:rsidP="00163957">
      <w:pPr>
        <w:pStyle w:val="SntesisAnaltica"/>
      </w:pPr>
    </w:p>
    <w:p w:rsidR="00163957" w:rsidRDefault="00163957" w:rsidP="00163957">
      <w:pPr>
        <w:pStyle w:val="Extracto"/>
      </w:pPr>
      <w:r>
        <w:t>1.</w:t>
      </w:r>
      <w:r>
        <w:tab/>
        <w:t xml:space="preserve">La ausencia de motivación orientada a justificar mayores restricciones a la libertad de apertura de establecimientos comerciales fuera de las tramas urbanas consolidadas, origina que este aspecto de la Ley 2/2014, de 27 de enero, </w:t>
      </w:r>
      <w:r w:rsidRPr="00163957">
        <w:rPr>
          <w:i/>
        </w:rPr>
        <w:t>de medidas fiscales, administrativas, financieras y del sector público de Cataluña</w:t>
      </w:r>
      <w:r>
        <w:t xml:space="preserve"> resulte incompatible con la legislación básica estatal (STC 193/2013) [FJ 6].</w:t>
      </w:r>
    </w:p>
    <w:p w:rsidR="00163957" w:rsidRDefault="00163957" w:rsidP="00163957">
      <w:pPr>
        <w:pStyle w:val="Extracto"/>
      </w:pPr>
    </w:p>
    <w:p w:rsidR="00163957" w:rsidRDefault="00163957" w:rsidP="00163957">
      <w:pPr>
        <w:pStyle w:val="Extracto"/>
      </w:pPr>
      <w:r>
        <w:t>2.</w:t>
      </w:r>
      <w:r>
        <w:tab/>
        <w:t>La fijación de cualesquiera requisitos, condiciones o restricciones al acceso a (o ejercicio de) una actividad de servicios debe justificarse en razones imperiosas de interés general, como la protección del medio ambiente, la ordenación de territorio o la conservación del patrimonio histórico y artístico; en ningún caso en fines económicos, como garantizar la viabilidad económica de determinados prestadores [FJ 5].</w:t>
      </w:r>
    </w:p>
    <w:p w:rsidR="00163957" w:rsidRDefault="00163957" w:rsidP="00163957">
      <w:pPr>
        <w:pStyle w:val="Extracto"/>
      </w:pPr>
    </w:p>
    <w:p w:rsidR="00163957" w:rsidRDefault="00163957" w:rsidP="00163957">
      <w:pPr>
        <w:pStyle w:val="Extracto"/>
      </w:pPr>
      <w:r>
        <w:t>3.</w:t>
      </w:r>
      <w:r>
        <w:tab/>
        <w:t>La regulación autonómica de la tecnología de la fracturación hidráulica no puede entenderse amparada en las competencias estatutarias sobre ordenación del territorio y medio ambiente; la prohibición de dicha tecnología por parte de una Comunidad Autónoma vulnera la competencia estatal en materia de planificación de la actividad económica y régimen minero, al excluir la eficacia en el territorio autonómico de la legislación básica que se dicta al amparo de los referidos títulos competenciales (SSTC 106/2014, 208/2014) [FJ 8].</w:t>
      </w:r>
    </w:p>
    <w:p w:rsidR="00163957" w:rsidRDefault="00163957" w:rsidP="00163957">
      <w:pPr>
        <w:pStyle w:val="Extracto"/>
      </w:pPr>
    </w:p>
    <w:p w:rsidR="00163957" w:rsidRDefault="00163957" w:rsidP="00163957">
      <w:pPr>
        <w:pStyle w:val="Extracto"/>
      </w:pPr>
      <w:r>
        <w:t>4.</w:t>
      </w:r>
      <w:r>
        <w:tab/>
        <w:t>La Comunidad Autónoma puede imponer requisitos y cargas para el otorgamiento de autorizaciones y concesiones no previstos por la legislación estatal, sin alterar el ordenamiento básico en materia de régimen minero y energético [FJ 8].</w:t>
      </w:r>
    </w:p>
    <w:p w:rsidR="00163957" w:rsidRDefault="00163957" w:rsidP="00163957">
      <w:pPr>
        <w:pStyle w:val="Extracto"/>
      </w:pPr>
    </w:p>
    <w:p w:rsidR="00163957" w:rsidRDefault="00163957" w:rsidP="00163957">
      <w:pPr>
        <w:pStyle w:val="Extracto"/>
      </w:pPr>
      <w:r>
        <w:t>5.</w:t>
      </w:r>
      <w:r>
        <w:tab/>
        <w:t>La competencia exclusiva que en materia de ordenación del territorio y urbanismo tienen estatutariamente atribuidas las Comunidades Autónomas no autoriza a desconocer las competencias que, con el mismo carácter de exclusivas, vienen reservadas al Estado por virtud del art. 149.1 CE (SSTC 56/1986; 151/2003) [FJ 8].</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 xml:space="preserve">El Pleno del Tribunal Constitucional, compuesto por don Francisco Pérez de los Cobos Orihuel, Presidente, doña Adela Asua Batarrita, doña Encarnación Roca Trias, don Andrés </w:t>
      </w:r>
      <w:r>
        <w:lastRenderedPageBreak/>
        <w:t>Ollero Tassara, don Fernando Valdés Dal-Ré, don Juan José González Rivas, don Santiago Martínez-Vares García, don Juan Antonio Xiol Rios,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6513-2014 interpuesto por el Abogado del Estado en representación del Presidente del Gobierno contra el art. 167.1 y las disposiciones transitorias quinta y octava de la Ley 2/2014, de 27 de enero, de medidas fiscales, administrativas, financieras y del sector público de Cataluña, publicada en el Boletín Oficial de la Generalidad de Cataluña núm. 6551 de 30 de enero de 2014. Han intervenido la Abogada de la Generalidad de Cataluña y los Letrados del Parlamento de Cataluña. Ha sido Ponente el Magistrado don Andrés Ollero Tassara,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30 de octubre de 2014, el Abogado del Estado, en representación del Presidente del Gobierno, interpone recurso de inconstitucionalidad contra el art. 167.1 y las disposiciones transitorias quinta y octava de la Ley 2/2014, de 27 de enero, de medidas fiscales, administrativas, financieras y del sector público de Cataluña.</w:t>
      </w:r>
    </w:p>
    <w:p w:rsidR="00163957" w:rsidRDefault="00163957" w:rsidP="00163957">
      <w:pPr>
        <w:pStyle w:val="TextoNormal"/>
      </w:pPr>
    </w:p>
    <w:p w:rsidR="00163957" w:rsidRDefault="00163957" w:rsidP="00163957">
      <w:pPr>
        <w:pStyle w:val="TextoNormal"/>
      </w:pPr>
      <w:r w:rsidRPr="00163957">
        <w:rPr>
          <w:rStyle w:val="NumeroAFNegritaCaracter"/>
        </w:rPr>
        <w:t>2</w:t>
      </w:r>
      <w:r>
        <w:t>. El recurso de inconstitucionalidad, tras invocar los arts. 161.2 CE y 30 de la Ley Orgánica del Tribunal Constitucional (LOTC) a fin de que se produzca la suspensión de la aplicación de los preceptos controvertidos, argumenta las impugnaciones, que afectan a materias distintas: la explotación de recursos naturales mediante la técnica de la fracturación hidráulica (artículo 167.1), la autorización de establecimientos comerciales (disposición transitoria octava) y el régimen transitorio aplicable al Instituto Catalán de Asistencia y Servicios Sociales, suprimido por la disposición adicional vigésima de la Ley (disposición transitoria quinta).</w:t>
      </w:r>
    </w:p>
    <w:p w:rsidR="00163957" w:rsidRDefault="00163957" w:rsidP="00163957">
      <w:pPr>
        <w:pStyle w:val="TextoNormal"/>
      </w:pPr>
    </w:p>
    <w:p w:rsidR="00163957" w:rsidRDefault="00163957" w:rsidP="00163957">
      <w:pPr>
        <w:pStyle w:val="TextoNormal"/>
      </w:pPr>
      <w:r>
        <w:t>a) El art. 167.1 de la Ley controvertida añade un apartado 10 al art. 47 del texto refundido de la Ley de urbanismo de Cataluña, aprobado por Decreto Legislativo 1/2010, de 3 de agosto, conforme al que: “En la explotación de recursos naturales en suelo no urbanizable, en el caso de aprovechamiento de hidrocarburos, no está permitida la utilización de la tecnología de la fracturación hidráulica cuando pueda tener efectos negativos sobre las características geológicas, ambientales, paisajísticas o socioeconómicas de la zona, o en relación con otros ámbitos competenciales de la Generalidad”.</w:t>
      </w:r>
    </w:p>
    <w:p w:rsidR="00163957" w:rsidRDefault="00163957" w:rsidP="00163957">
      <w:pPr>
        <w:pStyle w:val="TextoNormal"/>
      </w:pPr>
    </w:p>
    <w:p w:rsidR="00163957" w:rsidRDefault="00163957" w:rsidP="00163957">
      <w:pPr>
        <w:pStyle w:val="TextoNormal"/>
      </w:pPr>
      <w:r>
        <w:lastRenderedPageBreak/>
        <w:t xml:space="preserve">A la vista de la doctrina constitucional (SSTC 197/1996, de 28 de noviembre; 223/2000, de 21 de septiembre; 8/2013, de 17 de enero, y 134/2014, de 22 de julio), los apartados 25 (bases del régimen energético) y 13 (bases y coordinación de la planificación general de la actividad económica) del art. 149.1 CE habilitarían el dictado de legislación básica sobre extracción de gas mediante la técnica de fractura hidráulica. Por eso habría de reputarse básica la Ley 34/1998, de 7 de octubre, del sector de hidrocarburos (en adelante, LSH) cuyo art. 2 “reconoce la libre iniciativa para el ejercicio de las actividades a que se refieren los Títulos III y IV de la presente Ley”, sometiéndola a un régimen de previa autorización destinado comprobar el cumplimiento de determinados requisitos técnicos. Esta Ley atribuye específicamente al Estado la competencia para otorgar las autorizaciones de exploración y los permisos de investigación cuando el ámbito territorial afectado exceda del de una Comunidad Autónoma (artículo 3.1). Por otra parte hace lo propio con todas las concesiones de explotación a que se refiere el título II, cualquiera que sea el ámbito territorial afectado, así como las autorizaciones de exploración, permisos de investigación y concesiones de explotación en las zonas de subsuelo marino. La Ley 17/2013, de 29 de octubre (para la garantía del suministro e incremento de la competencia en los sistemas eléctricos insulares y extrapeninsulares), el Real Decreto Legislativo 1/2008, de 11 de enero (por el que se aprueba el texto refundido de la Ley de evaluación de impacto ambiental) y la Ley 21/2013, de 9 de diciembre, de evaluación ambiental, salvaguardan los intereses medioambientales estableciendo que los proyectos que utilicen la técnica del </w:t>
      </w:r>
      <w:r w:rsidRPr="00163957">
        <w:rPr>
          <w:i/>
        </w:rPr>
        <w:t>fracking</w:t>
      </w:r>
      <w:r>
        <w:t xml:space="preserve"> estén sujetos a la evaluación de impacto ambiental.</w:t>
      </w:r>
    </w:p>
    <w:p w:rsidR="00163957" w:rsidRDefault="00163957" w:rsidP="00163957">
      <w:pPr>
        <w:pStyle w:val="TextoNormal"/>
      </w:pPr>
    </w:p>
    <w:p w:rsidR="00163957" w:rsidRDefault="00163957" w:rsidP="00163957">
      <w:pPr>
        <w:pStyle w:val="TextoNormal"/>
      </w:pPr>
      <w:r>
        <w:t>Según el Abogado del Estado, la previsión impugnada, en lugar de desarrollar las bases, las comprime en contra de la doctrina constitucional (SSTC 182/2013, de 23 de octubre). Transformaría la posibilidad de autorización o concesión de licencia en un supuesto de hecho verdaderamente excepcional. Establecería una prohibición general de la técnica de la fractura hidráulica y apunta hacia una serie de posibles excepciones a través de criterios extremadamente genéricos que abren un margen de discrecionalidad tan amplio que supondrían la derogación práctica del régimen básico de libertad sometido a autorización. La indefinición de los criterios medioambientales conforme a los que la autoridad autonómica debe valorar los proyectos podría llegar a bloquear e impedir la actividad de fractura hidráulica de proyectos concretos que hayan obtenido licencia de acuerdo con la legislación estatal, teniendo en cuenta que la evaluación ambiental corresponde al Estado respecto de sus propios proyectos (STC 13/1998, de 22 de enero).</w:t>
      </w:r>
    </w:p>
    <w:p w:rsidR="00163957" w:rsidRDefault="00163957" w:rsidP="00163957">
      <w:pPr>
        <w:pStyle w:val="TextoNormal"/>
      </w:pPr>
    </w:p>
    <w:p w:rsidR="00163957" w:rsidRDefault="00163957" w:rsidP="00163957">
      <w:pPr>
        <w:pStyle w:val="TextoNormal"/>
      </w:pPr>
      <w:r>
        <w:t>b) La disposición transitoria octava establece, en su primer inciso, que “en el plazo de un año a contar desde la entrada en vigor de la presente ley, el Gobierno debe presentar al Parlamento un proyecto de ley de comercio, servicios y ferias en el que se valoren adecuadamente los intereses públicos en relación con la normativa de implantación de equipamientos comerciales y la proporcionalidad y no discriminación de las medidas que deben adoptarse”. El segundo inciso añade: “Mientras no se apruebe este proyecto de ley queda suspendida la excepción de implantación de establecimientos fuera de trama urbana consolidada a que se refieren el apartado 3.b y el segundo párrafo del apartado 4 del artículo 9 del Decreto Ley 1/2009, de 22 de diciembre, de ordenación de los equipamientos comerciales”.</w:t>
      </w:r>
    </w:p>
    <w:p w:rsidR="00163957" w:rsidRDefault="00163957" w:rsidP="00163957">
      <w:pPr>
        <w:pStyle w:val="TextoNormal"/>
      </w:pPr>
    </w:p>
    <w:p w:rsidR="00163957" w:rsidRDefault="00163957" w:rsidP="00163957">
      <w:pPr>
        <w:pStyle w:val="TextoNormal"/>
      </w:pPr>
      <w:r>
        <w:t xml:space="preserve">El art. 6 de la Ley 7/1996, de 15 de enero, de ordenación del comercio minorista (LOCM) tiene carácter básico </w:t>
      </w:r>
      <w:r w:rsidRPr="00163957">
        <w:rPr>
          <w:i/>
        </w:rPr>
        <w:t>ex</w:t>
      </w:r>
      <w:r>
        <w:t xml:space="preserve"> art. 149.1.13 CE (STC 193/2013, de 21 de noviembre). Esta previsión estatal, en la redacción dada por el Real Decreto-ley 8/2014, de 4 de julio, establece un </w:t>
      </w:r>
      <w:r>
        <w:lastRenderedPageBreak/>
        <w:t>régimen de libertad, sin sujeción a régimen de autorización, para la apertura, traslado o ampliación de instalación de establecimientos comerciales (apartado 1). Ante determinados riesgos (daños sobre el medio ambiente, el entorno urbano o el patrimonio histórico-artístico) y sólo si tales riesgos no pueden afrontarse mediante un régimen de declaración responsable o comunicación previa, podrá exigirse motivadamente una única autorización (apartado 2). Los requisitos que se exijan habrán de ser no discriminatorios, proporcionados, claros e inequívocos, objetivos, hechos públicos con antelación, predecibles, transparentes y accesibles. Deben estar justificados en razones imperiosas de interés general, vinculados específicamente a la instalación o infraestructura y basados en la evitación de daños sobre el medio ambiente, el entorno urbano y el patrimonio histórico-artístico (apartado 3). El otorgamiento de la autorización no puede supeditarse en caso alguno a requisitos de naturaleza económica como la prueba de una necesidad económica, demanda en el mercado o exceso de oferta comercial, la evaluación de los efectos económicos posibles o reales de la actividad, la apreciación de si tal actividad se ajusta a los objetivos de programación económica establecidos por la autoridad competente o los directa o indirectamente dirigidos a la defensa de un determinado modelo económico o empresarial (apartado 4). Los regímenes de intervención administrativa se ajustarán en todo caso a las Leyes 17/2009, de 23 de diciembre, sobre el libre acceso a las actividades y su ejercicio, y 20/2013, de 9 de diciembre, de garantía de la unidad de mercado.</w:t>
      </w:r>
    </w:p>
    <w:p w:rsidR="00163957" w:rsidRDefault="00163957" w:rsidP="00163957">
      <w:pPr>
        <w:pStyle w:val="TextoNormal"/>
      </w:pPr>
    </w:p>
    <w:p w:rsidR="00163957" w:rsidRDefault="00163957" w:rsidP="00163957">
      <w:pPr>
        <w:pStyle w:val="TextoNormal"/>
      </w:pPr>
      <w:r>
        <w:t>El Abogado del Estado recuerda que la Ley 17/2009, igualmente declarada básica por el Tribunal Constitucional (STC 193/2013), dispone que “en ningún caso se supeditará el acceso a una actividad de servicios en España o su ejercicio al cumplimiento” de “requisitos de naturaleza económica” [artículo 10 e)]. A su vez, prohíbe con carácter general la subordinación del acceso a “restricciones cuantitativas o territoriales” y, concretamente, “a límites fijados en función de la población o de una distancia mínima entre prestadores”. La normativa reguladora sólo podrá introducir tales restricciones de manera excepcional ante una razón imperiosa de interés general si no son discriminatorias ni desproporcionadas y sin que puedan invocarse como justificación “fines económicos” como la garantía de la “viabilidad económica de determinados prestadores” [apartados 1 a) y 2 del artículo 11].</w:t>
      </w:r>
    </w:p>
    <w:p w:rsidR="00163957" w:rsidRDefault="00163957" w:rsidP="00163957">
      <w:pPr>
        <w:pStyle w:val="TextoNormal"/>
      </w:pPr>
    </w:p>
    <w:p w:rsidR="00163957" w:rsidRDefault="00163957" w:rsidP="00163957">
      <w:pPr>
        <w:pStyle w:val="TextoNormal"/>
      </w:pPr>
      <w:r>
        <w:t>La redacción inicial del art. 9 del Decreto-ley 1/2009, de 22 de diciembre, de ordenación de los equipamientos comerciales de Cataluña prohibía con carácter general la implantación de grandes establecimientos comerciales fuera de las tramas urbanas consolidadas de los municipios “de más de 50.000 habitantes o los asimilables a éstos o que fueran capital de comarca” (apartados 3 y 4). No obstante, la permitía excepcionalmente en determinadas circunstancias.</w:t>
      </w:r>
    </w:p>
    <w:p w:rsidR="00163957" w:rsidRDefault="00163957" w:rsidP="00163957">
      <w:pPr>
        <w:pStyle w:val="TextoNormal"/>
      </w:pPr>
    </w:p>
    <w:p w:rsidR="00163957" w:rsidRDefault="00163957" w:rsidP="00163957">
      <w:pPr>
        <w:pStyle w:val="TextoNormal"/>
      </w:pPr>
      <w:r>
        <w:t>Posteriormente, el art. 114 de la Ley 9/2011, de 29 de diciembre, de promoción de la actividad económica de Cataluña dio nueva redacción a los apartados 3 y 4 del art. 9 del indicado Decreto-ley, eliminando la posibilidad de implantación de grandes establecimientos comerciales fuera de las tramas urbanas consolidadas. La STC 193/2013, de 21 de noviembre, declaró la inconstitucionalidad del art. 114 de la Ley 9/2011 al no ajustarse a la citada legislación básica estatal dictada al amparo del art. 149.1.13 CE. El Abogado del Estado insiste en que el Tribunal Constitucional valoró que la nueva redacción de los apartados 3 y 4 del art. 9 del Decreto-Ley 1/2009 establece un régimen sustancialmente más restrictivo que el anterior y que no responde a objetivos urbanísticos, de ordenación territo</w:t>
      </w:r>
      <w:r>
        <w:lastRenderedPageBreak/>
        <w:t>rial o protección medioambiental adecuadamente justificados ni, por tanto, a una razón imperiosa de interés general que desconoce a la vez la prohibición general de restricciones a la libertad de acceso y ejercicio de actividades de servicios de orden cuantitativo poblacional y territorial no suficientemente motivadas.</w:t>
      </w:r>
    </w:p>
    <w:p w:rsidR="00163957" w:rsidRDefault="00163957" w:rsidP="00163957">
      <w:pPr>
        <w:pStyle w:val="TextoNormal"/>
      </w:pPr>
    </w:p>
    <w:p w:rsidR="00163957" w:rsidRDefault="00163957" w:rsidP="00163957">
      <w:pPr>
        <w:pStyle w:val="TextoNormal"/>
      </w:pPr>
      <w:r>
        <w:t>Afirma el Abogado del Estado que el legislador catalán ha adoptado la Ley controvertida a la vista de esta declaración de inconstitucionalidad. En consonancia con la STC 193/2013, la disposición adicional vigésima séptima habría recuperado la redacción original de los apartados 3 y 4 del art. 9 del Decreto-ley 1/2009, que permitía en determinadas circunstancias la implantación de grandes establecimientos comerciales dentro de las tramas urbanas consolidadas. En particular, declara “vigentes los apartados 3 y 4 del artículo 9 del Decreto ley 1/2009 … en la redacción que tenían en el momento de entrar en vigor el 29 de diciembre de 2009, de acuerdo con los criterios y los objetivos de este decreto ley, que se fundamentan en las razones imperiosas de interés general que lo sostienen, detalladas en su exposición de motivos”.</w:t>
      </w:r>
    </w:p>
    <w:p w:rsidR="00163957" w:rsidRDefault="00163957" w:rsidP="00163957">
      <w:pPr>
        <w:pStyle w:val="TextoNormal"/>
      </w:pPr>
    </w:p>
    <w:p w:rsidR="00163957" w:rsidRDefault="00163957" w:rsidP="00163957">
      <w:pPr>
        <w:pStyle w:val="TextoNormal"/>
      </w:pPr>
      <w:r>
        <w:t>No obstante, la disposición transitoria octava —objeto de impugnación— suspende temporalmente “la excepción de implantación de establecimientos fuera de trama urbana consolidada a que se refieren el apartado 3 b) y el segundo párrafo del apartado 4 del artículo 9 del Decreto-Ley 1/2009”. De esta manera, “mientras no se apruebe” “un proyecto de ley de comercio, servicios y ferias”, se mantiene la prohibición de establecimientos de grandes superficies comerciales fuera de la trama urbana de los municipios. Esta “suspensión de las excepciones” refuerza la prohibición general de modo tal que el acceso y ejercicio de una actividad de servicios quedan nuevamente supeditados a restricciones cuantitativas y territoriales en contra de la legislación básica estatal: se introduce el criterio de la población para condicionar la posibilidad de instalación de los medianos y grandes establecimientos comerciales y limitando su implantación fuera de las tramas urbanas consolidadas sin que lo justifiquen razones imperiosas de interés general. Con ello, el legislador autonómico desconocería, no sólo las competencias que el art. 149.1.13 CE atribuye al Estado, sino también el mandato constitucional del art. 164.1 CE: “Las sentencias del Tribunal Constitucional … tienen plenos efectos frente a todos”.</w:t>
      </w:r>
    </w:p>
    <w:p w:rsidR="00163957" w:rsidRDefault="00163957" w:rsidP="00163957">
      <w:pPr>
        <w:pStyle w:val="TextoNormal"/>
      </w:pPr>
    </w:p>
    <w:p w:rsidR="00163957" w:rsidRDefault="00163957" w:rsidP="00163957">
      <w:pPr>
        <w:pStyle w:val="TextoNormal"/>
      </w:pPr>
      <w:r>
        <w:t>c) Se impugna la disposición transitoria quinta cuyo apartado segundo dispone: “Los bienes integrantes del patrimonio de la entidad gestora de la Seguridad Social que se suprime se incorporan al patrimonio de la Generalitat y se adscriben al departamento competente en materia de servicios sociales. El departamento competente en materia de servicios sociales se subroga en todos los derechos y obligaciones de los bienes de titularidad de la Tesorería General de la Seguridad Social cuyo uso y gestión hayan sido atribuidos al Instituto Catalán de Asistencia y Servicios Sociales”. El Abogado del Estado dirige dos reproches diferenciables a esta disposición transitoria. Uno se refiere a la calificación del Instituto Catalán de Asistencia y Servicios Sociales como “entidad gestora de la Seguridad Social”; el otro a la previsión de que los “bienes integrantes del patrimonio” de esta entidad deben adscribirse “al departamento competente en materia de servicios sociales”.</w:t>
      </w:r>
    </w:p>
    <w:p w:rsidR="00163957" w:rsidRDefault="00163957" w:rsidP="00163957">
      <w:pPr>
        <w:pStyle w:val="TextoNormal"/>
      </w:pPr>
    </w:p>
    <w:p w:rsidR="00163957" w:rsidRDefault="00163957" w:rsidP="00163957">
      <w:pPr>
        <w:pStyle w:val="TextoNormal"/>
      </w:pPr>
      <w:r>
        <w:t xml:space="preserve">Respecto de la primera cuestión, afirma el Abogado del Estado que, en el marco del art. 149.1.17 CE (legislación básica y régimen económico de la Seguridad Social), el texto refundido de la Ley general de la Seguridad Social (LGSS), aprobado por Real Decreto Legislativo 1/1994, de 20 de julio, emplea la fórmula “Entidad gestora de la Seguridad Social” </w:t>
      </w:r>
      <w:r>
        <w:lastRenderedPageBreak/>
        <w:t>para referirse a los organismos enunciados en su artículo 57 e incluye una reserva de denominación en su artículo 64: “Ninguna entidad pública o privada podrá usar en España el título o los nombres de las entidades gestoras y servicios comunes de la Seguridad Social, ni los que puedan resultar de la adición a los mismos de algunas palabras o de la mera combinación, en otra forma, de las principales que los constituyen. Tampoco podrán incluir en su denominación la expresión Seguridad Social, salvo expresa autorización del Ministerio de Trabajo y Seguridad Social”. Comoquiera que el Instituto Catalán de Asistencia y Servicios Sociales no es una entidad gestora de la Seguridad Social ni puede ser considerada como tal, la disposición impugnada entraría en contradicción con la legislación básica estatal, invadiendo las competencias que el art. 149.1.17 CE atribuye al Estado.</w:t>
      </w:r>
    </w:p>
    <w:p w:rsidR="00163957" w:rsidRDefault="00163957" w:rsidP="00163957">
      <w:pPr>
        <w:pStyle w:val="TextoNormal"/>
      </w:pPr>
    </w:p>
    <w:p w:rsidR="00163957" w:rsidRDefault="00163957" w:rsidP="00163957">
      <w:pPr>
        <w:pStyle w:val="TextoNormal"/>
      </w:pPr>
      <w:r>
        <w:t xml:space="preserve">Respecto del régimen de adscripción de los bienes del Instituto Catalán de Asistencia y Servicios Sociales, habría que tener en cuenta que la Ley general de la Seguridad Social, al amparo del art. 149.1.17 CE, establece que “las cuotas, bienes, derechos, acciones y recursos de cualquier otro género de la Seguridad Social constituyen un patrimonio único afecto a sus fines, distinto del patrimonio del Estado” (el artículo 80.1) y que “la titularidad del patrimonio único de la Seguridad Social corresponde a la Tesorería General de la Seguridad Social” (artículo 81). Ello es relevante porque el Instituto Catalán de Asistencia y Servicios Sociales cuenta, no sólo con los bienes que le ha adscrito la Generalitat, sino con los que le ha transferido el Estado. El Real Decreto 1517/1981, de 8 de julio (sobre traspasos de servicios de la seguridad social a la Generalitat de Cataluña en materia de seguridad social), reconoce expresamente el carácter patrimonial de los bienes transferidos, que forman parte del patrimonio único de la Seguridad Social, en el que deben continuar a todos los efectos. En consonancia con la legislación básica, establece que “la adscripción de los bienes patrimoniales de la Seguridad Social se entiende sin perjuicio de la unidad del patrimonio de ésta, distinto del Estado y afecto al cumplimiento de sus fines específicos, cuya titularidad corresponde a la Tesorería General de la Seguridad Social” (apartado C.5 del anexo). La transferencia se refiere pues sólo al uso de los inmuebles, en ningún caso a su titularidad o propiedad, que sigue correspondiendo a la Tesorería General de la Seguridad Social. Consecuentemente, la expresión “los bienes integrantes del patrimonio del Instituto Catalán de Asistencia y Servicios Sociales se incorporan al patrimonio de la Generalitat”, incluida en la disposición impugnada, sólo podría referirse a los bienes propios de dicho Instituto, no a los transferidos, que siguen rigiéndose por la Ley general de la Seguridad Social y el citado Real Decreto (además del núm. 46/1993, de 15 de enero, por el que se traspasa el Instituto </w:t>
      </w:r>
      <w:r w:rsidRPr="00163957">
        <w:rPr>
          <w:i/>
        </w:rPr>
        <w:t>Guttman</w:t>
      </w:r>
      <w:r>
        <w:t>). Por tal razón la disposición transitoria quinta incurriría en inconstitucionalidad mediata.</w:t>
      </w:r>
    </w:p>
    <w:p w:rsidR="00163957" w:rsidRDefault="00163957" w:rsidP="00163957">
      <w:pPr>
        <w:pStyle w:val="TextoNormal"/>
      </w:pPr>
    </w:p>
    <w:p w:rsidR="00163957" w:rsidRDefault="00163957" w:rsidP="00163957">
      <w:pPr>
        <w:pStyle w:val="TextoNormal"/>
      </w:pPr>
      <w:r w:rsidRPr="00163957">
        <w:rPr>
          <w:rStyle w:val="NumeroAFNegritaCaracter"/>
        </w:rPr>
        <w:t>3</w:t>
      </w:r>
      <w:r>
        <w:t>. Mediante providencia de 18 de noviembre de 2014, el Pleno del Tribunal Constitucional acuerda admitir a trámite el presente recurso, dar traslado de la demanda y documentos presentados al Congreso de los Diputados, al Senado y al Gobierno, así como a la Generalitat y al Parlamento de Cataluña, al objeto de que puedan personarse en el proceso y formular las alegaciones que estimaren convenientes. Asimismo, acuerda tener por invocado por el Presidente del Gobierno el art. 161.2 CE, lo que produce la suspensión de la vigencia y aplicación del precepto impugnado, y publicar la incoación del recurso y la suspensión efectuada en el “Boletín Oficial del Estado” y en el “Diario oficial de la Comunidad Autónoma”.</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4</w:t>
      </w:r>
      <w:r>
        <w:t>. . Por escritos registrados en el Tribunal Constitucional el 26 y 28 de noviembre de 2014, los Presidentes del Senado y del Congreso de los Diputados, respectivamente, comunican el acuerdo de la Mesa de la Cámara correspondiente de personarse en el proceso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en este Tribunal el 12 de diciembre de 2014, la Abogada de la Generalitat de Cataluña, en la representación que legalmente ostenta, comparece en el proceso y formula las alegaciones siguientes:</w:t>
      </w:r>
    </w:p>
    <w:p w:rsidR="00163957" w:rsidRDefault="00163957" w:rsidP="00163957">
      <w:pPr>
        <w:pStyle w:val="TextoNormal"/>
      </w:pPr>
    </w:p>
    <w:p w:rsidR="00163957" w:rsidRDefault="00163957" w:rsidP="00163957">
      <w:pPr>
        <w:pStyle w:val="TextoNormal"/>
      </w:pPr>
      <w:r>
        <w:t>a) El apartado 10 del art. 47 del Decreto Legislativo 1/2010, añadido por el art. 167.1 de la Ley controvertida, debería encuadrarse de modo prevalente, no en las materias de energía y medio ambiente, respecto de las que el Estado tiene competencia para dictar legislación básica, sino en urbanismo, ámbito que corresponde en exclusiva a la Generalitat (art. 133.1 del Estatuto de Autonomía de Cataluña, en adelante EAC). Tal conclusión se apoya en razones de orden tanto formal como material. El artículo 167.1 forma parte del capítulo I del título VI de la Ley 2/2014 sobre “modificaciones legislativas en materia de vivienda y urbanismo”; el art. 47 del Decreto Legislativo 1/2010 se refiere al “régimen de uso del suelo no urbanizable” y tiene un efectivo contenido urbanístico. El apartado 10 agregaría a las normas sobre los usos del suelo no urbanizable una nueva regla destinada a evitar el deterioro de los valores protegidos mediante la clasificación del suelo como tal: que el aprovechamiento de estos suelos mediante la técnica de la fractura hidráulica no produzca efectos negativos a las características de los terrenos. Se estaría ante una norma materialmente urbanística insertada en la directriz del art. 10.1 a) del texto refundido de la Ley de suelo, aprobado por Real Decreto Legislativo 2/2008, de 20 de junio; ello, según la STC 141/2014, refleja “el reconocimiento de un valor medioambiental a todo suelo rural y no sólo al especialmente protegido” cuyo objetivo es la preservación de los valores de los terrenos que hayan fundado su clasificación como suelo no urbanizable.</w:t>
      </w:r>
    </w:p>
    <w:p w:rsidR="00163957" w:rsidRDefault="00163957" w:rsidP="00163957">
      <w:pPr>
        <w:pStyle w:val="TextoNormal"/>
      </w:pPr>
    </w:p>
    <w:p w:rsidR="00163957" w:rsidRDefault="00163957" w:rsidP="00163957">
      <w:pPr>
        <w:pStyle w:val="TextoNormal"/>
      </w:pPr>
      <w:r>
        <w:t>La regulación autonómica, al condicionar o restringir los usos del suelo con el fin de preservar determinados valores (naturales, paisajísticos, culturales, geológicos, ambientales o arqueológicos) estaría amparada también en las competencias estatutarias sobre espacios protegidos en aguas interiores (art. 119.2 EAC), espacios naturales protegidos (art. 144.2 EAC), protección del patrimonio cultural [art. 127.1 b), cuarto EAC], aguas (art. 117.1 EAC), medio forestal [art. 116.2 b) EAC], salud pública [art. 162.3 c) EAC] o protección medioambiental (art. 145 EAC). Este último sería el título que complementaría de modo más significativo la competencia autonómica en materia de urbanismo.</w:t>
      </w:r>
    </w:p>
    <w:p w:rsidR="00163957" w:rsidRDefault="00163957" w:rsidP="00163957">
      <w:pPr>
        <w:pStyle w:val="TextoNormal"/>
      </w:pPr>
    </w:p>
    <w:p w:rsidR="00163957" w:rsidRDefault="00163957" w:rsidP="00163957">
      <w:pPr>
        <w:pStyle w:val="TextoNormal"/>
      </w:pPr>
      <w:r>
        <w:t>A la vista del indicado encuadramiento y de la STC 61/1997, la Abogada de la Generalitat razona que el presente proceso constitucional aborda un supuesto de concurrencia de competencias: la autonómica sobre urbanismo (art. 149.5 EAC) y la estatal en materia de energía (apartados 13 y 25 del art. 149.1 CE). Esta última proporcionaría cobertura a la Ley del sector de hidrocarburos. Ante un conflicto de competencias concurrentes, la Constitución impone a los poderes públicos la articulación de mecanismos de coordinación y colaboración que garanticen el ejercicio simultáneo. Si ello no fuera posible, porque el ejercicio de una competencia interfiere inevitablemente en el de la otra, el Tribunal Constitucional determinará cuál es la competencia prevalente (SSTC 8/2012).</w:t>
      </w:r>
    </w:p>
    <w:p w:rsidR="00163957" w:rsidRDefault="00163957" w:rsidP="00163957">
      <w:pPr>
        <w:pStyle w:val="TextoNormal"/>
      </w:pPr>
    </w:p>
    <w:p w:rsidR="00163957" w:rsidRDefault="00163957" w:rsidP="00163957">
      <w:pPr>
        <w:pStyle w:val="TextoNormal"/>
      </w:pPr>
      <w:r>
        <w:lastRenderedPageBreak/>
        <w:t>En el presente caso, los cauces de coordinación interadministrativa están previstos en la legislación, tanto urbanística como energética y medioambiental. El informe preceptivo de las Administraciones sectoriales afectadas en la tramitación de los planes urbanísticos (arts. 83.3 y 85.5 del texto refundido de la Ley de suelo) prevé que la obtención de la autorización para emplear la técnica de la fractura hidráulica, operará “sin perjuicio de aquellas otras autorizaciones que los trabajos, construcciones e instalaciones necesarios” para su desarrollo “pudieran requerir por razones fiscales, de ordenación del territorio y urbanismo, de protección del medio ambiente, de protección de los recursos marinos vivos, exigencia de la correspondiente legislación sectorial o seguridad para personas y bienes” (art. 6 LSH). El mismo informe sujeta los proyectos de exploración, investigación y explotación de hidrocarburos, que empleen la indicada técnica, a la evaluación ambiental, que concluye con la declaración emitida con carácter de informe preceptivo y determinante del órgano ambiental en cada caso competente [arts. 7.1 a) y 41, anexo I, grupo 2, apartado d) de la Ley 21/2013]. Si tales mecanismos no permitieran una solución negociada, que garantice el ejercicio simultáneo de la competencia urbanística autonómica con la competencia estatal en materia de hidrocarburos, la Administración que estime vulnerada su competencia podrá atacar la decisión de que se trate en la vía judicial ordinaria o ante el Tribunal Constitucional; quien en último término puede determinar cuál es el título prevalente en función del interés general concernido. Tal decisión no podría adoptarse prematuramente y de forma preventiva en este proceso.</w:t>
      </w:r>
    </w:p>
    <w:p w:rsidR="00163957" w:rsidRDefault="00163957" w:rsidP="00163957">
      <w:pPr>
        <w:pStyle w:val="TextoNormal"/>
      </w:pPr>
    </w:p>
    <w:p w:rsidR="00163957" w:rsidRDefault="00163957" w:rsidP="00163957">
      <w:pPr>
        <w:pStyle w:val="TextoNormal"/>
      </w:pPr>
      <w:r>
        <w:t>En este orden de ideas, si el órgano urbanístico de la Generalitat denegase la autorización, no por ello quedarían sin efecto las autorizaciones, permisos y concesiones ministeriales que pudieran amparar la exploración, investigación o explotación de hidrocarburos mediante la indicada técnica. El sentido discordante de ambas resoluciones obligaría simplemente a iniciar negociaciones para alcanzar un acuerdo que las integre; a falta de acuerdo, podría suscitarse un conflicto judicial ordinario o constitucional para determinar la competencia prevalente y, por tanto, si debe subsistir la decisión que deniega o la que autoriza.</w:t>
      </w:r>
    </w:p>
    <w:p w:rsidR="00163957" w:rsidRDefault="00163957" w:rsidP="00163957">
      <w:pPr>
        <w:pStyle w:val="TextoNormal"/>
      </w:pPr>
    </w:p>
    <w:p w:rsidR="00163957" w:rsidRDefault="00163957" w:rsidP="00163957">
      <w:pPr>
        <w:pStyle w:val="TextoNormal"/>
      </w:pPr>
      <w:r>
        <w:t>Hay que tener en cuenta que el legislador estatal, aunque incluye la fracturación hidráulica entre las técnicas extractivas permitidas (art. 9.5 LSH), no atribuye un derecho subjetivo a la obtención del título habilitante de la exploración, investigación o explotación correspondiente. La concesión se halla en todo caso sujeta a la evaluación de impacto ambiental (disposición final tercera de la Ley 17/2013) y a las determinaciones resultantes de la correspondiente planificación estratégica. Además, el otorgamiento se produce sin perjuicio de las autorizaciones que pudieran requerirse por otras razones (art. 6 LSH).</w:t>
      </w:r>
    </w:p>
    <w:p w:rsidR="00163957" w:rsidRDefault="00163957" w:rsidP="00163957">
      <w:pPr>
        <w:pStyle w:val="TextoNormal"/>
      </w:pPr>
    </w:p>
    <w:p w:rsidR="00163957" w:rsidRDefault="00163957" w:rsidP="00163957">
      <w:pPr>
        <w:pStyle w:val="TextoNormal"/>
      </w:pPr>
      <w:r>
        <w:t xml:space="preserve">La Abogada de la Generalitat admite que el precepto impugnado adolece de cierta indeterminación, ya que prevé la denegación de la autorización urbanística del </w:t>
      </w:r>
      <w:r w:rsidRPr="00163957">
        <w:rPr>
          <w:i/>
        </w:rPr>
        <w:t>fracking</w:t>
      </w:r>
      <w:r>
        <w:t xml:space="preserve"> en suelo no urbanizable si causa efectos negativos sobre las características geológicas, ambientales, paisajísticas o socioeconómicas de la zona o en relación con otros ámbitos competenciales autonómicos. La previsión no precisa el grado o intensidad de tales efectos negativos para que se reputen incompatibles con la indicada técnica. A su vez, la referencia a las características socioeconómicas de la zona resulta algo discordante. Por tal razón, una interpretación posible es la propuesta por el Abogado del Estado, según la cual el precepto establecería una prohibición general al tiempo que habilitaría a los órganos urbanísticos autonómicos para proceder discrecionalmente a la denegación.</w:t>
      </w:r>
    </w:p>
    <w:p w:rsidR="00163957" w:rsidRDefault="00163957" w:rsidP="00163957">
      <w:pPr>
        <w:pStyle w:val="TextoNormal"/>
      </w:pPr>
    </w:p>
    <w:p w:rsidR="00163957" w:rsidRDefault="00163957" w:rsidP="00163957">
      <w:pPr>
        <w:pStyle w:val="TextoNormal"/>
      </w:pPr>
      <w:r>
        <w:lastRenderedPageBreak/>
        <w:t xml:space="preserve">La naturaleza abstracta del recurso de inconstitucionalidad y el principio de conservación de la ley exigen, no obstante, apurar las posibilidades de una interpretación conforme a la Constitución (SSTC 4/1981, 93/1984, 176/199, y 42/2014). Puede entenderse que el art. 47.10 del Decreto Legislativo 1/2010 no establece una prohibición general del </w:t>
      </w:r>
      <w:r w:rsidRPr="00163957">
        <w:rPr>
          <w:i/>
        </w:rPr>
        <w:t>fracking</w:t>
      </w:r>
      <w:r>
        <w:t xml:space="preserve"> ni otorga a los órganos urbanísticos autonómicos una potestad discrecional para su denegación. La condicionaría a la existencia real y efectiva de unos efectos negativos sobre los valores que se tratan de proteger mediante la clasificación de los terrenos como suelo no urbanizable. La apreciación de esos efectos negativos no se abandona al libre criterio de los órganos urbanísticos autonómicos. Resulta de las regulaciones sectoriales autonómicas y estatales (sobre espacios naturales, aguas, minas, costas, montes, etc.) aplicables en función de la naturaleza y características de los terrenos afectados. Tal interpretación resultaría acorde con el contenido y los requisitos que el Decreto Legislativo 1/2010 impone a los proyectos que deben formularse para obtener la autorización urbanística de explotación de recursos naturales en suelo no urbanizable [arts. 48.1 y 49.1 a)]. La mención de las características socioeconómicas de la zona incluida en el impugnado art. 49.10 del Decreto Legislativo 1/2010 debe reconducirse a las determinaciones de esta naturaleza que pueda contener la legislación sectorial agrícola, forestal, ganadera, hidráulica, etc.; únicas que podrían legitimar la denegación urbanística de la técnica del </w:t>
      </w:r>
      <w:r w:rsidRPr="00163957">
        <w:rPr>
          <w:i/>
        </w:rPr>
        <w:t>fracking</w:t>
      </w:r>
      <w:r>
        <w:t xml:space="preserve"> por esta razón.</w:t>
      </w:r>
    </w:p>
    <w:p w:rsidR="00163957" w:rsidRDefault="00163957" w:rsidP="00163957">
      <w:pPr>
        <w:pStyle w:val="TextoNormal"/>
      </w:pPr>
    </w:p>
    <w:p w:rsidR="00163957" w:rsidRDefault="00163957" w:rsidP="00163957">
      <w:pPr>
        <w:pStyle w:val="TextoNormal"/>
      </w:pPr>
      <w:r>
        <w:t xml:space="preserve">El art. 47.10 del Decreto Legislativo 1/2010, así interpretado, no prohíbe la técnica del </w:t>
      </w:r>
      <w:r w:rsidRPr="00163957">
        <w:rPr>
          <w:i/>
        </w:rPr>
        <w:t>fracking</w:t>
      </w:r>
      <w:r>
        <w:t xml:space="preserve"> ni menoscaba la competencia estatal concurrente en materia de hidrocarburos, por lo que no puede equipararse a las regulaciones de Ley 7/2013, de 15 de abril, de Cantabria y 134/2014, de 22 de julio, de La Rioja; ambas prohibitivas de la indicada técnica y declaradas por ello inconstitucionales en SSTC 106/2014, de 24 de junio, y 134/2014, de 22 de julio, respectivamente.</w:t>
      </w:r>
    </w:p>
    <w:p w:rsidR="00163957" w:rsidRDefault="00163957" w:rsidP="00163957">
      <w:pPr>
        <w:pStyle w:val="TextoNormal"/>
      </w:pPr>
    </w:p>
    <w:p w:rsidR="00163957" w:rsidRDefault="00163957" w:rsidP="00163957">
      <w:pPr>
        <w:pStyle w:val="TextoNormal"/>
      </w:pPr>
      <w:r>
        <w:t xml:space="preserve">b) Respecto de la segunda impugnación, la Abogada de la Generalitat afirma que la </w:t>
      </w:r>
      <w:r w:rsidRPr="00163957">
        <w:rPr>
          <w:i/>
        </w:rPr>
        <w:t>ratio decidendi</w:t>
      </w:r>
      <w:r>
        <w:t xml:space="preserve"> de la STC 193/2013, a la vista de sus fundamentos jurídicos 7 y 8 (primer párrafo, </w:t>
      </w:r>
      <w:r w:rsidRPr="00163957">
        <w:rPr>
          <w:i/>
        </w:rPr>
        <w:t>in fine</w:t>
      </w:r>
      <w:r>
        <w:t>), no reside tanto en que el legislador catalán impusiera limitaciones territoriales a la localización de los establecimientos comerciales, como en que no justificó adecuadamente las razones imperiosas de interés general que habrían podido legitimar tales limitaciones. Ni el Tribunal de Justicia de la Comunidad Europea (Sentencia de la Sala Segunda de 24 de marzo de 2011) ni la Directiva 2006/123/CE (art. 15) ni la Ley de ordenación del comercio minorista (art. 6), ni la Ley 17/2007 (art. 11) excluyen la posibilidad de limitaciones territoriales y poblacionales a la localización de establecimientos comerciales. De la regulación comunitaria y básica estatal se infiere que tales restricciones son admisibles cuando cumplen la triple condición de ser proporcionadas, no discriminatorias y necesarias por razones imperiosas de interés general. Tales requisitos se cumplen en el presente caso: el apartado II del preámbulo de la Ley 2/2014 desgrana exhaustivamente las razones imperiosas de interés general que justifican la suspensión temporal de aquellas excepciones.</w:t>
      </w:r>
    </w:p>
    <w:p w:rsidR="00163957" w:rsidRDefault="00163957" w:rsidP="00163957">
      <w:pPr>
        <w:pStyle w:val="TextoNormal"/>
      </w:pPr>
    </w:p>
    <w:p w:rsidR="00163957" w:rsidRDefault="00163957" w:rsidP="00163957">
      <w:pPr>
        <w:pStyle w:val="TextoNormal"/>
      </w:pPr>
      <w:r>
        <w:t xml:space="preserve">El Real Decreto-ley 8/2014, de 4 de julio, ha dado nueva redacción al art. 6 LOCM. El precepto podría incurrir en inconstitucionalidad por exceso competencial, al limitar los requisitos para la apertura o ampliación de los establecimientos a los ligados específicamente a la infraestructura o instalación. No obstante, lo destacable aquí es que no prohíbe la imposición de límites territoriales al emplazamiento de los establecimientos comerciales ni puede considerarse que el legislador catalán los haya vulnerado. Los criterios de ordenación de los establecimientos comerciales no se basan en la existencia de necesidades económicas, </w:t>
      </w:r>
      <w:r>
        <w:lastRenderedPageBreak/>
        <w:t>demanda en el mercado o exceso de la oferta comercial, evaluación de los efectos económicos, posibles o reales, objetivos de programación económica o defensa de un determinado modelo económico o empresarial dentro del sector.</w:t>
      </w:r>
    </w:p>
    <w:p w:rsidR="00163957" w:rsidRDefault="00163957" w:rsidP="00163957">
      <w:pPr>
        <w:pStyle w:val="TextoNormal"/>
      </w:pPr>
    </w:p>
    <w:p w:rsidR="00163957" w:rsidRDefault="00163957" w:rsidP="00163957">
      <w:pPr>
        <w:pStyle w:val="TextoNormal"/>
      </w:pPr>
      <w:r>
        <w:t>La Abogada de la Generalitat señala, en fin, que sus anteriores reflexiones sirven únicamente para precisar el verdadero alcance de la STC 193/2013. No es preciso proyectarlas sobre el presente caso para justificar la legitimidad del precepto impugnado; en realidad, tal precepto no introduce nuevas restricciones a la implantación de establecimientos comerciales respecto de las fijadas inicialmente en la redacción originaria del art. 9 del Decreto-ley 1/2009, de 22 de diciembre, de ordenación de equipamientos comerciales. De conformidad con la STC 193/2013 y en aras de la seguridad jurídica, la disposición adicional vigésima séptima ha vuelto a permitir la implantación de establecimientos comerciales medianos y grandes en la trama consolidada de los municipios superiores a los 5.000 habitantes y asimilados o capitales comarcales. Lo ha hecho al declarar vigentes las excepciones a la prohibición general de tal implantación previstas en la redacción primitiva de los apartados 3 y 4 del art. 9 del Decreto-ley.</w:t>
      </w:r>
    </w:p>
    <w:p w:rsidR="00163957" w:rsidRDefault="00163957" w:rsidP="00163957">
      <w:pPr>
        <w:pStyle w:val="TextoNormal"/>
      </w:pPr>
    </w:p>
    <w:p w:rsidR="00163957" w:rsidRDefault="00163957" w:rsidP="00163957">
      <w:pPr>
        <w:pStyle w:val="TextoNormal"/>
      </w:pPr>
      <w:r>
        <w:t>Ciertamente, la impugnada disposición transitoria octava suspende temporalmente la vigencia de la excepción de implantación de establecimientos fuera de la trama de urbana consolidada previstas en los arts. 3 b) y apartado 4, segundo párrafo, del art. 9 del indicado Decreto-ley. Sin embargo, no por ello está derogando o suprimiendo aquellas excepciones; establece una moratoria que permite: 1) ajustar la mermada capacidad económica de los poderes públicos local y autonómico derivada de la crisis económica y financiera iniciada en 2008 con las inversiones en infraestructuras y lucha contra la contaminación que exige el despliegue de este tipo de establecimientos; 2) evitar la masiva localización de grandes y medianos establecimientos comerciales en zonas periféricas, que impida la futura eficacia de los criterios de localización de los establecimientos comerciales basados en objetivos de ordenación territorial y urbana, protección medioambiental, preservación del patrimonio histórico artístico, cohesión social, movilidad sostenible y tutela de los derechos de los consumidores. Por tal razón procedería descartar que el legislador catalán haya incumplido la doctrina de la STC 193/2013.</w:t>
      </w:r>
    </w:p>
    <w:p w:rsidR="00163957" w:rsidRDefault="00163957" w:rsidP="00163957">
      <w:pPr>
        <w:pStyle w:val="TextoNormal"/>
      </w:pPr>
    </w:p>
    <w:p w:rsidR="00163957" w:rsidRDefault="00163957" w:rsidP="00163957">
      <w:pPr>
        <w:pStyle w:val="TextoNormal"/>
      </w:pPr>
      <w:r>
        <w:t>c) Respecto de la disposición transitoria quinta, la Abogada de la Generalitat señala que el recurso se ha centrado en su apartado 2 sin aportar razonamiento alguno sobre la eventual inconstitucionalidad de los demás. Procedería, en consecuencia, entender limitada la impugnación al referido apartado a la vista de la doctrina constitucional resumida en la STC 195/2012.</w:t>
      </w:r>
    </w:p>
    <w:p w:rsidR="00163957" w:rsidRDefault="00163957" w:rsidP="00163957">
      <w:pPr>
        <w:pStyle w:val="TextoNormal"/>
      </w:pPr>
    </w:p>
    <w:p w:rsidR="00163957" w:rsidRDefault="00163957" w:rsidP="00163957">
      <w:pPr>
        <w:pStyle w:val="TextoNormal"/>
      </w:pPr>
      <w:r>
        <w:t xml:space="preserve">El indicado apartado emplea la denominación “Entidad gestora de la seguridad social”. No por ello incurriría en la inconstitucionalidad mediata denunciada por el Abogado del Estado. La eventual vulneración se habría producido en el pasado, al aprobarse la Ley 12/1983, de 14 de julio, de administración institucional de la sanidad y de la asistencia y los servicios sociales de Catalunya; es su artículo 2.1 b) el que disponía que el Instituto Catalán de la Salud y el Instituto Catalán de Asistencia y Servicios Sociales tienen “naturaleza de Entidades Gestoras de la Seguridad Social”. Esta eventual infracción habría cesado, justamente, por la decisión del legislador de suprimir el Instituto Catalán de Asistencia y Servicios Sociales mediante la disposición adicional vigésima de la Ley controvertida. Tal extinción dejaría sin objeto la controversia sobre si la Ley 12/1983 podía o no asignar al Instituto </w:t>
      </w:r>
      <w:r>
        <w:lastRenderedPageBreak/>
        <w:t>Catalán de Asistencia y Servicios Sociales la condición de entidad gestora de la Seguridad Social.</w:t>
      </w:r>
    </w:p>
    <w:p w:rsidR="00163957" w:rsidRDefault="00163957" w:rsidP="00163957">
      <w:pPr>
        <w:pStyle w:val="TextoNormal"/>
      </w:pPr>
    </w:p>
    <w:p w:rsidR="00163957" w:rsidRDefault="00163957" w:rsidP="00163957">
      <w:pPr>
        <w:pStyle w:val="TextoNormal"/>
      </w:pPr>
      <w:r>
        <w:t>Por otra parte, una lectura íntegra del apartado 2 de la disposición transitoria quinta permite comprobar que los bienes del Instituto Catalán de Asistencia y Servicios Sociales incorporados al patrimonio de la Generalitat son exclusivamente los que la propia Generalitat había propiamente adscrito a la indicada entidad. Según se infiere del segundo párrafo del apartado 2, los bienes traspasados por el Estado permanecen bajo la titularidad de la Tesorería General de la Seguridad Social. La Generalitat se limita a subrogarse a través del Departamento competente en materia de asuntos sociales en los derechos y obligaciones de los bienes de titularidad de la señalada Tesorería cuyo uso y gestión tenía atribuidos el Instituto Catalán de Asistencia y Servicios Sociales. Debe entenderse que tal subrogación no supone afectación del servicio asistencial al que se destinan los inmuebles traspasados ni alteración de su titularidad; tales bienes siguen sujetos al régimen jurídico específico del patrimonio único de la Seguridad Social. Tal interpretación debería ser acogida por el Tribunal Constitucional en razón del carácter abstracto del recurso de inconstitucionalidad y el principio de conservación de la ley (SSTC 4/1981, 122/983 y 176/1999).</w:t>
      </w:r>
    </w:p>
    <w:p w:rsidR="00163957" w:rsidRDefault="00163957" w:rsidP="00163957">
      <w:pPr>
        <w:pStyle w:val="TextoNormal"/>
      </w:pPr>
    </w:p>
    <w:p w:rsidR="00163957" w:rsidRDefault="00163957" w:rsidP="00163957">
      <w:pPr>
        <w:pStyle w:val="TextoNormal"/>
      </w:pPr>
      <w:r>
        <w:t>d) La Abogada de la Generalitat solicita en último término el levantamiento inmediato de la suspensión antes del transcurso del plazo de cinco meses.</w:t>
      </w:r>
    </w:p>
    <w:p w:rsidR="00163957" w:rsidRDefault="00163957" w:rsidP="00163957">
      <w:pPr>
        <w:pStyle w:val="TextoNormal"/>
      </w:pPr>
    </w:p>
    <w:p w:rsidR="00163957" w:rsidRDefault="00163957" w:rsidP="00163957">
      <w:pPr>
        <w:pStyle w:val="TextoNormal"/>
      </w:pPr>
      <w:r w:rsidRPr="00163957">
        <w:rPr>
          <w:rStyle w:val="NumeroAFNegritaCaracter"/>
        </w:rPr>
        <w:t>6</w:t>
      </w:r>
      <w:r>
        <w:t>. Por escrito registrado en este Tribunal el 15 de diciembre de 2014, los Letrados del Parlamento de Cataluña, en la representación que legalmente ostentan, comparecen en el proceso y formulan las alegaciones siguientes:</w:t>
      </w:r>
    </w:p>
    <w:p w:rsidR="00163957" w:rsidRDefault="00163957" w:rsidP="00163957">
      <w:pPr>
        <w:pStyle w:val="TextoNormal"/>
      </w:pPr>
    </w:p>
    <w:p w:rsidR="00163957" w:rsidRDefault="00163957" w:rsidP="00163957">
      <w:pPr>
        <w:pStyle w:val="TextoNormal"/>
      </w:pPr>
      <w:r>
        <w:t xml:space="preserve">a) El impugnado art. 167.1 de la Ley 2/2014 hallaría cobertura en varias de las competencias que el Estatuto catalán atribuye a la Generalitat en materia de energía [art. 133.1 a)], minas (art. 133.4) y medio ambiente [art. 144.1 c) y f)]. Tal precepto no alteraría el sistema de intervención administrativa regulado en la Ley del sector de hidrocarburos. Podría decirse que, en consonancia con ese sistema, ha evitado establecer una prohibición absoluta o incondicionada de la técnica del </w:t>
      </w:r>
      <w:r w:rsidRPr="00163957">
        <w:rPr>
          <w:i/>
        </w:rPr>
        <w:t>fracking</w:t>
      </w:r>
      <w:r>
        <w:t xml:space="preserve"> en el territorio catalán. El precepto se refiere sólo al suelo no urbanizable para permitir la utilización de la fracturación hidráulica que no produce efectos negativos sobre las características geológicas, ambientales, paisajísticas o socioeconómicas de la zona o en relación con otros ámbitos competenciales de la Generalitat.</w:t>
      </w:r>
    </w:p>
    <w:p w:rsidR="00163957" w:rsidRDefault="00163957" w:rsidP="00163957">
      <w:pPr>
        <w:pStyle w:val="TextoNormal"/>
      </w:pPr>
    </w:p>
    <w:p w:rsidR="00163957" w:rsidRDefault="00163957" w:rsidP="00163957">
      <w:pPr>
        <w:pStyle w:val="TextoNormal"/>
      </w:pPr>
      <w:r>
        <w:t>Los Letrados autonómicos admiten que el precepto impugnado regula supuestos de denegación, pero insisten en que ello ocurre igualmente en la propia Ley del sector de hidrocarburos; no impide que la propia Administración general del Estado decida denegar la utilización de la indicada técnica habida cuenta de que el sistema establecido no es de libertad absoluta e incondicionada. La Ley controvertida no detalla los casos en que, por producirse esos efectos negativos, debe denegarse la autorización del empleo de la fracturación hidráulica. No obstante, la Ley no podría concretar por sí esos casos, pues son necesarias actuaciones posteriores para determinar si existen los señalados efectos negativos.</w:t>
      </w:r>
    </w:p>
    <w:p w:rsidR="00163957" w:rsidRDefault="00163957" w:rsidP="00163957">
      <w:pPr>
        <w:pStyle w:val="TextoNormal"/>
      </w:pPr>
    </w:p>
    <w:p w:rsidR="00163957" w:rsidRDefault="00163957" w:rsidP="00163957">
      <w:pPr>
        <w:pStyle w:val="TextoNormal"/>
      </w:pPr>
      <w:r>
        <w:t xml:space="preserve">El precepto impugnado sería incompleto y, por tanto, debería interpretarse en el marco normativo existente. De modo que para ser rectamente entendido, debe incardinarse en la Ley del sector de hidrocarburos y en la Ley 21/2013, de 9 de diciembre, de evaluación ambiental. Tales textos prevén la intervención de la Comunidad Autónoma a través de: 1) </w:t>
      </w:r>
      <w:r>
        <w:lastRenderedPageBreak/>
        <w:t>el otorgamiento de las autorizaciones de exploración y permisos de investigación cuyo ámbito territorial no exceda de una Comunidad Autónoma y 2) el informe previo al otorgamiento de la concesión de explotación de yacimientos de hidrocarburos o de almacenamientos subterráneos. A la vista de esta regulación, el precepto recurrido viene a establecer el mandato de que el órgano autonómico deniegue la licencia correspondiente o manifieste su oposición a la concesión en el informe correspondiente sólo si la actividad proyectada pudiera producir efectos negativos; entendidos como consecuencias absolutamente insubsanables mediante medidas apropiadas o condicionamientos que atemperen esa incidencia negativa. El mandato de no autorizar la fracturación hidráulica ante efectos negativos en las “características geológicas, ambientales, paisajísticas o socioeconómicas de la zona” viene a ser idéntico al que resulta de la legislación básica estatal cuando somete la indicada técnica al procedimiento de evaluación del impacto ambiental, que puede concluir igualmente en una declaración negativa o prohibitiva [art. 41.2, en relación con el anexo 1, grupo 2 d) de la Ley 21/2013].</w:t>
      </w:r>
    </w:p>
    <w:p w:rsidR="00163957" w:rsidRDefault="00163957" w:rsidP="00163957">
      <w:pPr>
        <w:pStyle w:val="TextoNormal"/>
      </w:pPr>
    </w:p>
    <w:p w:rsidR="00163957" w:rsidRDefault="00163957" w:rsidP="00163957">
      <w:pPr>
        <w:pStyle w:val="TextoNormal"/>
      </w:pPr>
      <w:r>
        <w:t>La regulación impugnada no establecería pues la prohibición que sí recogían las Leyes 1/2013 de Cantabria y 7/2012 de La Rioja declaradas inconstitucionales en SSTC 106/2014 y 24/2014, respectivamente. La ausencia de coincidencia no es casual ni inconsciente, sino deliberada y adoptada por el legislador catalán con la voluntad de no incurrir en contradicción con la legislación básica estatal; tal como resulta del Dictamen 2/2014, de 10 de enero, del Consell de Garanties Estatutàries. A su vez, la falta de mención de las competencias estatales no puede reputarse un vicio de inconstitucionalidad (STC 122/1983). Aunque cupiera otra interpretación del precepto impugnado, correspondería en todo caso elegir la que acaba de exponerse en razón del principio de conservación de la ley (SSTC 122/1983, 93/1984, 101/2008, y 341/1993).</w:t>
      </w:r>
    </w:p>
    <w:p w:rsidR="00163957" w:rsidRDefault="00163957" w:rsidP="00163957">
      <w:pPr>
        <w:pStyle w:val="TextoNormal"/>
      </w:pPr>
    </w:p>
    <w:p w:rsidR="00163957" w:rsidRDefault="00163957" w:rsidP="00163957">
      <w:pPr>
        <w:pStyle w:val="TextoNormal"/>
      </w:pPr>
      <w:r>
        <w:t>b) Respecto de la disposición transitoria octava, los Letrados del Parlamento de Cataluña razonan en primer término que habría de quedar al margen del presente proceso el primer inciso. Este concede al Gobierno un plazo anual para la presentación al Parlamento de “un proyecto de ley de comercio, servicios y ferias en el que se valoren adecuadamente los intereses públicos en relación con la normativa de implantación de equipamientos comerciales y la proporcionalidad y no discriminación de las medidas que deben adoptarse”. El recurso nada habría alegado al respecto sin que alcance a entenderse cuáles serían las razones que podrían fundar la inconstitucionalidad de este primer inciso; máxime cuando la iniciativa legislativa prevista se refiere al comercio interior y a los derechos de consumidores y usuarios, materias de competencia autonómica [arts. 121 y 123 a) EAC].</w:t>
      </w:r>
    </w:p>
    <w:p w:rsidR="00163957" w:rsidRDefault="00163957" w:rsidP="00163957">
      <w:pPr>
        <w:pStyle w:val="TextoNormal"/>
      </w:pPr>
    </w:p>
    <w:p w:rsidR="00163957" w:rsidRDefault="00163957" w:rsidP="00163957">
      <w:pPr>
        <w:pStyle w:val="TextoNormal"/>
      </w:pPr>
      <w:r>
        <w:t>Tras exponer el régimen establecido en la Directiva de servicios y traspuesto por la Ley 17/2009, se refiere ya a la regulación de la localización y la ordenación de uso establecida en los apartados 3 y 4 del Decreto-ley catalán 1/2009, en su redacción original (antes de la modificación operada por el art. 114 de la Ley 9/2011). Sería plenamente acorde con la legislación básica estatal por tener cabida en el supuesto previsto en el art. 11.1 a) de la Ley 17/2009, estar fundada en razones imperiosas de interés general (de carácter territorial urbanístico, medioambiental y de protección de derechos de los consumidores) y no ser discriminatoria. Los arts. 4 y 6 LOCM tampoco habrían prohibido la incorporación de límites territoriales al emplazamiento de establecimientos comerciales.</w:t>
      </w:r>
    </w:p>
    <w:p w:rsidR="00163957" w:rsidRDefault="00163957" w:rsidP="00163957">
      <w:pPr>
        <w:pStyle w:val="TextoNormal"/>
      </w:pPr>
    </w:p>
    <w:p w:rsidR="00163957" w:rsidRDefault="00163957" w:rsidP="00163957">
      <w:pPr>
        <w:pStyle w:val="TextoNormal"/>
      </w:pPr>
      <w:r>
        <w:lastRenderedPageBreak/>
        <w:t>Los Letrados autonómicos se refieren a la STC 193/2013 con el fin de acotar exactamente su alcance. En su fundamento jurídico 6 afirma que el Decreto-ley 1/2009, en su redacción originaria, fundó las limitaciones a la implantación de establecimientos comerciales en razones imperiosas de interés general de carácter medioambiental y de ordenación territorial urbanística. En su fundamento jurídico 7 admite que la sujeción del emplazamiento de los establecimientos comerciales allí regulados a requisitos conectados con sus dimensiones o con la población del municipio no es incompatible con la legislación básica estatal. A este respecto, la Sentencia citó la del Tribunal de Justicia de la Unión Europea de 24 de marzo de 2011 (C-400/08), que reconoce que esos requisitos son adecuados para conseguir la protección del medio ambiente y para articular una ordenación territorial sensible a las necesidades de implantación de determinados equipamientos comerciales. A su vez, el fundamento jurídico 8 concluye que los requisitos del art. 114 de la Ley catalana 9/2011 adolecen de inconstitucionalidad por “imponer restricciones de orden cuantitativo poblacional y territorial no suficientemente motivadas”. Según el Tribunal Constitucional, cabría pues condicionar la ubicación de centros comerciales a requisitos de tamaño o población, siempre que ello estuviera debidamente justificado en razones imperiosas de interés general de carácter urbanístico o medio ambiental y que las restricciones no respondieran a connotaciones meramente económicas.</w:t>
      </w:r>
    </w:p>
    <w:p w:rsidR="00163957" w:rsidRDefault="00163957" w:rsidP="00163957">
      <w:pPr>
        <w:pStyle w:val="TextoNormal"/>
      </w:pPr>
    </w:p>
    <w:p w:rsidR="00163957" w:rsidRDefault="00163957" w:rsidP="00163957">
      <w:pPr>
        <w:pStyle w:val="TextoNormal"/>
      </w:pPr>
      <w:r>
        <w:t>En cualquier caso, la Ley controvertida en este proceso constitucional no habría introducido estrictamente nuevas restricciones a la implantación de establecimientos comerciales. Su disposición adicional vigésima séptima habría acatado la STC 193/2013 al declarar vigente el régimen anterior al declarado inconstitucional con motivo de la modificación de los apartados 3 y 4 del art. 9 del Decreto-ley catalán a través del art. 114 de la Ley 9/2011. A su vez, la disposición transitoria octava se habría limitado a suspender temporalmente la excepción de implantación de establecimientos comerciales (grandes, medianos y grandes establecimientos comerciales territoriales) fuera de las tramas urbanas consolidadas. Habría establecido así una moratoria de un año compatible con la Directiva de servicios y la legislación básica estatal; permitiría la realización de los necesarios estudios de impacto normativo con objeto de valorar adecuadamente cuál es la mejor de las opciones a la hora de determinar el régimen de excepciones a la implantación de los indicados establecimientos comerciales. Este régimen habrá de respetar la doctrina de la STC 193/2013 y del Tribunal de Justicia de la Unión Europea. Se trataría de evitar efectos indeseables como la dispersión de la urbanización y el incremento de desplazamientos innecesarios fuera de las ciudades, la sobrecarga de las vías de comunicación y de emisión de gases nocivos para la atmósfera, el empobrecimiento de la vida urbana resultante del desplazamiento de actividades comerciales al exterior. La suspensión respondería pues a razones imperiosas de interés general vinculadas a la necesidad de proteger el impacto en el territorio, el entorno, el medio ambiente y la movilidad.</w:t>
      </w:r>
    </w:p>
    <w:p w:rsidR="00163957" w:rsidRDefault="00163957" w:rsidP="00163957">
      <w:pPr>
        <w:pStyle w:val="TextoNormal"/>
      </w:pPr>
    </w:p>
    <w:p w:rsidR="00163957" w:rsidRDefault="00163957" w:rsidP="00163957">
      <w:pPr>
        <w:pStyle w:val="TextoNormal"/>
      </w:pPr>
      <w:r>
        <w:t xml:space="preserve">c) Respecto de la disposición transitoria quinta, los Letrados del Parlamento de Cataluña señalan que el recurso nada alega sobre los apartados primero y tercero, por lo que deben entenderse no cuestionados (citan la STC 13/2007, FJ 1). Admiten que el art. 64 LGSS dispone que ninguna entidad pública o privada pueda usar en España el título o nombre de las entidades gestoras y servicios comunes de la Seguridad Social, ni incluir en su denominación la expresión “Seguridad Social”, salvo que lo autorice expresamente el ministerio competente. Sin embargo, hay que entender que la disposición controvertida se ha limitado a reproducir una denominación histórica, la que adoptó el art. 2 de la Ley 12/1983, de 14 de </w:t>
      </w:r>
      <w:r>
        <w:lastRenderedPageBreak/>
        <w:t>julio, que creó el Instituto Catalán de la Salud (ICS) y el Instituto Catalán de Asistencia y Servicios Sociales, asignándoles “personalidad y naturaleza de Entidades Gestoras de la Seguridad Social” antes de la entrada en vigor en 1994 del art. 64 LGSS. La Ley impugnada no tendría pues el ánimo de cambiar o modificar la naturaleza del Instituto Catalán de Asistencia y Servicios Sociales; más teniendo en cuenta que viene a suprimirlo.</w:t>
      </w:r>
    </w:p>
    <w:p w:rsidR="00163957" w:rsidRDefault="00163957" w:rsidP="00163957">
      <w:pPr>
        <w:pStyle w:val="TextoNormal"/>
      </w:pPr>
    </w:p>
    <w:p w:rsidR="00163957" w:rsidRDefault="00163957" w:rsidP="00163957">
      <w:pPr>
        <w:pStyle w:val="TextoNormal"/>
      </w:pPr>
      <w:r>
        <w:t>Entienden que parece inoportuno declarar la inconstitucionalidad y nulidad de una calificación tangencial asignada a un ente extinguido. Se estaría ante un supuesto que va más allá del caso de pérdida de objeto del recurso de inconstitucionalidad por derogación de la norma impugnada. La norma está aquí vigente; lo que no tiene vida en el mundo del derecho es el órgano, pues la propia disposición transitoria quinta ordena su supresión.</w:t>
      </w:r>
    </w:p>
    <w:p w:rsidR="00163957" w:rsidRDefault="00163957" w:rsidP="00163957">
      <w:pPr>
        <w:pStyle w:val="TextoNormal"/>
      </w:pPr>
    </w:p>
    <w:p w:rsidR="00163957" w:rsidRDefault="00163957" w:rsidP="00163957">
      <w:pPr>
        <w:pStyle w:val="TextoNormal"/>
      </w:pPr>
      <w:r>
        <w:t>En cuanto al apartado 2 de la disposición transitoria quinta, los Letrados autonómicos consideran que es posible una interpretación conforme a la Constitución, habida cuenta de que sus dos frases distinguen dos tipos de bienes y, con ello, dos regímenes jurídicos diferenciados. Podría entenderse, en particular, que la disposición controvertida no altera la titularidad ni el servicio asistencial de los bienes propiedad de la Tesorería General de la Seguridad Social cuyo uso y gestión fue transferido al Instituto Catalán de Asistencia y Servicios Sociales. No obstante, los Letrados autonómicos admiten que la regulación es mejorable técnicamente y que prueba de ello es el proyecto de ley de medidas fiscales, financieras y administrativas presentado en 2 de diciembre de 2014, que aspira a modificar la disposición controvertida.</w:t>
      </w:r>
    </w:p>
    <w:p w:rsidR="00163957" w:rsidRDefault="00163957" w:rsidP="00163957">
      <w:pPr>
        <w:pStyle w:val="TextoNormal"/>
      </w:pPr>
    </w:p>
    <w:p w:rsidR="00163957" w:rsidRDefault="00163957" w:rsidP="00163957">
      <w:pPr>
        <w:pStyle w:val="TextoNormal"/>
      </w:pPr>
      <w:r>
        <w:t>d) Los Letrados del Parlamento de Cataluña solicitan en último término el levantamiento inmediato de la suspensión antes del transcurso del plazo de cinco meses.</w:t>
      </w:r>
    </w:p>
    <w:p w:rsidR="00163957" w:rsidRDefault="00163957" w:rsidP="00163957">
      <w:pPr>
        <w:pStyle w:val="TextoNormal"/>
      </w:pPr>
    </w:p>
    <w:p w:rsidR="00163957" w:rsidRDefault="00163957" w:rsidP="00163957">
      <w:pPr>
        <w:pStyle w:val="TextoNormal"/>
      </w:pPr>
      <w:r w:rsidRPr="00163957">
        <w:rPr>
          <w:rStyle w:val="NumeroAFNegritaCaracter"/>
        </w:rPr>
        <w:t>7</w:t>
      </w:r>
      <w:r>
        <w:t>. 7. Instado por la representación de la Generalitat de Cataluña y del Parlamento de Cataluña el levantamiento anticipado de la suspensión de los preceptos impugnados, el Tribunal, tras oír a las partes, adopta el ATC 63/2015, de 17 de marzo, que declara la desaparición sobrevenida del objeto del incidente sobre el mantenimiento o levantamiento de la suspensión respecto de las disposiciones transitorias quinta.2 y octava de la Ley 2/2014, de 27 de enero, así como levantar la suspensión del art. 167.1 y de la disposición transitoria quinta, apartados 1 y 3, de la misma Ley.</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12 de abril de 2016 se señala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Presidente del Gobierno, a través del Abogado del Estado, interpone recurso de inconstitucionalidad contra el art. 167.1 y las disposiciones transitorias quinta y octava de la Ley 2/2014, de 27 de enero, de medidas fiscales, administrativas, financieras y del sector público de Cataluña.</w:t>
      </w:r>
    </w:p>
    <w:p w:rsidR="00163957" w:rsidRDefault="00163957" w:rsidP="00163957">
      <w:pPr>
        <w:pStyle w:val="TextoNormal"/>
      </w:pPr>
    </w:p>
    <w:p w:rsidR="00163957" w:rsidRDefault="00163957" w:rsidP="00163957">
      <w:pPr>
        <w:pStyle w:val="TextoNormal"/>
      </w:pPr>
      <w:r>
        <w:t xml:space="preserve">El recurso impugna previsiones relativas a materias muy distintas: la investigación y explotación de recursos naturales mediante la técnica de la fracturación hidráulica (art. 167.1), la naturaleza y bienes del Instituto Catalán de Asistencia y Servicios Sociales (disposición </w:t>
      </w:r>
      <w:r>
        <w:lastRenderedPageBreak/>
        <w:t>transitoria quinta) y las limitaciones a la implantación de establecimientos comerciales con superficie igual o superior a 800 m² fuera de la denominada trama urbana consolidada (disposición transitoria octava).</w:t>
      </w:r>
    </w:p>
    <w:p w:rsidR="00163957" w:rsidRDefault="00163957" w:rsidP="00163957">
      <w:pPr>
        <w:pStyle w:val="TextoNormal"/>
      </w:pPr>
    </w:p>
    <w:p w:rsidR="00163957" w:rsidRDefault="00163957" w:rsidP="00163957">
      <w:pPr>
        <w:pStyle w:val="TextoNormal"/>
      </w:pPr>
      <w:r>
        <w:t>Las tres impugnaciones plantean controversias competenciales. Los preceptos autonómicos incurrirían en una inconstitucionalidad indirecta o mediata por contravenir legislación estatal dictada al abrigo de los apartados 13, 17, 23 y 25 del art. 149.1 CE. Los Letrados de la Generalitat y del Parlamento de Cataluña interesan la desestimación del recurso por entender que las disposiciones controvertidas se amparan en competencias estatutarias de la Generalitat de Cataluña y que las contradicciones denunciadas no existen o pueden salvarse mediante interpretaciones de conformidad.</w:t>
      </w:r>
    </w:p>
    <w:p w:rsidR="00163957" w:rsidRDefault="00163957" w:rsidP="00163957">
      <w:pPr>
        <w:pStyle w:val="TextoNormal"/>
      </w:pPr>
    </w:p>
    <w:p w:rsidR="00163957" w:rsidRDefault="00163957" w:rsidP="00163957">
      <w:pPr>
        <w:pStyle w:val="TextoNormal"/>
      </w:pPr>
      <w:r w:rsidRPr="00163957">
        <w:rPr>
          <w:rStyle w:val="NumeroAFNegritaCaracter"/>
        </w:rPr>
        <w:t>2</w:t>
      </w:r>
      <w:r>
        <w:t>. Tras la interposición del presente recurso de inconstitucionalidad, se han aprobado varios textos normativos relevantes para el presente proceso.</w:t>
      </w:r>
    </w:p>
    <w:p w:rsidR="00163957" w:rsidRDefault="00163957" w:rsidP="00163957">
      <w:pPr>
        <w:pStyle w:val="TextoNormal"/>
      </w:pPr>
    </w:p>
    <w:p w:rsidR="00163957" w:rsidRDefault="00163957" w:rsidP="00163957">
      <w:pPr>
        <w:pStyle w:val="TextoNormal"/>
      </w:pPr>
      <w:r>
        <w:t xml:space="preserve">Por un lado, una reforma legislativa ha incidido sobre la legislación utilizable en este procedimiento como parámetro de constitucionalidad mediata. La norma afectada es el Real Decreto Legislativo 1/1994, de 20 de julio, que aprueba el texto refundido de la Ley general de la Seguridad Social (en adelante, LGSS de 1994), algunos de cuyos artículos han sido invocados por el Abogado del Estado como canon de enjuiciamiento de la disposición transitoria quinta, relativa al Instituto Catalán de Asistencia y Servicios Sociales, de la Ley catalana 2/2014. Este Real Decreto Legislativo ha sido derogado y sustituido por el 8/2015, de 30 de octubre, que aprueba un nuevo texto refundido de la Ley general de la Seguridad Social (en adelante, LGSS de 2015). De acuerdo con nuestra doctrina sobre el </w:t>
      </w:r>
      <w:r w:rsidRPr="00163957">
        <w:rPr>
          <w:i/>
        </w:rPr>
        <w:t>ius superveniens</w:t>
      </w:r>
      <w:r>
        <w:t xml:space="preserve"> (por todas, STC 154/2015, de 9 de julio, FJ 2), los parámetros de control que hemos de emplear en recursos de inconstitucionalidad han de ser los vigentes en el momento de nuestro enjuiciamiento. Consecuentemente, en este proceso tomaremos en consideración la Ley general de la Seguridad Social de 2015.</w:t>
      </w:r>
    </w:p>
    <w:p w:rsidR="00163957" w:rsidRDefault="00163957" w:rsidP="00163957">
      <w:pPr>
        <w:pStyle w:val="TextoNormal"/>
      </w:pPr>
    </w:p>
    <w:p w:rsidR="00163957" w:rsidRDefault="00163957" w:rsidP="00163957">
      <w:pPr>
        <w:pStyle w:val="TextoNormal"/>
      </w:pPr>
      <w:r>
        <w:t>Otras dos reformas legislativas han afectado a preceptos impugnados en el presente procedimiento. Las previsiones afectadas son la disposición transitoria quinta, en relación con la naturaleza y bienes del Instituto Catalán de Asistencia y Servicios Sociales, y la disposición transitoria octava, sobre las limitaciones a la implantación de establecimientos comerciales con superficie igual o superior a 800 m² fuera de la trama urbana consolidada. En cuanto a la primera, el art. 102 de la Ley del Parlamento de Cataluña 3/2015, de 11 de marzo, de medidas fiscales, financieras y administrativas, ha dado nueva redacción al apartado 2 de la disposición transitoria quinta. Respecto de la segunda, el artículo único del Decreto-ley catalán 7/2014, de 23 de diciembre, ha derogado previsiones relativas a la implantación de establecimientos comerciales que la impugnada disposición transitoria octava de la Ley 2/2014 mantenía suspendidas. Los fundamentos jurídicos siguientes abordarán separadamente ambas reformas con el fin de dilucidar si han dado lugar a la extinción de las impugnaciones por desaparición sobrevenida de su objeto.</w:t>
      </w:r>
    </w:p>
    <w:p w:rsidR="00163957" w:rsidRDefault="00163957" w:rsidP="00163957">
      <w:pPr>
        <w:pStyle w:val="TextoNormal"/>
      </w:pPr>
    </w:p>
    <w:p w:rsidR="00163957" w:rsidRDefault="00163957" w:rsidP="00163957">
      <w:pPr>
        <w:pStyle w:val="TextoNormal"/>
      </w:pPr>
      <w:r w:rsidRPr="00163957">
        <w:rPr>
          <w:rStyle w:val="NumeroAFNegritaCaracter"/>
        </w:rPr>
        <w:t>3</w:t>
      </w:r>
      <w:r>
        <w:t>. La disposición transitoria quinta de la Ley catalana 2/2014, antes de su reforma, establecía:</w:t>
      </w:r>
    </w:p>
    <w:p w:rsidR="00163957" w:rsidRDefault="00163957" w:rsidP="00163957">
      <w:pPr>
        <w:pStyle w:val="TextoNormal"/>
      </w:pPr>
    </w:p>
    <w:p w:rsidR="00163957" w:rsidRDefault="00163957" w:rsidP="00163957">
      <w:pPr>
        <w:pStyle w:val="TextoNormal"/>
      </w:pPr>
      <w:r>
        <w:t xml:space="preserve">“1. Hasta que no se apruebe la relación de puestos de trabajo adaptada a la estructura orgánica que se determine, y se efectúen las correspondientes adaptaciones presupuestarias, </w:t>
      </w:r>
      <w:r>
        <w:lastRenderedPageBreak/>
        <w:t>la dirección, los órganos y los puestos de trabajo del Instituto Catalán de Asistencia y Servicios Sociales deben seguir subsistiendo y deben ser retribuidos con cargo a los mismos créditos presupuestarios a que se imponían y quedar adscritos al departamento competente en materia de servicios sociales.</w:t>
      </w:r>
    </w:p>
    <w:p w:rsidR="00163957" w:rsidRDefault="00163957" w:rsidP="00163957">
      <w:pPr>
        <w:pStyle w:val="TextoNormal"/>
      </w:pPr>
    </w:p>
    <w:p w:rsidR="00163957" w:rsidRDefault="00163957" w:rsidP="00163957">
      <w:pPr>
        <w:pStyle w:val="TextoNormal"/>
      </w:pPr>
      <w:r>
        <w:t>2. Los bienes integrantes del patrimonio de la entidad gestora de la Seguridad Social que se suprime se incorporan al patrimonio de la Generalitat y se adscriben al departamento competente en materia de servicios sociales. El departamento competente en materia de servicios sociales se subroga en todos los derechos y obligaciones de los bienes de titularidad de la Tesorería General de la Seguridad Social cuyo uso y gestión hayan sido atribuidos al Instituto Catalán de Asistencia y Servicios Sociales.</w:t>
      </w:r>
    </w:p>
    <w:p w:rsidR="00163957" w:rsidRDefault="00163957" w:rsidP="00163957">
      <w:pPr>
        <w:pStyle w:val="TextoNormal"/>
      </w:pPr>
    </w:p>
    <w:p w:rsidR="00163957" w:rsidRDefault="00163957" w:rsidP="00163957">
      <w:pPr>
        <w:pStyle w:val="TextoNormal"/>
      </w:pPr>
      <w:r>
        <w:t>3. Dotaciones presupuestarias y de tesorería.</w:t>
      </w:r>
    </w:p>
    <w:p w:rsidR="00163957" w:rsidRDefault="00163957" w:rsidP="00163957">
      <w:pPr>
        <w:pStyle w:val="TextoNormal"/>
      </w:pPr>
    </w:p>
    <w:p w:rsidR="00163957" w:rsidRDefault="00163957" w:rsidP="00163957">
      <w:pPr>
        <w:pStyle w:val="TextoNormal"/>
      </w:pPr>
      <w:r>
        <w:t>La actual sección presupuestaria 5000 debe mantenerse hasta que finalice este ejercicio presupuestario, sin perjuicio de la adscripción de sus créditos e ingresos a los órganos competentes del departamento competente en materia de servicios sociales.</w:t>
      </w:r>
    </w:p>
    <w:p w:rsidR="00163957" w:rsidRDefault="00163957" w:rsidP="00163957">
      <w:pPr>
        <w:pStyle w:val="TextoNormal"/>
      </w:pPr>
    </w:p>
    <w:p w:rsidR="00163957" w:rsidRDefault="00163957" w:rsidP="00163957">
      <w:pPr>
        <w:pStyle w:val="TextoNormal"/>
      </w:pPr>
      <w:r>
        <w:t>Los ingresos en concepto de prestación de servicios de asistencia social quedan afectados a la financiación de estos servicios.</w:t>
      </w:r>
    </w:p>
    <w:p w:rsidR="00163957" w:rsidRDefault="00163957" w:rsidP="00163957">
      <w:pPr>
        <w:pStyle w:val="TextoNormal"/>
      </w:pPr>
    </w:p>
    <w:p w:rsidR="00163957" w:rsidRDefault="00163957" w:rsidP="00163957">
      <w:pPr>
        <w:pStyle w:val="TextoNormal"/>
      </w:pPr>
      <w:r>
        <w:t>Se mantiene la Tesorería del Instituto Catalán de Asistencia y Servicios Sociales hasta su liquidación, en relación con los pagos de dichos créditos y con los ingresos correspondientes a dicha sección.”</w:t>
      </w:r>
    </w:p>
    <w:p w:rsidR="00163957" w:rsidRDefault="00163957" w:rsidP="00163957">
      <w:pPr>
        <w:pStyle w:val="TextoNormal"/>
      </w:pPr>
    </w:p>
    <w:p w:rsidR="00163957" w:rsidRDefault="00163957" w:rsidP="00163957">
      <w:pPr>
        <w:pStyle w:val="TextoNormal"/>
      </w:pPr>
      <w:r>
        <w:t>El Abogado del Estado dirigió dos reproches diferenciados a esta regulación. En primer lugar, la calificación del Instituto Catalán de Asistencia y Servicios Sociales como “entidad gestora de la Seguridad Social” incumpliría los arts. 57 y 64 LGSS de 1994, vulnerando con ello el art. 149.1.17 CE (legislación básica y régimen económico de la Seguridad Social). Tales preceptos se refieren a una serie de organismos con indicación de que tienen la consideración de “entidades gestoras de la seguridad social” (art. 57, reproducido sin cambios en el art. 66 LGSS de 2015), a la vez que establecen una reserva de denominación: “ninguna entidad pública o privada podrá usar en España el título o los nombres de las entidades gestoras y servicios comunes de la Seguridad Social, ni los que puedan resultar de la adición a los mismos de algunas palabras o de la mera combinación, en otra forma, de las principales que los constituyen. Tampoco podrán incluir en su denominación la expresión Seguridad Social, salvo expresa autorización del Ministerio de Trabajo y Seguridad Social” (art. 64, reproducido con un solo cambio en la referencia al Ministerio citado en el art. 75 LGSS de 2015). Comoquiera que el Instituto Catalán de Asistencia y Servicios Sociales no es una entidad gestora de la Seguridad Social ni puede ser considerada como tal, la disposición impugnada entraría en contradicción con la legislación básica estatal, invadiendo las competencias que el art. 149.1.17 CE atribuye al Estado.</w:t>
      </w:r>
    </w:p>
    <w:p w:rsidR="00163957" w:rsidRDefault="00163957" w:rsidP="00163957">
      <w:pPr>
        <w:pStyle w:val="TextoNormal"/>
      </w:pPr>
    </w:p>
    <w:p w:rsidR="00163957" w:rsidRDefault="00163957" w:rsidP="00163957">
      <w:pPr>
        <w:pStyle w:val="TextoNormal"/>
      </w:pPr>
      <w:r>
        <w:t xml:space="preserve">En segundo lugar, contando el Instituto Catalán de Asistencia y Servicios Sociales con bienes que forman parte del patrimonio único de la Seguridad Social y que siguen afectos a sus fines específicos (arts. 80.1 y 81 LGSS de 1994, Real Decreto 1517/1981, de 8 de julio, sobre traspasos de servicios de la Seguridad Social a la Generalitat de Cataluña en materia de Seguridad Social, Real Decreto 46/1993, de 15 de enero, por el que se traspasa el Instituto </w:t>
      </w:r>
      <w:r w:rsidRPr="00163957">
        <w:rPr>
          <w:i/>
        </w:rPr>
        <w:lastRenderedPageBreak/>
        <w:t>Guttman</w:t>
      </w:r>
      <w:r>
        <w:t>), la indicación de que “los bienes integrantes del patrimonio del Instituto Catalán de Asistencia y Servicios Sociales se incorporan al patrimonio de la Generalitat” incurriría en inconstitucionalidad mediata.</w:t>
      </w:r>
    </w:p>
    <w:p w:rsidR="00163957" w:rsidRDefault="00163957" w:rsidP="00163957">
      <w:pPr>
        <w:pStyle w:val="TextoNormal"/>
      </w:pPr>
    </w:p>
    <w:p w:rsidR="00163957" w:rsidRDefault="00163957" w:rsidP="00163957">
      <w:pPr>
        <w:pStyle w:val="TextoNormal"/>
      </w:pPr>
      <w:r>
        <w:t>Según se ha anticipado, durante la tramitación del presente recurso entró en vigor la Ley del Parlamento de Cataluña 3/2015, de 11 de marzo, de medidas fiscales, financieras y administrativas. Su art. 102 da la redacción siguiente al apartado 2 de la disposición transitoria quinta de la Ley 2/2014:</w:t>
      </w:r>
    </w:p>
    <w:p w:rsidR="00163957" w:rsidRDefault="00163957" w:rsidP="00163957">
      <w:pPr>
        <w:pStyle w:val="TextoNormal"/>
      </w:pPr>
    </w:p>
    <w:p w:rsidR="00163957" w:rsidRDefault="00163957" w:rsidP="00163957">
      <w:pPr>
        <w:pStyle w:val="TextoNormal"/>
      </w:pPr>
      <w:r>
        <w:t>“Los bienes integrantes del patrimonio del Instituto Catalán de Asistencia y Servicios Sociales se incorporan al patrimonio de la Generalidad y se adscriben al departamento competente en materia de servicios sociales. Esta adscripción no afecta a los bienes de propiedad de la Tesorería General de la Seguridad Social, que conserva, en cualquier caso, la plena titularidad de los bienes mencionados.”</w:t>
      </w:r>
    </w:p>
    <w:p w:rsidR="00163957" w:rsidRDefault="00163957" w:rsidP="00163957">
      <w:pPr>
        <w:pStyle w:val="TextoNormal"/>
      </w:pPr>
    </w:p>
    <w:p w:rsidR="00163957" w:rsidRDefault="00163957" w:rsidP="00163957">
      <w:pPr>
        <w:pStyle w:val="TextoNormal"/>
      </w:pPr>
      <w:r>
        <w:t>El Instituto Catalán de Asistencia y Servicios Sociales no recibe ahora la denominación de “entidad gestora de la Seguridad Social”. A su vez, la norma precisa que la incorporación de sus bienes al patrimonio de la Generalitat “no afecta a los bienes de propiedad de la Tesorería General de la Seguridad Social, que conserva, en cualquier caso, la plena titularidad de los bienes mencionados”. Consecuentemente, la modificación ha disipado por completo la controversia competencial.</w:t>
      </w:r>
    </w:p>
    <w:p w:rsidR="00163957" w:rsidRDefault="00163957" w:rsidP="00163957">
      <w:pPr>
        <w:pStyle w:val="TextoNormal"/>
      </w:pPr>
    </w:p>
    <w:p w:rsidR="00163957" w:rsidRDefault="00163957" w:rsidP="00163957">
      <w:pPr>
        <w:pStyle w:val="TextoNormal"/>
      </w:pPr>
      <w:r>
        <w:t>Conforme a la doctrina constitucional (resumida en la STC 230/2015, de 5 de noviembre, FJ 3, a la que nos remitimos), al no subsistir la controversia competencial, procede declarar la extinción de esta impugnación por desaparición sobrevenida de su objeto como consecuencia de la modificación de la disposición transitoria quinta.2 de la Ley 2/2014.</w:t>
      </w:r>
    </w:p>
    <w:p w:rsidR="00163957" w:rsidRDefault="00163957" w:rsidP="00163957">
      <w:pPr>
        <w:pStyle w:val="TextoNormal"/>
      </w:pPr>
    </w:p>
    <w:p w:rsidR="00163957" w:rsidRDefault="00163957" w:rsidP="00163957">
      <w:pPr>
        <w:pStyle w:val="TextoNormal"/>
      </w:pPr>
      <w:r w:rsidRPr="00163957">
        <w:rPr>
          <w:rStyle w:val="NumeroAFNegritaCaracter"/>
        </w:rPr>
        <w:t>4</w:t>
      </w:r>
      <w:r>
        <w:t>. La disposición transitoria octava de la Ley 2/2014 dispone:</w:t>
      </w:r>
    </w:p>
    <w:p w:rsidR="00163957" w:rsidRDefault="00163957" w:rsidP="00163957">
      <w:pPr>
        <w:pStyle w:val="TextoNormal"/>
      </w:pPr>
    </w:p>
    <w:p w:rsidR="00163957" w:rsidRDefault="00163957" w:rsidP="00163957">
      <w:pPr>
        <w:pStyle w:val="TextoNormal"/>
      </w:pPr>
      <w:r>
        <w:t>“En el plazo de un año a contar desde la entrada en vigor de la presente ley, el Gobierno debe presentar al Parlamento un proyecto de ley de comercio, servicios y ferias en el que se valoren adecuadamente los intereses públicos en relación con la normativa de implantación de equipamientos comerciales y la proporcionalidad y no discriminación de las medidas que deben adoptarse. Mientras no se apruebe este proyecto de ley queda suspendida la excepción de implantación de establecimientos fuera de trama urbana consolidada a que se refieren el apartado 3.b y el segundo párrafo del apartado 4 del artículo 9 del Decreto Ley 1/2009, de 22 de diciembre, de ordenación de los equipamientos comerciales.”</w:t>
      </w:r>
    </w:p>
    <w:p w:rsidR="00163957" w:rsidRDefault="00163957" w:rsidP="00163957">
      <w:pPr>
        <w:pStyle w:val="TextoNormal"/>
      </w:pPr>
    </w:p>
    <w:p w:rsidR="00163957" w:rsidRDefault="00163957" w:rsidP="00163957">
      <w:pPr>
        <w:pStyle w:val="TextoNormal"/>
      </w:pPr>
      <w:r>
        <w:t xml:space="preserve">El Decreto-ley 1/2009, de 22 de diciembre, de ordenación de los equipamientos comerciales de Cataluña, ya en su redacción originaria, distinguía cuatro tipos de establecimientos comerciales “en razón de la superficie de venta”: los “pequeños” (PEC), con menos de 800 m²; los “medianos” (MEC), con superficie de entre 800 y 1.300 m²; los “grandes” (GEC), con superficie de entre 1.300 y 2.500 m²; y los “grandes establecimientos comerciales territoriales” (GECT), con superficie igual o superior a 2.500 m² [art. 6.1 a)]. El artículo 9, apartados 3 y 4, introducía límites a la implantación de los tres últimos; la permitía sólo dentro la “trama urbana consolidada” —concepto definido en los artículos 7 y 8— de algunos municipios: los de más de 5.000 habitantes, asimilables o capital comarcal, en el caso de los MEC y los GEC; y los de más de 50.000 habitantes, asimilables o capital comarcal, para la </w:t>
      </w:r>
      <w:r>
        <w:lastRenderedPageBreak/>
        <w:t>implantación de los GECT. De modo que quedaba prohibida la implantación de estos establecimientos fuera de las “tramas urbanas consolidadas”. No obstante, el Decreto-ley señalaba una seria de “circunstancias” en que “excepcionalmente se pueden implantar también fuera de la trama urbana consolidada” (párrafos segundo y tercero del apartado 3 y párrafo 3 del apartado 4, ambos del artículo 9).</w:t>
      </w:r>
    </w:p>
    <w:p w:rsidR="00163957" w:rsidRDefault="00163957" w:rsidP="00163957">
      <w:pPr>
        <w:pStyle w:val="TextoNormal"/>
      </w:pPr>
    </w:p>
    <w:p w:rsidR="00163957" w:rsidRDefault="00163957" w:rsidP="00163957">
      <w:pPr>
        <w:pStyle w:val="TextoNormal"/>
      </w:pPr>
      <w:r>
        <w:t>El art. 114 de la Ley del Parlamento de Cataluña 9/2011, de 29 de diciembre, dio nueva redacción a los apartados 3 y 4 del art. 9 del Decreto-ley 1/2009, para limitar aún más la posibilidad de implantación de establecimientos comerciales con superficie igual o superior a 800 m². Por un lado, transformó en definitiva, sin posibilidad de excepción, la prohibición de implantación de establecimientos comerciales con superficie igual o superior a 2.500 m² (GECT) fuera de las tramas urbanas consolidadas (apartado 4). Por otro, respecto de los establecimientos que no alcanzan ese volumen (MEC y GEC), las “circunstancias” en que podía admitirse por excepción la implantación fuera de las tramas quedaron reducidas a una: “zonas de acceso restringido de las estaciones de líneas transfronterizas y transregionales del sistema ferroviario que acogen el tren de alta velocidad o líneas de largo recorrido, de los puertos clasificados de interés general y de los aeropuertos con categoría de aeropuertos comerciales según el plan de aeropuertos, aeródromos y helipuertos de Cataluña 2009-2015” (segundo párrafo del apartado 3).</w:t>
      </w:r>
    </w:p>
    <w:p w:rsidR="00163957" w:rsidRDefault="00163957" w:rsidP="00163957">
      <w:pPr>
        <w:pStyle w:val="TextoNormal"/>
      </w:pPr>
    </w:p>
    <w:p w:rsidR="00163957" w:rsidRDefault="00163957" w:rsidP="00163957">
      <w:pPr>
        <w:pStyle w:val="TextoNormal"/>
      </w:pPr>
      <w:r>
        <w:t>La STC 193/2013, de 21 de noviembre, resolvió el recurso de inconstitucionalidad interpuesto por el Presidente del Gobierno contra el art. 114 de la Ley catalana 9/2011. El Tribunal constató cómo esta previsión configuraba “un régimen sustancialmente más restrictivo”: “la regulación aprobada en 2009, y no la actual que es objeto de impugnación, permitía, con ciertas condiciones, la instalación de un establecimiento comercial de los antes mencionados en emplazamientos situados en continuidad física con el tejido urbano residencial que configura la trama urbana consolidada”. Ello “ampliaba notablemente” los “posibles emplazamientos” de establecimientos comerciales de gran formato. Por eso “la supresión de esta excepción por el precepto impugnado supone que el régimen de instalación de establecimientos comerciales que contiene implica una restricción adicional muy relevante para los formatos de distribución comercial calificados como establecimientos comerciales medianos, grandes y grandes establecimientos territoriales; en la medida en que, por su tamaño, no encuentran acomodo dentro de la trama urbana consolidada del municipio o, de hallarlo, lo hacen en condiciones radicalmente más gravosas que coadyuvan a desincentivar estas modalidades de distribución comercial” (FJ 4).</w:t>
      </w:r>
    </w:p>
    <w:p w:rsidR="00163957" w:rsidRDefault="00163957" w:rsidP="00163957">
      <w:pPr>
        <w:pStyle w:val="TextoNormal"/>
      </w:pPr>
    </w:p>
    <w:p w:rsidR="00163957" w:rsidRDefault="00163957" w:rsidP="00163957">
      <w:pPr>
        <w:pStyle w:val="TextoNormal"/>
      </w:pPr>
      <w:r>
        <w:t xml:space="preserve">Este Tribunal constató igualmente que “el legislador catalán que aprobó el art. 114 de la Ley del Parlamento de Cataluña 9/2011, a diferencia del que sancionó la redacción originaria de los apartados 3 y 4 del art. 9 del Decreto-ley 1/2009, no exterioriza ninguna motivación orientada a justificar que estas mayores restricciones que ahora se imponen coadyuven proporcionadamente al logro de una gestión urbana sostenible; se limita a conectarlas en general con la reactivación económica y en particular con el incremento de la actividad comercial, motivos ambos que por ser de clara índole económica no resultan acordes con los criterios fijados por la normativa básica del Estado”. A la vista de la legislación básica estatal </w:t>
      </w:r>
      <w:r w:rsidRPr="00163957">
        <w:rPr>
          <w:i/>
        </w:rPr>
        <w:t>ex</w:t>
      </w:r>
      <w:r>
        <w:t xml:space="preserve"> art. 149.1.13 CE [apartados 1 a) y 2 del art. 11 de la Ley 17/2009, de 23 de noviembre, sobre el libre acceso a las actividades de servicios y su ejercicio, y art. 6 de la Ley 7/1996, de 15 de enero, de ordenación del comercio minorista (LOCM), en la redacción dada por la Ley 1/2010, de 1 de marzo], “era imprescindible que el legislador catalán diese </w:t>
      </w:r>
      <w:r>
        <w:lastRenderedPageBreak/>
        <w:t>razones suficientes de porqué la consecución de los objetivos urbanísticos, de ordenación territorial y protección ambiental descritos en la exposición de motivos del Decreto-ley 1/2009 hacía necesario una limitación más intensa del libre acceso a la actividad de distribución comercial que la ya establecida por la redacción inicial de los apartados 3 y 4 del art. 9 del Decreto-ley 1/2009” (FJ 7).</w:t>
      </w:r>
    </w:p>
    <w:p w:rsidR="00163957" w:rsidRDefault="00163957" w:rsidP="00163957">
      <w:pPr>
        <w:pStyle w:val="TextoNormal"/>
      </w:pPr>
    </w:p>
    <w:p w:rsidR="00163957" w:rsidRDefault="00163957" w:rsidP="00163957">
      <w:pPr>
        <w:pStyle w:val="TextoNormal"/>
      </w:pPr>
      <w:r>
        <w:t>La STC 193/2013 declaró inconstitucionales y nulos los apartados 3 y 4 del art. 9 del Decreto-ley 1/2009, en la redacción dada por el art. 114 de la Ley 9/2011: los requisitos que establecen, “considerados conjuntamente, no responden a objetivos urbanísticos, de ordenación territorial y protección ambiental, por lo que no se hacen necesarios en virtud de un razón imperiosa de interés general, desconociéndose así la exigencia que el art. 6 de la Ley 7/1996, de ordenación del comercio minorista, y el art. 11 de la Ley 17/2009, sobre el libre acceso a las actividades de servicio y su ejercicio, imponen a todo requisito que limite la libertad de acceso y ejercicio de las actividades de servicios en general y de las de distribución comercial en particular, al imponer restricciones de orden cuantitativo poblacional y territorial no suficientemente motivadas”.</w:t>
      </w:r>
    </w:p>
    <w:p w:rsidR="00163957" w:rsidRDefault="00163957" w:rsidP="00163957">
      <w:pPr>
        <w:pStyle w:val="TextoNormal"/>
      </w:pPr>
    </w:p>
    <w:p w:rsidR="00163957" w:rsidRDefault="00163957" w:rsidP="00163957">
      <w:pPr>
        <w:pStyle w:val="TextoNormal"/>
      </w:pPr>
      <w:r>
        <w:t>Posteriormente, la Ley 2/2014, de 27 de enero, de medidas fiscales, administrativas, financieras y del sector público de Cataluña, en su disposición adicional vigésima séptima, declaró “vigentes los apartados 3 y 4 del art. 9 del Decreto-ley 1/2009, de 22 de diciembre, de ordenación de los equipamientos comerciales, en la redacción que tenían en el momento de entrar en vigor el 29 de diciembre de 2009, de acuerdo con los criterios y los objetivos de este decreto ley, que se fundamentan en las razones imperiosas de interés general que lo sostienen, detalladas en su exposición de motivos”. De este modo, se volvía a la ordenación inicial, que admitía la implantación de MEC, GEC y GECT fuera de las tramas urbanas consolidadas en más circunstancias que la regulación que este Tribunal declaró nula e inconstitucional. No obstante, conforme a la disposición transitoria octava de la Ley, “mientras no se apruebe” el denominado “proyecto de ley de comercio, servicios y ferias” “queda suspendida la excepción de implantación de establecimientos fuera de trama urbana consolidada a que se refieren el apartado 3.b y el segundo párrafo del apartado 4 del artículo 9 del Decreto Ley 1/2009, de 22 de diciembre, de ordenación de los equipamientos comerciales”.</w:t>
      </w:r>
    </w:p>
    <w:p w:rsidR="00163957" w:rsidRDefault="00163957" w:rsidP="00163957">
      <w:pPr>
        <w:pStyle w:val="TextoNormal"/>
      </w:pPr>
    </w:p>
    <w:p w:rsidR="00163957" w:rsidRDefault="00163957" w:rsidP="00163957">
      <w:pPr>
        <w:pStyle w:val="TextoNormal"/>
      </w:pPr>
      <w:r>
        <w:t>El Abogado del Estado interpuso el presente recurso de inconstitucionalidad razonando que la disposición transitoria octava, al impedir la instalación de establecimientos comerciales de cierto tamaño fuera de las tramas urbanas consolidadas, impone nuevamente restricciones cuantitativas y territoriales no justificadas en razones imperiosas de interés general. Ello vulneraría la competencia atribuida al Estado en el art. 149.1.13 CE por contradecir legislación estatal dictada al amparo de aquel título, en particular: los arts. 10 y 11 de la Ley 17/2009 y el art. 6 LOCM, en la redacción dada por el art. 6 de la Ley 18/2014, de 15 de octubre, de aprobación de medidas urgentes para el crecimiento, la competitividad y la eficiencia. También el mandato constitucional del art. 164.1 CE, conforme al que las sentencias constitucionales “tienen plenos efectos frente a todos”.</w:t>
      </w:r>
    </w:p>
    <w:p w:rsidR="00163957" w:rsidRDefault="00163957" w:rsidP="00163957">
      <w:pPr>
        <w:pStyle w:val="TextoNormal"/>
      </w:pPr>
    </w:p>
    <w:p w:rsidR="00163957" w:rsidRDefault="00163957" w:rsidP="00163957">
      <w:pPr>
        <w:pStyle w:val="TextoNormal"/>
      </w:pPr>
      <w:r>
        <w:t xml:space="preserve">Tras la interposición del recurso de inconstitucionalidad, el Gobierno de Cataluña aprobó el Decreto-ley 7/2014, de 23 de diciembre, “por el cual se deroga la letra b) del apartado 3 y el segundo párrafo del apartado 4 del artículo 9 del Decreto-ley 1/2009, de 22 de diciembre, de ordenación de equipamientos comerciales”. Este Decreto-ley, al derogar aquellas previsiones, viene a establecer con carácter definitivo la regulación que la STC 193/2013 </w:t>
      </w:r>
      <w:r>
        <w:lastRenderedPageBreak/>
        <w:t>declaró inconstitucional y nula, pero incorporando en su exposición de motivos una serie de razones presentadas como “imperiosas” y de “interés general”, con la finalidad de justificar que no haya posibilidad de implantar establecimientos con superficie igual o superior a 800 m² fuera de las tramas urbanas consolidadas. Conforme a su exposición de motivos, el Decreto-ley opta por derogar aquellas previsiones —que en determinadas circunstancias permiten emplazar fuera de las tramas urbanas consolidadas establecimientos comerciales con superficie igual o superior a 800 m²— sobre la base de que la STC 193/2013 “no cuestiona la competencia de la Generalitat de Cataluña para regular” esta materia; su declaración de nulidad “se fundamenta en que la Ley 9/2011 no motiva adecuadamente la modificación del artículo 9 del Decreto-ley 1/2009, —</w:t>
      </w:r>
      <w:r w:rsidRPr="00163957">
        <w:rPr>
          <w:i/>
        </w:rPr>
        <w:t>de facto</w:t>
      </w:r>
      <w:r>
        <w:t>, derogación de la letra b) del apartado 3 del artículo 9 y del segundo párrafo del apartado 4 del mismo artículo—, y no justifica en detalle cuáles son las razones imperiosas de interés general en que se fundamenta esa modificación”.</w:t>
      </w:r>
    </w:p>
    <w:p w:rsidR="00163957" w:rsidRDefault="00163957" w:rsidP="00163957">
      <w:pPr>
        <w:pStyle w:val="TextoNormal"/>
      </w:pPr>
    </w:p>
    <w:p w:rsidR="00163957" w:rsidRDefault="00163957" w:rsidP="00163957">
      <w:pPr>
        <w:pStyle w:val="TextoNormal"/>
      </w:pPr>
      <w:r>
        <w:t>El Decreto-ley 7/2014, al derogar expresamente la letra b) del apartado 3 y del segundo párrafo del apartado 4 del art. 9 del Decreto-ley 1/2009, lo ha hecho también, de modo implícito pero inequívoco, con la disposición transitoria octava de la Ley 2/2014, impugnada en este proceso, tal como apreció ya el ATC 63/2015, de 17 de marzo, FJ 4: la pérdida de vigencia de aquella regulación implica lógicamente la de la disposición que suspendía su aplicación hasta la aprobación del denominado “proyecto de ley de comercio, servicios y ferias”.</w:t>
      </w:r>
    </w:p>
    <w:p w:rsidR="00163957" w:rsidRDefault="00163957" w:rsidP="00163957">
      <w:pPr>
        <w:pStyle w:val="TextoNormal"/>
      </w:pPr>
    </w:p>
    <w:p w:rsidR="00163957" w:rsidRDefault="00163957" w:rsidP="00163957">
      <w:pPr>
        <w:pStyle w:val="TextoNormal"/>
      </w:pPr>
      <w:r>
        <w:t>La vigencia o aplicación del Decreto-ley 7/2014 ha quedado suspendida desde el 23 de septiembre de 2015 como consecuencia de la admisión del recurso de inconstitucionalidad núm. 5272-2015 (interpuesto contra él con invocación el art. 161.2 CE por el Presidente del Gobierno) y del ATC 41/2016, de 16 de febrero (que rechaza el levantamiento solicitado por la Abogada de la Generalitat de Cataluña). A su vez, no puede afirmarse que la controversia competencial que suscita el presente recurso haya desaparecido tras el Decreto-ley 7/2014. Este establece restricciones a la implantación de establecimientos comerciales que han estado vigentes en Cataluña desde hace algún tiempo: primero mediante el art. 114 de la Ley 9/2011, anulado por la STC 193/2013, después a través de la aquí impugnada disposición transitoria octava de la Ley 2/2014 y ahora mediante el Decreto-ley 7/2014. Los textos normativos empleados al efecto han suscitado siempre controversias competenciales concretadas en recursos de inconstitucionalidad del Presidente del Gobierno (núms. 5491-2012 —resuelto por STC 193/2013—, 6513/2014 —al que se refiere la presente Sentencia— y 5272/2015 dirigido contra el Decreto-ley 7/2014). Por eso, de acuerdo con la citada doctrina constitucional, procede declarar que el presente recurso no ha perdido objeto en este punto.</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Las SSTC 26/2012, de 26 de 1 marzo, FJ 5, y 193/2013, FJ 3, han declarado el carácter formal y materialmente básico, </w:t>
      </w:r>
      <w:r w:rsidRPr="00163957">
        <w:rPr>
          <w:i/>
        </w:rPr>
        <w:t>ex</w:t>
      </w:r>
      <w:r>
        <w:t xml:space="preserve"> art. 149.1.13 CE, del art. 11 de la Ley 17/2009, de 23 de noviembre, sobre el libre acceso a las actividades de servicio y su ejercicio, que incorpora a nuestro ordenamiento la Directiva 2006/123/CE del Parlamento Europeo y del Consejo, de 12 de diciembre de 2006, relativa a los servicios en el mercado interior. También del art. 6 LOCM, en la redacción dada por las Leyes 17/2009 y 1/2010, de 1 de marzo. Señalan a este respecto: “Ninguna duda cabe de que las normas que se han expuesto tienen carácter básico desde un punto de vista formal pues ya hemos indicado que como tales se proclaman </w:t>
      </w:r>
      <w:r>
        <w:lastRenderedPageBreak/>
        <w:t>en la Ley de ordenación del comercio minorista y en la Ley 17/2009 mientras que, desde la perspectiva material, pueden ser consideradas previsiones básicas en materia económica”.</w:t>
      </w:r>
    </w:p>
    <w:p w:rsidR="00163957" w:rsidRDefault="00163957" w:rsidP="00163957">
      <w:pPr>
        <w:pStyle w:val="TextoNormal"/>
      </w:pPr>
    </w:p>
    <w:p w:rsidR="00163957" w:rsidRDefault="00163957" w:rsidP="00163957">
      <w:pPr>
        <w:pStyle w:val="TextoNormal"/>
      </w:pPr>
      <w:r>
        <w:t>Tales preceptos establecen un marco de límites al que debe ajustarse toda regulación autonómica sobre acceso a (o ejercicio de) una actividad de servicios, en general, y sobre apertura, traslado o ampliación de establecimientos comerciales, en particular. A los efectos de este proceso, basta subrayar uno de tales límites, convenientemente indicado en el recurso de inconstitucionalidad: la fijación de cualesquiera requisitos, condiciones o restricciones a ese acceso o ejercicio debe justificarse en razones imperiosas de interés general, como la protección del medio ambiente, la ordenación de territorio o la conservación del patrimonio histórico y artístico; en ningún caso en fines económicos, como garantizar la viabilidad económica de determinados prestadores.</w:t>
      </w:r>
    </w:p>
    <w:p w:rsidR="00163957" w:rsidRDefault="00163957" w:rsidP="00163957">
      <w:pPr>
        <w:pStyle w:val="TextoNormal"/>
      </w:pPr>
    </w:p>
    <w:p w:rsidR="00163957" w:rsidRDefault="00163957" w:rsidP="00163957">
      <w:pPr>
        <w:pStyle w:val="TextoNormal"/>
      </w:pPr>
      <w:r>
        <w:t>La Ley 18/2014, de 15 de octubre, de aprobación de medidas urgentes para el crecimiento, la competitividad y la eficiencia, ha dado una nueva redacción al art. 6 LOCM. El precepto somete a más condiciones aquellas restricciones a la apertura, traslado o ampliación de establecimientos comerciales. Este Tribunal ha admitido a trámite los recursos de inconstitucionalidad núms. 283-2015 y 292-2015, que plantean —entre otras— la impugnación de esta nueva redacción por posible vulneración de las competencias estatutarias en materia de comercio interior con extralimitación en el ejercicio de las atribuciones que el art. 149.1.13 CE otorga al Estado.</w:t>
      </w:r>
    </w:p>
    <w:p w:rsidR="00163957" w:rsidRDefault="00163957" w:rsidP="00163957">
      <w:pPr>
        <w:pStyle w:val="TextoNormal"/>
      </w:pPr>
    </w:p>
    <w:p w:rsidR="00163957" w:rsidRDefault="00163957" w:rsidP="00163957">
      <w:pPr>
        <w:pStyle w:val="TextoNormal"/>
      </w:pPr>
      <w:r>
        <w:t>Para resolver la impugnación formulada en este proceso no es preciso adelantar un juicio sobre si la nueva redacción del art. 6 LOCM constituye, en su conjunto, un ejercicio legítimo de la competencia estatal sobre las bases de la ordenación de la economía. Como después se verá, para dar respuesta al recurso bastará tomar en consideración uno solo de los parámetros de control, de entre los múltiples que establece el precepto: la exigencia de una justificación basada en razones imperiosas de interés general de cualesquiera restricciones a la apertura, traslado o ampliación de establecimientos comerciales. Los mencionados recursos de inconstitucionalidad discuten otros pormenores del nuevo art. 6 LOCM, pero no la señalada exigencia, presente ya en la anterior redacción, que resulta igualmente del art. 11 de la Ley 17/2009 y respecto de la que este Tribunal ha declarado ya su carácter materialmente básico (SSTC 26/2012, FJ 5, y 193/2013, FJ 3).</w:t>
      </w:r>
    </w:p>
    <w:p w:rsidR="00163957" w:rsidRDefault="00163957" w:rsidP="00163957">
      <w:pPr>
        <w:pStyle w:val="TextoNormal"/>
      </w:pPr>
    </w:p>
    <w:p w:rsidR="00163957" w:rsidRDefault="00163957" w:rsidP="00163957">
      <w:pPr>
        <w:pStyle w:val="TextoNormal"/>
      </w:pPr>
      <w:r w:rsidRPr="00163957">
        <w:rPr>
          <w:rStyle w:val="NumeroAFNegritaCaracter"/>
        </w:rPr>
        <w:t>6</w:t>
      </w:r>
      <w:r>
        <w:t>. La disposición transitoria octava de la Ley catalana 2/2014 suspende “la excepción de implantación de establecimientos fuera de trama urbana consolidada a que se refieren el apartado 3 b) y el segundo párrafo del apartado 4 del artículo 9 del Decreto Ley 1/2009, de 22 de diciembre, de ordenación de los equipamientos comerciales”. Ello equivale a una prohibición de que se implanten fuera de las tramas urbanas consolidadas establecimientos comerciales con superficie igual o superior a 800 m², con una sola excepción: si tales establecimientos no alcanzan los 2.500 m², puede llegar a admitirse su implantación en “zonas de acceso restringido de las estaciones de líneas transfronterizas y transregionales del sistema ferroviario que acojan el tren de alta velocidad o líneas de largo recorrido, de los puertos clasificados de interés general y de los aeropuertos con categoría de aeropuertos comerciales según el Plan de aeropuertos, aeródromos y helipuertos de Cataluña 2009-2015” [art. 9.3 a) del Decreto-ley 1/2009].</w:t>
      </w:r>
    </w:p>
    <w:p w:rsidR="00163957" w:rsidRDefault="00163957" w:rsidP="00163957">
      <w:pPr>
        <w:pStyle w:val="TextoNormal"/>
      </w:pPr>
    </w:p>
    <w:p w:rsidR="00163957" w:rsidRDefault="00163957" w:rsidP="00163957">
      <w:pPr>
        <w:pStyle w:val="TextoNormal"/>
      </w:pPr>
      <w:r>
        <w:lastRenderedPageBreak/>
        <w:t>La disposición impugnada constituye así, sin duda alguna, una restricción a la libertad de apertura de establecimientos comerciales que, en cuanto tal, debe estar justificada en razones imperiosas de interés general. Como consecuencia de ella sigue virtualmente suprimida la posibilidad de que estos establecimientos comerciales se ubiquen en emplazamientos situados en continuidad física con el tejido urbano residencial que configura la trama urbana consolidada. Como declaró la STC 193/2013, FJ 4, ello supone “una restricción adicional muy relevante para los formatos de distribución comercial calificados como establecimientos comerciales medianos, grandes y grandes establecimientos territoriales, en la medida en que por su tamaño no encuentran acomodo dentro de la trama urbana consolidada del municipio o, de hallarlo, lo hacen en condiciones radicalmente más gravosas que coadyuvan a desincentivar estas modalidades de distribución comercial”.</w:t>
      </w:r>
    </w:p>
    <w:p w:rsidR="00163957" w:rsidRDefault="00163957" w:rsidP="00163957">
      <w:pPr>
        <w:pStyle w:val="TextoNormal"/>
      </w:pPr>
    </w:p>
    <w:p w:rsidR="00163957" w:rsidRDefault="00163957" w:rsidP="00163957">
      <w:pPr>
        <w:pStyle w:val="TextoNormal"/>
      </w:pPr>
      <w:r>
        <w:t>La Ley controvertida no exterioriza motivo alguno para limitar tan fuertemente la implantación de establecimientos comerciales de más de 800 m². La exposición de motivos y la disposición transitoria octava nada dicen a este respecto. La única mención de “razones imperiosas de interés general” es la incluida en la disposición adicional vigésima séptima, que al declarar vigente la redacción originaria de los apartados 3 y 4 del art. 9 del Decreto-ley 1/2009, se remite expresamente a las “detalladas” en “su exposición de motivos”. La Ley controvertida se refiere de este modo a las razones aducidas para justificar un régimen que admite la implantación de establecimientos comerciales fuera de las tramas urbanas consolidadas en una serie de casos, pero no a la disposición transitoria octava, que —al suspender la vigencia de ese régimen de excepciones— restringe fuertemente la libertad de apertura de establecimientos comerciales.</w:t>
      </w:r>
    </w:p>
    <w:p w:rsidR="00163957" w:rsidRDefault="00163957" w:rsidP="00163957">
      <w:pPr>
        <w:pStyle w:val="TextoNormal"/>
      </w:pPr>
    </w:p>
    <w:p w:rsidR="00163957" w:rsidRDefault="00163957" w:rsidP="00163957">
      <w:pPr>
        <w:pStyle w:val="TextoNormal"/>
      </w:pPr>
      <w:r>
        <w:t>La disposición impugnada presenta esta restricción como provisional; estará vigente “mientras no se apruebe” “un proyecto de ley de comercio, servicios y ferias en el que se valoren adecuadamente los intereses públicos en relación con la normativa de implantación de equipamientos comerciales y la proporcionalidad y no discriminación de las medidas que deben adoptarse”. Se está ante una restricción a la libertad de apertura de establecimientos comerciales sin que su afirmada provisionalidad libere en modo alguno al legislador catalán de la exigencia de apoyarla en razones imperiosas de interés general debidamente justificadas.</w:t>
      </w:r>
    </w:p>
    <w:p w:rsidR="00163957" w:rsidRDefault="00163957" w:rsidP="00163957">
      <w:pPr>
        <w:pStyle w:val="TextoNormal"/>
      </w:pPr>
    </w:p>
    <w:p w:rsidR="00163957" w:rsidRDefault="00163957" w:rsidP="00163957">
      <w:pPr>
        <w:pStyle w:val="TextoNormal"/>
      </w:pPr>
      <w:r>
        <w:t xml:space="preserve">Al establecer una restricción a la libertad de apertura de establecimientos comerciales con ausencia de todo razonamiento, el legislador autonómico ha contradicho frontalmente el art. 11 de la Ley 17/2009 y el art. 6 LOCM. La STC 26/2012 llegó a esta misma conclusión respecto de una legislación balear sobre establecimientos comerciales: “Sentado el carácter básico de las normas estatales que, en la forma que se ha expuesto, regulan los requisitos para la instalación de establecimientos comerciales, su comparación con el impugnado art. 14.1 de la Ley 11/2001 revela que este último es incompatible con la norma básica estatal sobrevenida en la medida en que no se aporta razón alguna para justificar las limitaciones que introduce en la implantación de establecimientos comerciales y que se traducen en la imposibilidad de autorizar la instalación de determinados establecimientos comerciales en función de su tamaño cuando este dato se pone en relación con el número de habitantes de la población en la que pretendieran ubicarse. Es por ello que la norma autonómica no se ajusta a los límites establecidos por la normativa básica sobrevenida y vulnera el art. 149.1.13 CE y con ello, el orden constitucional de distribución de competencias sin que, </w:t>
      </w:r>
      <w:r>
        <w:lastRenderedPageBreak/>
        <w:t>apreciado lo anterior, resulte necesario ahora pronunciarse sobre las restantes vulneraciones denunciadas por el Abogado del Estado”.</w:t>
      </w:r>
    </w:p>
    <w:p w:rsidR="00163957" w:rsidRDefault="00163957" w:rsidP="00163957">
      <w:pPr>
        <w:pStyle w:val="TextoNormal"/>
      </w:pPr>
    </w:p>
    <w:p w:rsidR="00163957" w:rsidRDefault="00163957" w:rsidP="00163957">
      <w:pPr>
        <w:pStyle w:val="TextoNormal"/>
      </w:pPr>
      <w:r>
        <w:t>Hay que tener en cuenta que en el presente caso, había una Sentencia constitucional que, refiriéndose a idénticas restricciones a la libertad de apertura de establecimientos comerciales, declaró su inconstitucionalidad y nulidad precisamente porque no se exteriorizaba “ninguna motivación orientada a justificar que las mayores restricciones que ahora se imponen coadyuven proporcionadamente al logro de una gestión urbana sostenible” (STC 193/2013, FJ 7). La ausencia de aquellos motivos ha supuesto, en consecuencia, una infracción de la legislación básica estatal. Tal infracción permite estimar en este punto el recurso de inconstitucionalidad sin necesidad de examinar si la disposición impugnada se ajusta a otras condiciones que, incluidas en aquellos preceptos, han sido declaradas igualmente básicas por este Tribunal; singularmente, los criterios de proporcionalidad y no discriminación previstos en el art. 11 de la Ley 17/2009 y subsistentes en la nueva redacción del art. 6 LOCM. No es preciso tampoco valorar si son materialmente básicas las nuevas exigencias introducidas por la Ley 18/2014 en la redacción dada al art. 6 LOCM, ni si el legislador autonómico ha desatendido tales exigencias.</w:t>
      </w:r>
    </w:p>
    <w:p w:rsidR="00163957" w:rsidRDefault="00163957" w:rsidP="00163957">
      <w:pPr>
        <w:pStyle w:val="TextoNormal"/>
      </w:pPr>
    </w:p>
    <w:p w:rsidR="00163957" w:rsidRDefault="00163957" w:rsidP="00163957">
      <w:pPr>
        <w:pStyle w:val="TextoNormal"/>
      </w:pPr>
      <w:r>
        <w:t>Consecuentemente, procede declarar la inconstitucionalidad y nulidad de la disposición transitoria octava de la Ley catalana 2/2014.</w:t>
      </w:r>
    </w:p>
    <w:p w:rsidR="00163957" w:rsidRDefault="00163957" w:rsidP="00163957">
      <w:pPr>
        <w:pStyle w:val="TextoNormal"/>
      </w:pPr>
    </w:p>
    <w:p w:rsidR="00163957" w:rsidRDefault="00163957" w:rsidP="00163957">
      <w:pPr>
        <w:pStyle w:val="TextoNormal"/>
      </w:pPr>
      <w:r w:rsidRPr="00163957">
        <w:rPr>
          <w:rStyle w:val="NumeroAFNegritaCaracter"/>
        </w:rPr>
        <w:t>7</w:t>
      </w:r>
      <w:r>
        <w:t>. Se impugna el art. 167.1 de la Ley 2/2014, que añade un apartado 10 al art. 47 del texto refundido de la Ley de urbanismo de Cataluña, aprobado por Decreto Legislativo 1/2010, de 3 de agosto, conforme al cual:</w:t>
      </w:r>
    </w:p>
    <w:p w:rsidR="00163957" w:rsidRDefault="00163957" w:rsidP="00163957">
      <w:pPr>
        <w:pStyle w:val="TextoNormal"/>
      </w:pPr>
    </w:p>
    <w:p w:rsidR="00163957" w:rsidRDefault="00163957" w:rsidP="00163957">
      <w:pPr>
        <w:pStyle w:val="TextoNormal"/>
      </w:pPr>
      <w:r>
        <w:t>“En la explotación de recursos naturales en suelo no urbanizable, en el caso de aprovechamiento de hidrocarburos, no está permitida la utilización de la tecnología de la fracturación hidráulica cuando pueda tener efectos negativos sobre las características geológicas, ambientales, paisajísticas o socioeconómicas de la zona, o en relación con otros ámbitos competenciales de la Generalidad.”</w:t>
      </w:r>
    </w:p>
    <w:p w:rsidR="00163957" w:rsidRDefault="00163957" w:rsidP="00163957">
      <w:pPr>
        <w:pStyle w:val="TextoNormal"/>
      </w:pPr>
    </w:p>
    <w:p w:rsidR="00163957" w:rsidRDefault="00163957" w:rsidP="00163957">
      <w:pPr>
        <w:pStyle w:val="TextoNormal"/>
      </w:pPr>
      <w:r>
        <w:t>Ninguna de las partes discute que el legislador básico estatal ha establecido un sistema de libre iniciativa con control previo de requisitos técnicos y medioambientales para la utilización de la fracturación hidráulica en proyectos de exploración, investigación o explotación de yacimientos de hidrocarburos. Todas admiten que tal sistema resulta de las Leyes 34/1998, de 7 de octubre, del sector de hidrocarburos (LSH) y 21/2013, de 9 de diciembre, de evaluación ambiental. La discusión se refiere, en resumen, a si la previsión autonómica reproducida se ajusta o no a las bases establecidas en aquellas dos Leyes: el Abogado del Estado considera que el precepto contradice esas bases mientras que los Letrados del Gobierno y del Parlamento de Cataluña proponen una determinada interpretación para salvar aquella posible contradicción.</w:t>
      </w:r>
    </w:p>
    <w:p w:rsidR="00163957" w:rsidRDefault="00163957" w:rsidP="00163957">
      <w:pPr>
        <w:pStyle w:val="TextoNormal"/>
      </w:pPr>
    </w:p>
    <w:p w:rsidR="00163957" w:rsidRDefault="00163957" w:rsidP="00163957">
      <w:pPr>
        <w:pStyle w:val="TextoNormal"/>
      </w:pPr>
      <w:r>
        <w:t xml:space="preserve">La Ley del sector de hidrocarburos dispone que “en el desarrollo de los trabajos a ejecutar” en el marco de las habilitaciones para explorar, investigar y explotar yacimientos de hidrocarburos “podrán aplicarse métodos geofísicos y geoquímicos de prospección, perforación de sondeos verticales o desviados con eventual aplicación de técnicas habituales en la industria, entre ellas, la fracturación hidráulica, la estimulación de pozo así como técnicas </w:t>
      </w:r>
      <w:r>
        <w:lastRenderedPageBreak/>
        <w:t>de recuperación secundaria y aquéllos otros métodos aéreos, marinos o terrestres que resulten necesarios para su objeto” (art. 9.5, introducido por la disposición final segunda de la Ley 17/2013, de 29 de octubre, para la garantía del suministro e incremento de la competencia en los sistemas eléctricos insulares y peninsulares). El otorgamiento del título habilitante corresponde al Ministerio de Industria y Energía o al órgano competente de la Comunidad Autónoma, si “afecta a su ámbito territorial” (arts. 14, 15 y 16).</w:t>
      </w:r>
    </w:p>
    <w:p w:rsidR="00163957" w:rsidRDefault="00163957" w:rsidP="00163957">
      <w:pPr>
        <w:pStyle w:val="TextoNormal"/>
      </w:pPr>
    </w:p>
    <w:p w:rsidR="00163957" w:rsidRDefault="00163957" w:rsidP="00163957">
      <w:pPr>
        <w:pStyle w:val="TextoNormal"/>
      </w:pPr>
      <w:r>
        <w:t>El libramiento presupone el cumplimiento de los requisitos técnicos previstos en el título II LSH así como las condiciones medioambientales que resultan de la Ley de evaluación ambiental. En particular, conforme al párrafo d) del grupo 2 del anexo I de esta Ley, quedan sometidas a la denominada “evaluación ambiental ordinaria” —regulada en la sección primera del capítulo II del título II— “los proyectos consistentes en la realización de perforaciones para la exploración, investigación o explotación de hidrocarburos, almacenamiento de CO2, almacenamiento de gas y geotermia de media y alta entalpía, que requieran la utilización de técnicas de fracturación hidráulica”.</w:t>
      </w:r>
    </w:p>
    <w:p w:rsidR="00163957" w:rsidRDefault="00163957" w:rsidP="00163957">
      <w:pPr>
        <w:pStyle w:val="TextoNormal"/>
      </w:pPr>
    </w:p>
    <w:p w:rsidR="00163957" w:rsidRDefault="00163957" w:rsidP="00163957">
      <w:pPr>
        <w:pStyle w:val="TextoNormal"/>
      </w:pPr>
      <w:r>
        <w:t xml:space="preserve">Según la exposición de motivos de la Ley de evaluación ambiental, la evaluación de carácter “ordinario” —no simplificado— supone “la presunción </w:t>
      </w:r>
      <w:r w:rsidRPr="00163957">
        <w:rPr>
          <w:i/>
        </w:rPr>
        <w:t>iuris et de iure</w:t>
      </w:r>
      <w:r>
        <w:t>” de que los “planes, programas o proyectos” que se someten a ella, “en todo caso”, “tendrán efectos sobre el medio ambiente y, por tanto, deben ser evaluados antes de su aprobación, adopción o autorización”. Se prevé que el “órgano sustantivo” competente para otorgar el permiso, autorización o concesión “consultará a las Administraciones públicas afectadas” (art. 37.1 de la Ley de evaluación ambiental) y “deberá solicitar con carácter preceptivo” una serie de informes: “el informe del órgano con competencias en materia de medio ambiente de la comunidad autónoma en donde se ubique territorialmente el proyecto”; “el informe sobre el patrimonio cultural, cuando proceda”; “el informe del órgano con competencias en materia de dominio público hidráulico, cuando proceda"; “el informe sobre dominio público marítimo-terrestre, cuando proceda”. Las Comunidades Autónomas, “en el ámbito de sus competencias, podrán establecer el carácter preceptivo de cualquier otro informe distinto de los anteriormente mencionados” (art. 37. 2 de la Ley de evaluación ambiental).</w:t>
      </w:r>
    </w:p>
    <w:p w:rsidR="00163957" w:rsidRDefault="00163957" w:rsidP="00163957">
      <w:pPr>
        <w:pStyle w:val="TextoNormal"/>
      </w:pPr>
    </w:p>
    <w:p w:rsidR="00163957" w:rsidRDefault="00163957" w:rsidP="00163957">
      <w:pPr>
        <w:pStyle w:val="TextoNormal"/>
      </w:pPr>
      <w:r>
        <w:t>El “órgano ambiental” encargado de evaluar tales efectos en el proyecto analizará el expediente de impacto teniendo en cuenta “en particular, cómo se ha tenido en consideración el resultado” de “las consultas a las Administraciones públicas afectadas”, además del “trámite de información pública”, las alegaciones de “las personas interesadas” y las “consultas trasfronterizas” (art. 40.1 de la Ley de evaluación ambiental). Finalizado este análisis, el “órgano ambiental” formulará la “declaración de impacto ambiental” que “determinará si procede o no, a los efectos ambientales, la realización del proyecto y, en su caso, las condiciones en las que puede desarrollarse, las medidas correctoras y las medidas compensatorias” (art. 41 de la Ley de evaluación ambiental).</w:t>
      </w:r>
    </w:p>
    <w:p w:rsidR="00163957" w:rsidRDefault="00163957" w:rsidP="00163957">
      <w:pPr>
        <w:pStyle w:val="TextoNormal"/>
      </w:pPr>
    </w:p>
    <w:p w:rsidR="00163957" w:rsidRDefault="00163957" w:rsidP="00163957">
      <w:pPr>
        <w:pStyle w:val="TextoNormal"/>
      </w:pPr>
      <w:r>
        <w:t>Este Tribunal ha declarado que la autorización de la fracturación hidráulica con sujeción a requisitos técnicos y a la exigencia de la previa declaración de impacto ambiental dispone de plena cobertura competencial (apartados 13 y 25, por un lado, apartado 23, por otro, todos del art. 149.1 CE).</w:t>
      </w:r>
    </w:p>
    <w:p w:rsidR="00163957" w:rsidRDefault="00163957" w:rsidP="00163957">
      <w:pPr>
        <w:pStyle w:val="TextoNormal"/>
      </w:pPr>
    </w:p>
    <w:p w:rsidR="00163957" w:rsidRDefault="00163957" w:rsidP="00163957">
      <w:pPr>
        <w:pStyle w:val="TextoNormal"/>
      </w:pPr>
      <w:r>
        <w:t xml:space="preserve">Las SSTC 106/2014, de 24 de junio, FJ 6 c), 134/2014, de 22 de julio, FJ 2 c), y 208/2014, de 15 de diciembre, FJ 2 c), han declarado, en particular, que el art. 9.5 LSH es formal y </w:t>
      </w:r>
      <w:r>
        <w:lastRenderedPageBreak/>
        <w:t xml:space="preserve">materialmente básico </w:t>
      </w:r>
      <w:r w:rsidRPr="00163957">
        <w:rPr>
          <w:i/>
        </w:rPr>
        <w:t>ex</w:t>
      </w:r>
      <w:r>
        <w:t xml:space="preserve"> art. 149.1.25 y 13 CE: está dictado “con el objetivo de clarificar aspectos jurídicos relacionados con técnicas de exploración y producción de hidrocarburos y de garantizar la unidad de criterio en todo el territorio español”; “constituye un marco o denominador común de necesaria vigencia en el territorio nacional, referido al empleo de una técnica habitual en la industria para la investigación y extracción de gas de esquisto o no convencional”, pues “se trata de evitar los posibles desequilibrios o desigualdades en el conjunto del sistema a los que podría conducir la fijación de criterios unilaterales por las Comunidades Autónomas que supongan la inclusión o exclusión de determinadas técnicas habituales en la industria para la investigación y extracción de hidrocarburos”. Asimismo justifica su carácter básico “el interés que lleva consigo el aprovechamiento de hidrocarburos no convencionales por su contribución al abastecimiento energético ... por las posibilidades que ofrece esta técnica de mejorar la productividad de las explotaciones de los yacimientos de gas no convencional”.</w:t>
      </w:r>
    </w:p>
    <w:p w:rsidR="00163957" w:rsidRDefault="00163957" w:rsidP="00163957">
      <w:pPr>
        <w:pStyle w:val="TextoNormal"/>
      </w:pPr>
    </w:p>
    <w:p w:rsidR="00163957" w:rsidRDefault="00163957" w:rsidP="00163957">
      <w:pPr>
        <w:pStyle w:val="TextoNormal"/>
      </w:pPr>
      <w:r>
        <w:t xml:space="preserve">Del mismo modo, este Tribunal, refiriéndose a la legislación estatal sobre evaluación ambiental, tanto a la anteriormente en vigor (texto refundido de la Ley de evaluación de impacto ambiental de proyectos aprobado por Real Decreto Legislativo 1/2008) como a la vigente en la actualidad (Ley de evaluación ambiental), ha declarado que es formal y materialmente básica </w:t>
      </w:r>
      <w:r w:rsidRPr="00163957">
        <w:rPr>
          <w:i/>
        </w:rPr>
        <w:t>ex</w:t>
      </w:r>
      <w:r>
        <w:t xml:space="preserve"> art. 149.1.23 CE la exigencia de una “previa declaración de impacto ambiental favorable para autorizar los ‘proyectos consistentes en la realización de perforaciones para la exploración, investigación o explotación de hidrocarburos que requieran la utilización de técnicas de fracturación hidráulica’” [SSTC 106/2014, FJ 6 d); 134/2014, FJ 2 c), y 208/2014, FJ 2 c)].</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Las citadas SSTC 106/2014, 134/2014 y 208/2014 han abordado el problema de la fracturación hidráulica desde una perspectiva exclusivamente jurídico-competencial. Tal como precisaba la primera de ellas, “no corresponde a este Tribunal tomar postura sobre un tema de tan debatido alcance”, ni sobre “las ventajas e inconvenientes de la fractura hidráulica como técnica de exploración y explotación de hidrocarburos no convencionales”, que han dado lugar a un amplio debate no sólo técnico, sino también social, a nivel nacional e internacional”; le corresponde “únicamente dictaminar si la Ley impugnada ha incurrido o no en inconstitucionalidad, por extralimitación —alegada por el Gobierno— de sus competencias en la materia” (FJ 2). El Tribunal concluyó en aquellos recursos que la “prohibición absoluta e incondicionada de la técnica de la fractura hidráulica en todo el territorio” autonómico —prevista en leyes de Cantabria, La Rioja y Navarra— “contradice de manera radical e insalvable lo dispuesto en el apartado 5 del art. 9 de la Ley del sector de hidrocarburos” y, con ello, invade las competencias estatales </w:t>
      </w:r>
      <w:r w:rsidRPr="00163957">
        <w:rPr>
          <w:i/>
        </w:rPr>
        <w:t>ex</w:t>
      </w:r>
      <w:r>
        <w:t xml:space="preserve"> art. 149.1.13 y 25 CE (SSTC 106/2014, FJ 8; 134/2014, FJ 2; y 208/2014, FJ 2).</w:t>
      </w:r>
    </w:p>
    <w:p w:rsidR="00163957" w:rsidRDefault="00163957" w:rsidP="00163957">
      <w:pPr>
        <w:pStyle w:val="TextoNormal"/>
      </w:pPr>
    </w:p>
    <w:p w:rsidR="00163957" w:rsidRDefault="00163957" w:rsidP="00163957">
      <w:pPr>
        <w:pStyle w:val="TextoNormal"/>
      </w:pPr>
      <w:r>
        <w:t xml:space="preserve">La STC 106/2014 razonó ampliamente, en particular, que aquella regulación autonómica de la tecnología de la fracturación hidráulica no podía entenderse amparada en las competencias estatutarias sobre ordenación del territorio y medio ambiente. Respecto de las primeras, declaró: “conviene recordar que este Tribunal también tiene reiteradamente señalado que la competencia ‘exclusiva’ que en materia de ordenación del territorio y urbanismo tienen estatutariamente atribuidas las Comunidades Autónomas no autoriza a desconocer las competencias que, con el mismo carácter de exclusivas, vienen reservadas al Estado por virtud del art. 149.1 CE; su ejercicio puede lícitamente condicionar la competencia de las Comunidades Autónomas [por todas, SSTC 56/1986, de 13 de mayo, FJ 3; 149/1991, de 4 </w:t>
      </w:r>
      <w:r>
        <w:lastRenderedPageBreak/>
        <w:t>de julio, FJ 1 B); 61/1997, de 20 de marzo, FJ 5; 40/1998, de 19 de febrero, FJ 29; y 151/2003, de 17 de julio, FJ 4].</w:t>
      </w:r>
    </w:p>
    <w:p w:rsidR="00163957" w:rsidRDefault="00163957" w:rsidP="00163957">
      <w:pPr>
        <w:pStyle w:val="TextoNormal"/>
      </w:pPr>
    </w:p>
    <w:p w:rsidR="00163957" w:rsidRDefault="00163957" w:rsidP="00163957">
      <w:pPr>
        <w:pStyle w:val="TextoNormal"/>
      </w:pPr>
      <w:r>
        <w:t xml:space="preserve">Las competencias exclusivas que el Estatuto de Autonomía para Cantabria (EACant) atribuye a esta Comunidad Autónoma en materia de ordenación del territorio y del litoral, urbanismo y vivienda (art. 24.3 EACant), que son las invocadas por la Ley autonómica impugnada para considerar el empleo de la técnica del </w:t>
      </w:r>
      <w:r w:rsidRPr="00163957">
        <w:rPr>
          <w:i/>
        </w:rPr>
        <w:t>fracking</w:t>
      </w:r>
      <w:r>
        <w:t xml:space="preserve"> como infracción urbanística (art. 3) y ordenar a las autoridades y funcionarios de la Administración autonómica y de las entidades locales de Cantabria que adopten las medidas oportunas para la paralización de las actividades que se realicen contraviniendo la prohibición del </w:t>
      </w:r>
      <w:r w:rsidRPr="00163957">
        <w:rPr>
          <w:i/>
        </w:rPr>
        <w:t>fracking</w:t>
      </w:r>
      <w:r>
        <w:t>, así como para reponer la situación alterada a su estado originario (art. 2), en modo alguno pueden prevalecer sobre las normas que el Estado ha dictado autorizando el empleo de la fractura hidráulica, en ejercicio legítimo de sus competencias exclusivas sobre bases de régimen minero y energético (art. 149.1.25 CE) y sobre ordenación general de la economía (art. 149.1.13 CE: bases y coordinación de la planificación general de la actividad económica) [FJ 8 c)].</w:t>
      </w:r>
    </w:p>
    <w:p w:rsidR="00163957" w:rsidRDefault="00163957" w:rsidP="00163957">
      <w:pPr>
        <w:pStyle w:val="TextoNormal"/>
      </w:pPr>
    </w:p>
    <w:p w:rsidR="00163957" w:rsidRDefault="00163957" w:rsidP="00163957">
      <w:pPr>
        <w:pStyle w:val="TextoNormal"/>
      </w:pPr>
      <w:r>
        <w:t xml:space="preserve">Respecto del otro título autonómico invocado, la STC 106/2014, FJ 8 a), declaró: “De la doctrina constitucional se infiere sin dificultad que, con la finalidad de protección del medio ambiente, la Comunidad Autónoma puede imponer requisitos y cargas para el otorgamiento de autorizaciones y concesiones no previstos por la legislación estatal, pero sin alterar el ordenamiento básico en materia de régimen minero y energético. La prohibición de la técnica del </w:t>
      </w:r>
      <w:r w:rsidRPr="00163957">
        <w:rPr>
          <w:i/>
        </w:rPr>
        <w:t>fracking</w:t>
      </w:r>
      <w:r>
        <w:t xml:space="preserve"> que establece el art. 1 de la Ley autonómica impugnada vulnera la competencia estatal </w:t>
      </w:r>
      <w:r w:rsidRPr="00163957">
        <w:rPr>
          <w:i/>
        </w:rPr>
        <w:t>ex</w:t>
      </w:r>
      <w:r>
        <w:t xml:space="preserve"> art. 149.1.13 y 25 CE, al excluir la eficacia en el territorio de Cantabria de la legislación básica que se dicta al amparo de los referidos títulos competenciales”. Por eso “la prohibición impuesta por el art. 1 de la Ley impugnada no puede considerarse como una norma adicional de protección en materia medioambiental, conforme a la doctrina constitucional al respecto (por todas, SSTC 170/1989, FJ 2; 102/1995, FFJJ 8 y 9; 33/2005, FJ 6; y 69/2013, FJ 1)”. La Sentencia insistió en que la legislación básica estatal “ha intentado dar respuesta a las preocupaciones medioambientales que suscita el empleo de esta técnica industrial” mediante “la exigencia de una previa declaración de impacto ambiental favorable”, “que supone un preceptivo trámite de información pública, consultas a las Administraciones públicas afectadas y a personas interesadas sobre el proyecto y el estudio de impacto ambiental presentado (que ha de comprender las medidas adecuadas para que permitan prevenir, corregir y, en su caso, compensar, los posibles efectos adversos de la actividad sobre el medio ambiente, así como un programa de vigilancia ambiental para garantizar el cumplimiento de las medidas preventivas, correctoras y compensatorias, en todas las fases del proyecto)”.</w:t>
      </w:r>
    </w:p>
    <w:p w:rsidR="00163957" w:rsidRDefault="00163957" w:rsidP="00163957">
      <w:pPr>
        <w:pStyle w:val="TextoNormal"/>
      </w:pPr>
    </w:p>
    <w:p w:rsidR="00163957" w:rsidRDefault="00163957" w:rsidP="00163957">
      <w:pPr>
        <w:pStyle w:val="TextoNormal"/>
      </w:pPr>
      <w:r>
        <w:t xml:space="preserve">En esta línea, este Tribunal ha declarado recientemente que una norma autonómica incumplía el criterio básico (arts. 37 a 39 de la Ley 22/1973, de 21 de julio, de minas) de que, a efectos de la autorización de aprovechamientos de recursos mineros de la denominada sección C, “cualquier terreno pueda ser, en principio, considerado como registrable, admitiéndose como excepción a esta regla general, que dicha condición se altere cuando concurran razones de interés general debidamente apreciadas por el Consejo de Gobierno”. La norma autonómica enjuiciada, “al configurar como no registrable la totalidad del territorio autonómico, sin perjuicio de que haya previsto excepciones a tal regla general, altera el régimen de explotación de los recursos de la sección C), contraviniendo con ello la regla </w:t>
      </w:r>
      <w:r>
        <w:lastRenderedPageBreak/>
        <w:t xml:space="preserve">básica </w:t>
      </w:r>
      <w:r w:rsidRPr="00163957">
        <w:rPr>
          <w:i/>
        </w:rPr>
        <w:t>ex</w:t>
      </w:r>
      <w:r>
        <w:t xml:space="preserve"> art. 149.1.25 CE e infringiendo el orden constitucional de distribución de competencias”. Comoquiera “que la Comunidad Autónoma de las Illes Balears tiene reconocida la competencia de desarrollo legislativo y ejecución en materia de régimen minero y energético, es claro que puede ejercer la facultad de declaración de determinados terrenos como no registrables consagrada en el art. 39.3 de la norma estatal, pero esa competencia ha de ejercerse ‘en el marco de la legislación básica del Estado’, y que, por tanto, queda condicionada por lo que en ella se establezca. Y sucede que lo que la norma básica estatal establece es justo lo contrario de la prohibición absoluta incluida en la norma autonómica, pues no otra cosa se desprende del art. 39.3, que configura una excepción a una regla general implícita de ‘registrabilidad’ de todos los terrenos” (STC 235/2015, de 5 de noviembre, FFJJ 4 y 5; en el mismo sentido, STC 260/2015, de 3 de diciembre, FFJJ 3 y 4).</w:t>
      </w:r>
    </w:p>
    <w:p w:rsidR="00163957" w:rsidRDefault="00163957" w:rsidP="00163957">
      <w:pPr>
        <w:pStyle w:val="TextoNormal"/>
      </w:pPr>
    </w:p>
    <w:p w:rsidR="00163957" w:rsidRDefault="00163957" w:rsidP="00163957">
      <w:pPr>
        <w:pStyle w:val="TextoNormal"/>
      </w:pPr>
      <w:r>
        <w:t>Se precisó a este respecto que esta “conclusión no puede verse enervada por la consideración de que la norma balear responda a la necesidad de garantizar el medio ambiente”. Se declaró, en particular: “la declaración genérica de todo el territorio de una Comunidad Autónoma como no registrable no es una medida proporcionada, y que permita ‘armonizar la protección del medio ambiente con la explotación de los recursos económicos’, como ha exigido nuestra doctrina, precisamente, en la citada STC 64/1982. Por tanto, si bien este Tribunal (STC 64/1982, FFJJ 5 y 6; SSTC 106/2014, de 24 de junio, 134/2014, de 22 de julio, y 208/2014, de 15 de diciembre) ha venido admitiendo que las Comunidades Autónomas puedan imponer deberes y cargas para el otorgamiento de autorizaciones permisos y concesiones mineras, con la finalidad de proteger el medio ambiente, siempre que las mismas sea razonables y proporcionadas al fin propuesto, ha considerado contrario al orden constitucional de distribución de competencias que deriva de lo dispuesto en el art. 149.1.23 CE, el establecimiento de prohibiciones genéricas, absolutas en incondicionadas, como son las que se contemplan el precepto controvertido. En ese sentido, la STC 106/2014, FJ 8 a), recuerda que ‘de la doctrina constitucional se infiere sin dificultad que, con la finalidad de protección del medio ambiente, la Comunidad Autónoma puede imponer requisitos y cargas para el otorgamiento de autorizaciones y concesiones no previstos por la legislación estatal, pero sin alterar el ordenamiento básico en materia de régimen minero y energético’, que es lo que ha sucedido en el presente caso”.</w:t>
      </w:r>
    </w:p>
    <w:p w:rsidR="00163957" w:rsidRDefault="00163957" w:rsidP="00163957">
      <w:pPr>
        <w:pStyle w:val="TextoNormal"/>
      </w:pPr>
    </w:p>
    <w:p w:rsidR="00163957" w:rsidRDefault="00163957" w:rsidP="00163957">
      <w:pPr>
        <w:pStyle w:val="TextoNormal"/>
      </w:pPr>
      <w:r w:rsidRPr="00163957">
        <w:rPr>
          <w:rStyle w:val="NumeroAFNegritaCaracter"/>
        </w:rPr>
        <w:t>9</w:t>
      </w:r>
      <w:r>
        <w:t>. Según el Abogado del Estado, el art. 47.10 del Decreto Legislativo 1/2010 incumpliría la legislación básica estatal por transformar el manejo de la tecnología de la fracturación hidráulica en una posibilidad verdaderamente excepcional. Incluiría un elenco de condiciones tan amplio e indeterminado que supondría la virtual derogación del régimen básico de libertad.</w:t>
      </w:r>
    </w:p>
    <w:p w:rsidR="00163957" w:rsidRDefault="00163957" w:rsidP="00163957">
      <w:pPr>
        <w:pStyle w:val="TextoNormal"/>
      </w:pPr>
    </w:p>
    <w:p w:rsidR="00163957" w:rsidRDefault="00163957" w:rsidP="00163957">
      <w:pPr>
        <w:pStyle w:val="TextoNormal"/>
      </w:pPr>
      <w:r>
        <w:t xml:space="preserve">El precepto controvertido responde claramente a una finalidad tuitiva del medio ambiente, tal como resulta de su tenor y de las actividades preparatorias. Según hemos recordado ya, las Comunidades Autónomas, en ejercicio de sus competencias en materia medioambiental, pueden imponer “requisitos y cargas para el otorgamiento de autorizaciones y concesiones no previstos por la legislación estatal, pero sin alterar el ordenamiento básico en materia de régimen minero y energético” [STC 106/2014, FJ 8 a)], siempre que tales exigencias sean “razonables y proporcionadas al fin propuesto” (STC 235/2015, FJ 6). El régimen básico relativo a la declaración favorable de impacto ambiental como condición de aprobación de los proyectos que implican fractura hidráulica parte, precisamente, de este presupuesto constitucional cuando dispone que las Comunidades Autónomas, “en el ámbito </w:t>
      </w:r>
      <w:r>
        <w:lastRenderedPageBreak/>
        <w:t>de sus competencias, podrán establecer el carácter preceptivo de cualquier otro informe distinto de los anteriormente mencionados” (art. 37. 2 de la Ley de evaluación ambiental).</w:t>
      </w:r>
    </w:p>
    <w:p w:rsidR="00163957" w:rsidRDefault="00163957" w:rsidP="00163957">
      <w:pPr>
        <w:pStyle w:val="TextoNormal"/>
      </w:pPr>
    </w:p>
    <w:p w:rsidR="00163957" w:rsidRDefault="00163957" w:rsidP="00163957">
      <w:pPr>
        <w:pStyle w:val="TextoNormal"/>
      </w:pPr>
      <w:r>
        <w:t>Ahora bien, el art. 47.10 del Decreto Legislativo 1/2010, aunque responda a aquella finalidad tuitiva, no consiste en la determinación precisa de requisitos razonables y proporcionados al fin de protección medioambiental, sin reducción de la eficacia de la legislación básica minera y energética. En realidad, el precepto no desarrolla ni complementa las bases estatales; las reformula bajo una perspectiva radicalmente distinta: la legislación básica contempla la fracturación hidráulica como tecnología que debe autorizarse siempre que el proyecto cumpla determinados requisitos de carácter técnico y medioambiental; en cambio, la previsión controvertida la contempla en sentido inverso como tecnología que debe prohibirse por sus posibles efectos perjudiciales ante cualquiera de las múltiples circunstancias enunciadas.</w:t>
      </w:r>
    </w:p>
    <w:p w:rsidR="00163957" w:rsidRDefault="00163957" w:rsidP="00163957">
      <w:pPr>
        <w:pStyle w:val="TextoNormal"/>
      </w:pPr>
    </w:p>
    <w:p w:rsidR="00163957" w:rsidRDefault="00163957" w:rsidP="00163957">
      <w:pPr>
        <w:pStyle w:val="TextoNormal"/>
      </w:pPr>
      <w:r>
        <w:t xml:space="preserve">El precepto no introduce sólo un cambio de perspectiva. En primer lugar, la ambigua reformulación de las bases se presta a equívocos. Al disponer que “no está permitida la utilización de la tecnología de la fracturación hidráulica”, “en relación con” los “ámbitos competenciales de la Generalitat”, da pie a una interpretación manifiestamente contraria a la legislación básica estatal; el </w:t>
      </w:r>
      <w:r w:rsidRPr="00163957">
        <w:rPr>
          <w:i/>
        </w:rPr>
        <w:t>fracking</w:t>
      </w:r>
      <w:r>
        <w:t xml:space="preserve"> queda prohibido con carácter absoluto en el territorio de Cataluña siempre que su utilización concierna cualquier “ámbito competencial” de la Generalitat. A su vez, el tenor de la disposición puede dar lugar también a que se entienda que el competente para pronunciarse sobre la utilización del </w:t>
      </w:r>
      <w:r w:rsidRPr="00163957">
        <w:rPr>
          <w:i/>
        </w:rPr>
        <w:t>fracking</w:t>
      </w:r>
      <w:r>
        <w:t xml:space="preserve"> es el órgano urbanístico correspondiente; lo que, tal como razona el recurso, contradice la Ley del sector de hidrocarburos, que atribuye la función al Estado o a la Comunidad Autónoma según el ámbito territorial afectado, previa declaración favorable de impacto ambiental. Asimismo, la redacción del precepto puede dar a entender, en contra de lo concretamente establecido en las bases, que la autoridad competente dispone de un amplio margen decisorio y que, en todo caso, su resolución ha de ser denegatoria cuando aprecie cualquier suerte de posible efecto negativo sobre aquella amplia e inconcreta serie de circunstancias. La Abogada de la Generalitat admite en este sentido que el precepto adolece de indeterminación y no precisa mínimamente el grado o intensidad de aquellos efectos negativos.</w:t>
      </w:r>
    </w:p>
    <w:p w:rsidR="00163957" w:rsidRDefault="00163957" w:rsidP="00163957">
      <w:pPr>
        <w:pStyle w:val="TextoNormal"/>
      </w:pPr>
    </w:p>
    <w:p w:rsidR="00163957" w:rsidRDefault="00163957" w:rsidP="00163957">
      <w:pPr>
        <w:pStyle w:val="TextoNormal"/>
      </w:pPr>
      <w:r>
        <w:t>En segundo lugar, alguno de los criterios enunciados y su indeterminación, si no son directamente incompatibles con la legislación básica estatal, desde luego reducen, dificultan o impiden su eficacia. Así, en particular, la prohibición de esta tecnología en relación con cualesquiera “ámbitos competenciales de la Generalitat” o ante “efectos negativos” sobre las características “socioeconómicas de la zona”. La propia Abogada de la Generalitat afirma que este último criterio es “discordante”. Hay que tener en cuenta, además, que el Estado ha adoptado el régimen básico sobre la fracturación hidráulica con el preciso objetivo de “clarificar aspectos jurídicos relacionados con técnicas de exploración y producción de hidrocarburos y de garantizar la unidad de criterio en todo el territorio español” [SSTC 106/2014, FJ 6 c); 134/2014, FJ 2 c); y 208/2014, FJ 2 c)].</w:t>
      </w:r>
    </w:p>
    <w:p w:rsidR="00163957" w:rsidRDefault="00163957" w:rsidP="00163957">
      <w:pPr>
        <w:pStyle w:val="TextoNormal"/>
      </w:pPr>
    </w:p>
    <w:p w:rsidR="00163957" w:rsidRDefault="00163957" w:rsidP="00163957">
      <w:pPr>
        <w:pStyle w:val="TextoNormal"/>
      </w:pPr>
      <w:r>
        <w:t xml:space="preserve">En conclusión, puede afirmarse respecto de la previsión impugnada lo que la STC 106/2014, FJ 8 a), declaró con relación a la Ley cántabra entonces controvertida: “el legislador autonómico no se limita pues a establecer las peculiaridades que estime convenientes dentro del marco competencial que en la materia correspondiente le asigne su Estatuto, siempre ‘respetando las bases establecidas por el Estado’ (SSTC 135/2012, FJ 2; y 8/2013, </w:t>
      </w:r>
      <w:r>
        <w:lastRenderedPageBreak/>
        <w:t>FJ 3); vulnera la competencia estatal al entrar en conflicto con la eficacia de la legislación básica que se dicta al amparo de la misma en el territorio de Cantabria”.</w:t>
      </w:r>
    </w:p>
    <w:p w:rsidR="00163957" w:rsidRDefault="00163957" w:rsidP="00163957">
      <w:pPr>
        <w:pStyle w:val="TextoNormal"/>
      </w:pPr>
    </w:p>
    <w:p w:rsidR="00163957" w:rsidRDefault="00163957" w:rsidP="00163957">
      <w:pPr>
        <w:pStyle w:val="TextoNormal"/>
      </w:pPr>
      <w:r w:rsidRPr="00163957">
        <w:rPr>
          <w:rStyle w:val="NumeroAFNegritaCaracter"/>
        </w:rPr>
        <w:t>10</w:t>
      </w:r>
      <w:r>
        <w:t>. Según se ha anticipado, la Abogada de la Generalitat razona que el art. 47.10 del Decreto Legislativo 1/2010 no incurre en la indicada inconstitucionalidad mediata, si se interpreta que no establece por sí condiciones de denegación del título habilitante y que debe estarse a las regulaciones sectoriales aplicables en función de la naturaleza y características de los terrenos afectados. Los Letrados del Parlamento de Cataluña argumentan en igual sentido que el mandato de no autorizar la fracturación hidráulica ante efectos negativos en las “características geológicas, ambientales, paisajísticas o socioeconómicas de la zona” viene a ser idéntico al que resulta de la legislación básica estatal cuando somete la indicada técnica al procedimiento de evaluación de impacto ambiental, que puede concluir igualmente en una declaración negativa o prohibitiva [art. 41.2, en relación con el anexo 1, grupo 2 d) de la Ley de evaluación ambiental]. Según afirman, el precepto recurrido vendría a establecer la obligación de que el órgano autonómico deniegue la licencia correspondiente (si tiene la competencia decisoria) o manifieste su oposición a la concesión en el expediente de evaluación ambiental (si carece de aquella competencia decisoria) sólo si la actividad proyectada pudiera producir efectos negativos; entendidos como consecuencias absolutamente insubsanables mediante medidas apropiadas o condicionamientos que atemperen esa incidencia negativa. De modo que, según se razona, el precepto controvertido -aunque impreciso- vendría a reiterar la legislación básica relativa a la fracturación hidráulica que ha adoptado el Estado al amparo de los apartados 13, 23 y 25 del art. 149.1 CE.</w:t>
      </w:r>
    </w:p>
    <w:p w:rsidR="00163957" w:rsidRDefault="00163957" w:rsidP="00163957">
      <w:pPr>
        <w:pStyle w:val="TextoNormal"/>
      </w:pPr>
    </w:p>
    <w:p w:rsidR="00163957" w:rsidRDefault="00163957" w:rsidP="00163957">
      <w:pPr>
        <w:pStyle w:val="TextoNormal"/>
      </w:pPr>
      <w:r>
        <w:t>La interpretación propuesta por los Letrados autonómicos salvaría, en efecto, toda contradicción entre el precepto autonómico controvertido y la legislación básica estatal. Sin embargo, tal interpretación no es ya que altere el significado del precepto; le hurta contenido propio para transformarlo en una norma muda que —según se afirma— remite implícitamente a otras leyes en contra de su tenor literal y de su cabal sentido. Nada hay dentro del precepto impugnado —ni en las actividades preparatorias que lo han precedido— que permita entender que el legislador catalán ha querido establecer una norma vacía de contenido o de mera remisión. Tal interpretación es demasiado forzada y debe ser en consecuencia rechazada, so pena de “ignorar o desfigurar el sentido de los enunciados legales meridianos” (SSTC 22/1985, de 15 de febrero, FJ 5; y 341/1993, de 18 de noviembre, FJ 2), olvidando “el respeto al propio tenor literal de aquéllos” (SSTC 222/1992, de 11 de diciembre, FJ 2). Además, aceptar aquella interpretación supondría dificultar los objetivos de claridad y seguridad jurídica que ha perseguido específicamente el legislador estatal en este caso amparándose válidamente en los apartados 13, 23 y 25 del art. 149.1 CE [SSTC 106/2014, FJ 6 c); 134/2014, FJ 2 c); 208/2014, FJ 2 c)].</w:t>
      </w:r>
    </w:p>
    <w:p w:rsidR="00163957" w:rsidRDefault="00163957" w:rsidP="00163957">
      <w:pPr>
        <w:pStyle w:val="TextoNormal"/>
      </w:pPr>
    </w:p>
    <w:p w:rsidR="00163957" w:rsidRDefault="00163957" w:rsidP="00163957">
      <w:pPr>
        <w:pStyle w:val="TextoNormal"/>
      </w:pPr>
      <w:r>
        <w:t>Por lo demás, aunque pudiera interpretarse que el art. 47.10 del Decreto Legislativo 1/2010 no hace más que reiterar la legislación básica relativa a la fracturación hidráulica aprobada al amparo de los apartados 13, 23 y 25 del art. 149.1 CE, no por ello desaparecían los problemas de constitucionalidad. No puede perderse de vista que la legislación autonómica puede incurrir en inconstitucionalidad mediata, no sólo cuando contradice la normativa básica estatal, también cuando penetra el espacio normativo que ha ocupado el legislador básico, aunque se limite a parafrasear o reproducir literalmente lo establecido en las bases.</w:t>
      </w:r>
    </w:p>
    <w:p w:rsidR="00163957" w:rsidRDefault="00163957" w:rsidP="00163957">
      <w:pPr>
        <w:pStyle w:val="TextoNormal"/>
      </w:pPr>
    </w:p>
    <w:p w:rsidR="00163957" w:rsidRDefault="00163957" w:rsidP="00163957">
      <w:pPr>
        <w:pStyle w:val="TextoNormal"/>
      </w:pPr>
      <w:r>
        <w:lastRenderedPageBreak/>
        <w:t xml:space="preserve">Tal es la doctrina constitucional relativa a las </w:t>
      </w:r>
      <w:r w:rsidRPr="00163957">
        <w:rPr>
          <w:i/>
        </w:rPr>
        <w:t>leges repetitae</w:t>
      </w:r>
      <w:r>
        <w:t>. Conforme a ésta, la legislación autonómica puede introducirse en el terreno de lo básico, pero sólo por excepción, cuando se limite a repetir las bases y únicamente si de ese modo contribuye a hacer inteligible el régimen autonómico de desarrollo [por todas, SSTC 154/1989, de 5 de octubre, FJ 6; 62/1993, de 18 de febrero, FJ 4; 162/1996, de 17 de octubre, FJ 4; 172/1996, de 31 de octubre, FJ 2; 73/1997, de 11 de abril, FJ 4; 47/2004, de 25 de marzo, FJ 8; 341/2005, de 21 de diciembre, FJ 10 a); y 18/2011, de 13 de marzo, FJ 18]. En el presente caso, es evidente que el art. 47.10 del Decreto Legislativo 1/2010 no es una reproducción o reiteración fiel de las bases que pretenda facilitar la comprensión de un desarrollo autonómico por lo que vulnera las competencias constitucionales del Estado aún interpretado en el sentido propuesto por los Letrados autonómicos.</w:t>
      </w:r>
    </w:p>
    <w:p w:rsidR="00163957" w:rsidRDefault="00163957" w:rsidP="00163957">
      <w:pPr>
        <w:pStyle w:val="TextoNormal"/>
      </w:pPr>
    </w:p>
    <w:p w:rsidR="00163957" w:rsidRDefault="00163957" w:rsidP="00163957">
      <w:pPr>
        <w:pStyle w:val="TextoNormal"/>
      </w:pPr>
      <w:r>
        <w:t>Consecuentemente, procede declarar la inconstitucionalidad y nulidad del art. 47.10 del Decreto Legislativo 1/2010, en la redacción dada por el art. 167.1 de la Ley catalana 2/2014.</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parcialmente el recurso de inconstitucionalidad y en consecuencia:</w:t>
      </w:r>
    </w:p>
    <w:p w:rsidR="00163957" w:rsidRDefault="00163957" w:rsidP="00163957">
      <w:pPr>
        <w:pStyle w:val="TextoNormal"/>
      </w:pPr>
    </w:p>
    <w:p w:rsidR="00163957" w:rsidRDefault="00163957" w:rsidP="00163957">
      <w:pPr>
        <w:pStyle w:val="TextoNormal"/>
      </w:pPr>
      <w:r>
        <w:t>1º Declarar la extinción del recurso por desaparición sobrevenida de su objeto respecto de la disposición transitoria quinta de la Ley 2/2014, de 27 de enero, de medidas fiscales, administrativas, financieras y del sector público de Cataluña.</w:t>
      </w:r>
    </w:p>
    <w:p w:rsidR="00163957" w:rsidRDefault="00163957" w:rsidP="00163957">
      <w:pPr>
        <w:pStyle w:val="TextoNormal"/>
      </w:pPr>
    </w:p>
    <w:p w:rsidR="00163957" w:rsidRDefault="00163957" w:rsidP="00163957">
      <w:pPr>
        <w:pStyle w:val="TextoNormal"/>
      </w:pPr>
      <w:r>
        <w:t>2º Declarar la inconstitucionalidad y nulidad de la disposición transitoria octava de la Ley 2/2014 así como del apartado 10 del art. 47 del texto refundido de la Ley de urbanismo de Cataluña, aprobado por Decreto Legislativo 1/2010, de 3 de agosto, añadido por el art. 167.1 de la Ley 2/2014.</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abril de dos mil dieciséis.</w:t>
      </w:r>
    </w:p>
    <w:p w:rsidR="00163957" w:rsidRDefault="00163957" w:rsidP="00163957">
      <w:pPr>
        <w:pStyle w:val="ParrafoNormal"/>
      </w:pPr>
    </w:p>
    <w:p w:rsidR="00163957" w:rsidRDefault="00163957" w:rsidP="00163957">
      <w:pPr>
        <w:pStyle w:val="TextoNormalNegritaCentrado"/>
        <w:keepNext/>
      </w:pPr>
      <w:r>
        <w:t>Voto particular que formulan la Magistrada doña Adela Asua Batarrita y el Magistrado don Fernando Valdés Dal-Ré a la Sentencia dictada en el recurso de inconstitucionalidad núm. 6513-2014.</w:t>
      </w:r>
    </w:p>
    <w:p w:rsidR="00163957" w:rsidRDefault="00163957" w:rsidP="00163957">
      <w:pPr>
        <w:pStyle w:val="TextoNormalNegritaCentrado"/>
        <w:keepNext/>
      </w:pPr>
    </w:p>
    <w:p w:rsidR="00163957" w:rsidRDefault="00163957" w:rsidP="00163957">
      <w:pPr>
        <w:pStyle w:val="TextoNormal"/>
      </w:pPr>
      <w:r>
        <w:t>En ejercicio de la facultad que nos confiere el art. 90.2 de la Ley Orgánica del Tribunal Constitucional y con pleno respeto a la opinión de la mayoría del Tribunal, debemos manifestar nuestra discrepancia con los fundamentos jurídicos 7 a 10 y el fallo de la Sentencia dictada, en lo relativo al art. 167.1 de la Ley 2/2014, que añade un apartado 10 al art. 47 del texto refundido de la Ley de urbanismo de Cataluña, aprobado por Decreto Legislativo 1/2010, de 3 de agosto.</w:t>
      </w:r>
    </w:p>
    <w:p w:rsidR="00163957" w:rsidRDefault="00163957" w:rsidP="00163957">
      <w:pPr>
        <w:pStyle w:val="TextoNormal"/>
      </w:pPr>
    </w:p>
    <w:p w:rsidR="00163957" w:rsidRDefault="00163957" w:rsidP="00163957">
      <w:pPr>
        <w:pStyle w:val="TextoNormal"/>
      </w:pPr>
      <w:r>
        <w:lastRenderedPageBreak/>
        <w:t xml:space="preserve">La estimación del recurso de inconstitucionalidad de esta norma, que establece limitaciones a la utilización de la tecnología de la fracturación hidráulica en suelo no urbanizable, se basa en la argumentación contenida en la STC 106/2014, de 24 de junio, reiterada con posterioridad en las SSTC 134/2014, de 22 de julio, y 208/2014, de 15 de diciembre. Las razones de nuestra discrepancia constan en el Voto particular formulado a la STC 106/2014 que, a fin de evitar repeticiones innecesarias, damos aquí por íntegramente reproducido. Cabe añadir que, en este caso, la ley autonómica no impone una prohibición de carácter general e incondicionada para todo el territorio autonómico; como ya apreció el ATC 63/2015, de 17 de marzo, el precepto recurrido no prohíbe la utilización del </w:t>
      </w:r>
      <w:r w:rsidRPr="00163957">
        <w:rPr>
          <w:i/>
        </w:rPr>
        <w:t>fracking sino que</w:t>
      </w:r>
      <w:r>
        <w:t xml:space="preserve"> condiciona su utilización en suelo no urbanizable a la inexistencia de una serie de efectos adversos (FJ 3). Por esta razón, debemos poner el énfasis en el enfoque que demandaba el citado Voto particular, en cuanto a la imprescindible ponderación de los intereses eventualmente afectados por la concurrencia competencial sobre el mismo espacio físico, sin imponer la subordinación de unos a otros. Por ello, en el presente caso, disentimos también del fallo de la Sentencia y suscribimos la argumentación del Voto particular que formula el Magistrado don Juan Antonio Xiol Ríos a esta Sentencia.</w:t>
      </w:r>
    </w:p>
    <w:p w:rsidR="00163957" w:rsidRDefault="00163957" w:rsidP="00163957">
      <w:pPr>
        <w:pStyle w:val="TextoNormal"/>
      </w:pPr>
    </w:p>
    <w:p w:rsidR="00163957" w:rsidRDefault="00163957" w:rsidP="00163957">
      <w:pPr>
        <w:pStyle w:val="TextoNormal"/>
      </w:pPr>
      <w:r>
        <w:t>Y en tal sentido emitimos este Voto particular.</w:t>
      </w:r>
    </w:p>
    <w:p w:rsidR="00163957" w:rsidRDefault="00163957" w:rsidP="00163957">
      <w:pPr>
        <w:pStyle w:val="TextoNormal"/>
      </w:pPr>
    </w:p>
    <w:p w:rsidR="00163957" w:rsidRDefault="00163957" w:rsidP="00163957">
      <w:pPr>
        <w:pStyle w:val="TextoNormal"/>
      </w:pPr>
      <w:r>
        <w:t>Madrid, a catorce de abril de dos mil dieciséis.</w:t>
      </w:r>
    </w:p>
    <w:p w:rsidR="00163957" w:rsidRDefault="00163957" w:rsidP="00163957">
      <w:pPr>
        <w:pStyle w:val="TextoNormal"/>
      </w:pPr>
    </w:p>
    <w:p w:rsidR="00163957" w:rsidRDefault="00163957" w:rsidP="00163957">
      <w:pPr>
        <w:pStyle w:val="TextoNormalNegritaCentrado"/>
        <w:keepNext/>
      </w:pPr>
      <w:r>
        <w:t>Voto particular que formula el Magistrado don Juan Antonio Xiol Ríos a la Sentencia dictada en el recurso de inconstitucionalidad núm. 6513-2014.</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en la que se sustenta la Sentencia manifiesto mi discrepancia con la fundamentación jurídica y con el fallo en lo relativo a la desestimación de la impugnación del art. 167.1 de la Ley 2/2014, de 27 de enero, de medidas fiscales, administrativas, financieras y del sector público de Cataluña, por el que se incluye un apartado 10 en el art. 47 del texto refundido de la Ley de urbanismo de Cataluña, aprobado por Decreto Legislativo 1/2010, de 3 de agosto, para regular la técnica de fractura hidráulica en la extracción de gas.</w:t>
      </w:r>
    </w:p>
    <w:p w:rsidR="00163957" w:rsidRDefault="00163957" w:rsidP="00163957">
      <w:pPr>
        <w:pStyle w:val="TextoNormal"/>
      </w:pPr>
    </w:p>
    <w:p w:rsidR="00163957" w:rsidRDefault="00163957" w:rsidP="00163957">
      <w:pPr>
        <w:pStyle w:val="TextoNormal"/>
      </w:pPr>
      <w:r>
        <w:t>1. Planteamiento.</w:t>
      </w:r>
    </w:p>
    <w:p w:rsidR="00163957" w:rsidRDefault="00163957" w:rsidP="00163957">
      <w:pPr>
        <w:pStyle w:val="TextoNormal"/>
      </w:pPr>
    </w:p>
    <w:p w:rsidR="00163957" w:rsidRDefault="00163957" w:rsidP="00163957">
      <w:pPr>
        <w:pStyle w:val="TextoNormal"/>
      </w:pPr>
      <w:r>
        <w:t>La opinión mayoritaria en la que se sustenta la Sentencia toma como punto de partida los precedentes de las SSTC 106/2014, de 24 de junio, 134/2014, de 22 de julio, y 208/2014, de 15 de diciembre, en que también se enjuiciaron leyes autonómicas sobre la extracción de gas mediante la técnica de la fractura hidráulica. Las leyes impugnadas en aquellos casos establecían una prohibición absoluta del uso de esta técnica en sus territorios. Se concluía que dicha prohibición contradecía de manera radical e insalvable lo dispuesto con carácter de legislación básica en materia de régimen energético en el art. 9.5 de la Ley 34/1998, de 7 de octubre, del sector de hidrocarburos (LSH), y en la 21/2013, de 9 de diciembre, de evaluación ambiental, conformes a la cuales se permite el uso de la técnica de fracturación hidráulica con sujeción a requisitos técnicos y a la exigencia de la previa declaración de impacto ambiental.</w:t>
      </w:r>
    </w:p>
    <w:p w:rsidR="00163957" w:rsidRDefault="00163957" w:rsidP="00163957">
      <w:pPr>
        <w:pStyle w:val="TextoNormal"/>
      </w:pPr>
    </w:p>
    <w:p w:rsidR="00163957" w:rsidRDefault="00163957" w:rsidP="00163957">
      <w:pPr>
        <w:pStyle w:val="TextoNormal"/>
      </w:pPr>
      <w:r>
        <w:t xml:space="preserve">En un caso muy distinto, como el que ahora se enjuicia, la opinión mayoritaria en la que se sustenta la Sentencia, bajo una aparente aplicación de la misma doctrina, concluye que la </w:t>
      </w:r>
      <w:r>
        <w:lastRenderedPageBreak/>
        <w:t>normativa impugnada en este recurso también resulta inconstitucional ya que (i) convierte en excepcional la posibilidad de utilización de esa técnica y (ii) no precisa ni establece requisitos razonables y proporcionados con fines de protección medioambiental.</w:t>
      </w:r>
    </w:p>
    <w:p w:rsidR="00163957" w:rsidRDefault="00163957" w:rsidP="00163957">
      <w:pPr>
        <w:pStyle w:val="TextoNormal"/>
      </w:pPr>
    </w:p>
    <w:p w:rsidR="00163957" w:rsidRDefault="00163957" w:rsidP="00163957">
      <w:pPr>
        <w:pStyle w:val="TextoNormal"/>
      </w:pPr>
      <w:r>
        <w:t>La opinión mayoritaria descarta la solución que propuse en la deliberación, consistente en formular la interpretación constitucional de que la norma impugnada debe entenderse que se limita a establecer la obligación de que el órgano autonómico deniegue la licencia correspondiente (si tiene la competencia decisoria) o manifieste su oposición a la concesión en el expediente de evaluación ambiental (si carece de aquella competencia decisoria) en el caso de que la actividad proyectada pudiera producir efectos negativos. Se dice que, con tal interpretación, la norma enjuiciada vendría a ser una reiteración del contenido de la norma estatal.</w:t>
      </w:r>
    </w:p>
    <w:p w:rsidR="00163957" w:rsidRDefault="00163957" w:rsidP="00163957">
      <w:pPr>
        <w:pStyle w:val="TextoNormal"/>
      </w:pPr>
    </w:p>
    <w:p w:rsidR="00163957" w:rsidRDefault="00163957" w:rsidP="00163957">
      <w:pPr>
        <w:pStyle w:val="TextoNormal"/>
      </w:pPr>
      <w:r>
        <w:t>2. No se tiene en consideración la jurisprudencia inveterada sobre concurrencia de competencias en el mismo espacio físico.</w:t>
      </w:r>
    </w:p>
    <w:p w:rsidR="00163957" w:rsidRDefault="00163957" w:rsidP="00163957">
      <w:pPr>
        <w:pStyle w:val="TextoNormal"/>
      </w:pPr>
    </w:p>
    <w:p w:rsidR="00163957" w:rsidRDefault="00163957" w:rsidP="00163957">
      <w:pPr>
        <w:pStyle w:val="TextoNormal"/>
      </w:pPr>
      <w:r>
        <w:t>En el voto concurrente que formulé de manera conjunta en la citada STC 106/2014 se puso de manifiesto que este tipo de normativas es una manifestación del complejo fenómeno de concurrencia que tiene lugar cuando, en el mismo espacio físico, se proyectan competencias estatales y autonómicas con distinto objeto jurídico. Se afirmó que el método de análisis debía ser, y no era, el tradicional en la doctrina constitucional, conforme al cual los títulos competenciales en presencia se limitan y contrapesan recíprocamente, y no es razonable propiciar un vacío recíproco de su contenido.</w:t>
      </w:r>
    </w:p>
    <w:p w:rsidR="00163957" w:rsidRDefault="00163957" w:rsidP="00163957">
      <w:pPr>
        <w:pStyle w:val="TextoNormal"/>
      </w:pPr>
    </w:p>
    <w:p w:rsidR="00163957" w:rsidRDefault="00163957" w:rsidP="00163957">
      <w:pPr>
        <w:pStyle w:val="TextoNormal"/>
      </w:pPr>
      <w:r>
        <w:t>3. No se tiene en cuenta el papel prevalente del derecho a la salud.</w:t>
      </w:r>
    </w:p>
    <w:p w:rsidR="00163957" w:rsidRDefault="00163957" w:rsidP="00163957">
      <w:pPr>
        <w:pStyle w:val="TextoNormal"/>
      </w:pPr>
    </w:p>
    <w:p w:rsidR="00163957" w:rsidRDefault="00163957" w:rsidP="00163957">
      <w:pPr>
        <w:pStyle w:val="TextoNormal"/>
      </w:pPr>
      <w:r>
        <w:t>En aquel voto particular se decía también que no se habían ponderado adecuadamente los riesgos sobre la salud humana, habida cuenta de que la técnica de fractura hidráulica suscita un importante debate técnico y social por el riesgo medioambiental que se entiende asociado a la misma consistente en el incremento de contaminantes clásicos en el aire y el empleo de importantes cantidades de agua, con riesgo de contaminación de acuíferos por el empleo de aditivos químicos. Lamento la reiteración de esta posición mayoritaria, la cual se añade a otros pronunciamientos anteriores en los que, a mi juicio, se infravaloran los postulados del Estado social proclamado en la Constitución Española y se sobrevalora la competencia del Estado para sentar las bases del régimen energético.</w:t>
      </w:r>
    </w:p>
    <w:p w:rsidR="00163957" w:rsidRDefault="00163957" w:rsidP="00163957">
      <w:pPr>
        <w:pStyle w:val="TextoNormal"/>
      </w:pPr>
    </w:p>
    <w:p w:rsidR="00163957" w:rsidRDefault="00163957" w:rsidP="00163957">
      <w:pPr>
        <w:pStyle w:val="TextoNormal"/>
      </w:pPr>
      <w:r>
        <w:t>4. Procedencia, en este caso, de la desestimación del recurso.</w:t>
      </w:r>
    </w:p>
    <w:p w:rsidR="00163957" w:rsidRDefault="00163957" w:rsidP="00163957">
      <w:pPr>
        <w:pStyle w:val="TextoNormal"/>
      </w:pPr>
    </w:p>
    <w:p w:rsidR="00163957" w:rsidRDefault="00163957" w:rsidP="00163957">
      <w:pPr>
        <w:pStyle w:val="TextoNormal"/>
      </w:pPr>
      <w:r>
        <w:t>En aquel caso, mi voto fue concurrente ya que la prohibición absoluta, por su carácter general e incondicionado, no resultaba compatible con el complejo y delicado equilibrio que reclaman los supuestos de concurrencia de competencias. En el presente caso, atendiendo a la concreta regulación que se realiza en la normativa impugnada de esta técnica, mi discrepancia no solo alcanza a la metodología de análisis desarrollada en la opinión mayoritaria en la que se sustenta la Sentencia, sino también al fallo. Considero que una adecuada ponderación de las competencias concurrentes debía haber llevado a concluir la constitucionalidad de esta normativa por las razones que a continuación expongo.</w:t>
      </w:r>
    </w:p>
    <w:p w:rsidR="00163957" w:rsidRDefault="00163957" w:rsidP="00163957">
      <w:pPr>
        <w:pStyle w:val="TextoNormal"/>
      </w:pPr>
    </w:p>
    <w:p w:rsidR="00163957" w:rsidRDefault="00163957" w:rsidP="00163957">
      <w:pPr>
        <w:pStyle w:val="TextoNormal"/>
      </w:pPr>
      <w:r>
        <w:lastRenderedPageBreak/>
        <w:t>5. La normativa impugnada no provoca un vacío de la competencia estatal básica en la materia que permite el uso de esa técnica.</w:t>
      </w:r>
    </w:p>
    <w:p w:rsidR="00163957" w:rsidRDefault="00163957" w:rsidP="00163957">
      <w:pPr>
        <w:pStyle w:val="TextoNormal"/>
      </w:pPr>
    </w:p>
    <w:p w:rsidR="00163957" w:rsidRDefault="00163957" w:rsidP="00163957">
      <w:pPr>
        <w:pStyle w:val="TextoNormal"/>
      </w:pPr>
      <w:r>
        <w:t>La normativa impugnada no prohíbe con carácter absoluto la técnica de fracturación hidráulica en Cataluña, sino que la condiciona a que no se verifique que pueda tener efectos negativos sobre las características geológicas, ambientales, paisajísticas o socioeconómicas de la zona, o en relación con otros ámbitos competenciales de la Generalidad. Ciertamente, el enunciado de la norma es negativo, pues establece un principio general de prohibición de la técnica con excepciones, y no un principio general de permisión de la técnica con limitaciones. Pero lo relevante no es la técnica legislativa utilizada, toda vez que, como ha sido reiterado en numerosas resoluciones, no es función de este Tribunal el control de la calidad técnica de las normas (por ejemplo, STC 14/2015, de 5 de febrero, FJ 4). La norma, materialmente, no formula una prohibición absoluta de esa técnica, sino que establece una regulación de los supuestos en que puede ser desarrollada en el ámbito territorial catalán.</w:t>
      </w:r>
    </w:p>
    <w:p w:rsidR="00163957" w:rsidRDefault="00163957" w:rsidP="00163957">
      <w:pPr>
        <w:pStyle w:val="TextoNormal"/>
      </w:pPr>
    </w:p>
    <w:p w:rsidR="00163957" w:rsidRDefault="00163957" w:rsidP="00163957">
      <w:pPr>
        <w:pStyle w:val="TextoNormal"/>
      </w:pPr>
      <w:r>
        <w:t>Por tanto, la primera conclusión, a mi juicio obligada, es que la normativa impugnada no provoca un vacío de la competencia estatal básica en la materia que permite el uso de esa técnica.</w:t>
      </w:r>
    </w:p>
    <w:p w:rsidR="00163957" w:rsidRDefault="00163957" w:rsidP="00163957">
      <w:pPr>
        <w:pStyle w:val="TextoNormal"/>
      </w:pPr>
    </w:p>
    <w:p w:rsidR="00163957" w:rsidRDefault="00163957" w:rsidP="00163957">
      <w:pPr>
        <w:pStyle w:val="TextoNormal"/>
      </w:pPr>
      <w:r>
        <w:t>6. Los condicionantes establecidos en la normativa impugnada se proyectan sobre competencias propias de la comunidad autónoma.</w:t>
      </w:r>
    </w:p>
    <w:p w:rsidR="00163957" w:rsidRDefault="00163957" w:rsidP="00163957">
      <w:pPr>
        <w:pStyle w:val="TextoNormal"/>
      </w:pPr>
    </w:p>
    <w:p w:rsidR="00163957" w:rsidRDefault="00163957" w:rsidP="00163957">
      <w:pPr>
        <w:pStyle w:val="TextoNormal"/>
      </w:pPr>
      <w:r>
        <w:t>La normativa impugnada establece los condicionantes para la utilización de esa técnica vinculándolo, exclusivamente, a competencias autonómicas. En ese sentido, frente al objetivo sistémico en materia de energía perseguido por el legislador estatal básico, la normativa impugnada proyecta competencias de control de riesgos medioambientales y de otro tipo, que pueden limitar y contrapesar las estatales, de las que no queda desapoderada la comunidad autónoma, de acuerdo con la doctrina constitucional sobre el fenómeno de concurrencia.</w:t>
      </w:r>
    </w:p>
    <w:p w:rsidR="00163957" w:rsidRDefault="00163957" w:rsidP="00163957">
      <w:pPr>
        <w:pStyle w:val="TextoNormal"/>
      </w:pPr>
    </w:p>
    <w:p w:rsidR="00163957" w:rsidRDefault="00163957" w:rsidP="00163957">
      <w:pPr>
        <w:pStyle w:val="TextoNormal"/>
      </w:pPr>
      <w:r>
        <w:t>Por tanto, una segunda conclusión es que no solo no se provoca un vacío de la competencia estatal básica en la materia, sino que los condicionantes seleccionados son una manifestación de competencias propias de la comunidad autónoma en un especio de concurrencia con las del Estado de las que no ha sido desapoderado.</w:t>
      </w:r>
    </w:p>
    <w:p w:rsidR="00163957" w:rsidRDefault="00163957" w:rsidP="00163957">
      <w:pPr>
        <w:pStyle w:val="TextoNormal"/>
      </w:pPr>
    </w:p>
    <w:p w:rsidR="00163957" w:rsidRDefault="00163957" w:rsidP="00163957">
      <w:pPr>
        <w:pStyle w:val="TextoNormal"/>
      </w:pPr>
      <w:r>
        <w:t>7. Los condicionantes establecidos en la normativa impugnada no contradicen la normativa básica estatal.</w:t>
      </w:r>
    </w:p>
    <w:p w:rsidR="00163957" w:rsidRDefault="00163957" w:rsidP="00163957">
      <w:pPr>
        <w:pStyle w:val="TextoNormal"/>
      </w:pPr>
    </w:p>
    <w:p w:rsidR="00163957" w:rsidRDefault="00163957" w:rsidP="00163957">
      <w:pPr>
        <w:pStyle w:val="TextoNormal"/>
      </w:pPr>
      <w:r>
        <w:t>La opinión mayoritaria en la que se sustenta la Sentencia imputa a la regulación impugnada abrir un ámbito de discrecionalidad por la falta de precisión de los condicionantes y sostiene que la finalidad de esta normativa es hacer absolutamente excepcional el uso de esta técnica en Cataluña.</w:t>
      </w:r>
    </w:p>
    <w:p w:rsidR="00163957" w:rsidRDefault="00163957" w:rsidP="00163957">
      <w:pPr>
        <w:pStyle w:val="TextoNormal"/>
      </w:pPr>
    </w:p>
    <w:p w:rsidR="00163957" w:rsidRDefault="00163957" w:rsidP="00163957">
      <w:pPr>
        <w:pStyle w:val="TextoNormal"/>
      </w:pPr>
      <w:r>
        <w:t xml:space="preserve">La regulación autonómica podría haber establecido criterios más precisos e incluso no cabe descartar, como afirma la letrada de la Generalidad, que se trate solo de una regulación marco que pueda desarrollarse de manera más pormenorizada en cada norma sectorial. Sin embargo, al margen de cuál sea el juicio de intenciones, lo cierto es que la regulación básica </w:t>
      </w:r>
      <w:r>
        <w:lastRenderedPageBreak/>
        <w:t>estatal sobre el uso de esta técnica abre por sí misma un importante ámbito de discrecionalidad. En efecto, como se ha venido reconociendo en los distintos pronunciamientos del Tribunal y se reitera ahora por la opinión mayoritaria en la que se sustenta la Sentencia, las competencias estatales básicas dan plena cobertura a que la autorización de la fracturación hidráulica quede sujeta a determinados requisitos técnicos y a la exigencia de la previa declaración de impacto ambiental. El necesario cumplimiento de esos requisitos técnicos representa un elemento reglado de la decisión administrativa de autorización. Sin embargo, el sometimiento a la previa declaración de impacto ambiental, máxime al tratarse de una evaluación ambiental por el procedimiento ordinario, lo que supone una presunción de su negativa incidencia en el medioambiente, así como la obligación de emisión de informes preceptivos por las Administraciones públicas afectadas y de información pública, son una manifestación de que la decisión administrativa sobre el particular es de carácter discrecional y el funcionamiento real de estos procedimientos (al margen de la opinión que pueda tenerse sobre su grado de eficacia) confirma esta apreciación. Como se establece en el art. 41 de la Ley de evaluación ambiental, la declaración de impacto ambiental tiene por objeto determinar si procede o no, a los efectos ambientales, la realización del proyecto y, en su caso, las condiciones en las que puede desarrollarse, las medidas correctoras y las medidas compensatorias.</w:t>
      </w:r>
    </w:p>
    <w:p w:rsidR="00163957" w:rsidRDefault="00163957" w:rsidP="00163957">
      <w:pPr>
        <w:pStyle w:val="TextoNormal"/>
      </w:pPr>
    </w:p>
    <w:p w:rsidR="00163957" w:rsidRDefault="00163957" w:rsidP="00163957">
      <w:pPr>
        <w:pStyle w:val="TextoNormal"/>
      </w:pPr>
      <w:r>
        <w:t>Pues bien, en este contexto normativo básico, los elementos introducidos por el precepto impugnado no establecen en el ejercicio de las competencias autonómicas afectadas unas cuotas de discrecionalidad superiores a las que son inherentes a la propia técnica de sometimiento a declaración de impacto ambiental. Al contrario, establecen determinadas precisiones que, más allá del uso final de una cláusula abierta, permiten delimitar aquellos ámbitos en que debe valorarse el eventual efecto negativo del uso de esta técnica como son las características geológicas, ambientales, paisajísticas o socioeconómicas.</w:t>
      </w:r>
    </w:p>
    <w:p w:rsidR="00163957" w:rsidRDefault="00163957" w:rsidP="00163957">
      <w:pPr>
        <w:pStyle w:val="TextoNormal"/>
      </w:pPr>
    </w:p>
    <w:p w:rsidR="00163957" w:rsidRDefault="00163957" w:rsidP="00163957">
      <w:pPr>
        <w:pStyle w:val="TextoNormal"/>
      </w:pPr>
      <w:r>
        <w:t>Por tanto, la tercera conclusión que debe extraerse es que la normativa impugnada está en línea de coherencia con la normativa estatal básica de sometimiento del uso de esta técnica a una decisión discrecional de la Administración vinculada a los eventuales efectos negativos que puedan ponerse de manifiesto en los diferentes informes preceptivos y que no puede apreciarse, salvo como recurso retórico, que se trate de una repetición de la norma estatal (imposible, por principio, cuando se trate de la regulación por la comunidad autónoma de competencias autonómicas).</w:t>
      </w:r>
    </w:p>
    <w:p w:rsidR="00163957" w:rsidRDefault="00163957" w:rsidP="00163957">
      <w:pPr>
        <w:pStyle w:val="TextoNormal"/>
      </w:pPr>
    </w:p>
    <w:p w:rsidR="00163957" w:rsidRDefault="00163957" w:rsidP="00163957">
      <w:pPr>
        <w:pStyle w:val="TextoNormal"/>
      </w:pPr>
      <w:r>
        <w:t>8. Conclusión. En atención a todo lo expuesto, considero que el precepto impugnado no invade competencias estatales básicas ya que, proyectando un juicio de proporcionalidad propio de los supuestos de concurrencia competencial, (i) los criterios establecidos responden a intereses constitucionales dignos de protección que, siendo competencia de la comunidad autónoma, deben ser ponderados con los intereses generales de carácter básico en materia energética; (ii) no provoca un vacío de la competencia estatal básica de regulación del uso de esa técnica; (iii) son criterios que no resultan contradictorios con la normativa básica estatal ni en cuanto al ámbito de discrecionalidad que proyectan ni en cuando a su ámbito objetivo y (iv) son criterios especialmente relevantes y dignos de protección desde la perspectiva del Estado social de Derecho.</w:t>
      </w:r>
    </w:p>
    <w:p w:rsidR="00163957" w:rsidRDefault="00163957" w:rsidP="00163957">
      <w:pPr>
        <w:pStyle w:val="TextoNormal"/>
      </w:pPr>
    </w:p>
    <w:p w:rsidR="00163957" w:rsidRDefault="00163957" w:rsidP="00163957">
      <w:pPr>
        <w:pStyle w:val="TextoNormal"/>
      </w:pPr>
      <w:r>
        <w:t xml:space="preserve">Considero, finalmente, que la solución propugnada por la opinión mayoritaria en que se sustenta la Sentencia (i) al rechazar una interpretación constitucional de la ley autonómica </w:t>
      </w:r>
      <w:r>
        <w:lastRenderedPageBreak/>
        <w:t>infravalora la presunción de constitucionalidad que no solo es aplicable a la ley estatal; y (ii) comporta una interpretación de las relaciones entre el Estado y las comunidades autónomas que tiende a apoyarse en el principio de jerarquía y a reformular los criterios hasta ahora escrupulosamente basados en el principio de competencia, fundamento capital, según la jurisprudencia antigua del Tribunal, del Estado autonómico.</w:t>
      </w:r>
    </w:p>
    <w:p w:rsidR="00163957" w:rsidRDefault="00163957" w:rsidP="00163957">
      <w:pPr>
        <w:pStyle w:val="TextoNormal"/>
      </w:pPr>
    </w:p>
    <w:p w:rsidR="00163957" w:rsidRDefault="00163957" w:rsidP="00163957">
      <w:pPr>
        <w:pStyle w:val="TextoNormal"/>
      </w:pPr>
      <w:r>
        <w:t>Madrid, a catorce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77" w:name="SENTENCIA_2016_74"/>
      <w:r>
        <w:lastRenderedPageBreak/>
        <w:t>SENTENCIA 74/2016, de 14 de abril de 2016</w:t>
      </w:r>
    </w:p>
    <w:bookmarkEnd w:id="77"/>
    <w:p w:rsidR="00163957" w:rsidRDefault="00163957" w:rsidP="00163957">
      <w:pPr>
        <w:pStyle w:val="TtuloResolucin"/>
      </w:pPr>
      <w:r>
        <w:t>Pleno</w:t>
      </w:r>
    </w:p>
    <w:p w:rsidR="00163957" w:rsidRDefault="00163957" w:rsidP="00163957">
      <w:pPr>
        <w:pStyle w:val="TtuloBOE"/>
      </w:pPr>
      <w:r>
        <w:t>(BOE núm. 122, de 20 de mayo de 2016)</w:t>
      </w:r>
    </w:p>
    <w:p w:rsidR="00163957" w:rsidRDefault="00163957" w:rsidP="00163957">
      <w:pPr>
        <w:pStyle w:val="TextoNormalCentrado"/>
      </w:pPr>
      <w:r>
        <w:t>ECLI:ES:TC:2016:74</w:t>
      </w:r>
    </w:p>
    <w:p w:rsidR="00163957" w:rsidRDefault="00163957" w:rsidP="00163957">
      <w:pPr>
        <w:pStyle w:val="TextoNormalCentrado"/>
      </w:pPr>
    </w:p>
    <w:p w:rsidR="00163957" w:rsidRDefault="00163957" w:rsidP="00163957">
      <w:pPr>
        <w:pStyle w:val="SntesisDescriptiva"/>
      </w:pPr>
      <w:r>
        <w:t>Recurso de inconstitucionalidad 4292-2015. Interpuesto por el Presidente del Gobierno en relación con diversos preceptos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00163957" w:rsidRDefault="00163957" w:rsidP="00163957">
      <w:pPr>
        <w:pStyle w:val="SntesisDescriptiva"/>
      </w:pPr>
    </w:p>
    <w:p w:rsidR="00163957" w:rsidRDefault="00163957" w:rsidP="00163957">
      <w:pPr>
        <w:pStyle w:val="SntesisAnaltica"/>
      </w:pPr>
      <w:r>
        <w:t>Límites a las potestades tributarias de las Comunidades Autónomas: nulidad de los preceptos legales autonómicos que regulan el impuesto sobre la producción de energía eléctrica de origen nuclear. Voto particular.</w:t>
      </w:r>
    </w:p>
    <w:p w:rsidR="00163957" w:rsidRDefault="00163957" w:rsidP="00163957">
      <w:pPr>
        <w:pStyle w:val="SntesisAnaltica"/>
      </w:pPr>
    </w:p>
    <w:p w:rsidR="00163957" w:rsidRDefault="00163957" w:rsidP="00163957">
      <w:pPr>
        <w:pStyle w:val="Extracto"/>
      </w:pPr>
      <w:r>
        <w:t>1.</w:t>
      </w:r>
      <w:r>
        <w:tab/>
        <w:t>La diferencia entre el combustible “utilizado” y el “gastado” no basta para sustentar la disimilitud de hechos imponibles, pues la “utilización” del combustible a que hace referencia el impuesto autonómico, dentro del proceso de producción de energía eléctrica de origen nuclear, no implica otra cosa que “producción” de combustible gastado, habida cuenta la inseparabilidad, en el proceso, de la utilización de combustible nuclear, por un lado, y de la producción, “por su utilización”, de combustible nuclear “gastado”, por otro [FJ 4].</w:t>
      </w:r>
    </w:p>
    <w:p w:rsidR="00163957" w:rsidRDefault="00163957" w:rsidP="00163957">
      <w:pPr>
        <w:pStyle w:val="Extracto"/>
      </w:pPr>
    </w:p>
    <w:p w:rsidR="00163957" w:rsidRDefault="00163957" w:rsidP="00163957">
      <w:pPr>
        <w:pStyle w:val="Extracto"/>
      </w:pPr>
      <w:r>
        <w:t>2.</w:t>
      </w:r>
      <w:r>
        <w:tab/>
        <w:t>La coincidencia entre los elementos esenciales permite concluir no sólo que se grava la misma actividad, sino que se hace también desde la misma perspectiva, sin que obste a la anterior conclusión la parcial afectación de su recaudación a la necesidad de financiar actuaciones de protección civil que, en todo caso, sería esencialmente coincidente en ambos tributos [FJ 4].</w:t>
      </w:r>
    </w:p>
    <w:p w:rsidR="00163957" w:rsidRDefault="00163957" w:rsidP="00163957">
      <w:pPr>
        <w:pStyle w:val="Extracto"/>
      </w:pPr>
    </w:p>
    <w:p w:rsidR="00163957" w:rsidRDefault="00163957" w:rsidP="00163957">
      <w:pPr>
        <w:pStyle w:val="Extracto"/>
      </w:pPr>
      <w:r>
        <w:t>3.</w:t>
      </w:r>
      <w:r>
        <w:tab/>
        <w:t>Para determinar si un impuesto autonómico es contrario al art. 6.2 Ley Orgánica de Financiación de las Comunidades Autónomas -LOFCA-, por recaer sobre un hecho imponible gravado por el Estado, deben compararse ambas figuras tributarias partiendo siempre del examen del hecho imponible, pero analizando también los restantes elementos del tributo que se encuentran conectados con éste: sujetos pasivos, base imponible, y demás elementos de cuantificación del hecho imponible, como la cuota tributaria o los supuestos de exención [FJ 2].</w:t>
      </w:r>
    </w:p>
    <w:p w:rsidR="00163957" w:rsidRDefault="00163957" w:rsidP="00163957">
      <w:pPr>
        <w:pStyle w:val="Extracto"/>
      </w:pPr>
    </w:p>
    <w:p w:rsidR="00163957" w:rsidRDefault="00163957" w:rsidP="00163957">
      <w:pPr>
        <w:pStyle w:val="Extracto"/>
      </w:pPr>
      <w:r>
        <w:t>4.</w:t>
      </w:r>
      <w:r>
        <w:tab/>
        <w:t>La interpretación de los límites contenidos en el art. 6 LOFCA deberá respetar la existencia de un espacio fiscal propio de las Comunidades Autónomas, particularmente, tener en cuenta las competencias en materia tributaria asumidas por éstas y, en esta ocasión, por la Comunidad Autónoma de Cataluña en virtud de su Estatuto de Autonomía [FJ 2].</w:t>
      </w:r>
    </w:p>
    <w:p w:rsidR="00163957" w:rsidRDefault="00163957" w:rsidP="00163957">
      <w:pPr>
        <w:pStyle w:val="Extracto"/>
      </w:pPr>
    </w:p>
    <w:p w:rsidR="00163957" w:rsidRDefault="00163957" w:rsidP="00163957">
      <w:pPr>
        <w:pStyle w:val="Extracto"/>
      </w:pPr>
      <w:r>
        <w:t>5.</w:t>
      </w:r>
      <w:r>
        <w:tab/>
        <w:t xml:space="preserve">Pueden calificarse de extrafiscales aquellos tributos que persigan, bien disuadir o desincentivar actividades que se consideren nocivas (por ejemplo, para el medio </w:t>
      </w:r>
      <w:r>
        <w:lastRenderedPageBreak/>
        <w:t>ambiente), bien, en sentido positivo, estimular actuaciones protectoras de determinada finalidad, todo ello sin perjuicio de que la citada finalidad extrafiscal no es incompatible con un propósito recaudatorio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4292-2015, interpuesto por el Presidente del Gobierno contra los arts. 1.1 c); y 21 a 30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 Han intervenido y formulado alegaciones la Generalitat y el Parlament de Cataluña. Ha sido Ponente el Magistrado don Fernando Valdés Dal-Ré, que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17 de julio de 2015, el Abogado del Estado, en representación del Presidente del Gobierno, planteó recurso de inconstitucionalidad contra los arts. 1.1 c); y 21 a 30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 (Ley 12/2014, en lo que sigue). En el recurso se hizo invocación expresa del art. 161.2 de la Constitución.</w:t>
      </w:r>
    </w:p>
    <w:p w:rsidR="00163957" w:rsidRDefault="00163957" w:rsidP="00163957">
      <w:pPr>
        <w:pStyle w:val="TextoNormal"/>
      </w:pPr>
    </w:p>
    <w:p w:rsidR="00163957" w:rsidRDefault="00163957" w:rsidP="00163957">
      <w:pPr>
        <w:pStyle w:val="TextoNormal"/>
      </w:pPr>
      <w:r>
        <w:t>Considera la demanda que el impuesto autonómico sobre la producción de energía eléctrica de origen nuclear, regulado en los preceptos que se impugnan, vulnera el art. 6.2 de la Ley Orgánica 8/1980, de 22 de septiembre, de financiación de las Comunidades Autónomas (LOFCA), porque su hecho imponible y demás elementos son coincidentes con los del impuesto estatal sobre la producción de combustible nuclear gastado y residuos radiactivos resultantes de la generación de energía nucleoeléctrica, regulado en la Ley 15/2012, de 27 de diciembre, de medidas fiscales para la sostenibilidad energética.</w:t>
      </w:r>
    </w:p>
    <w:p w:rsidR="00163957" w:rsidRDefault="00163957" w:rsidP="00163957">
      <w:pPr>
        <w:pStyle w:val="TextoNormal"/>
      </w:pPr>
    </w:p>
    <w:p w:rsidR="00163957" w:rsidRDefault="00163957" w:rsidP="00163957">
      <w:pPr>
        <w:pStyle w:val="TextoNormal"/>
      </w:pPr>
      <w:r>
        <w:lastRenderedPageBreak/>
        <w:t>Tras describir sucintamente las características principales del impuesto catalán, se refiere el escrito del Abogado del Estado a la doctrina de este Tribunal sobre la competencia y límites constitucionales a la potestad tributaria de las Comunidades Autónomas, con cita de, entre otras, la STC 30/2015, de 19 de febrero, que declara inconstitucional el impuesto sobre depósitos de las entidades de crédito creado por la Generalitat de Valencia. Recuerda así que, para apreciar la coincidencia o no entre hechos imponibles, que es lo prohibido en el art. 6 LOFCA, es necesario atender a los elementos esenciales de los tributos que se comparan, al objeto de determinar no sólo la riqueza gravada o materia imponible, punto de partida de toda norma tributaria, sino la manera en que dicha riqueza o fuente de capacidad económica es sometida a gravamen en la estructura del tributo.</w:t>
      </w:r>
    </w:p>
    <w:p w:rsidR="00163957" w:rsidRDefault="00163957" w:rsidP="00163957">
      <w:pPr>
        <w:pStyle w:val="TextoNormal"/>
      </w:pPr>
    </w:p>
    <w:p w:rsidR="00163957" w:rsidRDefault="00163957" w:rsidP="00163957">
      <w:pPr>
        <w:pStyle w:val="TextoNormal"/>
      </w:pPr>
      <w:r>
        <w:t>Sentado lo anterior, el recurso pasa a examinar, en primer lugar, la ordenación del hecho imponible de ambos tributos.</w:t>
      </w:r>
    </w:p>
    <w:p w:rsidR="00163957" w:rsidRDefault="00163957" w:rsidP="00163957">
      <w:pPr>
        <w:pStyle w:val="TextoNormal"/>
      </w:pPr>
    </w:p>
    <w:p w:rsidR="00163957" w:rsidRDefault="00163957" w:rsidP="00163957">
      <w:pPr>
        <w:pStyle w:val="TextoNormal"/>
      </w:pPr>
      <w:r>
        <w:t>El impuesto autonómico sobre la producción de energía eléctrica de carácter nuclear es un tributo de carácter directo cuyo hecho imponible viene constituido por “la utilización de combustible nuclear para la producción de energía eléctrica, por el efecto que puede tener en el medio ambiente y por el daño que eventualmente puede producir en él” (art. 23 de la Ley del Parlamento de Cataluña 12/2014).</w:t>
      </w:r>
    </w:p>
    <w:p w:rsidR="00163957" w:rsidRDefault="00163957" w:rsidP="00163957">
      <w:pPr>
        <w:pStyle w:val="TextoNormal"/>
      </w:pPr>
    </w:p>
    <w:p w:rsidR="00163957" w:rsidRDefault="00163957" w:rsidP="00163957">
      <w:pPr>
        <w:pStyle w:val="TextoNormal"/>
      </w:pPr>
      <w:r>
        <w:t>Por su parte, el impuesto estatal sobre la producción de combustible nuclear gastado resultante de la generación de energía nucleoeléctrica, fue creado por la Ley 15/2012, de medidas fiscales para la sostenibilidad energética y regulado, conjuntamente, con el también impuesto estatal sobre residuos radioactivos resultantes de la generación de energía nucleoeléctrica. Su hecho imponible lo constituye “[l]a producción de combustible nuclear gastado resultante de cada reactor nuclear” (art. 15 de la Ley 15/2012).</w:t>
      </w:r>
    </w:p>
    <w:p w:rsidR="00163957" w:rsidRDefault="00163957" w:rsidP="00163957">
      <w:pPr>
        <w:pStyle w:val="TextoNormal"/>
      </w:pPr>
    </w:p>
    <w:p w:rsidR="00163957" w:rsidRDefault="00163957" w:rsidP="00163957">
      <w:pPr>
        <w:pStyle w:val="TextoNormal"/>
      </w:pPr>
      <w:r>
        <w:t>Razona así, con cita del informe del Consejo de Estado, que el solapamiento entre hechos imponibles es notorio, de forma que mientras el tributo del Estado grava la “utilización de combustible nuclear para la producción de energía eléctrica”, el autonómico establece como hecho imponible “la producción de combustible nuclear gastado… resultante de la generación de energía nucleoeléctrica”. Pese a la diferente dicción, lo cierto es que en ambos casos el hecho imponible consiste en la utilización de energía nuclear para la generación de energía eléctrica. Por lo tanto, es irrelevante que la norma autonómica se refiera al gasto o a la utilización de combustible nuclear para la producción y la estatal a la producción de combustible. El requisito establecido por la norma autonómica de que el combustible sea “gastado” para que nazca el hecho imponible, lo único que significa es que el gravamen del tributo autonómico recae sobre la utilización de combustible, algo que también grava el tributo estatal.</w:t>
      </w:r>
    </w:p>
    <w:p w:rsidR="00163957" w:rsidRDefault="00163957" w:rsidP="00163957">
      <w:pPr>
        <w:pStyle w:val="TextoNormal"/>
      </w:pPr>
    </w:p>
    <w:p w:rsidR="00163957" w:rsidRDefault="00163957" w:rsidP="00163957">
      <w:pPr>
        <w:pStyle w:val="TextoNormal"/>
      </w:pPr>
      <w:r>
        <w:t>Lo anterior permite apreciar la coincidencia a pesar de que la definición del hecho imponible no sea idéntica (utilización de combustible nuclear para la producción de energía eléctrica en el impuesto autonómico, y producción de combustible nuclear gastado en el impuesto estatal). Lo relevante es que ambos impuestos recaen sobre el combustible nuclear empleado en la producción de energía eléctrica de origen nuclear (combustible nuclear utilizado en el impuesto autonómico, y combustible nuclear gastado en el impuesto estatal).</w:t>
      </w:r>
    </w:p>
    <w:p w:rsidR="00163957" w:rsidRDefault="00163957" w:rsidP="00163957">
      <w:pPr>
        <w:pStyle w:val="TextoNormal"/>
      </w:pPr>
    </w:p>
    <w:p w:rsidR="00163957" w:rsidRDefault="00163957" w:rsidP="00163957">
      <w:pPr>
        <w:pStyle w:val="TextoNormal"/>
      </w:pPr>
      <w:r>
        <w:lastRenderedPageBreak/>
        <w:t>Además de la coincidencia en los hechos imponibles, que de por sí bastaría para entender vulnerado el art. 6.2 LOFCA, se refiere la demanda a los respectivos preámbulos de las leyes catalana y estatal, en los que se pone de manifiesto que en ambos casos el tributo pretende compensar las cargas que la sociedad soporta a consecuencia de la producción de energía nuclear, por lo que, además de coincidir los hechos imponibles, coincide también la finalidad de ambos impuestos.</w:t>
      </w:r>
    </w:p>
    <w:p w:rsidR="00163957" w:rsidRDefault="00163957" w:rsidP="00163957">
      <w:pPr>
        <w:pStyle w:val="TextoNormal"/>
      </w:pPr>
    </w:p>
    <w:p w:rsidR="00163957" w:rsidRDefault="00163957" w:rsidP="00163957">
      <w:pPr>
        <w:pStyle w:val="TextoNormal"/>
      </w:pPr>
      <w:r>
        <w:t>Asimismo, razona la demanda que son similares los sujetos pasivos, base imponible y tipo de gravamen.</w:t>
      </w:r>
    </w:p>
    <w:p w:rsidR="00163957" w:rsidRDefault="00163957" w:rsidP="00163957">
      <w:pPr>
        <w:pStyle w:val="TextoNormal"/>
      </w:pPr>
    </w:p>
    <w:p w:rsidR="00163957" w:rsidRDefault="00163957" w:rsidP="00163957">
      <w:pPr>
        <w:pStyle w:val="TextoNormal"/>
      </w:pPr>
      <w:r>
        <w:t>En el caso del impuesto autonómico, son sujetos pasivos, a título de contribuyente, las personas físicas o jurídicas y los entes sin personalidad a que se refiere el art. 35.4 de la Ley 38/2003, de 17 de diciembre, general tributaria, que utilizan el combustible nuclear, y responsables solidarios los propietarios de las instalaciones (art. 24, Ley del Parlamento de Cataluña 12/2014). En cuanto al resto de elementos, la base imponible está constituida por el peso del combustible nuclear utilizado por cada instalación (art. 26), fijándose el tipo de gravamen en 800.000 € por tonelada de combustible utilizado (art. 27).</w:t>
      </w:r>
    </w:p>
    <w:p w:rsidR="00163957" w:rsidRDefault="00163957" w:rsidP="00163957">
      <w:pPr>
        <w:pStyle w:val="TextoNormal"/>
      </w:pPr>
    </w:p>
    <w:p w:rsidR="00163957" w:rsidRDefault="00163957" w:rsidP="00163957">
      <w:pPr>
        <w:pStyle w:val="TextoNormal"/>
      </w:pPr>
      <w:r>
        <w:t xml:space="preserve">En el impuesto estatal son contribuyentes las personas físicas o jurídicas y los entes sin personalidad jurídica a que se refiere el art. 35.4 de la Ley 38/2003, de 17 de diciembre, general tributaria, que utilizan el combustible nuclear, y responsables solidarios los propietarios de las instalaciones (art. 16 de la Ley 15/2012); la base imponible viene constituida por los kilogramos de metal pesado contenidos en el combustible nuclear gastado en relación con cada reactor (art. 17 de la Ley 15/2012); el tipo impositivo es de 2.190 € por kilogramo (art. 17 </w:t>
      </w:r>
      <w:r w:rsidRPr="00163957">
        <w:rPr>
          <w:i/>
        </w:rPr>
        <w:t>bis</w:t>
      </w:r>
      <w:r>
        <w:t xml:space="preserve"> de la Ley 15/2012).</w:t>
      </w:r>
    </w:p>
    <w:p w:rsidR="00163957" w:rsidRDefault="00163957" w:rsidP="00163957">
      <w:pPr>
        <w:pStyle w:val="TextoNormal"/>
      </w:pPr>
    </w:p>
    <w:p w:rsidR="00163957" w:rsidRDefault="00163957" w:rsidP="00163957">
      <w:pPr>
        <w:pStyle w:val="TextoNormal"/>
      </w:pPr>
      <w:r>
        <w:t>Así expuesto el resto de elementos esenciales, concluye el escrito que es evidente no sólo la similitud entre sujetos pasivos de ambos impuestos sino también la identidad en la forma de cuantificación de la base imponible, utilizando el peso en kilogramos como magnitud de referencia y el tipo de gravamen que, aplicado a la base imponible, es determinante de la cuota. Concluye, con cita de la STC 111/2015, FJ 3, que existe coincidencia en los elementos esenciales de ambos impuestos, lo que determina que el impuesto autonómico vulnere el art. 6.2 LOFCA.</w:t>
      </w:r>
    </w:p>
    <w:p w:rsidR="00163957" w:rsidRDefault="00163957" w:rsidP="00163957">
      <w:pPr>
        <w:pStyle w:val="TextoNormal"/>
      </w:pPr>
    </w:p>
    <w:p w:rsidR="00163957" w:rsidRDefault="00163957" w:rsidP="00163957">
      <w:pPr>
        <w:pStyle w:val="TextoNormal"/>
      </w:pPr>
      <w:r w:rsidRPr="00163957">
        <w:rPr>
          <w:rStyle w:val="NumeroAFNegritaCaracter"/>
        </w:rPr>
        <w:t>2</w:t>
      </w:r>
      <w:r>
        <w:t>. El Pleno del Tribunal Constitucional, mediante providencia de 21 de julio de 2015, acordó la admisión a trámite del recurso de inconstitucionalidad, dar traslado de la demanda y documentos presentados, conforme establece el art. 34 de la Ley Orgánica del Tribunal Constitucional (LOTC), al Congreso de los Diputados y al Senado, así como al Gobierno y al Parlamento de Cataluña, por conducto de sus Presidentes,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la Ley impugnada desde la fecha de interposición del recurso para las partes del proceso —17 de julio de 2015— y desde el día en que aparezca publicada la suspensión en el “Boletín Oficial del Estado” para los terceros. Por último, también se ordenó publicar la incoación del recurso en el “Boletín Oficial del Estado” y en el “Diari Oficial de la Generalitat de Catalunya”, lo que se llevó a efecto, respectivamente, en los núms. 176, de 24 de julio de 2015, y en el 6926, de 3 de agosto de 2015.</w:t>
      </w:r>
    </w:p>
    <w:p w:rsidR="00163957" w:rsidRDefault="00163957" w:rsidP="00163957">
      <w:pPr>
        <w:pStyle w:val="TextoNormal"/>
      </w:pPr>
    </w:p>
    <w:p w:rsidR="00163957" w:rsidRDefault="00163957" w:rsidP="00163957">
      <w:pPr>
        <w:pStyle w:val="TextoNormal"/>
      </w:pPr>
      <w:r w:rsidRPr="00163957">
        <w:rPr>
          <w:rStyle w:val="NumeroAFNegritaCaracter"/>
        </w:rPr>
        <w:t>3</w:t>
      </w:r>
      <w:r>
        <w:t>. El 14 de agosto de 2015, la Abogada de la Generalitat de Cataluña, en la representación que legalmente ostenta, se personó en el presente recurso de inconstitucionalidad interesando su desestimación íntegra.</w:t>
      </w:r>
    </w:p>
    <w:p w:rsidR="00163957" w:rsidRDefault="00163957" w:rsidP="00163957">
      <w:pPr>
        <w:pStyle w:val="TextoNormal"/>
      </w:pPr>
    </w:p>
    <w:p w:rsidR="00163957" w:rsidRDefault="00163957" w:rsidP="00163957">
      <w:pPr>
        <w:pStyle w:val="TextoNormal"/>
      </w:pPr>
      <w:r>
        <w:t>Comienza el alegato recordando sucintamente los elementos esenciales del impuesto autonómico sobre la producción de energía eléctrica de origen nuclear, así como exponiendo el régimen constitucional de reparto de competencias tributarias, con cita de la doctrina de este Tribunal más relevante relativa al contenido y alcance del art. 6.2 LOFCA (entre otras, SSTC 289/2000, FJ 3; y 168/2004, FJ 4). Concluye que es preciso, de acuerdo con la reiterada jurisprudencia constitucional, comparar todos los elementos de los tributos y atender, en particular, a la posible finalidad extrafiscal que pudiera concurrir.</w:t>
      </w:r>
    </w:p>
    <w:p w:rsidR="00163957" w:rsidRDefault="00163957" w:rsidP="00163957">
      <w:pPr>
        <w:pStyle w:val="TextoNormal"/>
      </w:pPr>
    </w:p>
    <w:p w:rsidR="00163957" w:rsidRDefault="00163957" w:rsidP="00163957">
      <w:pPr>
        <w:pStyle w:val="TextoNormal"/>
      </w:pPr>
      <w:r>
        <w:t>Seguidamente, se exponen detalladamente las características técnicas del proceso de producción termonuclear de la energía eléctrica, destacando ya desde el primer momento que la “utilización de combustible nuclear”, que es el hecho imponible gravado por el impuesto autonómico, no es, como aduce el Abogado del Estado, sinónimo de “producción de combustible nuclear gastado”, que es la circunstancia seleccionada como hecho imponible por el legislador estatal en el impuesto sobre la producción de combustible nuclear gastado y residuos radiactivos resultantes de la generación de energía nucleoeléctrica, regulado en los arts. 15 a 18 de la Ley 15/2012.</w:t>
      </w:r>
    </w:p>
    <w:p w:rsidR="00163957" w:rsidRDefault="00163957" w:rsidP="00163957">
      <w:pPr>
        <w:pStyle w:val="TextoNormal"/>
      </w:pPr>
    </w:p>
    <w:p w:rsidR="00163957" w:rsidRDefault="00163957" w:rsidP="00163957">
      <w:pPr>
        <w:pStyle w:val="TextoNormal"/>
      </w:pPr>
      <w:r>
        <w:t>Razona a partir de lo anterior que ambos impuestos recaen en realidad sobre fases diferentes del proceso de producción de producción termonuclear de energía eléctrica. Avala esta conclusión el análisis del resto de tributos regulados en la Ley 15/2012 que, se alega, gravan sólo algunas de las fases de la producción termonuclear de energía eléctrica, dejando justamente libre de tributación la utilización del combustible nuclear.</w:t>
      </w:r>
    </w:p>
    <w:p w:rsidR="00163957" w:rsidRDefault="00163957" w:rsidP="00163957">
      <w:pPr>
        <w:pStyle w:val="TextoNormal"/>
      </w:pPr>
    </w:p>
    <w:p w:rsidR="00163957" w:rsidRDefault="00163957" w:rsidP="00163957">
      <w:pPr>
        <w:pStyle w:val="TextoNormal"/>
      </w:pPr>
      <w:r>
        <w:t>A continuación, examina los elementos esenciales del impuesto estatal sobre la producción de combustible nuclear gastado regulado en la Ley 15/2012, destacando desde el inicio que su naturaleza es fiscal o recaudatoria, como además se pone de relieve, no sólo en su estructura, sino también en la afectación de los ingresos obtenidos a la financiación de los costes del sistema eléctrico.</w:t>
      </w:r>
    </w:p>
    <w:p w:rsidR="00163957" w:rsidRDefault="00163957" w:rsidP="00163957">
      <w:pPr>
        <w:pStyle w:val="TextoNormal"/>
      </w:pPr>
    </w:p>
    <w:p w:rsidR="00163957" w:rsidRDefault="00163957" w:rsidP="00163957">
      <w:pPr>
        <w:pStyle w:val="TextoNormal"/>
      </w:pPr>
      <w:r>
        <w:t>En cuanto a los elementos del tributo, y comenzando por el hecho imponible, destaca que el del impuesto estatal lo constituye el material resultante del proceso de producción de energía eléctrica termonuclear; esto es, los residuos radioactivos. Expone así que la materia imponible en ambos casos es el proceso de producción de energía eléctrica mediante combustible nuclear, si bien en uno y otro tributo el presupuesto adoptado como hecho imponible no es el mismo.</w:t>
      </w:r>
    </w:p>
    <w:p w:rsidR="00163957" w:rsidRDefault="00163957" w:rsidP="00163957">
      <w:pPr>
        <w:pStyle w:val="TextoNormal"/>
      </w:pPr>
    </w:p>
    <w:p w:rsidR="00163957" w:rsidRDefault="00163957" w:rsidP="00163957">
      <w:pPr>
        <w:pStyle w:val="TextoNormal"/>
      </w:pPr>
      <w:r>
        <w:t xml:space="preserve">En el caso del impuesto autonómico, el presupuesto seleccionado como hecho imponible por la Ley 12/2014 concurre en la fase inicial del ciclo de producción y lo constituye el combustible nuclear que se introduce en el reactor, por el riesgo para el medio ambiente y los eventuales daños que dicha introducción y la subsiguiente reacción en cadena que genera (utilización) puede producir en el referido medio ambiente, desde su introducción hasta su extracción. Es diferente así al impuesto estatal, pues en éste la circunstancia que la Ley </w:t>
      </w:r>
      <w:r>
        <w:lastRenderedPageBreak/>
        <w:t>15/2012 selecciona como hecho imponible surge en la fase posterior del proceso de producción termonuclear de energía eléctrica cuando, una vez finalizado dicho proceso, el combustible nuclear se ha quemado y es preciso efectuar una recarga del reactor con nuevo combustible nuclear, que permita reiniciar la reacción en cadena que produce el calor que genera la energía eléctrica y por ello se procede a extraer los residuos radioactivos resultantes del ciclo finalizado. El impuesto estatal recae sobre dichos residuos, el coste de gestión de los cuales no está internalizado y se traslada a la sociedad, fijando a tal efecto como hecho imponible, tanto el combustible nuclear gastado, irradiado (metal pesado: uranio y plutonio) de alta actividad que se extrae del reactor [arts. 15.1 a) y 17 de la Ley 15/2012], como los residuos radioactivos (de media, baja y muy actividad, art. 18 de la Ley 15/2012) resultantes del proceso de generación de energía eléctrica [art.15.1 b) de la Ley 15/2012].</w:t>
      </w:r>
    </w:p>
    <w:p w:rsidR="00163957" w:rsidRDefault="00163957" w:rsidP="00163957">
      <w:pPr>
        <w:pStyle w:val="TextoNormal"/>
      </w:pPr>
    </w:p>
    <w:p w:rsidR="00163957" w:rsidRDefault="00163957" w:rsidP="00163957">
      <w:pPr>
        <w:pStyle w:val="TextoNormal"/>
      </w:pPr>
      <w:r>
        <w:t>A ello añade que las dos figuras tributarias difieren en sus elementos cuantificadores de la obligación tributaria.</w:t>
      </w:r>
    </w:p>
    <w:p w:rsidR="00163957" w:rsidRDefault="00163957" w:rsidP="00163957">
      <w:pPr>
        <w:pStyle w:val="TextoNormal"/>
      </w:pPr>
    </w:p>
    <w:p w:rsidR="00163957" w:rsidRDefault="00163957" w:rsidP="00163957">
      <w:pPr>
        <w:pStyle w:val="TextoNormal"/>
      </w:pPr>
      <w:r>
        <w:t xml:space="preserve">Así, en el caso del impuesto estatal, la base imponible la constituyen “los kilogramos de metal pesado contenidos en el combustible nuclear gastado, entendiéndose como metal pesado el uranio y el plutonio contenidos en el mismo” (art. 17 de la Ley 15/2012) y la cuota tributaria se determina “por la aplicación a la base imponible (material pesado contenido en el combustible nuclear gastado) un tipo impositivo de 2.190 euros por kilogramo de metal pesado” (art. 17 </w:t>
      </w:r>
      <w:r w:rsidRPr="00163957">
        <w:rPr>
          <w:i/>
        </w:rPr>
        <w:t>bis</w:t>
      </w:r>
      <w:r>
        <w:t xml:space="preserve"> de la Ley 15/2012).</w:t>
      </w:r>
    </w:p>
    <w:p w:rsidR="00163957" w:rsidRDefault="00163957" w:rsidP="00163957">
      <w:pPr>
        <w:pStyle w:val="TextoNormal"/>
      </w:pPr>
    </w:p>
    <w:p w:rsidR="00163957" w:rsidRDefault="00163957" w:rsidP="00163957">
      <w:pPr>
        <w:pStyle w:val="TextoNormal"/>
      </w:pPr>
      <w:r>
        <w:t>En cambio, en el impuesto autonómico, la base imponible la constituye el “peso del combustible nuclear utilizado en el período impositivo, expresado en toneladas” (art. 26 de la Ley 12/2014), es decir el peso del combustible nuclear —óxido de uranio U-238, enriquecido con U-235— introducido en el núcleo del reactor nuclear. Y la cuota tributaria del impuesto se obtiene de aplicar a la base imponible (peso del combustible nuclear introducido en el reactor) “el tipo de gravamen de 800.000 euros por tonelada de combustible utilizado” (art. 27 de la Ley 12/2014).</w:t>
      </w:r>
    </w:p>
    <w:p w:rsidR="00163957" w:rsidRDefault="00163957" w:rsidP="00163957">
      <w:pPr>
        <w:pStyle w:val="TextoNormal"/>
      </w:pPr>
    </w:p>
    <w:p w:rsidR="00163957" w:rsidRDefault="00163957" w:rsidP="00163957">
      <w:pPr>
        <w:pStyle w:val="TextoNormal"/>
      </w:pPr>
      <w:r>
        <w:t>Asimismo, el tributo autonómico sí tiene finalidad extrafiscal, pues de acuerdo con su preámbulo “pretende orientar el comportamiento de los agentes económicos afectados, mediante la interiorización de los costes no deseados y de las externalidades negativas que generan con su actividad, con el objetivo de contribuir a la mejora y la preservación del medio ambiente”, finalidad que concurre además de la fiscal. Destaca, en cuanto al hecho imponible, que lo que esencialmente se grava son “los potenciales riesgos en el medio ambiente determinados por la utilización de combustible nuclear”. Finalmente, se refiere a la afectación del tributo. Esto permite concluir que el hecho imponible es diferente al del impuesto estatal y que también lo es su finalidad, pues el autonómico es extrafiscal, como prueba además el hecho de su afectación, según el artículo 22, para financiar las actividades y actuaciones de protección civil expresamente destinadas a la disminución, el control y, si procede, la reducción de los riesgos derivados de la actividad gravada.</w:t>
      </w:r>
    </w:p>
    <w:p w:rsidR="00163957" w:rsidRDefault="00163957" w:rsidP="00163957">
      <w:pPr>
        <w:pStyle w:val="TextoNormal"/>
      </w:pPr>
    </w:p>
    <w:p w:rsidR="00163957" w:rsidRDefault="00163957" w:rsidP="00163957">
      <w:pPr>
        <w:pStyle w:val="TextoNormal"/>
      </w:pPr>
      <w:r>
        <w:t>Concluye, en fin, que frente a lo alegado en la demanda, no existe identidad formal ni sustantiva entre los hechos imponibles de ambos impuestos, que asimismo difieren en su finalidad y en el resto de elementos esenciales que respectivamente los configuran.</w:t>
      </w:r>
    </w:p>
    <w:p w:rsidR="00163957" w:rsidRDefault="00163957" w:rsidP="00163957">
      <w:pPr>
        <w:pStyle w:val="TextoNormal"/>
      </w:pPr>
    </w:p>
    <w:p w:rsidR="00163957" w:rsidRDefault="00163957" w:rsidP="00163957">
      <w:pPr>
        <w:pStyle w:val="TextoNormal"/>
      </w:pPr>
      <w:r>
        <w:lastRenderedPageBreak/>
        <w:t>Añade que se trataría aquí de un caso similar al que resolvió este Tribunal constitucional en la STC 60/2013, en la que debió pronunciarse sobre el impuesto sobre determinadas actividades que inciden en el medio ambiente, en su modalidad de gravamen sobre las “actividades cuyas instalaciones emiten a la atmósfera dióxido de azufre, dióxido de nitrógeno o cualquier otro compuesto oxigenado del azufre o del nitrógeno” previsto en el art. 2.1 a) de la Ley de las Cortes de Castilla-La Mancha 16/2005, para determinar si el impuesto autonómico incurría en la doble imposición proscrita por el art. 6.2 LOFCA en relación con el impuesto especial sobre la electricidad regulado por la Ley 38/1992 de impuestos especiales. Después de transcribir el fundamento jurídico 4 de esta Sentencia, concluye que lo mismo sucede en este caso, en el que la misma actividad es gravada desde dos perspectivas diferentes.</w:t>
      </w:r>
    </w:p>
    <w:p w:rsidR="00163957" w:rsidRDefault="00163957" w:rsidP="00163957">
      <w:pPr>
        <w:pStyle w:val="TextoNormal"/>
      </w:pPr>
    </w:p>
    <w:p w:rsidR="00163957" w:rsidRDefault="00163957" w:rsidP="00163957">
      <w:pPr>
        <w:pStyle w:val="TextoNormal"/>
      </w:pPr>
      <w:r>
        <w:t>Añade, en otro orden de consideraciones, que el impuesto sobre el uso de combustible nuclear para la producción de energía eléctrica es compatible con otros impuestos que incidan sobre la actividad de producción de energía eléctrica, lo que ha sido reconocido de forma expresa por la Sentencia del Tribunal de Justicia de la Unión Europea de 4 de junio de 2015, asunto C-5/14, en la que se resolvió una cuestión prejudicial planteada por un órgano judicial alemán que debía sustanciar el recurso planteado por una central nuclear contra la aplicación del impuesto sobre el uso de combustible nuclear para la producción de energía eléctrica establecido en la Ley alemana de 8 de diciembre de 2010, análogo al creado por la Ley 12/2014. Entre otras cuestiones, dicha Sentencia se pronunció sobre la compatibilidad del mencionado impuesto con un impuesto que también gravaba la actividad de producción de energía eléctrica, en aquel caso, el impuesto relativo al consumo de la energía producida a través de combustible nuclear. Se transcribe el apartado 51 de dicha Sentencia en apoyo de la tesis mantenida.</w:t>
      </w:r>
    </w:p>
    <w:p w:rsidR="00163957" w:rsidRDefault="00163957" w:rsidP="00163957">
      <w:pPr>
        <w:pStyle w:val="TextoNormal"/>
      </w:pPr>
    </w:p>
    <w:p w:rsidR="00163957" w:rsidRDefault="00163957" w:rsidP="00163957">
      <w:pPr>
        <w:pStyle w:val="TextoNormal"/>
      </w:pPr>
      <w:r w:rsidRPr="00163957">
        <w:rPr>
          <w:rStyle w:val="NumeroAFNegritaCaracter"/>
        </w:rPr>
        <w:t>4</w:t>
      </w:r>
      <w:r>
        <w:t>. El 26 de agosto de 2015 tiene entrada en el Registro General de este Tribunal un escrito del Presidente del Senado comunicando que, por acuerdo de la Mesa de la Cámara, se da por personada a la misma en este procedimiento y se ofrece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en este Tribunal el 3 de septiembre de 2015, el Letrado del Parlament de Cataluña, en la representación que ostenta, compareció en el proceso y formuló alegaciones interesando la desestimación del recurso de inconstitucionalidad. Igualmente solicitó por otrosí el levantamiento inmediato de la citada suspensión, sin dejar transcurrir el plazo de cinco meses previsto en el art. 161.2 CE.</w:t>
      </w:r>
    </w:p>
    <w:p w:rsidR="00163957" w:rsidRDefault="00163957" w:rsidP="00163957">
      <w:pPr>
        <w:pStyle w:val="TextoNormal"/>
      </w:pPr>
    </w:p>
    <w:p w:rsidR="00163957" w:rsidRDefault="00163957" w:rsidP="00163957">
      <w:pPr>
        <w:pStyle w:val="TextoNormal"/>
      </w:pPr>
      <w:r>
        <w:t>El Letrado del Parlament inicia su alegato exponiendo las características principales del impuesto autonómico impugnado, que grava la producción de energía eléctrica de origen nuclear, destacando que el día anterior a la entrada en vigor de la Ley se dejó de aplicar el gravamen de protección civil a las centrales nucleares, para que no hubiera doble imposición (disposición adicional segunda de la Ley autonómica).</w:t>
      </w:r>
    </w:p>
    <w:p w:rsidR="00163957" w:rsidRDefault="00163957" w:rsidP="00163957">
      <w:pPr>
        <w:pStyle w:val="TextoNormal"/>
      </w:pPr>
    </w:p>
    <w:p w:rsidR="00163957" w:rsidRDefault="00163957" w:rsidP="00163957">
      <w:pPr>
        <w:pStyle w:val="TextoNormal"/>
      </w:pPr>
      <w:r>
        <w:t xml:space="preserve">A continuación, recuerda que el art. 203.5 del Estatuto de Autonomía de Cataluña (EAC) establece que “[l]a Generalitat tiene competencia para establecer, mediante una ley del Parlamento, sus tributos propios, sobre los cuales tiene capacidad normativa”, haciendo hincapié en que el tributo guarda conexión con las competencias en materia de medio ambiente (art. 144 EAC) y protección civil (art. 132 EAC). Se refiere en este sentido a la abundante </w:t>
      </w:r>
      <w:r>
        <w:lastRenderedPageBreak/>
        <w:t>legislación autonómica existente en estas materias, así como a las medidas tributarias adoptadas por varias Comunidades Autónomas. Entre otras, se cita el caso de la Ley foral de Navarra 24/2012, de 26 de diciembre, reguladora del impuesto sobre el valor de la producción de energía eléctrica, norma declarada inconstitucional por la STC 110/2014, de 26 de junio, por contravenir el art. 6.2 LOFCA, con relación al impuesto del mismo nombre creado por la Ley 15/2012.</w:t>
      </w:r>
    </w:p>
    <w:p w:rsidR="00163957" w:rsidRDefault="00163957" w:rsidP="00163957">
      <w:pPr>
        <w:pStyle w:val="TextoNormal"/>
      </w:pPr>
    </w:p>
    <w:p w:rsidR="00163957" w:rsidRDefault="00163957" w:rsidP="00163957">
      <w:pPr>
        <w:pStyle w:val="TextoNormal"/>
      </w:pPr>
      <w:r>
        <w:t>Tras citar varios tributos autonómicos y jurisprudencia constitucional referida a éstos, se centra en defender la no coincidencia entre el hecho imponible del impuesto catalán sobre la producción de energía eléctrica de origen nuclear con el hecho imponible del impuesto estatal sobre la producción de combustible nuclear gastado y residuos radiactivos resultantes de la generación de energía nucleoeléctrica. Comienza en este punto recordando que el art. 157.l b) CE y los arts. 6 y 9 LOFCA reconocen el poder de las Comunidades Autónomas para establecer tributos propios, con cita de jurisprudencia de este Tribunal en relación con el poder tributario autonómico (entre otras, STC 96/2013, de 23 de abril, FJ 5). Destaca asimismo que el art. 6.2 LOFCA no tiene por objeto impedir que las Comunidades Autónomas establezcan tributos propios sobre materias o fuentes impositivas ya gravadas por el Estado, lo que conduciría a negar, en la práctica, la posibilidad de que se creen nuevos impuestos autonómicos, sino que “lo que el art. 6.2 prohíbe, en sus propios términos, es la duplicidad de hechos imponibles, estrictamente” (STC 37/1987, de 26 de marzo, FJ 14), tal y como se ha reiterado, entre otras, en la STC 122/2012, de 5 de junio, FJ 3), debiendo además tener en cuenta la finalidad, fiscal o extrafiscal, de las figuras tributarias a comparar.</w:t>
      </w:r>
    </w:p>
    <w:p w:rsidR="00163957" w:rsidRDefault="00163957" w:rsidP="00163957">
      <w:pPr>
        <w:pStyle w:val="TextoNormal"/>
      </w:pPr>
    </w:p>
    <w:p w:rsidR="00163957" w:rsidRDefault="00163957" w:rsidP="00163957">
      <w:pPr>
        <w:pStyle w:val="TextoNormal"/>
      </w:pPr>
      <w:r>
        <w:t>A continuación, describe de forma sucinta los elementos esenciales de ambos tributos, destacando las diferencias entre sus hechos imponibles y, en concreto, por lo que se refiere al combustible nuclear, teniendo en cuenta que los tributos estatal y autonómico gravan en realidad diferentes aspectos, pues el del Estado recae sobre el combustible nuclear gastado, esto es, el residuo que permanece, y el autonómico grava estrictamente el combustible, de manera que “haciendo un paralelismo, nos encontraríamos con la leña (combustible), energía en forma de calor, y las cenizas (residuo)”. Es así claro, afirma, que “el combustible nuclear y el combustible gastado y los residuos radiactivos tienen una composición química y unas características de emisión de calor, desintegración radioactiva y emisión de radiación ionizante claramente diferentes”.</w:t>
      </w:r>
    </w:p>
    <w:p w:rsidR="00163957" w:rsidRDefault="00163957" w:rsidP="00163957">
      <w:pPr>
        <w:pStyle w:val="TextoNormal"/>
      </w:pPr>
    </w:p>
    <w:p w:rsidR="00163957" w:rsidRDefault="00163957" w:rsidP="00163957">
      <w:pPr>
        <w:pStyle w:val="TextoNormal"/>
      </w:pPr>
      <w:r>
        <w:t>A partir de ahí, concluye, frente a lo alegado por el Abogado del Estado, que la mera utilización de combustible no equivale a producir combustible gastado, siendo preciso tener en cuenta el carácter medioambiental y de protección civil del impuesto catalán.</w:t>
      </w:r>
    </w:p>
    <w:p w:rsidR="00163957" w:rsidRDefault="00163957" w:rsidP="00163957">
      <w:pPr>
        <w:pStyle w:val="TextoNormal"/>
      </w:pPr>
    </w:p>
    <w:p w:rsidR="00163957" w:rsidRDefault="00163957" w:rsidP="00163957">
      <w:pPr>
        <w:pStyle w:val="TextoNormal"/>
      </w:pPr>
      <w:r>
        <w:t xml:space="preserve">Seguidamente, y tras referirse a la doctrina constitucional acerca de la finalidad extrafiscal de los tributos y su papel en el examen de la posible equivalencia del art. 6.2 LOFCA, se refiere a las diferentes iniciativas en el ámbito de la fiscalidad energética, con cita de propuestas del Derecho de la Unión Europea y con una extensa referencia al papel de los impuestos ambientales. Esto le lleva a concluir que ambos tributos tienen finalidades extrafiscales, si bien éstas son diferentes, de manera que “el impuesto estatal se preocupa de la capacidad económica mediante la producción de combustible nuclear gastado resultante de cada reactor nuclear y de los aspectos medioambientales del residuo nuclear (combustible nuclear gastado), mientras que el impuesto autonómico se centra en la protección civil y el riesgo medioambiental previo”. En definitiva, “lo que grava la Ley 12/2014 no es tanto la </w:t>
      </w:r>
      <w:r>
        <w:lastRenderedPageBreak/>
        <w:t>producción de la energía —la realización de una actividad—, como el riesgo que ésta entraña en relación con la salud y el medio ambiente, ya que precisamente el hecho imponible se califica por el riesgo que implica la realización de la actividad productiva”; se gravaría así el peligro de contaminación potencial al que debe hacerse frente y los gastos para mitigar ese riesgo como sucede en el ámbito de la protección civil, con el gravamen previsto en la Ley catalana 4/1997, que fue declarado constitucional, sin enmienda alguna, por el Tribunal Constitucional en la STC 168/2004. La finalidad extrafiscal se muestra, en fin, con la afectación de los ingresos que prevé el artículo 22 de la norma.</w:t>
      </w:r>
    </w:p>
    <w:p w:rsidR="00163957" w:rsidRDefault="00163957" w:rsidP="00163957">
      <w:pPr>
        <w:pStyle w:val="TextoNormal"/>
      </w:pPr>
    </w:p>
    <w:p w:rsidR="00163957" w:rsidRDefault="00163957" w:rsidP="00163957">
      <w:pPr>
        <w:pStyle w:val="TextoNormal"/>
      </w:pPr>
      <w:r>
        <w:t>En conclusión, no se vulnera el art. 6.2 LOFCA porque el impuesto catalán grava los peligros y riesgos del combustible nuclear y su utilización, mientras que el estatal grava el aspecto económico de la producción de combustible gastado y los riesgos inherentes a los residuos nucleares.</w:t>
      </w:r>
    </w:p>
    <w:p w:rsidR="00163957" w:rsidRDefault="00163957" w:rsidP="00163957">
      <w:pPr>
        <w:pStyle w:val="TextoNormal"/>
      </w:pPr>
    </w:p>
    <w:p w:rsidR="00163957" w:rsidRDefault="00163957" w:rsidP="00163957">
      <w:pPr>
        <w:pStyle w:val="TextoNormal"/>
      </w:pPr>
      <w:r w:rsidRPr="00163957">
        <w:rPr>
          <w:rStyle w:val="NumeroAFNegritaCaracter"/>
        </w:rPr>
        <w:t>6</w:t>
      </w:r>
      <w:r>
        <w:t>. El Pleno, por providencia de 10 de septiembre de 2015, acordó incorporar a los autos los escritos presentados por la Abogada de la Generalitat y el Letrado del Parlament de Cataluña y, atendida la solicitud de levantamiento inmediato de la suspensión acordada contenida en esos escritos, otorgar al Abogado del Estado un plazo de cinco días para que expusiera lo que estimara procedente acerca del mantenimiento o levantamiento de la suspensión.</w:t>
      </w:r>
    </w:p>
    <w:p w:rsidR="00163957" w:rsidRDefault="00163957" w:rsidP="00163957">
      <w:pPr>
        <w:pStyle w:val="TextoNormal"/>
      </w:pPr>
    </w:p>
    <w:p w:rsidR="00163957" w:rsidRDefault="00163957" w:rsidP="00163957">
      <w:pPr>
        <w:pStyle w:val="TextoNormal"/>
      </w:pPr>
      <w:r w:rsidRPr="00163957">
        <w:rPr>
          <w:rStyle w:val="NumeroAFNegritaCaracter"/>
        </w:rPr>
        <w:t>7</w:t>
      </w:r>
      <w:r>
        <w:t>. Evacuado el trámite conferido, el Pleno del Tribunal dictó el Auto de 1 de diciembre de 2015, acordando levantar la suspensión de los arts. 1.1 c); y 21 a 30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12 de abril de 2016 se señaló para deliberación y votación de la presente Sentencia el día 14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objeto del presente recurso de inconstitucionalidad es determinar si el impuesto sobre la producción de energía eléctrica de origen nuclear, regulado en los arts. 1.1 c); y 21 a 30 de la Ley del Parlamento de Cataluña 12/2014, de 10 de octubre (Ley 12/2014, en adelante), vulnera el art. 6.2 de la Ley Orgánica 8/1980, de 22 de septiembre, de financiación de las Comunidades Autónomas (LOFCA, en adelante).</w:t>
      </w:r>
    </w:p>
    <w:p w:rsidR="00163957" w:rsidRDefault="00163957" w:rsidP="00163957">
      <w:pPr>
        <w:pStyle w:val="TextoNormal"/>
      </w:pPr>
    </w:p>
    <w:p w:rsidR="00163957" w:rsidRDefault="00163957" w:rsidP="00163957">
      <w:pPr>
        <w:pStyle w:val="TextoNormal"/>
      </w:pPr>
      <w:r>
        <w:t>El impuesto sobre la producción de energía eléctrica de origen nuclear tiene por objeto gravar “los riesgos por el impacto y eventual daño en el medio ambiente derivados de la actividad de producción de energía eléctrica de origen nuclear efectuada en el territorio de Cataluña” (art. 21 de la Ley 12/2014), siendo su hecho imponible “la utilización de combustible nuclear para la producción de energía eléctrica, por el efecto que puede tener en el medio ambiente y por el daño que eventualmente puede producir en él” (art. 23 de la Ley 12/2014).</w:t>
      </w:r>
    </w:p>
    <w:p w:rsidR="00163957" w:rsidRDefault="00163957" w:rsidP="00163957">
      <w:pPr>
        <w:pStyle w:val="TextoNormal"/>
      </w:pPr>
    </w:p>
    <w:p w:rsidR="00163957" w:rsidRDefault="00163957" w:rsidP="00163957">
      <w:pPr>
        <w:pStyle w:val="TextoNormal"/>
      </w:pPr>
      <w:r>
        <w:t xml:space="preserve">Según ha quedado expuesto en los antecedentes, el Abogado del Estado, en la representación que legalmente ostenta del Presidente del Gobierno, considera que tanto el hecho imponible como los demás elementos del tributo son coincidentes con los del impuesto estatal sobre la producción de combustible nuclear gastado y residuos radiactivos resultantes de la generación de energía nucleoeléctrica. Este impuesto está regulado en los arts. 12 a 18 </w:t>
      </w:r>
      <w:r w:rsidRPr="00163957">
        <w:rPr>
          <w:i/>
        </w:rPr>
        <w:t>quater</w:t>
      </w:r>
      <w:r>
        <w:t xml:space="preserve"> de la Ley 15/2012, de 27 de diciembre, de medidas fiscales para la sostenibilidad energética, en su redacción vigente, otorgada por la Ley 16/2013, de 29 de octubre, por la que se establecen determinadas medidas en materia de fiscalidad medioambiental y se adoptan otras medidas tributarias y financieras. Para la demanda, existe coincidencia entre el impuesto autonómico y uno de los dos hechos imponibles del impuesto estatal, referido a “[l]a producción de combustible nuclear gastado resultante de cada reactor nuclear” [art. 15.1 a) de la Ley 15/2012], coincidencia que también se aprecia al comparar el resto de elementos esenciales de ambos tributos.</w:t>
      </w:r>
    </w:p>
    <w:p w:rsidR="00163957" w:rsidRDefault="00163957" w:rsidP="00163957">
      <w:pPr>
        <w:pStyle w:val="TextoNormal"/>
      </w:pPr>
    </w:p>
    <w:p w:rsidR="00163957" w:rsidRDefault="00163957" w:rsidP="00163957">
      <w:pPr>
        <w:pStyle w:val="TextoNormal"/>
      </w:pPr>
      <w:r>
        <w:t>Las representaciones procesales de la Generalitat y el Parlament de Cataluña interesan la desestimación íntegra del recurso.</w:t>
      </w:r>
    </w:p>
    <w:p w:rsidR="00163957" w:rsidRDefault="00163957" w:rsidP="00163957">
      <w:pPr>
        <w:pStyle w:val="TextoNormal"/>
      </w:pPr>
    </w:p>
    <w:p w:rsidR="00163957" w:rsidRDefault="00163957" w:rsidP="00163957">
      <w:pPr>
        <w:pStyle w:val="TextoNormal"/>
      </w:pPr>
      <w:r>
        <w:t>La Abogada de la Generalitat de Cataluña, tras exponer las características técnicas del proceso de producción termonuclear de energía eléctrica, alega que la “utilización de combustible nuclear”, que es el hecho imponible gravado por el impuesto autonómico, no es, como aduce el Abogado del Estado, sinónimo de “producción de combustible nuclear gastado”, circunstancia ésta seleccionada como hecho imponible por el legislador estatal en el impuesto sobre la producción de combustible nuclear gastado y residuos radiactivos resultantes de la generación de energía nucleoeléctrica. Razona en consecuencia que ambos impuestos recaen sobre fases y elementos distintos del proceso de producción termonuclear de energía eléctrica, siendo por ello sus hechos imponibles diferentes, ya que el del impuesto estatal lo constituye el material resultante del proceso de producción de energía eléctrica termonuclear, esto es, los residuos radioactivos. Si en ambos tributos la materia imponible es el proceso de producción de energía eléctrica mediante combustible nuclear, el presupuesto adoptado como hecho imponible no es sin embargo el mismo. Añade que el impuesto estatal no tiene naturaleza extrafiscal, finalidad que sí concurre en el impuesto autonómico.</w:t>
      </w:r>
    </w:p>
    <w:p w:rsidR="00163957" w:rsidRDefault="00163957" w:rsidP="00163957">
      <w:pPr>
        <w:pStyle w:val="TextoNormal"/>
      </w:pPr>
    </w:p>
    <w:p w:rsidR="00163957" w:rsidRDefault="00163957" w:rsidP="00163957">
      <w:pPr>
        <w:pStyle w:val="TextoNormal"/>
      </w:pPr>
      <w:r>
        <w:t>El Letrado del Parlament de Cataluña considera que no se vulnera el art. 6.2 LOFCA porque el impuesto catalán grava los peligros y riesgos del combustible nuclear y su utilización, mientras que el estatal grava el aspecto económico de la producción de combustible gastado y los riesgos inherentes a los residuos nucleares. Los hechos imponibles son así distintos, pues el impuesto estatal recae sobre el combustible nuclear gastado, esto es, el residuo que permanece, mientras que el autonómico grava estrictamente el combustible. Razona así que lo que grava el impuesto establecido por la Ley 12/2014 no es tanto la producción de la energía —la realización de una actividad—, como el riesgo que ésta entraña en relación con la salud y el medio ambiente, ya que precisamente “el hecho imponible se califica por el riesgo que implica la realización de la actividad productiva”. Se gravaría así el peligro de contaminación potencial al que debe hacerse frente y los gastos para mitigar ese riesgo, como sucede en el ámbito de la protección civil, con el gravamen previsto en la Ley catalana 4/1997. Concluye que ambos impuestos, autonómico y estatal, tienen finalidades extrafiscales, pero que éstas son diferentes.</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2</w:t>
      </w:r>
      <w:r>
        <w:t>. Para resolver la controversia, debemos recordar de forma sucinta la doctrina de este Tribunal acerca del límite contenido en el art. 6.2 LOFCA, de acuerdo con cuyo tenor “[l]os tributos que establezcan las Comunidades Autónomas no podrán recaer sobre hechos imponibles gravados por el Estado”.</w:t>
      </w:r>
    </w:p>
    <w:p w:rsidR="00163957" w:rsidRDefault="00163957" w:rsidP="00163957">
      <w:pPr>
        <w:pStyle w:val="TextoNormal"/>
      </w:pPr>
    </w:p>
    <w:p w:rsidR="00163957" w:rsidRDefault="00163957" w:rsidP="00163957">
      <w:pPr>
        <w:pStyle w:val="TextoNormal"/>
      </w:pPr>
      <w:r>
        <w:t>La doctrina acerca del art. 6.2 LOFCA ha sido recogida en numerosas resoluciones de este Tribunal, entre otras muchas, las SSTC 122/2012, de 5 de junio (sobre el impuesto sobre grandes establecimientos comerciales de Cataluña), 210/2012, de 14 de noviembre (sobre el impuesto sobre depósitos bancarios de Extremadura), o, más recientemente, en las SSTC 30/2015, de 19 de febrero; 107/2015, 108/2015 y 111/2015, todas de 28 de mayo, y 202/2015, de 24 de septiembre, todas ellas referidas a diferentes impuestos autonómicos sobre depósitos en entidades de crédito.</w:t>
      </w:r>
    </w:p>
    <w:p w:rsidR="00163957" w:rsidRDefault="00163957" w:rsidP="00163957">
      <w:pPr>
        <w:pStyle w:val="TextoNormal"/>
      </w:pPr>
    </w:p>
    <w:p w:rsidR="00163957" w:rsidRDefault="00163957" w:rsidP="00163957">
      <w:pPr>
        <w:pStyle w:val="TextoNormal"/>
      </w:pPr>
      <w:r>
        <w:t>En este cuerpo doctrinal, que debe darse aquí por reproducido, hemos establecido que, para determinar si un impuesto autonómico es contrario al art. 6.2 LOFCA, por recaer sobre un hecho imponible gravado por el Estado, deben compararse ambas figuras tributarias partiendo siempre del examen del hecho imponible, pero analizando también los restantes elementos del tributo que se encuentran conectados con éste: sujetos pasivos, base imponible, y demás elementos de cuantificación del hecho imponible, como la cuota tributaria o los supuestos de exención.</w:t>
      </w:r>
    </w:p>
    <w:p w:rsidR="00163957" w:rsidRDefault="00163957" w:rsidP="00163957">
      <w:pPr>
        <w:pStyle w:val="TextoNormal"/>
      </w:pPr>
    </w:p>
    <w:p w:rsidR="00163957" w:rsidRDefault="00163957" w:rsidP="00163957">
      <w:pPr>
        <w:pStyle w:val="TextoNormal"/>
      </w:pPr>
      <w:r>
        <w:t>En definitiva, para apreciar la coincidencia o no entre hechos imponibles, que es lo prohibido en el art. 6 LOFCA, se hace preciso atender a los elementos esenciales de los tributos que se confrontan, al objeto de determinar no sólo la riqueza gravada o materia imponible, que es el punto de partida de toda norma tributaria, sino la manera en que dicha riqueza o fuente de capacidad económica es sometida a gravamen en la estructura del tributo [SSTC 210/2012, FJ 4; y 53/2014, de 10 de abril, FJ 3 a)]. En este examen debe tenerse en todo caso presente que cabe gravar desde distintas perspectivas la misma actividad, como también reiteramos, por ejemplo, en la STC 210/2012 (al comparar el impuesto sobre depósitos establecido por la Comunidad de Extremadura y el impuesto sobre actividades económicas). Y ello porque, como tantas veces hemos reiterado, “habida cuenta de que la realidad económica en sus diferentes manifestaciones está toda ella virtualmente cubierta por tributos estatales, ello conduciría ... a negar en la práctica la posibilidad de que se creen, al menos, por el momento, nuevos impuestos autonómicos” (STC 37/1987, de 26 de marzo, FJ 14). En razón de esta premisa, la interpretación de los límites contenidos en el art. 6 LOFCA deberá respetar la existencia de un espacio fiscal propio de las Comunidades Autónomas y, en particular, tener en cuenta las competencias en materia tributaria asumidas por las Comunidades Autónomas, y en concreto, por la Comunidad Autónoma de Cataluña en virtud del art. 203.5 de su Estatuto de Autonomía. Ahora bien, todo ello teniendo en cuenta que las prohibiciones de equivalencia lo que pretenden evitar es, en suma, que se produzcan dobles imposiciones no coordinadas, garantizando de esta manera que el ejercicio de poder tributario por los distintos niveles territoriales sea compatible con la existencia de “un sistema” tributario en los términos exigidos por el art. 31.1 CE [entre otras, SSTC 19/1987, de 17 de febrero, FJ 4; 19/2012, de 15 de febrero, FJ 3 b); 210/2012, FJ 4; y 53/2014, FJ 3 a)].</w:t>
      </w:r>
    </w:p>
    <w:p w:rsidR="00163957" w:rsidRDefault="00163957" w:rsidP="00163957">
      <w:pPr>
        <w:pStyle w:val="TextoNormal"/>
      </w:pPr>
    </w:p>
    <w:p w:rsidR="00163957" w:rsidRDefault="00163957" w:rsidP="00163957">
      <w:pPr>
        <w:pStyle w:val="TextoNormal"/>
      </w:pPr>
      <w:r>
        <w:t xml:space="preserve">Asimismo, entre los elementos a comparar entre los tributos en liza se encuentra lógicamente la posible concurrencia de fines extrafiscales en el tributo o, en alguno de sus elementos. Ahora bien, para que dicha finalidad extrafiscal pueda tener consecuencias en la </w:t>
      </w:r>
      <w:r>
        <w:lastRenderedPageBreak/>
        <w:t>comparación no bastará con que el correspondiente preámbulo de la norma declare dicho objetivo, sino que es preciso que dicha finalidad encuentre efectivamente reflejo en los elementos centrales de la estructura del tributo (SSTC 289/2000, de 30 de noviembre, FJ 5; y 122/2012, FJ 4, entre otras). Por ello, el dato de que la recaudación prevista por el tributo se encuentre afectada a una finalidad en concreto puede tener relevancia en el examen de equivalencia, si bien en términos sólo relativos, pues tal afectación “no es más que uno de los varios indicios —y no precisamente el más importante— a tener en cuenta a la hora de calificar la verdadera naturaleza del tributo, esto es, de determinar si en el tributo autonómico prima el carácter contributivo o una finalidad extrafiscal” [STC 53/2014, FJ 6 c); con cita de las SSTC 179/2006, FJ 10, y 60/2013, FJ 5].</w:t>
      </w:r>
    </w:p>
    <w:p w:rsidR="00163957" w:rsidRDefault="00163957" w:rsidP="00163957">
      <w:pPr>
        <w:pStyle w:val="TextoNormal"/>
      </w:pPr>
    </w:p>
    <w:p w:rsidR="00163957" w:rsidRDefault="00163957" w:rsidP="00163957">
      <w:pPr>
        <w:pStyle w:val="TextoNormal"/>
      </w:pPr>
      <w:r>
        <w:t>Con carácter general, pueden calificarse de extrafiscales aquellos tributos que persigan, bien disuadir o desincentivar actividades que se consideren nocivas (por ejemplo, para el medio ambiente), bien, en sentido positivo, estimular actuaciones protectoras de determinada finalidad, todo ello sin perjuicio de que la citada finalidad extrafiscal no es incompatible con un propósito recaudatorio, ya que, como reiteramos en la STC 53/2014, de 10 de abril, FJ 6 c), “de la misma manera que los tributos propiamente recaudatorios, pueden perseguir y de hecho persiguen en la práctica otras finalidades extrafiscales, [STC 19/2012, de 15 de febrero, FJ 3 a)], difícilmente habrá impuestos extrafiscales químicamente puros, pues en todo caso la propia noción de tributo implica que no se pueda desconocer o contradecir el principio de capacidad económica [SSTC 37/1987, de 26 de marzo, FJ 13; 221/1992, de 11 de diciembre, FJ 4)"; 53/2014, 6 c); y 60/2013, de 13 de marzo FJ 3].</w:t>
      </w:r>
    </w:p>
    <w:p w:rsidR="00163957" w:rsidRDefault="00163957" w:rsidP="00163957">
      <w:pPr>
        <w:pStyle w:val="TextoNormal"/>
      </w:pPr>
    </w:p>
    <w:p w:rsidR="00163957" w:rsidRDefault="00163957" w:rsidP="00163957">
      <w:pPr>
        <w:pStyle w:val="TextoNormal"/>
      </w:pPr>
      <w:r w:rsidRPr="00163957">
        <w:rPr>
          <w:rStyle w:val="NumeroAFNegritaCaracter"/>
        </w:rPr>
        <w:t>3</w:t>
      </w:r>
      <w:r>
        <w:t>. A partir de lo anterior, y de acuerdo con el método establecido en el examen de este tipo de controversias, debemos examinar los elementos esenciales del impuesto autonómico sobre la producción de energía eléctrica de origen nuclear, y compararlos con los del impuesto estatal sobre la producción de combustible nuclear gastado y residuos radiactivos resultantes de la generación de energía nucleoeléctrica, al objeto de comprobar si son efectivamente equivalentes, en términos que vulneran el art. 6.2 LOFCA, tal y como sostiene la demanda.</w:t>
      </w:r>
    </w:p>
    <w:p w:rsidR="00163957" w:rsidRDefault="00163957" w:rsidP="00163957">
      <w:pPr>
        <w:pStyle w:val="TextoNormal"/>
      </w:pPr>
    </w:p>
    <w:p w:rsidR="00163957" w:rsidRDefault="00163957" w:rsidP="00163957">
      <w:pPr>
        <w:pStyle w:val="TextoNormal"/>
      </w:pPr>
      <w:r>
        <w:t>a) Comenzando por el objeto, o naturaleza del impuesto, el autonómico está constituido por “la producción de energía eléctrica de origen nuclear”, de manera que pretende gravar “los riesgos por el impacto y eventual daño en el medio ambiente derivados de la actividad de producción de energía eléctrica de origen nuclear efectuada en el territorio de Cataluña” (art. 21 de la Ley 12/2014).</w:t>
      </w:r>
    </w:p>
    <w:p w:rsidR="00163957" w:rsidRDefault="00163957" w:rsidP="00163957">
      <w:pPr>
        <w:pStyle w:val="TextoNormal"/>
      </w:pPr>
    </w:p>
    <w:p w:rsidR="00163957" w:rsidRDefault="00163957" w:rsidP="00163957">
      <w:pPr>
        <w:pStyle w:val="TextoNormal"/>
      </w:pPr>
      <w:r>
        <w:t>En el caso del impuesto estatal, el art. 12 de la Ley 15/2012 establece que “[e]l impuesto sobre la producción de combustible nuclear gastado y residuos radiactivos resultantes de la generación de energía nucleoeléctrica y el impuesto sobre el almacenamiento de combustible nuclear gastado y residuos radiactivos en instalaciones centralizadas son tributos de carácter directo y naturaleza real, que gravan las actividades que, integrando su respectivo hecho imponible, se definen en los artículos 15 y 19 de esta Ley”.</w:t>
      </w:r>
    </w:p>
    <w:p w:rsidR="00163957" w:rsidRDefault="00163957" w:rsidP="00163957">
      <w:pPr>
        <w:pStyle w:val="TextoNormal"/>
      </w:pPr>
    </w:p>
    <w:p w:rsidR="00163957" w:rsidRDefault="00163957" w:rsidP="00163957">
      <w:pPr>
        <w:pStyle w:val="TextoNormal"/>
      </w:pPr>
      <w:r>
        <w:t>b) El hecho imponible del impuesto catalán lo constituye “la utilización de combustible nuclear para la producción de energía eléctrica, por el efecto que puede tener en el medio ambiente y por el daño que eventualmente puede producir en él” (art. 23 de la Ley 12/2014).</w:t>
      </w:r>
    </w:p>
    <w:p w:rsidR="00163957" w:rsidRDefault="00163957" w:rsidP="00163957">
      <w:pPr>
        <w:pStyle w:val="TextoNormal"/>
      </w:pPr>
    </w:p>
    <w:p w:rsidR="00163957" w:rsidRDefault="00163957" w:rsidP="00163957">
      <w:pPr>
        <w:pStyle w:val="TextoNormal"/>
      </w:pPr>
      <w:r>
        <w:lastRenderedPageBreak/>
        <w:t>El impuesto estatal recae sobre dos elementos, teniendo por tanto dos hechos imponibles: “[l]a producción de combustible nuclear gastado resultante de cada reactor nuclear” [art. 15.1 a) Ley 12/2014]; y “[l]a producción de residuos radiactivos resultantes de la generación de energía nucleoeléctrica” [art. 15.1 b) Ley 12/2014]. No obstante, la demanda sólo denuncia la coincidencia con el primero de los hechos imponibles.</w:t>
      </w:r>
    </w:p>
    <w:p w:rsidR="00163957" w:rsidRDefault="00163957" w:rsidP="00163957">
      <w:pPr>
        <w:pStyle w:val="TextoNormal"/>
      </w:pPr>
    </w:p>
    <w:p w:rsidR="00163957" w:rsidRDefault="00163957" w:rsidP="00163957">
      <w:pPr>
        <w:pStyle w:val="TextoNormal"/>
      </w:pPr>
      <w:r>
        <w:t>c) En cuanto a los obligados al pago del impuesto, el tributo catalán designa como sujetos pasivos a “las personas físicas o jurídicas y los entes sin personalidad jurídica a los que se refiere el artículo 35.4 de la Ley 58/2003, de 17 de diciembre, General Tributaria, que utilizan combustible nuclear para la producción de energía eléctrica” (art. 24 de la Ley 12/2014).</w:t>
      </w:r>
    </w:p>
    <w:p w:rsidR="00163957" w:rsidRDefault="00163957" w:rsidP="00163957">
      <w:pPr>
        <w:pStyle w:val="TextoNormal"/>
      </w:pPr>
    </w:p>
    <w:p w:rsidR="00163957" w:rsidRDefault="00163957" w:rsidP="00163957">
      <w:pPr>
        <w:pStyle w:val="TextoNormal"/>
      </w:pPr>
      <w:r>
        <w:t>Por su parte, el impuesto estatal recae igualmente sobre “las personas físicas o jurídicas y las entidades a que se refiere el artículo 35.4 de la Ley 58/2003, de 17 de diciembre, General Tributaria, que realicen cualquiera de las actividades señaladas en el artículo anterior” (art. 16 de la Ley 15/2012).</w:t>
      </w:r>
    </w:p>
    <w:p w:rsidR="00163957" w:rsidRDefault="00163957" w:rsidP="00163957">
      <w:pPr>
        <w:pStyle w:val="TextoNormal"/>
      </w:pPr>
    </w:p>
    <w:p w:rsidR="00163957" w:rsidRDefault="00163957" w:rsidP="00163957">
      <w:pPr>
        <w:pStyle w:val="TextoNormal"/>
      </w:pPr>
      <w:r>
        <w:t>d) Por último, resta analizar los elementos cuantitativos del impuesto, base imponible y cuota tributaria.</w:t>
      </w:r>
    </w:p>
    <w:p w:rsidR="00163957" w:rsidRDefault="00163957" w:rsidP="00163957">
      <w:pPr>
        <w:pStyle w:val="TextoNormal"/>
      </w:pPr>
    </w:p>
    <w:p w:rsidR="00163957" w:rsidRDefault="00163957" w:rsidP="00163957">
      <w:pPr>
        <w:pStyle w:val="TextoNormal"/>
      </w:pPr>
      <w:r>
        <w:t>En el caso del impuesto autonómico, “[l]a base imponible del impuesto sobre la producción de energía eléctrica de origen nuclear está constituida por el peso de combustible nuclear utilizado en el período impositivo, expresado en toneladas” (art. 26 de la Ley 12/2014). El tipo de gravamen es de 800.000 € por tonelada de combustible utilizado (art. 27 de la Ley 12/2014), siendo la cuota el resultado de aplicar dicho tipo a la base imponible (artículo 28).</w:t>
      </w:r>
    </w:p>
    <w:p w:rsidR="00163957" w:rsidRDefault="00163957" w:rsidP="00163957">
      <w:pPr>
        <w:pStyle w:val="TextoNormal"/>
      </w:pPr>
    </w:p>
    <w:p w:rsidR="00163957" w:rsidRDefault="00163957" w:rsidP="00163957">
      <w:pPr>
        <w:pStyle w:val="TextoNormal"/>
      </w:pPr>
      <w:r>
        <w:t>En el caso del impuesto estatal, la base imponible la constituyen “los kilogramos de metal pesado contenidos en el combustible nuclear gastado, entendiéndose como metal pesado el uranio y el plutonio contenidos en el mismo” (art. 17 de la Ley 15/2012); por su parte, “[l]a cuota tributaria será el resultado de aplicar a la base imponible el tipo impositivo de 2.190 euros por kilogramo de metal pesado” (artículo 1</w:t>
      </w:r>
      <w:r w:rsidRPr="00163957">
        <w:rPr>
          <w:i/>
        </w:rPr>
        <w:t>7 b</w:t>
      </w:r>
      <w:r>
        <w:t>is).</w:t>
      </w:r>
    </w:p>
    <w:p w:rsidR="00163957" w:rsidRDefault="00163957" w:rsidP="00163957">
      <w:pPr>
        <w:pStyle w:val="TextoNormal"/>
      </w:pPr>
    </w:p>
    <w:p w:rsidR="00163957" w:rsidRDefault="00163957" w:rsidP="00163957">
      <w:pPr>
        <w:pStyle w:val="TextoNormal"/>
      </w:pPr>
      <w:r>
        <w:t>e) Por lo que se refiere a las finalidades extrafiscales invocadas en los escritos de alegaciones, el impuesto autonómico declara dicha finalidad en el art. 21 de la Ley 12/2014, referido a su objeto. Asimismo, se establece en su artículo 22 la afectación parcial de los ingresos del impuesto “al efecto de atender la financiación de los medios y las actividades y actuaciones de protección civil expresamente destinadas a la disminución, el control y, si procede, la reducción de los riesgos derivados de la actividad gravada”. De su lado, el apartado segundo del mismo precepto, en la nueva redacción establecida por el art. 16 de la Ley 3/2015, de 11 de marzo, de medidas fiscales, financieras y administrativas, que no afecta a la subsistencia del objeto del presente recurso, dispone que “el 10 por 100 de la recaudación efectiva del impuesto sobre la producción de energía eléctrica de origen nuclear debe ser destinado a nutrir un fondo orientado a fomentar la reactivación económica de las zonas afectadas por actividades de producción de energía eléctrica de origen nuclear, con el fin de promover y mejorar su competitividad y su diversificación económica, de acuerdo con el desarrollo reglamentario que debe llevarse a cabo en los seis meses siguientes a la aprobación de la Ley de medidas fiscales, financieras y administrativas para el 2015”.</w:t>
      </w:r>
    </w:p>
    <w:p w:rsidR="00163957" w:rsidRDefault="00163957" w:rsidP="00163957">
      <w:pPr>
        <w:pStyle w:val="TextoNormal"/>
      </w:pPr>
    </w:p>
    <w:p w:rsidR="00163957" w:rsidRDefault="00163957" w:rsidP="00163957">
      <w:pPr>
        <w:pStyle w:val="TextoNormal"/>
      </w:pPr>
      <w:r>
        <w:t>Los preámbulos de ambas normas se refieren también a tales fines extrafiscales. En el de la Ley del Parlamento Catalán 12/2014 se señala que se grava, en esencia, el riesgo que esta fuente de energía supone, de suerte que “considerar la fuente del riesgo como elemento determinante del hecho imponible y su traslado como magnitud de la base imponible es la forma de incorporar la necesaria modulación del impuesto en términos de extrafiscalidad, según sea más o menos eficiente el proceso productivo: un uso más eficiente del combustible nuclear (menos cantidad de combustible para producir la misma energía) debe conllevar una menor cuota tributaria”.</w:t>
      </w:r>
    </w:p>
    <w:p w:rsidR="00163957" w:rsidRDefault="00163957" w:rsidP="00163957">
      <w:pPr>
        <w:pStyle w:val="TextoNormal"/>
      </w:pPr>
    </w:p>
    <w:p w:rsidR="00163957" w:rsidRDefault="00163957" w:rsidP="00163957">
      <w:pPr>
        <w:pStyle w:val="TextoNormal"/>
      </w:pPr>
      <w:r>
        <w:t>En el preámbulo de la Ley estatal 15/2012 se hace también referencia a los costes que genera la energía nuclear, concluyendo que ya que “el Estado debe aportar los recursos necesarios para mantener operativos los planes de emergencia nuclear existentes en cada una de las provincias en las que existen instalaciones nucleares… se considera adecuado el establecimiento de un gravamen sobre la producción de combustible nuclear gastado y residuos radiactivos en las centrales nucleares, así como sobre su almacenamiento en instalaciones centralizadas, al objeto de compensar a la sociedad por las cargas que debe soportar como consecuencia de dicha generación”.</w:t>
      </w:r>
    </w:p>
    <w:p w:rsidR="00163957" w:rsidRDefault="00163957" w:rsidP="00163957">
      <w:pPr>
        <w:pStyle w:val="TextoNormal"/>
      </w:pPr>
    </w:p>
    <w:p w:rsidR="00163957" w:rsidRDefault="00163957" w:rsidP="00163957">
      <w:pPr>
        <w:pStyle w:val="TextoNormal"/>
      </w:pPr>
      <w:r w:rsidRPr="00163957">
        <w:rPr>
          <w:rStyle w:val="NumeroAFNegritaCaracter"/>
        </w:rPr>
        <w:t>4</w:t>
      </w:r>
      <w:r>
        <w:t>. El examen anterior permite concluir que existe equivalencia entre ambos tributos.</w:t>
      </w:r>
    </w:p>
    <w:p w:rsidR="00163957" w:rsidRDefault="00163957" w:rsidP="00163957">
      <w:pPr>
        <w:pStyle w:val="TextoNormal"/>
      </w:pPr>
    </w:p>
    <w:p w:rsidR="00163957" w:rsidRDefault="00163957" w:rsidP="00163957">
      <w:pPr>
        <w:pStyle w:val="TextoNormal"/>
      </w:pPr>
      <w:r>
        <w:t>Comenzando con el hecho imponible, la representación procesal de la Generalitat de Cataluña insiste en que existen diferencias sustanciales entre los hechos imponibles, ya que el del impuesto estatal lo constituye el material resultante del proceso de producción de energía eléctrica termonuclear, esto es, los residuos radioactivos, no habiendo por tanto coincidencia con el tributo autonómico, que selecciona como hecho imponible el combustible nuclear que se introduce en el reactor, por el riesgo para el medio ambiente y los eventuales daños que dicha introducción y la subsiguiente reacción en cadena que genera (utilización) puede producir en el referido medio ambiente, desde su introducción hasta su extracción. Sin embargo, la lectura del art. 15 de la Ley 15/2012 permite descartar el anterior argumento, toda vez que regula dos hechos imponibles diferentes; el primero, que aquí interesa, es la propia producción de combustible nuclear gastado resultante de cada reactor nuclear. Y el segundo, recogido en la letra b) del mismo precepto e inciso, la producción de residuos radiactivos resultantes de la generación de energía nucleoeléctrica. Es decir, el impuesto estatal grava tanto la producción de combustible como los residuos, de lo que resulta la citada coincidencia, en lo que se refiere al primero de los hechos imponibles, con el impuesto autonómico. El hecho de que el impuesto estatal grave, además, la producción de residuos radioactivos, no obstaculiza la conclusión alcanzada de coincidencia de hechos imponibles.</w:t>
      </w:r>
    </w:p>
    <w:p w:rsidR="00163957" w:rsidRDefault="00163957" w:rsidP="00163957">
      <w:pPr>
        <w:pStyle w:val="TextoNormal"/>
      </w:pPr>
    </w:p>
    <w:p w:rsidR="00163957" w:rsidRDefault="00163957" w:rsidP="00163957">
      <w:pPr>
        <w:pStyle w:val="TextoNormal"/>
      </w:pPr>
      <w:r>
        <w:t xml:space="preserve">La diferencia estriba así entre el combustible “utilizado” y el “gastado”, que no basta para sustentar la disimilitud de hechos imponibles, pues la “utilización” del combustible a que hace referencia el impuesto autonómico, dentro del proceso de producción de energía eléctrica de origen nuclear, no implica otra cosa que “producción” de combustible gastado, habida cuenta la inseparabilidad, en el proceso, de la utilización de combustible nuclear, por un lado, de la producción, por su utilización, de combustible nuclear “gastado”, por otro. En suma, la utilización de combustible nuclear en el proceso de producción de energía eléctrica produce, inevitablemente, combustible nuclear gastado, pues éste no es sino el resultado del combustible nuclear utilizado. La conclusión es que en ambos tributos el hecho imponible </w:t>
      </w:r>
      <w:r>
        <w:lastRenderedPageBreak/>
        <w:t>consiste en la utilización de la energía nuclear para generar energía eléctrica. El hecho de que el autonómico se refiera al gasto o utilización de combustible nuclear para la producción, mientras que el estatal mencione la producción del combustible, no impide la conclusión de coincidencia, ya que, a la luz del proceso de producción que se expone en los propios escritos de las partes, parece claro que en ambos casos es preciso que el combustible nuclear sea gastado. En suma, lo que se sujeta a gravamen, en ambos tributos, es la utilización de combustible.</w:t>
      </w:r>
    </w:p>
    <w:p w:rsidR="00163957" w:rsidRDefault="00163957" w:rsidP="00163957">
      <w:pPr>
        <w:pStyle w:val="TextoNormal"/>
      </w:pPr>
    </w:p>
    <w:p w:rsidR="00163957" w:rsidRDefault="00163957" w:rsidP="00163957">
      <w:pPr>
        <w:pStyle w:val="TextoNormal"/>
      </w:pPr>
      <w:r>
        <w:t>Constatada una razonable equivalencia entre las normas que definen los hechos imponibles, para concluir la equivalencia entre ambos tributos en términos contrarios al art. 6.2 LOFCA, es preciso verificar que la misma se produce, además, en los elementos de cuantificación de dichos hechos imponibles.</w:t>
      </w:r>
    </w:p>
    <w:p w:rsidR="00163957" w:rsidRDefault="00163957" w:rsidP="00163957">
      <w:pPr>
        <w:pStyle w:val="TextoNormal"/>
      </w:pPr>
    </w:p>
    <w:p w:rsidR="00163957" w:rsidRDefault="00163957" w:rsidP="00163957">
      <w:pPr>
        <w:pStyle w:val="TextoNormal"/>
      </w:pPr>
      <w:r>
        <w:t>Comenzando por el examen de la base imponible, que constituye la medida de la realización del hecho imponible, la similitud entre ambas figuras resulta también evidente. Como ha quedado expuesto, si el impuesto autonómico establece como base imponible “el peso de combustible nuclear utilizado… expresado en toneladas” (art. 26 de la Ley 12/2014), el impuesto estatal fija la base en “los kilogramos de metal pesado contenidos en el combustible nuclear gastado, entendiéndose como metal pesado el uranio y el plutonio contenidos en el mismo” (art. 17 de la Ley 15/2012). En ambos impuestos, la base imponible la constituye el peso del combustible nuclear gastado, medido en toneladas en el caso del impuesto catalán y en kilogramos de metal pesado en el caso del impuesto estatal.</w:t>
      </w:r>
    </w:p>
    <w:p w:rsidR="00163957" w:rsidRDefault="00163957" w:rsidP="00163957">
      <w:pPr>
        <w:pStyle w:val="TextoNormal"/>
      </w:pPr>
    </w:p>
    <w:p w:rsidR="00163957" w:rsidRDefault="00163957" w:rsidP="00163957">
      <w:pPr>
        <w:pStyle w:val="TextoNormal"/>
      </w:pPr>
      <w:r>
        <w:t xml:space="preserve">Hay además identidad en los tipos impositivos, de 800.000 €/tonelada en el caso del impuesto catalán (art. 27 de la Ley 12/2014) y de 2.190 €/kg de metal pesado (art. 17 </w:t>
      </w:r>
      <w:r w:rsidRPr="00163957">
        <w:rPr>
          <w:i/>
        </w:rPr>
        <w:t>bis</w:t>
      </w:r>
      <w:r>
        <w:t xml:space="preserve"> de la Ley 15/2012) en el caso del impuesto estatal.</w:t>
      </w:r>
    </w:p>
    <w:p w:rsidR="00163957" w:rsidRDefault="00163957" w:rsidP="00163957">
      <w:pPr>
        <w:pStyle w:val="TextoNormal"/>
      </w:pPr>
    </w:p>
    <w:p w:rsidR="00163957" w:rsidRDefault="00163957" w:rsidP="00163957">
      <w:pPr>
        <w:pStyle w:val="TextoNormal"/>
      </w:pPr>
      <w:r>
        <w:t>En este caso, en los términos examinados, la coincidencia entre los elementos esenciales permite concluir no sólo que se grava la misma actividad, sino que se hace también desde la misma perspectiva, sin que obste a la anterior conclusión la parcial afectación de su recaudación a la necesidad de financiar actuaciones de protección civil que, en todo caso, sería esencialmente coincidente en ambos tributos. No se trata ahora, como se afirma en el escrito de la representación procesal de la Generalitat de Cataluña, de un supuesto similar al decidido en la STC 60/2013, FJ 4, en el que se descartó la inconstitucionalidad del impuesto sobre determinadas actividades que inciden en el medio ambiente, en su modalidad de gravamen sobre las “actividades cuyas instalaciones emiten a la atmósfera dióxido de azufre, dióxido de nitrógeno o cualquier otro compuesto oxigenado del azufre o del nitrógeno” previsto en el art. 2.1 a) de la Ley de las Cortes de Castilla-La Mancha 16/2005. Allí establecimos, efectivamente, que cabe gravar la misma actividad desde dos perspectivas diferentes, concluyendo que no había coincidencia entre el tributo autonómico y el impuesto especial sobre la electricidad, regulado por la Ley 38/1992 de impuestos especiales.</w:t>
      </w:r>
    </w:p>
    <w:p w:rsidR="00163957" w:rsidRDefault="00163957" w:rsidP="00163957">
      <w:pPr>
        <w:pStyle w:val="TextoNormal"/>
      </w:pPr>
    </w:p>
    <w:p w:rsidR="00163957" w:rsidRDefault="00163957" w:rsidP="00163957">
      <w:pPr>
        <w:pStyle w:val="TextoNormal"/>
      </w:pPr>
      <w:r>
        <w:t xml:space="preserve">No sucede así en el presente caso, en el que a partir de lo expuesto debemos concluir que las citadas coincidencias sustanciales, en los elementos esenciales de ambos impuestos, suponen la vulneración de los arts. 133.2 y 157.3 CE, así como del art. 6.2 LOFCA, por lo que debe declararse la inconstitucionalidad y nulidad de los arts. 1.1 c) y 21 a) 30 de la Ley del Parlamento de Cataluña 12/2014, de 10 de octubre, del impuesto sobre la emisión de óxidos </w:t>
      </w:r>
      <w:r>
        <w:lastRenderedPageBreak/>
        <w:t>de nitrógeno a la atmósfera producida por la aviación comercial, del impuesto sobre la emisión de gases y partículas a la atmósfera producida por la industria y del impuesto sobre la producción de energía eléctrica de origen nuclear.</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inconstitucionalidad y en consecuencia:</w:t>
      </w:r>
    </w:p>
    <w:p w:rsidR="00163957" w:rsidRDefault="00163957" w:rsidP="00163957">
      <w:pPr>
        <w:pStyle w:val="TextoNormal"/>
      </w:pPr>
    </w:p>
    <w:p w:rsidR="00163957" w:rsidRDefault="00163957" w:rsidP="00163957">
      <w:pPr>
        <w:pStyle w:val="TextoNormal"/>
      </w:pPr>
      <w:r>
        <w:t>Declarar la inconstitucionalidad y consiguiente nulidad de los arts. 1.1 c); y 21 a 30 de la Ley del Parlamento de Cataluña 12/2014, de 10 de octubre, del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catorce de abril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Juan Antonio Xiol Ríos a la Sentencia dictada en el recurso de inconstitucionalidad núm. 4292-2015.</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en la que se sustenta la Sentencia, manifiesto mi discrepancia con la fundamentación jurídica y con el fallo, que considero que hubiera debido ser desestimatorio.</w:t>
      </w:r>
    </w:p>
    <w:p w:rsidR="00163957" w:rsidRDefault="00163957" w:rsidP="00163957">
      <w:pPr>
        <w:pStyle w:val="TextoNormal"/>
      </w:pPr>
    </w:p>
    <w:p w:rsidR="00163957" w:rsidRDefault="00163957" w:rsidP="00163957">
      <w:pPr>
        <w:pStyle w:val="TextoNormal"/>
      </w:pPr>
      <w:r>
        <w:t>1. La opinión mayoritaria en la que se sustenta la Sentencia justifica la inconstitucionalidad del impuesto sobre la producción de energía eléctrica de origen nuclear establecido como tributo propio por la Comunidad Autónoma de Cataluña —mediante la Ley 12/2014, de 10 de octubre— en que al fijar un hecho imponible idéntico al del impuesto estatal sobre la producción de combustible nuclear gastado y residuos radiactivos resultantes de la generación de energía nucleoeléctrica, regulado en la Ley 15/2012, de 27 de diciembre, de medidas fiscales para la sostenibilidad energética, se infringe el art. 6.2 de la Ley Orgánica 8/1980, de 22 de septiembre, de financiación de las comunidades autónomas (LOFCA).</w:t>
      </w:r>
    </w:p>
    <w:p w:rsidR="00163957" w:rsidRDefault="00163957" w:rsidP="00163957">
      <w:pPr>
        <w:pStyle w:val="TextoNormal"/>
      </w:pPr>
    </w:p>
    <w:p w:rsidR="00163957" w:rsidRDefault="00163957" w:rsidP="00163957">
      <w:pPr>
        <w:pStyle w:val="TextoNormal"/>
      </w:pPr>
      <w:r>
        <w:t xml:space="preserve">Mi discrepancia con este razonamiento radica en que (i) el análisis que debe proyectarse sobre este tipo de supuestos no puede ser tan pretendidamente mecánico como para limitarse a una mera confrontación de hechos imponibles. Desde una perspectiva constitucional, resulta necesario trascender a otros elementos que forman parte esencial de la configuración de la organización territorial del Estado diseñada en el título VIII de la Constitución. Además, (ii) no puedo compartir las reticencias respecto de la plena asunción de la protección medioambiental como una finalidad extrafiscal constitucionalmente legítima y de primera magnitud en la configuración del poder tributario autonómico. En relación con ello, (iii) no aprecio esa supuesta identidad formal y material entre los elementos del tributo estatal, que </w:t>
      </w:r>
      <w:r>
        <w:lastRenderedPageBreak/>
        <w:t>se ha establecido como elemento de comparación, y el autonómico objeto de impugnación, habida cuenta de la primordial finalidad extrafiscal de protección medioambiental del tributo autonómico que aparece reflejada en sus elementos estructurales.</w:t>
      </w:r>
    </w:p>
    <w:p w:rsidR="00163957" w:rsidRDefault="00163957" w:rsidP="00163957">
      <w:pPr>
        <w:pStyle w:val="TextoNormal"/>
      </w:pPr>
    </w:p>
    <w:p w:rsidR="00163957" w:rsidRDefault="00163957" w:rsidP="00163957">
      <w:pPr>
        <w:pStyle w:val="TextoNormal"/>
      </w:pPr>
      <w:r>
        <w:t>(i) La configuración constitucional de la autonomía financiera de las comunidades autónomas y los conflictos competenciales por la eventual identidad de hechos imponibles.</w:t>
      </w:r>
    </w:p>
    <w:p w:rsidR="00163957" w:rsidRDefault="00163957" w:rsidP="00163957">
      <w:pPr>
        <w:pStyle w:val="TextoNormal"/>
      </w:pPr>
    </w:p>
    <w:p w:rsidR="00163957" w:rsidRDefault="00163957" w:rsidP="00163957">
      <w:pPr>
        <w:pStyle w:val="TextoNormal"/>
      </w:pPr>
      <w:r>
        <w:t>2. La autonomía política sin autonomía financiera es una quimera. La Constitución española tomó una decidida apuesta por conformar a España en un Estado que “reconoce y garantiza el derecho a la autonomía de las nacionalidades y regiones que la integran y la solidaridad entre todas ellas” (art. 2 CE), estableciendo que el ejercicio de ese derecho a la autonomía implica el acceso al autogobierno de las comunidades autónomas (art. 143.1 CE), para lo que gozan “de autonomía para la gestión de sus respectivos intereses” (art. 137 CE). La efectividad material de ese diseño territorial solo puede entenderse con el necesario complemento instrumental que supone la garantía establecida en el art. 156.1 CE de que “[l]as Comunidades Autónomas gozarán de autonomía financiera para el desarrollo y ejecución de sus competencias…” y con la constitucionalización de sus recursos financieros, entre los que se incluyen la posibilidad de establecer “[s]us propios tributos, tasas y contribuciones especiales" [art. 157.1 b) CE].</w:t>
      </w:r>
    </w:p>
    <w:p w:rsidR="00163957" w:rsidRDefault="00163957" w:rsidP="00163957">
      <w:pPr>
        <w:pStyle w:val="TextoNormal"/>
      </w:pPr>
    </w:p>
    <w:p w:rsidR="00163957" w:rsidRDefault="00163957" w:rsidP="00163957">
      <w:pPr>
        <w:pStyle w:val="TextoNormal"/>
      </w:pPr>
      <w:r>
        <w:t>La relevancia de las competencias que el art. 148 CE reserva a las comunidades autónomas en la configuración de las prestaciones de servicios que la Constitución garantiza a todos los ciudadanos como función propia de un Estado social y democrático de Derecho (art. 1.1 CE), no podría por menos que tener como correlato constitucional la imposición al Estado central de un deber de tolerar un espacio de singular holgura para que las comunidades autónomas puedan obtener recursos financieros para el ejercicio de esas importantes competencias. A partir de ello, el único límite constitucionalizado a ese poder tributario originario de las comunidades autónomas viene establecido por “los principios de coordinación con la Hacienda estatal y de solidaridad entre todos los españoles” (156.1 CE); por la prohibición de “adoptar medidas tributarias sobre bienes situados fuera de su territorio o que supongan un obstáculo para la libre circulación de mercancías o servicios” (art. 157.2 CE); y, lógicamente, por las exigencias del art. 31.1 CE de los principios de capacidad económica, igualdad, progresividad y prohibición de alcance confiscatorio, y la necesidad de que el ejercicio de poder tributario por los distintos niveles territoriales sea compatible con la existencia de “un sistema tributario”.</w:t>
      </w:r>
    </w:p>
    <w:p w:rsidR="00163957" w:rsidRDefault="00163957" w:rsidP="00163957">
      <w:pPr>
        <w:pStyle w:val="TextoNormal"/>
      </w:pPr>
    </w:p>
    <w:p w:rsidR="00163957" w:rsidRDefault="00163957" w:rsidP="00163957">
      <w:pPr>
        <w:pStyle w:val="TextoNormal"/>
      </w:pPr>
      <w:r>
        <w:t xml:space="preserve">3. Ciertamente, el art. 157.3 CE establece que mediante ley orgánica podrá regularse el ejercicio de las competencias financieras autonómicas y las normas para resolver los conflictos que pudieran surgir y las posibles formas de colaboración financiera entre las comunidades autónomas y el Estado. En atención a ello, la Ley Orgánica de financiación de las Comunidades Autónomas ha venido siendo considerada por la jurisprudencia constitucional una norma que, integrando el bloque de la constitucionalidad, delimita las competencias financieras autonómicas (entre otras, STC 30/2015, de 19 de febrero, FJ 3). Ahora bien, el contenido del art. 6.2 LOFCA, que prohíbe que las comunidades autónomas establezcan tributos que recaigan sobre hechos imponibles gravados por el Estado —como también el del art. 6.3 LOFCA, que establece esa misma prohibición en relación con los tributos locales—, si bien es un parámetro de control de constitucionalidad, por formar parte del bloque de la constitucionalidad, no deja de ser una norma desarrollada por el poder constituido. Por </w:t>
      </w:r>
      <w:r>
        <w:lastRenderedPageBreak/>
        <w:t>tanto, la interpretación del art. 6.2 LOFCA y el control de constitucionalidad que deriva del mismo debe hacerse atendiendo de manera principal al espíritu de respeto a la autonomía financiera que el poder constituyente otorgó a las comunidades autónomas para evitar que el ejercicio de sus competencias quedara mediatizado y vaciado de contenido por el eventual control que sobre su capacidad tributaria pudiera desarrollar el Estado central bien a través de la creación de tributos estatales bien a través de la creación de tributos locales.</w:t>
      </w:r>
    </w:p>
    <w:p w:rsidR="00163957" w:rsidRDefault="00163957" w:rsidP="00163957">
      <w:pPr>
        <w:pStyle w:val="TextoNormal"/>
      </w:pPr>
    </w:p>
    <w:p w:rsidR="00163957" w:rsidRDefault="00163957" w:rsidP="00163957">
      <w:pPr>
        <w:pStyle w:val="TextoNormal"/>
      </w:pPr>
      <w:r>
        <w:t>A esos efectos, en el diseño constitucional originario, la cuestión controvertida en este recurso de inconstitucionalidad —como también en otros muchos de similares características, sobre una eventual identidad de hechos imponibles con otros tributos estatales establecida en el art. 6.2 LOFCA— solo adquiere una eventual relevancia constitucional a través de la conjunción de los principios de coordinación con la Hacienda estatal del art. 156.1 CE, y de capacidad económica y prohibición del alcance confiscatorio del art. 31.1 CE, en la medida en que una descoordinada duplicidad tributaria pudiera implicar una carga tributaria desproporcionada.</w:t>
      </w:r>
    </w:p>
    <w:p w:rsidR="00163957" w:rsidRDefault="00163957" w:rsidP="00163957">
      <w:pPr>
        <w:pStyle w:val="TextoNormal"/>
      </w:pPr>
    </w:p>
    <w:p w:rsidR="00163957" w:rsidRDefault="00163957" w:rsidP="00163957">
      <w:pPr>
        <w:pStyle w:val="TextoNormal"/>
      </w:pPr>
      <w:r>
        <w:t>4. Entiendo que ese fue el espíritu que informa la antigua jurisprudencia del Tribunal sobre el particular cuando en la configuración de la organización territorial del Estado, la Constitución, los Estatutos de Autonomía y otras normas constitutivas del bloque de la constitucionalidad en la materia se consideraban un marco dinámico en el que desarrollar esas relaciones organizativas, y no, como parece estar consolidándose en la última jurisprudencia generada por el Tribunal, un corsé estático limitativo que aparentemente favorece soluciones recentralizadoras, alejadas de la satisfacción de las legítimas expectativas evolutivas de las nacionalidades y regiones que componen el Estado español en cuanto a las posibilidades de suficiencia financiera para afrontar el costo de prestaciones sociales expansivas coherentes con los estándares de un Estado social y del bienestar cada vez más exigentes.</w:t>
      </w:r>
    </w:p>
    <w:p w:rsidR="00163957" w:rsidRDefault="00163957" w:rsidP="00163957">
      <w:pPr>
        <w:pStyle w:val="TextoNormal"/>
      </w:pPr>
    </w:p>
    <w:p w:rsidR="00163957" w:rsidRDefault="00163957" w:rsidP="00163957">
      <w:pPr>
        <w:pStyle w:val="TextoNormal"/>
      </w:pPr>
      <w:r>
        <w:t>En ese sentido, me parece necesario asumir no solo las palabras reproducidas de una manera ritual, como puede pensarse, en mi opinión, que ocurre en la más reciente jurisprudencia, sino también el profundo fundamento de respeto a la autonomía del poder tributario autonómico de la inicial jurisprudencia constitucional en la materia, representada por resoluciones como la STC 37/1987, de 26 de marzo, relativa a la creación del impuesto sobre tierras infrautilizadas, que el marco de la Ley 8/1984, de 3 de julio, de reforma agraria de Andalucía; después reproducida en la STC 186/1993, de 7 de junio, en relación con el impuesto de dehesas calificadas en deficiente aprovechamiento de la Ley 1/1986, de 2 de mayo, de regulación de las dehesas de Extremadura.</w:t>
      </w:r>
    </w:p>
    <w:p w:rsidR="00163957" w:rsidRDefault="00163957" w:rsidP="00163957">
      <w:pPr>
        <w:pStyle w:val="TextoNormal"/>
      </w:pPr>
    </w:p>
    <w:p w:rsidR="00163957" w:rsidRDefault="00163957" w:rsidP="00163957">
      <w:pPr>
        <w:pStyle w:val="TextoNormal"/>
      </w:pPr>
      <w:r>
        <w:t xml:space="preserve">En la STC 37/1987 se contenían afirmaciones, en relación con la interpretación del art. 6.2 LOFCA y con el control de constitucionalidad que de él se derivaba, que inciden en aspectos como que (i) “el art. 6.2 LOFCA no tiene por objeto impedir a las Comunidades Autónomas que establezcan tributos propios sobre objetos materiales o fuentes impositivas ya gravadas por el Estado, porque, habida cuenta de que la realidad económica en sus diferentes manifestaciones está toda ella virtualmente cubierta por tributos estatales, ello conduciría … a negar en la práctica la posibilidad de que se creen, al menos, por el momento, nuevos impuestos autonómicos. Lo que el art. 6.2 prohíbe, en sus propios términos, es la duplicidad de hechos imponibles, estrictamente” (FJ 14); o que (ii) en la determinación de si la función extrafiscal de los tributos tiene o no lícito acomodo en el ámbito del poder tributario autonómico, “[l]a respuesta ha de ser también afirmativa. Pues, en efecto, ni en la </w:t>
      </w:r>
      <w:r>
        <w:lastRenderedPageBreak/>
        <w:t>Constitución ni en la LOFCA existe precepto alguno que prohíba a las Comunidades Autónomas actuar su potestad tributaria —y, en concreto, su poder de imposición— en relación con la consecución de objetivos no fiscales. Antes bien, la Constitución concede autonomía financiera a las Comunidades Autónomas ‘para el desarrollo y ejecución de sus competencias’ (art. 156.1), lo que permite admitir la facultad de aquéllas para utilizar también el instrumento fiscal —como parte integrante de su autonomía financiera— en la ejecución y desarrollo de todas las competencias que hayan asumido en sus respectivos Estatutos de Autonomía y respecto de las cuales dicha utilización sea necesaria” (FJ 13).</w:t>
      </w:r>
    </w:p>
    <w:p w:rsidR="00163957" w:rsidRDefault="00163957" w:rsidP="00163957">
      <w:pPr>
        <w:pStyle w:val="TextoNormal"/>
      </w:pPr>
    </w:p>
    <w:p w:rsidR="00163957" w:rsidRDefault="00163957" w:rsidP="00163957">
      <w:pPr>
        <w:pStyle w:val="TextoNormal"/>
      </w:pPr>
      <w:r>
        <w:t>A ello es preciso añadir la jurisprudencia constitucional que, en desarrollo de lo anterior, ha precisado que la comprobación de la identidad de hechos impositivos a la que explícitamente se refiere el art. 6.2 LOFCA no puede hacerse estrictamente sobre ese elemento normativo tributario sino en comparación con todos los elementos esenciales de los tributos que se confrontan, incluyendo la posible concurrencia de fines extrafiscales en el tributo o en alguno de sus elementos (por ejemplo, STC 12272012, de 5 de junio, FJ 4).</w:t>
      </w:r>
    </w:p>
    <w:p w:rsidR="00163957" w:rsidRDefault="00163957" w:rsidP="00163957">
      <w:pPr>
        <w:pStyle w:val="TextoNormal"/>
      </w:pPr>
    </w:p>
    <w:p w:rsidR="00163957" w:rsidRDefault="00163957" w:rsidP="00163957">
      <w:pPr>
        <w:pStyle w:val="TextoNormal"/>
      </w:pPr>
      <w:r>
        <w:t>5. En conclusión, me parece preciso que en el análisis de controversias constitucionales como la que se plantea en el presente recurso de inconstitucionalidad se abandone el acrítico mecanicismo comparativo entre hechos imponibles, en el que a mi juicio se incurre por parte de la opinión mayoritaria en la que se sustenta la Sentencia, y, retomando el espíritu de la antigua jurisprudencia constitucional, se proceda a realizar esa labor comparativa vinculada con el fundamento del reconocimiento constitucional originario del poder tributario autonómico. En ese marco, me parece que son determinantes dos principios: (i) el carácter restrictivo con el que debe ser analizada la presunta identidad de hechos tributarios en aras de evitar un vaciamiento del poder tributario autonómico; y (ii) la prestación de una especial atención en ese análisis comparativo a las eventuales finalidades extrafiscales y de satisfacción de competencias propias del poder autonómico.</w:t>
      </w:r>
    </w:p>
    <w:p w:rsidR="00163957" w:rsidRDefault="00163957" w:rsidP="00163957">
      <w:pPr>
        <w:pStyle w:val="TextoNormal"/>
      </w:pPr>
    </w:p>
    <w:p w:rsidR="00163957" w:rsidRDefault="00163957" w:rsidP="00163957">
      <w:pPr>
        <w:pStyle w:val="TextoNormal"/>
      </w:pPr>
      <w:r>
        <w:t>A partir de ello, me concentro a continuación en un aspecto apenas abordado por la opinión mayoritaria en la que se sustenta la Sentencia y que, sin embargo, me parece central para analizar con la debida perspectiva constitucional la cuestión que plantea este recurso: la prevalencia de finalidades extrafiscales medioambientales en el tributo impugnado frente a otros fines del tributo estatal de contraste.</w:t>
      </w:r>
    </w:p>
    <w:p w:rsidR="00163957" w:rsidRDefault="00163957" w:rsidP="00163957">
      <w:pPr>
        <w:pStyle w:val="TextoNormal"/>
      </w:pPr>
    </w:p>
    <w:p w:rsidR="00163957" w:rsidRDefault="00163957" w:rsidP="00163957">
      <w:pPr>
        <w:pStyle w:val="TextoNormal"/>
      </w:pPr>
      <w:r>
        <w:t>(ii) La protección medioambiental como una finalidad extrafiscal constitucionalmente legítima y de primera magnitud en la configuración del poder tributario autonómico.</w:t>
      </w:r>
    </w:p>
    <w:p w:rsidR="00163957" w:rsidRDefault="00163957" w:rsidP="00163957">
      <w:pPr>
        <w:pStyle w:val="TextoNormal"/>
      </w:pPr>
    </w:p>
    <w:p w:rsidR="00163957" w:rsidRDefault="00163957" w:rsidP="00163957">
      <w:pPr>
        <w:pStyle w:val="TextoNormal"/>
      </w:pPr>
      <w:r>
        <w:t>6. Ya expuse en el Voto particular formulado a la STC 53/2016, de 17 de marzo, mi preocupación por la trivialización en que, a mi juicio, incurre la reciente jurisprudencia constitucional del derecho al medio ambiente consagrado en el art. 45 CE. Nuevamente debo insistir en esa inquietud. El art. 45 CE impone al Estado que en la protección al medio ambiente se acuda al instrumento más radical con el que cuenta, como es su poder sancionador, apelando incluso a las sanciones penales (art. 45.3 CE). En coherencia con ello, no puedo compartir una lectura de la Constitución que no asuma la posibilidad de que el poder tributario, incluido el autonómico, intervenga como un instrumento más de protección medioambiental.</w:t>
      </w:r>
    </w:p>
    <w:p w:rsidR="00163957" w:rsidRDefault="00163957" w:rsidP="00163957">
      <w:pPr>
        <w:pStyle w:val="TextoNormal"/>
      </w:pPr>
    </w:p>
    <w:p w:rsidR="00163957" w:rsidRDefault="00163957" w:rsidP="00163957">
      <w:pPr>
        <w:pStyle w:val="TextoNormal"/>
      </w:pPr>
      <w:r>
        <w:lastRenderedPageBreak/>
        <w:t>La sensibilidad mostrada por la jurisprudencia constitucional hacia la utilización del instrumento tributario en el cumplimiento de esa finalidad de protección medioambiental ha sido escasa y se ha vinculado exclusivamente con la acreditación de un daño real medioambiental y no de un riesgo potencial. El análisis de los diferentes pronunciamientos del Tribunal cuando se han planteado cuestiones relativas a impuestos autonómicos con finalidades extrafiscales medioambientales evidencia, a mi juicio, esa falta de sensibilidad, pero no la tan absoluta desatención que se ha puesto de manifiesto en este ocasión en la opinión mayoritaria en la que se sustenta la Sentencia.</w:t>
      </w:r>
    </w:p>
    <w:p w:rsidR="00163957" w:rsidRDefault="00163957" w:rsidP="00163957">
      <w:pPr>
        <w:pStyle w:val="TextoNormal"/>
      </w:pPr>
    </w:p>
    <w:p w:rsidR="00163957" w:rsidRDefault="00163957" w:rsidP="00163957">
      <w:pPr>
        <w:pStyle w:val="TextoNormal"/>
      </w:pPr>
      <w:r>
        <w:t>7. La STC 289/2000, de 30 de noviembre, declaró la nulidad de la Ley del Parlamento de las Islas Baleares 12/1991, de 20 de diciembre, reguladora del impuesto sobre instalaciones que incidan en el medio ambiente, entre otras las de generación eléctrica, con el argumento de que, a pesar de que era expresa la finalidad extrafiscal de protección medioambiental, el análisis de la estructura del impuesto no permitía llegar a esa conclusión, ya que su hecho imponible lo constituía la titularidad de elementos patrimoniales afectos a la realización de las actividades que integran el objeto del tributo, que ya estaba gravado por el impuesto de bienes inmuebles (FJ 5). A la misma conclusión se llegó en la STC 179/2006, de 13 de junio, en relación con la Ley de la Asamblea de Extremadura 7/1997, de 29 de mayo, de medidas fiscales sobre la producción y transporte de energía que incidan sobre el medio ambiente.</w:t>
      </w:r>
    </w:p>
    <w:p w:rsidR="00163957" w:rsidRDefault="00163957" w:rsidP="00163957">
      <w:pPr>
        <w:pStyle w:val="TextoNormal"/>
      </w:pPr>
    </w:p>
    <w:p w:rsidR="00163957" w:rsidRDefault="00163957" w:rsidP="00163957">
      <w:pPr>
        <w:pStyle w:val="TextoNormal"/>
      </w:pPr>
      <w:r>
        <w:t>No fue muy diferente la respuesta que se dio en las SSTC 196/2012, de 31 de octubre, FFJJ 3 y 4, y 60/2013, de 13 de marzo, FFJJ 5 y 6, cuando se declaró la nulidad de los impuestos a la producción termonuclear de electricidad y de almacenamiento de residuos nucleares en las Leyes de las Cortes de Castilla-La Mancha 11/2000, de 26 de diciembre; y 16/2005, de 29 de diciembre, del impuesto sobre determinadas actividades que incidan en el medio ambiente, cuando a partir de un mero análisis formal de la concreta selección de la producción bruta de electricidad y del almacenaje de residuos como bases imponibles en la configuración tributaria de sendos impuestos, se concluía que eran tributos que no permitían apreciar una verdadera finalidad extrafiscal de gravar la actividad contaminante y los riesgos para el medio ambiente, por lo que eran inconstitucionales al gravar el mismo hecho imponible que el impuesto de actividades económicas.</w:t>
      </w:r>
    </w:p>
    <w:p w:rsidR="00163957" w:rsidRDefault="00163957" w:rsidP="00163957">
      <w:pPr>
        <w:pStyle w:val="TextoNormal"/>
      </w:pPr>
    </w:p>
    <w:p w:rsidR="00163957" w:rsidRDefault="00163957" w:rsidP="00163957">
      <w:pPr>
        <w:pStyle w:val="TextoNormal"/>
      </w:pPr>
      <w:r>
        <w:t xml:space="preserve">8. Las escasas ocasiones en que se ha confirmado la constitucionalidad de impuestos autonómicos con fines extrafiscales total o parcialmente medioambientales han sido el ATC 456/2007, de 12 de diciembre, en relación con la Ley del Parlamento de Andalucía 18/2003, de 29 de diciembre, de medidas fiscales y administrativas, en lo relativo al impuesto sobre depósito de residuos radioactivos, en que se concluyó que los elementos esenciales de la configuración de ese tributo, frente al del impuesto de actividades económicas, ponían de manifiesto la prevalencia de esa finalidad extrafiscal medioambiental; la STC 122/2012, de 5 de junio, en relación con la Ley del Parlamento de Cataluña 16/2000, de 29 de diciembre, del impuesto sobre grandes establecimientos comerciales, en que también se consideró acreditada la prevalencia de fines extrafiscales, entre otros, medioambientales; y la STC 60/2013, de 13 de marzo, FJ 4, en relación con el impuesto sobre determinadas actividades que inciden en el medio ambiente, en su modalidad de gravamen sobre las actividades cuyas instalaciones emiten a la atmósfera dióxido de azufre, dióxido de nitrógeno o cualquier otro compuesto oxigenado del azufre o del nitrógeno, establecido en la Ley de las Cortes de Castilla-La Mancha 16/2005, de 29 de diciembre. En este último caso, se hizo una especial </w:t>
      </w:r>
      <w:r>
        <w:lastRenderedPageBreak/>
        <w:t>incidencia en el hecho de que lo sometido a tributación no era la mera actividad de producción eléctrica, ya gravada por el impuesto especial sobre la electricidad, sino la emisión a la atmósfera de elementos contaminantes.</w:t>
      </w:r>
    </w:p>
    <w:p w:rsidR="00163957" w:rsidRDefault="00163957" w:rsidP="00163957">
      <w:pPr>
        <w:pStyle w:val="TextoNormal"/>
      </w:pPr>
    </w:p>
    <w:p w:rsidR="00163957" w:rsidRDefault="00163957" w:rsidP="00163957">
      <w:pPr>
        <w:pStyle w:val="TextoNormal"/>
      </w:pPr>
      <w:r>
        <w:t>9. Con estos precedentes, debo admitir que podría resultar previsible la solución mantenida por la opinión mayoritaria en la que se sustenta la Sentencia. Sin embargo, me resulta llamativa, como hice constar en infructuoso énfasis en la deliberación, la nula atención que se ha dispensado a rebatir la alegada finalidad extrafiscal medioambiental del impuesto autonómico impugnado, como si hubiera dejado de ser un elemento relevante o referencial en el análisis de constitucionalidad, desplazado por la mera técnica comparativa de hechos imponibles.</w:t>
      </w:r>
    </w:p>
    <w:p w:rsidR="00163957" w:rsidRDefault="00163957" w:rsidP="00163957">
      <w:pPr>
        <w:pStyle w:val="TextoNormal"/>
      </w:pPr>
    </w:p>
    <w:p w:rsidR="00163957" w:rsidRDefault="00163957" w:rsidP="00163957">
      <w:pPr>
        <w:pStyle w:val="TextoNormal"/>
      </w:pPr>
      <w:r>
        <w:t>En todo caso, más allá de esto, no puedo ocultar mi desaliento por el hecho de que, si bien la jurisprudencia constitucional alcanzó en determinados momentos un nivel de disidencia notable cuando se abordaban estas cuestiones, pues habitualmente se registraban numerosos Votos particulares discrepantes que eran favorables a dejar un espacio a los tributos autonómicos con fines extrafiscales medioambientales (así, la STC 289/2000 contó con los Votos particulares de los magistrados García Manzano, González Campos y Casas Baamonde; y la SSTC 179/2006, de los magistrados Casas Baamonde, Sala Sánchez, Pérez Vera y Pérez Tremps); ahora compruebo que mi vencimiento se ve agravado por la soledad, en la que me creo obligado a seguir defendiendo que la Constitución, más allá de eventuales semejanzas de hechos imponibles con tributos con otras finalidades fiscales o extrafiscales, no impide que la causa de la protección medioambiental también puede ser abordada con instrumentos impositivos.</w:t>
      </w:r>
    </w:p>
    <w:p w:rsidR="00163957" w:rsidRDefault="00163957" w:rsidP="00163957">
      <w:pPr>
        <w:pStyle w:val="TextoNormal"/>
      </w:pPr>
    </w:p>
    <w:p w:rsidR="00163957" w:rsidRDefault="00163957" w:rsidP="00163957">
      <w:pPr>
        <w:pStyle w:val="TextoNormal"/>
      </w:pPr>
      <w:r>
        <w:t>(iii) La inexistencia de una identidad formal y material entre el tributo estatal establecido como comparación y el autonómico objeto de impugnación que pudiera implicar una duplicidad tributaria desconectada de la configuración constitucional del ejercicio del poder tributario autonómico.</w:t>
      </w:r>
    </w:p>
    <w:p w:rsidR="00163957" w:rsidRDefault="00163957" w:rsidP="00163957">
      <w:pPr>
        <w:pStyle w:val="TextoNormal"/>
      </w:pPr>
    </w:p>
    <w:p w:rsidR="00163957" w:rsidRDefault="00163957" w:rsidP="00163957">
      <w:pPr>
        <w:pStyle w:val="TextoNormal"/>
      </w:pPr>
      <w:r>
        <w:t>10. Un, a mi juicio, mecánico y acrítico análisis comparativo entre los tributos, al que antes me he referido, ha llevado a la opinión mayoritaria en la que se sustenta la Sentencia a concluir que el impuesto estatal y el autonómico son equivalentes. Así, se afirma la común coincidencia entre (i) el hecho imponible, ya que, a pesar de su formal distinción entre “producción de combustible nuclear gastado” —tributo estatal— y “utilización de combustible nuclear” —tributo autonómico—, ambas se refieren a la utilización de la energía nuclear para la generación de electricidad; (ii) la base imponible, pues en ambos casos la constituye el peso del combustible nuclear gastado, medido en toneladas en el caso del impuesto catalán y en kilogramos de metal pesado en el caso del impuesto estatal; (iii) los tipos impositivos, de 800.000 €/tonelada en el caso del impuesto catalán y de 2.190 €/kg de metal pesado en el caso del impuesto estatal; y (iv) la misma finalidad tributaria.</w:t>
      </w:r>
    </w:p>
    <w:p w:rsidR="00163957" w:rsidRDefault="00163957" w:rsidP="00163957">
      <w:pPr>
        <w:pStyle w:val="TextoNormal"/>
      </w:pPr>
    </w:p>
    <w:p w:rsidR="00163957" w:rsidRDefault="00163957" w:rsidP="00163957">
      <w:pPr>
        <w:pStyle w:val="TextoNormal"/>
      </w:pPr>
      <w:r>
        <w:t>Discrepo de estas afirmaciones, ya que, como desarrollaré a continuación, (i) existe una expresa finalidad extrafiscal medioambiental y de protección civil en el impuesto autonómico impugnado que lo diferencia del estatal, la cual (ii) aparece evidenciada en la conformación de sus elementos esenciales constitutivos; (iii) respondiendo, además, al ejercicio de un poder tributario autonómico directamente vinculado con competencias autonómicas.</w:t>
      </w:r>
    </w:p>
    <w:p w:rsidR="00163957" w:rsidRDefault="00163957" w:rsidP="00163957">
      <w:pPr>
        <w:pStyle w:val="TextoNormal"/>
      </w:pPr>
    </w:p>
    <w:p w:rsidR="00163957" w:rsidRDefault="00163957" w:rsidP="00163957">
      <w:pPr>
        <w:pStyle w:val="TextoNormal"/>
      </w:pPr>
      <w:r>
        <w:lastRenderedPageBreak/>
        <w:t>11. El tributo autonómico impugnado tiene una finalidad extrafiscal medioambiental y de protección civil diferenciada del estatal.</w:t>
      </w:r>
    </w:p>
    <w:p w:rsidR="00163957" w:rsidRDefault="00163957" w:rsidP="00163957">
      <w:pPr>
        <w:pStyle w:val="TextoNormal"/>
      </w:pPr>
    </w:p>
    <w:p w:rsidR="00163957" w:rsidRDefault="00163957" w:rsidP="00163957">
      <w:pPr>
        <w:pStyle w:val="TextoNormal"/>
      </w:pPr>
      <w:r>
        <w:t>La exposición de motivos de la Ley del Parlamento de Cataluña 12/2014, de 10 de octubre, vincula directamente el impuesto sobre la producción de energía eléctrica de origen nuclear a “la incidencia que puede tener en el medio ambiente”, haciendo expreso que en el caso de la producción eléctrica de origen nuclear, al no existir un riesgo medioambiental directamente vinculado a la producción, sino a eventuales incidencias en dicho proceso, se define el hecho imponible por la propia utilización del combustible nuclear. Frente a ello, esta misma ley, en relación con la misma finalidad medioambiental, configura un impuesto sobre la emisión de gases y partículas a la atmósfera producida por la industria, incluyendo la producción de generación eléctrica que no sea de origen nuclear, tomando como elemento relevante para definir el hecho imponible la efectiva medición de los elementos contaminantes que emiten a la atmósfera.</w:t>
      </w:r>
    </w:p>
    <w:p w:rsidR="00163957" w:rsidRDefault="00163957" w:rsidP="00163957">
      <w:pPr>
        <w:pStyle w:val="TextoNormal"/>
      </w:pPr>
    </w:p>
    <w:p w:rsidR="00163957" w:rsidRDefault="00163957" w:rsidP="00163957">
      <w:pPr>
        <w:pStyle w:val="TextoNormal"/>
      </w:pPr>
      <w:r>
        <w:t>Por el contrario, la Ley 15/2012, de 27 de diciembre, justifica la creación del impuesto sobre la producción de combustible nuclear gastado y residuos radiactivos resultantes de la generación de energía nucleoeléctrica vinculándolo expresamente a los costes de la asunción de responsabilidades derivadas de los aspectos específicos que inciden en dicha generación eléctrica, “tales como la gestión de los residuos radiactivos generados y el uso de materiales que pueden ser utilizados para fines no pacíficos” o a la necesidad de que “el Estado debe aportar los recursos necesarios para mantener operativos los planes de emergencia nuclear existentes en cada una de las provincias en las que existen instalaciones nucleares”. En coherencia con ello afirma la exposición de motivos de esta ley que “se considera adecuado el establecimiento de un gravamen sobre la producción de combustible nuclear gastado y residuos radiactivos en las centrales nucleares… al objeto de compensar a la sociedad por las cargas que debe soportar como consecuencia de dicha generación”.</w:t>
      </w:r>
    </w:p>
    <w:p w:rsidR="00163957" w:rsidRDefault="00163957" w:rsidP="00163957">
      <w:pPr>
        <w:pStyle w:val="TextoNormal"/>
      </w:pPr>
    </w:p>
    <w:p w:rsidR="00163957" w:rsidRDefault="00163957" w:rsidP="00163957">
      <w:pPr>
        <w:pStyle w:val="TextoNormal"/>
      </w:pPr>
      <w:r>
        <w:t>De ese modo, una mera comparación entre las exposiciones de motivos de las leyes configuradoras de ambos tributos permite concluir que si bien la actividad productiva gravada —la generación de electricidad de origen nuclear— es la misma, la finalidad primordial de carácter medioambiental y de protección civil del impuesto autonómico difiere de la del tributo estatal, que es de carácter omnicomprensivo.</w:t>
      </w:r>
    </w:p>
    <w:p w:rsidR="00163957" w:rsidRDefault="00163957" w:rsidP="00163957">
      <w:pPr>
        <w:pStyle w:val="TextoNormal"/>
      </w:pPr>
    </w:p>
    <w:p w:rsidR="00163957" w:rsidRDefault="00163957" w:rsidP="00163957">
      <w:pPr>
        <w:pStyle w:val="TextoNormal"/>
      </w:pPr>
      <w:r>
        <w:t>12. La finalidad extrafiscal medioambiental y de protección civil aparece confirmada por la configuración de sus elementos esenciales constitutivos del impuesto.</w:t>
      </w:r>
    </w:p>
    <w:p w:rsidR="00163957" w:rsidRDefault="00163957" w:rsidP="00163957">
      <w:pPr>
        <w:pStyle w:val="TextoNormal"/>
      </w:pPr>
    </w:p>
    <w:p w:rsidR="00163957" w:rsidRDefault="00163957" w:rsidP="00163957">
      <w:pPr>
        <w:pStyle w:val="TextoNormal"/>
      </w:pPr>
      <w:r>
        <w:t xml:space="preserve">La prevalencia de esta finalidad extrafiscal se pone también de manifiesto en el articulado que desarrolla los elementos del tributo autonómico. Así, el art. 21 de la Ley 12/2014, de 10 de octubre, al definir el objeto del impuesto, introduce esa finalidad señalando que “es gravar los riesgos por el impacto y eventual daño en el medio ambiente derivados de la actividad de producción de energía eléctrica de origen nuclear efectuada en el territorio de Cataluña”. Se insiste en ello en el artículo 23 cuando en la delimitación del hecho imponible se establece que es la utilización de combustible nuclear para la producción de energía eléctrica, “por el efecto que puede tener en el medio ambiente y por el daño que eventualmente puede producir en él”. Del mismo modo, el artículo 22 establece un principio de afectación, en su apartado 1, a “atender la financiación de los medios y las actividades y actuaciones de </w:t>
      </w:r>
      <w:r>
        <w:lastRenderedPageBreak/>
        <w:t>protección civil expresamente destinadas a la disminución, el control y, si procede, la reducción de los riesgos derivados de la actividad gravada”; y en su apartado 2, “a crear un fondo orientado a fomentar el reequilibrio territorial de las zonas afectadas por actividades de producción de energía eléctrica de origen nuclear, con el fin de promover y mejorar su competitividad y su diversificación económica”. En coherencia con la afectación prevista en el artículo 22.1, la disposición adicional segunda modifica el gravamen de protección civil a la producción de energía eléctrica previsto en la Ley 4/1997, de 20 de mayo, de protección civil de Cataluña, que fue declarado constitucional por la STC 168/2004, de 6 de octubre, para incluir la actividad de las centrales nucleares exenta de dicho gravamen.</w:t>
      </w:r>
    </w:p>
    <w:p w:rsidR="00163957" w:rsidRDefault="00163957" w:rsidP="00163957">
      <w:pPr>
        <w:pStyle w:val="TextoNormal"/>
      </w:pPr>
    </w:p>
    <w:p w:rsidR="00163957" w:rsidRDefault="00163957" w:rsidP="00163957">
      <w:pPr>
        <w:pStyle w:val="TextoNormal"/>
      </w:pPr>
      <w:r>
        <w:t>La afirmación de los fines medioambientales del impuesto impugnado podría aparecer desacreditada, en los términos en los que ya se afirmó en las ya citadas SSTC 196/2012, FJ 3; y 60/2013, FJ 5, en relación con los impuestos a la producción termonuclear de electricidad establecidos en Castilla-La Mancha, y que parece es el criterio latente en la opinión mayoritaria en la que se sustenta la Sentencia, en que la selección del hecho imponible recae en “la utilización de combustible nuclear para la producción de energía eléctrica” (art. 23) y la base imponible queda constituida “por el peso de combustible nuclear utilizado en el período impositivo, expresado en toneladas”. A la identidad de esos dos elementos se le da una predominante relevancia por la opinión mayoritaria en la que se sustenta la sentencia en el análisis comparativo que efectúa con el impuesto estatal, en tanto que su hecho imponible se configura con “la producción de combustible nuclear gastado resultante de cada reactor nuclear” (art. 15.1 de la Ley 15/2012) y su base imponible con “los kilogramos de metal pesado contenidos en el combustible nuclear gastado” (art. 17.1).</w:t>
      </w:r>
    </w:p>
    <w:p w:rsidR="00163957" w:rsidRDefault="00163957" w:rsidP="00163957">
      <w:pPr>
        <w:pStyle w:val="TextoNormal"/>
      </w:pPr>
    </w:p>
    <w:p w:rsidR="00163957" w:rsidRDefault="00163957" w:rsidP="00163957">
      <w:pPr>
        <w:pStyle w:val="TextoNormal"/>
      </w:pPr>
      <w:r>
        <w:t>No me parece necesario, porque considero que no es elemento esencial del juicio de constitucionalidad, profundizar demasiado en que, desde luego, no concurre la identidad de hechos y bases imponibles. No pude decirse que sea lo mismo la utilización de combustible nuclear —hecho impositivo del tributo autonómico— que la producción de combustible nuclear gastado —hecho impositivo del tributo estatal—. Ciertamente, ambos hechos son producto de la común actividad productiva —materia imponible— constituida por la generación de electricidad de origen nuclear, pero en sí mismos son, estrictamente hablando, actos distintos, hasta tal punto que, mientras para el tributo estatal la reutilización de combustible nuclear gastado extraído del reactor que fuera reintroducido con posterioridad en el reactor no daría lugar a un nuevo hecho imponible cuando fuera ulteriormente extraído (art. 15.2 de la Ley 15/2012), esa circunstancia sería irrelevante para el tributo autonómico, que seguiría considerándolo un hecho imponible autónomo. Igualmente, no puede decirse que la base imponible sea la misma, ya que mientras la estatal recae sobre la cantidad de material pesado presente en el combustible gastado —se toma como referencia el resultado final en que queda el combustible nuclear tras la actividad de fisión—, la autonómica lo hace sobre la cantidad de combustible nuclear efectivamente utilizado —se toma como referencia el combustible nuclear antes de la actividad de fisión—, y es evidente que la composición química del combustible queda alterada, precisamente, por la actividad de fisión propiciadora de la generación eléctrica.</w:t>
      </w:r>
    </w:p>
    <w:p w:rsidR="00163957" w:rsidRDefault="00163957" w:rsidP="00163957">
      <w:pPr>
        <w:pStyle w:val="TextoNormal"/>
      </w:pPr>
    </w:p>
    <w:p w:rsidR="00163957" w:rsidRDefault="00163957" w:rsidP="00163957">
      <w:pPr>
        <w:pStyle w:val="TextoNormal"/>
      </w:pPr>
      <w:r>
        <w:t xml:space="preserve">Sin perjuicio de ello, insisto en que la concreta selección del hecho y de la base imponibles en el impuesto autonómico no puede tener esa pretendida eficacia excluyente de la finalidad extrafiscal medioambiental. En primer lugar, como ya se hiciera expreso en el </w:t>
      </w:r>
      <w:r>
        <w:lastRenderedPageBreak/>
        <w:t>Voto particular antes mencionado formulado a la STC 179/2006, porque, acreditada la finalidad extrafiscal del tributo, una eventual defectuosa selección del hecho imponible “no puede erigirse en canon de constitucionalidad por la elemental razón de que a este Tribunal no le corresponde emitir juicios de técnica legislativa (por todas, STC 37/2002, de 14 de febrero, FJ 6)”. En segundo lugar, porque estimo que es absolutamente convincente y que forma parte de la lógica normativa la justificación que se da en la exposición de motivos de la normativa impugnada para avalar esa selección, cuando se afirma que en el caso de la producción eléctrica de origen nuclear, al no existir un riesgo medioambiental directamente vinculado a la producción, sino a eventuales incidencias en dicho proceso, el hecho imponible se configura por la propia utilización del combustible nuclear, frente a lo que se hace con el impuesto sobre la emisión de gases y partículas a la atmósfera producida por la industria, incluyendo la producción de generación eléctrica que no sea de origen nuclear. En efecto, creo que a estas alturas, conocidos determinados incidentes nucleares como los sucedidos en las centrales nucleares de Chernóbil y de Fukushima, no puede dudarse de los riesgos inherentes a este tipo de actividad tanto por su potencial incidencia sobre el medio ambiente como en las actuaciones de planificación en materia de protección civil. De ese modo, no puede entenderse como arbitraria o ilógico el seleccionar como hecho y bases imponibles un concreto acto que está en inmediata conexión con la finalidad extrafiscal perseguida. A esa misma conclusión se llegó, por ejemplo, en la STC 168/2004, cuando, al enjuiciarse la constitucionalidad del gravamen de protección civil a la producción de energía eléctrica previsto en la Ley 4/1997, de 20 de mayo, de protección civil de Cataluña, se argumentó que, si bien era un gravamen sobre los elementos patrimoniales afectos a actividades de las que pueda derivar la activación de planes de protección civil radicados en el territorio de la Comunidad Autónoma, “claramente se deduce que el objeto del gravamen no son dichos elementos patrimoniales, sino el riesgo potencial de las actividades e instalaciones allí mencionadas” (FJ 10).</w:t>
      </w:r>
    </w:p>
    <w:p w:rsidR="00163957" w:rsidRDefault="00163957" w:rsidP="00163957">
      <w:pPr>
        <w:pStyle w:val="TextoNormal"/>
      </w:pPr>
    </w:p>
    <w:p w:rsidR="00163957" w:rsidRDefault="00163957" w:rsidP="00163957">
      <w:pPr>
        <w:pStyle w:val="TextoNormal"/>
      </w:pPr>
      <w:r>
        <w:t>Por tanto, con la misma lógica seguida en la STC 168/2004 puede ahora afirmarse que, más allá de la selección del hecho imponible, es indubitado que el objeto de gravamen es el riesgo potencial que para el medio ambiente genera la utilización de combustible nuclear en la generación de electricidad y su incidencia en las actuaciones de protección civil.</w:t>
      </w:r>
    </w:p>
    <w:p w:rsidR="00163957" w:rsidRDefault="00163957" w:rsidP="00163957">
      <w:pPr>
        <w:pStyle w:val="TextoNormal"/>
      </w:pPr>
    </w:p>
    <w:p w:rsidR="00163957" w:rsidRDefault="00163957" w:rsidP="00163957">
      <w:pPr>
        <w:pStyle w:val="TextoNormal"/>
      </w:pPr>
      <w:r>
        <w:t>13. La finalidad extrafiscal medioambiental responde el ejercicio de competencias autonómicas.</w:t>
      </w:r>
    </w:p>
    <w:p w:rsidR="00163957" w:rsidRDefault="00163957" w:rsidP="00163957">
      <w:pPr>
        <w:pStyle w:val="TextoNormal"/>
      </w:pPr>
    </w:p>
    <w:p w:rsidR="00163957" w:rsidRDefault="00163957" w:rsidP="00163957">
      <w:pPr>
        <w:pStyle w:val="TextoNormal"/>
      </w:pPr>
      <w:r>
        <w:t>Las dos finalidades extrafiscales a las que responde prevalentemente el tributo autonómico impugnado son, como ya he dicho, las medioambientales y las relativas a protección civil, que supone el ejercicio de competencias autonómicas concurrentes con las estatales. No creo que resulte necesario extenderse en la naturaleza concurrente de estas competencias que ha sido ampliamente reconocida en la jurisprudencia constitucional. Pero sí me parece pertinente mencionar la especial incidencia que tiene la generación de energía eléctrica de origen nuclear en la Comunidad Autónoma de Cataluña a los efectos de ponderar adecuadamente el ejercicio de su poder tributario para la consecución de determinados fines extrafiscales medioambientales y de protección civil vinculados a esta actividad.</w:t>
      </w:r>
    </w:p>
    <w:p w:rsidR="00163957" w:rsidRDefault="00163957" w:rsidP="00163957">
      <w:pPr>
        <w:pStyle w:val="TextoNormal"/>
      </w:pPr>
    </w:p>
    <w:p w:rsidR="00163957" w:rsidRDefault="00163957" w:rsidP="00163957">
      <w:pPr>
        <w:pStyle w:val="TextoNormal"/>
      </w:pPr>
      <w:r>
        <w:t xml:space="preserve">En efecto, en la actualidad existen en España 6 centrales nucleares, dos de ellas con dos reactores, lo que supone un total de 8 reactores nucleares de producción eléctrica. Tres de esos reactores están en la Comunidad Autónoma de Cataluña, concentrados en la provincia </w:t>
      </w:r>
      <w:r>
        <w:lastRenderedPageBreak/>
        <w:t>de Tarragona, lo que implica que el 37,5 por 100 de los reactores de toda España están en el territorio de esta Comunidad Autónoma. Esa cifra aumenta al 40 por 100 si el análisis se hace tomando en consideración la potencia eléctrica. Como gustaba decir a juristas clásicos intentando superar concepciones formalistas</w:t>
      </w:r>
      <w:r w:rsidRPr="00163957">
        <w:rPr>
          <w:i/>
        </w:rPr>
        <w:t>, res ipsa loquit</w:t>
      </w:r>
      <w:r>
        <w:t>ur: los hechos hablan por sí mismos.</w:t>
      </w:r>
    </w:p>
    <w:p w:rsidR="00163957" w:rsidRDefault="00163957" w:rsidP="00163957">
      <w:pPr>
        <w:pStyle w:val="TextoNormal"/>
      </w:pPr>
    </w:p>
    <w:p w:rsidR="00163957" w:rsidRDefault="00163957" w:rsidP="00163957">
      <w:pPr>
        <w:pStyle w:val="TextoNormal"/>
      </w:pPr>
      <w:r>
        <w:t>Madrid, a catorce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78" w:name="SENTENCIA_2016_75"/>
      <w:r>
        <w:lastRenderedPageBreak/>
        <w:t>SENTENCIA 75/2016, de 25 de abril de 2016</w:t>
      </w:r>
    </w:p>
    <w:bookmarkEnd w:id="78"/>
    <w:p w:rsidR="00163957" w:rsidRDefault="00163957" w:rsidP="00163957">
      <w:pPr>
        <w:pStyle w:val="TtuloResolucin"/>
      </w:pPr>
      <w:r>
        <w:t>Sala Segunda</w:t>
      </w:r>
    </w:p>
    <w:p w:rsidR="00163957" w:rsidRDefault="00163957" w:rsidP="00163957">
      <w:pPr>
        <w:pStyle w:val="TtuloBOE"/>
      </w:pPr>
      <w:r>
        <w:t>(BOE núm. 131, de 31 de mayo de 2016)</w:t>
      </w:r>
    </w:p>
    <w:p w:rsidR="00163957" w:rsidRDefault="00163957" w:rsidP="00163957">
      <w:pPr>
        <w:pStyle w:val="TextoNormalCentrado"/>
      </w:pPr>
      <w:r>
        <w:t>ECLI:ES:TC:2016:75</w:t>
      </w:r>
    </w:p>
    <w:p w:rsidR="00163957" w:rsidRDefault="00163957" w:rsidP="00163957">
      <w:pPr>
        <w:pStyle w:val="TextoNormalCentrado"/>
      </w:pPr>
    </w:p>
    <w:p w:rsidR="00163957" w:rsidRDefault="00163957" w:rsidP="00163957">
      <w:pPr>
        <w:pStyle w:val="SntesisDescriptiva"/>
      </w:pPr>
      <w:r>
        <w:t>Recurso de amparo 7650-2010. Promovido por don Jesús Padilla Muguercia respecto de los decretos dictados por la Secretaría Judicial de un Juzgado de lo Contencioso-Administrativo de Madrid, convocando a las partes para la celebración de vista en proceso sobre orden de expulsión del territorio nacional.</w:t>
      </w:r>
    </w:p>
    <w:p w:rsidR="00163957" w:rsidRDefault="00163957" w:rsidP="00163957">
      <w:pPr>
        <w:pStyle w:val="SntesisDescriptiva"/>
      </w:pPr>
    </w:p>
    <w:p w:rsidR="00163957" w:rsidRDefault="00163957" w:rsidP="00163957">
      <w:pPr>
        <w:pStyle w:val="SntesisAnaltica"/>
      </w:pPr>
      <w:r>
        <w:t>Vulneración del derecho a un proceso sin dilaciones indebidas: demora superior a tres años en la celebración de la vista del juicio en un procedimiento abreviado contencioso-administrativo (STC 63/2016).</w:t>
      </w:r>
    </w:p>
    <w:p w:rsidR="00163957" w:rsidRDefault="00163957" w:rsidP="00163957">
      <w:pPr>
        <w:pStyle w:val="SntesisAnaltica"/>
      </w:pPr>
    </w:p>
    <w:p w:rsidR="00163957" w:rsidRDefault="00163957" w:rsidP="00163957">
      <w:pPr>
        <w:pStyle w:val="Extracto"/>
      </w:pPr>
      <w:r>
        <w:t>1.</w:t>
      </w:r>
      <w:r>
        <w:tab/>
        <w:t>Asunto sustancialmente idéntico al resuelto por la STC 63/2016, relativa a la doctrina sobre el derecho a un proceso sin dilaciones indebidas en materia de extranjería [FFJJ 2 a 7].</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7650-2010, promovido por don Jesús Padilla Muguercia, representado por la Procuradora de los Tribunales doña Gema Martín Hernández y asistido por el Letrado don Manuel Fernando Calvo Pastrana, contra el decreto de la Secretaria Judicial del Juzgado de lo Contencioso-Administrativo núm. 18 de Madrid, de 21 de junio de 2010, que admitió a trámite la demanda y convocó a las partes para la celebración de la vista del procedimiento abreviado núm. 375-2010, y contra el decreto de la misma Secretaria, de 23 de julio de 2010, que desestimó el recurso deducido contra el referido primer decreto. Ha sido parte el Abogado del Estado y ha intervenido el Ministerio Fiscal. Ha sido Ponente el Magistrado don Fernando Valdés Dal-Ré,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Mediante escrito registrado en este Tribunal el día 25 de octubre de 2010, el Letrado don Manuel Fernando Calvo Pastrana interpuso recurso de amparo contra las resoluciones </w:t>
      </w:r>
      <w:r>
        <w:lastRenderedPageBreak/>
        <w:t>señaladas en el encabezamiento. Asimismo, solicitó la designación de Procurador del turno de oficio para su cliente.</w:t>
      </w:r>
    </w:p>
    <w:p w:rsidR="00163957" w:rsidRDefault="00163957" w:rsidP="00163957">
      <w:pPr>
        <w:pStyle w:val="TextoNormal"/>
      </w:pPr>
    </w:p>
    <w:p w:rsidR="00163957" w:rsidRDefault="00163957" w:rsidP="00163957">
      <w:pPr>
        <w:pStyle w:val="TextoNormal"/>
      </w:pPr>
      <w:r w:rsidRPr="00163957">
        <w:rPr>
          <w:rStyle w:val="NumeroAFNegritaCaracter"/>
        </w:rPr>
        <w:t>2</w:t>
      </w:r>
      <w:r>
        <w:t>. La demanda de amparo trae causa, en síntesis, de los siguientes hechos:</w:t>
      </w:r>
    </w:p>
    <w:p w:rsidR="00163957" w:rsidRDefault="00163957" w:rsidP="00163957">
      <w:pPr>
        <w:pStyle w:val="TextoNormal"/>
      </w:pPr>
    </w:p>
    <w:p w:rsidR="00163957" w:rsidRDefault="00163957" w:rsidP="00163957">
      <w:pPr>
        <w:pStyle w:val="TextoNormal"/>
      </w:pPr>
      <w:r>
        <w:t>a) El día 18 de septiembre de 2009 se incoó procedimiento sancionador preferente para la expulsión del territorio nacional del hoy recurrente en amparo. Con fecha 7 de mayo de 2010 presentó demanda ante el Decanato de los Juzgados de lo Contencioso-Administrativo de Madrid interponiendo recurso contencioso-administrativo, por el procedimiento abreviado, contra la resolución desestimatoria de la Delegación del Gobierno en Madrid, por silencio administrativo, de la petición de caducidad del citado expediente de expulsión del territorio nacional, que había formulado el día 19 de abril de 2010 por haber transcurrido más de seis meses desde la incoación del expediente sin notificársele resolución alguna.</w:t>
      </w:r>
    </w:p>
    <w:p w:rsidR="00163957" w:rsidRDefault="00163957" w:rsidP="00163957">
      <w:pPr>
        <w:pStyle w:val="TextoNormal"/>
      </w:pPr>
    </w:p>
    <w:p w:rsidR="00163957" w:rsidRDefault="00163957" w:rsidP="00163957">
      <w:pPr>
        <w:pStyle w:val="TextoNormal"/>
      </w:pPr>
      <w:r>
        <w:t>b) La demanda fue turnada al Juzgado de lo Contencioso-Administrativo núm. 18 de Madrid. Por decreto de la Secretaria del Juzgado de 21 de junio de 2010 se acordó su admisión a trámite, convocándose a las partes para la celebración de la vista el día 22 de enero de 2014 a las 11:20 horas, al amparo de lo establecido por el art. 182 LEC.</w:t>
      </w:r>
    </w:p>
    <w:p w:rsidR="00163957" w:rsidRDefault="00163957" w:rsidP="00163957">
      <w:pPr>
        <w:pStyle w:val="TextoNormal"/>
      </w:pPr>
    </w:p>
    <w:p w:rsidR="00163957" w:rsidRDefault="00163957" w:rsidP="00163957">
      <w:pPr>
        <w:pStyle w:val="TextoNormal"/>
      </w:pPr>
      <w:r>
        <w:t>c) Mediante escrito presentado el 6 de julio de 2010, el actor interpuso recurso contra el decreto referido. A su criterio, un señalamiento para el juicio oral en fecha tan alejada en el tiempo implicaba la vulneración del derecho fundamental a un proceso sin dilaciones indebidas (art. 24.2 CE) y, en consecuencia, decía en su escrito, el de la tutela judicial efectiva del art. 24.1 CE. El recurso fue desestimado por decreto de la Secretaria Judicial de 23 de julio de 2010, que confirmó el impugnado en todos sus extremos ya que el señalamiento se había ajustado a lo dispuesto en los arts. 182 de la Ley de enjuiciamiento civil (LEC) y 78 y ss. de la Ley reguladora de la jurisdicción contencioso-administrativa (LJCA).</w:t>
      </w:r>
    </w:p>
    <w:p w:rsidR="00163957" w:rsidRDefault="00163957" w:rsidP="00163957">
      <w:pPr>
        <w:pStyle w:val="TextoNormal"/>
      </w:pPr>
    </w:p>
    <w:p w:rsidR="00163957" w:rsidRDefault="00163957" w:rsidP="00163957">
      <w:pPr>
        <w:pStyle w:val="TextoNormal"/>
      </w:pPr>
      <w:r w:rsidRPr="00163957">
        <w:rPr>
          <w:rStyle w:val="NumeroAFNegritaCaracter"/>
        </w:rPr>
        <w:t>3</w:t>
      </w:r>
      <w:r>
        <w:t>. La demanda de amparo denuncia la vulneración del derecho a un proceso sin dilaciones indebidas (art. 24.2 CE) en relación con el derecho a la tutela judicial efectiva (art. 24.1 CE). Considera que el señalamiento de la vista del procedimiento contencioso-administrativo para el 22 de enero de 2014, cuando el recurso se presentó el 7 de mayo de 2010, supone un retraso injustificado para un procedimiento que se tramita como abreviado y que está exento de una especial complejidad. Se trata además, añade después, de una solicitud de caducidad de un expediente de expulsión que, por su propia naturaleza y por los graves efectos que determina para el recurrente, debe resolverse con la mayor prontitud, sin que quepa aducir frente a ello las deficiencias estructurales derivadas de la falta de medios del órgano judicial o el número de recursos que penden sobre el mismo, puesto que, aun cuando el Juez no tenga una responsabilidad personal en la dilación, la misma concurre y posee relevancia constitucional.</w:t>
      </w:r>
    </w:p>
    <w:p w:rsidR="00163957" w:rsidRDefault="00163957" w:rsidP="00163957">
      <w:pPr>
        <w:pStyle w:val="TextoNormal"/>
      </w:pPr>
    </w:p>
    <w:p w:rsidR="00163957" w:rsidRDefault="00163957" w:rsidP="00163957">
      <w:pPr>
        <w:pStyle w:val="TextoNormal"/>
      </w:pPr>
      <w:r w:rsidRPr="00163957">
        <w:rPr>
          <w:rStyle w:val="NumeroAFNegritaCaracter"/>
        </w:rPr>
        <w:t>4</w:t>
      </w:r>
      <w:r>
        <w:t>. Una vez que el Sr. Padilla Muguercia ratificó la demanda de amparo presentada por su Letrado, y designada por el Ilustre Colegio de Procuradores de Madrid la Procuradora del turno de justicia gratuita doña Gema Martín Hernández, por diligencia de ordenación de 17 de diciembre de 2010 se concedió a ésta un plazo de diez días para que se ratificara en el escrito de formalización del recurso presentado por el Letrado, trámite que fue evacuado mediante escrito registrado en el Tribunal el día 3 de enero de 2011.</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22 de enero de 2015, la Sección Cuarta de este Tribunal acordó la admisión a trámite del recurso y, de acuerdo con lo dispuesto en al art. 51 de la Ley Orgánica del Tribunal Constitucional (LOTC), solicitó del Juzgado de lo Contencioso-Administrativo núm. 18 de Madrid que remitiera certificación o fotocopia adverada de las actuaciones correspondientes al procedimiento abreviado núm. 375-2010, previo emplazamiento de quienes hubieran sido parte en el proceso, excepto la parte recurrente en amparo, para que, en el término de diez días, pudieran comparecer en el presente proceso constitucional.</w:t>
      </w:r>
    </w:p>
    <w:p w:rsidR="00163957" w:rsidRDefault="00163957" w:rsidP="00163957">
      <w:pPr>
        <w:pStyle w:val="TextoNormal"/>
      </w:pPr>
    </w:p>
    <w:p w:rsidR="00163957" w:rsidRDefault="00163957" w:rsidP="00163957">
      <w:pPr>
        <w:pStyle w:val="TextoNormal"/>
      </w:pPr>
      <w:r w:rsidRPr="00163957">
        <w:rPr>
          <w:rStyle w:val="NumeroAFNegritaCaracter"/>
        </w:rPr>
        <w:t>6</w:t>
      </w:r>
      <w:r>
        <w:t>. El Abogado del Estado se personó por escrito de 5 de febrero de 2015. Mediante diligencia de ordenación de 19 de febrero de 2015 se tuvo por personado al representante procesal del Estado y se acordó dar vista de las actuaciones a las partes personadas y al Ministerio Fiscal, por plazo común de 20 días, para que, a tenor de lo dispuesto en el art. 52.1 LOTC, pudieran presentar las alegaciones que estimasen oportunas.</w:t>
      </w:r>
    </w:p>
    <w:p w:rsidR="00163957" w:rsidRDefault="00163957" w:rsidP="00163957">
      <w:pPr>
        <w:pStyle w:val="TextoNormal"/>
      </w:pPr>
    </w:p>
    <w:p w:rsidR="00163957" w:rsidRDefault="00163957" w:rsidP="00163957">
      <w:pPr>
        <w:pStyle w:val="TextoNormal"/>
      </w:pPr>
      <w:r w:rsidRPr="00163957">
        <w:rPr>
          <w:rStyle w:val="NumeroAFNegritaCaracter"/>
        </w:rPr>
        <w:t>7</w:t>
      </w:r>
      <w:r>
        <w:t>. El Abogado del Estado registró sus alegaciones el día 20 de marzo de 2015, solicitando la inadmisión y, subsidiariamente, la desestimación de la demanda de amparo. La solicitud de inadmisión se sustenta en dos causas: i) por carecer el recurso de especial trascendencia constitucional, toda vez que el demandante no objetiva el amparo y por haber consolidada doctrina constitucional sobre el retraso en el señalamiento de las vistas de los procedimientos contencioso-administrativos abreviados que versan sobre sanciones de expulsión del territorio nacional; ii) por no haberse agotado la vía judicial previa, ya que el recurso de amparo debe dirigirse contra una resolución del titular de un órgano judicial, no habiéndose seguido a tal fin en este caso, en el que se impugnan decretos de una Secretaria Judicial, las correspondientes vías procesales de revisión (en concreto, dice, los recursos existentes contra la resolución definitiva del proceso).</w:t>
      </w:r>
    </w:p>
    <w:p w:rsidR="00163957" w:rsidRDefault="00163957" w:rsidP="00163957">
      <w:pPr>
        <w:pStyle w:val="TextoNormal"/>
      </w:pPr>
    </w:p>
    <w:p w:rsidR="00163957" w:rsidRDefault="00163957" w:rsidP="00163957">
      <w:pPr>
        <w:pStyle w:val="TextoNormal"/>
      </w:pPr>
      <w:r>
        <w:t>Con carácter subsidiario, solicita la denegación del amparo interesado. En primer lugar, por entender que el interés arriesgado por el demandante en el proceso no está vinculado a una resolución sancionadora que ordene su inmediata expulsión, sino solo a la finalización del expediente sancionador por caducidad. En segundo lugar, porque la duración del procedimiento que inició el recurrente está dentro de la que normalmente experimentan los juicios del mismo tipo y porque no es dado comparar la realidad empírica del sistema judicial con una especie de “ideal de funcionamiento”, que tampoco es seguro que se alcanzara por mucho que se incrementara la inversión en la organización judicial; algo que, por lo demás, resulta impensable en el actual contexto de aguda y profunda crisis financiera pública. En esta línea se señala que las deficiencias estructurales podrían acaso aquilatarse mediante el estándar de “prestación razonablemente exigible a un servicio público”, cuya configuración concreta debe tener en cuenta lo que, de manera realista, pueda esperar el usuario de un servicio atendido el nivel medio de prestación de los demás. Matizado así el concepto, cuando menos resulta dudoso, concluye, que pueda hablarse de una “deficiencia estructural” que conlleve un pronunciamiento favorable.</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El Ministerio Fiscal evacuó el trámite de alegaciones por escrito que tuvo entrada en este Tribunal el 9 de abril de 2015. Destaca la identidad sustancial entre el presente caso y el supuesto en el que se dictó el ATC 163/2013, de 9 de septiembre, por el que la Sala </w:t>
      </w:r>
      <w:r>
        <w:lastRenderedPageBreak/>
        <w:t>Segunda del Tribunal acordó elevar al Pleno cuestión interna de inconstitucionalidad respecto del art. 102 bis, apartado 2, de la ley 29/1998, de 13 de julio, reguladora de la jurisdicción contencioso-administrativa, en la redacción dada al mismo por la Ley 13/2009, de 3 de noviembre, de reforma de la legislación procesal para la implantación de la nueva oficina judicial, por oposición al art. 24.1 CE.</w:t>
      </w:r>
    </w:p>
    <w:p w:rsidR="00163957" w:rsidRDefault="00163957" w:rsidP="00163957">
      <w:pPr>
        <w:pStyle w:val="TextoNormal"/>
      </w:pPr>
    </w:p>
    <w:p w:rsidR="00163957" w:rsidRDefault="00163957" w:rsidP="00163957">
      <w:pPr>
        <w:pStyle w:val="TextoNormal"/>
      </w:pPr>
      <w:r>
        <w:t>Dicho esto, tras exponer los antecedentes del caso y la pervivencia del objeto del amparo pese a la celebración posterior de la vista cuya dilación se denunciaba, afirma, en relación con la cuestión sustantiva, que se ha vulnerado el derecho del actor a un proceso sin dilaciones indebidas (art. 24.2 CE). En efecto, se ha fundamentado la imposibilidad de realizar el señalamiento en fecha anterior en el tiempo en deficiencias estructurales de la justicia, mas, aun en ese caso, recuerda, una dilación indebida sigue siendo tal y vulnera el derecho fundamental indicado. En atención a ello, solicita seguir el mismo cauce del ATC 163/2013, de 9 de septiembre, o su defecto, subsidiariamente, el otorgamiento del amparo, que debería ser meramente declarativo al haber concluido ya el procedimiento judicial.</w:t>
      </w:r>
    </w:p>
    <w:p w:rsidR="00163957" w:rsidRDefault="00163957" w:rsidP="00163957">
      <w:pPr>
        <w:pStyle w:val="TextoNormal"/>
      </w:pPr>
    </w:p>
    <w:p w:rsidR="00163957" w:rsidRDefault="00163957" w:rsidP="00163957">
      <w:pPr>
        <w:pStyle w:val="TextoNormal"/>
      </w:pPr>
      <w:r w:rsidRPr="00163957">
        <w:rPr>
          <w:rStyle w:val="NumeroAFNegritaCaracter"/>
        </w:rPr>
        <w:t>9</w:t>
      </w:r>
      <w:r>
        <w:t>. El demandante de amparo no presentó escrito de alegaciones, según se hace constar en diligencia de la Secretaria de Justicia de 10 de abril de 2015.</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21 de abril de 2016 se señaló para la deliberación y votación de la presente Sentencia el día 25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demanda de amparo se dirige contra el decreto de la Secretaria Judicial del Juzgado de lo Contencioso-Administrativo núm. 18 de Madrid, de 21 de junio de 2010, que admitió a trámite la demanda y convocó a las partes para la celebración de la vista del procedimiento abreviado núm. 375-2010, así como contra el decreto de la misma Secretaria, de 23 de julio de 2010, que desestimó el sucesivo recurso interpuesto contra aquel primer decreto. Considera el actor que dichas resoluciones vulneran su derecho fundamental a un proceso sin dilaciones indebidas (art. 24.2 CE), que vincula con el de tutela judicial efectiva (art. 24.1 CE), dado que el señalamiento de la vista del procedimiento núm. 375-2010 para el 22 de enero de 2014, cuando el recurso contencioso-administrativo fue presentado el día 7 de mayo de 2010, supone un retraso injustificado para un procedimiento que se tramita como abreviado, que está exento de una especial complejidad y que tiene por objeto una solicitud de caducidad de un expediente de expulsión que, por su propia naturaleza y por los graves efectos que determina para el recurrente, debería resolverse con la mayor prontitud.</w:t>
      </w:r>
    </w:p>
    <w:p w:rsidR="00163957" w:rsidRDefault="00163957" w:rsidP="00163957">
      <w:pPr>
        <w:pStyle w:val="TextoNormal"/>
      </w:pPr>
    </w:p>
    <w:p w:rsidR="00163957" w:rsidRDefault="00163957" w:rsidP="00163957">
      <w:pPr>
        <w:pStyle w:val="TextoNormal"/>
      </w:pPr>
      <w:r>
        <w:t xml:space="preserve">El Abogado del Estado, como ha quedado expuesto con más detalle en los antecedentes, ha interesado la inadmisión del recurso de amparo por no haberse agotado la vía judicial previa [art. 44.1 a) de la Ley Orgánica del Tribunal Constitucional (LOTC)], ya que el recurso de amparo debe dirigirse contra una resolución del titular de un órgano judicial y no se han seguido a tal fin en este caso, en el que se impugnan decretos de una Secretaria Judicial, las correspondientes vías procesales de revisión (en concreto, dice, los recursos existentes contra la resolución definitiva del proceso). Sostiene asimismo, como segunda causa de inadmisión, que carece el recurso de especial trascendencia constitucional [art. 50.1 b) LOTC], al existir doctrina constitucional en la materia. Subsidiariamente, solicita la </w:t>
      </w:r>
      <w:r>
        <w:lastRenderedPageBreak/>
        <w:t>desestimación del amparo interesado, rechazando la lesión denunciada. Por su parte, el Ministerio Fiscal ha solicitado el planteamiento de una cuestión interna de inconstitucionalidad, al igual que hiciéramos en el ATC 163/2013, de 9 de septiembre, por la identidad sustancial de los casos. En su defecto, postula el otorgamiento del amparo por vulneración del derecho a un proceso sin dilaciones indebidas (art. 24.2 CE).</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análisis de la cuestión de fondo, es preciso abordar el estudio de los óbices procesales opuestos por el Abogado del Estado.</w:t>
      </w:r>
    </w:p>
    <w:p w:rsidR="00163957" w:rsidRDefault="00163957" w:rsidP="00163957">
      <w:pPr>
        <w:pStyle w:val="TextoNormal"/>
      </w:pPr>
    </w:p>
    <w:p w:rsidR="00163957" w:rsidRDefault="00163957" w:rsidP="00163957">
      <w:pPr>
        <w:pStyle w:val="TextoNormal"/>
      </w:pPr>
      <w:r>
        <w:t>En primer lugar, en relación con la especial trascendencia constitucional del recurso de amparo hemos declarado, entre otras muchas, en la STC 54/2015, de 16 de marzo, FJ 4,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163957" w:rsidRDefault="00163957" w:rsidP="00163957">
      <w:pPr>
        <w:pStyle w:val="TextoNormal"/>
      </w:pPr>
    </w:p>
    <w:p w:rsidR="00163957" w:rsidRDefault="00163957" w:rsidP="00163957">
      <w:pPr>
        <w:pStyle w:val="TextoNormal"/>
      </w:pPr>
      <w:r>
        <w:t xml:space="preserve">Pues bien, como venimos de resaltar en otros asuntos que plantean similar problemática (señaladamente, STC 63/2016, de 11 de abril, dictada por esta Sala Segunda en el recurso de amparo núm. 4577-2011), este Tribunal aprecia que el recurso revela dos aspectos que le otorgan especial trascendencia constitucional: i) por una parte, como corroboran recientes pronunciamientos estimatorios de este Tribunal en materia de dilaciones indebidas (SSTC 54/2014, de 10 de abril; 58/2014, de 5 de mayo; 99/2014, de 23 de junio; 74/2015, de 27 de abril; y 87/2015 y 88/2015, de 11 de mayo), el protagonismo reiterado que posee el derecho fundamental aducido en asuntos de extranjería seguidos ante distintos Juzgados de lo Contencioso-Administrativo de Madrid, circunstancia que concurre igualmente en otros recursos de amparo admitidos a trámite y pendientes de Sentencia; ii) por otra parte, que el presente recurso, como otros de similar carácter, puso de manifiesto en fase de admisibilidad la necesidad de afrontar el problema derivado de la exclusión de la intervención judicial, conforme al art. 102 </w:t>
      </w:r>
      <w:r w:rsidRPr="00163957">
        <w:rPr>
          <w:i/>
        </w:rPr>
        <w:t>bis</w:t>
      </w:r>
      <w:r>
        <w:t>.2 de la Ley reguladora de la jurisdicción contencioso-administrativa (LJCA), respecto a decisiones de los secretarios judiciales, lo que impedía la observancia del principio de subsidiariedad del recurso de amparo ante este Tribunal y el correlativo cumplimiento de la exigencia establecida en el art. 44.1 a) LOTC. Como es sabido, ese hecho motivó el planteamiento de una cuestión interna de inconstitucionalidad, resuelta en sentido estimatorio por el Pleno en STC 58/2016, de 17 de marzo.</w:t>
      </w:r>
    </w:p>
    <w:p w:rsidR="00163957" w:rsidRDefault="00163957" w:rsidP="00163957">
      <w:pPr>
        <w:pStyle w:val="TextoNormal"/>
      </w:pPr>
    </w:p>
    <w:p w:rsidR="00163957" w:rsidRDefault="00163957" w:rsidP="00163957">
      <w:pPr>
        <w:pStyle w:val="TextoNormal"/>
      </w:pPr>
      <w:r>
        <w:t>El último elemento destacado, además de fuente de la especial trascendencia constitucional del recurso [art. 50.1 b) LOTC], sirve a un tiempo para descartar, pese a lo que nos solicita el Ministerio Fiscal, la tramitación de una nueva cuestión interna de inconstitucionalidad, pues la indicada STC 58/2016 ha despejado la cuestión controvertida.</w:t>
      </w:r>
    </w:p>
    <w:p w:rsidR="00163957" w:rsidRDefault="00163957" w:rsidP="00163957">
      <w:pPr>
        <w:pStyle w:val="TextoNormal"/>
      </w:pPr>
    </w:p>
    <w:p w:rsidR="00163957" w:rsidRDefault="00163957" w:rsidP="00163957">
      <w:pPr>
        <w:pStyle w:val="TextoNormal"/>
      </w:pPr>
      <w:r w:rsidRPr="00163957">
        <w:rPr>
          <w:rStyle w:val="NumeroAFNegritaCaracter"/>
        </w:rPr>
        <w:t>3</w:t>
      </w:r>
      <w:r>
        <w:t>. Todavía existe otra cuestión que es preciso aclarar antes de proceder a examinar la queja sustantiva planteada por el demandante de amparo. Nos referimos a la segunda objeción procesal que el Abogado del Estado formula, en esta ocasión por un pretendido defecto en el agotamiento de la vía judicial [art. 44.1 a) LOTC].</w:t>
      </w:r>
    </w:p>
    <w:p w:rsidR="00163957" w:rsidRDefault="00163957" w:rsidP="00163957">
      <w:pPr>
        <w:pStyle w:val="TextoNormal"/>
      </w:pPr>
    </w:p>
    <w:p w:rsidR="00163957" w:rsidRDefault="00163957" w:rsidP="00163957">
      <w:pPr>
        <w:pStyle w:val="TextoNormal"/>
      </w:pPr>
      <w:r>
        <w:t xml:space="preserve">Como es sabido, el art. 102 </w:t>
      </w:r>
      <w:r w:rsidRPr="00163957">
        <w:rPr>
          <w:i/>
        </w:rPr>
        <w:t>bis</w:t>
      </w:r>
      <w:r>
        <w:t xml:space="preserve">.2 LJCA (introducido por la Ley 13/2009, de 3 de noviembre, de reforma de la legislación procesal para la implantación de la nueva oficina judicial) </w:t>
      </w:r>
      <w:r>
        <w:lastRenderedPageBreak/>
        <w:t>disponía que “contra el decreto resolutivo de la reposición no se dará recurso alguno, sin perjuicio de reproducir la cuestión al recurrir, si fuere procedente, la resolución definitiva”. Sobre el agotamiento de la vía judicial previa, considerando la doctrina sentada en la STC 58/2016, hemos señalado en la STC 63/2016, de 11 de abril, dictada por esta Sala Segunda del Tribunal Constitucional en el recurso de amparo núm. 4577-2011, lo siguiente:</w:t>
      </w:r>
    </w:p>
    <w:p w:rsidR="00163957" w:rsidRDefault="00163957" w:rsidP="00163957">
      <w:pPr>
        <w:pStyle w:val="TextoNormal"/>
      </w:pPr>
    </w:p>
    <w:p w:rsidR="00163957" w:rsidRDefault="00163957" w:rsidP="00163957">
      <w:pPr>
        <w:pStyle w:val="TextoNormal"/>
      </w:pPr>
      <w:r>
        <w:t xml:space="preserve">“A la vista de dicha situación, y ante la existencia de una amplia serie de recursos de amparo referidos a la misma materia en los que se suscitaba idéntica problemática, esta Sala acordó plantear cuestión interna de inconstitucionalidad respecto al art. 102 </w:t>
      </w:r>
      <w:r w:rsidRPr="00163957">
        <w:rPr>
          <w:i/>
        </w:rPr>
        <w:t>bis</w:t>
      </w:r>
      <w:r>
        <w:t xml:space="preserve">.2 LJCA por medio del ATC 163/2013, de 9 de septiembre, actuación que resultaba imprescindible, a pesar de que haya producido como inevitable efecto un lamentable retraso en la resolución del presente recurso de amparo. Dicha cuestión ha sido estimada por la recientísima STC 58/2016, de 17 de marzo, en la que el Pleno de este Tribunal ha reconocido que la imposibilidad de impugnar el decreto resolutorio de la reposición no era salvable ni a través de la opción de impugnar la resolución que ponga fin al proceso (que no siempre cabe y que carece de virtualidad tratándose del derecho a un proceso sin dilaciones indebidas, cuya alegación carece de sentido cuando el proceso ha finalizado, según nuestra reiterada doctrina), ni por las vías establecidas en los arts. 240.2 y 241.1 LOPJ; por ello, ha resuelto que el párrafo primero del citado precepto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como señala el ATC 163/2013, FJ 2, el derecho del justiciable a someter a la decisión última del Juez o Tribunal, a quien compete de modo exclusivo la potestad jurisdiccional, la resolución de una cuestión que atañe a sus derechos e intereses y legítimos, pudiendo afectar incluso a otro derecho fundamental: a un proceso sin dilaciones indebidas. Ello implica que tal exclusión deba reputarse lesiva del derecho a la tutela judicial efectiva que a todos garantiza el art. 24.1 CE y del principio de exclusividad de la potestad jurisdiccional (art. 117.3 CE)’ (FJ 7). Asimismo, la Sentencia precisa que hasta que el legislador no se pronuncie al respecto, el recurso judicial procedente frente al decreto del Letrado de la Administración de Justicia resolutivo de la reposición ha de ser el directo de revisión al que se refiere el propio art. 102 </w:t>
      </w:r>
      <w:r w:rsidRPr="00163957">
        <w:rPr>
          <w:i/>
        </w:rPr>
        <w:t>bis</w:t>
      </w:r>
      <w:r>
        <w:t>.2 LJCA.” (FJ 3).</w:t>
      </w:r>
    </w:p>
    <w:p w:rsidR="00163957" w:rsidRDefault="00163957" w:rsidP="00163957">
      <w:pPr>
        <w:pStyle w:val="TextoNormal"/>
      </w:pPr>
    </w:p>
    <w:p w:rsidR="00163957" w:rsidRDefault="00163957" w:rsidP="00163957">
      <w:pPr>
        <w:pStyle w:val="TextoNormal"/>
      </w:pPr>
      <w:r>
        <w:t>Con base en ello hemos establecido en el pronunciamiento recién transcrito que la declaración de inconstitucionalidad de dicho precepto no permite, precisamente por la fecha en que se produce, que en casos como el que aquí enjuiciamos pueda apreciarse el óbice de falta de agotamiento de la vía judicial previa. Es indudable que, en el momento en el que el actor trató de reaccionar contra la presunta lesión de su derecho fundamental a un proceso sin dilaciones indebidas, no podía en modo alguno obtener una respuesta judicial previa dado el veto al respecto previsto en el párrafo primero de aquel precepto, ahora declarado inconstitucional. Y declaramos igualmente que no cabe retrotraer las actuaciones en estos casos a fin de que el actor pueda utilizar la vía del recurso de revisión, de acuerdo con lo que se indica en el fundamento jurídico 7 de la referida Sentencia del Pleno del Tribunal, señaladamente cuando, como ahora acontece, el proceso se encuentra ya concluso tras haberse dictado por el Juzgado Sentencia estimatoria del recurso, de modo que no se produciría otro efecto que el de perjudicar al actor, añadiendo además nuevas dilaciones a las ya padecidas.</w:t>
      </w:r>
    </w:p>
    <w:p w:rsidR="00163957" w:rsidRDefault="00163957" w:rsidP="00163957">
      <w:pPr>
        <w:pStyle w:val="TextoNormal"/>
      </w:pPr>
    </w:p>
    <w:p w:rsidR="00163957" w:rsidRDefault="00163957" w:rsidP="00163957">
      <w:pPr>
        <w:pStyle w:val="TextoNormal"/>
      </w:pPr>
      <w:r>
        <w:t>En suma, como ahora también procederá decir al coincidir las circunstancias concurrentes, concluimos en esa Sentencia dictada el pasado 11 de abril que la solución constitucionalmente adecuada será examinar la queja de fondo articulada en los recursos de amparo afectados, pues fue la propia Ley la que impidió la intervención del Magistrado-Juez de lo Contencioso-Administrativo en la cuestión controvertida del señalamiento de la vista del procedimiento, lo cual justifica que este Tribunal intervenga para reparar la lesión del derecho a un proceso sin dilaciones indebidas del actor (art. 24.2 CE). Derecho, por lo demás, como se desprende de los pronunciamientos que citamos en el anterior fundamento juríco 2, que es el verdaderamente afectado en esta tipología de casos, pese a la alegación adicional que hace aquí el recurrente del derecho a la tutela judicial efectiva (art. 24.1 CE).</w:t>
      </w:r>
    </w:p>
    <w:p w:rsidR="00163957" w:rsidRDefault="00163957" w:rsidP="00163957">
      <w:pPr>
        <w:pStyle w:val="TextoNormal"/>
      </w:pPr>
    </w:p>
    <w:p w:rsidR="00163957" w:rsidRDefault="00163957" w:rsidP="00163957">
      <w:pPr>
        <w:pStyle w:val="TextoNormal"/>
      </w:pPr>
      <w:r w:rsidRPr="00163957">
        <w:rPr>
          <w:rStyle w:val="NumeroAFNegritaCaracter"/>
        </w:rPr>
        <w:t>4</w:t>
      </w:r>
      <w:r>
        <w:t>. Una vez aclarado el anterior extremo, podemos proceder a analizar la queja que se ha suscitado en este recurso, que recae, según acaba de decirse, sobre el derecho a un proceso sin dilaciones indebidas, consagrado en el art. 24.2 CE. Para determinar si nos encontramos o no ante una vulneración del meritado derecho, hemos de acudir a las pautas que nos ofrece nuestra jurisprudencia, conforme a la cual el mismo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no toda infracción de los plazos procesales o toda excesiva duración temporal de las actuaciones judiciales supone una vulneración del derecho fundamental reseñado (por todas, STC 54/2014, de 10 de abril, FJ 4). El derecho fundamental referido, por otra parte, no puede tampoco identificarse con un derecho al riguroso cumplimiento de los plazos procesales, configurándose a partir de la dimensión temporal de todo proceso y su razonabilidad (STC 142/2010, de 21 de diciembre, FJ 3). Como hemos subrayado, más recientemente, en las SSTC 89/2014, de 9 de junio, FJ 4, 99/2014, de 23 de junio, FJ 4, y 74/2015, de 27 de abril, FJ 4, con cita de la jurisprudencia precedente, la prohibición de retrasos injustificados en la marcha de los procesos judiciales impone a los Jueces y Tribunales el deber de obrar con la celeridad que les permita la duración normal o acostumbrada de los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Tales son la complejidad del litigio, los márgenes ordinarios de duración de los litigios del mismo tipo, el interés que arriesga el demandante de amparo, su conducta procesal y la conducta de las autoridades.</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Aplicando la anterior doctrina al caso se advierte, en primer lugar, que el asunto planteado no reviste una especial complejidad, al tratarse de un recurso en el que el interesado se dirigía contra una resolución desestimatoria, por silencio administrativo, de una petición de caducidad de un expediente sancionador de expulsión del territorio nacional. Teniendo en cuenta la pretensión deducida ante el órgano judicial —que ni siquiera éste califica como particularmente compleja—, no parece razonable que en un procedimiento de esta naturaleza se haya diferido la vista del recurso contencioso-administrativo, con evidente perjuicio </w:t>
      </w:r>
      <w:r>
        <w:lastRenderedPageBreak/>
        <w:t>del recurrente, a una fecha tan lejana como el 22 de enero de 2014, cuando había sido interpuesto el 7 de mayo de 2010.</w:t>
      </w:r>
    </w:p>
    <w:p w:rsidR="00163957" w:rsidRDefault="00163957" w:rsidP="00163957">
      <w:pPr>
        <w:pStyle w:val="TextoNormal"/>
      </w:pPr>
    </w:p>
    <w:p w:rsidR="00163957" w:rsidRDefault="00163957" w:rsidP="00163957">
      <w:pPr>
        <w:pStyle w:val="TextoNormal"/>
      </w:pPr>
      <w:r>
        <w:t>En cuanto al criterio relativo a los márgenes ordinarios de duración de los litigios, este Tribunal ha tenido ocasión de pronunciarse, en diferentes ocasiones, sobre la vulneración del derecho a un proceso sin dilaciones indebidas, con motivo del señalamiento de la vista, en procedimientos relativos a extranjería. Concretamente, en el supuesto analizado en la STC 142/2010, de 21 de diciembre, el señalamiento de la vista se fijó para año y medio después, respecto a la interposición del recurso contencioso-administrativo, frente a una denegación de solicitud de asilo. En supuestos de impugnación de resoluciones de expulsión, este Tribunal apreció la existencia de dilaciones, entre otras muchas, en la STC 54/2014, de 10 de abril, por un señalamiento fijado para dos años y seis meses posteriores a la interposición del recurso; en la STC 99/2014, de 23 de junio, por un señalamiento posterior en algo más de dos años a la interposición del recurso; y en la STC 88/2015, de 11 de mayo, donde el señalamiento tuvo un retraso similar al anterior. Finalmente, analizando lo ocurrido en un caso de impugnación de la denegación de una autorización de residencia, la STC 74/2015, de 27 de abril, apreció la existencia de dilaciones indebidas por un retraso en el señalamiento de la vista de dos años y medio. Por consiguiente, cabe apreciar que el presente caso se inscribe en lo que nuestra doctrina ha calificado como demora constitutiva de una dilación indebida.</w:t>
      </w:r>
    </w:p>
    <w:p w:rsidR="00163957" w:rsidRDefault="00163957" w:rsidP="00163957">
      <w:pPr>
        <w:pStyle w:val="TextoNormal"/>
      </w:pPr>
    </w:p>
    <w:p w:rsidR="00163957" w:rsidRDefault="00163957" w:rsidP="00163957">
      <w:pPr>
        <w:pStyle w:val="TextoNormal"/>
      </w:pPr>
      <w:r>
        <w:t>Por otra parte, el retraso en la tramitación procesal ha de ser ponderado de acuerdo al interés que arriesgue el recurrente en el pleito. En este caso, el interés consistía en obtener una resolución judicial que determinara si había caducado o no el expediente referido, en el que, según se hacía constar en el acuerdo de inicio del mismo, de 18 de septiembre de 2009, podía llegar a imponérsele la expulsión del territorio nacional y la prohibición de entrada en España por un periodo de tres años a diez años. Es evidente que, al igual que en otros casos, como el resuelto por las SSTC 58/2014, de 5 de mayo, FJ 5, y 99/2014, de 23 de junio, FJ 5, esta decisión afectaba necesariamente a un ámbito preferente de sus derechos e intereses legítimos.</w:t>
      </w:r>
    </w:p>
    <w:p w:rsidR="00163957" w:rsidRDefault="00163957" w:rsidP="00163957">
      <w:pPr>
        <w:pStyle w:val="TextoNormal"/>
      </w:pPr>
    </w:p>
    <w:p w:rsidR="00163957" w:rsidRDefault="00163957" w:rsidP="00163957">
      <w:pPr>
        <w:pStyle w:val="TextoNormal"/>
      </w:pPr>
      <w:r>
        <w:t>Finalmente, hemos de excluir que la conducta procesal del demandante merezca algún reproche en relación a las dilaciones ocurridas, ya que la denuncia de éstas se produjo inmediatamente, el 6 de julio de 2010, impugnando el decreto de la Secretaria Judicial del Juzgado de lo Contencioso-Administrativo núm. 18 de Madrid, de 21 de junio de 2010, que admitió a trámite la demanda y convocó a las partes para la celebración de la vista del procedimiento abreviado núm. 375-2010 en fecha tan rezagada.</w:t>
      </w:r>
    </w:p>
    <w:p w:rsidR="00163957" w:rsidRDefault="00163957" w:rsidP="00163957">
      <w:pPr>
        <w:pStyle w:val="TextoNormal"/>
      </w:pPr>
    </w:p>
    <w:p w:rsidR="00163957" w:rsidRDefault="00163957" w:rsidP="00163957">
      <w:pPr>
        <w:pStyle w:val="TextoNormal"/>
      </w:pPr>
      <w:r w:rsidRPr="00163957">
        <w:rPr>
          <w:rStyle w:val="NumeroAFNegritaCaracter"/>
        </w:rPr>
        <w:t>6</w:t>
      </w:r>
      <w:r>
        <w:t>. Ciertamente, la dilación denunciada por el demandante de amparo no tiene su origen en el silencio judicial ante peticiones de la parte, ni en la inactividad procesal durante largos períodos de tiempo, ni en la demora en proceder a señalar la fecha de la vista. Radica, exclusivamente, en el período excesivo de tiempo que media entre el momento en que se dictó el decreto inicial de señalamiento de la vista y la fecha fijada para tal acto procesal. Una decisión que fue tomada de acuerdo con las reglas de los arts. 182 de la Ley de enjuiciamiento civil y 78 LJCA, ajustándose al orden de antigüedad, por lo que el retraso parece obedecer a causas estructurales y a la carga de trabajo que pesa sobre el órgano judicial.</w:t>
      </w:r>
    </w:p>
    <w:p w:rsidR="00163957" w:rsidRDefault="00163957" w:rsidP="00163957">
      <w:pPr>
        <w:pStyle w:val="TextoNormal"/>
      </w:pPr>
    </w:p>
    <w:p w:rsidR="00163957" w:rsidRDefault="00163957" w:rsidP="00163957">
      <w:pPr>
        <w:pStyle w:val="TextoNormal"/>
      </w:pPr>
      <w:r>
        <w:lastRenderedPageBreak/>
        <w:t>Sin embargo, el hecho de que la demora se deba a esos motivos estructurales, no imputables directamente al órgano judicial, no impide apreciar la vulneración del derecho del recurrente a un proceso sin dilaciones indebidas (art. 24.2 CE), pues esta situación no altera la naturaleza injustificada de dichas dilaciones, según reiterada jurisprudencia de este Tribunal y del Tribunal Europeo de Derechos Humanos, en tanto que el ciudadano es ajeno a esas circunstancias.</w:t>
      </w:r>
    </w:p>
    <w:p w:rsidR="00163957" w:rsidRDefault="00163957" w:rsidP="00163957">
      <w:pPr>
        <w:pStyle w:val="TextoNormal"/>
      </w:pPr>
    </w:p>
    <w:p w:rsidR="00163957" w:rsidRDefault="00163957" w:rsidP="00163957">
      <w:pPr>
        <w:pStyle w:val="TextoNormal"/>
      </w:pPr>
      <w:r>
        <w:t>Sobre este extremo, nos recuerda la STC 142/2010, de 21 de diciembre, FJ 4, que “como ha señalado este Tribunal, entre otras, en las SSTC 160/2004, de 4 de octubre, FJ 5, y 153/2005, de 6 de junio, FJ 6,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180/1996, de 16 de noviembre, FJ 4)”.</w:t>
      </w:r>
    </w:p>
    <w:p w:rsidR="00163957" w:rsidRDefault="00163957" w:rsidP="00163957">
      <w:pPr>
        <w:pStyle w:val="TextoNormal"/>
      </w:pPr>
    </w:p>
    <w:p w:rsidR="00163957" w:rsidRDefault="00163957" w:rsidP="00163957">
      <w:pPr>
        <w:pStyle w:val="TextoNormal"/>
      </w:pPr>
      <w:r>
        <w:t xml:space="preserve">Igual criterio sostiene el Tribunal Europeo de Derechos Humanos, al afirmar en su Sentencia de 7 de julio de 1989, caso </w:t>
      </w:r>
      <w:r w:rsidRPr="00163957">
        <w:rPr>
          <w:i/>
        </w:rPr>
        <w:t>Unión Alimentaria Sanders c. España</w:t>
      </w:r>
      <w:r>
        <w:t xml:space="preserve">, el carácter estructural de las dilaciones sufridas por la sociedad demandante, concluyendo que esta situación no puede privar a los ciudadanos de su derecho al respeto del plazo razonable (§§ 38 y 42), o cuando en la Sentencia de 11 de marzo de 2004, caso </w:t>
      </w:r>
      <w:r w:rsidRPr="00163957">
        <w:rPr>
          <w:i/>
        </w:rPr>
        <w:t>Lenaerts c. Bélgica</w:t>
      </w:r>
      <w:r>
        <w:t xml:space="preserve"> (§ 18),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w:t>
      </w:r>
    </w:p>
    <w:p w:rsidR="00163957" w:rsidRDefault="00163957" w:rsidP="00163957">
      <w:pPr>
        <w:pStyle w:val="TextoNormal"/>
      </w:pPr>
    </w:p>
    <w:p w:rsidR="00163957" w:rsidRDefault="00163957" w:rsidP="00163957">
      <w:pPr>
        <w:pStyle w:val="TextoNormal"/>
      </w:pPr>
      <w:r w:rsidRPr="00163957">
        <w:rPr>
          <w:rStyle w:val="NumeroAFNegritaCaracter"/>
        </w:rPr>
        <w:t>7</w:t>
      </w:r>
      <w:r>
        <w:t>. Por todo lo anterior, cabe concluir que se ha vulnerado en este caso el derecho a un proceso sin dilaciones indebidas del recurrente (art. 24.2 CE), como consecuencia de la fecha fijada por el órgano judicial para la celebración de la vista de su recurso contencioso-administrativo. Al igual que en otros casos resueltos por este Tribunal (por todas, STC 89/2014, de 9 de junio, FJ 7), el otorgamiento del amparo debe limitarse a la declaración de la violación del derecho fundamental, dado que, celebrada efectivamente la vista en la dilatada fecha señalada en su día, el Juzgado de lo Contencioso-Administrativo núm. 18 de Madrid dictó Sentencia de 22 de enero de 2014, estimatoria del recurso, anulando y dejando sin efecto la actuación administrativa y declarando la caducidad del procedimiento sancionador.</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don Jesús Padilla Muguercia, y, en su virtud, declarar que se ha vulnerado su derecho a un proceso sin dilaciones indebidas (art. 24.2 CE).</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veinticinco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79" w:name="SENTENCIA_2016_76"/>
      <w:r>
        <w:lastRenderedPageBreak/>
        <w:t>SENTENCIA 76/2016, de 25 de abril de 2016</w:t>
      </w:r>
    </w:p>
    <w:bookmarkEnd w:id="79"/>
    <w:p w:rsidR="00163957" w:rsidRDefault="00163957" w:rsidP="00163957">
      <w:pPr>
        <w:pStyle w:val="TtuloResolucin"/>
      </w:pPr>
      <w:r>
        <w:t>Sala Segunda</w:t>
      </w:r>
    </w:p>
    <w:p w:rsidR="00163957" w:rsidRDefault="00163957" w:rsidP="00163957">
      <w:pPr>
        <w:pStyle w:val="TtuloBOE"/>
      </w:pPr>
      <w:r>
        <w:t>(BOE núm. 131, de 31 de mayo de 2016)</w:t>
      </w:r>
    </w:p>
    <w:p w:rsidR="00163957" w:rsidRDefault="00163957" w:rsidP="00163957">
      <w:pPr>
        <w:pStyle w:val="TextoNormalCentrado"/>
      </w:pPr>
      <w:r>
        <w:t>ECLI:ES:TC:2016:76</w:t>
      </w:r>
    </w:p>
    <w:p w:rsidR="00163957" w:rsidRDefault="00163957" w:rsidP="00163957">
      <w:pPr>
        <w:pStyle w:val="TextoNormalCentrado"/>
      </w:pPr>
    </w:p>
    <w:p w:rsidR="00163957" w:rsidRDefault="00163957" w:rsidP="00163957">
      <w:pPr>
        <w:pStyle w:val="SntesisDescriptiva"/>
      </w:pPr>
      <w:r>
        <w:t>Recurso de amparo 8423-2010. Promovido por doña Jeaneth Fátima Churqui Mercado respecto de los decretos dictados por la Secretaría Judicial de un Juzgado de lo Contencioso-Administrativo de Madrid, convocando a las partes para la celebración de vista en proceso sobre orden de expulsión del territorio nacional.</w:t>
      </w:r>
    </w:p>
    <w:p w:rsidR="00163957" w:rsidRDefault="00163957" w:rsidP="00163957">
      <w:pPr>
        <w:pStyle w:val="SntesisDescriptiva"/>
      </w:pPr>
    </w:p>
    <w:p w:rsidR="00163957" w:rsidRDefault="00163957" w:rsidP="00163957">
      <w:pPr>
        <w:pStyle w:val="SntesisAnaltica"/>
      </w:pPr>
      <w:r>
        <w:t>Vulneración del derecho a un proceso sin dilaciones indebidas: demora superior a tres años en la celebración de la vista del juicio en un procedimiento abreviado contencioso-administrativo (STC 63/2016).</w:t>
      </w:r>
    </w:p>
    <w:p w:rsidR="00163957" w:rsidRDefault="00163957" w:rsidP="00163957">
      <w:pPr>
        <w:pStyle w:val="SntesisAnaltica"/>
      </w:pPr>
    </w:p>
    <w:p w:rsidR="00163957" w:rsidRDefault="00163957" w:rsidP="00163957">
      <w:pPr>
        <w:pStyle w:val="Extracto"/>
      </w:pPr>
      <w:r>
        <w:t>1.</w:t>
      </w:r>
      <w:r>
        <w:tab/>
        <w:t>Asunto sustancialmente idéntico al resuelto por la STC 63/2016, relativa a la doctrina sobre el derecho a un proceso sin dilaciones indebidas en materia de extranjería [FFJJ 3 a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Dal-Re,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8423-2010, promovido por doña Jeaneth Fátima Churqui Mercado, representada por la Procuradora de los Tribunales doña María Esperanza Higuera Ruiz y asistida por el Letrado don Antonio Benayas García, contra el decreto del Secretario Judicial del Juzgado de lo Contencioso-Administrativo núm. 16 de Madrid de 25 de octubre de 2010, por el que se desestima el recurso de reposición contra el decreto de 10 de septiembre de 2010, que señala el día 19 de septiembre de 2013 para la celebración de la vista del recurso contencioso-administrativo interpuesto contra la resolución de la Delegación del Gobierno en Madrid de 1 de junio de 2010 por la que se le impone una sanción en materia de extranjería. Ha sido parte el Abogado del Estado y ha intervenido el Ministerio Fiscal. Ha sido Ponente el Magistrado don Ricardo Enríquez Sancho, quien expresa el parecer del Tribunal.</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Por escrito presentado en el Registro General de este Tribunal el día 1 de diciembre de 2010, doña Jeaneth Fátima Churqui Mercado, representada por la Procuradora de los Tribunales doña María Esperanza Higuera Ruiz y asistida por el Letrado don Antonio Benayas García, interpuso recurso de amparo contra las resoluciones que se citan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La demanda de amparo trae causa de los siguientes hechos:</w:t>
      </w:r>
    </w:p>
    <w:p w:rsidR="00163957" w:rsidRDefault="00163957" w:rsidP="00163957">
      <w:pPr>
        <w:pStyle w:val="TextoNormal"/>
      </w:pPr>
    </w:p>
    <w:p w:rsidR="00163957" w:rsidRDefault="00163957" w:rsidP="00163957">
      <w:pPr>
        <w:pStyle w:val="TextoNormal"/>
      </w:pPr>
      <w:r>
        <w:t>a) El 15 de julio de 2010 la ciudadana boliviana doña Jeaneth Fátima Churqui Mercado presentó demanda en la que interponía recurso contencioso-administrativo, a tramitar por el procedimiento abreviado, contra la resolución de la Delegación del Gobierno en Madrid de 1 de junio de 2010 que le impuso una multa de 501 € como responsable de la infracción grave prevista en el art. 53.1 a) de la Ley Orgánica 4/2000, de 11 de enero, sobre derechos y libertades de los extranjeros en España y su integración social y le advirtió que debía abandonar el territorio español en el plazo de 15 días.</w:t>
      </w:r>
    </w:p>
    <w:p w:rsidR="00163957" w:rsidRDefault="00163957" w:rsidP="00163957">
      <w:pPr>
        <w:pStyle w:val="TextoNormal"/>
      </w:pPr>
    </w:p>
    <w:p w:rsidR="00163957" w:rsidRDefault="00163957" w:rsidP="00163957">
      <w:pPr>
        <w:pStyle w:val="TextoNormal"/>
      </w:pPr>
      <w:r>
        <w:t>b) Correspondió conocer del recurso al Juzgado de lo Contencioso-Administrativo núm. 16 de Madrid, cuyo Secretario dictó el 10 de septiembre de 2010 decreto en el que admitió la demanda y señaló el día 19 de noviembre de 2013 como fecha para la celebración de la vista.</w:t>
      </w:r>
    </w:p>
    <w:p w:rsidR="00163957" w:rsidRDefault="00163957" w:rsidP="00163957">
      <w:pPr>
        <w:pStyle w:val="TextoNormal"/>
      </w:pPr>
    </w:p>
    <w:p w:rsidR="00163957" w:rsidRDefault="00163957" w:rsidP="00163957">
      <w:pPr>
        <w:pStyle w:val="TextoNormal"/>
      </w:pPr>
      <w:r>
        <w:t>c) La representación de la Sra. Churqui Mercado interpuso recurso de reposición contra el decreto citado, en el que pidió que se adelantara la fecha de la vista, con una única alegación del siguiente tenor:</w:t>
      </w:r>
    </w:p>
    <w:p w:rsidR="00163957" w:rsidRDefault="00163957" w:rsidP="00163957">
      <w:pPr>
        <w:pStyle w:val="TextoNormal"/>
      </w:pPr>
    </w:p>
    <w:p w:rsidR="00163957" w:rsidRDefault="00163957" w:rsidP="00163957">
      <w:pPr>
        <w:pStyle w:val="TextoNormal"/>
      </w:pPr>
      <w:r>
        <w:t>“Que, a criterio del suscribe, la citada providencia (sic) conculca en el artículo 24.2 de la Constitución Española ya que la demora en la celebración de la vista oral es una dilación injusta que provoca la indefensión del (sic) recurrente y que podría ocasionarle graves perjuicios”.</w:t>
      </w:r>
    </w:p>
    <w:p w:rsidR="00163957" w:rsidRDefault="00163957" w:rsidP="00163957">
      <w:pPr>
        <w:pStyle w:val="TextoNormal"/>
      </w:pPr>
    </w:p>
    <w:p w:rsidR="00163957" w:rsidRDefault="00163957" w:rsidP="00163957">
      <w:pPr>
        <w:pStyle w:val="TextoNormal"/>
      </w:pPr>
      <w:r>
        <w:t xml:space="preserve">d) En un nuevo decreto de 25 de octubre de 2010 el Secretario desestimó el recurso de reposición razonando que se había efectuado el señalamiento para la vista por riguroso orden de antigüedad, de acuerdo con el art. 78.3 de la Ley 29/1998, de 13 de julio, reguladora de la jurisdicción contencioso-administrativa (LJCA), en relación con el art. 182 de la Ley de enjuiciamiento civil (LEC), y que la solución al problema de la saturación estructural de los juzgados de lo Contencioso-administrativo era ajena a su competencia. El decreto se notificó con la indicación de que era firme, sin perjuicio de poder reproducir la cuestión al recurrir, si fuera procedente, la resolución definitiva, según el apartado 2 del art. 102 </w:t>
      </w:r>
      <w:r w:rsidRPr="00163957">
        <w:rPr>
          <w:i/>
        </w:rPr>
        <w:t>bis</w:t>
      </w:r>
      <w:r>
        <w:t xml:space="preserve"> LJCA.</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En la demanda se afirma que el recurso de amparo se interpone contra un acto procedente de un órgano judicial, al que se imputa la violación del derecho fundamental de la recurrente a un proceso sin dilaciones indebidas del art. 24.2 CE, precepto que reconoce un derecho no a un estricto cumplimiento de los plazos procesales, sino a la tramitación de los asuntos ante los tribunales en plazos razonables, para lo que ha de valorarse la complejidad </w:t>
      </w:r>
      <w:r>
        <w:lastRenderedPageBreak/>
        <w:t>del litigio y el comportamiento procesal de los litigantes. Se trata de un derecho exigible en todos los órdenes jurisdiccionales y, en especial en los recursos contencioso-administrativos contra resoluciones sancionadoras. En el caso de la demandante se trata de impugnar un acto que impone una sanción grave de multa y abandono el territorio español en virtud del art. 53.1 a) de la Ley Orgánica 4/2000, de 11 de enero, sobre derechos y libertades de los extranjeros en España y su integración social, que, siendo firme en la vía administrativa, puede ser ejecutada por la Administración, por lo que la dilación en el recurso contencioso-administrativo puede causar un daño irreversible. Se trata, por otra parte, de un caso que no es complejo y en el que el comportamiento procesal de la demandante ha sido intachable, pese a lo cual la celebración de la vista se ha fijado para más de tres años después de la presentación de la demanda. Tras exponer que el recurso tenía especial trascendencia constitucional por tratar de un problema que afecta a miles de ciudadanos extranjeros que por una dilación injustificada pueden ser expulsados de España sin haber podido acceder a los tribunales y alegar que se cumplían los requisitos procesales para su admisión, pidió la representación de la demandante que se dictara Sentencia por la que se declare que el decreto impugnado vulneraba su derecho a un proceso sin dilaciones indebidas e imponiendo que se dictara resolución sobre el fondo en un plazo razonable.</w:t>
      </w:r>
    </w:p>
    <w:p w:rsidR="00163957" w:rsidRDefault="00163957" w:rsidP="00163957">
      <w:pPr>
        <w:pStyle w:val="TextoNormal"/>
      </w:pPr>
    </w:p>
    <w:p w:rsidR="00163957" w:rsidRDefault="00163957" w:rsidP="00163957">
      <w:pPr>
        <w:pStyle w:val="TextoNormal"/>
      </w:pPr>
      <w:r w:rsidRPr="00163957">
        <w:rPr>
          <w:rStyle w:val="NumeroAFNegritaCaracter"/>
        </w:rPr>
        <w:t>4</w:t>
      </w:r>
      <w:r>
        <w:t>. En providencia de la Sala Segunda de 10 de mayo de 2012 se acordó admitir el recurso y que se reclamara del Juzgado de lo Contencioso-Administrativo núm. 16 de Madrid certificación o fotocopia adverada de las actuaciones del procedimiento abreviado en el que se había dictado el decreto impugnado, con emplazamiento de los interesados. Recibido el testimonio de las actuaciones, se acordó dar vista de las mismas a las partes personadas —la demandante de amparo y la Administración general del Estado— y al Ministerio Fiscal durante veinte días, dentro de los cuales podrían presentar alegaciones, conforme al art. 52.1 LOTC.</w:t>
      </w:r>
    </w:p>
    <w:p w:rsidR="00163957" w:rsidRDefault="00163957" w:rsidP="00163957">
      <w:pPr>
        <w:pStyle w:val="TextoNormal"/>
      </w:pPr>
    </w:p>
    <w:p w:rsidR="00163957" w:rsidRDefault="00163957" w:rsidP="00163957">
      <w:pPr>
        <w:pStyle w:val="TextoNormal"/>
      </w:pPr>
      <w:r w:rsidRPr="00163957">
        <w:rPr>
          <w:rStyle w:val="NumeroAFNegritaCaracter"/>
        </w:rPr>
        <w:t>5</w:t>
      </w:r>
      <w:r>
        <w:t>. En nombre de la Administración General del Estado el Abogado del Estado, en un escrito presentado el día 3 de septiembre de 2012, interesó que se declarase no admisible el recurso de amparo por no haberse justificado debidamente su especial trascendencia constitucional, y, subsidiariamente, la desestimación del recurso interpuesto. Con cita de la STC 94/2008, de 21 de julio, expone que para apreciar si se han producido retrasos indebidos en la marcha de los procesos han de valorarse el interés arriesgado en el pleito, la duración de los litigios del mismo tipo y la conducta procesal de litigante. En el pleito de origen se impugnaba una orden de salida obligatoria de España; el interés del litigante debe ponderarse con la circunstancia de que no solicitó la suspensión cautelar de la orden de salida, actitud pasiva que ha contribuido a que la fecha señalada para la vista pueda tener los efectos prácticos que denuncia, pero que no se habrían producido si hubiera sido más diligente. Es cierto que existe doctrina jurisprudencial según la cual la circunstancia de que las demoras en la tramitación de los litigios se deban a deficiencias estructurales no impide la concesión del amparo. Pero el Abogado del Estado defiende que esa doctrina merece alguna profundización y concreción. Las deficiencias estructurales que debieran llevar a la concesión del amparo son las que pudieran ser corregidas o eliminadas a corto plazo con un uso más racional y eficiente de los medios humanos y materiales disponibles, que el demandante deberá identificar mínimamente. Es escasamente realista comparar la realidad del sistema judicial con una especie de ideal de funcionamiento que no se alcanzaría por mucho que se incrementara la inversión en organización judicial; por el contrario, las deficiencias estruc</w:t>
      </w:r>
      <w:r>
        <w:lastRenderedPageBreak/>
        <w:t>turales deberían medirse en relación con el estándar de la prestación razonablemente exigible a un servicio público, cuya concreta configuración debe tener en cuenta lo que de manera realista pueda esperar un usuario atendido al nivel medio de prestación del servicio a los demás. Con este matiz resulta dudoso que el caso planteado pueda hablarse de deficiencia estructural merecedora de la concesión del amparo.</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El Fiscal, mediante escrito presentado el 3 de octubre de 2012, interesó en primer lugar que este Tribunal se pronunciara sobre la posible concurrencia de la causa de inadmisibilidad derivada de no haberse de agotado todos los medios de impugnación, pues el recurso de amparo se ha interpuesto directamente contra los decretos del Secretario del Juzgado de lo Contencioso-Administrativo núm. 16 de Madrid. Expone el Fiscal que el apartado 2 del art. 102 </w:t>
      </w:r>
      <w:r w:rsidRPr="00163957">
        <w:rPr>
          <w:i/>
        </w:rPr>
        <w:t>bis</w:t>
      </w:r>
      <w:r>
        <w:t xml:space="preserve"> LJCA no contempla la posibilidad de recurso de revisión contra los decretos de los secretarios que resuelven recursos de reposición más que si así está previsto expresamente o si tales decretos ponen fin al procedimiento o impiden su continuación. Según el Fiscal cabría considerar que la recurrente ha agotado los medios de impugnación, pues denunció la supuesta lesión de su derecho a un proceso sin dilaciones indebidas en el recurso de reposición que interpuso contra el decreto de 10 de septiembre de 2010, sin que contra la decisión desestimatoria de ese recurso de reposición, que la ley atribuye al secretario, quepa nuevo recurso. Pero, según el Fiscal, la imposibilidad de obtener la revisión judicial de un decreto del secretario del que deriva la supuesta lesión de un derecho fundamental es sólo aparente; del preámbulo de la Ley 13/2009, de 3 de noviembre, de reforma de la legislación procesal para la implantación de la nueva oficina judicial, que estableció la redacción del art. 102 </w:t>
      </w:r>
      <w:r w:rsidRPr="00163957">
        <w:rPr>
          <w:i/>
        </w:rPr>
        <w:t>bis</w:t>
      </w:r>
      <w:r>
        <w:t xml:space="preserve"> LJCA, se desprende que forman parte de la función jurisdiccional, desempeñada exclusivamente por los jueces y tribunales, todos aquellos supuestos en que pueda estar comprometida la afectación de un derecho fundamental y su posible reparación y que no puede quedar fuera del control judicial la revisión de las resoluciones de los secretarios cuando las mismas puedan afectar a los derechos fundamentales invocados por los ciudadanos a través de los mecanismos procesales oportunos. La falta de previsión legal expresa acerca de la revisión judicial de las resoluciones de los secretarios no puede suponer, desde la perspectiva de protección de los derechos fundamentales por los tribunales ordinarios, la imposibilidad de control judicial. Cuando el art. 44.1 de la Ley Orgánica del Tribunal Constitucional (LOTC) establece la posibilidad de recurrir en amparo frente a la lesión de derechos fundamentales causada directamente por actos y omisiones de los órganos judiciales, se está refiriendo a los actos y omisiones del órgano judicial en sentido estricto, como el órgano que ejerce la función jurisdiccional, y no en un sentido amplio, comprensivo de los actos y decisiones que puedan ser adoptados por el personal al servicio de la Administración de Justicia que integra la oficina judicial, a cuyo frente se encuentran los secretarios. Según el Fiscal, resulta evidente que en los casos en que se impugna una resolución del secretario judicial por estimar que en ella se vulnera un derecho fundamental, dicha impugnación no puede ser resuelta por el propio secretario. Una interpretación favorable a la posibilidad de que los secretarios enjuicien las lesiones de derechos fundamentales que puedan ocasionar sus resoluciones es contraria al espíritu de la Ley 13/2009, de 3 de noviembre, pues su propio preámbulo pone de manifiesto que fue intención del legislador que las nuevas atribuciones de los secretarios no afectaran a la función estrictamente jurisdiccional. Por otro lado, un recurso de amparo directo contra resoluciones del secretario que no han sido objeto de revisión judicial resulta contrario a la propia naturaleza subsidiaria de aquél y al recto entender de la Ley Orgánica del Tribunal Constitucional cuando se refiere a la lesión de los derechos por los actos y omisiones de los órganos judiciales. Además, no </w:t>
      </w:r>
      <w:r>
        <w:lastRenderedPageBreak/>
        <w:t xml:space="preserve">es coherente exigir que la decisión judicial supuestamente vulneradora de derechos fundamentales deba ser revisada mediante la utilización de los recursos previstos en las leyes procesales o, en su caso, mediante el incidente de nulidad de actuaciones, y entender, en cambio, que puede articularse directamente el amparo constitucional si la resolución a la que se imputa la vulneración procede de un secretario judicial, sin necesidad de control judicial previo. En este caso hay que entender que el Secretario no era competente para conocer de la impugnación de su decreto, en cuanto se alegaba la vulneración del derecho fundamental a un proceso sin dilaciones indebidas, debiendo haberse dado traslado al Juez para que resolviera. En este sentido, y por considerar que no es imputable a la demandante la falta de agotamiento, interesaba el Fiscal que se declarase la nulidad del decreto del Secretario Judicial de 25 de octubre de 2010 que desestimó el recurso de reposición de la demandante a fin de que dicha impugnación fuera objeto de revisión por el Juez en el ejercicio de una estricta potestad jurisdiccional. Alternativamente, y para el caso que se entendiera que la lesión del derecho fundamental resulta de que la reforma introducida por la Ley 13/2009, de 3 de noviembre, impide que la supuesta lesión de un derecho fundamental en resoluciones de los secretarios judiciales pueda ser enjuiciada y reparada por los Jueces (art. 102 </w:t>
      </w:r>
      <w:r w:rsidRPr="00163957">
        <w:rPr>
          <w:i/>
        </w:rPr>
        <w:t>bis</w:t>
      </w:r>
      <w:r>
        <w:t xml:space="preserve"> LJCA en relación con el 78.3), no siendo posible una interpretación de la norma procesal </w:t>
      </w:r>
      <w:r w:rsidRPr="00163957">
        <w:rPr>
          <w:i/>
        </w:rPr>
        <w:t>secundum Constitutione</w:t>
      </w:r>
      <w:r>
        <w:t>, deberá elevarse la cuestión al Pleno, con suspensión del plazo para dictar sentencia, de conformidad con los arts. 35 y siguientes LOTC.</w:t>
      </w:r>
    </w:p>
    <w:p w:rsidR="00163957" w:rsidRDefault="00163957" w:rsidP="00163957">
      <w:pPr>
        <w:pStyle w:val="TextoNormal"/>
      </w:pPr>
    </w:p>
    <w:p w:rsidR="00163957" w:rsidRDefault="00163957" w:rsidP="00163957">
      <w:pPr>
        <w:pStyle w:val="TextoNormal"/>
      </w:pPr>
      <w:r>
        <w:t>Si se entendiera que nada obstaculiza la admisión del recurso de amparo, considera el Fiscal que el mismo debería ser estimado, declarándose que se ha vulnerado el derecho a un proceso sin dilaciones indebidas de quien lo ha promovido. Dice que la alegación de vulneración del derecho a un proceso sin dilaciones indebidas formulada en el recurso de reposición interpuesto por la demandante se desestimó exclusivamente con fundamento en la concurrencia de problemas estructurales de los órganos de la Administración de Justicia encargados de la tramitación y resolución del pleito, debido a la excesiva acumulación de asuntos, que desborda la posibilidad de resolver en un tiempo razonable como exige el art. 6.1 del Convenio europeo para la protección de los derechos humanos y de las libertades fundamentales expone igualmente que los señalamientos se hacen por riguroso orden de antigüedad, tal y como establece el art. 78.3 LJCA en relación con el art. 182 LEC. El decreto impugnado no se refiere a la naturaleza del proceso, la complejidad del asunto o a la posibilidad de darle prioridad en función del interés que en el mismo se ventila. Según la jurisprudencia constitucional (SSTC 93/2008, de 21 de julio y 141/2010, de 21 diciembre) la existencia de razones estructurales u organizativas relacionadas con el gran volumen de asuntos de que conocen los tribunales no constituye una justificación relevante para evitar calificar como indebidas las dilaciones objetivas que padece la tramitación de los procesos. El otorgamiento del amparo debe limitarse a la declaración de la lesión, sin que pueda el Tribunal Constitucional ordenar un señalamiento anticipado de la vista, dado que el órgano judicial actuó con diligencia y la infracción del derecho es debida solo a razones estructurales de acumulación de asuntos (STC 141/2010, FJ 5).</w:t>
      </w:r>
    </w:p>
    <w:p w:rsidR="00163957" w:rsidRDefault="00163957" w:rsidP="00163957">
      <w:pPr>
        <w:pStyle w:val="TextoNormal"/>
      </w:pPr>
    </w:p>
    <w:p w:rsidR="00163957" w:rsidRDefault="00163957" w:rsidP="00163957">
      <w:pPr>
        <w:pStyle w:val="TextoNormal"/>
      </w:pPr>
      <w:r w:rsidRPr="00163957">
        <w:rPr>
          <w:rStyle w:val="NumeroAFNegritaCaracter"/>
        </w:rPr>
        <w:t>7</w:t>
      </w:r>
      <w:r>
        <w:t>. En escrito presentado el 12 de septiembre de 2012 la representación procesal de la demandante se ratificó en la demanda; alegó, además, que su comportamiento procesal había sido intachable y que el perjuicio que ocasionaba la dilación padecida era irreversible.</w:t>
      </w:r>
    </w:p>
    <w:p w:rsidR="00163957" w:rsidRDefault="00163957" w:rsidP="00163957">
      <w:pPr>
        <w:pStyle w:val="TextoNormal"/>
      </w:pPr>
    </w:p>
    <w:p w:rsidR="00163957" w:rsidRDefault="00163957" w:rsidP="00163957">
      <w:pPr>
        <w:pStyle w:val="TextoNormal"/>
      </w:pPr>
      <w:r w:rsidRPr="00163957">
        <w:rPr>
          <w:rStyle w:val="NumeroAFNegritaCaracter"/>
        </w:rPr>
        <w:t>8</w:t>
      </w:r>
      <w:r>
        <w:t>. En providencia de 21 de abril de 2016, se acordó que la deliberación y fallo del recurso tendría lugar el día 25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amparo se dirige contra la diligencia de ordenación del Secretario Judicial (Letrado de la Administración de Justicia, en su denominación actual tras la Ley Orgánica 7/2015) del Juzgado de lo Contencioso-Administrativo núm. 16 de Madrid de 25 de octubre de 2010, que desestima el recurso de reposición interpuesto contra el previo decreto del mismo Secretario Judicial de 10 de septiembre de 2010, por el que se señala el día 19 de septiembre de 2013 para la celebración de la vista del recurso contencioso-administrativo interpuesto el 15 de julio de 2010 contra la resolución de la Delegación del Gobierno en Madrid de 1 de junio de 2010 por la que se impone a la recurrente una sanción en materia de extranjería de 501 € con advertencia de su deber de abandonar el territorio español en el plazo de 15 días a contar desde la notificación de la resolución administrativa.</w:t>
      </w:r>
    </w:p>
    <w:p w:rsidR="00163957" w:rsidRDefault="00163957" w:rsidP="00163957">
      <w:pPr>
        <w:pStyle w:val="TextoNormal"/>
      </w:pPr>
    </w:p>
    <w:p w:rsidR="00163957" w:rsidRDefault="00163957" w:rsidP="00163957">
      <w:pPr>
        <w:pStyle w:val="TextoNormal"/>
      </w:pPr>
      <w:r>
        <w:t>Considera la actora que dichas resoluciones vulneran su derecho fundamental a un proceso sin dilaciones indebidas, garantizado en el art. 24.2 CE, teniendo en cuenta que el señalamiento de la vista del procedimiento abreviado [art. 78.3 de la Ley reguladora de la jurisdicción contencioso-administrativa (LJCA)] se produjo para más de tres años después de la fecha de interposición del recurso, e incluso del propio decreto de señalamiento. Para el recurrente, ello representa un retraso excesivo que supera con creces las previsiones legales establecidas al respecto y el carácter razonable del plazo en el que debe desenvolverse el procedimiento abreviado regulado en el art. 78 LJCA en función de las circunstancias del caso.</w:t>
      </w:r>
    </w:p>
    <w:p w:rsidR="00163957" w:rsidRDefault="00163957" w:rsidP="00163957">
      <w:pPr>
        <w:pStyle w:val="TextoNormal"/>
      </w:pPr>
    </w:p>
    <w:p w:rsidR="00163957" w:rsidRDefault="00163957" w:rsidP="00163957">
      <w:pPr>
        <w:pStyle w:val="TextoNormal"/>
      </w:pPr>
      <w:r>
        <w:t>El Abogado del Estado, como ha quedado expuesto con más detalle en los antecedentes, ha interesado la inadmisión del recurso de amparo por carecer de especial trascendencia constitucional, y, subsidiariamente, su desestimación. Por su parte, el Ministerio Fiscal solicita primeramente un pronunciamiento expreso de este Tribunal sobre la admisibilidad de este recurso de amparo, cuyo objeto es una resolución del Secretario Judicial y no del Juez, titular exclusivo de la potestad jurisdiccional (art. 117.3 CE), por la posible falta de agotamiento de todos los medios de impugnación existentes en la vía judicial ordinaria [art. 44.1 a) de la Ley Orgánica del Tribunal Constitucional (LOTC)] soslayándose así el carácter subsidiario del recurso de amparo constitucional (art. 53.2 CE). Y “[p]ara el supuesto en que se entendiera que no es de apreciar causa alguna de inadmisibilidad por defectos procesales”, el representante del Ministerio público interesa el otorgamiento del amparo solicitado.</w:t>
      </w:r>
    </w:p>
    <w:p w:rsidR="00163957" w:rsidRDefault="00163957" w:rsidP="00163957">
      <w:pPr>
        <w:pStyle w:val="TextoNormal"/>
      </w:pPr>
    </w:p>
    <w:p w:rsidR="00163957" w:rsidRDefault="00163957" w:rsidP="00163957">
      <w:pPr>
        <w:pStyle w:val="TextoNormal"/>
      </w:pPr>
      <w:r>
        <w:t>Así trabado el debate, el presente recurso de amparo guarda sustancial identidad, tanto en el fondo como en los óbices procesales planteados, con el recientemente resuelto en la STC 63/2016 de 11 de abril, por lo que los razonamientos de esta última Sentencia han de ser aquí de plena aplicación.</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análisis de la cuestión de fondo, es preciso abordar el estudio del óbice procesal opuesto por el Abogado del Estado que, como ya se ha indicado, considera que el recurso debe ser inadmitido por carecer de especial trascendencia constitucional.</w:t>
      </w:r>
    </w:p>
    <w:p w:rsidR="00163957" w:rsidRDefault="00163957" w:rsidP="00163957">
      <w:pPr>
        <w:pStyle w:val="TextoNormal"/>
      </w:pPr>
    </w:p>
    <w:p w:rsidR="00163957" w:rsidRDefault="00163957" w:rsidP="00163957">
      <w:pPr>
        <w:pStyle w:val="TextoNormal"/>
      </w:pPr>
      <w:r>
        <w:lastRenderedPageBreak/>
        <w:t xml:space="preserve">Tal y como se ha adelantado en el fundamento jurídico anterior, esta causa de inadmisión fue asimismo examinada en la STC 63/2016 de 11 de abril, FJ 2, donde apreciamos, por una parte, que el recurrente había cumplido con la carga de alegar sobre la concurrencia de este requisito procesal tal como le exige hacer el art. 49.1 </w:t>
      </w:r>
      <w:r w:rsidRPr="00163957">
        <w:rPr>
          <w:i/>
        </w:rPr>
        <w:t>in fine</w:t>
      </w:r>
      <w:r>
        <w:t xml:space="preserve"> LOTC, y, por otra, que el requisito procesal de la “especial trascendencia constitucional” determinante de la admisión del recurso efectivamente concurría [apreciación que corresponde hacer exclusivamente a este Tribunal, atendiendo a los criterios señalados en el art. 50.1 b) LOTC]. Una valoración que ya en la STC 63/2016 de 11 de abril, FJ 2, se hizo extensiva a los “otros cinco recursos de amparo” de esta misma serie “admitidos a trámite y pendientes de Sentencia” (esto es, recursos de amparo interpuestos contra decretos del Secretario Judicial señalando la vista de recursos contencioso-administrativos contra sanciones en materia de extranjería por vulneración del derecho a un proceso sin dilaciones indebidas), uno de los cuales es el que ahora resolvemos.</w:t>
      </w:r>
    </w:p>
    <w:p w:rsidR="00163957" w:rsidRDefault="00163957" w:rsidP="00163957">
      <w:pPr>
        <w:pStyle w:val="TextoNormal"/>
      </w:pPr>
    </w:p>
    <w:p w:rsidR="00163957" w:rsidRDefault="00163957" w:rsidP="00163957">
      <w:pPr>
        <w:pStyle w:val="TextoNormal"/>
      </w:pPr>
      <w:r>
        <w:t>a) Por lo que respecta al primero de los dos requisitos apuntados, el levantamiento de la carga procesal que incumbe al recurrente, en este caso, como sucedió en el resuelto en la STC 63/2016 de 11 de abril, la demanda contiene un razonamiento específico sobre la especial trascendencia constitucional del recurso, con cita expresa de uno de los supuestos catalogados en la STC 155/2009, de 25 de junio, FJ 2; en concreto el incumplimiento general y reiterado por la jurisdicción ordinaria de la doctrina de este Tribunal sobre el derecho a un proceso sin dilaciones indebidas [supuesto e)], afectando ese incumplimiento además a “miles de ciudadanos” extranjeros que durante todo el tiempo de espera hasta el señalamiento de la vista y la resolución de su recurso se ven “abocados a una estancia irregular” y “precaria”.</w:t>
      </w:r>
    </w:p>
    <w:p w:rsidR="00163957" w:rsidRDefault="00163957" w:rsidP="00163957">
      <w:pPr>
        <w:pStyle w:val="TextoNormal"/>
      </w:pPr>
    </w:p>
    <w:p w:rsidR="00163957" w:rsidRDefault="00163957" w:rsidP="00163957">
      <w:pPr>
        <w:pStyle w:val="TextoNormal"/>
      </w:pPr>
      <w:r>
        <w:t>Por lo tanto, y con independencia de la valoración que las alegaciones recogidas en la demanda puedan merecer, cabe apreciar un esfuerzo argumental de la parte recurrente destinado a cumplimentar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w:t>
      </w:r>
    </w:p>
    <w:p w:rsidR="00163957" w:rsidRDefault="00163957" w:rsidP="00163957">
      <w:pPr>
        <w:pStyle w:val="TextoNormal"/>
      </w:pPr>
    </w:p>
    <w:p w:rsidR="00163957" w:rsidRDefault="00163957" w:rsidP="00163957">
      <w:pPr>
        <w:pStyle w:val="TextoNormal"/>
      </w:pPr>
      <w:r>
        <w:t>b) Y en relación a la efectiva concurrencia de este requisito procesal, también en este caso son de apreciar las mismas razones que en el resuelto en la STC 63/2016 de 11 de abril: “el recurso plantea dos aspectos que le otorgan especial trascendencia constitucional: por una parte, la propia causa alegada por el actor, que resulta corroborada a poco que se consulten los más recientes pronunciamientos estimatorios de este Tribunal en materia de dilaciones indebidas (SSTC 54/2014, de 10 de abril; 58/2014, de 5 de mayo; 99/2014, de 23 de junio; 74/2015, de 27 de abril, y 87/2015 y 88/2015, de 11 de mayo), referidos todos ellos a asuntos de extranjería seguidos ante distintos Juzgados de lo Contencioso-Administrativo de Madrid, circunstancia que concurre igualmente en otros cinco recursos de amparo admitidos a trámite y pendientes de Sentencia. Por otra parte, porque el recurso suscitó a este Tribunal Constitucional la necesidad de afrontar el problema derivado de la exclusión de la intervención judicial, conforme al art. 102.bis.2 LJCA, respecto a decisiones de los secretarios judiciales, lo que impedía la observancia del principio de subsidiariedad del recurso de amparo ante este Tribunal, y correlativo cumplimiento de la exigencia establecida en el art. 44.1 a) LOTC. Lo cual motivó el planteamiento de una cuestión interna de inconstitucionalidad, resuelta en sentido estimatorio por el Pleno en STC 58/2016, de 17 de marzo”.</w:t>
      </w:r>
    </w:p>
    <w:p w:rsidR="00163957" w:rsidRDefault="00163957" w:rsidP="00163957">
      <w:pPr>
        <w:pStyle w:val="TextoNormal"/>
      </w:pPr>
    </w:p>
    <w:p w:rsidR="00163957" w:rsidRDefault="00163957" w:rsidP="00163957">
      <w:pPr>
        <w:pStyle w:val="TextoNormal"/>
      </w:pPr>
      <w:r>
        <w:t xml:space="preserve">Las anteriores precisiones sobre la especial trascendencia constitucional se formulan “en salvaguarda del principio de seguridad jurídica que, conforme a la Sentencia del Tribunal Europeo de Derechos Humanos de 20 de enero de 2015, dictada en el asunto </w:t>
      </w:r>
      <w:r w:rsidRPr="00163957">
        <w:rPr>
          <w:i/>
        </w:rPr>
        <w:t>Arribas Antón c.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Esta segunda causa de especial trascendencia constitucional apuntada nos conduce a tratar la segunda causa de inadmisibilidad suscitada, en este caso por el Fiscal. Como ha quedado reflejado con detalle en los antecedentes, cuestiona el Ministerio público el cumplimiento del requisito del agotamiento de los recursos utilizables en la vía judicial ordinaria [art. 44.1 a) LOTC], necesario para preservar el carácter subsidiario del recurso de amparo ante el Tribunal Constitucional derivado del art. 53.2 CE, teniendo en cuenta que el recurso de amparo se dirige contra un decreto del Secretario Judicial que por expresa disposición legal (art. 102 </w:t>
      </w:r>
      <w:r w:rsidRPr="00163957">
        <w:rPr>
          <w:i/>
        </w:rPr>
        <w:t>bis</w:t>
      </w:r>
      <w:r>
        <w:t>.2 LJCA) no podía recurrirse en aquel momento ante el titular del órgano jurisdiccional.</w:t>
      </w:r>
    </w:p>
    <w:p w:rsidR="00163957" w:rsidRDefault="00163957" w:rsidP="00163957">
      <w:pPr>
        <w:pStyle w:val="TextoNormal"/>
      </w:pPr>
    </w:p>
    <w:p w:rsidR="00163957" w:rsidRDefault="00163957" w:rsidP="00163957">
      <w:pPr>
        <w:pStyle w:val="TextoNormal"/>
      </w:pPr>
      <w:r>
        <w:t xml:space="preserve">Esta cuestión ha sido resuelta en la STC 63/2016 de 11 de abril, por remisión a lo razonado en la STC (Pleno) 58/2016, de 17 de marzo, dictada en la cuestión interna de inconstitucionalidad planteada en aquel caso respecto del citado art. 102 </w:t>
      </w:r>
      <w:r w:rsidRPr="00163957">
        <w:rPr>
          <w:i/>
        </w:rPr>
        <w:t>bis</w:t>
      </w:r>
      <w:r>
        <w:t>, apartado 2, LJCA, que era el que no permitía interponer recurso de revisión ante el titular del órgano jurisdiccional contra los decretos no definitivos del Secretario Judicial (como es el caso del decreto señalando la vista del procedimiento abreviado del art. 78 3 LJCA).</w:t>
      </w:r>
    </w:p>
    <w:p w:rsidR="00163957" w:rsidRDefault="00163957" w:rsidP="00163957">
      <w:pPr>
        <w:pStyle w:val="TextoNormal"/>
      </w:pPr>
    </w:p>
    <w:p w:rsidR="00163957" w:rsidRDefault="00163957" w:rsidP="00163957">
      <w:pPr>
        <w:pStyle w:val="TextoNormal"/>
      </w:pPr>
      <w:r>
        <w:t>Reiterando aquí lo dicho en esa STC 63/2016 de 11 de abril, FJ 3, hemos de recordar que:</w:t>
      </w:r>
    </w:p>
    <w:p w:rsidR="00163957" w:rsidRDefault="00163957" w:rsidP="00163957">
      <w:pPr>
        <w:pStyle w:val="TextoNormal"/>
      </w:pPr>
    </w:p>
    <w:p w:rsidR="00163957" w:rsidRDefault="00163957" w:rsidP="00163957">
      <w:pPr>
        <w:pStyle w:val="TextoNormal"/>
      </w:pPr>
      <w:r>
        <w:t>a) En la STC 58/2016, “el Pleno de este Tribunal ha reconocido que la imposibilidad de impugnar el decreto resolutorio de la reposición no era salvable ni a través de la opción de impugnar la resolución que ponga fin al proceso (que no siempre cabe y que carece de virtualidad tratándose del derecho a un proceso sin dilaciones indebidas, cuya alegación carece de sentido cuando el proceso ha finalizado, según nuestra reiterada doctrina), ni por las vías establecidas en los arts. 240.2 y 241.1 LOPJ”.</w:t>
      </w:r>
    </w:p>
    <w:p w:rsidR="00163957" w:rsidRDefault="00163957" w:rsidP="00163957">
      <w:pPr>
        <w:pStyle w:val="TextoNormal"/>
      </w:pPr>
    </w:p>
    <w:p w:rsidR="00163957" w:rsidRDefault="00163957" w:rsidP="00163957">
      <w:pPr>
        <w:pStyle w:val="TextoNormal"/>
      </w:pPr>
      <w:r>
        <w:t>b) Por ello, “ha resuelto que el párrafo primero del citado precepto incurre en insalvable inconstitucionalidad al crear un espacio de inmunidad jurisdiccional incompatible con el derecho fundamental a la tutela judicial efectiva y la reserva de jurisdicción a los jueces y Tribunales integrantes del poder judicial”.</w:t>
      </w:r>
    </w:p>
    <w:p w:rsidR="00163957" w:rsidRDefault="00163957" w:rsidP="00163957">
      <w:pPr>
        <w:pStyle w:val="TextoNormal"/>
      </w:pPr>
    </w:p>
    <w:p w:rsidR="00163957" w:rsidRDefault="00163957" w:rsidP="00163957">
      <w:pPr>
        <w:pStyle w:val="TextoNormal"/>
      </w:pPr>
      <w:r>
        <w:t xml:space="preserve">c) Asimismo, la citada STC 58/2016 “precisa que hasta que el legislador no se pronuncie al respecto, el recurso judicial procedente frente al decreto del Letrado de la Administración de Justicia resolutivo de la reposición ha de ser el directo de revisión al que se refiere el propio art. 102 </w:t>
      </w:r>
      <w:r w:rsidRPr="00163957">
        <w:rPr>
          <w:i/>
        </w:rPr>
        <w:t>bis</w:t>
      </w:r>
      <w:r>
        <w:t>.2 LJCA”.</w:t>
      </w:r>
    </w:p>
    <w:p w:rsidR="00163957" w:rsidRDefault="00163957" w:rsidP="00163957">
      <w:pPr>
        <w:pStyle w:val="TextoNormal"/>
      </w:pPr>
    </w:p>
    <w:p w:rsidR="00163957" w:rsidRDefault="00163957" w:rsidP="00163957">
      <w:pPr>
        <w:pStyle w:val="TextoNormal"/>
      </w:pPr>
      <w:r>
        <w:lastRenderedPageBreak/>
        <w:t xml:space="preserve">d) Y finalmente, por lo que este recurso de amparo interesa, la “reciente declaración de la inconstitucionalidad de dicho precepto no permite, precisamente por la fecha en que se produce, que en el presente caso pueda apreciarse el óbice de falta de agotamiento de la vía judicial previa. Es indudable que, en el momento en el que el actor trató de reaccionar contra la presunta lesión de su derecho fundamental a un proceso sin dilaciones indebidas, no podía en modo alguno obtener una respuesta judicial previa dado el veto al respecto previsto en el párrafo primero de aquel precepto, ahora declarado inconstitucional. Por otro lado, tampoco cabe, a la luz del pronunciamiento contenido en la STC 58/2016, de 17 de marzo, retrotraer las actuaciones para que el actor pueda utilizar la vía del recurso de revisión, de acuerdo con lo que se indica en el FJ 7 de dicha Sentencia, porque el proceso -casi con toda seguridad- se encontrará ya concluso, lo que no haría sino perjudicar al actor, añadiendo nuevas dilaciones a las ya padecidas”. Por lo tanto, “[l]a solución constitucionalmente adecuada, dada la declaración de inconstitucionalidad del art. 102 </w:t>
      </w:r>
      <w:r w:rsidRPr="00163957">
        <w:rPr>
          <w:i/>
        </w:rPr>
        <w:t>bis</w:t>
      </w:r>
      <w:r>
        <w:t>.2 LJCA, es proceder a examinar la queja de fondo articulada en el presente recurso de amparo, pues fue la propia Ley la que impidió la intervención del Magistrado-Juez de lo Contencioso-Administrativo … en ejercicio de su función jurisdiccional de tutela de los derechos fundamentales, lo cual justifica que este Tribunal intervenga para reparar la lesión del derecho a un proceso sin dilaciones indebidas del actor” (STC 63/2016 de 11 de abril, FJ 3).</w:t>
      </w:r>
    </w:p>
    <w:p w:rsidR="00163957" w:rsidRDefault="00163957" w:rsidP="00163957">
      <w:pPr>
        <w:pStyle w:val="TextoNormal"/>
      </w:pPr>
    </w:p>
    <w:p w:rsidR="00163957" w:rsidRDefault="00163957" w:rsidP="00163957">
      <w:pPr>
        <w:pStyle w:val="TextoNormal"/>
      </w:pPr>
      <w:r w:rsidRPr="00163957">
        <w:rPr>
          <w:rStyle w:val="NumeroAFNegritaCaracter"/>
        </w:rPr>
        <w:t>4</w:t>
      </w:r>
      <w:r>
        <w:t>. Una vez aclarado el anterior extremo, procede abordar el fondo de la queja planteada, siguiendo para ello las pautas establecidas en la STC 54/2014, de 10 de abril, FJ 4.</w:t>
      </w:r>
    </w:p>
    <w:p w:rsidR="00163957" w:rsidRDefault="00163957" w:rsidP="00163957">
      <w:pPr>
        <w:pStyle w:val="TextoNormal"/>
      </w:pPr>
    </w:p>
    <w:p w:rsidR="00163957" w:rsidRDefault="00163957" w:rsidP="00163957">
      <w:pPr>
        <w:pStyle w:val="TextoNormal"/>
      </w:pPr>
      <w:r>
        <w:t>Como recordamos en dicha resolución, el juicio sobre el contenido concreto de las dilaciones, y sobre si son o no indebidas, debe ser el resultado de la aplicación a las circunstancias específicas de cada caso de los criterios objetivos que a lo largo de nuestra jurisprudencia se han ido precisando. Dichos criterios son: (i) la complejidad del litigio, (ii) los márgenes ordinarios de duración de los litigios del mismo tipo, (iii) el interés que arriesga el demandante de amparo, (iv) su conducta procesal y (v) la conducta de las autoridades.</w:t>
      </w:r>
    </w:p>
    <w:p w:rsidR="00163957" w:rsidRDefault="00163957" w:rsidP="00163957">
      <w:pPr>
        <w:pStyle w:val="TextoNormal"/>
      </w:pPr>
    </w:p>
    <w:p w:rsidR="00163957" w:rsidRDefault="00163957" w:rsidP="00163957">
      <w:pPr>
        <w:pStyle w:val="TextoNormal"/>
      </w:pPr>
      <w:r>
        <w:t>Atendiendo a los referidos criterios, podemos afirmar que las dilaciones han sido indebidas, pues:</w:t>
      </w:r>
    </w:p>
    <w:p w:rsidR="00163957" w:rsidRDefault="00163957" w:rsidP="00163957">
      <w:pPr>
        <w:pStyle w:val="TextoNormal"/>
      </w:pPr>
    </w:p>
    <w:p w:rsidR="00163957" w:rsidRDefault="00163957" w:rsidP="00163957">
      <w:pPr>
        <w:pStyle w:val="TextoNormal"/>
      </w:pPr>
      <w:r>
        <w:t>(i) El asunto planteado, como se dice en la demanda, no revestía una especial complejidad, al tratarse de un recurso interpuesto contra una sanción administrativa por encontrarse la interesada irregularmente en territorio español [art. 53.1 a) de la Ley Orgánica sobre derechos y libertades de los extranjeros en España y su integración social]. Teniendo en cuenta la pretensión deducida ante el órgano judicial —que ni siquiera éste califica como particularmente compleja— no parece razonable que su señalamiento y resolución se haya diferido, con evidente perjuicio del recurrente, a una fecha tan lejana: más de tres años después de la interposición del recurso contencioso-administrativo. Ello ha supuesto para la demandante una larga espera antes de poder saber si podría permanecer lícitamente en España.</w:t>
      </w:r>
    </w:p>
    <w:p w:rsidR="00163957" w:rsidRDefault="00163957" w:rsidP="00163957">
      <w:pPr>
        <w:pStyle w:val="TextoNormal"/>
      </w:pPr>
    </w:p>
    <w:p w:rsidR="00163957" w:rsidRDefault="00163957" w:rsidP="00163957">
      <w:pPr>
        <w:pStyle w:val="TextoNormal"/>
      </w:pPr>
      <w:r>
        <w:t xml:space="preserve">(ii) En cuanto a los márgenes ordinarios de duración de los litigios, este Tribunal ha tenido ocasión de pronunciarse, en diferentes ocasiones, sobre la vulneración del derecho a un proceso sin dilaciones indebidas, con motivo del señalamiento de la vista, en procedimientos relativos a extranjería. Concretamente, en el supuesto analizado en la STC 142/2010, de 21 de diciembre, el señalamiento de la vista se fijó para año y medio después, respecto a la interposición del recurso contencioso-administrativo frente a una denegación </w:t>
      </w:r>
      <w:r>
        <w:lastRenderedPageBreak/>
        <w:t>de solicitud de asilo. En supuestos de impugnación de resoluciones de expulsión, este Tribunal apreció la existencia de dilaciones, entre otras muchas, en la STC 54/2014, de 10 de abril, por un señalamiento fijado para dos años y seis meses posteriores a la interposición del recurso; en la STC 99/2014, de 23 de junio, por un señalamiento posterior en algo más de dos años a la interposición del recurso; y en la STC 88/2015, de 11 de mayo, el señalamiento tuvo un retraso similar al anterior. Finalmente, analizando lo ocurrido en un caso de impugnación de la denegación de una autorización de residencia, la STC 74/2015, de 27 de abril, apreció la existencia de dilaciones indebidas por un retraso en el señalamiento de la vista de dos años y medio. Por consiguiente, cabe apreciar que el presente caso se inscribe también en lo que nuestra doctrina ha calificado como demora constitutiva de una dilación indebida.</w:t>
      </w:r>
    </w:p>
    <w:p w:rsidR="00163957" w:rsidRDefault="00163957" w:rsidP="00163957">
      <w:pPr>
        <w:pStyle w:val="TextoNormal"/>
      </w:pPr>
    </w:p>
    <w:p w:rsidR="00163957" w:rsidRDefault="00163957" w:rsidP="00163957">
      <w:pPr>
        <w:pStyle w:val="TextoNormal"/>
      </w:pPr>
      <w:r>
        <w:t>(iii) El interés que arriesga el recurrente en el pleito es el de obtener una resolución judicial que determine si era o no ajustada a Derecho una resolución de la Delegación del Gobierno en Madrid que le imponía la obligación de abandonar el territorio nacional en un plazo de 15 días a contar desde la notificación del acto. Por ello, afectaba necesariamente a un ámbito preferente de sus derechos e intereses legítimos, relacionado con la organización de su vida familiar y social, pues del resultado del litigio dependía su permanencia en España.</w:t>
      </w:r>
    </w:p>
    <w:p w:rsidR="00163957" w:rsidRDefault="00163957" w:rsidP="00163957">
      <w:pPr>
        <w:pStyle w:val="TextoNormal"/>
      </w:pPr>
    </w:p>
    <w:p w:rsidR="00163957" w:rsidRDefault="00163957" w:rsidP="00163957">
      <w:pPr>
        <w:pStyle w:val="TextoNormal"/>
      </w:pPr>
      <w:r>
        <w:t>(iv) Ha de excluirse que la conducta del demandante merezca reproche alguno, dado que, además de no haber propiciado el retraso en cuestión, ha denunciado ante el órgano judicial la concurrencia de las supuestas dilaciones, recurriendo de manera particular el decreto de señalamiento de la vista que ha desembocado en este amparo.</w:t>
      </w:r>
    </w:p>
    <w:p w:rsidR="00163957" w:rsidRDefault="00163957" w:rsidP="00163957">
      <w:pPr>
        <w:pStyle w:val="TextoNormal"/>
      </w:pPr>
    </w:p>
    <w:p w:rsidR="00163957" w:rsidRDefault="00163957" w:rsidP="00163957">
      <w:pPr>
        <w:pStyle w:val="TextoNormal"/>
      </w:pPr>
      <w:r>
        <w:t>(v) Finalmente, debe reseñarse que el hecho de que la demora denunciada se deba a motivos estructurales, no imputables directamente al órgano judicial, no impide apreciar la vulneración del derecho del recurrente a un proceso sin dilaciones indebidas, pues esta situación no altera su naturaleza injustificada, según reiterada jurisprudencia de este Tribunal y del Tribunal Europeo de Derechos Humanos, en tanto que el ciudadano es ajeno a esas circunstancias.</w:t>
      </w:r>
    </w:p>
    <w:p w:rsidR="00163957" w:rsidRDefault="00163957" w:rsidP="00163957">
      <w:pPr>
        <w:pStyle w:val="TextoNormal"/>
      </w:pPr>
    </w:p>
    <w:p w:rsidR="00163957" w:rsidRDefault="00163957" w:rsidP="00163957">
      <w:pPr>
        <w:pStyle w:val="TextoNormal"/>
      </w:pPr>
      <w:r>
        <w:t xml:space="preserve">Como afirmamos en la ya citada STC 54/2014, por referencia a la doctrina contenida en la STC 142/2010, de 21 de diciembre,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 Este es </w:t>
      </w:r>
      <w:r>
        <w:lastRenderedPageBreak/>
        <w:t xml:space="preserve">también el criterio del Tribunal Europeo de Derechos Humanos cuando en su Sentencia caso </w:t>
      </w:r>
      <w:r w:rsidRPr="00163957">
        <w:rPr>
          <w:i/>
        </w:rPr>
        <w:t>Unión Alimentaria Sanders c. España</w:t>
      </w:r>
      <w:r>
        <w:t xml:space="preserve">, de 7 de julio de 1989, afirmó el carácter estructural de las dilaciones sufridas por la sociedad demandante, concluyendo que esta situación no puede privar a los ciudadanos de su derecho al respeto del plazo razonable (§§ 38 y 42) o cuando en su Sentencia caso </w:t>
      </w:r>
      <w:r w:rsidRPr="00163957">
        <w:rPr>
          <w:i/>
        </w:rPr>
        <w:t>Lenaerts c. Bélgica</w:t>
      </w:r>
      <w:r>
        <w:t xml:space="preserve"> (§ 18), de 11 de marzo de 2004,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 (FJ 6).</w:t>
      </w:r>
    </w:p>
    <w:p w:rsidR="00163957" w:rsidRDefault="00163957" w:rsidP="00163957">
      <w:pPr>
        <w:pStyle w:val="TextoNormal"/>
      </w:pPr>
    </w:p>
    <w:p w:rsidR="00163957" w:rsidRDefault="00163957" w:rsidP="00163957">
      <w:pPr>
        <w:pStyle w:val="TextoNormal"/>
      </w:pPr>
      <w:r w:rsidRPr="00163957">
        <w:rPr>
          <w:rStyle w:val="NumeroAFNegritaCaracter"/>
        </w:rPr>
        <w:t>5</w:t>
      </w:r>
      <w:r>
        <w:t>. Por todo lo anterior, cabe concluir que se ha vulnerado en este caso el derecho a un proceso sin dilaciones indebidas del recurrente (art. 24.2 CE), como consecuencia de la fecha fijada por el órgano judicial para la celebración de la vista de su recurso contencioso-administrativo. Al igual que en otros casos resueltos por este Tribunal (por todas, STC 89/2014, de 9 de junio, FJ 7), el otorgamiento del amparo debe limitarse a la declaración de la violación del derecho fundamental, toda vez que se deduce de las actuaciones a disposición de este Tribunal que el procedimiento en cuestión ya ha concluido habiéndose celebrado la vista acordada por el Juzgado y habiendo recaído, incluso, Sentencia tanto en instancia como en apelación.</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doña Jeaneth Fátima Churqui Mercado, y, en su virtud, declarar que se ha vulnerado su derecho a un proceso sin dilaciones indebidas (art. 24.2 CE).</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veinticinco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80" w:name="SENTENCIA_2016_77"/>
      <w:r>
        <w:lastRenderedPageBreak/>
        <w:t>SENTENCIA 77/2016, de 25 de abril de 2016</w:t>
      </w:r>
    </w:p>
    <w:bookmarkEnd w:id="80"/>
    <w:p w:rsidR="00163957" w:rsidRDefault="00163957" w:rsidP="00163957">
      <w:pPr>
        <w:pStyle w:val="TtuloResolucin"/>
      </w:pPr>
      <w:r>
        <w:t>Sala Segunda</w:t>
      </w:r>
    </w:p>
    <w:p w:rsidR="00163957" w:rsidRDefault="00163957" w:rsidP="00163957">
      <w:pPr>
        <w:pStyle w:val="TtuloBOE"/>
      </w:pPr>
      <w:r>
        <w:t>(BOE núm. 131, de 31 de mayo de 2016)</w:t>
      </w:r>
    </w:p>
    <w:p w:rsidR="00163957" w:rsidRDefault="00163957" w:rsidP="00163957">
      <w:pPr>
        <w:pStyle w:val="TextoNormalCentrado"/>
      </w:pPr>
      <w:r>
        <w:t>ECLI:ES:TC:2016:77</w:t>
      </w:r>
    </w:p>
    <w:p w:rsidR="00163957" w:rsidRDefault="00163957" w:rsidP="00163957">
      <w:pPr>
        <w:pStyle w:val="TextoNormalCentrado"/>
      </w:pPr>
    </w:p>
    <w:p w:rsidR="00163957" w:rsidRDefault="00163957" w:rsidP="00163957">
      <w:pPr>
        <w:pStyle w:val="SntesisDescriptiva"/>
      </w:pPr>
      <w:r>
        <w:t>Recurso de amparo 8735-2010. Promovido por don Martins Oriaifo respecto de los decretos dictados por la Secretaría Judicial de un Juzgado de lo Contencioso-Administrativo de Madrid, convocando a las partes para la celebración de vista en proceso sobre orden de expulsión del territorio nacional.</w:t>
      </w:r>
    </w:p>
    <w:p w:rsidR="00163957" w:rsidRDefault="00163957" w:rsidP="00163957">
      <w:pPr>
        <w:pStyle w:val="SntesisDescriptiva"/>
      </w:pPr>
    </w:p>
    <w:p w:rsidR="00163957" w:rsidRDefault="00163957" w:rsidP="00163957">
      <w:pPr>
        <w:pStyle w:val="SntesisAnaltica"/>
      </w:pPr>
      <w:r>
        <w:t>Vulneración del derecho a un proceso sin dilaciones indebidas: demora superior a cuatro años en la celebración de la vista del juicio en un procedimiento abreviado contencioso-administrativo (STC 63/2016).</w:t>
      </w:r>
    </w:p>
    <w:p w:rsidR="00163957" w:rsidRDefault="00163957" w:rsidP="00163957">
      <w:pPr>
        <w:pStyle w:val="SntesisAnaltica"/>
      </w:pPr>
    </w:p>
    <w:p w:rsidR="00163957" w:rsidRDefault="00163957" w:rsidP="00163957">
      <w:pPr>
        <w:pStyle w:val="Extracto"/>
      </w:pPr>
      <w:r>
        <w:t>1.</w:t>
      </w:r>
      <w:r>
        <w:tab/>
        <w:t>Asunto sustancialmente idéntico al resuelto por la STC 63/2016, relativa a la doctrina sobre el derecho a un proceso sin dilaciones indebidas en materia de extranjería [FFJJ 4 a 7].</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Dal-Re,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8735-2010, promovido por don Martins Oriafo, representado por la Procuradora de los Tribunales doña María Concepción Guasp Ferrer y asistido por el Letrado don Antonio Benayas Benayas, contra el decreto de la Secretaria del Juzgado de lo Contencioso-Administrativo núm. 5 de Madrid, de fecha 1 de septiembre de 2010, en cuya virtud se convocó a las partes para la celebración de la vista del procedimiento abreviado núm. 503-2010, y contra el decreto de la citada Secretaria, de 23 de noviembre de 2010, por el que se desestimó el recurso de reposición deducido contra el decreto referido en primer lugar. Ha sido parte el Abogado del Estado y ha intervenido el Ministerio Fiscal. Ha sido Ponente el Magistrado don Pedro González-Trevijano Sánchez, quien expresa el parecer del Tribunal.</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de fecha 17 de diciembre de 2010, el Letrado don Antonio Benayas Benayas interpuso recurso de amparo, en nombre de don Martins Oriaifo, contra las resoluciones señaladas en el encabezamiento. Asimismo, solicitó la designación de Procurador del turno de oficio para su cliente.</w:t>
      </w:r>
    </w:p>
    <w:p w:rsidR="00163957" w:rsidRDefault="00163957" w:rsidP="00163957">
      <w:pPr>
        <w:pStyle w:val="TextoNormal"/>
      </w:pPr>
    </w:p>
    <w:p w:rsidR="00163957" w:rsidRDefault="00163957" w:rsidP="00163957">
      <w:pPr>
        <w:pStyle w:val="TextoNormal"/>
      </w:pPr>
      <w:r w:rsidRPr="00163957">
        <w:rPr>
          <w:rStyle w:val="NumeroAFNegritaCaracter"/>
        </w:rPr>
        <w:t>2</w:t>
      </w:r>
      <w:r>
        <w:t>. La demanda de amparo trae causa, en síntesis, de los siguientes hechos:</w:t>
      </w:r>
    </w:p>
    <w:p w:rsidR="00163957" w:rsidRDefault="00163957" w:rsidP="00163957">
      <w:pPr>
        <w:pStyle w:val="TextoNormal"/>
      </w:pPr>
    </w:p>
    <w:p w:rsidR="00163957" w:rsidRDefault="00163957" w:rsidP="00163957">
      <w:pPr>
        <w:pStyle w:val="TextoNormal"/>
      </w:pPr>
      <w:r>
        <w:t>a) Por medio de escrito fechado el 24 de junio del 2010, el recurrente presentó ante el Decanato de los Juzgados de lo Contencioso-Administrativo de Madrid demanda de interposición de recurso contencioso-administrativo, a tramitar por el procedimiento abreviado, contra la resolución de la Delegación del Gobierno en Madrid, notificada el 18 de mayo del 2010, por la que se decretaba la expulsión del territorio nacional de don Martins Oriaifo, con prohibición de entrada por un período de tres años en España, a contar desde la fecha en que se lleve a efecto.</w:t>
      </w:r>
    </w:p>
    <w:p w:rsidR="00163957" w:rsidRDefault="00163957" w:rsidP="00163957">
      <w:pPr>
        <w:pStyle w:val="TextoNormal"/>
      </w:pPr>
    </w:p>
    <w:p w:rsidR="00163957" w:rsidRDefault="00163957" w:rsidP="00163957">
      <w:pPr>
        <w:pStyle w:val="TextoNormal"/>
      </w:pPr>
      <w:r>
        <w:t>b) La demanda fue turnada al Juzgado de lo Contencioso-Administrativo núm. 5 de Madrid. Por decreto de la Secretaria del referido Juzgado, de fecha 1 de septiembre de 2010, se acordó la admisión a trámite de la demanda. Asimismo, se resolvió señalar la celebración de la vista para el día 12 de febrero de 2015 a las 9:50 horas, al amparo de lo establecido por el art. 182 de la Ley de enjuiciamiento civil (LEC).</w:t>
      </w:r>
    </w:p>
    <w:p w:rsidR="00163957" w:rsidRDefault="00163957" w:rsidP="00163957">
      <w:pPr>
        <w:pStyle w:val="TextoNormal"/>
      </w:pPr>
    </w:p>
    <w:p w:rsidR="00163957" w:rsidRDefault="00163957" w:rsidP="00163957">
      <w:pPr>
        <w:pStyle w:val="TextoNormal"/>
      </w:pPr>
      <w:r>
        <w:t>c) Mediante escrito de fecha 8 de octubre de 2010, el actor interpuso recurso de reposición contra el decreto antes indicado, al entender que un señalamiento para el juicio oral en fecha tan alejada en el tiempo superaba con creces las previsiones legales establecidas al respecto y, a su vez, rebasaba el plazo en que razonablemente debe desenvolverse el proceso, lo cual implica una vulneración del derecho fundamental a un proceso sin dilaciones indebidas (art. 24.2 CE). El recurso de reposición fue desestimado por decreto de la Secretaria del Juzgado, de fecha 23 de noviembre de 2010, el cual confirmó la resolución recurrida en todos sus extremos. Dicha resolución consideró que el señalamiento se había ajustado a los criterios fijados por el Magistrado titular del Juzgado mediante acuerdo gubernativo núm. 1-2010, conforme a lo dispuesto a su vez en el art. 182 LEC.</w:t>
      </w:r>
    </w:p>
    <w:p w:rsidR="00163957" w:rsidRDefault="00163957" w:rsidP="00163957">
      <w:pPr>
        <w:pStyle w:val="TextoNormal"/>
      </w:pPr>
    </w:p>
    <w:p w:rsidR="00163957" w:rsidRDefault="00163957" w:rsidP="00163957">
      <w:pPr>
        <w:pStyle w:val="TextoNormal"/>
      </w:pPr>
      <w:r w:rsidRPr="00163957">
        <w:rPr>
          <w:rStyle w:val="NumeroAFNegritaCaracter"/>
        </w:rPr>
        <w:t>3</w:t>
      </w:r>
      <w:r>
        <w:t>. La demanda de amparo denuncia la vulneración del derecho a un proceso sin dilaciones indebidas (art. 24.2 CE), sosteniendo que el señalamiento de la vista del procedimiento contencioso-administrativo para el 12 de febrero de 2015, cuando el recurso se presentó el 24 de junio de 2010, supera con creces las previsiones legales establecidas al respecto y el plazo prudencial en el que debe desenvolverse el procedimiento abreviado. Afirma que el asunto es de escasa complejidad, pues se trata de enjuiciar la adecuación a Derecho de la sanción impuesta a un extranjero por residir irregularmente en España y, añade, el comportamiento procesal del demandante es irreprochable, ya que ninguna dilación producida le es atribuible. Por todo ello, solicita el reconocimiento de la vulneración de su derecho a un proceso sin dilaciones indebidas y la consiguiente nulidad de las resoluciones impugnadas.</w:t>
      </w:r>
    </w:p>
    <w:p w:rsidR="00163957" w:rsidRDefault="00163957" w:rsidP="00163957">
      <w:pPr>
        <w:pStyle w:val="TextoNormal"/>
      </w:pPr>
    </w:p>
    <w:p w:rsidR="00163957" w:rsidRDefault="00163957" w:rsidP="00163957">
      <w:pPr>
        <w:pStyle w:val="TextoNormal"/>
      </w:pPr>
      <w:r>
        <w:t xml:space="preserve">El recurrente aduce, asimismo, que ha agotado todos los medios de impugnación previstos por las normas procesales para el caso concreto. Finalmente, en cuanto a la especial </w:t>
      </w:r>
      <w:r>
        <w:lastRenderedPageBreak/>
        <w:t>trascendencia constitucional del recurso, el demandante argumenta que la doctrina de este Tribunal sobre el derecho a un proceso sin dilaciones indebidas está siendo incumplida de un modo general y reiterado por los distintos Juzgados de lo Contencioso-Administrativo en los supuestos de extranjería. Además, señala que las dilaciones indebidas que se producen —en el caso del demandante casi alcanzan los cinco años— dan lugar a que miles de personas sean expulsadas sin que los Tribunales hayan tenido ocasión de revisar esa sanción impuesta en sede administrativa, dada la ejecutividad del acto administrativo.</w:t>
      </w:r>
    </w:p>
    <w:p w:rsidR="00163957" w:rsidRDefault="00163957" w:rsidP="00163957">
      <w:pPr>
        <w:pStyle w:val="TextoNormal"/>
      </w:pPr>
    </w:p>
    <w:p w:rsidR="00163957" w:rsidRDefault="00163957" w:rsidP="00163957">
      <w:pPr>
        <w:pStyle w:val="TextoNormal"/>
      </w:pPr>
      <w:r w:rsidRPr="00163957">
        <w:rPr>
          <w:rStyle w:val="NumeroAFNegritaCaracter"/>
        </w:rPr>
        <w:t>4</w:t>
      </w:r>
      <w:r>
        <w:t>. Una vez que el Sr. Oriaifo ratificó la demanda de amparo presentada por su Letrado, fue designada, por el Ilustre Colegio de Procuradores de Madrid, Procuradora del Turno de Justicia Gratuita, designación que recayó en la persona de doña María Concepción Guasp Ferrer. Por diligencia de ordenación de fecha 8 de marzo de 2011, se confirió un plazo de diez días a la referida procuradora, a fin que ratificara el recurso presentado por el Letrado del demandante. Dicha ratificación fue presentada en tiempo y forma.</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16 de julio de 2012, la Sala Segunda de este Tribunal acordó la admisión a trámite del recurso y, de acuerdo con lo dispuesto en el art. 51 de la Ley Orgánica del Tribunal Constitucional (LOTC), acordó solicitar del Juzgado de lo Contencioso-Administrativo núm. 5 de Madrid que remitiera certificación o fotocopia adverada de las actuaciones correspondientes al procedimiento abreviado núm. 503-2010, previo emplazamiento de quien hubiera sido parte en el proceso, excepto la parte recurrente en amparo, para que en el término de diez días pudiera comparecer en el presente proceso constitucional.</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diligencia de ordenación de la Secretaría de Justicia de la Sala Segunda, de fecha 18 de septiembre de 2012, se tuvo por personado al representante procesal del Estado y se acordó dar vista de las actuaciones a las partes personadas y al Ministerio Fiscal, por plazo común de veinte días, para que, a tenor de lo dispuesto en el art. 52.1 LOTC, pudieran presentar las alegaciones que estimasen oportunas.</w:t>
      </w:r>
    </w:p>
    <w:p w:rsidR="00163957" w:rsidRDefault="00163957" w:rsidP="00163957">
      <w:pPr>
        <w:pStyle w:val="TextoNormal"/>
      </w:pPr>
    </w:p>
    <w:p w:rsidR="00163957" w:rsidRDefault="00163957" w:rsidP="00163957">
      <w:pPr>
        <w:pStyle w:val="TextoNormal"/>
      </w:pPr>
      <w:r w:rsidRPr="00163957">
        <w:rPr>
          <w:rStyle w:val="NumeroAFNegritaCaracter"/>
        </w:rPr>
        <w:t>7</w:t>
      </w:r>
      <w:r>
        <w:t>. El demandante de amparo presentó escrito el 3 de octubre de 2012, ratificándose en los argumentos expuestos en la demanda de amparo.</w:t>
      </w:r>
    </w:p>
    <w:p w:rsidR="00163957" w:rsidRDefault="00163957" w:rsidP="00163957">
      <w:pPr>
        <w:pStyle w:val="TextoNormal"/>
      </w:pPr>
    </w:p>
    <w:p w:rsidR="00163957" w:rsidRDefault="00163957" w:rsidP="00163957">
      <w:pPr>
        <w:pStyle w:val="TextoNormal"/>
      </w:pPr>
      <w:r w:rsidRPr="00163957">
        <w:rPr>
          <w:rStyle w:val="NumeroAFNegritaCaracter"/>
        </w:rPr>
        <w:t>8</w:t>
      </w:r>
      <w:r>
        <w:t>. Por escrito de fecha 12 de octubre de 2012, el Ministerio Fiscal presentó sus alegaciones. Tras exponer los antecedentes del caso y el tenor de la queja articulada por el recurrente, el Fiscal entiende que, por motivos no achacables al recurrente, sino a la articulación legal del sistema de recursos frente a las resoluciones del Secretario, la alegación de vulneración de un derecho fundamental —en este caso, el derecho a un proceso sin dilaciones indebidas— no fue conocida por el órgano judicial. Por ello, estima que la vía judicial se ha agotado de manera deficiente y que procede declarar la nulidad del decreto de 23 de noviembre de 2010, que desestimó el recurso de reposición, con el fin de que el órgano judicial pueda resolver sobre la denunciada lesión del derecho fundamental.</w:t>
      </w:r>
    </w:p>
    <w:p w:rsidR="00163957" w:rsidRDefault="00163957" w:rsidP="00163957">
      <w:pPr>
        <w:pStyle w:val="TextoNormal"/>
      </w:pPr>
    </w:p>
    <w:p w:rsidR="00163957" w:rsidRDefault="00163957" w:rsidP="00163957">
      <w:pPr>
        <w:pStyle w:val="TextoNormal"/>
      </w:pPr>
      <w:r>
        <w:t xml:space="preserve">Alternativamente, para el caso de que el Tribunal entendiera que no es posible hacer una lectura constitucional de los preceptos de la Ley 13/2009, de reforma procesal, acerca del sistema de recursos contra las decisiones del Secretario Judicial que admiten la demanda y señalan vista, considera procedente acudir al mecanismo previsto en el art. 55.2 LOTC y </w:t>
      </w:r>
      <w:r>
        <w:lastRenderedPageBreak/>
        <w:t>plantear de oficio cuestión de inconstitucionalidad con carácter previo a resolver sobre la cuestión de fondo.</w:t>
      </w:r>
    </w:p>
    <w:p w:rsidR="00163957" w:rsidRDefault="00163957" w:rsidP="00163957">
      <w:pPr>
        <w:pStyle w:val="TextoNormal"/>
      </w:pPr>
    </w:p>
    <w:p w:rsidR="00163957" w:rsidRDefault="00163957" w:rsidP="00163957">
      <w:pPr>
        <w:pStyle w:val="TextoNormal"/>
      </w:pPr>
      <w:r>
        <w:t xml:space="preserve">Por último, subsidiariamente, interesó la estimación del amparo. Afirma el Fiscal, a la luz de la jurisprudencia de este Tribunal Constitucional, que se ha vulnerado el derecho del actor a un proceso sin dilaciones indebidas (art. 24.2 CE). Señala que el plazo de demora —que supera los cuatro años y medio— resulta excesivo a todas luces. Añade que tal demora en absoluto trae causa de la conducta procesal del demandante y también destaca la escasa complejidad del litigio, que tiene por objeto analizar la adecuación a Derecho de una resolución administrativa de expulsión y prohibición de entrada en España de un ciudadano extranjero. Admite el Fiscal que la imposibilidad de realizar antes el señalamiento se funda, implícitamente, en deficiencias estructurales de la justicia; pero, aun en ese caso, una dilación indebida sigue siendo tal y vulnera el derecho constitucional invocado. Además, afirma que, siguiendo la doctrina sentada en la STC 93/2008, de 21 de julio, la dilación no puede imputarse a la conducta procesal del demandante, pues éste no se limitó a estimar en exceso lejana la fecha señalada para la celebración del juicio, sino que mediante la interposición de un recurso de reposición solicitó la anticipación de la vista </w:t>
      </w:r>
      <w:r w:rsidRPr="00163957">
        <w:rPr>
          <w:i/>
        </w:rPr>
        <w:t>ex</w:t>
      </w:r>
      <w:r>
        <w:t xml:space="preserve"> art. 63.1 de la Ley reguladora de la jurisdicción contencioso-administrativa (LJCA), en virtud de la situación personal en la que quedaba.</w:t>
      </w:r>
    </w:p>
    <w:p w:rsidR="00163957" w:rsidRDefault="00163957" w:rsidP="00163957">
      <w:pPr>
        <w:pStyle w:val="TextoNormal"/>
      </w:pPr>
    </w:p>
    <w:p w:rsidR="00163957" w:rsidRDefault="00163957" w:rsidP="00163957">
      <w:pPr>
        <w:pStyle w:val="TextoNormal"/>
      </w:pPr>
      <w:r>
        <w:t>Por otra parte, el Fiscal destaca el interés que arriesgaba el recurrente en el litigio, a cuyo través pretendía denunciar la indefensión sufrida en sede administrativa, toda vez que, según indica este último, no se le confirió trámite de audiencia ni se le notificó la propuesta de resolución de la expulsión acordada. Asimismo pone de relieve que, durante la paralización del procedimiento, el demandante se vio impedido de intentar la regularización de su estancia en España. Por último, entiende que el interés comprometido por el demandante no se empece por el hecho de no haber interesado la medida cautelar de suspensión (STC 142/2010, de 21 de diciembre). En atención a lo expuesto, solicita el Fiscal el otorgamiento del amparo, que deberá ser parcial, al no poder entrar este Tribunal, según su propia doctrina, en los problemas estructurales de la Administración de Justicia, ni acordar una anticipación del señalamiento de la vista.</w:t>
      </w:r>
    </w:p>
    <w:p w:rsidR="00163957" w:rsidRDefault="00163957" w:rsidP="00163957">
      <w:pPr>
        <w:pStyle w:val="TextoNormal"/>
      </w:pPr>
    </w:p>
    <w:p w:rsidR="00163957" w:rsidRDefault="00163957" w:rsidP="00163957">
      <w:pPr>
        <w:pStyle w:val="TextoNormal"/>
      </w:pPr>
      <w:r w:rsidRPr="00163957">
        <w:rPr>
          <w:rStyle w:val="NumeroAFNegritaCaracter"/>
        </w:rPr>
        <w:t>9</w:t>
      </w:r>
      <w:r>
        <w:t>. El Abogado del Estado formuló sus alegaciones en escrito presentado el 23 de octubre de 2012, solicitando la inadmisión y, subsidiariamente, la desestimación de la demanda de amparo. La solicitud de inadmisión del recurso la sustenta el Abogado del Estado en la no concurrencia de la especial trascendencia constitucional exigible, pues sobre el retraso en el señalamiento de las vistas de los procedimientos contencioso-administrativos abreviados que versan sobre sanciones de expulsión hay sobrada doctrina constitucional, sin que el demandante haya acreditado, mediante un principio de prueba, la generalidad del pretendido incumplimiento de la referida doctrina.</w:t>
      </w:r>
    </w:p>
    <w:p w:rsidR="00163957" w:rsidRDefault="00163957" w:rsidP="00163957">
      <w:pPr>
        <w:pStyle w:val="TextoNormal"/>
      </w:pPr>
    </w:p>
    <w:p w:rsidR="00163957" w:rsidRDefault="00163957" w:rsidP="00163957">
      <w:pPr>
        <w:pStyle w:val="TextoNormal"/>
      </w:pPr>
      <w:r>
        <w:t>Con carácter subsidiario, solicita la desestimación del amparo. Desde la perspectiva del interés que en el proceso contencioso-administrativo arriesga el demandante, la representación del Estado sostiene que las consecuencias adversas que la ejecutividad del acto administrativo comporta son atribuibles a su comportamiento procesal, ya que no solicitó medida cautelar alguna. Por otro lado, tampoco consta que haya sido expulsado o haya intentado la regularización de su estancia en España.</w:t>
      </w:r>
    </w:p>
    <w:p w:rsidR="00163957" w:rsidRDefault="00163957" w:rsidP="00163957">
      <w:pPr>
        <w:pStyle w:val="TextoNormal"/>
      </w:pPr>
    </w:p>
    <w:p w:rsidR="00163957" w:rsidRDefault="00163957" w:rsidP="00163957">
      <w:pPr>
        <w:pStyle w:val="TextoNormal"/>
      </w:pPr>
      <w:r>
        <w:lastRenderedPageBreak/>
        <w:t>Por último, apunta que la demanda de amparo no ofrece ningún principio de prueba que acredite que la duración del procedimiento excede del plazo habitual en que se sustancian los recursos administrativos de esta naturaleza. Por otro lado, tampoco es dable comparar la realidad empírica del sistema judicial con una especie de “ideal de funcionamiento”, que tampoco es seguro que se alcanzara por mucho que se incrementara la inversión en la organización judicial, algo que, por lo demás, resulta impensable en el actual contexto de aguda y profunda crisis financiera pública. En esta línea, señala que las deficiencias estructurales podrían acaso aquilatarse mediante el estándar de “prestación razonablemente exigible a un servicio público”, cuya configuración concreta debe tener en cuenta lo que, de manera realista, pueda esperar el usuario de un servicio, atendido el nivel medio de prestación de los demás. Matizado así el concepto, resulta dudoso, cuando menos, que pueda hablarse de “deficiencia estructural” que pueda dar lugar a un pronunciamiento favorable.</w:t>
      </w:r>
    </w:p>
    <w:p w:rsidR="00163957" w:rsidRDefault="00163957" w:rsidP="00163957">
      <w:pPr>
        <w:pStyle w:val="TextoNormal"/>
      </w:pPr>
    </w:p>
    <w:p w:rsidR="00163957" w:rsidRDefault="00163957" w:rsidP="00163957">
      <w:pPr>
        <w:pStyle w:val="TextoNormal"/>
      </w:pPr>
      <w:r w:rsidRPr="00163957">
        <w:rPr>
          <w:rStyle w:val="NumeroAFNegritaCaracter"/>
        </w:rPr>
        <w:t>10</w:t>
      </w:r>
      <w:r>
        <w:t xml:space="preserve">. Previa audiencia de las partes, por ATC 163/2013, de 9 de septiembre, la Sala Segunda de este Tribunal acordó elevar al Pleno cuestión interna de inconstitucionalidad respecto del art. 102 </w:t>
      </w:r>
      <w:r w:rsidRPr="00163957">
        <w:rPr>
          <w:i/>
        </w:rPr>
        <w:t>bis</w:t>
      </w:r>
      <w:r>
        <w:t>, apartado 2, de la Ley 29/1998, de 13 de julio, reguladora de la jurisdicción contencioso-administrativa (LJCA), en la redacción dada al mismo por la Ley 13/2009, de 3 de noviembre, de reforma de la legislación procesal para la implantación de la nueva oficina judicial, por oposición al art. 24.1 CE, con suspensión del plazo para dictar sentencia en el presente recurso de amparo.</w:t>
      </w:r>
    </w:p>
    <w:p w:rsidR="00163957" w:rsidRDefault="00163957" w:rsidP="00163957">
      <w:pPr>
        <w:pStyle w:val="TextoNormal"/>
      </w:pPr>
    </w:p>
    <w:p w:rsidR="00163957" w:rsidRDefault="00163957" w:rsidP="00163957">
      <w:pPr>
        <w:pStyle w:val="TextoNormal"/>
      </w:pPr>
      <w:r w:rsidRPr="00163957">
        <w:rPr>
          <w:rStyle w:val="NumeroAFNegritaCaracter"/>
        </w:rPr>
        <w:t>11</w:t>
      </w:r>
      <w:r>
        <w:t xml:space="preserve">. Por providencia de 8 de octubre de 2013, el Pleno acordó admitir a trámite la cuestión interna de inconstitucionalidad, reservar para sí el conocimiento de la misma y, de conformidad con el art. 37.3 LOTC, dar traslado de las actuaciones al Congreso de los Diputados y al Senado, por conducto de sus Presidentes, al Gobierno, por conducto del Ministro de Justicia, y al Fiscal General del Estado. Asimismo, se acordó la publicación de la cuestión interna de inconstitucionalidad en el “Boletín Oficial del Estado”. Mediante STC 58/2016, de 17 de marzo, se resolvió tal cuestión, considerando el Tribunal inconstitucional y nulo el primer párrafo del apartado 2 del art. 102 </w:t>
      </w:r>
      <w:r w:rsidRPr="00163957">
        <w:rPr>
          <w:i/>
        </w:rPr>
        <w:t>bis</w:t>
      </w:r>
      <w:r>
        <w:t xml:space="preserve"> LJCA, en la redacción dada por la Ley 13/2009, de 3 de noviembre.</w:t>
      </w:r>
    </w:p>
    <w:p w:rsidR="00163957" w:rsidRDefault="00163957" w:rsidP="00163957">
      <w:pPr>
        <w:pStyle w:val="TextoNormal"/>
      </w:pPr>
    </w:p>
    <w:p w:rsidR="00163957" w:rsidRDefault="00163957" w:rsidP="00163957">
      <w:pPr>
        <w:pStyle w:val="TextoNormal"/>
      </w:pPr>
      <w:r w:rsidRPr="00163957">
        <w:rPr>
          <w:rStyle w:val="NumeroAFNegritaCaracter"/>
        </w:rPr>
        <w:t>12</w:t>
      </w:r>
      <w:r>
        <w:t>. Por providencia de 21 abril de 2016 se señaló para la deliberación y votación de la presente Sentencia el día 25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demanda de amparo se dirige contra el decreto de la Secretaria del Juzgado de lo Contencioso-Administrativo núm. 5 de Madrid, de fecha 1 de septiembre de 2010, en cuya virtud se convocó a las partes para la celebración de la vista del procedimiento abreviado núm. 503-2010, y contra el decreto de la citada Secretaria, de 23 de noviembre de 2010, por el que desestimó el recurso de reposición deducido contra el decreto referido en primer lugar. Considera el actor que dichas resoluciones vulneran su derecho fundamental a un proceso sin dilaciones indebidas (art. 24.2 CE), porque el señalamiento de la vista del procedimiento contencioso-administrativo para el 12 de febrero de 2015, cuando el recurso se pre</w:t>
      </w:r>
      <w:r>
        <w:lastRenderedPageBreak/>
        <w:t>sentó el 24 de junio de 2010, supone un retraso excesivo que rebasa con creces las previsiones legales establecidas al respecto y, a su vez, el plazo en que razonablemente debe desenvolverse el proceso abreviado, en función de las circunstancias del caso.</w:t>
      </w:r>
    </w:p>
    <w:p w:rsidR="00163957" w:rsidRDefault="00163957" w:rsidP="00163957">
      <w:pPr>
        <w:pStyle w:val="TextoNormal"/>
      </w:pPr>
    </w:p>
    <w:p w:rsidR="00163957" w:rsidRDefault="00163957" w:rsidP="00163957">
      <w:pPr>
        <w:pStyle w:val="TextoNormal"/>
      </w:pPr>
      <w:r>
        <w:t>El Abogado del Estado, como ha quedado expuesto con más detalle en los antecedentes, ha interesado la inadmisión del recurso de amparo por carecer de especial trascendencia constitucional y, subsidiariamente, su desestimación, al considerar que no se ha producido la lesión denunciada por el actor. Por su parte, el Ministerio Fiscal ha solicitado, en cuanto al fondo, la estimación parcial del amparo, por apreciar que se ha producido la vulneración del derecho a la tutela judicial efectiva del demandante de amparo, sin que este Tribunal deba acceder a la petición de adelanto de la fecha de la vista.</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análisis de la cuestión de fondo, es preciso abordar el estudio del óbice procesal opuesto por el Abogado del Estado, que, como ya se ha indicado, considera que el recurso debe inadmitirse por carecer de especial trascendencia constitucional.</w:t>
      </w:r>
    </w:p>
    <w:p w:rsidR="00163957" w:rsidRDefault="00163957" w:rsidP="00163957">
      <w:pPr>
        <w:pStyle w:val="TextoNormal"/>
      </w:pPr>
    </w:p>
    <w:p w:rsidR="00163957" w:rsidRDefault="00163957" w:rsidP="00163957">
      <w:pPr>
        <w:pStyle w:val="TextoNormal"/>
      </w:pPr>
      <w:r>
        <w:t xml:space="preserve">Este Tribunal ha venido distinguiendo entre la justificación de la especial trascendencia constitucional, como requisito procesal que debe cumplir toda demanda (art. 49.1 </w:t>
      </w:r>
      <w:r w:rsidRPr="00163957">
        <w:rPr>
          <w:i/>
        </w:rPr>
        <w:t>in fine</w:t>
      </w:r>
      <w:r>
        <w:t xml:space="preserve"> de la Ley Orgánica del Tribunal Constitucional: LOTC), y la existencia misma de la especial trascendencia constitucional, cuya apreciación corresponde al Tribunal.</w:t>
      </w:r>
    </w:p>
    <w:p w:rsidR="00163957" w:rsidRDefault="00163957" w:rsidP="00163957">
      <w:pPr>
        <w:pStyle w:val="TextoNormal"/>
      </w:pPr>
    </w:p>
    <w:p w:rsidR="00163957" w:rsidRDefault="00163957" w:rsidP="00163957">
      <w:pPr>
        <w:pStyle w:val="TextoNormal"/>
      </w:pPr>
      <w:r>
        <w:t xml:space="preserve">Respecto del requisito procesal, ha señalado reiteradamente este Tribunal (por todas, en la reciente STC 63/2016, de 11 de abril) que, de conformidad con el art. 50.1 a) LOTC, la admisión del recurso de amparo exige el cumplimiento de los requisitos establecidos en los arts. 41 a 46 y 49 LOTC, disponiendo este último precepto en su apartado 1 </w:t>
      </w:r>
      <w:r w:rsidRPr="00163957">
        <w:rPr>
          <w:i/>
        </w:rPr>
        <w:t>in fine</w:t>
      </w:r>
      <w:r>
        <w:t>, de forma inequívoca, que la demanda ha de justificar la especial trascendencia constitucional. Para satisfacer esta exigencia,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163957" w:rsidRDefault="00163957" w:rsidP="00163957">
      <w:pPr>
        <w:pStyle w:val="TextoNormal"/>
      </w:pPr>
    </w:p>
    <w:p w:rsidR="00163957" w:rsidRDefault="00163957" w:rsidP="00163957">
      <w:pPr>
        <w:pStyle w:val="TextoNormal"/>
      </w:pPr>
      <w:r>
        <w:t>En el presente caso, la demanda razona específicamente sobre la especial trascendencia constitucional del recurso, con cita expresa de la STC 155/2009, de 25 de junio, invocando el motivo e) de su fundamento jurídico 2, y alegando, en síntesis, el incumplimiento general y reiterado de la doctrina de este Tribunal sobre el derecho a un proceso sin dilaciones indebidas por los distintos Juzgados de lo Contencioso-Administrativo, los cuales justifican las demoras de varios años en los señalamientos de los procedimientos abreviados en materia de extranjería mediante razones que, según la doctrina constitucional, en ningún caso pueden fundamentar el retraso.</w:t>
      </w:r>
    </w:p>
    <w:p w:rsidR="00163957" w:rsidRDefault="00163957" w:rsidP="00163957">
      <w:pPr>
        <w:pStyle w:val="TextoNormal"/>
      </w:pPr>
    </w:p>
    <w:p w:rsidR="00163957" w:rsidRDefault="00163957" w:rsidP="00163957">
      <w:pPr>
        <w:pStyle w:val="TextoNormal"/>
      </w:pPr>
      <w:r>
        <w:t xml:space="preserve">Por tanto, y con independencia de la valoración que las alegaciones recogidas en la demanda puedan merecer, cabe apreciar un esfuerzo argumental de la parte recurrente destinado a cumplimentar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w:t>
      </w:r>
      <w:r>
        <w:lastRenderedPageBreak/>
        <w:t>que tenemos asentados en nuestra doctrina antes citada, sin que, por las razones que a continuación se expondrán, pueda estimarse que el razonamiento de la demanda se encuentre ayuno de acreditación.</w:t>
      </w:r>
    </w:p>
    <w:p w:rsidR="00163957" w:rsidRDefault="00163957" w:rsidP="00163957">
      <w:pPr>
        <w:pStyle w:val="TextoNormal"/>
      </w:pPr>
    </w:p>
    <w:p w:rsidR="00163957" w:rsidRDefault="00163957" w:rsidP="00163957">
      <w:pPr>
        <w:pStyle w:val="TextoNormal"/>
      </w:pPr>
      <w:r>
        <w:t>En relación con la especial trascendencia constitucional de esta demanda de amparo, hemos declarado, entre otras muchas, en la STC 54/2015, de 16 de marzo, FJ 4,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163957" w:rsidRDefault="00163957" w:rsidP="00163957">
      <w:pPr>
        <w:pStyle w:val="TextoNormal"/>
      </w:pPr>
    </w:p>
    <w:p w:rsidR="00163957" w:rsidRDefault="00163957" w:rsidP="00163957">
      <w:pPr>
        <w:pStyle w:val="TextoNormal"/>
      </w:pPr>
      <w:r>
        <w:t xml:space="preserve">Pues bien, en el presente caso, este Tribunal aprecia que el recurso plantea dos aspectos que le otorgan especial trascendencia constitucional: por una parte, la propia causa alegada por el actor, que resulta corroborada a poco que se consulten los más recientes pronunciamientos estimatorios de este Tribunal en materia de dilaciones indebidas (SSTC 54/2014, de 10 de abril; 58/2014, de 5 de mayo; 99/2014, de 23 de junio; 74/2015, de 27 de abril, y 87/2015 y 88/2015, de 11 de mayo), referidos todos ellos a asuntos de extranjería seguidos ante distintos Juzgados de lo Contencioso-Administrativo de Madrid, circunstancia que concurre igualmente en otros cinco recursos de amparo admitidos a trámite y pendientes de Sentencia. Por otra parte, porque el recurso suscitó a este Tribunal Constitucional la necesidad de afrontar el problema derivado de la exclusión de la intervención judicial, conforme al art. 102 </w:t>
      </w:r>
      <w:r w:rsidRPr="00163957">
        <w:rPr>
          <w:i/>
        </w:rPr>
        <w:t>bis</w:t>
      </w:r>
      <w:r>
        <w:t>.2 de la Ley reguladora de la jurisdicción contencioso-administrativa (LJCA), respecto a decisiones de los Secretarios Judiciales (actualmente denominados Letrados de la Administración de Justicia), lo que impedía la observancia del principio de subsidiariedad del recurso de amparo ante este Tribunal, y correlativo cumplimiento de la exigencia establecida en el art. 44.1 a) LOTC. Lo cual motivó el planteamiento de una cuestión interna de inconstitucionalidad, resuelta en sentido estimatorio por el Pleno de este Tribunal en la reciente STC 58/2016, de 17 de marzo.</w:t>
      </w:r>
    </w:p>
    <w:p w:rsidR="00163957" w:rsidRDefault="00163957" w:rsidP="00163957">
      <w:pPr>
        <w:pStyle w:val="TextoNormal"/>
      </w:pPr>
    </w:p>
    <w:p w:rsidR="00163957" w:rsidRDefault="00163957" w:rsidP="00163957">
      <w:pPr>
        <w:pStyle w:val="TextoNormal"/>
      </w:pPr>
      <w:r>
        <w:t xml:space="preserve">Las anteriores precisiones sobre la especial trascendencia constitucional se formulan “en salvaguarda del principio de seguridad jurídica que, conforme a la Sentencia del Tribunal Europeo de Derechos Humanos de 20 de enero de 2015, dictada en el asunto </w:t>
      </w:r>
      <w:r w:rsidRPr="00163957">
        <w:rPr>
          <w:i/>
        </w:rPr>
        <w:t>Arribas Antón c.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Todavía existe otra cuestión que es preciso aclarar antes de examinar la queja planteada por el demandante de amparo. El art. 102 </w:t>
      </w:r>
      <w:r w:rsidRPr="00163957">
        <w:rPr>
          <w:i/>
        </w:rPr>
        <w:t>bis</w:t>
      </w:r>
      <w:r>
        <w:t xml:space="preserve">.2 LJCA, en la redacción introducida por la Ley 13/2009, de 3 de noviembre, de reforma de la legislación procesal para la implantación de la nueva oficina judicial, venía a disponer que “[c]ontra el decreto resolutivo de la reposición no se dará recurso alguno, sin perjuicio de reproducir la cuestión al recurrir, si fuere procedente, la resolución definitiva”. Así pues, ante la clara previsión del citado precepto y la consiguiente necesidad de cumplir el plazo legalmente previsto para la interposición del recurso de amparo, al demandante no le quedaba otra vía que acudir directamente ante este Tribunal Constitucional, sin haber podido someter previamente a la consideración </w:t>
      </w:r>
      <w:r>
        <w:lastRenderedPageBreak/>
        <w:t>del Juez la lesión de su derecho a un proceso sin dilaciones indebidas. Y ello a pesar de que tal conducta procesal resultara contraria al principio de subsidiariedad que informa el planteamiento del amparo, ya que, como se señala, entre otras muchas, en la STC 152/2015, de 6 de julio, FJ 2, “en virtud de lo dispuesto en el art. 53.2 CE, la tutela general de los derechos y libertades corresponde, en primer lugar, a los órganos del Poder Judicial”, por lo que, como consecuencia de ello, “cuando existe un recurso susceptible de ser utilizado y adecuado por su carácter y naturaleza para tutelar la libertad o derecho que se entiende vulnerado, tal recurso ha de interponerse antes de acudir a este Tribunal”.</w:t>
      </w:r>
    </w:p>
    <w:p w:rsidR="00163957" w:rsidRDefault="00163957" w:rsidP="00163957">
      <w:pPr>
        <w:pStyle w:val="TextoNormal"/>
      </w:pPr>
    </w:p>
    <w:p w:rsidR="00163957" w:rsidRDefault="00163957" w:rsidP="00163957">
      <w:pPr>
        <w:pStyle w:val="TextoNormal"/>
      </w:pPr>
      <w:r>
        <w:t xml:space="preserve">A la vista de dicha situación y ante la existencia de una amplia serie de recursos de amparo, referidos a la misma materia y en los que se suscitaba idéntica problemática, esta Sala acordó plantear cuestión interna de inconstitucionalidad respecto al art. 102 </w:t>
      </w:r>
      <w:r w:rsidRPr="00163957">
        <w:rPr>
          <w:i/>
        </w:rPr>
        <w:t>bis</w:t>
      </w:r>
      <w:r>
        <w:t xml:space="preserve">.2 LJCA por medio del ATC 163/2013, de 9 de septiembre, actuación que resultaba imprescindible, a pesar de que haya producido como inevitable efecto un lamentable retraso en la resolución del presente recurso de amparo. Dicha cuestión ha sido estimada en la reciente STC 58/2016, de 17 de marzo, en la que el Pleno de este Tribunal ha reconocido que la imposibilidad de impugnar el decreto resolutorio de la reposición no era salvable ni a través de la opción de impugnar la resolución que ponga fin al proceso (que no siempre cabe y que carece de virtualidad tratándose del derecho a un proceso sin dilaciones indebidas, cuya alegación carece de sentido cuando el proceso ha finalizado, según nuestra reiterada doctrina), ni por las vías establecidas en los arts. 240.2 y 241.1 de la Ley Orgánica del Poder Judicial (LOPJ); por ello, ha resuelto que el párrafo primero del citado precepto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como señala el ATC 163/2013, FJ 2, el derecho del justiciable a someter a la decisión última del Juez o Tribunal, a quien compete de modo exclusivo la potestad jurisdiccional, la resolución de una cuestión que atañe a sus derechos e intereses y legítimos, pudiendo afectar incluso a otro derecho fundamental: a un proceso sin dilaciones indebidas. Ello implica que tal exclusión deba reputarse lesiva del derecho a la tutela judicial efectiva que a todos garantiza el art. 24.1 CE y del principio de exclusividad de la potestad jurisdiccional (art. 117.3 CE)” (FJ 7). Asimismo, la Sentencia precisa que hasta que el legislador no se pronuncie al respecto, el recurso judicial procedente frente al decreto del Letrado de la Administración de Justicia resolutivo de la reposición ha de ser el directo de revisión al que se refiere el propio art. 102 </w:t>
      </w:r>
      <w:r w:rsidRPr="00163957">
        <w:rPr>
          <w:i/>
        </w:rPr>
        <w:t>bis</w:t>
      </w:r>
      <w:r>
        <w:t>.2 LJCA.</w:t>
      </w:r>
    </w:p>
    <w:p w:rsidR="00163957" w:rsidRDefault="00163957" w:rsidP="00163957">
      <w:pPr>
        <w:pStyle w:val="TextoNormal"/>
      </w:pPr>
    </w:p>
    <w:p w:rsidR="00163957" w:rsidRDefault="00163957" w:rsidP="00163957">
      <w:pPr>
        <w:pStyle w:val="TextoNormal"/>
      </w:pPr>
      <w:r>
        <w:t xml:space="preserve">La reciente declaración de la inconstitucionalidad de dicho precepto no permite, precisamente por la fecha en que se produce, que en el presente caso pueda apreciarse el óbice de falta de agotamiento de la vía judicial previa. Es indudable que, en el momento en el que el actor trató de reaccionar contra la presunta lesión de su derecho fundamental a un proceso sin dilaciones indebidas, no podía en modo alguno obtener una respuesta judicial previa, dado el veto al respecto previsto en el párrafo primero de aquel precepto, ahora declarado inconstitucional. Por otro lado, tampoco cabe, a la luz del pronunciamiento contenido en la STC 58/2016, de 17 de marzo, retrotraer las actuaciones para que el actor pueda utilizar la vía del recurso de revisión, de acuerdo con lo que se indica en el fundamento jurídico 7 de </w:t>
      </w:r>
      <w:r>
        <w:lastRenderedPageBreak/>
        <w:t>dicha Sentencia, porque el proceso —casi con toda seguridad— se encontrará ya concluso, lo que no haría sino perjudicar al actor, añadiendo nuevas dilaciones a las ya padecidas.</w:t>
      </w:r>
    </w:p>
    <w:p w:rsidR="00163957" w:rsidRDefault="00163957" w:rsidP="00163957">
      <w:pPr>
        <w:pStyle w:val="TextoNormal"/>
      </w:pPr>
    </w:p>
    <w:p w:rsidR="00163957" w:rsidRDefault="00163957" w:rsidP="00163957">
      <w:pPr>
        <w:pStyle w:val="TextoNormal"/>
      </w:pPr>
      <w:r>
        <w:t xml:space="preserve">La solución constitucionalmente adecuada, dada la declaración de inconstitucionalidad del art. 102 </w:t>
      </w:r>
      <w:r w:rsidRPr="00163957">
        <w:rPr>
          <w:i/>
        </w:rPr>
        <w:t>bis</w:t>
      </w:r>
      <w:r>
        <w:t xml:space="preserve">.2 LJCA, es proceder a examinar la queja de fondo articulada en el presente recurso de amparo, pues fue la propia Ley la que impidió la intervención del Magistrado del Juzgado de lo Contencioso-Administrativo núm. 5 de Madrid, en ejercicio de su función jurisdiccional de tutela de los derechos fundamentales, lo cual justifica que este Tribunal intervenga para reparar la lesión del derecho a un proceso sin dilaciones indebidas del actor. Por lo demás, no es la primera vez que en la vía de amparo se convierte en objeto de enjuiciamiento la actuación de un Secretario Judicial (actualmente Letrado de la Administración de Justicia), pues ya en la STC 208/2015, de 5 de octubre, nos vimos obligados a examinar sendas resoluciones procesales de un Secretario Judicial que, extralimitándose en su competencia, negó a la parte demandante de amparo en aquel asunto la condición de parte en el procedimiento judicial </w:t>
      </w:r>
      <w:r w:rsidRPr="00163957">
        <w:rPr>
          <w:i/>
        </w:rPr>
        <w:t>a quo</w:t>
      </w:r>
      <w:r>
        <w:t>, rechazándole los escritos presentados, entre ellos, uno promoviendo un incidente de nulidad de actuaciones, lo que, en aquel supuesto, impidió que el Juez pudiera desarrollar su función jurisdiccional en protección del derecho fundamental a la tutela judicial efectiva sin indefensión, en su variante de acceso a la jurisdicción, de forma similar a lo que aquí acontece.</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Aclarado lo anterior, procede analizar la queja suscitada en este recurso, que recae, como ya se ha expuesto reiteradamente, sobre el derecho a un proceso sin dilaciones indebidas, consagrado en el art. 24.2 CE. Al respecto, tal y como señalaba la reciente STC 63/2016, de 11 de abril, en un supuesto similar, para determinar si nos encontramos o no ante una vulneración del meritado derecho, hemos de acudir a las pautas que nos ofrece nuestra jurisprudencia, conforme a la cual este derecho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no toda infracción de los plazos procesales o toda excesiva duración temporal de las actuaciones judiciales supone una vulneración del derecho fundamental que estamos comentando (por todas, STC 54/2014, de 10 de abril, FJ 4); por otra parte, el derecho fundamental referido no puede identificarse con un derecho al riguroso cumplimiento de los plazos procesales, configurándose a partir de la dimensión temporal de todo proceso y su razonabilidad (STC 142/2010, de 21 de diciembre, FJ 3). Como hemos subrayado, más recientemente, en las SSTC 89/2014, de 9 de junio, FJ 4; 99/2014, de 23 de junio, FJ 4, y 74/2015, de 27 de abril, FJ 4, con cita de la jurisprudencia precedente, la prohibición de retrasos injustificados en la marcha de los procesos judiciales impone a los Jueces y Tribunales el deber de obrar con la celeridad que les permita la duración normal o acostumbrada de los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Tales son la complejidad del litigio, los márgenes ordinarios de duración de los </w:t>
      </w:r>
      <w:r>
        <w:lastRenderedPageBreak/>
        <w:t>litigios del mismo tipo, el interés que arriesga el demandante de amparo, su conducta procesal y la conducta de las autoridades.</w:t>
      </w:r>
    </w:p>
    <w:p w:rsidR="00163957" w:rsidRDefault="00163957" w:rsidP="00163957">
      <w:pPr>
        <w:pStyle w:val="TextoNormal"/>
      </w:pPr>
    </w:p>
    <w:p w:rsidR="00163957" w:rsidRDefault="00163957" w:rsidP="00163957">
      <w:pPr>
        <w:pStyle w:val="TextoNormal"/>
      </w:pPr>
      <w:r w:rsidRPr="00163957">
        <w:rPr>
          <w:rStyle w:val="NumeroAFNegritaCaracter"/>
        </w:rPr>
        <w:t>5</w:t>
      </w:r>
      <w:r>
        <w:t>. Aplicando al caso la anterior doctrina, podemos afirmar, en primer lugar, que el asunto planteado no reviste una especial complejidad, al tratarse de un recurso interpuesto contra una resolución administrativa sancionadora que acuerda la expulsión del recurrente por encontrarse irregularmente en territorio español. Teniendo en cuenta la pretensión deducida ante el órgano judicial —que ni siquiera éste califica como particularmente compleja—, no parece razonable que en un procedimiento de esta naturaleza se haya diferido, con evidente perjuicio del recurrente, la vista de su recurso contencioso-administrativo a una fecha tan lejana como el 12 de febrero de 2015, cuando el citado recurso había sido interpuesto el 24 de junio de 2010. Ello ha supuesto para el demandante una espera de más de cuatro años para conocer si podía permanecer o no lícitamente en España.</w:t>
      </w:r>
    </w:p>
    <w:p w:rsidR="00163957" w:rsidRDefault="00163957" w:rsidP="00163957">
      <w:pPr>
        <w:pStyle w:val="TextoNormal"/>
      </w:pPr>
    </w:p>
    <w:p w:rsidR="00163957" w:rsidRDefault="00163957" w:rsidP="00163957">
      <w:pPr>
        <w:pStyle w:val="TextoNormal"/>
      </w:pPr>
      <w:r>
        <w:t>En cuanto al criterio relativo a los márgenes ordinarios de duración de los litigios, este Tribunal ha tenido ocasión de pronunciarse, en diferentes ocasiones, sobre la vulneración del derecho a un proceso sin dilaciones indebidas, con motivo del señalamiento de la vista, en procedimientos relativos a extranjería. Concretamente, en el supuesto analizado en la STC 142/2010, de 21 de diciembre, el señalamiento de la vista se fijó para año y medio después, respecto a la interposición del recurso contencioso-administrativo, frente a una denegación de solicitud de asilo. En supuestos de impugnación de resoluciones de expulsión, este Tribunal ha apreciado también la existencia de dilaciones, entre otras, en la STC 54/2014, de 10 de abril, por un señalamiento fijado para dos años y seis meses posteriores a la interposición del recurso; en la STC 99/2014, de 23 de junio, por un señalamiento posterior en algo más de dos años a la interposición del recurso; en la STC 88/2015, de 11 de mayo, cuyo señalamiento tuvo un retraso similar al anterior; y, últimamente, en la STC 63/2016, de 11 de abril, ante un señalamiento fijado con una distancia temporal superior a los tres años. Analizando lo ocurrido en un caso de impugnación de la denegación de una autorización de residencia, la STC 74/2015, de 27 de abril, asimismo apreció dilaciones indebidas por un retraso en el señalamiento de la vista de dos años y medio. Desde la doctrina que queda apuntada, cabe apreciar que el presente caso se inscribe también en lo que nuestra doctrina ha calificado como demora constitutiva de una dilación indebida.</w:t>
      </w:r>
    </w:p>
    <w:p w:rsidR="00163957" w:rsidRDefault="00163957" w:rsidP="00163957">
      <w:pPr>
        <w:pStyle w:val="TextoNormal"/>
      </w:pPr>
    </w:p>
    <w:p w:rsidR="00163957" w:rsidRDefault="00163957" w:rsidP="00163957">
      <w:pPr>
        <w:pStyle w:val="TextoNormal"/>
      </w:pPr>
      <w:r>
        <w:t>Por otra parte, el retraso en la tramitación procesal ha de ser ponderado con arreglo al interés que arriesgue el recurrente en el pleito. En este caso, ese interés consistía en obtener una resolución judicial que determinara si era ajustada a Derecho la resolución administrativa que acordó su expulsión del territorio nacional y la prohibición de entrada en España por un periodo de tres años, adoptada por la Delegación del Gobierno en Madrid. Es evidente que, al igual que en otros casos, como los resueltos por las SSTC 58/2014, de 5 de mayo, FJ 5; 99/2014, de 23 de junio, FJ 5, y 63/2016, de 11 de abril, FJ 5, esta decisión afectaba necesariamente a un ámbito preferente de sus derechos e intereses legítimos, relacionado, además, con la organización de la propia vida familiar y social, pues del sentido de la misma habría de depender su permanencia o no en España.</w:t>
      </w:r>
    </w:p>
    <w:p w:rsidR="00163957" w:rsidRDefault="00163957" w:rsidP="00163957">
      <w:pPr>
        <w:pStyle w:val="TextoNormal"/>
      </w:pPr>
    </w:p>
    <w:p w:rsidR="00163957" w:rsidRDefault="00163957" w:rsidP="00163957">
      <w:pPr>
        <w:pStyle w:val="TextoNormal"/>
      </w:pPr>
      <w:r>
        <w:t xml:space="preserve">Asimismo, ha de excluirse que la concreta conducta procesal del demandante merezca algún reproche en relación a las dilaciones ocurridas, ya que la denuncia de éste se produjo inmediatamente, a través de la presentación en fecha 8 de octubre de 2010 del recurso de reposición contra el decreto de 1 de septiembre de 2010, a través del cual se había efectuado </w:t>
      </w:r>
      <w:r>
        <w:lastRenderedPageBreak/>
        <w:t>el señalamiento para la vista; recurso éste en que el actor puso de manifiesto la vulneración del derecho fundamental a un proceso sin dilaciones indebidas.</w:t>
      </w:r>
    </w:p>
    <w:p w:rsidR="00163957" w:rsidRDefault="00163957" w:rsidP="00163957">
      <w:pPr>
        <w:pStyle w:val="TextoNormal"/>
      </w:pPr>
    </w:p>
    <w:p w:rsidR="00163957" w:rsidRDefault="00163957" w:rsidP="00163957">
      <w:pPr>
        <w:pStyle w:val="TextoNormal"/>
      </w:pPr>
      <w:r w:rsidRPr="00163957">
        <w:rPr>
          <w:rStyle w:val="NumeroAFNegritaCaracter"/>
        </w:rPr>
        <w:t>6</w:t>
      </w:r>
      <w:r>
        <w:t>. Expuesto lo anterior, es preciso subrayar que la dilación denunciada por el demandante de amparo no tiene su origen en el silencio judicial ante peticiones de la parte, ni en la inactividad procesal durante largos períodos de tiempo, ni en la demora en proceder a señalar la fecha de la vista, sino que dimana del hecho de mediar un período de tiempo excesivo entre el momento en que se dictó el decreto de señalamiento de la vista y la fecha fijada para tal acto procesal, decisión tomada de acuerdo con las reglas de los arts. 182 de la Ley de enjuiciamiento civil y 78 LJCA, ajustándose al orden de antigüedad, por lo que el retraso parece obedecer a causas estructurales y a la carga de trabajo que pesa sobre el órgano judicial.</w:t>
      </w:r>
    </w:p>
    <w:p w:rsidR="00163957" w:rsidRDefault="00163957" w:rsidP="00163957">
      <w:pPr>
        <w:pStyle w:val="TextoNormal"/>
      </w:pPr>
    </w:p>
    <w:p w:rsidR="00163957" w:rsidRDefault="00163957" w:rsidP="00163957">
      <w:pPr>
        <w:pStyle w:val="TextoNormal"/>
      </w:pPr>
      <w:r>
        <w:t>No obstante, el hecho de que la presente demora se deba a motivos estructurales, no imputables directamente al órgano judicial, no impide apreciar la vulneración del derecho del recurrente a un proceso sin dilaciones indebidas, pues esta situación no altera la naturaleza injustificada de dichas dilaciones, según reiterada jurisprudencia de este Tribunal y del Tribunal Europeo de Derechos Humanos, en tanto que el ciudadano es ajeno a esas circunstancias.</w:t>
      </w:r>
    </w:p>
    <w:p w:rsidR="00163957" w:rsidRDefault="00163957" w:rsidP="00163957">
      <w:pPr>
        <w:pStyle w:val="TextoNormal"/>
      </w:pPr>
    </w:p>
    <w:p w:rsidR="00163957" w:rsidRDefault="00163957" w:rsidP="00163957">
      <w:pPr>
        <w:pStyle w:val="TextoNormal"/>
      </w:pPr>
      <w:r>
        <w:t>Sobre este extremo, nos recuerda también la señalada STC 63/2016, de 11 de abril, por remisión a la STC 142/2010, de 21 de diciembre, FJ 4, que “como ha señalado este Tribunal, entre otras, en las SSTC 160/2004, de 4 de octubre, FJ 5, y 153/2005, de 6 de junio, FJ 6,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180/1996, de 16 de noviembre, FJ 4)”.</w:t>
      </w:r>
    </w:p>
    <w:p w:rsidR="00163957" w:rsidRDefault="00163957" w:rsidP="00163957">
      <w:pPr>
        <w:pStyle w:val="TextoNormal"/>
      </w:pPr>
    </w:p>
    <w:p w:rsidR="00163957" w:rsidRDefault="00163957" w:rsidP="00163957">
      <w:pPr>
        <w:pStyle w:val="TextoNormal"/>
      </w:pPr>
      <w:r>
        <w:t xml:space="preserve">Igual criterio sostiene el Tribunal Europeo de Derechos Humanos al afirmar en su Sentencia de 7 de julio de 1989, caso </w:t>
      </w:r>
      <w:r w:rsidRPr="00163957">
        <w:rPr>
          <w:i/>
        </w:rPr>
        <w:t>Unión Alimentaria Sanders c. España</w:t>
      </w:r>
      <w:r>
        <w:t xml:space="preserve">, el carácter estructural de las dilaciones sufridas por la sociedad demandante, concluyendo que esta situación no puede privar a los ciudadanos de su derecho al respeto del plazo razonable (§§ 38 y 42), o cuando en la Sentencia de 11 de marzo de 2004, caso </w:t>
      </w:r>
      <w:r w:rsidRPr="00163957">
        <w:rPr>
          <w:i/>
        </w:rPr>
        <w:t>Lenaerts c. Bélgica</w:t>
      </w:r>
      <w:r>
        <w:t xml:space="preserve"> (§ 18),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w:t>
      </w:r>
    </w:p>
    <w:p w:rsidR="00163957" w:rsidRDefault="00163957" w:rsidP="00163957">
      <w:pPr>
        <w:pStyle w:val="TextoNormal"/>
      </w:pPr>
    </w:p>
    <w:p w:rsidR="00163957" w:rsidRDefault="00163957" w:rsidP="00163957">
      <w:pPr>
        <w:pStyle w:val="TextoNormal"/>
      </w:pPr>
      <w:r w:rsidRPr="00163957">
        <w:rPr>
          <w:rStyle w:val="NumeroAFNegritaCaracter"/>
        </w:rPr>
        <w:t>7</w:t>
      </w:r>
      <w:r>
        <w:t>. Por todo lo anterior, cabe concluir que se ha vulnerado en este caso el derecho a un proceso sin dilaciones indebidas del recurrente (art. 24.2 CE), como consecuencia de la fecha fijada por el órgano judicial para la celebración de la vista de su recurso contencioso-administrativo. Al igual que en otros casos resueltos por este Tribunal (por todas, STC 89/2014, de 9 de junio, FJ 7), la estimación del amparo debe limitarse a la declaración de la violación del derecho fundamental, dado que ha transcurrido con creces la fecha señalada para la celebración de la vista, a saber el día 12 de febrero del 2015.</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don Martins Oriaifo, y, en su virtud, declarar que se ha vulnerado su derecho a un proceso sin dilaciones indebidas (art. 24.2 CE).</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veinticinco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81" w:name="SENTENCIA_2016_78"/>
      <w:r>
        <w:lastRenderedPageBreak/>
        <w:t>SENTENCIA 78/2016, de 25 de abril de 2016</w:t>
      </w:r>
    </w:p>
    <w:bookmarkEnd w:id="81"/>
    <w:p w:rsidR="00163957" w:rsidRDefault="00163957" w:rsidP="00163957">
      <w:pPr>
        <w:pStyle w:val="TtuloResolucin"/>
      </w:pPr>
      <w:r>
        <w:t>Sala Primera</w:t>
      </w:r>
    </w:p>
    <w:p w:rsidR="00163957" w:rsidRDefault="00163957" w:rsidP="00163957">
      <w:pPr>
        <w:pStyle w:val="TtuloBOE"/>
      </w:pPr>
      <w:r>
        <w:t>(BOE núm. 131, de 31 de mayo de 2016)</w:t>
      </w:r>
    </w:p>
    <w:p w:rsidR="00163957" w:rsidRDefault="00163957" w:rsidP="00163957">
      <w:pPr>
        <w:pStyle w:val="TextoNormalCentrado"/>
      </w:pPr>
      <w:r>
        <w:t>ECLI:ES:TC:2016:78</w:t>
      </w:r>
    </w:p>
    <w:p w:rsidR="00163957" w:rsidRDefault="00163957" w:rsidP="00163957">
      <w:pPr>
        <w:pStyle w:val="TextoNormalCentrado"/>
      </w:pPr>
    </w:p>
    <w:p w:rsidR="00163957" w:rsidRDefault="00163957" w:rsidP="00163957">
      <w:pPr>
        <w:pStyle w:val="SntesisDescriptiva"/>
      </w:pPr>
      <w:r>
        <w:t>Recurso de amparo 2995-2013. Promovido por doña Carmen Menéndez González-Palenzuela en relación con la resolución del Presidente de la Asamblea de Madrid que la expulsó de una sesión plenaria y la suspendió de su condición de diputada en activo durante un mes.</w:t>
      </w:r>
    </w:p>
    <w:p w:rsidR="00163957" w:rsidRDefault="00163957" w:rsidP="00163957">
      <w:pPr>
        <w:pStyle w:val="SntesisDescriptiva"/>
      </w:pPr>
    </w:p>
    <w:p w:rsidR="00163957" w:rsidRDefault="00163957" w:rsidP="00163957">
      <w:pPr>
        <w:pStyle w:val="SntesisAnaltica"/>
      </w:pPr>
      <w:r>
        <w:t>Vulneración del derecho a la legalidad sancionadora en relación con el derecho al ejercicio de las funciones representativas: inadecuada subsunción de la conducta en el tipo infractor definido por el reglamentario parlamentario.</w:t>
      </w:r>
    </w:p>
    <w:p w:rsidR="00163957" w:rsidRDefault="00163957" w:rsidP="00163957">
      <w:pPr>
        <w:pStyle w:val="SntesisAnaltica"/>
      </w:pPr>
    </w:p>
    <w:p w:rsidR="00163957" w:rsidRDefault="00163957" w:rsidP="00163957">
      <w:pPr>
        <w:pStyle w:val="Extracto"/>
      </w:pPr>
      <w:r>
        <w:t>1.</w:t>
      </w:r>
      <w:r>
        <w:tab/>
        <w:t>La expulsión del recinto parlamentario, así como la suspensión temporal de la condición de Diputada vulneró el principio de legalidad del art. 25.1 CE, desde la perspectiva de la garantía material de tipicidad [FJ 6].</w:t>
      </w:r>
    </w:p>
    <w:p w:rsidR="00163957" w:rsidRDefault="00163957" w:rsidP="00163957">
      <w:pPr>
        <w:pStyle w:val="Extracto"/>
      </w:pPr>
    </w:p>
    <w:p w:rsidR="00163957" w:rsidRDefault="00163957" w:rsidP="00163957">
      <w:pPr>
        <w:pStyle w:val="Extracto"/>
      </w:pPr>
      <w:r>
        <w:t>2.</w:t>
      </w:r>
      <w:r>
        <w:tab/>
        <w:t>La sanción que se produce una vez la alteración del orden haya cesado y se haya procedido a debatir de otros asuntos con normalidad carece de la continuidad temporal que exige el artículo 33 del Reglamento de la Asamblea de Madrid, en el que se requiere que la sanción se aplique a hechos recién acaecidos (STC 136/1989) [FJ 6].</w:t>
      </w:r>
    </w:p>
    <w:p w:rsidR="00163957" w:rsidRDefault="00163957" w:rsidP="00163957">
      <w:pPr>
        <w:pStyle w:val="Extracto"/>
      </w:pPr>
    </w:p>
    <w:p w:rsidR="00163957" w:rsidRDefault="00163957" w:rsidP="00163957">
      <w:pPr>
        <w:pStyle w:val="Extracto"/>
      </w:pPr>
      <w:r>
        <w:t>3.</w:t>
      </w:r>
      <w:r>
        <w:tab/>
        <w:t>No concurre materialmente la conducta típica prevista en el artículo 33 del Reglamento de la Asamblea de Madrid, cual es la existencia de un atentado grave que cause desorden, si no se requirió de una acción inmediata de la Presidencia de la Cámara para la normal continuación de los debates parlamentarios (STC 169/1995) [FJ 6].</w:t>
      </w:r>
    </w:p>
    <w:p w:rsidR="00163957" w:rsidRDefault="00163957" w:rsidP="00163957">
      <w:pPr>
        <w:pStyle w:val="Extracto"/>
      </w:pPr>
    </w:p>
    <w:p w:rsidR="00163957" w:rsidRDefault="00163957" w:rsidP="00163957">
      <w:pPr>
        <w:pStyle w:val="Extracto"/>
      </w:pPr>
      <w:r>
        <w:t>4.</w:t>
      </w:r>
      <w:r>
        <w:tab/>
        <w:t>La expulsión del recinto parlamentario, así como la suspensión temporal de la condición de Diputada sin cobertura legal ha privado a la recurrente de su derecho a permanecer, sin intromisiones ni limitaciones ilegitimas y en condiciones de igualdad, en el cargo público para el que fue elegida [FJ 6].</w:t>
      </w:r>
    </w:p>
    <w:p w:rsidR="00163957" w:rsidRDefault="00163957" w:rsidP="00163957">
      <w:pPr>
        <w:pStyle w:val="Extracto"/>
      </w:pPr>
    </w:p>
    <w:p w:rsidR="00163957" w:rsidRDefault="00163957" w:rsidP="00163957">
      <w:pPr>
        <w:pStyle w:val="Extracto"/>
      </w:pPr>
      <w:r>
        <w:t>5.</w:t>
      </w:r>
      <w:r>
        <w:tab/>
        <w:t>La vulneración del derecho reconocido en el art. 23.2 CE, comporta, a su vez, la del derecho de los electores a participar en los asuntos públicos a través de sus representantes [FJ 6].</w:t>
      </w:r>
    </w:p>
    <w:p w:rsidR="00163957" w:rsidRDefault="00163957" w:rsidP="00163957">
      <w:pPr>
        <w:pStyle w:val="Extracto"/>
      </w:pPr>
    </w:p>
    <w:p w:rsidR="00163957" w:rsidRDefault="00163957" w:rsidP="00163957">
      <w:pPr>
        <w:pStyle w:val="Extracto"/>
      </w:pPr>
      <w:r>
        <w:t>6.</w:t>
      </w:r>
      <w:r>
        <w:tab/>
        <w:t>Doctrina sobre el principio de legalidad en el ámbito parlamentario (STC 129/2006)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lastRenderedPageBreak/>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2995-2013, promovido por doña Carmen Menéndez González-Palenzuela, Diputada de la Asamblea de Madrid, representada por el Procurador de los Tribunales don Jorge Laguna Alonso y asistida por el Abogado don Wilfredo Jurado Rodríguez, contra el Acuerdo del Presidente de la citada Asamblea de 9 de mayo de 2013, por el que se decidió la expulsión de la recurrente de la sesión ordinaria que se estaba celebrando en aquella fecha, así como la suspensión temporal de su condición de Diputada en activo por plazo de un mes. Han comparecido la Asamblea de Madrid, a través de sus representantes y el Ministerio Fiscal. Ha sido Ponente el Presidente, don Francisco Pérez de los Cobos Orihuel,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el día 20 de mayo de 2013, el Procurador de los Tribunales don Jorge Laguna Alonso, en nombre y representación de doña Carmen Menéndez González-Palenzuela, Diputada de la Asamblea de Madrid, interpuso recurso de amparo contra el acuerdo del Presidente de dicha Asamblea, al que se ha hecho mención en el encabezamiento de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que dan lugar a la presente demanda son, sucintamente expuestos, los siguientes:</w:t>
      </w:r>
    </w:p>
    <w:p w:rsidR="00163957" w:rsidRDefault="00163957" w:rsidP="00163957">
      <w:pPr>
        <w:pStyle w:val="TextoNormal"/>
      </w:pPr>
    </w:p>
    <w:p w:rsidR="00163957" w:rsidRDefault="00163957" w:rsidP="00163957">
      <w:pPr>
        <w:pStyle w:val="TextoNormal"/>
      </w:pPr>
      <w:r>
        <w:t xml:space="preserve">a) En fecha 9 de mayo de 2013, con ocasión de la celebración de la sesión ordinaria del Pleno de la Asamblea de Madrid, se produjo una intervención de la hoy demandante en amparo, en su calidad de Diputada del Grupo Parlamentario Socialista de dicha Asamblea, en relación con una pregunta de contestación oral en Pleno acerca de la política de la Consejería de Sanidad de la Comunidad de Madrid sobre jubilación forzosa de los médicos mayores de 65 años. En el curso de dicha intervención y, después de hacer una serie de consideraciones sobre el objeto de su pregunta, la Diputada calificó de “corrupto” al Presidente del Consejo de Gobierno, vinculándolo a la llamada “trama Gurtel”, por lo que el Presidente de la Asamblea la llamó al orden y, al no atender aquella a su requerimiento, le retiró el uso de la palabra advirtiéndole expresamente de que la había llamado al orden y que si le seguía interrumpiendo la expulsaría del recinto. A continuación, el Presidente de la Cámara otorgó la palabra al Presidente del Gobierno regional, quien, en el transcurso de su alocución dirigió a la Diputada la siguiente afirmación: “aquí la única corrupta es usted, señora, que no es capaz de demostrar absolutamente nada, que lo único que hace es insultar e insidiar sin nada, amparándose en su condición de parlamentaria”, instándola a que retirara sus palabras. Tras hablar este, se concedió nuevamente la palabra a la Diputada para que pudiera contestarle y, en uso de esa palabra, la Diputada se quejó de que al Presidente del </w:t>
      </w:r>
      <w:r>
        <w:lastRenderedPageBreak/>
        <w:t>Gobierno regional no se le reprendiera por haberla llamado corrupta, señalando a continuación que se había publicado una determinada documentación que ponía al descubierto una trama de contratación ilícita, cuyo principal responsable habría sido, en su día, el Presidente de la Comunidad de Madrid cuando era Consejero. En ese momento, el Presidente de la Cámara vuelve a retirarle el uso de la palabra, llamándola al orden nuevamente y preguntándole si aceptaba o no la invitación del Presidente del Gobierno regional a que retirara sus acusaciones de corrupción. Para responder a tal pregunta, le concede otra vez la palabra y ella se vuelve a quejar de que el Presidente “que está vinculado a la trama Gürtel” le haya llamado a ella “corrupta”. Las intervenciones de la Diputada socialista y del Presidente del Consejo de Gobierno dieron lugar a los correspondientes aplausos y protestas en los respectivos escaños de los Grupos Socialista y Popular de la Asamblea madrileña.</w:t>
      </w:r>
    </w:p>
    <w:p w:rsidR="00163957" w:rsidRDefault="00163957" w:rsidP="00163957">
      <w:pPr>
        <w:pStyle w:val="TextoNormal"/>
      </w:pPr>
    </w:p>
    <w:p w:rsidR="00163957" w:rsidRDefault="00163957" w:rsidP="00163957">
      <w:pPr>
        <w:pStyle w:val="TextoNormal"/>
      </w:pPr>
      <w:r>
        <w:t>Al ver el Presidente de la Cámara que sus intentos por que la Diputada se manifestara sobre si retiraba o no el calificativo dedicado al Presidente del Gobierno eran en balde y constatar el empeño de esta en seguir con su discurso, la llama al orden y le retira la palabra por tercera vez. Señala entonces el Presidente de la Cámara que “la costumbre de esta Presidencia” es que cuando se solicita la retirada de una determinada expresión a un Diputado y este no accede, se retira de las actas de oficio. Sin embargo, advierte de que, en este caso, la va a dejar en el acta, para que conste con todas sus consecuencias. A continuación, se concede la palabra al Presidente del Gobierno a petición de este, en uso de la cual protesta por la permanencia en el acta de la expresión utilizada por la Diputada y solicita nuevamente de esta que la retire, advirtiéndole de nuevo de que, de no hacerlo así, presentaría una querella contra ella al día siguiente.</w:t>
      </w:r>
    </w:p>
    <w:p w:rsidR="00163957" w:rsidRDefault="00163957" w:rsidP="00163957">
      <w:pPr>
        <w:pStyle w:val="TextoNormal"/>
      </w:pPr>
    </w:p>
    <w:p w:rsidR="00163957" w:rsidRDefault="00163957" w:rsidP="00163957">
      <w:pPr>
        <w:pStyle w:val="TextoNormal"/>
      </w:pPr>
      <w:r>
        <w:t>La Diputada recurrente no accede a tal petición y el Presidente de la Cámara concede, entonces, la palabra al Consejero de Sanidad para que conteste a la pregunta formulada por aquella y, a partir de ahí, la sesión se sigue desarrollando con normalidad hasta el momento en que, acabada la tramitación de otras dos preguntas de contestación oral en Pleno y antes de pasar al segundo punto del orden del día, el Presidente de la Asamblea anuncia que aplicará a la citada Diputada lo dispuesto en el art. 33 del Reglamento de la Asamblea (en adelante, RAM), que leyó en voz alta, señalando cómo, a su modo de ver, esta había atentado de una manera clara contra la disciplina –al no haber atendido a los requerimientos de la Presidencia de la Cámara para que cesara en sus intervenciones–, el orden y la cortesía parlamentarios. Asimismo, conminó a la Diputada a que abandonara la sala de manera inmediata, cosa que ella hizo, junto con el resto de los Diputados del Grupo Parlamentario Socialista, que se unieron a ella.</w:t>
      </w:r>
    </w:p>
    <w:p w:rsidR="00163957" w:rsidRDefault="00163957" w:rsidP="00163957">
      <w:pPr>
        <w:pStyle w:val="TextoNormal"/>
      </w:pPr>
    </w:p>
    <w:p w:rsidR="00163957" w:rsidRDefault="00163957" w:rsidP="00163957">
      <w:pPr>
        <w:pStyle w:val="TextoNormal"/>
      </w:pPr>
      <w:r>
        <w:t>Después de estos hechos, se reanudó la sesión para abordar el siguiente punto, lo que ocurrió ya sin incidentes, al margen de aquellos que se derivaban de la ausencia de los miembros del Grupo Parlamentario Socialista, entre otros, el decaimiento de una interpelación presentada por este grupo.</w:t>
      </w:r>
    </w:p>
    <w:p w:rsidR="00163957" w:rsidRDefault="00163957" w:rsidP="00163957">
      <w:pPr>
        <w:pStyle w:val="TextoNormal"/>
      </w:pPr>
    </w:p>
    <w:p w:rsidR="00163957" w:rsidRDefault="00163957" w:rsidP="00163957">
      <w:pPr>
        <w:pStyle w:val="TextoNormal"/>
      </w:pPr>
      <w:r>
        <w:t xml:space="preserve">b) Al día siguiente, el 10 de mayo de 2013, el portavoz del Grupo Parlamentario Socialista, presentó en la Mesa de la Cámara un escrito dirigido al Presidente de la Asamblea de Madrid en el que, entre otras cosas, se solicitaba la reconsideración de la decisión, al entender que esta había vulnerado la libertad ideológica y de expresión, así como el derecho de igualdad de la hoy recurrente en amparo y de su grupo parlamentario y los derechos contenidos en el art. 23 CE, dado lo arbitrario de la sanción impuesta. La Mesa de la Asamblea, </w:t>
      </w:r>
      <w:r>
        <w:lastRenderedPageBreak/>
        <w:t>reunida en sesión ordinaria el día 13 de mayo de 2013 determinó que de dicho escrito debía conocer la Junta de Portavoces, a celebrar el día siguiente. En la reunión de la Junta de Portavoces, de fecha 14 de mayo de 2013, se dio lectura al escrito del portavoz del Grupo Socialista, solicitando la revisión de la decisión adoptada por el Presidente de la Asamblea y por éste se presentó un escrito en el que se justificaba y motivaba la decisión adoptada. En dicho escrito señala, en definitiva, que no fue el uso de un determinado calificativo injurioso lo que motivó la expulsión de la Diputada, sino un conjunto de afirmaciones y actitudes reiteradas, que no pueden tener cabida en sede parlamentaria y que encajarían perfectamente en la sanción prevista en el art. 33 del Reglamento de la Asamblea de Madrid (RAM). Porque —se señala— “ni la libertad de expresión ni la inviolabilidad parlamentaria puede ni debe amparar el insulto, la injuria y la calumnia”. Por distintos miembros de la Junta de Portavoces se hicieron manifestaciones a favor y en contra del acuerdo sancionador. En concreto, el portavoz del Grupo Parlamentario Socialista pregunta si se mantiene la sanción, puesto que no había sido notificada a la Diputada. El Presidente manifestó que se ratificaba en la sanción y que en ese mismo día se le comunicaría a la interesada. En dicha comunicación se afirmaba que “su Señoría faltó a la cortesía y a la disciplina parlamentarias de forma muy grave y provocó con sus palabras y actos desorden en la Cámara”, al increpar al Presidente del Gobierno en términos injuriosos y calumniosos, incluyendo la imputación de delitos y desoír las llamadas al orden de la Presidencia de la Cámara y desafiarla en diversos modos, negándole su capacidad de dirigir el debate. También se concretaba en qué consistía la suspensión temporal de sus derechos parlamentarios, a saber:</w:t>
      </w:r>
    </w:p>
    <w:p w:rsidR="00163957" w:rsidRDefault="00163957" w:rsidP="00163957">
      <w:pPr>
        <w:pStyle w:val="TextoNormal"/>
      </w:pPr>
    </w:p>
    <w:p w:rsidR="00163957" w:rsidRDefault="00163957" w:rsidP="00163957">
      <w:pPr>
        <w:pStyle w:val="TextoNormal"/>
      </w:pPr>
      <w:r>
        <w:t>1º Imposibilidad de asistir a las sesiones del Pleno y de las Comisiones (arts. 16.1 y 25 RAM), así como de la Junta de Portavoces (art. 58 RAM) y de la Diputación Permanente (art. 80 RAM), sin poder desempeñar en estos órganos, lógicamente, las funciones atribuidas a los eventuales cargos que ostentara.</w:t>
      </w:r>
    </w:p>
    <w:p w:rsidR="00163957" w:rsidRDefault="00163957" w:rsidP="00163957">
      <w:pPr>
        <w:pStyle w:val="TextoNormal"/>
      </w:pPr>
    </w:p>
    <w:p w:rsidR="00163957" w:rsidRDefault="00163957" w:rsidP="00163957">
      <w:pPr>
        <w:pStyle w:val="TextoNormal"/>
      </w:pPr>
      <w:r>
        <w:t>2º Imposibilidad de realizar solicitudes de datos, informes o documentos al Gobierno, Administración del Estado o Administración Local (art. 18 RAM).</w:t>
      </w:r>
    </w:p>
    <w:p w:rsidR="00163957" w:rsidRDefault="00163957" w:rsidP="00163957">
      <w:pPr>
        <w:pStyle w:val="TextoNormal"/>
      </w:pPr>
    </w:p>
    <w:p w:rsidR="00163957" w:rsidRDefault="00163957" w:rsidP="00163957">
      <w:pPr>
        <w:pStyle w:val="TextoNormal"/>
      </w:pPr>
      <w:r>
        <w:t>3º Suspensión del derecho a recibir las actas y documentos de los órganos de la Asamblea (art. 19 RAM).</w:t>
      </w:r>
    </w:p>
    <w:p w:rsidR="00163957" w:rsidRDefault="00163957" w:rsidP="00163957">
      <w:pPr>
        <w:pStyle w:val="TextoNormal"/>
      </w:pPr>
    </w:p>
    <w:p w:rsidR="00163957" w:rsidRDefault="00163957" w:rsidP="00163957">
      <w:pPr>
        <w:pStyle w:val="TextoNormal"/>
      </w:pPr>
      <w:r>
        <w:t>4º Prohibición de asistir a las sesiones plenarias y a ejercer su derecho de voto.</w:t>
      </w:r>
    </w:p>
    <w:p w:rsidR="00163957" w:rsidRDefault="00163957" w:rsidP="00163957">
      <w:pPr>
        <w:pStyle w:val="TextoNormal"/>
      </w:pPr>
    </w:p>
    <w:p w:rsidR="00163957" w:rsidRDefault="00163957" w:rsidP="00163957">
      <w:pPr>
        <w:pStyle w:val="TextoNormal"/>
      </w:pPr>
      <w:r>
        <w:t>5º Suspensión del derecho a presentar o participar en cualquier tipo de iniciativa parlamentaria durante el tiempo que dure la sanción.</w:t>
      </w:r>
    </w:p>
    <w:p w:rsidR="00163957" w:rsidRDefault="00163957" w:rsidP="00163957">
      <w:pPr>
        <w:pStyle w:val="TextoNormal"/>
      </w:pPr>
    </w:p>
    <w:p w:rsidR="00163957" w:rsidRDefault="00163957" w:rsidP="00163957">
      <w:pPr>
        <w:pStyle w:val="TextoNormal"/>
      </w:pPr>
      <w:r>
        <w:t>6º El Grupo Parlamentario al que pertenece la Diputada sancionada no podría contar con ella en la presentación y sustanciación de ningún tipo de iniciativa parlamentaria, así como tampoco en la votación de las mismas.</w:t>
      </w:r>
    </w:p>
    <w:p w:rsidR="00163957" w:rsidRDefault="00163957" w:rsidP="00163957">
      <w:pPr>
        <w:pStyle w:val="TextoNormal"/>
      </w:pPr>
    </w:p>
    <w:p w:rsidR="00163957" w:rsidRDefault="00163957" w:rsidP="00163957">
      <w:pPr>
        <w:pStyle w:val="TextoNormal"/>
      </w:pPr>
      <w:r>
        <w:t>Desde el punto de vista de los efectos en la esfera administrativa la sanción implicaba también la suspensión del derecho regulado en el art. 20 RAM a percibir una asignación económica.</w:t>
      </w:r>
    </w:p>
    <w:p w:rsidR="00163957" w:rsidRDefault="00163957" w:rsidP="00163957">
      <w:pPr>
        <w:pStyle w:val="TextoNormal"/>
      </w:pPr>
    </w:p>
    <w:p w:rsidR="00163957" w:rsidRDefault="00163957" w:rsidP="00163957">
      <w:pPr>
        <w:pStyle w:val="TextoNormal"/>
      </w:pPr>
      <w:r>
        <w:lastRenderedPageBreak/>
        <w:t>c) El Grupo Parlamentario Socialista volvió a intentar, a través de una cuestión previa presentada por uno de sus Diputados en el Pleno del 16 de mayo, la reconsideración del asunto por el Presidente de la Cámara, que fue rechazada por este.</w:t>
      </w:r>
    </w:p>
    <w:p w:rsidR="00163957" w:rsidRDefault="00163957" w:rsidP="00163957">
      <w:pPr>
        <w:pStyle w:val="TextoNormal"/>
      </w:pPr>
    </w:p>
    <w:p w:rsidR="00163957" w:rsidRDefault="00163957" w:rsidP="00163957">
      <w:pPr>
        <w:pStyle w:val="TextoNormal"/>
      </w:pPr>
      <w:r w:rsidRPr="00163957">
        <w:rPr>
          <w:rStyle w:val="NumeroAFNegritaCaracter"/>
        </w:rPr>
        <w:t>3</w:t>
      </w:r>
      <w:r>
        <w:t>. El 20 de mayo de 2013 tuvo entrada en el Registro General del Tribunal Constitucional recurso de amparo presentado por la Diputada de la Asamblea de Madrid que fue sancionada, contra el acuerdo del Presidente de la Asamblea de Madrid de fecha 9 de mayo de 2013, por el que decidió su expulsión de la sesión ordinaria que se estaba celebrando en aquella fecha, así como la suspensión temporal de su condición de diputada en activo por plazo de un mes.</w:t>
      </w:r>
    </w:p>
    <w:p w:rsidR="00163957" w:rsidRDefault="00163957" w:rsidP="00163957">
      <w:pPr>
        <w:pStyle w:val="TextoNormal"/>
      </w:pPr>
    </w:p>
    <w:p w:rsidR="00163957" w:rsidRDefault="00163957" w:rsidP="00163957">
      <w:pPr>
        <w:pStyle w:val="TextoNormal"/>
      </w:pPr>
      <w:r>
        <w:t>a) Se alega en el mismo la vulneración del art. 20.1 a) CE, pues se impidió a la diputada demandante de amparo la libre defensa de su postura ideológica, vulnerando su libertad de expresión, en conexión con la inviolabilidad parlamentaria.</w:t>
      </w:r>
    </w:p>
    <w:p w:rsidR="00163957" w:rsidRDefault="00163957" w:rsidP="00163957">
      <w:pPr>
        <w:pStyle w:val="TextoNormal"/>
      </w:pPr>
    </w:p>
    <w:p w:rsidR="00163957" w:rsidRDefault="00163957" w:rsidP="00163957">
      <w:pPr>
        <w:pStyle w:val="TextoNormal"/>
      </w:pPr>
      <w:r>
        <w:t>Considera la demandante que la utilización del término “corrupto”, en el contexto de un debate parlamentario en el que se hizo y con la circunstancia de la existencia de una investigación judicial en curso referida a determinadas prácticas irregulares de contratación pública que afectaban como último responsable político al Presidente de la Comunidad, se encontraba amparada por la libertad de expresión, insertándose, además, en la esfera de la inviolabilidad parlamentaria. Más concretamente, se entiende que la sanción aplicada por el Presidente de la Asamblea (expulsión del Pleno y suspensión de sus derechos como diputada durante el plazo de un mes) es desproporcionada respecto de los hechos que la originan, por lo que ha de reputarse contraria a lo dispuesto en el artículo constitucional antes citado.</w:t>
      </w:r>
    </w:p>
    <w:p w:rsidR="00163957" w:rsidRDefault="00163957" w:rsidP="00163957">
      <w:pPr>
        <w:pStyle w:val="TextoNormal"/>
      </w:pPr>
    </w:p>
    <w:p w:rsidR="00163957" w:rsidRDefault="00163957" w:rsidP="00163957">
      <w:pPr>
        <w:pStyle w:val="TextoNormal"/>
      </w:pPr>
      <w:r>
        <w:t>Además, la recurrente habría sufrido un trato desigual respecto a otros diputados de la Asamblea. En primer lugar, porque el Presidente de la Cámara permitió al Presidente de la Comunidad, sin hacerle reproche alguno, que utilizara la misma expresión dirigida a la hoy recurrente en amparo. Y, en segundo lugar, porque en el Pleno de la Asamblea celebrado el día 16 de mayo de 2013, distintos diputados se refirieron a otros en los mismos términos, siendo unos expulsados y otros no, pero sin que ninguno fuera suspendido temporalmente en sus derechos y deberes por el plazo de un mes.</w:t>
      </w:r>
    </w:p>
    <w:p w:rsidR="00163957" w:rsidRDefault="00163957" w:rsidP="00163957">
      <w:pPr>
        <w:pStyle w:val="TextoNormal"/>
      </w:pPr>
    </w:p>
    <w:p w:rsidR="00163957" w:rsidRDefault="00163957" w:rsidP="00163957">
      <w:pPr>
        <w:pStyle w:val="TextoNormal"/>
      </w:pPr>
      <w:r>
        <w:t>Entiende la demandante que cuando el parlamentario se manifiesta desde la tribuna parlamentaria está totalmente protegido por la prerrogativa constitucional de la inviolabilidad parlamentaria, no pudiendo ser perseguido por sus opiniones ni siquiera aplicando la disciplina interna, pues con aquella se trata de proteger las relevantes funciones parlamentarias frente a cualquier tipo de limitación o responsabilidad jurídica o política. El respeto a dicha prerrogativa exigiría en este caso una interpretación restrictiva de lo dispuesto en el art. 33 RAM, aplicándolo exclusivamente en los casos que exista verdaderamente un desorden o atentado grave y descartando su aplicación, en cambio, cuando se trate únicamente de manifestaciones que incomoden, irriten o disgusten a la mayoría parlamentaria.</w:t>
      </w:r>
    </w:p>
    <w:p w:rsidR="00163957" w:rsidRDefault="00163957" w:rsidP="00163957">
      <w:pPr>
        <w:pStyle w:val="TextoNormal"/>
      </w:pPr>
    </w:p>
    <w:p w:rsidR="00163957" w:rsidRDefault="00163957" w:rsidP="00163957">
      <w:pPr>
        <w:pStyle w:val="TextoNormal"/>
      </w:pPr>
      <w:r>
        <w:t xml:space="preserve">b) Se alega, además, la vulneración del principio de tipicidad en la imposición de las sanciones del art. 25.1 CE. Se entiende que en el supuesto regulado en los arts. 33 y 35.1 e) RAM, se confiere al Presidente el poder para conseguir una finalidad concreta, que no es otra que el restablecimiento del orden de la sesión cuando este haya sido perturbado por un diputado. Es decir, se configuraría como una situación actual, urgente y excepcional, ante </w:t>
      </w:r>
      <w:r>
        <w:lastRenderedPageBreak/>
        <w:t>la que la medida resulta necesaria para continuar sin altercados la sesión del Pleno, cuando se cumplan dos requisitos: que exista un atentado grave contra la disciplina, el orden o la cortesía parlamentaria y que, además, se hubiera provocado desorden.</w:t>
      </w:r>
    </w:p>
    <w:p w:rsidR="00163957" w:rsidRDefault="00163957" w:rsidP="00163957">
      <w:pPr>
        <w:pStyle w:val="TextoNormal"/>
      </w:pPr>
    </w:p>
    <w:p w:rsidR="00163957" w:rsidRDefault="00163957" w:rsidP="00163957">
      <w:pPr>
        <w:pStyle w:val="TextoNormal"/>
      </w:pPr>
      <w:r>
        <w:t>Pues bien, a juicio de la recurrente, ninguna de estas circunstancias se dio en este caso, en el que el debate se desarrolló sin mayores problemas. Además, en la comunicación que el Presidente dirigió a la demandante de amparo de fecha 14 de mayo de 2013 imputa los hechos a los diferentes grupos parlamentarios (“desorden y recriminaciones entre diferentes grupos parlamentarios”) y no a la demandante de amparo, como sería preciso para que aquella pudiera recibir la sanción.</w:t>
      </w:r>
    </w:p>
    <w:p w:rsidR="00163957" w:rsidRDefault="00163957" w:rsidP="00163957">
      <w:pPr>
        <w:pStyle w:val="TextoNormal"/>
      </w:pPr>
    </w:p>
    <w:p w:rsidR="00163957" w:rsidRDefault="00163957" w:rsidP="00163957">
      <w:pPr>
        <w:pStyle w:val="TextoNormal"/>
      </w:pPr>
      <w:r>
        <w:t>Con apoyo en la jurisprudencia constitucional (concretamente, en las SSTC 136/1989 y 169/1995), mantiene la demandante que su expulsión del Pleno resultó tardía y extemporánea, pues no existió continuidad temporal entre los hechos y la sanción. El Presidente ni siquiera llamó al orden a la Diputada por tres veces durante la misma sesión como exige el art. 135.2 RAM, le retiró la palabra sin que se cumpliese tal requisito y la sesión continuó con toda normalidad.</w:t>
      </w:r>
    </w:p>
    <w:p w:rsidR="00163957" w:rsidRDefault="00163957" w:rsidP="00163957">
      <w:pPr>
        <w:pStyle w:val="TextoNormal"/>
      </w:pPr>
    </w:p>
    <w:p w:rsidR="00163957" w:rsidRDefault="00163957" w:rsidP="00163957">
      <w:pPr>
        <w:pStyle w:val="TextoNormal"/>
      </w:pPr>
      <w:r>
        <w:t>La sanción atentaría también contra la necesaria proporcionalidad exigible en todo derecho sancionador, al haberse aplicado la máxima sanción sin que ello se compadezca ni con la escasa gravedad de las palabras dirigidas por la Diputada al Presidente del Gobierno regional, ni con el cruce de acusaciones —que resulta habitual entre parlamentarios en las sesiones de control—, ni con el daño irreparable que se produce a los derechos a los que afecta: la libertad de expresión de una representante popular y el pleno ejercicio del derecho de participación de los ciudadanos en la sede de la soberanía popular.</w:t>
      </w:r>
    </w:p>
    <w:p w:rsidR="00163957" w:rsidRDefault="00163957" w:rsidP="00163957">
      <w:pPr>
        <w:pStyle w:val="TextoNormal"/>
      </w:pPr>
    </w:p>
    <w:p w:rsidR="00163957" w:rsidRDefault="00163957" w:rsidP="00163957">
      <w:pPr>
        <w:pStyle w:val="TextoNormal"/>
      </w:pPr>
      <w:r>
        <w:t xml:space="preserve">A mayor abundamiento, se pone de manifiesto que la sanción se produce en ausencia de motivación alguna, de forma que se hace imposible determinar si su aplicación fue razonable en atención al fin institucional propio de la función que quiso ejercerse y los motivos aducidos para impedir su ejercicio. Los escritos del Presidente de la Asamblea en los que trata de justificar </w:t>
      </w:r>
      <w:r w:rsidRPr="00163957">
        <w:rPr>
          <w:i/>
        </w:rPr>
        <w:t>ex post</w:t>
      </w:r>
      <w:r>
        <w:t xml:space="preserve"> la medida, fueron preparados y entregados con posterioridad y aluden a hechos que no ocurrieron, de conformidad con lo que aparece recogido en el acta de la sesión. En todo caso, se concluye, no permitieron ejercer el derecho de defensa ni la revisión de la sanción.</w:t>
      </w:r>
    </w:p>
    <w:p w:rsidR="00163957" w:rsidRDefault="00163957" w:rsidP="00163957">
      <w:pPr>
        <w:pStyle w:val="TextoNormal"/>
      </w:pPr>
    </w:p>
    <w:p w:rsidR="00163957" w:rsidRDefault="00163957" w:rsidP="00163957">
      <w:pPr>
        <w:pStyle w:val="TextoNormal"/>
      </w:pPr>
      <w:r>
        <w:t xml:space="preserve">c) Como último motivo de amparo se denuncia la vulneración del art. 23 CE. Se advierte que ha sido precisamente el ejercicio de la función de control y crítica al Gobierno regional lo que ha provocado la decisión que ahora se impugna en amparo. Según lo señalado hasta ahora, la actuación del Presidente no habría sido respetuosa ni con la libertad de expresión (pues ha vinculado su ejercicio a consecuencias sancionatorias desproporcionadas), ni con el principio de igualdad (pues ha tratado de forma desigual situaciones iguales y lo ha hecho de forma injustificada), ni con el principio de tipicidad (pues no ha interpretado con el rigor que se exige el precepto reglamentario que da lugar a la dura sanción contra la ahora demandante). Como consecuencia de todo ello, se habría visto infringido el derecho fundamental de participación política, ya que la sanción vacía durante un mes la esencial función constitucional que la Diputada ha de desempeñar y, además, la coloca en situación de inferioridad respecto a otros representantes, que no habrían recibido la misma sanción en circunstancias similares. Por todo ello, se considera afectado gravemente el </w:t>
      </w:r>
      <w:r w:rsidRPr="00163957">
        <w:rPr>
          <w:i/>
        </w:rPr>
        <w:t>ius in officium</w:t>
      </w:r>
      <w:r>
        <w:t xml:space="preserve"> </w:t>
      </w:r>
      <w:r>
        <w:lastRenderedPageBreak/>
        <w:t>protegido por el señalado art. 23.2 CE, pues, en realidad, con la excusa de aplicar una sanción por alteración del orden del debate que no se produjo, se impidió la formulación de preguntas al Ejecutivo autonómico, lo que supone impedir de modo arbitrario el ejercicio de facultades que forman parte del núcleo esencial de la función representativa.</w:t>
      </w:r>
    </w:p>
    <w:p w:rsidR="00163957" w:rsidRDefault="00163957" w:rsidP="00163957">
      <w:pPr>
        <w:pStyle w:val="TextoNormal"/>
      </w:pPr>
    </w:p>
    <w:p w:rsidR="00163957" w:rsidRDefault="00163957" w:rsidP="00163957">
      <w:pPr>
        <w:pStyle w:val="TextoNormal"/>
      </w:pPr>
      <w:r>
        <w:t>d) Mediante otrosí se solicita la suspensión de la sanción recurrida, al entender la recurrente que su ejecución produciría un perjuicio al recurrente que pudiera hacer perder al amparo su finalidad [art. 56.2 de la Ley Orgánica del Tribunal Constitucional (LOTC)].</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30 de noviembre de 2015, la Sala Primera de este Tribunal acordó admitir a trámite la demanda, apreciando que concurre en la misma una especial trascendencia constitucional (art. 50.1 LOTC), porque el asunto suscitado trasciende del caso concreto por sus posibles consecuencias políticas generales [STC 155/2009, FJ 2, g)]. En aplicación de lo dispuesto en el art. 51 LOTC, se ordenó dirigir atenta comunicación al Presidente de la Asamblea de Madrid a fin de que, en un plazo no superior a diez días, remitiese certificación o fotocopia adverada de las actuaciones correspondientes al expediente que se hubiere incoado sobre el acuerdo del Excmo. Sr. Presidente de la Asamblea de Madrid por el que se decidió la expulsión de la recurrente de la sesión ordinaria de dicha Asamblea de Madrid celebrada el 9 de mayo de 2013, así como la suspensión temporal de su condición de diputada en activo por plazo de un mes. A la mencionada comunicación se acompañó copia de la demanda para conocimiento de dicha Asamblea de Madrid, a efectos de su personación en el presente proceso constitucional. Igualmente, conforme a la solicitud de la parte actora, se ordena la formación de la correspondiente pieza separada de suspensión.</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diligencia de ordenación de 4 de enero de 2016, se tuvo por recibidos los testimonios interesados en el anterior proveído y se acordó tener por personada y parte a la Asamblea de Madrid, en la representación de sus Letrados don Roberto González de Zárate y don Javier Sánchez Sánchez. Asimismo, a tenor de lo dispuesto en el art. 52 LOTC, se acordó dar vista de las actuaciones por un plazo común de veinte días al Ministerio Fiscal y a las partes personadas para que pudieran presentar las alegaciones que a su derecho convinieran.</w:t>
      </w:r>
    </w:p>
    <w:p w:rsidR="00163957" w:rsidRDefault="00163957" w:rsidP="00163957">
      <w:pPr>
        <w:pStyle w:val="TextoNormal"/>
      </w:pPr>
    </w:p>
    <w:p w:rsidR="00163957" w:rsidRDefault="00163957" w:rsidP="00163957">
      <w:pPr>
        <w:pStyle w:val="TextoNormal"/>
      </w:pPr>
      <w:r w:rsidRPr="00163957">
        <w:rPr>
          <w:rStyle w:val="NumeroAFNegritaCaracter"/>
        </w:rPr>
        <w:t>6</w:t>
      </w:r>
      <w:r>
        <w:t>. Por ATC 1/2016, de 18 de enero, la Sala acordó declarar extinguida la pieza de suspensión, por desaparición de su objeto, al haberse cumplido la sanción impuesta a la demandante.</w:t>
      </w:r>
    </w:p>
    <w:p w:rsidR="00163957" w:rsidRDefault="00163957" w:rsidP="00163957">
      <w:pPr>
        <w:pStyle w:val="TextoNormal"/>
      </w:pPr>
    </w:p>
    <w:p w:rsidR="00163957" w:rsidRDefault="00163957" w:rsidP="00163957">
      <w:pPr>
        <w:pStyle w:val="TextoNormal"/>
      </w:pPr>
      <w:r w:rsidRPr="00163957">
        <w:rPr>
          <w:rStyle w:val="NumeroAFNegritaCaracter"/>
        </w:rPr>
        <w:t>7</w:t>
      </w:r>
      <w:r>
        <w:t>. El escrito de alegaciones de la Asamblea de Madrid se registró en el Tribunal el 8 de febrero de 2016. En él se pone de manifiesto, en primer lugar, que nada tiene que oponer la Asamblea a los fundamentos de derecho de orden procesal contenidos en el escrito de demanda y que se entiende que en el asunto de referencia existe especial trascendencia constitucional.</w:t>
      </w:r>
    </w:p>
    <w:p w:rsidR="00163957" w:rsidRDefault="00163957" w:rsidP="00163957">
      <w:pPr>
        <w:pStyle w:val="TextoNormal"/>
      </w:pPr>
    </w:p>
    <w:p w:rsidR="00163957" w:rsidRDefault="00163957" w:rsidP="00163957">
      <w:pPr>
        <w:pStyle w:val="TextoNormal"/>
      </w:pPr>
      <w:r>
        <w:t xml:space="preserve">a) En cuanto a las consideraciones sobre el fondo, se rechaza que se haya producido una lesión de la libertad de expresión de la demandante de amparo, pues tal libertad encontraría su límite en el derecho al honor del Presidente de la Comunidad de Madrid. En efecto, la defensa de la Cámara entiende, de acuerdo con la doctrina de este Tribunal (por todas, se cita la STC 49/2001, de 26 de febrero), que el art. 20.1 a) CE “no garantiza un pretendido </w:t>
      </w:r>
      <w:r>
        <w:lastRenderedPageBreak/>
        <w:t>derecho al insulto”. Dado que el término “corrupto”, según el diccionario de la Real Academia Española, significa “que se deja o ha dejado sobornar, pervertir o viciar”, su utilización no quedaría amparada por la libertad de expresión. Y ello, pese a que tal descalificación haya sido vertida en un contexto —como lo define la representación procesal de la actora— de contienda política, ya que la misma puede reputarse con claridad —para los Letrados de la Asamblea de Madrid— como calumniosas en los términos de lo dispuesto en los arts. 205 a 207 del Código penal. Además, las afirmaciones respecto al jefe del Ejecutivo de la Comunidad de Madrid (que no era el destinatario de la iniciativa parlamentaria, sino el Consejero de Sanidad) no tenían ninguna relación con el objeto de la iniciativa parlamentaria que se estaba tramitando y resultaban innecesarias para su exposición. A ello se añade que la ponderación realizada por la representación procesal de la actora entre la libertad de expresión y el derecho al honor —en la que sale victoriosa la primera— no puede compartirse, pues se fundamenta en la errónea “circunstancia de existir una investigación judicial en curso” en relación con el Presidente autonómico, lo que vulneraría el derecho a la presunción de inocencia de este último.</w:t>
      </w:r>
    </w:p>
    <w:p w:rsidR="00163957" w:rsidRDefault="00163957" w:rsidP="00163957">
      <w:pPr>
        <w:pStyle w:val="TextoNormal"/>
      </w:pPr>
    </w:p>
    <w:p w:rsidR="00163957" w:rsidRDefault="00163957" w:rsidP="00163957">
      <w:pPr>
        <w:pStyle w:val="TextoNormal"/>
      </w:pPr>
      <w:r>
        <w:t>Por ello, el Presidente de la Cámara habría actuado dentro de los poderes de dirección del debate parlamentario y de interpretación del Reglamento que le confieren los apartados 1 y 2 del art. 55 RAM, al considerar que la expresión vertida por la hoy recurrente en amparo revestía una contravención grave de la cortesía parlamentaria, porque atentaba contra el derecho al honor y a la presunción de inocencia del Presidente autonómico y podía ser objeto de procedimiento penal de no existir la prerrogativa parlamentaria de la inviolabilidad. También habría cumplido escrupulosamente con la normativa reglamentaria interna en relación con las llamadas al orden de los diputados (art. 135  RAM) y el orden dentro del recinto parlamentario (arts. 137 y 138 RAM). El establecimiento de los poderes del Presidente de la Asamblea para la salvaguarda de la cortesía parlamentaria le faculta, de acuerdo con la citada normativa, para intervenir en el debate parlamentario cuando estime que por diputados u oradores se conculca la cortesía parlamentaria y adoptar las medidas procedentes conforme al Reglamento.</w:t>
      </w:r>
    </w:p>
    <w:p w:rsidR="00163957" w:rsidRDefault="00163957" w:rsidP="00163957">
      <w:pPr>
        <w:pStyle w:val="TextoNormal"/>
      </w:pPr>
    </w:p>
    <w:p w:rsidR="00163957" w:rsidRDefault="00163957" w:rsidP="00163957">
      <w:pPr>
        <w:pStyle w:val="TextoNormal"/>
      </w:pPr>
      <w:r>
        <w:t>Consideran los Letrados de la Asamblea de Madrid que resulta desmedido mantener —como hace la recurrente— que cuando el parlamentario se manifiesta desde la tribuna parlamentaria está totalmente protegido por la prerrogativa constitucional de la inviolabilidad y “no se le puede perseguir por las meras opiniones manifestadas ni siquiera aplicando la disciplina parlamentaria que el propio reglamento prevé”, pues ello supondría la imposibilidad de aplicar las reglas de disciplina parlamentaria previstas en todos los Reglamentos parlamentarios para el supuesto, como el que concurre en el presente, de que se contravenga la cortesía parlamentaria y redundaría, a la postre, en la imposibilidad de mantenimiento del orden en el seno de los debates parlamentarios.</w:t>
      </w:r>
    </w:p>
    <w:p w:rsidR="00163957" w:rsidRDefault="00163957" w:rsidP="00163957">
      <w:pPr>
        <w:pStyle w:val="TextoNormal"/>
      </w:pPr>
    </w:p>
    <w:p w:rsidR="00163957" w:rsidRDefault="00163957" w:rsidP="00163957">
      <w:pPr>
        <w:pStyle w:val="TextoNormal"/>
      </w:pPr>
      <w:r>
        <w:t>No ven tampoco los citados letrados conculcación alguna del derecho a la igualdad de la actora, pues entiende que los supuestos a los que alude esta son diferentes al presente, particularmente el referido a la contestación que le dirigió el Presidente de la Comunidad, pues esta se produce para responder a las afirmaciones calumniosas de la demandante de amparo.</w:t>
      </w:r>
    </w:p>
    <w:p w:rsidR="00163957" w:rsidRDefault="00163957" w:rsidP="00163957">
      <w:pPr>
        <w:pStyle w:val="TextoNormal"/>
      </w:pPr>
    </w:p>
    <w:p w:rsidR="00163957" w:rsidRDefault="00163957" w:rsidP="00163957">
      <w:pPr>
        <w:pStyle w:val="TextoNormal"/>
      </w:pPr>
      <w:r>
        <w:t xml:space="preserve">b) En lo que se refiere a la pretendida infracción del art. 25.1 CE, se señala (con cita de lo dispuesto en las SSTC 42/1987, de 7 de abril, FJ 2 y 161/1988, de 20 de septiembre, FJ 6) que el acuerdo impugnado cumple con todas las exigencias derivadas de dicho artículo, </w:t>
      </w:r>
      <w:r>
        <w:lastRenderedPageBreak/>
        <w:t>conforme a lo establecido en la doctrina de este Tribunal, pues se adoptó atendiendo al reglamento de la Cámara, que es una norma con fuerza de ley que regula una serie de conductas como lesionadoras de la cortesía parlamentaria y, de modo correlativo, se establecen las sanciones correspondientes para las mismas. Por tanto, la actuación del Presidente de la Asamblea se habría ajustado plenamente a Derecho, al proceder a la aplicación de dichas normas. En apoyo de esta idea, se recuerda nuevamente el contenido de los arts. 138 y 33 RAM, concluyendo que, habiéndose producido el supuesto de hecho previsto en dichas normas, procedía la aplicación de la consecuencia jurídica establecida en las mismas, que no es sino la sanción correspondiente. De otro lado, conforme a lo previsto en el art. 55.2 RAM, la apreciación de la gravedad de la infracción de la cortesía parlamentaria sería una facultad discrecional de la Presidencia de la Cámara, que es a la que le corresponde “cumplir y hacer cumplir el Reglamento, interpretándolo en los casos de duda y supliéndolo en los casos de omisión”.</w:t>
      </w:r>
    </w:p>
    <w:p w:rsidR="00163957" w:rsidRDefault="00163957" w:rsidP="00163957">
      <w:pPr>
        <w:pStyle w:val="TextoNormal"/>
      </w:pPr>
    </w:p>
    <w:p w:rsidR="00163957" w:rsidRDefault="00163957" w:rsidP="00163957">
      <w:pPr>
        <w:pStyle w:val="TextoNormal"/>
      </w:pPr>
      <w:r>
        <w:t>Con base en esas mismas facultades interpretativas del Presidente, se niega que el principio de proporcionalidad se haya visto lesionado al sancionar este a la diputada socialista en el modo que lo hizo, pues la sanción se derivó de una interpretación conjunta de los arts. 138 y 33 RAM que se cohonestaría perfectamente con dicho principio, dados los desórdenes que, como se refleja en el “Diario de Sesiones”, provocó la actitud de la recurrente.</w:t>
      </w:r>
    </w:p>
    <w:p w:rsidR="00163957" w:rsidRDefault="00163957" w:rsidP="00163957">
      <w:pPr>
        <w:pStyle w:val="TextoNormal"/>
      </w:pPr>
    </w:p>
    <w:p w:rsidR="00163957" w:rsidRDefault="00163957" w:rsidP="00163957">
      <w:pPr>
        <w:pStyle w:val="TextoNormal"/>
      </w:pPr>
      <w:r>
        <w:t xml:space="preserve">c) De conformidad con todo lo dicho se niega, igualmente, la lesión de los derechos consagrados en el art. 23 CE: al estimar conforme a Derecho la imposición de la sanción, toda vez que no se habrían lesionado ni la libertad de expresión ni el principio de tipicidad, se entiende que la restricción de las facultades inherentes al </w:t>
      </w:r>
      <w:r w:rsidRPr="00163957">
        <w:rPr>
          <w:i/>
        </w:rPr>
        <w:t>ius in officium</w:t>
      </w:r>
      <w:r>
        <w:t xml:space="preserve"> se encontraría justificada por la propia sanción y, en consecuencia, no se vulneraría el citado precepto constitucional.</w:t>
      </w:r>
    </w:p>
    <w:p w:rsidR="00163957" w:rsidRDefault="00163957" w:rsidP="00163957">
      <w:pPr>
        <w:pStyle w:val="TextoNormal"/>
      </w:pPr>
    </w:p>
    <w:p w:rsidR="00163957" w:rsidRDefault="00163957" w:rsidP="00163957">
      <w:pPr>
        <w:pStyle w:val="TextoNormal"/>
      </w:pPr>
      <w:r>
        <w:t>Por último, la defensa de la Cámara considera que la sanción estuvo motivada en todo momento, no sólo en el escrito de comunicación de esta, donde se razona el porqué de su imposición, sino desde el primer momento en que se producen los hechos, tras la primera llamada al orden, remitiéndose los Letrados de la Asamblea de Madrid a lo recogido en el “Diario de Sesiones”. En él se ponen de manifiesto las llamadas al orden efectuadas por la Presidencia con carácter previo al anuncio de la imposición de la sanción prevista en el art. 33 RAM, cuyo contenido fue leído ante el Pleno, explicitando, asimismo, las razones por las cuales la imponía el Presidente: consideraba que la conducta de la Diputada “de una forma clara, primero, ha atentado contra la disciplina, porque esta Presidencia le ha pedido que dejara sus intervenciones y no ha querido y, después, contra el orden y la cortesía parlamentaria”.</w:t>
      </w:r>
    </w:p>
    <w:p w:rsidR="00163957" w:rsidRDefault="00163957" w:rsidP="00163957">
      <w:pPr>
        <w:pStyle w:val="TextoNormal"/>
      </w:pPr>
    </w:p>
    <w:p w:rsidR="00163957" w:rsidRDefault="00163957" w:rsidP="00163957">
      <w:pPr>
        <w:pStyle w:val="TextoNormal"/>
      </w:pPr>
      <w:r>
        <w:t>Concluyen su escrito los Letrados de la Asamblea de Madrid solicitando que, de conformidad con lo alegado, se dicte Sentencia denegando el amparo solicitado.</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El Ministerio Fiscal cumplimentó el trámite con fecha 9 de febrero de 2016, solicitando que se dicte Sentencia en la que se otorgue el amparo. Tras la exposición de los antecedentes de hecho, comienza el Fiscal los fundamentos jurídicos analizando si se ha visto vulnerado lo dispuesto en el art. 25.1 CE, pues —a su modo de ver— si los hechos ocurridos no pudieran incardinarse en la conducta prevista en el art. 33  RAM, aplicado para sancionar a la recurrente, procedería declarar la nulidad del Acuerdo sancionador impugnado, lo que </w:t>
      </w:r>
      <w:r>
        <w:lastRenderedPageBreak/>
        <w:t>incidiría en la apreciación del resto de infracciones constitucionales denunciadas. Al respecto y tras el repaso a la normativa reglamentaria en materia de sanciones disciplinarias por incumplimiento de los deberes de los diputados, se afirma que la indagación sobre si la conducta de la Diputada recurrente en la sesión de Pleno del día 9 de mayo de 2013 estaba incursa en la conducta típica sancionada conforme al art. 33 RAM, debe hacerse teniendo en cuenta la interrelación entre lo previsto en dicho precepto y lo establecido en los arts. 35 .1 e) y 138 RAM y, por ello, teniendo presente que la conducta sancionada en estos casos es la de grave alteración del orden parlamentario, que es lo que justifica que, solo en este supuesto, la sanción más grave de suspensión temporal de derechos y deberes, cuya imposición como regla general se atribuye al Pleno a propuesta de la Mesa, se atribuya al Presidente de la Asamblea junto con la sanción de expulsión inmediata del diputado que alteró el orden con su conducta. La conducta típica que se describe en los arts. 33.1 y 138 RAM consiste, pues, en atentar de modo grave contra la disciplina, el orden o la cortesía parlamentaria, provocando desorden con su conducta, de obra o de palabra. Es decir, para que proceda aplicar la sanción del art. 33 RAM resulta necesario no solo que se atente de modo grave contra la disciplina, el orden o la cortesía parlamentaria, sino que —además— esa conducta de obra o palabra provoque desorden.</w:t>
      </w:r>
    </w:p>
    <w:p w:rsidR="00163957" w:rsidRDefault="00163957" w:rsidP="00163957">
      <w:pPr>
        <w:pStyle w:val="TextoNormal"/>
      </w:pPr>
    </w:p>
    <w:p w:rsidR="00163957" w:rsidRDefault="00163957" w:rsidP="00163957">
      <w:pPr>
        <w:pStyle w:val="TextoNormal"/>
      </w:pPr>
      <w:r>
        <w:t>Pues bien, conforme a lo dispuesto en los arts.135.2 y 31  RAM, se requiere que el Presidente de la Cámara llame al orden por tres veces a un Diputado (advirtiéndole la segunda vez de las consecuencias de una tercera) para poderle retirar la palabra y, sólo de persistir este en su actitud, podrá expulsarle del salón de sesiones y prohibirle la asistencia al resto de la correspondiente sesión. Al respecto, se pone de manifiesto que la Diputada socialista fue llamada al orden por dos veces sin que conste una tercera llamada al orden, al menos en forma expresa. Pero sobre lo que no deja duda el escrito del Fiscal es de que las intervenciones de palabra de la Sra. Diputada no dieron lugar a una alteración del orden de la sesión del Pleno, que impidiera su normal curso o desenvolvimiento, haciendo necesario que el Presidente hiciera uso del excepcional mecanismo sancionador del art. 33 del Reglamento para restablecer el orden en la sesión del Pleno. Por el contrario, la pregunta de contestación oral en Pleno terminó de tramitarse normalmente con la intervención del Consejero de Sanidad —designado para su contestación— y, a continuación, se pasó a la correspondiente tramitación de otras dos preguntas de contestación oral en Pleno, tras de lo cual, se anunció por la Presidencia de la Cámara la aplicación de la sanción. Faltaría, pues, el elemento típico del art. 33 en relación con el 35.1 e) de que la conducta de atentado grave a la disciplina, el orden o la cortesía parlamentaria, hubiera producido el desorden parlamentario que justificara la adopción de la grave sanción de suspensión temporal de derechos por el Presidente y no por el Pleno. A ello añade que, de acuerdo con la doctrina de este Tribunal (se citan las SSTC 136/1989, 192/2011 y 169/2015), la aplicación de una sanción de este tipo sólo estaría justificada para poder restablecer de manera inmediata el orden y el normal desenvolvimiento de las sesiones parlamentarias, no pudiendo aplicarse si se rompe el nexo temporal entre la conducta infractora y la imposición de la sanción.</w:t>
      </w:r>
    </w:p>
    <w:p w:rsidR="00163957" w:rsidRDefault="00163957" w:rsidP="00163957">
      <w:pPr>
        <w:pStyle w:val="TextoNormal"/>
      </w:pPr>
    </w:p>
    <w:p w:rsidR="00163957" w:rsidRDefault="00163957" w:rsidP="00163957">
      <w:pPr>
        <w:pStyle w:val="TextoNormal"/>
      </w:pPr>
      <w:r>
        <w:t>Como consecuencia de dicho análisis, concluye el Ministerio público que el acuerdo sancionador adoptado por el Presidente de la Asamblea de Madrid en la sesión del Pleno de 9 de mayo de 2013, vulneró el principio de legalidad del art. 25 CE, desde la perspectiva de la garantía material de tipicidad, al haber aplicado un precepto sancionador a una conducta para la que no estaba previsto.</w:t>
      </w:r>
    </w:p>
    <w:p w:rsidR="00163957" w:rsidRDefault="00163957" w:rsidP="00163957">
      <w:pPr>
        <w:pStyle w:val="TextoNormal"/>
      </w:pPr>
    </w:p>
    <w:p w:rsidR="00163957" w:rsidRDefault="00163957" w:rsidP="00163957">
      <w:pPr>
        <w:pStyle w:val="TextoNormal"/>
      </w:pPr>
      <w:r>
        <w:lastRenderedPageBreak/>
        <w:t>Siendo inconstitucional el acuerdo sancionador, por vulneración del art. 25 CE, ello necesariamente determinaría la vulneración del art. 23.2 CE, por haber sido restringido ilegítimamente el derecho a ejercer el núcleo del cargo representativo (se cita, por todas, la STC 44/2010). Y esta última lesión del derecho reconocido en el art. 23.2 CE, comportaría también la del derecho de los electores a participar en asuntos públicos a través de sus representantes elegidos en elecciones periódicas por sufragio universal (art. 23.1 CE), dada la íntima correlación entre el derecho de ejercer el cargo público representativo y el de los ciudadanos a participar en los asuntos públicos a través de sus representantes libremente elegidos en un proceso electoral.</w:t>
      </w:r>
    </w:p>
    <w:p w:rsidR="00163957" w:rsidRDefault="00163957" w:rsidP="00163957">
      <w:pPr>
        <w:pStyle w:val="TextoNormal"/>
      </w:pPr>
    </w:p>
    <w:p w:rsidR="00163957" w:rsidRDefault="00163957" w:rsidP="00163957">
      <w:pPr>
        <w:pStyle w:val="TextoNormal"/>
      </w:pPr>
      <w:r>
        <w:t>La ilegitimidad de la sanción impuesta determinaría, igualmente, que deba considerarse vulnerada la libertad de expresión de la recurrente, libertad que vincula el Ministerio público con la prerrogativa de la inviolabilidad parlamentaria por las manifestaciones realizadas en el desempeño de la función representativa. Pese a que dicha prerrogativa no excluye el control interno de la disciplina parlamentaria que ejerce la propia Cámara con base en su normativa reglamentaria, se entiende que en el presente caso, dado que el ejercicio de la potestad disciplinaria vulneró el derecho fundamental de legalidad penal, debe considerarse que la restricción de la libertad de expresión de la Diputada ocasionada por el acuerdo sancionador también fue ilegitima.</w:t>
      </w:r>
    </w:p>
    <w:p w:rsidR="00163957" w:rsidRDefault="00163957" w:rsidP="00163957">
      <w:pPr>
        <w:pStyle w:val="TextoNormal"/>
      </w:pPr>
    </w:p>
    <w:p w:rsidR="00163957" w:rsidRDefault="00163957" w:rsidP="00163957">
      <w:pPr>
        <w:pStyle w:val="TextoNormal"/>
      </w:pPr>
      <w:r>
        <w:t>Concluye su escrito el Fiscal refiriéndose al alcance a otorgar a la Sentencia que reconozca la lesión de los derechos fundamentales invocados que, a su modo de ver, ha de ser meramente declarativo, dado que el acuerdo sancionador impugnado se dictó en una legislatura ya acabada y la sanción se encuentra totalmente ejecutada.</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21 de abril de 2016 se señaló para la deliberación y votación de la presente Sentencia el día 25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Como se ha expuesto con detalle en los antecedentes de esta Sentencia, el recurso de amparo se dirige contra el acuerdo del Presidente de la Asamblea de Madrid de 9 de mayo de 2013, por el que se decidió la expulsión de la recurrente de la sesión ordinaria que se estaba celebrando en aquella fecha, así como la suspensión temporal de su condición de diputada en activo por plazo de un mes.</w:t>
      </w:r>
    </w:p>
    <w:p w:rsidR="00163957" w:rsidRDefault="00163957" w:rsidP="00163957">
      <w:pPr>
        <w:pStyle w:val="TextoNormal"/>
      </w:pPr>
    </w:p>
    <w:p w:rsidR="00163957" w:rsidRDefault="00163957" w:rsidP="00163957">
      <w:pPr>
        <w:pStyle w:val="TextoNormal"/>
      </w:pPr>
      <w:r>
        <w:t>Conforme a las alegaciones que se han resumido también en el apartado dedicado a los antecedentes, denuncia la demandante que el referido acuerdo ha lesionado su libertad de expresión del art. 20.1 a) CE, sufriendo un trato desigual respecto a otros diputados de la misma Asamblea; su derecho a la legalidad penal en materia de sanciones del art. 25.1 CE por indebida aplicación del tipo infractor y por desproporcionalidad de la sanción —que se habría producido, además, en ausencia de motivación— y, por último, sus derechos a participar en los asuntos públicos y a ejercer el cargo de representación política reconocidos, respectivamente, en los apartados 1 y 2 del art. 23 CE. Esta Sala acordó admitir a trámite la demanda, apreciando que concurre en la misma una especial trascendencia constitucional (art. 50.1 LOTC), porque el asunto suscitado trasciende del caso concreto por sus posibles consecuencias políticas generales [STC 155/2009, de 25 de junio, FJ 2 g)].</w:t>
      </w:r>
    </w:p>
    <w:p w:rsidR="00163957" w:rsidRDefault="00163957" w:rsidP="00163957">
      <w:pPr>
        <w:pStyle w:val="TextoNormal"/>
      </w:pPr>
    </w:p>
    <w:p w:rsidR="00163957" w:rsidRDefault="00163957" w:rsidP="00163957">
      <w:pPr>
        <w:pStyle w:val="TextoNormal"/>
      </w:pPr>
      <w:r>
        <w:t>La Asamblea de Madrid considera, en esencia, que el Presidente de la Cámara, al sancionar a la Diputada autonómica hoy recurrente en amparo, actuó en uso legítimo de las facultades que, en materia de disciplina interna, así como de interpretación y aplicación del Reglamento parlamentario le atribuye este último, por lo que ninguna lesión de derechos puede derivarse de su actuación.</w:t>
      </w:r>
    </w:p>
    <w:p w:rsidR="00163957" w:rsidRDefault="00163957" w:rsidP="00163957">
      <w:pPr>
        <w:pStyle w:val="TextoNormal"/>
      </w:pPr>
    </w:p>
    <w:p w:rsidR="00163957" w:rsidRDefault="00163957" w:rsidP="00163957">
      <w:pPr>
        <w:pStyle w:val="TextoNormal"/>
      </w:pPr>
      <w:r>
        <w:t>El Ministerio Fiscal —según se ha dado cuenta igualmente en los antecedentes— interesa que se dicte Sentencia estimando el recurso de amparo y declarando la nulidad del acuerdo impugnado. En su opinión, este vulneró el principio de legalidad del art. 25 CE, desde la perspectiva de la garantía material de tipicidad, al haber aplicado un precepto sancionador a una conducta para la que no estaba previsto. De tal vulneración se derivaría, a su vez, la de los derechos recogidos en los apartados 1 y 2 del art. 23 CE, así como la lesión de la libertad de expresión de la recurrente.</w:t>
      </w:r>
    </w:p>
    <w:p w:rsidR="00163957" w:rsidRDefault="00163957" w:rsidP="00163957">
      <w:pPr>
        <w:pStyle w:val="TextoNormal"/>
      </w:pPr>
    </w:p>
    <w:p w:rsidR="00163957" w:rsidRDefault="00163957" w:rsidP="00163957">
      <w:pPr>
        <w:pStyle w:val="TextoNormal"/>
      </w:pPr>
      <w:r w:rsidRPr="00163957">
        <w:rPr>
          <w:rStyle w:val="NumeroAFNegritaCaracter"/>
        </w:rPr>
        <w:t>2</w:t>
      </w:r>
      <w:r>
        <w:t>. Para la determinación de la cuestión de fondo debemos aclarar, en primer lugar, que la invocación por la recurrente de la libertad de expresión ha de reconducirse al ámbito del derecho al ejercicio de las funciones parlamentarias sin perturbaciones ilegítimas tutelado por el art. 23.2 CE, pues es en este último contexto en el que tiene lugar la limitación de la libertad de expresión. De modo análogo a como señalamos en la STC 107/2001, de 23 de abril, FJ 2, se debe resaltar aquí que la sanción impugnada ha sido adoptada frente a la recurrente en amparo en su condición de miembro de una Asamblea legislativa —es decir, de parlamentaria— y que son precisamente las facultades inherentes a esta condición, al entender que ha sido ilegítimamente privada de ellas, las que la demandante de amparo pretende hacer valer en su recurso, de modo que el derecho fundamental que ha podido vulnerar directamente la decisión impugnada —y en el que ha de incardinarse su queja— es el garantizado en el art. 23.2 CE, en relación con el reconocido en el art. 23.1 CE, dada la íntima relación existente entre ellos cuando se trata de una pretensión ejercida por cargos públicos o representantes parlamentarios en el ejercicio de sus funciones (SSTC 161/1988, de 20 de septiembre, FJ 6; 181/1989, de 3 de noviembre, FJ 4; 23/1990, de 13 de diciembre, FJ 4, y 220/1991, de 25 de noviembre, FJ 4, por todas).</w:t>
      </w:r>
    </w:p>
    <w:p w:rsidR="00163957" w:rsidRDefault="00163957" w:rsidP="00163957">
      <w:pPr>
        <w:pStyle w:val="TextoNormal"/>
      </w:pPr>
    </w:p>
    <w:p w:rsidR="00163957" w:rsidRDefault="00163957" w:rsidP="00163957">
      <w:pPr>
        <w:pStyle w:val="TextoNormal"/>
      </w:pPr>
      <w:r>
        <w:t>En esta misma línea, también ha de encuadrarse en este derecho la invocación del art. 14 CE —cuya lesión asocia la recurrente con la pretendida vulneración de la libertad de expresión—, pues es doctrina de este Tribunal que, en este tipo de recursos, la eventual lesión de la igualdad debe entenderse subsumida en el derecho garantizado por el art. 23.2 CE —que contiene una mención específica al derecho a la igualdad en el acceso a las funciones y cargos públicos—, “siendo éste, por tanto, el precepto que debe ser considerado de modo directo para apreciar si el acto, resolución o norma objeto del proceso constitucional ha quebrantado ese derecho, a no ser que el tratamiento diferenciado controvertido se deba a alguno de los criterios expresamente mencionados en el art. 14 CE (por todas, SSTC 75/1983, de 3 de agosto, FJ 3; 50/1986, de 23 de abril, FJ 4; 191/2007, de 10 de septiembre, FJ 3; 39/2008, de 10 de marzo, FJ 4; y 74/2009, FJ 3)” (STC 44/2010, de 26 de julio, FJ 3).</w:t>
      </w:r>
    </w:p>
    <w:p w:rsidR="00163957" w:rsidRDefault="00163957" w:rsidP="00163957">
      <w:pPr>
        <w:pStyle w:val="TextoNormal"/>
      </w:pPr>
    </w:p>
    <w:p w:rsidR="00163957" w:rsidRDefault="00163957" w:rsidP="00163957">
      <w:pPr>
        <w:pStyle w:val="TextoNormal"/>
      </w:pPr>
      <w:r>
        <w:t xml:space="preserve">Hechas tales aclaraciones, resta como verdadera esencia de la demanda, conforme a las quejas expresadas por la recurrente, la eventual infracción del art. 25.1 CE y, de forma refleja, del art. 23 CE, como consecuencia de la aplicación por parte del Presidente de la Asamblea de Madrid —de forma inmotivada— de una norma reglamentaria sancionadora </w:t>
      </w:r>
      <w:r>
        <w:lastRenderedPageBreak/>
        <w:t>inadecuada al supuesto de hecho que en ella se trató de subsumir y que no fue aplicada, en cambio, a otros Diputados autonómicos en situaciones similares. La vulneración de este último precepto constitucional habría tenido dos manifestaciones, pues la sanción aplicada perturbó el ejercicio en condiciones de igualdad del cargo parlamentario de la Diputada socialista, de un lado, al ser expulsada injustificadamente de una sesión plenaria dedicada al control del Gobierno regional y, de otro, al privarle de su condición de parlamentaria por el plazo de un mes, imposibilitándole durante ese período de tiempo para ejercer sus funciones de representante de los ciudadanos de la Comunidad de Madrid.</w:t>
      </w:r>
    </w:p>
    <w:p w:rsidR="00163957" w:rsidRDefault="00163957" w:rsidP="00163957">
      <w:pPr>
        <w:pStyle w:val="TextoNormal"/>
      </w:pPr>
    </w:p>
    <w:p w:rsidR="00163957" w:rsidRDefault="00163957" w:rsidP="00163957">
      <w:pPr>
        <w:pStyle w:val="TextoNormal"/>
      </w:pPr>
      <w:r w:rsidRPr="00163957">
        <w:rPr>
          <w:rStyle w:val="NumeroAFNegritaCaracter"/>
        </w:rPr>
        <w:t>3</w:t>
      </w:r>
      <w:r>
        <w:t>. Comenzando por el análisis de la invocada vulneración de lo dispuesto en el art. 25.1 CE, debemos rechazar de inicio el planteamiento expresado en el recurso, según el cual, de la inviolabilidad parlamentaria se derivaría la imposibilidad de aplicar la normativa disciplinaria interna que pueda suponer una restricción de la libertad de expresión de los diputados. Pues, si bien esta prerrogativa tiene por finalidad la “preservación de un ámbito cualificado de libertad en la crítica y en la decisión” en el interior de la Cámara (STC 51/1985, de 10 de abril, FJ 6), está concebida como garantía de esa libre discusión y decisión frente a posibles perturbaciones externas, configurándose como un privilegio de naturaleza sustantiva que garantiza la irresponsabilidad jurídica de los parlamentarios por las opiniones manifestadas en el ejercicio de sus funciones, entendiendo por tales aquellas que realizan en actos parlamentarios y en el seno de cualquiera de las articulaciones de la Cámara a la que pertenezcan o, por excepción, en actos exteriores a la vida de esta que sean reproducción literal de un acto parlamentario, “siendo finalidad específica del privilegio asegurar a través de la libertad de expresión de los parlamentarios, la libre formación de la voluntad del órgano legislativo al que pertenezcan” (STC 243/1988, de 19 de diciembre, FJ 3). Dicha prerrogativa se traduce, por tanto, en la imposibilidad de perseguir judicialmente a los parlamentarios por las manifestaciones efectuadas en ejercicio de sus funciones, pero en ningún caso puede impedir —dada la finalidad que la justifica— la aplicación, cuando proceda, de las reglas de disciplina interna previstas en el respectivo reglamento.</w:t>
      </w:r>
    </w:p>
    <w:p w:rsidR="00163957" w:rsidRDefault="00163957" w:rsidP="00163957">
      <w:pPr>
        <w:pStyle w:val="TextoNormal"/>
      </w:pPr>
    </w:p>
    <w:p w:rsidR="00163957" w:rsidRDefault="00163957" w:rsidP="00163957">
      <w:pPr>
        <w:pStyle w:val="TextoNormal"/>
      </w:pPr>
      <w:r>
        <w:t>Salvada dicha objeción y visto que, en este caso, la recurrente cifra la vulneración del art. 25.1 CE en la inadecuada aplicación —y en ausencia de toda motivación— de un determinado precepto del Reglamento de la Asamblea de Madrid (RAM), hemos de hacer referencia a nuestra doctrina relativa a dicho artículo constitucional en el marco de la legalidad parlamentaria.</w:t>
      </w:r>
    </w:p>
    <w:p w:rsidR="00163957" w:rsidRDefault="00163957" w:rsidP="00163957">
      <w:pPr>
        <w:pStyle w:val="TextoNormal"/>
      </w:pPr>
    </w:p>
    <w:p w:rsidR="00163957" w:rsidRDefault="00163957" w:rsidP="00163957">
      <w:pPr>
        <w:pStyle w:val="TextoNormal"/>
      </w:pPr>
      <w:r>
        <w:t xml:space="preserve">De acuerdo con dicha doctrina, desde la óptica de las garantías propias del proceso sancionador, hemos admitido, en primer lugar, la acomodación de las exigencias derivadas del principio de legalidad en su perspectiva formal al ámbito parlamentario, dadas las características de este, (por todas, SSTC 44/1995, de 13 de febrero, y 226/2004, de 29 de noviembre, FJ 2)” (SSTC 129/2006, de 24 de abril, FJ 7, y 129/2011, de 12 de diciembre, FJ 3), lo que tiene un importante reflejo en la exigencia de motivación. A este respecto, no puede olvidarse el deber general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277/2002, de 14 de octubre, FJ 5; y ATC 188/1999, de 10 de mayo, FJ 5)” (SSTC 40/2003, de 27 de febrero, FJ 6, y 78/2006, de 13 de marzo, FJ 5). Y, en particular, cuando de la imposición de sanciones se </w:t>
      </w:r>
      <w:r>
        <w:lastRenderedPageBreak/>
        <w:t>trata, ese deber de motivación incluye la obligación de fundamentar los hechos, la calificación jurídica y la sanción a imponer (STC 140/2009, de 15 de junio, FJ 3), así como exteriorizar debidamente los elementos de juicio sobre los que se basa la decisión. Dado que en estos casos esa exigencia se encuentra ordenada principalmente a evitar la indefensión, “lo relevante es que puedan conocerse las razones o criterios jurídicos que fundamentaron la decisión (por todas, STC 140/2009, FJ 3; y 59/2011, de 3 de mayo, FJ 3)” (STC 192/2011, de 12 de diciembre, FJ 4).</w:t>
      </w:r>
    </w:p>
    <w:p w:rsidR="00163957" w:rsidRDefault="00163957" w:rsidP="00163957">
      <w:pPr>
        <w:pStyle w:val="TextoNormal"/>
      </w:pPr>
    </w:p>
    <w:p w:rsidR="00163957" w:rsidRDefault="00163957" w:rsidP="00163957">
      <w:pPr>
        <w:pStyle w:val="TextoNormal"/>
      </w:pPr>
      <w:r>
        <w:t>En segundo lugar, hemos subrayado que “el art. 25.1 de la Constitución establece una garantía de orden material y alcance absoluto que se traduce en la ineludible exigencia de predeterminación normativa de las conductas ilícitas y de las sanciones correspondientes, lo que significa que una sanción sólo podrá imponerse en los casos previstos y tipificados en normas preestablecidas y únicamente en la cuantía y extensión y con observancia de los límites previstos por dichas normas (STC 136/1989, de 19 de julio, FJ 3, recordada en la STC 301/2005, de 21 de noviembre, FJ 3)” (STC 129/2006, de 24 de abril, FJ 4). No obstante, hemos destacado también que en el modelo sancionador propio del ámbito parlamentario, la mencionada predeterminación de las sanciones no puede exigirse de la norma reglamentaria abstracta, por cuanto por la naturaleza de las cosas solo puede conseguirse del concurso de ésta con los usos parlamentarios de cada Parlamento. Pero ello no empece para que, en todo caso, deba exigirse que la sanción que se imponga en concreto no sea ni objetivamente imprevisible para casos iguales ni subjetivamente imprevisible, por lo que cobra especial relevancia el examen de la proporcionalidad de la sanción: “Pues, de un lado, una sanción desproporcionada es por sí misma imprevisible en nuestro sistema de derechos fundamentales en el que la legitimidad de su limitación está sujeta al principio de proporcionalidad, y, de otro, la proporcionalidad de la sanción es, por consiguiente, un criterio de gradación de toda sanción que implique, como es el caso, la limitación de un derecho fundamental” (STC 129/2006, de 24 de abril, FJ 5).</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Respecto al caso que ahora enjuiciamos, nos encontramos con un acuerdo sancionador del Presidente de la Asamblea de Madrid que se apoya formalmente en lo previsto con carácter general en el art. 33 RAM, en el que se señalan los supuestos que pueden dar lugar a su aplicación: </w:t>
      </w:r>
    </w:p>
    <w:p w:rsidR="00163957" w:rsidRDefault="00163957" w:rsidP="00163957">
      <w:pPr>
        <w:pStyle w:val="TextoNormal"/>
      </w:pPr>
    </w:p>
    <w:p w:rsidR="00163957" w:rsidRDefault="00163957" w:rsidP="00163957">
      <w:pPr>
        <w:pStyle w:val="TextoNormal"/>
      </w:pPr>
      <w:r>
        <w:t>“El Diputado que, dentro del recinto parlamentario, en sesión o fuera de ella, atentare de modo grave contra la disciplina, el orden o la cortesía parlamentaria, provocando desorden con su conducta de obra o de palabra… será sancionado por el Presidente con la inmediata expulsión del recinto parlamentario.</w:t>
      </w:r>
    </w:p>
    <w:p w:rsidR="00163957" w:rsidRDefault="00163957" w:rsidP="00163957">
      <w:pPr>
        <w:pStyle w:val="TextoNormal"/>
      </w:pPr>
    </w:p>
    <w:p w:rsidR="00163957" w:rsidRDefault="00163957" w:rsidP="00163957">
      <w:pPr>
        <w:pStyle w:val="TextoNormal"/>
      </w:pPr>
      <w:r>
        <w:t>El Presidente, además, le suspenderá temporalmente en sus derechos y deberes, por plazo de un mes, sin perjuicio de que el Pleno, de conformidad con lo dispuesto en el artículo 35.1 e) y 2 del presente Reglamento, pueda revisar la sanción, ampliando su duración.”</w:t>
      </w:r>
    </w:p>
    <w:p w:rsidR="00163957" w:rsidRDefault="00163957" w:rsidP="00163957">
      <w:pPr>
        <w:pStyle w:val="TextoNormal"/>
      </w:pPr>
    </w:p>
    <w:p w:rsidR="00163957" w:rsidRDefault="00163957" w:rsidP="00163957">
      <w:pPr>
        <w:pStyle w:val="TextoNormal"/>
      </w:pPr>
      <w:r>
        <w:t xml:space="preserve">En la línea con lo que mantuvimos en la STC 192/2011, de 12 de diciembre, FJ 2, respecto a un precepto parcialmente coincidente con el ahora analizado, puede afirmarse que este último, en sí mismo, es perfectamente legítimo y no vulnera el derecho a la legalidad sancionadora (art. 25.1 CE), ni restringe de forma injustificada el ejercicio de sus funciones por parte de los diputados regionales, en cuanto que está destinado a asegurar el buen orden </w:t>
      </w:r>
      <w:r>
        <w:lastRenderedPageBreak/>
        <w:t>de las sesiones parlamentarias. Además, como ponen de manifiesto los Letrados de la Asamblea de Madrid, la imposición de la sanción citada apareció formalmente motivada, no sólo en el escrito de comunicación de esta a la interesada, donde se razona el porqué de esa imposición y se señalan los hechos que la habían provocado, sino desde el primer momento en que se producen los hechos, tras la primera llamada al orden, según consta en el Diario de Sesiones y se ha resumido en el apartado dedicado a los antecedentes de esta resolución. En él quedaron reflejadas las llamadas al orden efectuadas por la Presidencia con carácter previo al anuncio de la aplicación del art. 33 RAM, cuyo contenido fue leído ante el Pleno por el Presidente, explicitando este, asimismo, las razones por las cuales la imponía: consideraba que la conducta de la diputada “de una forma clara, primero, ha atentado contra la disciplina, porque esta Presidencia le ha pedido que dejara sus intervenciones y no ha querido y, después, contra el orden y la cortesía parlamentaria”. Asimismo, en el escrito de contestación del Presidente de la Cámara a la petición de reconsideración se señala que “no fue el uso de un determinado calificativo injurioso lo que motivó la expulsión de la Diputada, sino un conjunto de afirmaciones y actitudes reiteradas, que no pueden tener cabida en sede parlamentaria y que de hecho encajan perfectamente en la sanción prevista en el artículo 33 del Reglamento”. En ese mismo escrito se explica por qué la actitud del Presidente de la Comunidad de Madrid no fue igualmente sancionada: su descalificación de la Diputada socialista se considera puramente emocional y no fue acompañada de la imputación de ningún delito, matizando que el término “corrupto” se utilizaba como sinónimo de “torticero” o “perverso”, pues lo que se reprochaba a la parlamentaria fue exclusivamente la forma en la que ésta se comportaba en el Pleno y el abuso en el que incurrió durante su turno de palabra.</w:t>
      </w:r>
    </w:p>
    <w:p w:rsidR="00163957" w:rsidRDefault="00163957" w:rsidP="00163957">
      <w:pPr>
        <w:pStyle w:val="TextoNormal"/>
      </w:pPr>
    </w:p>
    <w:p w:rsidR="00163957" w:rsidRDefault="00163957" w:rsidP="00163957">
      <w:pPr>
        <w:pStyle w:val="TextoNormal"/>
      </w:pPr>
      <w:r>
        <w:t>No puede admitirse, en consecuencia, que la sanción se produjera “en ausencia de motivación alguna” como denuncia la demandante, pues esta conoció —en orden a ejercer su derecho de defensa— qué sanción se le aplicaba y las razones por las cuales el Presidente consideraba pertinente dicha aplicación, como lo demuestra el hecho de que todo ello haya sido objeto de debate en sede parlamentaria, primero y combatido en la demanda de amparo, después.</w:t>
      </w:r>
    </w:p>
    <w:p w:rsidR="00163957" w:rsidRDefault="00163957" w:rsidP="00163957">
      <w:pPr>
        <w:pStyle w:val="TextoNormal"/>
      </w:pPr>
    </w:p>
    <w:p w:rsidR="00163957" w:rsidRDefault="00163957" w:rsidP="00163957">
      <w:pPr>
        <w:pStyle w:val="TextoNormal"/>
      </w:pPr>
      <w:r w:rsidRPr="00163957">
        <w:rPr>
          <w:rStyle w:val="NumeroAFNegritaCaracter"/>
        </w:rPr>
        <w:t>5</w:t>
      </w:r>
      <w:r>
        <w:t>. Efectivamente, frente a las razones ofrecidas por el Presidente de la Cámara, la recurrente se queja también —y principalmente— de que en este caso no se dio la conducta típica exigida por el art. 33 RAM y que, en todo caso, la aplicación de la sanción prevista en el mismo fue desproporcionada, si se tiene en cuenta cómo sucedieron los hechos que dieron lugar a la misma. En definitiva, se queja de que no se cumplió con la garantía material de tipicidad derivada de lo dispuesto en el art. 25.1 CE.</w:t>
      </w:r>
    </w:p>
    <w:p w:rsidR="00163957" w:rsidRDefault="00163957" w:rsidP="00163957">
      <w:pPr>
        <w:pStyle w:val="TextoNormal"/>
      </w:pPr>
    </w:p>
    <w:p w:rsidR="00163957" w:rsidRDefault="00163957" w:rsidP="00163957">
      <w:pPr>
        <w:pStyle w:val="TextoNormal"/>
      </w:pPr>
      <w:r>
        <w:t xml:space="preserve">Para dar respuesta a esta cuestión es necesario recordar —como hicimos respecto a un supuesto análogo en la STC 136/1989, de 19 de julio, FJ 3— que la </w:t>
      </w:r>
      <w:r w:rsidRPr="00163957">
        <w:rPr>
          <w:i/>
        </w:rPr>
        <w:t>ratio essendi</w:t>
      </w:r>
      <w:r>
        <w:t xml:space="preserve"> del art. 33 del reglamento de la Asamblea consiste en el aseguramiento del orden en las sesiones parlamentarias y a ese fin habilita al Presidente de los medios de represión inmediata de los causantes de desórdenes graves. En ese sentido, la sanción prevista en dicho artículo (y que se recoge nuevamente en el art. 35.1, quinto párrafo RAM) ha de conectarse con lo dispuesto en el art. 138 RAM —al que se remite el propio art. 33— y que se encuentra dentro del capítulo VII del Reglamento de la Asamblea de Madrid (“De la disciplina parlamentaria”), en concreto, en la Sección 2, dedicada al orden dentro del recinto parlamentario. En dicho artículo, se atribuye al Presidente de la Asamblea la facultad de sancionar, “de acuerdo con </w:t>
      </w:r>
      <w:r>
        <w:lastRenderedPageBreak/>
        <w:t>lo previsto en el párrafo primero del artículo 33 de este Reglamento”, con la expulsión inmediata a cualquier persona “que dentro del recinto parlamentario, en sesión o fuera de ella y, fuese o no Diputado, atentare de modo grave contra la disciplina, el orden o la cortesía parlamentaria, provocando desorden con su conducta, de obra o de palabra”. Cuando el que provoca con su conducta el desorden grave sea un Diputado, el art. 138.2 dispone que se aplicará también por el Presidente la sanción de suspensión temporal de sus derechos y deberes por un mes conforme al art. 33.2 RAM.</w:t>
      </w:r>
    </w:p>
    <w:p w:rsidR="00163957" w:rsidRDefault="00163957" w:rsidP="00163957">
      <w:pPr>
        <w:pStyle w:val="TextoNormal"/>
      </w:pPr>
    </w:p>
    <w:p w:rsidR="00163957" w:rsidRDefault="00163957" w:rsidP="00163957">
      <w:pPr>
        <w:pStyle w:val="TextoNormal"/>
      </w:pPr>
      <w:r>
        <w:t xml:space="preserve">Por tanto, como pone de relieve la Fiscal, la conducta típica que se describe en los arts. 33.1 y 138 RAM consiste en atentar de modo grave contra la disciplina, el orden o la cortesía parlamentaria, provocando —además— desorden con su conducta, de obra o de palabra. Es cierto que el art. 33 RAM no especifica qué ha de entenderse por un grave atentado “contra la disciplina, el orden o la cortesía parlamentaria”, dejando así un cierto margen de apreciación, en cada caso concreto, al Presidente de la Cámara. Sin embargo, el precepto en cuestión determina dicha apreciación en cuanto exige que la conducta a sancionar provoque “desorden” en el recinto parlamentario. Y, de acuerdo con sus términos literales, ha de entenderse que tal desorden debe de alcanzar una cierta entidad, impidiendo la continuación normal de la sesión de la que se trate, hasta el punto de que se requiera, para restablecer el orden, “la inmediata expulsión del recinto parlamentario” del diputado que lo causare. Asimismo, la sanción incluye necesariamente —conforme a los términos del apartado segundo del precepto en cuestión— la suspensión temporal del diputado de que se trate en sus derechos y deberes por plazo de un mes. Dado que, con ello, el parlamentario regional sancionado no puede ejercer durante ese tiempo los derechos y deberes que constituyen su </w:t>
      </w:r>
      <w:r w:rsidRPr="00163957">
        <w:rPr>
          <w:i/>
        </w:rPr>
        <w:t>ius in officium</w:t>
      </w:r>
      <w:r>
        <w:t>, ha de extraerse igualmente la necesidad de que la gravedad del comportamiento sancionado justifique, desde el punto de vista del principio de proporcionalidad, la imposición de dicha sanción. Todo ello, en consonancia con la doctrina de este Tribunal, de acuerdo con la cual se impone “a los órganos parlamentarios una interpretación restrictiva de todas aquellas normas que puedan suponer una limitación al ejercicio de aquellos derechos o facultades que integran el estatus constitucionalmente relevante del representante político” (ATC 142/2002, de 32 de julio, FJ 1).</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Pues bien, si observamos lo sucedido, se comprueba que la Diputada hoy recurrente en amparo llamó “corrupto” al Presidente del Gobierno regional, vinculándolo a una determinada trama delictiva, aludiendo a esta idea en varias ocasiones, de modos diferentes. Tales expresiones fueron consideradas por la Presidencia de la Cámara suficientes para ser merecedoras de sucesivas llamadas al orden, que se repitieron en tres ocasiones, instando a la Diputada para que cejara en su actitud y, posteriormente, para que retirara sus palabras, cosa que no hizo. Hasta aquí, nada puede objetarse a la actuación del Presidente de la Asamblea, pues el art. 135.1 RAM le apodera para llamar al orden a los diputados cuando, a su modo de ver —pues sólo a él le corresponde valorar la situación concreta de que se trate—, estos profirieran palabras o vertieran conceptos contrarios a las reglas de la cortesía parlamentaria; en sus discursos faltaran a lo establecido para la buena marcha de las deliberaciones; con interrupciones o de cualquier otra forma, alterasen el orden de las sesiones; o, habiéndoles sido retirada la palabra, pretendieran continuar haciendo uso de ella. En relación con dichas actitudes, el apartado 2 de ese mismo artículo prevé, en conexión con el art. 31  RAM, que al diputado que hubiere sido llamado al orden por tres veces durante una misma sesión, advertido la segunda vez de las consecuencias de una tercera, le será retirada la palabra por el Presidente. Y así ocurrió, efectivamente, pues la Presidencia advirtió también a </w:t>
      </w:r>
      <w:r>
        <w:lastRenderedPageBreak/>
        <w:t>la Diputada regional —si bien es cierto, como advierte la recurrente, que no la segunda vez que le llamó al orden, sino la primera— de que podría ser expulsada si persistía en su comportamiento y procedió, tras la tercera llamada al orden, a retirarle la palabra definitivamente, decisión frente a lo que la recurrente en amparo se aquietó, lo que hizo innecesario que el Presidente de la Asamblea procediera a adoptar las medidas de “inmediata expulsión del salón de sesiones” y “prohibición de asistencia al resto de la correspondiente sesión”, que se prevén en el art. 31.1  RAM, para los casos en los que el diputado, tras haberle sido retirada la palabra en esas condiciones, “persistiera en su actitud”, así como en el art. 32  RAM, cuando la actitud persistente tras las tres advertencias se refiere específicamente a la negativa a retirar palabras o conceptos contrarios a las reglas de la cortesía parlamentaria.</w:t>
      </w:r>
    </w:p>
    <w:p w:rsidR="00163957" w:rsidRDefault="00163957" w:rsidP="00163957">
      <w:pPr>
        <w:pStyle w:val="TextoNormal"/>
      </w:pPr>
    </w:p>
    <w:p w:rsidR="00163957" w:rsidRDefault="00163957" w:rsidP="00163957">
      <w:pPr>
        <w:pStyle w:val="TextoNormal"/>
      </w:pPr>
      <w:r>
        <w:t>Es cierto —así lo indica la demandante de amparo— que de acuerdo con este último precepto, en relación con lo dispuesto en el art. 136.1  RAM, el Presidente de la Cámara debería haber ordenado que las palabras proferidas por la Diputada socialista no constaran en el Diario de Sesiones y, en cambio, decidió dejar constancia en el mismo de lo expresado por aquella, lo que manifestó de viva voz en el Pleno. Pero tal hecho —al igual que la circunstancia de que se le advirtiera de las consecuencias de su actitud en la primera llamada al orden y no en la segunda— resulta irrelevante para el enjuiciamiento que aquí realizamos, en tanto que del mismo no se deriva ninguna lesión material de los derechos de la recurrente, pues "el recurso de amparo protege frente a lesiones reales y efectivas de los derechos fundamentales, esto es, frente a menoscabos o perjuicios materiales, y no frente a los puramente formales (por todas, STC 18/2005, de 1 de febrero)" (STC 129/2006, de 24 de abril, FJ 5).</w:t>
      </w:r>
    </w:p>
    <w:p w:rsidR="00163957" w:rsidRDefault="00163957" w:rsidP="00163957">
      <w:pPr>
        <w:pStyle w:val="TextoNormal"/>
      </w:pPr>
    </w:p>
    <w:p w:rsidR="00163957" w:rsidRDefault="00163957" w:rsidP="00163957">
      <w:pPr>
        <w:pStyle w:val="TextoNormal"/>
      </w:pPr>
      <w:r>
        <w:t>De acuerdo con lo que ya se ha reflejado en los antecedentes de esta resolución, nada más serle retirada la palabra a la recurrente, se dio paso a la tramitación de las siguientes preguntas de contestación oral en Pleno, lo que tuvo lugar con normalidad. Y es sólo al terminar la tramitación de las mismas cuando el Presidente de la Cámara hizo un inciso antes de dar paso a la discusión del segundo punto del orden del día y anunció en la Cámara que iba a aplicar a la Diputada socialista lo dispuesto en el art. 33 RAM, que leyó en voz alta, conminándola para que abandonara la sala de manera inmediata, cosa que ella hizo, junto con el resto de los diputados socialistas, que la acompañaron.</w:t>
      </w:r>
    </w:p>
    <w:p w:rsidR="00163957" w:rsidRDefault="00163957" w:rsidP="00163957">
      <w:pPr>
        <w:pStyle w:val="TextoNormal"/>
      </w:pPr>
    </w:p>
    <w:p w:rsidR="00163957" w:rsidRDefault="00163957" w:rsidP="00163957">
      <w:pPr>
        <w:pStyle w:val="TextoNormal"/>
      </w:pPr>
      <w:r>
        <w:t>Es en este punto en el que ha de considerarse que el acuerdo sancionador adoptado por el Presidente de la Asamblea de Madrid en la sesión del Pleno de 9 de mayo de 2013, vulneró el principio de legalidad del art. 25.1 CE, desde la perspectiva de la garantía material de tipicidad.</w:t>
      </w:r>
    </w:p>
    <w:p w:rsidR="00163957" w:rsidRDefault="00163957" w:rsidP="00163957">
      <w:pPr>
        <w:pStyle w:val="TextoNormal"/>
      </w:pPr>
    </w:p>
    <w:p w:rsidR="00163957" w:rsidRDefault="00163957" w:rsidP="00163957">
      <w:pPr>
        <w:pStyle w:val="TextoNormal"/>
      </w:pPr>
      <w:r>
        <w:t xml:space="preserve">En primer lugar, porque, según hemos visto, la sanción se produce una vez que la alteración del orden había cesado y se había procedido ya a debatir de otros asuntos con normalidad, culminando su tramitación sin incidentes. Por tanto, la medida sancionadora careció de la continuidad temporal que exige el artículo 33  RAM, en el que se requiere que la sanción se aplique a hechos recién acaecidos. Pues, como ya hemos puesto de manifiesto, la </w:t>
      </w:r>
      <w:r w:rsidRPr="00163957">
        <w:rPr>
          <w:i/>
        </w:rPr>
        <w:t>ratio essendi</w:t>
      </w:r>
      <w:r>
        <w:t xml:space="preserve"> de dicho precepto “consiste en el aseguramiento del orden de las sesiones y, a ese fin, habilita al Presidente de los medios de represión inmediata, de plano, de los causantes de desórdenes graves”. Las sanciones que en los supuestos de alteración grave en él previstos puede imponer el Presidente “se justifican exclusivamente, dada su excepcionalidad, en razón del fin mencionado y son, por ello, inescindibles del momento en que la </w:t>
      </w:r>
      <w:r>
        <w:lastRenderedPageBreak/>
        <w:t>perturbación tiene lugar. De ahí que ese momento sea un elemento necesario de la tipificación reglamentaria de la sanción a imponer”. Quiere esto decir que “desde el punto de vista temporal, el promotor del desorden grave sólo puede ser sancionado por el Presidente inmediatamente, tanto con la expulsión cuanto, si se trata de un Diputado, con la suspensión además en el acto” (STC 136/1989, de 19 de julio, FJ 3).</w:t>
      </w:r>
    </w:p>
    <w:p w:rsidR="00163957" w:rsidRDefault="00163957" w:rsidP="00163957">
      <w:pPr>
        <w:pStyle w:val="TextoNormal"/>
      </w:pPr>
    </w:p>
    <w:p w:rsidR="00163957" w:rsidRDefault="00163957" w:rsidP="00163957">
      <w:pPr>
        <w:pStyle w:val="TextoNormal"/>
      </w:pPr>
      <w:r>
        <w:t>Ello hace evidente, en segundo lugar, que tampoco concurre materialmente la conducta típica prevista en el art. 33 RAM, cual es la de la existencia de un atentado grave que —además— cause desorden, ya que no se requirió de una acción inmediata de la Presidencia de la Cámara para la normal continuación de los debates parlamentarios. Pues, como pone de manifiesto el Ministerio Fiscal, no aparece reflejado en el Diario de Sesiones, ni tampoco se observa en la grabación aportada con la demanda, ningún incidente que ponga de manifiesto que hubo en el curso de la pregunta de contestación oral en Pleno planteada por la recurrente una extraordinaria situación de alteración de la sesión del Pleno —más allá de lo que con frecuencia se pueden ver en muchos de los debates parlamentarios— que impidiera que el Pleno pudiera continuar su curso con normalidad.</w:t>
      </w:r>
    </w:p>
    <w:p w:rsidR="00163957" w:rsidRDefault="00163957" w:rsidP="00163957">
      <w:pPr>
        <w:pStyle w:val="TextoNormal"/>
      </w:pPr>
    </w:p>
    <w:p w:rsidR="00163957" w:rsidRDefault="00163957" w:rsidP="00163957">
      <w:pPr>
        <w:pStyle w:val="TextoNormal"/>
      </w:pPr>
      <w:r>
        <w:t>Como hicimos en términos parecidos en la STC 169/1995, de 20 de noviembre, FJ 3 a), en un supuesto cercano al ahora analizado, puede afirmarse aquí que frente a otras previsiones del reglamento de la Asamblea madrileña, más benévolas, que se refieren a supuestos que, por su anormalidad, producen sin duda un trastorno en el desarrollo de las sesiones susceptible de ser calificado de “desorden”, el “atentado grave” con producción de desórdenes requerido para la aplicación del art. 33 RAM ha de ser de otra naturaleza, refiriéndose a situaciones en las que se produzcan manifestaciones en el recinto parlamentario, agresiones, etc. Por tanto, debemos concluir también, como en aquella ocasión, que la existencia de esas previsiones normativas más benévolas —y más específicas— debió excluir en este supuesto la aplicación de un precepto ideado para reprimir desórdenes graves, cuya aplicación resultó, dadas las circunstancias, desproporcionada, en tanto supuso no sólo la expulsión del recinto parlamentario de la Diputada recurrente, sino también la suspensión en sus derechos y deberes por el plazo de un mes.</w:t>
      </w:r>
    </w:p>
    <w:p w:rsidR="00163957" w:rsidRDefault="00163957" w:rsidP="00163957">
      <w:pPr>
        <w:pStyle w:val="TextoNormal"/>
      </w:pPr>
    </w:p>
    <w:p w:rsidR="00163957" w:rsidRDefault="00163957" w:rsidP="00163957">
      <w:pPr>
        <w:pStyle w:val="TextoNormal"/>
      </w:pPr>
      <w:r>
        <w:t>La sanción, además, comportó un trato desigual de la demandante respecto a otros diputados de la misma Asamblea, ya que —como esta documenta—, en circunstancias similares que tuvieron lugar en una sesión plenaria muy cercana en el tiempo a aquella en la que se produjeron los hechos ahora enjuiciados (en concreto, en el Pleno de la Asamblea de Madrid celebrado el día 16 de mayo de 2013), a algunos de esos representantes se les expulsó de forma inmediata del recinto parlamentario y a otros no, pero ninguno de ellos fue suspendido de su cargo durante un mes.</w:t>
      </w:r>
    </w:p>
    <w:p w:rsidR="00163957" w:rsidRDefault="00163957" w:rsidP="00163957">
      <w:pPr>
        <w:pStyle w:val="TextoNormal"/>
      </w:pPr>
    </w:p>
    <w:p w:rsidR="00163957" w:rsidRDefault="00163957" w:rsidP="00163957">
      <w:pPr>
        <w:pStyle w:val="TextoNormal"/>
      </w:pPr>
      <w:r>
        <w:t>En consecuencia, la resolución impugnada ha conculcado el derecho fundamental que a la actora le reconoce el art. 25.1 de la Constitución. Esta lesión implica, asimismo, la violación del derecho garantizado por el art. 23.2 del propio Texto constitucional, pues la expulsión del recinto parlamentario, así como la suspensión temporal de la condición de Diputada sin cobertura legal ha privado a la recurrente de su derecho a permanecer, sin intromisiones ni limitaciones ilegítimas y en condiciones de igualdad, en el cargo público para el que fue elegida. Por último, la vulneración del derecho reconocido en el art. 23.2 CE, comporta, a su vez, la del derecho de los electores a participar en los asuntos públicos a través de sus representantes elegidos en elecciones periódicas por sufragio universal (art. 23.1 CE).</w:t>
      </w:r>
    </w:p>
    <w:p w:rsidR="00163957" w:rsidRDefault="00163957" w:rsidP="00163957">
      <w:pPr>
        <w:pStyle w:val="TextoNormal"/>
      </w:pPr>
    </w:p>
    <w:p w:rsidR="00163957" w:rsidRDefault="00163957" w:rsidP="00163957">
      <w:pPr>
        <w:pStyle w:val="TextoNormal"/>
      </w:pPr>
      <w:r>
        <w:t>Todo lo cual obliga a otorgarle el amparo solicitado de este Tribunal Constitucional.</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Procede ahora delimitar el alcance de los efectos de esta Sentencia, lo cual es necesario porque los hechos sobre los que versa el presente recurso se produjeron durante la IX legislatura de la Asamblea de Madrid, ya finalizada. Ello imposibilita en gran parte la adopción de las medidas necesarias para reintegrar a la recurrente en la plenitud de sus derechos fundamentales solicitadas en la demanda, pues tales medidas, se dirigirían a órganos de una legislatura fenecida y, por tanto, inexistente y en relación con una tarea parlamentaria asimismo precluida. Pero esto no resta importancia al </w:t>
      </w:r>
      <w:r w:rsidRPr="00163957">
        <w:rPr>
          <w:i/>
        </w:rPr>
        <w:t>petitum</w:t>
      </w:r>
      <w:r>
        <w:t xml:space="preserve"> que en este proceso se sustancia, ni impide satisfacer, en lo que sea posible, la pretensión que se deduce, lo que incluye el reconocimiento del derecho de la parlamentaria demandante a que no se vulnere lo establecido en los arts. 25.1 CE y 23 CE, con la consiguiente anulación del acuerdo que impidió el ejercicio de los derechos previstos en dichos artículos y el reintegro de los derechos económicos que la recurrente haya dejado de percibir como consecuencia de la sanción que les fue impuesta y que ahora anulamos.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doña Carmen Menéndez González-Palenzuela y, en su virtud:</w:t>
      </w:r>
    </w:p>
    <w:p w:rsidR="00163957" w:rsidRDefault="00163957" w:rsidP="00163957">
      <w:pPr>
        <w:pStyle w:val="TextoNormal"/>
      </w:pPr>
    </w:p>
    <w:p w:rsidR="00163957" w:rsidRDefault="00163957" w:rsidP="00163957">
      <w:pPr>
        <w:pStyle w:val="TextoNormal"/>
      </w:pPr>
      <w:r>
        <w:t>1º Declarar la nulidad del acuerdo del Presidente de la Asamblea de Madrid de 9 de mayo de 2013, por el que se decidió la expulsión de la recurrente de la sesión ordinaria que se estaba celebrando en aquella fecha, así como la suspensión temporal de su condición de Diputada en activo por plazo de un mes.</w:t>
      </w:r>
    </w:p>
    <w:p w:rsidR="00163957" w:rsidRDefault="00163957" w:rsidP="00163957">
      <w:pPr>
        <w:pStyle w:val="TextoNormal"/>
      </w:pPr>
    </w:p>
    <w:p w:rsidR="00163957" w:rsidRDefault="00163957" w:rsidP="00163957">
      <w:pPr>
        <w:pStyle w:val="TextoNormal"/>
      </w:pPr>
      <w:r>
        <w:t>2º Reconocer a la recurrente los derechos a no ser sancionada por acciones que no constituyen infracción parlamentaria subsumible en el art. 33 del Reglamento de la Asamblea de Madrid y a ejercer sus funciones como Diputada de dicha Asamblea sin perturbaciones ilegítimas y en condiciones de igualdad.</w:t>
      </w:r>
    </w:p>
    <w:p w:rsidR="00163957" w:rsidRDefault="00163957" w:rsidP="00163957">
      <w:pPr>
        <w:pStyle w:val="TextoNormal"/>
      </w:pPr>
    </w:p>
    <w:p w:rsidR="00163957" w:rsidRDefault="00163957" w:rsidP="00163957">
      <w:pPr>
        <w:pStyle w:val="TextoNormal"/>
      </w:pPr>
      <w:r>
        <w:t>3º Ordenar a la Asamblea de Madrid que proceda a entregar a la recurrente las cantidades eventualmente dejadas de percibir como consecuencia de la sanción impuesta.</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veinticinco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82" w:name="SENTENCIA_2016_79"/>
      <w:r>
        <w:lastRenderedPageBreak/>
        <w:t>SENTENCIA 79/2016, de 25 de abril de 2016</w:t>
      </w:r>
    </w:p>
    <w:bookmarkEnd w:id="82"/>
    <w:p w:rsidR="00163957" w:rsidRDefault="00163957" w:rsidP="00163957">
      <w:pPr>
        <w:pStyle w:val="TtuloResolucin"/>
      </w:pPr>
      <w:r>
        <w:t>Sala Segunda</w:t>
      </w:r>
    </w:p>
    <w:p w:rsidR="00163957" w:rsidRDefault="00163957" w:rsidP="00163957">
      <w:pPr>
        <w:pStyle w:val="TtuloBOE"/>
      </w:pPr>
      <w:r>
        <w:t>(BOE núm. 131, de 31 de mayo de 2016)</w:t>
      </w:r>
    </w:p>
    <w:p w:rsidR="00163957" w:rsidRDefault="00163957" w:rsidP="00163957">
      <w:pPr>
        <w:pStyle w:val="TextoNormalCentrado"/>
      </w:pPr>
      <w:r>
        <w:t>ECLI:ES:TC:2016:79</w:t>
      </w:r>
    </w:p>
    <w:p w:rsidR="00163957" w:rsidRDefault="00163957" w:rsidP="00163957">
      <w:pPr>
        <w:pStyle w:val="TextoNormalCentrado"/>
      </w:pPr>
    </w:p>
    <w:p w:rsidR="00163957" w:rsidRDefault="00163957" w:rsidP="00163957">
      <w:pPr>
        <w:pStyle w:val="SntesisDescriptiva"/>
      </w:pPr>
      <w:r>
        <w:t>Cuestión de inconstitucionalidad 4912-2014. Planteada por el Juzgado de lo Social núm. 3 de Alicante en relación con el artículo 2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extinción, por pérdida de objeto, de la cuestión de inconstitucionalidad (STC 83/2015).</w:t>
      </w:r>
    </w:p>
    <w:p w:rsidR="00163957" w:rsidRDefault="00163957" w:rsidP="00163957">
      <w:pPr>
        <w:pStyle w:val="SntesisAnaltica"/>
      </w:pPr>
    </w:p>
    <w:p w:rsidR="00163957" w:rsidRDefault="00163957" w:rsidP="00163957">
      <w:pPr>
        <w:pStyle w:val="Extracto"/>
      </w:pPr>
      <w:r>
        <w:t>1.</w:t>
      </w:r>
      <w:r>
        <w:tab/>
        <w:t>Siendo la satisfacción extraprocesal uno de los posibles supuestos de extinción de la cuestión de inconstitucionalidad, la recuperación del importe de la paga extra de diciembre de 2012 por el personal laboral del Ayuntamiento supone la satisfacción extraprocesal de la pretensión deducida en proceso laboral (STC 6/2010; AATC 945/1985; 485/2005) [FJ 2].</w:t>
      </w:r>
    </w:p>
    <w:p w:rsidR="00163957" w:rsidRDefault="00163957" w:rsidP="00163957">
      <w:pPr>
        <w:pStyle w:val="Extracto"/>
      </w:pPr>
    </w:p>
    <w:p w:rsidR="00163957" w:rsidRDefault="00163957" w:rsidP="00163957">
      <w:pPr>
        <w:pStyle w:val="Extracto"/>
      </w:pPr>
      <w:r>
        <w:t>2.</w:t>
      </w:r>
      <w:r>
        <w:tab/>
        <w:t>En los casos en que se satisfaga la pretensión intentada, aun cuando el enjuiciamiento constitucional de una norma siga siendo posible y esta plantee un problema de interés constitucional, ya no se trataría de un juicio de constitucionalidad en concreto, al que se refiere el art. 163 CE, sino en abstracto, sin efectos para el caso, lo que resulta improcedente en toda cuestión de inconstitucionalidad (STC 83/2015)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4912-2014, promovida por el Juzgado de lo Social núm. 3 de Alicante contra los arts. 2.1 y 2.2.2 del Real Decreto-ley 20/2012, de 13 de julio, de medidas para garantizar la estabilidad presupuestaria y de fomento de la competitividad, por posible vulneración del art. 9.3 CE. Han formulado alegaciones el Fiscal General del Estado y el Abogado del Estado. Ha sido Ponente la Magistrada doña Adela Asua Batarrita, quien expresa el parecer del Tribunal.</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25 de julio de 2014 tuvo entrada en el Registro General de este Tribunal un oficio del Juzgado de lo Social núm. 3 de Alicante al que se acompaña, junto con el testimonio del procedimiento núm. 1136-2013, el Auto de 15 de julio de 2014, por el que se acuerda plantear cuestión de inconstitucionalidad en relación con los arts. 2.1 y 2.2.2 del Real Decreto-ley 20/2012, de 13 de julio, de medidas para garantizar la estabilidad presupuestaria y de fomento de la competitividad, en su aplicación al personal laboral del sector público, por posible lesión del art. 9.3 CE, sobre el principio de irretroactividad de disposiciones restrictivas de derechos individuales.</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procesales de la cuestión de inconstitucionalidad planteada son, sucintamente expuestos, los siguientes:</w:t>
      </w:r>
    </w:p>
    <w:p w:rsidR="00163957" w:rsidRDefault="00163957" w:rsidP="00163957">
      <w:pPr>
        <w:pStyle w:val="TextoNormal"/>
      </w:pPr>
    </w:p>
    <w:p w:rsidR="00163957" w:rsidRDefault="00163957" w:rsidP="00163957">
      <w:pPr>
        <w:pStyle w:val="TextoNormal"/>
      </w:pPr>
      <w:r>
        <w:t>a) El presente procedimiento deriva de demanda de conflicto colectivo presentada por la delegada de personal laboral del Ayuntamiento de Banyeres de Mariola (Alicante). En dicho procedimiento se impugna la aplicación hecha por el demandado del Real Decreto-ley 20/2012, de acuerdo con la cual no se abonó la paga extraordinaria de diciembre del año 2012 al personal laboral del mencionado ayuntamiento. Así, solicita que se declare el derecho de los trabajadores afectados por el ámbito del conflicto a percibir la parte proporcional de la paga extraordinaria del mes de diciembre de 2012 ya devengada desde el 1 de enero al 15 de julio de 2012.</w:t>
      </w:r>
    </w:p>
    <w:p w:rsidR="00163957" w:rsidRDefault="00163957" w:rsidP="00163957">
      <w:pPr>
        <w:pStyle w:val="TextoNormal"/>
      </w:pPr>
    </w:p>
    <w:p w:rsidR="00163957" w:rsidRDefault="00163957" w:rsidP="00163957">
      <w:pPr>
        <w:pStyle w:val="TextoNormal"/>
      </w:pPr>
      <w:r>
        <w:t>b) Con suspensión del plazo para dictar sentencia y conforme a lo dispuesto en el art. 35 de la Ley Orgánica del Tribunal Constitucional (LOTC), el órgano judicial dictó providencia de 16 de junio de 2014 por la que acordó oír a las partes y al Ministerio Fiscal para que alegasen sobre la pertinencia de plantear cuestión de inconstitucionalidad sobre los arts. 2.1 y 2.2.2 del Real Decreto-ley 20/2012, de 13 de julio, de medidas para garantizar la estabilidad presupuestaria y de fomento de la competitividad, por posible infracción del art. 9.3 CE, en la medida en que la supresión de la totalidad de la paga extra de diciembre de 2012, sin excepcionar la parte proporcional de la misma devengada hasta el momento de la entrada en vigor del Real Decreto-ley 20/2012, podría considerarse una norma retroactiva restrictiva de derechos individuales.</w:t>
      </w:r>
    </w:p>
    <w:p w:rsidR="00163957" w:rsidRDefault="00163957" w:rsidP="00163957">
      <w:pPr>
        <w:pStyle w:val="TextoNormal"/>
      </w:pPr>
    </w:p>
    <w:p w:rsidR="00163957" w:rsidRDefault="00163957" w:rsidP="00163957">
      <w:pPr>
        <w:pStyle w:val="TextoNormal"/>
      </w:pPr>
      <w:r>
        <w:t>c) La representación procesal del Ayuntamiento de Banyeres de Mariola manifestó su parecer favorable al planteamiento de la cuestión de inconstitucionalidad. El Ministerio Fiscal no se opuso a la tramitación de la cuestión de inconstitucionalidad en la medida en que se dan los requisitos procesales suficientes para dicho planteamiento, sin entrar en el fondo de la cuestión. La representación procesal de la demandante se opuso al planteamiento de la cuestión.</w:t>
      </w:r>
    </w:p>
    <w:p w:rsidR="00163957" w:rsidRDefault="00163957" w:rsidP="00163957">
      <w:pPr>
        <w:pStyle w:val="TextoNormal"/>
      </w:pPr>
    </w:p>
    <w:p w:rsidR="00163957" w:rsidRDefault="00163957" w:rsidP="00163957">
      <w:pPr>
        <w:pStyle w:val="TextoNormal"/>
      </w:pPr>
      <w:r>
        <w:t>d) Por Auto de 15 de julio de 2014, el Juzgado de lo Social núm. 3 de Alicante acordó plantear la presente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Tras exponer los antecedentes del caso, el Auto de planteamiento de la cuestión señala que la actora reclama en su demanda el abono del período devengado de la paga extraordinaria hasta la entrada en vigor del Real Decreto-ley 20/2012 y que la resolución del litigio, </w:t>
      </w:r>
      <w:r>
        <w:lastRenderedPageBreak/>
        <w:t>en la que no hay debate sobre aspectos fácticos, depende, sólo y exclusivamente, de la validez de los arts. 2.1 y 2.2.2 del Real Decreto-ley 20/2012, los cuales suponen la íntegra supresión de la paga extra de Navidad de 2012 del personal laboral. Esa supresión podría vulnerar el art. 9.3 CE al privar al personal laboral de un derecho individual con carácter retroactivo, en cuanto que el art. 31 del estatuto de los trabajadores establece el derecho a una gratificación extraordinaria con motivo de las fiestas de Navidad, habiendo declarado de forma reiterada el Tribunal Supremo que esa gratificación constituye una manifestación del salario diferido y se devenga día a día. Por ello, estima el órgano judicial que no es posible acudir a la vía interpretativa para salvar la posible inconstitucionalidad de las normas que cuestiona, en la medida en que no introducen excepción alguna respecto de las cuantías ya devengadas al momento de su entrada en vigor.</w:t>
      </w:r>
    </w:p>
    <w:p w:rsidR="00163957" w:rsidRDefault="00163957" w:rsidP="00163957">
      <w:pPr>
        <w:pStyle w:val="TextoNormal"/>
      </w:pPr>
    </w:p>
    <w:p w:rsidR="00163957" w:rsidRDefault="00163957" w:rsidP="00163957">
      <w:pPr>
        <w:pStyle w:val="TextoNormal"/>
      </w:pPr>
      <w:r>
        <w:t>Así acuerda elevar cuestión de inconstitucionalidad en los siguientes términos:</w:t>
      </w:r>
    </w:p>
    <w:p w:rsidR="00163957" w:rsidRDefault="00163957" w:rsidP="00163957">
      <w:pPr>
        <w:pStyle w:val="TextoNormal"/>
      </w:pPr>
    </w:p>
    <w:p w:rsidR="00163957" w:rsidRDefault="00163957" w:rsidP="00163957">
      <w:pPr>
        <w:pStyle w:val="TextoNormal"/>
      </w:pPr>
      <w:r>
        <w:t>“Si la redacción de los arts. 2.1 y 2.2.2 del Real Decreto-ley 20/2012, de 13 de julio, de medidas para garantizar la estabilidad presupuestaria y de fomento de la competitividad, en su aplicación al personal laboral del sector público, ha vulnerado o no el principio de retroactividad de las disposiciones restrictivas de derechos individuales contemplado en el art. 9.3 de la CE, en relación con el principio de seguridad jurídica del mismo precepto. Todo ello como consecuencia de considerar dicho precepto aplicable al presente litigio, dependiendo el fallo del mismo de su validez y no siendo posible acomodarlo al ordenamiento constitucional por vía interpretativa”.</w:t>
      </w:r>
    </w:p>
    <w:p w:rsidR="00163957" w:rsidRDefault="00163957" w:rsidP="00163957">
      <w:pPr>
        <w:pStyle w:val="TextoNormal"/>
      </w:pPr>
    </w:p>
    <w:p w:rsidR="00163957" w:rsidRDefault="00163957" w:rsidP="00163957">
      <w:pPr>
        <w:pStyle w:val="TextoNormal"/>
      </w:pPr>
      <w:r w:rsidRPr="00163957">
        <w:rPr>
          <w:rStyle w:val="NumeroAFNegritaCaracter"/>
        </w:rPr>
        <w:t>4</w:t>
      </w:r>
      <w:r>
        <w:t>. El Pleno de este Tribunal, a propuesta de la Sección Tercera, acordó admitir a trámite la cuestión mediante providencia de 9 de septiembre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15 días, pudieran personarse en el procedimiento y formular las alegaciones que estimasen convenientes; comunicar la resolución al Juzgado de lo Social núm. 3 de Alicante, a fin de que, de conformidad con lo dispuesto en el art. 35 LOTC, permaneciese suspendido el proceso hasta que este Tribunal resolviese efectivamente la cuestión; y publicar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el 18 de septiembre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t>Mediante escrito registrado el 24 de septiembre de 2014, el Presidente del Senado comunicó a este Tribunal el acuerdo de la Mesa para que se diera por personada a la Cámara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Abogado del Estado, mediante escrito de alegaciones registrado el 25 de septiembre de 2014, se personó interesando la desestimación de la cuestión de inconstitucionalidad por las razones que, resumidamente, se exponen a continuación.</w:t>
      </w:r>
    </w:p>
    <w:p w:rsidR="00163957" w:rsidRDefault="00163957" w:rsidP="00163957">
      <w:pPr>
        <w:pStyle w:val="TextoNormal"/>
      </w:pPr>
    </w:p>
    <w:p w:rsidR="00163957" w:rsidRDefault="00163957" w:rsidP="00163957">
      <w:pPr>
        <w:pStyle w:val="TextoNormal"/>
      </w:pPr>
      <w:r>
        <w:t>Tras reproducir el contenido del art. 2 del Real Decreto-ley 20/2012,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00163957" w:rsidRDefault="00163957" w:rsidP="00163957">
      <w:pPr>
        <w:pStyle w:val="TextoNormal"/>
      </w:pPr>
    </w:p>
    <w:p w:rsidR="00163957" w:rsidRDefault="00163957" w:rsidP="00163957">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163957" w:rsidRDefault="00163957" w:rsidP="00163957">
      <w:pPr>
        <w:pStyle w:val="TextoNormal"/>
      </w:pPr>
    </w:p>
    <w:p w:rsidR="00163957" w:rsidRDefault="00163957" w:rsidP="00163957">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00163957" w:rsidRDefault="00163957" w:rsidP="00163957">
      <w:pPr>
        <w:pStyle w:val="TextoNormal"/>
      </w:pPr>
    </w:p>
    <w:p w:rsidR="00163957" w:rsidRDefault="00163957" w:rsidP="00163957">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w:t>
      </w:r>
      <w:r>
        <w:lastRenderedPageBreak/>
        <w:t>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163957" w:rsidRDefault="00163957" w:rsidP="00163957">
      <w:pPr>
        <w:pStyle w:val="TextoNormal"/>
      </w:pPr>
    </w:p>
    <w:p w:rsidR="00163957" w:rsidRDefault="00163957" w:rsidP="00163957">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conformes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163957" w:rsidRDefault="00163957" w:rsidP="00163957">
      <w:pPr>
        <w:pStyle w:val="TextoNormal"/>
      </w:pPr>
    </w:p>
    <w:p w:rsidR="00163957" w:rsidRDefault="00163957" w:rsidP="00163957">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163957" w:rsidRDefault="00163957" w:rsidP="00163957">
      <w:pPr>
        <w:pStyle w:val="TextoNormal"/>
      </w:pPr>
      <w:r>
        <w:t>Por todo ello, se interesa la desestimación de la cuestión.</w:t>
      </w:r>
    </w:p>
    <w:p w:rsidR="00163957" w:rsidRDefault="00163957" w:rsidP="00163957">
      <w:pPr>
        <w:pStyle w:val="TextoNormal"/>
      </w:pPr>
    </w:p>
    <w:p w:rsidR="00163957" w:rsidRDefault="00163957" w:rsidP="00163957">
      <w:pPr>
        <w:pStyle w:val="TextoNormal"/>
      </w:pPr>
      <w:r w:rsidRPr="00163957">
        <w:rPr>
          <w:rStyle w:val="NumeroAFNegritaCaracter"/>
        </w:rPr>
        <w:t>7</w:t>
      </w:r>
      <w:r>
        <w:t>. El Fiscal General del Estado presentó escrito de alegaciones ante este Tribunal el 2 de octubre de 2014 interesando la estimación de la presente cuestión de inconstitucionalidad.</w:t>
      </w:r>
    </w:p>
    <w:p w:rsidR="00163957" w:rsidRDefault="00163957" w:rsidP="00163957">
      <w:pPr>
        <w:pStyle w:val="TextoNormal"/>
      </w:pPr>
    </w:p>
    <w:p w:rsidR="00163957" w:rsidRDefault="00163957" w:rsidP="00163957">
      <w:pPr>
        <w:pStyle w:val="TextoNormal"/>
      </w:pPr>
      <w:r>
        <w:t xml:space="preserve">Coincidiendo con lo expuesto en el Auto de planteamiento de la cuestión, considera el Fiscal que los derechos retributivos de los trabajadores están integrados en la “esfera general de protección de la persona” que contempla este Tribunal como límite a la eficacia de la </w:t>
      </w:r>
      <w:r>
        <w:lastRenderedPageBreak/>
        <w:t>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163957" w:rsidRDefault="00163957" w:rsidP="00163957">
      <w:pPr>
        <w:pStyle w:val="TextoNormal"/>
      </w:pPr>
    </w:p>
    <w:p w:rsidR="00163957" w:rsidRDefault="00163957" w:rsidP="00163957">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163957">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w:t>
      </w:r>
      <w:r>
        <w:lastRenderedPageBreak/>
        <w:t>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El Fiscal General del Estado concluye sus alegaciones precisando que en el Auto de planteamiento no se cuestiona todo el art. 2 del Real Decreto-ley sino sólo su apartado 2.2, ya que es el que resulta aplicable para resolver el pleito sometido al conocimiento del Juzgado de lo Social núm. 3 de Alicante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28 de mayo de 2015 la Sala Segunda acordó, de conformidad con lo dispuesto en el art. 88.1 LOTC, dirigir atenta comunicación al Ayuntamiento de Banyeres de Mariola (Alicante), a fin de que indique a este Tribunal si, en atención a los previsto en la disposición adicional duodécima de la Ley 36/2014, de presupuestos generales del Estado para el año 2015, o por cualquier otra circunstancia, ha satisfecho a su personal laboral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163957" w:rsidRDefault="00163957" w:rsidP="00163957">
      <w:pPr>
        <w:pStyle w:val="TextoNormal"/>
      </w:pPr>
    </w:p>
    <w:p w:rsidR="00163957" w:rsidRDefault="00163957" w:rsidP="00163957">
      <w:pPr>
        <w:pStyle w:val="TextoNormal"/>
      </w:pPr>
      <w:r w:rsidRPr="00163957">
        <w:rPr>
          <w:rStyle w:val="NumeroAFNegritaCaracter"/>
        </w:rPr>
        <w:t>9</w:t>
      </w:r>
      <w:r>
        <w:t>. En contestación a dicho requerimiento, por escrito registrado en este Tribunal el 16 de junio de 2015, el Ayuntamiento de Banyeres de Mariola informó que dicho ayuntamiento incluyó en la nómina del mes de enero un concepto por la recuperación de la paga extraordinaria y adicional del mes de diciembre de 2012. “Dicha retribución se aplicó cumpliendo estrictamente los términos establecidos en la Ley 36/2014, de 26 de diciembre, de Presupuestos Generales del Estado para el año 2015, y en concreto, en lo dispuesto en la disposición adicional décimo segunda de dicha Ley. La cuantía abonada correspondió a 44 días”.</w:t>
      </w:r>
    </w:p>
    <w:p w:rsidR="00163957" w:rsidRDefault="00163957" w:rsidP="00163957">
      <w:pPr>
        <w:pStyle w:val="TextoNormal"/>
      </w:pPr>
    </w:p>
    <w:p w:rsidR="00163957" w:rsidRDefault="00163957" w:rsidP="00163957">
      <w:pPr>
        <w:pStyle w:val="TextoNormal"/>
      </w:pPr>
      <w:r w:rsidRPr="00163957">
        <w:rPr>
          <w:rStyle w:val="NumeroAFNegritaCaracter"/>
        </w:rPr>
        <w:t>10</w:t>
      </w:r>
      <w:r>
        <w:t>. Con fecha 30 de marzo de 2016 la Secretaría de Justicia de Pleno dirigió comunicación al Ayuntamiento de Banyeres de Mariola, en el que se solicitaba que como complemento a su escrito de 12 de junio de 2015 indicara a este Tribunal si con posterioridad a esa fecha y en atención a lo previsto en el Real Decreto-ley 20/2015, ha sido abonada alguna otra cantidad y el número de días de la referida paga a la que corresponde la cuantía abonada.</w:t>
      </w:r>
    </w:p>
    <w:p w:rsidR="00163957" w:rsidRDefault="00163957" w:rsidP="00163957">
      <w:pPr>
        <w:pStyle w:val="TextoNormal"/>
      </w:pPr>
    </w:p>
    <w:p w:rsidR="00163957" w:rsidRDefault="00163957" w:rsidP="00163957">
      <w:pPr>
        <w:pStyle w:val="TextoNormal"/>
      </w:pPr>
      <w:r w:rsidRPr="00163957">
        <w:rPr>
          <w:rStyle w:val="NumeroAFNegritaCaracter"/>
        </w:rPr>
        <w:t>11</w:t>
      </w:r>
      <w:r>
        <w:t>. Por escrito registrado el 12 de abril de 2016, el Ayuntamiento de Banyeres de Mariola informó que “junto con la nómina del mes de marzo de 2016, este Ayuntamiento ha abonado lo que restaba de la cuantía de la paga extraordinaria del mes de diciembre de 2012, de acuerdo con la disposición adicional duodécima de la Ley 48/2015, de 29 de octubre, de Presupuestos Generales del Estado para el año 2016”.</w:t>
      </w:r>
    </w:p>
    <w:p w:rsidR="00163957" w:rsidRDefault="00163957" w:rsidP="00163957">
      <w:pPr>
        <w:pStyle w:val="TextoNormal"/>
      </w:pPr>
    </w:p>
    <w:p w:rsidR="00163957" w:rsidRDefault="00163957" w:rsidP="00163957">
      <w:pPr>
        <w:pStyle w:val="TextoNormal"/>
      </w:pPr>
      <w:r w:rsidRPr="00163957">
        <w:rPr>
          <w:rStyle w:val="NumeroAFNegritaCaracter"/>
        </w:rPr>
        <w:t>12</w:t>
      </w:r>
      <w:r>
        <w:t>. Por providencia de 21 de abril de 2016 se señaló para deliberación y votación de la presente Sentencia el día 25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Juzgado de lo Social núm. 3 de Alicante plantea cuestión de inconstitucionalidad respecto de los arts. 2.1 y 2.2.2 del Real Decreto-ley 20/2012, de 13 de julio, de medidas para garantizar la estabilidad presupuestaria y de fomento de la competitividad, preceptos que, en lo que aquí importa, disponen para el personal laboral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respecto de las cuantías ya devengadas al momento de la entrada en vigor del Real Decreto-ley 20/2012.</w:t>
      </w:r>
    </w:p>
    <w:p w:rsidR="00163957" w:rsidRDefault="00163957" w:rsidP="00163957">
      <w:pPr>
        <w:pStyle w:val="TextoNormal"/>
      </w:pPr>
    </w:p>
    <w:p w:rsidR="00163957" w:rsidRDefault="00163957" w:rsidP="00163957">
      <w:pPr>
        <w:pStyle w:val="TextoNormal"/>
      </w:pPr>
      <w:r>
        <w:t>El Fiscal General del Estado coincide con el juicio de inconstitucionalidad formulado por el Auto de planteamiento de la cuestión, por lo que interesa la estimación de la misma, mientras que el Abogado del Estado solicita su desestimación.</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examen de fondo de la cuestión de inconstitucionalidad suscitada, es obligado analizar si su objeto pervive.</w:t>
      </w:r>
    </w:p>
    <w:p w:rsidR="00163957" w:rsidRDefault="00163957" w:rsidP="00163957">
      <w:pPr>
        <w:pStyle w:val="TextoNormal"/>
      </w:pPr>
    </w:p>
    <w:p w:rsidR="00163957" w:rsidRDefault="00163957" w:rsidP="00163957">
      <w:pPr>
        <w:pStyle w:val="TextoNormal"/>
      </w:pPr>
      <w:r>
        <w:t>Como consta en los antecedentes de esta resolución, el Ayuntamiento de Banyeres de Mariola ha abonado a su personal, en distintos pagos, la totalidad de la paga extraordinaria de diciembre de 2012, de conformidad con lo previsto en la disposición adicional duodécima de la Ley 36/2014, de presupuestos generales del Estado para el año 2015, el art. 1.1 del Real Decreto-ley 10/2015, de 11 de septiembre, por el que se conceden créditos extraordinarios y suplementos de crédito en el presupuesto del Estado y se adoptan otras medidas en materia de empleo público y de estímulo a la economía, y la disposición adicional duodécima de la Ley 48/2015, de 29 de octubre, de presupuestos generales del Estado para el año 2016.</w:t>
      </w:r>
    </w:p>
    <w:p w:rsidR="00163957" w:rsidRDefault="00163957" w:rsidP="00163957">
      <w:pPr>
        <w:pStyle w:val="TextoNormal"/>
      </w:pPr>
    </w:p>
    <w:p w:rsidR="00163957" w:rsidRDefault="00163957" w:rsidP="00163957">
      <w:pPr>
        <w:pStyle w:val="TextoNormal"/>
      </w:pPr>
      <w:r>
        <w:t>La recuperación del importe de la paga extra de diciembre de 2012 por el personal laboral del Ayuntamiento de Banyeres de Mariola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Declarar la extinción de la presente cuestión de inconstitucionalidad por desaparición sobrevenida de su objeto.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veinticinco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83" w:name="SENTENCIA_2016_80"/>
      <w:r>
        <w:lastRenderedPageBreak/>
        <w:t>SENTENCIA 80/2016, de 25 de abril de 2016</w:t>
      </w:r>
    </w:p>
    <w:bookmarkEnd w:id="83"/>
    <w:p w:rsidR="00163957" w:rsidRDefault="00163957" w:rsidP="00163957">
      <w:pPr>
        <w:pStyle w:val="TtuloResolucin"/>
      </w:pPr>
      <w:r>
        <w:t>Sala Segunda</w:t>
      </w:r>
    </w:p>
    <w:p w:rsidR="00163957" w:rsidRDefault="00163957" w:rsidP="00163957">
      <w:pPr>
        <w:pStyle w:val="TtuloBOE"/>
      </w:pPr>
      <w:r>
        <w:t>(BOE núm. 131, de 31 de mayo de 2016)</w:t>
      </w:r>
    </w:p>
    <w:p w:rsidR="00163957" w:rsidRDefault="00163957" w:rsidP="00163957">
      <w:pPr>
        <w:pStyle w:val="TextoNormalCentrado"/>
      </w:pPr>
      <w:r>
        <w:t>ECLI:ES:TC:2016:80</w:t>
      </w:r>
    </w:p>
    <w:p w:rsidR="00163957" w:rsidRDefault="00163957" w:rsidP="00163957">
      <w:pPr>
        <w:pStyle w:val="TextoNormalCentrado"/>
      </w:pPr>
    </w:p>
    <w:p w:rsidR="00163957" w:rsidRDefault="00163957" w:rsidP="00163957">
      <w:pPr>
        <w:pStyle w:val="SntesisDescriptiva"/>
      </w:pPr>
      <w:r>
        <w:t>Cuestión de inconstitucionalidad 5794-2014. Planteada por el Juzgado de lo Social núm. 2 de Guadalajara en relación con los artículos 2 y 6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extinción, por pérdida de objeto, de la cuestión de inconstitucionalidad (STC 83/2015).</w:t>
      </w:r>
    </w:p>
    <w:p w:rsidR="00163957" w:rsidRDefault="00163957" w:rsidP="00163957">
      <w:pPr>
        <w:pStyle w:val="SntesisAnaltica"/>
      </w:pPr>
    </w:p>
    <w:p w:rsidR="00163957" w:rsidRDefault="00163957" w:rsidP="00163957">
      <w:pPr>
        <w:pStyle w:val="Extracto"/>
      </w:pPr>
      <w:r>
        <w:t>1.</w:t>
      </w:r>
      <w:r>
        <w:tab/>
        <w:t>Siendo la satisfacción extraprocesal uno de los posibles supuestos de extinción de la cuestión de inconstitucionalidad, la recuperación del importe de la paga extra de diciembre de 2012 por el personal laboral del Ayuntamiento supone la satisfacción extraprocesal de la pretensión deducida en proceso laboral (STC 6/2010; AATC 945/1985; 485/2005) [FJ 3].</w:t>
      </w:r>
    </w:p>
    <w:p w:rsidR="00163957" w:rsidRDefault="00163957" w:rsidP="00163957">
      <w:pPr>
        <w:pStyle w:val="Extracto"/>
      </w:pPr>
    </w:p>
    <w:p w:rsidR="00163957" w:rsidRDefault="00163957" w:rsidP="00163957">
      <w:pPr>
        <w:pStyle w:val="Extracto"/>
      </w:pPr>
      <w:r>
        <w:t>2.</w:t>
      </w:r>
      <w:r>
        <w:tab/>
        <w:t>En casos en que se satisfaga la pretensión intentada, aun cuando el enjuiciamiento constitucional de una norma siga siendo posible y esta plantee un problema de interés constitucional, ya no se trataría de un juicio de constitucionalidad en concreto, al que se refiere el art. 163 CE, sino en abstracto, sin efectos para el caso, lo que resulta improcedente en toda cuestión de inconstitucionalidad (STC 83/2015) [FJ 3].</w:t>
      </w:r>
    </w:p>
    <w:p w:rsidR="00163957" w:rsidRDefault="00163957" w:rsidP="00163957">
      <w:pPr>
        <w:pStyle w:val="Extracto"/>
      </w:pPr>
    </w:p>
    <w:p w:rsidR="00163957" w:rsidRDefault="00163957" w:rsidP="00163957">
      <w:pPr>
        <w:pStyle w:val="Extracto"/>
      </w:pPr>
      <w:r>
        <w:t>3.</w:t>
      </w:r>
      <w:r>
        <w:tab/>
        <w:t>En un Auto de planteamiento de una cuestión no pueden citarse, como objeto de la misma, disposiciones legales cuya eventual inconstitucionalidad no fue sometida a la previa consideración de las partes y del Ministerio Fiscal (SSTC 25/1985; 126/1997)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la cuestión de inconstitucionalidad núm. 5794-2014, promovida por el Juzgado de lo Social núm. 2 de Guadalajara contra los arts. 2.2 y 6 del Real Decreto-ley 20/2012, de 13 </w:t>
      </w:r>
      <w:r>
        <w:lastRenderedPageBreak/>
        <w:t>de julio, de medidas para garantizar la estabilidad presupuestaria y de fomento de la competitividad, por posible vulneración del art. 9.3 CE. Han formulado alegaciones el Fiscal General del Estado y el Abogado del Estado. Ha sido Ponente el Magistrado don Antonio Narváez Rodríguez,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26 de septiembre de 2014 tuvo entrada en el Registro General de este Tribunal un oficio del Juzgado de lo Social núm. 2 de Guadalajara al que se acompaña, junto con el testimonio del procedimiento núm. 1127-2013, el Auto de 22 de julio de 2014, por el que se acuerda plantear cuestión de inconstitucionalidad en relación con los arts. 2.2 y 6 del Real Decreto-ley 20/2012, de 13 de julio, de medidas para garantizar la estabilidad presupuestaria y de fomento de la competitividad, en su aplicación a los funcionarios públicos, por posible lesión del art. 9.3 CE, sobre el principio de irretroactividad de disposiciones restrictivas de derechos individuales.</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procesales de la cuestión de inconstitucionalidad planteada son, sucintamente expuestos, los siguientes:</w:t>
      </w:r>
    </w:p>
    <w:p w:rsidR="00163957" w:rsidRDefault="00163957" w:rsidP="00163957">
      <w:pPr>
        <w:pStyle w:val="TextoNormal"/>
      </w:pPr>
    </w:p>
    <w:p w:rsidR="00163957" w:rsidRDefault="00163957" w:rsidP="00163957">
      <w:pPr>
        <w:pStyle w:val="TextoNormal"/>
      </w:pPr>
      <w:r>
        <w:t>a) La federación de servicios a la ciudadanía de Castilla-La Mancha de Comisiones Obreras interpuso demanda de conflicto colectivo contra la decisión del Ayuntamiento de Yunquera de Henares de no abonar la paga extraordinaria de diciembre de 2012 a su personal laboral, decisión adoptada en cumplimiento de lo dispuesto en el art. 2 del Real Decreto-ley 20/2012, de 13 de julio. En dicha demanda reclamaba se reconociera el derecho de dichos trabajadores a percibir la parte proporcional de la citada paga en la cuantía devengada desde el 1 de enero hasta el 15 de julio de 2012, pues, según la parte actora, su falta de abono implicaba que la parte demandada había otorgado efectos retroactivos a la norma legal, conculcando el principio de irretroactividad establecido en el art. 9.3 CE.</w:t>
      </w:r>
    </w:p>
    <w:p w:rsidR="00163957" w:rsidRDefault="00163957" w:rsidP="00163957">
      <w:pPr>
        <w:pStyle w:val="TextoNormal"/>
      </w:pPr>
    </w:p>
    <w:p w:rsidR="00163957" w:rsidRDefault="00163957" w:rsidP="00163957">
      <w:pPr>
        <w:pStyle w:val="TextoNormal"/>
      </w:pPr>
      <w:r>
        <w:t>b) Celebrado el acto del juicio el día 7 de julio de 2014, consta según la grabación aportada que, una vez oídas las partes y elevadas las conclusiones a definitivas, el Magistrado-Juez manifestó en dicho acto que el art. 2 del Real Decreto-ley 20/2012 no deja duda sobre la supresión total de la paga extraordinaria y que tal previsión puede contravenir el art. 9.3 CE, de ahí que acordó requerir a las partes para que en el plazo de diez días alegaran lo que consideraran pertinente a efectos del posible planteamiento de cuestión de inconstitucionalidad. También en ese momento anunció remitir este mismo requerimiento al Ministerio Fiscal. Una vez oído lo acordado, los Letrados de la parte demandante y de la parte demandada declararon darse por notificados y requeridos para formular las alegaciones.</w:t>
      </w:r>
    </w:p>
    <w:p w:rsidR="00163957" w:rsidRDefault="00163957" w:rsidP="00163957">
      <w:pPr>
        <w:pStyle w:val="TextoNormal"/>
      </w:pPr>
    </w:p>
    <w:p w:rsidR="00163957" w:rsidRDefault="00163957" w:rsidP="00163957">
      <w:pPr>
        <w:pStyle w:val="TextoNormal"/>
      </w:pPr>
      <w:r>
        <w:t>En la misma fecha de 7 de julio de 2014 se dicta diligencia de constancia, mediante la que se afirma que las partes comparecidas han quedado requeridas en el propio acto para que en el término de diez días desde el mismo, efectúen alegaciones respecto al posible planteamiento de una cuestión de inconstitucionalidad sobre el art. 2.2 del Real Decreto-ley 20/2012.</w:t>
      </w:r>
    </w:p>
    <w:p w:rsidR="00163957" w:rsidRDefault="00163957" w:rsidP="00163957">
      <w:pPr>
        <w:pStyle w:val="TextoNormal"/>
      </w:pPr>
    </w:p>
    <w:p w:rsidR="00163957" w:rsidRDefault="00163957" w:rsidP="00163957">
      <w:pPr>
        <w:pStyle w:val="TextoNormal"/>
      </w:pPr>
      <w:r>
        <w:lastRenderedPageBreak/>
        <w:t>También en fecha 7 de julio de 2014 se dicta providencia por el Magistrado-Juez, en la que se declara que, visto que el art. 2.2 del Real Decreto-ley 20/2012 sobre supresión completa de la paga extraordinaria de Navidad del 2012 al personal de las Administraciones públicas pudiera ser contrario a lo dispuesto en el art. 9.3 CE, se acuerda oír al Ministerio Fiscal por el plazo de diez días sobre el posible planteamiento de cuestión de inconstitucionalidad. Dicha providencia se notifica no sólo al Ministerio Fiscal, sino también a ambas partes.</w:t>
      </w:r>
    </w:p>
    <w:p w:rsidR="00163957" w:rsidRDefault="00163957" w:rsidP="00163957">
      <w:pPr>
        <w:pStyle w:val="TextoNormal"/>
      </w:pPr>
    </w:p>
    <w:p w:rsidR="00163957" w:rsidRDefault="00163957" w:rsidP="00163957">
      <w:pPr>
        <w:pStyle w:val="TextoNormal"/>
      </w:pPr>
      <w:r>
        <w:t>c) Mediante escrito registrado el 8 de julio de 2014, la parte actora presenta su escrito de alegaciones, en que considera que es posible una lectura del tenor del art. 2.2 del Real Decreto-ley 20/2012 que resulte compatible con el principio de irretroactividad previsto en el art. 9.3 CE, de ahí que solicite al Juzgado la continuación del procedimiento, con resolución del fondo de la cuestión objeto de litigio.</w:t>
      </w:r>
    </w:p>
    <w:p w:rsidR="00163957" w:rsidRDefault="00163957" w:rsidP="00163957">
      <w:pPr>
        <w:pStyle w:val="TextoNormal"/>
      </w:pPr>
    </w:p>
    <w:p w:rsidR="00163957" w:rsidRDefault="00163957" w:rsidP="00163957">
      <w:pPr>
        <w:pStyle w:val="TextoNormal"/>
      </w:pPr>
      <w:r>
        <w:t>d) Por parte del Fiscal se presenta escrito de alegaciones registrado el 18 de julio de 2014, en el que manifiesta no tener nada que oponer desde el punto de vista procedimental al planteamiento de la cuestión de inconstitucionalidad.</w:t>
      </w:r>
    </w:p>
    <w:p w:rsidR="00163957" w:rsidRDefault="00163957" w:rsidP="00163957">
      <w:pPr>
        <w:pStyle w:val="TextoNormal"/>
      </w:pPr>
    </w:p>
    <w:p w:rsidR="00163957" w:rsidRDefault="00163957" w:rsidP="00163957">
      <w:pPr>
        <w:pStyle w:val="TextoNormal"/>
      </w:pPr>
      <w:r>
        <w:t>e) La parte demandada no ha presentado escrito de alegaciones.</w:t>
      </w:r>
    </w:p>
    <w:p w:rsidR="00163957" w:rsidRDefault="00163957" w:rsidP="00163957">
      <w:pPr>
        <w:pStyle w:val="TextoNormal"/>
      </w:pPr>
    </w:p>
    <w:p w:rsidR="00163957" w:rsidRDefault="00163957" w:rsidP="00163957">
      <w:pPr>
        <w:pStyle w:val="TextoNormal"/>
      </w:pPr>
      <w:r w:rsidRPr="00163957">
        <w:rPr>
          <w:rStyle w:val="NumeroAFNegritaCaracter"/>
        </w:rPr>
        <w:t>3</w:t>
      </w:r>
      <w:r>
        <w:t>. Por Auto de 22 de julio de 2014, el Juzgado de lo Social núm. 2 de Guadalajara acordó plantear la presente cuestión de inconstitucionalidad y del análisis de su contenido interesa destacar los siguientes puntos:</w:t>
      </w:r>
    </w:p>
    <w:p w:rsidR="00163957" w:rsidRDefault="00163957" w:rsidP="00163957">
      <w:pPr>
        <w:pStyle w:val="TextoNormal"/>
      </w:pPr>
    </w:p>
    <w:p w:rsidR="00163957" w:rsidRDefault="00163957" w:rsidP="00163957">
      <w:pPr>
        <w:pStyle w:val="TextoNormal"/>
      </w:pPr>
      <w:r>
        <w:t>a) Una vez expuestos los antecedentes de hecho, el órgano judicial pone de relieve que el art. 2.2 del Real Decreto-ley 20/2012 resulta aplicable al caso y, tras señalar el carácter taxativo e inequívoco de su tenor sobre la no percepción de la gratificación extraordinaria de Navidad, da cuenta de que el art. 6 del citado Real Decreto-ley se pronuncia en términos parecidos, afirmando que dentro del personal laboral del sector público se incluye el que presta sus servicios en las corporaciones locales.</w:t>
      </w:r>
    </w:p>
    <w:p w:rsidR="00163957" w:rsidRDefault="00163957" w:rsidP="00163957">
      <w:pPr>
        <w:pStyle w:val="TextoNormal"/>
      </w:pPr>
    </w:p>
    <w:p w:rsidR="00163957" w:rsidRDefault="00163957" w:rsidP="00163957">
      <w:pPr>
        <w:pStyle w:val="TextoNormal"/>
      </w:pPr>
      <w:r>
        <w:t xml:space="preserve">b) Asimismo expone que, conforme a la jurisprudencia de la Sala IV del Tribunal Supremo, las pagas extraordinarias constituyen “salario diferido” y se devengan día a día. A su juicio, los arts. 2.2 y 6 del Real Decreto-ley 20/2012 determinan la supresión de la paga extra completa, independientemente del período devengado y no liquidado a fecha de su entrada en vigor (15 de julio de 2012). Por ello, considera que las normas cuestionadas contravienen el art. 9.3 CE, que prohíbe la retroactividad de las normas no favorables o restrictivas de derechos individuales, recordando que, conforme a la jurisprudencia constitucional, la prohibición de retroactividad afecta a efectos jurídicos ya producidos y consolidados, pero no pendientes, futuros o expectativas. En este caso, afirma, la paga extra de Navidad se encuentra devengada y producida en su parte proporcional desde su </w:t>
      </w:r>
      <w:r w:rsidRPr="00163957">
        <w:rPr>
          <w:i/>
        </w:rPr>
        <w:t>dies a quo</w:t>
      </w:r>
      <w:r>
        <w:t xml:space="preserve"> hasta la fecha de entrada en vigor del Real Decreto-ley 20/2012, de ahí que lo dispuesto en sus arts. 2.2 y 6 respecto a la supresión total de dicha paga supondría una aplicación retroactiva de una norma restrictiva de derechos ya consolidados en su parte proporcional, que estaría proscrita por el art. 9.3 CE.</w:t>
      </w:r>
    </w:p>
    <w:p w:rsidR="00163957" w:rsidRDefault="00163957" w:rsidP="00163957">
      <w:pPr>
        <w:pStyle w:val="TextoNormal"/>
      </w:pPr>
    </w:p>
    <w:p w:rsidR="00163957" w:rsidRDefault="00163957" w:rsidP="00163957">
      <w:pPr>
        <w:pStyle w:val="TextoNormal"/>
      </w:pPr>
      <w:r>
        <w:t xml:space="preserve">Por todo ello, el Magistrado-Juez resuelve plantear cuestión de inconstitucionalidad a efectos de determinar si la supresión completa de la paga extraordinaria de Navidad de 2012 </w:t>
      </w:r>
      <w:r>
        <w:lastRenderedPageBreak/>
        <w:t>del personal laboral del Ayuntamiento de Yunquera de Henares en función de lo dispuesto en los arts. 2.2 y 6 del Real Decreto-ley 20/2012 contraviene el art. 9.3 CE.</w:t>
      </w:r>
    </w:p>
    <w:p w:rsidR="00163957" w:rsidRDefault="00163957" w:rsidP="00163957">
      <w:pPr>
        <w:pStyle w:val="TextoNormal"/>
      </w:pPr>
    </w:p>
    <w:p w:rsidR="00163957" w:rsidRDefault="00163957" w:rsidP="00163957">
      <w:pPr>
        <w:pStyle w:val="TextoNormal"/>
      </w:pPr>
      <w:r w:rsidRPr="00163957">
        <w:rPr>
          <w:rStyle w:val="NumeroAFNegritaCaracter"/>
        </w:rPr>
        <w:t>4</w:t>
      </w:r>
      <w:r>
        <w:t>. El Pleno de este Tribunal, a propuesta de la Sección Cuarta, acordó admitir a trámite la cuestión mediante providencia de 4 de noviembre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Social núm. 2 de Guadalajara,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registrado el 12 de noviembre de 2014, el Presidente del Senado comunicó a este Tribunal el acuerdo de la Mesa para que se diera por personada a la Cámara y por ofrecida su colaboración a los efectos del art. 88.1 LOTC.</w:t>
      </w:r>
    </w:p>
    <w:p w:rsidR="00163957" w:rsidRDefault="00163957" w:rsidP="00163957">
      <w:pPr>
        <w:pStyle w:val="TextoNormal"/>
      </w:pPr>
    </w:p>
    <w:p w:rsidR="00163957" w:rsidRDefault="00163957" w:rsidP="00163957">
      <w:pPr>
        <w:pStyle w:val="TextoNormal"/>
      </w:pPr>
      <w:r>
        <w:t>Por escrito registrado el 13 de noviembre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rsidRPr="00163957">
        <w:rPr>
          <w:rStyle w:val="NumeroAFNegritaCaracter"/>
        </w:rPr>
        <w:t>6</w:t>
      </w:r>
      <w:r>
        <w:t>. El Fiscal General del Estado presentó escrito de alegaciones ante este Tribunal el 24 de noviembre de 2014 interesando la estimación de la presente cuestión de inconstitucionalidad.</w:t>
      </w:r>
    </w:p>
    <w:p w:rsidR="00163957" w:rsidRDefault="00163957" w:rsidP="00163957">
      <w:pPr>
        <w:pStyle w:val="TextoNormal"/>
      </w:pPr>
    </w:p>
    <w:p w:rsidR="00163957" w:rsidRDefault="00163957" w:rsidP="00163957">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163957" w:rsidRDefault="00163957" w:rsidP="00163957">
      <w:pPr>
        <w:pStyle w:val="TextoNormal"/>
      </w:pPr>
    </w:p>
    <w:p w:rsidR="00163957" w:rsidRDefault="00163957" w:rsidP="00163957">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w:t>
      </w:r>
      <w:r>
        <w:lastRenderedPageBreak/>
        <w:t xml:space="preserve">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163957">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El Fiscal General del Estado concluye sus alegaciones precisando que en el Auto de planteamiento no se cuestiona todo el art. 2 del Real Decreto-ley 20/2012 sino en concreto, su apartado 2.2 ya que es éste el que resulta aplicable para resolver el pleito sometido a su conocimiento y relevante en cuanto el recurso del proceso subyacente se refiere exclusivamente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7</w:t>
      </w:r>
      <w:r>
        <w:t>. El Abogado del Estado, mediante escrito de alegaciones registrado el 25 de noviembre de 2014, se personó interesando la desestimación de la cuestión de inconstitucionalidad por las razones que, resumidamente, se exponen a continuación.</w:t>
      </w:r>
    </w:p>
    <w:p w:rsidR="00163957" w:rsidRDefault="00163957" w:rsidP="00163957">
      <w:pPr>
        <w:pStyle w:val="TextoNormal"/>
      </w:pPr>
    </w:p>
    <w:p w:rsidR="00163957" w:rsidRDefault="00163957" w:rsidP="00163957">
      <w:pPr>
        <w:pStyle w:val="TextoNormal"/>
      </w:pPr>
      <w:r>
        <w:t>Comienza señalando que el Juzgado no se cuestiona genéricamente la supresión de la paga extra al personal laboral,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163957" w:rsidRDefault="00163957" w:rsidP="00163957">
      <w:pPr>
        <w:pStyle w:val="TextoNormal"/>
      </w:pPr>
    </w:p>
    <w:p w:rsidR="00163957" w:rsidRDefault="00163957" w:rsidP="00163957">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163957" w:rsidRDefault="00163957" w:rsidP="00163957">
      <w:pPr>
        <w:pStyle w:val="TextoNormal"/>
      </w:pPr>
    </w:p>
    <w:p w:rsidR="00163957" w:rsidRDefault="00163957" w:rsidP="00163957">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163957" w:rsidRDefault="00163957" w:rsidP="00163957">
      <w:pPr>
        <w:pStyle w:val="TextoNormal"/>
      </w:pPr>
    </w:p>
    <w:p w:rsidR="00163957" w:rsidRDefault="00163957" w:rsidP="00163957">
      <w:pPr>
        <w:pStyle w:val="TextoNormal"/>
      </w:pPr>
      <w: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w:t>
      </w:r>
      <w:r>
        <w:lastRenderedPageBreak/>
        <w:t>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163957" w:rsidRDefault="00163957" w:rsidP="00163957">
      <w:pPr>
        <w:pStyle w:val="TextoNormal"/>
      </w:pPr>
    </w:p>
    <w:p w:rsidR="00163957" w:rsidRDefault="00163957" w:rsidP="00163957">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163957" w:rsidRDefault="00163957" w:rsidP="00163957">
      <w:pPr>
        <w:pStyle w:val="TextoNormal"/>
      </w:pPr>
    </w:p>
    <w:p w:rsidR="00163957" w:rsidRDefault="00163957" w:rsidP="00163957">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163957" w:rsidRDefault="00163957" w:rsidP="00163957">
      <w:pPr>
        <w:pStyle w:val="TextoNormal"/>
      </w:pPr>
    </w:p>
    <w:p w:rsidR="00163957" w:rsidRDefault="00163957" w:rsidP="00163957">
      <w:pPr>
        <w:pStyle w:val="TextoNormal"/>
      </w:pPr>
      <w:r>
        <w:t>Por todo ello, se interesa la desestimación de la cuestión.</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Por providencia de 28 de mayo de 2015 la Sala Segunda acordó, de conformidad con lo dispuesto en el art. 88 LOTC, dirigir atenta comunicación al Ayuntamiento de Yunquera </w:t>
      </w:r>
      <w:r>
        <w:lastRenderedPageBreak/>
        <w:t>de Henares, a fin de que indique a este Tribunal si, en atención a lo previsto en la disposición adicional segunda de la Ley 36/2014, de presupuestos generales del Estado para el año 2015, o por cualquier otra circunstancia, ha satisfecho al personal laboral de ese ayuntamiento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163957" w:rsidRDefault="00163957" w:rsidP="00163957">
      <w:pPr>
        <w:pStyle w:val="TextoNormal"/>
      </w:pPr>
    </w:p>
    <w:p w:rsidR="00163957" w:rsidRDefault="00163957" w:rsidP="00163957">
      <w:pPr>
        <w:pStyle w:val="TextoNormal"/>
      </w:pPr>
      <w:r w:rsidRPr="00163957">
        <w:rPr>
          <w:rStyle w:val="NumeroAFNegritaCaracter"/>
        </w:rPr>
        <w:t>9</w:t>
      </w:r>
      <w:r>
        <w:t>. En contestación a dicha providencia el Ayuntamiento de Yunquera de Henares, mediante escrito registrado en este Tribunal el 19 de junio de 2015, comunicó que “mediante Decreto de 25 de febrero de 2015 se acordó abonar al personal laboral la parte proporcional de la paga extraordinaria y del complemento específico del mes de diciembre de 2012, computándose el importe percibido a los primeros 44 días”.</w:t>
      </w:r>
    </w:p>
    <w:p w:rsidR="00163957" w:rsidRDefault="00163957" w:rsidP="00163957">
      <w:pPr>
        <w:pStyle w:val="TextoNormal"/>
      </w:pPr>
    </w:p>
    <w:p w:rsidR="00163957" w:rsidRDefault="00163957" w:rsidP="00163957">
      <w:pPr>
        <w:pStyle w:val="TextoNormal"/>
      </w:pPr>
      <w:r w:rsidRPr="00163957">
        <w:rPr>
          <w:rStyle w:val="NumeroAFNegritaCaracter"/>
        </w:rPr>
        <w:t>10</w:t>
      </w:r>
      <w:r>
        <w:t>. Por escrito de la Secretaría de Justicia del Pleno de 13 de noviembre de 2015, y como complemento de la comunicación del Ayuntamiento de Yunquera de Henares, se solicitó al mismo que indicara a este Tribunal si con posterioridad a esa fecha y en atención a lo previsto en el Real Decreto-ley 10/2015, ha sido abonada alguna otra cantidad y el número de días de la referida paga a la que corresponde la cuantía abonada.</w:t>
      </w:r>
    </w:p>
    <w:p w:rsidR="00163957" w:rsidRDefault="00163957" w:rsidP="00163957">
      <w:pPr>
        <w:pStyle w:val="TextoNormal"/>
      </w:pPr>
    </w:p>
    <w:p w:rsidR="00163957" w:rsidRDefault="00163957" w:rsidP="00163957">
      <w:pPr>
        <w:pStyle w:val="TextoNormal"/>
      </w:pPr>
      <w:r w:rsidRPr="00163957">
        <w:rPr>
          <w:rStyle w:val="NumeroAFNegritaCaracter"/>
        </w:rPr>
        <w:t>11</w:t>
      </w:r>
      <w:r>
        <w:t>. El Ayuntamiento de Yunquera de Henares, por escrito registrado el 18 de noviembre de 2015, comunicó a este Tribunal que “conforme a lo establecido en el Real Decreto-ley 10/2015, de 11 de septiembre, mediante Decreto de Alcaldía de fecha 22-9-2015, se ha ordenado la devolución al personal de este Ayuntamiento de las cantidades que figuran en concepto de paga extraordinaria correspondiente al mes de diciembre de 2012 (segundo pago parcial). Que el importe resultante ha sido abonado a los trabajadores afectados en las nóminas del mes de septiembre de este año. Las cantidades abonadas se corresponden con 48 días de la paga extraordinaria”.</w:t>
      </w:r>
    </w:p>
    <w:p w:rsidR="00163957" w:rsidRDefault="00163957" w:rsidP="00163957">
      <w:pPr>
        <w:pStyle w:val="TextoNormal"/>
      </w:pPr>
    </w:p>
    <w:p w:rsidR="00163957" w:rsidRDefault="00163957" w:rsidP="00163957">
      <w:pPr>
        <w:pStyle w:val="TextoNormal"/>
      </w:pPr>
      <w:r w:rsidRPr="00163957">
        <w:rPr>
          <w:rStyle w:val="NumeroAFNegritaCaracter"/>
        </w:rPr>
        <w:t>12</w:t>
      </w:r>
      <w:r>
        <w:t>. El 30 de marzo de 2016 la Secretaría de Justicia del Pleno dirige escrito al Ayuntamiento de Yunquera de Henares con el ruego de que se indique a este Tribunal, como complemento de las comunicaciones de 19 de junio y 18 de noviembre de 2015, si en atención a lo previsto en la Ley 48/2015, de 29 de octubre, de presupuestos generales del Estado para el año 2016, ha sido abonada alguna otra cantidad en concepto de paga extraordinaria de 2012 y el número de días de la referida paga a la que corresponde la cuantía abonada.</w:t>
      </w:r>
    </w:p>
    <w:p w:rsidR="00163957" w:rsidRDefault="00163957" w:rsidP="00163957">
      <w:pPr>
        <w:pStyle w:val="TextoNormal"/>
      </w:pPr>
    </w:p>
    <w:p w:rsidR="00163957" w:rsidRDefault="00163957" w:rsidP="00163957">
      <w:pPr>
        <w:pStyle w:val="TextoNormal"/>
      </w:pPr>
      <w:r w:rsidRPr="00163957">
        <w:rPr>
          <w:rStyle w:val="NumeroAFNegritaCaracter"/>
        </w:rPr>
        <w:t>13</w:t>
      </w:r>
      <w:r>
        <w:t>. Por escrito registrado el 11 de abril de 2016, el Ayuntamiento de Yunquera de Henares comunica a este Tribunal que “conforme a lo establecido en la disposición adicional duodécima de la ley 48/2015, de 29 de octubre, de Presupuestos Generales del Estado para el año 2016, mediante Decreto de Alcaldía de fecha 25-2-2016, se ha ordenado la devolución al personal de este Ayuntamiento de las cantidades que figuran en el expediente en concepto de paga extraordinaria correspondiente al mes de diciembre de 2012 (tercer y último pago parcial). Que el importe resultante ha sido abonado a los trabajadores afectados en las nóminas del mes de febrero de este año. La cantidades abonadas se corresponden con 91 días de la paga extraordinaria, lo que en términos porcentuales supone el 49,73 por ciento”.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14</w:t>
      </w:r>
      <w:r>
        <w:t>. Por providencia de 21 de abril de 2016, se señaló para deliberación y votación de la presente Sentencia el día 25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Juzgado de lo Social núm. 2 de Guadalajara plantea cuestión de inconstitucionalidad respecto de los arts. 2.2 y 6 del Real Decreto-ley 20/2012, de 13 de julio, de medidas para garantizar la estabilidad presupuestaria y de fomento de la competitividad, preceptos que, en lo que aquí importa, disponen para el personal laboral del sector público, la supresión de la paga extraordinaria y de la paga adicional de complemento específico o pagas adicionales equivalentes del mes de diciembre de 2012. En síntesis, el Juzgado entiende que los citados artículos, en su aplicación al personal laboral,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w:t>
      </w:r>
    </w:p>
    <w:p w:rsidR="00163957" w:rsidRDefault="00163957" w:rsidP="00163957">
      <w:pPr>
        <w:pStyle w:val="TextoNormal"/>
      </w:pPr>
    </w:p>
    <w:p w:rsidR="00163957" w:rsidRDefault="00163957" w:rsidP="00163957">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análisis de la cuestión planteada conviene realizar una serie de precisiones para acotar debidamente el objeto de la misma y el alcance de nuestro enjuiciamiento.</w:t>
      </w:r>
    </w:p>
    <w:p w:rsidR="00163957" w:rsidRDefault="00163957" w:rsidP="00163957">
      <w:pPr>
        <w:pStyle w:val="TextoNormal"/>
      </w:pPr>
    </w:p>
    <w:p w:rsidR="00163957" w:rsidRDefault="00163957" w:rsidP="00163957">
      <w:pPr>
        <w:pStyle w:val="TextoNormal"/>
      </w:pPr>
      <w:r>
        <w:t>a) Así, en primer lugar, resulta obligado advertir, que el Juzgado de lo Social núm. 2 de Guadalajara cuestiona los arts. 2.2 y 6 del Real Decreto-ley 20/2012. Ahora bien, en el acto del juicio, la audiencia a las partes se concede respecto al art. 2 del Real Decreto-ley 20/2012. En la diligencia de constancia se precisa que la audiencia se concede respecto al posible planteamiento de cuestión de inconstitucionalidad sobre el art. 2.2 del Real Decreto-ley 20/2012 y en la providencia por la que se da audiencia al Ministerio Fiscal también se alude exclusivamente al art. 2.2 del Real Decreto-ley 20/2012. Sin embargo, el Auto de planteamiento eleva la cuestión respecto a los arts. 2.2 y 6 del Real Decreto-ley 20/2012.</w:t>
      </w:r>
    </w:p>
    <w:p w:rsidR="00163957" w:rsidRDefault="00163957" w:rsidP="00163957">
      <w:pPr>
        <w:pStyle w:val="TextoNormal"/>
      </w:pPr>
    </w:p>
    <w:p w:rsidR="00163957" w:rsidRDefault="00163957" w:rsidP="00163957">
      <w:pPr>
        <w:pStyle w:val="TextoNormal"/>
      </w:pPr>
      <w:r>
        <w:t>Esta falta de coincidencia entre los preceptos legales cuestionados sobre los que se abre el trámite de audiencia y los que finalmente se reflejan en el Auto de planteamiento impide a este Tribunal extender su enjuiciamiento al art. 6 del Real Decreto-ley 20/2012, de conformidad con una reiterada doctrina que excluye que en el Auto de planteamiento de una cuestión puedan citarse, como objeto de la misma, disposiciones legales cuya eventual inconstitucionalidad no fue sometida a la previa consideración de las partes y del Ministerio Fiscal (entre otras, SSTC 25/1985, FJ 2; 83/1993, FJ 1; 114/1994, FJ 2, y 126/1997, FJ 4). En consecuencia, ha de entenderse que el objeto de la cuestión de inconstitucionalidad queda limitado al art. 2.2 del Real Decreto-ley 20/2012, sin perjuicio de la indudable conexión de su contenido con el art. 6 de dicho Real Decreto-ley.</w:t>
      </w:r>
    </w:p>
    <w:p w:rsidR="00163957" w:rsidRDefault="00163957" w:rsidP="00163957">
      <w:pPr>
        <w:pStyle w:val="TextoNormal"/>
      </w:pPr>
    </w:p>
    <w:p w:rsidR="00163957" w:rsidRDefault="00163957" w:rsidP="00163957">
      <w:pPr>
        <w:pStyle w:val="TextoNormal"/>
      </w:pPr>
      <w:r>
        <w:lastRenderedPageBreak/>
        <w:t>b) En segundo lugar, debe también tenerse en cuenta que el Juzgado de lo Social núm. 2 de Guadalajara cuestiona el precepto señalado en su aplicación al personal laboral. Ello se conecta lógicamente con el juicio de relevancia, correctamente expresado por el órgano judicial, pues la cuestión de inconstitucionalidad trae causa de un proceso promovido por la federación de servicios a la ciudadanía del sindicato Comisiones Obreras en Castilla La Mancha con motivo de la supresión por el Ayuntamiento de Yunquera de Henares, por aplicación de las previsiones contenidas en el Real Decreto-ley 20/2012, de la paga o gratificación extraordinaria de diciembre de 2012 al personal laboral de dicho ayuntamiento, proceso en el que lo pretendido es justamente que se declare su derecho a percibir la parte proporcional de la paga extra de diciembre de 2012 que consideran ya devengada al momento de la entrada en vigor del Real Decreto-ley 20/2012, porque, de acuerdo con el art. 9.3 CE, no cabe que la supresión de esa paga extra tenga efectos retroactivos.</w:t>
      </w:r>
    </w:p>
    <w:p w:rsidR="00163957" w:rsidRDefault="00163957" w:rsidP="00163957">
      <w:pPr>
        <w:pStyle w:val="TextoNormal"/>
      </w:pPr>
    </w:p>
    <w:p w:rsidR="00163957" w:rsidRDefault="00163957" w:rsidP="00163957">
      <w:pPr>
        <w:pStyle w:val="TextoNormal"/>
      </w:pPr>
      <w:r>
        <w:t>c) Por último, debe señalarse que no se cuestiona por el Juzgado de lo Social núm. 2 de Guadalajara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 constitucionalidad deberá, pues, ceñirse nuestro enjuiciamiento.</w:t>
      </w:r>
    </w:p>
    <w:p w:rsidR="00163957" w:rsidRDefault="00163957" w:rsidP="00163957">
      <w:pPr>
        <w:pStyle w:val="TextoNormal"/>
      </w:pPr>
    </w:p>
    <w:p w:rsidR="00163957" w:rsidRDefault="00163957" w:rsidP="00163957">
      <w:pPr>
        <w:pStyle w:val="TextoNormal"/>
      </w:pPr>
      <w:r w:rsidRPr="00163957">
        <w:rPr>
          <w:rStyle w:val="NumeroAFNegritaCaracter"/>
        </w:rPr>
        <w:t>3</w:t>
      </w:r>
      <w:r>
        <w:t>.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00163957" w:rsidRDefault="00163957" w:rsidP="00163957">
      <w:pPr>
        <w:pStyle w:val="TextoNormal"/>
      </w:pPr>
    </w:p>
    <w:p w:rsidR="00163957" w:rsidRDefault="00163957" w:rsidP="00163957">
      <w:pPr>
        <w:pStyle w:val="TextoNormal"/>
      </w:pPr>
      <w:r>
        <w:t>Como consta en los antecedentes de esta resolución, en virtud de lo dispuesto en dicha norma el Ayuntamiento de Yunquera de Henares acordó, mediante Decreto de 25 de febrero de 2015, abonar al personal laboral de dicho ayuntamiento 44 días de la paga extraordinaria y del complemento específico del mes de diciembre de 2012.</w:t>
      </w:r>
    </w:p>
    <w:p w:rsidR="00163957" w:rsidRDefault="00163957" w:rsidP="00163957">
      <w:pPr>
        <w:pStyle w:val="TextoNormal"/>
      </w:pPr>
    </w:p>
    <w:p w:rsidR="00163957" w:rsidRDefault="00163957" w:rsidP="00163957">
      <w:pPr>
        <w:pStyle w:val="TextoNormal"/>
      </w:pPr>
      <w:r>
        <w:t>Asimismo, el art. 1.1 del Real Decreto-ley 10/2015, de 11 de septiembre, por el que se conceden créditos extraordinarios y suplementos de crédito en el presupuesto del Estado y se adoptan otras medidas en materia de empleo público y de estímulo a la economía, señala que “las distintas Administraciones públicas, así como sus entes dependientes y vinculados, abonarán dentro del ejercicio 2015, y por una sola vez, una retribución de carácter extraordinario cuyo importe será el equivalente a 48 días o al 26,23 por ciento de los importes dejados de percibir como consecuencia de la supresión de la paga extraordinaria, así como de la paga adicional de complemento específico o pagas adicionales equivalentes, correspondientes al mes de diciembre de 2012, por aplicación del Real Decreto-ley 20/2012, de 13 de julio, de medidas para garantizar la estabilidad presupuestaria y de fomento de la competitividad, con el alcance y límites establecidos en el presente artículo”.</w:t>
      </w:r>
    </w:p>
    <w:p w:rsidR="00163957" w:rsidRDefault="00163957" w:rsidP="00163957">
      <w:pPr>
        <w:pStyle w:val="TextoNormal"/>
      </w:pPr>
    </w:p>
    <w:p w:rsidR="00163957" w:rsidRDefault="00163957" w:rsidP="00163957">
      <w:pPr>
        <w:pStyle w:val="TextoNormal"/>
      </w:pPr>
      <w:r>
        <w:lastRenderedPageBreak/>
        <w:t>Pues bien, tal y como comunicó el Ayuntamiento de Yunquera de Henares a este Tribunal, dicho ayuntamiento acordó, conforme a lo establecido en el Real Decreto-ley 10/2015, mediante Decreto de Alcaldía de 22 de septiembre de 2015, devolver a su personal 48 días de la paga extraordinaria de 2012 (segundo pago parcial).</w:t>
      </w:r>
    </w:p>
    <w:p w:rsidR="00163957" w:rsidRDefault="00163957" w:rsidP="00163957">
      <w:pPr>
        <w:pStyle w:val="TextoNormal"/>
      </w:pPr>
    </w:p>
    <w:p w:rsidR="00163957" w:rsidRDefault="00163957" w:rsidP="00163957">
      <w:pPr>
        <w:pStyle w:val="TextoNormal"/>
      </w:pPr>
      <w:r>
        <w:t>Por último, la disposición adicional duodécima de la Ley 48/2015, de 29 de octubre, de presupuestos generales del Estado para el año 2016, prevé en su apartado 1 que “cada Administración Pública, en su ámbito, podrá aprobar dentro del ejercicio 2016, y por una sola vez, una retribución de carácter extraordinario cuyo importe será el equivalente a las cantidades aún no recuperadas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 Y según establece el apartado 2 “las cantidades que, en cumplimiento de esta disposición adicional, podrán abonarse por este concepto, sobre el importe dejado de percibir por cada empleado en aplicación del artículo 2 del Real Decreto-ley 20/2012, serán las equivalentes a la parte proporcional correspondiente a 91 días de la paga extraordinaria, paga adicional de complemento específico y pagas adicionales del mes de diciembre”.</w:t>
      </w:r>
    </w:p>
    <w:p w:rsidR="00163957" w:rsidRDefault="00163957" w:rsidP="00163957">
      <w:pPr>
        <w:pStyle w:val="TextoNormal"/>
      </w:pPr>
    </w:p>
    <w:p w:rsidR="00163957" w:rsidRDefault="00163957" w:rsidP="00163957">
      <w:pPr>
        <w:pStyle w:val="TextoNormal"/>
      </w:pPr>
      <w:r>
        <w:t>De conformidad con lo dispuesto en esta disposición adicional de la Ley 48/2015, el Ayuntamiento de Yunquera de Henares, mediante Decreto de Alcaldía de 25 de febrero de 2016, ordenó la devolución a su personal de las cantidades correspondientes a 91 días de la paga extraordinaria, lo que en términos porcentuales supone el 49,73 por 100 (tercer y último pago parcial).</w:t>
      </w:r>
    </w:p>
    <w:p w:rsidR="00163957" w:rsidRDefault="00163957" w:rsidP="00163957">
      <w:pPr>
        <w:pStyle w:val="TextoNormal"/>
      </w:pPr>
    </w:p>
    <w:p w:rsidR="00163957" w:rsidRDefault="00163957" w:rsidP="00163957">
      <w:pPr>
        <w:pStyle w:val="TextoNormal"/>
      </w:pPr>
      <w:r>
        <w:t>En consecuencia, la recuperación íntegra, a través de los tres pagos señalados, de la paga extraordinaria de diciembre de 2012 por el personal laboral del Ayuntamiento de Yunquera de Henares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(STC 83/2015, FJ 3),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83/2015, FJ 3; y en el mismo sentido AATC 340/2003, de 21 de octubre, FJ único; y 75/2004, de 9 de marzo, FJ único)” (STC 83/2015, FJ 3).</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lastRenderedPageBreak/>
        <w:t>Ha decidido</w:t>
      </w:r>
    </w:p>
    <w:p w:rsidR="00163957" w:rsidRDefault="00163957" w:rsidP="00163957">
      <w:pPr>
        <w:pStyle w:val="TextoNormalCentrado"/>
        <w:keepNext/>
      </w:pPr>
    </w:p>
    <w:p w:rsidR="00163957" w:rsidRDefault="00163957" w:rsidP="00163957">
      <w:pPr>
        <w:pStyle w:val="TextoNormal"/>
      </w:pPr>
      <w:r>
        <w:t>Declarar la extinción de la presente cuestión de inconstitucionalidad núm. 5794-2014 por desaparición sobrevenida de su objeto.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veinticinco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84" w:name="SENTENCIA_2016_81"/>
      <w:r>
        <w:lastRenderedPageBreak/>
        <w:t>SENTENCIA 81/2016, de 25 de abril de 2016</w:t>
      </w:r>
    </w:p>
    <w:bookmarkEnd w:id="84"/>
    <w:p w:rsidR="00163957" w:rsidRDefault="00163957" w:rsidP="00163957">
      <w:pPr>
        <w:pStyle w:val="TtuloResolucin"/>
      </w:pPr>
      <w:r>
        <w:t>Sala Primera</w:t>
      </w:r>
    </w:p>
    <w:p w:rsidR="00163957" w:rsidRDefault="00163957" w:rsidP="00163957">
      <w:pPr>
        <w:pStyle w:val="TtuloBOE"/>
      </w:pPr>
      <w:r>
        <w:t>(BOE núm. 131, de 31 de mayo de 2016)</w:t>
      </w:r>
    </w:p>
    <w:p w:rsidR="00163957" w:rsidRDefault="00163957" w:rsidP="00163957">
      <w:pPr>
        <w:pStyle w:val="TextoNormalCentrado"/>
      </w:pPr>
      <w:r>
        <w:t>ECLI:ES:TC:2016:81</w:t>
      </w:r>
    </w:p>
    <w:p w:rsidR="00163957" w:rsidRDefault="00163957" w:rsidP="00163957">
      <w:pPr>
        <w:pStyle w:val="TextoNormalCentrado"/>
      </w:pPr>
    </w:p>
    <w:p w:rsidR="00163957" w:rsidRDefault="00163957" w:rsidP="00163957">
      <w:pPr>
        <w:pStyle w:val="SntesisDescriptiva"/>
      </w:pPr>
      <w:r>
        <w:t>Cuestión de inconstitucionalidad 7331-2015. Planteada por la Sala de lo Contencioso-Administrativo de la Audiencia Nacional en relación con la letra c) de la disposición adicional decimoquinta de la Ley 51/2007, de 26 de diciembre, de presupuestos generales del Estado para el año 2008.</w:t>
      </w:r>
    </w:p>
    <w:p w:rsidR="00163957" w:rsidRDefault="00163957" w:rsidP="00163957">
      <w:pPr>
        <w:pStyle w:val="SntesisDescriptiva"/>
      </w:pPr>
    </w:p>
    <w:p w:rsidR="00163957" w:rsidRDefault="00163957" w:rsidP="00163957">
      <w:pPr>
        <w:pStyle w:val="SntesisAnaltica"/>
      </w:pPr>
      <w:r>
        <w:t>Principio de igualdad ante la ley: nulidad del precepto legal que supedita el disfrute del derecho a la pensión de viudedad que en él se establece a que el causante y el beneficiario hubieran tenido hijos comunes (STC 41/2013). Voto particular.</w:t>
      </w:r>
    </w:p>
    <w:p w:rsidR="00163957" w:rsidRDefault="00163957" w:rsidP="00163957">
      <w:pPr>
        <w:pStyle w:val="SntesisAnaltica"/>
      </w:pPr>
    </w:p>
    <w:p w:rsidR="00163957" w:rsidRDefault="00163957" w:rsidP="00163957">
      <w:pPr>
        <w:pStyle w:val="Extracto"/>
      </w:pPr>
      <w:r>
        <w:t>1.</w:t>
      </w:r>
      <w:r>
        <w:tab/>
        <w:t>Es inconstitucional y nulo, por vulneración directa del principio de igualdad ante la ley, el requisito legal por el que se determina que la pareja de hecho del causante tendrá derecho a la pensión de viudedad en la medida en que haya tenido hijos en común con éste [FJ 3].</w:t>
      </w:r>
    </w:p>
    <w:p w:rsidR="00163957" w:rsidRDefault="00163957" w:rsidP="00163957">
      <w:pPr>
        <w:pStyle w:val="Extracto"/>
      </w:pPr>
    </w:p>
    <w:p w:rsidR="00163957" w:rsidRDefault="00163957" w:rsidP="00163957">
      <w:pPr>
        <w:pStyle w:val="Extracto"/>
      </w:pPr>
      <w:r>
        <w:t>2.</w:t>
      </w:r>
      <w:r>
        <w:tab/>
        <w:t xml:space="preserve">El requisito legal cuestionado no puede ser entendido como un indicador inequívoco de la existencia efectiva de la relación de convivencia </w:t>
      </w:r>
      <w:r w:rsidRPr="00163957">
        <w:rPr>
          <w:i/>
        </w:rPr>
        <w:t>more uxorio</w:t>
      </w:r>
      <w:r>
        <w:t>, ya que haber tenido hijos en común no acredita una mayor estabilidad de la unión de hecho, ni constituye el único medio de prueba posible de dicha estabilidad [FJ 2].</w:t>
      </w:r>
    </w:p>
    <w:p w:rsidR="00163957" w:rsidRDefault="00163957" w:rsidP="00163957">
      <w:pPr>
        <w:pStyle w:val="Extracto"/>
      </w:pPr>
    </w:p>
    <w:p w:rsidR="00163957" w:rsidRDefault="00163957" w:rsidP="00163957">
      <w:pPr>
        <w:pStyle w:val="Extracto"/>
      </w:pPr>
      <w:r>
        <w:t>3.</w:t>
      </w:r>
      <w:r>
        <w:tab/>
        <w:t>La mayor dependencia económica que podría suponer la existencia de hijos en común de la pareja de hecho a cargo del miembro supérstite no es una justificación objetiva del requisito legal cuestionado: lo relevante para el legislador es, exclusivamente, la existencia de descendencia en común y no la referida dependencia económica [FJ 2].</w:t>
      </w:r>
    </w:p>
    <w:p w:rsidR="00163957" w:rsidRDefault="00163957" w:rsidP="00163957">
      <w:pPr>
        <w:pStyle w:val="Extracto"/>
      </w:pPr>
    </w:p>
    <w:p w:rsidR="00163957" w:rsidRDefault="00163957" w:rsidP="00163957">
      <w:pPr>
        <w:pStyle w:val="Extracto"/>
      </w:pPr>
      <w:r>
        <w:t>4.</w:t>
      </w:r>
      <w:r>
        <w:tab/>
        <w:t>El requisito legal cuestionado constituye una directa vulneración del principio de igualdad ante la ley, pues la diferencia de trato que se establece entre parejas de hecho, sobre la base de que hubieran tenido o no hijos en común, no obedece a ninguna razón objetivamente justificada, relacionada con la propia finalidad de la pensión de viudedad, impidiendo a determinadas personas el acceso a la protección dispensada por dicha pensión [FJ 2].</w:t>
      </w:r>
    </w:p>
    <w:p w:rsidR="00163957" w:rsidRDefault="00163957" w:rsidP="00163957">
      <w:pPr>
        <w:pStyle w:val="Extracto"/>
      </w:pPr>
    </w:p>
    <w:p w:rsidR="00163957" w:rsidRDefault="00163957" w:rsidP="00163957">
      <w:pPr>
        <w:pStyle w:val="Extracto"/>
      </w:pPr>
      <w:r>
        <w:t>5.</w:t>
      </w:r>
      <w:r>
        <w:tab/>
        <w:t>Doctrina sobre la constitucionalidad de la diferencia de trato de acuerdo a la cláusula general de igualdad del art. 14 CE (STC 41/2013)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lastRenderedPageBreak/>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7331-2015, planteada por la Sección Séptima de la Sala de lo Contencioso Administrativo de la Audiencia Nacional en relación con la letra c) de la disposición adicional decimoquinta de la Ley 51/2007, de 26 de diciembre, de Presupuestos Generales del Estado para el año 2008. Han comparecido y formulado alegaciones el Abogado del Estado, la Fiscal General del Estado y doña Concepción Indarte Aparicio representada por la Procuradora doña Ana María Arauz de Robles Villalón. Ha sido Ponente el Magistrado don Santiago Martínez-Vares García,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Con fecha 23 de diciembre de 2015 tuvo entrada en el Registro General del Tribunal Constitucional escrito de la Sección Séptima de la Sala de lo Contencioso-Administrativo de la Audiencia Nacional al que se acompaña, además del testimonio del procedimiento Auto de 3 de diciembre de 2015, por el que se acuerda plantear cuestión de inconstitucionalidad en relación con la letra c) de la disposición adicional decimoquinta de la Ley 51/2007, de 26 de diciembre, de presupuestos generales del Estado para el año 2008, al poder ser contraria al art. 14, en relación con el art. 9.2, ambos de la Constitución.</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de los que trae causa la cuestión de inconstitucionalidad planteada son, sucintamente expuestos, los siguientes:</w:t>
      </w:r>
    </w:p>
    <w:p w:rsidR="00163957" w:rsidRDefault="00163957" w:rsidP="00163957">
      <w:pPr>
        <w:pStyle w:val="TextoNormal"/>
      </w:pPr>
    </w:p>
    <w:p w:rsidR="00163957" w:rsidRDefault="00163957" w:rsidP="00163957">
      <w:pPr>
        <w:pStyle w:val="TextoNormal"/>
      </w:pPr>
      <w:r>
        <w:t>a) Doña Concepción Indarte Aparicio solicitó el 19 de septiembre de 2006 la pensión que pudiera corresponderle como pareja de hecho de don J.G.G., fallecido el 24 de agosto de 2006, que era pensionista, al amparo del título II de la Ley 37/1984. La Dirección General de Costes de Personal y Pensiones Públicas le denegó la solicitud de pensión por acuerdo de 20 de octubre de 2006, dada la inexistencia de vínculo conyugal con el causante. Recurrido en reposición el citado acuerdo fue desestimado por resolución de 7 de febrero de 2007, reiterando que de acuerdo con la legislación vigente al tiempo de fallecer el causante, solo tenían derecho a la pensión de viudedad quienes fueran o hubieran sido cónyuge del causante. Las anteriores resoluciones denegatorias fueron impugnadas mediante reclamación económico-administrativa que fue desestimada por el Tribunal Económico-Administrativo Central por resolución de 12 de septiembre de 2007, que no consta fuera recurrida ante la jurisdicción contencioso-administrativa por la solicitante.</w:t>
      </w:r>
    </w:p>
    <w:p w:rsidR="00163957" w:rsidRDefault="00163957" w:rsidP="00163957">
      <w:pPr>
        <w:pStyle w:val="TextoNormal"/>
      </w:pPr>
    </w:p>
    <w:p w:rsidR="00163957" w:rsidRDefault="00163957" w:rsidP="00163957">
      <w:pPr>
        <w:pStyle w:val="TextoNormal"/>
      </w:pPr>
      <w:r>
        <w:t xml:space="preserve">b) Con fecha 14 de enero de 2008, doña Concepción Indarte Aparicio solicitó nuevamente pensión de viudedad como pareja de hecho de don J.G.G, al considerar que reunía los requisitos establecidos en la disposición adicional decimoquinta de la Ley 51/2007, de </w:t>
      </w:r>
      <w:r>
        <w:lastRenderedPageBreak/>
        <w:t>26 diciembre, aportando certificado extendido por la Secretaría General Técnica de la Comunidad Autónoma de Madrid, en el que se hacía constar que figuraban inscritos en el registro de uniones de hecho desde el 5 de febrero de 1997, formando una unión de las previstas en el art. 1 de la Ley 11/2001, de 19 diciembre.</w:t>
      </w:r>
    </w:p>
    <w:p w:rsidR="00163957" w:rsidRDefault="00163957" w:rsidP="00163957">
      <w:pPr>
        <w:pStyle w:val="TextoNormal"/>
      </w:pPr>
    </w:p>
    <w:p w:rsidR="00163957" w:rsidRDefault="00163957" w:rsidP="00163957">
      <w:pPr>
        <w:pStyle w:val="TextoNormal"/>
      </w:pPr>
      <w:r>
        <w:t>Requerida para que presentase declaración de que el causante no tenía vínculo matrimonial subsistente con otra persona, así como para que aportase fotocopia cotejada de la hoja del libro de familia o certificado de nacimiento de los hijos comunes habidos con el causante, puso de manifiesto que no habían tenido hijos comunes y que sufrió un aborto a los cinco meses de gestación. Por la Dirección General de Costes de Personal y de Pensiones Públicas se dictó acuerdo, de fecha 5 de marzo de 2008, denegando la pensión de viudedad solicitada por no concurrir todos los requisitos de la disposición adicional decimoquinta de la Ley 51/2007 y, en concreto, el de no haber tenido la peticionaria y el causante hijos comunes. Dicha denegación fue confirmada por resolución de 29 de abril de 2008 que desestimó el recurso de reposición interpuesto; asimismo fue desestimada la reclamación económico-administrativa interpuesta ante el Tribunal Económico-Administrativo Central, en resolución de fecha 8 de octubre de 2008. No consta que la solicitante hubiera impugnado las anteriores resoluciones ante la jurisdicción contenciosa.</w:t>
      </w:r>
    </w:p>
    <w:p w:rsidR="00163957" w:rsidRDefault="00163957" w:rsidP="00163957">
      <w:pPr>
        <w:pStyle w:val="TextoNormal"/>
      </w:pPr>
    </w:p>
    <w:p w:rsidR="00163957" w:rsidRDefault="00163957" w:rsidP="00163957">
      <w:pPr>
        <w:pStyle w:val="TextoNormal"/>
      </w:pPr>
      <w:r>
        <w:t>c) Mediante escrito de fecha 26 de febrero de 2013, doña Concepción Indarte Aparicio presentó nueva solicitud de revisión del acuerdo que le denegó la pensión de viudedad por considerar que reunía todos los requisitos legales para tener derecho a la pensión como pareja de hecho del causante don J. G. G., puesto que la Ley 51/2007 de presupuestos generales del Estado, había sido modificada en su disposición adicional decimoquinta, en virtud de la Sentencia dictada por el Tribunal Constitucional el 14 de febrero de 2013, STC 41/2013, que declaró la inconstitucionalidad del requisito contenido en el apartado c) de haber existido hijos comunes de la pareja de hecho. Esta solicitud de revisión fue desestimada por resolución de 30 de abril de 2013, de la Dirección General de costes de personal y pensiones públicas, por no concurrir todas las circunstancias exigidas en la disposición adicional decimoquinta de la Ley 5l/2007, dado que el causante y la beneficiaria no tuvieron hijos comunes. Asimismo, se ponía de manifiesto que el Tribunal Constitucional en su Sentencia 41/2013, de 14 febrero, había declarado la inconstitucionalidad y nulidad de la letra c) de la disposición adicional tercera de la Ley 40/2007, de 4 diciembre, de medidas en materia de Seguridad Social, por lo que dicha declaración no afectaba a la disposición adicional decimoquinta de la Ley 51/2007.</w:t>
      </w:r>
    </w:p>
    <w:p w:rsidR="00163957" w:rsidRDefault="00163957" w:rsidP="00163957">
      <w:pPr>
        <w:pStyle w:val="TextoNormal"/>
      </w:pPr>
    </w:p>
    <w:p w:rsidR="00163957" w:rsidRDefault="00163957" w:rsidP="00163957">
      <w:pPr>
        <w:pStyle w:val="TextoNormal"/>
      </w:pPr>
      <w:r>
        <w:t xml:space="preserve">Interpuesto recurso de reposición contra dicha resolución, ésta fue confirmada por nueva resolución de 27 de junio de 2013, así como fue desestimada el 27 de marzo de 2014 la reclamación económica administrativa interpuesta ante el Tribunal Económico-Administrativo Central, en la que se alegaba de nuevo que debería reconocérsele el derecho a la pensión de viudedad, puesto que la STC 41/2013, de 14 febrero, había declarado inconstitucional el requisito de que hubiera hijos comunes del causante y la solicitante de la pensión. La resolución denegatoria del Tribunal Económico-Administrativo Central se fundaba en que la STC 41/2013 invocada, se pronuncia sobre el apartado c) de la disposición adicional tercera de la Ley 40/2007, referida al régimen de la Seguridad Social, mientras que la disposición adicional decimoquinta de la Ley 51/2007 tiene su ámbito de aplicación en el régimen de clases pasivas. Posteriormente, se recurrió dicha resolución de 27 de marzo de 2014, en </w:t>
      </w:r>
      <w:r>
        <w:lastRenderedPageBreak/>
        <w:t>anulación que fue declarada inadmisible por resolución del Tribunal Económico-Administrativo Central, de fecha 25 de junio de 2014, al no darse ninguno de los supuestos de nulidad que contempla el art 239.6 de la Ley general tributaria.</w:t>
      </w:r>
    </w:p>
    <w:p w:rsidR="00163957" w:rsidRDefault="00163957" w:rsidP="00163957">
      <w:pPr>
        <w:pStyle w:val="TextoNormal"/>
      </w:pPr>
    </w:p>
    <w:p w:rsidR="00163957" w:rsidRDefault="00163957" w:rsidP="00163957">
      <w:pPr>
        <w:pStyle w:val="TextoNormal"/>
      </w:pPr>
      <w:r>
        <w:t>d) Contra la resolución denegatoria de reconocimiento de la pensión de viudedad del Tribunal Económico-Administrativo Central de 27 de marzo de 2014, y contra la resolución de 25 de junio de 2014 que inadmitió el recurso de anulación formulado contra la primera, se interpusieron los recursos contencioso administrativos núms. 234-2014 y 290-2014 que fueron acumulados. En su demanda la recurrente alegó, sustancialmente, su derecho a que se le reconociera el derecho a la pensión de viudedad por entender aplicable la STC 41/2013, de 14 febrero, que había declarado inconstitucional la disposición adicional tercera de la Ley 40/2007 y el requisito de que existieran hijos comunes, también respecto del mismo requisito exigido en el apartado c) de la disposición adicional decimoquinta de la Ley 51/2007, dada la igualdad de situaciones existentes y teniendo en cuenta la tendencia homogeneizadora en la legislación que regula las pensiones en ambos regímenes.</w:t>
      </w:r>
    </w:p>
    <w:p w:rsidR="00163957" w:rsidRDefault="00163957" w:rsidP="00163957">
      <w:pPr>
        <w:pStyle w:val="TextoNormal"/>
      </w:pPr>
    </w:p>
    <w:p w:rsidR="00163957" w:rsidRDefault="00163957" w:rsidP="00163957">
      <w:pPr>
        <w:pStyle w:val="TextoNormal"/>
      </w:pPr>
      <w:r>
        <w:t>Tramitado el recurso contencioso administrativo 234-2014, como procedimiento ordinario ante la Sección Séptima de la Sala de lo Contencioso-Administrativo de la Audiencia Nacional, y, estando aquel concluso y pendiente de deliberación y fallo, la Sala de lo Contencioso-Administrativo acordó suspender dicho trámite y por Auto de fecha 14 de octubre de 2015, se acordó oír a las partes y al Ministerio Fiscal sobre la posibilidad de plantear cuestión de inconstitucionalidad respecto de la disposición adicional decimoquinta de la Ley 51/2007, por poder ser contraria a lo dispuesto por el art. 14, en relación con el art. 9.2, ambos de la Constitución.</w:t>
      </w:r>
    </w:p>
    <w:p w:rsidR="00163957" w:rsidRDefault="00163957" w:rsidP="00163957">
      <w:pPr>
        <w:pStyle w:val="TextoNormal"/>
      </w:pPr>
    </w:p>
    <w:p w:rsidR="00163957" w:rsidRDefault="00163957" w:rsidP="00163957">
      <w:pPr>
        <w:pStyle w:val="TextoNormal"/>
      </w:pPr>
      <w:r>
        <w:t>El Auto argumenta, en síntesis, que la recurrente entiende directamente aplicable a su caso la inconstitucionalidad declarada por la STC 41/2013, de 14 de febrero, en el punto referente a la necesidad de descendencia común y entiende el Auto que no siendo aplicable directamente dicha Sentencia al referirse a distinto precepto de una ley diversa, y ni siquiera por analogía, al existir un precepto vigente que regula la materia de igual forma que el declarado inconstitucional, plantea a las partes y al Ministerio Fiscal que realicen alegaciones sobre el planteamiento de la cuestión de inconstitucionalidad.</w:t>
      </w:r>
    </w:p>
    <w:p w:rsidR="00163957" w:rsidRDefault="00163957" w:rsidP="00163957">
      <w:pPr>
        <w:pStyle w:val="TextoNormal"/>
      </w:pPr>
    </w:p>
    <w:p w:rsidR="00163957" w:rsidRDefault="00163957" w:rsidP="00163957">
      <w:pPr>
        <w:pStyle w:val="TextoNormal"/>
      </w:pPr>
      <w:r>
        <w:t xml:space="preserve">La demandante en su trámite de alegaciones sostuvo de modo principal que era aplicable, directamente, en el régimen de clases pasivas, la declaración de inconstitucionalidad del requisito de la existencia de hijos comunes que había realizado la STC 41/2013, respecto de la letra c) de la disposición adicional tercera de la Ley 40/2007, dada la eficacia </w:t>
      </w:r>
      <w:r w:rsidRPr="00163957">
        <w:rPr>
          <w:i/>
        </w:rPr>
        <w:t>erga omnes</w:t>
      </w:r>
      <w:r>
        <w:t xml:space="preserve"> de la misma. Subsidiariamente, no se opuso al planteamiento de la cuestión de inconstitucionalidad si la Sala lo consideraba necesario.</w:t>
      </w:r>
    </w:p>
    <w:p w:rsidR="00163957" w:rsidRDefault="00163957" w:rsidP="00163957">
      <w:pPr>
        <w:pStyle w:val="TextoNormal"/>
      </w:pPr>
    </w:p>
    <w:p w:rsidR="00163957" w:rsidRDefault="00163957" w:rsidP="00163957">
      <w:pPr>
        <w:pStyle w:val="TextoNormal"/>
      </w:pPr>
      <w:r>
        <w:t xml:space="preserve">Por la Abogacía del Estado se manifestó que no era procedente el planteamiento de la cuestión, al no tratarse de dos supuestos con identidad jurídica esencial, dado que por una parte la disposición adicional tercera de la Ley 40/2007 y la disposición adicional decimoquinta de la Ley 51/2007, son respectivamente disposiciones aplicables a pensiones con régimen diferente, como el de la Seguridad Social y el de clases pasivas respectivamente y, por otro lado, señalaba que en el caso de la STC 41/2013 invocada, el proceso de origen tenía como objeto el reconocimiento de una pensión de viudedad respecto de una pareja de </w:t>
      </w:r>
      <w:r>
        <w:lastRenderedPageBreak/>
        <w:t>hecho homosexual, mientras que en el caso en el que se trataba de plantear la cuestión de inconstitucionalidad era una pareja de hecho heterosexual.</w:t>
      </w:r>
    </w:p>
    <w:p w:rsidR="00163957" w:rsidRDefault="00163957" w:rsidP="00163957">
      <w:pPr>
        <w:pStyle w:val="TextoNormal"/>
      </w:pPr>
    </w:p>
    <w:p w:rsidR="00163957" w:rsidRDefault="00163957" w:rsidP="00163957">
      <w:pPr>
        <w:pStyle w:val="TextoNormal"/>
      </w:pPr>
      <w:r>
        <w:t>Por el Ministerio Fiscal se alegó que cumpliéndose los presupuestos procesales exigibles, no se oponía al planteamiento de la cuestión suscitada, sin perjuicio de que el dictamen de fondo sobre la validez constitucional de la norma cuestionada correspondía a la Fiscal General del Estado en sede constitucional.</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Mediante Auto de 3 de diciembre de 2015, la Sección Séptima de la Sala de lo Contencioso-Administrativo de la Audiencia Nacional acordó el planteamiento ante el Tribunal Constitucional de la presente cuestión de inconstitucionalidad respecto de la letra c) de la disposición adicional decimoquinta de la Ley 51/2007, de 26 diciembre, de presupuestos generales del Estado, por poder infringir los arts. 9.2 y 14 CE y fundamentando su planteamiento en las consideraciones que seguidamente se resumen. </w:t>
      </w:r>
    </w:p>
    <w:p w:rsidR="00163957" w:rsidRDefault="00163957" w:rsidP="00163957">
      <w:pPr>
        <w:pStyle w:val="TextoNormal"/>
      </w:pPr>
      <w:r>
        <w:t>a) Por lo que se refiere al juicio de aplicabilidad y relevancia mantiene el Auto que la norma de cuya constitucionalidad se duda resulta de aplicación al caso ya que fija un requisito excluyente para poder aplicar los beneficios de la nueva regulación contenida en la disposición legal para obtener la pensión de viudedad en el sistema de clases pasivas en los supuestos de parejas de hecho, cual es la existencia de hijos comunes. Y que de la validez de dicha norma con rango de ley depende el fallo, destacando la existencia de un nexo causal entre la norma y el fallo a pronunciar, de modo que la validez o invalidez de la norma cuestionada originaría una resolución distinta en cada caso.</w:t>
      </w:r>
    </w:p>
    <w:p w:rsidR="00163957" w:rsidRDefault="00163957" w:rsidP="00163957">
      <w:pPr>
        <w:pStyle w:val="TextoNormal"/>
      </w:pPr>
    </w:p>
    <w:p w:rsidR="00163957" w:rsidRDefault="00163957" w:rsidP="00163957">
      <w:pPr>
        <w:pStyle w:val="TextoNormal"/>
      </w:pPr>
      <w:r>
        <w:t xml:space="preserve">b) Considera la Sala citada de la Audiencia Nacional que, ante la imposibilidad de aplicar por analogía la declaración de inconstitucionalidad que predica la recurrente, al existir un precepto legal vigente, que regula la materia de igual forma que el declarado inconstitucional, recogido en la disposición adicional tercera de la Ley 40/2007, se plantea la posibilidad de someter esta cuestión de inconstitucionalidad de la disposición adicional decimoquinta, letra c), de la Ley 51/2007, al poder infringir el artículo 14 de la Constitución Española. Añade que “debe tenerse en cuenta que las veces anteriores en que la hoy recurrente ha solicitado el reconocimiento de la pensión de viudedad que hoy nos ocupa, nunca ha interpuesto recurso contencioso administrativo contra las resoluciones que le desestimaban su petición de pensión, por lo que no existe el efecto inalterable de cosa juzgada” y que “por otro lado, en el supuesto en que se obtuviese la declaración de inconstitucionalidad, que se pretende plantear, nos hallaríamos que el panorama legislativo habría cambiado a como estaba presente en fechas 14 de enero de 2008, 5 de marzo de 2009 y 26 de febrero de 2013, (en las que solicitó dicho reconocimiento), por lo que se podría entender, que esta petición de 26 de febrero de 2013, es en realidad una solicitud de reconocimiento de derechos pasivos que se basa en haber desaparecido la incompatibilidad o concurrencia de percepciones o situaciones que hubieran servido de fundamento a una resolución denegatoria o limitativa de los mismos o en la existencia de hechos o derechos que no se tuvieron en cuenta o no existían al dictar el acuerdo primitivo”. La Sala entiende por tanto que, en el supuesto de que se declarase inconstitucional el requisito de la tenencia en común de hijos entre el causante y la beneficiaria de la pensión de viudedad, exigida por la letra c) de la disposición adicional decimoquinta de la Ley 51/2007, para los supuestos en los que el causante hubiese fallecido antes del día 1 de enero de 2008, la petición contenida en la solicitud de 26 de febrero de 2013, permitiría revisar la denegación de la pensión. Por tal motivo, entiende el Auto que dicho requisito podría ser contrario “al derecho a recibir un trato igual por la Ley </w:t>
      </w:r>
      <w:r>
        <w:lastRenderedPageBreak/>
        <w:t>previsto en el artículo 14, en relación con el 9.2, de la Constitución Española, puesto que dicho requisito se exige únicamente para poder aplicar los beneficios establecidos en la Ley 51/2007, con efectos retroactivos, a aquellos supuestos en que el causante hubiese fallecido antes del 1 de enero de 2008, entrada en vigor de la nueva regulación, requisito que no se exige cuando dicho fallecimiento se ha producido después de dicha fecha”. Añadiendo que no queda justificada la exigencia del mencionado requisito para este caso, que, sin embargo, quedó eliminada por la STC 41/2013, de 14 de febrero, para lucrar por pareja de hecho la pensión de viudedad por el régimen general de la Seguridad Social; así como que tampoco se justifica la diferencia legal por el hecho de ser pareja de hecho homosexual o heterosexual.</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providencia dictada el 2 de febrero de 2016 por el Pleno de este Tribunal se acordó admitir a trámite la cuestión de inconstitucionalidad planteada y, de conformidad con lo establecido en el artículo 10.1 c) de la Ley Orgánica del Tribunal Constitucional (LOTC), deferir la misma al conocimiento de la Sala Primera a la que por turno objetivo le había correspondido el conocimiento de la misma, así como dar traslado de las actuaciones recibidas, conforme establece el art. 37.3 LOTC, al Congreso de los Diputados y al Senado, por conducto de sus Presidentes, al Gobierno, por conducto del Ministro de Justicia, y a la Fiscal General del Estado, al objeto de que, en el improrrogable plazo de quince días, pudieran personarse en el proceso y formular las alegaciones que estimaran convenientes. Finalmente acordó comunicar dicha resolución a la Sección Séptima de la Sala de lo Contencioso-administrativo de la Audiencia Nacional, a fin de que, de conformidad con lo dispuesto en el art. 35.3 LOTC, permaneciera suspendido el proceso hasta que este Tribunal resolviera definitivamente la presente cuestión, y publicar la incoación de la cuestión en el “Boletín Oficial del Estado”, publicación que tuvo lugar el 9 de febrero de 2016.</w:t>
      </w:r>
    </w:p>
    <w:p w:rsidR="00163957" w:rsidRDefault="00163957" w:rsidP="00163957">
      <w:pPr>
        <w:pStyle w:val="TextoNormal"/>
      </w:pPr>
    </w:p>
    <w:p w:rsidR="00163957" w:rsidRDefault="00163957" w:rsidP="00163957">
      <w:pPr>
        <w:pStyle w:val="TextoNormal"/>
      </w:pPr>
      <w:r w:rsidRPr="00163957">
        <w:rPr>
          <w:rStyle w:val="NumeroAFNegritaCaracter"/>
        </w:rPr>
        <w:t>5</w:t>
      </w:r>
      <w:r>
        <w:t>. El Presidente del Congreso de los Diputados, mediante escrito registrado en este Tribunal el día 10 de febrero de 2016, comunicó que la Mesa de la Cámara, en su reunión del día 9 de febrero de 2016 había adoptado el acuerdo de personarse en el procedimiento y ofrecer su colaboración a los efectos del art. 88.1 LOTC. El Presidente del Senado, mediante escrito registrado en este Tribunal el 17 de febrero de 2016 comunicó que la Mesa de la Cámara en su reunión del día 16 de febrero de 2016 había acordado dar por personada a dicha Cámara en el procedimiento constitucional y por ofrecida su colaboración a los efectos del citado precepto legal.</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escrito registrado en este Tribunal el 19 de febrero de 2016 la representación procesal de doña Concepción Indarte Aparicio se personó en esta cuestión de inconstitucionalidad solicitando se le concediera plazo para formular alegaciones, que realizó mediante escrito registrado ante este Tribunal el 11 de marzo de 2016 advirtiendo de la similitud e incluso reproducción idéntica de la mención del requisito de la existencia de hijos comunes en la disposición adicional tercera de la Ley 40/2007, declarada inconstitucional por la STC 41/2013, de 14 de febrero, y la letra c) de la disposición adicional decimoquinta de la ahora cuestionada, por lo que debe concluirse que ésta es asimismo inconstitucional por vulneración del art. 14 CE, en aplicación de los principios de razonabilidad y proporcionalidad.</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7</w:t>
      </w:r>
      <w:r>
        <w:t>. El Abogado del Estado se personó en el presente proceso constitucional mediante escrito registrado en este Tribunal el 26 de febrero de 2016 y formuló alegaciones que seguidamente se resumen, solicitando se dictara Sentencia íntegramente desestimatoria de la cuestión de inconstitucionalidad planteada.</w:t>
      </w:r>
    </w:p>
    <w:p w:rsidR="00163957" w:rsidRDefault="00163957" w:rsidP="00163957">
      <w:pPr>
        <w:pStyle w:val="TextoNormal"/>
      </w:pPr>
    </w:p>
    <w:p w:rsidR="00163957" w:rsidRDefault="00163957" w:rsidP="00163957">
      <w:pPr>
        <w:pStyle w:val="TextoNormal"/>
      </w:pPr>
      <w:r>
        <w:t>Señala el Abogado del Estado que “el Auto judicial de planteamiento fundamenta, en definitiva, su postura en relación con la supuesta inconstitucionalidad del precepto en cuanto al término de comparación que provee un distinto tratamiento normativo entre las parejas homosexuales y aun las integradas por personas de distinto sexo pero sin capacidad de engendrar, por un lado, y, las integradas por personas de distinto sexo con capacidad de engendrar, por otro, considerando ese distinto trato una diferencia con relevancia constitucional por la imposibilidad de las primeras de tener hijos comunes naturales, biológicos”.</w:t>
      </w:r>
    </w:p>
    <w:p w:rsidR="00163957" w:rsidRDefault="00163957" w:rsidP="00163957">
      <w:pPr>
        <w:pStyle w:val="TextoNormal"/>
      </w:pPr>
    </w:p>
    <w:p w:rsidR="00163957" w:rsidRDefault="00163957" w:rsidP="00163957">
      <w:pPr>
        <w:pStyle w:val="TextoNormal"/>
      </w:pPr>
      <w:r>
        <w:t>Considera el Abogado del Estado que el aspecto conflictivo es, por consiguiente, “la imposibilidad de descendencia biológica, pues sí pueden, legalmente, en cambio, las uniones antes relacionadas en el primer grupo, tener hijos adoptivos comunes”. Incluso las uniones de personas del mismo sexo pueden adoptar conjuntamente ya a partir de la Ley 13/2005, de 1 de julio, en relación con la disposición adicional tercera de la Ley 21/1987, de 11 de noviembre que modificó el Código civil en materia de adopción equiparando a estos efectos el matrimonio a las uniones de hecho. Y las de distinto sexo, a partir de la vigencia de esta última Ley.</w:t>
      </w:r>
    </w:p>
    <w:p w:rsidR="00163957" w:rsidRDefault="00163957" w:rsidP="00163957">
      <w:pPr>
        <w:pStyle w:val="TextoNormal"/>
      </w:pPr>
    </w:p>
    <w:p w:rsidR="00163957" w:rsidRDefault="00163957" w:rsidP="00163957">
      <w:pPr>
        <w:pStyle w:val="TextoNormal"/>
      </w:pPr>
      <w:r>
        <w:t>Discrepa el Abogado del Estado de que éste sea el único “término de comparación para concluir si hay o no desigualdad con relevancia constitucional” o si la norma es arbitraria infringiendo el art. 9.2 CE puesto que la STC 41/2013, de 14 de febrero, se pronunciaba sobre la desestimación de una solicitud de pensión de viudedad en el régimen general de la Seguridad Social y en el actual caso se produce la denegación en el régimen de clases pasivas.</w:t>
      </w:r>
    </w:p>
    <w:p w:rsidR="00163957" w:rsidRDefault="00163957" w:rsidP="00163957">
      <w:pPr>
        <w:pStyle w:val="TextoNormal"/>
      </w:pPr>
    </w:p>
    <w:p w:rsidR="00163957" w:rsidRDefault="00163957" w:rsidP="00163957">
      <w:pPr>
        <w:pStyle w:val="TextoNormal"/>
      </w:pPr>
      <w:r>
        <w:t>Y recuerda el carácter especial del régimen de clases pasivas del Estado conforme a los previsto en el art. 10 del texto refundido de la Ley general de la Seguridad Social, aprobado por Real Decreto Legislativo 8/2015, de 30 de octubre, Dice la jurisprudencia constitucional que “los distintos regímenes de Seguridad Social no son términos homogéneos de comparación a los efectos del artículo 14 de la Constitución, por lo que este precepto no alcanza a corregir las desigualdades existentes entre aquellos regímenes” (STC 268/1993, de 20 de septiembre, FJ 2). Y ello porque “la articulación del sistema en un régimen general y diversos regímenes especiales se justifica por las peculiaridades socioeconómicas, laborales y productivas, históricas o de otra índole que concurren" (STC 377/1993, de 20 de diciembre, FJ 3). Asimismo “la identidad en el nivel de protección de todos los ciudadanos podrá constituir algo deseable desde el punto de vista social, pero cuando las prestaciones derivan de distintos sistemas o regímenes, cada uno con su propia normativa, no constituye un imperativo jurídico” (SSTC 103/1984, de 12 de noviembre, FJ 4, y 38/1995, de 13 de febrero, FJ 2).</w:t>
      </w:r>
    </w:p>
    <w:p w:rsidR="00163957" w:rsidRDefault="00163957" w:rsidP="00163957">
      <w:pPr>
        <w:pStyle w:val="TextoNormal"/>
      </w:pPr>
    </w:p>
    <w:p w:rsidR="00163957" w:rsidRDefault="00163957" w:rsidP="00163957">
      <w:pPr>
        <w:pStyle w:val="TextoNormal"/>
      </w:pPr>
      <w:r>
        <w:t xml:space="preserve">El Abogado del Estado afirma que es cierto que la STC 39/1992, de 30 de marzo, afirmó que la diversidad de regímenes jurídicos no impide sin más la aplicación del art. 14 CE, sino que sería necesario comprobar si efectivamente y desde una perspectiva material, “esa diversidad responde a diferencias reales que, por ser objetivas, razonables y congruentes, </w:t>
      </w:r>
      <w:r>
        <w:lastRenderedPageBreak/>
        <w:t>constituyen suficiente justificación del tratamiento desigual” (FJ 8), por lo que, a quien defienda la constitucionalidad de la diferencia le corresponde ofrecer la justificación de la misma. Pero entiende que en modo alguno lo anterior puede excluir que el legislador posee libertad para modular la acción protectora del sistema en atención a circunstancias económicas y sociales que son imperativas para la propia viabilidad y eficacia de aquél y concretamente respecto a la pensión de viudedad, como indicó la STC 69/2007, de 16 de abril, al afirmar que “el legislador dispone de un amplio margen de libertad en la configuración del sistema de Seguridad Social y en la apreciación de las circunstancias socioeconómicas a la hora de administrar recursos limitados para atender a un gran número de necesidades sociales” (FJ 3), por lo que entiende la Abogacía del Estado que lo decisivo será el juicio de proporcionalidad, para lo que enfrenta la estabilidad en el empleo del funcionario respecto al trabajador por cuenta ajena que no tiene asegurada aquélla y concluye que esta diferencia puede suponer que se asuma como proporcionado que al trabajador por cuenta ajena se le compense en el régimen de protección con una mayor facilidad para lucrar la pensión de viudedad en el caso de las parejas de hecho, que en el sistema de clases pasivas que se exija reunir el requisito del apartado c) de la disposición adicional cuestionada, consistente en tener hijos comunes, sin que ello suponga vulneración de los arts. 14 y 9.2 CE.</w:t>
      </w:r>
    </w:p>
    <w:p w:rsidR="00163957" w:rsidRDefault="00163957" w:rsidP="00163957">
      <w:pPr>
        <w:pStyle w:val="TextoNormal"/>
      </w:pPr>
    </w:p>
    <w:p w:rsidR="00163957" w:rsidRDefault="00163957" w:rsidP="00163957">
      <w:pPr>
        <w:pStyle w:val="TextoNormal"/>
      </w:pPr>
      <w:r>
        <w:t>En consecuencia, entiende el Abogado del Estado que los fundamentos de la STC 41/2013, de 14 de febrero, sólo pueden servir parcialmente en la presente cuestión de inconstitucionalidad pues es necesario asimismo argumentar la posibilidad de la existencia de distintos requisitos para devengar pensión de viudedad en el sistema de clases pasivas del Estado que los previstos para obtener dicha pensión en el sistema del régimen general de la Seguridad Social.</w:t>
      </w:r>
    </w:p>
    <w:p w:rsidR="00163957" w:rsidRDefault="00163957" w:rsidP="00163957">
      <w:pPr>
        <w:pStyle w:val="TextoNormal"/>
      </w:pPr>
    </w:p>
    <w:p w:rsidR="00163957" w:rsidRDefault="00163957" w:rsidP="00163957">
      <w:pPr>
        <w:pStyle w:val="TextoNormal"/>
      </w:pPr>
      <w:r>
        <w:t>Por otra parte, alega que el aspecto relativo a la existencia de hijos comunes no es en este caso una diferencia de trato constitucionalmente relevante. Considera que se trata de un requisito exigible y proporcionado y no aprecia desigualdad con relevancia constitucional o trato normativo discriminatorio entre quienes, pudiendo reunir el requisito que la Ley establece, en el caso concreto no lo reúnen y quienes, aun siendo personas del mismo sexo, o de distinto siendo infértiles, pero pudiendo reunir el requisito a través de la adopción, no lo hacen por razones que en principio responden a su exclusiva voluntad. Y añade que dichos argumentos no coinciden con los declarados en la STC 41/2013, de 14 de febrero, pero apela de nuevo a la diferente naturaleza jurídica de la relación jurídica funcionarial y su régimen de clases pasivas respecto a la laboral y el régimen general de Seguridad Social y al respeto del principio de proporcionalidad de la exigencia de mayores requisitos para lucrar la pensión de viudedad en el primero de los sistemas.</w:t>
      </w:r>
    </w:p>
    <w:p w:rsidR="00163957" w:rsidRDefault="00163957" w:rsidP="00163957">
      <w:pPr>
        <w:pStyle w:val="TextoNormal"/>
      </w:pPr>
    </w:p>
    <w:p w:rsidR="00163957" w:rsidRDefault="00163957" w:rsidP="00163957">
      <w:pPr>
        <w:pStyle w:val="TextoNormal"/>
      </w:pPr>
      <w:r>
        <w:t>Finalmente sostiene la Abogacía del Estado que la pensión de viudedad tiene por objeto subvenir situaciones de posible desequilibrio o de necesidad económica generada como consecuencia del fallecimiento del causante, situaciones que no existiendo hijos comunes no se producen por no existir esa carga económica familiar, discriminando legítimamente el legislador la situación económica del superviviente según se tengan o no cargas familiares.</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La Fiscal General del Estado presentó su escrito de alegaciones ante este Tribunal con fecha 23 de marzo de 2016, interesando la estimación de la presente cuestión. Pone de manifiesto la Fiscal General del Estado que la referida disposición adicional decimoquinta de la Ley 51/2007, aplicable a las pensiones de viudedad en supuestos especiales en el régimen </w:t>
      </w:r>
      <w:r>
        <w:lastRenderedPageBreak/>
        <w:t xml:space="preserve">de clases pasivas, contiene una regulación prácticamente idéntica a la que se establecía en la disposición adicional tercera de la Ley 40/2007, de medidas en materia de Seguridad Social. Ambas disposiciones venían a dotar de retroactividad al reconocimiento del derecho a la pensión de viudedad que, a partir de estas Leyes se otorgaba a las parejas de hecho, tanto en el régimen de clases pasivas, como en el de la Seguridad Social, cuando el causante de la pensión había fallecido con anterioridad al 1 de enero de 2008, fecha de la entrada en vigor de dichas normas. En ambas disposiciones adicionales se establecen los requisitos que deberán cumplirse para poder obtener el reconocimiento de la pensión de viudedad en estos casos, siendo idéntico el requisito de tener hijos comunes. Y añade que el enjuiciamiento sobre la validez constitucional del apartado c) de la disposición adicional ahora cuestionada, en relación con el derecho de igualdad ante la ley del art 14 CE, exige estar al juicio de constitucionalidad que sobre la disposición adicional tercera, apartado c) de la Ley 40/2007, fue hecho por este Tribunal en su Sentencia 41/2013, de 14 febrero. Sostiene la Fiscal General del Estado que existe una configuración prácticamente idéntica en ambas regulaciones y que dicha identidad, en las dos disposiciones que se dictan, casi al mismo tiempo y con la misma fecha de entrada en vigor, trae causa del mismo fundamento, que es el de reconocer a las parejas de hecho que cumplen determinados requisitos que acreditan una convivencia análoga a la matrimonial (convivencia </w:t>
      </w:r>
      <w:r w:rsidRPr="00163957">
        <w:rPr>
          <w:i/>
        </w:rPr>
        <w:t>more uxorio</w:t>
      </w:r>
      <w:r>
        <w:t>), las prestaciones que hasta ese momento solo se reconocían respecto a las uniones matrimoniales.</w:t>
      </w:r>
    </w:p>
    <w:p w:rsidR="00163957" w:rsidRDefault="00163957" w:rsidP="00163957">
      <w:pPr>
        <w:pStyle w:val="TextoNormal"/>
      </w:pPr>
    </w:p>
    <w:p w:rsidR="00163957" w:rsidRDefault="00163957" w:rsidP="00163957">
      <w:pPr>
        <w:pStyle w:val="TextoNormal"/>
      </w:pPr>
      <w:r>
        <w:t xml:space="preserve">Entiende que la expresada identidad de fundamento y regulación que se observa en las dos disposiciones legales determina que los razonamientos en los que la STC 41/2013, basa la invalidez constitucional del requisito de la existencia de hijos comunes del causante y del beneficiario, que establece la letra c) de la disposición adicional tercera de la Ley 40/2007, resulten plenamente de aplicación para enjuiciar la validez constitucional de la letra c) de la disposición adicional decimoquinta de la Ley 51/2007. Y añade que con independencia del supuesto concreto en el proceso subyacente en el que se pronunció la STC 41/2013 y el que se da en el proceso del que trae causa la presente cuestión, lo cierto es que la STC 41/2013 declara la invalidez del requisito de la letra c) de la disposición adicional tercera de existencia de hijos comunes del causante y del beneficiario, por infracción del principio de igualdad del art 14 CE, con independencia de que se trate de una pareja de hecho heterosexual u homosexual, pues la reiterada Sentencia entiende que el trato desigual, no justificado ni proporcional, no confronta parejas de hecho heterosexuales y homosexuales, sino que la distinción opera entre las parejas de hecho en las que el causante falleció antes del 1 de enero de 2008 y aquellas en las que el causante falleció después de esta fecha, con independencia de su orientación sexual en ambos casos. Recuerda que en dicha Sentencia este Tribunal rechazó que la exigencia del requisito de existir hijos comunes de la pareja de hecho, cuyo causante falleció antes del l de enero de 2008, pueda tener justificación, tanto en la necesidad de acreditar de forma inequívoca una efectiva y estable convivencia </w:t>
      </w:r>
      <w:r w:rsidRPr="00163957">
        <w:rPr>
          <w:i/>
        </w:rPr>
        <w:t>more uxorio</w:t>
      </w:r>
      <w:r>
        <w:t xml:space="preserve"> entre el causante y el beneficiario, a fin de evitar posibles reclamaciones abusivas o fraudulentas, como en una pretendida finalidad de otorgar protección social a una concreta situación de necesidad (FFJJ 7 y 8 de la STC 41/2013).</w:t>
      </w:r>
    </w:p>
    <w:p w:rsidR="00163957" w:rsidRDefault="00163957" w:rsidP="00163957">
      <w:pPr>
        <w:pStyle w:val="TextoNormal"/>
      </w:pPr>
    </w:p>
    <w:p w:rsidR="00163957" w:rsidRDefault="00163957" w:rsidP="00163957">
      <w:pPr>
        <w:pStyle w:val="TextoNormal"/>
      </w:pPr>
      <w:r>
        <w:t xml:space="preserve">Afirma la Fiscal General del Estado que la referida Sentencia considera además que el requisito cuestionado “introduce una exigencia de imposible cumplimiento, no solo en el caso de parejas de hecho homosexuales por la imposibilidad biológica de tener hijos comunes, o de adoptarlos hasta hace relativamente poco tiempo, sino también en el caso de parejas heterosexuales en las que por razones de infertilidad no podían tener hijos comunes, ni </w:t>
      </w:r>
      <w:r>
        <w:lastRenderedPageBreak/>
        <w:t>tampoco era factible legalmente hasta hace poco tiempo la adopción conjunta”. Esto hace, a su juicio que el Tribunal estime en la STC 41/2013, que esta exigencia de la letra c) de la disposición adicional tercera Ley 40/2007, infringe el principio general de igualdad ante la ley del art 14 CE, puesto que además de no estar objetivamente justificada, en relación con la finalidad de la prestación de viudedad que se reconoce excepcionalmente en el caso de parejas de hecho en las que el causante falleció con anterioridad, lleva a un resultado desproporcionado al impedir, injustificadamente el beneficio de la prestación a determinados supérstites que no pueden cumplir ese requisito por razones biológicas o jurídicas y resalta que, con posterioridad a la STC 41/2013, que resolvió la cuestión de inconstitucionalidad de la citada letra c) de la disposición adicional tercera de la Ley 40/2007, este Tribunal, de acuerdo con la doctrina que estableció en la misma, en la STC 188/2014 estimó un recurso de amparo que traía causa de un proceso en el que, al igual que en el presente caso, se desestimó la pensión de viudedad del supérstite de una pareja de hecho heterosexual por no cumplir el requisito de la existencia de hijos comunes que establecía la referida letra c) de la disposición adicional tercera de la Ley 40/2007.</w:t>
      </w:r>
    </w:p>
    <w:p w:rsidR="00163957" w:rsidRDefault="00163957" w:rsidP="00163957">
      <w:pPr>
        <w:pStyle w:val="TextoNormal"/>
      </w:pPr>
    </w:p>
    <w:p w:rsidR="00163957" w:rsidRDefault="00163957" w:rsidP="00163957">
      <w:pPr>
        <w:pStyle w:val="TextoNormal"/>
      </w:pPr>
      <w:r>
        <w:t>Finaliza el escrito de la Fiscalía indicando que no concurriendo razones objetivas que en la presente cuestión determinen la necesidad de otorgar un alcance más limitado a la declaración de inconstitucionalidad de la letra c) de la disposición adicional decimoquinta de la Ley 51/2007, la extensión de sus efectos deberá ser la misma que la fijada por este Tribunal en la STC 41/2013.</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veintiuno de abril de dos mil dieciséis se señaló para deliberación y votación de la presente Sentencia el día veinticinco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Sección Séptima de la Sala de lo Contencioso-Administrativo de la Audiencia Nacional plantea cuestión de inconstitucionalidad respecto de la letra c) de la disposición adicional decimoquinta de la Ley 51/2007, de 26 de diciembre, de presupuestos generales del Estado para el año 2008, por entender que pudiera ser contraria a los arts. 14 y 9.2 CE. Dicha disposición establece lo siguiente:</w:t>
      </w:r>
    </w:p>
    <w:p w:rsidR="00163957" w:rsidRDefault="00163957" w:rsidP="00163957">
      <w:pPr>
        <w:pStyle w:val="TextoNormal"/>
      </w:pPr>
    </w:p>
    <w:p w:rsidR="00163957" w:rsidRDefault="00163957" w:rsidP="00163957">
      <w:pPr>
        <w:pStyle w:val="TextoNormal"/>
      </w:pPr>
      <w:r>
        <w:t>“Procederá el derecho a pensión de viudedad por el Régimen de Clases Pasivas del Estado, cualquiera que sea su legislación reguladora, así como por la legislación especial de guerra, cuando, habiéndose producido el hecho causante con anterioridad a la entrada en vigor de la presente Ley, concurran las siguientes circunstancias: … c) Que el causante y el beneficiario hubieran tenido hijos comunes.”</w:t>
      </w:r>
    </w:p>
    <w:p w:rsidR="00163957" w:rsidRDefault="00163957" w:rsidP="00163957">
      <w:pPr>
        <w:pStyle w:val="TextoNormal"/>
      </w:pPr>
    </w:p>
    <w:p w:rsidR="00163957" w:rsidRDefault="00163957" w:rsidP="00163957">
      <w:pPr>
        <w:pStyle w:val="TextoNormal"/>
      </w:pPr>
      <w:r>
        <w:t>Para la Sala promotora de la cuestión, la citada letra c) de la disposición adicional transcrita comporta un trato desfavorable no justificado que podría lesionar el art. 14 CE en relación con el art. 9.2 CE por las mismas causas que concurrieron en la declaración de inconstitucionalidad por este Tribunal de idéntico requisito establecido en la disposición adicional tercera de la Ley 40/2007 mediante la STC 41/2013, de 14 de febrero.</w:t>
      </w:r>
    </w:p>
    <w:p w:rsidR="00163957" w:rsidRDefault="00163957" w:rsidP="00163957">
      <w:pPr>
        <w:pStyle w:val="TextoNormal"/>
      </w:pPr>
    </w:p>
    <w:p w:rsidR="00163957" w:rsidRDefault="00163957" w:rsidP="00163957">
      <w:pPr>
        <w:pStyle w:val="TextoNormal"/>
      </w:pPr>
      <w:r>
        <w:lastRenderedPageBreak/>
        <w:t>Como se ha expuesto en los antecedentes, la Fiscalía General del Estado y la solicitante de la prestación de viudedad comparten los argumentos contenidos en el Auto de planteamiento, mientras que, el Abogado del Estado sostiene que los supuestos contemplados en ambas normas no son idénticos: la STC 41/2013 se refería a una pareja de hecho homosexual y a una pensión en el régimen general de la Seguridad Social, mientras que en supuesto que ahora se analiza se trata de pareja de hecho heterosexual y sometida la prestación al sistema de clases pasivas del Estado, diferencia suficiente para que no sean sin más aplicables los argumentos de la citada STC 41/2013, de 14 de febrero.</w:t>
      </w:r>
    </w:p>
    <w:p w:rsidR="00163957" w:rsidRDefault="00163957" w:rsidP="00163957">
      <w:pPr>
        <w:pStyle w:val="TextoNormal"/>
      </w:pPr>
    </w:p>
    <w:p w:rsidR="00163957" w:rsidRDefault="00163957" w:rsidP="00163957">
      <w:pPr>
        <w:pStyle w:val="TextoNormal"/>
      </w:pPr>
      <w:r w:rsidRPr="00163957">
        <w:rPr>
          <w:rStyle w:val="NumeroAFNegritaCaracter"/>
        </w:rPr>
        <w:t>2</w:t>
      </w:r>
      <w:r>
        <w:t>. Como ha puesto de manifiesto el órgano judicial que promueve la cuestión de inconstitucionalidad, el apartado c) de la disposición adicional cuestionada, aplicable a las pensiones de viudedad en supuestos especiales en el régimen de clases pasivas, contiene un requisito idéntico al establecido en la letra c) de la disposición adicional tercera de la Ley 40/2007, de medidas en materia de Seguridad Social, cual es que el causante y el beneficiario hubieran tenido hijos comunes. Dicho requisito fue declarado inconstitucional por la STC 41/2013, de 14 de febrero.</w:t>
      </w:r>
    </w:p>
    <w:p w:rsidR="00163957" w:rsidRDefault="00163957" w:rsidP="00163957">
      <w:pPr>
        <w:pStyle w:val="TextoNormal"/>
      </w:pPr>
    </w:p>
    <w:p w:rsidR="00163957" w:rsidRDefault="00163957" w:rsidP="00163957">
      <w:pPr>
        <w:pStyle w:val="TextoNormal"/>
      </w:pPr>
      <w:r>
        <w:t xml:space="preserve">En la STC 41/2013, consideramos que “nuestro enjuiciamiento sobre la constitucionalidad del precepto legal cuestionado ha de comenzar por su escrutinio desde la perspectiva de la cláusula general de igualdad del primer inciso del art. 14 CE, toda vez que el requisito de ‘que el causante y el beneficiario hubieran tenido hijos comunes’ para tener derecho a la pensión de viudedad cuando el hecho causante se hubiere producido antes de la entrada en vigor de la Ley 40/2007, no tiene en cuenta la orientación sexual de la pareja de hecho como factor determinante del excepcional acceso retroactivo a la pensión, sino la existencia o inexistencia de descendencia común, biológica o adoptiva.” (FJ 6). Asimismo recordamos que “para que sea constitucionalmente lícita la diferencia de trato es necesario que las consecuencias jurídicas que se deriven de tal distinción sean proporcionadas a la finalidad perseguida, de suerte que se eviten resultados excesivamente gravosos o desmedidos.” (FJ 6) y descartamos que “el requisito legal cuestionado” pudiera “ser entendido como un indicador inequívoco de la existencia efectiva de la relación de convivencia </w:t>
      </w:r>
      <w:r w:rsidRPr="00163957">
        <w:rPr>
          <w:i/>
        </w:rPr>
        <w:t>more uxorio</w:t>
      </w:r>
      <w:r>
        <w:t xml:space="preserve"> que se pretende proteger, pues ni la circunstancia de haber tenido hijos en común acredita una mayor estabilidad o solidez de la unión de hecho, ni dicha circunstancia constituye el único medio de prueba posible sobre la estabilidad de la pareja” (FJ 7). Por otra parte, si bien afirmamos que “la mayor situación de dependencia económica que puede suponer, al menos en hipótesis, la existencia de hijos en común de la pareja de hecho a cargo del miembro supérstite (cuando los hijos sean menores de edad o discapacitados) podría considerarse como justificación objetiva y razonable del requisito legal cuestionado”, sin embargo precisamos que “lo relevante para el legislador en el precepto cuestionado no es que sobrevivan hijos comunes de la pareja de hecho que dependan económicamente del progenitor superviviente, sino, exclusivamente, que la pareja de hecho haya tenido descendencia en común”, lo que revelaba una diferencia de trato “carente de una justificación objetiva y razonable, porque no responde a la finalidad de la pensión (contributiva) de viudedad [que es] resarcir frente al daño que se produce al actualizarse la contingencia (la muerte del causante), por la falta o minoración de ingresos de los que participaba el supérstite, otorgando a tal efecto una pensión que depende en su cuantía de las cotizaciones efectuadas por el causante al régimen de Seguridad Social correspondiente.” (FJ 8). Por tales razones, declaramos que “el requisito contenido en la letra c) de la disposición adicional tercera de la Ley 40/2007, de 4 de </w:t>
      </w:r>
      <w:r>
        <w:lastRenderedPageBreak/>
        <w:t>diciembre, constituye una directa vulneración del principio de igualdad ante la ley consagrado por el art. 14 CE, pues la diferencia de trato que se establece por la norma cuestionada entre parejas de hecho, en razón a que hubieran tenido o no hijos en común, no sólo no obedece, como se ha visto, a ninguna razón objetivamente justificada, relacionada con la propia esencia, fundamento o finalidad de la pensión de viudedad … sino que conduce además a un resultado desproporcionado, al impedir injustificadamente a determinados supérstites de parejas de hecho el acceso a la protección dispensada mediante dicha pensión, por ser de imposible cumplimiento (por razones biológicas o jurídicas) la exigencia de haber tenido hijos comunes” (FJ 9).</w:t>
      </w:r>
    </w:p>
    <w:p w:rsidR="00163957" w:rsidRDefault="00163957" w:rsidP="00163957">
      <w:pPr>
        <w:pStyle w:val="TextoNormal"/>
      </w:pPr>
    </w:p>
    <w:p w:rsidR="00163957" w:rsidRDefault="00163957" w:rsidP="00163957">
      <w:pPr>
        <w:pStyle w:val="TextoNormal"/>
      </w:pPr>
      <w:r w:rsidRPr="00163957">
        <w:rPr>
          <w:rStyle w:val="NumeroAFNegritaCaracter"/>
        </w:rPr>
        <w:t>3</w:t>
      </w:r>
      <w:r>
        <w:t>. Tal declaración de inconstitucionalidad es aplicable a la letra c) de la disposición adicional decimoquinta de la Ley 51/2007, de 26 de diciembre, de presupuestos generales del Estado para el año 2008, que establece idéntico requisito para acceder a la pensión de viudedad por el régimen de clases pasivas del Estado, y a la que le son aplicables las mismas razones que nos llevaron a descartar la ausencia de justificación objetiva relacionada con la propia esencia, fundamento o finalidad de la pensión de viudedad. Tal conclusión no puede verse afectada ni por la distinta orientación sexual de la pareja —a la que alude el Abogado del Estado—, pues tal circunstancia no se consideró “factor determinante” en la STC 41/2013, ni tampoco porque la beneficiaria esté sometida al régimen de clases pasivas del Estado, en tanto que la mayor estabilidad y permanencia del régimen funcionarial frente al laboral no torna en justificada y proporcionada la diferencia de trato que se establece entre parejas de hecho en razón a que hubieran tenido o no hijos en común. A lo que cabe añadir que no son escasos los colectivos de funcionarios que están incluidos en el régimen general de la Seguridad Social.</w:t>
      </w:r>
    </w:p>
    <w:p w:rsidR="00163957" w:rsidRDefault="00163957" w:rsidP="00163957">
      <w:pPr>
        <w:pStyle w:val="TextoNormal"/>
      </w:pPr>
    </w:p>
    <w:p w:rsidR="00163957" w:rsidRDefault="00163957" w:rsidP="00163957">
      <w:pPr>
        <w:pStyle w:val="TextoNormal"/>
      </w:pPr>
      <w:r>
        <w:t xml:space="preserve">Ello conduce a declarar la inconstitucionalidad y nulidad de la letra c) de la disposición adicional decimoquinta de la Ley 51/2007, de 26 de diciembre, de presupuestos generales del Estado para el año 2008 por vulneración directa del principio de igualdad ante la ley (art. 14 CE), cuya declaración tiene efectos </w:t>
      </w:r>
      <w:r w:rsidRPr="00163957">
        <w:rPr>
          <w:i/>
        </w:rPr>
        <w:t>erga omnes</w:t>
      </w:r>
      <w:r>
        <w:t xml:space="preserve"> desde la fecha de la publicación de la presente Sentencia en el “Boletín Oficial del Estado” (art. 164.1 CE y art. 38.1 de la Ley Orgánica del Tribunal Constitucional: LOTC). Sin embargo, esta declaración no permite que, quienes, por no cumplir el requisito de haber tenido hijos en común con el causante, no solicitaron la pensión de viudedad prevista en la citada disposición adicional en los doce meses siguientes a la entrada en vigor de dicha Ley, puedan reclamar ahora la pensión, toda vez que el requisito temporal de la solicitud, establecido en la letra e) de la repetida disposición adicional no ha sido cuestionado ni cabe, como ya se dijo en la STC 41/2013, que este Tribunal extienda al mismo la declaración de inconstitucionalidad y nulidad de la letra c) de dicha disposición, al no concurrir entre uno y otro inciso la conexión o consecuencia que para extender la declaración de nulidad exige el art. 39.1 LOTC, así como tampoco permite revisar procesos fenecidos mediante sentencia con fuerza de cosa juzgada, en los que se haya hecho aplicación de lo dispuesto en la letra c) de la citada disposición adicional (art. 40.1 LOTC).</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la presente cuestión de inconstitucionalidad y, en consecuencia, declarar inconstitucional y nula la letra “c) Que el causante y el beneficiario hubieran tenido hijos comunes”, de la disposición adicional decimoquinta de la Ley 51/2007, de 26 de diciembre, de presupuestos generales del Estado para el año 2008.</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veinticinco de abril de dos mil dieciséis.</w:t>
      </w:r>
    </w:p>
    <w:p w:rsidR="00163957" w:rsidRDefault="00163957" w:rsidP="00163957">
      <w:pPr>
        <w:pStyle w:val="ParrafoNormal"/>
      </w:pPr>
    </w:p>
    <w:p w:rsidR="00163957" w:rsidRDefault="00163957" w:rsidP="00163957">
      <w:pPr>
        <w:pStyle w:val="TextoNormalNegritaCentrado"/>
        <w:keepNext/>
      </w:pPr>
      <w:r>
        <w:t>Voto particular que formula el Presidente don Francisco Pérez de los Cobos Orihuel a la Sentencia dictada por la Sala Primera con fecha 25 de abril de 2016 que resuelve la cuestión de inconstitucionalidad núm. 7331-2015, al que se adhiere el Magistrado don Andrés Ollero Tassara.</w:t>
      </w:r>
    </w:p>
    <w:p w:rsidR="00163957" w:rsidRDefault="00163957" w:rsidP="00163957">
      <w:pPr>
        <w:pStyle w:val="TextoNormalNegritaCentrado"/>
        <w:keepNext/>
      </w:pPr>
    </w:p>
    <w:p w:rsidR="00163957" w:rsidRDefault="00163957" w:rsidP="00163957">
      <w:pPr>
        <w:pStyle w:val="TextoNormal"/>
      </w:pPr>
      <w:r>
        <w:t>Con el debido respeto al parecer mayoritario de la Sala, en uso de la facultad que me atribuye el art. 90.2 de la Ley Orgánica del Tribunal Constitucional, me veo en la obligación de manifestar a través de este Voto particular mi discrepancia con el fallo y la fundamentación jurídica de la Sentencia que ha estimado la presente cuestión de inconstitucionalidad.</w:t>
      </w:r>
    </w:p>
    <w:p w:rsidR="00163957" w:rsidRDefault="00163957" w:rsidP="00163957">
      <w:pPr>
        <w:pStyle w:val="TextoNormal"/>
      </w:pPr>
    </w:p>
    <w:p w:rsidR="00163957" w:rsidRDefault="00163957" w:rsidP="00163957">
      <w:pPr>
        <w:pStyle w:val="TextoNormal"/>
      </w:pPr>
      <w:r>
        <w:t>Dada la analogía de las normas cuestionadas, las razones de mi discrepancia son coincidentes con las que ya manifesté en el Voto particular formulado a la STC 41/2013, de 14 de febrero, en la que la presente Sentencia apoya su decisión. Por ello, para fundamentar mi desacuerdo, me remito a los argumentos expresados en el citado Voto particular.</w:t>
      </w:r>
    </w:p>
    <w:p w:rsidR="00163957" w:rsidRDefault="00163957" w:rsidP="00163957">
      <w:pPr>
        <w:pStyle w:val="TextoNormal"/>
      </w:pPr>
    </w:p>
    <w:p w:rsidR="00163957" w:rsidRDefault="00163957" w:rsidP="00163957">
      <w:pPr>
        <w:pStyle w:val="TextoNormal"/>
      </w:pPr>
      <w:r>
        <w:t>Madrid, a veinticinco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85" w:name="SENTENCIA_2016_82"/>
      <w:r>
        <w:lastRenderedPageBreak/>
        <w:t>SENTENCIA 82/2016, de 28 de abril de 2016</w:t>
      </w:r>
    </w:p>
    <w:bookmarkEnd w:id="85"/>
    <w:p w:rsidR="00163957" w:rsidRDefault="00163957" w:rsidP="00163957">
      <w:pPr>
        <w:pStyle w:val="TtuloResolucin"/>
      </w:pPr>
      <w:r>
        <w:t>Pleno</w:t>
      </w:r>
    </w:p>
    <w:p w:rsidR="00163957" w:rsidRDefault="00163957" w:rsidP="00163957">
      <w:pPr>
        <w:pStyle w:val="TtuloBOE"/>
      </w:pPr>
      <w:r>
        <w:t>(BOE núm. 131, de 31 de mayo de 2016)</w:t>
      </w:r>
    </w:p>
    <w:p w:rsidR="00163957" w:rsidRDefault="00163957" w:rsidP="00163957">
      <w:pPr>
        <w:pStyle w:val="TextoNormalCentrado"/>
      </w:pPr>
      <w:r>
        <w:t>ECLI:ES:TC:2016:82</w:t>
      </w:r>
    </w:p>
    <w:p w:rsidR="00163957" w:rsidRDefault="00163957" w:rsidP="00163957">
      <w:pPr>
        <w:pStyle w:val="TextoNormalCentrado"/>
      </w:pPr>
    </w:p>
    <w:p w:rsidR="00163957" w:rsidRDefault="00163957" w:rsidP="00163957">
      <w:pPr>
        <w:pStyle w:val="SntesisDescriptiva"/>
      </w:pPr>
      <w:r>
        <w:t>Recurso de inconstitucionalidad 9888-2007. Interpuesto por el Presidente de Gobierno respecto de la Ley de las Cortes Valencianas 10/2007, de 20 de marzo, de régimen económico matrimonial valenciano.</w:t>
      </w:r>
    </w:p>
    <w:p w:rsidR="00163957" w:rsidRDefault="00163957" w:rsidP="00163957">
      <w:pPr>
        <w:pStyle w:val="SntesisDescriptiva"/>
      </w:pPr>
    </w:p>
    <w:p w:rsidR="00163957" w:rsidRDefault="00163957" w:rsidP="00163957">
      <w:pPr>
        <w:pStyle w:val="SntesisAnaltica"/>
      </w:pPr>
      <w:r>
        <w:t>Competencias en materia de Derecho civil: Ley autonómica dictada en materia no integrada en el acervo normativo o consuetudinario del Derecho civil histórico valenciano. Voto particular.</w:t>
      </w:r>
    </w:p>
    <w:p w:rsidR="00163957" w:rsidRDefault="00163957" w:rsidP="00163957">
      <w:pPr>
        <w:pStyle w:val="SntesisAnaltica"/>
      </w:pPr>
    </w:p>
    <w:p w:rsidR="00163957" w:rsidRDefault="00163957" w:rsidP="00163957">
      <w:pPr>
        <w:pStyle w:val="Extracto"/>
      </w:pPr>
      <w:r>
        <w:t>1.</w:t>
      </w:r>
      <w:r>
        <w:tab/>
        <w:t>La preexistencia del derecho civil histórico de las Comunidades Autónomas no debe valorarse sino al tiempo de la entrada en vigor de la Constitución, sin que sea lícito remontarse a cualquier otro momento anterior (SSTC 121/1992; 31/2010) [FJ 4].</w:t>
      </w:r>
    </w:p>
    <w:p w:rsidR="00163957" w:rsidRDefault="00163957" w:rsidP="00163957">
      <w:pPr>
        <w:pStyle w:val="Extracto"/>
      </w:pPr>
    </w:p>
    <w:p w:rsidR="00163957" w:rsidRDefault="00163957" w:rsidP="00163957">
      <w:pPr>
        <w:pStyle w:val="Extracto"/>
      </w:pPr>
      <w:r>
        <w:t>2.</w:t>
      </w:r>
      <w:r>
        <w:tab/>
        <w:t>La expresión “allí donde existan” referida a los derechos civiles forales o especiales, como presupuesto indispensable para ejercer la competencia legislativa del art. 149.1.8 CE por las Comunidades Autónomas alude a la previa existencia de un Derecho civil propio (SSTC 28/2012; 81/2013) [FJ 4].</w:t>
      </w:r>
    </w:p>
    <w:p w:rsidR="00163957" w:rsidRDefault="00163957" w:rsidP="00163957">
      <w:pPr>
        <w:pStyle w:val="Extracto"/>
      </w:pPr>
    </w:p>
    <w:p w:rsidR="00163957" w:rsidRDefault="00163957" w:rsidP="00163957">
      <w:pPr>
        <w:pStyle w:val="Extracto"/>
      </w:pPr>
      <w:r>
        <w:t>3.</w:t>
      </w:r>
      <w:r>
        <w:tab/>
        <w:t xml:space="preserve">Respecto a la discriminación y desigualdad de trato que la Generalitat Valenciana denuncia, en comparación con otras Comunidades Autónomas con competencias más amplias en materia de Derecho civil, se aclara que si éstas han podido asumir competencias más amplias es precisamente por cumplir las condiciones establecidas en el art. 149.1.8 CE, y se recuerda que la igualdad de trato </w:t>
      </w:r>
      <w:r w:rsidRPr="00163957">
        <w:rPr>
          <w:i/>
        </w:rPr>
        <w:t>ex</w:t>
      </w:r>
      <w:r>
        <w:t xml:space="preserve"> arts. 14 y 139.1 CE no es predicable de las Comunidades Autónomas, ni puede permitir alterar el régimen de distribución de competencias resultante de la Constitución Española y del bloque de la constitucionalidad [FJ 4].</w:t>
      </w:r>
    </w:p>
    <w:p w:rsidR="00163957" w:rsidRDefault="00163957" w:rsidP="00163957">
      <w:pPr>
        <w:pStyle w:val="Extracto"/>
      </w:pPr>
    </w:p>
    <w:p w:rsidR="00163957" w:rsidRDefault="00163957" w:rsidP="00163957">
      <w:pPr>
        <w:pStyle w:val="Extracto"/>
      </w:pPr>
      <w:r>
        <w:t>4.</w:t>
      </w:r>
      <w:r>
        <w:tab/>
        <w:t>El acuerdo sobre iniciación de las negociaciones entre el Estado y una Comunidad Autónoma, generalmente celebrados en una Comisión Bilateral de Cooperación, desempeña una función de delimitación del contenido de un eventual recurso de inconstitucionalidad posterior [SSTC 8/2012; 197/2015) [FJ 2].</w:t>
      </w:r>
    </w:p>
    <w:p w:rsidR="00163957" w:rsidRDefault="00163957" w:rsidP="00163957">
      <w:pPr>
        <w:pStyle w:val="Extracto"/>
      </w:pPr>
    </w:p>
    <w:p w:rsidR="00163957" w:rsidRDefault="00163957" w:rsidP="00163957">
      <w:pPr>
        <w:pStyle w:val="Extracto"/>
      </w:pPr>
      <w:r>
        <w:t>5.</w:t>
      </w:r>
      <w:r>
        <w:tab/>
        <w:t>Los recursos de inconstitucionalidad en materia competencial no pierden su objeto cuando la norma impugnada es derogada y sustituida por otra que plantea esencialmente los mismos problemas competenciales, para lo cual resulta necesario realizar un contraste entre la Ley impugnada y la Ley vigente (SSTC 168/1993; 18/2011) [FJ 2].</w:t>
      </w:r>
    </w:p>
    <w:p w:rsidR="00163957" w:rsidRDefault="00163957" w:rsidP="00163957">
      <w:pPr>
        <w:pStyle w:val="Extracto"/>
      </w:pPr>
    </w:p>
    <w:p w:rsidR="00163957" w:rsidRDefault="00163957" w:rsidP="00163957">
      <w:pPr>
        <w:pStyle w:val="Extracto"/>
      </w:pPr>
      <w:r>
        <w:t>6.</w:t>
      </w:r>
      <w:r>
        <w:tab/>
        <w:t>Las Comunidades Autónomas con Derecho civil propio deben ejercer sus  competencias legislativas en dicha materia de acuerdo con lo dispuesto en el art. 149.1.8 CE, es decir, con la finalidad de conservar, modificar o desarrollar las normas legales o consuetudinarias que formen parte de su acervo jurídico existente a la entrada en vigor de la Constitución Española [FJ 3].</w:t>
      </w:r>
    </w:p>
    <w:p w:rsidR="00163957" w:rsidRDefault="00163957" w:rsidP="00163957">
      <w:pPr>
        <w:pStyle w:val="Extracto"/>
      </w:pPr>
    </w:p>
    <w:p w:rsidR="00163957" w:rsidRDefault="00163957" w:rsidP="00163957">
      <w:pPr>
        <w:pStyle w:val="Extracto"/>
      </w:pPr>
      <w:r>
        <w:t>7.</w:t>
      </w:r>
      <w:r>
        <w:tab/>
        <w:t>El art. 149.1.8 CE permite entender que la garantía de foralidad se extiende no sólo a aquellos derechos civiles especiales que habían sido objeto de compilación al tiempo de entrada en vigor de la Constitución Española, sino también a normas civiles de ámbito regional o local y de formación consuetudinaria preexistentes a aquel momento (STC 121/1992) [FJ 4].</w:t>
      </w:r>
    </w:p>
    <w:p w:rsidR="00163957" w:rsidRDefault="00163957" w:rsidP="00163957">
      <w:pPr>
        <w:pStyle w:val="Extracto"/>
      </w:pPr>
    </w:p>
    <w:p w:rsidR="00163957" w:rsidRDefault="00163957" w:rsidP="00163957">
      <w:pPr>
        <w:pStyle w:val="Extracto"/>
      </w:pPr>
      <w:r>
        <w:t>8.</w:t>
      </w:r>
      <w:r>
        <w:tab/>
        <w:t>No basta la posible conexión entre los antiguos y derogados Furs del Reino de Valencia y las instituciones económico-matrimoniales reguladas en la  Ley de las Cortes Valencianas 10/2007, pues lo que debe probarse es la pervivencia de las costumbres que le sirven de punto de conexión. (STC 121/1992; 182/1992) [FJ 6].</w:t>
      </w:r>
    </w:p>
    <w:p w:rsidR="00163957" w:rsidRDefault="00163957" w:rsidP="00163957">
      <w:pPr>
        <w:pStyle w:val="Extracto"/>
      </w:pPr>
    </w:p>
    <w:p w:rsidR="00163957" w:rsidRDefault="00163957" w:rsidP="00163957">
      <w:pPr>
        <w:pStyle w:val="Extracto"/>
      </w:pPr>
      <w:r>
        <w:t>9.</w:t>
      </w:r>
      <w:r>
        <w:tab/>
        <w:t>La inconstitucionalidad por conexión puede derivar del análisis conjunto de la norma impugnada aunque no hayan sido objeto de análisis todos los preceptos de dicha regulación, puesto que carece de sentido e incluso podría entrañar una manipulación de la voluntad del legislador dejarlas vigentes en el ordenamiento jurídico (STC 195/1998) [FJ 7].</w:t>
      </w:r>
    </w:p>
    <w:p w:rsidR="00163957" w:rsidRDefault="00163957" w:rsidP="00163957">
      <w:pPr>
        <w:pStyle w:val="Extracto"/>
      </w:pPr>
    </w:p>
    <w:p w:rsidR="00163957" w:rsidRDefault="00163957" w:rsidP="00163957">
      <w:pPr>
        <w:pStyle w:val="Extracto"/>
      </w:pPr>
      <w:r>
        <w:t>10.</w:t>
      </w:r>
      <w:r>
        <w:tab/>
        <w:t>Tras la declaración de nulidad de la Ley que regula el régimen económico matrimonial valenciano siguen rigiendo los matrimonios por el mismo régimen que hubiera gobernado sus relaciones, salvo que su voluntad contraria sea manifestada mediante las oportunas capitulaciones, de acuerdo al principio capitular y respetuoso con las libertades individuales [FJ 8].</w:t>
      </w:r>
    </w:p>
    <w:p w:rsidR="00163957" w:rsidRDefault="00163957" w:rsidP="00163957">
      <w:pPr>
        <w:pStyle w:val="Extracto"/>
      </w:pPr>
    </w:p>
    <w:p w:rsidR="00163957" w:rsidRDefault="00163957" w:rsidP="00163957">
      <w:pPr>
        <w:pStyle w:val="Extracto"/>
      </w:pPr>
      <w:r>
        <w:t>11.</w:t>
      </w:r>
      <w:r>
        <w:tab/>
        <w:t>La declaración de nulidad de la Ley de régimen económico matrimonial valenciano no ha de afectar a las relaciones de los cónyuges con los terceros que, en todo caso, se regirán por el régimen matrimonial vigente en cada momento (STC 27/2015) [FJ 8].</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inconstitucionalidad núm. 9888-2007 promovido por el Presidente de Gobierno contra la totalidad de la Ley de la Comunidad Valenciana 10/2007, de 20 de </w:t>
      </w:r>
      <w:r>
        <w:lastRenderedPageBreak/>
        <w:t>marzo, de régimen económico matrimonial valenciano. Han sido parte la Generalitat Valenciana y las Cortes Valencianas y ha sido Ponente la Magistrada doña Encarnación Roca Trías, quien expresa el parecer de este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21 de diciembre de 2007, el Abogado del Estado, en nombre del Presidente del Gobierno, presentó escrito de interposición de recurso de inconstitucionalidad contra la Ley de las Cortes Valencianas 10/2007, de 20 de marzo, de régimen económico matrimonial valenciano .</w:t>
      </w:r>
    </w:p>
    <w:p w:rsidR="00163957" w:rsidRDefault="00163957" w:rsidP="00163957">
      <w:pPr>
        <w:pStyle w:val="TextoNormal"/>
      </w:pPr>
    </w:p>
    <w:p w:rsidR="00163957" w:rsidRDefault="00163957" w:rsidP="00163957">
      <w:pPr>
        <w:pStyle w:val="TextoNormal"/>
      </w:pPr>
      <w:r>
        <w:t xml:space="preserve">El escrito comienza aclarando que el recurso tiene por objeto la impugnación de la totalidad de la Ley por entender que la regulación contenida en la misma excede de las competencias para la conservación, modificación y desarrollo del Derecho civil propio atribuidas a la Comunidad Autónoma Valenciana en el art. 49.1.2 de su Estatuto de Autonomía (en adelante EAV), vulnerando con ello la competencia exclusiva del Estado sobre legislación civil </w:t>
      </w:r>
      <w:r w:rsidRPr="00163957">
        <w:rPr>
          <w:i/>
        </w:rPr>
        <w:t>ex</w:t>
      </w:r>
      <w:r>
        <w:t xml:space="preserve"> art. 149.1.8 CE. Complementariamente, se impugnan los arts. 27.2 y 39 de la Ley de las Cortes Valencianas 10/2007 por invadir la competencia estatal exclusiva en materia de ordenación de los registros e instrumentos públicos (</w:t>
      </w:r>
      <w:r w:rsidRPr="00163957">
        <w:rPr>
          <w:i/>
        </w:rPr>
        <w:t>ex</w:t>
      </w:r>
      <w:r>
        <w:t xml:space="preserve"> art. 149.1.8 CE).</w:t>
      </w:r>
    </w:p>
    <w:p w:rsidR="00163957" w:rsidRDefault="00163957" w:rsidP="00163957">
      <w:pPr>
        <w:pStyle w:val="TextoNormal"/>
      </w:pPr>
    </w:p>
    <w:p w:rsidR="00163957" w:rsidRDefault="00163957" w:rsidP="00163957">
      <w:pPr>
        <w:pStyle w:val="TextoNormal"/>
      </w:pPr>
      <w:r>
        <w:t>Concretados los motivos, la Abogacía del Estado pasa a exponer los argumentos que le llevan a solicitar la declaración de inconstitucionalidad de la totalidad de la Ley 10/2007:</w:t>
      </w:r>
    </w:p>
    <w:p w:rsidR="00163957" w:rsidRDefault="00163957" w:rsidP="00163957">
      <w:pPr>
        <w:pStyle w:val="TextoNormal"/>
      </w:pPr>
    </w:p>
    <w:p w:rsidR="00163957" w:rsidRDefault="00163957" w:rsidP="00163957">
      <w:pPr>
        <w:pStyle w:val="TextoNormal"/>
      </w:pPr>
      <w:r>
        <w:t>a) Se inicia recordando que la Ley de régimen económico valenciano ha declarado expresamente en su exposición de motivos que el propósito perseguido con su promulgación es el de que sea “el primer paso en la recuperación del Derecho foral valenciano, con el objetivo y la intención de poder desarrollar en el futuro un Código de Derecho foral valenciano que englobe las distintas leyes sectoriales que se promulguen”. En este sentido, ya en el art. 1 de la Ley se afirma que la regulación del régimen económico matrimonial valenciano “se lleva a cabo desde la recuperación del derecho foral civil valenciano y su pertinente desarrollo y adaptación a los valores y principios constitucionales, así como a las nuevas demandas sociales”. Y con esta misma finalidad la Disposición final segunda dispone que “el Código civil, en todas las materias regidas en esta ley, tendrá vigencia, con carácter de derecho supletorio, en defecto de la presente ley, la costumbre, los principios generales del ordenamiento jurídico valenciano, en materia económica matrimonial, y la doctrina jurisprudencial civil del Tribunal Superior de Justicia de la Comunidad Valenciana”.</w:t>
      </w:r>
    </w:p>
    <w:p w:rsidR="00163957" w:rsidRDefault="00163957" w:rsidP="00163957">
      <w:pPr>
        <w:pStyle w:val="TextoNormal"/>
      </w:pPr>
    </w:p>
    <w:p w:rsidR="00163957" w:rsidRDefault="00163957" w:rsidP="00163957">
      <w:pPr>
        <w:pStyle w:val="TextoNormal"/>
      </w:pPr>
      <w:r>
        <w:t>El legislador valenciano pretende amparar la recuperación de los antiguos fueros en el art. 49.1.2 EAV, en relación con el art. 7 y la disposición transitoria tercera del texto estatutario. Así también resulta de su exposición de motivos : “[D]e esta manera, el derecho civil alumbrado en el ejercicio de la competencia del art. 49.1.2 del Estatuto entronca incuestionablemente con el que fuera nuestro derecho foral civil, del que se separa sólo en aquello en lo que se debe dar respuesta a las exigencias más urgentes de nuestra sociedad y en lo que exige el respeto a los valores y principios de nuestra Constitución, la cual opera, precisamente, desde esos mismos principios y valores, como causa irrenunciable de la rein</w:t>
      </w:r>
      <w:r>
        <w:lastRenderedPageBreak/>
        <w:t>tegración a los valencianos del que fue su derecho foral civil, llenando así con esa actualizada y constitucionalizada reintegración, una parte del contenido de la competencia que en el artículo 49.2 del Estatuto de Autonomía reconoce en exclusiva a la Generalitat, de acuerdo con lo establecido en el artículo 7 y la Disposición Transitoria Tercera de ese mismo texto legal.” En idéntico sentido se pronuncia la disposición final primera al proclamar que “la presente ley se dicta al amparo de la competencia que el artículo 49.1.2 del Estatuto de Autonomía de la Comunidad Valenciana atribuye a la Generalitat, para conservar, modificar y desarrollar el derecho foral civil valenciano, recuperando su contenido en lo concerniente al régimen económico matrimonial en plena armonía con la Constitución y la realidad social y económica valenciana, tal y como preceptúan el artículo siete y la Disposición Transitoria Tercera del Estatuto de Autonomía”.</w:t>
      </w:r>
    </w:p>
    <w:p w:rsidR="00163957" w:rsidRDefault="00163957" w:rsidP="00163957">
      <w:pPr>
        <w:pStyle w:val="TextoNormal"/>
      </w:pPr>
    </w:p>
    <w:p w:rsidR="00163957" w:rsidRDefault="00163957" w:rsidP="00163957">
      <w:pPr>
        <w:pStyle w:val="TextoNormal"/>
      </w:pPr>
      <w:r>
        <w:t>b) Para la Abogacía del Estado, la Ley de las Cortes Valencianas 10/2007 rompe con la pacífica interpretación del art. 149.1.8 CE, en cuya virtud las Comunidades Autónomas sin Derecho foral compilado sólo tienen competencia para legislar las costumbres derivadas de los antiguos fueros que hayan subsistido. Interpretación que la Generalitat aceptó la primera vez que ejerció de forma inmediata la competencia sobre Derecho civil con la Ley 6/1986, de 15 diciembre, de arrendamientos históricos valencianos. En su preámbulo ya reconocía que, tras la abolición del Derecho foral por los Decretos de nueva planta, “en la práctica habitual y cotidiana quedaron al menos vestigios o retazos del antiguo régimen foral, en buena medida amparados por el sistema de libertad de pactos y de formas que históricamente ha caracterizado el derecho castellano”. Fue por tanto la Comunidad Valenciana la que aceptó que su competencia sobre Derecho foral civil exigía acreditar la subsistencia de una costumbre derivada de los antiguos fueros. Sin embargo, tras la promulgación de la reforma de su Estatuto de Autonomía (Ley Orgánica 1/2006, de 10 abril), en el que se atribuye competencia exclusiva para la conservación, desarrollo y modificación del Derecho civil foral valenciano (artículo 49.1.2), ha considerado que la competencia autonómica derivada del precepto estatutario no sólo tiene como presupuesto la vigencia de un derecho consuetudinario en el momento de entrar en vigor de la Constitución, sino que su contenido se extiende al desarrollo de las materias reguladas en los Fueros del Reino de Valencia que deben armonizarse con los principios y valores constitucionales. Para el representante del Gobierno de la Nación es evidente pues, que, a través de la modificación estatutaria, lo que se ha pretendido es forzar una diversa interpretación del art. 149.1.8 CE, sin que tal objetivo haya sido alcanzado, porque, en todo caso, cualquier ley civil valenciana queda sometida a la Constitución y a la doctrina constitucional sobre el art. 149.1.8 CE.</w:t>
      </w:r>
    </w:p>
    <w:p w:rsidR="00163957" w:rsidRDefault="00163957" w:rsidP="00163957">
      <w:pPr>
        <w:pStyle w:val="TextoNormal"/>
      </w:pPr>
    </w:p>
    <w:p w:rsidR="00163957" w:rsidRDefault="00163957" w:rsidP="00163957">
      <w:pPr>
        <w:pStyle w:val="TextoNormal"/>
      </w:pPr>
      <w:r>
        <w:t>Por lo demás, recuerda que el término “desarrollo” del art. 149.1.8 CE solamente permite legislar sobre “instituciones conexas con las ya reguladas en la Compilación dentro de una actualización o innovación de los contenidos de ésta” y no ilimitadamente (SSTC 88/1993, 156/1993 y 127/1999) y, por consiguiente, la conclusión que ha de alcanzarse es clara: las competencias autonómicas en materia de Derecho civil exigen la existencia y vigencia efectivas del Derecho foral, incluido el consuetudinario, pues no se puede conservar, modificar o desarrollar aquello que no es una realidad normativa reconocible.</w:t>
      </w:r>
    </w:p>
    <w:p w:rsidR="00163957" w:rsidRDefault="00163957" w:rsidP="00163957">
      <w:pPr>
        <w:pStyle w:val="TextoNormal"/>
      </w:pPr>
    </w:p>
    <w:p w:rsidR="00163957" w:rsidRDefault="00163957" w:rsidP="00163957">
      <w:pPr>
        <w:pStyle w:val="TextoNormal"/>
      </w:pPr>
      <w:r>
        <w:t xml:space="preserve">c) Los Estatutos de Autonomía están jerárquicamente subordinados a la Constitución Española, según resulta de sus arts. 147.2 d) y 161.1 a) y del 27.2 a) de la Ley Orgánica del Tribunal Constitucional (LOTC). Por tanto, dado que no pueden ampliar sus competencias, más allá de lo permitido en la norma fundamental, se insta a llevar a cabo una interpretación </w:t>
      </w:r>
      <w:r>
        <w:lastRenderedPageBreak/>
        <w:t>constitucionalmente respetuosa del art. 7 y de la disposición adicional tercera EAV, cuando aluden a la recuperación de los Fueros del histórico Reino de Valencia. En tal sentido, la Abogacía del Estado sostiene que el art. 7.1 EAV es un precepto competencialmente neutro, que no atribuye competencias a la Generalitat, sino que establece un principio de actuación conforme a la Constitución Española que habrá de informar el ejercicio de las competencias autonómicas. Idéntica interpretación conforme debe hacerse de la disposición adicional tercera del Estatuto de Autonomía para la Comunidad Valenciana, que alude a la recuperación y actualización de la “normativa foral del histórico Reino de Valencia” y lo hace “en los términos establecidos por este Estatuto”, es decir, por el art. 49.1.2 EAV, y “al amparo de la Constitución Española”, esto es, con plena sujeción al art. 149.1.8 CE. En definitiva, el art. 7 y la disposición adicional tercera EAV presuponen una competencia que no se amplía y que se remite al art. 49.1.2 EAV, es decir, a la competencia exclusiva sobre la “conservación, desarrollo y modificación del Derecho civil foral valenciano”, con el contenido y alcance antes expresado. Por último, recuerda lo dicho en la STC 31/2010, FJ 76, a propósito del Estatuto de Autonomía de Cataluña, y afirma la que la competencia estatal del art. 149.1.8 CE es “invulnerable” al legislador estatutario.</w:t>
      </w:r>
    </w:p>
    <w:p w:rsidR="00163957" w:rsidRDefault="00163957" w:rsidP="00163957">
      <w:pPr>
        <w:pStyle w:val="TextoNormal"/>
      </w:pPr>
    </w:p>
    <w:p w:rsidR="00163957" w:rsidRDefault="00163957" w:rsidP="00163957">
      <w:pPr>
        <w:pStyle w:val="TextoNormal"/>
      </w:pPr>
      <w:r>
        <w:t xml:space="preserve">d) Sentado lo anterior, y recordando que el Decreto de nueva planta promulgado el 29 de junio de 1707 supuso la definitiva abolición y derogación de los fueros de Valencia —que nunca se recuperaron, a diferencia de lo ocurrido en otros territorios— el representante del Gobierno de la Nación concluye que tras casi tres siglos de vigencia del Derecho civil común en aquella Comunidad Autónoma, el Derecho civil valenciano que pueda estar vigente es exclusivamente de carácter consuetudinario, y vinculado esencialmente a costumbres de carácter agrario o pesquero, además de los arrendamientos históricos. Por ello, aunque la opinión doctrinal mayoritaria admite la posibilidad de recuperar esas costumbres, rechaza sin embargo la “recuperación romántica o indiscriminada” del Derecho foral valenciano. Así pues, la razón de la impugnación de la de la Ley de las Cortes Valencianas 10/2007 radica en que no refleja una realidad consuetudinaria efectivamente existente, como condición constitucional imprescindible, sino que la crea </w:t>
      </w:r>
      <w:r w:rsidRPr="00163957">
        <w:rPr>
          <w:i/>
        </w:rPr>
        <w:t>ex novo</w:t>
      </w:r>
      <w:r>
        <w:t>, sin conexión alguna con sus usos vigentes, tratando además de resucitar prácticas ya abandonadas por haber sido formalmente derogadas.</w:t>
      </w:r>
    </w:p>
    <w:p w:rsidR="00163957" w:rsidRDefault="00163957" w:rsidP="00163957">
      <w:pPr>
        <w:pStyle w:val="TextoNormal"/>
      </w:pPr>
    </w:p>
    <w:p w:rsidR="00163957" w:rsidRDefault="00163957" w:rsidP="00163957">
      <w:pPr>
        <w:pStyle w:val="TextoNormal"/>
      </w:pPr>
      <w:r>
        <w:t>e) Finaliza sus argumentos en defensa de la inconstitucionalidad de la totalidad de la Ley de régimen económico matrimonial valenciano recordando que, dado que la competencia legislativa civil en este caso la ostenta de manera exclusiva el Estado, aunque la norma valenciana se limitara tan sólo a reproducir exacta y fielmente la norma estatal, sería inconstitucional. Es más, el riesgo de esta práctica legislativa adquiere una especial intensidad cuando concurre el vicio de incompetencia material de la Comunidad Autónoma, “porque si la reproducción de normas estatales por Leyes autonómicas es ya una técnica peligrosamente abierta a potenciales inconstitucionalidades, esta operación se convierte en ilegítima cuando las Comunidades Autónomas carecen de toda competencia para legislar sobre una materia (STC 35/1983). En este sentido, cumple recordando lo declarado por este Tribunal en su STC 10/1982 (FJ 8) y más recientemente recogido en las SSTC 62/1991 [FJ 4, apartado b)] y 147/1993 (FJ 4), es decir que la simple reproducción por la legislación autonómica, además de ser una peligrosa técnica legislativa, incurre en inconstitucionalidad por invasión de competencias en materias cuya regulación no corresponde a las Comunidades Autónomas”.</w:t>
      </w:r>
    </w:p>
    <w:p w:rsidR="00163957" w:rsidRDefault="00163957" w:rsidP="00163957">
      <w:pPr>
        <w:pStyle w:val="TextoNormal"/>
      </w:pPr>
    </w:p>
    <w:p w:rsidR="00163957" w:rsidRDefault="00163957" w:rsidP="00163957">
      <w:pPr>
        <w:pStyle w:val="TextoNormal"/>
      </w:pPr>
      <w:r>
        <w:lastRenderedPageBreak/>
        <w:t>f) Como antes avanzamos, el escrito de dirige un segundo reproche de inconstitucionalidad directamente a los arts. 27.2 y 39 de la Ley de las Cortes Valencianas 10/2007, que regulan la inscripción en el Registro civil de determinados actos, pues no sólo carecen de conexión alguna con una costumbre que derivada de los antiguos fueros subsista en la Comunidad Valenciana, sino que inciden en el título “ordenación de los registros e instrumentos públicos” (art. 149.1.8 CE) que es, en todo caso, materia reservada al Estado.</w:t>
      </w:r>
    </w:p>
    <w:p w:rsidR="00163957" w:rsidRDefault="00163957" w:rsidP="00163957">
      <w:pPr>
        <w:pStyle w:val="TextoNormal"/>
      </w:pPr>
    </w:p>
    <w:p w:rsidR="00163957" w:rsidRDefault="00163957" w:rsidP="00163957">
      <w:pPr>
        <w:pStyle w:val="TextoNormal"/>
      </w:pPr>
      <w:r>
        <w:t>Se concluyó, por todo ello, con la súplica de que se dictara sentencia en la que se declare la inconstitucionalidad y consiguiente nulidad de la Ley impugnada.</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17 de abril de 2008, el Pleno, a propuesta de la Sección Primera, acordó admitir a trámite el recurso de inconstitucionalidad y dar traslado de la demanda y documentos presentados al Congreso de los Diputados y al Senado, así como al Gobierno y a las Cortes Valencianas, al objeto, de que, en el plazo de 15 días, pudieran personarse en el proceso y formular las alegaciones que estimaren convenientes. Se dispuso tener por invocado por el Presidente del Gobierno el art. 161.2 CE, lo que produce la suspensión establecida en el art. 30 LOTC, comunicándolo a los Presidentes del Gobierno y al de las Cortes Valencianas. Por último, se ordenó publicar la formalización del recurso en el “Boletín Oficial del Estado” y en el “Diari Oficial de la Generalitat Valenciana”.</w:t>
      </w:r>
    </w:p>
    <w:p w:rsidR="00163957" w:rsidRDefault="00163957" w:rsidP="00163957">
      <w:pPr>
        <w:pStyle w:val="TextoNormal"/>
      </w:pPr>
    </w:p>
    <w:p w:rsidR="00163957" w:rsidRDefault="00163957" w:rsidP="00163957">
      <w:pPr>
        <w:pStyle w:val="TextoNormal"/>
      </w:pPr>
      <w:r w:rsidRPr="00163957">
        <w:rPr>
          <w:rStyle w:val="NumeroAFNegritaCaracter"/>
        </w:rPr>
        <w:t>3</w:t>
      </w:r>
      <w:r>
        <w:t>. Mediante escrito registrado el día 24 de abril de 2008, el Presidente del Congreso de los Diputados comunicó al Tribunal el acuerdo de la Mesa de la Cámara, de conformidad con el cual el Congreso de los Diputados se persona en el procedimiento y ofrece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escrito registrado el día 30 de abril de 2008, el Presidente del Senado rogó que se tuviera la Cámara por personada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el día 30 de abril, el Director General de la Abogacía General de la Generalitat Valenciana, en su representación y defensa, puso de manifiesto la previsión de que no pudiera presentarse el escrito de alegaciones en el plazo de quince días inicialmente conferido, en atención a la complejidad de la cuestión planteada y a la carga de trabajo que pesa sobre el indicado órgano de la Administración autonómica y , por ello, solicitó la concesión de una prórroga por el máximo legal, siendo atendida dicha petición por providencia de este Tribunal de 8 de mayo de 2008, por la que se prorrogó en ocho días más el plazo concedido por la anterior providencia de 17 de abril de 2008, a contar desde el día siguiente al de expiración del ordinario.</w:t>
      </w:r>
    </w:p>
    <w:p w:rsidR="00163957" w:rsidRDefault="00163957" w:rsidP="00163957">
      <w:pPr>
        <w:pStyle w:val="TextoNormal"/>
      </w:pPr>
    </w:p>
    <w:p w:rsidR="00163957" w:rsidRDefault="00163957" w:rsidP="00163957">
      <w:pPr>
        <w:pStyle w:val="TextoNormal"/>
      </w:pPr>
      <w:r w:rsidRPr="00163957">
        <w:rPr>
          <w:rStyle w:val="NumeroAFNegritaCaracter"/>
        </w:rPr>
        <w:t>6</w:t>
      </w:r>
      <w:r>
        <w:t>. Por escrito registrado el día 23 de mayo de 2008, el Letrado Mayor de las Cortes Valencianas, en su representación y defensa, formuló las siguientes alegaciones:</w:t>
      </w:r>
    </w:p>
    <w:p w:rsidR="00163957" w:rsidRDefault="00163957" w:rsidP="00163957">
      <w:pPr>
        <w:pStyle w:val="TextoNormal"/>
      </w:pPr>
    </w:p>
    <w:p w:rsidR="00163957" w:rsidRDefault="00163957" w:rsidP="00163957">
      <w:pPr>
        <w:pStyle w:val="TextoNormal"/>
      </w:pPr>
      <w:r>
        <w:t>Comienza su escrito advirtiendo que el objeto del recurso no está dirigido frente a la Ley de las Cortes Valencianas 10/2007, sino al Estatuto de Autonomía para la Comunidad Valenciana, dado que se pone en entredicho la competencia de las Cortes Valencianas para elaborar la Ley, por lo que, en definitiva, debe entenderse que es el título y no la Ley lo que se recurre.</w:t>
      </w:r>
    </w:p>
    <w:p w:rsidR="00163957" w:rsidRDefault="00163957" w:rsidP="00163957">
      <w:pPr>
        <w:pStyle w:val="TextoNormal"/>
      </w:pPr>
    </w:p>
    <w:p w:rsidR="00163957" w:rsidRDefault="00163957" w:rsidP="00163957">
      <w:pPr>
        <w:pStyle w:val="TextoNormal"/>
      </w:pPr>
      <w:r>
        <w:t xml:space="preserve">Recuerda que los fueros, privilegios prácticas y costumbres del Reino de Valencia se abolieron mediante el Decreto de 1707 pero, desde entonces, pervivieron usos y costumbres relativos a ciertas costumbres nupciales para concretos supuestos sucesorios. A todo ello suma la tradición valenciana sobre diferentes aspectos diferentes como los sistemas de transmisión de la propiedad; la explotación de recursos naturales; las formas de explotación de la tierra; los contratos para las empresas agrarias o las sucesiones </w:t>
      </w:r>
      <w:r w:rsidRPr="00163957">
        <w:rPr>
          <w:i/>
        </w:rPr>
        <w:t>mortis causa</w:t>
      </w:r>
      <w:r>
        <w:t>. Esos usos y costumbres también se han mantenido en las atribuciones por razón de matrimonio, con influencia en el régimen económico matrimonial, como ha sido defendido por prestigiosos juristas y catedráticos de las universidades valencianas desde hace muchos años hasta fechas recientes.</w:t>
      </w:r>
    </w:p>
    <w:p w:rsidR="00163957" w:rsidRDefault="00163957" w:rsidP="00163957">
      <w:pPr>
        <w:pStyle w:val="TextoNormal"/>
      </w:pPr>
    </w:p>
    <w:p w:rsidR="00163957" w:rsidRDefault="00163957" w:rsidP="00163957">
      <w:pPr>
        <w:pStyle w:val="TextoNormal"/>
      </w:pPr>
      <w:r>
        <w:t>Posteriormente, subraya que ya el art. 3 EAV de 1982, reconocía a la Generalitat Valenciana competencia exclusiva sobre la conservación, modificación y de desarrollo del Derecho civil valenciano en idénticos términos al Estatuto de Galicia (art. 27.4) y del Estatuto de Cataluña (art. 9.2) e, incluso, en materia de Derecho civil contenía alguna peculiaridad no compartida con aquellos, como fue considerar los bienes de herencias intestadas, cuando el causante ostentara la condición política de valenciano, al describir la composición del patrimonio de la Generalitat en su artículo 51.I c). Pero es que, yendo más allá, para el Letrado del Parlamento autonómico no se debe olvidar que el propio Tribunal Constitucional, bajo la vigencia del anterior Estatuto de Autonomía para la Comunidad Valenciana de 1982, reconoció la existencia de un Derecho civil valenciano y la indubitada competencia que la Generalitat Valenciana “para legislar sobre instituciones que han tenido una configuración consuetudinaria específica en su ámbito territorial” (STC 121/1992, de 28 de septiembre).</w:t>
      </w:r>
    </w:p>
    <w:p w:rsidR="00163957" w:rsidRDefault="00163957" w:rsidP="00163957">
      <w:pPr>
        <w:pStyle w:val="TextoNormal"/>
      </w:pPr>
    </w:p>
    <w:p w:rsidR="00163957" w:rsidRDefault="00163957" w:rsidP="00163957">
      <w:pPr>
        <w:pStyle w:val="TextoNormal"/>
      </w:pPr>
      <w:r>
        <w:t xml:space="preserve">La reforma estatutaria de 2006 asume la constitucionalidad de la recuperación y plena actualización del Derecho civil foral y, por consiguiente, no puede llevarse a cabo una “interpretación reduccionista” de la competencia autonómica en materia de Derecho civil que la limite a normas consuetudinarias. En opinión del representante de las Cortes Valencianas, en el actual art. 49.1.2 a) EAV figura ahora la competencia exclusiva de la Generalitat para la “conservación, desarrollo y modificación del Derecho civil foral valenciano”, y la disposición transitoria tercera EAV, la reafirma, señalando que “la competencia exclusiva sobre el Derecho civil foral valenciano se ejercerá, por la Generalitat, en los términos establecidos por este Estatuto, a partir de la normativa foral del histórico Reino de Valencia, que se recupera y actualiza, al amparo de la Constitución española”. Por consiguiente, la incorporación del término “foral” en el nuevo art. 49.1.2 EAV de 2006 despeja definitivamente todas las dudas sobre la plena capacidad legislativa en materia foral, y zanja, de una vez por todas, el debate doctrinal acerca de la expresión “allí donde existan” (art. 149.1.8 CE). A partir de este momento, ya no cabe interpretar el derecho civil autonómico referido sólo a la entrada en vigor de la Constitución Española, sino también a cualquier momento anterior, aunque en 1978 se encontrara derogado. Concluye recordando que la reforma del Estatuto de Autonomía para la Comunidad Valenciana de 2006, por la que se asumió competencia exclusiva en legislación civil valenciana, no ha sido objeto de recurso de inconstitucionalidad y si legislar supone innovar, esta posibilidad debe reconocerse no sólo a las comunidades autónomas que compilaron su propio derecho civil, sino a todas aquellas en las que su Estatuto de Autonomía haya recogido dicha competencia legislativa, quedando siempre reservadas </w:t>
      </w:r>
      <w:r>
        <w:lastRenderedPageBreak/>
        <w:t>al Estado las materias que excluye el propio art. 149.1.8 CE de la acción legislativa autonómica.</w:t>
      </w:r>
    </w:p>
    <w:p w:rsidR="00163957" w:rsidRDefault="00163957" w:rsidP="00163957">
      <w:pPr>
        <w:pStyle w:val="TextoNormal"/>
      </w:pPr>
    </w:p>
    <w:p w:rsidR="00163957" w:rsidRDefault="00163957" w:rsidP="00163957">
      <w:pPr>
        <w:pStyle w:val="TextoNormal"/>
      </w:pPr>
      <w:r>
        <w:t>Asentada de este modo en el marco constitucional la competencia asumida en materia de legislación civil por la Generalitat, el escrito de alegaciones se detiene a analizar la tramitación parlamentaria de la Ley de las Cortes Valencianas 10/2007 y tras repasar cada una de sus fases concluye que aunque la totalidad de la Ley fue aprobada con los votos del grupo parlamentario proponente, contó con el voto favorable de los otros grupos para los arts. 23 y 26 a 30 del texto legal. Asimismo, destaca el elevado número de enmiendas aprobadas, no sólo de las conocidas como enmiendas transaccionales, sino también de las que fueron presentadas por los grupos parlamentarios no proponentes.</w:t>
      </w:r>
    </w:p>
    <w:p w:rsidR="00163957" w:rsidRDefault="00163957" w:rsidP="00163957">
      <w:pPr>
        <w:pStyle w:val="TextoNormal"/>
      </w:pPr>
    </w:p>
    <w:p w:rsidR="00163957" w:rsidRDefault="00163957" w:rsidP="00163957">
      <w:pPr>
        <w:pStyle w:val="TextoNormal"/>
      </w:pPr>
      <w:r>
        <w:t>Finaliza afirmando la constitucionalidad de la Ley de las Cortes Valencianas 10/2007 no sólo en virtud del marco estatutario, sino también de la doctrina constitucional sobre las “instituciones conexas” dado que, a partir de la normativa foral del histórico Reino de Valencia, que se recupera, se ha procedido a actualizarla para adecuarla a los mandatos constitucionales (SSTC 88/1993 y 156/1993).</w:t>
      </w:r>
    </w:p>
    <w:p w:rsidR="00163957" w:rsidRDefault="00163957" w:rsidP="00163957">
      <w:pPr>
        <w:pStyle w:val="TextoNormal"/>
      </w:pPr>
    </w:p>
    <w:p w:rsidR="00163957" w:rsidRDefault="00163957" w:rsidP="00163957">
      <w:pPr>
        <w:pStyle w:val="TextoNormal"/>
      </w:pPr>
      <w:r>
        <w:t>Se solicita, en consecuencia, la íntegra desestimación del recurso de inconstitucionalidad formulado.</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registrado en este Tribunal en fecha 27 de mayo de 2008, el Director General de la Abogacía General de la Generalitat Valenciana presentó sus alegaciones en las que solicita la íntegra desestimación del recurso formulado.</w:t>
      </w:r>
    </w:p>
    <w:p w:rsidR="00163957" w:rsidRDefault="00163957" w:rsidP="00163957">
      <w:pPr>
        <w:pStyle w:val="TextoNormal"/>
      </w:pPr>
    </w:p>
    <w:p w:rsidR="00163957" w:rsidRDefault="00163957" w:rsidP="00163957">
      <w:pPr>
        <w:pStyle w:val="TextoNormal"/>
      </w:pPr>
      <w:r>
        <w:t>El escrito está estructurado diferenciando los aspectos formales, en los que se analiza lo que se entiende que ha sido una irregular configuración de la negociación previa, de los aspectos sustantivos:</w:t>
      </w:r>
    </w:p>
    <w:p w:rsidR="00163957" w:rsidRDefault="00163957" w:rsidP="00163957">
      <w:pPr>
        <w:pStyle w:val="TextoNormal"/>
      </w:pPr>
    </w:p>
    <w:p w:rsidR="00163957" w:rsidRDefault="00163957" w:rsidP="00163957">
      <w:pPr>
        <w:pStyle w:val="TextoNormal"/>
      </w:pPr>
      <w:r>
        <w:t>a) En cuanto al primer bloque relativo a la negociación habida en el seno de la Comisión Bilateral de Cooperación entre la Administración General del Estado y la Generalitat Valenciana reitera las alegaciones realizadas con ocasión del levantamiento de la suspensión. Así, recuerda que, en fecha de 28 de mayo de 2007, se remitió un informe del Director General de Desarrollo Autonómico del Ministerio de las Administraciones Públicas a la Secretaría Autonómica de Política Institucional de la Generalitat de Valencia, en el cual mostraban la posible inconstitucionalidad de una serie de concretos preceptos de la de la Ley de las Cortes Valencianas 10/2007, proponiendo el cauce de cooperación previsto en el art. 33.2 LOTC como fórmula adecuada para la discusión y posible acuerdo de la citada discrepancia.</w:t>
      </w:r>
    </w:p>
    <w:p w:rsidR="00163957" w:rsidRDefault="00163957" w:rsidP="00163957">
      <w:pPr>
        <w:pStyle w:val="TextoNormal"/>
      </w:pPr>
    </w:p>
    <w:p w:rsidR="00163957" w:rsidRDefault="00163957" w:rsidP="00163957">
      <w:pPr>
        <w:pStyle w:val="TextoNormal"/>
      </w:pPr>
      <w:r>
        <w:t xml:space="preserve">Constituida la Comisión bilateral de cooperación, se acordó, en fecha 8 de junio de 2007, iniciar negociaciones para resolver exclusivamente las discrepancias sobre los arts. 15, 17.2, 27.2, 30, 33, 37, 39, 42, 46, 47 y 48 de la Ley de régimen económico matrimonial valenciano, no cuestionando, como posteriormente harían en el recurso, si están acreditadas las costumbres sobre el régimen económico matrimonial propio de los valencianos, sino que se parte en todo momento de la tesis de las “instituciones conexas” desarrollada por el Tribunal Constitucional en su doctrina sobre el ejercicio de la competencia legislativa en materia civil </w:t>
      </w:r>
      <w:r>
        <w:lastRenderedPageBreak/>
        <w:t>y, aunque es cierto que cita la STC 121/1992, relativa al Derecho civil valenciano y la conexión del desarrollo de esta competencia con la existencia de costumbres propias, lo hace de forma tangencial.</w:t>
      </w:r>
    </w:p>
    <w:p w:rsidR="00163957" w:rsidRDefault="00163957" w:rsidP="00163957">
      <w:pPr>
        <w:pStyle w:val="TextoNormal"/>
      </w:pPr>
    </w:p>
    <w:p w:rsidR="00163957" w:rsidRDefault="00163957" w:rsidP="00163957">
      <w:pPr>
        <w:pStyle w:val="TextoNormal"/>
      </w:pPr>
      <w:r>
        <w:t>Tras mantener diversas reuniones para alcanzar un acuerdo sobre los preceptos en conflicto, en la fase final de la negociación (reunión de la Comisión bilateral de 20 de noviembre de 2007), la Abogacía del Estado decide plantear recurso de inconstitucionalidad contra la totalidad de la Ley de las Cortes Valenciana 10/2007, basándose en la doctrina emanada de la STC 121/1992, según la cual, sólo la existencia probada de una costumbre vigente habilita al legislador valenciano para el ejercicio de la competencia para la “conservación, modificación y desarrollo” de su Derecho civil foral (</w:t>
      </w:r>
      <w:r w:rsidRPr="00163957">
        <w:rPr>
          <w:i/>
        </w:rPr>
        <w:t>ex</w:t>
      </w:r>
      <w:r>
        <w:t xml:space="preserve"> art. 149.1.8 CE).</w:t>
      </w:r>
    </w:p>
    <w:p w:rsidR="00163957" w:rsidRDefault="00163957" w:rsidP="00163957">
      <w:pPr>
        <w:pStyle w:val="TextoNormal"/>
      </w:pPr>
    </w:p>
    <w:p w:rsidR="00163957" w:rsidRDefault="00163957" w:rsidP="00163957">
      <w:pPr>
        <w:pStyle w:val="TextoNormal"/>
      </w:pPr>
      <w:r>
        <w:t>En consecuencia, debe anudarse a la patente falta de lealtad institucional la inadmisión, por extemporáneo, del recurso de inconstitucionalidad en todo aquello que exceda de los concretos preceptos que fueron objeto de discusión en la Comisión bilateral. En tal sentido, se recuerda que el plazo ordinario de tres meses para la interposición del recurso de inconstitucionalidad del art. 33.1 LOTC resulta legalmente prorrogado a nueve meses cuando se plantean ante la Comisión bilateral de cooperación “las discrepancias” mantenidas respecto de la ley, disposición o acto con fuerza de ley a impugnar [art. 33.2 b) LOTC], con la finalidad de que pueda producirse un acuerdo que evite el posible recurso. Ahora bien, la prórroga no se extiende a aquellas materias o preceptos que no son objeto de negociación, a las que debe aplicarse el plazo general y, en caso, de que posteriormente se incluyan en el recurso, inevitablemente debe ser considerado parcialmente extemporáneo.</w:t>
      </w:r>
    </w:p>
    <w:p w:rsidR="00163957" w:rsidRDefault="00163957" w:rsidP="00163957">
      <w:pPr>
        <w:pStyle w:val="TextoNormal"/>
      </w:pPr>
    </w:p>
    <w:p w:rsidR="00163957" w:rsidRDefault="00163957" w:rsidP="00163957">
      <w:pPr>
        <w:pStyle w:val="TextoNormal"/>
      </w:pPr>
      <w:r>
        <w:t>b) Seguidamente, dentro ya del bloque denominado “aspectos sustantivos”, se lleva a cabo, en primer lugar, una breve introducción histórica sobre la evolución del Derecho civil foral valenciano, desde su abolición en el año 1707 hasta nuestros días, para concluir que, aun reconociendo la evidente ausencia de una compilación de normas forales valencianas en el momento de aprobar la Constitución, la reivindicación de la recuperación de tal cuerpo legal ha sido una constante histórica.</w:t>
      </w:r>
    </w:p>
    <w:p w:rsidR="00163957" w:rsidRDefault="00163957" w:rsidP="00163957">
      <w:pPr>
        <w:pStyle w:val="TextoNormal"/>
      </w:pPr>
    </w:p>
    <w:p w:rsidR="00163957" w:rsidRDefault="00163957" w:rsidP="00163957">
      <w:pPr>
        <w:pStyle w:val="TextoNormal"/>
      </w:pPr>
      <w:r>
        <w:t xml:space="preserve">c) A continuación, se procede a un detallado análisis sobre el ejercicio de la competencia autonómica en materia de derecho civil foral, que puede resumirse básicamente en las siguientes ideas: en primer lugar, la competencia en legislación civil fue delegada por el Estado a favor de la Generalitat (art. 150.2 CE), primero a través de la Ley Orgánica 12/1982, de 10 de agosto, de transferencia de competencias de titularidad estatal a la Comunidad Autónoma Valenciana, cuyo fin fue equiparar a esta Autonomía con las del art. 151 y disposición transitoria segunda CE, y después fue asumida plenamente por mediante la Ley Orgánica 5/1994, de 5 de marzo, de reforma del Estatuto de Autonomía para la Comunidad Valenciana. En segundo término, esa competencia “trae causa… de lo prevenido en el citado art. 149.1.8 CE”, tal y como proclamó la STC 121/1992, FJ 1, y por consiguiente, tenía por objeto tutelar la foralidad civil valenciana. Sin embargo, la posición expresada en esa misma STC 121/1992, FJ 1, de que la competencia autonómica en materia civil “no puede estimarse referida sino al Derecho consuetudinario que, tras la abolición de los Fueros y hasta nuestros días, subsistiera en el territorio de la Comunidad Autónoma” es inasumible desde un punto de vista técnico-jurídico, por dos razones: ante todo, porque las costumbres forales fueron derogadas, como los mismos fueros, en 1707. En consecuencia, a partir de entonces las </w:t>
      </w:r>
      <w:r>
        <w:lastRenderedPageBreak/>
        <w:t>costumbres que han observado los valencianos son costumbres primero de Derecho castellano y después de Derecho común, de suerte que no puede sostenerse con rigor que en la actualidad estén vigentes costumbres forales. A ello hay que añadir que la simple conversión de esas costumbres en normas legales chocaría con la limitación de su ámbito territorial, de imprecisa y difícil fijación, pues lo normal es que los usos sean locales y no uniformes, así como también con la competencia exclusiva e indelegable del Estado para regular la aplicación y eficacia de las normas jurídicas de acuerdo con el art. 149.1.8 CE.</w:t>
      </w:r>
    </w:p>
    <w:p w:rsidR="00163957" w:rsidRDefault="00163957" w:rsidP="00163957">
      <w:pPr>
        <w:pStyle w:val="TextoNormal"/>
      </w:pPr>
    </w:p>
    <w:p w:rsidR="00163957" w:rsidRDefault="00163957" w:rsidP="00163957">
      <w:pPr>
        <w:pStyle w:val="TextoNormal"/>
      </w:pPr>
      <w:r>
        <w:t>En segundo lugar, la doctrina de la STC 121/1992 encorseta el contenido de las leyes valencianas en términos incompatibles con el ejercicio constitucional y estatutario de la competencia civil, conduciendo a su vaciado e inutilidad, porque es obvia la inexistencia de leyes civiles valencianas posteriores a la de arrendamientos históricos, a la que se refirió la citada STC 121/1992. Frente a ello, el Estatuto de Autonomía para la Comunidad Valenciana de 2006 pretende “el reconocimiento de la Comunidad Valenciana como Nacionalidad Histórica por sus raíces históricas, por su personalidad diferenciada, por su lengua y cultura y por su Derecho civil foral”. Los arts. 7.1, 49.1.2 y disposición transitoria tercera EAV de 2006 parten del contenido de los fueros vigentes al tiempo de su abolición, en el año 1707, para dotar así de sentido a esa competencia previamente transferida (Ley Orgánica 12/1982) y luego asumida (Ley Orgánica 5/1994), respetando siempre, eso sí, los valores y principios constitucionales y estatutarios. De manera que la Ley Orgánica 5/1994 habría derogado la Ley Orgánica 12/1982 “por innecesaria”, pues la citada Ley Orgánica 5/1994 también había modificado la disposición adicional tercera EAV de 1982, en el sentido de descalificar las competencias como transferidas para darles a todas un carácter plenamente estatutario. Para enfocar correctamente este recurso el representante de la Generalitat considera esencial advertir que la competencia legislativa de la Generalitat en materia de Derecho civil no deriva de la aplicación del art. 149.1.8 CE, sino de la transferencia llevada a cabo por la Ley Orgánica 12/1982, tal como reconoce el propio Tribunal Constitucional en su STC 121/1992. En definitiva —se argumenta—, la finalidad de la reforma radica en que la Generalitat pueda ejercer su competencia para legislar Derecho civil valenciano como si no hubiera existido abolición, aunque ello suponga llevar a cabo una reinterpretación del bloque de la constitucionalidad.</w:t>
      </w:r>
    </w:p>
    <w:p w:rsidR="00163957" w:rsidRDefault="00163957" w:rsidP="00163957">
      <w:pPr>
        <w:pStyle w:val="TextoNormal"/>
      </w:pPr>
    </w:p>
    <w:p w:rsidR="00163957" w:rsidRDefault="00163957" w:rsidP="00163957">
      <w:pPr>
        <w:pStyle w:val="TextoNormal"/>
      </w:pPr>
      <w:r>
        <w:t>d) En un apartado dedicado al derecho comparado autonómico, se pone de manifiesto la clara intención del Estatuto de Autonomía para la Comunidad Valenciana, desde su inicial aprobación en el año 1982, de equipararse a los Estatutos de los territorios que gozaban de unos derechos forales compilados en el momento de entrada en vigor de la Constitución Española, alejándose de aquellos otros Estatutos como el asturiano, el extremeño o el murciano, carentes de dicho acerbo jurídico y cuya forma de enfocar sus competencias en materia civil estaba claramente volcada a la tutela de las costumbres que pudieran subsistir.</w:t>
      </w:r>
    </w:p>
    <w:p w:rsidR="00163957" w:rsidRDefault="00163957" w:rsidP="00163957">
      <w:pPr>
        <w:pStyle w:val="TextoNormal"/>
      </w:pPr>
    </w:p>
    <w:p w:rsidR="00163957" w:rsidRDefault="00163957" w:rsidP="00163957">
      <w:pPr>
        <w:pStyle w:val="TextoNormal"/>
      </w:pPr>
      <w:r>
        <w:t xml:space="preserve">A pesar de ello, el trato que el Estado ha conferido a la Comunidad Valenciana en esta materia es absolutamente distinto al otorgado a otras Comunidades Autónomas, produciéndose una discriminación contraria al principio de igualdad consagrado en el art. 14 CE. Basta con traer como ejemplos el entonces vigente art. 9 del Código de familia catalán, relativo a la eficacia civil de los actos inscribibles en el Registro de la Propiedad y en el Registro Civil; la también entonces vigente Ley de las Cortes de Aragón 2/2003, de 12 de febrero, de régimen económico matrimonial y de viudedad; o la Ley 2/2006, de Derecho </w:t>
      </w:r>
      <w:r>
        <w:lastRenderedPageBreak/>
        <w:t>civil de Galicia, en los que todos ellos contienen preceptos muy similares a la Ley valenciana aquí recurrida y, sin embargo, no fueron cuestionados por el Gobierno de la Nación.</w:t>
      </w:r>
    </w:p>
    <w:p w:rsidR="00163957" w:rsidRDefault="00163957" w:rsidP="00163957">
      <w:pPr>
        <w:pStyle w:val="TextoNormal"/>
      </w:pPr>
    </w:p>
    <w:p w:rsidR="00163957" w:rsidRDefault="00163957" w:rsidP="00163957">
      <w:pPr>
        <w:pStyle w:val="TextoNormal"/>
      </w:pPr>
      <w:r>
        <w:t>e) Por último, agrupados bajo el epígrafe “otros aspectos sustantivos contenidos en el recurso interpuesto contra la Ley 10/2007”, la Abogacía de la Generalitat responde a los concretos reproches de inconstitucionalidad que se realizan a la Ley impugnada.</w:t>
      </w:r>
    </w:p>
    <w:p w:rsidR="00163957" w:rsidRDefault="00163957" w:rsidP="00163957">
      <w:pPr>
        <w:pStyle w:val="TextoNormal"/>
      </w:pPr>
    </w:p>
    <w:p w:rsidR="00163957" w:rsidRDefault="00163957" w:rsidP="00163957">
      <w:pPr>
        <w:pStyle w:val="TextoNormal"/>
      </w:pPr>
      <w:r>
        <w:t>Así, de un lado, se opone al genérico argumento utilizado por la representación del Estado sobre la técnica normativa consistente en la reproducción de normas estatales, esencialmente, por la total ausencia de preceptos concretos de la Ley 10/2007 a los que imputar dicha tacha de inconstitucionalidad. Para el Abogado del Gobierno autonómico se trata de una acusación hueca y vacía de contenido, pero en todo caso, dado que la Comunidad Valenciana tiene competencia sobre la materia civil, de acuerdo con la jurisprudencia constitucional, está legitimada para reproducir normas civiles estatales.</w:t>
      </w:r>
    </w:p>
    <w:p w:rsidR="00163957" w:rsidRDefault="00163957" w:rsidP="00163957">
      <w:pPr>
        <w:pStyle w:val="TextoNormal"/>
      </w:pPr>
    </w:p>
    <w:p w:rsidR="00163957" w:rsidRDefault="00163957" w:rsidP="00163957">
      <w:pPr>
        <w:pStyle w:val="TextoNormal"/>
      </w:pPr>
      <w:r>
        <w:t>Por todo ello, solicita en primer lugar, la inadmisión en su totalidad del recurso presentado, por cuanto la cuestión competencial, tal y como se plantea, no fue objeto de negociación previa en el seno de la Comisión bilateral de cooperación entre la Administración general del Estado y la Generalitat Valenciana. Subsidiariamente, que se inadmita parcialmente por extemporaneidad, con respecto al resto de los preceptos distintos a los indicados en el acuerdo de la Comisión bilateral de cooperación prevista en el art. 33.2 LOTC y se desestime el recurso de inconstitucionalidad contra los arts. 15, 17.2, 27.2, 30, 33, 37, 39, 42, 46, 47 y 48 de la Ley de las Cortes Valencianas 10/2007. Por último, también de manera subsidiaria, se solicita que se desestime el recurso de inconstitucionalidad presentado frente al texto completo de la Ley de régimen económico matrimonial valenciano, declarando su conformidad al ordenamiento constitucional y estatutario.</w:t>
      </w:r>
    </w:p>
    <w:p w:rsidR="00163957" w:rsidRDefault="00163957" w:rsidP="00163957">
      <w:pPr>
        <w:pStyle w:val="TextoNormal"/>
      </w:pPr>
    </w:p>
    <w:p w:rsidR="00163957" w:rsidRDefault="00163957" w:rsidP="00163957">
      <w:pPr>
        <w:pStyle w:val="TextoNormal"/>
      </w:pPr>
      <w:r w:rsidRPr="00163957">
        <w:rPr>
          <w:rStyle w:val="NumeroAFNegritaCaracter"/>
        </w:rPr>
        <w:t>8</w:t>
      </w:r>
      <w:r>
        <w:t>. El Pleno del Tribunal Constitucional, por providencia de 24 de abril de 2008, acordó oír a las partes personadas para que en el plazo común de cinco días expusiesen lo que tuvieran por conveniente acerca del mantenimiento o levantamiento de dicha suspensión.</w:t>
      </w:r>
    </w:p>
    <w:p w:rsidR="00163957" w:rsidRDefault="00163957" w:rsidP="00163957">
      <w:pPr>
        <w:pStyle w:val="TextoNormal"/>
      </w:pPr>
    </w:p>
    <w:p w:rsidR="00163957" w:rsidRDefault="00163957" w:rsidP="00163957">
      <w:pPr>
        <w:pStyle w:val="TextoNormal"/>
      </w:pPr>
      <w:r>
        <w:t>Evacuado el trámite de alegaciones conferido, el Pleno del Tribunal, por ATC 156/2008, de 12 de junio, acordó levantar la suspensión de la vigencia de Ley de la Comunidad Valenciana 10/2007, de 20 de marzo, de régimen económico matrimonial valenciano.</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26 de abril de 2016, se señaló para deliberación y fallo de esta Sentencia el día 28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Presidente del Gobierno impugna la Ley de la Comunidad Valenciana 10/2007, de 20 de marzo, de régimen económico matrimonial valenciano, por considerar que incurre en un doble motivo de inconstitucionalidad. En primer lugar, uno de naturaleza competencial, derivado del origen de la norma, al invadirse la competencia exclusiva del Estado en materia de legislación civil derivada del art. 149.1.8 CE, desoyendo la doctrina establecida en la STC 121/1992, de 28 de septiembre, que limita el ámbito de la competencia asumible por la Comunidad Valenciana en la materia al “Derecho consuetudinario que, tras la abolición </w:t>
      </w:r>
      <w:r>
        <w:lastRenderedPageBreak/>
        <w:t>de los Fueros, haya subsistido” Es más, se vulneraría el art. 149.1.8 CE, aunque la norma valenciana se limitara a reproducir exacta y fielmente la norma estatal. El segundo reproche de inconstitucionalidad se dirige contra los arts. 27.2 y 39 de la Ley de régimen económico matrimonial valenciano, que regulan la inscripción en el Registro civil de determinados actos, pues no sólo tal materia carece de conexión con costumbre alguna subsistente en la Comunidad Valenciana, sino lo que todavía es más grave, incide en el título “ordenación de los registros e instrumentos públicos”, donde nunca puede entenderse que tenga competencia legislativa una Comunidad Autónoma con derecho civil propio, pues es una materia reservada al Estado, en todo caso y sin excepción (art. 149.1.8 CE).</w:t>
      </w:r>
    </w:p>
    <w:p w:rsidR="00163957" w:rsidRDefault="00163957" w:rsidP="00163957">
      <w:pPr>
        <w:pStyle w:val="TextoNormal"/>
      </w:pPr>
    </w:p>
    <w:p w:rsidR="00163957" w:rsidRDefault="00163957" w:rsidP="00163957">
      <w:pPr>
        <w:pStyle w:val="TextoNormal"/>
      </w:pPr>
      <w:r>
        <w:t>Los representantes de la Generalitat y de las Cortes valencianas niegan uno y otro reproche y defienden la plena constitucionalidad de la Ley impugnada, apoyándose en los argumentos que han quedado detalladamente expuestos en los antecedentes 7 y 8 de esta resolución. Especialmente, la Generalitat defiende que el calificativo “foral” incluido en el art. 49.1.2 y en la disposición transitoria tercera del Estatuto de Autonomía para la Comunidad Valenciana (EAV) tras la reforma operada por la Ley Orgánica 1/2006, de 10 de abril, para referirse al Derecho civil valenciano, resulta esencial para el entendimiento y resolución de este litigio, por ser el que justifica la plena recuperación del derecho histórico Reino de Valencia, contenido en sus antiguos Furs. Por su parte, la representación de las Cortes Valencianas ahonda en la patente falta de lealtad institucional, que conllevaría a la inadmisión, por su extemporaneidad, del recurso de inconstitucionalidad, en todo aquello que exceda de los concretos preceptos que fueron objeto de discusión en la Comisión Bilateral. Por último, se subraya el significado de la Ley Orgánica 12/1982, de 10 de agosto, de transferencia a la Comunidad Valenciana de competencias en materia de titularidad estatal y en el respeto a doctrina de la STC 121/1992 que ya afirmaba que la competencia legislativa de la Generalitat en materia de Derecho civil no deriva de la aplicación del art. 149.1.8 CE, sino de la transferencia llevada a cabo por la Ley Orgánica 12/1982.</w:t>
      </w:r>
    </w:p>
    <w:p w:rsidR="00163957" w:rsidRDefault="00163957" w:rsidP="00163957">
      <w:pPr>
        <w:pStyle w:val="TextoNormal"/>
      </w:pPr>
    </w:p>
    <w:p w:rsidR="00163957" w:rsidRDefault="00163957" w:rsidP="00163957">
      <w:pPr>
        <w:pStyle w:val="TextoNormal"/>
      </w:pPr>
      <w:r>
        <w:t>Tal y como ha quedado configurado el debate de acuerdo con las alegaciones de las partes, se pide a este Tribunal un doble pronunciamiento: la resolución, en primer término, sobre si la Comunidad Valenciana tiene o no competencia para dictar la norma impugnada, y en segundo lugar, si el contenido de los arts. 27.2 y 39 de la Ley de las Cortes Valencianas 10/2007 es contrario a la materia reservada en todo caso de manera exclusiva al Estado, de conformidad con el último inciso del art. 149.1.8 CE.</w:t>
      </w:r>
    </w:p>
    <w:p w:rsidR="00163957" w:rsidRDefault="00163957" w:rsidP="00163957">
      <w:pPr>
        <w:pStyle w:val="TextoNormal"/>
      </w:pPr>
    </w:p>
    <w:p w:rsidR="00163957" w:rsidRDefault="00163957" w:rsidP="00163957">
      <w:pPr>
        <w:pStyle w:val="TextoNormal"/>
      </w:pPr>
      <w:r w:rsidRPr="00163957">
        <w:rPr>
          <w:rStyle w:val="NumeroAFNegritaCaracter"/>
        </w:rPr>
        <w:t>2</w:t>
      </w:r>
      <w:r>
        <w:t>. Expuestas las posiciones de las partes, conviene realizar algunas precisiones de orden procesal, antes de iniciar el examen de las cuestiones de fondo.</w:t>
      </w:r>
    </w:p>
    <w:p w:rsidR="00163957" w:rsidRDefault="00163957" w:rsidP="00163957">
      <w:pPr>
        <w:pStyle w:val="TextoNormal"/>
      </w:pPr>
    </w:p>
    <w:p w:rsidR="00163957" w:rsidRDefault="00163957" w:rsidP="00163957">
      <w:pPr>
        <w:pStyle w:val="TextoNormal"/>
      </w:pPr>
      <w:r>
        <w:t>a) En primer término, debe resolverse el óbice de extemporaneidad que plantea el Letrado de la Generalitat Valenciana, quien considera que no procede admitir la impugnación en aquellos aspectos que excedan de las discrepancias fijadas en el acuerdo de la Comisión Bilateral de Cooperación de la Administración general del Estado y Generalitat Valenciana, de 8 de junio de 2007 y, dado que el citado acuerdo las circunscribe a los arts. 15, 17.2, 27.2, 30, 33, 37, 39, 42, 46, 47 y 48 de la Ley de régimen económico matrimonial valenciano, la impugnación únicamente debe incluir dichos preceptos.</w:t>
      </w:r>
    </w:p>
    <w:p w:rsidR="00163957" w:rsidRDefault="00163957" w:rsidP="00163957">
      <w:pPr>
        <w:pStyle w:val="TextoNormal"/>
      </w:pPr>
    </w:p>
    <w:p w:rsidR="00163957" w:rsidRDefault="00163957" w:rsidP="00163957">
      <w:pPr>
        <w:pStyle w:val="TextoNormal"/>
      </w:pPr>
      <w:r>
        <w:t xml:space="preserve">La argumentación esgrimida debe compartirse. Como expresamente señala el art. 33.2 b) de la Ley Orgánica del Tribunal Constitucional (LOTC) y como también ha afirmado </w:t>
      </w:r>
      <w:r>
        <w:lastRenderedPageBreak/>
        <w:t>este Tribunal, en los supuestos en que se acuda al trámite conciliatorio previo contemplado en el citado precepto de la Ley Orgánica del Tribunal Constitucional, el marco de la discrepancia o controversia es el que se establece “en el acuerdo sobre iniciación de las negociaciones, que es objeto de publicación oficial y se comunica al Tribunal Constitucional. Es este acuerdo, por tanto, el que desempeña una función de delimitación del contenido de un eventual recurso de inconstitucionalidad posterior” [SSTC 8/2012, de 18 de enero, FJ 2 a); 182/2013, de 23 de octubre, FJ 2 a); 34/2014, de 27 de febrero, FJ 2 a), y 197/2015, de 24 de septiembre, FJ 2 c)].La identificación de los preceptos conflictivos que realiza el acuerdo de la correspondiente Comisión bilateral de cooperación exigido por el art. 33.2 LOTC, limita el ámbito objetivo del recurso de inconstitucionalidad interpuesto ante la constatada imposibilidad de solucionar satisfactoriamente la cuestión controvertida. Ello implica que el objeto del presente recurso quede circunscrito a los 11 preceptos mencionados en el acuerdo de la Comisión Bilateral de Cooperación Administración general del Estado-Generalitat Valenciana de 8 de junio de 2007 (resolución de 8 de junio de 2007, de la Secretaría de Estado de Cooperación Territorial, publicada en el “BOE” de 21 de junio), pues respecto al resto, el recurso es extemporáneo, resultando dicho defecto insubsanable al haber transcurrido ya los plazos de impugnación de la norma establecidos en los apartados 1 y 2 del art. 33 LOTC.</w:t>
      </w:r>
    </w:p>
    <w:p w:rsidR="00163957" w:rsidRDefault="00163957" w:rsidP="00163957">
      <w:pPr>
        <w:pStyle w:val="TextoNormal"/>
      </w:pPr>
    </w:p>
    <w:p w:rsidR="00163957" w:rsidRDefault="00163957" w:rsidP="00163957">
      <w:pPr>
        <w:pStyle w:val="TextoNormal"/>
      </w:pPr>
      <w:r>
        <w:t>Es claro, por tanto, que los requisitos exigidos en el art. 33.2 LOTC se han cumplido respecto a los preceptos expresamente mencionados en el acuerdo de la Comisión Bilateral de Cooperación de 8 de junio de 2007. Sin embargo, no puede decirse lo mismo de los restantes impugnados, pues no se contemplaron en el citado acuerdo, lo que determina que, respecto a ellos, no puedan entenderse cumplidos los requisitos exigidos por la Ley Orgánica del Tribunal Constitucional para hacer posible recurrirlos en el plazo de nueve meses.</w:t>
      </w:r>
    </w:p>
    <w:p w:rsidR="00163957" w:rsidRDefault="00163957" w:rsidP="00163957">
      <w:pPr>
        <w:pStyle w:val="TextoNormal"/>
      </w:pPr>
    </w:p>
    <w:p w:rsidR="00163957" w:rsidRDefault="00163957" w:rsidP="00163957">
      <w:pPr>
        <w:pStyle w:val="TextoNormal"/>
      </w:pPr>
      <w:r>
        <w:t>Por ello no es posible admitir a trámite la presente impugnación en los términos expresados en el suplico del escrito de interposición del recurso, limitándola a los arts. 15, 17.2, 27.2, 30, 33, 37, 39, 42, 46, 47 y 48 de la Ley de las Cortes Valencianas 10/2007.</w:t>
      </w:r>
    </w:p>
    <w:p w:rsidR="00163957" w:rsidRDefault="00163957" w:rsidP="00163957">
      <w:pPr>
        <w:pStyle w:val="TextoNormal"/>
      </w:pPr>
    </w:p>
    <w:p w:rsidR="00163957" w:rsidRDefault="00163957" w:rsidP="00163957">
      <w:pPr>
        <w:pStyle w:val="TextoNormal"/>
      </w:pPr>
      <w:r>
        <w:t>b) También, con carácter previo al enjuiciamiento del fondo, resulta necesario determinar la vigencia de la controversia competencial en los términos en que ha sido planteada, a la vista de las modificaciones operadas en la Ley que es objeto del presente recurso. En efecto, durante la tramitación de este procedimiento, la Ley de régimen económico matrimonial valenciano ha sido objeto de reforma en virtud de la Ley 8/2009, de 4 de noviembre, de la Generalitat, de modificación de determinados preceptos de la Ley 10/2007, de 20 de marzo, de régimen económico matrimonial valenciano. En ésta, concretamente, se derogaron los arts. 30, 37, 47 y 48, y se modificaron tanto el último párrafo del preámbulo, como los arts. 15.2, 17.2, 27.2, 33.1, 39, 42.2 y 46. Dicha Ley 8/2009 entró en vigor al día siguiente de su publicación en el “Diari Oficial de la Comunitat Valenciana”, por lo que, habiendo sido publicada el 10 de noviembre de 2009, entró en vigor el 11 de noviembre de 2009, como precisa la propia disposición final segunda de la Ley de modificación.</w:t>
      </w:r>
    </w:p>
    <w:p w:rsidR="00163957" w:rsidRDefault="00163957" w:rsidP="00163957">
      <w:pPr>
        <w:pStyle w:val="TextoNormal"/>
      </w:pPr>
    </w:p>
    <w:p w:rsidR="00163957" w:rsidRDefault="00163957" w:rsidP="00163957">
      <w:pPr>
        <w:pStyle w:val="TextoNormal"/>
      </w:pPr>
      <w:r>
        <w:t xml:space="preserve">Según el legislador autonómico, si bien la entrada en vigor de la Ley de las Cortes Valencianas 10/2007 de 2007 había demostrado que constituía un instrumento jurídico adecuado para instaurar novedades importantes en la regulación del régimen económico matrimonial valenciano, también se constataba la conveniencia de reconsiderar determinados aspectos puntuales, insistiendo el Preámbulo que se modifica “con el fin de contribuir a una </w:t>
      </w:r>
      <w:r>
        <w:lastRenderedPageBreak/>
        <w:t>mayor claridad normativa y dotar de mayor seguridad a los operadores jurídicos y a los principales destinatarios de la norma, esto es, los ciudadanos y las ciudadanas de la Comunidad Autónoma valenciana. Con la modificación de la Ley de régimen económico matrimonial valenciano se pretende mantener el mismo espíritu que ésta tenía, es decir, la prospectiva de elaborar un Código de Derecho civil foral valenciano”.</w:t>
      </w:r>
    </w:p>
    <w:p w:rsidR="00163957" w:rsidRDefault="00163957" w:rsidP="00163957">
      <w:pPr>
        <w:pStyle w:val="TextoNormal"/>
      </w:pPr>
    </w:p>
    <w:p w:rsidR="00163957" w:rsidRDefault="00163957" w:rsidP="00163957">
      <w:pPr>
        <w:pStyle w:val="TextoNormal"/>
      </w:pPr>
      <w:r>
        <w:t>La doctrina de este Tribunal acerca de la pérdida de objeto de los recursos de inconstitucionalidad con contenido competencial es la siguiente: a) en primer lugar, no pierden objeto cuando la norma impugnada es derogada y sustituida por otra que plantea esencialmente los mismos problemas competenciales, para lo cual resulta necesario realizar un contraste entre la Ley impugnada y la Ley vigente (así, SSTC 168/1993, de 27 de mayo, FJ 7; 61/1997, de 20 de marzo, FJ 3; 196/1997, de 13 de noviembre, FJ 2; 147/1998, de 2 de julio, FJ 5; 233/1999, de 12 de diciembre, FJ 3; 148/2000, de 1 de junio, FJ 3; STC 72/2003, de 10 de abril, FJ 2, y 18/2011, de 3 de marzo, FJ 3, por todas); b) lo mismo se ha afirmado cuando la norma impugnada no ha sido derogada, sino simplemente modificada, siempre y cuando el resultado de esa modificación permita concluir que el nuevo texto legal continúa suscitando, en esencia, los mismos problemas competenciales (así, SSTC 111/2012, de 24 de mayo, FJ 2, y 133/2012, de 19 de junio, FJ 2), pues en caso contrario habrá de concluirse que el recurso de inconstitucionalidad ha perdido su objeto [por todas, STC 143/2012, de 5 de julio, FJ 2 c)] de acuerdo con ese mismo criterio objetivo, si la norma impugnada es lisa y llanamente derogada sin que otra venga a sustituirla, o si la que la sustituye ya no plantea el mismo problema competencial, o si estamos ante una modificación en la que el nuevo texto legal resultante altera la controversia competencial planteada, la conclusión habrá de ser la aplicación de la regla general, según la cual el recurso de inconstitucionalidad se extingue en caso de derogación o modificación normativa, por desaparición sobrevenida del objeto del proceso constitucional.</w:t>
      </w:r>
    </w:p>
    <w:p w:rsidR="00163957" w:rsidRDefault="00163957" w:rsidP="00163957">
      <w:pPr>
        <w:pStyle w:val="TextoNormal"/>
      </w:pPr>
    </w:p>
    <w:p w:rsidR="00163957" w:rsidRDefault="00163957" w:rsidP="00163957">
      <w:pPr>
        <w:pStyle w:val="TextoNormal"/>
      </w:pPr>
      <w:r>
        <w:t>Del análisis de la Ley 8/2009, de 4 de noviembre, se observa que las reformas que se operan en el texto legislativo original de la Ley de las Cortes Valencianas 10/2007 de 2007, se pueden estructurar en cuatro grandes bloques. Como indica el preámbulo, por un lado, se modifican los arts. 15.2, 17.2, 27.2 y 46 de la Ley de régimen económico matrimonial valenciano para remitir al Código civil (CC) —o a la legislación del Estado con carácter general— la regulación de la prescripción de la acción para reclamar el pago de la compensación por trabajo doméstico, el régimen de caducidad de la acción para instar la anulabilidad del acto dispositivo sobre la vivienda habitual de la familia efectuado por el cónyuge titular sin el consentimiento del otro o sin la correspondiente autorización judicial, el régimen de oposición de la carta de nupcias o capitulaciones matrimoniales frente a terceros y la atribución de los bienes poseídos por los cónyuges cuando no se pueda acreditar a cuál de ellos pertenecen.</w:t>
      </w:r>
    </w:p>
    <w:p w:rsidR="00163957" w:rsidRDefault="00163957" w:rsidP="00163957">
      <w:pPr>
        <w:pStyle w:val="TextoNormal"/>
      </w:pPr>
    </w:p>
    <w:p w:rsidR="00163957" w:rsidRDefault="00163957" w:rsidP="00163957">
      <w:pPr>
        <w:pStyle w:val="TextoNormal"/>
      </w:pPr>
      <w:r>
        <w:t>Un segundo bloque lo constituye la supresión, en los arts. 39 y 42.2 de la Ley de las Cortes Valencianas 10/2007, de algunos aspectos del régimen jurídico de la germanía, que afectaban esencialmente a su oponibilida</w:t>
      </w:r>
      <w:r w:rsidRPr="00163957">
        <w:rPr>
          <w:i/>
        </w:rPr>
        <w:t>d erga omn</w:t>
      </w:r>
      <w:r>
        <w:t>es.</w:t>
      </w:r>
    </w:p>
    <w:p w:rsidR="00163957" w:rsidRDefault="00163957" w:rsidP="00163957">
      <w:pPr>
        <w:pStyle w:val="TextoNormal"/>
      </w:pPr>
    </w:p>
    <w:p w:rsidR="00163957" w:rsidRDefault="00163957" w:rsidP="00163957">
      <w:pPr>
        <w:pStyle w:val="TextoNormal"/>
      </w:pPr>
      <w:r>
        <w:t xml:space="preserve">Constituye el tercer bloque la derogación de los arts. 30 y 37 y la disposición transitoria segunda, así como la supresión del último inciso del art. 33.1 de la Ley de régimen económico matrimonial valenciano, todos ellos referentes a aspectos vinculados con el derecho sucesorio. Así, el art. 30 de la Ley de régimen económico matrimonial valenciano regula la </w:t>
      </w:r>
      <w:r>
        <w:lastRenderedPageBreak/>
        <w:t xml:space="preserve">eficacia de la carta de nupcias o capitulaciones matrimoniales tras la muerte de uno de los cónyuges y el art. 37 se ocupa de la colación de las donaciones </w:t>
      </w:r>
      <w:r w:rsidRPr="00163957">
        <w:rPr>
          <w:i/>
        </w:rPr>
        <w:t>propter nuptias</w:t>
      </w:r>
      <w:r>
        <w:t xml:space="preserve">. Por su parte, la disposición transitoria segunda de la Ley de régimen económico matrimonial valenciano supedita esta materia a la futura aprobación de un derecho sucesorio propio, aplicando transitoriamente las normas del Código civil y el último inciso del art. 33.1 de la Ley de las Cortes Valencianas 10/2007 contenía la mención a la posibilidad de realizar la donación </w:t>
      </w:r>
      <w:r w:rsidRPr="00163957">
        <w:rPr>
          <w:i/>
        </w:rPr>
        <w:t>propter nuptias</w:t>
      </w:r>
      <w:r>
        <w:t xml:space="preserve"> con carácter sucesivo a favor de los hijos o las hijas con ocasión del matrimonio, para el caso de defunción de uno de ellos.</w:t>
      </w:r>
    </w:p>
    <w:p w:rsidR="00163957" w:rsidRDefault="00163957" w:rsidP="00163957">
      <w:pPr>
        <w:pStyle w:val="TextoNormal"/>
      </w:pPr>
    </w:p>
    <w:p w:rsidR="00163957" w:rsidRDefault="00163957" w:rsidP="00163957">
      <w:pPr>
        <w:pStyle w:val="TextoNormal"/>
      </w:pPr>
      <w:r>
        <w:t>El cuarto bloque de la reforma deroga los arts. 47 y 48 de la Ley de las Cortes Valencianas 10/2007 y, según se razona, obedece a razones sistemáticas, para dotar de mayor claridad a la regulación de las materias contenidas en la propia Ley (concretamente, se suprimen los preceptos que someten los bienes de los cónyuges al levantamiento de las cargas del matrimonio y que regulan los gastos realizados y a las obligaciones contraídas en el ejercicio de la potestad doméstica ordinaria).</w:t>
      </w:r>
    </w:p>
    <w:p w:rsidR="00163957" w:rsidRDefault="00163957" w:rsidP="00163957">
      <w:pPr>
        <w:pStyle w:val="TextoNormal"/>
      </w:pPr>
    </w:p>
    <w:p w:rsidR="00163957" w:rsidRDefault="00163957" w:rsidP="00163957">
      <w:pPr>
        <w:pStyle w:val="TextoNormal"/>
      </w:pPr>
      <w:r>
        <w:t>De lo expuesto y aplicando la doctrina más arriba resumida, se puede deducir que las modificaciones y derogaciones del texto legal impugnado no suponen la pérdida de objeto del presente recurso de inconstitucionalidad, pues, en la medida en que el recurso discute la competencia autonómica para dictar los preceptos impugnados, es patente que la controversia trabada no se ve alterada por la modificación de algunos de ellos, por lo que subsiste el interés de un pronunciamiento de este Tribunal Constitucional sobre la titularidad de la competencia discutida (SSTC 40/1998, de 19 de febrero, y 233/1999, de 16 de diciembre).</w:t>
      </w:r>
    </w:p>
    <w:p w:rsidR="00163957" w:rsidRDefault="00163957" w:rsidP="00163957">
      <w:pPr>
        <w:pStyle w:val="TextoNormal"/>
      </w:pPr>
    </w:p>
    <w:p w:rsidR="00163957" w:rsidRDefault="00163957" w:rsidP="00163957">
      <w:pPr>
        <w:pStyle w:val="TextoNormal"/>
      </w:pPr>
      <w:r w:rsidRPr="00163957">
        <w:rPr>
          <w:rStyle w:val="NumeroAFNegritaCaracter"/>
        </w:rPr>
        <w:t>3</w:t>
      </w:r>
      <w:r>
        <w:t>. El Abogado del Estado refiere la presente cuestión a la vulneración, por parte del legislador autonómico, de su competencia en materia de derecho civil. El reproche, en este sentido, se dirige contra la totalidad de la Ley de régimen económico matrimonial valenciano, al entender que la materia legislada posee un carácter marcadamente civil, y la Comunidad Autónoma valenciana no puede invocar su competencia para “conservarla, desarrollarla o modificarla” (</w:t>
      </w:r>
      <w:r w:rsidRPr="00163957">
        <w:rPr>
          <w:i/>
        </w:rPr>
        <w:t>ex</w:t>
      </w:r>
      <w:r>
        <w:t xml:space="preserve"> art. 149.1.8 CE), por no haber formado nunca parte de su derecho civil propio.</w:t>
      </w:r>
    </w:p>
    <w:p w:rsidR="00163957" w:rsidRDefault="00163957" w:rsidP="00163957">
      <w:pPr>
        <w:pStyle w:val="TextoNormal"/>
      </w:pPr>
    </w:p>
    <w:p w:rsidR="00163957" w:rsidRDefault="00163957" w:rsidP="00163957">
      <w:pPr>
        <w:pStyle w:val="TextoNormal"/>
      </w:pPr>
      <w:r>
        <w:t xml:space="preserve">Las partes coinciden en el encuadramiento material de los preceptos impugnados, que se insertan en el ámbito relativo al régimen económico matrimonial, y cuya pertenencia a la materia civil no se discute. El ámbito material en el que deben incardinarse las normas cuestionadas es, por tanto, el relativo a derecho civil, por ser ésta la materia directamente afectada, tal y como queda, asimismo, confirmado por la remisión que el preámbulo de la Ley de las Cortes Valencianas 10/2007 realiza al art. 149.1.8 CE. Por tanto, los preceptos de referencia para la resolución de este conflicto son los arts. 149.1.8 CE y 49.1.2 EAV. Según el primero, “[e]l Estado tiene competencia exclusiva sobre las siguientes materias: … Legislación civil, sin perjuicio de la conservación, modificación y desarrollo por las Comunidades Autónomas de los derechos civiles, forales o especiales, allí donde existan. En todo caso, las reglas relativas a la aplicación y eficacia de las normas jurídicas, relaciones jurídico-civiles relativas a las formas de matrimonio, ordenación de los registros e instrumentos públicos, bases de las obligaciones contractuales, normas para resolver los conflictos de leyes y determinación de las fuentes del derecho, con respeto, en este último caso, a las normas de derecho foral o especial”. Por su parte, el art. 49.1.2 EAV dispone que “[l]a </w:t>
      </w:r>
      <w:r>
        <w:lastRenderedPageBreak/>
        <w:t>Generalitat tiene competencia exclusiva sobre las siguientes materias: … Conservación, desarrollo y modificación del Derecho civil foral valenciano”.</w:t>
      </w:r>
    </w:p>
    <w:p w:rsidR="00163957" w:rsidRDefault="00163957" w:rsidP="00163957">
      <w:pPr>
        <w:pStyle w:val="TextoNormal"/>
      </w:pPr>
    </w:p>
    <w:p w:rsidR="00163957" w:rsidRDefault="00163957" w:rsidP="00163957">
      <w:pPr>
        <w:pStyle w:val="TextoNormal"/>
      </w:pPr>
      <w:r>
        <w:t>A pesar de que las partes no discuten la aplicación al caso de las citadas disposiciones, los órganos ejecutivo y legislativo de la Comunidad Valenciana citan además el art. 7.1 y la disposición transitoria tercera EAV y la de la Ley Orgánica 12/1982:</w:t>
      </w:r>
    </w:p>
    <w:p w:rsidR="00163957" w:rsidRDefault="00163957" w:rsidP="00163957">
      <w:pPr>
        <w:pStyle w:val="TextoNormal"/>
      </w:pPr>
    </w:p>
    <w:p w:rsidR="00163957" w:rsidRDefault="00163957" w:rsidP="00163957">
      <w:pPr>
        <w:pStyle w:val="TextoNormal"/>
      </w:pPr>
      <w:r>
        <w:t>a) Para los representantes autonómicos, a través de la Ley Orgánica 12/1982 la Comunidad Autónoma ha asumido plenamente la competencia exclusiva para legislar en materia de Derecho civil. Asunción que fue confirmada posteriormente por la Ley Orgánica 5/1994, de 24 de marzo, de reforma del Estatuto de Autonomía para la Comunidad Valenciana de 1982 y, finalmente, por la reforma de este mismo Estatuto en 2006. De esta manera, es la Ley Orgánica 12/1982 y no el Estatuto de Autonomía para la Comunidad Valenciana la que proporciona la solución a este conflicto.</w:t>
      </w:r>
    </w:p>
    <w:p w:rsidR="00163957" w:rsidRDefault="00163957" w:rsidP="00163957">
      <w:pPr>
        <w:pStyle w:val="TextoNormal"/>
      </w:pPr>
    </w:p>
    <w:p w:rsidR="00163957" w:rsidRDefault="00163957" w:rsidP="00163957">
      <w:pPr>
        <w:pStyle w:val="TextoNormal"/>
      </w:pPr>
      <w:r>
        <w:t>Este argumento no resulta conforme al modelo diseñado por la Constitución Española, al que debemos atenernos de acuerdo con el art. 1.1 LOTC.</w:t>
      </w:r>
    </w:p>
    <w:p w:rsidR="00163957" w:rsidRDefault="00163957" w:rsidP="00163957">
      <w:pPr>
        <w:pStyle w:val="TextoNormal"/>
      </w:pPr>
    </w:p>
    <w:p w:rsidR="00163957" w:rsidRDefault="00163957" w:rsidP="00163957">
      <w:pPr>
        <w:pStyle w:val="TextoNormal"/>
      </w:pPr>
      <w:r>
        <w:t>Las provincias valencianas —tal y como las denomina el preámbulo del Estatuto de Autonomía para la Comunidad Valenciana— accedieron a la autonomía por la vía regulada en el art. 143 CE (STC 81/1993, de 8 de marzo, FJ 2). El legislador estatutario de 1982 estableció la asunción por la Generalitat Valenciana con carácter exclusivo de la competencia en materia de “conservación, modificación y desarrollo del Derecho Civil Valenciano” (art. 31.2 EAV), adecuándose al marco constitucional por medio de la disposición transitoria primera EAV que remitía a una futura Ley Orgánica de transferencia o delegación del ejercicio efectivo de la competencia anunciada. Posteriormente el art. 1 de la Ley Orgánica 12/1982 dispuso:</w:t>
      </w:r>
    </w:p>
    <w:p w:rsidR="00163957" w:rsidRDefault="00163957" w:rsidP="00163957">
      <w:pPr>
        <w:pStyle w:val="TextoNormal"/>
      </w:pPr>
    </w:p>
    <w:p w:rsidR="00163957" w:rsidRDefault="00163957" w:rsidP="00163957">
      <w:pPr>
        <w:pStyle w:val="TextoNormal"/>
      </w:pPr>
      <w:r>
        <w:t>“Por la presente ley, el Estado, de acuerdo con el artículo 152, 2 (sic, quiere decir ciento cincuenta, dos), de la Constitución, transfiere a la Comunidad Autónoma Valenciana todas aquellas competencias correspondientes a materias de titularidad estatal comprendidas en el Estatuto de la Comunidad Valenciana que excedan de las competencias configuradas en el artículo 148 de la Constitución, de acuerdo con los siguientes criterios:</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b) La potestad legislativa sobre tales materias, en cuanto no se encuentre reservada al Estado por la Constitución, podrá ser ejercida por la Comunidad con toda la amplitud prevista en el artículo 150 de aquélla.”</w:t>
      </w:r>
    </w:p>
    <w:p w:rsidR="00163957" w:rsidRDefault="00163957" w:rsidP="00163957">
      <w:pPr>
        <w:pStyle w:val="TextoNormal"/>
      </w:pPr>
    </w:p>
    <w:p w:rsidR="00163957" w:rsidRDefault="00163957" w:rsidP="00163957">
      <w:pPr>
        <w:pStyle w:val="TextoNormal"/>
      </w:pPr>
      <w:r>
        <w:t>Por Ley Orgánica 5/1994, de 24 de marzo, se modificó el Estatuto de Autonomía para la Comunidad Valenciana, disponiendo en su artículo único, la incorporación de todas las competencias atribuidas por éste, con carácter estatutario. Al mismo tiempo, la Ley Orgánica 12/1994, de 24 de marzo, derogó la Ley Orgánica 12/1982.</w:t>
      </w:r>
    </w:p>
    <w:p w:rsidR="00163957" w:rsidRDefault="00163957" w:rsidP="00163957">
      <w:pPr>
        <w:pStyle w:val="TextoNormal"/>
      </w:pPr>
    </w:p>
    <w:p w:rsidR="00163957" w:rsidRDefault="00163957" w:rsidP="00163957">
      <w:pPr>
        <w:pStyle w:val="TextoNormal"/>
      </w:pPr>
      <w:r>
        <w:t xml:space="preserve">Por tanto, según resulta expresamente de la disposición transitoria primera EAV de 1982 y del art. 1.1 de la Ley Orgánica 12/1982, la competencia autonómica en materia de Derecho civil foral valenciano tiene su origen en la transferencia efectuada por la Ley Orgánica </w:t>
      </w:r>
      <w:r>
        <w:lastRenderedPageBreak/>
        <w:t>12/1982, que en ningún caso podía ir más allá de lo dispuesto en el art. 149 CE, por lo que la competencia autonómica se debe situar necesariamente en el marco de lo dispuesto en el art. 149.1.8 CE, que permite a las comunidades autónomas legislar en orden a la conservación, modificación y desarrollo del Derecho civil foral o especial existente a la aprobación del texto constitucional, sin que la argumentación esgrimida por los recurrentes permita admitir la existencia de un Derecho foral valenciano susceptible de actualización independientemente de su preexistencia.</w:t>
      </w:r>
    </w:p>
    <w:p w:rsidR="00163957" w:rsidRDefault="00163957" w:rsidP="00163957">
      <w:pPr>
        <w:pStyle w:val="TextoNormal"/>
      </w:pPr>
    </w:p>
    <w:p w:rsidR="00163957" w:rsidRDefault="00163957" w:rsidP="00163957">
      <w:pPr>
        <w:pStyle w:val="TextoNormal"/>
      </w:pPr>
      <w:r>
        <w:t>b) Pasando ahora al examen del art. 7.1 y de la disposición transitoria tercera EAV, también alegados por los representantes de la Comunidad Autónoma para justificar una reinterpretación del bloque de la constitucionalidad y para solicitar de este Tribunal un apartamiento o matización de la doctrina contenida en la STC 121/1992, debemos igualmente recordar que el actual art. 7.1 EAV establece:</w:t>
      </w:r>
    </w:p>
    <w:p w:rsidR="00163957" w:rsidRDefault="00163957" w:rsidP="00163957">
      <w:pPr>
        <w:pStyle w:val="TextoNormal"/>
      </w:pPr>
    </w:p>
    <w:p w:rsidR="00163957" w:rsidRDefault="00163957" w:rsidP="00163957">
      <w:pPr>
        <w:pStyle w:val="TextoNormal"/>
      </w:pPr>
      <w:r>
        <w:t>“El desarrollo legislativo de las competencias de la Generalitat procurará la recuperación de los contenidos correspondientes de los Fueros del histórico Reino de Valencia en plena armonía con la Constitución y con las exigencias de la realidad social y económica valenciana. Esta reintegración se aplicará, en especial, al entramado institucional del histórico Reino de Valencia y su propia onomástica en el marco de la Constitución Española y de este Estatuto de Autonomía.”</w:t>
      </w:r>
    </w:p>
    <w:p w:rsidR="00163957" w:rsidRDefault="00163957" w:rsidP="00163957">
      <w:pPr>
        <w:pStyle w:val="TextoNormal"/>
      </w:pPr>
    </w:p>
    <w:p w:rsidR="00163957" w:rsidRDefault="00163957" w:rsidP="00163957">
      <w:pPr>
        <w:pStyle w:val="TextoNormal"/>
      </w:pPr>
      <w:r>
        <w:t>Por su parte, la disposición transitoria tercera EAV establece:</w:t>
      </w:r>
    </w:p>
    <w:p w:rsidR="00163957" w:rsidRDefault="00163957" w:rsidP="00163957">
      <w:pPr>
        <w:pStyle w:val="TextoNormal"/>
      </w:pPr>
    </w:p>
    <w:p w:rsidR="00163957" w:rsidRDefault="00163957" w:rsidP="00163957">
      <w:pPr>
        <w:pStyle w:val="TextoNormal"/>
      </w:pPr>
      <w:r>
        <w:t>“La competencia exclusiva sobre el Derecho civil foral valenciano se ejercerá, por la Generalitat, en los términos establecidos por este Estatuto, a partir de la normativa foral del histórico Reino de Valencia, que se recupera y actualiza, al amparo de la Constitución Española.”</w:t>
      </w:r>
    </w:p>
    <w:p w:rsidR="00163957" w:rsidRDefault="00163957" w:rsidP="00163957">
      <w:pPr>
        <w:pStyle w:val="TextoNormal"/>
      </w:pPr>
    </w:p>
    <w:p w:rsidR="00163957" w:rsidRDefault="00163957" w:rsidP="00163957">
      <w:pPr>
        <w:pStyle w:val="TextoNormal"/>
      </w:pPr>
      <w:r>
        <w:t xml:space="preserve">El análisis de la eficacia de tales normas debe comenzar por recordar la posición de los Estatutos de Autonomía en el sistema de fuentes y la posibilidad de éstos de interpretar o regular las competencias reservadas al Estado por el art. 149.1 CE. Para ello resulta “forzoso partir de la obviedad de que el Ordenamiento español se reduce a unidad en la Constitución. Desde ella, y en su marco, los Estatutos de Autonomía confieren al Ordenamiento una diversidad que la Constitución permite, y que se verifica en el nivel legislativo, confiriendo a la autonomía de las Comunidades Autónomas el insoslayable carácter político que le es propio” (STC 31/2010, de 28 de junio, FJ 4). Ciertamente, los Estatutos deben “interpretar necesariamente la Constitución al ejercer la función atributiva de competencias a la correspondiente Comunidad Autónoma que la Constitución le[s] reconoce” en el artículo 147.2 d), aunque, de acuerdo con la posición de subordinación a la Constitución, “es obvio que esa posible regulación normativa estatutaria no puede en ningún caso quebrantar el marco del art. 149.1 CE” (STC 247/2007, de 12 de diciembre, FJ 10, precisamente a propósito del Estatuto de Autonomía para la Comunidad Valenciana 2006). El Estatuto, no es una “norma atributiva de las competencias del Estado”, ni “tampoco es norma de ejercicio de las competencias estatales previstas por el art. 149.1 CE”; por eso “en caso de hacer alguna precisión sobre el alcance de éstas, su constitucionalidad pasa por el respeto de dos límites: el primero, de carácter positivo, consiste en que dicha precisión se ‘haga para favorecer la mayor concreción de las competencias autonómicas que se correlacionan con’ las competencias estatales que puedan presentar problemas de delimitación; y el segundo, de carácter </w:t>
      </w:r>
      <w:r>
        <w:lastRenderedPageBreak/>
        <w:t>negativo, reside en que la precisión estatutaria ‘no impida el despliegue completo de las funciones propias de la competencia estatal regulada en el art. 149.1 CE de que se trate. Sólo si se satisfacen estas exigencias, tal modo de proceder resultará acorde a la Constitución’ (STC 247/2007, FJ 10)” (STC 30/2011, de 16 de marzo, FJ 8).</w:t>
      </w:r>
    </w:p>
    <w:p w:rsidR="00163957" w:rsidRDefault="00163957" w:rsidP="00163957">
      <w:pPr>
        <w:pStyle w:val="TextoNormal"/>
      </w:pPr>
    </w:p>
    <w:p w:rsidR="00163957" w:rsidRDefault="00163957" w:rsidP="00163957">
      <w:pPr>
        <w:pStyle w:val="TextoNormal"/>
      </w:pPr>
      <w:r>
        <w:t>Si bien las previsiones estatutarias pueden de algún modo contribuir a interpretar otras normas de ese mismo Estatuto (interpretación sistemática, prevista en el art. 3.1 del Código civil), y perfilar las competencias reservadas al Estado en el art. 149.1 CE, de acuerdo con su función primordial consagrada en el art. 147.2 d) CE, lo que no pueden hacer en modo alguno es negar o impedir con ello el ejercicio de las competencias propias y exclusivas del Estado, según ese mismo art. 149.1 CE. Estas competencias son indisponibles para el legislador estatutario, como poder constituido que es (STC 247/2007, FFJJ 8 a 10). Precisamente por la subordinación de los Estatutos a la Constitución, “el Estatuto de Autonomía, al igual que el resto del ordenamiento jurídico”, es el que “debe ser interpretado siempre de conformidad con la Constitución” (SSTC 247/2007, FJ 6; y 18/1982, de 4 de mayo, FJ 1, y 31/2010, FJ 3).</w:t>
      </w:r>
    </w:p>
    <w:p w:rsidR="00163957" w:rsidRDefault="00163957" w:rsidP="00163957">
      <w:pPr>
        <w:pStyle w:val="TextoNormal"/>
      </w:pPr>
    </w:p>
    <w:p w:rsidR="00163957" w:rsidRDefault="00163957" w:rsidP="00163957">
      <w:pPr>
        <w:pStyle w:val="TextoNormal"/>
      </w:pPr>
      <w:r>
        <w:t>Aclarado lo anterior, una primera aproximación a los preceptos del Estatuto revela que no contienen norma alguna atributiva de competencias. Más bien, presuponen esa atribución, al tomar como premisa de su mandato “las competencias de la Generalitat” (artículo 7.1) y “competencia exclusiva sobre el Derecho civil foral valenciano” (disposición transitoria tercera). Y ese otro lugar no puede ser más que el art. 49.1.2 EAV, ubicado en el título IV rubricado “las competencias”.</w:t>
      </w:r>
    </w:p>
    <w:p w:rsidR="00163957" w:rsidRDefault="00163957" w:rsidP="00163957">
      <w:pPr>
        <w:pStyle w:val="TextoNormal"/>
      </w:pPr>
    </w:p>
    <w:p w:rsidR="00163957" w:rsidRDefault="00163957" w:rsidP="00163957">
      <w:pPr>
        <w:pStyle w:val="TextoNormal"/>
      </w:pPr>
      <w:r>
        <w:t>El art. 7.1 y la disposición transitoria tercera EAV llaman a los poderes públicos valencianos a ejercer su competencia legislativa en materia de Derecho civil foral valenciano, pero siempre, y así se enfatiza en ambos preceptos, “en el marco de la Constitución Española y de este Estatuto de Autonomía” (art. 7.1 EAV) o “en los términos establecidos por este Estatuto” y “al amparo de la Constitución Española” (disposición transitoria tercera EAV). Es decir que la recuperación y actualización de los antiguos fueros no autoriza al legislador autonómico a exceder la competencia en materia de legislación civil que el art. 149.1.8 CE permite a las Comunidades Autónomas con Derecho civil propio, más allá del cual se encuentra la competencia indisponible del Estado.</w:t>
      </w:r>
    </w:p>
    <w:p w:rsidR="00163957" w:rsidRDefault="00163957" w:rsidP="00163957">
      <w:pPr>
        <w:pStyle w:val="TextoNormal"/>
      </w:pPr>
    </w:p>
    <w:p w:rsidR="00163957" w:rsidRDefault="00163957" w:rsidP="00163957">
      <w:pPr>
        <w:pStyle w:val="TextoNormal"/>
      </w:pPr>
      <w:r>
        <w:t>Hemos de afirmar que la Comunidad Valenciana ha asumido estatutariamente la competencia en materia de “conservación, modificación y desarrollo” de su Derecho civil foral (art. 49.1.2 EAV) y que el calificativo “foral” incluido en la reforma estatutaria referido al Derecho civil foral valenciano (arts. 49.1.2 y disposición transitoria tercera EAV), no puede alterar el techo competencial del art. 149.1.8 CE. Por iguales motivos, debe considerarse irrelevante que la norma estatutaria haya antepuesto el término “desarrollo” al de “modificación”, pues no estamos en presencia de fases legislativas cronológicamente ordenadas, sino de finalidades emprendidas con la tarea legislativa. En último lugar, hay que subrayar que ni la Ley Orgánica 12/1982, ni otros principios informadores de la actuación de los poderes públicos autonómicos contenidos en el Estatuto de Autonomía para la Comunidad Valenciana (en concreto en su art. 7.1 y disposición transitoria tercera) permiten modificar o superar ese ámbito permitido por el art. 149.1.8 CE.</w:t>
      </w:r>
    </w:p>
    <w:p w:rsidR="00163957" w:rsidRDefault="00163957" w:rsidP="00163957">
      <w:pPr>
        <w:pStyle w:val="TextoNormal"/>
      </w:pPr>
    </w:p>
    <w:p w:rsidR="00163957" w:rsidRDefault="00163957" w:rsidP="00163957">
      <w:pPr>
        <w:pStyle w:val="TextoNormal"/>
      </w:pPr>
      <w:r>
        <w:lastRenderedPageBreak/>
        <w:t>En síntesis, debemos afirmar que si bien la Comunidad Autónoma Valenciana posee competencia legislativa en materia de Derecho civil valenciano, tal y como expresa su Estatuto de Autonomía para la Comunidad Valenciana, ésta, como cualquier otra Comunidad Autónoma con Derecho civil propio, debe ejercerse de acuerdo con lo dispuesto en el art. 149.1.8 CE, es decir, con la finalidad de conservar, modificar o desarrollar las normas legales o consuetudinarias que formen parte de su acervo jurídico a la entrada en vigor de la Constitución Española. Que dicha competencia se obtuviera en virtud de la Ley Orgánica 12/1982 en nada empece dicha conclusión, pues el límite a dicha competencia se encuentra claramente señalado por el art. 149.1.8 CE.</w:t>
      </w:r>
    </w:p>
    <w:p w:rsidR="00163957" w:rsidRDefault="00163957" w:rsidP="00163957">
      <w:pPr>
        <w:pStyle w:val="TextoNormal"/>
      </w:pPr>
    </w:p>
    <w:p w:rsidR="00163957" w:rsidRDefault="00163957" w:rsidP="00163957">
      <w:pPr>
        <w:pStyle w:val="TextoNormal"/>
      </w:pPr>
      <w:r w:rsidRPr="00163957">
        <w:rPr>
          <w:rStyle w:val="NumeroAFNegritaCaracter"/>
        </w:rPr>
        <w:t>4</w:t>
      </w:r>
      <w:r>
        <w:t>. El debate queda ceñido, a partir de aquí, a la interpretación que deba dársele al citado art. 149.1.8 CE, a la que este Tribunal ha dado ya respuesta en numerosas ocasiones.</w:t>
      </w:r>
    </w:p>
    <w:p w:rsidR="00163957" w:rsidRDefault="00163957" w:rsidP="00163957">
      <w:pPr>
        <w:pStyle w:val="TextoNormal"/>
      </w:pPr>
    </w:p>
    <w:p w:rsidR="00163957" w:rsidRDefault="00163957" w:rsidP="00163957">
      <w:pPr>
        <w:pStyle w:val="TextoNormal"/>
      </w:pPr>
      <w:r>
        <w:t xml:space="preserve">a) La expresión “allí donde existan” referida a los derechos civiles forales o especiales, como presupuesto indispensable para ejercer la competencia legislativa </w:t>
      </w:r>
      <w:r w:rsidRPr="00163957">
        <w:rPr>
          <w:i/>
        </w:rPr>
        <w:t>ex</w:t>
      </w:r>
      <w:r>
        <w:t xml:space="preserve"> art. 149.1.8 CE alude a la previa existencia de un Derecho civil propio (SSTC 28/2012, de 1 de marzo, FJ 3; y 81/2013, de 11 de abril, FJ 4). Una preexistencia que no debe valorarse además con referencia a cualquier coordenada temporal, como se pretende desde la Comunidad Autónoma, sino muy precisamente “al tiempo de la entrada en vigor de la Constitución” (STC 121/1992, de 28 de septiembre, FJ 1) o “a la entrada en vigor de la Constitución” (SSTC 88/1993, de 12 de marzo, FJ 1; y 31/2010, de 28 de junio, FJ 76), sin que sea lícito, remontarse a cualquier otro momento anterior. Ahora bien, y como también tuvimos ocasión de señalar precisamente en relación con la Comunidad Valenciana, “[el]l amplio enunciado de esta última salvedad (‘derechos civiles forales o especiales’) permite entender que su remisión alcanza no sólo a aquellos derechos civiles especiales que habían sido objeto de compilación al tiempo de la entrada en vigor de la Constitución, sino también a normas civiles de ámbito regional o local y de formación consuetudinaria preexistentes a la Constitución” y que “tras la abolición de los Fueros y hasta nuestros días, subsistiera en el territorio de la Comunidad Autónoma, siendo notoria la inexistencia de toda regla escrita que, antes de la Ley hoy impugnada, ordenara en dicho ámbito cualquier instituto civil de modo especial respecto al Derecho común” (STC 121/1992, FJ 1). Y en el mismo sentido nos hemos pronunciado en la STC 182/1992, FJ 3, aunque ésta en relación con la Comunidad Autónoma de Galicia.</w:t>
      </w:r>
    </w:p>
    <w:p w:rsidR="00163957" w:rsidRDefault="00163957" w:rsidP="00163957">
      <w:pPr>
        <w:pStyle w:val="TextoNormal"/>
      </w:pPr>
    </w:p>
    <w:p w:rsidR="00163957" w:rsidRDefault="00163957" w:rsidP="00163957">
      <w:pPr>
        <w:pStyle w:val="TextoNormal"/>
      </w:pPr>
      <w:r>
        <w:t>b) El contenido de esa competencia está siempre vinculado a la “conservación, modificación y desarrollo” de ese Derecho civil foral o especial previamente existente. De modo pues que como dijimos en la STC 88/1993, de 12 de marzo, FJ 1, los concretos términos empleados por la Constitución (“conservación, modificación y desarrollo”) son los que “dan positivamente la medida y el límite primero de las competencias así atribuibles y ejercitables y con arreglo a los que habrá que apreciar -como después haremos- la constitucionalidad o inconstitucionalidad de las normas en tal ámbito dictadas por el Legislador autonómico”. Y esta doctrina se ha reiterado igualmente en las SSTC 156/1993, de 6 de mayo, FJ 1 a); 31/2010, de 28 de junio, FJ 76, y 4/2014, de 16 de enero, FJ 4 e).</w:t>
      </w:r>
    </w:p>
    <w:p w:rsidR="00163957" w:rsidRDefault="00163957" w:rsidP="00163957">
      <w:pPr>
        <w:pStyle w:val="TextoNormal"/>
      </w:pPr>
    </w:p>
    <w:p w:rsidR="00163957" w:rsidRDefault="00163957" w:rsidP="00163957">
      <w:pPr>
        <w:pStyle w:val="TextoNormal"/>
      </w:pPr>
      <w:r>
        <w:t xml:space="preserve">c) Por lo que se refiere a cualquier institución jurídico civil, haya sido recogida por norma positiva o consuetudinaria, hay que señalar que, para el ejercicio de la competencia legislativa, la acreditación de su existencia en el momento de entrada en vigor de la Constitución Española se erige en presupuesto indispensable. Por tanto, no cabe más que volver a afirmar </w:t>
      </w:r>
      <w:r>
        <w:lastRenderedPageBreak/>
        <w:t xml:space="preserve">lo declarado en la STC 121/1992, FJ 2: “la existencia de un especial régimen consuetudinario para determinados arrendamientos rústicos en el actual territorio de la Comunidad Autónoma valenciana se constituye en auténtico presupuesto </w:t>
      </w:r>
      <w:r w:rsidRPr="00163957">
        <w:rPr>
          <w:i/>
        </w:rPr>
        <w:t>ex</w:t>
      </w:r>
      <w:r>
        <w:t xml:space="preserve"> art. 149.1.8 CE para el válido ejercicio de la competencia conferida por el art. 31.2 del Estatuto de Autonomía y que dicha competencia solo podrá ejercerse en la medida en que tal régimen consuetudinario sea efectivamente reconocible sobre el objeto ordenado, hasta la adopción de la Ley hoy impugnada, por la costumbre”. La reforma del Estatuto de Autonomía para la Comunidad Valenciana producida en el año 2006, no permite modificar esta interpretación que impone la letra de la norma constitucional.</w:t>
      </w:r>
    </w:p>
    <w:p w:rsidR="00163957" w:rsidRDefault="00163957" w:rsidP="00163957">
      <w:pPr>
        <w:pStyle w:val="TextoNormal"/>
      </w:pPr>
    </w:p>
    <w:p w:rsidR="00163957" w:rsidRDefault="00163957" w:rsidP="00163957">
      <w:pPr>
        <w:pStyle w:val="TextoNormal"/>
      </w:pPr>
      <w:r>
        <w:t xml:space="preserve">d) En relación con los conocidos antecedentes históricos que proporcionan el sustrato de legitimidad de la reivindicación y la denuncia que hace la Generalitat Valenciana acerca de su discriminación y desigualdad de trato en comparación con otras Comunidades Autónomas con competencias más amplias en materia de Derecho civil, hemos de aclarar que si han podido asumir esas competencias más amplias es precisamente por cumplir las condiciones establecidas en el art. 149.1.8 CE, recordando en todo caso que la igualdad de trato </w:t>
      </w:r>
      <w:r w:rsidRPr="00163957">
        <w:rPr>
          <w:i/>
        </w:rPr>
        <w:t>ex</w:t>
      </w:r>
      <w:r>
        <w:t xml:space="preserve"> arts. 14 y 139.1 CE no es predicable de las Comunidades Autónomas, ni puede permitir alterar el régimen de distribución de competencias resultante de la Constitución Española y del bloque de la constitucionalidad, (por todas, STC 20/2013, de 31 de enero, FJ 10).</w:t>
      </w:r>
    </w:p>
    <w:p w:rsidR="00163957" w:rsidRDefault="00163957" w:rsidP="00163957">
      <w:pPr>
        <w:pStyle w:val="TextoNormal"/>
      </w:pPr>
    </w:p>
    <w:p w:rsidR="00163957" w:rsidRDefault="00163957" w:rsidP="00163957">
      <w:pPr>
        <w:pStyle w:val="TextoNormal"/>
      </w:pPr>
      <w:r>
        <w:t>Es preciso advertir, también, que una interpretación razonada y no arbitraria del art. 149.1.8 CE solamente permite reiterar y no rectificar la doctrina de la STC 121/1992, y, en consecuencia, entender, en una interpretación de acuerdo con la Constitución Española, que el art. 7.1 y la disposición transitoria tercera EAV, se refieren a las normas forales cuya aplicación siga perdurando en ese territorio autonómico. Dicho de otra manera, el art. 149.1.8 CE permite entender que la garantía de foralidad se extiende no sólo a aquellos derechos civiles especiales que habían sido objeto de compilación al tiempo de entrada en vigor de la Constitución Española, sino también a normas civiles de ámbito regional o local y de formación consuetudinaria preexistentes a aquel momento. Conviene destacar, además, que el respeto constitucional proclamado en el art. 149.1.8 CE alcanza también al sistema de fuentes normativas establecido en cada uno de los Derechos forales, pues así se dispone expresamente en la norma constitucional citada (“y determinación de las fuentes del Derecho, con respeto en este último caso, a las normas de Derecho foral o especial”). En el caso de la Comunidad Autónoma Valenciana, como ya pusimos de manifiesto, la costumbre es susceptible de legislarse, de tal modo que el ejercicio de la competencia legislativa autonómica, el derecho consuetudinario pasa a ser Derecho legislado.</w:t>
      </w:r>
    </w:p>
    <w:p w:rsidR="00163957" w:rsidRDefault="00163957" w:rsidP="00163957">
      <w:pPr>
        <w:pStyle w:val="TextoNormal"/>
      </w:pPr>
    </w:p>
    <w:p w:rsidR="00163957" w:rsidRDefault="00163957" w:rsidP="00163957">
      <w:pPr>
        <w:pStyle w:val="TextoNormal"/>
      </w:pPr>
      <w:r w:rsidRPr="00163957">
        <w:rPr>
          <w:rStyle w:val="NumeroAFNegritaCaracter"/>
        </w:rPr>
        <w:t>5</w:t>
      </w:r>
      <w:r>
        <w:t>. Es innegable la consideración del Derecho consuetudinario como fuente del ordenamiento “siempre que no sea contraria a la moral y al orden público, y que resulte probada” (art.1.1 CC). Esta constatación origina que, ya desde ahora, debamos afirmar que el hecho de que la Comunidad Autónoma valenciana haya asumido el desarrollo legislativo de sus instituciones civiles (EAV), permite que reglas de su ordenamiento que quedaron cristalizadas en normas consuetudinarias puedan llegar a convertirse en normas legales en virtud del ejercicio de tal competencia. Sin embargo, la cuestión planteada en el presente recurso no ha de centrarse en la competencia de Valencia para legislar sus costumbres -para lo que indudablemente posee competencia-, sino en determinar si las instituciones jurídicas que pretende convertir en norma legal, es decir, en derecho escrito legislado, pertenecen o no a su derecho consuetudinario.</w:t>
      </w:r>
    </w:p>
    <w:p w:rsidR="00163957" w:rsidRDefault="00163957" w:rsidP="00163957">
      <w:pPr>
        <w:pStyle w:val="TextoNormal"/>
      </w:pPr>
    </w:p>
    <w:p w:rsidR="00163957" w:rsidRDefault="00163957" w:rsidP="00163957">
      <w:pPr>
        <w:pStyle w:val="TextoNormal"/>
      </w:pPr>
      <w:r>
        <w:t>Cuando se invoca una norma consuetudinaria, debe comprobarse su pervivencia y aplicación a través del tiempo. Esta exigencia está prevista de manera general para todo el ordenamiento jurídico español para los derechos civiles ya sean forales o especiales, ya para el derecho civil común. De este modo, se exige la acreditación de su existencia, ya que desde antiguo sólo las costumbres notorias están exentas de prueba.</w:t>
      </w:r>
    </w:p>
    <w:p w:rsidR="00163957" w:rsidRDefault="00163957" w:rsidP="00163957">
      <w:pPr>
        <w:pStyle w:val="TextoNormal"/>
      </w:pPr>
    </w:p>
    <w:p w:rsidR="00163957" w:rsidRDefault="00163957" w:rsidP="00163957">
      <w:pPr>
        <w:pStyle w:val="TextoNormal"/>
      </w:pPr>
      <w:r w:rsidRPr="00163957">
        <w:rPr>
          <w:rStyle w:val="NumeroAFNegritaCaracter"/>
        </w:rPr>
        <w:t>6</w:t>
      </w:r>
      <w:r>
        <w:t>. Aplicando la doctrina de la STC 121/1992, resulta que la validez de la Ley de las Cortes Valencianas 10/2007 depende de que la Comunidad Autónoma pueda acreditar la existencia de reglas consuetudinarias que en materia de régimen económico matrimonial existieran en vigor a la entrada en vigor de la Constitución Española, como sucedió en el caso de los arrendamientos rústicos, o bien otra institución civil diferente a la regulada pero “conexa” con ella, de manera que pueda servir de base para apreciar un “desarrollo” de su Derecho civil propio.</w:t>
      </w:r>
    </w:p>
    <w:p w:rsidR="00163957" w:rsidRDefault="00163957" w:rsidP="00163957">
      <w:pPr>
        <w:pStyle w:val="TextoNormal"/>
      </w:pPr>
    </w:p>
    <w:p w:rsidR="00163957" w:rsidRDefault="00163957" w:rsidP="00163957">
      <w:pPr>
        <w:pStyle w:val="TextoNormal"/>
      </w:pPr>
      <w:r>
        <w:t xml:space="preserve">Según la STC 88/1993, si la “conservación” permite —por lo que a la Comunidad Valenciana interesa— “la formalización legislativa de costumbres efectivamente vigentes en el propio ámbito territorial” (FJ 2), y la modificación, añadimos ahora, presupone esa norma anterior que es la que se reforma o modifica, el “desarrollo”, por su parte, habilita para “una ordenación legislativa de ámbitos hasta entonces no normados por aquel Derecho, pues lo contrario llevaría a la inadmisible identificación de tal concepto con el más restringido de ‘modificación’” (FJ 3). Cabe pues, continúa aquella Sentencia, “que las Comunidades Autónomas dotadas de Derecho civil foral o especial regulen instituciones conexas con las ya reguladas en la Compilación [entiéndase aquí, ya vigentes como costumbre] dentro de una actualización o innovación de los contenidos de ésta según los principios informadores peculiares del Derecho foral” pero sin que ello “signifi[que], claro está, en consonancia con lo anteriormente expuesto, una competencia legislativa civil ilimitada </w:t>
      </w:r>
      <w:r w:rsidRPr="00163957">
        <w:rPr>
          <w:i/>
        </w:rPr>
        <w:t>ratione materiae</w:t>
      </w:r>
      <w:r>
        <w:t xml:space="preserve"> dejada a la disponibilidad de las Comunidades Autónomas, que pugnaría con lo dispuesto en el art. 149.1.8 C.E., por lo mismo que no podría reconocer su fundamento en la singularidad civil que la Constitución ha querido, por vía competencial, garantizar” (</w:t>
      </w:r>
      <w:r w:rsidRPr="00163957">
        <w:rPr>
          <w:i/>
        </w:rPr>
        <w:t>loc. cit</w:t>
      </w:r>
      <w:r>
        <w:t>.). Esta doctrina ha sido igualmente reiterada en las SSTC 156/1993, 31/2010 y 4/2014, ya citadas.</w:t>
      </w:r>
    </w:p>
    <w:p w:rsidR="00163957" w:rsidRDefault="00163957" w:rsidP="00163957">
      <w:pPr>
        <w:pStyle w:val="TextoNormal"/>
      </w:pPr>
    </w:p>
    <w:p w:rsidR="00163957" w:rsidRDefault="00163957" w:rsidP="00163957">
      <w:pPr>
        <w:pStyle w:val="TextoNormal"/>
      </w:pPr>
      <w:r>
        <w:t xml:space="preserve">Tras los avatares codificadores y la solución dada a la llamada cuestión foral, donde no estaba Valencia, a día de hoy el art. 149.1.8 CE le reconoce competencia legislativa sobre aquellas materias civiles que forman parte de su acervo normativo o consuetudinario antes de la entrada en vigor de la Constitución Española. El Estatuto de Autonomía para la Comunidad Valenciana tanto en su redacción primigenia como en la reciente reforma, asume idéntica competencia sobre el Derecho civil valenciano, pero tal competencia legislativa sólo puede tener por objeto las probadas y subsistentes costumbres forales que se hayan observado en determinadas zonas del territorio autonómico, siendo vetado a la Comunidad Autónoma valenciana crear un Derecho civil </w:t>
      </w:r>
      <w:r w:rsidRPr="00163957">
        <w:rPr>
          <w:i/>
        </w:rPr>
        <w:t>ex novo</w:t>
      </w:r>
      <w:r>
        <w:t>.</w:t>
      </w:r>
    </w:p>
    <w:p w:rsidR="00163957" w:rsidRDefault="00163957" w:rsidP="00163957">
      <w:pPr>
        <w:pStyle w:val="TextoNormal"/>
      </w:pPr>
    </w:p>
    <w:p w:rsidR="00163957" w:rsidRDefault="00163957" w:rsidP="00163957">
      <w:pPr>
        <w:pStyle w:val="TextoNormal"/>
      </w:pPr>
      <w:r>
        <w:t xml:space="preserve">Por último, no basta la posible conexión entre los antiguos y derogados Furs del Reino de Valencia y las instituciones económico-matrimoniales reguladas en la  Ley de las Cortes Valencianas 10/2007, pues lo que debe probarse es la pervivencia de las costumbres que le sirven de punto de conexión. A este respecto, a diferencia de lo sucedido con los arrendamientos históricos, no se ha acreditado la vigencia de tales costumbres [STC 121/1992, FJ 2 a)], como le correspondía hacer de conformidad con nuestra doctrina (SSTC 121/1992, FJ </w:t>
      </w:r>
      <w:r>
        <w:lastRenderedPageBreak/>
        <w:t>2, y 182/1992, FJ 3). No se olvide que de acuerdo con el art. 1.3 del Código civil, dedicado a las “Fuentes del derecho”, “[l]a costumbre sólo regirá… siempre que… resulte probada”. Y no es la primera vez que este Tribunal acude al título preliminar del Código civil para reconocer instituciones generales de nuestro ordenamiento, como la buena fe (STC 198/1988, de 24 de octubre, FJ 2) o el fraude de ley.</w:t>
      </w:r>
    </w:p>
    <w:p w:rsidR="00163957" w:rsidRDefault="00163957" w:rsidP="00163957">
      <w:pPr>
        <w:pStyle w:val="TextoNormal"/>
      </w:pPr>
    </w:p>
    <w:p w:rsidR="00163957" w:rsidRDefault="00163957" w:rsidP="00163957">
      <w:pPr>
        <w:pStyle w:val="TextoNormal"/>
      </w:pPr>
      <w:r>
        <w:t>En suma, a la vista de las circunstancias concurrentes y de las razones expuestas, hemos de concluir que en este caso no se ha aportado prueba que permita apreciar la concurrencia de los requisitos que el art. 149.1.8 CE exige a la Comunidad Autónoma de Valencia para legislar un régimen económico matrimonial propio, en uso de su competencia para conservar, desarrollar o modificar su propio Derecho civil valenciano, lo que determinará el sentido de la presente resolución. Sobre este particular debemos subrayar que cuando se invocan normas consuetudinarias, el ordenamiento jurídico exige la prueba de su existencia, salvo que sean notorias, precisamente para distinguirlas de los meros usos sociales o convencionales, del mero hábito, aparte del difícil acceso a su conocimiento por los aplicadores del derecho y por ello excluida tradicionalmente del deber judicial de conocimiento (</w:t>
      </w:r>
      <w:r w:rsidRPr="00163957">
        <w:rPr>
          <w:i/>
        </w:rPr>
        <w:t>iura novit curia</w:t>
      </w:r>
      <w:r>
        <w:t>). En el caso de las normas contenidas en la Ley de régimen económico matrimonial valenciano no se ha demostrado su pervivencia, aplicación y cumplimiento con la creencia de tratarse de verdaderas normas jurídicas, siendo en este caso imprescindible, dada la derogación de los antiguos Fueros del Reino de Valencia.</w:t>
      </w:r>
    </w:p>
    <w:p w:rsidR="00163957" w:rsidRDefault="00163957" w:rsidP="00163957">
      <w:pPr>
        <w:pStyle w:val="TextoNormal"/>
      </w:pPr>
    </w:p>
    <w:p w:rsidR="00163957" w:rsidRDefault="00163957" w:rsidP="00163957">
      <w:pPr>
        <w:pStyle w:val="TextoNormal"/>
      </w:pPr>
      <w:r>
        <w:t>Respecto de la competencia en materia civil de la Comunidad Valenciana ya ha habido un pronunciamiento del Tribunal Constitucional con ocasión de la Ley de arrendamientos históricos valencianos, pero tal reconocimiento tan sólo conlleva que le deba seguir siendo aplicado el art. 149.1.8 CE y continuar afirmando que su competencia legislativa sólo puede tener por objeto las probadas y subsistentes costumbres forales que se hayan seguido observado en dicho territorio autonómico.</w:t>
      </w:r>
    </w:p>
    <w:p w:rsidR="00163957" w:rsidRDefault="00163957" w:rsidP="00163957">
      <w:pPr>
        <w:pStyle w:val="TextoNormal"/>
      </w:pPr>
    </w:p>
    <w:p w:rsidR="00163957" w:rsidRDefault="00163957" w:rsidP="00163957">
      <w:pPr>
        <w:pStyle w:val="TextoNormal"/>
      </w:pPr>
      <w:r>
        <w:t>De todo lo razonado hasta aquí se deriva la falta de competencia de la Comunidad Valenciana para regular la materia comprendida en la Ley de régimen económico matrimonial valenciano y ello debe conducir a declarar la nulidad de todos los preceptos que así lo hagan, porque, a pesar de que efectivamente este Tribunal ha reconocido la posibilidad legítima de legislar las normas civiles consuetudinarias, en el caso de la materia económica-matrimonial concernida en la Ley de régimen económico matrimonial valenciano no se ha probado su vigencia en el territorio autonómico y, en consecuencia, no se cumplen los requisitos exigidos por el art. 149.1.8 CE para el reconocimiento de la competencia a la Comunidad Autónoma.</w:t>
      </w:r>
    </w:p>
    <w:p w:rsidR="00163957" w:rsidRDefault="00163957" w:rsidP="00163957">
      <w:pPr>
        <w:pStyle w:val="TextoNormal"/>
      </w:pPr>
    </w:p>
    <w:p w:rsidR="00163957" w:rsidRDefault="00163957" w:rsidP="00163957">
      <w:pPr>
        <w:pStyle w:val="TextoNormal"/>
      </w:pPr>
      <w:r w:rsidRPr="00163957">
        <w:rPr>
          <w:rStyle w:val="NumeroAFNegritaCaracter"/>
        </w:rPr>
        <w:t>7</w:t>
      </w:r>
      <w:r>
        <w:t>. Sentado todo lo anterior, este Tribunal estima necesario, al amparo del art. 39 LOTC, además de la inconstitucionalidad de los arts. 15, 17.2, 27.2, 30, 33, 37, 39, 42, 46, 47 y 48 de la Ley de las Cortes Valencianas 10/2007 que son los únicos impugnados que no se han declarado extemporáneos declarar la inconstitucionalidad del resto de normas que integran la Ley 10/2007, de 20 de marzo, de régimen económico matrimonial valenciano impugnada por conexión o consecuencia, dado que la vulneración competencial declarada concurre en todas las disposiciones que en ella se contienen.</w:t>
      </w:r>
    </w:p>
    <w:p w:rsidR="00163957" w:rsidRDefault="00163957" w:rsidP="00163957">
      <w:pPr>
        <w:pStyle w:val="TextoNormal"/>
      </w:pPr>
    </w:p>
    <w:p w:rsidR="00163957" w:rsidRDefault="00163957" w:rsidP="00163957">
      <w:pPr>
        <w:pStyle w:val="TextoNormal"/>
      </w:pPr>
      <w:r>
        <w:t xml:space="preserve">En tal sentido, el resto de normas que integran la regulación del régimen económico matrimonial valenciano establecido en la Ley de régimen económico matrimonial valenciano </w:t>
      </w:r>
      <w:r>
        <w:lastRenderedPageBreak/>
        <w:t>incurren en la misma e idéntica causa de inconstitucionalidad, al carecer la Comunidad Autónoma de Valencia competencia para legislar en esta materia, por no haber acreditado la existencia de costumbre vigente alguna que le sirva de apoyo para el desarrollo de su Derecho civil propio (art. 149.1.8 CE). La inconstitucionalidad por conexión de los artículos antes citados se deriva del análisis del conjunto que forman con los impugnados. Se trata de una unidad inescindible con las normas en las que se ha apreciado el vicio de inconstitucionalidad, dado que el legislador autonómico las ha concebido como un todo unitario y, sin duda, carece de sentido e incluso podría entrañar una manipulación de la voluntad del legislador dejarlas vigentes en el ordenamiento jurídico, aisladas del conjunto normativo en el que nacieron y que les da pleno sentido (STC 195/1998, FJ 2).</w:t>
      </w:r>
    </w:p>
    <w:p w:rsidR="00163957" w:rsidRDefault="00163957" w:rsidP="00163957">
      <w:pPr>
        <w:pStyle w:val="TextoNormal"/>
      </w:pPr>
    </w:p>
    <w:p w:rsidR="00163957" w:rsidRDefault="00163957" w:rsidP="00163957">
      <w:pPr>
        <w:pStyle w:val="TextoNormal"/>
      </w:pPr>
      <w:r>
        <w:t>A estos efectos, este Tribunal considera innecesario llevar a cabo un análisis de cada uno de los preceptos de dicha Ley de las Cortes Valencianas 10/2007, toda vez que basta una mera lectura del total de su articulado para reparar en que todos ellos son marcadamente de naturaleza civil, referidos todos ellos a las disposiciones que rigen el régimen económico de los cónyuges, constituyendo una regulación unitaria basada exclusivamente en el título competencial contenido en el art. 149.1.8 CE, como así declara y reconoce el propio legislador valenciano.</w:t>
      </w:r>
    </w:p>
    <w:p w:rsidR="00163957" w:rsidRDefault="00163957" w:rsidP="00163957">
      <w:pPr>
        <w:pStyle w:val="TextoNormal"/>
      </w:pPr>
    </w:p>
    <w:p w:rsidR="00163957" w:rsidRDefault="00163957" w:rsidP="00163957">
      <w:pPr>
        <w:pStyle w:val="TextoNormal"/>
      </w:pPr>
      <w:r>
        <w:t>Por último, hay que advertir que declarada la inconstitucionalidad de los preceptos antes mencionados por vulneración de la competencia en materia de legislación civil del art. 149.1.8 CE, resulta innecesario el examen del segundo reproche de inconstitucionalidad formulado por la Abogacía del Estado respecto de la posible vulneración de los arts. 27.2 y 39 de la Ley de régimen económico matrimonial valenciano por invadir la competencia estatal en materia de ordenación de los registros e instrumentos públicos (art. 149.1.8 CE).</w:t>
      </w:r>
    </w:p>
    <w:p w:rsidR="00163957" w:rsidRDefault="00163957" w:rsidP="00163957">
      <w:pPr>
        <w:pStyle w:val="TextoNormal"/>
      </w:pPr>
    </w:p>
    <w:p w:rsidR="00163957" w:rsidRDefault="00163957" w:rsidP="00163957">
      <w:pPr>
        <w:pStyle w:val="TextoNormal"/>
      </w:pPr>
      <w:r w:rsidRPr="00163957">
        <w:rPr>
          <w:rStyle w:val="NumeroAFNegritaCaracter"/>
        </w:rPr>
        <w:t>8</w:t>
      </w:r>
      <w:r>
        <w:t>. La declaración de inconstitucionalidad de la Ley de las Cortes Valencianas 10/2007 obliga a este Tribunal a pronunciarse sobre los efectos que va a producir.</w:t>
      </w:r>
    </w:p>
    <w:p w:rsidR="00163957" w:rsidRDefault="00163957" w:rsidP="00163957">
      <w:pPr>
        <w:pStyle w:val="TextoNormal"/>
      </w:pPr>
    </w:p>
    <w:p w:rsidR="00163957" w:rsidRDefault="00163957" w:rsidP="00163957">
      <w:pPr>
        <w:pStyle w:val="TextoNormal"/>
      </w:pPr>
      <w:r>
        <w:t>Nuestro pronunciamiento de inconstitucionalidad no afectará a las situaciones jurídicas consolidadas, pues este Tribunal entiende que si durante la vigencia de la Ley de régimen económico matrimonial valenciano, que ahora se declara inconstitucional, los cónyuges sujetos al Derecho civil foral valenciano no han hecho uso de su facultad de capitulación, se debe a su voluntad de someterse al régimen subsidiario en primer grado que aquélla establece.</w:t>
      </w:r>
    </w:p>
    <w:p w:rsidR="00163957" w:rsidRDefault="00163957" w:rsidP="00163957">
      <w:pPr>
        <w:pStyle w:val="TextoNormal"/>
      </w:pPr>
    </w:p>
    <w:p w:rsidR="00163957" w:rsidRDefault="00163957" w:rsidP="00163957">
      <w:pPr>
        <w:pStyle w:val="TextoNormal"/>
      </w:pPr>
      <w:r>
        <w:t>En este sentido, hay que subrayar que el Derecho civil —sea el común o el foral— es eminentemente un derecho creado por y para los particulares, que resuelve los problemas que puedan surgir en sus relaciones privadas. Es el derecho de la autonomía de la voluntad por antonomasia que surge como máxima expresión de la libertad y, por ello, es un ordenamiento conformado en su mayor parte por normas de carácter dispositivo, es decir, primero rigen los pactos y subsidiariamente la norma legal.</w:t>
      </w:r>
    </w:p>
    <w:p w:rsidR="00163957" w:rsidRDefault="00163957" w:rsidP="00163957">
      <w:pPr>
        <w:pStyle w:val="TextoNormal"/>
      </w:pPr>
    </w:p>
    <w:p w:rsidR="00163957" w:rsidRDefault="00163957" w:rsidP="00163957">
      <w:pPr>
        <w:pStyle w:val="TextoNormal"/>
      </w:pPr>
      <w:r>
        <w:t>Dada la naturaleza dispositiva y la primacía de la autonomía de la voluntad que rige esta disciplina, los particulares deben seguir alcanzando libremente sus pactos de autorregulación, sometiéndose a la reglamentación que estimen más acorde a sus intereses.</w:t>
      </w:r>
    </w:p>
    <w:p w:rsidR="00163957" w:rsidRDefault="00163957" w:rsidP="00163957">
      <w:pPr>
        <w:pStyle w:val="TextoNormal"/>
      </w:pPr>
    </w:p>
    <w:p w:rsidR="00163957" w:rsidRDefault="00163957" w:rsidP="00163957">
      <w:pPr>
        <w:pStyle w:val="TextoNormal"/>
      </w:pPr>
      <w:r>
        <w:lastRenderedPageBreak/>
        <w:t>Por tal motivo, rigiendo en esta materia el principio capitular y siendo respetuoso con las libertades individuales, tras la publicación de esta Sentencia, seguirán rigiéndose por el mismo régimen económico matrimonial que hubiera gobernado sus relaciones, salvo que su voluntad contraria sea manifestada mediante las oportunas capitulaciones. Por lo demás, la declaración de nulidad de la Ley de régimen económico matrimonial valenciano no ha de afectar a las relaciones de los cónyuges con los terceros que, en todo caso, se regirán por el régimen matrimonial vigente en cada momento (por todas, STC 27/2015, FJ 7).</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inconstitucionalidad y, en consecuencia:</w:t>
      </w:r>
    </w:p>
    <w:p w:rsidR="00163957" w:rsidRDefault="00163957" w:rsidP="00163957">
      <w:pPr>
        <w:pStyle w:val="TextoNormal"/>
      </w:pPr>
    </w:p>
    <w:p w:rsidR="00163957" w:rsidRDefault="00163957" w:rsidP="00163957">
      <w:pPr>
        <w:pStyle w:val="TextoNormal"/>
      </w:pPr>
      <w:r>
        <w:t>1º Declarar inconstitucionales y nulos los arts. 15, 17.2, 27.2, 30, 33, 37, 39, 42, 46, 47 y 48 de la Ley de la Comunidad Valenciana 10/2007, de 20 de marzo, de régimen económico matrimonial valenciano, con los efectos previstos en el fundamento jurídico 8.</w:t>
      </w:r>
    </w:p>
    <w:p w:rsidR="00163957" w:rsidRDefault="00163957" w:rsidP="00163957">
      <w:pPr>
        <w:pStyle w:val="TextoNormal"/>
      </w:pPr>
    </w:p>
    <w:p w:rsidR="00163957" w:rsidRDefault="00163957" w:rsidP="00163957">
      <w:pPr>
        <w:pStyle w:val="TextoNormal"/>
      </w:pPr>
      <w:r>
        <w:t>2º Declarar igualmente inconstitucionales y nulos por conexión con lo dispuesto en el apartado primero de este fallo, el resto de artículos y disposiciones de la Ley de la Comunidad Valenciana 10/2007, de 20 de marzo, de régimen económico matrimonial valenciano con los efectos previstos en el fundamento jurídico 7.</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veintiocho de abril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Juan Antonio Xiol Ríos a la Sentencia dictada en el recurso de inconstitucionalidad número 9888-2007 interpuesto contra la Ley de la Comunidad Valenciana 10/2007, del 20 marzo, de régimen económico matrimonial valenciano.</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en la que se sustenta la Sentencia, manifiesto mi discrepancia con la fundamentación jurídica y con el fallo, el cual, en mi opinión, hubiera debido ser sustancialmente desestimatorio.</w:t>
      </w:r>
    </w:p>
    <w:p w:rsidR="00163957" w:rsidRDefault="00163957" w:rsidP="00163957">
      <w:pPr>
        <w:pStyle w:val="TextoNormal"/>
      </w:pPr>
    </w:p>
    <w:p w:rsidR="00163957" w:rsidRDefault="00163957" w:rsidP="00163957">
      <w:pPr>
        <w:pStyle w:val="TextoNormal"/>
      </w:pPr>
      <w:r>
        <w:t>1. La ley impugnada se funda en una competencia reconocida inequívocamente en la reforma del Estatuto de Autonomía de la Comunitat Valenciana.</w:t>
      </w:r>
    </w:p>
    <w:p w:rsidR="00163957" w:rsidRDefault="00163957" w:rsidP="00163957">
      <w:pPr>
        <w:pStyle w:val="TextoNormal"/>
      </w:pPr>
    </w:p>
    <w:p w:rsidR="00163957" w:rsidRDefault="00163957" w:rsidP="00163957">
      <w:pPr>
        <w:pStyle w:val="TextoNormal"/>
      </w:pPr>
      <w:r>
        <w:t xml:space="preserve">La modificación del año 2006 del Estatuto de Autonomía de la Comunitat Valenciana ha alterado sustancialmente la competencia de esta comunidad autónoma en materia civil, pues (i) en general para todas las competencias, el art. 7.1 dirige un mandato a la Generalitat para “la recuperación de los contenidos correspondientes de los Fueros del histórico Reino de Valencia”; (ii) específicamente en materia civil, la disposición transitoria tercera realiza de </w:t>
      </w:r>
      <w:r>
        <w:lastRenderedPageBreak/>
        <w:t>manera expresa una consagración de la “competencia exclusiva” sobre el “Derecho civil foral valenciano”, ejercida “a partir de la normativa foral del histórico Reino de Valencia, que se recupera y actualiza al amparo de la Constitución Española”; y (iii) en el art. 49.1.2 reconoce la competencia de la Comunidad para la “[c]onservación, desarrollo y modificación” del Derecho civil valenciano, ahora calificado reiteradamente a lo largo del nuevo de Estatuto de Autonomía (en las seis ocasiones en que aparece) como “foral”, frente a ninguna en el texto originario.</w:t>
      </w:r>
    </w:p>
    <w:p w:rsidR="00163957" w:rsidRDefault="00163957" w:rsidP="00163957">
      <w:pPr>
        <w:pStyle w:val="TextoNormal"/>
      </w:pPr>
    </w:p>
    <w:p w:rsidR="00163957" w:rsidRDefault="00163957" w:rsidP="00163957">
      <w:pPr>
        <w:pStyle w:val="TextoNormal"/>
      </w:pPr>
      <w:r>
        <w:t>La opinión mayoritaria en que se funda la Sentencia, sin embargo, parte de la suposición de que la situación competencial de la Comunitat Valenciana en materia de Derecho civil es exactamente la misma que con anterioridad a la modificación del año 2006, a pesar de que en el primitivo Estatuto de Autonomía no se hacía referencia alguna al Derecho foral histórico. Para sustentar esta posición afirma que la disposición transitoria y el artículo séptimo carecen de relevancia alguna desde el punto de vista competencial. Considera, en suma, que el único artículo relevante a efectos competenciales es el citado artículo 49.1.2 (que, por cierto, también incluye por vez primera la palabra “foral”).</w:t>
      </w:r>
    </w:p>
    <w:p w:rsidR="00163957" w:rsidRDefault="00163957" w:rsidP="00163957">
      <w:pPr>
        <w:pStyle w:val="TextoNormal"/>
      </w:pPr>
    </w:p>
    <w:p w:rsidR="00163957" w:rsidRDefault="00163957" w:rsidP="00163957">
      <w:pPr>
        <w:pStyle w:val="TextoNormal"/>
      </w:pPr>
      <w:r>
        <w:t>A mi juicio resulta del todo imposible desconocer la importancia que tiene en materia competencial la citada disposición transitoria (que, recordemos, invoca la “competencia exclusiva” en materia civil), el artículo séptimo, y, en su conjunto, la apelación a la normativa foral histórica del Reino de Valencia, reiterada persistentemente en el nuevo Estatuto. Mantener que las referidas disposiciones carecen de relevancia competencial alguna implica, a mi juicio, una trivialización de la modificación del Estatuto de Autonomía y, en último término, del Estatuto en sí y de la normativa foral histórica cuya recuperación se ordena en el marco del ejercicio de la competencia en Derecho civil de la Generalitat. Por no salirme de las referencias al Código civil felizmente gratas (al menos en este caso) a la opinión mayoritaria, debo recordar que una norma capital en la interpretación de los contratos, unánimemente considerada aplicable también a cualquier proposición jurídica, y por ende, a las normas, establece que si una cláusula admite diversos sentidos deberá entenderse en el más adecuado para que produzca efecto. Con la interpretación que sustenta la opinión mayoritaria la disposición transitoria tercera del Estatuto de Autonomía se limitaría a dirigir un evanescente mandato al legislador para que al desarrollar el Derecho civil trate de armonizarlo con el contenido de los antiguos fueros. Este mandato, aparte de estéril, no tendría sentido, habida cuenta del carácter consuetudinario al que la propia opinión mayoritaria reduce el alcance del Derecho civil valenciano.</w:t>
      </w:r>
    </w:p>
    <w:p w:rsidR="00163957" w:rsidRDefault="00163957" w:rsidP="00163957">
      <w:pPr>
        <w:pStyle w:val="TextoNormal"/>
      </w:pPr>
    </w:p>
    <w:p w:rsidR="00163957" w:rsidRDefault="00163957" w:rsidP="00163957">
      <w:pPr>
        <w:pStyle w:val="TextoNormal"/>
      </w:pPr>
      <w:r>
        <w:t>El texto de la referida disposición transitoria, en relación con el artículo 7.1 del Estatuto de Autonomía, hace prevalecer sin lugar a dudas la interpretación de que en ella se trata de la recuperación de la normativa histórica de la Comunidad Valenciana vinculada a los antiguos fueros (no se opone a ello la discutible opinión mayoritaria según la cual Valencia ha estado ausente de la “cuestión foral”), y así se deduce también del devenir histórico de su aprobación.</w:t>
      </w:r>
    </w:p>
    <w:p w:rsidR="00163957" w:rsidRDefault="00163957" w:rsidP="00163957">
      <w:pPr>
        <w:pStyle w:val="TextoNormal"/>
      </w:pPr>
    </w:p>
    <w:p w:rsidR="00163957" w:rsidRDefault="00163957" w:rsidP="00163957">
      <w:pPr>
        <w:pStyle w:val="TextoNormal"/>
      </w:pPr>
      <w:r>
        <w:t xml:space="preserve">El rigor imponía que, como traté de exponer durante la deliberación con más extensión que en este Voto particular (agradeciendo la paciencia demostrada por mis colegas), el Tribunal se plantease si la recuperación del Derecho histórico valenciano cabe o no en la Constitución. En el caso de que la respuesta mayoritaria, como parece inevitable (en contra de </w:t>
      </w:r>
      <w:r>
        <w:lastRenderedPageBreak/>
        <w:t>mi criterio), hubiera sido negativa, habría sido necesario que el Tribunal se hubiera planteado la constitucionalidad de la disposición transitoria tercera del Estatuto de Autonomía, pues así lo ordena la Ley Orgánica del Tribunal Constitucional (LOTC). Según esta ley si la competencia controvertida hubiera sido atribuida por ley o norma con rango de ley (y un estatuto de autonomía es una ley orgánica definidora de las competencias de la comunidad autónoma), el conflicto de competencia se tramitará desde su inicio o, en su caso, desde que en defensa de la competencia ejercida se invocare la existencia de la norma legal habilitante, en la forma prevista para el recurso de inconstitucionalidad (artículo 67).</w:t>
      </w:r>
    </w:p>
    <w:p w:rsidR="00163957" w:rsidRDefault="00163957" w:rsidP="00163957">
      <w:pPr>
        <w:pStyle w:val="TextoNormal"/>
      </w:pPr>
    </w:p>
    <w:p w:rsidR="00163957" w:rsidRDefault="00163957" w:rsidP="00163957">
      <w:pPr>
        <w:pStyle w:val="TextoNormal"/>
      </w:pPr>
      <w:r>
        <w:t>Es decir, en el supuesto enjuiciado resulta improcedente plantearse aisladamente la inconstitucionalidad del acto dictado en el ejercicio la competencia controvertida, en este caso la Ley de régimen económico matrimonial valenciano, pues esta trae causa directamente del Estatuto. La doctrina ha admitido profusamente el llamado incidente de constitucionalidad dentro de los procesos constitucionales, a pesar de la opinión contraria mantenida en la deliberación y quizá implícita en la Sentencia.</w:t>
      </w:r>
    </w:p>
    <w:p w:rsidR="00163957" w:rsidRDefault="00163957" w:rsidP="00163957">
      <w:pPr>
        <w:pStyle w:val="TextoNormal"/>
      </w:pPr>
    </w:p>
    <w:p w:rsidR="00163957" w:rsidRDefault="00163957" w:rsidP="00163957">
      <w:pPr>
        <w:pStyle w:val="TextoNormal"/>
      </w:pPr>
      <w:r>
        <w:t>La supuesta osadía que alguien pudiera ver en el hecho de (auto)plantearse la inconstitucionalidad del Estatuto de Autonomía queda notablemente compensada por el riesgo de trivialización que supone esterilizar y convertir en yermos preceptos de sustancial importancia pertenecientes a una norma que tiene carácter institucional básico para la comunidad autónoma y que, como reiteradamente ha dicho el Tribunal, forma parte del bloque de la constitucionalidad y, como tal, es parámetro de constitucionalidad desde el punto de vista de la atribución de competencias.</w:t>
      </w:r>
    </w:p>
    <w:p w:rsidR="00163957" w:rsidRDefault="00163957" w:rsidP="00163957">
      <w:pPr>
        <w:pStyle w:val="TextoNormal"/>
      </w:pPr>
    </w:p>
    <w:p w:rsidR="00163957" w:rsidRDefault="00163957" w:rsidP="00163957">
      <w:pPr>
        <w:pStyle w:val="TextoNormal"/>
      </w:pPr>
      <w:r>
        <w:t>2. Los derechos históricos en materia de instituciones privadas son reconocidos por el Tribunal Constitucional cuando se consagran en un estatuto de autonomía.</w:t>
      </w:r>
    </w:p>
    <w:p w:rsidR="00163957" w:rsidRDefault="00163957" w:rsidP="00163957">
      <w:pPr>
        <w:pStyle w:val="TextoNormal"/>
      </w:pPr>
    </w:p>
    <w:p w:rsidR="00163957" w:rsidRDefault="00163957" w:rsidP="00163957">
      <w:pPr>
        <w:pStyle w:val="TextoNormal"/>
      </w:pPr>
      <w:r>
        <w:t>Según la posición predominante en la doctrina, de acuerdo con determinada interpretación histórica, aceptada por la jurisprudencia constitucional, la disposición adicional primera de la Constitución, que consagra la actualización de los derechos históricos de los territorios forales, únicamente puede entenderse referida al País Vasco y a Navarra, es decir, a los territorios forales así denominados tradicionalmente. Con ello se excluye a las demás comunidades con antecedentes forales de la posibilidad de ser reconocidas como titulares de derechos de esta naturaleza.</w:t>
      </w:r>
    </w:p>
    <w:p w:rsidR="00163957" w:rsidRDefault="00163957" w:rsidP="00163957">
      <w:pPr>
        <w:pStyle w:val="TextoNormal"/>
      </w:pPr>
    </w:p>
    <w:p w:rsidR="00163957" w:rsidRDefault="00163957" w:rsidP="00163957">
      <w:pPr>
        <w:pStyle w:val="TextoNormal"/>
      </w:pPr>
      <w:r>
        <w:t>Esta restricción del ámbito geográfico de reconocimiento de los derechos históricos por parte de la Constitución por la jurisprudencia constitucional se refiere específicamente al Derecho público: es decir, a las instituciones de autogobierno. La jurisprudencia antigua del Tribunal Constitucional no se pronunció en cuanto a la posible recuperación de derechos históricos en materia de Derecho privado por parte de otros territorios.</w:t>
      </w:r>
    </w:p>
    <w:p w:rsidR="00163957" w:rsidRDefault="00163957" w:rsidP="00163957">
      <w:pPr>
        <w:pStyle w:val="TextoNormal"/>
      </w:pPr>
    </w:p>
    <w:p w:rsidR="00163957" w:rsidRDefault="00163957" w:rsidP="00163957">
      <w:pPr>
        <w:pStyle w:val="TextoNormal"/>
      </w:pPr>
      <w:r>
        <w:t xml:space="preserve">La primera vez en que el Tribunal Constitucional se enfrenta con esa materia es en la STC 31/2010, de 28 de junio, sobre </w:t>
      </w:r>
      <w:r w:rsidRPr="00163957">
        <w:rPr>
          <w:i/>
        </w:rPr>
        <w:t>el Estatuto de Autonomía de Cataluña</w:t>
      </w:r>
      <w:r>
        <w:t>, que resolvió diversas cuestiones relacionadas con el Derecho civil catalán, al abordar la cuestión relativa al papel de los derechos históricos.</w:t>
      </w:r>
    </w:p>
    <w:p w:rsidR="00163957" w:rsidRDefault="00163957" w:rsidP="00163957">
      <w:pPr>
        <w:pStyle w:val="TextoNormal"/>
      </w:pPr>
    </w:p>
    <w:p w:rsidR="00163957" w:rsidRDefault="00163957" w:rsidP="00163957">
      <w:pPr>
        <w:pStyle w:val="TextoNormal"/>
      </w:pPr>
      <w:r>
        <w:lastRenderedPageBreak/>
        <w:t xml:space="preserve">El Tribunal Constitucional comprueba (FJ 10) que, “[d]e acuerdo con el art. 5 EAC ‘[e]l autogobierno de Cataluña se fundamenta también en los derechos históricos del pueblo catalán, en sus instituciones seculares y en la tradición jurídica catalana, que el presente Estatuto incorpora y actualiza al amparo del artículo 2, la disposición transitoria segunda y otros preceptos de la Constitución’”. A juicio de los recurrentes en aquel proceso, esto “supone recabar para el Estatuto de Autonomía una facultad de actualización de los derechos históricos y, con ella, de asunción de competencias por los cauces que la Constitución ha reservado a los territorios forales en su disposición adicional primera.” Pues bien, el Tribunal Constitucional afirma que “[t]anto los derechos históricos como las instituciones seculares y la tradición jurídica de Cataluña invocados por el precepto son únicamente aquellos de los que deriva el reconocimiento de una posición singular de la Generalitat en relación con el derecho civil […] Se trata, pues, de derechos históricos en un sentido bien distinto del que corresponde a los derechos de los territorios forales a que se refiere la disposición adicional primera de la Constitución. Y ello porque </w:t>
      </w:r>
      <w:r w:rsidRPr="00163957">
        <w:rPr>
          <w:i/>
        </w:rPr>
        <w:t>se refieren a derechos y tradiciones de Derecho privado</w:t>
      </w:r>
      <w:r>
        <w:t xml:space="preserve"> o, en el ámbito del Derecho público, al derecho que la disposición transitoria segunda de la Constitución ha querido atribuir a los territorios que en el pasado hubieran plebiscitado Estatutos de autonomía […] Sólo de manera impropia podría entenderse que tales derechos históricos son también, jurídicamente, fundamento del autogobierno de Cataluña […]”. (Resaltado mío).</w:t>
      </w:r>
    </w:p>
    <w:p w:rsidR="00163957" w:rsidRDefault="00163957" w:rsidP="00163957">
      <w:pPr>
        <w:pStyle w:val="TextoNormal"/>
      </w:pPr>
    </w:p>
    <w:p w:rsidR="00163957" w:rsidRDefault="00163957" w:rsidP="00163957">
      <w:pPr>
        <w:pStyle w:val="TextoNormal"/>
      </w:pPr>
      <w:r>
        <w:t>La Sentencia termina haciendo una interpretación constitucional del art. 5 del Estatuto de Autonomía de Cataluña (EAC), con arreglo al cual este “no es contrario a la Constitución interpretado en el sentido de que su inciso ‘en los derechos históricos del pueblo catalán’ no remite al contenido de la disposición adicional primera de la Constitución ni es fundamento jurídico propio del autogobierno de Cataluña al margen de la Constitución misma, y así se dispondrá en el fallo”.</w:t>
      </w:r>
    </w:p>
    <w:p w:rsidR="00163957" w:rsidRDefault="00163957" w:rsidP="00163957">
      <w:pPr>
        <w:pStyle w:val="TextoNormal"/>
      </w:pPr>
    </w:p>
    <w:p w:rsidR="00163957" w:rsidRDefault="00163957" w:rsidP="00163957">
      <w:pPr>
        <w:pStyle w:val="TextoNormal"/>
      </w:pPr>
      <w:r>
        <w:t>En suma, el Tribunal Constitucional reconoce relevancia al mandato de actualización de derechos históricos en materia de Derecho privado cuando se incorpora a un Estatuto de Autonomía, entendiendo que dicho reconocimiento, por operar en el campo del Derecho privado, no se opone a la limitación geográfica impuesta por la disposición adicional primera de la Constitución, mientras que, en el campo del Derecho público, la única referencia válida a los derechos históricos es la que deriva del reconocimiento de una vía especial de acceso a la autonomía al amparo de la disposición transitoria segunda de la Constitución.</w:t>
      </w:r>
    </w:p>
    <w:p w:rsidR="00163957" w:rsidRDefault="00163957" w:rsidP="00163957">
      <w:pPr>
        <w:pStyle w:val="TextoNormal"/>
      </w:pPr>
    </w:p>
    <w:p w:rsidR="00163957" w:rsidRDefault="00163957" w:rsidP="00163957">
      <w:pPr>
        <w:pStyle w:val="TextoNormal"/>
      </w:pPr>
      <w:r>
        <w:t>No es discutible que la actualización de derechos históricos, posible en el campo del Derecho privado siempre que la establezca un Estatuto de Autonomía, ha de tener lugar de conformidad con la Constitución, como el Estatuto de Autonomía de la Comunitat Valenciana reconoce repetidamente. Hay que suponer que según la opinión mayoritaria en que se funda la sentencia esta recuperación no sería posible en la Comunitat Valenciana, puesto que el régimen histórico foral valenciano no estaba vigente en el momento de la entrada en vigor de la Constitución.</w:t>
      </w:r>
    </w:p>
    <w:p w:rsidR="00163957" w:rsidRDefault="00163957" w:rsidP="00163957">
      <w:pPr>
        <w:pStyle w:val="TextoNormal"/>
      </w:pPr>
    </w:p>
    <w:p w:rsidR="00163957" w:rsidRDefault="00163957" w:rsidP="00163957">
      <w:pPr>
        <w:pStyle w:val="TextoNormal"/>
      </w:pPr>
      <w:r>
        <w:t xml:space="preserve">A mi juicio, esta objeción carece de valor por las siguientes razones: (i) El concepto general de actualización de los derechos históricos, una vez admitido por la jurisprudencia constitucional, carece de sentido alguno en el marco del Derecho privado si no se entiende que puede referirse a sistemas no vigentes en el momento de la entrada en vigor de la Constitución, pues para los que se hallaban vigentes en esta fecha no cabe hablar de actualización </w:t>
      </w:r>
      <w:r>
        <w:lastRenderedPageBreak/>
        <w:t xml:space="preserve">o recuperación de derechos históricos, sino simplemente de conservación de sistemas vigentes; (ii) la jurisprudencia del Tribunal Constitucional ha venido efectivamente diciendo que los derechos forales o especiales reconocidos por el artículo 149.1.8 CE solo son aquellos vigentes al momento de la entrada en vigor de la Constitución; sin embargo, esta afirmación se ha hecho siempre con el carácter de </w:t>
      </w:r>
      <w:r w:rsidRPr="00163957">
        <w:rPr>
          <w:i/>
        </w:rPr>
        <w:t>obiter dictum</w:t>
      </w:r>
      <w:r>
        <w:t>, pues los casos resueltos se refieren a instituciones la controversia acerca de las cuales no versaba sobre el momento de su vigencia, sino únicamente sobre su valor como Derecho civil foral o especial o su conexión con el Derecho foral; o a costumbres en las cuales, por su naturaleza de normas fundadas en la repetición consciente de conductas como obligatorias, la vigencia se confunde con la existencia; (iii) entender que una frase tan genérica como “allí donde existan”, utilizada por el artículo 149.1.8 CE exige el dato de la vigencia efectiva del Derecho foral o especial en el momento de la entrada en vigor de la Constitución, que es la tesis que propugna la opinión mayoritaria en que se funda la sentencia, tiene su fundamento, a mi juicio, en una concepción restrictiva de los Derechos civiles territoriales, entendidos como realidades históricas residuales que deben conservarse provisionalmente o “por ahora” en los territorios donde “subsistan”, como decía en su redacción original el Código civil. No parece necesario esforzarse en demostrar que esta concepción residual no es la que mantiene la Constitución, que habla de una manera amplia de la legislación en materia de “derechos forales o especiales” como competencia ordinaria de determinadas Comunidades Autónomas y reserva al Estado concretas materias que son las que verdaderamente se considera necesario mantener frente a estos derechos en el ámbito de su competencia exclusiva; (iv) tratándose de los derechos históricos por antonomasia, es decir, de los pertenecientes en el ámbito del Derecho público al País Vasco y la Comunidad Foral de Navarra, resulta una evidencia histórica que no todos los derechos reconocidos en este ámbito territorial estaban vigentes en el momento de la entrada en vigor de la Constitución, pues el concierto económico para Guipúzcoa y Vizcaya se restauró prácticamente de forma contemporánea a la Constitución, tras un largo periodo de supresión, y otros derechos históricos, como la existencia de una policía propia en el País Vasco, se remontan a realidades históricas anteriores.</w:t>
      </w:r>
    </w:p>
    <w:p w:rsidR="00163957" w:rsidRDefault="00163957" w:rsidP="00163957">
      <w:pPr>
        <w:pStyle w:val="TextoNormal"/>
      </w:pPr>
    </w:p>
    <w:p w:rsidR="00163957" w:rsidRDefault="00163957" w:rsidP="00163957">
      <w:pPr>
        <w:pStyle w:val="TextoNormal"/>
      </w:pPr>
      <w:r>
        <w:t>A mi juicio, por consiguiente, no existe óbice alguno para admitir que no se opone al artículo 149.1.8 CE el reconocimiento de un sistema de Derecho privado foral por parte del Estatuto de Autonomía, aun cuando no estuviera vigente en el momento de la entrada en vigor de la Constitución, siempre que sea posible calificarlo como sistema de Derecho privado efectivamente vigente en el ámbito histórico, geográfico y sustantivo propio de los Derechos forales, como, sin que quepa duda alguna razonable en términos historiográficos, es el caso del Derecho foral de Valencia.</w:t>
      </w:r>
    </w:p>
    <w:p w:rsidR="00163957" w:rsidRDefault="00163957" w:rsidP="00163957">
      <w:pPr>
        <w:pStyle w:val="TextoNormal"/>
      </w:pPr>
    </w:p>
    <w:p w:rsidR="00163957" w:rsidRDefault="00163957" w:rsidP="00163957">
      <w:pPr>
        <w:pStyle w:val="TextoNormal"/>
      </w:pPr>
      <w:r>
        <w:t>3. Aunque no fuera así, dentro de las competencias ordinarias en materia de Derecho civil, la Comunitat Valenciana puede regular esta materia.</w:t>
      </w:r>
    </w:p>
    <w:p w:rsidR="00163957" w:rsidRDefault="00163957" w:rsidP="00163957">
      <w:pPr>
        <w:pStyle w:val="TextoNormal"/>
      </w:pPr>
    </w:p>
    <w:p w:rsidR="00163957" w:rsidRDefault="00163957" w:rsidP="00163957">
      <w:pPr>
        <w:pStyle w:val="TextoNormal"/>
      </w:pPr>
      <w:r>
        <w:t xml:space="preserve">Si se admite, siguiendo la propia argumentación de la opinión mayoritaria en que se sustenta la Sentencia, que existe un Derecho consuetudinario valenciano que tiene el valor de Derecho foral desde el punto de vista del artículo 149.1.8 CE (es decir, que existe competencia legislativa de la Comunidad Autónoma sobre su Derecho foral), parece inexplicable que la posible calificación de la ley impugnada como integrante del Derecho foral se busque en unos hipotéticos antecedentes consuetudinarios, exigiendo la prueba de su existencia en el momento de la entrada en vigor de la Constitución, y no, de acuerdo con jurisprudencia constitucional reiterada, en la posible relación de conexión existente entre la ley impugnada </w:t>
      </w:r>
      <w:r>
        <w:lastRenderedPageBreak/>
        <w:t>y las instituciones reconocidas como forales, las cuales han adquirido, como la opinión de la que disiento reconoce, rango legislativo.</w:t>
      </w:r>
    </w:p>
    <w:p w:rsidR="00163957" w:rsidRDefault="00163957" w:rsidP="00163957">
      <w:pPr>
        <w:pStyle w:val="TextoNormal"/>
      </w:pPr>
    </w:p>
    <w:p w:rsidR="00163957" w:rsidRDefault="00163957" w:rsidP="00163957">
      <w:pPr>
        <w:pStyle w:val="TextoNormal"/>
      </w:pPr>
      <w:r>
        <w:t>Como es sabido, una vez reconocido el sistema de Derecho civil foral o especial como fundamento de las competencias civiles de la comunidad autónoma, la jurisprudencia del Tribunal Constitucional sigue un criterio muy amplio para determinar el alcance de sus competencias normativas, fundado en los principios constitucionales de “desarrollo” y “modificación”.</w:t>
      </w:r>
    </w:p>
    <w:p w:rsidR="00163957" w:rsidRDefault="00163957" w:rsidP="00163957">
      <w:pPr>
        <w:pStyle w:val="TextoNormal"/>
      </w:pPr>
    </w:p>
    <w:p w:rsidR="00163957" w:rsidRDefault="00163957" w:rsidP="00163957">
      <w:pPr>
        <w:pStyle w:val="TextoNormal"/>
      </w:pPr>
      <w:r>
        <w:t>Esta jurisprudencia se basa en algunos puntos capitales: (i) “El término ‘allí donde existan’ a que se refiere el art. 149.1.8 CE, al delimitar la competencia autonómica en la materia, ha de entenderse más por referencia al Derecho foral en su conjunto que a instituciones forales concretas” (STS 88/1993, FJ 3, entre otras); (ii) “La Constitución permite, así, que los Derechos civiles especiales o forales preexistentes puedan ser objeto no ya de ‘conservación’ y ‘modificación’, sino también de una acción legislativa que haga posible su crecimiento orgánico y reconoce, de este modo, no sólo la historicidad y la actual vigencia, sino también la vitalidad hacia el futuro, de tales ordenamientos preconstitucionales” (STS 88/1993, FJ 3, entre otras); (iii) “[L]as competencias autonómicas para ‘desarrollar’, en lo que aquí interesa, el propio Derecho civil pueden dar lugar a la actualización y crecimiento orgánico de este y, en concreto, a la regulación de materias que, aun ausentes del texto originario de la Compilación, guarden una relación de conexión suficiente con institutos ya disciplinados en aquella o en otras normas integrantes del propio ordenamiento civil.” (STC 156/1993, FJ 6, entre otras).</w:t>
      </w:r>
    </w:p>
    <w:p w:rsidR="00163957" w:rsidRDefault="00163957" w:rsidP="00163957">
      <w:pPr>
        <w:pStyle w:val="TextoNormal"/>
      </w:pPr>
    </w:p>
    <w:p w:rsidR="00163957" w:rsidRDefault="00163957" w:rsidP="00163957">
      <w:pPr>
        <w:pStyle w:val="TextoNormal"/>
      </w:pPr>
      <w:r>
        <w:t>Estas condiciones se cumplen en la Comunitat Valenciana, pues, (i) reconocida la vigencia del Derecho foral valenciano por la vía de la prueba de la existencia de instituciones consuetudinarias en el momento de la entrada en vigor de la Constitución (dado que la garantía de la foralidad, según infiere de la STC 121/1993 la opinión mayoritaria, alcanza a normas civiles de ámbito regional o local de formación consuetudinaria), (ii) la Constitución permite que este Derecho foral pueda ser objeto de modificación y desarrollo dando lugar a su actualización y crecimiento orgánico (iii) mediante la regulación de materias que guarden una relación de conexión suficiente con institutos ya disciplinados u otras normas integrantes del propio ordenamiento civil.</w:t>
      </w:r>
    </w:p>
    <w:p w:rsidR="00163957" w:rsidRDefault="00163957" w:rsidP="00163957">
      <w:pPr>
        <w:pStyle w:val="TextoNormal"/>
      </w:pPr>
    </w:p>
    <w:p w:rsidR="00163957" w:rsidRDefault="00163957" w:rsidP="00163957">
      <w:pPr>
        <w:pStyle w:val="TextoNormal"/>
      </w:pPr>
      <w:r>
        <w:t>Dado que este criterio de conexión ha sido utilizado con una enorme flexibilidad por parte de la jurisprudencia constitucional, no cabe descartar que pudiera encontrarse alguna conexión de esta naturaleza con las instituciones consuetudinarias valencianas ya reconocidas como Derecho foral y que han pasado a ser Derecho legislado. En todo caso, parece extraño que la opinión mayoritaria en que se funda la Sentencia no haya seguido esta vía y, por el contrario, se haya encerrado en la imposible pretensión de examinar la existencia o no de prueba acerca del valor consuetudinario del Derecho foral histórico, el cual, por su propia naturaleza, no puede ser equiparado a la costumbre ni estar sujeto a los requisitos para su reconocimiento, por tratarse de una fuente del Derecho de naturaleza distinta a las que integran el Derecho foral escrito, que es aquel a cuya recuperación y actualización se refiere el Estatuto de Autonomía de la Comunitat Valenciana. Tan cierto es que la costumbre solo regirá si resulta probada como que la vigencia de la norma escrita depende de procedimientos de aprobación, promulgación y publicación.</w:t>
      </w:r>
    </w:p>
    <w:p w:rsidR="00163957" w:rsidRDefault="00163957" w:rsidP="00163957">
      <w:pPr>
        <w:pStyle w:val="TextoNormal"/>
      </w:pPr>
    </w:p>
    <w:p w:rsidR="00163957" w:rsidRDefault="00163957" w:rsidP="00163957">
      <w:pPr>
        <w:pStyle w:val="TextoNormal"/>
      </w:pPr>
      <w:r>
        <w:lastRenderedPageBreak/>
        <w:t>Pero lo que me importa subrayar aquí es que no comparto el criterio según la cual el criterio de conexión opera como límite para el desarrollo y modificación de los derechos forales o especiales (reconozco que hasta ahora es el mantenido por la jurisprudencia constitucional), aunque soy consciente de mi absoluta soledad en la actual composición del Tribunal, habida cuenta de la contundencia con que el criterio de un desarrollo limitado del Derecho foral o especial —emparentado con la que he llamado concepción residual— se mantiene en la argumentación desarrollada por la opinión mayoritaria incorporada a la sentencia (que se refleja, por ejemplo, en el párrafo primero del fundamento jurídico 6).</w:t>
      </w:r>
    </w:p>
    <w:p w:rsidR="00163957" w:rsidRDefault="00163957" w:rsidP="00163957">
      <w:pPr>
        <w:pStyle w:val="TextoNormal"/>
      </w:pPr>
    </w:p>
    <w:p w:rsidR="00163957" w:rsidRDefault="00163957" w:rsidP="00163957">
      <w:pPr>
        <w:pStyle w:val="TextoNormal"/>
      </w:pPr>
      <w:r>
        <w:t>Partiendo de conceptuar los Derechos forales o especiales como subsistemas jurídicos completos, autosuficientes, modernos y susceptibles de desarrollo (y no como realidades fragmentarias premodernas reconocidas provisionalmente con carácter subordinado al Derecho común), de acuerdo con una acreditada teoría surgida en el ámbito de la doctrina civilista, mi posición es la de los Votos particulares formulados a la STC 88/1993, de 12 marzo, según los cuales el Derecho civil foral no puede ser concebido como una serie más o menos residual de normas e instituciones aisladas y asistemáticas, sino como un sistema normativo dotado de la sistematización y conexión interna y de la completitud propias de un ordenamiento que tiene además constitucionalmente reconocida la posibilidad de determinar sus específicas fuentes de producción normativa. Los expresados votos sustentan esta tesis (i) en el argumento analítico fundado en la interpretación literal de la expresión Derecho civil; (ii) en el argumento sistemático de que de otro modo no tiene sentido la reserva competencial al Estado de determinadas materias, algunas de las cuales no formaban parte de los Derechos forales o especiales; (iii) en el argumento apagógico de que la interpretación contraria hace depender el desarrollo de los derechos de factores aleatorios; (iv) y en el argumento teleológico según el cual la conservación de la legislación civil solo tiene sentido si se entiende limitada por razones históricas a determinadas comunidades autónomas, pero no en función del ámbito material de su contenido en cada una de ellas.</w:t>
      </w:r>
    </w:p>
    <w:p w:rsidR="00163957" w:rsidRDefault="00163957" w:rsidP="00163957">
      <w:pPr>
        <w:pStyle w:val="TextoNormal"/>
      </w:pPr>
    </w:p>
    <w:p w:rsidR="00163957" w:rsidRDefault="00163957" w:rsidP="00163957">
      <w:pPr>
        <w:pStyle w:val="TextoNormal"/>
      </w:pPr>
      <w:r>
        <w:t>4. Aunque no fuera así, la opinión mayoritaria hubiera debido respetar la pervivencia de los preceptos impugnados extemporáneamente por la Abogacía en el Estado.</w:t>
      </w:r>
    </w:p>
    <w:p w:rsidR="00163957" w:rsidRDefault="00163957" w:rsidP="00163957">
      <w:pPr>
        <w:pStyle w:val="TextoNormal"/>
      </w:pPr>
    </w:p>
    <w:p w:rsidR="00163957" w:rsidRDefault="00163957" w:rsidP="00163957">
      <w:pPr>
        <w:pStyle w:val="TextoNormal"/>
      </w:pPr>
      <w:r>
        <w:t>La opinión mayoritaria en que se sustenta la Sentencia reconoce que gran parte de los preceptos impugnados lo han sido extemporáneamente; sin embargo, extiende la nulidad a ellos por conexión o consecuencia, sin ni siquiera examinarlos. Para ello se cita selectivamente (la cita selectiva autorreferente con pretensiones autoritativas es, a mi juicio, demasiado frecuente en la jurisprudencia del Tribunal) un remoto precedente de cuyo contenido se deduce que en el caso allí enjuiciado los preceptos legislativos a los que el Tribunal extiende la declaración de nulidad en aplicación del artículo 39 LOTC habían quedado sin contenido práctico alguno por depender su aplicación directamente de la vigencia de los preceptos anulados contra los que se formuló la impugnación. En los casos en los cuales no se ha dado de manera inequívoca una relación similar de conexión o consecuencia (especialmente en los casos en que la conexión ha pretendido fundarse en el ámbito objetivo del motivo de nulidad, como es el caso) el Tribunal hasta el momento, según se me alcanza, ha rechazado siempre hacer uso del artículo 39 LOTC, en consonancia con el carácter dispositivo de la justicia constitucional y con el constante razonar de la jurisprudencia según el cual la insuficiente argumentación sobre la inconstitucionalidad de un precepto legal, aun cuando sea formalmente impugnado por el legitimado para la interposición del recurso de inconsti</w:t>
      </w:r>
      <w:r>
        <w:lastRenderedPageBreak/>
        <w:t>tucionalidad, impide examinar su contenido (cuánto más si la impugnación es extemporánea). A mi juicio, en consecuencia, el Tribunal, no ya por un alegado principio de igualdad entre las comunidades autónomas, sino por respeto a la presunción de constitucionalidad de la ley y, en último término, por una exigencia ineludible de coherencia inherente al ejercicio de la jurisdicción (A. Bickel, H. Wechsler, entre otros muchos) debió examinar únicamente los preceptos impugnados en tiempo por la Abogacía del Estado.</w:t>
      </w:r>
    </w:p>
    <w:p w:rsidR="00163957" w:rsidRDefault="00163957" w:rsidP="00163957">
      <w:pPr>
        <w:pStyle w:val="TextoNormal"/>
      </w:pPr>
    </w:p>
    <w:p w:rsidR="00163957" w:rsidRDefault="00163957" w:rsidP="00163957">
      <w:pPr>
        <w:pStyle w:val="TextoNormal"/>
      </w:pPr>
      <w:r>
        <w:t>Madrid, a veintiocho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86" w:name="SENTENCIA_2016_83"/>
      <w:r>
        <w:lastRenderedPageBreak/>
        <w:t>SENTENCIA 83/2016, de 28 de abril de 2016</w:t>
      </w:r>
    </w:p>
    <w:bookmarkEnd w:id="86"/>
    <w:p w:rsidR="00163957" w:rsidRDefault="00163957" w:rsidP="00163957">
      <w:pPr>
        <w:pStyle w:val="TtuloResolucin"/>
      </w:pPr>
      <w:r>
        <w:t>Pleno</w:t>
      </w:r>
    </w:p>
    <w:p w:rsidR="00163957" w:rsidRDefault="00163957" w:rsidP="00163957">
      <w:pPr>
        <w:pStyle w:val="TtuloBOE"/>
      </w:pPr>
      <w:r>
        <w:t>(BOE núm. 131, de 31 de mayo de 2016)</w:t>
      </w:r>
    </w:p>
    <w:p w:rsidR="00163957" w:rsidRDefault="00163957" w:rsidP="00163957">
      <w:pPr>
        <w:pStyle w:val="TextoNormalCentrado"/>
      </w:pPr>
      <w:r>
        <w:t>ECLI:ES:TC:2016:83</w:t>
      </w:r>
    </w:p>
    <w:p w:rsidR="00163957" w:rsidRDefault="00163957" w:rsidP="00163957">
      <w:pPr>
        <w:pStyle w:val="TextoNormalCentrado"/>
      </w:pPr>
    </w:p>
    <w:p w:rsidR="00163957" w:rsidRDefault="00163957" w:rsidP="00163957">
      <w:pPr>
        <w:pStyle w:val="SntesisDescriptiva"/>
      </w:pPr>
      <w:r>
        <w:t>Recurso de amparo 4703-2012. Promovido por don Pedro María Gragera de Torres y 326 personas más en relación con el Auto de la Sala de lo Contencioso-Administrativo del Tribunal Supremo que inadmitió su demanda frente al Real Decreto 1673/2010, de 4 de diciembre, por el que se declara el estado de alarma para la normalización del servicio público esencial del transporte aéreo, el acuerdo del Consejo de Ministros de 14 de diciembre de 2010, por el que se solicita del Congreso de los Diputados autorización para prorrogar en sus propios términos el estado de alarma y el Real Decreto 1717/2010, de 17 de diciembre, por el que se prorroga el estado de alarma declarado por el Real Decreto 1673/2010, de 4 de diciembre.</w:t>
      </w:r>
    </w:p>
    <w:p w:rsidR="00163957" w:rsidRDefault="00163957" w:rsidP="00163957">
      <w:pPr>
        <w:pStyle w:val="SntesisDescriptiva"/>
      </w:pPr>
    </w:p>
    <w:p w:rsidR="00163957" w:rsidRDefault="00163957" w:rsidP="00163957">
      <w:pPr>
        <w:pStyle w:val="SntesisAnaltica"/>
      </w:pPr>
      <w:r>
        <w:t>Supuesta vulneración del derecho a la tutela judicial efectiva (acceso a la justicia): sometimiento al control jurisdiccional exclusivo del Tribunal Constitucional de los actos gubernamentales y parlamentarios de declaración, autorización y prórroga de los estados de emergencia.</w:t>
      </w:r>
    </w:p>
    <w:p w:rsidR="00163957" w:rsidRDefault="00163957" w:rsidP="00163957">
      <w:pPr>
        <w:pStyle w:val="SntesisAnaltica"/>
      </w:pPr>
    </w:p>
    <w:p w:rsidR="00163957" w:rsidRDefault="00163957" w:rsidP="00163957">
      <w:pPr>
        <w:pStyle w:val="Extracto"/>
      </w:pPr>
      <w:r>
        <w:t>1.</w:t>
      </w:r>
      <w:r>
        <w:tab/>
        <w:t>Las resoluciones judiciales impugnadas, que inadmitieron el recurso contencioso-administrativo interpuesto por los demandantes de amparo contra los Reales Decretos 1673/2010 y 1717/2010, no han vulnerado su derecho a la tutela judicial efectiva en su vertiente de derecho de acceso a la jurisdicción, al resultar aquéllos excluidos, en razón de su valor o rango de ley, del ámbito de fiscalización del orden jurisdiccional contencioso-administrativo [FJ 11].</w:t>
      </w:r>
    </w:p>
    <w:p w:rsidR="00163957" w:rsidRDefault="00163957" w:rsidP="00163957">
      <w:pPr>
        <w:pStyle w:val="Extracto"/>
      </w:pPr>
    </w:p>
    <w:p w:rsidR="00163957" w:rsidRDefault="00163957" w:rsidP="00163957">
      <w:pPr>
        <w:pStyle w:val="Extracto"/>
      </w:pPr>
      <w:r>
        <w:t>2.</w:t>
      </w:r>
      <w:r>
        <w:tab/>
        <w:t>Los Reales Decretos 1673/2010 y 1717/2010 no resultan inmunes a todo control jurisdiccional, sino que, al poseer rango y valor de ley, pese a revestir la forma de decreto, sólo cabe impugnarlos ante este Tribunal Constitucional a través de los procesos constitucionales previstos en la Constitución y en la Ley Orgánica del Tribunal Constitucional [FJ 11].</w:t>
      </w:r>
    </w:p>
    <w:p w:rsidR="00163957" w:rsidRDefault="00163957" w:rsidP="00163957">
      <w:pPr>
        <w:pStyle w:val="Extracto"/>
      </w:pPr>
    </w:p>
    <w:p w:rsidR="00163957" w:rsidRDefault="00163957" w:rsidP="00163957">
      <w:pPr>
        <w:pStyle w:val="Extracto"/>
      </w:pPr>
      <w:r>
        <w:t>3.</w:t>
      </w:r>
      <w:r>
        <w:tab/>
        <w:t>La procedencia o improcedencia de declarar la inadmisión de un recurso contencioso-administrativo por falta de jurisdicción sin disponer el órgano judicial del expediente administrativo, no trasciende el ámbito de la mera y estricta legalidad ordinaria, respecto de la cual han obtenido del Tribunal Supremo, en su calidad de máximo intérprete de la legalidad ordinaria, una respuesta razonada y fundada en Derecho, en modo alguno errónea o incursa en arbitrariedad, que satisface cumplidamente el derecho a la tutela judicial efectiva [FJ 3].</w:t>
      </w:r>
    </w:p>
    <w:p w:rsidR="00163957" w:rsidRDefault="00163957" w:rsidP="00163957">
      <w:pPr>
        <w:pStyle w:val="Extracto"/>
      </w:pPr>
    </w:p>
    <w:p w:rsidR="00163957" w:rsidRDefault="00163957" w:rsidP="00163957">
      <w:pPr>
        <w:pStyle w:val="Extracto"/>
      </w:pPr>
      <w:r>
        <w:t>4.</w:t>
      </w:r>
      <w:r>
        <w:tab/>
        <w:t>La decisión gubernamental dispone la legalidad aplicable durante su vigencia, constituyendo también fuente de habilitación de disposiciones y actos administrativos y viene así a integrar en cada caso, sumándose a la Constitución y a la Ley Orgánica 4/1981, el sistema de fuentes del derecho de excepción [FJ 10].</w:t>
      </w:r>
    </w:p>
    <w:p w:rsidR="00163957" w:rsidRDefault="00163957" w:rsidP="00163957">
      <w:pPr>
        <w:pStyle w:val="Extracto"/>
      </w:pPr>
    </w:p>
    <w:p w:rsidR="00163957" w:rsidRDefault="00163957" w:rsidP="00163957">
      <w:pPr>
        <w:pStyle w:val="Extracto"/>
      </w:pPr>
      <w:r>
        <w:t>5.</w:t>
      </w:r>
      <w:r>
        <w:tab/>
        <w:t xml:space="preserve">Aunque formalizada mediante decreto del Consejo de Ministros, la decisión de declarar el estado de alarma, dado su contenido normativo y efectos jurídicos, </w:t>
      </w:r>
      <w:r>
        <w:lastRenderedPageBreak/>
        <w:t>debe entenderse que queda configurada en nuestro ordenamiento como una decisión o disposición con rango o valor de ley [FJ 10].</w:t>
      </w:r>
    </w:p>
    <w:p w:rsidR="00163957" w:rsidRDefault="00163957" w:rsidP="00163957">
      <w:pPr>
        <w:pStyle w:val="Extracto"/>
      </w:pPr>
    </w:p>
    <w:p w:rsidR="00163957" w:rsidRDefault="00163957" w:rsidP="00163957">
      <w:pPr>
        <w:pStyle w:val="Extracto"/>
      </w:pPr>
      <w:r>
        <w:t>6.</w:t>
      </w:r>
      <w:r>
        <w:tab/>
        <w:t>Al predicarse del acto de autorización parlamentaria la condición de decisión con rango o valor de ley (ATC 7/2012), idéntica condición ha de postularse, pese a la forma que reviste, de la decisión gubernamental de prórroga [FJ 10].</w:t>
      </w:r>
    </w:p>
    <w:p w:rsidR="00163957" w:rsidRDefault="00163957" w:rsidP="00163957">
      <w:pPr>
        <w:pStyle w:val="Extracto"/>
      </w:pPr>
    </w:p>
    <w:p w:rsidR="00163957" w:rsidRDefault="00163957" w:rsidP="00163957">
      <w:pPr>
        <w:pStyle w:val="Extracto"/>
      </w:pPr>
      <w:r>
        <w:t>7.</w:t>
      </w:r>
      <w:r>
        <w:tab/>
        <w:t>El acuerdo del Consejo de Ministros no tiene otra virtualidad que la de activar el procedimiento de solicitud por el Gobierno al Congreso de los Diputados de la autorización para prorrogar el estado de alarma, cuyo contenido y efectos se circunscriben y se agotan en el estricto ámbito de las relaciones entre ambos órganos constitucionales [FJ 12].</w:t>
      </w:r>
    </w:p>
    <w:p w:rsidR="00163957" w:rsidRDefault="00163957" w:rsidP="00163957">
      <w:pPr>
        <w:pStyle w:val="Extracto"/>
      </w:pPr>
    </w:p>
    <w:p w:rsidR="00163957" w:rsidRDefault="00163957" w:rsidP="00163957">
      <w:pPr>
        <w:pStyle w:val="Extracto"/>
      </w:pPr>
      <w:r>
        <w:t>8.</w:t>
      </w:r>
      <w:r>
        <w:tab/>
        <w:t>El derecho a la tutela judicial efectiva queda satisfecho cuando los órganos judiciales pronuncian una decisión de inadmisión o meramente procesal, apreciando razonadamente la concurrencia en el caso de un óbice fundado en un precepto expreso de la ley, si éste es, a su vez, respetuoso con el contenido esencial del derecho fundamental [FJ 5].</w:t>
      </w:r>
    </w:p>
    <w:p w:rsidR="00163957" w:rsidRDefault="00163957" w:rsidP="00163957">
      <w:pPr>
        <w:pStyle w:val="Extracto"/>
      </w:pPr>
    </w:p>
    <w:p w:rsidR="00163957" w:rsidRDefault="00163957" w:rsidP="00163957">
      <w:pPr>
        <w:pStyle w:val="Extracto"/>
      </w:pPr>
      <w:r>
        <w:t>9.</w:t>
      </w:r>
      <w:r>
        <w:tab/>
        <w:t>El control constitucional de las decisiones de inadmisión ha de verificarse de forma especialmente intensa, dada la vigencia en estos casos del principio</w:t>
      </w:r>
      <w:r w:rsidRPr="00163957">
        <w:rPr>
          <w:i/>
        </w:rPr>
        <w:t xml:space="preserve"> pro 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 [FJ 5].</w:t>
      </w:r>
    </w:p>
    <w:p w:rsidR="00163957" w:rsidRDefault="00163957" w:rsidP="00163957">
      <w:pPr>
        <w:pStyle w:val="Extracto"/>
      </w:pPr>
    </w:p>
    <w:p w:rsidR="00163957" w:rsidRDefault="00163957" w:rsidP="00163957">
      <w:pPr>
        <w:pStyle w:val="Extracto"/>
      </w:pPr>
      <w:r>
        <w:t>10.</w:t>
      </w:r>
      <w:r>
        <w:tab/>
        <w:t>Doctrina contenida en el ATC 7/2012 en relación con las expresiones “fuerza de ley”, “valor de ley” y “rango de ley” en la Constitución [FJ 9].</w:t>
      </w:r>
    </w:p>
    <w:p w:rsidR="00163957" w:rsidRDefault="00163957" w:rsidP="00163957">
      <w:pPr>
        <w:pStyle w:val="Extracto"/>
      </w:pPr>
    </w:p>
    <w:p w:rsidR="00163957" w:rsidRDefault="00163957" w:rsidP="00163957">
      <w:pPr>
        <w:pStyle w:val="Extracto"/>
      </w:pPr>
      <w:r>
        <w:t>11.</w:t>
      </w:r>
      <w:r>
        <w:tab/>
        <w:t>La cuestión nuclear suscitada, novedosa y de indiscutible relevancia constitucional, no es otra que la de la fiscalización jurisdiccional, con la consiguiente delimitación en nuestro ordenamiento de los ámbitos propios de la jurisdicción ordinaria y de la jurisdicción constitucional, de los Reales Decretos por los que se declara el estado de alarma y se acuerda su prórroga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Santiago Martínez-Vares García, don Juan Antonio Xiol Ríos, don Pedro José González-Trevijano Sánchez y don Ricardo Enríquez Sancho,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el recurso de amparo avocado al Pleno núm. 4703-2012, promovido por don Pedro María Gragera de Torres y 326 personas más, representados por la Procuradora de los Tribunales doña María Eugenia Fernández Rico Fernández y asistidos por los Letrados don Mariano Aguayo Fernández Córdova y don José Ángel Castillo Cano-Cortés, contra el Auto de la Sección Séptima de la Sala de lo Contencioso-Administrativo del Tribunal Supremo, de 30 de mayo de 2011, confirmado en reposición por Auto de 1 de junio de 2012, por el que se declara la inadmisión del recurso contencioso-administrativo núm. 153-2011 interpuesto contra el Real Decreto 1673/2010, de 4 de diciembre, por el que se declara el estado de alarma para la normalización del servicio público esencial del transporte aéreo, el acuerdo del Consejo de Ministros, de 14 de diciembre de 2010, por el que se solicita del Congreso de los Diputados autorización para prorrogar en sus propios términos el estado de alarma y el Real Decreto 1717/2010, de 17 de diciembre, por el que se prorroga el estado de alarma declarado por el Real Decreto 1673/2010, de 4 de diciembre. Han comparecido y formulado alegaciones el Abogado del Estado, en la representación que legalmente ostenta, y el Ministerio Fiscal. Ha sido Ponente la Magistrada doña Adela Asua Batarrita,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27 de julio de 2012, doña María Eugenia Fernández Rico Fernández, Procuradora de los Tribunales, en nombre y representación de don Pedro María Gragera de Torres y 326 personas más, cuya identidad figura en las actuaciones, interpuso recurso de amparo contra las resoluciones judiciales a las que se ha hecho mención en el encabezamiento de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en los que se fundamenta la demanda de amparo son, sucintamente expuestos, los siguientes:</w:t>
      </w:r>
    </w:p>
    <w:p w:rsidR="00163957" w:rsidRDefault="00163957" w:rsidP="00163957">
      <w:pPr>
        <w:pStyle w:val="TextoNormal"/>
      </w:pPr>
    </w:p>
    <w:p w:rsidR="00163957" w:rsidRDefault="00163957" w:rsidP="00163957">
      <w:pPr>
        <w:pStyle w:val="TextoNormal"/>
      </w:pPr>
      <w:r>
        <w:t>a) Por Real Decreto 1611/2010, de 3 de diciembre, se encomendaron transitoriamente al Ministerio de Defensa las facultades de control de tránsito aéreo atribuidas a la entidad pública empresarial Aeropuertos Españoles y Navegación Aérea (AENA), correspondiendo al Jefe del Estado Mayor del Ejército del Aire la adopción de las decisiones que procedieran para la organización, planificación, supervisión y control de los controladores de tránsito aéreo al servicio de AENA.</w:t>
      </w:r>
    </w:p>
    <w:p w:rsidR="00163957" w:rsidRDefault="00163957" w:rsidP="00163957">
      <w:pPr>
        <w:pStyle w:val="TextoNormal"/>
      </w:pPr>
    </w:p>
    <w:p w:rsidR="00163957" w:rsidRDefault="00163957" w:rsidP="00163957">
      <w:pPr>
        <w:pStyle w:val="TextoNormal"/>
      </w:pPr>
      <w:r>
        <w:t>En la exposición de motivos del citado Real Decreto se justificó la medida adoptada por “las circunstancias extraordinarias que concurren por el cierre del espacio aéreo español como consecuencia del conflicto provocado por los controladores de tráfico aéreo que, mediante una acción concertada, han resuelto sin aviso previo, no desarrollar en la tarde del día 3 de diciembre de 2010 su actividad profesional…”</w:t>
      </w:r>
    </w:p>
    <w:p w:rsidR="00163957" w:rsidRDefault="00163957" w:rsidP="00163957">
      <w:pPr>
        <w:pStyle w:val="TextoNormal"/>
      </w:pPr>
    </w:p>
    <w:p w:rsidR="00163957" w:rsidRDefault="00163957" w:rsidP="00163957">
      <w:pPr>
        <w:pStyle w:val="TextoNormal"/>
      </w:pPr>
      <w:r>
        <w:t>b) Por Real Decreto 1673/2010, de 4 de diciembre, se declaró el estado de alarma para la normalización del servicio público esencial del transporte aéreo, al amparo del art. 4 c), en relación con sus apartados a) y d), de la Ley Orgánica 4/1981, de 1 de junio, de los estados de alarma, excepción y sitio.</w:t>
      </w:r>
    </w:p>
    <w:p w:rsidR="00163957" w:rsidRDefault="00163957" w:rsidP="00163957">
      <w:pPr>
        <w:pStyle w:val="TextoNormal"/>
      </w:pPr>
    </w:p>
    <w:p w:rsidR="00163957" w:rsidRDefault="00163957" w:rsidP="00163957">
      <w:pPr>
        <w:pStyle w:val="TextoNormal"/>
      </w:pPr>
      <w:r>
        <w:t>De acuerdo con el art. 3 del citado Real Decreto, titulado “ámbito subjetivo”, en virtud de lo dispuesto en los arts. 9.1 y 12.1 de la Ley Orgánica 4/1981, en relación con el art. 44 de la Ley 48/1960, de 21 de junio, sobre navegación aérea, todos los controladores de tránsito al servicio de AENA pasaron a tener, durante la vigencia del estado de alarma, la consideración de personal militar, sometidos, en consecuencia, a las autoridades militares y a las leyes penales y disciplinarias militares (art. 8.5 de la Ley Orgánica 13/1985, de 9 de diciembre, del Código penal militar), lo que fue notificado a los recurrentes en amparo según se fueron incorporando a sus puestos de trabajo.</w:t>
      </w:r>
    </w:p>
    <w:p w:rsidR="00163957" w:rsidRDefault="00163957" w:rsidP="00163957">
      <w:pPr>
        <w:pStyle w:val="TextoNormal"/>
      </w:pPr>
    </w:p>
    <w:p w:rsidR="00163957" w:rsidRDefault="00163957" w:rsidP="00163957">
      <w:pPr>
        <w:pStyle w:val="TextoNormal"/>
      </w:pPr>
      <w:r>
        <w:t>c) El Congreso de los Diputados celebró sesión en fecha 9 de diciembre de 2010, que tuvo como único punto del orden del día la “comunicación del Gobierno que acompaña al Real Decreto 1673/2010, de 4 de diciembre, por el que se declara el estado de alarma para la normalización del servicio público esencial del transporte aéreo”.</w:t>
      </w:r>
    </w:p>
    <w:p w:rsidR="00163957" w:rsidRDefault="00163957" w:rsidP="00163957">
      <w:pPr>
        <w:pStyle w:val="TextoNormal"/>
      </w:pPr>
    </w:p>
    <w:p w:rsidR="00163957" w:rsidRDefault="00163957" w:rsidP="00163957">
      <w:pPr>
        <w:pStyle w:val="TextoNormal"/>
      </w:pPr>
      <w:r>
        <w:t>d) El Consejo de Ministros, en fecha 14 de diciembre de 2010, acordó solicitar al Congreso de los Diputados autorización para prorrogar el estado de alarma hasta el 15 de enero de 2011.</w:t>
      </w:r>
    </w:p>
    <w:p w:rsidR="00163957" w:rsidRDefault="00163957" w:rsidP="00163957">
      <w:pPr>
        <w:pStyle w:val="TextoNormal"/>
      </w:pPr>
    </w:p>
    <w:p w:rsidR="00163957" w:rsidRDefault="00163957" w:rsidP="00163957">
      <w:pPr>
        <w:pStyle w:val="TextoNormal"/>
      </w:pPr>
      <w:r>
        <w:t>El Pleno del Congreso de los Diputados, en sesión celebrada en fecha 16 de diciembre de 2010, autorizó la prórroga del estado de alarma, sin introducir ninguna modificación a la solicitud formulada.</w:t>
      </w:r>
    </w:p>
    <w:p w:rsidR="00163957" w:rsidRDefault="00163957" w:rsidP="00163957">
      <w:pPr>
        <w:pStyle w:val="TextoNormal"/>
      </w:pPr>
    </w:p>
    <w:p w:rsidR="00163957" w:rsidRDefault="00163957" w:rsidP="00163957">
      <w:pPr>
        <w:pStyle w:val="TextoNormal"/>
      </w:pPr>
      <w:r>
        <w:t>Por Real Decreto 1717/2010, de 17 de diciembre, se prorrogó el estado de alarma declarado por Real Decreto 1673/2010, de 4 de diciembre.</w:t>
      </w:r>
    </w:p>
    <w:p w:rsidR="00163957" w:rsidRDefault="00163957" w:rsidP="00163957">
      <w:pPr>
        <w:pStyle w:val="TextoNormal"/>
      </w:pPr>
    </w:p>
    <w:p w:rsidR="00163957" w:rsidRDefault="00163957" w:rsidP="00163957">
      <w:pPr>
        <w:pStyle w:val="TextoNormal"/>
      </w:pPr>
      <w:r>
        <w:t>e) Por Real Decreto 28/2011, de 14 de enero, se derogó el Real Decreto 1611/2010, de 3 de diciembre, por el que se encomienda transitoriamente al Ministerio de Defensa las facultades de control de tránsito aéreo atribuidos a la entidad pública empresarial AENA.</w:t>
      </w:r>
    </w:p>
    <w:p w:rsidR="00163957" w:rsidRDefault="00163957" w:rsidP="00163957">
      <w:pPr>
        <w:pStyle w:val="TextoNormal"/>
      </w:pPr>
    </w:p>
    <w:p w:rsidR="00163957" w:rsidRDefault="00163957" w:rsidP="00163957">
      <w:pPr>
        <w:pStyle w:val="TextoNormal"/>
      </w:pPr>
      <w:r>
        <w:t>f) Los demandantes de amparo interpusieron recurso contencioso-administrativo contra el Real Decreto 1611/2010, de 3 de diciembre, el Real Decreto 1673/2010, de 4 de diciembre, el acuerdo del Consejo de Ministros de 14 de diciembre de 2010 y el Real Decreto 1717/2010, de 17 de diciembre.</w:t>
      </w:r>
    </w:p>
    <w:p w:rsidR="00163957" w:rsidRDefault="00163957" w:rsidP="00163957">
      <w:pPr>
        <w:pStyle w:val="TextoNormal"/>
      </w:pPr>
    </w:p>
    <w:p w:rsidR="00163957" w:rsidRDefault="00163957" w:rsidP="00163957">
      <w:pPr>
        <w:pStyle w:val="TextoNormal"/>
      </w:pPr>
      <w:r>
        <w:t>Por providencia de 3 de marzo de 2011, se emplazó a las partes para que por término legal y común de diez días formularan alegaciones sobre la posible inadmisibilidad del recurso por dirigirse “contra una actuación que no es susceptible de control jurisdiccional por este orden contencioso-administrativo”.</w:t>
      </w:r>
    </w:p>
    <w:p w:rsidR="00163957" w:rsidRDefault="00163957" w:rsidP="00163957">
      <w:pPr>
        <w:pStyle w:val="TextoNormal"/>
      </w:pPr>
    </w:p>
    <w:p w:rsidR="00163957" w:rsidRDefault="00163957" w:rsidP="00163957">
      <w:pPr>
        <w:pStyle w:val="TextoNormal"/>
      </w:pPr>
      <w:r>
        <w:t>Los demandantes de amparo interpusieron recurso de reposición contra la anterior providencia, por infracción del art. 51 de la Ley reguladora de la jurisdicción contencioso-administrativa (LJCA), así como del art. 24.1 CE, puesto que, de conformidad con aquel precepto, sólo “tras el examen del expediente administrativo” podría el Tribunal declarar, previo emplazamiento de las partes, la inadmisión del recurso.</w:t>
      </w:r>
    </w:p>
    <w:p w:rsidR="00163957" w:rsidRDefault="00163957" w:rsidP="00163957">
      <w:pPr>
        <w:pStyle w:val="TextoNormal"/>
      </w:pPr>
    </w:p>
    <w:p w:rsidR="00163957" w:rsidRDefault="00163957" w:rsidP="00163957">
      <w:pPr>
        <w:pStyle w:val="TextoNormal"/>
      </w:pPr>
      <w:r>
        <w:t xml:space="preserve">Asimismo, por escrito de fecha 28 de marzo de 2011, los demandantes de amparo formularon alegaciones oponiéndose a la inadmisión del recurso contencioso-administrativo, </w:t>
      </w:r>
      <w:r>
        <w:lastRenderedPageBreak/>
        <w:t>aduciendo, en síntesis, que los actos recurridos eran actuaciones administrativas sometidas al control de la jurisdicción contencioso-administrativa, sin que pudiera conferírseles la consideración de actos de gobierno o actos políticos, susceptibles también, en su caso, de fiscalización por el orden contencioso-administrativo [art. 2 a) LJCA].</w:t>
      </w:r>
    </w:p>
    <w:p w:rsidR="00163957" w:rsidRDefault="00163957" w:rsidP="00163957">
      <w:pPr>
        <w:pStyle w:val="TextoNormal"/>
      </w:pPr>
    </w:p>
    <w:p w:rsidR="00163957" w:rsidRDefault="00163957" w:rsidP="00163957">
      <w:pPr>
        <w:pStyle w:val="TextoNormal"/>
      </w:pPr>
      <w:r>
        <w:t>g) La Sección Séptima de la Sala de lo Contencioso-Administrativo del Tribunal Supremo, por Auto de 30 de mayo de 2011, desestimó el recurso de reposición interpuesto contra la providencia de 3 de marzo de 2011, declaró la admisión del recurso contencioso-administrativo promovido contra el Real Decreto 1611/2010, de 3 de diciembre, y la inadmisión del mismo en relación con la impugnación del Real Decreto 1673/2010, de 4 de diciembre, el acuerdo del Consejo de Ministros de 14 de diciembre de 2010 y el Real Decreto 1717/2010, de 17 de diciembre.</w:t>
      </w:r>
    </w:p>
    <w:p w:rsidR="00163957" w:rsidRDefault="00163957" w:rsidP="00163957">
      <w:pPr>
        <w:pStyle w:val="TextoNormal"/>
      </w:pPr>
    </w:p>
    <w:p w:rsidR="00163957" w:rsidRDefault="00163957" w:rsidP="00163957">
      <w:pPr>
        <w:pStyle w:val="TextoNormal"/>
      </w:pPr>
      <w:r>
        <w:t xml:space="preserve">Tras señalar la posibilidad de declarar la inadmisión del recurso contencioso-administrativo </w:t>
      </w:r>
      <w:r w:rsidRPr="00163957">
        <w:rPr>
          <w:i/>
        </w:rPr>
        <w:t>ex</w:t>
      </w:r>
      <w:r>
        <w:t xml:space="preserve"> art. 5 LJCA sin esperar a que fuera remitido el expediente administrativo, en el Auto se sostiene, en síntesis, reproduciendo la doctrina de los Autos de 10 de febrero y 9 de marzo de 2011 (por los que se acordó la inadmisión del recurso contencioso-administrativo núm. 553-2010 interpuesto contra el Real Decreto 1673/2010), que con la autorización de la prórroga del estado de alarma en los mismo términos en los que fue inicialmente declarado, el Congreso de los Diputados había asumido en su integridad “el contenido de su inicial declaración por el Real Decreto 1673/2010”, con lo que le vino a dar a dicha declaración “naturaleza y carácter parlamentario”, por lo que “no tratándose ya de una actuación gubernamental sino de una resolución de la cámara, el Real Decreto quedaba fuera del ámbito que el artículo 106.1 de la Constitución delimita para el control judicial de la actuación administrativa y no tenía encaje en los artículos 1 y 2 de la Ley reguladora”. “La autorización —se dice en el Auto de 9 de marzo de 2011— para prorrogar el estado de alarma es una verdadera convalidación de su declaración inicial porque ratifica su validez y, por eso, dispone su continuidad”. Si ello es así respecto al Real Decreto por el que se declara el estado de alarma, “ha de añadirse —se dice en el Auto ahora recurrido en amparo— que la prórroga no es constitucionalmente posible sin dicha autorización y que no es concebible que el Congreso de los Diputados la conceda sin aceptar su procedencia en la forma y en el fondo. De este modo, una vez parlamentarizada la decisión, aunque su formalización última la expresa el Gobierno por Real Decreto, la consecuencia que ello conlleva es que dicha decisión se sitúa fuera del ámbito propio de la Jurisdicción Contencioso-Administrativa que resulta de lo establecido en los artículos 106.1 de la Constitución y 1 y 2 de la Ley reguladora”.</w:t>
      </w:r>
    </w:p>
    <w:p w:rsidR="00163957" w:rsidRDefault="00163957" w:rsidP="00163957">
      <w:pPr>
        <w:pStyle w:val="TextoNormal"/>
      </w:pPr>
    </w:p>
    <w:p w:rsidR="00163957" w:rsidRDefault="00163957" w:rsidP="00163957">
      <w:pPr>
        <w:pStyle w:val="TextoNormal"/>
      </w:pPr>
      <w:r>
        <w:t>h) Los demandantes de amparo interpusieron recurso de reposición contra el anterior Auto, que fue desestimado por Auto de la Sección Séptima de la Sala de lo Contencioso-Administrativo del Tribunal Supremo, de 1 de junio de 2012, en el que se reitera la argumentación del Auto recurrido.</w:t>
      </w:r>
    </w:p>
    <w:p w:rsidR="00163957" w:rsidRDefault="00163957" w:rsidP="00163957">
      <w:pPr>
        <w:pStyle w:val="TextoNormal"/>
      </w:pPr>
    </w:p>
    <w:p w:rsidR="00163957" w:rsidRDefault="00163957" w:rsidP="00163957">
      <w:pPr>
        <w:pStyle w:val="TextoNormal"/>
      </w:pPr>
      <w:r w:rsidRPr="00163957">
        <w:rPr>
          <w:rStyle w:val="NumeroAFNegritaCaracter"/>
        </w:rPr>
        <w:t>3</w:t>
      </w:r>
      <w:r>
        <w:t>. En cuanto a la fundamentación jurídica de la demanda de amparo, se invoca en ésta, frente a las resoluciones judiciales impugnadas, la lesión del derecho a la tutela judicial efectiva (art. 24.1 CE), en su vertiente de derecho de acceso al proceso, al haberse inadmitido el recurso contencioso-administrativo sin que la Sala hubiera reclamado previamente el expediente administrativo (art. 51.1 LJCA), así como por no haber estimado fiscalizable ante la jurisdicción contenciosa la actividad administrativa impugnada.</w:t>
      </w:r>
    </w:p>
    <w:p w:rsidR="00163957" w:rsidRDefault="00163957" w:rsidP="00163957">
      <w:pPr>
        <w:pStyle w:val="TextoNormal"/>
      </w:pPr>
    </w:p>
    <w:p w:rsidR="00163957" w:rsidRDefault="00163957" w:rsidP="00163957">
      <w:pPr>
        <w:pStyle w:val="TextoNormal"/>
      </w:pPr>
      <w:r>
        <w:lastRenderedPageBreak/>
        <w:t>a) Los demandantes de amparo consideran evidente la especial trascendencia constitucional del recurso de amparo (art. 49 de la Ley Orgánica del Tribunal Constitucional: LOTC), pues nunca se había declarado en nuestro ordenamiento el estado de alarma, lo que por sí justifica la importancia de su contenido “para la Constitución, para su aplicación o para su general eficacia y para la determinación del contenido y alcance de los derechos fundamentales”. En este sentido, razonan que las resoluciones jurisdiccionales impugnadas han impedido que recaiga una sentencia de fondo que se pronuncie sobre los presupuestos establecidos en la ley y en la Constitución para proceder a la declaración del estado de alarma, sobre si las medidas adoptadas al amparo de dicha declaración fueron las adecuadas o si han comportado una restricción injustificada de los derechos fundamentales de las personas a las que afectó directamente [STC 155/2009, de 25 de junio, FJ 1, letras a) y g)]. Más allá de las concretas vulneraciones del derecho fundamental alegado, este Tribunal ha de pronunciarse por vez primera sobre si son fiscalizables o no ante la jurisdicción contencioso-administrativa la declaración y prorroga del estado de alarma. Tampoco existe ningún pronunciamiento por parte de este Tribunal sobre la posible lesión del derecho a la tutela judicial efectiva (art. 24.1 CE) como consecuencia de la inadmisión de un recurso contencioso-administrativo sin que previamente se hubiera reclamado el expediente administrativo (art. 51.1 LJCA).</w:t>
      </w:r>
    </w:p>
    <w:p w:rsidR="00163957" w:rsidRDefault="00163957" w:rsidP="00163957">
      <w:pPr>
        <w:pStyle w:val="TextoNormal"/>
      </w:pPr>
    </w:p>
    <w:p w:rsidR="00163957" w:rsidRDefault="00163957" w:rsidP="00163957">
      <w:pPr>
        <w:pStyle w:val="TextoNormal"/>
      </w:pPr>
      <w:r>
        <w:t>b) Los demandantes sostienen, en primer término, que, de conformidad con lo dispuesto en el art. 51.1 LJCA, con carácter previo a resolver sobre la admisión o inadmisión del recurso contencioso-administrativo debía de haberse requerido a la Administración para que remitiese el expediente administrativo y, a la vista de su contenido, la Sala podría declarar, si así lo estimara, la inadmisión del recurso.</w:t>
      </w:r>
    </w:p>
    <w:p w:rsidR="00163957" w:rsidRDefault="00163957" w:rsidP="00163957">
      <w:pPr>
        <w:pStyle w:val="TextoNormal"/>
      </w:pPr>
    </w:p>
    <w:p w:rsidR="00163957" w:rsidRDefault="00163957" w:rsidP="00163957">
      <w:pPr>
        <w:pStyle w:val="TextoNormal"/>
      </w:pPr>
      <w:r>
        <w:t>En este sentido, califican de desproporcionada y contraria a la voluntad del legislador la interpretación sostenida por el Tribunal Supremo, pues el requisito de la previa reclamación del expediente administrativo se contempla como una garantía del justiciable para formular las alegaciones a las que se refieren los arts. 5 y 51 LJCA, hurtándosele, en caso contrario, dicho trámite. El citado art. 51 LJCA resulta de aplicación incluso ante la posible falta de jurisdicción como causa de inadmisión del recurso contencioso-administrativo, aunque ésta pueda apreciarse en cualquier fase del procedimiento. En definitiva, la actuación del Tribunal Supremo ha resultado lesiva del derecho a la tutela judicial efectiva (art. 24.1 CE), en su vertiente de derecho de acceso al proceso, al haber alterado los términos establecidos por el legislador para el desarrollo del procedimiento, con claro perjuicio para los recurrentes, en la medida en que no han podido llevar a cabo una defensa justa, plena e íntegra sobre la causa de inadmisibilidad del recurso contencioso-administrativo.</w:t>
      </w:r>
    </w:p>
    <w:p w:rsidR="00163957" w:rsidRDefault="00163957" w:rsidP="00163957">
      <w:pPr>
        <w:pStyle w:val="TextoNormal"/>
      </w:pPr>
    </w:p>
    <w:p w:rsidR="00163957" w:rsidRDefault="00163957" w:rsidP="00163957">
      <w:pPr>
        <w:pStyle w:val="TextoNormal"/>
      </w:pPr>
      <w:r>
        <w:t>c) El derecho fundamental a la tutela judicial efectiva (art. 24.1 CE), en su vertiente de derecho de acceso a la jurisdicción, habría también resultado vulnerado por la improcedente inadmisión del recurso contencioso-administrativo, pues los razonamientos en los que se funda esta decisión no encuentran respaldo ni en la Constitución, ni en la de la Ley Orgánica 4/1981, ni en el Reglamento del Congreso de los Diputados, chocando además con la doctrina del ATC 7/2012, de 13 de enero.</w:t>
      </w:r>
    </w:p>
    <w:p w:rsidR="00163957" w:rsidRDefault="00163957" w:rsidP="00163957">
      <w:pPr>
        <w:pStyle w:val="TextoNormal"/>
      </w:pPr>
    </w:p>
    <w:p w:rsidR="00163957" w:rsidRDefault="00163957" w:rsidP="00163957">
      <w:pPr>
        <w:pStyle w:val="TextoNormal"/>
      </w:pPr>
      <w:r>
        <w:t xml:space="preserve">Los demandantes de amparo argumentan al respecto que los Reales Decretos y el acuerdo del Consejo de Ministros impugnados en la vía judicial son disposiciones administrativas </w:t>
      </w:r>
      <w:r>
        <w:lastRenderedPageBreak/>
        <w:t>plenamente fiscalizables por la jurisdicción contencioso-administrativa, sin que pueda considerárseles como manifestación de una parcela del poder ejecutivo absolutamente exenta de cualquier control, incluso político o parlamentario. Los decretos por los que se declara y prorroga el estado de alarma no tienen valor de ley y la intervención prevista del Congreso de los Diputados no pueda modificar, cambiar o transformar su verdadera naturaleza jurídica. Más clara aun es la naturaleza del acuerdo del Consejo de Ministros, pues se trata de una simple petición para solicitar la prórroga del estado de alarma.</w:t>
      </w:r>
    </w:p>
    <w:p w:rsidR="00163957" w:rsidRDefault="00163957" w:rsidP="00163957">
      <w:pPr>
        <w:pStyle w:val="TextoNormal"/>
      </w:pPr>
    </w:p>
    <w:p w:rsidR="00163957" w:rsidRDefault="00163957" w:rsidP="00163957">
      <w:pPr>
        <w:pStyle w:val="TextoNormal"/>
      </w:pPr>
      <w:r>
        <w:t>A tenor de los arts. 116.2 CE y 4 y 6 de la Ley Orgánica 4/1981, la declaración del estado de alarma corresponde en exclusiva al Gobierno y habrá de adoptar la forma de decreto, lo que determina que es susceptible de control por la jurisdicción contencioso-administrativa. Ello sin perjuicio, como es evidente, de que no todos los actos del Gobierno son manifestación de su potestad reglamentaria y de su doble condición de órgano que dirige la Administración general del Estado y de órgano constitucional en el ejercicio de las funciones directamente derivadas de la Constitución. En definitiva, la declaración del estado de alarma y su prórroga no pueden catalogarse como decisiones o actos políticos y, en consecuencia, los Reales Decretos impugnados se configuran como disposiciones y actos de carácter general propios de la dirección de la Administración, fiscalizables por aquella jurisdicción [arts. 12.1 a) LJCA y 3.1 de la Ley Orgánica 4/1981].</w:t>
      </w:r>
    </w:p>
    <w:p w:rsidR="00163957" w:rsidRDefault="00163957" w:rsidP="00163957">
      <w:pPr>
        <w:pStyle w:val="TextoNormal"/>
      </w:pPr>
    </w:p>
    <w:p w:rsidR="00163957" w:rsidRDefault="00163957" w:rsidP="00163957">
      <w:pPr>
        <w:pStyle w:val="TextoNormal"/>
      </w:pPr>
      <w:r>
        <w:t>Aun cuando se considerase como “un acto político”, no por ello constituye una actuación administrativa plenamente exenta de control jurisdiccional. En este sentido, se reproducen en la demanda reiterados pronunciamientos del Tribunal Supremo, conforme a los cuales, con base en el art. 2.1 a) LJCA, todos los actos del Gobierno, incluidos los de naturaleza política, están sometidos al control judicial en lo que se refiere, al menos, al cumplimiento de los derechos fundamentales y de sus elementos reglados. Es impensable, por lo tanto, que en aplicación de lo dispuesto en los arts. 9 y 24 CE y 2.1 a) LJCA los Reales Decretos y el acuerdo del Consejo de Ministros impugnados en la vía judicial queden excluidos de todo control jurisdiccional, al menos respecto a la protección de los derechos fundamentales, gravemente limitados en este caso con la declaración y prórroga del estado de alarma, a sus elementos reglados y la determinación de la indemnización correspondiente.</w:t>
      </w:r>
    </w:p>
    <w:p w:rsidR="00163957" w:rsidRDefault="00163957" w:rsidP="00163957">
      <w:pPr>
        <w:pStyle w:val="TextoNormal"/>
      </w:pPr>
    </w:p>
    <w:p w:rsidR="00163957" w:rsidRDefault="00163957" w:rsidP="00163957">
      <w:pPr>
        <w:pStyle w:val="TextoNormal"/>
      </w:pPr>
      <w:r>
        <w:t xml:space="preserve">Tampoco sobre estas disposiciones recae un control parlamentario, ni previo, ni coetáneo, ni posterior, como por el contrario se afirma en los Autos recurridos en amparo. Los demandantes infieren de la doctrina de este Tribunal (SSTC 196/1990, de 29 de noviembre; 220/1991, de 25 de noviembre, y 222/2006, de 4 de julio) que la categoría de acto político excluido del control de los Tribunales del orden contencioso-administrativo ha quedado limitada, exclusivamente, a los actos referidos a las relaciones con otros órganos constitucionales, pero respecto de los que exista un control efectivo y cierto por el Parlamento. Sucede, sin embargo, que no existe un control parlamentario sobre la declaración del estado de alarma, que corresponde exclusivamente al Gobierno, sin que los arts. 116 CE y 4, 6 y 9 de la Ley Orgánica 4/1981 regulen el ejercicio de control que predica el Tribunal Supremo en sus Autos. La intervención del Congreso de los Diputados, como revela el acta de la sesión celebrada al respecto, se ha limitado a ser informado por el Gobierno de la actuación desarrollada y de los motivos que abocaron a la declaración del estado de alarma. Tal intervención, absolutamente pasiva, no constituye ningún tipo de control efectivo sobre la decisión </w:t>
      </w:r>
      <w:r>
        <w:lastRenderedPageBreak/>
        <w:t>gubernamental. Una vez declarado el estado de alarma por el Gobierno, lo único que procede es comunicarlo al Congreso de los Diputados, que a lo sumo podrá recabar la información y documentación que estime conveniente.</w:t>
      </w:r>
    </w:p>
    <w:p w:rsidR="00163957" w:rsidRDefault="00163957" w:rsidP="00163957">
      <w:pPr>
        <w:pStyle w:val="TextoNormal"/>
      </w:pPr>
    </w:p>
    <w:p w:rsidR="00163957" w:rsidRDefault="00163957" w:rsidP="00163957">
      <w:pPr>
        <w:pStyle w:val="TextoNormal"/>
      </w:pPr>
      <w:r>
        <w:t>Así pues, al no someterse a ningún tipo de control parlamentario, el Real Decreto 1673/2010, de conformidad con aquella doctrina jurisprudencial, sería perfectamente impugnable ante los órganos jurisdiccionales. Lo mismo cabe decir del acuerdo del Consejo de Ministros de 14 de diciembre de 2010, que sólo nace de la propia voluntad del Gobierno de prorrogar el estado de alarma y que no está sujeto a control parlamentario alguno. Y lo mismo sucede con el Real Decreto 1717/2010, pues, aun cuando pueda considerarse que el Congreso de los Diputados debe dar su autorización, la prórroga del estado de alarma la acuerda el Gobierno bajo la forma también de Decreto.</w:t>
      </w:r>
    </w:p>
    <w:p w:rsidR="00163957" w:rsidRDefault="00163957" w:rsidP="00163957">
      <w:pPr>
        <w:pStyle w:val="TextoNormal"/>
      </w:pPr>
    </w:p>
    <w:p w:rsidR="00163957" w:rsidRDefault="00163957" w:rsidP="00163957">
      <w:pPr>
        <w:pStyle w:val="TextoNormal"/>
      </w:pPr>
      <w:r>
        <w:t>Ninguno de los actos y disposiciones que se pretendían impugnar ante la jurisdicción contencioso-administrativa tienen naturaleza parlamentaria, como se sostiene en los Autos recurridos. En efecto, ni la Constitución ni la Ley Orgánica 4/1981 establecen que la declaración del estado de alarma ni su posterior prórroga tengan rango de ley, pues, al tratarse, precisamente de un estado excepcional previsto para calamidades o catástrofes imprevistas, se confía su declaración y prórroga por decreto, esto es, a través de una disposición de rango inferior a la ley. No puede proclamarse que unos actos sin valor de ley, como son claramente el Real Decreto 1673/2010, el acuerdo del Consejo de Ministros de 14 de diciembre de 2010 y el Real Decreto 1717/2010, tratándose de actos del Gobierno, muten su verdadera naturaleza jurídica pasando a ser actos de naturaleza parlamentaria. Son, por lo tanto, disposiciones y actos susceptibles de control jurisdiccional por vulneración de la Constitución y de la Ley Orgánica 4/1981, pues de admitirse lo contrario, como consecuencia de la argüida asunción parlamentaria a la que se refieren los Autos recurridos en amparo, estaríamos ante una actuación no sólo exenta de control ante los Tribunales ordinarios, sino también no susceptible de control constitucional, ya que en tanto que disposiciones o actos sin fuerza de ley no podría interponerse contra ellos recurso de inconstitucionalidad (art. 27 LOTC), ni, por otra parte, podrían impugnarse en amparo al no tratarse de actos parlamentarios (art. 42 LOTC), ni, en fin, podría satisfacer el requisito de agotar la vía judicial previa (art. 43 LOTC).</w:t>
      </w:r>
    </w:p>
    <w:p w:rsidR="00163957" w:rsidRDefault="00163957" w:rsidP="00163957">
      <w:pPr>
        <w:pStyle w:val="TextoNormal"/>
      </w:pPr>
    </w:p>
    <w:p w:rsidR="00163957" w:rsidRDefault="00163957" w:rsidP="00163957">
      <w:pPr>
        <w:pStyle w:val="TextoNormal"/>
      </w:pPr>
      <w:r>
        <w:t xml:space="preserve">Aunque los demandantes de amparo afirman que no es objeto de este recurso de amparo la posible inconstitucionalidad e ilegalidad de los Reales Decretos 1673/2010 y 1717/2010 y del acuerdo del Consejo de Ministros de 14 de diciembre de 2010, dedican a tal extremo el último apartado de sus alegaciones, en el que sostienen, en síntesis, que esa inconstitucionalidad e ilegalidad es la que pretendían que se declarase por el Tribunal Supremo en el recurso contencioso-administrativo inadmitido a trámite. En este sentido, aducen como elementos susceptibles de fiscalización por la jurisdicción contencioso-administrativa, en primer lugar, la protección de los derechos fundamentales de los recurrentes, estimando que en este caso, como consecuencia de la militarización de los controladores aéreos, han resultado vulnerados el derecho a la tutela judicial efectiva (art. 24.1 CE), el derecho al Juez ordinario predeterminado por la ley (art. 24.2 CE), la libertad de expresión (art. 20 CE), la libertad de reunión y manifestación (art. 21 CE), la libertad de afiliación política y sindical (art. 22 CE), el derecho de sufragio pasivo (art. 23 CE), la libertad sindical y el derecho de huelga (art. 28 CE) y el derecho de petición (art. 29 CE); en segundo lugar, los elementos reglados del acto, considerando los recurrentes que no concurrían los presupuestos para la </w:t>
      </w:r>
      <w:r>
        <w:lastRenderedPageBreak/>
        <w:t>declaración del estado de alarma que establece el art. 4 de la Ley Orgánica 4/1981; y, en fin, la pretensión indemnizatoria por los daños y perjuicios que en su esfera han padecido por la actuación gubernamental.</w:t>
      </w:r>
    </w:p>
    <w:p w:rsidR="00163957" w:rsidRDefault="00163957" w:rsidP="00163957">
      <w:pPr>
        <w:pStyle w:val="TextoNormal"/>
      </w:pPr>
    </w:p>
    <w:p w:rsidR="00163957" w:rsidRDefault="00163957" w:rsidP="00163957">
      <w:pPr>
        <w:pStyle w:val="TextoNormal"/>
      </w:pPr>
      <w:r>
        <w:t>La demanda de amparo concluye con la súplica de que se acuerde su admisión y, tras los trámites pertinentes, se dicte Sentencia en la que, otorgando el amparo solicitado, se declare la nulidad de los Autos de la Sección Séptima de la Sala de lo Contencioso-Administrativo del Tribunal Supremo, de 30 de mayo de 2011 y 1 de junio de 2012, retrotrayendo las actuaciones al momento procesal anterior al primero de los citados Autos para que por la referida Sección se dicte nueva resolución en el recurso contencioso-administrativo núm. 153-2011 que sea respetuosa con el derecho fundamental declarado vulnerado. Por otrosí, con base en los arts. 52.2 y 85.3 LOTC, se interesa la celebración de vista oral dada la evidente relevancia de la cuestión planteada en la demanda de amparo.</w:t>
      </w:r>
    </w:p>
    <w:p w:rsidR="00163957" w:rsidRDefault="00163957" w:rsidP="00163957">
      <w:pPr>
        <w:pStyle w:val="TextoNormal"/>
      </w:pPr>
    </w:p>
    <w:p w:rsidR="00163957" w:rsidRDefault="00163957" w:rsidP="00163957">
      <w:pPr>
        <w:pStyle w:val="TextoNormal"/>
      </w:pPr>
      <w:r w:rsidRPr="00163957">
        <w:rPr>
          <w:rStyle w:val="NumeroAFNegritaCaracter"/>
        </w:rPr>
        <w:t>4</w:t>
      </w:r>
      <w:r>
        <w:t>. La Sección Tercera del Tribunal Constitucional, por providencia de 19 de noviembre de 2012, acordó, de conformidad con lo dispuesto en los arts. 49.4 y 50.4 LOTC, no admitir a trámite el recurso presentado por la Procuradora de los Tribunales doña María Eugenia Fernández Rico Fernández, en representación de doña Izaskun Arias de Erice y don Marco González-Vélez, al no haberse procedido a la subsanación del defecto puesto de manifiesto por diligencia de ordenación de 24 de octubre de 2012 (no presentación de poder).</w:t>
      </w:r>
    </w:p>
    <w:p w:rsidR="00163957" w:rsidRDefault="00163957" w:rsidP="00163957">
      <w:pPr>
        <w:pStyle w:val="TextoNormal"/>
      </w:pPr>
    </w:p>
    <w:p w:rsidR="00163957" w:rsidRDefault="00163957" w:rsidP="00163957">
      <w:pPr>
        <w:pStyle w:val="TextoNormal"/>
      </w:pPr>
      <w:r w:rsidRPr="00163957">
        <w:rPr>
          <w:rStyle w:val="NumeroAFNegritaCaracter"/>
        </w:rPr>
        <w:t>5</w:t>
      </w:r>
      <w:r>
        <w:t>. La Sección Tercera del Tribunal Constitucional, por ATC 247/2013, de 28 de octubre, acordó estimar justificada la abstención formulada por el Magistrado Excmo. Sr. don Juan José González Rivas, apartándole definitivamente del conocimiento del recurso de amparo, por concurrir la causa de abstención prevista en el art. 219.11 de la Ley Orgánica del Poder Judicial (LOPJ), al haber formado parte de la Sala que dictó los Autos recurridos en amparo.</w:t>
      </w:r>
    </w:p>
    <w:p w:rsidR="00163957" w:rsidRDefault="00163957" w:rsidP="00163957">
      <w:pPr>
        <w:pStyle w:val="TextoNormal"/>
      </w:pPr>
    </w:p>
    <w:p w:rsidR="00163957" w:rsidRDefault="00163957" w:rsidP="00163957">
      <w:pPr>
        <w:pStyle w:val="TextoNormal"/>
      </w:pPr>
      <w:r w:rsidRPr="00163957">
        <w:rPr>
          <w:rStyle w:val="NumeroAFNegritaCaracter"/>
        </w:rPr>
        <w:t>6</w:t>
      </w:r>
      <w:r>
        <w:t>. La Sala Segunda del Tribunal Constitucional, por providencia de 5 de diciembre de 2013, admitió a trámite el recurso de amparo y, en aplicación de lo dispuesto en el art. 51 LOTC, acordó dirigir atenta comunicación a la Sección Séptima de la Sala de lo Contencioso-Administrativo del Tribunal Supremo, a fin de que, en plazo que no excediera de diez días, remitiese certificación o fotocopia adverada de las actuaciones correspondientes al recurso núm. 153-2011, debiendo previamente emplazar a quienes hubieran sido parte en el procedimiento, a excepción de los demandantes de amparo, para que si lo deseasen pudieran comparecer en el plazo de diez días en este recurso.</w:t>
      </w:r>
    </w:p>
    <w:p w:rsidR="00163957" w:rsidRDefault="00163957" w:rsidP="00163957">
      <w:pPr>
        <w:pStyle w:val="TextoNormal"/>
      </w:pPr>
    </w:p>
    <w:p w:rsidR="00163957" w:rsidRDefault="00163957" w:rsidP="00163957">
      <w:pPr>
        <w:pStyle w:val="TextoNormal"/>
      </w:pPr>
      <w:r w:rsidRPr="00163957">
        <w:rPr>
          <w:rStyle w:val="NumeroAFNegritaCaracter"/>
        </w:rPr>
        <w:t>7</w:t>
      </w:r>
      <w:r>
        <w:t>. Por diligencia de ordenación del Secretario de Justicia, de 7 de enero de 2014, se tuvo por parte y personado al Abogado del Estado, acordándose dar vista de las actuaciones recibidas a las partes personadas y al Ministerio Fiscal por plazo común de veinte días, dentro de los cuales pudieron presentar las alegaciones que tuvieron por conveniente, de conformidad con lo dispuesto en el art. 52.1 LOTC.</w:t>
      </w:r>
    </w:p>
    <w:p w:rsidR="00163957" w:rsidRDefault="00163957" w:rsidP="00163957">
      <w:pPr>
        <w:pStyle w:val="TextoNormal"/>
      </w:pPr>
    </w:p>
    <w:p w:rsidR="00163957" w:rsidRDefault="00163957" w:rsidP="00163957">
      <w:pPr>
        <w:pStyle w:val="TextoNormal"/>
      </w:pPr>
      <w:r w:rsidRPr="00163957">
        <w:rPr>
          <w:rStyle w:val="NumeroAFNegritaCaracter"/>
        </w:rPr>
        <w:t>8</w:t>
      </w:r>
      <w:r>
        <w:t>. El Abogado del Estado evacuó el trámite de alegaciones conferido mediante escrito registrado en fecha 6 de febrero de 2014, que, en lo sustancial, a continuación se resume.</w:t>
      </w:r>
    </w:p>
    <w:p w:rsidR="00163957" w:rsidRDefault="00163957" w:rsidP="00163957">
      <w:pPr>
        <w:pStyle w:val="TextoNormal"/>
      </w:pPr>
    </w:p>
    <w:p w:rsidR="00163957" w:rsidRDefault="00163957" w:rsidP="00163957">
      <w:pPr>
        <w:pStyle w:val="TextoNormal"/>
      </w:pPr>
      <w:r>
        <w:t xml:space="preserve">a) Comienza sus alegaciones poniendo de manifiesto que existen situaciones de hecho en las cuales el normal funcionamiento del orden constitucional se ve alterado y, en mayor </w:t>
      </w:r>
      <w:r>
        <w:lastRenderedPageBreak/>
        <w:t>o menor medida, en peligro, generándose una situación de anormalidad constitucional en la que el sistema ordinario constitucional no es suficiente para asegurar su restablecimiento. A tal fin, para reaccionar en defensa del orden constitucional, se prevén medidas excepcionales que implican, de hecho y de derecho, una alteración del sistema normal de distribución de funciones y poderes. Es lo que se denomina el derecho excepcional o de emergencia.</w:t>
      </w:r>
    </w:p>
    <w:p w:rsidR="00163957" w:rsidRDefault="00163957" w:rsidP="00163957">
      <w:pPr>
        <w:pStyle w:val="TextoNormal"/>
      </w:pPr>
    </w:p>
    <w:p w:rsidR="00163957" w:rsidRDefault="00163957" w:rsidP="00163957">
      <w:pPr>
        <w:pStyle w:val="TextoNormal"/>
      </w:pPr>
      <w:r>
        <w:t>Por este sistema ha optado la Constitución al regular las situaciones de alteración del orden constitucional en su artículo 116, que forma parte del título V, dedicado a las relaciones entre el Gobierno y las Cortes Generales, precepto desarrollado por la Ley Orgánica 4/1981. Estados estos que se regulan de manera gradualista, existiendo un control por parte del Congreso de los Diputados más intenso en la medida en que se pasa de uno a otro, pudiendo también apreciarse en todos ellos un reforzamiento de los poderes del ejecutivo, al que se atribuyen determinados poderes excepcionales de los que carece en un supuesto de normalidad constitucional. Las funciones que en estos supuestos realiza el Gobierno no se integran en las normales, reguladas en el título IV CE (“Del Gobierno y de la Administración”), ni tampoco son normales los controles de su ejercicio. En cualquiera de los tres supuestos constitucionalmente previstos se pueden producir afectaciones de normas legales o asimiladas, esto es, puede el ejecutivo excepcionarlas, suspenderlas o modificar su aplicabilidad legítimamente (ATC 7/2012, de 13 de enero, FJ 2) y, en todo caso, se producen limitaciones al ejercicio de determinados derechos fundamentales e incluso la suspensión de alguno de ellos durante la vigencia de alguno de los estados de emergencia (excepción y sitio).</w:t>
      </w:r>
    </w:p>
    <w:p w:rsidR="00163957" w:rsidRDefault="00163957" w:rsidP="00163957">
      <w:pPr>
        <w:pStyle w:val="TextoNormal"/>
      </w:pPr>
    </w:p>
    <w:p w:rsidR="00163957" w:rsidRDefault="00163957" w:rsidP="00163957">
      <w:pPr>
        <w:pStyle w:val="TextoNormal"/>
      </w:pPr>
      <w:r>
        <w:t>De conformidad con el art. 116 CE y la Ley Orgánica 4/1981 que lo desarrolla, en los tres estados de emergencia la iniciativa corresponde al Gobierno que podrá declararlo (alarma), solicitar autorización para la prórroga (alarma) o para realizar la propia declaración (excepción) o pedir su declaración (sitio). Son decisiones de carácter político que adopta el Gobierno ante una situación de crisis constitucional, que revisten la forma de decreto, en cuanto fórmula de manifestación normativa del ejecutivo, que implicará, según se trate de uno u otro estado, limitaciones en el ejercicio (alarma) e incluso suspensiones de derechos fundamentales (excepción). De modo que la propia Constitución atribuye al Gobierno en situaciones de crisis constitucional la capacidad normativa de incidir en los derechos fundamentales bajo el control del Congreso de los Diputados (art. 55 CE).</w:t>
      </w:r>
    </w:p>
    <w:p w:rsidR="00163957" w:rsidRDefault="00163957" w:rsidP="00163957">
      <w:pPr>
        <w:pStyle w:val="TextoNormal"/>
      </w:pPr>
    </w:p>
    <w:p w:rsidR="00163957" w:rsidRDefault="00163957" w:rsidP="00163957">
      <w:pPr>
        <w:pStyle w:val="TextoNormal"/>
      </w:pPr>
      <w:r>
        <w:t>Las facultades y poderes del Gobierno en estados de emergencia son excepcionales y están sometidos a un control también excepcional por parte del Congreso de los Diputados, a través, entre otros, de los mecanismos de control previstos en el título V CE. En concreto, respecto a los estados de emergencia al Congreso de los Diputados se le comunica de forma inmediata la declaración del estado de alarma y si bien no se prevé una ratificación de esa declaración, nada impide que el Congreso active los mecanismos de control político referidos, siendo el más relevante la moción de censura. Más intenso es el control respecto a la prórroga del estado de alarma, que no puede adoptarse sin la autorización del Congreso de los Diputados (art. 162 del Reglamento del Congreso de los Diputados: RCD). Así pues, la Constitución ha querido regular un control eminentemente político sobre el Gobierno en estos supuestos de estados de emergencia, excluyendo el sistema ordinario de control.</w:t>
      </w:r>
    </w:p>
    <w:p w:rsidR="00163957" w:rsidRDefault="00163957" w:rsidP="00163957">
      <w:pPr>
        <w:pStyle w:val="TextoNormal"/>
      </w:pPr>
    </w:p>
    <w:p w:rsidR="00163957" w:rsidRDefault="00163957" w:rsidP="00163957">
      <w:pPr>
        <w:pStyle w:val="TextoNormal"/>
      </w:pPr>
      <w:r>
        <w:t xml:space="preserve">También se observa que la regulación de los estados de emergencia busca una “unidad de acción” entre el poder legislativo y el ejecutivo para afrontar las situaciones de crisis </w:t>
      </w:r>
      <w:r>
        <w:lastRenderedPageBreak/>
        <w:t>institucional que alteran la propia normalidad constitucional, de tal manera que el ejecutivo no podrá ejercer sus poderes y funciones excepcionales en estas situaciones de crisis institucional sin el respaldo continuado del Congreso de los Diputados por lo que implica de alteración del sistema constitucional de distribución de funciones y poderes.</w:t>
      </w:r>
    </w:p>
    <w:p w:rsidR="00163957" w:rsidRDefault="00163957" w:rsidP="00163957">
      <w:pPr>
        <w:pStyle w:val="TextoNormal"/>
      </w:pPr>
    </w:p>
    <w:p w:rsidR="00163957" w:rsidRDefault="00163957" w:rsidP="00163957">
      <w:pPr>
        <w:pStyle w:val="TextoNormal"/>
      </w:pPr>
      <w:r>
        <w:t>Estas notas sobre la caracterización de los estados de emergencia, concluye el Abogado del Estado estas consideraciones generales, han tenido su reflejo en la doctrina del Tribunal Constitucional, siendo la resolución más relevante el ATC 7/2012, de 13 de enero, cuyo fundamento jurídico 4 reproduce.</w:t>
      </w:r>
    </w:p>
    <w:p w:rsidR="00163957" w:rsidRDefault="00163957" w:rsidP="00163957">
      <w:pPr>
        <w:pStyle w:val="TextoNormal"/>
      </w:pPr>
    </w:p>
    <w:p w:rsidR="00163957" w:rsidRDefault="00163957" w:rsidP="00163957">
      <w:pPr>
        <w:pStyle w:val="TextoNormal"/>
      </w:pPr>
      <w:r>
        <w:t>b) En relación con la primera de las infracciones del derecho a la tutela judicial efectiva (art. 24.1 CE) denunciada por los recurrentes, por haberse inadmitido el recurso contencioso-administrativo sin que el órgano judicial hubiera reclamado previamente el expediente administrativo (art. 51.1 LJCA), el Abogado del Estado considera que la interpretación sostenida en la demanda sobre el juego de los arts. 5 y 51.1 LJCA no encaja en la regulación legal de la declaración de inadmisibilidad del recurso contencioso por falta de jurisdicción, pues esta decisión puede producirse en cualquier fase del proceso, incluso en sentencia (art. 69 LJCA), por ser una cuestión de orden público y, por tanto, también antes incluso de reclamar el expediente administrativo si el Tribunal así lo entiende.</w:t>
      </w:r>
    </w:p>
    <w:p w:rsidR="00163957" w:rsidRDefault="00163957" w:rsidP="00163957">
      <w:pPr>
        <w:pStyle w:val="TextoNormal"/>
      </w:pPr>
    </w:p>
    <w:p w:rsidR="00163957" w:rsidRDefault="00163957" w:rsidP="00163957">
      <w:pPr>
        <w:pStyle w:val="TextoNormal"/>
      </w:pPr>
      <w:r>
        <w:t>En este caso, el Tribunal Supremo ha estimado que la falta de jurisdicción era notoria, por lo que no hacía falta recabar el expediente para adoptar esa decisión, de modo que no cabe apreciar la denunciada lesión del derecho a la tutela judicial efectiva.</w:t>
      </w:r>
    </w:p>
    <w:p w:rsidR="00163957" w:rsidRDefault="00163957" w:rsidP="00163957">
      <w:pPr>
        <w:pStyle w:val="TextoNormal"/>
      </w:pPr>
    </w:p>
    <w:p w:rsidR="00163957" w:rsidRDefault="00163957" w:rsidP="00163957">
      <w:pPr>
        <w:pStyle w:val="TextoNormal"/>
      </w:pPr>
      <w:r>
        <w:t>c) Por lo que se refiere a la queja relativa a la inadmisión del recurso contencioso-administrativo, el Abogado del Estado entiende, en contra de lo afirmado por los recurrentes en amparo, que la decisión del Tribunal Supremo no implica la existencia de una parcela de actuación del poder ejecutivo exenta de control parlamentario y judicial, pues existe, en todo caso, un control parlamentario.</w:t>
      </w:r>
    </w:p>
    <w:p w:rsidR="00163957" w:rsidRDefault="00163957" w:rsidP="00163957">
      <w:pPr>
        <w:pStyle w:val="TextoNormal"/>
      </w:pPr>
    </w:p>
    <w:p w:rsidR="00163957" w:rsidRDefault="00163957" w:rsidP="00163957">
      <w:pPr>
        <w:pStyle w:val="TextoNormal"/>
      </w:pPr>
      <w:r>
        <w:t>En efecto, sin el apoyo del Congreso de los Diputados, el ejecutivo no puede ejercitar los poderes extraordinarios en las situaciones de emergencia constitucional, al ser el Congreso de los Diputados quien autoriza la declaración (excepción), o prorroga (alarma) del estado, o, incluso, quien tiene la exclusiva facultad de su declaración (sitio) a petición del Gobierno. En el estado de alarma, el control respecto a la declaración se realiza a través de la comunicación al Congreso de los Diputados y de la posibilidad de iniciar los mecanismos específicos de control del título V LOTC, así como mediante la autorización, denegación o modificación, en su caso, de la prórroga de dicho estado si es solicitada por el Gobierno. Por tanto, es manifiesto que existe un control parlamentario de la actuación del ejecutivo, además de que, con carácter general, el último párrafo del art. 116 CE mantiene el principio de responsabilidad del Gobierno y de sus agentes durante la vigencia de los estados de emergencia.</w:t>
      </w:r>
    </w:p>
    <w:p w:rsidR="00163957" w:rsidRDefault="00163957" w:rsidP="00163957">
      <w:pPr>
        <w:pStyle w:val="TextoNormal"/>
      </w:pPr>
    </w:p>
    <w:p w:rsidR="00163957" w:rsidRDefault="00163957" w:rsidP="00163957">
      <w:pPr>
        <w:pStyle w:val="TextoNormal"/>
      </w:pPr>
      <w:r>
        <w:t xml:space="preserve">Respecto al control judicial de estos estados, y, en concreto, a las actuaciones del Gobierno que los recurrentes pretendieron impugnar ante la jurisdicción contencioso-administrativa, el Abogado del Estado resalta que es necesario partir del carácter político de estas actuaciones llevadas a cabo por el Gobierno como órgano constitucional, ajenas al Derecho </w:t>
      </w:r>
      <w:r>
        <w:lastRenderedPageBreak/>
        <w:t>administrativo y que determinan la atribución a aquél de poderes excepcionales que condicionan el ejercicio de derechos fundamentales y, en general, excepcionan o condicionan el contenido de normas legales.</w:t>
      </w:r>
    </w:p>
    <w:p w:rsidR="00163957" w:rsidRDefault="00163957" w:rsidP="00163957">
      <w:pPr>
        <w:pStyle w:val="TextoNormal"/>
      </w:pPr>
    </w:p>
    <w:p w:rsidR="00163957" w:rsidRDefault="00163957" w:rsidP="00163957">
      <w:pPr>
        <w:pStyle w:val="TextoNormal"/>
      </w:pPr>
      <w:r>
        <w:t>Es evidente que la solicitud del Gobierno al Congreso de los Diputados para prorrogar el estado de alarma agota su contenido en las relaciones entre aquél y éste, de tal manera que no existe más control que el parlamentario, que se realiza a través de la denegación o modificación de las condiciones y el alcance de la prórroga solicitada, sin perjuicio de la utilización por el Congreso de los Diputados de los demás mecanismos de control previstos en la Constitución (título V).</w:t>
      </w:r>
    </w:p>
    <w:p w:rsidR="00163957" w:rsidRDefault="00163957" w:rsidP="00163957">
      <w:pPr>
        <w:pStyle w:val="TextoNormal"/>
      </w:pPr>
    </w:p>
    <w:p w:rsidR="00163957" w:rsidRDefault="00163957" w:rsidP="00163957">
      <w:pPr>
        <w:pStyle w:val="TextoNormal"/>
      </w:pPr>
      <w:r>
        <w:t>Por su parte, el control judicial de los Reales Decretos de declaración y prórroga del estado de alarma, no está residenciado en la jurisdicción ordinaria, sino en la jurisdicción constitucional, por el carácter eminentemente constitucional de defensa de la propia Constitución de tales actuaciones normativas del ejecutivo y de su contenido material. El Abogado del Estado invoca de nuevo al respecto la doctrina del ATC 7/2012, de 13 de enero, cuyo fundamento jurídico 3 reproduce, considerando que aquella doctrina elaborada en relación con el acto del Congreso de los Diputados que autoriza la prórroga del estado de alarma es aplicable a las dos disposiciones normativas dictadas por el Gobierno para la declaración y prórroga de dicho estado. Si bien la forma de tales disposiciones es la de decreto, como no puede ser de otra manera al ser del Gobierno, su contenido, que coincide con el acto de autorización de la prórroga, no puede tener sino el mismo valor normativo que se atribuye al acto de autorización. Siguiendo el razonamiento del citado Auto, la norma hay que calificarla en función de su contenido y, en este caso, el contenido incide directamente en lo regulado por normas de rango legal que limita o excepciona durante el estado de alarma, como no puede ser de otra manera, ya que los poderes del Gobierno en este estado no son ordinarios, sino extraordinarios, alterando el sistema usual de reparto de poderes constitucionalmente establecido.</w:t>
      </w:r>
    </w:p>
    <w:p w:rsidR="00163957" w:rsidRDefault="00163957" w:rsidP="00163957">
      <w:pPr>
        <w:pStyle w:val="TextoNormal"/>
      </w:pPr>
    </w:p>
    <w:p w:rsidR="00163957" w:rsidRDefault="00163957" w:rsidP="00163957">
      <w:pPr>
        <w:pStyle w:val="TextoNormal"/>
      </w:pPr>
      <w:r>
        <w:t>Resulta forzado mantener que las disposiciones normativas del Gobierno tienen naturaleza reglamentaria por adoptar la forma de decreto, obviando el contexto de crisis constitucional en la que se dictan, el encuadramiento constitucional de la regulación de las situaciones de crisis, su contenido material y excepcional, así como el mecanismo de control constitucional. Si así fuera, el decreto no tendría virtualidad alguna, ya que no podría desplazar ni excepcionar lo establecido en normas legales y menos aún condicionar el ejercicio de derechos fundamentales, de modo que no serviría como instrumento excepcional para restablecer el control constitucional. También resultaría forzado mantener su naturaleza reglamentaria porque el Gobierno no tiene por qué comunicar al Congreso de los Diputados cada reglamento que dicta, ni solicitar autorización para dictarlos o prorrogarlos. Si lo hace es porque no tienen esa naturaleza, ni se dictan al amparo de la potestad reglamentaria prevista en el art. 97 CE, sino en el ejercicio de la potestad extraordinaria que le atribuye el art. 116 CE.</w:t>
      </w:r>
    </w:p>
    <w:p w:rsidR="00163957" w:rsidRDefault="00163957" w:rsidP="00163957">
      <w:pPr>
        <w:pStyle w:val="TextoNormal"/>
      </w:pPr>
    </w:p>
    <w:p w:rsidR="00163957" w:rsidRDefault="00163957" w:rsidP="00163957">
      <w:pPr>
        <w:pStyle w:val="TextoNormal"/>
      </w:pPr>
      <w:r>
        <w:t>A juicio del Abogado del Estado, los decretos de declaración y prórroga del estado de alarma tienen más parecido con el procedimiento establecido en el art. 82 CE para que el Gobierno dicte legislación delegada, así como el previsto en el art. 86 CE para dictar decretos-leyes.</w:t>
      </w:r>
    </w:p>
    <w:p w:rsidR="00163957" w:rsidRDefault="00163957" w:rsidP="00163957">
      <w:pPr>
        <w:pStyle w:val="TextoNormal"/>
      </w:pPr>
    </w:p>
    <w:p w:rsidR="00163957" w:rsidRDefault="00163957" w:rsidP="00163957">
      <w:pPr>
        <w:pStyle w:val="TextoNormal"/>
      </w:pPr>
      <w:r>
        <w:lastRenderedPageBreak/>
        <w:t>En definitiva, residenciar el control de estas disposiciones normativas en el Congreso de los Diputados y en el Tribunal Constitucional no implica una vulneración del art. 24 CE, por lo que la decisión de inadmisión del recurso contencioso-administrativo acordada por el Tribunal Supremo es coherente con nuestro sistema constitucional, con los mecanismos de control en él previstos y con la doctrina constitucional sobre el derecho a la tutela judicial efectiva y las resoluciones de inadmisibilidad (por todas, STC 181/2001, de 17 de septiembre, FJ 3).</w:t>
      </w:r>
    </w:p>
    <w:p w:rsidR="00163957" w:rsidRDefault="00163957" w:rsidP="00163957">
      <w:pPr>
        <w:pStyle w:val="TextoNormal"/>
      </w:pPr>
    </w:p>
    <w:p w:rsidR="00163957" w:rsidRDefault="00163957" w:rsidP="00163957">
      <w:pPr>
        <w:pStyle w:val="TextoNormal"/>
      </w:pPr>
      <w:r>
        <w:t>El Abogado del Estado concluye su escrito de alegaciones solicitando se dicte Sentencia desestimando el recurso de amparo.</w:t>
      </w:r>
    </w:p>
    <w:p w:rsidR="00163957" w:rsidRDefault="00163957" w:rsidP="00163957">
      <w:pPr>
        <w:pStyle w:val="TextoNormal"/>
      </w:pPr>
    </w:p>
    <w:p w:rsidR="00163957" w:rsidRDefault="00163957" w:rsidP="00163957">
      <w:pPr>
        <w:pStyle w:val="TextoNormal"/>
      </w:pPr>
      <w:r w:rsidRPr="00163957">
        <w:rPr>
          <w:rStyle w:val="NumeroAFNegritaCaracter"/>
        </w:rPr>
        <w:t>9</w:t>
      </w:r>
      <w:r>
        <w:t>. La representación procesal de los recurrentes de amparo evacuó el trámite de alegaciones conferido mediante escrito registrado en fecha 10 de febrero de 2014, en el que sustancialmente reproducen las efectuadas en la demanda.</w:t>
      </w:r>
    </w:p>
    <w:p w:rsidR="00163957" w:rsidRDefault="00163957" w:rsidP="00163957">
      <w:pPr>
        <w:pStyle w:val="TextoNormal"/>
      </w:pPr>
    </w:p>
    <w:p w:rsidR="00163957" w:rsidRDefault="00163957" w:rsidP="00163957">
      <w:pPr>
        <w:pStyle w:val="TextoNormal"/>
      </w:pPr>
      <w:r w:rsidRPr="00163957">
        <w:rPr>
          <w:rStyle w:val="NumeroAFNegritaCaracter"/>
        </w:rPr>
        <w:t>10</w:t>
      </w:r>
      <w:r>
        <w:t>. El Ministerio Fiscal evacuó el trámite de alegaciones conferido mediante escrito registrado en fecha 25 de febrero de 2014, que, en lo sustancial, se resume a continuación:</w:t>
      </w:r>
    </w:p>
    <w:p w:rsidR="00163957" w:rsidRDefault="00163957" w:rsidP="00163957">
      <w:pPr>
        <w:pStyle w:val="TextoNormal"/>
      </w:pPr>
    </w:p>
    <w:p w:rsidR="00163957" w:rsidRDefault="00163957" w:rsidP="00163957">
      <w:pPr>
        <w:pStyle w:val="TextoNormal"/>
      </w:pPr>
      <w:r>
        <w:t>a) En relación con la denunciada lesión del derecho a la tutela judicial efectiva (art. 24.1 CE), en su vertiente de acceso al proceso, porque el órgano judicial no había reclamado el expediente administrativo antes de inadmitir el recurso contencioso-administrativo, el Ministerio Fiscal, tras recordar que la interpretación de las normas procesales corresponde a los Tribunales ordinarios (SSTC 362/2006, de 18 de diciembre, y 132/2011, de 18 de julio), señala que el Tribunal Supremo ha expuesto los motivos de la falta de reclamación del expediente y de la posibilidad legal de acordar la resolución de inadmisión en el momento procesal en el que lo hizo, de modo que ninguna tacha de irrazonabilidad, arbitrariedad o error patente se puede atribuir a la resolución recurrida, que no puede ser tildada de rigorista y desproporcionada en relación con el derecho a la tutela judicial efectiva.</w:t>
      </w:r>
    </w:p>
    <w:p w:rsidR="00163957" w:rsidRDefault="00163957" w:rsidP="00163957">
      <w:pPr>
        <w:pStyle w:val="TextoNormal"/>
      </w:pPr>
    </w:p>
    <w:p w:rsidR="00163957" w:rsidRDefault="00163957" w:rsidP="00163957">
      <w:pPr>
        <w:pStyle w:val="TextoNormal"/>
      </w:pPr>
      <w:r>
        <w:t>A mayor abundamiento, la falta de reclamación del expediente administrativo no ha provocado a los demandantes de amparo una situación de indefensión material, pues han podido exponer en su escrito de alegaciones, en virtud del traslado conferido por la providencia de 3 de noviembre de 2011, los motivos por los cuales estimaban que los actos recurridos eran susceptibles de control jurisdiccional y, por ello, el recurso debía de ser admitido, sin que, además, se concrete en la demanda en qué medida la falta de remisión del expediente administrativo les ha generado una situación de indefensión y en qué medida ha afectado al contenido de la resolución judicial.</w:t>
      </w:r>
    </w:p>
    <w:p w:rsidR="00163957" w:rsidRDefault="00163957" w:rsidP="00163957">
      <w:pPr>
        <w:pStyle w:val="TextoNormal"/>
      </w:pPr>
    </w:p>
    <w:p w:rsidR="00163957" w:rsidRDefault="00163957" w:rsidP="00163957">
      <w:pPr>
        <w:pStyle w:val="TextoNormal"/>
      </w:pPr>
      <w:r>
        <w:t xml:space="preserve">b) Por lo que se refiere a la lesión del derecho a la tutela judicial efectiva (art. 24.1 CE) como consecuencia de la decisión de inadmisión del recurso contencioso-administrativo, el Ministerio Fiscal argumenta que el art. 97 CE enumera las funciones que competen al Gobierno, entre ellas, dirigir la política interior y ejercer la función ejecutiva y la potestad reglamentaria. Mientras que estas dos últimas están sujetas al control de los Tribunales (art. 106.1 CE), el Gobierno responde solidariamente de la gestión política ante el Congreso de los Diputados (art. 108 CE). Existe, por tanto, un núcleo de la actividad política del Gobierno resultante del ejercicio de competencias constitucionales que se caracteriza por ser expresión del mayor grado de discrecionalidad y oportunidad, que es susceptible de fiscalización jurisdiccional en aquellos de sus elementos que estén definidos legislativamente y </w:t>
      </w:r>
      <w:r>
        <w:lastRenderedPageBreak/>
        <w:t>que no afecten al fondo de la decisión gubernamental. A salvo siempre la competencia del Tribunal Constitucional, el control de los actos de dirección política corresponde a las Cortes Generales.</w:t>
      </w:r>
    </w:p>
    <w:p w:rsidR="00163957" w:rsidRDefault="00163957" w:rsidP="00163957">
      <w:pPr>
        <w:pStyle w:val="TextoNormal"/>
      </w:pPr>
    </w:p>
    <w:p w:rsidR="00163957" w:rsidRDefault="00163957" w:rsidP="00163957">
      <w:pPr>
        <w:pStyle w:val="TextoNormal"/>
      </w:pPr>
      <w:r>
        <w:t>El Tribunal Supremo (STS de 2 de octubre de 1987) y el Tribunal Constitucional (SSTC 204/1992, de 26 de noviembre; 45/1990, de 15 de marzo; 196/1990, de 29 de noviembre; 220/1991, de 25 de noviembre, y 74/1992, de 7 de diciembre), con base en el citado art. 97 CE, han reconocido la existencia de una actividad política del Gobierno no sujeta a revisión judicial, pudiendo extraerse de la referida doctrina constitucional la conclusión, entre otras, no que la actividad del Gobierno como órgano constitucional no esté sometida al Derecho, sino únicamente que no es fiscalizable ante la jurisdicción contenciosa, al objeto de evitar una judicialización inaceptable de la vida política. Se trata de actos propios del Gobierno como órgano que desarrolla una función de dirección política, susceptibles de control por el Tribunal Constitucional cuando vulneren derechos fundamentales por aplicación analógica del art. 42 LOTC.</w:t>
      </w:r>
    </w:p>
    <w:p w:rsidR="00163957" w:rsidRDefault="00163957" w:rsidP="00163957">
      <w:pPr>
        <w:pStyle w:val="TextoNormal"/>
      </w:pPr>
    </w:p>
    <w:p w:rsidR="00163957" w:rsidRDefault="00163957" w:rsidP="00163957">
      <w:pPr>
        <w:pStyle w:val="TextoNormal"/>
      </w:pPr>
      <w:r>
        <w:t>En este sentido, el art. 2 LJCA de manera restringida permite el control jurisdiccional sobre los actos de gobierno “cualquiera que fuese la naturaleza de dichos actos”. Así pues, nada excluye un control jurisdiccional de los actos políticos del Gobierno constreñido al análisis de su respeto a los derechos fundamentales y a la observancia de los elementos reglados a la vista del citado art. 2 LJCA y de los mandatos de los arts. 9.1 y 24.1 CE.</w:t>
      </w:r>
    </w:p>
    <w:p w:rsidR="00163957" w:rsidRDefault="00163957" w:rsidP="00163957">
      <w:pPr>
        <w:pStyle w:val="TextoNormal"/>
      </w:pPr>
    </w:p>
    <w:p w:rsidR="00163957" w:rsidRDefault="00163957" w:rsidP="00163957">
      <w:pPr>
        <w:pStyle w:val="TextoNormal"/>
      </w:pPr>
      <w:r>
        <w:t>De lo expuesto, el Ministerio Fiscal resalta que los Reales Decretos 1673/2010 y 1717/2010 y el acuerdo del Consejo de Ministros de 14 de diciembre de 2010 son actos del Gobierno dictados como órgano constitucional en ejercicio de las funciones que le atribuye el título V CE, con el control del Congreso de los Diputados, lo que supone otorgarles naturaleza de actos de gobierno no sujetos a Derecho administrativo. En apoyo de que los citados actos son actos de autoridad, trae a colación la doctrina de las SSTC 26/1981, de 17 de julio, y 33/1981, de 5 de noviembre, en relación con la facultad de la autoridad gubernativa de adoptar las medidas necesarias para asegurar el funcionamiento de los servicios públicos en caso de huelga, para concluir que se trata de actos adoptados para restablecer la normalidad de un servicio esencial para la comunidad, como es el transporte aéreo, y emanados de una autoridad política, de modo que la responsabilidad del Gobierno es estrictamente política y, por ello, el control de sus decisiones y actos en los que se ha traducido la declaración del estado de alarma sólo puede ser político por parte del Congreso de los Diputados (art. 108 CE). En consecuencia, no se puede compartir la opinión de los demandantes de amparo de considerarlos como disposiciones dictadas por el Gobierno en el ejercicio de sus potestades reglamentarias o administrativas y, por ello, han de estimarse ajenos al control del orden jurisdiccional contencioso-administrativo.</w:t>
      </w:r>
    </w:p>
    <w:p w:rsidR="00163957" w:rsidRDefault="00163957" w:rsidP="00163957">
      <w:pPr>
        <w:pStyle w:val="TextoNormal"/>
      </w:pPr>
    </w:p>
    <w:p w:rsidR="00163957" w:rsidRDefault="00163957" w:rsidP="00163957">
      <w:pPr>
        <w:pStyle w:val="TextoNormal"/>
      </w:pPr>
      <w:r>
        <w:t>c) Admitido en abstracto el control de los actos políticos, de gobierno o de dirección política, bajo el epígrafe de actos de autoridad, respecto de cuestiones relacionadas con la protección de derechos fundamentales y la observancia de los elementos reglados, el Ministerio Fiscal estima necesario determinar el alcance del control jurisdiccional sobre estos actos.</w:t>
      </w:r>
    </w:p>
    <w:p w:rsidR="00163957" w:rsidRDefault="00163957" w:rsidP="00163957">
      <w:pPr>
        <w:pStyle w:val="TextoNormal"/>
      </w:pPr>
    </w:p>
    <w:p w:rsidR="00163957" w:rsidRDefault="00163957" w:rsidP="00163957">
      <w:pPr>
        <w:pStyle w:val="TextoNormal"/>
      </w:pPr>
      <w:r>
        <w:t xml:space="preserve">Afirma al respecto que no solo la actividad del Gobierno está sometida a fiscalización cuando actúa como Administración pública (arts. 9.1, 103.1 y 106.1 CE), sino también </w:t>
      </w:r>
      <w:r>
        <w:lastRenderedPageBreak/>
        <w:t>cuando toma decisiones en ejercicio de su función política (art. 108 CE). En consecuencia, puede hablarse de una vertiente administrativa y otra política de la actuación del Gobierno, cuya fiscalización corresponde bien a los Tribunales, bien al Congreso de los Diputados, de modo que toda su actuación está sometida a control por otros órganos del Estado. El control político de los actos del Gobierno le corresponde al poder legislativo, no al jurisdiccional, sin perjuicio del control constitucional de sus actos por el Tribunal Constitucional.</w:t>
      </w:r>
    </w:p>
    <w:p w:rsidR="00163957" w:rsidRDefault="00163957" w:rsidP="00163957">
      <w:pPr>
        <w:pStyle w:val="TextoNormal"/>
      </w:pPr>
    </w:p>
    <w:p w:rsidR="00163957" w:rsidRDefault="00163957" w:rsidP="00163957">
      <w:pPr>
        <w:pStyle w:val="TextoNormal"/>
      </w:pPr>
      <w:r>
        <w:t>Como límite al control jurisdiccional invoca el Ministerio Fiscal el principio de separación de poderes (arts. 66.2, 97 y 117 CE), en cuanto le corresponde al Gobierno dirigir la política del Estado, a las Cortes la producción legislativa y a los Jueces y Tribunales el ejercicio de la función jurisdiccional, de manera que los distintos poderes del Estado deben actuar en el marco constitucional sin usurpar funciones que son propias del otro. Ello ha de traducirse en el respeto al contenido de aquellas decisiones o actos propios de cada uno de esos órganos, por lo que no les corresponderá a los órganos judiciales el análisis de fondo de autoridad o político a través del análisis de los elementos reglados o de la vulneración de derechos fundamentales. En otras palabras, el orden jurisdiccional no puede sustituir la voluntad del Gobierno en el ejercicio de su función política.</w:t>
      </w:r>
    </w:p>
    <w:p w:rsidR="00163957" w:rsidRDefault="00163957" w:rsidP="00163957">
      <w:pPr>
        <w:pStyle w:val="TextoNormal"/>
      </w:pPr>
    </w:p>
    <w:p w:rsidR="00163957" w:rsidRDefault="00163957" w:rsidP="00163957">
      <w:pPr>
        <w:pStyle w:val="TextoNormal"/>
      </w:pPr>
      <w:r>
        <w:t>Pues bien, los Reales Decretos 1673/2010 y 1717/2010 los ha dictado el Gobierno como órgano constitucional y conforme a criterios de oportunidad y discrecionalidad en ejercicio de la función política que le atribuye la Constitución (art. 116 CE), por lo que, en principio, como actos de autoridad no estarían sometidos a control jurisdiccional pleno, sino a los límites que establece el art. 2 a) LJCA, cuyas previsiones deben conjugarse con los límites que derivan del principio de separación de poderes.</w:t>
      </w:r>
    </w:p>
    <w:p w:rsidR="00163957" w:rsidRDefault="00163957" w:rsidP="00163957">
      <w:pPr>
        <w:pStyle w:val="TextoNormal"/>
      </w:pPr>
    </w:p>
    <w:p w:rsidR="00163957" w:rsidRDefault="00163957" w:rsidP="00163957">
      <w:pPr>
        <w:pStyle w:val="TextoNormal"/>
      </w:pPr>
      <w:r>
        <w:t>d) El Ministerio Fiscal se refiere a continuación al alcance normativo de las disposiciones por las que se declara y prorroga el estado de alarma. Con base en la doctrina del ATC 7/2012, de 13 de enero, sostiene que aunque revisten forma de decreto y, por tanto, en principio se trata de normas de rango inferior a la ley, susceptibles de impugnación ante la jurisdicción contencioso-administrativa (art. 1 LJCA), el alcance jurídico y la repercusión que tienen temporalmente sobre el ámbito de aplicabilidad de disposiciones con rango de ley sugiere que su rango jurídico va más allá del de las simples disposiciones administrativas dictadas por el Gobierno en ejercicio de la potestad reglamentaria o administrativa. Antes bien, los citados decretos se dictan en el ejercicio de una facultad constitucional atribuida al Gobierno (art. 116 CE), no pudiendo desconocerse, en cuanto a su alcance normativo, que materialmente alcanzan eficacia de ley desde el momento en que pueden condicionar la aplicabilidad de normas con rango de ley, de modo que atendiendo a esta vertiente material, presentan una eficacia jurídica equiparable a la de la ley, lo que necesariamente ha de repercutir en su control jurisdiccional, quedando excluidos, en razón de dicha eficacia, de la fiscalización por el orden jurisdiccional contencioso-administrativo.</w:t>
      </w:r>
    </w:p>
    <w:p w:rsidR="00163957" w:rsidRDefault="00163957" w:rsidP="00163957">
      <w:pPr>
        <w:pStyle w:val="TextoNormal"/>
      </w:pPr>
    </w:p>
    <w:p w:rsidR="00163957" w:rsidRDefault="00163957" w:rsidP="00163957">
      <w:pPr>
        <w:pStyle w:val="TextoNormal"/>
      </w:pPr>
      <w:r>
        <w:t>Además, el Ministerio Fiscal destaca que en este caso el Gobierno solicitó la prórroga del estado de alarma y lo hizo en los mismos términos en que lo había declarado inicialmente, de modo que el Congreso de los Diputados tuvo la posibilidad de convalidar el acto del Gobierno al autorizar la prórroga sin alterar los términos en los que se había solicitado. Siendo ello así, entiende que la consideración del Tribunal Supremo de que el acto del Gobierno adquiere naturaleza parlamentaria y, en consecuencia, no es susceptible de control jurisdiccional, es razonable, no pudiendo tildarse de extravagante o errónea.</w:t>
      </w:r>
    </w:p>
    <w:p w:rsidR="00163957" w:rsidRDefault="00163957" w:rsidP="00163957">
      <w:pPr>
        <w:pStyle w:val="TextoNormal"/>
      </w:pPr>
    </w:p>
    <w:p w:rsidR="00163957" w:rsidRDefault="00163957" w:rsidP="00163957">
      <w:pPr>
        <w:pStyle w:val="TextoNormal"/>
      </w:pPr>
      <w:r>
        <w:t>e) La autorización del Congreso de los Diputados (arts. 116.2 CE y 162.2 RCD) para prorrogar el estado de alarma supone un efectivo control de la actividad del Gobierno, pues la Cámara ha controlado la regularidad formal y sustantiva de las condiciones para prorrogar la situación de emergencia. Que los grupos parlamentarios no hayan hecho uso de la facultad de propuesta que les confiere el artículo 162.3 RCD no significa pasividad por parte de la Cámara, ya que la autorización supone la asunción de la totalidad de las condiciones en que se solicitó la prórroga del estado de alarma, lo que ratifica el control por la Cámara de la decisión del Gobierno.</w:t>
      </w:r>
    </w:p>
    <w:p w:rsidR="00163957" w:rsidRDefault="00163957" w:rsidP="00163957">
      <w:pPr>
        <w:pStyle w:val="TextoNormal"/>
      </w:pPr>
    </w:p>
    <w:p w:rsidR="00163957" w:rsidRDefault="00163957" w:rsidP="00163957">
      <w:pPr>
        <w:pStyle w:val="TextoNormal"/>
      </w:pPr>
      <w:r>
        <w:t>En relación con la declaración inicial del estado de alarma, el Ministerio Fiscal, con base en la doctrina del Auto del Tribunal Supremo de 30 de mayo de 2010 y las previsiones de los arts. 196 y 197 RCD relativos a las comunicaciones del Gobierno al Congreso de los Diputados, sostiene que el debate habido con ocasión de la información recibida supone, por sí sólo, un control político de la Cámara sobre la declaración del estado de alarma que permite a ésta posicionarse sobre dicha declaración, por lo que no puede hablarse de una actuación pasiva de la Cámara. Además, la Cámara no es un mero receptor de la información sobre la declaración del estado de alarma, sino que los distintos grupos parlamentarios pueden someter a la Mesa del Congreso la votación de resoluciones sobre la situación de emergencia decretada por el Gobierno, es decir, la propia Cámara puede adoptar decisiones que contengan un pronunciamiento sobre la regularidad de la decisión adoptada por el Gobierno. A mayor abundamiento, como señala el Auto del Tribunal Supremo de 30 de mayo de 2010, “[l]a autorización por el Congreso de los Diputados de la prórroga del estado de alarma supuso la asunción de la declaración inicial” y “es una verdadera convalidación de su declaración inicial porque ratifica su validez y, por eso, dispone su continuidad”.</w:t>
      </w:r>
    </w:p>
    <w:p w:rsidR="00163957" w:rsidRDefault="00163957" w:rsidP="00163957">
      <w:pPr>
        <w:pStyle w:val="TextoNormal"/>
      </w:pPr>
    </w:p>
    <w:p w:rsidR="00163957" w:rsidRDefault="00163957" w:rsidP="00163957">
      <w:pPr>
        <w:pStyle w:val="TextoNormal"/>
      </w:pPr>
      <w:r>
        <w:t xml:space="preserve">En este caso, se ha producido, si bien es cierto que </w:t>
      </w:r>
      <w:r w:rsidRPr="00163957">
        <w:rPr>
          <w:i/>
        </w:rPr>
        <w:t>a posteriori</w:t>
      </w:r>
      <w:r>
        <w:t>, un efectivo control de la declaración inicial del estado de alarma, pues la solicitud de autorización de la prórroga del estado de alarma por el Gobierno se efectuó en los mismos términos en los que se había declarado el inicial estado de alarma, lo que implica que la Cámara ha realizado una fiscalización efectiva del Real Decreto 1673/2010. En consecuencia, los Reales Decretos por los que se declaró el estado de alarma y su prórroga han sido refrendados y controlados por el Congreso de los Diputados, Cámara a la que le viene conferido dicho control, en tanto que actos políticos (arts. 108.1 y 116.2 CE).</w:t>
      </w:r>
    </w:p>
    <w:p w:rsidR="00163957" w:rsidRDefault="00163957" w:rsidP="00163957">
      <w:pPr>
        <w:pStyle w:val="TextoNormal"/>
      </w:pPr>
    </w:p>
    <w:p w:rsidR="00163957" w:rsidRDefault="00163957" w:rsidP="00163957">
      <w:pPr>
        <w:pStyle w:val="TextoNormal"/>
      </w:pPr>
      <w:r>
        <w:t>De otra parte, el acuerdo del Consejo de Ministros del 14 de diciembre de 2010 ninguna incidencia tiene sobre los derechos e intereses que se pretenden defender a través del recurso de amparo, pues quienes inciden sobre ellos son los Reales Decretos por los que se declara el estado de alarma y su prórroga, respectivamente. No obstante, dicho acuerdo responde a criterios políticos de oportunidad máxima y es inescindible, como antecedente necesario (art. 116.2 CE), del Real Decreto por el que se acuerda la prórroga del estado de alarma, el cual se dictó una vez otorgada la autorización por el Congreso de los Diputados, de manera que debe seguir la misma suerte que el citado Real Decreto.</w:t>
      </w:r>
    </w:p>
    <w:p w:rsidR="00163957" w:rsidRDefault="00163957" w:rsidP="00163957">
      <w:pPr>
        <w:pStyle w:val="TextoNormal"/>
      </w:pPr>
    </w:p>
    <w:p w:rsidR="00163957" w:rsidRDefault="00163957" w:rsidP="00163957">
      <w:pPr>
        <w:pStyle w:val="TextoNormal"/>
      </w:pPr>
      <w:r>
        <w:t xml:space="preserve">f) En relación con la medida de militarización de los controladores de tránsito aéreo (art. 3 del Real Decreto 1673/2010, mantenida por el Real Decreto 1717/2010), el Ministerio Fiscal señala que los demandantes de amparo no denuncian concretos actos de lesión de derechos e intereses legítimos de los controladores, ni identifican qué órdenes emanadas de </w:t>
      </w:r>
      <w:r>
        <w:lastRenderedPageBreak/>
        <w:t>la autoridad competente (arts. 6 del Real Decreto 1673/2010 y Real Decreto 1717/2010) han conculcado aquellos derechos fundamentales, ni cómo la militarización ha causado un daño o lesión efectiva sobre sus derechos. No denunciándose una concreta lesión de un derecho fundamental, sino un hipotético peligro o riesgo para los derechos fundamentales que se enumeran en la demanda, la denuncia efectuada carece de justificación.</w:t>
      </w:r>
    </w:p>
    <w:p w:rsidR="00163957" w:rsidRDefault="00163957" w:rsidP="00163957">
      <w:pPr>
        <w:pStyle w:val="TextoNormal"/>
      </w:pPr>
    </w:p>
    <w:p w:rsidR="00163957" w:rsidRDefault="00163957" w:rsidP="00163957">
      <w:pPr>
        <w:pStyle w:val="TextoNormal"/>
      </w:pPr>
      <w:r>
        <w:t>Los Reales Decretos de declaración y prórroga del estado de alarma se han dictado —afirma el Ministerio Fiscal— por el gobierno en ejercicio de las facultades reconocidas por los arts. 116.2 CE y 4 de la Ley Orgánica 4/1981. Así pues, han sido dictados por la autoridad designada constitucional y orgánicamente, han respetado el procedimiento legalmente establecido, exponen los motivos o causas para su adopción, responden al fin de recuperar la normalidad del tránsito aéreo, explican la necesidad de las medidas impuestas y declaran la proporcionalidad de las mismas. Todo ello ha de conducir a estimar que el Gobierno ha cumplido con las formalidades relativas a la competencia, forma del acto, procedimiento, explicitación de su finalidad y exigencia de proporcionalidad. En consecuencia, se habrían cumplido con los presupuestos reglados establecidos normativamente para decretar el estado de alarma y su prórroga, máxime cuando con la autorización de la prórroga por el Congreso de los Diputados, concedida en los mismos términos en los que se declaró el estado de alarma, la Cámara ha asumido, como ha declarado el Tribunal Supremo, la regularidad de la forma y el contenido de aquellos Reales Decretos.</w:t>
      </w:r>
    </w:p>
    <w:p w:rsidR="00163957" w:rsidRDefault="00163957" w:rsidP="00163957">
      <w:pPr>
        <w:pStyle w:val="TextoNormal"/>
      </w:pPr>
    </w:p>
    <w:p w:rsidR="00163957" w:rsidRDefault="00163957" w:rsidP="00163957">
      <w:pPr>
        <w:pStyle w:val="TextoNormal"/>
      </w:pPr>
      <w:r>
        <w:t>g) Tras reproducir la doctrina constitucional sobre el derecho de acceso a la jurisdicción [SSTC 44/2013, de 25 de febrero, FJ 4, y 128/2013, de 3 de junio, FJ 4], el Ministerio Fiscal entiende que la naturaleza que otorga el Tribunal Supremo a la autorización de la prórroga del estado de alarma y su trasmisión a los Reales Decretos de declaración de dicho estado y su prórroga como actos de carácter parlamentario, en cuanto que la Cámara asume su contenido al hacer suyos los términos en los que se interesó la prórroga del estado de alarma, convierte a aquellos Reales Decretos en decisiones del Gobierno ajenas al ámbito jurisdiccional contencioso-administrativo.</w:t>
      </w:r>
    </w:p>
    <w:p w:rsidR="00163957" w:rsidRDefault="00163957" w:rsidP="00163957">
      <w:pPr>
        <w:pStyle w:val="TextoNormal"/>
      </w:pPr>
    </w:p>
    <w:p w:rsidR="00163957" w:rsidRDefault="00163957" w:rsidP="00163957">
      <w:pPr>
        <w:pStyle w:val="TextoNormal"/>
      </w:pPr>
      <w:r>
        <w:t>A su juicio, esta interpretación no puede calificarse irrazonable, pues tal caracterización les otorga una naturaleza diferente de la de los actos de autoridad o actos políticos, lo que les convierte en incontrolables por el orden jurisdiccional contencioso-administrativo. Al no tener naturaleza de actos de autoridad o políticos tampoco con susceptibles de control por ese orden jurisdiccional en relación con la protección de los derechos fundamentales y sus elementos reglados.</w:t>
      </w:r>
    </w:p>
    <w:p w:rsidR="00163957" w:rsidRDefault="00163957" w:rsidP="00163957">
      <w:pPr>
        <w:pStyle w:val="TextoNormal"/>
      </w:pPr>
    </w:p>
    <w:p w:rsidR="00163957" w:rsidRDefault="00163957" w:rsidP="00163957">
      <w:pPr>
        <w:pStyle w:val="TextoNormal"/>
      </w:pPr>
      <w:r>
        <w:t xml:space="preserve">La prórroga del estado de alarma nace de una actuación conjunta del Gobierno y del Congreso de los Diputados. Puede decirse, por ello, que se trata de una potestad constitucional del Gobierno que comparte con la Cámara, pues está sometida a la autorización de ésta. En la medida en que dicha autorización se convierte en una </w:t>
      </w:r>
      <w:r w:rsidRPr="00163957">
        <w:rPr>
          <w:i/>
        </w:rPr>
        <w:t>conditio sine qua non</w:t>
      </w:r>
      <w:r>
        <w:t>, el acto determinante de la prórroga es un acto de la Cámara, un acto de naturaleza parlamentaria (ATC 7/2012, de 13 de enero), por lo que la preeminencia del Congreso de los Diputados sobre la decisión del Gobierno hace que ese carácter parlamentario se imponga al posible carácter de acto de autoridad o político del Gobierno. El hecho de que una autorización de la Cámara no esté prevista para la inicial declaración del estado de alarma no es obstáculo para considerar razonable el otorgamiento de acto parlamentarizado al Real De</w:t>
      </w:r>
      <w:r>
        <w:lastRenderedPageBreak/>
        <w:t xml:space="preserve">creto 1673/2010 que le ha dado el Tribunal Supremo, ya que el análisis del recurso de amparo no puede deslindarse de las circunstancias concretas en las que se produjeron las referidas declaración y prórroga. En este caso, el Ministerio Fiscal destaca que la solicitud de autorización de la prórroga se formuló en los mismos términos en los que se produjo la declaración del estado de alarma, por lo que la autorización parlamentaria supuso, como dice el Tribunal Supremo, la asunción y convalidación del Real Decreto 1673/2010 en cuanto a su forma y contenido, lo que </w:t>
      </w:r>
      <w:r w:rsidRPr="00163957">
        <w:rPr>
          <w:i/>
        </w:rPr>
        <w:t>a posteriori</w:t>
      </w:r>
      <w:r>
        <w:t xml:space="preserve"> ha significado que el acto del Gobierno cuente con el refrendo del Congreso de los Diputados. Así pues, la prohibición de su fiscalización por el orden jurisdiccional contencioso-administrativo resultaría de la parlamentarización de declaración del estado de alarma.</w:t>
      </w:r>
    </w:p>
    <w:p w:rsidR="00163957" w:rsidRDefault="00163957" w:rsidP="00163957">
      <w:pPr>
        <w:pStyle w:val="TextoNormal"/>
      </w:pPr>
    </w:p>
    <w:p w:rsidR="00163957" w:rsidRDefault="00163957" w:rsidP="00163957">
      <w:pPr>
        <w:pStyle w:val="TextoNormal"/>
      </w:pPr>
      <w:r>
        <w:t xml:space="preserve">El Ministerio Fiscal concluye su escrito de alegaciones estimando que el Tribunal Supremo ha adoptado su decisión con base en una causa legal, que ha aplicado razonablemente, sin que pueda tildarse de rigorista en relación con el principio </w:t>
      </w:r>
      <w:r w:rsidRPr="00163957">
        <w:rPr>
          <w:i/>
        </w:rPr>
        <w:t>pro actione</w:t>
      </w:r>
      <w:r>
        <w:t>, por lo que estima que no ha resultado vulnerado el derecho de los demandantes de amparo a la tutela judicial efectiva (art. 24.1 CE), en su vertiente de acceso a la jurisdicción, procediendo, en consecuencia, la desestimación del recurso de amparo.</w:t>
      </w:r>
    </w:p>
    <w:p w:rsidR="00163957" w:rsidRDefault="00163957" w:rsidP="00163957">
      <w:pPr>
        <w:pStyle w:val="TextoNormal"/>
      </w:pPr>
    </w:p>
    <w:p w:rsidR="00163957" w:rsidRDefault="00163957" w:rsidP="00163957">
      <w:pPr>
        <w:pStyle w:val="TextoNormal"/>
      </w:pPr>
      <w:r w:rsidRPr="00163957">
        <w:rPr>
          <w:rStyle w:val="NumeroAFNegritaCaracter"/>
        </w:rPr>
        <w:t>11</w:t>
      </w:r>
      <w:r>
        <w:t>. La Sala Segunda del Tribunal Constitucional, por Auto de 25 de febrero de 2016, acordó estimar justificada la abstención formulada por el Magistrado Excmo. Sr. don Antonio Narváez Rodríguez, apartándole definitivamente del conocimiento del recurso de amparo, por concurrir la causa de abstención prevista en el art. 219, apartados 13 y 16 LOPJ, al haber intervenido en representación del Ministerio Fiscal en el procedimiento seguido ante la Sala que dictó los Autos recurridos en amparo.</w:t>
      </w:r>
    </w:p>
    <w:p w:rsidR="00163957" w:rsidRDefault="00163957" w:rsidP="00163957">
      <w:pPr>
        <w:pStyle w:val="TextoNormal"/>
      </w:pPr>
    </w:p>
    <w:p w:rsidR="00163957" w:rsidRDefault="00163957" w:rsidP="00163957">
      <w:pPr>
        <w:pStyle w:val="TextoNormal"/>
      </w:pPr>
      <w:r w:rsidRPr="00163957">
        <w:rPr>
          <w:rStyle w:val="NumeroAFNegritaCaracter"/>
        </w:rPr>
        <w:t>12</w:t>
      </w:r>
      <w:r>
        <w:t>. Con fecha de 1 de marzo de 2016, el Pleno, a propuesta de la Sala Segunda, acordó recabar para sí el conocimiento del presente recurso de amparo.</w:t>
      </w:r>
    </w:p>
    <w:p w:rsidR="00163957" w:rsidRDefault="00163957" w:rsidP="00163957">
      <w:pPr>
        <w:pStyle w:val="TextoNormal"/>
      </w:pPr>
    </w:p>
    <w:p w:rsidR="00163957" w:rsidRDefault="00163957" w:rsidP="00163957">
      <w:pPr>
        <w:pStyle w:val="TextoNormal"/>
      </w:pPr>
      <w:r w:rsidRPr="00163957">
        <w:rPr>
          <w:rStyle w:val="NumeroAFNegritaCaracter"/>
        </w:rPr>
        <w:t>13</w:t>
      </w:r>
      <w:r>
        <w:t>. Por providencia de 26 de abril de 2016 se señaló para la deliberación y votación de la presente Sentencia el día 28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La demanda de amparo tiene por objeto la impugnación del Auto de la Sección Séptima de la Sala de lo Contencioso-Administrativo del Tribunal Supremo, de 30 de mayo de 2011, confirmado en reposición por Auto de 1 de junio de 2012, en cuanto declara la inadmisión del recurso contencioso-administrativo núm. 153-2011 promovido por los ahora solicitantes de amparo contra el Real Decreto 1673/2010, de 4 de diciembre, por el que se declara el estado de alarma para la normalización del servicio público esencial del transporte aéreo, el acuerdo del Consejo de Ministros, de 14 de diciembre de 2010, por el que se solicita del Congreso de los Diputados autorización para prorrogar en sus propios términos el estado de alarma y el Real Decreto 1717/2010, de 17 de diciembre, por el que se prorroga el estado de alarma declarado por Real Decreto 1673/2010. Para el órgano judicial, como se ha dejado constancia en los antecedentes de esta Sentencia, los Reales Decretos y el acuerdo del Consejo de Ministros recurridos no son fiscalizables por la jurisdicción contencioso-administrativa, al tratarse de disposiciones que se sitúan fuera del ámbito definido para este orden </w:t>
      </w:r>
      <w:r>
        <w:lastRenderedPageBreak/>
        <w:t>jurisdiccional por los arts. 106 CE y 1 y 2 de la Ley reguladora de la jurisdicción contencioso-administrativa (LJCA).</w:t>
      </w:r>
    </w:p>
    <w:p w:rsidR="00163957" w:rsidRDefault="00163957" w:rsidP="00163957">
      <w:pPr>
        <w:pStyle w:val="TextoNormal"/>
      </w:pPr>
    </w:p>
    <w:p w:rsidR="00163957" w:rsidRDefault="00163957" w:rsidP="00163957">
      <w:pPr>
        <w:pStyle w:val="TextoNormal"/>
      </w:pPr>
      <w:r>
        <w:t>Los demandantes de amparo, controladores de tránsito aéreo al servicio de Aeropuertos Españoles y Navegación Aérea (AENA), estiman que las resoluciones judiciales recurridas vulneran, por un doble motivo, su derecho a la tutela judicial efectiva (art. 24.1 CE). En primer lugar, consideran lesivo del citado derecho fundamental que el órgano judicial, de conformidad con lo dispuesto en el art. 51.1 LJCA, no hubiera requerido a la Administración el expediente administrativo antes de resolver sobre la admisión o inadmisión del recurso contencioso-administrativo. En segundo lugar, califican de improcedente la decisión de inadmisión del recurso contencioso-administrativo respecto a los Reales Decretos y al acuerdo del Consejo de Ministros referidos, plenamente fiscalizables, en su opinión, ante la jurisdicción contencioso-administrativa, por lo que ha resultado infringido también aquel derecho fundamental, en su vertiente, ahora, de derecho de acceso a la jurisdicción.</w:t>
      </w:r>
    </w:p>
    <w:p w:rsidR="00163957" w:rsidRDefault="00163957" w:rsidP="00163957">
      <w:pPr>
        <w:pStyle w:val="TextoNormal"/>
      </w:pPr>
    </w:p>
    <w:p w:rsidR="00163957" w:rsidRDefault="00163957" w:rsidP="00163957">
      <w:pPr>
        <w:pStyle w:val="TextoNormal"/>
      </w:pPr>
      <w:r>
        <w:t>El Abogado del Estado se opone a la estimación de la demanda de amparo. Respecto a la primera de las quejas de los recurrentes, sostiene que la declaración de inadmisión del recurso contencioso-administrativo por falta de jurisdicción, al ser una cuestión de orden público, puede producirse en cualquier fase del proceso (art. 69 LJCA), también, por tanto, antes de reclamar el expediente administrativo, si el órgano judicial así lo entiende. En relación con la segunda de las quejas, descarta que la decisión de inadmisión del recurso contencioso-administrativo lesione el derecho a la tutela judicial efectiva (art. 24.1 CE) de los demandantes de amparo, pues el control jurisdiccional de los Reales Decretos por los que, respectivamente, se declara y prorroga el estado de alarma no corresponde a la jurisdicción ordinaria, sino a la jurisdicción constitucional. Por otra parte, la solicitud por el Gobierno al Congreso de los Diputados de la autorización para prorrogar el estado de alarma agota su contenido en la relación entre ambos órganos constitucionales.</w:t>
      </w:r>
    </w:p>
    <w:p w:rsidR="00163957" w:rsidRDefault="00163957" w:rsidP="00163957">
      <w:pPr>
        <w:pStyle w:val="TextoNormal"/>
      </w:pPr>
    </w:p>
    <w:p w:rsidR="00163957" w:rsidRDefault="00163957" w:rsidP="00163957">
      <w:pPr>
        <w:pStyle w:val="TextoNormal"/>
      </w:pPr>
      <w:r>
        <w:t>El Ministerio Fiscal tampoco estima que haya resultado vulnerado el derecho a la tutela judicial efectiva de los recurrentes en amparo. En primer lugar, por lo que se refiere a la falta de reclamación del expediente administrativo con carácter previo a que el órgano judicial se pronunciara sobre la admisibilidad del recurso, entiende que la interpretación que el Tribunal Supremo ha efectuado de la legislación procesal aplicable en modo alguno puede tacharse de irrazonable, arbitraria o incursa en error patente, no habiendo padecido además los demandantes de amparo situación alguna de indefensión. Considera asimismo, respecto a la segunda de las quejas, que los Reales Decretos impugnados en la vía judicial no son susceptibles de control por la jurisdicción contencioso-administrativa en atención a su eficacia jurídica, de modo que la decisión de inadmisión del Tribunal Supremo no resulta lesiva del derecho a la tutela judicial efectiva. La misma suerte que el Real Decreto por el que se prorroga el estado de alarma ha de seguir, en su opinión, el Acuerdo del Consejo de Ministros, pues responde a criterios de máxima oportunidad política y es inescindible, como antecedente necesario, de dicho Real Decreto.</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La Sentencia de la Sección Tercera del Tribunal Europeo de Derechos Humanos de 20 de enero de 2015 (caso </w:t>
      </w:r>
      <w:r w:rsidRPr="00163957">
        <w:rPr>
          <w:i/>
        </w:rPr>
        <w:t>Arribas Antón c. España</w:t>
      </w:r>
      <w:r>
        <w:t>, § 46) exige que en los asuntos admitidos a trámite por este Tribunal Constitucional se explicite la razón de su especial trascendencia constitucional (STC 222/2015, de 2 de noviembre, FJ 2).</w:t>
      </w:r>
    </w:p>
    <w:p w:rsidR="00163957" w:rsidRDefault="00163957" w:rsidP="00163957">
      <w:pPr>
        <w:pStyle w:val="TextoNormal"/>
      </w:pPr>
    </w:p>
    <w:p w:rsidR="00163957" w:rsidRDefault="00163957" w:rsidP="00163957">
      <w:pPr>
        <w:pStyle w:val="TextoNormal"/>
      </w:pPr>
      <w:r>
        <w:lastRenderedPageBreak/>
        <w:t>La identificación del motivo de la especial trascendencia constitucional de la presente demanda de amparo, en atención a los criterios recogidos en la STC 155/2009, de 25 de junio, FJ 2, no requiere un detenido esfuerzo argumental. En efecto, la cuestión nuclear suscitada, novedosa y de indiscutible relevancia constitucional, no es otra que la de la fiscalización jurisdiccional, con la consiguiente delimitación en nuestro ordenamiento de los ámbitos propios de la jurisdicción ordinaria y de la jurisdicción constitucional, de los Reales Decretos por los que se declara el estado de alarma y se acuerda su prorroga, respectivamente, lo que, a su vez, presenta una indudable incidencia en el contenido del derecho de los ciudadanos a la tutela judicial efectiva en defensa de sus derechos e intereses legítimos, en la vertiente primigenia de este derecho, esto es, la del acceso a la jurisdicción (art. 24.1 CE). Así pues, la especial trascendencia constitucional del recurso estriba en que plantea un problema o faceta en relación con un derecho fundamental sobre el que no hay doctrina del Tribunal Constitucional.</w:t>
      </w:r>
    </w:p>
    <w:p w:rsidR="00163957" w:rsidRDefault="00163957" w:rsidP="00163957">
      <w:pPr>
        <w:pStyle w:val="TextoNormal"/>
      </w:pPr>
    </w:p>
    <w:p w:rsidR="00163957" w:rsidRDefault="00163957" w:rsidP="00163957">
      <w:pPr>
        <w:pStyle w:val="TextoNormal"/>
      </w:pPr>
      <w:r w:rsidRPr="00163957">
        <w:rPr>
          <w:rStyle w:val="NumeroAFNegritaCaracter"/>
        </w:rPr>
        <w:t>3</w:t>
      </w:r>
      <w:r>
        <w:t>. Una vez identificado el motivo de la especial trascendencia constitucional, hemos de proceder a enjuiciar las quejas deducidas en la demanda de amparo, debiendo comenzar nuestro examen por aquella cuya hipotética estimación habría de conducir a la mayor retroacción de las actuaciones (SSTC 19/2000, de 31 de enero, FJ 2; 70/2002, de 3 de abril, FJ 2; 100/2004, de 2 de junio, FJ 4, y 167/2014, de 23 de octubre, FJ 3), cual es en esta ocasión la denunciada lesión del derecho a la tutela judicial efectiva (art. 24.1 CE), por no haber reclamado el Tribunal Supremo a la Administración el expediente administrativo antes de pronunciarse sobre la admisibilidad o inadmisibilidad del recurso contencioso-administrativo.</w:t>
      </w:r>
    </w:p>
    <w:p w:rsidR="00163957" w:rsidRDefault="00163957" w:rsidP="00163957">
      <w:pPr>
        <w:pStyle w:val="TextoNormal"/>
      </w:pPr>
    </w:p>
    <w:p w:rsidR="00163957" w:rsidRDefault="00163957" w:rsidP="00163957">
      <w:pPr>
        <w:pStyle w:val="TextoNormal"/>
      </w:pPr>
      <w:r>
        <w:t>Los recurrentes sostienen que el requisito de la previa reclamación del expediente administrativo es una garantía del justiciable para formular las alegaciones a las que se refieren los arts. 5 y 51 LJCA, precepto este último aplicable incluso ante la posible falta de jurisdicción como causa de inadmisión del recurso contencioso-administrativo. Aducen además que la omisión de dicha reclamación les ha causado un claro perjuicio, en la medida en que no han podido llevar a cabo una defensa justa, plena e íntegra sobre la admisibilidad del recurso contencioso-administrativo.</w:t>
      </w:r>
    </w:p>
    <w:p w:rsidR="00163957" w:rsidRDefault="00163957" w:rsidP="00163957">
      <w:pPr>
        <w:pStyle w:val="TextoNormal"/>
      </w:pPr>
    </w:p>
    <w:p w:rsidR="00163957" w:rsidRDefault="00163957" w:rsidP="00163957">
      <w:pPr>
        <w:pStyle w:val="TextoNormal"/>
      </w:pPr>
      <w:r>
        <w:t>Según resulta de las actuaciones, el Tribunal Supremo, por providencia de 3 de marzo de 2011, acordó oír por diez días a todas las partes sobre la posible inadmisión del recurso contencioso-administrativo por falta de jurisdicción [arts. 5.2 y 51.1 a) LJCA], al dirigirse contra una actuación que no es susceptible de control en este orden contencioso-administrativo. Los recurrentes en amparo, por escrito de 21 de marzo de 2011, interpusieron recurso de reposición contra esta providencia y por posterior escrito de 28 de marzo siguiente, evacuando el trámite conferido, formularon alegaciones sobre la improcedencia de que se declarara la inadmisibilidad del recurso contencioso-administrativo, interesando su admisión a trámite.</w:t>
      </w:r>
    </w:p>
    <w:p w:rsidR="00163957" w:rsidRDefault="00163957" w:rsidP="00163957">
      <w:pPr>
        <w:pStyle w:val="TextoNormal"/>
      </w:pPr>
    </w:p>
    <w:p w:rsidR="00163957" w:rsidRDefault="00163957" w:rsidP="00163957">
      <w:pPr>
        <w:pStyle w:val="TextoNormal"/>
      </w:pPr>
      <w:r>
        <w:t>El Tribunal Supremo, en el mismo Auto de 30 de mayo de 2011 que inadmitió el recurso contencioso-administrativo, desestimó también el recurso de reposición promovido por los demandantes de amparo, al considerar que la “inadmisibilidad por falta de jurisdicción tiene una regulación específica en el artículo 5 de la Ley jurisdiccional, que permite declararla sin necesidad de esperar a que haya sido remitido el expediente administrativo” (razonamiento jurídico primero).</w:t>
      </w:r>
    </w:p>
    <w:p w:rsidR="00163957" w:rsidRDefault="00163957" w:rsidP="00163957">
      <w:pPr>
        <w:pStyle w:val="TextoNormal"/>
      </w:pPr>
    </w:p>
    <w:p w:rsidR="00163957" w:rsidRDefault="00163957" w:rsidP="00163957">
      <w:pPr>
        <w:pStyle w:val="TextoNormal"/>
      </w:pPr>
      <w:r>
        <w:t xml:space="preserve">La queja planteada por los recurrentes en amparo bajo la cobertura del derecho a la tutela judicial efectiva (art. 24.1 CE), esto es, la procedencia o improcedencia de declarar la inadmisión de un recurso contencioso-administrativo por falta de jurisdicción sin disponer el órgano judicial del expediente administrativo, no trasciende el ámbito de la mera y estricta legalidad ordinaria, respecto de la cual han obtenido del Tribunal Supremo, en su calidad de máximo intérprete de la legalidad ordinaria </w:t>
      </w:r>
      <w:r w:rsidRPr="00163957">
        <w:rPr>
          <w:i/>
        </w:rPr>
        <w:t>ex</w:t>
      </w:r>
      <w:r>
        <w:t xml:space="preserve"> art. 123 CE, una respuesta razonada y fundada en Derecho, en modo alguno errónea o incursa en arbitrariedad, que, de conformidad con una reiterada doctrina constitucional, satisface cumplidamente el derecho a la tutela judicial efectiva (por todas, STC 205/2009, de 23 de noviembre, FJ 2). Además, los recurrentes no han visto limitado o mermado su derecho de defensa, pues, en el trámite al respecto conferido por el órgano judicial, han podido alegar, como efectivamente han hecho, sobre la causa de inadmisibilidad del recurso advertida en dicho trámite y finalmente apreciada, por lo que en este caso no concurre una situación material de indefensión constitucionalmente relevante (por todas, STC 275/2005, de 7 de noviembre, FJ 6).</w:t>
      </w:r>
    </w:p>
    <w:p w:rsidR="00163957" w:rsidRDefault="00163957" w:rsidP="00163957">
      <w:pPr>
        <w:pStyle w:val="TextoNormal"/>
      </w:pPr>
    </w:p>
    <w:p w:rsidR="00163957" w:rsidRDefault="00163957" w:rsidP="00163957">
      <w:pPr>
        <w:pStyle w:val="TextoNormal"/>
      </w:pPr>
      <w:r w:rsidRPr="00163957">
        <w:rPr>
          <w:rStyle w:val="NumeroAFNegritaCaracter"/>
        </w:rPr>
        <w:t>4</w:t>
      </w:r>
      <w:r>
        <w:t>. La cuestión nuclear que suscita la demanda de amparo estriba en determinar si la decisión de inadmisión por falta de jurisdicción del recurso contencioso-administrativo interpuesto contra los Reales Decretos por los que, respectivamente, se declara el estado de alarma y se acuerda su prorroga vulnera o no el derecho de los recurrentes en amparo a la tutela judicial efectiva, en su vertiente de derecho de acceso a la jurisdicción (art. 24.1 CE). Cuestión que a los efectos de su enjuiciamiento, por su particular problemática, es preciso discernir de la que plantea la impugnación en la vía judicial del acuerdo del Consejo de Ministros por el que se solicita del Congreso de los Diputados autorización para prorrogar el estado de alarma.</w:t>
      </w:r>
    </w:p>
    <w:p w:rsidR="00163957" w:rsidRDefault="00163957" w:rsidP="00163957">
      <w:pPr>
        <w:pStyle w:val="TextoNormal"/>
      </w:pPr>
    </w:p>
    <w:p w:rsidR="00163957" w:rsidRDefault="00163957" w:rsidP="00163957">
      <w:pPr>
        <w:pStyle w:val="TextoNormal"/>
      </w:pPr>
      <w:r>
        <w:t>Los demandantes de amparo sostienen que los Reales Decretos por los que se declara y prorroga el estado de alarma son disposiciones de carácter general propias de la dirección de la Administración que carecen de rango o valor de ley, plenamente fiscalizables, por consiguiente, ante la jurisdicción contencioso-administrativa, cuya verdadera naturaleza de disposiciones de rango inferior a la ley no resulta modificada o transformada por la intervención prevista del Congreso de los Diputados. En su opinión, la decisión de inadmisión del recurso contencioso-administrativo no encuentra cobertura en el ATC 7/2012, de 13 de enero, cuya doctrina contraviene.</w:t>
      </w:r>
    </w:p>
    <w:p w:rsidR="00163957" w:rsidRDefault="00163957" w:rsidP="00163957">
      <w:pPr>
        <w:pStyle w:val="TextoNormal"/>
      </w:pPr>
    </w:p>
    <w:p w:rsidR="00163957" w:rsidRDefault="00163957" w:rsidP="00163957">
      <w:pPr>
        <w:pStyle w:val="TextoNormal"/>
      </w:pPr>
      <w:r>
        <w:t>Por su parte, el Abogado del Estado, con base en la doctrina del citado ATC 7/2012, considera, sin embargo, que las disposiciones dictadas por el Gobierno por las que se declara y prorroga el estado de alarma, aunque presentan la forma de decreto, tienen el mismo valor normativo que el reconocido a la resolución del Congreso de los Diputados por la que se autoriza su prórroga, pues su contenido incide directamente en lo regulado por normas con rango de ley, cuya aplicabilidad limitan o excepcionan durante la vigencia de dicho estado.</w:t>
      </w:r>
    </w:p>
    <w:p w:rsidR="00163957" w:rsidRDefault="00163957" w:rsidP="00163957">
      <w:pPr>
        <w:pStyle w:val="TextoNormal"/>
      </w:pPr>
    </w:p>
    <w:p w:rsidR="00163957" w:rsidRDefault="00163957" w:rsidP="00163957">
      <w:pPr>
        <w:pStyle w:val="TextoNormal"/>
      </w:pPr>
      <w:r>
        <w:t>En el mismo sentido se pronuncia el Ministerio Fiscal, quien, con fundamento igualmente en el ATC 7/2012, estima que el rango o valor de las decisiones de declaración del estado de alarma y su prórroga, pese a que revisten la forma de decreto, va más allá del de las simples disposiciones administrativas dictadas por el Gobierno en ejercicio de la potestad reglamentaria, en razón de su alcance jurídico y la repercusión que pueden tener temporalmente sobre el ámbito de aplicabilidad de normas con rango de ley.</w:t>
      </w:r>
    </w:p>
    <w:p w:rsidR="00163957" w:rsidRDefault="00163957" w:rsidP="00163957">
      <w:pPr>
        <w:pStyle w:val="TextoNormal"/>
      </w:pPr>
    </w:p>
    <w:p w:rsidR="00163957" w:rsidRDefault="00163957" w:rsidP="00163957">
      <w:pPr>
        <w:pStyle w:val="TextoNormal"/>
      </w:pPr>
      <w:r w:rsidRPr="00163957">
        <w:rPr>
          <w:rStyle w:val="NumeroAFNegritaCaracter"/>
        </w:rPr>
        <w:t>5</w:t>
      </w:r>
      <w:r>
        <w:t>. Situado, pues, el núcleo del debate procesal en el ámbito del derecho de acceso a la jurisdicción, es preciso traer a colación el canon de enjuiciamiento constitucional de la queja planteada, establecido en una constante y reiterada doctrina sentada a partir de la STC 19/1981, de 18 de junio, y sintetizada más recientemente, entre otras muchas, en las SSTC 167/2014, de 22 de octubre, FJ 4, y 186/2015, de 21 de septiembre, FJ 3.</w:t>
      </w:r>
    </w:p>
    <w:p w:rsidR="00163957" w:rsidRDefault="00163957" w:rsidP="00163957">
      <w:pPr>
        <w:pStyle w:val="TextoNormal"/>
      </w:pPr>
    </w:p>
    <w:p w:rsidR="00163957" w:rsidRDefault="00163957" w:rsidP="00163957">
      <w:pPr>
        <w:pStyle w:val="TextoNormal"/>
      </w:pPr>
      <w:r>
        <w:t>De conformidad con la referida doctrina constitucional, el primer contenido del derecho a obtener la tutela judicial efectiva que reconoce el art. 24.1 CE es el acceso a la jurisdicción, que se concreta en el derecho a ser parte en el proceso para poder promover la actividad jurisdiccional que desemboque en una decisión judicial sobre las pretensiones deducidas. No se trata, sin embargo, de un derecho de libertad, ejercitable sin más y directamente a partir de la Constitución, ni tampoco de un derecho absoluto e incondicionado a la prestación jurisdiccional, sino de un derecho a obtenerla por los cauces procesales existentes y con sujeción a una concreta ordenación legal que puede establecer límites al pleno acceso a la jurisdicción, siempre que obedezcan a razonables finalidades de protección de bienes e intereses constitucionalmente protegidos. Esto es, al ser un derecho prestacional de configuración legal, su ejercicio y dispensación están supeditados a la concurrencia de los presupuestos y requisitos que haya establecido el legislador para cada sector del ordenamiento procesal. De ahí que el derecho a la tutela judicial efectiva quede satisfecho cuando los órganos judiciales pronuncian una decisión de inadmisión o meramente procesal, apreciando razonadamente la concurrencia en el caso de un óbice fundado en un precepto expreso de la ley, si éste es, a su vez, respetuoso con el contenido esencial del derecho fundamental. Por tanto, una decisión judicial de inadmisión no vulnera este derecho, aunque impida entrar en el fondo de la cuestión planteada, si encuentra fundamento en la existencia de una causa legal que resulte aplicada razonablemente.</w:t>
      </w:r>
    </w:p>
    <w:p w:rsidR="00163957" w:rsidRDefault="00163957" w:rsidP="00163957">
      <w:pPr>
        <w:pStyle w:val="TextoNormal"/>
      </w:pPr>
    </w:p>
    <w:p w:rsidR="00163957" w:rsidRDefault="00163957" w:rsidP="00163957">
      <w:pPr>
        <w:pStyle w:val="TextoNormal"/>
      </w:pPr>
      <w:r>
        <w:t xml:space="preserve">No obstante, al tratarse en este caso del derecho de acceso a la jurisdicción y operar, en consecuencia, en toda su intensidad el principio </w:t>
      </w:r>
      <w:r w:rsidRPr="00163957">
        <w:rPr>
          <w:i/>
        </w:rPr>
        <w:t>pro actione</w:t>
      </w:r>
      <w:r>
        <w:t xml:space="preserve">, no sólo conculcan este derecho las resoluciones de inadmisión o desestimación que incurran en arbitrariedad, irrazonabilidad o error patente, sino también aquellas que se encuentren basadas en criterios que por su rigorismo, formalismo excesivo o cualquier otra razón revelan una clara desproporción entre los fines que la causa legal preserva y los intereses que se sacrifican. En este sentido, y aunque la verificación de la concurrencia de los presupuestos y requisitos materiales y procesales a que el acceso a la jurisdicción está sujeto constituye en principio una cuestión de mera legalidad ordinaria que corresponde resolver a los Jueces y Tribunales, en el ejercicio de la potestad jurisdiccional que les atribuye el art. 117.3 CE, hemos señalado también que el control constitucional de las decisiones de inadmisión ha de verificarse de forma especialmente intensa, dada la vigencia en estos casos del principio </w:t>
      </w:r>
      <w:r w:rsidRPr="00163957">
        <w:rPr>
          <w:i/>
        </w:rPr>
        <w:t>pro actione</w:t>
      </w:r>
      <w:r>
        <w:t>, principio de obligada observancia por los Jueces y Tribunales, que impide que interpretaciones y aplicaciones de los requisitos establecidos legalmente para acceder al proceso obstaculicen injustificadamente el derecho a que un órgano judicial conozca o resuelva en Derecho sobre la pretensión a él sometida.</w:t>
      </w:r>
    </w:p>
    <w:p w:rsidR="00163957" w:rsidRDefault="00163957" w:rsidP="00163957">
      <w:pPr>
        <w:pStyle w:val="TextoNormal"/>
      </w:pPr>
    </w:p>
    <w:p w:rsidR="00163957" w:rsidRDefault="00163957" w:rsidP="00163957">
      <w:pPr>
        <w:pStyle w:val="TextoNormal"/>
      </w:pPr>
      <w:r>
        <w:t xml:space="preserve">Todas estas afirmaciones resultan acordes con el mayor alcance que el Tribunal otorga al principio </w:t>
      </w:r>
      <w:r w:rsidRPr="00163957">
        <w:rPr>
          <w:i/>
        </w:rPr>
        <w:t>pro actione</w:t>
      </w:r>
      <w:r>
        <w:t xml:space="preserve"> en los supuestos de acceso a la jurisdicción, que obliga a los órganos judiciales a aplicar las normas que regulan los requisitos y presupuestos procesales teniendo </w:t>
      </w:r>
      <w:r>
        <w:lastRenderedPageBreak/>
        <w:t>siempre presente el fin perseguido por el legislador al establecerlos, evitando cualquier exceso formalista que los convierta en obstáculos procesales impeditivos del acceso a la jurisdicción que garantiza el art. 24 CE, aunque ello no implica necesariamente la selección forzosa de la solución más favorable a la admisión de la demanda de entre todas las posibles, ni puede conducir a que se prescinda de los requisitos establecidos por las leyes que ordenan el proceso en garantía de los derechos de todas las partes.</w:t>
      </w:r>
    </w:p>
    <w:p w:rsidR="00163957" w:rsidRDefault="00163957" w:rsidP="00163957">
      <w:pPr>
        <w:pStyle w:val="TextoNormal"/>
      </w:pPr>
    </w:p>
    <w:p w:rsidR="00163957" w:rsidRDefault="00163957" w:rsidP="00163957">
      <w:pPr>
        <w:pStyle w:val="TextoNormal"/>
      </w:pPr>
      <w:r>
        <w:t>Finalmente, hemos dicho también que el respeto que con carácter general ha de guardarse a la decisión de los Jueces y Tribunales adoptada en la aplicación e interpretación de la legalidad ordinaria, debe ser, si cabe, aún más escrupuloso cuando la resolución que se enjuicia es, como en este caso, del Tribunal Supremo, a quien está conferida la función de interpretar la legalidad ordinaria con el carácter complementario que le atribuye el art. 1.6 del Código civil. En el mismo sentido, por todas, STC 147/1997, de 16 de septiembre, FJ 2.</w:t>
      </w:r>
    </w:p>
    <w:p w:rsidR="00163957" w:rsidRDefault="00163957" w:rsidP="00163957">
      <w:pPr>
        <w:pStyle w:val="TextoNormal"/>
      </w:pPr>
    </w:p>
    <w:p w:rsidR="00163957" w:rsidRDefault="00163957" w:rsidP="00163957">
      <w:pPr>
        <w:pStyle w:val="TextoNormal"/>
      </w:pPr>
      <w:r>
        <w:t>No obstante, esa deferencia hacia el máximo intérprete de la legalidad ordinaria (art. 123.1 CE) debe conciliarse en el presente caso con la indiscutible relevancia constitucional que ofrece la cuestión nuclear que aquí se debate, que presenta, como se dijo, una indudable incidencia en el contenido del derecho a la tutela judicial efectiva en defensa de derechos e intereses legítimos y en el que, además, se controvierte la interpretación de disposiciones constitucionales de enorme calado para nuestro Estado de Derecho como son los arts. 106 y 116 CE. En efecto, la resolución del presente recurso de amparo suscita cuestiones centrales para el sistema de fuentes diseñado por la Constitución, con consecuencias importantes también para la delimitación y la preservación del ámbito de nuestra propia jurisdicción y, con ello, para el alcance de las disposiciones jurídicas que la regulan [entre otras, los arts. 161.1 a) y 163 CE y 27, 31 y 35 de la Ley Orgánica del Tribunal Constitucional: LOTC]. Así pues, hemos de examinar, dada la peculiaridad de este caso, y más allá de la puntual argumentación que en algunos extremos pueda argüirse en los Autos recurridos, si la decisión judicial de declarar excluidos del ámbito de fiscalización propio de la jurisdicción contencioso-administrativa los Reales Decretos en cuestión, resulta o no lesiva del derecho a la tutela judicial efectiva (art. 24.1 CE) conforme a una adecuada y conjunta interpretación de todos los preceptos constitucionales en juego, cuya hermenéutica última a este Tribunal compete en su condición de intérprete supremo de la Constitución (art. 1.1 LOTC).</w:t>
      </w:r>
    </w:p>
    <w:p w:rsidR="00163957" w:rsidRDefault="00163957" w:rsidP="00163957">
      <w:pPr>
        <w:pStyle w:val="TextoNormal"/>
      </w:pPr>
    </w:p>
    <w:p w:rsidR="00163957" w:rsidRDefault="00163957" w:rsidP="00163957">
      <w:pPr>
        <w:pStyle w:val="TextoNormal"/>
      </w:pPr>
      <w:r w:rsidRPr="00163957">
        <w:rPr>
          <w:rStyle w:val="NumeroAFNegritaCaracter"/>
        </w:rPr>
        <w:t>6</w:t>
      </w:r>
      <w:r>
        <w:t>. Las partes personadas en el proceso de amparo discrepan, como se ha dejado constancia, sobre el rango y valor de los Reales Decretos por los que, respectivamente, se declara el estado de alarma y se acuerda su prórroga, así como sobre la proyección a este caso de la doctrina constitucional del ATC 7/2012, elaborada en relación con el rango y valor de los actos del Congreso de los Diputados por los que se autoriza la prórroga del estado de alarma o la declaración y prórroga del estado de excepción o, en fin, se declara el estado de sitio.</w:t>
      </w:r>
    </w:p>
    <w:p w:rsidR="00163957" w:rsidRDefault="00163957" w:rsidP="00163957">
      <w:pPr>
        <w:pStyle w:val="TextoNormal"/>
      </w:pPr>
    </w:p>
    <w:p w:rsidR="00163957" w:rsidRDefault="00163957" w:rsidP="00163957">
      <w:pPr>
        <w:pStyle w:val="TextoNormal"/>
      </w:pPr>
      <w:r>
        <w:t xml:space="preserve">La determinación de si es o no constitucionalmente conforme al derecho a la tutela judicial efectiva (art. 24.1 CE) la decisión judicial recurrida en amparo, que declaró la inadmisión del recurso contencioso-administrativo por considerar que quedaba fuera del ámbito de la jurisdicción contencioso-administrativa definido en los arts. 106 CE y 1 y 2 LJCA la impugnación de los Reales Decretos por los que se declara el estado de alarma y se acuerda su prórroga, requiere despejar, en primer término, a la vista de las diferentes posiciones mantenidas por las partes, el rango o valor de los citados Reales Decretos, pues de alcanzarse la conclusión, como mantienen el Abogado del Estado y el Ministerio Fiscal, de que se trata </w:t>
      </w:r>
      <w:r>
        <w:lastRenderedPageBreak/>
        <w:t xml:space="preserve">de disposiciones con rango o valor de ley, nuestro enjuiciamiento habría de detenerse en este punto, sin que puedan merecer reproche constitucional alguno los Autos recurridos en amparo, ya que aquellos Reales Decretos quedarían excluidos del ámbito de fiscalización que corresponde al orden jurisdiccional contencioso-administrativo, como resulta </w:t>
      </w:r>
      <w:r w:rsidRPr="00163957">
        <w:rPr>
          <w:i/>
        </w:rPr>
        <w:t>contrario sensu</w:t>
      </w:r>
      <w:r>
        <w:t xml:space="preserve"> de los arts. 106 CE y 1 LJCA. Sólo una vez descartado que las decisiones de declaración y prórroga del estado de alarma posean esa cualidad, como sostienen los demandantes de amparo, habría que proceder a considerar seguidamente, para contrastar la conformidad o no de los Autos recurridos con el derecho a la tutela judicial efectiva, la viabilidad de residenciar su impugnación ante el orden jurisdiccional contencioso-administrativo y, en su caso, el alcance y extensión de ese posible control jurisdiccional.</w:t>
      </w:r>
    </w:p>
    <w:p w:rsidR="00163957" w:rsidRDefault="00163957" w:rsidP="00163957">
      <w:pPr>
        <w:pStyle w:val="TextoNormal"/>
      </w:pPr>
    </w:p>
    <w:p w:rsidR="00163957" w:rsidRDefault="00163957" w:rsidP="00163957">
      <w:pPr>
        <w:pStyle w:val="TextoNormal"/>
      </w:pPr>
      <w:r w:rsidRPr="00163957">
        <w:rPr>
          <w:rStyle w:val="NumeroAFNegritaCaracter"/>
        </w:rPr>
        <w:t>7</w:t>
      </w:r>
      <w:r>
        <w:t>. Como hemos advertido en otras ocasiones, “los problemas relacionados con el sistema de fuentes sólo pueden abordarse partiendo del concreto contenido de la regulación recurrida” (STC 49/2008, de 9 de abril, FJ 6).</w:t>
      </w:r>
    </w:p>
    <w:p w:rsidR="00163957" w:rsidRDefault="00163957" w:rsidP="00163957">
      <w:pPr>
        <w:pStyle w:val="TextoNormal"/>
      </w:pPr>
    </w:p>
    <w:p w:rsidR="00163957" w:rsidRDefault="00163957" w:rsidP="00163957">
      <w:pPr>
        <w:pStyle w:val="TextoNormal"/>
      </w:pPr>
      <w:r>
        <w:t>El art. 116 CE, precepto que forma parte del título V CE, que tiene por rúbrica “De las relaciones entre el Gobierno y las Cortes Generales”, plasma la opción del constituyente de 1978 por un modelo de regulación del denominado derecho constitucional de excepción caracterizado, frente a los precedentes históricos, por la mención de los tres estados de emergencia —estado de alarma, estado de excepción y estado de sitio— con los que hacer frente a posibles situaciones de anormalidad constitucional, reservando a una ley orgánica la regulación de cada uno de estos estados, así como las competencias y las limitaciones correspondientes (art. 116.1 CE).</w:t>
      </w:r>
    </w:p>
    <w:p w:rsidR="00163957" w:rsidRDefault="00163957" w:rsidP="00163957">
      <w:pPr>
        <w:pStyle w:val="TextoNormal"/>
      </w:pPr>
    </w:p>
    <w:p w:rsidR="00163957" w:rsidRDefault="00163957" w:rsidP="00163957">
      <w:pPr>
        <w:pStyle w:val="TextoNormal"/>
      </w:pPr>
      <w:r>
        <w:t>Los tres siguientes apartados del precepto, dedicados respectivamente, al estado de alarma, al estado de excepción y al estado de sitio, identifican los órganos competentes para su declaración y, en su caso, prórroga; el procedimiento de adopción de tales decisiones, la forma que han de revestir, así como su contenido necesario (ámbito territorial, duración y efectos); y, en fin, su plazo de vigencia máxima (art. 116.2, 3 y 4 CE).</w:t>
      </w:r>
    </w:p>
    <w:p w:rsidR="00163957" w:rsidRDefault="00163957" w:rsidP="00163957">
      <w:pPr>
        <w:pStyle w:val="TextoNormal"/>
      </w:pPr>
    </w:p>
    <w:p w:rsidR="00163957" w:rsidRDefault="00163957" w:rsidP="00163957">
      <w:pPr>
        <w:pStyle w:val="TextoNormal"/>
      </w:pPr>
      <w:r>
        <w:t>El precepto contiene además una serie de garantías comunes a los tres estados de emergencia para proteger al ordenamiento constitucional de las consecuencias que se pudieran derivar de la declaración de cualquier de ellos. Se prevé al respecto que durante su vigencia no se puede interrumpir el funcionamiento de las Cortes Generales, así como el de los demás poderes constitucionales del Estado; tampoco se puede disolver el Congreso de los Diputados, quedando automáticamente convocadas las Cámaras si no estuvieran en periodo de sesiones, y asumiendo las competencias del Congreso de los Diputados su diputación permanente si estuviera disuelto o hubiera expirado su mandato. Y, en fin, su declaración no modifica el principio de responsabilidad del Gobierno y de sus agentes reconocidos en la Constitución y en las leyes (art. 116.4 y 5 CE).</w:t>
      </w:r>
    </w:p>
    <w:p w:rsidR="00163957" w:rsidRDefault="00163957" w:rsidP="00163957">
      <w:pPr>
        <w:pStyle w:val="TextoNormal"/>
      </w:pPr>
    </w:p>
    <w:p w:rsidR="00163957" w:rsidRDefault="00163957" w:rsidP="00163957">
      <w:pPr>
        <w:pStyle w:val="TextoNormal"/>
      </w:pPr>
      <w:r>
        <w:t>Las previsiones del art. 116 CE han de completarse, para una adecuada delimitación del derecho de excepción en el texto constitucional de 1978, con el art. 55.1 CE, que dispone los derechos fundamentales susceptibles de ser suspendidos cuando se acuerde la declaración del estado de excepción o de sitio; con el art. 117.5 CE, que remite a la ley la regulación del ejercicio de la jurisdicción militar en los supuestos de estado de sitio; y, también, con el art. 169 CE, que prohíbe que se inicie la reforma constitucional durante la vigencia de alguno de los estados de emergencia.</w:t>
      </w:r>
    </w:p>
    <w:p w:rsidR="00163957" w:rsidRDefault="00163957" w:rsidP="00163957">
      <w:pPr>
        <w:pStyle w:val="TextoNormal"/>
      </w:pPr>
    </w:p>
    <w:p w:rsidR="00163957" w:rsidRDefault="00163957" w:rsidP="00163957">
      <w:pPr>
        <w:pStyle w:val="TextoNormal"/>
      </w:pPr>
      <w:r>
        <w:t>La Ley Orgánica 4/1981, de 1 de junio, de los estados de alarma, excepción y sitio (de la Ley Orgánica 4/1981) ha llevado a cabo el desarrollo normativo que reclama el art. 116 CE, contemplando un primer capítulo, que precede a la regulación de cada uno de los estados de emergencia del art. 116 CE, en el que se recogen, como expresivamente revela su rúbrica, disposiciones comunes a los tres estados. Así, contiene una definición genérica de las situaciones que puedan dar lugar a la declaración de cualquiera de ellos, disponiendo al respecto que la misma procederá “cuando circunstancias extraordinarias hiciesen imposible el mantenimiento de la normalidad mediante los poderes ordinarios de las Autoridades competentes” (art. 1.1). A esta definición, se añade la proclamación de una serie de principios que han de informar y regir la declaración y vigencia de cada uno de los estados de emergencia: los principios de necesidad y proporcionalidad (art. 1.2); el principio de temporalidad (art. 1.3); los principios de vigencia inmediata y de publicidad (art. 2); y, en fin, el principio de responsabilidad (art. 3.2).</w:t>
      </w:r>
    </w:p>
    <w:p w:rsidR="00163957" w:rsidRDefault="00163957" w:rsidP="00163957">
      <w:pPr>
        <w:pStyle w:val="TextoNormal"/>
      </w:pPr>
    </w:p>
    <w:p w:rsidR="00163957" w:rsidRDefault="00163957" w:rsidP="00163957">
      <w:pPr>
        <w:pStyle w:val="TextoNormal"/>
      </w:pPr>
      <w:r w:rsidRPr="00163957">
        <w:rPr>
          <w:rStyle w:val="NumeroAFNegritaCaracter"/>
        </w:rPr>
        <w:t>8</w:t>
      </w:r>
      <w:r>
        <w:t>. Descendiendo de lo general a lo particular, en lo que al estado de alarma atañe, primero de los mencionados en el art. 116 CE, el art. 4 de la Ley Orgánica 4/1981 identifica las situaciones de emergencia o, en sus propios términos, las “alteraciones graves de la normalidad” que pueden dar lugar a su declaración, referidas, en síntesis, a emergencias naturales o tecnológicas, a crisis sanitarias, a situaciones de desabastecimiento de productos de primera necesidad y/o a la paralización de servicios públicos esenciales para la comunidad, cuando no se garanticen los servicios mínimos (arts. 28.2 y 37.2 CE) y además concurra, respecto a este último supuesto, alguna de las otras situaciones definidas en el precepto.</w:t>
      </w:r>
    </w:p>
    <w:p w:rsidR="00163957" w:rsidRDefault="00163957" w:rsidP="00163957">
      <w:pPr>
        <w:pStyle w:val="TextoNormal"/>
      </w:pPr>
    </w:p>
    <w:p w:rsidR="00163957" w:rsidRDefault="00163957" w:rsidP="00163957">
      <w:pPr>
        <w:pStyle w:val="TextoNormal"/>
      </w:pPr>
      <w:r>
        <w:t xml:space="preserve">La declaración del estado de alarma corresponde al Gobierno con carácter exclusivo y ha de llevarse a cabo mediante decreto acordado en Consejo de Ministros. El decreto ha de determinar el ámbito territorial de vigencia del estado excepcional, su duración, que no podrá exceder de quince días, y los efectos de la declaración. El Gobierno debe dar cuenta al Congreso de los Diputados, reunido inmediatamente al efecto, de la declaración del estado de alarma, suministrándole la información que le sea requerida, así como la de los decretos que dicte durante su vigencia relacionados con aquélla (arts. 116.2 CE y 6 y 8 de la Ley Orgánica 4/1981). Esta dación de cuentas no altera el carácter exclusivo de la competencia gubernamental para declarar inicialmente el estado de alarma por un plazo máximo de quince días, configurándose como un mecanismo de información que puede activar e impulsar, en el marco de la relación fiduciaria que ha de existir entre el Gobierno y el Congreso de los Diputados, un control político o de oportunidad sobre la declaración del estado excepcional y las medidas adoptadas al respecto, así como, subsiguientemente, la puesta en marcha, en su caso, de los pertinentes instrumentos de exigencia de responsabilidad política. En este sentido, el Reglamento del Congreso de los Diputados (RCD) dispone que de la documentación remitida por el Gobierno se dé traslado a la Comisión competente, que podrá pedir la información y documentación que estime pertinente, previéndose la posibilidad de que el asunto pueda ser sometido inmediatamente al Pleno de la Cámara, si no estuviera reunido al efecto, o a la Diputación Permanente, si el Congreso estuviera disuelto o hubiera expirado su mandato (arts. 162 y 165 RCD). Se trata, en todo caso, de una intervención de la Cámara </w:t>
      </w:r>
      <w:r w:rsidRPr="00163957">
        <w:rPr>
          <w:i/>
        </w:rPr>
        <w:t>a posteriori</w:t>
      </w:r>
      <w:r>
        <w:t xml:space="preserve">, una vez que ha tenido lugar la declaración gubernamental del estado de alarma, y de naturaleza estrictamente política, esto es, que su resultado, si la intervención </w:t>
      </w:r>
      <w:r>
        <w:lastRenderedPageBreak/>
        <w:t>parlamentaria se llegase a concretar o formalizar en algo, no vincula jurídicamente al Gobierno, ni condiciona ni altera, por lo tanto, el contenido del decreto por el que se ha llevado a cabo la declaración del estado de alarma.</w:t>
      </w:r>
    </w:p>
    <w:p w:rsidR="00163957" w:rsidRDefault="00163957" w:rsidP="00163957">
      <w:pPr>
        <w:pStyle w:val="TextoNormal"/>
      </w:pPr>
    </w:p>
    <w:p w:rsidR="00163957" w:rsidRDefault="00163957" w:rsidP="00163957">
      <w:pPr>
        <w:pStyle w:val="TextoNormal"/>
      </w:pPr>
      <w:r>
        <w:t>La prórroga del estado de alarma requiere la autorización expresa del Congreso de los Diputados, quien puede en este caso establecer el alcance y las condiciones vigentes durante la misma (arts. 116.2 CE y 6 de la Ley Orgánica 4/1981). Respecto a la tramitación de esta solicitud de autorización, el Reglamento del Congreso de los Diputados dispone que los grupos parlamentarios podrán presentar enmiendas sobre el alcance y las condiciones vigentes durante la prórroga, hasta dos horas antes del comienzo de la sesión en que haya de debatirse la concesión de la autorización solicitada, celebrándose seguidamente un debate en el Pleno de la Cámara, que se desarrolla conforme a las normas previstas para los debates de totalidad y que se inicia con la exposición por un miembro del Gobierno de las razones que justifican la solicitud de la prórroga del estado de alarma. Finalizado el debate, se someten a votación la solicitud de prórroga y las propuestas presentadas, dando a continuación traslado al Gobierno de la decisión adoptada (art. 162 RCD). Así pues, con ocasión de la solicitud por el Gobierno de la prórroga del estado de alarma, la intervención de la Cámara, a diferencia de la prevista en el momento de la proclamación inicial de este estado, es previa a su declaración, fijando la autorización congresual el alcance, las condiciones y los términos del estado excepcional vigentes durante la prórroga. En este caso, la intervención de la Cámara, sin perjuicio de su virtualidad como instrumento de control político del Gobierno, se configura, en forma de autorización, no sólo como presupuesto para decretar la prórroga del estado de alarma, sino también como elemento determinante del alcance, de las condiciones y de los términos de la misma, bien establecidos directamente por la propia Cámara, bien por expresa aceptación de los propuestos en la solicitud de prórroga, a los que necesariamente ha de estar el decreto que la declara.</w:t>
      </w:r>
    </w:p>
    <w:p w:rsidR="00163957" w:rsidRDefault="00163957" w:rsidP="00163957">
      <w:pPr>
        <w:pStyle w:val="TextoNormal"/>
      </w:pPr>
    </w:p>
    <w:p w:rsidR="00163957" w:rsidRDefault="00163957" w:rsidP="00163957">
      <w:pPr>
        <w:pStyle w:val="TextoNormal"/>
      </w:pPr>
      <w:r>
        <w:t>Los efectos de la declaración del estado de alarma se proyectan en la modificación del ejercicio de competencias por parte de la Administración y las autoridades públicas y en el establecimiento de determinadas limitaciones o restricciones. Por lo que al primer plano se refiere, la autoridad competente es el Gobierno o, por delegación de éste, el Presidente de la Comunidad Autónoma cuando la declaración afecte exclusivamente a todo o parte de su territorio. Quedan bajo las órdenes directas de la autoridad competente todas las autoridades civiles de la Administración pública del territorio afectado por la declaración, los integrantes de los cuerpos de policía de las Comunidades Autónomas y de las corporaciones locales, así como los demás trabajadores y funcionarios de las mismas, pudiendo imponérseles servicios extraordinarios por su duración o por su naturaleza. Asimismo, los funcionarios y las autoridades en caso de incumplimiento o resistencia a las órdenes de la autoridad competente pueden ser suspendidos de inmediato en el ejercicio de sus cargos, pudiendo asumir también la autoridad competente las facultades de las autoridades que hubiesen incurrido en aquellas conductas cuando fuera necesario para el cumplimiento de las medidas acordadas en ejecución de la declaración del estado de alarma (arts. 7, 9 y 10 de la Ley Orgánica 4/1981).</w:t>
      </w:r>
    </w:p>
    <w:p w:rsidR="00163957" w:rsidRDefault="00163957" w:rsidP="00163957">
      <w:pPr>
        <w:pStyle w:val="TextoNormal"/>
      </w:pPr>
    </w:p>
    <w:p w:rsidR="00163957" w:rsidRDefault="00163957" w:rsidP="00163957">
      <w:pPr>
        <w:pStyle w:val="TextoNormal"/>
      </w:pPr>
      <w:r>
        <w:t xml:space="preserve">A diferencia de los estados de excepción y de sitio, la declaración del estado de alarma no permite la suspensión de ningún derecho fundamental (art. 55.1 CE </w:t>
      </w:r>
      <w:r w:rsidRPr="00163957">
        <w:rPr>
          <w:i/>
        </w:rPr>
        <w:t>contrario sensu</w:t>
      </w:r>
      <w:r>
        <w:t xml:space="preserve">), aunque sí la adopción de medidas que pueden suponer limitaciones o restricciones a su ejercicio. En este sentido, se prevé, entre otras, como medidas que pueden ser adoptadas, la limitación de la circulación o permanencia de personas o vehículos en lugares determinados </w:t>
      </w:r>
      <w:r>
        <w:lastRenderedPageBreak/>
        <w:t>o condicionarlas al cumplimiento de ciertos requisitos; la práctica de requisas temporales de todo tipo de bienes y la imposición de prestaciones personales obligatorias; la intervención y la ocupación transitoria de industrias, fábricas, talleres, explotaciones o locales de cualquier clase, con excepción de domicilios privados; la limitación o el racionamiento del uso de servicios o del consumo de artículos de primera necesidad; la adopción de las órdenes necesarias para asegurar el abastecimiento de los mercados y el funcionamiento de los servicios de los centros de producción afectados por una paralización de los servicios esenciales para la comunidad cuando no se garanticen los servicios mínimos; y, en fin, la intervención de empresas o servicios, así como la movilización de su personal, con el fin de asegurar su funcionamiento, siéndole aplicable al personal movilizado la normativa vigente sobre movilización. Previsiones, todas ellas, cuya entidad adquiere particular relevancia para el enjuiciamiento que ahora abordamos.</w:t>
      </w:r>
    </w:p>
    <w:p w:rsidR="00163957" w:rsidRDefault="00163957" w:rsidP="00163957">
      <w:pPr>
        <w:pStyle w:val="TextoNormal"/>
      </w:pPr>
    </w:p>
    <w:p w:rsidR="00163957" w:rsidRDefault="00163957" w:rsidP="00163957">
      <w:pPr>
        <w:pStyle w:val="TextoNormal"/>
      </w:pPr>
      <w:r w:rsidRPr="00163957">
        <w:rPr>
          <w:rStyle w:val="NumeroAFNegritaCaracter"/>
        </w:rPr>
        <w:t>9</w:t>
      </w:r>
      <w:r>
        <w:t>. Es preciso traer a colación, para afrontar ahora el valor o rango de los decretos de declaración del estado de alarma y su prórroga, la doctrina constitucional recogida en el ATC 7/2012 del Pleno de este Tribunal, que en sus alegaciones invocan tanto los recurrentes en amparo como el Abogado del Estado y el Ministerio Fiscal.</w:t>
      </w:r>
    </w:p>
    <w:p w:rsidR="00163957" w:rsidRDefault="00163957" w:rsidP="00163957">
      <w:pPr>
        <w:pStyle w:val="TextoNormal"/>
      </w:pPr>
    </w:p>
    <w:p w:rsidR="00163957" w:rsidRDefault="00163957" w:rsidP="00163957">
      <w:pPr>
        <w:pStyle w:val="TextoNormal"/>
      </w:pPr>
      <w:r>
        <w:t xml:space="preserve">En el citado Auto, este Tribunal abordó el significado de las expresiones “fuerza de ley”, “valor de ley” y “rango de ley”, empleadas indistintamente por diversos preceptos de la Constitución y de la Ley Orgánica del Tribunal Constitucional. Afirmó allí que con estas locuciones “la Constitución primero, y luego la Ley Orgánica del Tribunal Constitucional, han querido acotar un </w:t>
      </w:r>
      <w:r w:rsidRPr="00163957">
        <w:rPr>
          <w:i/>
        </w:rPr>
        <w:t>genus</w:t>
      </w:r>
      <w:r>
        <w:t xml:space="preserve"> de normas, decisiones y actos, del que serían especificaciones, además de la propia ley parlamentaria, otras fuentes en parte equiparadas a la misma por la propia Constitución, así como algunos actos, decisiones o resoluciones no identificados como tales ni en la Constitución ni en la Ley Orgánica del Tribunal Constitucional, pero que si gozarían de aquel ‘valor’ o ‘rango’”. Y abundando en la identificación de esta categoría, operación ceñida al ámbito parlamentario dada la procedencia del acto entonces recurrido en amparo, añadió que “ es manifiesto que son de subsumir también en la misma aquellas decisiones o actos parlamentarios que sin ser leyes o fuentes equiparadas a la ley, sí pueden, conforme a la propia Constitución, afectar a aquellas normas legales o asimiladas, esto es, excepcionarlas, suspenderlas o modificar su aplicabilidad legítimamente. Si la Constitución y el ordenamiento habilitan a determinados actos, decisiones o resoluciones parlamentarias para modificar de tal modo la aplicación de las leyes, no es de dudar que tales actos, decisiones o resoluciones ostenten ese genérico ‘rango’ o ‘valor de ley’” (FJ 3).</w:t>
      </w:r>
    </w:p>
    <w:p w:rsidR="00163957" w:rsidRDefault="00163957" w:rsidP="00163957">
      <w:pPr>
        <w:pStyle w:val="TextoNormal"/>
      </w:pPr>
    </w:p>
    <w:p w:rsidR="00163957" w:rsidRDefault="00163957" w:rsidP="00163957">
      <w:pPr>
        <w:pStyle w:val="TextoNormal"/>
      </w:pPr>
      <w:r>
        <w:t xml:space="preserve">Previamente a la proyección de la precedente doctrina sobre el acto objeto del recurso de amparo, en el Auto se declaró que “que todos los estados que cabe denominar de emergencia </w:t>
      </w:r>
      <w:r w:rsidRPr="00163957">
        <w:rPr>
          <w:i/>
        </w:rPr>
        <w:t>ex</w:t>
      </w:r>
      <w:r>
        <w:t xml:space="preserve"> art. 116 CE y también por tanto, el de menor intensidad de entre ellos, esto es, el de alarma, suponen, como es evidente y así resulta de su regulación en la Ley Orgánica 4/1981, de 4 de junio, de los estados de alarma, excepción y sitio, excepciones o modificaciones </w:t>
      </w:r>
      <w:r w:rsidRPr="00163957">
        <w:rPr>
          <w:i/>
        </w:rPr>
        <w:t>pro tempore</w:t>
      </w:r>
      <w:r>
        <w:t xml:space="preserve"> en la aplicabilidad de determinadas normas del ordenamiento vigente, incluidas, en lo que ahora importa, determinadas disposiciones legales, que sin ser derogadas o modificadas sí pueden ver alterada su aplicabilidad ordinaria (arts. 9 a 12; 16 a 30; 32 a 36 de la Ley Orgánica 4/1981, de 4 de junio, de los estados de alarma, excepción y sitio), pues el fundamento de la declaración de cualquiera de estos estados es siempre la imposibilidad en que se encuentran las autoridades competentes para mantener mediante ‘los poderes ordinarios’ la normalidad ante la emergencia de determinadas circunstancias extraordinarias </w:t>
      </w:r>
      <w:r>
        <w:lastRenderedPageBreak/>
        <w:t>(art. 1.1 de la Ley Orgánica 4/1981, de 4 de junio, de los estados de alarma, excepción y sitio)” (FJ 3).</w:t>
      </w:r>
    </w:p>
    <w:p w:rsidR="00163957" w:rsidRDefault="00163957" w:rsidP="00163957">
      <w:pPr>
        <w:pStyle w:val="TextoNormal"/>
      </w:pPr>
    </w:p>
    <w:p w:rsidR="00163957" w:rsidRDefault="00163957" w:rsidP="00163957">
      <w:pPr>
        <w:pStyle w:val="TextoNormal"/>
      </w:pPr>
      <w:r>
        <w:t xml:space="preserve">La aplicación de la doctrina constitucional reseñada llevó al Tribunal a concluir que “… el acto de autorización parlamentaria de la prórroga del estado de alarma o el de la declaración y prórroga del de excepción, que no son meros actos de carácter autorizatorio, pues tienen un contenido normativo o regulador (ya en cuanto hacen suyos el alcance, condiciones y términos del estado de alarma o de excepción fijados o solicitados por el Gobierno, ya en cuanto la propia Cámara directamente los establece o introduce modificaciones en los propuestos), así como el acto parlamentario de declaración del estado de sitio son, todos ellos, decisiones con rango o valor de ley, expresión del ejercicio de una competencia constitucionalmente confiada a la Cámara Baja </w:t>
      </w:r>
      <w:r w:rsidRPr="00163957">
        <w:rPr>
          <w:i/>
        </w:rPr>
        <w:t>ex</w:t>
      </w:r>
      <w:r>
        <w:t xml:space="preserve"> art. 116 CE en aras de la protección, en los respectivos estados de emergencia, de los derechos y libertades de los ciudadanos (en similar sentido, ATC 114/1991, de 11 de abril, FJ 3)”.</w:t>
      </w:r>
    </w:p>
    <w:p w:rsidR="00163957" w:rsidRDefault="00163957" w:rsidP="00163957">
      <w:pPr>
        <w:pStyle w:val="TextoNormal"/>
      </w:pPr>
    </w:p>
    <w:p w:rsidR="00163957" w:rsidRDefault="00163957" w:rsidP="00163957">
      <w:pPr>
        <w:pStyle w:val="TextoNormal"/>
      </w:pPr>
      <w:r w:rsidRPr="00163957">
        <w:rPr>
          <w:rStyle w:val="NumeroAFNegritaCaracter"/>
        </w:rPr>
        <w:t>10</w:t>
      </w:r>
      <w:r>
        <w:t>. Esta doctrina constitucional es perfectamente trasladable y aplicable al supuesto que ahora nos ocupa, sin que constituya al respecto obstáculo la circunstancia de que haya sido elaborada con ocasión de la impugnación de un acto o decisión parlamentaria. Y ello porque las locuciones “valor de ley”, “rango de ley” o “fuerza de ley” no quedan exclusivamente circunscritas en nuestro ordenamiento a actos o decisiones de origen parlamentario, pudiendo predicarse también la cualidad de la que son manifestación aquellas locuciones, sin necesidad de entrar ahora en consideraciones más detalladas, de actos, decisiones o disposiciones de procedencia gubernamental.</w:t>
      </w:r>
    </w:p>
    <w:p w:rsidR="00163957" w:rsidRDefault="00163957" w:rsidP="00163957">
      <w:pPr>
        <w:pStyle w:val="TextoNormal"/>
      </w:pPr>
    </w:p>
    <w:p w:rsidR="00163957" w:rsidRDefault="00163957" w:rsidP="00163957">
      <w:pPr>
        <w:pStyle w:val="TextoNormal"/>
      </w:pPr>
      <w:r>
        <w:t xml:space="preserve">La decisión de declarar el estado de alarma por un plazo no superior a quince días es expresión del ejercicio de una competencia constitucional atribuida con carácter exclusivo al Gobierno por el art. 116.2 CE, en tanto órgano constitucional al que le corresponde </w:t>
      </w:r>
      <w:r w:rsidRPr="00163957">
        <w:rPr>
          <w:i/>
        </w:rPr>
        <w:t>ex</w:t>
      </w:r>
      <w:r>
        <w:t xml:space="preserve"> art. 97 CE la dirección política del Estado. Se trata por lo tanto, como el Abogado del Estado y el Ministerio Fiscal señalan en sus alegaciones, de una competencia atribuida al Gobierno en su condición de órgano constitucional, no de órgano superior de la Administración, como ya señalábamos en nuestras SSTC 45/1990, de 15 de marzo, FJ 2, y 196/1990, de 29 de noviembre, FJ 5.</w:t>
      </w:r>
    </w:p>
    <w:p w:rsidR="00163957" w:rsidRDefault="00163957" w:rsidP="00163957">
      <w:pPr>
        <w:pStyle w:val="TextoNormal"/>
      </w:pPr>
    </w:p>
    <w:p w:rsidR="00163957" w:rsidRDefault="00163957" w:rsidP="00163957">
      <w:pPr>
        <w:pStyle w:val="TextoNormal"/>
      </w:pPr>
      <w:r>
        <w:t xml:space="preserve">La decisión gubernamental por la que se declara el estado de alarma no se limita a constatar el presupuesto de hecho habilitante de la declaración de dicho estado, esto es, la concurrencia de alguna o algunas de las situaciones o “alteraciones graves de la normalidad” previstas en la de la Ley Orgánica 4/1981 (art. 4) que pueden dar lugar a la proclamación del estado de emergencia, ni se limita tampoco a la mera la declaración de éste. La decisión gubernamental tiene además un carácter normativo, en cuanto establece el concreto estatuto jurídico del estado que se declara. En otras palabras, dispone la legalidad aplicable durante su vigencia, constituyendo también fuente de habilitación de disposiciones y actos administrativos. La decisión gubernamental viene así a integrar en cada caso, sumándose a la Constitución y a la Ley Orgánica 4/1981, el sistema de fuentes del derecho de excepción, al complementar el derecho de excepción de aplicación en el concreto estado declarado. Y esta legalidad excepcional que contiene la declaración gubernamental desplaza durante el estado de alarma la legalidad ordinaria en vigor, en la medida en que viene a excepcionar, modificar o condicionar durante ese periodo la aplicabilidad de determinadas normas, entre las que pueden resultar afectadas leyes, normas o disposiciones con rango de ley, cuya aplicación </w:t>
      </w:r>
      <w:r>
        <w:lastRenderedPageBreak/>
        <w:t xml:space="preserve">puede suspender o desplazar. Esta incidencia sobre la legislación vigente antes de la declaración del estado de alarma, incluidas las normas con rango de ley que pudieran verse afectadas, encuentra cobertura en el propio texto constitucional (art. 116.2 CE) y en la Ley Orgánica 4/1981 (art. 6), que imponen como contenido necesario del decreto en el que se formaliza la decisión gubernamental de la declaración la determinación de “los efectos del estado de alarma”, efectos que pueden implicar, como se dijo en el ATC 7/2012, “excepciones o modificaciones </w:t>
      </w:r>
      <w:r w:rsidRPr="00163957">
        <w:rPr>
          <w:i/>
        </w:rPr>
        <w:t>pro tempore</w:t>
      </w:r>
      <w:r>
        <w:t xml:space="preserve"> en la aplicabilidad de determinadas normas del ordenamiento vigente, incluidas, en lo que ahora importa, determinadas disposiciones legales, que sin ser derogadas o modificadas sí pueden ver alterada su aplicabilidad ordinaria” (FJ 4). Esto es, la propia Constitución y la ley reclamada por el art. 116.1 CE para desarrollar sus previsiones habilitan los efectos jurídicos que sobre la legislación en vigor antes de la declaración, incluidas las normas con rango de ley, tiene o puede tener la decisión gubernamental que, revistiendo la forma de decreto del Consejo de Ministros, proclama el estado de alarma. Así pues, aunque formalizada mediante decreto del Consejo de Ministros, la decisión de declarar el estado de alarma, dado su contenido normativo y efectos jurídicos, debe entenderse que queda configurada en nuestro ordenamiento como una decisión o disposición con rango o valor de ley. Y, en consecuencia, queda revestida de un valor normativo equiparable, por su contenido y efectos, al de las leyes y normas asimilables cuya aplicación puede excepcionar, suspender o modificar durante el estado de alarma.</w:t>
      </w:r>
    </w:p>
    <w:p w:rsidR="00163957" w:rsidRDefault="00163957" w:rsidP="00163957">
      <w:pPr>
        <w:pStyle w:val="TextoNormal"/>
      </w:pPr>
    </w:p>
    <w:p w:rsidR="00163957" w:rsidRDefault="00163957" w:rsidP="00163957">
      <w:pPr>
        <w:pStyle w:val="TextoNormal"/>
      </w:pPr>
      <w:r>
        <w:t xml:space="preserve">Por idénticas razones, no puede ser distinta la conclusión en relación con el rango o valor del decreto por el que se prorroga el estado de alarma. No obstante, en este caso, ha de resaltarse, además, la peculiaridad de que el decreto de prórroga constituye una formalización </w:t>
      </w:r>
      <w:r w:rsidRPr="00163957">
        <w:rPr>
          <w:i/>
        </w:rPr>
        <w:t>ad extra</w:t>
      </w:r>
      <w:r>
        <w:t xml:space="preserve"> de la previa autorización del Congreso de los Diputados, esto es, su contenido es el autorizado por la Cámara, a quien corresponde autorizar la prórroga del estado de alarma y fijar su alcance, condiciones y términos, bien haciendo suyos los propuestos por el Gobierno en la solicitud de prórroga, bien estableciéndolos directamente. Al predicarse del acto de autorización parlamentaria, como ya se ha dejado constancia, la condición de decisión con rango o valor de ley (ATC 7/2012, FJ 4), idéntica condición ha de postularse, pese a la forma que reviste, de la decisión gubernamental de prórroga, que meramente se limita a formalizar y exteriorizar el acto parlamentario de autorización.</w:t>
      </w:r>
    </w:p>
    <w:p w:rsidR="00163957" w:rsidRDefault="00163957" w:rsidP="00163957">
      <w:pPr>
        <w:pStyle w:val="TextoNormal"/>
      </w:pPr>
    </w:p>
    <w:p w:rsidR="00163957" w:rsidRDefault="00163957" w:rsidP="00163957">
      <w:pPr>
        <w:pStyle w:val="TextoNormal"/>
      </w:pPr>
      <w:r w:rsidRPr="00163957">
        <w:rPr>
          <w:rStyle w:val="NumeroAFNegritaCaracter"/>
        </w:rPr>
        <w:t>11</w:t>
      </w:r>
      <w:r>
        <w:t xml:space="preserve">. Así pues, constatada con base en la argumentación expuesta la condición de decisiones o disposiciones con rango o valor de ley de la declaración gubernamental del estado de alarma y de su prórroga, hemos de concluir que las resoluciones judiciales impugnadas, que inadmitieron el recurso contencioso-administrativo interpuesto por los demandantes de amparo contra los Reales Decretos 1673/2010, de 4 de diciembre, y 1717/2010, de 17 de diciembre, no han vulnerado su derecho a la tutela judicial efectiva en su vertiente de derecho de acceso a la jurisdicción (art. 24.1 CE), al resultar aquéllos excluidos, en razón de su valor o rango de ley, del ámbito de fiscalización del orden jurisdiccional contencioso-administrativo (arts. 106 CE y 1 LJCA </w:t>
      </w:r>
      <w:r w:rsidRPr="00163957">
        <w:rPr>
          <w:i/>
        </w:rPr>
        <w:t>contrario sensu</w:t>
      </w:r>
      <w:r>
        <w:t>).</w:t>
      </w:r>
    </w:p>
    <w:p w:rsidR="00163957" w:rsidRDefault="00163957" w:rsidP="00163957">
      <w:pPr>
        <w:pStyle w:val="TextoNormal"/>
      </w:pPr>
    </w:p>
    <w:p w:rsidR="00163957" w:rsidRDefault="00163957" w:rsidP="00163957">
      <w:pPr>
        <w:pStyle w:val="TextoNormal"/>
      </w:pPr>
      <w:r>
        <w:t xml:space="preserve">Ello no supone, como vienen a sostener los demandantes de amparo, que los citados Reales Decretos resulten inmunes a todo control jurisdiccional, sino que, al poseer rango y valor de ley, pese a revestir la forma de decreto, sólo cabe impugnarlos, de acuerdo con el modelo de jurisdicción de nuestro ordenamiento jurídico, ante este Tribunal Constitucional a través de los procesos constitucionales previstos en la Constitución y en la Ley Orgánica del Tribunal Constitucional, que tienen por objeto el control de constitucionalidad de las </w:t>
      </w:r>
      <w:r>
        <w:lastRenderedPageBreak/>
        <w:t>leyes, disposiciones y actos con fuerza o valor de ley [arts. 161 y 163 CE, 27.2 b) LOTC]. Sin perjuicio, como es evidente, de que los actos y disposiciones que puedan dictarse en su aplicación puedan impugnarse ante la jurisdicción ordinaria en cada caso competente (art. 3.2 de la Ley Orgánica 4/1981) y los órganos judiciales puedan, al enjuiciarlos, promover cuestión de inconstitucionalidad contra los actos, decisiones o resoluciones con valor de ley de los que son aplicación, cuando consideren que puedan ser contrarios a la Constitución (ATC 7/2012, FJ 3). Por consiguiente, la fiscalización por la jurisdicción constitucional de los Reales Decretos por los que se declara y se prorroga el estado de alarma no excluye, como no podría ser de otro modo, el control jurisdiccional por los Tribunales ordinarios de los actos y disposiciones que se dicten en su aplicación durante la vigencia del estado de alarma. Asimismo, las personas afectadas podrán interponer recurso de amparo constitucional, previo agotamiento de la vía judicial ordinaria, contra los actos y disposiciones dictados en aplicación de aquellos Reales Decretos cuando los estimen lesivos de derechos fundamentales o libertades públicas susceptibles de protección a través de este proceso constitucional, facultad que le confiere el art. 55.2 LOTC.</w:t>
      </w:r>
    </w:p>
    <w:p w:rsidR="00163957" w:rsidRDefault="00163957" w:rsidP="00163957">
      <w:pPr>
        <w:pStyle w:val="TextoNormal"/>
      </w:pPr>
    </w:p>
    <w:p w:rsidR="00163957" w:rsidRDefault="00163957" w:rsidP="00163957">
      <w:pPr>
        <w:pStyle w:val="TextoNormal"/>
      </w:pPr>
      <w:r>
        <w:t xml:space="preserve">Y, en fin, ha de resaltarse que de esta forma todos los actos gubernamentales y parlamentarios de declaración, autorización y prórroga de cada uno de los tres estados de emergencia </w:t>
      </w:r>
      <w:r w:rsidRPr="00163957">
        <w:rPr>
          <w:i/>
        </w:rPr>
        <w:t>ex</w:t>
      </w:r>
      <w:r>
        <w:t xml:space="preserve"> art. 116 CE quedan sometidos, en razón de su condición de actos y disposiciones con fuerza o rango de ley, a un mismo régimen de control jurisdiccional ante este Tribunal.</w:t>
      </w:r>
    </w:p>
    <w:p w:rsidR="00163957" w:rsidRDefault="00163957" w:rsidP="00163957">
      <w:pPr>
        <w:pStyle w:val="TextoNormal"/>
      </w:pPr>
    </w:p>
    <w:p w:rsidR="00163957" w:rsidRDefault="00163957" w:rsidP="00163957">
      <w:pPr>
        <w:pStyle w:val="TextoNormal"/>
      </w:pPr>
      <w:r w:rsidRPr="00163957">
        <w:rPr>
          <w:rStyle w:val="NumeroAFNegritaCaracter"/>
        </w:rPr>
        <w:t>12</w:t>
      </w:r>
      <w:r>
        <w:t>. Los Autos recurridos declaran también la inadmisión del recurso contencioso-administrativo promovido por los demandantes de amparo en relación con el acuerdo del Consejo de Ministros de 14 de diciembre de 2010, por el que se solicita del Congreso de los Diputados autorización para prorrogar en sus propios términos el estado de alarma declarado por el Real Decreto 1673/2010, de 4 de diciembre.</w:t>
      </w:r>
    </w:p>
    <w:p w:rsidR="00163957" w:rsidRDefault="00163957" w:rsidP="00163957">
      <w:pPr>
        <w:pStyle w:val="TextoNormal"/>
      </w:pPr>
    </w:p>
    <w:p w:rsidR="00163957" w:rsidRDefault="00163957" w:rsidP="00163957">
      <w:pPr>
        <w:pStyle w:val="TextoNormal"/>
      </w:pPr>
      <w:r>
        <w:t xml:space="preserve">Este Tribunal ya ha tenido ocasión de declarar que “no toda la actuación del Gobierno, cuyas funciones se enuncian en el art. 97 del Texto constitucional, está sujeta al Derecho Administrativo. Es indudable, por ejemplo, que no lo está, en general, la que se refiere a las relaciones con otros órganos constitucionales, como son los actos que regula el Título V de la Constitución, o la decisión de enviar a las Cortes un proyecto de Ley, u otras semejantes, a través de las cuales el Gobierno cumple también la función de dirección política que le atribuye el mencionado art. 97 de la Constitución” (STC 45/1990, de 15 de marzo, FJ 2). En tales casos, “el Gobierno actúa como órgano político y no como órgano de la Administración, no ejerce potestades administrativas ni dicta actos de esta naturaleza y, por lo mismo, su actuación no puede calificarse como ‘administrativa’ cuyo control corresponda </w:t>
      </w:r>
      <w:r w:rsidRPr="00163957">
        <w:rPr>
          <w:i/>
        </w:rPr>
        <w:t>ex</w:t>
      </w:r>
      <w:r>
        <w:t xml:space="preserve"> art. 106.1 de la Constitución y 8 LOPJ a los Tribunales de justicia” (STC 196/1990, de 29 de noviembre, FJ 5).</w:t>
      </w:r>
    </w:p>
    <w:p w:rsidR="00163957" w:rsidRDefault="00163957" w:rsidP="00163957">
      <w:pPr>
        <w:pStyle w:val="TextoNormal"/>
      </w:pPr>
    </w:p>
    <w:p w:rsidR="00163957" w:rsidRDefault="00163957" w:rsidP="00163957">
      <w:pPr>
        <w:pStyle w:val="TextoNormal"/>
      </w:pPr>
      <w:r>
        <w:t>Pues bien, tal es el supuesto del referido acuerdo, que no tiene otra virtualidad que la de activar el procedimiento de solicitud por el Gobierno al Congreso de los Diputados de la autorización para prorrogar el estado de alarma, cuyo contenido y efectos se circunscriben y se agotan en el estricto ámbito de las relaciones entre ambos órganos constitucionales. De modo que, de conformidad con la doctrina constitucional expuesta, la decisión de inadmisión del recurso contencioso-administrativo en relación con aquel acuerdo tampoco ha lesionado el derecho de los demandantes de amparo a la tutela judicial efectiva, en su vertiente de derecho de acceso a la jurisdicción (art. 24.1 CE).</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presente recurso de amparo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veintiocho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87" w:name="SENTENCIA_2016_84"/>
      <w:r>
        <w:lastRenderedPageBreak/>
        <w:t>SENTENCIA 84/2016, de 28 de abril de 2016</w:t>
      </w:r>
    </w:p>
    <w:bookmarkEnd w:id="87"/>
    <w:p w:rsidR="00163957" w:rsidRDefault="00163957" w:rsidP="00163957">
      <w:pPr>
        <w:pStyle w:val="TtuloResolucin"/>
      </w:pPr>
      <w:r>
        <w:t>Pleno</w:t>
      </w:r>
    </w:p>
    <w:p w:rsidR="00163957" w:rsidRDefault="00163957" w:rsidP="00163957">
      <w:pPr>
        <w:pStyle w:val="TtuloBOE"/>
      </w:pPr>
      <w:r>
        <w:t>(BOE núm. 131, de 31 de mayo de 2016)</w:t>
      </w:r>
    </w:p>
    <w:p w:rsidR="00163957" w:rsidRDefault="00163957" w:rsidP="00163957">
      <w:pPr>
        <w:pStyle w:val="TextoNormalCentrado"/>
      </w:pPr>
      <w:r>
        <w:t>ECLI:ES:TC:2016:84</w:t>
      </w:r>
    </w:p>
    <w:p w:rsidR="00163957" w:rsidRDefault="00163957" w:rsidP="00163957">
      <w:pPr>
        <w:pStyle w:val="TextoNormalCentrado"/>
      </w:pPr>
    </w:p>
    <w:p w:rsidR="00163957" w:rsidRDefault="00163957" w:rsidP="00163957">
      <w:pPr>
        <w:pStyle w:val="SntesisDescriptiva"/>
      </w:pPr>
      <w:r>
        <w:t>Recurso de inconstitucionalidad 301-2013. Interpuesto por el Consejo de Gobierno de la Generalitat de Cataluña en relación con diversos preceptos del Real Decreto-ley 14/2012, de 20 de abril, de medidas urgentes de racionalización del gasto público en el ámbito educativo.</w:t>
      </w:r>
    </w:p>
    <w:p w:rsidR="00163957" w:rsidRDefault="00163957" w:rsidP="00163957">
      <w:pPr>
        <w:pStyle w:val="SntesisDescriptiva"/>
      </w:pPr>
    </w:p>
    <w:p w:rsidR="00163957" w:rsidRDefault="00163957" w:rsidP="00163957">
      <w:pPr>
        <w:pStyle w:val="SntesisAnaltica"/>
      </w:pPr>
      <w:r>
        <w:t>Límites a los decretos leyes; competencias sobre educación, función pública y ordenación general de la economía: constitucionalidad de los preceptos legales estatales relativos a la jornada lectiva, sustitución y régimen de dedicación del personal docente y a la financiación de becas y ayudas al estudio (STC 26/2016). Voto particular.</w:t>
      </w:r>
    </w:p>
    <w:p w:rsidR="00163957" w:rsidRDefault="00163957" w:rsidP="00163957">
      <w:pPr>
        <w:pStyle w:val="SntesisAnaltica"/>
      </w:pPr>
    </w:p>
    <w:p w:rsidR="00163957" w:rsidRDefault="00163957" w:rsidP="00163957">
      <w:pPr>
        <w:pStyle w:val="Extracto"/>
      </w:pPr>
      <w:r>
        <w:t>1.</w:t>
      </w:r>
      <w:r>
        <w:tab/>
        <w:t>Asunto sustancialmente idéntico al resuelto por la STC 26/2016, relativa a la doctrina sobre el reparto de competencias en materia educativa universitaria y no universitaria [FFJJ 2 a 6].</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301-2013, promovido por la Generalitat de Cataluña contra los arts. 3, 4, 6, apartados 1, 3 y 4, y 7 del Real Decreto-ley 14/2012, de 20 de abril, de medidas urgentes de racionalización del gasto público en el ámbito educativo. Ha sido Ponente el Magistrado don Antonio Narváez Rodríguez,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Mediante escrito registrado en este Tribunal el día 17 de enero de 2013, la Abogada de la Generalitat de Cataluña, en la representación que legalmente ostenta del Gobierno de esa Comunidad Autónoma, interpuso recurso de inconstitucionalidad contra los arts. 3, 4, </w:t>
      </w:r>
      <w:r>
        <w:lastRenderedPageBreak/>
        <w:t>6, apartados 1, 3 y 4, y 7 del Real Decreto-ley 14/2012, de 20 de abril, de medidas urgentes de racionalización del gasto público en el ámbito educativo.</w:t>
      </w:r>
    </w:p>
    <w:p w:rsidR="00163957" w:rsidRDefault="00163957" w:rsidP="00163957">
      <w:pPr>
        <w:pStyle w:val="TextoNormal"/>
      </w:pPr>
    </w:p>
    <w:p w:rsidR="00163957" w:rsidRDefault="00163957" w:rsidP="00163957">
      <w:pPr>
        <w:pStyle w:val="TextoNormal"/>
      </w:pPr>
      <w:r>
        <w:t>Con carácter previo, la comisión bilateral Estado-Generalitat de Cataluña había acordado el 20 de junio de 2012 la iniciación del procedimiento de negociación previsto en el art. 33.2 de la Ley Orgánica del Tribunal Constittucional (LOTC) para la resolución de las discrepancias competenciales suscitadas por la aprobación del mencionado Real Decreto-ley. Esta decisión fue publicada en el “Boletín Oficial del Estado” de 10 de agosto de 2012 y en el “Diario Oficial de la Generalitat de Cataluña” de la misma fecha, y comunicada a este Tribunal el 11 de julio de 2012. La falta de un acuerdo satisfactorio, como fruto de esas negociaciones, condujo al Gobierno de la Generalitat de Cataluña a acordar el 15 de enero de 2013 la formalización del recurso de inconstitucionalidad que da lugar a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El escrito de interposición del recurso de inconstitucionalidad estructura su argumentación en dos partes. En una primera se alegan las deficiencias generales de carácter competencial y constitucional en las que se entiende que incurre el Real Decreto-ley recurrido, mientras que en la segunda se dedican fundamentos jurídicos específicos para cada una de las cuestiones reguladas en la norma que son objeto de impugnación.</w:t>
      </w:r>
    </w:p>
    <w:p w:rsidR="00163957" w:rsidRDefault="00163957" w:rsidP="00163957">
      <w:pPr>
        <w:pStyle w:val="TextoNormal"/>
      </w:pPr>
    </w:p>
    <w:p w:rsidR="00163957" w:rsidRDefault="00163957" w:rsidP="00163957">
      <w:pPr>
        <w:pStyle w:val="TextoNormal"/>
      </w:pPr>
      <w:r>
        <w:t>a) . En la primera parte, el escrito comienza negando, con carácter general, que las medidas de control y racionalización del gasto público asumidas por los países de la zona euro y materializadas por el Gobierno de la Nación en el escenario de crisis que ha atravesado nuestra economía en los últimos años puedan adoptarse sin respeto al orden constitucional y estatutario de reparto de competencias, y sin satisfacer los requisitos y garantías que la Constitución española y la doctrina de este Tribunal han establecido para la aprobación de decretos-leyes.</w:t>
      </w:r>
    </w:p>
    <w:p w:rsidR="00163957" w:rsidRDefault="00163957" w:rsidP="00163957">
      <w:pPr>
        <w:pStyle w:val="TextoNormal"/>
      </w:pPr>
    </w:p>
    <w:p w:rsidR="00163957" w:rsidRDefault="00163957" w:rsidP="00163957">
      <w:pPr>
        <w:pStyle w:val="TextoNormal"/>
      </w:pPr>
      <w:r>
        <w:t>a. En cuanto a las cuestiones competenciales involucradas, la Abogada de la Generalitat destaca que la disposición final primera del Real Decreto-ley afirma el carácter básico de la regulación que contiene esa norma, así como su fundamento en cuatro títulos del art. 149.1 CE (1, 13, 18 y 30), pero sin delimitar a qué preceptos específicos presta cobertura cada uno de ellos. Y en atención a la doctrina de que debe identificarse el título competencial prevalente, de acuerdo con la finalidad y contenido de cada medida normativa, pasa a negar que los dos primeros títulos competenciales, es decir, la regulación de las condiciones básicas de garantía de igualdad de todos los españoles y las bases y coordinación de la planificación general de la actividad económica, sean de aplicación en el presente caso.</w:t>
      </w:r>
    </w:p>
    <w:p w:rsidR="00163957" w:rsidRDefault="00163957" w:rsidP="00163957">
      <w:pPr>
        <w:pStyle w:val="TextoNormal"/>
      </w:pPr>
    </w:p>
    <w:p w:rsidR="00163957" w:rsidRDefault="00163957" w:rsidP="00163957">
      <w:pPr>
        <w:pStyle w:val="TextoNormal"/>
      </w:pPr>
      <w:r>
        <w:t xml:space="preserve">En relación con el art. 149.1.13 CE y la capacidad del Estado para adoptar orientaciones de política económica general, la Generalitat niega que la mera invocación por el preámbulo del Real Decreto-ley de la necesidad de alcanzar la estabilidad presupuestaria, aplicada al ámbito educativo, permita introducir medidas organizativas de la función pública docente, a pesar de que éstas tengan impacto presupuestario. Así ocurre concretamente con las medidas recurridas en materia de educación no universitaria, relativas a la jornada de los funcionarios docentes y al régimen de sustituciones del profesorado. Con cita de jurisprudencia de este Tribunal, se insiste en que las facultades de dirección general de la economía por parte del Estado no pueden abarcar cualquier acción de naturaleza económica, a menos que tenga una incidencia directa y significativa sobre la actividad económica general (STC 21/1999, de 25 de febrero, FJ 5), debiendo ceder ante títulos competenciales más específicos </w:t>
      </w:r>
      <w:r>
        <w:lastRenderedPageBreak/>
        <w:t>(STC 164/2001, de 11 de julio, FJ 9), pues, en otro caso, estos quedarían vacíos de contenido. La mera necesidad de ahorro en el gasto público no basta para ejercer la competencia estatal derivada del art. 149.1.13 CE.</w:t>
      </w:r>
    </w:p>
    <w:p w:rsidR="00163957" w:rsidRDefault="00163957" w:rsidP="00163957">
      <w:pPr>
        <w:pStyle w:val="TextoNormal"/>
      </w:pPr>
    </w:p>
    <w:p w:rsidR="00163957" w:rsidRDefault="00163957" w:rsidP="00163957">
      <w:pPr>
        <w:pStyle w:val="TextoNormal"/>
      </w:pPr>
      <w:r>
        <w:t>Por su parte, las condiciones básicas de garantía de la igualdad de todos los españoles (art. 149.1.1 CE), en relación con el derecho a la educación, tampoco podrían sustentar la regulación que se hace por el Gobierno de la Nación de la jornada lectiva y de las sustituciones transitorias del profesorado no universitario, atendiendo a los términos expresados por nuestra STC 184/2012, de 17 de octubre, FJ 3, que recoge lo expuesto en otras sentencias anteriores sobre el alcance de las competencias del Estado en educación.</w:t>
      </w:r>
    </w:p>
    <w:p w:rsidR="00163957" w:rsidRDefault="00163957" w:rsidP="00163957">
      <w:pPr>
        <w:pStyle w:val="TextoNormal"/>
      </w:pPr>
    </w:p>
    <w:p w:rsidR="00163957" w:rsidRDefault="00163957" w:rsidP="00163957">
      <w:pPr>
        <w:pStyle w:val="TextoNormal"/>
      </w:pPr>
      <w:r>
        <w:t>Tampoco las medidas impugnadas en el ámbito de la educación superior encontrarían cobertura en las competencias transversales del Estado del art. 149.1.1 y 13 CE, en cuanto carecen de incidencia económica directa. Es el caso de las prescripciones sobre creación y mantenimiento de centros universitarios, sobre el régimen de dedicación docente del profesorado y, sobre todo, de las posibilidades que se abren a la cooperación de las universidades con organismos públicos de investigación. Además, en cuanto a la reforma de la financiación de los gastos de matrícula de estudiantes becados, se recuerda que, conforme a nuestra STC 188/2001, de 20 de septiembre, FJ 6, este Tribunal afirmó que el título competencial estatal aplicable es el derivado del apartado 30 del art. 149.1 CE, y no del apartado 1, por ser “un elemento central para la garantía del derecho a la educación”.</w:t>
      </w:r>
    </w:p>
    <w:p w:rsidR="00163957" w:rsidRDefault="00163957" w:rsidP="00163957">
      <w:pPr>
        <w:pStyle w:val="TextoNormal"/>
      </w:pPr>
    </w:p>
    <w:p w:rsidR="00163957" w:rsidRDefault="00163957" w:rsidP="00163957">
      <w:pPr>
        <w:pStyle w:val="TextoNormal"/>
      </w:pPr>
      <w:r>
        <w:t>En definitiva, los títulos competenciales en los que el Estado se puede apoyar para aprobar las medidas cuestionadas del Real Decreto-ley son los recogidos en el art. 149.1.18 (bases de la función pública) y 30 CE (normativa básica en materia educativa).</w:t>
      </w:r>
    </w:p>
    <w:p w:rsidR="00163957" w:rsidRDefault="00163957" w:rsidP="00163957">
      <w:pPr>
        <w:pStyle w:val="TextoNormal"/>
      </w:pPr>
    </w:p>
    <w:p w:rsidR="00163957" w:rsidRDefault="00163957" w:rsidP="00163957">
      <w:pPr>
        <w:pStyle w:val="TextoNormal"/>
      </w:pPr>
      <w:r>
        <w:t>En esas materias la Generalitat de Cataluña ostenta competencias propias, derivadas de lo recogido en el art. 131.3 c) y j) del Estatuto de Autonomía de Cataluña (EAC) sobre la función pública docente (política de personal de los centros públicos de enseñanza) y sobre la organización de los centros docentes, así como del art. 172, apartados 1 g) y 2 a), EAC sobre educación universitaria (regulación del sistema propio de becas y ayudas a la formación; regulación y gestión, cuando proceda, de los fondos estatales para becas y ayudas al estudio y establecimiento de los requisitos de creación y reconocimiento de universidades y centros universitarios).</w:t>
      </w:r>
    </w:p>
    <w:p w:rsidR="00163957" w:rsidRDefault="00163957" w:rsidP="00163957">
      <w:pPr>
        <w:pStyle w:val="TextoNormal"/>
      </w:pPr>
    </w:p>
    <w:p w:rsidR="00163957" w:rsidRDefault="00163957" w:rsidP="00163957">
      <w:pPr>
        <w:pStyle w:val="TextoNormal"/>
      </w:pPr>
      <w:r>
        <w:t>b. Por otro lado, el Real Decreto-ley impugnado no satisfaría los requisitos de extraordinaria y urgente necesidad que deben justificar el recurso a esta modalidad legislativa. La concurrencia de su presupuesto habilitante es valorado en primera instancia por el propio Gobierno que lo aprueba, pero corresponde al Tribunal Constitucional el análisis de la razonabilidad del juicio formulado por aquel, evitando el peligro de un uso abusivo y arbitrario (STC 170/2012, de 4 de octubre, FJ 4). En ese examen debe apreciarse, concretamente, que hay motivos que justifican la adopción del Decreto-ley y que hay una relación de conexión de la situación de urgencia con la medida aprobada.</w:t>
      </w:r>
    </w:p>
    <w:p w:rsidR="00163957" w:rsidRDefault="00163957" w:rsidP="00163957">
      <w:pPr>
        <w:pStyle w:val="TextoNormal"/>
      </w:pPr>
    </w:p>
    <w:p w:rsidR="00163957" w:rsidRDefault="00163957" w:rsidP="00163957">
      <w:pPr>
        <w:pStyle w:val="TextoNormal"/>
      </w:pPr>
      <w:r>
        <w:t xml:space="preserve">La justificación de los motivos de aprobación de un Real Decreto-ley debe ponerse de manifiesto en el preámbulo de la disposición y en el debate parlamentario para su convalidación (STC 31/2011, de 17 de marzo, FJ 4), pero en el caso del Real Decreto-ley 14/2012 </w:t>
      </w:r>
      <w:r>
        <w:lastRenderedPageBreak/>
        <w:t>sólo es posible encontrar en ambos instrumentos alegaciones genéricas a la situación económica de crisis y a los objetivos de consolidación fiscal y de reducción del déficit público derivados de nuestros compromisos con la Unión Europea. La coyuntura económica, como ha manifestado este Tribunal (SSTC 225/1993, de 8 de julio, FJ 4, y 182/1997, de 28 de octubre, FJ 3,), puede requerir acciones inmediatas, pero su mera invocación no acredita de por sí la exigencia constitucional de que haya que atender a una situación de extraordinaria y urgente necesidad. Así lo demostraría el hecho de que varias de las medidas sobre función pública docente adoptadas en abril de 2012, mediante el Real Decreto-ley recurrido, fueron luego dos meses más tarde introducidas en relación con la función pública general en la Ley de presupuestos generales del Estado para 2012.</w:t>
      </w:r>
    </w:p>
    <w:p w:rsidR="00163957" w:rsidRDefault="00163957" w:rsidP="00163957">
      <w:pPr>
        <w:pStyle w:val="TextoNormal"/>
      </w:pPr>
    </w:p>
    <w:p w:rsidR="00163957" w:rsidRDefault="00163957" w:rsidP="00163957">
      <w:pPr>
        <w:pStyle w:val="TextoNormal"/>
      </w:pPr>
      <w:r>
        <w:t>Por su parte, la falta de relación de conexión de las medidas del Real Decreto-ley 14/2012 con la situación a atender quedaría demostrada en sus distintos apartados, bien por su carencia de efectos inmediatos (dado que serán las Comunidades Autónomas las que finalmente podrán o no hacerlas efectivas en sus territorios, en función de su criterio político), bien por su necesidad de desarrollo reglamentario (sin que el propio Real Decreto-ley produzca una modificación efectiva e instantánea), o bien por su carencia de efecto reductor del gasto público educativo, que incluso en algunos casos viene a incrementar. En concreto, las medidas pretendidamente básicas sobre la jornada lectiva y las sustituciones del profesorado (el propio Gobierno de la Generalitat venía ya adoptando esas medidas en el ejercicio de sus competencias) no justifican la aprobación de una acción normativa de urgencia. Lo mismo ocurre con la atribución genérica al Gobierno de la determinación de los requisitos de creación y mantenimiento de centros universitarios, al exigir un desarrollo reglamentario y no producir modificación inmediata del ordenamiento jurídico. Por su parte, las posibilidades de cooperación entre universidades y otros organismos de investigación carecen de efecto directo sobre el déficit público y no tienen efectos jurídicos inmediatos. En cuanto a la regulación de la carga docente del profesorado universitario, no se justifica la elusión del procedimiento legislativo ordinario y requiere para su aplicación un análisis de la situación de cada universidad. Y, finalmente, en cuanto a la financiación de los gastos de matrícula de estudiantes becados, el efecto del Real Decreto-ley es precisamente el aumento del gasto educativo que debe asumir la Generalitat.</w:t>
      </w:r>
    </w:p>
    <w:p w:rsidR="00163957" w:rsidRDefault="00163957" w:rsidP="00163957">
      <w:pPr>
        <w:pStyle w:val="TextoNormal"/>
      </w:pPr>
    </w:p>
    <w:p w:rsidR="00163957" w:rsidRDefault="00163957" w:rsidP="00163957">
      <w:pPr>
        <w:pStyle w:val="TextoNormal"/>
      </w:pPr>
      <w:r>
        <w:t>b) El resto del escrito de interposición del recurso aborda los motivos de inconstitucionalidad específicos de las distintas medidas incluidas en el Real Decreto-ley, agrupados en tres fundamentos jurídicos.</w:t>
      </w:r>
    </w:p>
    <w:p w:rsidR="00163957" w:rsidRDefault="00163957" w:rsidP="00163957">
      <w:pPr>
        <w:pStyle w:val="TextoNormal"/>
      </w:pPr>
    </w:p>
    <w:p w:rsidR="00163957" w:rsidRDefault="00163957" w:rsidP="00163957">
      <w:pPr>
        <w:pStyle w:val="TextoNormal"/>
      </w:pPr>
      <w:r>
        <w:t>a. Las medidas relativas a la educación no universitaria, que afectan a la jornada lectiva y al régimen de sustituciones del profesorado, son tratadas de manera agrupada, negándose la posibilidad de ser dictadas mediante Real Decreto-ley.</w:t>
      </w:r>
    </w:p>
    <w:p w:rsidR="00163957" w:rsidRDefault="00163957" w:rsidP="00163957">
      <w:pPr>
        <w:pStyle w:val="TextoNormal"/>
      </w:pPr>
    </w:p>
    <w:p w:rsidR="00163957" w:rsidRDefault="00163957" w:rsidP="00163957">
      <w:pPr>
        <w:pStyle w:val="TextoNormal"/>
      </w:pPr>
      <w:r>
        <w:t xml:space="preserve">El art. 4 de la norma legal de referencia impide proceder al régimen de sustitución de profesores mediante el nombramiento de interinos hasta que transcurran diez días lectivos desde que se produjo la situación de necesidad. Nada impedía, a juicio de la Generalitat, la adopción de esta medida por la vía legislativa ordinaria, como demuestra el hecho de que el art. 23, apartado 2, de la Ley 2/2012, de 29 de junio, de presupuestos generales del Estado para 2012 (y en sentido semejante las leyes de presupuestos de años posteriores), invocando las mismas razones de necesidad de racionalización del gasto público, prohibiera el nombramiento de personal interino de las administraciones públicas, con excepción de ciertos </w:t>
      </w:r>
      <w:r>
        <w:lastRenderedPageBreak/>
        <w:t>servicios públicos esenciales, como el educativo. El Gobierno de la Nación podía perfectamente haber incluido en la ley de presupuestos el régimen de sustituciones del personal docente mediante interinos, evitando el recurso al Real Decreto-ley, que es excepcional.</w:t>
      </w:r>
    </w:p>
    <w:p w:rsidR="00163957" w:rsidRDefault="00163957" w:rsidP="00163957">
      <w:pPr>
        <w:pStyle w:val="TextoNormal"/>
      </w:pPr>
    </w:p>
    <w:p w:rsidR="00163957" w:rsidRDefault="00163957" w:rsidP="00163957">
      <w:pPr>
        <w:pStyle w:val="TextoNormal"/>
      </w:pPr>
      <w:r>
        <w:t xml:space="preserve">Pero es que, además, los requisitos introducidos para el nombramiento de funcionarios docentes interinos excede el contenido de la regulación básica que el Estado puede establecer, debido a su grado de concreción, pues fija un plazo de duración de la causa de sustitución de diez días lectivos para proceder a su cobertura. Se trata, por otra parte, de un aspecto puramente organizativo de la política de personal que corresponde regular a cada Administración educativa, y que invade la competencia de la Generalitat, </w:t>
      </w:r>
      <w:r w:rsidRPr="00163957">
        <w:rPr>
          <w:i/>
        </w:rPr>
        <w:t>ex</w:t>
      </w:r>
      <w:r>
        <w:t xml:space="preserve"> art. 131.2 f) EAC, para la aprobación de directrices en materia de recursos humanos en el sector educativo, impidiendo a la Generalitat la adopción de medidas ejecutivas de organización de los recursos docentes de los centros públicos de enseñanza. La elección del sistema de atención de las bajas que se produzcan y la valoración de las necesidades urgentes e inaplazables para la correcta prestación del servicio educativo (por ejemplo, para atender casos de acumulación de bajas) corresponde a la propia Generalitat.</w:t>
      </w:r>
    </w:p>
    <w:p w:rsidR="00163957" w:rsidRDefault="00163957" w:rsidP="00163957">
      <w:pPr>
        <w:pStyle w:val="TextoNormal"/>
      </w:pPr>
    </w:p>
    <w:p w:rsidR="00163957" w:rsidRDefault="00163957" w:rsidP="00163957">
      <w:pPr>
        <w:pStyle w:val="TextoNormal"/>
      </w:pPr>
      <w:r>
        <w:t>Por su parte, el art. 3 del Real Decreto-ley fija, por primera vez a nivel estatal, la jornada lectiva semanal del profesorado de enseñanzas de la Ley Orgánica 2/2006, de 3 de mayo, de educación (LOE), en los centros docentes públicos y concertados. La Abogada de la Generalitat argumenta que esta medida no puede ser adoptada mediante Real Decreto-ley y no se ajusta al régimen de distribución de competencias en materia de función pública docente.</w:t>
      </w:r>
    </w:p>
    <w:p w:rsidR="00163957" w:rsidRDefault="00163957" w:rsidP="00163957">
      <w:pPr>
        <w:pStyle w:val="TextoNormal"/>
      </w:pPr>
    </w:p>
    <w:p w:rsidR="00163957" w:rsidRDefault="00163957" w:rsidP="00163957">
      <w:pPr>
        <w:pStyle w:val="TextoNormal"/>
      </w:pPr>
      <w:r>
        <w:t>Al igual que en el caso anterior, la Ley 2/2012, de 29 de junio, de presupuestos generales del Estado para 2012, en su disposición adicional septuagésima primera, contiene una previsión con el mismo objetivo, referida a los funcionarios públicos en general, por lo que podría haberse evitado el recurso al procedimiento legislativo de urgencia, aparte de que su implementación efectiva no podría tener lugar hasta el inicio del curso académico 2012/2013. Por otro lado, se cuestiona que la medida tenga incidencia directa en el gasto público, por regular la distribución de actividades lectivas y no lectivas del profesorado. Se incide en las condiciones laborales del profesorado, pero no en el gasto educativo.</w:t>
      </w:r>
    </w:p>
    <w:p w:rsidR="00163957" w:rsidRDefault="00163957" w:rsidP="00163957">
      <w:pPr>
        <w:pStyle w:val="TextoNormal"/>
      </w:pPr>
    </w:p>
    <w:p w:rsidR="00163957" w:rsidRDefault="00163957" w:rsidP="00163957">
      <w:pPr>
        <w:pStyle w:val="TextoNormal"/>
      </w:pPr>
      <w:r>
        <w:t xml:space="preserve">En cuanto al fundamento competencial del precepto, se descartan los apartados 1, 13 y 30 del art. 149.1 CE, por lo que el escrito se centra en el análisis de la posible cobertura del apartado 18 (bases del régimen estatutario de los funcionarios públicos). Hasta ahora el legislador básico estatal, en uso de esa competencia, nunca había establecido prescripciones sobre la distribución de la jornada de los funcionarios docentes, que quedaba en manos de la Generalitat en virtud de su competencia sobre la política del personal al servicio de la Administración educativa [art. 131.3 j) EAC]. Tampoco en la regulación básica de la función pública en general, contenida fundamentalmente en la Ley 7/2007, de 12 de abril, por la que se aprueba el estatuto básico del empleado público (LEEP), se determina la jornada laboral mínima del personal al servicio de las Administraciones Públicas. El estatuto básico del empleado público se limita a establecer un deber general de los funcionarios públicos de cumplir su jornada laboral, que puede ser diferente según los criterios de organización de cada Administración, e incluye, precisamente, como materias objeto de negociación colectiva el calendario laboral, los horarios y la jornada de los empleados públicos. Además, el escrito de interposición del recurso recuerda que el informe de la comisión de expertos </w:t>
      </w:r>
      <w:r>
        <w:lastRenderedPageBreak/>
        <w:t>creada por el Ministerio de Administraciones públicas para el estudio y preparación del estatuto básico del empleado público, elaborado en el mes de abril de 2005, consideraba excesiva la legislación básica estatal dictada hasta entonces en la materia y proponía su reducción, fijando un listado de materias sobre el que deberían centrarse esas bases, que no incluía la cuestión del horario de los funcionarios. La propia doctrina de este Tribunal, a la hora de determinar el alcance de las bases de la función pública, especifica que su objeto son los elementos esenciales de la relación de servicio, enumerando una serie de materias entre las que no se incluye la jornada laboral. De hecho, en la STC 54/1982, de 26 de julio, FJ 5 b), ante la alegación por el Estado de que la Generalitat había determinado la jornada laboral de sus funcionarios al regular sus retribuciones en contradicción con una ley estatal de 1965, este Tribunal afirmó que “ni puede considerarse como básica la jornada establecida a efectos retributivos por el art. 5.2 de la Ley de retribuciones de 2 de mayo de 1965 (cuarenta y dos horas semanales), ni parece irrazonable que la Generalidad disponga de un cierto margen para determinar la jornada laboral a tales efectos”. En definitiva, la Generalitat cuestiona que las bases del régimen de la función pública puedan comprender la delimitación de la jornada lectiva de los funcionarios docentes, por ser éste un elemento organizativo cuya regulación formaría parte de la competencia autonómica recogida en el art. 131.3 j) EAC.</w:t>
      </w:r>
    </w:p>
    <w:p w:rsidR="00163957" w:rsidRDefault="00163957" w:rsidP="00163957">
      <w:pPr>
        <w:pStyle w:val="TextoNormal"/>
      </w:pPr>
    </w:p>
    <w:p w:rsidR="00163957" w:rsidRDefault="00163957" w:rsidP="00163957">
      <w:pPr>
        <w:pStyle w:val="TextoNormal"/>
      </w:pPr>
      <w:r>
        <w:t>b. La Abogada de la Generalitat agrupa en un fundamento jurídico la argumentación relativa a las medidas impugnadas del Real Decreto-ley 14/2012 en relación con la educación universitaria (apartados 1, 3 y 4 del art. 6), a excepción de lo que se refiere a la financiación de las becas (art. 7).</w:t>
      </w:r>
    </w:p>
    <w:p w:rsidR="00163957" w:rsidRDefault="00163957" w:rsidP="00163957">
      <w:pPr>
        <w:pStyle w:val="TextoNormal"/>
      </w:pPr>
    </w:p>
    <w:p w:rsidR="00163957" w:rsidRDefault="00163957" w:rsidP="00163957">
      <w:pPr>
        <w:pStyle w:val="TextoNormal"/>
      </w:pPr>
      <w:r>
        <w:t>El art. 6.1 del Real Decreto-ley introduce un nuevo párrafo en el art. 7 de la Ley Orgánica 6/2001, de 21 de diciembre, de universidades (LOU), para habilitar al Gobierno a establecer los requisitos básicos para la creación y mantenimiento de centros y estructuras de las universidades, sin mayor especificación, ni del contenido de esos requisitos, ni del plazo para aprobar el correspondiente reglamento. Este modo de proceder, según entiende la recurrente, no sería admisible de acuerdo con la doctrina expresada por este Tribunal en su STC 1/2012, de 13 de enero, FJ 11.</w:t>
      </w:r>
    </w:p>
    <w:p w:rsidR="00163957" w:rsidRDefault="00163957" w:rsidP="00163957">
      <w:pPr>
        <w:pStyle w:val="TextoNormal"/>
      </w:pPr>
    </w:p>
    <w:p w:rsidR="00163957" w:rsidRDefault="00163957" w:rsidP="00163957">
      <w:pPr>
        <w:pStyle w:val="TextoNormal"/>
      </w:pPr>
      <w:r>
        <w:t>Por otro lado, señala la Generalitat que el nuevo precepto legal, que se limita a incluir una remisión reglamentaria, excedería el contenido que puede darse a la normativa básica estatal en materia educativa, invadiendo la competencia autonómica recogida en el art. 172.2 a) EAC para la regulación de los requisitos de creación y reconocimiento de universidades y centros universitarios. Así lo entiende el Dictamen 7/2012, de 8 de junio, del Consejo de Garantías Estatutarias de la Generalitat de Cataluña, en atención a la doctrina constitucional sobre la necesidad de que las bases estatales se formulen de una manera amplia y flexible, que permita a las Comunidades Autónomas ejercer las suyas propias. A estos efectos, se subraya que la Ley Orgánica de universidades, al establecer las bases para la creación de centros y estructuras, lo hace con distinta intensidad, identificando distintos tipos de ellas (facultades, escuelas de doctorado, institutos universitarios, departamentos…), y asignándoles rasgos jurídicos diferenciados en cuanto a quién corresponde su creación y regulación. Estas diferencias se perderían con el llamamiento genérico e indiferenciado a un reglamento básico.</w:t>
      </w:r>
    </w:p>
    <w:p w:rsidR="00163957" w:rsidRDefault="00163957" w:rsidP="00163957">
      <w:pPr>
        <w:pStyle w:val="TextoNormal"/>
      </w:pPr>
    </w:p>
    <w:p w:rsidR="00163957" w:rsidRDefault="00163957" w:rsidP="00163957">
      <w:pPr>
        <w:pStyle w:val="TextoNormal"/>
      </w:pPr>
      <w:r>
        <w:t xml:space="preserve">El art. 6.3 del Real Decreto-ley amplía en el art. 7 LOU el campo de la cooperación estratégica de universidades y otros centros de investigación nacionales o extranjeros para </w:t>
      </w:r>
      <w:r>
        <w:lastRenderedPageBreak/>
        <w:t>el desarrollo de titulaciones universitarias oficiales. Al no indicarse nada sobre los requisitos básicos a cumplir en esos acuerdos, entiende la Generalitat de Cataluña que no se cumpliría la concurrencia de una situación de extraordinaria y urgente necesidad que justifique la adopción de esta medida por Real Decreto-ley. Según refiere, la medida carece de la intensidad normativa suficiente para modificar una situación jurídica existente de manera instantánea, sin que se comprendan las razones de urgencia que la justifican. Además, esta reforma carecería de conexión directa con el objetivo de esta disposición legislativa de urgencia, que es la reducción del déficit público.</w:t>
      </w:r>
    </w:p>
    <w:p w:rsidR="00163957" w:rsidRDefault="00163957" w:rsidP="00163957">
      <w:pPr>
        <w:pStyle w:val="TextoNormal"/>
      </w:pPr>
    </w:p>
    <w:p w:rsidR="00163957" w:rsidRDefault="00163957" w:rsidP="00163957">
      <w:pPr>
        <w:pStyle w:val="TextoNormal"/>
      </w:pPr>
      <w:r>
        <w:t>El art. 6.4 del Real Decreto-ley modifica el art. 68 LOU sobre el régimen de dedicación a la actividad docente del profesorado universitario, incluyendo además una habilitación al Gobierno para su desarrollo. El hecho de que las nuevas prescripciones no puedan ser aplicadas hasta el inicio del siguiente curso académico demuestra, según la Abogada de la Generalitat, la falta de inmediatez de sus efectos, lo cual es necesario para la aprobación de un Real Decreto-ley.</w:t>
      </w:r>
    </w:p>
    <w:p w:rsidR="00163957" w:rsidRDefault="00163957" w:rsidP="00163957">
      <w:pPr>
        <w:pStyle w:val="TextoNormal"/>
      </w:pPr>
    </w:p>
    <w:p w:rsidR="00163957" w:rsidRDefault="00163957" w:rsidP="00163957">
      <w:pPr>
        <w:pStyle w:val="TextoNormal"/>
      </w:pPr>
      <w:r>
        <w:t>Por otro lado, la nueva regulación no respetaría el sistema de distribución de competencias. Descartado el posible fundamento del precepto en los títulos estatales recogidos en el art. 149.1.1, 13 y 30 CE, sólo quedaría acudir como base al art. 149.1.18 CE. Así, se desprendería de lo apreciado por nuestra STC 235/1991, de 12 de diciembre, FJ 1 b), al enjuiciar un reglamento estatal sobre el régimen jurídico de la función docente universitaria, exceptuando las cuestiones que incidiesen directamente en el desarrollo del derecho a la educación, que se sustentarían en el art. 149.1.30 CE. El Estado tiene competencia para dictar la normativa básica sobre el funcionariado universitario, pero no para su desarrollo, que corresponde a la Generalitat de Cataluña conforme al art. 172.2 e) EAC. En ejercicio de esa competencia, la Ley Orgánica de universidades  se limitaba, hasta la aprobación del Real Decreto-ley 14/2012, a prever un doble régimen de dedicación docente de ese personal, completa y parcial. Pero la nueva regulación aquí recurrida incurre en un excesivo detalle, al especificar las horas de docencia que corresponden al profesorado dentro de su jornada laboral a tiempo completo y las relaciones entre funciones docentes e investigadoras de este tipo de funcionarios, excluyendo cualquier tipo de desarrollo normativo autonómico, lo cual es impropio de una regulación básica.</w:t>
      </w:r>
    </w:p>
    <w:p w:rsidR="00163957" w:rsidRDefault="00163957" w:rsidP="00163957">
      <w:pPr>
        <w:pStyle w:val="TextoNormal"/>
      </w:pPr>
    </w:p>
    <w:p w:rsidR="00163957" w:rsidRDefault="00163957" w:rsidP="00163957">
      <w:pPr>
        <w:pStyle w:val="TextoNormal"/>
      </w:pPr>
      <w:r>
        <w:t>c. Finalmente, la Generalitat de Cataluña recurre el art. 7 del Real Decreto-ley 14/2012 por lesionar la autonomía financiera de las Comunidades Autónomas, en la medida que establece la financiación autonómica de una parte del sistema estatal de becas y ayudas al estudio.</w:t>
      </w:r>
    </w:p>
    <w:p w:rsidR="00163957" w:rsidRDefault="00163957" w:rsidP="00163957">
      <w:pPr>
        <w:pStyle w:val="TextoNormal"/>
      </w:pPr>
    </w:p>
    <w:p w:rsidR="00163957" w:rsidRDefault="00163957" w:rsidP="00163957">
      <w:pPr>
        <w:pStyle w:val="TextoNormal"/>
      </w:pPr>
      <w:r>
        <w:t xml:space="preserve">El sistema de becas y ayudas al estudio es una obligación impuesta por el legislador orgánico a los poderes públicos a fin de garantizar el derecho de todos a la educación en condiciones de igualdad. Concretamente, el art. 45 LOU prevé un sistema general de becas y ayudas al estudio con cargo a los presupuestos generales del Estado, que se puede complementar por las Comunidades Autónomas y las propias universidades mediante su propia política de becas, ayudas y créditos. En desarrollo de ese precepto, se dictó el Real Decreto 1721/2007, de 21 de diciembre, regulador del sistema general de becas y ayudas al estudio, cuyo art. 9 establece, como uno de los componentes de la beca, la matrícula o precio público de los servicios académicos. Sin embargo, a partir de la reforma del Real Decreto-ley 14/2012 sólo una parte de la cobertura de ese componente de las becas se imputa a los </w:t>
      </w:r>
      <w:r>
        <w:lastRenderedPageBreak/>
        <w:t>presupuestos generales del Estado, correspondiendo el resto (la parte de los precios públicos que exceda del mínimo de la horquilla legal de oscilación de esos precios en cada tipo de estudios) a los presupuestos de las Comunidades Autónomas.</w:t>
      </w:r>
    </w:p>
    <w:p w:rsidR="00163957" w:rsidRDefault="00163957" w:rsidP="00163957">
      <w:pPr>
        <w:pStyle w:val="TextoNormal"/>
      </w:pPr>
    </w:p>
    <w:p w:rsidR="00163957" w:rsidRDefault="00163957" w:rsidP="00163957">
      <w:pPr>
        <w:pStyle w:val="TextoNormal"/>
      </w:pPr>
      <w:r>
        <w:t>Por un lado, la reforma no justifica su adopción por Real Decreto-ley, porque no se acredita la imposibilidad de su tramitación por el procedimiento legislativo ordinario y porque no tiene conexión con el objetivo de contención del gasto educativo de las Comunidades Autónomas.</w:t>
      </w:r>
    </w:p>
    <w:p w:rsidR="00163957" w:rsidRDefault="00163957" w:rsidP="00163957">
      <w:pPr>
        <w:pStyle w:val="TextoNormal"/>
      </w:pPr>
    </w:p>
    <w:p w:rsidR="00163957" w:rsidRDefault="00163957" w:rsidP="00163957">
      <w:pPr>
        <w:pStyle w:val="TextoNormal"/>
      </w:pPr>
      <w:r>
        <w:t>Por otro lado, se vulneran las competencias financieras de la Generalitat al imponer el mencionado deber de cofinanciación. Las competencias estatales en materia de educación habilitarían al Estado para determinar las condiciones básicas de las becas, entre las cuales se encuentra la cuantía de las mismas (STC 188/2001, de 20 de septiembre, FJ 10 a), pero aquel debe dejar un margen para que las Comunidades Autónomas completen las condiciones de otorgamiento y ejerzan las competencias de gestión y ejecución que les corresponden (STC 13/1992, de 6 de febrero). Esa competencia no permite, en cambio, al Estado limitar la cantidad de los gastos derivados de la matrícula de los becarios que financia, trasladando lo que exceda de ello a las Comunidades Autónomas. Tal determinación atenta contra la autonomía financiera autonómica protegida por el art. 156 CE, al condicionarla de manera ilegítima en su vertiente de gasto, amén de que, de manera paralela, vulnera la competencia de la Generalitat de Cataluña para regular y gestionar el sistema propio de becas y ayudas a la formación universitaria, recogida en el art. 172.1 g) EAC. Es cierto que, según la jurisprudencia constitucional, la autonomía financiera de la Generalitat puede quedar sometida a ciertos límites materiales derivados del principio de solidaridad entre todos los españoles y de coordinación con la Hacienda estatal, pero permitiendo a la vez a la Comunidad Autónoma establecer y elegir sus propias políticas, como sería en este caso la de ayudas y becas al estudio con cargo a sus propios presupuestos, contribuyendo o no al sistema general de becas diseñado por el Estado. De manera que el Estado no podría unilateralmente disminuir su aportación financiera y atribuir a la Generalitat el coste de una política establecida por él mismo.</w:t>
      </w:r>
    </w:p>
    <w:p w:rsidR="00163957" w:rsidRDefault="00163957" w:rsidP="00163957">
      <w:pPr>
        <w:pStyle w:val="TextoNormal"/>
      </w:pPr>
    </w:p>
    <w:p w:rsidR="00163957" w:rsidRDefault="00163957" w:rsidP="00163957">
      <w:pPr>
        <w:pStyle w:val="TextoNormal"/>
      </w:pPr>
      <w:r w:rsidRPr="00163957">
        <w:rPr>
          <w:rStyle w:val="NumeroAFNegritaCaracter"/>
        </w:rPr>
        <w:t>3</w:t>
      </w:r>
      <w:r>
        <w:t>. En fecha 12 de febrero de 2013, el Pleno del Tribunal Constitucional dictó providencia de admisión a trámite del recurso de inconstitucionalidad planteado, que fue notificada por la Secretaria de Justicia de este Tribunal a la Generalitat de Cataluña, con sello de entrada de 21 de febrero de 2013; igualmente, fue publicada en el “Boletín Oficial del Estado” de 22 de febrero de 2013. De conformidad con lo previsto en el art. 34 LOTC, se dio traslado de las actuaciones al Congreso de los Diputados y al Senado, por conducto de sus Presidentes, así como al Gobierno de la Nación, por conducto del Ministro de Justicia, para que pudieran personarse en el proceso y formular las alegaciones que estimasen pertinentes.</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El Abogado del Estado, mediante escrito registrado en este Tribunal Constitucional el 19 de febrero de 2013, se personó en el proceso en representación del Gobierno, solicitando además prórroga por el máximo legal de ocho días del plazo para formular alegaciones en el recurso. Esa prórroga, a contar a partir del día siguiente al de expiración del plazo ordinario, le fue concedida por el Pleno de este Tribunal Constitucional el 20 de febrero de 2013 y fue notificada al Abogado del Estado y a la representación de la Generalitat de Cataluña mediante sendos escritos con sello de entrada de los días 21 y 27 de febrero de 2013, respectivamente. Dentro del plazo conferido por la providencia de admisión a trámite de este </w:t>
      </w:r>
      <w:r>
        <w:lastRenderedPageBreak/>
        <w:t>recurso, mediante escrito registrado el 8 de marzo de 2013, la Abogacía del Estado evacuó el trámite de alegaciones al recurso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5</w:t>
      </w:r>
      <w:r>
        <w:t>. El Presidente del Senado, mediante escrito registrado en este Tribunal el día 27 de febrero de 2013, interesó se tuviera por personada a dicha Cámara y por ofrecida su colaboración a los efectos del art. 88.1 LOTC. En los mismos términos y por medio de escrito registrado el mismo día 27 de febrero de 2013, el Presidente del Congreso comunicó el acuerdo adoptado por la Mesa de la Cámara, que además remitía el asunto a la Dirección de Estudios, Análisis y Publicaciones y a la Asesoría Jurídica de la Secretaría General de la Cámara.</w:t>
      </w:r>
    </w:p>
    <w:p w:rsidR="00163957" w:rsidRDefault="00163957" w:rsidP="00163957">
      <w:pPr>
        <w:pStyle w:val="TextoNormal"/>
      </w:pPr>
    </w:p>
    <w:p w:rsidR="00163957" w:rsidRDefault="00163957" w:rsidP="00163957">
      <w:pPr>
        <w:pStyle w:val="TextoNormal"/>
      </w:pPr>
      <w:r w:rsidRPr="00163957">
        <w:rPr>
          <w:rStyle w:val="NumeroAFNegritaCaracter"/>
        </w:rPr>
        <w:t>6</w:t>
      </w:r>
      <w:r>
        <w:t>. del recurso (la violación del art. 86.1 CE y de las competencias sobre educación y universidades de la Generalitat de Cataluña por parte del Real Decreto-ley 14/2012, de 20 de abril), dedica sus alegaciones, por un lado, a fundamentar la existencia, tanto del presupuesto habilitante para la aprobación por el Gobierno de dicho Real Decreto-ley, como de títulos competenciales que dan cobertura a su contenido material; por otro lado, el escrito de alegaciones también ha justificado la constitucionalidad de cada uno de los preceptos y apartados impugnados.</w:t>
      </w:r>
    </w:p>
    <w:p w:rsidR="00163957" w:rsidRDefault="00163957" w:rsidP="00163957">
      <w:pPr>
        <w:pStyle w:val="TextoNormal"/>
      </w:pPr>
    </w:p>
    <w:p w:rsidR="00163957" w:rsidRDefault="00163957" w:rsidP="00163957">
      <w:pPr>
        <w:pStyle w:val="TextoNormal"/>
      </w:pPr>
      <w:r>
        <w:t>a) En primer lugar, la Abogada del Estado asegura que el Real Decreto-ley recurrido cuenta con el presupuesto habilitante exigido por el art. 86.1 CE para ser dictado. A estos efectos, se invoca la doctrina sentada por este Tribunal Constitucional sobre el particular, destacando que la concurrencia del presupuesto habilitante debe apreciarse mediante un juicio político, del Gobierno al dictarlo y del Congreso en el trámite de convalidación, sobre el cual corresponde a este Tribunal hacer un control jurídico, que, sin suplantarlos, evite el uso abusivo o arbitrario de este modo de producción legislativa. Según señala, el control se extiende, tanto a la concurrencia de una situación de extraordinaria y urgente necesidad, como a la conexión de sentido de ésta con las medidas adoptadas para atenderla. Además, se destaca que este Tribunal ha reconocido la especial aptitud de la figura de los reales decretos-leyes para acometer “coyunturas económicas problemáticas” (STC 23/1993, de 21 de enero, FJ 5), citando varias sentencias concretas. Al final, la situación de extraordinaria y urgente necesidad se referiría a casos de necesidad relativa, en los que es preciso una acción normativa adoptada en un plazo más breve que el parlamentario habitual.</w:t>
      </w:r>
    </w:p>
    <w:p w:rsidR="00163957" w:rsidRDefault="00163957" w:rsidP="00163957">
      <w:pPr>
        <w:pStyle w:val="TextoNormal"/>
      </w:pPr>
    </w:p>
    <w:p w:rsidR="00163957" w:rsidRDefault="00163957" w:rsidP="00163957">
      <w:pPr>
        <w:pStyle w:val="TextoNormal"/>
      </w:pPr>
      <w:r>
        <w:t>En este caso concreto, la Abogado del Estado defiende que la situación de extraordinaria y urgente necesidad concurre y ha quedado exteriorizada en el expediente de elaboración, tanto en el preámbulo de la disposición, como en el trámite de convalidación, por referencia a dos concretas circunstancias: El marco de crisis económica sin precedentes por el que atravesó nuestro país, con la consiguiente exigencia de fuertes ajustes presupuestarios; y la urgencia por corregir nuestro acusado déficit público, en el cual el gasto educativo juega un papel relevante.</w:t>
      </w:r>
    </w:p>
    <w:p w:rsidR="00163957" w:rsidRDefault="00163957" w:rsidP="00163957">
      <w:pPr>
        <w:pStyle w:val="TextoNormal"/>
      </w:pPr>
    </w:p>
    <w:p w:rsidR="00163957" w:rsidRDefault="00163957" w:rsidP="00163957">
      <w:pPr>
        <w:pStyle w:val="TextoNormal"/>
      </w:pPr>
      <w:r>
        <w:t xml:space="preserve">Respecto a la crisis económica y financiera sufrida por España en los últimos años se recogen especialmente, junto a algunas referencias de la exposición de motivos del Real Decreto-ley y de la intervención del Ministro de Educación, Cultura y Deporte en el debate parlamentario previo a su convalidación, citas de los informes de coyuntura económica del Banco de España, sobre todo de los correspondientes a 2008 y 2009. Allí, se llega a hablar de una espiral catastrófica, no conocida desde el final de la segunda guerra mundial, que </w:t>
      </w:r>
      <w:r>
        <w:lastRenderedPageBreak/>
        <w:t>plantea el reto de la propia sostenibilidad de las finanzas públicas y alude al peligro del contagio de la crisis griega, ya abierta en 2010.</w:t>
      </w:r>
    </w:p>
    <w:p w:rsidR="00163957" w:rsidRDefault="00163957" w:rsidP="00163957">
      <w:pPr>
        <w:pStyle w:val="TextoNormal"/>
      </w:pPr>
    </w:p>
    <w:p w:rsidR="00163957" w:rsidRDefault="00163957" w:rsidP="00163957">
      <w:pPr>
        <w:pStyle w:val="TextoNormal"/>
      </w:pPr>
      <w:r>
        <w:t>En cuanto a la necesidad de acometer en concreto la corrección del déficit público, se invoca el libro amarillo de presentación del proyecto de presupuestos generales del Estado para 2012, en el que se hace mención a la desviación de 2,5 puntos del déficit reconocido por el Gobierno saliente respecto del calculado por el entrante (en realidad, el déficit fue del 8,5 por 100 del PIB nacional, en vez del 6 por 100, lo que equivale a un desfase de unos 27.000 millones de euros), lo que obligó a tomar medidas urgentes de ajuste (la Ley de presupuestos generales del Estado para 2012 fijó finalmente un objetivo de déficit del 5,3 por 100 sobre el PIB para el conjunto de las Administraciones públicas). Se agrega que el gasto educativo representa un importante porcentaje de ese gasto público (un 10,99 por 100 en 2010, del que la mayor parte corresponde a las Comunidades Autónomas, según datos oficiales del Ministerio del ramo, que contienen la serie histórica desglosada entre 2000 y 2010, que se adjuntan al escrito de alegaciones). En este sentido, subraya la Abogada del Estado algunas menciones del preámbulo del Real Decreto-ley recurrido sobre los objetivos de estabilidad presupuestaria de nuestro Estado, de su memoria explicativa acerca del carácter imprescindible de las medidas adoptadas para cumplir con el techo de gasto público y para la flexibilización normativa comprometida en el seno del Consejo de Política Fiscal y Financiera, para de ese modo proporcionar instrumentos de ajuste presupuestario a las Administraciones públicas autonómicas, así como de las declaraciones realizadas por el Ministro en sede parlamentaria, justificando esas medidas como herramientas necesarias para ayudar a las Comunidades Autónomas a cumplir con su objetivo de déficit anual.</w:t>
      </w:r>
    </w:p>
    <w:p w:rsidR="00163957" w:rsidRDefault="00163957" w:rsidP="00163957">
      <w:pPr>
        <w:pStyle w:val="TextoNormal"/>
      </w:pPr>
    </w:p>
    <w:p w:rsidR="00163957" w:rsidRDefault="00163957" w:rsidP="00163957">
      <w:pPr>
        <w:pStyle w:val="TextoNormal"/>
      </w:pPr>
      <w:r>
        <w:t>b) En segundo término, la Abogada del Estado argumenta sobre la adecuación de los títulos competenciales invocados por la disposición final primera del Real Decreto-ley 14/2012 para fundamentar las medidas en él contenidas. En cuanto al art. 149.1.1 CE, se remarca que no es un título prevalente que proporcione cobertura autónoma a la norma, sin perjuicio de que refuerce la función habilitante de competencias más específicas y conexas con derechos constitucionales, sobre todo para procurar cierta homogeneidad social en su ejercicio.</w:t>
      </w:r>
    </w:p>
    <w:p w:rsidR="00163957" w:rsidRDefault="00163957" w:rsidP="00163957">
      <w:pPr>
        <w:pStyle w:val="TextoNormal"/>
      </w:pPr>
    </w:p>
    <w:p w:rsidR="00163957" w:rsidRDefault="00163957" w:rsidP="00163957">
      <w:pPr>
        <w:pStyle w:val="TextoNormal"/>
      </w:pPr>
      <w:r>
        <w:t xml:space="preserve">Por su parte, el art. 149.1.18 CE, al permitir fijar las bases del régimen estatutario de los funcionarios públicos, prestaría específica cobertura a las medidas del Real Decreto-ley relativas al profesorado universitario, con preferencia a la que pudieran suministrar las competencias estatales sobre educación. Señala, al respecto, que el Estado puede fijar así el necesario común denominador normativo que asegure una unidad fundamental de todos los funcionarios públicos, que no tiene que ser meramente genérica, aunque sí compatible con las peculiaridades que puedan introducir las Comunidades Autónomas en persecución de sus propios intereses. Además, la Abogada del Estado recuerda que, según la STC 235/1991, de 12 de diciembre, las Comunidades Autónomas no tendrían siquiera competencia de desarrollo normativo respecto a los miembros de los cuerpos docentes universitarios, al no ser éstos funcionarios de la Administración autonómica, sino del Estado. En cambio, respecto a las medidas sobre profesorado no universitario, entiende que sería prevalente la invocación del art. 149.1.30 CE, ya que su finalidad prioritaria sería la garantía de la calidad mínima de la enseñanza, a pesar de que repercuta en la organización administrativa y en el acceso a puestos de trabajo en el sector público. De todas formas, afirma la Abogada del Estado que no es descartable la invocación del apartado 18 del art. 149.1 CE para justificar </w:t>
      </w:r>
      <w:r>
        <w:lastRenderedPageBreak/>
        <w:t>medidas sobre horarios de los profesores, dado que el propio art. 2.3 del LEEP remite, respecto a determinados colectivos de empleados como el personal docente y sanitario, a la legislación específica estatal y autonómica que se dicte para regularlos. Y de hecho, respecto al personal sanitario, hace tiempo que el legislador estatal ha establecido previsiones concretas sobre su régimen de horario de trabajo, de modo similar a como ahora pasa a hacerlo el Real Decreto-ley impugnado respecto al personal docente no universitario.</w:t>
      </w:r>
    </w:p>
    <w:p w:rsidR="00163957" w:rsidRDefault="00163957" w:rsidP="00163957">
      <w:pPr>
        <w:pStyle w:val="TextoNormal"/>
      </w:pPr>
    </w:p>
    <w:p w:rsidR="00163957" w:rsidRDefault="00163957" w:rsidP="00163957">
      <w:pPr>
        <w:pStyle w:val="TextoNormal"/>
      </w:pPr>
      <w:r>
        <w:t>En relación con el art. 149.1.30 CE, el escrito de alegaciones recoge la doctrina acumulada por este Tribunal Constitucional sobre el alcance de esta competencia, a través de la recapitulación contenida en el fundamento jurídico 3 de nuestra STC 184/2012, de 17 de octubre. A partir de ahí, la argumentación se centra en la doctrina constitucional sobre el alcance material de las bases estatales en materia de educación, por ser objeto de discusión en el presente caso. Si bien esas bases tienen una gran variedad en función de la materia o submateria, no tienen por qué constreñirse sólo a pautas genéricas y abstractas, pudiendo comprender también reglas de distinto tipo, topes máximos, niveles mínimos, tramos, e incluso actos de naturaleza ejecutiva. A la vez, con carácter general, esa regulación no puede tener tanto detalle que no deje espacio para el desarrollo autonómico. El contenido y alcance concretos de lo básico será determinado por el legislador estatal, sin perjuicio del control que corresponde hacer a este Tribunal Constitucional (STC 141/1993, de 22 de abril, FJ 3). Así, refiere que la STC 131/1996, de 11 de julio, consideró básica la fijación por el Estado de un porcentaje mínimo de profesores doctores para cada ciclo universitario, así como de profesorado funcionario para las universidades públicas, en cuanto medida de garantía de un mínimo de calidad de la enseñanza. Lo mismo ocurriría en el caso del Real Decreto-ley recurrido, en cuanto que contiene medidas para asegurar una calidad mínima de la docencia, sin perjuicio de que tengan también consecuencias de carácter organizativo del sistema educativo. Además, esos efectos son de carácter indirecto y reflejo, pues dejan un margen amplio de plasmación a las Comunidades Autónomas.</w:t>
      </w:r>
    </w:p>
    <w:p w:rsidR="00163957" w:rsidRDefault="00163957" w:rsidP="00163957">
      <w:pPr>
        <w:pStyle w:val="TextoNormal"/>
      </w:pPr>
    </w:p>
    <w:p w:rsidR="00163957" w:rsidRDefault="00163957" w:rsidP="00163957">
      <w:pPr>
        <w:pStyle w:val="TextoNormal"/>
      </w:pPr>
      <w:r>
        <w:t>Sin embargo, para la Abogada del Estado el principal título competencial de cobertura del Real Decreto-ley 14/2012, debido a la finalidad de esta disposición, está en el apartado 13 del art. 149.1 CE, en conexión con el principio de coordinación de las haciendas públicas por parte del Estado (art. 156 CE). Recuerda que la jurisprudencia de este Tribunal entiende que ese título ampara acciones unitarias en todo el territorio del Estado para la consecución de objetivos de política económica nacional, efectuando una planificación de detalle, sin que se puedan vaciar las competencias asumidas por las Comunidades Autónomas. Más en concreto, cabe establecer por esta vía medidas de contención de gastos corrientes y de reducción del déficit público, en línea con las exigencias de estabilidad presupuestaria y de prohibición de un déficit estructural superior al establecido, tal como prevé el art. 135 CE y desarrolla la Ley Orgánica 2/2012, de 27 de abril, de estabilidad presupuestaria y sostenibilidad financiera. Es el caso de las restricciones al volumen cuantitativo de las plazas contenidas en la oferta de empleo público de cada Administración o del incremento global de retribuciones de los empleados públicos (STC 63/1986, de 21 de mayo, FFJJ 6 y 11, que las vincula a la competencia de dirección y ordenación general de la economía y no a las bases del régimen estatutario de los funcionarios).</w:t>
      </w:r>
    </w:p>
    <w:p w:rsidR="00163957" w:rsidRDefault="00163957" w:rsidP="00163957">
      <w:pPr>
        <w:pStyle w:val="TextoNormal"/>
      </w:pPr>
    </w:p>
    <w:p w:rsidR="00163957" w:rsidRDefault="00163957" w:rsidP="00163957">
      <w:pPr>
        <w:pStyle w:val="TextoNormal"/>
      </w:pPr>
      <w:r>
        <w:t xml:space="preserve">En esta cuestión, la Abogada del Estado discrepa del planteamiento de la representación de la Generalitat de Cataluña, que niega virtualidad a la competencia estatal derivada del </w:t>
      </w:r>
      <w:r>
        <w:lastRenderedPageBreak/>
        <w:t>art. 149.1.13 CE, por no constituir las medidas contenidas en el Real Decreto-ley un conjunto de bases y coordinación de la planificación general de la actividad económica, sino tratarse de “medidas meramente organizativas relativas a la función pública docente”. Para ello, se aporta el cuadro de estimación del impacto económico de las distintas medidas contenidas en el Real Decreto-ley 14/2012, que alcanzan la cifra total de 3.736 millones de euros de ahorro. Además, se proporciona información sobre la intensidad del peso del capítulo de gastos de personal educativo de las enseñanzas no universitarias (que corresponde a las retribuciones de más de 700.000 profesores de enseñanzas de régimen general y especial) en los presupuestos públicos, que representa, contando con las cotizaciones sociales de este personal, un 64 por 100 del total del gasto público educativo.</w:t>
      </w:r>
    </w:p>
    <w:p w:rsidR="00163957" w:rsidRDefault="00163957" w:rsidP="00163957">
      <w:pPr>
        <w:pStyle w:val="TextoNormal"/>
      </w:pPr>
    </w:p>
    <w:p w:rsidR="00163957" w:rsidRDefault="00163957" w:rsidP="00163957">
      <w:pPr>
        <w:pStyle w:val="TextoNormal"/>
      </w:pPr>
      <w:r>
        <w:t>En consecuencia, se defiende que los títulos competenciales aplicables de manera prevalente en este recurso serían los derivados del art. 149.1.13 CE y del art. 152 EAC sobre planificación, ordenación y promoción de la actividad económica, sin perjuicio de que, de considerarse que el Real Decreto-ley viene a regular prevalentemente elementos de régimen funcionarial, en los que la Generalitat puede invocar sus competencias en materia de función pública [arts. 136 a) y b) EAC], tendría siempre que respetarse lo dispuesto en la legislación estatal dictada en ejercicio de la competencia estatal recogida en el art. 149.1.18 CE.</w:t>
      </w:r>
    </w:p>
    <w:p w:rsidR="00163957" w:rsidRDefault="00163957" w:rsidP="00163957">
      <w:pPr>
        <w:pStyle w:val="TextoNormal"/>
      </w:pPr>
    </w:p>
    <w:p w:rsidR="00163957" w:rsidRDefault="00163957" w:rsidP="00163957">
      <w:pPr>
        <w:pStyle w:val="TextoNormal"/>
      </w:pPr>
      <w:r>
        <w:t xml:space="preserve">E, igualmente, se recuerda a este respecto la doctrina establecida por este Tribunal en la STC 31/2010, de 28 de junio, FFJJ 59 y 64, sobre la necesidad de ajuste en general a las competencias exclusivas del Estado enumeradas en el art. 149.1 CE, a pesar de que se invoquen competencias autonómicas estatutariamente asumidas bajo el título de “exclusivas”. De manera que el término de competencias exclusivas manejado por el art. 110 EAC no impide en absoluto el ejercicio por el Estado de sus competencias exclusivas </w:t>
      </w:r>
      <w:r w:rsidRPr="00163957">
        <w:rPr>
          <w:i/>
        </w:rPr>
        <w:t>ex</w:t>
      </w:r>
      <w:r>
        <w:t xml:space="preserve"> art. 149.1 CE, con el alcance que les corresponda, sin necesidad de que el Estatuto de Autonomía contenga cláusulas expresas de salvaguardia de esas competencias estatales.</w:t>
      </w:r>
    </w:p>
    <w:p w:rsidR="00163957" w:rsidRDefault="00163957" w:rsidP="00163957">
      <w:pPr>
        <w:pStyle w:val="TextoNormal"/>
      </w:pPr>
    </w:p>
    <w:p w:rsidR="00163957" w:rsidRDefault="00163957" w:rsidP="00163957">
      <w:pPr>
        <w:pStyle w:val="TextoNormal"/>
      </w:pPr>
      <w:r>
        <w:t>c). El resto del escrito de alegaciones de la Abogada del Estado aborda la defensa de la constitucionalidad de cada una de las concretas medidas impugnadas del Real Decreto-ley 14/2012.</w:t>
      </w:r>
    </w:p>
    <w:p w:rsidR="00163957" w:rsidRDefault="00163957" w:rsidP="00163957">
      <w:pPr>
        <w:pStyle w:val="TextoNormal"/>
      </w:pPr>
    </w:p>
    <w:p w:rsidR="00163957" w:rsidRDefault="00163957" w:rsidP="00163957">
      <w:pPr>
        <w:pStyle w:val="TextoNormal"/>
      </w:pPr>
      <w:r>
        <w:t>a. El art. 3 del Real Decreto-ley establece un mínimo de horas lectivas de los profesores y su correspondiente régimen de compensación con horas complementarias, en aplicación de la competencia estatal de establecimiento de normas educativas básicas y, en concreto, de fijación de una garantía de calidad mínima de la enseñanza. Su carácter básico es evidente, al establecer un mínimo común denominador que las Comunidades Autónomas pueden concretar. Además, se trataría de una decisión coyuntural de eficacia temporal, amparada por los arts. 149.1.13 y 156.1 CE. Aquí, se aportan datos estimativos de la reducción de profesorado que la medida puede comportar y, por tanto, de los gastos de personal que permitiría reducir, desglosados por niveles de enseñanza y con exclusión de los centros con plantilla inferior a diez profesores. Los gastos corrientes por esos conceptos podrían rebajarse en 840 millones de euros, aunque el impacto final habría de depender del grado de implantación de la medida.</w:t>
      </w:r>
    </w:p>
    <w:p w:rsidR="00163957" w:rsidRDefault="00163957" w:rsidP="00163957">
      <w:pPr>
        <w:pStyle w:val="TextoNormal"/>
      </w:pPr>
    </w:p>
    <w:p w:rsidR="00163957" w:rsidRDefault="00163957" w:rsidP="00163957">
      <w:pPr>
        <w:pStyle w:val="TextoNormal"/>
      </w:pPr>
      <w:r>
        <w:t xml:space="preserve">Frente a la alegación de la Generalitat sobre la adopción injustificada de esta medida por medio de un Real Decreto-ley, atendiendo a que posteriormente la disposición adicional septuagésima primera de la Ley de presupuestos generales del Estado para 2012 incorporó </w:t>
      </w:r>
      <w:r>
        <w:lastRenderedPageBreak/>
        <w:t>una regulación de la jornada general de trabajo en el sector público con el mismo objetivo, se aduce que ello no es óbice para apreciar la urgencia en sí de la medida adoptada por el Gobierno para atender a la reducción del gasto público educativo con carácter inmediato, tal como fue valorada por él mismo. La gravedad de la crisis económica atravesada por España condujo al Gobierno a regular la jornada lectiva mínima del profesorado como forma de controlar, junto con otras medidas, el déficit público. Y lo hizo mediante Real Decreto-ley, por su especial aptitud para alcanzar objetivos gubernamentales ante situaciones que requieren una acción normativa inmediata en plazos más breves que los que comporta el procedimiento legislativo ordinario o de urgencia.</w:t>
      </w:r>
    </w:p>
    <w:p w:rsidR="00163957" w:rsidRDefault="00163957" w:rsidP="00163957">
      <w:pPr>
        <w:pStyle w:val="TextoNormal"/>
      </w:pPr>
    </w:p>
    <w:p w:rsidR="00163957" w:rsidRDefault="00163957" w:rsidP="00163957">
      <w:pPr>
        <w:pStyle w:val="TextoNormal"/>
      </w:pPr>
      <w:r>
        <w:t>b. De igual manera, se niega por la Abogado del Estado que el art. 4 del Real Decreto-ley, sobre el nombramiento de funcionarios docentes interinos, vulnere el art. 86.1 CE, por el hecho de adoptarse por ese procedimiento legislativo extraordinario una medida que poco tiempo después tendría un paralelo en el art. 23.2 de la Ley de presupuestos generales del Estado para 2012. Se destaca que la prohibición general de nombramiento de personal estatutario temporal para 2012 no es una medida asimilable a las restricciones para la sustitución de profesores mediante personal interino del Real Decreto-ley, que procede de una valoración específica por el Gobierno sobre su urgencia y necesidad de adopción inmediata en el concreto ámbito educativo.</w:t>
      </w:r>
    </w:p>
    <w:p w:rsidR="00163957" w:rsidRDefault="00163957" w:rsidP="00163957">
      <w:pPr>
        <w:pStyle w:val="TextoNormal"/>
      </w:pPr>
    </w:p>
    <w:p w:rsidR="00163957" w:rsidRDefault="00163957" w:rsidP="00163957">
      <w:pPr>
        <w:pStyle w:val="TextoNormal"/>
      </w:pPr>
      <w:r>
        <w:t>En cuanto a la vulneración de las competencias autonómicas por una excesiva concreción de las bases estatales, se argumenta que se trata de una medida básica, que marca un mínimo de plazo para proceder a la sustitución de profesores, que no vulnera el ejercicio de la competencia autonómica recogida en el art. 131.2 EAC. Añade a lo expuesto que su impacto económico no es fácil de calcular, pero rondaría los 1.900 euros de ahorro por cada supuesto de posible sustitución en los centros públicos (considerando que las retribuciones por todos los conceptos del profesorado interino están en torno a los 190 euros por día lectivo).</w:t>
      </w:r>
    </w:p>
    <w:p w:rsidR="00163957" w:rsidRDefault="00163957" w:rsidP="00163957">
      <w:pPr>
        <w:pStyle w:val="TextoNormal"/>
      </w:pPr>
    </w:p>
    <w:p w:rsidR="00163957" w:rsidRDefault="00163957" w:rsidP="00163957">
      <w:pPr>
        <w:pStyle w:val="TextoNormal"/>
      </w:pPr>
      <w:r>
        <w:t>c. En el ámbito universitario, el Real Decreto-ley 14/2012 introduce una serie de modificaciones concretas de la Ley Orgánica de universidades, motivadas por el déficit y el endeudamiento en que han incurrido distintas universidades públicas, tal como destaca la memoria de la normativa aprobada.</w:t>
      </w:r>
    </w:p>
    <w:p w:rsidR="00163957" w:rsidRDefault="00163957" w:rsidP="00163957">
      <w:pPr>
        <w:pStyle w:val="TextoNormal"/>
      </w:pPr>
    </w:p>
    <w:p w:rsidR="00163957" w:rsidRDefault="00163957" w:rsidP="00163957">
      <w:pPr>
        <w:pStyle w:val="TextoNormal"/>
      </w:pPr>
      <w:r>
        <w:t>La primera medida se contiene en el art. 6.1, que introduce en la Ley Orgánica de universidades el establecimiento de requisitos reglamentarios básicos para la creación y mantenimiento de centros y estructuras universitarias. El escrito de alegaciones rechaza los tres reproches de inconstitucionalidad del recurso: la infracción del art. 86.1 CE; la indebida deslegalización de las bases estatales por aquel precepto; y la vulneración de la competencia autonómica contenida en el art. 172.2 a) EAC.</w:t>
      </w:r>
    </w:p>
    <w:p w:rsidR="00163957" w:rsidRDefault="00163957" w:rsidP="00163957">
      <w:pPr>
        <w:pStyle w:val="TextoNormal"/>
      </w:pPr>
    </w:p>
    <w:p w:rsidR="00163957" w:rsidRDefault="00163957" w:rsidP="00163957">
      <w:pPr>
        <w:pStyle w:val="TextoNormal"/>
      </w:pPr>
      <w:r>
        <w:t>Respecto a lo primero, se afirma la existencia de presupuesto habilitante para dictar un Real Decreto-ley que contenga una habilitación reglamentaria, ya que aquél obedece a la grave situación económica del país y a la necesidad de racionalización del mapa universitario existente.</w:t>
      </w:r>
    </w:p>
    <w:p w:rsidR="00163957" w:rsidRDefault="00163957" w:rsidP="00163957">
      <w:pPr>
        <w:pStyle w:val="TextoNormal"/>
      </w:pPr>
    </w:p>
    <w:p w:rsidR="00163957" w:rsidRDefault="00163957" w:rsidP="00163957">
      <w:pPr>
        <w:pStyle w:val="TextoNormal"/>
      </w:pPr>
      <w:r>
        <w:t xml:space="preserve">En cuanto a la alegada deslegalización de la materia, se sostiene que no es argumento la invocación de una legislación básica anterior de distinto signo, por no existir un derecho a </w:t>
      </w:r>
      <w:r>
        <w:lastRenderedPageBreak/>
        <w:t>la intangibilidad o inmutabilidad de las bases estatales. Además, refiere sobre la conveniencia de recordar que el art. 4.3 LOU, en su redacción originaria, estableció una remisión reglamentaria semejante para la fijación de los requisitos básicos para la creación y reconocimiento de universidades. Y lo mismo hizo el art. 11.4 LOU, tras su reforma en 2007, respecto a los centros de educación superior adscritos a una universidad. La novedad ahora está simplemente en incluir en la remisión lo relativo a los requisitos de mantenimiento de centros y estructuras, cuestión que tiene la misma cobertura competencial que lo anterior. De hecho, ya la STC 26/1987, de 27 de febrero, reconocía la legitimidad de que el Gobierno fijara normas básicas sobre creación, modificación y supresión de departamentos universitarios, siempre que lo hiciese con gran flexibilidad, sin excesos de concreción y de contenido, y con respeto a la autonomía organizativa de cada universidad para configurar sus departamentos. En cuanto a la posible invasión de la autonomía universitaria por esta regulación, se cita nuestra STC 223/2012, de 29 de noviembre, FJ 6, que, en relación con los centros universitarios privados, señaló que su creación no es propiamente manifestación de esa autonomía (art. 27.10), sino de la libertad de creación de centros de enseñanza, consagrada en el art. 27.6 CE. En cambio, sí es manifestación de autonomía la decisión sobre la adscripción de un centro a una universidad pública o privada, que se plasma en el correspondiente convenio, pero siempre de acuerdo con una legislación estatal y autonómica que no lesiona de por sí el derecho a la autonomía universitaria, que es un derecho de configuración legal.</w:t>
      </w:r>
    </w:p>
    <w:p w:rsidR="00163957" w:rsidRDefault="00163957" w:rsidP="00163957">
      <w:pPr>
        <w:pStyle w:val="TextoNormal"/>
      </w:pPr>
    </w:p>
    <w:p w:rsidR="00163957" w:rsidRDefault="00163957" w:rsidP="00163957">
      <w:pPr>
        <w:pStyle w:val="TextoNormal"/>
      </w:pPr>
      <w:r>
        <w:t>Para la Abogada del Estado, la fijación de los requisitos básicos de creación y mantenimiento de centros y estructuras no constituye materia reservada a la ley, como si fuera desarrollo directo de la voluntad del constituyente, sino que cabe su regulación mediante reglamento por el carácter técnico y mudable de la materia. Además, pese a la preferencia de la ley formal para la fijación de las bases estatales, la jurisprudencia constitucional admite claramente que las mismas puedan contenerse en normas reglamentarias cuando éstas sean complemento indispensable para asegurar el mínimo común denominador que comportan esas bases. Según refiere, la jurisprudencia de este Tribunal avalaría la fijación de bases por reglamento cuando se trate de un complemento indispensable de las normas básicas legales, que previamente hayan acotado el alcance general de lo básico.</w:t>
      </w:r>
    </w:p>
    <w:p w:rsidR="00163957" w:rsidRDefault="00163957" w:rsidP="00163957">
      <w:pPr>
        <w:pStyle w:val="TextoNormal"/>
      </w:pPr>
    </w:p>
    <w:p w:rsidR="00163957" w:rsidRDefault="00163957" w:rsidP="00163957">
      <w:pPr>
        <w:pStyle w:val="TextoNormal"/>
      </w:pPr>
      <w:r>
        <w:t>Finalmente, se niega que el art. 6.1 del Real Decreto-ley, por el hecho de remitir su concreción a una norma reglamentaria estatal, invada la competencia de la Generalitat de Cataluña recogida en el art. 172.2 a) EAC. Se trataría de una alegación preventiva de inconstitucionalidad, que no puede adelantarse a lo que en el futuro pueda recoger esa disposición. Aparte de que las competencias autonómicas en materia universitaria no pueden desvirtuar las competencias constitucionalmente reservadas al Estado en esta materia (SSTC 31/2010, de 28 de junio, FJ 108, y 223/2012, de 29 de noviembre, FJ 7).</w:t>
      </w:r>
    </w:p>
    <w:p w:rsidR="00163957" w:rsidRDefault="00163957" w:rsidP="00163957">
      <w:pPr>
        <w:pStyle w:val="TextoNormal"/>
      </w:pPr>
    </w:p>
    <w:p w:rsidR="00163957" w:rsidRDefault="00163957" w:rsidP="00163957">
      <w:pPr>
        <w:pStyle w:val="TextoNormal"/>
      </w:pPr>
      <w:r>
        <w:t xml:space="preserve">d. El art. 6.3 del Real Decreto-ley modifica el art. 30 bis LOU, para permitir la cooperación entre universidades para el desarrollo conjunto de enseñanzas oficiales. Se trata de una medida respaldada por la competencia exclusiva del Estado en materia de titulaciones oficiales (art. 149.1.30 CE), que persigue racionalizar el exceso ineficiente de la oferta académica de las universidades (casi un tercio de los grados impartidos en España no alcanzaría el mínimo de 50 alumnos en primer curso), que es una necesidad reconocida por la propia conferencia de rectores de las universidades españolas. La desaparición o fusión de esos </w:t>
      </w:r>
      <w:r>
        <w:lastRenderedPageBreak/>
        <w:t>grados y la reubicación del alumnado en titulaciones conjuntas con otras universidades podrían llegar a suponer un ahorro de 71 millones de euros a los presupuestos públicos.</w:t>
      </w:r>
    </w:p>
    <w:p w:rsidR="00163957" w:rsidRDefault="00163957" w:rsidP="00163957">
      <w:pPr>
        <w:pStyle w:val="TextoNormal"/>
      </w:pPr>
    </w:p>
    <w:p w:rsidR="00163957" w:rsidRDefault="00163957" w:rsidP="00163957">
      <w:pPr>
        <w:pStyle w:val="TextoNormal"/>
      </w:pPr>
      <w:r>
        <w:t>La Abogada del Estado destaca que la extraordinaria y urgente necesidad de la medida viene determinada por la situación grave de crisis económica, que quiere aliviarse mediante este tipo de cooperación entre universidades para la impartición conjunta de enseñanzas con bajo estudiantado. Y la escasa intensidad normativa de la disposición se justificaría por el desconocimiento inicial del impacto que la medida pueda tener en la reducción del déficit, sin que la calidad técnica de las normas deba ser objeto de enjuiciamiento constitucional.</w:t>
      </w:r>
    </w:p>
    <w:p w:rsidR="00163957" w:rsidRDefault="00163957" w:rsidP="00163957">
      <w:pPr>
        <w:pStyle w:val="TextoNormal"/>
      </w:pPr>
    </w:p>
    <w:p w:rsidR="00163957" w:rsidRDefault="00163957" w:rsidP="00163957">
      <w:pPr>
        <w:pStyle w:val="TextoNormal"/>
      </w:pPr>
      <w:r>
        <w:t>e. El art. 6.4 del Real Decreto-ley modifica el art. 68 LOU en materia de dedicación del profesorado universitario y a él dedica una especial atención el escrito de alegaciones. Tras recordar que el Real Decreto 898/1985, de 30 de abril, sobre el régimen del profesorado universitario, remitía la fijación de las obligaciones docentes de este colectivo a lo dispuesto en los estatutos de cada universidad y que la disposición adicional sexta de la Ley Orgánica 4/2007, de 12 de abril, de modificación de la Ley Orgánica de universidades, anunció un estatuto del personal docente e investigador que aún no ha visto la luz, se explica que el Real Decreto-ley impugnado ha diversificado en tres escalones las posibilidades de dedicación del profesorado funcionario a tiempo completo (24 créditos ECTS con carácter general, que pueden incrementarse hasta 32 o reducirse hasta 16). Para concretar la carga docente de cada profesor, se utiliza como parámetro el número, la continuidad y la proximidad temporal de los sexenios de investigación que tenga reconocidos, los cuales son uno de los componentes variables de sus retribuciones, conforme al Real Decreto 1086/1989, de 28 de agosto. Puesto que la dedicación del profesorado universitario tiene una doble vertiente, docente e investigadora, es razonable que la intensidad de la segunda afecte a la extensión de la primera.</w:t>
      </w:r>
    </w:p>
    <w:p w:rsidR="00163957" w:rsidRDefault="00163957" w:rsidP="00163957">
      <w:pPr>
        <w:pStyle w:val="TextoNormal"/>
      </w:pPr>
    </w:p>
    <w:p w:rsidR="00163957" w:rsidRDefault="00163957" w:rsidP="00163957">
      <w:pPr>
        <w:pStyle w:val="TextoNormal"/>
      </w:pPr>
      <w:r>
        <w:t>En cuanto a la posible vulneración en este punto del art. 86.1 CE por falta de presupuesto habilitante, la Abogada del Estado niega la falta de inmediatez de la medida y defiende que está justificada por la grave situación de crisis económica padecida por nuestro país y por su conexión de sentido con este nuevo régimen de dedicación del profesorado, que hace crecer la carga docente media de este personal. Dado que el 50 por 100 del total del profesorado funcionario carece de sexenios activos o vivos y sólo un porcentaje reducido acredita la excelencia de su investigación, la aplicación de esta medida produciría un incremento de la capacidad docente de las plantillas universitarias, que podría traducirse en un ahorro en salarios de unos 250 millones de euros.</w:t>
      </w:r>
    </w:p>
    <w:p w:rsidR="00163957" w:rsidRDefault="00163957" w:rsidP="00163957">
      <w:pPr>
        <w:pStyle w:val="TextoNormal"/>
      </w:pPr>
    </w:p>
    <w:p w:rsidR="00163957" w:rsidRDefault="00163957" w:rsidP="00163957">
      <w:pPr>
        <w:pStyle w:val="TextoNormal"/>
      </w:pPr>
      <w:r>
        <w:t>Respecto al efecto de deslegalización de las normas básicas estatales, al apoderar ahora el apartado 3 del art. 68 LOU al Gobierno para detallar el régimen general de dedicación docente, se alega que no se trata de una remisión en blanco, precisamente por el grado de detalle del extenso apartado 2 del precepto. En consecuencia, estamos ante un supuesto ordinario de colaboración natural del reglamento con la ley, que puede complementar a ésta en aspectos técnicos o variables.</w:t>
      </w:r>
    </w:p>
    <w:p w:rsidR="00163957" w:rsidRDefault="00163957" w:rsidP="00163957">
      <w:pPr>
        <w:pStyle w:val="TextoNormal"/>
      </w:pPr>
    </w:p>
    <w:p w:rsidR="00163957" w:rsidRDefault="00163957" w:rsidP="00163957">
      <w:pPr>
        <w:pStyle w:val="TextoNormal"/>
      </w:pPr>
      <w:r>
        <w:t xml:space="preserve">En relación con la presunta invasión de las competencias autonómicas de desarrollo y ejecución en esta materia (régimen de dedicación docente del profesorado universitario funcionario), se niega que la Generalitat de Cataluña haya asumido competencias sobre este personal estatutario. La Abogada del Estado insiste en que los funcionarios docentes de las </w:t>
      </w:r>
      <w:r>
        <w:lastRenderedPageBreak/>
        <w:t xml:space="preserve">universidades no son empleados de las Comunidades Autónomas. De acuerdo con la STC 235/1991, de 12 de diciembre, ya citada, como se trata de funcionarios de cuerpos nacionales que pueden ocupar plaza, mediante el oportuno concurso, en una universidad diferente de aquélla en la que fueron nombrados, es el Estado quien tiene competencia para regular </w:t>
      </w:r>
      <w:r w:rsidRPr="00163957">
        <w:rPr>
          <w:i/>
        </w:rPr>
        <w:t>in extenso</w:t>
      </w:r>
      <w:r>
        <w:t xml:space="preserve"> su relación de servicio con la universidad de acuerdo con el art. 149.1.1 y, sobre todo, 18 CE, incluyendo cuestiones como la duración de la jornada laboral, el reparto de horas de dedicación, la exención de obligaciones docentes. Lo cual no obsta para que la Comunidad Autónoma pueda regular algunos aspectos de la actividad docente en virtud de otros títulos conectados con la materia educación, en la que sí es de aplicación el esquema bases-desarrollo de reparto de competencias entre el Estado y la Comunidad Autónoma. Pero, en lo atinente al régimen de dedicación del profesorado universitario funcionario, formaría parte del desarrollo de las bases del régimen funcionarial, que corresponde regular al Estado, sin que sea de aplicación el art. 172.2 e) EAC, que sólo puede proyectarse sobre funcionarios de la Comunidad Autónoma.</w:t>
      </w:r>
    </w:p>
    <w:p w:rsidR="00163957" w:rsidRDefault="00163957" w:rsidP="00163957">
      <w:pPr>
        <w:pStyle w:val="TextoNormal"/>
      </w:pPr>
    </w:p>
    <w:p w:rsidR="00163957" w:rsidRDefault="00163957" w:rsidP="00163957">
      <w:pPr>
        <w:pStyle w:val="TextoNormal"/>
      </w:pPr>
      <w:r>
        <w:t>Según el escrito de alegaciones, esa regulación de la dedicación docente supondría incluso una garantía de la autonomía universitaria, al establecer un cumplimiento equilibrado de tareas docentes e investigadoras y estimular la obtención de resultados de la investigación. Además, no debe olvidarse que la autonomía universitaria es un derecho de configuración legal, que debe desarrollarse en el marco de las efectivas disponibilidades personales y materiales de cada universidad (STC 106/1990, de 6 de junio), condicionadas por las decisiones que corresponde adoptar al Estado y a la Comunidad Autónoma de la que dependen, especialmente respecto a la legislación financiera y presupuestaria aplicable al sector público.</w:t>
      </w:r>
    </w:p>
    <w:p w:rsidR="00163957" w:rsidRDefault="00163957" w:rsidP="00163957">
      <w:pPr>
        <w:pStyle w:val="TextoNormal"/>
      </w:pPr>
    </w:p>
    <w:p w:rsidR="00163957" w:rsidRDefault="00163957" w:rsidP="00163957">
      <w:pPr>
        <w:pStyle w:val="TextoNormal"/>
      </w:pPr>
      <w:r>
        <w:t>Por último, se señala que la nueva regulación del régimen de dedicación docente universitaria no altera los efectos jurídicos de los derechos reconocidos por la legislación anterior mientras ésta estuvo en vigor y que, para entender su verdadero significado, se debe atender a la nota interpretativa dictada por el Ministerio de Educación, Cultura y Deporte para aclarar las cuestiones suscitadas en esta materia por el Consejo de Universidades. Esta nota se adjunta como documento anexo al escrito de alegaciones.</w:t>
      </w:r>
    </w:p>
    <w:p w:rsidR="00163957" w:rsidRDefault="00163957" w:rsidP="00163957">
      <w:pPr>
        <w:pStyle w:val="TextoNormal"/>
      </w:pPr>
    </w:p>
    <w:p w:rsidR="00163957" w:rsidRDefault="00163957" w:rsidP="00163957">
      <w:pPr>
        <w:pStyle w:val="TextoNormal"/>
      </w:pPr>
      <w:r>
        <w:t xml:space="preserve">f. Finalmente, el escrito de alegaciones defiende la constitucionalidad del art. 7.1 del Real Decreto-ley 14/2012, que introduce el principio de corresponsabilidad financiera en el ámbito de la enseñanza universitaria. Este precepto viene a trasladar al presupuesto de las Comunidades Autónomas el coste público adicional de las becas y ayudas al estudio cuando las Administraciones autonómicas decidan aumentar los precios públicos de los estudios universitarios oficiales, dentro de los márgenes que permite el propio Real Decreto-ley. La memoria económica del mismo recuerda el alto porcentaje de financiación pública que hay en los estudios universitarios en España y el coste ineficiente que deriva de las altas tasas de abandono de estudiantes, superiores a la media europea. Es cierto que el nuevo sistema de precios universitarios puede producir un sobrecoste en el componente individual de las ayudas (por la elevación del precio de la matrícula) para las haciendas públicas autonómicas, que puede alcanzar los 118 millones de euros anuales. Pero, a la vez, las horquillas de precios públicos que se implantan en esa disposición legal de urgencia se calcula que pueden producir un efecto de ahorro a las Comunidades Autónomas de 1.760 millones de euros, también anuales, derivado de la presumible subida de precios académicos. Por lo que el </w:t>
      </w:r>
      <w:r>
        <w:lastRenderedPageBreak/>
        <w:t>efecto global de ahorro neto para las Administraciones educativas sería de 1.542 millones de euros.</w:t>
      </w:r>
    </w:p>
    <w:p w:rsidR="00163957" w:rsidRDefault="00163957" w:rsidP="00163957">
      <w:pPr>
        <w:pStyle w:val="TextoNormal"/>
      </w:pPr>
    </w:p>
    <w:p w:rsidR="00163957" w:rsidRDefault="00163957" w:rsidP="00163957">
      <w:pPr>
        <w:pStyle w:val="TextoNormal"/>
      </w:pPr>
      <w:r>
        <w:t>En cualquier caso, la Abogada del Estado recuerda que es competencia exclusiva del Estado configurar el sistema general de becas y ayudas al estudio, con su cuantía, requisitos y criterios de compatibilidad (STC 188/2001, de 20 de septiembre). Esa competencia se ha ejercido mediante el Real Decreto 1721/2007, de 21 de diciembre, modificado en distintas ocasiones, que tiene carácter básico y condiciona las competencias normativas y ejecutivas de las Comunidades Autónomas en esta materia. Tanto el art. 40.1 como la disposición adicional primera del Real Decreto adoptan ya ese criterio de corresponsabilidad financiera, de manera que el Estado asume sólo la financiación del extremo inferior o necesario de las becas y ayudas al estudio, cuando el umbral de éstas se somete a un intervalo (anualmente, el Gobierno de la Nación aprueba un Real Decreto que especifica requisitos, condiciones socioeconómicas y otros factores de las becas para el siguiente curso académico, que pueden fijarse en forma de intervalo).</w:t>
      </w:r>
    </w:p>
    <w:p w:rsidR="00163957" w:rsidRDefault="00163957" w:rsidP="00163957">
      <w:pPr>
        <w:pStyle w:val="TextoNormal"/>
      </w:pPr>
    </w:p>
    <w:p w:rsidR="00163957" w:rsidRDefault="00163957" w:rsidP="00163957">
      <w:pPr>
        <w:pStyle w:val="TextoNormal"/>
      </w:pPr>
      <w:r>
        <w:t>Así, ese principio de repercusión sobre los presupuestos autonómicos de la insuficiencia de la compensación estatal a las universidades por exenciones de matrícula de estudiantes becados, se aplicó por la disposición adicional cuarta del Real Decreto 1000/2012, de 29 de junio, que estableció los umbrales de renta y patrimonio familiar, así como las cuantías de las becas y ayudas al estudio para el curso 2012/2013 (en concreto, el Estado asumió un coste de las becas equivalente al de los precios académicos del año anterior, incrementados en un 1 por 100). En definitiva, el Real Decreto-ley recurrido no pretende invadir la competencia de la Generalitat de Cataluña para la regulación y gestión de su sistema propio de becas y ayudas a la formación universitaria [art. 172.1 g) EAC], sino alcanzar un objetivo de política económica de contención del gasto (de acuerdo con el art. 149.1.13 CE) y garantizar a la vez a todos los beneficiarios de beca la exención de precios públicos por servicios académicos, cualesquiera que estos sean (de acuerdo con el art. 149.1.1 CE).</w:t>
      </w:r>
    </w:p>
    <w:p w:rsidR="00163957" w:rsidRDefault="00163957" w:rsidP="00163957">
      <w:pPr>
        <w:pStyle w:val="TextoNormal"/>
      </w:pPr>
    </w:p>
    <w:p w:rsidR="00163957" w:rsidRDefault="00163957" w:rsidP="00163957">
      <w:pPr>
        <w:pStyle w:val="TextoNormal"/>
      </w:pPr>
      <w:r>
        <w:t>Finalmente, se recuerda que el principio de autonomía financiera en relación con el gasto, que se invoca como vulnerado por la Generalitat de Cataluña por este punto del Real Decreto-ley (arts. 201 y 202 EAC), no tiene carácter absoluto. Son de aplicación los límites de la solidaridad entre todos los españoles (art. 138.1 CE) y la necesidad de coordinación con la hacienda estatal (art. 156.1 CE). De manera que, constitucionalmente, esa autonomía puede quedar afectada por decisiones de ordenación general de la economía adoptadas por el Estado, como la plasmada en el art. 7.1 del Real Decreto-ley 14/2012.</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El 2 de agosto de 2013 tuvo entrada en el Registro General de este Tribunal un escrito de la Generalitat de Cataluña de planteamiento de incidente de recusación contra el Presidente de este Tribunal, don Francisco Pérez de los Cobos Orihuel, que afecta a una serie de veinticuatro recursos de inconstitucionalidad y de conflictos positivos de competencia, incluyendo el presente recurso, en los que es parte el Gobierno de la Generalitat. El escrito de recusación invocaba la concurrencia de las causas 9 y 10 del art. 219 de la Ley Orgánica del Poder Judicial, en relación con el art. 80 LOTC, para pedir que se apartase al Presidente de participar en estos procesos. Mediante ATC 180/2013, de 17 de septiembre, se acordó la inadmisión a trámite de las recusaciones promovidas. Formulado recurso de súplica contra </w:t>
      </w:r>
      <w:r>
        <w:lastRenderedPageBreak/>
        <w:t>el anterior Auto por parte del Gobierno de la Generalitat de Cataluña, mediante escrito registrado ante este Tribunal el 27 de septiembre de 2013, el Pleno acordó su inadmisión a trámite en una providencia de 2 de octubre de 2013.</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26 de abril de 2016 se señaló para deliberación y votación de la presente sentencia el día 28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objeto del presente recurso de inconstitucionalidad, interpuesto por la Generalitat de Cataluña, es la impugnación de los arts. 3, 4, 6 (apartados 1, 3 y 4) y 7 del Real Decreto-ley 14/2012, de 20 de abril, de medidas urgentes de racionalización del gasto público en el ámbito educativo, que fue convalidado por el Congreso de los Diputados mediante Resolución de 17 de mayo de 2012 (“Boletín Oficial del Estado” núm. 125, del 25 de mayo de 2012). Por un lado, se aduce la infracción del art. 86.1 CE, tanto por no existir una situación de extraordinaria y urgente necesidad que justifique la aprobación de esas medidas mediante Real Decreto-ley del Gobierno de la Nación, como por negarse la relación de conexión de las mismas con esa situación excepcional. Por otro lado, se alega también la vulneración del orden constitucional de reparto de competencias y, más concretamente, la invasión de las asumidas por la Comunidad Autónoma de Cataluña en los arts. 131 y 172 de su Estatuto de Autonomía, aprobado por Ley Orgánica 6/2006, de 19 de julio (EAC), en materia de educación y universidades, incluyendo el empleo público docente, así como la lesión de la autonomía financiera de la Comunidad Autónoma, proclamada en el art. 156.1 CE y recogida en los arts. 201.2 y 202 EAC.</w:t>
      </w:r>
    </w:p>
    <w:p w:rsidR="00163957" w:rsidRDefault="00163957" w:rsidP="00163957">
      <w:pPr>
        <w:pStyle w:val="TextoNormal"/>
      </w:pPr>
    </w:p>
    <w:p w:rsidR="00163957" w:rsidRDefault="00163957" w:rsidP="00163957">
      <w:pPr>
        <w:pStyle w:val="TextoNormal"/>
      </w:pPr>
      <w:r>
        <w:t>Por su parte, la Abogada del Estado solicita la desestimación del recurso de inconstitucionalidad en su integridad, por considerar que existía en el momento de aprobarse el Real Decreto-ley una situación de grave crisis económica y de necesidad acuciante de corrección de un abultado déficit público, por lo que cada una de las medidas contenidas en la disposición legislativa de urgencia estaban orientadas a la consecución de un importante ahorro para las arcas públicas, estimado en más de 3.700 millones de euros entre todas ellas. Además, sostiene que todas las medidas han sido adoptadas en ejercicio de competencias de titularidad estatal (</w:t>
      </w:r>
      <w:r w:rsidRPr="00163957">
        <w:rPr>
          <w:i/>
        </w:rPr>
        <w:t>ex</w:t>
      </w:r>
      <w:r>
        <w:t xml:space="preserve"> art. 149.1.1, 13, 18 y 30 CE), sin invasión de las que corresponden a la Comunidad Autónoma de Cataluña.</w:t>
      </w:r>
    </w:p>
    <w:p w:rsidR="00163957" w:rsidRDefault="00163957" w:rsidP="00163957">
      <w:pPr>
        <w:pStyle w:val="TextoNormal"/>
      </w:pPr>
    </w:p>
    <w:p w:rsidR="00163957" w:rsidRDefault="00163957" w:rsidP="00163957">
      <w:pPr>
        <w:pStyle w:val="TextoNormal"/>
      </w:pPr>
      <w:r w:rsidRPr="00163957">
        <w:rPr>
          <w:rStyle w:val="NumeroAFNegritaCaracter"/>
        </w:rPr>
        <w:t>2</w:t>
      </w:r>
      <w:r>
        <w:t>. Para resolver el presente recurso de inconstitucionalidad, hemos de tener presente lo ya resuelto por este Tribunal en las recientes SSTC 26/2016, de 18 de febrero; 54/2016, de 17 de marzo y en la STC 67/2016, de 14 de abril.</w:t>
      </w:r>
    </w:p>
    <w:p w:rsidR="00163957" w:rsidRDefault="00163957" w:rsidP="00163957">
      <w:pPr>
        <w:pStyle w:val="TextoNormal"/>
      </w:pPr>
    </w:p>
    <w:p w:rsidR="00163957" w:rsidRDefault="00163957" w:rsidP="00163957">
      <w:pPr>
        <w:pStyle w:val="TextoNormal"/>
      </w:pPr>
      <w:r>
        <w:t xml:space="preserve">Así, debemos señalar, en primer lugar, que, en lo que atañe a la impugnación de los apartados 1 y 3 del art. 6, nuestra STC 26/2016, de 18 de febrero, dictada con ocasión de un recurso de inconstitucionalidad interpuesto por la Junta de Andalucía contra la misma disposición estatal (aunque respecto a un mayor número de preceptos), declaró la inconstitucionalidad y nulidad de los referidos apartados, matizando, no obstante, los efectos prospectivos de esa declaración en el caso del tercero de los apartados del art. 6, pues la declaración de inconstitucionalidad, en relación con el mismo, se consideró que sólo era eficaz “pro futuro, sin afectar a los supuestos en los que ya se haya aplicado este precepto para </w:t>
      </w:r>
      <w:r>
        <w:lastRenderedPageBreak/>
        <w:t>desarrollar conjuntamente enseñanzas conducentes a la obtención de títulos universitarios de carácter oficial” [FJ 10].</w:t>
      </w:r>
    </w:p>
    <w:p w:rsidR="00163957" w:rsidRDefault="00163957" w:rsidP="00163957">
      <w:pPr>
        <w:pStyle w:val="TextoNormal"/>
      </w:pPr>
    </w:p>
    <w:p w:rsidR="00163957" w:rsidRDefault="00163957" w:rsidP="00163957">
      <w:pPr>
        <w:pStyle w:val="TextoNormal"/>
      </w:pPr>
      <w:r>
        <w:t>Por consiguiente, una vez declarados inconstitucionales y nulos, los preceptos referidos han sido expulsados del ordenamiento, lo que determina que, conforme a una reiterada jurisprudencia de este Tribunal, debamos apreciar la desaparición parcial sobrevenida del objeto de la impugnación aquí planteada con respecto a los apartados 1 y 3 del artículo 6 del Real Decreto-ley 14/2012, de 20 de abril.</w:t>
      </w:r>
    </w:p>
    <w:p w:rsidR="00163957" w:rsidRDefault="00163957" w:rsidP="00163957">
      <w:pPr>
        <w:pStyle w:val="TextoNormal"/>
      </w:pPr>
    </w:p>
    <w:p w:rsidR="00163957" w:rsidRDefault="00163957" w:rsidP="00163957">
      <w:pPr>
        <w:pStyle w:val="TextoNormal"/>
      </w:pPr>
      <w:r w:rsidRPr="00163957">
        <w:rPr>
          <w:rStyle w:val="NumeroAFNegritaCaracter"/>
        </w:rPr>
        <w:t>3</w:t>
      </w:r>
      <w:r>
        <w:t>. En relación con la posible vulneración del art. 86.1 CE por parte del resto de preceptos impugnados del Real Decreto-ley 14/2012, de 20 de abril, la controversia ha quedado igualmente resuelta, en lo que se refiere a los artículos 3, 4 y 6, apartado 4, con la doctrina establecida en las Sentencias referidas en el fundamento jurídico anterior.</w:t>
      </w:r>
    </w:p>
    <w:p w:rsidR="00163957" w:rsidRDefault="00163957" w:rsidP="00163957">
      <w:pPr>
        <w:pStyle w:val="TextoNormal"/>
      </w:pPr>
    </w:p>
    <w:p w:rsidR="00163957" w:rsidRDefault="00163957" w:rsidP="00163957">
      <w:pPr>
        <w:pStyle w:val="TextoNormal"/>
      </w:pPr>
      <w:r>
        <w:t>a) Así ocurre respecto de los artículos 3 y 4 en la STC 67/2016, de 14 de abril.</w:t>
      </w:r>
    </w:p>
    <w:p w:rsidR="00163957" w:rsidRDefault="00163957" w:rsidP="00163957">
      <w:pPr>
        <w:pStyle w:val="TextoNormal"/>
      </w:pPr>
    </w:p>
    <w:p w:rsidR="00163957" w:rsidRDefault="00163957" w:rsidP="00163957">
      <w:pPr>
        <w:pStyle w:val="TextoNormal"/>
      </w:pPr>
      <w:r>
        <w:t>En esa resolución, luego de constatar que “el Gobierno ha justificado de manera suficiente, explícita, y razonada la concurrencia de una situación de extraordinaria y urgente necesidad justificativa del recurso a la legislación de urgencia”, abordamos el estudio de las medidas impugnadas y su conexión de sentido con dicha situación de urgencia y necesidad; y concluimos la existencia de tal conexión de sentido entre las concretas medidas adoptadas en los arts. 3 y 4 del Real Decreto-ley, así como de la situación de urgencia a la que se pretendía hacer frente con su normativa.</w:t>
      </w:r>
    </w:p>
    <w:p w:rsidR="00163957" w:rsidRDefault="00163957" w:rsidP="00163957">
      <w:pPr>
        <w:pStyle w:val="TextoNormal"/>
      </w:pPr>
    </w:p>
    <w:p w:rsidR="00163957" w:rsidRDefault="00163957" w:rsidP="00163957">
      <w:pPr>
        <w:pStyle w:val="TextoNormal"/>
      </w:pPr>
      <w:r>
        <w:t>En efecto, en la STC 67/2016, de 14 de abril, FJ 3, consideramos que “la regulación prevista en el art. 3 del Real Decreto-ley tiene como finalidad la contención de los gastos de personal docente, mediante la fijación de un mínimo de dedicación lectiva que pretende maximizar el aprovechamiento de los recursos de personal docente de los centros” y “el art. 4 del Real Decreto-ley, al prever la no cobertura de las bajas y ausencias breves de profesores mediante la contratación de personal interino, con el que no se deberán cargar los centros docentes, es una medida de contención de gasto para contribuir al objetivo conjunto de la reducción del déficit público”.</w:t>
      </w:r>
    </w:p>
    <w:p w:rsidR="00163957" w:rsidRDefault="00163957" w:rsidP="00163957">
      <w:pPr>
        <w:pStyle w:val="TextoNormal"/>
      </w:pPr>
    </w:p>
    <w:p w:rsidR="00163957" w:rsidRDefault="00163957" w:rsidP="00163957">
      <w:pPr>
        <w:pStyle w:val="TextoNormal"/>
      </w:pPr>
      <w:r>
        <w:t>Por tanto, en la STC 67/2016, de 14 de abril, consideramos que el Gobierno había justificado de manera suficiente, explícita, y razonada la concurrencia de una situación de extraordinaria y urgente necesidad, justificativa del recurso a la legislación de urgencia en relación con los arts. 3 y 4, por lo que debemos ahora desestimar la impugnación de tales preceptos apoyada en la ausencia del presupuesto de hecho habilitante.</w:t>
      </w:r>
    </w:p>
    <w:p w:rsidR="00163957" w:rsidRDefault="00163957" w:rsidP="00163957">
      <w:pPr>
        <w:pStyle w:val="TextoNormal"/>
      </w:pPr>
    </w:p>
    <w:p w:rsidR="00163957" w:rsidRDefault="00163957" w:rsidP="00163957">
      <w:pPr>
        <w:pStyle w:val="TextoNormal"/>
      </w:pPr>
      <w:r>
        <w:t>b) A igual conclusión llegamos en relación con el apartado 4 del artículo 6, pues en la STC 26/2016, de 18 de febrero, FJ 5 c), afirmamos que “en este caso la conexión de sentido entre la situación de urgencia definida y la medida adoptada puede considerarse cumplida. Con esta medida se pretende contribuir a la reducción del gasto público educativo de las Comunidades Autónomas, en el que uno de los principales componentes son los costes de personal de las universidades públicas, sufragados mediante transferencias corrientes de la Comunidad Autónoma de la que dependen. Así, la aplicación de las nuevas reglas de dedicación determinaría un incremento de la capacidad docente total de las plantillas de las universidades y, por consiguiente, reduciría las necesidades de profesorado de las mismas”.</w:t>
      </w:r>
    </w:p>
    <w:p w:rsidR="00163957" w:rsidRDefault="00163957" w:rsidP="00163957">
      <w:pPr>
        <w:pStyle w:val="TextoNormal"/>
      </w:pPr>
    </w:p>
    <w:p w:rsidR="00163957" w:rsidRDefault="00163957" w:rsidP="00163957">
      <w:pPr>
        <w:pStyle w:val="TextoNormal"/>
      </w:pPr>
      <w:r>
        <w:t>En la STC 67/2016, de 14 de abril, concluimos que el art. 6.4 del Real Decreto-ley 14/2012 no carece del necesario presupuesto habilitante del art. 86.1 CE para ser dictado, conclusión que nos debe igualmente llevar a la desestimación de la impugnación realizada por tal motivo.</w:t>
      </w:r>
    </w:p>
    <w:p w:rsidR="00163957" w:rsidRDefault="00163957" w:rsidP="00163957">
      <w:pPr>
        <w:pStyle w:val="TextoNormal"/>
      </w:pPr>
    </w:p>
    <w:p w:rsidR="00163957" w:rsidRDefault="00163957" w:rsidP="00163957">
      <w:pPr>
        <w:pStyle w:val="TextoNormal"/>
      </w:pPr>
      <w:r w:rsidRPr="00163957">
        <w:rPr>
          <w:rStyle w:val="NumeroAFNegritaCaracter"/>
        </w:rPr>
        <w:t>4</w:t>
      </w:r>
      <w:r>
        <w:t>. Decisión similar hemos de adoptar ahora en relación con el artículo 7 del Real Decreto-ley impugnado.</w:t>
      </w:r>
    </w:p>
    <w:p w:rsidR="00163957" w:rsidRDefault="00163957" w:rsidP="00163957">
      <w:pPr>
        <w:pStyle w:val="TextoNormal"/>
      </w:pPr>
    </w:p>
    <w:p w:rsidR="00163957" w:rsidRDefault="00163957" w:rsidP="00163957">
      <w:pPr>
        <w:pStyle w:val="TextoNormal"/>
      </w:pPr>
      <w:r>
        <w:t>En este caso, nos remitimos a la STC 26/2016, de 18 de febrero, FJ 3, en lo que se refiere a la constatación de que “el Gobierno ha justificado de manera suficiente, explícita, y razonada la concurrencia de una situación de extraordinaria y urgente necesidad justificativa del recurso a la legislación de urgencia”, abordando, a continuación, el estudio de la medida impugnada y su conexión de sentido con dicha situación de urgencia y necesidad.</w:t>
      </w:r>
    </w:p>
    <w:p w:rsidR="00163957" w:rsidRDefault="00163957" w:rsidP="00163957">
      <w:pPr>
        <w:pStyle w:val="TextoNormal"/>
      </w:pPr>
    </w:p>
    <w:p w:rsidR="00163957" w:rsidRDefault="00163957" w:rsidP="00163957">
      <w:pPr>
        <w:pStyle w:val="TextoNormal"/>
      </w:pPr>
      <w:r>
        <w:t>Como apreciamos en la STC 26/2016, de 18 de febrero, FJ 7, el art. 7 se refiere a una de las consecuencias de una medida adoptada previamente por el propio Real Decreto-ley, en su art. 6.5.2, que es introducir unas horquillas para la determinación en cada Comunidad Autónoma de los precios públicos universitarios correspondientes a las titulaciones oficiales impartidas en su territorio. Un posible aumento de precios públicos repercutirá sobre los usuarios de los servicios académicos prestados por las universidades públicas, pero también sobre las arcas públicas respecto a los estudiantes con beca, pues uno de sus componentes es el precio de matrícula de los estudios cursados.</w:t>
      </w:r>
    </w:p>
    <w:p w:rsidR="00163957" w:rsidRDefault="00163957" w:rsidP="00163957">
      <w:pPr>
        <w:pStyle w:val="TextoNormal"/>
      </w:pPr>
    </w:p>
    <w:p w:rsidR="00163957" w:rsidRDefault="00163957" w:rsidP="00163957">
      <w:pPr>
        <w:pStyle w:val="TextoNormal"/>
      </w:pPr>
      <w:r>
        <w:t>Hasta ahora, el Estado financiaba el coste del sistema general de becas y ayudas al estudio [art. 45.1 de la Ley Orgánica de universidades (LOU)], sin perjuicio de los programas complementarios específicos que pudiesen impulsar las Administraciones educativas e incluso las propias universidades (art. 45.4 LOU). El sentido del precepto impugnado, ahora que las Comunidades Autónomas pueden fijar en sus territorios los precios públicos universitarios dentro de unos umbrales de cierta amplitud, es hacerlas corresponsables de las decisiones que adopten, de manera que la elevación de los precios de matrícula conlleve la carga de hacer frente al incremento correspondiente del coste público de las becas. Los presupuestos generales del Estado cubrirán la parte de la matrícula correspondiente al límite inferior de la horquilla de precios aplicable, que es el coste mínimo obligatorio de los estudios (que se identifica por el art. 7.2 del Real Decreto-ley 14/2012 con los precios en vigor en el curso académico 2012-2013). Por tanto, los presupuestos de las Comunidades Autónomas deberán asumir la diferencia entre el precio mínimo obligatorio y el precio público final de los estudios oficiales de los becarios en cada Comunidad Autónoma.</w:t>
      </w:r>
    </w:p>
    <w:p w:rsidR="00163957" w:rsidRDefault="00163957" w:rsidP="00163957">
      <w:pPr>
        <w:pStyle w:val="TextoNormal"/>
      </w:pPr>
    </w:p>
    <w:p w:rsidR="00163957" w:rsidRDefault="00163957" w:rsidP="00163957">
      <w:pPr>
        <w:pStyle w:val="TextoNormal"/>
      </w:pPr>
      <w:r>
        <w:t xml:space="preserve">La Generalitat argumenta que el art. 7 del Real Decreto-ley 14/2012, no contiene una medida de ahorro, sino de gasto, al hacer pesar sobre las arcas autonómicas el aumento del coste de las matrículas de los estudiantes universitarios que disfrutan de becas. Pero ese argumento no elimina la relación de conexión de la medida adoptada con la situación de urgencia constatada, pues el aumento de costes que se alega es sencillamente un efecto asociado al aumento de los precios públicos universitarios en general que introduce también el Real Decreto-ley, el cual: primero, produce un impacto mucho mayor de aumento de ingresos públicos en su conjunto que el derivado del coste de las becas, dado que la mayoría de los estudiantes universitarios no son becarios; segundo, es una medida controlada por las </w:t>
      </w:r>
      <w:r>
        <w:lastRenderedPageBreak/>
        <w:t>propias Administraciones autonómicas, que tienen capacidad para fijar los precios de estos servicios, que, o bien pueden congelar su importe respecto a los vigentes al aprobarse el Real Decreto-ley 14/2012, como se deduce del apartado 2 del art. 7, o bien pueden aumentarlo dentro de la horquilla de precios que el nuevo art. 81.3 b) LOU establece; y tercero, en caso de subirse los precios y de crecer los recursos propios de las universidades públicas, se reducen las necesidades de apoyo financiero directo a las mismas, beneficiándose así la propia hacienda autonómica de esa medida. De manera que el art. 7 recurrido contiene una medida formalmente de gasto, pero asociada a un nuevo sistema de precios universitarios, que produce mayores ingresos públicos, bajo el control de las Comunidades Autónomas.</w:t>
      </w:r>
    </w:p>
    <w:p w:rsidR="00163957" w:rsidRDefault="00163957" w:rsidP="00163957">
      <w:pPr>
        <w:pStyle w:val="TextoNormal"/>
      </w:pPr>
    </w:p>
    <w:p w:rsidR="00163957" w:rsidRDefault="00163957" w:rsidP="00163957">
      <w:pPr>
        <w:pStyle w:val="TextoNormal"/>
      </w:pPr>
      <w:r>
        <w:t>En definitiva, al tiempo de aprobarse el Real Decreto-ley 14/2012 existía una situación económica de emergencia en el ajuste de las cuentas públicas al umbral máximo de déficit permitido y la medida contenida en el art. 7 del Real Decreto-ley permitía que la misma pudiese tener impacto en los siguientes presupuestos públicos educativos a aprobar, y por tanto en el logro de la consolidación fiscal que se consideraba clave para salir de la crisis económica. En consecuencia, debemos desestimar la impugnación del art. 7 del Real Decreto-ley por falta del presupuesto jurídico habilitante para su adopción que se alegaba por la Generalitat.</w:t>
      </w:r>
    </w:p>
    <w:p w:rsidR="00163957" w:rsidRDefault="00163957" w:rsidP="00163957">
      <w:pPr>
        <w:pStyle w:val="TextoNormal"/>
      </w:pPr>
    </w:p>
    <w:p w:rsidR="00163957" w:rsidRDefault="00163957" w:rsidP="00163957">
      <w:pPr>
        <w:pStyle w:val="TextoNormal"/>
      </w:pPr>
      <w:r w:rsidRPr="00163957">
        <w:rPr>
          <w:rStyle w:val="NumeroAFNegritaCaracter"/>
        </w:rPr>
        <w:t>5</w:t>
      </w:r>
      <w:r>
        <w:t>. Una vez resuelta la cuestión relativa al empleo por el Gobierno del procedimiento legislativo de urgencia, es preciso referirse, a continuación, a las alegaciones relacionadas con la falta de competencia estatal para establecer las disposiciones contenidas en los arts. 3, 4 y 6.4 del Real Decreto-ley 14/2012; más concretamente al alegado exceso en la fijación de las bases que corresponde establecer al Estado en materia de legislación compartida, no sin antes advertir que dejaremos para el fundamento jurídico siguiente el análisis del art. 7 y su compatibilidad con la autonomía financiera de las Comunidades Autónomas.</w:t>
      </w:r>
    </w:p>
    <w:p w:rsidR="00163957" w:rsidRDefault="00163957" w:rsidP="00163957">
      <w:pPr>
        <w:pStyle w:val="TextoNormal"/>
      </w:pPr>
    </w:p>
    <w:p w:rsidR="00163957" w:rsidRDefault="00163957" w:rsidP="00163957">
      <w:pPr>
        <w:pStyle w:val="TextoNormal"/>
      </w:pPr>
      <w:r>
        <w:t>La controversia referida a los arts. 3, 4 y 6.4 del Real Decreto-ley 14/2012 ha quedado ya resuelta en la STC 26/2016, de 18 de febrero —cuya doctrina ha sido reiterada en la STC 54/2016, de 17 de marzo—, que ha afirmado la competencia estatal para la regulación recogida en los preceptos impugnados en este proceso, en atención a los razonamientos que, siendo aplicables en su integridad, se exponen ahora en síntesis.</w:t>
      </w:r>
    </w:p>
    <w:p w:rsidR="00163957" w:rsidRDefault="00163957" w:rsidP="00163957">
      <w:pPr>
        <w:pStyle w:val="TextoNormal"/>
      </w:pPr>
    </w:p>
    <w:p w:rsidR="00163957" w:rsidRDefault="00163957" w:rsidP="00163957">
      <w:pPr>
        <w:pStyle w:val="TextoNormal"/>
      </w:pPr>
      <w:r>
        <w:t>a) En el fundamento jurídico 6 a) de la STC 26/2016, de 18 de febrero, señalamos que las medidas introducidas en los arts. 3 y 4 del Real Decreto-ley 14/2012 son cuestiones que afectan a la ordenación del servicio público educativo, por lo que su concreto contenido material está relacionado con la educación. Por tanto, los títulos competenciales estatales a considerar son el art. 149.1.30 CE y, complementariamente, el art. 149.1.18 CE, en lo que respecta a la función pública docente. Estos son los títulos que resultan aplicables por ser más específicos que los que, con carácter más genérico, recogen el art. 149.1.1 y 13 CE.</w:t>
      </w:r>
    </w:p>
    <w:p w:rsidR="00163957" w:rsidRDefault="00163957" w:rsidP="00163957">
      <w:pPr>
        <w:pStyle w:val="TextoNormal"/>
      </w:pPr>
    </w:p>
    <w:p w:rsidR="00163957" w:rsidRDefault="00163957" w:rsidP="00163957">
      <w:pPr>
        <w:pStyle w:val="TextoNormal"/>
      </w:pPr>
      <w:r>
        <w:t>b) El fundamento jurídico 6 b) de la STC 26/2016, de 18 de febrero, aborda el examen del art. 3 del Real Decreto-ley 14/2012, cuyo objetivo es fijar un número mínimo de horas de dedicación lectiva del personal docente. Tal precepto persigue garantizar el derecho a la educación en su dimensión prestacional y fija un criterio de coordinación que el Estado puede establecer en ejercicio de sus competencias básicas en materia de educación.</w:t>
      </w:r>
    </w:p>
    <w:p w:rsidR="00163957" w:rsidRDefault="00163957" w:rsidP="00163957">
      <w:pPr>
        <w:pStyle w:val="TextoNormal"/>
      </w:pPr>
    </w:p>
    <w:p w:rsidR="00163957" w:rsidRDefault="00163957" w:rsidP="00163957">
      <w:pPr>
        <w:pStyle w:val="TextoNormal"/>
      </w:pPr>
      <w:r>
        <w:lastRenderedPageBreak/>
        <w:t>De acuerdo con la doctrina de este Tribunal, una de las previsiones básicas dirigidas a definir y hacer efectivo el nivel prestacional financiado con fondos públicos en el ámbito de la enseñanza es la determinación cuantitativa de las horas lectivas que debe impartir el personal docente. El carácter único del sistema educativo en todo el territorio nacional puede reclamar, al tratarse de centros sostenidos con fondos públicos, un tratamiento mínimamente homogéneo del ejercicio de la tarea docente dentro de la jornada laboral del profesorado, medida que tiene por finalidad garantizar el cumplimiento de las obligaciones de los poderes públicos en materia de educación, que han de desarrollarse en el marco básico que establezca el Estado. Supone así un mínimo común denominador normativo en materia de programación docente, que, además, garantiza una continuidad en el proceso de aprendizaje de los alumnos, proceso para el que el régimen de dedicación del profesorado no resulta inocuo o indiferente.</w:t>
      </w:r>
    </w:p>
    <w:p w:rsidR="00163957" w:rsidRDefault="00163957" w:rsidP="00163957">
      <w:pPr>
        <w:pStyle w:val="TextoNormal"/>
      </w:pPr>
    </w:p>
    <w:p w:rsidR="00163957" w:rsidRDefault="00163957" w:rsidP="00163957">
      <w:pPr>
        <w:pStyle w:val="TextoNormal"/>
      </w:pPr>
      <w:r>
        <w:t xml:space="preserve">Para el caso específico de los profesores con la condición de funcionarios públicos, este Tribunal afirmó que el legislador estatal se encuentra además legitimado para dictar la previsión controvertida en virtud del título competencial </w:t>
      </w:r>
      <w:r w:rsidRPr="00163957">
        <w:rPr>
          <w:i/>
        </w:rPr>
        <w:t>ex</w:t>
      </w:r>
      <w:r>
        <w:t xml:space="preserve"> art. 149.1.18 CE. Las bases del régimen estatutario de los funcionarios públicos incluyen, en principio, la normación relativa a los derechos y deberes de los funcionarios y no cabe duda de que la fijación de la jornada de trabajo constituye una previsión integrada en esta esfera. La determinación de la parte lectiva de la jornada del personal docente, incluido el aspecto relativo a la compensación con horas complementarias, con carácter básico, se justifica porque con ello se logra una mínima y fundamental homogeneidad en un aspecto sustancial de su régimen funcionarial, máxime si se trata de funcionarios de ámbito estatal que pueden prestar servicio en cualquier parte del sistema educativo.</w:t>
      </w:r>
    </w:p>
    <w:p w:rsidR="00163957" w:rsidRDefault="00163957" w:rsidP="00163957">
      <w:pPr>
        <w:pStyle w:val="TextoNormal"/>
      </w:pPr>
    </w:p>
    <w:p w:rsidR="00163957" w:rsidRDefault="00163957" w:rsidP="00163957">
      <w:pPr>
        <w:pStyle w:val="TextoNormal"/>
      </w:pPr>
      <w:r>
        <w:t>Por último, el carácter mínimo de la regla establecida (o de máximo, en el caso de las horas complementarias con que se compensa el posible exceso lectivo), así como el margen de organización y concreción del total de la dedicación del profesor, cuya carga lectiva podría incluso aumentarse, permitió apreciar al Tribunal que el precepto cuestionado no cierra a las Comunidades Autónomas toda posibilidad de desarrollo y aplicación de la normativa básica sobre la materia.</w:t>
      </w:r>
    </w:p>
    <w:p w:rsidR="00163957" w:rsidRDefault="00163957" w:rsidP="00163957">
      <w:pPr>
        <w:pStyle w:val="TextoNormal"/>
      </w:pPr>
    </w:p>
    <w:p w:rsidR="00163957" w:rsidRDefault="00163957" w:rsidP="00163957">
      <w:pPr>
        <w:pStyle w:val="TextoNormal"/>
      </w:pPr>
      <w:r>
        <w:t>Por todo lo anterior, debemos desestimar la impugnación del art. 3 del Real Decreto-ley 14/2012.</w:t>
      </w:r>
    </w:p>
    <w:p w:rsidR="00163957" w:rsidRDefault="00163957" w:rsidP="00163957">
      <w:pPr>
        <w:pStyle w:val="TextoNormal"/>
      </w:pPr>
    </w:p>
    <w:p w:rsidR="00163957" w:rsidRDefault="00163957" w:rsidP="00163957">
      <w:pPr>
        <w:pStyle w:val="TextoNormal"/>
      </w:pPr>
      <w:r>
        <w:t>c) El fundamento jurídico 6 c) de la STC 26/2016, de 18 de febrero, trata del art. 4 del Real Decreto-ley 14/2012, que introduce una limitación temporal para el nombramiento de profesores interinos para la sustitución transitoria de profesores, que sólo será aplicable en caso de ausencias superiores a diez días lectivos.</w:t>
      </w:r>
    </w:p>
    <w:p w:rsidR="00163957" w:rsidRDefault="00163957" w:rsidP="00163957">
      <w:pPr>
        <w:pStyle w:val="TextoNormal"/>
      </w:pPr>
    </w:p>
    <w:p w:rsidR="00163957" w:rsidRDefault="00163957" w:rsidP="00163957">
      <w:pPr>
        <w:pStyle w:val="TextoNormal"/>
      </w:pPr>
      <w:r>
        <w:t xml:space="preserve">En tanto que relativa a situaciones de vacío temporal en la impartición de docencia, la norma se incardina de acuerdo con la doctrina de este Tribunal en el art. 149.1.30 CE, dado que persigue garantizar una mínima homogeneidad en el proceso de sustitución del profesorado a través del establecimiento de una regla básica relativa a los medios humanos disponibles, a efectos de determinar y hacer efectivo el nivel prestacional de la enseñanza financiado con fondos públicos. Es cierto que se reducen las atribuciones que correspondían a la Comunidad Autónoma, pero no se vacían de contenido, puesto que, respetando ese </w:t>
      </w:r>
      <w:r>
        <w:lastRenderedPageBreak/>
        <w:t>límite, puede seguir regulando las sustituciones de profesores. Es posible un cierto desarrollo por parte de las Administraciones educativas, pues puede entenderse que se trata de un plazo mínimo, que no puede ser reducido por las Administraciones educativas, y no se regula el resto de cuestiones que afectan al régimen de sustitución.</w:t>
      </w:r>
    </w:p>
    <w:p w:rsidR="00163957" w:rsidRDefault="00163957" w:rsidP="00163957">
      <w:pPr>
        <w:pStyle w:val="TextoNormal"/>
      </w:pPr>
    </w:p>
    <w:p w:rsidR="00163957" w:rsidRDefault="00163957" w:rsidP="00163957">
      <w:pPr>
        <w:pStyle w:val="TextoNormal"/>
      </w:pPr>
      <w:r>
        <w:t>Por lo anterior, debemos desestimar la impugnación del art. 4 del Real Decreto-ley 14/2012.</w:t>
      </w:r>
    </w:p>
    <w:p w:rsidR="00163957" w:rsidRDefault="00163957" w:rsidP="00163957">
      <w:pPr>
        <w:pStyle w:val="TextoNormal"/>
      </w:pPr>
    </w:p>
    <w:p w:rsidR="00163957" w:rsidRDefault="00163957" w:rsidP="00163957">
      <w:pPr>
        <w:pStyle w:val="TextoNormal"/>
      </w:pPr>
      <w:r>
        <w:t>d) El fundamento jurídico 6 d) de la STC 26/2016, de 18 de febrero, se refiere al art. 6.4 del Real Decreto-ley 14/2012, que introduce un régimen de dedicación docente de los profesores universitarios que tengan la condición de funcionarios públicos, cuya extensión está en función de los méritos de investigación de cada docente.</w:t>
      </w:r>
    </w:p>
    <w:p w:rsidR="00163957" w:rsidRDefault="00163957" w:rsidP="00163957">
      <w:pPr>
        <w:pStyle w:val="TextoNormal"/>
      </w:pPr>
    </w:p>
    <w:p w:rsidR="00163957" w:rsidRDefault="00163957" w:rsidP="00163957">
      <w:pPr>
        <w:pStyle w:val="TextoNormal"/>
      </w:pPr>
      <w:r>
        <w:t>Con relación al contenido del precepto —referido al personal docente e investigador funcionario de las universidades—, este Tribunal indicó que, sin perjuicio de su conexión con el art. 149.1.30 CE —por su posible repercusión en la configuración del sistema educativo en sí—, el título competencial prevalente que el Estado puede esgrimir para dictar esta regulación es el contenido en el art. 149.1.18 CE.</w:t>
      </w:r>
    </w:p>
    <w:p w:rsidR="00163957" w:rsidRDefault="00163957" w:rsidP="00163957">
      <w:pPr>
        <w:pStyle w:val="TextoNormal"/>
      </w:pPr>
    </w:p>
    <w:p w:rsidR="00163957" w:rsidRDefault="00163957" w:rsidP="00163957">
      <w:pPr>
        <w:pStyle w:val="TextoNormal"/>
      </w:pPr>
      <w:r>
        <w:t>Este Tribunal ha señalado que el Estado tiene competencia para establecer la regulación controvertida en una materia que no se rige estrictamente por las reglas de reparto entre bases y desarrollo, propias de otros sectores (SSTC 235/1991, de 12 de diciembre, FJ 2, y 131/1996, de 11 de julio, FJ 7), debido a la peculiar condición de los funcionarios docentes universitarios. En efecto, los catedráticos y profesores titulares no son empleados públicos de las Comunidades Autónomas, sino que pertenecen a cuerpos de ámbito estatal, por lo que “el desarrollo de las bases del régimen funcionarial -al que, sin duda, pertenece el régimen de dedicación del profesorado universitario- no corresponde a la Comunidad Autónoma” (SSTC 235/1991, de 12 de diciembre, FJ 4 y 176/2015, de 22 de julio, FJ 5).</w:t>
      </w:r>
    </w:p>
    <w:p w:rsidR="00163957" w:rsidRDefault="00163957" w:rsidP="00163957">
      <w:pPr>
        <w:pStyle w:val="TextoNormal"/>
      </w:pPr>
    </w:p>
    <w:p w:rsidR="00163957" w:rsidRDefault="00163957" w:rsidP="00163957">
      <w:pPr>
        <w:pStyle w:val="TextoNormal"/>
      </w:pPr>
      <w:r>
        <w:t>Por todo lo anterior, debemos desestimar la impugnación del art. 6.4 del Real Decreto-ley 14/2012.</w:t>
      </w:r>
    </w:p>
    <w:p w:rsidR="00163957" w:rsidRDefault="00163957" w:rsidP="00163957">
      <w:pPr>
        <w:pStyle w:val="TextoNormal"/>
      </w:pPr>
    </w:p>
    <w:p w:rsidR="00163957" w:rsidRDefault="00163957" w:rsidP="00163957">
      <w:pPr>
        <w:pStyle w:val="TextoNormal"/>
      </w:pPr>
      <w:r w:rsidRPr="00163957">
        <w:rPr>
          <w:rStyle w:val="NumeroAFNegritaCaracter"/>
        </w:rPr>
        <w:t>6</w:t>
      </w:r>
      <w:r>
        <w:t>. Por último, la Generalitat de Cataluña cuestiona también la competencia del Estado para dictar el art. 7 del Real Decreto-ley 14/2012, al que se reprocha la vulneración de la autonomía financiera de la Comunidad Autónoma, proclamada en el art. 156 CE, en la medida en que altera el criterio tradicional de cobertura íntegra por parte del Estado de las becas generales y ayudas al estudio.</w:t>
      </w:r>
    </w:p>
    <w:p w:rsidR="00163957" w:rsidRDefault="00163957" w:rsidP="00163957">
      <w:pPr>
        <w:pStyle w:val="TextoNormal"/>
      </w:pPr>
    </w:p>
    <w:p w:rsidR="00163957" w:rsidRDefault="00163957" w:rsidP="00163957">
      <w:pPr>
        <w:pStyle w:val="TextoNormal"/>
      </w:pPr>
      <w:r>
        <w:t xml:space="preserve">Esta controversia ha quedado igualmente resuelta en la STC 26/2016, de 18 de febrero, cuya fundamento jurídico 7 aborda el examen del art. 7.1 del Real Decreto-ley 14/2012 subrayando que “el legislador estatal de urgencia ha adoptado una medida que, afectando sin duda a la autonomía financiera de las CCAA, no produce una injerencia inconstitucional. Y ello por dos razones interconectadas. Primero, porque queda en manos de la propia Comunidad Autónoma la adopción de la medida de impacto en sus presupuestos públicos. En efecto, la obligación de cubrir el coste adicional de las becas por aumento del precio de la matrícula obedece a una decisión previa de la Comunidad Autónoma de elevar los precios públicos universitarios, dentro de las horquillas legales que permite el art. 81.3 b) LOU. Además, esta carga se circunscribe sólo al incremento que se establezca sobre el precio </w:t>
      </w:r>
      <w:r>
        <w:lastRenderedPageBreak/>
        <w:t>mínimo posible de los créditos ECTS, que es el que cubre la Administración General del Estado. Segundo, resulta que desde un punto de vista global el impacto de esta medida en los presupuestos autonómicos puede llegar a ser positivo, al ser compensado con creces por el incremento general de los precios públicos de los estudios oficiales. Aunque ese incremento sea percibido directamente por las universidades correspondientes, esas cantidades permiten al final disminuir las transferencias de capital con que las Comunidades Autónomas financian anualmente su sistema universitario público”.</w:t>
      </w:r>
    </w:p>
    <w:p w:rsidR="00163957" w:rsidRDefault="00163957" w:rsidP="00163957">
      <w:pPr>
        <w:pStyle w:val="TextoNormal"/>
      </w:pPr>
    </w:p>
    <w:p w:rsidR="00163957" w:rsidRDefault="00163957" w:rsidP="00163957">
      <w:pPr>
        <w:pStyle w:val="TextoNormal"/>
      </w:pPr>
      <w:r>
        <w:t>Por tanto, el art. 7 del Real Decreto-ley 14/2012 es una medida de corresponsabilidad entre Administraciones públicas, que el Estado introduce como coordinador de las haciendas públicas (art. 156.1 CE), en una materia, como la regulación de las becas y ayudas al estudio, en la que el Estado ostenta indiscutibles competencias (por todas, STC 25/2015, de 19 de febrero, FJ 3).</w:t>
      </w:r>
    </w:p>
    <w:p w:rsidR="00163957" w:rsidRDefault="00163957" w:rsidP="00163957">
      <w:pPr>
        <w:pStyle w:val="TextoNormal"/>
      </w:pPr>
    </w:p>
    <w:p w:rsidR="00163957" w:rsidRDefault="00163957" w:rsidP="00163957">
      <w:pPr>
        <w:pStyle w:val="TextoNormal"/>
      </w:pPr>
      <w:r>
        <w:t>Debemos desestimar la impugnación del art. 7 del Real Decreto-ley 14/2012.</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Declarar que ha perdido objeto la impugnación de los apartados 1 y 3 del art. 6 del Real Decreto-ley 14/2012.</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veintiocho de abril de dos mil dieciséis.</w:t>
      </w:r>
    </w:p>
    <w:p w:rsidR="00163957" w:rsidRDefault="00163957" w:rsidP="00163957">
      <w:pPr>
        <w:pStyle w:val="ParrafoNormal"/>
      </w:pPr>
    </w:p>
    <w:p w:rsidR="00163957" w:rsidRDefault="00163957" w:rsidP="00163957">
      <w:pPr>
        <w:pStyle w:val="TextoNormalNegritaCentrado"/>
        <w:keepNext/>
      </w:pPr>
      <w:r>
        <w:t>Voto particular que formulan la Magistrada doña Adela Asua Batarrita y el Magistrado don Fernando Valdés Dal-Ré a la Sentencia dictada en el recurso de inconstitucionalidad núm. 301-3013.</w:t>
      </w:r>
    </w:p>
    <w:p w:rsidR="00163957" w:rsidRDefault="00163957" w:rsidP="00163957">
      <w:pPr>
        <w:pStyle w:val="TextoNormalNegritaCentrado"/>
        <w:keepNext/>
      </w:pPr>
    </w:p>
    <w:p w:rsidR="00163957" w:rsidRDefault="00163957" w:rsidP="00163957">
      <w:pPr>
        <w:pStyle w:val="TextoNormal"/>
      </w:pPr>
      <w:r>
        <w:t>En ejercicio de la facultad que nos confiere el art. 90.2 de la Ley Orgánica del Tribunal Constitucional, y con absoluto respeto a la opinión expresada por la mayoría del Pleno, expresamos nuestra discrepancia con la argumentación y el fallo de esta Sentencia en lo que respecta a los arts. 3 y 4 del Real Decreto-ley 14/2012, de 20 de abril, de medidas urgentes de racionalización del gasto público en el ámbito educativo.</w:t>
      </w:r>
    </w:p>
    <w:p w:rsidR="00163957" w:rsidRDefault="00163957" w:rsidP="00163957">
      <w:pPr>
        <w:pStyle w:val="TextoNormal"/>
      </w:pPr>
    </w:p>
    <w:p w:rsidR="00163957" w:rsidRDefault="00163957" w:rsidP="00163957">
      <w:pPr>
        <w:pStyle w:val="TextoNormal"/>
      </w:pPr>
      <w:r>
        <w:t>Las razones por las que entendemos que debió estimarse esta parte del recurso de inconstitucionalidad quedaron expuestas en los apartados 1 y 2 del Voto particular que formulamos a la STC 26/2016, de 18 de febrero, al que ahora nos remitimos en su integridad. En lo que concierne al art. 6.4, manifestamos entonces nuestra opinión sobre su inconstitucionalidad, si bien desde una perspectiva distinta a la planteada en este recurso, la vulneración del contenido esencial del derecho fundamental a la autonomía universitaria (art. 27.10 CE).</w:t>
      </w:r>
    </w:p>
    <w:p w:rsidR="00163957" w:rsidRDefault="00163957" w:rsidP="00163957">
      <w:pPr>
        <w:pStyle w:val="TextoNormal"/>
      </w:pPr>
    </w:p>
    <w:p w:rsidR="00163957" w:rsidRDefault="00163957" w:rsidP="00163957">
      <w:pPr>
        <w:pStyle w:val="TextoNormal"/>
      </w:pPr>
      <w:r>
        <w:t>Y en tal sentido emitimos este Voto particular.</w:t>
      </w:r>
    </w:p>
    <w:p w:rsidR="00163957" w:rsidRDefault="00163957" w:rsidP="00163957">
      <w:pPr>
        <w:pStyle w:val="TextoNormal"/>
      </w:pPr>
    </w:p>
    <w:p w:rsidR="00163957" w:rsidRDefault="00163957" w:rsidP="00163957">
      <w:pPr>
        <w:pStyle w:val="TextoNormal"/>
      </w:pPr>
      <w:r>
        <w:t>Madrid, a veintiocho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88" w:name="SENTENCIA_2016_85"/>
      <w:r>
        <w:lastRenderedPageBreak/>
        <w:t>SENTENCIA 85/2016, de 28 de abril de 2016</w:t>
      </w:r>
    </w:p>
    <w:bookmarkEnd w:id="88"/>
    <w:p w:rsidR="00163957" w:rsidRDefault="00163957" w:rsidP="00163957">
      <w:pPr>
        <w:pStyle w:val="TtuloResolucin"/>
      </w:pPr>
      <w:r>
        <w:t>Pleno</w:t>
      </w:r>
    </w:p>
    <w:p w:rsidR="00163957" w:rsidRDefault="00163957" w:rsidP="00163957">
      <w:pPr>
        <w:pStyle w:val="TtuloBOE"/>
      </w:pPr>
      <w:r>
        <w:t>(BOE núm. 131, de 31 de mayo de 2016)</w:t>
      </w:r>
    </w:p>
    <w:p w:rsidR="00163957" w:rsidRDefault="00163957" w:rsidP="00163957">
      <w:pPr>
        <w:pStyle w:val="TextoNormalCentrado"/>
      </w:pPr>
      <w:r>
        <w:t>ECLI:ES:TC:2016:85</w:t>
      </w:r>
    </w:p>
    <w:p w:rsidR="00163957" w:rsidRDefault="00163957" w:rsidP="00163957">
      <w:pPr>
        <w:pStyle w:val="TextoNormalCentrado"/>
      </w:pPr>
    </w:p>
    <w:p w:rsidR="00163957" w:rsidRDefault="00163957" w:rsidP="00163957">
      <w:pPr>
        <w:pStyle w:val="SntesisDescriptiva"/>
      </w:pPr>
      <w:r>
        <w:t>Recurso de inconstitucionalidad 7774-2014. Interpuesto por el Gobierno de la Comunidad Autónoma de Canarias en relación con diversos preceptos de la Ley 2/2014, de 25 de marzo, de la acción y del servicio exterior del Estado.</w:t>
      </w:r>
    </w:p>
    <w:p w:rsidR="00163957" w:rsidRDefault="00163957" w:rsidP="00163957">
      <w:pPr>
        <w:pStyle w:val="SntesisDescriptiva"/>
      </w:pPr>
    </w:p>
    <w:p w:rsidR="00163957" w:rsidRDefault="00163957" w:rsidP="00163957">
      <w:pPr>
        <w:pStyle w:val="SntesisAnaltica"/>
      </w:pPr>
      <w:r>
        <w:t>Competencias sobre relaciones internacionales: constitucionalidad de los preceptos legales relativos a los principios rectores, sujetos, ámbitos y planificación, seguimiento y coordinación de la acción exterior (STC 165/1994). Voto particular.</w:t>
      </w:r>
    </w:p>
    <w:p w:rsidR="00163957" w:rsidRDefault="00163957" w:rsidP="00163957">
      <w:pPr>
        <w:pStyle w:val="SntesisAnaltica"/>
      </w:pPr>
    </w:p>
    <w:p w:rsidR="00163957" w:rsidRDefault="00163957" w:rsidP="00163957">
      <w:pPr>
        <w:pStyle w:val="Extracto"/>
      </w:pPr>
      <w:r>
        <w:t>1.</w:t>
      </w:r>
      <w:r>
        <w:tab/>
        <w:t>El establecimiento por el Estado de directrices, fines y objetivos de la política exterior resulta compatible con las competencias asumidas por las Comunidades Autónomas en sus respectivos territorios, incluso partiendo de la base de su eventual proyección exterior [FJ 4].</w:t>
      </w:r>
    </w:p>
    <w:p w:rsidR="00163957" w:rsidRDefault="00163957" w:rsidP="00163957">
      <w:pPr>
        <w:pStyle w:val="Extracto"/>
      </w:pPr>
    </w:p>
    <w:p w:rsidR="00163957" w:rsidRDefault="00163957" w:rsidP="00163957">
      <w:pPr>
        <w:pStyle w:val="Extracto"/>
      </w:pPr>
      <w:r>
        <w:t>2.</w:t>
      </w:r>
      <w:r>
        <w:tab/>
        <w:t>Las Comunidades Autónomas pueden actuar en el exterior, aunque de forma coordinada y sujetándose a la dirección del Estado, a fin de garantizar que se preservan los objetivos de la política exterior del Gobierno [FJ 4].</w:t>
      </w:r>
    </w:p>
    <w:p w:rsidR="00163957" w:rsidRDefault="00163957" w:rsidP="00163957">
      <w:pPr>
        <w:pStyle w:val="Extracto"/>
      </w:pPr>
    </w:p>
    <w:p w:rsidR="00163957" w:rsidRDefault="00163957" w:rsidP="00163957">
      <w:pPr>
        <w:pStyle w:val="Extracto"/>
      </w:pPr>
      <w:r>
        <w:t>3.</w:t>
      </w:r>
      <w:r>
        <w:tab/>
        <w:t>El establecimiento de “directrices, fines y objetivos” que, en cuanto tales, deben ser seguidos por los sujetos coordinados, resulta propio de la competencia de ordenación y coordinación que, como director de la política exterior del Estado, incumbe al Gobierno en esta materia [FJ 4].</w:t>
      </w:r>
    </w:p>
    <w:p w:rsidR="00163957" w:rsidRDefault="00163957" w:rsidP="00163957">
      <w:pPr>
        <w:pStyle w:val="Extracto"/>
      </w:pPr>
    </w:p>
    <w:p w:rsidR="00163957" w:rsidRDefault="00163957" w:rsidP="00163957">
      <w:pPr>
        <w:pStyle w:val="Extracto"/>
      </w:pPr>
      <w:r>
        <w:t>4.</w:t>
      </w:r>
      <w:r>
        <w:tab/>
        <w:t>El principio de unidad de acción en el exterior y la fijación de directrices, fines y objetivos en este ámbito, responden a la naturaleza misma de la política exterior y de las relaciones internacionales que requieren una actuación no fragmentada, común y coordinadora, dirigida por el Estado en cuanto titular de la representatividad de nuestro país a nivel internacional [FJ 4].</w:t>
      </w:r>
    </w:p>
    <w:p w:rsidR="00163957" w:rsidRDefault="00163957" w:rsidP="00163957">
      <w:pPr>
        <w:pStyle w:val="Extracto"/>
      </w:pPr>
    </w:p>
    <w:p w:rsidR="00163957" w:rsidRDefault="00163957" w:rsidP="00163957">
      <w:pPr>
        <w:pStyle w:val="Extracto"/>
      </w:pPr>
      <w:r>
        <w:t>5.</w:t>
      </w:r>
      <w:r>
        <w:tab/>
        <w:t>En el art. 149.1.3 CE se integran no solo las facultades clásicas que el Derecho internacional reconoce a los Estados, sino también una potestad más amplia de “dirección y puesta en ejecución de la política exterior” entendida como estrategia, posicionamiento y actuación del Estado en el ámbito internacional para defender los intereses y valores de España [FJ 4].</w:t>
      </w:r>
    </w:p>
    <w:p w:rsidR="00163957" w:rsidRDefault="00163957" w:rsidP="00163957">
      <w:pPr>
        <w:pStyle w:val="Extracto"/>
      </w:pPr>
    </w:p>
    <w:p w:rsidR="00163957" w:rsidRDefault="00163957" w:rsidP="00163957">
      <w:pPr>
        <w:pStyle w:val="Extracto"/>
      </w:pPr>
      <w:r>
        <w:t>6.</w:t>
      </w:r>
      <w:r>
        <w:tab/>
        <w:t>Doctrina sobre las actividades de las Comunidades Autónomas con proyección exterior y el alcance de la competencia estatal en relaciones internacionales (SSTC 165/1994, 31/2010, 118/2011, 138/2011) [FFJJ 3, 4].</w:t>
      </w:r>
    </w:p>
    <w:p w:rsidR="00163957" w:rsidRDefault="00163957" w:rsidP="00163957">
      <w:pPr>
        <w:pStyle w:val="Extracto"/>
      </w:pPr>
    </w:p>
    <w:p w:rsidR="00163957" w:rsidRDefault="00163957" w:rsidP="00163957">
      <w:pPr>
        <w:pStyle w:val="Extracto"/>
      </w:pPr>
      <w:r>
        <w:t>7.</w:t>
      </w:r>
      <w:r>
        <w:tab/>
        <w:t>La obligación de informar al Estado de las actuaciones con proyección exterior se justifica porque supone un instrumento de colaboración, en aplicación del principio de lealtad institucional entre las diversas Administraciones y órganos públicos, en un Estado de estructura compuesta que comporta el deber de respeto de las competencias mutuas [FJ 5].</w:t>
      </w:r>
    </w:p>
    <w:p w:rsidR="00163957" w:rsidRDefault="00163957" w:rsidP="00163957">
      <w:pPr>
        <w:pStyle w:val="Extracto"/>
      </w:pPr>
    </w:p>
    <w:p w:rsidR="00163957" w:rsidRDefault="00163957" w:rsidP="00163957">
      <w:pPr>
        <w:pStyle w:val="Extracto"/>
      </w:pPr>
      <w:r>
        <w:t>8.</w:t>
      </w:r>
      <w:r>
        <w:tab/>
        <w:t>Un elemento esencial de la actividad de ordenación y coordinación de las actividades con proyección exterior de las Comunidades Autónomas, que se ha reconocido al Estado, consiste en la recepción de la información previa sobre la existencia misma de dichas actuaciones, a fin de poder coordinarlas [FJ 5].</w:t>
      </w:r>
    </w:p>
    <w:p w:rsidR="00163957" w:rsidRDefault="00163957" w:rsidP="00163957">
      <w:pPr>
        <w:pStyle w:val="Extracto"/>
      </w:pPr>
    </w:p>
    <w:p w:rsidR="00163957" w:rsidRDefault="00163957" w:rsidP="00163957">
      <w:pPr>
        <w:pStyle w:val="Extracto"/>
      </w:pPr>
      <w:r>
        <w:t>9.</w:t>
      </w:r>
      <w:r>
        <w:tab/>
        <w:t>La posibilidad que se reconoce al Estado de informar o emitir recomendaciones sobre la adecuación de la propuesta de actuación a las directrices, fines y objetivos de la política exterior previamente fijados es la lógica plasmación de la efectividad de la coordinación pretendida y resulta consecuente en función del fin perseguido [FJ 5].</w:t>
      </w:r>
    </w:p>
    <w:p w:rsidR="00163957" w:rsidRDefault="00163957" w:rsidP="00163957">
      <w:pPr>
        <w:pStyle w:val="Extracto"/>
      </w:pPr>
    </w:p>
    <w:p w:rsidR="00163957" w:rsidRDefault="00163957" w:rsidP="00163957">
      <w:pPr>
        <w:pStyle w:val="Extracto"/>
      </w:pPr>
      <w:r>
        <w:t>10.</w:t>
      </w:r>
      <w:r>
        <w:tab/>
        <w:t>La obligación de las Comunidades Autónomas de informar al Gobierno del establecimiento de oficinas para su promoción exterior está justificada en el marco de la coordinación requerida en este ámbito [FJ 6].</w:t>
      </w:r>
    </w:p>
    <w:p w:rsidR="00163957" w:rsidRDefault="00163957" w:rsidP="00163957">
      <w:pPr>
        <w:pStyle w:val="Extracto"/>
      </w:pPr>
    </w:p>
    <w:p w:rsidR="00163957" w:rsidRDefault="00163957" w:rsidP="00163957">
      <w:pPr>
        <w:pStyle w:val="Extracto"/>
      </w:pPr>
      <w:r>
        <w:t>11.</w:t>
      </w:r>
      <w:r>
        <w:tab/>
        <w:t>Exigir que el Estado emita un informe para la apertura de las oficinas de promoción exterior no resulta desproporcionado, en la medida que el precepto impugnado no expresa la naturaleza vinculante de dichos informes [FJ 6].</w:t>
      </w:r>
    </w:p>
    <w:p w:rsidR="00163957" w:rsidRDefault="00163957" w:rsidP="00163957">
      <w:pPr>
        <w:pStyle w:val="Extracto"/>
      </w:pPr>
    </w:p>
    <w:p w:rsidR="00163957" w:rsidRDefault="00163957" w:rsidP="00163957">
      <w:pPr>
        <w:pStyle w:val="Extracto"/>
      </w:pPr>
      <w:r>
        <w:t>12.</w:t>
      </w:r>
      <w:r>
        <w:tab/>
        <w:t>Cualquier entidad vinculada o dependiente de las Administraciones públicas actuará en el exterior, en el ejercicio de sus respectivas funciones y competencias, de acuerdo con los principios establecidos en la ley impugnada y con sujeción a las directrices, los fines y objetivos de Política Exterior fijados por el Gobierno y a los instrumentos de planificación de la Acción Exterior elaborados y aprobados de conformidad con lo dispuesto en la mencionada ley, dado que ello supone una manifestación de las facultades estatales de coordinación y dirección en el ámbito de la acción exterior del Estado que no merece reproche de inconstitucionalidad [FJ 6].</w:t>
      </w:r>
    </w:p>
    <w:p w:rsidR="00163957" w:rsidRDefault="00163957" w:rsidP="00163957">
      <w:pPr>
        <w:pStyle w:val="Extracto"/>
      </w:pPr>
    </w:p>
    <w:p w:rsidR="00163957" w:rsidRDefault="00163957" w:rsidP="00163957">
      <w:pPr>
        <w:pStyle w:val="Extracto"/>
      </w:pPr>
      <w:r>
        <w:t>13.</w:t>
      </w:r>
      <w:r>
        <w:tab/>
        <w:t>La acción exterior del Estado abarca el conjunto de todas las actuaciones que los sujetos de la acción exterior, incluidas las Comunidades Autónomas, llevan a cabo “en el ejercicio de sus respectivas competencias”; y los preceptos impugnados ni presuponen, ni establecen, que sea la Administración del Estado la que va a llevar a cabo concretas actuaciones, sin perjuicio, eso sí, de su facultad de dirección de la política exterior que la normativa controvertida también deja a salvo y que se materializa en las directrices y objetivos programáticos que estos preceptos recogen, de modo que no se aprecia pues el genérico reproche de inconstitucionalidad que formula la recurrente [FJ 7].</w:t>
      </w:r>
    </w:p>
    <w:p w:rsidR="00163957" w:rsidRDefault="00163957" w:rsidP="00163957">
      <w:pPr>
        <w:pStyle w:val="Extracto"/>
      </w:pPr>
    </w:p>
    <w:p w:rsidR="00163957" w:rsidRDefault="00163957" w:rsidP="00163957">
      <w:pPr>
        <w:pStyle w:val="Extracto"/>
      </w:pPr>
      <w:r>
        <w:t>14.</w:t>
      </w:r>
      <w:r>
        <w:tab/>
        <w:t>La facultad de coordinar, asociada a la dirección y ejecución de la política exterior, debe conllevar necesariamente un margen de decisión del Gobierno a la hora de definir las líneas directrices de una determinada política exterior en lugar de otra, en aras de que la actuación en el ámbito internacional no se dé en forma fragmentada (SSTC 80/2012, 100/2012) [FJ 8].</w:t>
      </w:r>
    </w:p>
    <w:p w:rsidR="00163957" w:rsidRDefault="00163957" w:rsidP="00163957">
      <w:pPr>
        <w:pStyle w:val="Extracto"/>
      </w:pPr>
    </w:p>
    <w:p w:rsidR="00163957" w:rsidRDefault="00163957" w:rsidP="00163957">
      <w:pPr>
        <w:pStyle w:val="Extracto"/>
      </w:pPr>
      <w:r>
        <w:t>15.</w:t>
      </w:r>
      <w:r>
        <w:tab/>
        <w:t xml:space="preserve">La fijación de prioridades y los objetivos de la acción exterior incumbe al Gobierno, lo que no es óbice para que, partiendo de la posible proyección exterior de </w:t>
      </w:r>
      <w:r>
        <w:lastRenderedPageBreak/>
        <w:t>las actuaciones de las Comunidades Autónomas en el legítimo ejercicio de sus competencias, se tengan en cuenta y se integren sus propuestas dentro de dicha estrategia [FJ 8].</w:t>
      </w:r>
    </w:p>
    <w:p w:rsidR="00163957" w:rsidRDefault="00163957" w:rsidP="00163957">
      <w:pPr>
        <w:pStyle w:val="Extracto"/>
      </w:pPr>
    </w:p>
    <w:p w:rsidR="00163957" w:rsidRDefault="00163957" w:rsidP="00163957">
      <w:pPr>
        <w:pStyle w:val="Extracto"/>
      </w:pPr>
      <w:r>
        <w:t>16.</w:t>
      </w:r>
      <w:r>
        <w:tab/>
        <w:t>El “Informe Anual de Acción Exterior” no invade competencias autonómicas, pues se limita a dejar constancia de las actuaciones realizadas y contempla expresamente la participación de las Comunidades Autónomas en su elaboración y el informe previo del Consejo de Política Exterior [FJ 8].</w:t>
      </w:r>
    </w:p>
    <w:p w:rsidR="00163957" w:rsidRDefault="00163957" w:rsidP="00163957">
      <w:pPr>
        <w:pStyle w:val="Extracto"/>
      </w:pPr>
    </w:p>
    <w:p w:rsidR="00163957" w:rsidRDefault="00163957" w:rsidP="00163957">
      <w:pPr>
        <w:pStyle w:val="Extracto"/>
      </w:pPr>
      <w:r>
        <w:t>17.</w:t>
      </w:r>
      <w:r>
        <w:tab/>
        <w:t>Doctrina sobre la competencia estatal para establecer medidas que regulen y coordinen las actividades con proyección externa de las Comunidades Autónomas (SSTC 165/1994, 31/2010, 46/2015) [FJ 8].</w:t>
      </w:r>
    </w:p>
    <w:p w:rsidR="00163957" w:rsidRDefault="00163957" w:rsidP="00163957">
      <w:pPr>
        <w:pStyle w:val="Extracto"/>
      </w:pPr>
    </w:p>
    <w:p w:rsidR="00163957" w:rsidRDefault="00163957" w:rsidP="00163957">
      <w:pPr>
        <w:pStyle w:val="Extracto"/>
      </w:pPr>
      <w:r>
        <w:t>18.</w:t>
      </w:r>
      <w:r>
        <w:tab/>
        <w:t>En un proceso constitucional no puede darse respuesta a impugnaciones globales carentes de una razón suficientemente desarrollada (SSTC 100/2013, 101/2013, 204/2011, 31/2016)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Rios,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7774/2014 promovido por el Gobierno de la Comunidad Autónoma de Canarias contra los arts. 1.2, 3, 5.2, 11, 12, 13, 14, 17 a 33, 34, 35 y 37 de la Ley 2/2014, de 25 de marzo, de la Acción y del Servicio Exterior del Estado. Ha comparecido y formulado alegaciones el Abogado del Estado. Ha sido Ponente el Magistrado don Pedro González-Trevijano Sánchez,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día 26 de diciembre 2014, se ha promovido recurso de inconstitucionalidad por el Gobierno de Canarias contra los siguientes artículos de la Ley 2/2014, de 25 de marzo, de acción y del servicio exterior del Estado:</w:t>
      </w:r>
    </w:p>
    <w:p w:rsidR="00163957" w:rsidRDefault="00163957" w:rsidP="00163957">
      <w:pPr>
        <w:pStyle w:val="TextoNormal"/>
      </w:pPr>
    </w:p>
    <w:p w:rsidR="00163957" w:rsidRDefault="00163957" w:rsidP="00163957">
      <w:pPr>
        <w:pStyle w:val="TextoNormal"/>
      </w:pPr>
      <w:r>
        <w:t>— Artículo 1.2, sobre objeto y definiciones;</w:t>
      </w:r>
    </w:p>
    <w:p w:rsidR="00163957" w:rsidRDefault="00163957" w:rsidP="00163957">
      <w:pPr>
        <w:pStyle w:val="TextoNormal"/>
      </w:pPr>
    </w:p>
    <w:p w:rsidR="00163957" w:rsidRDefault="00163957" w:rsidP="00163957">
      <w:pPr>
        <w:pStyle w:val="TextoNormal"/>
      </w:pPr>
      <w:r>
        <w:lastRenderedPageBreak/>
        <w:t>— Artículo 3, sobre los principios rectores de la acción exterior del Estado;</w:t>
      </w:r>
    </w:p>
    <w:p w:rsidR="00163957" w:rsidRDefault="00163957" w:rsidP="00163957">
      <w:pPr>
        <w:pStyle w:val="TextoNormal"/>
      </w:pPr>
    </w:p>
    <w:p w:rsidR="00163957" w:rsidRDefault="00163957" w:rsidP="00163957">
      <w:pPr>
        <w:pStyle w:val="TextoNormal"/>
      </w:pPr>
      <w:r>
        <w:t>— Artículo 5.2, sobre los sujetos de la acción exterior del Estado;</w:t>
      </w:r>
    </w:p>
    <w:p w:rsidR="00163957" w:rsidRDefault="00163957" w:rsidP="00163957">
      <w:pPr>
        <w:pStyle w:val="TextoNormal"/>
      </w:pPr>
    </w:p>
    <w:p w:rsidR="00163957" w:rsidRDefault="00163957" w:rsidP="00163957">
      <w:pPr>
        <w:pStyle w:val="TextoNormal"/>
      </w:pPr>
      <w:r>
        <w:t>— Artículo 11, sobre las Comunidades Autónomas y entidades que integran la Administración local;</w:t>
      </w:r>
    </w:p>
    <w:p w:rsidR="00163957" w:rsidRDefault="00163957" w:rsidP="00163957">
      <w:pPr>
        <w:pStyle w:val="TextoNormal"/>
      </w:pPr>
    </w:p>
    <w:p w:rsidR="00163957" w:rsidRDefault="00163957" w:rsidP="00163957">
      <w:pPr>
        <w:pStyle w:val="TextoNormal"/>
      </w:pPr>
      <w:r>
        <w:t>— Artículo 12, sobre las oficinas de las Comunidades y Ciudades Autónomas en el exterior;</w:t>
      </w:r>
    </w:p>
    <w:p w:rsidR="00163957" w:rsidRDefault="00163957" w:rsidP="00163957">
      <w:pPr>
        <w:pStyle w:val="TextoNormal"/>
      </w:pPr>
    </w:p>
    <w:p w:rsidR="00163957" w:rsidRDefault="00163957" w:rsidP="00163957">
      <w:pPr>
        <w:pStyle w:val="TextoNormal"/>
      </w:pPr>
      <w:r>
        <w:t>— Artículo 13, sobre los organismos públicos, las sociedades estatales, fundaciones y entidades consorciadas;</w:t>
      </w:r>
    </w:p>
    <w:p w:rsidR="00163957" w:rsidRDefault="00163957" w:rsidP="00163957">
      <w:pPr>
        <w:pStyle w:val="TextoNormal"/>
      </w:pPr>
    </w:p>
    <w:p w:rsidR="00163957" w:rsidRDefault="00163957" w:rsidP="00163957">
      <w:pPr>
        <w:pStyle w:val="TextoNormal"/>
      </w:pPr>
      <w:r>
        <w:t>— Artículo 14, sobre los ámbitos de la acción exterior del Estado y su relación con la política exterior;</w:t>
      </w:r>
    </w:p>
    <w:p w:rsidR="00163957" w:rsidRDefault="00163957" w:rsidP="00163957">
      <w:pPr>
        <w:pStyle w:val="TextoNormal"/>
      </w:pPr>
    </w:p>
    <w:p w:rsidR="00163957" w:rsidRDefault="00163957" w:rsidP="00163957">
      <w:pPr>
        <w:pStyle w:val="TextoNormal"/>
      </w:pPr>
      <w:r>
        <w:t>— Artículos 17 a 33, sobre la acción exterior en las materias a que se refieren cada uno de ellos;</w:t>
      </w:r>
    </w:p>
    <w:p w:rsidR="00163957" w:rsidRDefault="00163957" w:rsidP="00163957">
      <w:pPr>
        <w:pStyle w:val="TextoNormal"/>
      </w:pPr>
    </w:p>
    <w:p w:rsidR="00163957" w:rsidRDefault="00163957" w:rsidP="00163957">
      <w:pPr>
        <w:pStyle w:val="TextoNormal"/>
      </w:pPr>
      <w:r>
        <w:t>— Artículo 34, sobre la planificación y seguimiento de la acción exterior;</w:t>
      </w:r>
    </w:p>
    <w:p w:rsidR="00163957" w:rsidRDefault="00163957" w:rsidP="00163957">
      <w:pPr>
        <w:pStyle w:val="TextoNormal"/>
      </w:pPr>
    </w:p>
    <w:p w:rsidR="00163957" w:rsidRDefault="00163957" w:rsidP="00163957">
      <w:pPr>
        <w:pStyle w:val="TextoNormal"/>
      </w:pPr>
      <w:r>
        <w:t>— Artículo 35, sobre la estrategia de acción exterior; y</w:t>
      </w:r>
    </w:p>
    <w:p w:rsidR="00163957" w:rsidRDefault="00163957" w:rsidP="00163957">
      <w:pPr>
        <w:pStyle w:val="TextoNormal"/>
      </w:pPr>
    </w:p>
    <w:p w:rsidR="00163957" w:rsidRDefault="00163957" w:rsidP="00163957">
      <w:pPr>
        <w:pStyle w:val="TextoNormal"/>
      </w:pPr>
      <w:r>
        <w:t>— Artículo 37, sobre el informe anual de acción exterior.</w:t>
      </w:r>
    </w:p>
    <w:p w:rsidR="00163957" w:rsidRDefault="00163957" w:rsidP="00163957">
      <w:pPr>
        <w:pStyle w:val="TextoNormal"/>
      </w:pPr>
    </w:p>
    <w:p w:rsidR="00163957" w:rsidRDefault="00163957" w:rsidP="00163957">
      <w:pPr>
        <w:pStyle w:val="TextoNormal"/>
      </w:pPr>
      <w:r>
        <w:t>Los motivos del recurso son los que, sucintamente, se recogen a continuación.</w:t>
      </w:r>
    </w:p>
    <w:p w:rsidR="00163957" w:rsidRDefault="00163957" w:rsidP="00163957">
      <w:pPr>
        <w:pStyle w:val="TextoNormal"/>
      </w:pPr>
    </w:p>
    <w:p w:rsidR="00163957" w:rsidRDefault="00163957" w:rsidP="00163957">
      <w:pPr>
        <w:pStyle w:val="TextoNormal"/>
      </w:pPr>
      <w:r>
        <w:t xml:space="preserve">El Gobierno de la Comunidad Autónoma de Canarias fundamenta el recurso en la vulneración del sistema de distribución competencial. Con carácter general, denuncia que la Ley 2/2014 define la acción exterior del Estado con una amplitud incompatible con la doctrina del Tribunal Constitucional que conduce a una limitación excesiva de la capacidad de la Comunidades Autónomas para proyectar sus competencias al exterior cuando, de conformidad con dicha doctrina, esta capacidad sólo puede verse limitada por la competencia exclusiva del Estado en materia de relaciones internacionales (art. 149.1.3 CE) o por otras reservas que la Constitución Española efectúa a favor del Estado, como el comercio exterior (art. 149.1.10 CE) o la sanidad exterior (art. 149.1.16 CE). Con cita de las SSTC 165/1994, 31/2010, 80/2012 y 110/2012, el recurso sostiene que la competencia del Estado en materia de relaciones internacionales no puede conducir a la asunción por el Estado de competencias en aquellos sectores de actividad en que no las tiene en el orden interno. Considera la recurrente que los preceptos impugnados suponen un exceso competencial por parte del legislador estatal que, ni el art. 149.1.3 CE, ni la atribución que a favor del Estado hace el art. 97 CE, legitiman. En general, considera el Gobierno de Canarias, que los preceptos que recurre van más allá de la necesaria coordinación entre Administraciones; presumen una afectación a los intereses nacionales de toda actuación autonómica con proyección exterior y constituyen una involución en el desarrollo del Estado de las Autonomías. Igualmente se cuestiona el tratamiento que la Ley dispensa a las Comunidades Autónomas, como “Administraciones </w:t>
      </w:r>
      <w:r>
        <w:lastRenderedPageBreak/>
        <w:t>públicas”, en igualdad con las Administraciones locales, desconociendo que la posición institucional de las Comunidades Autónomas en el entramado constitucional y en la organización territorial del Estado es cualificadamente distinta.</w:t>
      </w:r>
    </w:p>
    <w:p w:rsidR="00163957" w:rsidRDefault="00163957" w:rsidP="00163957">
      <w:pPr>
        <w:pStyle w:val="TextoNormal"/>
      </w:pPr>
    </w:p>
    <w:p w:rsidR="00163957" w:rsidRDefault="00163957" w:rsidP="00163957">
      <w:pPr>
        <w:pStyle w:val="TextoNormal"/>
      </w:pPr>
      <w:r>
        <w:t>Las denuncias de inconstitucionalidad se concretan en lo siguiente:</w:t>
      </w:r>
    </w:p>
    <w:p w:rsidR="00163957" w:rsidRDefault="00163957" w:rsidP="00163957">
      <w:pPr>
        <w:pStyle w:val="TextoNormal"/>
      </w:pPr>
    </w:p>
    <w:p w:rsidR="00163957" w:rsidRDefault="00163957" w:rsidP="00163957">
      <w:pPr>
        <w:pStyle w:val="TextoNormal"/>
      </w:pPr>
      <w:r>
        <w:t>— Artículos 1.2 y 3. El recurso cuestiona el concepto legal de “acción exterior del Estado” y sus principios rectores. Se afirma que el art. 1.2 de la Ley identifica la acción exterior del Estado con la política exterior, a pesar de que intenta separar ambos conceptos puesto que, al exigir que la actuación de los sujetos que enumera, entre ellos las Comunidades Autónomas, se adecúe a las directrices, fines y objetivos establecidos por el Gobierno en el ejercicio de su competencia de dirección de la política exterior, supone que aquellos sujetos pierdan su autonomía y que el Gobierno de la Nación pueda intervenir en cualquier sector de actividad superponiéndose a las actuaciones autonómicas realizadas en ejercicio de sus competencias. Se cuestiona de este modo el principio de unidad de acción en el exterior que establece el artículo 3 en su apartado 2 a) que, se dice, excede de la posibilidad del Estado de coordinar las actuaciones con proyección exterior de las Comunidades Autónomas.</w:t>
      </w:r>
    </w:p>
    <w:p w:rsidR="00163957" w:rsidRDefault="00163957" w:rsidP="00163957">
      <w:pPr>
        <w:pStyle w:val="TextoNormal"/>
      </w:pPr>
    </w:p>
    <w:p w:rsidR="00163957" w:rsidRDefault="00163957" w:rsidP="00163957">
      <w:pPr>
        <w:pStyle w:val="TextoNormal"/>
      </w:pPr>
      <w:r>
        <w:t>— Artículos 5.2, 11, 12 y 13. En relación con los “sujetos de la acción exterior del Estado” (título I, capítulo I de la Ley 2/2014). El recurso denuncia en primer lugar que, al mencionar el art. 5 a todas las Administraciones públicas en general, colocando a las Comunidades Autónomas en la misma posición que al resto de sujetos que enumera, vulnera la autonomía política de éstas y desconoce su posición institucional. En concreto, en cuanto al artículo 5.2, se afirma que las obligaciones de información al Ministerio de Asuntos Exteriores que el mismo impone a los sujetos de la acción exterior suponen una injerencia desproporcionada en el ejercicio de las competencias autonómicas. Respecto del art. 12 de la Ley, se critica la obligación de información al Gobierno que impone a las Comunidades Autónomas antes de establecer oficinas para su promoción exterior y se cuestiona también el sistema de informes que el artículo establece y cuya naturaleza no se precisa en la Ley, por lo que un futuro desarrollo reglamentario, dice la recurrente, podría configurar dichos informes como vinculantes. Destaca el recurso en este punto que la Comunidad Autónoma de Canarias cuenta ya con delegaciones en el extranjero reguladas en el Decreto 161/2008, de 15 de julio. Se dice que este precepto supone asimismo un desproporcionado intervencionismo y violenta el ejercicio de la competencia autonómica para crear y diseñar oficinas en el exterior. El mismo reproche se hace extensivo también al art. 13.1 de la Ley, en cuanto impone a las entidades vinculadas o dependientes de las Administraciones públicas la sujeción a las directrices, fines y objetivos de política exterior fijados por el Gobierno y a los instrumentos de planificación de la acción exterior aprobados de acuerdo con la Ley. En cuanto al artículo 11, no se le hace, en cambio, en el recurso ningún reproche específico.</w:t>
      </w:r>
    </w:p>
    <w:p w:rsidR="00163957" w:rsidRDefault="00163957" w:rsidP="00163957">
      <w:pPr>
        <w:pStyle w:val="TextoNormal"/>
      </w:pPr>
    </w:p>
    <w:p w:rsidR="00163957" w:rsidRDefault="00163957" w:rsidP="00163957">
      <w:pPr>
        <w:pStyle w:val="TextoNormal"/>
      </w:pPr>
      <w:r>
        <w:t xml:space="preserve">— Artículos 14 y 17 a 33. El recurso critica el art. 14.1 de la Ley en cuanto dispone que el Gobierno velará para que la acción exterior se dirija preferentemente a las áreas o Estados que se consideren prioritarios para el cumplimiento de los objetivos de política exterior y que podrá instar la actuación de estos sujetos en cualquiera otros ámbitos que considere convenientes para la consecución de los fines de la política exterior. A juicio de la Comunidad Autónoma recurrente, se trata de otra manifestación de la fuerza expansiva de la política exterior definida en la Ley. En cuanto a los artículos 17 a 33, en general se sostiene que invaden las competencias autonómicas en cuanto se refieren a la acción exterior en </w:t>
      </w:r>
      <w:r>
        <w:lastRenderedPageBreak/>
        <w:t>diversas materias, muchas de las cuales son competencia exclusiva de la Comunidad Autónoma de Canarias o, aun siendo compartidas, considera que el Estado excede su competencia al referirse en estos artículos a la acción exterior en esos ámbitos, puesto que la competencia exclusiva sobre relaciones internacionales que le atribuye el art. 149.1.3 CE no supone un plus, más allá de preservar los límites a la acción exterior de las Comunidades Autónomas fijados por la doctrina constitucional. Se mencionan así las competencias autonómicas en materias tales como la tributaria; justicia; seguridad pública; promoción económica y comercial; investigación, desarrollo e innovación; empleo; cooperación para el desarrollo; cultura; educación; deporte; turismo; agricultura, pesca y medioambiente; cambio climático; salud; energía o infraestructuras, transporte y vivienda, invocando los correspondientes artículos del Estatuto de Autonomía de Canarias que se refieren a ellas. Se reitera finalmente que la competencia del Estado en materia de relaciones internacionales no le faculta para asumir competencias en materias sobre las cuales no las tiene en el orden interno.</w:t>
      </w:r>
    </w:p>
    <w:p w:rsidR="00163957" w:rsidRDefault="00163957" w:rsidP="00163957">
      <w:pPr>
        <w:pStyle w:val="TextoNormal"/>
      </w:pPr>
    </w:p>
    <w:p w:rsidR="00163957" w:rsidRDefault="00163957" w:rsidP="00163957">
      <w:pPr>
        <w:pStyle w:val="TextoNormal"/>
      </w:pPr>
      <w:r>
        <w:t>— Artículos 34, 35 y 37. Estos preceptos, relativos a la “planificación, seguimiento y coordinación de la acción exterior” (título II de la Ley 2/2014), se impugnan en general afirmando que reflejan el carácter intervencionista de la actuación estatal, al condicionar la actuación exterior de las Comunidades Autónomas a su previa aceptación por el Estado mediante su integración en la estrategia de acción exterior. Se recurre el artículo 34 en cuanto anticipa que la planificación y el seguimiento de la acción exterior del Estado, se llevará a cabo a través de la estrategia de acción exterior y del informe de acción exterior que se consideran instrumentos que se imponen en la actuación exterior de las Comunidades Autónomas. Se recurre el artículo 35 sobre la elaboración de la estrategia de acción exterior, al entender que en la elaboración de dicha estrategia no se garantiza la inclusión de las actuaciones que deseen llevar a cabo las Comunidades Autónomas sin contravenir los límites constitucionalmente reservados al Estado. Finalmente, frente al art. 37 de la Ley, relativo al informe anual de acción exterior, se esgrime que, en el proceso de elaboración del mismo, no se tienen en cuenta los mecanismos de coordinación establecidos en el mismo título II; en concreto, el Consejo de Política Exterior (art. 38), el Consejo Ejecutivo de Política Exterior (art. 39) y el Grupo de Emergencia Consular (art. 40).</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17 de febrero de 2015, el Pleno, a propuesta de la Sección Tercera, acordó admitir a trámite el recurso de inconstitucionalidad promovido por el Gobierno de Canarias y, en su representación y defensa, por la Directora General de su servicio jurídico, contra los arts. 1.2, 3, 5.2, 11, 12, 13, 14, 17 a 33, 34, 35 y 37 de la Ley 2/2014, de 25 de marzo, de la acción y del servicio exterior del Estado; dar traslado de la demanda y documentos presentados, conforme señala el art. 34 de la Ley Orgánica del Tribunal Constitucional (LOTC), al Congreso de los Diputados y al Senado, por conducto de sus Presidentes, y al Gobierno, a través del Ministro de Justicia, al objeto de que, en el plazo de 15 días, puedan personarse en el proceso y formular las alegaciones que estimaren convenientes así como publicar la incoación del recurso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Con fecha de 24 de febrero de 2015, el Abogado del Estado comparece en el proceso en la representación que legalmente ostenta para que el Tribunal le tenga por personado en el recurso de inconstitucionalidad en nombre del Gobierno, al tiempo que solicita una prórroga del plazo concedido para formular sus alegaciones.</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4</w:t>
      </w:r>
      <w:r>
        <w:t>. El Pleno, mediante diligencia de ordenación de 25 de febrero de 2015, acordó tener por personado al Abogado del Estado y prorrogar en ocho días el plazo en su día concedido para presentar sus alegaciones.</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registrado en este Tribunal el 27 de febrero de 2015, el Presidente del Congreso de los Diputados comunicó el acuerdo de la Mesa de la Cámara de personarse en el procedimiento y ofrecer su colaboración a los efectos del art. 88.1 LOTC. Lo mismo hizo el Presidente del Senado, por escrito que tuvo entrada en este Tribunal el 4 de marzo del mismo año.</w:t>
      </w:r>
    </w:p>
    <w:p w:rsidR="00163957" w:rsidRDefault="00163957" w:rsidP="00163957">
      <w:pPr>
        <w:pStyle w:val="TextoNormal"/>
      </w:pPr>
    </w:p>
    <w:p w:rsidR="00163957" w:rsidRDefault="00163957" w:rsidP="00163957">
      <w:pPr>
        <w:pStyle w:val="TextoNormal"/>
      </w:pPr>
      <w:r w:rsidRPr="00163957">
        <w:rPr>
          <w:rStyle w:val="NumeroAFNegritaCaracter"/>
        </w:rPr>
        <w:t>6</w:t>
      </w:r>
      <w:r>
        <w:t>. El escrito de alegaciones del Abogado del Estado, interesando la desestimación del recurso de inconstitucionalidad planteado por el Gobierno de Canarias, tuvo entrada en este Tribunal el día 24 de marzo de 2015.</w:t>
      </w:r>
    </w:p>
    <w:p w:rsidR="00163957" w:rsidRDefault="00163957" w:rsidP="00163957">
      <w:pPr>
        <w:pStyle w:val="TextoNormal"/>
      </w:pPr>
    </w:p>
    <w:p w:rsidR="00163957" w:rsidRDefault="00163957" w:rsidP="00163957">
      <w:pPr>
        <w:pStyle w:val="TextoNormal"/>
      </w:pPr>
      <w:r>
        <w:t>La Abogacía del Estado expone primero la doctrina constitucional sobre el alcance de la competencia exclusiva del Estado en materia de relaciones internacionales recogida últimamente en la Sentencia de 5 de marzo de 2015, dictada en el recurso de inconstitucionalidad 2502-2010. Resume además la regulación estatal en esta materia refiriéndose a la Ley 2/2014 de la acción y del servicio exterior del Estado y a sus preceptos impugnados y a la Ley 25/2014, de 27 de noviembre, de tratados y otros acuerdos internacionales. Destaca finalmente que el Estatuto de Canarias no contiene una mención expresa a las competencias de la Comunidad Autónoma en materia de acción exterior aunque sí se refiere a la proyección exterior de las competencias autonómicas (art. 37) y a la participación de la Comunidad Autónoma en la elaboración y ejecución de tratados internacionales y proyectos de legislación aduanera que sean de su específico interés (art. 38).</w:t>
      </w:r>
    </w:p>
    <w:p w:rsidR="00163957" w:rsidRDefault="00163957" w:rsidP="00163957">
      <w:pPr>
        <w:pStyle w:val="TextoNormal"/>
      </w:pPr>
    </w:p>
    <w:p w:rsidR="00163957" w:rsidRDefault="00163957" w:rsidP="00163957">
      <w:pPr>
        <w:pStyle w:val="TextoNormal"/>
      </w:pPr>
      <w:r>
        <w:t>Antes de rebatir la impugnación de cada uno de los artículos de la Ley 2/2014 cuestionados, el Abogado del Estado analiza el exceso competencial en que se alega ha incurrido el Estado al concretar sus facultades de coordinación en materia de relaciones internacionales, que se considera es la cuestión principal objeto del recurso. Con cita de las SSTC 165/1994 y 31/2010 recuerda que el Estado tiene competencia para regular y coordinar las actividades con proyección externa de las Comunidades Autónomas “para evitar o remediar eventuales perjuicios sobre la dirección y la puesta en ejecución de la política exterior que, en exclusiva corresponde a la autoridades estatales” y defiende que la regulación de la Ley 2/2014 se desenvuelve dentro de los límites señalados, sin que exista injerencia del Estado en el ámbito competencial de las Comunidades Autónomas. Para ilustrar al Tribunal sobre la colaboración con las Comunidades Autónomas en la elaboración de la Ley, el Abogado del Estado aporta el Dictamen 394/2013 del Consejo de Estado, cuyas observaciones, dice, fueron incorporadas, así como los acuerdos alcanzados en las comisiones bilaterales de cooperación del Estado con Galicia y el País Vasco al amparo del art. 33.2 LOTC, comunicados al Tribunal, en los que se solventaron las discrepancias competenciales suscitadas con estas Comunidades Autónomas en relación con la Ley 2/2014.</w:t>
      </w:r>
    </w:p>
    <w:p w:rsidR="00163957" w:rsidRDefault="00163957" w:rsidP="00163957">
      <w:pPr>
        <w:pStyle w:val="TextoNormal"/>
      </w:pPr>
    </w:p>
    <w:p w:rsidR="00163957" w:rsidRDefault="00163957" w:rsidP="00163957">
      <w:pPr>
        <w:pStyle w:val="TextoNormal"/>
      </w:pPr>
      <w:r>
        <w:t xml:space="preserve">Entrando a examinar las alegaciones del recurso sobre cada uno de los preceptos impugnados, en cuanto al art. 1.2 de la Ley 2/2014, la Abogacía del Estado indica en primer lugar que su impugnación debe limitarse a los apartados a) y b) pero no al c), referido al servicio exterior, que nada tiene que ver con lo que se alega. Esto sentado, el Abogado del Estado </w:t>
      </w:r>
      <w:r>
        <w:lastRenderedPageBreak/>
        <w:t>manifiesta que las definiciones legales, en sí mismas, no vulneran las competencias autonómicas y recuerda que el Tribunal ha declarado que su función jurisdiccional no se desarrolla sobre definiciones, ni versa sobre la calidad técnica de las leyes si no afectan a su constitucionalidad. Respecto a la definición de la acción exterior del Estado del artículo 1.2 b), sostiene que no impone una acción exterior común, sino que solo establece el límite de que no se contradiga la acción exterior del Estado, y afirma que las apreciaciones de la recurrente a este respecto constituyen un juicio de valor que no se deduce de la Ley.</w:t>
      </w:r>
    </w:p>
    <w:p w:rsidR="00163957" w:rsidRDefault="00163957" w:rsidP="00163957">
      <w:pPr>
        <w:pStyle w:val="TextoNormal"/>
      </w:pPr>
    </w:p>
    <w:p w:rsidR="00163957" w:rsidRDefault="00163957" w:rsidP="00163957">
      <w:pPr>
        <w:pStyle w:val="TextoNormal"/>
      </w:pPr>
      <w:r>
        <w:t>Según la Abogacía del Estado, no tiene fundamento la impugnación del art. 3 de la Ley 2/2014 del que, dice, solo se cuestiona la definición de la “unidad de acción en el exterior” de su apartado 2 a), pues nada se afirma contra los apartados 1 y 2 b) y c). En cuanto a la unidad de acción en el exterior, a juicio de la Abogacía del Estado, ésta no significa imposición indiscriminada a las Comunidades Autónomas de una concreta acción exterior, y así se ha interpretado, señala, en el acuerdo de la Comisión bilateral de la Administración del Estado con el País Vasco, en el que las partes coinciden en que las referencias a las directrices, fines y objetivos de la política exterior del Gobierno contenidas, entre otros, en este artículo, se han de entender referidas al ámbito de competencia exclusivo del Estado en materia de relaciones internacionales.</w:t>
      </w:r>
    </w:p>
    <w:p w:rsidR="00163957" w:rsidRDefault="00163957" w:rsidP="00163957">
      <w:pPr>
        <w:pStyle w:val="TextoNormal"/>
      </w:pPr>
    </w:p>
    <w:p w:rsidR="00163957" w:rsidRDefault="00163957" w:rsidP="00163957">
      <w:pPr>
        <w:pStyle w:val="TextoNormal"/>
      </w:pPr>
      <w:r>
        <w:t>Respecto al art. 5.2 de la Ley 2/2014, las obligaciones de información al Ministerio de Asuntos Exteriores que impone a los sujetos de la acción exterior no suponen para el Abogado del Estado una injerencia desproporcionada en las competencias autonómicas. Por una parte, se exceptúa el ámbito de la Unión Europea. Por otra parte, la información por las Comunidades Autónomas al Gobierno sobre sus viajes y sus contactos en el exterior, que el precepto contempla, es una costumbre seguida desde el nacimiento del Estado autonómico. Además, las facultades de emisión de informes y recomendaciones que se atribuyen al Estado en este artículo se desenvuelven en el marco del principio de lealtad institucional dada la más amplia perspectiva de que dispone el Gobierno a través de su servicio exterior y permiten nuevamente al Gobierno ejercer sus facultades de coordinación. Se invoca en este punto la correcta interpretación del precepto que resulta del acuerdo de la Comisión bilateral Estado-Comunidad Autónoma de Galicia.</w:t>
      </w:r>
    </w:p>
    <w:p w:rsidR="00163957" w:rsidRDefault="00163957" w:rsidP="00163957">
      <w:pPr>
        <w:pStyle w:val="TextoNormal"/>
      </w:pPr>
    </w:p>
    <w:p w:rsidR="00163957" w:rsidRDefault="00163957" w:rsidP="00163957">
      <w:pPr>
        <w:pStyle w:val="TextoNormal"/>
      </w:pPr>
      <w:r>
        <w:t>Sobre los arts. 11 y 12 de la Ley, el Abogado del Estado afirma que su finalidad es sobre todo posibilitar cauces para la colaboración entre el Estado y las Comunidades Autónomas de acuerdo con la distribución competencial. En cuanto a los informes que contempla el artículo 12, según la jurisprudencia del Tribunal, son cauce procedimental para el ejercicio de competencias concurrentes que facilita la colaboración entre Administraciones y, aunque la Ley 2/2014 no concreta su naturaleza, según el art. 83.1 de la Ley 30/1992, de régimen jurídico de las Administraciones públicas y del procedimiento administrativo común, se ha de entender que no son vinculantes. Se cita otra vez el acuerdo de la Comisión bilateral con Galicia que se remite a esta legislación. El artículo 13.1 no hace sino concretar los principios expuestos.</w:t>
      </w:r>
    </w:p>
    <w:p w:rsidR="00163957" w:rsidRDefault="00163957" w:rsidP="00163957">
      <w:pPr>
        <w:pStyle w:val="TextoNormal"/>
      </w:pPr>
    </w:p>
    <w:p w:rsidR="00163957" w:rsidRDefault="00163957" w:rsidP="00163957">
      <w:pPr>
        <w:pStyle w:val="TextoNormal"/>
      </w:pPr>
      <w:r>
        <w:t xml:space="preserve">Refiriéndose al art. 14 de la Ley, la Abogacía del Estado precisa que nada se objeta sobre sus apartados 2 y 4 y que el apartado 3 establece otro informe del Gobierno que es un nuevo ejemplo de lealtad institucional. En cuanto a los artículos 17 a 33 se sostiene que se impugnan de forma genérica, lo que bastaría para que el Tribunal no entre en su análisis. Añade que las competencias a que se refieren no son exclusivas de las Comunidades Autónomas, </w:t>
      </w:r>
      <w:r>
        <w:lastRenderedPageBreak/>
        <w:t>y que en la medida que estos ámbitos de actuación incidan sobre competencias autonómicas, el Estado deberá comunicarles sus decisiones y propuestas.</w:t>
      </w:r>
    </w:p>
    <w:p w:rsidR="00163957" w:rsidRDefault="00163957" w:rsidP="00163957">
      <w:pPr>
        <w:pStyle w:val="TextoNormal"/>
      </w:pPr>
    </w:p>
    <w:p w:rsidR="00163957" w:rsidRDefault="00163957" w:rsidP="00163957">
      <w:pPr>
        <w:pStyle w:val="TextoNormal"/>
      </w:pPr>
      <w:r>
        <w:t>Por último, en cuanto a los artículos 34, 35 y 37, el Abogado del Estado dice que el artículo 37 dispone la redacción de un informe anual de acción exterior que, por su propia naturaleza, no puede menoscabar competencias autonómicas. Los otros dos artículos, 34 y 35, regulan mecanismos de cooperación y no son imposiciones unilaterales, lo que se ilustra con lo previsto en los artículos 34.2 y 35.3. Concluye indicando que no es finalidad de la Ley privar de competencias a las Comunidades Autónomas, sino definir la estrategia de acción exterior por lo que el contenido que atribuye la demanda a la Ley es prematuro.</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26 de abril de 2016 se señaló para deliberación y votación de la presente Sentencia el día 28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presente resolución tiene por objeto resolver el recurso de inconstitucionalidad interpuesto por el Gobierno de la Comunidad Autónoma de Canarias contra los arts. 1.2, 3, 5.2, 11, 12, 13, 14, 17 a 33, 34, 35 y 37 de la Ley 2/2014, de 25 de marzo, de la acción y del servicio exterior del Estado.</w:t>
      </w:r>
    </w:p>
    <w:p w:rsidR="00163957" w:rsidRDefault="00163957" w:rsidP="00163957">
      <w:pPr>
        <w:pStyle w:val="TextoNormal"/>
      </w:pPr>
    </w:p>
    <w:p w:rsidR="00163957" w:rsidRDefault="00163957" w:rsidP="00163957">
      <w:pPr>
        <w:pStyle w:val="TextoNormal"/>
      </w:pPr>
      <w:r>
        <w:t>La Comunidad Autónoma recurrente, en los términos ya indicados, considera en síntesis que los preceptos impugnados de la Ley 2/2014 exceden la competencia exclusiva en materia de relaciones internacionales que al Estado atribuye el art. 149.1.3 CE, yendo de esta suerte más allá de la necesaria coordinación entre Administraciones que se reconoce en este ámbito. Entiende que tampoco la dirección de la política exterior que atribuye al Gobierno el art. 97 de la Constitución legitima la regulación legal cuestionada. Añade finalmente que el tratamiento que la Ley dispensa a las Comunidades Autónomas, equiparándolas a las Administraciones locales, desconoce la posición institucional de aquellas.</w:t>
      </w:r>
    </w:p>
    <w:p w:rsidR="00163957" w:rsidRDefault="00163957" w:rsidP="00163957">
      <w:pPr>
        <w:pStyle w:val="TextoNormal"/>
      </w:pPr>
    </w:p>
    <w:p w:rsidR="00163957" w:rsidRDefault="00163957" w:rsidP="00163957">
      <w:pPr>
        <w:pStyle w:val="TextoNormal"/>
      </w:pPr>
      <w:r>
        <w:t>La Administración del Estado por su parte, en los términos que han quedado expuestos, ha negado las vulneraciones denunciadas considerando que la Ley 2/2014 tiene fundamento en los arts. 97 y 149.1.3 CE así como en la doctrina constitucional que invoca, puesto que trata de garantizar la coordinación de la actividad exterior de las Comunidades Autónomas con los principios, fines y objetivos de la política exterior fijados por el Gobierno.</w:t>
      </w:r>
    </w:p>
    <w:p w:rsidR="00163957" w:rsidRDefault="00163957" w:rsidP="00163957">
      <w:pPr>
        <w:pStyle w:val="TextoNormal"/>
      </w:pPr>
    </w:p>
    <w:p w:rsidR="00163957" w:rsidRDefault="00163957" w:rsidP="00163957">
      <w:pPr>
        <w:pStyle w:val="TextoNormal"/>
      </w:pPr>
      <w:r>
        <w:t>La Ley 2/2014 ha sido modificada, con posterioridad a la interposición de este recurso, por la Ley 29/2015, de 30 de julio, de cooperación jurídica internacional en materia civil. Sin embargo, dicha modificación se ha limitado a la disposición adicional décima sexta de ésta, a la que da nueva redacción la disposición final cuarta de la Ley 29/2015. Por tanto, esta modificación normativa no afecta a los preceptos que son objeto del presente recurso.</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abordar el fondo de las impugnaciones, debemos concretar el objeto del recurso.</w:t>
      </w:r>
    </w:p>
    <w:p w:rsidR="00163957" w:rsidRDefault="00163957" w:rsidP="00163957">
      <w:pPr>
        <w:pStyle w:val="TextoNormal"/>
      </w:pPr>
    </w:p>
    <w:p w:rsidR="00163957" w:rsidRDefault="00163957" w:rsidP="00163957">
      <w:pPr>
        <w:pStyle w:val="TextoNormal"/>
      </w:pPr>
      <w:r>
        <w:t xml:space="preserve">Hemos reiterado que la obligación de levantar la carga alegatoria en todos los procesos ante este Tribunal, supone una exigencia de colaboración con la justicia, además de una </w:t>
      </w:r>
      <w:r>
        <w:lastRenderedPageBreak/>
        <w:t>condición inexcusable inherente a la propia presunción de constitucionalidad de las normas con rango de ley, que no puede desvirtuarse sin un mínimo de argumentación. En un proceso constitucional no puede por tanto darse respuesta a impugnaciones globales carentes de una razón suficientemente desarrollada [SSTC 100/2013, de 23 de abril, FJ 2 c); 101/2013, de 23 de abril, FJ 11; 204/2011, de 15 de diciembre, FJ 2 b), y 31/2016, de 18 de febrero, FJ 2, entre otras muchas].</w:t>
      </w:r>
    </w:p>
    <w:p w:rsidR="00163957" w:rsidRDefault="00163957" w:rsidP="00163957">
      <w:pPr>
        <w:pStyle w:val="TextoNormal"/>
      </w:pPr>
    </w:p>
    <w:p w:rsidR="00163957" w:rsidRDefault="00163957" w:rsidP="00163957">
      <w:pPr>
        <w:pStyle w:val="TextoNormal"/>
      </w:pPr>
      <w:r>
        <w:t>A partir de la doctrina expuesta, aunque la demanda solicita que se declaren inconstitucionales y nulos los arts. 1.2, 3, 5.2, 11, 12, 13, 14, 17 a 33, 34, 35 y 37 de la Ley 2/2014, de 25 de marzo, de la acción y del servicio exterior del Estado, no esgrime vicios concretos de inconstitucionalidad en relación con varios apartados o preceptos recurridos. Así, nada esgrime frente a la letra c) del art. 1.2; el apartado 1 y las letras b) a g) del apartado 2 del art. 3; el art. 11; el art. 13.2 y los apartados 2 a 4 del art. 14. Aunque la impugnación de los arts. 17 a 33, 34, 35 y 37 es también de carácter general, a diferencia de lo que ocurre con los preceptos anteriores, sí se exponen respecto a estos argumentos que, aunque escuetos, permiten dilucidar las objeciones de constitucionalidad que frente a ellos, sostiene el recurso.</w:t>
      </w:r>
    </w:p>
    <w:p w:rsidR="00163957" w:rsidRDefault="00163957" w:rsidP="00163957">
      <w:pPr>
        <w:pStyle w:val="TextoNormal"/>
      </w:pPr>
    </w:p>
    <w:p w:rsidR="00163957" w:rsidRDefault="00163957" w:rsidP="00163957">
      <w:pPr>
        <w:pStyle w:val="TextoNormal"/>
      </w:pPr>
      <w:r>
        <w:t>Con respecto del primer grupo de preceptos estamos, por tanto, ante una impugnación que no expone de forma individualizada las razones por las que los mismos habrían excedido la competencia estatal en los términos citados. Por tanto, como declaramos en la precitada STC 31/2016, FJ 2, “la ausencia de reproches específicos omite así la esencial carga de los recurrentes, a quienes corresponde ‘no sólo abrir la vía para que el Tribunal pueda pronunciarse, sino también colaborar con la justicia constitucional mediante un pormenorizado análisis de las cuestiones que se suscitan, por lo cual, si no se atiende esta exigencia, se falta a la diligencia procesalmente requerida’ [STC 199/2015, de 24 de septiembre, FJ 2 a), con cita de anteriores]… pues este Tribunal no puede reconstruir de oficio la demanda ni suplir las razones de los recurrentes, cuando éstas no se aportan en su recurso (entre otras muchas, STC 208/2014, de 15 de diciembre, FJ 4)”.</w:t>
      </w:r>
    </w:p>
    <w:p w:rsidR="00163957" w:rsidRDefault="00163957" w:rsidP="00163957">
      <w:pPr>
        <w:pStyle w:val="TextoNormal"/>
      </w:pPr>
    </w:p>
    <w:p w:rsidR="00163957" w:rsidRDefault="00163957" w:rsidP="00163957">
      <w:pPr>
        <w:pStyle w:val="TextoNormal"/>
      </w:pPr>
      <w:r>
        <w:t>En consecuencia, en este proceso se abordarán únicamente las impugnaciones referidas a los apartados a) y b) del artículo 1; el art. 3.2 a); el art. 5.2; el art. 12; el art. 13.1; el art. 14.1 y los arts. 17 a 33, 34, 35 y 37 por ser éstos los únicos con respecto de los cuales puede entenderse levantada la carga argumental mínima exigible.</w:t>
      </w:r>
    </w:p>
    <w:p w:rsidR="00163957" w:rsidRDefault="00163957" w:rsidP="00163957">
      <w:pPr>
        <w:pStyle w:val="TextoNormal"/>
      </w:pPr>
    </w:p>
    <w:p w:rsidR="00163957" w:rsidRDefault="00163957" w:rsidP="00163957">
      <w:pPr>
        <w:pStyle w:val="TextoNormal"/>
      </w:pPr>
      <w:r w:rsidRPr="00163957">
        <w:rPr>
          <w:rStyle w:val="NumeroAFNegritaCaracter"/>
        </w:rPr>
        <w:t>3</w:t>
      </w:r>
      <w:r>
        <w:t>. Para encuadrar adecuadamente las dudas de constitucionalidad planteadas, procede partir de la doctrina constitucional relativa al art. 149.1.3 CE en relación con el art. 97 de la misma norma.</w:t>
      </w:r>
    </w:p>
    <w:p w:rsidR="00163957" w:rsidRDefault="00163957" w:rsidP="00163957">
      <w:pPr>
        <w:pStyle w:val="TextoNormal"/>
      </w:pPr>
    </w:p>
    <w:p w:rsidR="00163957" w:rsidRDefault="00163957" w:rsidP="00163957">
      <w:pPr>
        <w:pStyle w:val="TextoNormal"/>
      </w:pPr>
      <w:r>
        <w:t xml:space="preserve">A este respecto, lo primero que interesa destacar es que los pronunciamientos anteriores de este Tribunal sobre el título competencial que nos ocupa, han tenido por objeto principalmente, definir el contenido esencial de las relaciones internacionales a que se refiere el art. 149.1.3 CE y clarificar la posible incidencia en el exterior del ejercicio por las Comunidades Autónomas de sus competencias. Por tanto, hasta el momento, no hemos tenido ocasión de pronunciarnos, al menos no de forma general, sobre el específico contenido de las facultades de coordinación que, en este ámbito de las relaciones internacionales, asume el Estado. Sí hemos reconocido, sin embargo, la existencia misma de estas facultades, cuya </w:t>
      </w:r>
      <w:r>
        <w:lastRenderedPageBreak/>
        <w:t>delimitación constituye por tanto, como afirma el Abogado del Estado, el núcleo esencial del presente recurso.</w:t>
      </w:r>
    </w:p>
    <w:p w:rsidR="00163957" w:rsidRDefault="00163957" w:rsidP="00163957">
      <w:pPr>
        <w:pStyle w:val="TextoNormal"/>
      </w:pPr>
    </w:p>
    <w:p w:rsidR="00163957" w:rsidRDefault="00163957" w:rsidP="00163957">
      <w:pPr>
        <w:pStyle w:val="TextoNormal"/>
      </w:pPr>
      <w:r>
        <w:t>Sentado lo anterior, como recuerda la STC 46/2015, de 5 de marzo, FJ 4, la STC 165/1994, de 26 de mayo, FJ 3, precisó el contenido del título competencial estatal “relaciones internacionales” del art. 149.1.3 CE partiendo de la premisa de que: “no puede en forma alguna excluirse que, para llevar a cabo correctamente las funciones que tenga atribuidas, una Comunidad Autónoma haya de realizar determinadas actividades, no ya sólo fuera de su territorio, sino incluso fuera de los límites territoriales de España”; si bien, esta Sentencia ya establecía como límite de la acción de las Comunidades Autónomas en el exterior, la competencia exclusiva del Estado prevista en el art. 149.1.3 CE.</w:t>
      </w:r>
    </w:p>
    <w:p w:rsidR="00163957" w:rsidRDefault="00163957" w:rsidP="00163957">
      <w:pPr>
        <w:pStyle w:val="TextoNormal"/>
      </w:pPr>
    </w:p>
    <w:p w:rsidR="00163957" w:rsidRDefault="00163957" w:rsidP="00163957">
      <w:pPr>
        <w:pStyle w:val="TextoNormal"/>
      </w:pPr>
      <w:r>
        <w:t>Así, la STC 46/2015 mencionada, resume en el fundamento jurídico 4, la doctrina sobre las actividades de las Comunidades Autónomas con proyección en el exterior y el alcance de la competencia estatal del art. 149.1.3 CE, con cita de las SSTC 165/1994, 31/2010, de 28 de junio; 118/2011, de 5 de julio, y 138/2011, de 14 de septiembre, del modo siguiente:</w:t>
      </w:r>
    </w:p>
    <w:p w:rsidR="00163957" w:rsidRDefault="00163957" w:rsidP="00163957">
      <w:pPr>
        <w:pStyle w:val="TextoNormal"/>
      </w:pPr>
    </w:p>
    <w:p w:rsidR="00163957" w:rsidRDefault="00163957" w:rsidP="00163957">
      <w:pPr>
        <w:pStyle w:val="TextoNormal"/>
      </w:pPr>
      <w:r>
        <w:t>“Dicha doctrina puede sintetizarse, a los efectos que aquí y ahora interesan, en los siguientes extremos:</w:t>
      </w:r>
    </w:p>
    <w:p w:rsidR="00163957" w:rsidRDefault="00163957" w:rsidP="00163957">
      <w:pPr>
        <w:pStyle w:val="TextoNormal"/>
      </w:pPr>
    </w:p>
    <w:p w:rsidR="00163957" w:rsidRDefault="00163957" w:rsidP="00163957">
      <w:pPr>
        <w:pStyle w:val="TextoNormal"/>
      </w:pPr>
      <w:r>
        <w:t>a) Las Comunidades Autónomas, como parte del ejercicio de sus competencias, pueden llevar a cabo actividades con proyección exterior, si bien con el límite de las reservas que la Constitución efectúa a favor del Estado y, en particular, de la reserva prevista en el art. 149.1.3 CE, que le confiere competencia exclusiva en materia de relaciones internacionales.</w:t>
      </w:r>
    </w:p>
    <w:p w:rsidR="00163957" w:rsidRDefault="00163957" w:rsidP="00163957">
      <w:pPr>
        <w:pStyle w:val="TextoNormal"/>
      </w:pPr>
    </w:p>
    <w:p w:rsidR="00163957" w:rsidRDefault="00163957" w:rsidP="00163957">
      <w:pPr>
        <w:pStyle w:val="TextoNormal"/>
      </w:pPr>
      <w:r>
        <w:t>b) En la delimitación del alcance de la competencia exclusiva estatal del art. 149.1.3 CE es preciso tener en cuenta que no cabe identificar la materia relaciones internacionales con todo tipo de actividad con alcance o proyección exterior, ya que si así fuera se produciría una reordenación del propio orden constitucional de distribución de competencias entre el Estado y las Comunidades Autónomas, aunque en todo caso han de quedar fuera de la actividad con proyección exterior de las Comunidades Autónomas las actuaciones comprendidas en el referido título competencial.</w:t>
      </w:r>
    </w:p>
    <w:p w:rsidR="00163957" w:rsidRDefault="00163957" w:rsidP="00163957">
      <w:pPr>
        <w:pStyle w:val="TextoNormal"/>
      </w:pPr>
    </w:p>
    <w:p w:rsidR="00163957" w:rsidRDefault="00163957" w:rsidP="00163957">
      <w:pPr>
        <w:pStyle w:val="TextoNormal"/>
      </w:pPr>
      <w:r>
        <w:t>c) Sin pretender una descripción exhaustiva de la reserva a favor del Estado del art. 149.1.3 CE, este Tribunal ha identificado como algunos de los elementos esenciales que conforman su contenido los relativos a la celebración de tratados (</w:t>
      </w:r>
      <w:r w:rsidRPr="00163957">
        <w:rPr>
          <w:i/>
        </w:rPr>
        <w:t>ius contrahendi</w:t>
      </w:r>
      <w:r>
        <w:t>), a la representación exterior del Estado (</w:t>
      </w:r>
      <w:r w:rsidRPr="00163957">
        <w:rPr>
          <w:i/>
        </w:rPr>
        <w:t>ius legationis</w:t>
      </w:r>
      <w:r>
        <w:t xml:space="preserve">), así como a la creación de obligaciones internacionales y a la responsabilidad internacional del Estado; en otras palabras, las relaciones internacionales objeto de la reserva contenida en el art. 149.1.3 CE son relaciones entre sujetos internacionales y regidas por el Derecho internacional, lo que supone, necesariamente, que las actividades con proyección exterior que pueden llevar a cabo las Comunidades Autónomas deben entenderse limitadas a aquellas que no impliquen el ejercicio de un </w:t>
      </w:r>
      <w:r w:rsidRPr="00163957">
        <w:rPr>
          <w:i/>
        </w:rPr>
        <w:t>ius contrahendi</w:t>
      </w:r>
      <w:r>
        <w:t>, no originen obligaciones inmediatas y actuales frente a los poderes públicos extranjeros, no incidan en la política exterior del Estado y no generen responsabilidad de éste frente a Estados extranjeros u organizaciones inter o supranacionales.</w:t>
      </w:r>
    </w:p>
    <w:p w:rsidR="00163957" w:rsidRDefault="00163957" w:rsidP="00163957">
      <w:pPr>
        <w:pStyle w:val="TextoNormal"/>
      </w:pPr>
    </w:p>
    <w:p w:rsidR="00163957" w:rsidRDefault="00163957" w:rsidP="00163957">
      <w:pPr>
        <w:pStyle w:val="TextoNormal"/>
      </w:pPr>
      <w:r>
        <w:lastRenderedPageBreak/>
        <w:t>d) Dentro de la competencia estatal, se sitúa la posibilidad de establecer medidas que regulen y coordinen las actividades con proyección externa de las Comunidades Autónomas, para evitar o remediar eventuales perjuicios sobre la dirección y puesta en ejecución de la política exterior que corresponde en exclusiva al Estado".</w:t>
      </w:r>
    </w:p>
    <w:p w:rsidR="00163957" w:rsidRDefault="00163957" w:rsidP="00163957">
      <w:pPr>
        <w:pStyle w:val="TextoNormal"/>
      </w:pPr>
    </w:p>
    <w:p w:rsidR="00163957" w:rsidRDefault="00163957" w:rsidP="00163957">
      <w:pPr>
        <w:pStyle w:val="TextoNormal"/>
      </w:pPr>
      <w:r>
        <w:t>En cuanto al art. 97 CE, la STC 198/2013, de 5 de diciembre (FJ 3) con cita de la STC 137/89, de 20 de julio, además de recoger la doctrina luego resumida por la STC 46/2015 sobre el art. 149.1.3 CE, declara que: "Los arts. 93, 94 y 97 CE, aunque no constituyen ningún título atributivo de competencias, contribuyen a perfilar el título competencial que contiene el art. 149.1.3 CE…"</w:t>
      </w:r>
    </w:p>
    <w:p w:rsidR="00163957" w:rsidRDefault="00163957" w:rsidP="00163957">
      <w:pPr>
        <w:pStyle w:val="TextoNormal"/>
      </w:pPr>
    </w:p>
    <w:p w:rsidR="00163957" w:rsidRDefault="00163957" w:rsidP="00163957">
      <w:pPr>
        <w:pStyle w:val="TextoNormal"/>
      </w:pPr>
      <w:r w:rsidRPr="00163957">
        <w:rPr>
          <w:rStyle w:val="NumeroAFNegritaCaracter"/>
        </w:rPr>
        <w:t>4</w:t>
      </w:r>
      <w:r>
        <w:t>. Señalado todo lo anterior, procede iniciar el enjuiciamiento de los arts. 1.2, apartados a) y b) y 3.2 a) de la Ley 2/2014. Aunque, como se ha dicho, el recurso comienza planteando dudas de constitucionalidad que son aplicables en general a todos los preceptos cuestionados, éstas se pueden resolver analizando en particular los artículos objeto de impugnación y, muy especialmente, los dos artículos cuestionados del título preliminar de la Ley que, dada su naturaleza introductoria, son idóneos a estos efectos. Esto supone que la argumentación que se realiza en este fundamento de derecho sirve para resolver el núcleo principal de la controversia suscitada de forma que, la resolución del recurso contra el resto de preceptos impugnados, descansará en buena medida en lo que, a continuación, se razona.</w:t>
      </w:r>
    </w:p>
    <w:p w:rsidR="00163957" w:rsidRDefault="00163957" w:rsidP="00163957">
      <w:pPr>
        <w:pStyle w:val="TextoNormal"/>
      </w:pPr>
    </w:p>
    <w:p w:rsidR="00163957" w:rsidRDefault="00163957" w:rsidP="00163957">
      <w:pPr>
        <w:pStyle w:val="TextoNormal"/>
      </w:pPr>
      <w:r>
        <w:t>El tenor de los preceptos citados es el siguiente:</w:t>
      </w:r>
    </w:p>
    <w:p w:rsidR="00163957" w:rsidRDefault="00163957" w:rsidP="00163957">
      <w:pPr>
        <w:pStyle w:val="TextoNormal"/>
      </w:pPr>
    </w:p>
    <w:p w:rsidR="00163957" w:rsidRDefault="00163957" w:rsidP="00163957">
      <w:pPr>
        <w:pStyle w:val="TextoNormal"/>
      </w:pPr>
      <w:r>
        <w:t>Artículo 1:</w:t>
      </w:r>
    </w:p>
    <w:p w:rsidR="00163957" w:rsidRDefault="00163957" w:rsidP="00163957">
      <w:pPr>
        <w:pStyle w:val="TextoNormal"/>
      </w:pPr>
    </w:p>
    <w:p w:rsidR="00163957" w:rsidRDefault="00163957" w:rsidP="00163957">
      <w:pPr>
        <w:pStyle w:val="TextoNormal"/>
      </w:pPr>
      <w:r>
        <w:t>“2. A los efectos de esta ley se entiende por:</w:t>
      </w:r>
    </w:p>
    <w:p w:rsidR="00163957" w:rsidRDefault="00163957" w:rsidP="00163957">
      <w:pPr>
        <w:pStyle w:val="TextoNormal"/>
      </w:pPr>
    </w:p>
    <w:p w:rsidR="00163957" w:rsidRDefault="00163957" w:rsidP="00163957">
      <w:pPr>
        <w:pStyle w:val="TextoNormal"/>
      </w:pPr>
      <w:r>
        <w:t>a) Política Exterior: el conjunto de decisiones y acciones del Gobierno en sus relaciones con otros actores de la escena internacional, con objeto de definir, promover, desarrollar y defender los valores e intereses de España en el exterior.</w:t>
      </w:r>
    </w:p>
    <w:p w:rsidR="00163957" w:rsidRDefault="00163957" w:rsidP="00163957">
      <w:pPr>
        <w:pStyle w:val="TextoNormal"/>
      </w:pPr>
    </w:p>
    <w:p w:rsidR="00163957" w:rsidRDefault="00163957" w:rsidP="00163957">
      <w:pPr>
        <w:pStyle w:val="TextoNormal"/>
      </w:pPr>
      <w:r>
        <w:t>b) Acción Exterior del Estado: el conjunto ordenado de las actuaciones que los órganos constitucionales, las Administraciones públicas y los organismos, entidades e instituciones de ellas dependientes llevan a cabo en el exterior, en el ejercicio de sus respectivas competencias, desarrolladas de acuerdo con los principios establecidos en esta ley y con observancia y adecuación a las directrices, fines y objetivos establecidos por el Gobierno en el ejercicio de su competencia de dirección de la Política Exterior.</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El art. 3, bajo la rúbrica “Principios rectores de la Acción Exterior del Estado” dice:</w:t>
      </w:r>
    </w:p>
    <w:p w:rsidR="00163957" w:rsidRDefault="00163957" w:rsidP="00163957">
      <w:pPr>
        <w:pStyle w:val="TextoNormal"/>
      </w:pPr>
    </w:p>
    <w:p w:rsidR="00163957" w:rsidRDefault="00163957" w:rsidP="00163957">
      <w:pPr>
        <w:pStyle w:val="TextoNormal"/>
      </w:pPr>
      <w:r>
        <w:t>“2. La Acción Exterior de los órganos constitucionales, las Administraciones públicas y los organismos, entidades e instituciones de ellas dependientes se regirá por los siguientes principios:</w:t>
      </w:r>
    </w:p>
    <w:p w:rsidR="00163957" w:rsidRDefault="00163957" w:rsidP="00163957">
      <w:pPr>
        <w:pStyle w:val="TextoNormal"/>
      </w:pPr>
    </w:p>
    <w:p w:rsidR="00163957" w:rsidRDefault="00163957" w:rsidP="00163957">
      <w:pPr>
        <w:pStyle w:val="TextoNormal"/>
      </w:pPr>
      <w:r>
        <w:lastRenderedPageBreak/>
        <w:t>a) Unidad de acción en el exterior. Se entiende por unidad de acción en el exterior la ordenación y coordinación de las actividades realizadas en el exterior con el objeto de garantizar la consecución de los objetivos de la Política Exterior del Gobierno y la mejor defensa de los intereses de España.</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La Comunidad Autónoma recurrente considera que el art. 1.2, apartados a) y b) de la Ley 2/2014, identifica “acción exterior del Estado” con “política exterior” en el sentido de que, al otorgar fuerza expansiva al concepto de “política exterior” y, al exigir que la actuación de los sujetos que enumera como autores de actuaciones comprendidas dentro de la acción exterior del Estado (entre ellos las Comunidades Autónomas), se adecúe a las directrices, fines y objetivos establecidos por el Gobierno en el ejercicio de su competencia de la dirección de la política exterior, conlleva que aquellos sujetos pierden su autonomía y que el Gobierno de la Nación puede intervenir en cualquier sector de actividad. Dice que el precepto somete a las Comunidades Autónomas a las directrices del Gobierno, con lo que se arbitra un mecanismo para que éste, sin título para ello, pueda condicionar las competencias autonómicas. El razonamiento se liga con la crítica al principio de “unidad de acción en el exterior” del artículo 3.2 a) que, siempre según la Comunidad Autónoma, se impone por el Estado y excede de las facultades de coordinación de éste. Frente a ello, el Abogado del Estado esgrime que, estos apartados legales, no imponen una acción exterior común, ni una concreta acción exterior y que las directrices, fines y objetivos que puede fijar el Gobierno se refieren al ámbito de su competencia.</w:t>
      </w:r>
    </w:p>
    <w:p w:rsidR="00163957" w:rsidRDefault="00163957" w:rsidP="00163957">
      <w:pPr>
        <w:pStyle w:val="TextoNormal"/>
      </w:pPr>
    </w:p>
    <w:p w:rsidR="00163957" w:rsidRDefault="00163957" w:rsidP="00163957">
      <w:pPr>
        <w:pStyle w:val="TextoNormal"/>
      </w:pPr>
      <w:r>
        <w:t>Resumido el debate en la forma expuesta, se ha de rechazar que los preceptos cuestionados habiliten al Estado para intervenir en cualquier sector de actividad superponiéndose a las competencias autonómicas, o que “impongan”, como dice la recurrente, el sometimiento de las Comunidades Autónomas a “directrices, fines y objetivos” que exceden de las competencias del Estado.</w:t>
      </w:r>
    </w:p>
    <w:p w:rsidR="00163957" w:rsidRDefault="00163957" w:rsidP="00163957">
      <w:pPr>
        <w:pStyle w:val="TextoNormal"/>
      </w:pPr>
    </w:p>
    <w:p w:rsidR="00163957" w:rsidRDefault="00163957" w:rsidP="00163957">
      <w:pPr>
        <w:pStyle w:val="TextoNormal"/>
      </w:pPr>
      <w:r>
        <w:t xml:space="preserve">El concepto de “política exterior” del art. 1.2 a) de la Ley, se delimita en un doble sentido. Subjetivamente, se refiere a las relaciones del Gobierno con otros actores de la escena internacional y objetivamente se dirige a definir, promover, desarrollar y defender los valores e intereses de España en el exterior. Resulta así conforme con el contenido de la competencia exclusiva estatal del art. 149.1.3 CE de la que, como hemos visto, forman parte sustancial el </w:t>
      </w:r>
      <w:r w:rsidRPr="00163957">
        <w:rPr>
          <w:i/>
        </w:rPr>
        <w:t>ius legationis</w:t>
      </w:r>
      <w:r>
        <w:t xml:space="preserve"> y el </w:t>
      </w:r>
      <w:r w:rsidRPr="00163957">
        <w:rPr>
          <w:i/>
        </w:rPr>
        <w:t>ius contrahendi</w:t>
      </w:r>
      <w:r>
        <w:t xml:space="preserve"> y también con el art. 97 CE y con la concepción de la política exterior del Estado como acción política del Gobierno en el exterior. Como ya señalamos en la STC 165/1994, FJ 5, “las ‘relaciones internacionales’, en cuanto materia jurídica, no se identifican en modo alguno con el contenido más amplio que posee dicha expresión en sentido sociológico, ni con cualquier actividad exterior. Ni tampoco, obvio es, con la ‘política exterior’ en cuanto acción política del Gobierno”. De esta forma, como resulta por otra parte de nuestra doctrina ya expuesta, en el art. 149.1.3 CE se integran, no solo las facultades clásicas que el Derecho internacional reconoce a los Estados como sujetos de ese Derecho sino también una potestad más amplia de “dirección y puesta en ejecución de la política exterior” entendida como estrategia, posicionamiento y actuación del Estado en el ámbito internacional en defensa, como dice precisamente el precepto que ahora analizamos, de los intereses y valores de España.</w:t>
      </w:r>
    </w:p>
    <w:p w:rsidR="00163957" w:rsidRDefault="00163957" w:rsidP="00163957">
      <w:pPr>
        <w:pStyle w:val="TextoNormal"/>
      </w:pPr>
    </w:p>
    <w:p w:rsidR="00163957" w:rsidRDefault="00163957" w:rsidP="00163957">
      <w:pPr>
        <w:pStyle w:val="TextoNormal"/>
      </w:pPr>
      <w:r>
        <w:lastRenderedPageBreak/>
        <w:t>En este punto, resulta determinante que el art. 1.2 b), al definir la “acción exterior del Estado” como conjunto de actuaciones que, entre otros, las Comunidades Autónomas, realizan en el exterior, concreta por una parte que éstas se han de llevar a cabo por tales sujetos “en el ejercicio de sus respectivas competencias” y, aun sometiendo dicho ejercicio a la “observancia y adecuación a las directrices, fines y objetivos establecidos por el Gobierno”, precisa también expresamente que ello será “en el ejercicio de su competencia de dirección de la política exterior”. De esta forma, se reconoce la actuación de las Comunidades Autónomas en el exterior y, al mismo tiempo, se afirma su sujeción a la dirección del Estado que resulta, se reitera, de la competencia exclusiva del art. 149.1.3 CE.</w:t>
      </w:r>
    </w:p>
    <w:p w:rsidR="00163957" w:rsidRDefault="00163957" w:rsidP="00163957">
      <w:pPr>
        <w:pStyle w:val="TextoNormal"/>
      </w:pPr>
    </w:p>
    <w:p w:rsidR="00163957" w:rsidRDefault="00163957" w:rsidP="00163957">
      <w:pPr>
        <w:pStyle w:val="TextoNormal"/>
      </w:pPr>
      <w:r>
        <w:t xml:space="preserve">Lo anterior resulta plenamente coherente con la doctrina recogida en el fundamento jurídico 6 de la misma STC 165/1994 precitada, según la cual, “la posibilidad de las Comunidades Autónomas de llevar a cabo actividades que tengan una proyección exterior debe entenderse limitada a aquéllas que, siendo necesarias, o al menos convenientes, para el ejercicio de sus competencias, no impliquen el ejercicio de un </w:t>
      </w:r>
      <w:r w:rsidRPr="00163957">
        <w:rPr>
          <w:i/>
        </w:rPr>
        <w:t>ius contrahendi</w:t>
      </w:r>
      <w:r>
        <w:t>, no originen obligaciones inmediatas y actuales frente a poderes públicos extranjeros, no incidan en la política exterior del Estado, y no generen responsabilidad de éste frente a Estados extranjeros u organizaciones inter o supranacionales”. En esta misma Sentencia añadíamos ya que “evidentemente, no cabe una exposición exhaustiva de cuales sean esas actividades, por cuanto que lo decisivo para su inclusión en la competencia autonómica será, junto a la efectiva existencia de la atribución competencial estatutaria, que, por una parte, no incidan en la reserva estatal arriba expuesta, y por otra, que no la perturben o condicionen: lo que significará que, dentro de esa competencia exclusiva estatal se sitúa la posibilidad de establecer medidas que regulen y coordinen las actividades con proyección externa de las Comunidades Autónomas, para evitar o remediar eventuales perjuicios sobre la dirección y puesta en ejecución de la política exterior que, en exclusiva, corresponde a las autoridades estatales”.</w:t>
      </w:r>
    </w:p>
    <w:p w:rsidR="00163957" w:rsidRDefault="00163957" w:rsidP="00163957">
      <w:pPr>
        <w:pStyle w:val="TextoNormal"/>
      </w:pPr>
    </w:p>
    <w:p w:rsidR="00163957" w:rsidRDefault="00163957" w:rsidP="00163957">
      <w:pPr>
        <w:pStyle w:val="TextoNormal"/>
      </w:pPr>
      <w:r>
        <w:t>Igualmente, el principio de unidad de acción en el exterior que consagra el art. 3.2 a) de la Ley, parte de la premisa, de que las Comunidades Autónomas y otros sujetos distintos del Estado, pueden actuar en el exterior pero de forma coordinada, a fin de garantizar los objetivos de la política exterior del Gobierno que deben ser preservados. Por tanto, la propia Ley se encarga de reconducir, tanto la posibilidad que tienen las Comunidades Autónomas de actuar en el exterior, como la facultad del Gobierno de fijar directrices al respecto, a las competencias que constitucionalmente tienen atribuidos aquellas y éste.</w:t>
      </w:r>
    </w:p>
    <w:p w:rsidR="00163957" w:rsidRDefault="00163957" w:rsidP="00163957">
      <w:pPr>
        <w:pStyle w:val="TextoNormal"/>
      </w:pPr>
    </w:p>
    <w:p w:rsidR="00163957" w:rsidRDefault="00163957" w:rsidP="00163957">
      <w:pPr>
        <w:pStyle w:val="TextoNormal"/>
      </w:pPr>
      <w:r>
        <w:t>Cabe trasladar aquí las consideraciones que hicimos en la STC 45/1991, de 28 de febrero, en cuyo fundamento jurídico 4, refiriéndonos a otro título competencial pero con razonamientos que son trasladables al presente caso, ya dijimos que “la competencia estatal de coordinación presupone, lógicamente, la existencia de competencias autonómicas que deben ser coordinadas, competencia que el Estado debe respetar, evitando que la coordinación llegue ‘a tal grado de desarrollo’ que deje vacías de contenido las correspondientes competencias de las Comunidades Autónomas”.</w:t>
      </w:r>
    </w:p>
    <w:p w:rsidR="00163957" w:rsidRDefault="00163957" w:rsidP="00163957">
      <w:pPr>
        <w:pStyle w:val="TextoNormal"/>
      </w:pPr>
    </w:p>
    <w:p w:rsidR="00163957" w:rsidRDefault="00163957" w:rsidP="00163957">
      <w:pPr>
        <w:pStyle w:val="TextoNormal"/>
      </w:pPr>
      <w:r>
        <w:t>El establecimiento de “directrices, fines y objetivos” que, en cuanto tales, deben ser seguidos por los sujetos coordinados, resulta pues propio de la competencia de ordenación y coordinación que, como director de la política exterior del Estado, incumbe al Gobierno en esta materia. Como también dijimos en la STC 45/1991, “la competencia estatal de coordi</w:t>
      </w:r>
      <w:r>
        <w:lastRenderedPageBreak/>
        <w:t>nación … busca la integración de una diversidad de competencias y Administraciones afectadas en un sistema o conjunto unitario y operativo, desprovisto de contradicciones y disfunciones; siendo preciso para ello fijar medidas suficientes y mecanismos de relación que permitan la información recíproca y una acción conjunta, así como, según la naturaleza de la actividad, pensar tanto en técnicas autorizativas, o de coordinación a posteriori, como preventivas u homogeneizadoras”.</w:t>
      </w:r>
    </w:p>
    <w:p w:rsidR="00163957" w:rsidRDefault="00163957" w:rsidP="00163957">
      <w:pPr>
        <w:pStyle w:val="TextoNormal"/>
      </w:pPr>
    </w:p>
    <w:p w:rsidR="00163957" w:rsidRDefault="00163957" w:rsidP="00163957">
      <w:pPr>
        <w:pStyle w:val="TextoNormal"/>
      </w:pPr>
      <w:r>
        <w:t xml:space="preserve">Si la fijación de directrices y objetivos es consustancial a cualesquiera tareas de dirección y coordinación, máxime en un Estado compuesto como es el nuestro, ello es aplicable, incluso con mayor intensidad, en el ámbito de la acción exterior del Estado, en el que se ha de combinar la competencia exclusiva que el mismo ostenta en materia de relaciones internacionales </w:t>
      </w:r>
      <w:r w:rsidRPr="00163957">
        <w:rPr>
          <w:i/>
        </w:rPr>
        <w:t>ex</w:t>
      </w:r>
      <w:r>
        <w:t xml:space="preserve"> art. 149.1.3 CE (que, entre otras cosas, se reitera, conlleva que solo el Estado pueda relacionarse en el exterior como sujeto de Derecho internacional) con la existencia, que hemos reconocido, de una multiplicidad de sujetos habilitados para realizar, en el ejercicio de sus competencias, actuaciones con proyección internacional.</w:t>
      </w:r>
    </w:p>
    <w:p w:rsidR="00163957" w:rsidRDefault="00163957" w:rsidP="00163957">
      <w:pPr>
        <w:pStyle w:val="TextoNormal"/>
      </w:pPr>
    </w:p>
    <w:p w:rsidR="00163957" w:rsidRDefault="00163957" w:rsidP="00163957">
      <w:pPr>
        <w:pStyle w:val="TextoNormal"/>
      </w:pPr>
      <w:r>
        <w:t xml:space="preserve">La misma exposición de motivos de la Ley 2/2014 (apartado I </w:t>
      </w:r>
      <w:r w:rsidRPr="00163957">
        <w:rPr>
          <w:i/>
        </w:rPr>
        <w:t>in fine</w:t>
      </w:r>
      <w:r>
        <w:t>) dice en este sentido que “la Constitución de 1978 creó el marco jurídico necesario para el reconocimiento a diversos sujetos, entre ellos las Comunidades Autónomas a través de sus respectivos Estatutos de Autonomía, de competencias en materia de Acción Exterior, tanto en el ámbito de la Unión Europea como en el de la Acción Exterior en sentido propio. Ello ha comportado un gran enriquecimiento interior y exterior para España, pero conlleva, a su vez, la correlativa necesidad de coordinación para garantizar una armoniosa convivencia entre la Acción Exterior y la dirección de la Política Exterior por parte del Gobierno”. Y añade: “Se persigue dotar a esta última [acción exterior del Estado] de unidad y coherencia interna, más allá de la suma de las acciones sectoriales; planificarla, garantizar su eficacia y eficiencia, reconocer la necesaria especialización en su ejecución; y ponerla al servicio de los intereses generales de España, como resultado de una visión participada y compartida sobre lo que a España interesa”.</w:t>
      </w:r>
    </w:p>
    <w:p w:rsidR="00163957" w:rsidRDefault="00163957" w:rsidP="00163957">
      <w:pPr>
        <w:pStyle w:val="TextoNormal"/>
      </w:pPr>
    </w:p>
    <w:p w:rsidR="00163957" w:rsidRDefault="00163957" w:rsidP="00163957">
      <w:pPr>
        <w:pStyle w:val="TextoNormal"/>
      </w:pPr>
      <w:r>
        <w:t>Así, ya en Sentencias como la STC 80/2012, de 18 de abril, reconocimos que la dimensión internacional de algunas actividades (como, en ese caso, el deporte) tiene incidencia en la acción exterior del Estado, de forma que, aunque se trate de actividades sobre materia de competencia autonómica: “Los intereses que se ven afectados como consecuencia de la necesidad de atender a la imagen internacional del Estado español … y sus consiguientes efectos simbólicos, requieren de una actuación no fragmentada, de una actuación común y coordinadora que sólo puede competer al Estado”.</w:t>
      </w:r>
    </w:p>
    <w:p w:rsidR="00163957" w:rsidRDefault="00163957" w:rsidP="00163957">
      <w:pPr>
        <w:pStyle w:val="TextoNormal"/>
      </w:pPr>
    </w:p>
    <w:p w:rsidR="00163957" w:rsidRDefault="00163957" w:rsidP="00163957">
      <w:pPr>
        <w:pStyle w:val="TextoNormal"/>
      </w:pPr>
      <w:r>
        <w:t>Por tanto, el principio de unidad de acción en el exterior y la fijación de directrices, fines y objetivos en este ámbito, responden a la naturaleza misma de la política exterior y de las relaciones internacionales que requieren una actuación no fragmentada, común y coordinadora, dirigida por el Estado en cuanto titular de la representatividad de nuestro país a nivel internacional.</w:t>
      </w:r>
    </w:p>
    <w:p w:rsidR="00163957" w:rsidRDefault="00163957" w:rsidP="00163957">
      <w:pPr>
        <w:pStyle w:val="TextoNormal"/>
      </w:pPr>
    </w:p>
    <w:p w:rsidR="00163957" w:rsidRDefault="00163957" w:rsidP="00163957">
      <w:pPr>
        <w:pStyle w:val="TextoNormal"/>
      </w:pPr>
      <w:r>
        <w:t xml:space="preserve">En todo caso, cabe precisar que las facultades de coordinación y ordenación que incumben al Estado a partir de su competencia exclusiva en materia de relaciones internacionales y de dirección de la política exterior, habrán de ejercerse, como es lógico, consecuentemente con su naturaleza de tales, a partir de principios rectores como los recogidos en el art. 3 de </w:t>
      </w:r>
      <w:r>
        <w:lastRenderedPageBreak/>
        <w:t>la Ley, no cuestionados por la Comunidad Autónoma recurrente (lealtad, cooperación, eficiencia), sin traspasar la línea de las competencias autonómicas.</w:t>
      </w:r>
    </w:p>
    <w:p w:rsidR="00163957" w:rsidRDefault="00163957" w:rsidP="00163957">
      <w:pPr>
        <w:pStyle w:val="TextoNormal"/>
      </w:pPr>
    </w:p>
    <w:p w:rsidR="00163957" w:rsidRDefault="00163957" w:rsidP="00163957">
      <w:pPr>
        <w:pStyle w:val="TextoNormal"/>
      </w:pPr>
      <w:r>
        <w:t>Así, el establecimiento por el Estado de directrices, fines y objetivos de la política exterior resulta compatible con las competencias asumidas por las Comunidades Autónomas en sus respectivos territorios, incluso partiendo de la base de su eventual proyección exterior.</w:t>
      </w:r>
    </w:p>
    <w:p w:rsidR="00163957" w:rsidRDefault="00163957" w:rsidP="00163957">
      <w:pPr>
        <w:pStyle w:val="TextoNormal"/>
      </w:pPr>
    </w:p>
    <w:p w:rsidR="00163957" w:rsidRDefault="00163957" w:rsidP="00163957">
      <w:pPr>
        <w:pStyle w:val="TextoNormal"/>
      </w:pPr>
      <w:r>
        <w:t>Otra cosa será que en un caso concreto, el Estado pueda fijar directrices, fines u objetivos o adoptar otras medidas de coordinación, que vayan más allá de la condición de tales o que excedan de lo que propiamente constituye la dirección de la política exterior. Sin embargo, ello es ajeno a la constitucionalidad de la Ley, sin perjuicio del conflicto a que pueda dar lugar tal eventualidad, puramente hipotética, si llegara a suscitarse. Como ya dijo el Tribunal, por ejemplo en la STC 172/1992, de 29 de octubre, FJ 2:</w:t>
      </w:r>
    </w:p>
    <w:p w:rsidR="00163957" w:rsidRDefault="00163957" w:rsidP="00163957">
      <w:pPr>
        <w:pStyle w:val="TextoNormal"/>
      </w:pPr>
    </w:p>
    <w:p w:rsidR="00163957" w:rsidRDefault="00163957" w:rsidP="00163957">
      <w:pPr>
        <w:pStyle w:val="TextoNormal"/>
      </w:pPr>
      <w:r>
        <w:t>“[S]egún jurisprudencia reiterada (por todas STC 77/1985, fundamento jurídico 4), este Tribunal no debe pronunciarse sobre las eventuales o hipotéticas interpretaciones que sobre las normas impugnadas propongan las partes en un proceso constitucional, sino que su función, como supremo intérprete de la Constitución, consiste en determinar si la norma impugnada y sometida, por tanto, al juicio de constitucionalidad, se opone o no a los mandatos constitucionales. No proceden por ello pronunciamientos preventivos a través de los cuales se pretenda evitar una posible y no producida aplicación del precepto en contradicción con la Constitución; lo que ha de impedir este Tribunal a través del juicio de constitucionalidad, es que del precepto enjuiciado se deriven necesariamente resultados o consecuencias contrarios a la Constitución. Naturalmente que de ocasionarse aquellos otros supuestos en los que la aplicación de una norma produzca —y no que pueda producir— vulneración de la Constitución, el ordenamiento jurídico ofrece los cauces, ante la jurisdicción ordinaria o ante este Tribunal, para evitar que tales situaciones se produzcan”.</w:t>
      </w:r>
    </w:p>
    <w:p w:rsidR="00163957" w:rsidRDefault="00163957" w:rsidP="00163957">
      <w:pPr>
        <w:pStyle w:val="TextoNormal"/>
      </w:pPr>
    </w:p>
    <w:p w:rsidR="00163957" w:rsidRDefault="00163957" w:rsidP="00163957">
      <w:pPr>
        <w:pStyle w:val="TextoNormal"/>
      </w:pPr>
      <w:r>
        <w:t>Por todo lo expuesto, se desestima el recurso interpuesto contra los arts. 1.2, apartados a) y b) y 3.2 a) de la Ley 2/2014.</w:t>
      </w:r>
    </w:p>
    <w:p w:rsidR="00163957" w:rsidRDefault="00163957" w:rsidP="00163957">
      <w:pPr>
        <w:pStyle w:val="TextoNormal"/>
      </w:pPr>
    </w:p>
    <w:p w:rsidR="00163957" w:rsidRDefault="00163957" w:rsidP="00163957">
      <w:pPr>
        <w:pStyle w:val="TextoNormal"/>
      </w:pPr>
      <w:r w:rsidRPr="00163957">
        <w:rPr>
          <w:rStyle w:val="NumeroAFNegritaCaracter"/>
        </w:rPr>
        <w:t>5</w:t>
      </w:r>
      <w:r>
        <w:t>. A continuación, la Comunidad Autónoma de Canarias, impugna el art. 5.2, de la Ley 2/2014, incluido dentro del título I, capítulo I, relativo a los “sujetos de la acción exterior del Estado”. Este precepto dice lo siguiente:</w:t>
      </w:r>
    </w:p>
    <w:p w:rsidR="00163957" w:rsidRDefault="00163957" w:rsidP="00163957">
      <w:pPr>
        <w:pStyle w:val="TextoNormal"/>
      </w:pPr>
    </w:p>
    <w:p w:rsidR="00163957" w:rsidRDefault="00163957" w:rsidP="00163957">
      <w:pPr>
        <w:pStyle w:val="TextoNormal"/>
      </w:pPr>
      <w:r>
        <w:t>“Los órganos constitucionales, las Comunidades Autónomas, las Ciudades Autónomas, las entidades que integran la Administración Local y los organismos, entidades e instituciones de ellas dependientes mantendrán informado al Ministerio de Asuntos Exteriores y de Cooperación de las propuestas sobre viajes, visitas, intercambios y actuaciones con proyección exterior, para que este departamento pueda informar y, en su caso, emitir recomendaciones motivadas sobre la adecuación de la propuesta de actuación a las directrices, fines y objetivos de la Política Exterior fijados por el Gobierno y los instrumentos de planificación establecidos por esta ley.</w:t>
      </w:r>
    </w:p>
    <w:p w:rsidR="00163957" w:rsidRDefault="00163957" w:rsidP="00163957">
      <w:pPr>
        <w:pStyle w:val="TextoNormal"/>
      </w:pPr>
    </w:p>
    <w:p w:rsidR="00163957" w:rsidRDefault="00163957" w:rsidP="00163957">
      <w:pPr>
        <w:pStyle w:val="TextoNormal"/>
      </w:pPr>
      <w:r>
        <w:t>Esta obligación de información en el ámbito de las Comunidades Autónomas y Ciudades Autónomas comprenderá los viajes, visitas, intercambios y actuaciones de sus Presidentes y de los miembros de sus Consejos de Gobierno y no será de aplicación cuando se trate de actuaciones en el ámbito de la Unión Europea y de viajes o visitas a sus instituciones.</w:t>
      </w:r>
    </w:p>
    <w:p w:rsidR="00163957" w:rsidRDefault="00163957" w:rsidP="00163957">
      <w:pPr>
        <w:pStyle w:val="TextoNormal"/>
      </w:pPr>
    </w:p>
    <w:p w:rsidR="00163957" w:rsidRDefault="00163957" w:rsidP="00163957">
      <w:pPr>
        <w:pStyle w:val="TextoNormal"/>
      </w:pPr>
      <w:r>
        <w:t>El Ministerio de Asuntos Exteriores y de Cooperación comunicará al de Hacienda y Administraciones Públicas la información recibida de las Comunidades Autónomas y entidades que integran la Administración Local.”</w:t>
      </w:r>
    </w:p>
    <w:p w:rsidR="00163957" w:rsidRDefault="00163957" w:rsidP="00163957">
      <w:pPr>
        <w:pStyle w:val="TextoNormal"/>
      </w:pPr>
    </w:p>
    <w:p w:rsidR="00163957" w:rsidRDefault="00163957" w:rsidP="00163957">
      <w:pPr>
        <w:pStyle w:val="TextoNormal"/>
      </w:pPr>
      <w:r>
        <w:t>Frente al artículo 5.2, el recurso esgrime, en primer lugar, que se refiera a todas las Administraciones públicas en general, colocando a las Comunidades Autónomas en la misma posición que al resto de sujetos que enumera por lo que, a juicio de la recurrente, desconoce la autonomía política de éstas y su posición institucional.</w:t>
      </w:r>
    </w:p>
    <w:p w:rsidR="00163957" w:rsidRDefault="00163957" w:rsidP="00163957">
      <w:pPr>
        <w:pStyle w:val="TextoNormal"/>
      </w:pPr>
    </w:p>
    <w:p w:rsidR="00163957" w:rsidRDefault="00163957" w:rsidP="00163957">
      <w:pPr>
        <w:pStyle w:val="TextoNormal"/>
      </w:pPr>
      <w:r>
        <w:t>El argumento no puede ser atendido. De una parte, no se identifica, como exige el art. 33.1 de la Ley Orgánica del Tribunal Constitucional, el precepto constitucional concreto que, en relación con esta cuestión, se considera vulnerado. De otra parte, el supuesto tratamiento indiferenciado de las Comunidades Autónomas no se puede deducir de un apartado aislado de la Ley. De hecho, resulta desmentido en el conjunto de la misma. Así, ya el párrafo segundo del artículo 5.2, individualiza el ámbito de las Comunidades Autónomas y Ciudades Autónomas para delimitar las actuaciones que comprende y excluir las realizadas en la Unión Europea. Asimismo, otros preceptos legales, como el artículo 11, someten expresamente a las entidades que integran la Administración local a los instrumentos de planificación de la acción exterior que determinen sus respectivas Comunidades Autónomas con lo que se reconoce la posición institucional de éstas. La misma conclusión se alcanza al comprobar que, tanto el artículo 11.1 como el artículo 12, al que a continuación nos referiremos, diferencian a las Comunidades Autónomas al referirse a sus competencias en general o al caso concreto de sus oficinas en el exterior.</w:t>
      </w:r>
    </w:p>
    <w:p w:rsidR="00163957" w:rsidRDefault="00163957" w:rsidP="00163957">
      <w:pPr>
        <w:pStyle w:val="TextoNormal"/>
      </w:pPr>
    </w:p>
    <w:p w:rsidR="00163957" w:rsidRDefault="00163957" w:rsidP="00163957">
      <w:pPr>
        <w:pStyle w:val="TextoNormal"/>
      </w:pPr>
      <w:r>
        <w:t>También se cuestiona por la recurrente que, el art. 5.2 de la Ley 2/2014, establezca el deber de informar al Ministerio de Asuntos Exteriores y de Cooperación sobre los viajes, visitas, intercambios y actuaciones con proyección exterior que las Comunidades Autónomas se propongan realizar para que ese Departamento pueda informar y en su caso, emitir recomendaciones. Se sostiene que el precepto es intervencionista y constitutivo de una injerencia desproporcionada en el ejercicio de competencias autonómicas.</w:t>
      </w:r>
    </w:p>
    <w:p w:rsidR="00163957" w:rsidRDefault="00163957" w:rsidP="00163957">
      <w:pPr>
        <w:pStyle w:val="TextoNormal"/>
      </w:pPr>
    </w:p>
    <w:p w:rsidR="00163957" w:rsidRDefault="00163957" w:rsidP="00163957">
      <w:pPr>
        <w:pStyle w:val="TextoNormal"/>
      </w:pPr>
      <w:r>
        <w:t>La alegación anterior se realiza de forma genérica, sin mayor concreción, si bien se puede ligar a los argumentos preliminares del recurso relativos a una supuesta extralimitación por parte del Estado de sus facultades de ordenación y coordinación en este ámbito.</w:t>
      </w:r>
    </w:p>
    <w:p w:rsidR="00163957" w:rsidRDefault="00163957" w:rsidP="00163957">
      <w:pPr>
        <w:pStyle w:val="TextoNormal"/>
      </w:pPr>
    </w:p>
    <w:p w:rsidR="00163957" w:rsidRDefault="00163957" w:rsidP="00163957">
      <w:pPr>
        <w:pStyle w:val="TextoNormal"/>
      </w:pPr>
      <w:r>
        <w:t>La inconstitucionalidad del precepto sobre la base de las alegaciones reseñadas, debe también ser rechazada.</w:t>
      </w:r>
    </w:p>
    <w:p w:rsidR="00163957" w:rsidRDefault="00163957" w:rsidP="00163957">
      <w:pPr>
        <w:pStyle w:val="TextoNormal"/>
      </w:pPr>
    </w:p>
    <w:p w:rsidR="00163957" w:rsidRDefault="00163957" w:rsidP="00163957">
      <w:pPr>
        <w:pStyle w:val="TextoNormal"/>
      </w:pPr>
      <w:r>
        <w:t xml:space="preserve">Analizando, en primer lugar, la obligación que se impone a los distintos sujetos de la acción exterior, de informar al Ministerio de Asuntos Exteriores y de Cooperación de los viajes, visitas, intercambios y actuaciones con proyección exterior que se proponen realizar, la misma encuentra su justificación en tratarse de un instrumento de colaboración, en aplicación del principio de lealtad institucional entre las diversas Administraciones y órganos públicos, en un Estado de estructura compuesta que comporta el deber de respeto de las competencias mutuas. Si como hemos razonado, la fijación de directrices, fines y objetivos es consustancial a la facultad de ordenación y coordinación de las actividades con relevancia externa de las Comunidades Autónomas que se ha reconocido al Estado, igualmente se ha </w:t>
      </w:r>
      <w:r>
        <w:lastRenderedPageBreak/>
        <w:t>de admitir que constituye elemento esencial de dicha actividad la recepción de la información previa sobre la existencia misma de dichas actuaciones a fin de poderlas coordinar.</w:t>
      </w:r>
    </w:p>
    <w:p w:rsidR="00163957" w:rsidRDefault="00163957" w:rsidP="00163957">
      <w:pPr>
        <w:pStyle w:val="TextoNormal"/>
      </w:pPr>
    </w:p>
    <w:p w:rsidR="00163957" w:rsidRDefault="00163957" w:rsidP="00163957">
      <w:pPr>
        <w:pStyle w:val="TextoNormal"/>
      </w:pPr>
      <w:r>
        <w:t>Igualmente, la posibilidad, que se reconoce al Ministerio de Asuntos Exteriores, de informar o emitir recomendaciones, que han de ser motivadas, sobre la adecuación de la propuesta de actuación a las directrices, fines y objetivos de la política exterior previamente fijados, que establece el artículo, es la lógica plasmación de la efectividad de la coordinación pretendida y resulta consecuente en función del fin perseguido. En todo caso, los informes y, en su caso, recomendaciones, que puede emitir el Estado según el precepto, se refieren, como éste dice, a la adecuación de la propuesta a las directrices, fines y objetivos de la política exterior fijados por el Gobierno que, como dispone, el artículo 1.2 b) antes examinado, se establecen por éste en ejercicio de su competencia de dirección de la política exterior. Se trata pues de informes y recomendaciones con un contenido concreto y limitado a lo que constituye la competencia estatal. Son así compatibles con la doctrina que hemos sentado, ya desde la STC 6/1982, de 22 de febrero, en la que ya señalamos que: “no se ajusta al principio de autonomía la previsión de controles genéricos o indeterminados, que impliquen dependencia jerárquica de las Comunidades Autónomas respecto a la Administración del Estado” (FJ 7), de forma que hemos distinguido entre un control “genérico e indeterminado” que, en principio, resultaría contrario al principio de autonomía constitucional y aquellos controles precisos para “garantizar el cumplimiento de las facultades emanadas del ejercicio de las potestades de coordinación” (STC 118/1996, de 27 de junio, FJ 19), “siempre, claro está, que no supongan ‘la emanación de órdenes concretas que prefiguren exhaustivamente el contenido de la actividad del ente coordinado, agotando su propio ámbito de decisión autónoma’ (STC 27/1987, de 27 de febrero, FJ 6) pues en tal supuesto, existiría un verdadero control jerárquico o cuasi jerárquico incompatible con la autonomía de las Entidades coordinadas” (STC 40/1998, de 19 de febrero, FJ 53).</w:t>
      </w:r>
    </w:p>
    <w:p w:rsidR="00163957" w:rsidRDefault="00163957" w:rsidP="00163957">
      <w:pPr>
        <w:pStyle w:val="TextoNormal"/>
      </w:pPr>
    </w:p>
    <w:p w:rsidR="00163957" w:rsidRDefault="00163957" w:rsidP="00163957">
      <w:pPr>
        <w:pStyle w:val="TextoNormal"/>
      </w:pPr>
      <w:r>
        <w:t>En consecuencia, se desestima el recurso contra el art. 5.2 de la Ley 2/2014.</w:t>
      </w:r>
    </w:p>
    <w:p w:rsidR="00163957" w:rsidRDefault="00163957" w:rsidP="00163957">
      <w:pPr>
        <w:pStyle w:val="TextoNormal"/>
      </w:pPr>
    </w:p>
    <w:p w:rsidR="00163957" w:rsidRDefault="00163957" w:rsidP="00163957">
      <w:pPr>
        <w:pStyle w:val="TextoNormal"/>
      </w:pPr>
      <w:r w:rsidRPr="00163957">
        <w:rPr>
          <w:rStyle w:val="NumeroAFNegritaCaracter"/>
        </w:rPr>
        <w:t>6</w:t>
      </w:r>
      <w:r>
        <w:t>. Son también objeto de recurso, según se ha indicado, los arts. 12 y 13.1 de la Ley 2/2014, incluidos dentro del mismo capítulo que el art. 5.2 que se acaba de analizar.</w:t>
      </w:r>
    </w:p>
    <w:p w:rsidR="00163957" w:rsidRDefault="00163957" w:rsidP="00163957">
      <w:pPr>
        <w:pStyle w:val="TextoNormal"/>
      </w:pPr>
    </w:p>
    <w:p w:rsidR="00163957" w:rsidRDefault="00163957" w:rsidP="00163957">
      <w:pPr>
        <w:pStyle w:val="TextoNormal"/>
      </w:pPr>
      <w:r>
        <w:t>Se afirma la supuesta inconstitucionalidad del art. 12 de la Ley, en cuanto dispone que las Comunidades Autónomas, con carácter previo a su apertura, informen al Gobierno del establecimiento de oficinas para su promoción exterior. Se dice que este precepto supone un desproporcionado intervencionismo y violenta el ejercicio de la competencia autonómica para crear y diseñar oficinas en el exterior en cuanto contempla informes de tres Ministerios distintos que, aunque la Ley no lo dice, podrían llegar a configurarse como vinculantes en el desarrollo reglamentario de la Ley previsto en su disposición final quinta.</w:t>
      </w:r>
    </w:p>
    <w:p w:rsidR="00163957" w:rsidRDefault="00163957" w:rsidP="00163957">
      <w:pPr>
        <w:pStyle w:val="TextoNormal"/>
      </w:pPr>
    </w:p>
    <w:p w:rsidR="00163957" w:rsidRDefault="00163957" w:rsidP="00163957">
      <w:pPr>
        <w:pStyle w:val="TextoNormal"/>
      </w:pPr>
      <w:r>
        <w:t>El art. 12 de la Ley, dice lo siguiente:</w:t>
      </w:r>
    </w:p>
    <w:p w:rsidR="00163957" w:rsidRDefault="00163957" w:rsidP="00163957">
      <w:pPr>
        <w:pStyle w:val="TextoNormal"/>
      </w:pPr>
    </w:p>
    <w:p w:rsidR="00163957" w:rsidRDefault="00163957" w:rsidP="00163957">
      <w:pPr>
        <w:pStyle w:val="TextoNormal"/>
      </w:pPr>
      <w:r>
        <w:t>“1. Las Comunidades Autónomas y las Ciudades Autónomas informarán al Gobierno del establecimiento de oficinas para su promoción exterior, con carácter previo a su apertura. El Ministerio de Asuntos Exteriores y de Cooperación informará la propuesta, de acuerdo con las directrices, fines y objetivos de la Política Exterior, la Estrategia de Acción Exterior y, en particular, con el principio de unidad de acción en el exterior.</w:t>
      </w:r>
    </w:p>
    <w:p w:rsidR="00163957" w:rsidRDefault="00163957" w:rsidP="00163957">
      <w:pPr>
        <w:pStyle w:val="TextoNormal"/>
      </w:pPr>
    </w:p>
    <w:p w:rsidR="00163957" w:rsidRDefault="00163957" w:rsidP="00163957">
      <w:pPr>
        <w:pStyle w:val="TextoNormal"/>
      </w:pPr>
      <w:r>
        <w:lastRenderedPageBreak/>
        <w:t>2. El Ministerio de Hacienda y Administraciones Públicas informará dicha propuesta de acuerdo con el principio de eficiencia en la gestión de los recursos públicos así como desde la perspectiva de su adecuación al orden competencial.</w:t>
      </w:r>
    </w:p>
    <w:p w:rsidR="00163957" w:rsidRDefault="00163957" w:rsidP="00163957">
      <w:pPr>
        <w:pStyle w:val="TextoNormal"/>
      </w:pPr>
    </w:p>
    <w:p w:rsidR="00163957" w:rsidRDefault="00163957" w:rsidP="00163957">
      <w:pPr>
        <w:pStyle w:val="TextoNormal"/>
      </w:pPr>
      <w:r>
        <w:t>3. Cuando se trate de oficinas dedicadas a la promoción comercial, se recabará además el informe del Ministerio de Economía y Competitividad.</w:t>
      </w:r>
    </w:p>
    <w:p w:rsidR="00163957" w:rsidRDefault="00163957" w:rsidP="00163957">
      <w:pPr>
        <w:pStyle w:val="TextoNormal"/>
      </w:pPr>
    </w:p>
    <w:p w:rsidR="00163957" w:rsidRDefault="00163957" w:rsidP="00163957">
      <w:pPr>
        <w:pStyle w:val="TextoNormal"/>
      </w:pPr>
      <w:r>
        <w:t>4. El Gobierno impulsará la instalación de estas oficinas dentro de los locales del Servicio Exterior del Estado, cuando así lo permitan las disponibilidades de espacio de dicho Servicio, sin que en ningún caso dicha instalación comporte ni su integración en el Servicio Exterior del Estado, ni la aplicación a dichas oficinas de la normativa internacional, especialmente la recogida en las Convenciones de Viena sobre relaciones diplomáticas y consulares.”</w:t>
      </w:r>
    </w:p>
    <w:p w:rsidR="00163957" w:rsidRDefault="00163957" w:rsidP="00163957">
      <w:pPr>
        <w:pStyle w:val="TextoNormal"/>
      </w:pPr>
    </w:p>
    <w:p w:rsidR="00163957" w:rsidRDefault="00163957" w:rsidP="00163957">
      <w:pPr>
        <w:pStyle w:val="TextoNormal"/>
      </w:pPr>
      <w:r>
        <w:t>Es claro que, el precepto transcrito, admite la creación por las Comunidades Autónomas de oficinas para su promoción exterior. Precisamente porque parte de la premisa de la posible existencia de estas oficinas, regula la obligación de información que se cuestiona. Ello es conforme con la doctrina de este Tribunal (STC 165/1994, FJ 8) y no constituye una novedad, puesto que, como ya destacamos en la STC 31/2010, FJ 126, la posibilidad estaba ya contemplada en el art. 36.7 de la Ley 6/1997, de 14 de abril, de organización y funcionamiento de la Administración general del Estado y, como dice la Comunidad Autónoma recurrente, se ha regulado, por ejemplo, por ella misma. Como dijimos en la STC 165/1994 “no cabe excluir que las Comunidades Autónomas puedan llevar a cabo actividades que supongan una conexión o relación con entidades públicas exteriores al Estado, en tanto tales conexiones o relaciones no incidan en la reserva estatal prevista en el art. 149.1.3 CE o perturben el ejercicio de las actividades que la integran” de forma que, en esta misma Sentencia, consideramos posible la existencia de un órgano de relación de la Comunidad Autónomas del País Vasco con las Instituciones Europeas con tareas referidas a la instrumentación del ejercicio de las competencias autonómicas sin perjuicio, obviamente, de la posible impugnación de una actuación autonómica</w:t>
      </w:r>
      <w:r w:rsidRPr="00163957">
        <w:rPr>
          <w:i/>
        </w:rPr>
        <w:t xml:space="preserve"> ultra vire</w:t>
      </w:r>
      <w:r>
        <w:t>s.</w:t>
      </w:r>
    </w:p>
    <w:p w:rsidR="00163957" w:rsidRDefault="00163957" w:rsidP="00163957">
      <w:pPr>
        <w:pStyle w:val="TextoNormal"/>
      </w:pPr>
    </w:p>
    <w:p w:rsidR="00163957" w:rsidRDefault="00163957" w:rsidP="00163957">
      <w:pPr>
        <w:pStyle w:val="TextoNormal"/>
      </w:pPr>
      <w:r>
        <w:t>A partir de lo anterior, el precepto establece, por una parte, la obligación de las Comunidades Autónomas y las ciudades autónomas de informar al Gobierno del establecimiento de oficinas para su promoción exterior, con carácter previo a su apertura. Se trata de una obligación informativa, no cuestionada por la recurrente de forma expresa y que está justificada en el marco de la coordinación requerida en este ámbito.</w:t>
      </w:r>
    </w:p>
    <w:p w:rsidR="00163957" w:rsidRDefault="00163957" w:rsidP="00163957">
      <w:pPr>
        <w:pStyle w:val="TextoNormal"/>
      </w:pPr>
    </w:p>
    <w:p w:rsidR="00163957" w:rsidRDefault="00163957" w:rsidP="00163957">
      <w:pPr>
        <w:pStyle w:val="TextoNormal"/>
      </w:pPr>
      <w:r>
        <w:t xml:space="preserve">Además, el precepto somete la creación de las oficinas autonómicas en el exterior a informes de hasta tres ministerios, lo que se considera desproporcionado por la recurrente. Sin embargo, el hecho de que la creación de las oficinas autonómicas de promoción en el exterior se someta a informes de la Administración del Estado en el sentido que regula el precepto cuestionado, es una nueva manifestación de las facultades de coordinación que ostenta la Administración del Estado en su condición de directora de la política exterior, necesaria en aras de la efectividad de las directrices, fines y objetivos diseñados y, en último término, de la actuación unitaria en este ámbito, a cuya necesidad nos hemos referido. Por otra parte, son numerosos los pronunciamientos (por ejemplo, STC 8/2012, de 18 de enero, FJ 3) en que hemos admitido la emisión de informes previos, en ámbitos de la propia competencia, </w:t>
      </w:r>
      <w:r>
        <w:lastRenderedPageBreak/>
        <w:t>como técnica adecuada de cooperación en el sistema autonómico; máxime en el caso presente, en que entra en juego una competencia exclusiva como la del art. 149.1.3 CE que ahora nos ocupa.</w:t>
      </w:r>
    </w:p>
    <w:p w:rsidR="00163957" w:rsidRDefault="00163957" w:rsidP="00163957">
      <w:pPr>
        <w:pStyle w:val="TextoNormal"/>
      </w:pPr>
    </w:p>
    <w:p w:rsidR="00163957" w:rsidRDefault="00163957" w:rsidP="00163957">
      <w:pPr>
        <w:pStyle w:val="TextoNormal"/>
      </w:pPr>
      <w:r>
        <w:t>La exigencia de los informes que el precepto contempla no resulta desproporcionada en la medida en que, ante el silencio del artículo sobre su naturaleza, se ha de entender que se trata de informes no vinculantes (art. 83.1 de la Ley 30/1992, de 26 de noviembre, de régimen jurídico de las Administraciones públicas y del procedimiento administrativo común y art. 80.1 de la nueva Ley 39/2015, de 1 de octubre, en vigor a partir del 2 de octubre de 2016) que deberán emitirse, también ante la falta de previsión legal expresa, en el plazo de diez días contemplado en las dos leyes citadas (arts. 83.2 y 80.2 respectivamente). La suposición que hace la recurrente de que se podrá atribuir a los citados informes naturaleza vinculante en un futuro desarrollo reglamentario de la Ley, es una mera apreciación subjetiva que, nuevamente, pretende dotar al recurso de un carácter preventivo que no le corresponde.</w:t>
      </w:r>
    </w:p>
    <w:p w:rsidR="00163957" w:rsidRDefault="00163957" w:rsidP="00163957">
      <w:pPr>
        <w:pStyle w:val="TextoNormal"/>
      </w:pPr>
    </w:p>
    <w:p w:rsidR="00163957" w:rsidRDefault="00163957" w:rsidP="00163957">
      <w:pPr>
        <w:pStyle w:val="TextoNormal"/>
      </w:pPr>
      <w:r>
        <w:t>En cuanto al art. 13.1 de la Ley, en concreto, se cuestiona por la recurrente, que también se imponga a las entidades vinculadas o dependientes de las Administraciones públicas, la sujeción a las directrices, fines y objetivos de política exterior fijados por el Gobierno y a los instrumentos de planificación de la acción exterior aprobados de acuerdo con la Ley.</w:t>
      </w:r>
    </w:p>
    <w:p w:rsidR="00163957" w:rsidRDefault="00163957" w:rsidP="00163957">
      <w:pPr>
        <w:pStyle w:val="TextoNormal"/>
      </w:pPr>
    </w:p>
    <w:p w:rsidR="00163957" w:rsidRDefault="00163957" w:rsidP="00163957">
      <w:pPr>
        <w:pStyle w:val="TextoNormal"/>
      </w:pPr>
      <w:r>
        <w:t>Así, el art. 13.1 indica:</w:t>
      </w:r>
    </w:p>
    <w:p w:rsidR="00163957" w:rsidRDefault="00163957" w:rsidP="00163957">
      <w:pPr>
        <w:pStyle w:val="TextoNormal"/>
      </w:pPr>
    </w:p>
    <w:p w:rsidR="00163957" w:rsidRDefault="00163957" w:rsidP="00163957">
      <w:pPr>
        <w:pStyle w:val="TextoNormal"/>
      </w:pPr>
      <w:r>
        <w:t>“1. Los organismos públicos, las sociedades estatales, las fundaciones públicas y entidades consorciadas y cualesquiera otras entidades vinculadas o dependientes de las Administraciones públicas actuarán en el exterior, en el ejercicio de sus respectivas funciones y competencias, de acuerdo con los principios establecidos en esta ley y con sujeción a las directrices, los fines y objetivos de Política Exterior fijados por el Gobierno y a los instrumentos de planificación de la Acción Exterior elaborados y aprobados de conformidad con lo dispuesto en esta ley.</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De nuevo, estamos ante una manifestación de las facultades estatales de coordinación y dirección en el ámbito de la acción exterior del Estado que no merece reproche de inconstitucionalidad. Si, como ya se ha argumentado, se considera que el Estado tiene competencia para fijar criterios y directrices en relación con la actuación en el exterior de las Comunidades Autónomas, por las mismas razones, las tiene para hacer extensiva su actividad coordinadora a los entes vinculados o dependientes de las mismas. Basta pues con remitirnos a lo dicho a este respecto en los anteriores fundamentos jurídicos.</w:t>
      </w:r>
    </w:p>
    <w:p w:rsidR="00163957" w:rsidRDefault="00163957" w:rsidP="00163957">
      <w:pPr>
        <w:pStyle w:val="TextoNormal"/>
      </w:pPr>
    </w:p>
    <w:p w:rsidR="00163957" w:rsidRDefault="00163957" w:rsidP="00163957">
      <w:pPr>
        <w:pStyle w:val="TextoNormal"/>
      </w:pPr>
      <w:r>
        <w:t>Por tanto, se desestima el recurso también en relación con los arts.12 y 13.1 de la Ley 2/2014.</w:t>
      </w:r>
    </w:p>
    <w:p w:rsidR="00163957" w:rsidRDefault="00163957" w:rsidP="00163957">
      <w:pPr>
        <w:pStyle w:val="TextoNormal"/>
      </w:pPr>
    </w:p>
    <w:p w:rsidR="00163957" w:rsidRDefault="00163957" w:rsidP="00163957">
      <w:pPr>
        <w:pStyle w:val="TextoNormal"/>
      </w:pPr>
      <w:r w:rsidRPr="00163957">
        <w:rPr>
          <w:rStyle w:val="NumeroAFNegritaCaracter"/>
        </w:rPr>
        <w:t>7</w:t>
      </w:r>
      <w:r>
        <w:t>. Procede ahora analizar la impugnación de los arts. 14.1 y 17 a 33 de la Ley 2/2014, recurridos conjuntamente en cuanto integrados en el capítulo II del título I, bajo la rúbrica “Ámbitos de la Acción Exterior del Estado”.</w:t>
      </w:r>
    </w:p>
    <w:p w:rsidR="00163957" w:rsidRDefault="00163957" w:rsidP="00163957">
      <w:pPr>
        <w:pStyle w:val="TextoNormal"/>
      </w:pPr>
    </w:p>
    <w:p w:rsidR="00163957" w:rsidRDefault="00163957" w:rsidP="00163957">
      <w:pPr>
        <w:pStyle w:val="TextoNormal"/>
      </w:pPr>
      <w:r>
        <w:t>El art. 14.1 de la Ley establece lo siguiente:</w:t>
      </w:r>
    </w:p>
    <w:p w:rsidR="00163957" w:rsidRDefault="00163957" w:rsidP="00163957">
      <w:pPr>
        <w:pStyle w:val="TextoNormal"/>
      </w:pPr>
    </w:p>
    <w:p w:rsidR="00163957" w:rsidRDefault="00163957" w:rsidP="00163957">
      <w:pPr>
        <w:pStyle w:val="TextoNormal"/>
      </w:pPr>
      <w:r>
        <w:t>“1. El Gobierno, a través del Ministerio de Asuntos Exteriores y de Cooperación, en virtud de las competencias que le atribuye esta ley y en la forma prevista en los instrumentos de planificación regulados por ella, velará para que la Acción Exterior en sus distintos ámbitos, entre ellos los que se enumeran en los artículos 15 a 33 de esta ley, se dirija preferentemente a las áreas o Estados que se consideren prioritarios para el cumplimiento de los objetivos de Política Exterior.</w:t>
      </w:r>
    </w:p>
    <w:p w:rsidR="00163957" w:rsidRDefault="00163957" w:rsidP="00163957">
      <w:pPr>
        <w:pStyle w:val="TextoNormal"/>
      </w:pPr>
    </w:p>
    <w:p w:rsidR="00163957" w:rsidRDefault="00163957" w:rsidP="00163957">
      <w:pPr>
        <w:pStyle w:val="TextoNormal"/>
      </w:pPr>
      <w:r>
        <w:t>Asimismo, podrá instar la actuación de los órganos, sujetos y actores en cualesquiera otros ámbitos que considere convenientes, para la consecución de los fines de la Política Exterior.”</w:t>
      </w:r>
    </w:p>
    <w:p w:rsidR="00163957" w:rsidRDefault="00163957" w:rsidP="00163957">
      <w:pPr>
        <w:pStyle w:val="TextoNormal"/>
      </w:pPr>
    </w:p>
    <w:p w:rsidR="00163957" w:rsidRDefault="00163957" w:rsidP="00163957">
      <w:pPr>
        <w:pStyle w:val="TextoNormal"/>
      </w:pPr>
      <w:r>
        <w:t>Afirma la recurrente que la norma transcrita es otra manifestación de la fuerza expansiva de la política exterior puesto que, en su opinión, impone a los sujetos de la acción exterior el deber de dirigir su actuación exterior a las áreas o Estados considerados prioritarios por el Gobierno, que incluso puede instar la actuación de esos sujetos en otros ámbitos que considere convenientes para la consecución de los fines de la política exterior.</w:t>
      </w:r>
    </w:p>
    <w:p w:rsidR="00163957" w:rsidRDefault="00163957" w:rsidP="00163957">
      <w:pPr>
        <w:pStyle w:val="TextoNormal"/>
      </w:pPr>
    </w:p>
    <w:p w:rsidR="00163957" w:rsidRDefault="00163957" w:rsidP="00163957">
      <w:pPr>
        <w:pStyle w:val="TextoNormal"/>
      </w:pPr>
      <w:r>
        <w:t>La lectura del precepto impugnado revela sin embargo que el mismo no impone objetivos prioritarios en el sentido excluyente que entiende la recurrente. Únicamente, indica que el Gobierno “velará” para que la acción exterior, en sus distintos ámbitos, se dirija preferentemente a esas áreas o Estados considerados prioritarios, lo que vuelve a ser consecuente con la naturaleza misma de la función de coordinación que corresponde al Estado a fin de lograr, como dijimos por ejemplo en la STC 32/1983, de 28 de abril, luego citada en la STC 45/1991, de reiterada cita: “la integración de actos parciales en la globalidad del sistema”. Igualmente, en esta misma Sentencia consideramos que “tampoco cabe negar, con carácter general, el recurso a medidas estatales de coordinación preventiva que establezca sistemas de relación entre las diversas Administraciones”.</w:t>
      </w:r>
    </w:p>
    <w:p w:rsidR="00163957" w:rsidRDefault="00163957" w:rsidP="00163957">
      <w:pPr>
        <w:pStyle w:val="TextoNormal"/>
      </w:pPr>
    </w:p>
    <w:p w:rsidR="00163957" w:rsidRDefault="00163957" w:rsidP="00163957">
      <w:pPr>
        <w:pStyle w:val="TextoNormal"/>
      </w:pPr>
      <w:r>
        <w:t>Por otra parte, el art. 14.1 de la Ley remite a los instrumentos de planificación previstos en el mismo texto legal, que se regulan en los artículos 34 y siguientes, también impugnados por la recurrente y que, como se verá, contemplan expresamente, en el proceso de su elaboración, la integración de las propuestas de todos los sujetos de la acción exterior, entre ellos, las Comunidades Autónomas.</w:t>
      </w:r>
    </w:p>
    <w:p w:rsidR="00163957" w:rsidRDefault="00163957" w:rsidP="00163957">
      <w:pPr>
        <w:pStyle w:val="TextoNormal"/>
      </w:pPr>
    </w:p>
    <w:p w:rsidR="00163957" w:rsidRDefault="00163957" w:rsidP="00163957">
      <w:pPr>
        <w:pStyle w:val="TextoNormal"/>
      </w:pPr>
      <w:r>
        <w:t>Por tanto, nuevamente se cuestiona un artículo que no es sino expresión de las facultades de coordinación y ordenación de la política exterior que corresponden al Gobierno al amparo del art. 149.1.3 CE y entre las cuales se incluye también, lógicamente, la identificación de prioridades.</w:t>
      </w:r>
    </w:p>
    <w:p w:rsidR="00163957" w:rsidRDefault="00163957" w:rsidP="00163957">
      <w:pPr>
        <w:pStyle w:val="TextoNormal"/>
      </w:pPr>
    </w:p>
    <w:p w:rsidR="00163957" w:rsidRDefault="00163957" w:rsidP="00163957">
      <w:pPr>
        <w:pStyle w:val="TextoNormal"/>
      </w:pPr>
      <w:r>
        <w:t>El precepto es coherente con el fin pretendido de coordinación de la política exterior y se muestra respetuoso con las competencias autonómicas. Así, establece, en su apartado 3, al que no se hace reproche alguno, que el Gobierno informará de sus iniciativas y propuestas a las Comunidades Autónomas, que podrán solicitar el apoyo a sus iniciativas y reconoce, en su apartado 4 (tampoco discutido), la participación de las Comunidades Autónomas en la acción exterior en el ámbito europeo.</w:t>
      </w:r>
    </w:p>
    <w:p w:rsidR="00163957" w:rsidRDefault="00163957" w:rsidP="00163957">
      <w:pPr>
        <w:pStyle w:val="TextoNormal"/>
      </w:pPr>
    </w:p>
    <w:p w:rsidR="00163957" w:rsidRDefault="00163957" w:rsidP="00163957">
      <w:pPr>
        <w:pStyle w:val="TextoNormal"/>
      </w:pPr>
      <w:r>
        <w:lastRenderedPageBreak/>
        <w:t>Los artículos 17 a 33 se impugnan de forma genérica, afirmando que afectan a materias “muchas de las cuales son de la competencia exclusiva de la Comunidad Autónoma de Canarias”. Añade la recurrente que “hasta la regulación de las competencias que son compartidas ha de respetar el sistema de reparto competencial sin que el título sobre las relaciones internacionales le atribuya al Estado en estas materias un plus competencial más allá de la preservación de los límites establecidos por la jurisprudencia constitucional a la acción exterior de las Comunidades Autónomas”.</w:t>
      </w:r>
    </w:p>
    <w:p w:rsidR="00163957" w:rsidRDefault="00163957" w:rsidP="00163957">
      <w:pPr>
        <w:pStyle w:val="TextoNormal"/>
      </w:pPr>
    </w:p>
    <w:p w:rsidR="00163957" w:rsidRDefault="00163957" w:rsidP="00163957">
      <w:pPr>
        <w:pStyle w:val="TextoNormal"/>
      </w:pPr>
      <w:r>
        <w:t>El planteamiento del recurso en este punto tampoco puede ser aceptado. Es cierto, como apunta el Abogado del Estado, que los artículos 17 a 33 se impugnan sin fundamentación específica. No obstante, la argumentación esgrimida, trascrita, permite deducir la razón del reproche de inconstitucionalidad que se formula, que es conjunto para todos ellos, lo que nos permite abordarla y determina que no sea necesario transcribirlos.</w:t>
      </w:r>
    </w:p>
    <w:p w:rsidR="00163957" w:rsidRDefault="00163957" w:rsidP="00163957">
      <w:pPr>
        <w:pStyle w:val="TextoNormal"/>
      </w:pPr>
    </w:p>
    <w:p w:rsidR="00163957" w:rsidRDefault="00163957" w:rsidP="00163957">
      <w:pPr>
        <w:pStyle w:val="TextoNormal"/>
      </w:pPr>
      <w:r>
        <w:t>Por tanto, cabe señalar que, los arts. 17 a 33 de la Ley 2/2014 se refieren a la “acción exterior del Estado” en cada una de las materias que enumeran siendo así que, del mismo concepto definido en el art.1.2 b), analizado anteriormente, se desprende, que la acción exterior del Estado abarca el conjunto de todas las actuaciones que los sujetos de la acción exterior, incluidas las Comunidades Autónomas, llevan a cabo “en el ejercicio de sus respectivas competencias”.</w:t>
      </w:r>
    </w:p>
    <w:p w:rsidR="00163957" w:rsidRDefault="00163957" w:rsidP="00163957">
      <w:pPr>
        <w:pStyle w:val="TextoNormal"/>
      </w:pPr>
    </w:p>
    <w:p w:rsidR="00163957" w:rsidRDefault="00163957" w:rsidP="00163957">
      <w:pPr>
        <w:pStyle w:val="TextoNormal"/>
      </w:pPr>
      <w:r>
        <w:t>Por tanto, los artículos 17 a 33 no presuponen, ni establecen, que sea la Administración del Estado la que va a llevar a cabo concretas actuaciones, sin perjuicio, eso sí, de su facultad de dirección de la política exterior que el artículo 1.2 b) también deja a salvo y que se materializa en las directrices y objetivos programáticos que estos preceptos recogen. No se aprecia pues el genérico reproche de inconstitucionalidad que formula la recurrente.</w:t>
      </w:r>
    </w:p>
    <w:p w:rsidR="00163957" w:rsidRDefault="00163957" w:rsidP="00163957">
      <w:pPr>
        <w:pStyle w:val="TextoNormal"/>
      </w:pPr>
    </w:p>
    <w:p w:rsidR="00163957" w:rsidRDefault="00163957" w:rsidP="00163957">
      <w:pPr>
        <w:pStyle w:val="TextoNormal"/>
      </w:pPr>
      <w:r>
        <w:t>Se desestima pues el recurso contra el bloque de artículos analizados en este fundamento.</w:t>
      </w:r>
    </w:p>
    <w:p w:rsidR="00163957" w:rsidRDefault="00163957" w:rsidP="00163957">
      <w:pPr>
        <w:pStyle w:val="TextoNormal"/>
      </w:pPr>
    </w:p>
    <w:p w:rsidR="00163957" w:rsidRDefault="00163957" w:rsidP="00163957">
      <w:pPr>
        <w:pStyle w:val="TextoNormal"/>
      </w:pPr>
      <w:r w:rsidRPr="00163957">
        <w:rPr>
          <w:rStyle w:val="NumeroAFNegritaCaracter"/>
        </w:rPr>
        <w:t>8</w:t>
      </w:r>
      <w:r>
        <w:t>. Finalmente, se recurren los arts. 34, 35 y 37 de la Ley 2/2014, incluidos en el título II, relativo a la “planificación, seguimiento y coordinación de la acción exterior”.</w:t>
      </w:r>
    </w:p>
    <w:p w:rsidR="00163957" w:rsidRDefault="00163957" w:rsidP="00163957">
      <w:pPr>
        <w:pStyle w:val="TextoNormal"/>
      </w:pPr>
    </w:p>
    <w:p w:rsidR="00163957" w:rsidRDefault="00163957" w:rsidP="00163957">
      <w:pPr>
        <w:pStyle w:val="TextoNormal"/>
      </w:pPr>
      <w:r>
        <w:t>Los preceptos citados se impugnan, en general, por considerar el Gobierno de Canarias que condicionan la actuación exterior de las Comunidades Autónomas.</w:t>
      </w:r>
    </w:p>
    <w:p w:rsidR="00163957" w:rsidRDefault="00163957" w:rsidP="00163957">
      <w:pPr>
        <w:pStyle w:val="TextoNormal"/>
      </w:pPr>
    </w:p>
    <w:p w:rsidR="00163957" w:rsidRDefault="00163957" w:rsidP="00163957">
      <w:pPr>
        <w:pStyle w:val="TextoNormal"/>
      </w:pPr>
      <w:r>
        <w:t>Más en concreto, se afirma que la estrategia de acción exterior y el informe de acción exterior a que se refiere el artículo 34, son instrumentos que se imponen a las Administraciones autonómicas. La Estrategia de acción exterior del artículo 35 no garantiza, a juicio de la recurrente, la inclusión de las actuaciones que deseen llevar a cabo las Comunidades Autónomas sin contravenir los límites constitucionalmente reservados al Estado. Y, en cuanto al informe anual de acción exterior regulado en el artículo 37, se sostiene en el recurso que no se tienen en cuenta en su elaboración los mecanismos de coordinación establecidos en el mismo título II en el sentido expuesto anteriormente.</w:t>
      </w:r>
    </w:p>
    <w:p w:rsidR="00163957" w:rsidRDefault="00163957" w:rsidP="00163957">
      <w:pPr>
        <w:pStyle w:val="TextoNormal"/>
      </w:pPr>
    </w:p>
    <w:p w:rsidR="00163957" w:rsidRDefault="00163957" w:rsidP="00163957">
      <w:pPr>
        <w:pStyle w:val="TextoNormal"/>
      </w:pPr>
      <w:r>
        <w:t xml:space="preserve">Sin que sea necesario reproducir aquí el tenor íntegro de los artículos impugnados con los argumentos que acabamos de resumir, la aplicación de la doctrina constitucional que ya hemos expuesto, recogida en las SSTC 165/1994, 31/2010 y 46/2015, sobre la competencia </w:t>
      </w:r>
      <w:r>
        <w:lastRenderedPageBreak/>
        <w:t>estatal para establecer medidas que regulen y coordinen las actividades con proyección externa de las Comunidades Autónomas, a fin de evitar o remediar eventuales perjuicios sobre la dirección y puesta en ejecución de la política exterior que corresponde en exclusiva al Estado, ha de conducirnos a la desestimación del recurso también en este punto.</w:t>
      </w:r>
    </w:p>
    <w:p w:rsidR="00163957" w:rsidRDefault="00163957" w:rsidP="00163957">
      <w:pPr>
        <w:pStyle w:val="TextoNormal"/>
      </w:pPr>
    </w:p>
    <w:p w:rsidR="00163957" w:rsidRDefault="00163957" w:rsidP="00163957">
      <w:pPr>
        <w:pStyle w:val="TextoNormal"/>
      </w:pPr>
      <w:r>
        <w:t>La facultad de coordinar, asociada a la dirección y ejecución de la política exterior en el sentido indicado, debe conllevar necesariamente un margen de decisión del Gobierno a la hora de definir las líneas directrices de una determinada política exterior en lugar de otra. Ello, teniendo siempre en cuenta, como ya se ha apuntado, la necesidad de una actuación no fragmentada en el ámbito internacional reconocida en Sentencias como la 80/2012 y 110/2012, de 23 de mayo.</w:t>
      </w:r>
    </w:p>
    <w:p w:rsidR="00163957" w:rsidRDefault="00163957" w:rsidP="00163957">
      <w:pPr>
        <w:pStyle w:val="TextoNormal"/>
      </w:pPr>
    </w:p>
    <w:p w:rsidR="00163957" w:rsidRDefault="00163957" w:rsidP="00163957">
      <w:pPr>
        <w:pStyle w:val="TextoNormal"/>
      </w:pPr>
      <w:r>
        <w:t>Por tanto, la fijación de las prioridades y los objetivos de la acción exterior, como resulta del artículo 35 impugnado, incumbe en última instancia al Gobierno, lo que no es óbice, como el precepto señala, para que, partiendo de la posible proyección exterior de las actuaciones de las Comunidades Autónomas en el legítimo ejercicio de sus competencias, se tengan en cuenta y se integren sus propuestas dentro de dicha estrategia. Sin embargo, debe dejarse a salvo, como hace el mismo artículo 35, so pena de que las facultades de dirección y coordinación devengan ineficaces y sin que ello suponga invasión de las competencias autonómicas, la posibilidad de no aceptar tales propuestas por no adecuarse a las directrices y objetivos pretendidos. Lógicamente, ello es consecuente con las finalidades de la facultad de coordinación que este Tribunal ha reconocido al Estado y que, se reitera, incluyen las de evitar o remediar posibles perjuicios sobre la dirección de la política exterior.</w:t>
      </w:r>
    </w:p>
    <w:p w:rsidR="00163957" w:rsidRDefault="00163957" w:rsidP="00163957">
      <w:pPr>
        <w:pStyle w:val="TextoNormal"/>
      </w:pPr>
    </w:p>
    <w:p w:rsidR="00163957" w:rsidRDefault="00163957" w:rsidP="00163957">
      <w:pPr>
        <w:pStyle w:val="TextoNormal"/>
      </w:pPr>
      <w:r>
        <w:t>En todo caso, como dice el art. 35.3 de la Ley, la no integración en la estrategia de acción exterior de las propuestas de actuación de los órganos constitucionales y de otras Administraciones públicas, como las Comunidades Autónomas, debe ser motivada y fundarse, precisamente, en la no adecuación a las directrices, fines y objetivos prefijados, lo que, nuevamente, es consecuente con los principios de lealtad, colaboración y eficiencia que deben inspirar la función de coordinación y dirección del Estado.</w:t>
      </w:r>
    </w:p>
    <w:p w:rsidR="00163957" w:rsidRDefault="00163957" w:rsidP="00163957">
      <w:pPr>
        <w:pStyle w:val="TextoNormal"/>
      </w:pPr>
    </w:p>
    <w:p w:rsidR="00163957" w:rsidRDefault="00163957" w:rsidP="00163957">
      <w:pPr>
        <w:pStyle w:val="TextoNormal"/>
      </w:pPr>
      <w:r>
        <w:t>La propia Ley 2/2014, delimita la adecuación de las actividades de las Comunidades Autónomas en el exterior, a los instrumentos de planificación de la acción exterior establecidos por el Estado en ejercicio de sus facultades de coordinación en este ámbito, al referirla al supuesto en que estos instrumentos “definan directrices de actuación propias de la Política Exterior del Estado o se inserten en el ámbito de las relaciones internacionales de España” (art. 11.2). De esta manera, se abunda en la idea, conforme a nuestra doctrina, según la cual las facultades de dirección y coordinación del Estado, están indisolublemente ligadas al ejercicio de sus competencias, en el sentido en que hemos interpretado el art. 149.1.3 CE; de la misma forma que la actuación en el exterior de las Comunidades Autónomas, como destinatarias de esa labor de coordinación, está igualmente vinculada a su propio ámbito competencial (art. 11.1).</w:t>
      </w:r>
    </w:p>
    <w:p w:rsidR="00163957" w:rsidRDefault="00163957" w:rsidP="00163957">
      <w:pPr>
        <w:pStyle w:val="TextoNormal"/>
      </w:pPr>
    </w:p>
    <w:p w:rsidR="00163957" w:rsidRDefault="00163957" w:rsidP="00163957">
      <w:pPr>
        <w:pStyle w:val="TextoNormal"/>
      </w:pPr>
      <w:r>
        <w:t xml:space="preserve">Respecto al art. 34 de la Ley, no tiene en realidad entidad propia, puesto que se limita a señalar: “1. La planificación y el seguimiento de la Acción Exterior del Estado se llevará a cabo a través de la Estrategia de Acción Exterior y del Informe de Acción Exterior”, los cuales se regulan en los artículos siguientes. En su apartado segundo, añade que participarán en la elaboración de los dos instrumentos mencionados, también en los términos del artículo </w:t>
      </w:r>
      <w:r>
        <w:lastRenderedPageBreak/>
        <w:t>35, varios organismos, entre los que se incluye a las Administraciones públicas que actúen en el exterior. Nuevamente pues, se reconoce la posible actuación de las Comunidades Autónomas en el ámbito internacional y se aspira a integrarla en una acción política unitaria a nivel estatal.</w:t>
      </w:r>
    </w:p>
    <w:p w:rsidR="00163957" w:rsidRDefault="00163957" w:rsidP="00163957">
      <w:pPr>
        <w:pStyle w:val="TextoNormal"/>
      </w:pPr>
    </w:p>
    <w:p w:rsidR="00163957" w:rsidRDefault="00163957" w:rsidP="00163957">
      <w:pPr>
        <w:pStyle w:val="TextoNormal"/>
      </w:pPr>
      <w:r>
        <w:t>La conclusión de lo hasta ahora razonado es que no se aprecia en los arts. 34 y 35 de la Ley exceso competencial, sino el ejercicio legítimo por el Estado de las facultades de coordinación y dirección de la política exterior que le incumben, al amparo del art. 149.1.3 CE en relación con el art. 97 CE.</w:t>
      </w:r>
    </w:p>
    <w:p w:rsidR="00163957" w:rsidRDefault="00163957" w:rsidP="00163957">
      <w:pPr>
        <w:pStyle w:val="TextoNormal"/>
      </w:pPr>
    </w:p>
    <w:p w:rsidR="00163957" w:rsidRDefault="00163957" w:rsidP="00163957">
      <w:pPr>
        <w:pStyle w:val="TextoNormal"/>
      </w:pPr>
      <w:r>
        <w:t>Finalmente, el art. 37 de la Ley, regula el denominado “Informe Anual de Acción Exterior”, cuyo objetivo es dar cuenta de la ejecución de la estrategia de acción exterior remitiéndose, una vez elaborado, a las Cortes Generales para su conocimiento. Por tanto, dada su misma naturaleza, este informe no es susceptible de invadir competencias autonómicas pues se limita a dejar constancia de las actuaciones realizadas. En todo caso, el precepto contempla expresamente la participación, entre otras, de las Comunidades Autónomas en su elaboración y el informe previo a su aprobación del Consejo de Política Exterior al que, a su vez, podrán ser convocados, en función de los asuntos a tratar, autoridades y altos cargos de las Comunidades Autónomas y entidades locales (art. 2 del Real Decreto 1412/2000, de creación de este órgano, modificado por la disposición final segunda de la misma Ley 2/2014, no recurrida). Por tanto, no se aprecia tampoco reproche de inconstitucionalidad en el mismo.</w:t>
      </w:r>
    </w:p>
    <w:p w:rsidR="00163957" w:rsidRDefault="00163957" w:rsidP="00163957">
      <w:pPr>
        <w:pStyle w:val="TextoNormal"/>
      </w:pPr>
    </w:p>
    <w:p w:rsidR="00163957" w:rsidRDefault="00163957" w:rsidP="00163957">
      <w:pPr>
        <w:pStyle w:val="TextoNormal"/>
      </w:pPr>
      <w:r>
        <w:t>En definitiva, también se desestima el recurso contra los arts. 34, 35 y 37 de la Ley.</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inconstitucionalidad núm. 7774-2014</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veintiocho de abril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Juan Antonio Xiol Ríos al que se adhiere el Magistrado don Fernando Valdés Dal-Ré a la Sentencia dictada en el recurso de inconstitucionalidad núm. 7774-2014.</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del Pleno en la que se sustenta la Sentencia, manifiesto mi discrepancia con su fundamentación jurídica, aunque no con el fallo, a salvo la procedencia de las interpretaciones conformes con la Constitución que propondré, por las razones que a continuación se exponen.</w:t>
      </w:r>
    </w:p>
    <w:p w:rsidR="00163957" w:rsidRDefault="00163957" w:rsidP="00163957">
      <w:pPr>
        <w:pStyle w:val="TextoNormal"/>
      </w:pPr>
    </w:p>
    <w:p w:rsidR="00163957" w:rsidRDefault="00163957" w:rsidP="00163957">
      <w:pPr>
        <w:pStyle w:val="TextoNormal"/>
      </w:pPr>
      <w:r>
        <w:t>1. Planteamiento.</w:t>
      </w:r>
    </w:p>
    <w:p w:rsidR="00163957" w:rsidRDefault="00163957" w:rsidP="00163957">
      <w:pPr>
        <w:pStyle w:val="TextoNormal"/>
      </w:pPr>
    </w:p>
    <w:p w:rsidR="00163957" w:rsidRDefault="00163957" w:rsidP="00163957">
      <w:pPr>
        <w:pStyle w:val="TextoNormal"/>
      </w:pPr>
      <w:r>
        <w:t>La opinión en que se funda la Sentencia es tributaria, a mi juicio, de un paradigma premoderno sobre el concepto de relaciones internacionales, como muestra la discutible interpretación del art. 149.1.3 CE consistente en que el “principio de unidad de acción en el exterior y la fijación de directrices, fines y objetivos en este ámbito, responden a la naturaleza misma de la política exterior y de las relaciones internacionales que requieren una actuación no fragmentada, común y coordinadora, dirigida por el Estado en cuanto titular de la representatividad de nuestro país a nivel internacional”.</w:t>
      </w:r>
    </w:p>
    <w:p w:rsidR="00163957" w:rsidRDefault="00163957" w:rsidP="00163957">
      <w:pPr>
        <w:pStyle w:val="TextoNormal"/>
      </w:pPr>
    </w:p>
    <w:p w:rsidR="00163957" w:rsidRDefault="00163957" w:rsidP="00163957">
      <w:pPr>
        <w:pStyle w:val="TextoNormal"/>
      </w:pPr>
      <w:r>
        <w:t>La Constitución de 1978 se limitó a establecer que las relaciones internacionales son competencia exclusiva del Estado, sin agotar con ello el contenido estricto de aquellas, porque en el momento de su promulgación no era concebible el desarrollo de un Estado autonómico en el que sus sujetos tuvieran proyección más allá de las fronteras del clásico Estado-nación. Y esto mismo dice el párrafo transcrito y es el hilo conductor de la argumentación incorporada a la Sentencia. Pero la realidad es que aquel desarrollo se produjo, y volver a una concepción clásica de las relaciones internacionales como cualquier tipo de actividad desarrollada en el extranjero o con efectos en el extranjero, significa hoy no solo desconectarse de la jurisprudencia constitucional vigente, sino de la propia realidad social. Actualmente casi cualquier actividad realizada por una comunidad autónoma puede tener, y de hecho tiene, una dimensión internacional y un intento por reconducir dicha dimensión a la competencia estatal en materia de relaciones internacionales por la vía de la coordinación de la acción exterior está llamado a ser, sencillamente, infructífero; y, lo que es más grave, indebidamente restrictivo de las competencias propias de las comunidades autónomas y, con ello, del libre desenvolvimiento de la vida social y política en el marco constitucional.</w:t>
      </w:r>
    </w:p>
    <w:p w:rsidR="00163957" w:rsidRDefault="00163957" w:rsidP="00163957">
      <w:pPr>
        <w:pStyle w:val="TextoNormal"/>
      </w:pPr>
    </w:p>
    <w:p w:rsidR="00163957" w:rsidRDefault="00163957" w:rsidP="00163957">
      <w:pPr>
        <w:pStyle w:val="TextoNormal"/>
      </w:pPr>
      <w:r>
        <w:t>Para Dworkin el nuevo formalismo es responsable de un renovado entusiasmo por la doctrina de la “intención original”. Creo ver en la opinión mayoritaria un ejemplo de retorno a una intención original del constituyente que perdió base hace ya demasiado tiempo, por obra de la jurisprudencia constitucional. Voy a tratar de demostrar que esta jurisprudencia es ahora modificada, sutilmente, mediante el procedimiento de su reinterpretación.</w:t>
      </w:r>
    </w:p>
    <w:p w:rsidR="00163957" w:rsidRDefault="00163957" w:rsidP="00163957">
      <w:pPr>
        <w:pStyle w:val="TextoNormal"/>
      </w:pPr>
    </w:p>
    <w:p w:rsidR="00163957" w:rsidRDefault="00163957" w:rsidP="00163957">
      <w:pPr>
        <w:pStyle w:val="TextoNormal"/>
      </w:pPr>
      <w:r>
        <w:t>La opinión en que se funda la Sentencia, en efecto, se sustenta en una visión de las relaciones internacionales, como facultad omnímoda del Estado, cercana a la interpretación del art. 149.1.3 CE prevalente en la primera etapa de desarrollo constitucional y de la que el Tribunal se apartó después progresivamente, delimitando los contornos de este precepto ante la inexistencia de normas precisas al respecto.</w:t>
      </w:r>
    </w:p>
    <w:p w:rsidR="00163957" w:rsidRDefault="00163957" w:rsidP="00163957">
      <w:pPr>
        <w:pStyle w:val="TextoNormal"/>
      </w:pPr>
    </w:p>
    <w:p w:rsidR="00163957" w:rsidRDefault="00163957" w:rsidP="00163957">
      <w:pPr>
        <w:pStyle w:val="TextoNormal"/>
      </w:pPr>
      <w:r>
        <w:t xml:space="preserve">La jurisprudencia constitucional ha formulado esa delimitación tanto en negativo, separando la competencia de otras nociones afines, como en positivo, dotándola de contenido en el sentido al que ahora me referiré. La opinión mayoritaria en que se funda la sentencia a la que acompaña este voto revisa esa delimitación porque (i) difumina la definición negativa del título competencial y porque, (ii) en su definición positiva, incluye una facultad de coordinación que dota al art. 149.1.3 CE de una </w:t>
      </w:r>
      <w:r w:rsidRPr="00163957">
        <w:rPr>
          <w:i/>
        </w:rPr>
        <w:t>vis</w:t>
      </w:r>
      <w:r>
        <w:t xml:space="preserve"> expansiva rechazada hasta el momento por la jurisprudencia constitucional.</w:t>
      </w:r>
    </w:p>
    <w:p w:rsidR="00163957" w:rsidRDefault="00163957" w:rsidP="00163957">
      <w:pPr>
        <w:pStyle w:val="TextoNormal"/>
      </w:pPr>
    </w:p>
    <w:p w:rsidR="00163957" w:rsidRDefault="00163957" w:rsidP="00163957">
      <w:pPr>
        <w:pStyle w:val="TextoNormal"/>
      </w:pPr>
      <w:r>
        <w:t>La opinión mayoritaria recupera la arcaica identificación del concepto de relaciones internacionales con la noción de acción exterior del Estado.</w:t>
      </w:r>
    </w:p>
    <w:p w:rsidR="00163957" w:rsidRDefault="00163957" w:rsidP="00163957">
      <w:pPr>
        <w:pStyle w:val="TextoNormal"/>
      </w:pPr>
    </w:p>
    <w:p w:rsidR="00163957" w:rsidRDefault="00163957" w:rsidP="00163957">
      <w:pPr>
        <w:pStyle w:val="TextoNormal"/>
      </w:pPr>
      <w:r>
        <w:t xml:space="preserve">Por lo que hace a la demarcación de la competencia sobre las relaciones internacionales en sentido negativo el Tribunal ha venido constantemente declarando que la misma, en cuanto materia jurídica, no se identifica con el contenido más amplio que posee dicha expresión en sentido sociológico, ni con cualquier actividad exterior, ni con la “política exterior” en cuanto acción política del Gobierno. La ausencia de sinonimia entre la noción de “política exterior” y de “relaciones internacionales” se mantiene en la STC 165/1994, de 26 de mayo (asunto </w:t>
      </w:r>
      <w:r w:rsidRPr="00163957">
        <w:rPr>
          <w:i/>
        </w:rPr>
        <w:t>Oficina Vasca en Bruselas</w:t>
      </w:r>
      <w:r>
        <w:t>) que hasta la fecha ha sido el pronunciamiento de referencia del Tribunal en la materia que nos ocupa (y que sería deseable que continuara siéndolo).</w:t>
      </w:r>
    </w:p>
    <w:p w:rsidR="00163957" w:rsidRDefault="00163957" w:rsidP="00163957">
      <w:pPr>
        <w:pStyle w:val="TextoNormal"/>
      </w:pPr>
    </w:p>
    <w:p w:rsidR="00163957" w:rsidRDefault="00163957" w:rsidP="00163957">
      <w:pPr>
        <w:pStyle w:val="TextoNormal"/>
      </w:pPr>
      <w:r>
        <w:t>La norma parcialmente impugnada en este recurso y la opinión mayoritaria en que se funda la Sentencia modifica el planteamiento anterior y reconduce la noción de “acción exterior del Estado” a la competencia de “relaciones internacionales”, identificando un concepto político (más amplio) con otro netamente jurídico-competencial (que es más restrictivo y debiera ser entendido como tal).</w:t>
      </w:r>
    </w:p>
    <w:p w:rsidR="00163957" w:rsidRDefault="00163957" w:rsidP="00163957">
      <w:pPr>
        <w:pStyle w:val="TextoNormal"/>
      </w:pPr>
    </w:p>
    <w:p w:rsidR="00163957" w:rsidRDefault="00163957" w:rsidP="00163957">
      <w:pPr>
        <w:pStyle w:val="TextoNormal"/>
      </w:pPr>
      <w:r>
        <w:t>Esta identificación fue rechazada en su día por el dictamen del Consejo de Estado sobre el anteproyecto de ley. A pesar de su prudente advertencia, la opinión mayoritaria recupera esta arcaica identificación.</w:t>
      </w:r>
    </w:p>
    <w:p w:rsidR="00163957" w:rsidRDefault="00163957" w:rsidP="00163957">
      <w:pPr>
        <w:pStyle w:val="TextoNormal"/>
      </w:pPr>
    </w:p>
    <w:p w:rsidR="00163957" w:rsidRDefault="00163957" w:rsidP="00163957">
      <w:pPr>
        <w:pStyle w:val="TextoNormal"/>
      </w:pPr>
      <w:r>
        <w:t>La opinión mayoritaria construye una nueva facultad vinculada al ejercicio de la competencia exclusiva del Estado en materia de relaciones internacionales: otra vez Dworkin.</w:t>
      </w:r>
    </w:p>
    <w:p w:rsidR="00163957" w:rsidRDefault="00163957" w:rsidP="00163957">
      <w:pPr>
        <w:pStyle w:val="TextoNormal"/>
      </w:pPr>
    </w:p>
    <w:p w:rsidR="00163957" w:rsidRDefault="00163957" w:rsidP="00163957">
      <w:pPr>
        <w:pStyle w:val="TextoNormal"/>
      </w:pPr>
      <w:r>
        <w:t>El canal a través del cual la opinión mayoritaria recupera la arcaica identificación entre “relaciones internacionales” y “acción exterior del Estado” se construye como una facultad de coordinación de la acción exterior del Estado que no puede encontrar fundamento en el ejercicio de las competencias exclusivas del Estado.</w:t>
      </w:r>
    </w:p>
    <w:p w:rsidR="00163957" w:rsidRDefault="00163957" w:rsidP="00163957">
      <w:pPr>
        <w:pStyle w:val="TextoNormal"/>
      </w:pPr>
    </w:p>
    <w:p w:rsidR="00163957" w:rsidRDefault="00163957" w:rsidP="00163957">
      <w:pPr>
        <w:pStyle w:val="TextoNormal"/>
      </w:pPr>
      <w:r>
        <w:t>La opinión mayoritaria en que se funda la Sentencia formula de este modo, en positivo, una nueva facultad vinculada al ejercicio de la competencia exclusiva del Estado en materia de relaciones internacionales. La STC 165/1994, con cita de jurisprudencia previa, había establecido que la reserva estatal contemplada en el art. 149.1.3 CE se refiere a “las relaciones de España con otros Estados independientes y soberanos, el aspecto más tradicional de estas relaciones, y con las Organizaciones internacionales gubernamentales… Por lo que este Tribunal ha podido referirse, en relación con el art. 149.1.3 CE, a materias tan características del ordenamiento internacional como son las relativas a la celebración de tratados (</w:t>
      </w:r>
      <w:r w:rsidRPr="00163957">
        <w:rPr>
          <w:i/>
        </w:rPr>
        <w:t>ius contrahendi</w:t>
      </w:r>
      <w:r>
        <w:t>), y a la representación exterior del Estado (</w:t>
      </w:r>
      <w:r w:rsidRPr="00163957">
        <w:rPr>
          <w:i/>
        </w:rPr>
        <w:t>ius legationis</w:t>
      </w:r>
      <w:r>
        <w:t>), así como a la creación de obligaciones internacionales y a la responsabilidad internacional del Estado”.</w:t>
      </w:r>
    </w:p>
    <w:p w:rsidR="00163957" w:rsidRDefault="00163957" w:rsidP="00163957">
      <w:pPr>
        <w:pStyle w:val="TextoNormal"/>
      </w:pPr>
    </w:p>
    <w:p w:rsidR="00163957" w:rsidRDefault="00163957" w:rsidP="00163957">
      <w:pPr>
        <w:pStyle w:val="TextoNormal"/>
      </w:pPr>
      <w:r>
        <w:t>Para justificar esta nueva facultad la opinión mayoritaria acude a la STC 46/2015, que resume accidental y fragmentariamente la jurisprudencia anterior, en un intento de síntesis, incluyendo dentro de la competencia estatal del art. 149.1.3 CE, la “posibilidad de establecer medidas que regulen y coordinen las actividades con proyección externa de las Comunidades Autónomas, para evitar o remediar eventuales perjuicios sobre la dirección y puesta en ejecución de la política exterior que corresponde en exclusiva al Estado”. Pues bien, si se entiende este pronunciamiento con valor sustantivo, y no como una mera referencia acci</w:t>
      </w:r>
      <w:r>
        <w:lastRenderedPageBreak/>
        <w:t>dental e incompleta a sus precedentes, no hay más remedio que admitir que implica descontextualizar la previsión contenida en la STC 165/1994, la cual se ha venido reiterando invariablemente en la jurisprudencia posterior (SSTC 80/2012 y 198/2013). La jurisprudencia consolidada del Tribunal no se refiere —¿se refería?— a una potestad genérica de coordinación, sino a la posibilidad de establecer medidas que coordinen las actividades con proyección exterior de las comunidades autónomas que se sustenten en la efectiva existencia de la atribución competencial estatutaria y no incidan en la reserva estatal del art. 149.1.3 CE, ni la perturben, ni la condicionen.</w:t>
      </w:r>
    </w:p>
    <w:p w:rsidR="00163957" w:rsidRDefault="00163957" w:rsidP="00163957">
      <w:pPr>
        <w:pStyle w:val="TextoNormal"/>
      </w:pPr>
    </w:p>
    <w:p w:rsidR="00163957" w:rsidRDefault="00163957" w:rsidP="00163957">
      <w:pPr>
        <w:pStyle w:val="TextoNormal"/>
      </w:pPr>
      <w:r>
        <w:t xml:space="preserve">La Sentencia que resuelve el recurso de inconstitucionalidad 7774-2014, extrae de la facultad de coordinación que se sintetiza fragmentariamente —¿se reformula?— en la STC 46/2015 una competencia genérica de coordinación que no prevé la Constitución, ni había reconocido como tal competencia armonizadora </w:t>
      </w:r>
      <w:r w:rsidRPr="00163957">
        <w:rPr>
          <w:i/>
        </w:rPr>
        <w:t>a priori</w:t>
      </w:r>
      <w:r>
        <w:t xml:space="preserve"> la jurisprudencia constitucional.</w:t>
      </w:r>
    </w:p>
    <w:p w:rsidR="00163957" w:rsidRDefault="00163957" w:rsidP="00163957">
      <w:pPr>
        <w:pStyle w:val="TextoNormal"/>
      </w:pPr>
    </w:p>
    <w:p w:rsidR="00163957" w:rsidRDefault="00163957" w:rsidP="00163957">
      <w:pPr>
        <w:pStyle w:val="TextoNormal"/>
      </w:pPr>
      <w:r>
        <w:t>Me resisto a seguir recordando a Dworkin cuando afirma que “no es, por consiguiente, absurdo suponer que esta serie de anómalas resoluciones para invalidar soterradamente importantes precedentes forma parte de una estrategia cuyo fin es crear las condiciones apropiadas para anularlas explícitamente más adelante”.</w:t>
      </w:r>
    </w:p>
    <w:p w:rsidR="00163957" w:rsidRDefault="00163957" w:rsidP="00163957">
      <w:pPr>
        <w:pStyle w:val="TextoNormal"/>
      </w:pPr>
    </w:p>
    <w:p w:rsidR="00163957" w:rsidRDefault="00163957" w:rsidP="00163957">
      <w:pPr>
        <w:pStyle w:val="TextoNormal"/>
      </w:pPr>
      <w:r>
        <w:t>Alcance de la facultad estatal de coordinación en materia de relaciones internacionales.</w:t>
      </w:r>
    </w:p>
    <w:p w:rsidR="00163957" w:rsidRDefault="00163957" w:rsidP="00163957">
      <w:pPr>
        <w:pStyle w:val="TextoNormal"/>
      </w:pPr>
    </w:p>
    <w:p w:rsidR="00163957" w:rsidRDefault="00163957" w:rsidP="00163957">
      <w:pPr>
        <w:pStyle w:val="TextoNormal"/>
      </w:pPr>
      <w:r>
        <w:t>Nada apunta en la opinión mayoritaria a los mecanismos a disposición de las comunidades autónomas para seguir garantizando la consecución de los fines de sus políticas sectoriales cuando tal garantía pase por la proyección exterior de sus competencias materiales y choque o friccione con los fines de la política exterior del Estado. Dicho en otros términos, la opinión en que se funda la sentencia asume que la actuación de las comunidades autónomas en el exterior queda sujeta a la dirección del Estado derivada de una —¿nueva?— facultad de coordinación vinculada a la competencia exclusiva del art. 149.1.3 CE.</w:t>
      </w:r>
    </w:p>
    <w:p w:rsidR="00163957" w:rsidRDefault="00163957" w:rsidP="00163957">
      <w:pPr>
        <w:pStyle w:val="TextoNormal"/>
      </w:pPr>
    </w:p>
    <w:p w:rsidR="00163957" w:rsidRDefault="00163957" w:rsidP="00163957">
      <w:pPr>
        <w:pStyle w:val="TextoNormal"/>
      </w:pPr>
      <w:r>
        <w:t>En suma, la facultad de coordinación presupone el ejercicio de sus propias competencias con proyección exterior por parte de las comunidades autónomas y el simultáneo ejercicio por parte del Estado de las suyas. No se trata de una facultad general y preventiva, sino de una facultad destinada a evitar las disfunciones graves en el desarrollo de la política exterior del Estado cuando las mismas se detecten. El dictamen del Consejo de Estado al anteproyecto de ley estima que la actuación de las comunidades autónomas no debe entenderse supeditada a cualesquiera contenidos de los instrumentos de coordinación previstos en la norma, sino solamente circunscrita a los que definan directrices de actuación propias de la política exterior del Estado o que se inserten en el ámbito de las relaciones internacionales de España.</w:t>
      </w:r>
    </w:p>
    <w:p w:rsidR="00163957" w:rsidRDefault="00163957" w:rsidP="00163957">
      <w:pPr>
        <w:pStyle w:val="TextoNormal"/>
      </w:pPr>
    </w:p>
    <w:p w:rsidR="00163957" w:rsidRDefault="00163957" w:rsidP="00163957">
      <w:pPr>
        <w:pStyle w:val="TextoNormal"/>
      </w:pPr>
      <w:r>
        <w:t xml:space="preserve">La opinión mayoritaria en que se funda la Sentencia no reconoce que el desarrollo de la acción exterior del Estado no es un título competencial, sino una herramienta al servicio de sus políticas sectoriales o de sus ámbitos competenciales materiales. Tampoco reconoce, en consecuencia, que de la misma herramienta pueden servirse las comunidades autónomas en el ejercicio de sus propias competencias, por lo que la acción exterior de aquellas es cualitativamente diversa de la que puede ser llevada a cabo por otros entes o administraciones territoriales, a pesar del tratamiento indiferenciado que hace la ley con una técnica legislativa que será objeto, tanto por el Consejo de Estado (Dictamen de 30 de mayo de 2013, núm. </w:t>
      </w:r>
      <w:r>
        <w:lastRenderedPageBreak/>
        <w:t>394/2013) como por el Consell de Garanties Estatutàries (Dictamen 14/2014, de 17 de junio), de un reproche al que ha sido indiferente la opinión mayoritaria.</w:t>
      </w:r>
    </w:p>
    <w:p w:rsidR="00163957" w:rsidRDefault="00163957" w:rsidP="00163957">
      <w:pPr>
        <w:pStyle w:val="TextoNormal"/>
      </w:pPr>
    </w:p>
    <w:p w:rsidR="00163957" w:rsidRDefault="00163957" w:rsidP="00163957">
      <w:pPr>
        <w:pStyle w:val="TextoNormal"/>
      </w:pPr>
      <w:r>
        <w:t>La acción exterior es tan diversa que los estatutos de autonomía reformados desde el año 2006 han reflejado la experiencia acumulada previa y han recogido las actividades autonómicas con proyección exterior “no prohibidas” por la jurisprudencia constitucional, permitiendo, desde el punto de vista instrumental, la firma de convenios de colaboración, la apertura de oficinas en el exterior, el desarrollo de actividades de fomento o promoción en el exterior, la cooperación transfronteriza, la cooperación interregional y la cooperación al desarrollo, todo ello dejando a salvo las competencias estatales. Y es de ver que el Tribunal, cuando ha tenido ocasión para ello, no ha anulado ninguno de los preceptos estatutarios que contemplan dichas competencias (véase la STC 31/2010 en este sentido), de modo que los mismos han pasado a integrarse en el bloque de la constitucionalidad.</w:t>
      </w:r>
    </w:p>
    <w:p w:rsidR="00163957" w:rsidRDefault="00163957" w:rsidP="00163957">
      <w:pPr>
        <w:pStyle w:val="TextoNormal"/>
      </w:pPr>
    </w:p>
    <w:p w:rsidR="00163957" w:rsidRDefault="00163957" w:rsidP="00163957">
      <w:pPr>
        <w:pStyle w:val="TextoNormal"/>
      </w:pPr>
      <w:r>
        <w:t>En este contexto de ejercicio propio de las competencias que el bloque de la constitucionalidad atribuye al Estado y a las comunidades autónomas puede ser necesaria una facultad de coordinación: no cabe duda de ello (SSTC 31/2010 y 110/2012). Pero coordinación no es “sujeción a la dirección” como abiertamente proclama la opinión mayoritaria en que se funda la sentencia, a pesar de que se traduzca en un cierto poder de dirección (STC 108/1998). No cabe trasladar (falazmente) a este ámbito el pronunciamiento de la STC 45/1991, referida a la competencia estatal para dictar bases y coordinación de la planificación general de la actividad económica (art. 149.1.13 C.E.), sencillamente porque, en el ámbito de las relaciones internacionales, el art. 149.1.3 CE no prevé expresamente facultad alguna de coordinación, al contrario de lo que sucede en materia de planificación de la actividad económica. El ámbito de la facultad de coordinación de la regla 13 del art. 149.1 CE se ha expandido de manera muy notable, cosa que no corresponde en este momento discutir, pero nada autoriza en la más estricta lógica a aplicar esta expansión al art. 149.1.3 CE imaginando una facultad de coordinación de creación jurisprudencial con el objetivo, aparentemente loable para la opinión mayoritaria de la que discrepo, de reconducir la proyección exterior de las competencias autonómicas. Esta expansión, en suma, no tiene justificación ni encuentra sustento en la jurisprudencia constitucional, por lo que la opinión mayoritaria en que se funda la sentencia se muestra en este punto, sin confesarlo, abiertamente innovadora.</w:t>
      </w:r>
    </w:p>
    <w:p w:rsidR="00163957" w:rsidRDefault="00163957" w:rsidP="00163957">
      <w:pPr>
        <w:pStyle w:val="TextoNormal"/>
      </w:pPr>
    </w:p>
    <w:p w:rsidR="00163957" w:rsidRDefault="00163957" w:rsidP="00163957">
      <w:pPr>
        <w:pStyle w:val="TextoNormal"/>
      </w:pPr>
      <w:r>
        <w:t xml:space="preserve">El Estado puede coordinar las distintas acciones exteriores autonómicas con la suya propia, pero no de forma omnímoda y siempre con la precaución de que el ejercicio de esta facultad estatal, radicada en el ejercicio de sus propias competencias materiales, no limite la gestión en el exterior de los intereses autonómicos y del ejercicio de sus competencias exclusivas. La coordinación persigue la integración de la diversidad de las partes en el conjunto o sistema para evitar contradicciones o reducir disfunciones (STC 32/1983), lo que presupone la existencia de competencias autonómicas que el Estado debe respetar. A mi juicio, esta prevención hubiera debido expresarse de modo más claro en la argumentación sustentada por la opinión mayoritaria de la que discrepo, como debió ser expresada de forma más clara en la ley. Un lector poco atento podría creer que la argumentación incorporada a la sentencia, en particular en su fundamento jurídico 4, no se aleja notablemente de lo aquí manifestado, puesto que proclama en varios pasajes la necesidad de preservar las competencias autonómicas. Pero se trata de proclamas retóricas que entran en contradicción con </w:t>
      </w:r>
      <w:r>
        <w:lastRenderedPageBreak/>
        <w:t>argumentos de mayor densidad material a los que se acoge dialécticamente la opinión mayoritaria para dejar sentado en la sentencia su nuevo punto de vista.</w:t>
      </w:r>
    </w:p>
    <w:p w:rsidR="00163957" w:rsidRDefault="00163957" w:rsidP="00163957">
      <w:pPr>
        <w:pStyle w:val="TextoNormal"/>
      </w:pPr>
    </w:p>
    <w:p w:rsidR="00163957" w:rsidRDefault="00163957" w:rsidP="00163957">
      <w:pPr>
        <w:pStyle w:val="TextoNormal"/>
      </w:pPr>
      <w:r>
        <w:t>Conclusión.</w:t>
      </w:r>
    </w:p>
    <w:p w:rsidR="00163957" w:rsidRDefault="00163957" w:rsidP="00163957">
      <w:pPr>
        <w:pStyle w:val="TextoNormal"/>
      </w:pPr>
    </w:p>
    <w:p w:rsidR="00163957" w:rsidRDefault="00163957" w:rsidP="00163957">
      <w:pPr>
        <w:pStyle w:val="TextoNormal"/>
      </w:pPr>
      <w:r>
        <w:t xml:space="preserve">Lo dicho no es obstáculo, sin embargo, para descartar por unos motivos u otros las impugnaciones de la recurrente. De esto podría deducirse que la doctrina formulada por la opinión mayoritaria es, cuando menos, innecesaria para resolver un conflicto planteado en términos genéricos y fundamentalmente </w:t>
      </w:r>
      <w:r w:rsidRPr="00163957">
        <w:rPr>
          <w:i/>
        </w:rPr>
        <w:t>preventivos</w:t>
      </w:r>
      <w:r>
        <w:t xml:space="preserve"> —según una expresión integrada en el lenguaje propio del Tribunal para delimitar su jurisdicción—, en parte por la propia técnica normativa utilizada, altamente imprecisa, tal como reconocen tanto el Consejo de Estado en su dictamen sobre esta ley, como el Consell de Garanties Estatutàries de Catalunya en el suyo (a cuyo valor sustantivo el Tribunal, que argumenta habitualmente mediante la autorreferencia autoritativa, presta poca atención).</w:t>
      </w:r>
    </w:p>
    <w:p w:rsidR="00163957" w:rsidRDefault="00163957" w:rsidP="00163957">
      <w:pPr>
        <w:pStyle w:val="TextoNormal"/>
      </w:pPr>
    </w:p>
    <w:p w:rsidR="00163957" w:rsidRDefault="00163957" w:rsidP="00163957">
      <w:pPr>
        <w:pStyle w:val="TextoNormal"/>
      </w:pPr>
      <w:r>
        <w:t>(i) Los arts. 1.2 a) y b) y 3.2 a) de la Ley 2/2014, de 25 de marzo, de la acción y del servicio exterior del Estado, se limitan a definir conceptos que se utilizan posteriormente en otros preceptos de la ley, por lo que tienen un carácter puramente instrumental y ningún contenido normativo directo, de tal suerte que su ajuste al reparto de competencias establecido en el bloque de la constitucionalidad deberá examinarse, en su caso, al hilo de su utilización en otros preceptos de la ley (STC 114/2014, entre otras).</w:t>
      </w:r>
    </w:p>
    <w:p w:rsidR="00163957" w:rsidRDefault="00163957" w:rsidP="00163957">
      <w:pPr>
        <w:pStyle w:val="TextoNormal"/>
      </w:pPr>
    </w:p>
    <w:p w:rsidR="00163957" w:rsidRDefault="00163957" w:rsidP="00163957">
      <w:pPr>
        <w:pStyle w:val="TextoNormal"/>
      </w:pPr>
      <w:r>
        <w:t>(ii) La impugnación del artículo 5.2, que se refiere a los informes de actividad de todos los entes de las distintas administraciones públicas al Estado, se basa, de un lado, en una crítica de pura técnica legislativa por la inusual indiferenciación entre las Comunidades Autónomas y el resto de entes mencionados. Este tipo de cuestiones no pueden ser revisadas en esta sede. De otro lado, se formula una tesis que, cuando reprocha el intervencionismo estatal que denota la norma, resulta excesivamente genérica. En consecuencia, teniendo carácter preventivo, no puede ser examinada. Tal y como dice el Consell en su dictamen sobre la norma impugnada, de la obligación de informar no se deriva un control previo conducente a una sanción jurídica, por lo que no parece poder imputarse a este precepto vulneración alguna del bloque de la constitucionalidad, más allá de que, materialmente, alguien pueda intuir con cierta razón un encubierto propósito fiscalizador.</w:t>
      </w:r>
    </w:p>
    <w:p w:rsidR="00163957" w:rsidRDefault="00163957" w:rsidP="00163957">
      <w:pPr>
        <w:pStyle w:val="TextoNormal"/>
      </w:pPr>
    </w:p>
    <w:p w:rsidR="00163957" w:rsidRDefault="00163957" w:rsidP="00163957">
      <w:pPr>
        <w:pStyle w:val="TextoNormal"/>
      </w:pPr>
      <w:r>
        <w:t xml:space="preserve">(iii) Los arts. 12 y 13.1 de la Ley, referidos a las oficinas de las comunidades autónomas pueden ser, por su parte, objeto de una interpretación conforme a la Constitución con arreglo a la jurisprudencia constitucional. Se dice en el artículo 12.1 que el Ministerio de Asuntos Exteriores y de Cooperación informará la propuesta de apertura de oficinas de una comunidad autónoma en el exterior, de lo que se podría deducir que no se trata de que la comunidad dé traslado, a meros efectos informativos, de su voluntad de abrir una oficina fuera del territorio nacional, cosa que se venía haciendo hasta ahora con el aval de la jurisprudencia (STC 165/1994). Al contrario, pareciera que si hay una propuesta y un informe previo, la concreción de la propuesta o su ejecución podría quedar vinculada al sentido del informe, y es posible que esta voluntad sea la que subyace en la norma porque de otro modo es difícil entender la profusión de informes (hasta tres, eventualmente) previos a la apertura de la oficina. Pero no siendo objeto de esta jurisdicción valorar las intenciones de los autores materiales de la ley, sino la concreción normativa de la voluntad hipostática del legislador, parece razonable admitir la constitucionalidad del precepto siempre y cuando se entienda, </w:t>
      </w:r>
      <w:r>
        <w:lastRenderedPageBreak/>
        <w:t>sin sombra de duda, que los informes no pueden ser en ningún caso vinculantes. No porque se desprenda así de norma administrativa alguna (la argumentación de la sentencia se refiere, entiendo que con excesiva superficialidad administrativa, al art. 83.1 de la Ley 30/1992), sino porque entenderlo de otro modo sería desconocer las competencias materiales de la comunidad autónoma que la habilitan para abrir, en defensa de sus propios intereses en el extranjero, oficinas o servicios propios, como mecanismo de acercamiento de sus propias políticas en el exterior. Tampoco se podría entender, en la misma línea de razonamiento, que los informes o su ausencia pudieran ser impeditivos de la apertura de la oficina. Es decir, no es constitucional atribuir a dichos informes carácter condicionante y en tal medida limitativo de las posibilidades de acción exterior de las Comunidades Autónomas reconocidas por la jurisprudencia constitucional.</w:t>
      </w:r>
    </w:p>
    <w:p w:rsidR="00163957" w:rsidRDefault="00163957" w:rsidP="00163957">
      <w:pPr>
        <w:pStyle w:val="TextoNormal"/>
      </w:pPr>
    </w:p>
    <w:p w:rsidR="00163957" w:rsidRDefault="00163957" w:rsidP="00163957">
      <w:pPr>
        <w:pStyle w:val="TextoNormal"/>
      </w:pPr>
      <w:r>
        <w:t>(iv) El artículo 14.1 impugnado se refiere a que el Gobierno velará para que la acción exterior se dirija preferentemente a las áreas o Estados que se consideren prioritarios para el cumplimiento de los objetivos de política exterior, pero no vincula necesariamente la acción exterior de las comunidades autónomas a esos mismos objetivos prioritarios, o al menos no puede deducirse esto de un precepto tan ambiguo y formulado en términos tan amplios. Otra cosa es que en los instrumentos de planificación se establezca una limitación o una obligación dirigida a las comunidades para que actúen única y exclusivamente en los Estados o áreas prioritarias, pero esto debería ser, en su caso, objeto de otro procedimiento ante el Tribunal: en este momento no cabe pronunciarse sobre una mera eventualidad.</w:t>
      </w:r>
    </w:p>
    <w:p w:rsidR="00163957" w:rsidRDefault="00163957" w:rsidP="00163957">
      <w:pPr>
        <w:pStyle w:val="TextoNormal"/>
      </w:pPr>
    </w:p>
    <w:p w:rsidR="00163957" w:rsidRDefault="00163957" w:rsidP="00163957">
      <w:pPr>
        <w:pStyle w:val="TextoNormal"/>
      </w:pPr>
      <w:r>
        <w:t>(v) El carácter genérico de las impugnaciones de los arts. 17 a 33 debería haber conducido a una desestimación de plano por este motivo, ya que el recurso en este punto se sustenta en argumentos tan inconcretos que no puede apreciarse que la recurrente haya levantado la carga de argumentar sobre la inconstitucionalidad de cada precepto.</w:t>
      </w:r>
    </w:p>
    <w:p w:rsidR="00163957" w:rsidRDefault="00163957" w:rsidP="00163957">
      <w:pPr>
        <w:pStyle w:val="TextoNormal"/>
      </w:pPr>
    </w:p>
    <w:p w:rsidR="00163957" w:rsidRDefault="00163957" w:rsidP="00163957">
      <w:pPr>
        <w:pStyle w:val="TextoNormal"/>
      </w:pPr>
      <w:r>
        <w:t xml:space="preserve">(vi) Ante los artículos 34, 35 y 37, relativos a la “Estrategia de acción exterior” y al “Informe de acción exterior”, se está de nuevo ante impugnaciones preventivas que cuestionan el potencial de control político de la actividad exterior de las comunidades autónomas que poseen estos instrumentos. De los tres preceptos impugnados, el apartado 3 del artículo 35, que se refiere a la integración en la “Estrategia” de las propuestas de actuación exterior de las comunidades autónomas es el más problemático en términos de respeto al reparto competencial y a la preservación del bloque de la constitucionalidad. Del precepto se deduce que podrán excluirse las propuestas autonómicas de la “Estrategia” mediante una motivación que solo podrá basarse en el desajuste con las directrices del Estado. La motivación alude a un cierto control posterior de la discrecionalidad del Estado, pero no dice nada de las consecuencias derivadas de la no inclusión de una determinada propuesta en la “Estrategia”, con lo que se incurre de nuevo en una notable falta de precisión en la técnica normativa utilizada por el legislador estatal. Si esta exclusión supusiera una suerte de prohibición de llevarla a cabo, obviamente habría que plantearse la inconstitucionalidad del precepto por exceso competencial, al invadir las competencias exclusivas asumidas por las comunidades autónomas o al menos limitar la proyección exterior de dichas competencias. Otra sería la conclusión si la exclusión de esa propuesta no supusiera más que el hecho de que el Estado no asume elevar a la estrategia nacional una estrategia autonómica, lo que no merecería reproche alguno, pues permitiría a la comunidad desarrollar su propia estrategia exterior en el ejercicio de las competencias propias. Por tanto parece que plantearse la cuestión </w:t>
      </w:r>
      <w:r>
        <w:lastRenderedPageBreak/>
        <w:t>en los términos planteados por la recurrente puede estimarse como propio de una impugnación preventiva. En tal sentido, a mi juicio, debería haber sido resuelta la cuestión por la opinión mayoritaria, pues no me parece pertinente ni adecuada la argumentación de la opinión mayoritaria en el sentido de que la posibilidad de que el Estado no acepte las propuestas autonómicas por no adecuarse a las directrices y objetivos pretendidos es una consecuencia de la facultad de coordinación reconocida al Estado que incluye la autoridad para evitar o remediar posibles perjuicios sobre la dirección de la política exterior.</w:t>
      </w:r>
    </w:p>
    <w:p w:rsidR="00163957" w:rsidRDefault="00163957" w:rsidP="00163957">
      <w:pPr>
        <w:pStyle w:val="TextoNormal"/>
      </w:pPr>
    </w:p>
    <w:p w:rsidR="00163957" w:rsidRDefault="00163957" w:rsidP="00163957">
      <w:pPr>
        <w:pStyle w:val="TextoNormal"/>
      </w:pPr>
      <w:r>
        <w:t>Madrid, a veintiocho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89" w:name="SENTENCIA_2016_86"/>
      <w:r>
        <w:lastRenderedPageBreak/>
        <w:t>SENTENCIA 86/2016, de 28 de abril de 2016</w:t>
      </w:r>
    </w:p>
    <w:bookmarkEnd w:id="89"/>
    <w:p w:rsidR="00163957" w:rsidRDefault="00163957" w:rsidP="00163957">
      <w:pPr>
        <w:pStyle w:val="TtuloResolucin"/>
      </w:pPr>
      <w:r>
        <w:t>Pleno</w:t>
      </w:r>
    </w:p>
    <w:p w:rsidR="00163957" w:rsidRDefault="00163957" w:rsidP="00163957">
      <w:pPr>
        <w:pStyle w:val="TtuloBOE"/>
      </w:pPr>
      <w:r>
        <w:t>(BOE núm. 131, de 31 de mayo de 2016)</w:t>
      </w:r>
    </w:p>
    <w:p w:rsidR="00163957" w:rsidRDefault="00163957" w:rsidP="00163957">
      <w:pPr>
        <w:pStyle w:val="TextoNormalCentrado"/>
      </w:pPr>
      <w:r>
        <w:t>ECLI:ES:TC:2016:86</w:t>
      </w:r>
    </w:p>
    <w:p w:rsidR="00163957" w:rsidRDefault="00163957" w:rsidP="00163957">
      <w:pPr>
        <w:pStyle w:val="TextoNormalCentrado"/>
      </w:pPr>
    </w:p>
    <w:p w:rsidR="00163957" w:rsidRDefault="00163957" w:rsidP="00163957">
      <w:pPr>
        <w:pStyle w:val="SntesisDescriptiva"/>
      </w:pPr>
      <w:r>
        <w:t>Cuestión de inconstitucionalidad 2577-2015. Planteada por la Sala de lo Contencioso-Administrativo del Tribunal Supremo en relación con la disposición transitoria novena de la Ley del Parlamento de Cataluña 7/2003, de 25 de abril, de protección de la salud, según la redacción dada por la disposición final primera de la Ley 8/2007, de 30 de julio, del Instituto Catalán de la Salud.</w:t>
      </w:r>
    </w:p>
    <w:p w:rsidR="00163957" w:rsidRDefault="00163957" w:rsidP="00163957">
      <w:pPr>
        <w:pStyle w:val="SntesisDescriptiva"/>
      </w:pPr>
    </w:p>
    <w:p w:rsidR="00163957" w:rsidRDefault="00163957" w:rsidP="00163957">
      <w:pPr>
        <w:pStyle w:val="SntesisAnaltica"/>
      </w:pPr>
      <w:r>
        <w:t>Derecho a la igualdad en el acceso a la función pública: nulidad de los preceptos legales que regulan un procedimiento de acceso a la función pública en el que se valoran especialmente los servicios prestados por los interinos del cuerpo de farmacéuticos titulares.</w:t>
      </w:r>
    </w:p>
    <w:p w:rsidR="00163957" w:rsidRDefault="00163957" w:rsidP="00163957">
      <w:pPr>
        <w:pStyle w:val="SntesisAnaltica"/>
      </w:pPr>
    </w:p>
    <w:p w:rsidR="00163957" w:rsidRDefault="00163957" w:rsidP="00163957">
      <w:pPr>
        <w:pStyle w:val="Extracto"/>
      </w:pPr>
      <w:r>
        <w:t>1.</w:t>
      </w:r>
      <w:r>
        <w:tab/>
        <w:t>No se aprecia justificación razonable, basada en una situación excepcional, para la diferencia de trato que, en cuanto a la valoración de los servicios de los participantes en el proceso selectivo, resulta de la disposición legal cuestionada [FJ 5].</w:t>
      </w:r>
    </w:p>
    <w:p w:rsidR="00163957" w:rsidRDefault="00163957" w:rsidP="00163957">
      <w:pPr>
        <w:pStyle w:val="Extracto"/>
      </w:pPr>
    </w:p>
    <w:p w:rsidR="00163957" w:rsidRDefault="00163957" w:rsidP="00163957">
      <w:pPr>
        <w:pStyle w:val="Extracto"/>
      </w:pPr>
      <w:r>
        <w:t>2.</w:t>
      </w:r>
      <w:r>
        <w:tab/>
        <w:t>Las normas reguladoras del proceso selectivo han de asegurar a los ciudadanos una situación jurídica de igualdad en el acceso a las funciones públicas, con la inmediata interdicción de requisitos de acceso que tengan carácter discriminatorio (SSTC 193/1987; 353/1993) [FJ 4].</w:t>
      </w:r>
    </w:p>
    <w:p w:rsidR="00163957" w:rsidRDefault="00163957" w:rsidP="00163957">
      <w:pPr>
        <w:pStyle w:val="Extracto"/>
      </w:pPr>
    </w:p>
    <w:p w:rsidR="00163957" w:rsidRDefault="00163957" w:rsidP="00163957">
      <w:pPr>
        <w:pStyle w:val="Extracto"/>
      </w:pPr>
      <w:r>
        <w:t>3.</w:t>
      </w:r>
      <w:r>
        <w:tab/>
        <w:t>Para que sea constitucionalmente legítimo establecer un proceso selectivo restringido o uno en el que se prime notablemente un determinado mérito en relación a otros, debe existir una justificación amparada en una situación excepcional pues, en otro caso, la desigualdad de trato lesionaría el derecho de acceso a la función pública (STC 27/2012) [FJ 4].</w:t>
      </w:r>
    </w:p>
    <w:p w:rsidR="00163957" w:rsidRDefault="00163957" w:rsidP="00163957">
      <w:pPr>
        <w:pStyle w:val="Extracto"/>
      </w:pPr>
    </w:p>
    <w:p w:rsidR="00163957" w:rsidRDefault="00163957" w:rsidP="00163957">
      <w:pPr>
        <w:pStyle w:val="Extracto"/>
      </w:pPr>
      <w:r>
        <w:t>4.</w:t>
      </w:r>
      <w:r>
        <w:tab/>
        <w:t>No cabe invocar la consolidación de empleo temporal que hemos considerado constitucionalmente legítima para justificar excepciones a la igualdad en el acceso a los cargos públicos cuando no se constata la vigencia y continuidad de ese empleo temporal a cuya necesaria consolidación se apela [FJ 5].</w:t>
      </w:r>
    </w:p>
    <w:p w:rsidR="00163957" w:rsidRDefault="00163957" w:rsidP="00163957">
      <w:pPr>
        <w:pStyle w:val="Extracto"/>
      </w:pPr>
    </w:p>
    <w:p w:rsidR="00163957" w:rsidRDefault="00163957" w:rsidP="00163957">
      <w:pPr>
        <w:pStyle w:val="Extracto"/>
      </w:pPr>
      <w:r>
        <w:t>5.</w:t>
      </w:r>
      <w:r>
        <w:tab/>
        <w:t>Cuando la queja por desigualdad se plantea respecto de los supuestos comprendidos en el art. 23.2 CE no es necesaria la invocación del art. 14 CE, porque el primero especifica el derecho a la igualdad en el acceso a las funciones y cargos públicos y es éste, por tanto, el precepto que habrá de ser considerado de modo directo para apreciar si el acto o la resolución impugnados han desconocido el principio de igualdad (SSTC 24/1989; 192/2007) [FJ 4].</w:t>
      </w:r>
    </w:p>
    <w:p w:rsidR="00163957" w:rsidRDefault="00163957" w:rsidP="00163957">
      <w:pPr>
        <w:pStyle w:val="Extracto"/>
      </w:pPr>
    </w:p>
    <w:p w:rsidR="00163957" w:rsidRDefault="00163957" w:rsidP="00163957">
      <w:pPr>
        <w:pStyle w:val="Extracto"/>
      </w:pPr>
      <w:r>
        <w:t>6.</w:t>
      </w:r>
      <w:r>
        <w:tab/>
        <w:t>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w:t>
      </w:r>
      <w:r>
        <w:lastRenderedPageBreak/>
        <w:t>penda el fallo pueda ser contraria a la Constitución, sin condicionar el planteamiento de la cuestión a la imposibilidad de la interpretación conforme con la Constitución  (SSTC 4105/1988, 40/2014) [FJ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Rios,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2577-2015, planteada por la Sección Séptima de la Sala de lo Contencioso-Administrativo del Tribunal Supremo en el recurso de casación núm. 3970/2013, en relación con los apartados 2.b) y 3 de la disposición transitoria novena de la Ley de la Comunidad Autónoma de Cataluña 7/2003, de 25 de abril, de protección de la salud, según la redacción dada por la disposición final primera de la Ley 8/2007, de 30 de julio, del Instituto Catalán de la Salud, por posible vulneración de los arts. 14 y 23.2 CE. Han comparecido y formulado alegaciones las Letradas de la Generalidad y del Parlamento de Cataluña, la Fiscal General del Estado y don Pere Serra Costa, recurrente en el proceso a quo, representado por el Procurador de los Tribunales don Luis José García Barrenechea y asistido por el Abogado don Jaume Ribera Masgrau. Ha sido Ponente el Magistrado don Andrés Ollero Tassara,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Con fecha 6 de mayo de 2015 tuvo entrada en el Registro General de este Tribunal oficio de la Sección Séptima de la Sala de lo Contencioso-Administrativo del Tribunal Supremo al que se acompañaba, junto con el testimonio del recurso de casación núm. 3970-2013 y de las actuaciones de la instancia, Auto de la referida Sección de 3 de marzo de 2015, por el que se acuerda elevar a este Tribunal cuestión de inconstitucionalidad respecto a los apartados 2 b) y 3 de la disposición transitoria novena de la Ley de la Comunidad Autónoma de Cataluña 7/2003, de 25 de abril, de protección de la salud, según redacción dada por la disposición final primera de la Ley 8/2007, de 30 de julio, por posible infracción de los arts. 14 y 23.2 CE.</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que dan lugar al planteamiento de la cuestión son, sucintamente, los que siguen:</w:t>
      </w:r>
    </w:p>
    <w:p w:rsidR="00163957" w:rsidRDefault="00163957" w:rsidP="00163957">
      <w:pPr>
        <w:pStyle w:val="TextoNormal"/>
      </w:pPr>
    </w:p>
    <w:p w:rsidR="00163957" w:rsidRDefault="00163957" w:rsidP="00163957">
      <w:pPr>
        <w:pStyle w:val="TextoNormal"/>
      </w:pPr>
      <w:r>
        <w:lastRenderedPageBreak/>
        <w:t>a) La cuestión de inconstitucionalidad se eleva con ocasión del recurso de casación promovido por don Pere Serra Costa, contra Sentencia de 30 de septiembre de 2013, de la Sección Cuarta de la Sala de lo Contencioso-Administrativo del Tribunal Superior de Justicia de Cataluña, desestimatoria del recurso contencioso-administrativo núm. 630-2010, interpuesto por el citado don Pere Serra Costa y por doña M.M.M.M. contra resoluciones de la Dirección General de la Función Pública de la Generalitat de Cataluña de 3 y 28 de junio de 2010, sobre nombramiento de funcionarios del cuerpo de titulación superior (subgrupo A1), salud pública, y contra la base 6.3.1 a) de la convocatoria del proceso selectivo, turno de reserva especial por concurso oposición libre, para proveer 61 plazas del cuerpo citado (resolución GAP 1197/2009, de 29 de abril, de la misma Dirección General).</w:t>
      </w:r>
    </w:p>
    <w:p w:rsidR="00163957" w:rsidRDefault="00163957" w:rsidP="00163957">
      <w:pPr>
        <w:pStyle w:val="TextoNormal"/>
      </w:pPr>
    </w:p>
    <w:p w:rsidR="00163957" w:rsidRDefault="00163957" w:rsidP="00163957">
      <w:pPr>
        <w:pStyle w:val="TextoNormal"/>
      </w:pPr>
      <w:r>
        <w:t>b) El recurso fue desestimado en la instancia por considerar la Sala de lo Contencioso-Administrativo del Tribunal Superior de Justicia de Cataluña que la base de la convocatoria impugnada se limitaba a recoger lo previsto en la disposición transitoria novena de la Ley 7/2003 en cuanto a la valoración de servicios prestados por los aspirantes a las plazas; los méritos de los recurrentes habían sido correctamente valorados según lo previsto en dicha base.</w:t>
      </w:r>
    </w:p>
    <w:p w:rsidR="00163957" w:rsidRDefault="00163957" w:rsidP="00163957">
      <w:pPr>
        <w:pStyle w:val="TextoNormal"/>
      </w:pPr>
    </w:p>
    <w:p w:rsidR="00163957" w:rsidRDefault="00163957" w:rsidP="00163957">
      <w:pPr>
        <w:pStyle w:val="TextoNormal"/>
      </w:pPr>
      <w:r>
        <w:t>c) Una vez finalizada la tramitación del recurso de casación, habiéndose señalado para votación y fallo el 26 de noviembre de 2014, mediante providencia de esa misma fecha se acordó, de conformidad con el art. 35.2 de la Ley Orgánica del Tribunal Constitucional (LOTC), oír a las partes y al Ministerio Fiscal sobre la procedencia de plantear cuestión de inconstitucionalidad en relación con los apartados 2 b) y 3 de la disposición transitoria novena de la Ley 7/2003, de 25 de abril, de protección de la salud, según la redacción dada por la disposición final primera de la Ley 8/2007, de 30 de julio, por posible infracción de los arts. 14 y 23.2 CE. El trámite fue evacuado por la Abogada de la Generalitat de Cataluña en el sentido de considerar improcedente el planteamiento de la cuestión. El Ministerio Fiscal manifestó no oponerse a la cuestión. El recurrente en casación consideró posible una interpretación conforme a la Constitución de la disposición legal citada, entendiendo que es la base 6.3.1 a) de la convocatoria recurrida y la aplicación que la Administración hizo de la misma lo que vulnera los preceptos constitucionales mencionados.</w:t>
      </w:r>
    </w:p>
    <w:p w:rsidR="00163957" w:rsidRDefault="00163957" w:rsidP="00163957">
      <w:pPr>
        <w:pStyle w:val="TextoNormal"/>
      </w:pPr>
    </w:p>
    <w:p w:rsidR="00163957" w:rsidRDefault="00163957" w:rsidP="00163957">
      <w:pPr>
        <w:pStyle w:val="TextoNormal"/>
      </w:pPr>
      <w:r w:rsidRPr="00163957">
        <w:rPr>
          <w:rStyle w:val="NumeroAFNegritaCaracter"/>
        </w:rPr>
        <w:t>3</w:t>
      </w:r>
      <w:r>
        <w:t>. Mediante Auto de 3 de marzo de 2015 la Sección Séptima de la Sala de lo Contencioso-Administrativo del Tribunal Supremo acordó plantear la presente cuestión de inconstitucionalidad en los siguientes términos:</w:t>
      </w:r>
    </w:p>
    <w:p w:rsidR="00163957" w:rsidRDefault="00163957" w:rsidP="00163957">
      <w:pPr>
        <w:pStyle w:val="TextoNormal"/>
      </w:pPr>
    </w:p>
    <w:p w:rsidR="00163957" w:rsidRDefault="00163957" w:rsidP="00163957">
      <w:pPr>
        <w:pStyle w:val="TextoNormal"/>
      </w:pPr>
      <w:r>
        <w:t>a) Tras exponer los antecedentes del caso y resumir las alegaciones de las partes en el trámite de audiencia, reproduce el precepto cuestionado en su redacción inicial y en la que luego le dio la Ley 8/2007, de 30 de julio, así como la base 6.3.1 a) de la convocatoria del proceso selectivo que era objeto del litigio. A continuación, el Auto explica cómo fueron valorados, según la base transcrita, los servicios prestados por el recurrente en casación, siendo su puntuación total inferior a la del último de los aspirantes aprobados, y resume los fundamentos de la Sentencia desestimatoria en la instancia.</w:t>
      </w:r>
    </w:p>
    <w:p w:rsidR="00163957" w:rsidRDefault="00163957" w:rsidP="00163957">
      <w:pPr>
        <w:pStyle w:val="TextoNormal"/>
      </w:pPr>
    </w:p>
    <w:p w:rsidR="00163957" w:rsidRDefault="00163957" w:rsidP="00163957">
      <w:pPr>
        <w:pStyle w:val="TextoNormal"/>
      </w:pPr>
      <w:r>
        <w:t xml:space="preserve">b) Interpreta los apartados 2 b) y 3 de la disposición transitoria novena de la Ley 7/2003, modificada por la Ley 8/2007, entendiendo que el apartado 2 b) se aplica solo al personal que, a la entrada en vigor de la Ley 7/2003, ocupara como interino un puesto de trabajo del cuerpo de farmacéuticos titulares y no se hallara en ninguna de las situaciones previstas en </w:t>
      </w:r>
      <w:r>
        <w:lastRenderedPageBreak/>
        <w:t>la disposición transitoria tercera del Decreto Legislativo 1/1997, de 31 de octubre, que refundió los preceptos de varios textos legales en materia de función pública vigentes en Cataluña. Sostiene que, para este personal, se establece un “turno de reserva especial por concurso libre” consistente en establecer una “especial valoración” de sus servicios o experiencia profesional, que la Ley remite a las bases de la convocatoria, por lo que concluye que la base 6.3.1 a) no contradice la Ley 7/2003.</w:t>
      </w:r>
    </w:p>
    <w:p w:rsidR="00163957" w:rsidRDefault="00163957" w:rsidP="00163957">
      <w:pPr>
        <w:pStyle w:val="TextoNormal"/>
      </w:pPr>
    </w:p>
    <w:p w:rsidR="00163957" w:rsidRDefault="00163957" w:rsidP="00163957">
      <w:pPr>
        <w:pStyle w:val="TextoNormal"/>
      </w:pPr>
      <w:r>
        <w:t>c) Destaca que al recurrente don Pere Serra Costa no se le aplicó la especial valoración de los apartados 2 b) y 3 de la disposición transitoria novena de la Ley 7/2003 por no formar parte del colectivo para la que estaba prevista. Este fue el motivo de su exclusión de la relación final de aspirantes seleccionados, por lo que la declaración de inconstitucionalidad de los apartados 2 b) y 3 de la disposición transitoria referida es inexcusable para que pueda ser estimada su pretensión.</w:t>
      </w:r>
    </w:p>
    <w:p w:rsidR="00163957" w:rsidRDefault="00163957" w:rsidP="00163957">
      <w:pPr>
        <w:pStyle w:val="TextoNormal"/>
      </w:pPr>
    </w:p>
    <w:p w:rsidR="00163957" w:rsidRDefault="00163957" w:rsidP="00163957">
      <w:pPr>
        <w:pStyle w:val="TextoNormal"/>
      </w:pPr>
      <w:r>
        <w:t>d) Considera que se debe aplicar el rigor con que el Tribunal Constitucional ha exigido la observancia del principio de igualdad en los procedimientos selectivos de acceso a la función pública y que la Generalidad de Cataluña, que tenía la carga de hacerlo, no ha ofrecido razones convincentes que justifiquen la diferente valoración de servicios realizada en la base 6.3.1 a) de la convocatoria, a partir de los apartados 2 b) y 3 de la disposición transitoria cuestionada. No considera aplicable al caso la solución seguida, entre otras, en las SSTC 27/1991, 16/1998 y 12/1999, pues no advierte circunstancias que manifiesten que la discutida valoración de servicios pretende amparar a quienes accedieron como interinos y han permanecido con esa condición de forma que su continuidad sea una vía necesaria para posibilitar la nueva organización administrativa derivada de la implantación de la Generalidad. Reitera que la discutida “especial valoración” no se dirige a consolidar el empleo de los interinos, pues se aplica a quienes, a la entrada en vigor de la Ley 7/2003, ocupaban con carácter interino un puesto de farmacéutico titular aunque posteriormente hayan dejado de desempeñarlo. Concluye que no considera justificado que la misma experiencia reciba una valoración distinta según las circunstancias subjetivas de los aspirantes.</w:t>
      </w:r>
    </w:p>
    <w:p w:rsidR="00163957" w:rsidRDefault="00163957" w:rsidP="00163957">
      <w:pPr>
        <w:pStyle w:val="TextoNormal"/>
      </w:pPr>
    </w:p>
    <w:p w:rsidR="00163957" w:rsidRDefault="00163957" w:rsidP="00163957">
      <w:pPr>
        <w:pStyle w:val="TextoNormal"/>
      </w:pPr>
      <w:r>
        <w:t>e) En consecuencia, entiende el Tribunal Supremo que la distinta valoración de servicios que establecen los apartados 2 b) y 3 de la disposición transitoria novena de la Ley 7/2003 vulnera los arts. 14 y 23.2 CE, que reconocen el derecho a la igualdad con carácter general y el derecho de acceder en condiciones de igualdad a los cargos y funciones públicas.</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23 de junio de 2015 el Pleno, a propuesta de la Sección Segunda, acordó admitir a trámite la presente cuestión de inconstitucionalidad y, de conformidad con lo dispuesto en el art. 10.1 c) LOTC, reservar para sí el conocimiento de la misma. Asimismo acordó dar traslado de las actuaciones recibidas, conforme establece el art. 37.3 LOTC, al Congreso de los Diputados y al Senado, por conducto de sus Presidentes, al Gobierno, a través del Ministro de Justicia, y al Fiscal General del Estado, así como a la Generalidad y al Parlamento de Cataluña por conducto de sus Presidentes, al objeto de que, en el plazo de quince días, pudieran personarse en el proceso y formular alegaciones. Se acordó igualmente comunicar la providencia a la Sección Séptima de la Sala de lo Contencioso-Administrativo del Tribunal Supremo, a los efectos previstos en el art. 35.3 LOTC y publicar la incoación del procedimiento en el “Boletín Oficial del Estado” y en el “Diario Oficial de la Generalidad de Cataluña”.</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5</w:t>
      </w:r>
      <w:r>
        <w:t>. Por escritos registrados en este Tribunal el 1 y 3 de julio de 2015 respectivamente, los Presidentes del Senado y del Congreso de los Diputados comunicaron sendos acuerdos adoptados por las Mesas de ambas Cámaras de personarse en el proceso,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Abogado del Estado presentó el 15 de julio de 2015 escrito personándose en el procedimiento a los solos efectos de ser notificado de las resoluciones que en él se dicten.</w:t>
      </w:r>
    </w:p>
    <w:p w:rsidR="00163957" w:rsidRDefault="00163957" w:rsidP="00163957">
      <w:pPr>
        <w:pStyle w:val="TextoNormal"/>
      </w:pPr>
    </w:p>
    <w:p w:rsidR="00163957" w:rsidRDefault="00163957" w:rsidP="00163957">
      <w:pPr>
        <w:pStyle w:val="TextoNormal"/>
      </w:pPr>
      <w:r w:rsidRPr="00163957">
        <w:rPr>
          <w:rStyle w:val="NumeroAFNegritaCaracter"/>
        </w:rPr>
        <w:t>7</w:t>
      </w:r>
      <w:r>
        <w:t>. La Abogada de la Generalitat de Cataluña formuló alegaciones por escrito registrado el 16 de julio de 2015 interesando la inadmisión o, alternativamente, la desestimación de la cuestión, por las siguientes razones:</w:t>
      </w:r>
    </w:p>
    <w:p w:rsidR="00163957" w:rsidRDefault="00163957" w:rsidP="00163957">
      <w:pPr>
        <w:pStyle w:val="TextoNormal"/>
      </w:pPr>
    </w:p>
    <w:p w:rsidR="00163957" w:rsidRDefault="00163957" w:rsidP="00163957">
      <w:pPr>
        <w:pStyle w:val="TextoNormal"/>
      </w:pPr>
      <w:r>
        <w:t>a) Tras sintetizar los antecedentes del caso, expone el marco jurídico aplicable destacando que, al convocarse en 2009 el proceso selectivo origen del litigo en que se plantea la cuestión de inconstitucionalidad, no había culminado todavía el proceso de creación de la Administración sanitaria de Cataluña; estaba pendiente, entre otras, la integración en el cuerpo de titulados superiores de la Generalitat de las personas que ocupaban puestos de interinos en el cuerpo estatal de farmacéuticos titulares, adscritas a servicios periféricos transferidos a la Comunidad Autónoma. Explica que el proceso de integración en este caso fue complejo. El cuerpo estatal de farmacéuticos titulares no tuvo una réplica autonómica, sino que el legislador catalán optó por crear un único cuerpo de titulados superiores, agrupados por su especialidad (salud pública), por lo que los funcionarios del cuerpo de farmacéuticos titulares debían integrarse en el citado cuerpo autonómico. Señala que ello halló notables obstáculos por las diferencias retributivas, horarias y de incompatibilidades existentes entre los cuerpos, particularmente relevantes en el caso de los farmacéuticos titulares, que estaban exceptuados del régimen general de incompatibilidades regulado en el art. 12.2 de la Ley 53/1984, de 26 de diciembre, con la obligación de tener oficina de farmacia abierta en la misma localidad en que ejercían su función.</w:t>
      </w:r>
    </w:p>
    <w:p w:rsidR="00163957" w:rsidRDefault="00163957" w:rsidP="00163957">
      <w:pPr>
        <w:pStyle w:val="TextoNormal"/>
      </w:pPr>
    </w:p>
    <w:p w:rsidR="00163957" w:rsidRDefault="00163957" w:rsidP="00163957">
      <w:pPr>
        <w:pStyle w:val="TextoNormal"/>
      </w:pPr>
      <w:r>
        <w:t>La situación descrita se prolongó hasta la Ley 7/2003 que, en la disposición transitoria novena, apartado 1, reconoció el derecho de los interinos del cuerpo de farmacéuticos titulares a acceder a la condición de funcionarios del cuerpo de titulados superiores de la Generalitat de Cataluña, salud pública, mediante la superación de un concurso-oposición, en turno restringido, en el mismo puesto de trabajo ocupado, en el que se valorasen de forma especial los servicios prestados en el ámbito de la Administración sanitaria, con un máximo de cuatro convocatorias. Además, la disposición transitoria décima de la Ley 7/2003 admitió que los farmacéuticos que a su entrada en vigor (28 de mayo de 2003) fuesen interinos del cuerpo de farmacéuticos titulares pudieran obtener compatibilidad para ejercer las funciones propias de la titularidad de una oficina de farmacia y de protección de la salud, siendo esta disposición posteriormente derogada por la Ley 18/2009, de 22 de octubre, de salud pública.</w:t>
      </w:r>
    </w:p>
    <w:p w:rsidR="00163957" w:rsidRDefault="00163957" w:rsidP="00163957">
      <w:pPr>
        <w:pStyle w:val="TextoNormal"/>
      </w:pPr>
    </w:p>
    <w:p w:rsidR="00163957" w:rsidRDefault="00163957" w:rsidP="00163957">
      <w:pPr>
        <w:pStyle w:val="TextoNormal"/>
      </w:pPr>
      <w:r>
        <w:t xml:space="preserve">b) La Abogada de la Generalitat continúa manifestado que las disposiciones transitorias novena y décima de la Ley 7/2003 se aplicaron solo parcialmente, puesto que, en principio, fueron excluidos de la adscripción al cuerpo de titulados superiores de la Generalidad los interinos del cuerpo de farmacéuticos titulares que, a su vez, eran titulares de una oficina de farmacia, estando exentos del régimen general de incompatibilidades. Tampoco se realizaron las convocatorias previstas en la disposición transitoria novena, apartado 1, de la Ley </w:t>
      </w:r>
      <w:r>
        <w:lastRenderedPageBreak/>
        <w:t>7/2003, para la integración en el cuerpo de titulados superiores de la Generalitat de Cataluña de quienes a la entrada en vigor de dicha Ley ocupaban interinamente una plaza del cuerpo de farmacéuticos titulares, pues la Administración no llevó a cabo ninguna de las cuatro convocatorias previstas en la referida disposición legal.</w:t>
      </w:r>
    </w:p>
    <w:p w:rsidR="00163957" w:rsidRDefault="00163957" w:rsidP="00163957">
      <w:pPr>
        <w:pStyle w:val="TextoNormal"/>
      </w:pPr>
    </w:p>
    <w:p w:rsidR="00163957" w:rsidRDefault="00163957" w:rsidP="00163957">
      <w:pPr>
        <w:pStyle w:val="TextoNormal"/>
      </w:pPr>
      <w:r>
        <w:t>Posteriormente se aprobó la Ley 8/2007, que modificó la disposición transitoria novena de la Ley 7/2003 con la finalidad de ajustar la regulación de los procesos selectivos en turno restringido a la interpretación restrictiva mantenida por la jurisprudencia constitucional. Así, el proceso selectivo restringido se limitó exclusivamente a quienes a la fecha de entrada en vigor de la Ley 4/1981, de 4 de junio, de medidas urgentes de la función pública de la Generalitat de Cataluña, ocupaban ya interinamente una plaza del cuerpo de farmacéuticos titulares para los que la disposición transitoria tercera de la Ley 17/1985, de 23 de julio, de la función pública de Cataluña, refundida en la disposición transitoria tercera del Decreto Legislativo 1/1997, de 31 de octubre, ya había previsto un proceso selectivo específico en cuatro convocatorias sucesivas [apartado 2 a) de la disposición transitoria novena].</w:t>
      </w:r>
    </w:p>
    <w:p w:rsidR="00163957" w:rsidRDefault="00163957" w:rsidP="00163957">
      <w:pPr>
        <w:pStyle w:val="TextoNormal"/>
      </w:pPr>
    </w:p>
    <w:p w:rsidR="00163957" w:rsidRDefault="00163957" w:rsidP="00163957">
      <w:pPr>
        <w:pStyle w:val="TextoNormal"/>
      </w:pPr>
      <w:r>
        <w:t>Para el acceso al cuerpo de titulados superiores de la Generalitat del resto de quienes ocupaban interinamente una plaza del cuerpo de farmacéuticos titulares a la entrada en vigor de la Ley 7/2003 pero desde una fecha posterior a la vigencia de la Ley 4/1981, la modificación que realizó la Ley 8/2007 de los apartados 2 b) y 3 de la disposición transitoria novena de la Ley 7/2003 consistió en sustituir el proceso selectivo restringido con cuatro convocatorias sucesivas (redacción originaria de la norma) por un proceso selectivo ordinario, de concurso oposición libre, si bien en turno de reserva especial que se circunscribía a una valoración especial de los servicios prestados, a determinar en las bases de la convocatoria [apartado 2 b) de la disposición transitoria novena].</w:t>
      </w:r>
    </w:p>
    <w:p w:rsidR="00163957" w:rsidRDefault="00163957" w:rsidP="00163957">
      <w:pPr>
        <w:pStyle w:val="TextoNormal"/>
      </w:pPr>
    </w:p>
    <w:p w:rsidR="00163957" w:rsidRDefault="00163957" w:rsidP="00163957">
      <w:pPr>
        <w:pStyle w:val="TextoNormal"/>
      </w:pPr>
      <w:r>
        <w:t>Para ambos colectivos de interinos del cuerpo de farmacéuticos titulares [los del apartado 2 a) y los del apartado 2 b)] la Ley 8/2007 mantuvo la previsión del apartado 3 de la disposición transitoria novena de la Ley 7/2003 de remitir a las bases de la convocatoria del proceso selectivo la especial valoración de los servicios prestados por los aspirantes en Administraciones públicas, correspondientes a funciones propias de las plazas convocadas. De acuerdo con esta previsión, para el colectivo incluido en el apartado 2 b) de la disposición transitoria novena de la Ley 7/2003 se incluyó la base 6.3.1 a) en la convocatoria del proceso selectivo (resolución GAP 1197/2009, de 29 de abril) origen del litigio en que se plantea la presente cuestión de inconstitucionalidad.</w:t>
      </w:r>
    </w:p>
    <w:p w:rsidR="00163957" w:rsidRDefault="00163957" w:rsidP="00163957">
      <w:pPr>
        <w:pStyle w:val="TextoNormal"/>
      </w:pPr>
    </w:p>
    <w:p w:rsidR="00163957" w:rsidRDefault="00163957" w:rsidP="00163957">
      <w:pPr>
        <w:pStyle w:val="TextoNormal"/>
      </w:pPr>
      <w:r>
        <w:t>c) Las alegaciones de la Abogada de la Generalitat de Cataluña resumen seguidamente el contenido del Auto de 3 de marzo de 2015 de planteamiento de la cuestión y afirman que, si bien la cuestión supera el juicio de aplicabilidad, no ocurre lo mismo con el juicio de relevancia, puesto que el Auto no justifica que la decisión del proceso dependa de la validez de la disposición transitoria novena, apartados 2 b) y 3, de la Ley 7/2003.</w:t>
      </w:r>
    </w:p>
    <w:p w:rsidR="00163957" w:rsidRDefault="00163957" w:rsidP="00163957">
      <w:pPr>
        <w:pStyle w:val="TextoNormal"/>
      </w:pPr>
    </w:p>
    <w:p w:rsidR="00163957" w:rsidRDefault="00163957" w:rsidP="00163957">
      <w:pPr>
        <w:pStyle w:val="TextoNormal"/>
      </w:pPr>
      <w:r>
        <w:t xml:space="preserve">En opinión de la Abogada de la Generalidad, el juicio de relevancia formulado por el Tribunal Supremo en su Auto carece de consistencia, pues se basa en una interpretación extensiva de los apartados 2 b) y 3 de la disposición transitoria novena de la Ley 7/2003, contraria a su literalidad. Así, les atribuye la inclusión (en el cómputo de los servicios sujetos a valoración especial) tanto de los prestados con anterioridad como de los posteriores a </w:t>
      </w:r>
      <w:r>
        <w:lastRenderedPageBreak/>
        <w:t xml:space="preserve">la vigencia de la Ley 7/2003 y la previsión de una doble puntuación en favor de los aspirantes incluidos en el apartado 2 b), cuando resulta que la disposición transitoria novena no se refiere a estos extremos. Y, partiendo de ese entendimiento desbordante del verdadero contenido normativo de esta disposición, el Auto concluye que la base 6.3.1 a) de la convocatoria no la contradice. Sin embargo, afirma la Abogada autonómica, el hecho de que la base 6.3.1 a) no contradiga los apartados 2 b) y 3 de la disposición transitoria novena de la Ley 7/2003 no es suficiente para deducir que la norma legal padece los mismos vicios de inconstitucionalidad que se achacan a la base de la convocatoria, la cual incorpora adicionalmente y </w:t>
      </w:r>
      <w:r w:rsidRPr="00163957">
        <w:rPr>
          <w:i/>
        </w:rPr>
        <w:t>ex novo</w:t>
      </w:r>
      <w:r>
        <w:t xml:space="preserve"> otras prescripciones como la puntuación especial de los servicios prestados por los interinos del cuerpo de farmacéuticos titulares nombrados antes de la entrada en vigor de la Ley 7/2003, que fija en el doble de la asignada al resto de aspirantes, aunque, en la práctica, esta diferencia quedó luego eliminada, puesto que los certificados de servicios prestados se corrigieron por la Administración en proporción a la distinta jornada laboral de los distintos cuerpos. Además, la base 6.3.1 a) determinó el período de aplicación de la valoración especial y las plazas en que podrían haberse prestado los servicios susceptibles de esa valoración especial, aspectos que la disposición legal cuestionada no regulaba.</w:t>
      </w:r>
    </w:p>
    <w:p w:rsidR="00163957" w:rsidRDefault="00163957" w:rsidP="00163957">
      <w:pPr>
        <w:pStyle w:val="TextoNormal"/>
      </w:pPr>
    </w:p>
    <w:p w:rsidR="00163957" w:rsidRDefault="00163957" w:rsidP="00163957">
      <w:pPr>
        <w:pStyle w:val="TextoNormal"/>
      </w:pPr>
      <w:r>
        <w:t>Son precisamente estas prescripciones adicionales introducidas por la base 6.3.1 a) de la convocatoria [y no lo previsto en los apartados 2 b) y 3 de la disposición transitoria novena de la Ley 7/2003], las que incurrirían en la vulneración de los arts. 14 y 23.2 CE, según la Abogada de la Generalitat.</w:t>
      </w:r>
    </w:p>
    <w:p w:rsidR="00163957" w:rsidRDefault="00163957" w:rsidP="00163957">
      <w:pPr>
        <w:pStyle w:val="TextoNormal"/>
      </w:pPr>
    </w:p>
    <w:p w:rsidR="00163957" w:rsidRDefault="00163957" w:rsidP="00163957">
      <w:pPr>
        <w:pStyle w:val="TextoNormal"/>
      </w:pPr>
      <w:r>
        <w:t>Por otra parte, considera la Abogada de la Generalitat que de lo dispuesto en el apartado 3 de la disposición transitoria novena de la Ley 7/2003 respecto de los servicios prestados por los aspirantes en el ámbito del departamento competente en materia de salud y del Instituto Catalán de Salud no se deriva, frente a lo que parece entender el Fiscal, que la norma legal habilite para computar a los aspirantes incluidos en el apartado 2 b) de dicha disposición los servicios prestados tanto en el cuerpo de farmacéuticos titulares como en el cuerpo de titulados superiores de la Generalitat, sino que ha de entenderse referida exclusivamente a los servicios prestados en el cuerpo de farmacéuticos titulares.</w:t>
      </w:r>
    </w:p>
    <w:p w:rsidR="00163957" w:rsidRDefault="00163957" w:rsidP="00163957">
      <w:pPr>
        <w:pStyle w:val="TextoNormal"/>
      </w:pPr>
    </w:p>
    <w:p w:rsidR="00163957" w:rsidRDefault="00163957" w:rsidP="00163957">
      <w:pPr>
        <w:pStyle w:val="TextoNormal"/>
      </w:pPr>
      <w:r>
        <w:t>En conclusión, la Abogada de la Generalitat afirma que el Tribunal Supremo interpreta la norma legal cuestionada a partir de la base 6.1.3 a) de la convocatoria, más allá de sus previsiones y como si esa fuese la única exégesis posible, sin intentar una interpretación conforme con la Constitución como solicitó el recurrente, admitió el Fiscal y sería procedente a tenor del art. 5.3 de la Ley Orgánica del Poder Judicial. Por ello, sostiene que debe inadmitirse la cuestión de inconstitucionalidad.</w:t>
      </w:r>
    </w:p>
    <w:p w:rsidR="00163957" w:rsidRDefault="00163957" w:rsidP="00163957">
      <w:pPr>
        <w:pStyle w:val="TextoNormal"/>
      </w:pPr>
    </w:p>
    <w:p w:rsidR="00163957" w:rsidRDefault="00163957" w:rsidP="00163957">
      <w:pPr>
        <w:pStyle w:val="TextoNormal"/>
      </w:pPr>
      <w:r>
        <w:t>d) Para el caso de que no se inadmita la cuestión, la Abogada de la Generalitat interesa su desestimación por entender que los apartados 2 b) y 3 de la disposición transitoria novena de la Ley 7/2003 no son inconstitucionales, a la vista de la doctrina constitucional que considera compatible con el art. 23.2 CE la realización de procesos selectivos restringidos y la especial valoración de los servicios prestados por un determinado personal temporal o interino, siempre que se cumplan los requisitos sintetizados en las SSTC 12/1999 y 27/1991.</w:t>
      </w:r>
    </w:p>
    <w:p w:rsidR="00163957" w:rsidRDefault="00163957" w:rsidP="00163957">
      <w:pPr>
        <w:pStyle w:val="TextoNormal"/>
      </w:pPr>
    </w:p>
    <w:p w:rsidR="00163957" w:rsidRDefault="00163957" w:rsidP="00163957">
      <w:pPr>
        <w:pStyle w:val="TextoNormal"/>
      </w:pPr>
      <w:r>
        <w:t xml:space="preserve">En este caso se cumplen tales requisitos, pues la valoración especial de los servicios prestados que contempla la disposición cuestionada responde a la necesidad excepcional de culminar el proceso de implantación de la Administración autonómica sanitaria mediante la </w:t>
      </w:r>
      <w:r>
        <w:lastRenderedPageBreak/>
        <w:t>integración en el cuerpo funcionarial autonómico de los interinos del cuerpo estatal de farmacéuticos, cuya anómala situación de interinidad había pervivido por las razones expuestas. Se trata de un remedio previsto por primera y única vez en la disposición transitoria novena de la Ley 7/2003, pues ni antes ni después de la convocatoria de 2009 se ha llevado a cabo ningún proceso selectivo en que se haya atribuido una valoración especial a los servicios prestados por tales interinos. Y, en fin, la valoración especial de los servicios se contempla en norma con rango de ley, como exige la meritada doctrina constitucional.</w:t>
      </w:r>
    </w:p>
    <w:p w:rsidR="00163957" w:rsidRDefault="00163957" w:rsidP="00163957">
      <w:pPr>
        <w:pStyle w:val="TextoNormal"/>
      </w:pPr>
    </w:p>
    <w:p w:rsidR="00163957" w:rsidRDefault="00163957" w:rsidP="00163957">
      <w:pPr>
        <w:pStyle w:val="TextoNormal"/>
      </w:pPr>
      <w:r>
        <w:t>Añade que la finalidad legítima de creación de la Administración sanitaria autonómica no se desvirtúa por el tiempo transcurrido, ni aunque los aspirantes hubieran dejado de desempeñar el puesto de farmacéutico titular que ocupaban interinamente. Asimismo destaca que también se cumplen los requisitos jurisprudenciales (STC 111/2014) de que la valoración cualificada de los servicios previos sea proporcional y no excluya en la práctica a terceros del proceso selectivo, puesto que la disposición cuestionada se limita a autorizar una valoración especial de los servicios dejando a la convocatoria del proceso selectivo, a la que se remite, un amplio margen para fijar las diferencias de valoración de los servicios prestados por los interinos y el resto de aspirantes. Por ello, al ser la base 6.3.1 a) de la convocatoria la que fija el período de cómputo de los servicios prestados, el cuerpo en que podían haberse prestado tales servicios y la puntuación de su valoración, la eventual vulneración de los arts. 23.2 y 14 CE, si se hubiera producido (extremo que se niega), sería imputable a dicha base, sobre cuya legalidad corresponde pronunciarse al Tribunal Supremo, y no a los cuestionados apartados 2 b) y 3 de la disposición transitoria novena de la Ley 7/2003.</w:t>
      </w:r>
    </w:p>
    <w:p w:rsidR="00163957" w:rsidRDefault="00163957" w:rsidP="00163957">
      <w:pPr>
        <w:pStyle w:val="TextoNormal"/>
      </w:pPr>
    </w:p>
    <w:p w:rsidR="00163957" w:rsidRDefault="00163957" w:rsidP="00163957">
      <w:pPr>
        <w:pStyle w:val="TextoNormal"/>
      </w:pPr>
      <w:r>
        <w:t>e) Por último, afirma la Abogada de la Generalidad que, en todo caso, aunque este proceso constitucional no es idóneo para enjuiciar la base 6.3.1 a) de la convocatoria, debe tenerse en cuenta que el hecho de que esta base establezca una puntuación de 0,075 puntos por mes trabajado para los servicios prestados por los aspirantes incluidos en el apartado 2 b) de la disposición transitoria novena de la Ley 7/2003, que es el doble de la prevista para el resto de aspirantes, ello no vulnera los arts. 14 y 23.2 CE.</w:t>
      </w:r>
    </w:p>
    <w:p w:rsidR="00163957" w:rsidRDefault="00163957" w:rsidP="00163957">
      <w:pPr>
        <w:pStyle w:val="TextoNormal"/>
      </w:pPr>
    </w:p>
    <w:p w:rsidR="00163957" w:rsidRDefault="00163957" w:rsidP="00163957">
      <w:pPr>
        <w:pStyle w:val="TextoNormal"/>
      </w:pPr>
      <w:r>
        <w:t>Esta doble puntuación contemplada en la base 6.3.1 a) de la convocatoria se debe al régimen de jornada específico de los farmacéuticos titulares derivado de la regulación preconstitucional, en la que la jornada era de 18 horas semanales estando el resto de la jornada destinada a la oficina de farmacia que el farmacéutico titular tenía obligación de mantener abierta en la misma localidad en que desarrollaba su función, por lo que, al ser regla general, aplicada en todos los procesos selectivos, que el cómputo de servicios se realiza en proporción a la jornada, si los farmacéuticos titulares no recibieran esa doble puntuación quedarían en desventaja frente al resto de aspirantes. Por tanto, si bien a simple vista pudiera parecer desproporcionada, lo cierto es que la doble puntuación prevista en la base 6.3.1 a) no pone en situación de ventaja a los farmacéuticos titulares frente al resto de aspirantes, sino que, en realidad, solamente equiparaba el cómputo de servicios de los aspirantes. Así se comprueba en los certificados de servicios prestados que constan en el expediente. Por ello, el cómputo de servicios no ha sido obstáculo infranqueable para terceros partícipes en el proceso selectivo, habiéndolo superado aspirantes que no estaban incluidos en el apartado 2 b) de la disposición transitoria novena de la Ley 7/2003, lo que descarta cualquier vulneración del principio de proporcionalidad. En consecuencia, tampoco la base 6.3.1 a) de la convocatoria puede considerarse contraria al art. 23.2 CE.</w:t>
      </w:r>
    </w:p>
    <w:p w:rsidR="00163957" w:rsidRDefault="00163957" w:rsidP="00163957">
      <w:pPr>
        <w:pStyle w:val="TextoNormal"/>
      </w:pPr>
    </w:p>
    <w:p w:rsidR="00163957" w:rsidRDefault="00163957" w:rsidP="00163957">
      <w:pPr>
        <w:pStyle w:val="TextoNormal"/>
      </w:pPr>
      <w:r w:rsidRPr="00163957">
        <w:rPr>
          <w:rStyle w:val="NumeroAFNegritaCaracter"/>
        </w:rPr>
        <w:t>8</w:t>
      </w:r>
      <w:r>
        <w:t>. La Letrada del Parlamento de Cataluña, mediante escrito registrado el 6 de julio de 2015, comunicó y adjuntó el acuerdo de personación del citado Parlamento en el presente proceso constitucional, solicitando prórroga del plazo para formular alegaciones, lo que le fue denegado por providencia de 7 de julio de 2015, al ser dicho plazo improrrogable.</w:t>
      </w:r>
    </w:p>
    <w:p w:rsidR="00163957" w:rsidRDefault="00163957" w:rsidP="00163957">
      <w:pPr>
        <w:pStyle w:val="TextoNormal"/>
      </w:pPr>
    </w:p>
    <w:p w:rsidR="00163957" w:rsidRDefault="00163957" w:rsidP="00163957">
      <w:pPr>
        <w:pStyle w:val="TextoNormal"/>
      </w:pPr>
      <w:r>
        <w:t>Seguidamente, el 20 de julio de 2015, la Letrada parlamentaria presentó sus alegaciones, solicitando la inadmisión o, alternativamente, la desestimación de la cuestión de inconstitucionalidad por las razones que a continuación se resumen.</w:t>
      </w:r>
    </w:p>
    <w:p w:rsidR="00163957" w:rsidRDefault="00163957" w:rsidP="00163957">
      <w:pPr>
        <w:pStyle w:val="TextoNormal"/>
      </w:pPr>
    </w:p>
    <w:p w:rsidR="00163957" w:rsidRDefault="00163957" w:rsidP="00163957">
      <w:pPr>
        <w:pStyle w:val="TextoNormal"/>
      </w:pPr>
      <w:r>
        <w:t>a) Tras sintetizar los antecedentes del caso, los razonamientos del Auto de planteamiento de la cuestión y reproducir los apartados 2 b) y 3 de la disposición transitoria novena de la Ley 7/2003, en la redacción dada por la disposición final primera de la Ley 8/2007, expone argumentos que vienen a coincidir sustancialmente con los esgrimidos por la Abogada de la Generalitat en todo lo relativo al proceso de implantación de la Administración sanitaria catalana y la compleja integración de los interinos del cuerpo estatal de farmacéuticos titulares en el cuerpo de titulación superior de la Generalitat de Cataluña, salud pública. Dada la identidad sustancial de los argumentos del Parlamento y la Generalitat de Cataluña en este punto, no es precisa su reiteración.</w:t>
      </w:r>
    </w:p>
    <w:p w:rsidR="00163957" w:rsidRDefault="00163957" w:rsidP="00163957">
      <w:pPr>
        <w:pStyle w:val="TextoNormal"/>
      </w:pPr>
    </w:p>
    <w:p w:rsidR="00163957" w:rsidRDefault="00163957" w:rsidP="00163957">
      <w:pPr>
        <w:pStyle w:val="TextoNormal"/>
      </w:pPr>
      <w:r>
        <w:t xml:space="preserve">b) En cuanto a la admisibilidad de la cuestión, la Letrada del Parlamento de Cataluña expone también una posición muy parecida a la de la Generalitat de Cataluña, defendiendo que la cuestión supera el juicio de aplicabilidad pero no el de relevancia, puesto que el Auto de planteamiento no justifica la existencia de una relación directa entre la validez de las normas legales cuya constitucionalidad se cuestiona y la resolución del recurso de casación pendiente ante el Tribunal </w:t>
      </w:r>
      <w:r w:rsidRPr="00163957">
        <w:rPr>
          <w:i/>
        </w:rPr>
        <w:t>a quo</w:t>
      </w:r>
      <w:r>
        <w:t xml:space="preserve">. Considera que, aunque se entendiera que la base 6.3.1 a) de la convocatoria origen del litigio podría vulnerar los arts. 14 y 23.2 CE, dicha base no se ajusta a lo establecido en los apartados 2 b) y 3 de la disposición transitoria novena de la Ley 7/2003, por lo que la previa declaración de inconstitucionalidad de estos apartados no es necesaria para estimar la pretensión del recurrente en el proceso </w:t>
      </w:r>
      <w:r w:rsidRPr="00163957">
        <w:rPr>
          <w:i/>
        </w:rPr>
        <w:t>a quo</w:t>
      </w:r>
      <w:r>
        <w:t xml:space="preserve"> de que se anule la valoración reforzada de los servicios prestados establecida en la base mencionada.</w:t>
      </w:r>
    </w:p>
    <w:p w:rsidR="00163957" w:rsidRDefault="00163957" w:rsidP="00163957">
      <w:pPr>
        <w:pStyle w:val="TextoNormal"/>
      </w:pPr>
    </w:p>
    <w:p w:rsidR="00163957" w:rsidRDefault="00163957" w:rsidP="00163957">
      <w:pPr>
        <w:pStyle w:val="TextoNormal"/>
      </w:pPr>
      <w:r>
        <w:t xml:space="preserve">Se trata pues, de un problema de legalidad ordinaria, lo que vendría confirmado por el hecho de que el recurrente en el proceso </w:t>
      </w:r>
      <w:r w:rsidRPr="00163957">
        <w:rPr>
          <w:i/>
        </w:rPr>
        <w:t>a quo</w:t>
      </w:r>
      <w:r>
        <w:t xml:space="preserve"> en ningún momento alegó la inconstitucionalidad de la disposición transitoria novena de la Ley 7/2003, sino su incorrecta interpretación o aplicación por la base 6.3.1 a) de la convocatoria. Esto es justamente lo que sucede, según la Letrada del Parlamento de Cataluña, porque la base 6.3.1 a) de la convocatoria va más allá de lo previsto en la disposición transitoria novena de la Ley 7/2003; mientras esta última se limita a establecer de forma genérica la valoración especial de los servicios prestados por el personal incluido en su apartado 2 b), la citada base distingue, sin contemplarlo la Ley, entre la valoración de los servicios prestados por el personal incluido en dicho apartado 2 b) (valorados a razón de 0,075 puntos por mes trabajado) y la de los servicios prestados por otros aspirantes (0,0375 puntos por mes trabajado). Además, la base 6.3.1 a) establece que se valorarán los servicios “hasta la fecha de publicación de la convocatoria”, lo que tampoco se contempla en la Ley 7/2003. Por ello concluye que debe inadmitirse la cuestión de inconstitucionalidad, pues cabe una interpretación de los apartados 2 b) y 3 de la disposición transitoria novena de la Ley 7/2003 conforme con la Constitución.</w:t>
      </w:r>
    </w:p>
    <w:p w:rsidR="00163957" w:rsidRDefault="00163957" w:rsidP="00163957">
      <w:pPr>
        <w:pStyle w:val="TextoNormal"/>
      </w:pPr>
    </w:p>
    <w:p w:rsidR="00163957" w:rsidRDefault="00163957" w:rsidP="00163957">
      <w:pPr>
        <w:pStyle w:val="TextoNormal"/>
      </w:pPr>
      <w:r>
        <w:lastRenderedPageBreak/>
        <w:t>c) Para el caso de que se admita la cuestión de inconstitucionalidad, la Letrada del Parlamento de Cataluña defiende, también en coincidencia con lo expuesto por la Abogada de la Generalitat, que los apartados 2 b) y 3 de la disposición transitoria novena de la Ley 7/2003 son conformes con la Constitución a partir de la doctrina constitucional que considera compatible con el art. 23.2 CE, en relación con los arts. 14 y 103.3 CE, la especial valoración de los servicios prestados por un determinado colectivo de interinos siempre que responda a situaciones excepcionales, como la construcción de la organización administrativa autonómica, la reorganización de servicios o la consolidación de colectivos precarios, y que la medida no sea desproporcionada, ni determinante del resultado del proceso selectivo (SSTC 67/1989, 27/1991 y 12/1999).</w:t>
      </w:r>
    </w:p>
    <w:p w:rsidR="00163957" w:rsidRDefault="00163957" w:rsidP="00163957">
      <w:pPr>
        <w:pStyle w:val="TextoNormal"/>
      </w:pPr>
    </w:p>
    <w:p w:rsidR="00163957" w:rsidRDefault="00163957" w:rsidP="00163957">
      <w:pPr>
        <w:pStyle w:val="TextoNormal"/>
      </w:pPr>
      <w:r>
        <w:t>Estos requisitos concurren, a su juicio, en la disposición legal cuestionada, que responde a la necesaria organización de la Administración sanitaria de Cataluña; se articula, como dice el apartado 2 b), “con carácter excepcional transitorio y por una sola vez”, y se lleva a cabo mediante concurso-oposición libre, por lo que no se excluye a otros participantes. Insiste la Letrada en que la doctrina constitucional ha admitido la valoración de la experiencia como un mérito (SSTC 67/1989 y 111/2014) y que las convocatorias puedan establecer condiciones favorables para los interinos (STC 12/1999). Reitera que la disposición legal cuestionada, dada su generalidad, no determina el resultado del proceso selectivo, por lo que la supuesta vulneración de preceptos constitucionales no sería imputable, en su caso, a la Ley, sino a la base de la convocatoria, lo que resulta ajeno al presente proceso constitucional.</w:t>
      </w:r>
    </w:p>
    <w:p w:rsidR="00163957" w:rsidRDefault="00163957" w:rsidP="00163957">
      <w:pPr>
        <w:pStyle w:val="TextoNormal"/>
      </w:pPr>
    </w:p>
    <w:p w:rsidR="00163957" w:rsidRDefault="00163957" w:rsidP="00163957">
      <w:pPr>
        <w:pStyle w:val="TextoNormal"/>
      </w:pPr>
      <w:r w:rsidRPr="00163957">
        <w:rPr>
          <w:rStyle w:val="NumeroAFNegritaCaracter"/>
        </w:rPr>
        <w:t>9</w:t>
      </w:r>
      <w:r>
        <w:t>. La Fiscal General del Estado presentó su escrito de alegaciones el 7 de septiembre de 2015. Tras exponer los antecedentes de hecho y los motivos en que se fundamenta el Auto de planteamiento de la cuestión, no opone óbice procesal alguno relativo al trámite de audiencia y a los juicios de aplicabilidad y relevancia realizados por el órgano judicial y solicita la estimación de la cuestión de inconstitucionalidad por los motivos siguientes.</w:t>
      </w:r>
    </w:p>
    <w:p w:rsidR="00163957" w:rsidRDefault="00163957" w:rsidP="00163957">
      <w:pPr>
        <w:pStyle w:val="TextoNormal"/>
      </w:pPr>
    </w:p>
    <w:p w:rsidR="00163957" w:rsidRDefault="00163957" w:rsidP="00163957">
      <w:pPr>
        <w:pStyle w:val="TextoNormal"/>
      </w:pPr>
      <w:r>
        <w:t>Observa inicialmente que la disposición legal cuestionada diseña una valoración especial de los servicios prestados por un grupo al que se favorece por una circunstancia subjetiva consistente en ocupar con carácter interino puestos de trabajo del cuerpo de farmacéuticos titulares en un momento determinado cual es la fecha de entrada en vigor de la Ley 7/2003, que se produjo el 28 de mayo de ese año. Por ello afirma que la clave de la cuestión es la vinculación de dicha valoración especial con los criterios de igualdad, mérito y capacidad y la aportación de un valor añadido desde tal prisma, destacando que la Ley 7/2003 no limita la valoración especial de los servicios a los prestados en el cuerpo de farmacéuticos titulares sino que los extiende a todos los computables según el apartado 3 y permite esa valoración tanto para los servicios anteriores a la entrada en vigor de la Ley 7/2003 como para los prestados después de esa fecha.</w:t>
      </w:r>
    </w:p>
    <w:p w:rsidR="00163957" w:rsidRDefault="00163957" w:rsidP="00163957">
      <w:pPr>
        <w:pStyle w:val="TextoNormal"/>
      </w:pPr>
    </w:p>
    <w:p w:rsidR="00163957" w:rsidRDefault="00163957" w:rsidP="00163957">
      <w:pPr>
        <w:pStyle w:val="TextoNormal"/>
      </w:pPr>
      <w:r>
        <w:t xml:space="preserve">A continuación expone la doctrina constitucional relativa a los arts. 14 y 23.2 CE, según la cual en supuestos verdaderamente singulares o extraordinarios, por especiales circunstancias debidamente justificadas, se ha considerado acorde con la Constitución que en procesos selectivos de acceso a funciones públicas se establezca un trato de favor a algunos participantes, concretamente de aquellos que ya habían sido interinos en la Administración convocante. Cita a este respecto las SSTC 67/1989, 185/1994, 83/2000 y 107/2003, relativas </w:t>
      </w:r>
      <w:r>
        <w:lastRenderedPageBreak/>
        <w:t xml:space="preserve">a supuestos en que, como en el presente caso, se otorgó una especial valoración a los servicios prestados por un colectivo. Destaca la STC 107/2003, que señaló que la finalidad de consolidar el empleo público temporal no es </w:t>
      </w:r>
      <w:r w:rsidRPr="00163957">
        <w:rPr>
          <w:i/>
        </w:rPr>
        <w:t>a priori</w:t>
      </w:r>
      <w:r>
        <w:t xml:space="preserve"> constitucionalmente ilegítima.</w:t>
      </w:r>
    </w:p>
    <w:p w:rsidR="00163957" w:rsidRDefault="00163957" w:rsidP="00163957">
      <w:pPr>
        <w:pStyle w:val="TextoNormal"/>
      </w:pPr>
    </w:p>
    <w:p w:rsidR="00163957" w:rsidRDefault="00163957" w:rsidP="00163957">
      <w:pPr>
        <w:pStyle w:val="TextoNormal"/>
      </w:pPr>
      <w:r>
        <w:t>La Fiscal General del Estado considera sin embargo que en este caso la finalidad de consolidar el empleo público temporal como posible legítima razón justificativa de la medida discutida resulta altamente cuestionable. Destaca que nunca llegó a materializarse la integración automática de los interinos del cuerpo estatal de farmacéuticos titulares en el cuerpo de titulados superiores de la Generalitat de Cataluña que, en cuatro convocatorias restringidas sucesivas, preveía la redacción inicial de la Ley 7/2003. Por ello, la modificación producida por la Ley 8/2007 supuso que esa incorporación automática de los interinos del cuerpo de farmacéuticos titulares en el cuerpo autonómico se acabó de establecer en realidad, con efecto retroactivo, en la Ley 8/2007, que afecta a una situación producida cinco años antes (la entrada en vigor de la Ley 7/2003), con lo que el personal beneficiado puede haber dejado de prestar servicios como interino en el período intermedio, lo que supone que no se asegura necesariamente la continuidad del empleado público en el puesto de trabajo que está desempeñando. De hecho, la norma legal cuestionada contempla la posibilidad de valorar especialmente los servicios prestados por este personal en otros puestos de trabajo e incluso en otras Administraciones públicas.</w:t>
      </w:r>
    </w:p>
    <w:p w:rsidR="00163957" w:rsidRDefault="00163957" w:rsidP="00163957">
      <w:pPr>
        <w:pStyle w:val="TextoNormal"/>
      </w:pPr>
    </w:p>
    <w:p w:rsidR="00163957" w:rsidRDefault="00163957" w:rsidP="00163957">
      <w:pPr>
        <w:pStyle w:val="TextoNormal"/>
      </w:pPr>
      <w:r>
        <w:t>Los imprecisos términos de los apartados 2 b) y 3 de la disposición transitoria novena de la Ley 7/2003, redactados por la Ley 8/2007, abren la vía que cristalizaría en la base 6.3.1 a) de la convocatoria controvertida, que supone asignar doble puntuación a los servicios prestados por aspirantes que eran interinos del cuerpo de farmacéuticos titulares el 28 de mayo de 2003 y que, por esta sola razón, consiguen esa valoración especial de cualquier experiencia, en cualquier puesto de trabajo que tenga relación con las plazas ofrecidas, de la que quedan excluidos todos los demás potenciales participantes aunque hayan prestado los mismos servicios. Por tanto, la norma no garantiza ni la continuidad en el desempeño de la función ni la especial valoración de la experiencia concreta en esos puestos de trabajo, por lo que no cumple, según la Fiscal General del Estado, los requisitos exigidos por la doctrina constitucional a la que se hizo referencia.</w:t>
      </w:r>
    </w:p>
    <w:p w:rsidR="00163957" w:rsidRDefault="00163957" w:rsidP="00163957">
      <w:pPr>
        <w:pStyle w:val="TextoNormal"/>
      </w:pPr>
    </w:p>
    <w:p w:rsidR="00163957" w:rsidRDefault="00163957" w:rsidP="00163957">
      <w:pPr>
        <w:pStyle w:val="TextoNormal"/>
      </w:pPr>
      <w:r>
        <w:t>Finalmente, la Fiscal General del Estado precisa que los problemas de constitucionalidad resultan de la forma en que se plasmó, en la disposición transitoria novena cuestionada, la voluntad del legislador, por lo que son previos al modo en que se concretan las bases de la convocatoria; es la Ley la que vincula la ventaja a la concreta circunstancia de ser interino a la fecha de entrada en vigor de la Ley 7/2003. En definitiva, no detecta la necesaria vinculación con una específica apreciación de mérito y capacidad, por lo que considera que procede la estimación de la cuestión.</w:t>
      </w:r>
    </w:p>
    <w:p w:rsidR="00163957" w:rsidRDefault="00163957" w:rsidP="00163957">
      <w:pPr>
        <w:pStyle w:val="TextoNormal"/>
      </w:pPr>
    </w:p>
    <w:p w:rsidR="00163957" w:rsidRDefault="00163957" w:rsidP="00163957">
      <w:pPr>
        <w:pStyle w:val="TextoNormal"/>
      </w:pPr>
      <w:r w:rsidRPr="00163957">
        <w:rPr>
          <w:rStyle w:val="NumeroAFNegritaCaracter"/>
        </w:rPr>
        <w:t>10</w:t>
      </w:r>
      <w:r>
        <w:t xml:space="preserve">. La representación procesal del recurrente en el proceso </w:t>
      </w:r>
      <w:r w:rsidRPr="00163957">
        <w:rPr>
          <w:i/>
        </w:rPr>
        <w:t>a quo</w:t>
      </w:r>
      <w:r>
        <w:t>, don Pere Serra Costa, cumplimentó el trámite de alegaciones el 9 de septiembre de 2015, en los términos que seguidamente se resumen.</w:t>
      </w:r>
    </w:p>
    <w:p w:rsidR="00163957" w:rsidRDefault="00163957" w:rsidP="00163957">
      <w:pPr>
        <w:pStyle w:val="TextoNormal"/>
      </w:pPr>
    </w:p>
    <w:p w:rsidR="00163957" w:rsidRDefault="00163957" w:rsidP="00163957">
      <w:pPr>
        <w:pStyle w:val="TextoNormal"/>
      </w:pPr>
      <w:r>
        <w:t xml:space="preserve">Entiende que se debe plantear, en primer lugar, una interpretación del apartado 3 de la disposición transitoria novena de la Ley 7/2003 que se acomode a los principios constitucionales; esto supondría entender el término “aspirantes” que dicha norma utiliza como referido a todos los admitidos en la convocatoria. Ello sería conforme con el tenor literal del </w:t>
      </w:r>
      <w:r>
        <w:lastRenderedPageBreak/>
        <w:t>apartado y se ve corroborado por el resto del mismo cuando, al referirse al conocimiento de la lengua catalana, incluye a todos los aspirantes. En todo caso, la integración del colectivo descrito en el apartado 1 de la disposición transitoria novena, al que se refiere el apartado 2, quedaría salvaguardada mediante la especial valoración, a todos los aspirantes por igual, de los servicios prestados, ya que los incluidos en el apartado 2 b) verían reconocidos los servicios prestados como interinos.</w:t>
      </w:r>
    </w:p>
    <w:p w:rsidR="00163957" w:rsidRDefault="00163957" w:rsidP="00163957">
      <w:pPr>
        <w:pStyle w:val="TextoNormal"/>
      </w:pPr>
    </w:p>
    <w:p w:rsidR="00163957" w:rsidRDefault="00163957" w:rsidP="00163957">
      <w:pPr>
        <w:pStyle w:val="TextoNormal"/>
      </w:pPr>
      <w:r>
        <w:t>Si se considera que no cabe la interpretación expuesta, la disposición transitoria novena, aplicada en los términos fijados por la base 6.3.1 a) de la convocatoria, entraría en colisión con los arts. 14 y 23.2 CE, al conllevar una valoración desigual de situaciones idénticas de méritos por servicios prestados nada más que con fundamento en la fecha de antigüedad de la prestación de esos servicios, lo que no se justifica en especiales circunstancias en la organización de la Administración, ni en el momento concreto en que se celebran las pruebas selectivas, como podría alegarse respecto del personal incluido en el apartado 2 a) de la disposición transitoria novena de la Ley 7/2003. La valoración desigual de los servicios prestados tampoco se justifica por los principios de mérito y capacidad ni por el de eficacia de la Administración y comporta una ventaja desproporcionada que evidencia la intención de predeterminar el resultado del concurso (STC 281/1993).</w:t>
      </w:r>
    </w:p>
    <w:p w:rsidR="00163957" w:rsidRDefault="00163957" w:rsidP="00163957">
      <w:pPr>
        <w:pStyle w:val="TextoNormal"/>
      </w:pPr>
    </w:p>
    <w:p w:rsidR="00163957" w:rsidRDefault="00163957" w:rsidP="00163957">
      <w:pPr>
        <w:pStyle w:val="TextoNormal"/>
      </w:pPr>
      <w:r w:rsidRPr="00163957">
        <w:rPr>
          <w:rStyle w:val="NumeroAFNegritaCaracter"/>
        </w:rPr>
        <w:t>11</w:t>
      </w:r>
      <w:r>
        <w:t>. Mediante providencia de 26 de abril de 2016 se señaló para deliberación y votación de la presente Sentencia el día 28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Sala de lo Contencioso-Administrativo del Tribunal Supremo plantea cuestión de inconstitucionalidad sobre los apartados 2 b) y 3 de la disposición transitoria novena de la Ley de la Comunidad Autónoma de Cataluña 7/2003, de 25 de abril, de protección de la salud, según la redacción dada por la disposición final primera de la Ley 8/2007, de 30 de julio. Entiende, según ha quedado expuesto con amplitud en el relato de antecedentes, que los citados apartados de la disposición cuestionada vulneran los arts. 14 y 23.2 CE, en cuanto establecen para quienes ocupaban a la entrada en vigor de la Ley 7/2003 con carácter interino un puesto de trabajo del cuerpo de farmacéuticos titulares y no se hallaban en ninguna de las situaciones previstas en la disposición transitoria tercera del Decreto Legislativo 1/1997, una especial valoración de los servicios prestados, que se concreta en la base 6.3.1 a) de la convocatoria y que conlleva que la misma experiencia se valore de forma distinta según las circunstancias subjetivas de los aspirantes. El Tribunal Supremo rechaza que se trate de una medida dirigida a consolidar el empleo de los interinos, ya que se aplica a quienes eran interinos a la entrada en vigor de la Ley 7/2003, aunque posteriormente dejaran de serlo.</w:t>
      </w:r>
    </w:p>
    <w:p w:rsidR="00163957" w:rsidRDefault="00163957" w:rsidP="00163957">
      <w:pPr>
        <w:pStyle w:val="TextoNormal"/>
      </w:pPr>
    </w:p>
    <w:p w:rsidR="00163957" w:rsidRDefault="00163957" w:rsidP="00163957">
      <w:pPr>
        <w:pStyle w:val="TextoNormal"/>
      </w:pPr>
      <w:r>
        <w:t xml:space="preserve">Las Letradas de la Generalitat y del Parlamento de Cataluña solicitan que se inadmita la cuestión al ser inconsistente el juicio de relevancia del Auto de planteamiento y, alternativamente, defienden que no hay vulneración del art. 23.2 CE cuando se trata de responder a una necesidad excepcional, como ocurre en este caso. El recurrente en el proceso </w:t>
      </w:r>
      <w:r w:rsidRPr="00163957">
        <w:rPr>
          <w:i/>
        </w:rPr>
        <w:t>a quo</w:t>
      </w:r>
      <w:r>
        <w:t xml:space="preserve"> entiende que es posible una interpretación conforme con la Constitución de la disposición legal cuestionada aunque, si esta se rechaza, debería estimarse la cuestión. La Fiscal General </w:t>
      </w:r>
      <w:r>
        <w:lastRenderedPageBreak/>
        <w:t>del Estado coincide con el planteamiento del Tribunal Supremo y solicita la estimación de la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2</w:t>
      </w:r>
      <w:r>
        <w:t>. Aunque solo sean objeto de la presente cuestión los apartados 2 b) y 3 de la disposición transitoria novena de la Ley 7/2003, redactados por la Ley 8/2007, en aras de la mayor claridad expositiva se transcribe a continuación la disposición citada en su totalidad, cuyo tenor es el siguiente:</w:t>
      </w:r>
    </w:p>
    <w:p w:rsidR="00163957" w:rsidRDefault="00163957" w:rsidP="00163957">
      <w:pPr>
        <w:pStyle w:val="TextoNormal"/>
      </w:pPr>
    </w:p>
    <w:p w:rsidR="00163957" w:rsidRDefault="00163957" w:rsidP="00163957">
      <w:pPr>
        <w:pStyle w:val="TextoNormal"/>
      </w:pPr>
      <w:r>
        <w:t>“9.1 El personal al servicio de la Generalidad que en el momento de la entrada en vigor de la presente ley ocupe con carácter interino un puesto de trabajo del Cuerpo de Farmacéuticos Titulares pasa a ocupar, con carácter temporal y de forma automática, un puesto de trabajo del Cuerpo de Titulación Superior de la Generalidad, Salud Pública, adscrito a la Agencia de Protección de la Salud.</w:t>
      </w:r>
    </w:p>
    <w:p w:rsidR="00163957" w:rsidRDefault="00163957" w:rsidP="00163957">
      <w:pPr>
        <w:pStyle w:val="TextoNormal"/>
      </w:pPr>
    </w:p>
    <w:p w:rsidR="00163957" w:rsidRDefault="00163957" w:rsidP="00163957">
      <w:pPr>
        <w:pStyle w:val="TextoNormal"/>
      </w:pPr>
      <w:r>
        <w:t>9.2 El Departamento de Gobernación y Administraciones Públicas, con carácter excepcional, debe realizar las convocatorias adecuadas para que el personal a que se refiere el apartado 1 pueda acceder a la condición de funcionario o funcionaria del Cuerpo de Titulación Superior de la Generalidad, Salud Pública, mediante la superación de un procedimiento selectivo, de acuerdo con las siguientes condiciones:</w:t>
      </w:r>
    </w:p>
    <w:p w:rsidR="00163957" w:rsidRDefault="00163957" w:rsidP="00163957">
      <w:pPr>
        <w:pStyle w:val="TextoNormal"/>
      </w:pPr>
    </w:p>
    <w:p w:rsidR="00163957" w:rsidRDefault="00163957" w:rsidP="00163957">
      <w:pPr>
        <w:pStyle w:val="TextoNormal"/>
      </w:pPr>
      <w:r>
        <w:t>a) El personal que se halle en alguna de las situaciones previstas en la disposición transitoria tercera del Decreto Legislativo 1/1997, de 31 de octubre, por el que se aprueba la refundición en un texto único de los preceptos de determinados textos legales vigentes en Cataluña en materia de función pública, debe superar un procedimiento selectivo, en turno restringido, mediante la realización de pruebas específicas del sistema de concurso-oposición que deben versar sobre los contenidos propios de las funciones a desarrollar y sobre los correspondientes aspectos prácticos y organizativos. Este personal dispone de cuatro convocatorias que deben realizarse sin solución de continuidad. Agotada la última convocatoria, las personas que no lo hayan superado siguen con la vinculación de personal interino, sometidas al procedimiento de selección ordinaria.</w:t>
      </w:r>
    </w:p>
    <w:p w:rsidR="00163957" w:rsidRDefault="00163957" w:rsidP="00163957">
      <w:pPr>
        <w:pStyle w:val="TextoNormal"/>
      </w:pPr>
    </w:p>
    <w:p w:rsidR="00163957" w:rsidRDefault="00163957" w:rsidP="00163957">
      <w:pPr>
        <w:pStyle w:val="TextoNormal"/>
      </w:pPr>
      <w:r>
        <w:t>b) Para el personal que no se halle incluido en ninguna de las situaciones a se refiere la letra a, debe convocarse, con carácter excepcional, transitorio y por una sola vez, un proceso selectivo, en turno de reserva especial, por concurso-oposición libre, para acceder a la condición de funcionario o funcionaria del Cuerpo de Titulación Superior de la Generalidad, Salud Pública. Este proceso conlleva también la realización y superación de pruebas específicas del sistema de concurso-oposición que deben versar sobre los contenidos propios de las funciones a desarrollar y sobre los correspondientes aspectos prácticos y organizativos.</w:t>
      </w:r>
    </w:p>
    <w:p w:rsidR="00163957" w:rsidRDefault="00163957" w:rsidP="00163957">
      <w:pPr>
        <w:pStyle w:val="TextoNormal"/>
      </w:pPr>
    </w:p>
    <w:p w:rsidR="00163957" w:rsidRDefault="00163957" w:rsidP="00163957">
      <w:pPr>
        <w:pStyle w:val="TextoNormal"/>
      </w:pPr>
      <w:r>
        <w:t>9.3 El proceso descrito por las letras a) y b) del apartado 9.2 debe contener la calificación de los méritos acreditados por los aspirantes que superen la fase de oposición. Las bases de la convocatoria de este proceso selectivo deben establecer la especial valoración de los servicios prestados por los aspirantes en el ámbito del departamento competente en materia de salud y del Instituto Catalán de la Salud, así como en otras administraciones públicas, correspondientes a funciones propias de las plazas convocadas. Los aspirantes deben demostrar conocimientos orales y escritos de lengua catalana mediante una prueba. Quedan exentos los aspirantes que acrediten documentalmente los conocimientos pertinentes.”</w:t>
      </w:r>
    </w:p>
    <w:p w:rsidR="00163957" w:rsidRDefault="00163957" w:rsidP="00163957">
      <w:pPr>
        <w:pStyle w:val="TextoNormal"/>
      </w:pPr>
    </w:p>
    <w:p w:rsidR="00163957" w:rsidRDefault="00163957" w:rsidP="00163957">
      <w:pPr>
        <w:pStyle w:val="TextoNormal"/>
      </w:pPr>
      <w:r>
        <w:lastRenderedPageBreak/>
        <w:t>Los apartados 2 b) y 3 de la disposición transitoria novena de la Ley 7/2003, redactados por la Ley 8/2007, regulan un procedimiento de acceso a la función pública en el que se valoran de forma especial los servicios prestados por los interinos del cuerpo de farmacéuticos titulares que lo eran a 28 de mayo de 2003 (fecha de entrada en vigor de la Ley 7/2003), pero no con anterioridad a la entrada en vigor de la Ley 4/1981, de 4 de junio, sobre medidas urgentes de la función pública de la Generalitat de Cataluña. Aunque también contempla la Ley 7/2003 [apartados 2 a) y 3) de la disposición transitoria novena] la valoración especial de los servicios prestados por los que eran interinos de ese cuerpo antes de la vigencia de la Ley 4/1981, para los que se prevé un procedimiento restringido, no hemos de referirnos a ellos, puesto que ese procedimiento no es objeto de la presente cuestión.</w:t>
      </w:r>
    </w:p>
    <w:p w:rsidR="00163957" w:rsidRDefault="00163957" w:rsidP="00163957">
      <w:pPr>
        <w:pStyle w:val="TextoNormal"/>
      </w:pPr>
    </w:p>
    <w:p w:rsidR="00163957" w:rsidRDefault="00163957" w:rsidP="00163957">
      <w:pPr>
        <w:pStyle w:val="TextoNormal"/>
      </w:pPr>
      <w:r w:rsidRPr="00163957">
        <w:rPr>
          <w:rStyle w:val="NumeroAFNegritaCaracter"/>
        </w:rPr>
        <w:t>3</w:t>
      </w:r>
      <w:r>
        <w:t>. Antes de examinar el fondo de la cuestión de inconstitucionalidad planteada hemos de resolver las dudas que, sobre su admisibilidad, plantean la Letradas de la Generalitat y del Parlamento de Cataluña. Sostienen ambas que procede la inadmisión de la cuestión porque la decisión del proceso contencioso-administrativo no depende, en su opinión, de la declaración de inconstitucionalidad de los apartados 2 b) y 3 de la disposición transitoria novena de la Ley 7/2003, redactados por la Ley 8/2007, ya que estos apartados pueden ser interpretados conforme con la Constitución; a lo sumo, sería inconstitucional la base 6.3.1 a) de la convocatoria, pero ello es ajeno al presente proceso constitucional. Por ello, el juicio de relevancia realizado por el Tribunal Supremo en el Auto de planteamiento de la cuestión es inconsistente.</w:t>
      </w:r>
    </w:p>
    <w:p w:rsidR="00163957" w:rsidRDefault="00163957" w:rsidP="00163957">
      <w:pPr>
        <w:pStyle w:val="TextoNormal"/>
      </w:pPr>
    </w:p>
    <w:p w:rsidR="00163957" w:rsidRDefault="00163957" w:rsidP="00163957">
      <w:pPr>
        <w:pStyle w:val="TextoNormal"/>
      </w:pPr>
      <w:r>
        <w:t xml:space="preserve">Hemos declarado que incumbe a los jueces y tribunales, </w:t>
      </w:r>
      <w:r w:rsidRPr="00163957">
        <w:rPr>
          <w:i/>
        </w:rPr>
        <w:t>prima facie</w:t>
      </w:r>
      <w:r>
        <w:t>, realizar el juicio de relevancia “sin que le corresponda a este Tribunal sustituir o rectificar su criterio, salvo en los casos en que de manera notoria, sin necesidad de examinar el fondo debatido y en aplicación de principios jurídicos básicos, se advierta que la argumentación judicial en relación con dicho juicio de relevancia carece de consistencia” (STC 157/2015, de 9 de julio, FJ 3, con cita de la STC 60/2013, de 13 de marzo, FJ 1).</w:t>
      </w:r>
    </w:p>
    <w:p w:rsidR="00163957" w:rsidRDefault="00163957" w:rsidP="00163957">
      <w:pPr>
        <w:pStyle w:val="TextoNormal"/>
      </w:pPr>
    </w:p>
    <w:p w:rsidR="00163957" w:rsidRDefault="00163957" w:rsidP="00163957">
      <w:pPr>
        <w:pStyle w:val="TextoNormal"/>
      </w:pPr>
      <w:r>
        <w:t>Asimismo, en relación con el art. 5.3 de la Ley Orgánica del Poder Judicial procede recordar, como dijimos en la STC 40/2014, de 11 de marzo, FJ 2, con cita de la STC 105/1988, de 8 de junio, FJ 1 c), que “el hecho de que sea posible una interpretación de la norma cuestionada que sea conforme con la Constitución no permite considerar a la cuestión en sí misma como mal fundada, pues lo cierto es que el art. 163 de la Constitución y el art. 35 de la Ley Orgánica de este Tribunal se limitan a exigir, como único requisito de fondo, el que una norma con rango de ley aplicable al caso y de cuya validez dependa el fallo, pueda ser contraria a la Constitución, sin condicionar el planteamiento de la cuestión a la imposibilidad de la interpretación conforme con la Constitución. Y si bien el art. 5, apartado 3, de la Ley Orgánica del Poder Judicial (Ley Orgánica 6/1985, de 1 de julio), dice textualmente que ‘procederá el planteamiento de la cuestión de inconstitucionalidad, cuando por vía interpretativa no sea posible la acomodación de la norma al ordenamiento constitucional’, tal regla no puede entenderse como limitativa de los términos sobre el planteamiento de la cuestión contenidos en el art. 37 de la Ley Orgánica del Tribunal; ofrece únicamente a los Jueces y Tribunales la alternativa entre llevar a cabo la interpretación conforme con la Constitución o plantear la cuestión de inconstitucionalidad”.</w:t>
      </w:r>
    </w:p>
    <w:p w:rsidR="00163957" w:rsidRDefault="00163957" w:rsidP="00163957">
      <w:pPr>
        <w:pStyle w:val="TextoNormal"/>
      </w:pPr>
    </w:p>
    <w:p w:rsidR="00163957" w:rsidRDefault="00163957" w:rsidP="00163957">
      <w:pPr>
        <w:pStyle w:val="TextoNormal"/>
      </w:pPr>
      <w:r>
        <w:lastRenderedPageBreak/>
        <w:t xml:space="preserve">A la luz de esta doctrina ha de concluirse que el Tribunal Supremo razona de forma suficientemente consistente sobre la relevancia de los apartados cuestionados de la disposición transitoria novena de la Ley 7/2003 para la resolución del litigio. Afirma, conforme a los razonamientos que han quedado anteriormente expuestos, que el sentido del fallo en el proceso </w:t>
      </w:r>
      <w:r w:rsidRPr="00163957">
        <w:rPr>
          <w:i/>
        </w:rPr>
        <w:t>a quo</w:t>
      </w:r>
      <w:r>
        <w:t xml:space="preserve">, previa estimación del recurso de casación, depende de la validez de los apartados 2 b) y 3 de la disposición transitoria novena de la Ley 7/2003; de estimarse conformes a la Constitución, su aplicación al caso determinará la desestimación del recurso contencioso-administrativo, ya que entiende que la base 6.3.1 a) de la convocatoria no contradice la Ley 7/2003 ni se aparta de lo establecido en ella en la diferente valoración de servicios previos. El demandante en el proceso </w:t>
      </w:r>
      <w:r w:rsidRPr="00163957">
        <w:rPr>
          <w:i/>
        </w:rPr>
        <w:t>a quo</w:t>
      </w:r>
      <w:r>
        <w:t xml:space="preserve"> y recurrente en casación don Pere Serra Costa no queda incluido en el colectivo al que dicha ley circunscribe el ámbito subjetivo de aplicación de esa “especial valoración”, lo que motivó su exclusión de la relación final de aspirantes seleccionados; mientras que si se declaran inconstitucionales entonces habría que estimar el recurso contencioso-administrativo, por cuanto a la totalidad de los aspirantes, sin distinciones, se les habría de valorar por igual los servicios previos prestados para las Administraciones públicas.</w:t>
      </w:r>
    </w:p>
    <w:p w:rsidR="00163957" w:rsidRDefault="00163957" w:rsidP="00163957">
      <w:pPr>
        <w:pStyle w:val="TextoNormal"/>
      </w:pPr>
    </w:p>
    <w:p w:rsidR="00163957" w:rsidRDefault="00163957" w:rsidP="00163957">
      <w:pPr>
        <w:pStyle w:val="TextoNormal"/>
      </w:pPr>
      <w:r>
        <w:t>Por otro lado, conforme a lo expuesto, aunque fuese posible una interpretación de los apartados 2 b) y 3 de la disposición transitoria novena de la Ley 7/2003 conforme a la Constitución, como sostienen las Letradas de la Generalitat y del Parlamento de Cataluña, ello no sería obstáculo para que este Tribunal entrase a examinar las vulneraciones de los preceptos constitucionales que se imputan a la disposición cuestionada. No procede pues inadmitir la cuestión.</w:t>
      </w:r>
    </w:p>
    <w:p w:rsidR="00163957" w:rsidRDefault="00163957" w:rsidP="00163957">
      <w:pPr>
        <w:pStyle w:val="TextoNormal"/>
      </w:pPr>
    </w:p>
    <w:p w:rsidR="00163957" w:rsidRDefault="00163957" w:rsidP="00163957">
      <w:pPr>
        <w:pStyle w:val="TextoNormal"/>
      </w:pPr>
      <w:r w:rsidRPr="00163957">
        <w:rPr>
          <w:rStyle w:val="NumeroAFNegritaCaracter"/>
        </w:rPr>
        <w:t>4</w:t>
      </w:r>
      <w:r>
        <w:t>. Para dar respuesta a la cuestión planteada resulta oportuno recordar las líneas principales de la doctrina constitucional acerca del derecho a la igualdad en el acceso a las funciones y cargos públicos (art. 23.2 CE).</w:t>
      </w:r>
    </w:p>
    <w:p w:rsidR="00163957" w:rsidRDefault="00163957" w:rsidP="00163957">
      <w:pPr>
        <w:pStyle w:val="TextoNormal"/>
      </w:pPr>
    </w:p>
    <w:p w:rsidR="00163957" w:rsidRDefault="00163957" w:rsidP="00163957">
      <w:pPr>
        <w:pStyle w:val="TextoNormal"/>
      </w:pPr>
      <w:r>
        <w:t>Así, en primer lugar ha de tenerse en cuenta que, como recuerda la reciente STC 236/2015, de 19 de noviembre, FJ 8.b): “De acuerdo con una reiterada doctrina constitucional emanada en procesos de amparo y que es extensible a los procesos de inconstitucionalidad, ‘cuando la queja por desigualdad se plantea respecto de los supuestos comprendidos en el art. 23.2 CE no es necesaria la invocación del art. 14 CE, porque el propio art. 23.2 CE especifica el derecho a la igualdad en el acceso a las funciones y cargos públicos y es éste, por tanto, el precepto que habrá de ser considerado de modo directo para apreciar si el acto o la resolución impugnados han desconocido el principio de igualdad’ (SSTC 24/1989, de 2 de febrero, FJ 2; 154/2003, de 17 de julio, FJ 5, y 192/2007, de 10 de septiembre, FJ 3); cuando menos, siempre que la diferenciación no se deba a algunos de los criterios de discriminación expresamente impedidos por el art. 14 CE”.</w:t>
      </w:r>
    </w:p>
    <w:p w:rsidR="00163957" w:rsidRDefault="00163957" w:rsidP="00163957">
      <w:pPr>
        <w:pStyle w:val="TextoNormal"/>
      </w:pPr>
    </w:p>
    <w:p w:rsidR="00163957" w:rsidRDefault="00163957" w:rsidP="00163957">
      <w:pPr>
        <w:pStyle w:val="TextoNormal"/>
      </w:pPr>
      <w:r>
        <w:t xml:space="preserve">En cuanto al derecho de acceso en condiciones de igualdad a los cargos públicos del art. 23.2 CE, se trata (como recordamos en la STC 27/2012, de 1 de marzo, por todas) de un derecho de configuración legal “que supone que las normas reguladoras del proceso selectivo han de asegurar a los ciudadanos una situación jurídica de igualdad en el acceso a las funciones públicas, con la inmediata interdicción de requisitos de acceso que tengan carácter discriminatorio (SSTC 193/1987, de 9 de diciembre; 47/1990, de 20 de marzo, o 353/1993, de 29 de noviembre), o de referencias individualizadas (STC 67/1989, de 18 de abril)”. No </w:t>
      </w:r>
      <w:r>
        <w:lastRenderedPageBreak/>
        <w:t>obstante, en determinados supuestos extraordinarios, se ha considerado acorde con la Constitución que, en procesos selectivos de acceso a funciones públicas, se establezca un trato de favor en relación a unos participantes respecto de otros. Esta excepción a la regla general se ha considerado legítima en supuestos verdaderamente singulares, en los que las especiales circunstancias de una Administración y el momento concreto en el que se celebraban estas pruebas, justificaban la desigualdad de trato entre los participantes, beneficiando a aquéllos que ya habían prestado en el pasado servicios profesionales en situación de interinidad en la Administración convocante. Estos supuestos varían desde la celebración de pruebas restringidas (STC 27/1991, de 14 de febrero) a pruebas en las que se primaba de manera muy notable los servicios prestados en la Administración, pero en uno y otro caso, ha existido siempre justificación de las singulares y excepcionales circunstancias que de manera expresa se explicaban en cada una de las convocatorias (SSTC 67/1989, de 18 de abril; 185/1994, de 20 de junio; 12/1999, de 11 de febrero; 83/2000, de 27 de marzo, o 107/2003, de 2 de junio). En definitiva, para que sea constitucionalmente legítimo establecer un proceso selectivo restringido o uno en el que se prime notablemente un determinado mérito en relación a otros, debe existir una justificación amparada en una situación excepcional, ya que en otro caso, la desigualdad de trato lesionaría el art. 23.2 CE (STC 27/2012, FJ 5).</w:t>
      </w:r>
    </w:p>
    <w:p w:rsidR="00163957" w:rsidRDefault="00163957" w:rsidP="00163957">
      <w:pPr>
        <w:pStyle w:val="TextoNormal"/>
      </w:pPr>
    </w:p>
    <w:p w:rsidR="00163957" w:rsidRDefault="00163957" w:rsidP="00163957">
      <w:pPr>
        <w:pStyle w:val="TextoNormal"/>
      </w:pPr>
      <w:r>
        <w:t>Se admite por esa misma doctrina constitucional que la excepcionalidad de la medida se justifique “en la singular, puntual y transitoria necesidad de tener que poner en funcionamiento una nueva forma de organización de las Administraciones autonómicas resultante de la asunción de competencias que antes correspondían al Estado”; también se exige, “en segundo término, la limitación de acudir por una sola vez a estos procedimientos excepcionales. Y, finalmente, la reserva de ley, que exige la aprobación mediante norma con este rango legal de la cobertura necesaria para la convocatoria de dichos procesos selectivos” (STC 27/2012, FJ 9).</w:t>
      </w:r>
    </w:p>
    <w:p w:rsidR="00163957" w:rsidRDefault="00163957" w:rsidP="00163957">
      <w:pPr>
        <w:pStyle w:val="TextoNormal"/>
      </w:pPr>
    </w:p>
    <w:p w:rsidR="00163957" w:rsidRDefault="00163957" w:rsidP="00163957">
      <w:pPr>
        <w:pStyle w:val="TextoNormal"/>
      </w:pPr>
      <w:r>
        <w:t>Por último, en cuanto a la previa valoración de los servicios prestados a la Administración, como dijimos en la STC 111/2014, de 26 de junio, FJ 5, “este Tribunal ha reconocido que ‘la consideración de los servicios prestados no es ajena al concepto de mérito y capacidad, pues el tiempo efectivo de servicios puede reflejar la aptitud o capacidad para desarrollar una función o empleo público y, suponer además, en ese desempeño, unos méritos que pueden ser reconocidos y valorados’ [SSTC 67/1989, de 18 de abril, FJ 3, y 107/2003, de 2 de junio, FJ 5 b)]. Pero no puede llegar a convertirse en un requisito que excluya la posibilidad de concurrencia de terceros, ni tener una dimensión cuantitativa que rebase el ‘límite de lo tolerable’ [SSTC 67/1989, FFJJ 3 y 4; 185/1994, FJ 6, y 73/1998, FJ 3 b)]. Por ello dijimos en la STC 38/2004, de 11 de marzo, que serían admisibles unas pruebas de acceso a la función pública de personal laboral fijo ‘cuya excepcionalidad cabría entender que consistiría en la previsión de que se valorasen los servicios efectivos prestados como personal laboral y las pruebas selectivas superadas para acceder a tal condición, pero que no quedaría excluida de raíz la concurrencia de otras personas que no hubieran prestado aquel tipo de servicios’ (fundamento jurídico 4; en el mismo sentido, ATC 68/2012, de 17 de abril, FJ 3)”.</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Expuesta la doctrina constitucional aplicable al caso, es claro que los apartados 2 b) y 3 de la disposición transitoria novena de la Ley 7/2003, redactados por la Ley 8/2007, regulan un procedimiento de acceso a la función pública en el que se priman de forma especial </w:t>
      </w:r>
      <w:r>
        <w:lastRenderedPageBreak/>
        <w:t>los servicios prestados por los interinos del cuerpo de farmacéuticos titulares que lo eran a 28 de mayo de 2003 (fecha de entrada en vigor de la Ley 7/2003).</w:t>
      </w:r>
    </w:p>
    <w:p w:rsidR="00163957" w:rsidRDefault="00163957" w:rsidP="00163957">
      <w:pPr>
        <w:pStyle w:val="TextoNormal"/>
      </w:pPr>
    </w:p>
    <w:p w:rsidR="00163957" w:rsidRDefault="00163957" w:rsidP="00163957">
      <w:pPr>
        <w:pStyle w:val="TextoNormal"/>
      </w:pPr>
      <w:r>
        <w:t xml:space="preserve">No es posible interpretar el apartado 3 de la disposición transitoria novena de la Ley 7/2003 en el sentido defendido por el recurrente en el proceso </w:t>
      </w:r>
      <w:r w:rsidRPr="00163957">
        <w:rPr>
          <w:i/>
        </w:rPr>
        <w:t>a quo</w:t>
      </w:r>
      <w:r>
        <w:t xml:space="preserve"> en el que se planteó la presente cuestión, considerando que dicho apartado se refiere a la valoración de los servicios prestados por todos los aspirantes sin distinción. Ello no se compadece con la expresión “especial valoración” que utiliza el apartado 3, ni con su expresa vinculación al proceso descrito en las letras a) y b) del apartado 2 de la misma disposición transitoria ni, finalmente, como señala el Tribunal Supremo, con la previsión en el apartado 2 b) de un “turno de reserva especial” que debe tener, necesariamente, algún contenido. Por lo demás, así lo confirma la interpretación de la disposición transitoria novena realizada por la Generalitat de Cataluña, plasmada en la resolución GAP/1197/2009, de 29 de abril, de convocatoria del proceso selectivo en cuestión, que concreta la especial valoración de servicios prevista en la disposición transitoria novena de la Ley 7/2003, refiriéndola a las personas incluidas en su apartado 2 b) y distinguiéndola de la valoración de los servicios del resto de participantes en el proceso selectivo.</w:t>
      </w:r>
    </w:p>
    <w:p w:rsidR="00163957" w:rsidRDefault="00163957" w:rsidP="00163957">
      <w:pPr>
        <w:pStyle w:val="TextoNormal"/>
      </w:pPr>
    </w:p>
    <w:p w:rsidR="00163957" w:rsidRDefault="00163957" w:rsidP="00163957">
      <w:pPr>
        <w:pStyle w:val="TextoNormal"/>
      </w:pPr>
      <w:r>
        <w:t>Por tanto, a fin de dilucidar si la disposición cuestionada en los referidos apartados vulnera el art. 23.2 CE, hemos de analizar si es conforme al derecho garantizado por este precepto constitucional una preferencia en el acceso a la función pública consistente en la valoración especial de unos determinados servicios prestados, definidos en el apartado 3 de la disposición transitoria novena de la Ley 7/2003, cuando la causa determinante de la valoración especial no es la naturaleza de los servicios, ni su fecha de prestación, ni siquiera la interinidad del empleado público al tiempo de prestarlos, sino el lapso temporal en que este ostentó la condición de interino, definido por la vigencia de dos leyes (la Ley 4/1981 y la Ley 7/2003) y en todo caso muy anterior a la fecha de celebración del proceso selectivo.</w:t>
      </w:r>
    </w:p>
    <w:p w:rsidR="00163957" w:rsidRDefault="00163957" w:rsidP="00163957">
      <w:pPr>
        <w:pStyle w:val="TextoNormal"/>
      </w:pPr>
    </w:p>
    <w:p w:rsidR="00163957" w:rsidRDefault="00163957" w:rsidP="00163957">
      <w:pPr>
        <w:pStyle w:val="TextoNormal"/>
      </w:pPr>
      <w:r>
        <w:t>A partir de lo dicho, podemos ya adelantar que no se aprecia justificación razonable, basada en una situación excepcional, para la diferencia de trato que, en cuanto a la valoración de los servicios de los participantes en el proceso selectivo, resulta de la disposición legal cuestionada en los términos expuestos. Las alegaciones de las Letradas de la Generalitat y del Parlamento de Cataluña van, precisamente, en la línea de intentar demostrar la concurrencia, en el caso de los farmacéuticos interinos, de esa situación excepcional a la que hemos hecho referencia. En este sentido, abundan en la singularidad del régimen de incompatibilidades de los farmacéuticos al que asocian la complejidad y prolongación en el tiempo de la integración de estos interinos en el cuerpo autonómico de técnicos superiores y afirman que, en última instancia, la situación excepcional que justificaría la especial valoración de los servicios de este colectivo sería la necesidad de dar respuesta a la anómala situación de interinidad existente durante muchos años en este grupo y de culminar el proceso de implantación de la Administración autonómica sanitaria.</w:t>
      </w:r>
    </w:p>
    <w:p w:rsidR="00163957" w:rsidRDefault="00163957" w:rsidP="00163957">
      <w:pPr>
        <w:pStyle w:val="TextoNormal"/>
      </w:pPr>
    </w:p>
    <w:p w:rsidR="00163957" w:rsidRDefault="00163957" w:rsidP="00163957">
      <w:pPr>
        <w:pStyle w:val="TextoNormal"/>
      </w:pPr>
      <w:r>
        <w:t xml:space="preserve">A pesar de los razonamientos de las Abogadas autonómicas, no está justificado en este caso, desde la perspectiva del derecho del art. 23.2 CE, a la luz de la doctrina constitucional expuesta, que se valoren especialmente, en un proceso selectivo de acceso libre y en perjuicio del resto de aspirantes, los servicios prestados por los participantes que fueron interinos del cuerpo de farmacéuticos tras la entrada en vigor de la Ley 4/1981 y lo eran a 28 de mayo de 2003 (fecha de entrada en vigor de la Ley 7/2003), invocando la necesidad de poner fin </w:t>
      </w:r>
      <w:r>
        <w:lastRenderedPageBreak/>
        <w:t>a su anómala situación y de culminar la implantación de la Administración sanitaria catalana.</w:t>
      </w:r>
    </w:p>
    <w:p w:rsidR="00163957" w:rsidRDefault="00163957" w:rsidP="00163957">
      <w:pPr>
        <w:pStyle w:val="TextoNormal"/>
      </w:pPr>
    </w:p>
    <w:p w:rsidR="00163957" w:rsidRDefault="00163957" w:rsidP="00163957">
      <w:pPr>
        <w:pStyle w:val="TextoNormal"/>
      </w:pPr>
      <w:r>
        <w:t>En cuanto a la anómala situación de este personal, no cabe fundar la excepcionalidad del supuesto en la misma cuando la disposición legal que prevé la especial valoración de los servicios no exige, como destaca el Tribunal Supremo en su Auto de planteamiento de la cuestión, que se trate de personal que siga siendo interino en la Administración autonómica a la fecha de su participación en el proceso selectivo. Por tanto, la anómala situación que, supuestamente, se trata de regularizar, podría perfectamente haber finalizado ya. En este mismo sentido se refiere la Fiscal General del Estado a una “palmariamente inexistente y ficticia continuidad en aquel puesto de trabajo”. En definitiva, no cabe invocar la consolidación de empleo temporal que hemos considerado constitucionalmente legítima para justificar excepciones a la igualdad en el acceso a los cargos públicos del art. 23.2 CE cuando no se constata la vigencia y continuidad de ese empleo temporal a cuya necesaria consolidación se apela.</w:t>
      </w:r>
    </w:p>
    <w:p w:rsidR="00163957" w:rsidRDefault="00163957" w:rsidP="00163957">
      <w:pPr>
        <w:pStyle w:val="TextoNormal"/>
      </w:pPr>
    </w:p>
    <w:p w:rsidR="00163957" w:rsidRDefault="00163957" w:rsidP="00163957">
      <w:pPr>
        <w:pStyle w:val="TextoNormal"/>
      </w:pPr>
      <w:r>
        <w:t>Tampoco es justificación suficiente de la desigual valoración de los servicios la supuesta “necesidad de culminar la implantación de la Administración autonómica sanitaria” a la que aluden las representantes de la Generalitat y del Parlamento de Cataluña. Así, hemos admitido este supuesto como justificación de diferencias de trato entre participantes en procesos de acceso a la función pública en supuestos en los que, como dijimos en la STC 12/1999, de 11 de febrero, FJ 3, con cita de otras anteriores, se trataba de “resolver una situación singular y derivada de un proceso único e irrepetible de creación de una nueva forma de organización de las Administraciones Públicas a nivel autonómico que dio lugar a la necesidad de adscribir de forma inmediata a personal en régimen de Derecho Administrativo cuando ni existían plantillas de funcionarios ni había tiempo para poder acudir a las formas normales de ingreso en la Administración pública como funcionario de carrera”.</w:t>
      </w:r>
    </w:p>
    <w:p w:rsidR="00163957" w:rsidRDefault="00163957" w:rsidP="00163957">
      <w:pPr>
        <w:pStyle w:val="TextoNormal"/>
      </w:pPr>
    </w:p>
    <w:p w:rsidR="00163957" w:rsidRDefault="00163957" w:rsidP="00163957">
      <w:pPr>
        <w:pStyle w:val="TextoNormal"/>
      </w:pPr>
      <w:r>
        <w:t>En este caso, en cambio, dados los años transcurridos, la inmediatez de la necesidad ha desaparecido y no se aprecia razón alguna que impida la provisión normal de las plazas, siendo así que las Abogadas autonómicas tampoco aclaran este extremo. La Ley 8/2007, que modificó la disposición transitoria novena de la Ley 7/2003, se limita a decir al respecto en su preámbulo que “las disposiciones transitorias octava y novena hacen referencia a las personas que en el momento de la entrada en vigor de la Ley 7/2003 ocupaban, con carácter interino, un puesto de trabajo de los cuerpos de médicos, practicantes, comadrones o farmacéuticos titulares, y determina su situación a partir de la entrada en vigor de la presente ley”. Por su parte, el preámbulo de la Ley 7/2003 tampoco dice nada al respecto.</w:t>
      </w:r>
    </w:p>
    <w:p w:rsidR="00163957" w:rsidRDefault="00163957" w:rsidP="00163957">
      <w:pPr>
        <w:pStyle w:val="TextoNormal"/>
      </w:pPr>
    </w:p>
    <w:p w:rsidR="00163957" w:rsidRDefault="00163957" w:rsidP="00163957">
      <w:pPr>
        <w:pStyle w:val="TextoNormal"/>
      </w:pPr>
      <w:r w:rsidRPr="00163957">
        <w:rPr>
          <w:rStyle w:val="NumeroAFNegritaCaracter"/>
        </w:rPr>
        <w:t>6</w:t>
      </w:r>
      <w:r>
        <w:t>. Por todo lo expuesto, debemos concluir que la previsión contenida en los apartados 2 b) y 3 de la disposición transitoria novena de la Ley 7/2003, redactados por la Ley 8/2007, que contemplan la valoración especial de los servicios prestados por el colectivo de farmacéuticos interinos referido, es inconstitucional por vulnerar el art. 23.2 CE, al no estar fundada en una situación excepcional suficientemente justificada. Ello sin que sea necesario entrar a valorar la concreción específica de esa valoración contenida en la base 6.3.1 a) de la convocatoria, que no es objeto de la cuestión de inconstitucionalidad, ni podría serlo dado su rango.</w:t>
      </w:r>
    </w:p>
    <w:p w:rsidR="00163957" w:rsidRDefault="00163957" w:rsidP="00163957">
      <w:pPr>
        <w:pStyle w:val="TextoNormal"/>
      </w:pPr>
    </w:p>
    <w:p w:rsidR="00163957" w:rsidRDefault="00163957" w:rsidP="00163957">
      <w:pPr>
        <w:pStyle w:val="TextoNormal"/>
      </w:pPr>
      <w:r>
        <w:lastRenderedPageBreak/>
        <w:t>No obstante, interesa precisar que la declaración de inconstitucionalidad y nulidad que realizamos en esta Sentencia se limita a la previsión de la “especial valoración de los servicios prestados por los aspirantes” contemplada en el apartado 3, en relación con el apartado 2 b), de la disposición transitoria novena enjuiciada, por ser este el objeto de la cuestión planteada. En consecuencia, subsisten los apartados citados en el resto de su contenido.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la presente cuestión de inconstitucionalidad y, en consecuencia, declarar inconstitucionales y nulos los apartados 2 b) y 3 de la disposición transitoria novena de la Ley de la Comunidad Autónoma de Cataluña 7/2003, de 25 de abril, de protección de la salud, según la redacción dada por la disposición final primera de la Ley 8/2007, de 30 de julio, del Instituto Catalán de la Salud, en cuanto establecen una “especial valoración de los servicios prestados por los aspirantes” en el proceso descrito en el primero de los apartados citados.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veintiocho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90" w:name="SENTENCIA_2016_87"/>
      <w:r>
        <w:lastRenderedPageBreak/>
        <w:t>SENTENCIA 87/2016, de 28 de abril de 2016</w:t>
      </w:r>
    </w:p>
    <w:bookmarkEnd w:id="90"/>
    <w:p w:rsidR="00163957" w:rsidRDefault="00163957" w:rsidP="00163957">
      <w:pPr>
        <w:pStyle w:val="TtuloResolucin"/>
      </w:pPr>
      <w:r>
        <w:t>Pleno</w:t>
      </w:r>
    </w:p>
    <w:p w:rsidR="00163957" w:rsidRDefault="00163957" w:rsidP="00163957">
      <w:pPr>
        <w:pStyle w:val="TtuloBOE"/>
      </w:pPr>
      <w:r>
        <w:t>(BOE núm. 131, de 31 de mayo de 2016)</w:t>
      </w:r>
    </w:p>
    <w:p w:rsidR="00163957" w:rsidRDefault="00163957" w:rsidP="00163957">
      <w:pPr>
        <w:pStyle w:val="TextoNormalCentrado"/>
      </w:pPr>
      <w:r>
        <w:t>ECLI:ES:TC:2016:87</w:t>
      </w:r>
    </w:p>
    <w:p w:rsidR="00163957" w:rsidRDefault="00163957" w:rsidP="00163957">
      <w:pPr>
        <w:pStyle w:val="TextoNormalCentrado"/>
      </w:pPr>
    </w:p>
    <w:p w:rsidR="00163957" w:rsidRDefault="00163957" w:rsidP="00163957">
      <w:pPr>
        <w:pStyle w:val="SntesisDescriptiva"/>
      </w:pPr>
      <w:r>
        <w:t>Conflicto positivo de competencia 3269-2015. Planteado por el Consejo de Gobierno de la Generalitat de Cataluña respecto de diversos preceptos de la Orden HAP/196/2015, de 21 de enero, por la que se aprueban las bases reguladoras de las subvenciones que tengan por finalidad la ejecución de obras de reparación o restitución de: infraestructuras, equipamientos e instalaciones y servicios de titularidad municipal y de las mancomunidades, consecuencia de catástrofes naturales, así como redes viarias de las diputaciones provinciales, cabildos, consejos insulares y Comunidades Autónomas uniprovinciales.</w:t>
      </w:r>
    </w:p>
    <w:p w:rsidR="00163957" w:rsidRDefault="00163957" w:rsidP="00163957">
      <w:pPr>
        <w:pStyle w:val="SntesisDescriptiva"/>
      </w:pPr>
    </w:p>
    <w:p w:rsidR="00163957" w:rsidRDefault="00163957" w:rsidP="00163957">
      <w:pPr>
        <w:pStyle w:val="SntesisAnaltica"/>
      </w:pPr>
      <w:r>
        <w:t>Competencias sobre seguridad pública y protección civil: nulidad de los preceptos reglamentarios que atribuyen al Estado el ejercicio de potestades ejecutivas (STC 13/1992). Voto particular.</w:t>
      </w:r>
    </w:p>
    <w:p w:rsidR="00163957" w:rsidRDefault="00163957" w:rsidP="00163957">
      <w:pPr>
        <w:pStyle w:val="SntesisAnaltica"/>
      </w:pPr>
    </w:p>
    <w:p w:rsidR="00163957" w:rsidRDefault="00163957" w:rsidP="00163957">
      <w:pPr>
        <w:pStyle w:val="Extracto"/>
      </w:pPr>
      <w:r>
        <w:t>1.</w:t>
      </w:r>
      <w:r>
        <w:tab/>
        <w:t>Las acciones reparadoras a las que se refiere la Orden HAP/196/2015 impugnada no se refieren a una inmediata puesta en funcionamiento de servicios esenciales de la comunidad pues la exigencia de que se produzca, con carácter previo a la convocatoria misma de las ayudas, una declaración por norma con rango de ley del carácter de catástrofe natural, así como la exigencia de que el Ministerio del Interior precise las entidades locales y núcleos de población afectados, determina que no sea una intervención inmediata sino que tiene lugar una vez finalizada la respuesta más próxima en el tiempo a la situación de emergencia [FJ 5.a)].</w:t>
      </w:r>
    </w:p>
    <w:p w:rsidR="00163957" w:rsidRDefault="00163957" w:rsidP="00163957">
      <w:pPr>
        <w:pStyle w:val="Extracto"/>
      </w:pPr>
    </w:p>
    <w:p w:rsidR="00163957" w:rsidRDefault="00163957" w:rsidP="00163957">
      <w:pPr>
        <w:pStyle w:val="Extracto"/>
      </w:pPr>
      <w:r>
        <w:t>2.</w:t>
      </w:r>
      <w:r>
        <w:tab/>
        <w:t>No es posible considerar que las acciones reparadoras previstas en la orden y dirigidas al restablecimiento no inmediato de la normalidad en las infraestructuras municipales y en las redes viarias de la zona siniestrada, conformen el núcleo de la competencia estatal sobre seguridad pública prevista en el art. 149.1.29 CE [FJ 5.b)].</w:t>
      </w:r>
    </w:p>
    <w:p w:rsidR="00163957" w:rsidRDefault="00163957" w:rsidP="00163957">
      <w:pPr>
        <w:pStyle w:val="Extracto"/>
      </w:pPr>
    </w:p>
    <w:p w:rsidR="00163957" w:rsidRDefault="00163957" w:rsidP="00163957">
      <w:pPr>
        <w:pStyle w:val="Extracto"/>
      </w:pPr>
      <w:r>
        <w:t>3.</w:t>
      </w:r>
      <w:r>
        <w:tab/>
        <w:t>Aun considerando que las ayudas previstas en la orden no se puedan justificar en el ejercicio de la competencia estatal sobre seguridad pública, el Estado tiene la posibilidad de poner su poder de gasto al servicio de una política de protección civil consistente en el restablecimiento de la normalidad de las infraestructuras locales en la zona siniestrada [FJ 6].</w:t>
      </w:r>
    </w:p>
    <w:p w:rsidR="00163957" w:rsidRDefault="00163957" w:rsidP="00163957">
      <w:pPr>
        <w:pStyle w:val="Extracto"/>
      </w:pPr>
    </w:p>
    <w:p w:rsidR="00163957" w:rsidRDefault="00163957" w:rsidP="00163957">
      <w:pPr>
        <w:pStyle w:val="Extracto"/>
      </w:pPr>
      <w:r>
        <w:t>4.</w:t>
      </w:r>
      <w:r>
        <w:tab/>
        <w:t>No infringe las competencias autonómicas la definición de quiénes pueden ser los beneficiarios de las ayudas, aspecto que hemos considerado incluido en la esfera de la competencia estatal, por tratarse de la regulación de los aspectos centrales del régimen subvencional [FJ 7.a)].</w:t>
      </w:r>
    </w:p>
    <w:p w:rsidR="00163957" w:rsidRDefault="00163957" w:rsidP="00163957">
      <w:pPr>
        <w:pStyle w:val="Extracto"/>
      </w:pPr>
    </w:p>
    <w:p w:rsidR="00163957" w:rsidRDefault="00163957" w:rsidP="00163957">
      <w:pPr>
        <w:pStyle w:val="Extracto"/>
      </w:pPr>
      <w:r>
        <w:t>5.</w:t>
      </w:r>
      <w:r>
        <w:tab/>
        <w:t xml:space="preserve">La regulación del procedimiento de concesión no infringe las competencias autonómicas en cuanto que caracteriza de manera general su régimen jurídico y sólo el inciso relativo a que el procedimiento “se ordenará e impulsará por la Dirección General de Coordinación de Competencias con las Comunidades Autónomas y las </w:t>
      </w:r>
      <w:r>
        <w:lastRenderedPageBreak/>
        <w:t>Entidades Locales” es inconstitucional por centralizar tal procedimiento en este órgano del Ministerio de Hacienda y Administraciones Públicas [FJ 7.b)].</w:t>
      </w:r>
    </w:p>
    <w:p w:rsidR="00163957" w:rsidRDefault="00163957" w:rsidP="00163957">
      <w:pPr>
        <w:pStyle w:val="Extracto"/>
      </w:pPr>
    </w:p>
    <w:p w:rsidR="00163957" w:rsidRDefault="00163957" w:rsidP="00163957">
      <w:pPr>
        <w:pStyle w:val="Extracto"/>
      </w:pPr>
      <w:r>
        <w:t>6.</w:t>
      </w:r>
      <w:r>
        <w:tab/>
        <w:t>La exhaustiva regulación de la presentación de solicitudes y documentación complementaria vulnera las competencias de la Generalitat, con excepción de los datos vinculados directamente con la acreditación de los requisitos que han de cumplir los solicitantes y los datos necesarios para la valoración del proyecto y el deber, en su caso, de acreditarlos documentalmente [FJ 7.c)].</w:t>
      </w:r>
    </w:p>
    <w:p w:rsidR="00163957" w:rsidRDefault="00163957" w:rsidP="00163957">
      <w:pPr>
        <w:pStyle w:val="Extracto"/>
      </w:pPr>
    </w:p>
    <w:p w:rsidR="00163957" w:rsidRDefault="00163957" w:rsidP="00163957">
      <w:pPr>
        <w:pStyle w:val="Extracto"/>
      </w:pPr>
      <w:r>
        <w:t>7.</w:t>
      </w:r>
      <w:r>
        <w:tab/>
        <w:t>La previsión de que la comprobación de solicitudes y documentación se realice por un órgano instructor que forma parte de la Administración del Estado pierde su razón de ser a partir del momento en que la tramitación es competencia de la Comunidad Autónoma [FJ 7.d)].</w:t>
      </w:r>
    </w:p>
    <w:p w:rsidR="00163957" w:rsidRDefault="00163957" w:rsidP="00163957">
      <w:pPr>
        <w:pStyle w:val="Extracto"/>
      </w:pPr>
    </w:p>
    <w:p w:rsidR="00163957" w:rsidRDefault="00163957" w:rsidP="00163957">
      <w:pPr>
        <w:pStyle w:val="Extracto"/>
      </w:pPr>
      <w:r>
        <w:t>8.</w:t>
      </w:r>
      <w:r>
        <w:tab/>
        <w:t>La adjudicación de las obras, que se vincula con un aspecto que debe determinar el órgano competente para instruir y resolver el procedimiento, rebasa lo que constituyen aspectos centrales del régimen subvencional y, por ello, cercena el margen necesario para que la Generalitat pueda desarrollar sus competencias de gestión de las ayudas [FJ 7.e)].</w:t>
      </w:r>
    </w:p>
    <w:p w:rsidR="00163957" w:rsidRDefault="00163957" w:rsidP="00163957">
      <w:pPr>
        <w:pStyle w:val="Extracto"/>
      </w:pPr>
    </w:p>
    <w:p w:rsidR="00163957" w:rsidRDefault="00163957" w:rsidP="00163957">
      <w:pPr>
        <w:pStyle w:val="Extracto"/>
      </w:pPr>
      <w:r>
        <w:t>9.</w:t>
      </w:r>
      <w:r>
        <w:tab/>
        <w:t>La justificación y a la ampliación de los plazos son aspectos de competencia autonómica, dado que se trata de actuaciones de gestión administrativa de las ayudas y, por ello, su atribución a órganos estatales vulnera las competencias de la Generalitat de Cataluña [FJ 7.f)].</w:t>
      </w:r>
    </w:p>
    <w:p w:rsidR="00163957" w:rsidRDefault="00163957" w:rsidP="00163957">
      <w:pPr>
        <w:pStyle w:val="Extracto"/>
      </w:pPr>
    </w:p>
    <w:p w:rsidR="00163957" w:rsidRDefault="00163957" w:rsidP="00163957">
      <w:pPr>
        <w:pStyle w:val="Extracto"/>
      </w:pPr>
      <w:r>
        <w:t>10.</w:t>
      </w:r>
      <w:r>
        <w:tab/>
        <w:t>La disposición final primera de la Orden HAP/196/2015, referida al título competencial, no vulnera las competencias autonómicas, pues la queja que se dirige contra esta disposición no es autónoma, en cuanto que con la misma se pretende poner de manifiesto la falta de cobertura competencial que se reprocha a los restantes preceptos impugnados [FJ 7.g)].</w:t>
      </w:r>
    </w:p>
    <w:p w:rsidR="00163957" w:rsidRDefault="00163957" w:rsidP="00163957">
      <w:pPr>
        <w:pStyle w:val="Extracto"/>
      </w:pPr>
    </w:p>
    <w:p w:rsidR="00163957" w:rsidRDefault="00163957" w:rsidP="00163957">
      <w:pPr>
        <w:pStyle w:val="Extracto"/>
      </w:pPr>
      <w:r>
        <w:t>11.</w:t>
      </w:r>
      <w:r>
        <w:tab/>
        <w:t>Reitera la doctrina sobre subvenciones contenida en la STC 13/1992 [FJ 6].</w:t>
      </w:r>
    </w:p>
    <w:p w:rsidR="00163957" w:rsidRDefault="00163957" w:rsidP="00163957">
      <w:pPr>
        <w:pStyle w:val="Extracto"/>
      </w:pPr>
    </w:p>
    <w:p w:rsidR="00163957" w:rsidRDefault="00163957" w:rsidP="00163957">
      <w:pPr>
        <w:pStyle w:val="Extracto"/>
      </w:pPr>
      <w:r>
        <w:t>12.</w:t>
      </w:r>
      <w:r>
        <w:tab/>
        <w:t>En cuanto al alcance del fallo, el pronunciamiento debe ser meramente declarativo, incluyendo la estimación parcial del conflicto con declaración de la titularidad de la competencia controvertida a favor de la Comunidad Autónoma de Cataluña, sin anulación de los preceptos de referencia, habida cuenta de la diversidad de situaciones normativas en las comunidades autónomas [FJ 8].</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lastRenderedPageBreak/>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conflicto positivo de competencia núm. 3269-2015, promovido por el Abogado de la Generalidad de Cataluña, en representación de su Gobierno, contra los artículos 3, 5, 6, 8, 12, 14 y 15, y la disposición final primera de la Orden HAP/196/2015, de 21 de enero, por la que se aprueban las bases reguladoras de las subvenciones que tengan por finalidad la ejecución de obras de reparación o restitución de: infraestructuras, equipamientos e instalaciones y servicios de titularidad municipal y de las mancomunidades, consecuencia de catástrofes naturales, así como redes viarias de las diputaciones provinciales, cabildos, consejos insulares y comunidades autónomas uniprovinciales. Ha intervenido y formulado alegaciones el Abogado del Estado en la representación que legalmente ostenta. Ha sido Ponente el Magistrado don Antonio Narváez Rodríguez,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con fecha 5 de junio de 2015, el Abogado de la Generalitat de Cataluña, en representación de su Gobierno, formalizó, ante el Tribunal conflicto positivo de competencia contra los artículos 3, 5, 6, 8, 12, 14 y 15, y la disposición final primera de la Orden HAP/196/2015, de 21 de enero, por la que se aprueban las bases reguladoras de las subvenciones que tengan por finalidad la ejecución de obras de reparación o restitución de: infraestructuras, equipamientos e instalaciones y servicios de titularidad municipal y de las mancomunidades, consecuencia de catástrofes naturales, así como redes viarias de las diputaciones provinciales, cabildos, consejos insulares y comunidades autónomas uniprovinciales. Los términos del conflicto, según resulta del escrito de interposición y de la documentación adjunta, se exponen sumariamente a continuación.</w:t>
      </w:r>
    </w:p>
    <w:p w:rsidR="00163957" w:rsidRDefault="00163957" w:rsidP="00163957">
      <w:pPr>
        <w:pStyle w:val="TextoNormal"/>
      </w:pPr>
    </w:p>
    <w:p w:rsidR="00163957" w:rsidRDefault="00163957" w:rsidP="00163957">
      <w:pPr>
        <w:pStyle w:val="TextoNormal"/>
      </w:pPr>
      <w:r>
        <w:t>a) Comienza la representación de la Generalitat aludiendo al requerimiento de incompetencia que el Consejo Ejecutivo de la Generalitat dirigió al Gobierno de la Nación en relación con la orden impugnada, a fin de que acordara su derogación, o bien, subsidiariamente, la modificación de la redacción de sus artículos 3, 5, 6, 8, 12, 14, 15 y, su disposición final primera, a fin de contemplar la participación autonómica en la gestión de las subvenciones a favor de las entidades locales de su respectivo territorio. Requerimiento que fue rechazado.</w:t>
      </w:r>
    </w:p>
    <w:p w:rsidR="00163957" w:rsidRDefault="00163957" w:rsidP="00163957">
      <w:pPr>
        <w:pStyle w:val="TextoNormal"/>
      </w:pPr>
    </w:p>
    <w:p w:rsidR="00163957" w:rsidRDefault="00163957" w:rsidP="00163957">
      <w:pPr>
        <w:pStyle w:val="TextoNormal"/>
      </w:pPr>
      <w:r>
        <w:t>En cumplimiento de lo dispuesto en el artículo 76.3 del Estatuto de Autonomía de Cataluña (EAC), el Gobierno de la Generalitat de Cataluña acordó solicitar dictamen al Consejo de Garantías Estatutarias, previo a la interposición de un posible conflicto positivo de competencia, sobre la adecuación al orden competencial de los preceptos que habían sido objeto del citado requerimiento de incompetencia. El Consejo de Garantías Estatutarias emitió el Dictamen 6/2015, de 14 de mayo.</w:t>
      </w:r>
    </w:p>
    <w:p w:rsidR="00163957" w:rsidRDefault="00163957" w:rsidP="00163957">
      <w:pPr>
        <w:pStyle w:val="TextoNormal"/>
      </w:pPr>
    </w:p>
    <w:p w:rsidR="00163957" w:rsidRDefault="00163957" w:rsidP="00163957">
      <w:pPr>
        <w:pStyle w:val="TextoNormal"/>
      </w:pPr>
      <w:r>
        <w:t xml:space="preserve">b) Señalado lo anterior, examina el escrito del Abogado de la Generalitat el contenido de la orden impugnada destacando que la aplicación efectiva del procedimiento establecido en </w:t>
      </w:r>
      <w:r>
        <w:lastRenderedPageBreak/>
        <w:t>la Orden HAP/196/2015 queda condicionada a la decisión estatal ejercida a través de dos instrumentos normativos: por una parte, uno de rango legal, declarando la situación de catástrofe natural y, por otra, otro de rango ministerial, determinando las entidades locales concretas a las que podrá afectar cada convocatoria de ayudas. De este modo, ante un acontecimiento catastrófico de origen natural, la aprobación de medidas extraordinarias para paliar sus consecuencias, así como su ámbito efectivo de aplicación, cuantía, porcentaje y límites, habrán sido decididos por el Estado con carácter previo a las eventuales convocatorias de subvenciones, cuyas bases reguladoras generales se establecen, con vocación de permanencia, en la orden impugnada.</w:t>
      </w:r>
    </w:p>
    <w:p w:rsidR="00163957" w:rsidRDefault="00163957" w:rsidP="00163957">
      <w:pPr>
        <w:pStyle w:val="TextoNormal"/>
      </w:pPr>
    </w:p>
    <w:p w:rsidR="00163957" w:rsidRDefault="00163957" w:rsidP="00163957">
      <w:pPr>
        <w:pStyle w:val="TextoNormal"/>
      </w:pPr>
      <w:r>
        <w:t>c) Prosigue el escrito del Abogado de la Generalitat señalando que en aquellos supuestos previos en los que se ha producido una declaración de situación catastrófica, como puede ser el supuesto de la Ley 14/2012, de 26 de diciembre, por la que se aprueban medidas urgentes para paliar los daños producidos por incendios forestales y otras catástrofes naturales ocurridos en varias Comunidades Autónomas, se dictaron sendas órdenes ministeriales convocando ayudas a favor de las entidades locales, la Orden HAP/1950/2013 y la Orden APU/1163/2002, respectivamente, cuyo objeto y finalidad coinciden plenamente con los de las ayudas a que se refiere la Orden HAP/196/2015. Se trata, por tanto, de ayudas referidas a actuaciones en la fase de recuperación de la situación de catástrofe, esto es, que tienen lugar una vez superada la fase inicial de emergencia. Pues bien, de acuerdo con el escrito del Abogado de la Generalitat, en la disposición adicional de la Orden APU/1163/2002, de 9 de mayo, titulada “Subvenciones en favor de Entidades Locales de la Comunidad Autónoma de Cataluña”, se ha reconocido a la Generalitat una intervención relevante como entidad colaboradora en la gestión de las ayudas estatales, intervención específica que ha desaparecido totalmente de la Orden HAP/196/2015, sin explicación ni justificación alguna.</w:t>
      </w:r>
    </w:p>
    <w:p w:rsidR="00163957" w:rsidRDefault="00163957" w:rsidP="00163957">
      <w:pPr>
        <w:pStyle w:val="TextoNormal"/>
      </w:pPr>
    </w:p>
    <w:p w:rsidR="00163957" w:rsidRDefault="00163957" w:rsidP="00163957">
      <w:pPr>
        <w:pStyle w:val="TextoNormal"/>
      </w:pPr>
      <w:r>
        <w:t>Para el Abogado de la Generalitat, incluso en el caso de aquellas ayudas para hacer frente a los gastos realizados de manera inaplazable en el mismo momento de producirse la emergencia o en los inmediatamente posteriores a la finalización de los hechos causantes, como son las reguladas en el Real Decreto 307/2005, se reconoce la oportunidad de acudir a mecanismos de cooperación interadministrativa, en orden a su mejor y más eficiente gestión, admitiéndose la existencia de competencias autonómicas en este ámbito material y permitiendo expresamente que las Comunidades Autónomas actúen como entidades colaboradoras a todos los efectos, según lo previsto en la normativa legal estatal sobre subvenciones.</w:t>
      </w:r>
    </w:p>
    <w:p w:rsidR="00163957" w:rsidRDefault="00163957" w:rsidP="00163957">
      <w:pPr>
        <w:pStyle w:val="TextoNormal"/>
      </w:pPr>
    </w:p>
    <w:p w:rsidR="00163957" w:rsidRDefault="00163957" w:rsidP="00163957">
      <w:pPr>
        <w:pStyle w:val="TextoNormal"/>
      </w:pPr>
      <w:r>
        <w:t>Pues bien, un trato cuando menos semejante, que posibilite la participación de las Comunidades Autónomas con competencias en materia de protección civil en la gestión de las subvenciones a las entidades locales de su respectivo territorio, es el que se echa en falta, según el Abogado de la Generalitat, en la regulación establecida en la Orden HAP/196/2015, para los supuestos de subvenciones a las entidades locales relacionadas también con el ámbito material de la protección civil. Dicha participación, amparada en las competencias asumidas estatutariamente en esa materia, no puede redundar en detrimento alguno de la efectividad de las subvenciones, máxime cuando se trata de ayudas a actuaciones a realizar después de haber transcurrido un cierto tiempo desde la catástrofe natural.</w:t>
      </w:r>
    </w:p>
    <w:p w:rsidR="00163957" w:rsidRDefault="00163957" w:rsidP="00163957">
      <w:pPr>
        <w:pStyle w:val="TextoNormal"/>
      </w:pPr>
    </w:p>
    <w:p w:rsidR="00163957" w:rsidRDefault="00163957" w:rsidP="00163957">
      <w:pPr>
        <w:pStyle w:val="TextoNormal"/>
      </w:pPr>
      <w:r>
        <w:t xml:space="preserve">En consecuencia, el escrito del Letrado de la Generalitat considera que se vulnera el título competencial que el art. 132 EAC atribuye a la Generalitat en orden al ejercicio de funciones ejecutivas en materia de protección civil, en relación con las subvenciones a las entidades </w:t>
      </w:r>
      <w:r>
        <w:lastRenderedPageBreak/>
        <w:t>locales de Cataluña que se hayan incluido en la correspondiente relación del Ministerio del Interior, con motivo de las catástrofes naturales que así hayan sido declaradas por una norma estatal de rango legal.</w:t>
      </w:r>
    </w:p>
    <w:p w:rsidR="00163957" w:rsidRDefault="00163957" w:rsidP="00163957">
      <w:pPr>
        <w:pStyle w:val="TextoNormal"/>
      </w:pPr>
    </w:p>
    <w:p w:rsidR="00163957" w:rsidRDefault="00163957" w:rsidP="00163957">
      <w:pPr>
        <w:pStyle w:val="TextoNormal"/>
      </w:pPr>
      <w:r>
        <w:t>Además, a la vez que se impide la actuación gestora de la Generalitat, en determinados preceptos de la Orden HAP/196/2015 se atribuyen funciones ejecutivas a las diputaciones provinciales como entidades colaboradoras —a las que se designa como beneficiarías de las ayudas a favor de los municipios de su término—, de modo que resulta perjudicada la normal relación de la Generalitat con las entidades locales de Cataluña y las funciones de cooperación que respecto de ellas le corresponden, según el art. 160.2 EAC.</w:t>
      </w:r>
    </w:p>
    <w:p w:rsidR="00163957" w:rsidRDefault="00163957" w:rsidP="00163957">
      <w:pPr>
        <w:pStyle w:val="TextoNormal"/>
      </w:pPr>
    </w:p>
    <w:p w:rsidR="00163957" w:rsidRDefault="00163957" w:rsidP="00163957">
      <w:pPr>
        <w:pStyle w:val="TextoNormal"/>
      </w:pPr>
      <w:r>
        <w:t>d) Una vez señalado lo anterior, procede el escrito del Abogado de la Generalitat a referirse al marco competencial en el que se encuadra la presente controversia. En efecto, aunque la regulación contenida en la Orden HAP/196/2015 presenta un contenido eminentemente procedimental, desde la perspectiva de la materia principalmente afectada, cabe encuadrarla en el ámbito material relativo a la protección civil. Esto no impide que, puntualmente, quepa también acudir a la consideración colateral de otro título competencial, el relativo al régimen local, ya que la atribución de funciones a las diputaciones provinciales que en la orden se hace, en detrimento de su realización por las Comunidades Autónomas y alterando los criterios de la Ley 38/2003, general de subvenciones, no puede encontrar soporte en las bases del régimen local que corresponde fijar al Estado, según el art. 149.1.18 CE, y perjudica la realización de la función de cooperación con los entes locales que corresponde a la Generalitat, según el art. 160 EAC.</w:t>
      </w:r>
    </w:p>
    <w:p w:rsidR="00163957" w:rsidRDefault="00163957" w:rsidP="00163957">
      <w:pPr>
        <w:pStyle w:val="TextoNormal"/>
      </w:pPr>
    </w:p>
    <w:p w:rsidR="00163957" w:rsidRDefault="00163957" w:rsidP="00163957">
      <w:pPr>
        <w:pStyle w:val="TextoNormal"/>
      </w:pPr>
      <w:r>
        <w:t>Según el escrito del Abogado de la Generalitat, ante la falta de una referencia expresa a la materia “protección civil” en el texto constitucional, la doctrina del Tribunal Constitucional vino a configurarla desde un principio como una submateria de la “seguridad pública”. Esa misma jurisprudencia estableció que la protección civil debe ser entendida como aquel conjunto de acciones dirigidas a evitar, reducir o corregir los daños causados a personas o bienes por toda clase de medios de agresión y por los elementos naturales o extraordinarios en tiempo de paz, cuando la amplitud y gravedad de sus efectos hace que alcancen el carácter de calamidad pública, concluyendo que se trata de una submateria en la que se produce una concurrencia competencial del Estado y las Comunidades Autónomas.</w:t>
      </w:r>
    </w:p>
    <w:p w:rsidR="00163957" w:rsidRDefault="00163957" w:rsidP="00163957">
      <w:pPr>
        <w:pStyle w:val="TextoNormal"/>
      </w:pPr>
    </w:p>
    <w:p w:rsidR="00163957" w:rsidRDefault="00163957" w:rsidP="00163957">
      <w:pPr>
        <w:pStyle w:val="TextoNormal"/>
      </w:pPr>
      <w:r>
        <w:t xml:space="preserve">Así, la Generalitat de Cataluña ha asumido estatutariamente competencias en materia de “protección civil” a través del art. 132 EAC. Este precepto fue objeto del pronunciamiento favorable del Tribunal Constitucional en la STC 31/2010, FJ 78, en la que, con cita de otras anteriores, declaró que “en la materia específica de protección civil se producen unas competencias concurrentes del Estado (en virtud de la reserva del art. 149.1.29) y de las Comunidades Autónomas que hayan asumido competencias en sus Estatutos en virtud de habilitaciones constitucionales, por lo que las Comunidades Autónomas pueden asumir competencias en esta materia, aunque estén subordinadas a las superiores exigencias del interés nacional en los casos en que éste pueda entrar en juego”. Destaca el escrito del Abogado de la Generalitat que las eventuales competencias autonómicas se encuentran limitadas por la competencia estatal en los siguientes supuestos: “cuando entren en juego las previsiones excepcionales de los estados de alarma, excepción y sitio; cuando el carácter supraterritorial de la emergencia exija una coordinación de recursos personales y materiales, y cuando la emergencia sea de tal envergadura que requiera una dirección de carácter nacional” (STC </w:t>
      </w:r>
      <w:r>
        <w:lastRenderedPageBreak/>
        <w:t>123/1984, FJ 4). De esta manera, “la competencia en materia de protección civil dependerá de la naturaleza de la situación de emergencia y de los recursos y servicios a movilizar”.</w:t>
      </w:r>
    </w:p>
    <w:p w:rsidR="00163957" w:rsidRDefault="00163957" w:rsidP="00163957">
      <w:pPr>
        <w:pStyle w:val="TextoNormal"/>
      </w:pPr>
    </w:p>
    <w:p w:rsidR="00163957" w:rsidRDefault="00163957" w:rsidP="00163957">
      <w:pPr>
        <w:pStyle w:val="TextoNormal"/>
      </w:pPr>
      <w:r>
        <w:t>Así, la competencia autonómica tiene su límite “en la política de seguridad pública que la Constitución reserva a la competencia estatal en su artículo 149.1.29, en cuanto tal seguridad pública presente una dimensión nacional por la importancia de la emergencia o por la necesidad de coordinación” (STC 133/1990, FJ 6). En cuanto a esta dimensión de interés nacional, señala el escrito del Abogado de la Generalitat que este Tribunal ha entendido que “en los supuestos en que pueda entrar en juego el interés nacional, la norma estatal deberá delimitar la competencia autonómica según lo impongan las lógicas exigencias de una coordinación y, en su caso, una dirección unitaria de las distintas Administraciones”, añadiendo a continuación que “la concurrencia de un interés supracomunitario justificará la previsión de unas potestades estatales en un marco legislativo común; sin que ello excluya, claro está, la participación de las Administraciones Autonómicas que sean competentes, incluso en tales situaciones” (STC 133/1990, FJ 8).</w:t>
      </w:r>
    </w:p>
    <w:p w:rsidR="00163957" w:rsidRDefault="00163957" w:rsidP="00163957">
      <w:pPr>
        <w:pStyle w:val="TextoNormal"/>
      </w:pPr>
    </w:p>
    <w:p w:rsidR="00163957" w:rsidRDefault="00163957" w:rsidP="00163957">
      <w:pPr>
        <w:pStyle w:val="TextoNormal"/>
      </w:pPr>
      <w:r>
        <w:t>Así pues, de esta reiterada doctrina constitucional puede extraerse, según el Abogado de la Generalitat, que en el ámbito de la “protección civil” la competencia estatal no resulta absolutamente exclusiva y menos aún excluyente, sino que se produce una situación de encuentro o concurrencia de las competencias de las diferentes instancias territoriales que el Estado no puede, ni debe, ignorar. Resulta obvio que, singularmente, en el ámbito de las competencias estatales sobre protección civil la función de coordinación adquiere un especial relieve, puesto que le permite configurar un procedimiento de participación que resulta vinculante para las Comunidades Autónomas a fin de conseguir un tratamiento integrado y coherente de las competencias respectivas, pero sin substituir la actuación que a aquéllas corresponde.</w:t>
      </w:r>
    </w:p>
    <w:p w:rsidR="00163957" w:rsidRDefault="00163957" w:rsidP="00163957">
      <w:pPr>
        <w:pStyle w:val="TextoNormal"/>
      </w:pPr>
    </w:p>
    <w:p w:rsidR="00163957" w:rsidRDefault="00163957" w:rsidP="00163957">
      <w:pPr>
        <w:pStyle w:val="TextoNormal"/>
      </w:pPr>
      <w:r>
        <w:t>e) De acuerdo con el escrito del Abogado de la Generalitat, en el presente caso, el planteamiento de exclusividad centralizada que se manifiesta en la Orden HAP/196/2015 no se aviene con el carácter inclusivo propio de la materia “protección civil” que ha quedado indicado, puesto que su contenido se formula como si el Estado dispusiera de una competencia de carácter exclusivo y excluyente, relegando al olvido las competencias concurrentes de las Comunidades Autónomas al respecto e impidiendo su intervención para el oportuno ejercicio de sus competencias de ejecución, pues tampoco se prevé la adopción de ningún mecanismo de cooperación a tal efecto. Así, al ignorar el carácter concurrente de la competencia en materia de protección civil, la regulación establecida excede la competencia estatal del art. 149.1.29 CE e invade la competencia de ejecución autonómica del art. 132 EAC, al impedir su ejercicio.</w:t>
      </w:r>
    </w:p>
    <w:p w:rsidR="00163957" w:rsidRDefault="00163957" w:rsidP="00163957">
      <w:pPr>
        <w:pStyle w:val="TextoNormal"/>
      </w:pPr>
    </w:p>
    <w:p w:rsidR="00163957" w:rsidRDefault="00163957" w:rsidP="00163957">
      <w:pPr>
        <w:pStyle w:val="TextoNormal"/>
      </w:pPr>
      <w:r>
        <w:t>La Orden HAP/196/2015 recoge una normativa de carácter estrictamente subvencional y procedimental, en la que se establecen todos los elementos propios de un procedimiento administrativo de naturaleza subvencional. Tras describir el procedimiento en sus líneas fundamentales, el escrito del Abogado de la Generalitat, subraya que la Orden HAP/196/2015 sólo atribuye las funciones ejecutivas correspondientes a las tres fases del citado procedimiento: inicio, instrucción y resolución, a diferentes órganos de la Administración del Estado, sin mencionar para nada ni prever la participación y, por tanto, el reconocimiento de las competencias autonómicas en este ámbito material.</w:t>
      </w:r>
    </w:p>
    <w:p w:rsidR="00163957" w:rsidRDefault="00163957" w:rsidP="00163957">
      <w:pPr>
        <w:pStyle w:val="TextoNormal"/>
      </w:pPr>
    </w:p>
    <w:p w:rsidR="00163957" w:rsidRDefault="00163957" w:rsidP="00163957">
      <w:pPr>
        <w:pStyle w:val="TextoNormal"/>
      </w:pPr>
      <w:r>
        <w:lastRenderedPageBreak/>
        <w:t>Tratándose de una regulación relativa a subvenciones, no respeta lo establecido en la STC 13/1992, de 6 de febrero, que parte de la consideración de que el poder de gasto es un poder instrumental que ha de ejercerse dentro del marco del orden competencial.</w:t>
      </w:r>
    </w:p>
    <w:p w:rsidR="00163957" w:rsidRDefault="00163957" w:rsidP="00163957">
      <w:pPr>
        <w:pStyle w:val="TextoNormal"/>
      </w:pPr>
    </w:p>
    <w:p w:rsidR="00163957" w:rsidRDefault="00163957" w:rsidP="00163957">
      <w:pPr>
        <w:pStyle w:val="TextoNormal"/>
      </w:pPr>
      <w:r>
        <w:t>Así, para el Abogado de la Generalitat, una vez encuadradas las ayudas controvertidas en la materia de protección civil, la aplicación de la doctrina del FJ 8 b) de la meritada STC 13/1992 lleva a concluir que corresponde a la Administración estatal articular los instrumentos adecuados para permitir la participación de los órganos respectivos de las Administraciones autonómicas con competencias en la materia en la gestión de las subvenciones que se regulan. El criterio general es que la gestión de las subvenciones corresponde a las instancias autonómicas, salvo que resulte razonablemente justificada su centralización por resultar imprescindible para asegurar la plena efectividad de las medidas, para garantizar las mismas posibilidades de obtención, y para evitar que se sobrepase la cuantía global de los fondos estatales destinados [STC 13/1992, FJ 8 d)]. Así pues, la centralización de las funciones ejecutivas sólo puede tener lugar en supuestos excepcionales que aparezcan plenamente justificados.</w:t>
      </w:r>
    </w:p>
    <w:p w:rsidR="00163957" w:rsidRDefault="00163957" w:rsidP="00163957">
      <w:pPr>
        <w:pStyle w:val="TextoNormal"/>
      </w:pPr>
    </w:p>
    <w:p w:rsidR="00163957" w:rsidRDefault="00163957" w:rsidP="00163957">
      <w:pPr>
        <w:pStyle w:val="TextoNormal"/>
      </w:pPr>
      <w:r>
        <w:t>Destaca el Abogado de la Generalitat que el ámbito de aplicación de las ayudas de la Orden HAP/196/2015 tiene una referencia territorial explícita de carácter intraautonómico, por el hecho de estar referida necesariamente a obras a realizar en “las entidades locales y núcleos de población afectados por las catástrofes naturales, que serán determinados por normativa del Ministerio del Interior, con carácter previo a la convocatoria”, según establece su art. 1, párrafo segundo. Así pues, resulta obvio que en este caso no existe elemento alguno de supraterritorialidad que justifique la adopción de una solución basada en la gestión unitaria.</w:t>
      </w:r>
    </w:p>
    <w:p w:rsidR="00163957" w:rsidRDefault="00163957" w:rsidP="00163957">
      <w:pPr>
        <w:pStyle w:val="TextoNormal"/>
      </w:pPr>
    </w:p>
    <w:p w:rsidR="00163957" w:rsidRDefault="00163957" w:rsidP="00163957">
      <w:pPr>
        <w:pStyle w:val="TextoNormal"/>
      </w:pPr>
      <w:r>
        <w:t>Igualmente, destaca que se trata de obras a realizar en la fase de recuperación, esto es, una vez finalizada la respuesta inmediata a la emergencia, de manera que no cabe hablar de extraordinaria urgencia en su tramitación. Así pues, aun aceptando la conveniencia de tramitar las ayudas lo más rápidamente posible, es de recordar que “la urgencia en la adopción de una respuesta a la situación de crisis” no es razón justificativa para la centralización de la gestión de las ayudas, si éstas son fácilmente territorializables, como declaró ese Tribunal en la STC 150/2012, FJ 7.</w:t>
      </w:r>
    </w:p>
    <w:p w:rsidR="00163957" w:rsidRDefault="00163957" w:rsidP="00163957">
      <w:pPr>
        <w:pStyle w:val="TextoNormal"/>
      </w:pPr>
    </w:p>
    <w:p w:rsidR="00163957" w:rsidRDefault="00163957" w:rsidP="00163957">
      <w:pPr>
        <w:pStyle w:val="TextoNormal"/>
      </w:pPr>
      <w:r>
        <w:t>En consecuencia, para el Abogado de la Generalitat no resulta necesario, ni mucho menos imprescindible, para garantizar la efectividad de la medida que las ayudas a las entidades locales sean gestionadas por la Administración del Estado, ni que la verificación de las obras realizadas deba hacerse por ella, en lugar de hacerse por las Administraciones autonómicas en cuanto a las solicitudes de sus respectivos ámbitos territoriales. Una vez diseñado por la Administración estatal el modelo de las ayudas en sus elementos básicos —objeto, ámbito de aplicación, destinatarios, fines y gastos subvencionables, documentación, cuantía, límites y plazo—, nada hay que justifique la actuación directa del Estado para su ejecución, con la consiguiente exclusión de la competencia autonómica de gestión.</w:t>
      </w:r>
    </w:p>
    <w:p w:rsidR="00163957" w:rsidRDefault="00163957" w:rsidP="00163957">
      <w:pPr>
        <w:pStyle w:val="TextoNormal"/>
      </w:pPr>
    </w:p>
    <w:p w:rsidR="00163957" w:rsidRDefault="00163957" w:rsidP="00163957">
      <w:pPr>
        <w:pStyle w:val="TextoNormal"/>
      </w:pPr>
      <w:r>
        <w:t>f) En aplicación de los criterios competenciales anteriormente expuestos, el Abogado de la Generalitat señala los preceptos concretamente impugnados por referirse a la asignación de funciones ejecutivas de gestión de las ayudas a órganos estatales y a las diputaciones.</w:t>
      </w:r>
    </w:p>
    <w:p w:rsidR="00163957" w:rsidRDefault="00163957" w:rsidP="00163957">
      <w:pPr>
        <w:pStyle w:val="TextoNormal"/>
      </w:pPr>
    </w:p>
    <w:p w:rsidR="00163957" w:rsidRDefault="00163957" w:rsidP="00163957">
      <w:pPr>
        <w:pStyle w:val="TextoNormal"/>
      </w:pPr>
      <w:r>
        <w:lastRenderedPageBreak/>
        <w:t>Artículo 3. Beneficiarios, pues al designarse como beneficiarías a las diputaciones provinciales “en cuyos términos radiquen los municipios” y no incluirse directamente a tales municipios, se está configurando un sistema de gestión de las subvenciones que, amén de incorrecto por contrario a los criterios de la Ley general de subvenciones, puentea y ningunea la eventual participación autonómica al respecto, pues las funciones que se atribuye a las diputaciones se corresponden con las propias de las entidades colaboradoras. La designación genérica de las diputaciones como beneficiarias en las Comunidades Autónomas pluriprovinciales, según el art. 3 de la Orden HAP/196/2015, además de ser legalmente incorrecta, —pues contradice lo establecido en la Ley 38/2003, general de subvenciones que dispone en su art. 11.1 que la condición de beneficiario corresponde a quien realiza la actividad que fundamenta el otorgamiento de la subvención o que legitima su concesión—, vulnera las competencias de la Generalitat ya que impide su normal ejercicio en los supuestos de ayudas que no se destinen a la red viaria de las diputaciones.</w:t>
      </w:r>
    </w:p>
    <w:p w:rsidR="00163957" w:rsidRDefault="00163957" w:rsidP="00163957">
      <w:pPr>
        <w:pStyle w:val="TextoNormal"/>
      </w:pPr>
    </w:p>
    <w:p w:rsidR="00163957" w:rsidRDefault="00163957" w:rsidP="00163957">
      <w:pPr>
        <w:pStyle w:val="TextoNormal"/>
      </w:pPr>
      <w:r>
        <w:t>Artículo 5. Procedimiento de concesión, pues la referencia a las diputaciones provinciales a cuyo favor se concederán las ayudas en régimen de concesión directa, en el lugar de las entidades locales directamente afectadas por la catástrofe natural, vulnera el orden competencial por lo mismo que se acaba de indicar sobre el artículo 3.</w:t>
      </w:r>
    </w:p>
    <w:p w:rsidR="00163957" w:rsidRDefault="00163957" w:rsidP="00163957">
      <w:pPr>
        <w:pStyle w:val="TextoNormal"/>
      </w:pPr>
    </w:p>
    <w:p w:rsidR="00163957" w:rsidRDefault="00163957" w:rsidP="00163957">
      <w:pPr>
        <w:pStyle w:val="TextoNormal"/>
      </w:pPr>
      <w:r>
        <w:t>Artículo 6. Presentación de solicitudes y documentación complementaria, pues designa la sede electrónica de la Administración estatal como lugar de presentación, y al tratarse de aspectos de gestión debería poder hacerse en el lugar y forma que indique la Administración autonómica competente.</w:t>
      </w:r>
    </w:p>
    <w:p w:rsidR="00163957" w:rsidRDefault="00163957" w:rsidP="00163957">
      <w:pPr>
        <w:pStyle w:val="TextoNormal"/>
      </w:pPr>
    </w:p>
    <w:p w:rsidR="00163957" w:rsidRDefault="00163957" w:rsidP="00163957">
      <w:pPr>
        <w:pStyle w:val="TextoNormal"/>
      </w:pPr>
      <w:r>
        <w:t>Por otra parte, la invocación que en el art. 6.2 y 4 a) de la Orden HAP/196/2015 se hace de lo previsto en el artículo 36.1 b) de la Ley reguladora de las bases de régimen local supone establecer como criterio general la intermediación de las diputaciones provinciales en la gestión de las ayudas, ocupando así el lugar que corresponde a las Comunidades Autónomas, sustituyendo a favor de las diputaciones provinciales el ejercicio de una competencia estatutaria, la prevista en el art. 132 EAC en el caso de la Generalitat.</w:t>
      </w:r>
    </w:p>
    <w:p w:rsidR="00163957" w:rsidRDefault="00163957" w:rsidP="00163957">
      <w:pPr>
        <w:pStyle w:val="TextoNormal"/>
      </w:pPr>
    </w:p>
    <w:p w:rsidR="00163957" w:rsidRDefault="00163957" w:rsidP="00163957">
      <w:pPr>
        <w:pStyle w:val="TextoNormal"/>
      </w:pPr>
      <w:r>
        <w:t>Artículo 8. Comprobación de solicitudes y documentación, ya que la gestión de las ayudas corresponde a las Comunidades Autónomas competentes, las referencias que en este precepto se hacen a las subdelegaciones o delegaciones del Gobierno, como órgano instructor, y a la Comisión de Asistencia al subdelegado o delegado del Gobierno, como órgano tramitador, vulneran el orden competencial pues impiden su realización por los órganos autonómicos.</w:t>
      </w:r>
    </w:p>
    <w:p w:rsidR="00163957" w:rsidRDefault="00163957" w:rsidP="00163957">
      <w:pPr>
        <w:pStyle w:val="TextoNormal"/>
      </w:pPr>
    </w:p>
    <w:p w:rsidR="00163957" w:rsidRDefault="00163957" w:rsidP="00163957">
      <w:pPr>
        <w:pStyle w:val="TextoNormal"/>
      </w:pPr>
      <w:r>
        <w:t>Artículo 12. Adjudicación de las obras; artículo 14. Justificación y artículo 15. Ampliación de plazos, pues todas las funciones que se regulan en estos preceptos forman parte de la gestión administrativa de las ayudas.</w:t>
      </w:r>
    </w:p>
    <w:p w:rsidR="00163957" w:rsidRDefault="00163957" w:rsidP="00163957">
      <w:pPr>
        <w:pStyle w:val="TextoNormal"/>
      </w:pPr>
    </w:p>
    <w:p w:rsidR="00163957" w:rsidRDefault="00163957" w:rsidP="00163957">
      <w:pPr>
        <w:pStyle w:val="TextoNormal"/>
      </w:pPr>
      <w:r>
        <w:t>Finalmente, se impugna la disposición final primera. Título competencial; pues el título del artículo 149.1.29 CE que en ella se invoca no habilita al Estado para dictar la regulación de la Orden HAP/196/2015, que es objeto de la presente impugnación.</w:t>
      </w:r>
    </w:p>
    <w:p w:rsidR="00163957" w:rsidRDefault="00163957" w:rsidP="00163957">
      <w:pPr>
        <w:pStyle w:val="TextoNormal"/>
      </w:pPr>
    </w:p>
    <w:p w:rsidR="00163957" w:rsidRDefault="00163957" w:rsidP="00163957">
      <w:pPr>
        <w:pStyle w:val="TextoNormal"/>
      </w:pPr>
      <w:r>
        <w:t xml:space="preserve">Concluye la representación de la Generalitat de Cataluña solicitando a este Tribunal que se tenga por planteado conflicto positivo de competencia en relación con los artículos 3, 5, </w:t>
      </w:r>
      <w:r>
        <w:lastRenderedPageBreak/>
        <w:t>6, 8, 12, 14 y 15, y la disposición final primera de la Orden HAP/196/2015, de 21 de enero, en los términos y con el alcance expresados en el presente escrito, y, previos los trámites oportunos, dicte sentencia en la que se declare que la competencia sobre ellos controvertida corresponde a la Generalitat de Cataluña.</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25 de junio de 2015 el Pleno del Tribunal Constitucional, a propuesta de la Sección Cuarta, acordó admitir a trámite el presente conflicto; dar traslado de la demanda y documentos presentados al Gobierno de la Nación, al objeto de presentar alegaciones en el plazo de veinte días; comunicar la incoación del conflicto a la Sala de lo Contencioso-Administrativo de la Audiencia Nacional, por si ante la misma estuviera impugnado o se impugnare la Orden HAP/196/2015, de 21 de enero por la que se aprueban las bases reguladoras de las subvenciones que tengan por finalidad la ejecución de obras de reparación o restitución de: infraestructuras, equipamientos e instalaciones y servicios de titularidad municipal y de las mancomunidades, consecuencia de catástrofes naturales, así como redes viarias de las diputaciones provinciales, cabildos, consejos insulares y Comunidades Autónomas uniprovinciales, en cuyo caso deberá suspenderse el curso del proceso hasta la decisión del conflicto, según dispone el art. 61.2 de la Ley Orgánica del Tribunal Constitucional y publicar la incoación del conflicto en el “Boletín Oficial del Estado” y en el “Diario Oficial de la Generalitat de Cataluña”.</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de 6 de julio de 2015, el Abogado del Estado se personó en el proceso solicitando una prórroga del plazo concedido para formular alegaciones, prórroga que le fue concedida mediante providencia de 7 de julio de 2015. El escrito de alegaciones del Abogado del Estado se registró el día 8 de septiembre de 2015. En dicho escrito se opone a la demanda por las razones que se recogen a continuación.</w:t>
      </w:r>
    </w:p>
    <w:p w:rsidR="00163957" w:rsidRDefault="00163957" w:rsidP="00163957">
      <w:pPr>
        <w:pStyle w:val="TextoNormal"/>
      </w:pPr>
    </w:p>
    <w:p w:rsidR="00163957" w:rsidRDefault="00163957" w:rsidP="00163957">
      <w:pPr>
        <w:pStyle w:val="TextoNormal"/>
      </w:pPr>
      <w:r>
        <w:t>a) Comienza el Abogado del Estado concretando el objeto y alcance del conflicto positivo de competencia planteado por la Generalitat de Cataluña contra la Orden HAP/196/2015, de 21 de enero por la que se aprueban las bases reguladoras de las subvenciones que tengan por finalidad la ejecución de obras de reparación o restitución de: infraestructuras, equipamientos e instalaciones y servicios de titularidad municipal y de las mancomunidades, consecuencia de catástrofes naturales, así como redes viarias de las diputaciones provinciales, cabildos, consejos insulares y Comunidades Autónomas uniprovinciales. Tras sintetizar los argumentos de aquella, señala que la Orden HAP/196/2015 se dicta al amparo de lo dispuesto en la regla 29 del artículo 149.1 de la Constitución Española que atribuye al Estado la competencia exclusiva en materia de seguridad pública. Así, con sustento en lo dispuesto en la exposición de motivos de la misma, recoge que “de acuerdo con lo establecido en el artículo 149.1.29 de la Constitución Española, la Administración General del Estado tiene competencia exclusiva en materia de Seguridad Pública, concepto vinculado al de Protección Civil, objeto de regulación a través de la Ley 2/1985, de 21 de enero, sobre Protección Civil. En la citada Ley se establecen acciones preventivas y también actuaciones tendentes a la protección y socorro de personas y bienes consecuencia de situaciones catastróficas”.</w:t>
      </w:r>
    </w:p>
    <w:p w:rsidR="00163957" w:rsidRDefault="00163957" w:rsidP="00163957">
      <w:pPr>
        <w:pStyle w:val="TextoNormal"/>
      </w:pPr>
    </w:p>
    <w:p w:rsidR="00163957" w:rsidRDefault="00163957" w:rsidP="00163957">
      <w:pPr>
        <w:pStyle w:val="TextoNormal"/>
      </w:pPr>
      <w:r>
        <w:t>Para el Abogado del Estado, del contenido de la Orden se desprende que su finalidad consiste en establecer un procedimiento regulador genérico para la concesión, seguimiento y control de subvenciones por daños en infraestructuras municipales y red viaria de las dipu</w:t>
      </w:r>
      <w:r>
        <w:lastRenderedPageBreak/>
        <w:t>taciones, cabildos y consejos insulares y Comunidades Autónomas uniprovinciales consecuencia de catástrofes naturales así declaradas por norma con rango de ley; con el objetivo de conseguir una tramitación ágil que permita cubrir esas necesidades excepcionales de forma rápida e igual en todos los territorios con independencia de la Comunidad Autónoma en la que se encuentren, garantizando una mayor seguridad jurídica y el socorro a situaciones de necesidad inaplazables.</w:t>
      </w:r>
    </w:p>
    <w:p w:rsidR="00163957" w:rsidRDefault="00163957" w:rsidP="00163957">
      <w:pPr>
        <w:pStyle w:val="TextoNormal"/>
      </w:pPr>
    </w:p>
    <w:p w:rsidR="00163957" w:rsidRDefault="00163957" w:rsidP="00163957">
      <w:pPr>
        <w:pStyle w:val="TextoNormal"/>
      </w:pPr>
      <w:r>
        <w:t xml:space="preserve">Señala el Abogado del Estado cómo la Ley 17/2015, de 9 de julio que, en el momento de presentación de su escrito no había entrado en vigor pues establecía una </w:t>
      </w:r>
      <w:r w:rsidRPr="00163957">
        <w:rPr>
          <w:i/>
        </w:rPr>
        <w:t>vacatio legis</w:t>
      </w:r>
      <w:r>
        <w:t xml:space="preserve"> de seis meses, dispone como objeto de la misma “establecer el Sistema Nacional de Protección Civil como instrumento esencial para asegurar la coordinación, la cohesión y la eficacia de las políticas públicas de protección civil, y regular las competencias de la Administración General del Estado en la materia” (art. 1.2), y reglamenta, entre las medidas aplicables en la fase de recuperación para paliar las consecuencias en las zonas afectadas gravemente por una emergencia de protección civil, las subvenciones por daños en infraestructuras municipales, red viaria provincial e insular [art. 24.1 e)], que son precisamente a las que se refiere la Orden HAP196/15.</w:t>
      </w:r>
    </w:p>
    <w:p w:rsidR="00163957" w:rsidRDefault="00163957" w:rsidP="00163957">
      <w:pPr>
        <w:pStyle w:val="TextoNormal"/>
      </w:pPr>
    </w:p>
    <w:p w:rsidR="00163957" w:rsidRDefault="00163957" w:rsidP="00163957">
      <w:pPr>
        <w:pStyle w:val="TextoNormal"/>
      </w:pPr>
      <w:r>
        <w:t>Asimismo, destaca el escrito del Abogado del Estado que han sido muchas las normas que se han dictado por el Estado para hacer frente a las situaciones derivadas de los efectos producidos por las catástrofes naturales, tanto en la fase de emergencia como en la fase de recuperación, estableciéndose mecanismos similares en todas ellas y sin que las mismas hayan sido nunca cuestionadas por las Comunidades Autónomas. Así, en todas las normas con rango de ley que han declarado las situaciones de catástrofes naturales, se ha venido regulando la posibilidad de financiación por parte del Estado de las obras de reparación y restitución de infraestructuras de las entidades locales, en términos similares a los establecidos en el artículo 4 de la Ley 14/2012, de 26 de diciembre, por la que se aprueban medidas urgentes para paliar los daños producidos por los incendios forestales y otras catástrofes naturales ocurridos en varias Comunidades Autónomas, sin que este tipo de ayudas proporcionadas por el Estado hayan dado lugar a conflictos de carácter competencial.</w:t>
      </w:r>
    </w:p>
    <w:p w:rsidR="00163957" w:rsidRDefault="00163957" w:rsidP="00163957">
      <w:pPr>
        <w:pStyle w:val="TextoNormal"/>
      </w:pPr>
    </w:p>
    <w:p w:rsidR="00163957" w:rsidRDefault="00163957" w:rsidP="00163957">
      <w:pPr>
        <w:pStyle w:val="TextoNormal"/>
      </w:pPr>
      <w:r>
        <w:t>La Orden HAP/196/2015, tiene por objeto, como indica su artículo 1, establecer las bases reguladoras para la concesión, seguimiento y control de subvenciones por daños en infraestructuras municipales y red viaria de las Diputaciones, Cabildos y Consejos insulares y Comunidades Autónomas uniprovinciales “consecuencia de catástrofes naturales así declaradas por norma con rango de ley”. De este modo, el presupuesto de hecho que motiva la aplicación de la citada Orden y la subsiguiente concesión de subvenciones para tratar de paliar los daños producidos por tales fenómenos, es la concurrencia de la declaración por ley estatal de una catástrofe natural. Así, para el Abogado del Estado las actuaciones que configuran el objeto de la norma controvertida se encuadran sin dificultad alguna en la noción de “protección civil” en los términos establecidos por la jurisprudencia constitucional.</w:t>
      </w:r>
    </w:p>
    <w:p w:rsidR="00163957" w:rsidRDefault="00163957" w:rsidP="00163957">
      <w:pPr>
        <w:pStyle w:val="TextoNormal"/>
      </w:pPr>
    </w:p>
    <w:p w:rsidR="00163957" w:rsidRDefault="00163957" w:rsidP="00163957">
      <w:pPr>
        <w:pStyle w:val="TextoNormal"/>
      </w:pPr>
      <w:r>
        <w:t xml:space="preserve">b) Prosigue, a continuación, el escrito del Abogado del Estado afirmando que el presente supuesto no es igual al tratado en el fundamento jurídico 8 b) de la STC 13/92. En primer lugar, porque la competencia estatal en materia de seguridad pública, que comprende la protección civil, no puede calificarse de “título competencial genérico de intervención” ni supone una “competencia sobre las bases o la coordinación general de un sector o materia correspondiendo a las Comunidades Autónomas las competencias de desarrollo normativo </w:t>
      </w:r>
      <w:r>
        <w:lastRenderedPageBreak/>
        <w:t>y de ejecución”, sino que es un título específico de actuación tanto de bases como de desarrollo y ejecución.</w:t>
      </w:r>
    </w:p>
    <w:p w:rsidR="00163957" w:rsidRDefault="00163957" w:rsidP="00163957">
      <w:pPr>
        <w:pStyle w:val="TextoNormal"/>
      </w:pPr>
    </w:p>
    <w:p w:rsidR="00163957" w:rsidRDefault="00163957" w:rsidP="00163957">
      <w:pPr>
        <w:pStyle w:val="TextoNormal"/>
      </w:pPr>
      <w:r>
        <w:t>Para el Abogado del Estado, la regulación que se realiza en la Orden HAP/196/2015, se apoya como título competencial en la competencia exclusiva que tiene el Estado en virtud del art. 149.1.29 a) CE sobre seguridad pública. Cierto es, según el Abogado del Estado, que las Comunidades Autónomas tienen competencias concurrentes con las del Estado en materia de seguridad pública, y por ende de protección civil, pero ello no es obstáculo a que el Estado, en virtud de sus competencias, opte por la regulación de un procedimiento ágil, igual para todos y que permita la efectividad del principio de solidaridad, equidad e igualdad de trato entre todos los españoles para hacer frente a situaciones excepcionales derivadas de las catástrofes naturales. Para el Abogado del Estado no estamos ante un supuesto en que sea posible la territorialización de las ayudas a las distintas Comunidades Autónomas, ni se está vulnerando el principio de autonomía financiera de las Comunidades Autónomas, sino que dichas ayudas responden a necesidades extraordinarias que previamente han sido declaradas por ley como catástrofes naturales y que requieren un procedimiento ágil e igual en todo el territorio español para que consigan su efectividad, y en el que también es necesario una orden ministerial que determine qué zonas pueden optar a dichas subvenciones. Todo ello justifica la utilización de un procedimiento de gestión centralizado.</w:t>
      </w:r>
    </w:p>
    <w:p w:rsidR="00163957" w:rsidRDefault="00163957" w:rsidP="00163957">
      <w:pPr>
        <w:pStyle w:val="TextoNormal"/>
      </w:pPr>
    </w:p>
    <w:p w:rsidR="00163957" w:rsidRDefault="00163957" w:rsidP="00163957">
      <w:pPr>
        <w:pStyle w:val="TextoNormal"/>
      </w:pPr>
      <w:r>
        <w:t>Subraya el Abogado del Estado que la regulación detallada en la Orden HAP/196/2015 no impide que la Comunidad Autónoma Catalana pueda ejercitar sus competencias en materia de protección civil a través de la habilitación de ayudas complementarias o de cualquier otra medida adicional de protección y socorro a las zonas de su territorio afectadas por una catástrofe natural.</w:t>
      </w:r>
    </w:p>
    <w:p w:rsidR="00163957" w:rsidRDefault="00163957" w:rsidP="00163957">
      <w:pPr>
        <w:pStyle w:val="TextoNormal"/>
      </w:pPr>
    </w:p>
    <w:p w:rsidR="00163957" w:rsidRDefault="00163957" w:rsidP="00163957">
      <w:pPr>
        <w:pStyle w:val="TextoNormal"/>
      </w:pPr>
      <w:r>
        <w:t>c) A continuación, el escrito del Abogado del Estado responde a la alegación de la representación procesal de la Generalitat de Cataluña, que se refiere a la aplicabilidad “de forma colateral” del título contenido en el art. 149.1.18 a) CE, en relación con la cooperación económica local, señalando que la regulación contenida en la Orden 196/15 perjudica las relaciones del Gobierno de Cataluña con las entidades locales de su territorio y que vulnera el art. 160.2 EAC.</w:t>
      </w:r>
    </w:p>
    <w:p w:rsidR="00163957" w:rsidRDefault="00163957" w:rsidP="00163957">
      <w:pPr>
        <w:pStyle w:val="TextoNormal"/>
      </w:pPr>
    </w:p>
    <w:p w:rsidR="00163957" w:rsidRDefault="00163957" w:rsidP="00163957">
      <w:pPr>
        <w:pStyle w:val="TextoNormal"/>
      </w:pPr>
      <w:r>
        <w:t>Para el Abogado del Estado, con este planteamiento, parece asumirse por la Comunidad Autónoma que cualquier modalidad de cooperación financiera del Estado con los entes locales de Cataluña debe necesariamente incluirse en el plan único de obras y servicios de Cataluña para que sea válido y eficaz y, en suma, se lleve a cabo el traspaso de la correspondiente dotación presupuestaria a la Generalitat de Cataluña y no a los municipios afectados, negándose al Estado la posibilidad de mantener relaciones directas con tales corporaciones locales. Sin embargo, según el Abogado del Estado, esta cuestión ya ha sido resuelta por el Tribunal Constitucional en su STC 159/2011, de 19 de octubre, rechazando el planteamiento descrito de la Comunidad Autónoma y considerando, por el contrario, que, a través del específico sistema del plan único de obras y servicios de Cataluña, sólo debe encauzarse la financiación correspondiente que el Estado dirija a los planes provinciales.</w:t>
      </w:r>
    </w:p>
    <w:p w:rsidR="00163957" w:rsidRDefault="00163957" w:rsidP="00163957">
      <w:pPr>
        <w:pStyle w:val="TextoNormal"/>
      </w:pPr>
    </w:p>
    <w:p w:rsidR="00163957" w:rsidRDefault="00163957" w:rsidP="00163957">
      <w:pPr>
        <w:pStyle w:val="TextoNormal"/>
      </w:pPr>
      <w:r>
        <w:t xml:space="preserve">No obstante lo anterior, reitera el Abogado del Estado que el título competencial prevalente de la Orden HAP/196/2015, es la seguridad pública, por lo que concluye solicitando </w:t>
      </w:r>
      <w:r>
        <w:lastRenderedPageBreak/>
        <w:t>que el Tribunal dicte Sentencia desestimatoria de la demanda, declarando que la competencia controvertida corresponde al Estado.</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providencia de 26 de abril de 2016, se señaló para deliberación y votación de la presente Sentencia el día 28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proceso constitucional tiene por objeto resolver el conflicto positivo de competencia planteado por el Gobierno de la Generalitat de Cataluña contra los artículos 3, 5, 6, 8, 12, 14 y 15, y la disposición final primera de la Orden HAP/196/2015, de 21 de enero, por la que se aprueban las bases reguladoras de las subvenciones que tengan por finalidad la ejecución de obras de reparación o restitución de: infraestructuras, equipamientos e instalaciones y servicios de titularidad municipal y de las mancomunidades, consecuencia de catástrofes naturales, así como redes viarias de las diputaciones provinciales, cabildos, consejos insulares y comunidades autónomas uniprovinciales.</w:t>
      </w:r>
    </w:p>
    <w:p w:rsidR="00163957" w:rsidRDefault="00163957" w:rsidP="00163957">
      <w:pPr>
        <w:pStyle w:val="TextoNormal"/>
      </w:pPr>
    </w:p>
    <w:p w:rsidR="00163957" w:rsidRDefault="00163957" w:rsidP="00163957">
      <w:pPr>
        <w:pStyle w:val="TextoNormal"/>
      </w:pPr>
      <w:r>
        <w:t>Para el Gobierno de la Generalitat de Cataluña los preceptos referidos no respetan la distribución de competencias en materia de protección civil derivada del bloque de constitucionalidad en cuanto que centralizan en los órganos estatales la tramitación y resolución de las ayudas referidas, ignorando de este modo la doctrina constitucional recaída en relación con las subvenciones (singularmente, la STC 13/1992, de 6 de febrero). Por el contrario, el Abogado del Estado sostiene que las subvenciones establecidas en la Orden objeto de conflicto encuentran cobertura en la exclusiva competencia estatal en materia de seguridad pública prevista en el art. 149.1.29 CE, de manera que el Estado puede realizar la regulación completa de su convocatoria y concesión y también las funciones de mera ejecución necesarias para ello, sin que ello prejuzgue la competencia de la Comunidad Autónoma de Cataluña para establecer medidas de ayuda complementarias a las del Estado.</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Con carácter previo al examen de fondo, procede realizar una precisión en relación con el objeto del recurso, ya que durante la pendencia de este proceso, la Ley 2/1985, de 21 de enero, sobre protección civil, a la que se refiere el preámbulo de la Orden HAP/196/2015, de 21 de enero, ha sido derogada por la Ley 17/2015, de 9 de julio, del sistema nacional de protección civil (“BOE” núm. 164, de 10 de julio), que ha entrado en vigor el día 10 de enero de 2016. La nueva norma legal, dictada al amparo de la competencia exclusiva del Estado en materia de seguridad pública </w:t>
      </w:r>
      <w:r w:rsidRPr="00163957">
        <w:rPr>
          <w:i/>
        </w:rPr>
        <w:t>ex</w:t>
      </w:r>
      <w:r>
        <w:t xml:space="preserve"> art. 149.1.29 CE (disposición final primera), que ha sido impugnada en fecha reciente por la Generalitat de Cataluña y se halla pendiente de resolución el recurso (recurso de inconstitucionalidad 1880-2016), aunque su objeto no afecta al conflicto ahora planteado, tiene por finalidad establecer el “Sistema Nacional de Protección Civil como instrumento esencial para asegurar la coordinación, la cohesión y la eficacia de las políticas públicas de protección civil, y regular las competencias de la Administración General del Estado en la materia” (art. 1.2); esta Ley introduce una completa normativa de la “actividad de protección civil de todas las Administraciones Públicas en el ámbito de sus competencias, con el fin de garantizar una respuesta coordinada y eficiente” frente a los supuestos de emergencias y catástrofes a las que se refiere el art. 1.1. En lo que ahora es de interés, la Ley contempla como actuación la de “adoptar medidas de recupera</w:t>
      </w:r>
      <w:r>
        <w:lastRenderedPageBreak/>
        <w:t>ción para restablecer las infraestructuras y los servicios esenciales y paliar los daños derivados de emergencias” [art. 3.1 d)] y, siguiendo un orden cronológico de respuesta a tales situaciones de emergencia y catástrofe, el título II, capítulo V regula la denominada fase de “recuperación”, a cargo de la Administración General del Estado, que aparece integrada “por el conjunto de acciones y medidas de ayuda de las entidades públicas y privadas dirigidas al restablecimiento de la normalidad en la zona siniestrada, una vez finalizada la respuesta inmediata a la emergencia” (art. 20.1). La Ley contempla la aplicación de esta fase de recuperación con un carácter restrictivo, pues únicamente se acudirá a esta actuación “cuando se produzca una emergencia cuya magnitud requiera” para dicha recuperación la intervención del Estado (art. 20.2), que tendrá lugar mediante una previa declaración motivada aprobada por acuerdo del Consejo de Ministros que delimite el área afectada, conforme al procedimiento que se detalla en el art. 23; además, se incluye una triple posibilidad de participación de la/las Comunidades Autónomas afectadas, en un primer momento, con anterioridad a la decisión, a través de la solicitud que pueden presentar “las administraciones públicas interesadas”, incluyendo, por tanto, no sólo a las administraciones autonómicas sino también a las entidades locales afectadas (art. 23.1); en segundo término, igualmente con carácter previo a la declaración, mediante la solicitud facultativa de un informe que curse el Gobierno a la administración o administraciones autonómicas correspondientes sobre esta intervención (art. 20.2); y un último momento, adoptada ya la declaración, en el que será el Gobierno el que deba informar a la Comunidad Autónoma afectada o, en su caso, al Consejo Nacional de Protección Civil (art. 23.1, párrafo segundo), de las razones que hayan justificado aquella intervención.</w:t>
      </w:r>
    </w:p>
    <w:p w:rsidR="00163957" w:rsidRDefault="00163957" w:rsidP="00163957">
      <w:pPr>
        <w:pStyle w:val="TextoNormal"/>
      </w:pPr>
    </w:p>
    <w:p w:rsidR="00163957" w:rsidRDefault="00163957" w:rsidP="00163957">
      <w:pPr>
        <w:pStyle w:val="TextoNormal"/>
      </w:pPr>
      <w:r>
        <w:t>La Ley prevé, pues, la intervención del Estado en la fase de recuperación de la normalidad en las zonas siniestradas, pero lo hace a través de un procedimiento distinto del que contempla la Orden Ministerial ahora impugnada, en la medida en que, con criterio restrictivo, exige un presupuesto material de “zona gravemente afectada por una emergencia de protección civil” y otro formal consistente en el acuerdo del Consejo de Ministros que así la declare y delimite el área afectada, remitiendo a una norma reglamentaria posterior el seguimiento, control y coordinación eventual con otras administraciones públicas, de las medidas adoptadas (art. 25). En cambio, en el caso de la Orden la consideración de catástrofe natural ha de venir determinada por una norma con rango de ley y delimitado su ámbito territorial de aplicación por normativa del Ministerio del Interior, con carácter previo a la convocatoria de las subvenciones (art. 1, párrafo segundo). Se trata, pues, de dos sistemas distintos de actuación, cuya diferente aplicación viene condicionada por los presupuestos materiales y formales ya citados, que determinan la aprobación de las subvenciones en la fase de recuperación de las zonas siniestradas.</w:t>
      </w:r>
    </w:p>
    <w:p w:rsidR="00163957" w:rsidRDefault="00163957" w:rsidP="00163957">
      <w:pPr>
        <w:pStyle w:val="TextoNormal"/>
      </w:pPr>
    </w:p>
    <w:p w:rsidR="00163957" w:rsidRDefault="00163957" w:rsidP="00163957">
      <w:pPr>
        <w:pStyle w:val="TextoNormal"/>
      </w:pPr>
      <w:r>
        <w:t xml:space="preserve">La disposición adicional cuarta de la Ley ha dejado subsistente la vigencia de la Orden HAP/196/2015, al disponer que “la normativa reglamentaria estatal en materia de subvenciones derivadas de situaciones de emergencia o de naturaleza catastrófica será de aplicación a las ayudas derivadas de situaciones en las que no se haya producido la declaración de zona afectada gravemente por una emergencia de protección civil, así como a las ayudas por daños personales del artículo 22 y por daños materiales contenidas en el artículo 21 y en los párrafos a), b), c) y d) del apartado 1 del artículo 24”, lo que permite afirmar la pervivencia del objeto de este proceso, toda vez que la orden impugnada se integra dentro de la normativa reglamentaria estatal de subvenciones sobre esta materia, siendo de aplicación, </w:t>
      </w:r>
      <w:r>
        <w:lastRenderedPageBreak/>
        <w:t>tanto a los supuestos de reparación de zonas siniestradas contemplados por esta Ley, como a los que lo puedan ser a consecuencia del sistema anterior a aquella.</w:t>
      </w:r>
    </w:p>
    <w:p w:rsidR="00163957" w:rsidRDefault="00163957" w:rsidP="00163957">
      <w:pPr>
        <w:pStyle w:val="TextoNormal"/>
      </w:pPr>
    </w:p>
    <w:p w:rsidR="00163957" w:rsidRDefault="00163957" w:rsidP="00163957">
      <w:pPr>
        <w:pStyle w:val="TextoNormal"/>
      </w:pPr>
      <w:r>
        <w:t>En lo que ahora es de interés, sí que debe resaltarse que esta disposición adicional excluye el párrafo e) del apartado 1 del art. 24, que es precisamente el que se refiere a las “subvenciones por daños en infraestructuras municipales, red viaria provincial e insular”, en cuanto medidas susceptibles de aplicación en la denominada fase de “recuperación”, lo que permite deducir que, respecto de estas medidas, la orden impugnada únicamente limita su ámbito a aquellas situaciones de emergencia o de catástrofe que no se ajusten al sistema previsto en la Ley 17/2015, pues las que lo hayan sido con declaración de zona afectada gravemente por una emergencia conforme a dicha norma legal quedan excluidas de su aplicación, al no haber sido aquella expresamente mencionada por la disposición adicional de referencia.</w:t>
      </w:r>
    </w:p>
    <w:p w:rsidR="00163957" w:rsidRDefault="00163957" w:rsidP="00163957">
      <w:pPr>
        <w:pStyle w:val="TextoNormal"/>
      </w:pPr>
    </w:p>
    <w:p w:rsidR="00163957" w:rsidRDefault="00163957" w:rsidP="00163957">
      <w:pPr>
        <w:pStyle w:val="TextoNormal"/>
      </w:pPr>
      <w:r w:rsidRPr="00163957">
        <w:rPr>
          <w:rStyle w:val="NumeroAFNegritaCaracter"/>
        </w:rPr>
        <w:t>3</w:t>
      </w:r>
      <w:r>
        <w:t>. Aclarado lo anterior, procede ya entrar a examinar el fondo de la controversia planteada. De acuerdo con nuestra doctrina (por todas, la STC 138/2009, de 15 de junio, FJ 3) la resolución de aquellas controversias que se susciten respecto a la regulación y aplicación de las ayudas o subvenciones que puedan establecerse en las distintas áreas o segmentos de la acción pública ha de tener en cuenta la distribución de competencias existente en la materia en la que proceda encuadrar las subvenciones de que se trate, para lo cual habremos de examinar el contenido concreto de la Orden objeto de conflicto. Su resolución exige, por tanto, la realización del encuadramiento competencial de las subvenciones cuestionadas, a fin de determinar si, a la vista de las competencias del Estado y de la Comunidad Autónoma de Cataluña, se ha producido la vulneración competencial denunciada.</w:t>
      </w:r>
    </w:p>
    <w:p w:rsidR="00163957" w:rsidRDefault="00163957" w:rsidP="00163957">
      <w:pPr>
        <w:pStyle w:val="TextoNormal"/>
      </w:pPr>
    </w:p>
    <w:p w:rsidR="00163957" w:rsidRDefault="00163957" w:rsidP="00163957">
      <w:pPr>
        <w:pStyle w:val="TextoNormal"/>
      </w:pPr>
      <w:r>
        <w:t>Las partes parecen coincidir sobre el encuadramiento competencial de las referidas ayudas, pues ambas consideran que las mismas son enmarcables en la materia “protección civil”, si bien en el caso de la Generalitat no de modo exclusivo, pues también alude colateralmente a la de “régimen local” en determinados aspectos relacionados con la atribución de funciones a las Diputaciones Provinciales. Sin embargo, extraen diferentes consecuencias de aquel encuadramiento prevalente. En efecto, lo debatido por las partes no sería tanto la materia regulada, “protección civil”, como más la distribución de competencias que el bloque de la constitucionalidad realiza sobre la misma.</w:t>
      </w:r>
    </w:p>
    <w:p w:rsidR="00163957" w:rsidRDefault="00163957" w:rsidP="00163957">
      <w:pPr>
        <w:pStyle w:val="TextoNormal"/>
      </w:pPr>
    </w:p>
    <w:p w:rsidR="00163957" w:rsidRDefault="00163957" w:rsidP="00163957">
      <w:pPr>
        <w:pStyle w:val="TextoNormal"/>
      </w:pPr>
      <w:r>
        <w:t>Se hace preciso, por tanto, y en primer lugar, determinar si el encuadre competencial que realizan las partes es el correcto, para en un segundo momento determinar cuál es la distribución de competencias sobre la concreta materia regulada.</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Como hemos anticipado en el fundamento jurídico anterior, ambas partes consideran que la materia competencial en la que deben ubicarse las ayudas cuestionadas es, de modo preferente, la materia “protección civil” y, a este respecto, la doctrina de este Tribunal ha tenido ocasión de definirla como aquel “conjunto de reglas y protocolos dirigidos a regular la forma de actuar de las Administraciones públicas movilizando los distintos medios y servicios necesarios para hacer frente o dar respuesta a una situación de emergencia coordinando los diversos servicios que han de actuar para proteger a personas y bienes, para reducir y reparar los daños y para volver a la situación de normalidad” (STC 155/2013, de 10 de septiembre, FJ 3). Así, todas aquellas actuaciones para proteger a personas y bienes que deban emprenderse para hacer frente o dar respuesta a una situación de emergencia tienen un encuadre natural dentro de la materia protección civil. Tales actuaciones incluirían tanto </w:t>
      </w:r>
      <w:r>
        <w:lastRenderedPageBreak/>
        <w:t>las acciones preventivas, como las actuaciones tendentes a la inmediata protección y socorro de personas y bienes consecuencia de situaciones catastróficas, es decir la respuesta inmediata a las emergencias, pero incluirían también aquellas otras acciones dirigidas al restablecimiento de la normalidad en la zona siniestrada, esto es, las medidas de “reducción y reparación de daños y para volver a una situación de normalidad”.</w:t>
      </w:r>
    </w:p>
    <w:p w:rsidR="00163957" w:rsidRDefault="00163957" w:rsidP="00163957">
      <w:pPr>
        <w:pStyle w:val="TextoNormal"/>
      </w:pPr>
    </w:p>
    <w:p w:rsidR="00163957" w:rsidRDefault="00163957" w:rsidP="00163957">
      <w:pPr>
        <w:pStyle w:val="TextoNormal"/>
      </w:pPr>
      <w:r>
        <w:t>A partir, pues, de esta delimitación del alcance que la doctrina de este Tribunal ha dado a la materia “protección civil”, debemos determinar si el contenido de la orden impugnada responde a aquella definición y si su objeto y finalidad son susceptibles de incardinación material en el título competencial correspondiente.</w:t>
      </w:r>
    </w:p>
    <w:p w:rsidR="00163957" w:rsidRDefault="00163957" w:rsidP="00163957">
      <w:pPr>
        <w:pStyle w:val="TextoNormal"/>
      </w:pPr>
    </w:p>
    <w:p w:rsidR="00163957" w:rsidRDefault="00163957" w:rsidP="00163957">
      <w:pPr>
        <w:pStyle w:val="TextoNormal"/>
      </w:pPr>
      <w:r>
        <w:t>En este sentido, la Orden HAP/196/2015, de 21 de enero, ha dispuesto un procedimiento genérico que permite establecer las bases reguladoras de las ayudas económicas destinadas a colaborar en la financiación de los gastos de inversión que las entidades locales se ven abocadas a realizar a consecuencia de catástrofes naturales. Así, de acuerdo con el artículo 1 de la Orden, que recoge el ámbito de aplicación y el objeto de la misma “la presente orden establece las bases reguladoras para la concesión, seguimiento y control de subvenciones por daños en infraestructuras municipales y red viaria de las diputaciones, cabildos y consejos insulares y Comunidades Autónomas uniprovinciales consecuencia de catástrofes naturales así declaradas por norma con rango de ley. El ámbito de aplicación serán las entidades locales y núcleos de población afectados por las catástrofes naturales, que serán determinados por normativa del Ministerio del Interior, con carácter previo a la convocatoria”. Y, de acuerdo con el art. 4 de la Orden, que establece los fines y gastos subvencionables, “las subvenciones contempladas en esta orden se destinarán a obras de reparación o restitución de infraestructuras, equipamientos e instalaciones y servicios de titularidad municipal y de las mancomunidades, y a la red viaria de las diputaciones provinciales y cabildos y consejos insulares, y comunidades autónomas uniprovinciales. Serán gastos subvencionables los de inversión relativos a ejecución de un contrato de obras… igualmente, serán subvencionables los gastos de dirección de obra y gastos de coordinador en materia de seguridad y salud durante la ejecución de la obra”.</w:t>
      </w:r>
    </w:p>
    <w:p w:rsidR="00163957" w:rsidRDefault="00163957" w:rsidP="00163957">
      <w:pPr>
        <w:pStyle w:val="TextoNormal"/>
      </w:pPr>
    </w:p>
    <w:p w:rsidR="00163957" w:rsidRDefault="00163957" w:rsidP="00163957">
      <w:pPr>
        <w:pStyle w:val="TextoNormal"/>
      </w:pPr>
      <w:r>
        <w:t>Se trata de la regulación de subvenciones o ayudas para el restablecimiento de la normalidad en una zona siniestrada, pues su objeto son las obras de reparación o restitución de infraestructuras, equipamientos e instalaciones y servicios y la red viaria, todo ello afectado por catástrofes naturales, por lo que la Orden HAP/196/2015, de 21 de enero, encuentra un acomodo natural en la materia “protección civil”, tal y como ha sido definida por nuestra doctrina, debiendo reputarse como título prevalente en cuanto regla competencial específica a la que se ajusta el contenido y finalidad de la norma ahora impugnada. Hemos de descartar, pues, la de “régimen local”, que, por otra parte, ha sido invocada en este proceso con un mero carácter colateral por la representación de la Generalitat de Cataluña, tal y como esta misma ha reconocido en su escrito de alegaciones.</w:t>
      </w:r>
    </w:p>
    <w:p w:rsidR="00163957" w:rsidRDefault="00163957" w:rsidP="00163957">
      <w:pPr>
        <w:pStyle w:val="TextoNormal"/>
      </w:pPr>
    </w:p>
    <w:p w:rsidR="00163957" w:rsidRDefault="00163957" w:rsidP="00163957">
      <w:pPr>
        <w:pStyle w:val="TextoNormal"/>
      </w:pPr>
      <w:r w:rsidRPr="00163957">
        <w:rPr>
          <w:rStyle w:val="NumeroAFNegritaCaracter"/>
        </w:rPr>
        <w:t>5</w:t>
      </w:r>
      <w:r>
        <w:t>. Determinada la materia regulada por la disposición impugnada y delimitado, también, el título competencial sobre el que versa el objeto de este conflicto, se hace preciso ahora examinar el régimen de distribución de competencias sobre la materia “protección civil”.</w:t>
      </w:r>
    </w:p>
    <w:p w:rsidR="00163957" w:rsidRDefault="00163957" w:rsidP="00163957">
      <w:pPr>
        <w:pStyle w:val="TextoNormal"/>
      </w:pPr>
    </w:p>
    <w:p w:rsidR="00163957" w:rsidRDefault="00163957" w:rsidP="00163957">
      <w:pPr>
        <w:pStyle w:val="TextoNormal"/>
      </w:pPr>
      <w:r>
        <w:t xml:space="preserve">a) La Constitución no expresa referencia alguna a este concreto sector material en sus arts. 148 y 149 CE, por lo que el Estatuto de Autonomía de Cataluña, con apoyo en lo que </w:t>
      </w:r>
      <w:r>
        <w:lastRenderedPageBreak/>
        <w:t>establece el primer inciso del art. 149.3 CE, ha atribuido a la Generalitat la competencia exclusiva sobre protección civil. Por su parte, la disposición final primera de la orden impugnada afirma que la misma “se dicta al amparo de lo dispuesto en el artículo 149.1.29 de la Constitución Española, en virtud del cual la Administración General del Estado tiene competencia exclusiva en materia de Seguridad Pública”. Se impone, pues, como punto de partida el análisis del alcance y contenido de este título competencial.</w:t>
      </w:r>
    </w:p>
    <w:p w:rsidR="00163957" w:rsidRDefault="00163957" w:rsidP="00163957">
      <w:pPr>
        <w:pStyle w:val="TextoNormal"/>
      </w:pPr>
    </w:p>
    <w:p w:rsidR="00163957" w:rsidRDefault="00163957" w:rsidP="00163957">
      <w:pPr>
        <w:pStyle w:val="TextoNormal"/>
      </w:pPr>
      <w:r>
        <w:t xml:space="preserve">En este sentido, dentro del precitado concepto de “seguridad pública”, nuestra doctrina ha apreciado que queda, en buena medida, englobado el ámbito relativo a la materia “protección civil”. Así, este Tribunal ha declarado que “por lo que respecta a la delimitación de competencias en materia de protección civil, de nuestra doctrina se deriva que esta materia guarda relación con la competencia estatal en materia de seguridad pública </w:t>
      </w:r>
      <w:r w:rsidRPr="00163957">
        <w:rPr>
          <w:i/>
        </w:rPr>
        <w:t>ex</w:t>
      </w:r>
      <w:r>
        <w:t xml:space="preserve"> art. 149.1.29 CE. Tal como afirma la STC 25/2004, de 26 de febrero, FJ 6, “[e]n esta misma línea de precisión del concepto de ‘seguridad pública’, este Tribunal señaló en la STC 148/2000, de 1 de junio, FJ 6, que su ámbito normativo puede ir más allá de la regulación de las intervenciones de la ‘policía de seguridad’, es decir, de las funciones propias de las fuerzas y cuerpos de seguridad, señalando que ‘por relevantes que sean, esas actividades policiales, en sentido estricto, o esos servicios policiales, no agotan el ámbito material de lo que hay que entender por seguridad pública ... Otros aspectos y otras funciones distintas de los cuerpos y fuerzas de seguridad, y atribuidas a otros órganos y autoridades administrativas ... componen sin duda aquel ámbito material (STC 104/1989, de 8 de junio, FJ 3)’. Y hemos aplicado este criterio en diversos supuestos, pero siempre guiados por una concepción restrictiva de la ‘seguridad pública’. Tal ocurre con la ‘protección civil’, que requiere para la consecución de sus fines la integración y movilización de recursos humanos muy heterogéneos y no sólo policiales (SSTC 123/1984, de 18 de diciembre, y 133/1990, de 19 de julio).” (STC 155/2013, de 10 de septiembre, FJ 2).</w:t>
      </w:r>
    </w:p>
    <w:p w:rsidR="00163957" w:rsidRDefault="00163957" w:rsidP="00163957">
      <w:pPr>
        <w:pStyle w:val="TextoNormal"/>
      </w:pPr>
    </w:p>
    <w:p w:rsidR="00163957" w:rsidRDefault="00163957" w:rsidP="00163957">
      <w:pPr>
        <w:pStyle w:val="TextoNormal"/>
      </w:pPr>
      <w:r>
        <w:t>Por tanto, dentro del concepto de seguridad pública del art. 149.1.29 CE, queda, en principio, englobado el ámbito material relativo a la protección civil. Si bien, por la misma naturaleza de la protección civil que persigue la preservación de personas y bienes en situaciones de emergencia, se produce en esta materia, de acuerdo con nuestra doctrina, un encuentro o concurrencia de muy diversas Administraciones públicas (de índole o alcance municipal, supramunicipal o insular, provincial, autonómica, estatal) que deben aportar sus respectivos recursos y servicios (STC 133/1990, de 19 de julio, FJ 6).</w:t>
      </w:r>
    </w:p>
    <w:p w:rsidR="00163957" w:rsidRDefault="00163957" w:rsidP="00163957">
      <w:pPr>
        <w:pStyle w:val="TextoNormal"/>
      </w:pPr>
    </w:p>
    <w:p w:rsidR="00163957" w:rsidRDefault="00163957" w:rsidP="00163957">
      <w:pPr>
        <w:pStyle w:val="TextoNormal"/>
      </w:pPr>
      <w:r>
        <w:t>La competencia estatal sobre protección civil, que deriva del reconocimiento al Estado de la competencia estatal sobre seguridad pública en el art. 149.1.29 CE, no puede, sin embargo, extenderse a ámbitos no queridos por el constituyente, pues, también hemos declarado que la competencia en materia de protección civil del Estado es concurrente con la que ostentan las Comunidades Autónomas, en los términos que declaró la STC 133/1990, de 19 de julio, lo que le permite a aquel, entre otras cosas, movilizar recursos en caso de emergencia cuando concurra un interés nacional o sea precisa una coordinación o dirección nacional de todas las administraciones afectadas, por el alcance y dimensión de la emergencia.</w:t>
      </w:r>
    </w:p>
    <w:p w:rsidR="00163957" w:rsidRDefault="00163957" w:rsidP="00163957">
      <w:pPr>
        <w:pStyle w:val="TextoNormal"/>
      </w:pPr>
    </w:p>
    <w:p w:rsidR="00163957" w:rsidRDefault="00163957" w:rsidP="00163957">
      <w:pPr>
        <w:pStyle w:val="TextoNormal"/>
      </w:pPr>
      <w:r>
        <w:t xml:space="preserve">Así, en la STC 133/1990, de 19 de julio, este Tribunal subrayó que la competencia autonómica sobre protección civil “queda subordinada a las superiores exigencias del interés nacional en los casos en que éste pueda entrar en juego” (STC 123/1984, de 18 de diciembre, FJ 4, reiterado en la STC 133/1990, de 19 de julio, FJ 5). Para el Tribunal esta subordinación </w:t>
      </w:r>
      <w:r>
        <w:lastRenderedPageBreak/>
        <w:t>competencial autonómica “se producía en tres ocasiones: —Cuando entra en juego la Ley Orgánica 4/1981, de 1 de junio, que regula los estados de alarma, excepción y sitio; —En los casos en que el carácter supraterritorial de la emergencia exija una coordinación de elementos humanos y materiales distintos de los que posee la Comunidad Autónoma, y —Cuando la emergencia sea “de tal envergadura que requiera una dirección de carácter nacional” (STC 123/1984, de 18 de diciembre, FJ 4, reiterado en la STC 133/1990, de 19 de julio, FJ 5).</w:t>
      </w:r>
    </w:p>
    <w:p w:rsidR="00163957" w:rsidRDefault="00163957" w:rsidP="00163957">
      <w:pPr>
        <w:pStyle w:val="TextoNormal"/>
      </w:pPr>
    </w:p>
    <w:p w:rsidR="00163957" w:rsidRDefault="00163957" w:rsidP="00163957">
      <w:pPr>
        <w:pStyle w:val="TextoNormal"/>
      </w:pPr>
      <w:r>
        <w:t>Por tanto, las Comunidades Autónomas, cuando ejercen sus competencias en materia de protección civil, “se encuentran con determinados límites, que derivan de la existencia de un posible interés nacional o suprautonómico que pueda verse afectado por la situación de catástrofe o emergencia: Bien por la necesidad de prever la coordinación de Administraciones diversas, bien por el alcance del evento (afectando a varias Comunidades Autónomas) o bien por sus dimensiones, que pueden requerir una dirección nacional de todas las Administraciones públicas afectadas, y una aportación de recursos de nivel suprautonómico” (STC 133/1990, de 19 de julio, FJ 6).</w:t>
      </w:r>
    </w:p>
    <w:p w:rsidR="00163957" w:rsidRDefault="00163957" w:rsidP="00163957">
      <w:pPr>
        <w:pStyle w:val="TextoNormal"/>
      </w:pPr>
    </w:p>
    <w:p w:rsidR="00163957" w:rsidRDefault="00163957" w:rsidP="00163957">
      <w:pPr>
        <w:pStyle w:val="TextoNormal"/>
      </w:pPr>
      <w:r>
        <w:t>Afirmado lo anterior, no cabe desconocer que el reverso de los límites al ejercicio de las competencias autonómicas sobre protección civil son los que, también, determinan el alcance de la competencia del Estado sobre esa misma materia. Así, el ámbito de la competencia estatal sobre protección civil viene condicionado por la vinculación de ésta con las concretas acciones a realizar en materia de “seguridad pública” (art. 149.1.29 CE), que es el título que legitima la actuación del Estado en aquel ámbito.</w:t>
      </w:r>
    </w:p>
    <w:p w:rsidR="00163957" w:rsidRDefault="00163957" w:rsidP="00163957">
      <w:pPr>
        <w:pStyle w:val="TextoNormal"/>
      </w:pPr>
    </w:p>
    <w:p w:rsidR="00163957" w:rsidRDefault="00163957" w:rsidP="00163957">
      <w:pPr>
        <w:pStyle w:val="TextoNormal"/>
      </w:pPr>
      <w:r>
        <w:t>En efecto, de acuerdo con la doctrina de este Tribunal, siempre guiada por una concepción restrictiva de la “seguridad pública” (STC 155/2013, de 10 de septiembre, FJ 3), “la materia seguridad pública, hace referencia a una actividad dirigida a la protección de bienes y personas con la finalidad de garantizar la tranquilidad y el orden ciudadano” (SSTC 33/1982, de 8 de junio, FJ 3; 154/2005, FJ 5, y 86/2014, de 29 de mayo, FJ 4 entre otras). Y dicha competencia estatal sobre protección civil no puede llegar al punto de permitir que el Estado ejerza aquellas acciones que no guarden una relación directa con la “seguridad pública”. Esta vinculación de la protección civil con la seguridad pública, que, reiteramos, es el título que fundamenta la competencia del Estado sobre la primera, puede llegar a ser clara en lo que se refiere, tanto a las acciones preventivas como a las acciones tendentes a la protección y socorro rápido de personas y bienes consecuencia de situaciones catastróficas de cierta importancia y que requieren una respuesta inmediata. Sin embargo, tal vinculación con la seguridad pública se difumina cuando se trate de aquellas acciones de restablecimiento de la normalidad en la zona siniestrada, pues, si bien es posible considerar dentro de la protección civil vinculada con la seguridad pública aquellas acciones reparadoras que se refieren a la inmediata puesta en funcionamiento de los servicios esenciales de la comunidad, como abastecimiento de agua potable, electricidad, saneamiento de aguas o telecomunicaciones, el vínculo con la seguridad pública, entendida como aquella actividad dirigida a la protección de bienes y personas con la finalidad de garantizar la tranquilidad y el orden ciudadano, no concurriría cuando se trate de acciones de reparación no inmediata, como es el supuesto previsto en la orden impugnada, que se refiere a daños en infraestructuras municipales y red viaria local consecuencia de catástrofes naturales.</w:t>
      </w:r>
    </w:p>
    <w:p w:rsidR="00163957" w:rsidRDefault="00163957" w:rsidP="00163957">
      <w:pPr>
        <w:pStyle w:val="TextoNormal"/>
      </w:pPr>
    </w:p>
    <w:p w:rsidR="00163957" w:rsidRDefault="00163957" w:rsidP="00163957">
      <w:pPr>
        <w:pStyle w:val="TextoNormal"/>
      </w:pPr>
      <w:r>
        <w:lastRenderedPageBreak/>
        <w:t>En lo que atañe al ámbito de las subvenciones en la fase de reparación, la Ley 17/2015 no remite al régimen reglamentario estatal sobre esta materia para la regulación de subvenciones en los casos de emergencia o catástrofe previstos en la misma, sino que las medidas reparadoras a aplicar las somete a un sistema de control, seguimiento y coordinación específicos, que aparece diseñado en el art. 25, complementado en los términos que se determinen reglamentariamente. Tal circunstancia normativa resulta en este punto relevante para el enjuiciamiento y resolución del conflicto que ahora se suscita, puesto que el legislador estatal ha tenido muy en cuenta el título competencial —“seguridad pública”— al que sujeta su habilitación constitucional la Ley 17/2015 y no hace mención expresa a que, en los supuestos de grave situación de emergencia declarada por el Consejo de Ministros, las subvenciones reparadoras de daños en las infraestructuras relacionadas en el párrafo e) del art. 24.1, se sujeten a la normativa reglamentaria estatal existente sobre la materia, entre la que se encuentra la Orden HAP/196/2015 impugnada.</w:t>
      </w:r>
    </w:p>
    <w:p w:rsidR="00163957" w:rsidRDefault="00163957" w:rsidP="00163957">
      <w:pPr>
        <w:pStyle w:val="TextoNormal"/>
      </w:pPr>
    </w:p>
    <w:p w:rsidR="00163957" w:rsidRDefault="00163957" w:rsidP="00163957">
      <w:pPr>
        <w:pStyle w:val="TextoNormal"/>
      </w:pPr>
      <w:r>
        <w:t>En lo que respecta, pues, al ámbito prestacional de las subvenciones en la fase de reparación de las zonas siniestradas como consecuencia de catástrofes declaradas, la Ley 17/15, que es cronológicamente posterior a la orden impugnada, parece alejarse de la referencia a la “seguridad pública”, que es el fundamento de su competencia en materia de protección civil, toda vez que no contempla expresamente la posibilidad de que la normativa reglamentaria estatal sobre subvenciones resulte de aplicación a esta modalidad específica de medidas reparadoras que diseña en su art. 24, lo que refuerza argumentativamente aquella afirmación.</w:t>
      </w:r>
    </w:p>
    <w:p w:rsidR="00163957" w:rsidRDefault="00163957" w:rsidP="00163957">
      <w:pPr>
        <w:pStyle w:val="TextoNormal"/>
      </w:pPr>
    </w:p>
    <w:p w:rsidR="00163957" w:rsidRDefault="00163957" w:rsidP="00163957">
      <w:pPr>
        <w:pStyle w:val="TextoNormal"/>
      </w:pPr>
      <w:r>
        <w:t>Pues bien, llegados a este punto, hay que señalar que las acciones reparadoras a las que se refiere la orden impugnada —si bien pueden enmarcarse en la protección civil tal y como la ha entendido este Tribunal, pues son medidas de “reducción y reparación de daños y para volver a una situación de normalidad”—, no se refieren, en primer lugar, a una inmediata puesta en funcionamiento de servicios esenciales de la comunidad, pues la exigencia de que se produzca con carácter previo a la convocatoria misma de las ayudas una declaración por norma con rango de ley del carácter de catástrofe natural, así como la exigencia de que el Ministerio del Interior precise las entidades locales y núcleos de población afectados, determina que no nos encontremos ante una intervención inmediata sino que tiene lugar una vez finalizada la respuesta más próxima en el tiempo a la situación de emergencia. En segundo término, es realmente relevante en este caso que la orden impugnada se refiera a medidas a realizar en la denominada “fase de recuperación”, consistentes en subvenciones destinadas a sufragar daños en infraestructuras municipales y redes viarias provinciales, que es, precisamente, el mismo concepto que el contemplado en el art. 24.1 e) de la Ley 17/2015, que es al que el legislador, por omisión de su cita, ha considerado que no debe aplicarse la normativa reglamentaria estatal sobre subvenciones (supuestos de grave situación de emergencia declarados conforme al capítulo V de la Ley). A lo expuesto habría que añadir, como tercera consideración, que los proyectos subvencionados tienen una referencia territorial explícita de carácter intraautonómico, en razón a la delimitación básica que, del ámbito de aplicación, hace la orden impugnada.</w:t>
      </w:r>
    </w:p>
    <w:p w:rsidR="00163957" w:rsidRDefault="00163957" w:rsidP="00163957">
      <w:pPr>
        <w:pStyle w:val="TextoNormal"/>
      </w:pPr>
    </w:p>
    <w:p w:rsidR="00163957" w:rsidRDefault="00163957" w:rsidP="00163957">
      <w:pPr>
        <w:pStyle w:val="TextoNormal"/>
      </w:pPr>
      <w:r>
        <w:t>A la hora, pues, de enjuiciar la orden de referencia y confrontar los preceptos impugnados de la misma con el título competencial sobre “seguridad pública” que hemos seleccionado como aplicable al caso, habrá que tener en cuenta los razonamientos ahora expresados.</w:t>
      </w:r>
    </w:p>
    <w:p w:rsidR="00163957" w:rsidRDefault="00163957" w:rsidP="00163957">
      <w:pPr>
        <w:pStyle w:val="TextoNormal"/>
      </w:pPr>
    </w:p>
    <w:p w:rsidR="00163957" w:rsidRDefault="00163957" w:rsidP="00163957">
      <w:pPr>
        <w:pStyle w:val="TextoNormal"/>
      </w:pPr>
      <w:r>
        <w:lastRenderedPageBreak/>
        <w:t>b) Establecido el alcance de la competencia estatal sobre protección civil y sus límites, debemos señalar que, en cuanto a la competencia autonómica de Cataluña, este Tribunal ha establecido, que habrá de estarse a lo prescrito en el art. 132.1 EAC, que atribuye a la Generalitat de Cataluña competencia exclusiva en materia de protección civil “respetando lo establecido por el Estado en el ejercicio de sus competencias en materia de seguridad pública”, precepto estatutario respecto al que en la STC 31/2010, de 28 de junio, FJ 78, se declara: “[c]iertamente hemos dicho que ‘en la materia específica de protección civil se producen unas competencias concurrentes del Estado (en virtud de la reserva del art. 149.1.29 CE) y de las Comunidades Autónomas que hayan asumido competencias en sus Estatutos en virtud de habilitaciones constitucionales’, por lo que las Comunidades Autónomas pueden asumir competencias en esta materia, aunque estén subordinadas a ‘las superiores exigencias del interés nacional en los casos en que éste pueda entrar en juego’ (STC 133/1990, FFJJ 5 y 6)”.</w:t>
      </w:r>
    </w:p>
    <w:p w:rsidR="00163957" w:rsidRDefault="00163957" w:rsidP="00163957">
      <w:pPr>
        <w:pStyle w:val="TextoNormal"/>
      </w:pPr>
    </w:p>
    <w:p w:rsidR="00163957" w:rsidRDefault="00163957" w:rsidP="00163957">
      <w:pPr>
        <w:pStyle w:val="TextoNormal"/>
      </w:pPr>
      <w:r>
        <w:t>Así, la competencia autonómica sobre protección civil que, en Cataluña viene desarrollada por la Ley 4/1997, de 20 de mayo, permite a la Generalitat, así como, en su caso, a los entes locales, desplegar sus competencias propias en la materia, regulando su actuación, configurando sus propios servicios de protección civil, desarrollando unos órganos competentes de coordinación de emergencias y ejecutando aquellas acciones reparadoras dirigidas al restablecimiento de la normalidad en la zona siniestrada.</w:t>
      </w:r>
    </w:p>
    <w:p w:rsidR="00163957" w:rsidRDefault="00163957" w:rsidP="00163957">
      <w:pPr>
        <w:pStyle w:val="TextoNormal"/>
      </w:pPr>
    </w:p>
    <w:p w:rsidR="00163957" w:rsidRDefault="00163957" w:rsidP="00163957">
      <w:pPr>
        <w:pStyle w:val="TextoNormal"/>
      </w:pPr>
      <w:r>
        <w:t>No es posible, por tanto, considerar que las acciones reparadoras en materia de subvenciones que se prevén en la Orden HAP/196/2015, de 21 de enero, y dirigidas al restablecimiento no inmediato de la normalidad en las infraestructuras municipales y en las redes viarias de la zona siniestrada, conformen el núcleo de la competencia estatal sobre seguridad pública prevista en el art. 149.1.29 CE, y por tanto que sea uno de los aspectos de la protección civil que quepa enmarcar en la competencia estatal. No obstante lo anterior, el Estado siempre podrá en uso de su soberanía financiera, asignar fondos públicos a aquellas finalidades que considere pertinentes.</w:t>
      </w:r>
    </w:p>
    <w:p w:rsidR="00163957" w:rsidRDefault="00163957" w:rsidP="00163957">
      <w:pPr>
        <w:pStyle w:val="TextoNormal"/>
      </w:pPr>
    </w:p>
    <w:p w:rsidR="00163957" w:rsidRDefault="00163957" w:rsidP="00163957">
      <w:pPr>
        <w:pStyle w:val="TextoNormal"/>
      </w:pPr>
      <w:r w:rsidRPr="00163957">
        <w:rPr>
          <w:rStyle w:val="NumeroAFNegritaCaracter"/>
        </w:rPr>
        <w:t>6</w:t>
      </w:r>
      <w:r>
        <w:t>. Aun considerando que las ayudas previstas en la Orden HAP/196/2015, de 21 de enero, no se puedan justificar en el ejercicio de la competencia estatal sobre seguridad pública, el Estado tiene la posibilidad de poner su poder de gasto al servicio de una política de protección civil consistente en el restablecimiento de la normalidad de las infraestructuras locales en la zona siniestrada.</w:t>
      </w:r>
    </w:p>
    <w:p w:rsidR="00163957" w:rsidRDefault="00163957" w:rsidP="00163957">
      <w:pPr>
        <w:pStyle w:val="TextoNormal"/>
      </w:pPr>
    </w:p>
    <w:p w:rsidR="00163957" w:rsidRDefault="00163957" w:rsidP="00163957">
      <w:pPr>
        <w:pStyle w:val="TextoNormal"/>
      </w:pPr>
      <w:r>
        <w:t>Así, una vez realizado el encuadramiento competencial, es preciso tomar en consideración, en aquellos supuestos como el presente en que nos encontramos ante un supuesto subvencional, la abundante doctrina de este Tribunal en relación con las subvenciones. Doctrina que fue objeto de recapitulación en la STC 13/1992, de 6 de febrero, y que partía del principio de que “la legitimidad constitucional del régimen normativo y de gestión de las subvenciones fijado por el Estado depende de las competencias que el Estado posea en la materia de que se trate”, ya que “la subvención no es un concepto que delimite competencias” (STC 13/1992, FJ 4). Por tanto, las diversas instancias territoriales ejercerán sobre las subvenciones las competencias que tienen atribuidas, de modo que si la materia o sector de la actividad pública a la que aquéllas se dirigen son de competencia exclusiva del Estado, no se plantea ningún problema en cuanto a la delimitación competencial. Cuando, por el con</w:t>
      </w:r>
      <w:r>
        <w:lastRenderedPageBreak/>
        <w:t>trario, en tal materia o sector hayan asumido competencias en uno u otro grado las Comunidades Autónomas, las medidas que hayan de adoptarse para conseguir la finalidad a que se destinan los recursos deberán respetar el orden constitucional y estatuario de competencias, pues, de no ser así, el Estado restringiría la autonomía política de las Comunidades Autónomas y su capacidad de autogobierno (STC 13/1992, FJ 7). Precisamente, en la STC 13/1992 este Tribunal estableció un esquema de delimitación competencial entre el Estado y las Comunidades Autónomas en cuanto al ejercicio de la potestad subvencional de gasto público, resumido en cuatro supuestos generales que, pese al carácter abierto del esquema en el que se insertan, continúan siendo referente constante de nuestra doctrina posterior y de las alegaciones de las partes en los procesos de constitucionalidad. Dichos supuestos generales, por un lado, tratan precisamente de conciliar la distribución competencial existente en cada materia entre el Estado y las Comunidades Autónomas, y por otro, con la reconocida potestad subvencional de gasto público que ostenta el Estado. Potestad que ha sido reconocida cuando hemos afirmado de manera reiterada que “el Estado siempre podrá, en uso de su soberanía financiera (de gasto, en este caso), asignar fondos públicos a unas finalidades u otras” (por todas la STC 13/1992, FJ 7).</w:t>
      </w:r>
    </w:p>
    <w:p w:rsidR="00163957" w:rsidRDefault="00163957" w:rsidP="00163957">
      <w:pPr>
        <w:pStyle w:val="TextoNormal"/>
      </w:pPr>
    </w:p>
    <w:p w:rsidR="00163957" w:rsidRDefault="00163957" w:rsidP="00163957">
      <w:pPr>
        <w:pStyle w:val="TextoNormal"/>
      </w:pPr>
      <w:r>
        <w:t>Por tanto, el ámbito material en el que debe incardinarse la orden cuestionada es el relativo a la protección civil, pero al referirse a subvenciones destinadas a actuaciones que tienen lugar una vez superada la fase inicial de emergencia, pues se trata de obras de reparación o restitución de infraestructuras equipamientos e instalaciones y servicios municipales y de la red viaria provincial, se trataría de aquella protección civil sobre la que el Estado no tiene, en principio, competencia por su falta de conexión directa con el título competencial sobre seguridad pública (art. 149.1.29 CE).</w:t>
      </w:r>
    </w:p>
    <w:p w:rsidR="00163957" w:rsidRDefault="00163957" w:rsidP="00163957">
      <w:pPr>
        <w:pStyle w:val="TextoNormal"/>
      </w:pPr>
    </w:p>
    <w:p w:rsidR="00163957" w:rsidRDefault="00163957" w:rsidP="00163957">
      <w:pPr>
        <w:pStyle w:val="TextoNormal"/>
      </w:pPr>
      <w:r>
        <w:t>En consecuencia, en el presente caso, y puesto que la Comunidad Autónoma ostenta una competencia exclusiva sobre aquella protección civil no vinculada con la seguridad pública y el Estado no ha invocado título competencial suficiente, genérico o específico, sobre la misma, nos encontramos ante el primer supuesto recogido en el fundamento jurídico 8 a) de la STC 13/1992. Supuesto que excluye la posibilidad de gestión centralizada, pues ésta sólo es posible que tenga lugar cuando el Estado ostente algún título competencial. Al no cumplirse el presupuesto exigido por el supuesto cuarto de la STC 13/1992, FJ 8 d), para poder justificar la gestión centralizada —el relativo a que el Estado ostente algún título competencial, genérico o específico, sobre la materia—, no es procedente entrar a examinar si se dan el resto de circunstancias que exige aquel apartado para justificar la gestión de subvenciones por el Estado.</w:t>
      </w:r>
    </w:p>
    <w:p w:rsidR="00163957" w:rsidRDefault="00163957" w:rsidP="00163957">
      <w:pPr>
        <w:pStyle w:val="TextoNormal"/>
      </w:pPr>
    </w:p>
    <w:p w:rsidR="00163957" w:rsidRDefault="00163957" w:rsidP="00163957">
      <w:pPr>
        <w:pStyle w:val="TextoNormal"/>
      </w:pPr>
      <w:r>
        <w:t xml:space="preserve">Una vez hemos encuadrado el régimen de las subvenciones objeto de conflicto en el supuesto a) del fundamento jurídico 8 de la STC 13/1992, debemos recordar, a continuación, la doctrina de este Tribunal que, con cita en la STC 178/2011, de 8 de noviembre, FJ 7 y en un conflicto referido a subvenciones relativas al área de la asistencia social, ha declarado que “consideraremos incluida en la esfera de la competencia estatal la regulación de los aspectos centrales del régimen subvencional —objeto y finalidad de las ayudas, modalidad técnica de las mismas, beneficiarios y requisitos esenciales de acceso— mientras que situaremos dentro de la competencia autonómica lo atinente a su gestión, esto es, la tramitación, resolución y pago de las subvenciones, así como la regulación del procedimiento correspondiente a todos estos aspectos, ya que es doctrina reiterada de este Tribunal que ‘las normas </w:t>
      </w:r>
      <w:r>
        <w:lastRenderedPageBreak/>
        <w:t xml:space="preserve">procedimentales </w:t>
      </w:r>
      <w:r w:rsidRPr="00163957">
        <w:rPr>
          <w:i/>
        </w:rPr>
        <w:t>ratione materiae</w:t>
      </w:r>
      <w:r>
        <w:t xml:space="preserve"> deben ser dictadas por las Comunidades Autónomas competentes en el correspondiente sector material, respetando las reglas del procedimiento administrativo común (por todas, STC 98/2001, de 5 de abril, FJ 8, con cita de la STC 227/1998, de 26 de noviembre, FJ 32)’ (STC 188/2001, de 20 de septiembre)” (STC 36/2012, de 15 de marzo, FJ 8).</w:t>
      </w:r>
    </w:p>
    <w:p w:rsidR="00163957" w:rsidRDefault="00163957" w:rsidP="00163957">
      <w:pPr>
        <w:pStyle w:val="TextoNormal"/>
      </w:pPr>
    </w:p>
    <w:p w:rsidR="00163957" w:rsidRDefault="00163957" w:rsidP="00163957">
      <w:pPr>
        <w:pStyle w:val="TextoNormal"/>
      </w:pPr>
      <w:r w:rsidRPr="00163957">
        <w:rPr>
          <w:rStyle w:val="NumeroAFNegritaCaracter"/>
        </w:rPr>
        <w:t>7</w:t>
      </w:r>
      <w:r>
        <w:t>. A partir del planteamiento competencial expuesto, debemos proceder ahora al examen de los distintos preceptos impugnados.</w:t>
      </w:r>
    </w:p>
    <w:p w:rsidR="00163957" w:rsidRDefault="00163957" w:rsidP="00163957">
      <w:pPr>
        <w:pStyle w:val="TextoNormal"/>
      </w:pPr>
    </w:p>
    <w:p w:rsidR="00163957" w:rsidRDefault="00163957" w:rsidP="00163957">
      <w:pPr>
        <w:pStyle w:val="TextoNormal"/>
      </w:pPr>
      <w:r>
        <w:t>a) El art. 3 de la Orden HAP/196/2015, de 21 de enero, se refiere a los beneficiarios de las ayudas.</w:t>
      </w:r>
    </w:p>
    <w:p w:rsidR="00163957" w:rsidRDefault="00163957" w:rsidP="00163957">
      <w:pPr>
        <w:pStyle w:val="TextoNormal"/>
      </w:pPr>
    </w:p>
    <w:p w:rsidR="00163957" w:rsidRDefault="00163957" w:rsidP="00163957">
      <w:pPr>
        <w:pStyle w:val="TextoNormal"/>
      </w:pPr>
      <w:r>
        <w:t>Para el Abogado de la Generalitat la designación de las diputaciones provinciales como beneficiarias contradice lo establecido en la Ley 38/2003, general de subvenciones, que dispone en su art. 11.1 que la condición de beneficiario corresponde a quien realiza la actividad que fundamenta el otorgamiento de la subvención o que legitima su concesión y, si bien en el caso de las redes viarias provinciales, tendrían la condición de beneficiarios directos, no así para el supuesto de las infraestructuras municipales, en que habrían de ser los propios municipios afectados, limitándose la labor de aquellas a ser meras entidades intermediarias o colaboradoras entre la Administración del Estado y los entes locales de su territorio, por lo que el objeto de la impugnación recae en atribuir la condición de beneficiarias por este último concepto.</w:t>
      </w:r>
    </w:p>
    <w:p w:rsidR="00163957" w:rsidRDefault="00163957" w:rsidP="00163957">
      <w:pPr>
        <w:pStyle w:val="TextoNormal"/>
      </w:pPr>
    </w:p>
    <w:p w:rsidR="00163957" w:rsidRDefault="00163957" w:rsidP="00163957">
      <w:pPr>
        <w:pStyle w:val="TextoNormal"/>
      </w:pPr>
      <w:r>
        <w:t xml:space="preserve">La tesis sostenida por la Generalitat de Cataluña promotora del conflicto no puede prosperar en este caso. Hemos tenido oportunidad de afirmar que la Ley 38/2003 “aborda la regulación de un procedimiento administrativo común singular en función de la forma de actividad administrativa; no regula un procedimiento administrativo especial </w:t>
      </w:r>
      <w:r w:rsidRPr="00163957">
        <w:rPr>
          <w:i/>
        </w:rPr>
        <w:t>ratione materiae</w:t>
      </w:r>
      <w:r>
        <w:t xml:space="preserve"> y es, por tanto, en principio, y siempre que el Estado, en su regulación, se mueva dentro de los límites de su esfera competencial, compatible con la existencia de regulaciones especiales </w:t>
      </w:r>
      <w:r w:rsidRPr="00163957">
        <w:rPr>
          <w:i/>
        </w:rPr>
        <w:t>ratione materiae</w:t>
      </w:r>
      <w:r>
        <w:t xml:space="preserve"> de los procedimientos de otorgamiento de subvenciones en determinados campos de actividad (agricultura, medio ambiente, asistencia social…), que corresponderá establecer bien al Estado, bien a las Comunidades Autónomas, en función de la distribución de competencias prevista para cada sector concreto en la Constitución” (STC 130/2013, de 4 de junio, FJ 8).</w:t>
      </w:r>
    </w:p>
    <w:p w:rsidR="00163957" w:rsidRDefault="00163957" w:rsidP="00163957">
      <w:pPr>
        <w:pStyle w:val="TextoNormal"/>
      </w:pPr>
    </w:p>
    <w:p w:rsidR="00163957" w:rsidRDefault="00163957" w:rsidP="00163957">
      <w:pPr>
        <w:pStyle w:val="TextoNormal"/>
      </w:pPr>
      <w:r>
        <w:t>Así, el Estado, al regular un procedimiento administrativo común singular como es el subvencional, ha establecido que “tendrá la consideración de beneficiario de subvenciones la persona que haya de realizar la actividad que fundamentó su otorgamiento o que se encuentre en la situación que legitima su concesión”. Es indudable que la provincia se encuentra en una situación que legitima su consideración como beneficiaria, pues la doctrina constitucional ha precisado que “el apoyo a los municipios radicados en su ámbito territorial” constituye el núcleo de la actividad de la provincia en cuanto entidad local determinada por la agrupación de municipios (art. 141.1 CE; STC 109/1998, de 21 de mayo, FJ 2).</w:t>
      </w:r>
    </w:p>
    <w:p w:rsidR="00163957" w:rsidRDefault="00163957" w:rsidP="00163957">
      <w:pPr>
        <w:pStyle w:val="TextoNormal"/>
      </w:pPr>
    </w:p>
    <w:p w:rsidR="00163957" w:rsidRDefault="00163957" w:rsidP="00163957">
      <w:pPr>
        <w:pStyle w:val="TextoNormal"/>
      </w:pPr>
      <w:r>
        <w:t>Por tanto, el artículo 3 no infringe las competencias autonómicas en cuanto define quiénes pueden ser los beneficiarios de las ayudas, aspecto que hemos considerado incluido en la esfera de la competencia estatal, por tratarse de la regulación de los aspectos centrales del régimen subvencional (por todas, STC 178/2011, de 8 de noviembre, FJ 7).</w:t>
      </w:r>
    </w:p>
    <w:p w:rsidR="00163957" w:rsidRDefault="00163957" w:rsidP="00163957">
      <w:pPr>
        <w:pStyle w:val="TextoNormal"/>
      </w:pPr>
    </w:p>
    <w:p w:rsidR="00163957" w:rsidRDefault="00163957" w:rsidP="00163957">
      <w:pPr>
        <w:pStyle w:val="TextoNormal"/>
      </w:pPr>
      <w:r>
        <w:t>b) El artículo 5, relativo al procedimiento de concesión, no infringe las competencias autonómicas en cuanto que caracteriza de manera general su régimen jurídico, estableciendo un sistema de “concesión directa” para la adjudicación de las subvenciones. Únicamente, el inciso relativo a que el procedimiento “se ordenará e impulsará por la Dirección General de Coordinación de Competencias con las Comunidades Autónomas y las Entidades Locales” es inconstitucional por centralizar tal procedimiento en este órgano del Ministerio de Hacienda y Administraciones Públicas, que forma parte de la Administración del Estado.</w:t>
      </w:r>
    </w:p>
    <w:p w:rsidR="00163957" w:rsidRDefault="00163957" w:rsidP="00163957">
      <w:pPr>
        <w:pStyle w:val="TextoNormal"/>
      </w:pPr>
    </w:p>
    <w:p w:rsidR="00163957" w:rsidRDefault="00163957" w:rsidP="00163957">
      <w:pPr>
        <w:pStyle w:val="TextoNormal"/>
      </w:pPr>
      <w:r>
        <w:t>c) El art. 6 se refiere a la presentación de solicitudes y documentación complementaria. En este apartado se establecen de manera detallada y precisa, el lugar de presentación, los requisitos de las solicitudes y que las mismas deben ajustarse a los formatos establecidos en las bases, que se publican como anexos. Toda esta exhaustiva regulación propia del procedimiento administrativo vulnera las competencias de la Generalitat, con excepción de los datos vinculados directamente con la acreditación de los requisitos que han de cumplir los solicitantes y los datos necesarios para la valoración del proyecto a los que se refieren los apartados 3 y 4 del artículo 6, y el deber, en su caso, de acreditarlos documentalmente.</w:t>
      </w:r>
    </w:p>
    <w:p w:rsidR="00163957" w:rsidRDefault="00163957" w:rsidP="00163957">
      <w:pPr>
        <w:pStyle w:val="TextoNormal"/>
      </w:pPr>
    </w:p>
    <w:p w:rsidR="00163957" w:rsidRDefault="00163957" w:rsidP="00163957">
      <w:pPr>
        <w:pStyle w:val="TextoNormal"/>
      </w:pPr>
      <w:r>
        <w:t>En lo que se refiere a los formatos establecidos en las bases, y en línea con la STC 179/2013, de 21 de octubre, FJ 8, se debe indicar que no tienen carácter básico y que se trata de una cuestión meramente procedimental que corresponde fijar a la Comunidad autónoma, decidiendo el modelo o formulario más adecuado para las solicitudes y las resoluciones.</w:t>
      </w:r>
    </w:p>
    <w:p w:rsidR="00163957" w:rsidRDefault="00163957" w:rsidP="00163957">
      <w:pPr>
        <w:pStyle w:val="TextoNormal"/>
      </w:pPr>
    </w:p>
    <w:p w:rsidR="00163957" w:rsidRDefault="00163957" w:rsidP="00163957">
      <w:pPr>
        <w:pStyle w:val="TextoNormal"/>
      </w:pPr>
      <w:r>
        <w:t>Por tanto, y con excepción de la previsión de la documentación vinculada directamente con la acreditación de los requisitos que han de cumplir los solicitantes para poder presentarse a la convocatoria, la regulación del resto de aspectos en la norma estatal vulnera las competencias autonómicas.</w:t>
      </w:r>
    </w:p>
    <w:p w:rsidR="00163957" w:rsidRDefault="00163957" w:rsidP="00163957">
      <w:pPr>
        <w:pStyle w:val="TextoNormal"/>
      </w:pPr>
    </w:p>
    <w:p w:rsidR="00163957" w:rsidRDefault="00163957" w:rsidP="00163957">
      <w:pPr>
        <w:pStyle w:val="TextoNormal"/>
      </w:pPr>
      <w:r>
        <w:t>d) El artículo 8 se refiere a la comprobación de solicitudes y documentación. La previsión de que se realice por un órgano instructor que forma parte de la Administración del Estado pierde su razón de ser a partir del momento en que la tramitación es competencia de la Comunidad Autónoma, como se ha indicado anteriormente; por tanto, el contenido del artículo 8 de la disposición impugnada forma parte de las competencias que corresponden a la Generalitat, como algo instrumental para su normal ejercicio.</w:t>
      </w:r>
    </w:p>
    <w:p w:rsidR="00163957" w:rsidRDefault="00163957" w:rsidP="00163957">
      <w:pPr>
        <w:pStyle w:val="TextoNormal"/>
      </w:pPr>
    </w:p>
    <w:p w:rsidR="00163957" w:rsidRDefault="00163957" w:rsidP="00163957">
      <w:pPr>
        <w:pStyle w:val="TextoNormal"/>
      </w:pPr>
      <w:r>
        <w:t>e) El artículo 12 se refiere a la adjudicación de las obras, que se vincula con un aspecto que debe determinar el órgano competente para instruir y resolver el procedimiento, por lo que el contenido del precepto rebasa lo que, conforme a nuestra doctrina, constituyen aspectos centrales del régimen subvencional y, por ello, cercena el margen necesario para que la Generalitat pueda desarrollar sus competencias de gestión de las ayudas.</w:t>
      </w:r>
    </w:p>
    <w:p w:rsidR="00163957" w:rsidRDefault="00163957" w:rsidP="00163957">
      <w:pPr>
        <w:pStyle w:val="TextoNormal"/>
      </w:pPr>
    </w:p>
    <w:p w:rsidR="00163957" w:rsidRDefault="00163957" w:rsidP="00163957">
      <w:pPr>
        <w:pStyle w:val="TextoNormal"/>
      </w:pPr>
      <w:r>
        <w:t>f) El artículo 14 y el artículo 15 se refieren respectivamente a la justificación y a la ampliación de los plazos, que son aspectos de competencia autonómica, dado que se trata de actuaciones de gestión administrativa de las ayudas y, por ello, su atribución a órganos estatales vulnera las competencias de la Generalitat de Cataluña.</w:t>
      </w:r>
    </w:p>
    <w:p w:rsidR="00163957" w:rsidRDefault="00163957" w:rsidP="00163957">
      <w:pPr>
        <w:pStyle w:val="TextoNormal"/>
      </w:pPr>
    </w:p>
    <w:p w:rsidR="00163957" w:rsidRDefault="00163957" w:rsidP="00163957">
      <w:pPr>
        <w:pStyle w:val="TextoNormal"/>
      </w:pPr>
      <w:r>
        <w:t xml:space="preserve">g) La disposición final primera, referida al título competencial, no vulnera las competencias autonómicas, pues la queja que se dirige contra esta disposición no es autónoma, en </w:t>
      </w:r>
      <w:r>
        <w:lastRenderedPageBreak/>
        <w:t>cuanto que con la misma se pretende poner de manifiesto la falta de cobertura competencial que se reprocha a los restantes preceptos impugnados en el presente proceso y que han sido examinados en los términos expuestos.</w:t>
      </w:r>
    </w:p>
    <w:p w:rsidR="00163957" w:rsidRDefault="00163957" w:rsidP="00163957">
      <w:pPr>
        <w:pStyle w:val="TextoNormal"/>
      </w:pPr>
    </w:p>
    <w:p w:rsidR="00163957" w:rsidRDefault="00163957" w:rsidP="00163957">
      <w:pPr>
        <w:pStyle w:val="TextoNormal"/>
      </w:pPr>
      <w:r w:rsidRPr="00163957">
        <w:rPr>
          <w:rStyle w:val="NumeroAFNegritaCaracter"/>
        </w:rPr>
        <w:t>8</w:t>
      </w:r>
      <w:r>
        <w:t>. En cuanto al alcance del fallo, el pronunciamiento debe ser meramente declarativo, incluyendo la estimación parcial del conflicto con declaración de la titularidad de la competencia controvertida a favor de la Comunidad Autónoma de Cataluña, sin anulación de los preceptos de referencia, habida cuenta de la diversidad de situaciones normativas en las comunidades autónomas.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Estimar parcialmente el conflicto positivo de competencia núm. 3269-2015, interpuesto por el Gobierno de la Generalitat de Cataluña, contra diversos preceptos de la Orden HAP/196/2015, de 21 de enero, por la que se aprueban las bases reguladoras de las subvenciones que tengan por finalidad la ejecución de obras de reparación o restitución de: infraestructuras, equipamientos e instalaciones y servicios de titularidad municipal y de las mancomunidades, consecuencia de catástrofes naturales, así como redes viarias de las diputaciones provinciales, cabildos, consejos insulares y comunidades autónomas uniprovinciales; y, en consecuencia, declarar que los artículos 5, en los términos previstos en la letra b) del fundamento jurídico 7 de la presente Sentencia; 6, apartados 1, 2, 5 y formatos establecidos en las bases de la citada orden; 8, 12, 14 y 15 de la orden referida vulneran las competencias de la Generalitat de Cataluña.</w:t>
      </w:r>
    </w:p>
    <w:p w:rsidR="00163957" w:rsidRDefault="00163957" w:rsidP="00163957">
      <w:pPr>
        <w:pStyle w:val="TextoNormal"/>
      </w:pPr>
    </w:p>
    <w:p w:rsidR="00163957" w:rsidRDefault="00163957" w:rsidP="00163957">
      <w:pPr>
        <w:pStyle w:val="TextoNormal"/>
      </w:pPr>
      <w:r>
        <w:t>2º Desestimar el conflicto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veintiocho de abril de dos mil dieciséis.</w:t>
      </w:r>
    </w:p>
    <w:p w:rsidR="00163957" w:rsidRDefault="00163957" w:rsidP="00163957">
      <w:pPr>
        <w:pStyle w:val="ParrafoNormal"/>
      </w:pPr>
    </w:p>
    <w:p w:rsidR="00163957" w:rsidRDefault="00163957" w:rsidP="00163957">
      <w:pPr>
        <w:pStyle w:val="TextoNormalNegritaCentrado"/>
        <w:keepNext/>
      </w:pPr>
      <w:r>
        <w:t>Voto particular que formula la Magistrada doña Adela Asua Batarrita a la Sentencia dictada en el conflicto positivo de competencia núm. 3269-2015.</w:t>
      </w:r>
    </w:p>
    <w:p w:rsidR="00163957" w:rsidRDefault="00163957" w:rsidP="00163957">
      <w:pPr>
        <w:pStyle w:val="TextoNormalNegritaCentrado"/>
        <w:keepNext/>
      </w:pPr>
    </w:p>
    <w:p w:rsidR="00163957" w:rsidRDefault="00163957" w:rsidP="00163957">
      <w:pPr>
        <w:pStyle w:val="TextoNormal"/>
      </w:pPr>
      <w:r>
        <w:t>En ejercicio de la facultad que me confiere el art. 90.2 de la Ley Orgánica del Tribunal Constitucional y con pleno respeto a la opinión de la mayoría del Tribunal, debo manifestar mi discrepancia parcial con el fallo y con la fundamentación jurídica de la Sentencia dictada, en virtud de los argumentos que defendí en la deliberación del Pleno y que expongo a continuación.</w:t>
      </w:r>
    </w:p>
    <w:p w:rsidR="00163957" w:rsidRDefault="00163957" w:rsidP="00163957">
      <w:pPr>
        <w:pStyle w:val="TextoNormal"/>
      </w:pPr>
    </w:p>
    <w:p w:rsidR="00163957" w:rsidRDefault="00163957" w:rsidP="00163957">
      <w:pPr>
        <w:pStyle w:val="TextoNormal"/>
      </w:pPr>
      <w:r>
        <w:t>Comparto plenamente el encuadramiento competencial de las subvenciones en la materia de protección civil no vinculada con la seguridad pública (y, por tanto, de competencia au</w:t>
      </w:r>
      <w:r>
        <w:lastRenderedPageBreak/>
        <w:t>tonómica) que efectúa la Sentencia en su fundamento jurídico 6, pero discrepo de las consecuencias jurídicas que se consideran aplicables al referido encuadramiento competencial, en tanto que desdibujan la delimitación establecida originariamente en la fundamental STC 13/1992, de 6 de febrero, respecto al supuesto que concurre en el presente caso.</w:t>
      </w:r>
    </w:p>
    <w:p w:rsidR="00163957" w:rsidRDefault="00163957" w:rsidP="00163957">
      <w:pPr>
        <w:pStyle w:val="TextoNormal"/>
      </w:pPr>
    </w:p>
    <w:p w:rsidR="00163957" w:rsidRDefault="00163957" w:rsidP="00163957">
      <w:pPr>
        <w:pStyle w:val="TextoNormal"/>
      </w:pPr>
      <w:r>
        <w:t>En cuanto a mi discrepancia me remito a los argumentos expuestos en el Voto particular que formulé a la STC 226/2012, de 29 de noviembre, dictada en el conflicto positivo de competencia núm. 7046-2005. Entonces manifesté mi preocupación ante dos circunstancias: “la carencia de la imprescindible fundamentación jurídica que pueda explicar este inicio de cambio de orientación, que apunta a una rectificación parcial de la doctrina sentada en la STC 13/1992”; y “la tendencia expansiva que parece acompañar a esa modulación interpretativa”.</w:t>
      </w:r>
    </w:p>
    <w:p w:rsidR="00163957" w:rsidRDefault="00163957" w:rsidP="00163957">
      <w:pPr>
        <w:pStyle w:val="TextoNormal"/>
      </w:pPr>
    </w:p>
    <w:p w:rsidR="00163957" w:rsidRDefault="00163957" w:rsidP="00163957">
      <w:pPr>
        <w:pStyle w:val="TextoNormal"/>
      </w:pPr>
      <w:r>
        <w:t>La Sentencia objeto del presente Voto particular confirma aquella tendencia expansiva. Ya no se trata, como en casos anteriores (recogidos en mi Voto particular a la STC 226/2012), de un supuesto relativo a la asistencia social, materia en la que podría aceptarse —como hicieron la mayoría de mis compañeros— la oportunidad de que el Estado precisara mínimamente la situación social que debe ser atendida con arreglo a sus fondos, incluso a pesar de carecer de competencias sustantivas en la materia. Aquí se trata, en cambio, de subvenciones estatales que tienen como finalidad ejecutar obras de reparación de titularidad local como consecuencia de daños catastróficos. Por la propia configuración de las ayudas, su finalidad, objeto y destinatarios están suficientemente acotados, por lo que no hay razón ni necesidad alguna de reconocer al Estado la posibilidad adicional de regular las condiciones esenciales de esas ayudas en un ámbito, recordemos, en el que no posee competencias sustantivas.</w:t>
      </w:r>
    </w:p>
    <w:p w:rsidR="00163957" w:rsidRDefault="00163957" w:rsidP="00163957">
      <w:pPr>
        <w:pStyle w:val="TextoNormal"/>
      </w:pPr>
    </w:p>
    <w:p w:rsidR="00163957" w:rsidRDefault="00163957" w:rsidP="00163957">
      <w:pPr>
        <w:pStyle w:val="TextoNormal"/>
      </w:pPr>
      <w:r>
        <w:t>Así pues, ya no cabe hablar de inicio de un cambio de orientación, sino de culminación de la rectificación parcial de una Sentencia que, en palabras del Presidente emérito del Tribunal Constitucional don Francisco Tomás y Valiente, “sentó cimientos claros” con respecto a lo que, de otra forma, a su juicio, podría ser un posible modo indirecto de alteración del orden competencial y de la autonomía de las Comunidades Autónomas a través de subvenciones estatales consignadas en las leyes de presupuestos generales del Estado (conferencia inaugural “La Constitución y el Tribunal Constitucional” en el coloquio internacional organizado en octubre de 1994 para celebrar los quince años de la Ley del Tribunal Constitucional); y cuyo cuerpo doctrinal había sido confirmado por las sucesivas composiciones de este Tribunal, que, durante dos décadas, la habían aplicado con tesón y rigor, desde el profundo convencimiento en la corrección del equilibrio entonces alcanzado en ese complejo competencial que son las subvenciones estatales. La jurisprudencia constitucional puede evolucionar, pero la modificación parcial de una doctrina esencial para el buen funcionamiento del Estado autonómico como la sentada en la STC 13/1992, afirmada y confirmada durante más de dos décadas, no puede producirse sin buenas razones de fondo, que aquí, al igual que en las sentencias que iniciaron el cambio de orientación, no se aportan. La consecuencia es la convalidación de una forma indirecta de alteración del orden competencial y de la autonomía de las Comunidades Autónomas.</w:t>
      </w:r>
    </w:p>
    <w:p w:rsidR="00163957" w:rsidRDefault="00163957" w:rsidP="00163957">
      <w:pPr>
        <w:pStyle w:val="TextoNormal"/>
      </w:pPr>
    </w:p>
    <w:p w:rsidR="00163957" w:rsidRDefault="00163957" w:rsidP="00163957">
      <w:pPr>
        <w:pStyle w:val="TextoNormal"/>
      </w:pPr>
      <w:r>
        <w:t>Y en este sentido emito mi Voto particular.</w:t>
      </w:r>
    </w:p>
    <w:p w:rsidR="00163957" w:rsidRDefault="00163957" w:rsidP="00163957">
      <w:pPr>
        <w:pStyle w:val="TextoNormal"/>
      </w:pPr>
    </w:p>
    <w:p w:rsidR="00163957" w:rsidRDefault="00163957" w:rsidP="00163957">
      <w:pPr>
        <w:pStyle w:val="TextoNormal"/>
      </w:pPr>
      <w:r>
        <w:t>Madrid, a veintiocho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lastRenderedPageBreak/>
        <w:br w:type="page"/>
      </w:r>
    </w:p>
    <w:p w:rsidR="00163957" w:rsidRDefault="00163957" w:rsidP="00163957">
      <w:pPr>
        <w:pStyle w:val="TtuloResolucin"/>
      </w:pPr>
      <w:bookmarkStart w:id="91" w:name="SENTENCIA_2016_88"/>
      <w:r>
        <w:lastRenderedPageBreak/>
        <w:t>SENTENCIA 88/2016, de 28 de abril de 2016</w:t>
      </w:r>
    </w:p>
    <w:bookmarkEnd w:id="91"/>
    <w:p w:rsidR="00163957" w:rsidRDefault="00163957" w:rsidP="00163957">
      <w:pPr>
        <w:pStyle w:val="TtuloResolucin"/>
      </w:pPr>
      <w:r>
        <w:t>Pleno</w:t>
      </w:r>
    </w:p>
    <w:p w:rsidR="00163957" w:rsidRDefault="00163957" w:rsidP="00163957">
      <w:pPr>
        <w:pStyle w:val="TtuloBOE"/>
      </w:pPr>
      <w:r>
        <w:t>(BOE núm. 131, de 31 de mayo de 2016)</w:t>
      </w:r>
    </w:p>
    <w:p w:rsidR="00163957" w:rsidRDefault="00163957" w:rsidP="00163957">
      <w:pPr>
        <w:pStyle w:val="TextoNormalCentrado"/>
      </w:pPr>
      <w:r>
        <w:t>ECLI:ES:TC:2016:88</w:t>
      </w:r>
    </w:p>
    <w:p w:rsidR="00163957" w:rsidRDefault="00163957" w:rsidP="00163957">
      <w:pPr>
        <w:pStyle w:val="TextoNormalCentrado"/>
      </w:pPr>
    </w:p>
    <w:p w:rsidR="00163957" w:rsidRDefault="00163957" w:rsidP="00163957">
      <w:pPr>
        <w:pStyle w:val="SntesisDescriptiva"/>
      </w:pPr>
      <w:r>
        <w:t>Recurso de inconstitucionalidad 3492-2015. Interpuesto por el Presidente del Gobierno respecto del artículo 34 de la Ley del Parlamento de Cataluña 2/2015, de 11 de marzo, de presupuestos de la Generalitat de Cataluña para 2015.</w:t>
      </w:r>
    </w:p>
    <w:p w:rsidR="00163957" w:rsidRDefault="00163957" w:rsidP="00163957">
      <w:pPr>
        <w:pStyle w:val="SntesisDescriptiva"/>
      </w:pPr>
    </w:p>
    <w:p w:rsidR="00163957" w:rsidRDefault="00163957" w:rsidP="00163957">
      <w:pPr>
        <w:pStyle w:val="SntesisAnaltica"/>
      </w:pPr>
      <w:r>
        <w:t>Competencias sobre ordenación general de la economía y función pública: nulidad del precepto legal autonómico que introduce excepciones a la regulación básica sobre limitaciones a los incrementos de gastos de personal.</w:t>
      </w:r>
    </w:p>
    <w:p w:rsidR="00163957" w:rsidRDefault="00163957" w:rsidP="00163957">
      <w:pPr>
        <w:pStyle w:val="SntesisAnaltica"/>
      </w:pPr>
    </w:p>
    <w:p w:rsidR="00163957" w:rsidRDefault="00163957" w:rsidP="00163957">
      <w:pPr>
        <w:pStyle w:val="Extracto"/>
      </w:pPr>
      <w:r>
        <w:t>1.</w:t>
      </w:r>
      <w:r>
        <w:tab/>
        <w:t>La norma autonómica, al permitir que en 2015 puedan ponerse en funcionamiento nuevos servicios públicos aunque conlleven un incremento global del gasto de personal, está vulnerando la norma básica estatal que, con carácter general, prohíbe dicho incremento global de la masa retributiva durante este año; sin que quepa sostener, como aducen la Generalitat y el Parlamento de Cataluña, que la Ley de presupuestos generales de Cataluña permite entender que la puesta en funcionamiento de los nuevos servicios públicos a los que se refiere no pueden conllevar un incremento global de gastos de personal (ATC 181/2015, FJ 3) [FJ 4].</w:t>
      </w:r>
    </w:p>
    <w:p w:rsidR="00163957" w:rsidRDefault="00163957" w:rsidP="00163957">
      <w:pPr>
        <w:pStyle w:val="Extracto"/>
      </w:pPr>
    </w:p>
    <w:p w:rsidR="00163957" w:rsidRDefault="00163957" w:rsidP="00163957">
      <w:pPr>
        <w:pStyle w:val="Extracto"/>
      </w:pPr>
      <w:r>
        <w:t>2.</w:t>
      </w:r>
      <w:r>
        <w:tab/>
        <w:t>La regulación estatal básica, salvo por las excepciones por ella previstas, impide cualquier gasto en materia de personal que conlleve un incremento global de la masa retributiva autorizada para 2015 [FJ 4].</w:t>
      </w:r>
    </w:p>
    <w:p w:rsidR="00163957" w:rsidRDefault="00163957" w:rsidP="00163957">
      <w:pPr>
        <w:pStyle w:val="Extracto"/>
      </w:pPr>
    </w:p>
    <w:p w:rsidR="00163957" w:rsidRDefault="00163957" w:rsidP="00163957">
      <w:pPr>
        <w:pStyle w:val="Extracto"/>
      </w:pPr>
      <w:r>
        <w:t>3.</w:t>
      </w:r>
      <w:r>
        <w:tab/>
        <w:t>Los preceptos de la legislación estatal son normas básicas tanto en sentido formal como material: formalmente porque se les atribuye esta condición por una norma con rango legal y materialmente porque constituye una medida económica general de carácter presupuestario dirigida a contener la expansión relativa de uno de los componentes esenciales del gasto público (STC 219/2013) [FJ 3].</w:t>
      </w:r>
    </w:p>
    <w:p w:rsidR="00163957" w:rsidRDefault="00163957" w:rsidP="00163957">
      <w:pPr>
        <w:pStyle w:val="Extracto"/>
      </w:pPr>
    </w:p>
    <w:p w:rsidR="00163957" w:rsidRDefault="00163957" w:rsidP="00163957">
      <w:pPr>
        <w:pStyle w:val="Extracto"/>
      </w:pPr>
      <w:r>
        <w:t>4.</w:t>
      </w:r>
      <w:r>
        <w:tab/>
        <w:t>Doctrina sobre la competencia del Estado para contener las retribuciones del personal al servicio de las Administraciones públicas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el recurso de inconstitucionalidad núm. 3492/2015 interpuesto por el Abogado del Estado en nombre del Presidente del Gobierno contra el inciso último del art. 34 de la Ley 2/2015, de 11 de marzo, de Presupuestos de la Generalidad de Cataluña para 2015. Ha comparecido y formulado alegaciones la Generalidad de Cataluña. Ha sido Ponente el Magistrado don Juan Antonio Xiol Ríos,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Constitucional el 15 de junio de 2015, se ha promovido recurso de inconstitucionalidad por el Abogado del Estado, en nombre del Presidente del Gobierno, contra el último inciso del art. 34 de la Ley 2/2015, de 11 de marzo, de presupuestos de la Generalitat de Cataluña para 2015).</w:t>
      </w:r>
    </w:p>
    <w:p w:rsidR="00163957" w:rsidRDefault="00163957" w:rsidP="00163957">
      <w:pPr>
        <w:pStyle w:val="TextoNormal"/>
      </w:pPr>
    </w:p>
    <w:p w:rsidR="00163957" w:rsidRDefault="00163957" w:rsidP="00163957">
      <w:pPr>
        <w:pStyle w:val="TextoNormal"/>
      </w:pPr>
      <w:r>
        <w:t>El precepto en el que se contiene el inciso impugnado dispone:</w:t>
      </w:r>
    </w:p>
    <w:p w:rsidR="00163957" w:rsidRDefault="00163957" w:rsidP="00163957">
      <w:pPr>
        <w:pStyle w:val="TextoNormal"/>
      </w:pPr>
    </w:p>
    <w:p w:rsidR="00163957" w:rsidRDefault="00163957" w:rsidP="00163957">
      <w:pPr>
        <w:pStyle w:val="TextoNormal"/>
      </w:pPr>
      <w:r>
        <w:t>“Artículo 34. Limitación del aumento de gastos de personal.</w:t>
      </w:r>
    </w:p>
    <w:p w:rsidR="00163957" w:rsidRDefault="00163957" w:rsidP="00163957">
      <w:pPr>
        <w:pStyle w:val="TextoNormal"/>
      </w:pPr>
    </w:p>
    <w:p w:rsidR="00163957" w:rsidRDefault="00163957" w:rsidP="00163957">
      <w:pPr>
        <w:pStyle w:val="TextoNormal"/>
      </w:pPr>
      <w:r>
        <w:t>En el ejercicio 2015 no pueden tramitarse expedientes de ampliación de plantilla ni disposiciones o expedientes de creación o de reestructuración de unidades orgánicas que conlleven un incremento global del gasto de personal, salvo las unidades derivadas de un traspaso de servicios o, previa autorización del Gobierno, de la puesta en funcionamiento de nuevos servicios públicos.”</w:t>
      </w:r>
    </w:p>
    <w:p w:rsidR="00163957" w:rsidRDefault="00163957" w:rsidP="00163957">
      <w:pPr>
        <w:pStyle w:val="TextoNormal"/>
      </w:pPr>
    </w:p>
    <w:p w:rsidR="00163957" w:rsidRDefault="00163957" w:rsidP="00163957">
      <w:pPr>
        <w:pStyle w:val="TextoNormal"/>
      </w:pPr>
      <w:r>
        <w:t>El Abogado del Estado pone de manifiesto que sólo recurre el último inciso del referido precepto: “previa autorización del Gobierno, de la puesta en funcionamiento de nuevos servicios públicos”. Según se aduce, el referido inciso, al permitir, previa autorización del Gobierno, la puesta en funcionamiento de nuevos servicios públicos, está estableciendo una excepción a la limitación de los gastos de personal que ese mismo precepto contiene. Esta excepción se considera lesiva de la legislación básica estatal contenida en los arts. 20 y 21 de la Ley 36/2014, de 26 de diciembre, de presupuestos generales del Estado para 2015 (en adelante, LPGE 2015).</w:t>
      </w:r>
    </w:p>
    <w:p w:rsidR="00163957" w:rsidRDefault="00163957" w:rsidP="00163957">
      <w:pPr>
        <w:pStyle w:val="TextoNormal"/>
      </w:pPr>
    </w:p>
    <w:p w:rsidR="00163957" w:rsidRDefault="00163957" w:rsidP="00163957">
      <w:pPr>
        <w:pStyle w:val="TextoNormal"/>
      </w:pPr>
      <w:r>
        <w:t>El Abogado del Estado sostiene que los arts. 20 y 21 LPGE 2015, que establecen las limitaciones de la masa retributiva global del sector público, tanto de forma directa en las retribuciones del personal (art. 20.2) como de forma indirecta, en la oferta de empleo público (art. 21.1), se han dictado en ejercicio de la competencia exclusiva que el art. 149.1.13 CE atribuye al Estado sobre bases y coordinación de la planificación general de la actividad económica, en relación con el principio de coordinación entre las Comunidades Autónomas y la Hacienda estatal recogido en el art. 156 CE. Y por ello considera que el inciso impugnado, al no respetar la limitación de gastos que estos preceptos contienen, ha vulnerado las competencias del Estado en esta materia y, por tanto, los arts. 149.1.13 y 156.1 CE.</w:t>
      </w:r>
    </w:p>
    <w:p w:rsidR="00163957" w:rsidRDefault="00163957" w:rsidP="00163957">
      <w:pPr>
        <w:pStyle w:val="TextoNormal"/>
      </w:pPr>
    </w:p>
    <w:p w:rsidR="00163957" w:rsidRDefault="00163957" w:rsidP="00163957">
      <w:pPr>
        <w:pStyle w:val="TextoNormal"/>
      </w:pPr>
      <w:r>
        <w:t xml:space="preserve">Se afirma que de la exposición de motivos de la Ley de presupuestos generales del Estado para 2015 se deduce que las limitaciones de gastos de personal del sector público se abordan de acuerdo con los principios de estabilidad presupuestaria y reducción del déficit. Junto a </w:t>
      </w:r>
      <w:r>
        <w:lastRenderedPageBreak/>
        <w:t>ello se alega también que la doctrina constitucional ha reconocido que el Estado, al amparo de los arts. 149.1.13 y 156.1 CE, tiene competencias para fijar límites retributivos a los funcionarios públicos y a la oferta de empleo público, por considerarlos directamente vinculados a la política económica general. Se citan las SSTC 148/2006 y 178/2006. Igualmente se invoca la STC 34/2013 que, aunque referida al sector vinícola, analiza la competencia exclusiva del Estado del art. 149.1.13 CE para alcanzar los objetivos de la economía general. Y se cita, además, el dictamen del Consejo de Estado, de 3 de junio de 2015, emitido en relación con este recurso, en el que se sostiene la competencia estatal para fijar un límite máximo a los gastos de personal en el sector público.</w:t>
      </w:r>
    </w:p>
    <w:p w:rsidR="00163957" w:rsidRDefault="00163957" w:rsidP="00163957">
      <w:pPr>
        <w:pStyle w:val="TextoNormal"/>
      </w:pPr>
    </w:p>
    <w:p w:rsidR="00163957" w:rsidRDefault="00163957" w:rsidP="00163957">
      <w:pPr>
        <w:pStyle w:val="TextoNormal"/>
      </w:pPr>
      <w:r>
        <w:t>El Abogado del Estado entiende que, de acuerdo con lo establecido en los arts. 20 y 21 LPGE 2015 —preceptos que, como se ha indicado, tienen, a su juicio, carácter básico—, la masa retributiva que la Ley de presupuestos generales del Estado para 2015 admite, es la existente a 31 de diciembre de 2014. Se señala que esta masa retributiva está integrada por las retribuciones del personal existente en la fecha citada, más las bajas producidas en el ejercicio, siendo la suma de ambas el volumen global de la masa retributiva autorizada. Se afirma también que esta masa retributiva no puede experimentar ningún incremento, al prohibirlo expresamente el art. 20.2 LPGE 2015. Se indica, además, que el art. 21 LPGE 2015, relativo a la oferta de empleo público, prohíbe con carácter general, la incorporación de nuevo personal, salvo las concretas excepciones que habilita en determinados sectores, plazas y categorías. De ahí que se sostenga que fuera de tales excepciones, las Administraciones públicas no pueden contratar otro personal.</w:t>
      </w:r>
    </w:p>
    <w:p w:rsidR="00163957" w:rsidRDefault="00163957" w:rsidP="00163957">
      <w:pPr>
        <w:pStyle w:val="TextoNormal"/>
      </w:pPr>
    </w:p>
    <w:p w:rsidR="00163957" w:rsidRDefault="00163957" w:rsidP="00163957">
      <w:pPr>
        <w:pStyle w:val="TextoNormal"/>
      </w:pPr>
      <w:r>
        <w:t>Según sostiene el Abogado del Estado, el inciso controvertido del art. 34 de la Ley catalana excede de los límites establecidos en los arts. 20 y 21 LPGE 2015. A su juicio, la ampliación de plantilla en los términos previstos en este inciso (puesta en funcionamiento de nuevos servicios) no está incluida en las excepciones del art. 21. Asimismo, considera que las retribuciones de los nuevos puestos o plazas que se deriven de los “nuevos servicios”, implican un incremento global de los gastos de personal más allá del computable válidamente como masa retributiva según el art. 20.2.</w:t>
      </w:r>
    </w:p>
    <w:p w:rsidR="00163957" w:rsidRDefault="00163957" w:rsidP="00163957">
      <w:pPr>
        <w:pStyle w:val="TextoNormal"/>
      </w:pPr>
    </w:p>
    <w:p w:rsidR="00163957" w:rsidRDefault="00163957" w:rsidP="00163957">
      <w:pPr>
        <w:pStyle w:val="TextoNormal"/>
      </w:pPr>
      <w:r>
        <w:t>Por todo ello sostiene que el inciso recurrido del art. 34 de la Ley 2/2015, de presupuestos de la Generalitat de Cataluña para 2015, incurre en extralimitación competencial y contraviene los límites que impone la legislación estatal básica, por lo que solicita que se declare inconstitucional y nulo.</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Mediante providencia de 25 de junio de 2015, el Pleno, a propuesta de la Sección Primera, acordó admitir a trámite el recurso de inconstitucionalidad del Presidente del Gobierno contra el inciso último “previa autorización del Gobierno, de la puesta en funcionamiento de nuevos servicios públicos” del art. 34 de la Ley 2/2015, de 11 de marzo, de presupuestos de la Generalitat de Cataluña para el 2015; dar traslado de la demanda y documentos presentados, conforme establece el art. 34 de la Ley Orgánica del Tribunal Constitucional (LOTC), al Congreso de los Diputados, al Senado y al Gobierno y al Parlamento de Cataluña, por conducto de sus Presidentes, al objeto de que, en el plazo de quince días, pudieran personarse en el proceso y formular las alegaciones que estimaren convenientes. Se acordó asimismo tener por invocado por el Presidente del Gobierno el art. 161.2 CE, lo que, a su tenor y conforme al art. 30 LOTC, produce la suspensión de la vigencia y aplicación del inciso del precepto impugnado desde la fecha de interposición del recurso (15 de </w:t>
      </w:r>
      <w:r>
        <w:lastRenderedPageBreak/>
        <w:t>junio de 2015) para las partes del proceso y desde el día en que aparezca publicada la suspensión en el “Boletín Oficial del Estado” para los terceros, ordenándose la comunicación de la suspensión a los Presidentes del Gobierno y del Parlamento de Cataluña, así como publicar la incoación del recurso en el “Boletín Oficial del Estado” y en el “Diari Oficial de la Generalitat de Catalunya”.</w:t>
      </w:r>
    </w:p>
    <w:p w:rsidR="00163957" w:rsidRDefault="00163957" w:rsidP="00163957">
      <w:pPr>
        <w:pStyle w:val="TextoNormal"/>
      </w:pPr>
    </w:p>
    <w:p w:rsidR="00163957" w:rsidRDefault="00163957" w:rsidP="00163957">
      <w:pPr>
        <w:pStyle w:val="TextoNormal"/>
      </w:pPr>
      <w:r w:rsidRPr="00163957">
        <w:rPr>
          <w:rStyle w:val="NumeroAFNegritaCaracter"/>
        </w:rPr>
        <w:t>3</w:t>
      </w:r>
      <w:r>
        <w:t>. Mediante escrito registrado en este Tribunal el 9 de julio de 2015, el Presidente del Congreso de los Diputados comunicó el acuerdo de la Mesa de la Cámara de personarse en el procedimiento y ofrecer su colaboración a los efectos del art. 88.1 LOTC. Lo mismo hizo el Presidente del Senado, por escrito registrado en la misma fecha.</w:t>
      </w:r>
    </w:p>
    <w:p w:rsidR="00163957" w:rsidRDefault="00163957" w:rsidP="00163957">
      <w:pPr>
        <w:pStyle w:val="TextoNormal"/>
      </w:pPr>
    </w:p>
    <w:p w:rsidR="00163957" w:rsidRDefault="00163957" w:rsidP="00163957">
      <w:pPr>
        <w:pStyle w:val="TextoNormal"/>
      </w:pPr>
      <w:r w:rsidRPr="00163957">
        <w:rPr>
          <w:rStyle w:val="NumeroAFNegritaCaracter"/>
        </w:rPr>
        <w:t>4</w:t>
      </w:r>
      <w:r>
        <w:t>. Con fecha de 23 de julio de 2015, compareció en el proceso la Abogada de la Generalitat de Cataluña en la representación que legalmente ostenta, solicitando la desestimación del recurso.</w:t>
      </w:r>
    </w:p>
    <w:p w:rsidR="00163957" w:rsidRDefault="00163957" w:rsidP="00163957">
      <w:pPr>
        <w:pStyle w:val="TextoNormal"/>
      </w:pPr>
    </w:p>
    <w:p w:rsidR="00163957" w:rsidRDefault="00163957" w:rsidP="00163957">
      <w:pPr>
        <w:pStyle w:val="TextoNormal"/>
      </w:pPr>
      <w:r>
        <w:t>La Generalitat no discute la naturaleza básica de los arts. 20.2 y 21.1 LPGE 2015, pues admite que es reiterada la doctrina constitucional (cita la STC 148/2006, FJ 4) que avala las facultades del Estado para limitar los aumentos retributivos previstos en las leyes presupuestarias autonómicas al amparo de los arts. 149.1.13 y 156 CE. Por ello considera que el debate procesal no debe centrarse en los títulos competenciales en juego, sino en la existencia o no de una contradicción entre el último inciso del art. 34 de la Ley de presupuestos generales de Cataluña y los arts. 20.2 y 21.1 LPGE 2015, que operan como canon inmediato de enjuiciamiento. Según se afirma, para proceder a este análisis no se ha de considerar aisladamente el art. 34 de la Ley de presupuestos generales de Cataluña, sino en el contexto más amplio de dicha Ley, ya que es ese contexto el que, según aduce, acredita que no existe la contradicción alegada.</w:t>
      </w:r>
    </w:p>
    <w:p w:rsidR="00163957" w:rsidRDefault="00163957" w:rsidP="00163957">
      <w:pPr>
        <w:pStyle w:val="TextoNormal"/>
      </w:pPr>
    </w:p>
    <w:p w:rsidR="00163957" w:rsidRDefault="00163957" w:rsidP="00163957">
      <w:pPr>
        <w:pStyle w:val="TextoNormal"/>
      </w:pPr>
      <w:r>
        <w:t xml:space="preserve">La Abogada de la Generalitat sostiene que el inciso del art. 34 de la Ley de presupuestos generales de Cataluña recurrido no vulnera las limitaciones a las retribuciones que prevé el art. 20.2 LPGE 2015. Según se aduce, la excepción que establece esta norma no vulnera la prohibición de incrementar las retribuciones o la masa retributiva contenida en la normativa básica estatal, ya que el art. 16.1 de la Ley de presupuestos generales de Cataluña impide al Gobierno tomar ninguna iniciativa que conlleve crecimiento del gasto público presupuestado si no propone, simultáneamente, los recursos adicionales necesarios o las reducciones proporcionales de gasto con la correspondiente especificación presupuestaria. La Abogada de la Generalitat entiende que el art. 20.2 LPGE 2015 no impide efectuar incrementos de plantilla si se compensa globalmente, en el ámbito de toda la Comunidad Autónoma, con la correspondiente reducción en el mismo período anual. Por ello considera que como el art. 34 de la Ley de presupuestos generales de Cataluña, interpretado en relación con el art. 16.1 de la misma tiene este sentido, ya que este precepto establece la obligación que toda iniciativa legislativa o administrativa que conlleve crecimiento de gasto público deba ir acompañada, simultáneamente, de los recursos necesarios o la reducciones proporcionales de gasto, debe ser interpretado de este modo. A su juicio, esta es la interpretación más acorde con la potestad de auto-organización que le reconoce el art. 150 del Estatuto de Autonomía de Cataluña (EAC) y con la doctrina constitucional que establece que el Estado debe ejercer las competencias exclusivas que el art. 149.1.13 CE, de modo que deje a las Comunidades Autónomas margen suficiente para ejercer sus competencias (STC 171/1996, FJ 3), el inciso impugnado ha de ser interpretado en el sentido propuesto. En apoyo de esta interpretación </w:t>
      </w:r>
      <w:r>
        <w:lastRenderedPageBreak/>
        <w:t>alega que el art. 16 de la Ley de presupuestos generales de Cataluña establece que son nulos de pleno derecho, las resoluciones y acuerdos que se adopten en incumplimiento del mismo.</w:t>
      </w:r>
    </w:p>
    <w:p w:rsidR="00163957" w:rsidRDefault="00163957" w:rsidP="00163957">
      <w:pPr>
        <w:pStyle w:val="TextoNormal"/>
      </w:pPr>
    </w:p>
    <w:p w:rsidR="00163957" w:rsidRDefault="00163957" w:rsidP="00163957">
      <w:pPr>
        <w:pStyle w:val="TextoNormal"/>
      </w:pPr>
      <w:r>
        <w:t>Junto a ello se sostiene que la interpretación del art. 20.2 LPGE 2015 que hace el Abogado del Estado en su recurso impide incrementar plantillas en cualquier caso, y por ello considera que la interpretación que efectúa vulnera el art. 150 EAC y los arts. 149.1.13 y 156 CE. Se afirma además que la referida interpretación paralizaría la apertura de nuevas instalaciones imprescindibles como hospitales o líneas de ferrocarril y que es contraria al principio de utilización racional del funcionariado existente recogido, por todas, en la STC 8/2010, FJ 4.</w:t>
      </w:r>
    </w:p>
    <w:p w:rsidR="00163957" w:rsidRDefault="00163957" w:rsidP="00163957">
      <w:pPr>
        <w:pStyle w:val="TextoNormal"/>
      </w:pPr>
    </w:p>
    <w:p w:rsidR="00163957" w:rsidRDefault="00163957" w:rsidP="00163957">
      <w:pPr>
        <w:pStyle w:val="TextoNormal"/>
      </w:pPr>
      <w:r>
        <w:t>Por todo ello, la Letrada de la Generalitat llega a la conclusión de que el incremento de plantilla que resulta del último inciso del art. 34 de la Ley de presupuestos generales de Cataluña, se predica de órganos y unidades concretos pero está sujeto a la limitación general de imposibilidad de incrementar la masa salarial del personal de la Generalitat de Cataluña y su sector público, que es la verdadera limitación fijada en la normativa básica.</w:t>
      </w:r>
    </w:p>
    <w:p w:rsidR="00163957" w:rsidRDefault="00163957" w:rsidP="00163957">
      <w:pPr>
        <w:pStyle w:val="TextoNormal"/>
      </w:pPr>
    </w:p>
    <w:p w:rsidR="00163957" w:rsidRDefault="00163957" w:rsidP="00163957">
      <w:pPr>
        <w:pStyle w:val="TextoNormal"/>
      </w:pPr>
      <w:r>
        <w:t>La Generalitat tampoco considera que el último inciso del art. 34 de la Ley de presupuestos generales de Cataluña sea contrario a las limitaciones a la ampliación de la oferta de empleo público que dispone el art. 21.1 LPGE 2015. Entiende esta parte procesal que aunque el art. 21.1 LPGE 2015, con las excepciones que recoge, congela la oferta de empleo público, una interpretación integrada de los arts. 20, 21 y disposiciones adicionales décima quinta a décima séptima LPGE y de los arts. 16, 33 y 34 de la Ley de presupuestos generales de Cataluña, demuestra que no hay disparidad entre ellos. Según se aduce, aunque el funcionamiento de nuevos servicios implica la cobertura de nuevos puestos de trabajo, ello no supone que deban ser necesariamente cubiertos mediante la contratación de personal permanente (funcionarios de carrera o laborales fijos) ni que no se respete la tasa de reposición de efectivos de los sectores enumerados en el art. 21.2.2 LPGE. En cuanto a las entidades públicas del art. 23 e), f), h) e i) de la Ley de presupuestos generales de Cataluña, se afirma que el aumento de plantilla, se debe llevar a cabo con las limitaciones establecidas en las disposiciones adicionales décima quinta a décima séptima LPGE.</w:t>
      </w:r>
    </w:p>
    <w:p w:rsidR="00163957" w:rsidRDefault="00163957" w:rsidP="00163957">
      <w:pPr>
        <w:pStyle w:val="TextoNormal"/>
      </w:pPr>
    </w:p>
    <w:p w:rsidR="00163957" w:rsidRDefault="00163957" w:rsidP="00163957">
      <w:pPr>
        <w:pStyle w:val="TextoNormal"/>
      </w:pPr>
      <w:r>
        <w:t>Se sostiene, por otra parte, que la ley básica estatal no impide cubrir las nuevas plazas mediante expedientes de redistribución de efectivos existentes, o por los mecanismos de movilidad previstos en la normativa vigente o, excepcionalmente, mediante el nombramiento de personal interino y contratación temporal, en casos de necesidades urgentes autorizadas por el Gobierno, igual que sucede en la Administración del Estado. De ahí que, según alega la Abogada de la Generalitat, no existen motivos para entender vulnerados los preceptos básicos relativos a la tasa de reposición de efectivos, ya que en este supuesto, a diferencia del resuelto por la STC 178/2006, no se pretende convocar una nueva oferta de empleo público más allá de la tasa de reposición autorizada en la normativa básica estatal.</w:t>
      </w:r>
    </w:p>
    <w:p w:rsidR="00163957" w:rsidRDefault="00163957" w:rsidP="00163957">
      <w:pPr>
        <w:pStyle w:val="TextoNormal"/>
      </w:pPr>
    </w:p>
    <w:p w:rsidR="00163957" w:rsidRDefault="00163957" w:rsidP="00163957">
      <w:pPr>
        <w:pStyle w:val="TextoNormal"/>
      </w:pPr>
      <w:r>
        <w:t>Las anteriores consideraciones llevan a la Abogada de la Generalitat a concluir que no existe contradicción entre las normas básicas estatales y el inciso del art. 34 de la Ley de presupuestos generales de Cataluña impugnado.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5</w:t>
      </w:r>
      <w:r>
        <w:t>. El 24 de julio de 2015 tuvo entrada en el Registro General de este Tribunal, escrito del Letrado del Parlamento de Cataluña por el que se persona en el recurso en la representación que ostenta y solicita su desestimación.</w:t>
      </w:r>
    </w:p>
    <w:p w:rsidR="00163957" w:rsidRDefault="00163957" w:rsidP="00163957">
      <w:pPr>
        <w:pStyle w:val="TextoNormal"/>
      </w:pPr>
    </w:p>
    <w:p w:rsidR="00163957" w:rsidRDefault="00163957" w:rsidP="00163957">
      <w:pPr>
        <w:pStyle w:val="TextoNormal"/>
      </w:pPr>
      <w:r>
        <w:t>El Letrado del Parlamento indica, en primer lugar, que, a efectos de mantener la coherencia lingüística y lógica, el recurso debe entenderse dirigido contra el último inciso del art. 34 de la Ley de presupuestos generales de Cataluña, incluyendo la conjunción disyuntiva previa: “o, previa autorización del Gobierno, de la puesta en funcionamiento de nuevos servicios públicos”.</w:t>
      </w:r>
    </w:p>
    <w:p w:rsidR="00163957" w:rsidRDefault="00163957" w:rsidP="00163957">
      <w:pPr>
        <w:pStyle w:val="TextoNormal"/>
      </w:pPr>
    </w:p>
    <w:p w:rsidR="00163957" w:rsidRDefault="00163957" w:rsidP="00163957">
      <w:pPr>
        <w:pStyle w:val="TextoNormal"/>
      </w:pPr>
      <w:r>
        <w:t>Alega la representación procesal del Parlamento que el inciso recurrido tiene precedentes como el art. 34.3 de la Ley 1/2014, de presupuestos de la Generalitat de Cataluña para ese año, que preveía la contratación de personal temporal en entidades y empresas del sector público en casos excepcionales, para cubrir necesidades urgentes e inaplazables y que, en relación con este artículo, el acuerdo de la Comisión bilateral Generalitat-Estado, publicado por resolución de 19 de septiembre de 2014, estableció que, las excepciones a la prohibición general de contratación del mismo, se sujetarían a la Ley estatal de presupuestos para 2014, con lo que se consideraba posible una aplicación de dicho precepto respetuosa con la normativa básica estatal.</w:t>
      </w:r>
    </w:p>
    <w:p w:rsidR="00163957" w:rsidRDefault="00163957" w:rsidP="00163957">
      <w:pPr>
        <w:pStyle w:val="TextoNormal"/>
      </w:pPr>
    </w:p>
    <w:p w:rsidR="00163957" w:rsidRDefault="00163957" w:rsidP="00163957">
      <w:pPr>
        <w:pStyle w:val="TextoNormal"/>
      </w:pPr>
      <w:r>
        <w:t>Alega, además, que, según ha declarado la jurisprudencia constitucional, la falta de mención expresa a las competencias estatales en la materia, que se produce tanto en la Ley 1/2014, como en la Ley 2/2015, no es vicio de inconstitucionalidad, y, que, de acuerdo con esta jurisprudencia, la presunción de constitucionalidad de la norma exige que si cabe una interpretación de la misma que sea conforme con la Constitución, se opte por ella.</w:t>
      </w:r>
    </w:p>
    <w:p w:rsidR="00163957" w:rsidRDefault="00163957" w:rsidP="00163957">
      <w:pPr>
        <w:pStyle w:val="TextoNormal"/>
      </w:pPr>
    </w:p>
    <w:p w:rsidR="00163957" w:rsidRDefault="00163957" w:rsidP="00163957">
      <w:pPr>
        <w:pStyle w:val="TextoNormal"/>
      </w:pPr>
      <w:r>
        <w:t>En su opinión, el último inciso del art. 34 de la Ley de presupuestos generales de Cataluña puede interpretarse de forma acorde con la Constitución. Así, tras resumir el contenido de los artículos 20 y 21 LPGE 2015, razona el Letrado del Parlamento que la idea de límite o tope máximo global se refiere al concepto “masa retributiva” y no a las retribuciones de unidades o departamentos concretos. Alega en apoyo de la interpretación que sustenta el dictamen del Consejo de Estado emitido en relación con la presentación de este recurso.</w:t>
      </w:r>
    </w:p>
    <w:p w:rsidR="00163957" w:rsidRDefault="00163957" w:rsidP="00163957">
      <w:pPr>
        <w:pStyle w:val="TextoNormal"/>
      </w:pPr>
    </w:p>
    <w:p w:rsidR="00163957" w:rsidRDefault="00163957" w:rsidP="00163957">
      <w:pPr>
        <w:pStyle w:val="TextoNormal"/>
      </w:pPr>
      <w:r>
        <w:t>Señala, asimismo, que la masa salarial del sector público, a efectos de la ley de presupuestos del Estado, es equivalente al total de retribuciones de dicho personal, cuyo importe no puede superar los porcentajes establecidos en dicha Ley o, depende de los años, ha de mantenerse con un importe idéntico al anterior. Junto a ello alega que respecto a los criterios de cálculo de la masa salarial, el Gobierno de la nación aprobó referido, al ámbito de su sector público, la Orden HAP/1057/2013, de 10 de junio, determinados criterios para el cálculo de la masa salarial y entre éstos, sólo incluye el personal laboral con contrato indefinido, por lo que no es de aplicación en el presente supuesto, teniendo en cuenta además que el cómputo de la Generalitat, se basa en la totalidad de la plantilla presupuestada, sea personal indefinido o temporal, o interino por cobertura de vacante.</w:t>
      </w:r>
    </w:p>
    <w:p w:rsidR="00163957" w:rsidRDefault="00163957" w:rsidP="00163957">
      <w:pPr>
        <w:pStyle w:val="TextoNormal"/>
      </w:pPr>
    </w:p>
    <w:p w:rsidR="00163957" w:rsidRDefault="00163957" w:rsidP="00163957">
      <w:pPr>
        <w:pStyle w:val="TextoNormal"/>
      </w:pPr>
      <w:r>
        <w:t xml:space="preserve">Según sostiene el Letrado del Parlamento, el tenor literal del art. 34 de la Ley de presupuestos generales de Cataluña impide la tramitación de expedientes que comporten un incremento global de los gastos de personal por lo que prohíbe que los órganos, unidades o entidades del sector público incrementen las plazas dotadas en los presupuestos, salvo que </w:t>
      </w:r>
      <w:r>
        <w:lastRenderedPageBreak/>
        <w:t>este incremento de plantilla sea compensado internamente (mediante la supresión o reducción de otros órganos o la amortización de puestos). De esta forma, no se afecta al límite de masa global retributiva del personal del sector público.</w:t>
      </w:r>
    </w:p>
    <w:p w:rsidR="00163957" w:rsidRDefault="00163957" w:rsidP="00163957">
      <w:pPr>
        <w:pStyle w:val="TextoNormal"/>
      </w:pPr>
    </w:p>
    <w:p w:rsidR="00163957" w:rsidRDefault="00163957" w:rsidP="00163957">
      <w:pPr>
        <w:pStyle w:val="TextoNormal"/>
      </w:pPr>
      <w:r>
        <w:t>Por todo ello, el Letrado del Parlamento de Cataluña considera que la parte actora realiza una interpretación errónea y sesgada de los arts. 20 y 21 LPGE 2015, pues suple las incoherencias de dichos artículos, como el hecho de que lo que no puede incrementarse es la “masa salarial del personal laboral”, o que los cálculos del Estado sobre la masa salarial se refieren al personal laboral con contrato indefinido y, además, obvia que dichos artículos contienen múltiples excepciones y que se refieren al incremento de retribuciones vigentes a 31 de diciembre de 2014 y no al conjunto del gasto de personal.</w:t>
      </w:r>
    </w:p>
    <w:p w:rsidR="00163957" w:rsidRDefault="00163957" w:rsidP="00163957">
      <w:pPr>
        <w:pStyle w:val="TextoNormal"/>
      </w:pPr>
    </w:p>
    <w:p w:rsidR="00163957" w:rsidRDefault="00163957" w:rsidP="00163957">
      <w:pPr>
        <w:pStyle w:val="TextoNormal"/>
      </w:pPr>
      <w:r>
        <w:t>A juicio del Letrado del Parlamento, el inciso recurrido se puede interpretar de forma que no altere per se la masa salarial global de la Generalitat. Para ello, habría que acudir al art. 16.1 de la Ley de presupuestos generales de Cataluña que impide al Gobierno iniciativas que conlleven crecimiento del gasto público presupuestado sin proponer simultáneamente los recursos adicionales necesarios, o reducciones proporcionales de gasto. Esta es la interpretación del precepto con mayor sentido en su contexto normativo.</w:t>
      </w:r>
    </w:p>
    <w:p w:rsidR="00163957" w:rsidRDefault="00163957" w:rsidP="00163957">
      <w:pPr>
        <w:pStyle w:val="TextoNormal"/>
      </w:pPr>
    </w:p>
    <w:p w:rsidR="00163957" w:rsidRDefault="00163957" w:rsidP="00163957">
      <w:pPr>
        <w:pStyle w:val="TextoNormal"/>
      </w:pPr>
      <w:r>
        <w:t>Alega, además, que los nuevos puestos de trabajo para el funcionamiento de los nuevos servicios, no tienen que cubrirse necesariamente mediante la contratación de nuevo personal permanente (funcionarios o laborales fijos), ya que pueden cubrirse mediante redistribución de efectivos, o con personal interino o laboral temporal, si la cobertura es urgente e inaplazable, por lo que no puede afirmarse que se incumplen las reglas básicas sobre la tasa de reposición de efectivos.</w:t>
      </w:r>
    </w:p>
    <w:p w:rsidR="00163957" w:rsidRDefault="00163957" w:rsidP="00163957">
      <w:pPr>
        <w:pStyle w:val="TextoNormal"/>
      </w:pPr>
    </w:p>
    <w:p w:rsidR="00163957" w:rsidRDefault="00163957" w:rsidP="00163957">
      <w:pPr>
        <w:pStyle w:val="TextoNormal"/>
      </w:pPr>
      <w:r>
        <w:t>De todo ello concluye que como la interpretación sostenida es razonable y se conforma siguiendo un espíritu integrador y sistemático (criterio, que según se aduce, ha sido seguido por la jurisprudencia constitucional, en concreto se cita la STC 101/2008, FJ 10) se considera que el art. 34 de la Ley de presupuestos generales de Cataluña para el 2015 es conforme con la Constitución.</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providencia de 10 de septiembre de 2015, el Pleno del Tribunal, acordó dar traslado a las partes por cinco días para alegaciones sobre el mantenimiento o levantamiento de la suspensión del precepto impugnado, acordada inicialmente al amparo del art. 161.2 CE.</w:t>
      </w:r>
    </w:p>
    <w:p w:rsidR="00163957" w:rsidRDefault="00163957" w:rsidP="00163957">
      <w:pPr>
        <w:pStyle w:val="TextoNormal"/>
      </w:pPr>
    </w:p>
    <w:p w:rsidR="00163957" w:rsidRDefault="00163957" w:rsidP="00163957">
      <w:pPr>
        <w:pStyle w:val="TextoNormal"/>
      </w:pPr>
      <w:r w:rsidRPr="00163957">
        <w:rPr>
          <w:rStyle w:val="NumeroAFNegritaCaracter"/>
        </w:rPr>
        <w:t>7</w:t>
      </w:r>
      <w:r>
        <w:t>. Evacuado por las partes el traslado conferido, mediante Auto de 3 de noviembre de 2015, el Pleno del Tribunal acordó mantener la suspensión del inciso último (“previa autorización del Gobierno, de la puesta en funcionamiento de nuevos servicios públicos”) del art. 34 de la Ley 2/2015, de 11 de marzo, de presupuestos de la Generalitat de Cataluña para el 2015.</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26 de abril de 2016 se señaló para deliberación y votación de la presente Sentencia el día 28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inconstitucionalidad tiene por objeto dilucidar, si es conforme con el orden constitucional de competencias, el último inciso del art. 34 de la Ley 2/2015, de 11 de marzo, de presupuestos de la Generalitat de Cataluña. El precepto en el que se contiene el inciso impugnado dispone:</w:t>
      </w:r>
    </w:p>
    <w:p w:rsidR="00163957" w:rsidRDefault="00163957" w:rsidP="00163957">
      <w:pPr>
        <w:pStyle w:val="TextoNormal"/>
      </w:pPr>
    </w:p>
    <w:p w:rsidR="00163957" w:rsidRDefault="00163957" w:rsidP="00163957">
      <w:pPr>
        <w:pStyle w:val="TextoNormal"/>
      </w:pPr>
      <w:r>
        <w:t>“Artículo 34. Limitación del aumento de gastos de personal.</w:t>
      </w:r>
    </w:p>
    <w:p w:rsidR="00163957" w:rsidRDefault="00163957" w:rsidP="00163957">
      <w:pPr>
        <w:pStyle w:val="TextoNormal"/>
      </w:pPr>
    </w:p>
    <w:p w:rsidR="00163957" w:rsidRDefault="00163957" w:rsidP="00163957">
      <w:pPr>
        <w:pStyle w:val="TextoNormal"/>
      </w:pPr>
      <w:r>
        <w:t>En el ejercicio 2015 no pueden tramitarse expedientes de ampliación de plantilla ni disposiciones o expedientes de creación o de reestructuración de unidades orgánicas que conlleven un incremento global del gasto de personal, salvo las unidades derivadas de un traspaso de servicios o, previa autorización del Gobierno, de la puesta en funcionamiento de nuevos servicios públicos.”</w:t>
      </w:r>
    </w:p>
    <w:p w:rsidR="00163957" w:rsidRDefault="00163957" w:rsidP="00163957">
      <w:pPr>
        <w:pStyle w:val="TextoNormal"/>
      </w:pPr>
    </w:p>
    <w:p w:rsidR="00163957" w:rsidRDefault="00163957" w:rsidP="00163957">
      <w:pPr>
        <w:pStyle w:val="TextoNormal"/>
      </w:pPr>
      <w:r>
        <w:t>Según se afirma en el escrito de interposición de este recurso, el inciso impugnado es “previa autorización del Gobierno, de la puesta en funcionamiento de nuevos servicios públicos”. Debe señalarse, no obstante, que, como sostiene el Letrado del Parlamento catalán, la coherencia lingüística y lógica del precepto determina que haya de considerarse incluida la conjunción disyuntiva previa “o” y, por tanto, entender que el inciso impugnado es “o, previa autorización del Gobierno, de la puesta en funcionamiento de nuevos servicios públicos”.</w:t>
      </w:r>
    </w:p>
    <w:p w:rsidR="00163957" w:rsidRDefault="00163957" w:rsidP="00163957">
      <w:pPr>
        <w:pStyle w:val="TextoNormal"/>
      </w:pPr>
    </w:p>
    <w:p w:rsidR="00163957" w:rsidRDefault="00163957" w:rsidP="00163957">
      <w:pPr>
        <w:pStyle w:val="TextoNormal"/>
      </w:pPr>
      <w:r>
        <w:t>Como se ha expuesto en los antecedentes, el Abogado del Estado sostiene que el inciso impugnado incurre en inconstitucionalidad mediata al exceptuar la regla general de limitación de los gastos de personal del sector público establecida, con carácter básico, en los arts. 20 y 21 de la Ley de presupuestos generales del Estado para 2015. Por ello, entiende que el precepto impugnado vulnera el art. 149.1.13 CE, que atribuye al Estado la competencia exclusiva sobres bases y coordinación general de la actividad económica, en relación con el art. 156.1 CE, a cuyo amparo han sido dictados los preceptos citados de la Ley de presupuestos estatal.</w:t>
      </w:r>
    </w:p>
    <w:p w:rsidR="00163957" w:rsidRDefault="00163957" w:rsidP="00163957">
      <w:pPr>
        <w:pStyle w:val="TextoNormal"/>
      </w:pPr>
    </w:p>
    <w:p w:rsidR="00163957" w:rsidRDefault="00163957" w:rsidP="00163957">
      <w:pPr>
        <w:pStyle w:val="TextoNormal"/>
      </w:pPr>
      <w:r>
        <w:t>Los Letrados de la Generalitat de Cataluña y del Parlamento de Cataluña admiten que los arts. 20 y 21 de la Ley de presupuestos generales del Estado para 2015 son básicos y que el Estado tiene competencia para dictarlos. Sin embargo, consideran que cabe una interpretación del inciso cuestionado conforme con tales preceptos, por lo que, a su juicio, no se habría producido vulneración competencial alguna. Por ello solicitan la desestimación del presente recurso.</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Ha de constatarse, en primer lugar, que la Generalitat de Cataluña admite la naturaleza básica de los arts. 20.2 y 21.1 de la de la Ley de presupuestos generales del Estado para 2015, y, por tanto, no discute que el Estado, en virtud del art. 149.1.13 CE y 156.1 CE, pueda establecer límites al incremento de la masa retributiva de los empleados públicos. Tampoco el Parlamento de Cataluña niega al Estado esta competencia. La oposición al recurso interpuesto por el Presidente del Gobierno se fundamenta, en ambos casos, en que, según se aduce, la norma recurrida no lesiona los referidos preceptos básicos, pues, tanto la Generalitat como el Parlamento de Cataluña sostienen que el sentido de la norma no es el </w:t>
      </w:r>
      <w:r>
        <w:lastRenderedPageBreak/>
        <w:t>que le atribuye el Abogado del Estado. A su juicio, el inciso recurrido admite una interpretación conforme a la Constitución y por ello entienden que si la norma se interpreta en el sentido que proponen no incurre en la inconstitucionalidad que le imputa el Gobierno de la Nación.</w:t>
      </w:r>
    </w:p>
    <w:p w:rsidR="00163957" w:rsidRDefault="00163957" w:rsidP="00163957">
      <w:pPr>
        <w:pStyle w:val="TextoNormal"/>
      </w:pPr>
    </w:p>
    <w:p w:rsidR="00163957" w:rsidRDefault="00163957" w:rsidP="00163957">
      <w:pPr>
        <w:pStyle w:val="TextoNormal"/>
      </w:pPr>
      <w:r>
        <w:t>En este proceso, por tanto, no se discute la titularidad de la competencia para establecer las referidas limitaciones de gastos en materia de personal al servicio del sector público —que todas las partes aceptan que es del Estado—, sino si la norma impugnada la menoscaba al regular una materia que excede de las competencias de la Generalitat en esta materia. Como ha señalado el Tribunal “el conflicto positivo de competencia es un proceso configurado no solo al servicio de la reivindicación competencial y, consiguientemente, de la declaración de la titularidad de la competencia ejercitada y manifestada en el acto o disposición objeto de la controversia, sino que también posibilita la defensa de las competencias propias frente a aquellos actos y disposiciones de otros entes que menoscaban o interfieren el legítimo ejercicio de dichas competencias, entendiendo por tal tanto lo que atañe a la titularidad de las mismas como lo que afecta o incide en su legítimo y pacífico ejercicio” (SSTC 44/2007, de 1 de marzo, FJ 3, y 6/2012, de 18 de enero, FJ 3, entre otras muchas). En el presente caso nos encontramos en este último supuesto.</w:t>
      </w:r>
    </w:p>
    <w:p w:rsidR="00163957" w:rsidRDefault="00163957" w:rsidP="00163957">
      <w:pPr>
        <w:pStyle w:val="TextoNormal"/>
      </w:pPr>
    </w:p>
    <w:p w:rsidR="00163957" w:rsidRDefault="00163957" w:rsidP="00163957">
      <w:pPr>
        <w:pStyle w:val="TextoNormal"/>
      </w:pPr>
      <w:r>
        <w:t>En todo caso conviene señalar que es doctrina reiterada del Tribunal Constitucional que el Estado, con fundamento en el principio de coordinación reconocido en el art. 156.1 CE y en virtud de las competencias sobre las bases y coordinación de la planificación general de la actividad económica que le atribuye el art. 149.1.13 CE, puede establecer medidas de contención de gasto público que conlleven una limitación de la autonomía financiera de las Comunidades Autónomas (SSTC 96/1990, de 24 de mayo, FJ 3; y 139/2005, de 26 de mayo, FJ 7, entre otras muchas) e incidir, por tanto, en su “capacidad para definir sus gastos en los correspondientes presupuestos” (STC 219/2013, de 19 de diciembre, FJ 7). Así el Tribunal Constitucional ha apreciado “la directa relación existente entre la fijación de las retribuciones del personal al servicio de las Administraciones públicas y la fijación de la política económica general por parte del Estado, de manera que este Tribunal ha entendido que las medidas de limitación de las retribuciones adoptadas por el Estado deben analizarse desde la perspectiva de los arts. 149.1.13 y 156.1 CE” (SSTC 215/2015, de 22 de octubre, FJ 6, y 18/2016, de 4 de febrero FJ 6, que, a su vez citan la STC 94/2015 FJ 3, de 24 de mayo, entre otras muchas). Y por ello ha sostenido también que aunque este tipo de medidas inciden en la autonomía presupuestaria de las Comunidades Autónomas, su legitimidad constitucional debe ser admitida, pues la autonomía financiera que la Constitución reconoce a las Comunidades Autónomas ha de ejercerse “con arreglo a los principios de coordinación con la Hacienda estatal” como establece el art. 156.1 CE y de las competencias que atribuye al Estado el art. 149.1.13 CE y debe acomodarse a “las medidas oportunas que adopte el Estado tendentes a conseguir la estabilidad económica interna y externa, toda vez que a él corresponde la responsabilidad de garantizar el equilibrio económico general” (SSTC 171/1996, de 30 de octubre, FJ 2; 24/2002, de 31 de enero, FJ 5; 13/2007, de 18 de enero, FJ 7; 219/2013, de 19 de diciembre, FJ 4; 143/2015, de 22 de junio, FJ 3, y 26/2016, de 18 de febrero, FJ 7).</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Al fundamentarse la impugnación de la norma recurrida en su inconstitucionalidad mediata lo primero que hay que analizar es “si la norma estatal infringida por la ley autonómica [es], en el doble sentido material y formal, una norma básica y, por tanto, dictada </w:t>
      </w:r>
      <w:r>
        <w:lastRenderedPageBreak/>
        <w:t>legítimamente al amparo del correspondiente título competencial que la Constitución haya reservado al Estado. Y, en segundo lugar, [si] la contradicción entre ambas normas, estatal y autonómica, [es] efectiva e insalvable por vía interpretativa” (SSTC 219/2013, de 19 de diciembre, FJ 4, y 210/2014, de 18 de diciembre, FJ 4 citada en STC 200/2015, de 24 de septiembre, FJ 4).</w:t>
      </w:r>
    </w:p>
    <w:p w:rsidR="00163957" w:rsidRDefault="00163957" w:rsidP="00163957">
      <w:pPr>
        <w:pStyle w:val="TextoNormal"/>
      </w:pPr>
    </w:p>
    <w:p w:rsidR="00163957" w:rsidRDefault="00163957" w:rsidP="00163957">
      <w:pPr>
        <w:pStyle w:val="TextoNormal"/>
      </w:pPr>
      <w:r>
        <w:t>El art. 20.2 de la Ley de presupuestos generales del Estado para 2015 dispone:</w:t>
      </w:r>
    </w:p>
    <w:p w:rsidR="00163957" w:rsidRDefault="00163957" w:rsidP="00163957">
      <w:pPr>
        <w:pStyle w:val="TextoNormal"/>
      </w:pPr>
    </w:p>
    <w:p w:rsidR="00163957" w:rsidRDefault="00163957" w:rsidP="00163957">
      <w:pPr>
        <w:pStyle w:val="TextoNormal"/>
      </w:pPr>
      <w:r>
        <w:t>“Dos. En el año 2015, las retribuciones del personal al servicio del sector público no podrán experimentar ningún incremento respecto a las vigentes a 31 de diciembre de 2014, en términos de homogeneidad para los dos períodos de la comparación, tanto por lo que respecta a efectivos de personal como a la antigüedad del mismo.”</w:t>
      </w:r>
    </w:p>
    <w:p w:rsidR="00163957" w:rsidRDefault="00163957" w:rsidP="00163957">
      <w:pPr>
        <w:pStyle w:val="TextoNormal"/>
      </w:pPr>
    </w:p>
    <w:p w:rsidR="00163957" w:rsidRDefault="00163957" w:rsidP="00163957">
      <w:pPr>
        <w:pStyle w:val="TextoNormal"/>
      </w:pPr>
      <w:r>
        <w:t>Y el art. 21.1 de la Ley de presupuestos generales del Estado para 2015 establece:</w:t>
      </w:r>
    </w:p>
    <w:p w:rsidR="00163957" w:rsidRDefault="00163957" w:rsidP="00163957">
      <w:pPr>
        <w:pStyle w:val="TextoNormal"/>
      </w:pPr>
    </w:p>
    <w:p w:rsidR="00163957" w:rsidRDefault="00163957" w:rsidP="00163957">
      <w:pPr>
        <w:pStyle w:val="TextoNormal"/>
      </w:pPr>
      <w:r>
        <w:t>“Uno. 1. A lo largo del ejercicio 2015 no se procederá, en el Sector Público delimitado en el artículo anterior, a excepción de las sociedades mercantiles públicas, fundaciones del sector público y consorcios participados mayoritariamente por las Administraciones y Organismos que integran el Sector Público, que se regirán por lo dispuesto en las disposiciones adicionales décima quinta, décima sexta y décima séptima, respectivamente, de esta Ley y de los Órganos Constitucionales del Estado, a la incorporación de nuevo personal, salvo la que pueda derivarse de la ejecución de procesos selectivos correspondientes a Ofertas de Empleo Público de ejercicios anteriores o de plazas de militares de Tropa y Marinería profesional necesarias para alcanzar los efectivos fijados en la Disposición adicional décima cuarta.</w:t>
      </w:r>
    </w:p>
    <w:p w:rsidR="00163957" w:rsidRDefault="00163957" w:rsidP="00163957">
      <w:pPr>
        <w:pStyle w:val="TextoNormal"/>
      </w:pPr>
    </w:p>
    <w:p w:rsidR="00163957" w:rsidRDefault="00163957" w:rsidP="00163957">
      <w:pPr>
        <w:pStyle w:val="TextoNormal"/>
      </w:pPr>
      <w:r>
        <w:t>La limitación contenida en el párrafo anterior alcanza a las plazas incursas en los procesos de consolidación de empleo previstos en la Disposición transitoria cuarta del Estatuto Básico del Empleado Público.”</w:t>
      </w:r>
    </w:p>
    <w:p w:rsidR="00163957" w:rsidRDefault="00163957" w:rsidP="00163957">
      <w:pPr>
        <w:pStyle w:val="TextoNormal"/>
      </w:pPr>
    </w:p>
    <w:p w:rsidR="00163957" w:rsidRDefault="00163957" w:rsidP="00163957">
      <w:pPr>
        <w:pStyle w:val="TextoNormal"/>
      </w:pPr>
      <w:r>
        <w:t>Los arts. 20.2 y 21.1 de la Ley de presupuestos generales del Estado para 2015, son normas básicas, tanto en sentido formal como material. El apartado 11 del art. 20, y el apartado 7 del art. 21 de la Ley de presupuestos generales del Estado para 2015 establecen, respectivamente, su carácter básico, por lo que al atribuirle esta condición una norma con rango legal han de considerarse formalmente básicos.</w:t>
      </w:r>
    </w:p>
    <w:p w:rsidR="00163957" w:rsidRDefault="00163957" w:rsidP="00163957">
      <w:pPr>
        <w:pStyle w:val="TextoNormal"/>
      </w:pPr>
    </w:p>
    <w:p w:rsidR="00163957" w:rsidRDefault="00163957" w:rsidP="00163957">
      <w:pPr>
        <w:pStyle w:val="TextoNormal"/>
      </w:pPr>
      <w:r>
        <w:t xml:space="preserve">También han de considerarse básicos en sentido material pues “constituye una medida económica general de carácter presupuestario dirigida a contener la expansión relativa de uno de los componentes esenciales del gasto público”, que ha de encuadrarse en el título reservado al Estado por el art. 149.1.13 CE (STC 219/2013, de 19 de diciembre, FJ 4, entre otras muchas). Así se deduce con toda claridad del preámbulo de la de la Ley de presupuestos generales del Estado para 2015 donde en su apartado IV se alude a “la repercusión que el mandato constitucional de estabilidad presupuestaria y la actual situación de nuestra economía tienen sobre el personal al servicio del sector público se refleja en el Capítulo I, relativo a los ‘Gastos del personal al servicio del sector público’”. Y del contenido las medidas previstas en los citados arts. 20.2 y 21.1 de la Ley de presupuestos generales del Estado para 2015, pues es claro que las mismas se adoptan con finalidad de contener los gastos de personal del sector público y que se encuentran vinculadas a objetivos de política económica. </w:t>
      </w:r>
      <w:r>
        <w:lastRenderedPageBreak/>
        <w:t>Así lo ha apreciado este Tribunal en otros preceptos que establecían medidas similares (SSTC 215/2015, de 22 de octubre, FJ 7; 94/2015, de 14 de mayo, FJ 3, y 297/2006, de 11 de octubre, FJ 5).</w:t>
      </w:r>
    </w:p>
    <w:p w:rsidR="00163957" w:rsidRDefault="00163957" w:rsidP="00163957">
      <w:pPr>
        <w:pStyle w:val="TextoNormal"/>
      </w:pPr>
    </w:p>
    <w:p w:rsidR="00163957" w:rsidRDefault="00163957" w:rsidP="00163957">
      <w:pPr>
        <w:pStyle w:val="TextoNormal"/>
      </w:pPr>
      <w:r w:rsidRPr="00163957">
        <w:rPr>
          <w:rStyle w:val="NumeroAFNegritaCaracter"/>
        </w:rPr>
        <w:t>4</w:t>
      </w:r>
      <w:r>
        <w:t>. Confirmado el carácter básico de los arts. 20.2 y 21.1 de la Ley de presupuestos generales del Estado para 2015 (carácter, por lo demás, que, como se ha puesto de manifiesto, ni la Generalitat ni el Parlamento de Cataluña discuten), resulta necesario analizar si el último inciso del art. 34 de la Ley 2/2015 es acorde con estos preceptos. Como se ha indicado con más detalle en los antecedentes, el Abogado del Estado entiende que la norma impugnada no respeta las limitaciones de gasto público que establecen los referidos preceptos de la Ley de presupuestos generales del Estado para el año 2015, pues considera que, al permitir la puesta en funcionamiento de nuevos servicios públicos, hace posible tanto un aumento de las retribuciones globales del sector público autonómico catalán como la incorporación al mismo de nuevo personal. La Generalitat y el Parlamento de Cataluña alegan, por el contrario, que el precepto impugnado no vulnera la norma básica estatal si se interpreta en el sentido que proponen. Así, según la interpretación propugnada por estas partes procesales, el inciso del art. 34 de la Ley de presupuestos generales de Cataluña recurrido sólo permitiría la creación de nuevos servicios públicos si esto no conlleva un incremento global de la plantilla de personal del sector público catalán. De ahí que entiendan que, como la creación de los nuevos servicios sólo es posible si previamente se ha reducido el gasto de personal en otros servicios, la norma impugnada es, en su opinión, acorde con las limitaciones de gasto público que establece la normativa básica estatal.</w:t>
      </w:r>
    </w:p>
    <w:p w:rsidR="00163957" w:rsidRDefault="00163957" w:rsidP="00163957">
      <w:pPr>
        <w:pStyle w:val="TextoNormal"/>
      </w:pPr>
    </w:p>
    <w:p w:rsidR="00163957" w:rsidRDefault="00163957" w:rsidP="00163957">
      <w:pPr>
        <w:pStyle w:val="TextoNormal"/>
      </w:pPr>
      <w:r>
        <w:t>Dado el tenor de los arts. 20.2 y 21.1 de la Ley de presupuestos generales del Estado para 2015, la excepción que contiene la norma autonómica impugnada no puede considerarse acorde con lo establecido en los mismos. En efecto, el art. 20.2 de la Ley de presupuestos generales del Estado para 2015 establece que, con carácter general, no se incrementarán las retribuciones del personal al servicio del sector público respecto a las vigentes a 31 de diciembre de 2014. Y el art. 21.1 impide que pueda incorporarse nuevo personal al sector público salvo las excepciones que esta norma prevé, entre las que no se encuentra la creación de nuevos servicios públicos. Resulta, por tanto, que estos preceptos, al establecer estas limitaciones, están impidiendo cualquier gasto en materia de personal que conlleve un incremento global de la masa retributiva autorizada para 2015, por lo que debe concluirse que la norma autonómica, al permitir que en 2015 puedan ponerse en funcionamiento nuevos servicios públicos, aunque conlleven un incremento global del gasto de personal, está vulnerando la norma básica estatal que, con carácter general, prohíbe el incremento global de la masa retributiva durante este año.</w:t>
      </w:r>
    </w:p>
    <w:p w:rsidR="00163957" w:rsidRDefault="00163957" w:rsidP="00163957">
      <w:pPr>
        <w:pStyle w:val="TextoNormal"/>
      </w:pPr>
    </w:p>
    <w:p w:rsidR="00163957" w:rsidRDefault="00163957" w:rsidP="00163957">
      <w:pPr>
        <w:pStyle w:val="TextoNormal"/>
      </w:pPr>
      <w:r>
        <w:t>Frente a ello no puede entenderse, como pretenden tanto la Generalitat como el Parlamento de Cataluña, que el inciso impugnado pueda ser interpretado de otro modo y entender que la referida norma sólo permite la puesta en funcionamiento de nuevos servicios públicos si la puesta en marcha de estos servicios no determina un incremento del gasto global en materia de personal.</w:t>
      </w:r>
    </w:p>
    <w:p w:rsidR="00163957" w:rsidRDefault="00163957" w:rsidP="00163957">
      <w:pPr>
        <w:pStyle w:val="TextoNormal"/>
      </w:pPr>
    </w:p>
    <w:p w:rsidR="00163957" w:rsidRDefault="00163957" w:rsidP="00163957">
      <w:pPr>
        <w:pStyle w:val="TextoNormal"/>
      </w:pPr>
      <w:r>
        <w:t xml:space="preserve">El tenor del precepto en el que se encuentra el inciso impugnado impide llegar a esta conclusión. Como se sostiene en el ATC 181/2015, de 3 de noviembre, FJ 3, por el que se acordó mantener la suspensión de la eficacia de este precepto, “es claro que este precepto [el art. 34 de la Ley de presupuestos generales de Cataluña] establece una regla general: la </w:t>
      </w:r>
      <w:r>
        <w:lastRenderedPageBreak/>
        <w:t>prohibición de tramitar expedientes de ampliación de plantillas o de creación o reestructuración de unidades orgánicas que conlleven un incremento global en materia de gastos de personal y dos excepciones a esa regla general (‘salvo’): la primera, que se trate de unidades derivadas de un traspaso de servicios, y la segunda, establecida en el inciso recurrido, que, ‘previa autorización del Gobierno, de la puesta en funcionamiento de nuevos servicios públicos’”. Por ello en el citado ATC 181/2015, de 3 de noviembre, FJ 3 se llegó a la conclusión de que el inciso impugnado en este proceso constitucional “está estableciendo una excepción a la regla general que impide ampliar la plantilla si conlleva un incremento de los gastos globales en materia de personal”, pues de otro modo “carecería de sentido la salvedad que se establece, ya que la creación de nuevos servicios que no conlleven un aumento global en los gastos de personal no se encuentra prohibida por la limitación del incremento de gastos en materia personal que, como regla general, establece el art. 34 de la Ley 2/2015 en su primer inciso.” Y a esta misma conclusión ha de llegarse también ahora.</w:t>
      </w:r>
    </w:p>
    <w:p w:rsidR="00163957" w:rsidRDefault="00163957" w:rsidP="00163957">
      <w:pPr>
        <w:pStyle w:val="TextoNormal"/>
      </w:pPr>
    </w:p>
    <w:p w:rsidR="00163957" w:rsidRDefault="00163957" w:rsidP="00163957">
      <w:pPr>
        <w:pStyle w:val="TextoNormal"/>
      </w:pPr>
      <w:r>
        <w:t>Frente a ello no cabe sostener, como aducen la Generalitat y el Parlamento de Cataluña, que el art. 34 de la Ley de presupuestos generales de Cataluña, en relación con el art. 16 de la misma Ley, permite entender que la puesta en funcionamiento de los nuevos servicios públicos a los que se refiere el art. 34 de la Ley de presupuestos generales de Cataluña no pueden conllevar un incremento global de gastos de personal. La previsión contenida en el art. 16 de la Ley de presupuestos generales de Cataluña, en virtud de la cual cualquier iniciativa legislativa o administrativa que conlleve crecimiento de gasto público presupuestado no podrá efectuarse si no se propone, simultáneamente, los recursos adicionales necesarios o las reducciones proporcionales de gasto, no resulta aplicable en el supuesto regulado por la norma ahora impugnada, pues, como se dice en el ATC 181/2015, de 3 noviembre, FJ 3, esta norma establece “una excepción a la regla general que impide ampliar la plantilla si conlleva un incremento de los gastos globales en materia de personal”.</w:t>
      </w:r>
    </w:p>
    <w:p w:rsidR="00163957" w:rsidRDefault="00163957" w:rsidP="00163957">
      <w:pPr>
        <w:pStyle w:val="TextoNormal"/>
      </w:pPr>
    </w:p>
    <w:p w:rsidR="00163957" w:rsidRDefault="00163957" w:rsidP="00163957">
      <w:pPr>
        <w:pStyle w:val="TextoNormal"/>
      </w:pPr>
      <w:r>
        <w:t>Y tampoco cabe entender, como sostiene la Generalitat, que la interpretación que se propone es necesaria para salvaguardar las competencias que le atribuye el art. 150 del Estatuto de Autonomía de Cataluña en materia de organización de su propia Administración ni para la correcta interpretación de los títulos competenciales que permiten que el Estado puede establecer medidas de contención de gasto público que conlleven una limitación de las autonomía financiera de las Comunidades Autónomas (art. 149.1.13 y 156.1 CE). En contra de lo que sostiene la Generalitat, la interpretación literal de la norma no “impide con carácter absoluto la posibilidad de incrementar plantillas en cualquier caso”, sino que lo que prohíbe es la ampliación de plantillas o la creación o reestructuración de unidades orgánicas “que conlleven un incremento global del gasto de personal” (art. 34 de la Ley de presupuestos generales de Cataluña). De este modo, el art. 34 de la Ley de presupuestos generales de Cataluña no prohíbe con carácter general que puedan tramitarse expedientes de ampliación de plantillas o de creación o de reestructuración de unidades orgánicas, sino sólo aquellos que, como se acaba de señalar, “conlleven un incremento de gasto de personal”. Por ello, el considerar inconstitucional la regla que exceptúa de este límite la puesta en funcionamiento de nuevos servicios públicos no puede determinar que la Generalitat no pueda poner en funcionamiento nuevos servicios públicos si la instauración de esos nuevos servicios no conlleva incremento de gastos de personal, pues lo que no es acorde con la normativa básica estatal es incrementar el gasto global en materia de personal, no la puesta en marcha de nuevos servicios públicos.</w:t>
      </w:r>
    </w:p>
    <w:p w:rsidR="00163957" w:rsidRDefault="00163957" w:rsidP="00163957">
      <w:pPr>
        <w:pStyle w:val="TextoNormal"/>
      </w:pPr>
    </w:p>
    <w:p w:rsidR="00163957" w:rsidRDefault="00163957" w:rsidP="00163957">
      <w:pPr>
        <w:pStyle w:val="TextoNormal"/>
      </w:pPr>
      <w:r>
        <w:lastRenderedPageBreak/>
        <w:t>No es posible, por tanto, la interpretación conforme que proponen la Generalitat y el Parlamento de Cataluña. Como ha declarado reiteradamente este Tribunal, esta interpretación tiene como límite el “respeto al propio tenor literal” de los preceptos interpretados (STC 222/1992, de 11 de diciembre, FJ 2), y no permite “ignorar o desfigurar enunciados legales meridianos” (STC 24/2004,de 24 de febrero, FJ 6), pues “la interpretación conforme no puede ser una interpretación</w:t>
      </w:r>
      <w:r w:rsidRPr="00163957">
        <w:rPr>
          <w:i/>
        </w:rPr>
        <w:t xml:space="preserve"> contra legem</w:t>
      </w:r>
      <w:r>
        <w:t>” (SSTC 35/2012, de 15 de marzo, FJ 8 y 299/2014, de 18 de diciembre, FJ 4, entre otras muchas), y en el presente caso, como se acaba de señalar, es la propia literalidad del art. 34 de la Ley de presupuestos generales de Cataluña la que impide interpretar su último inciso en el sentido propuesto por la Generalitat y el Parlamento.</w:t>
      </w:r>
    </w:p>
    <w:p w:rsidR="00163957" w:rsidRDefault="00163957" w:rsidP="00163957">
      <w:pPr>
        <w:pStyle w:val="TextoNormal"/>
      </w:pPr>
    </w:p>
    <w:p w:rsidR="00163957" w:rsidRDefault="00163957" w:rsidP="00163957">
      <w:pPr>
        <w:pStyle w:val="TextoNormal"/>
      </w:pPr>
      <w:r>
        <w:t>De todo lo expuesto cabe concluir que el último inciso del art. 34 de la Ley de presupuestos generales de Cataluña (o previa autorización del Gobierno, de la puesta en funcionamiento de nuevos servicios públicos) vulnera la normativa básica estatal y por este motivo es inconstitucional y nulo.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y, en consecuencia, declarar la inconstitucionalidad y nulidad del inciso “o previa autorización del Gobierno, de la puesta en funcionamiento de nuevos servicios públicos” del art. 34 de la Ley 2/2015, de 11 de marzo, de presupuestos de la Generalitat de Cataluña para 2015.</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veintiocho de abril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92" w:name="SENTENCIA_2016_89"/>
      <w:r>
        <w:lastRenderedPageBreak/>
        <w:t>SENTENCIA 89/2016, de 9 de mayo de 2016</w:t>
      </w:r>
    </w:p>
    <w:bookmarkEnd w:id="92"/>
    <w:p w:rsidR="00163957" w:rsidRDefault="00163957" w:rsidP="00163957">
      <w:pPr>
        <w:pStyle w:val="TtuloResolucin"/>
      </w:pPr>
      <w:r>
        <w:t>Sala Segunda</w:t>
      </w:r>
    </w:p>
    <w:p w:rsidR="00163957" w:rsidRDefault="00163957" w:rsidP="00163957">
      <w:pPr>
        <w:pStyle w:val="TtuloBOE"/>
      </w:pPr>
      <w:r>
        <w:t>(BOE núm. 147, de 18 de junio de 2016)</w:t>
      </w:r>
    </w:p>
    <w:p w:rsidR="00163957" w:rsidRDefault="00163957" w:rsidP="00163957">
      <w:pPr>
        <w:pStyle w:val="TextoNormalCentrado"/>
      </w:pPr>
      <w:r>
        <w:t>ECLI:ES:TC:2016:89</w:t>
      </w:r>
    </w:p>
    <w:p w:rsidR="00163957" w:rsidRDefault="00163957" w:rsidP="00163957">
      <w:pPr>
        <w:pStyle w:val="TextoNormalCentrado"/>
      </w:pPr>
    </w:p>
    <w:p w:rsidR="00163957" w:rsidRDefault="00163957" w:rsidP="00163957">
      <w:pPr>
        <w:pStyle w:val="SntesisDescriptiva"/>
      </w:pPr>
      <w:r>
        <w:t>Recurso de amparo 2379-2011. Promovido por don Stepan Neyko respecto de los decretos dictados por la Secretaría Judicial de un Juzgado de lo Contencioso-Administrativo de Madrid, convocando a las partes para la celebración de vista en proceso sobre orden de expulsión del territorio nacional.</w:t>
      </w:r>
    </w:p>
    <w:p w:rsidR="00163957" w:rsidRDefault="00163957" w:rsidP="00163957">
      <w:pPr>
        <w:pStyle w:val="SntesisDescriptiva"/>
      </w:pPr>
    </w:p>
    <w:p w:rsidR="00163957" w:rsidRDefault="00163957" w:rsidP="00163957">
      <w:pPr>
        <w:pStyle w:val="SntesisAnaltica"/>
      </w:pPr>
      <w:r>
        <w:t>Vulneración del derecho a un proceso sin dilaciones indebidas: demora superior a un año en la celebración de la vista del juicio en un procedimiento abreviado contencioso-administrativo (STC 63/2016).</w:t>
      </w:r>
    </w:p>
    <w:p w:rsidR="00163957" w:rsidRDefault="00163957" w:rsidP="00163957">
      <w:pPr>
        <w:pStyle w:val="SntesisAnaltica"/>
      </w:pPr>
    </w:p>
    <w:p w:rsidR="00163957" w:rsidRDefault="00163957" w:rsidP="00163957">
      <w:pPr>
        <w:pStyle w:val="Extracto"/>
      </w:pPr>
      <w:r>
        <w:t>1.</w:t>
      </w:r>
      <w:r>
        <w:tab/>
        <w:t xml:space="preserve">Asunto sustancialmente idéntico al resuelto por la STC 63/2016, relativa a la doctrina sobre el derecho a un proceso sin dilaciones indebidas en materia de extranjería [FFJJ 4 a 7]. </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2379-2011, promovido por don Stepan Neyko, representado por el Procurador de los Tribunales don Carlos Plasencia Baltes y asistido por la Letrada doña Rosa María Sanz Carrasco, contra el decreto de la Secretaria Judicial del Juzgado de lo Contencioso-Administrativo núm. 32 de Madrid, de 25 de marzo de 2011, desestimatorio del recurso de reposición interpuesto contra el decreto de 9 de febrero de 2011, de la misma Secretaria, en virtud del cual se fijó el señalamiento para la celebración de la vista del procedimiento abreviado núm. 1049-2010. Ha sido parte el Abogado del Estado y ha intervenido el Ministerio Fiscal. Ha sido Ponente la Magistrada doña Adela Asua Batarrita,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Mediante escrito registrado en este Tribunal el día 27 de abril de 2011, el Procurador de los Tribunales don Carlos Plasencia Baltes, en nombre y representación de don Stepan </w:t>
      </w:r>
      <w:r>
        <w:lastRenderedPageBreak/>
        <w:t>Neyko, interpuso recurso de amparo contra las resoluciones señaladas en el encabezamiento de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La demanda de amparo trae causa, en síntesis, de los siguientes hechos:</w:t>
      </w:r>
    </w:p>
    <w:p w:rsidR="00163957" w:rsidRDefault="00163957" w:rsidP="00163957">
      <w:pPr>
        <w:pStyle w:val="TextoNormal"/>
      </w:pPr>
    </w:p>
    <w:p w:rsidR="00163957" w:rsidRDefault="00163957" w:rsidP="00163957">
      <w:pPr>
        <w:pStyle w:val="TextoNormal"/>
      </w:pPr>
      <w:r>
        <w:t>a) Con fecha 3 de noviembre de 2010 el recurrente presentó ante el Decanato de los Juzgados de lo Contencioso-Administrativo de Madrid demanda interponiendo recurso contencioso-administrativo, por el procedimiento abreviado, contra la resolución de la Delegación del Gobierno en Madrid de 16 de julio de 2010, por la que se denegaba su solicitud de autorización de residencia de larga duración.</w:t>
      </w:r>
    </w:p>
    <w:p w:rsidR="00163957" w:rsidRDefault="00163957" w:rsidP="00163957">
      <w:pPr>
        <w:pStyle w:val="TextoNormal"/>
      </w:pPr>
    </w:p>
    <w:p w:rsidR="00163957" w:rsidRDefault="00163957" w:rsidP="00163957">
      <w:pPr>
        <w:pStyle w:val="TextoNormal"/>
      </w:pPr>
      <w:r>
        <w:t xml:space="preserve">b) La demanda fue turnada el 15 de diciembre de 2010 al Juzgado de lo Contencioso-Administrativo núm. 32 de Madrid (autos de procedimiento abreviado núm. 1049-2010). Por diligencia de ordenación de 20 de diciembre de 2010 se acordó tener por recibido el recurso y requerir al recurrente que compareciera ante la Secretaría del Juzgado para el otorgamiento de poder </w:t>
      </w:r>
      <w:r w:rsidRPr="00163957">
        <w:rPr>
          <w:i/>
        </w:rPr>
        <w:t>apud acta</w:t>
      </w:r>
      <w:r>
        <w:t xml:space="preserve"> a favor de su Letrada. El requerimiento fue atendido mediante escrito presentado el 18 de enero de 2011 (con entrada en el Juzgado el día 20), al que se adjuntaba escritura de poder general para pleitos otorgada por el recurrente.</w:t>
      </w:r>
    </w:p>
    <w:p w:rsidR="00163957" w:rsidRDefault="00163957" w:rsidP="00163957">
      <w:pPr>
        <w:pStyle w:val="TextoNormal"/>
      </w:pPr>
    </w:p>
    <w:p w:rsidR="00163957" w:rsidRDefault="00163957" w:rsidP="00163957">
      <w:pPr>
        <w:pStyle w:val="TextoNormal"/>
      </w:pPr>
      <w:r>
        <w:t>c) Por decreto de la Secretaria del Juzgado de 9 de febrero de 2011 se acordó la admisión a trámite de la demanda contencioso-administrativa. Asimismo, se acordó citar a las partes para la celebración de la vista el 15 de febrero de 2012 a las 10:00 horas.</w:t>
      </w:r>
    </w:p>
    <w:p w:rsidR="00163957" w:rsidRDefault="00163957" w:rsidP="00163957">
      <w:pPr>
        <w:pStyle w:val="TextoNormal"/>
      </w:pPr>
    </w:p>
    <w:p w:rsidR="00163957" w:rsidRDefault="00163957" w:rsidP="00163957">
      <w:pPr>
        <w:pStyle w:val="TextoNormal"/>
      </w:pPr>
      <w:r>
        <w:t>d) Mediante escrito presentado el 7 de marzo de 2011, el actor interpuso recurso de reposición contra el referido decreto, al entender que el señalamiento para el juicio oral en la fecha determinada en el mismo superaba con creces las previsiones legales establecidas al respecto y el carácter razonable del plazo en que debe desenvolverse el proceso, implicando una vulneración del derecho fundamental a un proceso sin dilaciones indebidas (art. 24.2 CE). Por tal razón solicitaba el adelantamiento de la fecha del juicio, con anteposición y preferencia a otros procedimientos abreviados en los que los demandantes arriesgaran un menor interés, al amparo de lo dispuesto en el art. 63.1 de la Ley reguladora de la jurisdicción contencioso-administrativa (LJCA), citando al efecto doctrina constitucional.</w:t>
      </w:r>
    </w:p>
    <w:p w:rsidR="00163957" w:rsidRDefault="00163957" w:rsidP="00163957">
      <w:pPr>
        <w:pStyle w:val="TextoNormal"/>
      </w:pPr>
    </w:p>
    <w:p w:rsidR="00163957" w:rsidRDefault="00163957" w:rsidP="00163957">
      <w:pPr>
        <w:pStyle w:val="TextoNormal"/>
      </w:pPr>
      <w:r>
        <w:t>e) El recurso de reposición fue desestimado por decreto de la Secretaria Judicial de 25 de marzo de 2011, que confirmó el decreto recurrido en todos sus extremos, argumentando que, estableciendo el art. 82 de la Ley de enjuiciamiento civil (LEC) como criterio e instrucción a la hora de fijar la fecha de las vistas el número de señalamientos, y teniendo en cuenta la carga potencial de asuntos que se reciben en el Juzgado, no era posible atender a la legítima petición de la parte recurrente.</w:t>
      </w:r>
    </w:p>
    <w:p w:rsidR="00163957" w:rsidRDefault="00163957" w:rsidP="00163957">
      <w:pPr>
        <w:pStyle w:val="TextoNormal"/>
      </w:pPr>
    </w:p>
    <w:p w:rsidR="00163957" w:rsidRDefault="00163957" w:rsidP="00163957">
      <w:pPr>
        <w:pStyle w:val="TextoNormal"/>
      </w:pPr>
      <w:r>
        <w:t xml:space="preserve">f) Celebrada la vista en la fecha señalada, se dictó Sentencia el 20 de febrero de 2012 declarando inadmisible el recurso contencioso-administrativo por haberse interpuesto extemporáneamente. Contra dicho pronunciamiento se promovió recurso de apelación, que fue estimado en parte por Sentencia de la Sección Primera de la Sala de lo Contencioso-Administrativo del Tribunal Superior de Justicia de Madrid, de 15 de octubre de 2012, en la cual se acordó declarar la nulidad de la Sentencia de instancia, con retroacción de actuaciones al momento anterior a su dictado, a fin de oír a las partes sobre la causa de inadmisibilidad apreciada de oficio con carácter previo a dictar nueva Sentencia. Al no encontrarse </w:t>
      </w:r>
      <w:r>
        <w:lastRenderedPageBreak/>
        <w:t>adscrito a la jurisdicción contencioso-administrativa el Magistrado-Juez sustituto que dictó la Sentencia, se acordó señalar nueva vista para el 28 de noviembre de 2012, a las 9:20 horas.</w:t>
      </w:r>
    </w:p>
    <w:p w:rsidR="00163957" w:rsidRDefault="00163957" w:rsidP="00163957">
      <w:pPr>
        <w:pStyle w:val="TextoNormal"/>
      </w:pPr>
    </w:p>
    <w:p w:rsidR="00163957" w:rsidRDefault="00163957" w:rsidP="00163957">
      <w:pPr>
        <w:pStyle w:val="TextoNormal"/>
      </w:pPr>
      <w:r>
        <w:t>g) Celebrada la nueva vista, el Juzgado dictó Sentencia con fecha 17 de diciembre de 2012 estimando el recurso contencioso-administrativo, con anulación del acto impugnado y reconocimiento del derecho del actor a que la Administración demandada procediera a concederle la autorización de residencia de larga duración. Dicha Sentencia quedó firme al no interponerse frente a ella recurso de apelación por parte del Abogado del Estado.</w:t>
      </w:r>
    </w:p>
    <w:p w:rsidR="00163957" w:rsidRDefault="00163957" w:rsidP="00163957">
      <w:pPr>
        <w:pStyle w:val="TextoNormal"/>
      </w:pPr>
    </w:p>
    <w:p w:rsidR="00163957" w:rsidRDefault="00163957" w:rsidP="00163957">
      <w:pPr>
        <w:pStyle w:val="TextoNormal"/>
      </w:pPr>
      <w:r w:rsidRPr="00163957">
        <w:rPr>
          <w:rStyle w:val="NumeroAFNegritaCaracter"/>
        </w:rPr>
        <w:t>3</w:t>
      </w:r>
      <w:r>
        <w:t>. La demanda de amparo denuncia la vulneración del derecho a un proceso sin dilaciones indebidas (art. 24.2 CE), sosteniendo que el señalamiento de la vista del procedimiento contencioso-administrativo para el 15 de febrero de 2012, cuando el recurso se presentó el 3 de noviembre de 2010, supera con creces las previsiones legales establecidas al respecto y el carácter razonable del plazo en el que debe desenvolverse el procedimiento abreviado, en función de las circunstancias específicas del caso (que impugna la resolución que le denegó la solicitud de autorización de residencia de larga duración), que determinan un interés especialmente relevante para el actor, quien, mientras no se resuelva el recurso, se encuentra en situación de estancia irregular en España por carecer de autorización de residencia y, en consecuencia, puede serle incoado un expediente de expulsión preferente del territorio nacional, e incluso podría ser privado de libertad en aplicación de las previsiones de la Ley Orgánica sobre derechos y libertades de los extranjeros en España y su integración social. Con invocación del art. 440.1 LEC, supletoriamente aplicable, que establece un plazo máximo de veinte días entre la admisión de la demanda y la celebración de la vista, afirma que podría aceptarse un retraso de algunos meses, ante el cúmulo de trabajo que asumen los Juzgados de lo Contencioso-Administrativo de Madrid, pero, teniendo presente la escasa complejidad del asunto, la creación de nuevos Juzgados de lo Contencioso-Administrativo en la capital, que han venido a descargar de trabajo a los restantes, y el elevado número de suspensiones de vistas a raíz de la circular de la Abogacía General del Estado núm. 107/2004 (autorizando el allanamiento en materias relacionadas con la caducidad de expedientes de expulsión), considera que el señalamiento para un año y tres meses después de la presentación de la demanda, resulta objetivamente excesivo, de acuerdo con la doctrina constitucional y con los criterios que en la misma se establecen. En relación con éstos, aparte de lo ya expuesto, se señala, en relación con los márgenes ordinarios de duración de los litigios del mismo tipo, que siendo cierto que los Juzgados de lo Contencioso-Administrativo de Madrid vienen demorando el señalamiento de las vistas en los procedimientos en materia de extranjería más allá de lo razonable, no lo es menos que la distribución de asuntos entre los Juzgados es prácticamente idéntica, y, sin embargo, el señalamiento de las vistas en algunos se efectúa para meses cuando no años antes. Y buena prueba de que la carga de trabajo que soporta el Juzgado de lo Contencioso-Administrativo núm. 32 no debe ser abrumadora es que el Consejo General del Poder Judicial ha aprobado un plan de refuerzo para los Juzgados de lo Contencioso-Administrativo de Madrid (acuerdos de 29 de diciembre de 2010 y de 1 y 15 de febrero de 2011), con exclusión de los Juzgados núms. 28 a 32, por ser de reciente creación.</w:t>
      </w:r>
    </w:p>
    <w:p w:rsidR="00163957" w:rsidRDefault="00163957" w:rsidP="00163957">
      <w:pPr>
        <w:pStyle w:val="TextoNormal"/>
      </w:pPr>
    </w:p>
    <w:p w:rsidR="00163957" w:rsidRDefault="00163957" w:rsidP="00163957">
      <w:pPr>
        <w:pStyle w:val="TextoNormal"/>
      </w:pPr>
      <w:r>
        <w:t xml:space="preserve">El recurrente aduce asimismo que se han agotado todos los medios de impugnación jurisdiccionales previstos por las normas procesales para el caso concreto, señalando que, de conformidad con lo previsto en los arts. 79 y 102 </w:t>
      </w:r>
      <w:r w:rsidRPr="00163957">
        <w:rPr>
          <w:i/>
        </w:rPr>
        <w:t>bis</w:t>
      </w:r>
      <w:r>
        <w:t xml:space="preserve">.2 LJCA (en la redacción dada a los </w:t>
      </w:r>
      <w:r>
        <w:lastRenderedPageBreak/>
        <w:t>mismos por la Ley 13/2009, de 3 de noviembre, de reforma de la legislación procesal para la implantación de la nueva oficina judicial), contra el decreto que resuelve el recurso de reposición no se dará recurso alguno, siendo imputable la violación del derecho fundamental que se invoca “a una acción u omisión procedente del órgano judicial correspondiente, como es el Decreto del Secretario Judicial de 25 de marzo de 2011, el cual es firme”.</w:t>
      </w:r>
    </w:p>
    <w:p w:rsidR="00163957" w:rsidRDefault="00163957" w:rsidP="00163957">
      <w:pPr>
        <w:pStyle w:val="TextoNormal"/>
      </w:pPr>
    </w:p>
    <w:p w:rsidR="00163957" w:rsidRDefault="00163957" w:rsidP="00163957">
      <w:pPr>
        <w:pStyle w:val="TextoNormal"/>
      </w:pPr>
      <w:r>
        <w:t>Finalmente, en cuanto a la especial trascendencia constitucional del recurso, el demandante alega el motivo e) del fundamento jurídico 2 de la STC 155/2009, de 25 de junio, argumentando que la doctrina de este Tribunal sobre el derecho a un proceso sin dilaciones indebidas está siendo incumplida de un modo general y reiterado por los distintos Juzgados de lo Contencioso-Administrativo de Madrid, los cuales justifican las demoras de varios años en los señalamientos de los procedimientos abreviados en materia de extranjería con razones como el respeto al orden de antigüedad, las deficiencias estructurales u organizativas o la abrumadora carga de trabajo que pesa sobre los órganos judiciales, las cuales, de acuerdo con la conocida doctrina del Tribunal Constitucional y del Tribunal Europeo de Derechos Humanos no justifican el retraso ni impiden reconocer la vulneración del derecho a obtener una decisión definitiva en un plazo razonable.</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21 de junio de 2012 la Sala Segunda de este Tribunal acordó la admisión a trámite del recurso, y, de acuerdo con lo dispuesto en al art. 51 de la Ley Orgánica del Tribunal Constitucional (LOTC), acordó solicitar del Juzgado de lo Contencioso-Administrativo núm. 32 de Madrid que remitiera certificación o fotocopia adverada de las actuaciones correspondientes al procedimiento abreviado núm. 1049-2010, previo emplazamiento de quien hubiera sido parte en el proceso, excepto la parte recurrente en amparo, para que, en el término de diez días, pudiera comparecer en el presente proceso constitucional. Todo ello condicionado a que el Procurador don Carlos Plasencia Baltes presentara en el plazo de diez días poder original para pleitos que acreditara la representación del recurrente. Este último requerimiento fue atendido mediante escrito presentado el 10 de julio de 2012.</w:t>
      </w:r>
    </w:p>
    <w:p w:rsidR="00163957" w:rsidRDefault="00163957" w:rsidP="00163957">
      <w:pPr>
        <w:pStyle w:val="TextoNormal"/>
      </w:pPr>
    </w:p>
    <w:p w:rsidR="00163957" w:rsidRDefault="00163957" w:rsidP="00163957">
      <w:pPr>
        <w:pStyle w:val="TextoNormal"/>
      </w:pPr>
      <w:r w:rsidRPr="00163957">
        <w:rPr>
          <w:rStyle w:val="NumeroAFNegritaCaracter"/>
        </w:rPr>
        <w:t>5</w:t>
      </w:r>
      <w:r>
        <w:t>. El Abogado del Estado, en la representación que ostenta, se personó en el recurso de amparo a través de escrito registrado el 29 de junio de 2012.</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diligencia de ordenación de 11 de diciembre de 2012 se tuvo por personado al Abogado del Estado y se acordó dar vista de las actuaciones a las partes personadas y al Ministerio Fiscal, por plazo común de veinte días, para que, a tenor de lo dispuesto en el art. 52.1 LOTC, pudieran presentar las alegaciones que estimasen oportunas.</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El Abogado del Estado formuló sus alegaciones en escrito presentado el 11 de enero de 2013, solicitando la inadmisión y, subsidiariamente, la desestimación de la demanda de amparo. La solicitud de inadmisión del recurso la sustenta el Abogado del Estado en la falta de justificación de la especial trascendencia constitucional exigible, pues sobre el retraso en el señalamiento de las vistas de los procedimientos contencioso-administrativos abreviados que versan sobre sanciones de expulsión hay sobrada doctrina constitucional, sin que se haya acreditado la generalidad en el pretendido incumplimiento de la doctrina sentada al </w:t>
      </w:r>
      <w:r>
        <w:lastRenderedPageBreak/>
        <w:t>respecto por los Juzgados de lo Contencioso-Administrativo de Madrid, aseveración respecto de la que no aporta ningún principio de prueba y que no puede considerarse un hecho notorio.</w:t>
      </w:r>
    </w:p>
    <w:p w:rsidR="00163957" w:rsidRDefault="00163957" w:rsidP="00163957">
      <w:pPr>
        <w:pStyle w:val="TextoNormal"/>
      </w:pPr>
    </w:p>
    <w:p w:rsidR="00163957" w:rsidRDefault="00163957" w:rsidP="00163957">
      <w:pPr>
        <w:pStyle w:val="TextoNormal"/>
      </w:pPr>
      <w:r>
        <w:t>Con carácter subsidiario, solicita la denegación del amparo, en primer lugar, por entender que, en cuanto al interés que en el proceso contencioso-administrativo arriesga el demandante, no se levanta mínimamente la carga de exponer y justificar los concretos riesgos que para el recurrente dimanan del acto denegatorio de la autorización de residencia de larga duración, máxime cuando existe contra él una solicitud de extradición. En segundo lugar, y rechazando que pueda aplicarse supletoriamente el art. 440.1 LEC (el art. 78.23 LJCA remite a las normas generales de la propia Ley), se aduce que en la demanda falta toda alegación sobre si la duración normal se refiere a los procedimientos abreviados en el Juzgado núm. 32 o en los Juzgados de Madrid, o a los procesos en los que se impugne la denegación de una autorización de residencia en los mismos Juzgados. En cualquier caso, un año está dentro de los márgenes ordinarios de duración de los procedimientos contencioso-administrativos abreviados, sobre todo si se trata de los Juzgados de Madrid, sobrecargados de litigiosidad. Para el caso de que no se atendiera lo anterior, señala que las deficiencias estructurales a las que se apela sólo deberían conducir al otorgamiento del amparo si pudieran ser corregidas o eliminadas a corto plazo mediante un uso más racional y eficiente de los recursos, y se debería exigir al demandante la carga de identificarlas mínimamente. A juicio del Abogado del Estado, no es dado comparar la realidad empírica del sistema judicial con una especie de “ideal de funcionamiento” que tampoco es seguro que se alcanzara por mucho que se incrementara la inversión en la organización judicial, algo que, por lo demás, resulta impensable en el actual contexto de aguda y profunda crisis financiera pública. En esta línea, se señala que las deficiencias estructurales podrían acaso aquilatarse mediante el estándar de “prestación razonablemente exigible a un servicio público”, cuya configuración concreta debe tener en cuenta lo que, de manera realista, pueda esperar el usuario de un servicio, atendido el nivel medio de prestación de los demás. Matizado así el concepto, resulta dudoso, cuando menos, que pueda hablarse de “deficiencia estructural” que pueda dar lugar a un pronunciamiento favorable.</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El Ministerio Fiscal formuló sus alegaciones mediante escrito que tuvo entrada en este Tribunal el 31 de enero de 2013. Tras exponer los antecedentes del caso y el tenor de la queja articulada por el recurrente, pone el Fiscal de relieve la posible concurrencia de la causa de inadmisibilidad de falta de agotamiento de los medios de impugnación [art. 50.1 a) en relación con el art. 44.1 a) LOTC], planteando si es posible que pueda suscitarse el recurso de amparo por lesión de un derecho fundamental sin que el Juez haya tenido la oportunidad de pronunciarse sobre la supuesta lesión del derecho que se estima infringido, que en este caso se imputa a la resolución dictada por el Secretario Judicial, de acuerdo con las competencias que tiene asignadas tras la Ley 13/2009. En principio, cabría considerar que el recurrente ha agotado los medios de impugnación previstos en las normas procesales, al no caber recurso alguno contra la decisión desestimatoria del recurso de reposición, ni siquiera recurso de revisión, según el art. 102 </w:t>
      </w:r>
      <w:r w:rsidRPr="00163957">
        <w:rPr>
          <w:i/>
        </w:rPr>
        <w:t>bis</w:t>
      </w:r>
      <w:r>
        <w:t xml:space="preserve">.2 LJCA, por no ser un decreto que ponga término al procedimiento o impida su continuación. Ante la aparente imposibilidad legal de obtener la revisión judicial de una resolución del Secretario Judicial, señala el Fiscal, por una parte, que las nuevas competencias que se asignan a los Secretarios Judiciales por la Ley 13/2009, de 3 de noviembre, no pueden afectar a la función jurisdiccional que es competencia exclusiva de los Jueces y Tribunales, y por otra, que corresponden a esa función </w:t>
      </w:r>
      <w:r>
        <w:lastRenderedPageBreak/>
        <w:t>jurisdiccional en exclusiva todos aquellos supuestos en que pueda estar comprometida la aceptación de un derecho fundamental y su posible reparación, por lo cual, no puede quedar fuera del control judicial la revisión de las resoluciones de los Secretarios Judiciales cuando las mismas puedan afectar a los derechos fundamentales y sean éstos invocados por los ciudadanos. Es verdad que el legislador no ha previsto expresamente la posibilidad de interponer recurso de revisión judicial respecto de la resolución dictada por el Secretario Judicial acordando la admisión de la demanda del procedimiento abreviado. Sin embargo, esa falta de previsión legal expresa no puede ser considerada, desde la perspectiva de la protección de los derechos fundamentales, como la imposibilidad de control judicial de aquellas resoluciones. Además, entiende el Fiscal que cuando el art. 44.1 LOTC establece la posibilidad de recurrir en amparo la lesión de los derechos fundamentales causada directamente por los actos y omisiones de los órganos judiciales, es claro que se está refiriendo estrictamente a los actos y omisiones del Juez o Tribunal que ejercen la función jurisdiccional.</w:t>
      </w:r>
    </w:p>
    <w:p w:rsidR="00163957" w:rsidRDefault="00163957" w:rsidP="00163957">
      <w:pPr>
        <w:pStyle w:val="TextoNormal"/>
      </w:pPr>
    </w:p>
    <w:p w:rsidR="00163957" w:rsidRDefault="00163957" w:rsidP="00163957">
      <w:pPr>
        <w:pStyle w:val="TextoNormal"/>
      </w:pPr>
      <w:r>
        <w:t xml:space="preserve">Frente a esta situación, plantea el Ministerio público las siguientes soluciones legales: a) Considerar que frente a la resolución del Secretario Judicial que desestimó el recurso de reposición debió interponerse incidente de nulidad de actuaciones, vía que, sin embargo, tropieza con el problema de que no se dan los presupuestos del art. 241 de la Ley Orgánica del Poder Judicial para el planteamiento de dicho incidente que, además, debería resolver el mismo órgano que dictó la resolución causante de la lesión del derecho. b) Puesto que el recurso plantea la posible vulneración del derecho fundamental a un proceso sin dilaciones indebidas, no se darían los presupuestos legales para que sobre dicha denuncia conociera y resolviera el Secretario Judicial, por lo que, planteada la impugnación, debería haberse dado traslado al Juez para que éste examinara dicha denuncia. Así pues, el recurso de reposición debió convertirse en recurso de revisión, alegándose en este sentido, analógicamente, lo establecido en el ATC 42/2012, de 9 de marzo. Otra interpretación resultaría contraria al espíritu de la Ley 13/2009. c) Finalmente, si el Tribunal entiende que la lesión del derecho fundamental resulta de que la Ley procesal, en la modificación operada tras la Ley 13/2009, impide que la supuesta lesión de un derecho fundamental pueda ser enjuiciada y reparada por los Jueces, sin que sea posible una interpretación </w:t>
      </w:r>
      <w:r w:rsidRPr="00163957">
        <w:rPr>
          <w:i/>
        </w:rPr>
        <w:t>secundum Constitutione</w:t>
      </w:r>
      <w:r>
        <w:t>, deberá concluirse afirmando la necesidad de elevar la cuestión al Pleno con suspensión del plazo para dictar sentencia (art. 55.2 LOTC).</w:t>
      </w:r>
    </w:p>
    <w:p w:rsidR="00163957" w:rsidRDefault="00163957" w:rsidP="00163957">
      <w:pPr>
        <w:pStyle w:val="TextoNormal"/>
      </w:pPr>
    </w:p>
    <w:p w:rsidR="00163957" w:rsidRDefault="00163957" w:rsidP="00163957">
      <w:pPr>
        <w:pStyle w:val="TextoNormal"/>
      </w:pPr>
      <w:r>
        <w:t xml:space="preserve">Subsidiariamente, si no se aprecia causa alguna de inadmisibilidad, solicita el Fiscal la desestimación del recurso de amparo. Valorando las circunstancias concurrentes en el presente caso, al socaire de la doctrina constitucional y de los criterios objetivos establecidos en la misma, señala el Fiscal, en primer lugar, que el plazo de un año para el que se señala la vista del recurso pudiera considerarse objetivamente excesivo, si se tiene en cuenta que no se está ante un pleito complejo, que se tramita como procedimiento abreviado. Tampoco se aprecian motivos vinculados a la actuación procesal del recurrente que hayan obstaculizado el normal devenir del proceso y provocado un retraso en el señalamiento. Por otro lado, las dilaciones no son causadas por inactividad del órgano judicial sino por razones estructurales o de carga de trabajo del Juzgado, sin que el plazo de un año exceda del promedio de señalamientos de similares recursos en los Juzgados de lo Contencioso de Madrid. En cuanto a la valoración de la naturaleza de la pretensión deducida y el interés arriesgado por el recurrente en la vía judicial, menciona el Fiscal las circunstancias personales del actor reseñadas en la demanda contencioso-administrativa y en los documentos aportados con la </w:t>
      </w:r>
      <w:r>
        <w:lastRenderedPageBreak/>
        <w:t>misma. Sin embargo, en la demanda de amparo el demandante sólo invoca de manera genérica el riesgo hipotético de que, ante su situación irregular, pueda serle tramitado un expediente sancionador y sea acordada su expulsión e incluso que durante su tramitación se acuerde su internamiento como medida cautelar, pero no expone cuáles sean las circunstancias particulares individuales concurrentes que permitan valorar la entidad del interés comprometido, mencionando tan sólo de un modo genérico las posibilidades que podrían producirse según la legislación en la materia. Por ello, no cabe considerar justificado el interés arriesgado, en el sentido que señalan los AATC 121/2009 y 123/2010. Por último, aun conociendo la doctrina constitucional acerca de que una actividad judicial tardía no repara la posible dilación indebida, pone de manifiesto el Fiscal que consta en el testimonio del procedimiento abreviado que la vista señalada para el 15 de febrero de 2012 fue celebrada, dictándose por el Juzgado Contencioso núm. 32 Sentencia en fecha 20 de febrero de 2012, que inadmitió el recurso por extemporáneo, y que, interpuesto recurso de apelación, la Sala de lo Contencioso-Administrativos del Tribunal Superior de Justicia de Madrid ha dictado Sentencia el 15 de octubre de 2012 estimando parcialmente el recurso, con anulación de la anterior y retroacción de actuaciones para oír al recurrente sobre la causa de inadmisión apreciada de oficio.</w:t>
      </w:r>
    </w:p>
    <w:p w:rsidR="00163957" w:rsidRDefault="00163957" w:rsidP="00163957">
      <w:pPr>
        <w:pStyle w:val="TextoNormal"/>
      </w:pPr>
    </w:p>
    <w:p w:rsidR="00163957" w:rsidRDefault="00163957" w:rsidP="00163957">
      <w:pPr>
        <w:pStyle w:val="TextoNormal"/>
      </w:pPr>
      <w:r>
        <w:t>Teniendo en cuenta todas estas circunstancias y, en particular, la falta de justificación de un interés arriesgado que pueda ser calificado como relevante, junto con que el plazo de un año para la celebración de la vista del recurso no resulta excesivo en el margen ordinario de duración de este tipo de procesos, no puede estimarse que el señalamiento de la vista realizado por el decreto del Secretario Judicial constituya una dilación indebida que vulnere el derecho al proceso en un plazo razonable.</w:t>
      </w:r>
    </w:p>
    <w:p w:rsidR="00163957" w:rsidRDefault="00163957" w:rsidP="00163957">
      <w:pPr>
        <w:pStyle w:val="TextoNormal"/>
      </w:pPr>
    </w:p>
    <w:p w:rsidR="00163957" w:rsidRDefault="00163957" w:rsidP="00163957">
      <w:pPr>
        <w:pStyle w:val="TextoNormal"/>
      </w:pPr>
      <w:r w:rsidRPr="00163957">
        <w:rPr>
          <w:rStyle w:val="NumeroAFNegritaCaracter"/>
        </w:rPr>
        <w:t>9</w:t>
      </w:r>
      <w:r>
        <w:t>. No ha formulado alegaciones la parte demandante de amparo.</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5 de mayo de 2016, se señaló para la deliberación y votación de la presente Sentencia el día 9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demanda de amparo se dirige contra el decreto de la Secretaria Judicial (actualmente, Letrada de la Administración de Justicia, según la denominación que se otorga a los Secretarios Judiciales por la Ley Orgánica 7/2015, de 21 de julio, por la que se modifica la Ley Orgánica del Poder Judicial) del Juzgado de lo Contencioso-Administrativo núm. 32 de Madrid, de 25 de marzo de 2011, desestimatorio del recurso de reposición interpuesto contra el decreto de 9 de febrero de 2011, de la misma Secretaria, en virtud del cual se convocó a las partes para la celebración de la vista del procedimiento abreviado núm. 1049-2010 el 15 de febrero de 2012. Considera el actor que dichas resoluciones vulneran su derecho fundamental a un proceso sin dilaciones indebidas (art. 24.2 CE) porque el señalamiento de la vista del procedimiento contencioso-administrativo para esa fecha, cuando el recurso se presentó el 3 de noviembre de 2010, supone un retraso excesivo, superando con creces las previsiones legales establecidas al respecto y el carácter razonable del plazo en el que debe desenvolverse el proceso abreviado, en función de las circunstancias del caso.</w:t>
      </w:r>
    </w:p>
    <w:p w:rsidR="00163957" w:rsidRDefault="00163957" w:rsidP="00163957">
      <w:pPr>
        <w:pStyle w:val="TextoNormal"/>
      </w:pPr>
    </w:p>
    <w:p w:rsidR="00163957" w:rsidRDefault="00163957" w:rsidP="00163957">
      <w:pPr>
        <w:pStyle w:val="TextoNormal"/>
      </w:pPr>
      <w:r>
        <w:lastRenderedPageBreak/>
        <w:t>El Abogado del Estado, como ha quedado expuesto con más detalle en los antecedentes, ha interesado la inadmisión del recurso de amparo por no haberse justificado la especial trascendencia constitucional, y, subsidiariamente, su desestimación, al considerar que no se ha producido la lesión denunciada por el actor. Por su parte, el Ministerio Fiscal ha alegado el óbice de falta de agotamiento de la vía judicial previa, solicitando, alternativamente, la desestimación del recurso de amparo.</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análisis de la cuestión de fondo, es preciso abordar el estudio de los óbices procesales opuestos por el Abogado del Estado y por el Ministerio Fiscal. El primero de ellos ha sido alegado por el Abogado del Estado, que achaca a la demanda la falta de justificación de la especial trascendencia constitucional del recurso.</w:t>
      </w:r>
    </w:p>
    <w:p w:rsidR="00163957" w:rsidRDefault="00163957" w:rsidP="00163957">
      <w:pPr>
        <w:pStyle w:val="TextoNormal"/>
      </w:pPr>
    </w:p>
    <w:p w:rsidR="00163957" w:rsidRDefault="00163957" w:rsidP="00163957">
      <w:pPr>
        <w:pStyle w:val="TextoNormal"/>
      </w:pPr>
      <w:r>
        <w:t xml:space="preserve">Este Tribunal ha venido distinguiendo entre la justificación de la especial trascendencia constitucional, que es un requisito procesal que debe cumplir toda demanda [art. 49.1 </w:t>
      </w:r>
      <w:r w:rsidRPr="00163957">
        <w:rPr>
          <w:i/>
        </w:rPr>
        <w:t>in fine</w:t>
      </w:r>
      <w:r>
        <w:t xml:space="preserve"> de la Ley Orgánica del Tribunal Constitucional (LOTC)], y la existencia misma de la especial trascendencia constitucional, que es una apreciación que corresponde al Tribunal.</w:t>
      </w:r>
    </w:p>
    <w:p w:rsidR="00163957" w:rsidRDefault="00163957" w:rsidP="00163957">
      <w:pPr>
        <w:pStyle w:val="TextoNormal"/>
      </w:pPr>
    </w:p>
    <w:p w:rsidR="00163957" w:rsidRDefault="00163957" w:rsidP="00163957">
      <w:pPr>
        <w:pStyle w:val="TextoNormal"/>
      </w:pPr>
      <w:r>
        <w:t xml:space="preserve">Respecto del requisito procesal, ha señalado reiteradamente este Tribunal que, de conformidad con el art. 50.1 a) LOTC, la admisión del recurso de amparo exige el cumplimiento de los requisitos establecidos en los arts. 41 a 46 y 49 LOTC, disponiendo este último precepto en su apartado 1, </w:t>
      </w:r>
      <w:r w:rsidRPr="00163957">
        <w:rPr>
          <w:i/>
        </w:rPr>
        <w:t>in fine</w:t>
      </w:r>
      <w:r>
        <w:t>, de forma inequívoca, que la demanda ha de justificar la especial trascendencia constitucional del recurso. Para satisfacer esta exigencia,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163957" w:rsidRDefault="00163957" w:rsidP="00163957">
      <w:pPr>
        <w:pStyle w:val="TextoNormal"/>
      </w:pPr>
    </w:p>
    <w:p w:rsidR="00163957" w:rsidRDefault="00163957" w:rsidP="00163957">
      <w:pPr>
        <w:pStyle w:val="TextoNormal"/>
      </w:pPr>
      <w:r>
        <w:t>En el presente caso, la demanda razona específicamente sobre la especial trascendencia constitucional del recurso, con cita expresa de la STC 155/2009, de 25 de junio, invocando el motivo e) de su fundamento jurídico 2, y alegando, en síntesis, el incumplimiento general y reiterado de la doctrina de este Tribunal sobre el derecho a un proceso sin dilaciones indebidas por los distintos Juzgados de lo Contencioso-Administrativo de Madrid, los cuales justifican las demoras de varios años en los señalamientos de los procedimientos abreviados en materia de extranjería con motivos tales como razones estructurales o de carga de trabajo del Juzgado que, según la doctrina constitucional, en ningún caso pueden fundamentar el retraso.</w:t>
      </w:r>
    </w:p>
    <w:p w:rsidR="00163957" w:rsidRDefault="00163957" w:rsidP="00163957">
      <w:pPr>
        <w:pStyle w:val="TextoNormal"/>
      </w:pPr>
    </w:p>
    <w:p w:rsidR="00163957" w:rsidRDefault="00163957" w:rsidP="00163957">
      <w:pPr>
        <w:pStyle w:val="TextoNormal"/>
      </w:pPr>
      <w:r>
        <w:t>Por tanto, y con independencia de la valoración que las alegaciones recogidas en la demanda puedan merecer, cabe apreciar un esfuerzo argumental de la parte recurrente destinado a cumplimentar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que tenemos asentados en nuestra doctrina antes citada, sin que, por las razones que a continuación se expondrán, pueda estimarse que el razonamiento de la demanda se encuentre ayuno de acreditación.</w:t>
      </w:r>
    </w:p>
    <w:p w:rsidR="00163957" w:rsidRDefault="00163957" w:rsidP="00163957">
      <w:pPr>
        <w:pStyle w:val="TextoNormal"/>
      </w:pPr>
    </w:p>
    <w:p w:rsidR="00163957" w:rsidRDefault="00163957" w:rsidP="00163957">
      <w:pPr>
        <w:pStyle w:val="TextoNormal"/>
      </w:pPr>
      <w:r>
        <w:lastRenderedPageBreak/>
        <w:t>En relación con la especial trascendencia constitucional de esta demanda de amparo, hemos declarado, entre otras muchas, en la STC 54/2015, de 16 de marzo, FJ 4,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163957" w:rsidRDefault="00163957" w:rsidP="00163957">
      <w:pPr>
        <w:pStyle w:val="TextoNormal"/>
      </w:pPr>
    </w:p>
    <w:p w:rsidR="00163957" w:rsidRDefault="00163957" w:rsidP="00163957">
      <w:pPr>
        <w:pStyle w:val="TextoNormal"/>
      </w:pPr>
      <w:r>
        <w:t xml:space="preserve">Pues bien, en el presente caso, este Tribunal aprecia que el recurso plantea dos aspectos que le otorgan especial trascendencia constitucional: por una parte, la propia causa alegada por el actor, que resulta corroborada a poco que se consulten los más recientes pronunciamientos estimatorios de este Tribunal en materia de dilaciones indebidas (SSTC 54/2014, de 10 de abril; 58/2014, de 5 de mayo; 99/2014, de 23 de junio; 74/2015, de 27 de abril; 87/2015, de 11 de mayo, y 88/2015, de 11 de mayo), referidos todos ellos a asuntos de extranjería seguidos ante distintos Juzgados de lo Contencioso-Administrativo de Madrid, circunstancia que concurre igualmente en éste y en otros cuatro recursos de amparo admitidos a trámite y pendientes de Sentencia. Por otra parte, porque el recurso suscita a este Tribunal Constitucional la necesidad de afrontar el problema, también planteado por el Ministerio Fiscal en sus alegaciones, de la exclusión de la intervención judicial, conforme al art. 102 </w:t>
      </w:r>
      <w:r w:rsidRPr="00163957">
        <w:rPr>
          <w:i/>
        </w:rPr>
        <w:t>bis</w:t>
      </w:r>
      <w:r>
        <w:t>.2 de la Ley reguladora de la jurisdicción contencioso-administrativa (LJCA), respecto a decisiones de los Secretarios Judiciales tales como la que es objeto de impugnación en el presente caso, en las que se encuentran en juego derechos fundamentales, con la consiguiente quiebra del principio de subsidiariedad del recurso de amparo ante este Tribunal y el correlativo incumplimiento de la exigencia establecida en el art. 44.1 a) LOTC.</w:t>
      </w:r>
    </w:p>
    <w:p w:rsidR="00163957" w:rsidRDefault="00163957" w:rsidP="00163957">
      <w:pPr>
        <w:pStyle w:val="TextoNormal"/>
      </w:pPr>
    </w:p>
    <w:p w:rsidR="00163957" w:rsidRDefault="00163957" w:rsidP="00163957">
      <w:pPr>
        <w:pStyle w:val="TextoNormal"/>
      </w:pPr>
      <w:r>
        <w:t xml:space="preserve">Las anteriores precisiones sobre la especial trascendencia constitucional se formulan “en salvaguarda del principio de seguridad jurídica que, conforme a la Sentencia del Tribunal Europeo de Derechos Humanos de 20 de enero de 2015, dictada en el asunto </w:t>
      </w:r>
      <w:r w:rsidRPr="00163957">
        <w:rPr>
          <w:i/>
        </w:rPr>
        <w:t>Arribas Antón c.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El otro óbice procesal, opuesto por el Ministerio Fiscal, y que ya se ha avanzado en cierta forma en el fundamento anterior, presenta mayor enjundia. A su juicio, existe un problema en cuanto al agotamiento de la vía judicial previa porque lo que aquí se impugna son sendas resoluciones de la Secretaria del Juzgado de lo Contencioso-Administrativo núm. 32 de Madrid, y la posibilidad de articular recurso de amparo directamente contra tales resoluciones, sin que hayan sido objeto de revisión judicial, resulta contraria a la propia naturaleza subsidiaria del amparo y al recto entender de la Ley Orgánica del Tribunal Constitucional cuando se refiere a la lesión de los derechos fundamentales ocasionadas por los actos y omisiones de los órganos judiciales, entendidos estrictamente como los Jueces y Tribunales que ejercen la función jurisdiccional, sin comprender los actos y decisiones del personal que integra la oficina judicial, a cuyo frente se encuentran los secretarios judiciales (actualmente, letrados de la Administración de Justicia, como ya se ha señalado). El propio Fiscal reconoce que el problema reside en que el art. 102 </w:t>
      </w:r>
      <w:r w:rsidRPr="00163957">
        <w:rPr>
          <w:i/>
        </w:rPr>
        <w:t>bis</w:t>
      </w:r>
      <w:r>
        <w:t xml:space="preserve">.2 LJCA (introducido por la Ley 13/2009, de 3 de noviembre, de reforma de la legislación procesal para la implantación de </w:t>
      </w:r>
      <w:r>
        <w:lastRenderedPageBreak/>
        <w:t>la nueva oficina judicial) impide terminantemente la posibilidad de que decisiones como las aquí impugnadas sean revisadas por el Juez o Tribunal, al disponer que “Contra el decreto resolutivo de la reposición no se dará recurso alguno, sin perjuicio de reproducir la cuestión al recurrir, si fuere procedente, la resolución definitiva”.</w:t>
      </w:r>
    </w:p>
    <w:p w:rsidR="00163957" w:rsidRDefault="00163957" w:rsidP="00163957">
      <w:pPr>
        <w:pStyle w:val="TextoNormal"/>
      </w:pPr>
    </w:p>
    <w:p w:rsidR="00163957" w:rsidRDefault="00163957" w:rsidP="00163957">
      <w:pPr>
        <w:pStyle w:val="TextoNormal"/>
      </w:pPr>
      <w:r>
        <w:t xml:space="preserve">Esta problemática también ha sido planteada en este Tribunal Constitucional en una serie de recursos de amparo referidos a la misma materia, entre los que se incluía el que nos ocupa, lo que llevó a esta Sala a acordar en el recurso de amparo núm. 4577-2011 el planteamiento de cuestión interna de inconstitucionalidad en relación con el art. 102 </w:t>
      </w:r>
      <w:r w:rsidRPr="00163957">
        <w:rPr>
          <w:i/>
        </w:rPr>
        <w:t>bis</w:t>
      </w:r>
      <w:r>
        <w:t xml:space="preserve">.2 LJCA por medio del ATC 163/2013, de 9 de septiembre; actuación que resultaba imprescindible, a pesar de que haya producido como inevitable efecto un lamentable retraso en la resolución de éste y de otros recursos de amparo, cuya decisión quedó en suspenso a la espera de la resolución de la reseñada cuestión de inconstitucionalidad. Dicha cuestión ha sido estimada por la recientísima STC 58/2016, de 17 de marzo, en la que el Pleno de este Tribunal ha reconocido que la imposibilidad de impugnar el decreto resolutorio de la reposición no era salvable ni a través de la opción de impugnar la resolución que ponga fin al proceso (que no siempre cabe y que carece de virtualidad tratándose del derecho a un proceso sin dilaciones indebidas, cuya alegación no tiene sentido cuando el proceso ha finalizado, según nuestra reiterada doctrina), ni por las vías establecidas en los arts. 240.2 y 241.1 de la Ley Orgánica del Poder Judicial. Por ello, ha resuelto que el párrafo primero del citado precepto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como señala el ATC 163/2013, FJ 2, el derecho del justiciable a someter a la decisión última del Juez o Tribunal, a quien compete de modo exclusivo la potestad jurisdiccional, la resolución de una cuestión que atañe a sus derechos e intereses y legítimos, pudiendo afectar incluso a otro derecho fundamental: a un proceso sin dilaciones indebidas. Ello implica que tal exclusión deba reputarse lesiva del derecho a la tutela judicial efectiva que a todos garantiza el art. 24.1 CE y del principio de exclusividad de la potestad jurisdiccional (art. 117.3 CE)” (FJ 7). Asimismo, la Sentencia precisa que hasta que el legislador no se pronuncie al respecto, el recurso judicial procedente frente al decreto del Letrado de la Administración de Justicia resolutivo de la reposición ha de ser el directo de revisión al que se refiere el propio art. 102 </w:t>
      </w:r>
      <w:r w:rsidRPr="00163957">
        <w:rPr>
          <w:i/>
        </w:rPr>
        <w:t>bis</w:t>
      </w:r>
      <w:r>
        <w:t>.2 LJCA.</w:t>
      </w:r>
    </w:p>
    <w:p w:rsidR="00163957" w:rsidRDefault="00163957" w:rsidP="00163957">
      <w:pPr>
        <w:pStyle w:val="TextoNormal"/>
      </w:pPr>
    </w:p>
    <w:p w:rsidR="00163957" w:rsidRDefault="00163957" w:rsidP="00163957">
      <w:pPr>
        <w:pStyle w:val="TextoNormal"/>
      </w:pPr>
      <w:r>
        <w:t>La reciente declaración de la inconstitucionalidad de dicho precepto no permite, precisamente por la fecha en que se produce, que en el presente caso pueda apreciarse el óbice de falta de agotamiento de la vía judicial previa. Es indudable que, en el momento en el que el actor trató de reaccionar contra la presunta lesión de su derecho fundamental a un proceso sin dilaciones indebidas, no podía en modo alguno obtener una respuesta judicial previa dado el veto al respecto previsto en el párrafo primero de aquel precepto, ahora declarado inconstitucional. Por otro lado, tampoco cabe, a la luz del pronunciamiento contenido en la STC 58/2016, de 17 de marzo, retrotraer las actuaciones para que el actor pueda utilizar la vía del recurso de revisión, de acuerdo con lo que se indica en el fundamento jurídico 7 de dicha Sentencia, porque el proceso se encuentra ya terminado, tras haberse dictado por el Juzgado Sentencia estimatoria del recurso, de modo que no se produciría otro efecto que el de perjudicar al actor, añadiendo además nuevas dilaciones a las ya padecidas.</w:t>
      </w:r>
    </w:p>
    <w:p w:rsidR="00163957" w:rsidRDefault="00163957" w:rsidP="00163957">
      <w:pPr>
        <w:pStyle w:val="TextoNormal"/>
      </w:pPr>
    </w:p>
    <w:p w:rsidR="00163957" w:rsidRDefault="00163957" w:rsidP="00163957">
      <w:pPr>
        <w:pStyle w:val="TextoNormal"/>
      </w:pPr>
      <w:r>
        <w:t xml:space="preserve">La solución constitucionalmente adecuada, dada la declaración de inconstitucionalidad del art. 102 </w:t>
      </w:r>
      <w:r w:rsidRPr="00163957">
        <w:rPr>
          <w:i/>
        </w:rPr>
        <w:t>bis</w:t>
      </w:r>
      <w:r>
        <w:t>.2 LJCA, es proceder a examinar la queja de fondo articulada en el presente recurso de amparo, pues fue la propia Ley la que impidió la intervención del Magistrado-Juez de lo Contencioso-Administrativo núm. 32 de Madrid, en ejercicio de su función jurisdiccional de tutela de los derechos fundamentales, lo cual justifica que este Tribunal intervenga para reparar la lesión del derecho a un proceso sin dilaciones indebidas del actor, tal y como ha hecho también para un caso igual en la recientísima STC 63/2016, de 11 de abril.</w:t>
      </w:r>
    </w:p>
    <w:p w:rsidR="00163957" w:rsidRDefault="00163957" w:rsidP="00163957">
      <w:pPr>
        <w:pStyle w:val="TextoNormal"/>
      </w:pPr>
    </w:p>
    <w:p w:rsidR="00163957" w:rsidRDefault="00163957" w:rsidP="00163957">
      <w:pPr>
        <w:pStyle w:val="TextoNormal"/>
      </w:pPr>
      <w:r w:rsidRPr="00163957">
        <w:rPr>
          <w:rStyle w:val="NumeroAFNegritaCaracter"/>
        </w:rPr>
        <w:t>4</w:t>
      </w:r>
      <w:r>
        <w:t>. Una vez despejados los anteriores óbices, podemos proceder a analizar la queja que se ha suscitado en este recurso, que recae, como ya se ha expuesto reiteradamente, sobre el derecho a un proceso sin dilaciones indebidas, consagrado en el art. 24.2 CE. Pues bien, para determinar si nos encontramos o no ante una vulneración del meritado derecho, hemos de acudir a las pautas que nos ofrece nuestra jurisprudencia, conforme a la cual, este derecho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no toda infracción de los plazos procesales o toda excesiva duración temporal de las actuaciones judiciales supone una vulneración del derecho fundamental que estamos comentando (por todas, STC 54/2014, de 10 de abril, FJ 4), sin que, por otra parte, el derecho fundamental referido pueda identificarse con un derecho al riguroso cumplimiento de los plazos procesales, configurándose a partir de la dimensión temporal de todo proceso y su razonabilidad (STC 142/2010, de 21 de diciembre, FJ 3). Como hemos subrayado, más recientemente, en las SSTC 89/2014, de 9 de junio, FJ 4, 99/2014, de 23 de junio, FJ 4, y 74/2015, de 27 de abril, FJ 4, con cita de la jurisprudencia precedente, la prohibición de retrasos injustificados en la marcha de los procesos judiciales impone a los Jueces y Tribunales el deber de obrar con la celeridad que les permita la duración normal o acostumbrada de los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la conducta de las autoridades.</w:t>
      </w:r>
    </w:p>
    <w:p w:rsidR="00163957" w:rsidRDefault="00163957" w:rsidP="00163957">
      <w:pPr>
        <w:pStyle w:val="TextoNormal"/>
      </w:pPr>
    </w:p>
    <w:p w:rsidR="00163957" w:rsidRDefault="00163957" w:rsidP="00163957">
      <w:pPr>
        <w:pStyle w:val="TextoNormal"/>
      </w:pPr>
      <w:r w:rsidRPr="00163957">
        <w:rPr>
          <w:rStyle w:val="NumeroAFNegritaCaracter"/>
        </w:rPr>
        <w:t>5</w:t>
      </w:r>
      <w:r>
        <w:t>. Procede pues aplicar la anterior doctrina al caso que nos ocupa, precisando, ante todo, que este Tribunal no puede determinar en abstracto cuál debe ser la duración razonable de un procedimiento abreviado de los previstos en el art. 78 LJCA. Lo que sí puede y debe hacer es analizar las circunstancias concretas del caso a la vista de los criterios señalados.</w:t>
      </w:r>
    </w:p>
    <w:p w:rsidR="00163957" w:rsidRDefault="00163957" w:rsidP="00163957">
      <w:pPr>
        <w:pStyle w:val="TextoNormal"/>
      </w:pPr>
    </w:p>
    <w:p w:rsidR="00163957" w:rsidRDefault="00163957" w:rsidP="00163957">
      <w:pPr>
        <w:pStyle w:val="TextoNormal"/>
      </w:pPr>
      <w:r>
        <w:t xml:space="preserve">Así, en primer lugar, se puede afirmar que el asunto planteado no reviste una especial complejidad, al tratarse de un recurso interpuesto contra una resolución administrativa que denegó una autorización de residencia de larga duración solicitada por el actor, sin que la pretensión deducida ante el órgano judicial pueda considerarse como particularmente compleja, ni así se haya hecho constar a la hora de establecer el señalamiento para la vista ni al </w:t>
      </w:r>
      <w:r>
        <w:lastRenderedPageBreak/>
        <w:t>resolver el recurso de reposición interpuesto contra el decreto a través del cual se efectuó dicho señalamiento. Por consiguiente, no parece razonable que en un procedimiento de esta naturaleza se haya diferido la vista del recurso contencioso-administrativo, con evidente perjuicio del recurrente, a una fecha tan lejana como el 15 de febrero de 2012.</w:t>
      </w:r>
    </w:p>
    <w:p w:rsidR="00163957" w:rsidRDefault="00163957" w:rsidP="00163957">
      <w:pPr>
        <w:pStyle w:val="TextoNormal"/>
      </w:pPr>
    </w:p>
    <w:p w:rsidR="00163957" w:rsidRDefault="00163957" w:rsidP="00163957">
      <w:pPr>
        <w:pStyle w:val="TextoNormal"/>
      </w:pPr>
      <w:r>
        <w:t>En cuanto al criterio relativo a los márgenes ordinarios de duración de los litigios, este Tribunal ha tenido ocasión de pronunciarse sobre la vulneración del derecho a un proceso sin dilaciones indebidas, con motivo del señalamiento de la vista, en procedimientos relativos a extranjería. Bien es cierto que el tiempo de un año y tres meses desde la presentación de la demanda a la celebración de la vista (aun con la necesidad de haber subsanado la acreditación de la representación de la Letrada que intervenía en el procedimiento defendiendo los intereses del actor) no excede de los plazos considerados por este Tribunal en otros supuestos de procedimientos abreviados en materia de extranjería, que van desde un año y medio hasta otros que superan los cuatro años (entre otras, SSTC 54/2014, de 10 de abril; 99/2014, de 23 de junio; 74/2015, de 27 de abril, y 88/2015, de 11 de mayo). Pero ello no impide que, atendidas las circunstancias del caso, deba considerarse también aquí excesivo el lapso que resta hasta la celebración de la vista, habida cuenta de que el único trámite que contempla el art. 78 LJCA antes de dicha celebración es la reclamación del expediente administrativo a la Administración demandada, a la que se exige remitirlo con, al menos, quince días de antelación del término señalado para la vista, y el posterior traslado del expediente al actor y a los interesados personados para que puedan hacer alegaciones en el acto de la vista, por lo cual se percibe una evidente desproporción entre esos trámite y el retraso para llevar a cabo la celebración de la vista. Por consiguiente, cabe apreciar que el presente caso se inscribe en lo que nuestra doctrina ha calificado como demora constitutiva de una dilación indebida.</w:t>
      </w:r>
    </w:p>
    <w:p w:rsidR="00163957" w:rsidRDefault="00163957" w:rsidP="00163957">
      <w:pPr>
        <w:pStyle w:val="TextoNormal"/>
      </w:pPr>
    </w:p>
    <w:p w:rsidR="00163957" w:rsidRDefault="00163957" w:rsidP="00163957">
      <w:pPr>
        <w:pStyle w:val="TextoNormal"/>
      </w:pPr>
      <w:r>
        <w:t>Por otra parte, ha de ponderarse también el interés que arriesgue el recurrente en el pleito, que no era otro que obtener una resolución judicial que determinara si era ajustada a Derecho o no la resolución administrativa que acordó denegarle la solicitud de autorización de residencia de larga duración. Pues bien, a pesar de lo que ha objetado el Ministerio Fiscal en cuanto a este criterio, es evidente que, al igual que en otros casos, como el resuelto por la STC 74/2015, de 27 de abril, la decisión que se pretendía obtener afectaba necesariamente a un ámbito preferente de los derechos e intereses legítimos del actor, relacionado con la organización de su vida familiar y social, pues del sentido de la misma podía depender incluso su permanencia en España, teniendo en cuenta, además, que ya en la demanda contencioso-administrativa se señalaba que el recurrente tenía una hija menor de edad con la que convivía y que dependía económicamente de él, encontrándose cursando estudios de Secundaria en este país, así como que el Sr. Neyko padece una grave enfermedad crónica e incurable que requiere periódicamente ingresos hospitalarios, realizándose el seguimiento de esa dolencia, desde su aparición, en un hospital de Madrid.</w:t>
      </w:r>
    </w:p>
    <w:p w:rsidR="00163957" w:rsidRDefault="00163957" w:rsidP="00163957">
      <w:pPr>
        <w:pStyle w:val="TextoNormal"/>
      </w:pPr>
    </w:p>
    <w:p w:rsidR="00163957" w:rsidRDefault="00163957" w:rsidP="00163957">
      <w:pPr>
        <w:pStyle w:val="TextoNormal"/>
      </w:pPr>
      <w:r>
        <w:t>Asimismo, ha de excluirse que la conducta procesal del demandante de amparo merezca reproche (salvo en lo relativo a la necesidad de subsanar la falta de aportación con la demanda del documento acreditativo de la representación), por haber puesto de manifiesto inmediatamente en su recurso de reposición contra el Decreto de 9 de febrero de 2011, que efectuó el señalamiento para la vista, la vulneración del derecho fundamental a un proceso sin dilaciones indebidas, con solicitud expresa de que se anticipara la fecha de celebración de la vista.</w:t>
      </w:r>
    </w:p>
    <w:p w:rsidR="00163957" w:rsidRDefault="00163957" w:rsidP="00163957">
      <w:pPr>
        <w:pStyle w:val="TextoNormal"/>
      </w:pPr>
    </w:p>
    <w:p w:rsidR="00163957" w:rsidRDefault="00163957" w:rsidP="00163957">
      <w:pPr>
        <w:pStyle w:val="TextoNormal"/>
      </w:pPr>
      <w:r w:rsidRPr="00163957">
        <w:rPr>
          <w:rStyle w:val="NumeroAFNegritaCaracter"/>
        </w:rPr>
        <w:t>6</w:t>
      </w:r>
      <w:r>
        <w:t>. Expuesto lo anterior, es preciso subrayar que la dilación denunciada por el demandante de amparo no tiene su origen en el silencio judicial ante peticiones de la parte, ni en la inactividad procesal durante largos períodos de tiempo, ni en la demora en proceder a señalar la fecha de la vista, sino que se debe al hecho de mediar un período excesivo de tiempo entre el momento en que se dictó el decreto de señalamiento de la vista y la fecha fijada para tal acto procesal, decisión tomada de acuerdo con las reglas de los arts. 182 LEC y 78 LJCA, ajustándose al orden de antigüedad, por lo que el retraso parece obedecer a causas estructurales y a la carga de trabajo que pesa sobre el órgano judicial.</w:t>
      </w:r>
    </w:p>
    <w:p w:rsidR="00163957" w:rsidRDefault="00163957" w:rsidP="00163957">
      <w:pPr>
        <w:pStyle w:val="TextoNormal"/>
      </w:pPr>
    </w:p>
    <w:p w:rsidR="00163957" w:rsidRDefault="00163957" w:rsidP="00163957">
      <w:pPr>
        <w:pStyle w:val="TextoNormal"/>
      </w:pPr>
      <w:r>
        <w:t>No obstante, el hecho de que la presente demora se deba a motivos estructurales, no imputables directamente al órgano judicial, no impide apreciar la vulneración del derecho del recurrente a un proceso sin dilaciones indebidas, pues esta situación no altera la naturaleza injustificada de dichas dilaciones, según reiterada jurisprudencia de este Tribunal y del Tribunal Europeo de Derechos Humanos, en tanto que el ciudadano es ajeno a esas circunstancias.</w:t>
      </w:r>
    </w:p>
    <w:p w:rsidR="00163957" w:rsidRDefault="00163957" w:rsidP="00163957">
      <w:pPr>
        <w:pStyle w:val="TextoNormal"/>
      </w:pPr>
    </w:p>
    <w:p w:rsidR="00163957" w:rsidRDefault="00163957" w:rsidP="00163957">
      <w:pPr>
        <w:pStyle w:val="TextoNormal"/>
      </w:pPr>
      <w:r>
        <w:t>Sobre este extremo, nos recuerda la STC 142/2010, de 21 de diciembre, FJ 4, que “como ha señalado este Tribunal, entre otras, en las SSTC 160/2004, de 4 de octubre, FJ 5, y 153/2005, de 6 de junio, FJ 6,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180/1996, de 16 de noviembre, FJ 4)”.</w:t>
      </w:r>
    </w:p>
    <w:p w:rsidR="00163957" w:rsidRDefault="00163957" w:rsidP="00163957">
      <w:pPr>
        <w:pStyle w:val="TextoNormal"/>
      </w:pPr>
    </w:p>
    <w:p w:rsidR="00163957" w:rsidRDefault="00163957" w:rsidP="00163957">
      <w:pPr>
        <w:pStyle w:val="TextoNormal"/>
      </w:pPr>
      <w:r>
        <w:t xml:space="preserve">Igual criterio sostiene el Tribunal Europeo de Derechos Humanos, al afirmar en su Sentencia de 7 de julio de 1989, caso </w:t>
      </w:r>
      <w:r w:rsidRPr="00163957">
        <w:rPr>
          <w:i/>
        </w:rPr>
        <w:t>Unión Alimentaria Sanders c. España</w:t>
      </w:r>
      <w:r>
        <w:t xml:space="preserve">, el carácter estructural de las dilaciones sufridas por la sociedad demandante, concluyendo que esta situación no puede privar a los ciudadanos de su derecho al respeto del plazo razonable (§§ 38 y 42), o cuando en la Sentencia de 11 de marzo de 2004, caso </w:t>
      </w:r>
      <w:r w:rsidRPr="00163957">
        <w:rPr>
          <w:i/>
        </w:rPr>
        <w:t>Lenaerts c. Bélgica</w:t>
      </w:r>
      <w:r>
        <w:t xml:space="preserve"> (§ 18),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7</w:t>
      </w:r>
      <w:r>
        <w:t>. Por todo lo anterior, cabe concluir que se ha vulnerado en este caso el derecho a un proceso sin dilaciones indebidas del recurrente (art. 24.2 CE), como consecuencia de la fecha fijada por el órgano judicial para la celebración de la vista de su recurso contencioso-administrativo. Al igual que en otros casos resueltos por este Tribunal (por todas, SSTC 88/2015, de 11 de mayo, FJ 4, y 63/2016, de 11 de abril, FJ 7), el otorgamiento del amparo debe limitarse a la declaración de la violación del derecho fundamental, dado que el procedimiento seguido ante el Juzgado de lo Contencioso-Administrativo núm. 32 de Madrid ya se encuentra terminado tras haberse dictado por el mismo Sentencia estimatoria del recurso con fecha 17 de diciembre de 2012, reconociendo el derecho del recurrente a que se le concediera la autorización de residencia de larga duración.</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don Stepan Neyko, y, en su virtud, declarar que se ha vulnerado su derecho a un proceso sin dilaciones indebidas (art. 24.2 CE).</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nueve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93" w:name="SENTENCIA_2016_90"/>
      <w:r>
        <w:lastRenderedPageBreak/>
        <w:t>SENTENCIA 90/2016, de 9 de mayo de 2016</w:t>
      </w:r>
    </w:p>
    <w:bookmarkEnd w:id="93"/>
    <w:p w:rsidR="00163957" w:rsidRDefault="00163957" w:rsidP="00163957">
      <w:pPr>
        <w:pStyle w:val="TtuloResolucin"/>
      </w:pPr>
      <w:r>
        <w:t>Sala Segunda</w:t>
      </w:r>
    </w:p>
    <w:p w:rsidR="00163957" w:rsidRDefault="00163957" w:rsidP="00163957">
      <w:pPr>
        <w:pStyle w:val="TtuloBOE"/>
      </w:pPr>
      <w:r>
        <w:t>(BOE núm. 147, de 18 de junio de 2016)</w:t>
      </w:r>
    </w:p>
    <w:p w:rsidR="00163957" w:rsidRDefault="00163957" w:rsidP="00163957">
      <w:pPr>
        <w:pStyle w:val="TextoNormalCentrado"/>
      </w:pPr>
      <w:r>
        <w:t>ECLI:ES:TC:2016:90</w:t>
      </w:r>
    </w:p>
    <w:p w:rsidR="00163957" w:rsidRDefault="00163957" w:rsidP="00163957">
      <w:pPr>
        <w:pStyle w:val="TextoNormalCentrado"/>
      </w:pPr>
    </w:p>
    <w:p w:rsidR="00163957" w:rsidRDefault="00163957" w:rsidP="00163957">
      <w:pPr>
        <w:pStyle w:val="SntesisDescriptiva"/>
      </w:pPr>
      <w:r>
        <w:t>Cuestión de inconstitucionalidad 3488-2013. Planteada por la Sala de lo Social de la Audiencia Nacional, en relación con el artículo 2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extinción, por pérdida de objeto, de la cuestión de inconstitucionalidad (STC 83/2015).</w:t>
      </w:r>
    </w:p>
    <w:p w:rsidR="00163957" w:rsidRDefault="00163957" w:rsidP="00163957">
      <w:pPr>
        <w:pStyle w:val="SntesisAnaltica"/>
      </w:pPr>
    </w:p>
    <w:p w:rsidR="00163957" w:rsidRDefault="00163957" w:rsidP="00163957">
      <w:pPr>
        <w:pStyle w:val="Extracto"/>
      </w:pPr>
      <w:r>
        <w:t>1.</w:t>
      </w:r>
      <w:r>
        <w:tab/>
        <w:t>Asunto sustancialmente idéntico al resuelto por la STC 83/2015, relativa a la pérdida de objeto de la cuestión de inconstitucionalidad como consecuencia de la satisfacción extraprocesal de la pretensión [FFJJ 2 a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3488-2013, promovida por la Sala de lo Social de la Audiencia Nacional, en relación con el art. 2 del Real Decreto-ley 20/2012, de 13 de julio, de medidas para garantizar la estabilidad presupuestaria y de fomento de la competitividad. Ha comparecido y formulado alegaciones el Abogado del Estado. Ha intervenido el Fiscal General del Estado. Ha sido Ponente el Magistrado don Fernando Valdés Dal-Ré,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Con fecha 7 de junio de 2013 tuvo entrada en el Registro General del Tribunal Constitucional un oficio de la Sala de lo Social de la Audiencia Nacional, de 6 de junio de 2013, al que se acompañaba, junto al testimonio del correspondiente procedimiento, el Auto de 14 de mayo de 2013 por el que se acuerda plantear cuestión de inconstitucionalidad en relación con el art. 2 del Real Decreto-ley 20/2012, de 13 de julio, de medidas para garantizar la estabilidad presupuestaria y de fomento de la competitividad, por posible vulneración del principio de irretroactividad del art. 9.3 CE, en su aplicación al personal laboral del sector público.</w:t>
      </w:r>
    </w:p>
    <w:p w:rsidR="00163957" w:rsidRDefault="00163957" w:rsidP="00163957">
      <w:pPr>
        <w:pStyle w:val="TextoNormal"/>
      </w:pPr>
    </w:p>
    <w:p w:rsidR="00163957" w:rsidRDefault="00163957" w:rsidP="00163957">
      <w:pPr>
        <w:pStyle w:val="TextoNormal"/>
      </w:pPr>
      <w:r w:rsidRPr="00163957">
        <w:rPr>
          <w:rStyle w:val="NumeroAFNegritaCaracter"/>
        </w:rPr>
        <w:t>2</w:t>
      </w:r>
      <w:r>
        <w:t>. Resumidamente, los antecedentes del planteamiento de la presente cuestión de inconstitucionalidad son los siguientes:</w:t>
      </w:r>
    </w:p>
    <w:p w:rsidR="00163957" w:rsidRDefault="00163957" w:rsidP="00163957">
      <w:pPr>
        <w:pStyle w:val="TextoNormal"/>
      </w:pPr>
    </w:p>
    <w:p w:rsidR="00163957" w:rsidRDefault="00163957" w:rsidP="00163957">
      <w:pPr>
        <w:pStyle w:val="TextoNormal"/>
      </w:pPr>
      <w:r>
        <w:t>a) La empresa Chronoexpress, S.A., es una sociedad mercantil estatal perteneciente al grupo Correos, participada al 100 por 100 por la Sociedad Estatal de Participaciones Industriales (SEPI) y con centros de trabajo en todo el territorio nacional. Chronoexpress rige sus relaciones laborales por los convenios colectivos provinciales de transporte de mercancías, si bien en algunos centros de trabajo se convino que las pagas extraordinarias se devengarían semestralmente con arreglo a lo previsto en el convenio colectivo de empresas de mensajería.</w:t>
      </w:r>
    </w:p>
    <w:p w:rsidR="00163957" w:rsidRDefault="00163957" w:rsidP="00163957">
      <w:pPr>
        <w:pStyle w:val="TextoNormal"/>
      </w:pPr>
    </w:p>
    <w:p w:rsidR="00163957" w:rsidRDefault="00163957" w:rsidP="00163957">
      <w:pPr>
        <w:pStyle w:val="TextoNormal"/>
      </w:pPr>
      <w:r>
        <w:t>b) Las organizaciones sindicales federación estatal de transportes, Comunicaciones y mar de la Unión General de Trabajadores (TCM-UGT) y federación de servicios a la ciudadanía de Comisiones Obreras formularon demandas de conflicto colectivo contra la empresa Chronoexpress, S.A., y otros, que dieron lugar a los autos núms. 44-2013 y 115-2013 (acumulados), seguidos ante la Sala de lo Social de la Audiencia Nacional, por la supresión de la paga extraordinaria del mes de diciembre de 2012.</w:t>
      </w:r>
    </w:p>
    <w:p w:rsidR="00163957" w:rsidRDefault="00163957" w:rsidP="00163957">
      <w:pPr>
        <w:pStyle w:val="TextoNormal"/>
      </w:pPr>
    </w:p>
    <w:p w:rsidR="00163957" w:rsidRDefault="00163957" w:rsidP="00163957">
      <w:pPr>
        <w:pStyle w:val="TextoNormal"/>
      </w:pPr>
      <w:r>
        <w:t>c) En el acto del juicio, celebrado el día 4 de abril de 2013, los demandantes sostuvieron que, a pesar de lo dispuesto en el art. 2 del Real Decreto-ley 20/2012, en la citada empresa no procedía descontar o detraer de la paga extraordinaria la parte proporcional de la misma ya devengada en el momento de la entrada en vigor de la norma (15 de julio de 2012) por cuanto, de acuerdo con el art. 9.3 CE, no cabía que la supresión operara de modo retroactivo sino solo a partir del 15 de julio, teniendo en cuenta la doctrina jurisprudencial según la cual las pagas extras se devengan día a día y son salario diferido.</w:t>
      </w:r>
    </w:p>
    <w:p w:rsidR="00163957" w:rsidRDefault="00163957" w:rsidP="00163957">
      <w:pPr>
        <w:pStyle w:val="TextoNormal"/>
      </w:pPr>
    </w:p>
    <w:p w:rsidR="00163957" w:rsidRDefault="00163957" w:rsidP="00163957">
      <w:pPr>
        <w:pStyle w:val="TextoNormal"/>
      </w:pPr>
      <w:r>
        <w:t>d) Concluso el procedimiento y dentro del plazo para dictar sentencia, por providencia de 4 de abril de 2013 la Sala acordó oír a las partes y al Ministerio Fiscal para que alegasen sobre la pertinencia de plantear cuestión de inconstitucionalidad en relación con el art. 2 del citado Real Decreto-ley 20/2012, por posible vulneración del principio de irretroactividad de las disposiciones restrictivas de derechos individuales (art. 9.3 CE), en la medida en que suprime el derecho de los trabajadores a percibir cuantías de la paga extraordinaria del mes de diciembre de 2012 ya devengadas a la fecha de entrada en vigor de dicho Real Decreto-ley.</w:t>
      </w:r>
    </w:p>
    <w:p w:rsidR="00163957" w:rsidRDefault="00163957" w:rsidP="00163957">
      <w:pPr>
        <w:pStyle w:val="TextoNormal"/>
      </w:pPr>
    </w:p>
    <w:p w:rsidR="00163957" w:rsidRDefault="00163957" w:rsidP="00163957">
      <w:pPr>
        <w:pStyle w:val="TextoNormal"/>
      </w:pPr>
      <w:r>
        <w:t>e) Evacuado dicho trámite, por Auto de 14 de mayo de 2013 la Sala de lo Social de la Audiencia Nacional acordó la elevación de la presente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3</w:t>
      </w:r>
      <w:r>
        <w:t>. La duda de constitucionalidad, basada en la vulneración del principio de irretroactividad de las disposiciones sancionadoras no favorables o restrictivas de derechos individuales que garantiza el art. 9.3 CE, se fundamenta en el Auto de planteamiento en los razonamientos que a continuación se resumen:</w:t>
      </w:r>
    </w:p>
    <w:p w:rsidR="00163957" w:rsidRDefault="00163957" w:rsidP="00163957">
      <w:pPr>
        <w:pStyle w:val="TextoNormal"/>
      </w:pPr>
    </w:p>
    <w:p w:rsidR="00163957" w:rsidRDefault="00163957" w:rsidP="00163957">
      <w:pPr>
        <w:pStyle w:val="TextoNormal"/>
      </w:pPr>
      <w:r>
        <w:t xml:space="preserve">a) El art. 2 del Real Decreto-ley 20/2012 suprime la percepción de la paga extraordinaria del mes de diciembre del año 2012 para el personal laboral del sector público, a partir de su entrada en vigor (15 de julio de 2012), sin precisar excepciones por derechos ya devengados. </w:t>
      </w:r>
      <w:r>
        <w:lastRenderedPageBreak/>
        <w:t>El apartado 1 del precepto indica que la medida afecta a las cuantías “que corresponda percibir”, en tiempo verbal no condicional, admitiendo que el derecho ya se ha generado, no obstante lo cual cierra la puerta a su abono.</w:t>
      </w:r>
    </w:p>
    <w:p w:rsidR="00163957" w:rsidRDefault="00163957" w:rsidP="00163957">
      <w:pPr>
        <w:pStyle w:val="TextoNormal"/>
      </w:pPr>
    </w:p>
    <w:p w:rsidR="00163957" w:rsidRDefault="00163957" w:rsidP="00163957">
      <w:pPr>
        <w:pStyle w:val="TextoNormal"/>
      </w:pPr>
      <w:r>
        <w:t>b) Conforme a la doctrina constitucional relativa al principio de irretroactividad recogido en el art. 9.3 CE (STC 89/2009, de 20 de abril), los derechos retributivos del personal del sector público pertenecen a la esfera general de protección de la persona consagrados en el art. 35.1 CE. Partiendo de este enfoque, el Tribunal Constitucional ha venido admitiendo con naturalidad su encaje en el supuesto de hecho del art. 9.3 CE, incluso ante normas que, como la cuestionada, se inspiran en la finalidad de la contención del gasto público mediante la reducción retributiva (STC 330/2005, de 15 de diciembre, y ATC 162/2012, de 13 de septiembre).</w:t>
      </w:r>
    </w:p>
    <w:p w:rsidR="00163957" w:rsidRDefault="00163957" w:rsidP="00163957">
      <w:pPr>
        <w:pStyle w:val="TextoNormal"/>
      </w:pPr>
    </w:p>
    <w:p w:rsidR="00163957" w:rsidRDefault="00163957" w:rsidP="00163957">
      <w:pPr>
        <w:pStyle w:val="TextoNormal"/>
      </w:pPr>
      <w:r>
        <w:t>c) Para determinar si el derecho a la paga extraordinaria de diciembre estaba ya consolidado, asumido e integrado en el patrimonio de los trabajadores cuando entró en vigor el Real Decreto-ley 20/2012 o si, por el contrario, se trataba de una expectativa de derecho, o de un derecho futuro o condicionado, se ha de tener en cuenta la jurisprudencia de la Sala de lo Social del Tribunal Supremo en unificación de doctrina que se cita, que configura la paga extraordinaria como de devengo diario y de cobro aplazado. Dado que la regulación legal de las pagas extraordinarias se limita a fijar el momento de su percepción, la configuración normativa del derecho a las pagas extraordinarias se ve complementada por su configuración de esta jurisprudencia, dictada en unificación de doctrina. Por ello, el criterio jurisprudencial del Tribunal Supremo sobre el devengo diario de las pagas extraordinarias “se alza con valor normativo complementario, salvaguardando la pureza de la ley, de modo que forma una unidad con la misma como parámetro de inconstitucionalidad del art. 2 del Real Decreto-ley 20/2012”.</w:t>
      </w:r>
    </w:p>
    <w:p w:rsidR="00163957" w:rsidRDefault="00163957" w:rsidP="00163957">
      <w:pPr>
        <w:pStyle w:val="TextoNormal"/>
      </w:pPr>
    </w:p>
    <w:p w:rsidR="00163957" w:rsidRDefault="00163957" w:rsidP="00163957">
      <w:pPr>
        <w:pStyle w:val="TextoNormal"/>
      </w:pPr>
      <w:r>
        <w:t>Estamos así ante un derecho que se genera día a día, incorporándose como tal al acervo patrimonial de los trabajadores, y cuya supresión opera una retroactividad auténtica o de grado máximo.</w:t>
      </w:r>
    </w:p>
    <w:p w:rsidR="00163957" w:rsidRDefault="00163957" w:rsidP="00163957">
      <w:pPr>
        <w:pStyle w:val="TextoNormal"/>
      </w:pPr>
    </w:p>
    <w:p w:rsidR="00163957" w:rsidRDefault="00163957" w:rsidP="00163957">
      <w:pPr>
        <w:pStyle w:val="TextoNormal"/>
      </w:pPr>
      <w:r>
        <w:t>d) Con referencia a la STC 197/1992, de 19 de noviembre, y a algunos pronunciamientos del Tribunal Europeo de Derechos Humanos, se alega que la crisis económica podría acaso justificar determinadas medidas restrictivas de derechos individuales como la cuestionada, pero no puede abrir la puerta, sin más, a que esas restricciones operen de modo retroactivo. La excepción a la irretroactividad recogida en la doctrina constitucional debe interpretarse de forma restrictiva, sin que pueda extenderse a toda medida de interés general. La reducción del déficit público puede justificar muchas medidas, pero no reúne la nota de cualificación absolutamente excepcional que sería necesaria para sacrificar el principio constitucional de seguridad jurídica que sustenta la irretroactividad. Es el interés general lo que se ataca cuando se niega a quienes han prestado sus servicios al sector público el derecho a percibir el salario correspondiente.</w:t>
      </w:r>
    </w:p>
    <w:p w:rsidR="00163957" w:rsidRDefault="00163957" w:rsidP="00163957">
      <w:pPr>
        <w:pStyle w:val="TextoNormal"/>
      </w:pPr>
    </w:p>
    <w:p w:rsidR="00163957" w:rsidRDefault="00163957" w:rsidP="00163957">
      <w:pPr>
        <w:pStyle w:val="TextoNormal"/>
      </w:pPr>
      <w:r>
        <w:t>e) Se descarta la posibilidad de que estemos ante una expropiación legislativa de derechos, en tanto que la previsión en este caso de una hipotética compensación o devolución futura de cantidades en modo alguno resultaría asimilable al justo precio al que alude la Ley de expropiación forzosa. Por su carácter meramente hipotético y condicionado, ni está ga</w:t>
      </w:r>
      <w:r>
        <w:lastRenderedPageBreak/>
        <w:t>rantizada, ni es propiamente una devolución, puesto que las cuantías detraídas se transformarían en aportaciones a planes de pensiones o contratos de seguro en los términos que establezca el legislador, sujetas, además, al previo cumplimiento de los objetivos de estabilidad presupuestaria.</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10 de septiembre de 2013, el Pleno, a propuesta de la Sección Cuarta, acordó admitir a trámite la cuestión de inconstitucionalidad; deferir su conocimiento a la Sala Segunda, a la que por turno objetivo le ha correspondido, conforme al art. 10.1 c) de la Ley Orgánica del Tribunal Constitucional (LOTC); dar traslado de la demanda y documentos presentados al Congreso de los Diputados, al Senado, al Gobierno y al Fiscal General del Estado, para que en el plazo de 15 días pudieran personarse en el procedimiento y formular las alegaciones que estimasen convenientes, de acuerdo con el art. 37.3 LOTC; comunicar esta resolución a la Sala de lo Social de la Audiencia Nacional a fin de que, de conformidad con el art. 35.3 LOTC, permaneciese suspendido el proceso hasta la resolución de la presente cuestión y publicar su incoación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en este Tribunal el 23 de septiembre de 2013, el Abogado del Estado se personó en el presente proceso constitucional, instando la desestimación de la cuestión en atención a las alegaciones que a continuación se sintetizan.</w:t>
      </w:r>
    </w:p>
    <w:p w:rsidR="00163957" w:rsidRDefault="00163957" w:rsidP="00163957">
      <w:pPr>
        <w:pStyle w:val="TextoNormal"/>
      </w:pPr>
    </w:p>
    <w:p w:rsidR="00163957" w:rsidRDefault="00163957" w:rsidP="00163957">
      <w:pPr>
        <w:pStyle w:val="TextoNormal"/>
      </w:pPr>
      <w:r>
        <w:t>a) Aunque el Auto de planteamiento cuestiona la totalidad del art. 2 del Real Decreto-ley 20/2012, se refiere solo a su apartado 2.2, es decir, a la aplicación de la supresión de la paga extraordinaria de diciembre al personal laboral del sector público. Además, no se cuestiona genéricamente la referida supresión, sino que tan solo se reprocha al legislador el que no haya incluido una disposición transitoria por la cual se hubiera exceptuado de la mencionada supresión la parte proporcional que se entiende devengada del 1 al 15 de julio, fecha de entrada en vigor de la norma. Por tanto, el órgano judicial plantea en realidad una inconstitucionalidad por omisión, posibilidad admitida por el Tribunal solo en contadas ocasiones (STC 120/2010, de 24 de noviembre, FJ 6). La consecuencia que, como máximo, podría derivarse de esta cuestión no sería la declaración de inconstitucionalidad del precepto cuestionado, sino simplemente la de imponer al legislador, con respeto a su libertad de configuración, el establecimiento de una expresa excepción correspondiente al periodo transcurrido entre el 1 y el 15 de julio.</w:t>
      </w:r>
    </w:p>
    <w:p w:rsidR="00163957" w:rsidRDefault="00163957" w:rsidP="00163957">
      <w:pPr>
        <w:pStyle w:val="TextoNormal"/>
      </w:pPr>
    </w:p>
    <w:p w:rsidR="00163957" w:rsidRDefault="00163957" w:rsidP="00163957">
      <w:pPr>
        <w:pStyle w:val="TextoNormal"/>
      </w:pPr>
      <w:r>
        <w:t>b) El precepto cuestionado no constituye una “disposición sancionadora no favorable o restrictiva de derechos individuales” en el sentido del art. 9.3 CE, según la interpretación del Tribunal (SSTC 90/2009, de 20 de abril, FJ 4; 100/2012, de 8 de mayo, FJ 10, y las allí citadas). Una norma que aspira a la contención del gasto de personal (como principal componente del gasto público) no es sancionadora ni restrictiva de derechos en el sentido constitucional de la expresión. Tampoco el art. 35.1 CE (derecho a una remuneración suficiente) comprendería el derecho al mantenimiento de una determinada retribución, ni permitiría afirmar que una reducción salarial es una norma constitucionalmente restrictiva de derechos en el sentido del art. 9.3 CE (STC 31/1984, de 7 de marzo, FJ 9). Toda vez que el art. 35.1 CE no garantiza el mantenimiento de un determinado nivel salarial inmutable, con independencia de la coyuntura económica, las reducciones salariales impuestas por el legislador no constituyen normas restrictivas del derecho reconocido en dicho precepto constitucional, en los términos del art. 9.3 CE.</w:t>
      </w:r>
    </w:p>
    <w:p w:rsidR="00163957" w:rsidRDefault="00163957" w:rsidP="00163957">
      <w:pPr>
        <w:pStyle w:val="TextoNormal"/>
      </w:pPr>
    </w:p>
    <w:p w:rsidR="00163957" w:rsidRDefault="00163957" w:rsidP="00163957">
      <w:pPr>
        <w:pStyle w:val="TextoNormal"/>
      </w:pPr>
      <w:r>
        <w:lastRenderedPageBreak/>
        <w:t>c) Subsidiariamente, para el caso de que este Tribunal apreciase que sí nos encontramos ante una disposición restrictiva de derechos individuales, la norma cuestionada no establece una retroactividad proscrita por el art. 9.3 CE. De acuerdo con reiterada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(SSTC 227/1988, de 29 de noviembre, FJ 7, y 112/2006, de 5 de abril, FJ 17, entre otras).</w:t>
      </w:r>
    </w:p>
    <w:p w:rsidR="00163957" w:rsidRDefault="00163957" w:rsidP="00163957">
      <w:pPr>
        <w:pStyle w:val="TextoNormal"/>
      </w:pPr>
    </w:p>
    <w:p w:rsidR="00163957" w:rsidRDefault="00163957" w:rsidP="00163957">
      <w:pPr>
        <w:pStyle w:val="TextoNormal"/>
      </w:pPr>
      <w:r>
        <w:t>El propio Auto de planteamiento reconoce que la regulación legal de las pagas extraordinarias no proporciona la solución, habiendo sido el Tribunal Supremo el que ha configurado la paga extra como de devengo diario y cobro aplazado. Resulta evidente que una determinada interpretación jurisprudencial de un precepto legal no puede erigirse en parámetro de constitucionalidad de otra norma de rango legal. Al contrario, es la jurisprudencia la que tiene que adaptarse a lo que disponga el legislador. El precepto cuestionado ha entendido, precisamente, que las gratificaciones extraordinarias se devengan en el momento del pago, concepción perfectamente conforme con los arts. 26 y 31 de la Ley del estatuto de los trabajadores, así como con la doctrina constitucional relativa a los tributos de hecho imponible duradero (STC 176/2011, de 8 de noviembre, FJ 5). Trasladada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No habría por tanto propia eficacia retroactiva, dado que el Real Decreto-ley 20/2012 incide sobre una paga extraordinaria que todavía no se ha percibido.</w:t>
      </w:r>
    </w:p>
    <w:p w:rsidR="00163957" w:rsidRDefault="00163957" w:rsidP="00163957">
      <w:pPr>
        <w:pStyle w:val="TextoNormal"/>
      </w:pPr>
    </w:p>
    <w:p w:rsidR="00163957" w:rsidRDefault="00163957" w:rsidP="00163957">
      <w:pPr>
        <w:pStyle w:val="TextoNormal"/>
      </w:pPr>
      <w:r>
        <w:t xml:space="preserve">d) Aún en el caso de que se considerase que la norma establece una retroactividad de grado máximo, se justifica por la concurrencia de exigencias de interés público, conectadas con la situación de auténtica excepción fiscal que vivía España en el momento de aprobación del Real Decreto-ley 20/2012. De conformidad con la jurisprudencia constitucional [SSTC 182/1997, de 28 de octubre, FJ 13 A), y 176/2011, FJ 5], que a su vez cita la del Tribunal de Justicia de la Unión Europa (Sentencia de 26 de abril de 2005, C-376/02), pueden reputarse conforme a la Constitución modificaciones con cualquier grado de retroactividad cuando existan claras exigencias de interés general. Aplicando tal doctrina al presente caso, la medida cuestionada encontraría su justificación en un interés público relevante, como lo es el de la necesidad de realizar fuertes ajustes presupuestarios en el marco de una crisis económica sin precedentes, siendo la reducción de las retribuciones una medida extraordinaria de “contención de gastos de personal” que tiene por finalidad “contribuir a la consecución del inexcusable objetivo de estabilidad presupuestaria derivado del marco constitucional y de la Unión Europea”, como se señala en el preámbulo del Real Decreto-ley 20/2012 y en el debate de convalidación de la norma, así como en los sucesivos informes anuales del Banco de España de 2008, 2009, 2010 y 2011.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sin olvidar que la estabilidad presupuestaria es actualmente un principio constitucional que vincula a todos los poderes públicos. El Tribunal no se ha mostrado ajeno a la gravedad de la crisis económica </w:t>
      </w:r>
      <w:r>
        <w:lastRenderedPageBreak/>
        <w:t>que atraviesa la zona euro, habiéndose hecho eco de la profunda crisis presupuestaria en los AATC 95/2011, de 21 de junio, FJ 5; 96/2011, de 21 de junio, FJ 5; 160/2011, de 22 de noviembre, FJ 3, y 147/2012, de 16 de julio, FJ 6).</w:t>
      </w:r>
    </w:p>
    <w:p w:rsidR="00163957" w:rsidRDefault="00163957" w:rsidP="00163957">
      <w:pPr>
        <w:pStyle w:val="TextoNormal"/>
      </w:pPr>
    </w:p>
    <w:p w:rsidR="00163957" w:rsidRDefault="00163957" w:rsidP="00163957">
      <w:pPr>
        <w:pStyle w:val="TextoNormal"/>
      </w:pPr>
      <w:r>
        <w:t>La doctrina constitucional ha señalado que basta con la concurrencia de cualificadas exigencias del bien común o de interés general para admitir modificaciones con cualquier grado de retroactividad (por ejemplo, para evitar operaciones de elusión fiscal). Así las cosas, no existe razón para negar la concurrencia de un interés general dada la situación descrita de grave crisis económica (al borde, incluso, del rescate financiero de España cuando se adoptó la medida cuestionada).</w:t>
      </w:r>
    </w:p>
    <w:p w:rsidR="00163957" w:rsidRDefault="00163957" w:rsidP="00163957">
      <w:pPr>
        <w:pStyle w:val="TextoNormal"/>
      </w:pPr>
    </w:p>
    <w:p w:rsidR="00163957" w:rsidRDefault="00163957" w:rsidP="00163957">
      <w:pPr>
        <w:pStyle w:val="TextoNormal"/>
      </w:pPr>
      <w:r>
        <w:t>e) Las Sentencias del Tribunal Europeo de Derechos Humanos citadas por el Auto de planteamiento no pueden servir para avalar la tesis mantenida en el mismo, ya que, a diferencia de lo que ocurre en el presente caso, se alegaron intereses difusos que no justificaban la aplicación retroactiva desde la perspectiva de la proporcionalidad. Por el contrario, en el presente caso no existen motivos “difusos”, sino concretos de interés general. En realidad no asistimos a una reducción del sueldo de los empleados públicos sino a una “congelación” de la paga extra de diciembre con previsión de su devolución mediante su aportación a planes de pensiones en un horizonte no lejano (2015); eso sí, en función de las necesidades y del equilibrio presupuestario. En definitiva, ante el interés público que se trata de atender, resulta absolutamente proporcionado que únicamente se exija como sacrificio a los empleados públicos el aplazamiento temporal del abono de la parte proporcional de la paga extraordinaria correspondiente a los días 1 a 15 de julio, que es lo único que se discute en la presente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sendos escritos registrados los días 24 y 26 de septiembre de 2013, el Vicepresidente Primero del Senado y el Presidente del Congreso de los Diputados comunicaron los respectivos acuerdos de las Mesas de ambas Cámaras de personarse en el presente proceso constitucional,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registrado en este Tribunal el 15 de octubre de 2013, el Fiscal General del Estado evacuó el trámite de alegaciones, solicitando la declaración de inconstitucionalidad del precepto cuestionado en atención a los razonamientos que seguidamente se resumen.</w:t>
      </w:r>
    </w:p>
    <w:p w:rsidR="00163957" w:rsidRDefault="00163957" w:rsidP="00163957">
      <w:pPr>
        <w:pStyle w:val="TextoNormal"/>
      </w:pPr>
    </w:p>
    <w:p w:rsidR="00163957" w:rsidRDefault="00163957" w:rsidP="00163957">
      <w:pPr>
        <w:pStyle w:val="TextoNormal"/>
      </w:pPr>
      <w:r>
        <w:t>a) De acuerdo con la doctrina constitucional (SSTC 90/2009, de 20 de abril, y 100/2012, de 8 de mayo), el análisis de retroactividad de la norma debe tener una doble proyección, que sirva para determinar su grado de incidencia en los efectos de relaciones jurídicas anteriores, y también como elemento indicativo de lo que deban ser los derechos individuales. La supresión de un derecho previamente reconocido y cuyos efectos se habrían ya agotado vendría a comprometer la esfera general de protección de la persona, al afectar, al menos, al art. 33.3 CE, que prohíbe la privación de derechos si no es por causa de utilidad pública o interés social, y siempre que aquélla pueda ser compensada mediante la correspondiente indemnización. La condición para ello es que los derechos se hayan integrado plenamente en el patrimonio del ciudadano.</w:t>
      </w:r>
    </w:p>
    <w:p w:rsidR="00163957" w:rsidRDefault="00163957" w:rsidP="00163957">
      <w:pPr>
        <w:pStyle w:val="TextoNormal"/>
      </w:pPr>
    </w:p>
    <w:p w:rsidR="00163957" w:rsidRDefault="00163957" w:rsidP="00163957">
      <w:pPr>
        <w:pStyle w:val="TextoNormal"/>
      </w:pPr>
      <w:r>
        <w:t>Como razona el Auto de planteamiento, los derechos retributivos de los trabajadores se enmarcarían dentro del derecho al trabajo y a la remuneración suficiente que prevé el art. 35.1 CE.</w:t>
      </w:r>
    </w:p>
    <w:p w:rsidR="00163957" w:rsidRDefault="00163957" w:rsidP="00163957">
      <w:pPr>
        <w:pStyle w:val="TextoNormal"/>
      </w:pPr>
    </w:p>
    <w:p w:rsidR="00163957" w:rsidRDefault="00163957" w:rsidP="00163957">
      <w:pPr>
        <w:pStyle w:val="TextoNormal"/>
      </w:pPr>
      <w:r>
        <w:t xml:space="preserve">b) De acuerdo con la doctrina constitucional (SSTC 6/1983, de 4 de febrero; 42/1986, de 10 de abril; 99/1987, de 11 de junio; 112/2006, de 5 de abril; 116/2009, de 18 de mayo, y 161/2009, de 29 de junio), resulta obvia la supresión por la norma cuestionada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lo devengado se incorpora cada jornada al patrimonio del trabajador, con independencia de que su efectiva percepción tenga lugar en el último mes del período (salario devengado pero de percepción diferida). De este modo, la privación de la cantidad correspondiente a dicho período supondría la restricción injustificada de un derecho individual, prohibida por el art. 9.3 CE. El criterio del Auto de planteamiento tendría el respaldo de la Sentencia del Tribunal Europeo de Derecho Humanos de 14 de mayo de 2013 (caso </w:t>
      </w:r>
      <w:r w:rsidRPr="00163957">
        <w:rPr>
          <w:i/>
        </w:rPr>
        <w:t>N.K.M. v. Hungría</w:t>
      </w:r>
      <w:r>
        <w:t>). En el caso ahora examinado, existía una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Tampoco el Tribunal Constitucional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En nuestro ordenamiento jurídico, el art. 33 CE impide la expropiación de bienes o derechos por causa de utilidad pública o interés social si no se acompaña de un justiprecio. Los compromisos meramente posibilistas contemplados en la exposición de motivos del Real Decreto-ley 20/2012, relativos a genéricas aportaciones a futuros fondos, carecen de la mínima concreción para que les alcance el calificativo de justo precio debido. Es más, aquellas intenciones parcialmente reparadoras no se refieren específicamente al período al que se concreta la cuestión de inconstitucionalidad,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c) En el Auto de planteamiento no se cuestiona todo el art. 2 del Real Decreto-ley 20/2012 sino sólo su apartado 2.2, ya que es el que resulta aplicable para resolver el pleito sometido al conocimiento de la Sala de lo Social de la Audiencia Nacional (referido en exclusiva a personal laboral y no a personal funcionario o estatutario).</w:t>
      </w:r>
    </w:p>
    <w:p w:rsidR="00163957" w:rsidRDefault="00163957" w:rsidP="00163957">
      <w:pPr>
        <w:pStyle w:val="TextoNormal"/>
      </w:pPr>
    </w:p>
    <w:p w:rsidR="00163957" w:rsidRDefault="00163957" w:rsidP="00163957">
      <w:pPr>
        <w:pStyle w:val="TextoNormal"/>
      </w:pPr>
      <w:r>
        <w:t>En cuanto a los efectos de la hipotética estimación, tratándose de un supuesto de retroactividad máxima en relación con derechos ya integrados en el patrimonio de sus titulares, el efecto de la declaración de inconstitucionalidad habría de limitarse al período comprendido entre las fechas del 1 y el 15 de julio de 2012.</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5 de mayo de 2016 se señaló para deliberación y votación de la presente Sentencia el día 9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Sala de lo Social de la Audiencia Nacional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precepto cuestionado, en su aplicación al personal laboral del sector público, puede vulnerar el principio constitucional de interdicción de la retroactividad de las disposiciones sancionadoras no favorables o restrictivas de derechos individuales (art. 9.3 CE), al no contemplar excepción alguna respecto de las cuantías ya devengadas al momento de su entrada en vigor.</w:t>
      </w:r>
    </w:p>
    <w:p w:rsidR="00163957" w:rsidRDefault="00163957" w:rsidP="00163957">
      <w:pPr>
        <w:pStyle w:val="TextoNormal"/>
      </w:pPr>
    </w:p>
    <w:p w:rsidR="00163957" w:rsidRDefault="00163957" w:rsidP="00163957">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análisis de la cuestión planteada conviene realizar una serie de precisiones para acotar debidamente el objeto de la misma y el alcance de nuestro enjuiciamiento.</w:t>
      </w:r>
    </w:p>
    <w:p w:rsidR="00163957" w:rsidRDefault="00163957" w:rsidP="00163957">
      <w:pPr>
        <w:pStyle w:val="TextoNormal"/>
      </w:pPr>
    </w:p>
    <w:p w:rsidR="00163957" w:rsidRDefault="00163957" w:rsidP="00163957">
      <w:pPr>
        <w:pStyle w:val="TextoNormal"/>
      </w:pPr>
      <w:r>
        <w:t>a) Resulta obligado advertir, en consonancia con lo manifestado en sus alegaciones respectivas por el Fiscal General del Estado y el Abogado del Estado, que si bien la Sala de lo Social de la Audiencia Nacional plantea la cuestión de inconstitucionalidad respecto del art. 2 del Real Decreto-ley 20/2012 en su integridad, lo cierto es que de los razonamientos que se contienen en el Auto de planteamiento se infiere sin dificultad que no se cuestiona todo el precepto sino sólo “en su aplicación al personal laboral del sector público” (como se precisa expresamente en la parte dispositiva del Auto). Ello se conecta lógicamente con el juicio de relevancia, correctamente expresado por el órgano judicial, pues la cuestión de inconstitucionalidad trae causa de un proceso de conflicto colectivo promovido por las organizaciones sindicales federación estatal de transportes, comunicaciones y mar de la Unión General de Trabajadores (TCM-UGT) y federación de servicios a la ciudadanía de Comisiones Obreras, que dieron lugar a los autos núms. 44-2013 y 115-2013 (acumulados), por la supresión de la paga extraordinaria del mes de diciembre de 2012 en la empresa Chronoexpress, sociedad mercantil estatal perteneciente al Grupo Correos, participada al 100 por 100 por la Sociedad Estatal de Participaciones Industriales (SEPI) y con centros de trabajo en todo el territorio nacional.</w:t>
      </w:r>
    </w:p>
    <w:p w:rsidR="00163957" w:rsidRDefault="00163957" w:rsidP="00163957">
      <w:pPr>
        <w:pStyle w:val="TextoNormal"/>
      </w:pPr>
    </w:p>
    <w:p w:rsidR="00163957" w:rsidRDefault="00163957" w:rsidP="00163957">
      <w:pPr>
        <w:pStyle w:val="TextoNormal"/>
      </w:pPr>
      <w:r>
        <w:t xml:space="preserve">De este modo, en los términos en los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2.2 del art. 2 del Real Decreto-ley 20/2012, que se refiere </w:t>
      </w:r>
      <w:r>
        <w:lastRenderedPageBreak/>
        <w:t>específicamente a la supresión de la paga o gratificación extraordinaria de diciembre de 2012 o equivalente al personal laboral del sector público.</w:t>
      </w:r>
    </w:p>
    <w:p w:rsidR="00163957" w:rsidRDefault="00163957" w:rsidP="00163957">
      <w:pPr>
        <w:pStyle w:val="TextoNormal"/>
      </w:pPr>
    </w:p>
    <w:p w:rsidR="00163957" w:rsidRDefault="00163957" w:rsidP="00163957">
      <w:pPr>
        <w:pStyle w:val="TextoNormal"/>
      </w:pPr>
      <w:r>
        <w:t xml:space="preserve">b) No se cuestiona por la Sala de lo Social de la Audiencia Nacional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 A esta concreta duda de constitucionalidad (planteada a partir de la pretensión subsidiaria en el proceso </w:t>
      </w:r>
      <w:r w:rsidRPr="00163957">
        <w:rPr>
          <w:i/>
        </w:rPr>
        <w:t>a quo</w:t>
      </w:r>
      <w:r>
        <w:t>) deberá, pues, ceñirse nuestro enjuiciamiento.</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Delimitado así el alcance de nuestra decisión, debemos remitirnos a lo dicho recientemente en nuestra STC 83/2015, de 29 de abril, sobre la pérdida de objeto de una cuestión de inconstitucionalidad análoga a la aquí enjuiciada. En el fundamento jurídico 3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era innegable la incidencia que tenía la medida contenida en la disposición adicional duodécima de la Ley 36/2014, de presupuestos generales del Estado para 2015 sobre la pretensión deducida en el pleito </w:t>
      </w:r>
      <w:r w:rsidRPr="00163957">
        <w:rPr>
          <w:i/>
        </w:rPr>
        <w:t>a quo</w:t>
      </w:r>
      <w:r>
        <w:t>, “que afecta de modo determinante a la subsistencia del presente proceso constitucional, dada la estrecha vinculación existente entre toda cuestión de inconstitucionalidad y el procedimiento judicial de que dimana”.</w:t>
      </w:r>
    </w:p>
    <w:p w:rsidR="00163957" w:rsidRDefault="00163957" w:rsidP="00163957">
      <w:pPr>
        <w:pStyle w:val="TextoNormal"/>
      </w:pPr>
    </w:p>
    <w:p w:rsidR="00163957" w:rsidRDefault="00163957" w:rsidP="00163957">
      <w:pPr>
        <w:pStyle w:val="TextoNormal"/>
      </w:pPr>
      <w:r>
        <w:t>En la presente cuestión de inconstitucionalidad, se plantea si contraviene el art. 9.3 CE la supresión del derecho de los trabajadores de la empresa Chronoexpress a percibir la parte proporcional de la paga extra de diciembre de 2012, en las cuantías que se entendieran ya devengadas al momento de la entrada en vigor del Real Decreto-ley 20/2012, y que pueden variar en función de los distintos convenios colectivos y acuerdos que rigen sus relaciones laborales, según quedó expuesto en los antecedentes.</w:t>
      </w:r>
    </w:p>
    <w:p w:rsidR="00163957" w:rsidRDefault="00163957" w:rsidP="00163957">
      <w:pPr>
        <w:pStyle w:val="TextoNormal"/>
      </w:pPr>
    </w:p>
    <w:p w:rsidR="00163957" w:rsidRDefault="00163957" w:rsidP="00163957">
      <w:pPr>
        <w:pStyle w:val="TextoNormal"/>
      </w:pPr>
      <w:r>
        <w:t>Siguiendo el mismo criterio de la STC 83/2015, en este caso hemos de tener en cuenta la incidencia de las siguientes disposiciones y resoluciones:</w:t>
      </w:r>
    </w:p>
    <w:p w:rsidR="00163957" w:rsidRDefault="00163957" w:rsidP="00163957">
      <w:pPr>
        <w:pStyle w:val="TextoNormal"/>
      </w:pPr>
    </w:p>
    <w:p w:rsidR="00163957" w:rsidRDefault="00163957" w:rsidP="00163957">
      <w:pPr>
        <w:pStyle w:val="TextoNormal"/>
      </w:pPr>
      <w:r>
        <w:t xml:space="preserve">a) La disposición adicional duodécima de la Ley 36/2014, de 26 de diciembre, de presupuestos generales del Estado para 2015, bajo el epígrafe “Recuperación de la paga extraordinaria y adicional del mes de diciembre de 2012”, establece, en su apartado 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y dispone, en su apartado 2, las reglas para el abono de dichas cantidades al personal del sector público estatal (entre el que se encuentran los trabajadores de la sociedad mercantil estatal Chronoexpress). Su aplicación efectiva se ha llevado a cabo en el ámbito del sector público estatal conforme a las instrucciones contenidas en la resolución conjunta de las Secretarías de Estado de Presupuestos y Gastos y de Administraciones Públicas de 29 de diciembre de 2014 (publicada en </w:t>
      </w:r>
      <w:r>
        <w:lastRenderedPageBreak/>
        <w:t>el “Boletín Oficial del Estado” de 2 de enero de 2015), en la que se precisa que “el reconocimiento del derecho a recuperar las cantidades dejadas de percibir se produce por imperativo de la propia Ley de Presupuestos Generales del Estado para 2015 y produce sus efectos a partir de este último año, por lo que todas las cantidades que se reconozcan en virtud de lo dispuesto en la disposición adicional constituyen percepciones correspondientes al ejercicio de 2015”.</w:t>
      </w:r>
    </w:p>
    <w:p w:rsidR="00163957" w:rsidRDefault="00163957" w:rsidP="00163957">
      <w:pPr>
        <w:pStyle w:val="TextoNormal"/>
      </w:pPr>
    </w:p>
    <w:p w:rsidR="00163957" w:rsidRDefault="00163957" w:rsidP="00163957">
      <w:pPr>
        <w:pStyle w:val="TextoNormal"/>
      </w:pPr>
      <w:r>
        <w:t>En el apartado III de la citada resolución se recogen las instrucciones relativas al personal laboral al que no resulta de aplicación el III convenio único del personal laboral al servicio de la Administración General del Estado. Según el mismo, el cómputo de las cantidades correspondientes a los primeros 44 días (que equivalen al 24,04 por ciento de la cuantía total, según las reglas de cálculo recogidas en el apartado II.1), se efectuará con arreglo a las normas laborales y convencionales vigentes en el momento en que se dejaron de percibir dichas pagas. Ésta será la regla aplicable a los trabajadores de Chronoexpress, toda vez que consta en el hecho tercero del Auto de planteamiento que la empresa rige sus relaciones laborales por los convenios provinciales de transporte de mercancías, si bien en una serie de centros de trabajo, que se enumeran, “se convino que las pagas extraordinarias se devengarían semestralmente con arreglo a lo previsto en el convenio colectivo de empresas de mensajería”.</w:t>
      </w:r>
    </w:p>
    <w:p w:rsidR="00163957" w:rsidRDefault="00163957" w:rsidP="00163957">
      <w:pPr>
        <w:pStyle w:val="TextoNormal"/>
      </w:pPr>
    </w:p>
    <w:p w:rsidR="00163957" w:rsidRDefault="00163957" w:rsidP="00163957">
      <w:pPr>
        <w:pStyle w:val="TextoNormal"/>
      </w:pPr>
      <w:r>
        <w:t>b) El art. 1 del Real Decreto-ley 10/2015, de 11 de septiembre, por el que se conceden créditos extraordinarios y suplementos de crédito en el presupuesto del Estado y se adoptan otras medidas en materia de empleo público y de estímulo a la economía, establece, en su apartado 1.1, que las distintas Administraciones públicas, así como sus entes dependientes y vinculados, abonarán dentro del ejercicio 2015, y por una sola vez, una retribución de carácter extraordinario cuyo importe será el equivalente a 48 días o al 26,23 por ciento de los importes dejados de percibir como consecuencia de la supresión de la paga extraordinaria correspondientes al mes de diciembre de 2012. Las reglas específicas para la recuperación de la paga extraordinaria y adicional del mes de diciembre de 2012 del personal del sector público estatal se fijan en el apartado 2. Su aplicación efectiva se llevó a cabo por resolución de 18 de septiembre de 2015, conjunta de las Secretarías de Estado de Presupuestos y Gastos y de Administraciones Públicas, por la que se dictan las correspondientes instrucciones, publicada en el “BOE” de 24 de septiembre de 2015. Su apartado III contiene las instrucciones relativas al personal laboral al que no resulta de aplicación el III convenio único del personal laboral al servicio de la Administración General del Estado, como es el caso de Chronoexpress.</w:t>
      </w:r>
    </w:p>
    <w:p w:rsidR="00163957" w:rsidRDefault="00163957" w:rsidP="00163957">
      <w:pPr>
        <w:pStyle w:val="TextoNormal"/>
      </w:pPr>
    </w:p>
    <w:p w:rsidR="00163957" w:rsidRDefault="00163957" w:rsidP="00163957">
      <w:pPr>
        <w:pStyle w:val="TextoNormal"/>
      </w:pPr>
      <w:r>
        <w:t xml:space="preserve">c) Por último, la disposición adicional duodécima de la Ley 48/2015, de 29 de octubre, de presupuestos generales del Estado para el año 2016, con la estructura de la precedente Ley 36/2014, establece, en su apartado 1, que cada Administración pública, en su ámbito, podrá aprobar dentro del ejercicio 2016 el abono de cantidades aún no recuperadas de los importes efectivamente dejados de percibir como consecuencia de la supresión de la paga extraordinaria de diciembre de 2012, por aplicación del Real Decreto-ley 20/2012; y dispone, en su apartado 2.2 a), las reglas para el abono de dichas cantidades al personal del sector público estatal, que “percibirá la parte proporcional correspondiente a 91 días de la paga extraordinaria y pagas adicionales o equivalentes del mes de diciembre de 2012 que fueron suprimidas”, utilizando para el cálculo de las cantidades correspondientes “las reglas </w:t>
      </w:r>
      <w:r>
        <w:lastRenderedPageBreak/>
        <w:t>de cómputo aplicables a cada tipo de personal de acuerdo con su régimen jurídico en vigor en el momento en que se produjo la supresión”.</w:t>
      </w:r>
    </w:p>
    <w:p w:rsidR="00163957" w:rsidRDefault="00163957" w:rsidP="00163957">
      <w:pPr>
        <w:pStyle w:val="TextoNormal"/>
      </w:pPr>
    </w:p>
    <w:p w:rsidR="00163957" w:rsidRDefault="00163957" w:rsidP="00163957">
      <w:pPr>
        <w:pStyle w:val="TextoNormal"/>
      </w:pPr>
      <w:r>
        <w:t>Por resolución de 18 de abril de 2016, conjunta de las Secretarías de Estado de Presupuestos y Gastos y de Administraciones Públicas, publicada en el “BOE” de 21 de abril de 2016, se han dictado las instrucciones para su aplicación efectiva. Como en las anteriores resoluciones, citadas, el apartado III recoge las instrucciones relativas al personal laboral al que no le resulta de aplicación el III convenio único del personal laboral al servicio de la Administración General del Estado, aplicables a Chronoexpress. En las mismas se dispone que este personal percibirá la parte proporcional correspondiente a los 91 días de la paga extraordinaria (que equivalen al 49,73 por ciento de la cuantía total, según las reglas de cálculo recogidas en el apartado II.1), a computar con arreglo a las normas laborales y convencionales vigentes en el momento en que se dejaron de percibir dichas pagas. Se especifica además que de dichas cantidades “se descontarán las cuantías correspondientes a dichas pagas que hubieran sido abonadas en el año 2012 o con posterioridad, excepto las derivadas de la aplicación de la disposición adicional décimo segunda de la Ley 36/2014, de 26 de diciembre, de Presupuestos Generales del Estado para 2015 y del artículo 1 del Real Decreto-ley 10/2015, de 11 de septiembre”.</w:t>
      </w:r>
    </w:p>
    <w:p w:rsidR="00163957" w:rsidRDefault="00163957" w:rsidP="00163957">
      <w:pPr>
        <w:pStyle w:val="TextoNormal"/>
      </w:pPr>
    </w:p>
    <w:p w:rsidR="00163957" w:rsidRDefault="00163957" w:rsidP="00163957">
      <w:pPr>
        <w:pStyle w:val="TextoNormal"/>
      </w:pPr>
      <w:r>
        <w:t>En consecuencia, cualquiera que sea el período que, a la entrada en vigor del precepto cuestionado, se hubiera considerado devengado según la regla de cómputo a utilizar con arreglo a las normas laborales y convencionales aplicables al personal laboral afectado por el conflicto colectivo que dio origen a la presente cuestión de inconstitucionalidad, la aplicación sucesiva de las normas citadas ha supuesto la recuperación íntegra de la paga extraordinaria suprimida en 2012.</w:t>
      </w:r>
    </w:p>
    <w:p w:rsidR="00163957" w:rsidRDefault="00163957" w:rsidP="00163957">
      <w:pPr>
        <w:pStyle w:val="TextoNormal"/>
      </w:pPr>
    </w:p>
    <w:p w:rsidR="00163957" w:rsidRDefault="00163957" w:rsidP="00163957">
      <w:pPr>
        <w:pStyle w:val="TextoNormal"/>
      </w:pPr>
      <w:r w:rsidRPr="00163957">
        <w:rPr>
          <w:rStyle w:val="NumeroAFNegritaCaracter"/>
        </w:rPr>
        <w:t>4</w:t>
      </w:r>
      <w:r>
        <w:t>. En los términos en que ha sido planteada esta cuestión de inconstitucionalidad, es obligado concluir, como hicimos en la STC 83/2015, que la sucesiva recuperación por los trabajadores de Chronoexpress de las cantidades reconocidas en las normas citadas en el anterior fundamento jurídico, y hecha efectiva a través de las también citadas resoluciones,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163957" w:rsidRDefault="00163957" w:rsidP="00163957">
      <w:pPr>
        <w:pStyle w:val="TextoNormal"/>
      </w:pPr>
    </w:p>
    <w:p w:rsidR="00163957" w:rsidRDefault="00163957" w:rsidP="00163957">
      <w:pPr>
        <w:pStyle w:val="TextoNormal"/>
      </w:pPr>
      <w:r>
        <w:t>Ello determina la extinción de la presente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Declarar la extinción de la presente cuestión de inconstitucionalidad por desaparición sobrevenida de su objeto.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nueve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94" w:name="SENTENCIA_2016_91"/>
      <w:r>
        <w:lastRenderedPageBreak/>
        <w:t>SENTENCIA 91/2016, de 9 de mayo de 2016</w:t>
      </w:r>
    </w:p>
    <w:bookmarkEnd w:id="94"/>
    <w:p w:rsidR="00163957" w:rsidRDefault="00163957" w:rsidP="00163957">
      <w:pPr>
        <w:pStyle w:val="TtuloResolucin"/>
      </w:pPr>
      <w:r>
        <w:t>Sala Primera</w:t>
      </w:r>
    </w:p>
    <w:p w:rsidR="00163957" w:rsidRDefault="00163957" w:rsidP="00163957">
      <w:pPr>
        <w:pStyle w:val="TtuloBOE"/>
      </w:pPr>
      <w:r>
        <w:t>(BOE núm. 147, de 18 de junio de 2016)</w:t>
      </w:r>
    </w:p>
    <w:p w:rsidR="00163957" w:rsidRDefault="00163957" w:rsidP="00163957">
      <w:pPr>
        <w:pStyle w:val="TextoNormalCentrado"/>
      </w:pPr>
      <w:r>
        <w:t>ECLI:ES:TC:2016:91</w:t>
      </w:r>
    </w:p>
    <w:p w:rsidR="00163957" w:rsidRDefault="00163957" w:rsidP="00163957">
      <w:pPr>
        <w:pStyle w:val="TextoNormalCentrado"/>
      </w:pPr>
    </w:p>
    <w:p w:rsidR="00163957" w:rsidRDefault="00163957" w:rsidP="00163957">
      <w:pPr>
        <w:pStyle w:val="SntesisDescriptiva"/>
      </w:pPr>
      <w:r>
        <w:t>Recurso de amparo 2772-2014. Promovido por Iberdrola, S.A., respecto de las resoluciones de las Salas de lo Contencioso-Administrativo de la Audiencia Nacional y del Tribunal Supremo, que inadmitieron su impugnación de la liquidación provisional de las actividades reguladas del sector eléctrico del ejercicio 2011.</w:t>
      </w:r>
    </w:p>
    <w:p w:rsidR="00163957" w:rsidRDefault="00163957" w:rsidP="00163957">
      <w:pPr>
        <w:pStyle w:val="SntesisDescriptiva"/>
      </w:pPr>
    </w:p>
    <w:p w:rsidR="00163957" w:rsidRDefault="00163957" w:rsidP="00163957">
      <w:pPr>
        <w:pStyle w:val="SntesisAnaltica"/>
      </w:pPr>
      <w:r>
        <w:t>Supuesta vulneración del derecho a la tutela judicial efectiva (acceso a la justicia): inadmisión de recurso contencioso-administrativo ordinario frente a un acto que no puso fin a la vía administrativa.</w:t>
      </w:r>
    </w:p>
    <w:p w:rsidR="00163957" w:rsidRDefault="00163957" w:rsidP="00163957">
      <w:pPr>
        <w:pStyle w:val="SntesisAnaltica"/>
      </w:pPr>
    </w:p>
    <w:p w:rsidR="00163957" w:rsidRDefault="00163957" w:rsidP="00163957">
      <w:pPr>
        <w:pStyle w:val="Extracto"/>
      </w:pPr>
      <w:r>
        <w:t>1.</w:t>
      </w:r>
      <w:r>
        <w:tab/>
        <w:t>Las resoluciones judiciales impugnadas no han vulnerado el derecho a la tutela judicial efectiva en su vertiente de acceso a la jurisdicción, toda vez que la inadmisión del recurso contencioso-administrativo contra la resolución administrativa que aprobó la liquidación provisional no resulta arbitraria, irrazonable, rigorista o desproporcionada [FJ 5].</w:t>
      </w:r>
    </w:p>
    <w:p w:rsidR="00163957" w:rsidRDefault="00163957" w:rsidP="00163957">
      <w:pPr>
        <w:pStyle w:val="Extracto"/>
      </w:pPr>
    </w:p>
    <w:p w:rsidR="00163957" w:rsidRDefault="00163957" w:rsidP="00163957">
      <w:pPr>
        <w:pStyle w:val="Extracto"/>
      </w:pPr>
      <w:r>
        <w:t>2.</w:t>
      </w:r>
      <w:r>
        <w:tab/>
        <w:t>La argumentación contenida en las resoluciones judiciales recurridas en amparo no es arbitraria o irrazonable: por un lado, se interpreta suficientemente el precepto de la Ley de la jurisdicción contencioso-administrativa que define la actividad de la Administración impugnable en vía contencioso-administrativa –donde se excluye a los actos administrativos de trámite– y, por el otro, no se parte de premisas inexistentes o extravagantes ni incurre en quiebras lógicas [FJ 5].</w:t>
      </w:r>
    </w:p>
    <w:p w:rsidR="00163957" w:rsidRDefault="00163957" w:rsidP="00163957">
      <w:pPr>
        <w:pStyle w:val="Extracto"/>
      </w:pPr>
    </w:p>
    <w:p w:rsidR="00163957" w:rsidRDefault="00163957" w:rsidP="00163957">
      <w:pPr>
        <w:pStyle w:val="Extracto"/>
      </w:pPr>
      <w:r>
        <w:t>3.</w:t>
      </w:r>
      <w:r>
        <w:tab/>
        <w:t xml:space="preserve">La resolución judicial no resulta rigorista ni desproporcionada por varias razones: en primer lugar, el principio </w:t>
      </w:r>
      <w:r w:rsidRPr="00163957">
        <w:rPr>
          <w:i/>
        </w:rPr>
        <w:t xml:space="preserve">pro actione </w:t>
      </w:r>
      <w:r>
        <w:t>no impone necesariamente seleccionar la interpretación de la legalidad ordinaria más favorable a la admisión; en segundo lugar, se señala que la resolución recurrible en vía contencioso-administrativa es la liquidación definitiva, de forma que no se imposibilita al demandante satisfacer la pretensión que intentaba hacer valer en vía judicial; y, en tercer lugar, no se ha ocasionado al recurrente ningún grave perjuicio económico de imposible o difícil reparación [FJ 5].</w:t>
      </w:r>
    </w:p>
    <w:p w:rsidR="00163957" w:rsidRDefault="00163957" w:rsidP="00163957">
      <w:pPr>
        <w:pStyle w:val="Extracto"/>
      </w:pPr>
    </w:p>
    <w:p w:rsidR="00163957" w:rsidRDefault="00163957" w:rsidP="00163957">
      <w:pPr>
        <w:pStyle w:val="Extracto"/>
      </w:pPr>
      <w:r>
        <w:t>4.</w:t>
      </w:r>
      <w:r>
        <w:tab/>
        <w:t>Siguiendo la jurisprudencia del Tribunal Supremo, las resoluciones impugnadas han entendido que la resolución de la Comisión Nacional de la Energía aprobó una liquidación provisional que, por su naturaleza no definitiva, no era recurrible en vía administrativa [FJ 4].</w:t>
      </w:r>
    </w:p>
    <w:p w:rsidR="00163957" w:rsidRDefault="00163957" w:rsidP="00163957">
      <w:pPr>
        <w:pStyle w:val="Extracto"/>
      </w:pPr>
    </w:p>
    <w:p w:rsidR="00163957" w:rsidRDefault="00163957" w:rsidP="00163957">
      <w:pPr>
        <w:pStyle w:val="Extracto"/>
      </w:pPr>
      <w:r>
        <w:t>5.</w:t>
      </w:r>
      <w:r>
        <w:tab/>
        <w:t>Doctrina sobre el canon de enjuiciamiento constitucional de las resoluciones de inadmisión (SSTC 19/1981, 88/1997, 63/1999, 45/2002, 79/2005, 327/2006, 28/2009, 209/2013) [FJ 3].</w:t>
      </w:r>
    </w:p>
    <w:p w:rsidR="00163957" w:rsidRDefault="00163957" w:rsidP="00163957">
      <w:pPr>
        <w:pStyle w:val="Extracto"/>
      </w:pPr>
    </w:p>
    <w:p w:rsidR="00163957" w:rsidRDefault="00163957" w:rsidP="00163957">
      <w:pPr>
        <w:pStyle w:val="Extracto"/>
      </w:pPr>
      <w:r>
        <w:t>6.</w:t>
      </w:r>
      <w:r>
        <w:tab/>
        <w:t>No se ha producido una pérdida sobrevenida de objeto del recurso de amparo por satisfacción extraprocesal de la pretensión, pues lo que se discute es si las resolu</w:t>
      </w:r>
      <w:r>
        <w:lastRenderedPageBreak/>
        <w:t>ciones impugnadas han lesionado el derecho a la tutela judicial efectiva por inadmitir el recurso contencioso-administrativo contra una liquidación provisional [FJ 2].</w:t>
      </w:r>
    </w:p>
    <w:p w:rsidR="00163957" w:rsidRDefault="00163957" w:rsidP="00163957">
      <w:pPr>
        <w:pStyle w:val="Extracto"/>
      </w:pPr>
    </w:p>
    <w:p w:rsidR="00163957" w:rsidRDefault="00163957" w:rsidP="00163957">
      <w:pPr>
        <w:pStyle w:val="Extracto"/>
      </w:pPr>
      <w:r>
        <w:t>7.</w:t>
      </w:r>
      <w:r>
        <w:tab/>
        <w:t>La lesión a la tutela judicial efectiva no queda reparada por haberse devuelto al demandante, a través del cauce de la titulación del déficit del sistema eléctrico, los derechos derivados del abono de la liquidación provisional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2772-2014, promovido por Iberdrola, S.A., representada por el Procurador de los Tribunales don José Luis Martín Jaureguibeitia y asistida por el Abogado don Juan José Lavilla Rubira, contra el Auto dictado el 27 de febrero de 2013 por la Sección Cuarta de la Sala de lo Contencioso-administrativo de la Audiencia Nacional en el recurso contencioso-administrativo núm. 3134/2012, por el que se acordó la inadmisión de este, y contra el Auto de esta misma Sala y Sección de 18 de mayo de 2013, que lo confirma en reposición, así como frente a la Sentencia de 14 de marzo de 2014 de la Sección Tercera de la Sala de lo Contencioso-administrativo del Tribunal Supremo, que desestima el recurso de casación núm. 2074/2013, interpuesto contra los referidos Autos. Ha comparecido y formulado alegaciones el Abogado del Estado. Ha intervenido el Ministerio Fiscal. Ha sido Ponente el Magistrado don Andrés Ollero Tassara,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5 de mayo de 2014, el Procurador de los Tribunales don José Luis Martín Jaureguibeitia, en nombre y representación de Iberdrola, S.A., interpuso recurso de amparo contra las resoluciones judiciales referidas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en que se fundamenta la demanda de amparo son los siguientes:</w:t>
      </w:r>
    </w:p>
    <w:p w:rsidR="00163957" w:rsidRDefault="00163957" w:rsidP="00163957">
      <w:pPr>
        <w:pStyle w:val="TextoNormal"/>
      </w:pPr>
    </w:p>
    <w:p w:rsidR="00163957" w:rsidRDefault="00163957" w:rsidP="00163957">
      <w:pPr>
        <w:pStyle w:val="TextoNormal"/>
      </w:pPr>
      <w:r>
        <w:t xml:space="preserve">a) Iberdrola, S.A., interpuso recurso contencioso-administrativo por el procedimiento ordinario contra la resolución del Consejo de la Comisión Nacional de Energía que aprobó la </w:t>
      </w:r>
      <w:r>
        <w:lastRenderedPageBreak/>
        <w:t>liquidación provisional núm. 14 de las actividades reguladas del sector eléctrico del ejercicio 2011, correspondiente al periodo de facturación desde el 1 de enero de 2011 al 29 de febrero de 2012 (en lo sucesivo liquidación 14-2011). En ella se establecía una obligación de abono de 142.324.943,30 € por parte de Iberdrola, S.A., en concepto de “liquidación de la diferencia provisional a cuenta para la financiación del déficit”, conforme a lo previsto en la disposición adicional vigésima primera de la Ley 54/1997, de 27 de noviembre, del sector eléctrico. La demandante sostenía que imponer la carga de financiación del déficit de tarifa exclusivamente a las cinco empresas del sector que señala la norma (entre ellas Iberdrola, S.A.) lesiona el derecho a la igualdad ante la ley, reconocido por el art. 14 CE y por el Derecho comunitario europeo. Alegaba asimismo la vulneración del principio de interdicción de la arbitrariedad (art. 9.3 CE), de los principios de libre circulación de capitales y libertad de establecimiento, reconocidos por el Tratado de funcionamiento de la Unión Europea, y de diversas directivas europeas.</w:t>
      </w:r>
    </w:p>
    <w:p w:rsidR="00163957" w:rsidRDefault="00163957" w:rsidP="00163957">
      <w:pPr>
        <w:pStyle w:val="TextoNormal"/>
      </w:pPr>
    </w:p>
    <w:p w:rsidR="00163957" w:rsidRDefault="00163957" w:rsidP="00163957">
      <w:pPr>
        <w:pStyle w:val="TextoNormal"/>
      </w:pPr>
      <w:r>
        <w:t>b) Tramitado dicho recurso ante la Sección Cuarta de la Sala de lo Contencioso-Administrativo de la Audiencia Nacional con núm. 3134-2012, la Abogacía del Estado opuso en su contestación a la demanda la causa de inadmisibilidad del art. 69 c) de la Ley reguladora de la jurisdicción contencioso-administrativa (LJCA), en relación con el art. 25.1 de la misma Ley, por entender que la liquidación provisional impugnada es un acto irrecurrible.</w:t>
      </w:r>
    </w:p>
    <w:p w:rsidR="00163957" w:rsidRDefault="00163957" w:rsidP="00163957">
      <w:pPr>
        <w:pStyle w:val="TextoNormal"/>
      </w:pPr>
    </w:p>
    <w:p w:rsidR="00163957" w:rsidRDefault="00163957" w:rsidP="00163957">
      <w:pPr>
        <w:pStyle w:val="TextoNormal"/>
      </w:pPr>
      <w:r>
        <w:t>c) Por Auto de 27 de febrero de 2013, confirmado en reposición por Auto de 18 de mayo de 2013, la Sección Cuarta de la Sala de lo Contencioso-Administrativo de la Audiencia Nacional estimó la alegación previa de la Abogacía del Estado, declarando la inadmisibilidad del recurso deducido contra la liquidación 14-2011, conforme a lo dispuesto en los arts. 25.1 y 69 c) LJCA. Considera la Audiencia Nacional, con apoyo en la jurisprudencia que cita (Sentencias de la Sala de lo Contencioso-Administrativo del Tribunal Supremo de 27 de junio de 2006 y 27 de junio de 2012) que la liquidación provisional, por su propia naturaleza, no es una resolución definitiva en vía administrativa, porque calcula la cantidad a pagar en función de previsiones estimativas que habrán de ser corregidas en la liquidación definitiva que ha de practicarse a partir de los desajustes reales, siendo esa liquidación definitiva la que será recurrible en vía contencioso-administrativa, en cuanto ultima el proceso de liquidación. Rechaza asimismo que la inadmisión del recurso lesione el derecho a la tutela judicial efectiva (art. 24.1 CE), en su vertiente de acceso a la jurisdicción, en contra de lo alegado por la demandante.</w:t>
      </w:r>
    </w:p>
    <w:p w:rsidR="00163957" w:rsidRDefault="00163957" w:rsidP="00163957">
      <w:pPr>
        <w:pStyle w:val="TextoNormal"/>
      </w:pPr>
    </w:p>
    <w:p w:rsidR="00163957" w:rsidRDefault="00163957" w:rsidP="00163957">
      <w:pPr>
        <w:pStyle w:val="TextoNormal"/>
      </w:pPr>
      <w:r>
        <w:t>d) Contra los referidos Autos la sociedad mercantil demandante interpuso recurso de casación (núm. 2074-2013), en el que se razonaba que la inadmisión del recurso contencioso-administrativo deducido contra la liquidación 14-2011 se basa en una interpretación de la legalidad procesal lesiva del derecho a la tutela judicial efectiva (art. 24.1 CE), en su vertiente de acceso a la jurisdicción, así como de la doctrina constitucional relativa al mismo.</w:t>
      </w:r>
    </w:p>
    <w:p w:rsidR="00163957" w:rsidRDefault="00163957" w:rsidP="00163957">
      <w:pPr>
        <w:pStyle w:val="TextoNormal"/>
      </w:pPr>
    </w:p>
    <w:p w:rsidR="00163957" w:rsidRDefault="00163957" w:rsidP="00163957">
      <w:pPr>
        <w:pStyle w:val="TextoNormal"/>
      </w:pPr>
      <w:r>
        <w:t xml:space="preserve">e) Por Sentencia de 14 de marzo de 2014 la Sección Tercera de la Sala de lo Contencioso-Administrativo del Tribunal Supremo desestimó el recurso de casación. El Tribunal Supremo confirma el criterio sentado por la Audiencia Nacional en los Autos recurridos. Señala, con cita de anteriores pronunciamientos, que la cuestión de fondo planteada por la demandante ya ha sido resuelta por la Sala en los procesos sustanciados por la vía del proceso de protección de derechos fundamentales. Por lo que toca al presente caso, seguido por </w:t>
      </w:r>
      <w:r>
        <w:lastRenderedPageBreak/>
        <w:t>el cauce del procedimiento ordinario, considera el Tribunal Supremo que la liquidación provisional girada por la Comisión Nacional de Energía, aunque tenga contenido decisorio y sea inmediatamente ejecutiva, no es una resolución que ponga fin a la vía administrativa, pues su contenido se encuentra subordinado a lo que finalmente resulte de la liquidación definitiva, esta sí recurrible en vía contencioso-administrativa. La liquidación 14-2011 es a cuenta de la definitiva y la circunstancia de la imputación efectiva de las diferencias entre la liquidación provisional y la definitiva en el año que se concreten (en un ejercicio posterior al que se refiere la liquidación provisional, por tanto) no basta para trasmutar la naturaleza provisional de la liquidación 14-2011. No puede pues considerarse como un acto definitivo y firme en vía administrativa a efectos de su recurribilidad ante la jurisdicción contencioso-administrativa, conforme a lo dispuesto en el art. 25.1 LJCA.</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La demanda de amparo se fundamenta en un único motivo, la vulneración del derecho de la sociedad demandante a la tutela judicial efectiva (art. 24.1 CE) en su vertiente de acceso a la justicia, en relación con la doctrina constitucional que insta a los órganos judiciales a interpretar todas las normas del ordenamiento jurídico en el sentido más a la efectividad de este derecho fundamental (cita, entre otras, las SSTC 55/1997, de 17 de marzo; 75/2008, de 23 de junio; 168/2003, de 29 de septiembre; 327/2005, de 12 de diciembre; 23/2011, de 14 de marzo, y 209/2013, de 16 de diciembre). En este mismo sentido invoca la jurisprudencia del Tribunal Europeo de Derechos Humanos sentada en las Sentencias de 28 de octubre de 1998, asunto </w:t>
      </w:r>
      <w:r w:rsidRPr="00163957">
        <w:rPr>
          <w:i/>
        </w:rPr>
        <w:t>Pérez Rada Cavanillas c. Reino de España</w:t>
      </w:r>
      <w:r>
        <w:t xml:space="preserve">; de 28 de octubre de 2003, asunto </w:t>
      </w:r>
      <w:r w:rsidRPr="00163957">
        <w:rPr>
          <w:i/>
        </w:rPr>
        <w:t>Stone Court Shipping Company, S.A., c. Reino de España</w:t>
      </w:r>
      <w:r>
        <w:t xml:space="preserve">; y de 15 de diciembre de 2009, asunto </w:t>
      </w:r>
      <w:r w:rsidRPr="00163957">
        <w:rPr>
          <w:i/>
        </w:rPr>
        <w:t>Llavador Carretero c. Reino de España</w:t>
      </w:r>
      <w:r>
        <w:t>.</w:t>
      </w:r>
    </w:p>
    <w:p w:rsidR="00163957" w:rsidRDefault="00163957" w:rsidP="00163957">
      <w:pPr>
        <w:pStyle w:val="TextoNormal"/>
      </w:pPr>
    </w:p>
    <w:p w:rsidR="00163957" w:rsidRDefault="00163957" w:rsidP="00163957">
      <w:pPr>
        <w:pStyle w:val="TextoNormal"/>
      </w:pPr>
      <w:r>
        <w:t>Considera la demandante de amparo que la liquidación 14-2011, que le impuso la obligación de financiar el déficit tarifario del ejercicio 2011 por importe de más de 142 millones de euros, o bien es un acto definitivo, o bien es un acto de trámite que decide directamente el fondo del asunto; en todo caso ha de entenderse recurrible en vía contencioso-administrativa, de conformidad con lo dispuesto en el art. 25.1 LJCA. A juicio de la demandante las liquidaciones provisionales tienen efectos definitivos pese a su denominación, pues de la normativa aplicable resulta que cualquier diferencia que pueda surgir entre el importe de las 14 liquidaciones de cada ejercicio y el resultante de las liquidaciones definitivas correspondientes se considerará ingreso o coste liquidable del ejercicio en curso. El carácter de acto recurrible se habría visto en todo caso confirmado por la vigente Ley 24/2013, de 26 de diciembre, del sector eléctrico, que establece un nuevo modelo de financiación del déficit tarifario que pasa a ser financiado por los sujetos del sistema de liquidación, siendo así que Iberdrola, S.A., ya no está obligada a financiar el déficit de tarifa, pues no percibe retribución alguna con cargo al sistema eléctrico. La consecuencia de lo anterior es que las diferencias que surjan entre el importe del déficit previsto en la liquidación provisional impugnada (liquidación 14-2011) y el importe fijado en la liquidación definitiva surtirán efecto en el ejercicio en el que se dicte, momento en el cual Iberdrola ya no estará obligada a financiar el déficit tarifario.</w:t>
      </w:r>
    </w:p>
    <w:p w:rsidR="00163957" w:rsidRDefault="00163957" w:rsidP="00163957">
      <w:pPr>
        <w:pStyle w:val="TextoNormal"/>
      </w:pPr>
    </w:p>
    <w:p w:rsidR="00163957" w:rsidRDefault="00163957" w:rsidP="00163957">
      <w:pPr>
        <w:pStyle w:val="TextoNormal"/>
      </w:pPr>
      <w:r>
        <w:t xml:space="preserve">En conclusión, la decisión de la Audiencia Nacional (confirmada por el Tribunal Supremo) de inadmitir el recurso contencioso-administrativo interpuesto contra la liquidación 14-2011, habría vulnerado el derecho de la demandante a la tutela judicial efectiva (art. 24.1 CE) en su vertiente de acceso a la jurisdicción, porque los órganos judiciales han atendido exclusivamente al dato puramente formal de la calificación de la liquidación 14-2011 como </w:t>
      </w:r>
      <w:r>
        <w:lastRenderedPageBreak/>
        <w:t>“provisional”, olvidando la verdadera naturaleza de la misma. El razonamiento de las resoluciones judiciales impugnadas sería erróneo e irrazonable, por no tener en cuenta las obligaciones definitivas que surgen de la referida liquidación provisional. Por todo ello interesa que se le otorgue amparo, declarando la vulneración del derecho a la tutela judicial efectiva y acordando la nulidad de las resoluciones judiciales impugnadas, con retroacción de actuaciones al momento inmediatamente anterior al Auto dictado el 27 de febrero de 2013 por la Audiencia Nacional que acordó la inadmisión del recurso contencioso-administrativo, para que se dicte otro respetuoso con el derecho fundamental vulnerado.</w:t>
      </w:r>
    </w:p>
    <w:p w:rsidR="00163957" w:rsidRDefault="00163957" w:rsidP="00163957">
      <w:pPr>
        <w:pStyle w:val="TextoNormal"/>
      </w:pPr>
    </w:p>
    <w:p w:rsidR="00163957" w:rsidRDefault="00163957" w:rsidP="00163957">
      <w:pPr>
        <w:pStyle w:val="TextoNormal"/>
      </w:pPr>
      <w:r>
        <w:t>Asimismo, la demandante de amparo sostiene que en este caso no se trata únicamente de que las resoluciones judiciales impugnadas hayan vulnerado su derecho a la tutela judicial efectiva, en la vertiente de acceso a la justicia, sino que plantea una cuestión que reviste especial trascendencia constitucional a la luz de los criterios a los que se alude en la STC 155/2009, de 25 de junio, FJ 2.</w:t>
      </w:r>
    </w:p>
    <w:p w:rsidR="00163957" w:rsidRDefault="00163957" w:rsidP="00163957">
      <w:pPr>
        <w:pStyle w:val="TextoNormal"/>
      </w:pPr>
    </w:p>
    <w:p w:rsidR="00163957" w:rsidRDefault="00163957" w:rsidP="00163957">
      <w:pPr>
        <w:pStyle w:val="TextoNormal"/>
      </w:pPr>
      <w:r>
        <w:t xml:space="preserve">Así, la demandante justifica la especial trascendencia constitucional del recurso, en primer lugar, invocando la necesidad de que el Tribunal Constitucional perfile su doctrina sobre este derecho fundamental, resolviendo sobre la posibilidad de acceder a la jurisdicción para discutir liquidaciones que, si bien nominalmente se denominan provisionales, resultan realmente definitivas para el año en curso. La cuestión es relevante porque se plantea si debe prevalecer en el acceso a la justicia el </w:t>
      </w:r>
      <w:r w:rsidRPr="00163957">
        <w:rPr>
          <w:i/>
        </w:rPr>
        <w:t>nomen iuris</w:t>
      </w:r>
      <w:r>
        <w:t xml:space="preserve"> otorgado por el legislador o la realidad que haya detrás del acto impugnado. En segundo lugar, aduce que la vulneración del derecho a la tutela judicial efectiva trae causa de una reiterada interpretación jurisprudencial de la ley que es lesiva del referido derecho fundamental. En tercer lugar, sostiene que la cuestión que a través de este recurso de amparo se plantea se refiere a la imposibilidad de recurrir en vía contencioso-administrativa un acto de aplicación de una disposición de rango legal (la disposición adicional vigésima primera, apartado 2 de la Ley 54/1997, de 27 de noviembre, del sector eléctrico) a la que se imputaba en el recurso contencioso-administrativo la vulneración del derecho a la igualdad. Finalmente, considera que el asunto trasciende del caso concreto, pues plantea una cuestión jurídica de relevante y general repercusión social o económica, atendiendo a la elevadísima cuantía que ha alcanzado el déficit tarifario, que está poniendo en riesgo no sólo la situación financiera de las empresas del sector eléctrico sino la sostenibilidad misma del sistema.</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providencia de 6 de julio de 2015 la Sala Primera de este Tribunal acordó la admisión a trámite del recurso de amparo, “apreciando que concurre en el mismo una especial trascendencia constitucional (art. 50.1 LOTC) porque el asunto suscitado trasciende del caso concreto” y porque plantea una cuestión jurídica de relevante y general repercusión social o económica [STC 155/2009, FJ 2 g)]. Por ello, a tenor de lo dispuesto en el art. 51 de la Ley Orgánica del Tribunal Constitucional (LOTC), ordenó requerir atentamente a la Sección Tercera de la Sala de lo Contencioso-Administrativo del Tribunal Supremo y a la Sección Cuarta de la Sala de lo Contencioso-Administrativo de la Audiencia Nacional para que en el plazo de diez días remitieran, respectivamente, certificación o copia adverada de las actuaciones correspondientes al recurso de casación núm. 2074-2013 y al recurso contencioso-administrativo núm. 3134-2012, interesándose al propio tiempo el emplazamiento de quienes hubieran sido parte en ese procedimiento, excepto la parte recurrente en amparo, para que en el plazo de diez días puedan comparecer, si lo desean, en el presente recurso de amparo.</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diligencia de ordenación del Secretario de Justicia de la Sala Primera de 1 de septiembre de 2015 se tuvo por personado y parte al Abogado del Estado. Asimismo se tuvieron por recibidos los testimonios de las actuaciones remitidos por la Sección Tercera de la Sala de lo Contencioso-Administrativo del Tribunal Supremo y la Sección Cuarta de la Sala de lo Contencioso-Administrativo de la Audiencia Nacional y se procedió, conforme a lo establecido en el art. 52.1 LOTC, a dar vista de las actuaciones por plazo común de veinte días al Ministerio Fiscal, a la representación procesal de la sociedad mercantil demandante de amparo y al Abogado del Estado, para presentar las alegaciones que estimasen pertinentes.</w:t>
      </w:r>
    </w:p>
    <w:p w:rsidR="00163957" w:rsidRDefault="00163957" w:rsidP="00163957">
      <w:pPr>
        <w:pStyle w:val="TextoNormal"/>
      </w:pPr>
    </w:p>
    <w:p w:rsidR="00163957" w:rsidRDefault="00163957" w:rsidP="00163957">
      <w:pPr>
        <w:pStyle w:val="TextoNormal"/>
      </w:pPr>
      <w:r w:rsidRPr="00163957">
        <w:rPr>
          <w:rStyle w:val="NumeroAFNegritaCaracter"/>
        </w:rPr>
        <w:t>6</w:t>
      </w:r>
      <w:r>
        <w:t>. El Ministerio Fiscal presentó el 30 de septiembre de 2015 su escrito de alegaciones en el que, tras exponer detalladamente los antecedentes del asunto, procede a analizar el contenido de la vulneración constitucional denunciada por la sociedad demandante de amparo. El Fiscal realiza una detallada exposición sobre el régimen legal de financiación del déficit del sistema eléctrico o déficit de tarifa que da lugar a la liquidación provisional que la demandante pretende impugnar en vía contencioso-administrativa; concretamente, por aplicación de la disposición adicional vigésima primera de la Ley 54/1997, de 27 de noviembre, del sector eléctrico, en la redacción dada por el Real Decreto-ley 6/2010, de 9 de abril. Esa regulación impone nominalmente a cinco empresas del sector eléctrico, entre ellas Iberdrola, S.A., la obligación de financiar el déficit de tarifa en determinados porcentajes.</w:t>
      </w:r>
    </w:p>
    <w:p w:rsidR="00163957" w:rsidRDefault="00163957" w:rsidP="00163957">
      <w:pPr>
        <w:pStyle w:val="TextoNormal"/>
      </w:pPr>
    </w:p>
    <w:p w:rsidR="00163957" w:rsidRDefault="00163957" w:rsidP="00163957">
      <w:pPr>
        <w:pStyle w:val="TextoNormal"/>
      </w:pPr>
      <w:r>
        <w:t>Partiendo de lo anterior, el Fiscal considera que las resoluciones judiciales impugnadas no lesionan el derecho de la demandante a la tutela judicial efectiva (art. 24.1 CE) en la vertiente de acceso a la jurisdicción; no suponen, a la luz de la doctrina constitucional sobre este derecho fundamental, una interpretación formalista ni desproporcionada del requisito de admisibilidad previsto en el art. 25.1 LJCA, en relación con el carácter de la liquidación 14-2011, en cuanto estiman que se trata de un acto no definitivo en vía administrativa y por tanto no recurrible ante la jurisdicción contencioso-administrativa.</w:t>
      </w:r>
    </w:p>
    <w:p w:rsidR="00163957" w:rsidRDefault="00163957" w:rsidP="00163957">
      <w:pPr>
        <w:pStyle w:val="TextoNormal"/>
      </w:pPr>
    </w:p>
    <w:p w:rsidR="00163957" w:rsidRDefault="00163957" w:rsidP="00163957">
      <w:pPr>
        <w:pStyle w:val="TextoNormal"/>
      </w:pPr>
      <w:r>
        <w:t xml:space="preserve">Señala el Ministerio Fiscal que la impugnación por la demandante de la liquidación 14-2011 no se basa en que sea incorrecto el concreto cálculo de la diferencia provisional del déficit que la misma establece, a cuenta del que pueda fijarse en la liquidación definitiva. Su pretensión consiste en que se declare por la jurisdicción contencioso-administrativa que no es ajustado a Derecho que se imponga a la demandante la obligación de financiación del déficit de tarifa, por ser esa imposición contraria a diversos preceptos constitucionales (entre ellos el art. 14 CE, de manera principal) y legales. Por otra parte, la impugnada liquidación 14-2011, que es la última del ejercicio, presenta ciertas características específicas. Al ser acumuladas las liquidaciones mensuales, las cifras de ingresos y costes del sistema que cada una de ellas refleja se van superponiendo y corrigiendo en las sucesivas, de modo que es la última liquidación provisional del ejercicio la que sirve de referencia en el contraste con las cuantías reales que se fijen en la liquidación definitiva. Sin embargo, que esto sea así y que las liquidaciones provisionales tengan un cierto contenido decisorio, en cuanto imponen una obligación de pago a cuenta de la que se establezca en una liquidación definitiva, no determina que se trasmute la verdadera naturaleza jurídica de esas liquidaciones mensuales. Se trata de un acto provisional o de trámite, siendo la liquidación definitiva la que cierra el procedimiento al establecer la cuantía real de la obligación de financiación del déficit de </w:t>
      </w:r>
      <w:r>
        <w:lastRenderedPageBreak/>
        <w:t>tarifa, como se sostiene en las resoluciones judiciales impugnadas en amparo. Es esa liquidación definitiva la que resulta recurrible en vía contencioso-administrativa.</w:t>
      </w:r>
    </w:p>
    <w:p w:rsidR="00163957" w:rsidRDefault="00163957" w:rsidP="00163957">
      <w:pPr>
        <w:pStyle w:val="TextoNormal"/>
      </w:pPr>
    </w:p>
    <w:p w:rsidR="00163957" w:rsidRDefault="00163957" w:rsidP="00163957">
      <w:pPr>
        <w:pStyle w:val="TextoNormal"/>
      </w:pPr>
      <w:r>
        <w:t>A juicio del Fiscal, aunque se admitiera que esa interpretación judicial sobre el carácter de acto de trámite de la liquidación 14-2011 resulta formalista, lo que no en ningún caso cabría aceptar es que las resoluciones judiciales impugnadas hayan impedido el acceso de la demandante a la jurisdicción de manera desproporcionada, como exige la doctrina constitucional para apreciar la vulneración del derecho a la tutela judicial efectiva en la vertiente de acceso a la justicia. No puede olvidarse que los recursos planteados por la demandante y otras empresas del sector eléctrico a las que se imponía la obligación de financiar el déficit de tarifa por el cauce especial de protección de derechos fundamentales han sido resueltos por los Tribunales del orden contencioso-administrativo mediante pronunciamientos de fondo.</w:t>
      </w:r>
    </w:p>
    <w:p w:rsidR="00163957" w:rsidRDefault="00163957" w:rsidP="00163957">
      <w:pPr>
        <w:pStyle w:val="TextoNormal"/>
      </w:pPr>
    </w:p>
    <w:p w:rsidR="00163957" w:rsidRDefault="00163957" w:rsidP="00163957">
      <w:pPr>
        <w:pStyle w:val="TextoNormal"/>
      </w:pPr>
      <w:r>
        <w:t>A ello se añade que no se acredita por la demandante que la irrecurribilidad por la vía ordinaria de la liquidación 14-2011 le ocasione un grave perjuicio económico-financiero por el hecho de que se difiera en el tiempo la liquidación definitiva, momento en el que tendrá derecho a recuperar la totalidad de las cantidades financiadas a cuenta en las liquidaciones provisionales con los intereses correspondientes, para no sufrir ningún detrimento patrimonial. Ello sin perjuicio de que el derecho a recuperar las cantidades financiadas o anticipadas en virtud de las liquidaciones provisionales da lugar a que las empresas afectadas se conviertan en acreedoras del sistema eléctrico y se les reconozcan derechos de cobro, que incluso pueden ceder al “Fondo de Titulización del Déficit del Sistema Eléctrico”. En fin, la nueva regulación del déficit establecida por la actual Ley 24/2013, de 26 de diciembre, del sector eléctrico (art. 19), no impide a la demandante beneficiarse de la repercusión que en su día tengan las posibles diferencias que refleje la liquidación definitiva del ejercicio 2011, porque Iberdrola, S.A., es la matriz de un grupo de empresas con actividad y presencia en el sector eléctrico en las actividades de generación y de distribución y comercialización de electricidad. La especial posición de la demandante, que es calificada como operador principal del sistema eléctrico, determina también que pueda recuperar las diferencias del déficit que resulten de la liquidación definitiva del ejercicio a través de las empresas del grupo que realizan las actividades reguladas.</w:t>
      </w:r>
    </w:p>
    <w:p w:rsidR="00163957" w:rsidRDefault="00163957" w:rsidP="00163957">
      <w:pPr>
        <w:pStyle w:val="TextoNormal"/>
      </w:pPr>
    </w:p>
    <w:p w:rsidR="00163957" w:rsidRDefault="00163957" w:rsidP="00163957">
      <w:pPr>
        <w:pStyle w:val="TextoNormal"/>
      </w:pPr>
      <w:r>
        <w:t>Por todo ello el Fiscal concluye interesando que se dicte Sentencia por la que se desestime el recurso de amparo, declarando que las resoluciones judiciales impugnadas no han vulnerado el derecho de la demandante a la tutela judicial efectiva (art. 24.1 CE) en la vertiente de acceso a la jurisdicción.</w:t>
      </w:r>
    </w:p>
    <w:p w:rsidR="00163957" w:rsidRDefault="00163957" w:rsidP="00163957">
      <w:pPr>
        <w:pStyle w:val="TextoNormal"/>
      </w:pPr>
    </w:p>
    <w:p w:rsidR="00163957" w:rsidRDefault="00163957" w:rsidP="00163957">
      <w:pPr>
        <w:pStyle w:val="TextoNormal"/>
      </w:pPr>
      <w:r w:rsidRPr="00163957">
        <w:rPr>
          <w:rStyle w:val="NumeroAFNegritaCaracter"/>
        </w:rPr>
        <w:t>7</w:t>
      </w:r>
      <w:r>
        <w:t>. El Abogado del Estado dio cumplimiento al trámite de alegaciones conferido mediante escrito registrado en este Tribunal el 30 de septiembre de 2015, en el que solicita que, previa apertura del trámite de audiencia del art. 84 LOTC, se declare la pérdida sobrevenida de objeto del recurso de amparo o, subsidiariamente, se desestime este.</w:t>
      </w:r>
    </w:p>
    <w:p w:rsidR="00163957" w:rsidRDefault="00163957" w:rsidP="00163957">
      <w:pPr>
        <w:pStyle w:val="TextoNormal"/>
      </w:pPr>
    </w:p>
    <w:p w:rsidR="00163957" w:rsidRDefault="00163957" w:rsidP="00163957">
      <w:pPr>
        <w:pStyle w:val="TextoNormal"/>
      </w:pPr>
      <w:r>
        <w:t>Sostiene así en primer lugar el Abogado del Estado que la cantidad reclamada por la demandante en vía contencioso-administrativa, más los intereses correspondientes, le ha sido ya satisfecha íntegramente por la Administración; por lo que debe entenderse que el recurso de amparo carece de objeto por satisfacción extraprocesal de la pretensión deducida en el proceso del que trae causa.</w:t>
      </w:r>
    </w:p>
    <w:p w:rsidR="00163957" w:rsidRDefault="00163957" w:rsidP="00163957">
      <w:pPr>
        <w:pStyle w:val="TextoNormal"/>
      </w:pPr>
    </w:p>
    <w:p w:rsidR="00163957" w:rsidRDefault="00163957" w:rsidP="00163957">
      <w:pPr>
        <w:pStyle w:val="TextoNormal"/>
      </w:pPr>
      <w:r>
        <w:t>Subsidiariamente, interesa que se desestime el recurso de amparo, por entender que las resoluciones judiciales impugnadas han llevado a cabo una interpretación del requisito de admisibilidad previsto en el art. 25.1 LJCA que, a la luz de la doctrina constitucional (cita las SSTC 231/2012, de 19 de diciembre, y 164/2014, de 7 de octubre, por todas) no puede considerarse rigorista ni desproporcionada, lo que permite descartar la pretendida vulneración del derecho a la tutela judicial efectiva (art. 24.1 CE), en la vertiente de acceso a la justicia. Reproduciendo la fundamentación de diversos pronunciamientos del Tribunal Supremo a los que se remite la Sentencia impugnada en amparo, señala el Abogado del Estado que tanto la Audiencia Nacional como el Tribunal Supremo han considerado de forma razonada que la liquidación provisional es un acto de trámite o no definitivo, no susceptible por tanto de impugnación ante la jurisdicción contencioso-administrativa por la vía ordinaria, sin que el efecto ejecutivo de la liquidación impugnada invalide su carácter provisional, a cuenta de la futura liquidación definitiva que se dicte, esta sí recurrible en vía contencioso-administrativa en todo caso.</w:t>
      </w:r>
    </w:p>
    <w:p w:rsidR="00163957" w:rsidRDefault="00163957" w:rsidP="00163957">
      <w:pPr>
        <w:pStyle w:val="TextoNormal"/>
      </w:pPr>
    </w:p>
    <w:p w:rsidR="00163957" w:rsidRDefault="00163957" w:rsidP="00163957">
      <w:pPr>
        <w:pStyle w:val="TextoNormal"/>
      </w:pPr>
      <w:r>
        <w:t>Tal razonamiento no resulta formalista ni desproporcionado, pues no se veda el acceso a la jurisdicción con objeto de discutir la liquidación correspondiente al año 2011, ya que esta impugnación se puede hacer valer, bien por la vía de la inactividad de la Administración (art. 25.2 LJCA) si esta no dicta la liquidación definitiva en el plazo reglamentariamente previsto, bien por la vía ordinaria contra la liquidación definitiva una vez que se dicte esta, sin perjuicio de que la propia liquidación provisional pueda ser impugnada por el cauce del procedimiento especial de protección de derechos fundamentales.</w:t>
      </w:r>
    </w:p>
    <w:p w:rsidR="00163957" w:rsidRDefault="00163957" w:rsidP="00163957">
      <w:pPr>
        <w:pStyle w:val="TextoNormal"/>
      </w:pPr>
    </w:p>
    <w:p w:rsidR="00163957" w:rsidRDefault="00163957" w:rsidP="00163957">
      <w:pPr>
        <w:pStyle w:val="TextoNormal"/>
      </w:pPr>
      <w:r w:rsidRPr="00163957">
        <w:rPr>
          <w:rStyle w:val="NumeroAFNegritaCaracter"/>
        </w:rPr>
        <w:t>8</w:t>
      </w:r>
      <w:r>
        <w:t>. La representación procesal de Iberdrola, S.A., presentó su escrito de alegaciones en este Tribunal el 30 de septiembre de 2015, ratificándose en las alegaciones formuladas en su escrito de demanda.</w:t>
      </w:r>
    </w:p>
    <w:p w:rsidR="00163957" w:rsidRDefault="00163957" w:rsidP="00163957">
      <w:pPr>
        <w:pStyle w:val="TextoNormal"/>
      </w:pPr>
    </w:p>
    <w:p w:rsidR="00163957" w:rsidRDefault="00163957" w:rsidP="00163957">
      <w:pPr>
        <w:pStyle w:val="TextoNormal"/>
      </w:pPr>
      <w:r w:rsidRPr="00163957">
        <w:rPr>
          <w:rStyle w:val="NumeroAFNegritaCaracter"/>
        </w:rPr>
        <w:t>9</w:t>
      </w:r>
      <w:r>
        <w:t>. Mediante providencia de 18 de enero de 2016 la Sala Primera de este Tribunal, a la vista de lo alegado por el Abogado del Estado, acordó conceder a las partes personadas y al Ministerio Fiscal un plazo común de diez días, con arreglo a lo dispuesto en el art. 84 LOTC, para alegar lo que estimen pertinente sobre la eventual pérdida de objeto del recurso de amparo.</w:t>
      </w:r>
    </w:p>
    <w:p w:rsidR="00163957" w:rsidRDefault="00163957" w:rsidP="00163957">
      <w:pPr>
        <w:pStyle w:val="TextoNormal"/>
      </w:pPr>
    </w:p>
    <w:p w:rsidR="00163957" w:rsidRDefault="00163957" w:rsidP="00163957">
      <w:pPr>
        <w:pStyle w:val="TextoNormal"/>
      </w:pPr>
      <w:r>
        <w:t>Habiendo interesado la demandante de amparo que se le diese traslado a estos efectos del escrito de alegaciones del Abogado del Estado en el que sostiene la pérdida de objeto del recurso de amparo, la Sala Primera, mediante providencia de 3 de febrero de 2016, acordó acceder a lo interesado, ordenando que se diese traslado de dicho escrito a la demandante y otorgándole un nuevo plazo de diez días para que efectuase alegaciones al respecto.</w:t>
      </w:r>
    </w:p>
    <w:p w:rsidR="00163957" w:rsidRDefault="00163957" w:rsidP="00163957">
      <w:pPr>
        <w:pStyle w:val="TextoNormal"/>
      </w:pPr>
    </w:p>
    <w:p w:rsidR="00163957" w:rsidRDefault="00163957" w:rsidP="00163957">
      <w:pPr>
        <w:pStyle w:val="TextoNormal"/>
      </w:pPr>
      <w:r>
        <w:t>Despachando el trámite de audiencia conferido conforme a lo previsto en el art. 84 LOTC, el Abogado del Estado se ratificó en su pretensión de que se declarase la pérdida de objeto del recurso de amparo por satisfacción extraprocesal de la pretensión deducida en el proceso del que trae causa.</w:t>
      </w:r>
    </w:p>
    <w:p w:rsidR="00163957" w:rsidRDefault="00163957" w:rsidP="00163957">
      <w:pPr>
        <w:pStyle w:val="TextoNormal"/>
      </w:pPr>
    </w:p>
    <w:p w:rsidR="00163957" w:rsidRDefault="00163957" w:rsidP="00163957">
      <w:pPr>
        <w:pStyle w:val="TextoNormal"/>
      </w:pPr>
      <w:r>
        <w:t xml:space="preserve">Por el contrario, la demandante sostuvo que no se ha producido la desaparición sobrevenida del objeto del presente proceso constitucional. Reconoce que mediante el mecanismo de la cesión de sus derechos de crédito por la financiación del déficit tarifario de 2011 al </w:t>
      </w:r>
      <w:r>
        <w:lastRenderedPageBreak/>
        <w:t>“Fondo de Titulización del Déficit del Sistema Eléctrico”, y de conformidad con lo previsto en el art. 7.3 del Real Decreto 437/2010, de 9 de abril, a Iberdrola, S.A, le ha sido devuelta la parte pendiente del pago nominal de su derecho al cobro derivado del abono de la cantidad a que venía obligada por la liquidación provisional 14-2011, más los intereses legales correspondientes devengados hasta la cesión. Sostiene que esa devolución no repara todos los perjuicios sufridos, toda vez que sólo si el régimen de financiación del déficit de tarifa se declarase inconstitucional por este Tribunal podría la demandante solicitar la correspondiente indemnización de daños y perjuicios por responsabilidad patrimonial del Estado. A ello añade que pese a la devolución a la demandante de la cantidad abonada en cumplimiento de la obligación impuesta de financiar el déficit tarifario subsiste la “cuestión jurídica de relevante y general repercusión social y económica” apreciada por la Sala Primera del Tribunal Constitucional para admitir a trámite el presente recurso de amparo.</w:t>
      </w:r>
    </w:p>
    <w:p w:rsidR="00163957" w:rsidRDefault="00163957" w:rsidP="00163957">
      <w:pPr>
        <w:pStyle w:val="TextoNormal"/>
      </w:pPr>
    </w:p>
    <w:p w:rsidR="00163957" w:rsidRDefault="00163957" w:rsidP="00163957">
      <w:pPr>
        <w:pStyle w:val="TextoNormal"/>
      </w:pPr>
      <w:r>
        <w:t>El Ministerio Fiscal considera igualmente que la devolución a la demandante, por el referido cauce de la titulización del déficit del sistema eléctrico, de las cantidades abonadas en la liquidación 14-2011, más los intereses legales correspondientes, no determina la pérdida sobrevenida de objeto del recurso de amparo. En la demanda de amparo se denuncia la lesión del derecho a la tutela judicial efectiva, en la vertiente de acceso a la justicia, que se imputa a las resoluciones judiciales impugnadas en cuanto inadmiten el recurso contencioso-administrativo interpuesto contra la referida liquidación por considerar que se trata de un acto de trámite no susceptible de dicho recurso, conforme a lo dispuesto en el art. 25.1 LJCA. Esa lesión constitucional no ha sido reparada, por lo que el recurso de amparo no ha perdido su objeto. Por otra parte, la pretensión principal deducida por la demandante en vía contencioso-administrativa no es la restitución de la concreta cantidad abonada en la liquidación 14-2011, sino la propia obligación de financiar el déficit tarifario impuesta por la legislación aplicable del sector eléctrico a cinco concretas empresas del sector, entre ellas la demandante, por estimarse dicha obligación contraria a diversos preceptos constitucionales y legales. Por ello, no siendo realmente el objeto principal del litigio la restitución de las cantidades abonadas en virtud de la liquidación provisional, el abono posterior de tales cantidades a la demandante, como consecuencia de la propia lógica del sistema legal, no supone tampoco la satisfacción sobrevenida y extraprocesal de la pretensión deducida en el recurso contencioso-administrativo del que trae causa el presente recurso de amparo.</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5 de mayo de 2016, se acordó señalar para deliberación y votación de la presente Sentencia el día 9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objeto del presente recurso de amparo es determinar si las resoluciones judiciales impugnadas han vulnerado el derecho de la sociedad demandante de amparo a la tutela judicial efectiva (art. 24.1 CE), en su vertiente de derecho de acceso a la jurisdicción, por haber inadmitido su recurso contencioso-administrativo interpuesto por la vía del procedimiento ordinario contra la resolución del Consejo de la Comisión Nacional de la Energía que aprobó la liquidación provisional núm. 14-2011, valiéndose de una interpretación irrazonable y desproporcionada del art. 25.1, en conexión con el art. 69 c), de la Ley reguladora de la jurisdicción contencioso-administrativa (LJCA).</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2</w:t>
      </w:r>
      <w:r>
        <w:t xml:space="preserve">. Antes de abordar el examen de la queja formulada por la demandante debemos descartar que se haya producido la pérdida sobrevenida de objeto del recurso de amparo que alega el Abogado del Estado por satisfacción extraprocesal de la pretensión deducida en el proceso </w:t>
      </w:r>
      <w:r w:rsidRPr="00163957">
        <w:rPr>
          <w:i/>
        </w:rPr>
        <w:t>a quo</w:t>
      </w:r>
      <w:r>
        <w:t>, con fundamento en el hecho de que la cantidad a cuyo abono venía obligada la demandante por la liquidación provisional 14-2011, más los intereses legales correspondientes, le ha sido ya satisfecha íntegramente por la Administración.</w:t>
      </w:r>
    </w:p>
    <w:p w:rsidR="00163957" w:rsidRDefault="00163957" w:rsidP="00163957">
      <w:pPr>
        <w:pStyle w:val="TextoNormal"/>
      </w:pPr>
    </w:p>
    <w:p w:rsidR="00163957" w:rsidRDefault="00163957" w:rsidP="00163957">
      <w:pPr>
        <w:pStyle w:val="TextoNormal"/>
      </w:pPr>
      <w:r>
        <w:t>Aunque en el trámite de audiencia conferido conforme al art. 84 LOTC la demandante reconoce haber obtenido de la Administración la devolución de la cantidad a cuyo abono venía obligada como consecuencia de la liquidación 14-2011, más los intereses legales correspondientes, ha de convenirse con aquella y con el Fiscal en que esta circunstancia no determina la desaparición del objeto del recurso de amparo Conforme a lo manifestado por el Ministerio público, lo que se discute en este proceso constitucional es si las resoluciones judiciales impugnadas han incurrido en la lesión del derecho a la tutela judicial efectiva que denuncia la demandante, por haber inadmitido su recurso contencioso-administrativo contra la referida liquidación provisional Esa alegada lesión constitucional no ha quedado reparada por la devolución de la demandante, a través del cauce de la titulización del déficit del sistema eléctrico, de sus derechos derivados del abono de la liquidación provisional 14-2011, por lo que no cabe entender que el recurso de amparo haya perdido su objeto.</w:t>
      </w:r>
    </w:p>
    <w:p w:rsidR="00163957" w:rsidRDefault="00163957" w:rsidP="00163957">
      <w:pPr>
        <w:pStyle w:val="TextoNormal"/>
      </w:pPr>
    </w:p>
    <w:p w:rsidR="00163957" w:rsidRDefault="00163957" w:rsidP="00163957">
      <w:pPr>
        <w:pStyle w:val="TextoNormal"/>
      </w:pPr>
      <w:r w:rsidRPr="00163957">
        <w:rPr>
          <w:rStyle w:val="NumeroAFNegritaCaracter"/>
        </w:rPr>
        <w:t>3</w:t>
      </w:r>
      <w:r>
        <w:t>. Entrando ya en el examen de fondo del asunto, es preciso traer a colación el canon del enjuiciamiento constitucional del problema, que se encuentra establecido en la reiterada doctrina sentada a partir de la temprana STC 19/1981, de 18 de junio. Conforme a esta consolidada doctrina constitucional, el primer contenido del derecho a obtener la tutela judicial efectiva que reconoce el art. 24.1 CE es el acceso a la jurisdicción, que se concreta en el derecho a ser parte en un proceso para poder promover la actividad jurisdiccional que desemboque en una resolución judicial motivada y fundada en Derecho sobre las pretensiones oportunamente deducidas en el proceso, si bien ese derecho queda igualmente satisfecho si el órgano judicial, por concurrir una causa legal apreciada razonadamente, dicta una resolución de inadmisión.</w:t>
      </w:r>
    </w:p>
    <w:p w:rsidR="00163957" w:rsidRDefault="00163957" w:rsidP="00163957">
      <w:pPr>
        <w:pStyle w:val="TextoNormal"/>
      </w:pPr>
    </w:p>
    <w:p w:rsidR="00163957" w:rsidRDefault="00163957" w:rsidP="00163957">
      <w:pPr>
        <w:pStyle w:val="TextoNormal"/>
      </w:pPr>
      <w:r>
        <w:t xml:space="preserve">Asimismo este Tribunal ha destacado reiteradamente que la trascendencia que para la tutela judicial tienen estas decisiones de denegación de acceso a la jurisdicción implica que su control constitucional ha de realizarse de forma especialmente intensa, de modo que más allá de la verificación de que no se trata de resoluciones arbitrarias, manifiestamente irrazonables o fruto de un error patente, tal control procede a través de los criterios que proporciona el principio </w:t>
      </w:r>
      <w:r w:rsidRPr="00163957">
        <w:rPr>
          <w:i/>
        </w:rPr>
        <w:t>pro actione</w:t>
      </w:r>
      <w:r>
        <w:t>, entendido no como la forzosa selección de la interpretación más favorable a la admisión de entre todas las posibles de las normas que la regulan, sino como la interdicción de aquellas decisiones de inadmisión que por su rigorismo, por su formalismo excesivo o por cualquier otra razón revelen una clara desproporción entre los fines que aquellas causas preservan y los intereses que sacrifican (entre otras muchas, SSTC 88/1997, de 5 de mayo, FJ 2; 63/1999, de 26 de abril, FJ 2; 45/2002, de 25 de febrero, FJ 2; 79/2005, de 2 de abril, FJ 2; 327/2006, de 20 de noviembre, FJ 3; 28/2009, de 26 de enero, FJ 2, y 209/2013, de 16 de diciembre, FJ 3).</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4</w:t>
      </w:r>
      <w:r>
        <w:t>. En el presente caso, como se ha expuesto con más detalle en el relato de antecedentes, ha quedado acreditado que la sociedad demandante de amparo interpuso recurso contencioso-administrativo por el procedimiento ordinario contra la resolución de la Comisión Nacional de Energía que aprobó la liquidación 14-2011. En la misma se establecía una obligación de abono de 142.324.943,30 € por Iberdrola, S.A., en concepto de “liquidación de la diferencia provisional a cuenta para la financiación del déficit”, conforme a lo previsto en la disposición adicional vigésima primera de la Ley 54/1997, de 27 de noviembre, del sector eléctrico. La demandante sostuvo como motivo principal de impugnación que la imposición de la carga de financiar el déficit de tarifa exclusivamente a las cinco empresas del sector que señala la norma (entre ellas Iberdrola, S.A.) es contraria al derecho a la igualdad ante la ley, reconocido por el art. 14 CE y por el Derecho comunitario europeo.</w:t>
      </w:r>
    </w:p>
    <w:p w:rsidR="00163957" w:rsidRDefault="00163957" w:rsidP="00163957">
      <w:pPr>
        <w:pStyle w:val="TextoNormal"/>
      </w:pPr>
    </w:p>
    <w:p w:rsidR="00163957" w:rsidRDefault="00163957" w:rsidP="00163957">
      <w:pPr>
        <w:pStyle w:val="TextoNormal"/>
      </w:pPr>
      <w:r>
        <w:t>La Sala de lo Contencioso-Administrativo de la Audiencia Nacional, estimando la alegación previa de la Abogacía del Estado, declaró en los Autos impugnados en amparo la inadmisibilidad del recurso deducido por la demandante contra la liquidación 14-2011, conforme a lo dispuesto en los arts. 25.1 y 69 c) LJCA. Ello por entender, siguiendo la jurisprudencia que cita (Sentencias de la Sala de lo Contencioso-Administrativo del Tribunal Supremo de 27 de junio de 2006 y 27 de junio de 2012), que la liquidación provisional, por su propia naturaleza, no es una resolución definitiva en vía administrativa. Se trata de una liquidación provisional y a cuenta de la que se dicte como definitiva, dado que, de acuerdo con la normativa aplicable (disposición adicional vigésima primera de la Ley 54/1997, de 27 de noviembre, del sector eléctrico, Real Decreto-ley 29/2012, de 28 de diciembre, y anexo I del Real Decreto 2017/1997, de 26 de diciembre), la cantidad a pagar por las empresas del sector eléctrico afectadas se calcula en función de previsiones estimativas, que posteriormente se corrigen en la liquidación definitiva que ha de practicarse a partir de los desajustes reales, siendo esa liquidación la que es recurrible en vía contencioso-administrativa.</w:t>
      </w:r>
    </w:p>
    <w:p w:rsidR="00163957" w:rsidRDefault="00163957" w:rsidP="00163957">
      <w:pPr>
        <w:pStyle w:val="TextoNormal"/>
      </w:pPr>
    </w:p>
    <w:p w:rsidR="00163957" w:rsidRDefault="00163957" w:rsidP="00163957">
      <w:pPr>
        <w:pStyle w:val="TextoNormal"/>
      </w:pPr>
      <w:r>
        <w:t>Añade la Audiencia Nacional que el Real Decreto 437/2010, de 9 de abril, por el que se desarrolla la regulación del proceso de titulización del déficit del sistema eléctrico, tampoco permite alcanzar conclusiones distintas.</w:t>
      </w:r>
    </w:p>
    <w:p w:rsidR="00163957" w:rsidRDefault="00163957" w:rsidP="00163957">
      <w:pPr>
        <w:pStyle w:val="TextoNormal"/>
      </w:pPr>
    </w:p>
    <w:p w:rsidR="00163957" w:rsidRDefault="00163957" w:rsidP="00163957">
      <w:pPr>
        <w:pStyle w:val="TextoNormal"/>
      </w:pPr>
      <w:r>
        <w:t>La Sala de lo Contencioso-Administrativo del Tribunal Supremo confirmó en casación la concurrencia de la causa de inadmisibilidad apreciada por la Audiencia Nacional. Comienza por dejar constancia de que la cuestión de fondo que se plantea en este caso (referida a la imposición de la carga de financiar el déficit de tarifa a cinco concretas empresas del sector eléctrico, entre ellas la demandante) ya ha sido resuelta por la Sala (en sentido desestimatorio) en los procesos seguidos por la vía especial de protección de derechos fundamentales (cita la Sentencia del Pleno de la Sala de 18 de noviembre de 2013, dictada en el recurso núm. 848-2013). Seguidamente, en lo que se refiere al presente asunto (sustanciado por los cauces del procedimiento ordinario), se remite a otro pronunciamiento anterior de la misma Sala (Sentencia de 11 de febrero de 2014, dictada en el recurso núm. 1864-2013), referido a la impugnación de la misma liquidación 14-2011 por otra empresa del sector; en el ya sentó el criterio de que las liquidaciones provisionales aprobadas por la Comisión Nacional de Energía no son resoluciones definitivas que pongan fin a la vía administrativa a efectos del art. 25.1 LJCA, pues su contenido se encuentra subordinado a lo que finalmente resulte de la liquidación definitiva, que sí es recurrible en vía contencioso-administrativa.</w:t>
      </w:r>
    </w:p>
    <w:p w:rsidR="00163957" w:rsidRDefault="00163957" w:rsidP="00163957">
      <w:pPr>
        <w:pStyle w:val="TextoNormal"/>
      </w:pPr>
    </w:p>
    <w:p w:rsidR="00163957" w:rsidRDefault="00163957" w:rsidP="00163957">
      <w:pPr>
        <w:pStyle w:val="TextoNormal"/>
      </w:pPr>
      <w:r>
        <w:lastRenderedPageBreak/>
        <w:t>En efecto, el Tribunal Supremo, con remisión a la fundamentación de su precedente Sentencia de 11 de febrero de 2014 (que cita a su vez de sus Sentencias de 27 de junio de 2006 y 27 de junio de 2012, invocadas asimismo por la Audiencia Nacional), razona en la Sentencia impugnada en amparo que “las cantidades determinadas en la liquidación de la financiación del déficit de tarifa podrán ser compensadas en la liquidación definitiva, con independencia de que tal compensación se traslade a otro ejercicio y conlleve el cierre del ejercicio en el que se aprueba. Las características de la liquidación 14 que se enfatizan en el recurso para sostener su recurribilidad con arreglo al art. 107.1 LRJPAC, que se refieren a que la liquidación se dicta tras un procedimiento determinado contemplado en el Anexo I del Real Decreto 2017/1997, que su aprobación provisional determina una situación acreedora o deudora, a su carácter inmediatamente ejecutivo al desplegar efectos jurídicos inmediatos sobre el patrimonio de los sujetos al procedimiento, son notas que no inciden en la solución apuntada en las precedentes sentencias reseñadas de irrecurribilidad de las liquidaciones, cuyo criterio jurídico esencial reside en su carácter provisional y no definitivo, de manera que las cantidades resultantes en las liquidaciones provisionales podrán ser compensadas con la definitiva, y si no lo fueran, podrá recurrirse contra esta última, lo que sucede en la liquidación 14, que se hace ‘a cuenta’, sin que tampoco se demuestre que los pagos inmediatos causen perjuicio irreparable a la empresa, que, en su caso, sería siempre indemnizable.</w:t>
      </w:r>
    </w:p>
    <w:p w:rsidR="00163957" w:rsidRDefault="00163957" w:rsidP="00163957">
      <w:pPr>
        <w:pStyle w:val="TextoNormal"/>
      </w:pPr>
    </w:p>
    <w:p w:rsidR="00163957" w:rsidRDefault="00163957" w:rsidP="00163957">
      <w:pPr>
        <w:pStyle w:val="TextoNormal"/>
      </w:pPr>
      <w:r>
        <w:t>En todo caso, no es posible establecer una singularidad relevante de la liquidación 14 respecto a las demás liquidaciones consideradas en nuestras sentencias a los efectos de dotarla de autonomía y sustantividad propias en cuanto a su impugnación, ex art. 107.1 LRJPAC, pues aun cuando la mencionada liquidación tiene un contenido decisorio, al delimitar una obligación de pago de una cantidad determinada que es inmediatamente ejecutiva, es lo cierto que este contenido se encuentra subordinado a lo que finalmente resulte de la liquidación definitiva, siendo, en fin, la razón esencial de su calificación la característica no discutida de su provisionalidad al realizarse la liquidación ‘a cuenta’. Esta nota de la provisionalidad no resulta desvirtuada por su carácter ejecutivo o por el dato de que su modificación se traslade a un ulterior ejercicio o período o porque las liquidaciones permanezcan ‘vigentes’ durante varios ejercicios, pues son aspectos accesorios que no alteran la naturaleza de la liquidación impugnada que no finaliza ni concluye el procedimiento de liquidación correspondiente al período de facturación, en este caso de 1 de enero de 2011 al 29 de febrero de 2012, que solo concluye con la liquidación definitiva” (fundamento de Derecho tercero).</w:t>
      </w:r>
    </w:p>
    <w:p w:rsidR="00163957" w:rsidRDefault="00163957" w:rsidP="00163957">
      <w:pPr>
        <w:pStyle w:val="TextoNormal"/>
      </w:pPr>
    </w:p>
    <w:p w:rsidR="00163957" w:rsidRDefault="00163957" w:rsidP="00163957">
      <w:pPr>
        <w:pStyle w:val="TextoNormal"/>
      </w:pPr>
      <w:r>
        <w:t>Añade a lo anterior el Tribunal Supremo, en la Sentencia recurrida en amparo, que la argumentación de la demandante “no logra desvirtuar la provisionalidad de la liquidación 14 y su carácter de estimación preliminar a cuenta de la definitiva, esta sí recurrible ante los órganos jurisdiccionales. Iberdrola, S.A., llega a reconocer en su escrito que ‘ninguna duda existe acerca de que ha de dictarse una liquidación definitiva del ejercicio 2011’ (cuyo retraso, por lo demás, censura) y admite asimismo que pueden existir diferencias entre aquélla y la liquidación 14-2011. Si auspicia la recurribilidad de esta última —con apoyo en las normas legales y reglamentarias antes citadas, que en realidad no aportan mucho al debate sobre este punto— es porque las consecuencias económicas derivadas del exceso o defecto de una liquidación sobre otra tendrán incidencia efectiva —se materializarán— en el ejercicio en que se concreten.</w:t>
      </w:r>
    </w:p>
    <w:p w:rsidR="00163957" w:rsidRDefault="00163957" w:rsidP="00163957">
      <w:pPr>
        <w:pStyle w:val="TextoNormal"/>
      </w:pPr>
    </w:p>
    <w:p w:rsidR="00163957" w:rsidRDefault="00163957" w:rsidP="00163957">
      <w:pPr>
        <w:pStyle w:val="TextoNormal"/>
      </w:pPr>
      <w:r>
        <w:lastRenderedPageBreak/>
        <w:t>Dicha circunstancia —la imputación efectiva de las diferencias en un año posterior— no basta para trasmutar la naturaleza provisional de la liquidación 14-2011, cuya impugnación jurisdiccional directa estaría aquejada de una fuerte dosis de incertidumbre, pues la Sala llamada a pronunciarse habría de hacerlo sobre conceptos y cifras que aún no gozan de la suficiente ‘solidez’ en la vía administrativa como para anularlos o confirmarlos. Esta es la razón por la que el art. 25 de la Ley Jurisdiccional niega el carácter de actos recurribles a aquellos que todavía no están dotados de las cualidades de firmeza –en vía administrativa– necesarias para ser sometidos al enjuiciamiento de los Tribunales” (fundamento de Derecho cuarto).</w:t>
      </w:r>
    </w:p>
    <w:p w:rsidR="00163957" w:rsidRDefault="00163957" w:rsidP="00163957">
      <w:pPr>
        <w:pStyle w:val="TextoNormal"/>
      </w:pPr>
    </w:p>
    <w:p w:rsidR="00163957" w:rsidRDefault="00163957" w:rsidP="00163957">
      <w:pPr>
        <w:pStyle w:val="TextoNormal"/>
      </w:pPr>
      <w:r>
        <w:t>En definitiva, el Tribunal Supremo entiende, siguiendo su propia jurisprudencia consolidada al respecto, que la liquidación 14-2011 es una liquidación provisional a cuenta de la definitiva que ha de practicarse a partir de los desajustes reales. La circunstancia de la imputación efectiva de las diferencias entre la liquidación provisional y la definitiva en el año que se concreten (en un ejercicio posterior al que se refiere la liquidación provisional) no basta para transformar la naturaleza provisional de la liquidación 14-2011. No puede esta considerarse como un acto que ponga fin a la vía administrativa, a efectos de su recurribilidad ante la jurisdicción contencioso-administrativa, conforme a lo dispuesto en el art. 25.1 LJCA, en relación con el art. 69 c) LJCA. Es la liquidación definitiva del ejercicio 2011 la que será recurrible en vía contencioso-administrativa y será al impugnar esa liquidación cuando la demandante podrá hacer valer cuantas alegaciones estime convenientes contra lo que considera indebida imposición de la carga de financiar el déficit de tarifa.</w:t>
      </w:r>
    </w:p>
    <w:p w:rsidR="00163957" w:rsidRDefault="00163957" w:rsidP="00163957">
      <w:pPr>
        <w:pStyle w:val="TextoNormal"/>
      </w:pPr>
    </w:p>
    <w:p w:rsidR="00163957" w:rsidRDefault="00163957" w:rsidP="00163957">
      <w:pPr>
        <w:pStyle w:val="TextoNormal"/>
      </w:pPr>
      <w:r w:rsidRPr="00163957">
        <w:rPr>
          <w:rStyle w:val="NumeroAFNegritaCaracter"/>
        </w:rPr>
        <w:t>5</w:t>
      </w:r>
      <w:r>
        <w:t>. En atención a lo expuesto debe concluirse que las resoluciones judiciales impugnadas no han vulnerado el derecho de la demandante a la tutela judicial efectiva (art. 24.1 CE), en su vertiente de acceso a la jurisdicción, toda vez que no puede considerarse que la decisión de inadmisión del recurso contencioso-administrativo por ella interpuesto, por el procedimiento ordinario, contra la resolución administrativa que aprobó la liquidación provisional 14-2011, resulte arbitraria, irrazonable, rigorista o desproporcionada.</w:t>
      </w:r>
    </w:p>
    <w:p w:rsidR="00163957" w:rsidRDefault="00163957" w:rsidP="00163957">
      <w:pPr>
        <w:pStyle w:val="TextoNormal"/>
      </w:pPr>
    </w:p>
    <w:p w:rsidR="00163957" w:rsidRDefault="00163957" w:rsidP="00163957">
      <w:pPr>
        <w:pStyle w:val="TextoNormal"/>
      </w:pPr>
      <w:r>
        <w:t>En efecto, no cabe calificar como arbitrario o irrazonable un razonamiento como el que se contiene en las resoluciones judiciales recurridas en amparo. Este razonamiento parte de la premisa de interpretar, de manera suficientemente motivada, que el art. 25.1 LJCA, al definir la actividad de la Administración impugnable en vía contencioso-administrativa, excluye de la misma a los actos administrativos de trámite (porque no ponen fin a la vía administrativa), salvo en los casos en que estos “deciden directa o indirectamente el fondo del asunto”, “determinan la imposibilidad de continuar el procedimiento”, o “producen indefensión o perjuicio irreparable a derechos e intereses legítimos”, circunstancias que los órganos judiciales descartan que se hallen presentes en este caso. Esto permite excluir que estemos ante un razonamiento judicial de inadmisión arbitrario o irrazonable, por cuanto que, al margen de las discrepancias que desde la perspectiva de la legalidad ordinaria puedan mantenerse, ni parte de premisas inexistentes o extravagantes ni incurre en quiebras lógicas.</w:t>
      </w:r>
    </w:p>
    <w:p w:rsidR="00163957" w:rsidRDefault="00163957" w:rsidP="00163957">
      <w:pPr>
        <w:pStyle w:val="TextoNormal"/>
      </w:pPr>
    </w:p>
    <w:p w:rsidR="00163957" w:rsidRDefault="00163957" w:rsidP="00163957">
      <w:pPr>
        <w:pStyle w:val="TextoNormal"/>
      </w:pPr>
      <w:r>
        <w:t xml:space="preserve">Del mismo modo, sin perjuicio de que los órganos judiciales pudieran haber realizado una interpretación de la causa de inadmisión apreciada más favorable al principio </w:t>
      </w:r>
      <w:r w:rsidRPr="00163957">
        <w:rPr>
          <w:i/>
        </w:rPr>
        <w:t>pro actione</w:t>
      </w:r>
      <w:r>
        <w:t xml:space="preserve">, como sostiene la demandante de amparo, dado que este principio no impone necesariamente la selección de la interpretación de la legalidad ordinaria más favorable a la admisión del recurso contencioso-administrativo, no cabe concluir que la interpretación de los </w:t>
      </w:r>
      <w:r>
        <w:lastRenderedPageBreak/>
        <w:t>arts. 25.1 y 69 c) LJCA llevada a cabo en las resoluciones impugnadas resulte rigorista ni desproporcionada. Los órganos judiciales, al señalar que es la liquidación definitiva del ejercicio 2011 la que será recurrible en vía contencioso-administrativa (siendo entonces cuando la demandante podrá hacer valer cuantas alegaciones estime oportunas contra lo que considera indebida imposición de la obligación de financiar el déficit de tarifa), están poniendo de manifiesto que la decisión de inadmisión no implica que se imposibilite a la demandante la satisfacción de la pretensión que intentaba hacer valer en vía judicial, al impugnar la liquidación provisional 14-2011 por los cauces del proceso ordinario.</w:t>
      </w:r>
    </w:p>
    <w:p w:rsidR="00163957" w:rsidRDefault="00163957" w:rsidP="00163957">
      <w:pPr>
        <w:pStyle w:val="TextoNormal"/>
      </w:pPr>
    </w:p>
    <w:p w:rsidR="00163957" w:rsidRDefault="00163957" w:rsidP="00163957">
      <w:pPr>
        <w:pStyle w:val="TextoNormal"/>
      </w:pPr>
      <w:r>
        <w:t>Todo ello al margen de advertir, como señala el Ministerio Fiscal en sus alegaciones y como también recuerda el Tribunal Supremo en la Sentencia recurrida en amparo, que la cuestión que la demandante intentaba suscitar al impugnar la liquidación provisional 14-2011 por la vía del proceso ordinario ya ha sido resuelta en cuanto al fondo (en sentido desestimatorio) por la jurisdicción contencioso-administrativa en los recursos interpuestos por las empresas afectadas por el cauce del proceso de protección de derechos fundamentales, atendiendo sin duda a la reiterada interpretación jurisprudencial al respecto según la cual la restricción de la impugnabilidad de los actos de trámite que dimana del art. 25.1 LJCA no rige en el contexto del referido proceso especial (regulado en el art. 114 y ss. LJCA), siempre que se entienda que el acto de trámite impugnado vulnera presuntamente por sí mismo el contenido de un derecho fundamental.</w:t>
      </w:r>
    </w:p>
    <w:p w:rsidR="00163957" w:rsidRDefault="00163957" w:rsidP="00163957">
      <w:pPr>
        <w:pStyle w:val="TextoNormal"/>
      </w:pPr>
    </w:p>
    <w:p w:rsidR="00163957" w:rsidRDefault="00163957" w:rsidP="00163957">
      <w:pPr>
        <w:pStyle w:val="TextoNormal"/>
      </w:pPr>
      <w:r>
        <w:t>A lo anterior cabe añadir, para descartar que las resoluciones judiciales impugnadas en amparo hayan impedido el acceso de la demandante a la jurisdicción de manera desproporcionada, que, como asimismo pone de manifiesto el Ministerio Fiscal, no se acredita por aquella que la inadmisión de la impugnación jurisdiccional de la liquidación provisional 14-2011 por los cauces del proceso ordinario le haya ocasionado ningún grave perjuicio económico de imposible o difícil reparación. La demandante no justifica haber sufrido ningún detrimento patrimonial por la mayor o menor dilación temporal en la práctica por parte de la Comisión Nacional de Energía de la liquidación definitiva del ejercicio 2011, contra la que podrá recurrir en vía contencioso-administrativa tanto por el cauce del proceso ordinario como, en su caso, por la del proceso especial de protección de los derechos fundamentales.</w:t>
      </w:r>
    </w:p>
    <w:p w:rsidR="00163957" w:rsidRDefault="00163957" w:rsidP="00163957">
      <w:pPr>
        <w:pStyle w:val="TextoNormal"/>
      </w:pPr>
    </w:p>
    <w:p w:rsidR="00163957" w:rsidRDefault="00163957" w:rsidP="00163957">
      <w:pPr>
        <w:pStyle w:val="TextoNormal"/>
      </w:pPr>
      <w:r>
        <w:t>Tampoco acredita la demandante, en fin, que la nueva regulación del déficit tarifario establecida en la actual Ley 24/2013, de 26 de diciembre, del sector eléctrico, le irrogue perjuicios económicos graves y de imposible o difícil reparación, pues, como señala el Ministerio Fiscal, esa nueva regulación no le impide recuperar a través de los cauces establecidos las diferencias que en su caso resulten a su favor de esa liquidación definitiva.</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amparo interpuesto por Iberdrola, S.A.</w:t>
      </w:r>
    </w:p>
    <w:p w:rsidR="00163957" w:rsidRDefault="00163957" w:rsidP="00163957">
      <w:pPr>
        <w:pStyle w:val="TextoNormal"/>
      </w:pPr>
    </w:p>
    <w:p w:rsidR="00163957" w:rsidRDefault="00163957" w:rsidP="00163957">
      <w:pPr>
        <w:pStyle w:val="TextoNormal"/>
      </w:pPr>
      <w:r>
        <w:lastRenderedPageBreak/>
        <w:t>Publíquese esta Sentencia en el “Boletín Oficial del Estado”.</w:t>
      </w:r>
    </w:p>
    <w:p w:rsidR="00163957" w:rsidRDefault="00163957" w:rsidP="00163957">
      <w:pPr>
        <w:pStyle w:val="TextoNormal"/>
      </w:pPr>
      <w:r>
        <w:t>Dada en Madrid, a nueve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95" w:name="SENTENCIA_2016_92"/>
      <w:r>
        <w:lastRenderedPageBreak/>
        <w:t>SENTENCIA 92/2016, de 9 de mayo de 2016</w:t>
      </w:r>
    </w:p>
    <w:bookmarkEnd w:id="95"/>
    <w:p w:rsidR="00163957" w:rsidRDefault="00163957" w:rsidP="00163957">
      <w:pPr>
        <w:pStyle w:val="TtuloResolucin"/>
      </w:pPr>
      <w:r>
        <w:t>Sala Primera</w:t>
      </w:r>
    </w:p>
    <w:p w:rsidR="00163957" w:rsidRDefault="00163957" w:rsidP="00163957">
      <w:pPr>
        <w:pStyle w:val="TtuloBOE"/>
      </w:pPr>
      <w:r>
        <w:t>(BOE núm. 147, de 18 de junio de 2016)</w:t>
      </w:r>
    </w:p>
    <w:p w:rsidR="00163957" w:rsidRDefault="00163957" w:rsidP="00163957">
      <w:pPr>
        <w:pStyle w:val="TextoNormalCentrado"/>
      </w:pPr>
      <w:r>
        <w:t>ECLI:ES:TC:2016:92</w:t>
      </w:r>
    </w:p>
    <w:p w:rsidR="00163957" w:rsidRDefault="00163957" w:rsidP="00163957">
      <w:pPr>
        <w:pStyle w:val="TextoNormalCentrado"/>
      </w:pPr>
    </w:p>
    <w:p w:rsidR="00163957" w:rsidRDefault="00163957" w:rsidP="00163957">
      <w:pPr>
        <w:pStyle w:val="SntesisDescriptiva"/>
      </w:pPr>
      <w:r>
        <w:t>Recurso de amparo 114-2015. Promovido por el Ayuntamiento de Toledo respecto de las resoluciones dictadas por las Salas de lo Contencioso-Administrativo del Tribunal Superior de Justicia de Castilla-La Mancha y del Tribunal Supremo, en proceso de impugnación de la orden de la Consejería de Vivienda y Urbanismo, de aprobación definitiva del plan de ordenación municipal de Toledo.</w:t>
      </w:r>
    </w:p>
    <w:p w:rsidR="00163957" w:rsidRDefault="00163957" w:rsidP="00163957">
      <w:pPr>
        <w:pStyle w:val="SntesisDescriptiva"/>
      </w:pPr>
    </w:p>
    <w:p w:rsidR="00163957" w:rsidRDefault="00163957" w:rsidP="00163957">
      <w:pPr>
        <w:pStyle w:val="SntesisAnaltica"/>
      </w:pPr>
      <w:r>
        <w:t>Vulneración de los derechos a la tutela judicial efectiva y a un proceso con todas las garantías: sentencia no fundada en Derecho porque inaplica una ley autonómica vigente sin plantear cuestión de inconstitucionalidad (STC 195/2015). Voto particular.</w:t>
      </w:r>
    </w:p>
    <w:p w:rsidR="00163957" w:rsidRDefault="00163957" w:rsidP="00163957">
      <w:pPr>
        <w:pStyle w:val="SntesisAnaltica"/>
      </w:pPr>
    </w:p>
    <w:p w:rsidR="00163957" w:rsidRDefault="00163957" w:rsidP="00163957">
      <w:pPr>
        <w:pStyle w:val="Extracto"/>
      </w:pPr>
      <w:r>
        <w:t>1.</w:t>
      </w:r>
      <w:r>
        <w:tab/>
        <w:t>Asunto sustancialmente idéntico al resuelto por la STC 195/2015, en relación con la doctrina sobre el deber de los órganos judiciales de plantear cuestión de inconstitucionalidad en orden a inaplicar una norma con rango de ley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114-2015, promovido por don Alberto Collado Martín, Procurador de los Tribunales y del Ayuntamiento de Toledo, bajo la dirección del Letrado don Santiago Muñoz Machado, contra el Auto de la Sección Primera de la Sala de lo Contencioso-Administrativo del Tribunal Supremo de fecha 23 de octubre de 2014, el Auto de 3 de abril de 2014, dictada en el recurso de casación núm. 226-2012, de la misma Sala y Sección y la Sentencia de 15 de diciembre de 2011, dictada por la Sección Primera de la Sala de lo Contencioso-Administrativo del Tribunal Superior de Justicia de Castilla-La Mancha que estima el recurso contencioso-administrativo núm. 542-2007, formulado contra la Orden de 26 de marzo de 2007 de la Consejería de Vivienda y Urbanismo que aprueba definitivamente el plan de ordenación municipal de Toledo. Han intervenido el Ministerio Fiscal y la Junta de Comunidades de Castilla-La Mancha, representada por el Procurador de los Tribunales don Francisco Velasco Muñoz-Cuellar, y bajo la dirección letrada de don Angel Querada Tapia. Ha sido Ponente la Magistrada doña Encarnación Roca Trias, quien expresa el parecer del Tribunal.</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8 de enero de 2015, el Procurador de los Tribunales don Alberto Collado Martín, en representación del Ayuntamiento de Toledo, interpuso recurso de amparo contra la Sentencia de la Sección Primera de la Sala de lo Contencioso-Administrativo del Tribunal Superior de Justicia de Castilla-La Mancha de 15 de diciembre de 2011, que estima el recurso contencioso-administrativo núm. 542-2007, formulado contra la Orden de 26 de marzo de 2007 de la Consejería de Vivienda y Urbanismo que aprueba definitivamente el plan de ordenación municipal de Toledo y contra el Auto de 3 de abril de 2014 de la Sección Primera de la Sala de lo Contencioso-Administrativo del Tribunal Supremo, que acordó declarar la pérdida de objeto del recurso de casación núm. 226-2012, interpuesto contra la anterior, así como contra el Auto de 23 de octubre de 2014, de la misma Sala y Sección que desestimó el incidente de nulidad de actuaciones y confirmó el anterior Auto.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de los que trae causa la demanda, relevantes para resolver el recurso de amparo interpuesto, son los siguientes:</w:t>
      </w:r>
    </w:p>
    <w:p w:rsidR="00163957" w:rsidRDefault="00163957" w:rsidP="00163957">
      <w:pPr>
        <w:pStyle w:val="TextoNormal"/>
      </w:pPr>
    </w:p>
    <w:p w:rsidR="00163957" w:rsidRDefault="00163957" w:rsidP="00163957">
      <w:pPr>
        <w:pStyle w:val="TextoNormal"/>
      </w:pPr>
      <w:r>
        <w:t>a) Ante la Sala de lo Contencioso-Administrativo del Tribunal Superior de Justicia de Castilla-La Mancha, las mercantiles Inversiones Doalca, S.L., y Galafre 21, S.L., plantearon recurso contencioso administrativo contra la Orden de 26 de marzo de 2007 de la Consejería de Vivienda y Urbanismo de la Junta de Comunidades de Castilla-La Mancha por la que se aprueba definitivamente el plan de ordenación municipal de Toledo. En él se denunciaba la nulidad de pleno Derecho del plan de ordenación municipal de Toledo al haberse realizado modificaciones sustanciales sin someterlo nuevamente al trámite de información pública.</w:t>
      </w:r>
    </w:p>
    <w:p w:rsidR="00163957" w:rsidRDefault="00163957" w:rsidP="00163957">
      <w:pPr>
        <w:pStyle w:val="TextoNormal"/>
      </w:pPr>
    </w:p>
    <w:p w:rsidR="00163957" w:rsidRDefault="00163957" w:rsidP="00163957">
      <w:pPr>
        <w:pStyle w:val="TextoNormal"/>
      </w:pPr>
      <w:r>
        <w:t>b) La Sentencia de 15 de diciembre de 2011 de la Sección Primera de la Sala de lo Contencioso-Administrativo del Tribunal Superior de Justicia, estimó el recurso formulado contra la citada Orden y declaró el plan de ordenación municipal de Toledo contrario a Derecho, anulándolo. El órgano judicial argumenta su decisión remitiéndose a lo dispuesto en la Sentencia de 27 de diciembre de 2010 dictada por la misma Sala y Sección. En primer lugar, justifica el no planteamiento de la cuestión de inconstitucionalidad contra el precepto de la Ley autonómica, por no tratarse de la inaplicación de una norma sino de la elección del derecho aplicable al caso controvertido; decisión que apoya en lo dispuesto en la STS de 9 de diciembre de 2008. Por otro lado, considera que debe estimarse el recurso pues si bien la regulación contenida en la ley autonómica no garantiza la participación pública en el proceso de planeamiento, el art. 6.1 de la Ley 6/1998, sobre régimen del suelo y valoraciones, sí exige abrir un nuevo trámite de información pública en el proceso de planeamiento si se introducen modificaciones sustanciales.</w:t>
      </w:r>
    </w:p>
    <w:p w:rsidR="00163957" w:rsidRDefault="00163957" w:rsidP="00163957">
      <w:pPr>
        <w:pStyle w:val="TextoNormal"/>
      </w:pPr>
    </w:p>
    <w:p w:rsidR="00163957" w:rsidRDefault="00163957" w:rsidP="00163957">
      <w:pPr>
        <w:pStyle w:val="TextoNormal"/>
      </w:pPr>
      <w:r>
        <w:t>c) El Ayuntamiento de Toledo interpuso recurso de casación que basa, entre otros motivos, en que la Sala había incurrido en un exceso de jurisdicción al estar obligada a aplicar el art. 36.2 a) del texto refundido de la Ley de ordenación del territorio y de la actividad urbanística, salvo que planteara cuestión de inconstitucionalidad conforme a lo dispuesto en los arts. 163 CE y 35.1 de la Ley Orgánica del Tribunal Constitucional (LOTC) y el art. 5.2 de la Ley Orgánica del Poder Judicial (LOPJ), citando en su apoyo, entre otras, las SSTC 61/1993, 163/1995, 173/2002, 58/2004 y 66/2011.</w:t>
      </w:r>
    </w:p>
    <w:p w:rsidR="00163957" w:rsidRDefault="00163957" w:rsidP="00163957">
      <w:pPr>
        <w:pStyle w:val="TextoNormal"/>
      </w:pPr>
    </w:p>
    <w:p w:rsidR="00163957" w:rsidRDefault="00163957" w:rsidP="00163957">
      <w:pPr>
        <w:pStyle w:val="TextoNormal"/>
      </w:pPr>
      <w:r>
        <w:t>d) Por Auto de 3 de abril de 2014, la Sala de lo Contencioso-Administrativo del Tribunal Supremo, declaró la pérdida sobrevenida de objeto. La Sala considera que al desarrollarse la impugnación casacional en términos sustancialmente coincidentes con los examinados en el recurso de casación núm. 5116-2011, desestimado por Sentencia de 27 de febrero de 2014, que confirmó la Sentencia dictada por la misma Sala de instancia de fecha de 26 de julio de 2011, dictada en recurso núm. 556-2007 y que declaró la nulidad de la misma resolución impugnada, esto es, la Orden de 26 de marzo de 2007 de la Consejería de Vivienda y Urbanismo por la que se aprueba definitivamente el plan de ordenación municipal de Toledo, carece de sentido, aunque sea por la vía de enjuiciar el contenido de la Sentencia recurrida, pronunciarse sobre si es ajustada o no a derecho una disposición de carácter general, como es un plan de ordenación, que ya ha sido declarada nula por Sentencia firme y que, por tanto, ha sido expulsada del ordenamiento jurídico.</w:t>
      </w:r>
    </w:p>
    <w:p w:rsidR="00163957" w:rsidRDefault="00163957" w:rsidP="00163957">
      <w:pPr>
        <w:pStyle w:val="TextoNormal"/>
      </w:pPr>
    </w:p>
    <w:p w:rsidR="00163957" w:rsidRDefault="00163957" w:rsidP="00163957">
      <w:pPr>
        <w:pStyle w:val="TextoNormal"/>
      </w:pPr>
      <w:r>
        <w:t>e) El 5 de junio de 2014, el Ayuntamiento de Toledo formuló incidente de nulidad de actuaciones ante la misma Sección Primera de la Sala de lo Contencioso-Administrativo del Tribunal Supremo. Alegó que dado que al declarar la pérdida sobrevenida de objeto del recurso de casación, el auto impugnado traslada al recurso a que se refiere la totalidad de los argumentos y efectos jurídicos de la Sentencia de 27 de febrero de 2014, igualmente se traslada al incidente de nulidad la totalidad de los argumentos utilizados en el incidente formulado contra la referida Sentencia. Es decir, la vulneración de sus derechos fundamentales a la tutela judicial efectiva sin indefensión y a un proceso con todas las garantías (art. 24.1 y 2 CE).</w:t>
      </w:r>
    </w:p>
    <w:p w:rsidR="00163957" w:rsidRDefault="00163957" w:rsidP="00163957">
      <w:pPr>
        <w:pStyle w:val="TextoNormal"/>
      </w:pPr>
    </w:p>
    <w:p w:rsidR="00163957" w:rsidRDefault="00163957" w:rsidP="00163957">
      <w:pPr>
        <w:pStyle w:val="TextoNormal"/>
      </w:pPr>
      <w:r>
        <w:t>f) Por Auto de 23 de octubre de 2014 se desestimó el incidente de nulidad de actuaciones, remitiéndose a lo dispuesto en el Auto de 15 de julio de 2014 que, a su vez, desestimó el presentado frente a la Sentencia de 27 de febrero de 2014.</w:t>
      </w:r>
    </w:p>
    <w:p w:rsidR="00163957" w:rsidRDefault="00163957" w:rsidP="00163957">
      <w:pPr>
        <w:pStyle w:val="TextoNormal"/>
      </w:pPr>
    </w:p>
    <w:p w:rsidR="00163957" w:rsidRDefault="00163957" w:rsidP="00163957">
      <w:pPr>
        <w:pStyle w:val="TextoNormal"/>
      </w:pPr>
      <w:r w:rsidRPr="00163957">
        <w:rPr>
          <w:rStyle w:val="NumeroAFNegritaCaracter"/>
        </w:rPr>
        <w:t>3</w:t>
      </w:r>
      <w:r>
        <w:t>. El Ayuntamiento demandante de amparo denuncia que las resoluciones judiciales mencionadas en el encabezamiento vulneran sus derechos fundamentales a la tutela judicial efectiva sin indefensión y a un proceso con todas las garantías (art. 24.1 y 2 CE). Solicita que se declare su nulidad y se retrotraigan las actuaciones al momento inmediatamente anterior al pronunciamiento del recurso de casación, apelando directamente a la Sala Tercera del Tribunal Supremo para que proceda al acatamiento estricto de la doctrina del Tribunal Constitucional.</w:t>
      </w:r>
    </w:p>
    <w:p w:rsidR="00163957" w:rsidRDefault="00163957" w:rsidP="00163957">
      <w:pPr>
        <w:pStyle w:val="TextoNormal"/>
      </w:pPr>
    </w:p>
    <w:p w:rsidR="00163957" w:rsidRDefault="00163957" w:rsidP="00163957">
      <w:pPr>
        <w:pStyle w:val="TextoNormal"/>
      </w:pPr>
      <w:r>
        <w:t>Alega que las resoluciones judiciales dictadas en el proceso se apartan de modo consciente de la doctrina constitucional recogida, entre otras muchas, en las SSTC 73/2000, 104/2000, 120/2000, 173/2002, 66/2011, 187/2012, o 177/2013, lo que supone una quiebra del mandato recogido en el art. 5.1 LOPJ, de la que deriva la vulneración del derecho a la tutela judicial efectiva (art. 24.1 CE). Igualmente considera que se ha producido una vulneración del derecho a la tutela judicial efectiva y a un proceso con todas las garantías (art. 24.1 y 2 CE), al haber incurrido las resoluciones judiciales en un exceso de jurisdicción por la inaplicación de las leyes autonómicas vigentes en materia de urbanismo, sin el previo planteamiento de la cuestión de inconstitucionalidad cuando en supuestos idénticos (entre otras, SSTC 187/2012 o 177/2013) se ha afirmado que “la depuración del ordenamiento legal, vigente en la Constitución, corresponde de forma exclusiva al Tribunal Constitucional”.</w:t>
      </w:r>
    </w:p>
    <w:p w:rsidR="00163957" w:rsidRDefault="00163957" w:rsidP="00163957">
      <w:pPr>
        <w:pStyle w:val="TextoNormal"/>
      </w:pPr>
    </w:p>
    <w:p w:rsidR="00163957" w:rsidRDefault="00163957" w:rsidP="00163957">
      <w:pPr>
        <w:pStyle w:val="TextoNormal"/>
      </w:pPr>
      <w:r w:rsidRPr="00163957">
        <w:rPr>
          <w:rStyle w:val="NumeroAFNegritaCaracter"/>
        </w:rPr>
        <w:t>4</w:t>
      </w:r>
      <w:r>
        <w:t>. En virtud de providencia de la Sala Primera, de 5 de octubre de 2015, se acordó la admisión a trámite de la demanda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se acordó dirigir atenta comunicación a la Sala de lo Contencioso-Administrativo del Tribunal Supremo, Sección Primera, y a la Sección Primera de la Sala de lo Contencioso-Administrativo del Tribunal Superior de Justicia de Castilla-La Mancha para que, en el plazo de diez días, remitieran certificación o fotocopia adverada de las actuaciones correspondientes al recurso de casación núm. 226-2012 y del procedimiento ordinario núm. 542-2007, seguido respectivamente ante los mismos y practicaran los emplazamientos correspondientes. También se acordó en la misma formar la correspondiente pieza separada de suspensión, que previa la correspondiente tramitación, fue resuelta por Auto de esta Sala de 14 de diciembre de 2015.</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registrado en este Tribunal el día 30 de octubre de 2015, el Procurador de los Tribunales don Francisco Velasco Muñoz-Cuéllar, compareció en representación de la Junta de Comunidades de Castilla-La Mancha, solicitando que se le tuviera por personado.</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escrito presentado el 10 de diciembre de 2015, formuló alegaciones la Junta de Comunidades de Castilla-La Mancha, haciendo suyas las efectuadas por el Ayuntamiento de Toledo en su escrito de interposición del recurso de amparo e interesando su otorgamiento.</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registrado el 14 de diciembre 2015, formuló alegaciones el Ayuntamiento de Toledo, interesando el otorgamiento del amparo que basa en la absoluta identidad del objeto del presente recurso con el resuelto mediante Sentencia de la Sala Primera de este Tribunal de 21 de septiembre de 2015, que otorgó el amparo al citado Ayuntamiento.</w:t>
      </w:r>
    </w:p>
    <w:p w:rsidR="00163957" w:rsidRDefault="00163957" w:rsidP="00163957">
      <w:pPr>
        <w:pStyle w:val="TextoNormal"/>
      </w:pPr>
    </w:p>
    <w:p w:rsidR="00163957" w:rsidRDefault="00163957" w:rsidP="00163957">
      <w:pPr>
        <w:pStyle w:val="TextoNormal"/>
      </w:pPr>
      <w:r w:rsidRPr="00163957">
        <w:rPr>
          <w:rStyle w:val="NumeroAFNegritaCaracter"/>
        </w:rPr>
        <w:t>8</w:t>
      </w:r>
      <w:r>
        <w:t>. El Ministerio Fiscal, mediante escrito presentado el 23 de diciembre de 2015, efectuó alegaciones interesando que se otorgara el amparo solicitado, anulando las resoluciones impugnadas y retrotrayendo las actuaciones al momento procesal inmediatamente anterior al de la Sentencia de 15 de diciembre de 2011 de la Sección Primera de la Sala de lo Contencioso-Administrativo del Tribunal Superior de Justicia de Castilla-La Mancha, a fin de que dicte la que corresponda con respeto a los derechos fundamentales vulnerados.</w:t>
      </w:r>
    </w:p>
    <w:p w:rsidR="00163957" w:rsidRDefault="00163957" w:rsidP="00163957">
      <w:pPr>
        <w:pStyle w:val="TextoNormal"/>
      </w:pPr>
    </w:p>
    <w:p w:rsidR="00163957" w:rsidRDefault="00163957" w:rsidP="00163957">
      <w:pPr>
        <w:pStyle w:val="TextoNormal"/>
      </w:pPr>
      <w:r>
        <w:t xml:space="preserve">Considera, tras realizar toda una serie de consideraciones previas, que “deviene incuestionable y necesaria la aplicación de la STC 195/2015 al presente recurso de amparo, en cuanto el ATS de 3-4-2014, impugnado en este recurso de amparo, utiliza la anulada STS de 27 de febrero de 2014 como soporte argumental y determinante de su contenido y parte dispositiva”. Así, en aplicación de la doctrina expuesta en la citada STC 195/2015, resulta, a su juicio, que las resoluciones impugnadas han vulnerado el derecho a la tutela judicial efectiva y a un proceso con todas las garantías (art. 24.1 y 2 CE). No estima, sin embargo, que se haya conculcado el derecho a la tutela judicial efectiva (art. 24.1 CE), al no incurrir </w:t>
      </w:r>
      <w:r>
        <w:lastRenderedPageBreak/>
        <w:t>las resoluciones recurridas en un manifiesto desconocimiento del deber de acatamiento de la doctrina del Tribunal Constitucional, con quiebra del mandato recogido en el art. 5 LOPJ, por no concurrir las circunstancias que terminarían una oposición frontal a la interpretación realizada por el citado Tribunal sino una interpretación errónea de la jurisprudencia constitucional por la Sentencia del Tribunal Supremo impugnada.</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5 de mayo de 2016, se señaló para deliberación y votación de la presente Sentencia el día 9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amparo tiene por objeto enjuiciar si las resoluciones en él impugnadas lesionaron los derechos fundamentales del recurrente a la tutela judicial efectiva sin indefensión (art. 24.1 CE) y a un proceso con todas las garantías (art. 24.2 CE), por incurrir los órganos judiciales en exceso de jurisdicción al rechazar la aplicación del art. 36.2 a) párrafo segundo (debe entenderse referido al párrafo tercero), del texto refundido de la Ley de ordenación del territorio y de la actividad urbanística, sin elevar cuestión de inconstitucionalidad ante este Tribunal.</w:t>
      </w:r>
    </w:p>
    <w:p w:rsidR="00163957" w:rsidRDefault="00163957" w:rsidP="00163957">
      <w:pPr>
        <w:pStyle w:val="TextoNormal"/>
      </w:pPr>
    </w:p>
    <w:p w:rsidR="00163957" w:rsidRDefault="00163957" w:rsidP="00163957">
      <w:pPr>
        <w:pStyle w:val="TextoNormal"/>
      </w:pPr>
      <w:r w:rsidRPr="00163957">
        <w:rPr>
          <w:rStyle w:val="NumeroAFNegritaCaracter"/>
        </w:rPr>
        <w:t>2</w:t>
      </w:r>
      <w:r>
        <w:t>. Como ha quedado expuesto en los antecedentes, tanto el demandante de amparo como el Ministerio Fiscal consideran en sus escritos de alegaciones que, tras el dictado de la STC 195/2015, de 21 de septiembre, no cabe sino trasladar lo allí dispuesto al presente recurso y otorgar el amparo, dada la identidad de objeto de ambos recursos.</w:t>
      </w:r>
    </w:p>
    <w:p w:rsidR="00163957" w:rsidRDefault="00163957" w:rsidP="00163957">
      <w:pPr>
        <w:pStyle w:val="TextoNormal"/>
      </w:pPr>
    </w:p>
    <w:p w:rsidR="00163957" w:rsidRDefault="00163957" w:rsidP="00163957">
      <w:pPr>
        <w:pStyle w:val="TextoNormal"/>
      </w:pPr>
      <w:r>
        <w:t>Dicha apreciación es compartida por este Tribunal y por ello considera que, en aplicación de la fundamentación esgrimida en la citada Sentencia, las resoluciones impugnadas en el presente caso han vulnerado el derecho a la tutela judicial efectiva (art. 24.1 CE) y a un proceso con todas las garantías (art. 24.2 CE), al proceder los órganos judiciales a la inaplicación de la norma autonómica por considerarla contraria a la ley básica estatal, sin plantear la cuestión de inconstitucionalidad, conforme lo dispuesto en el art. 163 CE y la jurisprudencia de este Tribunal. Debemos rechazar, sin embargo, como así consideramos en dicha resolución, que exista una voluntad manifiesta de no aplicar la doctrina constitucional o una decisión consciente de soslayarla y ello con independencia del acierto de la decisión adoptada que en nada afectaría al mandato contenido en el art. 5.1 de la Ley Orgánica del Poder Judicial al que alude el recurrente.</w:t>
      </w:r>
    </w:p>
    <w:p w:rsidR="00163957" w:rsidRDefault="00163957" w:rsidP="00163957">
      <w:pPr>
        <w:pStyle w:val="TextoNormal"/>
      </w:pPr>
    </w:p>
    <w:p w:rsidR="00163957" w:rsidRDefault="00163957" w:rsidP="00163957">
      <w:pPr>
        <w:pStyle w:val="TextoNormal"/>
      </w:pPr>
      <w:r w:rsidRPr="00163957">
        <w:rPr>
          <w:rStyle w:val="NumeroAFNegritaCaracter"/>
        </w:rPr>
        <w:t>3</w:t>
      </w:r>
      <w:r>
        <w:t>. El otorgamiento del amparo al demandante por vulneración del derecho a la tutela judicial efectiva (art. 24.1 CE) y a un proceso con todas las garantías (art. 24.2 CE), debe comportar (art. 55.1 de la Ley Orgánica del Tribunal Constitucional) el reconocimiento de los derechos fundamentales vulnerados. Asimismo, procede declarar la nulidad de las resoluciones judiciales impugnadas, con retroacción de actuaciones al momento inmediatamente anterior a dictarse la Sentencia de la Sección Primera de la Sala de lo Contencioso-Administrativo del Tribunal Superior de Justicia de Castilla-La Mancha, como solicita el Ministerio Fiscal, a los efectos de que por dicho Tribunal se dicte otra resolución que resulte respetuosa con los derechos fundamentales reconocidos.</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Otorgar el amparo solicitado por el Ayuntamiento de Toledo y, en su virtud:</w:t>
      </w:r>
    </w:p>
    <w:p w:rsidR="00163957" w:rsidRDefault="00163957" w:rsidP="00163957">
      <w:pPr>
        <w:pStyle w:val="TextoNormal"/>
      </w:pPr>
    </w:p>
    <w:p w:rsidR="00163957" w:rsidRDefault="00163957" w:rsidP="00163957">
      <w:pPr>
        <w:pStyle w:val="TextoNormal"/>
      </w:pPr>
      <w:r>
        <w:t>1º Reconocer el derecho del recurrente a la tutela judicial efectiva (art. 24.1 CE) y a un proceso con todas las garantías (art. 24.2 CE).</w:t>
      </w:r>
    </w:p>
    <w:p w:rsidR="00163957" w:rsidRDefault="00163957" w:rsidP="00163957">
      <w:pPr>
        <w:pStyle w:val="TextoNormal"/>
      </w:pPr>
    </w:p>
    <w:p w:rsidR="00163957" w:rsidRDefault="00163957" w:rsidP="00163957">
      <w:pPr>
        <w:pStyle w:val="TextoNormal"/>
      </w:pPr>
      <w:r>
        <w:t>2º Declarar la nulidad de la Sentencia de la Sección Primera de la Sala de lo Contencioso-Administrativo del Tribunal Superior de Justicia de Castilla-La Mancha, de 15 de diciembre de 2011, recurso contencioso-administrativo núm. 542-2007, así como los Autos de 23 de octubre y 3 de abril, ambos de 2014, dictados en el recurso de casación núm. 226-2012 por la Sección Primera de la Sala de lo Contencioso-Administrativo del Tribunal Supremo.</w:t>
      </w:r>
    </w:p>
    <w:p w:rsidR="00163957" w:rsidRDefault="00163957" w:rsidP="00163957">
      <w:pPr>
        <w:pStyle w:val="TextoNormal"/>
      </w:pPr>
    </w:p>
    <w:p w:rsidR="00163957" w:rsidRDefault="00163957" w:rsidP="00163957">
      <w:pPr>
        <w:pStyle w:val="TextoNormal"/>
      </w:pPr>
      <w:r>
        <w:t>3º Retrotraer las actuaciones al momento inmediatamente anterior al señalamiento para votación y fallo del recurso núm. 542-2007, para que el Tribunal Superior de Justicia de Castilla-La Mancha dicte nueva Sentencia respetuosa con los derechos fundamentales vulnerados.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nueve de mayo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Juan Antonio Xiol Ríos a la Sentencia dictada en el recurso de amparo núm. 114-2015.</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Sala en la que se sustenta la Sentencia, manifiesto mi discrepancia con la fundamentación jurídica y el fallo de esta, que entiendo hubiera debido de ser desestimatorio.</w:t>
      </w:r>
    </w:p>
    <w:p w:rsidR="00163957" w:rsidRDefault="00163957" w:rsidP="00163957">
      <w:pPr>
        <w:pStyle w:val="TextoNormal"/>
      </w:pPr>
    </w:p>
    <w:p w:rsidR="00163957" w:rsidRDefault="00163957" w:rsidP="00163957">
      <w:pPr>
        <w:pStyle w:val="TextoNormal"/>
      </w:pPr>
      <w:r>
        <w:t>Las razones de mi discrepancia son coincidentes con las que ya fueron expuestas en el Voto particular formulado a la STC 195/2015, de 21 de septiembre, a la que para evitar reiteraciones innecesarias me remito.</w:t>
      </w:r>
    </w:p>
    <w:p w:rsidR="00163957" w:rsidRDefault="00163957" w:rsidP="00163957">
      <w:pPr>
        <w:pStyle w:val="TextoNormal"/>
      </w:pPr>
    </w:p>
    <w:p w:rsidR="00163957" w:rsidRDefault="00163957" w:rsidP="00163957">
      <w:pPr>
        <w:pStyle w:val="TextoNormal"/>
      </w:pPr>
      <w:r>
        <w:t>Madrid, a nueve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96" w:name="SENTENCIA_2016_93"/>
      <w:r>
        <w:lastRenderedPageBreak/>
        <w:t>SENTENCIA 93/2016, de 9 de mayo de 2016</w:t>
      </w:r>
    </w:p>
    <w:bookmarkEnd w:id="96"/>
    <w:p w:rsidR="00163957" w:rsidRDefault="00163957" w:rsidP="00163957">
      <w:pPr>
        <w:pStyle w:val="TtuloResolucin"/>
      </w:pPr>
      <w:r>
        <w:t>Sala Primera</w:t>
      </w:r>
    </w:p>
    <w:p w:rsidR="00163957" w:rsidRDefault="00163957" w:rsidP="00163957">
      <w:pPr>
        <w:pStyle w:val="TtuloBOE"/>
      </w:pPr>
      <w:r>
        <w:t>(BOE núm. 147, de 18 de junio de 2016)</w:t>
      </w:r>
    </w:p>
    <w:p w:rsidR="00163957" w:rsidRDefault="00163957" w:rsidP="00163957">
      <w:pPr>
        <w:pStyle w:val="TextoNormalCentrado"/>
      </w:pPr>
      <w:r>
        <w:t>ECLI:ES:TC:2016:93</w:t>
      </w:r>
    </w:p>
    <w:p w:rsidR="00163957" w:rsidRDefault="00163957" w:rsidP="00163957">
      <w:pPr>
        <w:pStyle w:val="TextoNormalCentrado"/>
      </w:pPr>
    </w:p>
    <w:p w:rsidR="00163957" w:rsidRDefault="00163957" w:rsidP="00163957">
      <w:pPr>
        <w:pStyle w:val="SntesisDescriptiva"/>
      </w:pPr>
      <w:r>
        <w:t>Recurso de amparo 583-2015. Promovido por el Ayuntamiento de Toledo respecto de las resoluciones dictadas por las Salas de lo Contencioso-Administrativo del Tribunal Superior de Justicia de Castilla-La Mancha y del Tribunal Supremo, en proceso de impugnación de la orden de la Consejería de Vivienda y Urbanismo, de aprobación definitiva del plan de ordenación municipal de Toledo.</w:t>
      </w:r>
    </w:p>
    <w:p w:rsidR="00163957" w:rsidRDefault="00163957" w:rsidP="00163957">
      <w:pPr>
        <w:pStyle w:val="SntesisDescriptiva"/>
      </w:pPr>
    </w:p>
    <w:p w:rsidR="00163957" w:rsidRDefault="00163957" w:rsidP="00163957">
      <w:pPr>
        <w:pStyle w:val="SntesisAnaltica"/>
      </w:pPr>
      <w:r>
        <w:t>Vulneración de los derechos a la tutela judicial efectiva y a un proceso con todas las garantías: sentencia no fundada en Derecho porque inaplica una ley autonómica vigente sin plantear cuestión de inconstitucionalidad (STC 195/2015). Voto particular.</w:t>
      </w:r>
    </w:p>
    <w:p w:rsidR="00163957" w:rsidRDefault="00163957" w:rsidP="00163957">
      <w:pPr>
        <w:pStyle w:val="SntesisAnaltica"/>
      </w:pPr>
    </w:p>
    <w:p w:rsidR="00163957" w:rsidRDefault="00163957" w:rsidP="00163957">
      <w:pPr>
        <w:pStyle w:val="Extracto"/>
      </w:pPr>
      <w:r>
        <w:t>1.</w:t>
      </w:r>
      <w:r>
        <w:tab/>
        <w:t>Asunto sustancialmente idéntico al resuelto por la STC 195/2015, en relación con la doctrina sobre el deber de los órganos judiciales de plantear cuestión de inconstitucionalidad en orden a inaplicar una norma con rango de ley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583-2015, promovido por don Alberto Collado Martín, Procurador de los Tribunales y del Ayuntamiento de Toledo, bajo la dirección del Letrado don Santiago Muñoz Machado, contra el Auto de la Sección Primera de la Sala de lo Contencioso-Administrativo del Tribunal Supremo de fecha 13 de noviembre de 2014, el Auto de 3 de abril de 2014, dictada en el recurso de casación núm. 240-2012, de la misma Sala y Sección, y la Sentencia de 28 de noviembre de 2011, dictada por la Sección Primera de la Sala de lo Contencioso-Administrativo del Tribunal Superior de Justicia de Castila-La Mancha que estima el recurso contencioso-administrativo núm. 550-2007, formulado contra la Orden de 26 de marzo de 2007 de la Consejería de Vivienda y Urbanismo que aprueba definitivamente el plan de ordenación municipal de Toledo. Han intervenido el Ministerio Fiscal y la Junta de Comunidades de Castilla-La Mancha, representada por el Procurador de los Tribunales don Francisco Velasco Muñoz-Cuellar, y bajo la dirección letrada de don Angel Querada Tapia. Ha sido Ponente la Magistrada doña Encarnación Roca Trías, quien expresa el parecer del Tribunal.</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30 de enero de 2015, el Procurador de los Tribunales don Alberto Collado Martín, en representación del Ayuntamiento de Toledo, interpuso recurso de amparo contra la Sentencia de la Sección Primera de la Sala de lo Contencioso-Administrativo del Tribunal Superior de Justicia de Castilla-La Mancha de 28 de noviembre de 2011, que estima el recurso contencioso-administrativo núm. 550-2007, formulado contra la Orden de 26 de marzo de 2007 de la Consejería de Vivienda y Urbanismo que aprueba definitivamente el plan de ordenación municipal de Toledo y contra el Auto de 3 de abril de 2014 de la Sección Primera de la Sala de lo Contencioso-Administrativo del Tribunal Supremo, que desestimó el recurso de casación núm. 240-2012, interpuesto contra la anterior, así como contra el Auto de 13 de noviembre de 2014, de la misma Sala y Sección que desestimó el incidente de nulidad de actuaciones y confirmó el anterior Auto.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de los que trae causa la demanda, relevantes para resolver el recurso de amparo interpuesto, son, en síntesis, los siguientes:</w:t>
      </w:r>
    </w:p>
    <w:p w:rsidR="00163957" w:rsidRDefault="00163957" w:rsidP="00163957">
      <w:pPr>
        <w:pStyle w:val="TextoNormal"/>
      </w:pPr>
    </w:p>
    <w:p w:rsidR="00163957" w:rsidRDefault="00163957" w:rsidP="00163957">
      <w:pPr>
        <w:pStyle w:val="TextoNormal"/>
      </w:pPr>
      <w:r>
        <w:t>a) Ante la Sala de lo Contencioso-Administrativo del Tribunal Superior de Justicia de Castilla-La Mancha, doña Elzaburu Pérez de Guzmán interpuso recurso contencioso-administrativo contra la Orden de 26 de marzo de 2007 de la Consejería de Vivienda y Urbanismo de la Junta de Comunidades de Castilla-La Mancha, por la que se aprueba definitivamente el plan de ordenación municipal de Toledo. En él se denunciaba la nulidad de pleno Derecho del plan de ordenación municipal de Toledo al haberse realizado modificaciones sustanciales sin someterlo nuevamente al trámite de información pública.</w:t>
      </w:r>
    </w:p>
    <w:p w:rsidR="00163957" w:rsidRDefault="00163957" w:rsidP="00163957">
      <w:pPr>
        <w:pStyle w:val="TextoNormal"/>
      </w:pPr>
    </w:p>
    <w:p w:rsidR="00163957" w:rsidRDefault="00163957" w:rsidP="00163957">
      <w:pPr>
        <w:pStyle w:val="TextoNormal"/>
      </w:pPr>
      <w:r>
        <w:t>b) La Sentencia de 28 de noviembre de 2011 de la Sección Primera de la Sala de lo Contencioso-Administrativo del Tribunal Superior de Justicia, estimó el recurso formulado contra la citada orden y declaró contrario a Derecho y anuló el plan de ordenación municipal de Toledo. El órgano judicial argumenta su decisión remitiéndose a lo dispuesto en la Sentencia de 27 de diciembre de 2010 dictada por la misma Sala y Sección, que, a su vez, encuentra apoyo en lo dispuesto en la STS de 9 de diciembre de 2008. En primer lugar, justifica el no planteamiento de la cuestión de inconstitucionalidad contra el precepto de la Ley autonómica, por no tratarse de la inaplicación de una norma sino de la elección del derecho aplicable al caso controvertido. Por otro lado, considera que debe estimarse el recurso pues si bien la regulación contenida en la ley autonómica no garantiza la participación pública en el proceso de planeamiento, el art. 6.1 de la Ley 6/1998, sobre régimen del suelo y valoraciones, sí exige abrir un nuevo trámite de información pública en el proceso de planeamiento si se introducen modificaciones sustanciales; como así previamente se había estimado.</w:t>
      </w:r>
    </w:p>
    <w:p w:rsidR="00163957" w:rsidRDefault="00163957" w:rsidP="00163957">
      <w:pPr>
        <w:pStyle w:val="TextoNormal"/>
      </w:pPr>
    </w:p>
    <w:p w:rsidR="00163957" w:rsidRDefault="00163957" w:rsidP="00163957">
      <w:pPr>
        <w:pStyle w:val="TextoNormal"/>
      </w:pPr>
      <w:r>
        <w:t xml:space="preserve">c) El Ayuntamiento interpuso recurso de casación basado, entre otros motivos, en que la Sala había incurrido en un exceso de jurisdicción al estar obligada a aplicar el art. 36.2 a) del texto refundido de la Ley de ordenación del territorio y de la actividad urbanística, salvo que planteara cuestión de inconstitucionalidad conforme a lo dispuesto en los arts. 163 CE </w:t>
      </w:r>
      <w:r>
        <w:lastRenderedPageBreak/>
        <w:t>y 35.1 de la Ley Orgánica del Tribunal Constitucional (LOTC) y el art. 5.2 de la Ley Orgánica del Poder Judicial (LOPJ), citando en su apoyo, entre otras, las SSTC 61/1993, 163/1995, 173/2002, 58/2004 y 66/2011.</w:t>
      </w:r>
    </w:p>
    <w:p w:rsidR="00163957" w:rsidRDefault="00163957" w:rsidP="00163957">
      <w:pPr>
        <w:pStyle w:val="TextoNormal"/>
      </w:pPr>
    </w:p>
    <w:p w:rsidR="00163957" w:rsidRDefault="00163957" w:rsidP="00163957">
      <w:pPr>
        <w:pStyle w:val="TextoNormal"/>
      </w:pPr>
      <w:r>
        <w:t>d) Por Auto de 3 de abril de 2014, la Sala de lo Contencioso-Administrativo del Tribunal Supremo, declaró la pérdida sobrevenida de objeto. La Sala considera que al desarrollarse la impugnación casacional en términos sustancialmente coincidentes con los examinados en el recurso de casación núm. 5116-2011, desestimado por Sentencia de 27 de febrero de 2014, que confirmó la Sentencia dictada por la misma Sala de instancia de fecha de 26 de julio de 2011, dictada en recurso núm. 556-2007 y que declaró la nulidad de la misma resolución impugnada, esto es, la Orden de 26 de marzo de 2007 de la Consejería de Vivienda y Urbanismo por la que se aprueba definitivamente el plan de ordenación municipal de Toledo, carece de sentido, aunque sea por la vía de enjuiciar el contenido de la Sentencia recurrida, pronunciarse sobre si es ajustada o no a Derecho una disposición de carácter general, como es un plan de ordenación, que ya ha sido declarada nula por Sentencia firme y que, por tanto, ha sido expulsada del ordenamiento jurídico.</w:t>
      </w:r>
    </w:p>
    <w:p w:rsidR="00163957" w:rsidRDefault="00163957" w:rsidP="00163957">
      <w:pPr>
        <w:pStyle w:val="TextoNormal"/>
      </w:pPr>
    </w:p>
    <w:p w:rsidR="00163957" w:rsidRDefault="00163957" w:rsidP="00163957">
      <w:pPr>
        <w:pStyle w:val="TextoNormal"/>
      </w:pPr>
      <w:r>
        <w:t>e) El 5 de junio de 2014, el Ayuntamiento de Toledo formuló incidente de nulidad de actuaciones ante la misma Sección Primera de la Sala de lo Contencioso-Administrativo del Tribunal Supremo. Alegó que dado que al declarar la pérdida sobrevenida de objeto del recurso de casación, el auto impugnado traslada al recurso a que se refiere la totalidad de los argumentos y efectos jurídicos de la Sentencia de 27 de febrero de 2014, igualmente se traslada al presente incidente de nulidad la totalidad de los argumentos utilizados en él contra la referida Sentencia. Es decir, la vulneración de sus derechos fundamentales a la tutela judicial efectiva sin indefensión y a un proceso con todas las garantías (art. 24.1 y 2 CE).</w:t>
      </w:r>
    </w:p>
    <w:p w:rsidR="00163957" w:rsidRDefault="00163957" w:rsidP="00163957">
      <w:pPr>
        <w:pStyle w:val="TextoNormal"/>
      </w:pPr>
    </w:p>
    <w:p w:rsidR="00163957" w:rsidRDefault="00163957" w:rsidP="00163957">
      <w:pPr>
        <w:pStyle w:val="TextoNormal"/>
      </w:pPr>
      <w:r>
        <w:t>f) Por Auto de 13 de noviembre de 2014 se desestimó el incidente de nulidad de actuaciones, remitiéndose a lo dispuesto en el Auto de 15 de julio de 2014 que a su vez desestimó el presentado frente a la Sentencia de 27 de febrero de 2014.</w:t>
      </w:r>
    </w:p>
    <w:p w:rsidR="00163957" w:rsidRDefault="00163957" w:rsidP="00163957">
      <w:pPr>
        <w:pStyle w:val="TextoNormal"/>
      </w:pPr>
    </w:p>
    <w:p w:rsidR="00163957" w:rsidRDefault="00163957" w:rsidP="00163957">
      <w:pPr>
        <w:pStyle w:val="TextoNormal"/>
      </w:pPr>
      <w:r w:rsidRPr="00163957">
        <w:rPr>
          <w:rStyle w:val="NumeroAFNegritaCaracter"/>
        </w:rPr>
        <w:t>3</w:t>
      </w:r>
      <w:r>
        <w:t>. El Ayuntamiento demandante de amparo denuncia que las resoluciones judiciales mencionadas en el encabezamiento vulneran sus derechos fundamentales a la tutela judicial efectiva sin indefensión y a un proceso con todas las garantías (art. 24.1 y 2 CE). Solicita que se declare su nulidad y se retrotraigan las actuaciones al momento inmediatamente anterior al pronunciamiento del recurso de casación, apelando directamente a la Sala Tercera del Tribunal Supremo para que proceda al acatamiento estricto de la doctrina del Tribunal Constitucional.</w:t>
      </w:r>
    </w:p>
    <w:p w:rsidR="00163957" w:rsidRDefault="00163957" w:rsidP="00163957">
      <w:pPr>
        <w:pStyle w:val="TextoNormal"/>
      </w:pPr>
    </w:p>
    <w:p w:rsidR="00163957" w:rsidRDefault="00163957" w:rsidP="00163957">
      <w:pPr>
        <w:pStyle w:val="TextoNormal"/>
      </w:pPr>
      <w:r>
        <w:t xml:space="preserve">Alega que las resoluciones judiciales dictadas en el proceso se apartan de modo consciente de la doctrina constitucional recogida, entre otras muchas, en las SSTC 73/2000, 104/2000, 120/2000, 173/2002, 66/2011, 187/2012 o 177/2013, lo que supone una quiebra del mandato recogido en el art. 5.1 LOPJ, de la que deriva la vulneración del derecho a la tutela judicial efectiva (art. 24.1 CE). Igualmente considera que se ha producido una vulneración del derecho a la tutela judicial efectiva y a un proceso con todas las garantías (art. 24.1 y 2 CE), al haber incurrido las resoluciones judiciales en un exceso de jurisdicción por la inaplicación de las leyes autonómicas vigentes en materia de urbanismo, sin el previo planteamiento de la cuestión de inconstitucionalidad cuando en supuestos idénticos (entre otras, SSTC 187/2012 o 177/2013) se ha afirmado que “la depuración del ordenamiento </w:t>
      </w:r>
      <w:r>
        <w:lastRenderedPageBreak/>
        <w:t>legal, vigente en la Constitución, corresponde de forma exclusiva al Tribunal Constitucional”.</w:t>
      </w:r>
    </w:p>
    <w:p w:rsidR="00163957" w:rsidRDefault="00163957" w:rsidP="00163957">
      <w:pPr>
        <w:pStyle w:val="TextoNormal"/>
      </w:pPr>
    </w:p>
    <w:p w:rsidR="00163957" w:rsidRDefault="00163957" w:rsidP="00163957">
      <w:pPr>
        <w:pStyle w:val="TextoNormal"/>
      </w:pPr>
      <w:r w:rsidRPr="00163957">
        <w:rPr>
          <w:rStyle w:val="NumeroAFNegritaCaracter"/>
        </w:rPr>
        <w:t>4</w:t>
      </w:r>
      <w:r>
        <w:t>. En virtud de providencia de la Sala Primera, de 5 de octubre de 2015, se acordó la admisión a trámite de la demanda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se acordó dirigir atenta comunicación a la Sala de lo Contencioso-Administrativo del Tribunal Supremo, Sección Primera, y a la Sección Primera de la Sala de lo Contencioso-Administrativo del Tribunal Superior de Justicia de Castilla-La Mancha, para que, en el plazo de diez días, remitieran certificación o fotocopia adverada de las actuaciones correspondientes al recurso de casación núm. 240-2012 y del procedimiento ordinario núm. 550-2007, seguido respectivamente ante los mismos y practicaran los emplazamientos correspondientes. También se acordó en la misma formar la correspondiente pieza separada de suspensión, que previa la correspondiente tramitación, fue resuelta por Auto de esta Sala de 14 de diciembre de 2015.</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registrado en este Tribunal el día 21 de octubre de 2015, el Procurador de los Tribunales don Francisco Velasco Muñoz-Cuéllar, compareció en representación de la Junta de Comunidades de Castilla-La Mancha, solicitando se le tuviera por personado.</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escrito presentado el 10 de diciembre de 2015, formuló alegaciones la Junta de Comunidades de Castilla-La Mancha, haciendo suyas las efectuadas por el Ayuntamiento de Toledo en su escrito de interposición del recurso de amparo e interesando su otorgamiento.</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registrado el 14 de diciembre 2015, formuló alegaciones el Ayuntamiento de Toledo, interesando el otorgamiento del amparo que basa en la absoluta identidad del objeto del presente recurso con el resuelto mediante Sentencia de la Sala Primera de este Tribunal de 21 de septiembre de 2015, que otorgó el amparo al citado Ayuntamiento.</w:t>
      </w:r>
    </w:p>
    <w:p w:rsidR="00163957" w:rsidRDefault="00163957" w:rsidP="00163957">
      <w:pPr>
        <w:pStyle w:val="TextoNormal"/>
      </w:pPr>
    </w:p>
    <w:p w:rsidR="00163957" w:rsidRDefault="00163957" w:rsidP="00163957">
      <w:pPr>
        <w:pStyle w:val="TextoNormal"/>
      </w:pPr>
      <w:r w:rsidRPr="00163957">
        <w:rPr>
          <w:rStyle w:val="NumeroAFNegritaCaracter"/>
        </w:rPr>
        <w:t>8</w:t>
      </w:r>
      <w:r>
        <w:t>. El Ministerio Fiscal, mediante escrito presentado el 21 de diciembre de 2015, efectuó alegaciones interesando que se otorgara el amparo solicitado, anulando las resoluciones impugnadas y retrotrayendo las actuaciones al momento procesal inmediatamente anterior al de la Sentencia de 28 de noviembre de 2011 de la Sección Primera de la Sala de lo Contencioso-Administrativo del Tribunal Superior de Justicia de Castilla-La Mancha, a fin de que dicte la que corresponda con respeto a los derechos fundamentales vulnerados.</w:t>
      </w:r>
    </w:p>
    <w:p w:rsidR="00163957" w:rsidRDefault="00163957" w:rsidP="00163957">
      <w:pPr>
        <w:pStyle w:val="TextoNormal"/>
      </w:pPr>
    </w:p>
    <w:p w:rsidR="00163957" w:rsidRDefault="00163957" w:rsidP="00163957">
      <w:pPr>
        <w:pStyle w:val="TextoNormal"/>
      </w:pPr>
      <w:r>
        <w:t xml:space="preserve">Considera, tras realizar toda una serie de consideraciones previas, que “deviene incuestionable y necesaria la aplicación de la STC 195/2015 al presente recurso de amparo, en cuanto el ATS de 3-4-2014, impugnado en este recurso de amparo, utiliza la anulada STS de 27 de febrero de 2014 como soporte argumental y determinante de su contenido y parte dispositiva”. Así, en aplicación de la doctrina expuesta en la citada STC 195/2015, resulta, a su juicio, que las resoluciones impugnadas han vulnerado el derecho a la tutela judicial efectiva y a un proceso con todas las garantías (art. 24.1 y 2 CE). No estima, sin embargo, </w:t>
      </w:r>
      <w:r>
        <w:lastRenderedPageBreak/>
        <w:t>que se haya conculcado el derecho a la tutela judicial efectiva (art. 24.1 CE), al no incurrir las resoluciones recurridas en un manifiesto desconocimiento del deber de acatamiento de la doctrina del Tribunal Constitucional, con quiebra del mandato recogido en el art. 5 LOPJ, por no concurrir las circunstancias que terminarían una oposición frontal a la interpretación realizada por el citado Tribunal sino una interpretación errónea de la jurisprudencia constitucional por la Sentencia del Tribunal Supremo impugnada.</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5 de mayo de 2016, se señaló para deliberación y votación de la presente sentencia el día 9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amparo tiene por objeto enjuiciar si las resoluciones en él impugnadas lesionaron los derechos fundamentales del recurrente a la tutela judicial efectiva sin indefensión (art. 24.1 CE) y a un proceso con todas las garantías (art. 24.2 CE), por incurrir los órganos judiciales en exceso de jurisdicción al rechazar la aplicación del art. 36.2 a) párrafo segundo (debe entenderse referido al párrafo tercero), del texto refundido de la Ley de ordenación del territorio y de la actividad urbanística, sin elevar cuestión de inconstitucionalidad ante este Tribunal.</w:t>
      </w:r>
    </w:p>
    <w:p w:rsidR="00163957" w:rsidRDefault="00163957" w:rsidP="00163957">
      <w:pPr>
        <w:pStyle w:val="TextoNormal"/>
      </w:pPr>
    </w:p>
    <w:p w:rsidR="00163957" w:rsidRDefault="00163957" w:rsidP="00163957">
      <w:pPr>
        <w:pStyle w:val="TextoNormal"/>
      </w:pPr>
      <w:r w:rsidRPr="00163957">
        <w:rPr>
          <w:rStyle w:val="NumeroAFNegritaCaracter"/>
        </w:rPr>
        <w:t>2</w:t>
      </w:r>
      <w:r>
        <w:t>. Como ha quedado expuesto en los antecedentes, tanto el demandante de amparo como el Ministerio Fiscal consideran en sus escritos de alegaciones que, tras el dictado de la STC 195/2015, de 21 de septiembre, no cabe sino trasladar lo allí dispuesto al presente recurso y otorgar el amparo, dada la identidad de objeto de ambos recursos.</w:t>
      </w:r>
    </w:p>
    <w:p w:rsidR="00163957" w:rsidRDefault="00163957" w:rsidP="00163957">
      <w:pPr>
        <w:pStyle w:val="TextoNormal"/>
      </w:pPr>
    </w:p>
    <w:p w:rsidR="00163957" w:rsidRDefault="00163957" w:rsidP="00163957">
      <w:pPr>
        <w:pStyle w:val="TextoNormal"/>
      </w:pPr>
      <w:r>
        <w:t>Dicha apreciación es compartida por este Tribunal y por ello considera que, en aplicación de la fundamentación esgrimida en la citada Sentencia, las resoluciones impugnadas en el presente caso han vulnerado el derecho a la tutela judicial efectiva (art. 24.1 CE) y a un proceso con todas las garantías (art. 24.2 CE), al proceder los órganos judiciales a la inaplicación de la norma autonómica por considerarla contraria a la ley básica estatal, sin plantear la cuestión de inconstitucionalidad, conforme lo dispuesto en el art. 163 CE y la jurisprudencia de este Tribunal. Debemos rechazar, sin embargo, como así consideramos en dicha resolución, que exista una voluntad manifiesta de no aplicar la doctrina constitucional o una decisión consciente de soslayarla y ello con independencia del acierto de la decisión adoptada que en nada afectaría al mandato contenido en el art. 5.1 de la Ley Orgánica del Poder Judicial al que alude el recurrente.</w:t>
      </w:r>
    </w:p>
    <w:p w:rsidR="00163957" w:rsidRDefault="00163957" w:rsidP="00163957">
      <w:pPr>
        <w:pStyle w:val="TextoNormal"/>
      </w:pPr>
    </w:p>
    <w:p w:rsidR="00163957" w:rsidRDefault="00163957" w:rsidP="00163957">
      <w:pPr>
        <w:pStyle w:val="TextoNormal"/>
      </w:pPr>
      <w:r w:rsidRPr="00163957">
        <w:rPr>
          <w:rStyle w:val="NumeroAFNegritaCaracter"/>
        </w:rPr>
        <w:t>3</w:t>
      </w:r>
      <w:r>
        <w:t>. El otorgamiento del amparo al demandante por vulneración del derecho a la tutela judicial efectiva (art. 24.1 CE) y a un proceso con todas las garantías (art. 24.2 CE), debe comportar (art. 55.1 de la Ley Orgánica del Tribunal Constitucional) el reconocimiento de los derechos fundamentales vulnerados. Asimismo, procede declarar la nulidad de las resoluciones judiciales impugnadas, con retroacción de actuaciones al momento inmediatamente anterior a dictarse la Sentencia de la Sección Primera de la Sala de lo Contencioso-Administrativo del Tribunal Superior de Justicia de Castilla-La Mancha, como solicita el Ministerio Fiscal, a los efectos de que por dicho Tribunal se dicte otra resolución que resulte respetuosa con los derechos fundamentales reconocidos.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Otorgar el amparo solicitado por el Ayuntamiento de Toledo y, en su virtud:</w:t>
      </w:r>
    </w:p>
    <w:p w:rsidR="00163957" w:rsidRDefault="00163957" w:rsidP="00163957">
      <w:pPr>
        <w:pStyle w:val="TextoNormal"/>
      </w:pPr>
    </w:p>
    <w:p w:rsidR="00163957" w:rsidRDefault="00163957" w:rsidP="00163957">
      <w:pPr>
        <w:pStyle w:val="TextoNormal"/>
      </w:pPr>
      <w:r>
        <w:t>1º Reconocer el derecho del Ayuntamiento demandante a la tutela judicial efectiva (art. 24.1 CE) y a un proceso con todas las garantías (art. 24.2 CE).</w:t>
      </w:r>
    </w:p>
    <w:p w:rsidR="00163957" w:rsidRDefault="00163957" w:rsidP="00163957">
      <w:pPr>
        <w:pStyle w:val="TextoNormal"/>
      </w:pPr>
    </w:p>
    <w:p w:rsidR="00163957" w:rsidRDefault="00163957" w:rsidP="00163957">
      <w:pPr>
        <w:pStyle w:val="TextoNormal"/>
      </w:pPr>
      <w:r>
        <w:t>2º Declarar la nulidad de la Sentencia de la Sección Primera de la Sala de lo Contencioso-Administrativo del Tribunal Superior de Justicia de Castilla-La Mancha, de 28 de noviembre de 2011, recurso contencioso-administrativo núm. 550-2007, así como los Autos de 3 de abril y 13 de noviembre de 2014, dictados en el recurso de casación núm. 240-2012 por la Sección Primera de la Sala de lo Contencioso-Administrativo del Tribunal Supremo.</w:t>
      </w:r>
    </w:p>
    <w:p w:rsidR="00163957" w:rsidRDefault="00163957" w:rsidP="00163957">
      <w:pPr>
        <w:pStyle w:val="TextoNormal"/>
      </w:pPr>
    </w:p>
    <w:p w:rsidR="00163957" w:rsidRDefault="00163957" w:rsidP="00163957">
      <w:pPr>
        <w:pStyle w:val="TextoNormal"/>
      </w:pPr>
      <w:r>
        <w:t>3º Retrotraer las actuaciones al momento inmediatamente anterior al señalamiento para votación y fallo del recurso núm. 550-2007, para que el Tribunal Superior de Justicia de Castilla-La Mancha dicte nueva Sentencia respetuosa con los derechos fundamentales vulnerados.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nueve de mayo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Juan Antonio Xiol Ríos a la Sentencia dictada en el recurso de amparo núm. 583-2015.</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Sala en la que se sustenta la Sentencia, manifiesto mi discrepancia con la fundamentación jurídica y el fallo de esta, que entiendo hubiera debido de ser desestimatorio.</w:t>
      </w:r>
    </w:p>
    <w:p w:rsidR="00163957" w:rsidRDefault="00163957" w:rsidP="00163957">
      <w:pPr>
        <w:pStyle w:val="TextoNormal"/>
      </w:pPr>
    </w:p>
    <w:p w:rsidR="00163957" w:rsidRDefault="00163957" w:rsidP="00163957">
      <w:pPr>
        <w:pStyle w:val="TextoNormal"/>
      </w:pPr>
      <w:r>
        <w:t>Las razones de mi discrepancia son coincidentes con las que ya fueron expuestas en el Voto particular formulado a la STC 195/2015, de 21 de septiembre, a la que para evitar reiteraciones innecesarias me remito.</w:t>
      </w:r>
    </w:p>
    <w:p w:rsidR="00163957" w:rsidRDefault="00163957" w:rsidP="00163957">
      <w:pPr>
        <w:pStyle w:val="TextoNormal"/>
      </w:pPr>
    </w:p>
    <w:p w:rsidR="00163957" w:rsidRDefault="00163957" w:rsidP="00163957">
      <w:pPr>
        <w:pStyle w:val="TextoNormal"/>
      </w:pPr>
      <w:r>
        <w:t>Madrid, a nueve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97" w:name="SENTENCIA_2016_94"/>
      <w:r>
        <w:lastRenderedPageBreak/>
        <w:t>SENTENCIA 94/2016, de 9 de mayo de 2016</w:t>
      </w:r>
    </w:p>
    <w:bookmarkEnd w:id="97"/>
    <w:p w:rsidR="00163957" w:rsidRDefault="00163957" w:rsidP="00163957">
      <w:pPr>
        <w:pStyle w:val="TtuloResolucin"/>
      </w:pPr>
      <w:r>
        <w:t>Sala Segunda</w:t>
      </w:r>
    </w:p>
    <w:p w:rsidR="00163957" w:rsidRDefault="00163957" w:rsidP="00163957">
      <w:pPr>
        <w:pStyle w:val="TtuloBOE"/>
      </w:pPr>
      <w:r>
        <w:t>(BOE núm. 147, de 18 de junio de 2016)</w:t>
      </w:r>
    </w:p>
    <w:p w:rsidR="00163957" w:rsidRDefault="00163957" w:rsidP="00163957">
      <w:pPr>
        <w:pStyle w:val="TextoNormalCentrado"/>
      </w:pPr>
      <w:r>
        <w:t>ECLI:ES:TC:2016:94</w:t>
      </w:r>
    </w:p>
    <w:p w:rsidR="00163957" w:rsidRDefault="00163957" w:rsidP="00163957">
      <w:pPr>
        <w:pStyle w:val="TextoNormalCentrado"/>
      </w:pPr>
    </w:p>
    <w:p w:rsidR="00163957" w:rsidRDefault="00163957" w:rsidP="00163957">
      <w:pPr>
        <w:pStyle w:val="SntesisDescriptiva"/>
      </w:pPr>
      <w:r>
        <w:t>Recurso de amparo 1398-2015. Promovido por don Jacinto Hurtado Cerrato en relación con el Auto dictado por un Juzgado de Instrucción de Madrid, que desestimó su impugnación de la resolución de la comisión de asistencia jurídica gratuita denegatoria de este beneficio.</w:t>
      </w:r>
    </w:p>
    <w:p w:rsidR="00163957" w:rsidRDefault="00163957" w:rsidP="00163957">
      <w:pPr>
        <w:pStyle w:val="SntesisDescriptiva"/>
      </w:pPr>
    </w:p>
    <w:p w:rsidR="00163957" w:rsidRDefault="00163957" w:rsidP="00163957">
      <w:pPr>
        <w:pStyle w:val="SntesisAnaltica"/>
      </w:pPr>
      <w:r>
        <w:t>Alegada vulneración del derecho a la tutela judicial efectiva (acceso a la justicia): extemporaneidad del recurso de amparo promovido frente a una resolución administrativa.</w:t>
      </w:r>
    </w:p>
    <w:p w:rsidR="00163957" w:rsidRDefault="00163957" w:rsidP="00163957">
      <w:pPr>
        <w:pStyle w:val="SntesisAnaltica"/>
      </w:pPr>
    </w:p>
    <w:p w:rsidR="00163957" w:rsidRDefault="00163957" w:rsidP="00163957">
      <w:pPr>
        <w:pStyle w:val="Extracto"/>
      </w:pPr>
      <w:r>
        <w:t>1.</w:t>
      </w:r>
      <w:r>
        <w:tab/>
        <w:t>Ha de apreciarse el óbice de extemporaneidad, pues el recurso de amparo tuvo entrada en este Tribunal cuando el plazo ya había transcurrido [FJ 3].</w:t>
      </w:r>
    </w:p>
    <w:p w:rsidR="00163957" w:rsidRDefault="00163957" w:rsidP="00163957">
      <w:pPr>
        <w:pStyle w:val="Extracto"/>
      </w:pPr>
    </w:p>
    <w:p w:rsidR="00163957" w:rsidRDefault="00163957" w:rsidP="00163957">
      <w:pPr>
        <w:pStyle w:val="Extracto"/>
      </w:pPr>
      <w:r>
        <w:t>2.</w:t>
      </w:r>
      <w:r>
        <w:tab/>
        <w:t>La lesión del derecho a la tutela judicial efectiva que puede resultar de la indebida desestimación de una solicitud de asistencia justicia gratuita es directamente imputable a la resolución dictada por el órgano administrativo competente [FJ 2].</w:t>
      </w:r>
    </w:p>
    <w:p w:rsidR="00163957" w:rsidRDefault="00163957" w:rsidP="00163957">
      <w:pPr>
        <w:pStyle w:val="Extracto"/>
      </w:pPr>
    </w:p>
    <w:p w:rsidR="00163957" w:rsidRDefault="00163957" w:rsidP="00163957">
      <w:pPr>
        <w:pStyle w:val="Extracto"/>
      </w:pPr>
      <w:r>
        <w:t>3.</w:t>
      </w:r>
      <w:r>
        <w:tab/>
        <w:t>Los Jueces y Tribunales no son quienes reconocen el derecho a la asistencia jurídica gratuita, sino que conocen sólo en vía de recurso las impugnaciones de la actuación llevada a cabo por las Comisiones de Asistencia Jurídica Gratuita (SSTC 97/2001; 118/2014)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1398-2015, promovido por don Jacinto Hurtado Cerrato, representado por el Procurador de los Tribunales don Francisco Inocencio Fernández Martínez y asistido por el Abogado don Alejando Lacasa González, contra el Auto de 9 de enero de 2015, dictado por el Juzgado de Instrucción núm. 33 de Madrid, que ha desestimado la impugnación formulada contra la resolución de la Comisión de Asistencia Jurídica Gratuita de la Comunidad de Madrid de 31 de octubre de 2014, recaída en el expediente E-4106-2014. Ha intervenido el Ministerio Fiscal. Ha sido ponente el Magistrado don Antonio Narváez Rodríguez, quien expresa el parecer del Tribunal.</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Por escrito que tuvo entrada en el Registro General de este Tribunal el 10 de marzo de 2015, don Jacinto Hurtado Cerrato manifestó su voluntad de interponer recurso de amparo contra las resoluciones reseñadas en el encabezamiento de la presente Sentencia, solicitando que le fuesen designados a tal efecto Abogado y Procurador de oficio.</w:t>
      </w:r>
    </w:p>
    <w:p w:rsidR="00163957" w:rsidRDefault="00163957" w:rsidP="00163957">
      <w:pPr>
        <w:pStyle w:val="TextoNormal"/>
      </w:pPr>
    </w:p>
    <w:p w:rsidR="00163957" w:rsidRDefault="00163957" w:rsidP="00163957">
      <w:pPr>
        <w:pStyle w:val="TextoNormal"/>
      </w:pPr>
      <w:r>
        <w:t>Recibidos los despachos de los colegios de Abogados y Procuradores, por diligencia de ordenación de la Secretaría de Justicia de la Sala Segunda de 18 de mayo 2015 se tuvieron por designados al Procurador de los Tribunales don Francisco Inocencio Fernández Martínez para la representación del recurrente, y al Abogado don Alejandro Lacasa González para su defensa, confiriéndose al citado Procurador un plazo de treinta días para que, bajo la dirección del Abogado mencionado, presentara la correspondiente demanda de amparo, que tuvo efectivamente su entrada en el Registro General de este Tribunal el 18 de junio de 2015.</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de los que trae causa la demanda de amparo son, en síntesis, los siguientes:</w:t>
      </w:r>
    </w:p>
    <w:p w:rsidR="00163957" w:rsidRDefault="00163957" w:rsidP="00163957">
      <w:pPr>
        <w:pStyle w:val="TextoNormal"/>
      </w:pPr>
    </w:p>
    <w:p w:rsidR="00163957" w:rsidRDefault="00163957" w:rsidP="00163957">
      <w:pPr>
        <w:pStyle w:val="TextoNormal"/>
      </w:pPr>
      <w:r>
        <w:t>a) En fecha 22 de septiembre de 2014, el demandante de amparo presentó ante el Ilustre Colegio de Abogados de Madrid una solicitud de reconocimiento del derecho de justicia gratuita a efectos de que le fuera designado abogado y, en su caso, procurador de oficio en el seno de las diligencias previas núm. 3283-2014, del Juzgado de Instrucción núm. 33 de Madrid, procedimiento en el que se había acordado, mediante Auto de 12 septiembre de 2014, el sobreseimiento provisional y el archivo, decisión que el ahora demandante de amparo pretendía recurrir, tal y como puso de manifiesto al órgano judicial en escrito de 24 de septiembre de 2014 —en el que, justificando la solicitud efectuada, interesó la suspensión del plazo legal para interponer el correspondiente recurso—.</w:t>
      </w:r>
    </w:p>
    <w:p w:rsidR="00163957" w:rsidRDefault="00163957" w:rsidP="00163957">
      <w:pPr>
        <w:pStyle w:val="TextoNormal"/>
      </w:pPr>
    </w:p>
    <w:p w:rsidR="00163957" w:rsidRDefault="00163957" w:rsidP="00163957">
      <w:pPr>
        <w:pStyle w:val="TextoNormal"/>
      </w:pPr>
      <w:r>
        <w:t>b) En fecha 31 de octubre de 2014, la Comisión de asistencia jurídica gratuita de la Comunidad de Madrid resolvió desestimar la petición formulada. En la fundamentación jurídica de esta resolución, el órgano aludido afirma que “constan en esta Comisión 27 solicitudes de justicia gratuita. Durante el año 2014 ha presentado 8 solicitudes, siendo en todas ellas demandante, en varias [</w:t>
      </w:r>
      <w:r w:rsidRPr="00163957">
        <w:rPr>
          <w:i/>
        </w:rPr>
        <w:t>sic</w:t>
      </w:r>
      <w:r>
        <w:t>] en procedimientos penales contra Letrados, Magistrados o Ministerio Fiscal y habiendo sido declaradas insostenibles dos de las pretensiones”. Ante estos datos de hecho, se señala a continuación en la resolución que “[p]or tanto, esta Comisión considera y le consta que existe un manifiesto abuso de derecho en la solicitud de asistencia jurídica gratuita formulada por el solicitante, excediendo la actuación del interesado del contenido del derecho contemplado en el art. 119 de la Constitución española, en relación con lo dispuesto en el art. 7 del Código Civil y 11.2 de la Ley Orgánica del tribunal Constitucional”.</w:t>
      </w:r>
    </w:p>
    <w:p w:rsidR="00163957" w:rsidRDefault="00163957" w:rsidP="00163957">
      <w:pPr>
        <w:pStyle w:val="TextoNormal"/>
      </w:pPr>
    </w:p>
    <w:p w:rsidR="00163957" w:rsidRDefault="00163957" w:rsidP="00163957">
      <w:pPr>
        <w:pStyle w:val="TextoNormal"/>
      </w:pPr>
      <w:r>
        <w:t>c) El 24 de noviembre de 2014 tuvo entrada en el Juzgado de Instrucción núm. 33 de Madrid el escrito de impugnación de la resolución adoptada por la Comisión de asistencia jurídica gratuita, escrito en el que demandante de amparo afirma que, dada su carencia absoluta de recursos económicos, la denegación del derecho a la asistencia jurídica gratuita le dejaría “indefenso y se quebrantará el art. 119 de la Constitución española”.</w:t>
      </w:r>
    </w:p>
    <w:p w:rsidR="00163957" w:rsidRDefault="00163957" w:rsidP="00163957">
      <w:pPr>
        <w:pStyle w:val="TextoNormal"/>
      </w:pPr>
    </w:p>
    <w:p w:rsidR="00163957" w:rsidRDefault="00163957" w:rsidP="00163957">
      <w:pPr>
        <w:pStyle w:val="TextoNormal"/>
      </w:pPr>
      <w:r>
        <w:lastRenderedPageBreak/>
        <w:t>d) En fecha 9 de enero de 2015, el Juzgado de Instrucción núm. 33 de Madrid dictó Auto desestimando la impugnación planteada. El fundamento jurídico único de la resolución señalaba que “[r]evisada la documentación obrante en el expediente tramitado por la comisión de asistencia jurídica gratuita, y vistos los motivos por los que se ha denegado el derecho solicitado por el impugnante, entiende este juzgador ajustada a derecho la resolución dictada de 31 de octubre de 2014 y ello por que [</w:t>
      </w:r>
      <w:r w:rsidRPr="00163957">
        <w:rPr>
          <w:i/>
        </w:rPr>
        <w:t>sic</w:t>
      </w:r>
      <w:r>
        <w:t>] como consta en la misma es cierto en el presente supuesto, como se acredita en el expediente documentalmente, por parte del impugnante se está realizando un ejercicio antisocial del derecho a la asistencia jurídica gratuita y que es de aplicación en el presente caso el art. 7 del Código Civil y el art. 11. 2 de la LOPJ El [</w:t>
      </w:r>
      <w:r w:rsidRPr="00163957">
        <w:rPr>
          <w:i/>
        </w:rPr>
        <w:t>sic</w:t>
      </w:r>
      <w:r>
        <w:t>] art. 3 de la Ley 1/96. Por todo ello no procede estimar la impugnación planteada toda vez que los principios generales del derecho informan todo el ordenamiento jurídico y la ley no ampara el abuso de derecho ni el ejercicio antisocial del mismo”.</w:t>
      </w:r>
    </w:p>
    <w:p w:rsidR="00163957" w:rsidRDefault="00163957" w:rsidP="00163957">
      <w:pPr>
        <w:pStyle w:val="TextoNormal"/>
      </w:pPr>
    </w:p>
    <w:p w:rsidR="00163957" w:rsidRDefault="00163957" w:rsidP="00163957">
      <w:pPr>
        <w:pStyle w:val="TextoNormal"/>
      </w:pPr>
      <w:r w:rsidRPr="00163957">
        <w:rPr>
          <w:rStyle w:val="NumeroAFNegritaCaracter"/>
        </w:rPr>
        <w:t>3</w:t>
      </w:r>
      <w:r>
        <w:t>. En su escrito de demanda, el actor considera que las resoluciones dictadas por la Comisión de Asistencia Jurídica Gratuita y el Juzgado de Instrucción vulneran su derecho a la tutela judicial efectiva pues le deniegan el derecho de acceder al beneficio de justicia gratuita, y, con ello, a constituirse como parte en el proceso judicial, sin más argumento que la invocación apodíctica de un supuesto abuso de derecho. Para el recurrente, “ninguna de ambas resoluciones explica dónde está el abuso del Derecho que pretendía el ahora recurrente, pues ni siquiera se incluye una mínima referencia a las circunstancias del caso”. Estaríamos, por ello, ante “resoluciones absolutamente arbitrarias sin sustento material o jurídico alguno pues resulta imposible saber cuál es la concreta acción del denunciante en el procedimiento de donde dimana esta causa que entraña abuso de derecho”. Añade el recurrente que no resulta “ajustado a la Constitución la denegación del derecho de acceso a la justicia gratuita reuniendo todos los requisitos materiales y formales para que se le conceda”.</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3 de noviembre de 2015, la Sala Segunda acordó admitir a trámite la demanda, y, en aplicación de lo dispuesto en el art. 51 de la Ley Orgánica del Tribunal Constitucional (LOTC), dirigir atenta comunicación a la Comisión de asistencia jurídica gratuita de la Comunidad de Madrid a fin de que, en plazo que no excediera de diez días, remitiera fotocopia adverada de las actuaciones correspondientes al expediente 4106-2014, interesándose al propio tiempo del Juzgado de Instrucción núm. 33 de Madrid que remitiera las actuaciones judiciales dimanantes de dicho expediente y que emplazara a quienes hubieran sido parte en el procedimiento, excepto a la parte recurrente en amparo, para que pudieran comparecer el plazo de diez días.</w:t>
      </w:r>
    </w:p>
    <w:p w:rsidR="00163957" w:rsidRDefault="00163957" w:rsidP="00163957">
      <w:pPr>
        <w:pStyle w:val="TextoNormal"/>
      </w:pPr>
    </w:p>
    <w:p w:rsidR="00163957" w:rsidRDefault="00163957" w:rsidP="00163957">
      <w:pPr>
        <w:pStyle w:val="TextoNormal"/>
      </w:pPr>
      <w:r>
        <w:t>La aludida providencia aclara que el recurso de amparo “ofrece especial trascendencia constitucional (art. 50.1 LOTC)” porque “puede dar ocasión al Tribunal para aclarar o cambiar su doctrina, como consecuencia de un proceso de reflexión interna [STC 155/2009, FJ 2 b)]” y porque “el órgano judicial podría haber incurrido en una negativa manifiesta del deber de acatamiento de la doctrina de este Tribunal [STC 155/2009, FJ 2 f)]”.</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Una vez recibidos los testimonios solicitados y cumplimentados los emplazamientos requeridos, la Sala Segunda, por diligencia de ordenación de su Secretaría de Justicia de fecha 19 de febrero de 2016, acordó dar vista de las actuaciones a la parte recurrente y al </w:t>
      </w:r>
      <w:r>
        <w:lastRenderedPageBreak/>
        <w:t>Ministerio Fiscal, por plazo común de veinte días, para que formularan las alegaciones que estimaran pertinentes, conforme determina el art. 52.1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Ministerio Fiscal presentó sus alegaciones mediante escrito de fecha 21 de marzo de 2016, en el que interesa la inadmisión de la demanda de amparo por concurrir el óbice de extemporaneidad [arts. 43.2 y 50.1 a) LOTC] y, subsidiariamente, el otorgamiento del amparo interesado por el recurrente.</w:t>
      </w:r>
    </w:p>
    <w:p w:rsidR="00163957" w:rsidRDefault="00163957" w:rsidP="00163957">
      <w:pPr>
        <w:pStyle w:val="TextoNormal"/>
      </w:pPr>
    </w:p>
    <w:p w:rsidR="00163957" w:rsidRDefault="00163957" w:rsidP="00163957">
      <w:pPr>
        <w:pStyle w:val="TextoNormal"/>
      </w:pPr>
      <w:r>
        <w:t>El Ministerio Fiscal considera que es de aplicación al presente supuesto la doctrina del Tribunal según la cual las vulneraciones del derecho a la tutela judicial efectiva derivadas de la denegación del derecho de asistencia jurídica gratuita son subsumibles dentro del art. 43 LOTC, como violaciones cometidas por el órgano administrativo y no reparadas por el órgano judicial, por lo que es de aplicación el plazo de veinte días fijado en el art. 43.2 LOTC, que sólo queda interrumpido cuando se dirige temporáneamente al Tribunal Constitucional un escrito en el que se manifiesta expresamente el propósito de interponer recurso de amparo. Según afirma la Fiscal “[e]l demandante ha remitido ese escrito al Tribunal Constitucional, pero lo ha hecho cuando ya ha transcurrido en exceso el plazo de 20 días previsto en el art. 43.2 LOTC, por lo que incurriría [en] la causa de extemporaneidad prevista en el art. 44.2 LOTC [art. 50.1 a) LOTC]”.</w:t>
      </w:r>
    </w:p>
    <w:p w:rsidR="00163957" w:rsidRDefault="00163957" w:rsidP="00163957">
      <w:pPr>
        <w:pStyle w:val="TextoNormal"/>
      </w:pPr>
    </w:p>
    <w:p w:rsidR="00163957" w:rsidRDefault="00163957" w:rsidP="00163957">
      <w:pPr>
        <w:pStyle w:val="TextoNormal"/>
      </w:pPr>
      <w:r>
        <w:t>Subsidiariamente, para el caso de que el óbice no sea apreciado, la Fiscal ante el Tribunal Constitucional interesa el otorgamiento de amparo, pues ni en la resolución administrativa ni en la judicial “hay la más mínima referencia al proceso en el que el demandante pretendía personarse, haciéndose recaer el calificativo de manifiesto abuso de derecho en el simple dato de que el ahora demandante había solicitado con anterioridad en diversas ocasiones la asistencia jurídica gratuita”. Añade la Fiscal que “[l]a mera constatación del número de veces en que una persona ha solicitado la asistencia jurídica gratuita, ni aun en el extremo de que en precedente solicitudes algunas han sido consideradas insostenibles, no puede servir de fundamento a la denegación de la asistencia jurídica gratuita de quien carece de recursos para litigar pues ni se acomoda al art. 118 ni a la Ley 1/1996 de Asistencia Jurídica Gratuita ni a la doctrina del Tribunal Constitucional”. Considera, en suma, que “la pluralidad de procedimientos en que puede verse envuelta una persona no puede alzarse en obstáculo para concederle la asistencia jurídica gratuita, cuando se justifica ser acreedora del derecho por concurrir los requisitos legalmente exigidos”.</w:t>
      </w:r>
    </w:p>
    <w:p w:rsidR="00163957" w:rsidRDefault="00163957" w:rsidP="00163957">
      <w:pPr>
        <w:pStyle w:val="TextoNormal"/>
      </w:pPr>
    </w:p>
    <w:p w:rsidR="00163957" w:rsidRDefault="00163957" w:rsidP="00163957">
      <w:pPr>
        <w:pStyle w:val="TextoNormal"/>
      </w:pPr>
      <w:r w:rsidRPr="00163957">
        <w:rPr>
          <w:rStyle w:val="NumeroAFNegritaCaracter"/>
        </w:rPr>
        <w:t>7</w:t>
      </w:r>
      <w:r>
        <w:t>. El recurrente ha dejado expirar el plazo conferido sin formular alegaciones.</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5 de mayo de 2016, se señaló para la deliberación y votación de la presente Sentencia el día 9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Como ha quedado expuesto en los antecedentes, el recurrente de amparo considera que la resolución de 31 de octubre de 2014, dictada por la Comisión de Asistencia Jurídica Gratuita de la Comunidad de Madrid, y el Auto de 9 de enero de 2015 del Juzgado de Ins</w:t>
      </w:r>
      <w:r>
        <w:lastRenderedPageBreak/>
        <w:t>trucción núm. 33 de Madrid vulneran su derecho a la tutela judicial efectiva, al haber procedido a la denegación indebida del beneficio de justicia gratuita solicitado por el actor en relación con las diligencias previas 3283-2014, tramitadas ante el aludido órgano judicial. Entiende el demandante de amparo que ambas resoluciones invocan de forma apodíctica una situación de abuso de derecho que no queda en absoluto justificada, de modo que debió procederse a la concesión del beneficio solicitado, ya que concurría en el recurrente la situación de insuficiencia de recursos legalmente requerida.</w:t>
      </w:r>
    </w:p>
    <w:p w:rsidR="00163957" w:rsidRDefault="00163957" w:rsidP="00163957">
      <w:pPr>
        <w:pStyle w:val="TextoNormal"/>
      </w:pPr>
    </w:p>
    <w:p w:rsidR="00163957" w:rsidRDefault="00163957" w:rsidP="00163957">
      <w:pPr>
        <w:pStyle w:val="TextoNormal"/>
      </w:pPr>
      <w:r>
        <w:t>El Ministerio Fiscal interesa, por su parte, la inadmisión del recurso de amparo, por considerarlo extemporáneo, y, subsidiariamente, la estimación de la demanda por las razones que han quedado expuestas en los antecedentes.</w:t>
      </w:r>
    </w:p>
    <w:p w:rsidR="00163957" w:rsidRDefault="00163957" w:rsidP="00163957">
      <w:pPr>
        <w:pStyle w:val="TextoNormal"/>
      </w:pPr>
    </w:p>
    <w:p w:rsidR="00163957" w:rsidRDefault="00163957" w:rsidP="00163957">
      <w:pPr>
        <w:pStyle w:val="TextoNormal"/>
      </w:pPr>
      <w:r w:rsidRPr="00163957">
        <w:rPr>
          <w:rStyle w:val="NumeroAFNegritaCaracter"/>
        </w:rPr>
        <w:t>2</w:t>
      </w:r>
      <w:r>
        <w:t>. Nuestro examen ha de comenzar por el óbice de admisibilidad planteado por el Ministerio Fiscal, ya que, de concurrir el mismo, procedería, sin necesidad de ulterior análisis y sin que a ello se oponga que el procedimiento haya alcanzado el trámite de sentencia, la inadmisión de la demanda de amparo (</w:t>
      </w:r>
      <w:r w:rsidRPr="00163957">
        <w:rPr>
          <w:i/>
        </w:rPr>
        <w:t>ex multis</w:t>
      </w:r>
      <w:r>
        <w:t>, SSTC 44/2013, de 25 de febrero, FJ 2; 126/2013, de 3 de junio, FJ 2, y 2/2015, de 19 de enero, FJ 2).</w:t>
      </w:r>
    </w:p>
    <w:p w:rsidR="00163957" w:rsidRDefault="00163957" w:rsidP="00163957">
      <w:pPr>
        <w:pStyle w:val="TextoNormal"/>
      </w:pPr>
    </w:p>
    <w:p w:rsidR="00163957" w:rsidRDefault="00163957" w:rsidP="00163957">
      <w:pPr>
        <w:pStyle w:val="TextoNormal"/>
      </w:pPr>
      <w:r>
        <w:t>Considera el Ministerio Fiscal que estamos ante un recurso que, por incluir una única vulneración en la que habría ya incurrido la resolución administrativa impugnada, es subsumible en el art. 43 de la Ley Orgánica del Tribunal Constitucional (LOTC), resultando de aplicación un plazo de interposición del recurso de amparo de 20 días.</w:t>
      </w:r>
    </w:p>
    <w:p w:rsidR="00163957" w:rsidRDefault="00163957" w:rsidP="00163957">
      <w:pPr>
        <w:pStyle w:val="TextoNormal"/>
      </w:pPr>
    </w:p>
    <w:p w:rsidR="00163957" w:rsidRDefault="00163957" w:rsidP="00163957">
      <w:pPr>
        <w:pStyle w:val="TextoNormal"/>
      </w:pPr>
      <w:r>
        <w:t>En este punto, es cierto, en primer lugar, que, tal y como alega el Ministerio Fiscal este Tribunal ha tenido la oportunidad de aclarar que la lesión del derecho a la tutela judicial efectiva (art. 24.1 CE) que puede resultar de la indebida desestimación de una solicitud de asistencia justicia gratuita es directamente imputable a la resolución administrativa dictada por el órgano administrativo competente. Como hemos señalado en repetidas ocasiones, la opción de política legislativa que llevó a la ley de 1996 a la “desjudicialización del procedimiento de reconocimiento del derecho de asistencia jurídica gratuita” y que atribuyó esta función “a un órgano administrativo, dependiente de la Administración del Estado o, en su caso, de las Comunidades Autónomas y regido en su funcionamiento por las normas que regulan el procedimiento administrativo” nos sitúa ante “una función administrativa conceptualmente previa y sustancialmente autónoma respecto de la función jurisdiccional”. En ese sistema legal “los Jueces y Tribunales no son los que llevan directamente a cabo la actividad —el reconocimiento del derecho a la asistencia jurídica gratuita—, sino que conocen sólo en vía de recurso las impugnaciones de la actuación llevada a cabo por las Comisiones de Asistencia Jurídica Gratuita y en ningún caso puede afirmarse que reconocer o no ese derecho constituye un acto de colaboración para que los órganos judiciales puedan llevar a cabo esa función jurisdiccional, ya que se trata de una actividad que tiene autonomía, entidad y finalidad propias” (SSTC 97/2001, de 5 de abril, FJ 5, y 118/2014, de 8 de julio, FJ 2). Por ello, la eventual resolución denegatoria dictada por la Comisión de Asistencia Jurídica Gratuita “aun siendo un acto que no proviene del órgano judicial, es susceptible de lesionar el derecho a la tutela judicial efectiva” (STC 90/2015, de 11 de mayo, FJ 2).</w:t>
      </w:r>
    </w:p>
    <w:p w:rsidR="00163957" w:rsidRDefault="00163957" w:rsidP="00163957">
      <w:pPr>
        <w:pStyle w:val="TextoNormal"/>
      </w:pPr>
    </w:p>
    <w:p w:rsidR="00163957" w:rsidRDefault="00163957" w:rsidP="00163957">
      <w:pPr>
        <w:pStyle w:val="TextoNormal"/>
      </w:pPr>
      <w:r>
        <w:lastRenderedPageBreak/>
        <w:t>En coherencia con estas afirmaciones, hemos señalado igualmente que una demanda de amparo exclusivamente basada en la improcedencia de la decisión de no conceder el beneficio de justicia gratuita “debe ser ubicada en el ámbito del art. 43 LOTC” [STC 128/2014, de 21 de julio, FJ 2 b)]. De ahí que, como afirma el Ministerio Fiscal, el plazo para interponer el correspondiente recurso de amparo sea, en este tipo de supuestos, el de veinte días previsto en el referido precepto.</w:t>
      </w:r>
    </w:p>
    <w:p w:rsidR="00163957" w:rsidRDefault="00163957" w:rsidP="00163957">
      <w:pPr>
        <w:pStyle w:val="TextoNormal"/>
      </w:pPr>
    </w:p>
    <w:p w:rsidR="00163957" w:rsidRDefault="00163957" w:rsidP="00163957">
      <w:pPr>
        <w:pStyle w:val="TextoNormal"/>
      </w:pPr>
      <w:r>
        <w:t>En cambio, en aquellos otros supuestos en los que el recurrente denuncie una vulneración de sus derechos fundamentales que sea imputable a la resolución judicial dictada al amparo del art. 20 de la Ley de asistencia jurídica gratuita, es de aplicación el plazo de 30 días del art. 44.2 LOTC.</w:t>
      </w:r>
    </w:p>
    <w:p w:rsidR="00163957" w:rsidRDefault="00163957" w:rsidP="00163957">
      <w:pPr>
        <w:pStyle w:val="TextoNormal"/>
      </w:pPr>
    </w:p>
    <w:p w:rsidR="00163957" w:rsidRDefault="00163957" w:rsidP="00163957">
      <w:pPr>
        <w:pStyle w:val="TextoNormal"/>
      </w:pPr>
      <w:r>
        <w:t>Pues bien, señaladas estas dos posibilidades, no hay necesidad siquiera, en el supuesto que nos ocupa, de realizar el análisis preliminar de la naturaleza material del presente recurso de amparo a que alude el Ministerio Fiscal, ya que, cualquiera que sea dicha naturaleza, la única conclusión posible es que el recurso ha sido presentado fuera de plazo.</w:t>
      </w:r>
    </w:p>
    <w:p w:rsidR="00163957" w:rsidRDefault="00163957" w:rsidP="00163957">
      <w:pPr>
        <w:pStyle w:val="TextoNormal"/>
      </w:pPr>
    </w:p>
    <w:p w:rsidR="00163957" w:rsidRDefault="00163957" w:rsidP="00163957">
      <w:pPr>
        <w:pStyle w:val="TextoNormal"/>
      </w:pPr>
      <w:r>
        <w:t xml:space="preserve">En efecto, la resolución judicial formalmente impugnada, el Auto de 9 de enero de 2015, fue notificado al recurrente el 24 de enero de 2015, fecha que constituye, por tanto, el </w:t>
      </w:r>
      <w:r w:rsidRPr="00163957">
        <w:rPr>
          <w:i/>
        </w:rPr>
        <w:t>dies a quo</w:t>
      </w:r>
      <w:r>
        <w:t xml:space="preserve"> para el cómputo del plazo de interposición del recurso de amparo. Siendo esto así, puede comprobarse que el plazo de veinte días previsto en el art 43.2 LOTC finalizaba a las 15 horas del 23 de febrero de 2015, mientras que el plazo de 30 días fijado en el art. 44.2 LOTC expiraba, por su parte, a las 15 horas del 9 de marzo de 2015. El escrito del recurrente anunciando la interposición del recurso de amparo tuvo, sin embargo, entrada en este Tribunal en fecha 10 de marzo de 2015, cuando ambos plazos ya habían transcurrido en su totalidad.</w:t>
      </w:r>
    </w:p>
    <w:p w:rsidR="00163957" w:rsidRDefault="00163957" w:rsidP="00163957">
      <w:pPr>
        <w:pStyle w:val="TextoNormal"/>
      </w:pPr>
    </w:p>
    <w:p w:rsidR="00163957" w:rsidRDefault="00163957" w:rsidP="00163957">
      <w:pPr>
        <w:pStyle w:val="TextoNormal"/>
      </w:pPr>
      <w:r>
        <w:t>Por último, ninguna trascendencia tiene el hecho de que el recurrente dirigiera un escrito al Colegio de Abogados de Madrid en el que se limitó a solicitar la designación de abogado y procurador de oficio, ya que nuestra doctrina exige, en este tipo de supuestos, la presentación, dentro del plazo de interposición del recurso, de un escrito dirigido al propio Tribunal Constitucional en el que se comunique de forma inequívoca a éste la intención del actor de interponer el recurso de amparo (STC 88/2013, de 11 de abril, FJ 4), trámite que el recurrente, finalmente, llegó a cumplimentar, si bien lo hizo, según acaba de exponerse, fuera de plazo.</w:t>
      </w:r>
    </w:p>
    <w:p w:rsidR="00163957" w:rsidRDefault="00163957" w:rsidP="00163957">
      <w:pPr>
        <w:pStyle w:val="TextoNormal"/>
      </w:pPr>
    </w:p>
    <w:p w:rsidR="00163957" w:rsidRDefault="00163957" w:rsidP="00163957">
      <w:pPr>
        <w:pStyle w:val="TextoNormal"/>
      </w:pPr>
      <w:r w:rsidRPr="00163957">
        <w:rPr>
          <w:rStyle w:val="NumeroAFNegritaCaracter"/>
        </w:rPr>
        <w:t>3</w:t>
      </w:r>
      <w:r>
        <w:t>. Por todo ello, ha de apreciarse el óbice de extemporaneidad alegado por el Ministerio Fiscal y debe acordarse la inadmisión del presente recurso de amparo, de acuerdo con lo previsto en los arts. 43.2 y. 50.1 a) LOTC.</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lastRenderedPageBreak/>
        <w:t>Ha decidido</w:t>
      </w:r>
    </w:p>
    <w:p w:rsidR="00163957" w:rsidRDefault="00163957" w:rsidP="00163957">
      <w:pPr>
        <w:pStyle w:val="TextoNormalCentrado"/>
        <w:keepNext/>
      </w:pPr>
    </w:p>
    <w:p w:rsidR="00163957" w:rsidRDefault="00163957" w:rsidP="00163957">
      <w:pPr>
        <w:pStyle w:val="TextoNormal"/>
      </w:pPr>
      <w:r>
        <w:t>Inadmitir la demanda de amparo núm. 1398-2015.</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nueve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98" w:name="SENTENCIA_2016_95"/>
      <w:r>
        <w:lastRenderedPageBreak/>
        <w:t>SENTENCIA 95/2016, de 12 de mayo de 2016</w:t>
      </w:r>
    </w:p>
    <w:bookmarkEnd w:id="98"/>
    <w:p w:rsidR="00163957" w:rsidRDefault="00163957" w:rsidP="00163957">
      <w:pPr>
        <w:pStyle w:val="TtuloResolucin"/>
      </w:pPr>
      <w:r>
        <w:t>Pleno</w:t>
      </w:r>
    </w:p>
    <w:p w:rsidR="00163957" w:rsidRDefault="00163957" w:rsidP="00163957">
      <w:pPr>
        <w:pStyle w:val="TtuloBOE"/>
      </w:pPr>
      <w:r>
        <w:t>(BOE núm. 147, de 18 de junio de 2016)</w:t>
      </w:r>
    </w:p>
    <w:p w:rsidR="00163957" w:rsidRDefault="00163957" w:rsidP="00163957">
      <w:pPr>
        <w:pStyle w:val="TextoNormalCentrado"/>
      </w:pPr>
      <w:r>
        <w:t>ECLI:ES:TC:2016:95</w:t>
      </w:r>
    </w:p>
    <w:p w:rsidR="00163957" w:rsidRDefault="00163957" w:rsidP="00163957">
      <w:pPr>
        <w:pStyle w:val="TextoNormalCentrado"/>
      </w:pPr>
    </w:p>
    <w:p w:rsidR="00163957" w:rsidRDefault="00163957" w:rsidP="00163957">
      <w:pPr>
        <w:pStyle w:val="SntesisDescriptiva"/>
      </w:pPr>
      <w:r>
        <w:t>Conflicto positivo de competencia 6975-2013. Planteado por el Gobierno de la Generalitat de Cataluña respecto de diversos preceptos del Real Decreto 609/2013, de 2 de agosto, por el que se establecen los umbrales de renta y patrimonio familiar y las cuantías de las becas y ayudas al estudio para el curso 2013-2014, y se modifica parcialmente el Real Decreto 1721/2007, de 21 de diciembre, por el que se establece el régimen de las becas y ayudas al estudio personalizadas, así como de la resolución de 13 de agosto de 2013, de la Secretaría de Estado de Educación, Formación Profesional y Universidades, por la que se convocan becas de carácter general para el curso académico 2013-2014 para estudiantes que cursen estudios postobligatorios.</w:t>
      </w:r>
    </w:p>
    <w:p w:rsidR="00163957" w:rsidRDefault="00163957" w:rsidP="00163957">
      <w:pPr>
        <w:pStyle w:val="SntesisDescriptiva"/>
      </w:pPr>
    </w:p>
    <w:p w:rsidR="00163957" w:rsidRDefault="00163957" w:rsidP="00163957">
      <w:pPr>
        <w:pStyle w:val="SntesisAnaltica"/>
      </w:pPr>
      <w:r>
        <w:t>Competencias sobre educación y universidades: nulidad de los preceptos reglamentarios que invocan la competencia estatal sobre condiciones básicas de igualdad; vulneración de competencias autonómicas al atribuirse facultades de gestión del componente variable de las becas al estudio a órganos de la Administración del Estado. Voto particular.</w:t>
      </w:r>
    </w:p>
    <w:p w:rsidR="00163957" w:rsidRDefault="00163957" w:rsidP="00163957">
      <w:pPr>
        <w:pStyle w:val="SntesisAnaltica"/>
      </w:pPr>
    </w:p>
    <w:p w:rsidR="00163957" w:rsidRDefault="00163957" w:rsidP="00163957">
      <w:pPr>
        <w:pStyle w:val="Extracto"/>
      </w:pPr>
      <w:r>
        <w:t>1.</w:t>
      </w:r>
      <w:r>
        <w:tab/>
        <w:t>La centralización de las funciones de ejecución sólo pueden tener lugar en supuestos excepcionales que aparezcan plenamente justificados, ya que la regla ha de ser que las Comunidades Autónomas competentes gestionen las subvenciones en materias en las que, como la educación, ostentan competencias de desarrollo normativo y ejecución de las bases estatales, incluso cuando tal ejecución pueda tener un alcance supraterritorial, siendo responsabilidad del Estado en estos casos fijar los puntos de conexión que permitan la ejecución autonómica de las medidas (SSTC 25/2015) [FJ 5].</w:t>
      </w:r>
    </w:p>
    <w:p w:rsidR="00163957" w:rsidRDefault="00163957" w:rsidP="00163957">
      <w:pPr>
        <w:pStyle w:val="Extracto"/>
      </w:pPr>
    </w:p>
    <w:p w:rsidR="00163957" w:rsidRDefault="00163957" w:rsidP="00163957">
      <w:pPr>
        <w:pStyle w:val="Extracto"/>
      </w:pPr>
      <w:r>
        <w:t>2.</w:t>
      </w:r>
      <w:r>
        <w:tab/>
        <w:t>El art. 149.1.1 CE constituye un título competencial autónomo, positivo o habilitante, constreñido al ámbito normativo, lo que permite al Estado una regulación, aunque limitada a las condiciones básicas que garanticen la igualdad, pero no el diseño completo y acabado de su régimen jurídico (STC 61/1997) [FJ 5].</w:t>
      </w:r>
    </w:p>
    <w:p w:rsidR="00163957" w:rsidRDefault="00163957" w:rsidP="00163957">
      <w:pPr>
        <w:pStyle w:val="Extracto"/>
      </w:pPr>
    </w:p>
    <w:p w:rsidR="00163957" w:rsidRDefault="00163957" w:rsidP="00163957">
      <w:pPr>
        <w:pStyle w:val="Extracto"/>
      </w:pPr>
      <w:r>
        <w:t>3.</w:t>
      </w:r>
      <w:r>
        <w:tab/>
        <w:t>La competencia del Estado para dictar normas básicas, particularmente para el desarrollo del art. 27 CE, le permite consignar subvenciones de fomento en sus presupuestos generales, especificando su destino y regulando sus condiciones esenciales de otorgamiento, hasta donde lo permita su competencia genérica, básica o de coordinación (STC 13/1992; 25/2015) [FJ 5].</w:t>
      </w:r>
    </w:p>
    <w:p w:rsidR="00163957" w:rsidRDefault="00163957" w:rsidP="00163957">
      <w:pPr>
        <w:pStyle w:val="Extracto"/>
      </w:pPr>
    </w:p>
    <w:p w:rsidR="00163957" w:rsidRDefault="00163957" w:rsidP="00163957">
      <w:pPr>
        <w:pStyle w:val="Extracto"/>
      </w:pPr>
      <w:r>
        <w:t>4.</w:t>
      </w:r>
      <w:r>
        <w:tab/>
        <w:t>Resulta injustificado el argumento de la necesidad de una lista única de solicitantes de beca para todo el territorio nacional, a fin de evitar que posibles becarios con mejor derecho en una Comunidad Autónoma dejen de percibir la ayuda en beneficio de otros de Comunidad diferente; esta posibilidad que, de existir, sólo se daría en el último segmento de becarios de la lista única, puede ser salvada dejando sin distribuir entre CC AA un porcentaje de los fondos, mediante instrumentos de colaboración, que se canalizarían hacia los becarios con mejor derecho con independencia de su localización territorial (SSTC 32/1983; STC 188/2001) [FJ 5].</w:t>
      </w:r>
    </w:p>
    <w:p w:rsidR="00163957" w:rsidRDefault="00163957" w:rsidP="00163957">
      <w:pPr>
        <w:pStyle w:val="Extracto"/>
      </w:pPr>
    </w:p>
    <w:p w:rsidR="00163957" w:rsidRDefault="00163957" w:rsidP="00163957">
      <w:pPr>
        <w:pStyle w:val="Extracto"/>
      </w:pPr>
      <w:r>
        <w:t>5.</w:t>
      </w:r>
      <w:r>
        <w:tab/>
        <w:t>La celebración de un convenio de colaboración no es un requisito constitucionalmente exigible para poder ejercer competencias que, en virtud del bloque de constitucionalidad, corresponden a uno de los poderes públicos territoriales [FJ 5].</w:t>
      </w:r>
    </w:p>
    <w:p w:rsidR="00163957" w:rsidRDefault="00163957" w:rsidP="00163957">
      <w:pPr>
        <w:pStyle w:val="Extracto"/>
      </w:pPr>
    </w:p>
    <w:p w:rsidR="00163957" w:rsidRDefault="00163957" w:rsidP="00163957">
      <w:pPr>
        <w:pStyle w:val="Extracto"/>
      </w:pPr>
      <w:r>
        <w:t>6.</w:t>
      </w:r>
      <w:r>
        <w:tab/>
        <w:t>Cuando el Estado ostenta un título competencial genérico de intervención, que se superpone al autonómico, puede consignar subvenciones de fomento en sus Presupuestos Generales, especificando su destino y regulando sus condiciones esenciales de otorgamiento, pero siempre que deje un margen a las Comunidades Autónomas para detallar su destino; salvo que la naturaleza de la medida haga imprescindible la gestión directa y centralizada para asegurar su plena efectividad que garantice la igualdad de posibilidades de obtención en todo el territorio nacional o sea preciso para evitar sobrepasar la cuantía de los fondos destinados a la subvención (STC 212/2005) [FJ 4].</w:t>
      </w:r>
    </w:p>
    <w:p w:rsidR="00163957" w:rsidRDefault="00163957" w:rsidP="00163957">
      <w:pPr>
        <w:pStyle w:val="Extracto"/>
      </w:pPr>
    </w:p>
    <w:p w:rsidR="00163957" w:rsidRDefault="00163957" w:rsidP="00163957">
      <w:pPr>
        <w:pStyle w:val="Extracto"/>
      </w:pPr>
      <w:r>
        <w:t>7.</w:t>
      </w:r>
      <w:r>
        <w:tab/>
        <w:t>En relación con las ayudas o subvenciones incorporadas a los Presupuestos Generales del Estado no existe una competencia subvencional diferenciada resultante de la potestad financiera del Estado, es decir, que el Estado no dispone de un poder general para subvenciones (gasto público), entendido como poder libre o desvinculado del orden competencial (SSTC 13/1992; 212/2005) [FJ 4].</w:t>
      </w:r>
    </w:p>
    <w:p w:rsidR="00163957" w:rsidRDefault="00163957" w:rsidP="00163957">
      <w:pPr>
        <w:pStyle w:val="Extracto"/>
      </w:pPr>
    </w:p>
    <w:p w:rsidR="00163957" w:rsidRDefault="00163957" w:rsidP="00163957">
      <w:pPr>
        <w:pStyle w:val="Extracto"/>
      </w:pPr>
      <w:r>
        <w:t>8.</w:t>
      </w:r>
      <w:r>
        <w:tab/>
        <w:t>La necesidad de la gestión centralizada por parte del Estado debe aparecer razonablemente justificada o deducirse sin esfuerzo de la naturaleza y contenido de la medida de fomento de que se trate (STC 91/1992) [FJ 4].</w:t>
      </w:r>
    </w:p>
    <w:p w:rsidR="00163957" w:rsidRDefault="00163957" w:rsidP="00163957">
      <w:pPr>
        <w:pStyle w:val="Extracto"/>
      </w:pPr>
    </w:p>
    <w:p w:rsidR="00163957" w:rsidRDefault="00163957" w:rsidP="00163957">
      <w:pPr>
        <w:pStyle w:val="Extracto"/>
      </w:pPr>
      <w:r>
        <w:t>9.</w:t>
      </w:r>
      <w:r>
        <w:tab/>
        <w:t>La competencia estatal para regular las condiciones esenciales del otorgamiento de las becas y ayudas al estudio alcanza hasta donde lo permita la competencia estatal sobre las normas básicas para el desarrollo del art. 27 CE (art. 149.1.30 CE) o, hasta donde sea imprescindible para garantizar el cumplimiento por los poderes públicos de sus deberes en esta materia (art. 149.1.30 CE) y resulte necesario para conseguir la finalidad deseada y garantizar una política educativa homogénea para todo el territorio nacional (SSTC 188/2001; 25/2015) [FJ 4].</w:t>
      </w:r>
    </w:p>
    <w:p w:rsidR="00163957" w:rsidRDefault="00163957" w:rsidP="00163957">
      <w:pPr>
        <w:pStyle w:val="Extracto"/>
      </w:pPr>
    </w:p>
    <w:p w:rsidR="00163957" w:rsidRDefault="00163957" w:rsidP="00163957">
      <w:pPr>
        <w:pStyle w:val="Extracto"/>
      </w:pPr>
      <w:r>
        <w:t>10.</w:t>
      </w:r>
      <w:r>
        <w:tab/>
        <w:t>Las finalidades de un conflicto positivo de competencia son dos, la determinación de la legitimidad o ilegitimidad constitucional de la disposición o resolución concreta de que se trate, y de otro lado, la interpretación y fijación del orden competencial y la determinación de qué competencias pertenecen a qué sujetos, yéndose así más allá de la mera solución del caso concreto origen del conflicto o controversia (STC 110/1983) [FJ 8].</w:t>
      </w:r>
    </w:p>
    <w:p w:rsidR="00163957" w:rsidRDefault="00163957" w:rsidP="00163957">
      <w:pPr>
        <w:pStyle w:val="Extracto"/>
      </w:pPr>
    </w:p>
    <w:p w:rsidR="00163957" w:rsidRDefault="00163957" w:rsidP="00163957">
      <w:pPr>
        <w:pStyle w:val="Extracto"/>
      </w:pPr>
      <w:r>
        <w:t>11.</w:t>
      </w:r>
      <w:r>
        <w:tab/>
        <w:t>La decisión que ponga fin al conflicto positivo de competencias vinculará a todos los poderes públicos y tendrá plenos efectos frente a todos, como indican los arts. 164.1 CE y 61.3 LOTC; la especial vinculación que para todos los poderes públicos tienen las Sentencias de este Tribunal no se limita, según doctrina de este Tribunal, al contenido del fallo, sino que se extiende a la correspondiente fundamentación jurídica, en especial a la que contiene los criterios que conducen a la</w:t>
      </w:r>
      <w:r w:rsidRPr="00163957">
        <w:rPr>
          <w:i/>
        </w:rPr>
        <w:t xml:space="preserve"> ratio decidendi </w:t>
      </w:r>
      <w:r>
        <w:t>(STC 158/2004) [FJ 8].</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conflicto positivo de competencia núm. 6975-2013, promovido por el Gobierno de la Generalidad de Cataluña, contra el art. 5, apartados 1 y 2, la disposición final segunda, apartados 3 y 18, la disposición adicional tercera, apartado 5, y la disposición final primera del Real Decreto 609/2013, de 2 de agosto, por el que se establecen los umbrales de renta y patrimonio familiar y las cuantías de las becas y ayudas al estudio para el curso 2013-2014, y se modifica parcialmente el Real Decreto 1721/2007, de 21 de diciembre, por el que se establece el régimen de las becas y ayudas al estudio personalizadas, así como contra los arts. 1.1, 2.4 y 50, apartados 6 y 7, y la disposición transitoria primera.2 de la Resolución de 13 de agosto de 2013, de la Secretaría de Estado de Educación, Formación Profesional y Universidades, por la que se convocan becas de carácter general para el curso académico 2013-2014 para estudiantes que cursen estudios postobligatorios. Ha intervenido el Abogado del Estado. Ha sido Ponente la Magistrada doña Adela Asua Batarrita,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el día 28 de noviembre de 2013, el Abogado de la Generalitat de Cataluña, en representación y defensa de su Gobierno, promovió conflicto positivo de competencia contra el Real Decreto 609/2013, de 2 de agosto, y contra la resolución de 13 de agosto de 2013 de la Secretaría de Estado de Educación, Formación Profesional y Universidades, ambos mencionados en el encabezamiento, por estimar que vulneran el orden competencial, al impedir el normal ejercicio por la Generalitat de Cataluña de las competencias que le corresponden con base en lo dispuesto en los arts. 131.3 d) y 172.1 g) del Estatuto de Autonomía de Cataluña (EAC) en materia de educación y universidades. En dicho escrito se sostiene, en esencia, lo que a continuación se indica.</w:t>
      </w:r>
    </w:p>
    <w:p w:rsidR="00163957" w:rsidRDefault="00163957" w:rsidP="00163957">
      <w:pPr>
        <w:pStyle w:val="TextoNormal"/>
      </w:pPr>
    </w:p>
    <w:p w:rsidR="00163957" w:rsidRDefault="00163957" w:rsidP="00163957">
      <w:pPr>
        <w:pStyle w:val="TextoNormal"/>
      </w:pPr>
      <w:r>
        <w:t xml:space="preserve">a) El presente conflicto presenta la peculiaridad de que su objeto es al mismo tiempo una disposición de carácter general y una resolución, pues la misma controversia competencial se suscita con respecto a ambos, en cuanto que la resolución de 13 de agosto de 2013 constituye la aplicación para el curso académico 2013-2014 de las previsiones normativas contenidas en el Real Decreto 609/2013. La impugnación conjunta de la norma que regula las </w:t>
      </w:r>
      <w:r>
        <w:lastRenderedPageBreak/>
        <w:t>bases de unas subvenciones y del acto que procede a convocarlas no es extraña en la jurisprudencia constitucional (recientemente, SSTC 26/2013, de 31 de enero, y 150/2013, de 9 de septiembre).</w:t>
      </w:r>
    </w:p>
    <w:p w:rsidR="00163957" w:rsidRDefault="00163957" w:rsidP="00163957">
      <w:pPr>
        <w:pStyle w:val="TextoNormal"/>
      </w:pPr>
    </w:p>
    <w:p w:rsidR="00163957" w:rsidRDefault="00163957" w:rsidP="00163957">
      <w:pPr>
        <w:pStyle w:val="TextoNormal"/>
      </w:pPr>
      <w:r>
        <w:t>El Real Decreto 609/2013 no se limita a fijar para el curso académico 2013-2014 los umbrales de renta y patrimonio familiar y las cuantías de las becas y ayudas al estudio, sino que, además, introduce cambios en el régimen general de dichas subvenciones, mediante la modificación parcial del Real Decreto 1721/2007, de 21 de diciembre, por el que se establece el régimen de las becas y ayudas al estudio personalizadas. Dicho Real Decreto 1721/2007 reguló los elementos estructurales básicos del sistema de becas y ayudas al estudio, pretendiendo garantizar la igualdad en el acceso a las becas en todo el territorio y dar cumplimiento a la jurisprudencia del Tribunal Constitucional en esta materia sentada en las SSTC 188/2001 y 212/2005, en orden a lo cual preveía la necesaria territorialización de las mismas para su gestión por las Comunidades Autónomas. Con ello se pretendía resolver la situación anómala apreciada seis años antes por la STC 188/2001, de 20 de septiembre, que había estimado parcialmente los conflictos de competencia 3386-1994 y 4710-1997 interpuestos por el Gobierno de la Generalitat de Cataluña, declarando que vulneraban las competencias autonómicas determinados preceptos de las correspondientes convocatorias ministeriales de becas y ayudas al estudio, por no prever la territorialización y gestión autonómica descentralizada de tales subvenciones. Un pronunciamiento semejante se reiteró en la STC 212/2005, de 21 de julio.</w:t>
      </w:r>
    </w:p>
    <w:p w:rsidR="00163957" w:rsidRDefault="00163957" w:rsidP="00163957">
      <w:pPr>
        <w:pStyle w:val="TextoNormal"/>
      </w:pPr>
    </w:p>
    <w:p w:rsidR="00163957" w:rsidRDefault="00163957" w:rsidP="00163957">
      <w:pPr>
        <w:pStyle w:val="TextoNormal"/>
      </w:pPr>
      <w:r>
        <w:t>No obstante, con carácter provisional, en tanto no se aprobare el traspaso de las funciones, medios y servicios necesarios para la asunción de las competencias que el Tribunal Constitucional había declarado que correspondían a la Generalitat de Cataluña, en la disposición adicional cuarta del Real Decreto 1721/2007 se dispuso un régimen transitorio en cuanto a la gestión de las becas, de modo que “las funciones ejecutivas autonómicas a que se refieren sus artículos 40, 41 y 42 serían realizadas por el Ministerio de Educación”. Así se mantuvo en sede estatal la convocatoria y otras decisiones de carácter ejecutivo sobre las becas hasta su efectivo traspaso, permitiendo que las Comunidades Autónomas competentes realizaran funciones de tramitación, previa firma del correspondiente convenio con el Ministerio. En esta situación provisional han transcurrido seis años más, esto es, un total de doce años desde la STC 188/2001, y el anunciado traspaso de las becas aún no ha tenido lugar, como es notorio y se reconoce expresamente en el escrito de respuesta al requerimiento. En este escrito se menciona la existencia del acuerdo del pleno de la Comisión Bilateral Generalitat-Estado de 19 de julio de 2011, conforme al cual “ambas partes proseguirán la negociación del acuerdo de traspaso, intensificarán sus esfuerzos para resolver los problemas pendientes y se comprometen a alcanzar una propuesta de acuerdo que deberá ser sometida a la Comisión Mixta de Transferencias Administración del Estado-Generalitat de Cataluña en los próximos meses”. En lugar del traspaso de funciones, medios y servicios se han venido firmando convenios anuales por los que, a modo de encomienda de gestión, la Administración realiza las funciones de tramitación de las becas, pero sin poder ejercer con propiedad la plenitud de las competencias ejecutivas que le corresponden.</w:t>
      </w:r>
    </w:p>
    <w:p w:rsidR="00163957" w:rsidRDefault="00163957" w:rsidP="00163957">
      <w:pPr>
        <w:pStyle w:val="TextoNormal"/>
      </w:pPr>
    </w:p>
    <w:p w:rsidR="00163957" w:rsidRDefault="00163957" w:rsidP="00163957">
      <w:pPr>
        <w:pStyle w:val="TextoNormal"/>
      </w:pPr>
      <w:r>
        <w:t xml:space="preserve">En la norma objeto del presente conflicto “se acomete una reforma de la estructura del sistema”, pero sin avanzar hacia la configuración de un sistema que facilite el ejercicio de las competencias autonómicas al respecto y los oportunos traspasos. Al contrario, no solo se mantiene aquella situación provisional de retención estatal de funciones de gestión de las </w:t>
      </w:r>
      <w:r>
        <w:lastRenderedPageBreak/>
        <w:t>becas que no le corresponden al Estado, sino que atribuye al Ministerio las funciones de distribución del nuevo componente de las becas, la denominada “cuantía variable”, pues para su reparto se recurre al método de la lista única. Todo ello supone la vulneración de las competencias asumidas por la Generalitat y provoca la necesidad de acudir nuevamente a la jurisdicción constitucional formulando el presente conflicto.</w:t>
      </w:r>
    </w:p>
    <w:p w:rsidR="00163957" w:rsidRDefault="00163957" w:rsidP="00163957">
      <w:pPr>
        <w:pStyle w:val="TextoNormal"/>
      </w:pPr>
    </w:p>
    <w:p w:rsidR="00163957" w:rsidRDefault="00163957" w:rsidP="00163957">
      <w:pPr>
        <w:pStyle w:val="TextoNormal"/>
      </w:pPr>
      <w:r>
        <w:t>b) A continuación la representación procesal de la Generalitat alega sobre el marco competencial del presente conflicto. Los dos actos impugnados se refieren a las becas para estudios universitarios y no universitarios, por lo que la materia principalmente concernida es la de educación. Así lo confirma el Real Decreto objeto de conflicto, cuya disposición final invoca como título competencial el art. 149.1.30 CE, aunque añade la referencia al art. 149.1.1 CE, sobre lo que versarán posteriores alegaciones. La doctrina constitucional sobre el encuadramiento material de las becas y ayudas al estudio se contiene en las SSTC 188/2001, de 20 de septiembre, y 212/2005, de 21 de julio.</w:t>
      </w:r>
    </w:p>
    <w:p w:rsidR="00163957" w:rsidRDefault="00163957" w:rsidP="00163957">
      <w:pPr>
        <w:pStyle w:val="TextoNormal"/>
      </w:pPr>
    </w:p>
    <w:p w:rsidR="00163957" w:rsidRDefault="00163957" w:rsidP="00163957">
      <w:pPr>
        <w:pStyle w:val="TextoNormal"/>
      </w:pPr>
      <w:r>
        <w:t>El Estatuto de Autonomía de Cataluña de 2006 reconoce el derecho de todas las personas a disponer, en los términos y condiciones que establezcan las leyes, de ayudas públicas para satisfacer los requerimientos educativos y acceder a los niveles educativos superiores, en función de sus recursos económicos, capacidad y preferencias (art. 21.6 EAC). Por lo que se refiere al contenido de las competencias que corresponden a la Generalitat, la competencia compartida de la Generalitat en materia de educación no universitaria incluye, respetando los aspectos esenciales del derecho a la educación y a la libertad de enseñanza y de acuerdo con lo dispuesto en el art. 149.1.30 CE, “el régimen de fomento del estudio, de becas y de ayudas estatales” (art. 131.3 EAC) y la competencia en materia de enseñanza universitaria incluye “la regulación y la gestión del sistema propio de becas y ayudas a la formación universitaria y, si procede, la regulación y gestión de los fondos estatales en esta materia” [art. 172.1 g) EAC].</w:t>
      </w:r>
    </w:p>
    <w:p w:rsidR="00163957" w:rsidRDefault="00163957" w:rsidP="00163957">
      <w:pPr>
        <w:pStyle w:val="TextoNormal"/>
      </w:pPr>
    </w:p>
    <w:p w:rsidR="00163957" w:rsidRDefault="00163957" w:rsidP="00163957">
      <w:pPr>
        <w:pStyle w:val="TextoNormal"/>
      </w:pPr>
      <w:r>
        <w:t xml:space="preserve">En suma, en materia de becas se produce una situación de competencia compartida, de manera que a la Generalitat le corresponde la realización de las funciones que genéricamente recoge el art. 111 EAC y las funciones específicas de la actividad prestacional que se indican en el art. 114.3 EAC. El art. 114 EAC viene a positivizar, en sus diversos apartados, los criterios jurisprudenciales establecidos reiteradamente por el Tribunal Constitucional desde la STC 13/1992 y que se aplicaron a las becas y ayudas al estudio en las SSTC 188/2001 y 212/2005, ya citadas. En la STC 188/2001, FJ 11, el Tribunal excluyó con claridad y rotundidad que el tema de las becas se subsumiera en el supuesto de la letra d) del fundamento jurídico 8 de la STC 13/1992, esto es, que se tratara de uno de los supuestos en que, como excepción, el Estado podía centralizar las funciones ejecutivas. En particular declaró que la limitación de fondos disponibles no requería la elaboración de una lista única de posibles beneficios de las becas como garantía del principio de igualdad, que era lo que alegaba el representante del Estado para justificar la reserva en el Ministerio de la competencia resolutoria sobre las becas. Desde su competencia del art. 149.1.30 CE, el Estado puede establecer los elementos básicos de la ordenación de las becas, pero, incluso admitiendo que esta regulación básica, por el hecho de resultar implicado el derecho fundamental a la educación, puede alcanzar una mayor intensidad que en otros casos a fin de garantizar al máximo la homogeneidad del sistema y un importante grado de unidad en el disfrute de las ayudas al estudio, en ningún caso el alcance de las bases puede llegar a alterar el orden de reparto competencial constitucional y estatutariamente establecido, de manera que anule </w:t>
      </w:r>
      <w:r>
        <w:lastRenderedPageBreak/>
        <w:t>totalmente la competencia autonómica de desarrollo normativo para adaptar la regulación básica estatal a la necesaria atención de las peculiaridades específicas de su respectivo territorio. Desde la inicial jurisprudencia constitucional (SSTC 1/1982, 44/1982 y 13/1989, entre otras muchas) se consideró consustancial a la noción de bases que el Estado no pudiera agotar la regulación de la materia en el ejercicio de su competencia ni vaciar de contenido la competencia autonómica de desarrollo normativo.</w:t>
      </w:r>
    </w:p>
    <w:p w:rsidR="00163957" w:rsidRDefault="00163957" w:rsidP="00163957">
      <w:pPr>
        <w:pStyle w:val="TextoNormal"/>
      </w:pPr>
    </w:p>
    <w:p w:rsidR="00163957" w:rsidRDefault="00163957" w:rsidP="00163957">
      <w:pPr>
        <w:pStyle w:val="TextoNormal"/>
      </w:pPr>
      <w:r>
        <w:t>En cuanto a la invocación del título del art. 149.1.1 CE por la disposición final primera del Real Decreto 609/2013, la jurisprudencia constitucional (SSTC 188/2001 y 212/2005) ha declarado que dicho título competencial no es de aplicación a las regulación de las becas y ayudas al estudio, puesto que no afecta al contenido esencial del derecho a la educación. Desde el art. 149.1.1 CE se puede incidir en el derecho a la educación, pero más allá de lo establecido en las leyes orgánicas sobre educación, ese título no puede servir para dar cobertura a una regulación variable sobre becas y ayudas al estudio. Además, el régimen de becas objeto del presente conflicto no es de aplicación a todos los estudiantes en todo el territorio estatal, puesto que la disposición final primera de la resolución excluye expresamente su aplicación al alumnado universitario y no universitario del País Vasco: ello responde a que dicha Comunidad recibió hace años el traspaso de competencias en esta materia, mediante los Reales Decretos 3195/1980 y 1014/1985. Por ello, no cabe acudir a la invocación del art. 149.1.1 CE que, por expresa determinación constitucional, debe afectar a todos los españoles.</w:t>
      </w:r>
    </w:p>
    <w:p w:rsidR="00163957" w:rsidRDefault="00163957" w:rsidP="00163957">
      <w:pPr>
        <w:pStyle w:val="TextoNormal"/>
      </w:pPr>
    </w:p>
    <w:p w:rsidR="00163957" w:rsidRDefault="00163957" w:rsidP="00163957">
      <w:pPr>
        <w:pStyle w:val="TextoNormal"/>
      </w:pPr>
      <w:r>
        <w:t>c) Un tercer bloque de alegaciones tiene como objeto la reforma introducida por el Real Decreto 609/2013: el componente denominado “cuantía variable”.</w:t>
      </w:r>
    </w:p>
    <w:p w:rsidR="00163957" w:rsidRDefault="00163957" w:rsidP="00163957">
      <w:pPr>
        <w:pStyle w:val="TextoNormal"/>
      </w:pPr>
    </w:p>
    <w:p w:rsidR="00163957" w:rsidRDefault="00163957" w:rsidP="00163957">
      <w:pPr>
        <w:pStyle w:val="TextoNormal"/>
      </w:pPr>
      <w:r>
        <w:t>Con la nueva regulación, las becas constarán de una cuantía fija, formada por varios componentes, y una cuantía variable, que resulta de la ponderación de la nota media del expediente del beneficiario y de su renta familiar aplicando a tal efecto la fórmula prevista en el reformado art. 9.2 del Real Decreto 1721/2007. La cuantía variable no se establece como un derecho universal y queda condicionada a las disponibilidades presupuestarias, una vez asignadas las cantidades correspondientes a la cuantía fija. Además, se prevé que, para cada curso académico, el Gobierno pueda fijar importes mínimos y/o máximos de la cuantía variable. Al Ministerio de Educación le corresponde la función de repartir la cuantía variable.</w:t>
      </w:r>
    </w:p>
    <w:p w:rsidR="00163957" w:rsidRDefault="00163957" w:rsidP="00163957">
      <w:pPr>
        <w:pStyle w:val="TextoNormal"/>
      </w:pPr>
    </w:p>
    <w:p w:rsidR="00163957" w:rsidRDefault="00163957" w:rsidP="00163957">
      <w:pPr>
        <w:pStyle w:val="TextoNormal"/>
      </w:pPr>
      <w:r>
        <w:t xml:space="preserve">De la detallada regulación establecida para la aplicación de la fórmula recogida en el nuevo art. 9.2 introducido en el Real Decreto 1721/2007 para el cálculo de la cantidad variable, incluyendo diversos coeficientes correctores, se deduce claramente que se cierra cualquier posibilidad de que las Comunidades Autónomas que hayan asumido las competencias sobre desarrollo normativo de las bases estatales en materia de educación puedan ponderar los elementos de la cuantía variable correspondiente a los beneficiarios de sus respectivos territorios en orden a atender sus propias peculiaridades. Por tanto, la nueva regulación del sistema de becas, introducida mediante el apartado 3 de la disposición final segunda del Real Decreto 609/2013, vacía de contenido la competencia autonómica al respecto, lesiona el orden competencial y desperdicia la oportunidad de configurar un sistema que armonice los principios de igualdad en las condiciones básicas de respeto por la diversidad autonómica, lo que plausiblemente se podría conseguir si el Estado, a la par que establece por igual en todo el territorio las cuantías fijas a que se refiere el nuevo art. 9.1 del </w:t>
      </w:r>
      <w:r>
        <w:lastRenderedPageBreak/>
        <w:t>Real Decreto 1721/2007, permitiera que las Comunidades Autónomas competentes decidieran sobre los criterios de distribución de la cuantía variable prevista en el artículo 9.2 de la misma norma en su respectivo ámbito territorial, respetando siempre y en todo caso el importe que fije el Gobierno del Estado como mínimo y/o máximo para cada curso académico. En la misma vulneración incurre la nueva redacción del párrafo d) del art. 40.2 del Real Decreto 1721/2007 dada por el apartado 18 de la disposición final segunda del Real Decreto 609/2013, pues centraliza en el Ministerio de Educación, Cultura y Deporte la distribución de la cuantía variable, de modo que la competencia ejecutiva autonómica queda limitada a unas actuaciones de simple trámite, sin ninguna facultad decisoria.</w:t>
      </w:r>
    </w:p>
    <w:p w:rsidR="00163957" w:rsidRDefault="00163957" w:rsidP="00163957">
      <w:pPr>
        <w:pStyle w:val="TextoNormal"/>
      </w:pPr>
    </w:p>
    <w:p w:rsidR="00163957" w:rsidRDefault="00163957" w:rsidP="00163957">
      <w:pPr>
        <w:pStyle w:val="TextoNormal"/>
      </w:pPr>
      <w:r>
        <w:t>No cabe aceptar como básica una regulación pormenorizada cuya aplicación tiene, además, carácter eventual. Lo básico debe quedar referido a los componentes fijos de las becas y al establecimiento del importe mínimo y/o máximo de la cuantía variable, pero no más allá. Y las Comunidades Autónomas deben utilizar su competencia de desarrollo normativo para modular la aplicación de la cuantía variable en su respectivo territorio, ponderando los componentes de la fórmula a la que se refiere el artículo 9.2 y determinando el porcentaje del importe que se destinará a los estudiantes universitarios y no universitarios, respectivamente, pues en permitir esa modulación puede consistir la oportuna “atención a las peculiaridades territoriales” (STC 188/2001, FJ 11).</w:t>
      </w:r>
    </w:p>
    <w:p w:rsidR="00163957" w:rsidRDefault="00163957" w:rsidP="00163957">
      <w:pPr>
        <w:pStyle w:val="TextoNormal"/>
      </w:pPr>
    </w:p>
    <w:p w:rsidR="00163957" w:rsidRDefault="00163957" w:rsidP="00163957">
      <w:pPr>
        <w:pStyle w:val="TextoNormal"/>
      </w:pPr>
      <w:r>
        <w:t>d) La disposición adicional tercera del Real Decreto 609/2013, relativa a la compensación a las universidades por la exención de matrícula, merece una consideración especial. El precepto obliga a las Comunidades Autónomas a asumir la diferencia entre el coste del precio público que se haya fijado para las matrículas universitarias y la cuantía que por el concepto de “beca de matrícula” [art. 9.1 a)] aporte el Ministerio de Educación. Con ello se compensa a las universidades y el beneficiario de la beca queda efectivamente exento de cualquier obligación económica. En síntesis, el precepto establece el deber de las Comunidades Autónomas de cofinanciar las becas estatales de matrícula, lo que afecta a la autonomía financiera de las mismas, en su vertiente de gasto (SSTC 13/1992, FJ 7;, y 68/1996, FJ 11, entre otras). De acuerdo con la autonomía de gasto garantizada por el art. 156.1 CE y reconocida en el art. 211 EAC, la Generalitat ha de poder escoger y llevar a cabo sus propias políticas, fijando con libertad el destino y orientación del gasto público dentro de sus competencias. En cambio, la obligación que impone la mencionada norma es una medida unilateral, poco respetuosa con el principio de lealtad institucional en el ámbito de la autonomía financiera, que al condicionar las decisiones de gasto de la Generalitat vulnera el orden competencial e incide inconstitucionalmente en la autonomía financiera de las Comunidades Autónomas.</w:t>
      </w:r>
    </w:p>
    <w:p w:rsidR="00163957" w:rsidRDefault="00163957" w:rsidP="00163957">
      <w:pPr>
        <w:pStyle w:val="TextoNormal"/>
      </w:pPr>
    </w:p>
    <w:p w:rsidR="00163957" w:rsidRDefault="00163957" w:rsidP="00163957">
      <w:pPr>
        <w:pStyle w:val="TextoNormal"/>
      </w:pPr>
      <w:r>
        <w:t>La disposición adicional tercera traslada a la norma reglamentaria lo previsto en el art. 7.1 b) del Real Decreto-ley 14/2012, de 20 de abril, de medidas urgentes de racionalización del gasto público en el ámbito educativo, que obliga a la cofinanciación por las Comunidades Autónomas del sistema de becas adoptado por el Estado y que ha sido objeto de impugnación, entre otros, en el recurso de inconstitucionalidad núm. 301-2013 interpuesto por el Gobierno de la Generalitat de Catalunya, a cuyas alegaciones se remite el escrito.</w:t>
      </w:r>
    </w:p>
    <w:p w:rsidR="00163957" w:rsidRDefault="00163957" w:rsidP="00163957">
      <w:pPr>
        <w:pStyle w:val="TextoNormal"/>
      </w:pPr>
    </w:p>
    <w:p w:rsidR="00163957" w:rsidRDefault="00163957" w:rsidP="00163957">
      <w:pPr>
        <w:pStyle w:val="TextoNormal"/>
      </w:pPr>
      <w:r>
        <w:t xml:space="preserve">e) A continuación se desarrolla el argumento, ya avanzado, de que la invocación del art. 149.1.1 CE en la disposición final primera del Real Decreto 609/2013 resulta incorrecta y no es acorde con el orden constitucional. A este respecto se citan en extenso las SSTC </w:t>
      </w:r>
      <w:r>
        <w:lastRenderedPageBreak/>
        <w:t>188/2001 (FFJJ 12 y 13) y 212/2005 (FJ 5) y se señalan las muchas sentencias en las que el Tribunal Constitucional ha declarado la incorrección de la pretensión estatal de sustentar la gestión centralizada de las subvenciones mediante la invocación del art. 149.1.1 CE [SSTC 150/2012, FJ 4; 173/2012, FJ 5 a); 177/2012, FJ 5 a); 243/2012, FFJJ 2 y 6; 21/2013, FJ 5, y 70/2013, FJ 4].</w:t>
      </w:r>
    </w:p>
    <w:p w:rsidR="00163957" w:rsidRDefault="00163957" w:rsidP="00163957">
      <w:pPr>
        <w:pStyle w:val="TextoNormal"/>
      </w:pPr>
    </w:p>
    <w:p w:rsidR="00163957" w:rsidRDefault="00163957" w:rsidP="00163957">
      <w:pPr>
        <w:pStyle w:val="TextoNormal"/>
      </w:pPr>
      <w:r>
        <w:t>De hecho, en consonancia con el claro pronunciamiento de la STC 188/2011, la disposición final segunda del Real Decreto 1721/2007, de 21 de diciembre, invocó un único título competencial, el del art. 149.1.30 CE. En la misma disposición final se menciona también el Real Decreto tiene carácter básico y se dicta en desarrollo de lo dispuesto en el art. 45 de la Ley Orgánica de universidades, en la redacción dada por la Ley Orgánica 4/2007, de 12 de abril, y el art. 83 de la Ley Orgánica de educación, normas que incluyen referencias explícitas a las competencias normativas y de ejecución de las Comunidades Autónomas en materia educativa. Por ello, resulta extraño, además de constitucionalmente improcedente, que al dictarse ahora el Real Decreto 609/2013, que modifica el citado Real Decreto 1721/2007, se pretenda el amparo de un título competencial cuya aplicación ya quedó claramente descartada por la jurisprudencia constitucional y que ya no fue utilizada al dictarse en 2007 la norma general sobre becas y ayudas al estudio.</w:t>
      </w:r>
    </w:p>
    <w:p w:rsidR="00163957" w:rsidRDefault="00163957" w:rsidP="00163957">
      <w:pPr>
        <w:pStyle w:val="TextoNormal"/>
      </w:pPr>
    </w:p>
    <w:p w:rsidR="00163957" w:rsidRDefault="00163957" w:rsidP="00163957">
      <w:pPr>
        <w:pStyle w:val="TextoNormal"/>
      </w:pPr>
      <w:r>
        <w:t>f) Finalmente, se aborda el art. 1.1 de la resolución de 13 de agosto de 2013, que efectúa la convocatoria de las becas para el curso académico 2013-2014. El Tribunal Constitucional ha considerado que el acto de convocatoria de unas ayudas o subvenciones se integra con naturalidad en el procedimiento de concesión, de manera que es un aspecto de gestión que corresponde a las Comunidades Autónomas que han asumido las competencias de ejecución (STC 26/1983, FJ 8). Por ello, el acto que lleva a cabo el art. 1.1 de la resolución constituye una función de carácter ejecutivo que, en Cataluña, compete realizar a la Generalitat como titular de las competencias ejecutivas en esta materia, sin perjuicio de que deba respetar lo que al respecto establezca la normativa básica.</w:t>
      </w:r>
    </w:p>
    <w:p w:rsidR="00163957" w:rsidRDefault="00163957" w:rsidP="00163957">
      <w:pPr>
        <w:pStyle w:val="TextoNormal"/>
      </w:pPr>
    </w:p>
    <w:p w:rsidR="00163957" w:rsidRDefault="00163957" w:rsidP="00163957">
      <w:pPr>
        <w:pStyle w:val="TextoNormal"/>
      </w:pPr>
      <w:r>
        <w:t>Del escrito de respuesta al requerimiento previo al presente conflicto se deduce que no está en discusión la titularidad de tal competencia, pues se reconoce que es autonómica según lo regulado en el art. 41 (Administración competente y publicidad) del vigente Real Decreto 1721/2007, por el que se establece el régimen de las becas y ayudas al estudio personalizadas que convoca la resolución. Como ya se ha indicado anteriormente, la falta de traspaso de medios en materia de becas y ayudas al estudio, desde que el Tribunal Constitucional reconociera la titularidad de la competencia en la STC 188/2001, es lo que permite que, de acuerdo con la doctrina constitucional (STC 155/1990, FJ 2), le corresponda provisionalmente al Estado el ejercicio de las funciones ejecutivas afectadas.</w:t>
      </w:r>
    </w:p>
    <w:p w:rsidR="00163957" w:rsidRDefault="00163957" w:rsidP="00163957">
      <w:pPr>
        <w:pStyle w:val="TextoNormal"/>
      </w:pPr>
    </w:p>
    <w:p w:rsidR="00163957" w:rsidRDefault="00163957" w:rsidP="00163957">
      <w:pPr>
        <w:pStyle w:val="TextoNormal"/>
      </w:pPr>
      <w:r>
        <w:t xml:space="preserve">La reclamación competencial que se plantea en el presente conflicto en relación con el art. 1.1 de la resolución, más que a la titularidad de la competencia, que ya fue declarada en la STC 188/2001, se refiere a su efectivo ejercicio actual. Cabe lealmente entender y aceptar que, en aplicación del principio de continuidad en la prestación de los servicios públicos, sea necesario el ejercicio estatal de una competencia autonómica mientras los servicios no sean transferidos, pero este ejercicio debe quedar necesariamente limitado en el tiempo, pues lo contrario supone mantener indefinidamente una situación que, amén de anómala, deviene en burla del orden constitucional. Como afirma la jurisprudencia constitucional, la </w:t>
      </w:r>
      <w:r>
        <w:lastRenderedPageBreak/>
        <w:t>situación anómala debe ser provisional (STC 155/1990, FJ 2); “cualquier retraso en el cumplimiento de las transferencias implicaría una prolongación indebida de aquella provisionalidad y un obstáculo grave a la plena efectividad del reparto de competencias” (STC 209/1990, de 20 de septiembre, FJ 4).</w:t>
      </w:r>
    </w:p>
    <w:p w:rsidR="00163957" w:rsidRDefault="00163957" w:rsidP="00163957">
      <w:pPr>
        <w:pStyle w:val="TextoNormal"/>
      </w:pPr>
    </w:p>
    <w:p w:rsidR="00163957" w:rsidRDefault="00163957" w:rsidP="00163957">
      <w:pPr>
        <w:pStyle w:val="TextoNormal"/>
      </w:pPr>
      <w:r>
        <w:t>En definitiva, la representación procesal del Gobierno de la Generalitat aboga por que se produzca sin más dilaciones el ineludible traspaso a Cataluña de la gestión de las becas y ayudas al estudio, pues entiende que no se ajusta a la debida lealtad institucional y constitucional que el Gobierno mantenga indefinidamente una anómala situación provisional que impide el normal ejercicio de las competencias autonómicas previstas en el bloque de la constitucionalidad, según declaró el Tribunal Constitucional en la STC 188/2001, de 20 de septiembre, hace más de doce años.</w:t>
      </w:r>
    </w:p>
    <w:p w:rsidR="00163957" w:rsidRDefault="00163957" w:rsidP="00163957">
      <w:pPr>
        <w:pStyle w:val="TextoNormal"/>
      </w:pPr>
    </w:p>
    <w:p w:rsidR="00163957" w:rsidRDefault="00163957" w:rsidP="00163957">
      <w:pPr>
        <w:pStyle w:val="TextoNormal"/>
      </w:pPr>
      <w:r>
        <w:t>g) Por todo lo expuesto, solicita al Tribunal Constitucional que tenga por planteado el conflicto positivo de competencia en los términos del escrito y que, en su virtud, dicte sentencia en la que se declare que la competencia controvertida corresponde a la Generalitat de Cataluña.</w:t>
      </w:r>
    </w:p>
    <w:p w:rsidR="00163957" w:rsidRDefault="00163957" w:rsidP="00163957">
      <w:pPr>
        <w:pStyle w:val="TextoNormal"/>
      </w:pPr>
    </w:p>
    <w:p w:rsidR="00163957" w:rsidRDefault="00163957" w:rsidP="00163957">
      <w:pPr>
        <w:pStyle w:val="TextoNormal"/>
      </w:pPr>
      <w:r>
        <w:t>Por otrosí primero, solicita al Tribunal Constitucional que, “en aplicación de lo previsto en el art. 92 y concordantes LOTC, adopte las medidas procedentes, o señale un límite temporal, para que no se pueda mantener indefinidamente la actual situación de provisionalidad en la que el Estado, al no haber dictado los correspondientes y obligados Reales Decretos de transferencias en materia de becas y ayudas al estudio, realiza unas funciones ejecutivas que no le compete ejercer, incumpliendo lo que se declaró hace ya más de 12 años en la STC 188/2001, de 20 de septiembre”.</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17 de diciembre de 2013, el Pleno de este Tribunal, a propuesta de la Sección Tercera, acordó admitir a trámite el conflicto positivo de competencia promovido por el Gobierno de la Generalitat de Cataluña y dar traslado de la demanda y documentos presentados al Gobierno de la Nación, por conducto de su Presidente, al objeto de que en el plazo de 20 días alegara cuanto considerase conveniente. La incoación del conflicto fue publicada en el “Boletín Oficial del Estado” de 23 de diciembre de 2013 y su corrección de errores en el de 20 de enero de 2014.</w:t>
      </w:r>
    </w:p>
    <w:p w:rsidR="00163957" w:rsidRDefault="00163957" w:rsidP="00163957">
      <w:pPr>
        <w:pStyle w:val="TextoNormal"/>
      </w:pPr>
    </w:p>
    <w:p w:rsidR="00163957" w:rsidRDefault="00163957" w:rsidP="00163957">
      <w:pPr>
        <w:pStyle w:val="TextoNormal"/>
      </w:pPr>
      <w:r w:rsidRPr="00163957">
        <w:rPr>
          <w:rStyle w:val="NumeroAFNegritaCaracter"/>
        </w:rPr>
        <w:t>3</w:t>
      </w:r>
      <w:r>
        <w:t>. Mediante escrito presentado en el Registro General de este Tribunal Constitucional el 18 de diciembre de 2013 el Abogado del Estado se personó en este proceso constitucional y solicitó prórroga del plazo para formular alegaciones por diez días más. Por providencia de 19 de diciembre de 2013 el Pleno le tuvo por personado y acordó prorrogar en diez días más el plazo concedido por providencia de 17 de diciembre de 2013, a contar desde el siguiente al de expiración del ordinario.</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escrito presentado en el Registro General de este Tribunal Constitucional el 3 de febrero de 2014 el Abogado del Estado cumplimentó el trámite conferido, oponiéndose a las pretensiones deducidas y formulando diversas alegaciones.</w:t>
      </w:r>
    </w:p>
    <w:p w:rsidR="00163957" w:rsidRDefault="00163957" w:rsidP="00163957">
      <w:pPr>
        <w:pStyle w:val="TextoNormal"/>
      </w:pPr>
    </w:p>
    <w:p w:rsidR="00163957" w:rsidRDefault="00163957" w:rsidP="00163957">
      <w:pPr>
        <w:pStyle w:val="TextoNormal"/>
      </w:pPr>
      <w:r>
        <w:t xml:space="preserve">a) El escrito comienza analizando la competencia estatal de regulación que deriva del art. 149.1.30 CE, en concreto la cuestión de si la configuración normativa de parámetros de </w:t>
      </w:r>
      <w:r>
        <w:lastRenderedPageBreak/>
        <w:t>valoración para la concesión de las becas a la enseñanza constituye un aspecto necesario a fin de que los poderes públicos garanticen el derecho de todos a la educación. Según la jurisprudencia constitucional, la fijación del objeto de las ayudas y sus modalidades constituye un elemento esencial de la competencia básica del Estado, que puede determinar la finalidad y orientación de su política educativa en aras de la efectividad del art. 27 CE (SSTC 188/2001, de 20 de septiembre, y 212/2005, de 21 de julio, FJ 9). En la STC 212/2005, FJ 5, se señaló la plena justificación de que las becas, configuradas por el legislador orgánico como un elemento central para la garantía del derecho a la educación, sean reguladas de modo complementario por la normativa básica para garantizar, precisamente, ese derecho (FJ 5); y que lo mismo ocurre con los requisitos exigibles para su otorgamiento y la cuantía de las diferentes líneas de ayuda, así como su posible aplicación en los diferentes niveles educativos, pues se trata de aspectos que son, todos ellos, elementos centrales de las condiciones de otorgamiento de las ayudas, cuyo carácter detallado resulta una exigencia de su percepción uniforme en todo el territorio nacional (FJ 9).</w:t>
      </w:r>
    </w:p>
    <w:p w:rsidR="00163957" w:rsidRDefault="00163957" w:rsidP="00163957">
      <w:pPr>
        <w:pStyle w:val="TextoNormal"/>
      </w:pPr>
    </w:p>
    <w:p w:rsidR="00163957" w:rsidRDefault="00163957" w:rsidP="00163957">
      <w:pPr>
        <w:pStyle w:val="TextoNormal"/>
      </w:pPr>
      <w:r>
        <w:t>El Real Decreto 609/2013 se enmarca en la potestad de regulación que al Estado corresponde, pues la parte variable de una beca constituye una parte esencial de la misma. Si la materia subvencionada es común, es decir, unos estudios que los ciudadanos necesitan para su formación académica y que forman parte del sistema educativo general, el hecho de que las Comunidades Autónomas pudieran establecer las premisas o los requisitos legales para su acceso y para la obtención de la beca o ayuda de cuantía variable conllevaría una desigualdad en el acceso a los medios económicos públicos, dependiendo de la zona del país en el que se viviese. La variabilidad del montante individual de las becas no debe significar alteración de los criterios legales previos en su sentido cuantitativo o en la apreciación variable del aspecto cualitativo, pues ello supondría, al margen de la eventual idoneidad técnica de los órganos administrativos, ya fueran estatales o autonómicos, para valorar los requisitos exigibles, una desigualdad objetiva, afectando a un elemento que integra la efectividad del derecho a la educación (STC 188/2001, de 20 de septiembre, FJ 10).</w:t>
      </w:r>
    </w:p>
    <w:p w:rsidR="00163957" w:rsidRDefault="00163957" w:rsidP="00163957">
      <w:pPr>
        <w:pStyle w:val="TextoNormal"/>
      </w:pPr>
    </w:p>
    <w:p w:rsidR="00163957" w:rsidRDefault="00163957" w:rsidP="00163957">
      <w:pPr>
        <w:pStyle w:val="TextoNormal"/>
      </w:pPr>
      <w:r>
        <w:t>Lo básico es, con palabras de la STC 188/2001, aquello que no puede ser cambiado por la legislación de desarrollo: es lo que debe ocurrir con los parámetros de cálculo y en general de cobertura legal de la parte variable de las becas, en la medida en que forma parte de la efectividad del sistema público de ayudas al estudio. Ello no puede ser trastocado a fin de proponer que lo que no puede ser cambiado es la cuantía que se establece de manera fija. Por ello, el art. 5.2, con los sistemas de cálculo allí concretados, no adolece de exceso de regulación, pues si la regulación de la cuantía de las becas constituye un aspecto básico, ello se ha de extender a todo su concepto: el carácter variable de una cuantía puede resultar el elemento más discriminatorio si no se sujeta a parámetros o promesas de determinación normativa general para cada caso.</w:t>
      </w:r>
    </w:p>
    <w:p w:rsidR="00163957" w:rsidRDefault="00163957" w:rsidP="00163957">
      <w:pPr>
        <w:pStyle w:val="TextoNormal"/>
      </w:pPr>
    </w:p>
    <w:p w:rsidR="00163957" w:rsidRDefault="00163957" w:rsidP="00163957">
      <w:pPr>
        <w:pStyle w:val="TextoNormal"/>
      </w:pPr>
      <w:r>
        <w:t>b) El escrito aborda, en segundo lugar, la competencia autonómica de ejecución de la legislación estatal y las medidas transitorias de coordinación. El Estatuto de Autonomía de Cataluña atribuye a la Generalitat de Cataluña la competencia compartida con el Estado en relación con el “régimen de fomento al estudio, de becas y de ayudas estatales” en materia de enseñanzas no universitarias, salvaguardando las competencias estatales sobre la materia tanto de regulación como en su caso de ejecución [art. 131.3 d) EAC]. El problema se suscita en relación con la competencia de ejecución de la legislación básica sobre el aspecto variable de la cuantía de las becas.</w:t>
      </w:r>
    </w:p>
    <w:p w:rsidR="00163957" w:rsidRDefault="00163957" w:rsidP="00163957">
      <w:pPr>
        <w:pStyle w:val="TextoNormal"/>
      </w:pPr>
    </w:p>
    <w:p w:rsidR="00163957" w:rsidRDefault="00163957" w:rsidP="00163957">
      <w:pPr>
        <w:pStyle w:val="TextoNormal"/>
      </w:pPr>
      <w:r>
        <w:t>La doctrina constitucional confirma el criterio de la atribución autonómica sobre la gestión y ejecución de la normativa básica, salvo que, como expresa la STC 188/2001, FJ 7, la naturaleza de la medida haga imprescindible la gestión directa y centralizada para asegurar su plena efectividad dentro de la ordenación básica del sector, para garantizar iguales posibilidades de obtención y disfrute por los potenciales destinatarios en todo el territorio nacional o, por último, cuando dicha centralización sea un medio necesario para evitar que se sobrepase la cuantía global de los fondos destinados a la subvención; en todo caso, la necesidad de la gestión centralizada debe aparecer razonablemente justificada o deducirse sin esfuerzo de la naturaleza y contenido de la medida de fomento de que se trate.</w:t>
      </w:r>
    </w:p>
    <w:p w:rsidR="00163957" w:rsidRDefault="00163957" w:rsidP="00163957">
      <w:pPr>
        <w:pStyle w:val="TextoNormal"/>
      </w:pPr>
    </w:p>
    <w:p w:rsidR="00163957" w:rsidRDefault="00163957" w:rsidP="00163957">
      <w:pPr>
        <w:pStyle w:val="TextoNormal"/>
      </w:pPr>
      <w:r>
        <w:t>Por tanto, para valorar favorablemente la adecuación de la atribución de la competencia de ejecución al Estado un elemento esencial consiste en que la ejecución estatal sea determinante para garantizar la eficacia de las medidas y evitar el agotamiento de los fondos autorizados; criterio que se complementa con el de la cooperación entre ambas Administraciones territoriales en este ámbito de la gestión (STC 212/2005, FJ 10).</w:t>
      </w:r>
    </w:p>
    <w:p w:rsidR="00163957" w:rsidRDefault="00163957" w:rsidP="00163957">
      <w:pPr>
        <w:pStyle w:val="TextoNormal"/>
      </w:pPr>
    </w:p>
    <w:p w:rsidR="00163957" w:rsidRDefault="00163957" w:rsidP="00163957">
      <w:pPr>
        <w:pStyle w:val="TextoNormal"/>
      </w:pPr>
      <w:r>
        <w:t>Ese criterio jurisprudencial es el que subyace a las previsiones del art. 5.2 del Real Decreto 609/2013 y su disposición final segunda, en cuanto que atribuyen al Ministerio de Educación, Cultura y Deporte la distribución, provisional y definitiva, de la cuantía variable de la becas, así como funciones ejecutivas de gestión de las respectivas solicitudes. El procedimiento que se establece en dichos preceptos para la asignación, concesión y pago de la cuantía variable de la beca se adecua a la doctrina del Tribunal Constitucional invocada. El contenido de la citada disposición legal se ha trasladado al convenio de colaboración para la gestión de becas para el curso 2013-2014 entre la Generalitat de Cataluña y el Ministerio de Educación, Cultura y Deporte —en concreto a la cláusula tercera (selección, adjudicación y pago)—, cuya firma es inminente.</w:t>
      </w:r>
    </w:p>
    <w:p w:rsidR="00163957" w:rsidRDefault="00163957" w:rsidP="00163957">
      <w:pPr>
        <w:pStyle w:val="TextoNormal"/>
      </w:pPr>
    </w:p>
    <w:p w:rsidR="00163957" w:rsidRDefault="00163957" w:rsidP="00163957">
      <w:pPr>
        <w:pStyle w:val="TextoNormal"/>
      </w:pPr>
      <w:r>
        <w:t>Resulta evidente que la gestión de la cuantía variable de las becas se realiza en un marco de cooperación en el que a las Comunidades Autónomas que se acojan a la disposición transitoria primera les corresponden las funciones ejecutivas, reservando únicamente el Ministerio dos actividades de carácter interno referidas a la ordenación de los flujos financieros hacia las Administraciones educativas: por un lado, la determinación de los créditos disponibles en los presupuestos generales del Estado para abonar la cuantía variable, una vez descontados los créditos destinados a financiar las cuantías fijas de las becas; y por otro, la determinación y libramiento a cada Administración educativa de la cuantía que le corresponda en función de los beneficiarios. Una vez realizados estos libramientos, corresponderá a la Generalitat de Cataluña la resolución de concesión y el pago de dicho componente de la beca. Este marco de cooperación interadministrativa que se establece para la distribución de esta cuantía variable encuentra justificación en la doctrina constitucional, ya que garantiza las mismas posibilidades de obtención y disfrute por sus potenciales destinatarios en todo el territorio nacional, evitando al propio tiempo que se sobrepase la cuantía global de los fondos estatales destinados a tal fin.</w:t>
      </w:r>
    </w:p>
    <w:p w:rsidR="00163957" w:rsidRDefault="00163957" w:rsidP="00163957">
      <w:pPr>
        <w:pStyle w:val="TextoNormal"/>
      </w:pPr>
    </w:p>
    <w:p w:rsidR="00163957" w:rsidRDefault="00163957" w:rsidP="00163957">
      <w:pPr>
        <w:pStyle w:val="TextoNormal"/>
      </w:pPr>
      <w:r>
        <w:t xml:space="preserve">c) En un tercer apartado el escrito examina las cuestiones de la ejecución provisional estatal y del traspaso de servicios. La Comunidad Autónoma reprocha al Estado el hecho de que hayan transcurrido seis años desde la aprobación de la disposición adicional cuarta del </w:t>
      </w:r>
      <w:r>
        <w:lastRenderedPageBreak/>
        <w:t>Real Decreto 1721/2007, ahora parcialmente modificado por el Real Decreto 609/2013, relativo al ejercicio provisional de la Administración estatal de la competencia de ejecución, sin haberse llegado a un acuerdo de traspaso durante todo ese tiempo. Sin embargo, la misma STC 209/1990, de 20 de diciembre, que invoca la Comunidad Autónoma, fijó el siguiente presupuesto previo sin el cual no se entendería el reproche ulterior respecto de la prolongación de la provisionalidad: mientras no se hayan transferido los medios personales y materiales necesarios e imprescindibles para el ejercicio de una competencia estatutaria, el ejercicio de aquella competencia corresponderá todavía al Estado (FJ 4).</w:t>
      </w:r>
    </w:p>
    <w:p w:rsidR="00163957" w:rsidRDefault="00163957" w:rsidP="00163957">
      <w:pPr>
        <w:pStyle w:val="TextoNormal"/>
      </w:pPr>
    </w:p>
    <w:p w:rsidR="00163957" w:rsidRDefault="00163957" w:rsidP="00163957">
      <w:pPr>
        <w:pStyle w:val="TextoNormal"/>
      </w:pPr>
      <w:r>
        <w:t xml:space="preserve">Por tanto, el tiempo de duración de esa provisionalidad no conlleva, aun transcurrido un periodo más o menos prolongado, la atribución </w:t>
      </w:r>
      <w:r w:rsidRPr="00163957">
        <w:rPr>
          <w:i/>
        </w:rPr>
        <w:t>per se</w:t>
      </w:r>
      <w:r>
        <w:t xml:space="preserve"> de la competencia a la Comunidad Autónoma. En cualquier caso, no se pone de manifiesto una dejadez o una ralentización fraudulenta y obstructiva por las autoridades educativas estatales en cuanto a fijar un acuerdo definitivo de transferencia en el seno de la comisión mixta respectiva, que no es un acto unilateral del Gobierno. Si no se acierta a llegar a un acuerdo definitivo, ello deriva de la actitud de ambas partes, salvo que se probara una clara actitud contumaz por la parte estatal, lo que aquí no acontece.</w:t>
      </w:r>
    </w:p>
    <w:p w:rsidR="00163957" w:rsidRDefault="00163957" w:rsidP="00163957">
      <w:pPr>
        <w:pStyle w:val="TextoNormal"/>
      </w:pPr>
    </w:p>
    <w:p w:rsidR="00163957" w:rsidRDefault="00163957" w:rsidP="00163957">
      <w:pPr>
        <w:pStyle w:val="TextoNormal"/>
      </w:pPr>
      <w:r>
        <w:t>La jurisprudencia ha declarado que durante ese periodo provisional de gestión o desempeño transitorio por el Estado de competencias de ejecución autonómica, ambas partes podrían coordinarse a través de los correspondientes convenios o instrumentos de cooperación, lo que se ha plasmado en el mismo Real Decreto 609/2013 y en el ya citado convenio de colaboración que debe firmarse entre la Administración del Estado y la Generalitat de Cataluña para la gestión de las becas en el curso 2013-2014.</w:t>
      </w:r>
    </w:p>
    <w:p w:rsidR="00163957" w:rsidRDefault="00163957" w:rsidP="00163957">
      <w:pPr>
        <w:pStyle w:val="TextoNormal"/>
      </w:pPr>
    </w:p>
    <w:p w:rsidR="00163957" w:rsidRDefault="00163957" w:rsidP="00163957">
      <w:pPr>
        <w:pStyle w:val="TextoNormal"/>
      </w:pPr>
      <w:r>
        <w:t>Por lo tanto, no han resultado infringidas las competencias de la Generalitat de Cataluña relativas a la ejecución de la legislación del Estado en la materia (art. 131 EAC), dada la situación actual de ausencia de concreción de un acuerdo de voluntades completo que lleve a plasmar definitivamente en un acuerdo formal de la comisión mixta la relación, número y alcance de los medios personales y materiales y de los servicios que habrían de ser objeto de traspaso a la Comunidad Autónoma. A su vez, debe decaer la impugnación de algunos preceptos de la resolución de 13 de agosto de 2013 por la que se convocan becas de carácter general para el curso académico 2013-2014 para estudiantes que cursen estudios postobligatorios, en cuanto que resultan ajustados a la normativa que les sirve de fundamento —el Real Decreto 609/2013—, al criterio jurisprudencial anteriormente analizado y a la deseable coordinación entre las Administraciones territoriales en tanto se completa el proceso de traspaso de medios y servicios a la Comunidad Autónoma.</w:t>
      </w:r>
    </w:p>
    <w:p w:rsidR="00163957" w:rsidRDefault="00163957" w:rsidP="00163957">
      <w:pPr>
        <w:pStyle w:val="TextoNormal"/>
      </w:pPr>
    </w:p>
    <w:p w:rsidR="00163957" w:rsidRDefault="00163957" w:rsidP="00163957">
      <w:pPr>
        <w:pStyle w:val="TextoNormal"/>
      </w:pPr>
      <w:r>
        <w:t>d) Por lo expuesto, el representante procesal del Gobierno solicita que se dicte sentencia en la que se declare la plena constitucionalidad del Real Decreto y de la resolución objeto del presente conflicto.</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10 de mayo de 2016 se señaló para deliberación y votación de la presente Sentencia el día 12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presente Sentencia debe dar respuesta a un proceso instado por el Abogado de la Generalitat de Cataluña, en representación de su Gobierno, contra el art. 5, apartados 1 y 2, la disposición final segunda, apartados 3 y 18, la disposición adicional tercera, apartado 5 y la disposición final primera del Real Decreto 609/2013, de 2 de agosto, por el que se establecen los umbrales de renta y patrimonio familiar y las cuantías de las becas y ayudas al estudio para el curso 2013-2014, y se modifica parcialmente el Real Decreto 1721/2007, de 21 de diciembre, por el que se establece el régimen de las becas y ayudas al estudio personalizadas, así como contra los arts. 1.1, 2.4 y 50, apartados 6 y 7, y la disposición transitoria primera.2 de la resolución de 13 de agosto de 2013 de la Secretaría de Estado de Educación, Formación Profesional y Universidades, por la que se convocan becas de carácter general para el curso académico 2013-2014, para estudiantes que cursen estudios postobligatorios.</w:t>
      </w:r>
    </w:p>
    <w:p w:rsidR="00163957" w:rsidRDefault="00163957" w:rsidP="00163957">
      <w:pPr>
        <w:pStyle w:val="TextoNormal"/>
      </w:pPr>
    </w:p>
    <w:p w:rsidR="00163957" w:rsidRDefault="00163957" w:rsidP="00163957">
      <w:pPr>
        <w:pStyle w:val="TextoNormal"/>
      </w:pPr>
      <w:r>
        <w:t>En el escrito rector de este conflicto positivo de competencia se aduce que con la aprobación del Real Decreto y de la resolución arriba mencionados se atribuyen al Estado y se ejercen por éste, respectivamente, funciones ejecutivas que deberían corresponder a las Comunidades Autónomas y que ello supone una vulneración de las competencias que le corresponden a la Generalitat de Cataluña en materia de educación y universidades con base en lo dispuesto en los arts. 131.3 d) y 172.1 g) del Estatuto de Autonomía de Cataluña (EAC). Por su parte, la representación procesal del Gobierno del Estado propone la desestimación del conflicto de competencias, por entender que el contenido de los dos actos objeto del conflicto se encuentra amparado en la competencia estatal sobre educación (art. 149.1.30 CE), en tanto no se apruebe el traspaso de las funciones, medios y servicios necesarios para la asunción de las competencias por la Comunidad Autónoma.</w:t>
      </w:r>
    </w:p>
    <w:p w:rsidR="00163957" w:rsidRDefault="00163957" w:rsidP="00163957">
      <w:pPr>
        <w:pStyle w:val="TextoNormal"/>
      </w:pPr>
    </w:p>
    <w:p w:rsidR="00163957" w:rsidRDefault="00163957" w:rsidP="00163957">
      <w:pPr>
        <w:pStyle w:val="TextoNormal"/>
      </w:pPr>
      <w:r w:rsidRPr="00163957">
        <w:rPr>
          <w:rStyle w:val="NumeroAFNegritaCaracter"/>
        </w:rPr>
        <w:t>2</w:t>
      </w:r>
      <w:r>
        <w:t>. Nuestras primeras consideraciones deben dirigirse a precisar la controversia planteada en relación con los dos actos objeto del presente conflicto.</w:t>
      </w:r>
    </w:p>
    <w:p w:rsidR="00163957" w:rsidRDefault="00163957" w:rsidP="00163957">
      <w:pPr>
        <w:pStyle w:val="TextoNormal"/>
      </w:pPr>
    </w:p>
    <w:p w:rsidR="00163957" w:rsidRDefault="00163957" w:rsidP="00163957">
      <w:pPr>
        <w:pStyle w:val="TextoNormal"/>
      </w:pPr>
      <w:r>
        <w:t>a) El Real Decreto 609/2013, de 2 de agosto, se dicta al amparo del Real Decreto 1721/2007, de 21 de diciembre, por el que se establece el régimen de las becas y ayudas al estudio personalizadas. Según la disposición final primera del Real Decreto 1721/2007, para cada curso académico el Gobierno aprobará un real decreto en el que se precisen las enseñanzas para las que se concederán becas y ayudas al estudio, sus cuantías y modalidades para cada enseñanza, así como los umbrales de renta y patrimonio familiar aplicables. Esto es lo que lleva a cabo el Real Decreto 609/2013: fija los parámetros cuantitativos (cuantías de las diferentes modalidades de becas y ayudas al estudio y niveles máximos de renta y patrimonio familiar) por los que se regirán las convocatorias de becas y ayudas al estudio correspondientes al curso académico 2013-2014 financiadas con cargo al presupuesto del Ministerio de Educación, Cultura y Deporte, y cuya regulación general se encuentra en el mencionado Real Decreto 1721/2007. Al mismo tiempo, la disposición final segunda del Real Decreto 609/2013 modifica en diversos extremos el Real Decreto 1721/2007. Por su parte, la resolución de 13 de agosto de 2013, de la Secretaría de Estado de Educación, Formación Profesional y Universidades, procede a convocar becas de carácter general para estudiantes que cursen estudios postobligatorios para el curso académico 2013-2014.</w:t>
      </w:r>
    </w:p>
    <w:p w:rsidR="00163957" w:rsidRDefault="00163957" w:rsidP="00163957">
      <w:pPr>
        <w:pStyle w:val="TextoNormal"/>
      </w:pPr>
    </w:p>
    <w:p w:rsidR="00163957" w:rsidRDefault="00163957" w:rsidP="00163957">
      <w:pPr>
        <w:pStyle w:val="TextoNormal"/>
      </w:pPr>
      <w:r>
        <w:lastRenderedPageBreak/>
        <w:t>El conflicto se promueve exclusivamente en relación con algunos preceptos de los mencionados actos. Por lo que respecta al Real Decreto 609/2013, se impugnan, en primer lugar, los apartados 1 y 2 del art. 5, que regula la gestión por el Ministerio de Educación, Cultura y Deporte de la parte de los recursos asignados para la convocatoria del curso escolar 2013-2014 de becas y ayudas al estudio de carácter general que se destina a la llamada “cuantía variable”. En segundo lugar, se impugna el apartado 5 de la disposición adicional tercera del Real Decreto, que establece la obligación de las Comunidades Autónomas de compensar a las universidades públicas por la diferencia entre el coste de la matrícula y la beca de matrícula que el Ministerio proporciona a los estudiantes. En tercer lugar, se impugna la disposición final primera del Real Decreto que afirma los títulos competenciales en los que se basa dicha disposición general. Y en cuarto y último lugar, se impugnan determinadas modificaciones introducidas en el Real Decreto 1721/2007 por la disposición final segunda del Real Decreto 609/2013: modalidades de las becas en las enseñanzas postobligatorias (apartado 3) y reglas relativas a la liquidación a las Comunidades Autónomas de las cantidades que le corresponda financiar al Estado de las becas y ayudas concedidas [apartado 18, únicamente en cuanto que añade el párrafo d) al apartado 2 del art. 40 del Real Decreto 1721/2007].</w:t>
      </w:r>
    </w:p>
    <w:p w:rsidR="00163957" w:rsidRDefault="00163957" w:rsidP="00163957">
      <w:pPr>
        <w:pStyle w:val="TextoNormal"/>
      </w:pPr>
    </w:p>
    <w:p w:rsidR="00163957" w:rsidRDefault="00163957" w:rsidP="00163957">
      <w:pPr>
        <w:pStyle w:val="TextoNormal"/>
      </w:pPr>
      <w:r>
        <w:t>En cuanto a la resolución de 13 de agosto de 2013, se impugna su artículo 1.1, que convoca becas para estudiantes que en el curso académico 2013-2014 cursen enseñanzas postobligatorias con validez en todo el territorio nacional; su artículo 2.4, que contempla la distribución provisional y definitiva de la cuantía variable por el Ministerio de Educación, Cultura y Deporte; su artículo 50, apartados 6 y 7, que atribuyen a órganos de la Administración general del Estado competencias de gestión sobre la determinación, la distribución y la concesión definitiva de la cuantía variable; y el apartado 2 de su disposición transitoria primera, que excluye que determinadas tareas contempladas en la resolución puedan ser asumidas por las Comunidades Autónomas firmantes de convenios de colaboración.</w:t>
      </w:r>
    </w:p>
    <w:p w:rsidR="00163957" w:rsidRDefault="00163957" w:rsidP="00163957">
      <w:pPr>
        <w:pStyle w:val="TextoNormal"/>
      </w:pPr>
    </w:p>
    <w:p w:rsidR="00163957" w:rsidRDefault="00163957" w:rsidP="00163957">
      <w:pPr>
        <w:pStyle w:val="TextoNormal"/>
      </w:pPr>
      <w:r>
        <w:t>b) Como se ha expuesto en los antecedentes lo discutido en este proceso está principalmente vinculado a la actividad de gestión de las becas y ayudas al estudio en las que se concretan las actuaciones que las Administraciones públicas han de realizar en orden a la aplicación de lo dispuesto en el Real Decreto 609/2013. Ahora bien, este conflicto pone de manifiesto un matiz distinto con respecto a procesos constitucionales anteriores.</w:t>
      </w:r>
    </w:p>
    <w:p w:rsidR="00163957" w:rsidRDefault="00163957" w:rsidP="00163957">
      <w:pPr>
        <w:pStyle w:val="TextoNormal"/>
      </w:pPr>
    </w:p>
    <w:p w:rsidR="00163957" w:rsidRDefault="00163957" w:rsidP="00163957">
      <w:pPr>
        <w:pStyle w:val="TextoNormal"/>
      </w:pPr>
      <w:r>
        <w:t xml:space="preserve">Mientras que en anteriores procesos la controversia versaba sobre la titularidad autonómica de la gestión de las becas y ayudas al estudio en general (SSTC 188/2001 y 212/2005) o sobre el carácter territorializable de una concreta modalidad de becas y ayudas (STC 25/2015, relativa a las becas de movilidad), el presente conflicto ofrece la peculiaridad de que las partes no discrepan realmente sobre la titularidad autonómica de las competencias ejecutivas contempladas en las disposiciones impugnadas. Ambas partes reconocen, partiendo de la doctrina sentada en las citadas SSTC 188/2001 y 212/2005, que la gestión de las becas y ayudas al estudio de carácter general corresponde, según el marco constitucional y estatutario, a las Comunidades Autónomas. Si bien se reitera la reivindicación competencial con ocasión de algunas previsiones incluidas en el Real Decreto 609/2013 o de la nueva convocatoria de becas para el curso académico 2013-2014 que se contiene en la resolución, de lo que discrepan básicamente las partes es de si el mantenimiento prolongado e indefinido, que alcanzaría los quince años en el momento de redactar esta Sentencia, del ejercicio </w:t>
      </w:r>
      <w:r>
        <w:lastRenderedPageBreak/>
        <w:t>provisional por el Estado de unas competencias ejecutivas que ya se declararon de titularidad autonómica, debido a la falta de adopción de los correspondientes decretos de traspasos, resulta una situación compatible con nuestro orden competencial, así como de la posibilidad y, en su caso, de la forma de ponerle fin.</w:t>
      </w:r>
    </w:p>
    <w:p w:rsidR="00163957" w:rsidRDefault="00163957" w:rsidP="00163957">
      <w:pPr>
        <w:pStyle w:val="TextoNormal"/>
      </w:pPr>
    </w:p>
    <w:p w:rsidR="00163957" w:rsidRDefault="00163957" w:rsidP="00163957">
      <w:pPr>
        <w:pStyle w:val="TextoNormal"/>
      </w:pPr>
      <w:r>
        <w:t>La pretensión de la Generalitat de Cataluña no se limita, en suma, a que este Tribunal declare, como en casos anteriores, que el carácter pormenorizado de las bases vulnera la competencia autonómica y que la competencia de gestión, atribuida al Estado en los preceptos impugnados, corresponde a la Generalitat. Además de ello, formula en el suplico de su escrito, mediante su otrosí primero, la solicitud de que este Tribunal adopte, en aplicación de lo previsto en el art. 92 y concordantes de la Ley Orgánica del Tribunal Constitucional (LOTC), las medidas procedentes o, en su caso, señale un límite temporal “para que no se mantenga indefinidamente la actual situación de provisionalidad en la que el Estado, al no haber dictado los correspondientes y obligados Reales Decretos de transferencias en materia de becas y ayudas al estudio, realiza unas funciones ejecutivas que no le compete ejercer, incumpliendo lo que se declaró hace ya más de 12 años en la Sentencia TC 188/2001, de 20 de septiembre”. Dicho en otros términos, la reivindicación competencial articulada en el suplico es instrumental de lo que parece constituir la finalidad última del conflicto aquí deducido: que este Tribunal ponga fin a la situación anómala de ejercicio estatal de competencias de titularidad autonómica.</w:t>
      </w:r>
    </w:p>
    <w:p w:rsidR="00163957" w:rsidRDefault="00163957" w:rsidP="00163957">
      <w:pPr>
        <w:pStyle w:val="TextoNormal"/>
      </w:pPr>
    </w:p>
    <w:p w:rsidR="00163957" w:rsidRDefault="00163957" w:rsidP="00163957">
      <w:pPr>
        <w:pStyle w:val="TextoNormal"/>
      </w:pPr>
      <w:r>
        <w:t>No obstante, ni la indicada peculiaridad del conflicto ni el carácter en parte reiterativo de la reivindicación competencial que en él se deduce justifican que alteremos el contenido y el orden lógico de nuestro enjuiciamiento. Por tanto, en lo que sigue analizaremos la conformidad con el orden constitucional de las competencias atribuidas o ejercidas por el Estado en los preceptos impugnados, y solo entonces, si se concluye la disconformidad con el orden competencial de tales preceptos, abordaremos la otra pretensión que nos formula la Generalitat de Cataluña.</w:t>
      </w:r>
    </w:p>
    <w:p w:rsidR="00163957" w:rsidRDefault="00163957" w:rsidP="00163957">
      <w:pPr>
        <w:pStyle w:val="TextoNormal"/>
      </w:pPr>
    </w:p>
    <w:p w:rsidR="00163957" w:rsidRDefault="00163957" w:rsidP="00163957">
      <w:pPr>
        <w:pStyle w:val="TextoNormal"/>
      </w:pPr>
      <w:r w:rsidRPr="00163957">
        <w:rPr>
          <w:rStyle w:val="NumeroAFNegritaCaracter"/>
        </w:rPr>
        <w:t>3</w:t>
      </w:r>
      <w:r>
        <w:t>. Expuesto el contenido de los actos y el alcance de la impugnación que se dirige contra ellos, debemos constatar que ninguna duda plantea su encuadramiento competencial. Con apoyo en la doctrina de las SSTC 188/2001 y 212/2005, ambas partes coinciden en considerar que el encuadramiento de estas ayudas ha de realizarse en la materia de educación. Ese criterio no puede sino confirmarse pues tal es la conclusión que alcanzamos en las citadas Sentencias, así como en la más reciente STC 25/2015, de 19 de febrero, que versó sobre otro conflicto de competencia promovido por la misma parte procesal en relación con el Real Decreto 1721/2007, de 21 de diciembre, por el que se establece el régimen de las becas y ayudas al estudio personalizadas, que es justamente la disposición general desarrollada para el curso escolar 2013-2014 y parcialmente modificada por el Real Decreto 609/2013 objeto del presente conflicto.</w:t>
      </w:r>
    </w:p>
    <w:p w:rsidR="00163957" w:rsidRDefault="00163957" w:rsidP="00163957">
      <w:pPr>
        <w:pStyle w:val="TextoNormal"/>
      </w:pPr>
    </w:p>
    <w:p w:rsidR="00163957" w:rsidRDefault="00163957" w:rsidP="00163957">
      <w:pPr>
        <w:pStyle w:val="TextoNormal"/>
      </w:pPr>
      <w:r>
        <w:t xml:space="preserve">A los efectos de este proceso será bastante recordar que el título competencial estatal a tener en cuenta es el del art. 149.1.30 CE, y que este precepto reserva al Estado el establecimiento de las normas básicas para el desarrollo del art. 27 CE, a fin de garantizar las obligaciones de los poderes públicos en esta materia. Dicha competencia estatal se relaciona con las autonómicas que, sobre las becas y ayudas al estudio en la enseñanza no universitaria y universitaria, se recogen, respectivamente, en los arts. 131.1.3 d) y 172.1 g) EAC, las </w:t>
      </w:r>
      <w:r>
        <w:lastRenderedPageBreak/>
        <w:t>cuales han de ser entendidas con el sentido y el alcance que ya expresamos en la STC 31/2010, de 28 de junio, FFJJ 77 y 108.</w:t>
      </w:r>
    </w:p>
    <w:p w:rsidR="00163957" w:rsidRDefault="00163957" w:rsidP="00163957">
      <w:pPr>
        <w:pStyle w:val="TextoNormal"/>
      </w:pPr>
    </w:p>
    <w:p w:rsidR="00163957" w:rsidRDefault="00163957" w:rsidP="00163957">
      <w:pPr>
        <w:pStyle w:val="TextoNormal"/>
      </w:pPr>
      <w:r w:rsidRPr="00163957">
        <w:rPr>
          <w:rStyle w:val="NumeroAFNegritaCaracter"/>
        </w:rPr>
        <w:t>4</w:t>
      </w:r>
      <w:r>
        <w:t>. La primera cuestión objeto del conflicto es la regulación de la gestión por el Estado de la llamada cuantía variable por el art. 5, apartados 1 y 2, y la disposición final segunda, apartados 3 y 18 del Real Decreto 609/2013, y los arts. 1.1, 2.4 y 50, apartados 6 y 7, y la disposición transitoria primera, apartado 2, de la resolución de 13 de agosto de 2013.</w:t>
      </w:r>
    </w:p>
    <w:p w:rsidR="00163957" w:rsidRDefault="00163957" w:rsidP="00163957">
      <w:pPr>
        <w:pStyle w:val="TextoNormal"/>
      </w:pPr>
    </w:p>
    <w:p w:rsidR="00163957" w:rsidRDefault="00163957" w:rsidP="00163957">
      <w:pPr>
        <w:pStyle w:val="TextoNormal"/>
      </w:pPr>
      <w:r>
        <w:t>En los apartados 1 y 2 del art. 5 del Real Decreto se regula la gestión por el Ministerio de Educación, Cultura y Deporte de la parte de los recursos asignados para la convocatoria del curso escolar 2013-2014 de becas y ayudas al estudio de carácter general que se destina a la llamada “cuantía variable”, parte de la beca que se distribuye entre los solicitantes en función de la renta familiar y del rendimiento académico y cuyo importe global se obtiene una vez satisfechas las becas básicas y las cuantías fijas ligadas a la renta y a la residencia del solicitante. La nueva estructura de las becas en las enseñanzas postobligatorias, compuestas de cuantías fijas y variables, se introduce no solo para el curso académico 2013-2014, sino también en la regulación general contenida en el Real Decreto 1721/2007 por medio de la disposición final segunda del Real Decreto 609/2013. De hecho, el conflicto se deduce también en relación con los apartados 3 y 18 de la disposición final segunda del Real Decreto 609/2013 y los arts. 1.1, 2.4 y 50, apartados 6 y 7, y la disposición transitoria primera, apartado 2, de la resolución de 13 de agosto de 2013. Por ello, la impugnación de los mencionados preceptos será abordada de forma conjunta.</w:t>
      </w:r>
    </w:p>
    <w:p w:rsidR="00163957" w:rsidRDefault="00163957" w:rsidP="00163957">
      <w:pPr>
        <w:pStyle w:val="TextoNormal"/>
      </w:pPr>
    </w:p>
    <w:p w:rsidR="00163957" w:rsidRDefault="00163957" w:rsidP="00163957">
      <w:pPr>
        <w:pStyle w:val="TextoNormal"/>
      </w:pPr>
      <w:r>
        <w:t>La representación procesal de la Generalitat sostiene que esa nueva regulación vacía de contenido la competencia autonómica en la materia y desperdicia la oportunidad de configurar un sistema que armonice los principios de igualdad en las condiciones básicas y de respeto por la diversidad autonómica, lo que se podría conseguir si el Estado, a la par que establece por igual en todo el territorio las cuantías, permitiera que las Comunidades Autónomas competentes decidieran sobre los criterios de distribución de la cuantía variable en su respectivo ámbito territorial, respetando siempre y en todo caso el importe que fije el Gobierno del Estado como mínimo y/o máximo para cada curso académico. Asimismo, rechaza como básica una regulación pormenorizada cuya aplicación tiene, además, carácter eventual: lo básico, a su juicio, debe quedar referido a los componentes fijos de las becas y al establecimiento del importe mínimo y/o máximo de la cuantía variable, pero no más allá, mientras que a las Comunidades Autónomas les correspondería la aplicación de la cuantía variable en su respectivo territorio, ponderando los componentes de la fórmula prevista y determinando el porcentaje del importe que se destinará a los estudiantes universitarios y no universitarios, pues la oportuna “atención a las peculiaridades territoriales” (STC 188/2001, FJ 11) podría consistir en permitir esa modulación. Por su parte, el Abogado del Estado rechaza el pretendido exceso de regulación y argumenta que si la regulación de la cuantía de las becas constituye un aspecto básico, ello se ha de extender a todo su concepto y que el carácter variable de una cuantía puede resultar un elemento discriminatorio si no se sujeta a parámetros normativos.</w:t>
      </w:r>
    </w:p>
    <w:p w:rsidR="00163957" w:rsidRDefault="00163957" w:rsidP="00163957">
      <w:pPr>
        <w:pStyle w:val="TextoNormal"/>
      </w:pPr>
    </w:p>
    <w:p w:rsidR="00163957" w:rsidRDefault="00163957" w:rsidP="00163957">
      <w:pPr>
        <w:pStyle w:val="TextoNormal"/>
      </w:pPr>
      <w:r>
        <w:t xml:space="preserve">Para la adecuada resolución de esta impugnación debemos diferenciar dos quejas que se superponen en el escrito de la Generalitat: la queja dirigida al alcance de lo básico, al regular la cuantía variable, que examinaremos en este fundamento jurídico, y la queja dirigida a la </w:t>
      </w:r>
      <w:r>
        <w:lastRenderedPageBreak/>
        <w:t>gestión estatal de esa cuantía, que examinaremos en un fundamento jurídico ulterior. Sentado esto, para determinar, si a la vista de las competencias del Estado y de la Comunidad Autónoma, se ha producido o no la vulneración competencial denunciada, debemos tomar como parámetro la abundante doctrina constitucional en materia de subvenciones. Doctrina que, para su mejor aplicación, quedó recopilada en la STC 13/1992, de 6 de febrero, y que, como recordó la STC 38/2012, de 26 de marzo, FJ 4, pese al carácter abierto del esquema en el que se insertan, sigue siendo referente constante en nuestra doctrina posterior.</w:t>
      </w:r>
    </w:p>
    <w:p w:rsidR="00163957" w:rsidRDefault="00163957" w:rsidP="00163957">
      <w:pPr>
        <w:pStyle w:val="TextoNormal"/>
      </w:pPr>
    </w:p>
    <w:p w:rsidR="00163957" w:rsidRDefault="00163957" w:rsidP="00163957">
      <w:pPr>
        <w:pStyle w:val="TextoNormal"/>
      </w:pPr>
      <w:r>
        <w:t>A este respecto la STC 212/2005, de 21 de julio, FJ 6 a), citando la STC 188/2001, de 20 de septiembre, FJ 7, señaló lo siguiente: “en relación con las ayudas o subvenciones incorporadas a los Presupuestos Generales del Estado, hemos manifestado que no existe una competencia subvencional diferenciada resultante de la potestad financiera del Estado, o, lo que es lo mismo, que el Estado ... no dispone de un poder general para subvenciones (gasto público), entendido como poder libre o desvinculado del orden competencial (STC 13/1992, de 6 de febrero, FFJJ 4 y 6). En los fundamentos jurídicos 7 y 8 de esa misma Sentencia hemos advertido que, cuando el Estado ostenta un título competencial genérico de intervención que se superpone a la competencia de las Comunidades Autónomas sobre una materia, aun si ésta se califica de exclusiva, o bien tiene competencia sobre las bases o la coordinación general de un sector o materia, correspondiendo a las Comunidades Autónomas las competencias de desarrollo normativo y de ejecución, puede consignar subvenciones de fomento en sus Presupuestos Generales, especificando su destino y regulando sus condiciones esenciales de otorgamiento hasta donde lo permita su competencia genérica, básica o de coordinación, pero siempre que deje un margen a las Comunidades Autónomas para concretar con mayor detalle la afectación o destino o, al menos, para desarrollar o complementar la regulación de las condiciones de otorgamiento de las ayudas y su tramitación y siempre que respete las competencias exclusivas de ejecución y gestión que corresponda a las Comunidades Autónomas, salvo que la naturaleza de la medida haga imprescindible la gestión directa y centralizada para asegurar su plena efectividad dentro de la ordenación básica del sector, para garantizar iguales posibilidades de obtención y disfrute por parte de sus potenciales destinatarios en todo el territorio nacional o, por último, cuando dicha centralización sea un medio necesario para evitar que se sobrepase la cuantía global de los fondos destinados a la subvención. En todo caso, la necesidad de la gestión centralizada debe aparecer razonablemente justificada o deducirse sin esfuerzo de la naturaleza y contenido de la medida de fomento de que se trate (STC 91/1992, de 11 de junio)”.</w:t>
      </w:r>
    </w:p>
    <w:p w:rsidR="00163957" w:rsidRDefault="00163957" w:rsidP="00163957">
      <w:pPr>
        <w:pStyle w:val="TextoNormal"/>
      </w:pPr>
    </w:p>
    <w:p w:rsidR="00163957" w:rsidRDefault="00163957" w:rsidP="00163957">
      <w:pPr>
        <w:pStyle w:val="TextoNormal"/>
      </w:pPr>
      <w:r>
        <w:t>Comenzando, como quedó dicho, con la queja dirigida al alcance de lo básico, la Generalitat de Cataluña no discute que al Estado le corresponda establecer las condiciones esenciales de otorgamiento de las becas y ayudas al estudio, aunque defiende su preferencia por un modelo de ordenación de la cuantía variable que otorgara un mayor protagonismo normativo a las Comunidades Autónomas competentes. Su afirmación de que la regulación estatal de la cuantía variable vulnera en este punto las competencias autonómicas no se sustenta más que en dos escuetas alusiones que apenas desarrolla: el carácter pormenorizado de la regulación y su carácter eventual. Los dos argumentos han de ser rechazados.</w:t>
      </w:r>
    </w:p>
    <w:p w:rsidR="00163957" w:rsidRDefault="00163957" w:rsidP="00163957">
      <w:pPr>
        <w:pStyle w:val="TextoNormal"/>
      </w:pPr>
    </w:p>
    <w:p w:rsidR="00163957" w:rsidRDefault="00163957" w:rsidP="00163957">
      <w:pPr>
        <w:pStyle w:val="TextoNormal"/>
      </w:pPr>
      <w:r>
        <w:t xml:space="preserve">Conforme a la jurisprudencia de este Tribunal, la competencia estatal para regular las condiciones esenciales del otorgamiento de las becas y ayudas al estudio alcanza hasta donde lo permita la competencia sustantiva ejercida, en el presente supuesto hasta donde lo permita la competencia estatal sobre las normas básicas para el desarrollo del art. 27 CE </w:t>
      </w:r>
      <w:r>
        <w:lastRenderedPageBreak/>
        <w:t>(art. 149.1.30 CE), o, como viene reiterando nuestra doctrina, “hasta donde sea imprescindible para garantizar el cumplimiento por los poderes públicos de sus deberes en esta materia (art. 149.1.30 CE), y resulte necesario para conseguir la finalidad deseada y garantizar una política educativa homogénea para todo el territorio nacional” [SSTC 188/2001, FJ 10 a); 212/2005, FJ 9, y 25/2015, FJ 3]. Es evidente que el Estado es competente para decidir el modelo de otorgamiento de las ayudas, y es lo que ha llevado a cabo el Gobierno, al adoptar el Real Decreto 609/2013, de acuerdo con sus competencias, a implantar a partir del curso académico 2013-2014 un modelo de becas basado en varios componentes fijos y en un componente variable. Nada de lo indicado por el escrito de la Generalitat permite sostener que, al regular ese componente variable, el Gobierno, ha ido más allá de lo que le facultan sus competencias; ni nada permite fundamentar la tesis de que el Gobierno solo podría prever el componente variable y tendría forzosamente que dejar su plena determinación a las Comunidades Autónomas. Tampoco la determinación por el Ministerio de Educación, Cultura y Deporte del porcentaje destinado a cuantía variable que corresponderá a los estudiantes universitarios, por un lado, y a los estudiantes no universitarios, por otro, excede de lo básico, pues está intrínsecamente vinculada a la decisión del destino de las ayudas que se incardina en la competencia legislativa básica del Estado. Quizás puedan concebirse otras fórmulas para articular la competencia legislativa básica y la competencia autonómica de desarrollo legislativo en esta materia, pero lo decisivo en el presente proceso constitucional es que la opción del legislador estatal entra plenamente dentro de sus competencias. Por todo ello, ha de concluirse que el establecimiento del régimen normativo aplicable a la cuantía variable no afecta a las competencias de desarrollo legislativo de la Generalitat de Cataluña.</w:t>
      </w:r>
    </w:p>
    <w:p w:rsidR="00163957" w:rsidRDefault="00163957" w:rsidP="00163957">
      <w:pPr>
        <w:pStyle w:val="TextoNormal"/>
      </w:pPr>
    </w:p>
    <w:p w:rsidR="00163957" w:rsidRDefault="00163957" w:rsidP="00163957">
      <w:pPr>
        <w:pStyle w:val="TextoNormal"/>
      </w:pPr>
      <w:r>
        <w:t>Tampoco el carácter eventual de la cuantía variable, así considerada en cuanto que depende de que los componentes fijos de las becas no agoten la totalidad de los recursos asignados a esta finalidad en los presupuestos generales del Estado, es un argumento del que puedan extraer consecuencias sobre la extensión de lo básico, pues en último término sería extensible a toda la actividad de fomento: las ayudas están siempre condicionadas a la existencia de un crédito adecuado y suficiente para atenderlas, como a menudo se encargan de recordar sus normas reguladoras y, en todo caso, proclama con carácter general el art. 9.4 d) de la Ley general de subvenciones, de forma que bastaría la invocación de esa regla —que es expresión del principio constitucional de legalidad presupuestaria (art. 134.2 CE)— para excluir el carácter básico de la regulación de las condiciones esenciales de otorgamiento de las ayudas en cualquier materia que se rija por el esquema bases/desarrollo.</w:t>
      </w:r>
    </w:p>
    <w:p w:rsidR="00163957" w:rsidRDefault="00163957" w:rsidP="00163957">
      <w:pPr>
        <w:pStyle w:val="TextoNormal"/>
      </w:pPr>
    </w:p>
    <w:p w:rsidR="00163957" w:rsidRDefault="00163957" w:rsidP="00163957">
      <w:pPr>
        <w:pStyle w:val="TextoNormal"/>
      </w:pPr>
      <w:r>
        <w:t>A la luz de las consideraciones realizadas y teniendo en cuenta la escasa argumentación con la que los recurrentes acompañan la impugnación en este punto, la misma ha de ser desestimada.</w:t>
      </w:r>
    </w:p>
    <w:p w:rsidR="00163957" w:rsidRDefault="00163957" w:rsidP="00163957">
      <w:pPr>
        <w:pStyle w:val="TextoNormal"/>
      </w:pPr>
    </w:p>
    <w:p w:rsidR="00163957" w:rsidRDefault="00163957" w:rsidP="00163957">
      <w:pPr>
        <w:pStyle w:val="TextoNormal"/>
      </w:pPr>
      <w:r w:rsidRPr="00163957">
        <w:rPr>
          <w:rStyle w:val="NumeroAFNegritaCaracter"/>
        </w:rPr>
        <w:t>5</w:t>
      </w:r>
      <w:r>
        <w:t>. Por lo que respecta a la otra impugnación señalada, el ejercicio estatal de competencias ejecutivas en relación con la gestión de la cuantía variable, el punto de partida debe ser, como viene afirmando nuestra reiterada doctrina, la competencia autonómica.</w:t>
      </w:r>
    </w:p>
    <w:p w:rsidR="00163957" w:rsidRDefault="00163957" w:rsidP="00163957">
      <w:pPr>
        <w:pStyle w:val="TextoNormal"/>
      </w:pPr>
    </w:p>
    <w:p w:rsidR="00163957" w:rsidRDefault="00163957" w:rsidP="00163957">
      <w:pPr>
        <w:pStyle w:val="TextoNormal"/>
      </w:pPr>
      <w:r>
        <w:t xml:space="preserve">En la STC 188/2001, FJ 11, establecimos un criterio, luego confirmado en la SSTC 212/2005, FJ 10 a), y 25/2015, FJ 3, según el cual, resultaban contrarias a las competencias de gestión de la Generalitat de Cataluña las disposiciones estatales allí examinadas “que centralizan operaciones de tramitación de las becas, pues las mismas deben ser realizadas </w:t>
      </w:r>
      <w:r>
        <w:lastRenderedPageBreak/>
        <w:t>por aquella”. Dicho en otros términos, estimamos que nos encontrábamos en uno de los casos a los que se refiere la STC 13/1992 en su fundamento jurídico 8 b), conforme al cual “la competencia del Estado para dictar normas básicas (en este caso, en desarrollo del art. 27 CE) le permite consignar subvenciones de fomento en sus presupuestos generales, especificando su destino y regulando sus condiciones esenciales de otorgamiento hasta donde lo permita su competencia genérica, básica o de coordinación” [STC 188/2001, FJ 10 a), reiterado en las SSTC 212/2005, FJ 9; y 25/2015, FJ 3]. Por el contrario, descartamos que resultará procedente la centralización aludida en la doctrina de este Tribunal contenida en la citada STC 13/1992, FJ 8 d), la cual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w:t>
      </w:r>
      <w:r w:rsidRPr="00163957">
        <w:rPr>
          <w:i/>
        </w:rPr>
        <w:t>ibidem</w:t>
      </w:r>
      <w:r>
        <w:t>).</w:t>
      </w:r>
    </w:p>
    <w:p w:rsidR="00163957" w:rsidRDefault="00163957" w:rsidP="00163957">
      <w:pPr>
        <w:pStyle w:val="TextoNormal"/>
      </w:pPr>
    </w:p>
    <w:p w:rsidR="00163957" w:rsidRDefault="00163957" w:rsidP="00163957">
      <w:pPr>
        <w:pStyle w:val="TextoNormal"/>
      </w:pPr>
      <w:r>
        <w:t>Como sintetizamos en la STC 25/2015, FJ 4, “la centralización de la funciones de ejecución sólo puede tener lugar, como venimos insistiendo, en supuestos excepcionales que aparezcan plenamente justificados, ya que la regla ha de ser la de que las Comunidades Autónomas competentes gestionen las subvenciones en materias en las que, como la educación, ostentan competencias de desarrollo normativo y ejecución de las bases estatales, incluso cuando tal ejecución pueda tener un alcance supraterritorial, pues es responsabilidad del Estado en estos casos fijar los puntos de conexión que permitan la ejecución autonómica de las medidas”.</w:t>
      </w:r>
    </w:p>
    <w:p w:rsidR="00163957" w:rsidRDefault="00163957" w:rsidP="00163957">
      <w:pPr>
        <w:pStyle w:val="TextoNormal"/>
      </w:pPr>
    </w:p>
    <w:p w:rsidR="00163957" w:rsidRDefault="00163957" w:rsidP="00163957">
      <w:pPr>
        <w:pStyle w:val="TextoNormal"/>
      </w:pPr>
      <w:r>
        <w:t>El debate trabado entre las partes, una vez encuadradas competencialmente las ayudas controvertidas en la materia educación, se centra entonces en determinar el supuesto que, de los dos que acabamos de citar, resulta de aplicación a la gestión de la cuantía variable de las becas. En otros términos, lo que habremos de determinar ahora, en relación específicamente con la cuantía variable de las becas y ayudas al estudio, es si, por excepción a la regla general que deriva de la doctrina anteriormente expuesta, concurren aquí razones que justifiquen la ejecución administrativa centralizada. Ahora bien, siempre que se trate realmente de aspectos relacionados con la gestión, y no con el establecimiento del régimen normativo aplicable a las becas y ayudas al estudio consignadas en los presupuestos estatales.</w:t>
      </w:r>
    </w:p>
    <w:p w:rsidR="00163957" w:rsidRDefault="00163957" w:rsidP="00163957">
      <w:pPr>
        <w:pStyle w:val="TextoNormal"/>
      </w:pPr>
    </w:p>
    <w:p w:rsidR="00163957" w:rsidRDefault="00163957" w:rsidP="00163957">
      <w:pPr>
        <w:pStyle w:val="TextoNormal"/>
      </w:pPr>
      <w:r>
        <w:t xml:space="preserve">Antes de examinar la conformidad constitucional de las funciones que se atribuye el Estado en los preceptos impugnados, debemos realizar unas consideraciones sobre el funcionamiento de la cuantía variable. A diferencia de otros supuestos de becas o ayudas analizados por este Tribunal, la peculiaridad no estriba aquí en la finalidad de la ayuda, sino en el carácter variable de un componente de la beca al estudio (o de una parte de los fondos asignados a dicho fin). El carácter variable de la cuantía no se refiere a que su otorgamiento efectivo dependa de la disponibilidad de fondos una vez satisfecha la cuantía fija de las becas para todos los solicitantes, sino a que esos fondos restantes, de existir, se distribuyen entre los solicitantes con derecho a cuantía variable considerando el rendimiento académico y la renta per cápita del solicitante. Dicho de una manera sencilla, el dinero disponible para </w:t>
      </w:r>
      <w:r>
        <w:lastRenderedPageBreak/>
        <w:t>la cuantía variable se reparte entre todos los solicitantes con derecho a dicha cuantía variable, recibiendo más quienes acrediten un mayor rendimiento académico y al mismo tiempo un menor nivel de renta, y menos quienes acrediten un menor rendimiento académico o un mayor nivel de renta y, sobre todo, ambas circunstancias al mismo tiempo. En cualquier caso, la cuantía mínima para quienes sean beneficiarios de la cuantía variable es siempre de 60 €.</w:t>
      </w:r>
    </w:p>
    <w:p w:rsidR="00163957" w:rsidRDefault="00163957" w:rsidP="00163957">
      <w:pPr>
        <w:pStyle w:val="TextoNormal"/>
      </w:pPr>
    </w:p>
    <w:p w:rsidR="00163957" w:rsidRDefault="00163957" w:rsidP="00163957">
      <w:pPr>
        <w:pStyle w:val="TextoNormal"/>
      </w:pPr>
      <w:r>
        <w:t>Desde el punto de vista administrativo, aunque la solicitud de beca del estudiante es única, si el estudiante cumple los requisitos académicos y económicos exigidos y no es denegada por uno de esos motivos, el procedimiento de otorgamiento se divide en dos resoluciones parciales, una referida a la cuantía fija y otra referida a la cuantía variable. De la cuantía variable se puede realizar una asignación provisional. De acuerdo con el art. 5.2 del Real Decreto 609/2013, para el cálculo del importe a distribuir de forma provisional para las cuantías variables, se tendrá en cuenta el importe de los recursos asignados a la convocatoria disponibles una vez asignados los importes que correspondan a las cuantías fijas en relación con el número de las solicitudes tramitadas en la convocatoria en curso. Esa distribución provisional le compete al Ministerio de Educación, Cultura y Deporte. Finalmente, una vez recibidas en el Ministerio todas las solicitudes tramitadas por las Comunidades Autónomas y las Universidades, el Ministerio procede a realizar la distribución del 100 por 100 de la cuantía variable entre todas las solicitudes con derecho a la cuantía variable.</w:t>
      </w:r>
    </w:p>
    <w:p w:rsidR="00163957" w:rsidRDefault="00163957" w:rsidP="00163957">
      <w:pPr>
        <w:pStyle w:val="TextoNormal"/>
      </w:pPr>
    </w:p>
    <w:p w:rsidR="00163957" w:rsidRDefault="00163957" w:rsidP="00163957">
      <w:pPr>
        <w:pStyle w:val="TextoNormal"/>
      </w:pPr>
      <w:r>
        <w:t>El Abogado del Estado defiende la adecuación constitucional de la atribución de la competencia de ejecución al Estado que contemplan los preceptos impugnados con dos argumentos distintos y excluyentes: por un lado, alega que el marco de cooperación administrativa en el ámbito de la gestión, articulado mediante convenios de colaboración con las Comunidades Autónomas, satisface las exigencias de la jurisprudencia constitucional, en particular porque solo se reservan al Ministerio de Educación las actividades internas de ordenación de los flujos financieros hacia las Administraciones educativas y, una vez realizados los libramientos, corresponde a la Generalitat de Cataluña la resolución de concesión y el pago del componente variable de la beca; por otro, se argumenta que la ejecución estatal es necesaria para garantizar la eficacia de las medidas y evitar el agotamiento de los fondos autorizados.</w:t>
      </w:r>
    </w:p>
    <w:p w:rsidR="00163957" w:rsidRDefault="00163957" w:rsidP="00163957">
      <w:pPr>
        <w:pStyle w:val="TextoNormal"/>
      </w:pPr>
    </w:p>
    <w:p w:rsidR="00163957" w:rsidRDefault="00163957" w:rsidP="00163957">
      <w:pPr>
        <w:pStyle w:val="TextoNormal"/>
      </w:pPr>
      <w:r>
        <w:t xml:space="preserve">a) Empezaremos por atender al primer argumento alegado, pues, si el marco diseñado fuera efectivamente compatible con la jurisprudencia constitucional, no sería ya necesario atender al segundo argumento. Del Real Decreto 609/2013 y de la resolución de 13 de agosto de 2013 se desprende que la Administración general del Estado se reserva expresamente las siguientes funciones ejecutivas en relación con la concesión y gestión de la cuantía variable de las becas: la convocatoria de las ayudas (art. 1 de la resolución impugnada), la distribución provisional del 50 por 100 de la cuantía variable (art. 5.2 Real Decreto 609/2013 y art. 2.4 de la resolución impugnada), la distribución definitiva del 100 por 100 de la cuantía variable (art. 5.2 Real Decreto 609/2013), que incluye tanto la elevación de la propuesta de concesión de las cuantías variables (art. 50.7 de la resolución impugnada) como la resolución definitiva de la convocatoria por el Secretario de Estado de Educación, Formación y Universidades (art. 50.7 de la resolución impugnada). Y, desde otra perspectiva, tales funciones vienen contempladas por la disposición transitoria primera de la resolución, en la que se contempla la posibilidad de que, mediante los oportunos convenios de </w:t>
      </w:r>
      <w:r>
        <w:lastRenderedPageBreak/>
        <w:t>colaboración con el Ministerio de Educación, Cultura y Deporte, las Comunidades Autónomas puedan realizar, respecto de las becas que se convocan por la presente convocatoria, con la salvedad de determinadas modalidades, las funciones, de tramitación, adjudicación y pago, así como la inspección, verificación, control y resolución de los recursos administrativos que puedan interponerse. Así pues, si no media convenio de colaboración, no se prevé intervención autonómica alguna, por lo que no hay duda de que las normas impugnadas parten de la atribución al Estado de la totalidad de las funciones ejecutivas en el ámbito de la gestión de las ayudas.</w:t>
      </w:r>
    </w:p>
    <w:p w:rsidR="00163957" w:rsidRDefault="00163957" w:rsidP="00163957">
      <w:pPr>
        <w:pStyle w:val="TextoNormal"/>
      </w:pPr>
    </w:p>
    <w:p w:rsidR="00163957" w:rsidRDefault="00163957" w:rsidP="00163957">
      <w:pPr>
        <w:pStyle w:val="TextoNormal"/>
      </w:pPr>
      <w:r>
        <w:t>En suma, el argumento del Abogado del Estado de que la celebración de los convenios de colaboración, prevista en la propia resolución de convocatoria de las ayudas para el curso 2013-2014 (disposición transitoria primera), garantiza un resultado acorde con la distribución competencial no puede acogerse. Con independencia de que no se haya acreditado que se haya materializado efectivamente dicha posibilidad, celebrando el oportuno convenio de colaboración con la Comunidad Autónoma de Cataluña, lo cierto es que el régimen del convenio de colaboración que prevé el apartado 2 de la disposición transitoria primera de la resolución de convocatoria excluye expresamente determinadas facultades ejecutivas, limitación frente a la cual también se dirige el presente conflicto de competencia. En cualquier caso, la razón determinante para rechazar la argumentación del Abogado del Estado es que la celebración de un convenio de colaboración no es un requisito constitucionalmente exigible para poder ejercer competencias que, en virtud del bloque de constitucionalidad, corresponden a uno de los poderes públicos territoriales; lo que la Comunidad Autónoma recurrente reivindica mediante el presente conflicto de competencia es precisamente el ejercicio competencial directo, sin la mediación de convenio alguno.</w:t>
      </w:r>
    </w:p>
    <w:p w:rsidR="00163957" w:rsidRDefault="00163957" w:rsidP="00163957">
      <w:pPr>
        <w:pStyle w:val="TextoNormal"/>
      </w:pPr>
    </w:p>
    <w:p w:rsidR="00163957" w:rsidRDefault="00163957" w:rsidP="00163957">
      <w:pPr>
        <w:pStyle w:val="TextoNormal"/>
      </w:pPr>
      <w:r>
        <w:t>b) Así pues, procede examinar la otra explicación aducida: si, como alega el Abogado del Estado, la centralización de las funciones ejecutivas está en este caso justificada, como excepción a la regla general, en el argumento de la necesidad de garantizar la eficacia del sistema y evitar el agotamiento de los fondos autorizados.</w:t>
      </w:r>
    </w:p>
    <w:p w:rsidR="00163957" w:rsidRDefault="00163957" w:rsidP="00163957">
      <w:pPr>
        <w:pStyle w:val="TextoNormal"/>
      </w:pPr>
    </w:p>
    <w:p w:rsidR="00163957" w:rsidRDefault="00163957" w:rsidP="00163957">
      <w:pPr>
        <w:pStyle w:val="TextoNormal"/>
      </w:pPr>
      <w:r>
        <w:t xml:space="preserve">El argumento no puede compartirse de acuerdo con nuestra doctrina reiterada en materia de becas. Tal como expusimos en la STC 25/2015, FJ 4, “[n]uestra doctrina en materia de becas ya ha rechazado ‘que la subvención pueda centralizarse con el argumento de que ‘la territorialización de los créditos crearía compartimentos estancos por cada Comunidad Autónoma, posibilitando que resulten beneficiados en algunas de ellas quienes tuvieran peor derecho que otros posibles beneficiarios de otras Comunidades que, efectivamente, no recibieran la ayuda’, puesto que ‘las posibles dificultades previas pueden salvarse mediante diversas técnicas. En primer lugar, mediante una planificación que determine... el tipo de proyectos que deba ser objeto de la actuación estratégica. La información que al respecto posea el Estado, junto con la proveniente de las Comunidades Autónomas, permite alcanzar criterios objetivos para distribuir territorialmente los fondos presupuestarios, con lo cual no tienen por qué producirse quiebras relevantes en la garantía de alcanzarse las mismas posibilidades de obtención de la subvención en todo el territorio nacional. En segundo lugar, mediante el establecimiento de mecanismos de cooperación y coordinación, a través de los cuales puede garantizarse la eficacia de las medidas que constituyen el objeto del Plan.’” En la STC 188/2001 este Tribunal descartó en particular por injustificado el argumento de la necesidad de una lista única de solicitantes de beca para todo el territorio nacional, con el </w:t>
      </w:r>
      <w:r>
        <w:lastRenderedPageBreak/>
        <w:t>fin de evitar que posibles becarios con mejor derecho en una determinada Comunidad Autónoma dejen de percibir la ayuda en beneficio de otros en una Comunidad diferente. Esta fue nuestra argumentación para descartar dicho argumento: “esta posibilidad, que, de existir, sólo se daría en el último segmento de becarios de la lista única, puede ser obviada con facilidad, dejando sin distribuir entre las Comunidades Autónomas un porcentaje de los fondos, de modo que, mediante los oportunos instrumentos de colaboración y, específicamente, a través de mecanismos de coordinación (por todas, STC 32/1983, de 28 de abril, FJ 2), dichos fondos se canalicen hacia los becarios con mejor derecho con independencia de su localización territorial, o utilizando cualquier otra técnica que no implique la centralización del procedimiento de otorgamiento del sistema de becas, impidiendo la gestión autonómica de la normativa estatal básica” (FJ 11). En suma, en este contexto este Tribunal ha descartado de forma reiterada el carácter determinante del argumento del agotamiento de los fondos, puesto que pueden arbitrarse sistemas de cooperación que posibiliten el desplazamiento de los fondos (SSTC 186/1999, FJ 10; 188/2001, FJ 11, y 25/2015, FJ 4).</w:t>
      </w:r>
    </w:p>
    <w:p w:rsidR="00163957" w:rsidRDefault="00163957" w:rsidP="00163957">
      <w:pPr>
        <w:pStyle w:val="TextoNormal"/>
      </w:pPr>
    </w:p>
    <w:p w:rsidR="00163957" w:rsidRDefault="00163957" w:rsidP="00163957">
      <w:pPr>
        <w:pStyle w:val="TextoNormal"/>
      </w:pPr>
      <w:r>
        <w:t>Resulta entonces que no se ha aportado ninguna justificación que haga imprescindible la intervención estatal en el ámbito de la gestión final de las ayudas, actividad claramente discernible tanto de la determinación de las normas básicas del régimen de ayudas como de las tareas de consignación presupuestaria y de libramiento a las Comunidades Autónomas de los fondos que el Estado decida atribuir en cada ejercicio presupuestario a esta finalidad.</w:t>
      </w:r>
    </w:p>
    <w:p w:rsidR="00163957" w:rsidRDefault="00163957" w:rsidP="00163957">
      <w:pPr>
        <w:pStyle w:val="TextoNormal"/>
      </w:pPr>
    </w:p>
    <w:p w:rsidR="00163957" w:rsidRDefault="00163957" w:rsidP="00163957">
      <w:pPr>
        <w:pStyle w:val="TextoNormal"/>
      </w:pPr>
      <w:r>
        <w:t>c) El hecho de que en la disposición final primera del Real Decreto sometido a conflicto se invoque expresamente como título competencial habilitante para el Estado el contemplado en el art. 149.1.1 CE, además del previsto en el art. 149.1.30 CE, no enerva, como veremos a continuación, la anterior conclusión, pues la invocación meramente formal de un título competencial no puede bastar para desplazar la operatividad del supuesto previsto en el fundamento jurídico 8 b) de la STC 13/1992. Antes bien, una interpretación sistemática de los supuestos contemplados en la STC 13/1992 nos lleva a entender que el título estatal invocado de manera formal debe existir también materialmente pues, de lo contrario, se correría el riego de vaciar de contenido este primer supuesto en aquellos casos en los que el Estado invocase indebidamente un título competencial. Ello nos obliga a pronunciarnos sobre la suficiencia, en el presente caso, del referido título competencial invocado por el Real Decreto sometido a conflicto.</w:t>
      </w:r>
    </w:p>
    <w:p w:rsidR="00163957" w:rsidRDefault="00163957" w:rsidP="00163957">
      <w:pPr>
        <w:pStyle w:val="TextoNormal"/>
      </w:pPr>
    </w:p>
    <w:p w:rsidR="00163957" w:rsidRDefault="00163957" w:rsidP="00163957">
      <w:pPr>
        <w:pStyle w:val="TextoNormal"/>
      </w:pPr>
      <w:r>
        <w:t xml:space="preserve">En primer lugar, debemos recordar nuestra doctrina general sobre el art. 149.1.1 CE, de acuerdo con la cual dicho precepto constitucional “constituye un título competencial autónomo, positivo o habilitante, constreñido al ámbito normativo, lo que permite al Estado una regulación, aunque limitada a las condiciones básicas que garanticen la igualdad, que no el diseño completo y acabado de su régimen jurídico” [STC 61/1997, FJ 7 b)], si bien “no puede operar como una especie de título horizontal, capaz de introducirse en cualquier materia o sector del ordenamiento” (entre otras, SSTC 239/2002, de 11 de diciembre, FJ 10; 228/2003, de 18 de diciembre, FJ 10; y 150/2012, de 5 de julio, FJ 4). Esta doctrina nos ha llevado a rechazar que el art. 149.1.1 CE fuese un título competencial suficiente para justificar ayudas condicionadas a la realización municipal de proyectos que generen empleo y de actuaciones que tengan en cuenta la sostenibilidad social (STC 150/2012, de 5 de julio, FJ 4), ayudas en materia de asistencia social [SSTC 173/2012, de 15 de octubre, FJ 5 a), y </w:t>
      </w:r>
      <w:r>
        <w:lastRenderedPageBreak/>
        <w:t>177/2012, de 15 de octubre, FJ 5 a)] y ayudas para la realización de programas de cooperación y voluntariado sociales (SSTC 21/2013, de 31 de enero, FJ 5; y 70/2013, de 14 de marzo, FJ 4).</w:t>
      </w:r>
    </w:p>
    <w:p w:rsidR="00163957" w:rsidRDefault="00163957" w:rsidP="00163957">
      <w:pPr>
        <w:pStyle w:val="TextoNormal"/>
      </w:pPr>
    </w:p>
    <w:p w:rsidR="00163957" w:rsidRDefault="00163957" w:rsidP="00163957">
      <w:pPr>
        <w:pStyle w:val="TextoNormal"/>
      </w:pPr>
      <w:r>
        <w:t>En segundo lugar, debemos recordar nuestra doctrina particular sobre el art. 149.1.1 CE en el ámbito de las becas y ayudas al estudio. Así, en la STC 188/2001, FJ 13, cuya doctrina fue reiterada en la STC 212/2005, FJ 5, Sentencias invocadas por ambas partes, declaramos que “aunque el art. 149.1.1 CE, habilite al Estado junto con la normativa básica a que se refiere el art. 149.1.30 CE, para hacer efectiva la igualdad en el ejercicio del derecho a la educación”, aquella regla competencial no puede cobijar en puridad preceptos “que atribuyen a los órganos centrales del Estado competencias de carácter ejecutivo, pues aquel precepto constitucional está ‘constreñido al ámbito normativo’” o que, desde la perspectiva de su regulación material, “no respondan a lo que ha de ser el contenido sustantivo de las ‘condiciones básicas que garanticen la igualdad de todos los españoles en el ejercicio de los derechos y en el cumplimiento de los deberes constitucionales’”. Dichas condiciones básicas, dijimos entonces, “deben hacer referencia al contenido primario del derecho y a las posiciones jurídicas fundamentales relativas al mismo”, debiendo “distinguirse, de un lado, entre los elementos generales conformadores del derecho a obtener una beca, amparables en el art. 149.1.1 CE y alcanzados por la legislación orgánica y, cumpliendo determinadas exigencias, por la reglamentaria general, y, de otro, los criterios de política educativa que instrumentan coyunturalmente su acceso al mismo”. En la segunda categoría se incluye la regulación de todas aquellas cuestiones (estudios objeto de ayuda, modalidades de ayuda, cuantías de las ayudas, requisitos económicos y académicos, sistemas de baremación, etc.) que “no gozan de la estabilidad necesaria como para ser incluidos en el núcleo esencial del derecho a beca en cuanto condición de efectividad del derecho a la educación”.</w:t>
      </w:r>
    </w:p>
    <w:p w:rsidR="00163957" w:rsidRDefault="00163957" w:rsidP="00163957">
      <w:pPr>
        <w:pStyle w:val="TextoNormal"/>
      </w:pPr>
    </w:p>
    <w:p w:rsidR="00163957" w:rsidRDefault="00163957" w:rsidP="00163957">
      <w:pPr>
        <w:pStyle w:val="TextoNormal"/>
      </w:pPr>
      <w:r>
        <w:t>Trasladando los anteriores criterios al presente caso, debemos concluir que los preceptos controvertidos del Real Decreto 609/2013 atribuyen competencias ejecutivas a órganos centrales del Estado o bien regulan cuestiones accesorias a la regulación contenida en las diversas leyes orgánicas dictadas para el desarrollo del art. 27 CE y en el principal reglamento de desarrollo adoptado en materia de becas y ayudas al estudio —el Real Decreto 1721/2007— y que, incluso, por referirse a un único curso académico, están lógicamente dotados de provisionalidad en razón a posibles circunstancias cambiantes. Si los aspectos indicados del Real Decreto 609/2013 no permiten ser incluidos en el ámbito del art. 149.1.1 CE, tampoco puede serlo el resto de su contenido y, menos aún si cabe, la resolución de convocatoria de las ayudas de 13 de agosto de 2013.</w:t>
      </w:r>
    </w:p>
    <w:p w:rsidR="00163957" w:rsidRDefault="00163957" w:rsidP="00163957">
      <w:pPr>
        <w:pStyle w:val="TextoNormal"/>
      </w:pPr>
    </w:p>
    <w:p w:rsidR="00163957" w:rsidRDefault="00163957" w:rsidP="00163957">
      <w:pPr>
        <w:pStyle w:val="TextoNormal"/>
      </w:pPr>
      <w:r>
        <w:t>Por todo ello, debemos descartar que las ayudas objeto de conflicto, en general, y las competencias de gestión atribuidas a los órganos centrales del Estado por los preceptos impugnados, en particular, se puedan fundamentar en el título sobre la regulación de las condiciones básicas que garanticen la igualdad de todos los españoles en el ejercicio de los derechos y en el cumplimiento de los deberes constitucionales recogido en el art. 149.1.1 CE.</w:t>
      </w:r>
    </w:p>
    <w:p w:rsidR="00163957" w:rsidRDefault="00163957" w:rsidP="00163957">
      <w:pPr>
        <w:pStyle w:val="TextoNormal"/>
      </w:pPr>
    </w:p>
    <w:p w:rsidR="00163957" w:rsidRDefault="00163957" w:rsidP="00163957">
      <w:pPr>
        <w:pStyle w:val="TextoNormal"/>
      </w:pPr>
      <w:r>
        <w:t xml:space="preserve">d) Como consecuencia de todo lo anterior, procede declarar que la competencia controvertida corresponde a la Generalitat de Cataluña y que, en consecuencia, son inconstitucionales el art. 5.2 y la disposición final segunda, apartado 18, del Real Decreto 609/2013 y los arts. 1.1, 2.4 y 50, apartados 6 y 7, de la resolución de 13 de agosto de 2013, en la medida </w:t>
      </w:r>
      <w:r>
        <w:lastRenderedPageBreak/>
        <w:t>en que desconocen aquella competencia y atribuyen las facultades de gestión del componente variable de las becas al estudio a órganos de la Administración general del Estado.</w:t>
      </w:r>
    </w:p>
    <w:p w:rsidR="00163957" w:rsidRDefault="00163957" w:rsidP="00163957">
      <w:pPr>
        <w:pStyle w:val="TextoNormal"/>
      </w:pPr>
    </w:p>
    <w:p w:rsidR="00163957" w:rsidRDefault="00163957" w:rsidP="00163957">
      <w:pPr>
        <w:pStyle w:val="TextoNormal"/>
      </w:pPr>
      <w:r>
        <w:t>En cambio, no incurren en la referida vulneración competencial tres de las disposiciones impugnadas. En primer lugar, el apartado 3 de la disposición final segunda del Real Decreto 609/2013, en cuanto que únicamente establece las modalidades de las becas en las enseñanzas postobligatorias y, en consecuencia, no incide en la titularidad de las competencias de ejecución en la materia. En segundo lugar, el apartado 1 del art. 5 del Real Decreto 609/2013, pues se limita a regular los recursos destinados a cuantía variable, estando amparada en la competencia legislativa básica del Estado la decisión de qué porcentaje de los recursos disponibles para la cuantía variable se dedica a los estudiantes universitarios y qué porcentaje a los no universitarios. En tercer lugar, el apartado 2 de la disposición transitoria primera de la resolución impugnada, pues al limitarse a ordenar una solución provisional de ejercicio autonómico de la competencia mediante convenios de colaboración hasta que se celebren los debidos traspasos, no puede considerarse por su propio efecto vulneradora de la distribución competencial: el que determinadas tareas no puedan ser asumidas provisionalmente por las Comunidades Autónomas mediante los correspondientes convenios de colaboración será una limitación fruto de una solución provisional que el Estado ofrece libremente a las Comunidades Autónomas que estén interesadas, solución que podrá ser más o menos acertada, sin constituir por ello una invasión competencial con entidad propia, adicional a la que adolecen los demás preceptos impugnados.</w:t>
      </w:r>
    </w:p>
    <w:p w:rsidR="00163957" w:rsidRDefault="00163957" w:rsidP="00163957">
      <w:pPr>
        <w:pStyle w:val="TextoNormal"/>
      </w:pPr>
    </w:p>
    <w:p w:rsidR="00163957" w:rsidRDefault="00163957" w:rsidP="00163957">
      <w:pPr>
        <w:pStyle w:val="TextoNormal"/>
      </w:pPr>
      <w:r>
        <w:t>En cuanto al alcance que ha de tener la vulneración de competencias en que, según acabamos de ver, incurren los demás preceptos impugnados bajo este motivo de impugnación, dado que en su mayor parte ya han agotado sus efectos y dado que la declaración de su nulidad podría afectar a situaciones jurídicas consolidadas, tal y como hemos hecho en otros casos (SSTC 75/1989, de 21 de abril, 13/1992, de 6 de febrero, 79/1992, de 28 de mayo, 186/1999, de 14 de octubre, 26/2013, de 31 de enero, entre otras), con relación a dichos preceptos la pretensión de la Generalitat de Cataluña puede estimarse satisfecha mediante la declaración de titularidad de la competencia controvertida, sin necesidad de anularlos. Es el caso del art. 5, apartados 1 y 2, del Real Decreto 609/2013, los arts. 1.1, 2.4 y 50, apartados 6 y 7, y la disposición transitoria primera, apartado 2, de la resolución de 13 de agosto de 2013.</w:t>
      </w:r>
    </w:p>
    <w:p w:rsidR="00163957" w:rsidRDefault="00163957" w:rsidP="00163957">
      <w:pPr>
        <w:pStyle w:val="TextoNormal"/>
      </w:pPr>
    </w:p>
    <w:p w:rsidR="00163957" w:rsidRDefault="00163957" w:rsidP="00163957">
      <w:pPr>
        <w:pStyle w:val="TextoNormal"/>
      </w:pPr>
      <w:r>
        <w:t>Solo con respecto al apartado 18 de la disposición final segunda del Real Decreto 609/2013 y únicamente en cuanto que añade un párrafo d) al apartado 2 del art. 40 del Real Decreto 1721/2007, de 21 de diciembre, por el que se establece el régimen de las becas y ayudas personalizadas —precepto dotado de estabilidad pues se modifica con vocación indefinida—, la declaración de inconstitucionalidad debe acarrear también su nulidad.</w:t>
      </w:r>
    </w:p>
    <w:p w:rsidR="00163957" w:rsidRDefault="00163957" w:rsidP="00163957">
      <w:pPr>
        <w:pStyle w:val="TextoNormal"/>
      </w:pPr>
    </w:p>
    <w:p w:rsidR="00163957" w:rsidRDefault="00163957" w:rsidP="00163957">
      <w:pPr>
        <w:pStyle w:val="TextoNormal"/>
      </w:pPr>
      <w:r w:rsidRPr="00163957">
        <w:rPr>
          <w:rStyle w:val="NumeroAFNegritaCaracter"/>
        </w:rPr>
        <w:t>6</w:t>
      </w:r>
      <w:r>
        <w:t>. Otro precepto objeto del presente conflicto es el apartado 5 de la disposición adicional tercera del Real Decreto 609/2013, que establece la obligación de las Comunidades Autónomas de compensar a las universidades públicas por la diferencia entre el coste de la matrícula y la beca de matrícula que el Ministerio proporciona a los estudiantes.</w:t>
      </w:r>
    </w:p>
    <w:p w:rsidR="00163957" w:rsidRDefault="00163957" w:rsidP="00163957">
      <w:pPr>
        <w:pStyle w:val="TextoNormal"/>
      </w:pPr>
    </w:p>
    <w:p w:rsidR="00163957" w:rsidRDefault="00163957" w:rsidP="00163957">
      <w:pPr>
        <w:pStyle w:val="TextoNormal"/>
      </w:pPr>
      <w:r>
        <w:t xml:space="preserve">Como subraya el propio escrito rector del presente conflicto, la disposición adicional tercera traslada a la norma reglamentaria lo previsto en el art. 7.1 b) del Real Decreto-ley 14/2012, de 20 de abril, de medidas urgentes de racionalización del gasto público en el </w:t>
      </w:r>
      <w:r>
        <w:lastRenderedPageBreak/>
        <w:t>ámbito educativo, que obliga a la cofinanciación por las Comunidades Autónomas del sistema de becas adoptado por el Estado y que ha sido objeto de impugnación, entre otros, en el recurso de inconstitucionalidad núm. 301-2013 interpuesto por el Gobierno de la Generalitat de Catalunya, a cuyas alegaciones se remite el escrito.</w:t>
      </w:r>
    </w:p>
    <w:p w:rsidR="00163957" w:rsidRDefault="00163957" w:rsidP="00163957">
      <w:pPr>
        <w:pStyle w:val="TextoNormal"/>
      </w:pPr>
    </w:p>
    <w:p w:rsidR="00163957" w:rsidRDefault="00163957" w:rsidP="00163957">
      <w:pPr>
        <w:pStyle w:val="TextoNormal"/>
      </w:pPr>
      <w:r>
        <w:t>En la reciente STC 26/2016, de 18 de febrero, FJ 7, resolviendo una impugnación idéntica deducida contra el art. 7.1 del Real Decreto-ley 14/2012 en el recurso de inconstitucionalidad núm. 4528-2012 interpuesto por la Junta de Andalucía, este Tribunal declaró que, aun afectando a la autonomía financiera de las Comunidades Autónomas, el precepto legal no produce una injerencia inconstitucional, y ello por dos razones: por un lado, porque queda en manos de la propia Comunidad Autónoma la decisión previa de elevar los precios públicos universitarios, dentro de las horquillas legales fijadas por la legislación estatal, y porque la carga financiera a asumir se circunscribe sólo al incremento que se establezca sobre el precio mínimo de los créditos ECTS, que es el que cubre la Administración general del Estado; por otro lado, porque “desde un punto de vista global el impacto de esta medida en los presupuestos autonómicos puede llegar a ser positivo, al ser compensado con creces por el incremento general de los precios públicos de los estudios oficiales”, permitiendo así disminuir las transferencias anuales de las Comunidades Autónomas a su sistema universitario público. Por todo ello, concluimos que el art. 7.1 del Real Decreto-ley 14/2012 es “una medida de corresponsabilidad entre Administraciones públicas, que el Estado introduce como coordinador de las haciendas públicas (art. 156.1 CE), en una materia, como la regulación de las becas y ayudas al estudio en la que el Estado ostenta indiscutibles competencias”.</w:t>
      </w:r>
    </w:p>
    <w:p w:rsidR="00163957" w:rsidRDefault="00163957" w:rsidP="00163957">
      <w:pPr>
        <w:pStyle w:val="TextoNormal"/>
      </w:pPr>
    </w:p>
    <w:p w:rsidR="00163957" w:rsidRDefault="00163957" w:rsidP="00163957">
      <w:pPr>
        <w:pStyle w:val="TextoNormal"/>
      </w:pPr>
      <w:r>
        <w:t>En los términos expresados en la mencionada STC 26/2016, debemos declarar que el apartado 5 de la disposición adicional tercera del Real Decreto 609/2013 no es inconstitucional.</w:t>
      </w:r>
    </w:p>
    <w:p w:rsidR="00163957" w:rsidRDefault="00163957" w:rsidP="00163957">
      <w:pPr>
        <w:pStyle w:val="TextoNormal"/>
      </w:pPr>
    </w:p>
    <w:p w:rsidR="00163957" w:rsidRDefault="00163957" w:rsidP="00163957">
      <w:pPr>
        <w:pStyle w:val="TextoNormal"/>
      </w:pPr>
      <w:r w:rsidRPr="00163957">
        <w:rPr>
          <w:rStyle w:val="NumeroAFNegritaCaracter"/>
        </w:rPr>
        <w:t>7</w:t>
      </w:r>
      <w:r>
        <w:t>. Por lo que respecta a la impugnación de la disposición final primera que enuncia los títulos competenciales que habilitan al Estado para aprobar el Real Decreto 609/2013, dicha impugnación ha de resolverse en consonancia con las conclusiones alcanzadas en el fundamento jurídico 5 de esta Sentencia, procediendo, por tanto, la declaración de inconstitucionalidad y nulidad del inciso “1ª” de la mencionada disposición final, por cuanto que la competencia estatal contemplada en el art. 149.1.1 CE no ampara las disposiciones contenidas en dicho Real Decreto.</w:t>
      </w:r>
    </w:p>
    <w:p w:rsidR="00163957" w:rsidRDefault="00163957" w:rsidP="00163957">
      <w:pPr>
        <w:pStyle w:val="TextoNormal"/>
      </w:pPr>
    </w:p>
    <w:p w:rsidR="00163957" w:rsidRDefault="00163957" w:rsidP="00163957">
      <w:pPr>
        <w:pStyle w:val="TextoNormal"/>
      </w:pPr>
      <w:r w:rsidRPr="00163957">
        <w:rPr>
          <w:rStyle w:val="NumeroAFNegritaCaracter"/>
        </w:rPr>
        <w:t>8</w:t>
      </w:r>
      <w:r>
        <w:t>. Por último, antes del fallo debemos pronunciarnos sobre la solicitud, formulada en el otrosí primero del escrito de la representación de la Generalitat, de adoptar las medidas procedentes en aplicación del art. 92 “y concordantes LOTC” o, alternativamente, de señalar un límite temporal, para que no se pueda mantener indefinidamente la actual situación de provisionalidad en la que el Estado, al no haber dictado los correspondientes y obligados reales decretos de transferencias en materia de becas y ayudas al estudio, realiza unas funciones que no le compete ejercer, incumpliendo lo que se declaró hace casi quince años en la STC 188/2001, de 20 de septiembre.</w:t>
      </w:r>
    </w:p>
    <w:p w:rsidR="00163957" w:rsidRDefault="00163957" w:rsidP="00163957">
      <w:pPr>
        <w:pStyle w:val="TextoNormal"/>
      </w:pPr>
    </w:p>
    <w:p w:rsidR="00163957" w:rsidRDefault="00163957" w:rsidP="00163957">
      <w:pPr>
        <w:pStyle w:val="TextoNormal"/>
      </w:pPr>
      <w:r>
        <w:t xml:space="preserve">a) Por regla general las decisiones que ponen fin a los conflictos positivos de competencia no requieren medidas de ejecución. Como afirmamos en la STC 110/1983, de 25 de noviembre, FJ 2, las finalidades de un conflicto positivo de competencia son dos: por un </w:t>
      </w:r>
      <w:r>
        <w:lastRenderedPageBreak/>
        <w:t>lado, “la determinación de la legitimidad o ilegitimidad constitucional de la disposición o resolución concreta de que se trate”; por otro, “la interpretación y fijación del orden competencial y en la determinación de qué competencias pertenecen a qué sujetos, yéndose así más allá de la mera solución del caso concreto origen del conflicto o controversia”. Por este motivo, el art. 66 LOTC prevé una doble dimensión de la Sentencia constitucional en caso de conflicto. Esta Sentencia debe “acordar, en su caso, la anulación de la disposición, resolución o actos que originaron el conflicto en cuanto estuvieren viciados de su competencia”; y, además, debe efectuar un pronunciamiento más general, relativo al orden competencial, ya que, como señala el mismo artículo, en su primer inciso, “la Sentencia declarará la titularidad de la competencia controvertida”.</w:t>
      </w:r>
    </w:p>
    <w:p w:rsidR="00163957" w:rsidRDefault="00163957" w:rsidP="00163957">
      <w:pPr>
        <w:pStyle w:val="TextoNormal"/>
      </w:pPr>
    </w:p>
    <w:p w:rsidR="00163957" w:rsidRDefault="00163957" w:rsidP="00163957">
      <w:pPr>
        <w:pStyle w:val="TextoNormal"/>
      </w:pPr>
      <w:r>
        <w:t xml:space="preserve">La decisión que ponga fin al conflicto positivo de competencias vinculará a todos los poderes públicos y tendrá plenos efectos frente a todos, como indican los arts. 164.1 CE y 61.3 LOTC. La especial vinculación que para todos los poderes públicos tienen las Sentencias de este Tribunal no se limita, según doctrina de este Tribunal, al contenido del fallo, sino que se extiende a la correspondiente fundamentación jurídica, en especial a la que contiene los criterios que conducen a la </w:t>
      </w:r>
      <w:r w:rsidRPr="00163957">
        <w:rPr>
          <w:i/>
        </w:rPr>
        <w:t>ratio decidendi</w:t>
      </w:r>
      <w:r>
        <w:t xml:space="preserve"> (STC 158/2004, de 21 de septiembre, FJ 4). Como consecuencia, tal como declaramos en la citada STC 110/1983, “una vez declarada la titularidad de la competencia de que se trate, desaparece su carácter controvertido, por lo que el ejercicio de esa competencia quedará, tanto respecto a la disposición que dio lugar al conflicto, como en ulteriores ocasiones en que tal competencia pueda ejercerse, atribuido y reservado al titular que la Sentencia señale, en virtud de la interpretación que el Tribunal lleve a cabo de las normas reguladoras del reparto competencial”. Y si bien puede plantearse un nuevo conflicto de competencia sobre una discrepancia competencial sobre la que ya nos hemos pronunciado con reiteración (STC 158/2004, de 21 de septiembre, FJ 4), este Tribunal puede apreciar que el objeto de la controversia competencial a la que se pretende dar lugar está ya resuelto (STC 110/1983, de 28 de noviembre, FJ 5; y ATC 726/1986, de 18 de septiembre, FJ 2).</w:t>
      </w:r>
    </w:p>
    <w:p w:rsidR="00163957" w:rsidRDefault="00163957" w:rsidP="00163957">
      <w:pPr>
        <w:pStyle w:val="TextoNormal"/>
      </w:pPr>
    </w:p>
    <w:p w:rsidR="00163957" w:rsidRDefault="00163957" w:rsidP="00163957">
      <w:pPr>
        <w:pStyle w:val="TextoNormal"/>
      </w:pPr>
      <w:r>
        <w:t>Por lo demás, la entidad recurrente no ha precisado suficientemente su petición. En particular no ha precisado qué Sentencia de este Tribunal estaría necesitada o sería susceptible de ejecución de acuerdo con la redacción del art. 92 LOTC vigente en el momento de formulación del presente conflicto de competencia (cuya redacción se mantiene casi inalterada en el actual art. 92.1 LOTC tras la reforma introducida por la Ley Orgánica 15/2015, de 16 de octubre), ya sea la presente Sentencia o alguna de las dictadas anteriormente en relación con la gestión de las becas; tampoco ha especificado la naturaleza o el alcance de la actividad ejecutiva pretendida (art. 92.1, párrafo primero, LOTC) o qué resolución contraviene, en su caso, las dictadas en el ejercicio de nuestra jurisdicción (art. 92.1, párrafo segundo, LOTC). Por esta falta de precisión y porque la pretensión parece solaparse materialmente con la formulada de forma alternativa, que contestaremos seguidamente, no es preciso tampoco extender más nuestra respuesta.</w:t>
      </w:r>
    </w:p>
    <w:p w:rsidR="00163957" w:rsidRDefault="00163957" w:rsidP="00163957">
      <w:pPr>
        <w:pStyle w:val="TextoNormal"/>
      </w:pPr>
    </w:p>
    <w:p w:rsidR="00163957" w:rsidRDefault="00163957" w:rsidP="00163957">
      <w:pPr>
        <w:pStyle w:val="TextoNormal"/>
      </w:pPr>
      <w:r>
        <w:t xml:space="preserve">b) Por lo que respecta a la segunda petición, debemos recordar que este Tribunal ya resolvió en la reciente STC 25/2015, de 19 de febrero, FJ 7, una pretensión similar ejercitada también en el ámbito de la gestión de las ayudas al estudio por la misma Comunidad Autónoma que ha interpuesto el presente conflicto. La Generalitat de Cataluña impugnaba la disposición adicional cuarta del Real Decreto 1721/2007 por diferir el traspaso del pleno ejercicio de las competencias a cada Comunidad Autónoma a la fecha del acuerdo de la </w:t>
      </w:r>
      <w:r>
        <w:lastRenderedPageBreak/>
        <w:t>comisión mixta por el que se aprueba el traspaso de las funciones, medios y servicios necesarios para la asunción de las competencias en este ámbito de la gestión de las ayudas al estudio. En síntesis, entonces declaramos lo siguiente: “no estamos ante una materia en la que no sea necesario el traspaso de medios y servicios para que pueda ser efectivamente ejercida dicha competencia de gestión. Antes al contrario, la necesidad de dicho traspaso, como condición plena para el ejercicio de las competencias de gestión, se infiere sin dificultad tanto de los precedentes como de la situación administrativa actualmente existente” (aludiendo a las SSTC 124/1989, de 7 de julio, y 209/1990, de 20 de diciembre). No obstante, desestimada del modo expuesto la queja de la Generalitat, advertimos que “dado el tiempo transcurrido, el mantenimiento de este régimen transitorio y excepcional, derivado del retraso en la asunción por las Comunidades Autónomas de la mayor parte de la gestión del sistema de becas y ayudas al estudio, es difícilmente conciliable con las exigencias de un Estado descentralizado como el nuestro”. Tanto los motivos como las advertencias que formulamos entonces son perfectamente trasladables al presente conflicto y deben, por tanto, ser reiterados.</w:t>
      </w:r>
    </w:p>
    <w:p w:rsidR="00163957" w:rsidRDefault="00163957" w:rsidP="00163957">
      <w:pPr>
        <w:pStyle w:val="TextoNormal"/>
      </w:pPr>
    </w:p>
    <w:p w:rsidR="00163957" w:rsidRDefault="00163957" w:rsidP="00163957">
      <w:pPr>
        <w:pStyle w:val="TextoNormal"/>
      </w:pPr>
      <w:r>
        <w:t>Al afrontar en ocasiones la persistencia de situaciones anómalas de disconformidad con la Constitución, este Tribunal ha proclamado el deber de fidelidad a la Constitución por parte de los poderes públicos (en la STC 247/2007, de 12 diciembre, FJ 4, afirmado ese deber como “un soporte esencial del funcionamiento del Estado autonómico”, y en la STC 42/2014, de 25 de marzo, FJ 4, destacado en relación con las Asambleas Legislativas de las Comunidades Autónomas) o el principio de lealtad constitucional que obliga a todos los poderes públicos (en las SSTC 209/1990, de 20 de diciembre, FJ 4; 158/2004, de 21 de septiembre, FJ 7; y 245/2012, de 18 de diciembre, FJ 26, destacado en relación con las instituciones centrales del Estado). Más en concreto en la STC 208/1999, de 11 de noviembre, FJ 8, afirmamos “la necesidad de que, para la plena realización del orden de competencias que se desprende de la Constitución y los Estatutos de Autonomía, se evite la persistencia de situaciones anómalas en las que sigan siendo ejercitadas por el Estado competencias que no le corresponden”, al entender que “[e]l Estado de las Autonomías configurado por nuestra Constitución no alcanzará, en esta materia, su diseño acabado en tanto el orden de competencias que se desprende de la Constitución y los Estatutos no alcance plena realización”. Son palabras plenamente válidas y suficientes para responder a la pretensión ejercitada por la Comunidad Autónoma promotora del conflicto.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Estimar parcialmente el presente conflicto positivo de competencia y, en consecuencia, declarar la inconstitucionalidad y nulidad del inciso “1ª” de la disposición final primera y del apartado 18 de la disposición final segunda del Real Decreto 609/2013 —en lo relativo a la adición del párrafo d) al art. 40.2 del Real Decreto 1721/2007—, así como declarar que vulneran las competencias de la Generalitat de Cataluña el art. 5.2 del Real Decreto 609/2013 y los arts. 1.1, 2.4 y 50, apartados 6 y 7 de la resolución de 13 de agosto de 2013.</w:t>
      </w:r>
    </w:p>
    <w:p w:rsidR="00163957" w:rsidRDefault="00163957" w:rsidP="00163957">
      <w:pPr>
        <w:pStyle w:val="TextoNormal"/>
      </w:pPr>
    </w:p>
    <w:p w:rsidR="00163957" w:rsidRDefault="00163957" w:rsidP="00163957">
      <w:pPr>
        <w:pStyle w:val="TextoNormal"/>
      </w:pPr>
      <w:r>
        <w:t>2º Desestimar el conflicto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doce de mayo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Juan José González Rivas respecto de la Sentencia de 12 de mayo de 2016, dictada en el conflicto positivo de competencia núm. 6975-2013.</w:t>
      </w:r>
    </w:p>
    <w:p w:rsidR="00163957" w:rsidRDefault="00163957" w:rsidP="00163957">
      <w:pPr>
        <w:pStyle w:val="TextoNormalNegritaCentrado"/>
        <w:keepNext/>
      </w:pPr>
    </w:p>
    <w:p w:rsidR="00163957" w:rsidRDefault="00163957" w:rsidP="00163957">
      <w:pPr>
        <w:pStyle w:val="TextoNormal"/>
      </w:pPr>
      <w:r>
        <w:t>Con el mayor respeto a la posición mayoritaria y haciendo uso de la facultad reconocida en el art. 90.2 de la Ley Orgánica del Tribunal Constitucional, formulo Voto particular respecto a la Sentencia citada en el encabezamiento.</w:t>
      </w:r>
    </w:p>
    <w:p w:rsidR="00163957" w:rsidRDefault="00163957" w:rsidP="00163957">
      <w:pPr>
        <w:pStyle w:val="TextoNormal"/>
      </w:pPr>
    </w:p>
    <w:p w:rsidR="00163957" w:rsidRDefault="00163957" w:rsidP="00163957">
      <w:pPr>
        <w:pStyle w:val="TextoNormal"/>
      </w:pPr>
      <w:r>
        <w:t>El eje del criterio mayoritario se sitúa en la doctrina constitucional establecida en las SSTC 188/2001, de 20 de septiembre, y 212/2005, de 21 de julio, que se ha reproducido en la STC 25/2015, de 19 de febrero, en relación al conflicto de competencia trabado acerca de a qué instancia, estatal o autonómica, corresponde la gestión de las becas de movilidad reguladas en el art. 1.4 del Real Decreto 1721/2007, de 21 de diciembre, por el que se establece el régimen de becas y ayudas al estudio personalizadas. Formulé en su día Voto particular a dicha STC 25/2015, en el que razoné que, en mi criterio, precisamente la movilidad territorial que motiva dichas becas y ayudas al estudio es lo que determinaba que se diesen los requisitos que la doctrina constitucional venía exigiendo para que procediera la gestión centralizada.</w:t>
      </w:r>
    </w:p>
    <w:p w:rsidR="00163957" w:rsidRDefault="00163957" w:rsidP="00163957">
      <w:pPr>
        <w:pStyle w:val="TextoNormal"/>
      </w:pPr>
    </w:p>
    <w:p w:rsidR="00163957" w:rsidRDefault="00163957" w:rsidP="00163957">
      <w:pPr>
        <w:pStyle w:val="TextoNormal"/>
      </w:pPr>
      <w:r>
        <w:t>Conforme a esta misma ratio, expuse mi opinión discrepante respecto del criterio mayoritario sentado en la STC 178/2015, de 7 de septiembre, que estima con base en la doctrina constitucional recogida en la STC 25/2015 un conflicto competencial promovido contra la resolución del Servicio público de empleo estatal de 22 de septiembre de 2009, por la que se convoca la concesión de subvenciones para la realización de programas específicos de formación e inserción laboral a favor de los jóvenes desempleados en situación o con riesgo de exclusión social. A mi juicio, la circunstancia de que las acciones subvencionables debieran afectar a un ámbito geográfico superior al de una Comunidad Autónoma y la de que se exigiera que la ejecución de los proyectos facilitará la movilidad de los participantes en los mismos justificaría la gestión centralizada conforme a los criterios de la STC 13/1992, de 6 de febrero, en materia de subvenciones, expresados en su fundamento jurídico octavo apartado d), al ostentar el Estado un título competencial para intervenir en la materia (149.1.7 CE) y resultar la gestión centralizada imprescindible, debido a la movilidad territorial de los destinatarios buscada con las ayudas que aquí se enjuician, para asegurar la plena efectividad de las medidas dentro de la ordenación básica del sector y para garantizar las mismas posibilidades de obtención y disfrute por parte de sus potenciales destinatarios en todo el territorio nacional.</w:t>
      </w:r>
    </w:p>
    <w:p w:rsidR="00163957" w:rsidRDefault="00163957" w:rsidP="00163957">
      <w:pPr>
        <w:pStyle w:val="TextoNormal"/>
      </w:pPr>
    </w:p>
    <w:p w:rsidR="00163957" w:rsidRDefault="00163957" w:rsidP="00163957">
      <w:pPr>
        <w:pStyle w:val="TextoNormal"/>
      </w:pPr>
      <w:r>
        <w:t xml:space="preserve">De nuevo en esta Sentencia se convierte en </w:t>
      </w:r>
      <w:r w:rsidRPr="00163957">
        <w:rPr>
          <w:i/>
        </w:rPr>
        <w:t>ratio decidendi</w:t>
      </w:r>
      <w:r>
        <w:t xml:space="preserve"> la doctrina constitucional expresada en la STC 25/2015 y esta circunstancia me lleva a ratificar la discrepancia que ya he manifestado en los dos casos anteriores. Remitiéndome a aquellos Votos particulares en </w:t>
      </w:r>
      <w:r>
        <w:lastRenderedPageBreak/>
        <w:t>cuanto al razonamiento acabado de mi distinta visión del reparto constitucional de competencia cuando se trata de la gestión de subvenciones que tienen un componente que de algún modo supera los límites territoriales de una Comunidad Autónoma, quiero resaltar en este momento que la cuantía variable de las becas y ayudas al estudio de carácter general regulada en los apartados 1 y 2 del Real Decreto 609/2013, de 2 de agosto, en la medida que es una parte de la beca que se distribuye entre los solicitantes en función de la renta familiar y del rendimiento académico y cuyo importe global se obtiene una vez satisfechas las becas básicas y las cuantías fijas ligadas a la renta y a la residencia del solicitante, necesariamente ha de ser de gestión centralizada en poder de una instancia capaz de ponderar todos los intereses en presencia, que no puede ser sino el Estado. Ello se hace imprescindible para lograr la realización práctica del sistema y, en particular, la igualdad real y efectiva entre los candidatos, con independencia de la Comunidad Autónoma en que residan o pretendan cursar sus estudios para los que instan la concesión de la beca o ayuda.</w:t>
      </w:r>
    </w:p>
    <w:p w:rsidR="00163957" w:rsidRDefault="00163957" w:rsidP="00163957">
      <w:pPr>
        <w:pStyle w:val="TextoNormal"/>
      </w:pPr>
    </w:p>
    <w:p w:rsidR="00163957" w:rsidRDefault="00163957" w:rsidP="00163957">
      <w:pPr>
        <w:pStyle w:val="TextoNormal"/>
      </w:pPr>
      <w:r>
        <w:t>En conclusión, en mi opinión, ya en el Voto particular que entonces suscribí y ahora ratifico expuse que lo que determinaba que se diesen los requisitos que la doctrina constitucional venía exigiendo para que procediera la gestión centralizada era que “el traslado al Estado de la titularidad de la competencia de gestión sólo puede tener lugar, ‘cuando, además del alcance territorial superior al de una Comunidad Autónoma del objeto de la competencia, la actividad pública que sobre él se ejerza no sea susceptible de fraccionamiento y, aun en este caso, cuando dicha actuación no pueda llevarse a cabo mediante mecanismos de cooperación o coordinación, sino que requiera un grado de homogeneidad que sólo pueda garantizar su atribución a un solo titular, que forzosamente deba ser el Estado, o cuando sea necesario recurrir a un ente con capacidad de integrar intereses contrapuestos de varias Comunidades Autónomas’ doctrina reiterada en las SSTC 243/1994, de 21 de julio, FJ 6; 242/1999, de 21 de diciembre, FJ 18; 190/2000, de 13 de julio, FJ 9, y 113/2013, de 9 de mayo, FJ 7”, y que entiendo era de plena aplicación en la cuestión planteada.</w:t>
      </w:r>
    </w:p>
    <w:p w:rsidR="00163957" w:rsidRDefault="00163957" w:rsidP="00163957">
      <w:pPr>
        <w:pStyle w:val="TextoNormal"/>
      </w:pPr>
    </w:p>
    <w:p w:rsidR="00163957" w:rsidRDefault="00163957" w:rsidP="00163957">
      <w:pPr>
        <w:pStyle w:val="TextoNormal"/>
      </w:pPr>
      <w:r>
        <w:t>En este sentido emito este Voto particular.</w:t>
      </w:r>
    </w:p>
    <w:p w:rsidR="00163957" w:rsidRDefault="00163957" w:rsidP="00163957">
      <w:pPr>
        <w:pStyle w:val="TextoNormal"/>
      </w:pPr>
    </w:p>
    <w:p w:rsidR="00163957" w:rsidRDefault="00163957" w:rsidP="00163957">
      <w:pPr>
        <w:pStyle w:val="TextoNormal"/>
      </w:pPr>
      <w:r>
        <w:t>Madrid, a doce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99" w:name="SENTENCIA_2016_96"/>
      <w:r>
        <w:lastRenderedPageBreak/>
        <w:t>SENTENCIA 96/2016, de 12 de mayo de 2016</w:t>
      </w:r>
    </w:p>
    <w:bookmarkEnd w:id="99"/>
    <w:p w:rsidR="00163957" w:rsidRDefault="00163957" w:rsidP="00163957">
      <w:pPr>
        <w:pStyle w:val="TtuloResolucin"/>
      </w:pPr>
      <w:r>
        <w:t>Pleno</w:t>
      </w:r>
    </w:p>
    <w:p w:rsidR="00163957" w:rsidRDefault="00163957" w:rsidP="00163957">
      <w:pPr>
        <w:pStyle w:val="TtuloBOE"/>
      </w:pPr>
      <w:r>
        <w:t>(BOE núm. 147, de 18 de junio de 2016)</w:t>
      </w:r>
    </w:p>
    <w:p w:rsidR="00163957" w:rsidRDefault="00163957" w:rsidP="00163957">
      <w:pPr>
        <w:pStyle w:val="TextoNormalCentrado"/>
      </w:pPr>
      <w:r>
        <w:t>ECLI:ES:TC:2016:96</w:t>
      </w:r>
    </w:p>
    <w:p w:rsidR="00163957" w:rsidRDefault="00163957" w:rsidP="00163957">
      <w:pPr>
        <w:pStyle w:val="TextoNormalCentrado"/>
      </w:pPr>
    </w:p>
    <w:p w:rsidR="00163957" w:rsidRDefault="00163957" w:rsidP="00163957">
      <w:pPr>
        <w:pStyle w:val="SntesisDescriptiva"/>
      </w:pPr>
      <w:r>
        <w:t>Recurso de inconstitucionalidad 439-2016. Interpuesto por el Consell de la Generalitat Valenciana en relación con la Ley 48/2015, de 29 de octubre, de presupuestos generales del Estado para 2016.</w:t>
      </w:r>
    </w:p>
    <w:p w:rsidR="00163957" w:rsidRDefault="00163957" w:rsidP="00163957">
      <w:pPr>
        <w:pStyle w:val="SntesisDescriptiva"/>
      </w:pPr>
    </w:p>
    <w:p w:rsidR="00163957" w:rsidRDefault="00163957" w:rsidP="00163957">
      <w:pPr>
        <w:pStyle w:val="SntesisAnaltica"/>
      </w:pPr>
      <w:r>
        <w:t>Sistema de financiación autonómica: constitucionalidad de los preceptos presupuestarios relativos a las transferencias por el fondo de suficiencia global.</w:t>
      </w:r>
    </w:p>
    <w:p w:rsidR="00163957" w:rsidRDefault="00163957" w:rsidP="00163957">
      <w:pPr>
        <w:pStyle w:val="SntesisAnaltica"/>
      </w:pPr>
    </w:p>
    <w:p w:rsidR="00163957" w:rsidRDefault="00163957" w:rsidP="00163957">
      <w:pPr>
        <w:pStyle w:val="Extracto"/>
      </w:pPr>
      <w:r>
        <w:t>1.</w:t>
      </w:r>
      <w:r>
        <w:tab/>
        <w:t>La existencia de diferencias en los niveles de gasto y de ingreso entre las Comunidades Autónomas, siempre que estén comprendidas dentro de los límites previstos en el sistema establecido, una vez seguidos los cauces de cooperación previstos, no es contraria a los principios constitucionales en juego, sino que forma parte del “margen de configuración del que goza el legislador en este ámbito” (STC 13/2007) [FJ 4 a)].</w:t>
      </w:r>
    </w:p>
    <w:p w:rsidR="00163957" w:rsidRDefault="00163957" w:rsidP="00163957">
      <w:pPr>
        <w:pStyle w:val="Extracto"/>
      </w:pPr>
    </w:p>
    <w:p w:rsidR="00163957" w:rsidRDefault="00163957" w:rsidP="00163957">
      <w:pPr>
        <w:pStyle w:val="Extracto"/>
      </w:pPr>
      <w:r>
        <w:t>2.</w:t>
      </w:r>
      <w:r>
        <w:tab/>
        <w:t>El sistema no asegura a la Comunidad Valenciana, ni a ninguna otra, un volumen de recursos tal que alcance el nivel medio de gasto real en servicios públicos fundamentales del resto de Comunidades, pues esto sería tanto como hacer depender el sistema de las decisiones concretas de gasto de las Administraciones autonómicas [FJ 4 a)].</w:t>
      </w:r>
    </w:p>
    <w:p w:rsidR="00163957" w:rsidRDefault="00163957" w:rsidP="00163957">
      <w:pPr>
        <w:pStyle w:val="Extracto"/>
      </w:pPr>
    </w:p>
    <w:p w:rsidR="00163957" w:rsidRDefault="00163957" w:rsidP="00163957">
      <w:pPr>
        <w:pStyle w:val="Extracto"/>
      </w:pPr>
      <w:r>
        <w:t>3.</w:t>
      </w:r>
      <w:r>
        <w:tab/>
        <w:t>Debemos descartar que el sistema configurado en la actual LOFCA -</w:t>
      </w:r>
      <w:r w:rsidRPr="00163957">
        <w:rPr>
          <w:i/>
        </w:rPr>
        <w:t>Ley Orgánica de financiación de las Comunidades Autónomas</w:t>
      </w:r>
      <w:r>
        <w:t xml:space="preserve">- y en la Ley 22/2009 </w:t>
      </w:r>
      <w:r w:rsidRPr="00163957">
        <w:rPr>
          <w:i/>
        </w:rPr>
        <w:t>por la que se regula el sistema de financiación de las Comunidades Autónomas de régimen común y Ciudades con Estatuto de Autonomía y se modifican determinadas normas tributarias</w:t>
      </w:r>
      <w:r>
        <w:t>, haya perdido su validez, porque no hay norma alguna que así lo disponga; la valoración global del impacto financiero prevista en la LOFCA no implica la pretendida pérdida de vigencia del actual sistema [FJ 3].</w:t>
      </w:r>
    </w:p>
    <w:p w:rsidR="00163957" w:rsidRDefault="00163957" w:rsidP="00163957">
      <w:pPr>
        <w:pStyle w:val="Extracto"/>
      </w:pPr>
    </w:p>
    <w:p w:rsidR="00163957" w:rsidRDefault="00163957" w:rsidP="00163957">
      <w:pPr>
        <w:pStyle w:val="Extracto"/>
      </w:pPr>
      <w:r>
        <w:t>4.</w:t>
      </w:r>
      <w:r>
        <w:tab/>
        <w:t>Con su interpretación, el Consell parece estar proponiendo que se reemplace un sistema acordado en el seno del Consejo de Política Fiscal y Financiera y aceptado por todas las Comunidades Autónomas, incluida la Comunidad Valenciana, por una financiación autonómica regulada únicamente en la Ley de presupuestos [FJ 3].</w:t>
      </w:r>
    </w:p>
    <w:p w:rsidR="00163957" w:rsidRDefault="00163957" w:rsidP="00163957">
      <w:pPr>
        <w:pStyle w:val="Extracto"/>
      </w:pPr>
    </w:p>
    <w:p w:rsidR="00163957" w:rsidRDefault="00163957" w:rsidP="00163957">
      <w:pPr>
        <w:pStyle w:val="Extracto"/>
      </w:pPr>
      <w:r>
        <w:t>5.</w:t>
      </w:r>
      <w:r>
        <w:tab/>
        <w:t>El propio reconocimiento que hace el Gobierno Valenciano, de que la LPGE 2016 se ajusta al vigente sistema, deja sin base la alegación de arbitrariedad del legislador presupuestario, que se ha limitado a consignar en los estados de ingresos y gastos las partidas derivadas del sistema de financiación en vigor [FJ 3].</w:t>
      </w:r>
    </w:p>
    <w:p w:rsidR="00163957" w:rsidRDefault="00163957" w:rsidP="00163957">
      <w:pPr>
        <w:pStyle w:val="Extracto"/>
      </w:pPr>
    </w:p>
    <w:p w:rsidR="00163957" w:rsidRDefault="00163957" w:rsidP="00163957">
      <w:pPr>
        <w:pStyle w:val="Extracto"/>
      </w:pPr>
      <w:r>
        <w:t>6.</w:t>
      </w:r>
      <w:r>
        <w:tab/>
        <w:t>El Estatuto se remite a lo dispuesto en la LOFCA (art. 15) y a su desarrollo por el art. 9 de la Ley 22/2009, por lo que ninguna tacha puede hacerse a la LPGE 2016 en tanto en cuanto da puntual cumplimiento a tales normas [FJ 4 a)].</w:t>
      </w:r>
    </w:p>
    <w:p w:rsidR="00163957" w:rsidRDefault="00163957" w:rsidP="00163957">
      <w:pPr>
        <w:pStyle w:val="Extracto"/>
      </w:pPr>
    </w:p>
    <w:p w:rsidR="00163957" w:rsidRDefault="00163957" w:rsidP="00163957">
      <w:pPr>
        <w:pStyle w:val="Extracto"/>
      </w:pPr>
      <w:r>
        <w:lastRenderedPageBreak/>
        <w:t>7.</w:t>
      </w:r>
      <w:r>
        <w:tab/>
        <w:t>No puede invocarse en favor de la pretensión del Consell Valenciano la circunstancia de que los presupuestos de la Generalitat para 2016 hayan consignado un gasto incompatible con el fondo de suficiencia global negativo para la Comunidad previsto en la LPGE 2016, pues equivaldría a dejar en poder del legislador presupuestario autonómico la decisión de los recursos que el Estado debe transferir a una determinada Comunidad Autónoma [FJ 4 a)].</w:t>
      </w:r>
    </w:p>
    <w:p w:rsidR="00163957" w:rsidRDefault="00163957" w:rsidP="00163957">
      <w:pPr>
        <w:pStyle w:val="Extracto"/>
      </w:pPr>
    </w:p>
    <w:p w:rsidR="00163957" w:rsidRDefault="00163957" w:rsidP="00163957">
      <w:pPr>
        <w:pStyle w:val="Extracto"/>
      </w:pPr>
      <w:r>
        <w:t>8.</w:t>
      </w:r>
      <w:r>
        <w:tab/>
        <w:t>La Comunidad Valenciana no solo aprobó la cuantía inicial del fondo de suficiencia global, sino también las reglas para su evolución futura, que son las que determinan su cuantía en cada uno de los años siguientes, entre ellos el año 2016 que aquí se analiza [FJ 4 c)].</w:t>
      </w:r>
    </w:p>
    <w:p w:rsidR="00163957" w:rsidRDefault="00163957" w:rsidP="00163957">
      <w:pPr>
        <w:pStyle w:val="Extracto"/>
      </w:pPr>
    </w:p>
    <w:p w:rsidR="00163957" w:rsidRDefault="00163957" w:rsidP="00163957">
      <w:pPr>
        <w:pStyle w:val="Extracto"/>
      </w:pPr>
      <w:r>
        <w:t>9.</w:t>
      </w:r>
      <w:r>
        <w:tab/>
        <w:t>El signo negativo del fondo de suficiencia global de la Comunidad Valenciana en 2016 no es más que el resultado de la aplicación de las reglas de evolución a las que la Generalitat se adhirió expresamente, esto es, la sustitución en el año correspondiente de una fuente de financiación (fondo de suficiencia global) por mayor recaudación por el IVA y los impuestos especiales de fabricación, quedando preservada la “suficiencia dinámica” de la Comunidad, que no experimenta merma alguna en sus recursos [FJ 4 c)].</w:t>
      </w:r>
    </w:p>
    <w:p w:rsidR="00163957" w:rsidRDefault="00163957" w:rsidP="00163957">
      <w:pPr>
        <w:pStyle w:val="Extracto"/>
      </w:pPr>
    </w:p>
    <w:p w:rsidR="00163957" w:rsidRDefault="00163957" w:rsidP="00163957">
      <w:pPr>
        <w:pStyle w:val="Extracto"/>
      </w:pPr>
      <w:r>
        <w:t>10.</w:t>
      </w:r>
      <w:r>
        <w:tab/>
        <w:t>No solo el articulado de las leyes de presupuestos generales del Estado, sino también los estados de ingresos y gastos que se incluyen en ellas son susceptibles de impugnación y, por tanto, constituyen un “objeto idóneo” del recurso de inconstitucionalidad [FJ 2 a)].</w:t>
      </w:r>
    </w:p>
    <w:p w:rsidR="00163957" w:rsidRDefault="00163957" w:rsidP="00163957">
      <w:pPr>
        <w:pStyle w:val="Extracto"/>
      </w:pPr>
    </w:p>
    <w:p w:rsidR="00163957" w:rsidRDefault="00163957" w:rsidP="00163957">
      <w:pPr>
        <w:pStyle w:val="Extracto"/>
      </w:pPr>
      <w:r>
        <w:t>11.</w:t>
      </w:r>
      <w:r>
        <w:tab/>
        <w:t xml:space="preserve">Se excluye </w:t>
      </w:r>
      <w:r w:rsidRPr="00163957">
        <w:rPr>
          <w:i/>
        </w:rPr>
        <w:t xml:space="preserve">a limine </w:t>
      </w:r>
      <w:r>
        <w:t>que el presente recurso pueda extenderse a enjuiciar la constitucionalidad de las leyes reguladoras del sistema de financiación con base en las cuales se han calculado los créditos presupuestarios de la LPGE 2016 ya que, para discutir el sistema debería haberse presentado recurso contra las leyes que lo regulan, que no pueden cuestionarse ahora al hilo de su aplicación en cada ley de presupuestos [FJ 2 b)].</w:t>
      </w:r>
    </w:p>
    <w:p w:rsidR="00163957" w:rsidRDefault="00163957" w:rsidP="00163957">
      <w:pPr>
        <w:pStyle w:val="Extracto"/>
      </w:pPr>
    </w:p>
    <w:p w:rsidR="00163957" w:rsidRDefault="00163957" w:rsidP="00163957">
      <w:pPr>
        <w:pStyle w:val="Extracto"/>
      </w:pPr>
      <w:r>
        <w:t>12.</w:t>
      </w:r>
      <w:r>
        <w:tab/>
        <w:t>Este Tribunal no puede examinar la compatibilidad de las disposiciones impugnadas cuando lo que hace el escrito de demanda es citar, en bloque, numerosos preceptos cuya vulneración se afirma sin una argumentación específica [FJ 2 c)].</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439-2016 interpuesto por el Consell de la Generalitat Valenciana contra la Ley 48/2015, de 29 de octubre, de presupuestos generales del Estado para 2016, en lo que respecta a las transferencias por el fondo de suficiencia global a las que se refieren los arts. 111 y 112 de la citada ley. En concreto, se impugnan las transferencias previstas en el concepto 451 del presupuesto de gastos por “Fondo de Suficiencia Global” (Sección 36 “Sistemas de Financiación de Entes Territoriales”, Programa 941M “Transferencias a las Comunidades Autónomas por participación en los ingresos del Estado”); así como la recogida en el concepto 458 “Por Fondo de Suficiencia y otros” del presupuesto de ingresos (Sección 98. Servicio 01. Artículo 45 “Transferencias corrientes de las Comunidades Autónomas”). Ha comparecido y formulado alegaciones el Abogado del Estado. Ha sido Ponente el Magistrado don Pedro José González-Trevijano Sánchez,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este Tribunal el 28 de enero de 2016, la Directora General de la Abogacía General de la Generalitat Valenciana, en representación y defensa del Gobierno Valenciano, interpuso recurso de inconstitucionalidad (registrado con el núm. 439-2016) contra la Ley 48/2015, de 29 de octubre, por la que se aprueban los presupuestos generales del Estado para 2016 (“Boletín Oficial del Estado” núm. 260, de 30 de octubre de 2015, LPGE 2016, en lo que sigue).</w:t>
      </w:r>
    </w:p>
    <w:p w:rsidR="00163957" w:rsidRDefault="00163957" w:rsidP="00163957">
      <w:pPr>
        <w:pStyle w:val="TextoNormal"/>
      </w:pPr>
    </w:p>
    <w:p w:rsidR="00163957" w:rsidRDefault="00163957" w:rsidP="00163957">
      <w:pPr>
        <w:pStyle w:val="TextoNormal"/>
      </w:pPr>
      <w:r>
        <w:t>El recurso se dirige contra las transferencias previstas en el concepto 451 del presupuesto de gastos por “Fondo de Suficiencia Global” (Sección 36 “Sistemas de Financiación de Entes Territoriales”, Programa 941M “Transferencias a las Comunidades Autónomas por participación en los ingresos del Estado”); así como la recogida en el concepto 458 “Por Fondo de Suficiencia y otros” del presupuesto de ingresos (Sección 98. Servicio 01. Artículo 45 “Transferencias corrientes de las Comunidades Autónomas”), por la posible vulneración de los arts. 2, 9.3, 31.2, 40.1, 137, 138, 156.1, 157, apartados 1 c) y 3, y 158.1, todos ellos de la Constitución; arts. 1, 2, 4.2, 15 y 16 de la Ley Orgánica 8/1980, de 22 de septiembre, de financiación de las Comunidades Autónomas (en lo sucesivo, LOFCA); y del art. 67 del Estatuto de Autonomía para la Comunidad Valenciana (Ley Orgánica 5/1982, de 1 de julio, en la redacción dada por la Ley Orgánica 1/2006, de 10 de abril, en adelante, EAV).</w:t>
      </w:r>
    </w:p>
    <w:p w:rsidR="00163957" w:rsidRDefault="00163957" w:rsidP="00163957">
      <w:pPr>
        <w:pStyle w:val="TextoNormal"/>
      </w:pPr>
    </w:p>
    <w:p w:rsidR="00163957" w:rsidRDefault="00163957" w:rsidP="00163957">
      <w:pPr>
        <w:pStyle w:val="TextoNormal"/>
      </w:pPr>
      <w:r>
        <w:t>El escrito de demanda comienza señalando que la financiación autonómica incide en la autonomía política y financiera de las Comunidades Autónomas y que la aplicación del fondo de suficiencia global previsto en la LPGE 2016 priva a la Comunidad Valenciana de una financiación suficiente para garantizar a sus ciudadanos un nivel mínimo en la prestación de los servicios públicos fundamentales, por lo que se consideran afectados los arts. 2, 9.3, 31.2, 40.1, 137, 138, 156.1, 157, apartados 1 c) y 3, y 158.1 CE; invocando, asimismo, el art. 67 EAV, así como los arts. 1, 2, 4.2, 15 y 16 LOFCA.</w:t>
      </w:r>
    </w:p>
    <w:p w:rsidR="00163957" w:rsidRDefault="00163957" w:rsidP="00163957">
      <w:pPr>
        <w:pStyle w:val="TextoNormal"/>
      </w:pPr>
    </w:p>
    <w:p w:rsidR="00163957" w:rsidRDefault="00163957" w:rsidP="00163957">
      <w:pPr>
        <w:pStyle w:val="TextoNormal"/>
      </w:pPr>
      <w:r>
        <w:t xml:space="preserve">Tras recordar cuál es la normativa que configura actualmente el sistema de financiación de las Comunidades Autónomas y los principios en torno a los que se construye, la demanda </w:t>
      </w:r>
      <w:r>
        <w:lastRenderedPageBreak/>
        <w:t>expone los dos motivos de inconstitucionalidad que imputa a la LPGE 2016, que se sintetizan a continuación, en el mismo orden expositivo que sigue el recurso:</w:t>
      </w:r>
    </w:p>
    <w:p w:rsidR="00163957" w:rsidRDefault="00163957" w:rsidP="00163957">
      <w:pPr>
        <w:pStyle w:val="TextoNormal"/>
      </w:pPr>
    </w:p>
    <w:p w:rsidR="00163957" w:rsidRDefault="00163957" w:rsidP="00163957">
      <w:pPr>
        <w:pStyle w:val="TextoNormal"/>
      </w:pPr>
      <w:r>
        <w:t>a) El fondo de suficiencia global no permite a la Comunidad Valenciana hacer frente a sus competencias, ni siquiera para la prestación de los servicios públicos fundamentales, lo que vulnera los arts. 31.2, 157 y 158 CE, entre otros.</w:t>
      </w:r>
    </w:p>
    <w:p w:rsidR="00163957" w:rsidRDefault="00163957" w:rsidP="00163957">
      <w:pPr>
        <w:pStyle w:val="TextoNormal"/>
      </w:pPr>
    </w:p>
    <w:p w:rsidR="00163957" w:rsidRDefault="00163957" w:rsidP="00163957">
      <w:pPr>
        <w:pStyle w:val="TextoNormal"/>
      </w:pPr>
      <w:r>
        <w:t>El recurso invoca el art. 158.1 CE, que prevé la posibilidad de asignaciones de los presupuestos generales del Estado a las Comunidades Autónomas en función del volumen de servicios asumidos y de la garantía de un nivel mínimo en la prestación de los servicios públicos fundamentales, para, a renglón seguido, afirmar que, con la aplicación del fondo de suficiencia global a la Comunidad Valenciana que hace la LPGE 2016, esta no puede prestar dichos servicios con el nivel mínimo al que le obliga el citado artículo constitucional.</w:t>
      </w:r>
    </w:p>
    <w:p w:rsidR="00163957" w:rsidRDefault="00163957" w:rsidP="00163957">
      <w:pPr>
        <w:pStyle w:val="TextoNormal"/>
      </w:pPr>
    </w:p>
    <w:p w:rsidR="00163957" w:rsidRDefault="00163957" w:rsidP="00163957">
      <w:pPr>
        <w:pStyle w:val="TextoNormal"/>
      </w:pPr>
      <w:r>
        <w:t xml:space="preserve">En concreto, el Gobierno autonómico recurrente manifiesta que, para garantizar los servicios públicos fundamentales, los presupuestos de la Generalitat Valenciana para 2016 han consignado un gasto que es incompatible con el fondo de suficiencia global negativo para la Comunidad que, por importe de 1.329.533.560 €, establece la LPGE 2016, aquí recurrida. Y, si bien reconoce que este importe se deriva de la forma en que la Ley 22/2009, de 18 de diciembre, por la que se regula el sistema de financiación de las Comunidades Autónomas de régimen común y ciudades con Estatuto de Autonomía y se modifican determinadas normas tributarias (Ley 22/2009, en lo sucesivo), calculó el fondo de suficiencia global con el fin de garantizar a cada Comunidad los recursos del sistema anterior (cláusula de </w:t>
      </w:r>
      <w:r w:rsidRPr="00163957">
        <w:rPr>
          <w:i/>
        </w:rPr>
        <w:t>statu quo</w:t>
      </w:r>
      <w:r>
        <w:t>), sostiene que este criterio “perjudicó y perjudica a la Comunidad Valenciana, pues la mantiene con un nivel de recursos y gastos claramente inferiores a la media, obligándole en 2016 incluso a devolver unos ingresos que necesita para financiar su menor nivel de gasto por habitante”. Y achaca esto a la discrecionalidad con que el Gobierno de la Nación ha diseñado los presupuestos generales del Estado para 2016, lo que ha obligado a la Generalitat a prever transferencias del Estado por “otros fondos de financiación” de 1.325.000.000 €, a causa de la insuficiencia de ingresos necesarios para hacer frente a su presupuesto de gastos.</w:t>
      </w:r>
    </w:p>
    <w:p w:rsidR="00163957" w:rsidRDefault="00163957" w:rsidP="00163957">
      <w:pPr>
        <w:pStyle w:val="TextoNormal"/>
      </w:pPr>
    </w:p>
    <w:p w:rsidR="00163957" w:rsidRDefault="00163957" w:rsidP="00163957">
      <w:pPr>
        <w:pStyle w:val="TextoNormal"/>
      </w:pPr>
      <w:r>
        <w:t xml:space="preserve">El escrito de demanda alega que, según la exposición de motivos de la Ley 22/2009, el fondo de suficiencia global permite asegurar la financiación de la totalidad de las competencias de las Comunidades Autónomas, al tiempo que respeta los resultados del modelo anterior, a través de la cláusula de </w:t>
      </w:r>
      <w:r w:rsidRPr="00163957">
        <w:rPr>
          <w:i/>
        </w:rPr>
        <w:t>statu quo</w:t>
      </w:r>
      <w:r>
        <w:t>, para que ninguna Comunidad pierda con el cambio de sistema. Sin embargo, según el Consell Valenciano, en la LPGE 2016 dicho fondo incumpliría su propio objetivo, pasando a ser una herramienta formal cuyo único propósito es el mantenimiento del citad</w:t>
      </w:r>
      <w:r w:rsidRPr="00163957">
        <w:rPr>
          <w:i/>
        </w:rPr>
        <w:t>o statu q</w:t>
      </w:r>
      <w:r>
        <w:t>uo.</w:t>
      </w:r>
    </w:p>
    <w:p w:rsidR="00163957" w:rsidRDefault="00163957" w:rsidP="00163957">
      <w:pPr>
        <w:pStyle w:val="TextoNormal"/>
      </w:pPr>
    </w:p>
    <w:p w:rsidR="00163957" w:rsidRDefault="00163957" w:rsidP="00163957">
      <w:pPr>
        <w:pStyle w:val="TextoNormal"/>
      </w:pPr>
      <w:r>
        <w:t xml:space="preserve">Se alude, igualmente, a que las necesidades globales de financiación, para cuya cobertura el fondo de suficiencia global opera como cláusula de cierre, no se han calculado atendiendo al volumen de competencias, sino que se hacen equivaler a los ingresos de cada Comunidad en el año base, de forma que si en tal año los ingresos de una Comunidad no son suficientes para prestar los servicios de su competencia a un nivel similar al resto (como arguye que le sucedía a la Generalitat Valenciana ya antes del cambio de modelo de financiación), dicho fondo no puede cubrir en años sucesivos las necesidades reales de financiación si no se actualizan los cálculos. Concluye, por ello, el Gobierno de la Comunidad Valenciana que, en realidad, este instrumento no trata de lograr el objetivo de cubrir las necesidades reales </w:t>
      </w:r>
      <w:r>
        <w:lastRenderedPageBreak/>
        <w:t xml:space="preserve">de financiación, sino tan solo mantener el nivel de ingresos en el año base, con lo que pasa a convertirse en un obstáculo para la suficiencia, habida cuenta de que “la cantidad fijada por el </w:t>
      </w:r>
      <w:r w:rsidRPr="00163957">
        <w:rPr>
          <w:i/>
        </w:rPr>
        <w:t>statu quo</w:t>
      </w:r>
      <w:r>
        <w:t xml:space="preserve"> inicial era muy baja”.</w:t>
      </w:r>
    </w:p>
    <w:p w:rsidR="00163957" w:rsidRDefault="00163957" w:rsidP="00163957">
      <w:pPr>
        <w:pStyle w:val="TextoNormal"/>
      </w:pPr>
    </w:p>
    <w:p w:rsidR="00163957" w:rsidRDefault="00163957" w:rsidP="00163957">
      <w:pPr>
        <w:pStyle w:val="TextoNormal"/>
      </w:pPr>
      <w:r>
        <w:t>El Gobierno de la Comunidad Valenciana aporta una serie de datos relativos al porcentaje en que los recursos del sistema de financiación contribuyen a financiar el gasto en servicios públicos fundamentales presupuestado (alegando que la Comunidad Valenciana tiene el menor nivel de cobertura de todas las Comunidades Autónomas), así como ciertos datos puestos de manifiesto por la autoridad independiente de responsabilidad fiscal en su informe de 20 de noviembre de 2015, según los cuales la presión fiscal autonómica en esta Comunidad presenta un índice algo superior a la media y el gasto primario (es decir, sin considerar los gastos financieros por endeudamiento y similares) presupuestado por ella no es mayor que la media de las Comunidades. Esta valoración de la Autoridad Independiente de Responsabilidad Fiscal vendría a coincidir, según el escrito de recurso, con la que se extrae del sistema de cuentas públicas territorializadas publicado por el Ministerio de Hacienda y Administraciones Públicas en el año 2015.</w:t>
      </w:r>
    </w:p>
    <w:p w:rsidR="00163957" w:rsidRDefault="00163957" w:rsidP="00163957">
      <w:pPr>
        <w:pStyle w:val="TextoNormal"/>
      </w:pPr>
    </w:p>
    <w:p w:rsidR="00163957" w:rsidRDefault="00163957" w:rsidP="00163957">
      <w:pPr>
        <w:pStyle w:val="TextoNormal"/>
      </w:pPr>
      <w:r>
        <w:t>Dado que, según el recurrente, la LPGE 2016 y, en particular, el fondo de suficiencia global previsto en ella no cumplen con el principio de suficiencia, ni con la garantía de prestación los servicios públicos fundamentales en condiciones de igualdad con el resto de Comunidades, se estarían vulnerando los arts. 158.1 CE y 2.1 f) y 15 LOFCA.</w:t>
      </w:r>
    </w:p>
    <w:p w:rsidR="00163957" w:rsidRDefault="00163957" w:rsidP="00163957">
      <w:pPr>
        <w:pStyle w:val="TextoNormal"/>
      </w:pPr>
    </w:p>
    <w:p w:rsidR="00163957" w:rsidRDefault="00163957" w:rsidP="00163957">
      <w:pPr>
        <w:pStyle w:val="TextoNormal"/>
      </w:pPr>
      <w:r>
        <w:t>Se consideran infringidos, de igual forma, los arts. 31.2 y 40.1 CE; el primero, debido a que el legislador estatal ha aprobado una distribución de los fondos de garantía de los servicios públicos fundamentales y de suficiencia global sin atender al volumen de competencias asumido por la Comunidad Valenciana, por lo que no efectúa una asignación eficiente del gasto público, teniendo en cuenta que el mayor volumen de gestión de competencias corresponde a las Administraciones territoriales; y el segundo, porque se impide que la Comunidad Valenciana pueda financiar el nivel de gasto previsto en sus presupuestos para 2016, que se ha determinado de acuerdo con lo previsto en los arts. 2.1 f) y 15 LOFCA.</w:t>
      </w:r>
    </w:p>
    <w:p w:rsidR="00163957" w:rsidRDefault="00163957" w:rsidP="00163957">
      <w:pPr>
        <w:pStyle w:val="TextoNormal"/>
      </w:pPr>
    </w:p>
    <w:p w:rsidR="00163957" w:rsidRDefault="00163957" w:rsidP="00163957">
      <w:pPr>
        <w:pStyle w:val="TextoNormal"/>
      </w:pPr>
      <w:r>
        <w:t>Y añade, en último lugar, que, a pesar de la imposibilidad de la Comunidad Valenciana de alcanzar el gasto medio en los servicios asumidos, la LPGE 2016 no establece una asignación en los términos exigidos por los arts. 158.1 CE y 15 LOFCA, incumpliéndose la doctrina constitucional aplicable (invoca las SSTC 104/2000, de 13 de abril, FJ 4, y 13/2007, de 18 de enero, FFJJ 5 y 7).</w:t>
      </w:r>
    </w:p>
    <w:p w:rsidR="00163957" w:rsidRDefault="00163957" w:rsidP="00163957">
      <w:pPr>
        <w:pStyle w:val="TextoNormal"/>
      </w:pPr>
    </w:p>
    <w:p w:rsidR="00163957" w:rsidRDefault="00163957" w:rsidP="00163957">
      <w:pPr>
        <w:pStyle w:val="TextoNormal"/>
      </w:pPr>
      <w:r>
        <w:t>b) La prórroga del sistema de financiación vulnera el bloque de la constitucionalidad y no ampara las previsiones de la LPGE 2016 en relación con los fondos de financiación y sus partidas de ingresos y gastos, incurriendo en arbitrariedad, lo que incumple el art. 9.3 CE.</w:t>
      </w:r>
    </w:p>
    <w:p w:rsidR="00163957" w:rsidRDefault="00163957" w:rsidP="00163957">
      <w:pPr>
        <w:pStyle w:val="TextoNormal"/>
      </w:pPr>
    </w:p>
    <w:p w:rsidR="00163957" w:rsidRDefault="00163957" w:rsidP="00163957">
      <w:pPr>
        <w:pStyle w:val="TextoNormal"/>
      </w:pPr>
      <w:r>
        <w:t xml:space="preserve">El escrito de demanda aduce, a este respecto, que el sistema de financiación actual está prolongando sus efectos temporales más allá de lo previsto en la Ley 22/2009, cuya disposición adicional séptima prevé una revisión quinquenal, como también se recoge en el art. 2.1 g) LOFCA. Así, según el recurso, desde el 1 de enero de 2014 debería tener efectos un nuevo modelo “más justo y equilibrado que garantice los principios constitucionales”, a pesar de lo cual el modelo de 2009 se ha seguido aplicando “por decisión unilateral y no </w:t>
      </w:r>
      <w:r>
        <w:lastRenderedPageBreak/>
        <w:t>consensuada con las Comunidades Autónomas”, provocando que sus “efectos perniciosos” se extiendan a ejercicios posteriores “sin marco jurídico alguno”.</w:t>
      </w:r>
    </w:p>
    <w:p w:rsidR="00163957" w:rsidRDefault="00163957" w:rsidP="00163957">
      <w:pPr>
        <w:pStyle w:val="TextoNormal"/>
      </w:pPr>
    </w:p>
    <w:p w:rsidR="00163957" w:rsidRDefault="00163957" w:rsidP="00163957">
      <w:pPr>
        <w:pStyle w:val="TextoNormal"/>
      </w:pPr>
      <w:r>
        <w:t>El Consell de la Generalitat Valenciana invoca, en este extremo, la regulación del principio de lealtad institucional recogido en el art. 2.1 g) LOFCA, que prevé la valoración quinquenal del impacto en materia de ingresos y de gastos de las actuaciones legislativas del Estado y de las Comunidades Autónomas; para, posteriormente, enunciar una serie de disposiciones normativas del Estado que habrían supuesto ciertas obligaciones de gasto no previstas a la fecha de aprobación del actual sistema, junto con una relación de medidas estatales que han significado una reducción de ingresos tributarios para las Comunidades Autónomas. Al no tener en consideración estas modificaciones, la LPGE 2016 estaría desconociendo el mandato del art. 2.1 g) LOFCA.</w:t>
      </w:r>
    </w:p>
    <w:p w:rsidR="00163957" w:rsidRDefault="00163957" w:rsidP="00163957">
      <w:pPr>
        <w:pStyle w:val="TextoNormal"/>
      </w:pPr>
    </w:p>
    <w:p w:rsidR="00163957" w:rsidRDefault="00163957" w:rsidP="00163957">
      <w:pPr>
        <w:pStyle w:val="TextoNormal"/>
      </w:pPr>
      <w:r>
        <w:t>Ante la falta de un modelo quinquenal pactado que sustituya al de la Ley 22/2009, el Gobierno autonómico recurrente considera que “no hay forma de hacer un cálculo razonable y razonado del Fondo de Suficiencia Global, ni de los Ingresos Tributarios del Estado (ITES) necesarios para el sistema”, de modo que, dada la falta de revisión del sistema prevista por la LOFCA y el establecimiento de un nuevo quinquenio para el período 2014-2018, quedan vacías de contenido todas las previsiones de la LPGE 2016 en lo atinente a la financiación de las Comunidades Autónomas.</w:t>
      </w:r>
    </w:p>
    <w:p w:rsidR="00163957" w:rsidRDefault="00163957" w:rsidP="00163957">
      <w:pPr>
        <w:pStyle w:val="TextoNormal"/>
      </w:pPr>
    </w:p>
    <w:p w:rsidR="00163957" w:rsidRDefault="00163957" w:rsidP="00163957">
      <w:pPr>
        <w:pStyle w:val="TextoNormal"/>
      </w:pPr>
      <w:r>
        <w:t>A lo anterior anuda el recurrente que los arts. 111 y 112 LPGE 2016 y las partidas presupuestarias vinculadas a ellos incurren en arbitrariedad, violando el art. 9.3 CE. Asimismo, se considera vulnerado el principio de seguridad jurídica, recogido también en el art. 9.3 CE, por cuanto la no revisión del sistema de financiación deja sin soporte jurídico alguno el contenido de la LPGE 2016 en lo tocante a la financiación autonómica.</w:t>
      </w:r>
    </w:p>
    <w:p w:rsidR="00163957" w:rsidRDefault="00163957" w:rsidP="00163957">
      <w:pPr>
        <w:pStyle w:val="TextoNormal"/>
      </w:pPr>
    </w:p>
    <w:p w:rsidR="00163957" w:rsidRDefault="00163957" w:rsidP="00163957">
      <w:pPr>
        <w:pStyle w:val="TextoNormal"/>
      </w:pPr>
      <w:r>
        <w:t>El escrito concluye reiterando que la LPGE 2016 incumple las previsiones del art. 158.1 CE y del art. 67 EAV y su normativa de desarrollo, por no garantizar el nivel de ingresos que asegure la financiación de los servicios públicos fundamentales a un nivel medio equiparable al del conjunto del Estado. La aplicación de dicha Ley de presupuestos, con unos criterios de cálculo para el fondo de suficiencia global “sin base legal”, tiene como resultado que la Generalitat Valenciana dispondrá en 2016 de una insuficiente financiación para el ejercicio de sus competencias estatutarias, pues el nivel de recursos que le proporciona no respeta los principios que establecen la Constitución, la LOFCA y el Estatuto de Autonomía, referidos tanto a la suficiencia de recursos para el ejercicio del conjunto de competencias autonómicas, como a la igualdad de recursos por habitante para atender los servicios públicos fundamentales; a lo que se suma que es un sistema de financiación autonómica caduco, que ya ha perdido vigencia por no haber sido revisado en el plazo que marca la ley.</w:t>
      </w:r>
    </w:p>
    <w:p w:rsidR="00163957" w:rsidRDefault="00163957" w:rsidP="00163957">
      <w:pPr>
        <w:pStyle w:val="TextoNormal"/>
      </w:pPr>
    </w:p>
    <w:p w:rsidR="00163957" w:rsidRDefault="00163957" w:rsidP="00163957">
      <w:pPr>
        <w:pStyle w:val="TextoNormal"/>
      </w:pPr>
      <w:r>
        <w:t>Como consecuencia de lo expuesto, el Consell solicita que el Tribunal Constitucional anule la cuantía prevista en el presupuesto de ingresos del Estado, concepto 458 “Por Fondo de Suficiencia y otros”, por lo que se refiere a la aportación de la Comunidad Valenciana, fijada en el importe de 1.329.533.560 €, lo que implica que las transferencias a la misma se incrementen en esa misma cantidad, al no descontarse dicha aportación de las entregas a cuenta previstas a favor de la Comunidad.</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2</w:t>
      </w:r>
      <w:r>
        <w:t>. Por providencia de 16 de febrero de 2016 el Pleno de este Tribunal acordó admitir a trámite el presente recurso de inconstitucionalidad, dando traslado de la demanda y documentos presentados, conforme establece el art. 34 de la Ley Orgánica del Tribunal Constitucional (LOTC), al Congreso de los Diputados y al Senado, por conducto de sus Presidentes, y al Gobierno de la Nación por conducto del Ministro de Justicia, al objeto de que en el plazo de quince días pudieran personarse en el proceso y formular las alegaciones que estimasen convenientes. Al tiempo, se dispuso publicar la incoación del recurso de inconstitucionalidad en el “Boletín Oficial del Estado” (lo que se llevó a efecto en el “BOE” núm. 44, de 20 de febrero).</w:t>
      </w:r>
    </w:p>
    <w:p w:rsidR="00163957" w:rsidRDefault="00163957" w:rsidP="00163957">
      <w:pPr>
        <w:pStyle w:val="TextoNormal"/>
      </w:pPr>
    </w:p>
    <w:p w:rsidR="00163957" w:rsidRDefault="00163957" w:rsidP="00163957">
      <w:pPr>
        <w:pStyle w:val="TextoNormal"/>
      </w:pPr>
      <w:r w:rsidRPr="00163957">
        <w:rPr>
          <w:rStyle w:val="NumeroAFNegritaCaracter"/>
        </w:rPr>
        <w:t>3</w:t>
      </w:r>
      <w:r>
        <w:t>. El Presidente del Congreso de los Diputados —mediante escrito registrado en este Tribunal el 26 de febrero de 2016— y el Presidente del Senado —por medio de escrito registrado el 2 de marzo del mismo año— comunicaron los acuerdos de las respectivas Mesas de las Cámaras de personación en el procedimiento y de ofrecimiento de colaboración a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4</w:t>
      </w:r>
      <w:r>
        <w:t>. Por escrito registrado el 9 de marzo de 2016, el Abogado del Estado solicitó su personación en nombre del Gobierno de la Nación y una ampliación del plazo de presentación de alegaciones, accediéndose a ambas peticiones mediante providencia de la misma fecha, que amplió en ocho días el plazo inicialmente conferido.</w:t>
      </w:r>
    </w:p>
    <w:p w:rsidR="00163957" w:rsidRDefault="00163957" w:rsidP="00163957">
      <w:pPr>
        <w:pStyle w:val="TextoNormal"/>
      </w:pPr>
    </w:p>
    <w:p w:rsidR="00163957" w:rsidRDefault="00163957" w:rsidP="00163957">
      <w:pPr>
        <w:pStyle w:val="TextoNormal"/>
      </w:pPr>
      <w:r w:rsidRPr="00163957">
        <w:rPr>
          <w:rStyle w:val="NumeroAFNegritaCaracter"/>
        </w:rPr>
        <w:t>5</w:t>
      </w:r>
      <w:r>
        <w:t>. El 22 de marzo de 2016 el Abogado del Estado, en la representación que ostenta, presentó su escrito de alegaciones, interesando la inadmisión y, con carácter subsidiario, desestimación íntegra del recurso, por las razones que resumidamente se pasan a exponer:</w:t>
      </w:r>
    </w:p>
    <w:p w:rsidR="00163957" w:rsidRDefault="00163957" w:rsidP="00163957">
      <w:pPr>
        <w:pStyle w:val="TextoNormal"/>
      </w:pPr>
    </w:p>
    <w:p w:rsidR="00163957" w:rsidRDefault="00163957" w:rsidP="00163957">
      <w:pPr>
        <w:pStyle w:val="TextoNormal"/>
      </w:pPr>
      <w:r>
        <w:t>a) El Abogado del Estado comienza destacando los objetivos y las líneas fundamentales del sistema de financiación autonómica en vigor desde 2009, junto con los elementos principales que lo componen y la interconexión entre ellos. Dichos elementos son la capacidad tributaria (tributos cedidos), el fondo de garantía de servicios públicos fundamentales, el fondo de suficiencia global y los fondos de convergencia (de competitividad y de cooperación), a los que se suman otros recursos financieros de las Comunidades Autónomas no integrados en sentido estricto dentro del sistema, como el fondo de compensación interterritorial.</w:t>
      </w:r>
    </w:p>
    <w:p w:rsidR="00163957" w:rsidRDefault="00163957" w:rsidP="00163957">
      <w:pPr>
        <w:pStyle w:val="TextoNormal"/>
      </w:pPr>
    </w:p>
    <w:p w:rsidR="00163957" w:rsidRDefault="00163957" w:rsidP="00163957">
      <w:pPr>
        <w:pStyle w:val="TextoNormal"/>
      </w:pPr>
      <w:r>
        <w:t>Recuerda, a continuación, que el sistema regulado en la LOFCA (según redacción dada por la Ley Orgánica 3/2009, de 18 de diciembre) y en la Ley 22/2009 fue aprobado en ejercicio de la competencia que los arts. 149.1.14 y 157.3 CE reconocen al Estado, como señala la doctrina constitucional en esta materia (cita especialmente las SSTC 13/2007, de 18 de enero, y 76/2014, de 8 de mayo).</w:t>
      </w:r>
    </w:p>
    <w:p w:rsidR="00163957" w:rsidRDefault="00163957" w:rsidP="00163957">
      <w:pPr>
        <w:pStyle w:val="TextoNormal"/>
      </w:pPr>
    </w:p>
    <w:p w:rsidR="00163957" w:rsidRDefault="00163957" w:rsidP="00163957">
      <w:pPr>
        <w:pStyle w:val="TextoNormal"/>
      </w:pPr>
      <w:r>
        <w:t>Tras detallar el funcionamiento del fondo de suficiencia global, como mecanismo de cierre del sistema, el Abogado del Estado aborda la impugnación de las partidas de la LPGE 2016 sobre las que se plantea el recurso de inconstitucionalidad mencionando, en primer término, que no han sido adoptadas discrecionalmente por el legislador presupuestario —como pretende el recurrente—, sino que son el resultado de la aplicación reglada y automá</w:t>
      </w:r>
      <w:r>
        <w:lastRenderedPageBreak/>
        <w:t>tica de la Ley 22/2009 que, además, fue expresamente aceptada por la Comunidad Valenciana en la sesión de la comisión mixta de transferencias con el Estado celebrada el 21 de diciembre de 2009, en prueba de lo cual aporta el acta de la mencionada reunión.</w:t>
      </w:r>
    </w:p>
    <w:p w:rsidR="00163957" w:rsidRDefault="00163957" w:rsidP="00163957">
      <w:pPr>
        <w:pStyle w:val="TextoNormal"/>
      </w:pPr>
    </w:p>
    <w:p w:rsidR="00163957" w:rsidRDefault="00163957" w:rsidP="00163957">
      <w:pPr>
        <w:pStyle w:val="TextoNormal"/>
      </w:pPr>
      <w:r>
        <w:t>El Abogado del Estado resalta que el Gobierno de la Comunidad Valenciana no cuestiona que las partidas impugnadas se ajusten a las normas reguladoras del sistema de financiación, sino que discrepa del sistema en sí, desde la óptica de que debería llegar a la Comunidad más recursos de los que le proporciona. Por esta razón, el representante del Gobierno de la Nación sostiene que el recurso debería inadmitirse, puesto que se dirige contra una ley de presupuestos que no hace sino aplicar las prescripciones de la Ley 22/2009, que no ha sido impugnada en tiempo y forma por la Comunidad Autónoma sino que, al contrario, ha sido expresamente asumida por ella, como pone de manifiesto el acta de la comisión mixta de transferencias aportada.</w:t>
      </w:r>
    </w:p>
    <w:p w:rsidR="00163957" w:rsidRDefault="00163957" w:rsidP="00163957">
      <w:pPr>
        <w:pStyle w:val="TextoNormal"/>
      </w:pPr>
    </w:p>
    <w:p w:rsidR="00163957" w:rsidRDefault="00163957" w:rsidP="00163957">
      <w:pPr>
        <w:pStyle w:val="TextoNormal"/>
      </w:pPr>
      <w:r>
        <w:t>Para la Administración del Estado, el recurso tampoco invoca argumentos jurídicos, sino políticos, para demandar una financiación mayor que la reconocida por el vigente sistema, que fue acordado entre el Estado y las Comunidades Autónomas (incluida la aquí recurrente), sin que pueda acogerse la pretensión de que, asumiendo el papel de legislador, el Tribunal Constitucional anule o modifique la cuantía del fondo de suficiencia global de la Comunidad Valenciana para el año 2016. Las alegaciones del Abogado del Estado, además, enfatizan la incoherencia que supone impugnar el importe del fondo de suficiencia global del resto de Comunidades Autónomas (incluido en la Sección 36 “Sistemas de Financiación de Entes Territoriales”), sin aportar fundamento alguno de tal impugnación ni de su conexión con la pretensión del recurrente, que se circunscribe al fondo de suficiencia global de su Comunidad Autónoma.</w:t>
      </w:r>
    </w:p>
    <w:p w:rsidR="00163957" w:rsidRDefault="00163957" w:rsidP="00163957">
      <w:pPr>
        <w:pStyle w:val="TextoNormal"/>
      </w:pPr>
    </w:p>
    <w:p w:rsidR="00163957" w:rsidRDefault="00163957" w:rsidP="00163957">
      <w:pPr>
        <w:pStyle w:val="TextoNormal"/>
      </w:pPr>
      <w:r>
        <w:t>Aunque el Abogado del Estado entiende que con lo expuesto sería suficiente para la inadmisión o desestimación íntegra del recurso, a renglón seguido entra a rebatir la pretendida insuficiencia de recursos denunciada por el Gobierno Valenciano, recordando que, con arreglo a la doctrina constitucional, el principio de suficiencia financiera es, en primer lugar, un concepto relativo, que está condicionado por las disponibilidades financieras del Estado en su conjunto; y, en segundo término, que la suficiencia solo puede valorarse atendiendo a la totalidad de recursos a disposición de la Comunidad, y no solo a uno de ellos, de tal suerte que la cuantía de uno de los recursos que conforman el sistema de financiación no puede utilizarse para extraer conclusiones sobre la suficiencia del conjunto.</w:t>
      </w:r>
    </w:p>
    <w:p w:rsidR="00163957" w:rsidRDefault="00163957" w:rsidP="00163957">
      <w:pPr>
        <w:pStyle w:val="TextoNormal"/>
      </w:pPr>
    </w:p>
    <w:p w:rsidR="00163957" w:rsidRDefault="00163957" w:rsidP="00163957">
      <w:pPr>
        <w:pStyle w:val="TextoNormal"/>
      </w:pPr>
      <w:r>
        <w:t xml:space="preserve">Frente a los datos sobre la financiación de la Comunidad Valenciana que se hacen valer en el recurso, el representante del Gobierno de la Nación razona, por una parte, que el hecho de haber presupuestado para 2016 un gasto superior al que puede cubrir con sus recursos financieros (considerando el margen de déficit autorizado) en absoluto puede interpretarse como prueba de que el sistema de financiación incumple el principio de suficiencia; por otra, descarta la interpretación del art. 15 LOFCA que postula el recurso, según la cual se estaría incumpliendo dicho precepto porque el sistema no le permite alcanzar el nivel medio de gasto del conjunto de las Comunidades Autónomas. En este segundo punto el Abogado del Estado argumenta que el art. 15 LOFCA dispone expresamente que el nivel mínimo de los servicios públicos fundamentales garantizado es el derivado del fondo de garantía de </w:t>
      </w:r>
      <w:r>
        <w:lastRenderedPageBreak/>
        <w:t>servicios públicos fundamentales, que proporciona a cada Comunidad Autónoma una cantidad igual por habitante ajustado (que es la población ponderada según los indicadores de gasto acordados).</w:t>
      </w:r>
    </w:p>
    <w:p w:rsidR="00163957" w:rsidRDefault="00163957" w:rsidP="00163957">
      <w:pPr>
        <w:pStyle w:val="TextoNormal"/>
      </w:pPr>
    </w:p>
    <w:p w:rsidR="00163957" w:rsidRDefault="00163957" w:rsidP="00163957">
      <w:pPr>
        <w:pStyle w:val="TextoNormal"/>
      </w:pPr>
      <w:r>
        <w:t>El Abogado del Estado concluye este apartado señalando que el actual sistema de financiación no persigue garantizar que el nivel de financiación o de gasto per cápita sea idéntico en todas las Comunidades Autónomas y que la existencia de diferencias, siempre que estén comprendidas dentro de los límites previstos por el legislador, no vulnera los principios constitucionales en juego.</w:t>
      </w:r>
    </w:p>
    <w:p w:rsidR="00163957" w:rsidRDefault="00163957" w:rsidP="00163957">
      <w:pPr>
        <w:pStyle w:val="TextoNormal"/>
      </w:pPr>
    </w:p>
    <w:p w:rsidR="00163957" w:rsidRDefault="00163957" w:rsidP="00163957">
      <w:pPr>
        <w:pStyle w:val="TextoNormal"/>
      </w:pPr>
      <w:r>
        <w:t>b) En lo concerniente a la alegada caducidad del sistema de financiación autonómica regulado en la LOFCA, tras su modificación por la Ley Orgánica 3/2009, y en la Ley 22/2009, el Abogado del Estado comienza apuntando a que este motivo de impugnación debería ser el primero en analizarse, pues si el actual sistema fuera ilegal, como se pretende, decaerían necesariamente las disposiciones normativas impugnadas (y el resto que estén conectadas con la financiación autonómica), para interesar, acto seguido, la inadmisión del recurso en este punto, por la “falta evidente de conexión con su objeto”.</w:t>
      </w:r>
    </w:p>
    <w:p w:rsidR="00163957" w:rsidRDefault="00163957" w:rsidP="00163957">
      <w:pPr>
        <w:pStyle w:val="TextoNormal"/>
      </w:pPr>
    </w:p>
    <w:p w:rsidR="00163957" w:rsidRDefault="00163957" w:rsidP="00163957">
      <w:pPr>
        <w:pStyle w:val="TextoNormal"/>
      </w:pPr>
      <w:r>
        <w:t>En todo caso, el Abogado del Estado discrepa de la interpretación que hace la Comunidad Autónoma demandante del art. 2.1 g) LOFCA y de las disposiciones adicional séptima y transitoria tercera de la Ley 22/2009, toda vez que en ninguna de dichas normas se prevé una fecha a partir de la cual el actual sistema deje de ser aplicable, como alega la Letrada de la Generalitat Valenciana, sino que se limitan a fijar la forma y el momento en que deben valorarse los efectos de la aplicación del sistema actual para su revisión y, en su caso, reforma, pero sin establecer una fecha concreta para que dicha revisión o reforma entren en vigor. Por esta misma razón, carece de sentido la mención a los supuestos incrementos de gastos o reducciones de ingresos autonómicos imputables a decisiones del Estado, ya que la LPGE 2016 no es el instrumento para tener en cuenta su impacto en la financiación de la Comunidad Valenciana.</w:t>
      </w:r>
    </w:p>
    <w:p w:rsidR="00163957" w:rsidRDefault="00163957" w:rsidP="00163957">
      <w:pPr>
        <w:pStyle w:val="TextoNormal"/>
      </w:pPr>
    </w:p>
    <w:p w:rsidR="00163957" w:rsidRDefault="00163957" w:rsidP="00163957">
      <w:pPr>
        <w:pStyle w:val="TextoNormal"/>
      </w:pPr>
      <w:r>
        <w:t>En suma, y como corolario de lo expuesto, la representación de la Administración del Estado solicita la inadmisión y, subsidiariamente, íntegra desestimación del recurso, por ser la LPGE 2016 plenamente respetuosa con los principios constitucionales de aplicación en materia de financiación autonómica.</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10 de mayo de 2016, se señaló el día 12 de mayo para la deliberación y votación de la presente Sentencia.</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La presente resolución tiene por objeto resolver el recurso de inconstitucionalidad interpuesto por el Consell de la Generalitat Valenciana contra las transferencias por el fondo de suficiencia global a las que se refieren los arts. 111 y 112 de la Ley 48/2015, de 29 de octubre, de presupuestos generales del Estado para 2016 (LPGE 2016, en adelante). En concreto, según se ha expuesto en los antecedentes, el escrito de recurso centra la impugnación en el concepto 451 del presupuesto de gastos del Estado, que recoge las transferencias por </w:t>
      </w:r>
      <w:r>
        <w:lastRenderedPageBreak/>
        <w:t>fondo de suficiencia global a las Comunidades Autónomas para las que este arroja un importe positivo; y en el concepto 458 del presupuesto de ingresos, que incluye, entre otras partidas, las transferencias de las Comunidades Autónomas al Estado por el fondo de suficiencia global en aquellos casos en los que este presenta un importe negativo, entre los que se halla la Comunidad Valenciana.</w:t>
      </w:r>
    </w:p>
    <w:p w:rsidR="00163957" w:rsidRDefault="00163957" w:rsidP="00163957">
      <w:pPr>
        <w:pStyle w:val="TextoNormal"/>
      </w:pPr>
    </w:p>
    <w:p w:rsidR="00163957" w:rsidRDefault="00163957" w:rsidP="00163957">
      <w:pPr>
        <w:pStyle w:val="TextoNormal"/>
      </w:pPr>
      <w:r>
        <w:t xml:space="preserve">El </w:t>
      </w:r>
      <w:r w:rsidRPr="00163957">
        <w:rPr>
          <w:i/>
        </w:rPr>
        <w:t>petitum</w:t>
      </w:r>
      <w:r>
        <w:t xml:space="preserve"> de la demanda se concreta en que este Tribunal anule la cuantía prevista en el concepto 458 del presupuesto de ingresos del Estado para 2016, correspondiente al fondo de suficiencia global negativo de la Comunidad Valenciana, por importe de 1.329.533.560 €, por considerarlo inconstitucional. El efecto de dicha anulación habría de ser un incremento de la misma cuantía en la financiación correspondiente a dicha Comunidad Autónoma en el año 2016. Esto es, se solicita la declaración de inconstitucionalidad del fondo de suficiencia global previsto en la LPGE 2016 para esta Comunidad Autónoma lo que, dado su signo negativo (transferencia de la Comunidad Autónoma al Estado), significa que la participación en ingresos del Estado que le correspondería se vería aumentada en el mismo importe que se anula.</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examen de fondo, procede efectuar determinadas consideraciones preliminares, a fin de delimitar con precisión el objeto de la controversia y el alcance de nuestro enjuiciamiento:</w:t>
      </w:r>
    </w:p>
    <w:p w:rsidR="00163957" w:rsidRDefault="00163957" w:rsidP="00163957">
      <w:pPr>
        <w:pStyle w:val="TextoNormal"/>
      </w:pPr>
    </w:p>
    <w:p w:rsidR="00163957" w:rsidRDefault="00163957" w:rsidP="00163957">
      <w:pPr>
        <w:pStyle w:val="TextoNormal"/>
      </w:pPr>
      <w:r>
        <w:t>a) Debemos comenzar recordando que no existe ningún óbice para que el presente recurso de inconstitucionalidad se extienda a las indicadas partidas presupuestarias pues, como ya indicamos en la STC 63/1986, de 21 de mayo, FJ 5, y hemos reiterado en otras posteriores (por todas, STC 13/2007, de 18 de enero, FJ 1; y, específicamente en relación con las partidas de ingreso, STC 101/2013, de 13 de abril, FJ 7), no solo el articulado de las leyes de presupuestos generales del Estado, sino también los estados de ingresos y gastos que se incluyen en ellas son susceptibles de impugnación y, por tanto, constituyen un “objeto idóneo” del recurso de inconstitucionalidad.</w:t>
      </w:r>
    </w:p>
    <w:p w:rsidR="00163957" w:rsidRDefault="00163957" w:rsidP="00163957">
      <w:pPr>
        <w:pStyle w:val="TextoNormal"/>
      </w:pPr>
    </w:p>
    <w:p w:rsidR="00163957" w:rsidRDefault="00163957" w:rsidP="00163957">
      <w:pPr>
        <w:pStyle w:val="TextoNormal"/>
      </w:pPr>
      <w:r>
        <w:t>De la lectura del escrito de demanda se deduce, no obstante, que la pretensión del Gobierno de la Comunidad Valenciana solo se dirige realmente contra el fondo de suficiencia global (negativo) de dicha Comunidad que se incluye en el concepto 458 del presupuesto de ingresos del Estado para 2016, cuya anulación interesa, sin formular ninguna reclamación respecto de las transferencias a las Comunidades Autónomas por el fondo de suficiencia global (positivo) que están presupuestadas en el concepto 451 del estado de gastos, sobre cuya supuesta inconstitucionalidad no aporta argumento alguno.</w:t>
      </w:r>
    </w:p>
    <w:p w:rsidR="00163957" w:rsidRDefault="00163957" w:rsidP="00163957">
      <w:pPr>
        <w:pStyle w:val="TextoNormal"/>
      </w:pPr>
    </w:p>
    <w:p w:rsidR="00163957" w:rsidRDefault="00163957" w:rsidP="00163957">
      <w:pPr>
        <w:pStyle w:val="TextoNormal"/>
      </w:pPr>
      <w:r>
        <w:t xml:space="preserve">Lo anterior se confirma a la luz de la pretensión del Gobierno recurrente, que es obtener una mayor financiación del Estado con cargo a los recursos de este, es decir, aumentar su participación en los ingresos estatales, sin que del escrito de recurso se desprenda una solicitud de menor financiación para otras Comunidades Autónomas (las que cuentan con un fondo de suficiencia global positivo), de tal modo que las transferencias a dichas Comunidades consignadas en el concepto 451 del estado de gastos no resultan verdaderamente controvertidas. En consecuencia, tales partidas deben quedar fuera del objeto de nuestro enjuiciamiento, al no existir ningún contenido argumentativo sobre ellas, con lo que no solo se falta, en los términos tantas veces reiterados por nuestra doctrina [por todas, STC 76/2014, FJ 2 b)], a la diligencia procesal exigible a las partes, sino que, además, no queda alterada </w:t>
      </w:r>
      <w:r>
        <w:lastRenderedPageBreak/>
        <w:t>la presunción de constitucionalidad de toda norma legal “que no puede desvirtuarse sin más, prescindiendo de una razón suficientemente fundada” [SSTC 13/2007, FJ 1; 204/2011, de 15 de diciembre, FJ 2 b); 22/2012, de 16 de febrero, FJ 2 b), y 136/2012, de 19 de junio, FJ 2 b)].</w:t>
      </w:r>
    </w:p>
    <w:p w:rsidR="00163957" w:rsidRDefault="00163957" w:rsidP="00163957">
      <w:pPr>
        <w:pStyle w:val="TextoNormal"/>
      </w:pPr>
    </w:p>
    <w:p w:rsidR="00163957" w:rsidRDefault="00163957" w:rsidP="00163957">
      <w:pPr>
        <w:pStyle w:val="TextoNormal"/>
      </w:pPr>
      <w:r>
        <w:t>b) Con independencia de lo anterior, el Abogado del Estado solicita la inadmisión del recurso en su totalidad, en la medida en que se dirige contra una ley de presupuestos que da cumplimiento a la normativa reguladora del vigente sistema de financiación de las Comunidades Autónomas, que no solo no fue impugnada en tiempo y forma por la Comunidad Valenciana, sino que esta aceptó expresamente en la comisión mixta de transferencias con el Estado de 21 de diciembre de 2009.</w:t>
      </w:r>
    </w:p>
    <w:p w:rsidR="00163957" w:rsidRDefault="00163957" w:rsidP="00163957">
      <w:pPr>
        <w:pStyle w:val="TextoNormal"/>
      </w:pPr>
    </w:p>
    <w:p w:rsidR="00163957" w:rsidRDefault="00163957" w:rsidP="00163957">
      <w:pPr>
        <w:pStyle w:val="TextoNormal"/>
      </w:pPr>
      <w:r>
        <w:t>En efecto, en el escrito de recurso no se niega que el fondo de suficiencia global (negativo) de la Comunidad Valenciana para el año 2016 responda a una correcta aplicación de las normas reguladoras del vigente sistema de financiación autonómica. Antes al contrario, se reconoce que su importe deriva de la forma en que en la Ley 22/2009, de 18 de diciembre, por la que se regula el sistema de financiación de las Comunidades Autónomas de régimen común y ciudades con Estatuto de Autonomía y se modifican determinadas normas tributarias (Ley 22/2009, en lo sucesivo) calculó el fondo de suficiencia global, con el fin de garantizar a cada Comunidad sus recursos anteriores (</w:t>
      </w:r>
      <w:r w:rsidRPr="00163957">
        <w:rPr>
          <w:i/>
        </w:rPr>
        <w:t>statu quo</w:t>
      </w:r>
      <w:r>
        <w:t>). En este sentido, señala la Abogacía del Estado, la inconstitucionalidad que hace valer el Consell de la Generalitat Valenciana se predicaría de las normas reguladoras del sistema de financiación y no de la LPGE 2016.</w:t>
      </w:r>
    </w:p>
    <w:p w:rsidR="00163957" w:rsidRDefault="00163957" w:rsidP="00163957">
      <w:pPr>
        <w:pStyle w:val="TextoNormal"/>
      </w:pPr>
    </w:p>
    <w:p w:rsidR="00163957" w:rsidRDefault="00163957" w:rsidP="00163957">
      <w:pPr>
        <w:pStyle w:val="TextoNormal"/>
      </w:pPr>
      <w:r>
        <w:t>A la vista de ello, si el Consell no pone en tela de juicio que el fondo de suficiencia global (negativo) de la Comunidad Valenciana incluido en la LPGE 2016 haya sido calculado cumpliendo los mandatos de la Ley 22/2009, nos enfrentamos a una impugnación diferente de la que fue resuelta por las SSTC 76/2014, de 8 de mayo; 152/2014, de 25 de septiembre; 163/2014, de 8 de octubre, y 172/2014, de 23 de octubre, en tanto que, en todas estas, la controversia giraba en torno a si los presupuestos generales del Estado recurridos daban cumplimiento o no a las prescripciones de las normas reguladoras del sistema de financiación.</w:t>
      </w:r>
    </w:p>
    <w:p w:rsidR="00163957" w:rsidRDefault="00163957" w:rsidP="00163957">
      <w:pPr>
        <w:pStyle w:val="TextoNormal"/>
      </w:pPr>
    </w:p>
    <w:p w:rsidR="00163957" w:rsidRDefault="00163957" w:rsidP="00163957">
      <w:pPr>
        <w:pStyle w:val="TextoNormal"/>
      </w:pPr>
      <w:r>
        <w:t xml:space="preserve">En el supuesto que ahora se examina, por el contrario, la pretensión del Consell es denunciar la inconstitucionalidad de las leyes reguladoras del sistema de financiación, con ocasión del recurso contra la Ley de presupuestos que las aplica, en lo que hemos denominado una suerte de recurso </w:t>
      </w:r>
      <w:r w:rsidRPr="00163957">
        <w:rPr>
          <w:i/>
        </w:rPr>
        <w:t>per saltum</w:t>
      </w:r>
      <w:r>
        <w:t xml:space="preserve"> que ya en ocasiones anteriores hemos rechazado. Así, en un caso próximo al aquí enjuiciado, la STC 101/2013, en la que examinábamos la constitucionalidad de la compensación por el impuesto general sobre el tráfico de empresas incluida en el fondo de suficiencia de la Comunidad Autónoma de Canarias, señalamos que “por lo que [se refiere] al diseño del sistema de financiación de régimen común y el método para acomodar al mismo las concretas especialidades que supone el régimen económico-fiscal de Canarias, debemos limitarnos a examinar los concretos motivos de inconstitucionalidad alegados, sin que proceda en consecuencia enjuiciar, </w:t>
      </w:r>
      <w:r w:rsidRPr="00163957">
        <w:rPr>
          <w:i/>
        </w:rPr>
        <w:t>per saltum</w:t>
      </w:r>
      <w:r>
        <w:t xml:space="preserve">, el propio sistema de financiación en su aplicación a esta Comunidad Autónoma” (FJ 7). Y hemos confirmado este criterio, más recientemente, en nuestra STC 208/2014, de 15 de diciembre, FJ 3, excluyendo “una impugnación </w:t>
      </w:r>
      <w:r w:rsidRPr="00163957">
        <w:rPr>
          <w:i/>
        </w:rPr>
        <w:t>per saltum</w:t>
      </w:r>
      <w:r>
        <w:t xml:space="preserve"> de preceptos que no han sido formalmente recurridos en el propio proceso constitucional”.</w:t>
      </w:r>
    </w:p>
    <w:p w:rsidR="00163957" w:rsidRDefault="00163957" w:rsidP="00163957">
      <w:pPr>
        <w:pStyle w:val="TextoNormal"/>
      </w:pPr>
    </w:p>
    <w:p w:rsidR="00163957" w:rsidRDefault="00163957" w:rsidP="00163957">
      <w:pPr>
        <w:pStyle w:val="TextoNormal"/>
      </w:pPr>
      <w:r>
        <w:t xml:space="preserve">En consecuencia, debemos excluir </w:t>
      </w:r>
      <w:r w:rsidRPr="00163957">
        <w:rPr>
          <w:i/>
        </w:rPr>
        <w:t>a limine</w:t>
      </w:r>
      <w:r>
        <w:t xml:space="preserve"> que el presente recurso pueda extenderse a enjuiciar la constitucionalidad de las leyes reguladoras del sistema de financiación con base en las cuales se han calculado los créditos presupuestarios de la LPGE 2016 ya que, en aplicación de la doctrina antedicha, para discutir el sistema debería haberse presentado, en su caso, un recurso de inconstitucionalidad contra la Ley Orgánica 3/2009, por la que se modifica la Ley Orgánica 8/1980, de 22 de septiembre, de financiación de las Comunidades Autónomas (LOFCA) y la Ley 22/2009, que no pueden cuestionarse ahora al hilo de su aplicación en cada ley de presupuestos. Y conviene recordar que la Comunidad Valenciana no solo no se opuso a dichas normas, sino que las aceptó expresamente en la comisión mixta de transferencias con el Estado.</w:t>
      </w:r>
    </w:p>
    <w:p w:rsidR="00163957" w:rsidRDefault="00163957" w:rsidP="00163957">
      <w:pPr>
        <w:pStyle w:val="TextoNormal"/>
      </w:pPr>
    </w:p>
    <w:p w:rsidR="00163957" w:rsidRDefault="00163957" w:rsidP="00163957">
      <w:pPr>
        <w:pStyle w:val="TextoNormal"/>
      </w:pPr>
      <w:r>
        <w:t>Sin perjuicio de lo anterior, conviene tener presente, por una parte, que el recurrente pone en duda la vigencia de la Ley 22/2009 y que tal norma sea la que debe regir la financiación de las Comunidades Autónomas en 2016; y, por otra, que el recurso achaca a la LPGE 2016 que no haya previsto las asignaciones a que se refiere el art. 158.1 CE, con el fin de asegurar la suficiencia financiera de la Comunidad Valenciana y, en particular, la garantía de un nivel mínimo en la prestación de los servicios públicos fundamentales. Por consiguiente, es preciso abordar ambas tachas, a fin de despejar toda duda de constitucionalidad al respecto.</w:t>
      </w:r>
    </w:p>
    <w:p w:rsidR="00163957" w:rsidRDefault="00163957" w:rsidP="00163957">
      <w:pPr>
        <w:pStyle w:val="TextoNormal"/>
      </w:pPr>
    </w:p>
    <w:p w:rsidR="00163957" w:rsidRDefault="00163957" w:rsidP="00163957">
      <w:pPr>
        <w:pStyle w:val="TextoNormal"/>
      </w:pPr>
      <w:r>
        <w:t>c) Es necesario acotar adicionalmente el objeto del proceso, desde la perspectiva del canon de constitucionalidad aplicable. Hemos reiterado así la obligación que tienen quienes tratan de postular la inconstitucionalidad de una norma de expresar en sus alegaciones unos razonamientos suficientes en apoyo de su petición, sin que baste para ello con una invocación, meramente formal, de una serie de preceptos de la Constitución o del bloque de la constitucionalidad para que este Tribunal deba pronunciarse sobre la vulneración por la norma impugnada de todos y cada uno de ellos. Es preciso, para dar respuesta a cada vulneración concreta, que en el recurso se contenga la argumentación específica que fundamente la presunta contradicción constitucional [entre otras, SSTC 237/2007, de 8 de noviembre, FJ 3; 217/2013, de 19 de diciembre, FJ 1, y 76/2014, FJ 2 c)].</w:t>
      </w:r>
    </w:p>
    <w:p w:rsidR="00163957" w:rsidRDefault="00163957" w:rsidP="00163957">
      <w:pPr>
        <w:pStyle w:val="TextoNormal"/>
      </w:pPr>
    </w:p>
    <w:p w:rsidR="00163957" w:rsidRDefault="00163957" w:rsidP="00163957">
      <w:pPr>
        <w:pStyle w:val="TextoNormal"/>
      </w:pPr>
      <w:r>
        <w:t>A partir de esta consolidada doctrina, este Tribunal no puede examinar la compatibilidad de las disposiciones impugnadas cuando lo que hace el escrito de demanda es citar, en bloque, numerosos preceptos cuya vulneración se afirma sin una argumentación específica. Así sucede en el presente recurso con la mención de los arts. 2, 137, 138 y 157, apartados 1 c) y 3, todos ellos de la Constitución, y de los arts. 1, 4.2 y 16 LOFCA, preceptos todos ellos invocados sin expresión, siquiera sucinta, de los motivos concretos que justifican su vulneración. En cuanto al art. 2.1 LOFCA, que se invoca en todos sus apartados, tan solo se aprecia una argumentación específica en relación con el apartado f), suficiencia financiera, y g), valoración quinquenal del principio de lealtad institucional, por lo que a ellos debe ceñirse nuestro examen.</w:t>
      </w:r>
    </w:p>
    <w:p w:rsidR="00163957" w:rsidRDefault="00163957" w:rsidP="00163957">
      <w:pPr>
        <w:pStyle w:val="TextoNormal"/>
      </w:pPr>
    </w:p>
    <w:p w:rsidR="00163957" w:rsidRDefault="00163957" w:rsidP="00163957">
      <w:pPr>
        <w:pStyle w:val="TextoNormal"/>
      </w:pPr>
      <w:r>
        <w:t>De acuerdo con lo anterior, los preceptos del bloque de la constitucionalidad a los que debemos circunscribir nuestro análisis son los arts. 9.3 y 158.1 CE y 2.1 f) y g) y 15 LOFCA. La infracción de los arts. 31.2, 40.1 y 156.1 CE y 67 EAV, también invocados, sería, en su caso, consecuencia de la de aquellos, por lo que su examen queda condicionado a la conclusión que se alcance al respecto.</w:t>
      </w:r>
    </w:p>
    <w:p w:rsidR="00163957" w:rsidRDefault="00163957" w:rsidP="00163957">
      <w:pPr>
        <w:pStyle w:val="TextoNormal"/>
      </w:pPr>
    </w:p>
    <w:p w:rsidR="00163957" w:rsidRDefault="00163957" w:rsidP="00163957">
      <w:pPr>
        <w:pStyle w:val="TextoNormal"/>
      </w:pPr>
      <w:r>
        <w:lastRenderedPageBreak/>
        <w:t>En suma, el presente proceso constitucional debe contraerse a enjuiciar si el fondo de suficiencia global (negativo) de la Comunidad Valenciana que, por importe de 1.329.533.560 €, está incluido en el concepto 458 del presupuesto de ingresos del Estado para 2016 es respetuoso con los arts. 9.3 y 158.1 CE y 2.1 f) y g) y 15 LOFCA.</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El examen de los vicios de inconstitucionalidad que se achacan al fondo de suficiencia global (negativo) de la Comunidad Valenciana que se incluye en el concepto 458 (“Transferencias de las Comunidades Autónomas por Fondo de Suficiencia y otros”) del presupuesto de ingresos del Estado para 2016 debe acometerse, en un </w:t>
      </w:r>
      <w:r w:rsidRPr="00163957">
        <w:rPr>
          <w:i/>
        </w:rPr>
        <w:t>iter</w:t>
      </w:r>
      <w:r>
        <w:t xml:space="preserve"> lógico, aclarando previamente cuál es la normativa reguladora del sistema de financiación conforme a la que debe determinarse la participación de la Comunidad Valenciana en los ingresos del Estado en el año 2016.</w:t>
      </w:r>
    </w:p>
    <w:p w:rsidR="00163957" w:rsidRDefault="00163957" w:rsidP="00163957">
      <w:pPr>
        <w:pStyle w:val="TextoNormal"/>
      </w:pPr>
    </w:p>
    <w:p w:rsidR="00163957" w:rsidRDefault="00163957" w:rsidP="00163957">
      <w:pPr>
        <w:pStyle w:val="TextoNormal"/>
      </w:pPr>
      <w:r>
        <w:t>Como se ha expuesto en los antecedentes, el Gobierno de la Comunidad Valenciana considera que el sistema de financiación regulado en la actual LOFCA y en la Ley 22/2009, en aplicación del cual se han cuantificado las transferencias referidas a las Comunidades Autónomas recogidas en la LPGE 2016, se está prorrogando en contra de dichas leyes. Cita, al respecto, el art. 2.1 g) LOFCA y las disposiciones adicional séptima y transitoria tercera de la Ley 22/2009 que, a su juicio, establecen un límite quinquenal para la vigencia del sistema. Con ello se estaría vulnerando el art. 9.3 CE, tanto en la vertiente de interdicción de la arbitrariedad como en la de garantía de la seguridad jurídica, al tiempo que se perpetúa, continúa afirmando la demanda, la desigualdad de los ciudadanos de la Comunidad Valenciana en relación con el resto de los españoles.</w:t>
      </w:r>
    </w:p>
    <w:p w:rsidR="00163957" w:rsidRDefault="00163957" w:rsidP="00163957">
      <w:pPr>
        <w:pStyle w:val="TextoNormal"/>
      </w:pPr>
    </w:p>
    <w:p w:rsidR="00163957" w:rsidRDefault="00163957" w:rsidP="00163957">
      <w:pPr>
        <w:pStyle w:val="TextoNormal"/>
      </w:pPr>
      <w:r>
        <w:t>El Abogado del Estado puntualiza que el examen de este motivo de impugnación debe anteponerse al que afecta al principio de suficiencia financiera, y opone que ninguna de las normas citadas prevén una fecha a partir de la cual el actual sistema deje de ser aplicable, sino que establecen únicamente la forma y el momento en que deben valorarse los efectos del mismo para su revisión y, en su caso, posterior reforma.</w:t>
      </w:r>
    </w:p>
    <w:p w:rsidR="00163957" w:rsidRDefault="00163957" w:rsidP="00163957">
      <w:pPr>
        <w:pStyle w:val="TextoNormal"/>
      </w:pPr>
    </w:p>
    <w:p w:rsidR="00163957" w:rsidRDefault="00163957" w:rsidP="00163957">
      <w:pPr>
        <w:pStyle w:val="TextoNormal"/>
      </w:pPr>
      <w:r>
        <w:t>En todo caso, debemos descartar que el sistema configurado en la actual LOFCA y en la Ley 22/2009 haya perdido su validez, sencillamente, porque no hay norma alguna que así lo disponga. Al contrario, tanto la actual LOFCA como la Ley 22/2009 entraron en vigor con carácter indefinido el 1 de enero de 2009 (disposición final de la Ley Orgánica 3/2009, por la que se modifica la LOFCA, y disposición final quinta de la Ley 22/2009), en sustitución del sistema anterior, que estaba vigente desde el 1 de enero de 2002 y, por tanto, serán aplicables mientras no se deroguen por la normativa rectora de un nuevo sistema.</w:t>
      </w:r>
    </w:p>
    <w:p w:rsidR="00163957" w:rsidRDefault="00163957" w:rsidP="00163957">
      <w:pPr>
        <w:pStyle w:val="TextoNormal"/>
      </w:pPr>
    </w:p>
    <w:p w:rsidR="00163957" w:rsidRDefault="00163957" w:rsidP="00163957">
      <w:pPr>
        <w:pStyle w:val="TextoNormal"/>
      </w:pPr>
      <w:r>
        <w:t>En este sentido, el art. 2.1 g) LOFCA, en que se apoya el recurso, dispone:</w:t>
      </w:r>
    </w:p>
    <w:p w:rsidR="00163957" w:rsidRDefault="00163957" w:rsidP="00163957">
      <w:pPr>
        <w:pStyle w:val="TextoNormal"/>
      </w:pPr>
    </w:p>
    <w:p w:rsidR="00163957" w:rsidRDefault="00163957" w:rsidP="00163957">
      <w:pPr>
        <w:pStyle w:val="TextoNormal"/>
      </w:pPr>
      <w:r>
        <w:t>“Uno. La actividad financiera de las Comunidades Autónomas se ejercerá en coordinación con la Hacienda del Estado, con arreglo a los siguientes principios:</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 xml:space="preserve">g) La lealtad institucional, que determinará el impacto, positivo o negativo, que puedan suponer las actuaciones legislativas del Estado y de las Comunidades Autónomas en materia </w:t>
      </w:r>
      <w:r>
        <w:lastRenderedPageBreak/>
        <w:t>tributaria o la adopción de medidas que eventualmente puedan hacer recaer sobre las Comunidades Autónomas o sobre el Estado obligaciones de gasto no previstas a la fecha de aprobación del sistema de financiación vigente, y que deberán ser objeto de valoración quinquenal en cuanto a su impacto, tanto en materia de ingresos como de gastos, por el Consejo de Política Fiscal y Financiera de las Comunidades Autónomas, y en su caso compensación, mediante modificación del sistema de financiación para el siguiente quinquenio.”</w:t>
      </w:r>
    </w:p>
    <w:p w:rsidR="00163957" w:rsidRDefault="00163957" w:rsidP="00163957">
      <w:pPr>
        <w:pStyle w:val="TextoNormal"/>
      </w:pPr>
    </w:p>
    <w:p w:rsidR="00163957" w:rsidRDefault="00163957" w:rsidP="00163957">
      <w:pPr>
        <w:pStyle w:val="TextoNormal"/>
      </w:pPr>
      <w:r>
        <w:t>Asimismo, la disposición adicional séptima de la Ley 22/2009, bajo el título de “Revisión quinquenal”, prevé lo siguiente:</w:t>
      </w:r>
    </w:p>
    <w:p w:rsidR="00163957" w:rsidRDefault="00163957" w:rsidP="00163957">
      <w:pPr>
        <w:pStyle w:val="TextoNormal"/>
      </w:pPr>
    </w:p>
    <w:p w:rsidR="00163957" w:rsidRDefault="00163957" w:rsidP="00163957">
      <w:pPr>
        <w:pStyle w:val="TextoNormal"/>
      </w:pPr>
      <w:r>
        <w:t>“El Comité Técnico Permanente de Evaluación, creado en el seno del Consejo de Política Fiscal y Financiera, valorará los distintos aspectos estructurales del Sistema de Financiación, con carácter quinquenal, para informar sobre las posibles modificaciones que se puedan someter a la consideración del Consejo de Política Fiscal y Financiera, en aras de una mejor coordinación financiera, garantizando la autonomía y suficiencia de las Comunidades y el equilibrio y sostenibilidad del sistema.”</w:t>
      </w:r>
    </w:p>
    <w:p w:rsidR="00163957" w:rsidRDefault="00163957" w:rsidP="00163957">
      <w:pPr>
        <w:pStyle w:val="TextoNormal"/>
      </w:pPr>
    </w:p>
    <w:p w:rsidR="00163957" w:rsidRDefault="00163957" w:rsidP="00163957">
      <w:pPr>
        <w:pStyle w:val="TextoNormal"/>
      </w:pPr>
      <w:r>
        <w:t>Por su parte, la disposición transitoria tercera de la misma Ley 22/2009, con el rótulo de “Aplicación y revisión del Sistema de Financiación”, establece en su párrafo primero:</w:t>
      </w:r>
    </w:p>
    <w:p w:rsidR="00163957" w:rsidRDefault="00163957" w:rsidP="00163957">
      <w:pPr>
        <w:pStyle w:val="TextoNormal"/>
      </w:pPr>
    </w:p>
    <w:p w:rsidR="00163957" w:rsidRDefault="00163957" w:rsidP="00163957">
      <w:pPr>
        <w:pStyle w:val="TextoNormal"/>
      </w:pPr>
      <w:r>
        <w:t>“Teniendo en consideración la aplicación gradual de los cambios introducidos en el nuevo sistema, la primera evaluación de los resultados del mismo se realizará con referencia al año 2013. Hasta dicho ejercicio, la financiación de las Comunidades Autónomas y de las Ciudades con Estatuto de Autonomía que no acepten el sistema contenido en esta Ley en los 6 meses siguientes a la aprobación de la misma, se regirá, a todos los efectos, por la Ley 21/2001, de 27 de diciembre, por la que se regulan las medidas fiscales y administrativas del nuevo sistema de financiación de las Comunidades Autónomas de régimen común y Ciudades con Estatuto de Autonomía, con las adaptaciones que sean necesarias. La posterior adscripción al sistema contenido en esta Ley no contemplará en ningún caso compensaciones por los recursos y fondos adicionales no percibidos respecto al periodo comprendido entre 2009 y 2013.”</w:t>
      </w:r>
    </w:p>
    <w:p w:rsidR="00163957" w:rsidRDefault="00163957" w:rsidP="00163957">
      <w:pPr>
        <w:pStyle w:val="TextoNormal"/>
      </w:pPr>
    </w:p>
    <w:p w:rsidR="00163957" w:rsidRDefault="00163957" w:rsidP="00163957">
      <w:pPr>
        <w:pStyle w:val="TextoNormal"/>
      </w:pPr>
      <w:r>
        <w:t>A partir de lo anterior, es inmediato concluir que el art.2.1 g) LOFCA tan solo viene a disponer la valoración global del impacto financiero que puedan tener las medidas tributarias y de gasto, tanto del Estado como de las Comunidades Autónomas, y no únicamente de aquel, como parece sostener el escrito de recurso, sin que del mismo pueda extraerse la pretendida pérdida de vigencia del actual sistema. Tampoco cabe inferir semejante conclusión del contenido de las disposiciones adicional séptima y transitoria tercera de la Ley 22/2009, ya que aquella tan solo prevé que el comité técnico permanente de evaluación, creado en el seno del Consejo de Política Fiscal y Financiera, “valorará” los aspectos estructurales del sistema de financiación, con el fin de “informar” sobre las “posibles” modificaciones del mismo que se puedan someter al citado Consejo; mientras que la disposición transitoria tercera de la citada Ley se refiere, asimismo, a una “primera evaluación” de los resultados del sistema; de forma que, en ningún caso, tales preceptos persiguen poner un límite temporal al mismo.</w:t>
      </w:r>
    </w:p>
    <w:p w:rsidR="00163957" w:rsidRDefault="00163957" w:rsidP="00163957">
      <w:pPr>
        <w:pStyle w:val="TextoNormal"/>
      </w:pPr>
    </w:p>
    <w:p w:rsidR="00163957" w:rsidRDefault="00163957" w:rsidP="00163957">
      <w:pPr>
        <w:pStyle w:val="TextoNormal"/>
      </w:pPr>
      <w:r>
        <w:t xml:space="preserve">Abundando en lo anterior, la interpretación que sostiene el recurrente, conforme a la cual no habría un sistema pactado que estuviera en vigor, ni “forma de hacer un cálculo razonable </w:t>
      </w:r>
      <w:r>
        <w:lastRenderedPageBreak/>
        <w:t xml:space="preserve">y razonado del Fondo de Suficiencia Global, ni de los Ingresos Tributarios del Estado necesarios para el sistema” (sin que se razone cuál habría de ser, entonces, la financiación de la Comunidad Valenciana en el año 2016), resultaría contraria a la necesidad de que, antes de configurar el nuevo sistema de financiación (competencia del Estado </w:t>
      </w:r>
      <w:r w:rsidRPr="00163957">
        <w:rPr>
          <w:i/>
        </w:rPr>
        <w:t>ex</w:t>
      </w:r>
      <w:r>
        <w:t xml:space="preserve"> arts. 149.1.14 y 157.3 CE), se busque el acuerdo con las Comunidades Autónomas, según exige nuestra doctrina (SSTC 181/1988, FJ 4; 68/1996, FJ 10; y 13/2007, FJ 9). Con su interpretación, el Consell parece estar proponiendo que se reemplace un sistema acordado en el seno del Consejo de Política Fiscal y Financiera y aceptado por todas las Comunidades Autónomas, incluida la Comunidad Valenciana, aquí recurrente, por una financiación autonómica regulada únicamente en la Ley de presupuestos.</w:t>
      </w:r>
    </w:p>
    <w:p w:rsidR="00163957" w:rsidRDefault="00163957" w:rsidP="00163957">
      <w:pPr>
        <w:pStyle w:val="TextoNormal"/>
      </w:pPr>
    </w:p>
    <w:p w:rsidR="00163957" w:rsidRDefault="00163957" w:rsidP="00163957">
      <w:pPr>
        <w:pStyle w:val="TextoNormal"/>
      </w:pPr>
      <w:r>
        <w:t>Por lo expuesto, no puede acogerse la pretendida vulneración del art. 2.1 g) LOFCA, que no cabe interpretar en el sentido postulado por el Consell de la Generalitat Valenciana, ni, por tanto, del art. 9.3 CE puesto que, al dar cumplimiento a una normativa reguladora del sistema de financiación autonómica plenamente vigente, la LPGE 2016 no viola el principio de seguridad jurídica. Antes al contrario, tal infracción podría producirse en caso de atender la posición del recurrente pues “[l]a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 (STC 248/2007, de 8 de mayo, FJ 4); y, precisamente en punto a la aplicación del sistema de financiación previamente contenido en una ley, hemos afirmado que la ley de presupuestos no puede “ignorarlo sin más o desconocerlo tácitamente, plasmando en la norma créditos presupuestarios que no se correspondan ni se expliquen por lo dispuesto en la citada ley, pues ello vulneraría la seguridad jurídica” [STC 76/2014, FJ 4 b)].</w:t>
      </w:r>
    </w:p>
    <w:p w:rsidR="00163957" w:rsidRDefault="00163957" w:rsidP="00163957">
      <w:pPr>
        <w:pStyle w:val="TextoNormal"/>
      </w:pPr>
    </w:p>
    <w:p w:rsidR="00163957" w:rsidRDefault="00163957" w:rsidP="00163957">
      <w:pPr>
        <w:pStyle w:val="TextoNormal"/>
      </w:pPr>
      <w:r>
        <w:t>En cuanto al principio de interdicción de la arbitrariedad, también citado por el recurrente, hemos reiterado en numerosas ocasiones, que “quien alega la arbitrariedad de la ley debe, conforme a sus criterios, razonarlo en detalle y ofrecer una justificación en principio convincente de su imputación” (entre otras, SSTC 233/1999, de 16 de diciembre, FJ 11; 73/2000, de 14 marzo, FJ 4; 120/2000, de 10 de mayo, FJ 3; 13/2007, FJ 4, y 206/2013, de 5 de diciembre, FJ 8). A este respecto, el propio reconocimiento que hace el Gobierno Valenciano de que la LPGE 2016 se ajusta al vigente sistema deja sin base la alegación de arbitrariedad del legislador presupuestario, que se ha limitado a consignar en los estados de ingresos y gastos las partidas derivadas del sistema de financiación en vigor.</w:t>
      </w:r>
    </w:p>
    <w:p w:rsidR="00163957" w:rsidRDefault="00163957" w:rsidP="00163957">
      <w:pPr>
        <w:pStyle w:val="TextoNormal"/>
      </w:pPr>
    </w:p>
    <w:p w:rsidR="00163957" w:rsidRDefault="00163957" w:rsidP="00163957">
      <w:pPr>
        <w:pStyle w:val="TextoNormal"/>
      </w:pPr>
      <w:r>
        <w:t>En suma, hemos de concluir que el sistema de financiación con arreglo al cual se han consignado los estados de ingresos y gastos de la LPGE 2016 referidos a las Comunidades Autónomas está en vigor, debiendo descartarse, en consecuencia, que con su aplicación el legislador presupuestario haya incurrido en quebrantamiento del art. 2.1 g) LOFCA ni del art. 9.3 CE y rechazando, por tanto, este motivo de impugnación esgrimido por el Gobierno de la Comunidad Valenciana.</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Una vez aclarado que la LPGE 2016 aplica el sistema en vigor, corresponde analizar la alegación del Consell de la Generalitat Valenciana según la cual el fondo de suficiencia global de signo negativo que prevé la LPGE 2016 para esta Comunidad no le permite la prestación de los servicios públicos fundamentales al nivel exigido por la Constitución y la </w:t>
      </w:r>
      <w:r>
        <w:lastRenderedPageBreak/>
        <w:t>LOFCA, con infracción de los arts. 158.1 CE y 15 LOFCA, que garantizan un nivel mínimo en la prestación de tales servicios en todo el territorio español.</w:t>
      </w:r>
    </w:p>
    <w:p w:rsidR="00163957" w:rsidRDefault="00163957" w:rsidP="00163957">
      <w:pPr>
        <w:pStyle w:val="TextoNormal"/>
      </w:pPr>
    </w:p>
    <w:p w:rsidR="00163957" w:rsidRDefault="00163957" w:rsidP="00163957">
      <w:pPr>
        <w:pStyle w:val="TextoNormal"/>
      </w:pPr>
      <w:r>
        <w:t>a) Conviene recordar, en primer término, que el art. 158.1 CE recoge la posibilidad de que se establezcan (“podrá[n] establecerse” señala) asignaciones en favor de las Comunidades Autónomas para garantizar un nivel mínimo en la prestación de los servicios públicos fundamentales en todo el territorio español. Dichas asignaciones aparecen configuradas en el texto constitucional con carácter extraordinario (STC 13/2007, FJ 11), pero en el modelo de financiación de 2009 se optó por incorporar a la estructura ordinaria del sistema un instrumento de nivelación —el fondo de garantía de servicios públicos fundamentales— que da cumplimiento al citado mandato.</w:t>
      </w:r>
    </w:p>
    <w:p w:rsidR="00163957" w:rsidRDefault="00163957" w:rsidP="00163957">
      <w:pPr>
        <w:pStyle w:val="TextoNormal"/>
      </w:pPr>
    </w:p>
    <w:p w:rsidR="00163957" w:rsidRDefault="00163957" w:rsidP="00163957">
      <w:pPr>
        <w:pStyle w:val="TextoNormal"/>
      </w:pPr>
      <w:r>
        <w:t>Así, el art. 15 LOFCA, dispone:</w:t>
      </w:r>
    </w:p>
    <w:p w:rsidR="00163957" w:rsidRDefault="00163957" w:rsidP="00163957">
      <w:pPr>
        <w:pStyle w:val="TextoNormal"/>
      </w:pPr>
    </w:p>
    <w:p w:rsidR="00163957" w:rsidRDefault="00163957" w:rsidP="00163957">
      <w:pPr>
        <w:pStyle w:val="TextoNormal"/>
      </w:pPr>
      <w:r>
        <w:t>“Uno. El Estado garantizará en todo el territorio español el nivel mínimo de los servicios públicos fundamentales de su competencia. A efectos de este artículo se considerarán servicios públicos fundamentales la educación, la sanidad y los servicios sociales esenciales. Se considerará que no se llega a cubrir el nivel de prestación de los servicios públicos al que hace referencia este apartado, cuando su cobertura se desvíe del nivel medio de los mismos en el territorio nacional.</w:t>
      </w:r>
    </w:p>
    <w:p w:rsidR="00163957" w:rsidRDefault="00163957" w:rsidP="00163957">
      <w:pPr>
        <w:pStyle w:val="TextoNormal"/>
      </w:pPr>
    </w:p>
    <w:p w:rsidR="00163957" w:rsidRDefault="00163957" w:rsidP="00163957">
      <w:pPr>
        <w:pStyle w:val="TextoNormal"/>
      </w:pPr>
      <w:r>
        <w:t>Dos. En cumplimiento del artículo 158.1 de la Constitución y dando satisfacción a lo dispuesto en el apartado anterior, el Fondo de Garantía de Servicios Públicos Fundamentales tendrá por objeto garantizar que cada Comunidad recibe, en los términos fijados por la Ley, los mismos recursos por habitante, ajustados en función de sus necesidades diferenciales, para financiar los servicios públicos fundamentales, garantizando la cobertura del nivel mínimo de los servicios fundamentales en todo el territorio. Participarán en la constitución del mismo las Comunidades Autónomas con un porcentaje de sus tributos cedidos, en términos normativos, y el Estado con su aportación, en los porcentajes y cuantías que marque la Ley.”</w:t>
      </w:r>
    </w:p>
    <w:p w:rsidR="00163957" w:rsidRDefault="00163957" w:rsidP="00163957">
      <w:pPr>
        <w:pStyle w:val="TextoNormal"/>
      </w:pPr>
    </w:p>
    <w:p w:rsidR="00163957" w:rsidRDefault="00163957" w:rsidP="00163957">
      <w:pPr>
        <w:pStyle w:val="TextoNormal"/>
      </w:pPr>
      <w:r>
        <w:t>Como se desprende del art. 15.2 LOFCA, desarrollado por el art. 9 de la Ley 22/2009, la garantía de nivelación contenida en el art. 158.1 CE se instrumenta a través del novedoso fondo de garantía de servicios públicos fundamentales, que es una “garantía de equidad y nivelación inexistente en el sistema anterior, que tiene por objeto asegurar que cada Comunidad Autónoma recibe los mismos recursos por unidad de necesidad para financiar los servicios públicos fundamentales esenciales del Estado de Bienestar” (apartado II del preámbulo de la Ley 22/2009). Este fondo se distribuye entre las Comunidades en función de su población, ajustada por los indicadores de necesidad pactados en el Consejo de Política Fiscal y Financiera (acuerdo 6/2009, de 15 de julio, que dio origen al vigente modelo de financiación) y que han sido aceptados por todas las Comunidades en la correspondiente comisión mixta con el Estado, quedando recogidos en el art. 9 b) de la Ley 22/2009; indicadores que son los siguientes: población de padrón, superficie, dispersión, insularidad, población protegida por el sistema sanitario estratificada por grupos de edad, población mayor de 65 años y población de 0 a 16 años. Esto implica que la Comunidad Valenciana recibe de este fondo el mismo importe por habitante ajustado que el resto de Comunidades Autónomas, que es, cabalmente, lo exigido por el art. 15 LOFCA.</w:t>
      </w:r>
    </w:p>
    <w:p w:rsidR="00163957" w:rsidRDefault="00163957" w:rsidP="00163957">
      <w:pPr>
        <w:pStyle w:val="TextoNormal"/>
      </w:pPr>
    </w:p>
    <w:p w:rsidR="00163957" w:rsidRDefault="00163957" w:rsidP="00163957">
      <w:pPr>
        <w:pStyle w:val="TextoNormal"/>
      </w:pPr>
      <w:r>
        <w:lastRenderedPageBreak/>
        <w:t>Conforme a lo expuesto, los recursos para la prestación de los servicios públicos fundamentales que se garantizan son los proporcionados por el fondo de garantía de servicios públicos fundamentales y no otros. Por tanto, el sistema no asegura a la Comunidad Valenciana, ni a ninguna otra, un volumen de recursos tal que alcance el nivel medio de gasto real en servicios públicos fundamentales del resto de Comunidades, como pretende la Letrada del Gobierno Valenciano, pues esto sería tanto como hacer depender el sistema de las decisiones concretas de gasto de las Administraciones autonómicas. Es decir, la garantía se define en términos de recursos disponibles y nunca de gasto real.</w:t>
      </w:r>
    </w:p>
    <w:p w:rsidR="00163957" w:rsidRDefault="00163957" w:rsidP="00163957">
      <w:pPr>
        <w:pStyle w:val="TextoNormal"/>
      </w:pPr>
    </w:p>
    <w:p w:rsidR="00163957" w:rsidRDefault="00163957" w:rsidP="00163957">
      <w:pPr>
        <w:pStyle w:val="TextoNormal"/>
      </w:pPr>
      <w:r>
        <w:t>Por consiguiente, debemos concluir que solo habría podido existir vulneración de los arts. 158.1 CE y 15 LOFCA si el Gobierno autonómico recurrente hubiera demostrado que la participación en el fondo de garantía de servicios públicos fundamentales que le reconoce la LPGE 2016 no es la que se deriva del art. 15 LOFCA y del desarrollo de este, contenida en el art. 9 de la Ley 22/2009. Pero el Consell no discute el cálculo de su participación en dicho fondo ni recurre la correspondiente partida presupuestaria, lo que debe conducirnos a descartar que la LPGE 2016 incurra en la infracción de los arts. 158.1 CE y 15 LOFCA.</w:t>
      </w:r>
    </w:p>
    <w:p w:rsidR="00163957" w:rsidRDefault="00163957" w:rsidP="00163957">
      <w:pPr>
        <w:pStyle w:val="TextoNormal"/>
      </w:pPr>
    </w:p>
    <w:p w:rsidR="00163957" w:rsidRDefault="00163957" w:rsidP="00163957">
      <w:pPr>
        <w:pStyle w:val="TextoNormal"/>
      </w:pPr>
      <w:r>
        <w:t>Por la misma razón, no podemos compartir que concurra la infracción del art. 67 EAV que se alega, toda vez que en el apartado 1, párrafo 3, del acuerdo de la comisión mixta de transferencias con el Estado de 21 de diciembre de 2009, órgano bilateral de cooperación previsto en la disposición transitoria primera EAV, la Generalitat aceptó que con el sistema de 2009 se “da pleno cumplimiento a la totalidad de disposiciones del Estatuto de Autonomía de la Comunidad Valenciana”, incluido, por tanto, su art. 67. Además, esta norma estatutaria se limita a ordenar que “[c]uando la Generalitat, a través de dichos recursos, no llegue a cubrir un nivel mínimo de servicios públicos equiparable al resto del conjunto del Estado, se establecerán los mecanismos de nivelación pertinentes en los términos que prevé la Ley Orgánica a que se refiere el artículo 157.3 de la Constitución Española, atendiendo especialmente a criterios de población, entre otros”. Por tanto, el Estatuto se remite a lo dispuesto en la LOFCA (art. 15) y a su desarrollo por el art. 9 de la Ley 22/2009, por lo que ninguna tacha puede hacerse a la LPGE 2016 en tanto en cuanto da puntual cumplimiento a tales normas.</w:t>
      </w:r>
    </w:p>
    <w:p w:rsidR="00163957" w:rsidRDefault="00163957" w:rsidP="00163957">
      <w:pPr>
        <w:pStyle w:val="TextoNormal"/>
      </w:pPr>
    </w:p>
    <w:p w:rsidR="00163957" w:rsidRDefault="00163957" w:rsidP="00163957">
      <w:pPr>
        <w:pStyle w:val="TextoNormal"/>
      </w:pPr>
      <w:r>
        <w:t>Por otra parte, los datos que aporta el recurso del Gobierno de la Comunidad Valenciana por referencia a los informes de la autoridad independiente de responsabilidad fiscal y al sistema de cuentas públicas territorializadas publicado por el Ministerio de Hacienda y Administraciones Públicas en el año 2015 no desvirtúan la conclusión anterior. La existencia de diferencias de financiación y de gasto per cápita entre Comunidades no permite concluir que la financiación de la Comunidad Valenciana sea insuficiente para garantizar el acceso de sus ciudadanos a los servicios públicos fundamentales. No se puede desconocer que la existencia de diferencias en los niveles de gasto y de ingreso entre las Comunidades Autónomas, siempre que estén comprendidas dentro de los límites previstos en el sistema establecido, una vez seguidos los cauces de cooperación previstos, no es contraria a los principios constitucionales en juego, sino que forma parte del “margen de configuración del que goza el legislador en este ámbito” (STC 13/2007, FJ 4).</w:t>
      </w:r>
    </w:p>
    <w:p w:rsidR="00163957" w:rsidRDefault="00163957" w:rsidP="00163957">
      <w:pPr>
        <w:pStyle w:val="TextoNormal"/>
      </w:pPr>
    </w:p>
    <w:p w:rsidR="00163957" w:rsidRDefault="00163957" w:rsidP="00163957">
      <w:pPr>
        <w:pStyle w:val="TextoNormal"/>
      </w:pPr>
      <w:r>
        <w:t xml:space="preserve">Tampoco puede invocarse en favor de la pretensión del Consell Valenciano la circunstancia de que los presupuestos de la Generalitat para 2016 hayan consignado un gasto incompatible con el fondo de suficiencia global negativo para la Comunidad previsto en la </w:t>
      </w:r>
      <w:r>
        <w:lastRenderedPageBreak/>
        <w:t>LPGE 2016. Admitir esto equivaldría a dejar en poder del legislador presupuestario autonómico la decisión de los recursos que el Estado debe transferir a una determinada Comunidad Autónoma —la Valenciana en este caso—, cuando ya hemos señalado que “no existe un derecho de las Comunidades Autónomas constitucionalmente consagrado a recibir una determinada financiación, sino un derecho a que la suma global de los recursos existentes, de conformidad con el sistema aplicable en cada momento, se reparta entre ellas respetando los principios de solidaridad y coordinación”, razón por la cual “no puede pretender cada Comunidad Autónoma para la determinación del porcentaje de participación que sobre aquellos ingresos [del Estado] le pueda corresponder la aplicación de aquel criterio o variable que sea más favorable en cada momento a sus intereses, reclamando de nosotros una respuesta que sustituya la falta de acuerdo entre las instancias políticas” (entre otras, SSTC 13/2007, de 18 de enero, FJ 5; y 58/2007, de 14 de marzo, FJ 3).</w:t>
      </w:r>
    </w:p>
    <w:p w:rsidR="00163957" w:rsidRDefault="00163957" w:rsidP="00163957">
      <w:pPr>
        <w:pStyle w:val="TextoNormal"/>
      </w:pPr>
    </w:p>
    <w:p w:rsidR="00163957" w:rsidRDefault="00163957" w:rsidP="00163957">
      <w:pPr>
        <w:pStyle w:val="TextoNormal"/>
      </w:pPr>
      <w:r>
        <w:t>Por lo que se refiere a la supuesta infracción de los arts. 31.2 y 40.1 CE, según hemos indicado en el fundamento segundo, queda vinculada a la de los arts. 158.1 CE y 15 LOFCA, de modo que, una vez descartada la infracción de estos, a idéntica conclusión hemos de llegar sobre aquellos, sin que ninguna infracción de los principios de “asignación equitativa de los recursos públicos” (art. 31.2 CE) y de “distribución de la renta regional y personal más equitativa” (art. 40.1 CE) pueda derivarse de una LPGE que aplica el sistema de financiación en vigor y respeta, con arreglo al mismo, el principio de “garantía de un nivel mínimo en la prestación de los servicios públicos fundamentales”.</w:t>
      </w:r>
    </w:p>
    <w:p w:rsidR="00163957" w:rsidRDefault="00163957" w:rsidP="00163957">
      <w:pPr>
        <w:pStyle w:val="TextoNormal"/>
      </w:pPr>
    </w:p>
    <w:p w:rsidR="00163957" w:rsidRDefault="00163957" w:rsidP="00163957">
      <w:pPr>
        <w:pStyle w:val="TextoNormal"/>
      </w:pPr>
      <w:r>
        <w:t>b) En particular, el recurso del Gobierno Valenciano considera que su supuesta incapacidad para alcanzar un nivel mínimo en la prestación de servicios públicos fundamentales deriva del fondo de suficiencia global negativo que para su Comunidad se contiene en la LPGE 2016, fondo que estima, por ello, contrario al art. 2.1 f) LOFCA que consagra “[l]a suficiencia de recursos para el ejercicio de las competencias propias de las Comunidades Autónomas".</w:t>
      </w:r>
    </w:p>
    <w:p w:rsidR="00163957" w:rsidRDefault="00163957" w:rsidP="00163957">
      <w:pPr>
        <w:pStyle w:val="TextoNormal"/>
      </w:pPr>
    </w:p>
    <w:p w:rsidR="00163957" w:rsidRDefault="00163957" w:rsidP="00163957">
      <w:pPr>
        <w:pStyle w:val="TextoNormal"/>
      </w:pPr>
      <w:r>
        <w:t>Hemos destacado en nuestra doctrina que la suficiencia financiera se encuentra “íntimamente ligada a la autonomía financiera de los entes territoriales, instrumento indispensable para la consecución de su autonomía política” (por todas, STC 13/2007, FJ 5), por lo que su vulneración acarrearía también la de la autonomía financiera de las Comunidades Autónomas “para el desarrollo y ejecución de sus competencias con arreglo a los principios de coordinación con la Hacienda estatal y de solidaridad entre todos los españoles” reconocida en el art. 156.1 CE. Por esta razón, es preciso realizar unas consideraciones específicas sobre este fondo de suficiencia global y su importe en la LPGE 2016, comenzando por recordar que su cuantía para el año base del sistema fue objeto de acuerdo expreso entre el Estado y la Generalitat Valenciana.</w:t>
      </w:r>
    </w:p>
    <w:p w:rsidR="00163957" w:rsidRDefault="00163957" w:rsidP="00163957">
      <w:pPr>
        <w:pStyle w:val="TextoNormal"/>
      </w:pPr>
    </w:p>
    <w:p w:rsidR="00163957" w:rsidRDefault="00163957" w:rsidP="00163957">
      <w:pPr>
        <w:pStyle w:val="TextoNormal"/>
      </w:pPr>
      <w:r>
        <w:t xml:space="preserve">Así, en la comisión mixta de transferencias con el Estado de 21 de diciembre de 2009, la representación de la Comunidad Valenciana manifestó (apartado 1) que “acepta como propios el sistema de financiación de las Comunidades Autónomas contenido en el Título I de la Ley 22/2009, de 18 de diciembre, y los Fondos de Convergencia Autonómica, contenidos en el Título II, así como el resto de preceptos y disposiciones incluidos en esta Ley, que por su relación con los anteriores requieran de esta aceptación para ser aplicables”; añadiendo que “[e]n consecuencia, tanto las competencias traspasadas o ejercidas en la actualidad por la Comunidad Valenciana, como los nuevos traspasos de servicios y funciones que por esta </w:t>
      </w:r>
      <w:r>
        <w:lastRenderedPageBreak/>
        <w:t>Comunidad se asuman, se financiarán de acuerdo con los mecanismos del sistema de financiación que se acepta, en los términos indicados en la disposición adicional sexta de la Ley 22/2009, de 18 de diciembre, y demás preceptos aplicables”.</w:t>
      </w:r>
    </w:p>
    <w:p w:rsidR="00163957" w:rsidRDefault="00163957" w:rsidP="00163957">
      <w:pPr>
        <w:pStyle w:val="TextoNormal"/>
      </w:pPr>
    </w:p>
    <w:p w:rsidR="00163957" w:rsidRDefault="00163957" w:rsidP="00163957">
      <w:pPr>
        <w:pStyle w:val="TextoNormal"/>
      </w:pPr>
      <w:r>
        <w:t>La disposición adicional sexta, párrafo segundo, de la Ley 22/2009, a la que se remite el citado acuerdo de la comisión mixta, prevé también expresamente que “con la incorporación de recursos adicionales por parte del Estado a las necesidades de financiación de las Comunidades Autónomas y Ciudades con Estatuto de Autonomía en el marco de la presente Ley, se garantiza la suficiencia financiera de las Comunidades Autónomas y Ciudades con Estatuto de Autonomía para el cumplimiento de la totalidad de las obligaciones legales existentes hasta la fecha de aprobación de esta Ley, dando satisfacción al principio de lealtad institucional”.</w:t>
      </w:r>
    </w:p>
    <w:p w:rsidR="00163957" w:rsidRDefault="00163957" w:rsidP="00163957">
      <w:pPr>
        <w:pStyle w:val="TextoNormal"/>
      </w:pPr>
    </w:p>
    <w:p w:rsidR="00163957" w:rsidRDefault="00163957" w:rsidP="00163957">
      <w:pPr>
        <w:pStyle w:val="TextoNormal"/>
      </w:pPr>
      <w:r>
        <w:t>Por su parte, el anexo I del mencionado acuerdo de 21 de diciembre de 2009 entre la Administración del Estado y la Generalitat Valenciana cuantificó el fondo de suficiencia global de esta Comunidad Autónoma en el año base en 857.487.090 €, importe que deriva de la función de este fondo como elemento de cierre del sistema a la que ya hicimos referencia en la STC 76/2014, FJ 5 a). En consonancia con su objetivo de complementar al resto de recursos que integran el sistema hasta cubrir el volumen de necesidades globales de financiación establecido, el fondo de suficiencia global se determina como “la diferencia, positiva o negativa, entre las Necesidades Globales de Financiación de la Comunidad Autónoma en el año base y la suma de su Capacidad Tributaria, más la transferencia positiva o negativa del Fondo de Garantía de Servicios Públicos Fundamentales en el mismo año” (art. 10.1 de la Ley 22/2009). Esto es, el fondo de suficiencia global cubre la parte de las necesidades globales de financiación no costeadas a través de la capacidad tributaria y de la transferencia del fondo de garantía de servicios públicos fundamentales.</w:t>
      </w:r>
    </w:p>
    <w:p w:rsidR="00163957" w:rsidRDefault="00163957" w:rsidP="00163957">
      <w:pPr>
        <w:pStyle w:val="TextoNormal"/>
      </w:pPr>
    </w:p>
    <w:p w:rsidR="00163957" w:rsidRDefault="00163957" w:rsidP="00163957">
      <w:pPr>
        <w:pStyle w:val="TextoNormal"/>
      </w:pPr>
      <w:r>
        <w:t>Por esta razón, una vez determinadas las necesidades globales de financiación de la Comunidad Valenciana en el año base del sistema en un importe de 12.718.582.960 €, lo que trae causa del coste de todos los traspasos efectuados por la Administración del Estado a dicha Comunidad Autónoma conforme al “método de coste efectivo” previsto en el acuerdo 1/1982, de 18 de febrero, del Consejo de Política Fiscal y Financiera, con la debida actualización, y con las modulaciones y adición de los recursos incorporadas por el Estado a cada sistema (</w:t>
      </w:r>
      <w:r w:rsidRPr="00163957">
        <w:rPr>
          <w:i/>
        </w:rPr>
        <w:t>vid</w:t>
      </w:r>
      <w:r>
        <w:t>. art. 4 de la Ley 21/2001 y el art. 4 —“Recursos adicionales que se integran en el sistema”— de la Ley 22/2009), los recursos con los que se cubren dichas necesidades son los siguientes: i) la capacidad tributaria (tributos cedidos en los términos del art. 8 de la Ley 22/2009), cuantificada en 11.288.798.680 €; ii) la transferencia del fondo de garantía de servicios públicos fundamentales (art. 9 de la Ley 22/2009), que para la Comunidad Valenciana se cifra en 572.297.190 €; y iii) por diferencia, el fondo de suficiencia global ya citado de 857.487.090 €; cifras todas ellas referidas al año base del modelo (2007) y suscritas expresamente por la Generalitat Valenciana, tal y como se recoge en el anexo I del referido acuerdo de la comisión mixta de transferencias con el Estado.</w:t>
      </w:r>
    </w:p>
    <w:p w:rsidR="00163957" w:rsidRDefault="00163957" w:rsidP="00163957">
      <w:pPr>
        <w:pStyle w:val="TextoNormal"/>
      </w:pPr>
    </w:p>
    <w:p w:rsidR="00163957" w:rsidRDefault="00163957" w:rsidP="00163957">
      <w:pPr>
        <w:pStyle w:val="TextoNormal"/>
      </w:pPr>
      <w:r>
        <w:t xml:space="preserve">De este modo, ningún reproche puede formular el Gobierno Valenciano a la cuantía de dicho fondo en el año base, puesto que lo suscribió expresamente y, con ello, aceptó que, junto con el resto de recursos previstos en el modelo, queda garantizada la “suficiencia estática” (empleando la terminología del art. 2 de la Ley 22/2009), esto es, la posibilidad de financiar en el año base todas las competencias de dicha Comunidad, incluida la prestación </w:t>
      </w:r>
      <w:r>
        <w:lastRenderedPageBreak/>
        <w:t xml:space="preserve">de los servicios públicos fundamentales. No está de más recordar, en este sentido, que para valorar la suficiencia financiera se ha de atender al conjunto de los recursos de que las Comunidades pueden disponer y no solo a uno de ellos (por todas, STC 87/1993, FJ 3 b). Y no se debe olvidar que esta Comunidad había aceptado también el sistema de financiación anterior, regulado por la Ley 21/2001, siendo así que el sistema de financiación de 2009 no solo garantiza a todas las Comunidades el </w:t>
      </w:r>
      <w:r w:rsidRPr="00163957">
        <w:rPr>
          <w:i/>
        </w:rPr>
        <w:t>statu quo</w:t>
      </w:r>
      <w:r>
        <w:t xml:space="preserve"> en el año base, es decir, el mismo volumen de recursos que habría proporcionado en ese año el sistema de 2001, sino que, aunque se mantiene el mismo volumen de competencias autonómicas, el Estado aporta unos fondos adicionales a través de un mayor volumen de necesidades globales de financiación (arts. 4 y 5 de la Ley 22/2009) y de los nuevos fondos de convergencia autonómica (arts. 22-24 de la Ley 22/2009).</w:t>
      </w:r>
    </w:p>
    <w:p w:rsidR="00163957" w:rsidRDefault="00163957" w:rsidP="00163957">
      <w:pPr>
        <w:pStyle w:val="TextoNormal"/>
      </w:pPr>
    </w:p>
    <w:p w:rsidR="00163957" w:rsidRDefault="00163957" w:rsidP="00163957">
      <w:pPr>
        <w:pStyle w:val="TextoNormal"/>
      </w:pPr>
      <w:r>
        <w:t xml:space="preserve">En efecto, junto con los tres instrumentos principales en torno a los que gira el sistema de financiación de 2009 (capacidad tributaria, transferencia del fondo de garantía de servicios públicos fundamentales y fondo de suficiencia global), la Ley 22/2009 introduce como novedad los fondos de convergencia (fondo de competitividad y fondo de cooperación), mediante los que incrementa el volumen de recursos destinados a las Comunidades Autónomas respecto al </w:t>
      </w:r>
      <w:r w:rsidRPr="00163957">
        <w:rPr>
          <w:i/>
        </w:rPr>
        <w:t>statu quo</w:t>
      </w:r>
      <w:r>
        <w:t xml:space="preserve"> del sistema de 2001 y cuya misión es “aproximar [a] las Comunidades Autónomas de régimen común en términos de financiación por habitante ajustado y favorecer la igualdad [y] el equilibrio económico territorial” (art. 22 de la Ley 22/2009). En atención a esta finalidad, el fondo de competitividad, del que la Comunidad Valenciana es beneficiaria en la LPGE 2016, persigue “reducir las diferencias en financiación homogénea per cápita entre Comunidades Autónomas” (art. 23 de la Ley 22/2009), lo que cobra particular trascendencia ante la alegación del Gobierno Valenciano de que la financiación por habitante que recibe se encuentra por debajo de la media.</w:t>
      </w:r>
    </w:p>
    <w:p w:rsidR="00163957" w:rsidRDefault="00163957" w:rsidP="00163957">
      <w:pPr>
        <w:pStyle w:val="TextoNormal"/>
      </w:pPr>
    </w:p>
    <w:p w:rsidR="00163957" w:rsidRDefault="00163957" w:rsidP="00163957">
      <w:pPr>
        <w:pStyle w:val="TextoNormal"/>
      </w:pPr>
      <w:r>
        <w:t>c) Junto a la suficiencia en el año base (por ello denominada “estática”), a la que nos hemos referido en el apartado anterior, la LOFCA y la Ley 22/2009 incluyen mecanismos de “suficiencia dinámica” (art. 11 y ss. de la Ley 22/2009), es decir, a lo largo de los años de vigencia del modelo, a los que también prestó su conformidad la Comunidad Valenciana y cuya aplicación arroja las cuantías recogidas en la LPGE 2016 y, en particular, el fondo de suficiencia global (negativo) para la Comunidad Valenciana en dicho año. No puede compartirse, por tanto, la afirmación de la Letrada de la Generalitat de que los cálculos “no se actualizan”, para cuestionar la adecuación de la LPGE 2016 al principio de suficiencia reconocido en el art. 2.1 f) LOFCA, como expresión de la autonomía financiera de las Comunidades Autónomas (art. 156.1 CE).</w:t>
      </w:r>
    </w:p>
    <w:p w:rsidR="00163957" w:rsidRDefault="00163957" w:rsidP="00163957">
      <w:pPr>
        <w:pStyle w:val="TextoNormal"/>
      </w:pPr>
    </w:p>
    <w:p w:rsidR="00163957" w:rsidRDefault="00163957" w:rsidP="00163957">
      <w:pPr>
        <w:pStyle w:val="TextoNormal"/>
      </w:pPr>
      <w:r>
        <w:t>En particular, el fondo de suficiencia global, calculado y acordado entre el Estado y la Comunidad Valenciana en la comisión mixta de transferencias para el año base, quedaba sujeto a “regularización, revisión y evolución” de acuerdo con las reglas de la LOFCA y de la Ley 22/2009, como explícitamente aceptó la Generalitat en el apartado 2 del acuerdo de la comisión mixta de 21 de diciembre de 2009, en el que puede leerse lo siguiente:</w:t>
      </w:r>
    </w:p>
    <w:p w:rsidR="00163957" w:rsidRDefault="00163957" w:rsidP="00163957">
      <w:pPr>
        <w:pStyle w:val="TextoNormal"/>
      </w:pPr>
    </w:p>
    <w:p w:rsidR="00163957" w:rsidRDefault="00163957" w:rsidP="00163957">
      <w:pPr>
        <w:pStyle w:val="TextoNormal"/>
      </w:pPr>
      <w:r>
        <w:t>“De acuerdo con lo previsto en los arts. 13.3 de la LOFCA y en el art. 10 de la Ley 22/2009, el valor inicial del Fondo de Suficiencia Global de la Comunidad Valenciana, en valores del año base 2007, queda fijado en 857.487,09 miles de euros, tal y como se desprende del cuadro recogido en Anexo I.</w:t>
      </w:r>
    </w:p>
    <w:p w:rsidR="00163957" w:rsidRDefault="00163957" w:rsidP="00163957">
      <w:pPr>
        <w:pStyle w:val="TextoNormal"/>
      </w:pPr>
    </w:p>
    <w:p w:rsidR="00163957" w:rsidRDefault="00163957" w:rsidP="00163957">
      <w:pPr>
        <w:pStyle w:val="TextoNormal"/>
      </w:pPr>
      <w:r>
        <w:lastRenderedPageBreak/>
        <w:t>Tal y como dispone el art. 13 de la Ley Orgánica 8/1980, el valor al que se refiere el párrafo anterior será objeto de regularización, revisión y evolución de acuerdo con lo previsto en la Ley y, en especial, en los arts. 10, 20 y 21, disposición adicional 5ª y disposiciones transitorias 4ª y 6ª de la Ley del sistema de financiación, sin precisar de ulteriores acuerdos de Comisión Mixta a este efecto.</w:t>
      </w:r>
    </w:p>
    <w:p w:rsidR="00163957" w:rsidRDefault="00163957" w:rsidP="00163957">
      <w:pPr>
        <w:pStyle w:val="TextoNormal"/>
      </w:pPr>
    </w:p>
    <w:p w:rsidR="00163957" w:rsidRDefault="00163957" w:rsidP="00163957">
      <w:pPr>
        <w:pStyle w:val="TextoNormal"/>
      </w:pPr>
      <w:r>
        <w:t>En virtud de lo anterior, en los años 2009 y 2010 se volverán a determinar las Necesidades Globales de Financiación, mediante la adición de los recursos adicionales correspondientes a esos años, en los términos previstos en la Ley.”</w:t>
      </w:r>
    </w:p>
    <w:p w:rsidR="00163957" w:rsidRDefault="00163957" w:rsidP="00163957">
      <w:pPr>
        <w:pStyle w:val="TextoNormal"/>
      </w:pPr>
    </w:p>
    <w:p w:rsidR="00163957" w:rsidRDefault="00163957" w:rsidP="00163957">
      <w:pPr>
        <w:pStyle w:val="TextoNormal"/>
      </w:pPr>
      <w:r>
        <w:t>Esto significa que la Comunidad Valenciana no solo aprobó la cuantía inicial del fondo de suficiencia global, sino también las reglas para su evolución futura, que son las que determinan su cuantía en cada uno de los años siguientes, entre ellos el año 2016 que aquí se analiza. En particular, el art. 13.4 LOFCA, desarrollado por el art. 21 de la Ley 22/2009, prevé que “[e]l valor del fondo de suficiencia global de cada Comunidad Autónoma y Ciudad con Estatuto de Autonomía únicamente podrá ser objeto de revisión en los siguientes supuestos: a) Cuando se produzca el traspaso de nuevos servicios o se amplíen o revisen valoraciones de traspasos anteriores [en tal caso el Fondo aumentará en el importe del coste efectivo de los nuevos servicios traspasados]; b) Cuando cobre efectividad la cesión de nuevos tributos [en cuyo caso el Fondo se reducirá en la cuantía del valor normativo de los nuevos tributos cedidos]; y c) Cuando se den otras circunstancias, establecidas en la Ley”.</w:t>
      </w:r>
    </w:p>
    <w:p w:rsidR="00163957" w:rsidRDefault="00163957" w:rsidP="00163957">
      <w:pPr>
        <w:pStyle w:val="TextoNormal"/>
      </w:pPr>
    </w:p>
    <w:p w:rsidR="00163957" w:rsidRDefault="00163957" w:rsidP="00163957">
      <w:pPr>
        <w:pStyle w:val="TextoNormal"/>
      </w:pPr>
      <w:r>
        <w:t>Pues bien, entre las “otras circunstancias establecidas en la Ley” a que alude el citado precepto, conviene destacar, por su importancia para el caso aquí examinado, las señaladas en el art. 21.2, párrafo cuarto, de la Ley 22/2009, con arreglo al cual:</w:t>
      </w:r>
    </w:p>
    <w:p w:rsidR="00163957" w:rsidRDefault="00163957" w:rsidP="00163957">
      <w:pPr>
        <w:pStyle w:val="TextoNormal"/>
      </w:pPr>
    </w:p>
    <w:p w:rsidR="00163957" w:rsidRDefault="00163957" w:rsidP="00163957">
      <w:pPr>
        <w:pStyle w:val="TextoNormal"/>
      </w:pPr>
      <w:r>
        <w:t>“Las variaciones en los tipos impositivos estatales de los Impuestos Especiales de Fabricación e IVA determinarán una revisión del Fondo de Suficiencia Global provisional o definitivo por el importe del incremento o bajada de recaudación estimado para cada Comunidad Autónoma o Ciudad con Estatuto de Autonomía. Dicha revisión se hará por el Ministerio de Economía y Hacienda de oficio, sin que sea preciso acuerdo en las Comisiones Mixtas, a estos efectos.”</w:t>
      </w:r>
    </w:p>
    <w:p w:rsidR="00163957" w:rsidRDefault="00163957" w:rsidP="00163957">
      <w:pPr>
        <w:pStyle w:val="TextoNormal"/>
      </w:pPr>
    </w:p>
    <w:p w:rsidR="00163957" w:rsidRDefault="00163957" w:rsidP="00163957">
      <w:pPr>
        <w:pStyle w:val="TextoNormal"/>
      </w:pPr>
      <w:r>
        <w:t xml:space="preserve">Se debe tener en cuenta, en relación con las variaciones de tipos impositivos, que la Ley 26/2009, de 23 de diciembre, de presupuestos generales del Estado para el año 2010 (art. 79) modificó la Ley 37/1992, de 28 de diciembre, del impuesto sobre el valor añadido, con efectos desde 1 de julio de 2009, incrementando los tipos impositivos de este tributo cuyo rendimiento se encuentra cedido a las Comunidades Autónomas en un 50 por 100 </w:t>
      </w:r>
      <w:r w:rsidRPr="00163957">
        <w:rPr>
          <w:i/>
        </w:rPr>
        <w:t>ex</w:t>
      </w:r>
      <w:r>
        <w:t xml:space="preserve"> arts. 11 e) LOFCA y 35 de la Ley 22/2009. Y, posteriormente, con efectos desde el 1 de septiembre de 2012, el art. 23.2 del Real Decreto-ley 20/2012, de 13 de julio, de medidas para garantizar la estabilidad presupuestaria y de fomento de la competitividad, aumentó de nuevo los tipos de gravamen del IVA.</w:t>
      </w:r>
    </w:p>
    <w:p w:rsidR="00163957" w:rsidRDefault="00163957" w:rsidP="00163957">
      <w:pPr>
        <w:pStyle w:val="TextoNormal"/>
      </w:pPr>
    </w:p>
    <w:p w:rsidR="00163957" w:rsidRDefault="00163957" w:rsidP="00163957">
      <w:pPr>
        <w:pStyle w:val="TextoNormal"/>
      </w:pPr>
      <w:r>
        <w:t xml:space="preserve">Estas modificaciones al alza de los tipos impositivos del IVA, junto con otras de menor impacto recaudatorio producidas en el ámbito de los impuestos especiales de fabricación desde el año 2009, han llevado a que las Comunidades Autónomas, incluida la Valenciana, recibieran unos mayores ingresos por el tramo cedido del IVA y de los impuestos especiales de fabricación, recursos que, por idéntico importe, debían rebajarse del fondo de suficiencia </w:t>
      </w:r>
      <w:r>
        <w:lastRenderedPageBreak/>
        <w:t>global (la corrección habría sido al alza en caso de que los tipos impositivos se hubieran reducido) en cumplimiento del mencionado art. 21.2, párrafo cuarto, de la Ley 22/2009. Como resultado de esta revisión, las Comunidades Autónoma —también la Valenciana— continúan recibiendo en el ejercicio correspondiente los mismos recursos que si no hubiera tenido lugar la modificación de tipos impositivos, produciéndose únicamente un trasvase desde la masa “fondo de suficiencia global” en favor de la de “capacidad tributaria” y quedando preservada, por ello, la suficiencia financiera en los ejercicios de que se trate.</w:t>
      </w:r>
    </w:p>
    <w:p w:rsidR="00163957" w:rsidRDefault="00163957" w:rsidP="00163957">
      <w:pPr>
        <w:pStyle w:val="TextoNormal"/>
      </w:pPr>
    </w:p>
    <w:p w:rsidR="00163957" w:rsidRDefault="00163957" w:rsidP="00163957">
      <w:pPr>
        <w:pStyle w:val="TextoNormal"/>
      </w:pPr>
      <w:r>
        <w:t>A esta revisión del fondo de suficiencia global por el efecto de las variaciones en los tipos impositivos del IVA y los impuestos especiales de fabricación tuvimos ocasión de referirnos en la ya mencionada STC 76/2014, si bien en el caso analizado en dicha Sentencia la Comunidad Autónoma recurrente no discutía que el citado fondo debiera revisarse, sino que aducía que la minoración en las entregas a cuenta para el año 2011 era prematura. Y concluimos allí [FJ 6 b)] que el art. 128 de la Ley 39/2010, de 22 de diciembre, de presupuestos generales del Estado para 2011, que era el objeto de enjuiciamiento, no había violado el art. 21 de la Ley 22/2009, al calcular las entregas a cuenta del fondo de suficiencia global teniendo en cuenta la citada variación de tipos de gravamen del IVA.</w:t>
      </w:r>
    </w:p>
    <w:p w:rsidR="00163957" w:rsidRDefault="00163957" w:rsidP="00163957">
      <w:pPr>
        <w:pStyle w:val="TextoNormal"/>
      </w:pPr>
    </w:p>
    <w:p w:rsidR="00163957" w:rsidRDefault="00163957" w:rsidP="00163957">
      <w:pPr>
        <w:pStyle w:val="TextoNormal"/>
      </w:pPr>
      <w:r>
        <w:t>En el presente proceso, y según reconoce el recurrente, el signo negativo del fondo de suficiencia global de la Comunidad Valenciana en 2016, por importe de 1.329.533.560 €, no es más que el resultado de la aplicación de las reglas de evolución a las que la Generalitat se adhirió expresamente, entre las que destacan la revisión prevista en el art. 21.2 de la Ley 22/2009 o, lo que es lo mismo, la sustitución en el año correspondiente de una fuente de financiación (fondo de suficiencia global) por otra equivalente (mayor recaudación por el IVA y los impuestos especiales de fabricación), quedando preservada la “suficiencia dinámica” de la Comunidad, que no experimenta merma alguna en sus recursos. Se debe rechazar, por tanto, que el fondo de suficiencia global negativo infrinja el principio de suficiencia financiera del art. 2.1 f) LOFCA, en su doble vertiente “estática” y “dinámica”. Por esto no mismo, tampoco resulta vulnerado el art. 156.1 CE.</w:t>
      </w:r>
    </w:p>
    <w:p w:rsidR="00163957" w:rsidRDefault="00163957" w:rsidP="00163957">
      <w:pPr>
        <w:pStyle w:val="TextoNormal"/>
      </w:pPr>
    </w:p>
    <w:p w:rsidR="00163957" w:rsidRDefault="00163957" w:rsidP="00163957">
      <w:pPr>
        <w:pStyle w:val="TextoNormal"/>
      </w:pPr>
      <w:r>
        <w:t>Debemos concluir, pues, que la pretensión de la Comunidad Valenciana de obtener una mayor financiación a través del presente recurso de inconstitucionalidad, mediante la anulación del fondo de suficiencia global negativo consignado en el concepto 458 del estado de ingresos de la LPGE 2016, carece de sustento constitucional.</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inconstitucionalidad núm. 439-2016, promovido por el Consell de la Generalitat Valenciana contra los arts. 111 y 112 (respecto a las partidas presupuestarias del fondo de suficiencia global) de la Ley 48/2015, de 29 de octubre, de presupuestos generales del Estado para 2016.</w:t>
      </w:r>
    </w:p>
    <w:p w:rsidR="00163957" w:rsidRDefault="00163957" w:rsidP="00163957">
      <w:pPr>
        <w:pStyle w:val="TextoNormal"/>
      </w:pPr>
    </w:p>
    <w:p w:rsidR="00163957" w:rsidRDefault="00163957" w:rsidP="00163957">
      <w:pPr>
        <w:pStyle w:val="TextoNormal"/>
      </w:pPr>
      <w:r>
        <w:lastRenderedPageBreak/>
        <w:t>Publíquese esta Sentencia en el “Boletín Oficial del Estado”.</w:t>
      </w:r>
    </w:p>
    <w:p w:rsidR="00163957" w:rsidRDefault="00163957" w:rsidP="00163957">
      <w:pPr>
        <w:pStyle w:val="TextoNormal"/>
      </w:pPr>
      <w:r>
        <w:t>Dada en Madrid, a doce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00" w:name="SENTENCIA_2016_97"/>
      <w:r>
        <w:lastRenderedPageBreak/>
        <w:t>SENTENCIA 97/2016, de 23 de mayo de 2016</w:t>
      </w:r>
    </w:p>
    <w:bookmarkEnd w:id="100"/>
    <w:p w:rsidR="00163957" w:rsidRDefault="00163957" w:rsidP="00163957">
      <w:pPr>
        <w:pStyle w:val="TtuloResolucin"/>
      </w:pPr>
      <w:r>
        <w:t>Sala Primera</w:t>
      </w:r>
    </w:p>
    <w:p w:rsidR="00163957" w:rsidRDefault="00163957" w:rsidP="00163957">
      <w:pPr>
        <w:pStyle w:val="TtuloBOE"/>
      </w:pPr>
      <w:r>
        <w:t>(BOE núm. 159, de 2 de julio de 2016)</w:t>
      </w:r>
    </w:p>
    <w:p w:rsidR="00163957" w:rsidRDefault="00163957" w:rsidP="00163957">
      <w:pPr>
        <w:pStyle w:val="TextoNormalCentrado"/>
      </w:pPr>
      <w:r>
        <w:t>ECLI:ES:TC:2016:97</w:t>
      </w:r>
    </w:p>
    <w:p w:rsidR="00163957" w:rsidRDefault="00163957" w:rsidP="00163957">
      <w:pPr>
        <w:pStyle w:val="TextoNormalCentrado"/>
      </w:pPr>
    </w:p>
    <w:p w:rsidR="00163957" w:rsidRDefault="00163957" w:rsidP="00163957">
      <w:pPr>
        <w:pStyle w:val="SntesisDescriptiva"/>
      </w:pPr>
      <w:r>
        <w:t>Cuestión de inconstitucionalidad 4579-2014. Planteada por el Juzgado de lo Social número 2 de Guadalajara, en relación con los artículos 2.2 y 6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extinción, por pérdida de objeto, de la cuestión de inconstitucionalidad (STC 83/2015).</w:t>
      </w:r>
    </w:p>
    <w:p w:rsidR="00163957" w:rsidRDefault="00163957" w:rsidP="00163957">
      <w:pPr>
        <w:pStyle w:val="SntesisAnaltica"/>
      </w:pPr>
    </w:p>
    <w:p w:rsidR="00163957" w:rsidRDefault="00163957" w:rsidP="00163957">
      <w:pPr>
        <w:pStyle w:val="Extracto"/>
      </w:pPr>
      <w:r>
        <w:t>1.</w:t>
      </w:r>
      <w:r>
        <w:tab/>
        <w:t>Asunto sustancialmente idéntico al resuelto por la STC 83/2015, relativa a la pérdida de objeto de la cuestión de inconstitucionalidad como consecuencia de la satisfacción extraprocesal de la pretensión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Planteada por el Juzgado de lo Social número 2 de Guadalajara, en relación con los artículos 2.2 y 6 del Real Decreto-ley 20/2012, de 13 de julio, de medidas para garantizar la estabilidad presupuestaria y de fomento de la competitividad.</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10 de julio de 2014 tuvo entrada en el Registro General de este Tribunal un oficio del Juzgado de lo Social núm. 2 de Guadalajara al que se acompaña, junto con el testimonio del procedimiento núm. 1128-2013, el Auto de 15 de mayo de 2014, por el que se acuerda plantear cuestión de inconstitucionalidad en relación con los arts. 2.2 y 6 del Real Decreto-ley 20/2012, de 13 de julio, de medidas para garantizar la estabilidad presupuestaria y de fomento de la competitividad, por posible lesión del art. 9.3 CE, sobre el principio de irretroactividad de disposiciones restrictivas de derechos individuales.</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procesales de la cuestión de inconstitucionalidad planteada son, sucintamente expuestos, los siguientes:</w:t>
      </w:r>
    </w:p>
    <w:p w:rsidR="00163957" w:rsidRDefault="00163957" w:rsidP="00163957">
      <w:pPr>
        <w:pStyle w:val="TextoNormal"/>
      </w:pPr>
    </w:p>
    <w:p w:rsidR="00163957" w:rsidRDefault="00163957" w:rsidP="00163957">
      <w:pPr>
        <w:pStyle w:val="TextoNormal"/>
      </w:pPr>
      <w:r>
        <w:t>a) El presente procedimiento deriva de demanda de conflicto colectivo presentada por Comisiones Obreras (CCOO) contra el Ayuntamiento de Cifuentes. En dicho procedimiento se impugna la aplicación hecha por el demandado del Real Decreto-ley 20/2012 de acuerdo con el cual no se abonó la paga extraordinaria de diciembre del año 2012 al personal laboral del mencionado Ayuntamiento. El sindicato CCOO solicita que se declare el derecho del personal laboral de la entidad demandada a percibir la parte proporcional de la paga extraordinaria de diciembre de 2012 en la cuantía devengada durante el período comprendido entre el 1 de enero y el 15 de julio de 2012.</w:t>
      </w:r>
    </w:p>
    <w:p w:rsidR="00163957" w:rsidRDefault="00163957" w:rsidP="00163957">
      <w:pPr>
        <w:pStyle w:val="TextoNormal"/>
      </w:pPr>
    </w:p>
    <w:p w:rsidR="00163957" w:rsidRDefault="00163957" w:rsidP="00163957">
      <w:pPr>
        <w:pStyle w:val="TextoNormal"/>
      </w:pPr>
      <w:r>
        <w:t>b) Con suspensión del plazo para dictar sentencia y conforme a lo dispuesto en el art. 35 de la Ley Orgánica del Tribunal Constitucional (LOTC), el órgano judicial dictó providencia de 31 de marzo de 2014 por la que acordó oír a las partes y al Ministerio Fiscal para que alegasen sobre la pertinencia de plantear cuestión de inconstitucionalidad sobre el Real Decreto-ley 20/2012, de 13 de julio, de medidas para garantizar la estabilidad presupuestaria y de fomento de la competitividad, por si su aplicación, “pudiera contravenir el art. 9.3 de la Constitución española”.</w:t>
      </w:r>
    </w:p>
    <w:p w:rsidR="00163957" w:rsidRDefault="00163957" w:rsidP="00163957">
      <w:pPr>
        <w:pStyle w:val="TextoNormal"/>
      </w:pPr>
    </w:p>
    <w:p w:rsidR="00163957" w:rsidRDefault="00163957" w:rsidP="00163957">
      <w:pPr>
        <w:pStyle w:val="TextoNormal"/>
      </w:pPr>
      <w:r>
        <w:t>c) La representación procesal del Ayuntamiento de Cifuentes no se opuso al planteamiento de la cuestión de inconstitucionalidad. El sindicato demandante se opuso al planteamiento de la cuestión, por entender que el art. 2.2 del Real Decreto-ley 20/2012 es compatible con una interpretación conforme al principio de irretroactividad que garantiza el art. 9.3 CE. El Ministerio Fiscal no formuló alegaciones.</w:t>
      </w:r>
    </w:p>
    <w:p w:rsidR="00163957" w:rsidRDefault="00163957" w:rsidP="00163957">
      <w:pPr>
        <w:pStyle w:val="TextoNormal"/>
      </w:pPr>
    </w:p>
    <w:p w:rsidR="00163957" w:rsidRDefault="00163957" w:rsidP="00163957">
      <w:pPr>
        <w:pStyle w:val="TextoNormal"/>
      </w:pPr>
      <w:r w:rsidRPr="00163957">
        <w:rPr>
          <w:rStyle w:val="NumeroAFNegritaCaracter"/>
        </w:rPr>
        <w:t>3</w:t>
      </w:r>
      <w:r>
        <w:t>. Por Auto de 15 de mayo de 2014, el Juzgado de lo Social núm. 2 de Guadalajara acordó plantear la presente cuestión de inconstitucionalidad.</w:t>
      </w:r>
    </w:p>
    <w:p w:rsidR="00163957" w:rsidRDefault="00163957" w:rsidP="00163957">
      <w:pPr>
        <w:pStyle w:val="TextoNormal"/>
      </w:pPr>
    </w:p>
    <w:p w:rsidR="00163957" w:rsidRDefault="00163957" w:rsidP="00163957">
      <w:pPr>
        <w:pStyle w:val="TextoNormal"/>
      </w:pPr>
      <w:r>
        <w:t>Razona el Juzgado que el precepto cuestionado suprime el abono de la paga extraordinaria o equivalente del mes de diciembre del 2012 a partir de su entrada en vigor (15 de julio de 2012) al personal laboral del sector público (incluido por tanto el personal laboral de las corporaciones locales), sin precisar nada sobre excepciones por derechos devengados. La supresión de la paga extraordinaria para el personal laboral del sector público constituye un supuesto de retroactividad auténtica, contraria a la interdicción de la retroactividad de las normas restrictivas de derechos individuales (art. 9.3 CE). Entiende el Juzgado que frente a la concepción que hace derivar la norma impugnada del criterio del devengo puntual en el momento del pago de las pagas extraordinarias, debe primar la consolidada jurisprudencia del Tribunal Supremo según la cual el devengo de las pagas extraordinarias se produce día a día, toda vez que la paga extraordinaria o equivalente del mes de diciembre del 2012. Por ello la paga extra de Navidad es un salario diferido que se devenga diariamente, aunque su pago se efectúe el mes de diciembre; se trata, pues, de un derecho ya consolidado y no una mera expectativa de futuro, por lo que su supresión afecta retroactivamente a derechos que forman parte del patrimonio de los trabajadores afectados. De este modo, la aplicación de lo dispuesto en el art. 2, apartados 2 y 6, del Real Decreto-ley 20/2012, respecto a la supresión total de la paga extra de Navidad de 2012, supone una aplicación retroactiva de una norma restrictiva de derechos consolidados en su parte proporcional, hasta la fecha de entrada en vigor del Real Decreto-ley 20/2012, que vulnera el art. 9.3 CE.</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4</w:t>
      </w:r>
      <w:r>
        <w:t>. El Pleno de este Tribunal, a propuesta de la Sección Primera, acordó admitir a trámite la cuestión mediante providencia de 22 de julio de 2014; deferir a la Sala Primera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Social núm. 2 de Guadalajara a fin de que, de conformidad con lo dispuesto en el art. 35 LOTC, permaneciese suspendido el proceso hasta que este Tribunal resolviese efectivamente la cuestión; y publicar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el 4 de septiembre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t>Mediante escrito registrado el 8 de septiembre de 2014, el Presidente del Senado comunicó a este Tribunal el acuerdo de la Mesa para que se diera por personada a la Cámara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Abogado del Estado, mediante escrito de alegaciones registrado el 9 de septiembre de 2014, se personó interesando la desestimación de la cuestión de inconstitucionalidad por las razones que, resumidamente, se exponen a continuación.</w:t>
      </w:r>
    </w:p>
    <w:p w:rsidR="00163957" w:rsidRDefault="00163957" w:rsidP="00163957">
      <w:pPr>
        <w:pStyle w:val="TextoNormal"/>
      </w:pPr>
    </w:p>
    <w:p w:rsidR="00163957" w:rsidRDefault="00163957" w:rsidP="00163957">
      <w:pPr>
        <w:pStyle w:val="TextoNormal"/>
      </w:pPr>
      <w:r>
        <w:t>Comienza señalando que el Juzgado no se cuestiona genéricamente la supresión de la paga extra al personal laboral, sino que tan solo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00163957" w:rsidRDefault="00163957" w:rsidP="00163957">
      <w:pPr>
        <w:pStyle w:val="TextoNormal"/>
      </w:pPr>
    </w:p>
    <w:p w:rsidR="00163957" w:rsidRDefault="00163957" w:rsidP="00163957">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163957" w:rsidRDefault="00163957" w:rsidP="00163957">
      <w:pPr>
        <w:pStyle w:val="TextoNormal"/>
      </w:pPr>
    </w:p>
    <w:p w:rsidR="00163957" w:rsidRDefault="00163957" w:rsidP="00163957">
      <w:pPr>
        <w:pStyle w:val="TextoNormal"/>
      </w:pPr>
      <w:r>
        <w:t>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00163957" w:rsidRDefault="00163957" w:rsidP="00163957">
      <w:pPr>
        <w:pStyle w:val="TextoNormal"/>
      </w:pPr>
    </w:p>
    <w:p w:rsidR="00163957" w:rsidRDefault="00163957" w:rsidP="00163957">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163957" w:rsidRDefault="00163957" w:rsidP="00163957">
      <w:pPr>
        <w:pStyle w:val="TextoNormal"/>
      </w:pPr>
    </w:p>
    <w:p w:rsidR="00163957" w:rsidRDefault="00163957" w:rsidP="00163957">
      <w:pPr>
        <w:pStyle w:val="TextoNormal"/>
      </w:pPr>
      <w: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w:t>
      </w:r>
      <w:r>
        <w:lastRenderedPageBreak/>
        <w:t>tiene por finalidad contribuir a la consecución del inexcusable objetivo de estabilidad presupuestaria derivado del marco constitucional y de la Unión Europea.</w:t>
      </w:r>
    </w:p>
    <w:p w:rsidR="00163957" w:rsidRDefault="00163957" w:rsidP="00163957">
      <w:pPr>
        <w:pStyle w:val="TextoNormal"/>
      </w:pPr>
    </w:p>
    <w:p w:rsidR="00163957" w:rsidRDefault="00163957" w:rsidP="00163957">
      <w:pPr>
        <w:pStyle w:val="TextoNormal"/>
      </w:pPr>
      <w:r>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del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163957" w:rsidRDefault="00163957" w:rsidP="00163957">
      <w:pPr>
        <w:pStyle w:val="TextoNormal"/>
      </w:pPr>
    </w:p>
    <w:p w:rsidR="00163957" w:rsidRDefault="00163957" w:rsidP="00163957">
      <w:pPr>
        <w:pStyle w:val="TextoNormal"/>
      </w:pPr>
      <w:r>
        <w:t>Por todo ello, se interesa la desestimación de la cuestión.</w:t>
      </w:r>
    </w:p>
    <w:p w:rsidR="00163957" w:rsidRDefault="00163957" w:rsidP="00163957">
      <w:pPr>
        <w:pStyle w:val="TextoNormal"/>
      </w:pPr>
    </w:p>
    <w:p w:rsidR="00163957" w:rsidRDefault="00163957" w:rsidP="00163957">
      <w:pPr>
        <w:pStyle w:val="TextoNormal"/>
      </w:pPr>
      <w:r w:rsidRPr="00163957">
        <w:rPr>
          <w:rStyle w:val="NumeroAFNegritaCaracter"/>
        </w:rPr>
        <w:t>7</w:t>
      </w:r>
      <w:r>
        <w:t>. El Fiscal General del Estado presentó escrito de alegaciones ante este Tribunal el 12 de septiembre de 2014 interesando la estimación de la presente cuestión de inconstitucionalidad.</w:t>
      </w:r>
    </w:p>
    <w:p w:rsidR="00163957" w:rsidRDefault="00163957" w:rsidP="00163957">
      <w:pPr>
        <w:pStyle w:val="TextoNormal"/>
      </w:pPr>
    </w:p>
    <w:p w:rsidR="00163957" w:rsidRDefault="00163957" w:rsidP="00163957">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163957" w:rsidRDefault="00163957" w:rsidP="00163957">
      <w:pPr>
        <w:pStyle w:val="TextoNormal"/>
      </w:pPr>
    </w:p>
    <w:p w:rsidR="00163957" w:rsidRDefault="00163957" w:rsidP="00163957">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y ello con independencia de que su efectiva percepción tenga lugar en el último mes del período (salario devengado pero de percepción diferida). De este modo, sostiene que la privación de la </w:t>
      </w:r>
      <w:r>
        <w:lastRenderedPageBreak/>
        <w:t xml:space="preserve">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163957">
        <w:rPr>
          <w:i/>
        </w:rPr>
        <w:t>N.K.M. v.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El Fiscal General del Estado concluye sus alegaciones precisando que en el Auto de planteamiento no se cuestiona todo el art. 2 del Real Decreto-ley 20/2012 sino en concreto, su apartado 2.2, ya que es éste el que resulta aplicable para resolver el pleito sometido a su conocimiento y relevante en cuánto el recurso del proceso subyacente se refiere exclusivamente al personal laboral.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28 de mayo de 2015 la Sala Primera acordó, de conformidad con lo dispuesto en el art. 88.1 LOTC, dirigir atenta comunicación al Ayuntamiento de Cifuentes (Guadalajara), a fin de que indique a este Tribunal si, en atención a lo previsto en la disposición adicional segunda de la Ley 36/2014, de presupuestos generales del Estado para el año 2015, o por cualquier otra circunstancia, ha satisfecho al personal laboral de esa Agencia, alguna cantidad en concepto de recuperación de la parte proporcional de la paga extra</w:t>
      </w:r>
      <w:r>
        <w:lastRenderedPageBreak/>
        <w:t>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163957" w:rsidRDefault="00163957" w:rsidP="00163957">
      <w:pPr>
        <w:pStyle w:val="TextoNormal"/>
      </w:pPr>
    </w:p>
    <w:p w:rsidR="00163957" w:rsidRDefault="00163957" w:rsidP="00163957">
      <w:pPr>
        <w:pStyle w:val="TextoNormal"/>
      </w:pPr>
      <w:r w:rsidRPr="00163957">
        <w:rPr>
          <w:rStyle w:val="NumeroAFNegritaCaracter"/>
        </w:rPr>
        <w:t>9</w:t>
      </w:r>
      <w:r>
        <w:t>. En contestación a dicha providencia el Ayuntamiento de Cifuentes comunica, por escrito registrado el 17 de junio de 2015, que por “Resolución de esta Alcaldía 90/2015, de 30 de abril de 2015, se acordó ordenar la devolución al personal laboral del Ayuntamiento de Cifuentes de la paga extraordinaria de diciembre de 2012, siendo la cantidad abonada el equivalente a 44 días de salario, que se hizo efectiva el día 6 de mayo de 2015”.</w:t>
      </w:r>
    </w:p>
    <w:p w:rsidR="00163957" w:rsidRDefault="00163957" w:rsidP="00163957">
      <w:pPr>
        <w:pStyle w:val="TextoNormal"/>
      </w:pPr>
    </w:p>
    <w:p w:rsidR="00163957" w:rsidRDefault="00163957" w:rsidP="00163957">
      <w:pPr>
        <w:pStyle w:val="TextoNormal"/>
      </w:pPr>
      <w:r w:rsidRPr="00163957">
        <w:rPr>
          <w:rStyle w:val="NumeroAFNegritaCaracter"/>
        </w:rPr>
        <w:t>10</w:t>
      </w:r>
      <w:r>
        <w:t>. Por escrito de la Secretaría de Justicia de Pleno de 13 de noviembre de 2015, y como complemento de la comunicación anterior, se solicitó al Ayuntamiento de Cifuentes que informara a este Tribunal si con posterioridad a esa fecha y en atención a lo previsto en el Real Decreto-ley 10/2015, ha sido abonada alguna otra cantidad en concepto de devolución de la paga extraordinaria de diciembre de 2012 y el número de días de la referida paga a la que, en su caso, corresponden las cuantías abonadas.</w:t>
      </w:r>
    </w:p>
    <w:p w:rsidR="00163957" w:rsidRDefault="00163957" w:rsidP="00163957">
      <w:pPr>
        <w:pStyle w:val="TextoNormal"/>
      </w:pPr>
    </w:p>
    <w:p w:rsidR="00163957" w:rsidRDefault="00163957" w:rsidP="00163957">
      <w:pPr>
        <w:pStyle w:val="TextoNormal"/>
      </w:pPr>
      <w:r w:rsidRPr="00163957">
        <w:rPr>
          <w:rStyle w:val="NumeroAFNegritaCaracter"/>
        </w:rPr>
        <w:t>11</w:t>
      </w:r>
      <w:r>
        <w:t>. Por escrito del Ayuntamiento de Cifuentes registrado el 9 de diciembre de 2015 se informó que “mediante Resolución de Alcaldía 313/2015, de 19 de noviembre de 2015, se ordenó la devolución del segundo tramo de la paga extraordinaria de diciembre de 2012 por un importe equivalente a 48 días, haciéndose efectivo el abono de la misma el 30 de noviembre de 2015”.</w:t>
      </w:r>
    </w:p>
    <w:p w:rsidR="00163957" w:rsidRDefault="00163957" w:rsidP="00163957">
      <w:pPr>
        <w:pStyle w:val="TextoNormal"/>
      </w:pPr>
    </w:p>
    <w:p w:rsidR="00163957" w:rsidRDefault="00163957" w:rsidP="00163957">
      <w:pPr>
        <w:pStyle w:val="TextoNormal"/>
      </w:pPr>
      <w:r w:rsidRPr="00163957">
        <w:rPr>
          <w:rStyle w:val="NumeroAFNegritaCaracter"/>
        </w:rPr>
        <w:t>12</w:t>
      </w:r>
      <w:r>
        <w:t>. Con fecha 30 de marzo de 2016 la Secretaría de Justicia de Pleno dirigió comunicación al Ayuntamiento de Cifuentes para que informara si con posterioridad a la fecha de la última comunicación y en atención a lo previsto en la disposición adicional duodécima de la Ley 48/2015, de 29 de octubre, de presupuestos generales del Estado para el año 2016, ha sido abonada alguna otra cantidad y el número de días de la referida paga a la que corresponde la cuantía abonada.</w:t>
      </w:r>
    </w:p>
    <w:p w:rsidR="00163957" w:rsidRDefault="00163957" w:rsidP="00163957">
      <w:pPr>
        <w:pStyle w:val="TextoNormal"/>
      </w:pPr>
    </w:p>
    <w:p w:rsidR="00163957" w:rsidRDefault="00163957" w:rsidP="00163957">
      <w:pPr>
        <w:pStyle w:val="TextoNormal"/>
      </w:pPr>
      <w:r w:rsidRPr="00163957">
        <w:rPr>
          <w:rStyle w:val="NumeroAFNegritaCaracter"/>
        </w:rPr>
        <w:t>13</w:t>
      </w:r>
      <w:r>
        <w:t>. Por escrito registrado el 10 de mayo de 2016 el Ayuntamiento de Cifuentes informó a este Tribunal que “mediante Resolución de Alcaldía 115/2016, de 3 de mayo, se ordenó la devolución del último tramo de la paga extraordinaria de diciembre de 2012 por un importe equivalente a 91 días, de acuerdo a la disposición adicional décima de la Ley 49/2015, de 29 de octubre, de Presupuestos Generales del Estado para 2016, haciéndose efectivo el abono de la misma el 3 de mayo de 2016”.</w:t>
      </w:r>
    </w:p>
    <w:p w:rsidR="00163957" w:rsidRDefault="00163957" w:rsidP="00163957">
      <w:pPr>
        <w:pStyle w:val="TextoNormal"/>
      </w:pPr>
    </w:p>
    <w:p w:rsidR="00163957" w:rsidRDefault="00163957" w:rsidP="00163957">
      <w:pPr>
        <w:pStyle w:val="TextoNormal"/>
      </w:pPr>
      <w:r w:rsidRPr="00163957">
        <w:rPr>
          <w:rStyle w:val="NumeroAFNegritaCaracter"/>
        </w:rPr>
        <w:t>14</w:t>
      </w:r>
      <w:r>
        <w:t>. Por providencia de 19 de mayo de 2016 se señaló para deliberación y votación de la presente Sentencia el día 23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Juzgado de lo Social núm. 2 de Guadalajara plantea cuestión de inconstitucionalidad respecto de los arts. 2.2 y 6 del Real Decreto-ley 20/2012, de 13 de julio, de medidas para garantizar la estabilidad presupuestaria y de fomento de la competitividad. En síntesis, </w:t>
      </w:r>
      <w:r>
        <w:lastRenderedPageBreak/>
        <w:t>la Sala entiende que los citados artículos, en su aplicación al personal laboral, pueden vulnerar el principio constitucional de interdicción de la retroactividad de las disposiciones sancionadoras no favorables o restrictivas de derechos individuales (art. 9.3 CE), al no contemplar excepción alguna respecto de las cuantías ya devengadas al momento de la entrada en vigor del Real Decreto-ley 20/2012.</w:t>
      </w:r>
    </w:p>
    <w:p w:rsidR="00163957" w:rsidRDefault="00163957" w:rsidP="00163957">
      <w:pPr>
        <w:pStyle w:val="TextoNormal"/>
      </w:pPr>
    </w:p>
    <w:p w:rsidR="00163957" w:rsidRDefault="00163957" w:rsidP="00163957">
      <w:pPr>
        <w:pStyle w:val="TextoNormal"/>
      </w:pPr>
      <w:r>
        <w:t>En los términos en que han sido recogidos en los antecedentes de esta Sentencia, el Fiscal General del Estado coincide con el juicio de inconstitucionalidad formulado por el Auto de planteamiento de la cuestión, por lo que interesa la estimación de la misma, mientras que el Abogado del Estado solicita su desestimación.</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Como consta en los antecedentes de esta resolución, el Ayuntamiento de Cifuentes ha abonado a su personal laboral la totalidad de la paga extraordinaria de diciembre de 2012, de conformidad con lo previsto en la disposición adicional duodécima de la Ley 36/2014, de presupuestos generales del Estado para el año 2015, el art. 1.1 del Real Decreto-ley 10/2015, de 11 de septiembre, por el que se conceden créditos extraordinarios y suplementos de crédito en el presupuesto del Estado y se adoptan otras medidas en materia de empleo público y de estímulo a la economía, y la disposición adicional duodécima de la Ley 48/2015, de 29 de octubre, de presupuestos generales del Estado para el año 2016. Así, por resolución de Alcaldía 90/2015, de 30 de abril, se acordó ordenar la devolución al personal laboral del Ayuntamiento de Cifuentes de 44 días de la paga extraordinaria de diciembre de 2012, devolución que se hizo efectiva el día 6 de mayo de 2015. Por resolución de Alcaldía 313/2015, de 19 de noviembre, se ordenó la devolución del segundo tramo de la paga extraordinaria de diciembre de 2012 por un importe equivalente a 48 días, haciéndose efectivo el abono de la misma el 30 de noviembre de 2015. Y, finalmente, </w:t>
      </w:r>
      <w:r>
        <w:tab/>
        <w:t>por resolución de Alcaldía 115/2016, de 3 de mayo, se ordenó la devolución del último tramo de la paga extraordinaria de diciembre de 2012 por un importe equivalente a 91 días, haciéndose efectivo el abono el 3 de mayo de 2016.</w:t>
      </w:r>
    </w:p>
    <w:p w:rsidR="00163957" w:rsidRDefault="00163957" w:rsidP="00163957">
      <w:pPr>
        <w:pStyle w:val="TextoNormal"/>
      </w:pPr>
    </w:p>
    <w:p w:rsidR="00163957" w:rsidRDefault="00163957" w:rsidP="00163957">
      <w:pPr>
        <w:pStyle w:val="TextoNormal"/>
      </w:pPr>
      <w:r>
        <w:t>La recuperación del importe de la paga extra de diciembre de 2012 por el personal laboral del Ayuntamiento de Cifuentes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lastRenderedPageBreak/>
        <w:t>Ha decidido</w:t>
      </w:r>
    </w:p>
    <w:p w:rsidR="00163957" w:rsidRDefault="00163957" w:rsidP="00163957">
      <w:pPr>
        <w:pStyle w:val="TextoNormalCentrado"/>
        <w:keepNext/>
      </w:pPr>
    </w:p>
    <w:p w:rsidR="00163957" w:rsidRDefault="00163957" w:rsidP="00163957">
      <w:pPr>
        <w:pStyle w:val="TextoNormal"/>
      </w:pPr>
      <w:r>
        <w:t>Declarar la extinción de la presente cuestión de inconstitucionalidad por desaparición sobrevenida de su objeto.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veintitrés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01" w:name="SENTENCIA_2016_98"/>
      <w:r>
        <w:lastRenderedPageBreak/>
        <w:t>SENTENCIA 98/2016, de 23 de mayo de 2016</w:t>
      </w:r>
    </w:p>
    <w:bookmarkEnd w:id="101"/>
    <w:p w:rsidR="00163957" w:rsidRDefault="00163957" w:rsidP="00163957">
      <w:pPr>
        <w:pStyle w:val="TtuloResolucin"/>
      </w:pPr>
      <w:r>
        <w:t>Sala Primera</w:t>
      </w:r>
    </w:p>
    <w:p w:rsidR="00163957" w:rsidRDefault="00163957" w:rsidP="00163957">
      <w:pPr>
        <w:pStyle w:val="TtuloBOE"/>
      </w:pPr>
      <w:r>
        <w:t>(BOE núm. 159, de 2 de julio de 2016)</w:t>
      </w:r>
    </w:p>
    <w:p w:rsidR="00163957" w:rsidRDefault="00163957" w:rsidP="00163957">
      <w:pPr>
        <w:pStyle w:val="TextoNormalCentrado"/>
      </w:pPr>
      <w:r>
        <w:t>ECLI:ES:TC:2016:98</w:t>
      </w:r>
    </w:p>
    <w:p w:rsidR="00163957" w:rsidRDefault="00163957" w:rsidP="00163957">
      <w:pPr>
        <w:pStyle w:val="TextoNormalCentrado"/>
      </w:pPr>
    </w:p>
    <w:p w:rsidR="00163957" w:rsidRDefault="00163957" w:rsidP="00163957">
      <w:pPr>
        <w:pStyle w:val="SntesisDescriptiva"/>
      </w:pPr>
      <w:r>
        <w:t>Recurso de amparo 146-2015. Promovido por el Ayuntamiento de Toledo respecto de las resoluciones dictadas por las Salas de lo Contencioso-Administrativo del Tribunal Superior de Justicia de Castilla-La Mancha y del Tribunal Supremo, en proceso de impugnación de la orden de la Consejería de Vivienda y Urbanismo, de aprobación definitiva del plan de ordenación municipal de Toledo.</w:t>
      </w:r>
    </w:p>
    <w:p w:rsidR="00163957" w:rsidRDefault="00163957" w:rsidP="00163957">
      <w:pPr>
        <w:pStyle w:val="SntesisDescriptiva"/>
      </w:pPr>
    </w:p>
    <w:p w:rsidR="00163957" w:rsidRDefault="00163957" w:rsidP="00163957">
      <w:pPr>
        <w:pStyle w:val="SntesisAnaltica"/>
      </w:pPr>
      <w:r>
        <w:t>Vulneración de los derechos a la tutela judicial efectiva y a un proceso con todas las garantías: sentencia no fundada en Derecho porque inaplica una ley autonómica vigente sin plantear cuestión de inconstitucionalidad (STC 195/2015). Voto particular.</w:t>
      </w:r>
    </w:p>
    <w:p w:rsidR="00163957" w:rsidRDefault="00163957" w:rsidP="00163957">
      <w:pPr>
        <w:pStyle w:val="SntesisAnaltica"/>
      </w:pPr>
    </w:p>
    <w:p w:rsidR="00163957" w:rsidRDefault="00163957" w:rsidP="00163957">
      <w:pPr>
        <w:pStyle w:val="Extracto"/>
      </w:pPr>
      <w:r>
        <w:t>1.</w:t>
      </w:r>
      <w:r>
        <w:tab/>
        <w:t>Asunto sustancialmente idéntico al resuelto por la STC 195/2015, en relación con la doctrina sobre el exceso de jurisdicción en que incurren los órganos judiciales al rechazar la aplicación de una norma con rango de ley, sin elevar cuestión de inconstitucional ante este Tribunal Constitucional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146-2015, promovido por don Alberto Collado Martín, Procurador de los Tribunales y del Ayuntamiento de Toledo, bajo la dirección del Letrado don Santiago Muñoz Machado, contra el Auto de la Sección Primera de la Sala de lo Contencioso-Administrativo del Tribunal Supremo de 23 de octubre de 2014, el Auto de 3 de abril de 2014, dictado en el recurso de casación núm. 4773-2011, de la misma Sala y Sección, y la Sentencia de 18 de julio de 2011, dictada por la Sección Primera de la Sala de lo Contencioso-Administrativo del Tribunal Superior de Justicia de Castila-La Mancha que estima el recurso contencioso-administrativo núm. 516-2007, formulado contra la Orden de 26 de marzo de 2007 de la Consejería de Vivienda y Urbanismo que aprueba definitivamente el plan de ordenación municipal de Toledo. Han intervenido el Ministerio Fiscal y la Junta de Comunidades de Castilla-La Mancha, representada por el Procurador de los Tribunales don Francisco Velasco Muñoz-Cuellar, y bajo la dirección letrada de don Angel Querada Tapia. Ha sido Ponente el Presidente, don Francisco Pérez de los Cobos Orihuel, que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9 de enero de 2015, don Alberto Collado Martín, Procurador de los Tribunales, en representación del Ayuntamiento de Toledo, interpuso recurso de amparo contra la Sentencia de la Sección Primera de la Sala de lo Contencioso-Administrativo del Tribunal Superior de Justicia de Castilla-La Mancha, de 18 de julio de 2011, que estimó el recurso contencioso-administrativo núm. 516-2007 formulado contra la Orden de 26 de marzo de 2007 de la Consejería de Vivienda y Urbanismo que aprueba definitivamente el plan de ordenación municipal de Toledo y contra el Auto de 3 de abril de 2014 de la Sección Primera de la Sala de lo Contencioso-Administrativo del Tribunal Supremo, que declaró la pérdida sobrevenida del objeto del recurso de casación interpuesto contra dicha Sentencia, así como contra el Auto de 23 de octubre de 2014, de la misma Sala y Sección del Tribunal Supremo, que desestimó el incidente de nulidad de actuaciones promovido contra el citado Auto de 3 de abril de 2014. La demanda les atribuye la vulneración de los derechos a la tutela judicial efectiva (art. 24.1 CE) y a un proceso con todas las garantías (art. 24.2 CE), por exceso de jurisdicción.</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relevantes para resolver el recurso de amparo interpuesto son los siguientes:</w:t>
      </w:r>
    </w:p>
    <w:p w:rsidR="00163957" w:rsidRDefault="00163957" w:rsidP="00163957">
      <w:pPr>
        <w:pStyle w:val="TextoNormal"/>
      </w:pPr>
    </w:p>
    <w:p w:rsidR="00163957" w:rsidRDefault="00163957" w:rsidP="00163957">
      <w:pPr>
        <w:pStyle w:val="TextoNormal"/>
      </w:pPr>
      <w:r>
        <w:t>a) Ante la Sala de lo Contencioso-Administrativo del Tribunal Superior de Justicia de Castilla-La Mancha, don Gregorio Juárez Sardinero interpuso recurso contencioso-administrativo contra la Orden de 26 de marzo de 2007 de la Consejería de Vivienda y Urbanismo de la Junta de Comunidades de Castilla-La Mancha, por la que se aprueba definitivamente el plan de ordenación municipal de Toledo. En él se denunciaba la nulidad de pleno derecho del plan de ordenación municipal de Toledo al haberse realizado modificaciones sustanciales sin someterlo nuevamente al trámite de información pública.</w:t>
      </w:r>
    </w:p>
    <w:p w:rsidR="00163957" w:rsidRDefault="00163957" w:rsidP="00163957">
      <w:pPr>
        <w:pStyle w:val="TextoNormal"/>
      </w:pPr>
    </w:p>
    <w:p w:rsidR="00163957" w:rsidRDefault="00163957" w:rsidP="00163957">
      <w:pPr>
        <w:pStyle w:val="TextoNormal"/>
      </w:pPr>
      <w:r>
        <w:t>b) La Sentencia, de 18 de julio de 2011, de la Sección Primera de la Sala de lo Contencioso-Administrativo del Tribunal Superior de Justicia (recurso contencioso-administrativo núm. 516-2007), estimó el recurso formulado contra la citada Orden y declaró contrario a Derecho y anuló el plan de ordenación municipal de Toledo. El órgano judicial argumenta su decisión remitiéndose a lo dispuesto en la Sentencia de 27 de diciembre de 2010 dictada por la misma Sala y Sección, que, a su vez, encuentra apoyo en lo dispuesto en la STS de 9 de diciembre de 2008. En primer lugar, justifica el no planteamiento de la cuestión de inconstitucionalidad contra el precepto de la Ley autonómica, por no tratarse de la inaplicación de una norma sino de la elección del derecho aplicable al caso controvertido. Por otro lado, considera que debe estimarse el recurso pues si bien la regulación contenida en la Ley autonómica no garantiza la participación pública en el proceso de planeamiento, el art. 6.1 de la Ley 6/1998, sobre régimen del suelo y valoraciones sí exige abrir un nuevo trámite de información pública en el proceso de planeamiento si se introducen modificaciones sustanciales; como así previamente se había estimado.</w:t>
      </w:r>
    </w:p>
    <w:p w:rsidR="00163957" w:rsidRDefault="00163957" w:rsidP="00163957">
      <w:pPr>
        <w:pStyle w:val="TextoNormal"/>
      </w:pPr>
    </w:p>
    <w:p w:rsidR="00163957" w:rsidRDefault="00163957" w:rsidP="00163957">
      <w:pPr>
        <w:pStyle w:val="TextoNormal"/>
      </w:pPr>
      <w:r>
        <w:t xml:space="preserve">c) El Ayuntamiento interpuso recurso de casación basado, entre otros motivos, en que la Sala había incurrido en un exceso de jurisdicción al estar obligada a aplicar el art. 36.2 a) del texto refundido de la Ley de ordenación del territorio y de la actividad urbanística de </w:t>
      </w:r>
      <w:r>
        <w:lastRenderedPageBreak/>
        <w:t>Castilla-La Mancha, salvo que planteara cuestión de inconstitucionalidad conforme a lo dispuesto en los arts. 163 CE y 35.1 de la Ley Orgánica del Tribunal Constitucional (LOTC) y el art. 5.2 de la Ley Orgánica del Poder Judicial (LOPJ), citando en su apoyo, entre otras, las SSTC 61/1993, 163/1995, 173/2002, 58/2004 y 66/2011.</w:t>
      </w:r>
    </w:p>
    <w:p w:rsidR="00163957" w:rsidRDefault="00163957" w:rsidP="00163957">
      <w:pPr>
        <w:pStyle w:val="TextoNormal"/>
      </w:pPr>
    </w:p>
    <w:p w:rsidR="00163957" w:rsidRDefault="00163957" w:rsidP="00163957">
      <w:pPr>
        <w:pStyle w:val="TextoNormal"/>
      </w:pPr>
      <w:r>
        <w:t>d) Por Auto de 3 de abril de 2014 (recurso de casación núm. 4773-2011), la Sala de lo Contencioso-Administrativo del Tribunal Supremo, declaró la pérdida sobrevenida de objeto. La Sala considera que al desarrollarse la impugnación casacional en términos sustancialmente coincidentes con los examinados en el recurso de casación núm. 5116-2011, desestimado por Sentencia de 27 de febrero de 2014, que confirmó la Sentencia dictada por la misma Sala de instancia de fecha de 26 de julio de 2011, dictada en recurso núm. 556-2007 y que declaró la nulidad de la misma resolución impugnada, esto es, la Orden de 26 de marzo de 2007 de la Consejería de Vivienda y Urbanismo por la que se aprueba definitivamente el plan de ordenación municipal de Toledo, carece de sentido, aunque sea por la vía de enjuiciar el contenido de la Sentencia recurrida, pronunciarse sobre si es ajustada o no a derecho una disposición de carácter general, como es un plan de ordenación, que ya ha sido declarada nula por Sentencia firme y que, por tanto, ha sido expulsada del ordenamiento jurídico.</w:t>
      </w:r>
    </w:p>
    <w:p w:rsidR="00163957" w:rsidRDefault="00163957" w:rsidP="00163957">
      <w:pPr>
        <w:pStyle w:val="TextoNormal"/>
      </w:pPr>
    </w:p>
    <w:p w:rsidR="00163957" w:rsidRDefault="00163957" w:rsidP="00163957">
      <w:pPr>
        <w:pStyle w:val="TextoNormal"/>
      </w:pPr>
      <w:r>
        <w:t>e) El 13 de junio de 2014, el Ayuntamiento de Toledo formuló incidente de nulidad de actuaciones ante la misma Sección Primera de la Sala de lo Contencioso-Administrativo del Tribunal Supremo. Alegó que dado que al declarar la pérdida sobrevenida de objeto del recurso de casación, el Auto impugnado traslada al recurso a que se refiere, la totalidad de los argumentos y efectos jurídicos de la citada Sentencia de 27 de febrero de 2014, igualmente se traslada al presente incidente de nulidad la totalidad de los argumentos utilizados en él contra la referida Sentencia. Es decir, la vulneración de sus derechos fundamentales a la tutela judicial efectiva sin indefensión y a un proceso con todas las garantías (art. 24.1 y 2 CE).</w:t>
      </w:r>
    </w:p>
    <w:p w:rsidR="00163957" w:rsidRDefault="00163957" w:rsidP="00163957">
      <w:pPr>
        <w:pStyle w:val="TextoNormal"/>
      </w:pPr>
    </w:p>
    <w:p w:rsidR="00163957" w:rsidRDefault="00163957" w:rsidP="00163957">
      <w:pPr>
        <w:pStyle w:val="TextoNormal"/>
      </w:pPr>
      <w:r>
        <w:t>f) Por Auto de 23 de octubre de 2014 se desestimó el incidente de nulidad de actuaciones, remitiéndose a lo dispuesto en el Auto de 15 de julio de 2014 que a su vez había desestimado el presentado frente a la Sentencia de 27 de febrero de 2014.</w:t>
      </w:r>
    </w:p>
    <w:p w:rsidR="00163957" w:rsidRDefault="00163957" w:rsidP="00163957">
      <w:pPr>
        <w:pStyle w:val="TextoNormal"/>
      </w:pPr>
    </w:p>
    <w:p w:rsidR="00163957" w:rsidRDefault="00163957" w:rsidP="00163957">
      <w:pPr>
        <w:pStyle w:val="TextoNormal"/>
      </w:pPr>
      <w:r w:rsidRPr="00163957">
        <w:rPr>
          <w:rStyle w:val="NumeroAFNegritaCaracter"/>
        </w:rPr>
        <w:t>3</w:t>
      </w:r>
      <w:r>
        <w:t>. La demanda de amparo alega la vulneración de los derechos a la tutela judicial efectiva (art. 24.1 CE) y a un proceso con todas las garantías (art. 24.2 CE), por incurrir las resoluciones impugnadas en un exceso de jurisdicción, consistente en no aplicar una ley autonómica vigente que resultaba pertinente al caso —aduciendo haber seleccionado una norma estatal básica—, sin plantear antes cuestión de inconstitucionalidad del art. 163 CE ante este Tribunal Constitucional con el fin de obtener un pronunciamiento sobre ello, tal y como exige nuestra doctrina, que al efecto se invoca (SSTC 73/2000, 104/2000, 120/2000, 173/2002, 66/2011, 187/2012 y 177/2013). Este exceso de jurisdicción produjo además, según la demanda, de colocar al Ayuntamiento de Toledo en una “situación de efectiva indefensión, pues ni tuvo oportunidad ni ocasión de prever, dado el sometimiento judicial al imperio de la ley, tal preterición del sistema de fuentes, ni pudo hacer uso del trámite de alegaciones del artículo 35 LOTC”.</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En virtud de providencia de la Sala Primera, de 5 de octubre de 2015, se acordó la admisión a trámite de la demanda de amparo, “apreciando que concurre en el mismo una </w:t>
      </w:r>
      <w:r>
        <w:lastRenderedPageBreak/>
        <w:t>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se acordó dirigir atenta comunicación a la Sala de lo Contencioso-Administrativo del Tribunal Supremo, Sección Primera, y a la Sección Primera de la Sala de lo Contencioso-Administrativo del Tribunal Superior de Justicia de Castilla-La Mancha, para que, en el plazo de diez días, remitieran certificación o fotocopia adverada de las actuaciones correspondientes al recurso de casación núm. 4773-2011 y del procedimiento ordinario núm. 516-2007, seguido respectivamente ante los mismos y practicaran los emplazamientos correspondientes. También se acordó en la misma formar la correspondiente pieza separada de suspensión, que previa la correspondiente tramitación, fue resuelta por ATC 210/2015, de 14 de diciembre.</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registrado en este Tribunal el día 21 de octubre de 2015, el Procurador de los Tribunales don Francisco Velasco Muñoz-Cuéllar, compareció en representación de la Junta de Comunidades de Castilla-La Mancha, solicitando se le tuviera por personado.</w:t>
      </w:r>
    </w:p>
    <w:p w:rsidR="00163957" w:rsidRDefault="00163957" w:rsidP="00163957">
      <w:pPr>
        <w:pStyle w:val="TextoNormal"/>
      </w:pPr>
    </w:p>
    <w:p w:rsidR="00163957" w:rsidRDefault="00163957" w:rsidP="00163957">
      <w:pPr>
        <w:pStyle w:val="TextoNormal"/>
      </w:pPr>
      <w:r w:rsidRPr="00163957">
        <w:rPr>
          <w:rStyle w:val="NumeroAFNegritaCaracter"/>
        </w:rPr>
        <w:t>6</w:t>
      </w:r>
      <w:r>
        <w:t>. Por escrito registrado el 10 de diciembre 2015, formuló alegaciones el Ayuntamiento de Toledo, interesando el otorgamiento del amparo que basa en la absoluta identidad del objeto del presente recurso con el resuelto mediante Sentencia de la Sala Primera de este Tribunal de 21 de septiembre de 2015, que otorgó el amparo al citado Ayuntamiento.</w:t>
      </w:r>
    </w:p>
    <w:p w:rsidR="00163957" w:rsidRDefault="00163957" w:rsidP="00163957">
      <w:pPr>
        <w:pStyle w:val="TextoNormal"/>
      </w:pPr>
    </w:p>
    <w:p w:rsidR="00163957" w:rsidRDefault="00163957" w:rsidP="00163957">
      <w:pPr>
        <w:pStyle w:val="TextoNormal"/>
      </w:pPr>
      <w:r w:rsidRPr="00163957">
        <w:rPr>
          <w:rStyle w:val="NumeroAFNegritaCaracter"/>
        </w:rPr>
        <w:t>7</w:t>
      </w:r>
      <w:r>
        <w:t>. Mediante escrito presentado el mismo día 10 de diciembre, formuló alegaciones la Junta de Comunidades de Castilla-La Mancha, haciendo suyas las efectuadas por el Ayuntamiento de Toledo en su escrito de interposición del recurso de amparo e interesando su otorgamiento.</w:t>
      </w:r>
    </w:p>
    <w:p w:rsidR="00163957" w:rsidRDefault="00163957" w:rsidP="00163957">
      <w:pPr>
        <w:pStyle w:val="TextoNormal"/>
      </w:pPr>
    </w:p>
    <w:p w:rsidR="00163957" w:rsidRDefault="00163957" w:rsidP="00163957">
      <w:pPr>
        <w:pStyle w:val="TextoNormal"/>
      </w:pPr>
      <w:r w:rsidRPr="00163957">
        <w:rPr>
          <w:rStyle w:val="NumeroAFNegritaCaracter"/>
        </w:rPr>
        <w:t>8</w:t>
      </w:r>
      <w:r>
        <w:t>. El Ministerio Fiscal, mediante escrito presentado el 14 de diciembre de 2015, efectuó alegaciones interesando que se otorgara el amparo solicitado, anulando las resoluciones impugnadas y retrotrayendo las actuaciones al momento procesal inmediatamente anterior al de la Sentencia de 18 de julio de 2011 de la Sección Primera de la Sala de lo Contencioso-Administrativo del Tribunal Superior de Justicia de Castilla-La Mancha, a fin de que dicte la que corresponda con respeto a los derechos fundamentales vulnerados.</w:t>
      </w:r>
    </w:p>
    <w:p w:rsidR="00163957" w:rsidRDefault="00163957" w:rsidP="00163957">
      <w:pPr>
        <w:pStyle w:val="TextoNormal"/>
      </w:pPr>
    </w:p>
    <w:p w:rsidR="00163957" w:rsidRDefault="00163957" w:rsidP="00163957">
      <w:pPr>
        <w:pStyle w:val="TextoNormal"/>
      </w:pPr>
      <w:r>
        <w:t xml:space="preserve">Considera, tras realizar toda una serie de consideraciones previas, que “deviene incuestionable y necesaria la aplicación de la STC 195/2015 al presente recurso de amparo, en cuanto el ATS de 3 de abril de 2014, impugnado en este recurso de amparo, utiliza la anulada STS de 27 de febrero de 2014 como soporte argumental y determinante de su contenido y parte dispositiva”. Así, en aplicación de la doctrina expuesta en la citada STC 195/2015, resulta, a su juicio, que las resoluciones impugnadas han vulnerado el derecho a la tutela judicial efectiva y a un proceso con todas las garantías (art. 24.1 y 2 CE). No estima, sin embargo, que se haya conculcado el derecho a la tutela judicial efectiva (art. 24.1 CE), al no incurrir las resoluciones recurridas en un manifiesto desconocimiento del deber de acatamiento de la doctrina del Tribunal Constitucional, con quiebra del mandato recogido en el art. 5 LOPJ, por no concurrir las circunstancias que terminarían una oposición frontal a la </w:t>
      </w:r>
      <w:r>
        <w:lastRenderedPageBreak/>
        <w:t>interpretación realizada por el citado Tribunal sino una interpretación errónea de la jurisprudencia constitucional por la STS impugnada.</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19 de mayo de 2016 se señaló para deliberación y votación de la presente Sentencia el día 23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amparo tiene por objeto enjuiciar si las resoluciones en él impugnadas lesionaron los derechos fundamentales del recurrente a la tutela judicial efectiva sin indefensión (art. 24.1 CE) y a un proceso con todas las garantías (art. 24.2 CE), por incurrir los órganos judiciales en exceso de jurisdicción al rechazar la aplicación del art. 36.2 a) párrafo segundo (debe entenderse referido al párrafo tercero), del texto refundido de la Ley de ordenación del territorio y de la actividad urbanística de Castilla-La Mancha, sin elevar cuestión de inconstitucionalidad ante este Tribunal.</w:t>
      </w:r>
    </w:p>
    <w:p w:rsidR="00163957" w:rsidRDefault="00163957" w:rsidP="00163957">
      <w:pPr>
        <w:pStyle w:val="TextoNormal"/>
      </w:pPr>
    </w:p>
    <w:p w:rsidR="00163957" w:rsidRDefault="00163957" w:rsidP="00163957">
      <w:pPr>
        <w:pStyle w:val="TextoNormal"/>
      </w:pPr>
      <w:r w:rsidRPr="00163957">
        <w:rPr>
          <w:rStyle w:val="NumeroAFNegritaCaracter"/>
        </w:rPr>
        <w:t>2</w:t>
      </w:r>
      <w:r>
        <w:t>. Como ha quedado expuesto en los antecedentes, tanto el demandante de amparo como el Ministerio Fiscal consideran en sus escritos de alegaciones que, tras el dictado de la STC 195/2015, de 21 de septiembre, no cabe sino trasladar lo allí dispuesto al presente recurso y otorgar el amparo, dada la identidad de objeto de ambos recursos.</w:t>
      </w:r>
    </w:p>
    <w:p w:rsidR="00163957" w:rsidRDefault="00163957" w:rsidP="00163957">
      <w:pPr>
        <w:pStyle w:val="TextoNormal"/>
      </w:pPr>
    </w:p>
    <w:p w:rsidR="00163957" w:rsidRDefault="00163957" w:rsidP="00163957">
      <w:pPr>
        <w:pStyle w:val="TextoNormal"/>
      </w:pPr>
      <w:r>
        <w:t>Dicha apreciación es compartida por este Tribunal, y por ello considera que, en aplicación de la fundamentación contenida en la citada Sentencia, las resoluciones impugnadas en el presente caso han vulnerado el derecho a la tutela judicial efectiva (art. 24.1 CE) y a un proceso con todas las garantías (art. 24.2 CE), al proceder los órganos judiciales a la inaplicación de la norma autonómica por considerarla contraria a la ley básica estatal, sin plantear la cuestión de inconstitucionalidad, conforme a lo dispuesto en el art. 163 CE y la jurisprudencia de este Tribunal. Debemos rechazar, sin embargo, como así consideramos en dicha resolución, que exista una voluntad manifiesta de no aplicar la doctrina constitucional o una decisión consciente de soslayarla, y ello con independencia del acierto de la decisión adoptada que en nada afectaría al mandato contenido en el art. 5.1 de la Ley Orgánica del Poder Judicial al que alude el recurrente.</w:t>
      </w:r>
    </w:p>
    <w:p w:rsidR="00163957" w:rsidRDefault="00163957" w:rsidP="00163957">
      <w:pPr>
        <w:pStyle w:val="TextoNormal"/>
      </w:pPr>
    </w:p>
    <w:p w:rsidR="00163957" w:rsidRDefault="00163957" w:rsidP="00163957">
      <w:pPr>
        <w:pStyle w:val="TextoNormal"/>
      </w:pPr>
      <w:r w:rsidRPr="00163957">
        <w:rPr>
          <w:rStyle w:val="NumeroAFNegritaCaracter"/>
        </w:rPr>
        <w:t>3</w:t>
      </w:r>
      <w:r>
        <w:t>. El otorgamiento del amparo al demandante por vulneración del derecho a la tutela judicial efectiva (art. 24.1 CE) y a un proceso con todas las garantías (art. 24.2 CE), debe comportar (art. 55.1 de la Ley Orgánica del Tribunal Constitucional) el reconocimiento de los derechos fundamentales vulnerados. Asimismo, procede declarar la nulidad de las resoluciones judiciales impugnadas, con retroacción de actuaciones al momento inmediatamente anterior a dictarse la Sentencia de la Sección Primera de la Sala de lo Contencioso-Administrativo del Tribunal Superior de Justicia de Castilla-La Mancha, como solicita el Ministerio Fiscal, a los efectos de que por dicho Tribunal se dicte otra resolución que resulte respetuosa con los derechos fundamentales reconocidos.</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Otorgar el amparo solicitado por el Ayuntamiento de Toledo y, en su virtud:</w:t>
      </w:r>
    </w:p>
    <w:p w:rsidR="00163957" w:rsidRDefault="00163957" w:rsidP="00163957">
      <w:pPr>
        <w:pStyle w:val="TextoNormal"/>
      </w:pPr>
    </w:p>
    <w:p w:rsidR="00163957" w:rsidRDefault="00163957" w:rsidP="00163957">
      <w:pPr>
        <w:pStyle w:val="TextoNormal"/>
      </w:pPr>
      <w:r>
        <w:t>1º Reconocer el derecho del Ayuntamiento demandante a la tutela judicial efectiva (art. 24.1 CE) y a un proceso con todas las garantías (art. 24.2 CE).</w:t>
      </w:r>
    </w:p>
    <w:p w:rsidR="00163957" w:rsidRDefault="00163957" w:rsidP="00163957">
      <w:pPr>
        <w:pStyle w:val="TextoNormal"/>
      </w:pPr>
    </w:p>
    <w:p w:rsidR="00163957" w:rsidRDefault="00163957" w:rsidP="00163957">
      <w:pPr>
        <w:pStyle w:val="TextoNormal"/>
      </w:pPr>
      <w:r>
        <w:t>2º Declarar la nulidad de la Sentencia de la Sección Primera de la Sala de lo Contencioso-Administrativo del Tribunal Superior de Justicia de Castilla-La Mancha, de 18 de julio de 2011, recurso contencioso-administrativo núm. 516-2007, así como los Autos de 3 de abril y 23 de octubre, ambos de 2014, dictados en el recurso de casación núm. 4773-2011 por la Sección Primera de la Sala de lo Contencioso-Administrativo del Tribunal Supremo.</w:t>
      </w:r>
    </w:p>
    <w:p w:rsidR="00163957" w:rsidRDefault="00163957" w:rsidP="00163957">
      <w:pPr>
        <w:pStyle w:val="TextoNormal"/>
      </w:pPr>
    </w:p>
    <w:p w:rsidR="00163957" w:rsidRDefault="00163957" w:rsidP="00163957">
      <w:pPr>
        <w:pStyle w:val="TextoNormal"/>
      </w:pPr>
      <w:r>
        <w:t>3º Retrotraer las actuaciones al momento inmediatamente anterior al señalamiento para votación y fallo del recurso núm. 516-2007, para que el Tribunal Superior de Justicia de Castilla-La Mancha dicte nueva Sentencia respetuosa con los derechos fundamentales vulnerados.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veintitrés de mayo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Juan Antonio Xiol Ríos a la Sentencia dictada en el recurso de amparo núm. 146-2015.</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Sala en la que se sustenta la Sentencia, manifiesto mi discrepancia con la fundamentación jurídica y el fallo de esta, que entiendo hubiera debido de ser desestimatorio.</w:t>
      </w:r>
    </w:p>
    <w:p w:rsidR="00163957" w:rsidRDefault="00163957" w:rsidP="00163957">
      <w:pPr>
        <w:pStyle w:val="TextoNormal"/>
      </w:pPr>
    </w:p>
    <w:p w:rsidR="00163957" w:rsidRDefault="00163957" w:rsidP="00163957">
      <w:pPr>
        <w:pStyle w:val="TextoNormal"/>
      </w:pPr>
      <w:r>
        <w:t>Las razones de mi discrepancia son coincidentes con las que ya fueron expuestas en el Voto particular formulado a la STC 195/2015, de 21 de septiembre, a la que para evitar reiteraciones innecesarias me remito.</w:t>
      </w:r>
    </w:p>
    <w:p w:rsidR="00163957" w:rsidRDefault="00163957" w:rsidP="00163957">
      <w:pPr>
        <w:pStyle w:val="TextoNormal"/>
      </w:pPr>
    </w:p>
    <w:p w:rsidR="00163957" w:rsidRDefault="00163957" w:rsidP="00163957">
      <w:pPr>
        <w:pStyle w:val="TextoNormal"/>
      </w:pPr>
      <w:r>
        <w:t>Madrid, a veintitrés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02" w:name="SENTENCIA_2016_99"/>
      <w:r>
        <w:lastRenderedPageBreak/>
        <w:t>SENTENCIA 99/2016, de 25 de mayo de 2016</w:t>
      </w:r>
    </w:p>
    <w:bookmarkEnd w:id="102"/>
    <w:p w:rsidR="00163957" w:rsidRDefault="00163957" w:rsidP="00163957">
      <w:pPr>
        <w:pStyle w:val="TtuloResolucin"/>
      </w:pPr>
      <w:r>
        <w:t>Pleno</w:t>
      </w:r>
    </w:p>
    <w:p w:rsidR="00163957" w:rsidRDefault="00163957" w:rsidP="00163957">
      <w:pPr>
        <w:pStyle w:val="TtuloBOE"/>
      </w:pPr>
      <w:r>
        <w:t>(BOE núm. 159, de 2 de julio de 2016)</w:t>
      </w:r>
    </w:p>
    <w:p w:rsidR="00163957" w:rsidRDefault="00163957" w:rsidP="00163957">
      <w:pPr>
        <w:pStyle w:val="TextoNormalCentrado"/>
      </w:pPr>
      <w:r>
        <w:t>ECLI:ES:TC:2016:99</w:t>
      </w:r>
    </w:p>
    <w:p w:rsidR="00163957" w:rsidRDefault="00163957" w:rsidP="00163957">
      <w:pPr>
        <w:pStyle w:val="TextoNormalCentrado"/>
      </w:pPr>
    </w:p>
    <w:p w:rsidR="00163957" w:rsidRDefault="00163957" w:rsidP="00163957">
      <w:pPr>
        <w:pStyle w:val="SntesisDescriptiva"/>
      </w:pPr>
      <w:r>
        <w:t>Recurso de inconstitucionalidad 1743-2013. Interpuesto por el Gobierno de la Generalitat de Cataluña en relación con diversos preceptos de la Ley 2/2012, de 29 de junio, de presupuestos generales del Estado para el año 2012.</w:t>
      </w:r>
    </w:p>
    <w:p w:rsidR="00163957" w:rsidRDefault="00163957" w:rsidP="00163957">
      <w:pPr>
        <w:pStyle w:val="SntesisDescriptiva"/>
      </w:pPr>
    </w:p>
    <w:p w:rsidR="00163957" w:rsidRDefault="00163957" w:rsidP="00163957">
      <w:pPr>
        <w:pStyle w:val="SntesisAnaltica"/>
      </w:pPr>
      <w:r>
        <w:t>Límites de las leyes de presupuestos; competencias en materia laboral, ordenación general de la economía y función pública; principio de autonomía financiera: constitucionalidad de los preceptos legales que suspenden y modifican diferentes previsiones de la Ley de promoción de la autonomía personal y atención a las personas en situación de dependencia, y establecen la jornada general de trabajo en el sector público. Voto particular.</w:t>
      </w:r>
    </w:p>
    <w:p w:rsidR="00163957" w:rsidRDefault="00163957" w:rsidP="00163957">
      <w:pPr>
        <w:pStyle w:val="SntesisAnaltica"/>
      </w:pPr>
    </w:p>
    <w:p w:rsidR="00163957" w:rsidRDefault="00163957" w:rsidP="00163957">
      <w:pPr>
        <w:pStyle w:val="Extracto"/>
      </w:pPr>
      <w:r>
        <w:t>1.</w:t>
      </w:r>
      <w:r>
        <w:tab/>
        <w:t>Negado que de la disposición recurrida derive el condicionamiento de los propios recursos y competencias de las Comunidades Autónomas al que reiteradamente hace referencia la parte recurrente, necesariamente decae también el principal argumento que ésta aduce para, con carácter común, denunciar que dicha disposición resulta contraria al principio de lealtad constitucional, a la autonomía financiera de la Comunidad Autónoma y a la competencia autonómica sobre servicios sociales [FJ 5].</w:t>
      </w:r>
    </w:p>
    <w:p w:rsidR="00163957" w:rsidRDefault="00163957" w:rsidP="00163957">
      <w:pPr>
        <w:pStyle w:val="Extracto"/>
      </w:pPr>
    </w:p>
    <w:p w:rsidR="00163957" w:rsidRDefault="00163957" w:rsidP="00163957">
      <w:pPr>
        <w:pStyle w:val="Extracto"/>
      </w:pPr>
      <w:r>
        <w:t>2.</w:t>
      </w:r>
      <w:r>
        <w:tab/>
        <w:t xml:space="preserve">No puede acogerse el presupuesto de que la Ley 2/2012, de 29 de junio, </w:t>
      </w:r>
      <w:r w:rsidRPr="00163957">
        <w:rPr>
          <w:i/>
        </w:rPr>
        <w:t>de presupuestos generales del Estado para el año 2012</w:t>
      </w:r>
      <w:r>
        <w:t xml:space="preserve">, circunscrita al denominado segundo nivel de protección, constituya una norma que impone a las Comunidades Autónomas la obligación de aportar sus propios recursos para dotar las prestaciones definidas por la Ley 39/2006, de 14 de diciembre, </w:t>
      </w:r>
      <w:r w:rsidRPr="00163957">
        <w:rPr>
          <w:i/>
        </w:rPr>
        <w:t>de promoción de la autonomía personal y atención a las personas en situación de dependencia</w:t>
      </w:r>
      <w:r>
        <w:t xml:space="preserve"> y para percibir los fondos correspondientes al nivel mínimo de protección financiado por el Estado [FJ 5].</w:t>
      </w:r>
    </w:p>
    <w:p w:rsidR="00163957" w:rsidRDefault="00163957" w:rsidP="00163957">
      <w:pPr>
        <w:pStyle w:val="Extracto"/>
      </w:pPr>
    </w:p>
    <w:p w:rsidR="00163957" w:rsidRDefault="00163957" w:rsidP="00163957">
      <w:pPr>
        <w:pStyle w:val="Extracto"/>
      </w:pPr>
      <w:r>
        <w:t>3.</w:t>
      </w:r>
      <w:r>
        <w:tab/>
        <w:t>No es objetable que, en la Ley de presupuestos generales del Estado para 2012, el legislador estatal acordara la suspensión, durante ese ejercicio, de la  Ley 39/2006, no incorporando créditos a tal fin y descartando así que, para ese año, la Administración estatal pudiera concertar el nivel de protección acordado mediante la firma del correspondiente convenio, que, como se ha dicho, es el presupuesto último para que nazca la obligación de cofinanciación respecto a cada Comunidad Autónoma [FJ 5].</w:t>
      </w:r>
    </w:p>
    <w:p w:rsidR="00163957" w:rsidRDefault="00163957" w:rsidP="00163957">
      <w:pPr>
        <w:pStyle w:val="Extracto"/>
      </w:pPr>
    </w:p>
    <w:p w:rsidR="00163957" w:rsidRDefault="00163957" w:rsidP="00163957">
      <w:pPr>
        <w:pStyle w:val="Extracto"/>
      </w:pPr>
      <w:r>
        <w:t>4.</w:t>
      </w:r>
      <w:r>
        <w:tab/>
        <w:t>El nivel de protección acordado entre la Administración estatal y cada Comunidad Autónoma se concibe en la Ley 39/2006 como contingente o potencial, dependiendo su existencia del mutuo concierto entre ambas partes, sin que exista un previo derecho a la citada cofinanciación estatal del nivel acordado; cofinanciación que queda sujeta a las decisiones adoptadas por el Estado a la hora de asignar prioridades de gasto en su propio presupuesto [FJ 5].</w:t>
      </w:r>
    </w:p>
    <w:p w:rsidR="00163957" w:rsidRDefault="00163957" w:rsidP="00163957">
      <w:pPr>
        <w:pStyle w:val="Extracto"/>
      </w:pPr>
    </w:p>
    <w:p w:rsidR="00163957" w:rsidRDefault="00163957" w:rsidP="00163957">
      <w:pPr>
        <w:pStyle w:val="Extracto"/>
      </w:pPr>
      <w:r>
        <w:lastRenderedPageBreak/>
        <w:t>5.</w:t>
      </w:r>
      <w:r>
        <w:tab/>
        <w:t>La protección de la situación de dependencia se estructura en tres niveles: un “nivel de protección mínimo” (asumido íntegramente por el Estado), un “nivel de protección acordado” (asumido por el Estado y las Comunidades Autónomas) y un “nivel de protección adicional” (que puede ser establecido por las Comunidades Autónomas) [FJ 3].</w:t>
      </w:r>
    </w:p>
    <w:p w:rsidR="00163957" w:rsidRDefault="00163957" w:rsidP="00163957">
      <w:pPr>
        <w:pStyle w:val="Extracto"/>
      </w:pPr>
    </w:p>
    <w:p w:rsidR="00163957" w:rsidRDefault="00163957" w:rsidP="00163957">
      <w:pPr>
        <w:pStyle w:val="Extracto"/>
      </w:pPr>
      <w:r>
        <w:t>6.</w:t>
      </w:r>
      <w:r>
        <w:tab/>
        <w:t>El “nivel de protección acordado” entre la Administración estatal y la de cada una de las Comunidades Autónomas permite incrementar el nivel mínimo de protección fijado por el Estado: para ello se permite el desarrollo del marco de cooperación interadministrativa mediante convenios, en los que se podrá acordar los objetivos, medios y recursos para la aplicación de los servicios y prestaciones recogidos en la Ley 39/2006, así como la financiación que corresponda a cada Administración [FJ 3].</w:t>
      </w:r>
    </w:p>
    <w:p w:rsidR="00163957" w:rsidRDefault="00163957" w:rsidP="00163957">
      <w:pPr>
        <w:pStyle w:val="Extracto"/>
      </w:pPr>
    </w:p>
    <w:p w:rsidR="00163957" w:rsidRDefault="00163957" w:rsidP="00163957">
      <w:pPr>
        <w:pStyle w:val="Extracto"/>
      </w:pPr>
      <w:r>
        <w:t>7.</w:t>
      </w:r>
      <w:r>
        <w:tab/>
        <w:t xml:space="preserve">El Estado tiene competencia para modificar el calendario de aplicación de la Ley 39/2006, ya que determinar el momento en que se hacen efectivas las prestaciones a la dependencia se configura como uno de los elementos básicos, en este caso temporales, de dicho sistema; lo cual le corresponde al Estado, </w:t>
      </w:r>
      <w:r w:rsidRPr="00163957">
        <w:rPr>
          <w:i/>
        </w:rPr>
        <w:t>ex</w:t>
      </w:r>
      <w:r>
        <w:t xml:space="preserve"> art. 149.1.1 CE, para garantizar las condiciones básicas de igualdad [FJ 6].</w:t>
      </w:r>
    </w:p>
    <w:p w:rsidR="00163957" w:rsidRDefault="00163957" w:rsidP="00163957">
      <w:pPr>
        <w:pStyle w:val="Extracto"/>
      </w:pPr>
    </w:p>
    <w:p w:rsidR="00163957" w:rsidRDefault="00163957" w:rsidP="00163957">
      <w:pPr>
        <w:pStyle w:val="Extracto"/>
      </w:pPr>
      <w:r>
        <w:t>8.</w:t>
      </w:r>
      <w:r>
        <w:tab/>
        <w:t>En aplicación de la doctrina contenida en la STC 18/2016, la normativa sobre dependencia encaja materialmente en el ámbito de la “asistencia social”, lo que nos lleva a descartar la aplicación de los títulos competenciales de los arts. 149.1.13 y 17 CE y a encuadrar la regulación estatal en el art. 149.1.1 CE [FJ 4].</w:t>
      </w:r>
    </w:p>
    <w:p w:rsidR="00163957" w:rsidRDefault="00163957" w:rsidP="00163957">
      <w:pPr>
        <w:pStyle w:val="Extracto"/>
      </w:pPr>
    </w:p>
    <w:p w:rsidR="00163957" w:rsidRDefault="00163957" w:rsidP="00163957">
      <w:pPr>
        <w:pStyle w:val="Extracto"/>
      </w:pPr>
      <w:r>
        <w:t>9.</w:t>
      </w:r>
      <w:r>
        <w:tab/>
        <w:t>La fijación de la duración mínima de la jornada de trabajo constituye una previsión integrada en la esfera de los derechos y deberes de los funcionarios, quedando justificada su determinación por el Estado como normativa básica en tanto estamos ante una medida que garantiza una mínima homogeneidad en un aspecto central del régimen estatutario funcionarial como es el tiempo de trabajo o dedicación exigible a todo funcionario, sin que además el legislador haya establecido límite en cuanto a su período de aplicación (SSTC 163/2012, 156/2015) [FJ 7].</w:t>
      </w:r>
    </w:p>
    <w:p w:rsidR="00163957" w:rsidRDefault="00163957" w:rsidP="00163957">
      <w:pPr>
        <w:pStyle w:val="Extracto"/>
      </w:pPr>
    </w:p>
    <w:p w:rsidR="00163957" w:rsidRDefault="00163957" w:rsidP="00163957">
      <w:pPr>
        <w:pStyle w:val="Extracto"/>
      </w:pPr>
      <w:r>
        <w:t>10.</w:t>
      </w:r>
      <w:r>
        <w:tab/>
        <w:t>En cuanto al personal laboral del sector público, ha de tenerse en cuenta que el art. 149.1.7 CE atribuye al Estado la competencia exclusiva sobre legislación laboral, materia en la que se incluye la regulación de un elemento esencial del contrato de trabajo como es el tiempo de prestación de servicios (SSTC 228/2012, 7/1985) [FJ 7].</w:t>
      </w:r>
    </w:p>
    <w:p w:rsidR="00163957" w:rsidRDefault="00163957" w:rsidP="00163957">
      <w:pPr>
        <w:pStyle w:val="Extracto"/>
      </w:pPr>
    </w:p>
    <w:p w:rsidR="00163957" w:rsidRDefault="00163957" w:rsidP="00163957">
      <w:pPr>
        <w:pStyle w:val="Extracto"/>
      </w:pPr>
      <w:r>
        <w:t>11.</w:t>
      </w:r>
      <w:r>
        <w:tab/>
        <w:t>El legislador puede establecer la jornada de trabajo en el sector público en una ley de presupuestos, pues se trata de una previsión que tiene conexión directa con la política económica del Estado –cuya pretensión es contener el gasto público– que, además, no hace una aplicación que desconozca tácitamente el régimen sustantivo previamente establecido [FJ 8].</w:t>
      </w:r>
    </w:p>
    <w:p w:rsidR="00163957" w:rsidRDefault="00163957" w:rsidP="00163957">
      <w:pPr>
        <w:pStyle w:val="Extracto"/>
      </w:pPr>
    </w:p>
    <w:p w:rsidR="00163957" w:rsidRDefault="00163957" w:rsidP="00163957">
      <w:pPr>
        <w:pStyle w:val="Extracto"/>
      </w:pPr>
      <w:r>
        <w:t>12.</w:t>
      </w:r>
      <w:r>
        <w:tab/>
        <w:t xml:space="preserve">Se aplica la doctrina constitucional que establece que, dado que la impugnación frente a esta norma es de carácter competencial, ha de tenerse en cuenta que, a </w:t>
      </w:r>
      <w:r>
        <w:lastRenderedPageBreak/>
        <w:t>efectos de determinar si mantiene vivo su objeto, lo relevante no es tanto el agotamiento de los efectos de la concreta norma impugnada, cuanto determinar si con ese agotamiento ha cesado o no la controversia competencial (SSTC 26/2013, 104/2013, 180/2013, 174/2014) [FJ 2].</w:t>
      </w:r>
    </w:p>
    <w:p w:rsidR="00163957" w:rsidRDefault="00163957" w:rsidP="00163957">
      <w:pPr>
        <w:pStyle w:val="Extracto"/>
      </w:pPr>
    </w:p>
    <w:p w:rsidR="00163957" w:rsidRDefault="00163957" w:rsidP="00163957">
      <w:pPr>
        <w:pStyle w:val="Extracto"/>
      </w:pPr>
      <w:r>
        <w:t>13.</w:t>
      </w:r>
      <w:r>
        <w:tab/>
        <w:t>Cabe trasladar nuestra doctrina dictada en relación con las leyes de presupuestos, según la cual, excluir la posibilidad de examen constitucional en estos supuestos sería tanto como negar el control por este Tribunal Constitucional de determinadas normas con vigencia limitada en el tiempo, creándose así un ámbito normativo (estatal o autonómico) inmune al control de la jurisdicción constitucional (SSTC 204/2011, 197/2012, 139/2013, 171/2014)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1743-2013, interpuesto por el Gobierno de Cataluña contra las disposiciones adicionales cuadragésima y septuagésima primera, así como la disposición final octava de la Ley 2/2012, de 29 de junio, de presupuestos generales del Estado para el año 2012. Ha comparecido y formulado alegaciones el Abogado del Estado. Ha sido Ponente la Magistrada doña Encarnación Roca Trías,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22 de marzo de 2013, los Abogados de la Generalitat de Cataluña, en la representación que ostentan, promueven recurso de inconstitucionalidad contra las disposiciones adicionales cuadragésima y septuagésima primera, así como la disposición final octava de la Ley 2/2012, de 29 de junio, de presupuestos generales del Estado para el año 2012.</w:t>
      </w:r>
    </w:p>
    <w:p w:rsidR="00163957" w:rsidRDefault="00163957" w:rsidP="00163957">
      <w:pPr>
        <w:pStyle w:val="TextoNormal"/>
      </w:pPr>
    </w:p>
    <w:p w:rsidR="00163957" w:rsidRDefault="00163957" w:rsidP="00163957">
      <w:pPr>
        <w:pStyle w:val="TextoNormal"/>
      </w:pPr>
      <w:r>
        <w:t>Con carácter preliminar, el recurso justifica su interposición en el plazo de nueve meses desde la publicación de la Ley, por haber hecho uso del procedimiento conciliatorio del art. 33.2 de la Ley Orgánica del Tribunal Constitucional (en adelante, LOTC), con resultado infructuoso. La impugnación se fundamenta en los motivos que, en síntesis, se exponen a continuación.</w:t>
      </w:r>
    </w:p>
    <w:p w:rsidR="00163957" w:rsidRDefault="00163957" w:rsidP="00163957">
      <w:pPr>
        <w:pStyle w:val="TextoNormal"/>
      </w:pPr>
    </w:p>
    <w:p w:rsidR="00163957" w:rsidRDefault="00163957" w:rsidP="00163957">
      <w:pPr>
        <w:pStyle w:val="TextoNormal"/>
      </w:pPr>
      <w:r>
        <w:t>A) El escrito del recurso se centra en la disposición adicional cuadragésima de la Ley 2/2012 —por la que se suspende, durante el año 2012, la aplicación de los arts. 7.2, 8.2 a), 10 y 32.3 (primer párrafo) y de la disposición transitoria primera de la Ley 39/2006, de 14 de diciembre, de promoción de la autonomía personal y atención a las personas en situación de dependencia—, así como en la disposición final octava de la Ley 2/2012 —por la que se da nueva redacción al primer apartado de la disposición final primera de la Ley 39/2006—.</w:t>
      </w:r>
    </w:p>
    <w:p w:rsidR="00163957" w:rsidRDefault="00163957" w:rsidP="00163957">
      <w:pPr>
        <w:pStyle w:val="TextoNormal"/>
      </w:pPr>
    </w:p>
    <w:p w:rsidR="00163957" w:rsidRDefault="00163957" w:rsidP="00163957">
      <w:pPr>
        <w:pStyle w:val="TextoNormal"/>
      </w:pPr>
      <w:r>
        <w:t>a) Respecto a estas disposiciones, el recurso indica que, aunque la Ley 2/2012 no especifica el título competencial por el que el Estado se encuentra habilitado para adoptar dichas disposiciones, cabe presumir que el legislador estatal se ha amparado en el mismo título competencial que en su día invocó para aprobar la Ley 39/2006, que, según su disposición final octava, se dictó en virtud de la competencia exclusiva del Estado para regular las condiciones básicas que garanticen la igualdad de todos los españoles en el ejercicio de los derechos y el cumplimiento de los deberes constitucionales, conforme al art. 149.1.1 CE. Sin embargo, a juicio de la parte recurrente, las citadas disposición adicional cuadragésima y disposición final octava exceden de la cobertura que pudiera proporcionar dicho art. 149.1.1 CE y comportan tanto una vulneración de la competencia asumida por la Generalitat de Cataluña en materia de servicios sociales de conformidad con el art. 166.1 del Estatuto de Autonomía de Cataluña (en adelante, EAC), como también una contravención del principio de lealtad constitucional o institucional y de la autonomía financiera de la Generalitat en los términos que resultan del art. 156 CE y arts. 3.1, 201, 202 y 211 EAC.</w:t>
      </w:r>
    </w:p>
    <w:p w:rsidR="00163957" w:rsidRDefault="00163957" w:rsidP="00163957">
      <w:pPr>
        <w:pStyle w:val="TextoNormal"/>
      </w:pPr>
    </w:p>
    <w:p w:rsidR="00163957" w:rsidRDefault="00163957" w:rsidP="00163957">
      <w:pPr>
        <w:pStyle w:val="TextoNormal"/>
      </w:pPr>
      <w:r>
        <w:t xml:space="preserve">El recurso repasa la jurisprudencia constitucional sobre el art. 149.1.1 CE (SSTC 137/1986, FJ 3; 173/1998, FJ 9), destacando entre otros aspectos que, según esta doctrina, dicho precepto habilita al Estado para regular los aspectos primarios de los derechos constitucionales, y asimismo, que las condiciones básicas que garantizan la igualdad se predican de los derechos y deberes constitucionales en sí mismos considerados y no de los sectores materiales en que éstos se insertan, por lo que el citado art. 149.1.1 CE sólo puede dar cobertura a aquellas condiciones que guarden una estrecha relación, directa e inmediata, con los derechos que la Constitución reconoce [SSTC 61/1997, FJ 7 b), y 228/2003, FJ 10]. Señala la parte recurrente que, referida esa competencia estatal a derechos constitucionales, la atención a la dependencia no ha tenido un enunciado en esos términos en la Constitución, sino que sólo encuentra acogida explícita en el art. 49 CE, como uno de los principios rectores de la política social y económica. El escrito de interposición admite la posibilidad de que el Estado determine normativamente la regulación de las condiciones básicas que garanticen la igualdad de todos los españoles en el ejercicio del derecho a la igualdad a través de la promoción de la autonomía personal y la atención a la dependencia. No obstante, consideran que, dado que ese derecho sustantivo emerge únicamente de un principio enunciado en el art. 49 CE y no es un derecho fundamental en sentido estricto, la habilitación del Estado </w:t>
      </w:r>
      <w:r w:rsidRPr="00163957">
        <w:rPr>
          <w:i/>
        </w:rPr>
        <w:t>ex</w:t>
      </w:r>
      <w:r>
        <w:t xml:space="preserve"> art. 149.1.1 CE para regular la garantía de la igualdad en su ejercicio ha de tener una correspondiente de menor intensidad o grado, máxime si se tiene en cuenta que ese derecho de las personas dependientes incide directamente en un ámbito material de competencia exclusiva de las Comunidades Autónomas como es la asistencia social.</w:t>
      </w:r>
    </w:p>
    <w:p w:rsidR="00163957" w:rsidRDefault="00163957" w:rsidP="00163957">
      <w:pPr>
        <w:pStyle w:val="TextoNormal"/>
      </w:pPr>
    </w:p>
    <w:p w:rsidR="00163957" w:rsidRDefault="00163957" w:rsidP="00163957">
      <w:pPr>
        <w:pStyle w:val="TextoNormal"/>
      </w:pPr>
      <w:r>
        <w:t xml:space="preserve">Asimismo, nuevamente con cita de la doctrina constitucional (SSTC 61/1997, FJ 7; 188/2001, FJ 4; 37/2002, FJ 12; 239/2002, FJ 10, y 228/2003, FJ 10), el recurso indica que esas condiciones fundamentales son las que van dirigidas a los ciudadanos y no, por tanto, </w:t>
      </w:r>
      <w:r>
        <w:lastRenderedPageBreak/>
        <w:t>los mandatos dirigidos a las Comunidades Autónomas, que no pueden tener cobertura en la citada competencia estatal, si disponen de competencia exclusiva en la materia. Por ello, afirman que la regulación estatal de las condiciones básicas de la igualdad en el ejercicio del derecho a las prestaciones de la dependencia habrá de ceñirse a la determinación de las posiciones jurídicas fundamentales y a los elementos más esenciales definidores del derecho, sin menoscabo a las competencias asumidas por las Comunidades Autónomas para la regulación de los aspectos organizativos y la gestión de los servicios asistenciales y prestaciones a la dependencia y promoción de la autonomía personal. Asimismo, con apoyo en la doctrina constitucional sentada en la STC 13/1992, FJ 4, añaden que, al incidir en un ámbito de competencia autonómica exclusiva como es la asistencia social, la aportación por el Estado de fondos para la dotación de las prestaciones previstas en la Ley 39/2006 no podrá condicionar indebidamente el ejercicio de esa competencia autonómica, puesto que el poder de gasto estatal no puede ejercerse al margen del sistema constitucional de distribución de competencias.</w:t>
      </w:r>
    </w:p>
    <w:p w:rsidR="00163957" w:rsidRDefault="00163957" w:rsidP="00163957">
      <w:pPr>
        <w:pStyle w:val="TextoNormal"/>
      </w:pPr>
    </w:p>
    <w:p w:rsidR="00163957" w:rsidRDefault="00163957" w:rsidP="00163957">
      <w:pPr>
        <w:pStyle w:val="TextoNormal"/>
      </w:pPr>
      <w:r>
        <w:t>b) A partir de estas consideraciones señalan los Abogados de la Generalitat de Cataluña que, en atención a ese marco competencial, la Ley 39/2006 edificó un sistema de prestaciones sobre el principio de corresponsabilidad de todas las Administraciones públicas y de colaboración y cooperación entre ellas (arts. 1.1 y 1.2), anclándose orgánicamente dicha cooperación en el entonces denominado Consejo Territorial del Sistema para la autonomía y atención a la dependencia, y articulándose mediante el sistema de convenios entre la Administración del Estado y cada una de las Comunidades Autónomas (art. 10 de la Ley 39/2006). Pues bien, a su juicio, ese principio de colaboración y cooperación sobre el que la Ley 39/2006 construyó el sistema de atención a la dependencia es el que, de forma unilateral y con grave quebranto de la lealtad constitucional y la autonomía financiera de las Comunidades Autónomas, ha quedado truncado mediante la aprobación de la disposición adicional cuadragésima de la Ley 2/2012, en la que, como ya se ha indicado, se establece la suspensión durante 2012 de la aplicación de determinados preceptos de la Ley 39/2006, que son los que contienen la regulación de uno de los tres niveles de protección de la dependencia previstos en esta Ley: en concreto, el denominado nivel “acordado” entre la Administración general del Estado y la Administración de cada Comunidad Autónoma. De este modo, indican, esa suspensión comporta la privación temporal de eficacia de la regulación de esta parte de la financiación y, en consecuencia, que el Estado deja de aportar los fondos para financiar ese nivel de protección de la dependencia, señalando que, con posterioridad, la Ley 17/2012, de 27 de diciembre, ha extendido esa suspensión para el año 2013.</w:t>
      </w:r>
    </w:p>
    <w:p w:rsidR="00163957" w:rsidRDefault="00163957" w:rsidP="00163957">
      <w:pPr>
        <w:pStyle w:val="TextoNormal"/>
      </w:pPr>
    </w:p>
    <w:p w:rsidR="00163957" w:rsidRDefault="00163957" w:rsidP="00163957">
      <w:pPr>
        <w:pStyle w:val="TextoNormal"/>
      </w:pPr>
      <w:r>
        <w:t>Dando cuenta de diversos datos económicos relativos al número de beneficiarios, añaden que, tras haber hecho la Generalitat de Cataluña una estimación en sus presupuestos de 2012 de la cantidad que se esperaba percibir del Estado por este concepto, llegó la decisión estatal sorpresiva de no transferir cantidad alguna para dotar el nivel de protección acordado, lo que ha generado un descubierto a la Generalitat por ese concepto. Remarcando también que el coste efectivo de la prestación de los servicios asistenciales resulta muy superior a la cuantía de la prestación mínima aportada por el Estado, señalan que la obligación de la Generalitat de Cataluña de mantener las prestaciones reconocidas compromete sus propios recursos, no ya por efecto de un acuerdo o convenio mutuo, sino ahora por pura imposición unilateral del Estado.</w:t>
      </w:r>
    </w:p>
    <w:p w:rsidR="00163957" w:rsidRDefault="00163957" w:rsidP="00163957">
      <w:pPr>
        <w:pStyle w:val="TextoNormal"/>
      </w:pPr>
    </w:p>
    <w:p w:rsidR="00163957" w:rsidRDefault="00163957" w:rsidP="00163957">
      <w:pPr>
        <w:pStyle w:val="TextoNormal"/>
      </w:pPr>
      <w:r>
        <w:lastRenderedPageBreak/>
        <w:t>c) Los Abogados de la Generalitat dicen que la Ley 39/2006 configuró el sistema de protección a la dependencia mediante la técnica cooperativa y los convenios de colaboración entre el Estado y las Comunidades Autónomas; además, esa confianza legítima se sustentó en su disposición transitoria primera, que establece la obligación de la Administración general del Estado, durante los años 2007 a 2015, de incluir en sus presupuestos los créditos destinados a la financiación correspondiente al nivel acordado de protección, configurando así un horizonte temporal en el que las Comunidades Autónomas podían legítimamente confiar para seguir percibiendo la financiación. Asimismo, añaden que esa confianza legítima venía sustentada en las actuaciones coordinadas por la propia Administración general del Estado, ya que, por ejemplo, un acuerdo del Consejo Territorial del sistema para la autonomía y atención a la dependencia de 1 de junio de 2010 fijó el marco de cooperación interadministrativa, que establecía los criterios de reparto para la financiación del nivel acordado durante el período 2010 a 2013, y que tenía que ser después desarrollado mediante convenios bilaterales que cada año se firmarían entre la Administración estatal y cada Comunidad Autónoma, contando éstas con dicho compromiso. Sin embargo, señalan, cuando ya habían transcurrido seis meses del ejercicio económico de 2012, la Ley 2/2012 impuso sorpresiva y unilateralmente la suspensión del nivel acordado de protección a la dependencia para todo el año 2012. Según indican, la cuestionada suspensión implica, por tanto, la imposición a las Comunidades Autónomas del deber de mantener el servicio y del condicionamiento de sus propios fondos para poder percibir los correspondientes al nivel mínimo de protección que el Estado aporta, vulnerando así el principio de lealtad institucional reconocido en el art. 3 EAC.</w:t>
      </w:r>
    </w:p>
    <w:p w:rsidR="00163957" w:rsidRDefault="00163957" w:rsidP="00163957">
      <w:pPr>
        <w:pStyle w:val="TextoNormal"/>
      </w:pPr>
    </w:p>
    <w:p w:rsidR="00163957" w:rsidRDefault="00163957" w:rsidP="00163957">
      <w:pPr>
        <w:pStyle w:val="TextoNormal"/>
      </w:pPr>
      <w:r>
        <w:t>d) A su juicio, la controvertida suspensión conculca también la autonomía financiera de la Generalitat de Cataluña y de las demás Comunidades Autónomas, reconocida en el art. 156.1 CE y en el art. 201.2 EAC. A este respecto aducen que, dado que la suspensión no afecta al segundo párrafo del art. 33.2 (</w:t>
      </w:r>
      <w:r w:rsidRPr="00163957">
        <w:rPr>
          <w:i/>
        </w:rPr>
        <w:t>sic</w:t>
      </w:r>
      <w:r>
        <w:t>) de la Ley 39/2006, que mantiene su vigencia, el conjunto de las prescripciones vigentes dan al precepto un nuevo sentido, resultando que, ahora, sin mediar convenio alguno, se exige la necesaria aportación de la Comunidad Autónoma en una cuantía para cada año al menos igual a la aportada por el Estado en el nivel mínimo de protección. Por ello, entienden, ese condicionamiento de recursos propios de las Comunidades Autónomas para la obtención de los que el Estado destina a la atención a la dependencia comporta una vulneración de la autonomía financiera, conforme resulta de la doctrina establecida en la STC 128/1999, FFJJ 8 y 11.</w:t>
      </w:r>
    </w:p>
    <w:p w:rsidR="00163957" w:rsidRDefault="00163957" w:rsidP="00163957">
      <w:pPr>
        <w:pStyle w:val="TextoNormal"/>
      </w:pPr>
    </w:p>
    <w:p w:rsidR="00163957" w:rsidRDefault="00163957" w:rsidP="00163957">
      <w:pPr>
        <w:pStyle w:val="TextoNormal"/>
      </w:pPr>
      <w:r>
        <w:t>Afirman los Abogados autonómicos que, dado que el Estado ha ido reduciendo progresivamente sus aportaciones, la Generalitat de Cataluña se ha visto cada año en la necesidad de incrementar en mayor proporción sus propios recursos para atender las prestaciones reconocidas en aplicación de la Ley 39/2006. Según indican, la enorme cuantía y proporción de recursos propios de la Generalitat —ahora ilegítimamente condicionada por la suspensión de la parte acordada— pone de manifiesto la magnitud de la lesión producida en su autonomía financiera.</w:t>
      </w:r>
    </w:p>
    <w:p w:rsidR="00163957" w:rsidRDefault="00163957" w:rsidP="00163957">
      <w:pPr>
        <w:pStyle w:val="TextoNormal"/>
      </w:pPr>
    </w:p>
    <w:p w:rsidR="00163957" w:rsidRDefault="00163957" w:rsidP="00163957">
      <w:pPr>
        <w:pStyle w:val="TextoNormal"/>
      </w:pPr>
      <w:r>
        <w:t>e) Además, los Abogados autonómicos consideran que la disposición adicional cuadragésima de la Ley 2/2012, que establece la cuestionada suspensión, ha dejado a la Generalitat prácticamente sin recursos ni, por tanto, margen de disponibilidad propia para el ejercicio de su competencia exclusiva en materia de servicios sociales, que se ha visto vulnerada.</w:t>
      </w:r>
    </w:p>
    <w:p w:rsidR="00163957" w:rsidRDefault="00163957" w:rsidP="00163957">
      <w:pPr>
        <w:pStyle w:val="TextoNormal"/>
      </w:pPr>
    </w:p>
    <w:p w:rsidR="00163957" w:rsidRDefault="00163957" w:rsidP="00163957">
      <w:pPr>
        <w:pStyle w:val="TextoNormal"/>
      </w:pPr>
      <w:r>
        <w:lastRenderedPageBreak/>
        <w:t>Consideran que dicha disposición normativa no encuentra legítimo encaje en la competencia reservada al Estado por el art. 149.1.1 CE, ni tampoco en el art. 149.1.13 CE —respecto a este último, porque no se inscribe en la planificación ni la ordenación de un sector productivo o económico, sino que responde a una pura decisión de reducir el gasto en políticas asistenciales—. Por el contrario, entienden, la suspensión controvertida ha producido una vulneración por menoscabo de las competencias de la Generalitat y de las demás Comunidades Autónomas en materia de servicios sociales, como consecuencia del condicionamiento ilegítimo que para las competencias de la Generalitat comporta la forma en que el Estado ha ejercido sus propias competencias. Ello es así, explican, porque la norma estatal impugnada, además de implicar la disposición unilateral por el Estado de fondos propios autonómicos, supone que, aun habiéndose abandonado —al menos temporalmente— la vía convencional de ejercicio cooperativo de las respectivas competencias, se mantiene como imposición unilateral el deber y la carga para las Comunidades Autónomas de prestar la asistencia social a través del sistema y prestaciones reguladas por la Ley 39/2006.</w:t>
      </w:r>
    </w:p>
    <w:p w:rsidR="00163957" w:rsidRDefault="00163957" w:rsidP="00163957">
      <w:pPr>
        <w:pStyle w:val="TextoNormal"/>
      </w:pPr>
    </w:p>
    <w:p w:rsidR="00163957" w:rsidRDefault="00163957" w:rsidP="00163957">
      <w:pPr>
        <w:pStyle w:val="TextoNormal"/>
      </w:pPr>
      <w:r>
        <w:t>En su opinión, la suspensión discutida no justifica su legitimidad en el carácter convencional o voluntario de la cooperación mediante la que se venía prestando el nivel acordado de protección, puesto que la propia Ley 39/2006 proclama la estabilidad del sistema y tanto su ya citada disposición transitoria primera, como el también mencionado acuerdo del Consejo Territorial de 1 de junio de 2010 hacían de todo punto imprevisible que el Estado abandonara de improviso su colaboración en dicho nivel. Tal circunstancia, indican, comporta la transformación de un sistema de atención a la dependencia basado en un marco cooperativo y de colaboración entre el Estado y las Comunidades Autónomas, en un sistema de asistencia social definido normativamente y de forma exhaustiva por el legislador estatal, que deja a las Comunidades Autónomas en la posición de meras Administraciones obligadas a seguir ofreciendo las prestaciones definidas por la Ley 39/2006 en las mismas cuantías, debiendo dar cumplimiento a la totalidad de la regulación normativa de dicha Ley mediante su actuación administrativa, pero obligadas a aportar sus propios recursos económicos en una cuantía cuando menos igual a la otorgada por el Estado para cubrir el coste del nivel mínimo de protección.</w:t>
      </w:r>
    </w:p>
    <w:p w:rsidR="00163957" w:rsidRDefault="00163957" w:rsidP="00163957">
      <w:pPr>
        <w:pStyle w:val="TextoNormal"/>
      </w:pPr>
    </w:p>
    <w:p w:rsidR="00163957" w:rsidRDefault="00163957" w:rsidP="00163957">
      <w:pPr>
        <w:pStyle w:val="TextoNormal"/>
      </w:pPr>
      <w:r>
        <w:t>f) A continuación, el escrito del recurso razona específicamente sobre la impugnación de la disposición final octava de la Ley 2/2012, por la que se da nueva redacción al primer apartado de la disposición final primera de la Ley 39/2006, fijando un nuevo calendario de aplicación de las prestaciones previstas en la propia Ley 39/2006. Los Abogados autonómicos entienden que esa regulación impone una pauta temporal a la actividad de los servicios sociales dependientes de las Comunidades Autónomas que reconocen y ofrecen las prestaciones, sin dejar a éstas margen alguno de decisión respecto al calendario con el que habrán de gestionar el reconocimiento de las prestaciones. Tal imposición no puede tener cobertura competencial en el art. 149.1.1 CE, comportando una invasión de la competencia asumida por la Generalitat de Cataluña conforme al art. 166.1 EAC.</w:t>
      </w:r>
    </w:p>
    <w:p w:rsidR="00163957" w:rsidRDefault="00163957" w:rsidP="00163957">
      <w:pPr>
        <w:pStyle w:val="TextoNormal"/>
      </w:pPr>
    </w:p>
    <w:p w:rsidR="00163957" w:rsidRDefault="00163957" w:rsidP="00163957">
      <w:pPr>
        <w:pStyle w:val="TextoNormal"/>
      </w:pPr>
      <w:r>
        <w:t xml:space="preserve">Advierten que ese mismo primer apartado de la disposición final primera de la Ley 39/2006 ha sido objeto de posterior modificación por el art. 22.17 del Real Decreto-ley 20/2012, de 17 de julio, estableciendo que la efectividad del derecho a las prestaciones en el grado I de dependencia moderada se produciría, no ya a partir de 1 de enero de 2014 —según determinó la redacción dada por la Ley 2/2012—, sino del 1 de julio de 2015. Sin embargo, entienden, esta modificación no impide la actual impugnación de la disposición </w:t>
      </w:r>
      <w:r>
        <w:lastRenderedPageBreak/>
        <w:t>final octava de la Ley 2/2012, pues la norma ha causado efectos mientras estuvo en vigor y el cambio de fecha introducido no altera los términos de la vulneración competencial sustantiva, reproducida de forma equivalente en el Real Decreto-ley 20/2012.</w:t>
      </w:r>
    </w:p>
    <w:p w:rsidR="00163957" w:rsidRDefault="00163957" w:rsidP="00163957">
      <w:pPr>
        <w:pStyle w:val="TextoNormal"/>
      </w:pPr>
    </w:p>
    <w:p w:rsidR="00163957" w:rsidRDefault="00163957" w:rsidP="00163957">
      <w:pPr>
        <w:pStyle w:val="TextoNormal"/>
      </w:pPr>
      <w:r>
        <w:t>Con apoyo en la doctrina constitucional sobre el art. 149.1.1 CE, afirman que la fijación precisa y detallada de este calendario supone una imposición de “conductas determinadas a otros entes públicos”, que, conforme a la STC 61/1997, FJ 17, queda fuera de la competencia exclusiva del Estado para “la regulación de las condiciones básicas”. Por el contrario, consideran que la fijación de un calendario para la percepción de las prestaciones es parte integrante de la competencia exclusiva de la Generalitat en materia de servicios sociales, incurriendo así la norma impugnada en vicio de inconstitucionalidad por incompetencia.</w:t>
      </w:r>
    </w:p>
    <w:p w:rsidR="00163957" w:rsidRDefault="00163957" w:rsidP="00163957">
      <w:pPr>
        <w:pStyle w:val="TextoNormal"/>
      </w:pPr>
    </w:p>
    <w:p w:rsidR="00163957" w:rsidRDefault="00163957" w:rsidP="00163957">
      <w:pPr>
        <w:pStyle w:val="TextoNormal"/>
      </w:pPr>
      <w:r>
        <w:t>B) Seguidamente, el escrito de recurso se centra en la disposición adicional septuagésima primera de la Ley 2/2012, que, señalando su carácter básico al amparo de los arts. 149.1.7, 149.1.13 y 149.1.18 CE, establece la jornada mínima de trabajo de treinta y siete horas y media semanales en cómputo anual para todos los empleados del sector público, sin que las adaptaciones derivadas de esta previsión conlleven incremento retributivo, y con suspensión de eficacia de cualquier acuerdo que contradiga esta regulación.</w:t>
      </w:r>
    </w:p>
    <w:p w:rsidR="00163957" w:rsidRDefault="00163957" w:rsidP="00163957">
      <w:pPr>
        <w:pStyle w:val="TextoNormal"/>
      </w:pPr>
    </w:p>
    <w:p w:rsidR="00163957" w:rsidRDefault="00163957" w:rsidP="00163957">
      <w:pPr>
        <w:pStyle w:val="TextoNormal"/>
      </w:pPr>
      <w:r>
        <w:t>a) Respecto a esta disposición, en primer lugar, los Abogados de la Generalitat consideran incorrecta la invocación de los títulos competenciales citados.</w:t>
      </w:r>
    </w:p>
    <w:p w:rsidR="00163957" w:rsidRDefault="00163957" w:rsidP="00163957">
      <w:pPr>
        <w:pStyle w:val="TextoNormal"/>
      </w:pPr>
    </w:p>
    <w:p w:rsidR="00163957" w:rsidRDefault="00163957" w:rsidP="00163957">
      <w:pPr>
        <w:pStyle w:val="TextoNormal"/>
      </w:pPr>
      <w:r>
        <w:t>Por lo que se refiere al art. 149.1.13 CE, y conforme a la doctrina constitucional sobre este precepto (entre otras, SSTC 128/1999 y 45/2001), remarcan que, para encontrar cobertura en este título competencial, es necesario que la regulación tenga un contenido económico y que, además, tenga una directa y relevante incidencia para el conjunto de la economía general, sin que la finalidad de ahorro económico sea argumento suficiente para entender que una regulación tiene encaje en la competencia del Estado para establecer las bases y coordinación de la planificación general de la actividad económica. En el caso de la disposición adicional septuagésima primera, entienden que la implantación de la jornada mínima sin incremento de retribución responde a la necesidad de reducir el gasto de las Administraciones públicas con el fin de ajustarse al principio de estabilidad presupuestaria; ahora bien, consideran que su contenido no es económico ni tiene un efecto directo en el ahorro del gasto público: en tal sentido exponen que el tiempo de trabajo es un derecho no económico y que el aumento de la jornada laboral no tiene un resultado económico porque no comporta incremento de la retribución, de modo que, aunque reduce las necesidades de gasto en materia de personal, no se traduce en una disminución del gasto efectivo, teniendo un efecto mediato o indirecto, que necesita la concurrencia de otros elementos para que se produzca.</w:t>
      </w:r>
    </w:p>
    <w:p w:rsidR="00163957" w:rsidRDefault="00163957" w:rsidP="00163957">
      <w:pPr>
        <w:pStyle w:val="TextoNormal"/>
      </w:pPr>
    </w:p>
    <w:p w:rsidR="00163957" w:rsidRDefault="00163957" w:rsidP="00163957">
      <w:pPr>
        <w:pStyle w:val="TextoNormal"/>
      </w:pPr>
      <w:r>
        <w:t xml:space="preserve">Tampoco admiten que el contenido de la disposición adicional septuagésima primera encuentre cobertura en la competencia que el art. 149.1.18 CE atribuye al Estado para establecer las bases del régimen estatutario de funcionarios públicos, en los términos en que tal atribución ha sido interpretada por el Tribunal Constitucional (SSTC 37/2002, FJ 8). Al respecto argumentan que la Ley 7/2007, de 12 de abril, por la que se aprueba el Estatuto básico del empleado público, establece como norma básica el derecho de los empleados públicos a que se les delimite su jornada laboral, si bien, en desarrollo del marco básico, dicha Ley otorga plena libertad a las Administraciones públicas para determinar la jornada </w:t>
      </w:r>
      <w:r>
        <w:lastRenderedPageBreak/>
        <w:t>laboral de sus empleados (art. 47), de modo que la Generalitat ha venido procediendo a su regulación, considerando siempre que esta deriva de la potestad autoorganizativa de la propia Administración autonómica. Pues bien, según indican, en este contexto se superpone la disposición adicional septuagésima primera, que, al fijar una jornada mínima, introduce una regulación que excede el contenido propio de la normativa básica del régimen estatutario de los funcionarios y de las bases del régimen jurídico de las Administraciones públicas, invadiendo con ello la competencia de la Generalitat prevista en el art. 136, apartados a) y b) EAC, que le atribuye el desarrollo de dichas bases y el establecimiento de la organización de su propia administración. Asimismo, desde un punto de vista material, consideran que el establecimiento de una jornada mínima ordinaria no constituye un derecho básico del régimen estatutario de los funcionarios pues no incide en el ámbito nuclear del propio derecho/deber a la jornada, limitado al conocimiento y certeza de la duración de la jornada laboral, en cuyo marco el empleado público tendrá el deber de desempeñar sus tareas.</w:t>
      </w:r>
    </w:p>
    <w:p w:rsidR="00163957" w:rsidRDefault="00163957" w:rsidP="00163957">
      <w:pPr>
        <w:pStyle w:val="TextoNormal"/>
      </w:pPr>
    </w:p>
    <w:p w:rsidR="00163957" w:rsidRDefault="00163957" w:rsidP="00163957">
      <w:pPr>
        <w:pStyle w:val="TextoNormal"/>
      </w:pPr>
      <w:r>
        <w:t>Apuntan que, teniendo en cuenta tal diversidad, esta medida puede incluso ser contraria al principio de eficacia del art. 103 CE, añadiendo que podría en algunos supuestos incidir negativamente en el gasto de las Administraciones. Añaden también que la norma recurrida apenas deja espacio normativo a la Generalitat de Cataluña para fijar el horario de sus empleados públicos, pues, dado que, según los estándares, la jornada ordinaria en España es de cuarenta horas semanales de trabajo efectivo de promedio en cómputo anual, la fijación de una jornada mínima de treinta y siete horas y media deja una escasa franja horaria de regulación propia. Tal grado de detalle de la norma, entienden, es contrario a la interpretación del Tribunal Constitucional sobre el alcance de las bases del régimen jurídico de las Administraciones públicas, respecto a las que se ha sentado la doctrina de que cuando afecten al aparato administrativo de las Comunidades Autónomas, dichas bases han de permitirles un ejercicio de sus competencias normativas más amplio que en otras materias (STC 1/2003, FJ 8). En definitiva, indican, la previsión controvertida reduce de manera excesiva el margen de libertad que requiere una organización racional de los servicios y tampoco tiene justificación en una mayor garantía de las condiciones de igualdad de trato de los administrados; de ahí que, por todo lo dicho, nieguen que la disposición adicional septuagésima primera encuentre amparo en el art. 149.1.18 CE.</w:t>
      </w:r>
    </w:p>
    <w:p w:rsidR="00163957" w:rsidRDefault="00163957" w:rsidP="00163957">
      <w:pPr>
        <w:pStyle w:val="TextoNormal"/>
      </w:pPr>
    </w:p>
    <w:p w:rsidR="00163957" w:rsidRDefault="00163957" w:rsidP="00163957">
      <w:pPr>
        <w:pStyle w:val="TextoNormal"/>
      </w:pPr>
      <w:r>
        <w:t xml:space="preserve">De igual modo, tampoco admiten que la norma impugnada tenga cobertura en el art. 149.1.7 CE, por el que se reserva al Estado la competencia exclusiva sobre la legislación laboral, en los términos que han sido interpretados por el Tribunal Constitucional (STC 35/1982, FJ 2; 360/1993, FJ 4, y 95/2002, FJ 8). Al respecto aducen que, en virtud de esta competencia, el Estatuto de los trabajadores ha regulado algunos aspectos relativos al tiempo de trabajo —entre ellos, la jornada máxima—, sin hacer referencia a la duración mínima de la jornada laboral; y asimismo indican que, respecto al personal laboral del sector público, el art. 51 de la Ley del estatuto básico del empleado público reenvía al art. 47 de la Ley del estatuto básico del empleado público y a la legislación laboral, remitiendo a la negociación la cuantificación de la jornada de trabajo. De todo ello, concluyen, que la fijación de la duración de la jornada de trabajo del personal laboral del sector público no es objeto propio de la legislación laboral, en el sentido atribuido por la jurisprudencia constitucional, sino que el mismo estatuto básico del empleado público la concibe como una materia que pertenece a la competencia de la Administración para organizar sus servicios, correspondiendo a ésta la regulación concreta de cada jornada y su cuantificación mínima. A su juicio, </w:t>
      </w:r>
      <w:r>
        <w:lastRenderedPageBreak/>
        <w:t>por tanto, la disposición recurrida invade la competencia de la Generalitat reconocida en el art. 136 a) EAC.</w:t>
      </w:r>
    </w:p>
    <w:p w:rsidR="00163957" w:rsidRDefault="00163957" w:rsidP="00163957">
      <w:pPr>
        <w:pStyle w:val="TextoNormal"/>
      </w:pPr>
    </w:p>
    <w:p w:rsidR="00163957" w:rsidRDefault="00163957" w:rsidP="00163957">
      <w:pPr>
        <w:pStyle w:val="TextoNormal"/>
      </w:pPr>
      <w:r>
        <w:t>b) Por último, los Abogados autonómicos consideran que la disposición adicional septuagésima primera vulnera también el art. 134.2 CE. Al respecto, y tras recordar la jurisprudencia constitucional sobre el contenido de las leyes de presupuestos (STC 248/2007), vuelven a señalar que, al no prever incremento retributivo, esta disposición no tiene contenido económico y, por tanto, no está incluida ni en una previsión de ingresos ni en una habilitación de gastos, razón por la que no forma parte del contenido esencial de estas leyes; asimismo, dado que tampoco incide en la política de ingresos y gastos del sector público estatal ni la condiciona, niegan que pueda formar parte del contenido eventual de este tipo de leyes. Afirman, por ello, que la previsión carece de legitimidad constitucional para modificar una norma típica del derecho codificado, pues se trata de una regulación sustantiva de la jornada laboral de los empleados públicos cuya sede normativa natural y técnicamente más correcta es la de las disposiciones generales que disciplinan el régimen jurídico de los funcionarios públicos, de ahí que resulte inconstitucional, igual que en los supuestos enjuiciados en las SSTC 174/1998, 203/1998 y 234/1999.</w:t>
      </w:r>
    </w:p>
    <w:p w:rsidR="00163957" w:rsidRDefault="00163957" w:rsidP="00163957">
      <w:pPr>
        <w:pStyle w:val="TextoNormal"/>
      </w:pPr>
    </w:p>
    <w:p w:rsidR="00163957" w:rsidRDefault="00163957" w:rsidP="00163957">
      <w:pPr>
        <w:pStyle w:val="TextoNormal"/>
      </w:pPr>
      <w:r>
        <w:t>Además, señalan que esta norma recurrida contradice la regulación del art. 47 del estatuto básico del empleado público, por lo que, aun admitiendo que esta disposición pudiera tener una incidencia económica en los gastos del sector público, al no haber modificado expresamente el estatuto básico del empleado público, tampoco cumple el límite impuesto por el Tribunal Constitucional a las normas de contenido eventual, pues, según su doctrina, lo que no puede hacer la Ley de presupuestos es, sin modificar previamente la norma legal que regula el régimen sustantivo de una determinada parcela del ordenamiento jurídico, desconocerlo, procediendo a efectuar una aplicación distinta de la prevista en la norma cuya aplicación pretende, so pena de provocar situaciones de inseguridad jurídica contrarias al art. 9.3 CE (SSTC 238/2007 y 248/2007).</w:t>
      </w:r>
    </w:p>
    <w:p w:rsidR="00163957" w:rsidRDefault="00163957" w:rsidP="00163957">
      <w:pPr>
        <w:pStyle w:val="TextoNormal"/>
      </w:pPr>
    </w:p>
    <w:p w:rsidR="00163957" w:rsidRDefault="00163957" w:rsidP="00163957">
      <w:pPr>
        <w:pStyle w:val="TextoNormal"/>
      </w:pPr>
      <w:r w:rsidRPr="00163957">
        <w:rPr>
          <w:rStyle w:val="NumeroAFNegritaCaracter"/>
        </w:rPr>
        <w:t>2</w:t>
      </w:r>
      <w:r>
        <w:t>. Mediante providencia de 9 de abril de 2013, el Pleno, a propuesta de la Sección Tercera, acordó admitir a trámite el presente recurso de inconstitucionalidad. Igualmente, se acordó dar traslado de la demanda y documentos presentados, conforme al art. 34 LOTC, al Congreso de los Diputados y al Senado, por conducto de sus Presidentes, y al Gobierno, a través del Ministro de Justicia, al objeto de que, en el plazo de quince días, pudieran personarse en el proceso y formular las alegaciones que estimaren convenientes; así como publicar la incoación del recurso en el “Boletín Oficial del Estado”, lo que se llevó a efecto en el núm. 94, de 19 de abril de 2013.</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registrado el 19 de abril de 2013, el Abogado del Estado se personó en nombre del Gobierno, solicitando una prórroga del plazo concedido para formular alegaciones. Por providencia de 22 de abril de 2013, se acordó tenerle por personado y prorrogarle en ocho días más el plazo inicialmente concedido para la formulación de alegaciones.</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escrito registrado con fecha 24 de abril de 2013, el Presidente del Senado comunicó el acuerdo de la Mesa de la Cámara de personarse en el procedimiento y ofrecer su colaboración a los efectos del art. 88.1 LOTC. Lo mismo hizo el Presidente del Congreso de los Diputados en escrito registrado el 26 de abril de 2013.</w:t>
      </w:r>
    </w:p>
    <w:p w:rsidR="00163957" w:rsidRDefault="00163957" w:rsidP="00163957">
      <w:pPr>
        <w:pStyle w:val="TextoNormal"/>
      </w:pPr>
    </w:p>
    <w:p w:rsidR="00163957" w:rsidRDefault="00163957" w:rsidP="00163957">
      <w:pPr>
        <w:pStyle w:val="TextoNormal"/>
      </w:pPr>
      <w:r w:rsidRPr="00163957">
        <w:rPr>
          <w:rStyle w:val="NumeroAFNegritaCaracter"/>
        </w:rPr>
        <w:t>5</w:t>
      </w:r>
      <w:r>
        <w:t>. El 21 de mayo de 2013 tuvo entrada en el Registro General de este Tribunal el escrito de alegaciones del Abogado del Estado, en la representación que legalmente ostenta, por el que solicita la desestimación del presente recurso de inconstitucionalidad.</w:t>
      </w:r>
    </w:p>
    <w:p w:rsidR="00163957" w:rsidRDefault="00163957" w:rsidP="00163957">
      <w:pPr>
        <w:pStyle w:val="TextoNormal"/>
      </w:pPr>
    </w:p>
    <w:p w:rsidR="00163957" w:rsidRDefault="00163957" w:rsidP="00163957">
      <w:pPr>
        <w:pStyle w:val="TextoNormal"/>
      </w:pPr>
      <w:r>
        <w:t>A) Comienza señalando que la impugnación relativa a la disposición final octava de la Ley 2/2012, por la que se da nueva redacción al primer apartado de la disposición final primera de la Ley 39/2006 —relativo al calendario de aplicación de esta Ley— ha quedado sin efecto, puesto que la modificación introducida por aquélla ha sido derogada por la posterior modificación operada por el art. 22.17 del Real Decreto-ley 20/2012, que vuelve a dar nueva redacción a esta previsión.</w:t>
      </w:r>
    </w:p>
    <w:p w:rsidR="00163957" w:rsidRDefault="00163957" w:rsidP="00163957">
      <w:pPr>
        <w:pStyle w:val="TextoNormal"/>
      </w:pPr>
    </w:p>
    <w:p w:rsidR="00163957" w:rsidRDefault="00163957" w:rsidP="00163957">
      <w:pPr>
        <w:pStyle w:val="TextoNormal"/>
      </w:pPr>
      <w:r>
        <w:t>De otro lado, también precisa que el objeto de impugnación de este proceso no es la Ley 39/2006 y el sistema por ella establecido, sin que en su momento se formulara recurso de inconstitucionalidad frente al último párrafo de su artículo 32.3, por el que se dispone que la aportación al sistema de las Comunidades Autónomas será equivalente a la realizada por el Estado en el nivel mínimo y acordado. Esta última previsión, aclara, tampoco es objeto del presente recurso, ya que dicha norma no se modifica ni suspende por la Ley 2/2012, por lo que queda fuera del debate de constitucionalidad.</w:t>
      </w:r>
    </w:p>
    <w:p w:rsidR="00163957" w:rsidRDefault="00163957" w:rsidP="00163957">
      <w:pPr>
        <w:pStyle w:val="TextoNormal"/>
      </w:pPr>
    </w:p>
    <w:p w:rsidR="00163957" w:rsidRDefault="00163957" w:rsidP="00163957">
      <w:pPr>
        <w:pStyle w:val="TextoNormal"/>
      </w:pPr>
      <w:r>
        <w:t>a) Tras estas aclaraciones, el Abogado del Estado enmarca las medidas impugnadas de la Ley 2/2012 en el ámbito del mandato constitucional de estabilidad presupuestaria contenido en el art. 135.1 y 2 CE, reproduciendo a tal efecto algunos fragmentos de la exposición de motivos de dicha Ley, y haciendo referencia al contexto de grave crisis económica en que España se ha visto inmersa, dando cuenta a tal efecto de diversos informes del Banco de España, así como de varios pronunciamientos en que el Tribunal Constitucional se ha hecho eco de la profunda crisis presupuestaria (entre otros, ATC 160/2011, FJ 3). Además, por lo que se refiere específicamente a la disposición que prevé la suspensión del nivel acordado de las prestaciones de dependencia, añade que esta norma tiene la finalidad de asegurar la subsistencia y viabilidad del propio sistema en función de los recursos económicos disponibles.</w:t>
      </w:r>
    </w:p>
    <w:p w:rsidR="00163957" w:rsidRDefault="00163957" w:rsidP="00163957">
      <w:pPr>
        <w:pStyle w:val="TextoNormal"/>
      </w:pPr>
    </w:p>
    <w:p w:rsidR="00163957" w:rsidRDefault="00163957" w:rsidP="00163957">
      <w:pPr>
        <w:pStyle w:val="TextoNormal"/>
      </w:pPr>
      <w:r>
        <w:t>b) El Abogado del Estado describe los objetivos y el contenido de la Ley 39/2006, para a continuación examinar los títulos competenciales estatales y su delimitación en relación con la atención a las situaciones de dependencia. Así, recuerda la doctrina constitucional en materia de asistencia social y en relación con el art. 149.1.1 CE en relación con los mandatos de los principios rectores de los arts. 41, 49 y 50 CE. Alude también al art. 149.1.17 CE que atribuye al estado competencias en materia de Seguridad Social, recordando la doctrina constitucional al respecto, que entiende aquí aplicable en la medida en que se supera la simple asistencia social y se ha diseñado un sistema completo de apoyo de la dependencia de carácter universal que evoluciona en el sentido de garantizar las mayores coberturas posibles. Pues bien, en su opinión, esta actuación y la aprobación de la Ley 39/2006 encuentran cobertura en los apartados 1 y 17 del art. 149.1 CE. Igual que del análisis de diversos preceptos constitucionales (arts. 43, 51, 149.1.1 y 139.2) el Tribunal Constitucional ha inferido la exigencia constitucional de que exista un sistema normativo de la sanidad nacional (SSTC 32/1983 y 87/1985), considera que, del mismo modo, las previsiones constitucionales indicadas permiten deducir la exigencia de un sistema nacional de dependencia.</w:t>
      </w:r>
    </w:p>
    <w:p w:rsidR="00163957" w:rsidRDefault="00163957" w:rsidP="00163957">
      <w:pPr>
        <w:pStyle w:val="TextoNormal"/>
      </w:pPr>
    </w:p>
    <w:p w:rsidR="00163957" w:rsidRDefault="00163957" w:rsidP="00163957">
      <w:pPr>
        <w:pStyle w:val="TextoNormal"/>
      </w:pPr>
      <w:r>
        <w:lastRenderedPageBreak/>
        <w:t>c) Seguidamente, el Abogado del Estado da cuenta de la doctrina constitucional sobre el principio de colaboración o cooperación. Entre otros aspectos, destaca la doble dimensión de este principio: la negativa, en virtud de la que el Estado y las Comunidades Autónomas, en el ejercicio de sus propias competencias, deben abstenerse de lesionar los intereses del sistema en su conjunto y los de las demás organizaciones territoriales, de modo que se prohíbe obstaculizar el ejercicio de las competencias ajenas a través del ejercicio de las propias; y la positiva, en virtud de la que el Estado y las Comunidades Autónomas deben ejercer sus propias competencias en beneficio de los demás cuando ello resulte necesario. Asimismo, remarca la diferencia establecida por el Tribunal Constitucional entre el concepto de coordinación —que conecta con la idea de imposición— y el concepto de cooperación que se caracteriza por la voluntariedad (SSTC 32/1983, FJ 2; 214/1989, FJ 20, y 194/2004, FFJJ 8 y 9). Asimismo señala que, en virtud del art. 149.1.18 CE, corresponde al Estado la competencia para la regulación general de los mecanismos o técnicas derivados del deber de cooperación, y que, por su parte, la regulación sectorial de estos mecanismos corresponde a la organización titular de la respectiva competencia sectorial (entre otras, SSTC 76/1983, FJ 13; y 13/1992, FJ 10). Añade también que cuando concurren diversos títulos competenciales para la regulación de una materia o actividad —en este caso, Seguridad Social y regulación de las condiciones básicas frente a asistencia social— es necesario el establecimiento de mecanismos de colaboración o cooperación para el ejercicio de una concurrencia pacífica, siendo diversas las técnicas a utilizar para ello —entre otras, el convenio—.</w:t>
      </w:r>
    </w:p>
    <w:p w:rsidR="00163957" w:rsidRDefault="00163957" w:rsidP="00163957">
      <w:pPr>
        <w:pStyle w:val="TextoNormal"/>
      </w:pPr>
    </w:p>
    <w:p w:rsidR="00163957" w:rsidRDefault="00163957" w:rsidP="00163957">
      <w:pPr>
        <w:pStyle w:val="TextoNormal"/>
      </w:pPr>
      <w:r>
        <w:t>De manera específica, el Abogado del Estado señala que, en la Ley 39/2006, el nivel concertado de protección —que es el suspendido temporalmente— se articula a través de una cooperación bilateral por medio de convenios, de modo que, en este nivel, no existen aspectos que el Estado imponga a las Comunidades Autónomas, destacando además que algunos aspectos sistémicos se concretan en el Consejo Territorial del sistema para la autonomía y atención a la dependencia , en el que están representados el Estado y cada una de las Comunidades Autónomas, teniendo éstas mayoría. Más en concreto, detalla que la articulación de ese nivel acordado se produce en dos fases (arts. 7 y 10 de la Ley 39/2006): primero en el seno del Consejo Territorial del sistema para la autonomía y atención a la dependencia , en que el Estado y las Comunidades Autónomas acuerdan el marco de cooperación interadministrativa, cuya fijación es puramente adjetiva, pues no afecta ni a la decisión de cada Comunidad Autónoma de establecer el segundo nivel, ni conlleva realizar aportación alguna; es después a través de los convenios del Estado con cada Comunidad Autónoma donde se acuerdan los objetivos, medios y recursos para la aplicación de los servicios y prestaciones, así como la financiación que corresponde a uno y otra, siendo enteramente libres las Comunidades Autónomas para decidir el establecimiento de este segundo nivel de protección, que se articula con pleno respeto a las competencias autonómicas.</w:t>
      </w:r>
    </w:p>
    <w:p w:rsidR="00163957" w:rsidRDefault="00163957" w:rsidP="00163957">
      <w:pPr>
        <w:pStyle w:val="TextoNormal"/>
      </w:pPr>
    </w:p>
    <w:p w:rsidR="00163957" w:rsidRDefault="00163957" w:rsidP="00163957">
      <w:pPr>
        <w:pStyle w:val="TextoNormal"/>
      </w:pPr>
      <w:r>
        <w:t xml:space="preserve">También el Abogado del Estado afirma que el segundo párrafo del art. 32.3 de la Ley 39/2006 no impone una cofinanciación ni cuantía mínima a ninguna Comunidad Autónoma, sino que , al dibujar los trazos de la financiación cooperativa Estado-Comunidades Autónomas para incrementar el nivel mínimo de protección (artículo 10.2), lo que hace es poner un límite máximo a la aportación de la Administración general del Estado, que nunca podrá ser superior a la financiación aportada por la Comunidad Autónoma, pero sin imponer nada a ésta: se trata así de una limitación al gasto de la Administración estatal, que queda dentro </w:t>
      </w:r>
      <w:r>
        <w:lastRenderedPageBreak/>
        <w:t>de la competencia exclusiva del Estado del art. 149.1.14 CE, en relación con el art. 133.4 CE y el art. 31.2 CE.</w:t>
      </w:r>
    </w:p>
    <w:p w:rsidR="00163957" w:rsidRDefault="00163957" w:rsidP="00163957">
      <w:pPr>
        <w:pStyle w:val="TextoNormal"/>
      </w:pPr>
    </w:p>
    <w:p w:rsidR="00163957" w:rsidRDefault="00163957" w:rsidP="00163957">
      <w:pPr>
        <w:pStyle w:val="TextoNormal"/>
      </w:pPr>
      <w:r>
        <w:t>d) A partir de las anteriores consideraciones, el Abogado del Estado niega los reproches de inconstitucionalidad realizados en el recurso.</w:t>
      </w:r>
    </w:p>
    <w:p w:rsidR="00163957" w:rsidRDefault="00163957" w:rsidP="00163957">
      <w:pPr>
        <w:pStyle w:val="TextoNormal"/>
      </w:pPr>
    </w:p>
    <w:p w:rsidR="00163957" w:rsidRDefault="00163957" w:rsidP="00163957">
      <w:pPr>
        <w:pStyle w:val="TextoNormal"/>
      </w:pPr>
      <w:r>
        <w:t>De entrada, introduce la precisión de que, incluso sin la suspensión del nivel de protección acordado, la Comunidad Autónoma que no quisiera firmar el oportuno convenio bilateral quedaría obligada a aportar una financiación equivalente a la del nivel mínimo realizada por el Estado. Por ello, considera que dicha obligación de aportación no es una consecuencia de la suspensión del nivel acordado, sino que tiene naturaleza autónoma, siendo independiente de su suspensión o de que se llegue a acordar o no. Asimismo rechaza que esa suspensión se haya efectuado de forma sorpresiva, pues el último de los convenios aludidos en el recurso es de 2011.</w:t>
      </w:r>
    </w:p>
    <w:p w:rsidR="00163957" w:rsidRDefault="00163957" w:rsidP="00163957">
      <w:pPr>
        <w:pStyle w:val="TextoNormal"/>
      </w:pPr>
    </w:p>
    <w:p w:rsidR="00163957" w:rsidRDefault="00163957" w:rsidP="00163957">
      <w:pPr>
        <w:pStyle w:val="TextoNormal"/>
      </w:pPr>
      <w:r>
        <w:t>También concluye que esa suspensión del nivel acordado, articulado a través de convenios bilaterales como mecanismo de cooperación ante competencias concurrentes, no vulnera la competencia de Cataluña respecto de los servicios sociales, que se mantiene incólume por dicha suspensión. Tal competencia autonómica, añade, tampoco se ve afectada por el retraso en un año en el reconocimiento de la efectividad de un determinado nivel de dependencia, que lo único que persigue es mantener un mínimo de igualdad entre todos los españoles, con lo que la modificación queda cubierta por el título competencial previsto en el art. 149.1.1 CE y su vinculación con los arts. 14 y 15 CE.</w:t>
      </w:r>
    </w:p>
    <w:p w:rsidR="00163957" w:rsidRDefault="00163957" w:rsidP="00163957">
      <w:pPr>
        <w:pStyle w:val="TextoNormal"/>
      </w:pPr>
    </w:p>
    <w:p w:rsidR="00163957" w:rsidRDefault="00163957" w:rsidP="00163957">
      <w:pPr>
        <w:pStyle w:val="TextoNormal"/>
      </w:pPr>
      <w:r>
        <w:t>Respecto al principio de lealtad institucional, subraya su vinculación con la suficiencia financiera de las Comunidades Autónomas, pero también afirma que este principio no condiciona el ejercicio de la potestad legislativa por parte del Estado (SSTC 109/2011, FJ 5; 204/2011, FJ 9, y 31/2010, FJ 136). Por ello, considera que la suspensión del nivel acordado no conlleva infracción de tal principio de lealtad.</w:t>
      </w:r>
    </w:p>
    <w:p w:rsidR="00163957" w:rsidRDefault="00163957" w:rsidP="00163957">
      <w:pPr>
        <w:pStyle w:val="TextoNormal"/>
      </w:pPr>
    </w:p>
    <w:p w:rsidR="00163957" w:rsidRDefault="00163957" w:rsidP="00163957">
      <w:pPr>
        <w:pStyle w:val="TextoNormal"/>
      </w:pPr>
      <w:r>
        <w:t>Asimismo, con relación al principio de autonomía financiera, remarca que la implicación del Estado en la financiación de cada nivel de protección es diferente: en el nivel mínimo supone una financiación mínima y obligatoria establecida para cada beneficiario, sujeta por tanto a variación en función del colectivo existente en el sistema en cada momento; en cambio, la financiación del nivel acordado persigue facilitar la implantación del sistema de dependencia y posee un carácter discrecional en la determinación de su cuantía, sin tener por qué atender a la evolución del número de beneficiarios. Además señala que la carga a la hacienda autonómica por el nivel convenido se produce sólo si existe acuerdo y se fija su financiación, supuesto en que no existiría vulneración alguna por tratarse de acuerdos voluntarios. Asimismo, indica, que la suspensión del nivel acordado no implica carga añadida para la Hacienda autonómica, pues será ella la que voluntariamente decida, en el ejercicio de sus competencias, realizar una mayor o menor financiación, pero ya no como nivel acordado, sino como nivel adicional de protección (art. 7.3 de la Ley 39/2006), además del mínimo financiado por el Estado.</w:t>
      </w:r>
    </w:p>
    <w:p w:rsidR="00163957" w:rsidRDefault="00163957" w:rsidP="00163957">
      <w:pPr>
        <w:pStyle w:val="TextoNormal"/>
      </w:pPr>
    </w:p>
    <w:p w:rsidR="00163957" w:rsidRDefault="00163957" w:rsidP="00163957">
      <w:pPr>
        <w:pStyle w:val="TextoNormal"/>
      </w:pPr>
      <w:r>
        <w:t>B) Seguidamente, el Abogado del Estado se centra en la impugnación de la fijación de la jornada laboral para todo el sector público establecida por la disposición adicional septuagésima primera de la Ley 2/2012.</w:t>
      </w:r>
    </w:p>
    <w:p w:rsidR="00163957" w:rsidRDefault="00163957" w:rsidP="00163957">
      <w:pPr>
        <w:pStyle w:val="TextoNormal"/>
      </w:pPr>
    </w:p>
    <w:p w:rsidR="00163957" w:rsidRDefault="00163957" w:rsidP="00163957">
      <w:pPr>
        <w:pStyle w:val="TextoNormal"/>
      </w:pPr>
      <w:r>
        <w:t>a) En primer término, repasa la doctrina constitucional sobre el título competencial previsto en el art. 149.1.18 CE (entre otras, SSTC 99/1987, FJ 3; 37/2002, FJ 5; 86/2009, FJ 3, y 175/2011, FJ 5). Afirma también que la regulación de la jornada laboral, las vacaciones, permisos y licencias integran el elenco de derechos que contribuye a configurar el estatuto básico de los empleados públicos a que alude el art. 149.1.18 CE, tal y como ha señalado el Tribunal Constitucional respecto a los cuerpos nacionales de la administración de justicia (STC 294/2006, FJ 8). Precisa además que, si bien el art. 136 EAC regula la competencia de Cataluña en el ámbito de la función pública, tal competencia no excluye la del Estado, sino que se ve complementada, aludiendo al respecto a lo dicho en la STC 30/2010</w:t>
      </w:r>
      <w:r w:rsidRPr="00163957">
        <w:rPr>
          <w:i/>
        </w:rPr>
        <w:t xml:space="preserve"> (s</w:t>
      </w:r>
      <w:r>
        <w:t>ic).</w:t>
      </w:r>
    </w:p>
    <w:p w:rsidR="00163957" w:rsidRDefault="00163957" w:rsidP="00163957">
      <w:pPr>
        <w:pStyle w:val="TextoNormal"/>
      </w:pPr>
    </w:p>
    <w:p w:rsidR="00163957" w:rsidRDefault="00163957" w:rsidP="00163957">
      <w:pPr>
        <w:pStyle w:val="TextoNormal"/>
      </w:pPr>
      <w:r>
        <w:t xml:space="preserve">Asimismo, respecto al título competencial </w:t>
      </w:r>
      <w:r w:rsidRPr="00163957">
        <w:rPr>
          <w:i/>
        </w:rPr>
        <w:t>ex</w:t>
      </w:r>
      <w:r>
        <w:t xml:space="preserve"> art. 149.1.7 CE relativo a la legislación laboral, recuerda que, según la doctrina constitucional, la competencia estatal por él atribuida abarca la regulación íntegra de la relación entre trabajador por cuenta ajena y empleador (STC 244/2012, FFJJ 4 y 8).</w:t>
      </w:r>
    </w:p>
    <w:p w:rsidR="00163957" w:rsidRDefault="00163957" w:rsidP="00163957">
      <w:pPr>
        <w:pStyle w:val="TextoNormal"/>
      </w:pPr>
    </w:p>
    <w:p w:rsidR="00163957" w:rsidRDefault="00163957" w:rsidP="00163957">
      <w:pPr>
        <w:pStyle w:val="TextoNormal"/>
      </w:pPr>
      <w:r>
        <w:t>Por su parte, también hace referencia a la doctrina del Tribunal Constitucional sobre el alcance del art. 2.1 b) de la Ley Orgánica de financiación de las Comunidades Autónomas (entre otras, SSTC 13/2007, FJ 9; 134/2011, FJ 14, y 204/2011, FJ 7), y de sus pronunciamientos deduce que, por su carácter materialmente básico, todas las medidas de contención de gastos de personal que hayan de aplicarse en todo el sector público, incluido el autonómico sin ninguna excepción, competen al Estado en virtud de los arts. 149.1.13 CE en relación con el art. 156.1 CE, a los que debe añadirse el art. 135.1 y 6 CE sobre el principio de estabilidad presupuestaria, respecto al que hace referencia al contenido de la Ley Orgánica 2/2012 (entre otras, SSTC 63/1986, FJ 11; 24/2002, FJ 5; 178/2006, FJ 3, y 222/2006, FJ 3).</w:t>
      </w:r>
    </w:p>
    <w:p w:rsidR="00163957" w:rsidRDefault="00163957" w:rsidP="00163957">
      <w:pPr>
        <w:pStyle w:val="TextoNormal"/>
      </w:pPr>
    </w:p>
    <w:p w:rsidR="00163957" w:rsidRDefault="00163957" w:rsidP="00163957">
      <w:pPr>
        <w:pStyle w:val="TextoNormal"/>
      </w:pPr>
      <w:r>
        <w:t>b) Por último, tras aludir a la jurisprudencia constitucional sobre el contenido mínimo y eventual de las leyes de presupuestos (STC 74/2011, FJ 3), el Abogado del Estado concluye que la medida cuestionada encuentra cabida en esta modalidad de ley, poniendo de relieve que el incremento de la jornada laboral en el ámbito de la función pública tiene un inequívoco contenido económico. Con apoyo en un informe del Ministerio de Hacienda y Administraciones Públicas que es aportado junto al recurso, destaca que, desde el presupuesto de que el porcentaje estimado de efectivos con treinta y cinco horas de jornada semanal era del 45 por 100, la estimación del ahorro producido por la implantación de la jornada mínima de treinta y siete horas y media es de 1.310MM €, al considerar que el aumento de jornada se traslada al ahorro económico del 35 por 100 por la menor contratación de temporales e interinos, menor número de horas extras y guardias.</w:t>
      </w:r>
    </w:p>
    <w:p w:rsidR="00163957" w:rsidRDefault="00163957" w:rsidP="00163957">
      <w:pPr>
        <w:pStyle w:val="TextoNormal"/>
      </w:pPr>
    </w:p>
    <w:p w:rsidR="00163957" w:rsidRDefault="00163957" w:rsidP="00163957">
      <w:pPr>
        <w:pStyle w:val="TextoNormal"/>
      </w:pPr>
      <w:r>
        <w:t>c) A juicio, pues, del Abogado del Estado, el efecto económico de la medida, dirigida a la reducción del gasto público en un entorno de grave crisis económica y con un mandato constitucional de estabilidad presupuestaria, evidencian la corrección de la decisión normativa, tanto por encajar en el ejercicio de las competencias estatales previstas en el art. 149.1.7, 13 y 18 CE, como también desde la perspectiva de su inclusión material en la Ley de presupuestos.</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6</w:t>
      </w:r>
      <w:r>
        <w:t>. Mediante escrito registrado en fecha 2 de agosto de 2013, los Abogados de la Generalitat de Cataluña, dando cumplimiento al acuerdo adoptado por el Gobierno de la Generalitat el 30 de julio de 2013, formularon la recusación del Excmo. Sr. Presidente del Tribunal Constitucional, entre otros, en el presente proceso constitucional. El Pleno del Tribunal, por ATC 180/2013, de 17 de septiembre, inadmitió a trámite la recusación formulada, e interpuesto recurso de súplica contra el anterior Auto por la Generalitat de Cataluña, el Pleno, en providencia de 2 de octubre de 2013, acordó su inadmisión a trámite.</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24 de mayo de 2016 se señaló el día 25 del mismo mes y año para deliberación y votación de la presente Sentencia.</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inconstitucionalidad se interpone por el Gobierno de la Generalitat de Cataluña contra las disposiciones adicionales cuadragésima y septuagésima primera, así como la disposición final octava de la Ley 2/2012, de 29 de junio, de presupuestos generales del Estado para el año 2012.</w:t>
      </w:r>
    </w:p>
    <w:p w:rsidR="00163957" w:rsidRDefault="00163957" w:rsidP="00163957">
      <w:pPr>
        <w:pStyle w:val="TextoNormal"/>
      </w:pPr>
    </w:p>
    <w:p w:rsidR="00163957" w:rsidRDefault="00163957" w:rsidP="00163957">
      <w:pPr>
        <w:pStyle w:val="TextoNormal"/>
      </w:pPr>
      <w:r>
        <w:t>El escrito de interposición del recurso denuncia los siguientes vicios de inconstitucionalidad respecto a los preceptos impugnados. De un lado, en relación con la disposición adicional cuadragésima de la Ley 2/2012 —por la que se suspende, durante el año 2012, la aplicación de los arts. 7.2, 8.2 a), 10, 32.3 (primer párrafo) y disposición transitoria primera de la Ley 39/2006, de 14 de diciembre, de promoción de la autonomía personal y atención a las personas en situación de dependencia— y a la disposición final octava de la Ley 2/2012 —por la que se da nueva redacción al primer apartado de la disposición final primera de la Ley 39/2006—, se les reprocha que vulneran la competencia autonómica en materia de servicios sociales, así como el principio de lealtad constitucional o institucional y la autonomía financiera de la Generalitat de Cataluña. Por lo que se refiere a la disposición adicional septuagésima primera de la Ley 2/2012 —mediante la que se establece la jornada mínima de trabajo de treinta y siete horas y media semanales en cómputo anual para todos los empleados del sector público, sin que la adaptación comporte incremento retributivo—, se cuestionan principalmente tanto los títulos competenciales alegados para dictar esta previsión y calificarla como básica —en concreto, los arts. 149.1.7, 149.1.13 y 149.1.18 CE—, como su adecuación al art. 134.2 CE por haberse introducido mediante ley de presupuestos.</w:t>
      </w:r>
    </w:p>
    <w:p w:rsidR="00163957" w:rsidRDefault="00163957" w:rsidP="00163957">
      <w:pPr>
        <w:pStyle w:val="TextoNormal"/>
      </w:pPr>
    </w:p>
    <w:p w:rsidR="00163957" w:rsidRDefault="00163957" w:rsidP="00163957">
      <w:pPr>
        <w:pStyle w:val="TextoNormal"/>
      </w:pPr>
      <w:r>
        <w:t>Por el contrario, el Abogado del Estado defiende la constitucionalidad de las disposiciones impugnadas en los términos expuestos en los antecedentes y, en consecuencia, interesa la desestimación del recurso.</w:t>
      </w:r>
    </w:p>
    <w:p w:rsidR="00163957" w:rsidRDefault="00163957" w:rsidP="00163957">
      <w:pPr>
        <w:pStyle w:val="TextoNormal"/>
      </w:pPr>
    </w:p>
    <w:p w:rsidR="00163957" w:rsidRDefault="00163957" w:rsidP="00163957">
      <w:pPr>
        <w:pStyle w:val="TextoNormal"/>
      </w:pPr>
      <w:r w:rsidRPr="00163957">
        <w:rPr>
          <w:rStyle w:val="NumeroAFNegritaCaracter"/>
        </w:rPr>
        <w:t>2</w:t>
      </w:r>
      <w:r>
        <w:t>. En la resolución de este recurso de inconstitucionalidad, y en la medida en que inciden sobre una misma Ley —la Ley 39/2006—,se abordan inicialmente algunos aspectos comunes relativos a la disposición adicional cuadragésima y la disposición final octava de la Ley 2/2012. No obstante, antes de entrar en la cuestión de fondo, es preciso comprobar la pervivencia del recurso respecto a ambas disposiciones.</w:t>
      </w:r>
    </w:p>
    <w:p w:rsidR="00163957" w:rsidRDefault="00163957" w:rsidP="00163957">
      <w:pPr>
        <w:pStyle w:val="TextoNormal"/>
      </w:pPr>
    </w:p>
    <w:p w:rsidR="00163957" w:rsidRDefault="00163957" w:rsidP="00163957">
      <w:pPr>
        <w:pStyle w:val="TextoNormal"/>
      </w:pPr>
      <w:r>
        <w:lastRenderedPageBreak/>
        <w:t>a) En el caso de la disposición adicional cuadragésima, la razón estriba en el alcance temporal limitado de su contenido, dado que, conforme a su tenor, la suspensión de los preceptos de la Ley 39/2006 que en ella se indican se prevé “durante 2012”. No obstante, de acuerdo con nuestra doctrina, esta circunstancia no impide el examen de la denuncia de inconstitucionalidad formulada.</w:t>
      </w:r>
    </w:p>
    <w:p w:rsidR="00163957" w:rsidRDefault="00163957" w:rsidP="00163957">
      <w:pPr>
        <w:pStyle w:val="TextoNormal"/>
      </w:pPr>
    </w:p>
    <w:p w:rsidR="00163957" w:rsidRDefault="00163957" w:rsidP="00163957">
      <w:pPr>
        <w:pStyle w:val="TextoNormal"/>
      </w:pPr>
      <w:r>
        <w:t>De una parte, dado que la impugnación frente a esta norma es de carácter competencial, ha de tenerse en cuenta que, a efectos de determinar si mantiene vivo su objeto, lo relevante no es tanto el agotamiento de los efectos de la concreta norma impugnada, cuanto determinar si con ese agotamiento ha cesado o no la controversia competencial (por todas, SSTC 26/2013, de 31 de enero, FJ 2; y 104/2013, de 25 de abril, FJ 2). En este caso, hemos de atender a que la misma previsión de suspensión de los preceptos de la Ley 39/2006 se ha reiterado para los años 2013, 2014, 2015 y 2016 por parte de las posteriores leyes de presupuestos generales del Estado dictadas hasta el momento (disposición adicional octogésima cuarta de la Ley 17/2012, de 27 de diciembre, disposición adicional vigésima octava de la Ley 22/2013, de 23 de diciembre, disposición adicional septuagésima tercera de la Ley 36/2014, de 26 de diciembre, y disposición adicional septuagésimo sexta de la Ley 48/2015, de 29 de octubre). En consecuencia, vista la reiteración de la previsión hasta el presente, pervive la controversia competencial planteada.</w:t>
      </w:r>
    </w:p>
    <w:p w:rsidR="00163957" w:rsidRDefault="00163957" w:rsidP="00163957">
      <w:pPr>
        <w:pStyle w:val="TextoNormal"/>
      </w:pPr>
    </w:p>
    <w:p w:rsidR="00163957" w:rsidRDefault="00163957" w:rsidP="00163957">
      <w:pPr>
        <w:pStyle w:val="TextoNormal"/>
      </w:pPr>
      <w:r>
        <w:t>Además, con carácter general ha de tomarse en consideración que, igual que hemos dicho respecto a otras impugnaciones de normas de vigencia definida, cabe trasladar aquí nuestra doctrina dictada en relación con las leyes de presupuestos, según la cual, excluir la posibilidad de examen constitucional en estos supuestos sería tanto como negar el control por este Tribunal Constitucional de determinadas normas con vigencia limitada en el tiempo, creándose así un ámbito normativo (estatal o autonómico) inmune al control de la jurisdicción constitucional (SSTC 204/2011, de 15 de diciembre, FJ 2; 197/2012, de 6 de noviembre, FJ 2; 139/2013, de 8 de julio, FJ 2, y 171/2014, de 23 de octubre, FJ 2).</w:t>
      </w:r>
    </w:p>
    <w:p w:rsidR="00163957" w:rsidRDefault="00163957" w:rsidP="00163957">
      <w:pPr>
        <w:pStyle w:val="TextoNormal"/>
      </w:pPr>
    </w:p>
    <w:p w:rsidR="00163957" w:rsidRDefault="00163957" w:rsidP="00163957">
      <w:pPr>
        <w:pStyle w:val="TextoNormal"/>
      </w:pPr>
      <w:r>
        <w:t>Una y otra razón llevan, pues, a concluir que la pretensión de inconstitucionalidad relativa a la disposición adicional cuadragésima de la Ley 2/2012 no ha perdido objeto.</w:t>
      </w:r>
    </w:p>
    <w:p w:rsidR="00163957" w:rsidRDefault="00163957" w:rsidP="00163957">
      <w:pPr>
        <w:pStyle w:val="TextoNormal"/>
      </w:pPr>
    </w:p>
    <w:p w:rsidR="00163957" w:rsidRDefault="00163957" w:rsidP="00163957">
      <w:pPr>
        <w:pStyle w:val="TextoNormal"/>
      </w:pPr>
      <w:r>
        <w:t>b) Por lo que se refiere a la disposición final octava de la Ley 2/2012, tanto la Generalitat de Cataluña como el Abogado del Estado, han señalado que la nueva redacción que esta disposición da al primer apartado de la disposición final primera de la Ley 39/2006 ha sido objeto de ulterior modificación a través del art. 22.17 del Real Decreto-ley 20/2012, de 13 de julio, sobre medidas para garantizar la estabilidad presupuestaria y de fomento de la competitividad. Nuevamente, dado que la queja a analizar respecto a la disposición impugnada es de naturaleza competencial, ha de tenerse en cuenta que, el criterio determinante para decidir si el recurso mantiene su objeto es la pervivencia de la controversia competencial, lo que debe dilucidarse a partir de la incidencia real que la modificación o derogación del precepto impugnado haya tenido sobre ella (por todas, STC 180/2013, de 23 de octubre, FJ 2, y 174/2014, de 23 de octubre, FJ 2).</w:t>
      </w:r>
    </w:p>
    <w:p w:rsidR="00163957" w:rsidRDefault="00163957" w:rsidP="00163957">
      <w:pPr>
        <w:pStyle w:val="TextoNormal"/>
      </w:pPr>
    </w:p>
    <w:p w:rsidR="00163957" w:rsidRDefault="00163957" w:rsidP="00163957">
      <w:pPr>
        <w:pStyle w:val="TextoNormal"/>
      </w:pPr>
      <w:r>
        <w:t xml:space="preserve">En este caso, la revisión normativa consiste en la introducción de algunos ajustes en el calendario de aplicación progresiva de la Ley 39/2006 que es objeto de regulación en el citado apartado primero de la disposición final primera de dicha Ley. De este modo, en la medida en que lo cuestionado por la parte recurrente es la propia competencia estatal para </w:t>
      </w:r>
      <w:r>
        <w:lastRenderedPageBreak/>
        <w:t>fijar el calendario de reconocimiento de las prestaciones de dependencia, ha de concluirse que la controversia competencial planteada no ha desaparecido tras la nueva redacción del precepto y que, en consecuencia, el recurso interpuesto tampoco ha perdido objeto respecto a la impugnación de la disposición final octava de la Ley 2/2012.</w:t>
      </w:r>
    </w:p>
    <w:p w:rsidR="00163957" w:rsidRDefault="00163957" w:rsidP="00163957">
      <w:pPr>
        <w:pStyle w:val="TextoNormal"/>
      </w:pPr>
    </w:p>
    <w:p w:rsidR="00163957" w:rsidRDefault="00163957" w:rsidP="00163957">
      <w:pPr>
        <w:pStyle w:val="TextoNormal"/>
      </w:pPr>
      <w:r w:rsidRPr="00163957">
        <w:rPr>
          <w:rStyle w:val="NumeroAFNegritaCaracter"/>
        </w:rPr>
        <w:t>3</w:t>
      </w:r>
      <w:r>
        <w:t>. Una vez determinada la pervivencia del recurso de inconstitucionalidad respecto a la disposición adicional cuadragésima y la disposición final octava de la Ley 2/2012, y a fin de estudiar el fondo de las impugnaciones formuladas, resulta procedente exponer brevemente algunos aspectos de la Ley 39/2006 (Ley 39/2006, de promoción de la autonomía personal y atención a las personas en situación de dependencia), al objeto de situar debidamente los términos del debate. Lo mismo se realizó en la STC 18/2016, de 4 de febrero, cuyo FJ 7 a), procede dar ahora por reproducido.</w:t>
      </w:r>
    </w:p>
    <w:p w:rsidR="00163957" w:rsidRDefault="00163957" w:rsidP="00163957">
      <w:pPr>
        <w:pStyle w:val="TextoNormal"/>
      </w:pPr>
    </w:p>
    <w:p w:rsidR="00163957" w:rsidRDefault="00163957" w:rsidP="00163957">
      <w:pPr>
        <w:pStyle w:val="TextoNormal"/>
      </w:pPr>
      <w:r>
        <w:t>Dentro del modelo diseñado por la Ley 39/2006 y a los efectos del presente recurso interesa subrayar dos aspectos concretos.</w:t>
      </w:r>
    </w:p>
    <w:p w:rsidR="00163957" w:rsidRDefault="00163957" w:rsidP="00163957">
      <w:pPr>
        <w:pStyle w:val="TextoNormal"/>
      </w:pPr>
    </w:p>
    <w:p w:rsidR="00163957" w:rsidRDefault="00163957" w:rsidP="00163957">
      <w:pPr>
        <w:pStyle w:val="TextoNormal"/>
      </w:pPr>
      <w:r>
        <w:t>a) El primer aspecto constituyente, la protección de la situación de dependencia por parte del Sistema se presta conforme a niveles. (i) En primer lugar, se contempla un “nivel de protección mínimo”, garantizado para cada uno de los beneficiarios del Sistema como condición básica de garantía del derecho a la promoción de la autonomía personal y atención a la situación de dependencia: este primer nivel o nivel mínimo se establece por la Administración general del Estado, que es la que asume íntegramente la financiación pública de su coste (arts. 7.1, 9, 32.2, y disposición adicional primera); (ii) Como segundo nivel, se prevé un “nivel de protección acordado” entre la Administración estatal y la de cada una de las Comunidades Autónomas, mediante el que se podrá incrementar el nivel mínimo de protección fijado por el Estado: para ello, una vez concertado el marco de cooperación interadministrativa en el referido Consejo Territorial, dicho marco podrá desarrollarse mediante convenios entre la Administración general del Estado y cada una de las Comunidades Autónomas, procediendo a acordar en el respectivo convenio los objetivos, medios y recursos para la aplicación de los servicios y prestaciones recogidos en la Ley 39/2006, así como la financiación que corresponda a cada Administración, habiéndose introducido la previsión de que durante el período comprendido entre el 1 de enero de 2007 y el 31 de diciembre de 2015, y a fin de favorecer la implantación progresiva del Sistema, la Administración general del Estado establecería anualmente en sus presupuestos créditos para la celebración de los citados convenios con las Comunidades Autónomas [arts. 7.2, 8.2 a), 10, 32.3 en su párrafo primero, y disposición transitoria primera]; (iii) Finalmente, como tercer nivel, la Ley 39/2006 también reconoce la posible existencia de un “nivel de protección adicional”, que pueden establecer directamente las Comunidades Autónomas y mediante el que pueden incrementar el nivel mínimo fijado por la Administración estatal y el nivel que en su caso se haya pactado: este nivel adicional será definido por las Comunidades Autónomas con cargo a sus presupuestos, correspondiendo también a ellas adoptar las normas de acceso y disfrute que consideren más adecuadas (arts. 7.3 y 11.2).</w:t>
      </w:r>
    </w:p>
    <w:p w:rsidR="00163957" w:rsidRDefault="00163957" w:rsidP="00163957">
      <w:pPr>
        <w:pStyle w:val="TextoNormal"/>
      </w:pPr>
    </w:p>
    <w:p w:rsidR="00163957" w:rsidRDefault="00163957" w:rsidP="00163957">
      <w:pPr>
        <w:pStyle w:val="TextoNormal"/>
      </w:pPr>
      <w:r>
        <w:t>Sobre este esquema incide la ahora recurrida disposición adicional cuadragésima de la Ley 2/2012, a cuyo tenor, “[d]urante 2012 se suspende la aplicación del artículo 7.2, del artículo 8.2 a), del artículo 10, del artículo 32.3, párrafo primero, y de la Disposición Transitoria primera de la Ley 39/2006, de 14 de diciembre, de Promoción de la Autonomía Personal y Atención a las Personas en situación de dependencia”.</w:t>
      </w:r>
    </w:p>
    <w:p w:rsidR="00163957" w:rsidRDefault="00163957" w:rsidP="00163957">
      <w:pPr>
        <w:pStyle w:val="TextoNormal"/>
      </w:pPr>
    </w:p>
    <w:p w:rsidR="00163957" w:rsidRDefault="00163957" w:rsidP="00163957">
      <w:pPr>
        <w:pStyle w:val="TextoNormal"/>
      </w:pPr>
      <w:r>
        <w:t>Si se atiende al contenido de estos preceptos, lo que hace la norma impugnada es suspender durante 2012 las previsiones de la Ley 39/2006 relacionadas con la regulación del ya comentado posible “nivel de protección acordado” que eventualmente puede concertarse entre la Administración estatal y cada Comunidad Autónoma.</w:t>
      </w:r>
    </w:p>
    <w:p w:rsidR="00163957" w:rsidRDefault="00163957" w:rsidP="00163957">
      <w:pPr>
        <w:pStyle w:val="TextoNormal"/>
      </w:pPr>
    </w:p>
    <w:p w:rsidR="00163957" w:rsidRDefault="00163957" w:rsidP="00163957">
      <w:pPr>
        <w:pStyle w:val="TextoNormal"/>
      </w:pPr>
      <w:r>
        <w:t>b) El segundo aspecto de interés a subrayar es que la Ley 39/2006 prevé una aplicación progresiva de su contenido, estableciendo que la efectividad del derecho a las prestaciones de dependencia se ejercitará de modo gradual, conforme a un concreto calendario, que comienza a partir del 1 de enero de 2007 y en el que se va disponiendo que, en los concretos años preestablecidos, se hará efectivo el derecho, primero a los valorados en el grado III de gran dependencia, después a los valorados en el grado II de dependencia severa, y por último, a los valorados en el grado I de dependencia moderada (disposición final primera).</w:t>
      </w:r>
    </w:p>
    <w:p w:rsidR="00163957" w:rsidRDefault="00163957" w:rsidP="00163957">
      <w:pPr>
        <w:pStyle w:val="TextoNormal"/>
      </w:pPr>
    </w:p>
    <w:p w:rsidR="00163957" w:rsidRDefault="00163957" w:rsidP="00163957">
      <w:pPr>
        <w:pStyle w:val="TextoNormal"/>
      </w:pPr>
      <w:r>
        <w:t>Como antes se ha indicado, la ahora recurrida disposición final octava de la Ley 2/2012 da nueva redacción al primer apartado de la disposición final primera de la Ley 39/2006, cuyo tenor queda en los siguientes términos:</w:t>
      </w:r>
    </w:p>
    <w:p w:rsidR="00163957" w:rsidRDefault="00163957" w:rsidP="00163957">
      <w:pPr>
        <w:pStyle w:val="TextoNormal"/>
      </w:pPr>
    </w:p>
    <w:p w:rsidR="00163957" w:rsidRDefault="00163957" w:rsidP="00163957">
      <w:pPr>
        <w:pStyle w:val="TextoNormal"/>
      </w:pPr>
      <w:r>
        <w:t>“1. La efectividad del derecho a las prestaciones de dependencia incluidas en la presente Ley se ejercitará progresivamente, de modo gradual, y se realizará de acuerdo con el siguiente calendario a partir del 1 de enero de 2007:</w:t>
      </w:r>
    </w:p>
    <w:p w:rsidR="00163957" w:rsidRDefault="00163957" w:rsidP="00163957">
      <w:pPr>
        <w:pStyle w:val="TextoNormal"/>
      </w:pPr>
    </w:p>
    <w:p w:rsidR="00163957" w:rsidRDefault="00163957" w:rsidP="00163957">
      <w:pPr>
        <w:pStyle w:val="TextoNormal"/>
      </w:pPr>
      <w:r>
        <w:t>El primer año a quienes sean valorados en el Grado III de Gran Dependencia, niveles 1 y 2.</w:t>
      </w:r>
    </w:p>
    <w:p w:rsidR="00163957" w:rsidRDefault="00163957" w:rsidP="00163957">
      <w:pPr>
        <w:pStyle w:val="TextoNormal"/>
      </w:pPr>
    </w:p>
    <w:p w:rsidR="00163957" w:rsidRDefault="00163957" w:rsidP="00163957">
      <w:pPr>
        <w:pStyle w:val="TextoNormal"/>
      </w:pPr>
      <w:r>
        <w:t>En el segundo y tercer año a quienes sean valorados en el Grado II de Dependencia Severa, nivel 2.</w:t>
      </w:r>
    </w:p>
    <w:p w:rsidR="00163957" w:rsidRDefault="00163957" w:rsidP="00163957">
      <w:pPr>
        <w:pStyle w:val="TextoNormal"/>
      </w:pPr>
    </w:p>
    <w:p w:rsidR="00163957" w:rsidRDefault="00163957" w:rsidP="00163957">
      <w:pPr>
        <w:pStyle w:val="TextoNormal"/>
      </w:pPr>
      <w:r>
        <w:t>En el tercer y cuarto año a quienes sean valorados en el Grado II de Dependencia Severa, nivel 1.</w:t>
      </w:r>
    </w:p>
    <w:p w:rsidR="00163957" w:rsidRDefault="00163957" w:rsidP="00163957">
      <w:pPr>
        <w:pStyle w:val="TextoNormal"/>
      </w:pPr>
    </w:p>
    <w:p w:rsidR="00163957" w:rsidRDefault="00163957" w:rsidP="00163957">
      <w:pPr>
        <w:pStyle w:val="TextoNormal"/>
      </w:pPr>
      <w:r>
        <w:t>El quinto año, que finaliza el 31 de diciembre de 2011, a quienes sean valorados en el Grado I de Dependencia Moderada, Nivel 2, y se les haya reconocido la concreta prestación.</w:t>
      </w:r>
    </w:p>
    <w:p w:rsidR="00163957" w:rsidRDefault="00163957" w:rsidP="00163957">
      <w:pPr>
        <w:pStyle w:val="TextoNormal"/>
      </w:pPr>
    </w:p>
    <w:p w:rsidR="00163957" w:rsidRDefault="00163957" w:rsidP="00163957">
      <w:pPr>
        <w:pStyle w:val="TextoNormal"/>
      </w:pPr>
      <w:r>
        <w:t>A partir del 1 de enero de 2014 al resto de quienes sean valorados en el Grado I de Dependencia Moderada, Nivel 2.</w:t>
      </w:r>
    </w:p>
    <w:p w:rsidR="00163957" w:rsidRDefault="00163957" w:rsidP="00163957">
      <w:pPr>
        <w:pStyle w:val="TextoNormal"/>
      </w:pPr>
    </w:p>
    <w:p w:rsidR="00163957" w:rsidRDefault="00163957" w:rsidP="00163957">
      <w:pPr>
        <w:pStyle w:val="TextoNormal"/>
      </w:pPr>
      <w:r>
        <w:t>A partir del 1 de enero de 2014 a quienes sean valorados en el Grado I de Dependencia Moderada, nivel 1.”</w:t>
      </w:r>
    </w:p>
    <w:p w:rsidR="00163957" w:rsidRDefault="00163957" w:rsidP="00163957">
      <w:pPr>
        <w:pStyle w:val="TextoNormal"/>
      </w:pPr>
    </w:p>
    <w:p w:rsidR="00163957" w:rsidRDefault="00163957" w:rsidP="00163957">
      <w:pPr>
        <w:pStyle w:val="TextoNormal"/>
      </w:pPr>
      <w:r>
        <w:t>En concreto, la revisión introducida afecta fundamentalmente al penúltimo de los párrafos reproducidos, pues si en la redacción previa estaba previsto que para el resto de valorados en el grado I, nivel 2, la efectividad del derecho se aplicaría a partir del 1 de enero de 2013, tras la modificación incorporada por la Ley 2/2012 se retrasa un año más —a partir de 1 de enero de 2014—.</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Una vez expuestos a grandes rasgos el objeto y contenido de la Ley 39/2006, así como la incidencia que sobre ella han ejercido las impugnadas disposición adicional cuadragésima </w:t>
      </w:r>
      <w:r>
        <w:lastRenderedPageBreak/>
        <w:t>y disposición final octava de la Ley 2/2012, procede abordar el encuadramiento de esta normativa dentro del orden constitucional de distribución de competencias entre el Estado y las Comunidades Autónomas.</w:t>
      </w:r>
    </w:p>
    <w:p w:rsidR="00163957" w:rsidRDefault="00163957" w:rsidP="00163957">
      <w:pPr>
        <w:pStyle w:val="TextoNormal"/>
      </w:pPr>
    </w:p>
    <w:p w:rsidR="00163957" w:rsidRDefault="00163957" w:rsidP="00163957">
      <w:pPr>
        <w:pStyle w:val="TextoNormal"/>
      </w:pPr>
      <w:r>
        <w:t>Este Tribunal se ha pronunciado sobre esta cuestión en la STC 18/2016, FJ 7 b), donde se indica que la Ley 39/2006 encaja materialmente en el ámbito de la “asistencia social”, lo que nos lleva a descartar la aplicación de los títulos competenciales de los arts. 149.1.13 y 17 CE, propuestos por el Abogado del Estado, y a encuadrar la regulación estatal en el art. 149.1.1 CE, por considerar que “proporciona un título competencial más específico, dada la materia a la que se refiere la cuestión aquí discutida relacionada con el marco normativo a través del cual se van a reconocer derechos subjetivos de contenido prestacional en relación con la atención a la situación de dependencia”. Así pues, es a la delimitación de competencias en materia de asistencia social en relación con dicho título competencial estatal [STC 18/2016, FJ 7 b)] a la que debemos atenernos en la resolución de la controversia planteada (en el mismo sentido, STC 36/2016, de 3 de marzo, FJ 2).</w:t>
      </w:r>
    </w:p>
    <w:p w:rsidR="00163957" w:rsidRDefault="00163957" w:rsidP="00163957">
      <w:pPr>
        <w:pStyle w:val="TextoNormal"/>
      </w:pPr>
    </w:p>
    <w:p w:rsidR="00163957" w:rsidRDefault="00163957" w:rsidP="00163957">
      <w:pPr>
        <w:pStyle w:val="TextoNormal"/>
      </w:pPr>
      <w:r w:rsidRPr="00163957">
        <w:rPr>
          <w:rStyle w:val="NumeroAFNegritaCaracter"/>
        </w:rPr>
        <w:t>5</w:t>
      </w:r>
      <w:r>
        <w:t>. La primera de las normas impugnadas es la disposición adicional cuadragésima de la Ley 2/2012, por la que se suspende durante 2012 la aplicación de determinados preceptos de la Ley 39/2006, relativos a la regulación del eventual nivel de protección acordado entre la Administración general del Estado y cada Comunidad Autónoma —en concreto, arts. 7.2, 8.2 a), 10, 32.3 en su párrafo primero, y disposición transitoria primera de la Ley 39/2006—.</w:t>
      </w:r>
    </w:p>
    <w:p w:rsidR="00163957" w:rsidRDefault="00163957" w:rsidP="00163957">
      <w:pPr>
        <w:pStyle w:val="TextoNormal"/>
      </w:pPr>
    </w:p>
    <w:p w:rsidR="00163957" w:rsidRDefault="00163957" w:rsidP="00163957">
      <w:pPr>
        <w:pStyle w:val="TextoNormal"/>
      </w:pPr>
      <w:r>
        <w:t>En su escrito de recurso, los Abogados de la Generalitat de Cataluña ponen de relieve que dicha suspensión conlleva el efecto inmediato de que el Estado deja de aportar fondos para financiar el nivel concertado de protección de la dependencia, lo que, a su juicio, implica que las Comunidades Autónomas quedan obligadas a aportar sus propios recursos para dotar las prestaciones definidas por el legislador estatal en el segundo nivel de protección, y ven condicionados de esta forma sus propios fondos para poder percibir los correspondientes al nivel mínimo de protección financiado por el Estado. Así, se aduce que esta norma resulta contraria a la lealtad constitucional debida a las Administraciones autonómicas con las que se había convenido la implementación del sistema. De otro lado, el escrito de recurso considera que la disposición impugnada atenta también a la autonomía financiera de la Generalitat de Cataluña, reconocida en virtud del art. 156.1 CE, lo que a su vez supone contrariar los arts. 201, 202 y 211 del Estatuto de Autonomía de Cataluña (EAC). Por último, reprocha que la previsión impugnada no encuentra cobertura ni en el art. 149.1.1 CE ni en el art. 149.1.13 CE, implicando una vulneración de la competencia de la Generalitat de Cataluña sobre servicios sociales reconocida en el art. 166 EAC.</w:t>
      </w:r>
    </w:p>
    <w:p w:rsidR="00163957" w:rsidRDefault="00163957" w:rsidP="00163957">
      <w:pPr>
        <w:pStyle w:val="TextoNormal"/>
      </w:pPr>
    </w:p>
    <w:p w:rsidR="00163957" w:rsidRDefault="00163957" w:rsidP="00163957">
      <w:pPr>
        <w:pStyle w:val="TextoNormal"/>
      </w:pPr>
      <w:r>
        <w:t xml:space="preserve">a) Para dar respuesta a estas tres denuncias, ha de empezar por subrayarse que el único objeto de la disposición adicional cuadragésima de la Ley 2/2012 es suspender durante 2012 la aplicación de determinados preceptos de otra ley estatal como es la Ley 39/2006, decisión que se adopta en virtud de la facultad que corresponde al Estado “para fijar, y en su caso, modificar las condiciones y requisitos de vigencia y aplicación de sus propias normas” (STC 162/2013, de 26 de septiembre, FJ 6). Como se ha dicho, el contenido de los preceptos suspendidos regula el posible nivel de protección de la dependencia acordado entre la Administración estatal y cada Comunidad Autónoma. En consecuencia, la suspensión cuestionada conlleva la decisión de que la Administración general del Estado no participe en 2012 </w:t>
      </w:r>
      <w:r>
        <w:lastRenderedPageBreak/>
        <w:t>en la cofinanciación de este eventual nivel concertado de protección, dejando expresamente sin aplicación para este ejercicio la previsión de incluir anualmente en los presupuestos de la Administración general del Estado —hasta 2015— créditos para celebrar convenios a tal efecto con las Comunidades Autónomas (disposición transitoria primera de la Ley 39/2006).</w:t>
      </w:r>
    </w:p>
    <w:p w:rsidR="00163957" w:rsidRDefault="00163957" w:rsidP="00163957">
      <w:pPr>
        <w:pStyle w:val="TextoNormal"/>
      </w:pPr>
    </w:p>
    <w:p w:rsidR="00163957" w:rsidRDefault="00163957" w:rsidP="00163957">
      <w:pPr>
        <w:pStyle w:val="TextoNormal"/>
      </w:pPr>
      <w:r>
        <w:t>Resulta, pues, esencial, dejar claro que la disposición recurrida se limita a suprimir para 2012 la posibilidad de concertar el nivel acordado de protección de la dependencia, que ya en la propia redacción originaria de la Ley 39/2006 se supeditaba a que mediara la voluntad conjunta de la Administración estatal y de cada Administración autonómica. Por parte de la norma impugnada en ningún momento se incorporan nuevas previsiones a la Ley 39/2006 ni se altera el tenor de sus preceptos, ni siquiera el de aquellos a los que hace específica mención. En consecuencia, a los efectos de este proceso, debe tenerse en cuenta que, por su contenido meramente suspensivo y no novatorio, la impugnada disposición adicional cuadragésima de la Ley 2/2012 no impone a las Comunidades Autónomas nuevas obligaciones sobre el reconocimiento y financiación de las prestaciones de dependencia, de modo que los deberes a los que alude la parte recurrente traerían causa, en su caso, de la regulación previamente establecida en la Ley 39/2006, que es ajena al presente proceso.</w:t>
      </w:r>
    </w:p>
    <w:p w:rsidR="00163957" w:rsidRDefault="00163957" w:rsidP="00163957">
      <w:pPr>
        <w:pStyle w:val="TextoNormal"/>
      </w:pPr>
    </w:p>
    <w:p w:rsidR="00163957" w:rsidRDefault="00163957" w:rsidP="00163957">
      <w:pPr>
        <w:pStyle w:val="TextoNormal"/>
      </w:pPr>
      <w:r>
        <w:t>Lo anterior resulta plenamente aplicable a las alegaciones que la parte recurrente efectúa en relación con el art. 32.3 de la Ley 39/2006, ya que no puede sostenerse que una disposición como la impugnada, de contenido meramente suspensivo y no de revisión o modificación normativa, altere el significado que haya de darse a los dos párrafos del art. 32.3 de la Ley 39/2006, por lo que los eventuales vicios de inconstitucionalidad en que pudiera incurrir este precepto no derivarían de la norma objeto del presente recurso y de ahí que su análisis quede fuera de este procedimiento.</w:t>
      </w:r>
    </w:p>
    <w:p w:rsidR="00163957" w:rsidRDefault="00163957" w:rsidP="00163957">
      <w:pPr>
        <w:pStyle w:val="TextoNormal"/>
      </w:pPr>
    </w:p>
    <w:p w:rsidR="00163957" w:rsidRDefault="00163957" w:rsidP="00163957">
      <w:pPr>
        <w:pStyle w:val="TextoNormal"/>
      </w:pPr>
      <w:r>
        <w:t xml:space="preserve">En todo caso ha de advertirse también que sobre este art. 32.3 de la Ley 39/2006 ya se ha pronunciado la STC 18/2016, FJ 8 e.iii), señalando que “el art. 32.3 de la Ley 39/2006, segundo párrafo, únicamente exige que la aportación autonómica sea, al menos igual a la de la Administración general del Estado, en el segundo nivel de protección, lo que implica que, suspendidos los convenios mediante los que se financiaba ese segundo nivel, la aportación autonómica en aplicación de dicho precepto no es ya obligatoria, por lo que, al menos en teoría, la reducción de la aportación estatal es susceptible de producir el correlativo efecto de reducción de la aportación autonómica, sin que, por esa vía, se produzca irremediablemente un incremento de gasto autonómico. Ahora bien, si esa reducción autonómica se produce o no es una cuestión que corresponde decidir a cada Comunidad Autónoma en el ejercicio de su competencia en materia de asistencia social. Pero no puede pretenderse que el hecho de que una determinada Comunidad Autónoma considere necesario o conveniente mantener las prestaciones del sistema de atención a la dependencia en un determinado nivel, superior al mínimo garantizado por el Estado, implique necesariamente el mantenimiento de las aportaciones estatales a la financiación del sistema de atención a la dependencia en la cuantía suficiente que permita el mantenimiento de dicho nivel prestacional en la Comunidad Autónoma de que se trate. Tal planteamiento no puede ser aceptado porque con él se invierte la lógica del sistema diseñado en la Ley 39/2006, pues se condicionarían unilateralmente las decisiones estatales en relación con la financiación del sistema de atención a la dependencia olvidando que su nivel de cobertura está condicionado por las disponibilidades financieras y la necesidad de equilibrio en el reparto del gasto público, ya que el Estado viene obligado a conjugar un equilibrio entre la cobertura universal de las prestaciones de </w:t>
      </w:r>
      <w:r>
        <w:lastRenderedPageBreak/>
        <w:t>atención a la dependencia, la suficiencia de la atención ofrecida y la propia sostenibilidad financiera del sistema de atención a la dependencia (en un sentido similar, STC 63/1987, de 21 de mayo, FJ 17, en referencia a la acción protectora de la Seguridad Social, entre muchas otras)”.</w:t>
      </w:r>
    </w:p>
    <w:p w:rsidR="00163957" w:rsidRDefault="00163957" w:rsidP="00163957">
      <w:pPr>
        <w:pStyle w:val="TextoNormal"/>
      </w:pPr>
    </w:p>
    <w:p w:rsidR="00163957" w:rsidRDefault="00163957" w:rsidP="00163957">
      <w:pPr>
        <w:pStyle w:val="TextoNormal"/>
      </w:pPr>
      <w:r>
        <w:t>Por tanto, a los efectos del actual proceso constitucional, no puede acogerse el presupuesto de que la disposición adicional cuadragésima de la Ley 2/2012, circunscrita al denominado segundo nivel de protección, constituya una norma que impone a las Comunidades Autónomas la obligación de aportar sus propios recursos para dotar las prestaciones definidas por la Ley 39/2006 y para percibir los fondos correspondientes al nivel mínimo de protección financiado por el Estado. En consecuencia, negado que de la citada disposición recurrida derive el condicionamiento de los propios recursos y competencias de las Comunidades Autónomas al que reiteradamente hacen referencia los Abogados de la Generalitat de Cataluña, necesariamente decae también el principal argumento que ésta aduce para, con carácter común, denunciar que dicha disposición resulta contraria al principio de lealtad constitucional, a la autonomía financiera de la Comunidad Autónoma y a la competencia autonómica sobre servicios sociales.</w:t>
      </w:r>
    </w:p>
    <w:p w:rsidR="00163957" w:rsidRDefault="00163957" w:rsidP="00163957">
      <w:pPr>
        <w:pStyle w:val="TextoNormal"/>
      </w:pPr>
    </w:p>
    <w:p w:rsidR="00163957" w:rsidRDefault="00163957" w:rsidP="00163957">
      <w:pPr>
        <w:pStyle w:val="TextoNormal"/>
      </w:pPr>
      <w:r>
        <w:t xml:space="preserve">Por otra parte, no está de más recordar que el nivel de protección acordado entre la Administración estatal y cada Comunidad Autónoma se concibe en la Ley 39/2006 como contingente o potencial, dependiendo su existencia del mutuo concierto entre ambas partes, sin que exista un previo derecho a la citada cofinanciación estatal del nivel acordado, cofinanciación que queda sujeta a las decisiones adoptadas por el Estado a la hora de asignar prioridades de gasto en su propio presupuesto. Similar conclusión cabe alcanzar respecto al también alegado tenor de la disposición transitoria primera de la Ley 39/2006. Lo cierto es que la inicial aprobación de la norma transitoria impugnada no puede limitar o frenar el posterior ejercicio por las Cortes Generales de su potestad legislativa plena </w:t>
      </w:r>
      <w:r w:rsidRPr="00163957">
        <w:rPr>
          <w:i/>
        </w:rPr>
        <w:t>ex</w:t>
      </w:r>
      <w:r>
        <w:t xml:space="preserve"> art. 66.2 CE, de modo que, en dicho período, no queda impedida la intervención del legislador para incidir en el texto o eficacia de la disposición. Consiguientemente, desde la perspectiva constitucional, no es objetable que, en la Ley de presupuestos generales del Estado para 2012, el legislador estatal acordara la suspensión, durante ese ejercicio, de la citada disposición transitoria primera de la Ley 39/2006, no incorporando créditos a tal fin y descartando así que, para ese año, la Administración estatal pudiera concertar el nivel de protección acordado mediante la firma del correspondiente convenio, que, como se ha dicho, es el presupuesto último para que nazca la obligación de cofinanciación respecto a cada Comunidad Autónoma.</w:t>
      </w:r>
    </w:p>
    <w:p w:rsidR="00163957" w:rsidRDefault="00163957" w:rsidP="00163957">
      <w:pPr>
        <w:pStyle w:val="TextoNormal"/>
      </w:pPr>
    </w:p>
    <w:p w:rsidR="00163957" w:rsidRDefault="00163957" w:rsidP="00163957">
      <w:pPr>
        <w:pStyle w:val="TextoNormal"/>
      </w:pPr>
      <w:r>
        <w:t>Por último, la pretendida vulneración de la autonomía financiera y de la competencia autonómica sobre servicios sociales tampoco puede ser acogida. Al respecto, nuevamente hay que reiterar la conclusión ya expuesta de que la suspensión que deriva de disposición adicional cuadragésima de la Ley 2/2012 no afecta al nivel mínimo de protección ni impone nuevas obligaciones de mantenimiento y financiación de prestaciones y que las aducidas por la parte recurrente encontrarían en su caso origen previo en la Ley 39/2006, que ya contemplaba dicho nivel acordado como eventual o contingente.</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Por lo que se refiere a la segunda de las normas impugnadas relacionadas con la protección de la dependencia, ya antes se ha indicado que el objeto de la disposición final octava de la Ley 2/2012 es dar nueva redacción al calendario de aplicación progresiva de la Ley </w:t>
      </w:r>
      <w:r>
        <w:lastRenderedPageBreak/>
        <w:t>39/2006 regulado en el apartado primero de la disposición final primera de esta Ley: en concreto, el cambio introducido respecto al tenor previo consiste en retrasar un año la efectividad del derecho a prestaciones de aquellos valorados en el grado I de dependencia moderada, nivel 2, que con anterioridad tenían reconocida la fecha de aplicación a partir de 1 de enero de 2013 y que la norma recurrida fijó en “a partir del 1 de enero de 2014”.</w:t>
      </w:r>
    </w:p>
    <w:p w:rsidR="00163957" w:rsidRDefault="00163957" w:rsidP="00163957">
      <w:pPr>
        <w:pStyle w:val="TextoNormal"/>
      </w:pPr>
    </w:p>
    <w:p w:rsidR="00163957" w:rsidRDefault="00163957" w:rsidP="00163957">
      <w:pPr>
        <w:pStyle w:val="TextoNormal"/>
      </w:pPr>
      <w:r>
        <w:t>La única queja que se presenta argumentada en el escrito de interposición del recurso es la relativa a la invasión de la competencia autonómica sobre servicios sociales del art. 166 EAC; de ahí que, en aplicación de la doctrina constitucional sobre la carga de fundamentación que corresponde a los recurrentes, dicha queja será la única a la que quedará limitado nuestro enjuiciamiento respecto a esta disposición (por todas, SSTC 158/2011, de 19 de octubre, FJ 4, y 96/2013, de 23 de abril, FJ 3). A juicio de los Abogados de la Generalitat de Cataluña, la norma impugnada impone una pauta temporal a la actividad de los servicios sociales dependientes de las Comunidades Autónomas, sin dejar a éstas margen de decisión respecto al calendario con el que habrán de gestionar el reconocimiento de las prestaciones. Tal previsión, entienden, no encuentra cobertura en el art. 149.1.1 CE, pues la fijación precisa y detallada de este calendario supone una imposición de determinadas conductas a otros entes públicos que, conforme a la STC 61/1997, FJ 17, queda fuera de la competencia estatal para regular las condiciones básicas.</w:t>
      </w:r>
    </w:p>
    <w:p w:rsidR="00163957" w:rsidRDefault="00163957" w:rsidP="00163957">
      <w:pPr>
        <w:pStyle w:val="TextoNormal"/>
      </w:pPr>
    </w:p>
    <w:p w:rsidR="00163957" w:rsidRDefault="00163957" w:rsidP="00163957">
      <w:pPr>
        <w:pStyle w:val="TextoNormal"/>
      </w:pPr>
      <w:r>
        <w:t xml:space="preserve">Esta tacha ha de ser desestimada. La ya citada STC 18/2016, FJ 8 e.i), al pronunciarse sobre el apartado 1 de la disposición final primera de la Ley 39/2006, en la redacción dada por el art. 22.17 del Real Decreto-ley 20/2012, de 13 de julio, ya ha dicho que “la determinación de un calendario de efectividad del reconocimiento de las situaciones de dependencia y del consiguiente acceso a las prestaciones y servicios del sistema de atención a la dependencia se configura como uno de los elementos básicos, en este caso temporales, que determina el nacimiento y la efectividad de dichas prestaciones, suponiendo un presupuesto necesario y esencial para el ejercicio del derecho que forma parte de las condiciones básicas que al Estado </w:t>
      </w:r>
      <w:r w:rsidRPr="00163957">
        <w:rPr>
          <w:i/>
        </w:rPr>
        <w:t>ex</w:t>
      </w:r>
      <w:r>
        <w:t xml:space="preserve"> art. 149.1.1 CE corresponde garantizar mediante, en este caso, la uniformidad temporal y, con ello, la coordinación en la aplicación de la ley. Además viene a asegurar una ordenación unitaria del sistema, evitando divergencias temporales en su implantación que afecten negativamente a las condiciones de ejercicio del mencionado derecho fundamental en las distintas partes del territorio. Razón por la cual esta previsión participa del objetivo de afianzar ‘las condiciones básicas que garanticen la igualdad de todos los españoles en el ejercicio de sus derechos y deberes constitucionales’ lo que justifica la apelación a lo dispuesto en el art. 149.1.1 CE, que constituye un instrumento fundamental para garantizar la homogeneidad en el ejercicio de los derechos en todo el territorio nacional. (STC 162/2013, de 26 de septiembre, FJ 5, allí por referencia al calendario aplicativo de la legislación educativa). Igualmente, la misma sentencia y fundamento jurídico recuerda que ‘[L]a adopción de este calendario responde a indudables necesidades de dotación financiera requeridas por el sistema de atención a la dependencia y aparece ‘como consecuencia de la prioridad en la atención a las personas dependientes con mayores necesidades de atención, así como de la corrección del déficit público y en virtud de los principios de sostenibilidad, estabilidad y suficiencia, que rigen el Sistema para la Autonomía y Atención a la Dependencia’, según reza el ya mencionado acuerdo del Consejo Territorial del Sistema para la Autonomía y Atención a la Dependencia para la mejora del sistema para la autonomía y atención a la dependencia de 10 de julio de 2012’”.</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7</w:t>
      </w:r>
      <w:r>
        <w:t>. La última de las previsiones recurridas es la contenida en la disposición adicional septuagésima primera de la Ley 2/2012, cuyo tenor es el siguiente:</w:t>
      </w:r>
    </w:p>
    <w:p w:rsidR="00163957" w:rsidRDefault="00163957" w:rsidP="00163957">
      <w:pPr>
        <w:pStyle w:val="TextoNormal"/>
      </w:pPr>
    </w:p>
    <w:p w:rsidR="00163957" w:rsidRDefault="00163957" w:rsidP="00163957">
      <w:pPr>
        <w:pStyle w:val="TextoNormal"/>
      </w:pPr>
      <w:r>
        <w:t>“Jornada general del trabajo en el Sector Público.</w:t>
      </w:r>
    </w:p>
    <w:p w:rsidR="00163957" w:rsidRDefault="00163957" w:rsidP="00163957">
      <w:pPr>
        <w:pStyle w:val="TextoNormal"/>
      </w:pPr>
    </w:p>
    <w:p w:rsidR="00163957" w:rsidRDefault="00163957" w:rsidP="00163957">
      <w:pPr>
        <w:pStyle w:val="TextoNormal"/>
      </w:pPr>
      <w:r>
        <w:t>Uno. A partir de la entrada en vigor de esta Ley, la jornada general de trabajo del personal del Sector Público no podrá ser inferior a treinta y siete horas y media semanales de trabajo efectivo de promedio en cómputo anual.</w:t>
      </w:r>
    </w:p>
    <w:p w:rsidR="00163957" w:rsidRDefault="00163957" w:rsidP="00163957">
      <w:pPr>
        <w:pStyle w:val="TextoNormal"/>
      </w:pPr>
    </w:p>
    <w:p w:rsidR="00163957" w:rsidRDefault="00163957" w:rsidP="00163957">
      <w:pPr>
        <w:pStyle w:val="TextoNormal"/>
      </w:pPr>
      <w:r>
        <w:t>A estos efectos conforman el Sector Público:</w:t>
      </w:r>
    </w:p>
    <w:p w:rsidR="00163957" w:rsidRDefault="00163957" w:rsidP="00163957">
      <w:pPr>
        <w:pStyle w:val="TextoNormal"/>
      </w:pPr>
    </w:p>
    <w:p w:rsidR="00163957" w:rsidRDefault="00163957" w:rsidP="00163957">
      <w:pPr>
        <w:pStyle w:val="TextoNormal"/>
      </w:pPr>
      <w:r>
        <w:t>a) La Administración General del Estado, las Administraciones de las Comunidades Autónomas y las Entidades que integran la Administración Local.</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Asimismo, las jornadas especiales existentes o que se puedan establecer, experimentarán los cambios que fueran necesarios en su caso para adecuarse a la modificación general en la jornada ordinaria.</w:t>
      </w:r>
    </w:p>
    <w:p w:rsidR="00163957" w:rsidRDefault="00163957" w:rsidP="00163957">
      <w:pPr>
        <w:pStyle w:val="TextoNormal"/>
      </w:pPr>
    </w:p>
    <w:p w:rsidR="00163957" w:rsidRDefault="00163957" w:rsidP="00163957">
      <w:pPr>
        <w:pStyle w:val="TextoNormal"/>
      </w:pPr>
      <w:r>
        <w:t>En todo caso, las modificaciones de jornada que se lleven a efecto como consecuencia del establecimiento de esta medida, no supondrán incremento retributivo alguno.</w:t>
      </w:r>
    </w:p>
    <w:p w:rsidR="00163957" w:rsidRDefault="00163957" w:rsidP="00163957">
      <w:pPr>
        <w:pStyle w:val="TextoNormal"/>
      </w:pPr>
    </w:p>
    <w:p w:rsidR="00163957" w:rsidRDefault="00163957" w:rsidP="00163957">
      <w:pPr>
        <w:pStyle w:val="TextoNormal"/>
      </w:pPr>
      <w:r>
        <w:t>Dos. Con esta misma fecha, queda suspendida la eficacia de las previsiones en materia de jornada y horario contenidas en los Acuerdos, Pactos y Convenios vigentes en los entes, organismos y entidades del Sector Público indicados en el apartado anterior, que contradigan lo previsto en este artículo.</w:t>
      </w:r>
    </w:p>
    <w:p w:rsidR="00163957" w:rsidRDefault="00163957" w:rsidP="00163957">
      <w:pPr>
        <w:pStyle w:val="TextoNormal"/>
      </w:pPr>
    </w:p>
    <w:p w:rsidR="00163957" w:rsidRDefault="00163957" w:rsidP="00163957">
      <w:pPr>
        <w:pStyle w:val="TextoNormal"/>
      </w:pPr>
      <w:r>
        <w:t>Tres. Esta disposición tiene carácter básico y se dicta al amparo de los artículos 149.1.7, 149.1.13 y 149.1.18 de la Constitución española.”</w:t>
      </w:r>
    </w:p>
    <w:p w:rsidR="00163957" w:rsidRDefault="00163957" w:rsidP="00163957">
      <w:pPr>
        <w:pStyle w:val="TextoNormal"/>
      </w:pPr>
    </w:p>
    <w:p w:rsidR="00163957" w:rsidRDefault="00163957" w:rsidP="00163957">
      <w:pPr>
        <w:pStyle w:val="TextoNormal"/>
      </w:pPr>
      <w:r>
        <w:t>El escrito del recurso articula la impugnación de esta disposición en torno a dos reproches. Por un lado, afirma que la norma no respeta el orden constitucional de distribución de competencias. Por otro, considera que vulnera el art. 134.2 CE por entender que su regulación no puede formar parte del contenido de una ley de presupuestos.</w:t>
      </w:r>
    </w:p>
    <w:p w:rsidR="00163957" w:rsidRDefault="00163957" w:rsidP="00163957">
      <w:pPr>
        <w:pStyle w:val="TextoNormal"/>
      </w:pPr>
    </w:p>
    <w:p w:rsidR="00163957" w:rsidRDefault="00163957" w:rsidP="00163957">
      <w:pPr>
        <w:pStyle w:val="TextoNormal"/>
      </w:pPr>
      <w:r>
        <w:t xml:space="preserve">Se analiza en primer lugar la queja competencial. La demanda considera que la indicada disposición adicional septuagésima primera de la Ley 2/2012 no encuentra cobertura en el art. 149.1.13 CE, porque su contenido no es económico ni tiene un efecto directo en el ahorro del gasto público. Asimismo, entiende que la previsión cuestionada se superpone a lo dispuesto en el estatuto básico del empleado público y excede el concepto de bases del régimen jurídico de las Administraciones públicas y del régimen estatutario de sus funcionarios a que se refiere el art. 149.1.18 CE, por lo que considera vulnerada la competencia de ordenación y organización de la función pública reconocida a la Generalitat de Cataluña en el art. 136 a) y b) EAC, al tiempo que, al hilo de esta denuncia, plantea la posibilidad de que, atendida la diversidad de Administraciones y de tareas de los empleados públicos, la implantación de la medida de forma general pudiera ser contraria al principio de eficacia previsto en el art. 103 CE. De modo similar, tampoco admite que la disposición impugnada </w:t>
      </w:r>
      <w:r>
        <w:lastRenderedPageBreak/>
        <w:t>encuentre amparo en el art. 149.1.7 CE, por considerar que la fijación de la duración de la jornada de trabajo del personal laboral del sector público no es objeto propio de la legislación laboral, razón por la que nuevamente denuncia la invasión de su competencia reconocida en el art. 136 EAC.</w:t>
      </w:r>
    </w:p>
    <w:p w:rsidR="00163957" w:rsidRDefault="00163957" w:rsidP="00163957">
      <w:pPr>
        <w:pStyle w:val="TextoNormal"/>
      </w:pPr>
    </w:p>
    <w:p w:rsidR="00163957" w:rsidRDefault="00163957" w:rsidP="00163957">
      <w:pPr>
        <w:pStyle w:val="TextoNormal"/>
      </w:pPr>
      <w:r>
        <w:t>En primer lugar, se debe encuadrar la cuestión controvertida a efectos de determinar las competencias estatales en la materia. El apartado 3 de la norma impugnada proclama su carácter básico en cuanto que afirma que se ha dictado “al amparo de los artículos 149.1.7, 149.1.13 y 149.1.18 de la Constitución española”. Además de la incorrección que supone la calificación de la competencia estatal en materia de legislación laboral como básica (por todos, ATC 55/2016, de 1 de marzo, FJ 3), ese encuadramiento competencial es susceptible de ser revisado por este Tribunal (STC 18/2016, FJ 10), porque e no se encuentra vinculado por “las incardinaciones competenciales contenidas en las normas sometidas a su enjuiciamiento” (STC 144/1985, de 25 de abril, FJ 1).</w:t>
      </w:r>
    </w:p>
    <w:p w:rsidR="00163957" w:rsidRDefault="00163957" w:rsidP="00163957">
      <w:pPr>
        <w:pStyle w:val="TextoNormal"/>
      </w:pPr>
    </w:p>
    <w:p w:rsidR="00163957" w:rsidRDefault="00163957" w:rsidP="00163957">
      <w:pPr>
        <w:pStyle w:val="TextoNormal"/>
      </w:pPr>
      <w:r>
        <w:t>Para encuadrar la competencia hemos de atenernos al concreto contenido material de la norma, de modo que, como en anteriores pronunciamientos (por todos, STC 41/2016, de 3 de marzo, FJ 4), se evite la utilización de argumentaciones de tipo finalista o instrumental en relación con la dimensión económica de las normas enjuiciadas. Por ello, aunque la disposición adicional impugnada sea una medida efectivamente dirigida a contener el gasto público en materia de personal, debemos analizar el contenido de la misma para determinar el título competencial al que se adscribe esta medida. En este sentido, tal disposición no solo establece una jornada mínima de trabajo del personal del sector público —fijada en treinta y siete horas y media semanales de trabajo efectivo de promedio en cómputo anual—, sino que adicionalmente se añade que las modificaciones de jornada que conlleve la adaptación a esa nueva medida —es decir, las ampliaciones— “no supondrán incremento retributivo alguno”. Con ello puede concluirse que la norma impugnada tiene un contenido mixto, pues no sólo —aunque sí principalmente— establece una regulación sustantiva de las condiciones de trabajo de los empleados del sector público, sino que también recoge una previsión retributiva expresa para aquellos supuestos en los que el trabajador/funcionario aumente su jornada a treinta y siete horas y media.</w:t>
      </w:r>
    </w:p>
    <w:p w:rsidR="00163957" w:rsidRDefault="00163957" w:rsidP="00163957">
      <w:pPr>
        <w:pStyle w:val="TextoNormal"/>
      </w:pPr>
    </w:p>
    <w:p w:rsidR="00163957" w:rsidRDefault="00163957" w:rsidP="00163957">
      <w:pPr>
        <w:pStyle w:val="TextoNormal"/>
      </w:pPr>
      <w:r>
        <w:t>Dado su contenido, este Tribunal debe atenerse a la doctrina de la STC 156/2015, de 9 de julio, FJ 8, que consideró que la modificación del régimen de permisos y vacaciones de los funcionarios públicos introducida por el Real Decreto-ley 20/2012, de 13 de julio, encontraba amparo en el art. 149.1.18 CE, por cuanto se trataba de una regulación que afectaba a derechos de los funcionarios públicos adoptada con un carácter estructural y permanente y que, por tanto, no iba dirigida a dar solución a una problemática transitoria.</w:t>
      </w:r>
    </w:p>
    <w:p w:rsidR="00163957" w:rsidRDefault="00163957" w:rsidP="00163957">
      <w:pPr>
        <w:pStyle w:val="TextoNormal"/>
      </w:pPr>
    </w:p>
    <w:p w:rsidR="00163957" w:rsidRDefault="00163957" w:rsidP="00163957">
      <w:pPr>
        <w:pStyle w:val="TextoNormal"/>
      </w:pPr>
      <w:r>
        <w:t xml:space="preserve">Los anteriores criterios son plenamente aplicables al presente supuesto. Siendo una regulación que tiene por objeto fijar la jornada de trabajo, guarda directa relación con los derechos del personal al servicio del sector público (arts. 47 y 51 del Real Decreto Legislativo 5/2015, de 30 de octubre, por el que se aprueba el texto refundido de la Ley del estatuto básico del empleado público), así como con sus deberes (art. 54.2). Así pues, de modo similar al caso de la STC 156/2015, esta regulación encuentra fundamento en la competencia estatal reconocida en los arts. 149.1.18 y 149.1.7 CE, en relación, respectivamente, con los funcionarios y el personal laboral al servicio del sector público. Estos son los títulos que resultan aplicables por ser más específicos que el que, con carácter más genérico, recoge el </w:t>
      </w:r>
      <w:r>
        <w:lastRenderedPageBreak/>
        <w:t>art. 149.1.13 CE (STC 84/2016, de 28 de abril, FJ 5, con cita de otras, allí en relación al ámbito material de la educación). En relación con ello, la norma que examinamos viene a modular el marco derivado de los arts. 47 y 51 de la Ley 7/2007, de 12 de abril, del estatuto básico del empleado público (reproducidos ahora en el Real Decreto Legislativo 5/2015, de 30 de octubre), de tal forma que la libertad que esos preceptos otorgan a las Administraciones públicas para establecer la jornada de trabajo de su personal se ejerce ahora en el contorno predeterminado por la norma impugnada, al fijar ésta una jornada mínima.</w:t>
      </w:r>
    </w:p>
    <w:p w:rsidR="00163957" w:rsidRDefault="00163957" w:rsidP="00163957">
      <w:pPr>
        <w:pStyle w:val="TextoNormal"/>
      </w:pPr>
    </w:p>
    <w:p w:rsidR="00163957" w:rsidRDefault="00163957" w:rsidP="00163957">
      <w:pPr>
        <w:pStyle w:val="TextoNormal"/>
      </w:pPr>
      <w:r>
        <w:t>Recordemos que, de acuerdo con el art. 149.1.18 CE y la doctrina constitucional que lo ha interpretado, el Estado tiene competencia para establecer las bases del régimen estatutario de los funcionarios públicos, expresión que ha de entenderse referida a los de todas las Administraciones públicas, incluyendo materialmente en su ámbito, en principio, la normación relativa “a los derechos y deberes y responsabilidad de los funcionarios” (por todas, STC 165/2013, de 26 de septiembre, FJ 13). No cabe duda de que la fijación de la duración mínima de la jornada de trabajo constituye una previsión integrada en la esfera “de los derechos y deberes” de los funcionarios (STC 163/2012, de 20 de septiembre, FFJJ 6 y 9), quedando justificada su determinación por el Estado como normativa básica en tanto estamos ante una medida que garantiza una mínima homogeneidad en un aspecto central del régimen estatutario funcionarial como es el tiempo de trabajo o dedicación exigible a todo funcionario, sin que además el legislador haya establecido límite en cuanto a su período de aplicación (STC 156/2015, de 9 de julio, FJ 8). No olvidemos también que “[e]ste Tribunal ya ha tenido ocasión de declarar ‘como principio básico la utilización racional del funcionariado existente’, así como ‘básicas aquellas normas que sean necesarias para garantizar la efectividad de dicho principio’ (STC 76/1983, de 5 de agosto, FJ 42)” (STC 8/2010, de 27 de abril, FJ 4). Asimismo, el hecho de que la previsión examinada no se hubiera contemplado en el estatuto básico del empleado público no constituye obstáculo para que, en virtud de la competencia normativa indicada, el legislador estatal proceda a su posterior incorporación en la disposición ahora cuestionada, debiendo recordar que, según este Tribunal ha señalado, “siendo mudables las bases (STC 1/2003, de 16 de enero), también lo es, en correspondencia inevitable, el ámbito disponible por la legislación de desarrollo” (STC 31/2010, de 28 de junio, FJ 60), habiendo afirmado que “la determinación de lo que deba reputarse como básico para delimitar el ámbito correspondiente del título competencial del Estado aplicable a una materia no puede hacerse en términos de relación” (STC 156/2015, de 9 de julio, FJ 8).</w:t>
      </w:r>
    </w:p>
    <w:p w:rsidR="00163957" w:rsidRDefault="00163957" w:rsidP="00163957">
      <w:pPr>
        <w:pStyle w:val="TextoNormal"/>
      </w:pPr>
    </w:p>
    <w:p w:rsidR="00163957" w:rsidRDefault="00163957" w:rsidP="00163957">
      <w:pPr>
        <w:pStyle w:val="TextoNormal"/>
      </w:pPr>
      <w:r>
        <w:t>Por su parte, en cuanto al personal laboral del sector público, ha de tenerse en cuenta que el art. 149.1.7 CE atribuye al Estado la competencia exclusiva sobre legislación laboral. El Tribunal tiene establecido que el título competencial “legislación laboral” tiene “un sentido concreto y restringido, coincidente por lo demás con el uso habitual, como referido solo al trabajo por cuenta ajena, entendiendo por consiguiente como legislación laboral aquélla que regula directamente la relación laboral, es decir, para recoger los términos de la Ley 8/1980, de 10 de marzo, la relación que media entre los trabajadores que presten servicios retribuidos por cuenta ajena y los empresarios” (SSTC 35/1982, de 14 de junio, FJ 2; y 95/2002, de 25 de abril, FJ 8, entre otras muchas, y, en el mismo sentido, ATC 228/2015, de 15 de diciembre, FJ 4). En esta materia se incluye la regulación de un elemento esencial del contrato de trabajo como es el tiempo de prestación de servicios (STC 228/2012, de 29 de noviembre, FJ 3, con cita de la STC 7/1985, de 25 de enero, FJ 2).</w:t>
      </w:r>
    </w:p>
    <w:p w:rsidR="00163957" w:rsidRDefault="00163957" w:rsidP="00163957">
      <w:pPr>
        <w:pStyle w:val="TextoNormal"/>
      </w:pPr>
    </w:p>
    <w:p w:rsidR="00163957" w:rsidRDefault="00163957" w:rsidP="00163957">
      <w:pPr>
        <w:pStyle w:val="TextoNormal"/>
      </w:pPr>
      <w:r>
        <w:lastRenderedPageBreak/>
        <w:t xml:space="preserve">El precepto regula así con carácter general un aspecto de la relación laboral, específicamente en relación a los trabajadores del sector público, y lo hace mediante la fijación de una jornada mínima, lo que conlleva, por su propia naturaleza, una prohibición de que la jornada laboral en el sector público pueda ser inferior a treinta y siete horas y media semanales de trabajo efectivo de promedio en cómputo anual. Regulación que, por otra parte, no impide que, respetando esa prohibición, las Comunidades Autónomas, en el marco de sus competencias para la organización de su propio personal laboral, puedan adoptar las decisiones que estimen oportunas sobre las condiciones de trabajo de ese personal, sin perjuicio de las competencias estatales </w:t>
      </w:r>
      <w:r w:rsidRPr="00163957">
        <w:rPr>
          <w:i/>
        </w:rPr>
        <w:t>ex</w:t>
      </w:r>
      <w:r>
        <w:t xml:space="preserve"> art. 149.1 CE (en un sentido similar, ATC 55/2016, FJ 5).</w:t>
      </w:r>
    </w:p>
    <w:p w:rsidR="00163957" w:rsidRDefault="00163957" w:rsidP="00163957">
      <w:pPr>
        <w:pStyle w:val="TextoNormal"/>
      </w:pPr>
    </w:p>
    <w:p w:rsidR="00163957" w:rsidRDefault="00163957" w:rsidP="00163957">
      <w:pPr>
        <w:pStyle w:val="TextoNormal"/>
      </w:pPr>
      <w:r>
        <w:t xml:space="preserve">Las anteriores consideraciones llevan a concluir que la disposición impugnada ha sido dictada por el Estado al amparo de competencias normativas que le son propias, sin que se aprecie la denunciada vulneración de la competencia sobre ordenación y organización de la función pública reconocida a la Generalitat de Cataluña. El propio art. 136 EAC establece que la competencia autonómica sobre los derechos y deberes del personal al servicio de las Administraciones públicas es “compartida”, debiendo por tanto acomodarse a las referidas competencias que en esta materia atribuye la Constitución al Estado (STC 31/2010, FFJJ 60 y 82). Además, el carácter mínimo de la jornada prevista en la norma cuestionada deja todavía margen de maniobra a las Comunidades Autónomas para el ejercicio de su competencia en este ámbito, pues el precepto estatal no cierra ni la posibilidad de ampliar la duración fijada dentro de los topes permitidos, ni tampoco la determinación de los criterios de organización y distribución del tiempo de trabajo que finalmente se establezca (así, en la STC 156/2015, FJ 8, en relación a la duración de permisos o licencias de los funcionarios públicos). Por lo demás, ese margen de maniobra que deja abierto la previsión impugnada facilita la pertinente adaptación a la diversidad de tareas y actuaciones administrativas, lo que contribuye a apreciar que, pese a lo también apuntado por los recurrentes, el principio de eficacia </w:t>
      </w:r>
      <w:r w:rsidRPr="00163957">
        <w:rPr>
          <w:i/>
        </w:rPr>
        <w:t>ex</w:t>
      </w:r>
      <w:r>
        <w:t xml:space="preserve"> art. 103.1 CE no queda contrariado por una norma, como la cuestionada, que se limita a establecer una jornada mínima de trabajo en el empleo público en términos meramente cuantitativos, sin acarrear incremento retributivo alguno y potenciando el ahorro en el gasto público.</w:t>
      </w:r>
    </w:p>
    <w:p w:rsidR="00163957" w:rsidRDefault="00163957" w:rsidP="00163957">
      <w:pPr>
        <w:pStyle w:val="TextoNormal"/>
      </w:pPr>
    </w:p>
    <w:p w:rsidR="00163957" w:rsidRDefault="00163957" w:rsidP="00163957">
      <w:pPr>
        <w:pStyle w:val="TextoNormal"/>
      </w:pPr>
      <w:r>
        <w:t>En consecuencia, debemos desestimar este primer motivo de impugnación de la disposición adicional septuagésima primera de la Ley 2/2012.</w:t>
      </w:r>
    </w:p>
    <w:p w:rsidR="00163957" w:rsidRDefault="00163957" w:rsidP="00163957">
      <w:pPr>
        <w:pStyle w:val="TextoNormal"/>
      </w:pPr>
    </w:p>
    <w:p w:rsidR="00163957" w:rsidRDefault="00163957" w:rsidP="00163957">
      <w:pPr>
        <w:pStyle w:val="TextoNormal"/>
      </w:pPr>
      <w:r w:rsidRPr="00163957">
        <w:rPr>
          <w:rStyle w:val="NumeroAFNegritaCaracter"/>
        </w:rPr>
        <w:t>8</w:t>
      </w:r>
      <w:r>
        <w:t>. El segundo motivo de impugnación es la infracción del art. 134.2 CE. La demanda considera que la disposición adicional septuagésima primera de la Ley 2/2012 no responde ni al contenido esencial ni al contenido eventual que es propio de una ley de presupuestos, y además señalan que, aun cuando se admitiera la conclusión contraria, estamos ante una previsión que contradice la regulación del art. 47 del estatuto básico del empleado público, por lo que se estaría vulnerando la doctrina constitucional que ha establecido que lo que una ley de presupuestos no puede hacer es, sin modificar previamente la norma legal que regula el régimen sustantivo de una materia, proceder a efectuar una aplicación distinta de la allí prevista (SSTC 238/2007 y 248/2007).</w:t>
      </w:r>
    </w:p>
    <w:p w:rsidR="00163957" w:rsidRDefault="00163957" w:rsidP="00163957">
      <w:pPr>
        <w:pStyle w:val="TextoNormal"/>
      </w:pPr>
    </w:p>
    <w:p w:rsidR="00163957" w:rsidRDefault="00163957" w:rsidP="00163957">
      <w:pPr>
        <w:pStyle w:val="TextoNormal"/>
      </w:pPr>
      <w:r>
        <w:t>Aunque en virtud del principio de seguridad jurídica, este Tribunal ha advertido que “lo que no puede hacer la Ley de presupuestos es, sin modificar previamente la norma legal que regula el régimen sustantivo de una determinada parcela del ordenamiento jurídico, desco</w:t>
      </w:r>
      <w:r>
        <w:lastRenderedPageBreak/>
        <w:t>nocerlo, procediendo a efectuar una aplicación distinta a la prevista en la norma cuya aplicación pretende” (SSTC 238/2007, FJ 4, y 248/2007, de 13 de diciembre, FJ 4). Eso no es, sin embargo, lo que acontece en el caso ahora enjuiciado. Como ya hemos señalado, la cuestionada disposición adicional septuagésima primera de la Ley 2/2012 incorpora una nueva previsión legal sobre el régimen sustantivo de la jornada de los empleados públicos, que complementa lo establecido en el estatuto básico del empleado público —fundamentalmente en sus arts. 47 y 51— y que habrá de tenerse en cuenta por las Administraciones públicas al determinar la jornada de sus funcionarios públicos y su personal laboral. No estamos, por tanto, ante una situación en que, sin mediar modificación explícita del régimen sustantivo, se proceda en la Ley de presupuestos a hacer una aplicación que lo desconozca tácitamente, plasmando créditos presupuestarios que no se correspondan ni se expliquen por lo dispuesto en aquel (STC 76/2014, FJ 4). En consecuencia, no existiendo tacha de inseguridad jurídica en la disposición impugnada, la clave para determinar su adecuación al art. 134.2 CE reside en constatar si, conforme exige nuestra doctrina, la novedad normativa que de forma expresa y directa ha introducido respeta las exigencias requeridas para integrar el contenido de la Ley de presupuestos y, más concretamente, su contenido eventual.</w:t>
      </w:r>
    </w:p>
    <w:p w:rsidR="00163957" w:rsidRDefault="00163957" w:rsidP="00163957">
      <w:pPr>
        <w:pStyle w:val="TextoNormal"/>
      </w:pPr>
    </w:p>
    <w:p w:rsidR="00163957" w:rsidRDefault="00163957" w:rsidP="00163957">
      <w:pPr>
        <w:pStyle w:val="TextoNormal"/>
      </w:pPr>
      <w:r>
        <w:t>El contenido eventual o disponible se concreta en aquellas otras disposiciones que, aun no constituyendo una previsión de ingresos o habilitación de gastos, sí guardan una relación directa con los ingresos o gastos del Estado, responden a los criterios de política económica del Gobierno o, en fin, se dirigen a una mayor inteligencia o mejor ejecución del presupuesto [STC 44/2015, de 5 de marzo, FJ 3 b) y las allí citadas]. En consecuencia, “para que una disposición pueda integrarse en el contenido eventual de la Ley de presupuestos salvando su legitimidad constitucional es necesario que guarde una conexión económica —relación directa con los ingresos o gastos del Estado o vehículo director de la política económica del Gobierno— o presupuestaria —para una mayor inteligencia o mejor ejecución del presupuesto— [SSTC 274/2000, de 15 de noviembre, FJ 4; 109/2001, de 26 de abril, FJ 5; 238/2007, de 21 de noviembre, FJ 4; 248/2007, de 13 de diciembre, FJ 4; 74/2011, de 19 de mayo, FJ 3; 9/2013, de 28 de enero, FJ 3 b), y 217/2013, de 19 de diciembre, FJ 5 a)]” [STC 44/2015, de 5 de marzo, FJ 3 b)].</w:t>
      </w:r>
    </w:p>
    <w:p w:rsidR="00163957" w:rsidRDefault="00163957" w:rsidP="00163957">
      <w:pPr>
        <w:pStyle w:val="TextoNormal"/>
      </w:pPr>
    </w:p>
    <w:p w:rsidR="00163957" w:rsidRDefault="00163957" w:rsidP="00163957">
      <w:pPr>
        <w:pStyle w:val="TextoNormal"/>
      </w:pPr>
      <w:r>
        <w:t>Pues bien, como ya hemos señalado, la jornada mínima de trabajo que el legislador introduce para el personal del sector público va acompañada en la norma cuestionada por la previsión expresa de que las modificaciones de jornada que se lleven a cabo para adaptarse a esta medida “no supondrán incremento retributivo alguno”, encontrándonos ante una previsión que, en su conjunto tiene la evidente finalidad de contribuir a la contención del gasto público. No existe duda, por tanto, de que la disposición impugnada tiene una conexión directa con los gastos del Estado y con los criterios de política económica, pues, al tiempo que prohíbe establecer incrementos retributivos en el supuesto regulado, potencia el ahorro económico en la cobertura de las necesidades de personal en el sector público. De este modo la regulación cuestionada es bien distinta a la enjuiciada en otros pronunciamientos a los que se hace referencia en el escrito de recurso (SSTC 174/1998, 203/1998 y 234/1999), por lo que la conclusión a alcanzar ha de ser diferente, debiendo ahora declarar la idoneidad de la Ley de presupuestos generales del Estado para introducir la medida que aquí se controvierte (SSTC 63/1986, de 21 de mayo, FJ 12; y 96/1990, de 24 de mayo, FJ 4 —respecto a la fijación de límites máximos al aumento de retribuciones del personal del sector público—). Consiguientemente, hemos de desestimar la queja de que la disposición adicional septuagésima primera de la Ley 2/2012 vulnera el art. 134.2 CE.</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presente recurso de inconstitucionalidad.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veinticinco de mayo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Fernando Valdés Dal-Ré a la Sentencia dictada en el recurso de inconstitucionalidad núm. 1743-2013, al que se adhieren la Magistrada doña Adela Asua Batarrita y el Magistrado don Juan Antonio Xiol Ríos.</w:t>
      </w:r>
    </w:p>
    <w:p w:rsidR="00163957" w:rsidRDefault="00163957" w:rsidP="00163957">
      <w:pPr>
        <w:pStyle w:val="TextoNormalNegritaCentrado"/>
        <w:keepNext/>
      </w:pPr>
    </w:p>
    <w:p w:rsidR="00163957" w:rsidRDefault="00163957" w:rsidP="00163957">
      <w:pPr>
        <w:pStyle w:val="TextoNormal"/>
      </w:pPr>
      <w:r>
        <w:t>En ejercicio de la facultad que me confiere el art. 90.2 de la Ley Orgánica del Tribunal Constitucional, y con pleno respeto a la opinión de la mayoría del Tribunal, manifiesto mi discrepancia con los fundamentos jurídicos 7 y 8 y el fallo de esta Sentencia, que a mi juicio debió estimar la impugnación de la disposición adicional septuagésima primera de la Ley 2/2012, de 29 de junio, de presupuestos generales del Estado para el año 2012. Resumo a continuación los argumentos que expuse en el Pleno en defensa de esta posición.</w:t>
      </w:r>
    </w:p>
    <w:p w:rsidR="00163957" w:rsidRDefault="00163957" w:rsidP="00163957">
      <w:pPr>
        <w:pStyle w:val="TextoNormal"/>
      </w:pPr>
    </w:p>
    <w:p w:rsidR="00163957" w:rsidRDefault="00163957" w:rsidP="00163957">
      <w:pPr>
        <w:pStyle w:val="TextoNormal"/>
      </w:pPr>
      <w:r>
        <w:t>1. Una disposición que fija la duración mínima de la jornada de trabajo para el conjunto del sector público no puede ser considerada, en su perspectiva material, como norma que regula las bases del régimen estatutario de los funcionarios públicos (art. 149.1.18 CE). Para alcanzar la conclusión contraria, la decisión de la mayoría invoca la doctrina previa, afirmando que esta normativa básica queda justificada por tratarse de una medida que forma parte de la esfera de los derechos y deberes de los funcionarios y garantiza una mínima homogeneidad en un aspecto central del régimen estatutario funcionarial, como es el tiempo de trabajo o la dedicación exigible a todo funcionario.</w:t>
      </w:r>
    </w:p>
    <w:p w:rsidR="00163957" w:rsidRDefault="00163957" w:rsidP="00163957">
      <w:pPr>
        <w:pStyle w:val="TextoNormal"/>
      </w:pPr>
    </w:p>
    <w:p w:rsidR="00163957" w:rsidRDefault="00163957" w:rsidP="00163957">
      <w:pPr>
        <w:pStyle w:val="TextoNormal"/>
      </w:pPr>
      <w:r>
        <w:t xml:space="preserve">El alcance de las competencias estatales y autonómicas en la regulación de las condiciones de trabajo de los empleados públicos ya ha sido objeto de previas discrepancias (así, por ejemplo, en los Votos particulares a las SSTC 156/2015, sobre el régimen de permisos y vacaciones de los funcionarios, o 26/2016, sobre el período lectivo de la jornada del personal docente de los centros públicos, a los que ahora me remito). En cuanto a la STC 163/2012, también citada en la Sentencia, su doctrina no es trasladable a este supuesto, pues se refería a la jornada de trabajo de los funcionarios de los cuerpos nacionales al servicio de la Administración de Justicia, cuyo estatuto jurídico no puede ser puesto en cuestión o alterada su homogeneidad por el ejercicio de las competencias autonómicas, reglamentarias o de mera ejecución, derivadas de las cláusulas subrogatorias en ese ámbito material. Bien distinto es el supuesto que nos ocupa, pues no nos encontramos ante una materia en la que las Comunidades Autónomas tengan simples competencias de ejecución, sino ante otra muy distinta </w:t>
      </w:r>
      <w:r>
        <w:lastRenderedPageBreak/>
        <w:t>en la que ostentan competencias exclusivas sobre su función pública, inherentes a su potestad de autoorganización y de establecimiento de su propio sistema institucional.</w:t>
      </w:r>
    </w:p>
    <w:p w:rsidR="00163957" w:rsidRDefault="00163957" w:rsidP="00163957">
      <w:pPr>
        <w:pStyle w:val="TextoNormal"/>
      </w:pPr>
    </w:p>
    <w:p w:rsidR="00163957" w:rsidRDefault="00163957" w:rsidP="00163957">
      <w:pPr>
        <w:pStyle w:val="TextoNormal"/>
      </w:pPr>
      <w:r>
        <w:t>Según consolidada doctrina de este Tribunal, “una norma merece el calificativo de básica cuando garantiza en todo el Estado un común denominador normativo dirigido a asegurar, de manera unitaria y en condiciones de igualdad, los intereses generales; regulación normativa uniforme que, no obstante, debe permitir que cada Comunidad Autónoma introduzca, en persecución de sus propios intereses, las peculiaridades que estime pertinentes dentro del marco competencial que en la materia dibuje el bloque de la constitucionalidad (entre otras muchas, SSTC 1/1982, FJ 1; y STC 103/1997, de 22 de mayo, FJ 2)”. Me parece evidente que la norma (formalmente básica) que aquí se discute no deja margen a las Comunidades Autónomas para introducir tales peculiaridades, en ejercicio de sus legítimas competencias, en consideración a su sistema institucional y a la potestad de autoorganización proyectada en la configuración de los servicios públicos que gestionan. Todo lo contrario; propiciado por un omnipresente afán de uniformidad (que no homogeneidad), la imposición de la jornada mínima prescinde de las peculiaridades de cada Comunidad Autónoma, que inciden indudablemente en su organización, pudiendo producir, al tiempo, una alteración en sus relaciones de puestos de trabajo y en su política de retribuciones, tan estrechamente ligada a la jornada de trabajo.</w:t>
      </w:r>
    </w:p>
    <w:p w:rsidR="00163957" w:rsidRDefault="00163957" w:rsidP="00163957">
      <w:pPr>
        <w:pStyle w:val="TextoNormal"/>
      </w:pPr>
    </w:p>
    <w:p w:rsidR="00163957" w:rsidRDefault="00163957" w:rsidP="00163957">
      <w:pPr>
        <w:pStyle w:val="TextoNormal"/>
      </w:pPr>
      <w:r>
        <w:t>Ya en la STC 54/1982, de 26 de julio, FJ 5, este Tribunal Constitucional negó la consideración de básica a la jornada establecida a efectos retributivos por el art. 5.2 de la Ley de retribuciones de 4 de mayo de 1965 (cuarenta y dos horas semanales), considerando que no parecía irrazonable que la Generalidad dispusiera de un cierto margen para determinar la jornada laboral a tales efectos. Una posibilidad que ahora se niega a las Comunidades Autónomas, en una nueva manifestación de una concepción desmesuradamente expansiva de los títulos competenciales que asisten al Estado, y que en modo alguno puedo compartir.</w:t>
      </w:r>
    </w:p>
    <w:p w:rsidR="00163957" w:rsidRDefault="00163957" w:rsidP="00163957">
      <w:pPr>
        <w:pStyle w:val="TextoNormal"/>
      </w:pPr>
    </w:p>
    <w:p w:rsidR="00163957" w:rsidRDefault="00163957" w:rsidP="00163957">
      <w:pPr>
        <w:pStyle w:val="TextoNormal"/>
      </w:pPr>
      <w:r>
        <w:t>Por más que se pueda coincidir en que la regulación de la jornada de trabajo de los empleados públicos concierne al régimen de “derechos y deberes” propio del estatuto de los funcionarios públicos, no se puede identificar sin más ese ámbito material con las “bases del régimen estatutario” o, lo que viene a ser lo mismo, apelando de forma rutinaria a la retórica de la “mínima homogeneidad”. Por ese camino, emprendido ya en anteriores sentencias, se asimila la materia (régimen estatutario de los funcionarios públicos) a la competencia (en el caso del Estado, ceñida a las bases). De este modo, el carácter compartido de la competencia legislativa, basilar en nuestro Estado compuesto y plasmada en el binomio bases/desarrollo, va perdiendo progresivamente todo significado.</w:t>
      </w:r>
    </w:p>
    <w:p w:rsidR="00163957" w:rsidRDefault="00163957" w:rsidP="00163957">
      <w:pPr>
        <w:pStyle w:val="TextoNormal"/>
      </w:pPr>
    </w:p>
    <w:p w:rsidR="00163957" w:rsidRDefault="00163957" w:rsidP="00163957">
      <w:pPr>
        <w:pStyle w:val="TextoNormal"/>
      </w:pPr>
      <w:r>
        <w:t xml:space="preserve">2. Cualquiera que sea la posición que se mantenga </w:t>
      </w:r>
      <w:r>
        <w:tab/>
        <w:t>sobre los contornos materiales de la competencia atribuida al Estado por el art. 149.1.18 CE para dictar las bases del régimen estatutario de los funcionarios públicos, debió estimarse, en todo caso, el segundo motivo de impugnación, fundamentado en la infracción del art. 134.2 CE.</w:t>
      </w:r>
    </w:p>
    <w:p w:rsidR="00163957" w:rsidRDefault="00163957" w:rsidP="00163957">
      <w:pPr>
        <w:pStyle w:val="TextoNormal"/>
      </w:pPr>
    </w:p>
    <w:p w:rsidR="00163957" w:rsidRDefault="00163957" w:rsidP="00163957">
      <w:pPr>
        <w:pStyle w:val="TextoNormal"/>
      </w:pPr>
      <w:r>
        <w:t>El art. 47 del estatuto básico del empleado público remite expresamente a las Administraciones Públicas el establecimiento de la jornada de trabajo de los funcionarios públicos. La disposición adicional impugnada no es, como sostiene la mayoría, una nueva previsión legal sobre el régimen sustantivo de la jornada de los empleados públicos que “comple</w:t>
      </w:r>
      <w:r>
        <w:lastRenderedPageBreak/>
        <w:t xml:space="preserve">menta” el estatuto básico del empleado público, pues altera sustancialmente el régimen básico anterior al pasar a regular en norma básica estatal lo que, con anterioridad, quedaba íntegramente remitido a lo que estableciera cada Administración pública en su ámbito. Estamos pues ante una norma con vocación de permanencia en el tiempo, que cambia sustancialmente los criterios que previamente informaban la regulación de la jornada y cuya ubicación natural sería, en consecuencia, la legislación específica que regula dicha materia. Hasta tal punto es así, que puede afirmarse que la imposición de una jornada mínima que efectúa la disposición impugnada supone </w:t>
      </w:r>
      <w:r w:rsidRPr="00163957">
        <w:rPr>
          <w:i/>
        </w:rPr>
        <w:t>de facto</w:t>
      </w:r>
      <w:r>
        <w:t xml:space="preserve"> una modificación del art. 47 del estatuto básico del empleado público. La cuestión es igualmente clara en cuanto al personal laboral, pues el art. 51 del estatuto básico del empleado público se remite a las reglas del propio capítulo y a las de la legislación laboral correspondiente, y, por tanto, al art. 34.1 del estatuto de los trabajadores, con el cual también resulta incompatible la disposición adicional que nos ocupa.</w:t>
      </w:r>
    </w:p>
    <w:p w:rsidR="00163957" w:rsidRDefault="00163957" w:rsidP="00163957">
      <w:pPr>
        <w:pStyle w:val="TextoNormal"/>
      </w:pPr>
    </w:p>
    <w:p w:rsidR="00163957" w:rsidRDefault="00163957" w:rsidP="00163957">
      <w:pPr>
        <w:pStyle w:val="TextoNormal"/>
      </w:pPr>
      <w:r>
        <w:t>Por consiguiente, es evidente que, desde esta perspectiva, se está incumpliendo palmariamente uno de los límites que impone la doctrina constitucional a las leyes de presupuestos. Aun cuando la Ley de presupuestos generales del Estado puede abordar una modificación directa y expresa de cualquier otra norma legal (STC 74/2011, de 19 de mayo, FJ 5, y las allí citadas), ha de hacerlo respetando los condicionamientos que para su incorporación al contenido eventual del instrumento presupuestario ha exigido este Tribunal. Es más que dudosa la conexión directa de la fijación de la jornada mínima en el sector público con los gastos del Estado y con los criterios de política económica, pues su repercusión es a lo sumo mediata, en cuanto que no incide en los ingresos públicos y tampoco en el gasto efectivo, para el que resulta neutral.</w:t>
      </w:r>
    </w:p>
    <w:p w:rsidR="00163957" w:rsidRDefault="00163957" w:rsidP="00163957">
      <w:pPr>
        <w:pStyle w:val="TextoNormal"/>
      </w:pPr>
    </w:p>
    <w:p w:rsidR="00163957" w:rsidRDefault="00163957" w:rsidP="00163957">
      <w:pPr>
        <w:pStyle w:val="TextoNormal"/>
      </w:pPr>
      <w:r>
        <w:t>Pero, incluso admitiendo a efectos dialécticos esa conexión, se incumple otra exigencia que la doctrina que este Tribunal estableció nítidamente en las SSTC 238/2007, de 21 de noviembre, FJ 4, y 248/2007, de 13 de diciembre, FJ 4: “una vez admitido que la Ley de presupuestos generales del Estado puede abordar una modificación directa y expresa de cualquier otra norma legal, insistimos, en tanto en cuanto dicha modificación respete los condicionamientos que para su incorporación al contenido eventual del instrumento presupuestario ha exigido este Tribunal, cabe añadir, a renglón seguido,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 (FJ 4).</w:t>
      </w:r>
    </w:p>
    <w:p w:rsidR="00163957" w:rsidRDefault="00163957" w:rsidP="00163957">
      <w:pPr>
        <w:pStyle w:val="TextoNormal"/>
      </w:pPr>
    </w:p>
    <w:p w:rsidR="00163957" w:rsidRDefault="00163957" w:rsidP="00163957">
      <w:pPr>
        <w:pStyle w:val="TextoNormal"/>
      </w:pPr>
      <w:r>
        <w:t>En mi opinión, la disposición cuestionada debió ser declarada inconstitucional y nula por incurrir precisamente en ese ámbito vedado por la doctrina constitucional, ya que, sin modificar los preceptos del estatuto básico del empleado público que han quedado reseñados, establece la duración mínima de la jornada de trabajo de los empleados públicos.</w:t>
      </w:r>
    </w:p>
    <w:p w:rsidR="00163957" w:rsidRDefault="00163957" w:rsidP="00163957">
      <w:pPr>
        <w:pStyle w:val="TextoNormal"/>
      </w:pPr>
    </w:p>
    <w:p w:rsidR="00163957" w:rsidRDefault="00163957" w:rsidP="00163957">
      <w:pPr>
        <w:pStyle w:val="TextoNormal"/>
      </w:pPr>
      <w:r>
        <w:t>Y en tal sentido emito este Voto particular.</w:t>
      </w:r>
    </w:p>
    <w:p w:rsidR="00163957" w:rsidRDefault="00163957" w:rsidP="00163957">
      <w:pPr>
        <w:pStyle w:val="TextoNormal"/>
      </w:pPr>
    </w:p>
    <w:p w:rsidR="00163957" w:rsidRDefault="00163957" w:rsidP="00163957">
      <w:pPr>
        <w:pStyle w:val="TextoNormal"/>
      </w:pPr>
      <w:r>
        <w:t>Madrid, a veintiséis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lastRenderedPageBreak/>
        <w:br w:type="page"/>
      </w:r>
    </w:p>
    <w:p w:rsidR="00163957" w:rsidRDefault="00163957" w:rsidP="00163957">
      <w:pPr>
        <w:pStyle w:val="TtuloResolucin"/>
      </w:pPr>
      <w:bookmarkStart w:id="103" w:name="SENTENCIA_2016_100"/>
      <w:r>
        <w:lastRenderedPageBreak/>
        <w:t>SENTENCIA 100/2016, de 25 de mayo de 2016</w:t>
      </w:r>
    </w:p>
    <w:bookmarkEnd w:id="103"/>
    <w:p w:rsidR="00163957" w:rsidRDefault="00163957" w:rsidP="00163957">
      <w:pPr>
        <w:pStyle w:val="TtuloResolucin"/>
      </w:pPr>
      <w:r>
        <w:t>Pleno</w:t>
      </w:r>
    </w:p>
    <w:p w:rsidR="00163957" w:rsidRDefault="00163957" w:rsidP="00163957">
      <w:pPr>
        <w:pStyle w:val="TtuloBOE"/>
      </w:pPr>
      <w:r>
        <w:t>(BOE núm. 159, de 2 de julio de 2016)</w:t>
      </w:r>
    </w:p>
    <w:p w:rsidR="00163957" w:rsidRDefault="00163957" w:rsidP="00163957">
      <w:pPr>
        <w:pStyle w:val="TextoNormalCentrado"/>
      </w:pPr>
      <w:r>
        <w:t>ECLI:ES:TC:2016:100</w:t>
      </w:r>
    </w:p>
    <w:p w:rsidR="00163957" w:rsidRDefault="00163957" w:rsidP="00163957">
      <w:pPr>
        <w:pStyle w:val="TextoNormalCentrado"/>
      </w:pPr>
    </w:p>
    <w:p w:rsidR="00163957" w:rsidRDefault="00163957" w:rsidP="00163957">
      <w:pPr>
        <w:pStyle w:val="SntesisDescriptiva"/>
      </w:pPr>
      <w:r>
        <w:t>Recurso de inconstitucionalidad 5020-2013. Interpuesto por el Consejo de Gobierno del Principado de Asturias en relación con diversos preceptos de la Ley 2/2013, de 29 de mayo, de protección y uso sostenible del litoral y modificación de la Ley 22/1988, de 28 de julio, de costas.</w:t>
      </w:r>
    </w:p>
    <w:p w:rsidR="00163957" w:rsidRDefault="00163957" w:rsidP="00163957">
      <w:pPr>
        <w:pStyle w:val="SntesisDescriptiva"/>
      </w:pPr>
    </w:p>
    <w:p w:rsidR="00163957" w:rsidRDefault="00163957" w:rsidP="00163957">
      <w:pPr>
        <w:pStyle w:val="SntesisAnaltica"/>
      </w:pPr>
      <w:r>
        <w:t>Competencias sobre urbanismo, ordenación del litoral y del territorio; régimen constitucional del dominio público: constitucionalidad del precepto legal estatal que regula las urbanizaciones marítimo-terrestres (STC 233/2015).</w:t>
      </w:r>
    </w:p>
    <w:p w:rsidR="00163957" w:rsidRDefault="00163957" w:rsidP="00163957">
      <w:pPr>
        <w:pStyle w:val="SntesisAnaltica"/>
      </w:pPr>
    </w:p>
    <w:p w:rsidR="00163957" w:rsidRDefault="00163957" w:rsidP="00163957">
      <w:pPr>
        <w:pStyle w:val="Extracto"/>
      </w:pPr>
      <w:r>
        <w:t>1.</w:t>
      </w:r>
      <w:r>
        <w:tab/>
        <w:t>Remisión a la doctrina constitucional sentada en las SSTC 233/2015, 6/2016, 28/2016, 57/2016, sobre el régimen de dominio público marítimo-terrestre [FFJJ 2,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5020-2013 interpuesto por el Letrado del Servicio Jurídico del Principado de Asturias, en representación del Consejo de Gobierno de la Comunidad Autónoma, contra los apartados 8 (subapartado 3), 39 (subapartado 5), 40 (subapartado 3) y 41 del art. 1 de la Ley 2/2013, de 29 de mayo, de protección y uso sostenible del litoral y modificación de la Ley 22/1988, de 28 de julio, de costas por vulneración de la Constitución (art. 132) y del Estatuto de Autonomía del Principado de Asturias (art. 10.1.3). Ha comparecido y formulado alegaciones el Abogado del Estado. Ha sido Ponente el Magistrado don Andrés Ollero Tassara,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Mediante escrito registrado en este Tribunal el 2 de septiembre de 2013, el Letrado del servicio jurídico del Principado de Asturias, en representación del Consejo de Gobierno </w:t>
      </w:r>
      <w:r>
        <w:lastRenderedPageBreak/>
        <w:t>de la Comunidad Autónoma, interpone recurso de inconstitucionalidad contra varios preceptos de la Ley 22/1988, de 28 de julio, de costas (en adelante, LC), en la redacción dada por la Ley 2/2013, de 29 de mayo.</w:t>
      </w:r>
    </w:p>
    <w:p w:rsidR="00163957" w:rsidRDefault="00163957" w:rsidP="00163957">
      <w:pPr>
        <w:pStyle w:val="TextoNormal"/>
      </w:pPr>
    </w:p>
    <w:p w:rsidR="00163957" w:rsidRDefault="00163957" w:rsidP="00163957">
      <w:pPr>
        <w:pStyle w:val="TextoNormal"/>
      </w:pPr>
      <w:r w:rsidRPr="00163957">
        <w:rPr>
          <w:rStyle w:val="NumeroAFNegritaCaracter"/>
        </w:rPr>
        <w:t>2</w:t>
      </w:r>
      <w:r>
        <w:t>. El recurso de inconstitucionalidad impugna los siguientes preceptos:</w:t>
      </w:r>
    </w:p>
    <w:p w:rsidR="00163957" w:rsidRDefault="00163957" w:rsidP="00163957">
      <w:pPr>
        <w:pStyle w:val="TextoNormal"/>
      </w:pPr>
    </w:p>
    <w:p w:rsidR="00163957" w:rsidRDefault="00163957" w:rsidP="00163957">
      <w:pPr>
        <w:pStyle w:val="TextoNormal"/>
      </w:pPr>
      <w:r>
        <w:t>a) El art. 13 bis, apartado 3, y la disposición transitoria cuarta, apartado 3, ambos de la Ley de costas, en la redacción dada por los apartados 8 y 40, respectivamente, del art. 1 de la Ley 2/2013. Vulnerarían la competencia autonómica en materia urbanística y de protección del medio ambiente. La previsión de un concreto título de intervención (la “declaración responsable”) formaría parte de la disciplina urbanística, que es un ámbito respecto del que el Principado de Asturias tiene atribuida la competencia exclusiva (art. 10.1.3 de su Estatuto de Autonomía).</w:t>
      </w:r>
    </w:p>
    <w:p w:rsidR="00163957" w:rsidRDefault="00163957" w:rsidP="00163957">
      <w:pPr>
        <w:pStyle w:val="TextoNormal"/>
      </w:pPr>
    </w:p>
    <w:p w:rsidR="00163957" w:rsidRDefault="00163957" w:rsidP="00163957">
      <w:pPr>
        <w:pStyle w:val="TextoNormal"/>
      </w:pPr>
      <w:r>
        <w:t>b) La disposición transitoria primera, apartado 5 LC, en la redacción dada por el art. 1.39 de la Ley 2/2013. Al excluir del dominio público terrenos naturalmente inundables, contradiría flagrantemente el contenido y el valor léxico mínimo de la zona marítimo-terrestre como espacio en el que entran en contacto mar y tierra (art. 132 CE).</w:t>
      </w:r>
    </w:p>
    <w:p w:rsidR="00163957" w:rsidRDefault="00163957" w:rsidP="00163957">
      <w:pPr>
        <w:pStyle w:val="TextoNormal"/>
      </w:pPr>
    </w:p>
    <w:p w:rsidR="00163957" w:rsidRDefault="00163957" w:rsidP="00163957">
      <w:pPr>
        <w:pStyle w:val="TextoNormal"/>
      </w:pPr>
      <w:r>
        <w:t>c) La disposición adicional décima LC, introducida por el art. 1.41 de la Ley 2/2013. Su apartado 4 vulneraría los principios de inalienabilidad e imprescriptibilidad (art. 132.1 CE) al introducir un derecho de uso a perpetuidad de los amarres, constituido sobre los canales navegables. No cabría incorporar un bien al dominio público para después entregarlo al tráfico jurídico-privado; quedaría con ello proscrito no solo el derecho dominical, sino todos los que amparen posesión.</w:t>
      </w:r>
    </w:p>
    <w:p w:rsidR="00163957" w:rsidRDefault="00163957" w:rsidP="00163957">
      <w:pPr>
        <w:pStyle w:val="TextoNormal"/>
      </w:pPr>
    </w:p>
    <w:p w:rsidR="00163957" w:rsidRDefault="00163957" w:rsidP="00163957">
      <w:pPr>
        <w:pStyle w:val="TextoNormal"/>
      </w:pPr>
      <w:r w:rsidRPr="00163957">
        <w:rPr>
          <w:rStyle w:val="NumeroAFNegritaCaracter"/>
        </w:rPr>
        <w:t>3</w:t>
      </w:r>
      <w:r>
        <w:t>. Mediante providencia de 8 de octubre de 2013, el Pleno del Tribunal Constitucional acordó admitir a trámite el presente recurso, dar traslado de la demanda y documentos presentados al Congreso de los Diputados, al Senado y al Gobierno, al objeto de que pudieran personarse en el proceso y formular alegaciones; igualmente, ordenó la publicación de la incoación del recurso en el “Boletín Oficial del Estado”, lo que tuvo lugar en el núm. 250, de 18 de octubre de 2013.</w:t>
      </w:r>
    </w:p>
    <w:p w:rsidR="00163957" w:rsidRDefault="00163957" w:rsidP="00163957">
      <w:pPr>
        <w:pStyle w:val="TextoNormal"/>
      </w:pPr>
    </w:p>
    <w:p w:rsidR="00163957" w:rsidRDefault="00163957" w:rsidP="00163957">
      <w:pPr>
        <w:pStyle w:val="TextoNormal"/>
      </w:pPr>
      <w:r w:rsidRPr="00163957">
        <w:rPr>
          <w:rStyle w:val="NumeroAFNegritaCaracter"/>
        </w:rPr>
        <w:t>4</w:t>
      </w:r>
      <w:r>
        <w:t>. El 23 y 25 de octubre de 2013 tienen entrada en el Registro General de este Tribunal escritos de los Presidentes del Senado y del Congreso de los Diputados, respectivamente, comunicando los acuerdos de las Mesas correspondientes de personarse en el presente proceso ofreciendo su colaboración a los efectos del art. 88.1 de la Ley Orgánica del Tribunal Constitucional (LOTC).</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en este Tribunal el 18 de octubre de 2013,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21 de octubre de 2013 el Pleno del Tribunal Constitucional acuerda tener por personado al Abogado del Estado y conceder la prórroga solicitada.</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7</w:t>
      </w:r>
      <w:r>
        <w:t>. El Abogado del Estado presenta el 18 de noviembre de 2013 en el Registro General de este Tribunal Constitucional su escrito de alegaciones. Solicita la desestimación del recurso por basarse en una concepción constitucionalmente autosuficiente del dominio público marítimo-terrestre mismo y de las partes de este que se enumeran en el art. 132.2 CE. En este sentido, considera que los términos de la reserva constitucional de ley contenida en el art. 132.2 CE llevan implícito cierto margen de libertad para que el legislador los determine razonablemente atendiendo a los fines y objetivos que lícitamente se proponga o a las necesidades sociales que hayan de satisfacerse.</w:t>
      </w:r>
    </w:p>
    <w:p w:rsidR="00163957" w:rsidRDefault="00163957" w:rsidP="00163957">
      <w:pPr>
        <w:pStyle w:val="TextoNormal"/>
      </w:pPr>
    </w:p>
    <w:p w:rsidR="00163957" w:rsidRDefault="00163957" w:rsidP="00163957">
      <w:pPr>
        <w:pStyle w:val="TextoNormal"/>
      </w:pPr>
      <w:r>
        <w:t xml:space="preserve">a) El art. 13 </w:t>
      </w:r>
      <w:r w:rsidRPr="00163957">
        <w:rPr>
          <w:i/>
        </w:rPr>
        <w:t>bis</w:t>
      </w:r>
      <w:r>
        <w:t>, apartado 3, y la disposición transitoria cuarta, apartado 3 LC (en la redacción dada por los apartados 8 y 40, respectivamente, del art. 1 de la Ley 2/2013) impondrían limitaciones y condiciones con la finalidad de proteger el dominio público marítimo-terrestre. De su dicción literal resultaría palmario el respeto de la competencia urbanística autonómica; el legislador estatal no habría sustituido la autorización urbanística por la citada declaración responsable.</w:t>
      </w:r>
    </w:p>
    <w:p w:rsidR="00163957" w:rsidRDefault="00163957" w:rsidP="00163957">
      <w:pPr>
        <w:pStyle w:val="TextoNormal"/>
      </w:pPr>
    </w:p>
    <w:p w:rsidR="00163957" w:rsidRDefault="00163957" w:rsidP="00163957">
      <w:pPr>
        <w:pStyle w:val="TextoNormal"/>
      </w:pPr>
      <w:r>
        <w:t>b) La disposición transitoria primera, apartado 5 LC (en la redacción dada por el art. 1.39 de la Ley 2/2013) produciría la exclusión aunque después de las obras e instalaciones artificiales los terrenos se inundasen naturalmente. Se trataría de aclarar que, tras la deliberada y autorizada actuación del hombre dirigida a inundar unos terrenos, una vez que esta inundación se produce, no cabe aplicar la regla de la penetración natural del agua para convertirlos en demaniales. Ello no afectaría al concepto natural o necesario de dominio público porque tanto la regla general [arts. 3.1 a) y 4.3] como la transitoria se refieren a terrenos que nunca lo fueron. En cualquier caso, una vez que se produzca la exclusión, estos bienes dejarán de ser de dominio público, no estarán en la zona marítimo-terrestre y deberán deslindarse adecuadamente; por consiguiente, no pueden considerarse enclaves privados dentro del dominio público, a la luz del art. 9.1 LC.</w:t>
      </w:r>
    </w:p>
    <w:p w:rsidR="00163957" w:rsidRDefault="00163957" w:rsidP="00163957">
      <w:pPr>
        <w:pStyle w:val="TextoNormal"/>
      </w:pPr>
    </w:p>
    <w:p w:rsidR="00163957" w:rsidRDefault="00163957" w:rsidP="00163957">
      <w:pPr>
        <w:pStyle w:val="TextoNormal"/>
      </w:pPr>
      <w:r>
        <w:t>c) La disposición adicional décima LC, introducida por el art. 1.41 de la Ley 2/2013, habría concedido aquel derecho de uso de los amarres a los titulares de casas contiguas para garantizar el funcionamiento ordenado de las urbanizaciones marítimo-terrestres. El legislador habría realizado una ponderación de los intereses en juego garantizando un derecho de uso, vinculado a la propiedad de viviendas, que no podrá afectar en caso alguno a la navegabilidad del canal. Se trataría de un derecho accesorio a la propiedad privada colindante que supone un aprovechamiento privativo de una parte mínima del canal navegable, lo que es muy relevante. Impide que pueda asimilarse a la situación abordada en la STC 227/1988, de 29 de noviembre, aprovechamiento que afecta a una dotación total de agua. Tal derecho estaría íntimamente vinculado con las condiciones de navegación del canal cuya regulación corresponde a la Comunidad Autónoma.</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24 de mayo de 2016 se señaló para deliberación y votación de la presente Sentencia el día 25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Letrado del Servicio Jurídico del Principado de Asturias, en representación del Consejo de Gobierno de la Comunidad Autónoma, interpone recurso de inconstitucionalidad contra varios preceptos de la Ley 22/1988, de 28 de julio, de costas (LC), en la redacción dada por la Ley 2/2013, de 29 de mayo, por vulneración de la Constitución (art. 132) y del Estatuto de Autonomía del Principado de Asturias (art. 10.1.3).</w:t>
      </w:r>
    </w:p>
    <w:p w:rsidR="00163957" w:rsidRDefault="00163957" w:rsidP="00163957">
      <w:pPr>
        <w:pStyle w:val="TextoNormal"/>
      </w:pPr>
    </w:p>
    <w:p w:rsidR="00163957" w:rsidRDefault="00163957" w:rsidP="00163957">
      <w:pPr>
        <w:pStyle w:val="TextoNormal"/>
      </w:pPr>
      <w:r w:rsidRPr="00163957">
        <w:rPr>
          <w:rStyle w:val="NumeroAFNegritaCaracter"/>
        </w:rPr>
        <w:t>2</w:t>
      </w:r>
      <w:r>
        <w:t>. La Ley 2/2013 ha sido ya objeto de cuatro Sentencias de este Tribunal: La STC 233/2015, de 5 noviembre, que resuelve el recurso interpuesto por diputados del Grupo Parlamentario Socialista en el Congreso de los Diputados; la STC 6/2016, de 21 de enero, resolutoria del recurso formulado por el Consejo de Gobierno de la Junta de Andalucía; la STC 28/2016, de 18 de febrero, que da respuesta al recurso del Gobierno de la Generalitat de Cataluña, y la STC 57/2016, de 17 de marzo, que resuelve el recurso interpuesto por el Gobierno de Canarias. Todas ellas cobran relevancia en el presente proceso bajo los siguientes puntos de vista:</w:t>
      </w:r>
    </w:p>
    <w:p w:rsidR="00163957" w:rsidRDefault="00163957" w:rsidP="00163957">
      <w:pPr>
        <w:pStyle w:val="TextoNormal"/>
      </w:pPr>
    </w:p>
    <w:p w:rsidR="00163957" w:rsidRDefault="00163957" w:rsidP="00163957">
      <w:pPr>
        <w:pStyle w:val="TextoNormal"/>
      </w:pPr>
      <w:r>
        <w:t>a) El presente recurso impugna una previsión que la STC 233/2015, FJ 7, ha declarado ya inconstitucional y nula: la disposición transitoria primera, apartado 5 LC introducida por el art. 1.39 de la Ley 2/2013. De acuerdo con la consolidada doctrina constitucional [por todas, STC 139/2011, de 14 de septiembre, FJ 3 b)], la expulsión del ordenamiento jurídico de esta previsión determina la pérdida sobrevenida de objeto de la impugnación dirigida contra ella.</w:t>
      </w:r>
    </w:p>
    <w:p w:rsidR="00163957" w:rsidRDefault="00163957" w:rsidP="00163957">
      <w:pPr>
        <w:pStyle w:val="TextoNormal"/>
      </w:pPr>
    </w:p>
    <w:p w:rsidR="00163957" w:rsidRDefault="00163957" w:rsidP="00163957">
      <w:pPr>
        <w:pStyle w:val="TextoNormal"/>
      </w:pPr>
      <w:r>
        <w:t>b) Aquellos recursos de inconstitucionalidad y el presente formulan reproches y suscitan controversias competenciales coincidentes, por lo que la doctrina de las Sentencias que resuelven los primeros sirve para responder las impugnaciones aún subsistentes del segundo. De acuerdo con una pauta no infrecuente (aplicada ya en las SSTC 6/2016, FJ 2, y 28/2016, FJ 2), cabe dar aquí por reproducidos el fundamento jurídico de la STC 233/2015 relativo al significado y alcance de los arts. 45 y 132 CE (FJ 2) y el de la STC 57/2016 en cuanto a la distribución de competencias entre el Estado y las Comunidades Autónomas (FJ 2).</w:t>
      </w:r>
    </w:p>
    <w:p w:rsidR="00163957" w:rsidRDefault="00163957" w:rsidP="00163957">
      <w:pPr>
        <w:pStyle w:val="TextoNormal"/>
      </w:pPr>
    </w:p>
    <w:p w:rsidR="00163957" w:rsidRDefault="00163957" w:rsidP="00163957">
      <w:pPr>
        <w:pStyle w:val="TextoNormal"/>
      </w:pPr>
      <w:r>
        <w:t xml:space="preserve">c) Por otra parte, la STC 57/2016 ha desestimado impugnaciones que el presente recurso plantea en términos análogos; se refieren a los mismos preceptos y se basan en los mismos motivos. Así, al alegar que el art. 13 </w:t>
      </w:r>
      <w:r w:rsidRPr="00163957">
        <w:rPr>
          <w:i/>
        </w:rPr>
        <w:t>bis</w:t>
      </w:r>
      <w:r>
        <w:t>, apartado 3, y la disposición transitoria cuarta, apartado 3 LC (en la redacción dada los apartados 8 y 40, respectivamente, de la Ley 2/2013) prevén títulos de intervención con invasión de la competencia autonómica en materia de urbanismo y ordenación del territorio, el Letrado del servicio jurídico del Principado de Asturias plantea la queja que en su momento formuló el Gobierno de Canarias, que fue desestimada por la STC 57/2016. A la vista de esta coincidencia objetiva entre los dos recursos de inconstitucionalidad, de acuerdo con la doctrina constitucional (STC 172/1998, de 23 de julio, FJ 2), cabe desestimar estas impugnaciones por remisión a los fundamentos jurídicos 4 y 9 de la indicada Sentencia, lo que nos exime de reproducirlos, siquiera en extracto.</w:t>
      </w:r>
    </w:p>
    <w:p w:rsidR="00163957" w:rsidRDefault="00163957" w:rsidP="00163957">
      <w:pPr>
        <w:pStyle w:val="TextoNormal"/>
      </w:pPr>
    </w:p>
    <w:p w:rsidR="00163957" w:rsidRDefault="00163957" w:rsidP="00163957">
      <w:pPr>
        <w:pStyle w:val="TextoNormal"/>
      </w:pPr>
      <w:r w:rsidRPr="00163957">
        <w:rPr>
          <w:rStyle w:val="NumeroAFNegritaCaracter"/>
        </w:rPr>
        <w:t>3</w:t>
      </w:r>
      <w:r>
        <w:t>. Se impugna la disposición adicional décima LC, introducida por el art. 1.41 de la Ley 2/2013, que dispone:</w:t>
      </w:r>
    </w:p>
    <w:p w:rsidR="00163957" w:rsidRDefault="00163957" w:rsidP="00163957">
      <w:pPr>
        <w:pStyle w:val="TextoNormal"/>
      </w:pPr>
    </w:p>
    <w:p w:rsidR="00163957" w:rsidRDefault="00163957" w:rsidP="00163957">
      <w:pPr>
        <w:pStyle w:val="TextoNormal"/>
      </w:pPr>
      <w:r>
        <w:t>“1. Son urbanizaciones marítimo-terrestres los núcleos residenciales en tierra firme dotados de un sistema viario navegable, construido a partir de la inundación artificial de terrenos privados.</w:t>
      </w:r>
    </w:p>
    <w:p w:rsidR="00163957" w:rsidRDefault="00163957" w:rsidP="00163957">
      <w:pPr>
        <w:pStyle w:val="TextoNormal"/>
      </w:pPr>
    </w:p>
    <w:p w:rsidR="00163957" w:rsidRDefault="00163957" w:rsidP="00163957">
      <w:pPr>
        <w:pStyle w:val="TextoNormal"/>
      </w:pPr>
      <w:r>
        <w:t>2. Las urbanizaciones marítimo-terrestres deberán contar con un instrumento de ordenación territorial o urbanística que se ajuste a las prescripciones que en materia de dominio público marítimo-terrestre se establecen en esta disposición y en sus normas de desarrollo.</w:t>
      </w:r>
    </w:p>
    <w:p w:rsidR="00163957" w:rsidRDefault="00163957" w:rsidP="00163957">
      <w:pPr>
        <w:pStyle w:val="TextoNormal"/>
      </w:pPr>
    </w:p>
    <w:p w:rsidR="00163957" w:rsidRDefault="00163957" w:rsidP="00163957">
      <w:pPr>
        <w:pStyle w:val="TextoNormal"/>
      </w:pPr>
      <w:r>
        <w:t>3. La realización de las obras para construir los canales navegables de la urbanización marítimo-terrestre que dan lugar a la invasión por el mar o por las aguas de los ríos hasta donde se hagan sensible el efecto de las mareas de terrenos que antes de dichas obras no sean de dominio público marítimo-terrestre, ni estén afectadas por la servidumbre de protección, producirán los siguientes efectos:</w:t>
      </w:r>
    </w:p>
    <w:p w:rsidR="00163957" w:rsidRDefault="00163957" w:rsidP="00163957">
      <w:pPr>
        <w:pStyle w:val="TextoNormal"/>
      </w:pPr>
    </w:p>
    <w:p w:rsidR="00163957" w:rsidRDefault="00163957" w:rsidP="00163957">
      <w:pPr>
        <w:pStyle w:val="TextoNormal"/>
      </w:pPr>
      <w:r>
        <w:t>a) El terreno inundado se incorporará al dominio público marítimo-terrestre. No obstante, no se incluirán en el dominio público marítimo-terrestre los terrenos de propiedad privada colindantes a la vivienda y retranqueados respecto del canal navegable que se destinen a estacionamiento náutico individual y privado. Tampoco se incorporarán al dominio público marítimo-terrestre los terrenos de titularidad privada colindantes con el canal navegable e inundados como consecuencia de excavaciones, que se destinen a estacionamiento náutico colectivo y privado.</w:t>
      </w:r>
    </w:p>
    <w:p w:rsidR="00163957" w:rsidRDefault="00163957" w:rsidP="00163957">
      <w:pPr>
        <w:pStyle w:val="TextoNormal"/>
      </w:pPr>
    </w:p>
    <w:p w:rsidR="00163957" w:rsidRDefault="00163957" w:rsidP="00163957">
      <w:pPr>
        <w:pStyle w:val="TextoNormal"/>
      </w:pPr>
      <w:r>
        <w:t>b) La servidumbre de protección preexistente con anterioridad a las obras mantendrá su vigencia. No se generará una nueva servidumbre de protección ni de tránsito, en torno a los espacios inundados.</w:t>
      </w:r>
    </w:p>
    <w:p w:rsidR="00163957" w:rsidRDefault="00163957" w:rsidP="00163957">
      <w:pPr>
        <w:pStyle w:val="TextoNormal"/>
      </w:pPr>
    </w:p>
    <w:p w:rsidR="00163957" w:rsidRDefault="00163957" w:rsidP="00163957">
      <w:pPr>
        <w:pStyle w:val="TextoNormal"/>
      </w:pPr>
      <w:r>
        <w:t>c) El instrumento de ordenación territorial o urbanística deberá garantizar a través de viales el tránsito y acceso a los canales, en la forma que se establezca reglamentariamente.</w:t>
      </w:r>
    </w:p>
    <w:p w:rsidR="00163957" w:rsidRDefault="00163957" w:rsidP="00163957">
      <w:pPr>
        <w:pStyle w:val="TextoNormal"/>
      </w:pPr>
    </w:p>
    <w:p w:rsidR="00163957" w:rsidRDefault="00163957" w:rsidP="00163957">
      <w:pPr>
        <w:pStyle w:val="TextoNormal"/>
      </w:pPr>
      <w:r>
        <w:t>4. Los propietarios de las viviendas contiguas a los canales navegables tendrán un derecho de uso de los amarres situados frente a las viviendas. Este derecho está vinculado a la propiedad de la vivienda y solo serán transmisible junto a ella.</w:t>
      </w:r>
    </w:p>
    <w:p w:rsidR="00163957" w:rsidRDefault="00163957" w:rsidP="00163957">
      <w:pPr>
        <w:pStyle w:val="TextoNormal"/>
      </w:pPr>
    </w:p>
    <w:p w:rsidR="00163957" w:rsidRDefault="00163957" w:rsidP="00163957">
      <w:pPr>
        <w:pStyle w:val="TextoNormal"/>
      </w:pPr>
      <w:r>
        <w:t>5. Las obras para la construcción de los canales navegables y los estacionamientos náuticos a los que se refiere la letra a) del apartado 3, precisarán del correspondiente título administrativo para su realización y en ningún caso afectarán a tramos de costa que constituyan playa o espacios protegidos, de acuerdo con lo que se disponga reglamentariamente.”</w:t>
      </w:r>
    </w:p>
    <w:p w:rsidR="00163957" w:rsidRDefault="00163957" w:rsidP="00163957">
      <w:pPr>
        <w:pStyle w:val="TextoNormal"/>
      </w:pPr>
    </w:p>
    <w:p w:rsidR="00163957" w:rsidRDefault="00163957" w:rsidP="00163957">
      <w:pPr>
        <w:pStyle w:val="TextoNormal"/>
      </w:pPr>
      <w:r>
        <w:t>El recurso razona solamente la inconstitucionalidad del apartado 4; vulneraría los principios de inalienabilidad e imprescriptibilidad (art. 132.1 CE), al introducir un derecho de uso a perpetuidad de los amarres, constituido sobre los canales navegables.</w:t>
      </w:r>
    </w:p>
    <w:p w:rsidR="00163957" w:rsidRDefault="00163957" w:rsidP="00163957">
      <w:pPr>
        <w:pStyle w:val="TextoNormal"/>
      </w:pPr>
    </w:p>
    <w:p w:rsidR="00163957" w:rsidRDefault="00163957" w:rsidP="00163957">
      <w:pPr>
        <w:pStyle w:val="TextoNormal"/>
      </w:pPr>
      <w:r>
        <w:t xml:space="preserve">Para resolver la impugnación, hay que partir de que el legislador puede no incluir en la zona marítimo-terrestre “terrenos que sean inundados artificial y controladamente, como consecuencia de obras o instalaciones realizadas al efecto, siempre que antes de la inundación no fueran de dominio público”. Así lo ha previsto el art. 3.1 a) LC (en la redacción dada por el art. 1.2 de la Ley 2/2013). Respecto de este precepto hemos declarado que “no </w:t>
      </w:r>
      <w:r>
        <w:lastRenderedPageBreak/>
        <w:t>infringe el art. 132.2 CE”, porque “no quedan afectados por la exclusión los terrenos naturalmente inundables, que son en todo caso zona marítimo-terrestre, de dominio público por imperativo constitucional” [STC 233/2015, FJ 3 b)].</w:t>
      </w:r>
    </w:p>
    <w:p w:rsidR="00163957" w:rsidRDefault="00163957" w:rsidP="00163957">
      <w:pPr>
        <w:pStyle w:val="TextoNormal"/>
      </w:pPr>
    </w:p>
    <w:p w:rsidR="00163957" w:rsidRDefault="00163957" w:rsidP="00163957">
      <w:pPr>
        <w:pStyle w:val="TextoNormal"/>
      </w:pPr>
      <w:r>
        <w:t xml:space="preserve">El legislador, disponiendo de estos estos márgenes de configuración, ha optado, en lo que afecta específicamente a las denominadas “urbanizaciones marítimo-terrestres”, por incorporar al dominio público los terrenos que, siendo de titularidad privada, quedaran inundados [apartado 3 a) de la disposición adicional décima LC]. El legislador, respecto de bienes que no tienen constitucionalmente asegurado el carácter demanial, ha extendido a ellos tal calificación permitiendo así la aplicación del régimen especial de protección basado en los principios de inalienabilidad, imprescriptibilidad e inembargabilidad (art. 132.1 CE); un régimen especial que supone “excluir el bien afectado del tráfico jurídico privado, protegiéndolo de esta exclusión mediante una serie de reglas exorbitantes de las que son comunes en dicho tráfico </w:t>
      </w:r>
      <w:r w:rsidRPr="00163957">
        <w:rPr>
          <w:i/>
        </w:rPr>
        <w:t>iure privato</w:t>
      </w:r>
      <w:r>
        <w:t>” (STC 227/1988, de 29 de noviembre, FJ 14).</w:t>
      </w:r>
    </w:p>
    <w:p w:rsidR="00163957" w:rsidRDefault="00163957" w:rsidP="00163957">
      <w:pPr>
        <w:pStyle w:val="TextoNormal"/>
      </w:pPr>
    </w:p>
    <w:p w:rsidR="00163957" w:rsidRDefault="00163957" w:rsidP="00163957">
      <w:pPr>
        <w:pStyle w:val="TextoNormal"/>
      </w:pPr>
      <w:r>
        <w:t>Los principios fundamentales de ese régimen especial no pueden entenderse vulnerados porque el legislador haya matizado el alcance de esa ampliación legal del dominio público, bien al dejar de incluir determinados estacionamientos náuticos privados entre los bienes demaniales [apartado 3 a) de la disposición adicional décima LC], bien al atribuir a los propietarios de vivienda contigua a los canales navegables el “derecho de uso de los amarres situados frente a las viviendas”, como derecho “vinculado a la propiedad de la vivienda” que sólo puede transmitirse “junto a ella” (apartado 4 de la disposición adicional décima LC).</w:t>
      </w:r>
    </w:p>
    <w:p w:rsidR="00163957" w:rsidRDefault="00163957" w:rsidP="00163957">
      <w:pPr>
        <w:pStyle w:val="TextoNormal"/>
      </w:pPr>
    </w:p>
    <w:p w:rsidR="00163957" w:rsidRDefault="00163957" w:rsidP="00163957">
      <w:pPr>
        <w:pStyle w:val="TextoNormal"/>
      </w:pPr>
      <w:r>
        <w:t>Hemos declarado que la no inclusión de determinados estacionamientos náuticos privados en el dominio público marítimo-terrestre “no desborda el margen de configuración legal del que dispone el legislador, y puede considerarse acorde con la citada doctrina”. “Se trata por tanto de una regulación que preserva en lo fundamental el carácter demanial de los terrenos inundados que, por su condición de canales navegables, presentan una necesaria continuidad física con el dominio público preservado por el art. 132.2 CE al quedar en comunicación permanente con la zona marítimo-terrestre y el mar territorial, lo que los hace sensibles a los fenómenos naturales propios de la dinámica litoral. La limitada excepción de los estacionamientos náuticos no desborda el margen de configuración legal del que dispone el legislador, y puede considerarse acorde con la citada doctrina” (STC 233/2015, FJ 9).</w:t>
      </w:r>
    </w:p>
    <w:p w:rsidR="00163957" w:rsidRDefault="00163957" w:rsidP="00163957">
      <w:pPr>
        <w:pStyle w:val="TextoNormal"/>
      </w:pPr>
    </w:p>
    <w:p w:rsidR="00163957" w:rsidRDefault="00163957" w:rsidP="00163957">
      <w:pPr>
        <w:pStyle w:val="TextoNormal"/>
      </w:pPr>
      <w:r>
        <w:t xml:space="preserve">Tal razonamiento es enteramente trasladable a la previsión que aquí se controvierte específicamente. A ella se ha referido la STC 28/2016, FJ 6, aunque bajo una perspectiva distinta (competencial): “la atribución al Estado de la titularidad del dominio público marítimo terrestre entraña, entre otras consecuencias, que le corresponda determinar el régimen jurídico de dicho demanio (entre otras, STC 31/2010, de 28 de junio, FJ 92)”. “La norma regula un derecho privativo sobre un bien demanial, pues se trata de viviendas contiguas a los canales navegables y éstos son de dominio público (art. 4 LC), derecho que, por tanto, deriva directamente de la previsión legal, lo que es constitucionalmente posible, dado que al Estado, corresponden en cuanto que titular del demanio, las facultades normativas para establecer su régimen de ocupación, sin perjuicio de las competencias sectoriales autonómicas que se ejerzan sobre dicho demanio, que, en todo caso, conserva la calificación de dominio público estatal”; “esas facultades que al Estado corresponden en cuanto titular del </w:t>
      </w:r>
      <w:r>
        <w:lastRenderedPageBreak/>
        <w:t>dominio que le habilitan para establecer normativamente su régimen de uso, son susceptibles de condicionar o modular las competencias autonómicas, cuando éstas últimas se despliegan sobre demanio público de titularidad estatal (STC 34/2014, FJ 3)”.</w:t>
      </w:r>
    </w:p>
    <w:p w:rsidR="00163957" w:rsidRDefault="00163957" w:rsidP="00163957">
      <w:pPr>
        <w:pStyle w:val="TextoNormal"/>
      </w:pPr>
    </w:p>
    <w:p w:rsidR="00163957" w:rsidRDefault="00163957" w:rsidP="00163957">
      <w:pPr>
        <w:pStyle w:val="TextoNormal"/>
      </w:pPr>
      <w:r>
        <w:t>Consecuentemente, procede desestimar la impugnación de la disposición adicional décima LC, introducida por el art. 1.41 de la Ley 2/2013.</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Declarar extinguida, por pérdida sobrevenida de objeto, la impugnación de la disposición transitoria primera, apartado 5 de la Ley 22/1988, de 28 de julio, de costas, en la redacción dada por el art. 1.39 de la Ley 2/2013, de 29 de mayo.</w:t>
      </w:r>
    </w:p>
    <w:p w:rsidR="00163957" w:rsidRDefault="00163957" w:rsidP="00163957">
      <w:pPr>
        <w:pStyle w:val="TextoNormal"/>
      </w:pPr>
    </w:p>
    <w:p w:rsidR="00163957" w:rsidRDefault="00163957" w:rsidP="00163957">
      <w:pPr>
        <w:pStyle w:val="TextoNormal"/>
      </w:pPr>
      <w:r>
        <w:t>2º Desestimar el recurso de inconstitucionalidad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veinticinco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04" w:name="SENTENCIA_2016_101"/>
      <w:r>
        <w:lastRenderedPageBreak/>
        <w:t>SENTENCIA 101/2016, de 25 de mayo de 2016</w:t>
      </w:r>
    </w:p>
    <w:bookmarkEnd w:id="104"/>
    <w:p w:rsidR="00163957" w:rsidRDefault="00163957" w:rsidP="00163957">
      <w:pPr>
        <w:pStyle w:val="TtuloResolucin"/>
      </w:pPr>
      <w:r>
        <w:t>Pleno</w:t>
      </w:r>
    </w:p>
    <w:p w:rsidR="00163957" w:rsidRDefault="00163957" w:rsidP="00163957">
      <w:pPr>
        <w:pStyle w:val="TtuloBOE"/>
      </w:pPr>
      <w:r>
        <w:t>(BOE núm. 159, de 2 de julio de 2016)</w:t>
      </w:r>
    </w:p>
    <w:p w:rsidR="00163957" w:rsidRDefault="00163957" w:rsidP="00163957">
      <w:pPr>
        <w:pStyle w:val="TextoNormalCentrado"/>
      </w:pPr>
      <w:r>
        <w:t>ECLI:ES:TC:2016:101</w:t>
      </w:r>
    </w:p>
    <w:p w:rsidR="00163957" w:rsidRDefault="00163957" w:rsidP="00163957">
      <w:pPr>
        <w:pStyle w:val="TextoNormalCentrado"/>
      </w:pPr>
    </w:p>
    <w:p w:rsidR="00163957" w:rsidRDefault="00163957" w:rsidP="00163957">
      <w:pPr>
        <w:pStyle w:val="SntesisDescriptiva"/>
      </w:pPr>
      <w:r>
        <w:t>Recurso de inconstitucionalidad 1762-2014. Interpuesto por el Consejo de Gobierno de la Comunidad Autónoma de Andalucía en relación con diversos preceptos de la Ley Orgánica 9/2013, de 20 de diciembre, de control de la deuda comercial en el sector público.</w:t>
      </w:r>
    </w:p>
    <w:p w:rsidR="00163957" w:rsidRDefault="00163957" w:rsidP="00163957">
      <w:pPr>
        <w:pStyle w:val="SntesisDescriptiva"/>
      </w:pPr>
    </w:p>
    <w:p w:rsidR="00163957" w:rsidRDefault="00163957" w:rsidP="00163957">
      <w:pPr>
        <w:pStyle w:val="SntesisAnaltica"/>
      </w:pPr>
      <w:r>
        <w:t>Sistema de financiación autonómica: constitucionalidad de los preceptos legales que reforman las leyes orgánicas de financiación autonómica y de estabilidad presupuestaria y sostenibilidad financiera. Votos particulares.</w:t>
      </w:r>
    </w:p>
    <w:p w:rsidR="00163957" w:rsidRDefault="00163957" w:rsidP="00163957">
      <w:pPr>
        <w:pStyle w:val="SntesisAnaltica"/>
      </w:pPr>
    </w:p>
    <w:p w:rsidR="00163957" w:rsidRDefault="00163957" w:rsidP="00163957">
      <w:pPr>
        <w:pStyle w:val="Extracto"/>
      </w:pPr>
      <w:r>
        <w:t>1.</w:t>
      </w:r>
      <w:r>
        <w:tab/>
        <w:t>La retención estatal enjuiciada no impide a la Comunidad Autónoma incumplidora identificar sus políticas, ni determinar y poner en funcionamiento las medidas de reducción de gastos, de incremento de ingresos o de gestión de cobros y pagos que considere oportunas; supone una intervención al tiempo del pago de las obligaciones ya surgidas mediante una mera asignación de parte de los recursos que el Estado tiene que transferir a la Comunidad Autónoma al pago de las deudas contraídas por ésta con sus proveedores, materializadas en el abono de las facturas correspondientes, para garantizar el cumplimiento del período medio de pago y, por tanto, de la sostenibilidad financiera del sistema [FJ 6].</w:t>
      </w:r>
    </w:p>
    <w:p w:rsidR="00163957" w:rsidRDefault="00163957" w:rsidP="00163957">
      <w:pPr>
        <w:pStyle w:val="Extracto"/>
      </w:pPr>
    </w:p>
    <w:p w:rsidR="00163957" w:rsidRDefault="00163957" w:rsidP="00163957">
      <w:pPr>
        <w:pStyle w:val="Extracto"/>
      </w:pPr>
      <w:r>
        <w:t>2.</w:t>
      </w:r>
      <w:r>
        <w:tab/>
        <w:t>La retención estatal efectuada por el retardo del periodo máximo permitido para el pago a proveedores de las Administraciones Públicas supone un límite en la autonomía financiera de las Comunidades Autónomas pero no reviste caracteres de inconstitucionalidad, porque no les priva de la adopción de las medidas de tesorería para la corrección del incumplimiento detectado; no les genera menoscabo de su autonomía financiera al no minorarles los recursos que le corresponden de los regímenes de financiación y, por tanto, no les impide la  disposición de medios financieros para poder ejercer las funciones legalmente encomendadas; no coartándoles tampoco sus políticas de gasto [FJ 6].</w:t>
      </w:r>
    </w:p>
    <w:p w:rsidR="00163957" w:rsidRDefault="00163957" w:rsidP="00163957">
      <w:pPr>
        <w:pStyle w:val="Extracto"/>
      </w:pPr>
    </w:p>
    <w:p w:rsidR="00163957" w:rsidRDefault="00163957" w:rsidP="00163957">
      <w:pPr>
        <w:pStyle w:val="Extracto"/>
      </w:pPr>
      <w:r>
        <w:t>3.</w:t>
      </w:r>
      <w:r>
        <w:tab/>
        <w:t>La autonomía financiera de los entes territoriales queda estrechamente ligada a su suficiencia financiera, por cuanto exige la plena disposición de medios financieros para poder ejercer, sin condicionamientos indebidos y en toda su extensión, las funciones que legalmente les han sido encomendadas (SSTC 13/2007; 109/2011) [FJ 8].</w:t>
      </w:r>
    </w:p>
    <w:p w:rsidR="00163957" w:rsidRDefault="00163957" w:rsidP="00163957">
      <w:pPr>
        <w:pStyle w:val="Extracto"/>
      </w:pPr>
    </w:p>
    <w:p w:rsidR="00163957" w:rsidRDefault="00163957" w:rsidP="00163957">
      <w:pPr>
        <w:pStyle w:val="Extracto"/>
      </w:pPr>
      <w:r>
        <w:t>4.</w:t>
      </w:r>
      <w:r>
        <w:tab/>
        <w:t>Para valorar si una determinada Comunidad Autónoma goza de recursos suficientes para ejercer la autonomía financiera constitucionalmente consagrada es preciso atender al conjunto de los recursos de que puedan disponer y a las competencias que le han sido atribuidas (SSTC 13/2007 y 109/2011);  es decir,  la suficiencia financiera depende de muchas variables, como de las necesidades traducidas en el gasto público generado por el funcionamiento efectivo de las competencias asumidas (SSTC 135/1992 y 13/2007) [FJ 8].</w:t>
      </w:r>
    </w:p>
    <w:p w:rsidR="00163957" w:rsidRDefault="00163957" w:rsidP="00163957">
      <w:pPr>
        <w:pStyle w:val="Extracto"/>
      </w:pPr>
    </w:p>
    <w:p w:rsidR="00163957" w:rsidRDefault="00163957" w:rsidP="00163957">
      <w:pPr>
        <w:pStyle w:val="Extracto"/>
      </w:pPr>
      <w:r>
        <w:lastRenderedPageBreak/>
        <w:t>5.</w:t>
      </w:r>
      <w:r>
        <w:tab/>
        <w:t>La suficiencia financiera, como principio ligado a la autonomía financiera, se refiere a la totalidad de recursos de que disponen las Comunidades Autónomas para el efectivo ejercicio de las competencias asumidas, no encontrándose limitada, por tanto, a un único recurso, como son las transferencias garantizadas por el Estado (SSTC 13/2007; 213/2012) lo que implica que no resulta determinable en función de una singular fuente de ingresos individualmente considerada y su eventual reducción (SSTC 32/2012; 123/2012) [FJ 8].</w:t>
      </w:r>
    </w:p>
    <w:p w:rsidR="00163957" w:rsidRDefault="00163957" w:rsidP="00163957">
      <w:pPr>
        <w:pStyle w:val="Extracto"/>
      </w:pPr>
    </w:p>
    <w:p w:rsidR="00163957" w:rsidRDefault="00163957" w:rsidP="00163957">
      <w:pPr>
        <w:pStyle w:val="Extracto"/>
      </w:pPr>
      <w:r>
        <w:t>6.</w:t>
      </w:r>
      <w:r>
        <w:tab/>
        <w:t>El objeto de los recursos de inconstitucionalidad no se ve alterado por la eventual pérdida de vigencia de las normas impugnadas, tanto cuando lo que está en juego es el análisis del recto ejercicio de la potestad legislativa, como cuando el Tribunal deba pronunciarse sobre el alcance del orden constitucional de reparto de competencias (STC 215/2014) [FJ 1].</w:t>
      </w:r>
    </w:p>
    <w:p w:rsidR="00163957" w:rsidRDefault="00163957" w:rsidP="00163957">
      <w:pPr>
        <w:pStyle w:val="Extracto"/>
      </w:pPr>
    </w:p>
    <w:p w:rsidR="00163957" w:rsidRDefault="00163957" w:rsidP="00163957">
      <w:pPr>
        <w:pStyle w:val="Extracto"/>
      </w:pPr>
      <w:r>
        <w:t>7.</w:t>
      </w:r>
      <w:r>
        <w:tab/>
        <w:t xml:space="preserve">Una norma penetra el núcleo de las relaciones financieras del Estado con las Comunidades Autónomas si hace valer la posición constitucional del primero como titular de la potestad de coordinación de las haciendas autonómicas, garante del equilibrio económico general y responsable del cumplimiento </w:t>
      </w:r>
      <w:r w:rsidRPr="00163957">
        <w:rPr>
          <w:i/>
        </w:rPr>
        <w:t xml:space="preserve">ad extra </w:t>
      </w:r>
      <w:r>
        <w:t>de los objetivos de estabilidad presupuestaria (STC 215/2014) [FJ 2].</w:t>
      </w:r>
    </w:p>
    <w:p w:rsidR="00163957" w:rsidRDefault="00163957" w:rsidP="00163957">
      <w:pPr>
        <w:pStyle w:val="Extracto"/>
      </w:pPr>
    </w:p>
    <w:p w:rsidR="00163957" w:rsidRDefault="00163957" w:rsidP="00163957">
      <w:pPr>
        <w:pStyle w:val="Extracto"/>
      </w:pPr>
      <w:r>
        <w:t>8.</w:t>
      </w:r>
      <w:r>
        <w:tab/>
        <w:t>El legislador orgánico, entre otras funciones, tiene la atribución de establecer las posibles formas de colaboración financiera entre las Comunidades Autónomas y el Estado, de acuerdo al art. 157.3 CE (STC 134/2011) [FJ 2].</w:t>
      </w:r>
    </w:p>
    <w:p w:rsidR="00163957" w:rsidRDefault="00163957" w:rsidP="00163957">
      <w:pPr>
        <w:pStyle w:val="Extracto"/>
      </w:pPr>
    </w:p>
    <w:p w:rsidR="00163957" w:rsidRDefault="00163957" w:rsidP="00163957">
      <w:pPr>
        <w:pStyle w:val="Extracto"/>
      </w:pPr>
      <w:r>
        <w:t>9.</w:t>
      </w:r>
      <w:r>
        <w:tab/>
        <w:t>En relación a la estabilidad presupuestaria, antes de la reforma operada en el art. 135 CE, ya se había admitido por el Tribunal Constitucional que el principio de autonomía financiera de las Comunidades Autónomas no excluye la existencia de controles, incluso específicos, habiendo rechazado únicamente, por contrarias a ese principio, las intervenciones que el Estado realice con rigurosos controles que no se manifiesten imprescindibles para asegurar la coordinación de la política autonómica en un determinado sector económico con programación, a nivel nacional (STC 134/2011) [FJ 5].</w:t>
      </w:r>
    </w:p>
    <w:p w:rsidR="00163957" w:rsidRDefault="00163957" w:rsidP="00163957">
      <w:pPr>
        <w:pStyle w:val="Extracto"/>
      </w:pPr>
    </w:p>
    <w:p w:rsidR="00163957" w:rsidRDefault="00163957" w:rsidP="00163957">
      <w:pPr>
        <w:pStyle w:val="Extracto"/>
      </w:pPr>
      <w:r>
        <w:t>10.</w:t>
      </w:r>
      <w:r>
        <w:tab/>
        <w:t>La imposición de límites presupuestarios a las Comunidades Autónomas no sólo encuentra su apoyo en la competencia estatal de dirección de la actividad económica general (</w:t>
      </w:r>
      <w:r w:rsidRPr="00163957">
        <w:rPr>
          <w:i/>
        </w:rPr>
        <w:t>ex</w:t>
      </w:r>
      <w:r>
        <w:t xml:space="preserve"> art. 149.1.13 CE), estando su establecimiento  encaminado a la consecución de la estabilidad económica y la gradual recuperación del equilibrio presupuestario, sino que encuentra su fundamento en el límite a la autonomía financiera que establece el principio de coordinación con la Hacienda estatal del art. 156.1 CE, sobre todo, al corresponderle al Estado la responsabilidad de garantizar el equilibrio económico general (STC 134/2011) [FJ 6].</w:t>
      </w:r>
    </w:p>
    <w:p w:rsidR="00163957" w:rsidRDefault="00163957" w:rsidP="00163957">
      <w:pPr>
        <w:pStyle w:val="Extracto"/>
      </w:pPr>
    </w:p>
    <w:p w:rsidR="00163957" w:rsidRDefault="00163957" w:rsidP="00163957">
      <w:pPr>
        <w:pStyle w:val="Extracto"/>
      </w:pPr>
      <w:r>
        <w:t>11.</w:t>
      </w:r>
      <w:r>
        <w:tab/>
        <w:t>Aun cuando el endeudamiento es uno de los recursos posibles que nutren a las haciendas autonómicas de conformidad con el art. 157.1 e) CE, este instrumento de financiación tiene siempre una contrapartida que no puede obviarse, pues supone un mayor gasto futuro en concepto de intereses, por lo que un endeudamiento descontrolado pone también en peligro, si cabe incluso más, la propia suficiencia financiera (STC 171/2014) [FJ 8].</w:t>
      </w:r>
    </w:p>
    <w:p w:rsidR="00163957" w:rsidRDefault="00163957" w:rsidP="00163957">
      <w:pPr>
        <w:pStyle w:val="Extracto"/>
      </w:pPr>
    </w:p>
    <w:p w:rsidR="00163957" w:rsidRDefault="00163957" w:rsidP="00163957">
      <w:pPr>
        <w:pStyle w:val="Extracto"/>
      </w:pPr>
      <w:r>
        <w:t>12.</w:t>
      </w:r>
      <w:r>
        <w:tab/>
        <w:t>El principio de lealtad constitucional, aun cuando no está recogido de modo expreso en el texto constitucional constituye un soporte esencial del funcionamiento del Estado autonómico y cuya observancia resulta obligada y  del que deriva un deber de colaboración e información recíproca entre las Administraciones implicadas; dimana del general deber de auxilio recíproco que debe presidir las relaciones entre el Estado y las Comunidades Autónomas y es concreción, a su vez, de un deber general de fidelidad a la Constitución  (STC 215/2014) [FJ 9].</w:t>
      </w:r>
    </w:p>
    <w:p w:rsidR="00163957" w:rsidRDefault="00163957" w:rsidP="00163957">
      <w:pPr>
        <w:pStyle w:val="Extracto"/>
      </w:pPr>
    </w:p>
    <w:p w:rsidR="00163957" w:rsidRDefault="00163957" w:rsidP="00163957">
      <w:pPr>
        <w:pStyle w:val="Extracto"/>
      </w:pPr>
      <w:r>
        <w:t>13.</w:t>
      </w:r>
      <w:r>
        <w:tab/>
        <w:t>Compete al Estado la coordinación en materia de financiación de las Comunidades Autónomas: el art. 157.3 CE prevé que una Ley Orgánica pueda regular las competencias financieras autonómicas, lo que habilita la intervención unilateral del Estado a fin de alcanzar homogeneidad en el sistema de financiación autonómico; y porque la autonomía financiera de todos los entes territoriales exige la intervención del Estado para adoptar las medidas necesarias para asegurar la integración de las diversas partes del sistema. La LOFCA obliga a las CC AA a coordinar el ejercicio de su actividad financiera con la hacienda del Estado, de acuerdo al principio de solidaridad (STC 13/2007) [FJ 9].</w:t>
      </w:r>
    </w:p>
    <w:p w:rsidR="00163957" w:rsidRDefault="00163957" w:rsidP="00163957">
      <w:pPr>
        <w:pStyle w:val="Extracto"/>
      </w:pPr>
    </w:p>
    <w:p w:rsidR="00163957" w:rsidRDefault="00163957" w:rsidP="00163957">
      <w:pPr>
        <w:pStyle w:val="Extracto"/>
      </w:pPr>
      <w:r>
        <w:t>14.</w:t>
      </w:r>
      <w:r>
        <w:tab/>
        <w:t>Las técnicas de cooperación son consustanciales a la estructura compuesta del Estado de las Autonomías, sin que necesiten justificarse en preceptos constitucionales o estatutarios concretos, al derivar de la concurrencia misma de títulos competenciales; de manera que, al objeto de integrar las diferentes competencias, se debe acudir, en primer lugar, a fórmulas de cooperación mediante las cuales ambos niveles de gobierno coadyuvan a la consecución de un objetivo común que ninguno de ellos podría satisfacer, con igual eficacia, actuando por separado (SSTC 194/2004; 13/2007) [FJ 9].</w:t>
      </w:r>
    </w:p>
    <w:p w:rsidR="00163957" w:rsidRDefault="00163957" w:rsidP="00163957">
      <w:pPr>
        <w:pStyle w:val="Extracto"/>
      </w:pPr>
    </w:p>
    <w:p w:rsidR="00163957" w:rsidRDefault="00163957" w:rsidP="00163957">
      <w:pPr>
        <w:pStyle w:val="Extracto"/>
      </w:pPr>
      <w:r>
        <w:t>15.</w:t>
      </w:r>
      <w:r>
        <w:tab/>
        <w:t>El principio de cooperación tiende a garantizar la participación de todos los entes involucrados en la toma de decisiones cuando el sistema de distribución competencial conduce a una actuación conjunta del Estado y de las Comunidades Autónomas (SSTC 194/2004; 13/2007) [FJ 9].</w:t>
      </w:r>
    </w:p>
    <w:p w:rsidR="00163957" w:rsidRDefault="00163957" w:rsidP="00163957">
      <w:pPr>
        <w:pStyle w:val="Extracto"/>
      </w:pPr>
    </w:p>
    <w:p w:rsidR="00163957" w:rsidRDefault="00163957" w:rsidP="00163957">
      <w:pPr>
        <w:pStyle w:val="Extracto"/>
      </w:pPr>
      <w:r>
        <w:t>16.</w:t>
      </w:r>
      <w:r>
        <w:tab/>
        <w:t>La comunicación al Consejo de Política Fiscal y Financiera de la parte de la deuda comercial que se va a pagar con cargo a los recursos del sistema de financiación, lo es a un órgano no sólo con funciones de coordinación, sino también de cooperación (STC 13/2007) [FJ 10].</w:t>
      </w:r>
    </w:p>
    <w:p w:rsidR="00163957" w:rsidRDefault="00163957" w:rsidP="00163957">
      <w:pPr>
        <w:pStyle w:val="Extracto"/>
      </w:pPr>
    </w:p>
    <w:p w:rsidR="00163957" w:rsidRDefault="00163957" w:rsidP="00163957">
      <w:pPr>
        <w:pStyle w:val="Extracto"/>
      </w:pPr>
      <w:r>
        <w:t>17.</w:t>
      </w:r>
      <w:r>
        <w:tab/>
        <w:t>No es función de las Comunidades Autónomas, elegir en cada momento cuál es la fórmula de colaboración que mejor se adecúa a sus intereses, al ser al Estado a quien corresponde en cada caso determinar, no sólo en el ejercicio de sus competencias de dirección general de la actividad económica (art. 149.1.13 CE) y de coordinación de las haciendas autonómicas (art. 156.1 CE), sino mediante la ley orgánica a la que hace referencia el art. 135.5 CE, la participación, en los procedimientos respectivos, de los órganos de coordinación institucional entre las Administraciones Públicas, en materia de política fiscal y financiera [FJ 10].</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lastRenderedPageBreak/>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1762-2014, promovido por el Consejo de Gobierno de la Comunidad Autónoma de Andalucía contra el art. 1, apartados 1, 3, 5, 6, 8, 12, 14, 15 y 16, el art. 2, así como contra la disposición adicional primera, todos ellos de la Ley Orgánica 9/2013, de 20 de diciembre, de control de la deuda comercial en el sector público, por posible vulneración de los arts. 81.1, 135.5, 137 y 156.1, todos ellos de la Constitución, 175.2 a), b) y e), 183.1 y 7, 219.1, todos ellos de la Ley Orgánica 2/2007, de 19 de marzo, por la que se aprueba el Estatuto de Autonomía de Andalucía, y 2.1 f) y g) de la Ley Orgánica 8/1980, de 22 de septiembre, de financiación de las Comunidades Autónomas. Ha comparecido el Abogado del Estado en la representación que ostenta. Ha sido Ponente el Magistrado don Juan José González Rivas,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día 21 de marzo de 2014 tuvo entrada en el Registro General del Tribunal Constitucional un escrito del Letrado de la Junta de Andalucía, en representación del Consejo de Gobierno, por el que interponía un recurso de inconstitucionalidad contra los arts. 1, apartados 1, 3, 5, 6, 8, 12, 14, 15, 16; 2, así como contra la disposición adicional primera, todos ellos de la Ley Orgánica 9/2013, de 20 de diciembre, de control de la deuda comercial en el sector público, por posible vulneración de los arts. 81.1, 135.5, 137 y 156.1 de la Constitución, 175.2 a), b) y e), 183.1 y 7, y 219.1 de la Ley Orgánica 2/2007, de 19 de marzo, por la que se aprueba el Estatuto de Autonomía de Andalucía (en adelante, EAAnd), y 2.1 f) y g) de la Ley Orgánica 8/1980, de 22 de septiembre, de financiación de las Comunidades Autónomas (en lo sucesivo, LOFCA). Los motivos que se aducen, sucintamente expuestos, son los siguientes:</w:t>
      </w:r>
    </w:p>
    <w:p w:rsidR="00163957" w:rsidRDefault="00163957" w:rsidP="00163957">
      <w:pPr>
        <w:pStyle w:val="TextoNormal"/>
      </w:pPr>
    </w:p>
    <w:p w:rsidR="00163957" w:rsidRDefault="00163957" w:rsidP="00163957">
      <w:pPr>
        <w:pStyle w:val="TextoNormal"/>
      </w:pPr>
      <w:r>
        <w:t xml:space="preserve">a) Por violación de la reserva de ley orgánica de los arts. 81.1 y 135.5 CE, la inconstitucionalidad del art. 1, apartados 1 [que modifica el apartado 2 del art. 4 de la Ley Orgánica 2/2012, de 27 de abril, de estabilidad presupuestaria y sostenibilidad financiera (en lo sucesivo Ley Orgánica 2/2012)], 3 (que incluye un nuevo apartado 6 en el art. 13 de la Ley Orgánica 2/2012), 5 (que da nueva redacción a los apartados 4 y 5 del art. 18 de la Ley Orgánica 2/2012), 6 (que da nueva redacción a los apartados 5, 6 y 7 del art. 20 de la Ley Orgánica 2/2012), 8 (que modifica el art. 25 de la Ley Orgánica 2/2012), 12 (que incorpora </w:t>
      </w:r>
      <w:r>
        <w:lastRenderedPageBreak/>
        <w:t>los apartados 7, 8 y 9 en la disposición adicional primera de la Ley Orgánica 2/2012), 14 (que introduce una nueva disposición adicional quinta en la Ley Orgánica 2/2012), 15 (que introduce una nueva disposición adicional sexta en la Ley Orgánica 2/2012), 16 (que modifica la disposición final segunda de la Ley Orgánica 2/2012); del art. 2 (que incorpora un nuevo apartado 3 a la disposición adicional octava de la LOFCA) y de la disposición adicional primera, todos ellos de la Ley Orgánica 9/2013, de 20 de diciembre, de control de la deuda comercial en el sector público.</w:t>
      </w:r>
    </w:p>
    <w:p w:rsidR="00163957" w:rsidRDefault="00163957" w:rsidP="00163957">
      <w:pPr>
        <w:pStyle w:val="TextoNormal"/>
      </w:pPr>
    </w:p>
    <w:p w:rsidR="00163957" w:rsidRDefault="00163957" w:rsidP="00163957">
      <w:pPr>
        <w:pStyle w:val="TextoNormal"/>
      </w:pPr>
      <w:r>
        <w:t>Para el recurrente los poderes de control y supervisión que atribuye el art. 135 CE al Estado no son nuevos pues ya habían sido reconocidos por el Tribunal Constitucional (SSTC 134/2011 y 157/20011) como parte integrante de su competencia tanto sobre la Hacienda general (art. 149.1.14 CE) como sobre la ordenación general de la economía (art. 149.1.13 CE). Ahora bien, cuando la Ley Orgánica 2/2012, dictada en desarrollo de aquel precepto constitucional, aborda el control del endeudamiento, lo está haciendo con relación a la deuda pública financiera al amparo del principio de sostenibilidad financiera que los apartados 3 y 4 que aquel art. 135 CE consagra. Sin embargo, la Ley Orgánica 9/2013 que se recurre tiene por objeto el control de la deuda comercial, según se dice en su preámbulo, como una de las expresiones más relevantes del endeudamiento y, por tanto, de la sostenibilidad financiera.</w:t>
      </w:r>
    </w:p>
    <w:p w:rsidR="00163957" w:rsidRDefault="00163957" w:rsidP="00163957">
      <w:pPr>
        <w:pStyle w:val="TextoNormal"/>
      </w:pPr>
    </w:p>
    <w:p w:rsidR="00163957" w:rsidRDefault="00163957" w:rsidP="00163957">
      <w:pPr>
        <w:pStyle w:val="TextoNormal"/>
      </w:pPr>
      <w:r>
        <w:t xml:space="preserve">Para la Junta de Andalucía, la única razón para regular mediante ley orgánica cualquier materia y, entre ellas, la deuda comercial, se encuentra en el hecho de que en la propia Constitución se establezca una reserva de ley orgánica, lo que no sucede en este caso, pues la deuda comercial ni encaja en las materias reservadas </w:t>
      </w:r>
      <w:r w:rsidRPr="00163957">
        <w:rPr>
          <w:i/>
        </w:rPr>
        <w:t>ex</w:t>
      </w:r>
      <w:r>
        <w:t xml:space="preserve"> art. 81 CE (desarrollo de derechos fundamentales y libertades públicas, leyes que aprueban los Estatutos de Autonomía o el régimen electoral general), ni el art. 135 CE ha querido que sea desarrollada mediante ley orgánica, al circunscribirse la reserva de ley en él prevista a la deuda pública.</w:t>
      </w:r>
    </w:p>
    <w:p w:rsidR="00163957" w:rsidRDefault="00163957" w:rsidP="00163957">
      <w:pPr>
        <w:pStyle w:val="TextoNormal"/>
      </w:pPr>
    </w:p>
    <w:p w:rsidR="00163957" w:rsidRDefault="00163957" w:rsidP="00163957">
      <w:pPr>
        <w:pStyle w:val="TextoNormal"/>
      </w:pPr>
      <w:r>
        <w:t>En efecto, el concepto de deuda pública se halla en el art. 92 de la Ley 47/2003, de 26 de noviembre, general presupuestaria, que al respecto señala: “Constituye la Deuda del Estado el conjunto de capitales tomados a préstamo por el Estado mediante emisión pública, concentración de operaciones de crédito, subrogación en la posición deudora de un tercero o, en general, mediante cualquier otra operación financiera del Estado, con destino a financiar los gastos del Estado o a constituir posiciones activas de tesoro”. Se trata de un concepto que, en esencia, se sitúa en la misma línea que el concepto de deuda pública elaborado por el Derecho comunitario [Reglamento (CE) 479/2009, de 25 de mayo, del Consejo de la Unión Europa, para la aplicación del Protocolo sobre el procedimiento aplicable en caso de déficit excesivo, anejo al Tratado constitutivo de la Comunidad Europea], que entiende por déficit público “la necesidad (capacidad) de financiación del sector ‘administraciones públicas’”, mientras que considera como “deuda pública” el “valor nominal total de las obligaciones brutas del sector ‘administraciones públicas’ pendientes a final del año, a excepción de las obligaciones representadas por activos financieros que estén en manos del sector ‘administraciones públicas’”, siendo así que “[l]a deuda pública estará constituida por las obligaciones de las administraciones públicas en las categorías siguientes: efectivo y depósitos, títulos que no sean acciones, con exclusión de los productos financieros derivados y préstamos, conforme a las definiciones del SEC 95”.</w:t>
      </w:r>
    </w:p>
    <w:p w:rsidR="00163957" w:rsidRDefault="00163957" w:rsidP="00163957">
      <w:pPr>
        <w:pStyle w:val="TextoNormal"/>
      </w:pPr>
    </w:p>
    <w:p w:rsidR="00163957" w:rsidRDefault="00163957" w:rsidP="00163957">
      <w:pPr>
        <w:pStyle w:val="TextoNormal"/>
      </w:pPr>
      <w:r>
        <w:lastRenderedPageBreak/>
        <w:t>En suma, para la Junta de Andalucía la regulación de la deuda comercial a través de ley orgánica sólo sería posible mediante una ampliación expresa del alcance del art. 135 CE. Si el art. 135 CE ha establecido límites a la autonomía financiera de las Comunidades Autónomas, esos límites no pueden extenderse de manera arbitraria a supuestos no recogidos expresamente en el precepto, como es el caso de la deuda comercial, y como así ha señalado el Consejo de Estado, en su Dictamen 876/2013, de 5 de septiembre (emitido sobre el anteproyecto de ley ahora recurrida), conforme al cual “no es un desarrollo que derive necesariamente del art. 135 CE ni del Tratado de funcionamiento de la Unión Europea”.</w:t>
      </w:r>
    </w:p>
    <w:p w:rsidR="00163957" w:rsidRDefault="00163957" w:rsidP="00163957">
      <w:pPr>
        <w:pStyle w:val="TextoNormal"/>
      </w:pPr>
    </w:p>
    <w:p w:rsidR="00163957" w:rsidRDefault="00163957" w:rsidP="00163957">
      <w:pPr>
        <w:pStyle w:val="TextoNormal"/>
      </w:pPr>
      <w:r>
        <w:t>b) Por violación de la autonomía y suficiencia financiera de las Comunidades Autónomas, así como de la coordinación con la Hacienda estatal y del principio de proporcionalidad [arts. 137 y 156.1, ambos de la Constitución; 175.2 a), b) y e), 183.1 y 7, 219.1 EAAnd; y 2.1 f) y g) LOFCA], la inconstitucionalidad tanto del art. 1, apartados 6 (en cuanto a la nueva redacción dada a los apartados 6 y 7 del art. 20 de la Ley Orgánica 2/2012) y 16 (que modifica la disposición final segunda de la Ley Orgánica 2/2012), así como del art. 2 (que incorpora un nuevo apartado 3 a la disposición adicional octava de la LOFCA).</w:t>
      </w:r>
    </w:p>
    <w:p w:rsidR="00163957" w:rsidRDefault="00163957" w:rsidP="00163957">
      <w:pPr>
        <w:pStyle w:val="TextoNormal"/>
      </w:pPr>
    </w:p>
    <w:p w:rsidR="00163957" w:rsidRDefault="00163957" w:rsidP="00163957">
      <w:pPr>
        <w:pStyle w:val="TextoNormal"/>
      </w:pPr>
      <w:r>
        <w:t>El art. 20.6 de la Ley Orgánica 2/2012 prevé la retención por el Estado de los fondos que deban ser transferidos a las Comunidades Autónomas por el sistema de financiación para así pagar a los proveedores respecto de los que aquéllas estén en situación de morosidad. Por su parte, el art. 20.7 de la Ley Orgánica 2/2012 dispone la finalización de esa retención cuando la Comunidad Autónoma cumpla con el plazo máximo de morosidad durante seis meses consecutivos. En fin, la nueva disposición final segunda de la Ley Orgánica 2/2012 prevé el desarrollo reglamentario de este mecanismo de retención y el apartado 3 de la disposición adicional octava LOFCA los límites cuantitativos de la retención.</w:t>
      </w:r>
    </w:p>
    <w:p w:rsidR="00163957" w:rsidRDefault="00163957" w:rsidP="00163957">
      <w:pPr>
        <w:pStyle w:val="TextoNormal"/>
      </w:pPr>
    </w:p>
    <w:p w:rsidR="00163957" w:rsidRDefault="00163957" w:rsidP="00163957">
      <w:pPr>
        <w:pStyle w:val="TextoNormal"/>
      </w:pPr>
      <w:r>
        <w:t>Para la Junta de Andalucía las anteriores normas inciden sobre la autonomía financiera de las Comunidades Autónomas para el desarrollo y ejecución de sus competencias según los arts. 137 y 156.1 CE, 2.1 f) LOFCA, y 175.2 a) y b) EAAnd, dado que el Estado se inmiscuye en sus relaciones comerciales con sus proveedores, sustituyéndolas como deudoras de éstos y gestionando así unos fondos —los que integran el conjunto de recursos del régimen de financiación de la Comunidad Autónoma de que se trate— que les corresponderían. El Estado, con este mecanismo de retención, se convierte en pagador de las deudas que tenga una Comunidad Autónoma con sus proveedores mediante detracción de las entregas a cuenta del sistema de financiación. Esta intromisión en las decisiones sobre el gasto de las Comunidades Autónomas, imponiendo una prioridad en el destino de los recursos, esto es, en el gasto (pago a acreedores comerciales), por encima del que debe destinarse a cualquier servicio público esencial, supone afectar su autonomía de gasto, que no sólo entraña la libertad para fijar el destino y orientación del gasto público, sino también para la cuantificación y distribución del mismo dentro del marco de sus competencias (por todas, STC 13/1992, FJ 7).</w:t>
      </w:r>
    </w:p>
    <w:p w:rsidR="00163957" w:rsidRDefault="00163957" w:rsidP="00163957">
      <w:pPr>
        <w:pStyle w:val="TextoNormal"/>
      </w:pPr>
    </w:p>
    <w:p w:rsidR="00163957" w:rsidRDefault="00163957" w:rsidP="00163957">
      <w:pPr>
        <w:pStyle w:val="TextoNormal"/>
      </w:pPr>
      <w:r>
        <w:t xml:space="preserve">Destaca la Junta de Andalucía que aproximadamente un 70 por 100 del gasto público de las Comunidades Autónomas se destina a la prestación de servicios públicos fundamentales (básicamente educación, salud y servicios sociales), lo que supone que la falta de disponibilidad de aquellos recursos del régimen de financiación que se destinan al pago de los acreedores comerciales, causa un obvio menoscabo de la autonomía financiera, impidiendo </w:t>
      </w:r>
      <w:r>
        <w:lastRenderedPageBreak/>
        <w:t>“la plena disposición de los medios financieros precisos para poder ejercer, sin condicionamientos indebidos y en toda su extensión, las funciones que legalmente les han sido encomendadas; es decir, para posibilitar el ejercicio de la autonomía constitucionalmente reconocida en los artículos 137 y 156 CE” (STC 13/2007, FJ 8).</w:t>
      </w:r>
    </w:p>
    <w:p w:rsidR="00163957" w:rsidRDefault="00163957" w:rsidP="00163957">
      <w:pPr>
        <w:pStyle w:val="TextoNormal"/>
      </w:pPr>
    </w:p>
    <w:p w:rsidR="00163957" w:rsidRDefault="00163957" w:rsidP="00163957">
      <w:pPr>
        <w:pStyle w:val="TextoNormal"/>
      </w:pPr>
      <w:r>
        <w:t>A su juicio, parece claro que los preceptos impugnados suponen una imposición unilateral por el Estado de una condición para la obtención de financiación autonómica —el cumplimiento por parte de la Comunidad Autónoma de sus compromisos de pago— que recorta la plena disponibilidad de dichos ingresos para poder ejercer las propias competencias (STC 201/1988, FJ 4). Y dicha intromisión no encuentra una justificación ni en los principios constitucionales de coordinación con la hacienda estatal (art. 156.1 CE) ni en las competencias estatales de bases y coordinación de la planificación general de la actividad económica y de hacienda general (art. 149.1.13 y 14 CE).</w:t>
      </w:r>
    </w:p>
    <w:p w:rsidR="00163957" w:rsidRDefault="00163957" w:rsidP="00163957">
      <w:pPr>
        <w:pStyle w:val="TextoNormal"/>
      </w:pPr>
    </w:p>
    <w:p w:rsidR="00163957" w:rsidRDefault="00163957" w:rsidP="00163957">
      <w:pPr>
        <w:pStyle w:val="TextoNormal"/>
      </w:pPr>
      <w:r>
        <w:t>Para la Junta de Andalucía debe primar el principio de cooperación entre las Administraciones estatal y autonómica (conectado con la idea de voluntariedad), sobre el de coordinación en este ámbito financiero. Sin embargo, el art. 20.6 de la Ley Orgánica 2/2012, permite al Estado efectuar una retención sin negociación previa alguna con la Comunidad Autónoma afectada, cuando existen comisiones bilaterales de cooperación con fundamento tanto en el art. 5.2 de la Ley 30/1992, de régimen jurídico de las Administraciones públicas y del procedimiento administrativo común, como, en el caso de Andalucía, en los arts. 220 EAAnd (Comisión Bilateral de Cooperación) y 184 EAAnd (Comisión Mixta de Asuntos Económicos y Fiscales).</w:t>
      </w:r>
    </w:p>
    <w:p w:rsidR="00163957" w:rsidRDefault="00163957" w:rsidP="00163957">
      <w:pPr>
        <w:pStyle w:val="TextoNormal"/>
      </w:pPr>
    </w:p>
    <w:p w:rsidR="00163957" w:rsidRDefault="00163957" w:rsidP="00163957">
      <w:pPr>
        <w:pStyle w:val="TextoNormal"/>
      </w:pPr>
      <w:r>
        <w:t>En efecto, el art. 183.7 EAAnd dispone que “[l]a Comunidad Autónoma de Andalucía mantendrá relaciones multilaterales, a través del Consejo de Política Fiscal y Financiera, en las materias que afecten, entre otras, al sistema estatal de financiación, y en la Comisión Mixta prevista en el artículo siguiente en relación con las cuestiones específicas andaluzas”. Pues bien, no existen datos objetivos que sustenten que la morosidad en el pago de la deuda comercial de una Comunidad Autónoma afecta al sistema estatal de financiación, siendo dicha morosidad cuestión específicamente andaluza y, en definitiva, susceptible de ser tratada en la comisión mixta de asuntos económicos y fiscales Estado-Comunidad Autónoma.</w:t>
      </w:r>
    </w:p>
    <w:p w:rsidR="00163957" w:rsidRDefault="00163957" w:rsidP="00163957">
      <w:pPr>
        <w:pStyle w:val="TextoNormal"/>
      </w:pPr>
    </w:p>
    <w:p w:rsidR="00163957" w:rsidRDefault="00163957" w:rsidP="00163957">
      <w:pPr>
        <w:pStyle w:val="TextoNormal"/>
      </w:pPr>
      <w:r>
        <w:t xml:space="preserve">La parte recurrente estima que junto con la evidente violación del art. 183.7 EAAnd se produce también la conculcación de los arts. 175.2 a), b) y e), 183.1, y 219.1 EAAnd, que acogen los principios de autonomía y suficiencia financiera, de lealtad institucional, coordinación, colaboración, transparencia y participación en las decisiones que afecten a la Comunidad Autónoma, así como de cooperación y mutuo auxilio. Sin embargo, el único atisbo de coordinación (que no de cooperación) se encuentra en el nuevo art. 20.6 de la Ley Orgánica 2/2012, con la puesta en conocimiento al Consejo de Política Fiscal y Financiera del inicio del procedimiento de retención. Esta fórmula es, según su parecer, a todas luces insuficiente, no sólo por tratarse de una mera puesta en conocimiento sino por la propia composición del órgano conocedor, en el que el Estado tiene una evidente hegemonía en la toma de decisiones (pues de conformidad con su reglamento de régimen interior, el Ministro de Hacienda y Administraciones Públicas dispone del mismo número de votos que poseen las Comunidades Autónomas y ciudades autónomas, bastando para la adopción en segunda votación con alcanzar la mayoría absoluta, con lo cual al Estado le basta con el apoyo de una </w:t>
      </w:r>
      <w:r>
        <w:lastRenderedPageBreak/>
        <w:t>sola Comunidad Autónoma o ciudad autónoma para lograr la aprobación del acuerdo en cuestión).</w:t>
      </w:r>
    </w:p>
    <w:p w:rsidR="00163957" w:rsidRDefault="00163957" w:rsidP="00163957">
      <w:pPr>
        <w:pStyle w:val="TextoNormal"/>
      </w:pPr>
    </w:p>
    <w:p w:rsidR="00163957" w:rsidRDefault="00163957" w:rsidP="00163957">
      <w:pPr>
        <w:pStyle w:val="TextoNormal"/>
      </w:pPr>
      <w:r>
        <w:t>Subraya también la Junta de Andalucía que el incumplimiento de los principios de cooperación y de lealtad institucional no sólo tiene lugar en la primera fase de adopción de la decisión, sino que también en la aplicación de la medida de retención, al limitarse el art. 20.6 de la Ley Orgánica 2/2012 a recabar información de la Comunidad Autónoma sobre la parte y cuantía de la deuda comercial a abonar, impidiéndole la posibilidad de formular alegaciones o reparos sobre la superación del plazo del pago a proveedores o sobre cómo realizar la retención de la forma menos gravosa para su sistema de financiación o, menos aún, sobre la posible improcedencia de practicar dicha retención o del propio pago de la deuda comercial en cuestión.</w:t>
      </w:r>
    </w:p>
    <w:p w:rsidR="00163957" w:rsidRDefault="00163957" w:rsidP="00163957">
      <w:pPr>
        <w:pStyle w:val="TextoNormal"/>
      </w:pPr>
    </w:p>
    <w:p w:rsidR="00163957" w:rsidRDefault="00163957" w:rsidP="00163957">
      <w:pPr>
        <w:pStyle w:val="TextoNormal"/>
      </w:pPr>
      <w:r>
        <w:t>Por último, añade la Junta de Andalucía que la medida introducida en el precepto impugnado adolece de una clara desproporcionalidad. Si los límites impuestos a la autonomía financiera deben ser, en todo caso, proporcionales a los objetivos perseguidos (STC 48/2004), no cabe duda de que la retención que eventualmente pudiera acordarse por el Estado no sólo estaría mermando la financiación de las Comunidades Autónomas, sino que no estaría justificada en el empleo inmediato de los fondos retenidos en el pago a los proveedores, pues la norma no garantiza el plazo en el que el Estado haría efectivos dichos abonos.</w:t>
      </w:r>
    </w:p>
    <w:p w:rsidR="00163957" w:rsidRDefault="00163957" w:rsidP="00163957">
      <w:pPr>
        <w:pStyle w:val="TextoNormal"/>
      </w:pPr>
    </w:p>
    <w:p w:rsidR="00163957" w:rsidRDefault="00163957" w:rsidP="00163957">
      <w:pPr>
        <w:pStyle w:val="TextoNormal"/>
      </w:pPr>
      <w:r>
        <w:t>En el Dictamen 164/2012, de 1 de marzo, del Consejo de Estado, sobre el anteproyecto de la Ley Orgánica 2/2012, de 27 de abril, de estabilidad presupuestaria y sostenibilidad financiera, se razonaba: “puede considerarse justificado que el Estado adopte medidas que se reputen imprescindibles para asegurar la corrección de tales desviaciones y, en consecuencia, la efectividad de los principios recogidos en el artículo 135 de la Constitución. Recordando lo que se dice en la repetida STC 134/2011 (con cita de la STC 62/2001), con base ahora en lo dispuesto en el citado artículo 135 (en lugar de en el principio de coordinación), cabe justificar que el Estado acuerde una medida con fuerza normativa general susceptible de incidir en las competencias autonómicas en materia financiera, siempre que aquélla tenga una relación directa (más aún, si se considera necesaria) para la corrección de aquellas desviaciones y, en definitiva, para la efectividad de los aludidos objetivos y principios”. Pues bien, asumiendo a efectos dialécticos que la deuda comercial se halle incluida en el concepto de la sostenibilidad financiera, las medidas correctoras examinadas no cumplirían el requisito de la necesaria efectividad que exige el Consejo de Estado respecto a estas medidas de control sobre las Comunidades Autónomas.</w:t>
      </w:r>
    </w:p>
    <w:p w:rsidR="00163957" w:rsidRDefault="00163957" w:rsidP="00163957">
      <w:pPr>
        <w:pStyle w:val="TextoNormal"/>
      </w:pPr>
    </w:p>
    <w:p w:rsidR="00163957" w:rsidRDefault="00163957" w:rsidP="00163957">
      <w:pPr>
        <w:pStyle w:val="TextoNormal"/>
      </w:pPr>
      <w:r>
        <w:t>Por lo demás, el Real Decreto-ley 7/2012, de 9 de marzo, por el que se crea el fondo para la financiación de los pagos a proveedores, establece las condiciones que permiten la obtención de recursos financieros suficientes para la financiación de las operaciones de endeudamiento que puedan concertarse para el pago de las obligaciones pendientes, e incluso prevé que el fondo satisfaga directamente las obligaciones pendientes de pago subrogándose en el derecho de crédito frente a la Administración autonómica deudora. Este mecanismo sí es respetuoso con el principio de voluntariedad inherente a la cooperación, en contraste con el mecanismo de retención impugnado, que no es sino una intensificación injustificada y desproporcionada de los poderes de supervisión y control de las Comunidades Autónomas.</w:t>
      </w:r>
    </w:p>
    <w:p w:rsidR="00163957" w:rsidRDefault="00163957" w:rsidP="00163957">
      <w:pPr>
        <w:pStyle w:val="TextoNormal"/>
      </w:pPr>
    </w:p>
    <w:p w:rsidR="00163957" w:rsidRDefault="00163957" w:rsidP="00163957">
      <w:pPr>
        <w:pStyle w:val="TextoNormal"/>
      </w:pPr>
      <w:r>
        <w:lastRenderedPageBreak/>
        <w:t>En suma, es cierto que la STC 6/1982, FJ 7, abrió la posibilidad de ampliar los controles estatales sobre la actividad de las Comunidades Autónomas previstos en el art. 153 CE, pero lo hizo siempre que esos controles se definieran en los Estatutos de Autonomía o en leyes orgánicas. Sin embargo, el control impugnado, aparte de resultar improcedente desde un punto de vista sustantivo, al conculcar la autonomía financiera e indirectamente la autonomía política de las Comunidades Autónomas, tampoco debieran imponerse mediante ley orgánica, razón por la cual estaríamos en presencia de un control ilegítimo.</w:t>
      </w:r>
    </w:p>
    <w:p w:rsidR="00163957" w:rsidRDefault="00163957" w:rsidP="00163957">
      <w:pPr>
        <w:pStyle w:val="TextoNormal"/>
      </w:pPr>
    </w:p>
    <w:p w:rsidR="00163957" w:rsidRDefault="00163957" w:rsidP="00163957">
      <w:pPr>
        <w:pStyle w:val="TextoNormal"/>
      </w:pPr>
      <w:r>
        <w:t>c) Por vulneración del principio de prioridad de pago de los intereses y capital de la deuda pública de las Administraciones Públicas del art. 135.3 CE, la inconstitucionalidad del art. 1, apartados 6 (en cuanto a la nueva redacción dada a los apartados 6 y 7 del art. 20 de la Ley Orgánica 2/2012) y 16 (que modifica la disposición final segunda de la Ley Orgánica 2/2012), así como del art. 2 (que incorpora un nuevo apartado 3 a la disposición adicional octava de la LOFCA).</w:t>
      </w:r>
    </w:p>
    <w:p w:rsidR="00163957" w:rsidRDefault="00163957" w:rsidP="00163957">
      <w:pPr>
        <w:pStyle w:val="TextoNormal"/>
      </w:pPr>
    </w:p>
    <w:p w:rsidR="00163957" w:rsidRDefault="00163957" w:rsidP="00163957">
      <w:pPr>
        <w:pStyle w:val="TextoNormal"/>
      </w:pPr>
      <w:r>
        <w:t>Para el Consejo de Gobierno recurrente la retención que la Ley Orgánica 9/2013 introduce en la Ley Orgánica 2/2012, con el objeto de que los fondos retenidos puedan destinarse al pago de proveedores con los que las Comunidades Autónomas hayan alcanzado un determinado grado de morosidad, vulnera la regla de prioridad absoluta en el pago del capital e intereses de la deuda pública establecida en el art. 135.3 CE y reiterada en el art. 14 de la Ley Orgánica 2/2012, en la medida en que la aplicación del mencionado mecanismo de retención podría traer consigo que los proveedores de las Comunidades Autónomas “intervenidas” pudieran cobrar con un retraso o morosidad inferior al que pudieran hacerlo los acreedores de la deuda pública. En efecto, si el Estado utiliza los fondos del sistema de financiación autonómica para pagar a los proveedores de una Comunidad Autónoma, al no estar sujeto a la prelación en el pago de los titulares de la deuda pública de esa Comunidad Autónoma, se podría defraudar el privilegio de éstos en el caso de insuficiencia presupuestaria de esa Comunidad Autónoma.</w:t>
      </w:r>
    </w:p>
    <w:p w:rsidR="00163957" w:rsidRDefault="00163957" w:rsidP="00163957">
      <w:pPr>
        <w:pStyle w:val="TextoNormal"/>
      </w:pPr>
    </w:p>
    <w:p w:rsidR="00163957" w:rsidRDefault="00163957" w:rsidP="00163957">
      <w:pPr>
        <w:pStyle w:val="TextoNormal"/>
      </w:pPr>
      <w:r>
        <w:t>A su juicio, el mandato de respetar en la ordenación de los pagos la preferencia garantizada constitucionalmente para la deuda pública alcanza a todas las Administraciones. Del tenor literal del art. 135.3 CE parece desprenderse que el mandato lo ha de cumplir cada Administración en relación, cada una de ellas, con su respectivo presupuesto. La gestión por parte de la Administración del Estado de unos recursos ajenos y, en definitiva, su subrogación en la posición de la Comunidad Autónoma controlada o supervisada a la hora de pagar a los proveedores introduce la disfunción de que esta prioridad pueda no verse garantizada, a menos que la previsión legal de esta retención viniese acompañada de otras previsiones relativas a una mayor información sobre el ritmo de pago en las Comunidades Autónomas afectadas, de las deudas contraídas con los titulares de la deuda pública de esas Comunidades Autónomas, y ello con el fin de que el Estado no pagase a los proveedores de la Comunidad Autónoma antes de que ésta pague a los tenedores de su deuda pública.</w:t>
      </w:r>
    </w:p>
    <w:p w:rsidR="00163957" w:rsidRDefault="00163957" w:rsidP="00163957">
      <w:pPr>
        <w:pStyle w:val="TextoNormal"/>
      </w:pPr>
    </w:p>
    <w:p w:rsidR="00163957" w:rsidRDefault="00163957" w:rsidP="00163957">
      <w:pPr>
        <w:pStyle w:val="TextoNormal"/>
      </w:pPr>
      <w:r>
        <w:t>En definitiva, de mantenerse el mecanismo de retención previsto en la ley, el respeto de la prioridad absoluta en el pago a los titulares de la deuda pública de la Comunidad Autónoma morosa quedará al albur de las circunstancias concretas de cada caso o de la efectiva puesta en marcha de mecanismos de cooperación entre el Estado y la Comunidad Autónoma en cuestión, convirtiendo en superfluo el art. 135.3 CE, más allá del valor programático que pudiera conservar.</w:t>
      </w:r>
    </w:p>
    <w:p w:rsidR="00163957" w:rsidRDefault="00163957" w:rsidP="00163957">
      <w:pPr>
        <w:pStyle w:val="TextoNormal"/>
      </w:pPr>
    </w:p>
    <w:p w:rsidR="00163957" w:rsidRDefault="00163957" w:rsidP="00163957">
      <w:pPr>
        <w:pStyle w:val="TextoNormal"/>
      </w:pPr>
      <w:r w:rsidRPr="00163957">
        <w:rPr>
          <w:rStyle w:val="NumeroAFNegritaCaracter"/>
        </w:rPr>
        <w:t>2</w:t>
      </w:r>
      <w:r>
        <w:t>. Por providencia de 8 de abril de 2014 el Pleno del Tribunal acordó admitir a trámite el presente recurso de inconstitucionalidad, dando traslado de la demanda y documentos presentados, conforme al art. 34 de la Ley Orgánica del Tribunal Constitucional (LOTC), al Congreso de los Diputados y al Senado, por conducto de sus Presidentes, y al Gobierno, a través del Ministro de Justicia, al objeto de que en el plazo de quince días pudieran personarse en el proceso y formular las alegaciones que estimen convenientes, con publicación de la incoación del proceso en el “Boletín Oficial del Estado” (BOE núm. 91, de 15 de abril).</w:t>
      </w:r>
    </w:p>
    <w:p w:rsidR="00163957" w:rsidRDefault="00163957" w:rsidP="00163957">
      <w:pPr>
        <w:pStyle w:val="TextoNormal"/>
      </w:pPr>
    </w:p>
    <w:p w:rsidR="00163957" w:rsidRDefault="00163957" w:rsidP="00163957">
      <w:pPr>
        <w:pStyle w:val="TextoNormal"/>
      </w:pPr>
      <w:r w:rsidRPr="00163957">
        <w:rPr>
          <w:rStyle w:val="NumeroAFNegritaCaracter"/>
        </w:rPr>
        <w:t>3</w:t>
      </w:r>
      <w:r>
        <w:t>. El día 15 de abril de 2014 tuvo entrada en el Registro General de este Tribunal un escrito del Abogado del Estado por el que suplicaba se le tuviese por personado en el presente recurso, solicitando una prórroga del plazo concedido para formular alegaciones por ocho días más.</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providencia con fecha de 22 de abril de 2014 el Pleno del Tribunal acordó incorporar a las actuaciones el anterior escrito del Abogado del Estado y conceder la prórroga solicitada de ocho días, a contar desde el siguiente al de expiración del ordinario.</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presentado en el Registro General de este Tribunal con fecha de 23 de abril de 2014, el Presidente del Congreso de los Diputados comunicó a este Tribunal el acuerdo de la Mesa de la Cámara de dar por personada a la misma en el procedimiento y por ofrecida su colaboración a los efectos del art. 88.1 LOTC, con remisión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rsidRPr="00163957">
        <w:rPr>
          <w:rStyle w:val="NumeroAFNegritaCaracter"/>
        </w:rPr>
        <w:t>6</w:t>
      </w:r>
      <w:r>
        <w:t>. El día 23 de abril de 2014 tuvo entrada en el Registro General de este Tribunal un escrito del Presidente del Senado por el que se comunicaba el acuerdo adoptado por la Mesa de la Cámara de dar por personada a esta Cámara en el procedimiento y por ofrecida su colaboración a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7</w:t>
      </w:r>
      <w:r>
        <w:t>. El día 20 de mayo de 2014 tuvo entrada en el Registro General de este Tribunal el escrito de alegaciones del Abogado del Estado, en la representación que legalmente ostenta, por el que se solicitaba la desestimación del presente recurso de inconstitucionalidad.</w:t>
      </w:r>
    </w:p>
    <w:p w:rsidR="00163957" w:rsidRDefault="00163957" w:rsidP="00163957">
      <w:pPr>
        <w:pStyle w:val="TextoNormal"/>
      </w:pPr>
    </w:p>
    <w:p w:rsidR="00163957" w:rsidRDefault="00163957" w:rsidP="00163957">
      <w:pPr>
        <w:pStyle w:val="TextoNormal"/>
      </w:pPr>
      <w:r>
        <w:t>Después de delimitar el marco normativo de la estabilidad presupuestaria, tanto europeo como nacional, precisar el alcance de la consagración constitucional del principio de estabilidad presupuestaria (art. 135 CE), y delimitar el alcance de la reserva de ley orgánica que contiene el art. 135 CE a la vista de la doctrina constitucional recaída con relación a los límites a la autonomía financiera de las Comunidades Autónomas, pasa a analizar el Abogado del Estado la finalidad de la Ley Orgánica 2/2012, dictada en desarrollo de la nueva redacción dada al art. 135 CE, como un texto regulador de la estabilidad presupuestaria y sostenibilidad financiera de todas las Administraciones públicas, esto es, tanto del Estado como de las Comunidades Autónomas, corporaciones locales y Seguridad Social.</w:t>
      </w:r>
    </w:p>
    <w:p w:rsidR="00163957" w:rsidRDefault="00163957" w:rsidP="00163957">
      <w:pPr>
        <w:pStyle w:val="TextoNormal"/>
      </w:pPr>
    </w:p>
    <w:p w:rsidR="00163957" w:rsidRDefault="00163957" w:rsidP="00163957">
      <w:pPr>
        <w:pStyle w:val="TextoNormal"/>
      </w:pPr>
      <w:r>
        <w:t>En tanto que, de un lado, la crisis económica puso de manifiesto la insuficiencia de los mecanismos de disciplina de la legislación de estabilidad presupuestaria para sujetar el dé</w:t>
      </w:r>
      <w:r>
        <w:lastRenderedPageBreak/>
        <w:t>ficit público, garantizar financiación adecuada del sector público y seguridad a los inversores respecto a la capacidad de la economía española para crecer y atender nuestros compromisos, y, de otro, la normativa española no se adaptaba al camino emprendido por la Unión Europea de cara al proceso de integración económica, logrando una mayor coordinación y responsabilidad fiscal y presupuestaria de los Estados, la acción del Estado se dirigió hacia una política económica basada en la consolidación fiscal, es decir, en la eliminación del déficit público estructural y reducción de la deuda pública mediante reformas estructurales. Ahora bien, para consolidar una política económica y fiscal que permitiese asegurar de forma permanente el crecimiento económico y la creación de empleo se precisaba garantizar la estabilidad presupuestaria, lo que a su vez contribuiría a reforzar la confianza en la economía española y a captar financiación en mejores condiciones, para lo cual se introdujo en el art. 135.2 CE una regla fiscal que limitaba el déficit público de carácter estructural y restringía la deuda pública al valor de referencia del Tratado de Funcionamiento de la Unión Europea.</w:t>
      </w:r>
    </w:p>
    <w:p w:rsidR="00163957" w:rsidRDefault="00163957" w:rsidP="00163957">
      <w:pPr>
        <w:pStyle w:val="TextoNormal"/>
      </w:pPr>
    </w:p>
    <w:p w:rsidR="00163957" w:rsidRDefault="00163957" w:rsidP="00163957">
      <w:pPr>
        <w:pStyle w:val="TextoNormal"/>
      </w:pPr>
      <w:r>
        <w:t>El Abogado del Estado se opone a la prosperabilidad del recurso, basándose en los siguientes razonamientos extractados:</w:t>
      </w:r>
    </w:p>
    <w:p w:rsidR="00163957" w:rsidRDefault="00163957" w:rsidP="00163957">
      <w:pPr>
        <w:pStyle w:val="TextoNormal"/>
      </w:pPr>
    </w:p>
    <w:p w:rsidR="00163957" w:rsidRDefault="00163957" w:rsidP="00163957">
      <w:pPr>
        <w:pStyle w:val="TextoNormal"/>
      </w:pPr>
      <w:r>
        <w:t>a) Con relación a la reserva de ley orgánica, para el Abogado del Estado, si la Ley Orgánica 2/2012 preserva un extenso margen de decisión autonómica en materia financiera, respetando una amplia autonomía para el ejercicio de sus competencias, la Ley Orgánica 9/2013, objeto de este recurso de inconstitucionalidad, lo único que hace es profundizar en el principio constitucional de sostenibilidad financiera ligado al de estabilidad presupuestaria realizando una formulación del mismo coherente con el art. 135 CE y, por tanto, constitucionalmente admisible, en la medida que este precepto constitucional no contiene una regulación cerrada sino que formula unos objetivos que deben tener como finalidad la estabilidad presupuestaria y el control del endeudamiento. Es, pues, un mandato constitucional el desarrollo de los principios consagrados en el art. 135 CE mediante Ley Orgánica y, dentro de esos principios, el de sostenibilidad financiera del sector público cuya formulación concreta incumbe al legislador orgánico en orden al control del endeudamiento del sector público.</w:t>
      </w:r>
    </w:p>
    <w:p w:rsidR="00163957" w:rsidRDefault="00163957" w:rsidP="00163957">
      <w:pPr>
        <w:pStyle w:val="TextoNormal"/>
      </w:pPr>
    </w:p>
    <w:p w:rsidR="00163957" w:rsidRDefault="00163957" w:rsidP="00163957">
      <w:pPr>
        <w:pStyle w:val="TextoNormal"/>
      </w:pPr>
      <w:r>
        <w:t>A juicio del Abogado del Estado, entonces, la recurrente realiza un ejercicio dialéctico con objeto de intentar limitar y congelar el ámbito del principio de suficiencia financiera a la deuda pública financiera olvidando que el objetivo último de la reforma es lograr la estabilidad presupuestaria y la sostenibilidad financiera del sistema público.</w:t>
      </w:r>
    </w:p>
    <w:p w:rsidR="00163957" w:rsidRDefault="00163957" w:rsidP="00163957">
      <w:pPr>
        <w:pStyle w:val="TextoNormal"/>
      </w:pPr>
    </w:p>
    <w:p w:rsidR="00163957" w:rsidRDefault="00163957" w:rsidP="00163957">
      <w:pPr>
        <w:pStyle w:val="TextoNormal"/>
      </w:pPr>
      <w:r>
        <w:t>b) Respecto de la infracción de los principios de autonomía y suficiencia financiera, cooperación y lealtad, el Abogado del Estado afirma que el mecanismo de retención discutido únicamente tiene por objeto satisfacer el pago de gastos que ya han sido realizados por las Comunidades Autónomas, de modo que en ningún momento el Estado gestiona o decide cómo deben gastar su presupuesto. Se trata, a su juicio, de gastos que ya se han efectuado por una Comunidad Autónoma, cuya realización fue decidida por ella misma y cuyo pago le adeuda al proveedor acreedor, a pesar de haber vencido el plazo máximo de pago legalmente señalado.</w:t>
      </w:r>
    </w:p>
    <w:p w:rsidR="00163957" w:rsidRDefault="00163957" w:rsidP="00163957">
      <w:pPr>
        <w:pStyle w:val="TextoNormal"/>
      </w:pPr>
    </w:p>
    <w:p w:rsidR="00163957" w:rsidRDefault="00163957" w:rsidP="00163957">
      <w:pPr>
        <w:pStyle w:val="TextoNormal"/>
      </w:pPr>
      <w:r>
        <w:lastRenderedPageBreak/>
        <w:t>Para el Abogado del Estado tampoco la aplicación de la retención afectaría al principio de suficiencia financiera. Los recursos que corresponde percibir a cada Comunidad Autónoma resultan de la aplicación de las leyes reguladoras de los sistemas de financiación y ese importe no va a variar. La retención de recursos supondrá, únicamente, que una parte de los mismos se va a destinar al pago de obligaciones pendientes de pago de la Comunidad Autónoma, que no han sido satisfechas por la misma en el plazo máximo legalmente señalado. Por tanto, la medida que prevé la Ley Orgánica 9/2013 se dirige a garantizar la sostenibilidad financiera del sector público una vez que se han aplicado, sin éxito, las medidas preventivas y correctoras previstas en la Ley Orgánica 2/2012, con el único efecto de reducir el importe de las obligaciones pendientes de pago de las Administraciones públicas, sin que suponga reducir los recursos que corresponden a las Comunidades Autónomas de acuerdo con el sistema de financiación vigente.</w:t>
      </w:r>
    </w:p>
    <w:p w:rsidR="00163957" w:rsidRDefault="00163957" w:rsidP="00163957">
      <w:pPr>
        <w:pStyle w:val="TextoNormal"/>
      </w:pPr>
    </w:p>
    <w:p w:rsidR="00163957" w:rsidRDefault="00163957" w:rsidP="00163957">
      <w:pPr>
        <w:pStyle w:val="TextoNormal"/>
      </w:pPr>
      <w:r>
        <w:t>Por otra parte, tampoco se conculcaría el principio de cooperación, pues no deben existir otras medidas de coordinación más allá de las necesarias para que el procedimiento se articule de forma eficaz y con las debidas garantías, en los términos establecidos en la Ley Orgánica 2/2012 y su desarrollo reglamentario.</w:t>
      </w:r>
    </w:p>
    <w:p w:rsidR="00163957" w:rsidRDefault="00163957" w:rsidP="00163957">
      <w:pPr>
        <w:pStyle w:val="TextoNormal"/>
      </w:pPr>
    </w:p>
    <w:p w:rsidR="00163957" w:rsidRDefault="00163957" w:rsidP="00163957">
      <w:pPr>
        <w:pStyle w:val="TextoNormal"/>
      </w:pPr>
      <w:r>
        <w:t>c) Considera, a continuación, el Abogado del Estado con relación a la imputada desproporción de la medida de retención impugnada que, en modo alguno, puede considerarse que la retención de recursos de las Comunidades Autónomas sea una medida desproporcionada, en primer lugar, porque en la Ley Orgánica 9/2013 se ha previsto todo un sistema de medidas preventivas, correctoras y coercitivas, de aplicación sucesiva ante el incumplimiento reiterado por parte de una Administración del periodo máximo de pago legalmente establecido. Hasta llegar al momento de tener que aplicar la retención de recursos, se habrán aplicado anteriormente otras medidas, de carácter preventivo y corrector, y solamente en caso de continuar el incumplimiento en los términos establecidos en la ley se llegaría a tener que retener recursos de los sistemas de financiación.</w:t>
      </w:r>
    </w:p>
    <w:p w:rsidR="00163957" w:rsidRDefault="00163957" w:rsidP="00163957">
      <w:pPr>
        <w:pStyle w:val="TextoNormal"/>
      </w:pPr>
    </w:p>
    <w:p w:rsidR="00163957" w:rsidRDefault="00163957" w:rsidP="00163957">
      <w:pPr>
        <w:pStyle w:val="TextoNormal"/>
      </w:pPr>
      <w:r>
        <w:t>d) En fin, respecto de la denunciada infracción del art. 135.3 CE (vulneración de la regla de prioridad absoluta en el pago de la deuda pública) y del art. 14 de la Ley Orgánica 2/2012, destaca el Abogado del Estado que el Real Decreto-ley 21/2012, de 13 de julio, de medidas de liquidez de las Administraciones públicas y en el ámbito financiero, creó un fondo de liquidez autonómico como mecanismo a través del cual facilitar a las Comunidades Autónomas la liquidez necesaria para atender los vencimientos de capital que no pudieran refinanciarse a unos determinados niveles de costes, cubriendo así las necesidades de financiación del déficit público (entre las que se encuentran las derivadas del pago de intereses), contribuyendo a hacer efectivo el principio de prioridad absoluta del pago de la deuda pública por las Comunidades Autónomas. De este modo, si hubiera dificultades para que una Comunidad Autónoma pudiera refinanciar cualesquiera vencimientos de capital e intereses, estos se atenderían a través del fondo de liquidez autonómico, sin que el mecanismo de retención previsto pudiera afectar al cumplimiento de las obligaciones previstas en el art. 135.3 CE.</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24 de mayo de 2016 se señaló para deliberación y votación de la presente Sentencia el día 25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Como ha quedado expuesto en los antecedentes, el objeto del presente recurso de inconstitucionalidad lo constituye el art. 1, apartados 1, 3, 5, 6, 8, 12, 14, 15 y 16; el art. 2, así como la disposición adicional primera, todos ellos de la Ley Orgánica 9/2013, de 20 de diciembre, de control de la deuda comercial en el sector público, por posible vulneración de los arts. 81.1, 135.5, 137 y 156.1 de la Constitución; 175.2 a), b) y e), 183.1 y 7, y 219.1 de la Ley Orgánica 2/2007, de 19 de marzo, por la que se aprueba el Estatuto de Autonomía de Andalucía (en adelante, EAAnd) y 2.1 f) y g) de la Ley Orgánica 8/1980, de 22 de septiembre, de financiación de las Comunidades Autónomas (en lo sucesivo, LOFCA).</w:t>
      </w:r>
    </w:p>
    <w:p w:rsidR="00163957" w:rsidRDefault="00163957" w:rsidP="00163957">
      <w:pPr>
        <w:pStyle w:val="TextoNormal"/>
      </w:pPr>
    </w:p>
    <w:p w:rsidR="00163957" w:rsidRDefault="00163957" w:rsidP="00163957">
      <w:pPr>
        <w:pStyle w:val="TextoNormal"/>
      </w:pPr>
      <w:r>
        <w:t>Antes de dar respuesta a las cuestiones planteadas, es necesario examinar qué efectos despliega sobre su objeto la modificación de los preceptos impugnados realizada por la Ley Orgánica 6/2015, de 12 de junio, de modificación de la Ley Orgánica 8/1980, de 22 de septiembre, de financiación de las Comunidades Autónomas y de la Ley Orgánica 2/2012, de 27 de abril, de estabilidad presupuestaria y sostenibilidad financiera (Ley Orgánica 2/2012).</w:t>
      </w:r>
    </w:p>
    <w:p w:rsidR="00163957" w:rsidRDefault="00163957" w:rsidP="00163957">
      <w:pPr>
        <w:pStyle w:val="TextoNormal"/>
      </w:pPr>
    </w:p>
    <w:p w:rsidR="00163957" w:rsidRDefault="00163957" w:rsidP="00163957">
      <w:pPr>
        <w:pStyle w:val="TextoNormal"/>
      </w:pPr>
      <w:r>
        <w:t>Ha alterado, en primer lugar, algunos artículos de la Ley Orgánica 2/2012, en la redacción que les habían dado ciertos preceptos de la Ley Orgánica 9/2013 impugnados en este proceso. En concreto, la Ley Orgánica 6/2015 añade un nuevo apartado 3 en su art. 4, que había sido objeto de nueva redacción por la Ley Orgánica 9/2013; da nueva redacción a los apartados 1 y 4 de su art. 18, que también habían sido objeto de nueva redacción por la Ley Orgánica 9/2013; da nueva redacción al apartado 1 de su art. 20, que había sido redactado por la Ley Orgánica 9/2013; y, en fin, da nueva redacción a su disposición adicional primera, en la que la Ley Orgánica 9/2013 había añadido tres nuevos apartados. Estas modificaciones operadas por la Ley Orgánica 6/2015, en su mayoría, no suponen la pérdida de vigencia de los preceptos de la Ley Orgánica 9/2013 recurridos en este proceso. Solo conllevan este efecto respecto de aquellos que dan nueva redacción al art. 18.4 y a la disposición adicional primera de la Ley Orgánica 2/2012. Además, conforme a constante doctrina de este Tribunal, el objeto de los recursos de inconstitucionalidad no se ve alterado por la eventual pérdida de vigencia de las normas impugnadas tanto cuando lo que está en juego es el análisis del recto ejercicio de la potestad legislativa, como cuando el Tribunal deba pronunciarse sobre el alcance del orden constitucional de reparto de competencias (STC 215/2014, de 18 de diciembre, FJ 1). Así sucede en el presente caso, pues a los artículos de la Ley Orgánica 9/2013 que dan nueva redacción al art. 18.4 y a la disposición adicional primera de la Ley Orgánica 2/2012 se les imputa por la parte recurrente, de un lado, la violación de la reserva de ley orgánica y, de otro, la alteración del orden constitucional de competencias en materia financiera.</w:t>
      </w:r>
    </w:p>
    <w:p w:rsidR="00163957" w:rsidRDefault="00163957" w:rsidP="00163957">
      <w:pPr>
        <w:pStyle w:val="TextoNormal"/>
      </w:pPr>
    </w:p>
    <w:p w:rsidR="00163957" w:rsidRDefault="00163957" w:rsidP="00163957">
      <w:pPr>
        <w:pStyle w:val="TextoNormal"/>
      </w:pPr>
      <w:r>
        <w:t>La Ley Orgánica 6/2015 ha incidido, en segundo lugar, en la disposición adicional octava de la LOFCA, modificando la numeración del apartado 3 [</w:t>
      </w:r>
      <w:r w:rsidRPr="00163957">
        <w:rPr>
          <w:i/>
        </w:rPr>
        <w:t>sic</w:t>
      </w:r>
      <w:r>
        <w:t>], precepto que había sido incorporado por el art. 2 de la Ley Orgánica 9/2013 impugnado en este proceso, que pasa a ser el apartado 4 por el art. 1.5 de la referida Ley Orgánica. Dado que solo se altera la numeración y ni siquiera se reproduce el contenido en la nueva norma, hemos de concluir que el precepto impugnado conserva su vigencia y, por tanto, no se ve afectado el objeto de este proceso.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2</w:t>
      </w:r>
      <w:r>
        <w:t>. La primera impugnación que la demanda dirige contra la Ley Orgánica 9/2013 consiste en que algunos apartados de su art. 1 (1, 3, 5, 6, 8, 12, 14, 15 y 16), su art. 2 y su disposición adicional primera son inconstitucionales porque regulan distintos aspectos del régimen jurídico de la deuda comercial del Estado, submateria que, a juicio de la recurrente, no se halla comprendida en las materias reservadas a ley orgánica por los arts. 81.1 y 135.5 CE.</w:t>
      </w:r>
    </w:p>
    <w:p w:rsidR="00163957" w:rsidRDefault="00163957" w:rsidP="00163957">
      <w:pPr>
        <w:pStyle w:val="TextoNormal"/>
      </w:pPr>
    </w:p>
    <w:p w:rsidR="00163957" w:rsidRDefault="00163957" w:rsidP="00163957">
      <w:pPr>
        <w:pStyle w:val="TextoNormal"/>
      </w:pPr>
      <w:r>
        <w:t>La consecuencia de la eventual estimación de esta impugnación, en la medida que la argumentación que la sostiene se ciñe al exceso de rango de la norma que aprueba los preceptos referidos, sería la declaración de inconstitucionalidad de la atribución de dicho rango y la privación del mismo, quedando vigentes tales preceptos con la forma de ley ordinaria. Resulta, sin embargo, que la reiterada doctrina constitucional sobre la extensión de la reserva de ley orgánica ex art. 157.3 CE avala que las normas impugnadas, en la medida que se conectan directamente con las relaciones financieras entre las Comunidades Autónomas y el Estado, están comprendidas con naturalidad en dicha reserva de ley orgánica. Esta circunstancia determina que decidir esta impugnación requiera únicamente referirnos a dicha doctrina constitucional y a su aplicación a este caso, haciendo innecesario abordar la cuestión de la extensión de las reservas de ley orgánica previstas en los arts. 81.1 y 135.5 CE.</w:t>
      </w:r>
    </w:p>
    <w:p w:rsidR="00163957" w:rsidRDefault="00163957" w:rsidP="00163957">
      <w:pPr>
        <w:pStyle w:val="TextoNormal"/>
      </w:pPr>
    </w:p>
    <w:p w:rsidR="00163957" w:rsidRDefault="00163957" w:rsidP="00163957">
      <w:pPr>
        <w:pStyle w:val="TextoNormal"/>
      </w:pPr>
      <w:r>
        <w:t xml:space="preserve">La doctrina constitucional recaída en la STC 41/2016, de 3 de marzo, FJ 16 c), justifica el rango de ley orgánica de los preceptos recurridos. Allí se enjuiciaba el art. 57 </w:t>
      </w:r>
      <w:r w:rsidRPr="00163957">
        <w:rPr>
          <w:i/>
        </w:rPr>
        <w:t>bis</w:t>
      </w:r>
      <w:r>
        <w:t xml:space="preserve"> de la Ley reguladora de las bases de régimen local (LBRL), que autorizaba al Estado a aplicar retenciones en las transferencias que correspondan a las Comunidades Autónomas por aplicación de su sistema de financiación cuando las mismas incumplieran ciertas obligaciones financieras o compromisos de pago con los entes locales, y se declaró que “el art. 57 </w:t>
      </w:r>
      <w:r w:rsidRPr="00163957">
        <w:rPr>
          <w:i/>
        </w:rPr>
        <w:t>bis</w:t>
      </w:r>
      <w:r>
        <w:t xml:space="preserve"> LBRL contiene una regulación que, al incidir directamente sobre las relaciones financieras del Estado y las Comunidades Autónomas, debió revestir forma de ley orgánica”. La argumentación fue la siguiente:</w:t>
      </w:r>
    </w:p>
    <w:p w:rsidR="00163957" w:rsidRDefault="00163957" w:rsidP="00163957">
      <w:pPr>
        <w:pStyle w:val="TextoNormal"/>
      </w:pPr>
    </w:p>
    <w:p w:rsidR="00163957" w:rsidRDefault="00163957" w:rsidP="00163957">
      <w:pPr>
        <w:pStyle w:val="TextoNormal"/>
      </w:pPr>
      <w:r>
        <w:t>“El art. 157.3 CE reserva a la ley orgánica la regulación de las relaciones financieras del Estado con las Comunidades Autónomas…</w:t>
      </w:r>
    </w:p>
    <w:p w:rsidR="00163957" w:rsidRDefault="00163957" w:rsidP="00163957">
      <w:pPr>
        <w:pStyle w:val="TextoNormal"/>
      </w:pPr>
    </w:p>
    <w:p w:rsidR="00163957" w:rsidRDefault="00163957" w:rsidP="00163957">
      <w:pPr>
        <w:pStyle w:val="TextoNormal"/>
      </w:pPr>
      <w:r>
        <w:t>Un régimen que permite al Estado, por un lado, retener las cantidades adeudadas por las Comunidades Autónomas a un tercero en las transferencias que corresponden a éstas por virtud del sistema de financiación y, por otro, ejercer una competencia autonómica mediante el cumplimiento por sustitución de aquellas obligaciones, afecta muy directamente a las relaciones financieras entre el Estado y las Comunidades Autónomas y, por tanto, penetra un ámbito material cuya regulación está reservada a la ley orgánica (art. 157.3 CE), sin perjuicio de que ésta pueda llamar a una colaboración con normas de distinto rango.</w:t>
      </w:r>
    </w:p>
    <w:p w:rsidR="00163957" w:rsidRDefault="00163957" w:rsidP="00163957">
      <w:pPr>
        <w:pStyle w:val="TextoNormal"/>
      </w:pPr>
    </w:p>
    <w:p w:rsidR="00163957" w:rsidRDefault="00163957" w:rsidP="00163957">
      <w:pPr>
        <w:pStyle w:val="TextoNormal"/>
      </w:pPr>
      <w:r>
        <w:t xml:space="preserve">Dicho más precisamente: no puede dudarse de que una norma penetra el núcleo de las relaciones financieras del Estado con las Comunidades Autónomas si hace valer la posición constitucional del primero [‘como titular de la potestad de coordinación de las haciendas autonómicas’, ‘garante del equilibrio económico general’ y ‘responsable del cumplimiento </w:t>
      </w:r>
      <w:r w:rsidRPr="00163957">
        <w:rPr>
          <w:i/>
        </w:rPr>
        <w:t>ad extra</w:t>
      </w:r>
      <w:r>
        <w:t xml:space="preserve"> de los objetivos de estabilidad presupuestaria’, de acuerdo con la STC 215/2014, FJ 7 a)] para autorizarle a: 1) constatar unilateralmente que la Comunidad Autónoma tiene una obligación de pago frente a un tercero; 2) declarar unilateralmente que tal obligación ha </w:t>
      </w:r>
      <w:r>
        <w:lastRenderedPageBreak/>
        <w:t>sido incumplida; y 3) ejercer una competencia autonómica por sustitución, deduciendo cantidades de las transferencias que corresponden con cargo al sistema de financiación y poniendo el importe retenido a disposición de aquel tercero”.</w:t>
      </w:r>
    </w:p>
    <w:p w:rsidR="00163957" w:rsidRDefault="00163957" w:rsidP="00163957">
      <w:pPr>
        <w:pStyle w:val="TextoNormal"/>
      </w:pPr>
    </w:p>
    <w:p w:rsidR="00163957" w:rsidRDefault="00163957" w:rsidP="00163957">
      <w:pPr>
        <w:pStyle w:val="TextoNormal"/>
      </w:pPr>
      <w:r>
        <w:t xml:space="preserve">Esta doctrina constitucional determina que el mecanismo de retención que incorpora el art. 1.6 de Ley Orgánica 9/2013 al art. 20.6 de la Ley Orgánica 2/2012 —retención por el Estado de los importes a satisfacer por los recursos de los regímenes de financiación de las Comunidades Autónomas para pagar directamente a los proveedores—, dado que cumple los tres requisitos enunciados, incide directamente sobre las relaciones financieras entre el Estado y las Comunidades Autónomas y, en consecuencia, su regulación mediante ley orgánica está amparada por la reserva </w:t>
      </w:r>
      <w:r w:rsidRPr="00163957">
        <w:rPr>
          <w:i/>
        </w:rPr>
        <w:t>ex</w:t>
      </w:r>
      <w:r>
        <w:t xml:space="preserve"> art. 157.3 CE.</w:t>
      </w:r>
    </w:p>
    <w:p w:rsidR="00163957" w:rsidRDefault="00163957" w:rsidP="00163957">
      <w:pPr>
        <w:pStyle w:val="TextoNormal"/>
      </w:pPr>
    </w:p>
    <w:p w:rsidR="00163957" w:rsidRDefault="00163957" w:rsidP="00163957">
      <w:pPr>
        <w:pStyle w:val="TextoNormal"/>
      </w:pPr>
      <w:r>
        <w:t xml:space="preserve">Ahora bien, el alcance de la reserva de ley orgánica </w:t>
      </w:r>
      <w:r w:rsidRPr="00163957">
        <w:rPr>
          <w:i/>
        </w:rPr>
        <w:t>ex</w:t>
      </w:r>
      <w:r>
        <w:t xml:space="preserve"> art. 157.3 CE no se reduce en nuestra doctrina a este concreto aspecto. Por lo que interesa a este asunto, es relevante tener presente que en la STC 134/2011, de 20 de julio, el Tribunal declaró en el fundamento jurídico 8 d), que “el legislador orgánico, entre otras funciones, tiene atribuida la de establecer ‘las posibles formas de colaboración financiera entre las Comunidades Autónomas y el Estado’ (art. 157.3 CE)” y, más adelante, en el fundamento jurídico 8 e), incardinó dentro de ese contenido la “coordinación de la política de endeudamiento”, indicando que “la coordinación de la actividad financiera de las Comunidades Autónomas y, en concreto, de sus respectivas políticas de endeudamiento … exige la adopción de las medidas necesarias y suficientes para asegurar tal integración. De ahí que puedan ser consideradas las autorizaciones de emisión de deuda pública contempladas en el art. 14.3 LOFCA como medios al servicio de la coordinación indicada … máxime cuando dichas operaciones de crédito de las Comunidades Autónomas ‘deberán coordinarse entre sí y con la política de endeudamiento del Estado en el seno del Consejo de Política Fiscal y Financiera’, según dispone el apartado 4 del propio art. 14 LOFCA”.</w:t>
      </w:r>
    </w:p>
    <w:p w:rsidR="00163957" w:rsidRDefault="00163957" w:rsidP="00163957">
      <w:pPr>
        <w:pStyle w:val="TextoNormal"/>
      </w:pPr>
    </w:p>
    <w:p w:rsidR="00163957" w:rsidRDefault="00163957" w:rsidP="00163957">
      <w:pPr>
        <w:pStyle w:val="TextoNormal"/>
      </w:pPr>
      <w:r>
        <w:t>En definitiva, la doctrina constitucional reseñada ha considerado que la reserva delimitada en el art. 157.3 CE da cobertura suficiente al establecimiento en una ley orgánica de límites y condicionantes al endeudamiento de las Comunidades Autónomas, pues, según dicha norma constitucional, son materia de ley orgánica aquellas regulaciones que tengan por objeto coordinar a las Comunidades Autónomas entre sí y con el Estado en cuanto a su política de endeudamiento.</w:t>
      </w:r>
    </w:p>
    <w:p w:rsidR="00163957" w:rsidRDefault="00163957" w:rsidP="00163957">
      <w:pPr>
        <w:pStyle w:val="TextoNormal"/>
      </w:pPr>
    </w:p>
    <w:p w:rsidR="00163957" w:rsidRDefault="00163957" w:rsidP="00163957">
      <w:pPr>
        <w:pStyle w:val="TextoNormal"/>
      </w:pPr>
      <w:r>
        <w:t xml:space="preserve">En el caso que nos ocupa, los preceptos recurridos de la Ley Orgánica 9/2013 establecen un objetivo de sostenibilidad de la deuda comercial del sector público, instrumentan el logro de este objetivo mediante la figura jurídica denominada “periodo medio de pago a los proveedores”, que no ha de superar el plazo máximo previsto en la normativa sobre morosidad y, en fin, prevén las consecuencias jurídicas de que los distintos entes públicos, y en particular las Comunidades Autónomas por lo que a este recurso de inconstitucionalidad interesa, no cumplan con tal objetivo. Se trata, por tanto, de la regulación de un condicionante a la gestión que cada Comunidad Autónoma haga de la deuda contraída con sus proveedores, con el fin de coordinar su política de endeudamiento con la del resto de Comunidades Autónomas y con la del Estado, lo que, conforme a la doctrina constitucional expuesta, forma parte de las relaciones financieras de aquéllas con éste y, por tanto, es una materia amparada por la reserva de ley orgánica prevista en el art. 157.3 CE. En definitiva, procede rechazar que los preceptos recurridos, por tener carácter de ley orgánica, hayan incurrido en </w:t>
      </w:r>
      <w:r>
        <w:lastRenderedPageBreak/>
        <w:t>el exceso de rango que les atribuye esta impugnación, de suerte que desestimamos el primer motivo de impugnación.</w:t>
      </w:r>
    </w:p>
    <w:p w:rsidR="00163957" w:rsidRDefault="00163957" w:rsidP="00163957">
      <w:pPr>
        <w:pStyle w:val="TextoNormal"/>
      </w:pPr>
    </w:p>
    <w:p w:rsidR="00163957" w:rsidRDefault="00163957" w:rsidP="00163957">
      <w:pPr>
        <w:pStyle w:val="TextoNormal"/>
      </w:pPr>
      <w:r w:rsidRPr="00163957">
        <w:rPr>
          <w:rStyle w:val="NumeroAFNegritaCaracter"/>
        </w:rPr>
        <w:t>3</w:t>
      </w:r>
      <w:r>
        <w:t>. En la segunda impugnación, que la demanda centra en la retención por el Estado de recursos del sistema de financiación de las Comunidades Autónomas para pagar directamente las deudas que éstas tuvieren con sus proveedores, la Junta de Andalucía insta que se declare la inconstitucionalidad del art. 1, en sus apartados 6 (que adiciona los apartados 5, 6 y 7 del art. 20 de la Ley Orgánica 2/2012) y 16 (que modifica la disposición final segunda de la Ley Orgánica 2/2012), y del art. 2 [que añade un nuevo apartado 3 (</w:t>
      </w:r>
      <w:r w:rsidRPr="00163957">
        <w:rPr>
          <w:i/>
        </w:rPr>
        <w:t>sic</w:t>
      </w:r>
      <w:r>
        <w:t>) a la disposición adicional octava LOFCA] de la Ley Orgánica 9/2013. Para examinar este punto procede concretar el alcance de los preceptos impugnados en el marco del contexto general de dicha Ley Orgánica 9/2013.</w:t>
      </w:r>
    </w:p>
    <w:p w:rsidR="00163957" w:rsidRDefault="00163957" w:rsidP="00163957">
      <w:pPr>
        <w:pStyle w:val="TextoNormal"/>
      </w:pPr>
    </w:p>
    <w:p w:rsidR="00163957" w:rsidRDefault="00163957" w:rsidP="00163957">
      <w:pPr>
        <w:pStyle w:val="TextoNormal"/>
      </w:pPr>
      <w:r>
        <w:t xml:space="preserve">a) Las modificaciones que dicha norma introduce en la Ley Orgánica 2/2012 persiguen el objetivo de que el endeudamiento de los entes públicos con sus proveedores, al quedar sujeto a ciertos límites legales, no ponga en riesgo la realización efectiva del principio de estabilidad presupuestaria </w:t>
      </w:r>
      <w:r w:rsidRPr="00163957">
        <w:rPr>
          <w:i/>
        </w:rPr>
        <w:t>ex</w:t>
      </w:r>
      <w:r>
        <w:t xml:space="preserve"> art. 135.1 CE. La figura jurídica a través de la que se instrumenta este objetivo es lo que viene a denominarse “periodo medio de pago a proveedores”, figura que se regula en el art. 13.6 de la Ley Orgánica 2/2012, añadido por el art. 1.3 de la Ley Orgánica 9/2013, que prevé que “[l]as Administraciones Públicas deberán publicar su periodo medio de pago a proveedores y disponer de un plan de tesorería que incluirá, al menos, información relativa a la previsión de pago a proveedores de forma que se garantice el cumplimiento del plazo máximo que fija la normativa sobre morosidad”. La utilidad de esta figura jurídica es que permite comparar el tiempo medio que tarda un ente público en pagar a sus proveedores con el plazo máximo de pago que debería cumplir porque así lo impone la normativa de morosidad para todas las Administraciones públicas, plazo máximo que está fijado en 30 días (art. 4 de la Ley 3/2004, de 29 de diciembre, por la que se establecen medidas de lucha contra la morosidad en las operaciones comerciales, dictado en transposición de la Directiva 2000/35/CE del Parlamento Europeo y del Consejo, de 29 de junio de 2000, por la que se establecen medidas de lucha contra la morosidad en las operaciones comerciales).</w:t>
      </w:r>
    </w:p>
    <w:p w:rsidR="00163957" w:rsidRDefault="00163957" w:rsidP="00163957">
      <w:pPr>
        <w:pStyle w:val="TextoNormal"/>
      </w:pPr>
    </w:p>
    <w:p w:rsidR="00163957" w:rsidRDefault="00163957" w:rsidP="00163957">
      <w:pPr>
        <w:pStyle w:val="TextoNormal"/>
      </w:pPr>
      <w:r>
        <w:t>De este modo, según la Ley Orgánica 9/2013, un ente público cuyo “periodo medio de pago a proveedores” es superior al plazo máximo de pago señalado en la normativa de morosidad incumple el principio de sostenibilidad financiera establecido en su art. 2. La propia Ley Orgánica 9/2013, con el fin de asegurar que dicho principio se realice de un modo efectivo, disciplina varios mecanismos orientados a poner fin a esta desviación, que son de aplicación sucesiva y que tienen un contenido más restrictivo a medida que la desviación que se quiere atajar se prolonga por más tiempo.</w:t>
      </w:r>
    </w:p>
    <w:p w:rsidR="00163957" w:rsidRDefault="00163957" w:rsidP="00163957">
      <w:pPr>
        <w:pStyle w:val="TextoNormal"/>
      </w:pPr>
    </w:p>
    <w:p w:rsidR="00163957" w:rsidRDefault="00163957" w:rsidP="00163957">
      <w:pPr>
        <w:pStyle w:val="TextoNormal"/>
      </w:pPr>
      <w:r>
        <w:t>b) Examinaremos a continuación los distintos mecanismos orientados a revertir la desviación del “periodo medio de pago a proveedores” de un concreto ente público respecto del plazo máximo de pago señalado en la normativa de morosidad, con especial atención al mecanismo de retención que es el objeto de esta segunda impugnación. El primer mecanismo de corrección de la desviación está previsto en el art. 13.6 de la Ley Orgánica 2/2012, introducido por el art. 1.3 de la Ley Orgánica 9/2013, según el cual:</w:t>
      </w:r>
    </w:p>
    <w:p w:rsidR="00163957" w:rsidRDefault="00163957" w:rsidP="00163957">
      <w:pPr>
        <w:pStyle w:val="TextoNormal"/>
      </w:pPr>
    </w:p>
    <w:p w:rsidR="00163957" w:rsidRDefault="00163957" w:rsidP="00163957">
      <w:pPr>
        <w:pStyle w:val="TextoNormal"/>
      </w:pPr>
      <w:r>
        <w:lastRenderedPageBreak/>
        <w:t>“Cuando el período medio de pago de una Administración Pública, de acuerdo con los datos publicados, supere el plazo máximo previsto en la normativa sobre morosidad, la Administración deberá incluir, en la actualización de su plan de tesorería inmediatamente posterior a la mencionada publicación, como parte de dicho plan lo siguiente: a) El importe de los recursos que va a dedicar mensualmente al pago a proveedores para poder reducir su periodo medio de pago hasta el plazo máximo que fija la normativa sobre morosidad; b) El compromiso de adoptar las medidas cuantificadas de reducción de gastos, incremento de ingresos u otras medidas de gestión de cobros y pagos, que le permita generar la tesorería necesaria para la reducción de su periodo medio de pago a proveedores hasta el plazo máximo que fija la normativa sobre morosidad.”</w:t>
      </w:r>
    </w:p>
    <w:p w:rsidR="00163957" w:rsidRDefault="00163957" w:rsidP="00163957">
      <w:pPr>
        <w:pStyle w:val="TextoNormal"/>
      </w:pPr>
    </w:p>
    <w:p w:rsidR="00163957" w:rsidRDefault="00163957" w:rsidP="00163957">
      <w:pPr>
        <w:pStyle w:val="TextoNormal"/>
      </w:pPr>
      <w:r>
        <w:t>Para el caso de que, a pesar de las medidas impuestas por el art. 13.6 de la Ley Orgánica 2/2012, la desviación permanezca, se prevé un mecanismo de corrección más intenso en el art. 18.4 de la Ley Orgánica 2/2012, introducido por el art. 1.5 de la Ley Orgánica 9/2013, según el cual:</w:t>
      </w:r>
    </w:p>
    <w:p w:rsidR="00163957" w:rsidRDefault="00163957" w:rsidP="00163957">
      <w:pPr>
        <w:pStyle w:val="TextoNormal"/>
      </w:pPr>
    </w:p>
    <w:p w:rsidR="00163957" w:rsidRDefault="00163957" w:rsidP="00163957">
      <w:pPr>
        <w:pStyle w:val="TextoNormal"/>
      </w:pPr>
      <w:r>
        <w:t>“Cuando el periodo medio de pago a los proveedores de la Comunidad Autónoma supere en más de 30 días el plazo máximo de la normativa de morosidad durante dos meses consecutivos a contar desde la actualización de su plan de tesorería de acuerdo con lo previsto en el artículo 13.6, el Ministerio de Hacienda y Administraciones Públicas formulará una comunicación de alerta indicándose el importe que deberá dedicar mensualmente al pago a proveedores y las medidas cuantificadas de reducción de gastos, incremento de ingresos u otras medidas de gestión de cobros y pagos, que deberá adoptar de forma que le permita generar la tesorería necesaria para la reducción de su periodo medio de pago a proveedores. La Comunidad Autónoma deberá incluir todo ello en su plan de tesorería en el mes siguiente a dicha comunicación de alerta.”</w:t>
      </w:r>
    </w:p>
    <w:p w:rsidR="00163957" w:rsidRDefault="00163957" w:rsidP="00163957">
      <w:pPr>
        <w:pStyle w:val="TextoNormal"/>
      </w:pPr>
    </w:p>
    <w:p w:rsidR="00163957" w:rsidRDefault="00163957" w:rsidP="00163957">
      <w:pPr>
        <w:pStyle w:val="TextoNormal"/>
      </w:pPr>
      <w:r>
        <w:t>Por su parte, el art. 1.6 de la Ley Orgánica 9/2013, que es la norma impugnada, introduce en el art. 20 de la Ley Orgánica 2/2012 los apartados 5, 6 y 7, que disponen lo siguiente:</w:t>
      </w:r>
    </w:p>
    <w:p w:rsidR="00163957" w:rsidRDefault="00163957" w:rsidP="00163957">
      <w:pPr>
        <w:pStyle w:val="TextoNormal"/>
      </w:pPr>
    </w:p>
    <w:p w:rsidR="00163957" w:rsidRDefault="00163957" w:rsidP="00163957">
      <w:pPr>
        <w:pStyle w:val="TextoNormal"/>
      </w:pPr>
      <w:r>
        <w:t>“5. Cuando el periodo medio de pago a los proveedores de la Comunidad Autónoma supere en más de 30 días el plazo máximo de la normativa de morosidad durante dos meses consecutivos a contar desde la actualización de su plan de tesorería de acuerdo con lo previsto en el artículo 18.4, el Ministerio de Hacienda y Administraciones Públicas lo comunicará a la Comunidad Autónoma indicando que a partir de ese momento: a) Todas aquellas modificaciones presupuestarias que conlleven un aumento neto del gasto no financiero de la Comunidad Autónoma y que, de acuerdo con la normativa autonómica vigente no se financien con cargo al fondo de contingencia o con baja en otros créditos, requerirán la adopción de un acuerdo de no disponibilidad de igual cuantía, del que se informará al Ministerio de Hacienda y Administraciones Públicas con indicación del crédito afectado, la medida de gasto que lo sustenta y la modificación presupuestaria origen de la misma; b) Todas sus operaciones de endeudamiento a largo plazo precisarán de autorización del Estado. Esta autorización podrá realizarse de forma gradual por tramos; c) La Comunidad Autónoma deberá incluir en la actualización de su plan de tesorería inmediatamente posterior nuevas medidas para cumplir con el plazo máximo de pago previsto en la normativa de morosidad.</w:t>
      </w:r>
    </w:p>
    <w:p w:rsidR="00163957" w:rsidRDefault="00163957" w:rsidP="00163957">
      <w:pPr>
        <w:pStyle w:val="TextoNormal"/>
      </w:pPr>
    </w:p>
    <w:p w:rsidR="00163957" w:rsidRDefault="00163957" w:rsidP="00163957">
      <w:pPr>
        <w:pStyle w:val="TextoNormal"/>
      </w:pPr>
      <w:r>
        <w:lastRenderedPageBreak/>
        <w:t>6. Si aplicadas las medidas previstas en el apartado 5 anterior, el periodo medio de pago a los proveedores de la Comunidad Autónoma supere en más de 30 días el plazo máximo de la normativa de morosidad durante dos meses consecutivos a contar desde la actualización de su plan de tesorería referida en la letra c) del apartado 5 anterior, el Ministerio de Hacienda y Administraciones Públicas iniciará el procedimiento de retención de los importes a satisfacer por los recursos de los regímenes de financiación para pagar directamente a los proveedores. Para ello, se recabará de la Comunidad Autónoma la información necesaria para cuantificar y determinar la parte de la deuda comercial que se va a pagar con cargo a los mencionados recursos y se comunicará al Consejo de Política Fiscal y Financiera para su conocimiento.</w:t>
      </w:r>
    </w:p>
    <w:p w:rsidR="00163957" w:rsidRDefault="00163957" w:rsidP="00163957">
      <w:pPr>
        <w:pStyle w:val="TextoNormal"/>
      </w:pPr>
    </w:p>
    <w:p w:rsidR="00163957" w:rsidRDefault="00163957" w:rsidP="00163957">
      <w:pPr>
        <w:pStyle w:val="TextoNormal"/>
      </w:pPr>
      <w:r>
        <w:t>7. Las medidas previstas en los apartados 5 y 6 anteriores, se mantendrán hasta que la Comunidad Autónoma cumpla con el plazo máximo de pago previsto en la normativa de morosidad durante seis meses consecutivos.”</w:t>
      </w:r>
    </w:p>
    <w:p w:rsidR="00163957" w:rsidRDefault="00163957" w:rsidP="00163957">
      <w:pPr>
        <w:pStyle w:val="TextoNormal"/>
      </w:pPr>
    </w:p>
    <w:p w:rsidR="00163957" w:rsidRDefault="00163957" w:rsidP="00163957">
      <w:pPr>
        <w:pStyle w:val="TextoNormal"/>
      </w:pPr>
      <w:r>
        <w:t>Resulta, a partir de la descripción que hemos hecho de los distintos mecanismos de corrección, que el último de ellos, el que entra en juego cuando la desviación permanece a pesar de la aplicación de las demás medidas legales, es la retención por el Estado de recursos del sistema de financiación de las Comunidades Autónomas para pagar directamente las deudas que éstas tuvieren con sus proveedores, que está regulada en los apartados 6 y 7 del art. 20 de la Ley Orgánica 2/2012, adicionados por el art. 1.6 de la Ley Orgánica 9/2013.</w:t>
      </w:r>
    </w:p>
    <w:p w:rsidR="00163957" w:rsidRDefault="00163957" w:rsidP="00163957">
      <w:pPr>
        <w:pStyle w:val="TextoNormal"/>
      </w:pPr>
    </w:p>
    <w:p w:rsidR="00163957" w:rsidRDefault="00163957" w:rsidP="00163957">
      <w:pPr>
        <w:pStyle w:val="TextoNormal"/>
      </w:pPr>
      <w:r>
        <w:t>c) Esta segunda impugnación también se dirige contra el art. 1.16 de la Ley Orgánica 9/2013, que modifica el apartado 1 y añade un apartado 3 en la disposición final segunda de la Ley Orgánica 2/2012 (“Desarrollo normativo de la Ley”). De esta manera, “por Real Decreto del Consejo de Ministros se desarrollarán las condiciones y el procedimiento de retención de los importes a satisfacer por los recursos de los regímenes de financiación de las Comunidades Autónomas para pagar directamente a los proveedores, así como el resto de medidas necesarias para la aplicación de lo dispuesto en esta Ley en relación con la sostenibilidad de la deuda comercial” (apartado 1) y “[p]or Orden del Ministro de Hacienda y Administraciones Públicas, previo informe del Consejo de Política Fiscal y Financiera, se desarrollará la metodología de cálculo del periodo medio de pago a proveedores de las Administraciones Públicas conforme a criterios homogéneos y que tendrá en cuenta los pagos efectuados y las operaciones pendientes de pago” (apartado 3). A su amparo se ha dictado el Real Decreto 635/2014, de 25 de julio, por el que se desarrolla la metodología de cálculo del periodo medio de pago a proveedores de las Administraciones Públicas y las condiciones y el procedimiento de retención de recursos de los regímenes de financiación, previstos en la Ley Orgánica 2/2012, de 27 de abril, de estabilidad presupuestaria y sostenibilidad financiera, y se ha modificado por la Orden HAP/2082/2014, de 7 de noviembre, la Orden HAP/2105/2012, de 1 de octubre, por la que se desarrollan las obligaciones de suministro de información previstas en la Ley Orgánica de estabilidad presupuestaria y sostenibilidad financiera.</w:t>
      </w:r>
    </w:p>
    <w:p w:rsidR="00163957" w:rsidRDefault="00163957" w:rsidP="00163957">
      <w:pPr>
        <w:pStyle w:val="TextoNormal"/>
      </w:pPr>
    </w:p>
    <w:p w:rsidR="00163957" w:rsidRDefault="00163957" w:rsidP="00163957">
      <w:pPr>
        <w:pStyle w:val="TextoNormal"/>
      </w:pPr>
      <w:r>
        <w:t xml:space="preserve">Finalmente, el art. 2 de la Ley Orgánica 9/2013, igualmente impugnado, incorpora un nuevo apartado 3 a la disposición adicional octava de la LOFCA (“Deducción o retención de los recursos del sistema de financiación de las Comunidades Autónomas y Ciudades con Estatuto de Autonomía”), conforme al cual “[l]a deducción o retención que haga el Estado de los importes satisfechos por todos los recursos de los regímenes de financiación para </w:t>
      </w:r>
      <w:r>
        <w:lastRenderedPageBreak/>
        <w:t>satisfacer las obligaciones de pago que las Comunidades Autónomas tengan con sus proveedores, en los supuestos previstos en el art. 20 de la Ley Orgánica 2/2012, y que comprenderá los costes asociados a su gestión, no podrá exceder de la diferencia entre el importe previsto en el artículo 18.4 de la mencionada Ley Orgánica y el importe que la Comunidad Autónoma haya dedicado al pago a proveedores para poder reducir su periodo medio de pago”.</w:t>
      </w:r>
    </w:p>
    <w:p w:rsidR="00163957" w:rsidRDefault="00163957" w:rsidP="00163957">
      <w:pPr>
        <w:pStyle w:val="TextoNormal"/>
      </w:pPr>
    </w:p>
    <w:p w:rsidR="00163957" w:rsidRDefault="00163957" w:rsidP="00163957">
      <w:pPr>
        <w:pStyle w:val="TextoNormal"/>
      </w:pPr>
      <w:r w:rsidRPr="00163957">
        <w:rPr>
          <w:rStyle w:val="NumeroAFNegritaCaracter"/>
        </w:rPr>
        <w:t>4</w:t>
      </w:r>
      <w:r>
        <w:t>. Esta impugnación dirigida contra los arts. 1, apartados 6 y 16, y 2 de la Ley Orgánica 9/2013 se funda en la demanda en cinco alegaciones distintas, pero todas vinculadas con el mecanismo de retención que ha quedado descrito. Por ello, y siguiendo la constante doctrina sobre el deber de quien inicia un proceso de colaborar con la justicia constitucional mediante un pormenorizado análisis de la cuestión suscitada [STC 199/2015, de 24 de septiembre, FJ 2 a)], procede excluir del objeto de nuestro examen el art. 20.5 de la Ley Orgánica 2/2012, dado que, como resulta del fundamento jurídico anterior, prevé medidas legales de corrección completamente ajenas al mecanismo de retención sobre el que se razonan las vulneraciones constitucionales alegadas, procediendo por ello que se ciña el examen del art. 1.6 recurrido exclusivamente a la incorporación que hace al art. 20 de la Ley Orgánica 2/2012 de los apartados 6 y 7.</w:t>
      </w:r>
    </w:p>
    <w:p w:rsidR="00163957" w:rsidRDefault="00163957" w:rsidP="00163957">
      <w:pPr>
        <w:pStyle w:val="TextoNormal"/>
      </w:pPr>
    </w:p>
    <w:p w:rsidR="00163957" w:rsidRDefault="00163957" w:rsidP="00163957">
      <w:pPr>
        <w:pStyle w:val="TextoNormal"/>
      </w:pPr>
      <w:r>
        <w:t>La Junta de Andalucía, como primera alegación, sostiene que la retención por el Estado de recursos del sistema de financiación de las Comunidades Autónomas para pagar directamente las deudas que éstas tuvieren con sus proveedores supondría una afectación de su autonomía financiera [arts. 137 y 156.1 CE, 2.1 f) LOFCA, y 175.2 a) y b) EAAnd]. Argumenta que, de este modo, el Estado se estaría entrometiendo en las decisiones sobre gasto de las Comunidades Autónomas, en tanto les impone una prioridad en el destino de los recursos (pago a acreedores comerciales) que les coarta la libertad para fijar el destino y orientación de su gasto público y les impide la plena disposición de los medios financieros precisos para poder ejercer, sin condicionamientos indebidos y en toda su extensión, las funciones que legalmente le han sido encomendadas. No es de esta opinión el Abogado del Estado, quien considera que lo único que conlleva el mecanismo de retención controvertido es el pago de gastos contraídos por las Comunidades Autónomas, cuya realización fue decidida por ellas y cuyo pago le adeudan a los correspondientes proveedores, una vez transcurrido el plazo máximo de pago legalmente establecido.</w:t>
      </w:r>
    </w:p>
    <w:p w:rsidR="00163957" w:rsidRDefault="00163957" w:rsidP="00163957">
      <w:pPr>
        <w:pStyle w:val="TextoNormal"/>
      </w:pPr>
    </w:p>
    <w:p w:rsidR="00163957" w:rsidRDefault="00163957" w:rsidP="00163957">
      <w:pPr>
        <w:pStyle w:val="TextoNormal"/>
      </w:pPr>
      <w:r>
        <w:t xml:space="preserve">Una cuestión similar se ha planteado en la STC 41/2016, de 3 de marzo, FJ 16, en relación al art. 57 </w:t>
      </w:r>
      <w:r w:rsidRPr="00163957">
        <w:rPr>
          <w:i/>
        </w:rPr>
        <w:t>bis</w:t>
      </w:r>
      <w:r>
        <w:t xml:space="preserve"> de la Ley de racionalización y sostenibilidad de la Administración Local. Allí los recurrentes alegaban que la retención por el Estado de recursos del sistema de financiación de las Comunidades Autónomas para pagar directamente las cantidades adeudadas por éstas a los entes locales de su territorio en virtud de ciertos conceptos suponía una afectación de su autonomía financiera. Dicha STC 41/2016, FJ 16 c), al estimar la queja de carácter formal que parte del insuficiente rango de ley ordinaria del art. 57 </w:t>
      </w:r>
      <w:r w:rsidRPr="00163957">
        <w:rPr>
          <w:i/>
        </w:rPr>
        <w:t>bis</w:t>
      </w:r>
      <w:r>
        <w:t xml:space="preserve"> de la Ley de racionalización y sostenibilidad de la Administración Local y declarar nulo el precepto, ningún pronunciamiento hizo, por ser ya innecesario, acerca del motivo de fondo, por lo que, sin perjuicio de tenerla presente en lo que proceda, esta STC 41/2016 no contiene una doctrina aplicable para resolver esta impugnación.</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Con carácter previo al examen de esta cuestión, procede analizar el alcance de la autonomía financiera de las Comunidades Autónomas, de conformidad con la jurisprudencia </w:t>
      </w:r>
      <w:r>
        <w:lastRenderedPageBreak/>
        <w:t>de este Tribunal en el fundamento jurídico 7 a) de la STC 215/2014, de 18 de diciembre, en que señalamos:</w:t>
      </w:r>
    </w:p>
    <w:p w:rsidR="00163957" w:rsidRDefault="00163957" w:rsidP="00163957">
      <w:pPr>
        <w:pStyle w:val="TextoNormal"/>
      </w:pPr>
    </w:p>
    <w:p w:rsidR="00163957" w:rsidRDefault="00163957" w:rsidP="00163957">
      <w:pPr>
        <w:pStyle w:val="TextoNormal"/>
      </w:pPr>
      <w:r>
        <w:t>“Con carácter específico, a las Comunidades Autónomas, se les impone la obligación de adoptar las ‘disposiciones’ y ‘decisiones presupuestarias’ necesarias ‘para la aplicación efectiva del principio de estabilidad’ (art. 135.6 CE). De esta manera, la redacción dada al art. 135 CE consagra unos nuevos límites a la autonomía financiera de las Comunidades Autónomas que condicionan sus políticas de gasto al someterlas no sólo a las políticas que, en materia de estabilidad presupuestaria, determine con carácter general el Estado, sino ahora también a las que adopten las propias instituciones europeas”.</w:t>
      </w:r>
    </w:p>
    <w:p w:rsidR="00163957" w:rsidRDefault="00163957" w:rsidP="00163957">
      <w:pPr>
        <w:pStyle w:val="TextoNormal"/>
      </w:pPr>
    </w:p>
    <w:p w:rsidR="00163957" w:rsidRDefault="00163957" w:rsidP="00163957">
      <w:pPr>
        <w:pStyle w:val="TextoNormal"/>
      </w:pPr>
      <w:r>
        <w:t>Y así recordábamos:</w:t>
      </w:r>
    </w:p>
    <w:p w:rsidR="00163957" w:rsidRDefault="00163957" w:rsidP="00163957">
      <w:pPr>
        <w:pStyle w:val="TextoNormal"/>
      </w:pPr>
    </w:p>
    <w:p w:rsidR="00163957" w:rsidRDefault="00163957" w:rsidP="00163957">
      <w:pPr>
        <w:pStyle w:val="TextoNormal"/>
      </w:pPr>
      <w:r>
        <w:t>“Que la doctrina de este Tribunal Constitucional con relación a la estabilidad presupuestaria, antes de la reforma operada en el art. 135 CE, ya había admitido que el principio de autonomía financiera de las Comunidades Autónomas ‘no excluye, sin embargo, la existencia de controles, incluso específicos’, habiendo rechazado únicamente, por contrarias a ese principio, ‘las intervenciones que el Estado realice con rigurosos controles que no se manifiesten imprescindibles para asegurar la coordinación de la política autonómica en un determinado sector económico con programación, a nivel nacional’ [STC 134/2011, de 20 de julio, FJ 8 a)]. La imposición de límites presupuestarios a las Comunidades Autónomas no sólo ‘encuentra su apoyo en la competencia estatal de dirección de la actividad económica general (</w:t>
      </w:r>
      <w:r w:rsidRPr="00163957">
        <w:rPr>
          <w:i/>
        </w:rPr>
        <w:t>ex</w:t>
      </w:r>
      <w:r>
        <w:t xml:space="preserve"> art. 149.1.13 CE), estando su establecimiento ‘encaminado a la consecución de la estabilidad económica y la gradual recuperación del equilibrio presupuestario’, sino que ‘encuentra su fundamento en el límite a la autonomía financiera que establece el principio de coordinación con la Hacienda estatal del art. 156.1 CE’, sobre todo, al corresponderle al Estado ‘la responsabilidad de garantizar el equilibrio económico general’ [STC 134/2011, de 20 de julio, FJ 8 a)], límites de la autonomía financiera de las Comunidades Autónomas ‘que han de reputarse constitucionales cuando se deriven de las prescripciones de la propia Constitución o de la ley orgánica a la que aquélla remite (art. 157.3 CE)’ (STC 134/2011, de 20 de julio, FJ 10)”.</w:t>
      </w:r>
    </w:p>
    <w:p w:rsidR="00163957" w:rsidRDefault="00163957" w:rsidP="00163957">
      <w:pPr>
        <w:pStyle w:val="TextoNormal"/>
      </w:pPr>
    </w:p>
    <w:p w:rsidR="00163957" w:rsidRDefault="00163957" w:rsidP="00163957">
      <w:pPr>
        <w:pStyle w:val="TextoNormal"/>
      </w:pPr>
      <w:r w:rsidRPr="00163957">
        <w:rPr>
          <w:rStyle w:val="NumeroAFNegritaCaracter"/>
        </w:rPr>
        <w:t>6</w:t>
      </w:r>
      <w:r>
        <w:t>. En el caso examinado, como señala la Junta de Andalucía, la Constitución garantiza a las Comunidades Autónomas la “autonomía financiera para el desarrollo y ejecución de sus competencias con arreglo a los principios de coordinación con la hacienda estatal y de solidaridad entre todos los españoles” (art. 156.1 CE), principio que exige que “disfruten de la plena disposición de los medios financieros precisos para poder ejercer, sin condicionamientos indebidos y en toda su extensión, las funciones que legalmente les han sido encomendadas; es decir, para posibilitar y garantizar el ejercicio de la autonomía constitucionalmente reconocida en los arts. 137 y 156 CE” [SSTC 13/2007, de 18 de enero FJ 5, y 76/2014, de 8 de mayo, FJ 4 c)].</w:t>
      </w:r>
    </w:p>
    <w:p w:rsidR="00163957" w:rsidRDefault="00163957" w:rsidP="00163957">
      <w:pPr>
        <w:pStyle w:val="TextoNormal"/>
      </w:pPr>
    </w:p>
    <w:p w:rsidR="00163957" w:rsidRDefault="00163957" w:rsidP="00163957">
      <w:pPr>
        <w:pStyle w:val="TextoNormal"/>
      </w:pPr>
      <w:r>
        <w:t xml:space="preserve">Debe señalarse a renglón seguido que la Ley Orgánica 2/2012, tanto en su redacción originaria, como en la que le ha dado la Ley Orgánica 9/2013, deja en manos de las Comunidades Autónomas la decisión de las políticas a adoptar de cara a la consecución de los objetivos de estabilidad y de sostenibilidad financiera, de manera que es la Comunidad Autónoma la que en el ejercicio de su autonomía política y financiera decide cómo cumplir con </w:t>
      </w:r>
      <w:r>
        <w:lastRenderedPageBreak/>
        <w:t xml:space="preserve">el mandato constitucionalmente impuesto adoptando las decisiones presupuestarias y de tesorería necesarias para la aplicación efectiva de aquellos objetivos (art. 135.6 CE). Únicamente cuando las medidas dirigidas al cumplimiento de ese mandato sean inexistentes o insuficientes y, sólo entonces, será cuando el Estado, en el ejercicio de sus facultades de dirección general de la actividad económica (art. 149.1.13 CE), como titular de la potestad de coordinación de las haciendas autonómicas (art. 156.1 CE), garante del equilibrio económico general (arts. 131 y 138 CE), y como responsable del cumplimiento </w:t>
      </w:r>
      <w:r w:rsidRPr="00163957">
        <w:rPr>
          <w:i/>
        </w:rPr>
        <w:t>ad extra</w:t>
      </w:r>
      <w:r>
        <w:t xml:space="preserve"> de los objetivos de estabilidad presupuestaria (arts. 4.3 del Tratado de la Unión Europea, 126.1 Tratado de funcionamiento de la Unión Europea y 3 del protocolo núm. 12 anejo al Tratado de funcionamiento de la Unión Europea), podrá promover la adopción por las Comunidades Autónomas de determinadas medidas de cara a impedir que queden sin efecto los objetivos de estabilidad y/o de sostenibilidad, pues el Estado ha de garantizar el equilibrio de la política económica general (STC 134/2011, de 20 de julio, FJ 11) y también la STC 215/2014, de 18 de diciembre, FFJJ 2 b) y 7 a).</w:t>
      </w:r>
    </w:p>
    <w:p w:rsidR="00163957" w:rsidRDefault="00163957" w:rsidP="00163957">
      <w:pPr>
        <w:pStyle w:val="TextoNormal"/>
      </w:pPr>
    </w:p>
    <w:p w:rsidR="00163957" w:rsidRDefault="00163957" w:rsidP="00163957">
      <w:pPr>
        <w:pStyle w:val="TextoNormal"/>
      </w:pPr>
      <w:r>
        <w:t>Las previsiones de los arts. 1.6, 1.16 y 2 de la Ley Orgánica 9/2013, objeto ahora de enjuiciamiento, que regulan la eventual retención por el Estado de parte de los recursos de los regímenes de financiación para satisfacer las obligaciones de pago que las Comunidades Autónomas tengan con sus proveedores, se instrumentan como una reacción ante el incumplimiento de una Comunidad Autónoma, primero no adoptando en su plan de tesorería las medidas necesarias o adoptándolas pero de forma insuficiente o inidónea para cumplir con el período medio de pago a proveedores legalmente establecido (art. 13.6 de la Ley Orgánica 2/2012); después, tras la comunicación de alerta del Estado, no acordando en su plan de tesorería las medidas necesarias o acordándolas pero de forma insuficiente o inidónea para la reducción de los gastos, el incremento de los ingresos u otras medidas de gestión de los cobros y de los pagos (art. 18.4 de la Ley Orgánica 2/2012); y, finalmente, y tras una nueva comunicación del Estado, no adoptando en su plan de tesorería nuevas medidas para cumplir con el plazo máximo de pago previsto en la normativa de morosidad (art. 20.5 de la Ley Orgánica 2/2012).</w:t>
      </w:r>
    </w:p>
    <w:p w:rsidR="00163957" w:rsidRDefault="00163957" w:rsidP="00163957">
      <w:pPr>
        <w:pStyle w:val="TextoNormal"/>
      </w:pPr>
    </w:p>
    <w:p w:rsidR="00163957" w:rsidRDefault="00163957" w:rsidP="00163957">
      <w:pPr>
        <w:pStyle w:val="TextoNormal"/>
      </w:pPr>
      <w:r>
        <w:t xml:space="preserve">De lo que antecede puede comprobarse que a la Comunidad Autónoma incumplidora le asiste, en todo caso, la posibilidad de adoptar sus propias políticas, acordando aquellas medidas de reducción de gastos, de incremento de ingresos o de gestión de cobros y pagos, que considere oportunas para el cumplimiento del objetivo establecido. Sólo, entonces, cuando no se hayan adoptado las medidas necesarias o cuando las adoptadas </w:t>
      </w:r>
      <w:r w:rsidRPr="00163957">
        <w:rPr>
          <w:i/>
        </w:rPr>
        <w:t>motu proprio</w:t>
      </w:r>
      <w:r>
        <w:t xml:space="preserve"> se hayan mostrado insuficientes para corregir la desviación detectada, el Estado, a través del Ministerio de Hacienda y Administraciones Públicas, iniciará el procedimiento de retención de los importes a satisfacer por los recursos de los regímenes de financiación para pagar directamente a los proveedores (art. 20.6 de la Ley Orgánica 2/2012), sin que dicha retención pueda ser superior a la diferencia entre el importe que debía dedicar mensualmente al pago a proveedores y el importe que la Comunidad Autónoma haya dedicado a este pago para reducir su periodo medio de pago (disposición adicional octava LOFCA).</w:t>
      </w:r>
    </w:p>
    <w:p w:rsidR="00163957" w:rsidRDefault="00163957" w:rsidP="00163957">
      <w:pPr>
        <w:pStyle w:val="TextoNormal"/>
      </w:pPr>
    </w:p>
    <w:p w:rsidR="00163957" w:rsidRDefault="00163957" w:rsidP="00163957">
      <w:pPr>
        <w:pStyle w:val="TextoNormal"/>
      </w:pPr>
      <w:r>
        <w:t xml:space="preserve">Por lo tanto, con los matices que se señalarán en el siguiente fundamento jurídico, la retención estatal enjuiciada no estaría impidiendo a la Comunidad Autónoma incumplidora identificar sus políticas, ni determinar y poner en funcionamiento las medidas de reducción de gastos, de incremento de ingresos o de gestión de cobros y pagos que considere oportunas. Se trataría, en realidad, de una intervención al tiempo del pago de las obligaciones ya </w:t>
      </w:r>
      <w:r>
        <w:lastRenderedPageBreak/>
        <w:t>surgidas mediante una mera asignación de parte de los recursos que el Estado tiene que transferir a la Comunidad Autónoma al pago de las deudas contraídas por ésta con sus proveedores, materializadas en el abono de las facturas correspondientes, para garantizar el cumplimiento del período medio de pago y, por tanto, de la sostenibilidad financiera del sistema.</w:t>
      </w:r>
    </w:p>
    <w:p w:rsidR="00163957" w:rsidRDefault="00163957" w:rsidP="00163957">
      <w:pPr>
        <w:pStyle w:val="TextoNormal"/>
      </w:pPr>
    </w:p>
    <w:p w:rsidR="00163957" w:rsidRDefault="00163957" w:rsidP="00163957">
      <w:pPr>
        <w:pStyle w:val="TextoNormal"/>
      </w:pPr>
      <w:r>
        <w:t>En suma, aunque la referida retención supone un límite en su autonomía financiera de las Comunidades Autónomas, no cabría afirmar que el mismo revista caracteres de inconstitucionalidad, porque no les priva de la adopción de las medidas de tesorería que considere oportunas para la corrección del incumplimiento detectado; porque no les genera menoscabo o quebranto alguno de su autonomía financiera al no minorarles los recursos que le corresponden de los regímenes de financiación y, por tanto, no les impide la plena disposición de los medios financieros precisos para poder ejercer las funciones que legalmente les han sido encomendadas; y, en fin, porque tampoco les coarta sus políticas de gasto, esto es, su libertad para fijar el destino y orientación de su gasto público, la cual permanece intacta.</w:t>
      </w:r>
    </w:p>
    <w:p w:rsidR="00163957" w:rsidRDefault="00163957" w:rsidP="00163957">
      <w:pPr>
        <w:pStyle w:val="TextoNormal"/>
      </w:pPr>
    </w:p>
    <w:p w:rsidR="00163957" w:rsidRDefault="00163957" w:rsidP="00163957">
      <w:pPr>
        <w:pStyle w:val="TextoNormal"/>
      </w:pPr>
      <w:r>
        <w:t>Por ello debe considerarse que estamos ante un límite legítimo en la autonomía financiera, por adecuado, necesario y proporcionado. Es adecuado al responder a la consecución de un fin constitucionalmente consagrado como es la estabilidad presupuestaria, manteniendo un nivel de endeudamiento soportable y de morosidad aceptable; es necesario, porque esta técnica, a diferencia de otras, asegura que los proveedores ven satisfechos sus créditos y a la vez permite limitar al endeudamiento de los entes públicos autonómicos y, en fin, es proporcionado, pues opera sólo ante la falta de adopción por parte de una Comunidad Autónoma, en el ejercicio debido de su propia autonomía financiera, de las decisiones de tesorería imprescindibles para cumplir con los plazos de pago previstos por la Ley, en orden al abono de las facturas impagadas, guardando una necesaria y razonable relación de causalidad con el fin legítimo y constitucionalmente perseguido, de manera que el sacrificio que conlleva es claramente inferior que el beneficio que a través de su finalidad se pretende obtener.</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Es necesario tener en cuenta también, y de un modo muy especial, la doctrina constitucional acerca de la compatibilidad entre la autonomía reconocida a las Comunidades Autónomas y los controles que la ley pueda atribuir al Estado sobre la actividad de aquéllas. Hemos recordado en la STC 134/2011, de 20 de julio, FJ 10, que “nuestra doctrina también ha hecho hincapié en la necesidad de distinguir entre la previsión de un control del Estado ‘genérico e indeterminado que, según reiterada doctrina de este Tribunal (desde la STC 4/1981, FJ 3), resulta contrario al principio constitucional de autonomía … [y] aquellos que resulte necesario ejercer para garantizar el cumplimiento de las facultades emanadas del ejercicio de las potestades de coordinación’ (STC 118/1996, de 22 de junio, FJ 19)”. En dicha Sentencia se enjuiciaba el plan económico-financiero que, por mandato del art. 8 de la Ley Orgánica 5/2001, una Comunidad Autónoma había de formular cuando incurría en situación de desequilibrio presupuestario y, en concreto, si era compatible con su autonomía financiera el control que dicha norma atribuía al Consejo de Política Fiscal y Financiera de las Comunidades Autónomas consistente en que, cuando considerase que las medidas contenidas en el plan presentado no garantizaban la corrección del desequilibrio, pudiera requerir a la Comunidad Autónoma la presentación de un nuevo plan. En aplicación de la doctrina anterior, la STC 134/2011 resolvió que “la apreciación por el Consejo de Política Fiscal y Financiera de las Comunidades Autónomas de si el plan económico-financiero elaborado </w:t>
      </w:r>
      <w:r>
        <w:lastRenderedPageBreak/>
        <w:t>por éstas se adecua o no al objetivo de estabilidad presupuestaria se detiene allí, esto es, no conlleva en el caso de que la apreciación sea negativa la sustitución en la competencia de la Comunidad Autónoma para la elaboración del plan, sustitución que sería inconstitucional (STC 118/1986, de 27 de junio, FJ 18, entre otras muchas)” (STC 134/2011, de 20 de julio, FJ 11).</w:t>
      </w:r>
    </w:p>
    <w:p w:rsidR="00163957" w:rsidRDefault="00163957" w:rsidP="00163957">
      <w:pPr>
        <w:pStyle w:val="TextoNormal"/>
      </w:pPr>
    </w:p>
    <w:p w:rsidR="00163957" w:rsidRDefault="00163957" w:rsidP="00163957">
      <w:pPr>
        <w:pStyle w:val="TextoNormal"/>
      </w:pPr>
      <w:r>
        <w:t>La STC 215/2014, FJ 7 a), se inscribe en la misma línea doctrinal en lo que hace a la compatibilidad entre la autonomía financiera de las Comunidades Autónomas y los controles estatales sobre su actividad financiera. Declaramos entonces, en relación a la comisión de expertos enviada por el Gobierno a una Comunidad Autónoma para examinar la situación de incumplimiento de los objetivos de estabilidad presupuestaria en que se pudiere hallar, que “el art. 25.2 de la Ley Orgánica 2/2012, cuando afirma que ‘las medidas propuestas serán de obligado cumplimiento’ para la Comunidad Autónoma incumplidora no significa que, por la sola autoridad de la comisión de expertos actuando en nombre del Gobierno se puedan ejecutar tales medidas… Según lo que antecede, no cabe duda de que… aun estando en presencia de una medida afectante a la citada autonomía financiera no puede afirmarse, sin embargo, que dicha injerencia lo sea de una manera inconstitucional, porque, como hemos comprobado, ni impiden ni sustituyen a la Comunidad Autónoma en la adopción de las medidas oportunas para la corrección del incumplimiento detectado”.</w:t>
      </w:r>
    </w:p>
    <w:p w:rsidR="00163957" w:rsidRDefault="00163957" w:rsidP="00163957">
      <w:pPr>
        <w:pStyle w:val="TextoNormal"/>
      </w:pPr>
    </w:p>
    <w:p w:rsidR="00163957" w:rsidRDefault="00163957" w:rsidP="00163957">
      <w:pPr>
        <w:pStyle w:val="TextoNormal"/>
      </w:pPr>
      <w:r>
        <w:t xml:space="preserve">En estos dos casos la intervención que legalmente se atribuye al Estado se refiere al momento de definición de las políticas autonómicas. El plan económico-financiero que regulaba el art. 8 de la Ley Orgánica 5/2001, y cuya revisión por el Consejo de Política Fiscal y Financiera de las Comunidades Autónomas se enjuiciaba, tenía por objeto contener “la definición de las políticas de ingresos y de gastos que habrá de aplicar la Comunidad Autónoma para corregir la situación de desequilibrio” (art. 8.2). De la misma manera, la comisión de expertos </w:t>
      </w:r>
      <w:r w:rsidRPr="00163957">
        <w:rPr>
          <w:i/>
        </w:rPr>
        <w:t>ex</w:t>
      </w:r>
      <w:r>
        <w:t xml:space="preserve"> art. 25.2 de la Ley Orgánica 2/2012 es enviada por el Gobierno a una Comunidad Autónoma cuando las medidas adoptadas por ésta no han permitido corregir el incumplimiento de los objetivos de estabilidad presupuestaria, encargándole el art. 25.2 de la Ley Orgánica 2/2012 que, después de valorar la situación económico-presupuestaria de la administración afectada, hagan una propuesta de nuevas medidas. De este modo, dado que el momento lógico donde está prevista la intervención estatal es el de la definición de las políticas autonómicas de ingreso y gasto, si al Consejo de Política Fiscal y Financiera de las Comunidades Autónomas </w:t>
      </w:r>
      <w:r w:rsidRPr="00163957">
        <w:rPr>
          <w:i/>
        </w:rPr>
        <w:t>ex</w:t>
      </w:r>
      <w:r>
        <w:t xml:space="preserve"> art. 8 de la Ley Orgánica 5/2001 o a la comisión de expertos </w:t>
      </w:r>
      <w:r w:rsidRPr="00163957">
        <w:rPr>
          <w:i/>
        </w:rPr>
        <w:t>ex</w:t>
      </w:r>
      <w:r>
        <w:t xml:space="preserve"> art. 25.2 de la Ley Orgánica 2/2012 se les habilitara para formular en positivo las medidas a aplicar y, además, éstas fuesen ejecutivas por su sola autoridad, resulta claro que se estaría sustituyendo a la Comunidad Autónoma de que se trate en la configuración de qué políticas deben desarrollarse en ámbitos de su competencia.</w:t>
      </w:r>
    </w:p>
    <w:p w:rsidR="00163957" w:rsidRDefault="00163957" w:rsidP="00163957">
      <w:pPr>
        <w:pStyle w:val="TextoNormal"/>
      </w:pPr>
    </w:p>
    <w:p w:rsidR="00163957" w:rsidRDefault="00163957" w:rsidP="00163957">
      <w:pPr>
        <w:pStyle w:val="TextoNormal"/>
      </w:pPr>
      <w:r>
        <w:t>Por el contrario, y esta circunstancia adquiere extraordinaria relevancia, la intervención en que consiste el mecanismo de retención que nos ocupa no se proyecta sobre el momento en que se definen las políticas autonómicas. La Comunidad Autónoma de que se trate ya decidió en su momento con plena autonomía en qué términos realizar sus competencias y, precisamente como consecuencia del ejercicio de las mismas, encargó bienes y servicios a proveedores, adquiriendo por ello compromisos de gasto que debería haber atendido en los plazos pactados y a lo sumo en los plazos máximos previstos en la normativa de morosidad. No quiere decirse con esto que el mecanismo de retención que estamos enjuiciando no con</w:t>
      </w:r>
      <w:r>
        <w:lastRenderedPageBreak/>
        <w:t>lleve un límite para las decisiones de gasto de la Comunidad Autónoma afectada y, consecuentemente, una injerencia en su autonomía financiera, pues resulta evidente que las cantidades retenidas por el Estado para el pago directo a los proveedores de aquélla no pueden ser objeto de disposición para otros fines. Ahora bien, por las razones antedichas, este límite no supone una sustitución en la definición autonómica de sus propias políticas en el ámbito de su competencia, no resultando alcanzado por tanto por la doctrina constitucional establecida en las SSTC 134/2011 y 215/2014 sobre la compatibilidad entre la autonomía reconocida a las Comunidades Autónomas y los controles estatales que supongan sustituir a aquéllas en el ejercicio de sus competencias.</w:t>
      </w:r>
    </w:p>
    <w:p w:rsidR="00163957" w:rsidRDefault="00163957" w:rsidP="00163957">
      <w:pPr>
        <w:pStyle w:val="TextoNormal"/>
      </w:pPr>
    </w:p>
    <w:p w:rsidR="00163957" w:rsidRDefault="00163957" w:rsidP="00163957">
      <w:pPr>
        <w:pStyle w:val="TextoNormal"/>
      </w:pPr>
      <w:r>
        <w:t xml:space="preserve">El mecanismo de intervención que estamos examinando se asemeja más, por lo que hace a la incidencia en la autonomía financiera reconocida a las Comunidades Autónomas, al regulado en la disposición adicional segunda de la Ley Orgánica 2/2012, según la cual “[e]l Consejo de Ministros, previa audiencia de las Administraciones o entidades afectadas, será el órgano competente para declarar la responsabilidad por dicho incumplimiento y acordar, en su caso, la compensación o retención de dicha deuda con las cantidades que deba transferir el Estado a la Administración o entidad responsable por cualquier concepto, presupuestario y no presupuestario”. En el caso regulado en este precepto, al igual que en el que se está enjuiciando en esta resolución, hay una limitación a la decisión de gasto de la Comunidad Autónoma, pues no podrá disponer para ningún otro fin de las cantidades retenidas, pero no hay una sustitución en la definición de sus políticas, pues la retención viene determinada por el propio ejercicio previo y con plena autonomía de las competencias que les incumben. Por este motivo, y al igual que decidimos respecto el precepto transcrito de la Ley Orgánica 2/2012 en la STC 215/2014, FJ 9 d), procede declarar que los arts. 1, apartados 6 y 16, y 2 de la Ley Orgánica 9/2013, en la medida que regulan un mecanismo de retención por el Estado de recursos del sistema de financiación de las Comunidades Autónomas para pagar directamente las deudas que éstas tuvieren con sus proveedores, no invaden las competencias de las Comunidades Autónomas ni menoscaban el ejercicio de la autonomía financiera </w:t>
      </w:r>
      <w:r w:rsidRPr="00163957">
        <w:rPr>
          <w:i/>
        </w:rPr>
        <w:t>ex</w:t>
      </w:r>
      <w:r>
        <w:t xml:space="preserve"> arts. 137 y 156.1 CE, 2.1 f) LOFCA y 175.2 a) y b) EAAnd.</w:t>
      </w:r>
    </w:p>
    <w:p w:rsidR="00163957" w:rsidRDefault="00163957" w:rsidP="00163957">
      <w:pPr>
        <w:pStyle w:val="TextoNormal"/>
      </w:pPr>
    </w:p>
    <w:p w:rsidR="00163957" w:rsidRDefault="00163957" w:rsidP="00163957">
      <w:pPr>
        <w:pStyle w:val="TextoNormal"/>
      </w:pPr>
      <w:r w:rsidRPr="00163957">
        <w:rPr>
          <w:rStyle w:val="NumeroAFNegritaCaracter"/>
        </w:rPr>
        <w:t>8</w:t>
      </w:r>
      <w:r>
        <w:t>. La Junta de Andalucía considera, como segunda alegación en que funda esta impugnación de los arts. 1, apartados 6 y 16, y 2 de la Ley Orgánica 9/2013, que la detracción de los importes a satisfacer por los recursos de los regímenes de financiación para pagar directamente a los proveedores constituye una condición para la obtención de financiación autonómica —el cumplimiento por parte de la Comunidad Autónoma de sus compromisos de pago— que recorta la plena disponibilidad de los ingresos para poder ejercer las propias competencias con vulneración de los arts. 137 y 156.1 CE; 175.2 a), b) y e), 183.1 y 7, 219.1 EAAnd; y 2.1 f) y g) LOFCA. Para el Abogado del Estado, por el contrario, la aplicación de la retención no afectaría al principio de suficiencia financiera pues no implica una reducción de los recursos que corresponden a las Comunidades Autónomas de acuerdo con el sistema de financiación aplicable, limitándose la medida analizada a destinar una parte de los mismos al pago de unas obligaciones previamente contraídas y no satisfechas en los plazos marcados por la ley.</w:t>
      </w:r>
    </w:p>
    <w:p w:rsidR="00163957" w:rsidRDefault="00163957" w:rsidP="00163957">
      <w:pPr>
        <w:pStyle w:val="TextoNormal"/>
      </w:pPr>
    </w:p>
    <w:p w:rsidR="00163957" w:rsidRDefault="00163957" w:rsidP="00163957">
      <w:pPr>
        <w:pStyle w:val="TextoNormal"/>
      </w:pPr>
      <w:r>
        <w:t xml:space="preserve">Procede, en primer lugar, matizar que no es correcta la contraposición que parece mantener el recurrente entre el gasto público que las Comunidades Autónomas destinan a la prestación de servicios públicos fundamentales (cita educación, salud y servicios sociales) con el pago a los proveedores, puesto que el contenido de gran parte de los bienes y servicios </w:t>
      </w:r>
      <w:r>
        <w:lastRenderedPageBreak/>
        <w:t>prestados por éstos está también relacionado con dichos servicios públicos fundamentales y se incluye dentro del gasto sanitario, educativo y en servicios sociales que corresponda.</w:t>
      </w:r>
    </w:p>
    <w:p w:rsidR="00163957" w:rsidRDefault="00163957" w:rsidP="00163957">
      <w:pPr>
        <w:pStyle w:val="TextoNormal"/>
      </w:pPr>
    </w:p>
    <w:p w:rsidR="00163957" w:rsidRDefault="00163957" w:rsidP="00163957">
      <w:pPr>
        <w:pStyle w:val="TextoNormal"/>
      </w:pPr>
      <w:r>
        <w:t>No es real, por ello, la disyuntiva en que, según el recurrente, se situaría a las Comunidades Autónomas entre atender a los servicios públicos fundamentales o pagar a los proveedores, pues la sanidad, educación y servicios sociales también se atienden mediante los diversos contratos que la Administración firma con sus proveedores para adquirir bienes y servicios destinados a aquellos. Así pues, el pago a los proveedores, además del cumplimiento de una obligación contractual de la Administración, constituye parte esencial de la prestación de los referidos servicios públicos. Y, por la misma razón, el incumplimiento de dichos plazos también pone en riesgo la adecuada prestación de los citados servicios públicos esenciales.</w:t>
      </w:r>
    </w:p>
    <w:p w:rsidR="00163957" w:rsidRDefault="00163957" w:rsidP="00163957">
      <w:pPr>
        <w:pStyle w:val="TextoNormal"/>
      </w:pPr>
    </w:p>
    <w:p w:rsidR="00163957" w:rsidRDefault="00163957" w:rsidP="00163957">
      <w:pPr>
        <w:pStyle w:val="TextoNormal"/>
      </w:pPr>
      <w:r>
        <w:t>Este Tribunal ha venido considerando que la autonomía financiera de los entes territoriales queda estrechamente ligada a su suficiencia financiera, por cuanto exige “la plena disposición de medios financieros para poder ejercer, sin condicionamientos indebidos y en toda su extensión, las funciones que legalmente les han sido encomendadas” (por todas, SSTC 13/2007, de 18 de enero, FJ 5, y 109/2011, de 22 de junio, FJ 5). Ahora bien, para valorar si una determinada Comunidad Autónoma goza de recursos suficientes para ejercer la autonomía financiera constitucionalmente consagrada es preciso atender al conjunto de los recursos de que puedan disponer y a las competencias que le han sido atribuidas (SSTC 13/2007, FJ 5, y 109/2011, FJ 5). Dicho de otro modo, la suficiencia financiera depende de muchas variables, tales como “las necesidades traducidas en el gasto público generado por el funcionamiento efectivo de las competencias asumidas” (SSTC 135/1992, de 5 de octubre, FJ 8; y 13/2007, FJ 5).</w:t>
      </w:r>
    </w:p>
    <w:p w:rsidR="00163957" w:rsidRDefault="00163957" w:rsidP="00163957">
      <w:pPr>
        <w:pStyle w:val="TextoNormal"/>
      </w:pPr>
    </w:p>
    <w:p w:rsidR="00163957" w:rsidRDefault="00163957" w:rsidP="00163957">
      <w:pPr>
        <w:pStyle w:val="TextoNormal"/>
      </w:pPr>
      <w:r>
        <w:t>Por otra parte, la suficiencia financiera, como principio ligado a la autonomía financiera, se refiere a la totalidad de recursos de que disponen las Comunidades Autónomas para el efectivo ejercicio de las competencias asumidas, no encontrándose limitada, por tanto, a un único recurso, como son, las transferencias garantizadas por el Estado (SSTC 13/2007, FJ 5; 58/2007, de 14 de marzo, FJ 3; 204/2011, de 15 de diciembre, FJ 8; y 213/2012, de 14 de noviembre, FJ 5), lo que implica que no resulta determinable “en función de una singular fuente de ingresos individualmente considerada y su eventual reducción” (SSTC 32/2012, de 15 de marzo, FJ 7; y 123/2012, de 5 de junio, FJ 7).</w:t>
      </w:r>
    </w:p>
    <w:p w:rsidR="00163957" w:rsidRDefault="00163957" w:rsidP="00163957">
      <w:pPr>
        <w:pStyle w:val="TextoNormal"/>
      </w:pPr>
    </w:p>
    <w:p w:rsidR="00163957" w:rsidRDefault="00163957" w:rsidP="00163957">
      <w:pPr>
        <w:pStyle w:val="TextoNormal"/>
      </w:pPr>
      <w:r>
        <w:t>Además, encuentra un límite evidente en la propia naturaleza de las cosas y, en particular, en el marco de las posibilidades reales del sistema financiero del Estado en su conjunto (SSTC 13/2007, FJ 5; 31/2010, de 28 de junio, FJ 130; 133/2012, de 19 de junio, FJ 4, y 213/2012, FJ 5), garantizando sólo un nivel mínimo de recursos que permita el ejercicio de las competencias autonómicas (SSTC 13/2007, FJ 5; 204/2011, de 15 de diciembre, FJ 8, y 32/2012, de 15 de marzo, FJ 7). En cualquier caso, no hay que descuidar que aun cuando el endeudamiento es uno de los recursos posibles que nutren a las haciendas autonómicas de conformidad con el art. 157.1 e) CE, este instrumento de financiación “tiene siempre una contrapartida que no puede obviarse, pues supone siempre un mayor gasto futuro en concepto de intereses, por lo que un endeudamiento descontrolado pone también en peligro, si cabe incluso más, la propia suficiencia financiera” (STC 171/2014, de 23 de octubre, FJ 6).</w:t>
      </w:r>
    </w:p>
    <w:p w:rsidR="00163957" w:rsidRDefault="00163957" w:rsidP="00163957">
      <w:pPr>
        <w:pStyle w:val="TextoNormal"/>
      </w:pPr>
    </w:p>
    <w:p w:rsidR="00163957" w:rsidRDefault="00163957" w:rsidP="00163957">
      <w:pPr>
        <w:pStyle w:val="TextoNormal"/>
      </w:pPr>
      <w:r>
        <w:lastRenderedPageBreak/>
        <w:t>Si como hemos señalado anteriormente la eventual detracción de los importes a satisfacer por los recursos de los regímenes de financiación para pagar directamente a los proveedores no minora los recursos disponibles del sistema de financiación, al limitarse a afectar una parte de ellos al pago de unas obligaciones previamente contraídas por una Comunidad Autónoma en el ejercicio de su propia autonomía, que le impida realizar sus propias políticas en los ámbitos materiales de su competencia, ni le afecta a su autonomía de gasto, difícilmente puede apreciarse la pretendida vulneración de su suficiencia financiera. En consecuencia, los arts. 1.6 y 16, y 2, de la Ley Orgánica 9/2013, de 20 de diciembre, de control de la deuda comercial en el sector público, no menoscaban la suficiencia financiera de las Comunidades Autónomas, ni, por tanto, contradicen los arts. 137 y 156.1 CE, 175.2 a), b) y e), 183.1 y 7, 219.1 EAAnd y 2.1 f) y g) LOFCA.</w:t>
      </w:r>
    </w:p>
    <w:p w:rsidR="00163957" w:rsidRDefault="00163957" w:rsidP="00163957">
      <w:pPr>
        <w:pStyle w:val="TextoNormal"/>
      </w:pPr>
    </w:p>
    <w:p w:rsidR="00163957" w:rsidRDefault="00163957" w:rsidP="00163957">
      <w:pPr>
        <w:pStyle w:val="TextoNormal"/>
      </w:pPr>
      <w:r w:rsidRPr="00163957">
        <w:rPr>
          <w:rStyle w:val="NumeroAFNegritaCaracter"/>
        </w:rPr>
        <w:t>9</w:t>
      </w:r>
      <w:r>
        <w:t>. La Junta de Andalucía argumenta, en tercer lugar, que el mecanismo de retención regulado en los arts. 1, apartados 6 y 16, y 2 de la Ley Orgánica 9/2013 afectaría también a los principios de lealtad institucional, coordinación, colaboración, transparencia y participación en las decisiones que afecten a la Comunidad Autónoma, así como de cooperación y mutuo auxilio [arts. 175.2 a), b) y e), 183.1, y 219.1 EAAnd]. La vulneración de todos estos principios se produciría por haberse previsto la retención de recursos de forma unilateral por el Estado, esto es, de forma ajena al principio de cooperación entre Administraciones que exige el art. 183.7 EAAnd, no siendo suficiente, a estos efectos, ni la mera puesta en conocimiento del Consejo de Política Fiscal y Financiera del inicio del procedimiento (art. 20.6 de la Ley Orgánica 2/2012), ni la mera petición de información a la Comunidad Autónoma sobre la parte y cuantía de las deudas comerciales a abonar (art. 20.6 de la Ley Orgánica 2/2012), pues ello le impide la posibilidad de formular alegaciones o reparos al cálculo efectuado, a la superación del plazo del pago a proveedores o a la improcedencia o forma de realizar la retención. Señala a este respecto el Abogado del Estado, sin embargo, que no son exigibles otras medidas de coordinación más allá de las necesarias para que el procedimiento se articule de forma eficaz y con las debidas garantías, en los términos establecidos en la Ley Orgánica 2/2012 y en su desarrollo reglamentario.</w:t>
      </w:r>
    </w:p>
    <w:p w:rsidR="00163957" w:rsidRDefault="00163957" w:rsidP="00163957">
      <w:pPr>
        <w:pStyle w:val="TextoNormal"/>
      </w:pPr>
    </w:p>
    <w:p w:rsidR="00163957" w:rsidRDefault="00163957" w:rsidP="00163957">
      <w:pPr>
        <w:pStyle w:val="TextoNormal"/>
      </w:pPr>
      <w:r>
        <w:t>No sólo la Ley Orgánica 2/2012 ha instrumentado el principio de transparencia, conforme al cual “las Administraciones Públicas suministrarán toda la información necesaria para el cumplimiento de las disposiciones” de la Ley (art. 6.2), sino que la Ley Orgánica 9/2013, dentro del principio de sostenibilidad financiera, ha incorporado la obligación de las Administraciones públicas de publicar su periodo medio de pago a los proveedores e incluir en su plan de tesorería tanto el importe de los recursos que va a dedicar mensualmente a su pago, como el compromiso de adoptar las medidas necesarias para la reducción de ese periodo medio de pago hasta el plazo máximo legalmente establecido (art. 13.6 de la Ley Orgánica 2/2012). Sólo si una Comunidad Autónoma no adopta las medidas necesarias o las adoptadas son insuficientes se procederá a iniciar el procedimiento de retención, para lo cual se “recabará de la Comunidad Autónoma la información necesaria para cuantificar y determinar la parte de la deuda comercial que se va a pagar con cargo a los mencionados recursos”, con comunicación al Consejo de Política Fiscal y Financiera para su conocimiento (art. 20.6 de la Ley Orgánica 2/2012).</w:t>
      </w:r>
    </w:p>
    <w:p w:rsidR="00163957" w:rsidRDefault="00163957" w:rsidP="00163957">
      <w:pPr>
        <w:pStyle w:val="TextoNormal"/>
      </w:pPr>
    </w:p>
    <w:p w:rsidR="00163957" w:rsidRDefault="00163957" w:rsidP="00163957">
      <w:pPr>
        <w:pStyle w:val="TextoNormal"/>
      </w:pPr>
      <w:r>
        <w:t>Por su parte, el Real Decreto 635/2014, de 25 de julio, por el que se desarrolla la metodología de cálculo del periodo medio de pago a proveedores de las Administraciones Públi</w:t>
      </w:r>
      <w:r>
        <w:lastRenderedPageBreak/>
        <w:t>cas y las condiciones y el procedimiento de retención de recursos de los regímenes de financiación, establece la metodología para que “[l]a Administración Central, las Comunidades Autónomas, las Corporaciones Locales y las Administraciones de la Seguridad Social” calculen “el período medio de pago global a proveedores” (art. 4). Y la Orden HAP/2105/2012, de 1 de octubre (tras la modificación operada por la Orden HAP/2082/2014, de 7 de noviembre), de cara a la publicidad del período medio de pago a proveedores, dispone que las Comunidades Autónomas “remitirán al Ministerio de Hacienda y Administraciones Públicas y publicarán periódicamente”, el período medio mensual de pago global a proveedores y su serie histórica; el período medio mensual de pago de cada entidad y su serie histórica; la ratio mensual de operaciones pagadas de cada entidad y su serie histórica; y la ratio de operaciones mensuales pendientes de pago de cada entidad y su serie histórica (art. 6.2), que incluirá el detalle del período medio de pago global a proveedores, del período medio de pago mensual y acumulado a proveedores, de las operaciones pagadas y pendientes de pago de cada entidad y del conjunto de la Comunidad, así como los datos relativos a la deuda no financiera, comercial y pagos mensuales, los costes financieros derivados del tipo de interés legal de demora aplicable, las indemnizaciones por costes de cobro, y otra información relevante en materia de morosidad comercial de las Administraciones públicas (art. 14.8). Con la anterior información, el Ministerio de Hacienda y Administraciones Públicas “hará un seguimiento, a efectos de detectar posibles incumplimientos, de los datos publicados por las Comunidades Autónomas relativos al período medio de pago a proveedores y analizará su consistencia con el resto de la información remitida al Ministerio” (art. 7.1 del Real Decreto 635/2014).</w:t>
      </w:r>
    </w:p>
    <w:p w:rsidR="00163957" w:rsidRDefault="00163957" w:rsidP="00163957">
      <w:pPr>
        <w:pStyle w:val="TextoNormal"/>
      </w:pPr>
    </w:p>
    <w:p w:rsidR="00163957" w:rsidRDefault="00163957" w:rsidP="00163957">
      <w:pPr>
        <w:pStyle w:val="TextoNormal"/>
      </w:pPr>
      <w:r>
        <w:t>Debe recordarse, con carácter general, que las actuaciones del Estado y de las Comunidades Autónomas han de estar presididas por el principio de lealtad constitucional, pues como recuerda la jurisprudencia de este Tribunal en el fundamento jurídico 4 a) de la STC 215/2014, de 18 de diciembre:</w:t>
      </w:r>
    </w:p>
    <w:p w:rsidR="00163957" w:rsidRDefault="00163957" w:rsidP="00163957">
      <w:pPr>
        <w:pStyle w:val="TextoNormal"/>
      </w:pPr>
    </w:p>
    <w:p w:rsidR="00163957" w:rsidRDefault="00163957" w:rsidP="00163957">
      <w:pPr>
        <w:pStyle w:val="TextoNormal"/>
      </w:pPr>
      <w:r>
        <w:t>“[A]un cuando no está recogido de modo expreso en el texto constitucional constituye un soporte esencial del funcionamiento del Estado autonómico y cuya observancia resulta obligada (SSTC 239/2002, de 11 de diciembre, FJ 11; 13/2007, de 18 de enero, FJ 7; 247/2007, de 12 de diciembre, FJ 4; 109/2011, de 22 de junio, FJ 5; 123/2012, de 5 de junio, FJ 8, y 76/2014, de 8 de mayo, FJ 4), del que deriva un deber de colaboración e información recíproca entre las Administraciones implicadas (SSTC 236/1991, de 12 de diciembre, FJ 10; y 164/2001, de 11 de julio, FJ 48), dimanante del general deber de auxilio recíproco (SSTC 233/1999, de 16 de diciembre, FJ 7, y 42/2014, de 25 de marzo, FJ 4), ‘que debe presidir las relaciones entre el Estado y las Comunidades Autónomas’ (STC 76/1983, de 5 de agosto, FJ 11; y, en el mismo sentido, STC 104/1988, de 8 de junio, FJ 5), que es concreción, a su vez, de un deber general de fidelidad a la Constitución [SSTC 11/1986, de 28 de enero, FJ 5; 247/2007, de 12 de diciembre, FJ 4 b), y 42/2014, de 25 de marzo, FJ 4]. Por esta razón, el art. 2.1 LOFCA somete la actividad financiera de las Comunidades Autónomas, en coordinación con la hacienda del Estado, al principio de lealtad institucional [letra g)], y el art. 9 de la Ley Orgánica 2/2012 obliga a todas las Administraciones públicas a adecuar sus actuaciones al mismo principio de lealtad institucional [STC 215/2014, de 18 de diciembre, FJ 4 a)]”.</w:t>
      </w:r>
    </w:p>
    <w:p w:rsidR="00163957" w:rsidRDefault="00163957" w:rsidP="00163957">
      <w:pPr>
        <w:pStyle w:val="TextoNormal"/>
      </w:pPr>
    </w:p>
    <w:p w:rsidR="00163957" w:rsidRDefault="00163957" w:rsidP="00163957">
      <w:pPr>
        <w:pStyle w:val="TextoNormal"/>
      </w:pPr>
      <w:r>
        <w:t xml:space="preserve">Así, del principio de lealtad deriva un deber de colaboración e información recíproca entre las Administraciones implicadas que debe presidir las relaciones entre el Estado y las </w:t>
      </w:r>
      <w:r>
        <w:lastRenderedPageBreak/>
        <w:t>Comunidades Autónomas y que es concreción, a su vez, de un deber general de fidelidad a la Constitución. Ahora bien, ese deber de colaboración e información recíproca para el ejercicio de las competencias y el cumplimiento de los deberes y obligaciones que la Constitución impone, habilita al Estado, en el ejercicio de sus competencias en materia de dirección de la política económica general (art. 149.1.13 CE) y como responsable último del cumplimiento de los objetivos de estabilidad presupuestaria y sostenibilidad financiera, a realizar una permanente labor de seguimiento y verificación [STC 215/2014, de 18 de diciembre, FJ 4 a)].</w:t>
      </w:r>
    </w:p>
    <w:p w:rsidR="00163957" w:rsidRDefault="00163957" w:rsidP="00163957">
      <w:pPr>
        <w:pStyle w:val="TextoNormal"/>
      </w:pPr>
    </w:p>
    <w:p w:rsidR="00163957" w:rsidRDefault="00163957" w:rsidP="00163957">
      <w:pPr>
        <w:pStyle w:val="TextoNormal"/>
      </w:pPr>
      <w:r>
        <w:t>Este Tribunal ha venido señalando con relación a la financiación de las Comunidades Autónomas que es claro que no sólo nos situamos en el ámbito de la coordinación, sino también en el de la cooperación, principio este último que hemos conectado “con la idea de la voluntariedad”, a diferencia del de la coordinación que hemos vinculado “con la de la imposición”.</w:t>
      </w:r>
    </w:p>
    <w:p w:rsidR="00163957" w:rsidRDefault="00163957" w:rsidP="00163957">
      <w:pPr>
        <w:pStyle w:val="TextoNormal"/>
      </w:pPr>
    </w:p>
    <w:p w:rsidR="00163957" w:rsidRDefault="00163957" w:rsidP="00163957">
      <w:pPr>
        <w:pStyle w:val="TextoNormal"/>
      </w:pPr>
      <w:r>
        <w:t>En la jurisprudencia de este Tribunal hemos subrayado los siguientes criterios sobre la incidencia del principio de coordinación:</w:t>
      </w:r>
    </w:p>
    <w:p w:rsidR="00163957" w:rsidRDefault="00163957" w:rsidP="00163957">
      <w:pPr>
        <w:pStyle w:val="TextoNormal"/>
      </w:pPr>
    </w:p>
    <w:p w:rsidR="00163957" w:rsidRDefault="00163957" w:rsidP="00163957">
      <w:pPr>
        <w:pStyle w:val="TextoNormal"/>
      </w:pPr>
      <w:r>
        <w:t>“Al Estado le corresponde la coordinación en materia de financiación de las Comunidades Autónomas, fundamentalmente, por tres razones. En primer lugar porque… de conformidad a nuestra doctrina, ‘[c]on el art. 157.3 CE, que prevé la posibilidad de que una Ley Orgánica regule las competencias financieras de las Comunidades Autónomas, no se pretendió sino habilitar la intervención unilateral del Estado en este ámbito competencial a fin de alcanzar un mínimo grado de homogeneidad en el sistema de financiación autonómico, orillando así la dificultad que habría supuesto que dicho sistema quedase exclusivamente al albur de lo que se decidiese en el procedimiento de elaboración de cada uno de los Estatutos de Autonomía’ (STC 68/1996, de 4 de abril, FJ 9).</w:t>
      </w:r>
    </w:p>
    <w:p w:rsidR="00163957" w:rsidRDefault="00163957" w:rsidP="00163957">
      <w:pPr>
        <w:pStyle w:val="TextoNormal"/>
      </w:pPr>
    </w:p>
    <w:p w:rsidR="00163957" w:rsidRDefault="00163957" w:rsidP="00163957">
      <w:pPr>
        <w:pStyle w:val="TextoNormal"/>
      </w:pPr>
      <w:r>
        <w:t>En segundo lugar porque… es la autonomía financiera de todos los entes territoriales, lo que exige necesariamente la intervención del Estado para adoptar las medidas necesarias y suficientes a efectos de asegurar la integración de las diversas partes del sistema en un conjunto unitario (SSTC 11/1984, de 2 de febrero, FJ 4; y 144/1985, de 25 de octubre, FJ 4).</w:t>
      </w:r>
    </w:p>
    <w:p w:rsidR="00163957" w:rsidRDefault="00163957" w:rsidP="00163957">
      <w:pPr>
        <w:pStyle w:val="TextoNormal"/>
      </w:pPr>
    </w:p>
    <w:p w:rsidR="00163957" w:rsidRDefault="00163957" w:rsidP="00163957">
      <w:pPr>
        <w:pStyle w:val="TextoNormal"/>
      </w:pPr>
      <w:r>
        <w:t>Y, en tercer lugar, porque… de acuerdo con la previsión del art. 2.1 c) LOFCA, las Comunidades Autónomas vienen obligadas a coordinar el ejercicio de su actividad financiera con la hacienda del Estado de acuerdo al principio de ‘solidaridad entre las diversas nacionalidades y regiones’ [art. 2.1 c) LOFCA].” (STC 13/2007, de 18 de enero, FJ 7).</w:t>
      </w:r>
    </w:p>
    <w:p w:rsidR="00163957" w:rsidRDefault="00163957" w:rsidP="00163957">
      <w:pPr>
        <w:pStyle w:val="TextoNormal"/>
      </w:pPr>
    </w:p>
    <w:p w:rsidR="00163957" w:rsidRDefault="00163957" w:rsidP="00163957">
      <w:pPr>
        <w:pStyle w:val="TextoNormal"/>
      </w:pPr>
      <w:r>
        <w:t xml:space="preserve">También, las técnicas de cooperación son consustanciales a la estructura compuesta del Estado de las Autonomías, sin que necesiten justificarse en preceptos constitucionales o estatutarios concretos, al derivar de la concurrencia misma de títulos competenciales, de manera que, al objeto de integrar las diferentes competencias, se debe acudir, en primer lugar, a fórmulas de cooperación mediante las cuales ambos niveles de gobierno coadyuvan a la consecución de un objetivo común que ninguno de ellos podría satisfacer, con igual eficacia, actuando por separado. De esta manera, el principio de cooperación tiende a garantizar la participación de todos los entes involucrados en la toma de decisiones cuando el sistema de distribución competencial conduce a una actuación conjunta del Estado y de las </w:t>
      </w:r>
      <w:r>
        <w:lastRenderedPageBreak/>
        <w:t>Comunidades Autónomas (SSTC 194/2004, de 4 de noviembre, FJ 9, y 13/2007, de 18 de enero, FJ 7).</w:t>
      </w:r>
    </w:p>
    <w:p w:rsidR="00163957" w:rsidRDefault="00163957" w:rsidP="00163957">
      <w:pPr>
        <w:pStyle w:val="TextoNormal"/>
      </w:pPr>
    </w:p>
    <w:p w:rsidR="00163957" w:rsidRDefault="00163957" w:rsidP="00163957">
      <w:pPr>
        <w:pStyle w:val="TextoNormal"/>
      </w:pPr>
      <w:r>
        <w:t>En este punto, de acuerdo con la jurisprudencia de este Tribunal, “el principio de cooperación tiende a garantizar la participación de todos los entes involucrados en la toma de decisiones cuando el sistema de distribución competencial conduce a una actuación conjunta del Estado y de las Comunidades Autónomas” (SSTC 68/1996, de 4 de abril, FJ 10, y 13/2007, de 18 de enero, FJ 7).</w:t>
      </w:r>
    </w:p>
    <w:p w:rsidR="00163957" w:rsidRDefault="00163957" w:rsidP="00163957">
      <w:pPr>
        <w:pStyle w:val="TextoNormal"/>
      </w:pPr>
    </w:p>
    <w:p w:rsidR="00163957" w:rsidRDefault="00163957" w:rsidP="00163957">
      <w:pPr>
        <w:pStyle w:val="TextoNormal"/>
      </w:pPr>
      <w:r w:rsidRPr="00163957">
        <w:rPr>
          <w:rStyle w:val="NumeroAFNegritaCaracter"/>
        </w:rPr>
        <w:t>10</w:t>
      </w:r>
      <w:r>
        <w:t>. En el caso examinado, debe atenderse a que el cálculo del período medio de pago y si éste supera el periodo máximo de pago fijado por la normativa de morosidad corresponde inicialmente a cada Administración pública, que lo publicará (art. 13.6 de la Ley Orgánica 2/2012). El art. 18.4 de la Ley Orgánica 2/2012, por su lado, prevé que “el Ministerio de Hacienda y Administraciones Públicas hará un seguimiento del cumplimiento de los periodos medio de pago a proveedores de las Comunidades Autónomas”. Consecuencia de este seguimiento serán las medidas de prevención (art. 18.4 de la Ley Orgánica 2/2012) y de corrección (20.5 y 20.6 de la Ley Orgánica 2/2012), estando dentro de estas últimas el inicio del procedimiento de retención. Estas facultades del Estado responden al deber de colaboración e información recíproca para el ejercicio de las competencias y el cumplimiento de los deberes y obligaciones que la Constitución impone a todas las Administraciones públicas, que a su vez deriva del principio de lealtad y en general de un deber de fidelidad a la Constitución.</w:t>
      </w:r>
    </w:p>
    <w:p w:rsidR="00163957" w:rsidRDefault="00163957" w:rsidP="00163957">
      <w:pPr>
        <w:pStyle w:val="TextoNormal"/>
      </w:pPr>
    </w:p>
    <w:p w:rsidR="00163957" w:rsidRDefault="00163957" w:rsidP="00163957">
      <w:pPr>
        <w:pStyle w:val="TextoNormal"/>
      </w:pPr>
      <w:r>
        <w:t>Por lo que hace al contenido de la retención, resulta que la cuantificación y la determinación de la parte de la deuda comercial que se va a pagar con cargo a los recursos del sistema de financiación se realiza de conformidad con la información recabada de la Comunidad Autónoma (art. 20.6 de la Ley Orgánica 2/2012), sin perjuicio de que, aunque el precepto no lo diga expresamente, el Estado podrá, con base en las facultades de seguimiento antes reseñadas, realizar las comprobaciones correspondientes, tal como estipula el art. 10.3 del Real Decreto 635/2014.</w:t>
      </w:r>
    </w:p>
    <w:p w:rsidR="00163957" w:rsidRDefault="00163957" w:rsidP="00163957">
      <w:pPr>
        <w:pStyle w:val="TextoNormal"/>
      </w:pPr>
    </w:p>
    <w:p w:rsidR="00163957" w:rsidRDefault="00163957" w:rsidP="00163957">
      <w:pPr>
        <w:pStyle w:val="TextoNormal"/>
      </w:pPr>
      <w:r>
        <w:t>A lo anterior hay que añadir una serie de precisiones. En primer lugar, hay que llamar la atención sobre el hecho de no ser procedente imputar a la norma su inconstitucionalidad por no haber previsto la posibilidad de que la Comunidad Autónoma formule alegaciones o reparos a las dos determinaciones que hemos indicado, pues el art. 8.1 de la Ley Orgánica 2/2012 prevé, ya desde su redacción originaria, que “Las Administraciones Públicas que incumplan las obligaciones contenidas en esta Ley … asumirán en la parte que les sea imputable las responsabilidades que de tal incumplimiento se hubiesen derivado” y añade en un párrafo segundo que “en el proceso de asunción de responsabilidad a que se refiere el párrafo anterior se garantizará, en todo caso, la audiencia de la administración o entidad afectada”.</w:t>
      </w:r>
    </w:p>
    <w:p w:rsidR="00163957" w:rsidRDefault="00163957" w:rsidP="00163957">
      <w:pPr>
        <w:pStyle w:val="TextoNormal"/>
      </w:pPr>
    </w:p>
    <w:p w:rsidR="00163957" w:rsidRDefault="00163957" w:rsidP="00163957">
      <w:pPr>
        <w:pStyle w:val="TextoNormal"/>
      </w:pPr>
      <w:r>
        <w:t xml:space="preserve">En segundo lugar, la comunicación al Consejo de Política Fiscal y Financiera de la parte de la deuda comercial que se va a pagar con cargo a los recursos del sistema de financiación, lo es a un órgano no sólo con funciones de coordinación, sino también de cooperación (STC 13/2007, FJ 8), en cuyo seno están representadas todas las Comunidades Autónomas, sin que la forma de adopción de sus decisiones (art. 10.3 de su reglamento interno), sea relevante a estos efectos. Y, en fin, en tercer lugar, no es función de las Comunidades Autónomas la de elegir en cada momento cuál es la fórmula de colaboración que mejor se adecúa </w:t>
      </w:r>
      <w:r>
        <w:lastRenderedPageBreak/>
        <w:t>a sus intereses, al ser al Estado a quien corresponde en cada caso determinar, no sólo en el ejercicio de sus competencias de dirección general de la actividad económica (art. 149.1.13 CE) y de coordinación de las haciendas autonómicas (art. 156.1 CE), sino mediante la ley orgánica a la que hace referencia el art. 135.5 CE, “la participación, en los procedimientos respectivos, de los órganos de coordinación institucional entre las Administraciones Públicas en materia de política fiscal y financiera”, como así ha hecho.</w:t>
      </w:r>
    </w:p>
    <w:p w:rsidR="00163957" w:rsidRDefault="00163957" w:rsidP="00163957">
      <w:pPr>
        <w:pStyle w:val="TextoNormal"/>
      </w:pPr>
    </w:p>
    <w:p w:rsidR="00163957" w:rsidRDefault="00163957" w:rsidP="00163957">
      <w:pPr>
        <w:pStyle w:val="TextoNormal"/>
      </w:pPr>
      <w:r>
        <w:t>En consecuencia, no puede apreciarse que los arts. 1.6 y 16, y 2 de la Ley Orgánica 9/2013, de 20 de diciembre, de control de la deuda comercial en el sector público, sean contrarios a los principios de lealtad institucional, coordinación, colaboración, transparencia y participación entre Administraciones públicas.</w:t>
      </w:r>
    </w:p>
    <w:p w:rsidR="00163957" w:rsidRDefault="00163957" w:rsidP="00163957">
      <w:pPr>
        <w:pStyle w:val="TextoNormal"/>
      </w:pPr>
    </w:p>
    <w:p w:rsidR="00163957" w:rsidRDefault="00163957" w:rsidP="00163957">
      <w:pPr>
        <w:pStyle w:val="TextoNormal"/>
      </w:pPr>
      <w:r w:rsidRPr="00163957">
        <w:rPr>
          <w:rStyle w:val="NumeroAFNegritaCaracter"/>
        </w:rPr>
        <w:t>11</w:t>
      </w:r>
      <w:r>
        <w:t>. En cuarto lugar, la Junta de Andalucía razona que el mecanismo de retención regulado en los arts. 1, apartados 6 y 16, y 2 de la Ley Orgánica 9/2013 adolece de una clara desproporcionalidad, no sólo por suponer una intensificación injustificada y desproporcionada de los poderes de supervisión y control por el Estado sobre las Comunidades Autónomas que no se justifica en el empleo inmediato de los fondos retenidos en el pago a los proveedores, en la medida que la norma no garantiza el plazo en el que el Estado haría efectivos dichos abonos, sino porque ya existía un fondo para la financiación de los pagos a proveedores (el instaurado por el Real Decreto-ley 7/2012, de 9 de marzo) respetuoso con el principio de voluntariedad inherente a la cooperación exigible en la materia. Considera el Abogado del Estado a este respecto que la retención de recursos de las Comunidades Autónomas no puede considerarse como una medida desproporcionada, porque opera tras la aplicación de todo un sistema de medidas preventivas, correctoras y coercitivas.</w:t>
      </w:r>
    </w:p>
    <w:p w:rsidR="00163957" w:rsidRDefault="00163957" w:rsidP="00163957">
      <w:pPr>
        <w:pStyle w:val="TextoNormal"/>
      </w:pPr>
    </w:p>
    <w:p w:rsidR="00163957" w:rsidRDefault="00163957" w:rsidP="00163957">
      <w:pPr>
        <w:pStyle w:val="TextoNormal"/>
      </w:pPr>
      <w:r>
        <w:t>El deber de quien inicia un proceso de colaborar con la justicia constitucional mediante un pormenorizado análisis de la cuestión suscitada [STC 199/2015, de 24 de septiembre, FJ 2 a)] determina que el análisis que nos incumbe deba ceñirse a los dos precisos motivos en virtud de los cuales la demanda considera que el mecanismo de retención que nos ocupa resulta desproporcionado.</w:t>
      </w:r>
    </w:p>
    <w:p w:rsidR="00163957" w:rsidRDefault="00163957" w:rsidP="00163957">
      <w:pPr>
        <w:pStyle w:val="TextoNormal"/>
      </w:pPr>
    </w:p>
    <w:p w:rsidR="00163957" w:rsidRDefault="00163957" w:rsidP="00163957">
      <w:pPr>
        <w:pStyle w:val="TextoNormal"/>
      </w:pPr>
      <w:r>
        <w:t>El primero de ellos es que, según el gobierno recurrente, las normas impugnadas no garantizan que el Estado dedique las cantidades retenidas a pagar inmediatamente a los proveedores que sufren el impago autonómico, por lo que no se justifica una intensificación de la intervención estatal. El examen de la regulación legal nos lleva a rechazar la premisa misma de ese razonamiento y, consecuentemente, descartar la desproporción alegada.</w:t>
      </w:r>
    </w:p>
    <w:p w:rsidR="00163957" w:rsidRDefault="00163957" w:rsidP="00163957">
      <w:pPr>
        <w:pStyle w:val="TextoNormal"/>
      </w:pPr>
    </w:p>
    <w:p w:rsidR="00163957" w:rsidRDefault="00163957" w:rsidP="00163957">
      <w:pPr>
        <w:pStyle w:val="TextoNormal"/>
      </w:pPr>
      <w:r>
        <w:t xml:space="preserve">En efecto, aunque no lo diga expresamente ningún artículo de la Ley Orgánica 9/2013, no podemos obviar que el “periodo medio de pago a proveedores”, cuyo control —para que no exceda del plazo máximo de pago previsto en la normativa de morosidad— se asegura mediante el mecanismo de retención </w:t>
      </w:r>
      <w:r w:rsidRPr="00163957">
        <w:rPr>
          <w:i/>
        </w:rPr>
        <w:t>ex</w:t>
      </w:r>
      <w:r>
        <w:t xml:space="preserve"> art. 20.6 de la Ley Orgánica 2/2012, es una figura que introduce la Ley 9/2013 en el art. 13.6 de la Ley Orgánica 2/2012 como un instrumento del principio de suficiencia financiera, entendiéndose, según el art. 4 de la Ley Orgánica 2/2012 rubricado “Principio de sostenibilidad financiera”, “que existe sostenibilidad de la deuda comercial, cuando el periodo medio de pago a los proveedores no supere el plazo máximo previsto en la normativa sobre morosidad” (párrafo segundo del apartado 2).</w:t>
      </w:r>
    </w:p>
    <w:p w:rsidR="00163957" w:rsidRDefault="00163957" w:rsidP="00163957">
      <w:pPr>
        <w:pStyle w:val="TextoNormal"/>
      </w:pPr>
    </w:p>
    <w:p w:rsidR="00163957" w:rsidRDefault="00163957" w:rsidP="00163957">
      <w:pPr>
        <w:pStyle w:val="TextoNormal"/>
      </w:pPr>
      <w:r>
        <w:lastRenderedPageBreak/>
        <w:t xml:space="preserve">En suma, dado que la finalidad que la ley señala al mecanismo de retención </w:t>
      </w:r>
      <w:r w:rsidRPr="00163957">
        <w:rPr>
          <w:i/>
        </w:rPr>
        <w:t>ex</w:t>
      </w:r>
      <w:r>
        <w:t xml:space="preserve"> art. 20.6 de la Ley Orgánica 2/2012 es reducir, y en última instancia eliminar, el desfase entre el periodo medio de pago a los proveedores y el plazo máximo previsto en la normativa sobre morosidad, la combinación de los arts. 4.2, 13.6 y 20.6 de la Ley Orgánica 2/2012 impone que el abono por el Estado a los proveedores de las cantidades retenidas ha de ser inmediato a la práctica de la retención y lo más cercano posible al tiempo en que debieran haberse satisfecho dichos recursos de financiación a la Comunidad Autónoma respectiva. De hecho, el Real Decreto 635/2014, de 25 de julio, norma que, dando cumplimiento al mandato de la disposición adicional segunda de la Ley Orgánica 2/2012 (en la redacción que le da el art. 1.16 de Ley Orgánica 9/2013), reglamenta las condiciones y el procedimiento de retención de recursos de los regímenes de financiación, establece que “antes de la finalización del mes en el que deba satisfacerse los recursos de los regímenes de financiación de las comunidades autónomas o de la participación de las corporaciones locales en los tributos del Estado, según corresponda, que hayan sido objeto de la deducción o retención correspondiente, la Secretaría General de Coordinación Autonómica y Local remitirá las propuestas de pago a la Secretaría General del Tesoro y Política Financiera y la información relativa a las facturas cuyo pago vaya a efectuarse con cargo a estos importes, para que proceda a la ordenación de su pago. Las incidencias que impidan el pago material darán lugar a que el importe correspondiente sea acumulado a los importes efectivos objeto de retención siguientes” (art. 11.4).</w:t>
      </w:r>
    </w:p>
    <w:p w:rsidR="00163957" w:rsidRDefault="00163957" w:rsidP="00163957">
      <w:pPr>
        <w:pStyle w:val="TextoNormal"/>
      </w:pPr>
    </w:p>
    <w:p w:rsidR="00163957" w:rsidRDefault="00163957" w:rsidP="00163957">
      <w:pPr>
        <w:pStyle w:val="TextoNormal"/>
      </w:pPr>
      <w:r>
        <w:t>Según la Junta de Andalucía, también acreditaría la desproporción del mecanismo de retención aquí impugnado el hecho de que ya existiera un Fondo para la financiación de los pagos a proveedores regulado en el Real Decreto-ley 7/2012, de 9 de marzo, el cual permitía conseguir el mismo objetivo mediante una intervención estatal menos intensa, dado que la incorporación a dicho modo extraordinario de financiación era voluntaria.</w:t>
      </w:r>
    </w:p>
    <w:p w:rsidR="00163957" w:rsidRDefault="00163957" w:rsidP="00163957">
      <w:pPr>
        <w:pStyle w:val="TextoNormal"/>
      </w:pPr>
    </w:p>
    <w:p w:rsidR="00163957" w:rsidRDefault="00163957" w:rsidP="00163957">
      <w:pPr>
        <w:pStyle w:val="TextoNormal"/>
      </w:pPr>
      <w:r>
        <w:t>Este mecanismo extraordinario de financiación de los entes públicos territoriales tuvo tres fases sucesivas (articuladas mediante Real Decreto-ley 4/2012, de 24 de febrero; Real Decreto-ley 4/2013, de 22 de febrero; y Real Decreto-ley 8/2013, de 28 de junio), pero en febrero de 2014 había quedado completada la última fase del mecanismo, por lo que dicho fondo desapareció quedando exclusivamente un instrumento financiero para la liquidación de las operaciones de crédito ya formalizadas, regulado primero en la Ley 13/2014, de 14 de julio, y luego en el Real Decreto-ley 17/2014, de 26 de diciembre. Por todo ello, más que de convivencia entre ambas fórmulas, cabe hablar de que el mecanismo de retención que introdujo la Ley Orgánica 9/2013, de 20 de diciembre, vino a sustituir al fondo para la financiación de los pagos a proveedores.</w:t>
      </w:r>
    </w:p>
    <w:p w:rsidR="00163957" w:rsidRDefault="00163957" w:rsidP="00163957">
      <w:pPr>
        <w:pStyle w:val="TextoNormal"/>
      </w:pPr>
    </w:p>
    <w:p w:rsidR="00163957" w:rsidRDefault="00163957" w:rsidP="00163957">
      <w:pPr>
        <w:pStyle w:val="TextoNormal"/>
      </w:pPr>
      <w:r>
        <w:t xml:space="preserve">Esa sucesión halla justificación en que el legislador evoluciona en los objetivos que pretende lograr en relación a la deuda comercial. Mediante el fondo para la financiación de los pagos a proveedores, la ley aseguraba que los proveedores obtenían los pagos que les correspondían, pero no introducía un límite al endeudamiento de los entes públicos autonómicos cuyas obligaciones con proveedores abonaba el Estado. Su deuda seguía existiendo aunque cambiaba el acreedor, que pasaba a ser el Estado. Así se desprende del art. 7.3 del Real Decreto-ley 7/2012, según el que “la disposición de la financiación concedida a las Administraciones territoriales se hará mediante el pago directo a los proveedores, subrogándose el fondo en los derechos que a dicho proveedor correspondieran frente a dichas Administraciones territoriales por el importe efectivamente satisfecho”. El mecanismo de retención </w:t>
      </w:r>
      <w:r>
        <w:lastRenderedPageBreak/>
        <w:t>creado por la Ley Orgánica 9/2013, por el contrario, alcanza los dos fines a un mismo tiempo, pues los proveedores ven realizados los pagos que acumulaban retraso por el impago autonómico y, además, la deuda desaparece del pasivo del ente autonómico, impidiendo así que su endeudamiento adquiera un volumen excesivo que lastre los objetivos de estabilidad presupuestaria vinculantes para todas las Administraciones públicas.</w:t>
      </w:r>
    </w:p>
    <w:p w:rsidR="00163957" w:rsidRDefault="00163957" w:rsidP="00163957">
      <w:pPr>
        <w:pStyle w:val="TextoNormal"/>
      </w:pPr>
    </w:p>
    <w:p w:rsidR="00163957" w:rsidRDefault="00163957" w:rsidP="00163957">
      <w:pPr>
        <w:pStyle w:val="TextoNormal"/>
      </w:pPr>
      <w:r>
        <w:t>De este modo, no se puede decir que Ley Orgánica 9/2013, al establecer el mecanismo de retención que examinamos, haya acudido a una fórmula más gravosa para la consecución del mismo fin, pues, como hemos razonado, con la regulación que adopta logra un resultado que nunca se podría haber obtenido con la fórmula menos gravosa, de tal suerte que tampoco desde esta perspectiva los preceptos impugnados han incurrido en la desproporción alegada.</w:t>
      </w:r>
    </w:p>
    <w:p w:rsidR="00163957" w:rsidRDefault="00163957" w:rsidP="00163957">
      <w:pPr>
        <w:pStyle w:val="TextoNormal"/>
      </w:pPr>
    </w:p>
    <w:p w:rsidR="00163957" w:rsidRDefault="00163957" w:rsidP="00163957">
      <w:pPr>
        <w:pStyle w:val="TextoNormal"/>
      </w:pPr>
      <w:r>
        <w:t>Por lo expuesto, no puede considerarse que los arts. 1.6 y 16, y 2 de la Ley Orgánica 9/2013, de 20 de diciembre, de control de la deuda comercial en el sector público, contradigan el principio de proporcionalidad.</w:t>
      </w:r>
    </w:p>
    <w:p w:rsidR="00163957" w:rsidRDefault="00163957" w:rsidP="00163957">
      <w:pPr>
        <w:pStyle w:val="TextoNormal"/>
      </w:pPr>
    </w:p>
    <w:p w:rsidR="00163957" w:rsidRDefault="00163957" w:rsidP="00163957">
      <w:pPr>
        <w:pStyle w:val="TextoNormal"/>
      </w:pPr>
      <w:r w:rsidRPr="00163957">
        <w:rPr>
          <w:rStyle w:val="NumeroAFNegritaCaracter"/>
        </w:rPr>
        <w:t>12</w:t>
      </w:r>
      <w:r>
        <w:t>. La demanda sostiene, en último lugar, la inconstitucionalidad del art. 1, apartados 6 y 16, y del art. 2 de la Ley Orgánica 9/2013 porque, a juicio de la recurrente, la retención controvertida vulnera la regla de prioridad absoluta en el pago del capital e intereses de la deuda pública establecida en el art. 135.3 CE, y reiterada en el art. 14 de la Ley Orgánica 2/2012. La razón que se esgrime es que la retención que disponen dichos preceptos puede suponer que los proveedores de las Comunidades Autónomas “intervenidas” cobren antes que los acreedores de la deuda pública, alterándose así la preferencia que constitucionalmente ostentan estos últimos. No es de la misma opinión el Abogado del Estado para quien, precisamente por el Real Decreto-ley 21/2012, de 13 de julio, de medidas de liquidez de las Administraciones públicas y en el ámbito financiero, se creó un fondo de liquidez autonómico como un mecanismo a través del cual refinanciar cualesquiera vencimientos de capital e intereses de la deuda pública, lo que impide que el mecanismo de retención previsto pueda afectar al cumplimiento de las obligaciones establecidas en el art. 135.3 CE.</w:t>
      </w:r>
    </w:p>
    <w:p w:rsidR="00163957" w:rsidRDefault="00163957" w:rsidP="00163957">
      <w:pPr>
        <w:pStyle w:val="TextoNormal"/>
      </w:pPr>
    </w:p>
    <w:p w:rsidR="00163957" w:rsidRDefault="00163957" w:rsidP="00163957">
      <w:pPr>
        <w:pStyle w:val="TextoNormal"/>
      </w:pPr>
      <w:r>
        <w:t>La impugnación, así planteada, está dirigida principalmente contra el art. 20.6 de la Ley Orgánica 2/2012, en la redacción que le da el art. 1.6 de la Ley Orgánica 9/2013, en tanto prevé que, cuando se dé cierto supuesto de hecho en relación al período medio de pago a los proveedores de una Comunidad Autónoma, se “iniciará el procedimiento de retención de los importes a satisfacer por los recursos de los regímenes de financiación para pagar directamente a los proveedores”. La impugnación también alcanza, si bien que consecuencialmente, pues ninguna crítica específica se formula contra ellos, al art. 20.7 de la Ley Orgánica 2/2012, en la redacción que le da el art. 1.6 de la Ley Orgánica 9/2013 (la medida de retención se mantendrá hasta que la Comunidad Autónoma cumpla con el plazo máximo de pago previsto en la normativa de morosidad durante seis meses consecutivos); a la disposición final segunda de la Ley Orgánica 2/2012, en la redacción que le da el art. 1.16 de la Ley Orgánica 9/2013 (prevé el desarrollo reglamentario de las condiciones y procedimiento de esta retención); y al apartado 3 [</w:t>
      </w:r>
      <w:r w:rsidRPr="00163957">
        <w:rPr>
          <w:i/>
        </w:rPr>
        <w:t>sic</w:t>
      </w:r>
      <w:r>
        <w:t>] de la disposición adicional octava LOFCA, en la redacción que le da el art. 2 Ley Orgánica 9/2013 (la retención que prevé el art. 20 de la Ley Orgánica 2/2012 no podrá exceder de la cuantía resultante de la diferencia entre dos importes que ese mismo precepto precisa).</w:t>
      </w:r>
    </w:p>
    <w:p w:rsidR="00163957" w:rsidRDefault="00163957" w:rsidP="00163957">
      <w:pPr>
        <w:pStyle w:val="TextoNormal"/>
      </w:pPr>
    </w:p>
    <w:p w:rsidR="00163957" w:rsidRDefault="00163957" w:rsidP="00163957">
      <w:pPr>
        <w:pStyle w:val="TextoNormal"/>
      </w:pPr>
      <w:r>
        <w:lastRenderedPageBreak/>
        <w:t>El Tribunal no comparte la interpretación del art. 20.6 de la Ley Orgánica 2/2012 que hace la parte recurrente, y a partir de la cual se construye el razonamiento que sostiene la impugnación. Por el contrario, considera que dentro de la Ley Orgánica 2/2012 conviven, de un lado, la retención prevista en garantía del pago de la deuda comercial por su art. 20.6 y, de otro, la prioridad absoluta en el pago que asiste a la deuda pública según su art. 14. La coherencia interna de una norma impide leer un artículo de un texto normativo de tal modo que desvirtúe el contenido normativo de otro precepto de ese mismo texto. No es posible sostener, por tanto, que el sentido del art. 20.6 de la Ley Orgánica 2/2012 sea que la retención de importes que regula pueda interferirse en la prioridad absoluta de pago de la deuda pública que impone el art. 14 de esa misma norma, ni tampoco, precisamente por estar amparados en dicho art. 14, en los mecanismos de garantía que se articulen para hacer efectivo ese privilegio crediticio.</w:t>
      </w:r>
    </w:p>
    <w:p w:rsidR="00163957" w:rsidRDefault="00163957" w:rsidP="00163957">
      <w:pPr>
        <w:pStyle w:val="TextoNormal"/>
      </w:pPr>
    </w:p>
    <w:p w:rsidR="00163957" w:rsidRDefault="00163957" w:rsidP="00163957">
      <w:pPr>
        <w:pStyle w:val="TextoNormal"/>
      </w:pPr>
      <w:r>
        <w:t>La disposición adicional primera prevé que el Estado configure mecanismos adicionales de financiación de apoyo a la liquidez de las Comunidades Autónomas. En el marco de esta norma, dice su exposición de motivos, el Real Decreto-ley 21/2012, de 13 de julio, de medidas de liquidez de las Administraciones públicas y en el ámbito financiero, creó un mecanismo de financiación con el que “atender las necesidades financieras de las Comunidades Autónomas”, entendiendo por tales “los vencimientos de la deuda pública de las Comunidades Autónomas, en los términos previstos en el art. 4.2 de este real decreto-ley, así como las cantidades adicionales necesarias para financiar el endeudamiento” (art. 1). Este mecanismo de financiación se denominó fondo de liquidez autonómica (art. 9).</w:t>
      </w:r>
    </w:p>
    <w:p w:rsidR="00163957" w:rsidRDefault="00163957" w:rsidP="00163957">
      <w:pPr>
        <w:pStyle w:val="TextoNormal"/>
      </w:pPr>
    </w:p>
    <w:p w:rsidR="00163957" w:rsidRDefault="00163957" w:rsidP="00163957">
      <w:pPr>
        <w:pStyle w:val="TextoNormal"/>
      </w:pPr>
      <w:r>
        <w:t>El Real Decreto-ley 17/2014, de 26 de diciembre, de medidas de sostenibilidad financiera de las Comunidades Autónomas y entidades locales y otras de carácter económico, derogó el mecanismo antedicho y, en su sustitución, creó dos fondos de apoyo a la liquidez, respectivamente, de las Comunidades Autónomas y entidades locales. Dichos fondos tienen el mismo encaje normativo que el derogado (“[c]ada uno de los compartimentos de estos fondos tienen la consideración de mecanismo adicional de financiación de los referidos en la disposición adicional primera de la Ley Orgánica 2/2012, que será de aplicación a los mismos”). El fondo de financiación a Comunidades Autónomas está integrado, entre otros, por un compartimento fondo de liquidez autonómico, cuyo ámbito objetivo regulado en el art. 21 coincide sustancialmente con el previsto para el fondo de liquidez autonómica en el art. 4.2 del Real Decreto-ley 21/2012. Tal proximidad hay entre ellos que el art. 20.1 del Real Decreto-ley 17/2014 afirma que “[l]as Comunidades Autónomas adheridas al Fondo de Liquidez Autonómico a la entrada en vigor de este Real Decreto-ley quedarán inmediatamente adscritas al Compartimento Fondo de Liquidez Autonómico del Fondo de Financiación a Comunidades Autónomas con la condicionalidad prevista en los artículos 24 y 25”. El Real Decreto-ley 17/2014, no obstante, enriquece el mecanismo de financiación porque el fondo de financiación a Comunidades Autónomas está conformado, además, por un compartimento facilidad financiera, que va dirigido a las Comunidades Autónomas que cumplan los objetivos de estabilidad presupuestaria, deuda pública y período medio de pago a proveedores (art. 15), las cuales tendrán a su disposición un mecanismo de financiación con idéntico ámbito objetivo (art. 16) pero sin que su adhesión al mismo conlleve sujetarse a condicionalidad alguna.</w:t>
      </w:r>
    </w:p>
    <w:p w:rsidR="00163957" w:rsidRDefault="00163957" w:rsidP="00163957">
      <w:pPr>
        <w:pStyle w:val="TextoNormal"/>
      </w:pPr>
    </w:p>
    <w:p w:rsidR="00163957" w:rsidRDefault="00163957" w:rsidP="00163957">
      <w:pPr>
        <w:pStyle w:val="TextoNormal"/>
      </w:pPr>
      <w:r>
        <w:t xml:space="preserve">Los mecanismos de financiación expuestos son los instrumentos articulados por el Estado para asegurar la efectividad de la prioridad absoluta del pago de la deuda pública </w:t>
      </w:r>
      <w:r w:rsidRPr="00163957">
        <w:rPr>
          <w:i/>
        </w:rPr>
        <w:t>ex</w:t>
      </w:r>
      <w:r>
        <w:t xml:space="preserve"> </w:t>
      </w:r>
      <w:r>
        <w:lastRenderedPageBreak/>
        <w:t xml:space="preserve">art. 135.3 CE y reiterada por el art. 14 de la Ley Orgánica 2/2012. Por principio, en la medida que la coherencia se predica como una cualidad del ordenamiento jurídico, la retención de recursos que prevé el art. 20.6 de la Ley Orgánica 2/2012 para el pago directo de proveedores de las Comunidades Autónomas no puede interferir en el funcionamiento de tales mecanismos de financiación. De este modo, los recursos de los regímenes de financiación que pueden ser objeto de retención </w:t>
      </w:r>
      <w:r w:rsidRPr="00163957">
        <w:rPr>
          <w:i/>
        </w:rPr>
        <w:t>ex</w:t>
      </w:r>
      <w:r>
        <w:t xml:space="preserve"> art. 20.6 de la Ley Orgánica 2/2012 nunca podrían ser los que integren los mecanismos de financiación adicionales de apoyo a la liquidez creados para asegurar la prioridad absoluta de pago de la deuda pública, como resulta evidente porque estos recursos están expresa y estrictamente vinculados a ese destino concreto.</w:t>
      </w:r>
    </w:p>
    <w:p w:rsidR="00163957" w:rsidRDefault="00163957" w:rsidP="00163957">
      <w:pPr>
        <w:pStyle w:val="TextoNormal"/>
      </w:pPr>
    </w:p>
    <w:p w:rsidR="00163957" w:rsidRDefault="00163957" w:rsidP="00163957">
      <w:pPr>
        <w:pStyle w:val="TextoNormal"/>
      </w:pPr>
      <w:r>
        <w:t xml:space="preserve">Por otra parte, también negamos que la retención </w:t>
      </w:r>
      <w:r w:rsidRPr="00163957">
        <w:rPr>
          <w:i/>
        </w:rPr>
        <w:t>ex</w:t>
      </w:r>
      <w:r>
        <w:t xml:space="preserve"> art. 20.6 de la Ley Orgánica 2/2012 pueda conllevar que los acreedores comerciales cobren antes que los poseedores de título de la deuda pública, pues los mecanismos de financiación adicionales descritos con anterioridad garantizan que estos últimos créditos sean satisfechos justo a su vencimiento, mientras que aquel mecanismo de retención a favor de los acreedores comerciales solo se pone en marcha cuando una determinada Administración pública incurre en un importante retraso en el periodo medio de pago de este tipo de deudas.</w:t>
      </w:r>
    </w:p>
    <w:p w:rsidR="00163957" w:rsidRDefault="00163957" w:rsidP="00163957">
      <w:pPr>
        <w:pStyle w:val="TextoNormal"/>
      </w:pPr>
    </w:p>
    <w:p w:rsidR="00163957" w:rsidRDefault="00163957" w:rsidP="00163957">
      <w:pPr>
        <w:pStyle w:val="TextoNormal"/>
      </w:pPr>
      <w:r>
        <w:t xml:space="preserve">Cabe declarar, en virtud de estas razones, que el art. 20.6 de la Ley Orgánica 2/2012, en tanto prevé que se retengan recursos de los regímenes de financiación para pagar directamente a los proveedores de las Administraciones públicas, no interfiere ni contradice la prioridad absoluta de pago de la deuda pública </w:t>
      </w:r>
      <w:r w:rsidRPr="00163957">
        <w:rPr>
          <w:i/>
        </w:rPr>
        <w:t>ex</w:t>
      </w:r>
      <w:r>
        <w:t xml:space="preserve"> art. 135.3 CE. Y debe añadirse que si el art. 20.6 de la Ley Orgánica 2/2012 no produce este efecto tampoco lo hace ni el art. 20.7 de la Ley Orgánica 2/2012, en la redacción que le da el art. 1.6 Ley Orgánica 9/2013, dado que solo precisa la duración de la retención; ni la disposición final segunda de la Ley Orgánica 2/2012, en la redacción que le da el art. 1.16 Ley Orgánica 9/2013, pues se limita a prever el desarrollo reglamentario de las condiciones y procedimiento de esta retención; ni, en fin, el apartado 3 [</w:t>
      </w:r>
      <w:r w:rsidRPr="00163957">
        <w:rPr>
          <w:i/>
        </w:rPr>
        <w:t>sic</w:t>
      </w:r>
      <w:r>
        <w:t>] de la disposición adicional octava LOFCA, en la redacción que le da el art. 2 de la Ley Orgánica 9/2013, pues no hace más que precisar la cuantía de la retención. Todo ello conduce a desestimar esta última impugnación.</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inconstitucionalidad núm. 1762-2014, promovido por el Consejo de Gobierno de la Comunidad Autónoma de Andalucía contra el art. 1, apartados 1, 3, 5, 6, 8, 12, 14, 15 y 16, el art. 2, así como contra la disposición adicional primera, todos ellos de la Ley Orgánica 9/2013, de 20 de diciembre, de control de la deuda comercial en el sector público.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veinticinco de mayo de dos mil dieciséis.</w:t>
      </w:r>
    </w:p>
    <w:p w:rsidR="00163957" w:rsidRDefault="00163957" w:rsidP="00163957">
      <w:pPr>
        <w:pStyle w:val="ParrafoNormal"/>
      </w:pPr>
    </w:p>
    <w:p w:rsidR="00163957" w:rsidRDefault="00163957" w:rsidP="00163957">
      <w:pPr>
        <w:pStyle w:val="TextoNormalNegritaCentrado"/>
        <w:keepNext/>
      </w:pPr>
      <w:r>
        <w:lastRenderedPageBreak/>
        <w:t>Voto particular que formula la Magistrada doña Adela Asua Batarrita a la Sentencia dictada en el recurso de inconstitucionalidad núm. 1762-2014</w:t>
      </w:r>
    </w:p>
    <w:p w:rsidR="00163957" w:rsidRDefault="00163957" w:rsidP="00163957">
      <w:pPr>
        <w:pStyle w:val="TextoNormalNegritaCentrado"/>
        <w:keepNext/>
      </w:pPr>
    </w:p>
    <w:p w:rsidR="00163957" w:rsidRDefault="00163957" w:rsidP="00163957">
      <w:pPr>
        <w:pStyle w:val="TextoNormal"/>
      </w:pPr>
      <w:r>
        <w:t>En ejercicio de la facultad que me confiere el art. 90.2 de la Ley Orgánica del Tribunal Constitucional y con pleno respeto a la opinión de la mayoría del Pleno, expreso mi discrepancia con parte de la fundamentación jurídica de la Sentencia y, en consecuencia, con el fallo.</w:t>
      </w:r>
    </w:p>
    <w:p w:rsidR="00163957" w:rsidRDefault="00163957" w:rsidP="00163957">
      <w:pPr>
        <w:pStyle w:val="TextoNormal"/>
      </w:pPr>
    </w:p>
    <w:p w:rsidR="00163957" w:rsidRDefault="00163957" w:rsidP="00163957">
      <w:pPr>
        <w:pStyle w:val="TextoNormal"/>
      </w:pPr>
      <w:r>
        <w:t>Mi discrepancia se ciñe a la argumentación y conclusión sentada en los fundamentos jurídicos 3 a 7 de la Sentencia sobre la constitucionalidad del art. 20, apartados 6 y 7, de la Ley Orgánica 2/2012, de 27 de abril, de estabilidad presupuestaria y sostenibilidad financiera (en adelante, Ley Orgánica 2/2012), en la redacción dada por el art. 1.6 de la Ley Orgánica 9/2013, de 20 de diciembre, de control de la deuda comercial en el sector público.</w:t>
      </w:r>
    </w:p>
    <w:p w:rsidR="00163957" w:rsidRDefault="00163957" w:rsidP="00163957">
      <w:pPr>
        <w:pStyle w:val="TextoNormal"/>
      </w:pPr>
    </w:p>
    <w:p w:rsidR="00163957" w:rsidRDefault="00163957" w:rsidP="00163957">
      <w:pPr>
        <w:pStyle w:val="TextoNormal"/>
      </w:pPr>
      <w:r>
        <w:t>El recurrente alega que el mecanismo de retención de recursos del sistema de financiación para el pago de deudas a proveedores, que se prevé en el citado art. 20 de la Ley Orgánica 2/2012, vulnera la autonomía financiera de las Comunidades Autónomas. Dicho mecanismo de retención constituye la última fase de un sistema complejo, articulado en fases sucesivas, que se aplica cuando las Comunidades Autónomas incurren en demora en el pago de las deudas contraídas con proveedores. En esencia, el mecanismo de retención controvertido supone que el Estado detrae recursos del sistema de financiación de las Comunidades Autónomas para hacerse cargo directamente del pago a los proveedores de las Comunidades Autónomas que persistan en la demora del pago y no atiendan a las obligaciones legalmente previstas y, en particular, a las comunicaciones cursadas a este efecto por el Ministerio de Hacienda.</w:t>
      </w:r>
    </w:p>
    <w:p w:rsidR="00163957" w:rsidRDefault="00163957" w:rsidP="00163957">
      <w:pPr>
        <w:pStyle w:val="TextoNormal"/>
      </w:pPr>
    </w:p>
    <w:p w:rsidR="00163957" w:rsidRDefault="00163957" w:rsidP="00163957">
      <w:pPr>
        <w:pStyle w:val="TextoNormal"/>
      </w:pPr>
      <w:r>
        <w:t>La Sentencia de la que discrepo rechaza el motivo de impugnación con arreglo a los siguientes argumentos: 1) no se le impide a la Comunidad Autónoma incumplidora adoptar sus propias políticas, acordando aquellas medidas de reducción de gastos, de incremento de ingresos o de gestión de cobros y pagos que considere oportunas; 2) la afectación a la autonomía financiera no resulta inconstitucional o ilegitima, pues la injerencia es debida, necesaria y proporcionada; 3) el mecanismo de retención no se proyecta sobre el momento en que se definen las políticas autonómicas; y 4) el mecanismo es similar al procedimiento estatal de repercusión a las Comunidades Autónomas infractoras de las consecuencias financieras de los incumplimientos del derecho de la Unión, declarado constitucional por la STC 215/2014, de 18 de diciembre, FJ 9 d).</w:t>
      </w:r>
    </w:p>
    <w:p w:rsidR="00163957" w:rsidRDefault="00163957" w:rsidP="00163957">
      <w:pPr>
        <w:pStyle w:val="TextoNormal"/>
      </w:pPr>
    </w:p>
    <w:p w:rsidR="00163957" w:rsidRDefault="00163957" w:rsidP="00163957">
      <w:pPr>
        <w:pStyle w:val="TextoNormal"/>
      </w:pPr>
      <w:r>
        <w:t>A mi juicio, ninguno de los referidos argumentos permite rechazar la inconstitucionalidad del mecanismo controvertido.</w:t>
      </w:r>
    </w:p>
    <w:p w:rsidR="00163957" w:rsidRDefault="00163957" w:rsidP="00163957">
      <w:pPr>
        <w:pStyle w:val="TextoNormal"/>
      </w:pPr>
    </w:p>
    <w:p w:rsidR="00163957" w:rsidRDefault="00163957" w:rsidP="00163957">
      <w:pPr>
        <w:pStyle w:val="TextoNormal"/>
      </w:pPr>
      <w:r>
        <w:t>En primer lugar, que una Comunidad Autónoma pueda decidir inicialmente sus propias políticas de gasto y que incluso pueda decidir demorar el pago a determinados proveedores no significa que cualquier modalidad de control estatal que se establezca sobre la forma de ejecución de esas decisiones haya de resultar sin más, por ese motivo, acorde con su autonomía financiera.</w:t>
      </w:r>
    </w:p>
    <w:p w:rsidR="00163957" w:rsidRDefault="00163957" w:rsidP="00163957">
      <w:pPr>
        <w:pStyle w:val="TextoNormal"/>
      </w:pPr>
    </w:p>
    <w:p w:rsidR="00163957" w:rsidRDefault="00163957" w:rsidP="00163957">
      <w:pPr>
        <w:pStyle w:val="TextoNormal"/>
      </w:pPr>
      <w:r>
        <w:t xml:space="preserve">En segundo lugar, las injerencias en la autonomía de las Comunidades Autónomas no quedan sanadas por muy adecuadas, necesarias o proporcionales que se puedan considerar </w:t>
      </w:r>
      <w:r>
        <w:lastRenderedPageBreak/>
        <w:t>por sí mismas. La protección del principio constitucional de autonomía no se contrae a un mero contraste con el principio de proporcionalidad, de forma que cualquier forma de control estatal sobre la actuación de las Comunidades Autónomas podría ser constitucional con la condición de que respetase el principio de proporcionalidad. Lo que está en cuestión no es la proporcionalidad, sino la compatibilidad del mecanismo de retención que instaura el precepto impugnado con el sistema constitucional de controles en relación con las Comunidades Autónomas.</w:t>
      </w:r>
    </w:p>
    <w:p w:rsidR="00163957" w:rsidRDefault="00163957" w:rsidP="00163957">
      <w:pPr>
        <w:pStyle w:val="TextoNormal"/>
      </w:pPr>
    </w:p>
    <w:p w:rsidR="00163957" w:rsidRDefault="00163957" w:rsidP="00163957">
      <w:pPr>
        <w:pStyle w:val="TextoNormal"/>
      </w:pPr>
      <w:r>
        <w:t>En tercer lugar, la distinción entre dos “momentos”, el de definición de las políticas de gasto y el de la retención de ciertos recursos que el Estado debe satisfacer a la Comunidad Autónoma, con la consiguiente reducción de la autonomía financiera exclusivamente al primer “momento” indicado, resulta plenamente artificial, pues la autonomía financiera implica la plena disponibilidad de los medios financieros que, de acuerdo con el bloque de constitucionalidad, les corresponden a las Comunidades Autónomas, “para poder ejercer sin condicionamientos indebidos y en toda su extensión, las funciones que legalmente les han sido encomendadas” [por todas, SSTC 13/2007, de 18 de enero, FJ 5; 109/2011, de 22 de junio, FJ 5; y 76/2014, de 8 de mayo, FJ 4 c)]. Y, por supuesto, la plena disponibilidad de los medios financieros incluye su percepción directa e íntegra (SSTC 63/1986, de 21 de mayo, FJ 9; y 201/1988, de 27 de octubre, FJ 4).</w:t>
      </w:r>
    </w:p>
    <w:p w:rsidR="00163957" w:rsidRDefault="00163957" w:rsidP="00163957">
      <w:pPr>
        <w:pStyle w:val="TextoNormal"/>
      </w:pPr>
    </w:p>
    <w:p w:rsidR="00163957" w:rsidRDefault="00163957" w:rsidP="00163957">
      <w:pPr>
        <w:pStyle w:val="TextoNormal"/>
      </w:pPr>
      <w:r>
        <w:t>En cuarto y último lugar, la reciente STC 41/2016 (FJ 16) ha puesto de relieve, a propósito del mecanismo de retención estatal de fondos de las Comunidades Autónomas para satisfacer las deudas contraídas por estas con las corporaciones locales (art. 57 bis de la Ley reguladora de las bases de régimen local), las amplias diferencias existentes con respecto al procedimiento de repercusión de las consecuencias financieras derivadas del incumplimiento de las obligaciones de derecho de la Unión Europea: “La retención prevista en otros apartados de la disposición adicional octava LOFCA no responde a la lógica clásica de la compensación de créditos porque el Estado y la Comunidad Autónoma no reúnen el doble carácter de ser, cada uno de ellos, deudor y acreedor respecto del otro (apartados 4 y 5). Se trata de compensaciones ‘triangulares’ porque el Estado constata el incumplimiento de una obligación de la Comunidad Autónoma frente a un tercero. En estos casos, el Estado sustituye a la Comunidad Autónoma en el cumplimiento de las obligaciones contraídas por ella frente a otro, poniendo a disposición de éste las cantidades retenidas”.</w:t>
      </w:r>
    </w:p>
    <w:p w:rsidR="00163957" w:rsidRDefault="00163957" w:rsidP="00163957">
      <w:pPr>
        <w:pStyle w:val="TextoNormal"/>
      </w:pPr>
    </w:p>
    <w:p w:rsidR="00163957" w:rsidRDefault="00163957" w:rsidP="00163957">
      <w:pPr>
        <w:pStyle w:val="TextoNormal"/>
      </w:pPr>
      <w:r>
        <w:t>Una vez descartados los argumentos en los que la Sentencia fundamenta su juicio de compatibilidad del mecanismo de retención impugnado, me referiré a las razones por las que, a mi juicio, debió estimarse el recurso de inconstitucionalidad interpuesto contra el art. 20, apartados 6 y 7, de la Ley Orgánica 2/2012.</w:t>
      </w:r>
    </w:p>
    <w:p w:rsidR="00163957" w:rsidRDefault="00163957" w:rsidP="00163957">
      <w:pPr>
        <w:pStyle w:val="TextoNormal"/>
      </w:pPr>
    </w:p>
    <w:p w:rsidR="00163957" w:rsidRDefault="00163957" w:rsidP="00163957">
      <w:pPr>
        <w:pStyle w:val="TextoNormal"/>
      </w:pPr>
      <w:r>
        <w:t xml:space="preserve">Como se desprende del Voto particular formulado a la STC 215/2014, de 18 de diciembre, que suscribí conjuntamente con otros cuatro magistrados, asumo plenamente la posibilidad genérica del establecimiento de controles en esta materia. Estos controles ya figuraban recogidos en la legislación de estabilidad presupuestaria anterior a la reforma constitucional, cuya constitucionalidad fue confirmada por la STC 134/2011, de 20 de julio, y por sentencias posteriores. El análisis de los controles establecidos sobre la actuación de las Comunidades Autónomas debe necesariamente partir de la doctrina constitucional previa, que se remonta al menos a la STC 76/1983, de 5 de agosto. Recogiendo tal doctrina, y refiriéndose específicamente al régimen de estabilidad presupuestaria regulado en la legislación anterior </w:t>
      </w:r>
      <w:r>
        <w:lastRenderedPageBreak/>
        <w:t>a la reforma del art. 135 CE, la STC 134/2011 admite modalidades de control singularmente intensas, pero sin dejar de señalar en sus fundamentos jurídicos 10 y 11 los límites constitucionales a su diseño legal y a su ejercicio. Las palabras del mencionado Voto particular son plenamente aplicables al presente proceso:</w:t>
      </w:r>
    </w:p>
    <w:p w:rsidR="00163957" w:rsidRDefault="00163957" w:rsidP="00163957">
      <w:pPr>
        <w:pStyle w:val="TextoNormal"/>
      </w:pPr>
    </w:p>
    <w:p w:rsidR="00163957" w:rsidRDefault="00163957" w:rsidP="00163957">
      <w:pPr>
        <w:pStyle w:val="TextoNormal"/>
      </w:pPr>
      <w:r>
        <w:t xml:space="preserve">“Sólo se justificaría la revisión de la citada doctrina si la propia Constitución, a través de la reforma del art. 135 CE, hubiera establecido modalidades de control específicas, distintas de las que hasta el presente se han considerado constitucionalmente admisibles, para los supuestos en los que las Comunidades Autónomas incumplieran los objetivos de estabilidad presupuestaria. La única mención del art. 135 CE directamente relacionada con este debate es la que aparece en el apartado 5 c), que remite a la ley orgánica la regulación de ‘la responsabilidad de cada Administración Pública en caso de incumplimiento de los objetivos de estabilidad presupuestaria’. Pero, partiendo de la distinción trazada entre responsabilidad </w:t>
      </w:r>
      <w:r w:rsidRPr="00163957">
        <w:rPr>
          <w:i/>
        </w:rPr>
        <w:t>ad extra</w:t>
      </w:r>
      <w:r>
        <w:t xml:space="preserve"> y </w:t>
      </w:r>
      <w:r w:rsidRPr="00163957">
        <w:rPr>
          <w:i/>
        </w:rPr>
        <w:t>ad intra</w:t>
      </w:r>
      <w:r>
        <w:t xml:space="preserve"> por la STC 36/2013, de 14 de febrero, FJ 9, no cabe confundir la responsabilidad de la Administración incumplidora con el otorgamiento al Estado de facultades exorbitantes de control. Salvada esta mención con el alcance señalado, y al no deducirse otros controles del art. 135 CE, debe concluirse que la reforma de este precepto constitucional ha dejado intacto el sistema de controles previamente diseñado por la Constitución”.</w:t>
      </w:r>
    </w:p>
    <w:p w:rsidR="00163957" w:rsidRDefault="00163957" w:rsidP="00163957">
      <w:pPr>
        <w:pStyle w:val="TextoNormal"/>
      </w:pPr>
    </w:p>
    <w:p w:rsidR="00163957" w:rsidRDefault="00163957" w:rsidP="00163957">
      <w:pPr>
        <w:pStyle w:val="TextoNormal"/>
      </w:pPr>
      <w:r>
        <w:t>La autonomía financiera no excluye la existencia de controles, incluso específicos cuando se trata de fondos que forman parte de los Presupuestos Generales del Estado que están afectos a unas finalidades concretas, como por ejemplo el de dar cuenta del destino de los fondos recibidos con cargo a dichos presupuestos o del estado de realización de los proyectos en curso de ejecución. Ahora bien, un control de naturaleza administrativa que condiciona la percepción de los fondos a la presentación de justificantes relativos a su aplicación, “coloca a las Comunidades Autónomas en la situación de meros órganos gestores de créditos presupuestarios estatales, dependientes en cierto modo jerárquicamente de la Administración del Estado, siendo así que, como ha tenido ocasión de señalar este Tribunal, tal situación no resulta compatible con el principio de autonomía y con la esfera competencial que de ella deriva (sentencias 4/1981, de 2 de febrero, y 6/1982, de 22 de febrero)” (STC 63/1986, FJ 9). En la misma línea, la STC 201/1988 consideró incompatible con la autonomía financiera de las Comunidades Autónomas que se supeditara la determinación de los importes definitivos así como el efectivo ingreso de las cantidades a transferir a la remisión previa de una información normalizada en la que constaran la relación de beneficiarios y el objeto y cuantía de las subvenciones aprobadas en el trimestre precedente: “Tales normas de control de la gestión autonómica de las subvenciones deben, de acuerdo con lo expuesto, considerarse un control exorbitante que invade la autonomía financiera de la Generalidad” (STC 201/1988, FJ 4).</w:t>
      </w:r>
    </w:p>
    <w:p w:rsidR="00163957" w:rsidRDefault="00163957" w:rsidP="00163957">
      <w:pPr>
        <w:pStyle w:val="TextoNormal"/>
      </w:pPr>
    </w:p>
    <w:p w:rsidR="00163957" w:rsidRDefault="00163957" w:rsidP="00163957">
      <w:pPr>
        <w:pStyle w:val="TextoNormal"/>
      </w:pPr>
      <w:r>
        <w:t xml:space="preserve">El mecanismo de retención controvertido en este proceso va más allá de esos controles ya considerados exorbitantes en el pasado. Su naturaleza sustitutoria de la competencia autonómica es indiscutible. Así fue ya apreciada en la mencionada STC 41/2016 que abordó la constitucionalidad del mecanismo estatal de compensación triangular (Estado-Comunidades Autónomas-Entidades locales) de créditos previsto en el art. 57 bis LBRL. El análisis sobre la naturaleza del mecanismo de retención estatal realizado en dicha sentencia es perfectamente aplicable a este caso: en efecto, también mediante el presente mecanismo de retención triangular (Estado-Comunidades Autónomas-proveedores) “el Estado sustituye a la Comunidad Autónoma en el cumplimiento de las obligaciones contraídas por ella frente </w:t>
      </w:r>
      <w:r>
        <w:lastRenderedPageBreak/>
        <w:t>a otro, poniendo a disposición de éste las cantidades retenidas”, por lo que también constituye “un control administrativo en sentido técnico (sustitución en el ejercicio de una competencia por incumplimiento) que incide de modo muy relevante sobre las relaciones financieras del Estado y la Comunidad Autónoma” (STC 41/2016, FJ 16).</w:t>
      </w:r>
    </w:p>
    <w:p w:rsidR="00163957" w:rsidRDefault="00163957" w:rsidP="00163957">
      <w:pPr>
        <w:pStyle w:val="TextoNormal"/>
      </w:pPr>
    </w:p>
    <w:p w:rsidR="00163957" w:rsidRDefault="00163957" w:rsidP="00163957">
      <w:pPr>
        <w:pStyle w:val="TextoNormal"/>
      </w:pPr>
      <w:r>
        <w:t>Entonces este Tribunal declaró inconstitucional y nulo el art. 57 bis LBRL porque, al incidir directamente sobre las relaciones financieras del Estado y las Comunidades Autónomas, debió revestir forma de ley orgánica. Aunque no se pronunció sobre la vulneración material de la autonomía financiera, de acuerdo con la jurisprudencia constitucional los controles sustitutivos de la competencia autonómica, en cuanto no previstos por la Constitución para las relaciones ordinarias entre las Comunidades Autónomas y el Estado, deben considerarse constitucionalmente proscritos. Esa ha sido la doctrina constitucional durante décadas [en este sentido, STC 227/1988, de 29 de noviembre, FJ 20 d)].</w:t>
      </w:r>
    </w:p>
    <w:p w:rsidR="00163957" w:rsidRDefault="00163957" w:rsidP="00163957">
      <w:pPr>
        <w:pStyle w:val="TextoNormal"/>
      </w:pPr>
    </w:p>
    <w:p w:rsidR="00163957" w:rsidRDefault="00163957" w:rsidP="00163957">
      <w:pPr>
        <w:pStyle w:val="TextoNormal"/>
      </w:pPr>
      <w:r>
        <w:t xml:space="preserve">Esa doctrina no sufre alteración por la existencia de obligaciones contraídas en el seno de la Unión Europea, ni por la responsabilidad que pueda derivar para el conjunto del Estado por un incumplimiento de esas obligaciones imputable a una Comunidad Autónoma. En la STC 36/2013, de 14 de febrero, este Tribunal afirmó que “la responsabilidad </w:t>
      </w:r>
      <w:r w:rsidRPr="00163957">
        <w:rPr>
          <w:i/>
        </w:rPr>
        <w:t>ad extra</w:t>
      </w:r>
      <w:r>
        <w:t xml:space="preserve"> de la Administración estatal por incumplimientos del Derecho de la Unión Europea no justifica la asunción [por la Administración estatal] de una competencia que no le corresponde” (FJ 9), aunque sí le corresponde al Estado establecer los sistemas de compensación interadministrativa de la responsabilidad financiera que pudiera generarse para el propio Estado en el caso de que dichas irregularidades o carencias se produjeran efectivamente y así se constatara por las instituciones comunitarias.</w:t>
      </w:r>
    </w:p>
    <w:p w:rsidR="00163957" w:rsidRDefault="00163957" w:rsidP="00163957">
      <w:pPr>
        <w:pStyle w:val="TextoNormal"/>
      </w:pPr>
    </w:p>
    <w:p w:rsidR="00163957" w:rsidRDefault="00163957" w:rsidP="00163957">
      <w:pPr>
        <w:pStyle w:val="TextoNormal"/>
      </w:pPr>
      <w:r>
        <w:t>Incluso en la reciente STC 215/2014, de 18 de diciembre, en la que, contra la opinión de cinco magistrados, se admitió la constitucionalidad de las “medidas de obligado cumplimiento” previstas en los arts. 25.2 y 26.1 de la Ley Orgánica 2/2012, no se traspasó la línea roja de la sustitución estatal en el ejercicio de las competencias autonómicas. Como recapituló la posterior STC 41/2016 (FJ 16), “en nuestro sistema constitucional no hay más controles administrativos de este tipo que los previstos en el art. 155 CE (para afrontar incumplimientos constitucionales extremadamente cualificados) y en la estabilidad presupuestaria y sostenibilidad financiera (ante el incumplimiento de los objetivos de equilibrio y sostenibilidad presupuestaria)”.</w:t>
      </w:r>
    </w:p>
    <w:p w:rsidR="00163957" w:rsidRDefault="00163957" w:rsidP="00163957">
      <w:pPr>
        <w:pStyle w:val="TextoNormal"/>
      </w:pPr>
    </w:p>
    <w:p w:rsidR="00163957" w:rsidRDefault="00163957" w:rsidP="00163957">
      <w:pPr>
        <w:pStyle w:val="TextoNormal"/>
      </w:pPr>
      <w:r>
        <w:t>Pues bien, el mecanismo de retención enjuiciado en este proceso supone un salto cualitativo respecto a los controles previstos para el incumplimiento de los objetivos de equilibrio y sostenibilidad presupuestaria, pues el Estado sustituye directamente a las Comunidades Autónomas en la gestión de sus presupuestos. El art. 20, apartados 6 y 7, de la Ley Orgánica 2/2012 añade modalidades de control distintas de las constitucionalmente previstas o admisibles, incurriendo en inconstitucionalidad por cruzar la línea divisoria entre poder constituyente y poder constituido (utilizando la expresión de la STC 76/1983, FJ 4).</w:t>
      </w:r>
    </w:p>
    <w:p w:rsidR="00163957" w:rsidRDefault="00163957" w:rsidP="00163957">
      <w:pPr>
        <w:pStyle w:val="TextoNormal"/>
      </w:pPr>
    </w:p>
    <w:p w:rsidR="00163957" w:rsidRDefault="00163957" w:rsidP="00163957">
      <w:pPr>
        <w:pStyle w:val="TextoNormal"/>
      </w:pPr>
      <w:r>
        <w:t xml:space="preserve">Con la Sentencia de la que discrepo se erosionan una vez más los cimientos de nuestra consolidada jurisprudencia constitucional sobre la configuración del Estado autonómico: en este caso se abandona una línea jurisprudencial que se remonta a la sentencia sobre la Ley Orgánica de armonización del proceso autonómico (STC 76/1983) y que, junto a la STC </w:t>
      </w:r>
      <w:r>
        <w:lastRenderedPageBreak/>
        <w:t>13/1992, conformó el diseño básico del Estado autonómico, como puso de manifiesto don Francisco Tomás y Valiente hace más de dos décadas.</w:t>
      </w:r>
    </w:p>
    <w:p w:rsidR="00163957" w:rsidRDefault="00163957" w:rsidP="00163957">
      <w:pPr>
        <w:pStyle w:val="TextoNormal"/>
      </w:pPr>
    </w:p>
    <w:p w:rsidR="00163957" w:rsidRDefault="00163957" w:rsidP="00163957">
      <w:pPr>
        <w:pStyle w:val="TextoNormal"/>
      </w:pPr>
      <w:r>
        <w:t>Madrid, a veinticinco de mayo de dos mil dieciséis.</w:t>
      </w:r>
    </w:p>
    <w:p w:rsidR="00163957" w:rsidRDefault="00163957" w:rsidP="00163957">
      <w:pPr>
        <w:pStyle w:val="TextoNormal"/>
      </w:pPr>
    </w:p>
    <w:p w:rsidR="00163957" w:rsidRDefault="00163957" w:rsidP="00163957">
      <w:pPr>
        <w:pStyle w:val="TextoNormalNegritaCentrado"/>
        <w:keepNext/>
      </w:pPr>
      <w:r>
        <w:t>Voto particular que formula el Magistrado don Juan Antonio Xiol Ríos a la Sentencia dictada en el recurso de inconstitucionalidad núm. 1762-2014</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en la que se sustenta la Sentencia, manifiesto (i) mi discrepancia con su fundamentación jurídica, aunque no con el fallo desestimatorio, en lo que respecta a la alegada vulneración de la reserva de ley orgánica por extralimitación de la materia reservada por el art. 135.5 CE a la estabilidad presupuestaria; y (ii) mi discrepancia con la fundamentación jurídica y con su fallo en lo relativo a la alegada vulneración del principio de autonomía financiera al establecer el mecanismo de retención de fondos del sistema de financiación autonómico para el pago de créditos comerciales morosos a los proveedores, que considero que debía haber sido estimatoria.</w:t>
      </w:r>
    </w:p>
    <w:p w:rsidR="00163957" w:rsidRDefault="00163957" w:rsidP="00163957">
      <w:pPr>
        <w:pStyle w:val="TextoNormal"/>
      </w:pPr>
    </w:p>
    <w:p w:rsidR="00163957" w:rsidRDefault="00163957" w:rsidP="00163957">
      <w:pPr>
        <w:pStyle w:val="TextoNormal"/>
      </w:pPr>
      <w:r>
        <w:t>1. Una cuestión formal sobre el principio de reserva de ley orgánica.</w:t>
      </w:r>
    </w:p>
    <w:p w:rsidR="00163957" w:rsidRDefault="00163957" w:rsidP="00163957">
      <w:pPr>
        <w:pStyle w:val="TextoNormal"/>
      </w:pPr>
    </w:p>
    <w:p w:rsidR="00163957" w:rsidRDefault="00163957" w:rsidP="00163957">
      <w:pPr>
        <w:pStyle w:val="TextoNormal"/>
      </w:pPr>
      <w:r>
        <w:t>Mi discrepancia con la fundamentación jurídica de la opinión mayoritaria en la que se sustenta la Sentencia sobre que la reserva de ley orgánica de la normativa impugnada está amparada en el art. 157.3 CE coincide, en esencia, con la expuesta por el Magistrado don Fernando Valdés Dal-Ré en su Voto discrepante, al que me adhiero en esta concreta cuestión. No obstante, creo que es posible sostener que la reserva de ley orgánica quedaba amparada, en este caso, en el art. 135.5 CE.</w:t>
      </w:r>
    </w:p>
    <w:p w:rsidR="00163957" w:rsidRDefault="00163957" w:rsidP="00163957">
      <w:pPr>
        <w:pStyle w:val="TextoNormal"/>
      </w:pPr>
    </w:p>
    <w:p w:rsidR="00163957" w:rsidRDefault="00163957" w:rsidP="00163957">
      <w:pPr>
        <w:pStyle w:val="TextoNormal"/>
      </w:pPr>
      <w:r>
        <w:t>La Ley Orgánica 9/2013, de 20 de diciembre, pone de manifiesto que el legislador pretendía fundamentar su carácter orgánico en la habilitación constitucional establecida en el art. 135.5 CE, tanto por el contenido de su preámbulo, en que se cita expresamente el art. 135 CE, como por el hecho de que tiene por finalidad modificar la Ley Orgánica 2/2012, de 27 de abril, de estabilidad presupuestaria y sostenibilidad financiera, cuyo objeto expreso era el desarrollo de la previsión del art. 135 CE, conforme se establecía en su art. 1. Así lo entendió la Junta de Andalucía, al fundamentar su recurso controvirtiendo este engarce constitucional, y así lo entendió la Abogacía del Estado en su escrito de alegaciones, que defendió la cobertura constitucional de carácter orgánico de la normativa en el art. 135.5 CE. En ningún momento, ninguna de las partes procesales ni la propia normativa impugnada han hecho la más mínima insinuación o indicación de una eventual conexión del carácter orgánico de la normativa impugnada con el art. 157.3 CE.</w:t>
      </w:r>
    </w:p>
    <w:p w:rsidR="00163957" w:rsidRDefault="00163957" w:rsidP="00163957">
      <w:pPr>
        <w:pStyle w:val="TextoNormal"/>
      </w:pPr>
    </w:p>
    <w:p w:rsidR="00163957" w:rsidRDefault="00163957" w:rsidP="00163957">
      <w:pPr>
        <w:pStyle w:val="TextoNormal"/>
      </w:pPr>
      <w:r>
        <w:t xml:space="preserve">No voy a discrepar con la potestad de la jurisdicción constitucional para pronunciarse sobre la constitucionalidad de una norma con fundamento en preceptos no expresamente invocados por las partes. Sin embargo, considero que el respeto institucional debido al legislador orgánico y a las partes procesales hubiera aconsejado que el Tribunal, al menos, se hubiera pronunciado sobre la cuestión controvertida de si el rango orgánico de la normativa impugnada traía causa del art. 135.5 CE, con independencia de que hubiera podido tenerlo, además, en el art. 157.3 CE. Como sostuve en la deliberación, entiendo que la normativa impugnada tiene cabida en la habilitación legal del art. 135.5 CE, en tanto que su objeto era </w:t>
      </w:r>
      <w:r>
        <w:lastRenderedPageBreak/>
        <w:t>establecer la regulación de una concreta situación, como es la morosidad en el pago de la deuda comercial en el sector público, que, en ciertas condiciones y con determinados límites que hubiera sido conveniente precisar, tiene una influencia potencialmente equivalente sobre los objetivos de estabilidad presupuestaria a los del control del déficit y de la deuda pública. Por tanto, entiendo que en las actuales circunstancias, el problema del impago de la deuda comercial no puede excluirse que sea un elemento en conexión material directa con el cumplimiento de la consecución del principio de estabilidad presupuestaria que permite incluirlo entre las materias reservadas a la ley orgánica por el art. 135.5 CE y, especialmente, en su letra a), en lo referido a las formas y plazos de corrección de las desviaciones de los límites de déficit y deuda pública de las Administraciones públicas.</w:t>
      </w:r>
    </w:p>
    <w:p w:rsidR="00163957" w:rsidRDefault="00163957" w:rsidP="00163957">
      <w:pPr>
        <w:pStyle w:val="TextoNormal"/>
      </w:pPr>
    </w:p>
    <w:p w:rsidR="00163957" w:rsidRDefault="00163957" w:rsidP="00163957">
      <w:pPr>
        <w:pStyle w:val="TextoNormal"/>
      </w:pPr>
      <w:r>
        <w:t>2. Una cuestión sustancial: el principio de proporcionalidad no puede servir para justificar facultades del Estado sobre las comunidades autónomas derrotando las reglas atributivas de competencia.</w:t>
      </w:r>
    </w:p>
    <w:p w:rsidR="00163957" w:rsidRDefault="00163957" w:rsidP="00163957">
      <w:pPr>
        <w:pStyle w:val="TextoNormal"/>
      </w:pPr>
    </w:p>
    <w:p w:rsidR="00163957" w:rsidRDefault="00163957" w:rsidP="00163957">
      <w:pPr>
        <w:pStyle w:val="TextoNormal"/>
      </w:pPr>
      <w:r>
        <w:t>Mi discrepancia con la fundamentación jurídica de la opinión mayoritaria en la que se sustenta la Sentencia sobre que el mecanismo de retención de fondos del sistema de financiación autonómico para el pago de créditos comerciales morosos a los proveedores no vulnera el principio de autonomía financiera de las comunidades autónomas coincide, en esencia, con la expuesta por la Magistrada doña Adela Asua Batarrita en su Voto discrepante al que me adhiero en esta concreta cuestión.</w:t>
      </w:r>
    </w:p>
    <w:p w:rsidR="00163957" w:rsidRDefault="00163957" w:rsidP="00163957">
      <w:pPr>
        <w:pStyle w:val="TextoNormal"/>
      </w:pPr>
    </w:p>
    <w:p w:rsidR="00163957" w:rsidRDefault="00163957" w:rsidP="00163957">
      <w:pPr>
        <w:pStyle w:val="TextoNormal"/>
      </w:pPr>
      <w:r>
        <w:t>Creo preciso, sin embargo, insistir en una cuestión metodológica que me parece de singular importancia. La opinión mayoritaria en la que se sustenta la sentencia acude, entre otros argumentos para fundamentar la constitucionalidad del mecanismo de retención, a que la injerencia que provoca este mecanismo en la autonomía financiera de las comunidades autónomas respeta el principio de proporcionalidad. No puedo compartir el contenido y la aplicación que se hace de este principio en el fundamento jurídico 6, ya que no es la que se corresponde con la cuestión allí analizada, referida a un problema de distribución competencial, sino con la que es más propia de los conflictos entre intereses o derechos fundamentales. Creo, además, conveniente subrayarlo, pues la apelación a este principio en materia autonómica parece estar convirtiéndose en una tendencia jurisprudencial.</w:t>
      </w:r>
    </w:p>
    <w:p w:rsidR="00163957" w:rsidRDefault="00163957" w:rsidP="00163957">
      <w:pPr>
        <w:pStyle w:val="TextoNormal"/>
      </w:pPr>
    </w:p>
    <w:p w:rsidR="00163957" w:rsidRDefault="00163957" w:rsidP="00163957">
      <w:pPr>
        <w:pStyle w:val="TextoNormal"/>
      </w:pPr>
      <w:r>
        <w:t xml:space="preserve">El principio de proporcionalidad es un instrumento al que resulta necesario acudir para dar una solución constitucional a los supuestos en que existe un conflicto entre derechos, principios o intereses jurídicos que no puede resolverse aplicando un principio jerárquico por no existir una prelación axiológica entre ellos. En ese sentido, este principio se viene proyectando como método o regla de interpretación en los casos de colisión entre derechos fundamentales para establecer soluciones racionales y justificables que resuelvan esos conflictos conforme a las circunstancias singulares concurrentes en cada caso ante la imposibilidad, por su paridad axiológica, de dotar </w:t>
      </w:r>
      <w:r w:rsidRPr="00163957">
        <w:rPr>
          <w:i/>
        </w:rPr>
        <w:t>prima facie</w:t>
      </w:r>
      <w:r>
        <w:t xml:space="preserve"> de preminencia a uno sobre a otro. Utilizando el lenguaje de la teoría habermasiana de la acción comunicativa, su ámbito de aplicación potencial serían los conflictos de derechos o intereses que se generan en el mundo de la vida (</w:t>
      </w:r>
      <w:r w:rsidRPr="00163957">
        <w:rPr>
          <w:i/>
        </w:rPr>
        <w:t>Lebenswelt</w:t>
      </w:r>
      <w:r>
        <w:t xml:space="preserve">), como representativo del punto de vista de los sujetos que actúan sobre la sociedad de una manera implicada en conflictos de derechos o intereses, cuya titularidad es reconocida en un mismo plano de igualdad, pero que son susceptibles de no poder realizarse simultáneamente de forma absoluta. En ese contexto, adquiere pleno sentido la aplicación del principio de proporcionalidad con arreglo al conocido como test alemán, el </w:t>
      </w:r>
      <w:r>
        <w:lastRenderedPageBreak/>
        <w:t>cual se desenvuelve en sucesivos juicios de adecuación, necesidad y proporcionalidad en sentido estricto y resulta familiar en la jurisprudencia. En coherencia con ello, además, parece lógico que la aplicación de este principio, con este mismo contenido, haya experimentado una expansión a otros supuestos en que lo normativamente relevante es el control de las intromisiones por parte del poder público en ámbitos jurídicos protegidos.</w:t>
      </w:r>
    </w:p>
    <w:p w:rsidR="00163957" w:rsidRDefault="00163957" w:rsidP="00163957">
      <w:pPr>
        <w:pStyle w:val="TextoNormal"/>
      </w:pPr>
    </w:p>
    <w:p w:rsidR="00163957" w:rsidRDefault="00163957" w:rsidP="00163957">
      <w:pPr>
        <w:pStyle w:val="TextoNormal"/>
      </w:pPr>
      <w:r>
        <w:t>El principio de proporcionalidad, sin embargo, no puede proyectarse con la misma eficacia absoluta o concluyente en el ámbito de la distribución de competencias. Utilizando de nuevo el lenguaje habermasiano, la distribución competencial, en contraste con el mundo de la vida, se aproxima al concepto de sistema, en que lo relevante es una perspectiva externa referida a la configuración de una estructura y las relaciones que se desenvuelven dentro de ella. En tales casos, el principio rector de este sistema de delimitación de competencias es el de atribución. La atribución competencial puede realizarse de una manera más o menos discrecional entre los sujetos llamados a ejercerlas, pero lo determinante es que no existe una paridad axiológica, sino, al contrario, una decisión previa de atribución que impone un deber de tolerancia y de exclusión para el resto de los intervinientes en el sistema. Es cierto que, entre los principios para el mejor desarrollo del ejercicio de las competencias que se desenvuelven en el sistema, es también necesario tomar en consideración el principio de proporcionalidad, pues la atribución de competencia tiene carácter instrumental en relación con unos fines. En este contexto sistemático el principio de proporcionalidad (que no puede ser confundido con una regla, pues los principios son normas categóricas según Von Wright) no anula la regla de competencia, sino que, afectando a su ejercicio, implica que este se haga de forma tal que no exceda de lo necesario para alcanzar los objetivos de su cumplimiento. No puede ser utilizada, a mi juicio, como una regla para resolver atribución de competencias, que entiendo que es como ha utilizado el principio de proporcionalidad la opinión mayoritaria en la que se sustenta la sentencia.</w:t>
      </w:r>
    </w:p>
    <w:p w:rsidR="00163957" w:rsidRDefault="00163957" w:rsidP="00163957">
      <w:pPr>
        <w:pStyle w:val="TextoNormal"/>
      </w:pPr>
    </w:p>
    <w:p w:rsidR="00163957" w:rsidRDefault="00163957" w:rsidP="00163957">
      <w:pPr>
        <w:pStyle w:val="TextoNormal"/>
      </w:pPr>
      <w:r>
        <w:t>En última instancia, el principio de proporcionalidad hubiera podido servir para valorar si el establecimiento del mecanismo de retención no excede de lo necesario para el ejercicio de las competencias estatales de dirección de la actividad económica general del art. 149.1.13 CE y el de coordinación de la hacienda estatal del art. 156.1 CE. Sin embargo, no es adecuado desde una perspectiva metodológica para establecer, como se viene a sostener por la opinión mayoritaria en la que se sustenta la sentencia, que basta para afirmar la constitucionalidad de este mecanismo (i) la mera identificación de que persigue un fin legítimo de estabilidad presupuestaria, (ii) de que es necesario para el pago de los proveedores y (ii) de que solo se adopta ante el incumplimiento autonómico reiterado en la satisfacción de las deudas. Lo controvertido en el ámbito competencial no es la relación de adecuación del sistema de retención a la consecución de un objetivo de estabilidad presupuestaria, que obliga a todas las Administraciones públicas por imperativo del art. 135 CE, sino quién y qué competencias tiene atribuidas cada Administración para el cumplimiento de ese objetivo y las eventuales relaciones de coordinación y control para su consecución. En esta determinación poco o nada tiene que decir el principio de proporcionalidad.</w:t>
      </w:r>
    </w:p>
    <w:p w:rsidR="00163957" w:rsidRDefault="00163957" w:rsidP="00163957">
      <w:pPr>
        <w:pStyle w:val="TextoNormal"/>
      </w:pPr>
    </w:p>
    <w:p w:rsidR="00163957" w:rsidRDefault="00163957" w:rsidP="00163957">
      <w:pPr>
        <w:pStyle w:val="TextoNormal"/>
      </w:pPr>
      <w:r>
        <w:t>Madrid, a veinticinco de mayo de dos mil dieciséis.</w:t>
      </w:r>
    </w:p>
    <w:p w:rsidR="00163957" w:rsidRDefault="00163957" w:rsidP="00163957">
      <w:pPr>
        <w:pStyle w:val="TextoNormal"/>
      </w:pPr>
    </w:p>
    <w:p w:rsidR="00163957" w:rsidRDefault="00163957" w:rsidP="00163957">
      <w:pPr>
        <w:pStyle w:val="TextoNormalNegritaCentrado"/>
        <w:keepNext/>
      </w:pPr>
      <w:r>
        <w:lastRenderedPageBreak/>
        <w:t>Voto particular que formula el Magistrado don Fernando Valdés Dal-Ré a la Sentencia dictada en el recurso de inconstitucionalidad núm. 1762-2014.</w:t>
      </w:r>
    </w:p>
    <w:p w:rsidR="00163957" w:rsidRDefault="00163957" w:rsidP="00163957">
      <w:pPr>
        <w:pStyle w:val="TextoNormalNegritaCentrado"/>
        <w:keepNext/>
      </w:pPr>
    </w:p>
    <w:p w:rsidR="00163957" w:rsidRDefault="00163957" w:rsidP="00163957">
      <w:pPr>
        <w:pStyle w:val="TextoNormal"/>
      </w:pPr>
      <w:r>
        <w:t>En ejercicio de la facultad que me confiere el art. 90.2 de la Ley Orgánica del Tribunal Constitucional, y con pleno respeto a la opinión de la mayoría del Tribunal, manifiesto mi discrepancia con el fundamento jurídico 2 y el fallo de esta Sentencia, porque no comparto la interpretación expansiva de la reserva de ley orgánica del art. 157.3 CE.</w:t>
      </w:r>
    </w:p>
    <w:p w:rsidR="00163957" w:rsidRDefault="00163957" w:rsidP="00163957">
      <w:pPr>
        <w:pStyle w:val="TextoNormal"/>
      </w:pPr>
    </w:p>
    <w:p w:rsidR="00163957" w:rsidRDefault="00163957" w:rsidP="00163957">
      <w:pPr>
        <w:pStyle w:val="TextoNormal"/>
      </w:pPr>
      <w:r>
        <w:t>1. He de comenzar precisando mi conformidad parcial con la resolución de la mayoría, cuando considera que el mecanismo mediante el cual el Estado retiene recursos procedentes de los regímenes de financiación para pagar directamente a los proveedores (arts. 1.6, 1.16 y 2 de la Ley Orgánica 9/2013) penetra en el ámbito reservado a la ley orgánica por el art. 157.3 CE. Las razones que abonan esta opinión quedaron recogidas en la reciente STC 41/2016, de 3 de marzo, FJ 16 c), que se invoca esta sentencia.</w:t>
      </w:r>
    </w:p>
    <w:p w:rsidR="00163957" w:rsidRDefault="00163957" w:rsidP="00163957">
      <w:pPr>
        <w:pStyle w:val="TextoNormal"/>
      </w:pPr>
    </w:p>
    <w:p w:rsidR="00163957" w:rsidRDefault="00163957" w:rsidP="00163957">
      <w:pPr>
        <w:pStyle w:val="TextoNormal"/>
      </w:pPr>
      <w:r>
        <w:t>No obstante, debo aclarar desde este momento que comparto la opinión mayoritaria en su dimensión meramente formal, ceñida a delimitar los contornos de lo reservado a la ley orgánica por el art. 157.3 CE. Cuestión bien distinta es la valoración de dicho mecanismo de retención desde la perspectiva de su adecuación a los principios constitucionales de autonomía política y financiera (arts. 137 y 156.1 CE), sobre lo que me remito al Voto particular formulado por la Magistrada doña Adela Asua Batarrita, al que me adhiero.</w:t>
      </w:r>
    </w:p>
    <w:p w:rsidR="00163957" w:rsidRDefault="00163957" w:rsidP="00163957">
      <w:pPr>
        <w:pStyle w:val="TextoNormal"/>
      </w:pPr>
    </w:p>
    <w:p w:rsidR="00163957" w:rsidRDefault="00163957" w:rsidP="00163957">
      <w:pPr>
        <w:pStyle w:val="TextoNormal"/>
      </w:pPr>
      <w:r>
        <w:t>2. Hecha la anterior salvedad, considero que el régimen jurídico de la deuda comercial (el volumen de deuda pendiente de pago a los proveedores de las Administraciones Públicas), no está comprendido en el ámbito que el art. 157.3 CE remite a la ley orgánica (el ejercicio de las competencias financieras enumeradas en el precedente apartado 1, relativo a los recursos de las Comunidades Autónomas, las normas para resolver los conflictos que pudieran surgir y las posibles formas de colaboración financiera entre las Comunidades Autónomas y el Estado).</w:t>
      </w:r>
    </w:p>
    <w:p w:rsidR="00163957" w:rsidRDefault="00163957" w:rsidP="00163957">
      <w:pPr>
        <w:pStyle w:val="TextoNormal"/>
      </w:pPr>
    </w:p>
    <w:p w:rsidR="00163957" w:rsidRDefault="00163957" w:rsidP="00163957">
      <w:pPr>
        <w:pStyle w:val="TextoNormal"/>
      </w:pPr>
      <w:r>
        <w:t>El Tribunal acuñó tempranamente un concepto restrictivo de la reserva de ley orgánica, a fin de impedir una petrificación abusiva del ordenamiento en beneficio de quienes en un momento dado gozasen de la mayoría parlamentaria suficiente y en detrimento del carácter democrático del Estado. Esta idea, que aparece recogida ya en la STC 5/1981, de 13 de febrero, FJ 21 A), ha sido un criterio contante en la jurisprudencia constitucional: la STC 215/2014, de 18 de diciembre, recordaba “[l]a necesidad de aplicar un criterio estricto o restrictivo para determinar el alcance de la reserva, tanto en lo referente al término ‘desarrollar’, como respecto de la ‘materia’ objeto de reserva, se debe a la finalidad de evitar petrificaciones del ordenamiento y de preservar la regla de las mayorías parlamentarias no cualificadas [SSTC 5/1981, de 13 de febrero, FJ 21 A); 173/1998, de 23 de julio, FJ 7; 129/1999, de 1 de julio, FJ 2; 53/2002, de 27 de febrero, FJ 12; 184/2012, de 17 de octubre, FJ 9; 212/2012, de 14 de noviembre, FJ 1, y 151/2014, de 25 de septiembre, FJ 4 a)], pues la regulación por ley orgánica produce el ‘efecto de congelación de rango y de la necesidad de una mayoría cualificada para su ulterior modificación’ [STC 5/1981, de 13 de febrero, FJ 21 A)]” (FJ 3).</w:t>
      </w:r>
    </w:p>
    <w:p w:rsidR="00163957" w:rsidRDefault="00163957" w:rsidP="00163957">
      <w:pPr>
        <w:pStyle w:val="TextoNormal"/>
      </w:pPr>
    </w:p>
    <w:p w:rsidR="00163957" w:rsidRDefault="00163957" w:rsidP="00163957">
      <w:pPr>
        <w:pStyle w:val="TextoNormal"/>
      </w:pPr>
      <w:r>
        <w:t xml:space="preserve">La reserva de ley orgánica del art. 157.3 CE no ha sido ni puede ser ajena a esta interpretación estricta. Ya la STC 68/1996, de 4 de abril, señaló que este precepto constitucional no </w:t>
      </w:r>
      <w:r>
        <w:lastRenderedPageBreak/>
        <w:t>pretende “sino habilitar la intervención unilateral del Estado en este ámbito competencial a fin de alcanzar un mínimo grado de homogeneidad en el sistema de financiación autonómico, orillando así la dificultad que habría supuesto que dicho sistema quedase exclusivamente al albur de lo que se decidiese en el procedimiento de elaboración de cada uno de los Estatutos de Autonomía. Su función no es, por tanto, como es obvio, la de establecer una reserva de Ley Orgánica en cuya virtud cualquier aspecto atinente al nutrido grupo de recursos autonómicos enumerados en el art. 157.1 C.E. requiriese ineludiblemente una norma de tal rango, sino sencillamente permitir que una Ley Orgánica —la actual L.O.F.C.A.— pudiese insertarse en el bloque de la constitucionalidad delimitador del concreto alcance de las competencias autonómicas en materia financiera (por todas, SSTC 181/1988, fundamento jurídico 7; 183/1988, fundamento jurídico 3; 250/1988, fundamento jurídico 1, y 150/1990, fundamento jurídico 3)” (FJ 9).</w:t>
      </w:r>
    </w:p>
    <w:p w:rsidR="00163957" w:rsidRDefault="00163957" w:rsidP="00163957">
      <w:pPr>
        <w:pStyle w:val="TextoNormal"/>
      </w:pPr>
    </w:p>
    <w:p w:rsidR="00163957" w:rsidRDefault="00163957" w:rsidP="00163957">
      <w:pPr>
        <w:pStyle w:val="TextoNormal"/>
      </w:pPr>
      <w:r>
        <w:t>La Sentencia de la que discrepo intenta encontrar su precedente doctrinal en la STC 134/2011, de 20 de julio, que incluye en el ámbito de la reserva de ley orgánica del art. 157.3 CE “las posibles formas de colaboración financiera entre las Comunidades Autónomas y el Estado” y la “coordinación de la política de endeudamiento”. Sin embargo, esta invocación no es convincente, pues: (i) la primera alusión, que se limita a reproducir el precepto constitucional citado, no aporta luz alguna sobre lo que aquí se debate; y (ii) la segunda faceta en todo momento se vincula en dicha STC 134/2011 (y en la STC 11/1984, de 2 de febrero, a la que se remite) a las operaciones de crédito público que, al formar parte de los recursos de las Comunidades Autónomas enumerados en el art. 157.1 CE, encajan con naturalidad en la reserva de ley orgánica recogida en su apartado 3. Sin que sea necesaria su reproducción, me remito al íntegro fundamento jurídico 7 de la STC 13/2007, de 18 de enero, que expone con todo detenimiento las razones por las cuales corresponde al Estado la coordinación en materia de financiación de las Comunidades Autónomas, y que acotan con nitidez el ámbito en el que puede desenvolverse la ley orgánica del art. 157.3 CE.</w:t>
      </w:r>
    </w:p>
    <w:p w:rsidR="00163957" w:rsidRDefault="00163957" w:rsidP="00163957">
      <w:pPr>
        <w:pStyle w:val="TextoNormal"/>
      </w:pPr>
    </w:p>
    <w:p w:rsidR="00163957" w:rsidRDefault="00163957" w:rsidP="00163957">
      <w:pPr>
        <w:pStyle w:val="TextoNormal"/>
      </w:pPr>
      <w:r>
        <w:t>Confirmando una vez más la doctrina previa, la reciente STC 41/2016 ha rechazado “un entendimiento expansivo en cuya virtud cualesquiera medidas destinadas al ahorro en el gasto público, al manejo eficiente de los recursos públicos o a la racionalización de las estructuras administrativas queden reservadas a la ley orgánica por el solo dato de que sirvan en última instancia a fines de estabilidad presupuestaria y sostenibilidad financiera. El sistema constitucional obliga a interpretar que todos los niveles de gobierno deben adoptar medidas de ese tipo en el marco de sus competencias respectivas, en general, y que el Estado puede utilizar al efecto la legislación ordinaria, en particular” (FJ 3).</w:t>
      </w:r>
    </w:p>
    <w:p w:rsidR="00163957" w:rsidRDefault="00163957" w:rsidP="00163957">
      <w:pPr>
        <w:pStyle w:val="TextoNormal"/>
      </w:pPr>
    </w:p>
    <w:p w:rsidR="00163957" w:rsidRDefault="00163957" w:rsidP="00163957">
      <w:pPr>
        <w:pStyle w:val="TextoNormal"/>
      </w:pPr>
      <w:r>
        <w:t>Una reflexión similar debió conducir en esta ocasión a estimar el motivo de impugnación fundado en la extralimitación de la reserva constitucional de ley orgánica, a fin de preservar la esencial regla de las mayorías parlamentarias no cualificadas, por la que este Tribunal ha velado constantemente desde la temprana STC 5/1981. La consecuencia hubiera sido la que esta misma resolución determinó en su FJ 21 c), y que la sentencia de la que ahora me aparto se limita a apuntar como hipótesis: la declaración de inconstitucionalidad de la atribución del rango de ley orgánica, y la privación del mismo, quedando vigentes los preceptos afectados, si bien con la forma de ley ordinaria.</w:t>
      </w:r>
    </w:p>
    <w:p w:rsidR="00163957" w:rsidRDefault="00163957" w:rsidP="00163957">
      <w:pPr>
        <w:pStyle w:val="TextoNormal"/>
      </w:pPr>
    </w:p>
    <w:p w:rsidR="00163957" w:rsidRDefault="00163957" w:rsidP="00163957">
      <w:pPr>
        <w:pStyle w:val="TextoNormal"/>
      </w:pPr>
      <w:r>
        <w:t>Y en tal sentido emito este Voto particular.</w:t>
      </w:r>
    </w:p>
    <w:p w:rsidR="00163957" w:rsidRDefault="00163957" w:rsidP="00163957">
      <w:pPr>
        <w:pStyle w:val="TextoNormal"/>
      </w:pPr>
    </w:p>
    <w:p w:rsidR="00163957" w:rsidRDefault="00163957" w:rsidP="00163957">
      <w:pPr>
        <w:pStyle w:val="TextoNormal"/>
      </w:pPr>
      <w:r>
        <w:lastRenderedPageBreak/>
        <w:t>Madrid, a veintiséis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05" w:name="SENTENCIA_2016_102"/>
      <w:r>
        <w:lastRenderedPageBreak/>
        <w:t>SENTENCIA 102/2016, de 25 de mayo de 2016</w:t>
      </w:r>
    </w:p>
    <w:bookmarkEnd w:id="105"/>
    <w:p w:rsidR="00163957" w:rsidRDefault="00163957" w:rsidP="00163957">
      <w:pPr>
        <w:pStyle w:val="TtuloResolucin"/>
      </w:pPr>
      <w:r>
        <w:t>Pleno</w:t>
      </w:r>
    </w:p>
    <w:p w:rsidR="00163957" w:rsidRDefault="00163957" w:rsidP="00163957">
      <w:pPr>
        <w:pStyle w:val="TtuloBOE"/>
      </w:pPr>
      <w:r>
        <w:t>(BOE núm. 159, de 2 de julio de 2016)</w:t>
      </w:r>
    </w:p>
    <w:p w:rsidR="00163957" w:rsidRDefault="00163957" w:rsidP="00163957">
      <w:pPr>
        <w:pStyle w:val="TextoNormalCentrado"/>
      </w:pPr>
      <w:r>
        <w:t>ECLI:ES:TC:2016:102</w:t>
      </w:r>
    </w:p>
    <w:p w:rsidR="00163957" w:rsidRDefault="00163957" w:rsidP="00163957">
      <w:pPr>
        <w:pStyle w:val="TextoNormalCentrado"/>
      </w:pPr>
    </w:p>
    <w:p w:rsidR="00163957" w:rsidRDefault="00163957" w:rsidP="00163957">
      <w:pPr>
        <w:pStyle w:val="SntesisDescriptiva"/>
      </w:pPr>
      <w:r>
        <w:t>Cuestión de inconstitucionalidad 1619-2015. Planteada por la Sala de lo Contencioso-Administrativo del Tribunal Superior de Justicia de Galicia en relación con el artículo 32.1 de la Ley 5/1997, de 22 de julio, de Administración local de Galicia.</w:t>
      </w:r>
    </w:p>
    <w:p w:rsidR="00163957" w:rsidRDefault="00163957" w:rsidP="00163957">
      <w:pPr>
        <w:pStyle w:val="SntesisDescriptiva"/>
      </w:pPr>
    </w:p>
    <w:p w:rsidR="00163957" w:rsidRDefault="00163957" w:rsidP="00163957">
      <w:pPr>
        <w:pStyle w:val="SntesisAnaltica"/>
      </w:pPr>
      <w:r>
        <w:t>Competencias sobre régimen local: inadmisión de la cuestión de inconstitucionalidad en la que se aduce inconstitucionalidad sobrevenida de un precepto legal autonómico. Voto particular.</w:t>
      </w:r>
    </w:p>
    <w:p w:rsidR="00163957" w:rsidRDefault="00163957" w:rsidP="00163957">
      <w:pPr>
        <w:pStyle w:val="SntesisAnaltica"/>
      </w:pPr>
    </w:p>
    <w:p w:rsidR="00163957" w:rsidRDefault="00163957" w:rsidP="00163957">
      <w:pPr>
        <w:pStyle w:val="Extracto"/>
      </w:pPr>
      <w:r>
        <w:t>1.</w:t>
      </w:r>
      <w:r>
        <w:tab/>
        <w:t>En supuestos de legislación compartida, la falta de acomodación de la ley autonómica de desarrollo a la posterior modificación de la ley estatal básica no determina la derogación de la norma autonómica ni ha de conducir a su nulidad por inconstitucionalidad sobrevenida, sino que el conflicto puede resolverse, tal como ha hecho la Xunta de Galicia, inaplicando la ley autonómica por considerar prevalente la posterior legislación básica estatal [FJ 6].</w:t>
      </w:r>
    </w:p>
    <w:p w:rsidR="00163957" w:rsidRDefault="00163957" w:rsidP="00163957">
      <w:pPr>
        <w:pStyle w:val="Extracto"/>
      </w:pPr>
    </w:p>
    <w:p w:rsidR="00163957" w:rsidRDefault="00163957" w:rsidP="00163957">
      <w:pPr>
        <w:pStyle w:val="Extracto"/>
      </w:pPr>
      <w:r>
        <w:t>2.</w:t>
      </w:r>
      <w:r>
        <w:tab/>
        <w:t>La prevalencia de la legislación básica estatal es la solución lógica a una situación provocada por la propia Comunidad Autónoma que incumple su deber de inmediata acomodación de su legislación de desarrollo a la nueva legislación básica [FJ 5].</w:t>
      </w:r>
    </w:p>
    <w:p w:rsidR="00163957" w:rsidRDefault="00163957" w:rsidP="00163957">
      <w:pPr>
        <w:pStyle w:val="Extracto"/>
      </w:pPr>
    </w:p>
    <w:p w:rsidR="00163957" w:rsidRDefault="00163957" w:rsidP="00163957">
      <w:pPr>
        <w:pStyle w:val="Extracto"/>
      </w:pPr>
      <w:r>
        <w:t>3.</w:t>
      </w:r>
      <w:r>
        <w:tab/>
        <w:t>En supuestos en que con apoyo en títulos competenciales distintos, Comunidad Autónoma y Estado aprueban productos normativos incompatibles, el conflicto se resuelve, sin traer a colación el art. 149.3 CE, en favor del título competencial considerado más específico [FJ 6].</w:t>
      </w:r>
    </w:p>
    <w:p w:rsidR="00163957" w:rsidRDefault="00163957" w:rsidP="00163957">
      <w:pPr>
        <w:pStyle w:val="Extracto"/>
      </w:pPr>
    </w:p>
    <w:p w:rsidR="00163957" w:rsidRDefault="00163957" w:rsidP="00163957">
      <w:pPr>
        <w:pStyle w:val="Extracto"/>
      </w:pPr>
      <w:r>
        <w:t>4.</w:t>
      </w:r>
      <w:r>
        <w:tab/>
        <w:t>Doctrina sobre la inconstitucionalidad mediata sobrevenida del precepto legal autonómico por la modificación de la normativa estatal básica (SSTC 66/2011, 159/2012, 195/2015) [FJ 2].</w:t>
      </w:r>
    </w:p>
    <w:p w:rsidR="00163957" w:rsidRDefault="00163957" w:rsidP="00163957">
      <w:pPr>
        <w:pStyle w:val="Extracto"/>
      </w:pPr>
    </w:p>
    <w:p w:rsidR="00163957" w:rsidRDefault="00163957" w:rsidP="00163957">
      <w:pPr>
        <w:pStyle w:val="Extracto"/>
      </w:pPr>
      <w:r>
        <w:t>5.</w:t>
      </w:r>
      <w:r>
        <w:tab/>
        <w:t>Doctrina sobre la inconstitucionalidad sobrevenida (STC 4/1981) [FJ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1619-2015, promovida por la Sala de lo Contencioso-Administrativo del Tribunal Superior de Justicia de Galicia en relación con el art. 32.1 de la Ley 5/1997, de 22 de julio, de administración local de Galicia. Han intervenido y formulado alegaciones la Xunta de Galicia, el Parlamento de Galicia y el Fiscal General del Estado. Ha sido Ponente el Magistrado don Ricardo Enríquez Sancho,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20 de marzo de 2015 tuvo entrada en el Registro General de este Tribunal un oficio de la Sala de lo Contencioso-Administrativo del Tribunal Superior de Justicia de Galicia (Sección Segunda) al que se acompaña, junto al testimonio del recurso contencioso-administrativo núm. 4497-2013, interpuesto contra el Decreto 83/2013, de 6 de junio, por el que se aprueba la fusión voluntaria de los municipios de Oza dos Ríos y Cesuras y se constituye el municipio Oza-Cesuras, el Auto de 6 de marzo de 2015 por el que se acuerda plantear cuestión de inconstitucionalidad en relación con el art. 32.1 de la Ley 5/1997, de 22 de julio, de Administración local de Galicia.</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que interesa destacar a los efectos de este proceso constitucional son los siguientes:</w:t>
      </w:r>
    </w:p>
    <w:p w:rsidR="00163957" w:rsidRDefault="00163957" w:rsidP="00163957">
      <w:pPr>
        <w:pStyle w:val="TextoNormal"/>
      </w:pPr>
    </w:p>
    <w:p w:rsidR="00163957" w:rsidRDefault="00163957" w:rsidP="00163957">
      <w:pPr>
        <w:pStyle w:val="TextoNormal"/>
      </w:pPr>
      <w:r>
        <w:t>a) Por Decreto 83/2013, de 6 de junio, la Xunta de Galicia aprobó la fusión voluntaria de los municipios de Oza dos Ríos y Cesuras, dando lugar al nuevo municipio de Oza-Cesuras.</w:t>
      </w:r>
    </w:p>
    <w:p w:rsidR="00163957" w:rsidRDefault="00163957" w:rsidP="00163957">
      <w:pPr>
        <w:pStyle w:val="TextoNormal"/>
      </w:pPr>
    </w:p>
    <w:p w:rsidR="00163957" w:rsidRDefault="00163957" w:rsidP="00163957">
      <w:pPr>
        <w:pStyle w:val="TextoNormal"/>
      </w:pPr>
      <w:r>
        <w:t>b) El 10 de julio de 2013, doña M.P.P.S, concejal del municipio de Cesuras que había votado en contra de la decisión de iniciar la tramitación por la Xunta del expediente de fusión, presentó ante la Sala de lo Contencioso-Administrativo del Tribunal Superior de Justicia de Galicia recurso contencioso-administrativo contra el citado Decreto 83/2013, de 6 de junio. En su recurso, alegaba como único motivo de impugnación el incumplimiento del régimen de mayorías establecido en el art. 32.1 de la Ley 5/1997, de 22 de junio, de la administración local de Galicia, que dice:</w:t>
      </w:r>
    </w:p>
    <w:p w:rsidR="00163957" w:rsidRDefault="00163957" w:rsidP="00163957">
      <w:pPr>
        <w:pStyle w:val="TextoNormal"/>
      </w:pPr>
    </w:p>
    <w:p w:rsidR="00163957" w:rsidRDefault="00163957" w:rsidP="00163957">
      <w:pPr>
        <w:pStyle w:val="TextoNormal"/>
      </w:pPr>
      <w:r>
        <w:t>“Las alteraciones de términos municipales podrán, asimismo, ser tramitadas, con carácter voluntario, por los Ayuntamientos interesados. En tal caso, el expediente será iniciado por los acuerdos de los respectivos Ayuntamientos, adoptados con el voto favorable de las dos terceras partes del número de hecho y, en todo caso, de la mayoría absoluta del número legal de miembros de la corporación.”</w:t>
      </w:r>
    </w:p>
    <w:p w:rsidR="00163957" w:rsidRDefault="00163957" w:rsidP="00163957">
      <w:pPr>
        <w:pStyle w:val="TextoNormal"/>
      </w:pPr>
    </w:p>
    <w:p w:rsidR="00163957" w:rsidRDefault="00163957" w:rsidP="00163957">
      <w:pPr>
        <w:pStyle w:val="TextoNormal"/>
      </w:pPr>
      <w:r>
        <w:t xml:space="preserve">Según se argumentaba en el recurso, teniendo el Ayuntamiento de Cesuras once concejales, las dos terceras partes exigidas por el precepto hubiesen requerido el voto favorable de, al menos, ocho concejales a la solicitud de fusión, y sin embargo esa solicitud se aprobó solamente por siete votos contra cuatro. Esto es, se cumplió la exigencia de mayoría absoluta </w:t>
      </w:r>
      <w:r>
        <w:lastRenderedPageBreak/>
        <w:t>que el precepto requiere “en todo caso”, pero no la superior de mayoría de dos tercios también impuesta en el referido art. 32.1 de la Ley de la Administración local de Galicia. La Xunta de Galicia, en cambio, había tramitado y aprobado dicha fusión amparándose en el art. 47.2 a) de la Ley 7/1985, de 2 de abril, reguladora de las bases del régimen local (LBRL), modificada en este punto por la Ley 57/2003, de 16 de diciembre, de medidas para la modernización del gobierno local, que dice:</w:t>
      </w:r>
    </w:p>
    <w:p w:rsidR="00163957" w:rsidRDefault="00163957" w:rsidP="00163957">
      <w:pPr>
        <w:pStyle w:val="TextoNormal"/>
      </w:pPr>
    </w:p>
    <w:p w:rsidR="00163957" w:rsidRDefault="00163957" w:rsidP="00163957">
      <w:pPr>
        <w:pStyle w:val="TextoNormal"/>
      </w:pPr>
      <w:r>
        <w:t>“Se requiere el voto favorable de la mayoría absoluta del número legal de miembros de las corporaciones para la adopción de acuerdos en las siguientes materias:</w:t>
      </w:r>
    </w:p>
    <w:p w:rsidR="00163957" w:rsidRDefault="00163957" w:rsidP="00163957">
      <w:pPr>
        <w:pStyle w:val="TextoNormal"/>
      </w:pPr>
    </w:p>
    <w:p w:rsidR="00163957" w:rsidRDefault="00163957" w:rsidP="00163957">
      <w:pPr>
        <w:pStyle w:val="TextoNormal"/>
      </w:pPr>
      <w:r>
        <w:t>a) Creación y supresión de municipios y alteración de términos municipales.”</w:t>
      </w:r>
    </w:p>
    <w:p w:rsidR="00163957" w:rsidRDefault="00163957" w:rsidP="00163957">
      <w:pPr>
        <w:pStyle w:val="TextoNormal"/>
      </w:pPr>
    </w:p>
    <w:p w:rsidR="00163957" w:rsidRDefault="00163957" w:rsidP="00163957">
      <w:pPr>
        <w:pStyle w:val="TextoNormal"/>
      </w:pPr>
      <w:r>
        <w:t>c) Una vez concluso el procedimiento, y antes de dictar Sentencia, la Sección Segunda de la Sala de lo Contencioso-Administrativo del Tribunal Superior de Justicia de Galicia dictó providencia de 12 de febrero de 2015, por la que, al amparo de lo previsto en el art. 35.2 de la Ley Orgánica del Tribunal Constitucional (LOTC), acordó dar a las partes y al Ministerio Fiscal el plazo común e improrrogable de diez días para que pudiera alegar sobre la pertinencia de plantear cuestión de inconstitucionalidad en relación con el art. 32 de la Ley de la Administración local de Galicia, o sobre el fondo de ésta.</w:t>
      </w:r>
    </w:p>
    <w:p w:rsidR="00163957" w:rsidRDefault="00163957" w:rsidP="00163957">
      <w:pPr>
        <w:pStyle w:val="TextoNormal"/>
      </w:pPr>
    </w:p>
    <w:p w:rsidR="00163957" w:rsidRDefault="00163957" w:rsidP="00163957">
      <w:pPr>
        <w:pStyle w:val="TextoNormal"/>
      </w:pPr>
      <w:r>
        <w:t>d) Por escrito presentado el 26 de febrero de 2015, la representación de la parte actora se opuso al planteamiento de la cuestión de inconstitucionalidad suscitada por la Sala. Para ella, la citada cuestión no supera el denominado “juicio de relevancia”, pues a su juicio lo único que debe resolverse en el recurso contencioso-administrativo interpuesto es si la Xunta de Galicia, al dictar el Decreto impugnado, inaplicó o no la citada Ley autonómica, de suerte que tanto si la citada Ley es constitucional como si no lo es, el Decreto recurrido, para la parte, seguiría siendo nulo, por contravenir el citado art. 32.1 de la Ley de la Administración local de Galicia.</w:t>
      </w:r>
    </w:p>
    <w:p w:rsidR="00163957" w:rsidRDefault="00163957" w:rsidP="00163957">
      <w:pPr>
        <w:pStyle w:val="TextoNormal"/>
      </w:pPr>
    </w:p>
    <w:p w:rsidR="00163957" w:rsidRDefault="00163957" w:rsidP="00163957">
      <w:pPr>
        <w:pStyle w:val="TextoNormal"/>
      </w:pPr>
      <w:r>
        <w:t>El Letrado de la Diputación Provincial de A Coruña, en representación del Ayuntamiento de Oza-Cesuras, presentó sus alegaciones el mismo día 26 de febrero de 2015, apoyando el planteamiento de la cuestión de inconstitucionalidad. Para él, existen dos disposiciones legales contradictorias, el art. 32.1 de la Ley de la Administración local de Galicia y el art. 47.2 a) LBRL, y únicamente el Tribunal Constitucional puede solventar esta contradicción, haciéndolo además mediante la expulsión del ordenamiento de la disposición autonómica, ya que el art. 47.2 LBRL tiene carácter formal y materialmente básico al amparo del art. 149.1.18 CE, según estableció ya la STC 66/2011, de 16 de mayo.</w:t>
      </w:r>
    </w:p>
    <w:p w:rsidR="00163957" w:rsidRDefault="00163957" w:rsidP="00163957">
      <w:pPr>
        <w:pStyle w:val="TextoNormal"/>
      </w:pPr>
    </w:p>
    <w:p w:rsidR="00163957" w:rsidRDefault="00163957" w:rsidP="00163957">
      <w:pPr>
        <w:pStyle w:val="TextoNormal"/>
      </w:pPr>
      <w:r>
        <w:t>Por escrito fechado el 24 de febrero de 2015 el Letrado de la Xunta de Galicia presentó sus alegaciones instando el planteamiento de la cuestión de inconstitucionalidad. Cita las SSTC 33/1993 y 159/2012, que resolvieron idéntico debate acerca de la inconstitucionalidad sobrevenida de leyes autonómicas por modificación de la ley básica estatal, y concluye que según la jurisprudencia de este Tribunal (SSTC 173/2002 y 1/2003) solo el Tribunal Constitucional puede resolver esta contradicción entre normas legales y depurar el ordenamiento en estos casos.</w:t>
      </w:r>
    </w:p>
    <w:p w:rsidR="00163957" w:rsidRDefault="00163957" w:rsidP="00163957">
      <w:pPr>
        <w:pStyle w:val="TextoNormal"/>
      </w:pPr>
    </w:p>
    <w:p w:rsidR="00163957" w:rsidRDefault="00163957" w:rsidP="00163957">
      <w:pPr>
        <w:pStyle w:val="TextoNormal"/>
      </w:pPr>
      <w:r>
        <w:t xml:space="preserve">El 24 de febrero de 2015 presentó sus alegaciones el Ministerio Fiscal, que tras repasar los antecedentes del caso y los precedentes que representan las SSTC 66/2011 y 159/2012, </w:t>
      </w:r>
      <w:r>
        <w:lastRenderedPageBreak/>
        <w:t>concluye que concurren los presupuestos necesarios para plantear la cuestión de inconstitucionalidad, “aun cuando se sepa que el resultado de la respuesta del Tribunal Constitucional es el de declarar contraria a la Constitución la ley autonómica. Ya el voto particular de la STC de 2011 antes citada señalaba la anormalidad y antieconómica (sic) de la vía seguida”.</w:t>
      </w:r>
    </w:p>
    <w:p w:rsidR="00163957" w:rsidRDefault="00163957" w:rsidP="00163957">
      <w:pPr>
        <w:pStyle w:val="TextoNormal"/>
      </w:pPr>
    </w:p>
    <w:p w:rsidR="00163957" w:rsidRDefault="00163957" w:rsidP="00163957">
      <w:pPr>
        <w:pStyle w:val="TextoNormal"/>
      </w:pPr>
      <w:r>
        <w:t>e) Por Auto de 6 de marzo de 2015 la Sección Segunda de la Sala de lo Contencioso-Administrativo del Tribunal Superior de Justicia de Galicia acordó plantear cuestión de inconstitucionalidad en relación con el art. 32.1 de la Ley 5/1997, de 22 de julio, de administración local de Galicia, por la posible vulneración del art. 149.1.18 CE.</w:t>
      </w:r>
    </w:p>
    <w:p w:rsidR="00163957" w:rsidRDefault="00163957" w:rsidP="00163957">
      <w:pPr>
        <w:pStyle w:val="TextoNormal"/>
      </w:pPr>
    </w:p>
    <w:p w:rsidR="00163957" w:rsidRDefault="00163957" w:rsidP="00163957">
      <w:pPr>
        <w:pStyle w:val="TextoNormal"/>
      </w:pPr>
      <w:r w:rsidRPr="00163957">
        <w:rPr>
          <w:rStyle w:val="NumeroAFNegritaCaracter"/>
        </w:rPr>
        <w:t>3</w:t>
      </w:r>
      <w:r>
        <w:t>. El Auto de planteamiento comienza identificando el precepto cuestionado, que reproduce, y el precepto constitucional de contraste, que igualmente transcribe, así como el precepto estatal que concreta la supuesta vulneración constitucional, el art. 47.2 a) LBRL. Recuerda asimismo que en el recurso contencioso-administrativo que debe resolver se cuestiona que el Decreto impugnado haya respetado el régimen de mayorías exigido por el art. 32.1 de la Ley de la Administración local de Galicia, y concluye: “Tal es la medida en que la decisión del proceso depende de la validez de la norma cuestionada”.</w:t>
      </w:r>
    </w:p>
    <w:p w:rsidR="00163957" w:rsidRDefault="00163957" w:rsidP="00163957">
      <w:pPr>
        <w:pStyle w:val="TextoNormal"/>
      </w:pPr>
    </w:p>
    <w:p w:rsidR="00163957" w:rsidRDefault="00163957" w:rsidP="00163957">
      <w:pPr>
        <w:pStyle w:val="TextoNormal"/>
      </w:pPr>
      <w:r>
        <w:t>Acto seguido, recuerda la doctrina de este Tribunal según la cual solo puede ser él, y no los órganos de la jurisdicción ordinaria, quien fiscalice las leyes post constitucionales y depure el ordenamiento expulsando del mismo una norma con rango de ley (SSTC 66/2011 y 159/2012). Y ello le lleva a plantear la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9 de junio de 2015, el Pleno del Tribunal, a propuesta de la Sección Cuarta, acordó admitir a trámite la cuestión de inconstitucionalidad planteada por la Sección Segunda de la Sala de lo Contencioso-Administrativo del Tribunal Superior de Justicia de Galicia en relación con el art. 32.1 de la Ley 5/1997, de 22 de julio, de administración local de Galicia, por posible vulneración del art. 149.1.18 CE, y, de conformidad con lo dispuesto en el artículo 10.1 c) LOTC, deferir a la Sala Segunda el conocimiento de la cuestión, así como dar traslado de las actuaciones recibidas (art. 37.3 LOTC) al Congreso de los Diputados y al Senado, por conducto de sus Presidentes, al Gobierno, por conducto del Ministro de Justicia, y al Fiscal General del Estado, así como a la Xunta de Galicia y al Parlamento de Galicia, por conducto de sus Presidentes, al objeto de que, en el improrrogable plazo de quince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 y en el “Diario Oficial de Galicia”.</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de 16 de junio de 2015, registrado en este Tribunal el siguiente día 18, el Presidente del Congreso de los Diputados comunicó a este Tribunal el acuerdo de la Mesa de la cámara de la misma fecha por el que se tiene por personado al Congreso de los Diputados en este procedimiento y por ofrecida su colaboración a los efectos del artículo 88.1 LOTC.</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6</w:t>
      </w:r>
      <w:r>
        <w:t>. El 24 de junio de 2015 tuvo entrada en el Registro General de este Tribunal escrito del Presidente del Senado comunicando el acuerdo de la Mesa de la cámara de 23 de junio en el que se tiene por personada a la citada cámara en el procedimiento y por ofrecida su colaboración a los efectos del artículo 88.1 LOTC.</w:t>
      </w:r>
    </w:p>
    <w:p w:rsidR="00163957" w:rsidRDefault="00163957" w:rsidP="00163957">
      <w:pPr>
        <w:pStyle w:val="TextoNormal"/>
      </w:pPr>
    </w:p>
    <w:p w:rsidR="00163957" w:rsidRDefault="00163957" w:rsidP="00163957">
      <w:pPr>
        <w:pStyle w:val="TextoNormal"/>
      </w:pPr>
      <w:r w:rsidRPr="00163957">
        <w:rPr>
          <w:rStyle w:val="NumeroAFNegritaCaracter"/>
        </w:rPr>
        <w:t>7</w:t>
      </w:r>
      <w:r>
        <w:t>. El Abogado del Estado, en la representación que legalmente ostenta, presentó sus alegaciones el 26 de junio de 2015. En ellas, recuerda que el debate suscitado es “prácticamente idéntico” al resuelto en las SSTC 66/2011 y 159/2012, a propósito de la inconstitucionalidad sobrevenida del art. 131.2 de la Ley 14/1990, de 26 de julio, del régimen jurídico de las Administraciones públicas de Canarias, que regulaba las mayorías necesarias para un cambio de capitalidad del municipio, tras la modificación del régimen de mayorías previsto en la Ley de bases de régimen local operado por la Ley 57/2003. La contradicción en que había entrado esa norma autonómica con ese nuevo régimen de mayorías instaurado por la citada Ley 57/2003 provocó que en aquel caso este Tribunal declarase: (a) que no podía un órgano de la jurisdicción ordinaria inaplicar por su propia autoridad una ley autonómica por contravenir una ley básica estatal; y (b) que la citada norma autonómica era, verdaderamente, formal y materialmente básica, al amparo del art. 149.1.18 CE, por lo que había incurrido en inconstitucionalidad sobrevenida y era en consecuencia inconstitucional y nula.</w:t>
      </w:r>
    </w:p>
    <w:p w:rsidR="00163957" w:rsidRDefault="00163957" w:rsidP="00163957">
      <w:pPr>
        <w:pStyle w:val="TextoNormal"/>
      </w:pPr>
    </w:p>
    <w:p w:rsidR="00163957" w:rsidRDefault="00163957" w:rsidP="00163957">
      <w:pPr>
        <w:pStyle w:val="TextoNormal"/>
      </w:pPr>
      <w:r>
        <w:t>Como en este caso aprecia la misma contradicción con la única variación de que el supuesto enjuiciado no es el de alteración de la capitalidad del municipio [art. 47.2 d) LBRL] sino el de fusión de ayuntamientos [art. 47.2 a)], entiende que concurren todos los presupuestos para la declaración de inconstitucionalidad, mediata o indirecta, del art. 32.1 de la Ley de la Administración local de Galicia aquí cuestionado: carácter básico de la norma estatal infringida; contradicción insalvable entre los preceptos enfrentados, e imposibilidad de que la norma estatal básica desplace o prevalezca (art. 149.3 CE) sobre la norma autonómica sin previa declaración de inconstitucionalidad de ésta.</w:t>
      </w:r>
    </w:p>
    <w:p w:rsidR="00163957" w:rsidRDefault="00163957" w:rsidP="00163957">
      <w:pPr>
        <w:pStyle w:val="TextoNormal"/>
      </w:pPr>
    </w:p>
    <w:p w:rsidR="00163957" w:rsidRDefault="00163957" w:rsidP="00163957">
      <w:pPr>
        <w:pStyle w:val="TextoNormal"/>
      </w:pPr>
      <w:r w:rsidRPr="00163957">
        <w:rPr>
          <w:rStyle w:val="NumeroAFNegritaCaracter"/>
        </w:rPr>
        <w:t>8</w:t>
      </w:r>
      <w:r>
        <w:t>. El 26 de junio de 2015 tuvo entrada en el Registro General de este Tribunal escrito de la Presidenta del Parlamento de Galicia al que se acompaña el certificado del acuerdo de personación tomado por la Mesa de la citada cámara y las alegaciones efectuadas por el Letrado oficial mayor del Parlamento de Galicia.</w:t>
      </w:r>
    </w:p>
    <w:p w:rsidR="00163957" w:rsidRDefault="00163957" w:rsidP="00163957">
      <w:pPr>
        <w:pStyle w:val="TextoNormal"/>
      </w:pPr>
    </w:p>
    <w:p w:rsidR="00163957" w:rsidRDefault="00163957" w:rsidP="00163957">
      <w:pPr>
        <w:pStyle w:val="TextoNormal"/>
      </w:pPr>
      <w:r>
        <w:t>En esas alegaciones se asume el carácter básico del art. 47.2 a) LBRL, en su redacción resultante de la Ley 57/2003, ya que el carácter básico del régimen de mayorías de los órganos de gobierno local fue destacado ya en las SSTC 33/1993 y 331/1993. En consecuencia, se dice, la regla de mayoría de dos tercios establecida en el precepto cuestionado, que reproduce la originariamente establecida en la LBRL pero hoy modificada por la Ley 57/2003, “deviene inaplicable desde la entrada en vigor de la Ley 57/2003, que la sustituye por la regla de la mayoría absoluta”; no obstante, prosigue el Letrado de la cámara autonómica, es posible defender la constitucionalidad del precepto controvertido. Para ello, dice, debe partirse de que el Parlamento de Galicia, al aprobar la Ley 5/1997, de 22 de julio, de administración local de Galicia, actuó dentro del marco competencial autonómico y con sujeción a la normativa estatal básica vigente en aquel momento.</w:t>
      </w:r>
    </w:p>
    <w:p w:rsidR="00163957" w:rsidRDefault="00163957" w:rsidP="00163957">
      <w:pPr>
        <w:pStyle w:val="TextoNormal"/>
      </w:pPr>
    </w:p>
    <w:p w:rsidR="00163957" w:rsidRDefault="00163957" w:rsidP="00163957">
      <w:pPr>
        <w:pStyle w:val="TextoNormal"/>
      </w:pPr>
      <w:r>
        <w:t xml:space="preserve">En la regulación del régimen de mayorías, el Parlamento de Galicia bien podía haberse remitido simplemente a la normativa básica del Estado, pero optó, en lugar de ello, por </w:t>
      </w:r>
      <w:r>
        <w:lastRenderedPageBreak/>
        <w:t>reproducir las mayorías fijadas en aquella, en aras de la seguridad jurídica proclamada en el art. 9.3 CE. Una técnica legislativa habitual y validada por este propio Tribunal Constitucional (STC 146/1993).</w:t>
      </w:r>
    </w:p>
    <w:p w:rsidR="00163957" w:rsidRDefault="00163957" w:rsidP="00163957">
      <w:pPr>
        <w:pStyle w:val="TextoNormal"/>
      </w:pPr>
    </w:p>
    <w:p w:rsidR="00163957" w:rsidRDefault="00163957" w:rsidP="00163957">
      <w:pPr>
        <w:pStyle w:val="TextoNormal"/>
      </w:pPr>
      <w:r>
        <w:t>La contravención sobrevenida de ese precepto originario con la nueva normativa básica actualizada por la Ley estatal 57/2003 no debe conducir a una declaración de inconstitucionalidad, sino a la aplicación de la cláusula de prevalencia del art. 149.3 CE, cuya aplicabilidad demanda en este caso el Letrado der la cámara autonómica.</w:t>
      </w:r>
    </w:p>
    <w:p w:rsidR="00163957" w:rsidRDefault="00163957" w:rsidP="00163957">
      <w:pPr>
        <w:pStyle w:val="TextoNormal"/>
      </w:pPr>
    </w:p>
    <w:p w:rsidR="00163957" w:rsidRDefault="00163957" w:rsidP="00163957">
      <w:pPr>
        <w:pStyle w:val="TextoNormal"/>
      </w:pPr>
      <w:r>
        <w:t>No ignora, concluye, los casos de las SSTC 66/2011 y 159/2012, pero según su parecer sería interesante que se reinterpretara o matizara esa doctrina de manera que se distingan dos supuestos: el de colisión entre una ley autonómica y una ley estatal en el momento mismo en que aquélla es aprobada, y el de colisión de una norma autonómica originariamente acorde con la normativa estatal básica pero posteriormente contraria a ella por la modificación de esta última. En este segundo caso, sostiene, no sería necesaria la declaración de inconstitucionalidad, sino que cabría su mera inaplicación por haber sido desplazada por la norma estatal, al amparo de la cláusula de prevalencia del art. 149.3 CE. Esta le parece la solución más sencilla y acorde con las exigencias del funcionamiento ordinario del sistema normativo, evitando las disfuncionalidades que acarrea la doctrina plasmada en las SSTC 66/2011 y 159/2012, que acaban extendiéndose al orden procesal.</w:t>
      </w:r>
    </w:p>
    <w:p w:rsidR="00163957" w:rsidRDefault="00163957" w:rsidP="00163957">
      <w:pPr>
        <w:pStyle w:val="TextoNormal"/>
      </w:pPr>
    </w:p>
    <w:p w:rsidR="00163957" w:rsidRDefault="00163957" w:rsidP="00163957">
      <w:pPr>
        <w:pStyle w:val="TextoNormal"/>
      </w:pPr>
      <w:r>
        <w:t>Considera por ello que debe desestimarse la presente cuestión de inconstitucionalidad, porque la Sala de lo Contencioso-Administrativo del Tribunal Superior de Justicia de Galicia podía haber determinado de manera inmediata, a través de la cláusula de prevalencia (art. 149.3 CE), cuál era el precepto aplicable y el régimen de mayorías exigido. Recuerda que la doctrina de este Tribunal ha admitido la inaplicación de leyes por órganos de la jurisdicción ordinaria en otros supuestos, como el de las leyes preconstitucionales (STC 4/1981), los textos refundidos y articulados, que pueden confrontarse con las bases aprobadas por el Parlamento (SSTC 51/1982, 47/1984 y 159/2001) y las leyes contrarias al derecho de la Unión Europea, que deben inaplicarse por exigencia del principio de primacía.</w:t>
      </w:r>
    </w:p>
    <w:p w:rsidR="00163957" w:rsidRDefault="00163957" w:rsidP="00163957">
      <w:pPr>
        <w:pStyle w:val="TextoNormal"/>
      </w:pPr>
    </w:p>
    <w:p w:rsidR="00163957" w:rsidRDefault="00163957" w:rsidP="00163957">
      <w:pPr>
        <w:pStyle w:val="TextoNormal"/>
      </w:pPr>
      <w:r w:rsidRPr="00163957">
        <w:rPr>
          <w:rStyle w:val="NumeroAFNegritaCaracter"/>
        </w:rPr>
        <w:t>9</w:t>
      </w:r>
      <w:r>
        <w:t>. Por escrito registrado el 2 de julio de 2015, el Letrado de la Diputación Provincial de A Coruña, en representación y defensa del Ayuntamiento de Oza-Cesuras, se personó ante este Tribunal y solicitó que se entendieran con él las sucesivas actuaciones.</w:t>
      </w:r>
    </w:p>
    <w:p w:rsidR="00163957" w:rsidRDefault="00163957" w:rsidP="00163957">
      <w:pPr>
        <w:pStyle w:val="TextoNormal"/>
      </w:pPr>
    </w:p>
    <w:p w:rsidR="00163957" w:rsidRDefault="00163957" w:rsidP="00163957">
      <w:pPr>
        <w:pStyle w:val="TextoNormal"/>
      </w:pPr>
      <w:r w:rsidRPr="00163957">
        <w:rPr>
          <w:rStyle w:val="NumeroAFNegritaCaracter"/>
        </w:rPr>
        <w:t>10</w:t>
      </w:r>
      <w:r>
        <w:t xml:space="preserve">. El Letrado de la Xunta de Galicia presentó sus alegaciones el 3 de julio de 2015 interesando la estimación de la presente cuestión de inconstitucionalidad “por acatamiento debido” de la doctrina de este Tribunal. En lo que a este proceso constitucional interesa, recuerda que para la Administración, al resolver el expediente de fusión, aplicar el precepto cuestionado (art. 32.1 de la Ley de la Administración local de Galicia) implicaba vulnerar, sin duda alguna, el art. 47.2 d) LBRL. Y apoya en las consideraciones recogidas en el Dictamen 390/2013 del Consello Consultivo de Galicia, emitido con ocasión de la disyuntiva que este caso se presentaba ante la Administración, la necesidad de optar por la aplicación de este último precepto, el estatal. No ofrece duda alguna, sostiene, que la vulneración de la normativa básica estatal por el art. 32.1 de la Ley de la Administración local de Galicia se produjo de manera sobrevenida, como consecuencia de la modificación de la Ley de bases de régimen local por la Ley 57/2003; y no puede omitirse tampoco que esa reforma ya ha sido considerada formal y materialmente básica por este Tribunal Constitucional en las </w:t>
      </w:r>
      <w:r>
        <w:lastRenderedPageBreak/>
        <w:t>SSTC 66/2011 y 159/2012. En consecuencia, y por aplicación de esa doctrina: (i) a la Xunta de Galicia no le quedó más alternativa que aplicar esa normativa estatal formal y materialmente básica; (ii) pero la Sala de lo Contencioso-Administrativo no puede inaplicar por su propia autoridad y en virtud de la cláusula de prevalencia el precepto autonómico cuestionado, contrario a esa norma estatal básica; (iii) es únicamente este Tribunal Constitucional el que puede declarar la inconstitucionalidad mediata y sobrevenida del art. 32.1 de la Ley de la Administración local de Galicia, y su nulidad. Concluye por todo ello la necesaria estimación de la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11</w:t>
      </w:r>
      <w:r>
        <w:t>. Por diligencia de ordenación de 6 de julio de 2015, la Secretaría de la Sala Segunda de este Tribunal acordó tener por personado y parte al Letrado Asesor Jurídico de la Diputación Provincial de A Coruña, en representación del Ayuntamiento de Oza-Cesuras, y tenerle por personado y parte en la presente cuestión de inconstitucionalidad, entendiéndose con él las sucesivas actuaciones y, conforme establece el art. 37.2 LOTC, concederle un plazo de 15 días para que formule las alegaciones que estime convenientes.</w:t>
      </w:r>
    </w:p>
    <w:p w:rsidR="00163957" w:rsidRDefault="00163957" w:rsidP="00163957">
      <w:pPr>
        <w:pStyle w:val="TextoNormal"/>
      </w:pPr>
    </w:p>
    <w:p w:rsidR="00163957" w:rsidRDefault="00163957" w:rsidP="00163957">
      <w:pPr>
        <w:pStyle w:val="TextoNormal"/>
      </w:pPr>
      <w:r w:rsidRPr="00163957">
        <w:rPr>
          <w:rStyle w:val="NumeroAFNegritaCaracter"/>
        </w:rPr>
        <w:t>12</w:t>
      </w:r>
      <w:r>
        <w:t>. El 31 de julio de 2015 tuvieron entrada en este Tribunal las alegaciones de la Fiscal General del Estado, en las que se defiende la estimación de la cuestión de inconstitucionalidad. Tras hacer un extenso resumen de los antecedentes del caso, se apoya en las ya citadas SSTC 66/2011 y 159/2012 para concluir que la modificación legislativa del art. 47.2 d) LBRL operada por la Ley 57/2003, de 16 de diciembre, ha provocado que el art. 32.1 de la Ley gallega haya resultado, de manera sobrevenida, contrario a ese nuevo marco básico estatal resultante de la Ley 57/2003, y que de conformidad con la doctrina sentada en las dos Sentencias citadas, ello deba conducir a la declaración de inconstitucionalidad y nulidad del art. 32.1 de la Ley de la Administración local de Galicia por este Tribunal Constitucional.</w:t>
      </w:r>
    </w:p>
    <w:p w:rsidR="00163957" w:rsidRDefault="00163957" w:rsidP="00163957">
      <w:pPr>
        <w:pStyle w:val="TextoNormal"/>
      </w:pPr>
    </w:p>
    <w:p w:rsidR="00163957" w:rsidRDefault="00163957" w:rsidP="00163957">
      <w:pPr>
        <w:pStyle w:val="TextoNormal"/>
      </w:pPr>
      <w:r w:rsidRPr="00163957">
        <w:rPr>
          <w:rStyle w:val="NumeroAFNegritaCaracter"/>
        </w:rPr>
        <w:t>13</w:t>
      </w:r>
      <w:r>
        <w:t>. Mediante providencia de 12 de abril de 2016 el Pleno, en su reunión de esa fecha y conforme establece el artículo 10.1 n) de la Ley Orgánica del Tribunal Constitucional, a propuesta de la Sala Segunda, acordó recabar para sí el conocimiento de la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14</w:t>
      </w:r>
      <w:r>
        <w:t>. Por providencia de 24 de mayo de 2016, se acordó señalar para deliberación y votación de la presente Sentencia el día 25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La presente cuestión de inconstitucionalidad se plantea en relación con el art. 32.1 de la Ley 5/1997, de 22 de julio, de administración local de Galicia, que exige un régimen de mayorías cualificadas para la fusión de municipios que resulta contrario al fijado en el art. 47.2 a) de la Ley 7/1985, de 2 de abril, reguladora de las bases de régimen local (LBRL), siendo ambos preceptos aplicables en el proceso </w:t>
      </w:r>
      <w:r w:rsidRPr="00163957">
        <w:rPr>
          <w:i/>
        </w:rPr>
        <w:t>a quo</w:t>
      </w:r>
      <w:r>
        <w:t xml:space="preserve"> y determinantes del fallo que haya de dictarse en cuanto que en ese proceso se impugna un Decreto que aprueba la fusión voluntaria de dos municipios cuya iniciativa, que requiere un acuerdo municipal en tal sentido, habría cumplido el régimen de mayorías establecido en una de ellas (estatal) pero no el de la otra (la autonómica).</w:t>
      </w:r>
    </w:p>
    <w:p w:rsidR="00163957" w:rsidRDefault="00163957" w:rsidP="00163957">
      <w:pPr>
        <w:pStyle w:val="TextoNormal"/>
      </w:pPr>
    </w:p>
    <w:p w:rsidR="00163957" w:rsidRDefault="00163957" w:rsidP="00163957">
      <w:pPr>
        <w:pStyle w:val="TextoNormal"/>
      </w:pPr>
      <w:r>
        <w:t>Inicialmente, ambas normas, el art. 47.2 a) LBRL y el art. 32.1 de la Ley de la Administración local de Galicia, exigían la misma mayoría de dos tercios del número de miembros de la corporación para la adopción de un acuerdo que implicase la alteración de términos municipales. Pero la modificación introducida en la primera por la Ley 57/2003, de 16 de diciembre, que redujo esa mayoría cualificada prevista en el art. 47.2 LBRL de los dos tercios a la mayoría absoluta del número legal de miembros de la corporación, ha provocado, según la Sala promotora, que el precepto autonómico haya quedado incurso en “inconstitucionalidad sobrevenida”, en expresión, entre otras, de las SSTC 66/2011, de 16 de mayo, FJ 5, y 159/2012, de 17 de septiembre, FJ 5, que resuelven un conflicto de normas muy semejante a este que ahora se plantea [en aquel caso se trataba de la alteración de la capitalidad de un municipio, letra d) del mismo art. 47.2 LBRL, siendo la norma cuestionada y a la postre declarada nula por este Tribunal procedente de la Comunidad Autónoma de Canarias, y no gallega].</w:t>
      </w:r>
    </w:p>
    <w:p w:rsidR="00163957" w:rsidRDefault="00163957" w:rsidP="00163957">
      <w:pPr>
        <w:pStyle w:val="TextoNormal"/>
      </w:pPr>
    </w:p>
    <w:p w:rsidR="00163957" w:rsidRDefault="00163957" w:rsidP="00163957">
      <w:pPr>
        <w:pStyle w:val="TextoNormal"/>
      </w:pPr>
      <w:r>
        <w:t>En estricta aplicación de esa doctrina, la Sección Segunda de la Sala de lo Contencioso-Administrativo del Tribunal Superior de Justicia de Galicia eleva la presente cuestión de inconstitucionalidad para que este Tribunal declare esa “inconstitucionalidad sobrevenida” del art. 32.1 de la Ley de la Administración local de Galicia, teniendo presente el carácter formal y materialmente básico del nuevo art. 47.2 LBRL ya declarado en las citadas SSTC 66/2011 y 159/2012, por referencia a su letra d).</w:t>
      </w:r>
    </w:p>
    <w:p w:rsidR="00163957" w:rsidRDefault="00163957" w:rsidP="00163957">
      <w:pPr>
        <w:pStyle w:val="TextoNormal"/>
      </w:pPr>
    </w:p>
    <w:p w:rsidR="00163957" w:rsidRDefault="00163957" w:rsidP="00163957">
      <w:pPr>
        <w:pStyle w:val="TextoNormal"/>
      </w:pPr>
      <w:r>
        <w:t>Nos encontramos así ante un nuevo caso de los que hemos denominado inconstitucionalidad indirecta o mediata, en los que la norma autonómica controvertida no vulnera directa o frontalmente un precepto de la Constitución, sino que lo hace de manera secundaria o derivada, por infringir una norma de rango infraconstitucional dictada por el Estado en el ejercicio de sus competencias propias (entre otras muchas, STC 166/2014, de 22 de octubre, FJ 3).</w:t>
      </w:r>
    </w:p>
    <w:p w:rsidR="00163957" w:rsidRDefault="00163957" w:rsidP="00163957">
      <w:pPr>
        <w:pStyle w:val="TextoNormal"/>
      </w:pPr>
    </w:p>
    <w:p w:rsidR="00163957" w:rsidRDefault="00163957" w:rsidP="00163957">
      <w:pPr>
        <w:pStyle w:val="TextoNormal"/>
      </w:pPr>
      <w:r w:rsidRPr="00163957">
        <w:rPr>
          <w:rStyle w:val="NumeroAFNegritaCaracter"/>
        </w:rPr>
        <w:t>2</w:t>
      </w:r>
      <w:r>
        <w:t>. En estos casos de inconstitucionalidad mediata sobrevenida es, efectivamente, doctrina de este Tribunal —véase por todas la antes aludida STC 159/2012, FJ 5, y las allí citadas— que la modificación de la normativa estatal básica de obligado acatamiento por las comunidades autónomas no provoca la derogación o desplazamiento del precepto legal autonómico anterior y contrario a esa nueva normativa básica, sino que provoca su “inconstitucionalidad sobrevenida”, de modo que no puede un órgano de la jurisdicción ordinaria inaplicar, por su propia y exclusiva autoridad, esa norma de rango legal, sino que el sometimiento estricto de la jurisdicción ordinaria al “imperio de la ley” (art. 117.1 CE) y el monopolio de este Tribunal Constitucional en la fiscalización de la constitucionalidad de las leyes obligan, de acuerdo con el art. 163 CE, a promover la correspondiente cuestión de inconstitucionalidad.</w:t>
      </w:r>
    </w:p>
    <w:p w:rsidR="00163957" w:rsidRDefault="00163957" w:rsidP="00163957">
      <w:pPr>
        <w:pStyle w:val="TextoNormal"/>
      </w:pPr>
    </w:p>
    <w:p w:rsidR="00163957" w:rsidRDefault="00163957" w:rsidP="00163957">
      <w:pPr>
        <w:pStyle w:val="TextoNormal"/>
      </w:pPr>
      <w:r>
        <w:t xml:space="preserve">Descansa esa doctrina, como decimos, en la idea de que los “órganos jurisdiccionales no pueden fiscalizar las normas postconstitucionales con rango de ley (STC 73/2000, de 14 de marzo, FJ 16), dado que el constituyente ha querido sustraer al Juez ordinario la posibilidad de inaplicar una ley postconstitucional ante un eventual juicio de incompatibilidad con la Constitución (STC 17/1981, de 1 de junio, FJ 1). La depuración del ordenamiento legal, vigente la Constitución, corresponde de forma exclusiva al Tribunal Constitucional, que </w:t>
      </w:r>
      <w:r>
        <w:lastRenderedPageBreak/>
        <w:t xml:space="preserve">tiene la competencia y la jurisdicción para declarar, con eficacia </w:t>
      </w:r>
      <w:r w:rsidRPr="00163957">
        <w:rPr>
          <w:i/>
        </w:rPr>
        <w:t>erga omnes</w:t>
      </w:r>
      <w:r>
        <w:t>, la inconstitucionalidad de las leyes, tanto más cuanto en un sistema democrático la ley es expresión de la voluntad popular —como se declara en el preámbulo de nuestra Constitución— y es principio básico del sistema democrático y parlamentario hoy vigente en España (por todas, SSTC 73/2000, de 14 de marzo, FJ 4; 104/2000, de 13 de abril, FJ 8; y 120/2000, de 10 de mayo, FJ 3)” (SSTC 66/2011, FJ 6, y 159/2012, FJ 5, ambas con cita de la STC 173/2002, de 9 de octubre, FJ 9; en el mismo sentido, STC 162/2009, de 29 de junio, FJ 3).</w:t>
      </w:r>
    </w:p>
    <w:p w:rsidR="00163957" w:rsidRDefault="00163957" w:rsidP="00163957">
      <w:pPr>
        <w:pStyle w:val="TextoNormal"/>
      </w:pPr>
    </w:p>
    <w:p w:rsidR="00163957" w:rsidRDefault="00163957" w:rsidP="00163957">
      <w:pPr>
        <w:pStyle w:val="TextoNormal"/>
      </w:pPr>
      <w:r>
        <w:t>Este Tribunal considera, sin embargo, que según los argumentos que se exponen a continuación, debe apartarse de la doctrina antes indicada en un caso como el que da origen a la presente cuestión de inconstitucionalidad en que la legislación autonómica no ha hecho sino reproducir la legislación básica, y ésta se modifica después en un sentido incompatible con aquella legislación autonómica.</w:t>
      </w:r>
    </w:p>
    <w:p w:rsidR="00163957" w:rsidRDefault="00163957" w:rsidP="00163957">
      <w:pPr>
        <w:pStyle w:val="TextoNormal"/>
      </w:pPr>
    </w:p>
    <w:p w:rsidR="00163957" w:rsidRDefault="00163957" w:rsidP="00163957">
      <w:pPr>
        <w:pStyle w:val="TextoNormal"/>
      </w:pPr>
      <w:r w:rsidRPr="00163957">
        <w:rPr>
          <w:rStyle w:val="NumeroAFNegritaCaracter"/>
        </w:rPr>
        <w:t>3</w:t>
      </w:r>
      <w:r>
        <w:t>. Conviene poner de manifiesto que, tal como se expone en el antecedente 2 de esta resolución, el objeto del proceso en el que se planteó la presente cuestión de inconstitucionalidad, fue un Decreto de la Xunta de Galicia que aprobó la fusión voluntaria de dos municipios de dicha comunidad, Oza dos Rios y Cesuras, que habían decidido dicha fusión en virtud de acuerdos de los que el adoptado por el Ayuntamiento de Cesuras lo fue con el voto favorable de la mayoría absoluta del número legal de miembros de la corporación, tal como exigía el art. 32.1 de la Ley de la Administración local de Galicia, pero no con el de las dos terceras partes de su número de hecho, tal como también exige ese mismo precepto.</w:t>
      </w:r>
    </w:p>
    <w:p w:rsidR="00163957" w:rsidRDefault="00163957" w:rsidP="00163957">
      <w:pPr>
        <w:pStyle w:val="TextoNormal"/>
      </w:pPr>
    </w:p>
    <w:p w:rsidR="00163957" w:rsidRDefault="00163957" w:rsidP="00163957">
      <w:pPr>
        <w:pStyle w:val="TextoNormal"/>
      </w:pPr>
      <w:r>
        <w:t>Sin embargo el Decreto de la Xunta de Galicia impugnado ante la Sala de lo Contencioso-Administrativo que plantea la inconstitucionalidad de aquel precepto, no lo aplicó, sino que consideró que resultaba aplicable el art. 47.2 a) LBRL, que, tras su modificación por la Ley 57/2003 redujo esa mayoría cualificada, considerando suficiente la mayoría absoluta del número legal de los miembros de la corporación.</w:t>
      </w:r>
    </w:p>
    <w:p w:rsidR="00163957" w:rsidRDefault="00163957" w:rsidP="00163957">
      <w:pPr>
        <w:pStyle w:val="TextoNormal"/>
      </w:pPr>
    </w:p>
    <w:p w:rsidR="00163957" w:rsidRDefault="00163957" w:rsidP="00163957">
      <w:pPr>
        <w:pStyle w:val="TextoNormal"/>
      </w:pPr>
      <w:r>
        <w:t>Así pues, fue la propia Administración la que, en el trance de decidir el expediente que se le había presentado, entendió que la contradicción entre la norma autonómica y la posterior legislación básica estatal debía resolverse en favor de esta última, considerando inaplicable la primera.</w:t>
      </w:r>
    </w:p>
    <w:p w:rsidR="00163957" w:rsidRDefault="00163957" w:rsidP="00163957">
      <w:pPr>
        <w:pStyle w:val="TextoNormal"/>
      </w:pPr>
    </w:p>
    <w:p w:rsidR="00163957" w:rsidRDefault="00163957" w:rsidP="00163957">
      <w:pPr>
        <w:pStyle w:val="TextoNormal"/>
      </w:pPr>
      <w:r>
        <w:t xml:space="preserve">Es claro que el reproche que nuestra doctrina constitucional, expuesta en el fundamento jurídico anterior, viene haciendo a los órganos de la jurisdicción ordinaria, la de enjuiciar por sí mismos un supuesto de inconstitucionalidad mediata de una ley autonómica, si bien se trate de una inconstitucionalidad sobrevenida, no procede en este caso, en que la inaplicación de la legislación autonómica se ha llevado a cabo por la propia Administración, que no puede promover cuestión de inconstitucionalidad (art. 163 CE y 35 de la Ley Orgánica del Tribunal Constitucional). Pero ello no altera la esencia del problema planteado, si acaso pone de manifiesto de un modo más patente las consecuencias inconvenientes a que conduce la aplicación de nuestra doctrina. En definitiva, se trata de la calificación jurídica que merece una ley autonómica que después de su promulgación resulta contraria a la legislación básica estatal posterior a aquélla. Se trata de una ley autonómica que en el momento de su aprobación no contradecía legislación básica alguna porque se limitaba a reproducir su texto, cuando la legislación básica se modifica en términos incompatibles con aquella legislación autonómica y hemos de considerar si esta modificación determina el desplazamiento de la </w:t>
      </w:r>
      <w:r>
        <w:lastRenderedPageBreak/>
        <w:t>legislación autonómica en favor de la aplicación de la legislación básica estatal posterior, o la inconstitucionalidad sobrevenida de aquélla, con la consecuencia de que, en el primer caso, todos los operadores jurídicos debería optar por la aplicación de la legislación básica posterior, como ha hecho en este caso la Xunta de Galicia, o bien en el segundo, debería aplicarse la legislación autonómica en tanto no se postulase su inconstitucionalidad ante este Tribunal.</w:t>
      </w:r>
    </w:p>
    <w:p w:rsidR="00163957" w:rsidRDefault="00163957" w:rsidP="00163957">
      <w:pPr>
        <w:pStyle w:val="TextoNormal"/>
      </w:pPr>
    </w:p>
    <w:p w:rsidR="00163957" w:rsidRDefault="00163957" w:rsidP="00163957">
      <w:pPr>
        <w:pStyle w:val="TextoNormal"/>
      </w:pPr>
      <w:r w:rsidRPr="00163957">
        <w:rPr>
          <w:rStyle w:val="NumeroAFNegritaCaracter"/>
        </w:rPr>
        <w:t>4</w:t>
      </w:r>
      <w:r>
        <w:t>. Este Tribunal utilizó por primera vez la categoría jurídica de la inconstitucionalidad sobrevenida en la STC 4/1981, de 2 de febrero, para referirse a las leyes preconstitucionales que, tras la entrada en vigor de la Constitución, no se ajustaban a ella. Aunque su disposición derogatoria tercera acordó la derogación de cuantas disposiciones se opusieran a lo establecido en ella, el Tribunal advierte que “[l]a peculiaridad de las leyes preconstitucionales consiste… en que la Constitución es una ley superior —criterio jerárquico— y posterior —criterio temporal—. Y la coincidencia de este doble criterio da lugar —de una parte— a la inconstitucionalidad sobrevenida, y consiguiente invalidez de las que se opongan a la Constitución, y —de otra— a su pérdida de vigencia a partir de la misma para regular funciones futuras, es decir a su derogación”. El Tribunal aceptó la posibilidad de controlar a través del recurso abstracto de inconstitucionalidad el ajuste a la Constitución de las leyes así como la posibilidad de que los jueces plantearan la correspondiente cuestión de inconstitucionalidad con relación a los preceptos de leyes preconstitucionales que les suscitaren alguna duda de constitucionalidad, pero reconociendo en todo caso la potestad de los Jueces y Tribunales de apreciar por sí mismos dichas inconstitucionalidad, a fin de considerar derogadas y, por lo tanto, inaplicables los preceptos preconstitucionales que considerasen contrarios a la Constitución. Según dicha Sentencia, “así como frente a las leyes postconstitucionales el Tribunal ostenta un monopolio para enjuiciar su conformidad con la Constitución, en relación a las preconstitucionales los Jueces y Tribunales deben inaplicarlas si entienden que han quedado derogadas por la Constitución, al oponerse a la misma; o pueden, en caso de duda, someter este tema al Tribunal Constitucional por la vía de la cuestión de inconstitucionalidad”.</w:t>
      </w:r>
    </w:p>
    <w:p w:rsidR="00163957" w:rsidRDefault="00163957" w:rsidP="00163957">
      <w:pPr>
        <w:pStyle w:val="TextoNormal"/>
      </w:pPr>
    </w:p>
    <w:p w:rsidR="00163957" w:rsidRDefault="00163957" w:rsidP="00163957">
      <w:pPr>
        <w:pStyle w:val="TextoNormal"/>
      </w:pPr>
      <w:r>
        <w:t>Esta construcción inicial, limitada a una situación peculiar y, por su propia naturaleza transitoria, se ha aplicado después a supuestos diferentes, siempre de inconstitucionalidad mediata. Late en la doctrina, asentada sin discrepancia alguna, referente a la necesidad de confrontar las leyes autonómicas impugnadas no con la legislación básica vigente en la fecha en que aquella fueron aprobadas sino en la que está vigente cuando el Tribunal dicta su resolución (entre las primeras resoluciones en este sentido, SSTC 137/1986, de 6 de noviembre, FJ 4, y 170/1989, de 19 de octubre, FJ 3, y entre las más recientes, STC 17/2016, de 4 de febrero, FJ 3). Y se recupera, aludiendo expresamente otra vez a la calificación de inconstitucionalidad sobrevenida, cuando la ley autonómica regula un supuesto de hecho no contemplado por el legislador básico estatal, y después éste aprueba una legislación básica incompatible con aquella regulación (STC 1/2003, de 16 enero) y cuando, como es el caso planteado en el presente proceso constitucional, el legislador autonómico al desarrollar legislación básica, reproduce también esa normativa, y ésta es modificada después en términos incompatibles con la legislación autonómica (SSTC 66/2011, de 16 mayo y 195/2015, de 21 de septiembre, entre otras).</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5</w:t>
      </w:r>
      <w:r>
        <w:t>. La articulación de las competencias estatales y autonómicas mediante la técnica de la atribución al Estado de la competencia para dictar la legislación básica sobre una determinada materia y a las Comunidades Autónomas la de aprobar la normativa necesaria de desarrollo determina, en principio, ámbitos materiales tangentes pero no secantes, en el sentido de que la legislación autonómica solo puede ocupar los espacios materiales no regulados por la legislación básica. Sin embargo, la práctica frecuente del legislador autonómico de introducir en su normativa de desarrollo preceptos que corresponden a la legislación básica que se pretendía desarrollar ha dado lugar a numerosos pronunciamientos de este Tribunal que ha fijado una doctrina que puede sintetizarse así: i) Aunque este Tribunal no es juez de la calidad técnica de las leyes, ha advertido los riesgos de ciertas prácticas legislativas potencialmente inconstitucionales, como ocurre en los caso en los que leyes autonómicas reproducían normas incluidas en la legislación básica del Estado (por todas, STC 341/2005, de 21 de diciembre, FJ 9), aunque no siempre ello determine la inconstitucionalidad de la ley autonómica. ii) Si la reproducción de la ley básica se produce por el legislador autonómico en una materia sobre la que la Comunidad Autónoma carece de competencias, la falta de habilitación autonómica debe conducirnos a declarar la inconstitucionalidad de la norma (STC 341/2005, antes citada, FJ 9, o más recientemente SSTC 123/2013, de 23 de mayo, FJ 8, y 137/2012, de 19 de junio, FJ 2), salvo supuestos excepcionales como el aludido en la STC 47/2004, de 25 de marzo. iii) Cuando la norma reproducida y la que reproduce se encuadran en una materia sobre la que ostentan competencias tanto el Estado como la Comunidad Autónoma, al margen de reproches de técnica legislativa, la consecuencia no será siempre la inconstitucionalidad sino que habrá que estar a los efectos que tal reproducción puede producir en el caso concreto (nuevamente, STC 341/2005, FJ 9, y también STC 18/2011, de 3 de marzo, FJ 18).</w:t>
      </w:r>
    </w:p>
    <w:p w:rsidR="00163957" w:rsidRDefault="00163957" w:rsidP="00163957">
      <w:pPr>
        <w:pStyle w:val="TextoNormal"/>
      </w:pPr>
    </w:p>
    <w:p w:rsidR="00163957" w:rsidRDefault="00163957" w:rsidP="00163957">
      <w:pPr>
        <w:pStyle w:val="TextoNormal"/>
      </w:pPr>
      <w:r w:rsidRPr="00163957">
        <w:rPr>
          <w:rStyle w:val="NumeroAFNegritaCaracter"/>
        </w:rPr>
        <w:t>6</w:t>
      </w:r>
      <w:r>
        <w:t>. La reproducción por la legislación autonómica de desarrollo de preceptos de la legislación básica puede utilizarse y de hecho se utiliza normalmente como medio para facilitar al operador jurídico el conocimiento de la normativa aplicable, incluyendo en un solo texto el conjunto de la normativa a tener en cuenta, pero su virtualidad no alcanza, como es obvio, a alterar la naturaleza de la legislación reproducida ni para que el legislador autonómico pueda atribuirse potestad alguna de influir en la legislación básica, por mucho que haya sido reproducida en la legislación de desarrollo. En particular, no solo no puede implicar bloqueo alguno en la potestad del legislador estatal, cuya capacidad de alterar las bases inicialmente fijadas ha sido reconocida repetidamente por la doctrina de esta Tribunal (por todas, STC 161/2013, de 26 de septiembre, FJ 9), sino que, si esa modificación se produce es el legislador autonómico el que debe acomodarse a la modificación de la legislación estatal básica [SSTC 158/2011, de 19 de octubre, FJ 8, 99/2012, de 8 de mayo, FJ 2 b), 146/2013, de 11 de julio, FJ 4 o 182/2013, de 23 de octubre, FJ 8].</w:t>
      </w:r>
    </w:p>
    <w:p w:rsidR="00163957" w:rsidRDefault="00163957" w:rsidP="00163957">
      <w:pPr>
        <w:pStyle w:val="TextoNormal"/>
      </w:pPr>
    </w:p>
    <w:p w:rsidR="00163957" w:rsidRDefault="00163957" w:rsidP="00163957">
      <w:pPr>
        <w:pStyle w:val="TextoNormal"/>
      </w:pPr>
      <w:r>
        <w:t>Pero si esa acomodación no tiene lugar el operador jurídico primario se encuentra ante una alternativa en la que inevitablemente ha de dar preferencia a una de las dos leyes en conflicto, en detrimento de la otra. O bien, como en el supuesto resuelto por la STC 195/2015, de 21 de septiembre, la Administración aplica la normativa autonómica y no la legislación básica estatal vigente, o bien, como en el supuesto que da lugar al presente proceso constitucional, o el resuelto por la STC 66/2011, de 16 de mayo, la Administración tiene en cuenta la nueva legislación básica e inaplica la anterior legislación autonómica que reproducía la legislación básica ya derogada.</w:t>
      </w:r>
    </w:p>
    <w:p w:rsidR="00163957" w:rsidRDefault="00163957" w:rsidP="00163957">
      <w:pPr>
        <w:pStyle w:val="TextoNormal"/>
      </w:pPr>
    </w:p>
    <w:p w:rsidR="00163957" w:rsidRDefault="00163957" w:rsidP="00163957">
      <w:pPr>
        <w:pStyle w:val="TextoNormal"/>
      </w:pPr>
      <w:r>
        <w:lastRenderedPageBreak/>
        <w:t>El operador jurídico primario, al que preferentemente van destinadas las normas, tiene necesariamente que operar con la técnica del desplazamiento de una de las leyes en conflicto y no tiene legitimación para suscitar cuestión de inconstitucionalidad, pues su planteamiento se reserva a los jueces y tribunales, y esto significa que el asunto se ha judicializado, lo que representa siempre una situación indeseable, de tal modo que otorgar preferencia a la legislación básica estatal es la solución lógica a una situación provocada por la propia Comunidad Autónoma que ha incumplido su deber de inmediata acomodación de su legislación de desarrollo a la nueva legislación básica. Es la solución que deriva del carácter superfluo de la legislación reproductora, que no añade nada a la legislación básica para que aquélla pueda ser considerada realmente normativa de desarrollo. Es la técnica que utiliza con toda naturalidad la jurisdicción ordinaria para inaplicar, sin que esto signifique su nulidad, preceptos de reglamentos ejecutivos que transcriben la ley que desarrollan, cuando ésta se modifica. Es la técnica que también se utiliza por la jurisdicción ordinaria, y que este Tribunal ha considerado conforme con la Constitución (SSTC 145/2012, de 2 de julio, FJ 5, y 232/2015, de 5 de noviembre, FJ 6), cuando inaplica normas con rango legal que contradicen normativa comunitaria europea. Es fin, es la solución que se corresponde con lo dispuesto en el art. 149.3 CE que atribuye a las normas del Estado prevalencia sobre las de las Comunidades Autónomas en todo lo que no esté atribuido a la exclusiva competencia de éstas.</w:t>
      </w:r>
    </w:p>
    <w:p w:rsidR="00163957" w:rsidRDefault="00163957" w:rsidP="00163957">
      <w:pPr>
        <w:pStyle w:val="TextoNormal"/>
      </w:pPr>
    </w:p>
    <w:p w:rsidR="00163957" w:rsidRDefault="00163957" w:rsidP="00163957">
      <w:pPr>
        <w:pStyle w:val="TextoNormal"/>
      </w:pPr>
      <w:r>
        <w:t>El art. 149.3 CE es un precepto destinado no a fijar las competencias del Estado y de las Comunidades Autónomas, sino a solucionar los conflictos que puedan producirse en aplicación de las normas respectivas y que no hayan de resolverse mediante la declaración de inconstitucionalidad de una de ellas. De sus distintas reglas, una de las cuales es la de la prevalencia de las normas del derecho estatal en los términos que la misma describe (“prevalecerán, en caso de conflicto, sobre las de las Comunidades Autónomas en todo lo que no esté atribuido a la exclusiva competencia de éstas”), resultan destinatarios los aplicadores del Derecho sin distinción, y su finalidad no es otra que la de asegurar la plenitud del ordenamiento, tal y como ha afirmado de manera reiterada este Tribunal [entre otras, SSTC 118/1996, de 27 de junio, FFJJ 4 y 9; 61/1997, de 20 de marzo, FJ 12.c); 157/2004, de 21 de septiembre, FJ 13, o 139/2011, de 14 de septiembre, FJ 4]; reservando la Constitución a su vez a este último, el monopolio de la declaración de inconstitucionalidad de las leyes.</w:t>
      </w:r>
    </w:p>
    <w:p w:rsidR="00163957" w:rsidRDefault="00163957" w:rsidP="00163957">
      <w:pPr>
        <w:pStyle w:val="TextoNormal"/>
      </w:pPr>
    </w:p>
    <w:p w:rsidR="00163957" w:rsidRDefault="00163957" w:rsidP="00163957">
      <w:pPr>
        <w:pStyle w:val="TextoNormal"/>
      </w:pPr>
      <w:r>
        <w:t>El art. 149.3 CE proporciona una herramienta útil para que las relaciones entre el ordenamiento jurídico estatal y los de las Comunidades Autónomas puedan desarrollarse con fluidez, en situaciones que no demanden como respuesta la declaración de inconstitucionalidad de las leyes de alguno de ellos; teniendo en cuenta que las Comunidades Autónomas ni son competentes “…‘para determinar los efectos que sus normas producen sobre el Derecho estatal preexistente, pues la vigencia y aplicabilidad de éste será la que resulte de las normas constitucionales que regulen la relación entre el ordenamiento estatal y el autonómico (así, el art. 149.3 CE), y no lo que establezca el legislador autonómico’ (STC 132/1989, FJ 33)” [STC 157/2004, de 21 de septiembre, FJ 13], ni lo pueden ser para condicionar el Derecho estatal posterior.</w:t>
      </w:r>
    </w:p>
    <w:p w:rsidR="00163957" w:rsidRDefault="00163957" w:rsidP="00163957">
      <w:pPr>
        <w:pStyle w:val="TextoNormal"/>
      </w:pPr>
    </w:p>
    <w:p w:rsidR="00163957" w:rsidRDefault="00163957" w:rsidP="00163957">
      <w:pPr>
        <w:pStyle w:val="TextoNormal"/>
      </w:pPr>
      <w:r>
        <w:t xml:space="preserve">Este Tribunal ha declarado hasta ahora que el control de la adecuación de la legislación autonómica a la legislación básica que desarrolla, no puede llevarse a cabo por aplicación del principio de prevalencia de las normas del Estado (art. 149.3 CE), sino que es un auténtico control de constitucionalidad reservado al Tribunal Constitucional (STC 163/1995, de 8 de noviembre, FJ 4). Por ello, en los supuestos en que con apoyo en títulos competenciales </w:t>
      </w:r>
      <w:r>
        <w:lastRenderedPageBreak/>
        <w:t>distintos, Comunidad Autónoma y Estado aprueban productos normativos incompatibles, el conflicto planteado se resuelve sin traer a colación el art. 149.3 CE, en favor del título competencial considerado más específico (SSTC 87/1987, de 2 de junio, FJ 2; 190/2000, de 13 de julio, FJ 4; 188/2001 de 20 de septiembre, FJ 6, y 214/2015, de 22 de octubre, FJ 3; así como las citadas en este mismo fundamento jurídico).</w:t>
      </w:r>
    </w:p>
    <w:p w:rsidR="00163957" w:rsidRDefault="00163957" w:rsidP="00163957">
      <w:pPr>
        <w:pStyle w:val="TextoNormal"/>
      </w:pPr>
    </w:p>
    <w:p w:rsidR="00163957" w:rsidRDefault="00163957" w:rsidP="00163957">
      <w:pPr>
        <w:pStyle w:val="TextoNormal"/>
      </w:pPr>
      <w:r>
        <w:t>La cuestión que se plantea en este caso es diferente, pues la Comunidad Autónoma de Galicia, al incluir en la Ley 5/1997, de 22 de julio, su artículo 32.1, no lo hizo reclamando una competencia propia, sino por puro mimetismo con la regulación contenida en la legislación básica que aquella ley pretendía desarrollar. Este es uno de los casos en los que la aplicación del principio de prevalencia del derecho estatal no determina la derogación de la norma autonómica ni ha de conducir a su nulidad por inconstitucionalidad sobrevenida, sino que puede resolverse, como ha hecho la Xunta de Galicia, inaplicando la ley autonómica por considerar prevalente la posterior legislación básica estatal. Supone el único resultado constitucionalmente respetuoso con la plenitud del ordenamiento (art. 149.3 CE), si el asunto no se hubiera judicializado, y es el único también al que en todo caso puede llegar el órgano judicial que conoce del mismo en vía contencioso-administrativa, tras el planteamiento y estimación de una cuestión de inconstitucionalidad ante este Tribunal, la cual resulta por todo ello innecesaria.</w:t>
      </w:r>
    </w:p>
    <w:p w:rsidR="00163957" w:rsidRDefault="00163957" w:rsidP="00163957">
      <w:pPr>
        <w:pStyle w:val="TextoNormal"/>
      </w:pPr>
    </w:p>
    <w:p w:rsidR="00163957" w:rsidRDefault="00163957" w:rsidP="00163957">
      <w:pPr>
        <w:pStyle w:val="TextoNormal"/>
      </w:pPr>
      <w:r>
        <w:t>La consecuencia de todo lo anterior significa que la Xunta de Galicia actuó acertadamente y que esa prevalencia del Derecho estatal debe jugar en tanto no haya sido puesta en duda la constitucionalidad de la legislación básica modificada, pues en tal caso el Juez sí debería plantear cuestión de inconstitucionalidad, pero no sobre la legislación autonómica sino sobre la propia legislación básica posterior, si considerase que efectivamente concurrían las condiciones para ello. Algo que no sucede en el presente caso, en que este Tribunal ya se ha pronunciado en favor del carácter básico de la regulación contenida en el art. 47.2 LBRL en las Sentencias 66/2011, de 16 de marzo, FJ 3 y 159/2012, de 17 de septiembre, FJ 3.</w:t>
      </w:r>
    </w:p>
    <w:p w:rsidR="00163957" w:rsidRDefault="00163957" w:rsidP="00163957">
      <w:pPr>
        <w:pStyle w:val="TextoNormal"/>
      </w:pPr>
    </w:p>
    <w:p w:rsidR="00163957" w:rsidRDefault="00163957" w:rsidP="00163957">
      <w:pPr>
        <w:pStyle w:val="TextoNormal"/>
      </w:pPr>
      <w:r w:rsidRPr="00163957">
        <w:rPr>
          <w:rStyle w:val="NumeroAFNegritaCaracter"/>
        </w:rPr>
        <w:t>7</w:t>
      </w:r>
      <w:r>
        <w:t>. Proyectadas las anteriores consideraciones a la decisión de la presente cuestión de inconstitucionalidad, resulta que se nos pregunta sobre la constitucionalidad de una norma que no resulta aplicable al caso, de modo que debemos declarar la inadmisibilidad del presente proceso constitucional, posibilidad que permanece abierta no obstante haberse pronunciado este Tribunal, en su día, en favor de su admisión (así, por ejemplo, SSTC 1/2016, de 18 de enero, FJ 2, y 269/2015, de 17 de diciembre, FJ 2).</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Inadmitir la presente cuestión de inconstitucionalidad.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lastRenderedPageBreak/>
        <w:t>Dada en Madrid, a veinticinco de mayo de dos mil dieciséis.</w:t>
      </w:r>
    </w:p>
    <w:p w:rsidR="00163957" w:rsidRDefault="00163957" w:rsidP="00163957">
      <w:pPr>
        <w:pStyle w:val="ParrafoNormal"/>
      </w:pPr>
    </w:p>
    <w:p w:rsidR="00163957" w:rsidRDefault="00163957" w:rsidP="00163957">
      <w:pPr>
        <w:pStyle w:val="TextoNormalNegritaCentrado"/>
        <w:keepNext/>
      </w:pPr>
      <w:r>
        <w:t>Voto Particular que formula la Magistrada doña Adela Asua Batarrita a la Sentencia dictada en la cuestión de inconstitucionalidad núm. 1619-2015.</w:t>
      </w:r>
    </w:p>
    <w:p w:rsidR="00163957" w:rsidRDefault="00163957" w:rsidP="00163957">
      <w:pPr>
        <w:pStyle w:val="TextoNormalNegritaCentrado"/>
        <w:keepNext/>
      </w:pPr>
    </w:p>
    <w:p w:rsidR="00163957" w:rsidRDefault="00163957" w:rsidP="00163957">
      <w:pPr>
        <w:pStyle w:val="TextoNormal"/>
      </w:pPr>
      <w:r>
        <w:t>En ejercicio de la facultad que me confiere el art. 90.2 de la Ley Orgánica del Tribunal Constitucional, y con pleno respeto a la opinión de mis colegas que conformaron la mayoría en la presente decisión, formulo mi Voto discrepante de los fundamentos y del fallo, con exposición de los argumentos señalados en la deliberación del Pleno.</w:t>
      </w:r>
    </w:p>
    <w:p w:rsidR="00163957" w:rsidRDefault="00163957" w:rsidP="00163957">
      <w:pPr>
        <w:pStyle w:val="TextoNormal"/>
      </w:pPr>
    </w:p>
    <w:p w:rsidR="00163957" w:rsidRDefault="00163957" w:rsidP="00163957">
      <w:pPr>
        <w:pStyle w:val="TextoNormal"/>
      </w:pPr>
      <w:r>
        <w:t>1. El primer problema que suscita la Sentencia de la que discrepo proviene de la escasa argumentación que se ofrece para fundamentar la envergadura del cambio de la doctrina jurisprudencial que se acomete. Limitación argumentativa de la que derivan serias incertidumbres en cuanto al alcance de la aplicabilidad de la cláusula de prevalencia del art. 149.3 CE en el futuro. El hecho de que se parta de las precisas peculiaridades del caso concreto sobre el que versa la Sentencia, no excusa la necesidad de una cumplida explicación de las razones que justifican ese cambio sustancial de interpretación, y del establecimiento claro y preciso de los supuestos a los que habría de aplicarse, más allá de criterios pragmáticos. La nueva interpretación de la cláusula de prevalencia abre, sin duda, serias incertidumbres para los operadores jurídicos en cuanto a cómo deben proceder cuando se encuentren ante situaciones en las que la norma autonómica, en principio aplicable, y la norma estatal resultan contradictorias.</w:t>
      </w:r>
    </w:p>
    <w:p w:rsidR="00163957" w:rsidRDefault="00163957" w:rsidP="00163957">
      <w:pPr>
        <w:pStyle w:val="TextoNormal"/>
      </w:pPr>
    </w:p>
    <w:p w:rsidR="00163957" w:rsidRDefault="00163957" w:rsidP="00163957">
      <w:pPr>
        <w:pStyle w:val="TextoNormal"/>
      </w:pPr>
      <w:r>
        <w:t xml:space="preserve">La Sentencia, al final de su fundamento jurídico 2, anuncia, efectivamente, que se debe apartar de la doctrina según la cual los órganos jurisdiccionales no pueden fiscalizar las normas postconstitucionales con rango de ley, dado que la depuración del ordenamiento legal, vigente la Constitución, corresponde de forma exclusiva al Tribunal Constitucional, que tiene la competencia y la jurisdicción para declarar, con eficacia </w:t>
      </w:r>
      <w:r w:rsidRPr="00163957">
        <w:rPr>
          <w:i/>
        </w:rPr>
        <w:t>erga omnes</w:t>
      </w:r>
      <w:r>
        <w:t>, la inconstitucionalidad de las leyes. Y justifica tal apartamiento por tratarse de un caso “como el que da origen a la presente cuestión de inconstitucionalidad en que la legislación autonómica no ha hecho sino reproducir la legislación básica, y ésta se modifica después en un sentido incompatible con aquella legislación autonómica”.</w:t>
      </w:r>
    </w:p>
    <w:p w:rsidR="00163957" w:rsidRDefault="00163957" w:rsidP="00163957">
      <w:pPr>
        <w:pStyle w:val="TextoNormal"/>
      </w:pPr>
    </w:p>
    <w:p w:rsidR="00163957" w:rsidRDefault="00163957" w:rsidP="00163957">
      <w:pPr>
        <w:pStyle w:val="TextoNormal"/>
      </w:pPr>
      <w:r>
        <w:t xml:space="preserve">A primera vista, parece que sólo se aplicaría a supuestos de </w:t>
      </w:r>
      <w:r w:rsidRPr="00163957">
        <w:rPr>
          <w:i/>
        </w:rPr>
        <w:t>leges repetitae</w:t>
      </w:r>
      <w:r>
        <w:t xml:space="preserve">, y también a primera vista se atisban ya los problemas que suscita ese planteamiento, porque el hecho de que la ley estatal posterior exprese que su regulación es básica no resulta suficiente, de acuerdo con nuestra reiterada doctrina, para que pueda considerarse materialmente básica. Con lo cual se plantea la duda sobre un aspecto tan capital como es el de la delimitación del órgano que puede confirmar, en primer lugar, el carácter efectivamente básico de la norma estatal, y, en segundo lugar, si se produce o no incompatibilidad entre la norma autonómica y la estatal aprobada o modificada posteriormente. Tareas que este Tribunal Constitucional se ha reservado para sí siempre en régimen de monopolio [“comprobar si la calificación de lo básico realizada por el legislador ha sido correcta es función privativa de este Tribunal” (STC 156/1995, de 26 de octubre, FJ 4)], y respecto a las que en esta Sentencia se hace dejación sin aclarar quién va a sustituirlo en esa función. Del tenor de la Sentencia parece deducirse que los “aplicadores del Derecho” han de limitarse a no aplicar la legislación autonómica que haya devenido aparentemente incompatible a posteriori con la legislación </w:t>
      </w:r>
      <w:r>
        <w:lastRenderedPageBreak/>
        <w:t>básica estatal, sobre el presupuesto de que tal incompatibilidad aparece como indiscutible. ¿Indiscutible conforme al criterio de quién?</w:t>
      </w:r>
    </w:p>
    <w:p w:rsidR="00163957" w:rsidRDefault="00163957" w:rsidP="00163957">
      <w:pPr>
        <w:pStyle w:val="TextoNormal"/>
      </w:pPr>
    </w:p>
    <w:p w:rsidR="00163957" w:rsidRDefault="00163957" w:rsidP="00163957">
      <w:pPr>
        <w:pStyle w:val="TextoNormal"/>
      </w:pPr>
      <w:r>
        <w:t>Puede aventurarse, además, que este cambio de criterio tendrá lugar no sólo en asuntos idénticos al presente, pues, como se señala en el fundamento jurídico 6, “Este es uno de los casos en los que la aplicación del principio de prevalencia del derecho estatal no determina la derogación de la norma autonómica ni ha de conducir a su nulidad por inconstitucionalidad sobrevenida, sino que puede resolverse, como ha hecho la Xunta de Galicia, inaplicando la ley autonómica por considerar prevalente la posterior legislación básica estatal”. Quiere ello decir que se deja abierta la puerta a la aplicación de este “cambio doctrinal” a otros supuestos indeterminados en este momento, con la consiguiente inseguridad jurídica que deriva de ello.</w:t>
      </w:r>
    </w:p>
    <w:p w:rsidR="00163957" w:rsidRDefault="00163957" w:rsidP="00163957">
      <w:pPr>
        <w:pStyle w:val="TextoNormal"/>
      </w:pPr>
    </w:p>
    <w:p w:rsidR="00163957" w:rsidRDefault="00163957" w:rsidP="00163957">
      <w:pPr>
        <w:pStyle w:val="TextoNormal"/>
      </w:pPr>
      <w:r>
        <w:t>2. La argumentación de la Sentencia descansa sobre el hecho de que fue la propia Xunta de Galicia quien decidió que la norma aplicable al caso no era el precepto autonómico, sino la previsión contenida en el art. 47.2 a) en la Ley reguladora de las bases del régimen local (LBRL), y, evidentemente, la Xunta no puede plantear una cuestión de inconstitucionalidad. Explica la Sentencia que ante una alternativa como ésta, en la que el operador jurídico inevitablemente ha de dar preferencia a una de las dos leyes en conflicto en detrimento de la otra, tiene que acudir necesariamente a la técnica del desplazamiento de una de las leyes enfrentadas. Y, en consecuencia, considera que la Xunta de Galicia actuó acertadamente y que la prevalencia que otorgó al precepto básico estatal debe mantenerse en tanto no haya sido puesta en duda la constitucionalidad de la legislación básica modificada; únicamente en tal caso el juez sí tendría la obligación de plantear la cuestión de inconstitucionalidad, pero en relación con la norma estatal, y no en relación a la norma autonómica. Conforme a tales premisas, se confirma la operatividad de la cláusula de prevalencia recogida en el art. 149.3 CE en este caso, y, en consonancia, al avalar el desplazamiento de la norma autonómica sobre cuya constitucionalidad se nos preguntaba en el presente procedimiento, se declara inadmisible la cuestión de inconstitucionalidad.</w:t>
      </w:r>
    </w:p>
    <w:p w:rsidR="00163957" w:rsidRDefault="00163957" w:rsidP="00163957">
      <w:pPr>
        <w:pStyle w:val="TextoNormal"/>
      </w:pPr>
    </w:p>
    <w:p w:rsidR="00163957" w:rsidRDefault="00163957" w:rsidP="00163957">
      <w:pPr>
        <w:pStyle w:val="TextoNormal"/>
      </w:pPr>
      <w:r>
        <w:t>Resulta, a mi entender, difícil de aceptar que el “aplicador jurídico primario” —como lo califica la Sentencia— esté facultado para decidir que una ley en vigor ha dejado de ser aplicable, prescindiendo de los límites que le impone el bloque de la constitucionalidad. Ciertamente, el primer operador jurídico que interviene, la Administración gallega en este caso, ante un supuesto concreto, tendrá que efectuar la selección de la normativa aplicable, pero conforme a los criterios y a los cauces que impone el ordenamiento jurídico. Todos los órganos de la Administración pública están sometidos a la Ley y al Derecho (art. 103 CE) y al principio de legalidad (STC 152/2015, de 6 de julio, FJ 2). En el caso de Galicia, la Xunta está sujeta tanto a la Constitución como a lo que establece su Estatuto de Autonomía. Así pues, en el trance de aplicar una norma autonómica (aprobada por el Parlamento gallego en legítimo ejercicio de su exclusiva potestad legislativa) que la propia Xunta considerara contraria a la legislación básica estatal de forma sobrevenida, la actuación procedente habría sido, en su caso, la de promover la acomodación de la norma autonómica a dicha legislación básica mediante la oportuna reforma, haciendo uso de la iniciativa legislativa que al Gobierno de la Xunta reconoce el art. 13.1 del Estatuto de Autonomía. Y, por lo tanto, llevando la propuesta al Parlamento, sede en la que se abriría la ocasión para discutir sobre el mantenimiento del precepto cuestionado, y sobre su compatibilidad con la nueva norma básica.</w:t>
      </w:r>
    </w:p>
    <w:p w:rsidR="00163957" w:rsidRDefault="00163957" w:rsidP="00163957">
      <w:pPr>
        <w:pStyle w:val="TextoNormal"/>
      </w:pPr>
    </w:p>
    <w:p w:rsidR="00163957" w:rsidRDefault="00163957" w:rsidP="00163957">
      <w:pPr>
        <w:pStyle w:val="TextoNormal"/>
      </w:pPr>
      <w:r>
        <w:lastRenderedPageBreak/>
        <w:t>La Sentencia de la que respetuosamente discrepo declara que cualquier órgano administrativo puede proceder a desplazar una norma autonómica con rango de ley —aprobada por una asamblea autonómica legitimada democráticamente en ejercicio de su exclusiva potestad legislativa y dotada de presunción de constitucionalidad “que no puede desvirtuarse sin más, prescindiendo de una razón suficientemente fundada” (entre otras, STC 74/2014, de 8 de mayo, FJ 4)—, un desplazamiento dirigido a dar preferencia a una norma posterior, pretendidamente básica y presuntamente en conflicto con el precepto autonómico. Se configura así una figura de prevalencia de aplicación administrativa, contrapuesta a la que podrían aplicar los órganos judiciales.</w:t>
      </w:r>
    </w:p>
    <w:p w:rsidR="00163957" w:rsidRDefault="00163957" w:rsidP="00163957">
      <w:pPr>
        <w:pStyle w:val="TextoNormal"/>
      </w:pPr>
    </w:p>
    <w:p w:rsidR="00163957" w:rsidRDefault="00163957" w:rsidP="00163957">
      <w:pPr>
        <w:pStyle w:val="TextoNormal"/>
      </w:pPr>
      <w:r>
        <w:t>Ahora bien, en la medida en que esta operación requiere un previo juicio sobre la incompatibilidad entre las dos normas, y, por lo tanto, sobre las competencias estatales y autonómicas, nos encontramos ante una valoración sobre delimitación de las competencias que no puede quedar en manos de la Administración, ni en manos de ningún otro aplicador jurídico que no sea este Tribunal Constitucional. Baste considerar que este Tribunal ha puesto límites incluso a la facultad de los órganos judiciales de seleccionar la norma aplicable: así, entre otras, en la reciente STC 195/2015, de 27 de septiembre, FJ 7, se sostenía que “la facultad de seleccionar la norma jurídica aplicable al caso concreto, inherente a la potestad de juzgar y privativa de los Jueces y Tribunales del Poder Judicial (art. 117.3 CE), […] no alcanza a desplazar una ley postconstitucional ante un eventual juicio de incompatibilidad con la Constitución, sin que a ello se oponga que la contradicción con la Constitución no sea directa, sino mediata, esto es por una eventual contradicción de la norma legal autonómica con la legislación estatal básica”. De lo cual se extraía la consecuencia de que “los órganos judiciales al inaplicar la norma legal autonómica por considerarla contraria a las bases estatales, sin plantear la cuestión de inconstitucionalidad, han desbordado los contornos propios de su potestad jurisdiccional (art. 117.1 CE)”. Si tal desbordamiento se predica de los órganos jurisdiccionales, resulta chocante que se conceda al inicial operador jurídico lo que no se permite al órgano judicial, que es precisamente el llamado a controlar los actos de la Administración (art. 106.1 CE).</w:t>
      </w:r>
    </w:p>
    <w:p w:rsidR="00163957" w:rsidRDefault="00163957" w:rsidP="00163957">
      <w:pPr>
        <w:pStyle w:val="TextoNormal"/>
      </w:pPr>
    </w:p>
    <w:p w:rsidR="00163957" w:rsidRDefault="00163957" w:rsidP="00163957">
      <w:pPr>
        <w:pStyle w:val="TextoNormal"/>
      </w:pPr>
      <w:r>
        <w:t xml:space="preserve">3. Aun aceptando a efectos puramente dialécticos la potestad del inicial operador jurídico de dar preferencia a una de las dos leyes en conflicto, no se llega a solucionar el problema, pues la legalidad de la actuación de la Administración pública sigue quedando sometida al control judicial (art. 106.1 CE), que es precisamente lo que ocurre en el presente caso. La demandante ante el órgano judicial reclama la aplicación de la norma autonómica, cuya compatibilidad con la norma estatal, o, por el contrario, su incompatibilidad sobrevenida, es lo que se nos demandaba contestar en este procedimiento. Por consiguiente, nuestra tarea no tenía que proyectarse sobre el Decreto de la Xunta de Galicia impugnado en la vía contencioso-administrativa, sino que tenía que dirigirse a determinar si el órgano judicial que conocía de dicha impugnación se encontraba o no ante la necesidad de optar entre las dos leyes, básica estatal y autonómica, a fin de resolver el recurso sometido a su conocimiento. Pues bien, la Sentencia desvirtúa los términos propios de una cuestión de inconstitucionalidad y se extralimita al concluir que la norma sobre cuya constitucionalidad se nos preguntaba no resulta aplicable al caso, validando la decisión adoptada en el referido Decreto. Se interfiere así en el objeto del proceso </w:t>
      </w:r>
      <w:r w:rsidRPr="00163957">
        <w:rPr>
          <w:i/>
        </w:rPr>
        <w:t>a quo</w:t>
      </w:r>
      <w:r>
        <w:t xml:space="preserve">, resolviendo la cuestión de fondo que compete en exclusiva decidir al órgano judicial promotor de la cuestión (art. 117.3 CE). Al concluir que el órgano judicial debe atenerse a lo que decidió la Xunta, no sólo se está desconociendo </w:t>
      </w:r>
      <w:r>
        <w:lastRenderedPageBreak/>
        <w:t>gravemente lo que establece ese precepto constitucional, sino que, además, se ignoran los derechos que el art. 24 CE reconoce a la recurrente en dicho procedimiento.</w:t>
      </w:r>
    </w:p>
    <w:p w:rsidR="00163957" w:rsidRDefault="00163957" w:rsidP="00163957">
      <w:pPr>
        <w:pStyle w:val="TextoNormal"/>
      </w:pPr>
    </w:p>
    <w:p w:rsidR="00163957" w:rsidRDefault="00163957" w:rsidP="00163957">
      <w:pPr>
        <w:pStyle w:val="TextoNormal"/>
      </w:pPr>
      <w:r>
        <w:t>Por otro lado, no puedo compartir la gratuita afirmación de que la norma autonómica no resultaba aplicable al caso. Cualquiera que sea la opción que haya tomado la Xunta de Galicia, el órgano judicial no queda vinculado por esa opción (so pena de despojarlo de las potestades que le atribuye el art. 117.3 CE), sino que debe decidir con absoluta libertad dentro de su potestad de juzgar y hacer ejecutar lo juzgado, y dentro de los estrictos términos en los que se haya planteado el debate judicial. Y, en el presente caso, la concejal que impugnó el Decreto autonómico aprobatorio de la fusión de los dos municipios alegó en su recurso que el acto administrativo no se había ajustado a las determinaciones del art. 32.1 de la Ley autonómica 5/1997, porque el acuerdo de fusión aprobado por el Concello de Cesuras se adoptó por mayoría del número legal de los concejales del municipio, pero sin alcanzar los dos tercios del número de hecho de los mismos, mayoría cuya concurrencia también requiere el referido art. 32.1 de la Ley gallega. Por consiguiente, el Tribunal Superior de Justicia se ve obligado a determinar, en primer lugar, si la norma invocada resulta aplicable al caso; y alcanzada la conclusión de que sí resulta de aplicación (porque es el fundamento principal de la demanda contenciosa), y, entendiendo —según su propio juicio— que podía resultar incompatible con el art. 47.2 a) LBRL, no le quedaba otra opción, de acuerdo con el art. 163 CE y con la jurisprudencia constitucional, que promover la cuestión de inconstitucionalidad respecto del precepto autonómico.</w:t>
      </w:r>
    </w:p>
    <w:p w:rsidR="00163957" w:rsidRDefault="00163957" w:rsidP="00163957">
      <w:pPr>
        <w:pStyle w:val="TextoNormal"/>
      </w:pPr>
    </w:p>
    <w:p w:rsidR="00163957" w:rsidRDefault="00163957" w:rsidP="00163957">
      <w:pPr>
        <w:pStyle w:val="TextoNormal"/>
      </w:pPr>
      <w:r>
        <w:t>En este punto, recordemos que corresponde al órgano judicial promotor de la cuestión realizar el juicio de aplicabilidad y de relevancia de la norma legal cuestionada, y que, por ser la elección de la norma aplicable una cuestión de legalidad ordinaria, este Tribunal debe limitarse a realizar un control externo sobre el juicio realizado por el órgano judicial; lo cual impide que se revise el criterio judicial a este respecto salvo que resulte con toda evidencia errado, por notoriamente inconsistente o equivocada la identificación de la norma llamada a ser aplicada al caso [por todas, SSTC 60/2013, de 13 de marzo, FJ 1 b), y 38/2014, de 11 de marzo, FJ 3].</w:t>
      </w:r>
    </w:p>
    <w:p w:rsidR="00163957" w:rsidRDefault="00163957" w:rsidP="00163957">
      <w:pPr>
        <w:pStyle w:val="TextoNormal"/>
      </w:pPr>
    </w:p>
    <w:p w:rsidR="00163957" w:rsidRDefault="00163957" w:rsidP="00163957">
      <w:pPr>
        <w:pStyle w:val="TextoNormal"/>
      </w:pPr>
      <w:r>
        <w:t>En el presente caso, el juicio de relevancia y aplicabilidad realizado por el órgano judicial al plantear la cuestión de constitucionalidad es, a mi entender, intachable y pertinente, por lo que este Tribunal tendría que haber entrado a resolver sobre la constitucionalidad de la norma autonómica, según se nos demandaba, en lugar de inadmitir la cuestión y hacer dejación de sus funciones sobre la base de una argumentación que, a mi juicio, resulta muy discutible.</w:t>
      </w:r>
    </w:p>
    <w:p w:rsidR="00163957" w:rsidRDefault="00163957" w:rsidP="00163957">
      <w:pPr>
        <w:pStyle w:val="TextoNormal"/>
      </w:pPr>
    </w:p>
    <w:p w:rsidR="00163957" w:rsidRDefault="00163957" w:rsidP="00163957">
      <w:pPr>
        <w:pStyle w:val="TextoNormal"/>
      </w:pPr>
      <w:r>
        <w:t xml:space="preserve">4. La Sentencia de la que disiento trata de salvar las objeciones anteriores afirmando que “otorgar preferencia a la legislación básica estatal es la solución lógica a una situación provocada por la propia Comunidad Autónoma que ha incumplido su deber de inmediata acomodación de su legislación de desarrollo a la nueva legislación básica. Es la solución que deriva del carácter superfluo de la legislación reproductora, que no añade nada a la legislación básica para que aquélla pueda ser considerada realmente normativa de desarrollo”. A continuación reclama que esta técnica de desplazamiento de una norma autonómica debe acogerse como un proceder “lógico” y natural, por su similitud con otros supuestos en los que opera el mismo procedimiento para dejar de aplicar un reglamento, o para dejar de </w:t>
      </w:r>
      <w:r>
        <w:lastRenderedPageBreak/>
        <w:t>aplicar una norma española conforme al criterio de primacía de la norma europea; y se concluye afirmando que “es la solución que se corresponde con lo dispuesto en el art. 149.3 CE”, asumiendo que el tenor de dicho precepto no presenta ningún obstáculo para su aplicación en este caso.</w:t>
      </w:r>
    </w:p>
    <w:p w:rsidR="00163957" w:rsidRDefault="00163957" w:rsidP="00163957">
      <w:pPr>
        <w:pStyle w:val="TextoNormal"/>
      </w:pPr>
    </w:p>
    <w:p w:rsidR="00163957" w:rsidRDefault="00163957" w:rsidP="00163957">
      <w:pPr>
        <w:pStyle w:val="TextoNormal"/>
      </w:pPr>
      <w:r>
        <w:t>Antes de entrar a discutir la interpretación que la Sentencia efectúa del art. 149.3 CE y de la cláusula de prevalencia, considero necesario realizar algunas precisiones sobre las reseñadas afirmaciones de la Sentencia.</w:t>
      </w:r>
    </w:p>
    <w:p w:rsidR="00163957" w:rsidRDefault="00163957" w:rsidP="00163957">
      <w:pPr>
        <w:pStyle w:val="TextoNormal"/>
      </w:pPr>
    </w:p>
    <w:p w:rsidR="00163957" w:rsidRDefault="00163957" w:rsidP="00163957">
      <w:pPr>
        <w:pStyle w:val="TextoNormal"/>
      </w:pPr>
      <w:r>
        <w:t>En primer lugar, se me plantea una duda que lleva implícita una seria preocupación ya adelantada anteriormente: ¿la mera existencia de una norma posterior, declarada básica por el legislador estatal, es suficiente para que se pueda aplicar la regla de la prevalencia del derecho estatal, desplazando a la norma autonómica anterior? De la argumentación de la Sentencia deduzco que esa es la intención que la misma alumbra, cuando en su fundamento jurídico 6 afirma que considerar prevalente la posterior legislación básica estatal supone “el único resultado constitucionalmente respetuoso con la plenitud del ordenamiento jurídico (art. 149.3 CE)”. Es decir, que no sería necesario analizar previamente si la nueva norma estatal resulta o no formal y materialmente básica, pese a la reiterada exigencia de nuestra doctrina al respecto, como se ha aludido antes.</w:t>
      </w:r>
    </w:p>
    <w:p w:rsidR="00163957" w:rsidRDefault="00163957" w:rsidP="00163957">
      <w:pPr>
        <w:pStyle w:val="TextoNormal"/>
      </w:pPr>
    </w:p>
    <w:p w:rsidR="00163957" w:rsidRDefault="00163957" w:rsidP="00163957">
      <w:pPr>
        <w:pStyle w:val="TextoNormal"/>
      </w:pPr>
      <w:r>
        <w:t>En segundo lugar, en relación al proclamado carácter básico del art. 47.2 a) LBRL, debe advertirse que no se ha producido pronunciamiento constitucional sobre dicho supuesto. Tanto la STC 66/2011 como la STC 159/2012, citadas al final del fundamento jurídico 6, se refieren al carácter básico del art. 47.2 d) y no del 47.2 a) LBRL, que sería el aquí aplicable. Además, la primera de dichas Sentencias fue dictada en un recurso de amparo, y no en un procedimiento de control de constitucionalidad de una norma legal, y se limitó a remitirse a lo que se dijo en la STC 331/1993, de 12 de noviembre, esto es, a la conclusión alcanzada en relación con una redacción del precepto de la Ley de bases de régimen local anterior a la introducida por la Ley 57/2003, de 16 de diciembre. Por su parte, la STC 159/2012 se limitó a dar por bueno lo que ya se había dicho en la STC 66/2011 y en la STC 331/1993. No hay, por tanto, pronunciamiento expreso alguno de este Tribunal Constitucional acerca del carácter básico del art. 47.2 a) LBRL, en su actual redacción, que nos permita ahorrar el análisis al respecto. Y sin un examen concreto sobre un eventual vicio de inconstitucionalidad —en su caso, sobrevenida— o sobre la compatibilidad de ambas normas, no cabe proclamar en modo alguno la prevalencia de la norma estatal.</w:t>
      </w:r>
    </w:p>
    <w:p w:rsidR="00163957" w:rsidRDefault="00163957" w:rsidP="00163957">
      <w:pPr>
        <w:pStyle w:val="TextoNormal"/>
      </w:pPr>
    </w:p>
    <w:p w:rsidR="00163957" w:rsidRDefault="00163957" w:rsidP="00163957">
      <w:pPr>
        <w:pStyle w:val="TextoNormal"/>
      </w:pPr>
      <w:r>
        <w:t xml:space="preserve">El hecho de que la Xunta decidiera no aplicar su propia norma autonómica tampoco debe conducir necesariamente a la conclusión de que haya devenido incompatible con la nueva norma estatal. La oposición de la concejal recurrente en el proceso </w:t>
      </w:r>
      <w:r w:rsidRPr="00163957">
        <w:rPr>
          <w:i/>
        </w:rPr>
        <w:t>a quo</w:t>
      </w:r>
      <w:r>
        <w:t xml:space="preserve"> a aquella decisión revela que nos hallamos ante una interpretación no exenta de controversia. El ejercicio de la competencia exclusiva de la Comunidad Autónoma en materia de régimen local no queda restringido al mero desarrollo de los preceptos de la legislación básica, aunque ésta suponga un límite a la capacidad autonómica para regular los distintos aspectos de esa materia. En el presente caso cabía, incluso, un entendimiento de la norma estatal como norma que fija un requerimiento mínimo de votos, pero sin impedir que una Comunidad Autónoma decida legítimamente cualificar la exigencia de una mayoría por encima de ese mínimo, que en todo caso quedaría respetado, en el marco de sus políticas propias en materia de régimen </w:t>
      </w:r>
      <w:r>
        <w:lastRenderedPageBreak/>
        <w:t>local. Por ello resulta precipitado atribuir a la Comunidad Autónoma un supuesto incumplimiento de un deber de acomodación de su normativa a las nuevas prescripciones de una ley básica. En definitiva, se trata de un campo abonado para la inseguridad jurídica, en el que la utilización de la regla de prevalencia que instaura nuestra Sentencia viene a avalar la actuación de un órgano administrativo, la Xunta, que ignora la vigencia de un precepto cuya continuidad o modificación compete al Parlamento gallego, donde no ha habido ocasión de debate al respecto. Un aval que relega, asimismo, la intervención del órgano judicial al que se eleva la controversia sobre la ley aplicable, y que ocluye la intervención de este Tribunal Constitucional, como órgano que ejerce el control concentrado de la inconstitucionalidad de las normas.</w:t>
      </w:r>
    </w:p>
    <w:p w:rsidR="00163957" w:rsidRDefault="00163957" w:rsidP="00163957">
      <w:pPr>
        <w:pStyle w:val="TextoNormal"/>
      </w:pPr>
    </w:p>
    <w:p w:rsidR="00163957" w:rsidRDefault="00163957" w:rsidP="00163957">
      <w:pPr>
        <w:pStyle w:val="TextoNormal"/>
      </w:pPr>
      <w:r>
        <w:t xml:space="preserve">5. La aparente simplicidad del caso, que constituiría, según la Sentencia, un supuesto paradigmático de la procedencia de usar la fórmula de la prevalencia del art. 149.3 CE, no deja de ser, efectivamente, mera apariencia. Se ha dado por bueno que la norma estatal tiene carácter de norma básica, sin analizar en concreto el precepto en cuestión, y se ha dado por bueno que la regla de la mayoría que el art. 47.2 a) LBRL establece ahora se impone en sus estrictos términos y no como regla de mínimos a la que puedan añadirse otras exigencias. Se da, igualmente, por bueno que el precepto autonómico cuya inaplicación se bendice es una mera </w:t>
      </w:r>
      <w:r w:rsidRPr="00163957">
        <w:rPr>
          <w:i/>
        </w:rPr>
        <w:t>lex repetita</w:t>
      </w:r>
      <w:r>
        <w:t xml:space="preserve"> que, como tal, no responde a una decisión propia del legislador autonómico, sino a una mera remisión a la regla estatal básica, por lo que resultaría evidente que, al modificarse esta última, el precepto autonómico “repetido” decae al perder su correspondencia con la norma base. Este es el posicionamiento de la mayoría, construido sobre pretendidas certezas que operan como premisas no necesitadas de constatación. Y sobre tales premisas hipotéticas -sin análisis alguno de contraste- se reclama la aplicación de la prevalencia prevista en el art. 149.3 CE, eludiendo la problemática real de cada uno de esos presupuestos, no ya en otros casos a los que se abre la fórmula, sino en el propio caso que dio origen a la cuestión de inconstitucionalidad que se nos ha planteado.</w:t>
      </w:r>
    </w:p>
    <w:p w:rsidR="00163957" w:rsidRDefault="00163957" w:rsidP="00163957">
      <w:pPr>
        <w:pStyle w:val="TextoNormal"/>
      </w:pPr>
    </w:p>
    <w:p w:rsidR="00163957" w:rsidRDefault="00163957" w:rsidP="00163957">
      <w:pPr>
        <w:pStyle w:val="TextoNormal"/>
      </w:pPr>
      <w:r>
        <w:t xml:space="preserve">6. Para desdramatizar la relevancia del </w:t>
      </w:r>
      <w:r w:rsidRPr="00163957">
        <w:rPr>
          <w:i/>
        </w:rPr>
        <w:t>overruling</w:t>
      </w:r>
      <w:r>
        <w:t xml:space="preserve"> de la doctrina previa, la Sentencia apela a la “naturalidad” con que la jurisdicción ordinaria utiliza la técnica de prevalencia en la inaplicación de normas reglamentarias, conforme a lo previsto en el art. 6 de la Ley Orgánica del Poder Judicial, y en la inaplicación de las leyes internas que contradigan normativa europea. La comparación no puede, sin embargo, servir para justificar su procedencia en nuestro caso. La referida inaplicación de reglamentos tiene su fundamento último en el principio de jerarquía normativa, y trae causa de la previsión del art. 106.1 CE. En cuanto a la inaplicación de las leyes internas conforme al principio de primacía del derecho de la Unión Europea, se trata de la consecuencia de la atribución de soberanía o de competencias que se realiza por cada Estado miembro en favor de las instituciones comunitarias, y que garantiza la aplicación uniforme del Derecho comunitario en el territorio de la Unión. Además, todos los jueces nacionales son jueces garantes de ese Derecho, por lo cual, el control de “comunitariedad” de la ley es un control difuso, a diferencia del control de constitucionalidad de la ley en el ámbito interno, que es un control concentrado en manos del Tribunal Constitucional.</w:t>
      </w:r>
    </w:p>
    <w:p w:rsidR="00163957" w:rsidRDefault="00163957" w:rsidP="00163957">
      <w:pPr>
        <w:pStyle w:val="TextoNormal"/>
      </w:pPr>
    </w:p>
    <w:p w:rsidR="00163957" w:rsidRDefault="00163957" w:rsidP="00163957">
      <w:pPr>
        <w:pStyle w:val="TextoNormal"/>
      </w:pPr>
      <w:r>
        <w:t xml:space="preserve">7. Efectuadas las anteriores precisiones, el punto central de mi discrepancia con la Sentencia reside en la interpretación que se ofrece de la cláusula de prevalencia, con base en una parca argumentación, y, a mi juicio, dicho sea con el máximo respeto a mis compañeros, carente de consistencia. Ya desde el primer momento, la Sentencia muestra la confusión con </w:t>
      </w:r>
      <w:r>
        <w:lastRenderedPageBreak/>
        <w:t>la que se mueve entre las distintas cláusulas del art. 149.3 CE, especialmente entre la cláusula de supletoriedad y la de prevalencia, como se observa al asignar al principio de prevalencia la finalidad de “asegurar la plenitud del ordenamiento”, para cuyo sustento se citan una serie de Sentencias de este Tribunal referidas todas ellas a la cláusula de supletoriedad. Cláusula que es la que se corresponde con ese principio de plenitud del ordenamiento, ya que su función se orienta a evitar lagunas en dicho ordenamiento; función que no puede predicarse de una regla que, según la propia Sentencia, tiene por objeto la selección de la norma aplicable.</w:t>
      </w:r>
    </w:p>
    <w:p w:rsidR="00163957" w:rsidRDefault="00163957" w:rsidP="00163957">
      <w:pPr>
        <w:pStyle w:val="TextoNormal"/>
      </w:pPr>
    </w:p>
    <w:p w:rsidR="00163957" w:rsidRDefault="00163957" w:rsidP="00163957">
      <w:pPr>
        <w:pStyle w:val="TextoNormal"/>
      </w:pPr>
      <w:r>
        <w:t>Entiendo, con la doctrina hasta ahora mantenida por este Tribunal, que la regla de prevalencia del art. 149.3 CE —según la cual, las normas del Estado “prevalecerán, en caso de conflicto, sobre las de las Comunidades Autónomas en todo lo que no esté atribuido a la exclusiva competencia de éstas”– excluye de su cometido la solución de controversias normativas en las que intervenga el criterio de la competencia. Es decir, cuando el principio de competencia se encuentra concernido en la confrontación de normas, no puede entrar en juego el criterio de la prevalencia. Si la colisión de normas se produce como consecuencia de la extralimitación por una de las partes, con infracción del orden competencial constitucionalmente establecido, resulta patente que ninguna virtualidad tendrá la regla de prevalencia porque una de las normas en conflicto habría incurrido en inconstitucionalidad por vicio de incompetencia. Así ocurre de manera evidente cuando se trata de materias compartidas, como es el caso en que, sobre una misma materia, la Constitución reserva al Estado el establecimiento de la normativa básica, mientras que las Comunidades Autónomas asumen en virtud de sus Estatutos la competencia legislativa de desarrollo, incluso entendiendo comprendidos en estos supuestos todos aquellos casos en los que los Estatutos de Autonomía atribuyen a las Comunidades Autónomas una competencia “exclusiva” que ha de ejercerse necesariamente con respeto de las bases estatales, aunque siempre bajo la premisa de que la Comunidad Autónoma debe tener margen para aplicar su propia opción política y de actuación dentro del respeto al marco legislativo estatal (SSTC 1/1982, de 28 de enero, FJ 1; 44/1982, de 8 de julio, FJ 2; 69/1988, de 19 de abril, FJ 5; y 37/2002, de 14 de febrero, FJ 13). En estos casos, al estar compartida la materia, el bloque de la constitucionalidad ha procedido a un reparto de la misma, configurando ámbitos competenciales normativos propios y exclusivos del Estado, por una parte, y de las Comunidades Autónomas, por la otra. Por consiguiente, sobre una materia compartida puede entenderse que coexisten competencias exclusivas del Estado y de las Comunidades Autónomas, que se ejercen respectivamente sobre el ámbito propio delimitado para cada uno de ellos. Ahora bien, en el supuesto de que una Comunidad Autónoma dicte una norma legal que invada el ámbito que constitucionalmente queda reservado a la legislación básica del Estado, incurrirá en un vicio de incompetencia que conlleva necesariamente la inconstitucionalidad de dicha norma; y la misma situación se producirá cuando la ley básica estatal lleve su regulación más allá de lo constitucionalmente lícito, vaciando de contenido la competencia legislativa autonómica al privarla de espacio libre para desenvolverse. De esta forma, los conflictos que se produzcan en tales situaciones no pueden resolverse conforme a la cláusula de prevalencia de la norma estatal, porque es indudable que una de las dos normas se habrá extralimitado en el ejercicio de la competencia que la ampare, con el consiguiente vicio de inconstitucionalidad.</w:t>
      </w:r>
    </w:p>
    <w:p w:rsidR="00163957" w:rsidRDefault="00163957" w:rsidP="00163957">
      <w:pPr>
        <w:pStyle w:val="TextoNormal"/>
      </w:pPr>
    </w:p>
    <w:p w:rsidR="00163957" w:rsidRDefault="00163957" w:rsidP="00163957">
      <w:pPr>
        <w:pStyle w:val="TextoNormal"/>
      </w:pPr>
      <w:r>
        <w:t xml:space="preserve">En definitiva —y en lo que a nuestros efectos importa—, cuando se trata, simplificando los términos, del binomio legislación estatal básica/legislación autonómica de desarrollo, la </w:t>
      </w:r>
      <w:r>
        <w:lastRenderedPageBreak/>
        <w:t>resolución de los posibles conflictos no puede alcanzarse mediante un criterio de prevalencia de la legislación estatal sobre la autonómica porque supondría desconocer que, de acuerdo con el bloque de la constitucionalidad, al Estado le corresponde en exclusiva un ámbito competencial determinado, y a las Comunidades Autónomas otro distinto, lo cual no queda a la libre disponibilidad del legislador estatal. El desconocimiento de esos límites sólo puede resolverse en un vicio de incompetencia y en la consiguiente inconstitucionalidad de la norma que los haya excedido. Entenderlo de otra forma podría dar lugar a un vaciamiento de las competencias reservadas a las Comunidades Autónomas por la Constitución y, por encargo de ésta, por sus respectivos Estatutos de Autonomía.</w:t>
      </w:r>
    </w:p>
    <w:p w:rsidR="00163957" w:rsidRDefault="00163957" w:rsidP="00163957">
      <w:pPr>
        <w:pStyle w:val="TextoNormal"/>
      </w:pPr>
    </w:p>
    <w:p w:rsidR="00163957" w:rsidRDefault="00163957" w:rsidP="00163957">
      <w:pPr>
        <w:pStyle w:val="TextoNormal"/>
      </w:pPr>
      <w:r>
        <w:t>Sobre esta base, la asignación de la condición de norma básica a un precepto inicialmente no básico, o la alteración posterior del contenido de la norma básica (supuesto sobre el que se asienta la Sentencia de la que discrepo) que produzcan una colisión con las normas autonómicas de desarrollo, plantean un estricto problema de competencias que exige determinar en qué punto se produce el exceso y el vicio de incompetencia, lo que implica un juicio acerca del carácter formal y materialmente básico de la nueva norma estatal. Juicio que, en cuanto afecta al propio entendimiento de las cláusulas competenciales de la Constitución, sólo puede llevar a cabo este Tribunal Constitucional conforme a los arts. 153 a), 161 y 163 CE. Considerar que esa tarea puede realizarse por cualquier aplicador del derecho, en virtud de la regla de la prevalencia de la legislación estatal del art. 149.3 CE, conlleva un riesgo cierto de inseguridad jurídica y de pérdida de uniformidad en la interpretación y aplicación de las normas del bloque de la constitucionalidad, hurtando a este Tribunal su conocimiento por la vía del art. 163 CE.</w:t>
      </w:r>
    </w:p>
    <w:p w:rsidR="00163957" w:rsidRDefault="00163957" w:rsidP="00163957">
      <w:pPr>
        <w:pStyle w:val="TextoNormal"/>
      </w:pPr>
    </w:p>
    <w:p w:rsidR="00163957" w:rsidRDefault="00163957" w:rsidP="00163957">
      <w:pPr>
        <w:pStyle w:val="TextoNormal"/>
      </w:pPr>
      <w:r>
        <w:t>En suma, no se han aportado razones sólidas que indiquen la procedencia de alterar la doctrina establecida por este Tribunal en relación con la cláusula de prevalencia del art. 149.3 CE, recogida en la STC 163/1995, de 8 de noviembre, FJ 4, en la que se señaló:</w:t>
      </w:r>
    </w:p>
    <w:p w:rsidR="00163957" w:rsidRDefault="00163957" w:rsidP="00163957">
      <w:pPr>
        <w:pStyle w:val="TextoNormal"/>
      </w:pPr>
    </w:p>
    <w:p w:rsidR="00163957" w:rsidRDefault="00163957" w:rsidP="00163957">
      <w:pPr>
        <w:pStyle w:val="TextoNormal"/>
      </w:pPr>
      <w:r>
        <w:t xml:space="preserve">“El inciso segundo, </w:t>
      </w:r>
      <w:r w:rsidRPr="00163957">
        <w:rPr>
          <w:i/>
        </w:rPr>
        <w:t>in fine</w:t>
      </w:r>
      <w:r>
        <w:t xml:space="preserve">, del art. 149.3 CE proclama que las ‘normas’ del Estado ‘prevalecerán, en caso de conflicto, sobre las de las Comunidades Autónomas en todo lo que no esté atribuido a la exclusiva competencia de éstas’. De esta conocida como ‘cláusula de prevalencia’ extrae la Sala la consecuencia, planteada al menos como duda y negada por el Letrado de la Junta, de un deber de ‘aplicación directa’ de la norma estatal, con la consiguiente inaplicación </w:t>
      </w:r>
      <w:r w:rsidRPr="00163957">
        <w:rPr>
          <w:i/>
        </w:rPr>
        <w:t>per se</w:t>
      </w:r>
      <w:r>
        <w:t xml:space="preserve"> de la ley autonómica, y como alternativa al planteamiento de la cuestión de inconstitucionalidad. Ahora bien, lo que la Sala de este modo ha venido a plantearnos no es una cuestión relativa a la prevalencia de ‘las normas’ del Estado sobre las de las Comunidades Autónomas en los términos de dicho precepto, sino, de modo mucho más concreto, la de su propio ámbito de jurisdicción tal como resulta de lo previsto en los arts. 163 C.E. y concordantes cuando del control de las leyes específicamente se trata. Esta cuestión, sin embargo, encuentra una precisa respuesta en la propia Constitución y suficientes claves interpretativas en nuestra propia jurisprudencia, de las que resulta una respuesta negativa a la facultad que la Sala ha considerado poder encontrar en el art. 149.3 CE”.</w:t>
      </w:r>
    </w:p>
    <w:p w:rsidR="00163957" w:rsidRDefault="00163957" w:rsidP="00163957">
      <w:pPr>
        <w:pStyle w:val="TextoNormal"/>
      </w:pPr>
    </w:p>
    <w:p w:rsidR="00163957" w:rsidRDefault="00163957" w:rsidP="00163957">
      <w:pPr>
        <w:pStyle w:val="TextoNormal"/>
      </w:pPr>
      <w:r>
        <w:t>Y, de manera categórica, añadió más adelante lo siguiente:</w:t>
      </w:r>
    </w:p>
    <w:p w:rsidR="00163957" w:rsidRDefault="00163957" w:rsidP="00163957">
      <w:pPr>
        <w:pStyle w:val="TextoNormal"/>
      </w:pPr>
    </w:p>
    <w:p w:rsidR="00163957" w:rsidRDefault="00163957" w:rsidP="00163957">
      <w:pPr>
        <w:pStyle w:val="TextoNormal"/>
      </w:pPr>
      <w:r>
        <w:t xml:space="preserve">“en relación con las ‘normas’ autonómicas la Constitución y el correspondiente Estatuto de Autonomía contienen una disposición específica cuando de normas ‘con rango de ley’ (art. 163 C.E.) o ‘con fuerza de ley’ (art. 153 a) C.E. y art. 45.1 E.A.A.) se trata: El control </w:t>
      </w:r>
      <w:r>
        <w:lastRenderedPageBreak/>
        <w:t>de constitucionalidad de las mismas corresponde a este Tribunal Constitucional. El precepto estatutario añade incluso que tal control corresponde ‘exclusivamente’ al Tribunal Constitucional. Quiere ello decir que los Jueces y Tribunales integrantes del Poder Judicial no pueden pretender una excepción a lo previsto en los arts. 163 y 153 a) C.E., así como en el correspondiente precepto estatutario, como consecuencia de un determinado entendimiento de lo previsto, de forma más general y en un diferente contexto constitucional, en el art. 149.3, inciso segundo, in fine, C.E.”.</w:t>
      </w:r>
    </w:p>
    <w:p w:rsidR="00163957" w:rsidRDefault="00163957" w:rsidP="00163957">
      <w:pPr>
        <w:pStyle w:val="TextoNormal"/>
      </w:pPr>
    </w:p>
    <w:p w:rsidR="00163957" w:rsidRDefault="00163957" w:rsidP="00163957">
      <w:pPr>
        <w:pStyle w:val="TextoNormal"/>
      </w:pPr>
      <w:r>
        <w:t>Doctrina que difícilmente puede rebatirse con el argumento empleado en la Sentencia de la mayoría de que este caso es peculiar “pues la Comunidad Autónoma de Galicia, al incluir en la ley 5/1997, de 22 de julio, su artículo 32.1, no lo hizo reclamando una competencia propia, sino por puro mimetismo con la regulación contenida en la legislación básica que aquella ley pretendía desarrollar”. Esa premisa no es sostenible: la Comunidad Autónoma de Galicia ha aprobado la Ley 5/1997 (de Administración Local de Galicia) en virtud de una competencia propia, la competencia exclusiva que le atribuye el art. 27.2 de su Estatuto de Autonomía en materia de régimen local. Así lo expresa claramente el preámbulo de dicha Ley al afirmar: “Con la Ley de Administración Local de Galicia, apoyada explícitamente en los artículos 2.2, 27.2 y 40 de nuestro Estatuto de Autonomía se intenta hacer frente, de un lado, a la definición del papel que la Comunidad Autónoma misma tiene en relación con las administraciones locales y, de otro, a la muy peculiar organización de los asentamientos urbanos en Galicia”. Ese ejercicio competencial debe ser respetado en todo caso por el órgano judicial, cualquiera que fuera el propósito de establecer una norma autonómica coincidente con la estatal.</w:t>
      </w:r>
    </w:p>
    <w:p w:rsidR="00163957" w:rsidRDefault="00163957" w:rsidP="00163957">
      <w:pPr>
        <w:pStyle w:val="TextoNormal"/>
      </w:pPr>
    </w:p>
    <w:p w:rsidR="00163957" w:rsidRDefault="00163957" w:rsidP="00163957">
      <w:pPr>
        <w:pStyle w:val="TextoNormal"/>
      </w:pPr>
      <w:r>
        <w:t>Por todo ello entiendo que debió procederse al estudio de la cuestión de inconstitucionalidad planteada ante nosotros para poder dictar un fallo sobre el objeto de la misma. No puedo compartir el entendimiento de la cláusula de prevalencia del art. 149.3 CE que sustenta la Sentencia, por la que se atribuye a los operadores jurídicos llamados a aplicar la ley en primer lugar, la facultad de valorar por su cuenta la hipotética inconstitucionalidad sobrevenida de una norma autonómica, para proceder a su inaplicación. Una atribución que instaura un modelo de control difuso de la constitucionalidad de determinadas normas, con la consiguiente quiebra del principio de control concentrado en este Tribunal, que hasta ahora se había mantenido sin excepciones, una vez superado el periodo de pervivencia de la legislación preconstitucional.</w:t>
      </w:r>
    </w:p>
    <w:p w:rsidR="00163957" w:rsidRDefault="00163957" w:rsidP="00163957">
      <w:pPr>
        <w:pStyle w:val="TextoNormal"/>
      </w:pPr>
    </w:p>
    <w:p w:rsidR="00163957" w:rsidRDefault="00163957" w:rsidP="00163957">
      <w:pPr>
        <w:pStyle w:val="TextoNormal"/>
      </w:pPr>
      <w:r>
        <w:t xml:space="preserve">8. Una última reflexión, que conlleva también una autocrítica. Ante cambios de doctrina de tanto calado como el que representa esta Sentencia, sería deseable que redoblemos nuestro esfuerzo por lograr el respaldo de mayorías más amplias en nuestro voto colegial y por madurar suficientemente nuestras decisiones, para lo que son indispensables unas deliberaciones más prolongadas. Como señala Zagrebelsky, apelando a la “sabiduría del Tribunal” y a su experiencia como Magistrado y como Presidente del Tribunal Constitucional italiano, en aquellos asuntos de “verdadero derecho constitucional” donde una determinada interpretación modifica el alcance o sentido de una norma constitucional, debe extremarse la deliberación hasta lograr el máximo consenso, tomándose todo el tiempo que sea necesario, sin precipitaciones. Práctica que no es ajena a nuestro Tribunal, pero que precisamente no ha sido observada en el presente caso, pese a que esta Sentencia quiebra una doctrina mantenida sin fisuras desde los años ochenta, y que ha sido reafirmada y ampliamente argumentada en sentencias más recientes (en particular en la STC 1/2003). No debe olvidarse la </w:t>
      </w:r>
      <w:r>
        <w:lastRenderedPageBreak/>
        <w:t>importancia concedida al precedente como característica de la justicia constitucional, que va asociada a la salvaguarda de la estabilidad de la interpretación de los principios jurídicos y de la predecibilidad de su aplicación.</w:t>
      </w:r>
    </w:p>
    <w:p w:rsidR="00163957" w:rsidRDefault="00163957" w:rsidP="00163957">
      <w:pPr>
        <w:pStyle w:val="TextoNormal"/>
      </w:pPr>
    </w:p>
    <w:p w:rsidR="00163957" w:rsidRDefault="00163957" w:rsidP="00163957">
      <w:pPr>
        <w:pStyle w:val="TextoNormal"/>
      </w:pPr>
      <w:r>
        <w:t>Y en este sentido emito mi Voto particular.</w:t>
      </w:r>
    </w:p>
    <w:p w:rsidR="00163957" w:rsidRDefault="00163957" w:rsidP="00163957">
      <w:pPr>
        <w:pStyle w:val="TextoNormal"/>
      </w:pPr>
    </w:p>
    <w:p w:rsidR="00163957" w:rsidRDefault="00163957" w:rsidP="00163957">
      <w:pPr>
        <w:pStyle w:val="TextoNormal"/>
      </w:pPr>
      <w:r>
        <w:t>Madrid, a veinticinco de mayo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06" w:name="SENTENCIA_2016_103"/>
      <w:r>
        <w:lastRenderedPageBreak/>
        <w:t>SENTENCIA 103/2016, de 6 de junio de 2016</w:t>
      </w:r>
    </w:p>
    <w:bookmarkEnd w:id="106"/>
    <w:p w:rsidR="00163957" w:rsidRDefault="00163957" w:rsidP="00163957">
      <w:pPr>
        <w:pStyle w:val="TtuloResolucin"/>
      </w:pPr>
      <w:r>
        <w:t>Sala Segunda</w:t>
      </w:r>
    </w:p>
    <w:p w:rsidR="00163957" w:rsidRDefault="00163957" w:rsidP="00163957">
      <w:pPr>
        <w:pStyle w:val="TtuloBOE"/>
      </w:pPr>
      <w:r>
        <w:t>(BOE núm. 170, de 15 de julio de 2016)</w:t>
      </w:r>
    </w:p>
    <w:p w:rsidR="00163957" w:rsidRDefault="00163957" w:rsidP="00163957">
      <w:pPr>
        <w:pStyle w:val="TextoNormalCentrado"/>
      </w:pPr>
      <w:r>
        <w:t>ECLI:ES:TC:2016:103</w:t>
      </w:r>
    </w:p>
    <w:p w:rsidR="00163957" w:rsidRDefault="00163957" w:rsidP="00163957">
      <w:pPr>
        <w:pStyle w:val="TextoNormalCentrado"/>
      </w:pPr>
    </w:p>
    <w:p w:rsidR="00163957" w:rsidRDefault="00163957" w:rsidP="00163957">
      <w:pPr>
        <w:pStyle w:val="SntesisDescriptiva"/>
      </w:pPr>
      <w:r>
        <w:t>Recurso de amparo 1546-2013. Promovido por don Volodymyr Dyiakon respecto de las resoluciones dictadas por la Secretaría Judicial de un Juzgado de lo Contencioso-Administrativo de Madrid convocando a las partes para la celebración de vista en proceso sobre orden de expulsión del territorio nacional.</w:t>
      </w:r>
    </w:p>
    <w:p w:rsidR="00163957" w:rsidRDefault="00163957" w:rsidP="00163957">
      <w:pPr>
        <w:pStyle w:val="SntesisDescriptiva"/>
      </w:pPr>
    </w:p>
    <w:p w:rsidR="00163957" w:rsidRDefault="00163957" w:rsidP="00163957">
      <w:pPr>
        <w:pStyle w:val="SntesisAnaltica"/>
      </w:pPr>
      <w:r>
        <w:t>Vulneración del derecho a un proceso sin dilaciones indebidas: demora de tres años en la celebración de la vista del juicio en un procedimiento abreviado contencioso-administrativo (STC 63/2016).</w:t>
      </w:r>
    </w:p>
    <w:p w:rsidR="00163957" w:rsidRDefault="00163957" w:rsidP="00163957">
      <w:pPr>
        <w:pStyle w:val="SntesisAnaltica"/>
      </w:pPr>
    </w:p>
    <w:p w:rsidR="00163957" w:rsidRDefault="00163957" w:rsidP="00163957">
      <w:pPr>
        <w:pStyle w:val="Extracto"/>
      </w:pPr>
      <w:r>
        <w:t>1.</w:t>
      </w:r>
      <w:r>
        <w:tab/>
        <w:t>Asunto sustancialmente idéntico al resuelto por la STC 63/2016, relativa a la doctrina sobre el derecho a un proceso sin dilaciones indebidas en materia de extranjería [FFJJ 4 a 7].</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1546-2013, promovido por don Volodymyr Dyiakon, representado por la Procuradora de los Tribunales doña Concepción Muñiz González y asistido por el Letrado don Alfonso Carbonell Tortosa, contra la diligencia de ordenación de la Secretaria Judicial del Juzgado de lo Contencioso-Administrativo núm. 9 de Madrid, de 10 de diciembre de 2012, que convocó a las partes para la celebración de la vista del procedimiento abreviado núm. 44-2012, y contra el decreto de la misma Secretaria, de 14 de febrero de 2013, que desestimó el recurso de reposición deducido contra la referida diligencia de ordenación. Ha sido parte el Abogado del Estado y ha intervenido el Ministerio Fiscal. Ha sido Ponente la Magistrada doña Adela Asua Batarrita, quien expresa el parecer del Tribunal.</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día 14 de marzo de 2013, el letrado don Alfonso Carbonell Tortosa interpuso recurso de amparo contra las resoluciones señaladas en el encabezamiento. Asimismo, solicitó la designación de Procurador del turno de oficio para su cliente.</w:t>
      </w:r>
    </w:p>
    <w:p w:rsidR="00163957" w:rsidRDefault="00163957" w:rsidP="00163957">
      <w:pPr>
        <w:pStyle w:val="TextoNormal"/>
      </w:pPr>
    </w:p>
    <w:p w:rsidR="00163957" w:rsidRDefault="00163957" w:rsidP="00163957">
      <w:pPr>
        <w:pStyle w:val="TextoNormal"/>
      </w:pPr>
      <w:r w:rsidRPr="00163957">
        <w:rPr>
          <w:rStyle w:val="NumeroAFNegritaCaracter"/>
        </w:rPr>
        <w:t>2</w:t>
      </w:r>
      <w:r>
        <w:t>. La demanda de amparo trae causa, en síntesis, de los siguientes hechos:</w:t>
      </w:r>
    </w:p>
    <w:p w:rsidR="00163957" w:rsidRDefault="00163957" w:rsidP="00163957">
      <w:pPr>
        <w:pStyle w:val="TextoNormal"/>
      </w:pPr>
    </w:p>
    <w:p w:rsidR="00163957" w:rsidRDefault="00163957" w:rsidP="00163957">
      <w:pPr>
        <w:pStyle w:val="TextoNormal"/>
      </w:pPr>
      <w:r>
        <w:t>a) Con fecha 24 de enero de 2012 el recurrente presentó ante el Decanato de los Juzgados de lo Contencioso-Administrativo de Madrid demanda interponiendo recurso contencioso-administrativo, por el procedimiento abreviado, contra la resolución de la Delegación del Gobierno en Madrid de 19 de agosto de 2011, por la que se decretaba su expulsión del territorio nacional, con prohibición de entrada por un período de tres años en España y en los restantes territorios comprendidos en el Convenio de aplicación del acuerdo Schengen de 19 de junio de 1990 (autos de procedimiento abreviado núm. 44-2012). Por medio de otrosí solicitaba la medida cautelarísima de suspensión de la orden de expulsión.</w:t>
      </w:r>
    </w:p>
    <w:p w:rsidR="00163957" w:rsidRDefault="00163957" w:rsidP="00163957">
      <w:pPr>
        <w:pStyle w:val="TextoNormal"/>
      </w:pPr>
    </w:p>
    <w:p w:rsidR="00163957" w:rsidRDefault="00163957" w:rsidP="00163957">
      <w:pPr>
        <w:pStyle w:val="TextoNormal"/>
      </w:pPr>
      <w:r>
        <w:t>b) La demanda fue turnada al Juzgado de lo Contencioso-Administrativo núm. 9 de Madrid, el cual, por Auto de 24 de enero de 2012, acordó denegar la medida cautelarísima solicitada.</w:t>
      </w:r>
    </w:p>
    <w:p w:rsidR="00163957" w:rsidRDefault="00163957" w:rsidP="00163957">
      <w:pPr>
        <w:pStyle w:val="TextoNormal"/>
      </w:pPr>
    </w:p>
    <w:p w:rsidR="00163957" w:rsidRDefault="00163957" w:rsidP="00163957">
      <w:pPr>
        <w:pStyle w:val="TextoNormal"/>
      </w:pPr>
      <w:r>
        <w:t>c) La representación del actor presentó escrito con fecha 10 de abril de 2012 indicando que, a pesar del tiempo transcurrido desde que en 26 de enero de 2012 cumplimentó el requerimiento para la aportación del poder original, no se le había notificado aún la resolución pronunciándose sobre la admisión a trámite. Ante dicho escrito, por diligencia de ordenación de 19 de junio de 2012 se contestó que ya se habían dictado dos diligencias de ordenación que, aunque no dijeran expresamente que se admitía a trámite la demanda, daban un impulso al proceso que no tendría lugar en caso de inadmisión. Mediante nuevo escrito presentado el 9 de julio de 2012, el recurrente solicitó que se dictara el correspondiente decreto de admisión a trámite de la demanda y citando a las partes para la celebración de la vista, de acuerdo con lo establecido en el art. 78.3 de la Ley reguladora de la jurisdicción contencioso-administrativa (LJCA). Esta solicitud recibió respuesta a través de diligencia de ordenación de 27 de septiembre de 2012, en la que se resolvía estar a lo acordado con anterioridad, y que se notificaría oportunamente al recurrente el señalamiento según previsiones de la agenda programada del Juzgado. Contra esta diligencia de ordenación interpuso el actor recurso de reposición con fecha 17 de octubre de 2012, por infracción manifiesta del art. 78.3 LJCA, con invocación expresa del derecho a un proceso sin dilaciones indebidas. Por escrito presentado el 15 de noviembre de 2012 se recordó al Juzgado la interposición de dicho recurso, al no haber recibido notificación de la resolución del mismo.</w:t>
      </w:r>
    </w:p>
    <w:p w:rsidR="00163957" w:rsidRDefault="00163957" w:rsidP="00163957">
      <w:pPr>
        <w:pStyle w:val="TextoNormal"/>
      </w:pPr>
    </w:p>
    <w:p w:rsidR="00163957" w:rsidRDefault="00163957" w:rsidP="00163957">
      <w:pPr>
        <w:pStyle w:val="TextoNormal"/>
      </w:pPr>
      <w:r>
        <w:t>d) Por diligencia de ordenación de la Secretaria del Juzgado de 10 de diciembre de 2012 se acordó señalar para la celebración de la vista el 17 de diciembre de 2015 a las 11:45 horas. Asimismo, se consideró que no era necesario tramitar el anterior recurso de reposición por considerar que había perdido objeto.</w:t>
      </w:r>
    </w:p>
    <w:p w:rsidR="00163957" w:rsidRDefault="00163957" w:rsidP="00163957">
      <w:pPr>
        <w:pStyle w:val="TextoNormal"/>
      </w:pPr>
    </w:p>
    <w:p w:rsidR="00163957" w:rsidRDefault="00163957" w:rsidP="00163957">
      <w:pPr>
        <w:pStyle w:val="TextoNormal"/>
      </w:pPr>
      <w:r>
        <w:lastRenderedPageBreak/>
        <w:t>e) Mediante escrito presentado el 21 de diciembre de 2012, el actor interpuso recurso de reposición contra la anterior diligencia de ordenación, al entender que un señalamiento para el juicio oral en fecha tan alejada en el tiempo superaba con creces las previsiones legales establecidas al respecto y el carácter razonable del plazo en que debe desenvolverse el proceso, implicando una vulneración del derecho fundamental a un proceso sin dilaciones indebidas (art. 24.2 CE), y solicitaba el adelantamiento de la fecha del juicio de acuerdo con el art. 63.1 LJCA. El recurso de reposición fue desestimado por decreto de la Secretaria Judicial de 14 de febrero de 2013, que confirmó la diligencia recurrida en todos sus extremos, al considerar que la fecha se había fijado en función de la agenda de señalamientos del Juzgado, “que, como los demás de esta clase, padece una elevada pendencia de asuntos”, no obstante lo cual, se aclaraba que la agenda era objeto de constante revisión por cancelaciones de vistas, por lo que la fecha señalada podría ser modificada.</w:t>
      </w:r>
    </w:p>
    <w:p w:rsidR="00163957" w:rsidRDefault="00163957" w:rsidP="00163957">
      <w:pPr>
        <w:pStyle w:val="TextoNormal"/>
      </w:pPr>
    </w:p>
    <w:p w:rsidR="00163957" w:rsidRDefault="00163957" w:rsidP="00163957">
      <w:pPr>
        <w:pStyle w:val="TextoNormal"/>
      </w:pPr>
      <w:r w:rsidRPr="00163957">
        <w:rPr>
          <w:rStyle w:val="NumeroAFNegritaCaracter"/>
        </w:rPr>
        <w:t>3</w:t>
      </w:r>
      <w:r>
        <w:t>. La demanda de amparo denuncia la vulneración del derecho a un proceso sin dilaciones indebidas (art. 24.2 CE), sosteniendo que el señalamiento de la vista del procedimiento contencioso-administrativo para el 17 de diciembre de 2015, cuando el recurso se presentó el 24 de enero de 2012, supera con creces las previsiones legales establecidas al respecto y el carácter razonable del plazo en el que debe desenvolverse el proceso abreviado, en función de las circunstancias específicas del caso (sobre su expulsión del territorio español), que determinan un interés especialmente relevante para el actor, quien, mientras no se resuelva el recurso, verá inadmitida a trámite cualquier solicitud de regularización por mor de la disposición adicional cuarta.1 d) de la Ley Orgánica sobre derechos y libertades de los extranjeros en España y su integración social. Afirma que, siendo el asunto de escasa complejidad, aun admitiendo la posibilidad de algún retraso ante el cúmulo de trabajo que asumen los Juzgados de lo Contencioso-Administrativo de Madrid, ha de tenerse en cuenta que el art. 440.1 de la Ley de enjuiciamiento civil, supletoriamente aplicable, establece un plazo máximo de 20 días entre la admisión de la demanda y la celebración de la vista. Señala que algún otro Juzgado, como el núm. 24, en procedimiento abreviado sobre extranjería cuyo número identifica, ha señalado la vista para pocos meses después, sin que pueda justificarse el criterio del argumento comparativo, empleado en la resolución del recurso de reposición, pues hay otros Juzgados más diligentes a los que no les afectan tanto la carga de trabajo o las deficiencias estructurales. Por ello, solicita el reconocimiento de la vulneración de su derecho a un proceso sin dilaciones indebidas y la anticipación del señalamiento para la celebración de la vista.</w:t>
      </w:r>
    </w:p>
    <w:p w:rsidR="00163957" w:rsidRDefault="00163957" w:rsidP="00163957">
      <w:pPr>
        <w:pStyle w:val="TextoNormal"/>
      </w:pPr>
    </w:p>
    <w:p w:rsidR="00163957" w:rsidRDefault="00163957" w:rsidP="00163957">
      <w:pPr>
        <w:pStyle w:val="TextoNormal"/>
      </w:pPr>
      <w:r>
        <w:t xml:space="preserve">El recurrente aduce asimismo que se han agotado todos los medios de impugnación jurisdiccionales previstos por las normas procesales para el caso concreto, señalando que, de conformidad con lo previsto en los arts. 79 y 102 </w:t>
      </w:r>
      <w:r w:rsidRPr="00163957">
        <w:rPr>
          <w:i/>
        </w:rPr>
        <w:t>bis</w:t>
      </w:r>
      <w:r>
        <w:t>.2 LJCA (en la redacción dada a los mismos por la Ley 13/2009, de 3 de noviembre, de reforma de la legislación procesal para la implantación de la nueva oficina judicial), contra el decreto que resuelve el recurso de reposición no se dará recurso alguno, siendo imputable la violación del derecho fundamental que se invoca al órgano judicial cuya Secretaria dictó las resoluciones impugnadas.</w:t>
      </w:r>
    </w:p>
    <w:p w:rsidR="00163957" w:rsidRDefault="00163957" w:rsidP="00163957">
      <w:pPr>
        <w:pStyle w:val="TextoNormal"/>
      </w:pPr>
    </w:p>
    <w:p w:rsidR="00163957" w:rsidRDefault="00163957" w:rsidP="00163957">
      <w:pPr>
        <w:pStyle w:val="TextoNormal"/>
      </w:pPr>
      <w:r>
        <w:t xml:space="preserve">Finalmente, en cuanto a la especial trascendencia constitucional del recurso, el demandante alega el motivo e) del fundamento jurídico 2 de la STC 155/2009, de 25 de junio, argumentando que la doctrina de este Tribunal sobre el derecho a un proceso sin dilaciones indebidas está siendo incumplida de un modo general y reiterado por los distintos Juzgados de lo Contencioso-Administrativo de Madrid, los cuales justifican las demoras de varios </w:t>
      </w:r>
      <w:r>
        <w:lastRenderedPageBreak/>
        <w:t>años en los señalamientos de los procedimientos abreviados en materia de extranjería con razones como el respeto al orden de antigüedad, las deficiencias estructurales u organizativas o la abrumadora carga de trabajo que pesa sobre los órganos judiciales, las cuales, de acuerdo con la doctrina del Tribunal Constitucional y del Tribunal Europeo de Derechos Humanos, no justifican el retraso ni impiden reconocer la vulneración del derecho a obtener una decisión definitiva en un plazo razonable.</w:t>
      </w:r>
    </w:p>
    <w:p w:rsidR="00163957" w:rsidRDefault="00163957" w:rsidP="00163957">
      <w:pPr>
        <w:pStyle w:val="TextoNormal"/>
      </w:pPr>
    </w:p>
    <w:p w:rsidR="00163957" w:rsidRDefault="00163957" w:rsidP="00163957">
      <w:pPr>
        <w:pStyle w:val="TextoNormal"/>
      </w:pPr>
      <w:r w:rsidRPr="00163957">
        <w:rPr>
          <w:rStyle w:val="NumeroAFNegritaCaracter"/>
        </w:rPr>
        <w:t>4</w:t>
      </w:r>
      <w:r>
        <w:t>. Una vez que, a requerimiento de la Secretaría de esta Sala, el actor ratificó la demanda de amparo presentada por su Letrado, y designado por el Ilustre Colegio de Procuradores de Madrid Procuradora del turno de justicia gratuita, por diligencia de ordenación de 28 de mayo de 2013 se concedió a la Procuradora designada un plazo de diez días para que se ratificara en el escrito de formalización del recurso presentado por el Letrado, trámite que fue evacuado mediante escrito presentado el 17 de junio de 2013.</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1 de diciembre de 2015, la Sección Tercera de este Tribunal acordó la admisión a trámite del recurso, apreciando que concurre en el mismo una especial trascendencia constitucional [art. 50.1 de la Ley Orgánica del Tribunal Constitucional (LOTC)] como consecuencia de que el recurso puede dar ocasión al Tribunal para aclarar o cambiar su doctrina, como consecuencia de cambios normativos relevantes para la configuración del contenido del derecho fundamental [STC 155/2009, FJ 2 b)]. Asimismo, y constando ya en el recurso testimonio del procedimiento abreviado núm. 44-2012, por haberlo solicitado con carácter previo a resolver sobre su admisibilidad, acordó dirigir atenta comunicación al Juzgado de lo Contencioso-Administrativo núm. 9 de Madrid para que emplazara a quienes hubieran sido parte en el proceso, excepto la parte recurrente en amparo, al objeto de que, en el término de diez días, pudiera comparecer en el presente proceso constitucional.</w:t>
      </w:r>
    </w:p>
    <w:p w:rsidR="00163957" w:rsidRDefault="00163957" w:rsidP="00163957">
      <w:pPr>
        <w:pStyle w:val="TextoNormal"/>
      </w:pPr>
    </w:p>
    <w:p w:rsidR="00163957" w:rsidRDefault="00163957" w:rsidP="00163957">
      <w:pPr>
        <w:pStyle w:val="TextoNormal"/>
      </w:pPr>
      <w:r w:rsidRPr="00163957">
        <w:rPr>
          <w:rStyle w:val="NumeroAFNegritaCaracter"/>
        </w:rPr>
        <w:t>6</w:t>
      </w:r>
      <w:r>
        <w:t>. El Abogado del Estado se personó en el presente recurso a través de escrito presentado el 14 de diciembre de 2015.</w:t>
      </w:r>
    </w:p>
    <w:p w:rsidR="00163957" w:rsidRDefault="00163957" w:rsidP="00163957">
      <w:pPr>
        <w:pStyle w:val="TextoNormal"/>
      </w:pPr>
    </w:p>
    <w:p w:rsidR="00163957" w:rsidRDefault="00163957" w:rsidP="00163957">
      <w:pPr>
        <w:pStyle w:val="TextoNormal"/>
      </w:pPr>
      <w:r w:rsidRPr="00163957">
        <w:rPr>
          <w:rStyle w:val="NumeroAFNegritaCaracter"/>
        </w:rPr>
        <w:t>7</w:t>
      </w:r>
      <w:r>
        <w:t>. Mediante diligencia de ordenación de 21 de diciembre de 2015 se tuvo por personado al representante procesal del Estado, y se acordó dar vista de las actuaciones a las partes personadas y al Ministerio Fiscal, por plazo común de veinte días, para que, a tenor de lo dispuesto en el art. 52.1 LOTC, pudieran presentar las alegaciones que estimasen oportunas.</w:t>
      </w:r>
    </w:p>
    <w:p w:rsidR="00163957" w:rsidRDefault="00163957" w:rsidP="00163957">
      <w:pPr>
        <w:pStyle w:val="TextoNormal"/>
      </w:pPr>
    </w:p>
    <w:p w:rsidR="00163957" w:rsidRDefault="00163957" w:rsidP="00163957">
      <w:pPr>
        <w:pStyle w:val="TextoNormal"/>
      </w:pPr>
      <w:r w:rsidRPr="00163957">
        <w:rPr>
          <w:rStyle w:val="NumeroAFNegritaCaracter"/>
        </w:rPr>
        <w:t>8</w:t>
      </w:r>
      <w:r>
        <w:t>. El Abogado del Estado formuló sus alegaciones en escrito presentado el 20 de enero de 2016, solicitando la inadmisión y, subsidiariamente, la desestimación de la demanda de amparo. En primer lugar, opone la pérdida sobrevenida de objeto en cuanto a los puntos del suplico en los que se solicitaba la declaración de nulidad de las resoluciones impugnadas y la anticipación de la vista, por haberse celebrado la misma el 17 de diciembre de 2015.</w:t>
      </w:r>
    </w:p>
    <w:p w:rsidR="00163957" w:rsidRDefault="00163957" w:rsidP="00163957">
      <w:pPr>
        <w:pStyle w:val="TextoNormal"/>
      </w:pPr>
    </w:p>
    <w:p w:rsidR="00163957" w:rsidRDefault="00163957" w:rsidP="00163957">
      <w:pPr>
        <w:pStyle w:val="TextoNormal"/>
      </w:pPr>
      <w:r>
        <w:t xml:space="preserve">Por otra parte, la solicitud de inadmisión del recurso la sustenta el Abogado del Estado en la no concurrencia de la especial trascendencia constitucional exigible, pues, aunque la parte actora cumpla con el requisito formal del art. 49.1 LOTC, sobre el retraso en el señalamiento de las vistas de los procedimientos contencioso-administrativos abreviados que versan sobre sanciones de expulsión, debido a deficiencias estructurales u organizativas, hay sobrada doctrina constitucional en la materia, respecto de la cual la Sentencia que aquí se dicte no va a suponer sino una reiteración de doctrina consolidada. Por otro lado, no se </w:t>
      </w:r>
      <w:r>
        <w:lastRenderedPageBreak/>
        <w:t>puede hablar de incumplimiento de la doctrina sentada al respecto por órganos jurisdiccionales, ya que los motivos de la dilación se deben a causas estructurales o falta de medios que aquéllos no pueden solucionar por ellos mismos, sin que se haya justificado que las deficiencias pudieran ser corregidas a corto plazo. Con carácter subsidiario, solicita la denegación del amparo, en primer lugar, por entender que el interés que en el proceso contencioso-administrativo arriesga el demandante ha de ser valorado en función de si solicitó o no y, en su caso, se le concedió o se le denegó la medida cautelar de suspensión, que en este supuesto fue solicitada y denegada por el Juzgado. En segundo lugar, se aduce que en la demanda falta toda alegación sobre si la duración normal se refiere a los procedimientos abreviados en el Juzgado núm. 9 o en los Juzgados de Madrid, o a los procesos en los que se impugne una resolución de expulsión en los mismos Juzgados, Para el caso de que no se atendiera lo anterior, señala que las deficiencias estructurales a las que se apela sólo deberían conducir al otorgamiento del amparo si pudieran ser corregidas o eliminadas a corto plazo mediante un uso más racional y eficiente de los recursos, y se debería exigir al demandante la carga de identificarlas mínimamente. A juicio del Abogado del Estado, no es dado comparar la realidad empírica del sistema judicial con una especie de “ideal de funcionamiento” que tampoco es seguro que se alcanzara por mucho que se incrementara la inversión en la organización judicial, algo que, por lo demás, resulta impensable en el actual contexto de aguda y profunda crisis financiera pública. En esta línea, señala que las deficiencias estructurales podrían acaso aquilatarse mediante el estándar de “prestación razonablemente exigible a un servicio público”, cuya configuración concreta debe tener en cuenta lo que, de manera realista, pueda esperar el usuario de un servicio atendido el nivel medio de prestación de los demás. Matizado así el concepto, resulta dudoso, cuando menos, que pueda hablarse de “deficiencia estructural” que pueda dar lugar a un pronunciamiento favorable.</w:t>
      </w:r>
    </w:p>
    <w:p w:rsidR="00163957" w:rsidRDefault="00163957" w:rsidP="00163957">
      <w:pPr>
        <w:pStyle w:val="TextoNormal"/>
      </w:pPr>
    </w:p>
    <w:p w:rsidR="00163957" w:rsidRDefault="00163957" w:rsidP="00163957">
      <w:pPr>
        <w:pStyle w:val="TextoNormal"/>
      </w:pPr>
      <w:r w:rsidRPr="00163957">
        <w:rPr>
          <w:rStyle w:val="NumeroAFNegritaCaracter"/>
        </w:rPr>
        <w:t>9</w:t>
      </w:r>
      <w:r>
        <w:t>. La representación del actor presentó su escrito de alegaciones el 27 de enero de 2016, remitiéndose a los argumentos expuestos en la demanda de amparo, e insistiendo en el cumplimiento de todos los criterios objetivos manejados por el Tribunal Constitucional para apreciar la existencia de dilaciones indebidas, recogidos, entre otras muchas, en las SSTC 93/2008 y 94/2008, ambas de 21 de julio. Asimismo, añade que el recurso no ha perdido objeto por el hecho de que cuando se resuelva el mismo la dilación indebida haya cesado al haberse celebrado la vista en el procedimiento abreviado núm. 44-2012, de acuerdo con lo que establece la doctrina constitucional.</w:t>
      </w:r>
    </w:p>
    <w:p w:rsidR="00163957" w:rsidRDefault="00163957" w:rsidP="00163957">
      <w:pPr>
        <w:pStyle w:val="TextoNormal"/>
      </w:pPr>
    </w:p>
    <w:p w:rsidR="00163957" w:rsidRDefault="00163957" w:rsidP="00163957">
      <w:pPr>
        <w:pStyle w:val="TextoNormal"/>
      </w:pPr>
      <w:r w:rsidRPr="00163957">
        <w:rPr>
          <w:rStyle w:val="NumeroAFNegritaCaracter"/>
        </w:rPr>
        <w:t>10</w:t>
      </w:r>
      <w:r>
        <w:t xml:space="preserve">. El Ministerio Fiscal, por escrito que tuvo entrada en este Tribunal el 8 de febrero de 2016, tras exponer los antecedentes del caso y el tenor de la queja articulada por el recurrente, puso de relieve el problema de admisibilidad planteado, pues, bajo la cobertura del art. 44 LOTC, se está pretendiendo recurrir un acto de un órgano judicial que no es dictado por el Juez o Magistrado, sino por la Secretaria Judicial de aquél. Por tanto, se produce la misma situación que dio lugar al planteamiento de cuestión interna de inconstitucionalidad en el recurso de amparo núm. 4577-2011, en virtud del ATC 163/2013, lo que exige actuar en consonancia con el citado recurso de amparo, acordando plantear cuestión de inconstitucionalidad en relación con el art. 102 </w:t>
      </w:r>
      <w:r w:rsidRPr="00163957">
        <w:rPr>
          <w:i/>
        </w:rPr>
        <w:t>bis</w:t>
      </w:r>
      <w:r>
        <w:t xml:space="preserve">.2 LJCA, en la redacción dada al mismo por la Ley 13/2009, de 3 de diciembre, por su posible oposición al art. 24.1 CE. Por otra parte, y en cuanto al fondo, el Fiscal, a la luz de la jurisprudencia de este Tribunal Constitucional, considera que se ha vulnerado el derecho del actor a un proceso sin dilaciones indebidas (art. 24.2 CE), sin que tal infracción traiga su causa de la inactividad procesal durante un largo </w:t>
      </w:r>
      <w:r>
        <w:lastRenderedPageBreak/>
        <w:t xml:space="preserve">período, ni de la pasividad judicial, debiendo descartarse, también, la complejidad del litigio, que tiene por objeto una resolución administrativa de expulsión y prohibición de reentrada en España de un ciudadano extranjero, habiéndose fundamentado la imposibilidad de realizar antes el señalamiento en razones de deficiencias estructurales de la justicia. Y, aun en ese caso, una dilación indebida sigue siendo tal y vulnera el derecho constitucional invocado. Además, siguiendo la doctrina sentada en la STC 94/2008, de 21 de julio, la dilación no puede imputarse a la conducta procesal del demandante pues éste no se limitó a estimar en exceso lejana la fecha señalada para la celebración del juicio, sino que solicitó la anticipación de la vista </w:t>
      </w:r>
      <w:r w:rsidRPr="00163957">
        <w:rPr>
          <w:i/>
        </w:rPr>
        <w:t>ex</w:t>
      </w:r>
      <w:r>
        <w:t xml:space="preserve"> art. 63.1 LJCA en base a la situación personal en la que quedaba. Por otra parte, se refiere el Fiscal al interés que arriesgaba el recurrente en el litigio, dirigido a combatir la resolución de expulsión, de similar entidad al considerado en las SSTC 93/2008 y 141/2010. En atención a lo expuesto, solicita el Fiscal el otorgamiento del amparo, que deberá ser parcial, al no poder entrar este Tribunal, según su propia doctrina, en los problemas estructurales de la Administración de Justicia, en cuanto a la petición de adelanto del señalamiento de la vista.</w:t>
      </w:r>
    </w:p>
    <w:p w:rsidR="00163957" w:rsidRDefault="00163957" w:rsidP="00163957">
      <w:pPr>
        <w:pStyle w:val="TextoNormal"/>
      </w:pPr>
    </w:p>
    <w:p w:rsidR="00163957" w:rsidRDefault="00163957" w:rsidP="00163957">
      <w:pPr>
        <w:pStyle w:val="TextoNormal"/>
      </w:pPr>
      <w:r w:rsidRPr="00163957">
        <w:rPr>
          <w:rStyle w:val="NumeroAFNegritaCaracter"/>
        </w:rPr>
        <w:t>11</w:t>
      </w:r>
      <w:r>
        <w:t>. Por providencia de 2 de junio de 2016, se señaló para la deliberación y votación de la presente Sentencia el día 6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demandante de amparo impugna en el presente recurso la diligencia de ordenación de la Secretaria Judicial (actualmente Letrada de la Administración de Justicia, según la denominación que se otorga a los Secretarios Judiciales por la Ley Orgánica 7/2015, de 21 de julio, por la que se modifica la Ley Orgánica del Poder Judicial) del Juzgado de lo Contencioso-Administrativo núm. 9 de Madrid, de 10 de diciembre de 2012, que convocó a las partes para la celebración de la vista del procedimiento abreviado núm. 44-2012 el 17 de diciembre de 2015, y contra el decreto de la misma Secretaria, de 14 de febrero de 2013, que desestimó el recurso de reposición deducido contra la referida diligencia de ordenación. Considera el actor que dichas resoluciones vulneran su derecho fundamental a un proceso sin dilaciones indebidas (art. 24.2 CE) porque el señalamiento de la vista del procedimiento contencioso-administrativo para esa fecha, cuando el recurso se presentó el 24 de enero de 2012, supone un retraso excesivo, superando con creces las previsiones legales establecidas al respecto y el carácter razonable del plazo en el que debe desenvolverse el proceso abreviado, en función de las circunstancias del caso.</w:t>
      </w:r>
    </w:p>
    <w:p w:rsidR="00163957" w:rsidRDefault="00163957" w:rsidP="00163957">
      <w:pPr>
        <w:pStyle w:val="TextoNormal"/>
      </w:pPr>
    </w:p>
    <w:p w:rsidR="00163957" w:rsidRDefault="00163957" w:rsidP="00163957">
      <w:pPr>
        <w:pStyle w:val="TextoNormal"/>
      </w:pPr>
      <w:r>
        <w:t xml:space="preserve">El Abogado del Estado, como ha quedado expuesto con más detalle en los antecedentes, ha interesado la inadmisión del recurso de amparo por carecer de especial trascendencia constitucional, y, subsidiariamente, su desestimación, al considerar que no se ha producido la lesión denunciada por el actor. Por su parte, el Ministerio Fiscal ha solicitado el planteamiento de cuestión interna de inconstitucionalidad en relación con el art. 102 </w:t>
      </w:r>
      <w:r w:rsidRPr="00163957">
        <w:rPr>
          <w:i/>
        </w:rPr>
        <w:t>bis</w:t>
      </w:r>
      <w:r>
        <w:t xml:space="preserve">.2 de la Ley reguladora de la jurisdicción contencioso-administrativa (LJCA) (introducido por la Ley 13/2009, de 3 de noviembre, de reforma de la legislación procesal para la implantación de la nueva oficina judicial), por los mismos motivos que se acordó su planteamiento en el recurso de amparo núm. 4577-2011, y, en su caso, el otorgamiento parcial del amparo, por estimar que se ha producido la vulneración del derecho del demandante de amparo a un </w:t>
      </w:r>
      <w:r>
        <w:lastRenderedPageBreak/>
        <w:t>proceso sin dilaciones indebidas, pero sin que pueda este Tribunal entrar en los problemas estructurales de la Administración de Justicia.</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análisis de la cuestión de fondo, es preciso abordar el estudio del óbice procesal opuesto por el Abogado del Estado que, como ya se ha indicado, considera que el recurso debe inadmitirse por carecer de especial trascendencia constitucional.</w:t>
      </w:r>
    </w:p>
    <w:p w:rsidR="00163957" w:rsidRDefault="00163957" w:rsidP="00163957">
      <w:pPr>
        <w:pStyle w:val="TextoNormal"/>
      </w:pPr>
    </w:p>
    <w:p w:rsidR="00163957" w:rsidRDefault="00163957" w:rsidP="00163957">
      <w:pPr>
        <w:pStyle w:val="TextoNormal"/>
      </w:pPr>
      <w:r>
        <w:t xml:space="preserve">Este Tribunal ha venido distinguiendo entre la justificación de la especial trascendencia constitucional, que es un requisito procesal que debe cumplir toda demanda [art. 49.1 </w:t>
      </w:r>
      <w:r w:rsidRPr="00163957">
        <w:rPr>
          <w:i/>
        </w:rPr>
        <w:t>in fine</w:t>
      </w:r>
      <w:r>
        <w:t xml:space="preserve"> de la Ley Orgánica del Tribunal Constitucional (LOTC)], y la existencia misma de la especial trascendencia constitucional, que es una apreciación que corresponde al Tribunal.</w:t>
      </w:r>
    </w:p>
    <w:p w:rsidR="00163957" w:rsidRDefault="00163957" w:rsidP="00163957">
      <w:pPr>
        <w:pStyle w:val="TextoNormal"/>
      </w:pPr>
    </w:p>
    <w:p w:rsidR="00163957" w:rsidRDefault="00163957" w:rsidP="00163957">
      <w:pPr>
        <w:pStyle w:val="TextoNormal"/>
      </w:pPr>
      <w:r>
        <w:t xml:space="preserve">Respecto del requisito procesal, ha señalado reiteradamente este Tribunal que, de conformidad con el art. 50.1 a) LOTC la admisión del recurso de amparo exige el cumplimiento de los requisitos establecidos en los arts. 41 a 46 y 49 LOTC, disponiendo este último precepto en su apartado 1 </w:t>
      </w:r>
      <w:r w:rsidRPr="00163957">
        <w:rPr>
          <w:i/>
        </w:rPr>
        <w:t>in fine</w:t>
      </w:r>
      <w:r>
        <w:t>, de forma inequívoca, que la demanda ha de justificar la especial trascendencia constitucional del recurso. Para satisfacer esta exigencia, es preciso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28 de febrero, FJ 2).</w:t>
      </w:r>
    </w:p>
    <w:p w:rsidR="00163957" w:rsidRDefault="00163957" w:rsidP="00163957">
      <w:pPr>
        <w:pStyle w:val="TextoNormal"/>
      </w:pPr>
    </w:p>
    <w:p w:rsidR="00163957" w:rsidRDefault="00163957" w:rsidP="00163957">
      <w:pPr>
        <w:pStyle w:val="TextoNormal"/>
      </w:pPr>
      <w:r>
        <w:t>En el presente caso, la demanda razona específicamente sobre la especial trascendencia constitucional del recurso, con cita expresa de la STC 155/2009, de 25 de junio, invocando el motivo e) de su fundamento jurídico 2, y alegando, en síntesis, el incumplimiento general y reiterado de la doctrina de este Tribunal sobre el derecho a un proceso sin dilaciones indebidas por los distintos Juzgados de lo Contencioso-Administrativo de Madrid, los cuales justifican las demoras de varios años en los señalamientos de los procedimientos abreviados en materia de extranjería con razones que, según la doctrina constitucional, en ningún caso pueden fundamentar el retraso.</w:t>
      </w:r>
    </w:p>
    <w:p w:rsidR="00163957" w:rsidRDefault="00163957" w:rsidP="00163957">
      <w:pPr>
        <w:pStyle w:val="TextoNormal"/>
      </w:pPr>
    </w:p>
    <w:p w:rsidR="00163957" w:rsidRDefault="00163957" w:rsidP="00163957">
      <w:pPr>
        <w:pStyle w:val="TextoNormal"/>
      </w:pPr>
      <w:r>
        <w:t>Por tanto, y con independencia de la valoración que las alegaciones recogidas en la demanda puedan merecer, cabe apreciar un esfuerzo argumental de la parte recurrente destinado a cumplimentar la carga impuesta en el art. 49.1 LOTC, al haberse disociado suficientemente en la demanda de amparo los argumentos destinados a probar la existencia de las lesiones de los derechos fundamentales de aquellos otros encaminados a justificar la especial trascendencia constitucional del recurso en términos que coinciden con los criterios que tenemos asentados en nuestra doctrina antes citada.</w:t>
      </w:r>
    </w:p>
    <w:p w:rsidR="00163957" w:rsidRDefault="00163957" w:rsidP="00163957">
      <w:pPr>
        <w:pStyle w:val="TextoNormal"/>
      </w:pPr>
    </w:p>
    <w:p w:rsidR="00163957" w:rsidRDefault="00163957" w:rsidP="00163957">
      <w:pPr>
        <w:pStyle w:val="TextoNormal"/>
      </w:pPr>
      <w:r>
        <w:t>En relación con la especial trascendencia constitucional de esta demanda de amparo, hemos declarado, entre otras muchas, en la STC 54/2015, de 16 de marzo, FJ 4,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w:t>
      </w:r>
    </w:p>
    <w:p w:rsidR="00163957" w:rsidRDefault="00163957" w:rsidP="00163957">
      <w:pPr>
        <w:pStyle w:val="TextoNormal"/>
      </w:pPr>
    </w:p>
    <w:p w:rsidR="00163957" w:rsidRDefault="00163957" w:rsidP="00163957">
      <w:pPr>
        <w:pStyle w:val="TextoNormal"/>
      </w:pPr>
      <w:r>
        <w:lastRenderedPageBreak/>
        <w:t xml:space="preserve">Pues bien, en el presente caso, este Tribunal ha apreciado en la providencia de admisión a trámite del recurso que el mismo cuenta con especial trascendencia constitucional ya que puede dar ocasión al Tribunal para aclarar o cambiar su doctrina, como consecuencia de cambios normativos relevantes para la configuración del contenido del derecho fundamental [STC 155/2009, FJ 2 b)]; precisamente por poner de manifiesto el aspecto planteado en sus alegaciones por el Ministerio Fiscal, esto es, por suscitar el relevante problema de la vedada intervención del Juez antes de que el justiciable deba acudir a la promoción del recurso de amparo en casos como el presente, en los que se encuentran en juego derechos fundamentales, impuesta por la previsión del art. 102 </w:t>
      </w:r>
      <w:r w:rsidRPr="00163957">
        <w:rPr>
          <w:i/>
        </w:rPr>
        <w:t>bis</w:t>
      </w:r>
      <w:r>
        <w:t>.2 LJCA, lo que motivó el planteamiento de una cuestión interna de inconstitucionalidad por medio del ATC 163/2013, de 9 de septiembre, en el ya citado recurso de amparo núm. 4577-2011. Todo ello, al margen de que la propia causa alegada por el actor otorgaría al asunto especial trascendencia constitucional, pues su afirmación en torno al incumplimiento reiterado de la doctrina de este Tribunal en materia de dilaciones indebidas resulta corroborada a poco que se consulten los más recientes pronunciamientos estimatorios de este Tribunal en materia de dilaciones indebidas (SSTC 54/2014, de 10 de abril; 58/2014, de 5 de mayo; 99/2014, de 23 de junio; 74/2015, de 27 de abril; 87/2015, de 11 de mayo; 88/2015, de 11 de mayo; 63/2016, de 11 de abril, y 75/2016, 76/2016 y 77/2016, las tres de 25 de abril), referidos todos ellos a asuntos de extranjería seguidos ante distintos Juzgados de lo Contencioso-Administrativo de Madrid.</w:t>
      </w:r>
    </w:p>
    <w:p w:rsidR="00163957" w:rsidRDefault="00163957" w:rsidP="00163957">
      <w:pPr>
        <w:pStyle w:val="TextoNormal"/>
      </w:pPr>
    </w:p>
    <w:p w:rsidR="00163957" w:rsidRDefault="00163957" w:rsidP="00163957">
      <w:pPr>
        <w:pStyle w:val="TextoNormal"/>
      </w:pPr>
      <w:r>
        <w:t xml:space="preserve">Por lo demás, las anteriores precisiones se formulan “en salvaguarda del principio de seguridad jurídica que, conforme a la Sentencia del Tribunal Europeo de Derechos Humanos de 20 de enero de 2015, dictada en el asunto </w:t>
      </w:r>
      <w:r w:rsidRPr="00163957">
        <w:rPr>
          <w:i/>
        </w:rPr>
        <w:t>Arribas Antón c. España</w:t>
      </w:r>
      <w:r>
        <w:t>, § 46, exige explicitar no solamente los criterios de definición del requisito de la especial trascendencia constitucional (a tal efecto, esencialmente, la precitada STC 155/2009), sino también su aplicación en los asuntos que se admiten a trámite, con el fin de asegurar con ello una buena administración de la Justicia” (STC 194/2015, de 21 de septiembre, FJ 2).</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 Antes de proceder a examinar la queja planteada por el demandante de amparo, es preciso resolver el problema de admisibilidad puesto de manifiesto por el Ministerio Fiscal, que es el que, como ya se ha razonado, ha servido para otorgar especial trascendencia constitucional al presente recurso de amparo. Advierte el Ministerio público que, bajo la cobertura del art. 44 LOTC, se impugnan aquí sendas resoluciones que no proceden del Juez o Magistrado, sino de la Secretaria del Juzgado de lo Contencioso-Administrativo núm. 9 de Madrid, aduciendo la dificultad que entraña articular un recurso de amparo directamente contra tales resoluciones, sin que hayan sido objeto de revisión judicial, lo que resultaría contrario a la propia naturaleza subsidiaria del amparo y al recto entender de la Ley Orgánica del Tribunal Constitucional cuando se refiere a la lesión de los derechos fundamentales ocasionada por los actos y omisiones de los órganos judiciales, entendidos estrictamente como los Jueces y Tribunales que ejercen la función jurisdiccional, sin comprender los actos y decisiones del personal que integra la Oficina Judicial, a cuyo frente se encuentran los Secretarios Judiciales (actualmente, Letrados de la Administración de Justicia, como ya se ha señalado). El propio Fiscal reconoce que el problema reside en que el art. 102 </w:t>
      </w:r>
      <w:r w:rsidRPr="00163957">
        <w:rPr>
          <w:i/>
        </w:rPr>
        <w:t>bis</w:t>
      </w:r>
      <w:r>
        <w:t xml:space="preserve">.2 LJCA (introducido por la Ley 13/2009, de 3 de noviembre, de reforma de la legislación procesal para la implantación de la nueva oficina judicial) impide terminantemente la posibilidad de que decisiones como las aquí impugnadas sean revisadas por el Juez o Tribunal, al disponer que “Contra el decreto resolutivo de la reposición no se dará recurso alguno, sin perjuicio de reproducir la cuestión al recurrir, si fuere procedente, la resolución definitiva”. Por tal </w:t>
      </w:r>
      <w:r>
        <w:lastRenderedPageBreak/>
        <w:t>razón, interesa que se proceda al planteamiento de cuestión interna de inconstitucionalidad en relación con dicho precepto, al igual que ya se hizo por medio del citado ATC 163/2013.</w:t>
      </w:r>
    </w:p>
    <w:p w:rsidR="00163957" w:rsidRDefault="00163957" w:rsidP="00163957">
      <w:pPr>
        <w:pStyle w:val="TextoNormal"/>
      </w:pPr>
    </w:p>
    <w:p w:rsidR="00163957" w:rsidRDefault="00163957" w:rsidP="00163957">
      <w:pPr>
        <w:pStyle w:val="TextoNormal"/>
      </w:pPr>
      <w:r>
        <w:t xml:space="preserve">Sin embargo, ello no es preciso, pues la problemática reseñada se le ha suscitado a este Tribunal Constitucional en una serie de recursos de amparo referidos a la misma materia, entre los que se incluía el que nos ocupa, lo que condujo a esta Sala, como ya ha puesto de relieve el Fiscal, a acordar en el recurso de amparo núm. 4577-2011 el planteamiento de cuestión interna de inconstitucionalidad en relación con el mencionado art. 102 </w:t>
      </w:r>
      <w:r w:rsidRPr="00163957">
        <w:rPr>
          <w:i/>
        </w:rPr>
        <w:t>bis</w:t>
      </w:r>
      <w:r>
        <w:t xml:space="preserve">.2 LJCA, por medio del reiterado ATC 163/2013, de 9 de septiembre. Tal actuación, como reconoce el propio Fiscal, resultaba imprescindible, a pesar de que haya producido como inevitable efecto un lamentable retraso en la resolución de éste y de otros recursos de amparo, cuya decisión quedó en suspenso a la espera de la resolución de la reseñada cuestión de inconstitucionalidad. Dicha cuestión ha sido estimada por la recentísima STC 58/2016, de 17 de marzo, en la que el Pleno de este Tribunal ha reconocido que la imposibilidad de impugnar el decreto resolutorio de la reposición no era salvable ni a través de la opción de impugnar la resolución que ponga fin al proceso (que no siempre cabe y que carece de virtualidad tratándose del derecho a un proceso sin dilaciones indebidas, cuya alegación no tiene sentido cuando el proceso ha finalizado, según nuestra reiterada doctrina), ni por las vías establecidas en los arts. 240.2 y 241.1 de la Ley Orgánica del Poder Judicial. Por ello, ha resuelto que el párrafo primero del citado precepto incurre en insalvable inconstitucionalidad al crear un espacio de inmunidad jurisdiccional incompatible con el derecho fundamental a la tutela judicial efectiva y la reserva de jurisdicción a los Jueces y Tribunales integrantes del poder judicial: “El precepto cuestionado, en cuanto excluye del recurso judicial a determinados decretos definitivos del Letrado de la Administración de Justicia (aquellos que resuelven la reposición), cercena, como señala el ATC 163/2013, FJ 2, el derecho del justiciable a someter a la decisión última del Juez o Tribunal, a quien compete de modo exclusivo la potestad jurisdiccional, la resolución de una cuestión que atañe a sus derechos e intereses y legítimos, pudiendo afectar incluso a otro derecho fundamental: a un proceso sin dilaciones indebidas. Ello implica que tal exclusión deba reputarse lesiva del derecho a la tutela judicial efectiva que a todos garantiza el art. 24.1 CE y del principio de exclusividad de la potestad jurisdiccional (art. 117.3 CE)” (FJ 7). Asimismo, la Sentencia precisa que hasta que el legislador no se pronuncie al respecto, el recurso judicial procedente frente al decreto del Letrado de la Administración de Justicia resolutivo de la reposición ha de ser el directo de revisión al que se refiere el propio art. 102 </w:t>
      </w:r>
      <w:r w:rsidRPr="00163957">
        <w:rPr>
          <w:i/>
        </w:rPr>
        <w:t>bis</w:t>
      </w:r>
      <w:r>
        <w:t>.2 LJCA.</w:t>
      </w:r>
    </w:p>
    <w:p w:rsidR="00163957" w:rsidRDefault="00163957" w:rsidP="00163957">
      <w:pPr>
        <w:pStyle w:val="TextoNormal"/>
      </w:pPr>
    </w:p>
    <w:p w:rsidR="00163957" w:rsidRDefault="00163957" w:rsidP="00163957">
      <w:pPr>
        <w:pStyle w:val="TextoNormal"/>
      </w:pPr>
      <w:r>
        <w:t>La reciente declaración de la inconstitucionalidad de dicho precepto no permite, precisamente por la fecha en que se produce, que en el presente caso pueda apreciarse el óbice de falta de agotamiento de la vía judicial previa. Es indudable que, en el momento en el que el actor trató de reaccionar contra la presunta lesión de su derecho fundamental a un proceso sin dilaciones indebidas, no podía en modo alguno obtener una respuesta judicial previa dado el veto previsto al respecto en el párrafo primero de aquel precepto, ahora declarado inconstitucional. Por otro lado, tampoco cabe, a la luz del pronunciamiento contenido en la STC 58/2016, de 17 de marzo, retrotraer las actuaciones para que el actor pueda utilizar la vía del recurso de revisión, de acuerdo con lo que se indica en el fundamento jurídico 7 de dicha Sentencia, porque ya ha tenido lugar, incluso, la celebración de la vista, como reconocen las partes, de modo que no se produciría otro efecto que el de perjudicar al actor, añadiendo nuevas dilaciones a las ya padecidas.</w:t>
      </w:r>
    </w:p>
    <w:p w:rsidR="00163957" w:rsidRDefault="00163957" w:rsidP="00163957">
      <w:pPr>
        <w:pStyle w:val="TextoNormal"/>
      </w:pPr>
    </w:p>
    <w:p w:rsidR="00163957" w:rsidRDefault="00163957" w:rsidP="00163957">
      <w:pPr>
        <w:pStyle w:val="TextoNormal"/>
      </w:pPr>
      <w:r>
        <w:lastRenderedPageBreak/>
        <w:t>La solución constitucionalmente adecuada, dada la declaración de inconstitucionalidad del art. 102.</w:t>
      </w:r>
      <w:r w:rsidRPr="00163957">
        <w:rPr>
          <w:i/>
        </w:rPr>
        <w:t>bis</w:t>
      </w:r>
      <w:r>
        <w:t>.2 LJCA, es proceder a examinar la queja de fondo articulada en el presente recurso de amparo, pues fue la propia Ley la que impidió la intervención del Magistrado-Juez de lo Contencioso-Administrativo núm. 9 de Madrid, en ejercicio de su función jurisdiccional de tutela de los derechos fundamentales, lo cual justifica que este Tribunal intervenga para reparar la lesión del derecho a un proceso sin dilaciones indebidas del actor, tal y como ha hecho también para un otros casos iguales en las recientísimas SSTC 63/2016, de 11 de abril, y 75/2016, 76/2016 y 77/2016, todas ellas de 25 de abril.</w:t>
      </w:r>
    </w:p>
    <w:p w:rsidR="00163957" w:rsidRDefault="00163957" w:rsidP="00163957">
      <w:pPr>
        <w:pStyle w:val="TextoNormal"/>
      </w:pPr>
    </w:p>
    <w:p w:rsidR="00163957" w:rsidRDefault="00163957" w:rsidP="00163957">
      <w:pPr>
        <w:pStyle w:val="TextoNormal"/>
      </w:pPr>
      <w:r w:rsidRPr="00163957">
        <w:rPr>
          <w:rStyle w:val="NumeroAFNegritaCaracter"/>
        </w:rPr>
        <w:t>4</w:t>
      </w:r>
      <w:r>
        <w:t>. Una vez aclarado el anterior extremo, podemos proceder a analizar la queja que se ha suscitado en este recurso, que recae, como ya se ha expuesto reiteradamente, sobre el derecho a un proceso sin dilaciones indebidas, consagrado en el art. 24.2 CE. Pues bien, para determinar si nos encontramos o no ante una vulneración del meritado derecho, hemos de acudir a las pautas que nos ofrece nuestra jurisprudencia, conforme a la cual, este derecho es una expresión constitucional que encierra un concepto jurídico indeterminado que, por su imprecisión, exige examinar cada supuesto concreto a la luz de aquellos criterios que permitan verificar si ha existido efectiva dilación y, en su caso, si ésta puede considerarse justificada, porque no toda infracción de los plazos procesales o toda excesiva duración temporal de las actuaciones judiciales supone una vulneración del derecho fundamental que estamos comentando (por todas, STC 54/2014, de 10 de abril, FJ 4), sin que, por otra parte, el derecho fundamental referido pueda identificarse con un derecho al riguroso cumplimiento de los plazos procesales, configurándose a partir de la dimensión temporal de todo proceso y su razonabilidad (STC 142/2010, de 21 de diciembre, FJ 3). Como hemos subrayado, más recientemente, en las SSTC 89/2014, de 9 de junio, FJ 4, 99/2014, de 23 de junio, FJ 4, 74/2015, de 27 de abril, FJ 4, y 63/2016, de 11 de abril, FJ 4, con cita de la jurisprudencia precedente, la prohibición de retrasos injustificados en la marcha de los procesos judiciales impone a los Jueces y Tribunales el deber de obrar con la celeridad que les permita la duración normal o acostumbrada de los litigios de la misma naturaleza y con la diligencia debida en el impulso de las distintas fases por las que atraviesa el proceso. Asimismo, en coincidencia con la jurisprudencia del Tribunal Europeo de Derechos Humanos sobre el art. 6.1 del Convenio de Roma (derecho a que la causa sea oída en “un tiempo razonable”), que ha sido tomada como el estándar mínimo garantizado en el art. 24.2 CE, afirmábamos que el juicio sobre el contenido concreto de las dilaciones, y sobre si son o no indebidas, debe ser el resultado de la aplicación a las circunstancias específicas de cada caso de los criterios objetivos que a lo largo de nuestra jurisprudencia se han ido precisando, y que son la complejidad del litigio, los márgenes ordinarios de duración de los litigios del mismo tipo, el interés que arriesga el demandante de amparo, su conducta procesal y la conducta de las autoridades.</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Aplicando la anterior doctrina al caso que pende de enjuiciamiento ante nosotros, podemos afirmar, en primer lugar, que el asunto planteado no reviste una especial complejidad, al tratarse de un recurso interpuesto contra una resolución administrativa sancionadora que acuerda la expulsión del recurrente por encontrarse irregularmente en territorio español. Teniendo en cuenta la pretensión deducida ante el órgano judicial —que ni siquiera éste califica como particularmente compleja-, no parece razonable que en un procedimiento de esta naturaleza se haya diferido, con evidente perjuicio del recurrente, la vista de su recurso contencioso-administrativo a una fecha tan lejana como el 17 de diciembre de 2015, cuando el citado recurso había sido interpuesto el 24 de enero de 2012. Ello ha supuesto para el </w:t>
      </w:r>
      <w:r>
        <w:lastRenderedPageBreak/>
        <w:t>demandante una espera de casi cuatro años para poder saber si podía permanecer o no lícitamente en España.</w:t>
      </w:r>
    </w:p>
    <w:p w:rsidR="00163957" w:rsidRDefault="00163957" w:rsidP="00163957">
      <w:pPr>
        <w:pStyle w:val="TextoNormal"/>
      </w:pPr>
    </w:p>
    <w:p w:rsidR="00163957" w:rsidRDefault="00163957" w:rsidP="00163957">
      <w:pPr>
        <w:pStyle w:val="TextoNormal"/>
      </w:pPr>
      <w:r>
        <w:t>En cuanto al criterio relativo a los márgenes ordinarios de duración de los litigios, este Tribunal ha tenido ocasión de pronunciarse, en diferentes ocasiones, sobre la vulneración del derecho a un proceso sin dilaciones indebidas, con motivo del señalamiento de la vista, en procedimientos relativos a extranjería. Concretamente, en el supuesto analizado en la STC 142/2010, de 21 de diciembre, el señalamiento de la vista se fijó para año y medio después, respecto a la interposición del recurso contencioso-administrativo, frente a una denegación de solicitud de asilo. En supuestos de impugnación de resoluciones de expulsión, este Tribunal apreció la existencia de dilaciones, entre otras muchas, en la STC 54/2014, de 10 de abril, por un señalamiento fijado para dos años y seis meses posteriores a la interposición del recurso; en la STC 99/2014, de 23 de junio, por un señalamiento posterior en algo más de dos años a la interposición del recurso; en la STC 88/2015, de 11 de mayo, el señalamiento tuvo un retraso similar al anterior; y en la STC 63/2016, de 11 de abril, el retraso en la fecha para la celebración de la vista se acercaba a los tres años y medio. Finalmente, analizando lo ocurrido en un caso de impugnación de la denegación de una autorización de residencia, la STC 74/2015, de 27 de abril, apreció la existencia de dilaciones indebidas por un retraso en el señalamiento de la vista de dos años y medio. Por consiguiente, cabe apreciar que el presente caso se inscribe también en lo que nuestra doctrina ha calificado como demora constitutiva de una dilación indebida.</w:t>
      </w:r>
    </w:p>
    <w:p w:rsidR="00163957" w:rsidRDefault="00163957" w:rsidP="00163957">
      <w:pPr>
        <w:pStyle w:val="TextoNormal"/>
      </w:pPr>
    </w:p>
    <w:p w:rsidR="00163957" w:rsidRDefault="00163957" w:rsidP="00163957">
      <w:pPr>
        <w:pStyle w:val="TextoNormal"/>
      </w:pPr>
      <w:r>
        <w:t>Por otra parte, el retraso en la tramitación procesal ha de ser ponderado de acuerdo al interés que arriesgue el recurrente en el pleito. En este caso, el interés consistía en obtener una resolución judicial que determinara si era ajustada a Derecho la resolución administrativa que acordó su expulsión del territorio nacional y la prohibición de entrada en España por un periodo de tres años, que fue adoptada por la Delegación del Gobierno en Madrid. Es evidente que, al igual que otros casos, como el resuelto por las SSTC 58/2014, de 5 de mayo, FJ 5, y 99/2014, de 23 de junio, FJ 5, esta decisión afectaba necesariamente a un ámbito preferente de sus derechos e intereses legítimos y, además, relacionado con la organización de la propia vida, pues del sentido de la misma habría de depender su permanencia o no en España.</w:t>
      </w:r>
    </w:p>
    <w:p w:rsidR="00163957" w:rsidRDefault="00163957" w:rsidP="00163957">
      <w:pPr>
        <w:pStyle w:val="TextoNormal"/>
      </w:pPr>
    </w:p>
    <w:p w:rsidR="00163957" w:rsidRDefault="00163957" w:rsidP="00163957">
      <w:pPr>
        <w:pStyle w:val="TextoNormal"/>
      </w:pPr>
      <w:r>
        <w:t>Asimismo, ha de excluirse que la conducta procesal del demandante merezca algún reproche, puesto que no sólo no ha realizado actuaciones que pudieran provocar el retraso en cuestión, sino que, antes al contrario, ha guardado una actitud diligente, pues, en primer lugar, ha instado la adopción de las correspondientes resoluciones acordando la admisión a trámite del recurso y la citación de las partes para la vista, con invocación del derecho a la tutela judicial efectiva y del derecho a un proceso sin dilaciones indebidas (escritos de 10 de abril y 9 de julio de 2012, recurso de reposición de 17 de octubre de 2012, y recordatorio de la interposición de dicho recurso en escrito presentado el 15 de noviembre de 2012). Por otra parte, ha denunciado ante el órgano judicial la concurrencia de las supuestas dilaciones indebidas por la lejanía de la fecha fijada para la vista, como pone de relieve singularmente el recurso de reposición presentado el 21 de diciembre de 2012 contra la diligencia de ordenación de 10 de diciembre de 2012, que había efectuado el señalamiento para la vista; recurso en el que el actor puso de manifiesto la vulneración del derecho fundamental a un proceso sin dilaciones indebidas y en el que solicitó expresamente que se anticipara la fecha de celebración de la vista, de conformidad con el art. 63.1 LJCA.</w:t>
      </w:r>
    </w:p>
    <w:p w:rsidR="00163957" w:rsidRDefault="00163957" w:rsidP="00163957">
      <w:pPr>
        <w:pStyle w:val="TextoNormal"/>
      </w:pPr>
    </w:p>
    <w:p w:rsidR="00163957" w:rsidRDefault="00163957" w:rsidP="00163957">
      <w:pPr>
        <w:pStyle w:val="TextoNormal"/>
      </w:pPr>
      <w:r w:rsidRPr="00163957">
        <w:rPr>
          <w:rStyle w:val="NumeroAFNegritaCaracter"/>
        </w:rPr>
        <w:t>6</w:t>
      </w:r>
      <w:r>
        <w:t>. Expuesto lo anterior, es preciso subrayar que la dilación denunciada por el demandante de amparo no tiene su origen en el silencio judicial ante peticiones de la parte, ni en la inactividad procesal durante largos períodos de tiempo, ni en la demora en proceder a señalar la fecha de la vista, aunque ésta se produjera efectivamente, ya que la Secretaria Judicial tardó casi un año en convocar a las partes para la celebración de la vista, pese a los reiterados requerimientos del actor en orden a que se admitiera a trámite el recurso de acuerdo con el art. 78.3 LJCA, y que efectuara dicho señalamiento. La dilación de la que se queja el actor obedece a que medió un período excesivo de tiempo, casi cuatro años, entre el momento en que se presentó la demanda y la fecha fijada por la diligencia de ordenación impugnada para la celebración del acto de la vista, decisión tomada de acuerdo con la agenda de señalamientos del Juzgado, y, por tanto, en función de las reglas de los arts. 182 de la Ley de enjuiciamiento civil y 78 LJCA, ajustándose al orden de antigüedad, por lo que el retraso parece obedecer a causas estructurales y a la carga de trabajo que pesa sobre el órgano judicial, como se reconoce en el propio decreto desestimatorio del recurso de reposición interpuesto contra la diligencia de ordenación que señaló la fecha de la vista, que achacaba el retraso a la elevada pendencia de asuntos que padece el Juzgado, de la misma manera que los de igual clase.</w:t>
      </w:r>
    </w:p>
    <w:p w:rsidR="00163957" w:rsidRDefault="00163957" w:rsidP="00163957">
      <w:pPr>
        <w:pStyle w:val="TextoNormal"/>
      </w:pPr>
    </w:p>
    <w:p w:rsidR="00163957" w:rsidRDefault="00163957" w:rsidP="00163957">
      <w:pPr>
        <w:pStyle w:val="TextoNormal"/>
      </w:pPr>
      <w:r>
        <w:t>No obstante, el hecho de que la presente demora se deba a motivos estructurales, no imputables directamente al órgano judicial, no impide apreciar la vulneración del derecho del recurrente a un proceso sin dilaciones indebidas, pues esta situación no altera la naturaleza injustificada de dichas dilaciones, según reiterada jurisprudencia de este Tribunal y del Tribunal Europeo de Derechos Humanos, en tanto que el ciudadano es ajeno a esas circunstancias.</w:t>
      </w:r>
    </w:p>
    <w:p w:rsidR="00163957" w:rsidRDefault="00163957" w:rsidP="00163957">
      <w:pPr>
        <w:pStyle w:val="TextoNormal"/>
      </w:pPr>
    </w:p>
    <w:p w:rsidR="00163957" w:rsidRDefault="00163957" w:rsidP="00163957">
      <w:pPr>
        <w:pStyle w:val="TextoNormal"/>
      </w:pPr>
      <w:r>
        <w:t>Sobre este extremo, nos recuerda la STC 142/2010, de 21 de diciembre, FJ 4, que “como ha señalado este Tribunal, entre otras, en las SSTC 160/2004, de 4 de octubre, FJ 5, y 153/2005, de 6 de junio, FJ 6, por más que los retrasos experimentados en el procedimiento hubiesen sido consecuencia de deficiencias estructurales u organizativas de los órganos judiciales o del abrumador trabajo que sobre ellos pesa, esta hipotética situación orgánica, si bien pudiera excluir de responsabilidad a las personas intervinientes en el procedimiento, de ningún modo altera el carácter injustificado del retraso. Y es que el elevado número de asuntos de que conozca el órgano jurisdiccional ante el que se tramitaba el pleito no legitima el retraso en resolver, ni todo ello limita el derecho fundamental de los ciudadanos para reaccionar frente a tal retraso, puesto que no es posible restringir el alcance y contenido de ese derecho (dado el lugar que la recta y eficaz Administración de Justicia ocupa en una sociedad democrática) en función de circunstancias ajenas a los afectados por las dilaciones. Por el contrario es exigible que Jueces y Tribunales cumplan su función jurisdiccional, garantizando la libertad, la justicia y la seguridad, con la rapidez que permita la duración normal de los procesos, lo que lleva implícita la necesidad de que el Estado provea la dotación a los órganos judiciales de los medios personales y materiales precisos para el correcto desarrollo de las funciones que el Ordenamiento les encomienda (STC 180/1996, de 16 de noviembre, FJ 4)”.</w:t>
      </w:r>
    </w:p>
    <w:p w:rsidR="00163957" w:rsidRDefault="00163957" w:rsidP="00163957">
      <w:pPr>
        <w:pStyle w:val="TextoNormal"/>
      </w:pPr>
    </w:p>
    <w:p w:rsidR="00163957" w:rsidRDefault="00163957" w:rsidP="00163957">
      <w:pPr>
        <w:pStyle w:val="TextoNormal"/>
      </w:pPr>
      <w:r>
        <w:t xml:space="preserve">Igual criterio sostiene el Tribunal Europeo de Derechos Humanos, al afirmar en su Sentencia de 7 de julio de 1989, caso </w:t>
      </w:r>
      <w:r w:rsidRPr="00163957">
        <w:rPr>
          <w:i/>
        </w:rPr>
        <w:t>Unión Alimentaria Sanders c. España</w:t>
      </w:r>
      <w:r>
        <w:t xml:space="preserve">, el carácter estructural de las dilaciones sufridas por la sociedad demandante, concluyendo que esta situación </w:t>
      </w:r>
      <w:r>
        <w:lastRenderedPageBreak/>
        <w:t xml:space="preserve">no puede privar a los ciudadanos de su derecho al respeto del plazo razonable (§§ 38 y 42), o cuando en la Sentencia de 11 de marzo de 2004, caso </w:t>
      </w:r>
      <w:r w:rsidRPr="00163957">
        <w:rPr>
          <w:i/>
        </w:rPr>
        <w:t>Lenaerts c. Bélgica</w:t>
      </w:r>
      <w:r>
        <w:t xml:space="preserve"> (§ 18), razonó que el art. 6.1 del Convenio europeo para la protección de los derechos humanos y de las libertades fundamentales obliga a los Estados contratantes a organizar su sistema judicial de tal forma que sus Tribunales puedan cumplir cada una de sus exigencias, en particular la del derecho a obtener una decisión definitiva dentro de un plazo razonable.</w:t>
      </w:r>
    </w:p>
    <w:p w:rsidR="00163957" w:rsidRDefault="00163957" w:rsidP="00163957">
      <w:pPr>
        <w:pStyle w:val="TextoNormal"/>
      </w:pPr>
    </w:p>
    <w:p w:rsidR="00163957" w:rsidRDefault="00163957" w:rsidP="00163957">
      <w:pPr>
        <w:pStyle w:val="TextoNormal"/>
      </w:pPr>
      <w:r w:rsidRPr="00163957">
        <w:rPr>
          <w:rStyle w:val="NumeroAFNegritaCaracter"/>
        </w:rPr>
        <w:t>7</w:t>
      </w:r>
      <w:r>
        <w:t>. Por todo lo anterior, cabe concluir que se ha vulnerado en este caso el derecho a un proceso sin dilaciones indebidas del recurrente (art. 24.2 CE), como consecuencia de la fecha fijada por el órgano judicial para la celebración de la vista de su recurso contencioso-administrativo. Al igual que en otros casos resueltos por este Tribunal (por todas, SSTC 89/2014, de 9 de junio, FJ 7, y 63/2016, de 11 de abril, FJ 7), el otorgamiento del amparo debe limitarse a la declaración de la violación del derecho fundamental, dado que ya se ha celebrado efectivamente la vista en la dilatada fecha señalada en su día para el 17 de diciembre de 2015, según ha opuesto el Abogado del Estado y ha reconocido el actor.</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don Volodymyr Dyiakon, y, en su virtud, declarar que se ha vulnerado su derecho a un proceso sin dilaciones indebidas (art. 24.2 CE).</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seis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07" w:name="SENTENCIA_2016_104"/>
      <w:r>
        <w:lastRenderedPageBreak/>
        <w:t>SENTENCIA 104/2016, de 6 de junio de 2016</w:t>
      </w:r>
    </w:p>
    <w:bookmarkEnd w:id="107"/>
    <w:p w:rsidR="00163957" w:rsidRDefault="00163957" w:rsidP="00163957">
      <w:pPr>
        <w:pStyle w:val="TtuloResolucin"/>
      </w:pPr>
      <w:r>
        <w:t>Sala Segunda</w:t>
      </w:r>
    </w:p>
    <w:p w:rsidR="00163957" w:rsidRDefault="00163957" w:rsidP="00163957">
      <w:pPr>
        <w:pStyle w:val="TtuloBOE"/>
      </w:pPr>
      <w:r>
        <w:t>(BOE núm. 170, de 15 de julio de 2016)</w:t>
      </w:r>
    </w:p>
    <w:p w:rsidR="00163957" w:rsidRDefault="00163957" w:rsidP="00163957">
      <w:pPr>
        <w:pStyle w:val="TextoNormalCentrado"/>
      </w:pPr>
      <w:r>
        <w:t>ECLI:ES:TC:2016:104</w:t>
      </w:r>
    </w:p>
    <w:p w:rsidR="00163957" w:rsidRDefault="00163957" w:rsidP="00163957">
      <w:pPr>
        <w:pStyle w:val="TextoNormalCentrado"/>
      </w:pPr>
    </w:p>
    <w:p w:rsidR="00163957" w:rsidRDefault="00163957" w:rsidP="00163957">
      <w:pPr>
        <w:pStyle w:val="SntesisDescriptiva"/>
      </w:pPr>
      <w:r>
        <w:t>Cuestión de inconstitucionalidad 1592-2014. Planteada por la Sala de lo Social del Tribunal Superior de Justicia de Extremadura contra el artículo 2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extinción, por pérdida de objeto, de la cuestión de inconstitucionalidad (STC 83/2015).</w:t>
      </w:r>
    </w:p>
    <w:p w:rsidR="00163957" w:rsidRDefault="00163957" w:rsidP="00163957">
      <w:pPr>
        <w:pStyle w:val="SntesisAnaltica"/>
      </w:pPr>
    </w:p>
    <w:p w:rsidR="00163957" w:rsidRDefault="00163957" w:rsidP="00163957">
      <w:pPr>
        <w:pStyle w:val="Extracto"/>
      </w:pPr>
      <w:r>
        <w:t>1.</w:t>
      </w:r>
      <w:r>
        <w:tab/>
        <w:t>Asunto sustancialmente idéntico al resuelto por la STC 83/2015, relativa a la pérdida de objeto de la cuestión de inconstitucionalidad como consecuencia de la satisfacción extraprocesal de la pretensión [FFJJ 1,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1592-2014, promovida por la Sala de lo Social del Tribunal Superior de Justicia de Extremadura contra el art. 2 del Real Decreto-ley 20/2012, de 13 de julio, de medidas para garantizar la estabilidad presupuestaria y de fomento de la competitividad, por posible vulneración del art. 9.3 CE. Han formulado alegaciones el Fiscal General del Estado y el Abogado del Estado. Ha sido Ponente el Magistrado don Antonio Narváez Rodríguez,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17 de marzo de 2014 tuvo entrada en el Registro General de este Tribunal un oficio de la Sala de lo Social del Tribunal Superior de Justicia de Extremadura al que se acompaña, junto con el testimonio del procedimiento núm. 13-2013, el Auto de 6 de marzo de 2014, por el que se acuerda plantear cuestión de inconstitucionalidad en relación con el art. 2 del Real Decreto-ley 20/2012, de 13 de julio, de medidas para garantizar la estabilidad presupuestaria y de fomento de la competitividad, en su aplicación al personal laboral del sector </w:t>
      </w:r>
      <w:r>
        <w:lastRenderedPageBreak/>
        <w:t>público, por posible lesión del art. 9.3 CE, sobre el principio de irretroactividad de disposiciones restrictivas de derechos individuales.</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procesales de la cuestión de inconstitucionalidad planteada son, sucintamente expuestos, los siguientes:</w:t>
      </w:r>
    </w:p>
    <w:p w:rsidR="00163957" w:rsidRDefault="00163957" w:rsidP="00163957">
      <w:pPr>
        <w:pStyle w:val="TextoNormal"/>
      </w:pPr>
    </w:p>
    <w:p w:rsidR="00163957" w:rsidRDefault="00163957" w:rsidP="00163957">
      <w:pPr>
        <w:pStyle w:val="TextoNormal"/>
      </w:pPr>
      <w:r>
        <w:t>a) La federación de servicios a la ciudadanía de Comisiones Obreras de Extremadura, planteó ante el Tribunal Superior de Justicia de Extremadura conflicto colectivo contra el grupo empresarial Extremadura Avante y otros, por la supresión por dicho organismo a todo su personal laboral del abono de la paga extraordinaria de diciembre de 2012, con los complementos que lo integran. En la demanda se solicita que la Sala plantee cuestión de inconstitucionalidad en relación con el Real Decreto-ley 20/2012, en cuya aplicación al caso ha supuesto dejar de abonar a su personal laboral la paga extraordinaria de diciembre de 2012. A este respecto, se solicita que se reconozca a los trabajadores el derecho a recibirla en la parte proporcional devengada durante el período de 1 de enero al 14 de julio de 2012.</w:t>
      </w:r>
    </w:p>
    <w:p w:rsidR="00163957" w:rsidRDefault="00163957" w:rsidP="00163957">
      <w:pPr>
        <w:pStyle w:val="TextoNormal"/>
      </w:pPr>
    </w:p>
    <w:p w:rsidR="00163957" w:rsidRDefault="00163957" w:rsidP="00163957">
      <w:pPr>
        <w:pStyle w:val="TextoNormal"/>
      </w:pPr>
      <w:r>
        <w:t>b) Concluso el procedimiento y dentro del plazo para dictar Sentencia, el órgano judicial dictó providencia de 6 de febrero de 2014, por la que acordó oír a las partes y al Ministerio Fiscal para que alegasen sobre la pertinencia de plantear cuestión de inconstitucionalidad en relación con el art. 2 del Real Decreto-ley 20/2012, de 13 de julio, de medidas para garantizar la estabilidad presupuestaria y de fomento de la competitividad, por posible vulneración de lo dispuesto en el art. 9.3 CE, en la medida en que la norma suprime el derecho de los trabajadores a percibir cuantías ya devengadas como consecuencia de la supresión de la paga extraordinaria. El Ministerio Fiscal consideró pertinente el planteamiento de cuestión. Las demás partes procesales no hicieron alegaciones.</w:t>
      </w:r>
    </w:p>
    <w:p w:rsidR="00163957" w:rsidRDefault="00163957" w:rsidP="00163957">
      <w:pPr>
        <w:pStyle w:val="TextoNormal"/>
      </w:pPr>
    </w:p>
    <w:p w:rsidR="00163957" w:rsidRDefault="00163957" w:rsidP="00163957">
      <w:pPr>
        <w:pStyle w:val="TextoNormal"/>
      </w:pPr>
      <w:r w:rsidRPr="00163957">
        <w:rPr>
          <w:rStyle w:val="NumeroAFNegritaCaracter"/>
        </w:rPr>
        <w:t>3</w:t>
      </w:r>
      <w:r>
        <w:t>. Por Auto de 6 de marzo de 2014, la Sala de lo Social del Tribunal Superior de Justicia de Extremadura acordó plantear la presente cuestión de inconstitucionalidad y del análisis de su contenido interesa destacar los siguientes puntos:</w:t>
      </w:r>
    </w:p>
    <w:p w:rsidR="00163957" w:rsidRDefault="00163957" w:rsidP="00163957">
      <w:pPr>
        <w:pStyle w:val="TextoNormal"/>
      </w:pPr>
    </w:p>
    <w:p w:rsidR="00163957" w:rsidRDefault="00163957" w:rsidP="00163957">
      <w:pPr>
        <w:pStyle w:val="TextoNormal"/>
      </w:pPr>
      <w:r>
        <w:t>a) Tras exponer los antecedentes de hecho de la presente cuestión y el cumplimiento del trámite de audiencia previsto en el art. 35 de la Ley Orgánica del Tribunal Constitucional (LOTC), el órgano judicial transcribe la norma de cuya constitucionalidad duda, señalando que la disposición suprime la percepción de la paga extraordinaria del mes de diciembre del año 2012 para el personal laboral del sector público y lo hace a partir de su entrada vigor, es decir, el 15 de julio de 2012. Atendiendo a la consolidada jurisprudencia según la cual las pagas extraordinarias son salario diferido que se devenga día a día, se aprecia una contradicción con lo dispuesto en el art. 9.3 CE, que garantiza la irretroactividad de las disposiciones restrictivas de derechos individuales y la seguridad jurídica, puesto que se estaría suprimiendo el derecho ya generado a percibir la parte proporcional de la paga extraordinaria devengada antes de la entrada en vigor de la norma con rango de ley. Afirma que en el caso examinado, al ser la paga extra de diciembre de 2012 de devengo semestral a partir del 1 de julio, por disponerlo así el convenio colectivo de aplicación, a la fecha de entrada en vigor del Real Decreto-ley 20/2012 ya se había devengado y generado el derecho a la parte proporcional a catorce días de trabajo, que, sin embargo y sin matices, el art. 2 de la norma con rango de ley directamente suprime, operando una retroactividad auténtica o de grado máximo.</w:t>
      </w:r>
    </w:p>
    <w:p w:rsidR="00163957" w:rsidRDefault="00163957" w:rsidP="00163957">
      <w:pPr>
        <w:pStyle w:val="TextoNormal"/>
      </w:pPr>
    </w:p>
    <w:p w:rsidR="00163957" w:rsidRDefault="00163957" w:rsidP="00163957">
      <w:pPr>
        <w:pStyle w:val="TextoNormal"/>
      </w:pPr>
      <w:r>
        <w:lastRenderedPageBreak/>
        <w:t>b) A continuación, el Auto exterioriza los debidos juicios de aplicabilidad y relevancia indicando que los preceptos cuestionados son directamente aplicables al caso, pues una de las pretensiones formuladas en la demanda es, justamente, que se mantenga incólume la percepción de la parte ya devengada de la paga extraordinaria de diciembre de 2012 a pesar de lo dispuesto en el art. 2 del Real Decreto-ley 20/2012. Por esta razón estaríamos claramente ante un precepto cuya validez resulta determinante para el resultado del litigio y que no admite una interpretación que lo acomode al texto constitucional.</w:t>
      </w:r>
    </w:p>
    <w:p w:rsidR="00163957" w:rsidRDefault="00163957" w:rsidP="00163957">
      <w:pPr>
        <w:pStyle w:val="TextoNormal"/>
      </w:pPr>
    </w:p>
    <w:p w:rsidR="00163957" w:rsidRDefault="00163957" w:rsidP="00163957">
      <w:pPr>
        <w:pStyle w:val="TextoNormal"/>
      </w:pPr>
      <w:r>
        <w:t>c) Finalmente, se repasa la doctrina constitucional respecto a la prohibición de la retroactividad de las disposiciones restrictivas de derechos individuales contenida en el art. 9.3 CE, de acuerdo con la cual se considera verosímil que en este caso se haya producido una infracción de dicho artículo constitucional. Asimismo, se apunta la posibilidad de que estemos ante una expropiación legislativa de derechos que contradiga lo dispuesto en el art. 33.3 CE, aunque esta duda no se traslada a la parte dispositiva del Auto. Así acuerda elevar cuestión de inconstitucionalidad en los siguientes términos:</w:t>
      </w:r>
    </w:p>
    <w:p w:rsidR="00163957" w:rsidRDefault="00163957" w:rsidP="00163957">
      <w:pPr>
        <w:pStyle w:val="TextoNormal"/>
      </w:pPr>
    </w:p>
    <w:p w:rsidR="00163957" w:rsidRDefault="00163957" w:rsidP="00163957">
      <w:pPr>
        <w:pStyle w:val="TextoNormal"/>
      </w:pPr>
      <w:r>
        <w:t>“Si la redacción del art. 2 del Real Decreto-ley 20/2012, de 13 de julio, de medidas para garantizar la estabilidad presupuestaria y de fomento de la competitividad, en su aplicación al personal laboral del sector público, ha vulnerado o no el principio de irretroactividad de las disposiciones restrictivas de derechos individuales contemplado en el art. 9.3 de la Constitución, puesto que entendemos que dicho precepto es aplicable al caso y el fallo depende de su validez, no siendo posible acomodarlo al ordenamiento constitucional por otra vía interpretativa”.</w:t>
      </w:r>
    </w:p>
    <w:p w:rsidR="00163957" w:rsidRDefault="00163957" w:rsidP="00163957">
      <w:pPr>
        <w:pStyle w:val="TextoNormal"/>
      </w:pPr>
    </w:p>
    <w:p w:rsidR="00163957" w:rsidRDefault="00163957" w:rsidP="00163957">
      <w:pPr>
        <w:pStyle w:val="TextoNormal"/>
      </w:pPr>
      <w:r w:rsidRPr="00163957">
        <w:rPr>
          <w:rStyle w:val="NumeroAFNegritaCaracter"/>
        </w:rPr>
        <w:t>4</w:t>
      </w:r>
      <w:r>
        <w:t>. El Pleno de este Tribunal, a propuesta de la Sección Cuarta, acordó admitir a trámite la cuestión mediante providencia de 6 de mayo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15 días, pudieran personarse en el procedimiento y formular las alegaciones que estimasen convenientes; comunicar la resolución a la Sala de lo Social del Tribunal Superior de Justicia de Extremadura, a fin de que, de conformidad con lo dispuesto en el art. 35 LOTC, permaneciese suspendido el proceso hasta que este Tribunal resolviese efectivamente la cuestión; y publicar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el 19 de mayo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t>Mediante escrito registrado el 28 de mayo de 2014, el Presidente del Senado comunicó a este Tribunal el acuerdo de la Mesa para que se diera por personada a la Cámara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Fiscal General del Estado presentó escrito de alegaciones ante este Tribunal el 23 de mayo de 2014 interesando la estimación de la presente cuestión de inconstitucionalidad.</w:t>
      </w:r>
    </w:p>
    <w:p w:rsidR="00163957" w:rsidRDefault="00163957" w:rsidP="00163957">
      <w:pPr>
        <w:pStyle w:val="TextoNormal"/>
      </w:pPr>
    </w:p>
    <w:p w:rsidR="00163957" w:rsidRDefault="00163957" w:rsidP="00163957">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163957" w:rsidRDefault="00163957" w:rsidP="00163957">
      <w:pPr>
        <w:pStyle w:val="TextoNormal"/>
      </w:pPr>
    </w:p>
    <w:p w:rsidR="00163957" w:rsidRDefault="00163957" w:rsidP="00163957">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Derechos Humanos de 14 de mayo de 2013 (caso </w:t>
      </w:r>
      <w:r w:rsidRPr="00163957">
        <w:rPr>
          <w:i/>
        </w:rPr>
        <w:t>N.K.M. c. Hungría</w:t>
      </w:r>
      <w:r>
        <w:t>), que declaró la vulneración del 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w:t>
      </w:r>
      <w:r>
        <w:lastRenderedPageBreak/>
        <w:t>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El Fiscal General del Estado concluye sus alegaciones precisando que en el Auto de planteamiento no se cuestiona todo el art. 2 del Real Decreto-ley 20/2012 sino sólo su apartado 2.2, ya que es el que resulta aplicable para resolver el pleito sometido a su conocimiento (referido en exclusiva a personal laboral y no a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y el 15 de julio de 2012.</w:t>
      </w:r>
    </w:p>
    <w:p w:rsidR="00163957" w:rsidRDefault="00163957" w:rsidP="00163957">
      <w:pPr>
        <w:pStyle w:val="TextoNormal"/>
      </w:pPr>
    </w:p>
    <w:p w:rsidR="00163957" w:rsidRDefault="00163957" w:rsidP="00163957">
      <w:pPr>
        <w:pStyle w:val="TextoNormal"/>
      </w:pPr>
      <w:r w:rsidRPr="00163957">
        <w:rPr>
          <w:rStyle w:val="NumeroAFNegritaCaracter"/>
        </w:rPr>
        <w:t>7</w:t>
      </w:r>
      <w:r>
        <w:t>. El Abogado del Estado, mediante escrito de alegaciones registrado el 30 de mayo de 2014, se personó interesando la desestimación de la cuestión de inconstitucionalidad por las razones que, resumidamente, se exponen a continuación.</w:t>
      </w:r>
    </w:p>
    <w:p w:rsidR="00163957" w:rsidRDefault="00163957" w:rsidP="00163957">
      <w:pPr>
        <w:pStyle w:val="TextoNormal"/>
      </w:pPr>
    </w:p>
    <w:p w:rsidR="00163957" w:rsidRDefault="00163957" w:rsidP="00163957">
      <w:pPr>
        <w:pStyle w:val="TextoNormal"/>
      </w:pPr>
      <w:r>
        <w:t>Comienza señalando que aunque el Auto de planteamiento cuestiona la totalidad del extenso art. 2 del Real Decreto-ley 20/2012, sin embargo se refiere en realidad solo al apartado 2.2 del art. 2, es decir, a la aplicación de la supresión de la paga extraordinaria de diciembre al personal laboral del sector público.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al 15 de julio de 2012).</w:t>
      </w:r>
    </w:p>
    <w:p w:rsidR="00163957" w:rsidRDefault="00163957" w:rsidP="00163957">
      <w:pPr>
        <w:pStyle w:val="TextoNormal"/>
      </w:pPr>
    </w:p>
    <w:p w:rsidR="00163957" w:rsidRDefault="00163957" w:rsidP="00163957">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163957" w:rsidRDefault="00163957" w:rsidP="00163957">
      <w:pPr>
        <w:pStyle w:val="TextoNormal"/>
      </w:pPr>
    </w:p>
    <w:p w:rsidR="00163957" w:rsidRDefault="00163957" w:rsidP="00163957">
      <w:pPr>
        <w:pStyle w:val="TextoNormal"/>
      </w:pPr>
      <w:r>
        <w:t xml:space="preserve">Subsidiariamente, para el caso de que este Tribunal apreciase que sí nos encontramos ante una “disposición restrictiva de derechos individuales”, el Abogado del Estado niega </w:t>
      </w:r>
      <w:r>
        <w:lastRenderedPageBreak/>
        <w:t>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00163957" w:rsidRDefault="00163957" w:rsidP="00163957">
      <w:pPr>
        <w:pStyle w:val="TextoNormal"/>
      </w:pPr>
    </w:p>
    <w:p w:rsidR="00163957" w:rsidRDefault="00163957" w:rsidP="00163957">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163957" w:rsidRDefault="00163957" w:rsidP="00163957">
      <w:pPr>
        <w:pStyle w:val="TextoNormal"/>
      </w:pPr>
    </w:p>
    <w:p w:rsidR="00163957" w:rsidRDefault="00163957" w:rsidP="00163957">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163957" w:rsidRDefault="00163957" w:rsidP="00163957">
      <w:pPr>
        <w:pStyle w:val="TextoNormal"/>
      </w:pPr>
    </w:p>
    <w:p w:rsidR="00163957" w:rsidRDefault="00163957" w:rsidP="00163957">
      <w:pPr>
        <w:pStyle w:val="TextoNormal"/>
      </w:pPr>
      <w:r>
        <w:lastRenderedPageBreak/>
        <w:t>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163957" w:rsidRDefault="00163957" w:rsidP="00163957">
      <w:pPr>
        <w:pStyle w:val="TextoNormal"/>
      </w:pPr>
    </w:p>
    <w:p w:rsidR="00163957" w:rsidRDefault="00163957" w:rsidP="00163957">
      <w:pPr>
        <w:pStyle w:val="TextoNormal"/>
      </w:pPr>
      <w:r>
        <w:t>Por todo ello, se interesa la desestimación de la cuestión.</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28 de mayo de 2015 la Sala Segunda acordó, de conformidad con lo dispuesto en el art. 88.1 LOTC, dirigir atenta comunicación al Gobierno de Extremadura, a fin de que indique si, en atención a lo previsto en la disposición adicional duodécima de la Ley 36/2014, de presupuestos generales del Estado para el año 2015, o por cualquier otra circunstancia, ha satisfecho al personal laboral de las empresas que componen el grupo empresarial Extremadura Avante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163957" w:rsidRDefault="00163957" w:rsidP="00163957">
      <w:pPr>
        <w:pStyle w:val="TextoNormal"/>
      </w:pPr>
    </w:p>
    <w:p w:rsidR="00163957" w:rsidRDefault="00163957" w:rsidP="00163957">
      <w:pPr>
        <w:pStyle w:val="TextoNormal"/>
      </w:pPr>
      <w:r w:rsidRPr="00163957">
        <w:rPr>
          <w:rStyle w:val="NumeroAFNegritaCaracter"/>
        </w:rPr>
        <w:t>9</w:t>
      </w:r>
      <w:r>
        <w:t>. Por escrito de 29 de junio de 2015 del Consejero Delegado del grupo empresarial Extremadura Avante se puso en conocimiento de este Tribunal que no se ha satisfecho al personal laboral de las empresas que componen el citado grupo cantidad alguna en concepto de recuperación de la parte proporcional de la paga extraordinaria, de la paga adicional de complemento específico o de las pagas adicionales equivalentes, todas ellas correspondientes al mes de diciembre de 2012.</w:t>
      </w:r>
    </w:p>
    <w:p w:rsidR="00163957" w:rsidRDefault="00163957" w:rsidP="00163957">
      <w:pPr>
        <w:pStyle w:val="TextoNormal"/>
      </w:pPr>
    </w:p>
    <w:p w:rsidR="00163957" w:rsidRDefault="00163957" w:rsidP="00163957">
      <w:pPr>
        <w:pStyle w:val="TextoNormal"/>
      </w:pPr>
      <w:r w:rsidRPr="00163957">
        <w:rPr>
          <w:rStyle w:val="NumeroAFNegritaCaracter"/>
        </w:rPr>
        <w:t>10</w:t>
      </w:r>
      <w:r>
        <w:t>. Como complemento de la citada comunicación, el 30 de marzo de 2016 la Secretaria de Justicia de Pleno del Tribunal Constitucional dirigió nuevamente comunicación al Consejero de Economía, Competitividad e Innovación de Extremadura para que indicara a este Tribunal si con posterioridad a la fecha de remisión del anterior escrito y en atención a lo previsto en el Real Decreto-ley 10/2015 o por cualquier otra circunstancia ha sido abonada alguna cantidad y el número de días de la referida paga a la que corresponda la cuantía abonada.</w:t>
      </w:r>
    </w:p>
    <w:p w:rsidR="00163957" w:rsidRDefault="00163957" w:rsidP="00163957">
      <w:pPr>
        <w:pStyle w:val="TextoNormal"/>
      </w:pPr>
    </w:p>
    <w:p w:rsidR="00163957" w:rsidRDefault="00163957" w:rsidP="00163957">
      <w:pPr>
        <w:pStyle w:val="TextoNormal"/>
      </w:pPr>
      <w:r w:rsidRPr="00163957">
        <w:rPr>
          <w:rStyle w:val="NumeroAFNegritaCaracter"/>
        </w:rPr>
        <w:t>11</w:t>
      </w:r>
      <w:r>
        <w:t xml:space="preserve">. En contestación a este escrito, el consejero delegado del grupo empresarial Extremadura Avante comunicó a este Tribunal, por escrito de 20 de abril de 2016, que el citado grupo empresarial, con fecha 4 de enero de 2016, abonó a su personal, por una sola vez, una retribución de carácter extraordinario cuyo importe fue el equivalente a los importes dejados </w:t>
      </w:r>
      <w:r>
        <w:lastRenderedPageBreak/>
        <w:t>de percibir como consecuencia de la supresión de la paga extraordinaria correspondiente al mes de diciembre de 2012.</w:t>
      </w:r>
    </w:p>
    <w:p w:rsidR="00163957" w:rsidRDefault="00163957" w:rsidP="00163957">
      <w:pPr>
        <w:pStyle w:val="TextoNormal"/>
      </w:pPr>
    </w:p>
    <w:p w:rsidR="00163957" w:rsidRDefault="00163957" w:rsidP="00163957">
      <w:pPr>
        <w:pStyle w:val="TextoNormal"/>
      </w:pPr>
      <w:r w:rsidRPr="00163957">
        <w:rPr>
          <w:rStyle w:val="NumeroAFNegritaCaracter"/>
        </w:rPr>
        <w:t>12</w:t>
      </w:r>
      <w:r>
        <w:t>. Por providencia de 2 de junio de 2016, se señaló para deliberación y votación de la presente Sentencia el día 6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Sala de lo Social del Tribunal Superior de Justicia de Extremadura plantea cuestión de inconstitucionalidad respecto del art. 2 del Real Decreto-ley 20/2012, de 13 de julio, de medidas para garantizar la estabilidad presupuestaria y de fomento de la competitividad, precepto que, en lo que aquí importa, dispone para el personal del sector público definido en el art. 22.1 de la Ley 2/2012, de 29 de junio, de presupuestos generales del Estado para 2012, la supresión de la paga extraordinaria (o equivalente) del mes de diciembre de 2012.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respecto de las cuantías ya devengadas al momento de la entrada en vigor del Real Decreto-ley 20/2012.</w:t>
      </w:r>
    </w:p>
    <w:p w:rsidR="00163957" w:rsidRDefault="00163957" w:rsidP="00163957">
      <w:pPr>
        <w:pStyle w:val="TextoNormal"/>
      </w:pPr>
    </w:p>
    <w:p w:rsidR="00163957" w:rsidRDefault="00163957" w:rsidP="00163957">
      <w:pPr>
        <w:pStyle w:val="TextoNormal"/>
      </w:pPr>
      <w:r>
        <w:t>El Fiscal General del Estado coincide con el juicio de inconstitucionalidad formulado por el Auto de planteamiento de la cuestión, por lo que interesa la estimación de la misma, mientras que el Abogado del Estado solicita su desestimación.</w:t>
      </w:r>
    </w:p>
    <w:p w:rsidR="00163957" w:rsidRDefault="00163957" w:rsidP="00163957">
      <w:pPr>
        <w:pStyle w:val="TextoNormal"/>
      </w:pPr>
    </w:p>
    <w:p w:rsidR="00163957" w:rsidRDefault="00163957" w:rsidP="00163957">
      <w:pPr>
        <w:pStyle w:val="TextoNormal"/>
      </w:pPr>
      <w:r w:rsidRPr="00163957">
        <w:rPr>
          <w:rStyle w:val="NumeroAFNegritaCaracter"/>
        </w:rPr>
        <w:t>2</w:t>
      </w:r>
      <w:r>
        <w:t>. Como consta en los antecedentes de esta resolución, el grupo empresarial Extremadura Avante ha abonado a su personal, el 4 de enero de 2016, la totalidad de la paga extraordinaria de diciembre de 2012, de conformidad con lo previsto en la disposición adicional duodécima de la Ley 36/2014, de presupuestos generales del Estado para el año 2015, el art. 1.1 del Real Decreto-ley 10/2015, de 11 de septiembre, por el que se conceden créditos extraordinarios y suplementos de crédito en el presupuesto del Estado y se adoptan otras medidas en materia de empleo público y de estímulo a la economía, y la disposición adicional duodécima de la Ley 48/2015, de 29 de octubre, de presupuestos generales del Estado para el año 2016.</w:t>
      </w:r>
    </w:p>
    <w:p w:rsidR="00163957" w:rsidRDefault="00163957" w:rsidP="00163957">
      <w:pPr>
        <w:pStyle w:val="TextoNormal"/>
      </w:pPr>
    </w:p>
    <w:p w:rsidR="00163957" w:rsidRDefault="00163957" w:rsidP="00163957">
      <w:pPr>
        <w:pStyle w:val="TextoNormal"/>
      </w:pPr>
      <w:r>
        <w:t>La recuperación del importe de la paga extra de diciembre de 2012 por el personal del grupo empresarial Extremadura Avante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Declarar la extinción de la presente cuestión de inconstitucionalidad núm. 1592-2014 por desaparición sobrevenida de su objeto.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seis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08" w:name="SENTENCIA_2016_105"/>
      <w:r>
        <w:lastRenderedPageBreak/>
        <w:t>SENTENCIA 105/2016, de 6 de junio de 2016</w:t>
      </w:r>
    </w:p>
    <w:bookmarkEnd w:id="108"/>
    <w:p w:rsidR="00163957" w:rsidRDefault="00163957" w:rsidP="00163957">
      <w:pPr>
        <w:pStyle w:val="TtuloResolucin"/>
      </w:pPr>
      <w:r>
        <w:t>Sala Segunda</w:t>
      </w:r>
    </w:p>
    <w:p w:rsidR="00163957" w:rsidRDefault="00163957" w:rsidP="00163957">
      <w:pPr>
        <w:pStyle w:val="TtuloBOE"/>
      </w:pPr>
      <w:r>
        <w:t>(BOE núm. 170, de 15 de julio de 2016)</w:t>
      </w:r>
    </w:p>
    <w:p w:rsidR="00163957" w:rsidRDefault="00163957" w:rsidP="00163957">
      <w:pPr>
        <w:pStyle w:val="TextoNormalCentrado"/>
      </w:pPr>
      <w:r>
        <w:t>ECLI:ES:TC:2016:105</w:t>
      </w:r>
    </w:p>
    <w:p w:rsidR="00163957" w:rsidRDefault="00163957" w:rsidP="00163957">
      <w:pPr>
        <w:pStyle w:val="TextoNormalCentrado"/>
      </w:pPr>
    </w:p>
    <w:p w:rsidR="00163957" w:rsidRDefault="00163957" w:rsidP="00163957">
      <w:pPr>
        <w:pStyle w:val="SntesisDescriptiva"/>
      </w:pPr>
      <w:r>
        <w:t>Recurso de amparo 2569-2014. Promovido por don Félix Ojer Pueyo y doña María Carmen Romero Martínez en relación con la Sentencia de la Audiencia Provincial de Lleida que les condenó, en apelación, por un delito de alzamiento de bienes.</w:t>
      </w:r>
    </w:p>
    <w:p w:rsidR="00163957" w:rsidRDefault="00163957" w:rsidP="00163957">
      <w:pPr>
        <w:pStyle w:val="SntesisDescriptiva"/>
      </w:pPr>
    </w:p>
    <w:p w:rsidR="00163957" w:rsidRDefault="00163957" w:rsidP="00163957">
      <w:pPr>
        <w:pStyle w:val="SntesisAnaltica"/>
      </w:pPr>
      <w:r>
        <w:t>Supuesta vulneración de los derechos al juez ordinario predeterminado por la ley, a un proceso con todas las garantías y a la presunción de inocencia: incumplimiento del deber de notificación de la composición de la Sala carente de incidencia material, condena pronunciada tras dar oportunidad a los acusados de ser oídos (STC 167/2002) y fundada en la existencia de prueba de cargo suficiente.</w:t>
      </w:r>
    </w:p>
    <w:p w:rsidR="00163957" w:rsidRDefault="00163957" w:rsidP="00163957">
      <w:pPr>
        <w:pStyle w:val="SntesisAnaltica"/>
      </w:pPr>
    </w:p>
    <w:p w:rsidR="00163957" w:rsidRDefault="00163957" w:rsidP="00163957">
      <w:pPr>
        <w:pStyle w:val="Extracto"/>
      </w:pPr>
      <w:r>
        <w:t>1.</w:t>
      </w:r>
      <w:r>
        <w:tab/>
        <w:t>La mera omisión de notificar a la recurrente los cambios en la composición de los Tribunales, y el consecuente desconocimiento acerca de la composición exacta del órgano judicial, no justifican por sí solos el amparo constitucional (SSTC 64/1997; 4/2001) [FJ 4].</w:t>
      </w:r>
    </w:p>
    <w:p w:rsidR="00163957" w:rsidRDefault="00163957" w:rsidP="00163957">
      <w:pPr>
        <w:pStyle w:val="Extracto"/>
      </w:pPr>
    </w:p>
    <w:p w:rsidR="00163957" w:rsidRDefault="00163957" w:rsidP="00163957">
      <w:pPr>
        <w:pStyle w:val="Extracto"/>
      </w:pPr>
      <w:r>
        <w:t>2.</w:t>
      </w:r>
      <w:r>
        <w:tab/>
        <w:t>Para apreciar la lesión del derecho al juez ordinario predeterminado por la ley es preciso que la irregularidad procesal tenga una incidencia material concreta que pueda alegarse como causa de recusación (SSTC 64/1997; 4/2001) [FJ 4].</w:t>
      </w:r>
    </w:p>
    <w:p w:rsidR="00163957" w:rsidRDefault="00163957" w:rsidP="00163957">
      <w:pPr>
        <w:pStyle w:val="Extracto"/>
      </w:pPr>
    </w:p>
    <w:p w:rsidR="00163957" w:rsidRDefault="00163957" w:rsidP="00163957">
      <w:pPr>
        <w:pStyle w:val="Extracto"/>
      </w:pPr>
      <w:r>
        <w:t>3.</w:t>
      </w:r>
      <w:r>
        <w:tab/>
        <w:t>No se vulnera el derecho a un proceso con todas las garantías cuando un órgano judicial, conociendo en vía de recurso, condena a quien había sido absuelto en la instancia si se celebra audiencia pública con las garantías de publicidad, inmediación y contradicción requeridas (SSTC 167/2002; 88/2013) [FJ 5].</w:t>
      </w:r>
    </w:p>
    <w:p w:rsidR="00163957" w:rsidRDefault="00163957" w:rsidP="00163957">
      <w:pPr>
        <w:pStyle w:val="Extracto"/>
      </w:pPr>
    </w:p>
    <w:p w:rsidR="00163957" w:rsidRDefault="00163957" w:rsidP="00163957">
      <w:pPr>
        <w:pStyle w:val="Extracto"/>
      </w:pPr>
      <w:r>
        <w:t>4.</w:t>
      </w:r>
      <w:r>
        <w:tab/>
        <w:t>En el caso objeto de debate existe prueba de cargo suficiente y se ofrece una explicitación de los elementos de convicción en que se asienta la valoración de la prueba y las inferencias que sostienen los hechos probados y, con ello, la afirmación de los elementos típicos del delito de alzamiento que no cabe calificar de irrazonable, por lo que debe rechazarse la denuncia de vulneración del derecho a la presunción de inocencia [FJ 9].</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el recurso de amparo núm. 2569-2014, promovido por don Félix Ojer Pueyo y doña María Carmen Romero Martínez, representados por la Procuradora de los Tribunales doña Rosa Sorribes Calle y asistidos por el Abogado don Tomás Gui Mori, contra la providencia de la Sección Primera de la Audiencia Provincial de Lérida de 19 de marzo de 2014, por la que se inadmite el incidente de nulidad de actuaciones promovido frente a la Sentencia de 7 de febrero de 2014, dictada en el rollo de apelación núm. 192-2013, que revocó la Sentencia absolutoria del Juzgado de lo Penal núm. 3 de Lérida de 26 de agosto de 2013, dictada en el procedimiento abreviado núm. 417-2012, condenando a los recurrentes como autores de un delito de alzamiento de bienes. Ha intervenido el Ministerio Fiscal. Ha sido Ponente el Magistrado don Fernando Valdés Dal-Ré,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23 de abril de 2014, la Procuradora de los Tribunales doña Rosa Sorribes Calle, en nombre y representación de don Félix Ojer Pueyo y doña María Carmen Romero Martínez y bajo la dirección del Letrado don Tomás Gui Mori, interpuso demanda de amparo contra las resoluciones que se mencionan en el encabezamiento de esta Sentencia. Por otrosí se solicitó la suspensión de la ejecución de los actos jurídicos lesivos recurridos.</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de los que trae causa la demanda de amparo son, en síntesis, los siguientes:</w:t>
      </w:r>
    </w:p>
    <w:p w:rsidR="00163957" w:rsidRDefault="00163957" w:rsidP="00163957">
      <w:pPr>
        <w:pStyle w:val="TextoNormal"/>
      </w:pPr>
    </w:p>
    <w:p w:rsidR="00163957" w:rsidRDefault="00163957" w:rsidP="00163957">
      <w:pPr>
        <w:pStyle w:val="TextoNormal"/>
      </w:pPr>
      <w:r>
        <w:t>a) Los recurrentes fueron absueltos del delito de alzamientos de bienes del que habían sido acusados por Sentencia del Juzgado de lo Penal núm. 3 de Lleida de 26 de agosto de 2013, dictada en el procedimiento abreviado núm. 417-2012.</w:t>
      </w:r>
    </w:p>
    <w:p w:rsidR="00163957" w:rsidRDefault="00163957" w:rsidP="00163957">
      <w:pPr>
        <w:pStyle w:val="TextoNormal"/>
      </w:pPr>
    </w:p>
    <w:p w:rsidR="00163957" w:rsidRDefault="00163957" w:rsidP="00163957">
      <w:pPr>
        <w:pStyle w:val="TextoNormal"/>
      </w:pPr>
      <w:r>
        <w:t xml:space="preserve">En el relato de hechos probados se hace constar que la Sra. Romero, demandante de amparo, actuó como administradora única de la sociedad limitada de la que era única socia hasta que en febrero de 2008 pasó a desempeñar este cargo su marido, el Sr. Ojer, también aquí recurrente. Durante su actividad, la empresa contrató los servicios de otra mercantil para la ejecución de una serie de obras, que fueron realizadas pero no pagadas, ascendiendo la deuda a la cantidad de 270.319,47 €, por lo que la sociedad acreedora interpuso demanda de juicio ordinario el 9 de marzo de 2009. Con fecha 20 de mayo de 2009, se otorgó por los recurrentes escritura pública de compraventa de la mercantil deudora a favor de una tercera persona, el Sr. Granado, por importe de 420.007,80 €, fecha en la que la sociedad disponía de saldo suficiente para atender al pago de la deuda. El 4 de junio de 2009, el Sr. Granado, pese a tener conocimiento de lo que se le reclamaba, efectuó dos transferencias, por importe total de 420.007,80 €, desde la cuenta de la sociedad a las cuentas del Sr. Ojer y la Sra. Romero en pago de la compraventa efectuada el 4 de junio 2009. A ello siguieron varias extracciones y cargos en la mencionada cuenta sin que haya quedado acreditado el destino dado a los cheques extraídos, imposibilitando con ello desde un primer momento, que la empresa acreedora pudiera cobrar las cantidades que le eran adeudadas, pues en la fecha en que se acordó practicar el embargo, 29 de julio de 2009, el saldo de la cuenta de la sociedad ascendía sólo a 191,83 €. Por el contrario, la narración fáctica concluye con la afirmación </w:t>
      </w:r>
      <w:r>
        <w:lastRenderedPageBreak/>
        <w:t>de que “[n]o se declara probado que los acusados [ahora demandantes de amparo] transfirieran la mercantil … con la intención de perjudicar a la acreedora … impidiéndole la satisfacción de su crédito”.</w:t>
      </w:r>
    </w:p>
    <w:p w:rsidR="00163957" w:rsidRDefault="00163957" w:rsidP="00163957">
      <w:pPr>
        <w:pStyle w:val="TextoNormal"/>
      </w:pPr>
    </w:p>
    <w:p w:rsidR="00163957" w:rsidRDefault="00163957" w:rsidP="00163957">
      <w:pPr>
        <w:pStyle w:val="TextoNormal"/>
      </w:pPr>
      <w:r>
        <w:t>En la fundamentación jurídica se indica que se ha tomado en consideración la abundante prueba documental y las declaraciones de los acusados y de los testigos, lo que ha conducido a la Juzgadora a entender que no concurren los presupuestos del delito de alzamiento de bienes respecto del matrimonio acusado; y “ello fundamentalmente porque no puede deducirse, a raíz de la prueba practicada, que aquellos actos de disposición que realizaron los acusados tuvieran como finalidad eludir el pago a sus acreedores, ni siquiera poner trabas a los mismos”. A esa convicción llega la Juzgadora tras razonar que, conforme a la prueba documental, es indiscutible que en las cuentas de la sociedad había un saldo positivo de 539.052, 33 € cuando los acusados escrituran su venta el 20 de mayo de 2009 y que, aunque disminuyó por la extracción mediante cheques por parte del Sr. Ojer de 535.000 €, lo ingresó de nuevo el 4 de junio de 2009, resultando un saldo de 537.493 € a esa fecha, siendo ya propietario de la sociedad acreedora el tercer acusado, el Sr. Granado. Concluye la Juez que no puede decirse que los acusados descapitalizasen la sociedad, ya que no tenían conocimiento fehaciente de la demanda cuando se efectúan las extracciones y cuando se vende la sociedad y, además, el Sr. Ojer restituyó la cantidad total extraída el 4 de junio, existiendo un saldo suficiente para atender el pago de la deuda.</w:t>
      </w:r>
    </w:p>
    <w:p w:rsidR="00163957" w:rsidRDefault="00163957" w:rsidP="00163957">
      <w:pPr>
        <w:pStyle w:val="TextoNormal"/>
      </w:pPr>
    </w:p>
    <w:p w:rsidR="00163957" w:rsidRDefault="00163957" w:rsidP="00163957">
      <w:pPr>
        <w:pStyle w:val="TextoNormal"/>
      </w:pPr>
      <w:r>
        <w:t>b) Se interpuso recurso de apelación por la acusación particular, donde se pedía el visionado de la grabación del juicio oral, al que se adhirió el Ministerio Fiscal, que no interesó prueba, y por el coacusado y único condenado en primera instancia, quien aportó diversa documentación e interesó el señalamiento de vista, mientras que la defensa de los aquí recurrentes se limitó a oponerse al primero de los recursos.</w:t>
      </w:r>
    </w:p>
    <w:p w:rsidR="00163957" w:rsidRDefault="00163957" w:rsidP="00163957">
      <w:pPr>
        <w:pStyle w:val="TextoNormal"/>
      </w:pPr>
    </w:p>
    <w:p w:rsidR="00163957" w:rsidRDefault="00163957" w:rsidP="00163957">
      <w:pPr>
        <w:pStyle w:val="TextoNormal"/>
      </w:pPr>
      <w:r>
        <w:t>La Sala, en providencia de 3 de diciembre de 2013 acordó señalar el día 12 de diciembre de 2013, a las 11:00 horas, para deliberación y fallo, sin pronunciarse sobre las pruebas propuestas o sobre la celebración de vista. Sin que conste si se llegó a celebrar esta deliberación, por providencia de 30 de diciembre de 2013, la Sala, en cuya composición había cambiado un Magistrado, estima que “para la correcta formación de una convicción fundada, es necesaria la celebración de vista”, y señala el día 23 de enero de 2014 a las 11:00 horas para ello, acordando citar a las partes. El señalado día y hora se celebró la vista con una composición de la Sala donde volvió a variar un Magistrado, sin que ninguno de los cambios de composición de la Sala se comunicara previamente a las partes.</w:t>
      </w:r>
    </w:p>
    <w:p w:rsidR="00163957" w:rsidRDefault="00163957" w:rsidP="00163957">
      <w:pPr>
        <w:pStyle w:val="TextoNormal"/>
      </w:pPr>
    </w:p>
    <w:p w:rsidR="00163957" w:rsidRDefault="00163957" w:rsidP="00163957">
      <w:pPr>
        <w:pStyle w:val="TextoNormal"/>
      </w:pPr>
      <w:r>
        <w:t xml:space="preserve">A la vista comparecieron los hoy recurrentes en amparo, que fueron citados, no compareció el apelante condenado Sr. Granado, que fue citado telefónicamente y respecto al cual, encontrándose presente, el Tribunal entendió que no procedía su comparecencia, salvo que lo hiciera entre el público, posibilidad que declinó. Al comienzo de la vista el Presidente de la Sala informó del motivo de su celebración así como de su dinámica, habida cuenta de la ausencia de una regulación legal sobre el trámite específico de intervención de las partes. En concreto, señaló el Magistrado que intervendrían el Ministerio Fiscal y los Letrados para referir los aspectos de especial interés que quisieran destacar y luego se daría la palabra a los apelados, como así ocurrió. El Letrado de la acusación particular argumentó tanto la existencia de un error de hecho en la valoración de la prueba al reseñar la Sentencia recurrida que en el momento de la venta había saldo para hacer frente a la deuda, por cuanto los </w:t>
      </w:r>
      <w:r>
        <w:lastRenderedPageBreak/>
        <w:t>extractos bancarios muestran que se extrajeron mediante cheque 535.000 € y así reconoció haberlo hecho el Sr. Ojer en su declaración en el plenario con carácter previo a la venta, como la concurrencia del conocimiento de la reclamación de la deuda, acreditado —a su entender—, entre otros elementos, por el Decreto del Ayuntamiento de suspensión de la obra. Por su parte, el Letrado defensor de los acusados, que intervino en último lugar, confirmó que el Sr. Ojer había realizado las extracciones por valor de 535.000 € antes de la venta y asumió la falta de concordancia de tal dato con lo manifestado en la Sentencia de instancia sobre el saldo al momento de la venta, pero alegó que ello no sirve para sostener la condena, ya que está probado su reembolso posterior, y rebatió asimismo el conocimiento de la reclamación judicial, que no puede acreditar el decreto de suspensión de la obra. Tras los informes, el Presidente dio la palabra sucesivamente a los acusados absueltos en la instancia, ahora demandantes de amparo. En primer lugar se ofreció al Sr. Ojer la posibilidad de añadir algo más a lo dicho por su Abogado, lo que este aprovechó para aclarar su condición de administrador y no de apoderado (como había dicho el Ministerio Fiscal en su intervención). Después, el Magistrado Presidente inquirió si tenía alguna otra cuestión que añadir y aclaró que los apelantes solicitan que se revoque la Sentencia absolutoria por entender que hubo actuaciones encaminadas a despatrimonializar o a evitar o dificultar la posibilidad de una reclamación de una deuda. A ello respondió el Sr. Ojer que nunca tuvo intención de perjudicar a la querellante, que siempre pagó las facturas a su vencimiento y que las que no se pagaron fue porque no llegó el vencimiento y que las obras no se terminaron, reiterando que nunca fue su intención perjudicar, sin añadir nada más cuando fue preguntado por tercera vez por el Presidente de la Sala. A continuación dio la palabra a la acusada, Sra. Romero, preguntándole lo mismo: si quería añadir algo a lo dicho por su Abogado, y ella manifestó su negativa a contestar, lo que reiteró tras ser preguntada de nuevo por el Magistrado, que acto seguido declaró vista la apelación.</w:t>
      </w:r>
    </w:p>
    <w:p w:rsidR="00163957" w:rsidRDefault="00163957" w:rsidP="00163957">
      <w:pPr>
        <w:pStyle w:val="TextoNormal"/>
      </w:pPr>
    </w:p>
    <w:p w:rsidR="00163957" w:rsidRDefault="00163957" w:rsidP="00163957">
      <w:pPr>
        <w:pStyle w:val="TextoNormal"/>
      </w:pPr>
      <w:r>
        <w:t xml:space="preserve">c) La Sala dictó Sentencia el 7 de febrero de 2014, en la que revocó la Sentencia dictada por el Juzgado </w:t>
      </w:r>
      <w:r w:rsidRPr="00163957">
        <w:rPr>
          <w:i/>
        </w:rPr>
        <w:t>a quo</w:t>
      </w:r>
      <w:r>
        <w:t xml:space="preserve"> en el sentido de condenar a los dos demandantes de amparo y al otro coacusado, como autores de un delito de alzamiento de bienes, a la pena de dos años de prisión, inhabilitación especial para el ejercicio del derecho de sufragio pasivo durante el tiempo de la condena y multa de 15 meses con cuota diaria de seis euros, con responsabilidad personal subsidiaria en caso de impago. Y ello por considerar que las pruebas practicadas acreditan suficientemente la culpabilidad de los tres imputados.</w:t>
      </w:r>
    </w:p>
    <w:p w:rsidR="00163957" w:rsidRDefault="00163957" w:rsidP="00163957">
      <w:pPr>
        <w:pStyle w:val="TextoNormal"/>
      </w:pPr>
    </w:p>
    <w:p w:rsidR="00163957" w:rsidRDefault="00163957" w:rsidP="00163957">
      <w:pPr>
        <w:pStyle w:val="TextoNormal"/>
      </w:pPr>
      <w:r>
        <w:t xml:space="preserve">La Sentencia modificó el relato de hechos probados para hacer constar que en la fecha en que el Juzgado acordó practicar el embargo únicamente existía un saldo en la cuenta de la sociedad de 191,83 €, por cuanto los acusados [ahora demandantes], previendo la iniciación de un procedimiento judicial de apremio contra la sociedad y en colaboración con el otro acusado, Sr. Granado, llevaron a cabo una serie de operaciones con la clara intención de despatrimonializar a la referida mercantil, eliminando así las legítimas expectativas de los acreedores de ver satisfechos sus créditos. Así, el 20 de mayo de 2009 el Sr. Ojer y la Sra. Romero procedieron a la venta de la totalidad de sus participaciones sociales en la mercantil a favor del Sr. Granado, percibiendo como precio por tal venta dos cheques nominativos por importe total de 420.007,80 €, que nunca fueron presentados al cobro. En la misma fecha, pero con carácter previo a la venta, el todavía administrador Sr. Ojer procedió a extraer de la cuenta de la sociedad la cantidad de 535.000 euros, dejando así en el momento de su venta reducido el saldo de la sociedad a la suma de 4.052,33 €. El 4 de junio de 2009, procedió a reintegrar a la cuenta de la sociedad la suma retirada de 535.000 €, y ese mismo </w:t>
      </w:r>
      <w:r>
        <w:lastRenderedPageBreak/>
        <w:t>día el tercer acusado realizó dos transferencias desde la cuenta que la sociedad vendida a las cuentas del S. Ojer y la Sra. Romero por importe total de 420.007,80 €, quedando un saldo de 117.395,88 €, sin que a partir de tal fecha se dejaran de efectuar extracciones y cargos en la mencionada cuenta, hasta que el saldo se redujo a 191,83 € en la fecha en que se acordó el embargo, imposibilitando así que la sociedad acreedora pudiera cobrar las cantidades que le eran adeudadas.</w:t>
      </w:r>
    </w:p>
    <w:p w:rsidR="00163957" w:rsidRDefault="00163957" w:rsidP="00163957">
      <w:pPr>
        <w:pStyle w:val="TextoNormal"/>
      </w:pPr>
    </w:p>
    <w:p w:rsidR="00163957" w:rsidRDefault="00163957" w:rsidP="00163957">
      <w:pPr>
        <w:pStyle w:val="TextoNormal"/>
      </w:pPr>
      <w:r>
        <w:t xml:space="preserve">La Sala, tras exponer en el fundamento segundo las líneas principales de la doctrina de este Tribunal Constitucional sobre las exigencias de los principios de oralidad e inmediación cuando se trata de la apelación penal frente a sentencias absolutorias, parte de la premisa de que “una vez revisado lo actuado, analizado el abundante acervo documental obrante en autos, y habiéndose celebrado vista pública en esta alzada, donde han sido oídos los acusados inicialmente absueltos en la instancia, nada en principio impide a la Sala formar una convicción distinta a la alcanzada por la Juez </w:t>
      </w:r>
      <w:r w:rsidRPr="00163957">
        <w:rPr>
          <w:i/>
        </w:rPr>
        <w:t>a quo</w:t>
      </w:r>
      <w:r>
        <w:t>” en relación con la intervención en el delito de alzamiento de bienes. En el fundamento jurídico 3 afirma que la valoración del cuadro probatorio conduce a entender como única conclusión racional que “los tres acusados, de común acuerdo, dispusieron de los fondos de la sociedad en su propio provecho, siendo los tres conocedores de la deuda pendiente con la querellante, y por tanto en objetivo perjuicio de la acreedora”.</w:t>
      </w:r>
    </w:p>
    <w:p w:rsidR="00163957" w:rsidRDefault="00163957" w:rsidP="00163957">
      <w:pPr>
        <w:pStyle w:val="TextoNormal"/>
      </w:pPr>
    </w:p>
    <w:p w:rsidR="00163957" w:rsidRDefault="00163957" w:rsidP="00163957">
      <w:pPr>
        <w:pStyle w:val="TextoNormal"/>
      </w:pPr>
      <w:r>
        <w:t>En particular, subraya la Sala que el Sr. Ojer procedió el mismo día en que se efectuó la venta de participaciones, pero con carácter previo a ésta según el mismo reconoció en su declaración en el plenario, a retirar de los fondos de la sociedad la cantidad de 535.000 €, que quedó en tal momento con un saldo de 4.052,33 €, impidiendo así cualquier eventual embargo que sobre la cuenta de la sociedad pudiera acordarse judicialmente en tal momento. Por el contrario —sigue diciendo—, el adquirente de la sociedad también acusado hizo entrega de dos pagarés nominativos a favor de los acusados como precio de tal venta, pero éstos nunca los presentaron al cobro. Y si bien reconoce que es cierto que la referida cantidad fue reingresada en fecha 4 de junio, también lo es que ese mismo día el tercer acusado, entonces ya administrador de la mercantil deudora, procedió a efectuar dos transferencias por importe total de 420.007,80 € a favor de los otros dos acusados desde las propias cuentas de la sociedad como pago de sus participaciones. De ahí infiere el Tribunal que “[t]ales operaciones revelan algo más que una simple y real transmisión de participaciones sociales a un tercero, encubriendo una venta de sus participaciones societarias con cargo a la propia sociedad, y no con cargo al patrimonio del comprador, consiguiendo así repartir el saldo activo de la sociedad entre los tres acusados … Así pues, pocas dudas pueden suscitarse de que la transmisión así operada … envuelve un acto netamente incurso en el art. 257.1 CP”. La Sentencia añade al respecto que “[l]os acusados … deciden ante la situación de la empresa … aparentar la transmisión de ella, contando para ello con la colaboración [del tercer acusado], que evidentemente, y a la vista del expolio que en un plazo de poco menos de 1 mes el mismo efectuó de las cuentas de la sociedad, no puede presumírsele ningún interés en continuar con la actividad de aquélla, sin que conste a qué se aplicaron las cantidades remanentes existentes tras la compra de participaciones, aunque desde luego sí puede afirmarse que no lo fueron a extinguir los créditos que la sociedad mantenía con la querellante”.</w:t>
      </w:r>
    </w:p>
    <w:p w:rsidR="00163957" w:rsidRDefault="00163957" w:rsidP="00163957">
      <w:pPr>
        <w:pStyle w:val="TextoNormal"/>
      </w:pPr>
    </w:p>
    <w:p w:rsidR="00163957" w:rsidRDefault="00163957" w:rsidP="00163957">
      <w:pPr>
        <w:pStyle w:val="TextoNormal"/>
      </w:pPr>
      <w:r>
        <w:t xml:space="preserve">Acto seguido la Audiencia rechaza expresamente la valoración de la Juez de instancia al sostener la falta de dolo de los coacusados en el hecho de que no tuvieran conocimiento en el momento de efectuar la venta de la sociedad de la existencia del procedimiento judicial </w:t>
      </w:r>
      <w:r>
        <w:lastRenderedPageBreak/>
        <w:t>por reclamación de la deuda. Contrapone que el art. 257 CP se refiere a un procedimiento iniciado o de previsible incoación, siendo jurisprudencia reiterada del Tribunal Supremo la que establece que, a estos fines, basta con que la deuda, aunque no exigible plenamente como tal, sí constituya una expectativa fundada. Desde tal premisa, aduce que “el carácter de acreedora de la sociedad querellante deriva de los negocios jurídicos habidos entre las partes, y la existencia de la deuda con ésta, muy anterior en el tiempo a la conducta por la que han sido acusados, no podía ser desconocida por ellos, máxime cuando el propio acusado reconoció en su declaración en el plenario que conocía la existencia de una deuda y consta en la documental aportada Decreto del Ayuntamiento adjudicante y propietario de parte de los terrenos objeto del contrato de ejecución estipulado entre las partes en que acuerda incoar expediente contra la constructora y promotora y decretar la suspensión de las obras”.</w:t>
      </w:r>
    </w:p>
    <w:p w:rsidR="00163957" w:rsidRDefault="00163957" w:rsidP="00163957">
      <w:pPr>
        <w:pStyle w:val="TextoNormal"/>
      </w:pPr>
    </w:p>
    <w:p w:rsidR="00163957" w:rsidRDefault="00163957" w:rsidP="00163957">
      <w:pPr>
        <w:pStyle w:val="TextoNormal"/>
      </w:pPr>
      <w:r>
        <w:t>d) Los demandantes interpusieron incidente de nulidad ante la Audiencia Provincial, alegando la vulneración de los derechos a un proceso con todas las garantías (art. 24.2 CE); a la tutela judicial efectiva (art. 24.1 CE); a la defensa contradictoria y a la prueba (art. 24. 2 CE); a la presunción de inocencia (art. 24.2 CE); a la tutela judicial efectiva (art. 24.1 CE); y al Juez predeterminado por la ley (art. 24.2 CE).</w:t>
      </w:r>
    </w:p>
    <w:p w:rsidR="00163957" w:rsidRDefault="00163957" w:rsidP="00163957">
      <w:pPr>
        <w:pStyle w:val="TextoNormal"/>
      </w:pPr>
    </w:p>
    <w:p w:rsidR="00163957" w:rsidRDefault="00163957" w:rsidP="00163957">
      <w:pPr>
        <w:pStyle w:val="TextoNormal"/>
      </w:pPr>
      <w:r>
        <w:t>La Sala dictó providencia en fecha 19 de marzo de 2014, donde se tiene por presentado el escrito y, visto su contenido, acuerda que “no ha lugar a la admisión a trámite del incidente de nulidad planteado, al no concurrir ninguna de las causas previstas en el art. 238 LOPJ, de conformidad con lo dispuesto en el art. 241 del mismo texto legal”. Esta decisión fue notificada a los promotores del incidente de nulidad el día 24 de marzo de 2014.</w:t>
      </w:r>
    </w:p>
    <w:p w:rsidR="00163957" w:rsidRDefault="00163957" w:rsidP="00163957">
      <w:pPr>
        <w:pStyle w:val="TextoNormal"/>
      </w:pPr>
    </w:p>
    <w:p w:rsidR="00163957" w:rsidRDefault="00163957" w:rsidP="00163957">
      <w:pPr>
        <w:pStyle w:val="TextoNormal"/>
      </w:pPr>
      <w:r w:rsidRPr="00163957">
        <w:rPr>
          <w:rStyle w:val="NumeroAFNegritaCaracter"/>
        </w:rPr>
        <w:t>3</w:t>
      </w:r>
      <w:r>
        <w:t>. Los recurrentes reiteran en su demanda las mismas vulneraciones y contenidos que alegaron en el incidente de nulidad, que articulan asimismo en seis motivos.</w:t>
      </w:r>
    </w:p>
    <w:p w:rsidR="00163957" w:rsidRDefault="00163957" w:rsidP="00163957">
      <w:pPr>
        <w:pStyle w:val="TextoNormal"/>
      </w:pPr>
    </w:p>
    <w:p w:rsidR="00163957" w:rsidRDefault="00163957" w:rsidP="00163957">
      <w:pPr>
        <w:pStyle w:val="TextoNormal"/>
      </w:pPr>
      <w:r>
        <w:t>a) Vulneración del derecho a un proceso justo (art. 24.2 CE), por haber sido condenados en apelación sin vista pública, con quiebra de los principios de publicidad, inmediación y contradicción. Consideran los demandantes que no se aplica la doctrina inaugurada con la STC 167/2002, reiterada en numerosas sentencias expuestas con amplitud, que exige la celebración de vista pública con debate y ejercicio pleno del derecho de defensa para salvaguardar los principios de publicidad, inmediación y contradicción, esencial cuando se trata de acreditar el elemento subjetivo del injusto; aquí, la intención de perjudicar al acreedor en el delito de alzamiento de bienes. En otro caso, y así entienden que ocurrió en el proceso subyacente, donde “[l]a vista no implicó debate, defensa contradictoria ni interrogatorio …[y se] confundió el derecho de última palabra con la intervención forzosa de acusadores, acusados y testigo, que no se produjo”, se lesiona el derecho a un proceso con todas las garantías y a la tutela judicial efectiva en tanto se ocasiona indefensión material a los condenados, máxime cuando la sentencia firme constituye un acto frente al que no cabe ulterior recurso en la vía judicial.</w:t>
      </w:r>
    </w:p>
    <w:p w:rsidR="00163957" w:rsidRDefault="00163957" w:rsidP="00163957">
      <w:pPr>
        <w:pStyle w:val="TextoNormal"/>
      </w:pPr>
    </w:p>
    <w:p w:rsidR="00163957" w:rsidRDefault="00163957" w:rsidP="00163957">
      <w:pPr>
        <w:pStyle w:val="TextoNormal"/>
      </w:pPr>
      <w:r>
        <w:t xml:space="preserve">b) Vulneración del derecho a la tutela judicial efectiva y sin indefensión (art. 24.1 CE), por falta absoluta de motivación y especialmente en relación con la condenada ahora recurrente. Esta queja se argumenta en los términos siguientes: la motivación es “irracional” con carácter general, porque no existe prueba de los hechos, sino “declaraciones presuntivas </w:t>
      </w:r>
      <w:r>
        <w:lastRenderedPageBreak/>
        <w:t>carentes de fundamento”; además es “inexistente” o “irracional” respecto a aspectos fundamentales, como la participación en el delito de la recurrente o la supuesta actuación concertada de los tres acusados; y es “errónea” en tanto no se acreditan las fechas de conocimiento del embargo. Por último la motivación se entiende “inexistente” en relación con el elemento subjetivo intencional del injusto: la intención de defraudar a los acreedores y la finalidad de perjudicarles en una actuación defraudatoria conjunta.</w:t>
      </w:r>
    </w:p>
    <w:p w:rsidR="00163957" w:rsidRDefault="00163957" w:rsidP="00163957">
      <w:pPr>
        <w:pStyle w:val="TextoNormal"/>
      </w:pPr>
    </w:p>
    <w:p w:rsidR="00163957" w:rsidRDefault="00163957" w:rsidP="00163957">
      <w:pPr>
        <w:pStyle w:val="TextoNormal"/>
      </w:pPr>
      <w:r>
        <w:t>Los demandantes insisten en que la Sentencia impugnada contiene valoraciones directas de pruebas personales que no se practicaron en la segunda instancia, en la que no existió verdadera vista, pues les atribuye la previsión de que se iniciaría un procedimiento de apremio, la colaboración con el tercer acusado o que su intención era despatrimonializar a la mercantil.</w:t>
      </w:r>
    </w:p>
    <w:p w:rsidR="00163957" w:rsidRDefault="00163957" w:rsidP="00163957">
      <w:pPr>
        <w:pStyle w:val="TextoNormal"/>
      </w:pPr>
    </w:p>
    <w:p w:rsidR="00163957" w:rsidRDefault="00163957" w:rsidP="00163957">
      <w:pPr>
        <w:pStyle w:val="TextoNormal"/>
      </w:pPr>
      <w:r>
        <w:t>c) Vulneración del derecho a la defensa contradictoria y a la prueba (art. 24.2 CE). Los recurrentes sostienen que la no celebración de una vista oral del recurso de apelación plena ha impedido a su defensa interrogar y contradecir y a ellos exponer directamente las razones de su ánimo y de su conducta, su voluntad de no defraudar y la falta de concierto culpable con el verdadero autor del alzamiento.</w:t>
      </w:r>
    </w:p>
    <w:p w:rsidR="00163957" w:rsidRDefault="00163957" w:rsidP="00163957">
      <w:pPr>
        <w:pStyle w:val="TextoNormal"/>
      </w:pPr>
    </w:p>
    <w:p w:rsidR="00163957" w:rsidRDefault="00163957" w:rsidP="00163957">
      <w:pPr>
        <w:pStyle w:val="TextoNormal"/>
      </w:pPr>
      <w:r>
        <w:t>d) Vulneración de la presunción de inocencia (art. 24.2 CE) al basarse la condena en meras presunciones sin prueba sobre la generación o agravación de la insolvencia de la sociedad vendida. La demanda cita diversas resoluciones expresivas de la doctrina constitucional que consideran violado este derecho fundamental cuando la prueba de cargo viene integrada por medios de convicción revalorados indebidamente por el Tribunal de apelación (pruebas personales), como vendría a ser este caso, ya que ningún documento acredita el ánimo de defraudar y el acuerdo de los tres acusados, que fue descartado en la instancia con base en las declaraciones de los participantes en los hechos. Con cita de la STC 5/2000, de 17 de enero, FFJJ 4 y 5, se alega que el Tribunal de apelación debe explicitar por qué estima probado lo que no se estimó en la Sentencia absolutoria de instancia.</w:t>
      </w:r>
    </w:p>
    <w:p w:rsidR="00163957" w:rsidRDefault="00163957" w:rsidP="00163957">
      <w:pPr>
        <w:pStyle w:val="TextoNormal"/>
      </w:pPr>
    </w:p>
    <w:p w:rsidR="00163957" w:rsidRDefault="00163957" w:rsidP="00163957">
      <w:pPr>
        <w:pStyle w:val="TextoNormal"/>
      </w:pPr>
      <w:r>
        <w:t>e) Vulneración del derecho a la tutela judicial efectiva (art. 24.1 CE) por manifiesta indefensión. Se ha ocasionado una “indefensión material patente y evidente”, pues la condena de los absueltos en la primera instancia es irreversible en la vía judicial, pues no cabe recurso alguno y no se admitió el incidente de nulidad de actuaciones.</w:t>
      </w:r>
    </w:p>
    <w:p w:rsidR="00163957" w:rsidRDefault="00163957" w:rsidP="00163957">
      <w:pPr>
        <w:pStyle w:val="TextoNormal"/>
      </w:pPr>
    </w:p>
    <w:p w:rsidR="00163957" w:rsidRDefault="00163957" w:rsidP="00163957">
      <w:pPr>
        <w:pStyle w:val="TextoNormal"/>
      </w:pPr>
      <w:r>
        <w:t>f) Vulneración del derecho al Juez ordinario predeterminado por la ley (art. 24.2 CE). Los recurrentes aducen que las variaciones sorpresivas en la composición de la Sala, no conocidas por ellos, han impedido que pudieran rechazarlas o debatirlas, por lo que, como señalan diversas referencias jurisprudenciales ampliamente desarrolladas, se alega este aspecto del derecho a un proceso público con todas las garantías. Dice la demanda que “son todos los Magistrados los que están ‘contaminados’ … no sólo por haber condenado penalmente a mis representados, sino sobre todo y además por haber realizado en la apelación las conductas irregulares, antijurídicas y vulneradoras de los derechos fundamentales que han quedado descritas y por haberse negado a repararlos a través del incidente que inadmitieron a trámite”.</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4</w:t>
      </w:r>
      <w:r>
        <w:t>. La Sala Segunda de este Tribunal, por providencia de 28 de mayo de 2015, acordó admitir a trámite la demanda de amparo tras apreciar que ofrece especial trascendencia constitucional [art. 50.1 de la Ley Orgánica del Tribunal Constitucional (LOTC)] porque puede dar ocasión al Tribunal para aclarar o cambiar su doctrina, como consecuencia de un proceso de reflexión interna [STC 155/2009, FJ 2 b)] o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163957" w:rsidRDefault="00163957" w:rsidP="00163957">
      <w:pPr>
        <w:pStyle w:val="TextoNormal"/>
      </w:pPr>
    </w:p>
    <w:p w:rsidR="00163957" w:rsidRDefault="00163957" w:rsidP="00163957">
      <w:pPr>
        <w:pStyle w:val="TextoNormal"/>
      </w:pPr>
      <w:r>
        <w:t>En aplicación de lo dispuesto en el art. 51 LOTC, también se acordó requerir atentamente de los órganos judiciales la remisión del testimonio de las actuaciones y el emplazamiento de quienes hubieran sido parte en el procedimiento, a excepción del recurrente, para que pudiesen comparecer en el plazo de diez días en el presente proceso de amparo.</w:t>
      </w:r>
    </w:p>
    <w:p w:rsidR="00163957" w:rsidRDefault="00163957" w:rsidP="00163957">
      <w:pPr>
        <w:pStyle w:val="TextoNormal"/>
      </w:pPr>
    </w:p>
    <w:p w:rsidR="00163957" w:rsidRDefault="00163957" w:rsidP="00163957">
      <w:pPr>
        <w:pStyle w:val="TextoNormal"/>
      </w:pPr>
      <w:r>
        <w:t>Por providencia de la misma fecha, 28 de mayo de 2015, se acordó la formación de la pieza separada de suspensión. Por Auto de 6 de julio de 2015 la Sala Segunda de este Tribunal acordó denegar la suspensión solicitada. Reiterada la petición de suspensión por los recurrentes en escrito registrado el 14 de diciembre de 2015, este Tribunal acordó en Auto de 18 de enero de 2016 denegar de nuevo la suspensión de la ejecución de la Sentencia impugnada en amparo.</w:t>
      </w:r>
    </w:p>
    <w:p w:rsidR="00163957" w:rsidRDefault="00163957" w:rsidP="00163957">
      <w:pPr>
        <w:pStyle w:val="TextoNormal"/>
      </w:pPr>
    </w:p>
    <w:p w:rsidR="00163957" w:rsidRDefault="00163957" w:rsidP="00163957">
      <w:pPr>
        <w:pStyle w:val="TextoNormal"/>
      </w:pPr>
      <w:r w:rsidRPr="00163957">
        <w:rPr>
          <w:rStyle w:val="NumeroAFNegritaCaracter"/>
        </w:rPr>
        <w:t>5</w:t>
      </w:r>
      <w:r>
        <w:t>. La Secretaría de Justicia de la Sala Segunda de este Tribunal, por diligencia de 2 de septiembre de 2015, acordó dar vista de las actuaciones a la parte recurrente y al Ministerio fiscal por plazo común de 20 días para presentar las alegaciones que estimasen pertinentes, de conformidad con el art. 52.1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recurrente, en escrito registrado el 5 de octubre de 2015, presentó alegaciones en las que manifiesta que las actuaciones recibidas confirman los hechos y argumentos jurídicos plasmados en la demanda.</w:t>
      </w:r>
    </w:p>
    <w:p w:rsidR="00163957" w:rsidRDefault="00163957" w:rsidP="00163957">
      <w:pPr>
        <w:pStyle w:val="TextoNormal"/>
      </w:pPr>
    </w:p>
    <w:p w:rsidR="00163957" w:rsidRDefault="00163957" w:rsidP="00163957">
      <w:pPr>
        <w:pStyle w:val="TextoNormal"/>
      </w:pPr>
      <w:r w:rsidRPr="00163957">
        <w:rPr>
          <w:rStyle w:val="NumeroAFNegritaCaracter"/>
        </w:rPr>
        <w:t>7</w:t>
      </w:r>
      <w:r>
        <w:t>. El Fiscal ante el Tribunal Constitucional, en escrito registrado el 19 de octubre de 2015, interesó que se otorgara el amparo por vulneración de los derechos a un proceso con todas las garantías y a la presunción de inocencia (art. 24.2 CE) en la Sentencia dictada por la Audiencia Provincial de Lleida en apelación y del derecho a la tutela judicial efectiva (art. 24.1 CE) por absoluta falta de motivación en la providencia del mismo órgano que resolvió el incidente de nulidad de actuaciones, con anulación de las resoluciones impugnadas.</w:t>
      </w:r>
    </w:p>
    <w:p w:rsidR="00163957" w:rsidRDefault="00163957" w:rsidP="00163957">
      <w:pPr>
        <w:pStyle w:val="TextoNormal"/>
      </w:pPr>
    </w:p>
    <w:p w:rsidR="00163957" w:rsidRDefault="00163957" w:rsidP="00163957">
      <w:pPr>
        <w:pStyle w:val="TextoNormal"/>
      </w:pPr>
      <w:r>
        <w:t>Aclara de inicio que la providencia que rechazó la admisión del incidente de nulidad de actuaciones, además de junto a la Sentencia de la Audiencia, se impugna de forma autónoma, pues, si bien en la demanda no se señalan los derechos fundamentales contra los que atenta directamente, vendrían descritos al argumentar el cumplimiento del requisito de agotamiento. En buena lógica organiza sus alegaciones en torno a esas dos resoluciones, comenzando su análisis por el examen de las distintas violaciones del art. 24 CE atribuidas por los demandantes a la Sentencia de la Audiencia Provincial de Lleida, no reparadas al no admitir el incidente de nulidad de actuaciones, en tanto su posible declaración de nulidad conduciría a una retroacción mayor en el tiempo.</w:t>
      </w:r>
    </w:p>
    <w:p w:rsidR="00163957" w:rsidRDefault="00163957" w:rsidP="00163957">
      <w:pPr>
        <w:pStyle w:val="TextoNormal"/>
      </w:pPr>
    </w:p>
    <w:p w:rsidR="00163957" w:rsidRDefault="00163957" w:rsidP="00163957">
      <w:pPr>
        <w:pStyle w:val="TextoNormal"/>
      </w:pPr>
      <w:r>
        <w:t>a) Por lo que atañe a la alegada lesión del derecho a un proceso con todas las garantías (art. 24.2 CE) originada por la Sentencia de apelación, el Ministerio Fiscal puntualiza que sí hubo vista, por más que pueda tildarse de “formal”, por lo que la lesión no se vincula a ese dato, sino a la vulneración de los principios de publicidad, inmediación y contradicción a pesar de haberse celebrado vista que también considera denunciada en el motivo. Una vez reseñada la doctrina constitucional sobre estos aspectos —de la mano de la STC 126/2012, de 18 de junio—, el Fiscal entiende que no resulta aplicable al caso, si bien concluye que “la segunda sentencia modifica los hechos de la sentencia primera sin dar en sus razonamientos explicación suficiente, pues ni se practicó prueba personal ante esta sede de apelación, ni se expone en los fundamentos la inferencia que pudiera haber llevado, desde la prueba documental a justificar esa modificación, sin llegar siquiera a decir porque (sic) cuestiona, la segunda instancia, la valoración que realizó la juez de lo penal”.</w:t>
      </w:r>
    </w:p>
    <w:p w:rsidR="00163957" w:rsidRDefault="00163957" w:rsidP="00163957">
      <w:pPr>
        <w:pStyle w:val="TextoNormal"/>
      </w:pPr>
    </w:p>
    <w:p w:rsidR="00163957" w:rsidRDefault="00163957" w:rsidP="00163957">
      <w:pPr>
        <w:pStyle w:val="TextoNormal"/>
      </w:pPr>
      <w:r>
        <w:t>Esta lesión entronca, sigue el Fiscal, con la vulneración denunciada en el motivo cuarto del derecho a la presunción de inocencia (art. 24.2 CE), que estima también concurrente al no explicitar el órgano judicial el cambio de valoración como se exige en la jurisprudencia constitucional desde antes incluso de la STC 167/2002, citando la STC 5/2000, de 17 de enero, FFJJ 4 y 5. Insiste en que no se ha plasmado en la resolución el sustrato probatorio que, directamente o por deducción, acredita el elemento fáctico novedoso del concierto entre los tres acusados y la intencionalidad de las operaciones mercantiles realizadas.</w:t>
      </w:r>
    </w:p>
    <w:p w:rsidR="00163957" w:rsidRDefault="00163957" w:rsidP="00163957">
      <w:pPr>
        <w:pStyle w:val="TextoNormal"/>
      </w:pPr>
    </w:p>
    <w:p w:rsidR="00163957" w:rsidRDefault="00163957" w:rsidP="00163957">
      <w:pPr>
        <w:pStyle w:val="TextoNormal"/>
      </w:pPr>
      <w:r>
        <w:t>El Fiscal aclara luego que los motivos segundo, tercero y quinto carecen de autonomía en relación con los anteriores.</w:t>
      </w:r>
    </w:p>
    <w:p w:rsidR="00163957" w:rsidRDefault="00163957" w:rsidP="00163957">
      <w:pPr>
        <w:pStyle w:val="TextoNormal"/>
      </w:pPr>
    </w:p>
    <w:p w:rsidR="00163957" w:rsidRDefault="00163957" w:rsidP="00163957">
      <w:pPr>
        <w:pStyle w:val="TextoNormal"/>
      </w:pPr>
      <w:r>
        <w:t>Respecto al último motivo del recurso, referido al derecho al Juez ordinario predeterminado por la ley (art. 24.2 CE), puntualiza el Fiscal que algunas de las variaciones en la composición de la Sala son irrelevantes en tanto la Audiencia no llegó a pronunciarse sobre la cuestión. Por lo que atañe a las modificaciones con incidencia real, opone que no se alega por la parte que exista una causa de recusación que afecte a alguno de los componentes del Tribunal en cualquiera de sus composiciones, tal y como exige la jurisprudencia constitucional sobre la materia, que vincula la lesión a la privación de una posible recusación puesta de manifiesto en la demanda (STC 230/1992, de 14 de diciembre, FJ 4).</w:t>
      </w:r>
    </w:p>
    <w:p w:rsidR="00163957" w:rsidRDefault="00163957" w:rsidP="00163957">
      <w:pPr>
        <w:pStyle w:val="TextoNormal"/>
      </w:pPr>
    </w:p>
    <w:p w:rsidR="00163957" w:rsidRDefault="00163957" w:rsidP="00163957">
      <w:pPr>
        <w:pStyle w:val="TextoNormal"/>
      </w:pPr>
      <w:r>
        <w:t>b) En relación con la posible existencia de una vulneración autónoma del derecho a la tutela judicial efectiva (art. 24.1 CE) por la no admisión del incidente de nulidad de actuaciones, señala que, a la luz de la reciente doctrina constitucional sobre el papel del incidente y su repercusión en la interpretación no restrictiva de los motivos de inadmisión, la forma de la resolución que lo sustancia, sea auto o sea providencia, no es lo determinante; lo decisivo es discernir si, en caso de inadmisión de plano, existe suficiente motivación. A su juicio, este último extremo es el que acontece en la providencia examinada, pues el órgano judicial no motivó ni siquiera sucintamente la inadmisión de plano, que, por lo demás, era errónea, ya que el incidente se dirigía contra una resolución irrecurrible y se alegaron derechos fundamentales que no pudieron esgrimirse antes, por lo que entiende que la providencia es vulneradora del art. 24.1 CE.</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fecha de 2 de junio de 2016, se señaló para deliberación y fallo de la Sentencia el día 6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Se impugna en el recurso de amparo la Sentencia de la Sección Primera de la Audiencia Provincial de Lleida de 7 de febrero de 2014 (rollo de apelación núm. 192-2013) que condenó a los demandantes, tras celebrar vista en apelación, como autores de un delito de alzamiento de bienes del que habían sido absueltos por el Juzgado de lo Penal. La impugnación se extiende a la providencia de 19 de marzo de 2014, dictada por la misma Sección, por la que se inadmite el incidente de nulidad de actuaciones promovido frente a aquella Sentencia.</w:t>
      </w:r>
    </w:p>
    <w:p w:rsidR="00163957" w:rsidRDefault="00163957" w:rsidP="00163957">
      <w:pPr>
        <w:pStyle w:val="TextoNormal"/>
      </w:pPr>
    </w:p>
    <w:p w:rsidR="00163957" w:rsidRDefault="00163957" w:rsidP="00163957">
      <w:pPr>
        <w:pStyle w:val="TextoNormal"/>
      </w:pPr>
      <w:r>
        <w:t>Los demandantes, con invocación de amplia jurisprudencia constitucional, consideran vulnerados sus derechos a un proceso con todas las garantías (art.24.2 CE) por haber sido condenados en apelación en contra de la doctrina constitucional; a la tutela judicial efectiva (art. 24.1 CE) por absoluta falta de motivación de la condena; a la defensa contradictoria y a la prueba (art. 24. 2 CE) por la imposibilidad de interrogar en la vista y exponer directamente las razones de su ánimo; a la presunción de inocencia (art. 24.2 CE) por falta de prueba sobre los elementos típicos y de explicitación del cambio de valoración; a la tutela judicial efectiva (art. 24.1 CE) por manifiesta indefensión por una condena indebida en segunda instancia frente a la que no cabe recurso y, en fin, al juez predeterminado por la ley (art. 24.2 CE) por no haberse notificado a las partes los sucesivos cambios en la composición de la Sala.</w:t>
      </w:r>
    </w:p>
    <w:p w:rsidR="00163957" w:rsidRDefault="00163957" w:rsidP="00163957">
      <w:pPr>
        <w:pStyle w:val="TextoNormal"/>
      </w:pPr>
    </w:p>
    <w:p w:rsidR="00163957" w:rsidRDefault="00163957" w:rsidP="00163957">
      <w:pPr>
        <w:pStyle w:val="TextoNormal"/>
      </w:pPr>
      <w:r>
        <w:t>El Ministerio Fiscal interesa que se otorgue el amparo solicitado por vulneración de los derechos invocados por los demandantes a un proceso con todas las garantías y a la presunción de inocencia (art. 24.2 CE) en tanto considera que el cambio en la valoración de la prueba no está razonado en la Sentencia impugnada. A esa lesión reconduce el resto de motivos de amparo, salvo la invocación del derecho al Juez ordinario predeterminado por la ley, que considera inexistente. Añade como objeto de impugnación autónomo la providencia por la que se inadmitió el incidente de nulidad de actuaciones en tanto carece de suficiente motivación y, en todo caso, resulta errónea, por lo que aboga por la estimación de una ulterior vulneración del derecho a la tutela judicial efectiva (art. 24.1 CE) en relación con tal decisión judicial de no admitir.</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Si bien ninguna de las partes comparecidas ha puesto en duda que concurra el requisito de la especial trascendencia constitucional, su condición de requisito de admisión [arts. 49.1 y 50.1 b) LOTC], y, por tanto, de orden público procesal, así como exigencias de certeza y buena administración de justicia (STEDH de 20 de enero de 2015, caso </w:t>
      </w:r>
      <w:r w:rsidRPr="00163957">
        <w:rPr>
          <w:i/>
        </w:rPr>
        <w:t>Arribas Antón c España</w:t>
      </w:r>
      <w:r>
        <w:t>, § 46) obligan a explicitar su cumplimiento para hacer así reconocibles los criterios empleados al efecto por este Tribunal (en idéntico sentido, STC 232/2015, de 5 de noviembre, FJ 2).</w:t>
      </w:r>
    </w:p>
    <w:p w:rsidR="00163957" w:rsidRDefault="00163957" w:rsidP="00163957">
      <w:pPr>
        <w:pStyle w:val="TextoNormal"/>
      </w:pPr>
    </w:p>
    <w:p w:rsidR="00163957" w:rsidRDefault="00163957" w:rsidP="00163957">
      <w:pPr>
        <w:pStyle w:val="TextoNormal"/>
      </w:pPr>
      <w:r>
        <w:t xml:space="preserve">Las particularidades que presenta el amparo que nos ocupa desde la perspectiva de la doctrina constitucional sobre condenas penales —o agravaciones— en segunda instancia, en particular, en su proyección a la exigencia de vista para dar audiencia al acusado cuya declaración constituye, además, prueba de cargo, identifican la especial trascendencia constitucional de la demanda. Y ello desde la doble perspectiva de permitir al Tribunal aclarar </w:t>
      </w:r>
      <w:r>
        <w:lastRenderedPageBreak/>
        <w:t>las exigencias que tal vista debe reunir para satisfacer las garantías de un proceso debido implicadas en estos casos de esa doble relevancia de la intervención del acusado en la segunda instancia [STC 155/2009, FJ 2, b)] y de ofrecer pautas frente a una práctica en la jurisdicción ordinaria poco uniforme y, en ocasiones, desde una lectura equivocada de la doctrina constitucional al respecto [STC 155/2009, FJ 2 e)].</w:t>
      </w:r>
    </w:p>
    <w:p w:rsidR="00163957" w:rsidRDefault="00163957" w:rsidP="00163957">
      <w:pPr>
        <w:pStyle w:val="TextoNormal"/>
      </w:pPr>
    </w:p>
    <w:p w:rsidR="00163957" w:rsidRDefault="00163957" w:rsidP="00163957">
      <w:pPr>
        <w:pStyle w:val="TextoNormal"/>
      </w:pPr>
      <w:r w:rsidRPr="00163957">
        <w:rPr>
          <w:rStyle w:val="NumeroAFNegritaCaracter"/>
        </w:rPr>
        <w:t>3</w:t>
      </w:r>
      <w:r>
        <w:t>. Con carácter previo a cualquier análisis, debe hacerse una doble precisión sobre el objeto y las lesiones constitucionales denunciadas en el recurso.</w:t>
      </w:r>
    </w:p>
    <w:p w:rsidR="00163957" w:rsidRDefault="00163957" w:rsidP="00163957">
      <w:pPr>
        <w:pStyle w:val="TextoNormal"/>
      </w:pPr>
    </w:p>
    <w:p w:rsidR="00163957" w:rsidRDefault="00163957" w:rsidP="00163957">
      <w:pPr>
        <w:pStyle w:val="TextoNormal"/>
      </w:pPr>
      <w:r>
        <w:t>La demanda de amparo se dirige tanto contra la Sentencia condenatoria en apelación como contra la providencia que inadmite el incidente de nulidad de actuaciones formulado contra ella. Así se expresa en diversos lugares del recurso, singularmente en el apartado “actos lesivos recurridos”, donde se afirma que ambas resoluciones judiciales vulneran los derechos fundamentales invocados, sin que el “minucioso incidente de nulidad de actuaciones haya servido para restablecer y/o reparar dichas vulneraciones”. A ambas resoluciones, pues, se les atribuye la vulneración de los derechos fundamentales a un proceso con todas las garantías, a la presunción de inocencia, a la tutela judicial efectiva sin indefensión, a la defensa y a la prueba así como a un Juez ordinario argumentada en la exposición de los motivos del recurso, solicitándose su nulidad y la vigencia de la Sentencia del Juzgado de lo Penal absolutoria. Con ello se pone de manifiesto que, frente a lo que sostiene el Fiscal ante el Tribunal Constitucional, no se denuncia una vulneración autónoma fruto de la indebida inadmisión del incidente de nulidad. Ciertamente existe un amplio apartado dedicado a justificar el agotamiento de la vía judicial previa donde se subraya la procedencia del incidente de nulidad planteado y la falta de motivación razonable de la providencia que acordó no admitirlo. Sin embargo, como expresa el último párrafo de esta parte de la demanda, con esa llamada a los defectos de la providencia se apunta a la no reparación de las vulneraciones de derechos fundamentales con origen en la Sentencia de la Audiencia Provincial; esto es, como dato que refuerza la evidencia de aquellas seis vulneraciones expuestas en los seis motivos del recurso que son los que dibujan su objeto, según se indica expresamente. A esas lesiones se vinculan en el recurso las exigencias de invocación previa, de ellas se predica la especial trascendencia constitucional y ellas son las desarrolladas en los “fundamentos de derecho”. Ellas conforman, lógicamente, el objeto de pronunciamiento de este Tribunal.</w:t>
      </w:r>
    </w:p>
    <w:p w:rsidR="00163957" w:rsidRDefault="00163957" w:rsidP="00163957">
      <w:pPr>
        <w:pStyle w:val="TextoNormal"/>
      </w:pPr>
    </w:p>
    <w:p w:rsidR="00163957" w:rsidRDefault="00163957" w:rsidP="00163957">
      <w:pPr>
        <w:pStyle w:val="TextoNormal"/>
      </w:pPr>
      <w:r>
        <w:t xml:space="preserve">Una segunda precisión se impone tras repasar el contenido de los seis motivos planteados por los demandantes, que permite apreciar la conexión o complementariedad —incluso repetición— entre varios de ellos y conduce a reducirlos a tres. Así, la queja relativa a la vulneración del derecho a un proceso con todas las garantías (art. 24.2 CE) se desarrolla en el primer motivo, poniendo el acento en los problemas derivados de la ausencia de una vista plena, pero también en los motivos tercero —déficit de la defensa al no poder interrogar el letrado y no poder exponer su versión los recurrentes en la vista— y quinto —indefensión material por una condena en apelación agravada por no caber recurso frente a ella—, pues en todos ellos se suscita la cuestión de las garantías de una condena en segunda instancia por más que se invoque de forma poco precisa el derecho a la prueba y de forma genérica el derecho a la tutela judicial efectiva sin indefensión. Por otro lado, la infracción del derecho a la tutela judicial efectiva alegada como segundo motivo denuncia la falta de prueba de cargo suficiente y de la necesaria explicitación al respecto, reproche que se reitera en el motivo cuarto en relación con el derecho a la presunción de inocencia, siendo el art. 24.2 </w:t>
      </w:r>
      <w:r>
        <w:lastRenderedPageBreak/>
        <w:t>CE donde encuentra genuino acomodo, pues, como ya ha advertido este Tribunal, “la violación del derecho a la tutela judicial efectiva sustentada en la falta de explicación por los órganos judiciales del proceso deductivo que a partir de las pruebas practicadas ha determinado la condena del recurrente en amparo o en la presencia de un error que equivale materialmente a la ausencia de motivación y de prueba de cargo carece de entidad autónoma respecto a la exigencia de motivación reforzada de las sentencias penales integrada en el derecho a la presunción de inocencia” (STC 143/2005, de 6 de junio, FFJJ 2 y 4, con ulteriores referencias). Como tercera queja autónoma subsiste el motivo sexto, que plantea la lesión del derecho al Juez ordinario predeterminado por la ley (art. 24.2 CE).</w:t>
      </w:r>
    </w:p>
    <w:p w:rsidR="00163957" w:rsidRDefault="00163957" w:rsidP="00163957">
      <w:pPr>
        <w:pStyle w:val="TextoNormal"/>
      </w:pPr>
    </w:p>
    <w:p w:rsidR="00163957" w:rsidRDefault="00163957" w:rsidP="00163957">
      <w:pPr>
        <w:pStyle w:val="TextoNormal"/>
      </w:pPr>
      <w:r>
        <w:t>Una vez acotados los motivos de amparo, resta decidir el orden de tratamiento de los motivos en atención al distinto alcance que tendría su estimación, resultando conveniente comenzar el examen con las quejas que implican una retroacción de actuaciones, como sucede con las denuncias de infracción del derecho a un proceso debido, y a un momento anterior (por todas, STC 142/2011, de 26 de septiembre, FJ 2, con ulteriores referencias). Esa regla conduce aquí a trastocar el orden de exposición seguido en la demanda, para empezar el análisis con el último de los motivos planteados, donde se denuncia la lesión del derecho al Juez ordinario predeterminado por la ley como manifestación del derecho a un proceso con todas las garantías, pues afecta a la constitucionalidad de la propia conformación del órgano judicial.</w:t>
      </w:r>
    </w:p>
    <w:p w:rsidR="00163957" w:rsidRDefault="00163957" w:rsidP="00163957">
      <w:pPr>
        <w:pStyle w:val="TextoNormal"/>
      </w:pPr>
    </w:p>
    <w:p w:rsidR="00163957" w:rsidRDefault="00163957" w:rsidP="00163957">
      <w:pPr>
        <w:pStyle w:val="TextoNormal"/>
      </w:pPr>
      <w:r w:rsidRPr="00163957">
        <w:rPr>
          <w:rStyle w:val="NumeroAFNegritaCaracter"/>
        </w:rPr>
        <w:t>4</w:t>
      </w:r>
      <w:r>
        <w:t>. A juicio de los demandantes, la falta de comunicación de los cambios sorpresivos e imprevisibles de composición de la Sala en fase de apelación, antes y después de celebrada la vista, y en la tramitación del incidente de nulidad de actuaciones vulneran su derecho al Juez ordinario predeterminado por la ley (art. 24.2 CE), pues le han sido impuestos sin oportunidad de rechazarlos o debatirlos. Con ello invocan materialmente los demandantes la garantía del Juez imparcial, si bien la vinculan con el derecho al Juez ordinario predeterminado por la ley y no como exigencia con sustantividad propia dentro del derecho a un proceso con todas las garantías, conforme ha dicho este Tribunal (SSTC 116/2006, de 24 de abril, FJ 2, y 164/2008, de 15 de diciembre, FFJJ 4 y 5).</w:t>
      </w:r>
    </w:p>
    <w:p w:rsidR="00163957" w:rsidRDefault="00163957" w:rsidP="00163957">
      <w:pPr>
        <w:pStyle w:val="TextoNormal"/>
      </w:pPr>
    </w:p>
    <w:p w:rsidR="00163957" w:rsidRDefault="00163957" w:rsidP="00163957">
      <w:pPr>
        <w:pStyle w:val="TextoNormal"/>
      </w:pPr>
      <w:r>
        <w:t>Es doctrina de este Tribunal que “la mera omisión de notificar a la recurrente los cambios en la composición de los Tribunales, y el consecuente desconocimiento acerca de la composición exacta del órgano judicial, no justifican por sí solos el amparo constitucional. Para apreciar la lesión aducida es preciso que la irregularidad procesal tenga una incidencia material concreta, consistente en privar al justiciable del ejercicio efectivo de su derecho a recusar en garantía de la imparcialidad del Juez. Y esta privación solo podría ser apreciada por este Tribunal si la demandante de amparo hubiera puesto de manifiesto, al menos indiciariamente, que el nuevo Magistrado que completó la Sala que resolvió la apelación incurría en una concreta causa legal de recusación que no pudo ser puesta de manifiesto por la omisión imputable al órgano judicial (SSTC 64/1997, de 7 de abril, FJ 3, y 162/2000, de 12 de junio, FJ 3)” (STC 4/2001, de 15 de enero, FJ 2).</w:t>
      </w:r>
    </w:p>
    <w:p w:rsidR="00163957" w:rsidRDefault="00163957" w:rsidP="00163957">
      <w:pPr>
        <w:pStyle w:val="TextoNormal"/>
      </w:pPr>
    </w:p>
    <w:p w:rsidR="00163957" w:rsidRDefault="00163957" w:rsidP="00163957">
      <w:pPr>
        <w:pStyle w:val="TextoNormal"/>
      </w:pPr>
      <w:r>
        <w:t xml:space="preserve">La demanda de amparo objeto de examen se preocupa de relatar los cambios de composición de la Sección: quiénes asistieron al acto de la vista que se convocó, quiénes firmaron la Sentencia y quiénes suscribieron la providencia de inadmisión del incidente de nulidad, que efectivamente no se comunicaron; pero adolece de toda referencia a una posible causa de recusación. Se sostiene </w:t>
      </w:r>
      <w:r w:rsidRPr="00163957">
        <w:rPr>
          <w:i/>
        </w:rPr>
        <w:t>in fine</w:t>
      </w:r>
      <w:r>
        <w:t xml:space="preserve"> en el motivo una queja indeterminada, pues se afirma que </w:t>
      </w:r>
      <w:r>
        <w:lastRenderedPageBreak/>
        <w:t xml:space="preserve">todos los Magistrados están “contaminados” por haber condenado a los recurrentes, por haber producido las lesiones de derechos fundamentales ya alegadas y por no reparar esos derechos en el incidente de nulidad. Más allá de su vaguedad, este alegato sitúa el origen de la “contaminación” en la producción de las lesiones ahora denunciadas, lo que apunta más bien a una causa de recusación </w:t>
      </w:r>
      <w:r w:rsidRPr="00163957">
        <w:rPr>
          <w:i/>
        </w:rPr>
        <w:t>pro futuro</w:t>
      </w:r>
      <w:r>
        <w:t xml:space="preserve"> y no en relación con el proceso ya ventilado. Desde la óptica que se plantea la queja, es decir, la garantía del Juez imparcial vinculada con el derecho al Juez ordinario predeterminado por la ley (art. 24.2 CE) y a la luz de la doctrina reseñada, esos cambios no comunicados podrán considerarse una irregularidad de orden legal, pero no alcanzan relevancia constitucional, pues no se precisa ni se sugiere cuál pudiera ser el motivo de recusación que afecta a los Magistrados de intervención desconocida, ni se aportan datos que permitan acreditar </w:t>
      </w:r>
      <w:r w:rsidRPr="00163957">
        <w:rPr>
          <w:i/>
        </w:rPr>
        <w:t>prima facie</w:t>
      </w:r>
      <w:r>
        <w:t xml:space="preserve"> causa legal alguna de recusación, como apuntan también las tres Sentencias de este Tribunal citadas en la demanda (SSTC 230/1992, 282/1993 y 51/2002), que son concordes con la doctrina que compendia la STC 4/2001 citada y que se reitera después, por ejemplo, en las SSTC 97/2003, de 2 de junio, FJ 3; 116/2006, de 24 de abril, FJ 2, y 177/2014, de 3 de noviembre, FJ 4.</w:t>
      </w:r>
    </w:p>
    <w:p w:rsidR="00163957" w:rsidRDefault="00163957" w:rsidP="00163957">
      <w:pPr>
        <w:pStyle w:val="TextoNormal"/>
      </w:pPr>
    </w:p>
    <w:p w:rsidR="00163957" w:rsidRDefault="00163957" w:rsidP="00163957">
      <w:pPr>
        <w:pStyle w:val="TextoNormal"/>
      </w:pPr>
      <w:r>
        <w:t xml:space="preserve">En suma, el desconocimiento de la composición de la Sala por falta de la debida comunicación carece de incidencia material concreta en tanto sólo se denuncia el incumplimiento del deber de notificación, pero no se acompaña del señalamiento de una concreta causa legal de recusación que no resulte </w:t>
      </w:r>
      <w:r w:rsidRPr="00163957">
        <w:rPr>
          <w:i/>
        </w:rPr>
        <w:t>prima facie</w:t>
      </w:r>
      <w:r>
        <w:t xml:space="preserve"> descartable, por lo que el motivo no puede acogerse.</w:t>
      </w:r>
    </w:p>
    <w:p w:rsidR="00163957" w:rsidRDefault="00163957" w:rsidP="00163957">
      <w:pPr>
        <w:pStyle w:val="TextoNormal"/>
      </w:pPr>
    </w:p>
    <w:p w:rsidR="00163957" w:rsidRDefault="00163957" w:rsidP="00163957">
      <w:pPr>
        <w:pStyle w:val="TextoNormal"/>
      </w:pPr>
      <w:r w:rsidRPr="00163957">
        <w:rPr>
          <w:rStyle w:val="NumeroAFNegritaCaracter"/>
        </w:rPr>
        <w:t>5</w:t>
      </w:r>
      <w:r>
        <w:t>. El segundo bloque de quejas que procede examinar viene definido por la vulneración de un derecho a un proceso con todas las garantías (art. 24.2 CE), fruto de la condena en segunda instancia tras apreciarse la concurrencia del elemento subjetivo del delito de alzamiento de bienes sin haberse celebrado la vista que exigen los principios de publicidad, inmediación y contradicción.</w:t>
      </w:r>
    </w:p>
    <w:p w:rsidR="00163957" w:rsidRDefault="00163957" w:rsidP="00163957">
      <w:pPr>
        <w:pStyle w:val="TextoNormal"/>
      </w:pPr>
    </w:p>
    <w:p w:rsidR="00163957" w:rsidRDefault="00163957" w:rsidP="00163957">
      <w:pPr>
        <w:pStyle w:val="TextoNormal"/>
      </w:pPr>
      <w:r>
        <w:t>Es conocida la existencia de una consolidada jurisprudencia de este Tribunal sobre las exigencias que debe reunir una condena penal o agravación en segunda instancia para ser conforme con el derecho a un proceso con todas las garantías, que se inicia con la STC 167/2002, de 18 de septiembre (FFJJ 9 a 11), y se completa y reitera en numerosas resoluciones posteriores (entre las últimas, SSTC 205/2013, de 5 de diciembre, FJ 7; 105/2014, de 23 de junio, FFJJ 2 a 4, y 191/2014, de 17 de noviembre, FFJJ 3 a 5). La STC de Pleno 88/2013, de 11 de abril, FFJJ 7 a 9, efectuó un extenso resumen de dicha doctrina y de su evolución a la luz de la jurisprudencia del Tribunal Europeo de Derechos Humanos, concluyendo que “de conformidad con la doctrina constitucional establecida en las SSTC 167/2002 y 184/2009 vulnera el derecho a un proceso con todas las garantías (art. 24.2 CE) que un órgano judicial, conociendo en vía de recurso, condene a quien había sido absuelto en la instancia o empeore su situación a partir de una nueva valoración de pruebas personales o de una reconsideración de los hechos estimados probados para establecer su culpabilidad, siempre que no haya celebrado una audiencia pública en que se desarrolle la necesaria actividad probatoria, con las garantías de publicidad, inmediación y contradicción que le son propias, y se dé al acusado la posibilidad de defenderse exponiendo su testimonio personal” (FJ 9).</w:t>
      </w:r>
    </w:p>
    <w:p w:rsidR="00163957" w:rsidRDefault="00163957" w:rsidP="00163957">
      <w:pPr>
        <w:pStyle w:val="TextoNormal"/>
      </w:pPr>
    </w:p>
    <w:p w:rsidR="00163957" w:rsidRDefault="00163957" w:rsidP="00163957">
      <w:pPr>
        <w:pStyle w:val="TextoNormal"/>
      </w:pPr>
      <w:r>
        <w:t xml:space="preserve">Con ello se optó por incardinar la audiencia del acusado como una exigencia derivada del derecho fundamental a un proceso con todas las garantías (art. 24.2 CE) y no ya, como </w:t>
      </w:r>
      <w:r>
        <w:lastRenderedPageBreak/>
        <w:t>fijaba aquella STC 184/2009, de 7 de septiembre, FJ 3, como manifestación del derecho a la defensa (art. 24.2 CE). La consecuencia de ello, como destaca la citada STC 88/2013, FJ 9, es que la audiencia del acusado se configura con un doble propósito: de un lado, atender al carácter de prueba personal del testimonio del acusado, que exige de inmediación para ser valorada, y, de otro, garantizar el derecho a dirigirse y ser oído personalmente por el órgano judicial que va a decidir sobre su culpabilidad. Esta evolución de la doctrina constitucional reduce la posibilidad de condenar o agravar la condena sin vista a los supuestos en que el debate planteado en segunda instancia versa sobre estrictas cuestiones jurídicas, pues dicha audiencia ninguna incidencia podría tener en la decisión que pudiera adoptarse y la posición de la parte puede entenderse debidamente garantizada por la presencia de su abogado (STC 88/2013, FJ 8).</w:t>
      </w:r>
    </w:p>
    <w:p w:rsidR="00163957" w:rsidRDefault="00163957" w:rsidP="00163957">
      <w:pPr>
        <w:pStyle w:val="TextoNormal"/>
      </w:pPr>
    </w:p>
    <w:p w:rsidR="00163957" w:rsidRDefault="00163957" w:rsidP="00163957">
      <w:pPr>
        <w:pStyle w:val="TextoNormal"/>
      </w:pPr>
      <w:r>
        <w:t xml:space="preserve">En el desarrollo de esa jurisprudencia sobre las garantías procesales respecto a una condena o agravación penal en segunda instancia, se ha abordado específicamente por este Tribunal su proyección a los elementos subjetivos del tipo. Al respecto, y de nuevo en los términos de la STC 88/2013, hemos subrayado que “también el enjuiciamiento sobre la concurrencia de los elementos subjetivos del delito forma parte, a estos efectos, de la vertiente fáctica del juicio que corresponde efectuar a los órganos judiciales, debiendo distinguirse del mismo el relativo a la estricta calificación jurídica que deba asignarse a los hechos una vez acreditada su existencia. De este modo, si bien la revisión de la razonabilidad de las inferencias a partir de la cual el órgano </w:t>
      </w:r>
      <w:r w:rsidRPr="00163957">
        <w:rPr>
          <w:i/>
        </w:rPr>
        <w:t>a quo</w:t>
      </w:r>
      <w:r>
        <w:t xml:space="preserve"> llega a su conclusión sobre la inexistencia de dolo —u otro elemento subjetivo del tipo— no precisará de la garantía de inmediación si tal enjuiciamiento no se produce a partir de la valoración de declaraciones testificales, sí deberá venir presidido, en todo caso, por la previa audiencia al acusado” (fundamento jurídico 8 citando la STC 126/2012, de 18 de junio, FJ 4). Este segundo criterio, reiterado en las SSTC 157/2013, de 23 de septiembre, FJ 7; 205/2013, de 5 de diciembre, FJ 5; o en el ATC 44/2015, de 25 de febrero, FJ 2, traduce la consideración del Tribunal Europeo de Derechos Humanos de que la revisión de los elementos subjetivos del delito es una cuestión de hecho y no una cuestión de calificación jurídica y, por ello, precisa la audiencia del acusado (SSTEDH de 10 de marzo de 2009, caso </w:t>
      </w:r>
      <w:r w:rsidRPr="00163957">
        <w:rPr>
          <w:i/>
        </w:rPr>
        <w:t>Igual Coll c. España</w:t>
      </w:r>
      <w:r>
        <w:t xml:space="preserve">; 22 de noviembre de 2011, caso </w:t>
      </w:r>
      <w:r w:rsidRPr="00163957">
        <w:rPr>
          <w:i/>
        </w:rPr>
        <w:t>Lacadena Calero c. España</w:t>
      </w:r>
      <w:r>
        <w:t xml:space="preserve">; 13 de diciembre de 2011, caso </w:t>
      </w:r>
      <w:r w:rsidRPr="00163957">
        <w:rPr>
          <w:i/>
        </w:rPr>
        <w:t>Valbuena Redondo c. España</w:t>
      </w:r>
      <w:r>
        <w:t xml:space="preserve">; 20 marzo 2012, caso </w:t>
      </w:r>
      <w:r w:rsidRPr="00163957">
        <w:rPr>
          <w:i/>
        </w:rPr>
        <w:t>Serrano Contreras c. España</w:t>
      </w:r>
      <w:r>
        <w:t xml:space="preserve">; 27 de noviembre de 2012, caso </w:t>
      </w:r>
      <w:r w:rsidRPr="00163957">
        <w:rPr>
          <w:i/>
        </w:rPr>
        <w:t>Vilanova Goterris c. España</w:t>
      </w:r>
      <w:r>
        <w:t xml:space="preserve">; 8 de octubre de 2013, caso </w:t>
      </w:r>
      <w:r w:rsidRPr="00163957">
        <w:rPr>
          <w:i/>
        </w:rPr>
        <w:t>Nieto Macero c. España</w:t>
      </w:r>
      <w:r>
        <w:t xml:space="preserve">; 8 de octubre de 2013, caso </w:t>
      </w:r>
      <w:r w:rsidRPr="00163957">
        <w:rPr>
          <w:i/>
        </w:rPr>
        <w:t>Román Zurdo c. España</w:t>
      </w:r>
      <w:r>
        <w:t xml:space="preserve">; 12 de noviembre de 2013, caso </w:t>
      </w:r>
      <w:r w:rsidRPr="00163957">
        <w:rPr>
          <w:i/>
        </w:rPr>
        <w:t>Sainz Casla c. España</w:t>
      </w:r>
      <w:r>
        <w:t xml:space="preserve">; 8 de marzo de 2016, caso </w:t>
      </w:r>
      <w:r w:rsidRPr="00163957">
        <w:rPr>
          <w:i/>
        </w:rPr>
        <w:t>Porcel Terribas y otros c. España</w:t>
      </w:r>
      <w:r>
        <w:t xml:space="preserve">; o 29 de marzo de 2016 caso </w:t>
      </w:r>
      <w:r w:rsidRPr="00163957">
        <w:rPr>
          <w:i/>
        </w:rPr>
        <w:t>Gómez Olmeda c. España</w:t>
      </w:r>
      <w:r>
        <w:t>).</w:t>
      </w:r>
    </w:p>
    <w:p w:rsidR="00163957" w:rsidRDefault="00163957" w:rsidP="00163957">
      <w:pPr>
        <w:pStyle w:val="TextoNormal"/>
      </w:pPr>
    </w:p>
    <w:p w:rsidR="00163957" w:rsidRDefault="00163957" w:rsidP="00163957">
      <w:pPr>
        <w:pStyle w:val="TextoNormal"/>
      </w:pPr>
      <w:r>
        <w:t xml:space="preserve">Asimismo hemos tenido ocasión de definir negativamente las condiciones de cumplimiento de las exigencias de inmediación y contradicción y de audiencia al acusado cuando se ventilen cuestiones fácticas en segunda instancia. Esas garantías no se ven colmadas con la sola reproducción y visionado de la grabación del juicio oral por parte del órgano revisor, pues para ello es preciso que se convoque una vista en la que poder oír personal y directamente a quienes habían declarado en el juicio oral de primera instancia y, ante todo, al acusado (SSTC 120/2009, de 18 de mayo, FJ 6; 2/2010, de 11 de enero, FJ 3; 30/2010, de 17 de mayo, FJ 4; STEDH caso </w:t>
      </w:r>
      <w:r w:rsidRPr="00163957">
        <w:rPr>
          <w:i/>
        </w:rPr>
        <w:t>Gómez Olmeda c. España</w:t>
      </w:r>
      <w:r>
        <w:t xml:space="preserve">, 29 de marzo de 2016, §§ 37-39). Esa exigencia de vista no es formal, sino que debe servir de efectivo instrumento a la garantía constitucional de un proceso debido respecto a los principios de inmediación y contradicción y la garantía de audiencia personal del acusado (SSTC 105/2014, FJ 4; 191/2014, </w:t>
      </w:r>
      <w:r>
        <w:lastRenderedPageBreak/>
        <w:t xml:space="preserve">FJ 5). Al respecto, no obstante, hemos admitido la posibilidad de sostener la condena en segunda instancia en las declaraciones realizadas en el juicio oral, e incluso en instrucción, cuando su reproducción esencial ante el Tribunal </w:t>
      </w:r>
      <w:r w:rsidRPr="00163957">
        <w:rPr>
          <w:i/>
        </w:rPr>
        <w:t>ad quem</w:t>
      </w:r>
      <w:r>
        <w:t xml:space="preserve"> que va a valorarlas compense el déficit de inmediación, en consonancia con la doctrina vertida sobre el supuesto de valoración de las manifestaciones sumariales no reiteradas en el juicio, [SSTC 16/2009, de 26 de enero, FJ 5 b).1); 120/2009, FJ 6; 2/2010, de 11 de enero, FJ 3, y 105/2014, FJ 3].</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En el amparo que nos ocupa, el núcleo de la queja formulada obliga a examinar si se ha alcanzado el objetivo expresamente pretendido por el Tribunal </w:t>
      </w:r>
      <w:r w:rsidRPr="00163957">
        <w:rPr>
          <w:i/>
        </w:rPr>
        <w:t>ad quem</w:t>
      </w:r>
      <w:r>
        <w:t xml:space="preserve"> de dar cumplimiento a la doctrina constitucional sobre las garantías procesales de la condena en segunda instancia a través la celebración de vista.</w:t>
      </w:r>
    </w:p>
    <w:p w:rsidR="00163957" w:rsidRDefault="00163957" w:rsidP="00163957">
      <w:pPr>
        <w:pStyle w:val="TextoNormal"/>
      </w:pPr>
    </w:p>
    <w:p w:rsidR="00163957" w:rsidRDefault="00163957" w:rsidP="00163957">
      <w:pPr>
        <w:pStyle w:val="TextoNormal"/>
      </w:pPr>
      <w:r>
        <w:t>Como se sigue de lo expuesto con mayor detalle en los antecedentes de hecho, la Audiencia modificó los hechos probados, donde consigna las distintas operaciones mercantiles y bancarias realizadas por los acusados —consideradas probadas ya en la Sentencia de instancia—; pero, frente a lo plasmado en ella, aclara que en la fecha de la venta de la sociedad deudora el recurrente extrajo de la cuenta de la sociedad 535.000 euros con carácter previo a la misma, lo que redujo significativamente el saldo de la cuenta social. Además, recoge que esas operaciones se producen, en previsión de la iniciación de un procedimiento de apremio y en colaboración con el tercer acusado, con la clara intención de despatrimonializar a la mercantil, eliminando las legítimas expectativas de los acreedores de ver satisfechos sus créditos. La Sala justifica esa modificación en atención al acervo probatorio documental, poniendo el acento, de un lado, en que de él se infiere el carácter ficticio de la venta realizada que reparte el saldo social entre los tres acusados, y, de otro lado, en su distinta comprensión del art. 257.1 del Código penal, que alude a procedimientos iniciados o de previsible iniciación, por lo que basta que la deuda sea una expectativa fundada, aunque no sea exigible, dato que se conoce si se interviene en los negocios en que se genera. Concluye la Sala que, a partir de tal cuadro probatorio y comprensión, la única conclusión racional a la que cabe llegar en términos de experiencia es que “los tres acusados, de común acuerdo, dispusieron de los fondos de la sociedad en su propio provecho, siendo los tres conocedores de la deuda pendiente con la querellante, y por tanto en objetivo perjuicio de la acreedora”.</w:t>
      </w:r>
    </w:p>
    <w:p w:rsidR="00163957" w:rsidRDefault="00163957" w:rsidP="00163957">
      <w:pPr>
        <w:pStyle w:val="TextoNormal"/>
      </w:pPr>
    </w:p>
    <w:p w:rsidR="00163957" w:rsidRDefault="00163957" w:rsidP="00163957">
      <w:pPr>
        <w:pStyle w:val="TextoNormal"/>
      </w:pPr>
      <w:r>
        <w:t xml:space="preserve">Un último recordatorio sobre el proceso subyacente es preciso antes de aplicar la doctrina constitucional al caso, cual es el referido al desarrollo y contenido de la vista de apelación celebrada. De ese discurrir interesa aquí resaltar tres aspectos. (i) En las intervenciones del Letrado de la acusación particular y del Letrado defensor de los recurrentes se dio por cierta la extracción reconocida por el recurrente mediante cheque de 535.000 € de la cuenta de la sociedad justo antes de la venta y se debatió sobre la concurrencia del conocimiento de la reclamación de la deuda. (ii) Cuando el Presidente dio la palabra a los recurrentes terminados los informes, el recurrente puntualizó su condición de administrador y no de apoderado y, tras intervenir el Magistrado para aclarar a los acusados que el núcleo de lo discutido afecta a la intención de despatrimonializar a la sociedad con las actuaciones emprendidas, respondió que nunca tuvo intención de perjudicar a la querellante, que siempre pagó las facturas a su vencimiento y que las que no se pagaron fue porque no llegó el vencimiento y que las obras no se terminaron, reiterando que nunca fue su intención perjudicarla. La acusada, por el contrario, manifestó en dos ocasiones su negativa a añadir algo. (iii) En ningún momento la Sala informó al Ministerio Fiscal y a los abogados de la posibilidad de someterles a interrogatorio, sin que ellos hicieran intento alguno en tal sentido, interviniendo el </w:t>
      </w:r>
      <w:r>
        <w:lastRenderedPageBreak/>
        <w:t>Magistrado director del debate para aclarar a los recurrentes cuál era la pretensión de la parte apelante y preguntarles al respecto.</w:t>
      </w:r>
    </w:p>
    <w:p w:rsidR="00163957" w:rsidRDefault="00163957" w:rsidP="00163957">
      <w:pPr>
        <w:pStyle w:val="TextoNormal"/>
      </w:pPr>
    </w:p>
    <w:p w:rsidR="00163957" w:rsidRDefault="00163957" w:rsidP="00163957">
      <w:pPr>
        <w:pStyle w:val="TextoNormal"/>
      </w:pPr>
      <w:r w:rsidRPr="00163957">
        <w:rPr>
          <w:rStyle w:val="NumeroAFNegritaCaracter"/>
        </w:rPr>
        <w:t>7</w:t>
      </w:r>
      <w:r>
        <w:t>. El anterior repaso revela de inmediato dos datos relevantes. De un lado, la discusión se centró en la concurrencia del elemento subjetivo del tipo de alzamiento de bienes, que se afirma en segunda instancia tras una reconsideración íntegra del caso. De otro y para sostener la presencia del ánimo de perjudicar a la acreedora, se atendió a indicios varios asentados de forma preponderante en prueba documental, pero reforzados por aspectos tomados de la declaración del recurrente en el acto del juicio oral (reconocimiento de la extracción de fondos el día de la venta y de conocimiento de la existencia de la deuda). Tales son las coordenadas que deben someterse al tamiz de la doctrina constitucional sobre las garantías procesales en segunda instancia en general y sobre la exigencia de vista y su contenido en particular.</w:t>
      </w:r>
    </w:p>
    <w:p w:rsidR="00163957" w:rsidRDefault="00163957" w:rsidP="00163957">
      <w:pPr>
        <w:pStyle w:val="TextoNormal"/>
      </w:pPr>
    </w:p>
    <w:p w:rsidR="00163957" w:rsidRDefault="00163957" w:rsidP="00163957">
      <w:pPr>
        <w:pStyle w:val="TextoNormal"/>
      </w:pPr>
      <w:r>
        <w:t xml:space="preserve">a) Conforme a la doctrina constitucional y del Tribunal Europeo de Derechos Humanos ya expuesta, al pronunciarse el Tribunal </w:t>
      </w:r>
      <w:r w:rsidRPr="00163957">
        <w:rPr>
          <w:i/>
        </w:rPr>
        <w:t>ad quem</w:t>
      </w:r>
      <w:r>
        <w:t xml:space="preserve"> sobre una cuestión de hecho —la existencia de un ánimo de perjudicar a la acreedora vaciando la sociedad—, modificando los hechos probados y las inferencias a partir de ellos para dotar de un significado defraudatorio concertado al conjunto de operaciones realizadas por los acusados, el órgano judicial de segunda instancia toma posición sobre elementos fácticos decisivos para decidir sobre la culpabilidad de los acusados, lo que exige una vista pública en la que puedan hacer valer sus razones para negar ese ánimo (por todos, últimamente, STEDH caso </w:t>
      </w:r>
      <w:r w:rsidRPr="00163957">
        <w:rPr>
          <w:i/>
        </w:rPr>
        <w:t>Gómez Olmeda c. España</w:t>
      </w:r>
      <w:r>
        <w:t>, 29 de mayo de 2016, § 35). Al respecto hemos concretado la exigencia de citación personal que dé oportunidad a los acusados de comparecer (entre otras muchas, SSTC 135/2011, de 12 de septiembre, FJ 2; 154/2011, de 17 de octubre, FJ 5; 126/2012, de 18 de junio, FJ 5; 88/2013, de 11 de abril, FJ 9).</w:t>
      </w:r>
    </w:p>
    <w:p w:rsidR="00163957" w:rsidRDefault="00163957" w:rsidP="00163957">
      <w:pPr>
        <w:pStyle w:val="TextoNormal"/>
      </w:pPr>
    </w:p>
    <w:p w:rsidR="00163957" w:rsidRDefault="00163957" w:rsidP="00163957">
      <w:pPr>
        <w:pStyle w:val="TextoNormal"/>
      </w:pPr>
      <w:r>
        <w:t>En el caso objeto de enjuiciamiento se citó personalmente a los recurrentes, hubo vista y en ella se les dio la palabra después de haberse expuesto por las partes los argumentos más relevantes, que se centraron en la discusión sobre la presencia del elemento subjetivo del tipo, y lo que es determinante, tras hacer hincapié el Magistrado Presidente en que los acusados podían añadir lo que estimaran oportuno, singularmente en relación con la pretensión de condena basada en la afirmación del ánimo de despatrimonializar a la sociedad deudora para perjudicar a la querellante. El asunto controvertido no era si existía un vaciamiento patrimonial de la sociedad deudora, sino si concurría un ánimo de perjudicar a la mercantil acreedora, que es el que dota de unidad a las acciones singulares sobre la sociedad realizadas por los acusados y que objetivamente suponen una ocultación o una eliminación global de bienes. La discusión versó pues sobre el elemento subjetivo del delito de alzamiento de bienes que animó la operación conjunta de despatrimonialización, en los términos fijados en el recurso de apelación de la acusación particular, la adhesión del Ministerio Fiscal y las alegaciones de los recurrentes. Sobre ese aspecto se debatió en las exposiciones orales de los Letrados de las partes y del Ministerio Fiscal, en las que se polemizó además de forma específica sobre las operaciones de retirada de fondos y el conocimiento de la reclamación de la deuda. Y el significado nuclear de la afirmación del elemento subjetivo fue manifestado expresamente por el Presidente de la Sala a los acusados, poniendo de relieve que los recurrentes tenían oportunidad de ser oídos sobre ese elemento fáctico subjetivo en particu</w:t>
      </w:r>
      <w:r>
        <w:lastRenderedPageBreak/>
        <w:t>lar. En tal contexto, los acusados tuvieron oportunidad de referirse a lo allí discutido y “exponer directamente las razones de su ánimo y de su conducta, su voluntad de no defraudar y la falta de concierto culpable” como ellos mismos exigen en su demanda.</w:t>
      </w:r>
    </w:p>
    <w:p w:rsidR="00163957" w:rsidRDefault="00163957" w:rsidP="00163957">
      <w:pPr>
        <w:pStyle w:val="TextoNormal"/>
      </w:pPr>
    </w:p>
    <w:p w:rsidR="00163957" w:rsidRDefault="00163957" w:rsidP="00163957">
      <w:pPr>
        <w:pStyle w:val="TextoNormal"/>
      </w:pPr>
      <w:r>
        <w:t xml:space="preserve">Por lo demás, resulta evidente, frente a lo alegado por los demandantes, que ese desarrollo procesal, aun cuando no existiera un interrogatorio </w:t>
      </w:r>
      <w:r w:rsidRPr="00163957">
        <w:rPr>
          <w:i/>
        </w:rPr>
        <w:t>stricto sensu</w:t>
      </w:r>
      <w:r>
        <w:t xml:space="preserve">, no supuso sólo un uso del derecho del acusado a la última palabra insuficiente para garantizar el derecho a una defensa contradictoria que colme el derecho a un proceso equitativo (SSTEDH caso </w:t>
      </w:r>
      <w:r w:rsidRPr="00163957">
        <w:rPr>
          <w:i/>
        </w:rPr>
        <w:t>Constantinescu c. Rumanía</w:t>
      </w:r>
      <w:r>
        <w:t xml:space="preserve">, 27 de junio de 2000, § 58; caso </w:t>
      </w:r>
      <w:r w:rsidRPr="00163957">
        <w:rPr>
          <w:i/>
        </w:rPr>
        <w:t>Spinu c. Rumanía</w:t>
      </w:r>
      <w:r>
        <w:t xml:space="preserve">, de 29 de abril de 2008, § 58; caso </w:t>
      </w:r>
      <w:r w:rsidRPr="00163957">
        <w:rPr>
          <w:i/>
        </w:rPr>
        <w:t>Stanca c. Rumania</w:t>
      </w:r>
      <w:r>
        <w:t xml:space="preserve">, 24 de julio de 2012, § 74; STC 184/2009, de 7 de septiembre, FJ 3). Si bien la intervención de los recurrentes se produjo al final de la vista, a la manera prevista en el art. 739 de la Ley de enjuiciamiento criminal  para el ejercicio del derecho a la última palabra en la celebración del juicio oral, ello obedeció a una ordenación de la misma por el Presidente de la Sala orientada al fin de posibilitar a los acusados ser oídos personalmente, dado que la audiencia debía situarse en la vista de apelación a pesar de no estar prevista su intervención por la norma procesal, sin que, por lo demás, se propusiera su declaración como prueba en los escritos de apelación. Esta solución, adoptada por el Tribunal </w:t>
      </w:r>
      <w:r w:rsidRPr="00163957">
        <w:rPr>
          <w:i/>
        </w:rPr>
        <w:t>ad quem</w:t>
      </w:r>
      <w:r>
        <w:t xml:space="preserve"> (ante la ausencia de previsión legal) para pronunciarse sobre los motivos de apelación de forma respetuosa con las garantías procesales de rango constitucional, alumbró una dinámica procesal —cabe añadir— que resulta especialmente respetuosa con el derecho de defensa, pues los recurrentes estuvieron presentes en el debate entre las partes (articulado por las intervenciones de sus Letrados), donde se repasó el material probatorio y la causa en general; y con tal información completa pudieron declarar en defensa de su causa, siendo interpelados expresamente en relación con su ánimo como elemento nuclear de ese debate cuya concurrencia tuvieron la posibilidad efectiva de contradecir.</w:t>
      </w:r>
    </w:p>
    <w:p w:rsidR="00163957" w:rsidRDefault="00163957" w:rsidP="00163957">
      <w:pPr>
        <w:pStyle w:val="TextoNormal"/>
      </w:pPr>
    </w:p>
    <w:p w:rsidR="00163957" w:rsidRDefault="00163957" w:rsidP="00163957">
      <w:pPr>
        <w:pStyle w:val="TextoNormal"/>
      </w:pPr>
      <w:r>
        <w:t xml:space="preserve">Esa dimensión de oportunidad del acusado de contradecir o someter a contraste todo el proceso probatorio, añadiendo todo aquello que estime pertinente para su mejor defensa, característica del derecho a la última palabra, sirve al derecho a ser oído personalmente y al derecho de defensa contradictoria (SSTC 181/1994, de 20 de junio, FJ 3; 13/2006, de 16 de enero, FJ 4; 258/2007, de 18 de diciembre, FJ 2), que es precisamente la exigencia garantista material implicada en las revisiones globales en sede de apelación atinentes a cuestiones de hecho y de Derecho. Dicho de otro modo, con independencia del </w:t>
      </w:r>
      <w:r w:rsidRPr="00163957">
        <w:rPr>
          <w:i/>
        </w:rPr>
        <w:t>nomen iuris</w:t>
      </w:r>
      <w:r>
        <w:t xml:space="preserve"> que quiera darse a la intervención de los acusados, tuvo lugar la audiencia precisa para asegurar el derecho a un proceso con todas las garantías, desde la perspectiva del derecho del acusado a ser oído personalmente en su defensa cuando se ventila su culpabilidad o inocencia en una revisión no sólo jurídica, sino también fáctica, de lo acontecido en primera instancia, pudiendo exponer ante el Tribunal encargado de revisar la decisión impugnada su personal versión acerca de su participación en los hechos que se le imputan (por todas, SSTC 120/2009, de 18 de mayo, FJ 3, 184/2009, de 7 de septiembre, FJ 3 y 45/2011, de 11 de abril, FJ 3).</w:t>
      </w:r>
    </w:p>
    <w:p w:rsidR="00163957" w:rsidRDefault="00163957" w:rsidP="00163957">
      <w:pPr>
        <w:pStyle w:val="TextoNormal"/>
      </w:pPr>
    </w:p>
    <w:p w:rsidR="00163957" w:rsidRDefault="00163957" w:rsidP="00163957">
      <w:pPr>
        <w:pStyle w:val="TextoNormal"/>
      </w:pPr>
      <w:r>
        <w:t xml:space="preserve">La celebración de una vista pública en la que, conforme consta en la grabación, los acusados han podido ser oídos personalmente por el Tribunal de segunda instancia, han podido confrontar los elementos de juicio que van a ser tomados en consideración por el órgano judicial y han podido responder a lo planteado allí cubre las exigencias de audiencia al acusado como posibilidad de defenderse exponiendo su testimonio personal (STC 157/2013, </w:t>
      </w:r>
      <w:r>
        <w:lastRenderedPageBreak/>
        <w:t>de 23 de septiembre, FJ 7). Por todo lo razonado, no puede estimarse lesionado el derecho invocado.</w:t>
      </w:r>
    </w:p>
    <w:p w:rsidR="00163957" w:rsidRDefault="00163957" w:rsidP="00163957">
      <w:pPr>
        <w:pStyle w:val="TextoNormal"/>
      </w:pPr>
    </w:p>
    <w:p w:rsidR="00163957" w:rsidRDefault="00163957" w:rsidP="00163957">
      <w:pPr>
        <w:pStyle w:val="TextoNormal"/>
      </w:pPr>
      <w:r>
        <w:t xml:space="preserve">b) A la anterior conclusión no obsta la incidental toma en consideración de la declaración del acusado, pues no se atendió a aspectos precisados de inmediación y se respetaron al respecto las exigencias de defensa contradictoria en segunda instancia. La doctrina inaugurada con la STC 167/2002 parte de la premisa de que el órgano de apelación tiene la facultad de valorar las pruebas practicadas en primera instancia y corregir la ponderación realizada por el Juez </w:t>
      </w:r>
      <w:r w:rsidRPr="00163957">
        <w:rPr>
          <w:i/>
        </w:rPr>
        <w:t>a quo</w:t>
      </w:r>
      <w:r>
        <w:t>, pero ha de hacerlo con todas las garantías, lo que supone que no puede valorar las pruebas personales en tanto respecto a ellas sea exigible inmediación y contradicción (FJ 10). Esa inmediación es imprescindible cuando se trata de revisar la valoración sobre la credibilidad de la prueba personal (por todas, con ulteriores referencias, STC 170/2005, de 20 de junio, FJ 2), que es el aspecto que precisa la interacción entre el órgano judicial y el declarante, pero no cuando no se cuestiona la credibilidad. Así es, singularmente, cuando se revisa el juicio de inferencia a partir de hechos base probados, por más que conduzca a una alteración del sustrato fáctico, sin conllevar conclusiones diversas sobre la credibilidad de alguna declaración (SSTC 272/2005, de 24 de octubre, FJ 2; 120/2009, de 18 de mayo, FJ 4), y la absolución y posterior condena se basan esencialmente en la valoración de prueba documental y las declaraciones tienen una importancia muy marginal (ATC 80/2003, de 10 de marzo, FJ 1), de modo que las inferencias no provienen inequívocamente de una valoración de pruebas personales (STC 127/2010, de 29 de noviembre, FJ 2).</w:t>
      </w:r>
    </w:p>
    <w:p w:rsidR="00163957" w:rsidRDefault="00163957" w:rsidP="00163957">
      <w:pPr>
        <w:pStyle w:val="TextoNormal"/>
      </w:pPr>
    </w:p>
    <w:p w:rsidR="00163957" w:rsidRDefault="00163957" w:rsidP="00163957">
      <w:pPr>
        <w:pStyle w:val="TextoNormal"/>
      </w:pPr>
      <w:r>
        <w:t>El reconocimiento por el acusado de la extracción de 535.000 euros de la cuenta social el día de la venta y de que conocía la existencia de una deuda no se ha negado o cuestionado (el primero es incluso expresamente asumido por el Letrado de la defensa), sin que se dude respecto a la credibilidad o el carácter fidedigno de tal declaración, que tiene por objeto hechos incontrovertidos, respecto a los que existe prueba documental directa —extractos bancarios— y elementos documentales indiciarios que conducen a esa atribución de conocimiento —documentos acreditativos de las relaciones comerciales ente las sociedades y el decreto del Ayuntamiento—. Su aportación al acervo probatorio como indicios de menor peso en todo caso, que sirven, junto a la numerosa prueba documental, para definir una maniobra en la sucesión de operaciones mercantiles y bancarias de las que se infiere el carácter ficticio de la compraventa de la sociedad y como elemento corroborador del conocimiento de la deuda (en el marco de una concepción del dolo del alzamiento que no demanda la existencia de una deuda exigible sino de previsible exigibilidad), no supone una valoración de la declaración en un aspecto condicionado por la inmediación que sirva de base esencial a la condena (STC 317/2006, de 15 de noviembre, FJ 3; en igual sentido, SSTC 15/2007, de 12 de febrero, FJ 3; y 54/2009, de 23 de febrero, FJ 2).</w:t>
      </w:r>
    </w:p>
    <w:p w:rsidR="00163957" w:rsidRDefault="00163957" w:rsidP="00163957">
      <w:pPr>
        <w:pStyle w:val="TextoNormal"/>
      </w:pPr>
    </w:p>
    <w:p w:rsidR="00163957" w:rsidRDefault="00163957" w:rsidP="00163957">
      <w:pPr>
        <w:pStyle w:val="TextoNormal"/>
      </w:pPr>
      <w:r>
        <w:t xml:space="preserve">Pero es que, como se ha insistido, hubo vista en apelación y en ella se presentó esa detracción de dinero al tiempo de la compraventa y el conocimiento de la reclamación de deuda —con el </w:t>
      </w:r>
      <w:r w:rsidRPr="00163957">
        <w:rPr>
          <w:i/>
        </w:rPr>
        <w:t>prius</w:t>
      </w:r>
      <w:r>
        <w:t xml:space="preserve"> lógico de la existencia de la misma— como elementos decisivos en el examen de la pretensión de revocación de la Sentencia absolutoria por existir ánimo de perjudicar a la acreedora, sobre el que fueron consultados expresamente los recurrentes.</w:t>
      </w:r>
    </w:p>
    <w:p w:rsidR="00163957" w:rsidRDefault="00163957" w:rsidP="00163957">
      <w:pPr>
        <w:pStyle w:val="TextoNormal"/>
      </w:pPr>
    </w:p>
    <w:p w:rsidR="00163957" w:rsidRDefault="00163957" w:rsidP="00163957">
      <w:pPr>
        <w:pStyle w:val="TextoNormal"/>
      </w:pPr>
      <w:r>
        <w:t xml:space="preserve">Cuando la doctrina constitucional destaca la necesidad de dar cabida a la intervención de los protagonistas de las pruebas personales en la vista, con apoyo en la doctrina del Tribunal </w:t>
      </w:r>
      <w:r>
        <w:lastRenderedPageBreak/>
        <w:t xml:space="preserve">Europeo de Derechos Humanos, aclara que se alude así a una actividad procesal que ha de insertarse en la segunda instancia y que se identifica con una vista o audiencia, pública y contradictoria, en la que se realice el examen “directo y personal” —esto es, con inmediación— de las personas cuya declaración va a ser objeto de nueva valoración (STC 120/2009, de 18 de mayo, FJ 6). No se define el contenido y concreto ritual de esa vista o audiencia, pues no es misión de este Tribunal, como tantas veces hemos destacado (entre otras muchas, SSTC 16/2009, de 26 de enero, FJ 4; 201/2012, de 12 de noviembre, FJ 4 y 22/2013, de 31 de enero, FJ 3), interpretar las normas procesales sobre práctica de la prueba, singularmente en apelación, y la celebración de vista, sino fijar las condiciones mínimas de satisfacción de las garantías procesales </w:t>
      </w:r>
      <w:r w:rsidRPr="00163957">
        <w:rPr>
          <w:i/>
        </w:rPr>
        <w:t>ex</w:t>
      </w:r>
      <w:r>
        <w:t xml:space="preserve"> art. 24.2 CE para condenar en segunda instancia. El criterio orientador al respecto ha de ser la exigencia constitucional de que exista una introducción de la prueba en la vista que ofrezca oportunidad a los declarantes de ser oídos personal y directamente por el órgano decisor en relación con su declaración. Lo relevante es si el acusado tiene algo que manifestar —o que preguntar a otros testigos cuando su defensa dependa de sus testimonios— sobre los hechos que se le imputan que pueda ser relevante para que los jueces formen su convicción sobre el asunto, dándosele oportunidad de hacerlo.</w:t>
      </w:r>
    </w:p>
    <w:p w:rsidR="00163957" w:rsidRDefault="00163957" w:rsidP="00163957">
      <w:pPr>
        <w:pStyle w:val="TextoNormal"/>
      </w:pPr>
    </w:p>
    <w:p w:rsidR="00163957" w:rsidRDefault="00163957" w:rsidP="00163957">
      <w:pPr>
        <w:pStyle w:val="TextoNormal"/>
      </w:pPr>
      <w:r>
        <w:t>El desarrollo de la vista celebrada en el asunto que nos concierne evidencia que en ella existió una presencia suficiente de la declaración del demandante en el juicio oral y que tuvo oportunidad de pronunciarse al respecto. En concreto optó, de un lado, por no refutar o matizar en absoluto el reconocimiento de la retirada de fondos, expuesto previamente por el Letrado de la acusación particular y asumido por su Letrado. De otro lado, insistió en que nunca tuvo intención de perjudicar a la sociedad acreedora con el argumento de que pagó al vencimiento las deudas que pudo, que otras no llegaron al vencimiento y que las obras no se terminaron, lo que supone un reconocimiento de las relaciones comerciales entre las sociedades y de la existencia conocida de las deudas con la sociedad acreedora, aspecto que había aflorado también en el debate entre las partes al hilo de la cuestión más precisa del conocimiento de la existencia de un procedimiento judicial de reclamación de esa deuda generada al hilo de las relaciones comerciales entre las sociedades.</w:t>
      </w:r>
    </w:p>
    <w:p w:rsidR="00163957" w:rsidRDefault="00163957" w:rsidP="00163957">
      <w:pPr>
        <w:pStyle w:val="TextoNormal"/>
      </w:pPr>
    </w:p>
    <w:p w:rsidR="00163957" w:rsidRDefault="00163957" w:rsidP="00163957">
      <w:pPr>
        <w:pStyle w:val="TextoNormal"/>
      </w:pPr>
      <w:r>
        <w:t xml:space="preserve">En síntesis, los recurrentes tuvieron oportunidad de explicarse y rebatir los argumentos o deducciones susceptibles de perjudicarles, asentadas en prueba documental, y, de forma marginal, en el contenido de la declaración del recurrente acusado, cuya valoración era asequible para el órgano judicial </w:t>
      </w:r>
      <w:r w:rsidRPr="00163957">
        <w:rPr>
          <w:i/>
        </w:rPr>
        <w:t>ad quem</w:t>
      </w:r>
      <w:r>
        <w:t xml:space="preserve"> pues la alteración de la inferencia que conduce a apreciar el elemento subjetivo fue el objeto de debate en segunda instancia, introducida por el Letrado de la acusación particular y contradicha por el Letrado de la defensa y expresamente explicada a los recurrentes por el Presidente de la Sala, y al respecto pudieron ser oídos los recurrentes en un debate contradictorio y público. El motivo no puede estimarse.</w:t>
      </w:r>
    </w:p>
    <w:p w:rsidR="00163957" w:rsidRDefault="00163957" w:rsidP="00163957">
      <w:pPr>
        <w:pStyle w:val="TextoNormal"/>
      </w:pPr>
    </w:p>
    <w:p w:rsidR="00163957" w:rsidRDefault="00163957" w:rsidP="00163957">
      <w:pPr>
        <w:pStyle w:val="TextoNormal"/>
      </w:pPr>
      <w:r w:rsidRPr="00163957">
        <w:rPr>
          <w:rStyle w:val="NumeroAFNegritaCaracter"/>
        </w:rPr>
        <w:t>8</w:t>
      </w:r>
      <w:r>
        <w:t>. Por último debe abordarse el examen de la vulneración del derecho a la presunción de inocencia planteada en la demanda en conexión con la indebida valoración de prueba personal y con la existencia de una motivación inexistente o irrazonable en relación con la acreditación de la participación de la recurrente y, en general, de la existencia de un pacto entre los acusados y del ánimo de los recurrentes de perjudicar a los acreedores, que se conecta con la falta de prueba de cargo al respecto.</w:t>
      </w:r>
    </w:p>
    <w:p w:rsidR="00163957" w:rsidRDefault="00163957" w:rsidP="00163957">
      <w:pPr>
        <w:pStyle w:val="TextoNormal"/>
      </w:pPr>
    </w:p>
    <w:p w:rsidR="00163957" w:rsidRDefault="00163957" w:rsidP="00163957">
      <w:pPr>
        <w:pStyle w:val="TextoNormal"/>
      </w:pPr>
      <w:r>
        <w:lastRenderedPageBreak/>
        <w:t>Resulta obvio que, descartada la lesión del derecho a un proceso con todas las garantías, queda cerrado el camino a una eventual vulneración del derecho a la presunción de inocencia con tal origen. Cumple ahora, en consecuencia, examinar la alegación de que no se motivó la existencia de prueba de cargo suficiente para enervar la presunción de inocencia respecto a la recurrente y de que no existe prueba del elemento subjetivo y el acuerdo entre los acusados que se afirma en los hechos probados por la Audiencia.</w:t>
      </w:r>
    </w:p>
    <w:p w:rsidR="00163957" w:rsidRDefault="00163957" w:rsidP="00163957">
      <w:pPr>
        <w:pStyle w:val="TextoNormal"/>
      </w:pPr>
    </w:p>
    <w:p w:rsidR="00163957" w:rsidRDefault="00163957" w:rsidP="00163957">
      <w:pPr>
        <w:pStyle w:val="TextoNormal"/>
      </w:pPr>
      <w:r>
        <w:t>Es doctrina reiterada de este Tribunal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de los mismos. A este respecto, el Tribunal ha manifestado en numerosas ocasiones su radical falta de competencia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 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puesto de manifiesto en la Sentencia, y que el control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(entre otras muchas, SSTC 127/2011, de 18 de julio, FJ 6, y 142/2012, de 2 de julio, FJ 5).</w:t>
      </w:r>
    </w:p>
    <w:p w:rsidR="00163957" w:rsidRDefault="00163957" w:rsidP="00163957">
      <w:pPr>
        <w:pStyle w:val="TextoNormal"/>
      </w:pPr>
    </w:p>
    <w:p w:rsidR="00163957" w:rsidRDefault="00163957" w:rsidP="00163957">
      <w:pPr>
        <w:pStyle w:val="TextoNormal"/>
      </w:pPr>
      <w:r>
        <w:t xml:space="preserve">De forma específica se ha hecho hincapié en que la idoneidad incriminatoria debe ser no sólo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w:t>
      </w:r>
      <w:r w:rsidRPr="00163957">
        <w:rPr>
          <w:i/>
        </w:rPr>
        <w:t>ratio decidendi</w:t>
      </w:r>
      <w:r>
        <w:t xml:space="preserve"> de la decisión judicial, sino una mínima explicación de los fundamentos probatorios del relato fáctico, con base en el cual se individualiza el caso y se posibilita la aplicación de la norma jurídica (por todas, STC 22/2013, de 31 de enero, FJ 5, y las resoluciones allí citadas). En la hipótesis de alteración de los hechos probados así como de los resultados de las inferencias practicadas a partir de ellos en segunda instancia, resulta obligado verificar, en particular, “si el juzgador de instancia estimó razonadamente que la prueba de cargo era insuficiente para fundamentar la condena, que el Tribunal de apelación debió, por exigirlo así el derecho a la presunción de inocencia, explicitar por qué estimaba probado el perjuicio ‘más allá de toda duda razonable’, poniendo en evidencia la irrazonabilidad de la absolución de instancia” (STC 5/2000, de 17 de enero, FJ 4).</w:t>
      </w:r>
    </w:p>
    <w:p w:rsidR="00163957" w:rsidRDefault="00163957" w:rsidP="00163957">
      <w:pPr>
        <w:pStyle w:val="TextoNormal"/>
      </w:pPr>
    </w:p>
    <w:p w:rsidR="00163957" w:rsidRDefault="00163957" w:rsidP="00163957">
      <w:pPr>
        <w:pStyle w:val="TextoNormal"/>
      </w:pPr>
      <w:r w:rsidRPr="00163957">
        <w:rPr>
          <w:rStyle w:val="NumeroAFNegritaCaracter"/>
        </w:rPr>
        <w:t>9</w:t>
      </w:r>
      <w:r>
        <w:t xml:space="preserve">. Sentado lo anterior, conviene empezar por el cuestionamiento general de la falta de prueba del elemento subjetivo y el concurso de voluntades de los tres acusados en la medida en que se proyecta sobre la condena de los dos recurrentes. Tienen razón los recurrentes en </w:t>
      </w:r>
      <w:r>
        <w:lastRenderedPageBreak/>
        <w:t>que no existe prueba directa de la actuación conjunta de los acusados orientada al vaciamiento patrimonial de la sociedad deudora, como igualmente acierta el Ministerio Fiscal cuando afirma que las distintas operaciones mercantiles y bancarias son neutrales en tal sentido. Pero no la tienen cuando sostienen que el Tribunal de apelación no ha explicitado por qué estima probado el ánimo de perjudicar a la acreedora que impulsa esas operaciones conjuntas y las dota de un significado global defraudatorio.</w:t>
      </w:r>
    </w:p>
    <w:p w:rsidR="00163957" w:rsidRDefault="00163957" w:rsidP="00163957">
      <w:pPr>
        <w:pStyle w:val="TextoNormal"/>
      </w:pPr>
    </w:p>
    <w:p w:rsidR="00163957" w:rsidRDefault="00163957" w:rsidP="00163957">
      <w:pPr>
        <w:pStyle w:val="TextoNormal"/>
      </w:pPr>
      <w:r>
        <w:t xml:space="preserve">En el fundamento tercero de la Sentencia impugnada, la Audiencia concluye expresamente que el examen del cuadro probatorio desde la regla de la experiencia conduce a la afirmación de que los tres acusados dispusieron de común acuerdo los fondos de la sociedad en su provecho siendo conocedores de la deuda existente con la querellante y, por tanto, en objetivo perjuicio de la acreedora. Y semejante aserto se hace tras repasar las operaciones mercantiles y bancarias probadas documentalmente, destacando que apuntan sin duda a una operación ficticia, pues la venta se salda con los fondos de la propia sociedad sin que el adquirente tenga interés en el mantenimiento de su actividad (habida cuenta de que detrae el remanente existente tras el pago a los vendedores), que se desarrolla cuando la deuda con la acreedora era conocida y era previsible su reclamación, dado que tiene su origen en una práctica mercantil previa entre las mercantiles en la que intervinieron los recurrentes como consta documentalmente. También de forma expresa se descarta la objeción formulada en la instancia de que no consta que conocieran la existencia de un procedimiento judicial, advirtiéndose que se separa aquí expresamente de la valoración de la Juez </w:t>
      </w:r>
      <w:r w:rsidRPr="00163957">
        <w:rPr>
          <w:i/>
        </w:rPr>
        <w:t>a quo</w:t>
      </w:r>
      <w:r>
        <w:t>, porque esa constatación no es necesaria para estimar concurrente el dolo del delito de alzamiento, que debe abarcar el conocimiento de que se está actuando de forma idónea para impedir o dificultar el cobro de la deuda que, por lo demás, se puntualiza, que no tiene por qué ser exigible.</w:t>
      </w:r>
    </w:p>
    <w:p w:rsidR="00163957" w:rsidRDefault="00163957" w:rsidP="00163957">
      <w:pPr>
        <w:pStyle w:val="TextoNormal"/>
      </w:pPr>
    </w:p>
    <w:p w:rsidR="00163957" w:rsidRDefault="00163957" w:rsidP="00163957">
      <w:pPr>
        <w:pStyle w:val="TextoNormal"/>
      </w:pPr>
      <w:r>
        <w:t>Junto a ese desarrollo argumentativo, la Audiencia explicita previamente en el fundamento segundo que las modalidades de alzamiento son muy diversas, pues la ocultación o sustracción del activo “puede hacerse de modo elemental apartando físicamente algún … o de forma más sofisticada, a través de algún negocio jurídico por medio del cual se enajena alguna cosa en favor de otra persona, generalmente parientes o amigos, o se constituye un gravamen, o se sustrae algún elemento del activo patrimonial de modo que se impida o dificulte la posibilidad de realización ejecutiva, bien sea tal negocio real … bien se trate de un negocio ficticio”. Este abanico se concreta implícitamente en su examen de la prueba en la presencia de una aparente transmisión de participaciones sociales a un tercero que encubre una venta con cargo a la propia sociedad que consigue repartir el saldo activo entre los tres acusados participantes en el negocio. Del examen integrado de esos razonamientos se colige la existencia de prueba suficiente que ha conducido a afirmar los hechos probados de forma motivada.</w:t>
      </w:r>
    </w:p>
    <w:p w:rsidR="00163957" w:rsidRDefault="00163957" w:rsidP="00163957">
      <w:pPr>
        <w:pStyle w:val="TextoNormal"/>
      </w:pPr>
    </w:p>
    <w:p w:rsidR="00163957" w:rsidRDefault="00163957" w:rsidP="00163957">
      <w:pPr>
        <w:pStyle w:val="TextoNormal"/>
      </w:pPr>
      <w:r>
        <w:t>Si se repasa ese acervo probatorio y la motivación ofrecida de manera individualizada, se evidencia que no puede concluirse respecto al recurrente, el Sr. Ojer, que era administrador de la sociedad y realizó las operaciones de retirada y reingreso de fondos, que no exista prueba de cargo suficiente explicada de forma constitucionalmente satisfactoria. La inferencia a partir de esos datos de que existió una maniobra de ocultación de bienes con el objetivo de despatrimonializar la sociedad deudora frente a la acreedora es acorde a las reglas de la lógica y la experiencia, sin resultar de elementos ambiguos o poco concluyentes.</w:t>
      </w:r>
    </w:p>
    <w:p w:rsidR="00163957" w:rsidRDefault="00163957" w:rsidP="00163957">
      <w:pPr>
        <w:pStyle w:val="TextoNormal"/>
      </w:pPr>
    </w:p>
    <w:p w:rsidR="00163957" w:rsidRDefault="00163957" w:rsidP="00163957">
      <w:pPr>
        <w:pStyle w:val="TextoNormal"/>
      </w:pPr>
      <w:r>
        <w:lastRenderedPageBreak/>
        <w:t xml:space="preserve">Por lo que afecta a la alegación de falta de motivación e inexistencia de prueba respecto a la recurrente, Sra. Romero, hay que oponer que se atiende por el Tribunal </w:t>
      </w:r>
      <w:r w:rsidRPr="00163957">
        <w:rPr>
          <w:i/>
        </w:rPr>
        <w:t>ad quem</w:t>
      </w:r>
      <w:r>
        <w:t xml:space="preserve"> a que es esposa del otro recurrente y propietaria de la sociedad vendida, de la que fue administradora hasta el año 2008, en que pasa a ser administrador único su marido, tal y como se acredita documentalmente. A partir de tales datos se añade, en la argumentación conjunta por la que opta la Audiencia, que concurre a la venta con su marido y recibe el pagaré nominativo como precio de la venta, pero no lo presenta al cobro, sino que éste se efectuó mediante transferencia a su cuenta desde la cuenta de la sociedad cuando el adquirente ya figuraba como administrador y tras reingresar su esposo el dinero que detrajo el día de la venta. Su posición en la sociedad deudora y su actividad mercantil, la intervención en la formalización documental de la venta ante notario, la falta de cobro del pagaré nominativo y la aceptación de la transferencia efectuada a su cuenta para pagar el importe de la venta de sus participaciones societarias con cargo a la propia sociedad son elementos presentes que se toman de forma global por la Audiencia, junto con el conocimiento de la existencia de una deuda —que le atribuye expresa y conjuntamente con su marido en tanto que deriva de los negocios jurídicos entre las sociedades, muy anteriores en el tiempo a los hechos determinantes del delito—, para darle un tratamiento unitario con el otro recurrente y concluir conforme a las reglas de la experiencia que interviene en la sustracción de patrimonio articulada a través de la compraventa de participaciones que llevan a cabo los tres acusados con la intención de perjudicar a la empresa acreedora, lo que, como también subraya la Sentencia de condena, dibuja los elementos típicos del alzamiento.</w:t>
      </w:r>
    </w:p>
    <w:p w:rsidR="00163957" w:rsidRDefault="00163957" w:rsidP="00163957">
      <w:pPr>
        <w:pStyle w:val="TextoNormal"/>
      </w:pPr>
    </w:p>
    <w:p w:rsidR="00163957" w:rsidRDefault="00163957" w:rsidP="00163957">
      <w:pPr>
        <w:pStyle w:val="TextoNormal"/>
      </w:pPr>
      <w:r>
        <w:t>El anterior repaso refleja que no se trata de una conclusión incorporada al relato de hechos probados huérfana de toda mención acerca de los medios de prueba a partir de los que se obtiene, pues esos datos se recogen en el análisis del cuadro probatorio por la Audiencia, ni respecto a la que falte toda argumentación que permita justificar la misma en términos de racionalidad, pues si bien no existe un desarrollo individualizado, no es menos cierto que la Sala incluye en sus razonamientos la posición y actividad desplegada por la recurrente en los hechos. Y, en fin, no es tampoco una conclusión fruto de un proceso argumental de inferencia explicitado que quepa calificar de ilógico o irracional. Por el contrario, la venta de una sociedad de la que se es propietario, cuyo saldo se reduce el día de su documentación pública sin cobrarse los pagarés por el importe del precio y que se incrementa el mismo día en que el nuevo administrador puede efectuar transferencias y así las emite con cargo al saldo de la sociedad para pagar la venta, sabiendo de las deudas de la mercantil, es una conclusión acorde con las reglas de la experiencia a partir de indicios concluyentes sin que se manejen alternativas que puedan debilitarla.</w:t>
      </w:r>
    </w:p>
    <w:p w:rsidR="00163957" w:rsidRDefault="00163957" w:rsidP="00163957">
      <w:pPr>
        <w:pStyle w:val="TextoNormal"/>
      </w:pPr>
    </w:p>
    <w:p w:rsidR="00163957" w:rsidRDefault="00163957" w:rsidP="00163957">
      <w:pPr>
        <w:pStyle w:val="TextoNormal"/>
      </w:pPr>
      <w:r>
        <w:t>A la luz de lo anterior, en el caso objeto de debate existe prueba de cargo suficiente y se ofrece una explicitación de los elementos de convicción en que se asienta la valoración de la prueba y las inferencias que sostienen los hechos probados y, con ello, la afirmación de los elementos típicos del delito de alzamiento que no cabe calificar de irrazonable, por lo que debe rechazarse la denuncia de vulneración del derecho a la presunción de inocencia.</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lastRenderedPageBreak/>
        <w:t>Ha decidido</w:t>
      </w:r>
    </w:p>
    <w:p w:rsidR="00163957" w:rsidRDefault="00163957" w:rsidP="00163957">
      <w:pPr>
        <w:pStyle w:val="TextoNormalCentrado"/>
        <w:keepNext/>
      </w:pPr>
    </w:p>
    <w:p w:rsidR="00163957" w:rsidRDefault="00163957" w:rsidP="00163957">
      <w:pPr>
        <w:pStyle w:val="TextoNormal"/>
      </w:pPr>
      <w:r>
        <w:t>Desestimar el amparo solicitado por don Félix Ojer Pueyo y doña María Carmen Romero Martínez.</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seis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09" w:name="SENTENCIA_2016_106"/>
      <w:r>
        <w:lastRenderedPageBreak/>
        <w:t>SENTENCIA 106/2016, de 6 de junio de 2016</w:t>
      </w:r>
    </w:p>
    <w:bookmarkEnd w:id="109"/>
    <w:p w:rsidR="00163957" w:rsidRDefault="00163957" w:rsidP="00163957">
      <w:pPr>
        <w:pStyle w:val="TtuloResolucin"/>
      </w:pPr>
      <w:r>
        <w:t>Sala Segunda</w:t>
      </w:r>
    </w:p>
    <w:p w:rsidR="00163957" w:rsidRDefault="00163957" w:rsidP="00163957">
      <w:pPr>
        <w:pStyle w:val="TtuloBOE"/>
      </w:pPr>
      <w:r>
        <w:t>(BOE núm. 170, de 15 de julio de 2016)</w:t>
      </w:r>
    </w:p>
    <w:p w:rsidR="00163957" w:rsidRDefault="00163957" w:rsidP="00163957">
      <w:pPr>
        <w:pStyle w:val="TextoNormalCentrado"/>
      </w:pPr>
      <w:r>
        <w:t>ECLI:ES:TC:2016:106</w:t>
      </w:r>
    </w:p>
    <w:p w:rsidR="00163957" w:rsidRDefault="00163957" w:rsidP="00163957">
      <w:pPr>
        <w:pStyle w:val="TextoNormalCentrado"/>
      </w:pPr>
    </w:p>
    <w:p w:rsidR="00163957" w:rsidRDefault="00163957" w:rsidP="00163957">
      <w:pPr>
        <w:pStyle w:val="SntesisDescriptiva"/>
      </w:pPr>
      <w:r>
        <w:t>Cuestión de inconstitucionalidad 3379-2014. Planteada por el Juzgado de lo Social núm. 5 de Santa Cruz de Tenerife respecto del artículo 2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Principio de irretroactividad de las normas restrictivas de derechos individuales y expropiación de derechos económicos: extinción, por pérdida de objeto, de la cuestión de inconstitucionalidad (STC 83/2015).</w:t>
      </w:r>
    </w:p>
    <w:p w:rsidR="00163957" w:rsidRDefault="00163957" w:rsidP="00163957">
      <w:pPr>
        <w:pStyle w:val="SntesisAnaltica"/>
      </w:pPr>
    </w:p>
    <w:p w:rsidR="00163957" w:rsidRDefault="00163957" w:rsidP="00163957">
      <w:pPr>
        <w:pStyle w:val="Extracto"/>
      </w:pPr>
      <w:r>
        <w:t>1.</w:t>
      </w:r>
      <w:r>
        <w:tab/>
        <w:t>Asunto sustancialmente idéntico al resuelto por la STC 83/2015, relativa a la pérdida de objeto de la cuestión de inconstitucionalidad como consecuencia de la satisfacción extraprocesal de la pretensión [FFJJ 1,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3379-2014, promovida por el Juzgado de lo Social núm. 5 de Santa Cruz de Tenerife contra el art. 2 del Real Decreto-ley 20/2012, de 13 de julio, de medidas para garantizar la estabilidad presupuestaria y de fomento de la competitividad, por posible vulneración de los arts. 9.3 y 33.3 CE. Han formulado alegaciones el Fiscal General del Estado y el Abogado del Estado. Ha sido Ponente la Magistrada doña Adela Asua Batarrita,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29 de mayo de 2014 tuvo entrada en el Registro General de este Tribunal un oficio del Juzgado de lo Social núm.5 de Santa Cruz de Tenerife al que se acompaña, junto con el testimonio del procedimiento núm. 95-2014, el Auto de 19 de mayo de 2014, por el que se acuerda plantear cuestión de inconstitucionalidad en relación con el art. 2 del Real Decreto-ley 20/2012, de 13 de julio, de medidas para garantizar la estabilidad presupuestaria y de fomento de la competitividad, en su aplicación al personal laboral del sector público, por </w:t>
      </w:r>
      <w:r>
        <w:lastRenderedPageBreak/>
        <w:t>posible lesión del art. 9.3 CE, en relación con el art. 33.3 CE respecto a la supresión de un derecho patrimonial sin compensación adecuada.</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procesales de la cuestión de inconstitucionalidad planteada son, sucintamente expuestos, los siguientes:</w:t>
      </w:r>
    </w:p>
    <w:p w:rsidR="00163957" w:rsidRDefault="00163957" w:rsidP="00163957">
      <w:pPr>
        <w:pStyle w:val="TextoNormal"/>
      </w:pPr>
    </w:p>
    <w:p w:rsidR="00163957" w:rsidRDefault="00163957" w:rsidP="00163957">
      <w:pPr>
        <w:pStyle w:val="TextoNormal"/>
      </w:pPr>
      <w:r>
        <w:t>a) El presente procedimiento deriva de demanda de conflicto colectivo presentada por la federación de servicios públicos de la Unión General de Trabajadores de Canarias contra el Ayuntamiento de Los Silos (Tenerife). En dicho procedimiento se impugna la aplicación hecha por el demandado del Real Decreto-ley 20/2012 de acuerdo con el cual no se abonó la paga extraordinaria de diciembre del año 2012 al personal del mencionado Ayuntamiento.</w:t>
      </w:r>
    </w:p>
    <w:p w:rsidR="00163957" w:rsidRDefault="00163957" w:rsidP="00163957">
      <w:pPr>
        <w:pStyle w:val="TextoNormal"/>
      </w:pPr>
    </w:p>
    <w:p w:rsidR="00163957" w:rsidRDefault="00163957" w:rsidP="00163957">
      <w:pPr>
        <w:pStyle w:val="TextoNormal"/>
      </w:pPr>
      <w:r>
        <w:t>b) Con suspensión del plazo para dictar Sentencia y conforme a lo dispuesto en el art. 35 de la Ley Orgánica del Tribunal Constitucional (LOTC), el órgano judicial dictó providencia de 3 de marzo de 2014 por la que acordó oír a las partes y al Ministerio Fiscal para que alegasen sobre la pertinencia de plantear cuestión de inconstitucionalidad sobre el art. 2 del Real Decreto-ley 20/2012, de 13 de julio, de medidas para garantizar la estabilidad presupuestaria y de fomento de la competitividad, por posible infracción de los arts. 9.3 y 33.3 CE, en la medida en que la supresión de la totalidad de la paga extra de diciembre de 2012, sin excepcionar la parte proporcional de la misma devengada hasta el momento de la entrada en vigor del Real Decreto-ley 20/2012, podría considerarse una norma retroactiva restrictiva de derechos individuales y una expropiación forzosa de un derecho patrimonial sin verse acompañada de la correspondiente indemnización.</w:t>
      </w:r>
    </w:p>
    <w:p w:rsidR="00163957" w:rsidRDefault="00163957" w:rsidP="00163957">
      <w:pPr>
        <w:pStyle w:val="TextoNormal"/>
      </w:pPr>
    </w:p>
    <w:p w:rsidR="00163957" w:rsidRDefault="00163957" w:rsidP="00163957">
      <w:pPr>
        <w:pStyle w:val="TextoNormal"/>
      </w:pPr>
      <w:r>
        <w:t>c) La representación procesal del Ayuntamiento de Los Silos no se opuso al planteamiento de la cuestión de inconstitucionalidad. El Ministerio Fiscal no se opuso a la tramitación de la cuestión de inconstitucionalidad en la medida en que se dan los requisitos procesales suficientes para dicho planteamiento, sin entrar en el fondo de la cuestión. El sindicato recurrente no formuló alegaciones.</w:t>
      </w:r>
    </w:p>
    <w:p w:rsidR="00163957" w:rsidRDefault="00163957" w:rsidP="00163957">
      <w:pPr>
        <w:pStyle w:val="TextoNormal"/>
      </w:pPr>
    </w:p>
    <w:p w:rsidR="00163957" w:rsidRDefault="00163957" w:rsidP="00163957">
      <w:pPr>
        <w:pStyle w:val="TextoNormal"/>
      </w:pPr>
      <w:r w:rsidRPr="00163957">
        <w:rPr>
          <w:rStyle w:val="NumeroAFNegritaCaracter"/>
        </w:rPr>
        <w:t>3</w:t>
      </w:r>
      <w:r>
        <w:t>. Por Auto de 19 de mayo de 2014, el Juzgado de lo Social núm. 5 de Santa Cruz de Tenerife acordó plantear la presente cuestión de inconstitucionalidad.</w:t>
      </w:r>
    </w:p>
    <w:p w:rsidR="00163957" w:rsidRDefault="00163957" w:rsidP="00163957">
      <w:pPr>
        <w:pStyle w:val="TextoNormal"/>
      </w:pPr>
    </w:p>
    <w:p w:rsidR="00163957" w:rsidRDefault="00163957" w:rsidP="00163957">
      <w:pPr>
        <w:pStyle w:val="TextoNormal"/>
      </w:pPr>
      <w:r>
        <w:t>Tras exponer los antecedentes de hecho y los requisitos para el planteamiento de una cuestión de inconstitucionalidad de acuerdo con el art. 35 LOTC, el órgano judicial expone que el art. 2 del Real Decreto-ley 20/2012 “resulta de aplicación al presente caso, y es esencial para resolver el mismo, por cuanto fue el aplicado por el Instituto de Astrofísica de Canarias (</w:t>
      </w:r>
      <w:r w:rsidRPr="00163957">
        <w:rPr>
          <w:i/>
        </w:rPr>
        <w:t>sic</w:t>
      </w:r>
      <w:r>
        <w:t>) a su personal laboral para no pagar al mismo importe alguno en concepto de segunda paga extra de 2012, (y, en su caso, efectuar descuentos de 1/14 de las retribuciones al personal que no cobraba pagas extras o las recibía prorrateadas)”.</w:t>
      </w:r>
    </w:p>
    <w:p w:rsidR="00163957" w:rsidRDefault="00163957" w:rsidP="00163957">
      <w:pPr>
        <w:pStyle w:val="TextoNormal"/>
      </w:pPr>
    </w:p>
    <w:p w:rsidR="00163957" w:rsidRDefault="00163957" w:rsidP="00163957">
      <w:pPr>
        <w:pStyle w:val="TextoNormal"/>
      </w:pPr>
      <w:r>
        <w:t xml:space="preserve">En cuanto a las dudas de constitucionalidad de la norma, el órgano judicial razona que el art. 2 del Real Decreto-ley 20/2012 establece la suspensión de pago de la totalidad de la paga extra no haciendo excepción alguna de la parte proporcional que en su caso ya pudiera haberse devengado. Tras rechazar que con ello se vulnere el art. 37.1 CE, afirma que una reiterada jurisprudencia configura la paga extra como de devengo diario y cobro aplazado y si bien el devengo diario de la paga extra no tiene una configuración legal, “la existencia de una jurisprudencia constante y pacífica sobre tal devengo no puede ser desconocida por el </w:t>
      </w:r>
      <w:r>
        <w:lastRenderedPageBreak/>
        <w:t>legislador en el sentido de dejar retroactivamente sin efecto tal jurisprudencia … sin motivos justificados de interés general y en su caso mediando la indemnización adecuada de conformidad con el art. 33.3 de la Constitución, cuando la retroactividad afecta a derechos de contenido patrimonial concretos”.</w:t>
      </w:r>
    </w:p>
    <w:p w:rsidR="00163957" w:rsidRDefault="00163957" w:rsidP="00163957">
      <w:pPr>
        <w:pStyle w:val="TextoNormal"/>
      </w:pPr>
    </w:p>
    <w:p w:rsidR="00163957" w:rsidRDefault="00163957" w:rsidP="00163957">
      <w:pPr>
        <w:pStyle w:val="TextoNormal"/>
      </w:pPr>
      <w:r>
        <w:t>Afirma el órgano judicial que si se considera que el Real Decreto-ley está suprimiendo la totalidad de la paga extra de diciembre de 2012, incluyendo la parte proporcional de la misma devengada (pero no cobrada) antes de la entrada en vigor del citado Real Decreto-ley, se estaría afectando a un derecho económico ya devengado y que formaba parte del patrimonio del trabajador. Finalmente, el órgano judicial se remite a la fundamentación del Auto de la Sala de lo Social de la Audiencia Nacional de 1 de marzo de 2013, que planteo cuestión de inconstitucionalidad sobre el mismo precepto (CI 1697-2013).</w:t>
      </w:r>
    </w:p>
    <w:p w:rsidR="00163957" w:rsidRDefault="00163957" w:rsidP="00163957">
      <w:pPr>
        <w:pStyle w:val="TextoNormal"/>
      </w:pPr>
    </w:p>
    <w:p w:rsidR="00163957" w:rsidRDefault="00163957" w:rsidP="00163957">
      <w:pPr>
        <w:pStyle w:val="TextoNormal"/>
      </w:pPr>
      <w:r>
        <w:t>No obstante lo anterior, el Juzgado considera que cabría plantear una interpretación del art. 2 del Real Decreto-ley 20/2012 “que salvaría las anteriores dudas de constitucionalidad”. De acuerdo con esa interpretación, el precepto cuestionado no suprimiría la paga extraordinaria incluyendo las partes proporcionales ya devengadas sino que reduciría las retribuciones de 2012 pendientes de devengarse con posterioridad a la entrada en vigor del Real Decreto-ley 20/2012, y el no abono de la paga extraordinaria en el mes correspondiente de pago sería, simplemente, una forma de ejecutar esa reducción.</w:t>
      </w:r>
    </w:p>
    <w:p w:rsidR="00163957" w:rsidRDefault="00163957" w:rsidP="00163957">
      <w:pPr>
        <w:pStyle w:val="TextoNormal"/>
      </w:pPr>
    </w:p>
    <w:p w:rsidR="00163957" w:rsidRDefault="00163957" w:rsidP="00163957">
      <w:pPr>
        <w:pStyle w:val="TextoNormal"/>
      </w:pPr>
      <w:r>
        <w:t>Esta interpretación considera el órgano judicial que haría conforme al precepto legal con los artículos 9.3 y 33.3 de la Constitución y dejaría incólume la jurisprudencia sobre el devengo de las pagas extraordinarias y se vería apoyada en el tenor literal del art. 2. Entiende el órgano judicial que el apartado 1 de dicho precepto lo que está diciendo es que se procede a una reducción de retribuciones en 2012, su apartado 2, “lo que dispone son reglas de ejecución de la anterior reducción, fijando en principio tal ejecución mediante el no abono de la segunda paga extraordinaria, pero dejando abierta la posibilidad de realizar el recorte salarial de forma prorrateada entre las nóminas pendientes de emitirse (incluyendo la de la segunda paga extraordinaria). Pero, sobre todo, porque en el apartado 5 se dispone una reducción retributiva de una catorceava parte para el personal que no percibe pagas extras o que cobra más de dos al año, a prorratear entre nóminas pendientes de emitir a partir del 14 de julio de 2012, y que en el 6 se dejan fuera de la reducción salarial al personal que percibe menos de 1,5 veces del salario mínimo interprofesional, lo que evidencia que la intención del precepto es hacer una reducción general de retribuciones del personal público y no simplemente suprimir una paga extraordinaria”.</w:t>
      </w:r>
    </w:p>
    <w:p w:rsidR="00163957" w:rsidRDefault="00163957" w:rsidP="00163957">
      <w:pPr>
        <w:pStyle w:val="TextoNormal"/>
      </w:pPr>
    </w:p>
    <w:p w:rsidR="00163957" w:rsidRDefault="00163957" w:rsidP="00163957">
      <w:pPr>
        <w:pStyle w:val="TextoNormal"/>
      </w:pPr>
      <w:r>
        <w:t>Además el Juzgado considera que “la anterior interpretación sería más conforme con el principio de igualdad”, por las razones que expresa en el Auto de planteamiento de la cuestión.</w:t>
      </w:r>
    </w:p>
    <w:p w:rsidR="00163957" w:rsidRDefault="00163957" w:rsidP="00163957">
      <w:pPr>
        <w:pStyle w:val="TextoNormal"/>
      </w:pPr>
    </w:p>
    <w:p w:rsidR="00163957" w:rsidRDefault="00163957" w:rsidP="00163957">
      <w:pPr>
        <w:pStyle w:val="TextoNormal"/>
      </w:pPr>
      <w:r>
        <w:t>Pese a ello el Juzgado concluye que estima procedente el planteamiento de la cuestión de inconstitucionalidad respecto del art. 2 del Real Decreto-ley 20/2012, atendiendo a “que la anterior interpretación no es inequívoca, pues la propia exposición de motivos del Real Decreto-ley 20/2012 —aunque es verdad que luego la redacción positiva es bastante más compleja— habla de supresión durante el año 2012 de la paga extraordinaria del mes de diciembre y la paga adicional de complemento específico o pagas adicionales equivalentes del mes de diciembre”.</w:t>
      </w:r>
    </w:p>
    <w:p w:rsidR="00163957" w:rsidRDefault="00163957" w:rsidP="00163957">
      <w:pPr>
        <w:pStyle w:val="TextoNormal"/>
      </w:pPr>
    </w:p>
    <w:p w:rsidR="00163957" w:rsidRDefault="00163957" w:rsidP="00163957">
      <w:pPr>
        <w:pStyle w:val="TextoNormal"/>
      </w:pPr>
      <w:r w:rsidRPr="00163957">
        <w:rPr>
          <w:rStyle w:val="NumeroAFNegritaCaracter"/>
        </w:rPr>
        <w:t>4</w:t>
      </w:r>
      <w:r>
        <w:t>. El Pleno de este Tribunal, a propuesta de la Sección Tercera, acordó admitir a trámite la cuestión de inconstitucionalidad mediante providencia de 24 de junio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15 días, pudieran personarse en el procedimiento y formular las alegaciones que estimasen convenientes; comunicar la resolución al Juzgado de lo Social núm. 5 de Santa Cruz de Tenerife, a fin de que, de conformidad con lo dispuesto en el art. 35 LOTC, permaneciese suspendido el proceso hasta que este Tribunal resolviese efectivamente la cuestión; y publicar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El Abogado del Estado, mediante escrito de alegaciones registrado el 2 de julio de 2014, se personó interesando la desestimación de la cuestión de inconstitucionalidad por las razones que, resumidamente, se exponen a continuación.</w:t>
      </w:r>
    </w:p>
    <w:p w:rsidR="00163957" w:rsidRDefault="00163957" w:rsidP="00163957">
      <w:pPr>
        <w:pStyle w:val="TextoNormal"/>
      </w:pPr>
    </w:p>
    <w:p w:rsidR="00163957" w:rsidRDefault="00163957" w:rsidP="00163957">
      <w:pPr>
        <w:pStyle w:val="TextoNormal"/>
      </w:pPr>
      <w:r>
        <w:t>Tras reproducir el contenido del art. 2 del Real Decreto-ley 20/2012,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a 15 de julio de 2012).</w:t>
      </w:r>
    </w:p>
    <w:p w:rsidR="00163957" w:rsidRDefault="00163957" w:rsidP="00163957">
      <w:pPr>
        <w:pStyle w:val="TextoNormal"/>
      </w:pPr>
    </w:p>
    <w:p w:rsidR="00163957" w:rsidRDefault="00163957" w:rsidP="00163957">
      <w:pPr>
        <w:pStyle w:val="TextoNormal"/>
      </w:pPr>
      <w:r>
        <w:t>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00163957" w:rsidRDefault="00163957" w:rsidP="00163957">
      <w:pPr>
        <w:pStyle w:val="TextoNormal"/>
      </w:pPr>
    </w:p>
    <w:p w:rsidR="00163957" w:rsidRDefault="00163957" w:rsidP="00163957">
      <w:pPr>
        <w:pStyle w:val="TextoNormal"/>
      </w:pPr>
      <w: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w:t>
      </w:r>
      <w:r>
        <w:lastRenderedPageBreak/>
        <w:t>Auto de planteamiento, la cuestión radica en determinar si el derecho a la paga extraordinaria de Navidad, en cantidad proporcional a los días 1 al 15 de julio, “estaba ya consolidado, asumido e integrado en el patrimonio de los trabajadores cuando entró en vigor” el Real Decreto-ley 20/2012, o si, por el contrario, se trataba de una expectativa de derecho o de un derecho futuro o condicionado.</w:t>
      </w:r>
    </w:p>
    <w:p w:rsidR="00163957" w:rsidRDefault="00163957" w:rsidP="00163957">
      <w:pPr>
        <w:pStyle w:val="TextoNormal"/>
      </w:pPr>
    </w:p>
    <w:p w:rsidR="00163957" w:rsidRDefault="00163957" w:rsidP="00163957">
      <w:pPr>
        <w:pStyle w:val="TextoNormal"/>
      </w:pPr>
      <w:r>
        <w:t>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w:t>
      </w:r>
    </w:p>
    <w:p w:rsidR="00163957" w:rsidRDefault="00163957" w:rsidP="00163957">
      <w:pPr>
        <w:pStyle w:val="TextoNormal"/>
      </w:pPr>
    </w:p>
    <w:p w:rsidR="00163957" w:rsidRDefault="00163957" w:rsidP="00163957">
      <w:pPr>
        <w:pStyle w:val="TextoNormal"/>
      </w:pPr>
      <w:r>
        <w:t>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 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00163957" w:rsidRDefault="00163957" w:rsidP="00163957">
      <w:pPr>
        <w:pStyle w:val="TextoNormal"/>
      </w:pPr>
    </w:p>
    <w:p w:rsidR="00163957" w:rsidRDefault="00163957" w:rsidP="00163957">
      <w:pPr>
        <w:pStyle w:val="TextoNormal"/>
      </w:pPr>
      <w: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w:t>
      </w:r>
      <w:r>
        <w:lastRenderedPageBreak/>
        <w:t>senda de consolidación fiscal pactada con los órganos de la Unión Europea, España se ha visto obligada a una fuerte reducción del déficit del 8,9 por 100 del PIB en 2011 al 6,3 por 100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00163957" w:rsidRDefault="00163957" w:rsidP="00163957">
      <w:pPr>
        <w:pStyle w:val="TextoNormal"/>
      </w:pPr>
    </w:p>
    <w:p w:rsidR="00163957" w:rsidRDefault="00163957" w:rsidP="00163957">
      <w:pPr>
        <w:pStyle w:val="TextoNormal"/>
      </w:pPr>
      <w:r>
        <w:t>Por todo ello, se interesa la desestimación de la cuestión.</w:t>
      </w:r>
    </w:p>
    <w:p w:rsidR="00163957" w:rsidRDefault="00163957" w:rsidP="00163957">
      <w:pPr>
        <w:pStyle w:val="TextoNormal"/>
      </w:pPr>
    </w:p>
    <w:p w:rsidR="00163957" w:rsidRDefault="00163957" w:rsidP="00163957">
      <w:pPr>
        <w:pStyle w:val="TextoNormal"/>
      </w:pPr>
      <w:r w:rsidRPr="00163957">
        <w:rPr>
          <w:rStyle w:val="NumeroAFNegritaCaracter"/>
        </w:rPr>
        <w:t>6</w:t>
      </w:r>
      <w:r>
        <w:t>. Por escrito registrado el 3 de julio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t>Mediante escrito registrado el 9 de julio de 2014, el Presidente del Senado comunicó a este Tribunal el acuerdo de la Mesa para que se diera por personada a la Cámara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7</w:t>
      </w:r>
      <w:r>
        <w:t>. El Fiscal General del Estado presentó escrito de alegaciones ante este Tribunal el 14 de julio de 2014 interesando la estimación de la presente cuestión de inconstitucionalidad.</w:t>
      </w:r>
    </w:p>
    <w:p w:rsidR="00163957" w:rsidRDefault="00163957" w:rsidP="00163957">
      <w:pPr>
        <w:pStyle w:val="TextoNormal"/>
      </w:pPr>
    </w:p>
    <w:p w:rsidR="00163957" w:rsidRDefault="00163957" w:rsidP="00163957">
      <w:pPr>
        <w:pStyle w:val="TextoNormal"/>
      </w:pPr>
      <w:r>
        <w:t>Coincidiendo con lo expuesto en el Auto de planteamiento de la cuestión, considera el Fiscal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00163957" w:rsidRDefault="00163957" w:rsidP="00163957">
      <w:pPr>
        <w:pStyle w:val="TextoNormal"/>
      </w:pPr>
    </w:p>
    <w:p w:rsidR="00163957" w:rsidRDefault="00163957" w:rsidP="00163957">
      <w:pPr>
        <w:pStyle w:val="TextoNormal"/>
      </w:pPr>
      <w: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trabajadores,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día a día, incorporándose cada jornada al patrimonio del trabajador, y ello con independencia de que su efectiva percepción tenga lugar en el último mes del período (salario devengado pero de percepción diferida). 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w:t>
      </w:r>
      <w:r w:rsidRPr="00163957">
        <w:rPr>
          <w:i/>
        </w:rPr>
        <w:t>N.K.M. c. Hungría</w:t>
      </w:r>
      <w:r>
        <w:t xml:space="preserve">), que declaró la vulneración del </w:t>
      </w:r>
      <w:r>
        <w:lastRenderedPageBreak/>
        <w:t>art. 1 del protocolo núm. 1 anexo al convenio por un acto de privación de la cuantía de una indemnización (cantidad devengada pero no percibida) por cese a una funcionaria, señalándose que “los bienes” en el sentido del citado art.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00163957" w:rsidRDefault="00163957" w:rsidP="00163957">
      <w:pPr>
        <w:pStyle w:val="TextoNormal"/>
      </w:pPr>
    </w:p>
    <w:p w:rsidR="00163957" w:rsidRDefault="00163957" w:rsidP="00163957">
      <w:pPr>
        <w:pStyle w:val="TextoNormal"/>
      </w:pPr>
      <w:r>
        <w:t>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máxima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00163957" w:rsidRDefault="00163957" w:rsidP="00163957">
      <w:pPr>
        <w:pStyle w:val="TextoNormal"/>
      </w:pPr>
    </w:p>
    <w:p w:rsidR="00163957" w:rsidRDefault="00163957" w:rsidP="00163957">
      <w:pPr>
        <w:pStyle w:val="TextoNormal"/>
      </w:pPr>
      <w:r>
        <w:t>El Fiscal General del Estado concluye sus alegaciones precisando que en el Auto de planteamiento no se cuestiona todo el art. 2 Real Decreto-ley sino sólo sus apartados 2.1 y 2.2.1, ya que son éstos los que resultan aplicables para resolver el pleito sometido al conocimiento del Juzgado de lo Social núm. 5 de Santa Cruz de Tenerife.</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28 de mayo de 2015, la Sala Segunda acordó, de conformidad con lo dispuesto en el art. 88.1 LOTC, dirigir atenta comunicación al Ayuntamiento de Los Silos (Tenerife), a fin de que indique a este Tribunal si, en atención a los previsto en la disposición adicional duodécima de la Ley 36/2014, de presupuestos generales del Estado para el año 2015, o por cualquier otra circunstancia, ha satisfecho a su personal laboral alguna cantidad en concepto de recuperación de la parte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163957" w:rsidRDefault="00163957" w:rsidP="00163957">
      <w:pPr>
        <w:pStyle w:val="TextoNormal"/>
      </w:pPr>
    </w:p>
    <w:p w:rsidR="00163957" w:rsidRDefault="00163957" w:rsidP="00163957">
      <w:pPr>
        <w:pStyle w:val="TextoNormal"/>
      </w:pPr>
      <w:r w:rsidRPr="00163957">
        <w:rPr>
          <w:rStyle w:val="NumeroAFNegritaCaracter"/>
        </w:rPr>
        <w:t>9</w:t>
      </w:r>
      <w:r>
        <w:t>. En contestación a dicho requerimiento, por escrito registrado en este Tribunal el 19 de junio de 2015, el Ayuntamiento de Los Silos informó que con fecha 8 de mayo de 2015 se procedió al reintegro de la parte proporcional de la paga extraordinaria de 2012 al personal laboral de ese Ayuntamiento por el importe correspondiente a 44 días.</w:t>
      </w:r>
    </w:p>
    <w:p w:rsidR="00163957" w:rsidRDefault="00163957" w:rsidP="00163957">
      <w:pPr>
        <w:pStyle w:val="TextoNormal"/>
      </w:pPr>
    </w:p>
    <w:p w:rsidR="00163957" w:rsidRDefault="00163957" w:rsidP="00163957">
      <w:pPr>
        <w:pStyle w:val="TextoNormal"/>
      </w:pPr>
      <w:r w:rsidRPr="00163957">
        <w:rPr>
          <w:rStyle w:val="NumeroAFNegritaCaracter"/>
        </w:rPr>
        <w:t>10</w:t>
      </w:r>
      <w:r>
        <w:t xml:space="preserve">. Con fecha 30 de marzo de 2016 la Secretaría de Justicia de Pleno dirigió comunicación al Ayuntamiento de Los Silos, en el que se solicitaba que como complemento a su </w:t>
      </w:r>
      <w:r>
        <w:lastRenderedPageBreak/>
        <w:t>escrito de 19 de junio de 2015 indicara a este Tribunal si con posterioridad a esa fecha y en atención a lo previsto en el Real Decreto-ley 20/2015 o por otra circunstancia, ha sido abonada alguna otra cantidad y el número de días de la referida paga a la que corresponde la cuantía abonada.</w:t>
      </w:r>
    </w:p>
    <w:p w:rsidR="00163957" w:rsidRDefault="00163957" w:rsidP="00163957">
      <w:pPr>
        <w:pStyle w:val="TextoNormal"/>
      </w:pPr>
    </w:p>
    <w:p w:rsidR="00163957" w:rsidRDefault="00163957" w:rsidP="00163957">
      <w:pPr>
        <w:pStyle w:val="TextoNormal"/>
      </w:pPr>
      <w:r w:rsidRPr="00163957">
        <w:rPr>
          <w:rStyle w:val="NumeroAFNegritaCaracter"/>
        </w:rPr>
        <w:t>11</w:t>
      </w:r>
      <w:r>
        <w:t>. Por escrito registrado el 10 de mayo de 2016, el Ayuntamiento de Los Silos informó que “en el mes de marzo del corriente se ha procedido al reintegro de la parte proporcional de la paga extraordinaria de 2012 al personal laboral de este Ayuntamiento por importe correspondiente a 136 días, por lo que, teniendo en cuenta el reintegro efectuado con fecha de 8 de mayo de 2015 (por el importe de 44 días), a esta fecha ha sido reintegrada en su totalidad”.</w:t>
      </w:r>
    </w:p>
    <w:p w:rsidR="00163957" w:rsidRDefault="00163957" w:rsidP="00163957">
      <w:pPr>
        <w:pStyle w:val="TextoNormal"/>
      </w:pPr>
    </w:p>
    <w:p w:rsidR="00163957" w:rsidRDefault="00163957" w:rsidP="00163957">
      <w:pPr>
        <w:pStyle w:val="TextoNormal"/>
      </w:pPr>
      <w:r w:rsidRPr="00163957">
        <w:rPr>
          <w:rStyle w:val="NumeroAFNegritaCaracter"/>
        </w:rPr>
        <w:t>12</w:t>
      </w:r>
      <w:r>
        <w:t>. Por providencia de 2 de junio de 2016 se señaló para deliberación y votación de la presente Sentencia el día 6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Juzgado de lo Social núm. 5 de Santa Cruz de Tenerife plantea cuestión de inconstitucionalidad respecto del art. 2 del Real Decreto-ley 20/2012, de 13 de julio, de medidas para garantizar la estabilidad presupuestaria y de fomento de la competitividad, precepto que dispone la supresión de la paga extraordinaria (o equivalente) del mes de diciembre de 2012 para el personal del sector público. En síntesis, la Sala entiende que el art. 2 del Real Decreto-ley 20/2012, en su aplicación al personal laboral del sector público, puede vulnerar el principio constitucional de interdicción de la retroactividad de las disposiciones sancionadoras no favorables o restrictivas de derechos individuales (art. 9.3 CE), al no contemplar excepción respecto de las cuantías ya devengadas al momento de la entrada en vigor del Real Decreto-ley 20/2012, y el art. 33.3 CE al suprimir un derecho patrimonial sin compensación adecuada.</w:t>
      </w:r>
    </w:p>
    <w:p w:rsidR="00163957" w:rsidRDefault="00163957" w:rsidP="00163957">
      <w:pPr>
        <w:pStyle w:val="TextoNormal"/>
      </w:pPr>
    </w:p>
    <w:p w:rsidR="00163957" w:rsidRDefault="00163957" w:rsidP="00163957">
      <w:pPr>
        <w:pStyle w:val="TextoNormal"/>
      </w:pPr>
      <w:r>
        <w:t>El Fiscal General del Estado coincide con el juicio de inconstitucionalidad formulado por el Auto de planteamiento de la cuestión, por lo que interesa la estimación de la misma, mientras que el Abogado del Estado solicita su desestimación.</w:t>
      </w:r>
    </w:p>
    <w:p w:rsidR="00163957" w:rsidRDefault="00163957" w:rsidP="00163957">
      <w:pPr>
        <w:pStyle w:val="TextoNormal"/>
      </w:pPr>
    </w:p>
    <w:p w:rsidR="00163957" w:rsidRDefault="00163957" w:rsidP="00163957">
      <w:pPr>
        <w:pStyle w:val="TextoNormal"/>
      </w:pPr>
      <w:r w:rsidRPr="00163957">
        <w:rPr>
          <w:rStyle w:val="NumeroAFNegritaCaracter"/>
        </w:rPr>
        <w:t>2</w:t>
      </w:r>
      <w:r>
        <w:t>. Como consta en los antecedentes de esta resolución, el Ayuntamiento de Los Silos ha abonado a su personal en dos pagos, que han tenido lugar en mayo de 2015 y marzo de 2016, la totalidad de la paga extraordinaria de diciembre de 2012, de conformidad con lo previsto en la disposición adicional duodécima de la Ley 36/2014, de presupuestos generales del Estado para el año 2015, el art. 1.1 del Real Decreto-ley 10/2015, de 11 de septiembre, por el que se conceden créditos extraordinarios y suplementos de crédito en el presupuesto del Estado y se adoptan otras medidas en materia de empleo público y de estímulo a la economía, y la disposición adicional duodécima de la Ley 48/2015, de 29 de octubre, de presupuestos generales del Estado para el año 2016.</w:t>
      </w:r>
    </w:p>
    <w:p w:rsidR="00163957" w:rsidRDefault="00163957" w:rsidP="00163957">
      <w:pPr>
        <w:pStyle w:val="TextoNormal"/>
      </w:pPr>
      <w:r>
        <w:t xml:space="preserve">La recuperación del importe de la paga extraordinaria de diciembre de 2012 por el personal laboral del Ayuntamiento de Silos “supone la satisfacción extraprocesal de la pretensión deducida en el proceso laboral sobre la que se articula la presente cuestión. Esto la hace </w:t>
      </w:r>
      <w:r>
        <w:lastRenderedPageBreak/>
        <w:t>perder su objeto, al ser tal satisfacción extraprocesal uno de los posibles supuestos de extinción de la cuestión de inconstitucionalidad (STC 6/2010, FJ 2; AATC 945/1985, de 19 de diciembre; 723/1986, de 18 de septiembre; y 485/2005, de 13 de diciembre)”,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Declarar la extinción de la presente cuestión de inconstitucionalidad por desaparición sobrevenida de su objeto.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seis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10" w:name="SENTENCIA_2016_107"/>
      <w:r>
        <w:lastRenderedPageBreak/>
        <w:t>SENTENCIA 107/2016, de 7 de junio de 2016</w:t>
      </w:r>
    </w:p>
    <w:bookmarkEnd w:id="110"/>
    <w:p w:rsidR="00163957" w:rsidRDefault="00163957" w:rsidP="00163957">
      <w:pPr>
        <w:pStyle w:val="TtuloResolucin"/>
      </w:pPr>
      <w:r>
        <w:t>Pleno</w:t>
      </w:r>
    </w:p>
    <w:p w:rsidR="00163957" w:rsidRDefault="00163957" w:rsidP="00163957">
      <w:pPr>
        <w:pStyle w:val="TtuloBOE"/>
      </w:pPr>
      <w:r>
        <w:t>(BOE núm. 170, de 15 de julio de 2016)</w:t>
      </w:r>
    </w:p>
    <w:p w:rsidR="00163957" w:rsidRDefault="00163957" w:rsidP="00163957">
      <w:pPr>
        <w:pStyle w:val="TextoNormalCentrado"/>
      </w:pPr>
      <w:r>
        <w:t>ECLI:ES:TC:2016:107</w:t>
      </w:r>
    </w:p>
    <w:p w:rsidR="00163957" w:rsidRDefault="00163957" w:rsidP="00163957">
      <w:pPr>
        <w:pStyle w:val="TextoNormalCentrado"/>
      </w:pPr>
    </w:p>
    <w:p w:rsidR="00163957" w:rsidRDefault="00163957" w:rsidP="00163957">
      <w:pPr>
        <w:pStyle w:val="SntesisDescriptiva"/>
      </w:pPr>
      <w:r>
        <w:t>Recurso de amparo 6205-2015. Promovido por los diputados del Grupo Parlamentario Ciudadanos en el Parlamento de Cataluña respecto de los acuerdos adoptados por la Mesa de la Cámara en relación con la admisión a trámite de una propuesta de resolución sobre el inicio del proceso político en Cataluña como consecuencia de los resultados electorales.</w:t>
      </w:r>
    </w:p>
    <w:p w:rsidR="00163957" w:rsidRDefault="00163957" w:rsidP="00163957">
      <w:pPr>
        <w:pStyle w:val="SntesisDescriptiva"/>
      </w:pPr>
    </w:p>
    <w:p w:rsidR="00163957" w:rsidRDefault="00163957" w:rsidP="00163957">
      <w:pPr>
        <w:pStyle w:val="SntesisAnaltica"/>
      </w:pPr>
      <w:r>
        <w:t>Vulneración del derecho a la participación política: rechazo de la solicitud de reconsideración adoptada sin dar audiencia a la junta de portavoces, trámite esencial del procedimiento interno de garantía.</w:t>
      </w:r>
    </w:p>
    <w:p w:rsidR="00163957" w:rsidRDefault="00163957" w:rsidP="00163957">
      <w:pPr>
        <w:pStyle w:val="SntesisAnaltica"/>
      </w:pPr>
    </w:p>
    <w:p w:rsidR="00163957" w:rsidRDefault="00163957" w:rsidP="00163957">
      <w:pPr>
        <w:pStyle w:val="Extracto"/>
      </w:pPr>
      <w:r>
        <w:t>1.</w:t>
      </w:r>
      <w:r>
        <w:tab/>
        <w:t>La resolución de la Mesa impugnada por la que se rechazaron las solicitudes de reconsideración de la admisión a trámite se adoptó con la omisión del trámite esencial de este procedimiento de garantía interna que es la previa audiencia a la Junta de Portavoces, que posee conexión inmediata con las facultades de los representantes, inherentes al</w:t>
      </w:r>
      <w:r w:rsidRPr="00163957">
        <w:rPr>
          <w:i/>
        </w:rPr>
        <w:t xml:space="preserve"> ius in officium</w:t>
      </w:r>
      <w:r>
        <w:t>, de constituir grupos parlamentarios en los plazos reglamentarios; de designar, sucesivamente, a sus portavoces o representantes; y de perfeccionar su intervención en concurrencia con otros grupos en un órgano colegiado. Tal omisión produjo la lesión del derecho fundamental de los demandantes enunciado en el art. 23.2 CE [FJ 4].</w:t>
      </w:r>
    </w:p>
    <w:p w:rsidR="00163957" w:rsidRDefault="00163957" w:rsidP="00163957">
      <w:pPr>
        <w:pStyle w:val="Extracto"/>
      </w:pPr>
    </w:p>
    <w:p w:rsidR="00163957" w:rsidRDefault="00163957" w:rsidP="00163957">
      <w:pPr>
        <w:pStyle w:val="Extracto"/>
      </w:pPr>
      <w:r>
        <w:t>2.</w:t>
      </w:r>
      <w:r>
        <w:tab/>
        <w:t>Al Tribunal Constitucional le corresponde siempre determinar el orden del examen de las diversas invocaciones, conforme a las circunstancias de cada concreto supuesto (STC 169/2013) en que con carácter general, el análisis suele comenzar por las lesiones de carácter procedimental [FJ 2].</w:t>
      </w:r>
    </w:p>
    <w:p w:rsidR="00163957" w:rsidRDefault="00163957" w:rsidP="00163957">
      <w:pPr>
        <w:pStyle w:val="Extracto"/>
      </w:pPr>
    </w:p>
    <w:p w:rsidR="00163957" w:rsidRDefault="00163957" w:rsidP="00163957">
      <w:pPr>
        <w:pStyle w:val="Extracto"/>
      </w:pPr>
      <w:r>
        <w:t>3.</w:t>
      </w:r>
      <w:r>
        <w:tab/>
        <w:t>Las Mesas no deben, con carácter general, inadmitir propuestas o proposiciones a causa de la supuesta inconstitucionalidad de su contenido, lo que infringiría el derecho fundamental de sus impulsores (art. 23.2 CE); este principio solo consiente una muy limitada salvedad, pues en supuestos excepcionales las Mesas pueden inadmitir a trámite, sin daño para el derecho fundamental citado, las propuestas o proposiciones cuya contradicción con el Derecho o inconstitucionalidad sea “palmaria y evidente” (SSTC 124/1995 y 10/2016) [FJ 3].</w:t>
      </w:r>
    </w:p>
    <w:p w:rsidR="00163957" w:rsidRDefault="00163957" w:rsidP="00163957">
      <w:pPr>
        <w:pStyle w:val="Extracto"/>
      </w:pPr>
    </w:p>
    <w:p w:rsidR="00163957" w:rsidRDefault="00163957" w:rsidP="00163957">
      <w:pPr>
        <w:pStyle w:val="Extracto"/>
      </w:pPr>
      <w:r>
        <w:t>4.</w:t>
      </w:r>
      <w:r>
        <w:tab/>
        <w:t>No cualquier acto que infrinja el estatus jurídico aplicable conlleva la vulneración de los derechos de los representantes contenidos en el derecho fundamental del art. 23.2 CE, sino que a estos efectos solo poseen relevancia constitucional los derechos o facultades atribuidos al representante que pertenezcan al núcleo de su función representativa (SSTC 141/2007; 36/2014) [FJ 4].</w:t>
      </w:r>
    </w:p>
    <w:p w:rsidR="00163957" w:rsidRDefault="00163957" w:rsidP="00163957">
      <w:pPr>
        <w:pStyle w:val="Extracto"/>
      </w:pPr>
    </w:p>
    <w:p w:rsidR="00163957" w:rsidRDefault="00163957" w:rsidP="00163957">
      <w:pPr>
        <w:pStyle w:val="Extracto"/>
      </w:pPr>
      <w:r>
        <w:t>5.</w:t>
      </w:r>
      <w:r>
        <w:tab/>
        <w:t xml:space="preserve">El art. 23.2 CE consagra la dimensión pasiva del derecho de participación política, reconociendo el derecho de los ciudadanos, en condiciones de igualdad y con los requisitos que señalen las leyes, tanto a acceder como a permanecer en las funciones y cargos públicos, de suerte que no puede ser removido de aquellos el cargo </w:t>
      </w:r>
      <w:r>
        <w:lastRenderedPageBreak/>
        <w:t>elegido, si no es por causas y de acuerdo con procedimientos legalmente establecidos; correspondiendo a los Reglamentos parlamentarios, la fijación y ordenación de sus derechos (SSTC 5/1983, 10/1983 y 202/2014) [FJ 4].</w:t>
      </w:r>
    </w:p>
    <w:p w:rsidR="00163957" w:rsidRDefault="00163957" w:rsidP="00163957">
      <w:pPr>
        <w:pStyle w:val="Extracto"/>
      </w:pPr>
    </w:p>
    <w:p w:rsidR="00163957" w:rsidRDefault="00163957" w:rsidP="00163957">
      <w:pPr>
        <w:pStyle w:val="Extracto"/>
      </w:pPr>
      <w:r>
        <w:t>6.</w:t>
      </w:r>
      <w:r>
        <w:tab/>
        <w:t xml:space="preserve">Quedan encuadradas en el núcleo de la actividad representativa del </w:t>
      </w:r>
      <w:r w:rsidRPr="00163957">
        <w:rPr>
          <w:i/>
        </w:rPr>
        <w:t xml:space="preserve">ius in officium </w:t>
      </w:r>
      <w:r>
        <w:t>de los representantes, aquellas funciones que solo pueden ejercer los titulares del cargo público por ser la expresión del carácter representativo de la institución (STC 169/2009) [FJ 4].</w:t>
      </w:r>
    </w:p>
    <w:p w:rsidR="00163957" w:rsidRDefault="00163957" w:rsidP="00163957">
      <w:pPr>
        <w:pStyle w:val="Extracto"/>
      </w:pPr>
    </w:p>
    <w:p w:rsidR="00163957" w:rsidRDefault="00163957" w:rsidP="00163957">
      <w:pPr>
        <w:pStyle w:val="Extracto"/>
      </w:pPr>
      <w:r>
        <w:t>7.</w:t>
      </w:r>
      <w:r>
        <w:tab/>
        <w:t>La facultad de constituir grupo parlamentario, en la forma y con los requisitos que establezcan los reglamentos de las Cámaras, corresponde a los diputados, constituyendo una facultad que pertenece al núcleo principal de su función representativa parlamentaria (SSTC 64/2002) [FJ 4].</w:t>
      </w:r>
    </w:p>
    <w:p w:rsidR="00163957" w:rsidRDefault="00163957" w:rsidP="00163957">
      <w:pPr>
        <w:pStyle w:val="Extracto"/>
      </w:pPr>
    </w:p>
    <w:p w:rsidR="00163957" w:rsidRDefault="00163957" w:rsidP="00163957">
      <w:pPr>
        <w:pStyle w:val="Extracto"/>
      </w:pPr>
      <w:r>
        <w:t>8.</w:t>
      </w:r>
      <w:r>
        <w:tab/>
        <w:t>Los actos de las Cámaras que, del modo que, conforme al Reglamento, impidan, menoscaben o perturben el ejercicio de la facultad de los parlamentarios de constituirse en grupo conllevan la infracción del derecho enunciado en el art. 23.2 CE y del derecho de todos los ciudadanos, al que los primeros dan efectividad, a participar en los asuntos públicos por medio de representantes (SSTC 141/2007, 10/2013) [FJ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amparo 6205-2015, presentado por el Procurador de los Tribuna-les don José Luis García Guardia en nombre y representación de los diputados del grupo parlamentario Ciudadanos en el Parlamento de Cataluña doña Inés Arrimadas García, don Matías Alonso Ruiz, doña Susana Beltrán García, doña Marina Bravo Sobrino, don Carlos Carrizosa Torres, don Juan María Castel Sucarrat, doña Noemí de la Calle Sifré, don Fernando Tomás de Páramo Gómez, doña Carmen de Rivera Pla, don Francisco Javier Domínguez Serrano, don José María Espejo-Saavedra Conesa, don Antonio Espinosa Cerrato, don Jesús Galiano Gutiérrez, don Joan García González, don Francisco Javier Hervías Chirosa, don David Mejía Ayra, don Javier Rivas Escamilla, doña Lorena Roldán Suárez, don Alfonso Sánchez Fisac, don Carlos Sánchez Martín, don Sergio Sanz Jiménez, doña Sonia Sierra Infante, don Jorge Soler González, doña Elisabeth Valencia Mimbrero y doña Laura Vílchez </w:t>
      </w:r>
      <w:r>
        <w:lastRenderedPageBreak/>
        <w:t>Sánchez, asistidos por los letrados doña María Luisa García Blanco y don Isaac Salama Salama, contra el acuerdo de la Mesa del Parlamento de Cataluña, de 27 de octubre de 2015, por el que se admite a trámite la “propuesta de resolución sobre el inicio del proceso político en Cataluña como consecuencia de los resultados electorales”, y contra el acuerdo de la misma Mesa, de 3 de noviembre de 2015, por el que se desestima la solicitud de reconsideración del acuerdo anterior formulada por los grupos parlamentarios de Ciudadanos y del Partido Socialista de Cataluña. Han comparecido el Ministerio Fiscal y los Letrados del Parlamento de Cataluña, en representación de la Cámara. Ha sido ponente el magistrado don Juan Antonio Xiol Ríos,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de demanda que tuvo entrada en el Tribunal Constitucional el 4 de noviembre de 2015, el Procurador de los Tribunales don José Luis García Guardia presentó recurso de amparo constitucional en nombre y representación de los diputados del grupo parlamentario Ciudadanos en el Parlamento de Cataluña doña Inés Arrimadas García, don Matías Alonso Ruiz, doña Susana Beltrán García, doña Marina Bravo Sobrino, don Carlos Carrizosa Torres, don Juan María Castel Sucurrat, doña Noemí de la Calle Sifré, don Fernando Tomás de Páramo Gómez, doña Carmen de Rivera Pla, don Francisco Javier Domínguez Serrano, don José María Espejo-Saavedra Conesa, don Antonio Espinosa Cerrato, don Jesús Galiano Gutiérrez, don Joan García González, don Francisco Javier Hervías Chirosa, don David Mejía Ayra, don Javier Rivas Escamilla, doña Lorena Roldán Suárez, don Alfonso Sánchez Fisac, don Carlos Sánchez Martín, don Sergio Sanz Jiménez, doña Sonia Sierra Infante, don Jorge Soler González, doña Elisabeth Valencia Mimbrero y doña Laura Vilchez. El recurso se dirige contra los acuerdos de la Mesa del Parlamento de Cataluña de 27 de octubre y de 3 de noviembre de 2015.</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expuestos en la demanda de amparo son, en síntesis, los siguientes:</w:t>
      </w:r>
    </w:p>
    <w:p w:rsidR="00163957" w:rsidRDefault="00163957" w:rsidP="00163957">
      <w:pPr>
        <w:pStyle w:val="TextoNormal"/>
      </w:pPr>
    </w:p>
    <w:p w:rsidR="00163957" w:rsidRDefault="00163957" w:rsidP="00163957">
      <w:pPr>
        <w:pStyle w:val="TextoNormal"/>
      </w:pPr>
      <w:r>
        <w:t>a) En el “Boletín Oficial del Parlamento de Cataluña” de 27 de octubre de 2015 (XI Legislatura) se publicó la admisión a trámite por la Mesa del Parlamento de la “propuesta de resolución sobre el inicio del proceso político en Cataluña como consecuencia de los resultados electorales” presentada por los grupos parlamentarios Junts pel Sí y Candidatura d’Unitat Popular (CUP), de acuerdo con lo que establecen los arts. 164 y 165 del Reglamento del Parlamento de Cataluña (RPC, en lo sucesivo), solicitando que se sustanciara ante el Pleno por el procedimiento de urgencia. En la transcripción que la demanda incorpora, el texto de dicha propuesta de resolución es el siguiente:</w:t>
      </w:r>
    </w:p>
    <w:p w:rsidR="00163957" w:rsidRDefault="00163957" w:rsidP="00163957">
      <w:pPr>
        <w:pStyle w:val="TextoNormal"/>
      </w:pPr>
    </w:p>
    <w:p w:rsidR="00163957" w:rsidRDefault="00163957" w:rsidP="00163957">
      <w:pPr>
        <w:pStyle w:val="TextoNormal"/>
      </w:pPr>
      <w:r>
        <w:t>“El Parlamento de Cataluña:</w:t>
      </w:r>
    </w:p>
    <w:p w:rsidR="00163957" w:rsidRDefault="00163957" w:rsidP="00163957">
      <w:pPr>
        <w:pStyle w:val="TextoNormal"/>
      </w:pPr>
    </w:p>
    <w:p w:rsidR="00163957" w:rsidRDefault="00163957" w:rsidP="00163957">
      <w:pPr>
        <w:pStyle w:val="TextoNormal"/>
      </w:pPr>
      <w:r>
        <w:t>Primero. Constata que el mandato democrático obtenido en las pasadas elecciones del 27 de septiembre de 2015 se basa en una mayoría de escaños de las fuerzas parlamentarias con el objetivo de que Cataluña devenga un Estado independiente y en una amplia mayoría soberanista en votos y escaños que apuesta por la apertura de un proceso constituyente no subordinado.</w:t>
      </w:r>
    </w:p>
    <w:p w:rsidR="00163957" w:rsidRDefault="00163957" w:rsidP="00163957">
      <w:pPr>
        <w:pStyle w:val="TextoNormal"/>
      </w:pPr>
    </w:p>
    <w:p w:rsidR="00163957" w:rsidRDefault="00163957" w:rsidP="00163957">
      <w:pPr>
        <w:pStyle w:val="TextoNormal"/>
      </w:pPr>
      <w:r>
        <w:lastRenderedPageBreak/>
        <w:t>Segundo. Declara solemnemente el inicio del proceso de creación del Estado catalán independiente en forma de República.</w:t>
      </w:r>
    </w:p>
    <w:p w:rsidR="00163957" w:rsidRDefault="00163957" w:rsidP="00163957">
      <w:pPr>
        <w:pStyle w:val="TextoNormal"/>
      </w:pPr>
    </w:p>
    <w:p w:rsidR="00163957" w:rsidRDefault="00163957" w:rsidP="00163957">
      <w:pPr>
        <w:pStyle w:val="TextoNormal"/>
      </w:pPr>
      <w:r>
        <w:t>Tercero. Proclama la apertura de un proceso constituyente ciudadano, participativo, abierto, integrador y activo con la finalidad de preparar las bases de la futura constitución catalana.</w:t>
      </w:r>
    </w:p>
    <w:p w:rsidR="00163957" w:rsidRDefault="00163957" w:rsidP="00163957">
      <w:pPr>
        <w:pStyle w:val="TextoNormal"/>
      </w:pPr>
    </w:p>
    <w:p w:rsidR="00163957" w:rsidRDefault="00163957" w:rsidP="00163957">
      <w:pPr>
        <w:pStyle w:val="TextoNormal"/>
      </w:pPr>
      <w:r>
        <w:t>Cuarto. Insta al futuro gobierno a adoptar las medidas necesarias para hacer efectivas estas declaraciones.</w:t>
      </w:r>
    </w:p>
    <w:p w:rsidR="00163957" w:rsidRDefault="00163957" w:rsidP="00163957">
      <w:pPr>
        <w:pStyle w:val="TextoNormal"/>
      </w:pPr>
    </w:p>
    <w:p w:rsidR="00163957" w:rsidRDefault="00163957" w:rsidP="00163957">
      <w:pPr>
        <w:pStyle w:val="TextoNormal"/>
      </w:pPr>
      <w:r>
        <w:t>Quinto. Considera pertinente iniciar en el término máximo de 30 días la tramitación de las leyes del proceso constituyente, de seguridad social y de hacienda pública.</w:t>
      </w:r>
    </w:p>
    <w:p w:rsidR="00163957" w:rsidRDefault="00163957" w:rsidP="00163957">
      <w:pPr>
        <w:pStyle w:val="TextoNormal"/>
      </w:pPr>
    </w:p>
    <w:p w:rsidR="00163957" w:rsidRDefault="00163957" w:rsidP="00163957">
      <w:pPr>
        <w:pStyle w:val="TextoNormal"/>
      </w:pPr>
      <w:r>
        <w:t>Sexto. Como depositario de la soberanía y expresión del poder constituyente, reitera que este parlamento y el proceso de desconexión democrática no se supeditarán a las decisiones de las instituciones del Estado español, en particular del Tribunal Constitucional, al que considera deslegitimado y sin competencia, entre otras, a partir de la sentencia de junio de 2010 sobre el Estatuto de Autonomía de Cataluña votado previamente por el pueblo en referéndum.</w:t>
      </w:r>
    </w:p>
    <w:p w:rsidR="00163957" w:rsidRDefault="00163957" w:rsidP="00163957">
      <w:pPr>
        <w:pStyle w:val="TextoNormal"/>
      </w:pPr>
    </w:p>
    <w:p w:rsidR="00163957" w:rsidRDefault="00163957" w:rsidP="00163957">
      <w:pPr>
        <w:pStyle w:val="TextoNormal"/>
      </w:pPr>
      <w:r>
        <w:t>Séptimo. Adoptará las medidas necesarias para abrir este proceso de desconexión democrático, masivo, sostenido y pacífico del Estado español de tal manera que permita el empoderamiento de la ciudadanía a todos los niveles y en base a una participación abierta, activa e integradora.</w:t>
      </w:r>
    </w:p>
    <w:p w:rsidR="00163957" w:rsidRDefault="00163957" w:rsidP="00163957">
      <w:pPr>
        <w:pStyle w:val="TextoNormal"/>
      </w:pPr>
    </w:p>
    <w:p w:rsidR="00163957" w:rsidRDefault="00163957" w:rsidP="00163957">
      <w:pPr>
        <w:pStyle w:val="TextoNormal"/>
      </w:pPr>
      <w:r>
        <w:t>Octavo. Insta al futuro gobierno a cumplir exclusivamente aquellas normas o mandatos emanados de esta Cámara, legítima y democrática, a fin de blindar los derechos fundamentales que pudieran estar afectados por decisiones de las instituciones del Estado español.</w:t>
      </w:r>
    </w:p>
    <w:p w:rsidR="00163957" w:rsidRDefault="00163957" w:rsidP="00163957">
      <w:pPr>
        <w:pStyle w:val="TextoNormal"/>
      </w:pPr>
    </w:p>
    <w:p w:rsidR="00163957" w:rsidRDefault="00163957" w:rsidP="00163957">
      <w:pPr>
        <w:pStyle w:val="TextoNormal"/>
      </w:pPr>
      <w:r>
        <w:t>Noveno. Declara la voluntad de iniciar las negociaciones para hacer efectivo el mandato democrático de creación de un Estado catalán independiente en forma de República y, en este sentido, se ha puesto en conocimiento del Estado español, de la Unión Europea y del conjunto de la comunidad internacional”.</w:t>
      </w:r>
    </w:p>
    <w:p w:rsidR="00163957" w:rsidRDefault="00163957" w:rsidP="00163957">
      <w:pPr>
        <w:pStyle w:val="TextoNormal"/>
      </w:pPr>
    </w:p>
    <w:p w:rsidR="00163957" w:rsidRDefault="00163957" w:rsidP="00163957">
      <w:pPr>
        <w:pStyle w:val="TextoNormal"/>
      </w:pPr>
      <w:r>
        <w:t xml:space="preserve">b) Se dice en la demanda que, ante la manifiesta inconstitucionalidad de esta propuesta, la extrema gravedad de la misma y la palmaria subversión del mandato representativo que constitucionalmente corresponde a los diputados del Parlamento de Cataluña, los grupos parlamentarios de Ciudadanos y del Partido Socialista solicitaron, el 28 de octubre de 2015, la reconsideración por la Mesa de su decisión de admitir la referida propuesta, solicitud a la que se adhirieron los diputados del Partido Popular, aún no constituidos en grupo parlamentario. En dicha solicitud de reconsideración se alegaba, en síntesis: 1) que, no habiéndose constituido aún todos los grupos parlamentarios, era imposible mantener una reunión de la Junta de Portavoces para establecer el orden del día del Pleno a efectos de debatir la propuesta de resolución y que la falta de audiencia a todos los portavoces a este propósito, determinaría una lesión del derecho fundamental enunciado en el art. 23 CE; 2) que la Mesa puede entrar a calificar aspectos materiales de las iniciativas parlamentarias cuando considere que suponen un choque frontal con el ordenamiento jurídico y esa ilegalidad es tan evidente que no se puede subsanar encajando la iniciativa parlamentaria en el marco legal, </w:t>
      </w:r>
      <w:r>
        <w:lastRenderedPageBreak/>
        <w:t>a cuyo efecto se invocó un precedente en el que la Mesa del Parlamento de Cataluña inadmitió, por la misma causa, determinada propuesta de resolución; 3) que la STC 95/1994, de 21 de marzo, señaló que la Mesa podía inadmitir a trámite una iniciativa cuando su contradicción a Derecho o inconstitucionalidad fuese “palmaria y evidente”, citándose al efecto los apartados sexto y octavo de la propuesta de resolución y 4) que la propuesta de resolución estaba firmada sólo por dos grupos, incumpliendo así los requisitos formales para ser tramitada por el procedimiento de urgencia, para lo que el art. 105 RPC exige la firma de tres grupos parlamentarios o de una quinta parte de los diputados.</w:t>
      </w:r>
    </w:p>
    <w:p w:rsidR="00163957" w:rsidRDefault="00163957" w:rsidP="00163957">
      <w:pPr>
        <w:pStyle w:val="TextoNormal"/>
      </w:pPr>
    </w:p>
    <w:p w:rsidR="00163957" w:rsidRDefault="00163957" w:rsidP="00163957">
      <w:pPr>
        <w:pStyle w:val="TextoNormal"/>
      </w:pPr>
      <w:r>
        <w:t>c) Observan los demandantes que la Presidenta del Parlamento de Cataluña, en “una decisión insólita y sin estar aún constituido el grupo parlamentario del Partido Popular de Cataluña”, convocó a la Junta de Portavoces para el día 3 de noviembre de 2015, a las 10:15 horas, con un orden del día referido al “criterio de los portavoces en relación a las solicitudes de reconsideración del acuerdo de la Mesa de admisión a trámite de la Propuesta de resolución sobre el inicio del proceso político en Cataluña como consecuencia de los resultados electorales… presentadas por el G.P. Socialista… G.P. de Ciudadanos… al que se han adherido todos los diputados electos de las listas del Partido Popular”.</w:t>
      </w:r>
    </w:p>
    <w:p w:rsidR="00163957" w:rsidRDefault="00163957" w:rsidP="00163957">
      <w:pPr>
        <w:pStyle w:val="TextoNormal"/>
      </w:pPr>
    </w:p>
    <w:p w:rsidR="00163957" w:rsidRDefault="00163957" w:rsidP="00163957">
      <w:pPr>
        <w:pStyle w:val="TextoNormal"/>
      </w:pPr>
      <w:r>
        <w:t>d) Con fecha 3 de noviembre de 2015, la Mesa desestimó las solicitudes de reconsideración señalando, en síntesis, que su función de calificación [art. 37.3 d) RPC] debía limitarse a una pura verificación formal de la proposición, a fin de respetar el derecho del art. 23.2 CE, y que las propuestas de resolución reguladas en el art. 164 RPC dan lugar a declaraciones de voluntad del Parlamento sin efectos jurídicos.</w:t>
      </w:r>
    </w:p>
    <w:p w:rsidR="00163957" w:rsidRDefault="00163957" w:rsidP="00163957">
      <w:pPr>
        <w:pStyle w:val="TextoNormal"/>
      </w:pPr>
    </w:p>
    <w:p w:rsidR="00163957" w:rsidRDefault="00163957" w:rsidP="00163957">
      <w:pPr>
        <w:pStyle w:val="TextoNormal"/>
      </w:pPr>
      <w:r w:rsidRPr="00163957">
        <w:rPr>
          <w:rStyle w:val="NumeroAFNegritaCaracter"/>
        </w:rPr>
        <w:t>3</w:t>
      </w:r>
      <w:r>
        <w:t>. En la fundamentación en Derecho de la demanda, y tras afirmar el cumplimiento de sus requisitos procesales, se aduce en síntesis lo siguiente:</w:t>
      </w:r>
    </w:p>
    <w:p w:rsidR="00163957" w:rsidRDefault="00163957" w:rsidP="00163957">
      <w:pPr>
        <w:pStyle w:val="TextoNormal"/>
      </w:pPr>
    </w:p>
    <w:p w:rsidR="00163957" w:rsidRDefault="00163957" w:rsidP="00163957">
      <w:pPr>
        <w:pStyle w:val="TextoNormal"/>
      </w:pPr>
      <w:r>
        <w:t>A) Se afirma, en primer lugar, la vulneración del derecho reconocido en el art. 23 CE, a cuyo efecto se hace referencia a la jurisprudencia constitucional tanto sobre el contenido de tal derecho fundamental como acerca de las facultades de las Mesas de las Cámaras para inadmitir en determinadas circunstancias, sin daño para aquel derecho, propuestas o iniciativas parlamentarias. En la apreciación de los recurrentes, de la jurisprudencia que invocan resulta: 1) que el art. 23 CE exige que los cargos públicos se desempeñen de conformidad con lo que disponga la ley, adquiriendo singular relevancia cuando se ejerzan por representantes parlamentarios, pues en tal caso resulta afectado también el derecho de los ciudadanos a participar en los asuntos públicos; y 2) que, como garantía de ese derecho fundamental, las Mesas tienen la potestad de control de las proposiciones o iniciativas presentadas en tres casos: cuando contraríen la naturaleza de la representación, en primer lugar; cuando planteen cuestiones manifiestamente ajenas a las atribuciones de las Cámaras; cuando, en tercer lugar, exista una limitación establecida en la propia Constitución, las leyes que integran el bloque de constitucionalidad o el reglamento parlamentario y, en fin, cuando incurran en una palmaria y evidente contradicción a Derecho o a la Constitución. Como quiera que la Mesa ostenta potestades (no derechos) que debe ejercer conforme a la Constitución, al bloque de la constitucionalidad y al Reglamento de la Cámara, estaría infringiendo el art. 23 CE caso de admitir proposiciones que clara y palmariamente contrariasen la Constitución o el bloque de la constitucionalidad, plantearan cuestiones manifiestamente ajenas a la competencia del Parlamento o subvirtieran el mandato representativo, características todas pre</w:t>
      </w:r>
      <w:r>
        <w:lastRenderedPageBreak/>
        <w:t>dicables de la propuesta aquí admitida a trámite, que es palmaria y manifiestamente contraria al orden constitucional del que pretende desconectarse, que asume competencias que manifiestamente son ajenas al Parlamento y que subvierte el mandato representativo de los diputados, atribuyéndoles funciones constituyentes e invistiéndoles del poder para crear un “Estado catalán independiente en forma de República”.</w:t>
      </w:r>
    </w:p>
    <w:p w:rsidR="00163957" w:rsidRDefault="00163957" w:rsidP="00163957">
      <w:pPr>
        <w:pStyle w:val="TextoNormal"/>
      </w:pPr>
    </w:p>
    <w:p w:rsidR="00163957" w:rsidRDefault="00163957" w:rsidP="00163957">
      <w:pPr>
        <w:pStyle w:val="TextoNormal"/>
      </w:pPr>
      <w:r>
        <w:t>Por lo demás, y frente a lo afirmado en el acuerdo denegatorio de la reconsideración sobre la carencia de efectos jurídicos de este tipo de resoluciones, se sostiene ahora que tal argumento es irrelevante en un recurso de amparo como el presente [art. 42 de la Ley Orgánica del Tribunal Constitucional (LOTC)], para el que basta con la lesión actual de un derecho fundamental (art. 23 CE, en este caso), e incluso para el proceso constitucional del art. 161.2 CE, pues la STC 42/2014, de 25 de marzo, señaló que la declaración de soberanía por un Parlamento autonómico tenía eficacia jurídica mediante unos razonamientos trasladables al caso actual. Difícilmente puede decirse que carezcan de efectos jurídicos las graves manifestaciones de la declaración que nos ocupa y que se pretende sean asumidas por un poder constituido, como es el Parlamento de Cataluña, sometido a la Constitución y a las decisiones de su intérprete supremo, el Tribunal Constitucional. Tras referirse a la regulación en el Reglamento del Parlamento de Cataluña de estas propuestas de resolución, se señala que con la aquí controvertida se trata de impulsar la acción de gobierno hacia un desafío abierto contra la Constitución y todo el orden jurídico y legal emanado de ella y difícilmente puede sostenerse que una propuesta tal carezca de efectos jurídicos. La propuesta que pretende debatirse el 9 de noviembre de 2015 coloca a nuestro Estado social y democrático de Derecho en una encrucijada sin parangón en el Derecho constitucional nacional o comparado y, por tanto, en una situación de verdadera excepcionalidad constitucional. Nunca antes, en la democracia instaurada por la Constitución de 1978, un Parlamento regional había pretendido la desconexión del orden constitucional, la secesión del Estado español y la creación de una nueva República independiente. En esta situación, carece de todo sentido la discusión acerca de si una propuesta de resolución de este tipo tiene o no eficacia jurídica. Tampoco tiene nada que ver el caso actual con el resuelto por los AATC 44/2005 y 45/2005. Entonces se discutía sólo si una Cámara autonómica podía debatir una reforma estatutaria posiblemente inconstitucional, pero aquí, una vez aprobada la propuesta de resolución, se habrá operado el mandato de desconexión de todo el orden constitucional español y de desobediencia de las resoluciones de las instituciones constitucionales, en particular del Tribunal Constitucional.</w:t>
      </w:r>
    </w:p>
    <w:p w:rsidR="00163957" w:rsidRDefault="00163957" w:rsidP="00163957">
      <w:pPr>
        <w:pStyle w:val="TextoNormal"/>
      </w:pPr>
    </w:p>
    <w:p w:rsidR="00163957" w:rsidRDefault="00163957" w:rsidP="00163957">
      <w:pPr>
        <w:pStyle w:val="TextoNormal"/>
      </w:pPr>
      <w:r>
        <w:t>B) Se argumenta, a continuación, la palmaria y manifiesta inconstitucionalidad de la propuesta por violar, entre otros, los arts. 1.2, 2, 9.1 y 168 CE, así como el Estatuto de Autonomía de Cataluña (EAC, en lo que sigue) y la Ley Orgánica del Tribunal Constitucional. Luego de citar y glosar determinados pasajes de la propuesta de resolución, se afirma, en síntesis, que la misma vulnera los preceptos constitucionales citados en los siguientes términos:</w:t>
      </w:r>
    </w:p>
    <w:p w:rsidR="00163957" w:rsidRDefault="00163957" w:rsidP="00163957">
      <w:pPr>
        <w:pStyle w:val="TextoNormal"/>
      </w:pPr>
    </w:p>
    <w:p w:rsidR="00163957" w:rsidRDefault="00163957" w:rsidP="00163957">
      <w:pPr>
        <w:pStyle w:val="TextoNormal"/>
      </w:pPr>
      <w:r>
        <w:t xml:space="preserve">a) El art. 1.2 CE, de conformidad con el cual la soberanía nacional reside en el pueblo español, del que emanan los poderes del Estado, resulta infringido de forma palmaria. Que el Parlamento de Cataluña declare el inicio de un proceso constituyente para que Cataluña devenga un Estado independiente en forma de República, acordando la inmediata desconexión de la Constitución, declarándose en desobediencia de lo que resuelvan las instituciones del Estado y, en particular, el Tribunal Constitucional, e instando al ejecutivo autonómico a </w:t>
      </w:r>
      <w:r>
        <w:lastRenderedPageBreak/>
        <w:t>cumplir aquellas normas o mandatos emanados del Parlamento autonómico son afirmaciones que, sin una previa reforma de la Constitución por el procedimiento agravado, constituyen un simple delirio incompatible con cualquier orden constitucional. Se citan, entre otras, las SSTC 76/1988, 247/2007, 103/2008 y 31/2010.</w:t>
      </w:r>
    </w:p>
    <w:p w:rsidR="00163957" w:rsidRDefault="00163957" w:rsidP="00163957">
      <w:pPr>
        <w:pStyle w:val="TextoNormal"/>
      </w:pPr>
    </w:p>
    <w:p w:rsidR="00163957" w:rsidRDefault="00163957" w:rsidP="00163957">
      <w:pPr>
        <w:pStyle w:val="TextoNormal"/>
      </w:pPr>
      <w:r>
        <w:t>b) La declaración solemne de iniciar el proceso de creación del Estado catalán en forma de República se halla en abierta contradicción con la opción constitucional por la monarquía parlamentaria como forma de gobierno (art. 1.3 CE).</w:t>
      </w:r>
    </w:p>
    <w:p w:rsidR="00163957" w:rsidRDefault="00163957" w:rsidP="00163957">
      <w:pPr>
        <w:pStyle w:val="TextoNormal"/>
      </w:pPr>
    </w:p>
    <w:p w:rsidR="00163957" w:rsidRDefault="00163957" w:rsidP="00163957">
      <w:pPr>
        <w:pStyle w:val="TextoNormal"/>
      </w:pPr>
      <w:r>
        <w:t>c) La propuesta admitida a trámite es manifiestamente inconciliable con el art. 2 CE, al violar el propio fundamento de la Constitución, la indisolubilidad de la Nación, patria común e indivisible de todos los españoles. El Parlamento de Cataluña se autoatribuye el derecho de secesión, esto es, el poder de disolver, por su sola y exclusiva voluntad, lo que la Constitución proclama indisoluble y dividir lo que la norma suprema declara indivisible, citándose al respecto la STC 31/2010.</w:t>
      </w:r>
    </w:p>
    <w:p w:rsidR="00163957" w:rsidRDefault="00163957" w:rsidP="00163957">
      <w:pPr>
        <w:pStyle w:val="TextoNormal"/>
      </w:pPr>
    </w:p>
    <w:p w:rsidR="00163957" w:rsidRDefault="00163957" w:rsidP="00163957">
      <w:pPr>
        <w:pStyle w:val="TextoNormal"/>
      </w:pPr>
      <w:r>
        <w:t>d) La resolución quebranta el art. 9.1 CE y la propuesta admitida a trámite aparece como un acto de visible insumisión a la Constitución. Una asamblea autonómica es un poder constituido y por ende sujeto a la Constitución. Se citan la STC 48/2003 y el ATC 135/2004.</w:t>
      </w:r>
    </w:p>
    <w:p w:rsidR="00163957" w:rsidRDefault="00163957" w:rsidP="00163957">
      <w:pPr>
        <w:pStyle w:val="TextoNormal"/>
      </w:pPr>
    </w:p>
    <w:p w:rsidR="00163957" w:rsidRDefault="00163957" w:rsidP="00163957">
      <w:pPr>
        <w:pStyle w:val="TextoNormal"/>
      </w:pPr>
      <w:r>
        <w:t>e) La propuesta vulnera, entre otros, los arts. 137 y 147 CE. El primero de estos preceptos dota a las Comunidades Autónomas de autonomía para la gestión de sus respectivos intereses, siempre dentro de los términos de la Constitución, ya que las Comunidades Autónomas sólo pueden asumir competencias dentro del marco establecido en la Constitución [art. 147.2 d)]. Resulta groseramente contrario a la Constitución afirmar la “desconexión” del ordenamiento constitucional o de las resoluciones de su supremo intérprete e imponer al ejecutivo autonómico el sometimiento único y exclusivo a las decisiones del propio Parlamento regional.</w:t>
      </w:r>
    </w:p>
    <w:p w:rsidR="00163957" w:rsidRDefault="00163957" w:rsidP="00163957">
      <w:pPr>
        <w:pStyle w:val="TextoNormal"/>
      </w:pPr>
    </w:p>
    <w:p w:rsidR="00163957" w:rsidRDefault="00163957" w:rsidP="00163957">
      <w:pPr>
        <w:pStyle w:val="TextoNormal"/>
      </w:pPr>
      <w:r>
        <w:t>f) La propuesta viola, igualmente, los arts. 166 a 168 CE, preceptos que disciplinan el procedimiento de reforma constitucional, necesario si se pretende hacer tabla rasa con el orden constitucional y crear, mediante un nuevo proceso constituyente, un orden constitucional nuevo. Tras citar las SSTC 103/2008 y 31/2010, se señala que, a diferencia de otras Constituciones, la española vigente no prohíbe la reforma de ninguno de sus preceptos, pero sí somete cualquier reforma constitucional a lo previsto en sus arts. 166 a 169, siendo evidente que ante el Pleno del Parlamento de Cataluña se puede presentar una proposición de reforma constitucional que, una vez aprobada, debe ser remitida al Congreso de los Diputados y continúe su tramitación de conformidad con el art. 168 y siguientes CE (arts. 166 y 87.2 CE y arts. 109 a 125 y 173.1 RPC). Una propuesta como la controvertida nunca debió admitirse a trámite sin que previamente se hubiera iniciado una propuesta de reforma constitucional.</w:t>
      </w:r>
    </w:p>
    <w:p w:rsidR="00163957" w:rsidRDefault="00163957" w:rsidP="00163957">
      <w:pPr>
        <w:pStyle w:val="TextoNormal"/>
      </w:pPr>
    </w:p>
    <w:p w:rsidR="00163957" w:rsidRDefault="00163957" w:rsidP="00163957">
      <w:pPr>
        <w:pStyle w:val="TextoNormal"/>
      </w:pPr>
      <w:r>
        <w:t xml:space="preserve">g) La propuesta viola, asimismo, la Ley Orgánica 6/2006, de 19 de julio, que aprueba el Estatuto de Autonomía de Cataluña, citándose al respecto sus artículos 1 (Cataluña ejerce su autogobierno “de acuerdo con la Constitución y con el presente Estatuto”) y 2.4 (los poderes de la Generalitat “emanan del pueblo catalán y se ejercen de acuerdo con el presente Estatuto y la Constitución”). Se señala que los artículos 111, 116 o 120 EAC atribuyen competencias a la Generalitat siempre dentro de la Constitución y sólo en el marco de esta, </w:t>
      </w:r>
      <w:r>
        <w:lastRenderedPageBreak/>
        <w:t>por lo que resulta evidente que el Parlamento de Cataluña no puede operar una desconexión del ordenamiento español sin una previa reforma constitucional agravada.</w:t>
      </w:r>
    </w:p>
    <w:p w:rsidR="00163957" w:rsidRDefault="00163957" w:rsidP="00163957">
      <w:pPr>
        <w:pStyle w:val="TextoNormal"/>
      </w:pPr>
    </w:p>
    <w:p w:rsidR="00163957" w:rsidRDefault="00163957" w:rsidP="00163957">
      <w:pPr>
        <w:pStyle w:val="TextoNormal"/>
      </w:pPr>
      <w:r>
        <w:t>h) La propuesta vulnera frontalmente la posición institucional del Tribunal Constitucional, citándose al respecto los artículos 164.1 CE y 1.1 y 87.1 LOTC.</w:t>
      </w:r>
    </w:p>
    <w:p w:rsidR="00163957" w:rsidRDefault="00163957" w:rsidP="00163957">
      <w:pPr>
        <w:pStyle w:val="TextoNormal"/>
      </w:pPr>
    </w:p>
    <w:p w:rsidR="00163957" w:rsidRDefault="00163957" w:rsidP="00163957">
      <w:pPr>
        <w:pStyle w:val="TextoNormal"/>
      </w:pPr>
      <w:r>
        <w:t>C) Es evidente, en definitiva, que la propuesta contraría la naturaleza de la representación de los diputados del Parlamento de Cataluña, plantea cuestiones manifiestamente ajenas a las atribuciones de la Cámara y aborda cuestiones sobre las que existen claros límites establecidos en la Constitución y en las leyes que integran el bloque de constitucionalidad, suponiendo una palmaria y evidente contradicción a Derecho o a la Constitución:</w:t>
      </w:r>
    </w:p>
    <w:p w:rsidR="00163957" w:rsidRDefault="00163957" w:rsidP="00163957">
      <w:pPr>
        <w:pStyle w:val="TextoNormal"/>
      </w:pPr>
    </w:p>
    <w:p w:rsidR="00163957" w:rsidRDefault="00163957" w:rsidP="00163957">
      <w:pPr>
        <w:pStyle w:val="TextoNormal"/>
      </w:pPr>
      <w:r>
        <w:t>a) Tras reseñar que el art. 23.1 a) RPC exige, para el acceso al pleno ejercicio de la condición de diputado, la promesa o juramento de respetar la Constitución española y el Estatuto de Autonomía de Cataluña, se indica que el art. 23 CE tiene particular relevancia cuando la petición de amparo se deduce por representantes en defensa del ejercicio de sus funciones, pues en tal caso se afecta también al derecho de los ciudadanos a la participación por medio de representantes.</w:t>
      </w:r>
    </w:p>
    <w:p w:rsidR="00163957" w:rsidRDefault="00163957" w:rsidP="00163957">
      <w:pPr>
        <w:pStyle w:val="TextoNormal"/>
      </w:pPr>
    </w:p>
    <w:p w:rsidR="00163957" w:rsidRDefault="00163957" w:rsidP="00163957">
      <w:pPr>
        <w:pStyle w:val="TextoNormal"/>
      </w:pPr>
      <w:r>
        <w:t>Resulta palmario que la “desconexión” y desobediencia expresa respecto del orden constitucional supone una total y absoluta desnaturalización del mandato representativo, desnaturalización de tal intensidad en este caso que la propuesta indebidamente admitida supone incitar al ejecutivo autonómico a cometer delito de desobediencia o, incluso, de usurpación de atribuciones (arts. 410.1 y 506 del Código penal). Una propuesta del Parlamento de hacer tabla rasa con todo el orden constitucional, desconociéndolo y entrando en desobediencia de las resoluciones jurídicas de las instituciones creadas por la Constitución supone, simple y llanamente, no ya desnaturalizar el mandato representativo otorgado por la Constitución y el Estatuto de Autonomía de Cataluña a los parlamentarios autonómicos, sino pasar por encima del mismo, arrasando ese mandato representativo.</w:t>
      </w:r>
    </w:p>
    <w:p w:rsidR="00163957" w:rsidRDefault="00163957" w:rsidP="00163957">
      <w:pPr>
        <w:pStyle w:val="TextoNormal"/>
      </w:pPr>
    </w:p>
    <w:p w:rsidR="00163957" w:rsidRDefault="00163957" w:rsidP="00163957">
      <w:pPr>
        <w:pStyle w:val="TextoNormal"/>
      </w:pPr>
      <w:r>
        <w:t>b) La propuesta plantea cuestiones manifiestamente ajenas a las atribuciones de la Cámara y aborda cuestiones sobre las que existen claros límites en la Constitución y en las leyes que integran el bloque de la constitucionalidad, suponiendo una palmaria y evidente contradicción a Derecho o a la Constitución.</w:t>
      </w:r>
    </w:p>
    <w:p w:rsidR="00163957" w:rsidRDefault="00163957" w:rsidP="00163957">
      <w:pPr>
        <w:pStyle w:val="TextoNormal"/>
      </w:pPr>
    </w:p>
    <w:p w:rsidR="00163957" w:rsidRDefault="00163957" w:rsidP="00163957">
      <w:pPr>
        <w:pStyle w:val="TextoNormal"/>
      </w:pPr>
      <w:r>
        <w:t>c) La admisión por la Mesa de la propuesta en cuestión vulnera el derecho fundamental del art. 23 CE de los demandantes de amparo. Tras referirse la demanda a la jurisprudencia constitucional sobre las facultades de las Mesas en punto a la posible inadmisión de determinadas iniciativas, se dice que la admisión a trámite de una propuesta abierta y premeditadamente contraria a la Constitución, al Estatuto de Autonomía de Cataluña y a todo el orden constitucional español (al que debe su legitimidad la Mesa del Parlamento) supone una evidente vulneración del núcleo constitucionalmente protegido de la función representativa prevista en el art. 23.2 CE y también una grave conculcación del derecho de los ciudadanos de participar en los asuntos públicos mediante representantes (número 1 del mismo artículo).</w:t>
      </w:r>
    </w:p>
    <w:p w:rsidR="00163957" w:rsidRDefault="00163957" w:rsidP="00163957">
      <w:pPr>
        <w:pStyle w:val="TextoNormal"/>
      </w:pPr>
    </w:p>
    <w:p w:rsidR="00163957" w:rsidRDefault="00163957" w:rsidP="00163957">
      <w:pPr>
        <w:pStyle w:val="TextoNormal"/>
      </w:pPr>
      <w:r>
        <w:t>D) Argumenta la demanda, a continuación, otras vulneraciones del art. 23 CE por infracciones del Reglamento del Parlamento de Cataluña:</w:t>
      </w:r>
    </w:p>
    <w:p w:rsidR="00163957" w:rsidRDefault="00163957" w:rsidP="00163957">
      <w:pPr>
        <w:pStyle w:val="TextoNormal"/>
      </w:pPr>
    </w:p>
    <w:p w:rsidR="00163957" w:rsidRDefault="00163957" w:rsidP="00163957">
      <w:pPr>
        <w:pStyle w:val="TextoNormal"/>
      </w:pPr>
      <w:r>
        <w:t>a) El acuerdo que desestimó la solicitud de reconsideración se adoptó sin que estuviera válidamente constituida la Junta de Portavoces y, por tanto, con infracción del Reglamento del Parlamento de Cataluña de relevancia constitucional. El acuerdo inicial de admisión a trámite se adoptó sin estar constituidos todos los grupos parlamentarios, lo que a su vez imposibilitaba la constitución de la Junta de Portavoces, integrada por los portavoces de todos los grupos parlamentarios (art. 35.1 RPC), falta de constitución de la Junta que, de igual manera, determina la imposibilidad de celebración de un Pleno parlamentario, pues la fijación del correspondiente orden del día por el presidente requiere acuerdo previo de la Junta de Portavoces. Finalmente, el acuerdo de la Mesa del Parlamento, de 3 de noviembre de 2015, que resolvió desestimar la solicitud de reconsideración del anterior acuerdo de la propia Mesa, de 27 de octubre de 2015, infringe el art. 38 RPC, al dictarse aquel acuerdo sin oír a la Junta de Portavoces, que no se hallaba aún constituida. La infracción de los citados preceptos reglamentarios origina de manera innegable una lesión de los derechos fundamentales de los parlamentarios al ejercicio de sus cargos representativos de conformidad con la ley (art. 23.2 CE). Tras citar la jurisprudencia constitucional sobre este derecho fundamental, se aduce que, partiendo de la innegable trascendencia del contenido de la propuesta de resolución admitida a trámite, y teniendo en cuenta que la audiencia previa a la Junta de Portavoces es preceptiva para resolver las solicitudes de reconsideración, así como que la Junta se integra por los portavoces de todos los grupos (arts. 38 y 35.1 RPC), no es discutible que en la configuración legal de los derechos de los parlamentarios catalanes se incluye el de controlar el correcto ejercicio de las funciones de la Mesa del Parlamento a la que, como órgano rector colegiado del mismo, le corresponden las de calificar, de conformidad con el reglamento, los escritos y documentos de índole parlamentaria y declarar su admisión o inadmisión a trámite, así como decidir la tramitación de todos los escritos y documentos de índole parlamentaria, de conformidad con las normas del Reglamento del Parlamento de Cataluña [art. 37.3 d) y e)]. Por tanto, la falta de audiencia a la Junta de Portavoces por parte de la Mesa para desestimar las solicitudes de reconsideración, al no hallarse con carácter previo correctamente constituida la Junta por faltar el portavoz del Partido Popular, vulnera dicho aspecto del derecho de los parlamentarios a ejercer sus funciones representativas (art. 23.2 CE).</w:t>
      </w:r>
    </w:p>
    <w:p w:rsidR="00163957" w:rsidRDefault="00163957" w:rsidP="00163957">
      <w:pPr>
        <w:pStyle w:val="TextoNormal"/>
      </w:pPr>
    </w:p>
    <w:p w:rsidR="00163957" w:rsidRDefault="00163957" w:rsidP="00163957">
      <w:pPr>
        <w:pStyle w:val="TextoNormal"/>
      </w:pPr>
      <w:r>
        <w:t>b) De otra parte, la propuesta de resolución pretende debatirse y aprobarse sin que esté constituido el Gobierno autonómico. Siendo la primera misión de un Parlamento recién constituido la elección del presidente del gobierno (arts. 67 EAC y 146 y 147 RPC), se afirma que la investidura del presidente de la Generalitat es previa a cualquier propuesta del Parlamento, cuya vigencia está supeditada a que pueda elegirse un presidente en un plazo tasado de dos meses desde la primera sesión de investidura. Tanto más —viene a decirse— respecto de una propuesta como la que nos ocupa, en la que se pretende la efectiva e inmediata desconexión de Cataluña de todo el orden constitucional español.</w:t>
      </w:r>
    </w:p>
    <w:p w:rsidR="00163957" w:rsidRDefault="00163957" w:rsidP="00163957">
      <w:pPr>
        <w:pStyle w:val="TextoNormal"/>
      </w:pPr>
    </w:p>
    <w:p w:rsidR="00163957" w:rsidRDefault="00163957" w:rsidP="00163957">
      <w:pPr>
        <w:pStyle w:val="TextoNormal"/>
      </w:pPr>
      <w:r>
        <w:t>E) Se justificó la especial trascendencia constitucional del recurso, conforme a la jurisprudencia constitucional, en razón a que el mismo plantea un problema o una faceta de un derecho fundamental susceptible de amparo sobre el que no hay doctrina del Tribunal Constitucional y también en atención a que el asunto suscitado trasciende del caso concreto porque plantea una cuestión jurídica de relevante y general repercusión social o económica o tiene unas consecuencias políticas generales.</w:t>
      </w:r>
    </w:p>
    <w:p w:rsidR="00163957" w:rsidRDefault="00163957" w:rsidP="00163957">
      <w:pPr>
        <w:pStyle w:val="TextoNormal"/>
      </w:pPr>
    </w:p>
    <w:p w:rsidR="00163957" w:rsidRDefault="00163957" w:rsidP="00163957">
      <w:pPr>
        <w:pStyle w:val="TextoNormal"/>
      </w:pPr>
      <w:r>
        <w:lastRenderedPageBreak/>
        <w:t>Se concluyó con la súplica de que se dictara Sentencia que otorgase el amparo pedido y declarase nulos los acuerdos de la Mesa del Parlamento de Cataluña de 27 de octubre y de 3 de noviembre de 2015 por los que, respectivamente, se admitió a trámite la propuesta de resolución “sobre el inicio del proceso político en Cataluña como consecuencia de los resultados electorales” y se desestimó la solicitud de reconsideración del anterior acuerdo formulada por los grupos parlamentarios de Ciudadanos y del Partido Socialista de Cataluña.</w:t>
      </w:r>
    </w:p>
    <w:p w:rsidR="00163957" w:rsidRDefault="00163957" w:rsidP="00163957">
      <w:pPr>
        <w:pStyle w:val="TextoNormal"/>
      </w:pPr>
    </w:p>
    <w:p w:rsidR="00163957" w:rsidRDefault="00163957" w:rsidP="00163957">
      <w:pPr>
        <w:pStyle w:val="TextoNormal"/>
      </w:pPr>
      <w:r>
        <w:t>Mediante otrosí, con invocación del art. 56.2 LOTC, se solicitó la inmediata suspensión de los acuerdos recurridos.</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4 de noviembre de 2015 acordó el Pleno, conforme establece el art. 10.1 n) LOTC, y a propuesta de la Sala Primera, recabar para sí el conocimiento del recurso.</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5 de noviembre de 2015 acordó el Pleno admitir a trámite el recurso de amparo, apreciando que ofrece especial trascendencia constitucional (art. 50.1 LOTC) porque plantea cuestiones sobre las que no hay doctrina de este Tribunal y el asunto trasciende del caso concreto, al suscitar una cuestión jurídica de relevante repercusión social, con consecuencias políticas generales [STC 155/2009, FJ 2 a) y g)]. En aplicación del art. 51 LOTC, se acordó se dirigiera atenta comunicación al Parlamento de Cataluña a fin de que, en plazo que no excediera de diez días, remitiera certificación o fotocopia adverada de las actuaciones parlamentarias correspondientes a los acuerdos impugnados, acompañándose a la mencionada comunicación copia de la demanda, a efectos de la personación de la Cámara en el indicado plazo.</w:t>
      </w:r>
    </w:p>
    <w:p w:rsidR="00163957" w:rsidRDefault="00163957" w:rsidP="00163957">
      <w:pPr>
        <w:pStyle w:val="TextoNormal"/>
      </w:pPr>
    </w:p>
    <w:p w:rsidR="00163957" w:rsidRDefault="00163957" w:rsidP="00163957">
      <w:pPr>
        <w:pStyle w:val="TextoNormal"/>
      </w:pPr>
      <w:r w:rsidRPr="00163957">
        <w:rPr>
          <w:rStyle w:val="NumeroAFNegritaCaracter"/>
        </w:rPr>
        <w:t>6</w:t>
      </w:r>
      <w:r>
        <w:t>. Por Auto del Pleno 189/2015, de 5 de noviembre, se acordó denegar la suspensión de las resoluciones impugnadas.</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registrado en el Tribunal el 20 de noviembre de 2015, el Letrado del Parlamento de Cataluña, en representación y defensa de la Cámara, aportó certificación de las actuaciones parlamentarias requeridas y solicitó se tuviera por personado al Parlamento en el recurso de amparo.</w:t>
      </w:r>
    </w:p>
    <w:p w:rsidR="00163957" w:rsidRDefault="00163957" w:rsidP="00163957">
      <w:pPr>
        <w:pStyle w:val="TextoNormal"/>
      </w:pPr>
    </w:p>
    <w:p w:rsidR="00163957" w:rsidRDefault="00163957" w:rsidP="00163957">
      <w:pPr>
        <w:pStyle w:val="TextoNormal"/>
      </w:pPr>
      <w:r w:rsidRPr="00163957">
        <w:rPr>
          <w:rStyle w:val="NumeroAFNegritaCaracter"/>
        </w:rPr>
        <w:t>8</w:t>
      </w:r>
      <w:r>
        <w:t>. Mediante providencia de 24 de noviembre de 2015, acordó el Pleno tener por personado y parte en el procedimiento al Letrado del Parlamento de Cataluña, en nombre y representación de la Cámara, acordándose entender con él las actuaciones; hacer entrega de copia de la documentación aportada a la parte recurrente y al Ministerio Fiscal y, a tenor de lo dispuesto en el art. 52.1 LOTC, conceder un plazo de 20 días a las partes personadas y al Ministerio Fiscal para que pudieran presentar las alegaciones que a su derecho convinieran.</w:t>
      </w:r>
    </w:p>
    <w:p w:rsidR="00163957" w:rsidRDefault="00163957" w:rsidP="00163957">
      <w:pPr>
        <w:pStyle w:val="TextoNormal"/>
      </w:pPr>
    </w:p>
    <w:p w:rsidR="00163957" w:rsidRDefault="00163957" w:rsidP="00163957">
      <w:pPr>
        <w:pStyle w:val="TextoNormal"/>
      </w:pPr>
      <w:r w:rsidRPr="00163957">
        <w:rPr>
          <w:rStyle w:val="NumeroAFNegritaCaracter"/>
        </w:rPr>
        <w:t>9</w:t>
      </w:r>
      <w:r>
        <w:t>. Mediante escrito registrado en el Tribunal con fecha 22 de diciembre de 2015 presentó sus alegaciones el Ministerio Fiscal. Pueden resumirse como sigue:</w:t>
      </w:r>
    </w:p>
    <w:p w:rsidR="00163957" w:rsidRDefault="00163957" w:rsidP="00163957">
      <w:pPr>
        <w:pStyle w:val="TextoNormal"/>
      </w:pPr>
    </w:p>
    <w:p w:rsidR="00163957" w:rsidRDefault="00163957" w:rsidP="00163957">
      <w:pPr>
        <w:pStyle w:val="TextoNormal"/>
      </w:pPr>
      <w:r>
        <w:t xml:space="preserve">A) Tras relacionar los antecedentes de hecho del caso y las pretensiones de los demandantes, observa el Ministerio Fiscal, en lo que se refiere a la tramitación de la propuesta de resolución y de las solicitudes de reconsideración, que los diputados recurrentes ha podido </w:t>
      </w:r>
      <w:r>
        <w:lastRenderedPageBreak/>
        <w:t xml:space="preserve">ejercer su </w:t>
      </w:r>
      <w:r w:rsidRPr="00163957">
        <w:rPr>
          <w:i/>
        </w:rPr>
        <w:t>ius in officium</w:t>
      </w:r>
      <w:r>
        <w:t xml:space="preserve"> a través del representante del grupo parlamentario en que se integraban, pues, como grupo parlamentario, su presidente y portavoz han podido interesar de la presidencia de la Cámara y de la Mesa informes jurídicos sobre la viabilidad estatutaria y constitucional de la propuesta de resolución y formular la correspondiente petición de reconsideración, así como han sido oídos a través de sus representantes en la Junta de Portavoces y han podido emitir, como grupo parlamentario, su voto sobre la reconsideración del acuerdo impugnado, por lo que no sufrieron ninguna quiebra de los derechos parlamentarios que les asisten en relación con la tramitación de la propuesta de resolución hasta el trámite de admisión definitiva de la propuesta para su debate y en su caso aprobación o rechazo por el Pleno de la Cámara.</w:t>
      </w:r>
    </w:p>
    <w:p w:rsidR="00163957" w:rsidRDefault="00163957" w:rsidP="00163957">
      <w:pPr>
        <w:pStyle w:val="TextoNormal"/>
      </w:pPr>
    </w:p>
    <w:p w:rsidR="00163957" w:rsidRDefault="00163957" w:rsidP="00163957">
      <w:pPr>
        <w:pStyle w:val="TextoNormal"/>
      </w:pPr>
      <w:r>
        <w:t>Lo anterior lleva a considerar —dice el Ministerio Fiscal— la legitimación de los recurrentes en el presente recurso de amparo. Observa al respecto que la legitimación para pedir la reconsideración del acuerdo de la Mesa de 27 de octubre de 2015 corresponde a los grupos parlamentarios, no a los diputados (art. 38.1 RPC), lo que conduce a que la legitimación para promover recurso de amparo frente a los acuerdos de 27 de octubre y de 3 de noviembre de 2015 corresponda al grupo parlamentario de Ciudadanos. En la medida que el recurso se presenta por todos los integrantes del grupo parlamentario citado y que la reconsideración fue solicitada como grupo parlamentario, debe entenderse que la firma del presente recurso por el conjunto de diputados que integran dicho grupo no es sino una manifestación de adhesión y conformidad con el recurso que, como grupo parlamentario, formulan frente a los acuerdos discutidos de la Mesa y de la Presidencia de la Cámara.</w:t>
      </w:r>
    </w:p>
    <w:p w:rsidR="00163957" w:rsidRDefault="00163957" w:rsidP="00163957">
      <w:pPr>
        <w:pStyle w:val="TextoNormal"/>
      </w:pPr>
    </w:p>
    <w:p w:rsidR="00163957" w:rsidRDefault="00163957" w:rsidP="00163957">
      <w:pPr>
        <w:pStyle w:val="TextoNormal"/>
      </w:pPr>
      <w:r>
        <w:t>Considera a continuación el Fiscal si el proceder de la Mesa, al tener por constituida la Junta de Portavoces, no obstante faltar el portavoz del Partido Popular, y dar por celebrada la audiencia de la misma, ha producido algún perjuicio y si existe un interés que confiera legitimación para poder recurrir los referidos acuerdos. En el presente caso, no puede desligarse de los actos parlamentarios impugnados el incumplimiento de los trámites que se denuncian. La validez de los acuerdos tiene como primer presupuesto el cumplimiento de los diversos trámites, en el caso la preceptiva audiencia a la Junta de Portavoces. La Junta no se constituyó en los términos que señala el art. 35.1 RPC y en la medida en que un representante del grupo parlamentario de los recurrentes se integra en dicha Junta, como portavoz, está legitimado para procurar que la misma se constituya conforme a Reglamento y denunciar cualquier vicio que impida su adecuado funcionamiento. Por ello, afirmada la legitimación de los recurrentes para denunciar el defecto procedimental que viciaría la validez del acuerdo de reconsideración y tramitación por el Pleno del Parlamento de Cataluña de la propuesta, el proceder de la Mesa, al dar por válidamente constituida a la Junta de Portavoces, no obstante las advertencias realizadas por el representante del grupo en el que se integran los recurrentes, es del todo improcedente, sin que dicho déficit pueda entenderse subsanado por el hecho de que se invitase a los diputados del Partido Popular a designar un representante para la sesión del 3 de noviembre de 2015. La Mesa debió esperar, antes de pronunciarse sobre las peticiones de reconsideración, a que los diputados del Partido Popular constituyeran grupo parlamentario y designaran portavoz que se integrara en la Junta de Portavoces. No puede tenerse por válida la audiencia a la Junta de Portavoces cuando la misma no estaba debidamente constituida (art. 35, en relación con el art. 26, RPC).</w:t>
      </w:r>
    </w:p>
    <w:p w:rsidR="00163957" w:rsidRDefault="00163957" w:rsidP="00163957">
      <w:pPr>
        <w:pStyle w:val="TextoNormal"/>
      </w:pPr>
    </w:p>
    <w:p w:rsidR="00163957" w:rsidRDefault="00163957" w:rsidP="00163957">
      <w:pPr>
        <w:pStyle w:val="TextoNormal"/>
      </w:pPr>
      <w:r>
        <w:t xml:space="preserve">Aunque la Mesa puede admitir a trámite la propuesta de resolución sin oír a la Junta de Portavoces, le es exigible igualmente dicha audiencia para acordar su tramitación por el </w:t>
      </w:r>
      <w:r>
        <w:lastRenderedPageBreak/>
        <w:t>Pleno o por la Comisión competente en la materia (art. 164.2 RPC); en consecuencia, la Mesa debió esperar a la constitución de las correspondientes comisiones legislativas (art. 59 RPC).</w:t>
      </w:r>
    </w:p>
    <w:p w:rsidR="00163957" w:rsidRDefault="00163957" w:rsidP="00163957">
      <w:pPr>
        <w:pStyle w:val="TextoNormal"/>
      </w:pPr>
    </w:p>
    <w:p w:rsidR="00163957" w:rsidRDefault="00163957" w:rsidP="00163957">
      <w:pPr>
        <w:pStyle w:val="TextoNormal"/>
      </w:pPr>
      <w:r>
        <w:t>Lo que le imponía el Reglamento a la Mesa era, en primer lugar, el trámite de investidura del Presidente de la Generalitat y la designación por el Pleno de las comisiones (arts. 47, 59 y 146 RPC), para, en su caso, aceptar iniciativas parlamentarias como la propuesta de resolución debatida, mucho más cuando la vigencia del Parlamento viene condicionada a que pueda ser elegido un Presidente en el plazo de dos meses desde la primera votación de investidura (arts. 146 y 147 RPC).</w:t>
      </w:r>
    </w:p>
    <w:p w:rsidR="00163957" w:rsidRDefault="00163957" w:rsidP="00163957">
      <w:pPr>
        <w:pStyle w:val="TextoNormal"/>
      </w:pPr>
    </w:p>
    <w:p w:rsidR="00163957" w:rsidRDefault="00163957" w:rsidP="00163957">
      <w:pPr>
        <w:pStyle w:val="TextoNormal"/>
      </w:pPr>
      <w:r>
        <w:t>Además, como también se denuncia, no puede la Presidenta del Parlamento fijar el orden del día del Pleno sin oír a la Junta de Portavoces (art. 81.2 RPC). De nuevo se ha ignorado el Reglamento de la Cámara, en este caso por la Presidenta del Parlamento.</w:t>
      </w:r>
    </w:p>
    <w:p w:rsidR="00163957" w:rsidRDefault="00163957" w:rsidP="00163957">
      <w:pPr>
        <w:pStyle w:val="TextoNormal"/>
      </w:pPr>
    </w:p>
    <w:p w:rsidR="00163957" w:rsidRDefault="00163957" w:rsidP="00163957">
      <w:pPr>
        <w:pStyle w:val="TextoNormal"/>
      </w:pPr>
      <w:r>
        <w:t xml:space="preserve">Siendo el derecho reconocido en el art. 23.2 CE un derecho de configuración legal, entre las funciones que asisten a los parlamentarios y, en el caso concreto, al grupo parlamentario, está la de procurar que los órganos internos de la Cámara, la Presidencia o la Mesa, se adecúen a las disposiciones reglamentarias y sean respetuosas con los trámites que ordenan el procedimiento parlamentario, pues es el contraste con las normas que lo regulan lo que permitirá enjuiciar si se respetaron o no los derechos de los parlamentarios en el ejercicio de su </w:t>
      </w:r>
      <w:r w:rsidRPr="00163957">
        <w:rPr>
          <w:i/>
        </w:rPr>
        <w:t>ius in officium</w:t>
      </w:r>
      <w:r>
        <w:t>. Por ello considera el Ministerio Fiscal que la audiencia a la irregular Junta de Portavoces, sin estar debidamente integrada por todos los portavoces de los posibles grupos, vulneró el derecho fundamental del art. 23.2 CE de los recurrentes.</w:t>
      </w:r>
    </w:p>
    <w:p w:rsidR="00163957" w:rsidRDefault="00163957" w:rsidP="00163957">
      <w:pPr>
        <w:pStyle w:val="TextoNormal"/>
      </w:pPr>
    </w:p>
    <w:p w:rsidR="00163957" w:rsidRDefault="00163957" w:rsidP="00163957">
      <w:pPr>
        <w:pStyle w:val="TextoNormal"/>
      </w:pPr>
      <w:r>
        <w:t>En lo que se refiere, por último, a la denuncia de la tramitación de la propuesta de resolución por la vía de urgencia, aparece en el acta de 2 de noviembre de 2015 que la Presidenta del Parlamento hizo saber a los portavoces y miembros de la Mesa la presentación de cincuenta diputados avalando la propuesta de resolución, con lo que cumpliría la exigencia del art. 105 RPC.</w:t>
      </w:r>
    </w:p>
    <w:p w:rsidR="00163957" w:rsidRDefault="00163957" w:rsidP="00163957">
      <w:pPr>
        <w:pStyle w:val="TextoNormal"/>
      </w:pPr>
    </w:p>
    <w:p w:rsidR="00163957" w:rsidRDefault="00163957" w:rsidP="00163957">
      <w:pPr>
        <w:pStyle w:val="TextoNormal"/>
      </w:pPr>
      <w:r>
        <w:t>B) Considera a continuación el Fiscal la impugnación de los acuerdos de 27 de octubre y de 3 de noviembre por ser contrarios a la Constitución, al Estatuto de Autonomía de Cataluña y a la Ley Orgánica del Tribunal Constitucional.</w:t>
      </w:r>
    </w:p>
    <w:p w:rsidR="00163957" w:rsidRDefault="00163957" w:rsidP="00163957">
      <w:pPr>
        <w:pStyle w:val="TextoNormal"/>
      </w:pPr>
    </w:p>
    <w:p w:rsidR="00163957" w:rsidRDefault="00163957" w:rsidP="00163957">
      <w:pPr>
        <w:pStyle w:val="TextoNormal"/>
      </w:pPr>
      <w:r>
        <w:t>a) Tras referirse a lo expuesto al respecto en la demanda, menciona el Fiscal la STC 259/2015, que declaró la inconstitucionalidad de la Resolución 1/XI, de 9 de noviembre de 2015, del Parlamento de Cataluña, resolución cuyo contenido es coincidente con el de la propuesta aquí controvertida. Tras citar determinados pasajes de esta Sentencia, señala el Ministerio Fiscal que, dada la coincidencia entre esta propuesta y aquella resolución, puede afirmarse que el contenido de la primera es inconstitucional y antiestatutario en cuanto desconoce los preceptos que la Sentencia declara vulnerados.</w:t>
      </w:r>
    </w:p>
    <w:p w:rsidR="00163957" w:rsidRDefault="00163957" w:rsidP="00163957">
      <w:pPr>
        <w:pStyle w:val="TextoNormal"/>
      </w:pPr>
    </w:p>
    <w:p w:rsidR="00163957" w:rsidRDefault="00163957" w:rsidP="00163957">
      <w:pPr>
        <w:pStyle w:val="TextoNormal"/>
      </w:pPr>
      <w:r>
        <w:t xml:space="preserve">b) Ahora bien, debe destacarse el estadio en que se hallaría la vulneración del derecho fundamental del art. 23.2 CE, pues nos encontramos en un momento de la tramitación de una iniciativa parlamentaria que aún no ha sido sometida a debate y votación, en el caso, por el Pleno del Parlamento. La declaración de inconstitucionalidad de la STC 259/2015 es </w:t>
      </w:r>
      <w:r>
        <w:lastRenderedPageBreak/>
        <w:t>posterior al momento en que se habría vulnerado el derecho y por los recurrentes se demandaba de la Mesa un juicio sobre la constitucionalidad de la iniciativa parlamentaria por considerar que de forma palmaria y evidente era contraria a la Constitución. Además, estamos en un proceso de amparo, no en un procedimiento destinado al análisis de la constitucionalidad de una resolución parlamentaria. No es el recurso de amparo trámite adecuado para pronunciarse sobre la constitucionalidad o no de una iniciativa parlamentaria que aún no ha sido debatida.</w:t>
      </w:r>
    </w:p>
    <w:p w:rsidR="00163957" w:rsidRDefault="00163957" w:rsidP="00163957">
      <w:pPr>
        <w:pStyle w:val="TextoNormal"/>
      </w:pPr>
    </w:p>
    <w:p w:rsidR="00163957" w:rsidRDefault="00163957" w:rsidP="00163957">
      <w:pPr>
        <w:pStyle w:val="TextoNormal"/>
      </w:pPr>
      <w:r>
        <w:t>Tras citar determinados pasajes del ATC 135/2004, aprecia el Ministerio Fiscal que con la demanda parece pretenderse anticipar el juicio de constitucionalidad del contenido de la propuesta de resolución, lo que conllevaría una indeseada restricción de las facultades de todo Parlamento para debatir iniciativas parlamentarias. Sobre la base de la jurisprudencia constitucional no cabe, concluye en este punto el Ministerio Fiscal, que a través del recurso de amparo se anticipe un juicio de constitucionalidad de la propuesta de resolución.</w:t>
      </w:r>
    </w:p>
    <w:p w:rsidR="00163957" w:rsidRDefault="00163957" w:rsidP="00163957">
      <w:pPr>
        <w:pStyle w:val="TextoNormal"/>
      </w:pPr>
    </w:p>
    <w:p w:rsidR="00163957" w:rsidRDefault="00163957" w:rsidP="00163957">
      <w:pPr>
        <w:pStyle w:val="TextoNormal"/>
      </w:pPr>
      <w:r>
        <w:t>Se añade que no cabría un pronunciamiento de inconstitucionalidad vía recurso de amparo, pero sí un pronunciamiento sobre si la actuación de la Mesa de la Cámara ha sido respetuosa con los trámites y mandatos que contiene el reglamento. En todo caso, el examen liminar de dicha constitucionalidad le correspondería a la propia Cámara.</w:t>
      </w:r>
    </w:p>
    <w:p w:rsidR="00163957" w:rsidRDefault="00163957" w:rsidP="00163957">
      <w:pPr>
        <w:pStyle w:val="TextoNormal"/>
      </w:pPr>
    </w:p>
    <w:p w:rsidR="00163957" w:rsidRDefault="00163957" w:rsidP="00163957">
      <w:pPr>
        <w:pStyle w:val="TextoNormal"/>
      </w:pPr>
      <w:r>
        <w:t>c) En relación con las facultades de calificación o admisión o no a trámite de las Mesas de las Cámaras, tras citar por extenso la STC 23/2015, así como el ATC 86/2006, se dice que procede analizar si los acuerdos de la Mesa que autorizaron la tramitación de la propuesta de resolución han vulnerado el derecho fundamental del art. 23.2 CE, por cuanto la Mesa debió inadmitir a trámite la propuesta por ser su contenido palmaria y claramente inconstitucional y antiestatutario, ser el procedimiento elegido manifiestamente inadecuado para tramitar una iniciativa como esta, dado su contenido material, pues dicho contenido es ajeno a sus atribuciones, y ha desnaturalizado el mandato representativo de los recurrentes, por lo que debió llevar a cabo una calificación material de la iniciativa parlamentaria, no limitándose a su control formal, a la vez que el acuerdo de 3 de noviembre de 2015 carecería de motivación. Tras citar los artículos 164 a 166 RPC y referirse a lo expuesto por la Mesa en cuanto a que su función de calificar debía limitarse a la verificación formal de la proposición, trae la Fiscalía a colación determinados pasajes de las SSTC 95/1994 y 205/1990, observando que acuerdos semejantes al de la Mesa aquí impugnado han sido analizados vía amparo, citando asimismo las SSTC 12/1995 y 38/1999, si bien los pronunciamientos fueron consecuencia de inadmisiones por las Mesas de propuestas legislativas. Es por tanto inevitable esta función de control material cuando se trata de iniciativas parlamentarias como la discutida aquí. Nada le impide y sí le obliga a la Mesa calificar materialmente la propuesta de resolución, pues la Mesa está sujeta a la Constitución y al ordenamiento jurídico y puede calificar materialmente una propuesta cuando con claridad y sin ningún género de dudas es notoria su inconstitucionalidad. La Mesa está legitimada para rechazar aquellas iniciativas parlamentarias que de manera grosera y palmaria sean contrarias a la Constitución. No se trata de que la propuesta de resolución deba ser objeto de una declaración de inconstitucionalidad por el Tribunal previa a su conversión en resolución con efectos jurídicos, sino de que la Mesa cumpla con sus funciones. En este caso, la Mesa se hallaba ante una propuesta cuyo contenido era contrario a la Constitución de manera palmaria y evidente y sin embargo omitió dicho examen, al negar que sus funciones de calificación pudieran extenderse a una calificación material.</w:t>
      </w:r>
    </w:p>
    <w:p w:rsidR="00163957" w:rsidRDefault="00163957" w:rsidP="00163957">
      <w:pPr>
        <w:pStyle w:val="TextoNormal"/>
      </w:pPr>
    </w:p>
    <w:p w:rsidR="00163957" w:rsidRDefault="00163957" w:rsidP="00163957">
      <w:pPr>
        <w:pStyle w:val="TextoNormal"/>
      </w:pPr>
      <w:r>
        <w:t xml:space="preserve">La propia Constitución (arts. 166 a 168) arbitra el procedimiento de reforma constitucional, estando legitimado el Parlamento de Cataluña para interesar del Gobierno de la Nación un proyecto de modificación constitucional o para tramitar una propuesta de ley para proponer al Congreso de los Diputados un cambio constitucional de cualquier contenido (arts. 87.1 y 2 y 168 CE y art. 173 EAC). Las reglas de procedimiento parlamentario tienen un carácter instrumental de formación de la voluntad de la Cámara y su inobservancia puede vulnerar el derecho de los parlamentarios (art. 23.2 CE) en la medida en que se restrinja el núcleo esencial de su </w:t>
      </w:r>
      <w:r w:rsidRPr="00163957">
        <w:rPr>
          <w:i/>
        </w:rPr>
        <w:t>ius in officium</w:t>
      </w:r>
      <w:r>
        <w:t xml:space="preserve"> y se les imponga una tramitación diferente e inadecuada para desarrollar una iniciativa parlamentaria. La propuesta de resolución impone a los diputados de la Cámara la tramitación como tal propuesta de una reforma constitucional para la cual es competente el Congreso de los Diputados y cuya actuación debe ser sometida al pueblo español, titular de la soberanía (art. 2 CE), se trata de una materia ajena a la competencia de la Cámara, que, conforme al EAC y al propio Reglamento del Parlamento de Cataluña, exige una proposición de ley, algo muy diferente de una propuesta de resolución. La propuesta de ley tiene una tramitación diferente y, en la medida en que afectaría al EAC, se requieren diferentes mayorías, siendo además posible solicitar dictamen del Consejo de Garantías Estatutarias.</w:t>
      </w:r>
    </w:p>
    <w:p w:rsidR="00163957" w:rsidRDefault="00163957" w:rsidP="00163957">
      <w:pPr>
        <w:pStyle w:val="TextoNormal"/>
      </w:pPr>
    </w:p>
    <w:p w:rsidR="00163957" w:rsidRDefault="00163957" w:rsidP="00163957">
      <w:pPr>
        <w:pStyle w:val="TextoNormal"/>
      </w:pPr>
      <w:r>
        <w:t xml:space="preserve">Visto su contenido esencial, la propuesta de resolución, coincidente con la Resolución 1/XI, es inconstitucional, propugna un nuevo orden al margen de la Constitución, lo que necesariamente pasaría por el respeto a los procedimientos constitucionalmente establecidos para la reforma de la Constitución. Se hurta a los parlamentarios, con la tramitación de la propuesta de resolución, el procedimiento legalmente establecido y por ello se les impide el ejercicio de las funciones que el </w:t>
      </w:r>
      <w:r w:rsidRPr="00163957">
        <w:rPr>
          <w:i/>
        </w:rPr>
        <w:t>ius in officium</w:t>
      </w:r>
      <w:r>
        <w:t xml:space="preserve"> les otorga cuando se trata de iniciativas de modificación de la Constitución, ya que la vía parlamentaria tiene un trato diferente (arts. 166 y ss. CE). En consecuencia, la Mesa de la Cámara estaría omitiendo con sus acuerdos el procedimiento constitucional y estatutariamente previsto para una iniciativa parlamentaria del tenor de la propuesta de resolución que admitió a trámite. De tramitarse la propuesta, el Parlamento incurriría en una extralimitación de sus funciones. Por ello, los acuerdos de la Mesa del Parlamento han desconocido el ámbito de las funciones de la Cámara (art. 61 EAC). Imponen un debate en el que se solicita la aprobación de una propuesta de resolución que contiene propuestas concretas para lo que se denomina la “desconexión” democrática de España que excluye seguir los cauces constitucionalmente establecidos para traducir la voluntad política de independencia en una realidad jurídica. La Mesa es conocedora de que la proclamación de independencia, con la consiguiente ruptura de la unidad de la nación, no está contemplada en la Constitución, aunque no excluida como aspiración política a través de un proceso ajustado a la legalidad constitucional. Tras citar la STC 42/2014, señala el Ministerio Fiscal que con la admisión a trámite de la propuesta de resolución no sólo se violenta la posición institucional del Parlamento de Cataluña, sino que se lesiona el derecho de los diputados del mismo a ejercer sus funciones en el marco constitucional. En consecuencia, la Mesa debió calificar materialmente la propuesta y rechazar su admisión a trámite. Aunque los demandantes no impugnan expresamente este acuerdo del 3 de noviembre por falta de motivación, sí denuncian que la Mesa no debió limitarse a un control formal y por ello debe examinarse si el acuerdo puede entenderse motivado, tal y como exigen la jurisprudencia constitucional y el art. 38.3 RPC. Entiende el Fiscal que esta motivación (que la Mesa debía limitarse a un examen formal de la iniciativa) es insuficiente, inadecuada e incurre en falta de razonabilidad, pues la Mesa debió hacer una calificación material del </w:t>
      </w:r>
      <w:r>
        <w:lastRenderedPageBreak/>
        <w:t>contenido de la propuesta y, por tanto, sobre su conformidad a la Constitución. Por no haberlo hecho así desconoció el derecho de los demandantes del art. 23.2 CE.</w:t>
      </w:r>
    </w:p>
    <w:p w:rsidR="00163957" w:rsidRDefault="00163957" w:rsidP="00163957">
      <w:pPr>
        <w:pStyle w:val="TextoNormal"/>
      </w:pPr>
    </w:p>
    <w:p w:rsidR="00163957" w:rsidRDefault="00163957" w:rsidP="00163957">
      <w:pPr>
        <w:pStyle w:val="TextoNormal"/>
      </w:pPr>
      <w:r>
        <w:t>Concluyó sus alegaciones el Ministerio Fiscal indicando la procedencia de declarar la vulneración del derecho fundamental de los recurrentes (art. 23.2 CE) y la nulidad de los acuerdos de la Mesa de 27 de octubre y de 3 de noviembre de 2015.</w:t>
      </w:r>
    </w:p>
    <w:p w:rsidR="00163957" w:rsidRDefault="00163957" w:rsidP="00163957">
      <w:pPr>
        <w:pStyle w:val="TextoNormal"/>
      </w:pPr>
    </w:p>
    <w:p w:rsidR="00163957" w:rsidRDefault="00163957" w:rsidP="00163957">
      <w:pPr>
        <w:pStyle w:val="TextoNormal"/>
      </w:pPr>
      <w:r w:rsidRPr="00163957">
        <w:rPr>
          <w:rStyle w:val="NumeroAFNegritaCaracter"/>
        </w:rPr>
        <w:t>10</w:t>
      </w:r>
      <w:r>
        <w:t>. Mediante escrito registrado en el Tribunal el día 29 de diciembre de 2015 presentó sus alegaciones la representación actora, haciendo en ellas una remisión general a los hechos, fundamentos de Derecho y súplica del escrito rector del proceso. Se hizo también referencia a la STC 259/2015, de 2 de diciembre, por la que se declaró inconstitucional y nula la Resolución 1/XI del Parlamento de Cataluña, “sobre el inicio del proceso político en Cataluña como consecuencia de los resultados electorales de 27 de diciembre de 2015”, Sentencia que resaltó la palmaria y manifiesta inconstitucionalidad de aquella resolución, que por tanto —se dice ahora— nunca debió ser admitida a trámite por la Mesa. Resultaría también evidente, se añade, la vulneración de los derechos fundamentales invocados en el presente recurso, lo que debe dar lugar a su estimación de conformidad con el suplico de la demanda. La admisión a trámite de una propuesta que lleva a cabo una manifiesta negación del vigente ordenamiento constitucional y que realiza un expreso rechazo a la fuerza de obligar de la Constitución constituyó una verdadera subversión del mandato representativo. Se concluyó con la súplica de que se dictara Sentencia estimatoria del recurso de conformidad con el escrito de demanda.</w:t>
      </w:r>
    </w:p>
    <w:p w:rsidR="00163957" w:rsidRDefault="00163957" w:rsidP="00163957">
      <w:pPr>
        <w:pStyle w:val="TextoNormal"/>
      </w:pPr>
    </w:p>
    <w:p w:rsidR="00163957" w:rsidRDefault="00163957" w:rsidP="00163957">
      <w:pPr>
        <w:pStyle w:val="TextoNormal"/>
      </w:pPr>
      <w:r w:rsidRPr="00163957">
        <w:rPr>
          <w:rStyle w:val="NumeroAFNegritaCaracter"/>
        </w:rPr>
        <w:t>11</w:t>
      </w:r>
      <w:r>
        <w:t>. Mediante escrito que tuvo entrada en el Tribunal Constitucional el 11 de enero de 2016, los Letrados del Parlamento de Cataluña presentaron, en representación y defensa de la Cámara, sus alegaciones, que pueden resumirse como sigue:</w:t>
      </w:r>
    </w:p>
    <w:p w:rsidR="00163957" w:rsidRDefault="00163957" w:rsidP="00163957">
      <w:pPr>
        <w:pStyle w:val="TextoNormal"/>
      </w:pPr>
    </w:p>
    <w:p w:rsidR="00163957" w:rsidRDefault="00163957" w:rsidP="00163957">
      <w:pPr>
        <w:pStyle w:val="TextoNormal"/>
      </w:pPr>
      <w:r>
        <w:t xml:space="preserve">A) En unas consideraciones preliminares se señala que el presente recurso, al igual que los registrados con los números 6206-2015 y 6207-2015, no pide el reconocimiento o la reparación de un derecho vulnerado por la Mesa del Parlamento en el ejercicio del </w:t>
      </w:r>
      <w:r w:rsidRPr="00163957">
        <w:rPr>
          <w:i/>
        </w:rPr>
        <w:t>ius in officium</w:t>
      </w:r>
      <w:r>
        <w:t xml:space="preserve"> de los grupos parlamentarios recurrentes, sino discutir y subsumir en el amparo una decisión de admisión a trámite de una iniciativa presentada por otros grupos parlamentarios, lo que convierte al recurso de amparo en una “impugnación” de un acuerdo de la Mesa y desnaturaliza la esencia en que se fundamenta constitucionalmente el amparo que, como tal, requiere la vulneración de un derecho “propio” de quien lo ejerce y debe conectarse, por tanto, con un supuesto de afectación del </w:t>
      </w:r>
      <w:r w:rsidRPr="00163957">
        <w:rPr>
          <w:i/>
        </w:rPr>
        <w:t>ius in officium</w:t>
      </w:r>
      <w:r>
        <w:t xml:space="preserve">, es decir, de un acuerdo de la Mesa mediante el cual se inadmite a trámite una propuesta o iniciativa parlamentarias o se restringe indebidamente el alcance de la misma. Ello implica, además, una extralimitación de los mecanismos procesales, en la medida en que se pretende introducir una especie de control de legalidad de las decisiones de la Mesa que supera ampliamente los límites del amparo y que presenta, caso de admitirse, un grave problema desde el punto de vista del derecho constitucional del </w:t>
      </w:r>
      <w:r w:rsidRPr="00163957">
        <w:rPr>
          <w:i/>
        </w:rPr>
        <w:t>ius in officium</w:t>
      </w:r>
      <w:r>
        <w:t xml:space="preserve"> parlamentario que reconoce y protege el art. 23. Si la tesis de los recurrentes se admitiera, supondría dotar a las Mesas de una facultad de control sobre las iniciativas parlamentarias que podría suponer un grave riesgo de contaminación política de una decisión que, como ha reconocido la propia jurisprudencia constitucional, debe quedar circunscrita a la verificación de los requisitos formales de las iniciativas, sin entrar en su contenido material. Sin embargo, esto es lo que realmente hacen los recursos de amparo cuando discuten la naturaleza limitada de la facultad de admisión a trámite de las mesas </w:t>
      </w:r>
      <w:r>
        <w:lastRenderedPageBreak/>
        <w:t xml:space="preserve">parlamentarias y pretenden exigir en este caso un pronunciamiento sobre el contenido material de las iniciativas, enfoque que pone claramente de relieve que el recurso de amparo no se utiliza como instrumento procesal de defensa del propio derecho, sino como una verdadera acción impugnatoria del ejercicio de los derechos parlamentarios que corresponden a los otros grupos de la Cámara y que, como tales, están precisamente protegidos por el art. 23 CE. Se pretende exigir a la Mesa una “obligación” de inadmitir a trámite las iniciativas que </w:t>
      </w:r>
      <w:r w:rsidRPr="00163957">
        <w:rPr>
          <w:i/>
        </w:rPr>
        <w:t>prima facie</w:t>
      </w:r>
      <w:r>
        <w:t xml:space="preserve"> pudieran resultar contrarias a la Constitución, superaran las atribuciones de la Cámara o debieran ser tramitadas, por estos motivos, mediante una iniciativa de reforma constitucional. Pero la propia doctrina constitucional ha relativizado siempre estos posibles inconvenientes en beneficio del derecho de iniciativa parlamentaria y considerando que el acto de admisión a trámite es de simple apertura de un procedimiento que puede suponer la introducción de modificaciones en la propuesta y permitir también el cambio del procedimiento inicialmente elegido si fuera necesario (SSTC 40/2003 y 103/2008 y ATC 135/2004). Ello obliga a la inadmisión de los recursos de amparo, por carecer los mismos de un elemento indispensable, esto es, la existencia de una vulneración efectiva de un derecho de los recurrentes en ejercicio de su </w:t>
      </w:r>
      <w:r w:rsidRPr="00163957">
        <w:rPr>
          <w:i/>
        </w:rPr>
        <w:t>ius in officium</w:t>
      </w:r>
      <w:r>
        <w:t xml:space="preserve"> y también por el abuso procesal que supone utilizar el recurso de amparo para impugnar de hecho la admisión a trámite de una iniciativa presentada por otros grupos parlamentarios.</w:t>
      </w:r>
    </w:p>
    <w:p w:rsidR="00163957" w:rsidRDefault="00163957" w:rsidP="00163957">
      <w:pPr>
        <w:pStyle w:val="TextoNormal"/>
      </w:pPr>
    </w:p>
    <w:p w:rsidR="00163957" w:rsidRDefault="00163957" w:rsidP="00163957">
      <w:pPr>
        <w:pStyle w:val="TextoNormal"/>
      </w:pPr>
      <w:r>
        <w:t xml:space="preserve">B) Se afirma, tras ello, la inadecuación de las alegaciones de la parte recurrente a la naturaleza, finalidad y objeto del recurso de amparo. La pretensión de la recurrente, según la cual las decisiones de la Mesa vulneran el art. 23 CE en cuanto suponen la posibilidad de debatir la configuración de ese derecho fundamental, no se adecúa ni a la Ley Orgánica del Tribunal Constitucional ni a la jurisprudencia constitucional sobre la naturaleza, finalidad y objeto del recurso de amparo. El recurso plantea una pretensión de interpretación genérica del alcance de dicho precepto y no tanto la supuesta vulneración de un derecho fundamental, lo que no se acomoda al art. 41.3 LOTC, según el cual en el amparo constitucional no pueden hacerse valer otras pretensiones que las dirigidas a restablecer o preservar los derechos o libertades por razón de los cuales se formuló el recurso. El amparo no es un recurso de carácter únicamente objetivo, dirigido a la restauración de la legalidad alterada o a la corrección de una errónea interpretación de la misma, sino que tiene un carácter también esencialmente subjetivo, de tal modo que donde no hay violación de derechos subjetivos de naturaleza fundamental no puede surgir una pretensión de amparo constitucional, lo que queda corroborado por lo dispuesto en el art. 55 LOTC sobre los posibles pronunciamientos de una Sentencia estimatoria. La quiebra de la legalidad debe anudarse a la de un derecho subjetivo fundamental para poder someterse a enjuiciamiento por el Tribunal Constitucional y ha de tratarse de un derecho cuya titularidad corresponda a la actora, no a un tercero. El recurso de amparo no es un recurso de casación “en interés de ley” o del “ordenamiento” sino, sólo y exclusivamente, una vía procesal para pretensiones dirigidas a establecer o preservar vulneraciones de derechos, transcribiéndose, al respecto, determinados pasajes de las SSTC 114/1995 y 78/1997. No es jurídicamente posible la utilización de este cauce para obtener del Tribunal Constitucional una sentencia por la cual se anule una decisión de la Mesa en la que se realizó una determinada lectura de un derecho, al aplicar el reglamento parlamentario, con la que la actora no está de acuerdo. En el caso enjuiciado, la pretendida causa de invalidez de la decisión recurrida consiste en el reconocimiento del derecho de un tercero, reconocimiento indebido a juicio de la actora porque se expande indebidamente ese derecho, pero este supuesto vicio no entraña por sí mismo una disminución o privación del derecho de la actora, por lo que en el hipotético caso de estimarse su pretensión se estaría </w:t>
      </w:r>
      <w:r>
        <w:lastRenderedPageBreak/>
        <w:t>admitiendo una acción procesal materialmente impugnatoria o bien el denominado “contraamparo”, desfigurando la naturaleza de esta vía. Cuesta entender que la admisión de una iniciativa parlamentaria, a diferencia de la inadmisión, cause un perjuicio a las facultades concretas de un diputado o de un grupo parlamentario, que continúan intactas en general, incluidas las que podrían considerarse pertenecientes al núcleo esencial de la función parlamentaria (enmendar, debatir y votar la iniciativa admitida o presentar otra de sentido opuesto). Se transcriben, al respecto, pasajes de las SSTC 93/1995, 167/1986 y 83/2000. La recurrente, en conclusión, carece de acción en amparo al no adecuarse su pretensión a la naturaleza, finalidad y objeto de dicha vía procesal.</w:t>
      </w:r>
    </w:p>
    <w:p w:rsidR="00163957" w:rsidRDefault="00163957" w:rsidP="00163957">
      <w:pPr>
        <w:pStyle w:val="TextoNormal"/>
      </w:pPr>
    </w:p>
    <w:p w:rsidR="00163957" w:rsidRDefault="00163957" w:rsidP="00163957">
      <w:pPr>
        <w:pStyle w:val="TextoNormal"/>
      </w:pPr>
      <w:r>
        <w:t xml:space="preserve">C) No se da una vulneración del núcleo esencial del art. 23 CE, en tanto en cuanto la decisión de la Mesa no afecta a las facultades de los diputados, citándose al respecto determinado pasaje de la STC 89/2005, así como de la STC 88/2012. El Tribunal Constitucional ha precisado además, mediante una interpretación restrictiva, que sólo poseen relevancia constitucional a los efectos del recurso de amparo para proteger el derecho fundamental del art. 23 CE las afectaciones al núcleo esencial de la función representativa parlamentaria, no cualquier acto de un órgano parlamentario que infrinja la legalidad (SSTC 38/1999, 107/2001, 40/2003 y 1/2015). Más específicamente, el Tribunal ha señalado que mediante el recurso de amparo contra acuerdos de las Mesas de las Cámaras de calificación y admisión a trámite de una iniciativa lo que se pretende es preservar el derecho de participación de los sujetos legitimados a intervenir en el procedimiento parlamentario (ATC 135/2004). Para el supuesto que aquí se analiza, no ha habido perjuicio o lesión a ningún derecho del que sea titular la actora causados por el ejercicio por la Mesa del Parlamento de su función de admisión y calificación de una iniciativa presentada por un tercero, pues el Reglamento del Parlamento de Cataluña ni reconoce la existencia de un “derecho a la no admisión”, ni se puede deducir su existencia. Por el contrario, y en relación a la propuesta de resolución cuya admisión se discute en esta sede, la actora conserva intacto su derecho a participar en el debate de la misma, a enmendarla, si lo cree oportuno, como han hecho otros grupos parlamentarios, y a votarla en el sentido que libremente decida. El derecho de los diputados del grupo parlamentario recurrente a intervenir en esta tramitación parlamentaria, que configuraría el núcleo esencial de su derecho en el caso enjuiciado, estaría plenamente preservado. De ello deriva que no le es posible reclamar el restablecimiento de un derecho subjetivo que no existe y que no puede utilizar para ese fin el proceso de amparo, que no es un proceso objetivo de restauración de la legalidad presuntamente infringida. Además, el derecho fundamental de participación es de configuración legal y su alcance y contenido queda determinado por el reglamento, siendo así que la actora no puede por más que admitir que no se ha visto privada de ningún derecho que le confiera el Reglamento del Parlamento de Cataluña, que no reconoce un derecho a impedir una tramitación, una suerte de derecho de veto, de otro grupo parlamentario. La jurisprudencia constitucional configura las propuestas de resolución como vía adecuada para forzar el debate político, el cual no debe ser obstaculizado por la Mesa (STC 44/2010). No puede sostenerse, como se desprende del recurso, que el propio debate político de la propuesta de resolución estaría violentando la naturaleza del art. 23 CE. La actora parece pretender una supuesta violación de este derecho fundamental por haberse expandido, con la admisión a trámite de la propuesta, sus límites intrínsecos, al considerar que permite un debate “inconstitucional” en un órgano “constituido”. Pero, en primer lugar, muy difícilmente la expansión de un derecho puede considerarse violación del mismo y, además, aquí estamos ante un derecho de configuración legal, por lo cual sus límites son los que establece el Reglamento del Parlamento de Cataluña (arts. 83 a </w:t>
      </w:r>
      <w:r>
        <w:lastRenderedPageBreak/>
        <w:t xml:space="preserve">88), límites sólo referidos al procedimiento y a las formas del debate, no a su contenido. Excluir del debate parlamentario posibles contenidos </w:t>
      </w:r>
      <w:r w:rsidRPr="00163957">
        <w:rPr>
          <w:i/>
        </w:rPr>
        <w:t>a priori</w:t>
      </w:r>
      <w:r>
        <w:t>, aparte las dificultados prácticas que ello tendría, sí que podría dar lugar en mucha mayor medida a la reducción del derecho de participación más allá de su límites intrínsecos y podría perjudicar al pluralismo que se expresa en los órganos parlamentarios, bien constitucional que la jurisprudencia de este Tribunal ha puesto de relieve (SSTC 38/1999, 107/2001 y 29/2011).</w:t>
      </w:r>
    </w:p>
    <w:p w:rsidR="00163957" w:rsidRDefault="00163957" w:rsidP="00163957">
      <w:pPr>
        <w:pStyle w:val="TextoNormal"/>
      </w:pPr>
    </w:p>
    <w:p w:rsidR="00163957" w:rsidRDefault="00163957" w:rsidP="00163957">
      <w:pPr>
        <w:pStyle w:val="TextoNormal"/>
      </w:pPr>
      <w:r>
        <w:t>Debe tenerse presente también el principio de interpretación más favorable a la eficacia de los derechos fundamentales (SSTC 177/2002 y 40/2003) y no olvidar que la preservación de la legalidad, y especialmente de la legalidad constitucional, dispone, en virtud de la Constitución y de la Ley Orgánica del Tribunal Constitucional, de poderosos instrumentos de control de las decisiones definitivas de todos los poderes públicos, incluidos los parlamentarios, preservación, que cuenta, además, con el refuerzo de la tutela cautelar cuando se trata de actos y disposiciones de las Comunidades Autónomas. En el caso que aquí nos ocupa estos mecanismos han sido utilizados respecto de la resolución final adoptada por el Parlamento (Resolución 1 /XI, de 9 de noviembre) hasta el punto que en este momento procesal ya ha recaído sentencia sobre la misma, lo que pone de relieve la diferencia entre la protección del derecho fundamental del art. 23 CE en el ámbito parlamentario y la función al efecto del recurso de amparo, con la garantía de la legalidad constitucional respecto de los actos definitivos del Parlamento. El amparo no puede ser utilizado cuando el motivo real que lo impulsa es discutir la admisión a trámite de una iniciativa en base a un test de constitucionalidad que un grupo parlamentario quiere imponer sobre otro, a pesar de que pueden existir incluso indicios suficientes para ello. Al contrario, este juicio y su eventual concreción procesal deben quedar reservados para el acto parlamentario definitivo, utilizando para ello los procedimientos adecuados de acuerdo con la Constitución y la Ley Orgánica del Tribunal Constitucional. Por todo ello debe concluirse que la decisión de la Mesa relativa a la admisión a trámite de esta propuesta de resolución, así como el acuerdo por el cual se desestimó la solicitud de su reconsideración, no conllevan una vulneración de las facultades del núcleo básico de la función representativa reconocidas en el art. 23 CE.</w:t>
      </w:r>
    </w:p>
    <w:p w:rsidR="00163957" w:rsidRDefault="00163957" w:rsidP="00163957">
      <w:pPr>
        <w:pStyle w:val="TextoNormal"/>
      </w:pPr>
    </w:p>
    <w:p w:rsidR="00163957" w:rsidRDefault="00163957" w:rsidP="00163957">
      <w:pPr>
        <w:pStyle w:val="TextoNormal"/>
      </w:pPr>
      <w:r>
        <w:t xml:space="preserve">D) Se considera, a continuación, la jurisprudencia constitucional sobre el alcance y contenido de las funciones de la Mesa del Parlamento. Tras citar el art. 37 RPC, se afirma que el centro decisorio del Parlamento, en cuanto al gobierno institucional, corresponde principalmente a la Mesa, en tanto que órgano colegiado. Sus funciones, en concreto, de admisión a trámite y calificación de los documentos de índole parlamentaria y de decisión sobre su tramitación [art. 37.3 d) RPC] deben cumplirse de conformidad con el Reglamento; se trata de actos reglados con relación a los cuales la Mesa no puede actuar a partir de criterios de oportunidad, sino que necesariamente debe encontrar la justificación de su actuación en la norma. Por ello el propio reglamento prevé que los grupos discrepantes puedan solicitar la reconsideración de tales actos, decidiendo la Mesa definitivamente mediante resolución motivada (art. 38 RPC). La jurisprudencia constitucional sobre la función de calificación de las Mesas parlamentarias ha sido considerada por el propio Tribunal como “evolutiva” (STC 107/2001). Hasta el inicio de los años noventa, se entendía que las Mesas gozaban de una amplia potestad calificadora que les permitía comprobar no sólo los aspectos formales de los escritos que debían calificar, sino que también podían entrar a valorar el contenido a efectos de realizar una verificación liminar de su conformidad a Derecho y llevar a cabo un juicio de idoneidad en cuanto al procedimiento parlamentario. La jurisprudencia constitucional consideraba que era posible la inadmisión de una iniciativa debido a su contenido en </w:t>
      </w:r>
      <w:r>
        <w:lastRenderedPageBreak/>
        <w:t>tres supuestos: cuando fuese manifiestamente contraria a Derecho, manifiestamente inconstitucional o inequívocamente extraña a las finalidades establecidas por el procedimiento. La STC 205/1990 se puede considerar el paradigma y culmen de dicha jurisprudencia. No obstante, a mediados de los años noventa se inicia un cambio en la jurisprudencia constitucional relativa a la potestad calificadora de las Mesas para requerir que estas se ciñan a una mera comprobación de los requisitos formales de los escritos y documentos que deben admitir a trámite. Los hitos de dicho cambio de tendencias se producen en las SSTC 95/1994 y 124/1995, resoluciones cuya fundamentación a estos efectos se cita y glosa en las alegaciones. A juicio de esta representación, el Tribunal Constitucional rehúsa cualquier valoración de fondo que pueda comportar en el procedimiento de amparo un juicio de constitucionalidad, toda vez que existen los cauces correspondientes para depurar una supuesta inconstitucionalidad. Para el Tribunal, el debate en el Pleno cumple una importante función representativa mediante la cual los parlamentarios pueden, en ejercicio de su derecho, defender o rechazar la iniciativa, así como tratar sobre su eventual inconstitucionalidad, dando así a conocer a los ciudadanos lo que piensan sobre determinada materia. De ahí que el Tribunal afirme la conveniencia de que la Mesa limite sus facultades de calificación y admisión al exclusivo examen del cumplimiento de los requisitos formales reglamentariamente exigidos, pues, de lo contrario, no sólo estaría asumiendo bajo un pretendido juicio técnico una decisión política que sólo al Pleno corresponde, sino que, además, y desde la óptica de la representación democrática, estaría obstaculizando la posibilidad de que se celebre un debate público entre las distintas fuerzas políticas con representación parlamentaria, cuyo efecto representativo ante los electores se cumple con su mera existencia, al margen, claro está, de que la iniciativa, en su caso, prospere (STC 124/1995). Se citan, asimismo, las SSTC 38/1999, 40/2003 y 208/2003, así como el ATC 135/2004, en el que el Tribunal no admite que se lleven a cabo juicios de antijuridicidad de simples proyectos de norma o incluso de la sola intención de producir normas. Se cita, en fin, la STC 84/2012, en la que se sistematiza la actual doctrina constitucional sobre la función de las Mesas de las Cámaras parlamentarias al calificar y admitir a trámite escritos y documentos. De todo este recorrido por la jurisprudencia constitucional concluyen las alegaciones con la apreciación de que la actual doctrina del Tribunal Constitucional sobre el test de admisión a trámite que pueden hacer las Mesas parlamentarias se limita a la verificación de los requisitos formales exigidos a las iniciativas por el reglamento y la ley y excluyen que este acto de calificación pueda comportar un juicio de oportunidad sobre el contenido de la propuesta.</w:t>
      </w:r>
    </w:p>
    <w:p w:rsidR="00163957" w:rsidRDefault="00163957" w:rsidP="00163957">
      <w:pPr>
        <w:pStyle w:val="TextoNormal"/>
      </w:pPr>
    </w:p>
    <w:p w:rsidR="00163957" w:rsidRDefault="00163957" w:rsidP="00163957">
      <w:pPr>
        <w:pStyle w:val="TextoNormal"/>
      </w:pPr>
      <w:r>
        <w:t xml:space="preserve">E) A efectos de aplicar al presente caso esta doctrina constitucional, se comienza recordando que la misma consiente que los reglamentos parlamentarios puedan establecer o permitir a la Mesa un control más allá de los aspectos formales con determinados condicionantes cuando el escrito esté delimitado por una norma constitucional, legal o parlamentaria y sea pertinente observar su adecuación a la misma. El Tribunal entiende que dicho control de la Mesa debe estar previsto expresamente en el reglamento parlamentario y admite que puede alcanzar, singularmente, a la verificación de la idoneidad del procedimiento parlamentario elegido, ya que esta verificación forma parte del cumplimiento del reglamento. Se observa, dicho esto, que, respecto del tipo de iniciativa parlamentaria recurrida, no existe en el Reglamento del Parlamento de Cataluña ninguna habilitación a la Mesa del Parlamento para que controle aspectos materiales de dicha iniciativa, transcribiéndose al respecto su art. 164. Tras referirse a las resoluciones del Parlamento de Cataluña como el ejemplo más paradigmático entre los instrumentos para ejercer la función de impulso de la acción política </w:t>
      </w:r>
      <w:r>
        <w:lastRenderedPageBreak/>
        <w:t>y de gobierno, se observa que si la legalidad aplicable no impone límite alguno a la iniciativa, la verificación de su admisibilidad ha de ser siempre formal (STC 40/2003) y por ello la Mesa se limitó aquí a verificar la regularidad formal de los términos de la iniciativa.</w:t>
      </w:r>
    </w:p>
    <w:p w:rsidR="00163957" w:rsidRDefault="00163957" w:rsidP="00163957">
      <w:pPr>
        <w:pStyle w:val="TextoNormal"/>
      </w:pPr>
    </w:p>
    <w:p w:rsidR="00163957" w:rsidRDefault="00163957" w:rsidP="00163957">
      <w:pPr>
        <w:pStyle w:val="TextoNormal"/>
      </w:pPr>
      <w:r>
        <w:t xml:space="preserve">La argumentación contenida en el ATC 135/2004 es perfectamente aplicable al caso, pues el acuerdo de la Mesa del Parlamento de 27 de octubre de 2015, de admisión a trámite de la propuesta de resolución, lo que hizo fue posibilitar en términos democráticos el inicio del debate y la discusión parlamentaria, permitiendo a los ciudadanos el conocimiento de la posición de los distintos grupos parlamentarios sobre las cuestiones objeto de la propuesta y establecer el marco de actuación parlamentaria para la XI Legislatura. Si bien la jurisprudencia constitucional admite un control material de la iniciativa por parte de las Mesas a efectos de comprobar la idoneidad o procedencia del procedimiento parlamentario elegido, hay que recordar que cuando el Tribunal Constitucional se ha referido a este control material lo ha hecho siempre como una potestad de las Mesas y no como una obligación jurídica de inexcusable cumplimiento, lo que es lógico, porque si la iniciativa puede ser sometida a modificaciones sustanciales durante el procedimiento parlamentario, una exigencia como esta podría incidir desproporcionadamente sobre el </w:t>
      </w:r>
      <w:r w:rsidRPr="00163957">
        <w:rPr>
          <w:i/>
        </w:rPr>
        <w:t>ius in officium</w:t>
      </w:r>
      <w:r>
        <w:t xml:space="preserve"> que ampara la presentación de iniciativas parlamentarias y el derecho a ser debatidas. En el caso de la idoneidad del procedimiento aplicable, el Tribunal Constitucional ha admitido expresamente que un procedimiento inicial pueda ser reconvertido en otro diferente durante su tramitación (STC 103/2008 y ATC 135/2004). Además, hay que señalar la dificultad para aplicar este límite cuando se trata de una propuesta de resolución y sus posibles efectos, incluidos los jurídicos en los términos que ha reconocido la STC 42/2014, no son vinculantes ni permiten la modificación del ordenamiento. Su manifestación final es un acto de impulso de la acción política y de gobierno, lo que obliga a relativizar el control del procedimiento reglamentario elegido, pues lo contrario sería admitir que la Mesa puede determinar el alcance de la función misma de impulso en detrimento de la voluntad de los que ejercen la iniciativa. Por ello, la actuación de la Mesa debe ser especialmente cautelosa y ceñirse a sus facultades de control formal. Los argumentos del recurrente respecto a la exigencia de que la Mesa hubiera tenido que inadmitir a trámite la propuesta de resolución porque su contenido sería contrario a la Constitución y solo podría producirse mediante una iniciativa de reforma constitucional que el propio Parlamento podría impulsar deben decaer, y sólo podrían tener cierto recorrido en el caso de una iniciativa legislativa, pues una propuesta de resolución es incapaz de producir los efectos jurídicos propios y vinculantes de un acto de naturaleza normativa y es potencialmente incapaz de contradecir la Constitución en los términos necesarios de contraste entre normas o de conflicto entre ordenamientos. El recurrente confunde este momento procedimental inicial con el contenido de la propuesta e incluso con su consideración como acto definitivo y ello le lleva a utilizar un tipo de argumentos de oposición y crítica material y de fondo que, además de ser totalmente inapropiados en un recurso de amparo, llevarían al extremo insostenible de desnaturalizar las funciones de la Mesa del Parlamento, en claro perjuicio del debate político y del pluralismo. Debe rechazarse también el argumento de que la propuesta de resolución excede del contenido posible que permite el art. 164 RPC, al ir más allá del objeto de impulso de la acción política. Una vez más se incurre aquí en el terreno resbaladizo de trasladar a la Mesa una responsabilidad de inadmisión, precisamente sobre el ejercicio de la función parlamentaria de impulso que debe observarse con especial flexibilidad, habida cuenta de la extrema dificultad que supondría la delimitación </w:t>
      </w:r>
      <w:r w:rsidRPr="00163957">
        <w:rPr>
          <w:i/>
        </w:rPr>
        <w:t>a priori</w:t>
      </w:r>
      <w:r>
        <w:t xml:space="preserve"> de lo que puede entenderse como impulso de la acción política y de gobierno. Parece obvio que la Mesa debe guiarse por un criterio formal, especialmente </w:t>
      </w:r>
      <w:r>
        <w:lastRenderedPageBreak/>
        <w:t>cuando la iniciativa puede encajar en el marco amplio del art. 164 RPC. También debe rebatirse que la propuesta sea extemporánea por haberse presentado antes de la investidura del Presidente de la Generalitat. La propuesta se dirige efectivamente, en algunos de sus puntos, a un futuro Gobierno, pero a efectos de su admisión a trámite no contiene indicación alguna sobre el momento en que debe ser objeto de debate y votación, ya que esto lo deben determinar después la Mesa y la Junta de Portavoces, como así se hizo sin que esa decisión haya sido objeto de impugnación alguna. Asumir la tesis de la extemporaneidad sería tanto como admitir que mientras no haya investidura no existe posibilidad de que los diputados o los grupos parlamentarios presenten iniciativas o de que la Mesa pueda ejercer en ese lapso de tiempo sus funciones de calificación de los escritos, conclusión que es a todas luces inaceptable y que desmiente la praxis parlamentaria. Incluso la propia sustanciación por el Pleno sería posible, como así ha sido en este caso, porque la posibilidad de la convocatoria no está excluida antes de la investidura y porque hay que reconocer al Parlamento constituido la capacidad de aprobar resoluciones dirigidas a los ciudadanos o incluso a un futuro Gobierno. Pero, en cualquier caso, lo que se ventila en el presente recurso ni siquiera afecta al recorrido parlamentario de la propuesta de resolución, porque los actos a los que se contrae el recurso se limitan a la fase inicial de la admisión a trámite y a la desestimación de las solicitudes de reconsideración de esa admisión. Y en relación a esta cuestión hay que añadir que por parte de todos los grupos parlamentarios, incluido, por tanto, el que presenta el amparo, se han presentado ante la Mesa numerosas iniciativas, lo que demuestra que el mismo recurrente asume como adecuada, correcta y posible tal presentación y su admisión a trámite antes de la investidura del Presidente de la Generalitat.</w:t>
      </w:r>
    </w:p>
    <w:p w:rsidR="00163957" w:rsidRDefault="00163957" w:rsidP="00163957">
      <w:pPr>
        <w:pStyle w:val="TextoNormal"/>
      </w:pPr>
    </w:p>
    <w:p w:rsidR="00163957" w:rsidRDefault="00163957" w:rsidP="00163957">
      <w:pPr>
        <w:pStyle w:val="TextoNormal"/>
      </w:pPr>
      <w:r>
        <w:t>F) Se ocupan a continuación las alegaciones de lo que consideran indebida extensión del recurso de amparo a otras presuntas infracciones del reglamento inexistentes o que, caso de haberse producido, no tendrían suficiente entidad para vulnerar —en sus palabras— el derecho fundamental del grupo parlamentario que solicita el amparo:</w:t>
      </w:r>
    </w:p>
    <w:p w:rsidR="00163957" w:rsidRDefault="00163957" w:rsidP="00163957">
      <w:pPr>
        <w:pStyle w:val="TextoNormal"/>
      </w:pPr>
    </w:p>
    <w:p w:rsidR="00163957" w:rsidRDefault="00163957" w:rsidP="00163957">
      <w:pPr>
        <w:pStyle w:val="TextoNormal"/>
      </w:pPr>
      <w:r>
        <w:t>a) Se comienza recordando que, conforme a la jurisprudencia constitucional, las vulneraciones relevantes en esta vía son sólo las que afecten al núcleo esencial del derecho del art. 23.2 CE, en este caso al ejercicio de la función parlamentaria. Es dudoso —se observa— que estas otras infracciones que se aducen pudieran haber afectado a aquel núcleo esencial del derecho.</w:t>
      </w:r>
    </w:p>
    <w:p w:rsidR="00163957" w:rsidRDefault="00163957" w:rsidP="00163957">
      <w:pPr>
        <w:pStyle w:val="TextoNormal"/>
      </w:pPr>
    </w:p>
    <w:p w:rsidR="00163957" w:rsidRDefault="00163957" w:rsidP="00163957">
      <w:pPr>
        <w:pStyle w:val="TextoNormal"/>
      </w:pPr>
      <w:r>
        <w:t xml:space="preserve">b) Los recurrentes consideran que la Junta de Portavoces fue convocada de modo irregular para ser oída con carácter previo a la decisión de la Mesa sobre las solicitudes de reconsideración, pero poco tienen que reclamar en amparo de su derecho cuando pudieron asistir a la reunión normalmente, en tanto ya se habían constituido como grupo parlamentario. Para el recurrente no hay vulneración alguna de ningún derecho subjetivo y eso hace evidente que su argumento sólo tendría como objeto denunciar e impugnar una presunta irregularidad procedimental que no puede tener cabida en el marco de este recurso de amparo. Además, esta alegación es contradictoria con el derecho a la reconsideración ejercido por el mismo grupo, al que había que dar respuesta en el plazo de cuatro días. Si la Mesa esperaba a la constitución del grupo parlamentario del Partido Popular, el recurrente sí que podía alegar la vulneración de su derecho a obtener una respuesta a su solicitud de reconsideración. Y también habría que tener en cuenta que las solicitudes de reconsideración suspenden la tramitación de las iniciativas, con lo que los grupos proponentes también podrían ver afectado su derecho fundamental si se superaba el plazo del art. 38.3 RPC. Por estas razones, la Mesa </w:t>
      </w:r>
      <w:r>
        <w:lastRenderedPageBreak/>
        <w:t xml:space="preserve">dio prioridad al cumplimiento estricto de este plazo de reconsideración antes que esperar al transcurso del plazo previsto para la constitución de los grupos parlamentarios, teniendo en cuenta que este plazo es facultativo y que el único grupo no constituido podía acudir a la Junta de Portavoces por medio de un representante, como ya venía haciendo </w:t>
      </w:r>
      <w:r w:rsidRPr="00163957">
        <w:rPr>
          <w:i/>
        </w:rPr>
        <w:t>de facto</w:t>
      </w:r>
      <w:r>
        <w:t xml:space="preserve"> al asistir como invitado a las reuniones de la Mesa. La convocatoria de la Junta de Portavoces se dirigió también a los diputados del Partido Popular por si querían enviar un representante y además en este caso la Junta sólo debía ser oída, porque la competencia decisoria es exclusivamente de la Mesa. Para la válida constitución de la Junta de Portavoces, además, tampoco se exige la presencia de todos los grupos parlamentarios.</w:t>
      </w:r>
    </w:p>
    <w:p w:rsidR="00163957" w:rsidRDefault="00163957" w:rsidP="00163957">
      <w:pPr>
        <w:pStyle w:val="TextoNormal"/>
      </w:pPr>
    </w:p>
    <w:p w:rsidR="00163957" w:rsidRDefault="00163957" w:rsidP="00163957">
      <w:pPr>
        <w:pStyle w:val="TextoNormal"/>
      </w:pPr>
      <w:r>
        <w:t>c) Por lo que concierne al informe de los servicios jurídicos, es evidente que no puede desprenderse del derecho genérico de información y asistencia de los servicios de la Cámara (art. 5 RPC) un derecho a solicitar y obtener un informe jurídico formal y concreto sobre una propuesta de resolución. El derecho del precepto reglamentario citado cubre sólo una función de información y asistencia general a los miembros de la Cámara y por otra parte los Estatutos de Régimen y Gobierno Interior del Parlamento son muy claros cuando atribuyen a los órganos rectores de la Cámara (Mesa y Presidencia) la decisión de encargar un informe a los servicios jurídicos. El art. 23.2 CE no ampara lo que, según el recurrente, vendría a ser un derecho a exigir la elaboración de un informe jurídico sobre cualquier iniciativa parlamentaria. Los servicios jurídicos del Parlamento no están al servicio de los grupos parlamentarios, sino de la institución, y es evidente que no pueden ser utilizados ni actuar para elaborar informes a petición directa o en interés de parte, sino cuando lo consideren necesario u oportuno los órganos rectores de la Cámara.</w:t>
      </w:r>
    </w:p>
    <w:p w:rsidR="00163957" w:rsidRDefault="00163957" w:rsidP="00163957">
      <w:pPr>
        <w:pStyle w:val="TextoNormal"/>
      </w:pPr>
    </w:p>
    <w:p w:rsidR="00163957" w:rsidRDefault="00163957" w:rsidP="00163957">
      <w:pPr>
        <w:pStyle w:val="TextoNormal"/>
      </w:pPr>
      <w:r>
        <w:t>d) Por último, respecto de la motivación de la desestimación de las solicitudes de reconsideración es evidente que tal motivación existe, como puede comprobarse en el acta de la Mesa de 3 de noviembre de 2015. Asimismo, este acuerdo motivado fue también notificado a los grupos parlamentarios.</w:t>
      </w:r>
    </w:p>
    <w:p w:rsidR="00163957" w:rsidRDefault="00163957" w:rsidP="00163957">
      <w:pPr>
        <w:pStyle w:val="TextoNormal"/>
      </w:pPr>
    </w:p>
    <w:p w:rsidR="00163957" w:rsidRDefault="00163957" w:rsidP="00163957">
      <w:pPr>
        <w:pStyle w:val="TextoNormal"/>
      </w:pPr>
      <w:r>
        <w:t>Se concluyó con la solicitud de que se dictara Sentencia por la que se inadmitiera o se denegara, en su caso, el amparo solicitado.</w:t>
      </w:r>
    </w:p>
    <w:p w:rsidR="00163957" w:rsidRDefault="00163957" w:rsidP="00163957">
      <w:pPr>
        <w:pStyle w:val="TextoNormal"/>
      </w:pPr>
    </w:p>
    <w:p w:rsidR="00163957" w:rsidRDefault="00163957" w:rsidP="00163957">
      <w:pPr>
        <w:pStyle w:val="TextoNormal"/>
      </w:pPr>
      <w:r w:rsidRPr="00163957">
        <w:rPr>
          <w:rStyle w:val="NumeroAFNegritaCaracter"/>
        </w:rPr>
        <w:t>12</w:t>
      </w:r>
      <w:r>
        <w:t>. Por providencia de 7 de junio de 2016 se señaló esa misma fecha para la deliberación y fallo de la presente Sentencia.</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Los demandantes de amparo son diputados del Parlamento de Cataluña integrados en el grupo parlamentario de Ciudadanos de dicha Cámara e impugnan los acuerdos de la Mesa de este Parlamento (i) de 27 de octubre de 2015, por el que se admitió a trámite la “propuesta de resolución sobre el inicio del proceso político en Cataluña como consecuencia de los resultados electorales”; y (ii) de 3 de noviembre de 2015, por el que se desestimó la petición de reconsideración que, entre otros, presentó el grupo parlamentario de Ciudadanos.</w:t>
      </w:r>
    </w:p>
    <w:p w:rsidR="00163957" w:rsidRDefault="00163957" w:rsidP="00163957">
      <w:pPr>
        <w:pStyle w:val="TextoNormal"/>
      </w:pPr>
    </w:p>
    <w:p w:rsidR="00163957" w:rsidRDefault="00163957" w:rsidP="00163957">
      <w:pPr>
        <w:pStyle w:val="TextoNormal"/>
      </w:pPr>
      <w:r>
        <w:t xml:space="preserve">La impugnación del acuerdo de 27 de octubre de 2015 la fundamentan, con invocación del art. 23 CE, en la “evidente vulneración del núcleo constitucionalmente protegido de la función representativa” que se habría producido por la decisión de admitir a trámite una </w:t>
      </w:r>
      <w:r>
        <w:lastRenderedPageBreak/>
        <w:t>propuesta de carácter manifiestamente inconstitucional. Por su parte, la impugnación de acuerdo de 3 de noviembre de 2015 la fundamentan también en la vulneración del art. 23 CE, argumentando que, con infracción del art. 38.3 del Reglamento del Parlamento de Cataluña (RPC), se desestimó la petición de reconsideración sin oír propiamente a la Junta de Portavoces, que todavía no estaba plenamente constituida, afectando con ello al ejercicio de sus cargos representativos.</w:t>
      </w:r>
    </w:p>
    <w:p w:rsidR="00163957" w:rsidRDefault="00163957" w:rsidP="00163957">
      <w:pPr>
        <w:pStyle w:val="TextoNormal"/>
      </w:pPr>
    </w:p>
    <w:p w:rsidR="00163957" w:rsidRDefault="00163957" w:rsidP="00163957">
      <w:pPr>
        <w:pStyle w:val="TextoNormal"/>
      </w:pPr>
      <w:r>
        <w:t xml:space="preserve">El Ministerio Fiscal interesa la estimación del recurso de amparo con alegaciones coincidentes con las de los demandantes de amparo, considerando que el recurso viene propiamente formulado por el grupo parlamentario de Ciudadanos y que la firma por el conjunto de todos los diputados integrantes del grupo es solo una manifestación de adhesión y conformidad con el recurso. Por su parte, la representación del Parlamento de Cataluña solicita la inadmisión del recurso alegando que, frente a lo pretendido por los demandantes, la jurisdicción de amparo no es el cauce adecuado para sustanciar la mera impugnación de la legalidad de la decisión de un órgano parlamentario, desconectada de la defensa del </w:t>
      </w:r>
      <w:r w:rsidRPr="00163957">
        <w:rPr>
          <w:i/>
        </w:rPr>
        <w:t>ius in officium</w:t>
      </w:r>
      <w:r>
        <w:t xml:space="preserve"> protegido por el art. 23 CE, ni tampoco la vía procesal apta para una interpretación genérica del alcance de este precepto desvinculada de una concreta lesión subjetiva del mismo provocada a quien insta el amparo. Subsidiariamente, la representación del Parlamento de Cataluña solicita la desestimación del recurso por entender que no concurre una vulneración del núcleo esencial del art. 23 CE, ya que la decisión de la Mesa de admitir a trámite la iniciativa parlamentaria no ha afectado a las facultades representativas de los diputados, pues no tenía la posibilidad de rechazar por motivos de fondo la propuesta de resolución presentada y el rechazo de la reconsideración no fue irregular, ya que se produjo tras ser oída la Junta de Portavoces.</w:t>
      </w:r>
    </w:p>
    <w:p w:rsidR="00163957" w:rsidRDefault="00163957" w:rsidP="00163957">
      <w:pPr>
        <w:pStyle w:val="TextoNormal"/>
      </w:pPr>
    </w:p>
    <w:p w:rsidR="00163957" w:rsidRDefault="00163957" w:rsidP="00163957">
      <w:pPr>
        <w:pStyle w:val="TextoNormal"/>
      </w:pPr>
      <w:r>
        <w:t>El objeto de este recurso es similar al planteado en los recursos de amparo 6206-2015, por los diputados del Parlamento de Cataluña integrados en el grupo parlamentario del Partido Socialista, y 6207-2015, por los diputados del Parlamento de Cataluña elegidos en las listas electorales del Partido Popular, los cuales son resueltos por las SSTC 108/2016 y 109/2016, de 7 de junio, respectivamente.</w:t>
      </w:r>
    </w:p>
    <w:p w:rsidR="00163957" w:rsidRDefault="00163957" w:rsidP="00163957">
      <w:pPr>
        <w:pStyle w:val="TextoNormal"/>
      </w:pPr>
    </w:p>
    <w:p w:rsidR="00163957" w:rsidRDefault="00163957" w:rsidP="00163957">
      <w:pPr>
        <w:pStyle w:val="TextoNormal"/>
      </w:pPr>
      <w:r>
        <w:t>Es de ver, asimismo, que el recurso tiene especial trascendencia constitucional, por cuanto plantea un problema o una faceta de un derecho fundamental susceptible de amparo sobre el que no hay doctrina del Tribunal Constitucional (el alcance del derecho de representación política en la Junta de Portavoces cuando aún no se ha constituido un grupo parlamentario) y versa sobre un cuestión que trasciende del caso concreto porque plantea una cuestión jurídica con consecuencias políticas generales, en su calidad de amparo parlamentario [STC 155/2009, de 25 de junio, supuestos a) y g) del fundamento jurídico 2, último párrafo].</w:t>
      </w:r>
    </w:p>
    <w:p w:rsidR="00163957" w:rsidRDefault="00163957" w:rsidP="00163957">
      <w:pPr>
        <w:pStyle w:val="TextoNormal"/>
      </w:pPr>
    </w:p>
    <w:p w:rsidR="00163957" w:rsidRDefault="00163957" w:rsidP="00163957">
      <w:pPr>
        <w:pStyle w:val="TextoNormal"/>
      </w:pPr>
      <w:r w:rsidRPr="00163957">
        <w:rPr>
          <w:rStyle w:val="NumeroAFNegritaCaracter"/>
        </w:rPr>
        <w:t>2</w:t>
      </w:r>
      <w:r>
        <w:t>. En este fundamento se van a resolver las cuestiones relativas a (i) la petición de inadmisión del recurso que formula la representación del Parlamento de Cataluña; (ii) el concreto objeto del enjuiciamiento que debe llevarse a cabo; y (iii) el orden de resolución de los motivos del recurso de amparo.</w:t>
      </w:r>
    </w:p>
    <w:p w:rsidR="00163957" w:rsidRDefault="00163957" w:rsidP="00163957">
      <w:pPr>
        <w:pStyle w:val="TextoNormal"/>
      </w:pPr>
    </w:p>
    <w:p w:rsidR="00163957" w:rsidRDefault="00163957" w:rsidP="00163957">
      <w:pPr>
        <w:pStyle w:val="TextoNormal"/>
      </w:pPr>
      <w:r>
        <w:t>(i) Debe desestimarse la solicitud de inadmisión que articula la representación del Parlamento de Cataluña. Esta representación plantea la inadecuación del procedimiento consti</w:t>
      </w:r>
      <w:r>
        <w:lastRenderedPageBreak/>
        <w:t xml:space="preserve">tucional de amparo para la resolución de las cuestiones suscitadas en la demanda argumentando que los recurrentes pretenden sustanciar la impugnación de la legalidad de la decisión de un órgano parlamentario desconectada de la defensa del </w:t>
      </w:r>
      <w:r w:rsidRPr="00163957">
        <w:rPr>
          <w:i/>
        </w:rPr>
        <w:t>ius in officium</w:t>
      </w:r>
      <w:r>
        <w:t xml:space="preserve"> protegido por el art. 23 CE y que persiguen la obtención de una interpretación genérica del alcance de este precepto desvinculada de una concreta lesión subjetiva del mismo provocada a quien insta el amparo. Ahora bien, tomando en cuenta que (a) la fundamentación de esta causa de inadmisión se vincula al presupuesto de que los demandantes no relacionan su impugnación con una concreta vulneración del art. 23 CE y que (b) la demanda pone de manifiesto que aquellos sí alegan de manera directa la lesión del art. 23 CE conectada de manera inmediata a determinados actos parlamentarios, la conclusión no puede ser sino que la cuestión planteada se proyecta sobre el alcance de un derecho fundamental y no resulta posible pronunciarse con carácter preliminar sobre la inexistencia de la vulneración alegada.</w:t>
      </w:r>
    </w:p>
    <w:p w:rsidR="00163957" w:rsidRDefault="00163957" w:rsidP="00163957">
      <w:pPr>
        <w:pStyle w:val="TextoNormal"/>
      </w:pPr>
    </w:p>
    <w:p w:rsidR="00163957" w:rsidRDefault="00163957" w:rsidP="00163957">
      <w:pPr>
        <w:pStyle w:val="TextoNormal"/>
      </w:pPr>
      <w:r>
        <w:t>(ii) La demanda contiene una serie de consideraciones en relación con otras supuestas infracciones del Reglamento de la Cámara como son las referidas a que, a falta de la constitución de la Junta de Portavoces, no podría celebrarse un Pleno de la Cámara, pues la fijación del correspondiente orden del día por la Presidencia ha de hacerse de acuerdo con dicha Junta (art. 81.2 RPC) y a que el Pleno debería convocarse en primer lugar para la investidura del presidente de la Generalidad. Este Tribunal no puede hacer ningún pronunciamiento sobre estas consideraciones, ya que en ninguno de los acuerdos impugnados existe determinación sobre el orden del día en el que habría de incluirse la propuesta de resolución ni tampoco sobre la fecha y hora para la que se convocaría el Pleno de la Cámara a fin de deliberar y decidir sobre ella. Fue el acuerdo de la Presidencia de la Cámara de 6 de noviembre de 2015, no impugnado en este recurso, el que convocó el Pleno para el día 9 de noviembre de 2015, a las 10:00 horas, con un orden del día en el que figuró la propuesta de resolución. Esta convocatoria fue seguida por otra de igual fecha y para el mismo día, a las 17:00 horas, sobre el debate del programa y la votación de investidura del candidato a la Presidencia de la Generalidad (“Boletín Oficial del Parlamento de Cataluña”, núm. 6, de 6 de noviembre de 2015).</w:t>
      </w:r>
    </w:p>
    <w:p w:rsidR="00163957" w:rsidRDefault="00163957" w:rsidP="00163957">
      <w:pPr>
        <w:pStyle w:val="TextoNormal"/>
      </w:pPr>
    </w:p>
    <w:p w:rsidR="00163957" w:rsidRDefault="00163957" w:rsidP="00163957">
      <w:pPr>
        <w:pStyle w:val="TextoNormal"/>
      </w:pPr>
      <w:r>
        <w:t>(iii) Este Tribunal ha reiterado que le corresponde siempre determinar el orden del examen de las diversas invocaciones, conforme a las circunstancias de cada concreto supuesto (STC 169/2013, de 7 de octubre, FJ 2). Las singulares circunstancias concurrentes en este caso determinan que el orden de enjuiciamiento que va a seguirse sea el mismo que el planteado por los demandantes de amparo. Con carácter general, el análisis de las diversas invocaciones suele comenzar por las lesiones de carácter procedimental, entre las que en este caso figuraría la imputada a la tramitación y resolución de las solicitudes de reconsideración, ya que su eventual estimación determinaría un efecto de retroacción de actuaciones que permitiría con plenitud de competencia resolver la cuestión de fondo sin que resultara prejuzgada por este Tribunal. Ahora bien, el hecho de que finalmente la resolución aprobada por el Parlamento de Cataluña, como resultado de la propuesta que era objeto de los acuerdos ahora impugnados, haya sido ya anulada por razones de fondo por la STC 259/2015, de 2 de diciembre, deja sin objeto útil cualquier posible decisión de retroacción de actuaciones. De ese modo, siendo el objeto principal de este recurso la cuestión de fondo de la decisión de admisión por la Mesa de la propuesta de resolución, esta debe ser la primera cuestión analizada.</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3</w:t>
      </w:r>
      <w:r>
        <w:t>. Los demandantes de amparo alegan que la decisión de la Mesa del Parlamento de Cataluña de admitir a trámite la propuesta de resolución presentada conjuntamente por los grupos parlamentarios de Junts pel Sí y de Candidatura de Unidad Popular “sobre el inicio del proceso político en Cataluña como consecuencia de los resultados electorales” ha vulnerado su derecho fundamental a la representación política (art. 23.2 CE) y, en relación con ello, el derecho a participar en los asuntos públicos de los ciudadanos a quienes representan como diputados (art. 23.1 CE). Los demandantes fundamentan esta vulneración en que esa decisión de admisión era “abierta y premeditadamente contraria a la Constitución, al Estatuto de Autonomía y a todo el orden constitucional español” y por ello a la “naturaleza de la representación” de los diputados del Parlamento de Cataluña, por lo que se ha vulnerado el “núcleo constitucionalmente protegido de la función representativa”. El Ministerio Fiscal comparte esta conclusión. Por el contrario, la representación del Parlamento de Cataluña argumenta que, en atención a la jurisprudencia constitucional, la Mesa del Parlamento no hubiera podido inadmitir a trámite la propuesta de resolución por las cuestiones de fondo alegadas por los recurrentes y que, en todo caso, la admisión no infringió el derecho fundamental del art. 23 CE.</w:t>
      </w:r>
    </w:p>
    <w:p w:rsidR="00163957" w:rsidRDefault="00163957" w:rsidP="00163957">
      <w:pPr>
        <w:pStyle w:val="TextoNormal"/>
      </w:pPr>
    </w:p>
    <w:p w:rsidR="00163957" w:rsidRDefault="00163957" w:rsidP="00163957">
      <w:pPr>
        <w:pStyle w:val="TextoNormal"/>
      </w:pPr>
      <w:r>
        <w:t>El Tribunal no puede acoger, como pretensión de amparo, que la admisión a trámite de la citada propuesta de resolución haya violado el derecho fundamental de los recurrentes por haber dado curso la Mesa a una iniciativa manifiestamente contraria a la Constitución. Por lo pronto, debe señalarse que las facultades de las Mesas de las asambleas en orden a la calificación y admisión a trámite de iniciativas parlamentarias lo son sobre todo, conforme a jurisprudencia constitucional constante, a efectos de controlar la regularidad jurídica y la viabilidad formal o procesal de las iniciativas presentadas, de modo que las Mesas no deben, con carácter general, inadmitir propuestas o proposiciones a causa de la supuesta inconstitucionalidad de su contenido, lo que infringiría el derecho fundamental de sus impulsores (art. 23.2 CE). Este principio solo consiente una muy limitada salvedad, pues en supuestos excepcionales las Mesas pueden inadmitir a trámite, sin daño para el derecho fundamental citado, las propuestas o proposiciones cuya contradicción con el Derecho o inconstitucionalidad sean “palmarias y evidentes” (SSTC 124/1995, de 18 de julio, FJ 2, y STC 10/2016, de 1 de febrero, FJ 4). En modo alguno cabría de principio excluir que en tales casos excepcionales tuvieran las Mesas la facultad de no dar curso a la propuesta de que se trate, extremo este último, sin embargo, sobre el que el Tribunal no se ha de pronunciar ahora, pues, aun configurado tal poder de inadmisión en casos límite como deber constitucional de la Mesa, su incumplimiento no ocasionaría infracción alguna del derecho fundamental (art. 23.2 CE) de quienes denuncien tal supuesta omisión de un control que habría sido obligado. En el contenido del derecho enunciado en el art. 23.2 CE no se encuentra lo que habría que llamar “derecho fundamental a la constitucionalidad” de las iniciativas parlamentarias o, incluso, de los acuerdos o normas a que aboquen, hipotético contenido este que no solo difuminaría los contornos del derecho instituido en aquel precepto, sino que alteraría al propio tiempo la propia configuración del recurso de amparo e incluso, acaso, el entero sistema de nuestra jurisdicción constitucional.</w:t>
      </w:r>
    </w:p>
    <w:p w:rsidR="00163957" w:rsidRDefault="00163957" w:rsidP="00163957">
      <w:pPr>
        <w:pStyle w:val="TextoNormal"/>
      </w:pPr>
    </w:p>
    <w:p w:rsidR="00163957" w:rsidRDefault="00163957" w:rsidP="00163957">
      <w:pPr>
        <w:pStyle w:val="TextoNormal"/>
      </w:pPr>
      <w:r>
        <w:t>Cabe, pues, concluir que la cuestionada admisión a trámite de la propuesta de resolución no violó, por la causa que aducen, el derecho fundamental invocado por los recurrentes.</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La desestimación de la invocación del derecho a la representación política de los demandantes de amparo desde el prisma que acaba de enjuiciarse no es obstáculo para que </w:t>
      </w:r>
      <w:r>
        <w:lastRenderedPageBreak/>
        <w:t>este Tribunal deba entrar al fondo del análisis de la restante lesión aducida. En concreto, la vulneración que se dice sufrida del art. 23.2 CE con ocasión de la tramitación y resolución de la petición de reconsideración formulada por el grupo parlamentario en el que los actores se integran.</w:t>
      </w:r>
    </w:p>
    <w:p w:rsidR="00163957" w:rsidRDefault="00163957" w:rsidP="00163957">
      <w:pPr>
        <w:pStyle w:val="TextoNormal"/>
      </w:pPr>
    </w:p>
    <w:p w:rsidR="00163957" w:rsidRDefault="00163957" w:rsidP="00163957">
      <w:pPr>
        <w:pStyle w:val="TextoNormal"/>
      </w:pPr>
      <w:r>
        <w:t>Los demandantes alegan que el acuerdo de la Mesa del Parlamento de Cataluña de 3 de noviembre de 2015, por el que se desestimó la petición de reconsideración de la decisión de admisión de la propuesta de resolución planteada, entre otros, por el grupo parlamentario Ciudadanos se adoptó sin la preceptiva audiencia previa de la Junta de Portavoces (art. 38.3 RPC), provocando con ello una vulneración del art. 23.2 CE. A esos efectos, exponen que la reunión de portavoces celebrada el día 3 de noviembre de 2015 no lo fue con la condición reglamentaria de Junta de Portavoces, ya que cuando dicha reunión fue convocada y celebrada aún no estaban constituidos todos los grupos parlamentarios ni nombrados por tanto la totalidad de los portavoces, pues los diputados elegidos en las listas del Partido Popular contaban todavía con plazo reglamentario para formar grupo propio y designar un portavoz con derecho a integrarse en la Junta de Portavoces (arts. 28.1 y 35.1 RPC). El Ministerio Fiscal comparte esta conclusión. Por el contrario, la representación del Parlamento de Cataluña argumenta que no concurre la vulneración aducida, ya que el grupo parlamentario de Ciudadanos, que estaba constituido, pudo manifestarse y ser oído en la reunión de portavoces celebrada el 3 de noviembre de 2015 y que, en todo caso, la vulneración se habría producido si la Mesa hubiera esperado a que se conformara el grupo parlamentario que faltaba, ya que la reconsideración planteada debía ser respondida en un plazo de cuatro días. De ese modo, la representación del Parlamento de Cataluña concluye que la Mesa decidió dar prioridad al cumplimiento estricto del plazo de reconsideración, teniendo en cuenta que, aunque no estaba constituido uno de los grupos, su representante podía acudir a la Junta de Portavoces.</w:t>
      </w:r>
    </w:p>
    <w:p w:rsidR="00163957" w:rsidRDefault="00163957" w:rsidP="00163957">
      <w:pPr>
        <w:pStyle w:val="TextoNormal"/>
      </w:pPr>
    </w:p>
    <w:p w:rsidR="00163957" w:rsidRDefault="00163957" w:rsidP="00163957">
      <w:pPr>
        <w:pStyle w:val="TextoNormal"/>
      </w:pPr>
      <w:r>
        <w:t xml:space="preserve">El art. 38.3 RPC establece que “[l]a Mesa del Parlamento dispone de un plazo de cuatro días para resolver definitivamente la petición de reconsideración mediante resolución motivada, oída la Junta de Portavoces”. La vulneración alegada por los demandantes está vinculada en el recurso al derecho de los actores enunciado en el art. 23.2 CE, de acuerdo con una amplia jurisprudencia constitucional según la cual este derecho constitucional garantiza, en lo que ahora importa, no solo el acceso igualitario a los cargos públicos con los requisitos que señalen las leyes, sino también, por conexión necesaria, el mantenimiento del representante en ese cargo y el ejercicio del mismo sin perturbaciones ilegítimas y de conformidad con lo dispuesto en las normas y, en particular, en los reglamentos de las asambleas representativas. En el bien entendido de que la jurisprudencia declara que no cualquier infracción a los reglamentos parlamentarios es, sin más, lesiva del derecho fundamental de referencia, sino solo si la vulneración afecta al núcleo de los derechos y facultades del representante, a su </w:t>
      </w:r>
      <w:r w:rsidRPr="00163957">
        <w:rPr>
          <w:i/>
        </w:rPr>
        <w:t>ius in officium</w:t>
      </w:r>
      <w:r>
        <w:t>. Esta afectación es afirmada por los demandantes. Como ya se ha hecho constar, el Ministerio Fiscal concluye sus alegaciones, en este punto, en coincidencia sustancial con la demanda; lo contrario hace, por su parte, la representación del Parlamento de Cataluña, para la que los actores poco podrían reclamar en cuanto a la convocatoria y reunión de los portavoces, pues pudieron manifestarse y ser oídos en la reunión del día 3 de noviembre, reunión tras la cual la Mesa resolvió la petición de reconsideración con pleno respeto a la exigencia de motivación impuesta por el art. 38.3 RPC.</w:t>
      </w:r>
    </w:p>
    <w:p w:rsidR="00163957" w:rsidRDefault="00163957" w:rsidP="00163957">
      <w:pPr>
        <w:pStyle w:val="TextoNormal"/>
      </w:pPr>
    </w:p>
    <w:p w:rsidR="00163957" w:rsidRDefault="00163957" w:rsidP="00163957">
      <w:pPr>
        <w:pStyle w:val="TextoNormal"/>
      </w:pPr>
      <w:r>
        <w:lastRenderedPageBreak/>
        <w:t>A) La situación en la que se suscita la controversia ha quedado en esencia descrita en los antecedentes. El grupo parlamentario en el que los demandantes se integran presentó una solicitud de reconsideración de la decisión de la Mesa del Parlamento autonómico, de 27 de octubre de 2015, que admitió a trámite la propuesta de resolución “sobre el proceso político en Cataluña como consecuencia de los resultados electorales”. La solicitud debía ser resuelta por la Mesa en los términos del antes transcrito art. 38.3 RPC, que impone, entre otras exigencias, la previa audiencia a la Junta de Portavoces. A tal fin, la presidenta de la asamblea convocó, el 2 de noviembre de 2015, a una Junta para el siguiente día 3 y ofreció en aquella primera fecha a los diputados elegidos en las listas del Partido Popular (no constituidos aún en grupo, para lo que contaban, al menos, con plazo reglamentario hasta el día 5 del mismo mes) la posibilidad de designar “algún representante” que pudiera asistir a dicha reunión. Aquellos diputados no se acogieron a esta invitación. Recibida aquella convocatoria, el presidente de uno de los grupos parlamentarios se dirigió por escrito a la presidenta, el mismo 2 de noviembre, en solicitud, por lo que ahora interesa, de que desconvocara la reunión así anunciada y de que no convocase otra del mismo órgano hasta que todas las formaciones políticas estuvieran constituidas como grupo dentro de los términos legales que les concede el Reglamento de la Cámara. La reunión de portavoces se celebró finalmente, sin embargo, en la fecha para la que fue convocada; y, según consta en el acta, tres de dichos portavoces (entre ellos, el del grupo parlamentario en que se integran los demandantes en amparo) argumentaron que la Junta no podía considerarse válidamente constituida porque aún no se habían formado todos los grupos y restaba aún plazo para hacerlo. Otros dos portavoces vinieron a sostener lo contrario. La presidenta —siempre según el acta de la reunión— concluyó con la consideración de que “todos los grupos han podido expresar su opinión” respecto del punto del orden del día tratado y comunicó que correspondía ya a la Mesa decidir. Acto seguido se reunió la Mesa de la Cámara, en cuyo seno se replanteó la cuestión sobre si la Junta de Portavoces había sido en rigor oída y acerca de la procedencia o no, en consecuencia, de que se resolviera sobre las solicitudes de reconsideración y la adhesión a las mismas de los diputados elegidos en las listas del Partido Popular. Varios intervinientes interesaron la prórroga del plazo reglamentario para ello (art. 103 RPC), pero la solicitud fue sometida a votación y rechazada. Previa deliberación y mediante nueva votación, en fin, la Mesa desestimó aquellas solicitudes y la adhesión a las mismas. Consta en acta la consiguiente motivación.</w:t>
      </w:r>
    </w:p>
    <w:p w:rsidR="00163957" w:rsidRDefault="00163957" w:rsidP="00163957">
      <w:pPr>
        <w:pStyle w:val="TextoNormal"/>
      </w:pPr>
    </w:p>
    <w:p w:rsidR="00163957" w:rsidRDefault="00163957" w:rsidP="00163957">
      <w:pPr>
        <w:pStyle w:val="TextoNormal"/>
      </w:pPr>
      <w:r>
        <w:t xml:space="preserve">B) Cuando un reglamento parlamentario abre vías internas para la revisión técnico-jurídica de las decisiones de los órganos de la propia Cámara, como ocurre con la reconsideración, la observancia del procedimiento establecido es una exigencia respaldada por la garantía del derecho enunciado en el art. 23.2 CE siempre que los derechos de representación que a través de aquel procedimiento se sustancien para el caso puedan ser encuadrados en el núcleo del </w:t>
      </w:r>
      <w:r w:rsidRPr="00163957">
        <w:rPr>
          <w:i/>
        </w:rPr>
        <w:t>ius in officium</w:t>
      </w:r>
      <w:r>
        <w:t xml:space="preserve"> de los representantes. Así se deduce de la jurisprudencia general acerca del art. 23.2 CE, pues el Tribunal tiene declarado que no cualquier acto que infrinja el estatus jurídico aplicable conlleva la vulneración de los derechos de los representantes contenidos en ese derecho fundamental, sino que “a estos efectos solo poseen relevancia constitucional los derechos o facultades atribuidos al representante que pertenezcan al núcleo de su función representativa” (SSTC 141/2007, de 18 de junio, FJ 3; 169/2009, de 9 de julio, FJ 2; 20/2011, de 14 de marzo, FJ 4; 117/2012, de 4 de junio, FJ 3, o 36/2014, de 27 de febrero. FJ 5).</w:t>
      </w:r>
    </w:p>
    <w:p w:rsidR="00163957" w:rsidRDefault="00163957" w:rsidP="00163957">
      <w:pPr>
        <w:pStyle w:val="TextoNormal"/>
      </w:pPr>
    </w:p>
    <w:p w:rsidR="00163957" w:rsidRDefault="00163957" w:rsidP="00163957">
      <w:pPr>
        <w:pStyle w:val="TextoNormal"/>
      </w:pPr>
      <w:r>
        <w:lastRenderedPageBreak/>
        <w:t xml:space="preserve">Por consiguiente, solo desde ese prisma y conforme a una lógica de conexión con las garantías y facultades del </w:t>
      </w:r>
      <w:r w:rsidRPr="00163957">
        <w:rPr>
          <w:i/>
        </w:rPr>
        <w:t>ius in officium</w:t>
      </w:r>
      <w:r>
        <w:t xml:space="preserve"> es concebible una vulneración del art. 23.2 CE en razón de infracciones del procedimiento.</w:t>
      </w:r>
    </w:p>
    <w:p w:rsidR="00163957" w:rsidRDefault="00163957" w:rsidP="00163957">
      <w:pPr>
        <w:pStyle w:val="TextoNormal"/>
      </w:pPr>
    </w:p>
    <w:p w:rsidR="00163957" w:rsidRDefault="00163957" w:rsidP="00163957">
      <w:pPr>
        <w:pStyle w:val="TextoNormal"/>
      </w:pPr>
      <w:r>
        <w:t>Para examinar la cuestión en la presente controversia partiremos de algunas premisas plasmadas con continuidad en la jurisprudencia del Tribunal, que debemos motivar de modo particularmente detenido en este caso por la condición de los recurrentes, cargos públicos representativos (art. 23.2 CE), y por ser parte el Parlamento de Cataluña, que en su cualidad de Cámara de representación ostenta una posición institucional cardinal, que le es reconocida con fundamento constitucional y estatutario (arts. 1 y 2.4 EAC).</w:t>
      </w:r>
    </w:p>
    <w:p w:rsidR="00163957" w:rsidRDefault="00163957" w:rsidP="00163957">
      <w:pPr>
        <w:pStyle w:val="TextoNormal"/>
      </w:pPr>
    </w:p>
    <w:p w:rsidR="00163957" w:rsidRDefault="00163957" w:rsidP="00163957">
      <w:pPr>
        <w:pStyle w:val="TextoNormal"/>
      </w:pPr>
      <w:r>
        <w:t xml:space="preserve">a) Conforme a reiterada jurisprudencia de este Tribunal, el art. 23.2 CE consagra la dimensión pasiva del derecho de participación política, reconociendo el derecho de los ciudadanos a acceder en condiciones de igualdad a las funciones y cargos públicos con los requisitos que señalen las leyes. La jurisprudencia del Tribunal ha ligado a este contenido explícito del precepto, en primer lugar, el derecho a permanecer, en condiciones de igualdad y con los requisitos que señalen las leyes, en los cargos o funciones públicas a los que se accedió (entre otras, STC 5/1983, de 4 de febrero, FJ 3), de suerte que no puede ser removido de aquellos el cargo elegido si no es por causas y de acuerdo con procedimientos legalmente establecidos (destacadamente, STC 10/1983, de 21 de febrero, FJ 2). En segundo lugar, se ha ligado al contenido del mismo precepto constitucional el derecho al ejercicio o desempeño del cargo público representativo conforme a lo previsto en las leyes (por ejemplo, STC 246/2012, de 20 de diciembre, FJ 2), y se ha subrayado, como inequívocamente se desprende del inciso final del propio art. 23.2 CE, que se trata de un derecho de configuración legal y que esa configuración, en el ámbito que aquí nos ocupa, corresponde a los Reglamentos parlamentarios, a los que compete fijar y ordenar los derechos y atribuciones propios de los parlamentarios (entre otras, STC 202/2014, de 15 de diciembre, FJ 3). Finalmente, respecto de cualquiera de esas dimensiones que se identifican como integrantes del derecho de participación política reconocido en el art. 23.2 CE —acceso, permanencia y ejercicio—, la jurisprudencia ha reconocido la garantía de su perfeccionamiento en condiciones de igualdad y de acuerdo con los requisitos que señalen las leyes (entre otras, STC 298/2006, de 23 de octubre, FJ 6). Con ese fundamento el Tribunal señala invariablemente sobre los derechos y atribuciones de los representantes electos que, “una vez creados, quedan integrados en el </w:t>
      </w:r>
      <w:r w:rsidRPr="00163957">
        <w:rPr>
          <w:i/>
        </w:rPr>
        <w:t>status</w:t>
      </w:r>
      <w:r>
        <w:t xml:space="preserve"> propio del cargo, con la consecuencia de que podrán sus titulares, al amparo del art. 23.2 CE, reclamar su protección cuando los consideren ilegítimamente constreñidos o ignorados por actos del poder público, incluidos los provenientes del propio órgano en que se integren” (entre otras muchas, STC 36/2014, de 27 de febrero, FJ 5, y las allí citadas).</w:t>
      </w:r>
    </w:p>
    <w:p w:rsidR="00163957" w:rsidRDefault="00163957" w:rsidP="00163957">
      <w:pPr>
        <w:pStyle w:val="TextoNormal"/>
      </w:pPr>
    </w:p>
    <w:p w:rsidR="00163957" w:rsidRDefault="00163957" w:rsidP="00163957">
      <w:pPr>
        <w:pStyle w:val="TextoNormal"/>
      </w:pPr>
      <w:r>
        <w:t xml:space="preserve">b) Expresando más sintéticamente la idea y aproximando esta doctrina a lo que ahora es objeto de controversia, el Tribunal ha declarado que quedan encuadradas en ese núcleo de la función representativa, en el </w:t>
      </w:r>
      <w:r w:rsidRPr="00163957">
        <w:rPr>
          <w:i/>
        </w:rPr>
        <w:t>ius in officium</w:t>
      </w:r>
      <w:r>
        <w:t xml:space="preserve"> de los representantes, aquellas funciones que solo pueden ejercer los titulares del cargo público por ser la expresión del carácter representativo de la institución (STC 169/2009, de 9 de julio, FJ 3, por ejemplo). En ese marco, ninguna duda cabe de que la facultad de constituir grupo parlamentario, en la forma y con los requisitos que establezcan los reglamentos de las Cámaras, corresponde a los diputados, y que se trata de una facultad que pertenece al núcleo principal de su función representativa parlamentaria. Así lo declaró este Tribunal en la STC 64/2002, de 11 de marzo, a partir de </w:t>
      </w:r>
      <w:r>
        <w:lastRenderedPageBreak/>
        <w:t xml:space="preserve">un razonamiento que, aplicado entonces al Congreso de los Diputados, es trasladable ahora al Parlamento de Cataluña. Se dijo en aquella ocasión, en efecto, que, dada la configuración de los grupos parlamentarios en los actuales parlamentos como entes imprescindibles y principales en la organización y funcionamiento de las Cámaras, así como en el desempeño de las funciones parlamentarias y los beneficios que conlleva la adquisición de tal estatus, aquella facultad constituye una manifestación constitucionalmente relevante del </w:t>
      </w:r>
      <w:r w:rsidRPr="00163957">
        <w:rPr>
          <w:i/>
        </w:rPr>
        <w:t>ius in officium</w:t>
      </w:r>
      <w:r>
        <w:t xml:space="preserve"> del representante (FJ 3). Esta jurisprudencia, firme y consolidada (SSTC 141/2007, de 18 de junio, FJ 4; 169/2009, de 9 de julio, FJ 3, y 10/2013, de 28 de enero, FJ 3; asimismo, ATC 369/2007, de 12 de septiembre, FJ 4), supone reconocer que los actos de las Cámaras que, del modo que sea, impidan, menoscaben o perturben el ejercicio, conforme al reglamento, de la facultad de los parlamentarios de constituirse en grupo conllevan la infracción del derecho enunciado en el art. 23.2 CE y, de manera refleja, del derecho de todos los ciudadanos, al que los primeros dan efectividad, a participar en los asuntos públicos por medio de representantes (apartado 1 del mismo artículo).</w:t>
      </w:r>
    </w:p>
    <w:p w:rsidR="00163957" w:rsidRDefault="00163957" w:rsidP="00163957">
      <w:pPr>
        <w:pStyle w:val="TextoNormal"/>
      </w:pPr>
    </w:p>
    <w:p w:rsidR="00163957" w:rsidRDefault="00163957" w:rsidP="00163957">
      <w:pPr>
        <w:pStyle w:val="TextoNormal"/>
      </w:pPr>
      <w:r>
        <w:t xml:space="preserve">En definitiva, el derecho de los diputados a constituir grupo parlamentario, integrado en el derecho fundamental en virtud del art. 23.2 CE, aunque solo tome cuerpo en los términos que el reglamento de cada Cámara disponga, no puede ser desconocido por la asamblea sin menoscabar aquel derecho fundamental, pues forma parte del </w:t>
      </w:r>
      <w:r w:rsidRPr="00163957">
        <w:rPr>
          <w:i/>
        </w:rPr>
        <w:t>ius in officium</w:t>
      </w:r>
      <w:r>
        <w:t xml:space="preserve"> de los representantes. En lógica consecuencia, el cumplimiento del procedimiento reglamentariamente previsto para dicha constitución está asociado con la cobertura que ofrece el art. 23.2 CE, en los mismos términos expuestos, tanto en aquello que materialmente procura la efectividad de ese derecho principal a la formación de grupos por parte de los representantes electos, en expresión de la pluralidad de la cámara, como en los efectos aparejados con la integridad de su ejercicio y con el ejercicio de funciones y facultades derivadas que sean concreción de su núcleo esencial, garantizando en su integridad el derecho de los grupos parlamentarios a ejercer las facultades que integren el estatuto constitucionalmente relevante de los representantes políticos (por referencia, STC 158/2014, de 6 de octubre, FJ 4).</w:t>
      </w:r>
    </w:p>
    <w:p w:rsidR="00163957" w:rsidRDefault="00163957" w:rsidP="00163957">
      <w:pPr>
        <w:pStyle w:val="TextoNormal"/>
      </w:pPr>
    </w:p>
    <w:p w:rsidR="00163957" w:rsidRDefault="00163957" w:rsidP="00163957">
      <w:pPr>
        <w:pStyle w:val="TextoNormal"/>
      </w:pPr>
      <w:r>
        <w:t>c) En tanto que el reglamento parlamentario de que se trate configure un órgano de la Cámara en el que se integren, con funciones decisorias o consultivas, los portavoces de los distintos grupos parlamentarios o los representantes integrados en estos, todos ellos tienen, por vía accesoria o mediata, como resultado de lo anteriormente enunciado, de manera necesaria y como facultad incorporada al núcleo de su cargo propio, el derecho a la designación de tales portavoces o representantes de acuerdo con las previsiones reglamentarias; y el de que los mismos participen de modo real y efectivo en aquellos órganos, también de conformidad con ellas. A esto responde el Reglamento del Parlamento de Cataluña, que prescribe que cada grupo “nombra a los miembros que han de representarlo, incluyendo preceptivamente a su portavoz” (art. 28.1), y con arreglo al cual, asimismo, los portavoces así designados constituyen la Junta de Portavoces, presidida por el presidente del Parlamento, y sin perjuicio de los demás cargos o funcionarios que puedan asistir a sus sesiones (art. 35.1).</w:t>
      </w:r>
    </w:p>
    <w:p w:rsidR="00163957" w:rsidRDefault="00163957" w:rsidP="00163957">
      <w:pPr>
        <w:pStyle w:val="TextoNormal"/>
      </w:pPr>
    </w:p>
    <w:p w:rsidR="00163957" w:rsidRDefault="00163957" w:rsidP="00163957">
      <w:pPr>
        <w:pStyle w:val="TextoNormal"/>
      </w:pPr>
      <w:r>
        <w:t>C) Sobre estas bases corresponde verificar si tales procedimientos (en este caso, el previsto en el art. 38.3 RPC) fueron o no respetados en el presente caso.</w:t>
      </w:r>
    </w:p>
    <w:p w:rsidR="00163957" w:rsidRDefault="00163957" w:rsidP="00163957">
      <w:pPr>
        <w:pStyle w:val="TextoNormal"/>
      </w:pPr>
    </w:p>
    <w:p w:rsidR="00163957" w:rsidRDefault="00163957" w:rsidP="00163957">
      <w:pPr>
        <w:pStyle w:val="TextoNormal"/>
      </w:pPr>
      <w:r>
        <w:t xml:space="preserve">La respuesta ha de ser coincidente con la demanda. La audiencia previa no puede tenerse por realizada y el derecho aducido resulta vulnerado. En efecto, visto el Reglamento del </w:t>
      </w:r>
      <w:r>
        <w:lastRenderedPageBreak/>
        <w:t>Parlamento de Cataluña, los portavoces no pueden ser convocados a Junta (art. 35.2 RPC) para el ejercicio de las funciones de este órgano (art. 36 RPC) en tanto no estén, todos ellos, nombrados por sus grupos respectivos (art. 28.1 RPC). Este proceso de designación solo culmina cuando están constituidos todos los grupos parlamentarios, incluido, eventualmente, el grupo mixto. Tal situación no puede darse por consumada en tanto haya, como así sucedió, diputados (los elegidos en las listas presentadas por el Partido Popular) en número y con plazo para constituir grupo propio aún no integrados en ninguno de los ya formados (cuando, además, en el caso enjuiciado resultaba razonable presumir, dada su pertenencia política y electoral común, que se constituirían en grupo específico). El Tribunal considera, por ende, que la convocatoria presidencial del día 2 de noviembre a una “Junta de Portavoces” llamada a ejercer una de las funciones de este órgano (art. 38.3 RPC) fue, por ello, una convocatoria irregular. Y que la reunión celebrada el día 3 ha de ser entendida, por la misma razón, como la de unos determinados portavoces de los grupos hasta entonces constituidos, y no como la de la Junta reglamentaria que ha de integrarlos a todos. Los congregados aquel 3 de noviembre de 2015 no lo fueron con la condición reglamentaria de Junta de Portavoces (art. 35.1 RPC), ni cabía, por lo mismo, dar por realizada entonces una audiencia que el Reglamento atribuye al órgano integrado por sus miembros, no a unos u otros portavoces. Cabe concluir que la Junta no fue oída, ni los grupos pudieron desplegar debidamente la función que se les atribuye en el procedimiento a través de sus portavoces. De ahí que no pueda compartirse la aseveración de la presidenta de que “todos los grupos han podido manifestar su opinión”. En suma, en orden a los efectos jurídicos que aquí son relevantes: el art. 38.3 RPC no requiere oír a todos los grupos por el momento constituidos, cuando aún hay plazo para formar otros, sino a los portavoces, reunidos en Junta, de todos los grupos de la Cámara, aunque pudiera ser, cuestión ajena a lo aquí planteado, que no todos ellos acudieran a una u otra de las reuniones válidamente convocadas. La norma requiere oír, en definitiva, a una Junta de Portavoces y, por tanto, en este caso no se pudo tener por celebrada ni por ejercida válidamente, en consecuencia, la función que le atribuye el antes citado art. 38.3 RPC.</w:t>
      </w:r>
    </w:p>
    <w:p w:rsidR="00163957" w:rsidRDefault="00163957" w:rsidP="00163957">
      <w:pPr>
        <w:pStyle w:val="TextoNormal"/>
      </w:pPr>
    </w:p>
    <w:p w:rsidR="00163957" w:rsidRDefault="00163957" w:rsidP="00163957">
      <w:pPr>
        <w:pStyle w:val="TextoNormal"/>
      </w:pPr>
      <w:r>
        <w:t>D) Las anteriores conclusiones no quedan empañadas por las referencias hechas a determinados precedentes sobre la reunión ocasional de portavoces en legislaturas anteriores antes de la constitución de todos los grupos parlamentarios, y sobre la asistencia a las reuniones de la Mesa, con voz pero sin voto, de quien sin formar parte de ella actuaba no en representación oficial como portavoz de un grupo parlamentario, sino como representante informal de diputados elegidos en las mismas listas. Por una parte, los precedentes parlamentarios no pueden en general invocarse para disminuir o ignorar los derechos y garantías que el reglamento reconoce a los parlamentarios (en tal sentido, STC 57/2011, de 3 de mayo, FJ 7, y resoluciones allí citadas). Por otra parte, las reuniones no oficiales de portavoces que se invocan no podían atribuirse —como ocurrió, sin embargo, en el caso que nos ocupa— las competencias y atribuciones jurídicas que el Reglamento confiere a la Junta de Portavoces como órgano determinado y debidamente constituido de la asamblea (con arreglo a un principio general que la Constitución enuncia de manera expresa para las Cortes Generales en el art. 67.3). Por lo que se refiere a la asistencia a las reuniones de la Mesa de algunos diputados no integrados en ella, resulta imposible equiparar la asistencia graciable a la reunión de un órgano con la asistencia, a través de los portavoces, que deriva del derecho propio de los diputados constituidos en grupo parlamentario, pues, como ha quedado expuesto, solo en este caso se participa en la reunión como miembro del órgano colegiado y para el ejercicio de sus funciones propias.</w:t>
      </w:r>
    </w:p>
    <w:p w:rsidR="00163957" w:rsidRDefault="00163957" w:rsidP="00163957">
      <w:pPr>
        <w:pStyle w:val="TextoNormal"/>
      </w:pPr>
    </w:p>
    <w:p w:rsidR="00163957" w:rsidRDefault="00163957" w:rsidP="00163957">
      <w:pPr>
        <w:pStyle w:val="TextoNormal"/>
      </w:pPr>
      <w:r>
        <w:t>Se aduce asimismo por la representación del Parlamento de Cataluña que la reunión anticipada de la Junta de Portavoces era obligada a fin de resolver en tiempo las solicitudes de reconsideración. No obstante, incumplir el Reglamento en un caso a fin de respetarlo en otro no constituye argumento válido a los presentes efectos. El Tribunal considera que la Mesa pudo aquí, para armonizar unas exigencias y otras, prorrogar el plazo de resolución de aquellas solicitudes (art. 103 RPC), como consta en las actuaciones que así se solicitó, con reiteración y sin éxito, por algunos miembros de la propia Mesa. Los letrados del Parlamento sugieren, en fin, el ánimo, a su juicio dilatorio, que llevó a los demandantes de amparo a constituirse en grupo no antes del día 5 de noviembre. Sin embargo, los derechos de los parlamentarios han de ser respetados en todo caso, cualquiera sea el propósito de quienes legítimamente los ejercen.</w:t>
      </w:r>
    </w:p>
    <w:p w:rsidR="00163957" w:rsidRDefault="00163957" w:rsidP="00163957">
      <w:pPr>
        <w:pStyle w:val="TextoNormal"/>
      </w:pPr>
    </w:p>
    <w:p w:rsidR="00163957" w:rsidRDefault="00163957" w:rsidP="00163957">
      <w:pPr>
        <w:pStyle w:val="TextoNormal"/>
      </w:pPr>
      <w:r>
        <w:t xml:space="preserve">Puede deducirse de lo razonado que la resolución de la Mesa aquí impugnada por la que se rechazaron las solicitudes de reconsideración de la admisión a trámite dictada el 27 de octubre de 2015 se adoptó con la omisión del trámite esencial de este procedimiento interno de garantía que es la previa audiencia a la Junta de Portavoces. Este trámite es un elemento central del procedimiento de la reconsideración que posee en este caso, además, una conexión inmediata con las facultades de los representantes, inherentes al </w:t>
      </w:r>
      <w:r w:rsidRPr="00163957">
        <w:rPr>
          <w:i/>
        </w:rPr>
        <w:t>ius in officium</w:t>
      </w:r>
      <w:r>
        <w:t>, de constituir grupos parlamentarios en los plazos reglamentarios; de designar, sucesivamente, a sus portavoces o representantes; y de perfeccionar su intervención en concurrencia con otros grupos en un órgano colegiado integrado por las distintas fuerzas políticas con representación parlamentaria, tras la válida y concurrente constitución del mismo con los restantes grupos que deben conformarlo, según el reglamento, para garantizar el pluralismo inherente al Parlamento. Tal omisión, en consecuencia, produjo la lesión del derecho fundamental de los demandantes enunciado en el art. 23.2 CE.</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Estimar parcialmente el recurso de amparo interpuesto por doña Inés Arrimadas García, don Matías Alonso Ruiz, doña Susana Beltrán García, doña Marina Bravo Sobrino, don Carlos Carrizosa Torres, don Juan María Castel Sucarrat, doña Noemí de la Calle Sifré, don Fernando Tomás de Páramo Gómez, doña Carmen de Rivera Pla, don Francisco Javier Domínguez Serrano, don José María Espejo-Saavedra Conesa, don Antonio Espinosa Cerrato, don Jesús Galiano Gutiérrez, don Joan García González, don Francisco Javier Hervías Chirosa, don David Mejía Ayra, don Javier Rivas Escamilla, doña Lorena Roldán Suárez, don Alfonso Sánchez Fisac, don Carlos Sánchez Martín, don Sergio Sanz Jiménez, doña Sonia Sierra Infante, don Jorge Soler González, doña Elisabeth Valencia Mimbrero y doña Laura Vílchez Sánchez y, en su virtud:</w:t>
      </w:r>
    </w:p>
    <w:p w:rsidR="00163957" w:rsidRDefault="00163957" w:rsidP="00163957">
      <w:pPr>
        <w:pStyle w:val="TextoNormal"/>
      </w:pPr>
    </w:p>
    <w:p w:rsidR="00163957" w:rsidRDefault="00163957" w:rsidP="00163957">
      <w:pPr>
        <w:pStyle w:val="TextoNormal"/>
      </w:pPr>
      <w:r>
        <w:t>a) Reconocer su derecho a la participación política (art. 23.2 CE).</w:t>
      </w:r>
    </w:p>
    <w:p w:rsidR="00163957" w:rsidRDefault="00163957" w:rsidP="00163957">
      <w:pPr>
        <w:pStyle w:val="TextoNormal"/>
      </w:pPr>
    </w:p>
    <w:p w:rsidR="00163957" w:rsidRDefault="00163957" w:rsidP="00163957">
      <w:pPr>
        <w:pStyle w:val="TextoNormal"/>
      </w:pPr>
      <w:r>
        <w:lastRenderedPageBreak/>
        <w:t>b) Declarar la nulidad del acuerdo la Mesa del Parlamento de Cataluña de 3 de noviembre de 2015, por la que se desestimó la reconsideración planteada del acuerdo del mismo órgano de 27 de octubre de 2015.</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siete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11" w:name="SENTENCIA_2016_108"/>
      <w:r>
        <w:lastRenderedPageBreak/>
        <w:t>SENTENCIA 108/2016, de 7 de junio de 2016</w:t>
      </w:r>
    </w:p>
    <w:bookmarkEnd w:id="111"/>
    <w:p w:rsidR="00163957" w:rsidRDefault="00163957" w:rsidP="00163957">
      <w:pPr>
        <w:pStyle w:val="TtuloResolucin"/>
      </w:pPr>
      <w:r>
        <w:t>Pleno</w:t>
      </w:r>
    </w:p>
    <w:p w:rsidR="00163957" w:rsidRDefault="00163957" w:rsidP="00163957">
      <w:pPr>
        <w:pStyle w:val="TtuloBOE"/>
      </w:pPr>
      <w:r>
        <w:t>(BOE núm. 170, de 15 de julio de 2016)</w:t>
      </w:r>
    </w:p>
    <w:p w:rsidR="00163957" w:rsidRDefault="00163957" w:rsidP="00163957">
      <w:pPr>
        <w:pStyle w:val="TextoNormalCentrado"/>
      </w:pPr>
      <w:r>
        <w:t>ECLI:ES:TC:2016:108</w:t>
      </w:r>
    </w:p>
    <w:p w:rsidR="00163957" w:rsidRDefault="00163957" w:rsidP="00163957">
      <w:pPr>
        <w:pStyle w:val="TextoNormalCentrado"/>
      </w:pPr>
    </w:p>
    <w:p w:rsidR="00163957" w:rsidRDefault="00163957" w:rsidP="00163957">
      <w:pPr>
        <w:pStyle w:val="SntesisDescriptiva"/>
      </w:pPr>
      <w:r>
        <w:t>Recurso de amparo 6206-2015. Promovido por los diputados del Grupo Parlamentario Socialista del Parlamento de Cataluña respecto de los acuerdos adoptados por la Mesa de la Cámara en relación con la admisión a trámite de una propuesta de resolución sobre el inicio del proceso político en Cataluña como consecuencia de los resultados electorales.</w:t>
      </w:r>
    </w:p>
    <w:p w:rsidR="00163957" w:rsidRDefault="00163957" w:rsidP="00163957">
      <w:pPr>
        <w:pStyle w:val="SntesisDescriptiva"/>
      </w:pPr>
    </w:p>
    <w:p w:rsidR="00163957" w:rsidRDefault="00163957" w:rsidP="00163957">
      <w:pPr>
        <w:pStyle w:val="SntesisAnaltica"/>
      </w:pPr>
      <w:r>
        <w:t>Vulneración del derecho a la participación política: rechazo de la solicitud de reconsideración adoptada sin dar audiencia a la junta de portavoces, trámite esencial del procedimiento interno de garantía (STC 107/2016).</w:t>
      </w:r>
    </w:p>
    <w:p w:rsidR="00163957" w:rsidRDefault="00163957" w:rsidP="00163957">
      <w:pPr>
        <w:pStyle w:val="SntesisAnaltica"/>
      </w:pPr>
    </w:p>
    <w:p w:rsidR="00163957" w:rsidRDefault="00163957" w:rsidP="00163957">
      <w:pPr>
        <w:pStyle w:val="Extracto"/>
      </w:pPr>
      <w:r>
        <w:t>1.</w:t>
      </w:r>
      <w:r>
        <w:tab/>
        <w:t>Asunto sustancialmente idéntico al resuelto por la STC 107/2016 [FFJJ 2 a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6206-2015, presentado por la Procuradora de los Tribunales doña Virginia Aragón Segura en nombre y representación de don Miquel Iceta Llorens, doña Eva María Granados Galiano, don Rafael Bruguera Batalla, don Carles Castillo Rosique, doña Assumpta Escarp Gibert, don Pol Gibert Horcas, doña Rosa María Ibarra Ollé, doña Eva María Martínez Morales, don Raúl Moreno Montaña, doña Marta Moreta Rovira, doña Esther Niubó Cidoncha, don Òscar Ordeig i Molist, don Ferran Pedret i Santos, don David Pérez Ibáñez, doña Alicia Romero Llano y don Jordi Terrades i Santacreu, todos ellos diputados del Grupo Parlamentario Socialista del Parlamento de Cataluña, con la asistencia letrada de don Álvaro Sánchez Manzanares. Han comparecido el Ministerio Fiscal y el Parlamento de Cataluña, representado por los Letrados del mismo. Ha sido ponente el magistrado don Fernando Valdés Dal-Ré, quien expresa el parecer del Tribunal.</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el Tribunal el 4 de noviembre de 2015, la Procuradora de los Tribunales doña Virginia Aragón Segura presentó recurso de amparo constitucional en nombre y representación de don Miquel Iceta Llorens, doña Eva María Granados Galiano, don Rafael Bruguera Batalla, don Carles Castillo Rosique, doña Assumpta Escarp Gibert, don Pol Gibert Horcas, doña Rosa Mª. Ibarra Ollé, doña Eva María Martínez Morales, don Raúl Moreno Montaña, doña Marta Moreta Rovira, doña Esther Niubó Cidoncha, don Òscar Ordeig i Molist, don Ferran Pedret i Santos, don David Pérez Ibáñez, doña Alicia Romero Llano y don Jordi Terradas i Santacreu, todos ellos diputados del Grupo Parlamentario Socialista del Parlamento de Cataluña, contra el acuerdo de la Mesa de dicha Cámara, de 3 de noviembre de 2015, por el que se confirmó el acuerdo de la propia Mesa, de 27 de octubre del mismo año, que calificó y admitió a trámite la propuesta de resolución sobre el inicio del proceso político en Cataluña como consecuencia de los resultados electorales presentada por el Grupo Parlamentario de Junts pel Sí y por el Grupo Parlamentario de la Candidatura d’Unitat Popular.</w:t>
      </w:r>
    </w:p>
    <w:p w:rsidR="00163957" w:rsidRDefault="00163957" w:rsidP="00163957">
      <w:pPr>
        <w:pStyle w:val="TextoNormal"/>
      </w:pPr>
    </w:p>
    <w:p w:rsidR="00163957" w:rsidRDefault="00163957" w:rsidP="00163957">
      <w:pPr>
        <w:pStyle w:val="TextoNormal"/>
      </w:pPr>
      <w:r>
        <w:t>Los hechos que se exponen en la demanda de amparo son, en síntesis, los siguientes:</w:t>
      </w:r>
    </w:p>
    <w:p w:rsidR="00163957" w:rsidRDefault="00163957" w:rsidP="00163957">
      <w:pPr>
        <w:pStyle w:val="TextoNormal"/>
      </w:pPr>
    </w:p>
    <w:p w:rsidR="00163957" w:rsidRDefault="00163957" w:rsidP="00163957">
      <w:pPr>
        <w:pStyle w:val="TextoNormal"/>
      </w:pPr>
      <w:r>
        <w:t>a) El 27 de octubre de 2015, el Grupo Parlamentario de Junts pel Sí y el Grupo Parlamentario de la Candidatura d’Unitat Popular presentaron ante la Mesa del Parlamento una propuesta de resolución sobre el inicio del proceso político en Cataluña como consecuencia de los resultados electorales. El texto de dicha propuesta, según transcripción de la demanda, fue el siguiente:</w:t>
      </w:r>
    </w:p>
    <w:p w:rsidR="00163957" w:rsidRDefault="00163957" w:rsidP="00163957">
      <w:pPr>
        <w:pStyle w:val="TextoNormal"/>
      </w:pPr>
    </w:p>
    <w:p w:rsidR="00163957" w:rsidRDefault="00163957" w:rsidP="00163957">
      <w:pPr>
        <w:pStyle w:val="TextoNormal"/>
      </w:pPr>
      <w:r>
        <w:t>“De acuerdo con el mandato democrático obtenido el 27 de septiembre, los grupos parlamentarios abajo firmantes presentan esta propuesta de resolución:</w:t>
      </w:r>
    </w:p>
    <w:p w:rsidR="00163957" w:rsidRDefault="00163957" w:rsidP="00163957">
      <w:pPr>
        <w:pStyle w:val="TextoNormal"/>
      </w:pPr>
    </w:p>
    <w:p w:rsidR="00163957" w:rsidRDefault="00163957" w:rsidP="00163957">
      <w:pPr>
        <w:pStyle w:val="TextoNormal"/>
      </w:pPr>
      <w:r>
        <w:t>PROPUESTA DE RESOLUCIÓN</w:t>
      </w:r>
    </w:p>
    <w:p w:rsidR="00163957" w:rsidRDefault="00163957" w:rsidP="00163957">
      <w:pPr>
        <w:pStyle w:val="TextoNormal"/>
      </w:pPr>
    </w:p>
    <w:p w:rsidR="00163957" w:rsidRDefault="00163957" w:rsidP="00163957">
      <w:pPr>
        <w:pStyle w:val="TextoNormal"/>
      </w:pPr>
      <w:r>
        <w:t>El Parlament de Cataluña:</w:t>
      </w:r>
    </w:p>
    <w:p w:rsidR="00163957" w:rsidRDefault="00163957" w:rsidP="00163957">
      <w:pPr>
        <w:pStyle w:val="TextoNormal"/>
      </w:pPr>
    </w:p>
    <w:p w:rsidR="00163957" w:rsidRDefault="00163957" w:rsidP="00163957">
      <w:pPr>
        <w:pStyle w:val="TextoNormal"/>
      </w:pPr>
      <w:r>
        <w:t>PRIMERO.- Constata que el mandato democrático obtenido en las pasadas elecciones del 27 de septiembre de 2015 se basa en una mayoría de escaños de las fuerzas parlamentarias con el objetivo de que Cataluña se convierta en un Estado independiente y con una amplia mayoría soberanista en votos y escaños que apuesta por la apertura de un proceso constituyente no subordinado.</w:t>
      </w:r>
    </w:p>
    <w:p w:rsidR="00163957" w:rsidRDefault="00163957" w:rsidP="00163957">
      <w:pPr>
        <w:pStyle w:val="TextoNormal"/>
      </w:pPr>
    </w:p>
    <w:p w:rsidR="00163957" w:rsidRDefault="00163957" w:rsidP="00163957">
      <w:pPr>
        <w:pStyle w:val="TextoNormal"/>
      </w:pPr>
      <w:r>
        <w:t>SEGUNDO: Declara solemnemente el inicio del proceso de creación del Estado catalán independiente en forma de república.</w:t>
      </w:r>
    </w:p>
    <w:p w:rsidR="00163957" w:rsidRDefault="00163957" w:rsidP="00163957">
      <w:pPr>
        <w:pStyle w:val="TextoNormal"/>
      </w:pPr>
    </w:p>
    <w:p w:rsidR="00163957" w:rsidRDefault="00163957" w:rsidP="00163957">
      <w:pPr>
        <w:pStyle w:val="TextoNormal"/>
      </w:pPr>
      <w:r>
        <w:t>TERCERO: Proclama el comienzo de un proceso constituyente ciudadano, participativo, abierto, integrador y activo para preparar las bases de la futura Constitución catalana.</w:t>
      </w:r>
    </w:p>
    <w:p w:rsidR="00163957" w:rsidRDefault="00163957" w:rsidP="00163957">
      <w:pPr>
        <w:pStyle w:val="TextoNormal"/>
      </w:pPr>
    </w:p>
    <w:p w:rsidR="00163957" w:rsidRDefault="00163957" w:rsidP="00163957">
      <w:pPr>
        <w:pStyle w:val="TextoNormal"/>
      </w:pPr>
      <w:r>
        <w:t>CUARTO: Insta al futuro gobierno a adoptar las medidas necesarias para hacer efectiva esta declaración.</w:t>
      </w:r>
    </w:p>
    <w:p w:rsidR="00163957" w:rsidRDefault="00163957" w:rsidP="00163957">
      <w:pPr>
        <w:pStyle w:val="TextoNormal"/>
      </w:pPr>
    </w:p>
    <w:p w:rsidR="00163957" w:rsidRDefault="00163957" w:rsidP="00163957">
      <w:pPr>
        <w:pStyle w:val="TextoNormal"/>
      </w:pPr>
      <w:r>
        <w:lastRenderedPageBreak/>
        <w:t>QUINTO: Considera pertinente iniciar en el plazo máximo de treinta días la tramitación de las leyes del proceso constituyente, de seguridad social y de hacienda pública.</w:t>
      </w:r>
    </w:p>
    <w:p w:rsidR="00163957" w:rsidRDefault="00163957" w:rsidP="00163957">
      <w:pPr>
        <w:pStyle w:val="TextoNormal"/>
      </w:pPr>
    </w:p>
    <w:p w:rsidR="00163957" w:rsidRDefault="00163957" w:rsidP="00163957">
      <w:pPr>
        <w:pStyle w:val="TextoNormal"/>
      </w:pPr>
      <w:r>
        <w:t>SEXTO: Como depositario de la soberanía y expresión del poder constituyente, reitera que este Parlamento y el proceso de desconexión democrática no se supeditarán a las decisiones de las instituciones del Estado español, en particular del Tribunal Constitucional, al que considera deslegitimado y sin competencia desde la sentencia de junio de 2010 sobre el Estatuto de Autonomía de Cataluña votado previamente por el pueblo en referéndum, entre otros.</w:t>
      </w:r>
    </w:p>
    <w:p w:rsidR="00163957" w:rsidRDefault="00163957" w:rsidP="00163957">
      <w:pPr>
        <w:pStyle w:val="TextoNormal"/>
      </w:pPr>
    </w:p>
    <w:p w:rsidR="00163957" w:rsidRDefault="00163957" w:rsidP="00163957">
      <w:pPr>
        <w:pStyle w:val="TextoNormal"/>
      </w:pPr>
      <w:r>
        <w:t>SÉPTIMO: Adoptará las medidas necesarias para abrir este proceso de desconexión democrática, masiva, sostenida y pacífica con el Estado español de tal manera que permita el empoderamiento de la ciudadanía a todos los niveles y en base a una participación abierta, activa e integradora.</w:t>
      </w:r>
    </w:p>
    <w:p w:rsidR="00163957" w:rsidRDefault="00163957" w:rsidP="00163957">
      <w:pPr>
        <w:pStyle w:val="TextoNormal"/>
      </w:pPr>
    </w:p>
    <w:p w:rsidR="00163957" w:rsidRDefault="00163957" w:rsidP="00163957">
      <w:pPr>
        <w:pStyle w:val="TextoNormal"/>
      </w:pPr>
      <w:r>
        <w:t>OCTAVO: Insta al futuro gobierno a cumplir exclusivamente aquellas normas o mandatos emanados de esta Cámara, legítima y democrática, a fin de blindar los derechos fundamentales que pudieran verse afectados por decisiones de las instituciones del Estado español.</w:t>
      </w:r>
    </w:p>
    <w:p w:rsidR="00163957" w:rsidRDefault="00163957" w:rsidP="00163957">
      <w:pPr>
        <w:pStyle w:val="TextoNormal"/>
      </w:pPr>
    </w:p>
    <w:p w:rsidR="00163957" w:rsidRDefault="00163957" w:rsidP="00163957">
      <w:pPr>
        <w:pStyle w:val="TextoNormal"/>
      </w:pPr>
      <w:r>
        <w:t>NOVENO: Declara la voluntad de iniciar las negociaciones para hacer efectivo el mandato democrático de creación de un estado catalán independiente en forma de república y, asimismo, lo pone en conocimiento del Estado español, de la Unión Europea y del conjunto de la Comunidad Internacional.”</w:t>
      </w:r>
    </w:p>
    <w:p w:rsidR="00163957" w:rsidRDefault="00163957" w:rsidP="00163957">
      <w:pPr>
        <w:pStyle w:val="TextoNormal"/>
      </w:pPr>
    </w:p>
    <w:p w:rsidR="00163957" w:rsidRDefault="00163957" w:rsidP="00163957">
      <w:pPr>
        <w:pStyle w:val="TextoNormal"/>
      </w:pPr>
      <w:r>
        <w:t>b) El 27 de octubre de 2015, la Mesa del Parlamento calificó y admitió a trámite la iniciativa, ordenando su publicación oficial. En esa misma sesión, el Secretario segundo de la Mesa solicitó informe jurídico del cuerpo de letrados de la Cámara sobre la adecuación de la propuesta de resolución al marco legal vigente. La Mesa rechazó esa petición por mayoría de sus miembros.</w:t>
      </w:r>
    </w:p>
    <w:p w:rsidR="00163957" w:rsidRDefault="00163957" w:rsidP="00163957">
      <w:pPr>
        <w:pStyle w:val="TextoNormal"/>
      </w:pPr>
    </w:p>
    <w:p w:rsidR="00163957" w:rsidRDefault="00163957" w:rsidP="00163957">
      <w:pPr>
        <w:pStyle w:val="TextoNormal"/>
      </w:pPr>
      <w:r>
        <w:t>c) Don Miquel Iceta Llorens, en su condición de presidente del Grupo Parlamentario Socialista, presentó el día 29 de octubre un escrito a la Presidenta del Parlamento solicitando que la misma acordara pedir informe jurídico a los letrados de la institución sobre la adecuación de los aspectos formales y materiales de dicha propuesta a la legislación vigente.</w:t>
      </w:r>
    </w:p>
    <w:p w:rsidR="00163957" w:rsidRDefault="00163957" w:rsidP="00163957">
      <w:pPr>
        <w:pStyle w:val="TextoNormal"/>
      </w:pPr>
    </w:p>
    <w:p w:rsidR="00163957" w:rsidRDefault="00163957" w:rsidP="00163957">
      <w:pPr>
        <w:pStyle w:val="TextoNormal"/>
      </w:pPr>
      <w:r>
        <w:t>d) Don Miquel Iceta Llorens y doña Eva Granados Galiano, en nombre de los recurrentes por su respectiva condición de presidente y portavoz del Grupo Parlamentario Socialista, solicitaron de la Mesa del Parlamento la reconsideración prevista en el art. 38 del Reglamento del Parlamento de Cataluña (RPC, en lo sucesivo). Se añade que el 30 de octubre presentaron nuevo escrito ampliando los motivos de la reconsideración solicitada.</w:t>
      </w:r>
    </w:p>
    <w:p w:rsidR="00163957" w:rsidRDefault="00163957" w:rsidP="00163957">
      <w:pPr>
        <w:pStyle w:val="TextoNormal"/>
      </w:pPr>
    </w:p>
    <w:p w:rsidR="00163957" w:rsidRDefault="00163957" w:rsidP="00163957">
      <w:pPr>
        <w:pStyle w:val="TextoNormal"/>
      </w:pPr>
      <w:r>
        <w:t>e) Con fecha 30 de octubre de 2015, la Presidenta del Parlamento denegó a don Miquel Iceta Llorens la solicitud de requerir informe jurídico a los letrados de la Cámara, al considerar que la Mesa, como órgano rector del Parlamento, rechazó dicha petición.</w:t>
      </w:r>
    </w:p>
    <w:p w:rsidR="00163957" w:rsidRDefault="00163957" w:rsidP="00163957">
      <w:pPr>
        <w:pStyle w:val="TextoNormal"/>
      </w:pPr>
    </w:p>
    <w:p w:rsidR="00163957" w:rsidRDefault="00163957" w:rsidP="00163957">
      <w:pPr>
        <w:pStyle w:val="TextoNormal"/>
      </w:pPr>
      <w:r>
        <w:t xml:space="preserve">f) Con fecha 2 de noviembre de 2015, la Presidenta del Parlamento, atendiendo el mandato del art. 38.3 RPC, convocó Junta de Portavoces para el siguiente día 3, a las 10:15 </w:t>
      </w:r>
      <w:r>
        <w:lastRenderedPageBreak/>
        <w:t>horas, a fin de ser escuchada por la Mesa en relación a las peticiones de reconsideración presentadas por el Grupo Socialista y por el de Ciudadanos, a pesar de que no todas las formaciones políticas se habían constituido formalmente aún como grupos parlamentarios.</w:t>
      </w:r>
    </w:p>
    <w:p w:rsidR="00163957" w:rsidRDefault="00163957" w:rsidP="00163957">
      <w:pPr>
        <w:pStyle w:val="TextoNormal"/>
      </w:pPr>
    </w:p>
    <w:p w:rsidR="00163957" w:rsidRDefault="00163957" w:rsidP="00163957">
      <w:pPr>
        <w:pStyle w:val="TextoNormal"/>
      </w:pPr>
      <w:r>
        <w:t>g) Con fecha 2 de noviembre, el Grupo Parlamentario Socialista dirigió dos escritos a la Presidenta del Parlamento, uno solicitando que desconvocara la Junta de Portavoces, atendiendo al hecho de que todavía un grupo parlamentario no se había constituido formalmente, y otro en el que se pedía, de nuevo, que reconsiderara la necesidad de disponer de un informe jurídico de los letrados de la Cámara.</w:t>
      </w:r>
    </w:p>
    <w:p w:rsidR="00163957" w:rsidRDefault="00163957" w:rsidP="00163957">
      <w:pPr>
        <w:pStyle w:val="TextoNormal"/>
      </w:pPr>
    </w:p>
    <w:p w:rsidR="00163957" w:rsidRDefault="00163957" w:rsidP="00163957">
      <w:pPr>
        <w:pStyle w:val="TextoNormal"/>
      </w:pPr>
      <w:r>
        <w:t>h) El mismo día 2 de noviembre, el Secretario general en funciones del Parlamento realizó un informe para la Presidenta del Parlamento en el que, tras ponderar los derechos en juego, consideró necesario convocar la Junta de Portavoces aunque hubiera un grupo aún no constituido formalmente, debiéndose invitar a dicha formación política a participar en la reunión de la Junta mediante la designación de representantes.</w:t>
      </w:r>
    </w:p>
    <w:p w:rsidR="00163957" w:rsidRDefault="00163957" w:rsidP="00163957">
      <w:pPr>
        <w:pStyle w:val="TextoNormal"/>
      </w:pPr>
    </w:p>
    <w:p w:rsidR="00163957" w:rsidRDefault="00163957" w:rsidP="00163957">
      <w:pPr>
        <w:pStyle w:val="TextoNormal"/>
      </w:pPr>
      <w:r>
        <w:t>i) Se añade que “en fecha 3 de noviembre” se convocó a la Junta de Portavoces, a pesar de no estar constituidos todos los grupos parlamentarios. El punto único del orden del día para la reunión de la Junta de Portavoces fue el de conocer el criterio de estos con relación a las solicitudes de reconsideración del acuerdo de la Mesa por el que se admitió a trámite la propuesta de resolución de la que ya se ha hecho mérito, solicitudes presentadas por los grupos parlamentarios Socialista y Ciudadanos. Distintos grupos parlamentarios, entre ellos el Socialista, advirtieron a la Presidenta del Parlamento de que la Junta no podía darse por válidamente convocada a falta de la constitución formal de todos los grupos parlamentarios y que, por lo tanto, no podía considerarse que había sido oída por la Mesa respecto del asunto que figuraba en el orden del día, no siendo válida cualquier resolución que se adoptara obviando este trámite preceptivo.</w:t>
      </w:r>
    </w:p>
    <w:p w:rsidR="00163957" w:rsidRDefault="00163957" w:rsidP="00163957">
      <w:pPr>
        <w:pStyle w:val="TextoNormal"/>
      </w:pPr>
    </w:p>
    <w:p w:rsidR="00163957" w:rsidRDefault="00163957" w:rsidP="00163957">
      <w:pPr>
        <w:pStyle w:val="TextoNormal"/>
      </w:pPr>
      <w:r>
        <w:t>j) Pese a ello, el 3 de noviembre de 2015, la Mesa del Parlamento, mediante el acuerdo ahora impugnado, desestimó, sin motivación en el momento de adoptarse esta resolución, la petición de reconsideración, confirmando su acuerdo inicial.</w:t>
      </w:r>
    </w:p>
    <w:p w:rsidR="00163957" w:rsidRDefault="00163957" w:rsidP="00163957">
      <w:pPr>
        <w:pStyle w:val="TextoNormal"/>
      </w:pPr>
    </w:p>
    <w:p w:rsidR="00163957" w:rsidRDefault="00163957" w:rsidP="00163957">
      <w:pPr>
        <w:pStyle w:val="TextoNormal"/>
      </w:pPr>
      <w:r>
        <w:t>k) El mismo día 3 de noviembre el Grupo Parlamentario Socialista recibió escrito de traslado del acuerdo de la Mesa del Parlamento que se recurre, según el cual tal decisión se basa en los mismos argumentos expuestos en el acuerdo de la Mesa del Parlamento de 18 de enero de 2013, que se limita a reproducir textualmente.</w:t>
      </w:r>
    </w:p>
    <w:p w:rsidR="00163957" w:rsidRDefault="00163957" w:rsidP="00163957">
      <w:pPr>
        <w:pStyle w:val="TextoNormal"/>
      </w:pPr>
    </w:p>
    <w:p w:rsidR="00163957" w:rsidRDefault="00163957" w:rsidP="00163957">
      <w:pPr>
        <w:pStyle w:val="TextoNormal"/>
      </w:pPr>
      <w:r w:rsidRPr="00163957">
        <w:rPr>
          <w:rStyle w:val="NumeroAFNegritaCaracter"/>
        </w:rPr>
        <w:t>2</w:t>
      </w:r>
      <w:r>
        <w:t>. En la fundamentación jurídica de la demanda, tras justificar el cumplimiento de los requisitos de admisibilidad del recurso y concretar la petición deducida, se exponen las consideraciones siguientes:</w:t>
      </w:r>
    </w:p>
    <w:p w:rsidR="00163957" w:rsidRDefault="00163957" w:rsidP="00163957">
      <w:pPr>
        <w:pStyle w:val="TextoNormal"/>
      </w:pPr>
    </w:p>
    <w:p w:rsidR="00163957" w:rsidRDefault="00163957" w:rsidP="00163957">
      <w:pPr>
        <w:pStyle w:val="TextoNormal"/>
      </w:pPr>
      <w:r>
        <w:t xml:space="preserve">a) La propuesta de resolución calificada y admitida a trámite por la Mesa es absoluta y palmariamente incompatible con la Constitución, con el Estatuto de Autonomía de Cataluña (EAC, en lo sucesivo) y con los principios de cualquier Estado de Derecho. Las declaraciones que contiene y los mandatos que contempla vulneran prácticamente todo el título preliminar de la Constitución: el principio democrático (art. 1), el Estado de Derecho y el sometimiento de ciudadanos y poderes públicos a la Constitución y al resto del ordenamiento jurídico (arts. 1 y 9.1), la exclusividad de la atribución de la soberanía al pueblo español </w:t>
      </w:r>
      <w:r>
        <w:lastRenderedPageBreak/>
        <w:t>(art. 1.2), la autonomía de nacionalidades y regiones dentro de la unidad de España (art. 2), el principio de legalidad y los de seguridad jurídica e interdicción de la arbitrariedad de los poderes públicos (art. 9.3); y también los preceptos constitucionales relativos a la organización territorial del Estado (arts. 137 y siguientes), a la organización institucional de las Comunidades Autónomas (arts. 143 y siguientes), a la distribución competencial entre estas y el Estado (arts. 148 y 149) y, por supuesto, al valor y la eficacia general de las sentencias del Tribunal Constitucional (art. 164). Además, la iniciativa no se dirige a mandatar al Gobierno de la Generalitat para determinada actuación, que sería contraria a la Constitución. Su objeto va más allá, en cuanto su aprobación supondría en sí misma, por las declaraciones que recoge y el carácter asertivo de algunas de ellas, el incumplimiento de preceptos constitucionales por el Parlamento de Cataluña, al situar a la Cámara fuera del sistema institucional configurado por la Constitución y el Estatuto de Autonomía. Se cita al respecto la STC 42/2014.</w:t>
      </w:r>
    </w:p>
    <w:p w:rsidR="00163957" w:rsidRDefault="00163957" w:rsidP="00163957">
      <w:pPr>
        <w:pStyle w:val="TextoNormal"/>
      </w:pPr>
    </w:p>
    <w:p w:rsidR="00163957" w:rsidRDefault="00163957" w:rsidP="00163957">
      <w:pPr>
        <w:pStyle w:val="TextoNormal"/>
      </w:pPr>
      <w:r>
        <w:t>Igualmente es incompatible el contenido de la iniciativa con el Estatuto de Autonomía de Cataluña y específicamente con lo previsto en sus arts. 1 y 2.</w:t>
      </w:r>
    </w:p>
    <w:p w:rsidR="00163957" w:rsidRDefault="00163957" w:rsidP="00163957">
      <w:pPr>
        <w:pStyle w:val="TextoNormal"/>
      </w:pPr>
    </w:p>
    <w:p w:rsidR="00163957" w:rsidRDefault="00163957" w:rsidP="00163957">
      <w:pPr>
        <w:pStyle w:val="TextoNormal"/>
      </w:pPr>
      <w:r>
        <w:t xml:space="preserve">Nos encontramos, pues, ante una iniciativa totalmente incompatible con un ordenamiento constitucional y estatutario que es precisamente del que traen causa las instituciones catalanas, y cualificadamente el Parlamento, y del que deriva su propia legitimidad democrática. La iniciativa pretende ampararse en los arts. 164 y siguientes RPC, que regulan la presentación y tramitación de propuestas de resolución en desarrollo de la función de impulso de la acción política y de gobierno (art. 55.2 EAC); pero, sin embargo, ni tiene por objeto dicho impulso ni son sus destinatarios, conforme al citado art. 164.1, el Gobierno o la ciudadanía de Cataluña. La actuación del Gobierno de la Generalitat está, como la de cualquier poder público en un Estado de Derecho, sometida al principio de legalidad y ninguna iniciativa puede pretender impulsar su acción de una forma incompatible con el ordenamiento. Pero además las declaraciones de la propuesta no tienen por objeto impulsar ninguna acción de gobierno sino, al contrario, proclamar el inicio de creación de un Estado independiente mediante un proceso constituyente y la desconexión del Estado español, el no sometimiento a las instituciones constitucionales y la desobediencia expresa al Tribunal Constitucional. Todo ello en términos que no pueden entenderse limitados al debate político en el seno de la Cámara, sino que por su contenido tienen como finalidad producir efectos jurídicos de ruptura con los principios, con las instituciones y con la organización territorial previstos en la Constitución y en el Estatuto de Autonomía de Cataluña. Los únicos apartados dirigidos al Gobierno de la Generalitat lo son para que haga efectiva la declaración y para exhortarle a cumplir sólo las normas o mandatos del Parlamento, lo que equivale a inducir al Gobierno al incumplimiento del resto del ordenamiento jurídico, vulnerando lo dispuesto en los arts. 9.1 CE y 68.1 EAC. Por otro lado, en el momento en que se ha presentado y se pretende debatir tampoco podría haber contenido un mandato de impulso político al Gobierno, pues no se ha producido en el Parlamento el debate de investidura para el nombramiento de un Presidente de la Generalitat conforme al art. 67 EAC. No existe vinculación fiduciaria entre el Parlamento y un Gobierno, que es lo que da su razón de ser a las propuestas de resolución. Tampoco el texto se dirige a la ciudadanía, aunque pretenda traer causa de un mandato supuestamente expresado en las últimas elecciones autonómicas. Es una declaración general de ruptura del marco constitucional y estatutario y de no sometimiento a las normas y resoluciones de las instituciones constitucionales, que sólo prevé como destinatarios concretos </w:t>
      </w:r>
      <w:r>
        <w:lastRenderedPageBreak/>
        <w:t>a esas instituciones a las que se proclama desobediencia, a la Unión Europea y a la comunidad internacional. Ciertamente la propuesta contiene algunos compromisos (como la aprobación de las leyes del proceso constituyente, de seguridad social y de hacienda pública), pero sólo podrían hacerse efectivos previa reforma de ese marco constitucional y estatutario con el que se pretende romper; pero en este caso el trámite elegido sería manifiestamente fraudulento, ya que la única vía parlamentaria posible hubiera sido la formulación de las correspondientes iniciativas de reforma constitucional y estatutaria, a las que correspondería una tramitación e incluso unas mayorías exigibles absolutamente distintas a las previstas para las propuestas de resolución [arts. 90, 222.1 b), y 223.1 b) EAC y art. 132.3 RPC].</w:t>
      </w:r>
    </w:p>
    <w:p w:rsidR="00163957" w:rsidRDefault="00163957" w:rsidP="00163957">
      <w:pPr>
        <w:pStyle w:val="TextoNormal"/>
      </w:pPr>
    </w:p>
    <w:p w:rsidR="00163957" w:rsidRDefault="00163957" w:rsidP="00163957">
      <w:pPr>
        <w:pStyle w:val="TextoNormal"/>
      </w:pPr>
      <w:r>
        <w:t>El art. 164.2 RPC determina que las propuestas de resolución deben presentarse a la Mesa del Parlamento, que decide su admisión a trámite, ordena, si procede, la publicación y acuerda, escuchada la Junta de Portavoces, que sean tramitadas por la comisión competente en la materia o por el Pleno. El hecho de que se haya dado trámite a esta propuesta sin que el Pleno se haya reunido para constituir las comisiones significa —se dice— desapoderar a sendos órganos de uno de los elementos de desiderátum, ya que, al no estar constituidas las comisiones, el único espacio para dar trámite a la misma es en sesión plenaria, sin poder entrar a valorar si la naturaleza de dicho órgano es la más adecuada.</w:t>
      </w:r>
    </w:p>
    <w:p w:rsidR="00163957" w:rsidRDefault="00163957" w:rsidP="00163957">
      <w:pPr>
        <w:pStyle w:val="TextoNormal"/>
      </w:pPr>
    </w:p>
    <w:p w:rsidR="00163957" w:rsidRDefault="00163957" w:rsidP="00163957">
      <w:pPr>
        <w:pStyle w:val="TextoNormal"/>
      </w:pPr>
      <w:r>
        <w:t>Por todo lo anterior, la propuesta de resolución presentada el 27 de octubre de 2015 no se ajusta a lo establecido en el art. 164 RPC y tampoco a lo establecido en la Constitución y en el Estatuto de Autonomía de Cataluña.</w:t>
      </w:r>
    </w:p>
    <w:p w:rsidR="00163957" w:rsidRDefault="00163957" w:rsidP="00163957">
      <w:pPr>
        <w:pStyle w:val="TextoNormal"/>
      </w:pPr>
    </w:p>
    <w:p w:rsidR="00163957" w:rsidRDefault="00163957" w:rsidP="00163957">
      <w:pPr>
        <w:pStyle w:val="TextoNormal"/>
      </w:pPr>
      <w:r>
        <w:t>b) Objeto de este recurso de amparo es la calificación y admisión a trámite por la Mesa de la repetida propuesta de resolución mediante acuerdo de 27 de octubre de 2015, confirmado por el de 3 de noviembre del mismo año. Se refiere en este punto la demanda a la jurisprudencia constitucional relativa a esas funciones de las Mesas de las asambleas representativas, señalando, entre otras consideraciones, que el Tribunal habría defendido, en algunas de sus resoluciones (STC 124/1995), el derecho de la iniciativa inconstitucional a ser debatida y aprobada, por corresponder sólo al propio Tribunal la interpretación de la Constitución, si bien —se dice— tal posibilidad se enmarca en la prohibición de que las Mesas se transmuten en órganos netamente políticos que impidan, de ese modo, que las iniciativas de la minoría se sometan al debate público, salvaguardando de esa forma los poderes del Pleno. Pero ello no debe conllevar la exclusión de cualquier examen de fondo respecto de iniciativas de manifiesta y palmaria inconstitucionalidad. El Tribunal Constitucional es el supremo intérprete de la Constitución, pero los demás poderes del Estado están también sometidos a ella (art. 9.1 CE), a la que deben ajustar su actuación y por cuya eficacia han de velar. En supuestos de discordancia obvia e indiscutible de las iniciativas parlamentarias, cuando es patente su inconstitucionalidad o su inadecuación al cauce previsto, las Mesas deben asumir ese control e inadmitirlas.</w:t>
      </w:r>
    </w:p>
    <w:p w:rsidR="00163957" w:rsidRDefault="00163957" w:rsidP="00163957">
      <w:pPr>
        <w:pStyle w:val="TextoNormal"/>
      </w:pPr>
    </w:p>
    <w:p w:rsidR="00163957" w:rsidRDefault="00163957" w:rsidP="00163957">
      <w:pPr>
        <w:pStyle w:val="TextoNormal"/>
      </w:pPr>
      <w:r>
        <w:t xml:space="preserve">Las Mesas, al calificar y admitir a trámite iniciativas, actúan sometidas exclusivamente al principio de legalidad (arts. 9.1 CE y 2.4 EAC), sometimiento al Reglamento del Parlamento de Cataluña, pero también a la Constitución y al Estatuto de Autonomía de Cataluña y al resto del ordenamiento jurídico, que debe garantizarse tanto en la inadmisión de iniciativas parlamentarias como en su calificación y admisión a trámite. De igual manera que no pueden inadmitirse injustificadamente iniciativas que cumplan los requisitos para su tramitación por razones de oportunidad política, tampoco pueden calificarse y admitirse a trámite, </w:t>
      </w:r>
      <w:r>
        <w:lastRenderedPageBreak/>
        <w:t>por esas mismas razones, aquellas iniciativas en las que, conforme a la jurisprudencia del Tribunal Constitucional, sea evidente su contradicción con el ordenamiento, en particular la Constitución y los reglamentos de las Cámaras y, en el caso de las asambleas de las Comunidades Autónomas, su Estatuto de Autonomía. Tal es, de forma manifiesta, el caso de esta propuesta de resolución, cuyo contenido es de una inconstitucionalidad tan palmaria y evidente que no debería haber resistido la más somera verificación liminar por el órgano calificador (STC 95/1994). Por lo tanto, la Mesa del Parlamento, en cumplimiento del Reglamento, del Estatuto de Autonomía y de la Constitución, a los que está sometida, debía haberla inadmitido a trámite.</w:t>
      </w:r>
    </w:p>
    <w:p w:rsidR="00163957" w:rsidRDefault="00163957" w:rsidP="00163957">
      <w:pPr>
        <w:pStyle w:val="TextoNormal"/>
      </w:pPr>
    </w:p>
    <w:p w:rsidR="00163957" w:rsidRDefault="00163957" w:rsidP="00163957">
      <w:pPr>
        <w:pStyle w:val="TextoNormal"/>
      </w:pPr>
      <w:r>
        <w:t xml:space="preserve">c) Conforme a la jurisprudencia constitucional, el art. 23.2 CE no sólo garantiza el acceso igualitario a las funciones y cargos públicos, sino también que quienes hayan accedido a los mismos se mantengan en ellos y los desempeñen de conformidad con lo que la ley disponga, garantía añadida de particular relevancia cuando, como en este caso, la petición de amparo es deducida por los representantes parlamentarios en defensa del ejercicio de sus funciones, pues en tal supuesto aparece también afectado el derecho de los ciudadanos a participar en los asuntos públicos a través de sus representantes. Cuando se garantiza el ejercicio de los derechos fundamentales del art. 23.2 CE se garantiza, en suma, el carácter democrático del Estado. También conforme a la jurisprudencia constitucional este es un derecho de configuración legal, lo que comprende a los reglamentos parlamentarios. Una vez conferidos por el reglamento, tales derechos y facultades pasan a formar parte del </w:t>
      </w:r>
      <w:r w:rsidRPr="00163957">
        <w:rPr>
          <w:i/>
        </w:rPr>
        <w:t>status</w:t>
      </w:r>
      <w:r>
        <w:t xml:space="preserve"> propio del representante, pudiendo sus titulares reclamar la protección del </w:t>
      </w:r>
      <w:r w:rsidRPr="00163957">
        <w:rPr>
          <w:i/>
        </w:rPr>
        <w:t>ius in officium</w:t>
      </w:r>
      <w:r>
        <w:t xml:space="preserve"> que consideren ilegítimamente constreñido o ignorado.</w:t>
      </w:r>
    </w:p>
    <w:p w:rsidR="00163957" w:rsidRDefault="00163957" w:rsidP="00163957">
      <w:pPr>
        <w:pStyle w:val="TextoNormal"/>
      </w:pPr>
    </w:p>
    <w:p w:rsidR="00163957" w:rsidRDefault="00163957" w:rsidP="00163957">
      <w:pPr>
        <w:pStyle w:val="TextoNormal"/>
      </w:pPr>
      <w:r>
        <w:t xml:space="preserve">Precisamente en defensa del </w:t>
      </w:r>
      <w:r w:rsidRPr="00163957">
        <w:rPr>
          <w:i/>
        </w:rPr>
        <w:t>ius in officium</w:t>
      </w:r>
      <w:r>
        <w:t xml:space="preserve">, el art. 5 RPC establece que los diputados tienen derecho a recibir la asistencia necesaria para cumplir con sus tareas y los servicios del Parlamento se lo han de facilitar. Los recurrentes tampoco entienden la negación reiterada de la Presidenta a aceptar su petición de solicitar un informe jurídico, si se tiene en cuenta que no sólo el grupo recurrente manifestó serias dudas sobre la adecuación de la propuesta al ordenamiento vigente, ya que otros grupos así lo manifestaron también y porque, aunque la Mesa hubiera rechazado esa petición, ello no obsta a que la Presidenta, en virtud de sus funciones y capacidades [art. 39 RPC y art. 8.f) de los estatutos del régimen y gobierno interiores del Parlamento] pudiera dar trámite a esa petición protegiendo el </w:t>
      </w:r>
      <w:r w:rsidRPr="00163957">
        <w:rPr>
          <w:i/>
        </w:rPr>
        <w:t>ius in officium</w:t>
      </w:r>
      <w:r>
        <w:t xml:space="preserve"> de los recurrentes.</w:t>
      </w:r>
    </w:p>
    <w:p w:rsidR="00163957" w:rsidRDefault="00163957" w:rsidP="00163957">
      <w:pPr>
        <w:pStyle w:val="TextoNormal"/>
      </w:pPr>
    </w:p>
    <w:p w:rsidR="00163957" w:rsidRDefault="00163957" w:rsidP="00163957">
      <w:pPr>
        <w:pStyle w:val="TextoNormal"/>
      </w:pPr>
      <w:r>
        <w:t xml:space="preserve">Ese mismo </w:t>
      </w:r>
      <w:r w:rsidRPr="00163957">
        <w:rPr>
          <w:i/>
        </w:rPr>
        <w:t>ius in officium</w:t>
      </w:r>
      <w:r>
        <w:t xml:space="preserve"> de los diputados recurrentes se ve afectado también por el hecho de que la Mesa haya adoptado la decisión respecto a la petición de reconsideración interpuesta en su día por el Grupo Parlamentario Socialista sin haber cumplido con el trámite de audiencia a la Junta de Portavoces (art. 38.5 RPC), puesto que ésta no podía considerarse válidamente constituida, ya que no todas las formaciones representadas en el Parlamento se habían constituido formalmente en grupo parlamentario, pese a estar dentro del plazo para hacerlo, de acuerdo con el Reglamento.</w:t>
      </w:r>
    </w:p>
    <w:p w:rsidR="00163957" w:rsidRDefault="00163957" w:rsidP="00163957">
      <w:pPr>
        <w:pStyle w:val="TextoNormal"/>
      </w:pPr>
    </w:p>
    <w:p w:rsidR="00163957" w:rsidRDefault="00163957" w:rsidP="00163957">
      <w:pPr>
        <w:pStyle w:val="TextoNormal"/>
      </w:pPr>
      <w:r>
        <w:t xml:space="preserve">Se añade </w:t>
      </w:r>
      <w:r w:rsidRPr="00163957">
        <w:rPr>
          <w:i/>
        </w:rPr>
        <w:t>a fortiori</w:t>
      </w:r>
      <w:r>
        <w:t xml:space="preserve"> que la forma en que se ha adoptado por la Mesa el acuerdo de desestimación de la petición de reconsideración formulada por el Grupo Parlamentario Socialista debe entenderse como inmotivada por carecer de motivación o fundamento alguno en el momento de adoptarse, no pudiendo subsanarse esta falta mediante la inclusión de argu</w:t>
      </w:r>
      <w:r>
        <w:lastRenderedPageBreak/>
        <w:t xml:space="preserve">mentos jurídicos en la posterior redacción del acta de la sesión sustanciada el 3 de noviembre de 2015 o en el escrito de traslado de la decisión de la Mesa, con lo que resulta vulnerado el art. 38.3 RPC, que exige que la resolución de la Mesa sea motivada. Tal motivación debe conocerse antes de la adopción de la resolución o, como mínimo, al formarse o perfeccionarse esta, pero nunca se verá cumplido este relevante requisito mediante la elaboración </w:t>
      </w:r>
      <w:r w:rsidRPr="00163957">
        <w:rPr>
          <w:i/>
        </w:rPr>
        <w:t>ex post</w:t>
      </w:r>
      <w:r>
        <w:t xml:space="preserve"> de un acta de la sesión de la Mesa en la que se incluyan argumentos jurídicos o en el escrito de traslado, máxime cuando la pretendida motivación se limita a la reproducción literal en el escrito de traslado del acuerdo de los argumentos expuestos para la toma de otra decisión de la Mesa, de 18 de enero de 2013.</w:t>
      </w:r>
    </w:p>
    <w:p w:rsidR="00163957" w:rsidRDefault="00163957" w:rsidP="00163957">
      <w:pPr>
        <w:pStyle w:val="TextoNormal"/>
      </w:pPr>
    </w:p>
    <w:p w:rsidR="00163957" w:rsidRDefault="00163957" w:rsidP="00163957">
      <w:pPr>
        <w:pStyle w:val="TextoNormal"/>
      </w:pPr>
      <w:r>
        <w:t xml:space="preserve">Ciertamente, el Tribunal Constitucional ha precisado que no cualquier acto del órgano parlamentario que infrinja la legalidad del </w:t>
      </w:r>
      <w:r w:rsidRPr="00163957">
        <w:rPr>
          <w:i/>
        </w:rPr>
        <w:t>ius in officium</w:t>
      </w:r>
      <w:r>
        <w:t xml:space="preserve"> resulta lesivo del derecho fundamental, pero no cabe desconocer que entre los que poseen relevancia constitucional se encuentran los derechos o facultades que pertenezcan al núcleo de la función representativa parlamentaria, siendo vulnerado el art. 23.2 CE si los propios órganos de las asambleas impiden o coartan su práctica o adoptan decisiones que contraríen la naturaleza de la representación o la igualdad de los representantes. Como se ha dicho, el acuerdo de la Mesa objeto de este recurso ha conculcado no sólo las disposiciones del Reglamento expresivas del </w:t>
      </w:r>
      <w:r w:rsidRPr="00163957">
        <w:rPr>
          <w:i/>
        </w:rPr>
        <w:t>ius in officium</w:t>
      </w:r>
      <w:r>
        <w:t xml:space="preserve"> de los diputados recurrentes, sino también preceptos y principios esenciales de la Constitución y del Estatuto de Autonomía. El incumplimiento por extralimitación de las previsiones estatutarias y reglamentarias sobre las funciones que puede desarrollar el Parlamento de Cataluña y de los requisitos exigidos para ejercerlas supone una grave quiebra del </w:t>
      </w:r>
      <w:r w:rsidRPr="00163957">
        <w:rPr>
          <w:i/>
        </w:rPr>
        <w:t>ius in officium</w:t>
      </w:r>
      <w:r>
        <w:t xml:space="preserve"> de los parlamentarios miembros de esa Cámara. Los miembros del Parlamento tienen derecho a que las iniciativas que se someten a su debate y votación cumplan con lo establecido en el Estatuto, en relación con las funciones de la Cámara, y en el Reglamento, respecto de los requisitos necesarios para su presentación y también a que la Mesa adopte sus decisiones conforme a lo que disponen esas normas, sin actuar conforme a juicios de oportunidad política. Pero el acuerdo objeto de este recurso no ha atendido ni a unas ni a otras previsiones al calificar y admitir a trámite la propuesta de resolución. Todo ello ha supuesto la vulneración de los derechos de los miembros del resto de grupos parlamentarios que presenten sus iniciativas cumpliendo con las previsiones reglamentarias y estatutarias, en el entendimiento de que por la Mesa no se alterarían o desatenderían estas.</w:t>
      </w:r>
    </w:p>
    <w:p w:rsidR="00163957" w:rsidRDefault="00163957" w:rsidP="00163957">
      <w:pPr>
        <w:pStyle w:val="TextoNormal"/>
      </w:pPr>
    </w:p>
    <w:p w:rsidR="00163957" w:rsidRDefault="00163957" w:rsidP="00163957">
      <w:pPr>
        <w:pStyle w:val="TextoNormal"/>
      </w:pPr>
      <w:r>
        <w:t xml:space="preserve">La actuación de la Mesa conlleva además un juicio de calificación sobre la idoneidad o procedencia del procedimiento parlamentario elegido que evidentemente no se ha llevado a cabo con arreglo a las normas reglamentarias y a los criterios definidos por el Tribunal Constitucional, pues se ha calificado como una mera propuesta de resolución una iniciativa que, como se ha dicho, tiene un alcance que excede en mucho el de las simples resoluciones que una Cámara parlamentaria puede aprobar en su función de impulso político de la acción del Gobierno. También desde esta perspectiva la Mesa ha vulnerado los derechos de los miembros del resto de grupos parlamentarios, pues la tramitación de un texto por el procedimiento reglamentariamente previsto para una u otra iniciativa tiene también unas determinadas consecuencias en los trámites a seguir, en las posibilidades y facultades del resto de parlamentarios y grupos en relación con la misma y en el régimen de mayorías exigible para su aprobación. Así, la admisión a trámite y calificación como propuesta de resolución de una declaración como la que es causa de este recurso (que no sólo excede las funciones del Parlamento y sus previsiones reglamentarias, sino que es absolutamente incompatible con el marco constitucional y estatutario) tiene consecuencias vulneradoras de los derechos </w:t>
      </w:r>
      <w:r>
        <w:lastRenderedPageBreak/>
        <w:t>fundamentales de los diputados recurrentes, puesto que suponen una alteración que menoscaba sus posibilidades de actuación al modificar significativamente el régimen de adopción de acuerdos exigible para su aprobación.</w:t>
      </w:r>
    </w:p>
    <w:p w:rsidR="00163957" w:rsidRDefault="00163957" w:rsidP="00163957">
      <w:pPr>
        <w:pStyle w:val="TextoNormal"/>
      </w:pPr>
    </w:p>
    <w:p w:rsidR="00163957" w:rsidRDefault="00163957" w:rsidP="00163957">
      <w:pPr>
        <w:pStyle w:val="TextoNormal"/>
      </w:pPr>
      <w:r>
        <w:t>Por todo lo expuesto, el acuerdo de la Mesa de 3 de noviembre de 2015, por el que se confirma el de 27 de octubre anterior, debió haber resuelto la inadmisión a trámite de la propuesta de resolución, en cuanto su tramitación vulneraba los preceptos constitucionales, estatutarios y reglamentarios señalados y, al no hacerlo, vulneró el derecho fundamental de los diputados y diputadas recurrentes a acceder en condiciones de igualdad a las funciones y cargos públicos (art. 23.2 CE), en cuanto este derecho garantiza el mantenimiento en dichos cargos y funciones en condiciones de igualdad, sin perturbaciones ilegítimas y con los requisitos señalados en las leyes.</w:t>
      </w:r>
    </w:p>
    <w:p w:rsidR="00163957" w:rsidRDefault="00163957" w:rsidP="00163957">
      <w:pPr>
        <w:pStyle w:val="TextoNormal"/>
      </w:pPr>
    </w:p>
    <w:p w:rsidR="00163957" w:rsidRDefault="00163957" w:rsidP="00163957">
      <w:pPr>
        <w:pStyle w:val="TextoNormal"/>
      </w:pPr>
      <w:r>
        <w:t>d) Se justifica la trascendencia constitucional del recurso señalando, en síntesis, que con él se procura la determinación del contenido y alcance del derecho fundamental (art. 23.2 CE), pues afecta a principios y preceptos esenciales del orden constitucional de indudable importancia para la aplicación y eficacia general de la Constitución [art. 50.1 b) de la Ley Orgánica del Tribunal Constitucional (LOTC)].</w:t>
      </w:r>
    </w:p>
    <w:p w:rsidR="00163957" w:rsidRDefault="00163957" w:rsidP="00163957">
      <w:pPr>
        <w:pStyle w:val="TextoNormal"/>
      </w:pPr>
    </w:p>
    <w:p w:rsidR="00163957" w:rsidRDefault="00163957" w:rsidP="00163957">
      <w:pPr>
        <w:pStyle w:val="TextoNormal"/>
      </w:pPr>
      <w:r>
        <w:t>La demanda concluye con la súplica de que se dicte sentencia estimatoria en la que se declare, la nulidad del acuerdo de 3 de noviembre de 2015, de la Mesa del Parlamento de Cataluña, por el que se confirmó el acuerdo de la misma Mesa de 27 de octubre del mismo año, por violación de los derechos reconocidos en el art. 23.2 CE, reconociéndose asimismo el derecho fundamental de los recurrentes a acceder en condiciones de igualdad a las funciones y cargos públicos con los requisitos que señalen las leyes, en cuanto este derecho garantiza el mantenimiento en dichos cargos y funciones sin perturbaciones ilegítimas y restableciéndose a los diputados recurrentes en la integridad de su derecho, mediante la declaración de que procede la inadmisión a trámite de la referida propuesta de resolución, así como mediante la declaración de nulidad de cualquier actuación posterior relacionada con la misma.</w:t>
      </w:r>
    </w:p>
    <w:p w:rsidR="00163957" w:rsidRDefault="00163957" w:rsidP="00163957">
      <w:pPr>
        <w:pStyle w:val="TextoNormal"/>
      </w:pPr>
    </w:p>
    <w:p w:rsidR="00163957" w:rsidRDefault="00163957" w:rsidP="00163957">
      <w:pPr>
        <w:pStyle w:val="TextoNormal"/>
      </w:pPr>
      <w:r w:rsidRPr="00163957">
        <w:rPr>
          <w:rStyle w:val="NumeroAFNegritaCaracter"/>
        </w:rPr>
        <w:t>3</w:t>
      </w:r>
      <w:r>
        <w:t>. Por providencia de 4 de noviembre de 2015 el Pleno acordó, a propuesta de la Sala Segunda y conforme establece el art. 10.1 n) LOTC, recabar para sí el conocimiento de este recurso de amparo.</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5 de noviembre de 2015, el Pleno acordó admitir a trámite el recurso de amparo, apreciando que ofrece especial trascendencia constitucional (art. 50.1 LOTC) porque plantea cuestiones sobre las que no hay doctrina de este Tribunal y el asunto trasciende del caso concreto, al suscitar una cuestión jurídica de relevante repercusión social, con consecuencias políticas generales [STC 155/2009, FJ 2 a) y g)]. En aplicación de lo dispuesto en el art. 51 LOTC, se decidió dirigir comunicación al Parlamento de Cataluña a fin de que en plazo que no excediera de diez días remitiera certificación o fotocopia adverada de las actuaciones parlamentarias correspondientes a los acuerdos impugnados, acompañándose a la mencionada comunicación copia de la demanda, a efectos de la personación de la Cámara en el indicado plazo.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5</w:t>
      </w:r>
      <w:r>
        <w:t>. Mediante escrito que tuvo entrada en el Tribunal Constitucional el 20 de noviembre de 2015, el Letrado del Parlamento de Cataluña compareció, en representación y defensa de dicha Cámara, solicitando se tuviera por personado al Parlamento y por aportada la documentación requerida.</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24 de noviembre de 2015, el Pleno convino en tener por personado y parte en el procedimiento al Letrado del Parlamento de Cataluña, en nombre y representación de la Cámara, con quien se entenderían las sucesivas actuaciones; hacer entrega de copia de la documentación aportada a la parte recurrente y al Ministerio Fiscal y, a tenor de lo dispuesto en el art. 52.1 LOTC, conceder un plazo de veinte días a las partes personadas y al Ministerio Fiscal para que pudieran presentar las alegaciones que convinieran a su derecho.</w:t>
      </w:r>
    </w:p>
    <w:p w:rsidR="00163957" w:rsidRDefault="00163957" w:rsidP="00163957">
      <w:pPr>
        <w:pStyle w:val="TextoNormal"/>
      </w:pPr>
    </w:p>
    <w:p w:rsidR="00163957" w:rsidRDefault="00163957" w:rsidP="00163957">
      <w:pPr>
        <w:pStyle w:val="TextoNormal"/>
      </w:pPr>
      <w:r w:rsidRPr="00163957">
        <w:rPr>
          <w:rStyle w:val="NumeroAFNegritaCaracter"/>
        </w:rPr>
        <w:t>7</w:t>
      </w:r>
      <w:r>
        <w:t>. Mediante escrito registrado en el Tribunal con fecha 22 de diciembre de 2015, el Ministerio Fiscal presentó sus alegaciones, que es dable resumir como sigue:</w:t>
      </w:r>
    </w:p>
    <w:p w:rsidR="00163957" w:rsidRDefault="00163957" w:rsidP="00163957">
      <w:pPr>
        <w:pStyle w:val="TextoNormal"/>
      </w:pPr>
    </w:p>
    <w:p w:rsidR="00163957" w:rsidRDefault="00163957" w:rsidP="00163957">
      <w:pPr>
        <w:pStyle w:val="TextoNormal"/>
      </w:pPr>
      <w:r>
        <w:t xml:space="preserve">A) Tras relacionar los antecedentes de hecho del caso y las pretensiones de los demandantes, observa el Ministerio Fiscal, en lo que se refiere a la tramitación de la propuesta de resolución y de las solicitudes de reconsideración, que los diputados recurrentes han podido ejercer su </w:t>
      </w:r>
      <w:r w:rsidRPr="00163957">
        <w:rPr>
          <w:i/>
        </w:rPr>
        <w:t>ius in officium</w:t>
      </w:r>
      <w:r>
        <w:t xml:space="preserve"> a través de los representantes del grupo parlamentario en que se integraban, pues, como grupo parlamentario, su presidente y portavoz han podido interesar de la Presidencia de la Cámara y de la Mesa informes jurídicos sobre la viabilidad estatutaria y constitucional de la propuesta de resolución y formular la correspondiente petición de reconsideración, así como que han sido oídos a través de sus representantes en la Junta de Portavoces y han podido emitir, como grupo parlamentario, su voto sobre la reconsideración del acuerdo impugnado, por lo que no sufrieron ninguna quiebra de los derechos parlamentarios que les asisten en relación con la tramitación de la propuesta de resolución hasta el trámite de admisión definitiva de la propuesta para su debate y en su caso aprobación o rechazo por el Pleno de la Cámara.</w:t>
      </w:r>
    </w:p>
    <w:p w:rsidR="00163957" w:rsidRDefault="00163957" w:rsidP="00163957">
      <w:pPr>
        <w:pStyle w:val="TextoNormal"/>
      </w:pPr>
    </w:p>
    <w:p w:rsidR="00163957" w:rsidRDefault="00163957" w:rsidP="00163957">
      <w:pPr>
        <w:pStyle w:val="TextoNormal"/>
      </w:pPr>
      <w:r>
        <w:t>Lo anterior lleva a considerar —dice el Ministerio Fiscal— la legitimación de los recurrentes en el presente recurso de amparo. Observa al respecto que la legitimación para pedir la reconsideración del acuerdo de la Mesa de 27 de octubre de 2015 corresponde a los grupos parlamentarios, no a los diputados (art. 38.1 RPC), lo que conduce a que la legitimación para promover recurso de amparo frente a los acuerdos de 27 de octubre y de 3 de noviembre de 2015 corresponda al Grupo Parlamentario Socialista. En la medida que el recurso se presenta por todos los integrantes del grupo parlamentario citado y que la reconsideración fue solicitada como grupo parlamentario, debe entenderse que la firma del presente recurso por el conjunto de diputados que integran dicho grupo no es sino una manifestación de adhesión y conformidad con el recurso que, como grupo parlamentario, formulan frente a los acuerdos discutidos de la Mesa y de la Presidencia de la Cámara.</w:t>
      </w:r>
    </w:p>
    <w:p w:rsidR="00163957" w:rsidRDefault="00163957" w:rsidP="00163957">
      <w:pPr>
        <w:pStyle w:val="TextoNormal"/>
      </w:pPr>
    </w:p>
    <w:p w:rsidR="00163957" w:rsidRDefault="00163957" w:rsidP="00163957">
      <w:pPr>
        <w:pStyle w:val="TextoNormal"/>
      </w:pPr>
      <w:r>
        <w:t xml:space="preserve">Considera a continuación el Fiscal si el proceder de la Mesa, al tener por constituida la Junta de Portavoces, no obstante faltar el portavoz del Partido Popular, y dar por celebrada la audiencia de la misma, ha producido algún perjuicio y si existe un interés que confiera legitimación para poder recurrir los referidos acuerdos. En el presente caso, no puede desligarse de los actos parlamentarios impugnados el incumplimiento de los trámites que se </w:t>
      </w:r>
      <w:r>
        <w:lastRenderedPageBreak/>
        <w:t>denuncian. La validez de los acuerdos tiene como primer presupuesto el cumplimiento de los diversos trámites, en el caso la preceptiva audiencia a la Junta de Portavoces. La Junta no se constituyó en los términos que señala el art. 35.1 RPC y en la medida en que un representante del grupo parlamentario de los recurrentes se integra en dicha Junta, como portavoz, está legitimado para procurar que la misma se constituya conforme al Reglamento y denunciar cualquier vicio que impida su adecuado funcionamiento. Por ello, afirmada la legitimación de los recurrentes para denunciar el defecto procedimental que viciaría la validez del acuerdo de reconsideración y tramitación por el pleno del Parlamento de Cataluña de la propuesta, el proceder de la Mesa, al dar por válidamente constituida a la Junta de Portavoces, no obstante las advertencias realizadas por el representante del grupo en el que se integran los recurrentes, es del todo improcedente, sin que dicho déficit pueda entenderse subsanado por el hecho de que se invitase a los diputados del Partido Popular a designar un representante que les representara en la sesión del 3 de noviembre de 2015. La Mesa debió esperar, antes de pronunciarse sobre las peticiones de reconsideración, a que los diputados del Partido Popular constituyeran grupo parlamentario y designaran portavoz que se integrara en la Junta de Portavoces. No puede tenerse por válida la audiencia a la Junta de Portavoces cuando la misma no estaba debidamente constituida (art. 35, en relación con el art. 26, RPC).</w:t>
      </w:r>
    </w:p>
    <w:p w:rsidR="00163957" w:rsidRDefault="00163957" w:rsidP="00163957">
      <w:pPr>
        <w:pStyle w:val="TextoNormal"/>
      </w:pPr>
    </w:p>
    <w:p w:rsidR="00163957" w:rsidRDefault="00163957" w:rsidP="00163957">
      <w:pPr>
        <w:pStyle w:val="TextoNormal"/>
      </w:pPr>
      <w:r>
        <w:t>Aunque la Mesa puede admitir a trámite la propuesta de resolución sin oír a la Junta de Portavoces, le es exigible igualmente dicha audiencia para acordar su tramitación por el Pleno o por la comisión competente en la materia (art. 164.2 RPC); en consecuencia, la Mesa debió esperar a la constitución de las correspondientes comisiones legislativas (art. 59 RPC).</w:t>
      </w:r>
    </w:p>
    <w:p w:rsidR="00163957" w:rsidRDefault="00163957" w:rsidP="00163957">
      <w:pPr>
        <w:pStyle w:val="TextoNormal"/>
      </w:pPr>
    </w:p>
    <w:p w:rsidR="00163957" w:rsidRDefault="00163957" w:rsidP="00163957">
      <w:pPr>
        <w:pStyle w:val="TextoNormal"/>
      </w:pPr>
      <w:r>
        <w:t>Lo que le imponía el Reglamento a la Mesa era, en primer lugar, esperar al trámite de investidura del Presidente de la Generalitat y a la designación por el Pleno de las comisiones (arts. 47, 59 y 146 RPC), para, en su caso, aceptar iniciativas parlamentarias, como la propuesta de resolución debatida, mucho más cuando la vigencia del Parlamento viene condicionada a que pueda ser elegido un Presidente en el plazo de dos meses desde la primera votación de investidura (arts. 146 y 147 RPC). Además, como también se denuncia, no puede la Presidenta del Parlamento fijar el orden del día del Pleno sin oír a la Junta de Portavoces (art. 81.2 RPC). De nuevo se ha ignorado el Reglamento de la Cámara, en este caso por la Presidenta del Parlamento.</w:t>
      </w:r>
    </w:p>
    <w:p w:rsidR="00163957" w:rsidRDefault="00163957" w:rsidP="00163957">
      <w:pPr>
        <w:pStyle w:val="TextoNormal"/>
      </w:pPr>
    </w:p>
    <w:p w:rsidR="00163957" w:rsidRDefault="00163957" w:rsidP="00163957">
      <w:pPr>
        <w:pStyle w:val="TextoNormal"/>
      </w:pPr>
      <w:r>
        <w:t xml:space="preserve">Siendo el derecho reconocido en el art. 23.2 CE un derecho de configuración legal, entre las funciones que asisten a los parlamentarios y, en el caso concreto, al grupo parlamentario, está la de procurar que los órganos internos de la Cámara, la Presidencia o la Mesa, se adecúen a las disposiciones reglamentarias y sean respetuosas con los trámites que ordenan el procedimiento parlamentario, pues es el contraste con las normas que lo regulan lo que permitirá enjuiciar si se respetaron o no los derechos de los parlamentarios en el ejercicio de su </w:t>
      </w:r>
      <w:r w:rsidRPr="00163957">
        <w:rPr>
          <w:i/>
        </w:rPr>
        <w:t>ius in officium</w:t>
      </w:r>
      <w:r>
        <w:t>. Por ello considera el Ministerio Fiscal que la audiencia a la irregular Junta de Portavoces, sin estar debidamente integrada por todos los portavoces de los posibles grupos, vulneró el derecho fundamental del art. 23.2 CE de los recurrentes.</w:t>
      </w:r>
    </w:p>
    <w:p w:rsidR="00163957" w:rsidRDefault="00163957" w:rsidP="00163957">
      <w:pPr>
        <w:pStyle w:val="TextoNormal"/>
      </w:pPr>
    </w:p>
    <w:p w:rsidR="00163957" w:rsidRDefault="00163957" w:rsidP="00163957">
      <w:pPr>
        <w:pStyle w:val="TextoNormal"/>
      </w:pPr>
      <w:r>
        <w:t>B) Considera a continuación el Fiscal la impugnación de los acuerdos de 27 de octubre y de 3 de noviembre por ser contrarios a la Constitución, al Estatuto de Autonomía de Cataluña y a la LOTC.</w:t>
      </w:r>
    </w:p>
    <w:p w:rsidR="00163957" w:rsidRDefault="00163957" w:rsidP="00163957">
      <w:pPr>
        <w:pStyle w:val="TextoNormal"/>
      </w:pPr>
    </w:p>
    <w:p w:rsidR="00163957" w:rsidRDefault="00163957" w:rsidP="00163957">
      <w:pPr>
        <w:pStyle w:val="TextoNormal"/>
      </w:pPr>
      <w:r>
        <w:t>a) Tras referirse a lo expuesto al respecto en la demanda, menciona el Fiscal la STC 259/2015, que declaró la inconstitucionalidad de la Resolución 1/XI, de 9 de noviembre de 2015, del Parlamento de Cataluña, Resolución cuyo contenido es coincidente con el de la propuesta aquí controvertida. Tras citar determinados pasajes de esta Sentencia, señala el Ministerio Fiscal que, dada la coincidencia entre esta propuesta y aquella Resolución, puede afirmarse que el contenido de la primera es inconstitucional y antiestatutario en cuanto desconoce los preceptos que la Sentencia declara vulnerados.</w:t>
      </w:r>
    </w:p>
    <w:p w:rsidR="00163957" w:rsidRDefault="00163957" w:rsidP="00163957">
      <w:pPr>
        <w:pStyle w:val="TextoNormal"/>
      </w:pPr>
    </w:p>
    <w:p w:rsidR="00163957" w:rsidRDefault="00163957" w:rsidP="00163957">
      <w:pPr>
        <w:pStyle w:val="TextoNormal"/>
      </w:pPr>
      <w:r>
        <w:t>b) Ahora bien, debe destacarse el estadio en que se hallaría la vulneración del derecho fundamental del art. 23.2 CE, pues nos hallamos en un momento de la tramitación de una iniciativa parlamentaria que aún no ha sido sometida a debate y votación, en el caso, por el Pleno del Parlamento. La declaración de inconstitucionalidad de la STC 259/2015 es posterior al momento en que se habría vulnerado el derecho y por los recurrentes se demandaba de la Mesa un juicio sobre la constitucionalidad de la iniciativa parlamentaria por considerar que de forma palmaria y evidente era contraria a la Constitución. Además, estamos en un proceso de amparo, no el de un procedimiento destinado al análisis de la constitucionalidad de una resolución parlamentaria. No es el recurso de amparo trámite adecuado para pronunciarse sobre la constitucionalidad o no de una iniciativa parlamentaria que aún no ha sido debatida.</w:t>
      </w:r>
    </w:p>
    <w:p w:rsidR="00163957" w:rsidRDefault="00163957" w:rsidP="00163957">
      <w:pPr>
        <w:pStyle w:val="TextoNormal"/>
      </w:pPr>
    </w:p>
    <w:p w:rsidR="00163957" w:rsidRDefault="00163957" w:rsidP="00163957">
      <w:pPr>
        <w:pStyle w:val="TextoNormal"/>
      </w:pPr>
      <w:r>
        <w:t>Tras citar determinados pasajes del ATC 135/2004, aprecia el Ministerio Fiscal que con la demanda parece pretenderse anticipar el juicio de constitucionalidad del contenido de la propuesta de resolución, lo que conllevaría una indeseada restricción de las facultades de todo Parlamento para debatir iniciativas parlamentarias. Sobre la base de la jurisprudencia constitucional no cabe, concluye en este punto el Ministerio Fiscal, que a través del recurso de amparo se anticipe un juicio de constitucionalidad de la propuesta de resolución.</w:t>
      </w:r>
    </w:p>
    <w:p w:rsidR="00163957" w:rsidRDefault="00163957" w:rsidP="00163957">
      <w:pPr>
        <w:pStyle w:val="TextoNormal"/>
      </w:pPr>
    </w:p>
    <w:p w:rsidR="00163957" w:rsidRDefault="00163957" w:rsidP="00163957">
      <w:pPr>
        <w:pStyle w:val="TextoNormal"/>
      </w:pPr>
      <w:r>
        <w:t>Se añade que no cabría un pronunciamiento de inconstitucionalidad vía recurso de amparo, pero sí un pronunciamiento sobre si la actuación de la Mesa de la Cámara ha sido respetuosa con los trámites y mandatos que contiene el Reglamento. En todo caso, el examen liminar de dicha constitucionalidad le correspondería a la propia Cámara.</w:t>
      </w:r>
    </w:p>
    <w:p w:rsidR="00163957" w:rsidRDefault="00163957" w:rsidP="00163957">
      <w:pPr>
        <w:pStyle w:val="TextoNormal"/>
      </w:pPr>
    </w:p>
    <w:p w:rsidR="00163957" w:rsidRDefault="00163957" w:rsidP="00163957">
      <w:pPr>
        <w:pStyle w:val="TextoNormal"/>
      </w:pPr>
      <w:r>
        <w:t>c) En relación con las facultades de calificación o admisión o no a trámite de las Mesas de las Cámaras, tras citar por extenso la STC 23/2015, así como el ATC 86/2006, se dice que procede analizar si los acuerdos de la Mesa que autorizaron la tramitación de la propuesta de resolución han vulnerado el derecho fundamental del art. 23.2 CE, por cuanto la Mesa debió inadmitir a trámite la propuesta por ser su contenido palmaria y claramente inconstitucional y antiestatutario, ser el procedimiento elegido manifiestamente inadecuado para tramitar una iniciativa como esta, dado su contenido material, pues dicho contenido es ajeno a sus atribuciones, y ha desnaturalizado el mandato representativo de los recurrentes, por lo que debió llevar a cabo una calificación material de la iniciativa parlamentaria, no limitándose a su control formal, a la vez que el acuerdo de 3 de noviembre de 2015 estaría carente de motivación. Tras citar los arts. 164 a 166 RPC y referirse a lo expuesto por la Mesa en cuanto a que su función de calificar debía limitarse a la verificación formal de la proposición, trae la Fiscalía a colación determinados pasajes de las SSTC 205/1990 y 95/1994 observando que acuerdos semejantes al de la Mesa aquí impugnado han sido ana</w:t>
      </w:r>
      <w:r>
        <w:lastRenderedPageBreak/>
        <w:t>lizados vía amparo, citando asimismo las SSTC 12/1995 y 38/1999, si bien los pronunciamientos fueron consecuencia de inadmisiones por las Mesas de propuestas legislativas. Es por tanto inevitable esta función de control material cuando se trata de iniciativas parlamentarias como la discutida aquí. Nada le impide y sí le obliga a la Mesa calificar materialmente la propuesta de resolución, pues la Mesa está sujeta a la Constitución y al ordenamiento jurídico y puede calificar materialmente una propuesta cuando con claridad y sin ningún género de dudas es notoria su inconstitucionalidad. La Mesa está legitimada para rechazar aquellas iniciativas parlamentarias que de manera grosera y palmaria sean contrarias a la Constitución. No se trata de que la propuesta de resolución deba ser objeto de una declaración de inconstitucionalidad por el Tribunal previa a su conversión en resolución con efectos jurídicos, sino de que la Mesa cumpla con sus funciones. En este caso, la Mesa se hallaba ante una propuesta cuyo contenido era contrario a la Constitución de manera palmaria y evidente y, sin embargo omitió dicho examen, al negar que sus funciones de calificación pudieran extenderse a una calificación material.</w:t>
      </w:r>
    </w:p>
    <w:p w:rsidR="00163957" w:rsidRDefault="00163957" w:rsidP="00163957">
      <w:pPr>
        <w:pStyle w:val="TextoNormal"/>
      </w:pPr>
    </w:p>
    <w:p w:rsidR="00163957" w:rsidRDefault="00163957" w:rsidP="00163957">
      <w:pPr>
        <w:pStyle w:val="TextoNormal"/>
      </w:pPr>
      <w:r>
        <w:t xml:space="preserve">La propia Constitución (arts. 166 a 168) arbitra el procedimiento de reforma constitucional, estando legitimado el Parlamento de Cataluña para interesar del Gobierno de la Nación un proyecto de modificación constitucional o para tramitar una propuesta de ley para proponer al Congreso de los Diputados un cambio constitucional de cualquier contenido (arts. 87.1 y 2 y 168 CE y art. 173 EAC). Las reglas de procedimiento parlamentario tienen un carácter instrumental de formación de la voluntad de la Cámara y su inobservancia puede vulnerar el derecho de los parlamentarios (art. 23.2 CE) en la medida en que se restrinja el núcleo esencial de su </w:t>
      </w:r>
      <w:r w:rsidRPr="00163957">
        <w:rPr>
          <w:i/>
        </w:rPr>
        <w:t>ius in officium</w:t>
      </w:r>
      <w:r>
        <w:t xml:space="preserve"> y se les imponga una tramitación diferente e inadecuada para desarrollar una iniciativa parlamentaria. La propuesta de resolución impone a los diputados de la Cámara la tramitación como tal propuesta de una reforma constitucional para la cual es competente el Congreso de los Diputados y cuya actuación debe ser sometida al pueblo español, titular de la soberanía (art. 2 CE); esto es, se trata de una materia ajena a la competencia de la Cámara que, conforme al Estatuto de Autonomía y al propio Reglamento, exige una proposición de ley, algo muy diferente de una propuesta de resolución. La propuesta de ley tiene una tramitación distinta y, en la medida que afectaría al Estatuto, se requieren diferentes mayorías, siendo además posible solicitar dictamen del Consejo de Garantías Estatutarias.</w:t>
      </w:r>
    </w:p>
    <w:p w:rsidR="00163957" w:rsidRDefault="00163957" w:rsidP="00163957">
      <w:pPr>
        <w:pStyle w:val="TextoNormal"/>
      </w:pPr>
    </w:p>
    <w:p w:rsidR="00163957" w:rsidRDefault="00163957" w:rsidP="00163957">
      <w:pPr>
        <w:pStyle w:val="TextoNormal"/>
      </w:pPr>
      <w:r>
        <w:t xml:space="preserve">Visto su contenido esencial, la propuesta de resolución, coincidente con la Resolución 1/XI, es inconstitucional, pues propugna un nuevo orden al margen de la Constitución, lo que necesariamente pasaría por el respeto a los procedimientos constitucionalmente establecidos para la reforma de la Constitución. Se hurta a los parlamentarios, con la tramitación de la propuesta de resolución, el procedimiento legalmente establecido y por ello se les impide el ejercicio de las funciones que el </w:t>
      </w:r>
      <w:r w:rsidRPr="00163957">
        <w:rPr>
          <w:i/>
        </w:rPr>
        <w:t>ius in officium</w:t>
      </w:r>
      <w:r>
        <w:t xml:space="preserve"> les otorga cuando se trata de iniciativas de modificación de la Constitución, ya que la vía parlamentaria tiene un trato diferente (arts. 166 y ss. CE). En consecuencia, la Mesa de la Cámara estaría omitiendo con sus acuerdos el procedimiento constitucional y estatutariamente previsto para una iniciativa parlamentaria del tenor de la propuesta de resolución que admitió a trámite. De tramitarse la propuesta, el Parlamento incurriría en una extralimitación de sus funciones. Por ello, los acuerdos de la Mesa del Parlamento han desconocido el ámbito de las funciones de la Cámara (art. 61 EAC). Imponen un debate en el que se solicita la aprobación de una propuesta de resolución que contiene propuestas concretas para lo que se denomina la “desconexión” democrática de España que excluye seguir los cauces constitucionalmente establecidos para </w:t>
      </w:r>
      <w:r>
        <w:lastRenderedPageBreak/>
        <w:t>traducir la voluntad política de independencia en una realidad jurídica. La Mesa es conocedora de que la proclamación de independencia, con la consiguiente ruptura de la unidad de la nación, no está contemplada en la Constitución, aunque no excluida como aspiración política a través de un proceso ajustado a la legalidad constitucional. Tras citar determinado pasaje de la STC 42/2014, señala el Ministerio Fiscal que con la admisión a trámite de la propuesta de resolución no sólo se violenta la posición institucional del Parlamento de Cataluña, sino que se lesiona el derecho de los diputados del mismo a ejercer sus funciones en el marco constitucional. En consecuencia, la Mesa debió calificar materialmente la propuesta y rechazar su admisión a trámite. Por todo ello, la denuncia que se hace en la demanda de amparo de falta de motivación del acuerdo de 3 de noviembre de 2015 debe igualmente prosperar. Entiende el Fiscal que esta motivación (que la Mesa debía limitarse a un examen formal de la iniciativa) es insuficiente, inadecuada e incurre en falta de razonabilidad, pues la Mesa debió hacer una calificación material del contenido de la propuesta y, por tanto, sobre su conformidad a la Constitución. Por no haberlo hecho así desconoció el derecho de los demandantes del art. 23.2 CE.</w:t>
      </w:r>
    </w:p>
    <w:p w:rsidR="00163957" w:rsidRDefault="00163957" w:rsidP="00163957">
      <w:pPr>
        <w:pStyle w:val="TextoNormal"/>
      </w:pPr>
    </w:p>
    <w:p w:rsidR="00163957" w:rsidRDefault="00163957" w:rsidP="00163957">
      <w:pPr>
        <w:pStyle w:val="TextoNormal"/>
      </w:pPr>
      <w:r>
        <w:t>Concluyó sus alegaciones el Ministerio Fiscal indicando la procedencia de declarar la vulneración del derecho fundamental de los recurrentes (art. 23.2 CE) y la nulidad de los acuerdos de la Mesa de 27 de octubre y de 3 de noviembre de 2015.</w:t>
      </w:r>
    </w:p>
    <w:p w:rsidR="00163957" w:rsidRDefault="00163957" w:rsidP="00163957">
      <w:pPr>
        <w:pStyle w:val="TextoNormal"/>
      </w:pPr>
    </w:p>
    <w:p w:rsidR="00163957" w:rsidRDefault="00163957" w:rsidP="00163957">
      <w:pPr>
        <w:pStyle w:val="TextoNormal"/>
      </w:pPr>
      <w:r w:rsidRPr="00163957">
        <w:rPr>
          <w:rStyle w:val="NumeroAFNegritaCaracter"/>
        </w:rPr>
        <w:t>8</w:t>
      </w:r>
      <w:r>
        <w:t>. Mediante escrito que tuvo entrada en el Tribunal el día 23 de diciembre de 2015 presentó sus alegaciones la representación actora, dando por reproducidos los fundamentos jurídicos de la demanda y suplicando se dictara sentencia en los términos solicitados en ella.</w:t>
      </w:r>
    </w:p>
    <w:p w:rsidR="00163957" w:rsidRDefault="00163957" w:rsidP="00163957">
      <w:pPr>
        <w:pStyle w:val="TextoNormal"/>
      </w:pPr>
    </w:p>
    <w:p w:rsidR="00163957" w:rsidRDefault="00163957" w:rsidP="00163957">
      <w:pPr>
        <w:pStyle w:val="TextoNormal"/>
      </w:pPr>
      <w:r w:rsidRPr="00163957">
        <w:rPr>
          <w:rStyle w:val="NumeroAFNegritaCaracter"/>
        </w:rPr>
        <w:t>9</w:t>
      </w:r>
      <w:r>
        <w:t>. Por escrito registrado en el Tribunal el 11 de enero de 2016 presentaron sus alegaciones, en nombre y representación del Parlamento de Cataluña, los Letrados de la Cámara, los cuales pueden resumirse como sigue:</w:t>
      </w:r>
    </w:p>
    <w:p w:rsidR="00163957" w:rsidRDefault="00163957" w:rsidP="00163957">
      <w:pPr>
        <w:pStyle w:val="TextoNormal"/>
      </w:pPr>
    </w:p>
    <w:p w:rsidR="00163957" w:rsidRDefault="00163957" w:rsidP="00163957">
      <w:pPr>
        <w:pStyle w:val="TextoNormal"/>
      </w:pPr>
      <w:r>
        <w:t xml:space="preserve">A) En unas consideraciones preliminares se señala que el presente recurso, al igual que los registrados con los números 6205-2015 y 6207-2015, no pide el reconocimiento o la reparación de un derecho vulnerado por la Mesa del Parlamento en el ejercicio del </w:t>
      </w:r>
      <w:r w:rsidRPr="00163957">
        <w:rPr>
          <w:i/>
        </w:rPr>
        <w:t>ius in officium</w:t>
      </w:r>
      <w:r>
        <w:t xml:space="preserve"> de los grupos parlamentarios recurrentes, sino discutir y subsumir en el amparo una decisión de admisión a trámite de una iniciativa presentada por otros grupos parlamentarios, lo que convierte al recurso de amparo en una “impugnación” de un acuerdo de la Mesa y desnaturaliza la esencia en que se fundamenta constitucionalmente el amparo que, como tal, requiere la vulneración de un derecho “propio” de quien lo ejerce y debe conectarse, por tanto, con un supuesto de afectación del </w:t>
      </w:r>
      <w:r w:rsidRPr="00163957">
        <w:rPr>
          <w:i/>
        </w:rPr>
        <w:t>ius in officium</w:t>
      </w:r>
      <w:r>
        <w:t xml:space="preserve">; es decir, de un acuerdo de la Mesa mediante el cual se inadmite a trámite una propuesta o iniciativa parlamentarias o se restringe indebidamente el alcance de la misma. Ello implica, además, una extralimitación de los mecanismos procesales, en la medida en que se pretende introducir una especie de control de legalidad de las decisiones de la Mesa que supera ampliamente los límites del amparo y que presenta, caso de admitirse, un grave problema desde el punto de vista del derecho constitucional del </w:t>
      </w:r>
      <w:r w:rsidRPr="00163957">
        <w:rPr>
          <w:i/>
        </w:rPr>
        <w:t>ius in officium</w:t>
      </w:r>
      <w:r>
        <w:t xml:space="preserve"> parlamentario que reconoce y protege el art. 23. Si la tesis de los recurrentes se admitiera, supondría dotar a las Mesas de una facultad de control sobre las iniciativas parlamentarias que podría suponer un grave riesgo de contaminación política de una decisión que, como ha reconocido la propia jurisprudencia constitucional, debe quedar circunscrita a la verificación de los requisitos formales de las iniciativas, sin entrar en su contenido material. Sin embargo, esto es lo que realmente hacen los recursos de amparo </w:t>
      </w:r>
      <w:r>
        <w:lastRenderedPageBreak/>
        <w:t xml:space="preserve">cuando discuten la naturaleza limitada de la facultad de admisión a trámite de las Mesas parlamentarias y pretenden exigir en este caso un pronunciamiento sobre el contenido material de las iniciativas, enfoque que pone claramente de relieve que el recurso de amparo no se utiliza como instrumento procesal de defensa del propio derecho, sino como una verdadera acción impugnatoria del ejercicio de los derechos parlamentarios que corresponden a los otros grupos de la Cámara y que, como tales, están precisamente protegidos por el art. 23 CE. Se pretende exigir a la Mesa una “obligación" de inadmitir a trámite las iniciativas que </w:t>
      </w:r>
      <w:r w:rsidRPr="00163957">
        <w:rPr>
          <w:i/>
        </w:rPr>
        <w:t>prima facie</w:t>
      </w:r>
      <w:r>
        <w:t xml:space="preserve"> pudieran resultar contrarias a la Constitución, superaran las atribuciones de la Cámara o debieran ser tramitadas, por estos motivos, mediante una iniciativa de reforma constitucional. Pero la propia doctrina constitucional ha relativizado siempre estos posibles inconvenientes en beneficio del derecho de iniciativa parlamentaria y considerando que el acto de admisión a trámite es de simple apertura de un procedimiento que puede suponer la introducción de modificaciones en la propuesta y permitir también el cambio del procedimiento inicialmente elegido si fuera necesario (SSTC 40/2003 y 103/2008 y ATC 135/2004). Ello obliga a la inadmisión de los recursos de amparo, por carecer los mismos de un elemento indispensable, esto es, la existencia de una vulneración efectiva de un derecho de los recurrentes en ejercicio de su </w:t>
      </w:r>
      <w:r w:rsidRPr="00163957">
        <w:rPr>
          <w:i/>
        </w:rPr>
        <w:t>ius in officium</w:t>
      </w:r>
      <w:r>
        <w:t>, y también por el abuso procesal que supone utilizar el recurso de amparo para impugnar de hecho la admisión a trámite una iniciativa presentada por otros grupos parlamentarios.</w:t>
      </w:r>
    </w:p>
    <w:p w:rsidR="00163957" w:rsidRDefault="00163957" w:rsidP="00163957">
      <w:pPr>
        <w:pStyle w:val="TextoNormal"/>
      </w:pPr>
    </w:p>
    <w:p w:rsidR="00163957" w:rsidRDefault="00163957" w:rsidP="00163957">
      <w:pPr>
        <w:pStyle w:val="TextoNormal"/>
      </w:pPr>
      <w:r>
        <w:t xml:space="preserve">B) Se afirma, tras ello, la inadecuación de las alegaciones de la parte recurrente a la naturaleza, finalidad y objeto del recurso de amparo. La pretensión de la recurrente, según la cual las decisiones de la Mesa vulneran el art. 23 CE en cuanto suponen la posibilidad de debatir la configuración de ese derecho fundamental, no se adecúa ni a la LOTC ni a la jurisprudencia constitucional sobre la naturaleza, finalidad y objeto del recurso de amparo. El recurso plantea una pretensión de interpretación genérica del alcance de dicho precepto y no tanto la supuesta vulneración de un derecho fundamental, lo que no se acomoda al art. 41.3 LOTC, según el cual en el amparo constitucional no pueden hacerse valer otras pretensiones que las dirigidas a restablecer o preservar los derechos o libertades por razón de los cuales se formuló el recurso. El amparo no es un recurso de carácter únicamente objetivo, dirigido a la restauración de la legalidad alterada o a la corrección de una errónea interpretación de la misma, sino que tiene un carácter también esencialmente subjetivo, de tal modo que donde no hay violación de derechos subjetivos de naturaleza fundamental no puede surgir una pretensión de amparo constitucional, lo que queda corroborado por lo dispuesto en el art. 55 LOTC sobre los posibles pronunciamientos de una sentencia estimatoria. La quiebra de la legalidad debe anudarse a la de un derecho subjetivo fundamental para poder someterse a enjuiciamiento por el Tribunal Constitucional y ha de tratarse de un derecho cuya titularidad corresponda a la actora, no a un tercero. El recurso de amparo no es un recurso de casación “en interés de ley” o del “ordenamiento” sino, sólo y exclusivamente, una vía procesal para pretensiones dirigidas a establecer o preservar vulneraciones de derechos, transcribiéndose, al respecto, determinados pasajes de las SSTC 114/1995 y 78/1997. No es jurídicamente posible la utilización de este cauce para obtener del Tribunal Constitucional una sentencia por la cual se anule una decisión de la Mesa en la que se realizó una determinada lectura de un derecho, al aplicar el reglamento parlamentario, con la que la actora no está de acuerdo. En el caso enjuiciado, la pretendida causa de invalidez de la decisión recurrida consiste en el reconocimiento del derecho de un tercero, reconocimiento indebido a juicio de la actora porque se expande indebidamente ese derecho, pero este supuesto vicio no entraña por sí mismo una disminución o privación del derecho de la actora, </w:t>
      </w:r>
      <w:r>
        <w:lastRenderedPageBreak/>
        <w:t>por lo que en el hipotético caso de estimarse su pretensión se estaría admitiendo una acción procesal materialmente impugnatoria o bien el denominado “contraamparo”, desfigurando la naturaleza de esta vía. Cuesta entender que la admisión de una iniciativa parlamentaria, a diferencia de la inadmisión, cause un perjuicio a las facultades concretas de un diputado o de un grupo parlamentario, que continúan intactas en general, incluidas las que podrían considerarse pertenecientes al núcleo esencial de la función parlamentaria (enmendar, debatir y votar la iniciativa admitida o presentar otra de sentido opuesto). Se transcriben, al respecto, pasajes de las SSTC 167/1986, 93/1995 y 83/2000. La recurrente, en conclusión, carece de acción en amparo, al no adecuarse su pretensión a la naturaleza, finalidad y objeto de dicha vía procesal.</w:t>
      </w:r>
    </w:p>
    <w:p w:rsidR="00163957" w:rsidRDefault="00163957" w:rsidP="00163957">
      <w:pPr>
        <w:pStyle w:val="TextoNormal"/>
      </w:pPr>
    </w:p>
    <w:p w:rsidR="00163957" w:rsidRDefault="00163957" w:rsidP="00163957">
      <w:pPr>
        <w:pStyle w:val="TextoNormal"/>
      </w:pPr>
      <w:r>
        <w:t xml:space="preserve">C) No se da una vulneración del núcleo esencial del art. 23 CE, en tanto en cuanto la decisión de la Mesa no afecta a las facultades de los diputados, citándose al respecto pasajes de las SSTC 89/2005 y 88/2012. El Tribunal Constitucional ha precisado además, mediante una interpretación restrictiva, que sólo poseen relevancia constitucional a los efectos del recurso de amparo para proteger el derecho fundamental del art. 23 CE las afectaciones al núcleo esencial de la función representativa parlamentaria, no cualquier acto de un órgano parlamentario que infrinja la legalidad (SSTC 38/1999, 107/2001, 40/2003 y 1/2015). Más específicamente, el Tribunal ha señalado que mediante el recurso de amparo contra acuerdos de las Mesas de las Cámaras de calificación y admisión a trámite de una iniciativa lo que se pretende es preservar el derecho de participación de los sujetos legitimados para intervenir en el procedimiento parlamentario (ATC 135/2004). Para el supuesto que aquí se analiza, no ha habido perjuicio o lesión a ningún derecho del que sea titular la actora causados por el ejercicio por la Mesa del Parlamento de su función de admisión y calificación de una iniciativa presentada por un tercero, pues el Reglamento del Parlamento de Cataluña ni reconoce la existencia de un “derecho a la no admisión”, ni se puede deducir su existencia. Por el contrario, y en relación a la propuesta de resolución cuya admisión se discute en esta sede, la actora conserva intacto su derecho a participar en la misma, a enmendarla, si lo cree oportuno, como han hecho otros grupos parlamentarios, y a votarla en el sentido que libremente decida. El derecho de los diputados del grupo parlamentario recurrente a intervenir en esta tramitación parlamentaria, que configuraría el núcleo esencial de su derecho en el caso enjuiciado, estaría plenamente preservado. De ello deriva que no le es posible reclamar el restablecimiento de un derecho subjetivo que no existe y que no puede utilizar para ese fin el proceso de amparo, que no es un proceso objetivo de restauración de la legalidad presuntamente infringida. Además, el derecho fundamental de participación es de configuración legal y su alcance y contenido queda determinado por el Reglamento, siendo así que la actora no puede por más que admitir que no se ha visto privada de ningún derecho que le confiera el Reglamento del Parlamento de Cataluña, que no reconoce un derecho a impedir una tramitación, una suerte de derecho de veto, de otro grupo parlamentario. La jurisprudencia constitucional configura las propuestas de resolución como vía adecuada para forzar el debate político, el cual no debe ser obstaculizado por la Mesa (STC 44/2010). No puede sostenerse, como se desprende del recurso, que el propio debate político de la propuesta de resolución estaría violentando la naturaleza del art. 23 CE. La actora parece pretender una supuesta violación de este derecho fundamental por haberse expandido, con la admisión a trámite de la propuesta, sus límites intrínsecos, al considerar que permite un debate “inconstitucional” en un órgano “constituido”. Pero, en primer lugar, muy difícilmente la expansión de un derecho puede considerarse violación del mismo y, además, aquí estamos ante un derecho de configuración legal, por lo cual sus límites son los que establece el Reglamento </w:t>
      </w:r>
      <w:r>
        <w:lastRenderedPageBreak/>
        <w:t xml:space="preserve">(arts. 83 a 88), límites sólo referidos al procedimiento y a las formas del debate, no a su contenido. Excluir del debate parlamentario posibles contenidos </w:t>
      </w:r>
      <w:r w:rsidRPr="00163957">
        <w:rPr>
          <w:i/>
        </w:rPr>
        <w:t>a priori</w:t>
      </w:r>
      <w:r>
        <w:t>, aparte de las dificultades prácticas que ello tendría, sí que podría dar lugar en mucha mayor medida a la reducción del derecho de participación más allá de su límites intrínsecos y podría perjudicar al pluralismo que se expresa en los órganos parlamentarios, bien constitucional que la jurisprudencia de este Tribunal ha puesto de relieve (SSTC 38/1999, 107/2001 y 40/2003).</w:t>
      </w:r>
    </w:p>
    <w:p w:rsidR="00163957" w:rsidRDefault="00163957" w:rsidP="00163957">
      <w:pPr>
        <w:pStyle w:val="TextoNormal"/>
      </w:pPr>
    </w:p>
    <w:p w:rsidR="00163957" w:rsidRDefault="00163957" w:rsidP="00163957">
      <w:pPr>
        <w:pStyle w:val="TextoNormal"/>
      </w:pPr>
      <w:r>
        <w:t>Debe tenerse presente también el principio de interpretación más favorable a la eficacia de los derechos fundamentales (SSTC 177/2002 y 40/2003) y no olvidar que la preservación de la legalidad, y especialmente de la legalidad constitucional, dispone, en virtud de la Constitución y de la LOTC, de poderosos instrumentos de control de las decisiones definitivas de todos los poderes públicos, incluidos los parlamentarios, preservación que cuenta, además, con el refuerzo de la tutela cautelar cuando se trata de actos y disposiciones de las Comunidades Autónomas. En el caso que aquí nos ocupa, estos mecanismos han sido utilizados respecto de la resolución final adoptada por el Parlamento (Resolución 1/XI, de 9 de noviembre), hasta el punto que en este momento procesal ya ha recaído sentencia sobre la misma. Esto pone de relieve la diferencia entre la protección del derecho fundamental del art. 23 CE en el ámbito parlamentario y la función al efecto del recurso de amparo, con la garantía de la legalidad constitucional respecto de los actos definitivos del Parlamento. El amparo no puede ser utilizado cuando el motivo real que lo impulsa es discutir la admisión a trámite de una iniciativa en base a un test de constitucionalidad que un grupo parlamentario quiere imponer sobre otro, a pesar de que pueden existir incluso indicios suficientes para ello. Al contrario, este juicio y su eventual concreción procesal deben quedar reservados para el acto parlamentario definitivo, utilizando para ello los procedimientos adecuados de acuerdo con la Constitución y la LOTC. Por todo ello debe concluirse que la decisión de la Mesa relativa a la admisión a trámite de esta propuesta de resolución, así como el acuerdo por el cual se desestimó la solicitud de su reconsideración, no conllevan una vulneración de las facultades del núcleo básico de la función representativa reconocidas en el art. 23 CE.</w:t>
      </w:r>
    </w:p>
    <w:p w:rsidR="00163957" w:rsidRDefault="00163957" w:rsidP="00163957">
      <w:pPr>
        <w:pStyle w:val="TextoNormal"/>
      </w:pPr>
    </w:p>
    <w:p w:rsidR="00163957" w:rsidRDefault="00163957" w:rsidP="00163957">
      <w:pPr>
        <w:pStyle w:val="TextoNormal"/>
      </w:pPr>
      <w:r>
        <w:t xml:space="preserve">D) Se considera, a continuación, la jurisprudencia constitucional sobre el alcance y contenido de las funciones de la Mesa del Parlamento. Tras citar el art. 37 RPC, se afirma que el centro decisorio del Parlamento, en cuanto al gobierno institucional, corresponde principalmente a la Mesa, en tanto que órgano colegiado. Sus funciones, en concreto, de admisión a trámite y calificación de los documentos de índole parlamentaria y de decisión sobre su tramitación [art. 37.3 d) RPC] deben cumplirse de conformidad con el Reglamento; se trata de actos reglados con relación a los cuales la Mesa no puede actuar a partir de criterios de oportunidad, sino que necesariamente debe encontrar la justificación de su actuación en la norma. Por ello el propio Reglamento prevé que los grupos discrepantes puedan solicitar la reconsideración de tales actos, decidiendo la Mesa definitivamente mediante resolución motivada (art. 38 RPC). La jurisprudencia constitucional sobre la función de calificación de las Mesas parlamentarias ha sido considerada por el propio Tribunal como “evolutiva” (STC 107/2001). Hasta el inicio de los años noventa, se entendía que las Mesas gozaban de una amplia potestad calificadora que les permitía comprobar no sólo los aspectos formales de los escritos que debían calificar, sino que también podían entrar a valorar el contenido a efectos de realizar una verificación liminar de su conformidad a Derecho y llevar a cabo un juicio de idoneidad en cuanto al procedimiento parlamentario. La jurisprudencia constitucional consideraba que era posible la inadmisión de una iniciativa debido a su contenido en </w:t>
      </w:r>
      <w:r>
        <w:lastRenderedPageBreak/>
        <w:t>tres supuestos: cuando fuese manifiestamente contraria a Derecho, manifiestamente inconstitucional o inequívocamente extraña a las finalidades establecidas por el procedimiento. La STC 205/1990 se puede considerar el paradigma y culmen de dicha jurisprudencia. No obstante, a mediados de los años noventa se inicia un cambio en la jurisprudencia constitucional relativa a la potestad calificadora de las Mesas para requerir que estas se ciñan a una mera comprobación de los requisitos formales de los escritos y documentos que deben admitir a trámite. Los hitos de dicho cambio de tendencias se producen en las SSTC 95/1994 y 124/1995, resoluciones cuya fundamentación a estos efectos se cita y glosa en las alegaciones. A juicio de esta representación, el Tribunal Constitucional rehúsa cualquier valoración de fondo que pueda comportar en el procedimiento de amparo un juicio de constitucionalidad, toda vez que existen los cauces correspondientes para depurar una supuesta inconstitucionalidad. Para el Tribunal, el debate en el Pleno cumple una importante función representativa mediante la cual los parlamentarios pueden, en ejercicio de su derecho, defender o rechazar la iniciativa, así como tratar sobre su eventual inconstitucionalidad, dando así a conocer a los ciudadanos lo que piensan sobre determinada materia. De ahí que el Tribunal afirme la conveniencia de que la Mesa limite sus facultades de calificación y admisión al exclusivo examen del cumplimiento de los requisitos formales reglamentariamente exigidos, pues, de lo contrario, no sólo estaría asumiendo bajo un pretendido juicio técnico una decisión política que sólo al Pleno corresponde, sino que, además, y desde la óptica de la representación democrática, estaría obstaculizando la posibilidad de que se celebre un debate público entre las distintas fuerzas políticas con representación parlamentaria, cuyo efecto representativo ante los electores se cumple con su mera existencia, al margen, claro está, de que la iniciativa, en su caso, prospere (STC 124/1995). Se citan, asimismo, las SSTC 38/1999, 40/2003 y 208/2003, así como el ATC 135/2004, en el que el Tribunal no admite que se lleven a cabo juicios de antijuridicidad de simples proyectos de normas o incluso de la sola intención de producir normas. Se cita, en fin, la STC 84/2012, en la que se sistematiza la actual doctrina constitucional sobre la función de las Mesas de las Cámaras parlamentarias al calificar y admitir a trámite escritos y documentos. De todo este recorrido por la jurisprudencia constitucional concluyen las alegaciones con la apreciación de que la actual doctrina del Tribunal Constitucional sobre el test de admisión a trámite que pueden hacer las Mesas parlamentarias se limita a la verificación de los requisitos formales exigidos a las iniciativas por el reglamento y la ley y excluyen que este acto de calificación pueda comportar un juicio de oportunidad sobre el contenido de la propuesta.</w:t>
      </w:r>
    </w:p>
    <w:p w:rsidR="00163957" w:rsidRDefault="00163957" w:rsidP="00163957">
      <w:pPr>
        <w:pStyle w:val="TextoNormal"/>
      </w:pPr>
    </w:p>
    <w:p w:rsidR="00163957" w:rsidRDefault="00163957" w:rsidP="00163957">
      <w:pPr>
        <w:pStyle w:val="TextoNormal"/>
      </w:pPr>
      <w:r>
        <w:t xml:space="preserve">E) A efectos de aplicar al presente caso esta doctrina constitucional, se comienza recordando que la misma consiente que los reglamentos parlamentarios puedan establecer o permitir a la Mesa un control más allá de los aspectos formales con determinados condicionantes cuando el escrito esté delimitado por una norma constitucional, legal o parlamentaria y sea pertinente observar su adecuación a la misma. El Tribunal entiende que dicho control de la Mesa debe estar previsto expresamente en el reglamento parlamentario y admite que puede alcanzar, singularmente, a la verificación de la idoneidad del procedimiento parlamentario elegido, ya que esta verificación forma parte del cumplimiento del reglamento. Se observa, dicho esto, que, respecto del tipo de iniciativa parlamentaria recurrida, no existe en el Reglamento del Parlamento de Cataluña ninguna habilitación a la Mesa del Parlamento para que controle aspectos materiales de dicha iniciativa, transcribiéndose al respecto su art. 164. Tras referirse a las resoluciones del Parlamento de Cataluña como el ejemplo más paradigmático entre los instrumentos para ejercer la función de impulso de la acción política </w:t>
      </w:r>
      <w:r>
        <w:lastRenderedPageBreak/>
        <w:t>y de gobierno, se observa que si la legalidad aplicable no impone límite alguno a la iniciativa, la verificación de su admisibilidad ha de ser siempre formal (STC 40/2003) y por ello la Mesa se limitó aquí a verificar la regularidad formal de los términos de la iniciativa.</w:t>
      </w:r>
    </w:p>
    <w:p w:rsidR="00163957" w:rsidRDefault="00163957" w:rsidP="00163957">
      <w:pPr>
        <w:pStyle w:val="TextoNormal"/>
      </w:pPr>
    </w:p>
    <w:p w:rsidR="00163957" w:rsidRDefault="00163957" w:rsidP="00163957">
      <w:pPr>
        <w:pStyle w:val="TextoNormal"/>
      </w:pPr>
      <w:r>
        <w:t xml:space="preserve">La argumentación contenida en el ATC 135/2004 es perfectamente aplicable al caso, pues el acuerdo de la Mesa del Parlamento de 27 de octubre de 2015, de admisión a trámite de la propuesta de resolución, lo que hizo fue posibilitar en términos democráticos el inicio del debate y la discusión parlamentaria, permitiendo a los ciudadanos el conocimiento de la posición de los distintos grupos parlamentarios sobre las cuestiones objeto de la propuesta y establecer el marco de actuación parlamentaria para la XI Legislatura. Si bien la jurisprudencia constitucional admite un control material de la iniciativa por parte de las Mesas a efectos de comprobar la idoneidad o procedencia del procedimiento parlamentario elegido, hay que recordar que cuando el Tribunal Constitucional se ha referido a este control material lo ha hecho siempre como una potestad de las Mesas y no como una obligación jurídica de inexcusable cumplimiento, lo que es lógico, porque si la iniciativa puede ser sometida a modificaciones sustanciales durante el procedimiento parlamentario, una exigencia como ésta podría incidir desproporcionadamente sobre el </w:t>
      </w:r>
      <w:r w:rsidRPr="00163957">
        <w:rPr>
          <w:i/>
        </w:rPr>
        <w:t>ius in officium</w:t>
      </w:r>
      <w:r>
        <w:t xml:space="preserve"> que ampara la presentación de iniciativas parlamentarias y el derecho a ser debatidas. En el caso de la idoneidad del procedimiento aplicable, el Tribunal Constitucional ha admitido expresamente que un procedimiento inicial pueda ser reconvertido en otro diferente durante su tramitación (STC 103/2008 y ATC 135/2004). Además, hay que señalar la dificultad para aplicar este límite cuando se trata de una propuesta de resolución y sus posibles efectos, incluidos los jurídicos en los términos que ha reconocido la STC 42/2014, no son vinculantes ni permiten la modificación del ordenamiento. Su manifestación final es un acto de impulso de la acción política y de gobierno, lo que obliga a relativizar el control del procedimiento reglamentario elegido, pues lo contrario sería admitir que la Mesa puede determinar el alcance de la función misma de impulso en detrimento de la voluntad de los que ejercen la iniciativa. Por ello, la actuación de la Mesa debe ser especialmente cautelosa y ceñirse a sus facultades de control formal. Los argumentos del recurrente respecto a la exigencia de que la Mesa hubiera tenido que inadmitir a trámite la propuesta de resolución porque su contenido sería contrario a la Constitución y solo podría producirse mediante una iniciativa de reforma constitucional que el propio Parlamento podría impulsar deben decaer, y sólo podrían tener cierto recorrido en el caso de una iniciativa legislativa, pues una propuesta de resolución es incapaz de producir los efectos jurídicos propios y vinculantes de un acto de naturaleza normativa y es potencialmente incapaz de contradecir la Constitución en los términos necesarios de contraste entre normas o de conflicto entre ordenamientos. El recurrente confunde este momento procedimental inicial con el contenido de la propuesta e incluso con su consideración como acto definitivo y ello le lleva a utilizar un tipo de argumentos de oposición y crítica material y de fondo que, además de ser totalmente inapropiados en un recurso de amparo, llevarían al extremo insostenible de desnaturalizar las funciones de la Mesa del Parlamento, en claro perjuicio del debate político y del pluralismo. Debe rechazarse también el argumento de que la propuesta de resolución excede del contenido posible que permite el art. 164 RPC, al ir más allá del objeto de impulso de la acción política. Una vez más se incurre aquí en el terreno resbaladizo de trasladar a la Mesa una responsabilidad de inadmisión, precisamente sobre el ejercicio de la función parlamentaria de impulso que debe observarse con especial flexibilidad, habida cuenta de la extrema dificultad que supondría la delimitación </w:t>
      </w:r>
      <w:r w:rsidRPr="00163957">
        <w:rPr>
          <w:i/>
        </w:rPr>
        <w:t>a priori</w:t>
      </w:r>
      <w:r>
        <w:t xml:space="preserve"> de lo que puede entenderse como impulso de la acción política y de gobierno. Parece obvio que la Mesa debe guiarse por un criterio formal, especialmente </w:t>
      </w:r>
      <w:r>
        <w:lastRenderedPageBreak/>
        <w:t>cuando la iniciativa puede encajar en el marco amplio del art. 164 RPC. También debe rebatirse que la propuesta sea extemporánea por haberse presentado antes de la investidura del Presidente de la Generalitat. La propuesta se dirige efectivamente, en algunos de sus puntos, a un futuro Gobierno, pero a efectos de su admisión a trámite no contiene indicación alguna sobre el momento en que debe ser objeto de debate y votación, ya que esto lo deben determinar después la Mesa y la Junta de Portavoces, como así se hizo sin que esa decisión haya sido objeto de impugnación alguna. Asumir la tesis de la extemporaneidad sería tanto como admitir que mientras no haya investidura no existe posibilidad de que los diputados o los grupos parlamentarios presenten iniciativas o de que la Mesa pueda ejercer en ese lapso de tiempo sus funciones de calificación de los escritos, conclusión que es a todas luces inaceptable y que desmiente la praxis parlamentaria. Incluso la propia sustanciación por el Pleno sería posible, como así ha sido en este caso, porque la posibilidad de la convocatoria no está excluida antes de la investidura y porque hay que reconocer al Parlamento constituido la capacidad de aprobar resoluciones dirigidas a los ciudadanos o incluso a un futuro Gobierno. Pero, en cualquier caso, lo que se ventila en el presente recurso ni siquiera afecta al recorrido parlamentario de la propuesta de resolución, porque los actos a los que se contrae el recurso se limitan a la fase inicial de la admisión a trámite y a la desestimación de las solicitudes de reconsideración de esa admisión. Y en relación a esta cuestión hay que añadir que por parte de todos los grupos parlamentarios, incluido, por tanto, el que presenta el amparo, se han presentado ante la Mesa numerosas iniciativas, lo que demuestra que el mismo recurrente asume como adecuada, correcta y posible tal presentación y su admisión a trámite antes de la investidura del Presidente de la Generalitat.</w:t>
      </w:r>
    </w:p>
    <w:p w:rsidR="00163957" w:rsidRDefault="00163957" w:rsidP="00163957">
      <w:pPr>
        <w:pStyle w:val="TextoNormal"/>
      </w:pPr>
    </w:p>
    <w:p w:rsidR="00163957" w:rsidRDefault="00163957" w:rsidP="00163957">
      <w:pPr>
        <w:pStyle w:val="TextoNormal"/>
      </w:pPr>
      <w:r>
        <w:t>F) Se ocupan a continuación las alegaciones de lo que consideran indebida extensión del recurso de amparo a otras presuntas infracciones del reglamento inexistentes o que, caso de haberse producido, no tendrían suficiente entidad para vulnerar –en sus palabras- el derecho fundamental del grupo parlamentario que solicita el amparo:</w:t>
      </w:r>
    </w:p>
    <w:p w:rsidR="00163957" w:rsidRDefault="00163957" w:rsidP="00163957">
      <w:pPr>
        <w:pStyle w:val="TextoNormal"/>
      </w:pPr>
    </w:p>
    <w:p w:rsidR="00163957" w:rsidRDefault="00163957" w:rsidP="00163957">
      <w:pPr>
        <w:pStyle w:val="TextoNormal"/>
      </w:pPr>
      <w:r>
        <w:t>a) Conforme a la jurisprudencia constitucional, las vulneraciones relevantes en esta vía son sólo las que afecten al núcleo esencial del derecho del art. 23.2 CE, en este caso al ejercicio de la función parlamentaria. Es dudoso —se observa— que estas otras infracciones que se aducen pudieran haber afectado a aquel núcleo esencial del derecho.</w:t>
      </w:r>
    </w:p>
    <w:p w:rsidR="00163957" w:rsidRDefault="00163957" w:rsidP="00163957">
      <w:pPr>
        <w:pStyle w:val="TextoNormal"/>
      </w:pPr>
    </w:p>
    <w:p w:rsidR="00163957" w:rsidRDefault="00163957" w:rsidP="00163957">
      <w:pPr>
        <w:pStyle w:val="TextoNormal"/>
      </w:pPr>
      <w:r>
        <w:t xml:space="preserve">b) Los recurrentes consideran que la Junta de Portavoces fue convocada de modo irregular para ser oída con carácter previo a la decisión de la Mesa sobre las solicitudes de reconsideración, pero poco tienen que reclamar en amparo de su derecho cuando pudieron asistir a la reunión normalmente, en tanto ya se habían constituido como grupo parlamentario. Para el recurrente no hay vulneración alguna de ningún derecho subjetivo y eso hace evidente que su argumento sólo tendría como objeto denunciar e impugnar una presunta irregularidad procedimental que no puede tener cabida en el marco de este recurso de amparo. Además, esta alegación es contradictoria con el derecho a la reconsideración ejercido por el mismo grupo, al que había que dar respuesta en el plazo de cuatro días. Si la Mesa esperaba a la constitución del grupo parlamentario del Partido Popular, el recurrente sí que podía alegar la vulneración de su derecho a obtener una respuesta a su solicitud de reconsideración. Y también habría que tener en cuenta que las solicitudes de reconsideración suspenden la tramitación de las iniciativas, con lo que los grupos proponentes también podrían ver afectado su derecho fundamental si se superaba el plazo del art. 38.3 RPC. Por estas razones, la Mesa dio prioridad al cumplimiento estricto de este plazo de reconsideración antes que esperar al </w:t>
      </w:r>
      <w:r>
        <w:lastRenderedPageBreak/>
        <w:t xml:space="preserve">transcurso del plazo previsto para la constitución de los grupos parlamentarios, teniendo en cuenta que este plazo es facultativo y que el único grupo no constituido podía acudir a la Junta de Portavoces por medio de un representante, como ya venía haciendo </w:t>
      </w:r>
      <w:r w:rsidRPr="00163957">
        <w:rPr>
          <w:i/>
        </w:rPr>
        <w:t>de facto</w:t>
      </w:r>
      <w:r>
        <w:t xml:space="preserve"> al asistir como invitado a las reuniones de la Mesa. La convocatoria de la Junta de Portavoces se dirigió también a los diputados del Partido Popular por si querían enviar un representante y además en este caso la Junta sólo debía ser oída, porque la competencia decisoria es exclusivamente de la Mesa. Para la válida constitución de la Junta de Portavoces, además, tampoco se exige la presencia de todos los grupos parlamentarios.</w:t>
      </w:r>
    </w:p>
    <w:p w:rsidR="00163957" w:rsidRDefault="00163957" w:rsidP="00163957">
      <w:pPr>
        <w:pStyle w:val="TextoNormal"/>
      </w:pPr>
    </w:p>
    <w:p w:rsidR="00163957" w:rsidRDefault="00163957" w:rsidP="00163957">
      <w:pPr>
        <w:pStyle w:val="TextoNormal"/>
      </w:pPr>
      <w:r>
        <w:t>c) Por lo que concierne al informe de los servicios jurídicos, es evidente que no puede desprenderse del derecho genérico de información y asistencia de los servicios de la Cámara (art. 5 RPC) un derecho a solicitar y obtener un informe jurídico formal y concreto sobre una propuesta de resolución. El derecho del precepto reglamentario citado cubre sólo una función de información y asistencia general a los miembros de la Cámara. Por otra parte, los Estatutos de Régimen y Gobierno Interior del Parlamento son muy claros cuando atribuyen a los órganos rectores de la Cámara (Mesa y Presidencia) la decisión de encargar un informe a los Servicios Jurídicos. El art. 23.2 CE no ampara lo que, según el recurrente, vendría a ser un derecho a exigir la elaboración de un informe jurídico sobre cualquier iniciativa parlamentaria. Los servicios jurídicos del Parlamento no están al servicio de los grupos parlamentarios, sino de la institución, y es evidente que no pueden ser utilizados ni actuar para elaborar informes a petición directa o en interés de parte, sino cuando lo consideren necesario u oportuno los órganos rectores de la Cámara.</w:t>
      </w:r>
    </w:p>
    <w:p w:rsidR="00163957" w:rsidRDefault="00163957" w:rsidP="00163957">
      <w:pPr>
        <w:pStyle w:val="TextoNormal"/>
      </w:pPr>
    </w:p>
    <w:p w:rsidR="00163957" w:rsidRDefault="00163957" w:rsidP="00163957">
      <w:pPr>
        <w:pStyle w:val="TextoNormal"/>
      </w:pPr>
      <w:r>
        <w:t>d) Por último, respecto de la motivación de la desestimación de las solicitudes de reconsideración, es evidente que tal motivación existe, como puede comprobarse en el acta de la Mesa de 3 de noviembre de 2015. Asimismo, este acuerdo motivado fue también notificado a los grupos parlamentarios.</w:t>
      </w:r>
    </w:p>
    <w:p w:rsidR="00163957" w:rsidRDefault="00163957" w:rsidP="00163957">
      <w:pPr>
        <w:pStyle w:val="TextoNormal"/>
      </w:pPr>
    </w:p>
    <w:p w:rsidR="00163957" w:rsidRDefault="00163957" w:rsidP="00163957">
      <w:pPr>
        <w:pStyle w:val="TextoNormal"/>
      </w:pPr>
      <w:r>
        <w:t>Se concluye con la solicitud de que se dicte sentencia por la que se inadmita o se deniegue, en su caso, el amparo solicitado.</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7 de junio de 2016 se señaló esa misma fecha para la deliberación y votación de la presente Sentencia.</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Los demandantes de amparo son diputados del Parlamento de Cataluña integrados en el Grupo Parlamentario Socialista de dicha Cámara y dirigen su recurso contra el acuerdo de la Mesa de la Asamblea, de 3 de noviembre de 2015, por el que se confirmó la admisión a trámite —decidida por la misma Mesa el 27 de octubre del propio año— de la “propuesta de resolución sobre el inicio del proceso político en Cataluña como consecuencia de los resultados electorales”, presentada por dos grupos parlamentarios de la Cámara, y se desestimó, al tiempo, la petición de reconsideración que el Grupo Parlamentario Socialista planteó frente a aquel acuerdo inicial del 27 de octubre, petición ésta formulada con arreglo a lo previsto en el art. 38 del Reglamento de la Asamblea autonómica. De la lectura de la demanda se infiere, no obstante, que la impugnación formal de dicho acuerdo confirmatorio de 3 de noviembre afecta asimismo, inequívocamente, al acto confirmado.</w:t>
      </w:r>
    </w:p>
    <w:p w:rsidR="00163957" w:rsidRDefault="00163957" w:rsidP="00163957">
      <w:pPr>
        <w:pStyle w:val="TextoNormal"/>
      </w:pPr>
    </w:p>
    <w:p w:rsidR="00163957" w:rsidRDefault="00163957" w:rsidP="00163957">
      <w:pPr>
        <w:pStyle w:val="TextoNormal"/>
      </w:pPr>
      <w:r>
        <w:t>Como en los antecedentes ha quedado expuesto, la demanda denuncia que se vulneró el derecho fundamental de los diputados demandantes enunciado en el art. 23.2 CE (y, de manera refleja, el derecho a participar de los ciudadanos a quienes representan: art. 23.1 CE), tanto porque aquel acuerdo de 3 de noviembre dio curso definitivo a una propuesta de resolución abiertamente contraria a la Constitución y al Estatuto de Autonomía de Cataluña, como porque la denegación de la petición de reconsideración promovida por el grupo en que se integran se adoptó con infracción del Reglamento del Parlamento de Cataluña (RPC, en lo que sigue), pues ni fue oída previamente la Junta de Portavoces ni la denegación misma fue motivada, exigencias, una y otra, que establece el art. 38.3 RPC.</w:t>
      </w:r>
    </w:p>
    <w:p w:rsidR="00163957" w:rsidRDefault="00163957" w:rsidP="00163957">
      <w:pPr>
        <w:pStyle w:val="TextoNormal"/>
      </w:pPr>
    </w:p>
    <w:p w:rsidR="00163957" w:rsidRDefault="00163957" w:rsidP="00163957">
      <w:pPr>
        <w:pStyle w:val="TextoNormal"/>
      </w:pPr>
      <w:r>
        <w:t>Según queda también reflejado en los antecedentes, el Ministerio Fiscal interesa la estimación del recurso de amparo con alegaciones en esencia coincidentes con las de los demandantes de amparo, considerando que el recurso viene propiamente formulado por el Grupo Parlamentario Socialista y que la firma por el conjunto de todos los diputados integrantes del grupo es solo una manifestación de adhesión y conformidad con el mismo. La representación del Parlamento de Cataluña ha pedido la inadmisión del recurso o, en todo caso, su desestimación por entender que la queja que cabe llamar sustantiva en él planteada desborda los límites de este proceso constitucional, pues con tal denuncia no se defiende un derecho propio de quienes demandan, sino que se promueve, más bien, una impugnación de un acuerdo parlamentario adoptado, precisamente, en atención al derecho fundamental de los grupos autores de la iniciativa cuestionada, solicitándose del Tribunal, junto a ello, una interpretación genérica del art. 23.2 CE que tampoco tendría cabida en este cauce. Por lo demás, la representación de la Cámara niega las infracciones reglamentarias que en la demanda se achacan a la tramitación tanto de la propuesta de resolución como de la petición de reconsideración, y argumenta, en todo caso, en contra de que tales supuestas irregularidades hubieran afectado al núcleo del derecho fundamental para el que se pide amparo.</w:t>
      </w:r>
    </w:p>
    <w:p w:rsidR="00163957" w:rsidRDefault="00163957" w:rsidP="00163957">
      <w:pPr>
        <w:pStyle w:val="TextoNormal"/>
      </w:pPr>
    </w:p>
    <w:p w:rsidR="00163957" w:rsidRDefault="00163957" w:rsidP="00163957">
      <w:pPr>
        <w:pStyle w:val="TextoNormal"/>
      </w:pPr>
      <w:r>
        <w:t>El objeto de este recurso es similar al planteado en los recursos de amparo 6205-2015, por los diputados del Parlamento de Cataluña integrados en el Grupo Parlamentario de Ciudadanos, y 6207-2015, por los diputados del Parlamento de Cataluña elegidos en las listas electorales del Partido Popular, que han sido resueltos por las SSTC 107/2016 y 109/2016, de 7 de junio, respectivamente.</w:t>
      </w:r>
    </w:p>
    <w:p w:rsidR="00163957" w:rsidRDefault="00163957" w:rsidP="00163957">
      <w:pPr>
        <w:pStyle w:val="TextoNormal"/>
      </w:pPr>
    </w:p>
    <w:p w:rsidR="00163957" w:rsidRDefault="00163957" w:rsidP="00163957">
      <w:pPr>
        <w:pStyle w:val="TextoNormal"/>
      </w:pPr>
      <w:r>
        <w:t>Por lo demás, el recurso tiene especial trascendencia constitucional, por cuanto plantea un problema o una faceta de un derecho fundamental susceptible de amparo sobre el que no hay doctrina del Tribunal Constitucional (el alcance del derecho de representación política en la Junta de Portavoces cuando aún no se ha constituido un grupo parlamentario) y versa sobre un cuestión que trasciende del caso concreto porque plantea una cuestión jurídica con consecuencias políticas generales, en su calidad de amparo parlamentario [STC 155/2009, de 25 de junio, supuestos a) y g) del fundamento jurídico 2, último párrafo].</w:t>
      </w:r>
    </w:p>
    <w:p w:rsidR="00163957" w:rsidRDefault="00163957" w:rsidP="00163957">
      <w:pPr>
        <w:pStyle w:val="TextoNormal"/>
      </w:pPr>
    </w:p>
    <w:p w:rsidR="00163957" w:rsidRDefault="00163957" w:rsidP="00163957">
      <w:pPr>
        <w:pStyle w:val="TextoNormal"/>
      </w:pPr>
      <w:r w:rsidRPr="00163957">
        <w:rPr>
          <w:rStyle w:val="NumeroAFNegritaCaracter"/>
        </w:rPr>
        <w:t>2</w:t>
      </w:r>
      <w:r>
        <w:t>. En este fundamento se van a resolver las cuestiones relativas a (i) la petición de inadmisión del recurso que formula la representación del Parlamento de Cataluña; (ii) el concreto objeto del enjuiciamiento que debe llevarse a cabo; y (iii) el orden de resolución de los motivos del recurso de amparo.</w:t>
      </w:r>
    </w:p>
    <w:p w:rsidR="00163957" w:rsidRDefault="00163957" w:rsidP="00163957">
      <w:pPr>
        <w:pStyle w:val="TextoNormal"/>
      </w:pPr>
    </w:p>
    <w:p w:rsidR="00163957" w:rsidRDefault="00163957" w:rsidP="00163957">
      <w:pPr>
        <w:pStyle w:val="TextoNormal"/>
      </w:pPr>
      <w:r>
        <w:lastRenderedPageBreak/>
        <w:t xml:space="preserve">(i) Debe desestimarse la solicitud de inadmisión que articula la representación del Parlamento de Cataluña. Esta representación plantea la inadecuación del procedimiento constitucional de amparo para la resolución de las cuestiones suscitadas en la demanda, argumentando que los recurrentes pretenden sustanciar la impugnación de la legalidad de la decisión de un órgano parlamentario, desconectada de la defensa del </w:t>
      </w:r>
      <w:r w:rsidRPr="00163957">
        <w:rPr>
          <w:i/>
        </w:rPr>
        <w:t>ius in officium</w:t>
      </w:r>
      <w:r>
        <w:t xml:space="preserve"> protegido por el art. 23 CE, y que persiguen la obtención de una interpretación genérica del alcance de este precepto desvinculada de una concreta lesión subjetiva del mismo provocada a quien insta el amparo. Ahora bien, tomando en cuenta que la fundamentación de esta causa de inadmisión se vincula al presupuesto de que los demandantes no relacionan su impugnación con una concreta vulneración del art. 23 CE, pero que la demanda pone de manifiesto que aquéllos sí alegan de manera directa la lesión del art. 23 CE respecto de los actos parlamentarios discutidos, la conclusión no puede ser sino que el derecho fundamental cobra protagonismo y no resulta posible pronunciarse sobre él con carácter liminar.</w:t>
      </w:r>
    </w:p>
    <w:p w:rsidR="00163957" w:rsidRDefault="00163957" w:rsidP="00163957">
      <w:pPr>
        <w:pStyle w:val="TextoNormal"/>
      </w:pPr>
    </w:p>
    <w:p w:rsidR="00163957" w:rsidRDefault="00163957" w:rsidP="00163957">
      <w:pPr>
        <w:pStyle w:val="TextoNormal"/>
      </w:pPr>
      <w:r>
        <w:t xml:space="preserve">(ii) Entrando en temas de fondo, y al objeto de precisar con claridad el objeto de este recurso, debe rechazarse lo alegado, en primer lugar, frente a la negativa de la Presidenta del Parlamento a requerir informe jurídico de los letrados de la Cámara sobre la regularidad procedimental y sustantiva de la propuesta de resolución admitida a trámite. En efecto, este informe de los servicios jurídicos se interesó inicialmente de la Mesa en el escrito de petición de reconsideración, de 27 de octubre de 2015, y, rechazada que fue tal solicitud, se instó lo mismo de nuevo por el presidente del Grupo Socialista ante la Presidencia de la Cámara el día 29 del propio mes. A este requerimiento respondió la Presidenta, en términos denegatorios, el siguiente día 30, negativa cuya reconsideración, en fin, pidió el mismo presidente del grupo mediante otro escrito de 2 de noviembre de 2015. Se dice en la demanda, sin mayor argumentación, que tales solicitudes se hicieron en defensa del </w:t>
      </w:r>
      <w:r w:rsidRPr="00163957">
        <w:rPr>
          <w:i/>
        </w:rPr>
        <w:t>ius in officium</w:t>
      </w:r>
      <w:r>
        <w:t xml:space="preserve"> de los demandantes, con el que los recurrentes parecen poner en relación el derecho de los diputados a contar con el “apoyo técnico” de los servicios de la Cámara (art. 5 RPC).</w:t>
      </w:r>
    </w:p>
    <w:p w:rsidR="00163957" w:rsidRDefault="00163957" w:rsidP="00163957">
      <w:pPr>
        <w:pStyle w:val="TextoNormal"/>
      </w:pPr>
    </w:p>
    <w:p w:rsidR="00163957" w:rsidRDefault="00163957" w:rsidP="00163957">
      <w:pPr>
        <w:pStyle w:val="TextoNormal"/>
      </w:pPr>
      <w:r>
        <w:t>El Tribunal, sin perjuicio de cualesquiera otras posibles consideraciones sobre los hechos descritos, no enjuiciará esta denegación de la solicitud de informe jurídico, que en modo alguno puede imputarse, ni directa ni indirectamente, a los actos cuestionados o a su procedimiento de adopción.</w:t>
      </w:r>
    </w:p>
    <w:p w:rsidR="00163957" w:rsidRDefault="00163957" w:rsidP="00163957">
      <w:pPr>
        <w:pStyle w:val="TextoNormal"/>
      </w:pPr>
    </w:p>
    <w:p w:rsidR="00163957" w:rsidRDefault="00163957" w:rsidP="00163957">
      <w:pPr>
        <w:pStyle w:val="TextoNormal"/>
      </w:pPr>
      <w:r>
        <w:t>La demanda también critica que se haya dado curso a la tan citada propuesta de resolución antes de la constitución de las comisiones de la Cámara, siendo así que, conforme al art. 164.2 RPC, la Mesa, oída la Junta de Portavoces, debe acordar si las propuestas de resolución han de tramitarse ante la comisión competente o ante el Pleno. Cualquiera que sea el sentido constitucional de este reproche, no resulta adecuado despejarlo con ocasión del presente recurso por cuanto lo que se censura no trae causa, ni directa ni indirecta, de los actos examinados, sino de otro que no ha sido impugnado y que se adoptó con posterioridad a la interposición de la demanda de amparo; esto es, el acuerdo de la Mesa de 6 de noviembre de 2015 por el que, “oída la Junta de Portavoces”, se remitió al Pleno la propuesta de resolución cuya admisión a trámite se discute aquí (“Boletín Oficial del Parlamento de Cataluña” número 7, de 9 de noviembre de 2015).</w:t>
      </w:r>
    </w:p>
    <w:p w:rsidR="00163957" w:rsidRDefault="00163957" w:rsidP="00163957">
      <w:pPr>
        <w:pStyle w:val="TextoNormal"/>
      </w:pPr>
    </w:p>
    <w:p w:rsidR="00163957" w:rsidRDefault="00163957" w:rsidP="00163957">
      <w:pPr>
        <w:pStyle w:val="TextoNormal"/>
      </w:pPr>
      <w:r>
        <w:t xml:space="preserve">(iii) Este Tribunal ha reiterado que le corresponde siempre determinar el orden del examen de las diversas invocaciones, conforme a las circunstancias de cada concreto supuesto (STC 169/2013, de 7 de octubre, FJ 2). Las singulares circunstancias concurrentes en este </w:t>
      </w:r>
      <w:r>
        <w:lastRenderedPageBreak/>
        <w:t>caso determinan que el orden de enjuiciamiento que va a seguirse sea el mismo que el planteado por los demandantes de amparo. Con carácter general, el análisis de las diversas invocaciones suele comenzar por las lesiones de carácter procedimental, entre las que en este caso figuraría la imputada a la tramitación y resolución de las solicitudes de reconsideración, ya que su eventual estimación determinaría un efecto de retroacción de actuaciones que permitiría con plenitud de competencia resolver la cuestión de fondo sin que resultara prejuzgada por este Tribunal. Ahora bien, el hecho de que finalmente la resolución aprobada por el Parlamento de Cataluña, como resultado de la propuesta que era objeto de los acuerdos ahora impugnados, haya sido ya anulada por razones de fondo por la STC 259/2015, de 2 de diciembre, deja sin objeto útil cualquier posible decisión de retroacción de actuaciones. De ese modo, se seguirá el orden inverso, considerando en primer lugar la queja relativa a la decisión de admisión por la Mesa de la propuesta de resolución.</w:t>
      </w:r>
    </w:p>
    <w:p w:rsidR="00163957" w:rsidRDefault="00163957" w:rsidP="00163957">
      <w:pPr>
        <w:pStyle w:val="TextoNormal"/>
      </w:pPr>
    </w:p>
    <w:p w:rsidR="00163957" w:rsidRDefault="00163957" w:rsidP="00163957">
      <w:pPr>
        <w:pStyle w:val="TextoNormal"/>
      </w:pPr>
      <w:r w:rsidRPr="00163957">
        <w:rPr>
          <w:rStyle w:val="NumeroAFNegritaCaracter"/>
        </w:rPr>
        <w:t>3</w:t>
      </w:r>
      <w:r>
        <w:t>. El recurso denuncia que la propuesta de resolución controvertida nunca debió haber sido admitida a trámite por ser de entrada “absoluta y palmariamente incompatible con la Constitución, con el Estatuto de Autonomía de Cataluña … y con los principios de cualquier Estado de Derecho” y por no acomodarse, de otra parte, a la configuración de este tipo de iniciativa parlamentaria en el art. 164.1 RPC, precepto con arreglo al cual, en lo que ahora interesa destacar, las propuestas de resolución del Parlamento buscan “impulsar la acción política y de gobierno” y “pueden dirigirse al Gobierno de la Generalidad o a la ciudadanía”. La propuesta finalmente admitida, según la demanda, ni pretendería aquel objetivo (sino más bien “proclamar el inicio de un proceso de creación de un Estado independiente”) ni tendría como destinatarios a los ciudadanos o al gobierno, este último por lo demás aún no formado.</w:t>
      </w:r>
    </w:p>
    <w:p w:rsidR="00163957" w:rsidRDefault="00163957" w:rsidP="00163957">
      <w:pPr>
        <w:pStyle w:val="TextoNormal"/>
      </w:pPr>
    </w:p>
    <w:p w:rsidR="00163957" w:rsidRDefault="00163957" w:rsidP="00163957">
      <w:pPr>
        <w:pStyle w:val="TextoNormal"/>
      </w:pPr>
      <w:r>
        <w:t>La primera de estas dos censuras es compartida, en lo sustancial, por el Ministerio Fiscal; pero negada por la representación del Parlamento de Cataluña, que observa que con ellas se desborda o desconoce los límites de este proceso constitucional, al presentarse como una impugnación de carácter abstracto o general, frente al ejercicio de un derecho ajeno, y no en términos de defensa singular del derecho fundamental de los actores. Todas las partes, por lo demás, han tenido ocasión de hacer referencia en sus alegaciones a la STC 259/2015, de 2 de diciembre, dictada en un procedimiento de impugnación de disposiciones o resoluciones autonómicas [Título V de la Ley Orgánica del Tribunal Constitucional (LOTC)], en la que el Tribunal juzgó y finalmente anuló, por inconstitucional, la Resolución del Parlamento de Cataluña 1/XI, de 9 de noviembre de 2015, “sobre el inicio del proceso político en Cataluña como consecuencia de los resultados electorales del 27 de septiembre de 2015”. La Resolución así declarada inconstitucional y nula provino de la propuesta cuya admisión a trámite aquí se discute.</w:t>
      </w:r>
    </w:p>
    <w:p w:rsidR="00163957" w:rsidRDefault="00163957" w:rsidP="00163957">
      <w:pPr>
        <w:pStyle w:val="TextoNormal"/>
      </w:pPr>
    </w:p>
    <w:p w:rsidR="00163957" w:rsidRDefault="00163957" w:rsidP="00163957">
      <w:pPr>
        <w:pStyle w:val="TextoNormal"/>
      </w:pPr>
      <w:r>
        <w:t>Procede ya entrar a examinar unos y otros argumentos:</w:t>
      </w:r>
    </w:p>
    <w:p w:rsidR="00163957" w:rsidRDefault="00163957" w:rsidP="00163957">
      <w:pPr>
        <w:pStyle w:val="TextoNormal"/>
      </w:pPr>
    </w:p>
    <w:p w:rsidR="00163957" w:rsidRDefault="00163957" w:rsidP="00163957">
      <w:pPr>
        <w:pStyle w:val="TextoNormal"/>
      </w:pPr>
      <w:r>
        <w:t xml:space="preserve">a) La demanda sostiene que la Mesa debió inadmitir a trámite esta propuesta de resolución porque la misma no se atenía a la delimitación de tal figura o instrumento de acción parlamentaria contemplado en el art. 164.1 RPC. Con este reproche, se viene a plantear no una crítica del acuerdo impugnado por su contenido contrario a la Constitución, sino a su presentación formal pues la iniciativa —se aduce— ni se dirigió a los destinatarios que marca aquel precepto (gobierno o ciudadanía) ni tuvo la finalidad en él definida (impulso de la acción política y de gobierno). El Tribunal no ve en este alegato base alguna para </w:t>
      </w:r>
      <w:r>
        <w:lastRenderedPageBreak/>
        <w:t>apreciar que el derecho fundamental que se invoca (art. 23.2 CE) haya sido afectado. Aun aceptando que ese derecho fundamental pudiera traerse a colación para discutir la admisión a trámite por las Mesas de unas u otras iniciativas parlamentarias, es lo cierto que la propuesta aquí controvertida se acomodaba, en su presentación o formulación externa, y al margen ahora de su contenido, a los muy amplios términos con los que el repetido art. 164.1 RPC delimita esta figura. Basta esta constatación, recordando, como haremos de inmediato, la doctrina general del Tribunal sobre el limitado control que al efecto corresponde a las Mesas, para descartar que el derecho fundamental haya sido violado por lo que en este punto de la demanda se aduce.</w:t>
      </w:r>
    </w:p>
    <w:p w:rsidR="00163957" w:rsidRDefault="00163957" w:rsidP="00163957">
      <w:pPr>
        <w:pStyle w:val="TextoNormal"/>
      </w:pPr>
    </w:p>
    <w:p w:rsidR="00163957" w:rsidRDefault="00163957" w:rsidP="00163957">
      <w:pPr>
        <w:pStyle w:val="TextoNormal"/>
      </w:pPr>
      <w:r>
        <w:t>b) Tampoco puede el Tribunal acoger, como pretensión de amparo, que la admisión a trámite de la repetida propuesta de resolución haya violado el derecho fundamental de los actores por haber dado curso la Mesa a una iniciativa manifiestamente contraria a la Constitución. Por lo pronto, debe señalarse que las facultades de las Mesas de las asambleas en orden a la calificación y admisión a trámite de iniciativas parlamentarias lo son sobre todo, conforme a jurisprudencia constitucional constante, a efectos de controlar la regularidad jurídica y la viabilidad formal o procesal de las iniciativas presentadas, de modo que las Mesas no deben, con carácter general, inadmitir propuestas o proposiciones a causa de la supuesta inconstitucionalidad de su contenido, lo que infringiría el derecho fundamental de sus actores (art. 23.2 CE). Este principio sólo consiente una muy limitada salvedad, pues en supuestos excepcionales pueden las Mesas inadmitir a trámite, sin daño para el derecho fundamental citado, las propuestas o proposiciones cuya contradicción a Derecho o inconstitucionalidad sean “palmarias y evidentes” (SSTC 124/1995, de 18 de julio, FJ 2, y 10/2016, de 1 de febrero, FJ 4). En modo alguno cabría de principio excluir que en tales casos excepcionales tuvieran las Mesas la facultad de no dar curso a la propuesta de que se trate, extremo este último, sin embargo, sobre el que el Tribunal tampoco se ha de pronunciar ahora, pues, aun configurado como deber constitucional de la Mesa tal poder de inadmisión en casos límite, su incumplimiento no depararía infracción del derecho fundamental (art. 23.2 CE) de quienes denuncien tal supuesta omisión de un control que habría sido obligado. En el contenido del derecho enunciado en el art. 23.2 CE no se encuentra lo que habría que llamar “derecho fundamental a la constitucionalidad” de las iniciativas parlamentarias o, incluso, de los acuerdos o normas a que aboquen, hipotético contenido éste que no sólo difuminaría los contornos del derecho instituido en aquel precepto, sino que alteraría al propio tiempo la propia configuración del recurso de amparo e incluso, acaso, el entero sistema de nuestra jurisdicción constitucional.</w:t>
      </w:r>
    </w:p>
    <w:p w:rsidR="00163957" w:rsidRDefault="00163957" w:rsidP="00163957">
      <w:pPr>
        <w:pStyle w:val="TextoNormal"/>
      </w:pPr>
    </w:p>
    <w:p w:rsidR="00163957" w:rsidRDefault="00163957" w:rsidP="00163957">
      <w:pPr>
        <w:pStyle w:val="TextoNormal"/>
      </w:pPr>
      <w:r>
        <w:t>Cabe, pues, concluir que la cuestionada admisión a trámite de la propuesta de resolución no violó, por la causa que aducen, el derecho fundamental invocado por los recurrentes.</w:t>
      </w:r>
    </w:p>
    <w:p w:rsidR="00163957" w:rsidRDefault="00163957" w:rsidP="00163957">
      <w:pPr>
        <w:pStyle w:val="TextoNormal"/>
      </w:pPr>
    </w:p>
    <w:p w:rsidR="00163957" w:rsidRDefault="00163957" w:rsidP="00163957">
      <w:pPr>
        <w:pStyle w:val="TextoNormal"/>
      </w:pPr>
      <w:r w:rsidRPr="00163957">
        <w:rPr>
          <w:rStyle w:val="NumeroAFNegritaCaracter"/>
        </w:rPr>
        <w:t>4</w:t>
      </w:r>
      <w:r>
        <w:t>. La desestimación de la invocación del derecho a la representación política de los demandantes de amparo desde el prisma que viene de enjuiciarse no es obstáculo para que este Tribunal deba entrar al fondo del análisis de la restante lesión aducida. En concreto, la vulneración que se dice sufrida del art. 23.2 CE con ocasión de la tramitación y resolución de la petición de reconsideración formulada por el grupo parlamentario en el que los actores se integran.</w:t>
      </w:r>
    </w:p>
    <w:p w:rsidR="00163957" w:rsidRDefault="00163957" w:rsidP="00163957">
      <w:pPr>
        <w:pStyle w:val="TextoNormal"/>
      </w:pPr>
    </w:p>
    <w:p w:rsidR="00163957" w:rsidRDefault="00163957" w:rsidP="00163957">
      <w:pPr>
        <w:pStyle w:val="TextoNormal"/>
      </w:pPr>
      <w:r>
        <w:lastRenderedPageBreak/>
        <w:t>El art. 38.3 RPC establece que “[l]a Mesa del Parlamento dispone de un plazo de cuatro días para resolver definitivamente la petición de reconsideración mediante resolución motivada, oída la Junta de Portavoces”. Los demandantes entienden que la denegación de que fue objeto su solicitud de que la Mesa reconsiderara la admisión a trámite de la propuesta de resolución aquí controvertida no se atuvo a ninguna de las dos últimas exigencias reglamentarias indicadas. En primer lugar, manifiestan que los portavoces, reunidos, a convocatoria de la Presidenta de la Cámara, el día 3 de noviembre de 2015, no lo fueron, pese a que otra cosa dijera esa convocatoria, en la condición de Junta de Gobierno, pues faltaba por designar el portavoz del grupo de los diputados elegidos en las listas presentadas por el Partido Popular, grupo pendiente de constituir y con plazo aún en curso para ello, de modo tal que, en realidad, la Mesa habría resuelto su solicitud de reconsideración sin oír previamente a una Junta de Gobierno reglamentariamente constituida. Y consideran asimismo, en segundo lugar, que la resolución denegatoria de 3 de noviembre de 2015 careció de motivación “en el momento de adoptarse”, lo que habría supuesto una nueva infracción de aquel precepto reglamentario.</w:t>
      </w:r>
    </w:p>
    <w:p w:rsidR="00163957" w:rsidRDefault="00163957" w:rsidP="00163957">
      <w:pPr>
        <w:pStyle w:val="TextoNormal"/>
      </w:pPr>
    </w:p>
    <w:p w:rsidR="00163957" w:rsidRDefault="00163957" w:rsidP="00163957">
      <w:pPr>
        <w:pStyle w:val="TextoNormal"/>
      </w:pPr>
      <w:r>
        <w:t xml:space="preserve">Una y otra conculcación quedan vinculadas en el recurso al derecho de los actores enunciado en el art. 23.2 CE, procediendo la demanda a invocar una amplia jurisprudencia constitucional de conformidad con la cual este derecho constitucional garantiza, en lo que ahora importa, no sólo el acceso igualitario a los cargos públicos con los requisitos que señalen las leyes, sino también, por conexión necesaria, el mantenimiento del representante en ese cargo y el ejercicio del mismo sin perturbaciones ilegítimas y de conformidad con lo dispuesto en las normas y, en particular, en los reglamentos de las asambleas representativas. Todo ello, en la inteligencia, expresada por la doctrina constitucional, de que no cualquier infracción a los reglamentos parlamentarios podrá verse, sin más, como lesiva del derecho fundamental de referencia, lo que sólo sería de apreciar si la conculcación hubiera afectado al núcleo de los derechos y facultades del representante, a su </w:t>
      </w:r>
      <w:r w:rsidRPr="00163957">
        <w:rPr>
          <w:i/>
        </w:rPr>
        <w:t>ius in officium</w:t>
      </w:r>
      <w:r>
        <w:t>, afectación que aquí los demandantes afirman o dan, en todo caso, por supuesta. Como ya se ha hecho constar, el Ministerio Fiscal concluye sus alegaciones, en este punto, en coincidencia sustancial con la demanda; lo contrario hace, por su parte, la representación del Parlamento de Cataluña, para la que los actores poco podrían reclamar en cuanto a la convocatoria y reunión de los portavoces, pues pudieron manifestarse y ser oídos en la reunión del día 3 de noviembre, reunión tras la que la Mesa resolvió la petición de reconsideración con pleno respeto a la exigencia de motivación impuesta por el art. 38.3 RPC.</w:t>
      </w:r>
    </w:p>
    <w:p w:rsidR="00163957" w:rsidRDefault="00163957" w:rsidP="00163957">
      <w:pPr>
        <w:pStyle w:val="TextoNormal"/>
      </w:pPr>
    </w:p>
    <w:p w:rsidR="00163957" w:rsidRDefault="00163957" w:rsidP="00163957">
      <w:pPr>
        <w:pStyle w:val="TextoNormal"/>
      </w:pPr>
      <w:r>
        <w:t xml:space="preserve">A) La situación en la que se suscita la controversia ha quedado en esencia descrita anteriormente. El grupo parlamentario en el que los demandantes se integran presentó una solicitud de reconsideración de la decisión de la Mesa del Parlamento autonómico, de 27 de octubre de 2015, que admitió a trámite la propuesta de resolución “sobre el proceso político en Cataluña como consecuencia de los resultados electorales”, solicitud que correspondía resolver a la Mesa en los términos del antes transcrito art. 38.3 RPC, que impone entre otras exigencias, las dos siguientes: la previa audiencia a la Junta de Portavoces y la motivación de la decisión final. A tal fin, la Presidenta de la Asamblea convocó, el 2 de noviembre de 2015, una reunión de dicha Junta a celebrar el siguiente día 3 y ofreció en aquella primera fecha a los diputados elegidos en las listas del Partido Popular (no constituidos aún en grupo, para lo que contaban, al menos, con plazo reglamentario hasta el día 5 del mismo mes) la posibilidad de designar “algún representante” que pudiera asistir a dicha reunión, invitación a la que aquellos diputados no se acogieron. Recibida aquella convocatoria, el presidente </w:t>
      </w:r>
      <w:r>
        <w:lastRenderedPageBreak/>
        <w:t>del Grupo Parlamentario Socialista se dirigió por escrito a la Presidenta, el mismo 2 de noviembre, en solicitud, por lo que ahora interesa, de que desconvocara la reunión así anunciada y de que no convocase otra del mismo órgano hasta que todas las formaciones políticas estuvieran constituidas como grupo dentro de los términos legales que les concede el Reglamento de la Cámara. La reunión de portavoces se celebró finalmente, sin embargo, en la fecha para la que fue convocada; y según consta en el acta, tres de dichos portavoces (entre ellos, el del Grupo Parlamentario Socialista) argumentaron que la Junta no podía considerarse válidamente constituida porque aún no se habían formado todos los grupos, restando aun plazo para hacerlo. Otros dos portavoces vinieron a sostener lo contrario. La Presidenta —siempre según el acta de la reunión— concluyó con la consideración de que “todos los grupos han podido expresar su opinión” respecto del punto del orden del día tratado y comunicó que correspondía ya a la Mesa decidir. Acto seguido se reunió la Mesa de la Cámara, en cuyo seno se replanteó la cuestión sobre si la Junta de Portavoces había sido en rigor oída y acerca de la procedencia o no, en consecuencia, de que se resolviera sobre las solicitudes de reconsideración y la adhesión a las mismas de los diputados elegidos en las listas del Partido Popular, interesándose por varios intervinientes la prórroga del plazo reglamentario para ello (art. 103 RPC), solicitud sometida a votación y rechazada. Previa deliberación y mediante nueva votación, en fin, la Mesa desestimó aquellas solicitudes y la adhesión a las mismas. Consta en acta la consiguiente motivación, que se incorporó a la comunicación de la resolución, el mismo día, al portavoz del Grupo Parlamentario Socialista.</w:t>
      </w:r>
    </w:p>
    <w:p w:rsidR="00163957" w:rsidRDefault="00163957" w:rsidP="00163957">
      <w:pPr>
        <w:pStyle w:val="TextoNormal"/>
      </w:pPr>
    </w:p>
    <w:p w:rsidR="00163957" w:rsidRDefault="00163957" w:rsidP="00163957">
      <w:pPr>
        <w:pStyle w:val="TextoNormal"/>
      </w:pPr>
      <w:r>
        <w:t xml:space="preserve">B) La </w:t>
      </w:r>
      <w:r w:rsidRPr="00163957">
        <w:rPr>
          <w:i/>
        </w:rPr>
        <w:t>ratio decidendi</w:t>
      </w:r>
      <w:r>
        <w:t xml:space="preserve"> que sustenta la solución de la queja suscitada reside en el siguiente fundamento: cuando un reglamento parlamentario abre vías internas para la revisión técnico-jurídica de las decisiones de los órganos de la propia Cámara, como ocurre con la reconsideración, la observancia de tales procedimientos será exigencia que cuenta con la garantía última del derecho enunciado en el art. 23.2 CE, siempre y en tanto que, claro es, los derechos de representación que a través de ellos se sustancien </w:t>
      </w:r>
      <w:r w:rsidRPr="00163957">
        <w:rPr>
          <w:i/>
        </w:rPr>
        <w:t>ad casum</w:t>
      </w:r>
      <w:r>
        <w:t xml:space="preserve"> se integren o puedan ser encuadrados en el núcleo del </w:t>
      </w:r>
      <w:r w:rsidRPr="00163957">
        <w:rPr>
          <w:i/>
        </w:rPr>
        <w:t>ius in officium</w:t>
      </w:r>
      <w:r>
        <w:t xml:space="preserve"> de los representantes. Así se deduce de la proyección de nuestra doctrina general sobre el art. 23.2 CE a este espacio de controversia interpretativa, pues tenemos dicho que la vulneración de los derechos de los representantes contenidos en ese derecho fundamental no se verifica con cualquier acto que infrinja el e</w:t>
      </w:r>
      <w:r w:rsidRPr="00163957">
        <w:rPr>
          <w:i/>
        </w:rPr>
        <w:t>status</w:t>
      </w:r>
      <w:r>
        <w:t xml:space="preserve"> jurídico aplicable, sino que, antes bien, “a estos efectos sólo poseen relevancia constitucional los derechos o facultades atribuidos al representante que pertenezcan al núcleo de su función representativa” (SSTC 141/2007, de 18 de junio, FJ 3; 169/2009, de 9 de julio, FJ 2; 20/2011, de 14 de marzo, FJ 4; 117/2012, de 4 de junio, FJ 3, o 36/2014, de 27 de febrero. FJ 5).</w:t>
      </w:r>
    </w:p>
    <w:p w:rsidR="00163957" w:rsidRDefault="00163957" w:rsidP="00163957">
      <w:pPr>
        <w:pStyle w:val="TextoNormal"/>
      </w:pPr>
    </w:p>
    <w:p w:rsidR="00163957" w:rsidRDefault="00163957" w:rsidP="00163957">
      <w:pPr>
        <w:pStyle w:val="TextoNormal"/>
      </w:pPr>
      <w:r>
        <w:t xml:space="preserve">Por consiguiente, solo desde ese prisma y conforme a aquella lógica de conexión con las garantías y facultades del </w:t>
      </w:r>
      <w:r w:rsidRPr="00163957">
        <w:rPr>
          <w:i/>
        </w:rPr>
        <w:t>ius in officium</w:t>
      </w:r>
      <w:r>
        <w:t xml:space="preserve"> será concebible una vulneración del art. 23.2 CE en razón de infracciones del procedimiento.</w:t>
      </w:r>
    </w:p>
    <w:p w:rsidR="00163957" w:rsidRDefault="00163957" w:rsidP="00163957">
      <w:pPr>
        <w:pStyle w:val="TextoNormal"/>
      </w:pPr>
    </w:p>
    <w:p w:rsidR="00163957" w:rsidRDefault="00163957" w:rsidP="00163957">
      <w:pPr>
        <w:pStyle w:val="TextoNormal"/>
      </w:pPr>
      <w:r>
        <w:t>Para examinarlo en la presente controversia partiremos de algunas premisas plasmadas con continuidad en nuestros pronunciamientos pero que debemos motivar de modo particularmente detenido en este caso por la condición de los recurrentes, cargos públicos representativos (art. 23.2 CE), y por ser parte el Parlamento de Cataluña, que en su cualidad de cámara de representación ostenta una posición institucional cardinal, que le es reconocida con fundamento constitucional y estatutario [arts. 1 y 2.4 del Estatuto de Autonomía de Cataluña (EAC)].</w:t>
      </w:r>
    </w:p>
    <w:p w:rsidR="00163957" w:rsidRDefault="00163957" w:rsidP="00163957">
      <w:pPr>
        <w:pStyle w:val="TextoNormal"/>
      </w:pPr>
    </w:p>
    <w:p w:rsidR="00163957" w:rsidRDefault="00163957" w:rsidP="00163957">
      <w:pPr>
        <w:pStyle w:val="TextoNormal"/>
      </w:pPr>
      <w:r>
        <w:t xml:space="preserve">a) Conforme a reiterada doctrina de este Tribunal, el art. 23.2 CE consagra la dimensión pasiva del derecho de participación política, reconociendo el derecho de los ciudadanos a acceder en condiciones de igualdad a las funciones y cargos públicos con los requisitos que señalen las leyes. A este contenido explícito del precepto ha ligado nuestra jurisprudencia, en primer lugar, el derecho a permanecer, en condiciones de igualdad y con los requisitos que señalen las leyes, en los cargos o funciones públicas a los que se accedió (por todas, STC 5/1983, de 4 de febrero, FJ 3), no pudiendo ser removido el cargo electo de los mismos si no es por causas y de acuerdo con procedimientos legalmente establecidos (destacadamente, STC 10/1983, de 21 de febrero, FJ 2). En segundo lugar, el derecho al ejercicio o desempeño del cargo público representativo conforme a lo previsto en las leyes (por ejemplo, STC 246/2012, de 20 de diciembre, FJ 2), recordándose a tal fin, como inequívocamente se desprende del inciso final del propio art. 23.2 CE, que se trata de un derecho de configuración legal y que esa configuración, en el ámbito que aquí nos ocupa, corresponde a los Reglamentos parlamentarios, a los que compete fijar y ordenar los derechos y atribuciones propios de los parlamentarios (por todas, STC 202/2014, de 15 de diciembre, FJ 3). Y finalmente y respecto de cualquiera de esas dimensiones que hemos identificado como integrantes del derecho de participación política reconocido en el art. 23.2 CE —acceso, permanencia y ejercicio—, la garantía de su perfeccionamiento en condiciones de igualdad y de acuerdo con los requisitos que señalen las leyes (por todas, STC 298/2006, de 23 de octubre, FJ 6). Con ese fundamento señalamos invariablemente sobre los derechos y atribuciones de los representantes electos que, “una vez creados, quedan integrados en el </w:t>
      </w:r>
      <w:r w:rsidRPr="00163957">
        <w:rPr>
          <w:i/>
        </w:rPr>
        <w:t>status</w:t>
      </w:r>
      <w:r>
        <w:t xml:space="preserve"> propio del cargo, con la consecuencia de que podrán sus titulares, al amparo del art. 23.2 CE, reclamar su protección cuando los consideren ilegítimamente constreñidos o ignorados por actos del poder público, incluidos los provenientes del propio órgano en que se integren” (entre tantas otras, STC 36/2014, de 27 de febrero, FJ 5, y las allí citadas).</w:t>
      </w:r>
    </w:p>
    <w:p w:rsidR="00163957" w:rsidRDefault="00163957" w:rsidP="00163957">
      <w:pPr>
        <w:pStyle w:val="TextoNormal"/>
      </w:pPr>
    </w:p>
    <w:p w:rsidR="00163957" w:rsidRDefault="00163957" w:rsidP="00163957">
      <w:pPr>
        <w:pStyle w:val="TextoNormal"/>
      </w:pPr>
      <w:r>
        <w:t xml:space="preserve">b) Expresando más sintéticamente la idea y aproximando tal doctrina a lo que ahora es objeto de controversia, tenemos dicho que quedan encuadradas en ese núcleo de la función representativa, en el </w:t>
      </w:r>
      <w:r w:rsidRPr="00163957">
        <w:rPr>
          <w:i/>
        </w:rPr>
        <w:t>ius in officium</w:t>
      </w:r>
      <w:r>
        <w:t xml:space="preserve"> de los representantes, aquellas funciones que solo pueden ejercer los titulares del cargo público por ser la expresión del carácter representativo de la institución (STC 169/2009, de 9 de julio, FJ 3, por ejemplo). En ese marco, ninguna duda cabe de que la facultad de constituir grupo parlamentario, en la forma y con los requisitos que establezcan los reglamentos de las Cámaras, corresponde a los diputados, tratándose de una facultad que pertenece a aquel núcleo principal de su función representativa parlamentaria. Así lo declaró este Tribunal en la STC 64/2002, de 11 de marzo, a partir de un razonamiento que, aplicado entonces al Congreso de los Diputados, es en todo trasladable ahora al Parlamento de Cataluña. Dijimos en aquella ocasión, en efecto, que dada la configuración de los grupos parlamentarios en los actuales parlamentos como entes imprescindibles y principales en la organización y funcionamiento de las Cámaras, así como en el desempeño de las funciones parlamentarias y los beneficios que conlleva la adquisición de tal </w:t>
      </w:r>
      <w:r w:rsidRPr="00163957">
        <w:rPr>
          <w:i/>
        </w:rPr>
        <w:t>status</w:t>
      </w:r>
      <w:r>
        <w:t xml:space="preserve">, aquella facultad constituye una manifestación constitucionalmente relevante del </w:t>
      </w:r>
      <w:r w:rsidRPr="00163957">
        <w:rPr>
          <w:i/>
        </w:rPr>
        <w:t>ius in officium</w:t>
      </w:r>
      <w:r>
        <w:t xml:space="preserve"> del representante (fundamento jurídico 3). Esta doctrina, que debe calificarse de firme y consolidada (SSTC 141/2007, de 18 de junio, FJ 4; 169/2009, de 9 de julio, FJ 3, y 10/2013, de 28 de enero, FJ 3; asimismo, ATC 369/2007, de 12 de septiembre, FJ 4), supone reconocer que los actos de las Cámaras que, del modo que sea, impidan, menoscaben o perturben el ejercicio, conforme a reglamento, de tal facultad de los parlamentarios de constituirse en grupo conllevarán la consiguiente infracción del derecho de aquéllos enunciado en el art. </w:t>
      </w:r>
      <w:r>
        <w:lastRenderedPageBreak/>
        <w:t>23.2 CE y, de manera refleja, el derecho de todos los ciudadanos, al que los primeros dan efectividad, a participar en los asuntos públicos por medio de representantes (número 1 del mismo artículo).</w:t>
      </w:r>
    </w:p>
    <w:p w:rsidR="00163957" w:rsidRDefault="00163957" w:rsidP="00163957">
      <w:pPr>
        <w:pStyle w:val="TextoNormal"/>
      </w:pPr>
    </w:p>
    <w:p w:rsidR="00163957" w:rsidRDefault="00163957" w:rsidP="00163957">
      <w:pPr>
        <w:pStyle w:val="TextoNormal"/>
      </w:pPr>
      <w:r>
        <w:t xml:space="preserve">En definitiva, el derecho de los diputados a constituir grupo parlamentario, así integrado en el derecho fundamental </w:t>
      </w:r>
      <w:r w:rsidRPr="00163957">
        <w:rPr>
          <w:i/>
        </w:rPr>
        <w:t>ex</w:t>
      </w:r>
      <w:r>
        <w:t xml:space="preserve"> artículo 23.2 CE, aunque sólo lo sea en los términos que el reglamento de cada Cámara disponga, no puede ser desconocido por la asamblea sin menoscabar, al tiempo, aquel derecho fundamental, al formar parte del </w:t>
      </w:r>
      <w:r w:rsidRPr="00163957">
        <w:rPr>
          <w:i/>
        </w:rPr>
        <w:t>ius in officium</w:t>
      </w:r>
      <w:r>
        <w:t xml:space="preserve"> de los representantes. En lógica consecuencia, el cumplimiento del procedimiento reglamentariamente previsto para dicha constitución está asociado con la cobertura que ofrece el art. 23.2 CE, en los mismos términos expuestos, tanto en aquello que materialmente procura la efectividad de ese derecho principal a la formación de grupos por parte de los representantes electos, en expresión de la pluralidad de la cámara, como en los efectos aparejados con la integridad de su ejercicio y con el ejercicio de funciones y facultades derivadas que sean concreción de su núcleo esencial, garantizando en su integridad el derecho de los grupos parlamentarios a ejercer las facultades que integren el estatuto constitucionalmente relevante de los representantes políticos (por referencia, STC 158/2014, de 6 de octubre, FJ 4).</w:t>
      </w:r>
    </w:p>
    <w:p w:rsidR="00163957" w:rsidRDefault="00163957" w:rsidP="00163957">
      <w:pPr>
        <w:pStyle w:val="TextoNormal"/>
      </w:pPr>
    </w:p>
    <w:p w:rsidR="00163957" w:rsidRDefault="00163957" w:rsidP="00163957">
      <w:pPr>
        <w:pStyle w:val="TextoNormal"/>
      </w:pPr>
      <w:r>
        <w:t>c) En ese sentido, como resultado de lo anteriormente enunciado, y por estar relacionado con ello en términos de accesoriedad o, si se prefiere, de modo mediato, en tanto que el reglamento parlamentario de que se trate configure un órgano de la Cámara en el que se integren, con funciones decisorias o consultivas, los portavoces de los distintos grupos parlamentarios o los representantes integrados en éstos tienen, de manera necesaria y como facultad también incorporada al núcleo de su cargo propio, el derecho a la designación de tales portavoces o representantes de acuerdo con las previsiones reglamentarias y el de que los mismos participen de modo real y efectivo en aquellos órganos, también de conformidad con ellas. A ello responde, precisamente, el Reglamento del Parlamento de Cataluña, que prescribe que cada grupo “nombra a los miembros que han de representarlo, incluyendo preceptivamente a su portavoz” (art. 28.1) y con arreglo al cual, asimismo, los portavoces así designados constituyen la Junta de Portavoces, presidida por el presidente del Parlamento, y sin perjuicio de los demás cargos o funcionarios que puedan asistir a sus sesiones (art. 35.1).</w:t>
      </w:r>
    </w:p>
    <w:p w:rsidR="00163957" w:rsidRDefault="00163957" w:rsidP="00163957">
      <w:pPr>
        <w:pStyle w:val="TextoNormal"/>
      </w:pPr>
    </w:p>
    <w:p w:rsidR="00163957" w:rsidRDefault="00163957" w:rsidP="00163957">
      <w:pPr>
        <w:pStyle w:val="TextoNormal"/>
      </w:pPr>
      <w:r>
        <w:t>C) Con esas bases será ya posible verificar si tales procedimientos (en este caso, el previsto en el art. 38.3 RPC) fueron o no respetados en el presente caso.</w:t>
      </w:r>
    </w:p>
    <w:p w:rsidR="00163957" w:rsidRDefault="00163957" w:rsidP="00163957">
      <w:pPr>
        <w:pStyle w:val="TextoNormal"/>
      </w:pPr>
    </w:p>
    <w:p w:rsidR="00163957" w:rsidRDefault="00163957" w:rsidP="00163957">
      <w:pPr>
        <w:pStyle w:val="TextoNormal"/>
      </w:pPr>
      <w:r>
        <w:t xml:space="preserve">La respuesta ha de ser coincidente con la demanda. La audiencia previa no puede tenerse por realizada y el derecho aducido resulta vulnerado. En efecto, visto el Reglamento del Parlamento de Cataluña, los portavoces no pueden ser convocados a Junta (art. 35.2 RPC) para el ejercicio de las funciones de este órgano (art. 36 RPC) en tanto no estén, todos ellos, nombrados por sus grupos respectivos (art. 28.1 RPC), proceso de designación que sólo culminará cuando estén constituidos todos los grupos parlamentarios, incluido, eventualmente, el grupo mixto. Tal situación no podrá darse por consumada en tanto haya, como así sucedió, diputados (los elegidos en las listas presentadas por el Partido Popular) en número y con plazo para constituir grupo propio aún no integrados en ninguno de los ya formados y de los que, por lo demás, resultaba razonable presumir, dada su pertenencia política y electoral común, que se constituyeran en grupo específico. La convocatoria presidencial del día 2 de noviembre a una “Junta de Portavoces” llamada a ejercer una de las funciones de </w:t>
      </w:r>
      <w:r>
        <w:lastRenderedPageBreak/>
        <w:t>este órgano (art. 38.3 RPC) fue, por ello, una convocatoria irregular. Y la reunión celebrada el día 3 ha de ser entendida, por la misma razón, como la de unos determinados portavoces de los grupos hasta entonces constituidos, y no como la de la Junta reglamentaria que ha de integrarlos a todos. Los congregados aquel 3 de noviembre de 2015 no lo fueron con la condición reglamentaria de Junta de Portavoces (art. 35.1 RPC), ni cabía, por lo mismo, dar por realizada entonces una audiencia que el Reglamento atribuye al órgano o, si se quiere, a sus miembros, no a unos u otros portavoces. En suma, la Junta no fue oída, ni los grupos pudieron debidamente desplegar la función que se les atribuye, a través de sus portavoces, en el procedimiento. De ahí que no pueda compartirse la aseveración de la Presidenta de que “todos los grupos han podido manifestar su opinión”. En suma, en orden a los efectos jurídicos que aquí son relevantes: el repetido art. 38.3 RPC no requiere oír a todos los grupos por el momento constituidos, cuando aún hay plazo para formar otros, sino a los portavoces, reunidos en Junta, de todos los grupos de la Cámara, aunque pudiera ser, cuestión ajena a lo aquí planteado, que no todos ellos acudieran a una u otra de las reuniones válidamente convocadas. La norma requiere oír, en definitiva, a una Junta de Portavoces y, por tanto, en este caso no se pudo tener por celebrada ni por ejercida válidamente, en consecuencia, la función que le atribuye el antes citado art. 38.3 RPC.</w:t>
      </w:r>
    </w:p>
    <w:p w:rsidR="00163957" w:rsidRDefault="00163957" w:rsidP="00163957">
      <w:pPr>
        <w:pStyle w:val="TextoNormal"/>
      </w:pPr>
    </w:p>
    <w:p w:rsidR="00163957" w:rsidRDefault="00163957" w:rsidP="00163957">
      <w:pPr>
        <w:pStyle w:val="TextoNormal"/>
      </w:pPr>
      <w:r>
        <w:t>D) Las anteriores conclusiones no quedan empañadas por lo alegado frente a la demanda por la representación del Parlamento de Cataluña sobre la comunicación de la convocatoria de la Junta de Portavoces a los diputados que no se habían aún constituido en grupo parlamentario, por si querían enviar un representante a la reunión. Bastará señalar que resulta imposible equiparar la asistencia graciable a la reunión de un órgano con la asistencia, a través de los portavoces, que deriva del derecho propio de los diputados constituidos en grupo parlamentario, pues, como ha quedado expuesto, solo en este caso se participa en la reunión como miembro del órgano colegiado y para el ejercicio de sus funciones propias.</w:t>
      </w:r>
    </w:p>
    <w:p w:rsidR="00163957" w:rsidRDefault="00163957" w:rsidP="00163957">
      <w:pPr>
        <w:pStyle w:val="TextoNormal"/>
      </w:pPr>
    </w:p>
    <w:p w:rsidR="00163957" w:rsidRDefault="00163957" w:rsidP="00163957">
      <w:pPr>
        <w:pStyle w:val="TextoNormal"/>
      </w:pPr>
      <w:r>
        <w:t>Se aduce asimismo por la representación del Parlamento de Cataluña que la reunión anticipada de la Junta de Portavoces era obligada a fin de resolver en tiempo las solicitudes de reconsideración. No obstante, incumplir el Reglamento en un caso a fin de respetarlo en otro no constituye argumento válido a los presentes efectos. El Tribunal considera que la Mesa pudo aquí, para armonizar unas exigencias y otras, prorrogar el plazo de resolución de aquellas solicitudes (art. 103 RPC), como consta en las actuaciones que así se solicitó, con reiteración y sin éxito, por algunos miembros de la propia Mesa.</w:t>
      </w:r>
    </w:p>
    <w:p w:rsidR="00163957" w:rsidRDefault="00163957" w:rsidP="00163957">
      <w:pPr>
        <w:pStyle w:val="TextoNormal"/>
      </w:pPr>
    </w:p>
    <w:p w:rsidR="00163957" w:rsidRDefault="00163957" w:rsidP="00163957">
      <w:pPr>
        <w:pStyle w:val="TextoNormal"/>
      </w:pPr>
      <w:r>
        <w:t xml:space="preserve">De lo razonado, es dable deducir que la resolución de la Mesa, aquí impugnada, por la que se rechazaron las solicitudes de reconsideración de la admisión a trámite dictada el 27 de octubre de 2015, se adoptó con la omisión del trámite esencial de este procedimiento interno de garantía que es la previa audiencia a la Junta de Portavoces. Es este trámite un elemento central del procedimiento de la reconsideración que posee en este caso, además, una conexión inmediata con aquella facultad del </w:t>
      </w:r>
      <w:r w:rsidRPr="00163957">
        <w:rPr>
          <w:i/>
        </w:rPr>
        <w:t>ius in officium</w:t>
      </w:r>
      <w:r>
        <w:t>: la facultad de los representantes de constituir grupos parlamentarios conforme a los plazos reglamentarios, la de designar, sucesivamente, sus portavoces o representantes y la de perfeccionar su intervención en concurrencia con otros grupos en un órgano colegiado integrado por las distintas fuerzas políticas con representación parlamentaria, tras la válida y concurrente constitución del mismo con los restantes grupos que deben conformarlo, según el reglamento, para garantizar el pluralismo inherente al Parlamento. Tal omisión, en consecuencia, deparó la lesión del derecho fundamental de los demandantes, enunciado en el art. 23.2 CE.</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Estimar parcialmente el recurso de amparo interpuesto por don Miquel Iceta Llorens, doña Eva María Granados Galiano, don Rafael Bruguera Batalla, don Carles Castillo Rosique, doña Assumpta Escarp Gibert, don Pol Gibert Horcas, doña Rosa María Ibarra Ollé, doña Eva María Martínez Morales, don Raúl Moreno Montaña, doña Marta Moreta Rovira, doña Esther Niubó Cidoncha, don Òscar Ordeig i Molist, don Ferran Pedret i Santos, don David Pérez Ibáñez, doña Alicia Romero Llano y don Jordi Terrades i Santacreu, y en su virtud:</w:t>
      </w:r>
    </w:p>
    <w:p w:rsidR="00163957" w:rsidRDefault="00163957" w:rsidP="00163957">
      <w:pPr>
        <w:pStyle w:val="TextoNormal"/>
      </w:pPr>
    </w:p>
    <w:p w:rsidR="00163957" w:rsidRDefault="00163957" w:rsidP="00163957">
      <w:pPr>
        <w:pStyle w:val="TextoNormal"/>
      </w:pPr>
      <w:r>
        <w:t>a) Reconocer su derecho a la participación política (art. 23.2 CE).</w:t>
      </w:r>
    </w:p>
    <w:p w:rsidR="00163957" w:rsidRDefault="00163957" w:rsidP="00163957">
      <w:pPr>
        <w:pStyle w:val="TextoNormal"/>
      </w:pPr>
    </w:p>
    <w:p w:rsidR="00163957" w:rsidRDefault="00163957" w:rsidP="00163957">
      <w:pPr>
        <w:pStyle w:val="TextoNormal"/>
      </w:pPr>
      <w:r>
        <w:t>b) Declarar la nulidad del acuerdo la Mesa del Parlamento de Cataluña de 3 de noviembre de 2015, por la que se desestimó la reconsideración planteada del acuerdo del mismo órgano de 27 de octubre de 2015.</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siete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12" w:name="SENTENCIA_2016_109"/>
      <w:r>
        <w:lastRenderedPageBreak/>
        <w:t>SENTENCIA 109/2016, de 7 de junio de 2016</w:t>
      </w:r>
    </w:p>
    <w:bookmarkEnd w:id="112"/>
    <w:p w:rsidR="00163957" w:rsidRDefault="00163957" w:rsidP="00163957">
      <w:pPr>
        <w:pStyle w:val="TtuloResolucin"/>
      </w:pPr>
      <w:r>
        <w:t>Pleno</w:t>
      </w:r>
    </w:p>
    <w:p w:rsidR="00163957" w:rsidRDefault="00163957" w:rsidP="00163957">
      <w:pPr>
        <w:pStyle w:val="TtuloBOE"/>
      </w:pPr>
      <w:r>
        <w:t>(BOE núm. 170, de 15 de julio de 2016)</w:t>
      </w:r>
    </w:p>
    <w:p w:rsidR="00163957" w:rsidRDefault="00163957" w:rsidP="00163957">
      <w:pPr>
        <w:pStyle w:val="TextoNormalCentrado"/>
      </w:pPr>
      <w:r>
        <w:t>ECLI:ES:TC:2016:109</w:t>
      </w:r>
    </w:p>
    <w:p w:rsidR="00163957" w:rsidRDefault="00163957" w:rsidP="00163957">
      <w:pPr>
        <w:pStyle w:val="TextoNormalCentrado"/>
      </w:pPr>
    </w:p>
    <w:p w:rsidR="00163957" w:rsidRDefault="00163957" w:rsidP="00163957">
      <w:pPr>
        <w:pStyle w:val="SntesisDescriptiva"/>
      </w:pPr>
      <w:r>
        <w:t>Recurso de amparo 6207-2015. Promovido por los diputados del Parlamento de Cataluña elegidos en las listas electorales del Partido Popular en relación con diversos acuerdos de la Mesa de la Cámara respecto de los acuerdos adoptados por la Mesa del Parlamento de Cataluña en relación con la admisión a trámite de una propuesta de resolución sobre el inicio del proceso político en Cataluña como consecuencia de los resultados electorales.</w:t>
      </w:r>
    </w:p>
    <w:p w:rsidR="00163957" w:rsidRDefault="00163957" w:rsidP="00163957">
      <w:pPr>
        <w:pStyle w:val="SntesisDescriptiva"/>
      </w:pPr>
    </w:p>
    <w:p w:rsidR="00163957" w:rsidRDefault="00163957" w:rsidP="00163957">
      <w:pPr>
        <w:pStyle w:val="SntesisAnaltica"/>
      </w:pPr>
      <w:r>
        <w:t>Vulneración del derecho a la participación política: rechazo de la solicitud de reconsideración adoptada sin dar audiencia a la junta de portavoces, trámite esencial del procedimiento interno de garantía (STC 107/2016).</w:t>
      </w:r>
    </w:p>
    <w:p w:rsidR="00163957" w:rsidRDefault="00163957" w:rsidP="00163957">
      <w:pPr>
        <w:pStyle w:val="SntesisAnaltica"/>
      </w:pPr>
    </w:p>
    <w:p w:rsidR="00163957" w:rsidRDefault="00163957" w:rsidP="00163957">
      <w:pPr>
        <w:pStyle w:val="Extracto"/>
      </w:pPr>
      <w:r>
        <w:t>1.</w:t>
      </w:r>
      <w:r>
        <w:tab/>
        <w:t>Asunto similar al resuelto por la STC 107/2016 [FFJJ 2 a 4] [FJ 6].</w:t>
      </w:r>
    </w:p>
    <w:p w:rsidR="00163957" w:rsidRDefault="00163957" w:rsidP="00163957">
      <w:pPr>
        <w:pStyle w:val="Extracto"/>
      </w:pPr>
    </w:p>
    <w:p w:rsidR="00163957" w:rsidRDefault="00163957" w:rsidP="00163957">
      <w:pPr>
        <w:pStyle w:val="Extracto"/>
      </w:pPr>
      <w:r>
        <w:t>2.</w:t>
      </w:r>
      <w:r>
        <w:tab/>
        <w:t>Función primordial de toda asamblea parlamentaria, también por tanto del Parlamento de Cataluña (arts. 152.1 CE y 55.1 EAC), es la de representar a la ciudadanía, en modo que los elegidos por el cuerpo electoral para realizarla se atengan a los Reglamentos de las Cámaras, asegurando una participación no discriminatoria de unos y otros representantes y el respeto de las minorías, sin el cual el principio de mayoría para la adopción final de las decisiones, igualmente irrenunciable, pondría en riesgo su legitimidad [FJ 5].</w:t>
      </w:r>
    </w:p>
    <w:p w:rsidR="00163957" w:rsidRDefault="00163957" w:rsidP="00163957">
      <w:pPr>
        <w:pStyle w:val="Extracto"/>
      </w:pPr>
    </w:p>
    <w:p w:rsidR="00163957" w:rsidRDefault="00163957" w:rsidP="00163957">
      <w:pPr>
        <w:pStyle w:val="Extracto"/>
      </w:pPr>
      <w:r>
        <w:t>3.</w:t>
      </w:r>
      <w:r>
        <w:tab/>
        <w:t>Los portavoces no pueden ser convocados a Junta para el ejercicio de las funciones de este órgano, en tanto no estén, todos ellos, nombrados por sus grupos respectivos, proceso que sólo culminará cuando estén constituidos todos los grupos parlamentarios, incluido el grupo mixto y tal situación no podrá darse por consumada, si hay diputados, en número y con plazo para constituir grupo propio, aún no integrados en ninguno de los ya formados y de los que resultaba razonable presumir que se constituirían en grupo específico. La convocatoria presidencial a una “Junta de Portavoces” llamada a ejercer una de las funciones de este órgano fue por ello una convocatoria irregular [FJ 6].</w:t>
      </w:r>
    </w:p>
    <w:p w:rsidR="00163957" w:rsidRDefault="00163957" w:rsidP="00163957">
      <w:pPr>
        <w:pStyle w:val="Extracto"/>
      </w:pPr>
    </w:p>
    <w:p w:rsidR="00163957" w:rsidRDefault="00163957" w:rsidP="00163957">
      <w:pPr>
        <w:pStyle w:val="Extracto"/>
      </w:pPr>
      <w:r>
        <w:t>4.</w:t>
      </w:r>
      <w:r>
        <w:tab/>
        <w:t>La decisión de la Presidencia del Parlamento autonómico de realizar una convocatoria prematura, y por ello irregular, de la Junta de Portavoces de la Cámara infringió el derecho reglamentario de los diputados elegidos en las listas presentadas por el Partido Popular a constituirse, sin perturbaciones ilegítimas y con eficacia plena, en grupo parlamentario, violando, por lo mismo, su derecho fundamental y con ello el de los ciudadanos a los que representan. Procede así declararlo y dictar, como se hará en el fallo, la nulidad de la referida resolución de convocatoria [FJ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w:t>
      </w:r>
      <w:r>
        <w:lastRenderedPageBreak/>
        <w:t>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6207-2015, interpuesto por el Procurador de los Tribunales don Manuel Sánchez-Puelles y González-Carvajal en nombre y representación de don Xavier García Albiol, don José Enrique Millo i Rocher, don Santiago Rodríguez i Serra, doña Andrea Levy Soler, don Alejandro Fernández Álvarez, doña María José García Cuevas, doña Esperanza García González, don Juan Bautista Milian Querol, don Alberto Villagrasa Gil y doña Marisa Xandri Pujol, todos ellos diputados del Parlamento de Cataluña, asistidos por el Letrado don Alberto Durán Ruiz de Huidobro, contra los siguientes actos: Acuerdos de la Mesa del Parlamento de Cataluña, de 27 y 28 de octubre de 2015; Acuerdo de la Presidenta del mismo Parlamento, de 2 de noviembre de 2015 y, por último, Acuerdos de la Mesa del propio Parlamento, de 3 de noviembre de 2015. Han comparecido y formulado alegaciones el Ministerio Fiscal y los Letrados del Parlamento de Cataluña. Ha sido Ponente el Presidente, don Francisco Pérez de los Cobos Orihuel,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Mediante escrito registrado en el Tribunal Constitucional el día 4 de noviembre de 2015, el Procurador de los Tribunales don Manuel Sánchez-Puelles y González-Carvajal promovió recurso de amparo en nombre y representación de don Xavier García Albiol, don José Enrique Millo i Rocher, don Santiago Rodríguez i Serra, doña Andrea Levy Soler, don Alejandro Fernández Álvarez, doña María José García Cuevas, doña Esperanza García González, don Juan Bautista Milian Querol, don Alberto Villagrasa Gil y doña Marisa Xandri Pujol, todos ellos diputados del Parlamento de Cataluña elegidos en su día en las listas presentadas por el Partido Popular. El recurso de los demandantes, asistidos por el Letrado don Alberto Durán Ruiz de Huidobro, se dirige contra los siguientes actos: en primer lugar, contra el acuerdo de la Mesa del Parlamento de Cataluña, de 27 de octubre de 2015, por el que se admite a trámite la “propuesta de resolución sobre el inicio de un proceso político en Cataluña como consecuencia de los resultados electorales” presentada por los grupos parlamentarios de Junts pel Sí (JxSí) y Candidatura d’Unitat Popular (CUP); en segundo lugar, contra el acuerdo de la misma Mesa, de 28 de octubre de 2015, por el que se acuerda la tramitación de la referida propuesta de resolución por el procedimiento de urgencia; en tercer lugar, contra el acuerdo de 2 de noviembre del mismo año, de la Presidenta del Parlamento de Cataluña, por el que se convoca la Junta de Portavoces para el siguiente día 3, a las 10:15 horas, y, por último, contra los acuerdos de la Mesa del Parlamento de Cataluña, de 3 de noviembre de 2015, por los que, respectivamente, se desestiman escritos de petición </w:t>
      </w:r>
      <w:r>
        <w:lastRenderedPageBreak/>
        <w:t>de reconsideración presentados por grupos parlamentarios y se acuerda abrir trámite de enmiendas sobre aquella propuesta de resolución.</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expuestos en la demanda son, en síntesis, los siguientes:</w:t>
      </w:r>
    </w:p>
    <w:p w:rsidR="00163957" w:rsidRDefault="00163957" w:rsidP="00163957">
      <w:pPr>
        <w:pStyle w:val="TextoNormal"/>
      </w:pPr>
    </w:p>
    <w:p w:rsidR="00163957" w:rsidRDefault="00163957" w:rsidP="00163957">
      <w:pPr>
        <w:pStyle w:val="TextoNormal"/>
      </w:pPr>
      <w:r>
        <w:t>a) El 27 de octubre de 2015 los portavoces de los grupos parlamentarios JxSí y CUP presentaron una propuesta de resolución para su debate en el Pleno del Parlamento de Cataluña por el procedimiento de urgencia “sobre el inicio de un proceso político en Cataluña como consecuencia de los resultados electorales”. El texto de dicha propuesta, en la transcripción que la demanda incorpora, es el siguiente:</w:t>
      </w:r>
    </w:p>
    <w:p w:rsidR="00163957" w:rsidRDefault="00163957" w:rsidP="00163957">
      <w:pPr>
        <w:pStyle w:val="TextoNormal"/>
      </w:pPr>
    </w:p>
    <w:p w:rsidR="00163957" w:rsidRDefault="00163957" w:rsidP="00163957">
      <w:pPr>
        <w:pStyle w:val="TextoNormal"/>
      </w:pPr>
      <w:r>
        <w:t>“A LA MESA DEL PARLAMENT</w:t>
      </w:r>
    </w:p>
    <w:p w:rsidR="00163957" w:rsidRDefault="00163957" w:rsidP="00163957">
      <w:pPr>
        <w:pStyle w:val="TextoNormal"/>
      </w:pPr>
    </w:p>
    <w:p w:rsidR="00163957" w:rsidRDefault="00163957" w:rsidP="00163957">
      <w:pPr>
        <w:pStyle w:val="TextoNormal"/>
      </w:pPr>
      <w:r>
        <w:t>Jordi Turull i Negre y Marta Rovira i Vergés como presidente y portavoz del GP de junts pel sí, y Antonio Baños Boncompain y Anna Gabriel i Sabaté, como presidente y portavoz del GP de la candidatura d’unitat popular, de acuerdo con lo establecido en los artículos 164 y 165 del Reglamento del Parlamento, presentan la propuesta de resolución siguiente para que sea sustanciada ante el Pleno del Parlamento por el procedimiento de urgencia. A los efectos, solicitamos a la vez que sea convocada con carácter de urgencia la Junta de Portavoces.</w:t>
      </w:r>
    </w:p>
    <w:p w:rsidR="00163957" w:rsidRDefault="00163957" w:rsidP="00163957">
      <w:pPr>
        <w:pStyle w:val="TextoNormal"/>
      </w:pPr>
    </w:p>
    <w:p w:rsidR="00163957" w:rsidRDefault="00163957" w:rsidP="00163957">
      <w:pPr>
        <w:pStyle w:val="TextoNormal"/>
      </w:pPr>
      <w:r>
        <w:t>De acuerdo con el mandato democrático obtenido el 27 de septiembre, los grupos parlamentarios abajo firmantes presentan esta propuesta de resolución.</w:t>
      </w:r>
    </w:p>
    <w:p w:rsidR="00163957" w:rsidRDefault="00163957" w:rsidP="00163957">
      <w:pPr>
        <w:pStyle w:val="TextoNormal"/>
      </w:pPr>
    </w:p>
    <w:p w:rsidR="00163957" w:rsidRDefault="00163957" w:rsidP="00163957">
      <w:pPr>
        <w:pStyle w:val="TextoNormal"/>
      </w:pPr>
      <w:r>
        <w:t>PROPUESTA DE RESOLUCIÓN</w:t>
      </w:r>
    </w:p>
    <w:p w:rsidR="00163957" w:rsidRDefault="00163957" w:rsidP="00163957">
      <w:pPr>
        <w:pStyle w:val="TextoNormal"/>
      </w:pPr>
    </w:p>
    <w:p w:rsidR="00163957" w:rsidRDefault="00163957" w:rsidP="00163957">
      <w:pPr>
        <w:pStyle w:val="TextoNormal"/>
      </w:pPr>
      <w:r>
        <w:t>El Parlamento de Cataluña:</w:t>
      </w:r>
    </w:p>
    <w:p w:rsidR="00163957" w:rsidRDefault="00163957" w:rsidP="00163957">
      <w:pPr>
        <w:pStyle w:val="TextoNormal"/>
      </w:pPr>
    </w:p>
    <w:p w:rsidR="00163957" w:rsidRDefault="00163957" w:rsidP="00163957">
      <w:pPr>
        <w:pStyle w:val="TextoNormal"/>
      </w:pPr>
      <w:r>
        <w:t>PRIMERO - Constata que el mandato democrático obtenido en las pasadas elecciones del 27 de septiembre del 2015 se basa en una mayoría de escaños de las fuerzas parlamentarias con el objetivo de que Cataluña se convierta en un estado independiente y con una amplia mayoría soberanista en votos y escaños que apuesta por la apertura de un proceso constituyente no subordinado.</w:t>
      </w:r>
    </w:p>
    <w:p w:rsidR="00163957" w:rsidRDefault="00163957" w:rsidP="00163957">
      <w:pPr>
        <w:pStyle w:val="TextoNormal"/>
      </w:pPr>
    </w:p>
    <w:p w:rsidR="00163957" w:rsidRDefault="00163957" w:rsidP="00163957">
      <w:pPr>
        <w:pStyle w:val="TextoNormal"/>
      </w:pPr>
      <w:r>
        <w:t>SEGUNDO.- Declara solemnemente el inicio del proceso de creación del estado catalán independiente en forma de república.</w:t>
      </w:r>
    </w:p>
    <w:p w:rsidR="00163957" w:rsidRDefault="00163957" w:rsidP="00163957">
      <w:pPr>
        <w:pStyle w:val="TextoNormal"/>
      </w:pPr>
    </w:p>
    <w:p w:rsidR="00163957" w:rsidRDefault="00163957" w:rsidP="00163957">
      <w:pPr>
        <w:pStyle w:val="TextoNormal"/>
      </w:pPr>
      <w:r>
        <w:t>TERCERO.- Proclama la apertura de un proceso constituyente ciudadano, participativo, abierto, integrador y activo para preparar las bases de la futura constitución catalana.</w:t>
      </w:r>
    </w:p>
    <w:p w:rsidR="00163957" w:rsidRDefault="00163957" w:rsidP="00163957">
      <w:pPr>
        <w:pStyle w:val="TextoNormal"/>
      </w:pPr>
    </w:p>
    <w:p w:rsidR="00163957" w:rsidRDefault="00163957" w:rsidP="00163957">
      <w:pPr>
        <w:pStyle w:val="TextoNormal"/>
      </w:pPr>
      <w:r>
        <w:t>CUARTO.- Insta al futuro gobierno a adoptar las medidas necesarias para hacer efectivas estas declaraciones.</w:t>
      </w:r>
    </w:p>
    <w:p w:rsidR="00163957" w:rsidRDefault="00163957" w:rsidP="00163957">
      <w:pPr>
        <w:pStyle w:val="TextoNormal"/>
      </w:pPr>
    </w:p>
    <w:p w:rsidR="00163957" w:rsidRDefault="00163957" w:rsidP="00163957">
      <w:pPr>
        <w:pStyle w:val="TextoNormal"/>
      </w:pPr>
      <w:r>
        <w:t>QUINTO.- Considera pertinente iniciar en el plazo máximo de treinta días la tramitación de las leyes de proceso constituyente, de seguridad social y de hacienda pública.</w:t>
      </w:r>
    </w:p>
    <w:p w:rsidR="00163957" w:rsidRDefault="00163957" w:rsidP="00163957">
      <w:pPr>
        <w:pStyle w:val="TextoNormal"/>
      </w:pPr>
    </w:p>
    <w:p w:rsidR="00163957" w:rsidRDefault="00163957" w:rsidP="00163957">
      <w:pPr>
        <w:pStyle w:val="TextoNormal"/>
      </w:pPr>
      <w:r>
        <w:lastRenderedPageBreak/>
        <w:t>SEXTO.- Como depositario de la soberanía y expresión del poder constituyente, reitera que este Parlamento y el proceso de desconexión democrática no se supeditarán a las decisiones de las instituciones del Estado Español, en particular del Tribunal Constitucional, a quien considera deslegitimado y sin competencia a raíz de la sentencia de junio de 2010 sobre el Estatuto de Autonomía de Cataluña votado previamente por el pueblo en referéndum, entre otros.</w:t>
      </w:r>
    </w:p>
    <w:p w:rsidR="00163957" w:rsidRDefault="00163957" w:rsidP="00163957">
      <w:pPr>
        <w:pStyle w:val="TextoNormal"/>
      </w:pPr>
    </w:p>
    <w:p w:rsidR="00163957" w:rsidRDefault="00163957" w:rsidP="00163957">
      <w:pPr>
        <w:pStyle w:val="TextoNormal"/>
      </w:pPr>
      <w:r>
        <w:t>SÉPTIMO.- Adoptará las medidas necesarias para abrir este proceso de desconexión democrática, masiva, sostenida y pacífica con el Estado Español de manera que permita el apoderamiento de la ciudadanía a todos los niveles y en base a una participación abierta, activa e integradora.</w:t>
      </w:r>
    </w:p>
    <w:p w:rsidR="00163957" w:rsidRDefault="00163957" w:rsidP="00163957">
      <w:pPr>
        <w:pStyle w:val="TextoNormal"/>
      </w:pPr>
    </w:p>
    <w:p w:rsidR="00163957" w:rsidRDefault="00163957" w:rsidP="00163957">
      <w:pPr>
        <w:pStyle w:val="TextoNormal"/>
      </w:pPr>
      <w:r>
        <w:t>OCTAVO.- Insta al futuro gobierno a cumplir exclusivamente aquellas normas o mandatos emanados de esta Cámara, legítima y democrática, a fin de blindar los derechos fundamentales que puedan estar afectados por decisiones de las instituciones del Estado Español.</w:t>
      </w:r>
    </w:p>
    <w:p w:rsidR="00163957" w:rsidRDefault="00163957" w:rsidP="00163957">
      <w:pPr>
        <w:pStyle w:val="TextoNormal"/>
      </w:pPr>
    </w:p>
    <w:p w:rsidR="00163957" w:rsidRDefault="00163957" w:rsidP="00163957">
      <w:pPr>
        <w:pStyle w:val="TextoNormal"/>
      </w:pPr>
      <w:r>
        <w:t>NOVENO.- Declara la voluntad de inicio de negociaciones con el fin de hacer efectivo el mandato democrático de creación de una estado catalán independiente en forma de República y, asimismo, lo pone en conocimiento del Estado Español, de la Unión Europea y del conjunto de la comunidad internacional.”</w:t>
      </w:r>
    </w:p>
    <w:p w:rsidR="00163957" w:rsidRDefault="00163957" w:rsidP="00163957">
      <w:pPr>
        <w:pStyle w:val="TextoNormal"/>
      </w:pPr>
    </w:p>
    <w:p w:rsidR="00163957" w:rsidRDefault="00163957" w:rsidP="00163957">
      <w:pPr>
        <w:pStyle w:val="TextoNormal"/>
      </w:pPr>
      <w:r>
        <w:t>b) Tal propuesta fue admitida a trámite por la Mesa del Parlamento el 27 de octubre de 2015 [arts. 164 y ss. del Reglamento del Parlamento de Cataluña (RPC en lo sucesivo)], acordando la misma Mesa, el siguiente día 28 de octubre, su tramitación por el procedimiento de urgencia. En esta última fecha, los grupos parlamentarios de Ciutadans y Socialista presentaron sendos escritos de reconsideración de dichos acuerdos de la Mesa, conforme al artículo 38 RPC. Los diputados ahora recurrentes en amparo, no constituidos aún en grupo parlamentario, se adhirieron a título individual a dichos escritos. Con fecha 2 de noviembre de 2015, la Presidenta del Parlamento convocó la Junta de Portavoces para el siguiente día, con el único punto del orden del día de recabar el criterio de los portavoces respecto de los escritos de reconsideración antes referidos. El día 3 de noviembre —se indica en la demanda— la reunión de portavoces acordó declararse constituida como Junta de Portavoces, pasando a debatir aquel único punto del orden del día. En la misma fecha, la Mesa dio por cumplido el trámite de audiencia a la Junta de Portavoces, desestimó los escritos de reconsideración, confirmando la admisión a trámite de la propuesta y su tramitación por el procedimiento de urgencia y abriendo plazo para la presentación de enmiendas.</w:t>
      </w:r>
    </w:p>
    <w:p w:rsidR="00163957" w:rsidRDefault="00163957" w:rsidP="00163957">
      <w:pPr>
        <w:pStyle w:val="TextoNormal"/>
      </w:pPr>
    </w:p>
    <w:p w:rsidR="00163957" w:rsidRDefault="00163957" w:rsidP="00163957">
      <w:pPr>
        <w:pStyle w:val="TextoNormal"/>
      </w:pPr>
      <w:r>
        <w:t xml:space="preserve">c) Reseña a continuación la demanda que el Parlamento de Cataluña celebró su sesión constitutiva el 26 de octubre de 2015 y que, conforme al artículo 26.4 RPC, los grupos parlamentarios tienen un plazo de ocho días hábiles para constituirse, contados desde el 27 de octubre, plazo que vencería el 5 de noviembre y que se prorrogaría hasta las 9:30 horas del siguiente día 6 en virtud de los artículos 102 y 103 RPC y conforme al acuerdo adoptado por la Mesa en sus normas de funcionamiento aprobadas el 27 de octubre de 2015. Observan los demandantes que, a la fecha de presentación de este recurso de amparo, no tienen formado grupo parlamentario, pese a lo cual la Presidenta convocó una Junta de Portavoces el día 2 de noviembre de 2015 para el siguiente día 3, con el orden del día ya dicho. Se dice también en la demanda que la Presidenta, “[s]abiendo lo incorrecto de su actuación”, dirigió </w:t>
      </w:r>
      <w:r>
        <w:lastRenderedPageBreak/>
        <w:t>escrito a los hoy demandantes invitándoles a enviar un representante a la Junta convocada. La reunión de portavoces decidió, se dice en la demanda, autoconstituirse en Junta de Portavoces, aunque no hubiera vencido el plazo para la constitución de grupos y los recurrentes no hubieran ejercido aún ese derecho y procedió a debatir sobre las pretensiones de reconsideración presentadas. Tras la reunión de la Junta, la Mesa se reunió esa misma mañana para resolver las peticiones de reconsideración, al entender que la Junta de Portavoces había sido oída de conformidad con lo dispuesto en el artículo 38.3 RPC.</w:t>
      </w:r>
    </w:p>
    <w:p w:rsidR="00163957" w:rsidRDefault="00163957" w:rsidP="00163957">
      <w:pPr>
        <w:pStyle w:val="TextoNormal"/>
      </w:pPr>
    </w:p>
    <w:p w:rsidR="00163957" w:rsidRDefault="00163957" w:rsidP="00163957">
      <w:pPr>
        <w:pStyle w:val="TextoNormal"/>
      </w:pPr>
      <w:r w:rsidRPr="00163957">
        <w:rPr>
          <w:rStyle w:val="NumeroAFNegritaCaracter"/>
        </w:rPr>
        <w:t>3</w:t>
      </w:r>
      <w:r>
        <w:t>. La fundamentación en Derecho de la demanda de amparo puede ser resumida como sigue:</w:t>
      </w:r>
    </w:p>
    <w:p w:rsidR="00163957" w:rsidRDefault="00163957" w:rsidP="00163957">
      <w:pPr>
        <w:pStyle w:val="TextoNormal"/>
      </w:pPr>
    </w:p>
    <w:p w:rsidR="00163957" w:rsidRDefault="00163957" w:rsidP="00163957">
      <w:pPr>
        <w:pStyle w:val="TextoNormal"/>
      </w:pPr>
      <w:r>
        <w:t xml:space="preserve">a) Tras referirse al cumplimiento de los requisitos procesales, señalan los demandantes que la propuesta de resolución admitida a trámite por la Mesa del Parlamento es contraria a Derecho e inconstitucional de forma palmaria y evidente, pues de modo notorio y grosero pretende el establecimiento de una Cámara con poderes ilimitados e incita a la desobediencia frente a nuestro sistema constitucional de convivencia. La propuesta es de clara y total ruptura con el ordenamiento constitucional y estatutario, al autoproclamar al Parlamento como depositario de una soberanía catalana que, en tanto que expresión de un poder constituyente, procedería a declarar dicho proceso, estableciéndose como único poder </w:t>
      </w:r>
      <w:r w:rsidRPr="00163957">
        <w:rPr>
          <w:i/>
        </w:rPr>
        <w:t>de facto</w:t>
      </w:r>
      <w:r>
        <w:t xml:space="preserve"> en Cataluña y anulando todos los demás. El Parlamento de Cataluña y su Mesa carecen de cualquier legitimidad al margen de la Constitución y del Estatuto de Autonomía de Cataluña (EAC, en lo sucesivo), de modo que la propuesta ignora y excluye los fundamentos básicos de nuestro sistema constitucional, como son la democracia representativa, la soberanía nacional, la monarquía parlamentaria, el principio de legalidad, la división de poderes, la seguridad jurídica y el sistema autonómico.</w:t>
      </w:r>
    </w:p>
    <w:p w:rsidR="00163957" w:rsidRDefault="00163957" w:rsidP="00163957">
      <w:pPr>
        <w:pStyle w:val="TextoNormal"/>
      </w:pPr>
    </w:p>
    <w:p w:rsidR="00163957" w:rsidRDefault="00163957" w:rsidP="00163957">
      <w:pPr>
        <w:pStyle w:val="TextoNormal"/>
      </w:pPr>
      <w:r>
        <w:t>Se argumenta a continuación la obligación de la Mesa de inadmitir las iniciativas que vulneren de forma palmaria y evidente la Constitución y el Derecho, pues ante este ataque frontal contra la legitimidad democrática del Parlamento no puede la Mesa escudarse en que su labor se ha de limitar a una mera comprobación de los requisitos formales de las propuestas de resolución. En una situación como la que nos ocupa, la Mesa tiene la facultad de inadmitir de plano la iniciativa, afirmación junto a la que se citan las SSTC 205/1990, 95/1994 y 88/2012, así como el ATC 135/2004. Nos encontramos ante un supuesto primario o previo de control de la Mesa de cualquier asamblea legislativa cuando se presentan ante ella iniciativas que de forma grosera van en contra de la Constitución y del Estado del Derecho, haciéndose notar que la propia Mesa del Parlamento ha rechazado, en legislaturas anteriores, iniciativas cuyo contenido era evidentemente contrario al Estado de Derecho. Se deja constancia, también, de que la Mesa no podría dar en tales casos ninguna tramitación parlamentaria, al no existir cauce procedimental para ello. La Mesa del Parlamento no sólo tiene la facultad de inadmitir de plano cualquier iniciativa manifiestamente inconstitucional, sino que tiene además la obligación de proteger la supremacía constitucional, fuente exclusiva de los poderes de la Cámara representativa. Cabe aquí aplicar por analogía la línea jurisprudencial que reconoce la obligación de la Mesa en orden a valorar el contenido material de las iniciativas e inadmitir aquellas que no guarden un mínimo de conexión material con la iniciativa que tratan de modificar (se citan las SSTC 119/2011, 136/2011 y 209/2012). Al igual que en la jurisprudencia que se evoca, la admisión a trámite de esta iniciativa también vulnera el ejercicio de la función representativa (art. 23 CE).</w:t>
      </w:r>
    </w:p>
    <w:p w:rsidR="00163957" w:rsidRDefault="00163957" w:rsidP="00163957">
      <w:pPr>
        <w:pStyle w:val="TextoNormal"/>
      </w:pPr>
    </w:p>
    <w:p w:rsidR="00163957" w:rsidRDefault="00163957" w:rsidP="00163957">
      <w:pPr>
        <w:pStyle w:val="TextoNormal"/>
      </w:pPr>
      <w:r>
        <w:lastRenderedPageBreak/>
        <w:t>En efecto, al admitir a trámite esta iniciativa la Mesa estaría vulnerando el artículo 23 CE al alterar la propia naturaleza de este derecho fundamental de representación política y los derechos y facultades, en este caso, de los Diputados del Parlamento de Cataluña. Cita la demanda, a este respecto, la STC 42/2014, que reconoció expresamente el carácter jurídico de la Resolución 5/X del Parlamento de Cataluña, respecto de la cual la que ahora nos ocupa supone un paso cuantitativo superior, pues, a diferencia de aquélla, la actual atribuye al Parlamento poderes ilimitados, al margen de cualquier otro poder del Estado. Dicho esto, se recuerda que la jurisprudencia constitucional reitera que el derecho recogido en el artículo 23.2 CE es de configuración legal y que incluye no sólo el derecho de los ciudadanos a acceder a cargos públicos, sino el de mantenerse en ellos sin perturbaciones ilegítimas y siempre de conformidad con lo que la ley disponga, sin constreñir la naturaleza misma del derecho de representación (SSTC 36/1990, 220/1991 y 38/1999, entre otras). Este derecho fundamental se conforma de acuerdo con lo dispuesto en la Constitución y en las leyes que la desarrollan. En casos anteriores, el Tribunal Constitucional ha resuelto en amparo supuestos en los que las mesas inadmitían determinada iniciativa, pero en el caso actual es la calificación de la Mesa la que modificaría sustancialmente la naturaleza de la representación recogida en el artículo 23 CE, en la medida en que la admisión a trámite de la propuesta objeto del presente recurso supone la posibilidad de debatir sobre si dicho derecho fundamental supera la propia configuración que establecen la Constitución y la legalidad vigente. Tanto el sufragio activo como el pasivo han de ejercerse dentro del marco constitucional y con el alcance previsto en la Constitución, de modo que una resolución o declaración de radical ruptura con el marco constitucional por parte de un representante estaría vulnerando no sólo el derecho de sufragio activo de los electores, sea cual sea su opinión política, sino también el pasivo del propio representante a acceder al cargo público representativo (se cita la STC 101/1983). Por lo tanto, la posibilidad de debatir sobre el carácter constituyente o no del Parlamento de Cataluña constituido de conformidad con la legalidad vigente supone una manifiesta extralimitación de sus propias funciones y de la propia naturaleza del derecho fundamental de configuración legal derivado del artículo 23 CE. No sólo la resolución sería, en su caso, contraria al ordenamiento jurídico, sino que el propio debate estaría violentando la naturaleza del artículo 23 CE, pues no cabe modificar dicha naturaleza, mediante una declaración de carácter jurídico, al margen de los cauces constitucionales y legales establecidos (se cita la STC 40/2003).</w:t>
      </w:r>
    </w:p>
    <w:p w:rsidR="00163957" w:rsidRDefault="00163957" w:rsidP="00163957">
      <w:pPr>
        <w:pStyle w:val="TextoNormal"/>
      </w:pPr>
    </w:p>
    <w:p w:rsidR="00163957" w:rsidRDefault="00163957" w:rsidP="00163957">
      <w:pPr>
        <w:pStyle w:val="TextoNormal"/>
      </w:pPr>
      <w:r>
        <w:t>b) El artículo 23 CE queda también infringido como consecuencia de una tramitación de las peticiones de reconsideración en contra de las disposiciones reglamentarias, vulnerándose los derechos y facultades de los diputados a constituir grupo parlamentario. Se cita el artículo 38 RPC, en el que se regula la reconsideración de una decisión de la Mesa por el grupo parlamentario que discrepe de ella, solicitud que se ha de resolver en plazo de cuatro días por la propia Mesa, oída la Junta de Portavoces, Junta que está constituida por los portavoces de cada grupo parlamentario y presidida por el presidente del Parlamento (art. 35.1 RPC). Los grupos parlamentarios, a su vez, han de constituirse en el plazo de ocho días hábiles, a contar desde el día siguiente al de la constitución del Parlamento (art. 26.4 RPC), constitución que tuvo lugar en sesión del día 26 de octubre de 2015, de modo que aquel plazo de ocho días vencería, conforme al artículo 102 RPC, el 5 de noviembre, admitiéndose su prórroga hasta las 9.30 horas del siguiente día conforme a las propias normas de funcionamiento que la Mesa se dio en su reunión del día 27 de octubre.</w:t>
      </w:r>
    </w:p>
    <w:p w:rsidR="00163957" w:rsidRDefault="00163957" w:rsidP="00163957">
      <w:pPr>
        <w:pStyle w:val="TextoNormal"/>
      </w:pPr>
    </w:p>
    <w:p w:rsidR="00163957" w:rsidRDefault="00163957" w:rsidP="00163957">
      <w:pPr>
        <w:pStyle w:val="TextoNormal"/>
      </w:pPr>
      <w:r>
        <w:lastRenderedPageBreak/>
        <w:t>Un órgano cuyos miembros aún no se han designado, por no haber transcurrido el plazo reglamentario para ello, no puede convocarse lícitamente de acuerdo con las propias reglas del juego parlamentario y, en consecuencia, la convocatoria antes de la terminación del plazo para la designación de portavoces supone que la Junta que los reúne no puede en ningún caso ejercer las funciones que le confiere el Reglamento del Parlamento de Cataluña. Sin embargo, no sólo la presidencia de la Cámara decidió convocar la Junta para el día 3 de noviembre a las 10:15 horas, sino que, además, la Mesa del Parlamento decidió considerar que dicha Junta había sido oída a los efectos del artículo 38.3 RPC, procediendo a continuación a desestimar las peticiones de reconsideración presentadas. La convocatoria de una supuesta Junta dirigida a los portavoces designados antes de que transcurra el plazo reglamentario para la constitución de los grupos parlamentarios estaría, en primer lugar, ignorando a los diputados que aún no se han constituido en grupo y ello a pesar de que tal constitución supone un elemento fundamental del núcleo de representación política de los diputados recogido en el artículo 23.2 CE (se citan las SSTC 64/2002 y 141/2007). Los diputados recurrentes, no constituidos aún en grupo parlamentario, se han visto privados de su legítima representación y de la defensa de su posición en la Junta, a pesar de que dichos diputados gozan aún de varios días hábiles para poder constituirse en grupo, lo que no se compensa con la invitación a estos mismos diputados para que designen un representante que pueda asistir y participar en la reunión. Dicha invitación constituye un reconocimiento implícito por la presidencia de la Cámara de la irregularidad del procedimiento que pone a los diputados elegidos en las listas del Partido Popular en una situación de clara inferioridad respecto del resto de los diputados, a cuyo efecto cita la demanda la STC 64/2002. En segundo lugar, al no esperar a la formación lícita y reglamentaria de la Junta de Portavoces, la Mesa ha decidido incumplir de forma manifiesta el propio procedimiento reglamentario (art. 38.3 RPC), ignorando, por tanto, la audiencia de la Junta de Portavoces, que sólo se puede considerar como tal si está lícitamente constituida y convocada para poder decidir sobre el fondo de las peticiones de reconsideración. En otras palabras, la convocatoria no es de una Junta de Portavoces legítima, de acuerdo con el artículo 35 RPC, y carecería, en consecuencia, de sus facultades, no cumpliéndose por lo tanto el requisito de ser oída la Junta de Portavoces y sin que pueda la Mesa resolver definitivamente las peticiones de reconsideración. Este vicio no puede ser subsanado mediante una declaración de la mayoría de los integrantes de la reunión autoproclamándose como Junta de Portavoces, lo que constituye otra más de las irregularidades de este procedimiento. Antes de que transcurra el plazo reglamentario de constitución de los grupos parlamentarios no cabe convocar un órgano compuesto, justamente, por los portavoces de los mismos. Esta vulneración de las reglas del procedimiento reglamentario por parte de la presidencia y de la propia Mesa constituye una lesión palmaria del derecho enunciado en el artículo 23.2 CE (se cita, al efecto, la STC 227/2004).</w:t>
      </w:r>
    </w:p>
    <w:p w:rsidR="00163957" w:rsidRDefault="00163957" w:rsidP="00163957">
      <w:pPr>
        <w:pStyle w:val="TextoNormal"/>
      </w:pPr>
    </w:p>
    <w:p w:rsidR="00163957" w:rsidRDefault="00163957" w:rsidP="00163957">
      <w:pPr>
        <w:pStyle w:val="TextoNormal"/>
      </w:pPr>
      <w:r>
        <w:t>La arbitrariedad de la Mesa y de su presidenta llevan, por lo tanto, a la lesión del derecho fundamental de los recurrentes al ejercicio, en condiciones de plenitud e igualdad, del derecho de representación política (art. 23.2 CE).</w:t>
      </w:r>
    </w:p>
    <w:p w:rsidR="00163957" w:rsidRDefault="00163957" w:rsidP="00163957">
      <w:pPr>
        <w:pStyle w:val="TextoNormal"/>
      </w:pPr>
    </w:p>
    <w:p w:rsidR="00163957" w:rsidRDefault="00163957" w:rsidP="00163957">
      <w:pPr>
        <w:pStyle w:val="TextoNormal"/>
      </w:pPr>
      <w:r>
        <w:t xml:space="preserve">c) La demanda argumenta la especial transcendencia constitucional del recurso [art. 50.1 b) LOTC] por referencia a que los acuerdos recurridos ignoran la propia existencia de la Constitución, su aplicación y su eficacia, de forma palmaria y evidente, y en la consideración de que dichos acuerdos modifican sustancialmente el contenido del artículo 23 CE, al </w:t>
      </w:r>
      <w:r>
        <w:lastRenderedPageBreak/>
        <w:t xml:space="preserve">atribuir a los miembros del Parlamento de Cataluña un carácter constituyente </w:t>
      </w:r>
      <w:r w:rsidRPr="00163957">
        <w:rPr>
          <w:i/>
        </w:rPr>
        <w:t>de facto</w:t>
      </w:r>
      <w:r>
        <w:t>, absolutamente contrario al derecho de representación política. Asimismo se vulnera el derecho de los recurrentes a formar grupo parlamentario, para lo que es relevante el respeto a las formalidades existentes al efecto.</w:t>
      </w:r>
    </w:p>
    <w:p w:rsidR="00163957" w:rsidRDefault="00163957" w:rsidP="00163957">
      <w:pPr>
        <w:pStyle w:val="TextoNormal"/>
      </w:pPr>
    </w:p>
    <w:p w:rsidR="00163957" w:rsidRDefault="00163957" w:rsidP="00163957">
      <w:pPr>
        <w:pStyle w:val="TextoNormal"/>
      </w:pPr>
      <w:r>
        <w:t xml:space="preserve">Se concluyó solicitando que se dictara Sentencia estimatoria del recurso en la que se declarara la vulneración del artículo 23 CE y se anularan los acuerdos recurridos. En otrosí, al amparo del artículo 56.6 de la Ley Orgánica del Tribunal Constitucional (LOTC), se solicitó la suspensión </w:t>
      </w:r>
      <w:r w:rsidRPr="00163957">
        <w:rPr>
          <w:i/>
        </w:rPr>
        <w:t>inaudita parte</w:t>
      </w:r>
      <w:r>
        <w:t>, previa a la admisión del recurso, de los actos recurridos, por concurrir un supuesto de urgencia excepcional (se citan los AATC 16/2011 y 125/2003, entre otras resoluciones). De no adoptarse tal medida, el amparo perdería su finalidad de forma evidente, ya que la deliberación y votación plenaria de la propuesta de la resolución se ha anunciado para el 9 de noviembre. Por lo demás, ningún perjuicio se irroga al interés público por la suspensión, siendo más bien el interés general de España el que resultaría dañado por la no suspensión.</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4 de noviembre de 2015, el Pleno, conforme establece el artículo 10.1 n) LOTC, acordó, a propuesta de la Sala Primera, recabar para sí el conocimiento de este recurso de amparo.</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del Pleno de 5 de noviembre de 2015 se acordó admitir a trámite el presente recurso de amparo, apreciando que ofrece especial trascendencia constitucional (art. 50.1 LOTC) porque plantea cuestiones sobre las que no hay doctrina de este Tribunal y el asunto suscitado trasciende del caso concreto, planteando una cuestión jurídica de relevante y general repercusión social, con consecuencias políticas generales [STC 155/2009, FJ 2 a) y g)]. En aplicación de lo dispuesto en el artículo 51 LOTC, se acordó se dirigiera atenta comunicación al Parlamento de Cataluña a fin de que, en plazo que no excediera de diez días, remitiera certificación o fotocopia adverada de las actuaciones parlamentarias correspondientes a los acuerdos impugnados, acompañándose a la mencionada comunicación copia de la demanda, a efectos de la personación de la Cámara en el indicado plazo.</w:t>
      </w:r>
    </w:p>
    <w:p w:rsidR="00163957" w:rsidRDefault="00163957" w:rsidP="00163957">
      <w:pPr>
        <w:pStyle w:val="TextoNormal"/>
      </w:pPr>
    </w:p>
    <w:p w:rsidR="00163957" w:rsidRDefault="00163957" w:rsidP="00163957">
      <w:pPr>
        <w:pStyle w:val="TextoNormal"/>
      </w:pPr>
      <w:r w:rsidRPr="00163957">
        <w:rPr>
          <w:rStyle w:val="NumeroAFNegritaCaracter"/>
        </w:rPr>
        <w:t>6</w:t>
      </w:r>
      <w:r>
        <w:t>. Por Auto del Pleno 190/2015, de 5 de noviembre, se acordó denegar la suspensión de las resoluciones impugnadas.</w:t>
      </w:r>
    </w:p>
    <w:p w:rsidR="00163957" w:rsidRDefault="00163957" w:rsidP="00163957">
      <w:pPr>
        <w:pStyle w:val="TextoNormal"/>
      </w:pPr>
    </w:p>
    <w:p w:rsidR="00163957" w:rsidRDefault="00163957" w:rsidP="00163957">
      <w:pPr>
        <w:pStyle w:val="TextoNormal"/>
      </w:pPr>
      <w:r w:rsidRPr="00163957">
        <w:rPr>
          <w:rStyle w:val="NumeroAFNegritaCaracter"/>
        </w:rPr>
        <w:t>7</w:t>
      </w:r>
      <w:r>
        <w:t>. Mediante escrito registrado en el Tribunal Constitucional el 20 de noviembre de 2015, compareció el Letrado del Parlamento de Cataluña, en representación y defensa de dicha Cámara, y solicitó se tuviera por presentado este escrito y los documentos que lo acompañan, teniéndose por personado al Parlamento de Cataluña en el recurso de amparo.</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del Pleno de 24 de noviembre de 2015 se acordó tener por personado y parte en el procedimiento al Letrado del Parlamento de Cataluña, en nombre y representación de la Cámara, hacer entrega de copia de la documentación aportada a la parte recurrente y al Ministerio Fiscal y, a tenor de lo dispuesto en el artículo 52.1 LOTC, conceder un plazo de diez días a las partes personadas y al Ministerio Fiscal para que puedan presentar las alegaciones que a su derecho convengan.</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9</w:t>
      </w:r>
      <w:r>
        <w:t>. Por escrito registrado en el Tribunal Constitucional el 22 de diciembre de 2015, presentó sus alegaciones el Ministerio Fiscal. Pueden resumirse como siguen:</w:t>
      </w:r>
    </w:p>
    <w:p w:rsidR="00163957" w:rsidRDefault="00163957" w:rsidP="00163957">
      <w:pPr>
        <w:pStyle w:val="TextoNormal"/>
      </w:pPr>
      <w:r>
        <w:t xml:space="preserve">a) Tras exponer los antecedentes del presente recurso de amparo, desarrolla el Ministerio Fiscal los fundamentos de Derecho de sus alegaciones, observando, en primer lugar, que cuando se tomaron los acuerdos de los días 2 y 3 de noviembre de 2015 no había terminado el plazo para que las formaciones políticas pudieran constituirse en grupo parlamentario con arreglo a lo dispuesto en el Reglamento del Parlamento de Cataluña (art. 26.4), pues, habiéndose constituido el Parlamento el 26 de octubre anterior, los recurrentes tenían plazo a tal efecto hasta el día 5 de noviembre, prorrogable hasta el siguiente día 6 a las 9:30 horas. Tras citar los artículos 81.2 y 35.2 RPC, se observa que el señalamiento por la Presidenta del Parlamento de Cataluña del orden del día para la sesión a celebrar el 3 de noviembre de 2015 sobre el debate de reconsideración planteado adolece del vicio de falta de audiencia a la Junta de Portavoces, en la medida en que esta no estaba íntegra y válidamente constituida. Observa también el Ministerio Fiscal, con cita del artículo 164.2 RPC, que el mismo déficit procedimental se advierte en cuanto a la tramitación ante el Pleno, pues la Junta de Portavoces no estaba íntegramente y válidamente constituida. Este vicio no puede ser subsanado por el hecho de que se declare como Junta de Portavoces la mayoría de sus integrantes, pues la Junta se debe convocar cuando haya transcurrido el plazo para formar grupo parlamentario y estar designados los portavoces de los respectivos grupos, de manera que antes no debió convocarse la sesión de la Mesa de la Cámara a la que le es preceptiva la audiencia de la Junta de Portavoces para resolver sobre las peticiones de reconsideración. No se debió convocar una Junta de Portavoces que no estaba válidamente constituida, por lo que se quebrantaron las reglas parlamentarias, pues faltaba la designación de un portavoz de un grupo parlamentario, por lo que a los recurrentes, como futuro grupo parlamentario, se les priva de la posibilidad de solicitar la reconsideración del acuerdo de admisión de la propuesta de resolución y de ser oídos en la Junta de Portavoces. Tras citar los artículos 37.3 e), 38.1, 38.3 y 35.1 RPC, se señala que el modo de proceder de la Mesa de la Cámara ha imposibilitado la debida constitución de la Junta de Portavoces y la audiencia de la misma en el trámite de resolución por la Mesa de las peticiones de reconsideración. A esta conclusión no se opone que la Mesa invitara a los diputados del Partido Popular a designar un representante para la sesión del día 3 de noviembre de 2015, señalando ahora el Ministerio Fiscal que el diputado de dicho partido que asistió a la sesión de la Mesa de 3 de noviembre de 2015 manifestó que las adhesiones a las peticiones de reconsideración se hicieron a título particular y no como grupo parlamentario y denunció la irregularidad que se producía en la Junta de Portavoces, cuya audiencia no podía tenerse por válidamente celebrada. La Mesa debió esperar para pronunciarse sobre tales peticiones a que los diputados del Partido Popular constituyeran grupo parlamentario y se designara un portavoz que se integrara en la Junta. Es más, si bien la Mesa puede admitir a trámite la propuesta de resolución, le es exigible igualmente oír a la Junta de Portavoces para acordar su tramitación por el Pleno o en Comisión (art. 164.2 RPC). En consecuencia, debió la Mesa, una vez más, esperar a la constitución de las correspondientes comisiones legislativas (art. 59 RPC). De nuevo la Mesa de la Cámara desconoce el Reglamento, pues debió esperar a la debida constitución de la Junta de Portavoces y no aprobar que la propuesta se tramitara por el Pleno (art. 164.2 RPC). Lo que el Reglamento imponía a la Mesa era esperar a la investidura del Presidente de la Generalitat y a la designación por el Pleno de las Comisiones (arts. 47, 59 y 146 RPC), mucho más cuando la vigencia del Parlamento viene condicionada a que pueda ser elegido y designado un presidente en el plazo de dos meses desde la primera votación de investidura. La Presidenta de la Mesa, al acordar el 2 de noviembre de 2015 como orden del día la </w:t>
      </w:r>
      <w:r>
        <w:lastRenderedPageBreak/>
        <w:t>celebración de la sesión de la Mesa con audiencia de la Junta de Portavoces, y la Mesa de la Cámara, al resolver el 3 de noviembre sobre las solicitudes de reconsideración, privaron a los recurrentes del derecho de constituirse en grupo parlamentario y designar portavoz, así como de poder formular la reconsideración de los acuerdos aquí impugnados e impidieron la participación activa de los recurrentes en la sesión de 3 de noviembre de 2015 como grupo parlamentario. Por tanto, la Presidenta de la Cámara y la Mesa ignoraron los plazos que los recurrentes tenían para constituirse en grupo parlamentario (art. 26.4 RPC) y designar portavoz en la Junta de Portavoces (art. 35.1 RPC) y al proceder así desconocieron lo previsto en los artículos 38 y 35.1 RPC, lo que vulneró el derecho de los recurrentes reconocido en el artículo 23.2 CE.</w:t>
      </w:r>
    </w:p>
    <w:p w:rsidR="00163957" w:rsidRDefault="00163957" w:rsidP="00163957">
      <w:pPr>
        <w:pStyle w:val="TextoNormal"/>
      </w:pPr>
    </w:p>
    <w:p w:rsidR="00163957" w:rsidRDefault="00163957" w:rsidP="00163957">
      <w:pPr>
        <w:pStyle w:val="TextoNormal"/>
      </w:pPr>
      <w:r>
        <w:t xml:space="preserve">b) El Tribunal Constitucional ha declarado (STC 141/2007) que la facultad de constituir grupo parlamentario pertenece al núcleo de la función representativa de los diputados y en esta ocasión dicha facultad se ha visto gravemente afectada no porque se impidiera a los recurrentes la formación de grupo (que, conforme al art. 26 RPC, podrían constituir), sino porque para realizar los actos que les permitieran impugnar el Acuerdo de 27 de octubre de 2015 y solicitar, por tanto, su reconsideración, así como para formar parte de la Junta de Portavoces y, en consecuencia, ser oídos sobre dichas peticiones, era necesario que formalmente se hubieran constituido en grupo parlamentario. Sin embargo, se llevaron a cabo por la Presidenta de la Cámara y por la Mesa una serie de actos que han ocasionado a los recurrentes un trato desigual respecto del resto de los demás grupos parlamentarios y diputados de la Cámara al no poder ejercer como grupo sus derechos, en contra del artículo 32 RPC, conforme al cual todos los grupos parlamentarios, con las excepciones establecidas por el Reglamento, gozan de los mismos derechos. Estos actos de la Presidencia y de la Mesa se concretan en el acuerdo de 2 de noviembre de 2015, por el que se acordó la audiencia a la Junta de Portavoces para resolver sobre las peticiones de reconsideración del Acuerdo de 27 de octubre de 2015, la audiencia a una Junta de Portavoces, en sesión de 3 de noviembre de 2015, sin estar designado un portavoz por los diputados recurrentes, pues se hallaban en plazo para poder constituirse en grupo parlamentario, lo que ha supuesto que se vieran privados de la posibilidad de formular petición de reconsideración contra el Acuerdo de 27 de octubre de 2015 y ser oídos como miembro de la Junta de Portavoces en la sesión de la Mesa de 3 de noviembre de 2015 sobre las reconsideraciones formuladas frente al anterior acuerdo, y en el Acuerdo de 3 de noviembre por el que se resuelve sobre las peticiones de reconsideración de los grupos parlamentarios Ciudadanos y Socialista. Por ello, si reglamentariamente era necesario que los recurrentes estuvieran constituidos en grupo parlamentario para poder participar y ser escuchados en los trámites de los acuerdos que se impugnan y, en su caso, impugnar el acuerdo de 27 de octubre de 2015, al privarles del plazo para constituirse en grupo y llevar a cabo una serie de trámites de la propuesta de resolución y privarles, así, de voz en la Junta de Portavoces se les ha desposeído de la facultad de poder ejercer los derechos que como grupo parlamentario les correspondían frente a la tramitación de la propuesta de resolución combatida y por eso se les ha vulnerado como diputados a formar grupo su derecho a la igualdad de trato y por ende el derecho a participar en los asuntos públicos en condición de igualdad y en los términos legalmente establecidos. La Mesa debió esperar a su constitución y posteriormente resolver sobre la reconsideración que el citado grupo pudiera hacer respecto del acuerdo por el que se admitía a trámite la propuesta de resolución. Al no hacerlo así vulneró el </w:t>
      </w:r>
      <w:r w:rsidRPr="00163957">
        <w:rPr>
          <w:i/>
        </w:rPr>
        <w:t>ius in officium</w:t>
      </w:r>
      <w:r>
        <w:t xml:space="preserve"> del grupo parlamentario. Se citan las SSTC 141/2007 y 227/2004.</w:t>
      </w:r>
    </w:p>
    <w:p w:rsidR="00163957" w:rsidRDefault="00163957" w:rsidP="00163957">
      <w:pPr>
        <w:pStyle w:val="TextoNormal"/>
      </w:pPr>
    </w:p>
    <w:p w:rsidR="00163957" w:rsidRDefault="00163957" w:rsidP="00163957">
      <w:pPr>
        <w:pStyle w:val="TextoNormal"/>
      </w:pPr>
      <w:r>
        <w:lastRenderedPageBreak/>
        <w:t>c) Sobre la constitucionalidad de la propuesta de resolución admitida a trámite por el Acuerdo de 27 de octubre de 2015 se refiere el Fiscal a la STC 259/2015, que declaró la inconstitucionalidad de la Resolución 1/XI, de 9 de noviembre de 2015, del Parlamento de Cataluña, transcribiendo pasajes de la misma y concluyendo en que, dada la coincidencia entre la Resolución de 9 de noviembre de 2015 y la propuesta controvertida de la que trae causa, puede afirmarse que el contenido de tal propuesta es inconstitucional y antiestatutario, en cuanto desconoce los preceptos constitucionales y estatutarios que la Sentencia declara vulnerados.</w:t>
      </w:r>
    </w:p>
    <w:p w:rsidR="00163957" w:rsidRDefault="00163957" w:rsidP="00163957">
      <w:pPr>
        <w:pStyle w:val="TextoNormal"/>
      </w:pPr>
    </w:p>
    <w:p w:rsidR="00163957" w:rsidRDefault="00163957" w:rsidP="00163957">
      <w:pPr>
        <w:pStyle w:val="TextoNormal"/>
      </w:pPr>
      <w:r>
        <w:t>Ahora bien, en el presente recurso de amparo nos hallamos en un momento de la tramitación parlamentaria de una iniciativa aún no sometida a debate y votación y no estamos en un procedimiento destinado al análisis de la constitucionalidad de una resolución parlamentaria. No es el recurso de amparo un trámite adecuado para pronunciarse sobre la constitucionalidad de una iniciativa parlamentaria aún no debatida y que, en este caso, se ha traducido en la Resolución 1/IX, declarada inconstitucional por este Tribunal. Tras reproducir pasajes del ATC 135/2004, señala el Ministerio Fiscal que la demanda parece anticipar el juicio de constitucionalidad del contenido de la propuesta de resolución, lo que conllevaría una indeseada restricción de las facultades de todo Parlamento para debatir iniciativas parlamentarias. Con arreglo a la jurisprudencia constitucional, el remedio del recurso de amparo para valorar la inconstitucionalidad de la propuesta parlamentaria convertiría al mismo en un remedio jurisdiccional preventivo con el que se anticiparía la defensa del orden constitucional, citándose, asimismo, el Auto de 5 de noviembre de 2015, dictado en este mismo procedimiento, por el que se denegó la solicitud de suspensión de las resoluciones impugnadas. El recurso de amparo es ajeno a la valoración de la constitucionalidad de una iniciativa parlamentaria que aún no se ha traducido en una norma con efectos jurídicos. No cabría un pronunciamiento de inconstitucionalidad vía recurso de amparo, pero sí un pronunciamiento sobre si la actuación de la Mesa ha respetado los trámites y mandatos del Reglamento del Parlamento de Cataluña y, por ende, el derecho fundamental del artículo 23.2 CE. Se cita, asimismo, la STC 90/1985.</w:t>
      </w:r>
    </w:p>
    <w:p w:rsidR="00163957" w:rsidRDefault="00163957" w:rsidP="00163957">
      <w:pPr>
        <w:pStyle w:val="TextoNormal"/>
      </w:pPr>
    </w:p>
    <w:p w:rsidR="00163957" w:rsidRDefault="00163957" w:rsidP="00163957">
      <w:pPr>
        <w:pStyle w:val="TextoNormal"/>
      </w:pPr>
      <w:r>
        <w:t xml:space="preserve">d) En relación con la facultad de calificación o admisión o no a trámite de las iniciativas parlamentarias por las Mesas de las Cámaras y respecto del derecho fundamental del artículo 23.2 CE, cita el Fiscal la STC 23/2015 y reproduce por extenso pasajes de esta resolución, así como del ATC 86/2006. Sobre la base de la jurisprudencia así evocada, y tras transcribir el artículo 164 RPC, se refiere también a las SSTC 205/1990, 95/1994, 12/1995 y 38/1999, observando que acuerdos semejantes al de la Mesa del Parlamento de Cataluña ahora cuestionados han sido analizados y fiscalizados vía amparo, si bien a raíz de la inadmisión de propuestas, mientras que en el caso presente se trata de la impugnación de la admisión a trámite de una iniciativa parlamentaria. Observa el Fiscal que esta función de control material es inevitable cuando la iniciativa parlamentaria, como la discutida aquí, perturbaría de modo evidente el orden constitucional. Nada le impide y sí obliga, por el contrario, a la Mesa calificar materialmente la propuesta, pues la Mesa está sujeta a la Constitución y al ordenamiento jurídico y puede calificar materialmente una propuesta cuando con claridad y sin ningún género de dudas es notoria su inconstitucionalidad. Tras citar las SSTC 119/2011, 27/1981 y 274/2000, indica el Ministerio Fiscal que la Mesa está legitimada para rechazar aquellas iniciativas parlamentarias que de manera grosera y palmaria sean contrarias a la Constitución. Así era en el caso actual y, sin embargo, la Mesa omitió tal examen liminar, pese a ser groseramente contraria a la Constitución una propuesta cuya finalidad es </w:t>
      </w:r>
      <w:r>
        <w:lastRenderedPageBreak/>
        <w:t>declarar la independencia de Cataluña, desconectarse de la Constitución y del ordenamiento, negar legitimidad al Tribunal Constitucional y al resto de las instituciones del Estado. La lealtad constitucional le imponía a la Mesa rechazar la admisión de la propuesta de resolución.</w:t>
      </w:r>
    </w:p>
    <w:p w:rsidR="00163957" w:rsidRDefault="00163957" w:rsidP="00163957">
      <w:pPr>
        <w:pStyle w:val="TextoNormal"/>
      </w:pPr>
    </w:p>
    <w:p w:rsidR="00163957" w:rsidRDefault="00163957" w:rsidP="00163957">
      <w:pPr>
        <w:pStyle w:val="TextoNormal"/>
      </w:pPr>
      <w:r>
        <w:t>El procedimiento de reforma constitucional (arts. 166 y 168 CE) permite que el Parlamento de Cataluña interese del Gobierno un proyecto de modificación constitucional o que tramite una propuesta de ley para proponer al Congreso de los Diputados un cambio constitucional (arts. 87. 1 y 2 y 168 CE y art. 173 EAC). La propuesta de Resolución impone a los Diputados de la Cámara la tramitación como tal propuesta de una reforma constitucional para la cual es competente el Congreso de los Diputados y cuya actuación debe ser sometida a consideración del titular de la soberanía (art. 2 CE), esto es, se trata de un contenido ajeno a la competencia de la Cámara que, conforme al Estatuto de Autonomía de Cataluña y al Reglamento del Parlamento de Cataluña, exige una proposición de ley, algo muy diferente de una propuesta de resolución. La propuesta de ley tiene una diferente tramitación que la propuesta de resolución y respecto de aquélla, entre otros extremos, cabe la posibilidad de que por los grupos parlamentarios se solicite dictamen del Consejo de Garantías Estatutarias, posibilidad que se sustrae a los grupos y diputados con la tramitación como propuesta de resolución de una iniciativa parlamentaria que choca frontalmente con la Constitución y con el Estatuto de Autonomía de Cataluña. Además, el grupo parlamentario socialista interesó de forma reiterada de la Presidenta del Parlamento un informe de los servicios jurídicos de la Cámara sobre la constitucionalidad y estatutariedad de la propuesta de resolución, lo que denegó la Presidencia.</w:t>
      </w:r>
    </w:p>
    <w:p w:rsidR="00163957" w:rsidRDefault="00163957" w:rsidP="00163957">
      <w:pPr>
        <w:pStyle w:val="TextoNormal"/>
      </w:pPr>
    </w:p>
    <w:p w:rsidR="00163957" w:rsidRDefault="00163957" w:rsidP="00163957">
      <w:pPr>
        <w:pStyle w:val="TextoNormal"/>
      </w:pPr>
      <w:r>
        <w:t xml:space="preserve">La propuesta de resolución, coincidente con la Resolución 1/XI, es inconstitucional, propugna un nuevo orden al margen de la Constitución, lo que necesariamente pasaría por el respeto a los procedimientos para su reforma (art. 168 CE), desborda los límites impuestos por la Constitución y por el Estatuto de Autonomía de Cataluña y con su tramitación se hurta a los parlamentarios el procedimiento legalmente establecido y se les impide, por ello, el ejercicio de sus funciones, ya que la vía parlamentaria tiene un trato diferente (art. 166 y ss. CE), en cuanto exigiría un acuerdo mediante el que la Comunidad Autónoma ejercitara su competencia de iniciativa legislativa ante las Cortes Generales, además de sustraer a las Cortes y al órgano de la soberanía, el pueblo español, las decisiones que les corresponden vía jurisdiccional, dado que la propuesta de creación de un Estado catalán independiente implicaría la intervención de órganos diversos, estatales y autonómicos, e incluso directamente del electorado español. Los acuerdos de la Mesa de calificación del documento como propuesta de resolución y de admisión a trámite del mismo habrían desconocido el ámbito de funciones de la Cámara (art. 61 EAC). Nuestra Constitución no impone un sistema de democracia militante y ampara las libertades de expresión e ideológica y la promoción de proyectos políticos no compatibles con ella (SSTC 48/2003 y 103/2008), pero los acuerdos impugnados imponen un debate sobre una “desconexión” de España que excluye los cauces constitucionalmente establecidos para traducir la voluntad política de independencia en una realidad jurídica. La Mesa de la Cámara no puede desconocer que no entra en sus funciones una declaración de desconexión con el orden constitucional o de desobediencia a las instituciones del Estado. Tras citar determinado pasaje de la STC 42/2014, se señala que con la admisión a trámite de la propuesta de resolución no sólo se violenta la posición institucional del Parlamento de Cataluña (STC 119/2011), sino que se lesiona el derecho de los diputados autonómicos a ejercer sus funciones en el marco constitucional. En consecuencia, la Mesa </w:t>
      </w:r>
      <w:r>
        <w:lastRenderedPageBreak/>
        <w:t>de la Cámara debió calificar materialmente la propuesta y rechazar su admisión a trámite. Por ello, la motivación del acuerdo de 3 de noviembre de 2015, que rechazó la petición de reconsideración, debe entenderse como no adecuada, no puede tacharse de razonable y habría vulnerado el derecho fundamental del artículo 23.2 CE de los recurrentes.</w:t>
      </w:r>
    </w:p>
    <w:p w:rsidR="00163957" w:rsidRDefault="00163957" w:rsidP="00163957">
      <w:pPr>
        <w:pStyle w:val="TextoNormal"/>
      </w:pPr>
    </w:p>
    <w:p w:rsidR="00163957" w:rsidRDefault="00163957" w:rsidP="00163957">
      <w:pPr>
        <w:pStyle w:val="TextoNormal"/>
      </w:pPr>
      <w:r>
        <w:t>Por ello, aunque la demanda de amparo no impugna expresamente aquel acuerdo de 3 de noviembre por falta de motivación, en la medida en que se denuncia que la Mesa no debió limitarse al control formal de la propuesta, debe igualmente analizarse si dicho acuerdo puede entenderse motivado como exigen la doctrina constitucional y el artículo 38.3 RPC. No puede desconocerse la autonomía de la Mesa para calificar las iniciativas parlamentarias y su margen de apreciación, de manera que si la legalidad aplicable no les impone límites, la verificación de la admisibilidad de la iniciativa debe ser formal. Pero la Mesa de la Cámara debió hacer una calificación material del contenido de la propuesta de la resolución, no debió limitar su conocimiento al mero control formal, de modo que su motivación deviene en insuficiente e inadecuada, incurre en falta de razonabilidad y desconoce por ello el derecho de los demandantes del artículo 23.2 CE.</w:t>
      </w:r>
    </w:p>
    <w:p w:rsidR="00163957" w:rsidRDefault="00163957" w:rsidP="00163957">
      <w:pPr>
        <w:pStyle w:val="TextoNormal"/>
      </w:pPr>
    </w:p>
    <w:p w:rsidR="00163957" w:rsidRDefault="00163957" w:rsidP="00163957">
      <w:pPr>
        <w:pStyle w:val="TextoNormal"/>
      </w:pPr>
      <w:r>
        <w:t>e) En cuanto al alcance del amparo, dado que la legislatura está aún vigente, de conformidad con el artículo 55 LOTC, procede declarar la nulidad de los acuerdos impugnados. Se concluyó reiterando la procedencia de declarar la vulneración del artículo 23.2 CE de los recurrentes y la nulidad de los acuerdos de la Mesa del Parlamento de Cataluña de 27 de octubre de 2015, de admisión a trámite de la propuesta de resolución, y de 3 de noviembre de 2015, de desestimación de la petición de reconsideración del anterior acuerdo.</w:t>
      </w:r>
    </w:p>
    <w:p w:rsidR="00163957" w:rsidRDefault="00163957" w:rsidP="00163957">
      <w:pPr>
        <w:pStyle w:val="TextoNormal"/>
      </w:pPr>
    </w:p>
    <w:p w:rsidR="00163957" w:rsidRDefault="00163957" w:rsidP="00163957">
      <w:pPr>
        <w:pStyle w:val="TextoNormal"/>
      </w:pPr>
      <w:r w:rsidRPr="00163957">
        <w:rPr>
          <w:rStyle w:val="NumeroAFNegritaCaracter"/>
        </w:rPr>
        <w:t>10</w:t>
      </w:r>
      <w:r>
        <w:t>. Mediante escrito que tuvo entrada en el Tribunal Constitucional el 29 de diciembre de 2015, presentó sus alegaciones la representación actora en los términos que seguidamente se resumen:</w:t>
      </w:r>
    </w:p>
    <w:p w:rsidR="00163957" w:rsidRDefault="00163957" w:rsidP="00163957">
      <w:pPr>
        <w:pStyle w:val="TextoNormal"/>
      </w:pPr>
    </w:p>
    <w:p w:rsidR="00163957" w:rsidRDefault="00163957" w:rsidP="00163957">
      <w:pPr>
        <w:pStyle w:val="TextoNormal"/>
      </w:pPr>
      <w:r>
        <w:t>a) La propuesta de resolución incurre en una evidente y palmaria inconstitucionalidad y era obligación de la Mesa inadmitirla. Los demandantes se reafirman, a estos efectos, en lo expuesto en su demanda y hacen suyas las consideraciones de la STC 259/2015, de 2 de diciembre, por la que se estima la impugnación de la Resolución 1/XI, del Parlamento de Cataluña. La Mesa cuenta con facultades para controlar la regularidad jurídica y viabilidad procedimental de las iniciativas (SSTC 161/1988, 205/1990, 95/1994, 136/2011, 88/2012 y 209/2012), de modo que la calificación y admisión a trámite que aquí se produjo modifica sustancialmente la naturaleza de la representación recogida en el artículo 23 CE que, como derecho de configuración legal, debe ejercitarse dentro del marco constitucional y con el alcance previsto en la propia Constitución (STC 101/1983). La admisión a trámite ha permitido debatir una iniciativa que fundamenta su legitimidad en nuevos poderes constituyentes, obviando que su propia legitimidad proviene de la misma Constitución y pretende cambiar la naturaleza de la representación de los diputados del Parlamento de Cataluña.</w:t>
      </w:r>
    </w:p>
    <w:p w:rsidR="00163957" w:rsidRDefault="00163957" w:rsidP="00163957">
      <w:pPr>
        <w:pStyle w:val="TextoNormal"/>
      </w:pPr>
    </w:p>
    <w:p w:rsidR="00163957" w:rsidRDefault="00163957" w:rsidP="00163957">
      <w:pPr>
        <w:pStyle w:val="TextoNormal"/>
      </w:pPr>
      <w:r>
        <w:t xml:space="preserve">b) Al convocar una Junta de Portavoces sin estar constituidos todos los grupos parlamentarios se ha vulnerado el artículo 23 CE. Es cierto que, como se indicó en el informe del Secretario General del Parlamento de Cataluña, en dos ocasiones, el 20 de noviembre de 2006 y el 17 de diciembre de 2010 (VIII y IX legislaturas), se han reunido en el Parlamento de Cataluña representantes de los grupos parlamentarios aun cuando todos los grupos no estaban formalmente constituidos, pero de ello no puede inferirse que existan precedentes </w:t>
      </w:r>
      <w:r>
        <w:lastRenderedPageBreak/>
        <w:t>en los que se haya reunido la Junta de Portavoces sin estar constituidos todos los grupos parlamentarios o sin haber expirado el plazo previsto para ello en el artículo 26.4 RPC. Además, no se puede equiparar la reunión de representantes de los grupos parlamentarios a la que asisten representantes de diputados que aún no se han constituido como grupo a una reunión de la Junta de Portavoces. Por ello, la Presidenta del Parlamento, al convocar una Junta de Portavoces, puso a los diputados elegidos en las listas del Partido Popular en inferioridad de condiciones respecto de los que sí se habían constituido en grupo, privándoles de su legítima representación y defensa e ignorando su derecho fundamental del artículo 23.2 CE.</w:t>
      </w:r>
    </w:p>
    <w:p w:rsidR="00163957" w:rsidRDefault="00163957" w:rsidP="00163957">
      <w:pPr>
        <w:pStyle w:val="TextoNormal"/>
      </w:pPr>
    </w:p>
    <w:p w:rsidR="00163957" w:rsidRDefault="00163957" w:rsidP="00163957">
      <w:pPr>
        <w:pStyle w:val="TextoNormal"/>
      </w:pPr>
      <w:r>
        <w:t>Se concluyó con la solicitud de que se acordara de conformidad con lo expresado en la demanda de amparo.</w:t>
      </w:r>
    </w:p>
    <w:p w:rsidR="00163957" w:rsidRDefault="00163957" w:rsidP="00163957">
      <w:pPr>
        <w:pStyle w:val="TextoNormal"/>
      </w:pPr>
    </w:p>
    <w:p w:rsidR="00163957" w:rsidRDefault="00163957" w:rsidP="00163957">
      <w:pPr>
        <w:pStyle w:val="TextoNormal"/>
      </w:pPr>
      <w:r w:rsidRPr="00163957">
        <w:rPr>
          <w:rStyle w:val="NumeroAFNegritaCaracter"/>
        </w:rPr>
        <w:t>11</w:t>
      </w:r>
      <w:r>
        <w:t>. Los Letrados del Parlamento de Cataluña presentaron sus alegaciones, en la representación que ostentan, mediante escrito registrado en el Tribunal Constitucional el 11 de enero de 2016. Pueden resumirse como sigue:</w:t>
      </w:r>
    </w:p>
    <w:p w:rsidR="00163957" w:rsidRDefault="00163957" w:rsidP="00163957">
      <w:pPr>
        <w:pStyle w:val="TextoNormal"/>
      </w:pPr>
    </w:p>
    <w:p w:rsidR="00163957" w:rsidRDefault="00163957" w:rsidP="00163957">
      <w:pPr>
        <w:pStyle w:val="TextoNormal"/>
      </w:pPr>
      <w:r>
        <w:t xml:space="preserve">a) En unas consideraciones preliminares se señala que el presente recurso, al igual que los registrados con los números 6205-2015 y 6206-2015, no pide el reconocimiento o la reparación de un derecho vulnerado por la Mesa del Parlamento en el ejercicio del </w:t>
      </w:r>
      <w:r w:rsidRPr="00163957">
        <w:rPr>
          <w:i/>
        </w:rPr>
        <w:t>ius in officium</w:t>
      </w:r>
      <w:r>
        <w:t xml:space="preserve"> de los grupos parlamentarios recurrentes, sino discutir y subsumir en el amparo una decisión de admisión a trámite de una iniciativa presentada por otros grupos parlamentarios, lo que convierte al recurso de amparo en una “impugnación” de un acuerdo de la Mesa y desnaturaliza la esencia en que se fundamenta constitucionalmente el amparo que, como tal, requiere la vulneración de un derecho “propio” de quien lo ejerce y debe conectarse, por tanto, con un supuesto de afectación del </w:t>
      </w:r>
      <w:r w:rsidRPr="00163957">
        <w:rPr>
          <w:i/>
        </w:rPr>
        <w:t>ius in officium</w:t>
      </w:r>
      <w:r>
        <w:t xml:space="preserve">, es decir, de un acuerdo de la Mesa mediante el cual se inadmite a trámite una propuesta o iniciativa parlamentarias o se restringe indebidamente el alcance de la misma. Ello implica, además, una extralimitación de los mecanismos procesales, en la medida en que se pretende introducir una especie de control de legalidad de las decisiones de la Mesa que supera ampliamente los límites del amparo y que presenta, caso de admitirse, un grave problema desde el punto de vista del derecho constitucional del </w:t>
      </w:r>
      <w:r w:rsidRPr="00163957">
        <w:rPr>
          <w:i/>
        </w:rPr>
        <w:t>ius in officium</w:t>
      </w:r>
      <w:r>
        <w:t xml:space="preserve"> parlamentario que reconoce y protege el art. 23 CE. Si la tesis de los recurrentes se admitiera, supondría dotar a las Mesas de una facultad de control sobre las iniciativas parlamentarias que podría suponer un grave riesgo de contaminación política de una decisión que, como ha reconocido la propia jurisprudencia constitucional, debe quedar circunscrita a la verificación de los requisitos formales de las iniciativas, sin entrar en su contenido material. Sin embargo, esto es lo que realmente hacen los recursos de amparo cuando discuten la naturaleza limitada de la facultad de admisión a trámite de las mesas parlamentarias y pretenden exigir en este caso un pronunciamiento sobre el contenido material de las iniciativas. Este enfoque pone claramente de relieve que el recurso de amparo no se utiliza como instrumento procesal de defensa del propio derecho, sino como una verdadera acción impugnatoria del ejercicio de los derechos parlamentarios que corresponden a los otros grupos de la Cámara y que, como tales, están precisamente protegidos por el art. 23 CE. Se pretende exigir a la Mesa una “obligación” de inadmitir a trámite las iniciativas que </w:t>
      </w:r>
      <w:r w:rsidRPr="00163957">
        <w:rPr>
          <w:i/>
        </w:rPr>
        <w:t>prima facie</w:t>
      </w:r>
      <w:r>
        <w:t xml:space="preserve"> pudieran resultar contrarias a la Constitución, superaran las atribuciones de la Cámara o debieran ser tramitadas, por estos motivos, mediante una iniciativa de reforma constitucional. Pero la propia doctrina constitucional ha relativizado siempre estos posibles inconvenientes en beneficio del derecho de iniciativa parlamentaria y considerando que el </w:t>
      </w:r>
      <w:r>
        <w:lastRenderedPageBreak/>
        <w:t xml:space="preserve">acto de admisión a trámite es de simple apertura de un procedimiento que puede suponer la introducción de modificaciones en la propuesta y permitir también el cambio del procedimiento inicialmente elegido si fuera necesario (SSTC 40/2003 y 103/2008 y ATC 135/2004). Ello obliga a la inadmisión de los recursos de amparo, por carecer los mismos de un elemento indispensable, esto es, la existencia de una vulneración efectiva de un derecho de los recurrentes en ejercicio de su </w:t>
      </w:r>
      <w:r w:rsidRPr="00163957">
        <w:rPr>
          <w:i/>
        </w:rPr>
        <w:t>ius in officium</w:t>
      </w:r>
      <w:r>
        <w:t xml:space="preserve"> y también por el abuso procesal que supone utilizar el recurso de amparo para impugnar de hecho la admisión a trámite de una iniciativa presentada por otros grupos parlamentarios.</w:t>
      </w:r>
    </w:p>
    <w:p w:rsidR="00163957" w:rsidRDefault="00163957" w:rsidP="00163957">
      <w:pPr>
        <w:pStyle w:val="TextoNormal"/>
      </w:pPr>
    </w:p>
    <w:p w:rsidR="00163957" w:rsidRDefault="00163957" w:rsidP="00163957">
      <w:pPr>
        <w:pStyle w:val="TextoNormal"/>
      </w:pPr>
      <w:r>
        <w:t>b) Se afirma, tras ello, la inadecuación de las alegaciones de la parte recurrente a la naturaleza, finalidad y objeto del recurso de amparo. La pretensión de la recurrente, según la cual las decisiones de la Mesa vulneran el artículo 23 CE en cuanto suponen la posibilidad de debatir la configuración de ese derecho fundamental, no se adecúa ni a la Ley Orgánica del Tribunal Constitucional ni a la jurisprudencia constitucional sobre la naturaleza, finalidad y objeto del recurso de amparo. El recurso plantea una pretensión de interpretación genérica del alcance de dicho precepto y no tanto la supuesta vulneración de un derecho fundamental, lo que no se acomoda al artículo 41.3 LOTC, según el cual en el amparo constitucional no pueden hacerse valer otras pretensiones que las dirigidas a restablecer o preservar los derechos o libertades por razón de los cuales se formuló el recurso. El amparo no es un recurso de carácter únicamente objetivo, dirigido a la restauración de la legalidad alterada o a la corrección de una errónea interpretación de la misma, sino que tiene un carácter también esencialmente subjetivo, de tal modo que donde no hay violación de derechos subjetivos de naturaleza fundamental no puede surgir una pretensión de amparo constitucional, lo que queda corroborado por lo dispuesto en el artículo 55 LOTC sobre los posibles pronunciamientos de una sentencia estimatoria. La quiebra de la legalidad debe anudarse a la de un derecho subjetivo fundamental para poder someterse a enjuiciamiento por el Tribunal Constitucional y ha de tratarse de un derecho cuya titularidad corresponda a la actora, no a un tercero. El recurso de amparo no es un recurso de casación “en interés de ley” o del “ordenamiento” sino, sólo y exclusivamente, una vía procesal para pretensiones dirigidas a establecer o preservar vulneraciones de derechos, transcribiéndose, al respecto, determinados pasajes de las SSTC 114/1995 y 78/1997. No es jurídicamente posible la utilización de este cauce para obtener del Tribunal Constitucional una Sentencia por la cual se anule una decisión de la Mesa en la que se realizó una determinada lectura de un derecho, al aplicar el reglamento parlamentario, con la que la actora no está de acuerdo. En el caso enjuiciado, la pretendida causa de invalidez de la decisión recurrida consiste en el reconocimiento del derecho de un tercero, reconocimiento indebido a juicio de la actora porque se expande indebidamente ese derecho, pero este supuesto vicio no entraña por sí mismo una disminución o privación del derecho de la actora, por lo que en el hipotético caso de estimarse su pretensión se estaría admitiendo una acción procesal materialmente impugnatoria o bien el denominado “contraamparo”, desfigurando la naturaleza de esta vía. Cuesta entender que la admisión de una iniciativa parlamentaria, a diferencia de la inadmisión, cause un perjuicio a las facultades concretas de un diputado o de un grupo parlamentario, que continúan intactas en general, incluidas las que podrían considerarse pertenecientes al núcleo esencial de la función parlamentaria (enmendar, debatir y votar la iniciativa admitida o presentar otra de sentido opuesto). Se transcriben, al respecto, pasajes de las SSTC 93/1995, 167/1986 y 83/2000. La recurrente, en conclusión, carece de acción en amparo al no adecuarse su pretensión a la naturaleza, finalidad y objeto de dicha vía procesal.</w:t>
      </w:r>
    </w:p>
    <w:p w:rsidR="00163957" w:rsidRDefault="00163957" w:rsidP="00163957">
      <w:pPr>
        <w:pStyle w:val="TextoNormal"/>
      </w:pPr>
    </w:p>
    <w:p w:rsidR="00163957" w:rsidRDefault="00163957" w:rsidP="00163957">
      <w:pPr>
        <w:pStyle w:val="TextoNormal"/>
      </w:pPr>
      <w:r>
        <w:lastRenderedPageBreak/>
        <w:t xml:space="preserve">c) No se da una vulneración del núcleo esencial del artículo 23 CE, en tanto en cuanto la decisión de la Mesa no afecta a las facultades de los diputados, citándose al respecto determinado pasaje de la STC 89/2005, así como de la STC 88/2012. El Tribunal Constitucional ha precisado además, mediante una interpretación restrictiva, que sólo poseen relevancia constitucional a los efectos del recurso de amparo para proteger el derecho fundamental del artículo 23 CE las afectaciones al núcleo esencial de la función representativa parlamentaria, no cualquier acto de un órgano parlamentario que infrinja la legalidad (SSTC 38/1999, 107/2001, 40/2003 y 1/2015). Más específicamente, el Tribunal ha señalado que mediante el recurso de amparo contra acuerdos de las Mesas de las Cámaras de calificación y admisión a trámite de una iniciativa lo que se pretende es preservar el derecho de participación de los sujetos legitimados a intervenir en el procedimiento parlamentario (ATC 135/2004). Para el supuesto que aquí se analiza, no ha habido perjuicio o lesión a ningún derecho del que sea titular la actora causados por el ejercicio por la Mesa del Parlamento de su función de admisión y calificación de una iniciativa presentada por un tercero, pues el Reglamento del Parlamento de Cataluña ni reconoce la existencia de un “derecho a la no admisión”, ni se puede deducir su existencia. Por el contrario, y en relación a la propuesta de resolución cuya admisión se discute en esta sede, la actora conserva intacto su derecho a participar en la misma, a enmendarla, si lo cree oportuno, como han hecho otros grupos parlamentarios, y a votarla en el sentido que libremente decida. El derecho de los diputados del grupo parlamentario recurrente a intervenir en esta tramitación parlamentaria, que configuraría el núcleo esencial de su derecho en el caso enjuiciado, estaría plenamente preservado. De ello deriva que no le es posible reclamar el restablecimiento de un derecho subjetivo que no existe y que no puede utilizar para ese fin el proceso de amparo, que no es un proceso objetivo de restauración de la legalidad presuntamente infringida. Además, el derecho fundamental de participación es de configuración legal y su alcance y contenido queda determinado por el reglamento, siendo así que la actora no puede por más que admitir que no se ha visto privada de ningún derecho que le confiera el Reglamento del Parlamento de Cataluña, que no reconoce un derecho a impedir una tramitación, una suerte de derecho de veto, de otro grupo parlamentario. La jurisprudencia constitucional configura las propuestas de resolución como vía adecuada para forzar el debate político, el cual no debe ser obstaculizado por la Mesa (STC 44/2010). No puede sostenerse, como se desprende del recurso, que el propio debate político de la propuesta de resolución estaría violentando la naturaleza del artículo 23 CE. La actora parece pretender una supuesta violación de este derecho fundamental por haberse expandido, con la admisión a trámite de la propuesta, sus límites intrínsecos, al considerar que permite un debate “inconstitucional” en un órgano “constituido”. Pero, en primer lugar, muy difícilmente la expansión de un derecho puede considerarse violación del mismo y, además, aquí estamos ante un derecho de configuración legal, por lo cual sus límites son los que establece el Reglamento del Parlamento de Cataluña (arts. 83 a 88), límites sólo referidos al procedimiento y a las formas del debate, no a su contenido. Excluir del debate parlamentario posibles contenidos </w:t>
      </w:r>
      <w:r w:rsidRPr="00163957">
        <w:rPr>
          <w:i/>
        </w:rPr>
        <w:t>a priori</w:t>
      </w:r>
      <w:r>
        <w:t>, aparte de las dificultades prácticas que ello tendría, sí que podría dar lugar en mucha mayor medida a la reducción del derecho de participación más allá de su límites intrínsecos y podría perjudicar al pluralismo que se expresa en los órganos parlamentarios, bien constitucional que la jurisprudencia de este Tribunal ha puesto de relieve (SSTC, 38/1999, 107/2001 y 29/2011).</w:t>
      </w:r>
    </w:p>
    <w:p w:rsidR="00163957" w:rsidRDefault="00163957" w:rsidP="00163957">
      <w:pPr>
        <w:pStyle w:val="TextoNormal"/>
      </w:pPr>
    </w:p>
    <w:p w:rsidR="00163957" w:rsidRDefault="00163957" w:rsidP="00163957">
      <w:pPr>
        <w:pStyle w:val="TextoNormal"/>
      </w:pPr>
      <w:r>
        <w:t xml:space="preserve">Debe tenerse presente también el principio de interpretación más favorable a la eficacia de los derechos fundamentales (SSTC 177/2002 y 40/2003) y no olvidar que la preservación </w:t>
      </w:r>
      <w:r>
        <w:lastRenderedPageBreak/>
        <w:t xml:space="preserve">de la legalidad, y especialmente de la legalidad constitucional, dispone, en virtud de la Constitución y de la Ley Orgánica del Tribunal Constitucional, de poderosos instrumentos de control de las decisiones definitivas de todos los poderes públicos, incluidos los parlamentarios, preservación, que cuenta, además, con el refuerzo de la tutela cautelar cuando se trata de actos y disposiciones de las Comunidades Autónomas. En el caso que aquí nos ocupa estos mecanismos han sido utilizados respecto de la resolución final adoptada por el Parlamento (Resolución 1/XI, de 9 de noviembre) hasta el punto que en este momento procesal ya ha recaído Sentencia sobre la misma. Esto pone de relieve la diferencia entre la protección del derecho fundamental del artículo 23 CE en el ámbito parlamentario y la función al efecto del recurso de amparo, con la garantía de la legalidad constitucional respecto de los actos definitivos del Parlamento. El amparo no puede ser utilizado cuando el motivo real que lo impulsa es discutir la admisión a trámite de una iniciativa en base a un </w:t>
      </w:r>
      <w:r w:rsidRPr="00163957">
        <w:rPr>
          <w:i/>
        </w:rPr>
        <w:t>test</w:t>
      </w:r>
      <w:r>
        <w:t xml:space="preserve"> de constitucionalidad que un grupo parlamentario quiere imponer sobre otro, a pesar de que pueden existir incluso indicios suficientes para ello. Al contrario, este juicio y su eventual concreción procesal deben quedar reservados para el acto parlamentario definitivo, utilizando para ello los procedimientos adecuados de acuerdo con la Constitución y la Ley Orgánica del Tribunal Constitucional. Por todo ello debe concluirse que la decisión de la Mesa relativa a la admisión a trámite de esta propuesta de resolución, así como el acuerdo por el cual se desestimó la solicitud de su reconsideración, no conllevan una vulneración de las facultades del núcleo básico de la función representativa reconocidas en el artículo 23 CE.</w:t>
      </w:r>
    </w:p>
    <w:p w:rsidR="00163957" w:rsidRDefault="00163957" w:rsidP="00163957">
      <w:pPr>
        <w:pStyle w:val="TextoNormal"/>
      </w:pPr>
    </w:p>
    <w:p w:rsidR="00163957" w:rsidRDefault="00163957" w:rsidP="00163957">
      <w:pPr>
        <w:pStyle w:val="TextoNormal"/>
      </w:pPr>
      <w:r>
        <w:t xml:space="preserve">d) Se considera, a continuación, la jurisprudencia constitucional sobre el alcance y contenido de las funciones de la Mesa del Parlamento. Tras citar el artículo 37 RPC, se afirma que el centro decisorio del Parlamento, en cuanto al gobierno institucional, corresponde principalmente a la Mesa, en tanto que órgano colegiado. Sus funciones, en concreto, de admisión a trámite y calificación de los documentos de índole parlamentaria y de decisión sobre su tramitación [art. 37.3 d) RPC] deben cumplirse de conformidad con el reglamento; se trata de actos reglados con relación a los cuales la Mesa no puede actuar a partir de criterios de oportunidad, sino que necesariamente debe encontrar la justificación de su actuación en la norma. Por ello el propio reglamento prevé que los grupos discrepantes puedan solicitar la reconsideración de tales actos, decidiendo la Mesa definitivamente mediante resolución motivada (art. 38 RPC). La jurisprudencia constitucional sobre la función de calificación de las Mesas parlamentarias ha sido considerada por el propio Tribunal como “evolutiva” (STC 107/2001). Hasta el inicio de los años noventa, se entendía que las Mesas gozaban de una amplia potestad calificadora que les permitía comprobar no sólo los aspectos formales de los escritos que debían calificar, sino que también podían entrar a valorar el contenido a efectos de realizar una verificación liminar de su conformidad a Derecho y llevar a cabo un juicio de idoneidad en cuanto al procedimiento parlamentario. La jurisprudencia constitucional consideraba que era posible la inadmisión de una iniciativa debido a su contenido en tres supuestos: cuando fuese manifiestamente contraria a Derecho, manifiestamente inconstitucional o inequívocamente extraña a las finalidades establecidas por el procedimiento. La STC 205/1990 se puede considerar el paradigma y culmen de dicha jurisprudencia. No obstante, a mediados de los años noventa se inicia un cambio en la jurisprudencia constitucional relativa a la potestad calificadora de las Mesas para requerir que estas se ciñan a una mera comprobación de los requisitos formales de los escritos y documentos que deben admitir a trámite. Los hitos de dicho cambio de tendencias se producen en las SSTC 95/1994 y 124/1995, resoluciones cuya fundamentación a estos efectos se cita y glosa en las alegaciones. A juicio de esta representación, el Tribunal Constitucional rehúsa </w:t>
      </w:r>
      <w:r>
        <w:lastRenderedPageBreak/>
        <w:t xml:space="preserve">cualquier valoración de fondo que pueda comportar en el procedimiento de amparo un juicio de constitucionalidad, toda vez que existen los cauces correspondientes para depurar una supuesta inconstitucionalidad. Para el Tribunal, el debate en el Pleno cumple una importante función representativa mediante la cual los parlamentarios pueden, en ejercicio de su derecho, defender o rechazar la iniciativa, así como tratar sobre su eventual inconstitucionalidad, dando así a conocer a los ciudadanos lo que piensan sobre determinada materia. De ahí que el Tribunal afirme la conveniencia de que la Mesa limite sus facultades de calificación y admisión al exclusivo examen del cumplimiento de los requisitos formales reglamentariamente exigidos, pues, de lo contrario, no sólo estaría asumiendo bajo un pretendido juicio técnico una decisión política que sólo al Pleno corresponde, sino que, además, y desde la óptica de la representación democrática, estaría obstaculizando la posibilidad de que se celebre un debate público entre las distintas fuerzas políticas con representación parlamentaria, cuyo efecto representativo ante los electores se cumple con su mera existencia, al margen, claro está, de que la iniciativa, en su caso, prospere (STC 124/1995, FJ3). Se citan, asimismo, las SSTC 38/1999, 40/2003 y 208/2003, así como el ATC 135/2004, en el que el Tribunal no admite que se lleven a cabo juicios de antijuridicidad de simples proyectos de norma o incluso de la sola intención de producir normas. Se cita, en fin, la STC 84/2012, en la que se sistematiza la actual doctrina constitucional sobre la función de las Mesas de las Cámaras parlamentarias al calificar y admitir a trámite escritos y documentos. De todo este recorrido por la jurisprudencia constitucional concluyen las alegaciones con la apreciación de que la actual doctrina del Tribunal Constitucional sobre el </w:t>
      </w:r>
      <w:r w:rsidRPr="00163957">
        <w:rPr>
          <w:i/>
        </w:rPr>
        <w:t>test</w:t>
      </w:r>
      <w:r>
        <w:t xml:space="preserve"> de admisión a trámite que pueden hacer las Mesas parlamentarias se limita a la verificación de los requisitos formales exigidos a las iniciativas por el reglamento y la ley y excluyen que este acto de calificación pueda comportar un juicio de oportunidad sobre el contenido de la propuesta.</w:t>
      </w:r>
    </w:p>
    <w:p w:rsidR="00163957" w:rsidRDefault="00163957" w:rsidP="00163957">
      <w:pPr>
        <w:pStyle w:val="TextoNormal"/>
      </w:pPr>
    </w:p>
    <w:p w:rsidR="00163957" w:rsidRDefault="00163957" w:rsidP="00163957">
      <w:pPr>
        <w:pStyle w:val="TextoNormal"/>
      </w:pPr>
      <w:r>
        <w:t>e) A efectos de aplicar al presente caso esta doctrina constitucional, se comienza recordando que la misma consiente que los reglamentos parlamentarios puedan establecer o permitir a la Mesa un control más allá de los aspectos formales con determinados condicionantes cuando el escrito esté delimitado por una norma constitucional, legal o parlamentaria y sea pertinente observar su adecuación a la misma. El Tribunal entiende que dicho control de la Mesa debe estar previsto expresamente en el reglamento parlamentario y admite que puede alcanzar, singularmente, a la verificación de la idoneidad del procedimiento parlamentario elegido, ya que esta verificación forma parte del cumplimiento del reglamento. Se observa, dicho esto, que, respecto del tipo de iniciativa parlamentaria recurrida, no existe en el Reglamento del Parlamento de Cataluña ninguna habilitación a la Mesa del Parlamento para que controle aspectos materiales de dicha iniciativa, transcribiéndose al respecto su artículo 164. Tras referirse a las resoluciones del Parlamento de Cataluña como el ejemplo más paradigmático entre los instrumentos para ejercer la función de impulso de la acción política y de gobierno, se observa que si la legalidad aplicable no impone límite alguno a la iniciativa, la verificación de su admisibilidad ha de ser siempre formal (STC 40/2003) y por ello la Mesa se limitó aquí a verificar la regularidad formal de los términos de la iniciativa.</w:t>
      </w:r>
    </w:p>
    <w:p w:rsidR="00163957" w:rsidRDefault="00163957" w:rsidP="00163957">
      <w:pPr>
        <w:pStyle w:val="TextoNormal"/>
      </w:pPr>
    </w:p>
    <w:p w:rsidR="00163957" w:rsidRDefault="00163957" w:rsidP="00163957">
      <w:pPr>
        <w:pStyle w:val="TextoNormal"/>
      </w:pPr>
      <w:r>
        <w:t xml:space="preserve">La argumentación contenida en el ATC 135/2004 es perfectamente aplicable al caso, pues el acuerdo de la Mesa del Parlamento de 27 de octubre de 2015, de admisión a trámite de la propuesta de resolución, lo que hizo fue posibilitar en términos democráticos el inicio del debate y la discusión parlamentaria, permitiendo a los ciudadanos el conocimiento de la posición de los distintos grupos parlamentarios sobre las cuestiones objeto de la propuesta </w:t>
      </w:r>
      <w:r>
        <w:lastRenderedPageBreak/>
        <w:t xml:space="preserve">y establecer el marco de actuación parlamentaria para la XI Legislatura. Si bien la jurisprudencia constitucional admite un control material de la iniciativa por parte de las Mesas a efectos de comprobar la idoneidad o procedencia del procedimiento parlamentario elegido, hay que recordar que cuando el Tribunal Constitucional se ha referido a este control material lo ha hecho siempre como una potestad de las Mesas y no como una obligación jurídica de inexcusable cumplimiento, lo que es lógico, porque si la iniciativa puede ser sometida a modificaciones sustanciales durante el procedimiento parlamentario, una exigencia como ésta podría incidir desproporcionadamente sobre el </w:t>
      </w:r>
      <w:r w:rsidRPr="00163957">
        <w:rPr>
          <w:i/>
        </w:rPr>
        <w:t>ius in officium</w:t>
      </w:r>
      <w:r>
        <w:t xml:space="preserve"> que ampara la presentación de iniciativas parlamentarias y el derecho a ser debatidas. En el caso de la idoneidad del procedimiento aplicable, el Tribunal Constitucional ha admitido expresamente que un procedimiento inicial pueda ser reconvertido en otro diferente durante su tramitación (STC 103/2008 y ATC 135/2004). Además, hay que señalar la dificultad para aplicar este límite cuando se trata de una propuesta de resolución y sus posibles efectos, incluidos los jurídicos en los términos que ha reconocido la STC 42/2014, no son vinculantes ni permiten la modificación del ordenamiento. Su manifestación final es un acto de impulso de la acción política y de gobierno, lo que obliga a relativizar el control del procedimiento reglamentario elegido, pues lo contrario sería admitir que la Mesa puede determinar el alcance de la función misma de impulso en detrimento de la voluntad de los que ejercen la iniciativa. Por ello, la actuación de la Mesa debe ser especialmente cautelosa y ceñirse a sus facultades de control formal. Los argumentos del recurrente respecto a la exigencia de que la Mesa hubiera tenido que inadmitir a trámite la propuesta de resolución porque su contenido sería contrario a la Constitución y solo podría producirse mediante una iniciativa de reforma constitucional que el propio Parlamento podría impulsar deben decaer, y sólo podrían tener cierto recorrido en el caso de una iniciativa legislativa, pues una propuesta de resolución es incapaz de producir los efectos jurídicos propios y vinculantes de un acto de naturaleza normativa y es potencialmente incapaz de contradecir la Constitución en los términos necesarios de contraste entre normas o de conflicto entre ordenamientos. El recurrente confunde este momento procedimental inicial con el contenido de la propuesta e incluso con su consideración como acto definitivo y ello le lleva a utilizar un tipo de argumentos de oposición y crítica material y de fondo que, además de ser totalmente inapropiados en un recurso de amparo, llevarían al extremo insostenible de desnaturalizar las funciones de la Mesa del Parlamento, en claro perjuicio del debate político y del pluralismo. Debe rechazarse también el argumento de que la propuesta de resolución excede del contenido posible que permite el art. 164 RPC, al ir más allá del objeto de impulso de la acción política. Una vez más se incurre aquí en el terreno resbaladizo de trasladar a la Mesa una responsabilidad de inadmisión, precisamente sobre el ejercicio de la función parlamentaria de impulso que debe observarse con especial flexibilidad, habida cuenta de la extrema dificultad que supondría la delimitación </w:t>
      </w:r>
      <w:r w:rsidRPr="00163957">
        <w:rPr>
          <w:i/>
        </w:rPr>
        <w:t>a priori</w:t>
      </w:r>
      <w:r>
        <w:t xml:space="preserve"> de lo que puede entenderse como impulso de la acción política y de gobierno. Parece obvio que la Mesa debe guiarse por un criterio formal, especialmente cuando la iniciativa puede encajar en el marco amplio del artículo 164 RPC. También debe rebatirse que la propuesta sea extemporánea por haberse presentado antes de la investidura del Presidente de la Generalitat. La propuesta se dirige efectivamente, en algunos de sus puntos, a un futuro Gobierno, pero a efectos de su admisión a trámite no contiene indicación alguna sobre el momento en que debe ser objeto de debate y votación, ya que esto lo deben determinar después la Mesa y la Junta de Portavoces, como así se hizo sin que esa decisión haya sido objeto de impugnación alguna. Asumir la tesis de la extemporaneidad sería tanto como admitir que mientras no haya investidura no existe posibilidad de que los diputados o los grupos parlamentarios presenten iniciativas o de que la Mesa pueda ejercer en ese lapso </w:t>
      </w:r>
      <w:r>
        <w:lastRenderedPageBreak/>
        <w:t>de tiempo sus funciones de calificación de los escritos, conclusión que es a todas luces inaceptable y que desmiente la praxis parlamentaria. Incluso la propia sustanciación por el Pleno sería posible, como así ha sido en este caso, porque la posibilidad de la convocatoria no está excluida antes de la investidura y porque hay que reconocer al Parlamento constituido la capacidad de aprobar resoluciones dirigidas a los ciudadanos o incluso a un “futuro” Gobierno. Pero, en cualquier caso, lo que se ventila en el presente recurso ni siquiera afecta al recorrido parlamentario de la propuesta de resolución, porque los actos a los que se contrae el recurso se limitan a la fase inicial de la admisión a trámite y a la desestimación de las solicitudes de reconsideración de esa admisión. Y en relación a esta cuestión hay que añadir que por parte de todos los grupos parlamentarios, incluido, por tanto, el que presenta el amparo, se han presentado ante la Mesa numerosas iniciativas, lo que demuestra que el mismo recurrente asume como adecuada, correcta y posible tal presentación y su admisión a trámite antes de la investidura del Presidente de la Generalitat.</w:t>
      </w:r>
    </w:p>
    <w:p w:rsidR="00163957" w:rsidRDefault="00163957" w:rsidP="00163957">
      <w:pPr>
        <w:pStyle w:val="TextoNormal"/>
      </w:pPr>
    </w:p>
    <w:p w:rsidR="00163957" w:rsidRDefault="00163957" w:rsidP="00163957">
      <w:pPr>
        <w:pStyle w:val="TextoNormal"/>
      </w:pPr>
      <w:r>
        <w:t>f) La convocatoria de la Junta de Portavoces sin estar aún constituidos todos los grupos parlamentarios no lesiona el derecho fundamental de los diputados recurrentes. Tras referirse a la tesis en este punto de la demanda, se alega que ni la actuación de la Mesa del Parlamento ni la de su Presidenta han vulnerado norma reglamentaria alguna ni han colocado en posición de inferioridad a los diputados recurrentes, pues ante la no constitución formal del grupo parlamentario los diputados del Partido Popular han podido expresar su posición, ya que, como reconocen los propios recurrentes, fueron invitados a designar un representante para asistir a la reunión de la Junta de Portavoces y así defender su posición. El que en esta ocasión se prefiriera declinar la invitación y no asistir a la reunión de la Junta de Portavoces (mientras si se consideró aceptarla para asistir y expresar su parecer a través de un representante en las reuniones de la Mesa celebradas antes de su constitución formal como grupo parlamentario) es elección de los propios diputados recurrentes, como también lo es la de agotar el plazo de ocho días del artículo 26.4 RPC, sin que por ello sean infravalorados ni puestos en situación de inferioridad alguna que pueda justificar, como se aduce, una vulneración del derecho fundamental reconocido por el artículo 23 CE.</w:t>
      </w:r>
    </w:p>
    <w:p w:rsidR="00163957" w:rsidRDefault="00163957" w:rsidP="00163957">
      <w:pPr>
        <w:pStyle w:val="TextoNormal"/>
      </w:pPr>
    </w:p>
    <w:p w:rsidR="00163957" w:rsidRDefault="00163957" w:rsidP="00163957">
      <w:pPr>
        <w:pStyle w:val="TextoNormal"/>
      </w:pPr>
      <w:r>
        <w:t xml:space="preserve">Debe reconocerse que en el momento de convocarse y de celebrarse la reunión de la Junta de Portavoces en la que se evacuó el trámite previsto en el artículo 38.3 RPC no se había agotado el plazo que el artículo 26.4 RPC concede para que los grupos parlamentarios se constituyan formalmente mediante escrito dirigido a la Mesa del Parlamento. Pero ello no significa, en ningún caso, la imposibilidad de convocar válidamente ese órgano parlamentario, ya que no lo exige el Reglamento del Parlamento de Cataluña ni se desprende de la propia experiencia y lógica parlamentarias. De acuerdo con el artículo 35.1 RPC, la Junta de Portavoces “está constituida” por los portavoces de cada grupo parlamentario y presidida por el Presidente del Parlamento. Pero esto no significa que para considerarse válidamente constituida deban estar presentes todos los grupos parlamentarios, ni que todos estos deban estar formalmente constituidos para reunir válidamente la Junta de Portavoces y ello, precisamente, por el carácter fundamental que tiene este órgano parlamentario en la organización y realización de la actividad parlamentaria. La Junta de Portavoces cumple una función fundamental en un sistema de parlamentarismo racionalizado como es el nuestro y, junto con la Mesa y la Presidencia, son los protagonistas indiscutibles del funcionamiento del Parlamento. A diferencia de la Mesa, que gestiona asuntos de orden administrativo e interno con un carácter primordialmente neutro, por lo que no es necesario que estén representados </w:t>
      </w:r>
      <w:r>
        <w:lastRenderedPageBreak/>
        <w:t xml:space="preserve">en ella todos los grupos parlamentarios, la Junta de Portavoces desarrolla funciones íntimamente relacionadas con las funciones constitucionales o estatutarias de las Cámaras (fijación del orden del día del Pleno, ordenación de los debates y las votaciones, etc.) y tiene un carácter marcadamente político, razón por la cual debe estar integrada por todos los grupos parlamentarios (art. 35.1 RPC), así como contar también con la presencia de otros cargos y órganos parlamentarios y gubernamentales. En consecuencia, dado que la existencia no sólo de la Mesa, sino también de la Junta de Portavoces, es necesaria para desarrollar las funciones parlamentarias más esenciales (como convocar una sesión plenaria, fijar el orden del día, determinar el calendario de sesiones de cada periodo, etc.), la sesión constitutiva del Parlamento no sólo formaliza la constitución legal de la Cámara después de la celebración de las elecciones y determina la composición de la Mesa, sino que también permite constituir </w:t>
      </w:r>
      <w:r w:rsidRPr="00163957">
        <w:rPr>
          <w:i/>
        </w:rPr>
        <w:t>ab initio</w:t>
      </w:r>
      <w:r>
        <w:t xml:space="preserve"> la Junta de Portavoces, dado que es el órgano que junto con la Mesa debe tomar las decisiones más importantes en relación a la programación de la actividad parlamentaria. El plazo de ocho días hábiles a contar desde el siguiente al de la constitución del Parlamento para constituir los grupos parlamentarios (art. 26 RPC) es de caducidad y marca, por tanto, un trámite de carácter preclusivo, pues, transcurrido el mismo, los diputados que no se hayan constituido como grupo o integrado en uno ya existente pasarán a integrar el grupo mixto. Además, el plazo previsto en el citado precepto faculta, pero no obliga, a su agotamiento y por tanto si lo consideran conveniente para alcanzar la plenitud de las posibilidades de actuación en la vida de la Cámara que otorga dicha condición los diputados que reúnan los requisitos previstos en los tres primeros apartados del artículo 26 RPC pueden constituirse en grupo desde el día siguiente mismo al de la constitución del Parlamento. En el caso que nos ocupa, el único grupo parlamentario de los hoy existentes que no se hallaba formalmente constituido en el momento de convocarse y reunirse la Junta de Portavoces era precisamente el Popular en el cual, como era previsible, se han integrado finalmente todos los diputados recurrentes. En consecuencia, aunque el Reglamento del Parlamento de Cataluña no prevea expresamente, a diferencia de otros reglamentos de asambleas autonómicas, cuándo debe entenderse válidamente constituida la Junta de Portavoces, la interpretación conjunta del artículo 89 RPC (que exige que los órganos parlamentarios, para adoptar acuerdos, deben contar con la asistencia al menos de la mayoría absoluta de sus miembros) y la del artículo 35.2 del mismo Reglamento (que dispone el cómputo de votos en la Junta de Portavoces por el sistema de voto ponderado) permiten afirmar que la Junta de Portavoces tenida el 3 de noviembre estaba válidamente constituida. Efectivamente, el Parlamento había celebrado su sesión constitutiva el 27 de octubre, la Presidenta había convocado el órgano el 2 de noviembre, conforme a lo previsto en el artículo 35.2 RPC, y estaban presentes todos sus miembros, salvo el portavoz del futuro grupo del Partido Popular, que en cualquier caso agruparía a once diputados de los 135 que conforman el Pleno. Finalmente, como era previsible, todos los diputados recurrentes se integraron en un único grupo parlamentario, bajo la denominación de Grupo Popular, con lo que la reunión de la Junta del día 3 de noviembre superaba con creces el </w:t>
      </w:r>
      <w:r w:rsidRPr="00163957">
        <w:rPr>
          <w:i/>
        </w:rPr>
        <w:t>quorum</w:t>
      </w:r>
      <w:r>
        <w:t xml:space="preserve"> de reunión que deriva del juego de los artículos 89 y 35.2 RPC. Afirmar, como hacen los diputados recurrentes, que la Junta de Portavoces no podía convocarse lícitamente, pues sus miembros no habían sido aún designados, aparte de faltar a la verdad, pues lo cierto es que la mayor parte de los mismos sí habían sido constituidos, equivaldría a afirmar que la Junta de Portavoces no puede reunirse hasta que el último grupo parlamentario se haya constituido formalmente y comportaría que durante el lapso de tiempo que va desde la constitución de un nuevo Parlamento al cumplimiento del plazo de ocho días hábiles (art. 26.4 RPC) el Parlamento no puede ejercer las funciones que le atribuye formalmente el artículo 55.2 RPC si queda algún grupo parlamentario por constituir, </w:t>
      </w:r>
      <w:r>
        <w:lastRenderedPageBreak/>
        <w:t>lo que significaría reconocer un efecto de bloqueo del órgano parlamentario por un número de diputados equivalente al requerido para formar un solo grupo parlamentario.</w:t>
      </w:r>
    </w:p>
    <w:p w:rsidR="00163957" w:rsidRDefault="00163957" w:rsidP="00163957">
      <w:pPr>
        <w:pStyle w:val="TextoNormal"/>
      </w:pPr>
    </w:p>
    <w:p w:rsidR="00163957" w:rsidRDefault="00163957" w:rsidP="00163957">
      <w:pPr>
        <w:pStyle w:val="TextoNormal"/>
      </w:pPr>
      <w:r>
        <w:t xml:space="preserve">Aunque es cierto que, de acuerdo con la lógica propia de un sistema parlamentario, y en concreto de las normas y principios básicos que articulan las relaciones entre las instituciones de la Generalitat (EAC, art. 4 Ley 13/2008, de la Presidencia de la Generalitat y del Gobierno, artículos 146 y 147 RPC), la primera de las funciones que debe cumplir el Parlamento de la Generalitat de Cataluña tras constituirse es la de investir a un Presidente de la Generalitat, no es menos cierto que la misma sesión de investidura puede tenerse antes de los ocho días hábiles que concede el artículo 26.4 RPC, pues el artículo 4 de la citada Ley 13/2008 establece que dicha sesión debe tenerse dentro del plazo de diez días desde la constitución del Parlamento, sin que se deba, si se cree oportuno, agotar dicho plazo. Así fue en las legislaturas III (5 días), IV (5 días), V (8 días), VIII (6 días), IX (4 días) y X (3 días). Por otro lado, ni la Constitución ni el Estatuto, ni el Reglamento del Parlamento de Cataluña excluyen expresamente la posibilidad de celebrar sesiones plenarias antes del debate de investidura y aun siendo cierto que el único precedente parlamentario que puede citarse es precisamente el de la celebración de la sesión plenaria que aprobó en esta legislatura la Resolución 1/XI, de 9 de noviembre de 2015, declarada inconstitucional y nula por el Tribunal Constitucional, no es menos cierto que en esa Sentencia no se cuestiona el hecho mismo de celebrar una sesión plenaria antes de la investidura. Por otro lado, puede ser necesario convocar una sesión plenaria antes de la investidura y de agotar el plazo del artículo 26.4 RPC para validar, por ejemplo, un Decreto Ley o si se pretende interponer un recurso de inconstitucionalidad y la espera supusiera la expiración del plazo para ello. Para desarrollar estas y otras muchas funciones, como la de reconsiderar una admisión a trámite de un escrito o documento de índole parlamentaria, es necesaria la intervención de la Junta de Portavoces. Por tanto, una interpretación del artículo 35.1 RPC como la que proponen los recurrentes implicaría dejar el funcionamiento del Parlamento ya constituido en manos, durante ocho días hábiles, de aquellos que por diversos motivos, no siempre justificables en interés de la institución parlamentaria, decidan agotar el plazo del artículo 26.4 RPC y paralizar así la actividad parlamentaria. Tal interpretación no está amparada ni por la letra ni por el espíritu o finalidad de las normas reglamentarias en juego. Para estar válidamente constituida la Junta de Portavoces no es necesario que estén presentes todos ellos ni que estén constituidos todos los grupos parlamentarios. La expresión “está constituida” que utiliza el Reglamento del Parlamento de Cataluña y la mayoría de sus homónimas en otros Reglamentos de Cámaras autonómicas está tomada del artículo 39.1 del Reglamento del Congreso de los Diputados para evidenciar que, a pesar de que a las reuniones de la misma puedan o deban asistir otros participantes con el fin de informar o deliberar, sólo se tendrán en cuenta para cumplir el </w:t>
      </w:r>
      <w:r w:rsidRPr="00163957">
        <w:rPr>
          <w:i/>
        </w:rPr>
        <w:t>quorum</w:t>
      </w:r>
      <w:r>
        <w:t xml:space="preserve"> de reunión y votación los miembros constitutivos del órgano. De hecho, en la X legislatura la primera reunión de la Junta de Portavoces se tuvo sin que el grupo mixto estuviese formalmente constituido y, por tanto, antes de agotar el plazo establecido en el artículo 26.4 RPC, pero con un representante de los diputados electos que posteriormente integraron el mismo. Cosa que también habría sucedido si los diputados del Partido Popular hubieran aceptado la invitación a participar en la Junta de Portavoces que les fue ofrecida y que voluntariamente rechazaron, mientras que al mismo tiempo aceptaban la de participar en las reuniones de la Mesa de la que, por cierto, no forman parte y a la que acuden sólo como asistentes con voz, pero sin voto, junto con el otro grupo parlamentario que tampoco tiene representación en la Mesa.</w:t>
      </w:r>
    </w:p>
    <w:p w:rsidR="00163957" w:rsidRDefault="00163957" w:rsidP="00163957">
      <w:pPr>
        <w:pStyle w:val="TextoNormal"/>
      </w:pPr>
    </w:p>
    <w:p w:rsidR="00163957" w:rsidRDefault="00163957" w:rsidP="00163957">
      <w:pPr>
        <w:pStyle w:val="TextoNormal"/>
      </w:pPr>
      <w:r>
        <w:lastRenderedPageBreak/>
        <w:t>Por otra parte, en el caso que nos ocupa la función de la Junta de Portavoces se limita a emitir su parecer respecto a la decisión que debe tomar, en exclusiva, la Mesa y ello abunda aún más en la no vulneración del derecho fundamental, pues no sólo no se ha cometido, como se ha visto, vulneración alguna del procedimiento reglamentario, sino que, ante la situación fáctica de no constitución formal de un grupo, se ha invitado a los diputados electos que aún no se han integrado formalmente en grupo parlamentario a que, si lo consideraban oportuno, pudieran designar un representante para hacer sentir su voz en la Junta de Portavoces. Sin que ni siquiera pueda aducirse, en este caso, que al no ser legalmente portavoz no se podrían tener en cuenta, caso de votación, los diputados que posteriormente se integrarán en dicho grupo, pues en este caso la Junta de Portavoces no tenía que adoptar ningún acuerdo, sino únicamente dar su parecer sobre las solicitudes de reconsideración.</w:t>
      </w:r>
    </w:p>
    <w:p w:rsidR="00163957" w:rsidRDefault="00163957" w:rsidP="00163957">
      <w:pPr>
        <w:pStyle w:val="TextoNormal"/>
      </w:pPr>
    </w:p>
    <w:p w:rsidR="00163957" w:rsidRDefault="00163957" w:rsidP="00163957">
      <w:pPr>
        <w:pStyle w:val="TextoNormal"/>
      </w:pPr>
      <w:r>
        <w:t>Se puede concluir de lo expuesto que la interpretación del artículo 35.1 RPC que hace la demanda no se corresponde ni con la letra ni con el espíritu del Reglamento del Parlamento de Cataluña y tampoco con la praxis del funcionamiento de la institución parlamentaria. La expresión “está constituida” de aquel precepto es sinónima de “está formada”, “está integrada” o “está compuesta” y por tanto lleva a concluir que, en el caso, la Junta de Portavoces estaba debidamente convocada y su celebración reunía las condiciones de validez que impone el Reglamento del Parlamento de Cataluña, pudiendo ejercer, por tanto, las funciones que les son propias, incluida la de evacuar el trámite “oída la Junta de Portavoces” (art. 38.3 RPC), para adoptar, por parte de la Mesa, el acuerdo sobre la petición de reconsideración presentada por los grupos parlamentarios de Ciudadanos y Socialista, a las que se adhirieron, por cierto, todos y cada uno de los diputados que posteriormente constituyeron el Grupo Popular.</w:t>
      </w:r>
    </w:p>
    <w:p w:rsidR="00163957" w:rsidRDefault="00163957" w:rsidP="00163957">
      <w:pPr>
        <w:pStyle w:val="TextoNormal"/>
      </w:pPr>
    </w:p>
    <w:p w:rsidR="00163957" w:rsidRDefault="00163957" w:rsidP="00163957">
      <w:pPr>
        <w:pStyle w:val="TextoNormal"/>
      </w:pPr>
      <w:r>
        <w:t xml:space="preserve">De lo dicho se desprende que ni la actuación de la Presidenta al convocar la Junta de Portavoces ni la celebración de la reunión de este órgano el día 3 de noviembre ignoraron en ningún modo a los diputados que aún no se habían constituido en grupo. Todo lo contrario, respetaron su facultad de agotar dicho plazo, al tiempo que se les invitaba a designar un representante para que pudiera defender su posición en la Junta de Portavoces, designación que en ningún modo suponía comprometer la elección que en un futuro se hiciera en relación a su representación cuando se considerase oportuno constituir formalmente el grupo parlamentario. No se ha vulnerado, en definitiva, el derecho que a los recurrentes reconoce el art. 23 CE. No faltan autores, por lo demás, que hablan de constitución del grupo o de su existencia en un momento previo al de su constitución formal, por considerar que los grupos parlamentarios no son más que la expresión de los partidos políticos, coaliciones o federaciones electorales y que la comunicación de la constitución formal del grupo parlamentario a la Mesa tiene un carácter meramente declarativo. Asimismo, aunque es pacífico que su vida se extiende hasta el término de la legislatura correspondiente, no es menos cierto que, al margen de las diversas posiciones doctrinales al respecto, en la Diputación Permanente los diputados siguen reunidos en grupos y como tales ejercen iniciativas parlamentarias. Así, sin negar que el actual Grupo Popular del Parlamento de Cataluña no se encontraba constituido formalmente cuando se convocó y se reunió la Junta de Portavoces, no es menos cierto que sí era perfectamente posible designar un diputado elegido por el Partido Popular para que expresara la opinión de sus futuros compañeros de grupo, como así ocurrió en el caso de las diversas reuniones de la Mesa mantenidas hasta entonces, a las que no sólo asistió el representante de los diputados populares, sino que incluso llegó a intervenir en diversas ocasiones, como reflejan las actas correspondientes. Por otra parte, y para abundar </w:t>
      </w:r>
      <w:r>
        <w:lastRenderedPageBreak/>
        <w:t>en la preexistencia o continuidad de los grupos parlamentarios, hay que destacar de manera especial las actuaciones que los recurrentes, aún no formalmente constituidos como grupo, venían desarrollando como si lo fueran o utilizando medios imaginativos, como la misma figura de adherirse “en bloque” a las peticiones de reconsideración formuladas mediante un escrito con el membrete del aún no existente entonces “Grupo Parlamentario del Partido Popular de Cataluña”. En definitiva, ni la Presidencia ni la Junta de Portavoces han ignorado, minusvalorado o infravalorado a los diputados del Partido Popular. Al contrario, pudiendo celebrar tanto la reunión de la Mesa como la de la Junta sin asistencia de ningún representante popular, al no estar constituidos formalmente como grupo, el ofrecimiento hecho de participar mediante un representante muestra que la actuación de la Mesa y de la Presidenta fue especialmente deferente en este caso.</w:t>
      </w:r>
    </w:p>
    <w:p w:rsidR="00163957" w:rsidRDefault="00163957" w:rsidP="00163957">
      <w:pPr>
        <w:pStyle w:val="TextoNormal"/>
      </w:pPr>
    </w:p>
    <w:p w:rsidR="00163957" w:rsidRDefault="00163957" w:rsidP="00163957">
      <w:pPr>
        <w:pStyle w:val="TextoNormal"/>
      </w:pPr>
      <w:r>
        <w:t>Por otra parte, si la Mesa y la Presidenta del Parlamento hubiesen actuado como proponen los recurrentes y no se hubiese convocado y reunido la Junta de Portavoces, sí que habrían incurrido en una infracción reglamentaria y en la vulneración de los derechos fundamentales de los diputados integrantes de los dos grupos solicitantes de la reconsideración del acuerdo de admisión a trámite de la propuesta de Resolución 1/XI del Parlamento de Cataluña y también, aunque parezca contradictorio, de los derechos de los mismos diputados del grupo parlamentario popular que se habían finalmente “adherido” a esas solicitudes. En efecto, conforme al apartado segundo del art. 38 RPC, la presentación de la petición suspende el trámite hasta la toma de una decisión al respecto y se prevé un plazo preclusivo de cuatro días para resolver definitivamente de forma motivada y tras oír la opinión de la Junta de Portavoces. Así las cosas, o bien se infringía la exigencia de consulta a la Junta de Portavoces, vulnerando la literalidad del precepto y los derechos del resto de grupos a expresar su parecer, o se omitía la obligatoriedad de responder en el plazo de cuatro días para esperar a la constitución formal del grupo parlamentario del Partido Popular o del grupo mixto, vulnerando entonces no sólo el derecho de los diputados integrantes de los grupos proponentes de la resolución a la tramitación de la misma sin dilaciones indebidas, sino también el derecho de los diputados integrantes de los grupos que formularon la reconsideración y que tenían derecho a obtener una respuesta a la misma en dicho plazo de cuatro días.</w:t>
      </w:r>
    </w:p>
    <w:p w:rsidR="00163957" w:rsidRDefault="00163957" w:rsidP="00163957">
      <w:pPr>
        <w:pStyle w:val="TextoNormal"/>
      </w:pPr>
    </w:p>
    <w:p w:rsidR="00163957" w:rsidRDefault="00163957" w:rsidP="00163957">
      <w:pPr>
        <w:pStyle w:val="TextoNormal"/>
      </w:pPr>
      <w:r>
        <w:t xml:space="preserve">Es fácil deducir de lo expuesto que no existe motivo ni fundamento alguno para considerar que las actuaciones seguidas en este caso, y, especialmente, la convocatoria de la Junta de Portavoces, infrinjan el Reglamento del Parlamento de Cataluña, ni mucho menos que sean lesivas del derecho fundamental de los recurrentes. Por el contrario, la actuación de estos diputados rechazando la invitación a ser representados por uno de ellos en la Junta de Portavoces, las contradicciones que evidencian sus actos propios (asistencia a las reuniones de la Mesa como grupo parlamentario </w:t>
      </w:r>
      <w:r w:rsidRPr="00163957">
        <w:rPr>
          <w:i/>
        </w:rPr>
        <w:t>de facto</w:t>
      </w:r>
      <w:r>
        <w:t xml:space="preserve"> y la presentación de su “adhesión” a las solicitudes de reconsideración mediante escrito con membrete del Grupo Parlamentario Popular de Cataluña), así como la remota posibilidad de quedar constituidos como grupo mixto (única posible, según el Reglamento), permiten presumir que esa actuación podría haber estado inspirada, en realidad, por la voluntad de utilizar el Reglamento con la finalidad de dilatar los trámites parlamentarios.</w:t>
      </w:r>
    </w:p>
    <w:p w:rsidR="00163957" w:rsidRDefault="00163957" w:rsidP="00163957">
      <w:pPr>
        <w:pStyle w:val="TextoNormal"/>
      </w:pPr>
    </w:p>
    <w:p w:rsidR="00163957" w:rsidRDefault="00163957" w:rsidP="00163957">
      <w:pPr>
        <w:pStyle w:val="TextoNormal"/>
      </w:pPr>
      <w:r>
        <w:t>Tras referirse a la documentación que se adjunta a las alegaciones, se concluyó con la solicitud de que se dictara Sentencia por la que se inadmitiera o denegara, en su caso, el amparo solicitado.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12</w:t>
      </w:r>
      <w:r>
        <w:t>. Por providencia de 7 de junio de 2016 se señaló esa misma fecha para la deliberación y votación de la presente Sentencia.</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Los demandantes de amparo son, todos ellos, diputados del Parlamento de Cataluña elegidos en su día en las listas presentadas por el Partido Popular e impugnan, con invocación de los derechos fundamentales enunciados en el artículo 23 CE, una diversidad de actos ya de la Mesa de dicha Cámara, ya de su Presidencia, adoptados tanto con ocasión de la presentación por dos grupos parlamentarios de determinada propuesta de resolución como a resultas de las solicitudes de reconsideración planteadas frente a la admisión a trámite de aquella propuesta, presentación y solicitudes previstas y ordenadas, respectivamente, en los artículos 164 y siguientes y en el artículo 38 del Reglamento de la asamblea (RPC, en lo sucesivo). Son tales actos, en primer lugar, el acuerdo de la Mesa, de 27 de octubre de 2015, por el que se admitió a trámite la “Propuesta de resolución sobre el inicio del proceso político en Cataluña como consecuencia de los resultados electorales”, decisión que la demanda tacha de lesiva de los derechos fundamentales que invoca por entender que la Mesa nunca debió dar curso a una propuesta, como la dicha, que era —se aduce— inconstitucional “de forma palmaria y evidente”; en segundo lugar, el acuerdo de la misma Mesa, del día 28 siguiente, por el que se dispuso que la mentada propuesta se tramitara por el procedimiento reglamentario de urgencia; la resolución, asimismo, de la Presidencia de la Cámara, de 2 de noviembre de 2015, mediante la que se convocó a la Junta de Portavoces para el siguiente día 3 a fin de que fuera oída, como el Reglamento del Parlamento de Cataluña prescribe, antes de decidir sobre las peticiones de reconsideración presentadas frente a aquella admisión a trámite por dos grupos parlamentarios, a las que se adhirieron los hoy recurrentes, convocatoria ésta que habría incurrido, de nuevo, en lesión de los derechos fundamentales </w:t>
      </w:r>
      <w:r w:rsidRPr="00163957">
        <w:rPr>
          <w:i/>
        </w:rPr>
        <w:t>ex</w:t>
      </w:r>
      <w:r>
        <w:t xml:space="preserve"> art. 23 CE, pues —viene a decirse— mal podría reunirse dicho órgano cuando los diputados elegidos en las listas del Partido Popular no se habían constituido aún en grupo parlamentario ni designado, por lo mismo, portavoz, contando para ello con plazo reglamentario hasta el día 5 del mismo mes (plazo prorrogado por decisión de la Mesa —observan— hasta las 9:30 horas del siguiente día 6); y en fin, los acuerdos de la Mesa de la Cámara, de 3 de noviembre de 2015, por los que, respectivamente, se denegaron las solicitudes de reconsideración frente a la admisión a trámite, que fue por tanto mantenida o confirmada, y se decidió la apertura de trámite de enmiendas sobre la controvertida propuesta de resolución, señalando al respecto la demanda que aquella resolución de las solicitudes dichas estaría viciada, pues, en rigor, la Junta de Portavoces no habría sido oída, pendientes como todavía estaban los actuales recurrentes de constituirse en grupo y de designar portavoz.</w:t>
      </w:r>
    </w:p>
    <w:p w:rsidR="00163957" w:rsidRDefault="00163957" w:rsidP="00163957">
      <w:pPr>
        <w:pStyle w:val="TextoNormal"/>
      </w:pPr>
    </w:p>
    <w:p w:rsidR="00163957" w:rsidRDefault="00163957" w:rsidP="00163957">
      <w:pPr>
        <w:pStyle w:val="TextoNormal"/>
      </w:pPr>
      <w:r>
        <w:t xml:space="preserve">Importa reseñar desde el principio, en recapitulación también de lo expuesto en los antecedentes, que si bien la demanda cita siempre como infringidos, según se ha dicho, los derechos fundamentales del art. 23 CE, son vertientes o facetas distintas de estos derechos las que se invocan frente a unos u otros de los actos que así se impugnan. A decir de los demandantes, la inicial admisión a trámite de la repetida propuesta de resolución (y, hay que entender, su ulterior confirmación al resolver las solicitudes de reconsideración) “vulnera el ejercicio de la función representativa” de los actores, o del Parlamento todo de Cataluña, por lo mismo que, siendo la iniciativa admitida a todas luces contraria a la Constitución, su tramitación daría lugar a debatir sobre si el derecho fundamental del repetido art. 23 CE </w:t>
      </w:r>
      <w:r>
        <w:lastRenderedPageBreak/>
        <w:t>“supera la propia configuración” que del mismo hacen la norma fundamental y “la legalidad vigente”, desnaturalizándose así la representación política que corresponde a la institución parlamentaria. Distintas serían, siempre según la demanda, las infracciones deparadas a resultas de la convocatoria irregular, por prematura, de la Junta de Portavoces y de la resolución de las solicitudes de reconsideración a las que los actores se adhirieron. Aquella convocatoria y la reunión a la que dio lugar infringieron el derecho de los diputados que recurren a constituirse en grupo parlamentario conforme a las disposiciones reglamentarias y les privaron, al tiempo, de su derecho a estar presentes, y defender sus posiciones, en una Junta de Portavoces que debiera haber estado regularmente constituida, vulneración —aducen— que no quedó paliada, sino más bien corroborada, mediante la invitación que por la Presidencia de la Cámara se les hizo llegar, a fin de que designaran un “representante” que asistiera en su nombre a la reunión convocada para el día 3 de noviembre, invitación que declinaron. La resolución, en fin, de las solicitudes de reconsideración habría conculcado también, a consecuencia de todo ello, el derecho de quienes las formularon y de quienes, como los actores, se adhirieron a ellas en orden a que tales solicitudes se decidieran sólo después de oír a la Junta de Portavoces, y ya se ha dicho que, para la demanda, no merecería tal nombre la reunión celebrada el día 3 de noviembre, cuando aún los recurrentes no se habían constituido en grupo ni designado portavoz.</w:t>
      </w:r>
    </w:p>
    <w:p w:rsidR="00163957" w:rsidRDefault="00163957" w:rsidP="00163957">
      <w:pPr>
        <w:pStyle w:val="TextoNormal"/>
      </w:pPr>
    </w:p>
    <w:p w:rsidR="00163957" w:rsidRDefault="00163957" w:rsidP="00163957">
      <w:pPr>
        <w:pStyle w:val="TextoNormal"/>
      </w:pPr>
      <w:r>
        <w:t>Tales son, en síntesis, los argumentos que la demanda expone, con los que viene a coincidir, en buena medida, el Ministerio Fiscal, quien concluye pidiendo, en todo caso, la concesión del amparo. Lo contrario interesa en sus alegaciones la representación del Parlamento de Cataluña mediante unos razonamientos expuestos también con detalle en los antecedentes y a los que nos referiremos al hilo del examen de estas quejas.</w:t>
      </w:r>
    </w:p>
    <w:p w:rsidR="00163957" w:rsidRDefault="00163957" w:rsidP="00163957">
      <w:pPr>
        <w:pStyle w:val="TextoNormal"/>
      </w:pPr>
    </w:p>
    <w:p w:rsidR="00163957" w:rsidRDefault="00163957" w:rsidP="00163957">
      <w:pPr>
        <w:pStyle w:val="TextoNormal"/>
      </w:pPr>
      <w:r>
        <w:t>El objeto de este recurso es similar al planteado en los recursos de amparo 6205-2015, por los diputados del grupo parlamentario Ciudadanos en el Parlamento de Cataluña, y 6206-2015, por los diputados del Parlamento de Cataluña integrados en el grupo parlamentario Socialista, los cuales son resueltos por las SSTC 107/2016 y 108/2016, de 7 de junio, respectivamente.</w:t>
      </w:r>
    </w:p>
    <w:p w:rsidR="00163957" w:rsidRDefault="00163957" w:rsidP="00163957">
      <w:pPr>
        <w:pStyle w:val="TextoNormal"/>
      </w:pPr>
    </w:p>
    <w:p w:rsidR="00163957" w:rsidRDefault="00163957" w:rsidP="00163957">
      <w:pPr>
        <w:pStyle w:val="TextoNormal"/>
      </w:pPr>
      <w:r>
        <w:t>Es de ver, asimismo, que el recurso tiene especial trascendencia constitucional, por cuanto plantea un problema o una faceta de un derecho fundamental susceptible de amparo sobre el que no hay doctrina del Tribunal Constitucional (el alcance del derecho de representación política en la Junta de Portavoces cuando aún no se ha constituido un grupo parlamentario) y versa sobre una cuestión que trasciende del caso concreto porque plantea una cuestión jurídica con consecuencias políticas generales, en su calidad de amparo parlamentario [STC 155/2009, de 25 de junio, supuestos a) y g) del fundamento jurídico 2, último párrafo].</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entrar en el fondo, son necesarias algunas precisiones iniciales tanto sobre la petición de inadmisión del recurso que formula la representación del Parlamento, como acerca de cuál deba ser, vista la demanda, el ámbito objetivo de nuestro enjuiciamiento.</w:t>
      </w:r>
    </w:p>
    <w:p w:rsidR="00163957" w:rsidRDefault="00163957" w:rsidP="00163957">
      <w:pPr>
        <w:pStyle w:val="TextoNormal"/>
      </w:pPr>
    </w:p>
    <w:p w:rsidR="00163957" w:rsidRDefault="00163957" w:rsidP="00163957">
      <w:pPr>
        <w:pStyle w:val="TextoNormal"/>
      </w:pPr>
      <w:r>
        <w:t xml:space="preserve">a) La representación del Parlamento de Cataluña interesa la inadmisión de este recurso, que habría de serlo ya por Sentencia, con el argumento de que mediante el mismo lo que se formula sería, en realidad, una impugnación abstracta por inconstitucionalidad frente a la discutida propuesta de resolución admitida a trámite en su día, impugnación inviable, entre </w:t>
      </w:r>
      <w:r>
        <w:lastRenderedPageBreak/>
        <w:t>otras razones, por cuanto, de resolverse en este cauce, se desnaturalizaría un proceso constitucional, como el de amparo, que existe para decidir sobre lesiones subjetivas de derechos, no para dar lugar a una “interpretación genérica” de las normas que los enuncian (aquí las del artículo 23 CE), y tal sería —se dice— la pretensión de los demandantes. De compartirse, este alegato no afectaría a toda la demanda, sino, eventualmente, a la parte de la misma en que se aduce —como tacha, cabe decir, sustantiva— que la admisión a trámite de una propuesta de resolución manifiestamente contraria a la Constitución depararía una desfiguración de la representación política institucionalizada en el Parlamento de la Comunidad Autónoma. Ya sólo por ello la petición de inadmisión del recurso no podría ser acogida. Ocurre, además, que la valoración jurídica de lo así argumentado no puede realizarse por el Tribunal sin entrar en el fondo de las pretensiones deducidas en la demanda y de sus fundamentaciones en Derecho, indisociables como son estas últimas del examen de las consideraciones críticas con las que se solicita una inadmisión a trámite que, por todo ello, debe ser rechazada.</w:t>
      </w:r>
    </w:p>
    <w:p w:rsidR="00163957" w:rsidRDefault="00163957" w:rsidP="00163957">
      <w:pPr>
        <w:pStyle w:val="TextoNormal"/>
      </w:pPr>
    </w:p>
    <w:p w:rsidR="00163957" w:rsidRDefault="00163957" w:rsidP="00163957">
      <w:pPr>
        <w:pStyle w:val="TextoNormal"/>
      </w:pPr>
      <w:r>
        <w:t>b) El Tribunal, por lo demás, no entrará aquí en el enjuiciamiento constitucional, directo y específico, de dos de los actos que la demanda dice impugnar. El primero de tales actos es el acuerdo de la Mesa, de 28 de octubre de 2015, por el que, admitida ya a trámite la propuesta de resolución, se decidió su tramitación por el procedimiento de urgencia (art. 105 RPC), acuerdo frente al que nada se argumenta de modo singular en la demanda, siendo carga del recurrente fundamentar todas y cada una de sus pretensiones y no correspondiéndole al Tribunal reconstruir, en cualquiera de sus aspectos, las razones que hayan llevado a la impugnación (por todas las resoluciones en este sentido, STC 20/2008, de 31 de enero, FJ 2). Acaso esta falta de argumentación pueda deberse a la apreciación por los demandantes de que, siendo a su juicio inválida la inicial admisión a trámite de la propuesta de resolución, idéntico vicio afectaría a los actos posteriores de tramitación y también, por tanto, a este acuerdo de la Mesa del 28 de octubre frente al que nada dicen. Pero tal hipotético razonamiento confirmaría, más bien, que la lesión del derecho fundamental estaría sólo, en lo que a este aspecto de la demanda importa, en aquella inicial admisión a trámite, con independencia de cuáles fueran, de confirmase esa lesión, los efectos de su declaración por el Tribunal sobre las actuaciones de trámite ulteriores. Otro tanto, y por iguales razones, es obligado ahora decir respecto de la impugnación, huérfana también de fundamentación específica, del acuerdo de la Mesa, de 3 de noviembre de 2015, por el que, rechazadas ya las peticiones de reconsideración, se acordó, en acto separado, la apertura del plazo para la presentación de enmiendas a la misma (art. 164.3 RPC). Ello con independencia de que los actuales recurrentes, constituidos ya en grupo parlamentario el 5 de noviembre de 2015, presentaron enmienda a la totalidad de la repetida propuesta (“Boletín Oficial del Parlamento de Cataluña”, núm. 6, de 6 de noviembre del mismo año). Este acuerdo queda, en sí mismo, fuera también de nuestro enjuiciamiento.</w:t>
      </w:r>
    </w:p>
    <w:p w:rsidR="00163957" w:rsidRDefault="00163957" w:rsidP="00163957">
      <w:pPr>
        <w:pStyle w:val="TextoNormal"/>
      </w:pPr>
    </w:p>
    <w:p w:rsidR="00163957" w:rsidRDefault="00163957" w:rsidP="00163957">
      <w:pPr>
        <w:pStyle w:val="TextoNormal"/>
      </w:pPr>
      <w:r w:rsidRPr="00163957">
        <w:rPr>
          <w:rStyle w:val="NumeroAFNegritaCaracter"/>
        </w:rPr>
        <w:t>3</w:t>
      </w:r>
      <w:r>
        <w:t>. Antes de iniciar este enjuiciamiento son todavía necesarias, sin embargo, otras dos consideraciones previas, referida, la primera, a la jurisprudencia constitucional, en general, sobre el derecho fundamental que la demanda dice vulnerado y relativa, la segunda, al orden en el que procederemos al examen de las distintas quejas deducidas:</w:t>
      </w:r>
    </w:p>
    <w:p w:rsidR="00163957" w:rsidRDefault="00163957" w:rsidP="00163957">
      <w:pPr>
        <w:pStyle w:val="TextoNormal"/>
      </w:pPr>
    </w:p>
    <w:p w:rsidR="00163957" w:rsidRDefault="00163957" w:rsidP="00163957">
      <w:pPr>
        <w:pStyle w:val="TextoNormal"/>
      </w:pPr>
      <w:r>
        <w:t xml:space="preserve">a) Los demandantes invocan, como venimos diciendo, los derechos fundamentales enunciados en el artículo 23 CE y es patente que tal cita, atendida su condición de diputados y estando a lo expuesto en la demanda, remite, en primer lugar, a lo dispuesto en el número 2 </w:t>
      </w:r>
      <w:r>
        <w:lastRenderedPageBreak/>
        <w:t>de aquel precepto, de conformidad con el cual los ciudadanos “tienen derecho a acceder en condiciones de igualdad a las funciones y cargos públicos, con los requisitos que señalen las leyes”. Sobre esta disposición constitucional, y sobre los derechos que afirma, existe, como es notorio, una muy amplia y arraigada jurisprudencia de este Tribunal, cuyas determinaciones básicas, en punto a los cargos representativos, procede de modo sumario recordar.</w:t>
      </w:r>
    </w:p>
    <w:p w:rsidR="00163957" w:rsidRDefault="00163957" w:rsidP="00163957">
      <w:pPr>
        <w:pStyle w:val="TextoNormal"/>
      </w:pPr>
    </w:p>
    <w:p w:rsidR="00163957" w:rsidRDefault="00163957" w:rsidP="00163957">
      <w:pPr>
        <w:pStyle w:val="TextoNormal"/>
      </w:pPr>
      <w:r>
        <w:t xml:space="preserve">Desde las SSTC 10/1983, de 21 de febrero, y 32/1985, de 6 de marzo (FFJJ 2 y 3, respectivamente), hemos afirmado así, con unas u otras palabras, que el derecho de acceder a los cargos de naturaleza representativa implica también, necesariamente, el de mantenerse en ellos y desempeñarlos de acuerdo con la ley (con los reglamentos parlamentarios, asimismo, en lo que ahora importa), sin constricciones o perturbaciones ilegítimas. También desde aquellas Sentencias, y en los mismos fundamentos jurídicos, el Tribunal tiene dicho, y así lo recuerda hasta el presente, que cuando se trata, como ahora es el caso, de cargos representativos el derecho enunciado en el número 2 de este precepto ha de ponerse en relación con el que le precede en el mismo artículo, de conformidad con el cual y en lo que aquí interesa, los ciudadanos “tienen el derecho de participar en los asuntos públicos … por medio de representantes, libremente elegidos en elecciones periódicas por sufragio universal”, relación de obligada constatación si se tiene en cuenta que son los representantes, justamente, quienes actualizan aquel derecho de los ciudadanos a la participación, al margen ahora la de carácter directo que asimismo el propio precepto garantiza. Y también una muy reiterada jurisprudencia constitucional viene destacando que el derecho que aquí consideramos, por ser de configuración legal, ha de realizarse y preservarse de conformidad con las normas que en cada caso lo regulen, incluidas, como acabamos de recordar, las de los respectivos reglamentos de las cámaras representativas. En el bien entendido, en fin, de que en el artículo 23.2 no ha asumido la Constitución un genérico derecho, con la condición de fundamental, al respeto de todas y cada una de las prescripciones de aquellos reglamentos, con la consecuencia de que el derecho de los representantes, y en particular su </w:t>
      </w:r>
      <w:r w:rsidRPr="00163957">
        <w:rPr>
          <w:i/>
        </w:rPr>
        <w:t>ius in officium</w:t>
      </w:r>
      <w:r>
        <w:t>, sólo podrá considerarse violado si las aducidas contravenciones de las normas internas de las asambleas afectan al núcleo de los derechos y facultades de los representantes [por todas, STC 200/2014, de 15 de diciembre, FJ 4 a), y sentencias allí citadas]. A partir de este sucinto y genérico recordatorio de nuestra doctrina, que habrá de ser particularizado en lo que sigue, hemos de abordar el examen de las quejas deducidas en la demanda.</w:t>
      </w:r>
    </w:p>
    <w:p w:rsidR="00163957" w:rsidRDefault="00163957" w:rsidP="00163957">
      <w:pPr>
        <w:pStyle w:val="TextoNormal"/>
      </w:pPr>
    </w:p>
    <w:p w:rsidR="00163957" w:rsidRDefault="00163957" w:rsidP="00163957">
      <w:pPr>
        <w:pStyle w:val="TextoNormal"/>
      </w:pPr>
      <w:r>
        <w:t xml:space="preserve">b) Con relación a ese análisis, este Tribunal ha reiterado que le corresponde siempre determinar el orden del examen de las diversas invocaciones, conforme a las circunstancias de cada concreto supuesto (STC 169/2013, de 7 de octubre, FJ 2). Las singulares circunstancias concurrentes en este caso determinan que el orden de enjuiciamiento que va a seguirse sea el mismo que el planteado por los demandantes de amparo. Con carácter general, el análisis de las diversas invocaciones suele comenzar por las lesiones de carácter procedimental, entre las que en este caso figurarían las imputadas a la tramitación y resolución de las solicitudes de reconsideración, ya que su eventual estimación determinaría un efecto de retroacción de actuaciones que permitiría con plenitud de competencia resolver la cuestión de fondo sin que resultara prejuzgada por este Tribunal. Ahora bien, el hecho de que finalmente la resolución aprobada por el Parlamento de Cataluña, como resultado de la propuesta que era objeto de los acuerdos ahora impugnados, haya sido ya anulada por razones de fondo por la STC 259/2015, de 2 de diciembre, deja sin objeto útil cualquier posible decisión de retroacción de actuaciones. Por tal razón, el primer aspecto a analizar en el presente recurso </w:t>
      </w:r>
      <w:r>
        <w:lastRenderedPageBreak/>
        <w:t>será la cuestión de fondo de la decisión de admisión por la Mesa de la propuesta de resolución.</w:t>
      </w:r>
    </w:p>
    <w:p w:rsidR="00163957" w:rsidRDefault="00163957" w:rsidP="00163957">
      <w:pPr>
        <w:pStyle w:val="TextoNormal"/>
      </w:pPr>
    </w:p>
    <w:p w:rsidR="00163957" w:rsidRDefault="00163957" w:rsidP="00163957">
      <w:pPr>
        <w:pStyle w:val="TextoNormal"/>
      </w:pPr>
      <w:r w:rsidRPr="00163957">
        <w:rPr>
          <w:rStyle w:val="NumeroAFNegritaCaracter"/>
        </w:rPr>
        <w:t>4</w:t>
      </w:r>
      <w:r>
        <w:t>. Como se ha expuesto, los recurrentes consideran que esa decisión de la Mesa de admitir a trámite la indicada propuesta de resolución resulta indebida e infringe el artículo 23.2 CE. Según la demanda, tal lesión provendría de que se trata de una propuesta de resolución que transgrede “de forma palmaria y evidente la Constitución y el Derecho”, por lo que —se aduce— su admisión a trámite “vulnera el ejercicio de la función representativa … al alterar la propia naturaleza de este derecho fundamental de representación”. Ya se ha dicho que la Fiscalía concluye sus alegaciones en este extremo de forma coincidente con la demanda y que lo contrario argumenta y pide la representación del Parlamento de Cataluña, para la que, en síntesis, esta parte de la queja constitucional es impropia de un recurso de amparo, pues con la invocación del artículo 23.2 CE lo que los recurrentes plantean en verdad —viene a decirse— es una pretensión de carácter abstracto mediante la que demandan una interpretación genérica de aquel precepto constitucional, no la defensa singular del derecho fundamental en él reconocido.</w:t>
      </w:r>
    </w:p>
    <w:p w:rsidR="00163957" w:rsidRDefault="00163957" w:rsidP="00163957">
      <w:pPr>
        <w:pStyle w:val="TextoNormal"/>
      </w:pPr>
    </w:p>
    <w:p w:rsidR="00163957" w:rsidRDefault="00163957" w:rsidP="00163957">
      <w:pPr>
        <w:pStyle w:val="TextoNormal"/>
      </w:pPr>
      <w:r>
        <w:t>El Tribunal no puede acoger, como pretensión de amparo, lo que en este punto de la demanda se le pide:</w:t>
      </w:r>
    </w:p>
    <w:p w:rsidR="00163957" w:rsidRDefault="00163957" w:rsidP="00163957">
      <w:pPr>
        <w:pStyle w:val="TextoNormal"/>
      </w:pPr>
    </w:p>
    <w:p w:rsidR="00163957" w:rsidRDefault="00163957" w:rsidP="00163957">
      <w:pPr>
        <w:pStyle w:val="TextoNormal"/>
      </w:pPr>
      <w:r>
        <w:t>a) Existe ya una extensa jurisprudencia constitucional sobre la extensión y límites de las facultades de las Mesas de las asambleas en orden a la calificación y, sobre todo, a la admisión o inadmisión a trámite de iniciativas parlamentarias de diverso tipo, jurisprudencia formada, casi sin excepción, a partir de resoluciones en las que se examinaron quejas de amparo, con cita del artículo 23.2 CE, frente a lesiones, reales o supuestas, imputadas a actos de las Mesas que rechazaron la admisión a trámite de iniciativas o propuestas planteadas por representantes o por grupos parlamentarios.</w:t>
      </w:r>
    </w:p>
    <w:p w:rsidR="00163957" w:rsidRDefault="00163957" w:rsidP="00163957">
      <w:pPr>
        <w:pStyle w:val="TextoNormal"/>
      </w:pPr>
    </w:p>
    <w:p w:rsidR="00163957" w:rsidRDefault="00163957" w:rsidP="00163957">
      <w:pPr>
        <w:pStyle w:val="TextoNormal"/>
      </w:pPr>
      <w:r>
        <w:t xml:space="preserve">En sus determinaciones básicas, y por lo que hace ahora al caso, esta jurisprudencia constitucional tiene declarado, en síntesis, que aquellas facultades de las Mesas lo son sobre todo a efectos de controlar la regularidad jurídica y la viabilidad formal o procesal de las iniciativas presentadas, si bien pueden también extenderse, cuando así lo prevea el respectivo reglamento, a un examen material de aquéllas si tal delimitación sustantiva existe en el ordenamiento y ello a efectos de definir cuál sea el procedimiento parlamentario en cada caso idóneo para su tramitación (por todas, SSTC 1/2015, de 19 de enero, FJ 3, y 23/2015, de 16 de febrero, FJ 3). Hemos dicho asimismo que las Mesas, con carácter general, no deben inadmitir propuestas o proposiciones a causa de la supuesta inconstitucionalidad de su contenido, pues ello infringiría el derecho </w:t>
      </w:r>
      <w:r w:rsidRPr="00163957">
        <w:rPr>
          <w:i/>
        </w:rPr>
        <w:t>ex</w:t>
      </w:r>
      <w:r>
        <w:t xml:space="preserve"> artículo 23.2 CE de los parlamentarios autores de unas iniciativas u otras [en tal sentido, SSTC 124/1995, de 18 de julio, FFJJ 3 y 4; 107/2001, de 23 de abril, FJ 8, y 78/2006, de 13 de marzo, FJ 5 a), así como ATC 85/2006, de 15 de marzo, FJ 4]. Tal principio sólo admite una muy limitada salvedad, pues también hemos aludido a la posibilidad, “en supuestos excepcionales”, de que las Mesas rechacen —sin daño, pues, para aquel derecho fundamental— una determinada propuesta o proposición cuya contradicción a Derecho o inconstitucionalidad fueran “palmarias y evidentes” (SSTC 124/1995, FJ 2; 10/2016, de 1 de febrero, FJ 4, y resoluciones allí citadas).</w:t>
      </w:r>
    </w:p>
    <w:p w:rsidR="00163957" w:rsidRDefault="00163957" w:rsidP="00163957">
      <w:pPr>
        <w:pStyle w:val="TextoNormal"/>
      </w:pPr>
    </w:p>
    <w:p w:rsidR="00163957" w:rsidRDefault="00163957" w:rsidP="00163957">
      <w:pPr>
        <w:pStyle w:val="TextoNormal"/>
      </w:pPr>
      <w:r>
        <w:lastRenderedPageBreak/>
        <w:t xml:space="preserve">Las partes no desconocen, en general, esta jurisprudencia, si bien discrepan en su aplicación al caso. Para los demandantes, la posibilidad de que las Mesas de las asambleas rechacen </w:t>
      </w:r>
      <w:r w:rsidRPr="00163957">
        <w:rPr>
          <w:i/>
        </w:rPr>
        <w:t>a limine</w:t>
      </w:r>
      <w:r>
        <w:t xml:space="preserve"> una iniciativa parlamentaria patentemente contraria a la Constitución, sin infringir con ello el derecho fundamental de su autor, sería no una mera facultad, sino un deber constitucional de la Mesa, deber que, de incumplirse, depararía la violación, precisamente, del derecho fundamental enunciado en el artículo 23.2 CE. No otra cosa, a su juicio, se habría verificado aquí, pues, reiteran, la Mesa dio curso a una propuesta de resolución manifiestamente incompatible con la Constitución y con el Estatuto de Autonomía de Cataluña (EAC, en lo que sigue). La representación del Parlamento de Cataluña niega que sobre la Mesa pesara tal deber, así como, en todo caso, que la admisión a trámite de la propuesta de resolución haya lesionado los derechos de los demandantes declarados en el art. 23.2 CE, derechos en cuyo ejercicio, justamente, se habría presentado la controvertida propuesta de resolución. Por lo que a continuación diremos, le asiste razón jurídica a esta última representación en el concreto alegato de que la repetida admisión a trámite no conculcó los derechos fundamentales que la demanda invoca.</w:t>
      </w:r>
    </w:p>
    <w:p w:rsidR="00163957" w:rsidRDefault="00163957" w:rsidP="00163957">
      <w:pPr>
        <w:pStyle w:val="TextoNormal"/>
      </w:pPr>
    </w:p>
    <w:p w:rsidR="00163957" w:rsidRDefault="00163957" w:rsidP="00163957">
      <w:pPr>
        <w:pStyle w:val="TextoNormal"/>
      </w:pPr>
      <w:r>
        <w:t xml:space="preserve">b) El Tribunal, según se acaba de decir, no ha dejado de observar en ocasiones que las Mesas de las asambleas parlamentarias podrían llegar a inadmitir a trámite, en supuestos excepcionales y sin daño para el derecho </w:t>
      </w:r>
      <w:r w:rsidRPr="00163957">
        <w:rPr>
          <w:i/>
        </w:rPr>
        <w:t>ex</w:t>
      </w:r>
      <w:r>
        <w:t xml:space="preserve"> art. 23.2 CE, aquellas propuestas o iniciativas cuyo contenido, en hipótesis, fuera incompatible con la Constitución de modo palmario y evidente. En modo alguno cabría de principio excluir que en tales casos excepcionales tuvieran las Mesas la facultad de no dar curso a la propuesta de que se trate, extremo este último, sin embargo, sobre el que el Tribunal tampoco se ha de pronunciar ahora, pues, aun configurado como deber constitucional de la Mesa tal poder de inadmisión en casos límite, su incumplimiento no depararía infracción del derecho fundamental (art. 23.2 CE) de quienes denuncien tal supuesta omisión de un control que habría sido obligado. En el contenido del derecho enunciado en el art. 23.2 CE no se encuentra lo que habría que llamar “derecho fundamental a la constitucionalidad” de las iniciativas parlamentarias o, incluso, de los acuerdos o normas a que aboquen, hipotético contenido este que no sólo difuminaría los contornos del derecho instituido en aquel precepto, sino que alteraría al propio tiempo la propia configuración del recurso de amparo e incluso, acaso, el entero sistema de nuestra jurisdicción constitucional.</w:t>
      </w:r>
    </w:p>
    <w:p w:rsidR="00163957" w:rsidRDefault="00163957" w:rsidP="00163957">
      <w:pPr>
        <w:pStyle w:val="TextoNormal"/>
      </w:pPr>
    </w:p>
    <w:p w:rsidR="00163957" w:rsidRDefault="00163957" w:rsidP="00163957">
      <w:pPr>
        <w:pStyle w:val="TextoNormal"/>
      </w:pPr>
      <w:r>
        <w:t>Cabe, pues, concluir que la cuestionada admisión a trámite de la propuesta de resolución no violó, por la causa que aducen, el derecho fundamental invocado por los recurrentes.</w:t>
      </w:r>
    </w:p>
    <w:p w:rsidR="00163957" w:rsidRDefault="00163957" w:rsidP="00163957">
      <w:pPr>
        <w:pStyle w:val="TextoNormal"/>
      </w:pPr>
    </w:p>
    <w:p w:rsidR="00163957" w:rsidRDefault="00163957" w:rsidP="00163957">
      <w:pPr>
        <w:pStyle w:val="TextoNormal"/>
      </w:pPr>
      <w:r w:rsidRPr="00163957">
        <w:rPr>
          <w:rStyle w:val="NumeroAFNegritaCaracter"/>
        </w:rPr>
        <w:t>5</w:t>
      </w:r>
      <w:r>
        <w:t>. La desestimación de la invocación del derecho a la representación política de los demandantes de amparo desde el prisma que viene de enjuiciarse no es obstáculo para que este Tribunal deba entrar a analizar el resto de las lesiones alegadas. En concreto, procede ahora examinar si, como la demanda aduce, el derecho de los demandantes a formar grupo parlamentario fue menoscabado por la convocatoria y celebración de una Junta de Portavoces a las que tachan de irregulares por no estar constituidos e integrados todavía en grupo, al tiempo de tales actuaciones, los diputados elegidos en las listas presentadas por el Partido Popular, denuncia que hace suya, en lo sustancial, el Ministerio Fiscal y que refuta, en los términos que se recordarán, la representación del Parlamento autonómico.</w:t>
      </w:r>
    </w:p>
    <w:p w:rsidR="00163957" w:rsidRDefault="00163957" w:rsidP="00163957">
      <w:pPr>
        <w:pStyle w:val="TextoNormal"/>
      </w:pPr>
    </w:p>
    <w:p w:rsidR="00163957" w:rsidRDefault="00163957" w:rsidP="00163957">
      <w:pPr>
        <w:pStyle w:val="TextoNormal"/>
      </w:pPr>
      <w:r>
        <w:t xml:space="preserve">Para fijar con precisión los términos de esta controversia es procedente reseñar los extremos siguientes, no discutidos en lo esencial entre las partes. En primer lugar, que, conforme </w:t>
      </w:r>
      <w:r>
        <w:lastRenderedPageBreak/>
        <w:t>al Reglamento de la Cámara, las peticiones de reconsideración de una decisión de la Mesa sobre la admisión o inadmisión a trámite de escritos y documentos de índole parlamentaria —de este género fue el acuerdo inicial de admisión, de 27 de octubre de 2015— pueden ser presentadas por un grupo parlamentario dentro de los dos días siguientes —en lo que viene ahora al caso— a la publicación de la resolución de la que se discrepa, disponiendo la Mesa de un plazo de cuatro días para resolver definitivamente mediante decisión motivada, oída la Junta de Portavoces (art. 38 RPC). En segundo lugar, que, admitida a trámite en aquella fecha la propuesta de resolución controvertida, los grupos parlamentarios Socialista y Ciudadanos presentaron en tiempo sendas solicitudes en tal sentido, pidiendo a la Mesa que reconsiderara y rectificara la calificación y, en todo caso, la admisión a trámite de la propuesta en cuestión, por ser la misma, junto a otras consideraciones críticas, contraria a la Constitución y al Estatuto de Autonomía. En tercer lugar, que los diputados hoy demandantes de amparo, no constituidos ni integrados todavía entonces en grupo parlamentario —ni habilitados, por ello, a instar reconsideración análoga—, se adhirieron a los escritos al efecto presentados por los dos grupos recién citados (adhesión que no pudo ser, como la demanda observa, sino “a título individual”, por más que con alguna inconsistencia, ahora irrelevante, suscribieran el correspondiente escrito como diputados “del GP del PPC”). En cuarto lugar, que —según consta en las actuaciones— la Mesa de la Cámara, en sesión celebrada el 28 de octubre de 2015, acordó admitir a trámite las dos solicitudes de reconsideración que quedan dichas, así como la adhesión a las mismas de los diputados que hoy recurren, suspendiendo, hasta que se decidiera sobre ellas, la tramitación de la propuesta de resolución objeto de discrepancia (art. 38.2 RPC). En quinto lugar, que la Junta de Portavoces del Parlamento de Cataluña “está constituida por los portavoces de cada grupo parlamentario”, nombrados, cada uno, por el respectivo grupo (arts. 35.1 y 28.1, respectivamente, del Reglamento del Parlamento de Cataluña). Y en sexto lugar, en fin, que al tiempo de la convocatoria por la Presidencia de la Cámara, el 2 de noviembre, de una Junta de Portavoces para el siguiente día 3, en orden a oír su parecer sobre las repetidas peticiones de reconsideración, y también cuando se celebró la reunión así convocada, no se habían constituido ni integrado aún en grupo parlamentario los diputados elegidos en las listas del Partido Popular, contando con plazo reglamentario para hacerlo hasta el día 5 de noviembre, de conformidad con lo previsto en el art. 26.4 RPC (ocho días hábiles a contar desde el siguiente a la constitución del Parlamento, lo que aconteció el 26 de octubre; plazo prorrogado por decisión de la Mesa —se observa en la demanda— hasta las 9:30 horas del siguiente día 6 de noviembre). Es también pertinente reseñar que el propio día de la convocatoria de la Junta de Portavoces, el 2 de noviembre, la misma Presidencia pidió “a los diputados elegidos en las listas del Partido Popular” (así reza el encabezamiento de este escrito) que designaran “algún representante” que pudiera asistir y participar en la reunión de la Junta, invitación —ya se dijo— a la que no se acogieron aquéllos. Los demandantes y la representación de la Cámara autonómica discrepan, por lo demás, sobre la valoración jurídico-constitucional que merezca tal solicitud u ofrecimiento.</w:t>
      </w:r>
    </w:p>
    <w:p w:rsidR="00163957" w:rsidRDefault="00163957" w:rsidP="00163957">
      <w:pPr>
        <w:pStyle w:val="TextoNormal"/>
      </w:pPr>
    </w:p>
    <w:p w:rsidR="00163957" w:rsidRDefault="00163957" w:rsidP="00163957">
      <w:pPr>
        <w:pStyle w:val="TextoNormal"/>
      </w:pPr>
      <w:r>
        <w:t xml:space="preserve">Estas son, en suma, las circunstancias aquí relevantes y las normas reglamentarias a tener en cuenta para enjuiciar si, como en la demanda se afirma, el derecho de los actores a constituir, conforme al Reglamento de la Cámara, grupo parlamentario quedó menoscabado, y con ello su derecho </w:t>
      </w:r>
      <w:r w:rsidRPr="00163957">
        <w:rPr>
          <w:i/>
        </w:rPr>
        <w:t>ex</w:t>
      </w:r>
      <w:r>
        <w:t xml:space="preserve"> art. 23.2 CE, por una convocatoria de Junta de Portavoces, seguida de su celebración, antes de que los parlamentarios que recurren se hubieran constituido en grupo parlamentario y designado formalmente, por lo tanto, un portavoz que tuviera asiento en aquel órgano.</w:t>
      </w:r>
    </w:p>
    <w:p w:rsidR="00163957" w:rsidRDefault="00163957" w:rsidP="00163957">
      <w:pPr>
        <w:pStyle w:val="TextoNormal"/>
      </w:pPr>
    </w:p>
    <w:p w:rsidR="00163957" w:rsidRDefault="00163957" w:rsidP="00163957">
      <w:pPr>
        <w:pStyle w:val="TextoNormal"/>
      </w:pPr>
      <w:r>
        <w:t>El Tribunal comparte, por las razones que siguen, la argumentación en este punto de la demanda de amparo.</w:t>
      </w:r>
    </w:p>
    <w:p w:rsidR="00163957" w:rsidRDefault="00163957" w:rsidP="00163957">
      <w:pPr>
        <w:pStyle w:val="TextoNormal"/>
      </w:pPr>
    </w:p>
    <w:p w:rsidR="00163957" w:rsidRDefault="00163957" w:rsidP="00163957">
      <w:pPr>
        <w:pStyle w:val="TextoNormal"/>
      </w:pPr>
      <w:r>
        <w:t xml:space="preserve">A) La facultad de constituir grupo parlamentario, en la forma y con los requisitos que establezcan los reglamentos de las Cámaras, corresponde a los diputados, facultad que —importa subrayarlo— pertenece al núcleo de su función representativa parlamentaria. Así lo declaró este Tribunal en la STC 64/2002, de 11 de marzo, a partir de un razonamiento que, aplicado entonces al Congreso de los Diputados, es en todo trasladable, por lo que ahora hace al caso, al Parlamento de Cataluña. Dijimos en aquella ocasión, en efecto, que, dada la configuración de los grupos parlamentarios en los actuales parlamentos como entes imprescindibles y principales en la organización y funcionamiento de las Cámaras, así como en el desempeño de las funciones parlamentarias y los beneficios que conlleva la adquisición de tal </w:t>
      </w:r>
      <w:r w:rsidRPr="00163957">
        <w:rPr>
          <w:i/>
        </w:rPr>
        <w:t>status</w:t>
      </w:r>
      <w:r>
        <w:t xml:space="preserve">, aquella facultad constituye una manifestación constitucionalmente relevante del </w:t>
      </w:r>
      <w:r w:rsidRPr="00163957">
        <w:rPr>
          <w:i/>
        </w:rPr>
        <w:t>ius in officium</w:t>
      </w:r>
      <w:r>
        <w:t xml:space="preserve"> del representante (FJ 3). Esta doctrina, que debe calificarse de firme y consolidada (SSTC 141/2007, de 18 de junio, FJ 4; 169/2009, de 9 de julio, FJ 3, y 10/2013, de 28 de enero, FJ 3; asimismo, ATC 369/2007, de 12 de septiembre, FJ 4), impone reconocer que los actos de las Cámaras que, del modo que sea, impidan, menoscaben o perturben ilegítimamente el ejercicio, conforme a reglamento, de tal facultad de los parlamentarios de constituirse en grupo conllevarán la consiguiente infracción del derecho de aquéllos enunciado en el art. 23.2 CE y, de manera refleja, el derecho de todos los ciudadanos, al que los primeros dan efectividad, a participar en los asuntos públicos por medio de representantes (número 1 del mismo artículo).</w:t>
      </w:r>
    </w:p>
    <w:p w:rsidR="00163957" w:rsidRDefault="00163957" w:rsidP="00163957">
      <w:pPr>
        <w:pStyle w:val="TextoNormal"/>
      </w:pPr>
    </w:p>
    <w:p w:rsidR="00163957" w:rsidRDefault="00163957" w:rsidP="00163957">
      <w:pPr>
        <w:pStyle w:val="TextoNormal"/>
      </w:pPr>
      <w:r>
        <w:t xml:space="preserve">En definitiva, el derecho de los diputados a constituir grupo parlamentario, así integrado en el derecho fundamental </w:t>
      </w:r>
      <w:r w:rsidRPr="00163957">
        <w:rPr>
          <w:i/>
        </w:rPr>
        <w:t>ex</w:t>
      </w:r>
      <w:r>
        <w:t xml:space="preserve"> art. 23.2 CE, aunque sólo lo sea en los términos que el reglamento de cada Cámara disponga, no puede ser desconocido por la asamblea sin menoscabar, al tiempo, aquel derecho fundamental, al formar parte del </w:t>
      </w:r>
      <w:r w:rsidRPr="00163957">
        <w:rPr>
          <w:i/>
        </w:rPr>
        <w:t>ius in officium</w:t>
      </w:r>
      <w:r>
        <w:t xml:space="preserve"> de los representantes. En lógica consecuencia, el cumplimiento del procedimiento reglamentariamente previsto para dicha constitución está asociado con la cobertura que ofrece el art. 23.2 CE, en los mismos términos expuestos, tanto en aquello que materialmente procura la efectividad de ese derecho principal a la formación de grupos por parte de los representantes electos, en expresión de la pluralidad de la cámara, como en los efectos aparejados con la integridad de su ejercicio y con el ejercicio de funciones y facultades derivadas que sean concreción de su núcleo esencial, garantizando en su integridad el derecho de los grupos parlamentarios a ejercer las facultades que integren el estatuto constitucionalmente relevante de los representantes políticos (por referencia, STC 158/2014, de 6 de octubre, FJ 4).</w:t>
      </w:r>
    </w:p>
    <w:p w:rsidR="00163957" w:rsidRDefault="00163957" w:rsidP="00163957">
      <w:pPr>
        <w:pStyle w:val="TextoNormal"/>
      </w:pPr>
    </w:p>
    <w:p w:rsidR="00163957" w:rsidRDefault="00163957" w:rsidP="00163957">
      <w:pPr>
        <w:pStyle w:val="TextoNormal"/>
      </w:pPr>
      <w:r>
        <w:t xml:space="preserve">En ese sentido, como resultado de lo anteriormente enunciado, y por estar relacionado con ello en términos de accesoriedad o, si se prefiere, de modo mediato, en tanto que el reglamento parlamentario de que se trate configure un órgano de la Cámara en el que se integren, con funciones decisorias o consultivas, los portavoces de los distintos grupos parlamentarios o los representantes integrados en éstos tienen, de manera necesaria y como facultad también incorporada al núcleo de su cargo propio, el derecho a la designación de tales portavoces o representantes de acuerdo con las previsiones reglamentarias y el de que los mismos participen de modo real y efectivo en aquellos órganos, también de conformidad con ellas. A ello responde, precisamente, el Reglamento del Parlamento de Cataluña, que prescribe que cada grupo “nombra a los miembros que han de representarlo, incluyendo </w:t>
      </w:r>
      <w:r>
        <w:lastRenderedPageBreak/>
        <w:t>preceptivamente a su portavoz” (art. 28.1) y con arreglo al cual, asimismo, los portavoces así designados constituyen la Junta de Portavoces, presidida por el presidente del Parlamento, y sin perjuicio de los demás cargos o funcionarios que puedan asistir a sus sesiones (art. 35.1).</w:t>
      </w:r>
    </w:p>
    <w:p w:rsidR="00163957" w:rsidRDefault="00163957" w:rsidP="00163957">
      <w:pPr>
        <w:pStyle w:val="TextoNormal"/>
      </w:pPr>
    </w:p>
    <w:p w:rsidR="00163957" w:rsidRDefault="00163957" w:rsidP="00163957">
      <w:pPr>
        <w:pStyle w:val="TextoNormal"/>
      </w:pPr>
      <w:r>
        <w:t xml:space="preserve">B) A partir de los anteriores presupuestos ha de precisarse que, en el caso actual, no se discute que los diputados recurrentes pudieran formar grupo propio, tal y como efectiva y formalmente hicieron mediante la constitución del Grupo Parlamentario Popular el 5 de noviembre de 2015. Lo que se controvierte es, más bien, si su derecho a formar grupo —derecho finalmente ejercido— fue respetado por la Presidencia del Parlamento al convocar el día 2 de noviembre y presidir el siguiente día 3 una Junta de Portavoces, fechas en las que estaba aún en curso el plazo reglamentario para la constitución de los grupos y en las que, como venimos diciendo, los diputados que recurren todavía no habían ejercido </w:t>
      </w:r>
      <w:r w:rsidRPr="00163957">
        <w:rPr>
          <w:i/>
        </w:rPr>
        <w:t>de iure</w:t>
      </w:r>
      <w:r>
        <w:t xml:space="preserve"> esa facultad. La respuesta constitucional a esta cuestión ha de ser negativa. Ni la facultad de los parlamentarios a formar grupo en el plazo reglamentariamente establecido puede ser perturbada por los órganos de la Cámara ni cabe decir que ese derecho sea respetado cuando se le priva, en todo o en parte, de efectividad. Ambas cosas, sin embargo, sucedieron aquí:</w:t>
      </w:r>
    </w:p>
    <w:p w:rsidR="00163957" w:rsidRDefault="00163957" w:rsidP="00163957">
      <w:pPr>
        <w:pStyle w:val="TextoNormal"/>
      </w:pPr>
    </w:p>
    <w:p w:rsidR="00163957" w:rsidRDefault="00163957" w:rsidP="00163957">
      <w:pPr>
        <w:pStyle w:val="TextoNormal"/>
      </w:pPr>
      <w:r>
        <w:t xml:space="preserve">a) Los diputados recurrentes, ya se ha dicho, contaban al menos hasta el día 5 de noviembre (o hasta las 9:30 horas del siguiente día, según el acuerdo de la Mesa que invocan) para decidir, libremente, si se constituían o no, todos ellos, en grupo parlamentario. La convocatoria por la Presidencia el día 2 del mismo mes de una Junta de Portavoces a celebrar el siguiente día 3, en curso todavía aquel plazo, no puede entenderse, objetivamente, sino como un apremio para que no apuraran el plazo dicho ante el hecho consumado de que los portavoces de los grupos ya formados se reunirían, en todo caso, en la segunda de dichas fechas para ser oídos a efectos de la decisión por la Mesa de las peticiones de reconsideración a las que se adhirieron los actores. Tal apremio, que colocaba a los demandantes ante la encrucijada de renunciar a su derecho a agotar los tiempos para constituirse en grupo, acudiendo así a la Junta prematuramente convocada, o ejercer en plenitud su facultad reglamentaria </w:t>
      </w:r>
      <w:r w:rsidRPr="00163957">
        <w:rPr>
          <w:i/>
        </w:rPr>
        <w:t>ratione temporis</w:t>
      </w:r>
      <w:r>
        <w:t>, pero sin formar parte entonces de una reunión para la que no habrían de contar aún con portavoz formalmente designado, supuso una perturbación ilegítima del derecho que, según reglamento, les asistía. Perturbación que no quedó paliada por el ofrecimiento o invitación que recibieron de la Presidencia para que, a fin de estar presentes en la repetida reunión de la Junta, designaran un “representante” al efecto. Las facultades de los parlamentarios —y más aún las asociadas, como aquí es el caso, al derecho fundamental que enuncia el artículo 23.2 CE— se ejercen y respetan según Derecho, no por deferente condescendencia de los órganos rectores y de gobierno de las asambleas, ello con independencia de que aquella invitación pudo verse por los demandantes, de nuevo en términos objetivos, como un apremio añadido para que anticiparan, materialmente, su constitución en grupo y con ello la consiguiente designación de un portavoz (“representante”, en el ofrecimiento o solicitud que consideramos).</w:t>
      </w:r>
    </w:p>
    <w:p w:rsidR="00163957" w:rsidRDefault="00163957" w:rsidP="00163957">
      <w:pPr>
        <w:pStyle w:val="TextoNormal"/>
      </w:pPr>
    </w:p>
    <w:p w:rsidR="00163957" w:rsidRDefault="00163957" w:rsidP="00163957">
      <w:pPr>
        <w:pStyle w:val="TextoNormal"/>
      </w:pPr>
      <w:r>
        <w:t xml:space="preserve">Se sigue de lo anterior que la convocatoria de la Junta de Portavoces, en las fechas y circunstancias dichas, entrañó una perturbación ilegítima del derecho de los diputados recurrentes a ejercer en plenitud y sin discriminación sus facultades y cometidos como tales representantes, con la consiguiente infracción del derecho proclamado en el artículo 23 de la Constitución. De este modo, la perturbación así lesiva del derecho surge de la convocatoria irregular, por prematura, de una Junta de Portavoces cuando estaba pendiente aún de </w:t>
      </w:r>
      <w:r>
        <w:lastRenderedPageBreak/>
        <w:t>designar uno de ellos, y no cabría decir, por lo tanto, que sólo se consumó, como tal lesión, con la ulterior celebración de la reunión así convocada.</w:t>
      </w:r>
    </w:p>
    <w:p w:rsidR="00163957" w:rsidRDefault="00163957" w:rsidP="00163957">
      <w:pPr>
        <w:pStyle w:val="TextoNormal"/>
      </w:pPr>
    </w:p>
    <w:p w:rsidR="00163957" w:rsidRDefault="00163957" w:rsidP="00163957">
      <w:pPr>
        <w:pStyle w:val="TextoNormal"/>
      </w:pPr>
      <w:r>
        <w:t>b) Tal reunión tuvo lugar el día 3 de noviembre y con ello se verificó una nueva infracción del derecho de los actores a constituirse en grupo parlamentario. Este derecho, como cualquier otro, se respeta sólo si no se menoscaba su plenitud de efectos, según las normas en cada caso aplicables, eficacia íntegra que conllevaba el que los recurrentes, dentro del plazo hábil para ello, y sin cortapisas ni apremios, pudieran adoptar su decisión, nombrar, en su caso, portavoz del propio grupo y contar con su presencia como tal en una Junta de Portavoces que, conforme al artículo 38.3 RPC, fuera debidamente oída antes de que la Mesa resolviera sobre las solicitudes de reconsideración instadas, a las que se adhirieron los actores. En este caso, sin embargo, para la fecha en que los diputados elegidos en las listas presentadas por el Partido Popular formaron grupo parlamentario, se había ya anticipado, bajo la Presidencia de la Cámara, una reunión de determinados portavoces —en veste de Junta— que asumió los cometidos consultivos previstos en el citado precepto reglamentario sin la presencia del aún pendiente de designar —caso de constituirse como tal grupo, según hicieron— por los demandantes de amparo. El derecho de los diputados a formar grupo parlamentario queda mermado en su eficacia si las facultades vinculadas al mismo (entre ellas, la de contar con un representante formalmente designado en la Junta de Portavoces) se desconocen por la Cámara o por cualquiera de sus órganos. Esto es lo que sucedió en el caso actual, con la consiguiente nueva infracción del derecho enunciado en el art. 23.2 CE.</w:t>
      </w:r>
    </w:p>
    <w:p w:rsidR="00163957" w:rsidRDefault="00163957" w:rsidP="00163957">
      <w:pPr>
        <w:pStyle w:val="TextoNormal"/>
      </w:pPr>
    </w:p>
    <w:p w:rsidR="00163957" w:rsidRDefault="00163957" w:rsidP="00163957">
      <w:pPr>
        <w:pStyle w:val="TextoNormal"/>
      </w:pPr>
      <w:r>
        <w:t>C) Las anteriores conclusiones no quedan empañadas por lo alegado frente a la demanda por la representación del Parlamento de Cataluña. Ni su valoración como “deferente” del ofrecimiento a los actores para que designaran un “representante” que asistiera a la Junta prematuramente convocada (respecto de la que basta con que nos remitamos a las consideraciones ya hechas sobre el particular) ni los demás argumentos expuestos en estas alegaciones alcanzan a desvirtuar la constatación de las lesiones de derechos apreciadas.</w:t>
      </w:r>
    </w:p>
    <w:p w:rsidR="00163957" w:rsidRDefault="00163957" w:rsidP="00163957">
      <w:pPr>
        <w:pStyle w:val="TextoNormal"/>
      </w:pPr>
    </w:p>
    <w:p w:rsidR="00163957" w:rsidRDefault="00163957" w:rsidP="00163957">
      <w:pPr>
        <w:pStyle w:val="TextoNormal"/>
      </w:pPr>
      <w:r>
        <w:t xml:space="preserve">No lo logran, ciertamente, las referencias hechas a supuestos precedentes que, según tales alegaciones, privarían de razón jurídica a los actores. Con independencia de que los precedentes parlamentarios no pueden en general invocarse para disminuir o ignorar los derechos y garantías que el reglamento reconoce a los parlamentarios (en tal sentido, STC 57/2011, de 3 de mayo, FJ 7, y resoluciones allí citadas), no constituyen argumentos ahora atendibles ni la reunión ocasional de portavoces en legislaturas anteriores antes de la constitución de todos los grupos parlamentarios, ni la asistencia a las reuniones de la Mesa, con voz pero sin voto, de quien sin formar parte de ella actuaba no en representación oficial como portavoz de un grupo parlamentario, sino como representante informal de diputados elegidos en las mismas listas. En cuanto a aquellas reuniones no oficiales de portavoces, porque, aunque realizadas sin duda al amparo de la muy amplia libertad de acción interna de que gozan Cámaras, grupos y parlamentarios, nunca podrían arrogarse ni ejercer —como ocurrió, sin embargo, en el caso que nos ocupa— las competencias y atribuciones jurídicas que el Reglamento confiere a órganos determinados y debidamente constituidos de la asamblea (a la Junta de Portavoces, en lo que ahora importa), principio este elemental y de alcance general, por más que la Constitución sólo lo enuncie de manera expresa para las Cortes Generales (art. 67.3). Y por lo que se refiere a la asistencia a las reuniones de la Mesa de algunos diputados no integrados en ella, baste con señalar que tal presencia lo fue, como figura en las actuaciones, por libre decisión o —en palabras de tales diputados— por “cortesía” de la </w:t>
      </w:r>
      <w:r>
        <w:lastRenderedPageBreak/>
        <w:t>Presidencia y de la propia Mesa, y resultaría excesivo asimilar la asistencia graciable a la reunión de cierto órgano y aquella otra para la que cuentan con derecho propio, a través de sus portavoces, los diputados constituidos en grupo parlamentario: sólo en este segundo caso se participa en la reunión como miembro del órgano colegiado y para el ejercicio de sus funciones propias y sólo entonces, por lo tanto, se ha de ostentar el correspondiente título formal (portavoz, en lo que aquí importa).</w:t>
      </w:r>
    </w:p>
    <w:p w:rsidR="00163957" w:rsidRDefault="00163957" w:rsidP="00163957">
      <w:pPr>
        <w:pStyle w:val="TextoNormal"/>
      </w:pPr>
    </w:p>
    <w:p w:rsidR="00163957" w:rsidRDefault="00163957" w:rsidP="00163957">
      <w:pPr>
        <w:pStyle w:val="TextoNormal"/>
      </w:pPr>
      <w:r>
        <w:t>Se aduce asimismo por la representación del Parlamento de Cataluña que la anticipada reunión de la Junta de Portavoces era obligada a fin de resolver en tiempo, precisamente, las citadas solicitudes de reconsideración. No obstante, incumplir el Reglamento en un caso a fin de respetarlo en otro no constituye argumento válido a los presentes efectos, tanto más cuanto que la Mesa pudo aquí, para armonizar unas exigencias y otras, prorrogar el plazo de resolución de aquellas solicitudes (art. 103 RPC), como consta en las actuaciones que así se solicitó, con reiteración y sin éxito, por algunos miembros de la propia Mesa. Los letrados del Parlamento sugieren, en fin, el ánimo, a su juicio dilatorio, que llevó a los demandantes de amparo a constituirse en grupo no antes del día 5 de noviembre. Sin embargo, al respecto procede recordar que los derechos, también los de los parlamentarios, han de ser respetados en todo caso, cualquiera sea el propósito de quienes legítimamente los ejercen.</w:t>
      </w:r>
    </w:p>
    <w:p w:rsidR="00163957" w:rsidRDefault="00163957" w:rsidP="00163957">
      <w:pPr>
        <w:pStyle w:val="TextoNormal"/>
      </w:pPr>
    </w:p>
    <w:p w:rsidR="00163957" w:rsidRDefault="00163957" w:rsidP="00163957">
      <w:pPr>
        <w:pStyle w:val="TextoNormal"/>
      </w:pPr>
      <w:r>
        <w:t>Función primordial de toda asamblea parlamentaria, también por tanto del Parlamento de Cataluña (arts. 152.1 CE y 55.1 EAC), es la de representar a la ciudadanía. Esta representación sólo se cumple cabalmente si los elegidos por el cuerpo electoral para realizarla se atienen en general a los procedimientos que el ordenamiento dispone y, por lo que ahora más importa, a las reglas jurídicas que, integradas sobre todo en los reglamentos de las Cámaras, aseguran una participación no discriminatoria de unos y otros representantes. Se asegura con ello el necesario respeto de las minorías, sin el cual el principio de mayoría para la adopción final de las decisiones, igualmente irrenunciable, pondría en riesgo su legitimidad. La democracia parlamentaria no se agota, ciertamente, en formas y procedimientos, pero el respeto a unas y otros está, sin duda, entre sus presupuestos inexcusables. La decisión, aquí juzgada, de la Presidencia del Parlamento autonómico de realizar, en los términos vistos, una convocatoria prematura, y por ello irregular, de la Junta de Portavoces de la Cámara infringió el derecho reglamentario de los diputados elegidos en las listas presentadas por el Partido Popular a constituirse, sin perturbaciones ilegítimas y con eficacia plena, en grupo parlamentario, violando, por lo mismo, su derecho fundamental y con ello el de los ciudadanos a los que representan. Procede así declararlo y dictar, como se hará en el fallo, la nulidad de la referida resolución de convocatoria, de 2 de noviembre de 2015.</w:t>
      </w:r>
    </w:p>
    <w:p w:rsidR="00163957" w:rsidRDefault="00163957" w:rsidP="00163957">
      <w:pPr>
        <w:pStyle w:val="TextoNormal"/>
      </w:pPr>
    </w:p>
    <w:p w:rsidR="00163957" w:rsidRDefault="00163957" w:rsidP="00163957">
      <w:pPr>
        <w:pStyle w:val="TextoNormal"/>
      </w:pPr>
      <w:r w:rsidRPr="00163957">
        <w:rPr>
          <w:rStyle w:val="NumeroAFNegritaCaracter"/>
        </w:rPr>
        <w:t>6</w:t>
      </w:r>
      <w:r>
        <w:t>. Impugnan también los recurrentes, con cita asimismo del derecho fundamental enunciado en el artículo 23 CE, la resolución de la Mesa del Parlamento, de 3 de noviembre de 2015, por la que, “oída la Junta de Portavoces” en reunión anterior de igual fecha, se decidió mantener el acuerdo inicial de admisión a trámite de la controvertida propuesta de resolución, con el rechazo consiguiente de las solicitudes de reconsideración a las que se viene haciendo referencia. La Mesa motivó esta decisión mediante la reiteración y transcripción de los argumentos expuestos en otro acuerdo del mismo órgano, de 18 de enero de 2013.</w:t>
      </w:r>
    </w:p>
    <w:p w:rsidR="00163957" w:rsidRDefault="00163957" w:rsidP="00163957">
      <w:pPr>
        <w:pStyle w:val="TextoNormal"/>
      </w:pPr>
    </w:p>
    <w:p w:rsidR="00163957" w:rsidRDefault="00163957" w:rsidP="00163957">
      <w:pPr>
        <w:pStyle w:val="TextoNormal"/>
      </w:pPr>
      <w:r>
        <w:t xml:space="preserve">La vulneración de derechos que la demanda imputa a esta resolución deriva, en la tesis de los actores, de la previa lesión deparada por la convocatoria, el día 2 de noviembre, y por la celebración, el siguiente día 3, de una Junta de Portavoces que censuraron, como vimos, </w:t>
      </w:r>
      <w:r>
        <w:lastRenderedPageBreak/>
        <w:t xml:space="preserve">de irregularmente reunida, censura constitucional que, en los términos expuestos en el fundamento jurídico que antecede, este Tribunal comparte. Viene a aducirse ahora en la demanda que la infracción de derechos así verificada determinaría que la posterior resolución que mantuvo la admisión a trámite de la propuesta de resolución, con el rechazo consiguiente de las peticiones de reconsideración, sería lesiva, a su vez, del derecho fundamental de los demandantes, pues dicha decisión de la Mesa sobre tales peticiones no puede adoptarse sino una vez “oída la Junta de Portavoces” (art. 38.3 RPC) y en este caso, en rigor, tal audiencia previa no se habría producido, toda vez que la convocatoria no lo fue para “una Junta de Portavoces legítima”, según Reglamento, y los así reunidos no podrían, por ello, actuar como tal órgano ni ejercer sus facultades. El Ministerio Fiscal, según en los antecedentes se expuso, comparte en lo sustancial este planteamiento de la demanda. No así la representación del Parlamento de Cataluña, quien sostiene, en síntesis, que la reunión de la Junta de Portavoces previa a la resolución ahora impugnada fue válida y por lo tanto eficaz en orden a la audiencia que prescribe el antes citado art. 38.3 RPC, conclusión que viene a fundamentar en sus alegaciones, sobre todo, en la consideración de que las reuniones de la Junta no requieren, para la válida composición del órgano, de la asistencia de todos los portavoces, existiendo en la sesión controvertida </w:t>
      </w:r>
      <w:r w:rsidRPr="00163957">
        <w:rPr>
          <w:i/>
        </w:rPr>
        <w:t>quorum</w:t>
      </w:r>
      <w:r>
        <w:t xml:space="preserve"> suficiente.</w:t>
      </w:r>
    </w:p>
    <w:p w:rsidR="00163957" w:rsidRDefault="00163957" w:rsidP="00163957">
      <w:pPr>
        <w:pStyle w:val="TextoNormal"/>
      </w:pPr>
    </w:p>
    <w:p w:rsidR="00163957" w:rsidRDefault="00163957" w:rsidP="00163957">
      <w:pPr>
        <w:pStyle w:val="TextoNormal"/>
      </w:pPr>
      <w:r>
        <w:t>Planteado así el debate constitucional entre las partes, proceden las consideraciones siguientes:</w:t>
      </w:r>
    </w:p>
    <w:p w:rsidR="00163957" w:rsidRDefault="00163957" w:rsidP="00163957">
      <w:pPr>
        <w:pStyle w:val="TextoNormal"/>
      </w:pPr>
    </w:p>
    <w:p w:rsidR="00163957" w:rsidRDefault="00163957" w:rsidP="00163957">
      <w:pPr>
        <w:pStyle w:val="TextoNormal"/>
      </w:pPr>
      <w:r>
        <w:t>A) En su artículo 38, el Reglamento del Parlamento de Cataluña abre la posibilidad para el grupo parlamentario discrepante de determinadas resoluciones adoptadas por la Mesa de pedir a esta la reconsideración de tales acuerdos, solicitud que, conforme al número 3 del mismo precepto, debe ser resuelta en plazo de cuatro días “mediante resolución motivada, oída la Junta de Portavoces”. Entre las decisiones de la Mesa susceptibles de semejante petición figuran las que califican y declaran la admisión o inadmisión a trámite de todos los escritos y documentos de índole parlamentaria [arts. 37.1 d) y 38.1 RPC]. Al amparo de tal previsión, dos grupos parlamentarios solicitaron en su día que la Mesa reconsiderara y rectificara su declaración de admisión a trámite, el 27 de octubre de 2015, de la propuesta de resolución, presentada por otros dos grupos, denominada “sobre el inicio del proceso político en Cataluña como consecuencia de los resultados electorales”, solicitudes de reconsideración a las que se adhirieron los hoy demandantes. Tanto las solicitudes propiamente dichas, como la adhesión a las mismas por los actores, fueron, según ya se ha dicho, admitidas a trámite por la Mesa en su reunión del siguiente día 28.</w:t>
      </w:r>
    </w:p>
    <w:p w:rsidR="00163957" w:rsidRDefault="00163957" w:rsidP="00163957">
      <w:pPr>
        <w:pStyle w:val="TextoNormal"/>
      </w:pPr>
    </w:p>
    <w:p w:rsidR="00163957" w:rsidRDefault="00163957" w:rsidP="00163957">
      <w:pPr>
        <w:pStyle w:val="TextoNormal"/>
      </w:pPr>
      <w:r>
        <w:t>B) Ninguna duda puede haber en cuanto al derecho reglamentario de quienes instan de la Mesa tales solicitudes de reconsideración en orden a que las mismas sean resueltas en tiempo, motivadamente y según la audiencia prevista, derecho que también corresponde a quienes, como los actores, no pudieron solicitar otro tanto, al no estar constituidos como grupo, pero se adhirieron a las peticiones al efecto deducidas por quienes sí lo estaban.</w:t>
      </w:r>
    </w:p>
    <w:p w:rsidR="00163957" w:rsidRDefault="00163957" w:rsidP="00163957">
      <w:pPr>
        <w:pStyle w:val="TextoNormal"/>
      </w:pPr>
    </w:p>
    <w:p w:rsidR="00163957" w:rsidRDefault="00163957" w:rsidP="00163957">
      <w:pPr>
        <w:pStyle w:val="TextoNormal"/>
      </w:pPr>
      <w:r>
        <w:t xml:space="preserve">C) El respeto o no, en la tramitación y resolución de la reconsideración, de tal derecho de origen reglamentario no es, desde luego, indiferente para el derecho fundamental </w:t>
      </w:r>
      <w:r w:rsidRPr="00163957">
        <w:rPr>
          <w:i/>
        </w:rPr>
        <w:t>ex</w:t>
      </w:r>
      <w:r>
        <w:t xml:space="preserve"> artículo 23.2 CE, en el que se comprende, por lo que ahora interesa, el de ejercer el cargo representativo de conformidad con lo dispuesto en el reglamento parlamentario, sin restricciones ilegítimas y —se impone añadir— con las garantías de orden jurídico previstas en las propias normas reglamentarias. De este último género es, sin duda, la garantía que ahora </w:t>
      </w:r>
      <w:r>
        <w:lastRenderedPageBreak/>
        <w:t>consideramos, mediante la que la Mesa de la Cámara puede, a petición de un grupo parlamentario, volver sobre algunas de sus decisiones para, previa audiencia a la Junta de Portavoces, rectificarlas o confirmarlas de manera motivada. Cumple la Mesa en esta vía la función jurídico-técnica que en general corresponde a órganos de este tipo (STC 242/2006, de 24 de julio, FJ 4), no pudiendo inspirarse o basarse su decisión última en simples criterios de oportunidad o conveniencia, sino en lo que imponen, más bien, el mejor respeto del reglamento y la debida ordenación y racionalización del funcionamiento de la Cámara. Es cierto, como ya advertimos, que el artículo 23.2 CE no ha convertido en contenido del derecho fundamental allí enunciado todas y cada una de las prescripciones de los reglamentos parlamentarios y que, por lo mismo, los representantes no tienen, al amparo de aquella norma constitucional, un genérico derecho al cumplimiento, con trascendencia jurídico-constitucional, de tales prescripciones y sí sólo, conforme a reiterada jurisprudencia, de aquellas que preservan y garantizan el núcleo de su función representativa. También lo es, en consecuencia, que el cauce procesal instituido en el artículo 42 LOTC no está al servicio, indiferenciadamente, de la preservación de la juridicidad de cualesquiera actos que afecten a los representantes, pues esta vía constitucional existe sólo para la protección de determinados derechos fundamentales y, en lo que ahora hace al caso, de los que corresponden, en virtud del artículo 23 CE, a los miembros de las cámaras representativas. Son las propias cámaras las que deben interpretar la legalidad parlamentaria, sin que dicha legalidad pueda ser controlada por este Tribunal al margen de los derechos fundamentales y, significativamente, de aquel artículo 23.2 CE (por todas, SSTC 158/2014, de 6 de octubre, FJ 4, y 213/2014, de 18 de diciembre, FJ 4).</w:t>
      </w:r>
    </w:p>
    <w:p w:rsidR="00163957" w:rsidRDefault="00163957" w:rsidP="00163957">
      <w:pPr>
        <w:pStyle w:val="TextoNormal"/>
      </w:pPr>
    </w:p>
    <w:p w:rsidR="00163957" w:rsidRDefault="00163957" w:rsidP="00163957">
      <w:pPr>
        <w:pStyle w:val="TextoNormal"/>
      </w:pPr>
      <w:r>
        <w:t xml:space="preserve">Pero precisamente porque todo lo anterior es como queda dicho, no cabe desconocer que cuando un reglamento abre vías internas para la revisión técnico-jurídica de las decisiones de los órganos de la propia Cámara, como ocurre con la reconsideración, la observancia de tales procedimientos será exigencia que cuenta con la garantía última del derecho enunciado en el artículo 23.2 CE, siempre y en tanto que, claro es, los derechos de representación que a través de ellos se sustancien </w:t>
      </w:r>
      <w:r w:rsidRPr="00163957">
        <w:rPr>
          <w:i/>
        </w:rPr>
        <w:t>ad casum</w:t>
      </w:r>
      <w:r>
        <w:t xml:space="preserve"> se integren o puedan ser encuadrados en el núcleo del </w:t>
      </w:r>
      <w:r w:rsidRPr="00163957">
        <w:rPr>
          <w:i/>
        </w:rPr>
        <w:t>ius in officium</w:t>
      </w:r>
      <w:r>
        <w:t xml:space="preserve"> de los representantes. Así se deduce de la proyección de nuestra doctrina general sobre el art. 23.2 CE a este espacio de controversia interpretativa, pues, como venimos indicando, tenemos dicho que la vulneración de los derechos de los representantes contenidos en ese derecho fundamental no se verifica con cualquier acto que infrinja el e</w:t>
      </w:r>
      <w:r w:rsidRPr="00163957">
        <w:rPr>
          <w:i/>
        </w:rPr>
        <w:t>status</w:t>
      </w:r>
      <w:r>
        <w:t xml:space="preserve"> jurídico aplicable, sino que, antes bien, “a estos efectos sólo poseen relevancia constitucional los derechos o facultades atribuidos al representante que pertenezcan al núcleo de su función representativa” (SSTC 141/2007, de 18 de junio, FJ 3; 169/2009, de 9 de julio, FJ 2; 20/2011, de 14 de marzo, FJ 4; 117/2012, de 4 de junio, FJ 3, o 36/2014, de 27 de febrero. FJ 5).</w:t>
      </w:r>
    </w:p>
    <w:p w:rsidR="00163957" w:rsidRDefault="00163957" w:rsidP="00163957">
      <w:pPr>
        <w:pStyle w:val="TextoNormal"/>
      </w:pPr>
    </w:p>
    <w:p w:rsidR="00163957" w:rsidRDefault="00163957" w:rsidP="00163957">
      <w:pPr>
        <w:pStyle w:val="TextoNormal"/>
      </w:pPr>
      <w:r>
        <w:t xml:space="preserve">Por consiguiente, solo desde ese prisma y conforme a aquella lógica de conexión con las garantías y facultades del </w:t>
      </w:r>
      <w:r w:rsidRPr="00163957">
        <w:rPr>
          <w:i/>
        </w:rPr>
        <w:t>ius in officium</w:t>
      </w:r>
      <w:r>
        <w:t xml:space="preserve"> será concebible una vulneración del art. 23.2 CE en razón de infracciones del procedimiento.</w:t>
      </w:r>
    </w:p>
    <w:p w:rsidR="00163957" w:rsidRDefault="00163957" w:rsidP="00163957">
      <w:pPr>
        <w:pStyle w:val="TextoNormal"/>
      </w:pPr>
    </w:p>
    <w:p w:rsidR="00163957" w:rsidRDefault="00163957" w:rsidP="00163957">
      <w:pPr>
        <w:pStyle w:val="TextoNormal"/>
      </w:pPr>
      <w:r>
        <w:t>D) Sobre la base de cuanto antecede, es ya posible resolver esta concreta queja de la demanda de amparo que ahora nos ocupa, resolución que resulta favorable a la pretensión de los actores.</w:t>
      </w:r>
    </w:p>
    <w:p w:rsidR="00163957" w:rsidRDefault="00163957" w:rsidP="00163957">
      <w:pPr>
        <w:pStyle w:val="TextoNormal"/>
      </w:pPr>
    </w:p>
    <w:p w:rsidR="00163957" w:rsidRDefault="00163957" w:rsidP="00163957">
      <w:pPr>
        <w:pStyle w:val="TextoNormal"/>
      </w:pPr>
      <w:r>
        <w:lastRenderedPageBreak/>
        <w:t xml:space="preserve">a) Las exigencias del artículo 38.3 RPC en punto a que las solicitudes de reconsideración planteadas a la Mesa sean resueltas motivadamente y previa audiencia a la Junta de Portavoces constituyen elementos esenciales de este procedimiento parlamentario de garantía. Establecido tal cauce interno, la motivación preserva, en efecto, frente al nudo voluntarismo del órgano llamado a resolver, en tanto que la intervención previa, por vía de audiencia, de la Junta de Portavoces permite que la Mesa quede enterada, porque así lo ha querido el Reglamento, de los criterios de los distintos grupos sobre cuál debiera ser la definitiva decisión a adoptar, decisión que, ciertamente, sólo a la propia Mesa corresponde. Esta previa audiencia de la Junta de Portavoces es un elemento central del procedimiento de la reconsideración que posee en este caso, además, una conexión inmediata con facultades inherentes al </w:t>
      </w:r>
      <w:r w:rsidRPr="00163957">
        <w:rPr>
          <w:i/>
        </w:rPr>
        <w:t>ius in officium</w:t>
      </w:r>
      <w:r>
        <w:t>: la facultad de los representantes de constituir grupos parlamentarios conforme a los plazos reglamentarios, la de designar, sucesivamente, sus portavoces o representantes, y la de perfeccionar su intervención en concurrencia con otros grupos en un órgano colegiado integrado por las distintas fuerzas políticas con representación parlamentaria, tras la válida y concurrente constitución del mismo con los restantes grupos que deben conformarlo, según el reglamento, para garantizar el pluralismo inherente al Parlamento.</w:t>
      </w:r>
    </w:p>
    <w:p w:rsidR="00163957" w:rsidRDefault="00163957" w:rsidP="00163957">
      <w:pPr>
        <w:pStyle w:val="TextoNormal"/>
      </w:pPr>
    </w:p>
    <w:p w:rsidR="00163957" w:rsidRDefault="00163957" w:rsidP="00163957">
      <w:pPr>
        <w:pStyle w:val="TextoNormal"/>
      </w:pPr>
      <w:r>
        <w:t>b) La Mesa, pues, no puede resolver sin antes oír a la Junta de Portavoces, pero en el caso actual esa audiencia no se llevó a cabo.</w:t>
      </w:r>
    </w:p>
    <w:p w:rsidR="00163957" w:rsidRDefault="00163957" w:rsidP="00163957">
      <w:pPr>
        <w:pStyle w:val="TextoNormal"/>
      </w:pPr>
    </w:p>
    <w:p w:rsidR="00163957" w:rsidRDefault="00163957" w:rsidP="00163957">
      <w:pPr>
        <w:pStyle w:val="TextoNormal"/>
      </w:pPr>
      <w:r>
        <w:t>Los portavoces no pueden ser convocados a Junta (art. 35.2 RPC) para el ejercicio de las funciones de este órgano (art. 36 RPC) en tanto no estén, todos ellos, nombrados por sus grupos respectivos (art. 28.1 RPC), proceso de designación que sólo culminará, ya lo hemos dicho, cuando estén constituidos todos los grupos parlamentarios, incluido, eventualmente, el grupo mixto. Tal situación no podrá darse por consumada, en tanto haya, como aquí hubo, diputados en número y con plazo para constituir grupo propio aún no integrados en ninguno de los ya formados y de los que, por lo demás, resultaba razonable presumir, dada su pertenencia política y electoral común, que se constituyeran en grupo específico. La convocatoria presidencial del día 2 a una “Junta de Portavoces” llamada a ejercer una de las funciones de este órgano (art. 38.3 RPC) fue por ello una convocatoria irregular y la reunión celebrada en su virtud el siguiente día 3 no puede ser vista, por la misma razón, sino como la de unos determinados portavoces de los grupos hasta entonces constituidos, no de la Junta reglamentaria que ha de integrarlos a todos, aunque —cosa obviamente muy distinta— pudiera ser que no todos acudieran siempre a unas u otras de sus sesiones.</w:t>
      </w:r>
    </w:p>
    <w:p w:rsidR="00163957" w:rsidRDefault="00163957" w:rsidP="00163957">
      <w:pPr>
        <w:pStyle w:val="TextoNormal"/>
      </w:pPr>
    </w:p>
    <w:p w:rsidR="00163957" w:rsidRDefault="00163957" w:rsidP="00163957">
      <w:pPr>
        <w:pStyle w:val="TextoNormal"/>
      </w:pPr>
      <w:r>
        <w:t xml:space="preserve">La reunión mantenida habría sido sin duda plenamente posible y legítima si no se le hubiera atribuido —pese a las protestas, como consta en acta, de tres de esos mismos portavoces— el ejercicio de una determinada facultad que sólo corresponde a la Junta válidamente constituida, y es lo cierto que los congregados aquel 3 de noviembre de 2015 no lo fueron con la condición reglamentaria de Junta de Portavoces (art. 35.1 RPC) ni cabía, por lo mismo, dar por realizada entonces una audiencia que el Reglamento atribuye al órgano o, si se quiere, a sus miembros, no a unos u otros portavoces. La Junta, en suma, no fue oída, ni los grupos pudieron debidamente desplegar la función que se les atribuye, a través de sus portavoces, en el procedimiento. De ahí que no pueda compartirse la aseveración de la Presidenta, según consta en acta, de que “todos los grupos han podido manifestar su opinión”: el repetido art. 38.3 RPC no requiere oír a todos los grupos por el momento constituidos, cuando aún hay plazo para formar otros, sino a los portavoces, reunidos en Junta, de todos los grupos de la Cámara, esto es, a una Junta de Portavoces que aquí no se pudo tener por </w:t>
      </w:r>
      <w:r>
        <w:lastRenderedPageBreak/>
        <w:t>celebrada ni tampoco por ejercida válidamente, en consecuencia, la función que le atribuye el antes citado art. 38.3 RPC. No lo apreciaron así ni la Presidencia ni la Mesa del Parlamento, que entendieron que una mera reunión de portavoces de los grupos ya formados podía hacer las veces de la Junta, dando a esta por “oída” y resolviendo, en definitiva, las solicitudes de reconsideración pendientes. Por lo ya expuesto, actuar de este modo supuso soslayar un trámite esencial del procedimiento de garantía parlamentaria en que la reconsideración consiste e infringir con ello, en lo que hace estrictamente al presente recurso, el derecho constitucional (art. 23.2 CE) de quienes, como los actores, se adhirieron a unas peticiones de reconsideración que fueron irregularmente resueltas por la Mesa de la Cámara.</w:t>
      </w:r>
    </w:p>
    <w:p w:rsidR="00163957" w:rsidRDefault="00163957" w:rsidP="00163957">
      <w:pPr>
        <w:pStyle w:val="TextoNormal"/>
      </w:pPr>
    </w:p>
    <w:p w:rsidR="00163957" w:rsidRDefault="00163957" w:rsidP="00163957">
      <w:pPr>
        <w:pStyle w:val="TextoNormal"/>
      </w:pPr>
      <w:r>
        <w:t>Procede, por todo ello, y así se dictará en el fallo, la anulación del acuerdo de la Mesa, de 3 de noviembre de 2015, por el que se confirmó, sin audiencia previa, conforme al Reglamento, de la Junta de Portavoces, la admisión a trámite cuya reconsideración fue interesada en su día.</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parcialmente el presente recurso de amparo y en consecuencia:</w:t>
      </w:r>
    </w:p>
    <w:p w:rsidR="00163957" w:rsidRDefault="00163957" w:rsidP="00163957">
      <w:pPr>
        <w:pStyle w:val="TextoNormal"/>
      </w:pPr>
    </w:p>
    <w:p w:rsidR="00163957" w:rsidRDefault="00163957" w:rsidP="00163957">
      <w:pPr>
        <w:pStyle w:val="TextoNormal"/>
      </w:pPr>
      <w:r>
        <w:t>a) Declarar que ha sido vulnerado el derecho fundamental de los demandantes enunciado en el artículo 23.2 CE en sus vertientes de derecho a constituirse, sin perturbaciones ilegítimas y con eficacia plena, en grupo parlamentario, en los términos del Reglamento del Parlamento de Cataluña, y de obtener una resolución de las peticiones de reconsideración a las que se adhirieron conforme al procedimiento establecido en el citado Reglamento.</w:t>
      </w:r>
    </w:p>
    <w:p w:rsidR="00163957" w:rsidRDefault="00163957" w:rsidP="00163957">
      <w:pPr>
        <w:pStyle w:val="TextoNormal"/>
      </w:pPr>
    </w:p>
    <w:p w:rsidR="00163957" w:rsidRDefault="00163957" w:rsidP="00163957">
      <w:pPr>
        <w:pStyle w:val="TextoNormal"/>
      </w:pPr>
      <w:r>
        <w:t>b) Declarar, en consecuencia, la nulidad de la resolución de la Presidencia del Parlamento de Cataluña, de 2 de noviembre de 2015, por la que se convocó, para el siguiente día 3, una reunión de la Junta de Portavoces, así como del acuerdo de la Mesa del mismo Parlamento, de 3 de noviembre de 2015, por el que se confirmó o mantuvo el propio acuerdo, de 27 de octubre de 2015, mediante el que se admitió a trámite la propuesta de resolución llamada “sobre el inicio del proceso político en Cataluña como consecuencia de los resultados electorales”.</w:t>
      </w:r>
    </w:p>
    <w:p w:rsidR="00163957" w:rsidRDefault="00163957" w:rsidP="00163957">
      <w:pPr>
        <w:pStyle w:val="TextoNormal"/>
      </w:pPr>
    </w:p>
    <w:p w:rsidR="00163957" w:rsidRDefault="00163957" w:rsidP="00163957">
      <w:pPr>
        <w:pStyle w:val="TextoNormal"/>
      </w:pPr>
      <w:r>
        <w:t>2º Desestimar, en lo demás, el recurso de amparo.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siete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13" w:name="SENTENCIA_2016_110"/>
      <w:r>
        <w:lastRenderedPageBreak/>
        <w:t>SENTENCIA 110/2016, de 9 de junio de 2016</w:t>
      </w:r>
    </w:p>
    <w:bookmarkEnd w:id="113"/>
    <w:p w:rsidR="00163957" w:rsidRDefault="00163957" w:rsidP="00163957">
      <w:pPr>
        <w:pStyle w:val="TtuloResolucin"/>
      </w:pPr>
      <w:r>
        <w:t>Pleno</w:t>
      </w:r>
    </w:p>
    <w:p w:rsidR="00163957" w:rsidRDefault="00163957" w:rsidP="00163957">
      <w:pPr>
        <w:pStyle w:val="TtuloBOE"/>
      </w:pPr>
      <w:r>
        <w:t>(BOE núm. 170, de 15 de julio de 2016)</w:t>
      </w:r>
    </w:p>
    <w:p w:rsidR="00163957" w:rsidRDefault="00163957" w:rsidP="00163957">
      <w:pPr>
        <w:pStyle w:val="TextoNormalCentrado"/>
      </w:pPr>
      <w:r>
        <w:t>ECLI:ES:TC:2016:110</w:t>
      </w:r>
    </w:p>
    <w:p w:rsidR="00163957" w:rsidRDefault="00163957" w:rsidP="00163957">
      <w:pPr>
        <w:pStyle w:val="TextoNormalCentrado"/>
      </w:pPr>
    </w:p>
    <w:p w:rsidR="00163957" w:rsidRDefault="00163957" w:rsidP="00163957">
      <w:pPr>
        <w:pStyle w:val="SntesisDescriptiva"/>
      </w:pPr>
      <w:r>
        <w:t>Recurso de inconstitucionalidad 4522-2013. Interpuesto por el Presidente del Gobierno respecto de la Ley 5/2012, de 15 de octubre, de uniones de hecho formalizadas de la Comunitat Valenciana.</w:t>
      </w:r>
    </w:p>
    <w:p w:rsidR="00163957" w:rsidRDefault="00163957" w:rsidP="00163957">
      <w:pPr>
        <w:pStyle w:val="SntesisDescriptiva"/>
      </w:pPr>
    </w:p>
    <w:p w:rsidR="00163957" w:rsidRDefault="00163957" w:rsidP="00163957">
      <w:pPr>
        <w:pStyle w:val="SntesisAnaltica"/>
      </w:pPr>
      <w:r>
        <w:t>Competencias en materia de Derecho civil: nulidad de los preceptos legales autonómicos que establecen el objeto y ámbito de aplicación de la Ley, proclaman el principio de libertad de regulación de la convivencia y regulan el régimen económico y los efectos de la extinción de la unión de hecho formalizada (STC 82/2016). Voto particular.</w:t>
      </w:r>
    </w:p>
    <w:p w:rsidR="00163957" w:rsidRDefault="00163957" w:rsidP="00163957">
      <w:pPr>
        <w:pStyle w:val="SntesisAnaltica"/>
      </w:pPr>
    </w:p>
    <w:p w:rsidR="00163957" w:rsidRDefault="00163957" w:rsidP="00163957">
      <w:pPr>
        <w:pStyle w:val="Extracto"/>
      </w:pPr>
      <w:r>
        <w:t>1.</w:t>
      </w:r>
      <w:r>
        <w:tab/>
        <w:t>La unión de hecho no es un órgano de la Administración de la Comunidad Valenciana, ni ejerce función pública alguna, ni depende de ella; al contrario, es una institución netamente privada y conformada por dos personas que voluntariamente conviven en atención al sentimiento que uno y otro se profesan, por lo que los efectos jurídicos de esa relación son una materia propia del Derecho civil [FJ 3].</w:t>
      </w:r>
    </w:p>
    <w:p w:rsidR="00163957" w:rsidRDefault="00163957" w:rsidP="00163957">
      <w:pPr>
        <w:pStyle w:val="Extracto"/>
      </w:pPr>
    </w:p>
    <w:p w:rsidR="00163957" w:rsidRDefault="00163957" w:rsidP="00163957">
      <w:pPr>
        <w:pStyle w:val="Extracto"/>
      </w:pPr>
      <w:r>
        <w:t>2.</w:t>
      </w:r>
      <w:r>
        <w:tab/>
        <w:t>Reitera la doctrina contenida en la STC 82/2016 en relación con la delimitación de las competencias entre el Estado y la Comunidad Valenciana en materia de Derecho civil [FFJJ 4 a 6].</w:t>
      </w:r>
    </w:p>
    <w:p w:rsidR="00163957" w:rsidRDefault="00163957" w:rsidP="00163957">
      <w:pPr>
        <w:pStyle w:val="Extracto"/>
      </w:pPr>
    </w:p>
    <w:p w:rsidR="00163957" w:rsidRDefault="00163957" w:rsidP="00163957">
      <w:pPr>
        <w:pStyle w:val="Extracto"/>
      </w:pPr>
      <w:r>
        <w:t>3.</w:t>
      </w:r>
      <w:r>
        <w:tab/>
        <w:t>La validez de la Ley objeto de ese recurso depende de que la Comunidad Autónoma pueda identificar una costumbre asentada en su derecho civil efectivamente existente en su territorio -ya en 1978- y subsistente en el momento de la aprobación de la Ley, o bien otra institución consuetudinaria diferente a la regulada pero “conexa” con ella de manera que pueda servir de base para apreciar un “desarrollo” de su Derecho civil foral o especial [FJ 6].</w:t>
      </w:r>
    </w:p>
    <w:p w:rsidR="00163957" w:rsidRDefault="00163957" w:rsidP="00163957">
      <w:pPr>
        <w:pStyle w:val="Extracto"/>
      </w:pPr>
    </w:p>
    <w:p w:rsidR="00163957" w:rsidRDefault="00163957" w:rsidP="00163957">
      <w:pPr>
        <w:pStyle w:val="Extracto"/>
      </w:pPr>
      <w:r>
        <w:t>4.</w:t>
      </w:r>
      <w:r>
        <w:tab/>
        <w:t>La Comunidad Valenciana carece de competencia para regular las consecuencias civiles de las “uniones de hecho formalizadas”, tal y como las denomina la Ley recurrida, y ello debe conducir a declarar la nulidad de todos los preceptos que así lo hagan [FJ 6].</w:t>
      </w:r>
    </w:p>
    <w:p w:rsidR="00163957" w:rsidRDefault="00163957" w:rsidP="00163957">
      <w:pPr>
        <w:pStyle w:val="Extracto"/>
      </w:pPr>
    </w:p>
    <w:p w:rsidR="00163957" w:rsidRDefault="00163957" w:rsidP="00163957">
      <w:pPr>
        <w:pStyle w:val="Extracto"/>
      </w:pPr>
      <w:r>
        <w:t>5.</w:t>
      </w:r>
      <w:r>
        <w:tab/>
        <w:t>Cuando en un recurso de inconstitucionalidad concurren impugnaciones competenciales y no competenciales, como en este caso, este Tribunal suele analizar en primer lugar las de tipo competencial [FJ 2].</w:t>
      </w:r>
    </w:p>
    <w:p w:rsidR="00163957" w:rsidRDefault="00163957" w:rsidP="00163957">
      <w:pPr>
        <w:pStyle w:val="Extracto"/>
      </w:pPr>
    </w:p>
    <w:p w:rsidR="00163957" w:rsidRDefault="00163957" w:rsidP="00163957">
      <w:pPr>
        <w:pStyle w:val="Extracto"/>
      </w:pPr>
      <w:r>
        <w:t>6.</w:t>
      </w:r>
      <w:r>
        <w:tab/>
        <w:t>Teniendo en cuenta la existencia de un régimen legal anterior al ahora anulado   -el de la Ley 1/2001, de 6 de abril, por la que se regulan las uniones de hecho- y los efectos que haya podido producir la aplicación de la Ley impugnada entre los miembros de las uniones de hecho formalizadas acogidas a la misma, y en sus relaciones con terceros, el principio de seguridad jurídica aconseja limitar los efectos de esta Sentencia, que tendrá solo efectos “pro futuro”, sin afectar a las “situaciones jurídicas consolidadas” [FJ 9].</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4522-2013, interpuesto por el Presidente del Gobierno contra la Ley 5/2012, de 15 de octubre, de uniones de hecho formalizadas de la Comunitat Valenciana. Han comparecido y formulado alegaciones la Generalitat Valenciana y las Cortes Valencianas y ha sido Ponente el Magistrado don Ricardo Enríquez Sancho,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18 de julio de 2013, el Abogado del Estado, en nombre del Presidente del Gobierno, interpuso recurso de inconstitucionalidad contra la Ley 5/2012, de 15 de octubre, de uniones de hecho formalizadas de la Comunitat Valenciana, con expresa invocación de los arts. 161.2 CE y 30 de la Ley Orgánica del Tribunal Constitucional (LOTC) a fin de que se produjera la suspensión de la Ley impugnada.</w:t>
      </w:r>
    </w:p>
    <w:p w:rsidR="00163957" w:rsidRDefault="00163957" w:rsidP="00163957">
      <w:pPr>
        <w:pStyle w:val="TextoNormal"/>
      </w:pPr>
    </w:p>
    <w:p w:rsidR="00163957" w:rsidRDefault="00163957" w:rsidP="00163957">
      <w:pPr>
        <w:pStyle w:val="TextoNormal"/>
      </w:pPr>
      <w:r>
        <w:t>El escrito comienza aclarando que el recurso se dirige contra la totalidad de la Ley 5/2012, aunque luego diferencia dos reproches de inconstitucionalidad, uno competencial y otro sustantivo (no competencial).</w:t>
      </w:r>
    </w:p>
    <w:p w:rsidR="00163957" w:rsidRDefault="00163957" w:rsidP="00163957">
      <w:pPr>
        <w:pStyle w:val="TextoNormal"/>
      </w:pPr>
    </w:p>
    <w:p w:rsidR="00163957" w:rsidRDefault="00163957" w:rsidP="00163957">
      <w:pPr>
        <w:pStyle w:val="TextoNormal"/>
      </w:pPr>
      <w:r>
        <w:t xml:space="preserve">a) El primero descansa en la vulneración de los arts. 49.1.2 del Estatuto de Autonomía de la Comunidad Valenciana (EAV, en adelante) y 149.1.8 CE, que regulan la distribución de competencias entre el Estado y la Comunidad Autónoma en materia de legislación civil, porque aun cuando según el preámbulo de la Ley recurrida ésta “se dicta al amparo de las competencias exclusivas que el artículo 49.1.1 y 2 del Estatuto de Autonomía de la Comunitat Valenciana otorga a la Generalitat”, esto es “organización de sus instituciones de autogobierno, en el marco de este Estatuto” y “conservación, desarrollo y modificación del Derecho civil foral valenciano”, para el Abogado del Estado el título competencial prevalente sólo puede ser el previsto en el art. 49.1.2: legislación civil. A partir de ahí, recuerda que el Presidente del Gobierno ya ha interpuesto sendos recursos de inconstitucionalidad contra las Leyes 10/2007, de 20 de marzo, de régimen económico matrimonial valenciano </w:t>
      </w:r>
      <w:r>
        <w:lastRenderedPageBreak/>
        <w:t>(recurso de inconstitucionalidad núm. 9888-2007), y 5/2011, de 1 de abril, también de las Cortes Valencianas, de relaciones familiares de los hijos e hijas cuyos progenitores no conviven (recurso de inconstitucionalidad núm. 3859-2011), por considerar que ambas normas se dictan en una materia (legislación civil) para la que la Comunidad Autónoma no tiene competencia de acuerdo con el art. 149.1.8 CE. Esta tercera Ley ahora impugnada, la 5/2012, supone para el Abogado del Estado un paso más en esa misma dirección.</w:t>
      </w:r>
    </w:p>
    <w:p w:rsidR="00163957" w:rsidRDefault="00163957" w:rsidP="00163957">
      <w:pPr>
        <w:pStyle w:val="TextoNormal"/>
      </w:pPr>
    </w:p>
    <w:p w:rsidR="00163957" w:rsidRDefault="00163957" w:rsidP="00163957">
      <w:pPr>
        <w:pStyle w:val="TextoNormal"/>
      </w:pPr>
      <w:r>
        <w:t>La primera de esas Leyes, explica el recurrente, se dictó con el declarado propósito de ser “el primer paso en la recuperación del Derecho foral valenciano, con el objetivo y la intención de poder desarrollar en el futuro un Código de Derecho foral valenciano que englobe las distintas leyes sectoriales que se promulguen”, según proclamaba expresamente su preámbulo; y la segunda, supuso la corroboración de ese propósito al afirmarse, también en su preámbulo, que la reforma del Estatuto de Autonomía llevada a cabo por la Ley Orgánica 1/2006, de 10 de abril “comportó un salto cualitativo en materia competencial, se atribuyó competencia exclusiva a la Generalitat, en el artículo 49.1.2, para la conservación, desarrollo y modificación del derecho civil foral valenciano. En el ejercicio de dicha competencia se aprobó la Ley 10/2007, de 20 de marzo, de la Generalitat, de Régimen Económico Matrimonial Valenciano, modificada por la Ley 8/2009, de 4 de noviembre, de la Generalitat, el primer paso en un camino cuya meta final es la elaboración de un futuro Código de derecho civil foral valenciano que englobe las distintas leyes que se promulguen”. Muestra de esa pretensión es el desplazamiento en la materia del Código civil, que quedaría como puro Derecho supletorio, según la disposición final segunda de la citada Ley 5/2011. Esta tercera Ley —la Ley 5/2012— que ahora se recurre, sostiene el Abogado del Estado, supone una continuación de ese proyecto del legislador valenciano dirigido a establecer un sistema propio y completo de Derecho civil en aquella Comunidad, algo para lo no tiene competencia según el antes mencionado art. 149.1.8 CE tal y como ha sido interpretado por la STC 121/1992, de 28 de septiembre.</w:t>
      </w:r>
    </w:p>
    <w:p w:rsidR="00163957" w:rsidRDefault="00163957" w:rsidP="00163957">
      <w:pPr>
        <w:pStyle w:val="TextoNormal"/>
      </w:pPr>
    </w:p>
    <w:p w:rsidR="00163957" w:rsidRDefault="00163957" w:rsidP="00163957">
      <w:pPr>
        <w:pStyle w:val="TextoNormal"/>
      </w:pPr>
      <w:r>
        <w:t>Centrado así este primer motivo de inconstitucionalidad, de naturaleza competencial, el representante del Presidente del Gobierno continúa haciendo una exposición general sobre la distribución de competencias entre el Estado y la Comunidad Valenciana en materia de legislación civil. Trae a colación, en este sentido, lo dicho en la STC 121/1992, de 28 de septiembre, referida a la Ley de arrendamientos históricos valencianos, en la que se puede leer: “El amplio enunciado de esta última salvedad (‘derechos civiles forales o especiales’) permite entender que su remisión alcanza no sólo a aquellos derechos civiles especiales que habían sido objeto de compilación al tiempo de la entrada en vigor de la Constitución, sino también a normas civiles de ámbito regional o local y de formación consuetudinaria preexistentes a la Constitución”. La competencia en materia de Derecho civil recogida por tanto en el Estatuto de Autonomía entonces vigente, continúa la citada STC 121/1992, “no puede estimarse referida sino al Derecho consuetudinario que, tras la abolición de los Fueros y hasta nuestros días, subsistiera en el territorio de la Comunidad Autónoma, siendo notoria la inexistencia de toda regla escrita que, antes de la Ley hoy impugnada, ordenara en dicho ámbito cualquier instituto civil de modo especial respecto al Derecho común”. De este precedente extrae la conclusión de que la competencia que puede ostentar la Comunidad Valenciana en materia de legislación civil está limitada al Derecho consuetudinario que haya subsistido hasta nuestros días en ese territorio, y siendo además obligado para ella acreditar la subsistencia de ese uso como presupuesto del legítimo ejercicio de la competencia. Cita, en el mismo sentido, la STC 182/1992, de 16 de noviembre.</w:t>
      </w:r>
    </w:p>
    <w:p w:rsidR="00163957" w:rsidRDefault="00163957" w:rsidP="00163957">
      <w:pPr>
        <w:pStyle w:val="TextoNormal"/>
      </w:pPr>
    </w:p>
    <w:p w:rsidR="00163957" w:rsidRDefault="00163957" w:rsidP="00163957">
      <w:pPr>
        <w:pStyle w:val="TextoNormal"/>
      </w:pPr>
      <w:r>
        <w:t>Por lo que respecta al posible ámbito de esa competencia (“conservación, modificación y desarrollo”, art. 149.1.8 CE), el escrito de interposición hace especial hincapié en que el término “desarrollo” permite solamente regular según nuestra doctrina “instituciones conexas con las ya reguladas en la Compilación dentro de una actualización o innovación de los contenidos de ésta” (STC 88/1993, 156/1993 y 127/1999). De manera que la facultad de desarrollo de los Derechos civiles forales o especiales no permite legislar ilimitadamente sobre materias conexas. La unidad básica del Derecho civil español es precisamente la finalidad que persigue la Constitución al atribuir al Estado la competencia exclusiva sobre legislación civil, y esta unidad y competencia sólo debe excepcionarse para la conservación, modificación y desarrollo de los Derechos civiles forales.</w:t>
      </w:r>
    </w:p>
    <w:p w:rsidR="00163957" w:rsidRDefault="00163957" w:rsidP="00163957">
      <w:pPr>
        <w:pStyle w:val="TextoNormal"/>
      </w:pPr>
    </w:p>
    <w:p w:rsidR="00163957" w:rsidRDefault="00163957" w:rsidP="00163957">
      <w:pPr>
        <w:pStyle w:val="TextoNormal"/>
      </w:pPr>
      <w:r>
        <w:t>Recapitulando todo lo anterior, concluye que las competencias autonómicas en materia de Derecho civil presuponen la existencia y vigencia efectiva del Derecho foral, puesto que no se puede conservar, modificar o desarrollar aquello que no es identificable ahora como una realidad normativa reconocible.</w:t>
      </w:r>
    </w:p>
    <w:p w:rsidR="00163957" w:rsidRDefault="00163957" w:rsidP="00163957">
      <w:pPr>
        <w:pStyle w:val="TextoNormal"/>
      </w:pPr>
    </w:p>
    <w:p w:rsidR="00163957" w:rsidRDefault="00163957" w:rsidP="00163957">
      <w:pPr>
        <w:pStyle w:val="TextoNormal"/>
      </w:pPr>
      <w:r>
        <w:t>Justifica todo ese recordatorio porque, según él, el art. 7 y la disposición adicional tercera del Estatuto de Autonomía, redactados por la Ley Orgánica 1/2006, de 10 de abril (EAV/2006), y que aluden a la “recuperación” de los “Fueros del histórico Reino de Valencia” deben ser interpretados de manera conforme y respetuosa con la Constitución. Recuerda que los Estatutos de Autonomía están jerárquicamente subordinados a la Constitución, según resulta de los arts. 147.2 d) y 161.1 a) CE y 27.2 a) LOTC y de consolidada doctrina de este Tribunal, que cita, y que por tanto no pueden ampliar las competencias asumibles por las Comunidades Autónomas, previstas en la Norma fundamental. En consecuencia, le parece evidente que la Ley Orgánica 1/2006 no puede haber modificado el art. 149.1.8 CE, ni haberse situado entre la Carta Magna y este Tribunal para imponerle el sentido que debe darse al citado art. 149.1.8. En cambio, afirma, es posible hacer una interpretación de aquellas normas estatutarias perfectamente conforme con la Constitución. Y así, sostiene que el art. 7.1 EAV es un precepto competencialmente neutro, no un artículo de atribución de competencias a la Generalitat: lo único que hace es establecer un principio de actuación que ha de informar el ejercicio de las competencias de la Generalitat y, en consecuencia, asume como presupuesto la existencia de una competencia autonómica. Refuerza esta interpretación el último inciso del precepto, que impone la actuación de ese principio informador “en plena armonía con la Constitución”. Idéntica interpretación conforme permite, según él, la disposición adicional tercera del Estatuto: se trata igualmente de un principio informador que no altera las competencias asumidas por la Generalitat; y aunque alude a que se “recupera y actualiza” la “normativa foral del histórico Reino de Valencia” siempre lo hace “en los términos establecidos por este Estatuto”, es decir, por el art. 49.1.2 EAV, y “al amparo de la Constitución Española”, esto es, con plena sujeción al art. 149.1.8 CE. En definitiva, el art. 7 y la disposición adicional tercera del Estatuto presuponen una competencia que no se amplía, y necesariamente remiten al art. 49.1.2 del mismo Estatuto de Autonomía que atribuye a la Generalitat la competencia exclusiva sobre la “conservación, desarrollo y modificación del Derecho civil foral valenciano”, con el contenido y alcance antes expresado. Por último, recuerda lo dicho en la STC 31/2010, FJ 76, a propósito del Estatuto de Autonomía de Cataluña, y afirma la que la competencia estatal del art. 149.1.8 CE es “invulnerable” al legislador estatutario.</w:t>
      </w:r>
    </w:p>
    <w:p w:rsidR="00163957" w:rsidRDefault="00163957" w:rsidP="00163957">
      <w:pPr>
        <w:pStyle w:val="TextoNormal"/>
      </w:pPr>
    </w:p>
    <w:p w:rsidR="00163957" w:rsidRDefault="00163957" w:rsidP="00163957">
      <w:pPr>
        <w:pStyle w:val="TextoNormal"/>
      </w:pPr>
      <w:r>
        <w:lastRenderedPageBreak/>
        <w:t xml:space="preserve">Sentado lo anterior, y recordando que el Decreto de nueva planta promulgado el 29 de junio de 1707 supuso la definitiva abolición y derogación de los fueros de Valencia —que nunca se recuperaron, a diferencia de lo ocurrido en otros territorios— concluye que tras casi tres siglos de vigencia del Derecho civil común en aquella Comunidad el Derecho civil valenciano vigente es exclusivamente de carácter consuetudinario, y vinculado esencialmente a costumbres de carácter agrario como la venta </w:t>
      </w:r>
      <w:r w:rsidRPr="00163957">
        <w:rPr>
          <w:i/>
        </w:rPr>
        <w:t>a ull</w:t>
      </w:r>
      <w:r>
        <w:t xml:space="preserve"> o </w:t>
      </w:r>
      <w:r w:rsidRPr="00163957">
        <w:rPr>
          <w:i/>
        </w:rPr>
        <w:t>per alfarrassada</w:t>
      </w:r>
      <w:r>
        <w:t xml:space="preserve">, la venta a peso o </w:t>
      </w:r>
      <w:r w:rsidRPr="00163957">
        <w:rPr>
          <w:i/>
        </w:rPr>
        <w:t>arrovat</w:t>
      </w:r>
      <w:r>
        <w:t xml:space="preserve">, el espigueo o </w:t>
      </w:r>
      <w:r w:rsidRPr="00163957">
        <w:rPr>
          <w:i/>
        </w:rPr>
        <w:t>espigolar</w:t>
      </w:r>
      <w:r>
        <w:t xml:space="preserve">, el </w:t>
      </w:r>
      <w:r w:rsidRPr="00163957">
        <w:rPr>
          <w:i/>
        </w:rPr>
        <w:t>herbatge</w:t>
      </w:r>
      <w:r>
        <w:t>, usos en materia de riegos y jurisdicción especial del Tribunal de las Aguas. Y así, afirma que aunque la opinión doctrinal mayoritaria admite la posibilidad de recuperar esas costumbres, rechaza sin embargo la “recuperación romántica o indiscriminada” del Derecho foral valenciano. El legislador valenciano, por su parte, no hace ninguna mención ni en el preámbulo ni en la parte dispositiva de la Ley recurrida a antecedente consuetudinario alguno con el que pudiera tener conexión la regulación impugnada. Únicamente alude a la Ley 1/2001, de 6 de abril, de la Generalitat, por la que se regulan las uniones de hecho, pero le parece obvio que si se llegara a la conclusión de que esa Ley interpuesta tenía naturaleza civil, resultaría igualmente inconstitucional por carecer ésta de conexión con costumbre civil alguna vigente en 2001, y una Ley inconstitucional no puede servir de base para construir a partir de ella una especialidad civil conexa. De ahí la inconstitucionalidad de esta nueva Ley 5/2012, en cualquier caso.</w:t>
      </w:r>
    </w:p>
    <w:p w:rsidR="00163957" w:rsidRDefault="00163957" w:rsidP="00163957">
      <w:pPr>
        <w:pStyle w:val="TextoNormal"/>
      </w:pPr>
    </w:p>
    <w:p w:rsidR="00163957" w:rsidRDefault="00163957" w:rsidP="00163957">
      <w:pPr>
        <w:pStyle w:val="TextoNormal"/>
      </w:pPr>
      <w:r>
        <w:t>b) Como antes avanzamos, el escrito de interposición no se detiene en este defecto formal de la Ley. Dirige contra ella, además, un segundo reproche de inconstitucionalidad, éste de carácter sustantivo, referido al contenido de la regulación que establece y no a su procedencia. Para él, ese contenido es igualmente contrario a la CE y en concreto al principio de libre desarrollo de la personalidad consagrado en su art. 10.1. Trae a colación, en este sentido, la doctrina de la STC 93/2013, de 23 de abril, que anuló por este motivo parte de la Ley Foral de Navarra 6/2000, de 3 de julio, para la igualdad de parejas estables, y argumenta que esa misma doctrina es igualmente predicable de la Ley valenciana objeto de este recurso por la identidad de la materia. Consecuentemente, también por ello debe ser declarada inconstitucional.</w:t>
      </w:r>
    </w:p>
    <w:p w:rsidR="00163957" w:rsidRDefault="00163957" w:rsidP="00163957">
      <w:pPr>
        <w:pStyle w:val="TextoNormal"/>
      </w:pPr>
    </w:p>
    <w:p w:rsidR="00163957" w:rsidRDefault="00163957" w:rsidP="00163957">
      <w:pPr>
        <w:pStyle w:val="TextoNormal"/>
      </w:pPr>
      <w:r>
        <w:t xml:space="preserve">c) Aunando ambas perspectivas, desgrana los concretos reproches que dirige contra cada uno de los preceptos de la Ley recurrida. Y así, comenzando por el art. 1 (“objeto y principios de esta Ley”), argumenta que al establecerse como objeto de la Ley la regulación de las relaciones jurídicas </w:t>
      </w:r>
      <w:r w:rsidRPr="00163957">
        <w:rPr>
          <w:i/>
        </w:rPr>
        <w:t>inter privatos</w:t>
      </w:r>
      <w:r>
        <w:t xml:space="preserve"> que se producen en el seno de una unión de hecho formalizada, la materia de la norma es indudablemente de Derecho civil, y al no ampararse esa regulación en ningún tipo de costumbre conexa, vigente y derivada de los antiguos fueros como exige la doctrina del Tribunal Constitucional, concluye entonces que se produce la inmisión en la competencia estatal en la materia reconocida en el art. 149.1.8 CE. Tacha por ello el precepto de inconstitucional y nulo.</w:t>
      </w:r>
    </w:p>
    <w:p w:rsidR="00163957" w:rsidRDefault="00163957" w:rsidP="00163957">
      <w:pPr>
        <w:pStyle w:val="TextoNormal"/>
      </w:pPr>
    </w:p>
    <w:p w:rsidR="00163957" w:rsidRDefault="00163957" w:rsidP="00163957">
      <w:pPr>
        <w:pStyle w:val="TextoNormal"/>
      </w:pPr>
      <w:r>
        <w:t xml:space="preserve">Considera igualmente incursos en inconstitucionalidad los siguientes preceptos de la Ley: el art. 4.2, que prohíbe pactar una unión de hecho con carácter temporal o condicional, por aplicación de la doctrina de la STC 93/2013, FJ 11 b); el art. 6, que regula los efectos civiles de la extinción de la unión de hecho y los impone además imperativamente a la voluntad de las partes, contraviniendo así los dos preceptos constitucionales ya señalados (arts. 149.1.8 y 10.1); el art. 7, que regula el régimen jurídico de la unión y sus efectos entre las partes y frente a terceros previendo además un régimen imperativo y supletorio contrario a la STC 93/2013 (este artículo, además, exige la formalización de acuerdos en escritura </w:t>
      </w:r>
      <w:r>
        <w:lastRenderedPageBreak/>
        <w:t>pública para que tengan eficacia frente a terceros y vulnera con ello, adicionalmente, siempre según el Abogado del Estado, la competencia estatal sobre la “ordenación de los instrumentos públicos” establecida en el mismo art. 149.1.8 CE, tal y como ha sido interpretada esta competencia en las SSTC 72/1983, 156/1993 y 173/1998). El art. 8 también sería inconstitucional, para el Abogado del Estado, por regular el régimen económico de la unión, institución típicamente civil y análoga al régimen económico del matrimonio regulado en el Código civil y hacerlo, además, de un modo imperativo y contrario al art. 10.1 CE. Lo mismo que el art. 9, que regula el Derecho (civil) a los alimentos, también imperativamente; el art. 10, dedicado a la disposición de la vivienda habitual, y por tanto de carácter civil, incurriendo en el mismo vicio de no contar con la voluntad de las partes; el art. 11, que establece el régimen de las deudas y cargas comunes así como el régimen de responsabilidad de los bienes comunes; el art. 12, dedicado a otra institución civil como es el destino del “ajuar doméstico y uso de la vivienda” tras el fallecimiento de uno de los convivientes, sin tomar tampoco en consideración la voluntad de los convivientes; y los arts. 13 y 14, dedicados a la representación de la persona conviviente y a los derechos sucesorios de los miembros de la pareja.</w:t>
      </w:r>
    </w:p>
    <w:p w:rsidR="00163957" w:rsidRDefault="00163957" w:rsidP="00163957">
      <w:pPr>
        <w:pStyle w:val="TextoNormal"/>
      </w:pPr>
    </w:p>
    <w:p w:rsidR="00163957" w:rsidRDefault="00163957" w:rsidP="00163957">
      <w:pPr>
        <w:pStyle w:val="TextoNormal"/>
      </w:pPr>
      <w:r>
        <w:t>Respecto al art. 15, que equipara a las uniones de hecho formalizadas a los matrimonios en cuanto a permisos, licencias, situaciones administrativas y provisión de puestos de trabajo en la función pública (ap. 1), derechos y obligaciones de derecho público tales como indemnizaciones, subvenciones y tributos autonómicos (ap. 2) y pensiones e indemnizaciones por accidentes laborales o enfermedades profesionales (ap. 3), el Abogado del Estado desarrolla una argumentación específica e independiente. Sostiene que con él se vulneran las competencias estatales previstas en el art. 149.1 CE, núms. 7 (legislación laboral), 13 (bases y coordinación de la actividad económica), 17 (Seguridad Social) y 18 CE (bases del régimen estatutario de los funcionarios públicos). Así, el apartado 1 del precepto vulneraría la regulación (básica) que se contiene en la Ley 7/2007, de 12 de abril, por la que se aprueba el estatuto básico del empleado público sobre licencias y permisos (art. 48), situaciones administrativas (arts. 85 y 90), provisión de puestos de trabajo (art. 78.1 y 79.1), preceptos que sólo contemplan la situación de matrimonio y no permiten valorar la convivencia para sus respectivos efectos. Además, el mismo art. 15.1 vulneraría igualmente lo dispuesto en el Real Decreto-ley 20/2012, de 13 de julio, de medidas presupuestarias para garantizar la estabilidad presupuestaria y el fomento de la competitividad, dictado con amparo en el art. 149.1.13 CE, por corresponder al Estado, según doctrina de este Tribunal, el dictado de normas básicas en materia de gastos de personal del sector público (SSTC 178/2006 y 222/2006, entre otras). El apartado 2, por su parte, somete a los convivientes al mismo régimen fiscal que a los cónyuges, no respetando su voluntad, con lo que contraviene así el art. 10.1 CE como ya declaró respecto a un precepto análogo la STC 93/2013, FJ 13. Y por último, el apartado 3 invade la competencia exclusiva del Estado para delimitar el ámbito subjetivo de las pensiones de viudedad, accidentes laborales y enfermedades profesionales, definidos en los arts. 174 y 177 del Real Decreto Legislativo 1/1994, de 20 de junio, por el que se aprueba el texto refundido de la Ley general de la Seguridad Social, vulnerando así, mediata o indirectamente, el art. 149.1.17 CE.</w:t>
      </w:r>
    </w:p>
    <w:p w:rsidR="00163957" w:rsidRDefault="00163957" w:rsidP="00163957">
      <w:pPr>
        <w:pStyle w:val="TextoNormal"/>
      </w:pPr>
    </w:p>
    <w:p w:rsidR="00163957" w:rsidRDefault="00163957" w:rsidP="00163957">
      <w:pPr>
        <w:pStyle w:val="TextoNormal"/>
      </w:pPr>
      <w:r>
        <w:t xml:space="preserve">En cualquier caso, concluye el Abogado del Estado, más allá de esos concretos vicios de inconstitucionalidad de algunos de los preceptos de la Ley recurrida, como toda ella está impregnada de un marcado carácter civil, según el Abogado del Estado, toda ella debe ser </w:t>
      </w:r>
      <w:r>
        <w:lastRenderedPageBreak/>
        <w:t>declarada inconstitucional: también los arts. 2 a 5 que se dictan en ejercicio de una competencia de la que carece la Generalitat Valenciana. Justificada de este modo la inconstitucionalidad del cuerpo de la Ley 5/2012, sus disposiciones adicional, transitoria, derogatoria y finales deben seguir su misma suerte por las razones “sistemáticas” a las que hace referencia entre otras la STC 18/2011, de 3 de marzo, FJ 12.</w:t>
      </w:r>
    </w:p>
    <w:p w:rsidR="00163957" w:rsidRDefault="00163957" w:rsidP="00163957">
      <w:pPr>
        <w:pStyle w:val="TextoNormal"/>
      </w:pPr>
    </w:p>
    <w:p w:rsidR="00163957" w:rsidRDefault="00163957" w:rsidP="00163957">
      <w:pPr>
        <w:pStyle w:val="TextoNormal"/>
      </w:pPr>
      <w:r w:rsidRPr="00163957">
        <w:rPr>
          <w:rStyle w:val="NumeroAFNegritaCaracter"/>
        </w:rPr>
        <w:t>2</w:t>
      </w:r>
      <w:r>
        <w:t>. El Pleno del Tribunal, mediante providencia de 10 de septiembre de 2013, admitió a trámite el presente recurso de inconstitucionalidad, acordando dar traslado de las actuaciones, conforme establece el art. 34 de la Ley Orgánica del Tribunal Constitucional, al Congreso de los Diputados y al Senado, al Gobierno de la Generalitat Valenciana y a las Cortes Valencianas, por conducto de sus Presidentes, al objeto de que en el plazo de quince días, pudieran personarse en el proceso y formular las alegaciones que estimaran pertinentes. Se acordó, asimismo, tener por invocado por el Presidente del Gobierno el art. 161.2 CE, lo que, a su tenor y conforme dispone el art. 30 LOTC, produjo la suspensión de la vigencia y aplicación de los preceptos impugnados desde la fecha de interposición del recurso para las partes del proceso, y desde el día en que aparezca publicada la suspensión en el “Boletín Oficial del Estado” para los terceros, así como publicar la incoación del recurso en el “Boletín Oficial del Estado” y en el “Diari Oficial de la Generalitat Valenciana”.</w:t>
      </w:r>
    </w:p>
    <w:p w:rsidR="00163957" w:rsidRDefault="00163957" w:rsidP="00163957">
      <w:pPr>
        <w:pStyle w:val="TextoNormal"/>
      </w:pPr>
    </w:p>
    <w:p w:rsidR="00163957" w:rsidRDefault="00163957" w:rsidP="00163957">
      <w:pPr>
        <w:pStyle w:val="TextoNormal"/>
      </w:pPr>
      <w:r w:rsidRPr="00163957">
        <w:rPr>
          <w:rStyle w:val="NumeroAFNegritaCaracter"/>
        </w:rPr>
        <w:t>3</w:t>
      </w:r>
      <w:r>
        <w:t>. La Mesa del Senado, por escrito de su Presidente, registrado el 18 de septiembre de 2013, acordó dar por personada a esa Cámara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4</w:t>
      </w:r>
      <w:r>
        <w:t>. La Mesa del Congreso, por escrito de su Presidente, registrado el 19 de septiembre de 2013, acordó dar por personada a esa Cámara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que tuvo entrada en el Registro General de este Tribunal en fecha 1 de octubre de 2013, el Director General de la Abogacía General de la Generalitat Valenciana puso de manifiesto la previsión de que no pudiera presentarse el escrito de alegaciones en el plazo de quince días inicialmente conferido en atención a la complejidad de la cuestión planteada y a la carga de trabajo que pesa sobre el indicado órgano de la Administración autonómica y solicitó, por ello, la concesión de una prórroga por el máximo legal, siendo atendida dicha petición por providencia de este Tribunal de 2 de octubre de 2013 por la que se prorrogó en ocho días más el plazo concedido por la anterior providencia de 10 de septiembre, a contar desde el día siguiente al de expiración del ordinario.</w:t>
      </w:r>
    </w:p>
    <w:p w:rsidR="00163957" w:rsidRDefault="00163957" w:rsidP="00163957">
      <w:pPr>
        <w:pStyle w:val="TextoNormal"/>
      </w:pPr>
    </w:p>
    <w:p w:rsidR="00163957" w:rsidRDefault="00163957" w:rsidP="00163957">
      <w:pPr>
        <w:pStyle w:val="TextoNormal"/>
      </w:pPr>
      <w:r w:rsidRPr="00163957">
        <w:rPr>
          <w:rStyle w:val="NumeroAFNegritaCaracter"/>
        </w:rPr>
        <w:t>6</w:t>
      </w:r>
      <w:r>
        <w:t>. El día 7 de octubre de 2013 tuvo entrada en este Tribunal el escrito de alegaciones del Letrado de las Cortes Valencianas, en el que solicita la íntegra desestimación del recurso interpuesto.</w:t>
      </w:r>
    </w:p>
    <w:p w:rsidR="00163957" w:rsidRDefault="00163957" w:rsidP="00163957">
      <w:pPr>
        <w:pStyle w:val="TextoNormal"/>
      </w:pPr>
    </w:p>
    <w:p w:rsidR="00163957" w:rsidRDefault="00163957" w:rsidP="00163957">
      <w:pPr>
        <w:pStyle w:val="TextoNormal"/>
      </w:pPr>
      <w:r>
        <w:t xml:space="preserve">Comienza el escrito criticando que el Abogado del Estado haya omitido toda referencia a la disposición adicional primera CE. Recuerda que según la STC 76/1988, la referencia a los “territorios forales” que hace esa disposición “[v]iene pues a referirse a aquellos territorios integrantes de la Monarquía española que, pese a la unificación del Derecho público y de las instituciones políticas y administrativas del resto de los reinos y regiones de España, culminada en los Decretos de Nueva Planta de 1707, 1711, 1715 y 1716, mantuvieron sus </w:t>
      </w:r>
      <w:r>
        <w:lastRenderedPageBreak/>
        <w:t>propios fueros (entendidos tanto en el sentido de peculiar forma de organización de sus poderes públicos como del régimen jurídico propio en otras materias) durante el siglo XVIII y gran parte del XIX, llegando incluso hasta nuestros días manifestaciones de esa peculiaridad foral”. Y de esa mención a los Decretos de nueva planta que hace la STC 76/1988 citada concluye que la referida disposición está aludiendo, entre otros, a los territorios que hoy comprenden la Comunitat Valenciana, que no pueden ser excluidos, que es lo que subyace en todo el recurso presentado por la Abogacía del Estado. De no entenderse así se estaría dando un tratamiento jurídico desigual a la Comunitat Valenciana en la línea del Decreto de nueva planta de 29 de junio de 1707, al que se refiere en diversos momentos el escrito de interposición, cuando apela al “justo derecho de conquista” para justificar la supresión de sus fueros.</w:t>
      </w:r>
    </w:p>
    <w:p w:rsidR="00163957" w:rsidRDefault="00163957" w:rsidP="00163957">
      <w:pPr>
        <w:pStyle w:val="TextoNormal"/>
      </w:pPr>
    </w:p>
    <w:p w:rsidR="00163957" w:rsidRDefault="00163957" w:rsidP="00163957">
      <w:pPr>
        <w:pStyle w:val="TextoNormal"/>
      </w:pPr>
      <w:r>
        <w:t>Toda la argumentación de la Generalitat Valenciana vendría así a apoyarse en la “relevancia capital” que para ella tiene la inclusión del término “foral” en el art. 49.1.2 EAV, según la redacción que le dio la Ley Orgánica 1/2006, de 10 de abril (conservación, desarrollo y modificación del “Derecho civil foral valenciano”). Sin perjuicio de aludir a antecedentes remotos expresivos de esta competencia, como la Constitución de 1931, los proyectos y anteproyectos de estatuto de autonomía para esa región presentados en 1931 y 1937 (tres) y, durante la transición democrática, los anteproyectos de estatuto de autonomía de 1975, 1976 y 1978, todos los cuales reconocían la competencia en materia de Derecho civil, y de invocar también el Estatuto de Autonomía aprobado de acuerdo con la Constitución Española de 1978 por Ley Orgánica 5/1982, de 1 de julio, que reconocía esa competencia en sus arts. 31 y 50.1 c) —este último al incluir en el patrimonio de la Generalitat los bienes de herencias intestadas cuando el causante ostentara la condición política de valenciano—, así como el deseo y legítima aspiración de los valencianos y valencianas de otorgar un papel primordial a la recuperación y plena actualización del Derecho civil valenciano, considera que ha sido la reforma de dicho Estatuto en 2006 y la introducción del término “foral” para referirse al Derecho civil lo que ha modificado de forma trascendental la situación anterior. Siguiendo esta línea discursiva, enmarca la doctrina de la STC 121/1992 en su contexto, al haberse pronunciado en relación con una Ley aprobada al amparo de la redacción originaria del Estatuto de Autonomía, proveniente de la Ley Orgánica 5/1982, de 1 de julio. Después de la reforma de 2006, afirma, la constitucionalidad de la recuperación y plena actualización del Derecho civil foral valenciano es defendida por la mejor doctrina: magistrados, catedráticos y profesores titulares de Derecho civil, registradores de la propiedad y notarios, entre otros. Niega, en definitiva, la “interpretación reduccionista” de la competencia de la Comunitat Valenciana en materia de Derecho civil que, según él, hace el Abogado del Estado, limitándola a normas consuetudinarias.</w:t>
      </w:r>
    </w:p>
    <w:p w:rsidR="00163957" w:rsidRDefault="00163957" w:rsidP="00163957">
      <w:pPr>
        <w:pStyle w:val="TextoNormal"/>
      </w:pPr>
    </w:p>
    <w:p w:rsidR="00163957" w:rsidRDefault="00163957" w:rsidP="00163957">
      <w:pPr>
        <w:pStyle w:val="TextoNormal"/>
      </w:pPr>
      <w:r>
        <w:t>Continuando con la importancia del término “foral” contenido en el art. 49.1.2 EAV, entiende la representación de la Generalitat que si su ausencia parecía remitir la competencia de la Comunidad Autónoma a lo efectivamente vigente en el momento de entrada en vigor de la Constitución, en 1978, la incorporación del mismo al art. 49.1.2 EAV/2006 despeja definitivamente todas las dudas sobre la plena capacidad legislativa en materia foral, y zanja de una vez por todas el debate doctrinal acerca de la expresión “allí donde existan” (art. 149.1.8 CE), que ya no cabe interpretar referido al momento de la entrada en vigor de la Constitución Española sino en un sentido amplio a la vigencia del Derecho foral en algún momento anterior, aunque en 1978 se encontrara derogado. La expresión “allí donde exis</w:t>
      </w:r>
      <w:r>
        <w:lastRenderedPageBreak/>
        <w:t>tan” no representaría por tanto, necesariamente, la vigencia actual del Derecho civil valenciano, esto es, en 1978, sino que bastaría la pretérita. Ello salvaría el caso de la Comunitat Valenciana, concluye. De manera pues que el art. 149.1.8 CE no se opone al ejercicio de esa competencia asumida por la Generalitat de acuerdo con el art. 49.1.2 EAV/2006, sin perjuicio de recordar, además, que la reforma del Estatuto de Autonomía para la Comunidad Valenciana de 2006 por la que se asumió esa competencia exclusiva no ha sido objeto de recurso de inconstitucionalidad en esa concreta materia.</w:t>
      </w:r>
    </w:p>
    <w:p w:rsidR="00163957" w:rsidRDefault="00163957" w:rsidP="00163957">
      <w:pPr>
        <w:pStyle w:val="TextoNormal"/>
      </w:pPr>
    </w:p>
    <w:p w:rsidR="00163957" w:rsidRDefault="00163957" w:rsidP="00163957">
      <w:pPr>
        <w:pStyle w:val="TextoNormal"/>
      </w:pPr>
      <w:r>
        <w:t>Asentada de este modo en el marco constitucional la competencia asumida en materia de legislación civil por la Generalitat, el escrito de alegaciones se detiene a continuación en el tema de su extensión, que entiende que no se limita en general al índice de las compilaciones o al estado que éstas tenían cuando la Constitución Española se promulgó, sino que debe permitir también que las Comunidades Autónomas amplíen su Derecho foral allí hasta donde lleguen sus principios informadores, aunque se trate de materias que no estaban recogidas en la letra de esas compilaciones. De este modo, aplicado ese principio al caso de la Comunitat Valenciana, la competencia asumida en materia de Derecho civil foral le permite no sólo regular instituciones conexas o costumbres existentes, como ha dicho este Tribunal en las SSTC 88/1993 y 156/1993 para sendas Leyes de Aragón y Baleares, respectivamente, sino partir de la normativa foral del histórico Reino de Valencia.</w:t>
      </w:r>
    </w:p>
    <w:p w:rsidR="00163957" w:rsidRDefault="00163957" w:rsidP="00163957">
      <w:pPr>
        <w:pStyle w:val="TextoNormal"/>
      </w:pPr>
    </w:p>
    <w:p w:rsidR="00163957" w:rsidRDefault="00163957" w:rsidP="00163957">
      <w:pPr>
        <w:pStyle w:val="TextoNormal"/>
      </w:pPr>
      <w:r>
        <w:t xml:space="preserve">En este punto recuerda, por un lado, que la existencia de costumbres y de un Derecho civil valenciano ha sido reconocida por la jurisprudencia (cita en este sentido las Sentencias del Tribunal Superior de Justicia de la Comunitat Valenciana 1/1995, de 12 de enero; 3/1998, de 11 de mayo; 4/1999, de 9 de marzo, y 12/1999, de 5 de julio), y por otro, que las parejas de hecho son un fenómeno relativamente reciente y no son equiparables al matrimonio, por lo que es inútil indagar en el Derecho histórico valenciano o en otros Derechos forales sobre la existencia de una norma escrita o consuetudinaria al respecto. En cualquier caso, aceptando a efectos dialécticos la argumentación del Abogado del Estado, arguye que en el Derecho de familia y sucesiones valenciano han pervivido la costumbre testamentaria de </w:t>
      </w:r>
      <w:r w:rsidRPr="00163957">
        <w:rPr>
          <w:i/>
        </w:rPr>
        <w:t>l’une per l’altre</w:t>
      </w:r>
      <w:r>
        <w:t xml:space="preserve"> o la del fideicomiso foral, que mantienen una conexión o relación con la materia regulada, sin perjuicio de objetar que conforme a las normas de la carga de la prueba debía haber sido el Estado el que demostrara que efectivamente no existía una costumbre valenciana al respecto, y no al revés.</w:t>
      </w:r>
    </w:p>
    <w:p w:rsidR="00163957" w:rsidRDefault="00163957" w:rsidP="00163957">
      <w:pPr>
        <w:pStyle w:val="TextoNormal"/>
      </w:pPr>
    </w:p>
    <w:p w:rsidR="00163957" w:rsidRDefault="00163957" w:rsidP="00163957">
      <w:pPr>
        <w:pStyle w:val="TextoNormal"/>
      </w:pPr>
      <w:r>
        <w:t xml:space="preserve">Por último, niega igualmente que con la concreta Ley impugnada se hayan invadido competencias estatales exclusivas del Estado conforme al art. 149.1.8 CE, ni la de las relaciones jurídico civiles relativas a las formas del matrimonio, ni la legislación civil. La primera porque el Tribunal Constitucional ha distinguido la existencia de dos regímenes jurídicos diferenciados, el del matrimonio y el de la convivencia </w:t>
      </w:r>
      <w:r w:rsidRPr="00163957">
        <w:rPr>
          <w:i/>
        </w:rPr>
        <w:t>more uxorio</w:t>
      </w:r>
      <w:r>
        <w:t xml:space="preserve"> (cita el ATC 204/2003 y la STC 51/2011); y la segunda porque la competencia reservada al Estado debe respetar los “derechos civiles forales o especiales” que determinadas Comunidades Autónomas hayan podido asumir en sus Estatutos de Autonomía, como es su caso. Es más, conforme a la doctrina de las SSTC 81/2013 y 93/2013, sobre Leyes análogas de las comunidades de Madrid y Navarra, puede afirmarse que esta materia —uniones de hecho— es de competencia autonómica, al margen de todo Derecho foral anterior.</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7</w:t>
      </w:r>
      <w:r>
        <w:t>. Por escrito registrado en este Tribunal en fecha 22 de octubre de 2013, el Director General de la Abogacía General de la Generalitat Valenciana presentó sus alegaciones en las que solicita la íntegra desestimación del recurso formulado.</w:t>
      </w:r>
    </w:p>
    <w:p w:rsidR="00163957" w:rsidRDefault="00163957" w:rsidP="00163957">
      <w:pPr>
        <w:pStyle w:val="TextoNormal"/>
      </w:pPr>
    </w:p>
    <w:p w:rsidR="00163957" w:rsidRDefault="00163957" w:rsidP="00163957">
      <w:pPr>
        <w:pStyle w:val="TextoNormal"/>
      </w:pPr>
      <w:r>
        <w:t>En su extenso escrito, tras hacer unos apuntes históricos sobre la evolución del Derecho civil valenciano desde su plena vigencia en la Edad media hasta la situación actual, y apuntar las tres posibles posiciones sobre la correcta interpretación del art. 149.1.8 CE —la patrocinada por la STC 121/1992 y la “mayoría de los autores” que limita el Derecho civil valenciano a las costumbres subsistentes en el momento de entrar en vigor la CE; la “tesis maximalista” o de la competencia sin conexión foral, también sostenida por autorizada doctrina, que limita la competencia estatal a las materias reservadas “en todo caso” al Estado en el art. 149.1.8 CE, último inciso; y en último lugar la “tesis de la necesaria conexión foral”, que estima que la competencia se limita y vincula a las instituciones reguladas por los antiguos fueros, y no a toda la materia civil— argumenta por qué debe optarse por esta última y superarse la primera.</w:t>
      </w:r>
    </w:p>
    <w:p w:rsidR="00163957" w:rsidRDefault="00163957" w:rsidP="00163957">
      <w:pPr>
        <w:pStyle w:val="TextoNormal"/>
      </w:pPr>
    </w:p>
    <w:p w:rsidR="00163957" w:rsidRDefault="00163957" w:rsidP="00163957">
      <w:pPr>
        <w:pStyle w:val="TextoNormal"/>
      </w:pPr>
      <w:r>
        <w:t xml:space="preserve">De acuerdo con la recapitulación que el propio escrito de alegaciones hace en su fundamento de derecho segundo, apartado 8, el razonamiento de la Generalitat puede resumirse del siguiente modo: (i) la competencia legislativa civil de la Generalitat fue primero delegada (art. 150.2 CE) por el Estado a través de la Ley Orgánica 12/1982, de 10 de agosto, de transferencia de competencias de titularidad estatal a la Comunidad Autónoma Valenciana, cuyo fin fue equiparar a esta autonomía con las del art. 151 y disposición transitoria segunda CE, y luego plenamente asumida por aquélla a través de la Ley Orgánica 5/1994, de 5 de marzo, de reforma del Estatuto de Autonomía para la Comunidad Valenciana; (ii) que esa competencia “trae causa … de lo prevenido en el citado art. 149.1.8 de la Constitución”, tal y como proclamó la STC 121/1992, FJ 1, y por consiguiente tenía por objeto tutelar la foralidad civil valenciana. Sin embargo (iii) la posición expresada en esa misma STC 121/1992, FJ 1, de que la competencia autonómica en materia civil “no puede estimarse referida sino al Derecho consuetudinario que, tras la abolición de los Fueros y hasta nuestros días, subsistiera en el territorio de la Comunidad Autónoma” es inasumible desde un punto de vista técnico-jurídico, por dos razones: en primer lugar, porque las costumbres forales fueron derogadas, como los mismos Fueros, en 1707; en consecuencia, a partir de entonces las costumbres que han observado los valencianos son costumbres de Derecho castellano primero y común después, de suerte que no puede sostenerse con rigor que existan a día de hoy costumbres forales. Además, la simple conversión de esas costumbres en leyes que se derivaría de la estricta aplicación de la STC 121/1992 chocaría con el ámbito territorial limitado de esas costumbres, de imprecisa y difícil fijación, frente a la necesaria uniformidad de las leyes, así como también con la competencia exclusiva e indelegable del Estado para regular la aplicación y eficacia de las normas jurídicas de acuerdo con el art. 149.1.8 CE. En segundo lugar, la doctrina de la STC 121/1992 es también inasumible porque encorseta el contenido de las leyes valencianas en términos incompatibles con el ejercicio constitucional y estatutario de esa competencia, conduciendo a su “vaciado e inanidad” (en un momento anterior de su escrito, el letrado de la Generalitat se extiende sobre ese carácter “irrecognoscible” y, con ello, desnaturalizado e imposible de ejercitar, de la competencia normativa en materia de Derecho civil que deriva de la STC 121/1992; frente a ello, sostiene, es necesario garantizar la “recognoscibilidad” de cada institución). Esa denunciada desnaturalización se demuestra, continúa, por la inexistencia de leyes civiles valencianas posteriores a la de arrendamientos históricos, a la que se refirió la citada STC 121/1992. </w:t>
      </w:r>
      <w:r>
        <w:lastRenderedPageBreak/>
        <w:t>Frente a ello (iv) la Ley Orgánica 1/2006, de reforma del Estatuto de Autonomía para la Comunidad Valenciana, pretendió dos objetos expresados en su preámbulo, que fueron, en primer lugar, que el autogobierno de la comunidad gozara “de un techo competencial lo más alto posible”, y en segundo lugar “el reconocimiento de la Comunidad Valenciana como Nacionalidad Histórica por sus raíces históricas, por su personalidad diferenciada, por su lengua y cultura y por su Derecho civil foral”. Por consiguiente (v) la reforma estatutaria de 2006 no tenía otro objeto —en este punto— que superar las consecuencias prácticas de la STC 121/1992 y dotar con ello de sentido a la inicial transferencia haciéndola “recognoscible”. La reforma venía así a poner “punto final a la singular barbarie jurídica y política de la abolición foral que los valencianos habían denunciado siempre que gozaron de la suficiente libertad política para hacerlo, plasmando tal pretensión en sus normas institucionales básicas”, como es hoy el Estatuto de Autonomía. En definitiva, y a modo de conclusión, los arts. 7.1, 49.1.2 y disposición transitoria tercera EAV/2006 no parten de una costumbre foral tan derogada como los mismos Fueros, sino que parte del contenido de esos Fueros vigentes al tiempo de su abolición, en el año 1707, para dotar así de sentido a esa competencia previamente transferida (Ley Orgánica 12/1982) y luego asumida (Ley Orgánica 5/1994), respetando siempre, eso sí, los valores y principios constitucionales y estatutarios. De manera que la Ley Orgánica 5/1994 habría derogado la Ley Orgánica 12/1982 “por innecesaria”, dice el representante de la Generalitat, pues la citada Ley Orgánica 5/1994 también había modificado la disposición adicional tercera EAV/1982 en el sentido de descalificar las competencias como transferidas para darles a todas un carácter plenamente estatutario. Y considera “esencial para enfocar correctamente” este litigio retener que “la competencia legislativa de la Generalitat en materia de Derecho civil no deriva de la aplicación del art. 149.1.8 CE, sino de la transferencia llevada a cabo por la Ley Orgánica 12/1982 como reconoce el propio Tribunal Constitucional en su Sentencia 121/1992”. “En definitiva, se trataría —dice expresamente el escrito en otro punto de su argumentación— de que la Generalitat pudiera ejercer su competencia para legislar Derecho civil valenciano como si no hubiera habido abolición”, y reconoce que ello supone una “reinterpretación del bloque de la constitucionalidad” pero propone para ello la “utilización al efecto del texto vigente del Estatut de la Comunitat Valenciana que nadie ha impugnado por estos motivos”.</w:t>
      </w:r>
    </w:p>
    <w:p w:rsidR="00163957" w:rsidRDefault="00163957" w:rsidP="00163957">
      <w:pPr>
        <w:pStyle w:val="TextoNormal"/>
      </w:pPr>
    </w:p>
    <w:p w:rsidR="00163957" w:rsidRDefault="00163957" w:rsidP="00163957">
      <w:pPr>
        <w:pStyle w:val="TextoNormal"/>
      </w:pPr>
      <w:r>
        <w:t>Tras todo lo anterior, hace también un estudio comparativo de las competencias asumidas en otros Estatutos de Autonomía sobre Derecho civil (</w:t>
      </w:r>
      <w:r w:rsidRPr="00163957">
        <w:rPr>
          <w:i/>
        </w:rPr>
        <w:t>v. gr</w:t>
      </w:r>
      <w:r>
        <w:t>. Asturias, Región de Murcia, Extremadura, País Vasco, Navarra, Cataluña, Aragón, Galicia e Islas Baleares) y de su normativa de desarrollo en esta materia (uniones de hecho o parejas estables no casadas), y concluye que la interpretación que defiende el Abogado del Estado en su recurso es, además de incongruente con la aprobación por el propio Estado de los referidos Estatutos, discriminatoria para la Comunitat Valenciana (cita el art. 14 CE) y contraria al art. 139.1 CE, según el cual “todos los españoles tienen los mismos derechos y obligaciones en cualquier parte del territorio del Estado”.</w:t>
      </w:r>
    </w:p>
    <w:p w:rsidR="00163957" w:rsidRDefault="00163957" w:rsidP="00163957">
      <w:pPr>
        <w:pStyle w:val="TextoNormal"/>
      </w:pPr>
    </w:p>
    <w:p w:rsidR="00163957" w:rsidRDefault="00163957" w:rsidP="00163957">
      <w:pPr>
        <w:pStyle w:val="TextoNormal"/>
      </w:pPr>
      <w:r>
        <w:t xml:space="preserve">Por último, se adentra en el contenido de la Ley impugnada y considera (i) que no regula una forma de matrimonio y por consiguiente no vulnera la competencia del Estado en esta materia; (ii) que hace aplicación del principio de igualdad entre las uniones de hecho y los matrimonios y de protección de la parte más débil, que aplica la jurisprudencia ante el vacío legal existente; (iii) que se fundamenta, por ello, en el art. 39 CE (protección de la familia), no en el art. 32 (derecho al matrimonio); y (iv) que respeta siempre la voluntad de la pareja para constituirse como unión de hecho formalizada y su autonomía y libertad de pactos para </w:t>
      </w:r>
      <w:r>
        <w:lastRenderedPageBreak/>
        <w:t>conformar su régimen jurídico. Finalmente, (v) también niega que los concretos preceptos a los que alude el Abogado del Estado en su recurso vulneren el art. 10.1 CE o las normas básicas que cita el escrito de interposición.</w:t>
      </w:r>
    </w:p>
    <w:p w:rsidR="00163957" w:rsidRDefault="00163957" w:rsidP="00163957">
      <w:pPr>
        <w:pStyle w:val="TextoNormal"/>
      </w:pPr>
    </w:p>
    <w:p w:rsidR="00163957" w:rsidRDefault="00163957" w:rsidP="00163957">
      <w:pPr>
        <w:pStyle w:val="TextoNormal"/>
      </w:pPr>
      <w:r>
        <w:t>Y termina su escrito de alegaciones pidiendo el alzamiento de la suspensión acordada en la providencia de admisión aludiendo a la presunción de constitucionalidad de las leyes, en cuanto expresión de la voluntad popular y a la inexistencia de perjuicios concretos derivados de la aplicación.</w:t>
      </w:r>
    </w:p>
    <w:p w:rsidR="00163957" w:rsidRDefault="00163957" w:rsidP="00163957">
      <w:pPr>
        <w:pStyle w:val="TextoNormal"/>
      </w:pPr>
    </w:p>
    <w:p w:rsidR="00163957" w:rsidRDefault="00163957" w:rsidP="00163957">
      <w:pPr>
        <w:pStyle w:val="TextoNormal"/>
      </w:pPr>
      <w:r w:rsidRPr="00163957">
        <w:rPr>
          <w:rStyle w:val="NumeroAFNegritaCaracter"/>
        </w:rPr>
        <w:t>8</w:t>
      </w:r>
      <w:r>
        <w:t>. Por providencia de 23 de octubre de 2013, se acordó incorporar a los Autos los escritos de alegaciones presentados por las representaciones de la Generalitat Valenciana y de las Cortes Valencianas, y en cuanto a la solicitud de levantamiento de la suspensión inicialmente acordada, formulada por este último en otrosí, dar un plazo común de cinco días al Abogado del Estado y a la representación de las Cortes Valencianas para que expusieran lo que considerasen procedente al respecto.</w:t>
      </w:r>
    </w:p>
    <w:p w:rsidR="00163957" w:rsidRDefault="00163957" w:rsidP="00163957">
      <w:pPr>
        <w:pStyle w:val="TextoNormal"/>
      </w:pPr>
    </w:p>
    <w:p w:rsidR="00163957" w:rsidRDefault="00163957" w:rsidP="00163957">
      <w:pPr>
        <w:pStyle w:val="TextoNormal"/>
      </w:pPr>
      <w:r w:rsidRPr="00163957">
        <w:rPr>
          <w:rStyle w:val="NumeroAFNegritaCaracter"/>
        </w:rPr>
        <w:t>9</w:t>
      </w:r>
      <w:r>
        <w:t>. Por escritos que tuvieron entrada en el Registro General de este Tribunal el 30 de octubre y el 4 de noviembre de 2013 el Abogado del Estado y el Letrado de las Cortes Valencianas presentaron, respectivamente, sus alegaciones al respecto, acordando este Tribunal por ATC 280/2013, de 3 de diciembre, mantener la suspensión solamente del art. 14 de la Ley recurrida, levantándose la suspensión en lo demás.</w:t>
      </w:r>
    </w:p>
    <w:p w:rsidR="00163957" w:rsidRDefault="00163957" w:rsidP="00163957">
      <w:pPr>
        <w:pStyle w:val="TextoNormal"/>
      </w:pPr>
    </w:p>
    <w:p w:rsidR="00163957" w:rsidRDefault="00163957" w:rsidP="00163957">
      <w:pPr>
        <w:pStyle w:val="TextoNormal"/>
      </w:pPr>
      <w:r w:rsidRPr="00163957">
        <w:rPr>
          <w:rStyle w:val="NumeroAFNegritaCaracter"/>
        </w:rPr>
        <w:t>10</w:t>
      </w:r>
      <w:r>
        <w:t>. Mediante providencia de 7 de junio de 2016, se señaló para deliberación y votación de la presente Sentencia el día 9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En el presente recurso de inconstitucionalidad el Presidente del Gobierno impugna la Ley 5/2012, de 15 de octubre, de uniones de hecho formalizadas de la Comunidad Valenciana por considerar que la misma incurre en un doble motivo de inconstitucionalidad. En primer lugar, uno de naturaleza competencial, derivado del origen de la norma, al suponer la misma según el recurrente una invasión por la Comunidad Autónoma de la competencia exclusiva del Estado en materia de legislación civil derivada del art. 149.1.8 CE y, singularmente, de la doctrina establecida en la STC 121/1992, de 28 de septiembre, que limita el ámbito de la competencia asumible por la Comunidad Valenciana en la materia al “Derecho consuetudinario que, tras la abolición de los Fueros y hasta nuestros días, subsistiera en el territorio de la Comunidad Autónoma” (FJ 1). Y en segundo lugar, otro de carácter sustantivo, por el contenido de la Ley recurrida, que según el Abogado del Estado vulnera el principio de libre desarrollo de la personalidad consagrado en el art. 10.1 CE de acuerdo con la doctrina establecida en la STC 93/2013, de 23 de abril, que declaró la inconstitucionalidad de parte de la Ley Foral de Navarra 6/2000, de 3 de julio, para la igualdad jurídica de las parejas estables, por ese motivo.</w:t>
      </w:r>
    </w:p>
    <w:p w:rsidR="00163957" w:rsidRDefault="00163957" w:rsidP="00163957">
      <w:pPr>
        <w:pStyle w:val="TextoNormal"/>
      </w:pPr>
    </w:p>
    <w:p w:rsidR="00163957" w:rsidRDefault="00163957" w:rsidP="00163957">
      <w:pPr>
        <w:pStyle w:val="TextoNormal"/>
      </w:pPr>
      <w:r>
        <w:t>Los representantes de la Generalitat y de las Cortes valencianas niegan uno y otro reproche y defienden la plena constitucionalidad de la Ley impugnada, apoyándose en los argu</w:t>
      </w:r>
      <w:r>
        <w:lastRenderedPageBreak/>
        <w:t xml:space="preserve">mentos que han quedado detalladamente expuestos en los antecedentes 6 y 7 de esta resolución. Resumidamente, y según puede comprobarse en los mismos, mientras la Generalitat defiende que el calificativo “foral” incluido en el art. 49.1.2 y en la disposición transitoria tercera del Estatuto de Autonomía tras la reforma operada por la Ley Orgánica 1/2006, de 10 de abril (EAV/2006) para referirse al Derecho civil valenciano (“Derecho civil foral valenciano”), puesto en relación con la disposición adicional primera de la Constitución resulta “capital” para el entendimiento y resolución de este litigio por ser el que justifica la plena recuperación del Derecho del histórico Reino de Valencia contenido en sus antiguos </w:t>
      </w:r>
      <w:r w:rsidRPr="00163957">
        <w:rPr>
          <w:i/>
        </w:rPr>
        <w:t>Furs</w:t>
      </w:r>
      <w:r>
        <w:t xml:space="preserve"> derogados en 1707 (Derecho, en consecuencia, “foral”, según la terminología usual empleada por los civilistas en España), la representación de las Cortes Valencianas, sin llegar a abandonar del todo el tenor literal del Estatuto de Autonomía para la Comunidad Valenciana de 2006, se centra más bien en la Ley Orgánica 12/1982, de 10 de agosto, de transferencia a la Comunidad Valenciana de competencias en materia de titularidad estatal (“Boletín Oficial del Estado” núm. 195, de 16 de agosto de 1982), al punto de afirmar expresamente en su escrito de alegaciones que “la competencia legislativa de la Generalitat en materia de Derecho civil no deriva de la aplicación del artículo 149.1.8 CE, sino de la transferencia llevada a cabo por la Ley Orgánica 12/1982 como reconoce el propio Tribunal Constitucional en su sentencia 121/1992”. En cuanto a la crítica adicional que el recurrente hace al contenido de la Ley, una y otra representación coinciden en el carácter voluntario o dispositivo de la regulación y, por tanto, en su pleno respeto al art. 10.1 CE y a la doctrina contenida en la citada STC 93/2013.</w:t>
      </w:r>
    </w:p>
    <w:p w:rsidR="00163957" w:rsidRDefault="00163957" w:rsidP="00163957">
      <w:pPr>
        <w:pStyle w:val="TextoNormal"/>
      </w:pPr>
    </w:p>
    <w:p w:rsidR="00163957" w:rsidRDefault="00163957" w:rsidP="00163957">
      <w:pPr>
        <w:pStyle w:val="TextoNormal"/>
      </w:pPr>
      <w:r>
        <w:t>Así pues, tal y como ha quedado conformado el debate de acuerdo con las alegaciones de las partes, se pide a este Tribunal un doble pronunciamiento: que resuelva (i) si la Comunidad Valenciana tiene competencia o no para dictar la norma impugnada, y (ii) si el contenido de esa norma es contrario o no al principio de libre desarrollo de la personalidad previsto en el art. 10.1 CE.</w:t>
      </w:r>
    </w:p>
    <w:p w:rsidR="00163957" w:rsidRDefault="00163957" w:rsidP="00163957">
      <w:pPr>
        <w:pStyle w:val="TextoNormal"/>
      </w:pPr>
    </w:p>
    <w:p w:rsidR="00163957" w:rsidRDefault="00163957" w:rsidP="00163957">
      <w:pPr>
        <w:pStyle w:val="TextoNormal"/>
      </w:pPr>
      <w:r w:rsidRPr="00163957">
        <w:rPr>
          <w:rStyle w:val="NumeroAFNegritaCaracter"/>
        </w:rPr>
        <w:t>2</w:t>
      </w:r>
      <w:r>
        <w:t>. Cuando en un recurso de inconstitucionalidad concurren impugnaciones competenciales y no competenciales, como en este caso, este Tribunal suele analizar en primer lugar las de tipo competencial (así, por ejemplo, SSTC 84/2013, de 11 de abril, FJ 6, y 245/2012, de 18 de diciembre, FJ 2; o la ya citada STC 93/2013, FJ 4). Aunque no se trata de una regla de carácter absoluto e inalterable, pues en otros casos puede resultar aconsejable o útil seguir un criterio distinto, como por ejemplo atender al orden seguido por el recurrente (STC 36/2013, de 14 de febrero) o al de los artículos impugnados (SSTC 141/2014, de 11 de septiembre, y 160/2013, de 26 de septiembre), o en general cualquier otro que pueda contribuir a la mejor comprensión y examen del recurso.</w:t>
      </w:r>
    </w:p>
    <w:p w:rsidR="00163957" w:rsidRDefault="00163957" w:rsidP="00163957">
      <w:pPr>
        <w:pStyle w:val="TextoNormal"/>
      </w:pPr>
    </w:p>
    <w:p w:rsidR="00163957" w:rsidRDefault="00163957" w:rsidP="00163957">
      <w:pPr>
        <w:pStyle w:val="TextoNormal"/>
      </w:pPr>
      <w:r>
        <w:t>En este caso, sin embargo, al haber argumentado el Abogado del Estado de modo prioritario que dirige la impugnación contra “la totalidad” de la Ley porque “toda” ella “está impregnada de un marcado carácter civil” para el que, según él, la Comunidad Autónoma no tiene competencia debemos mantener el criterio general antes citado y examinar primero este motivo porque de ser estimado el vicio de incompetencia alegado y de ser extendido el mismo a toda la Ley, como nos pide el recurrente, la estimación del mismo haría innecesario el examen del siguiente, de carácter sustantivo y que solamente afecta —según la misma argumentación del recurrente— a algunos preceptos concretos de la Ley pero no a todos.</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3</w:t>
      </w:r>
      <w:r>
        <w:t>. Adentrándonos pues en este debate competencial, punto de apoyo esencial para su resolución es el encuadramiento de la materia que nos ocupa entre los títulos competenciales del Estado y de las Comunidades Autónomas según el reparto efectuado en la Constitución y en el bloque de la constitucionalidad. Delimitación preliminar que se hace necesaria porque, como ya se encarga de advertir el Abogado del Estado en su escrito inicial, el preámbulo y la disposición final primera de la Ley recurrida invocan dos títulos competenciales de la Comunidad Autónoma: el del art. 49.1.2 EAV/2006, conforme al cual “[l]a Generalitat tiene competencia exclusiva sobre las siguientes materias:… [c]onservación, desarrollo y modificación del Derecho civil foral valenciano”, pero también el del apartado 1 del mismo art. 49.1, esto es, la competencia sobre “[o]rganización de sus instituciones de autogobierno, en el marco de este Estatuto”. De suerte que si se entendiera que es este último, y no el primero, el título prevalente decaerían automáticamente todas las alegaciones del Abogado del Estado acerca de la falta de competencia de la Comunidad Autónoma para legislar en esta materia (Derecho civil) de acuerdo con los arts. 149.1.8 CE y 49.1.2 EAV/2006.</w:t>
      </w:r>
    </w:p>
    <w:p w:rsidR="00163957" w:rsidRDefault="00163957" w:rsidP="00163957">
      <w:pPr>
        <w:pStyle w:val="TextoNormal"/>
      </w:pPr>
    </w:p>
    <w:p w:rsidR="00163957" w:rsidRDefault="00163957" w:rsidP="00163957">
      <w:pPr>
        <w:pStyle w:val="TextoNormal"/>
      </w:pPr>
      <w:r>
        <w:t xml:space="preserve">Es evidente, sin embargo, que la regulación de las propias “instituciones de autogobierno” no guarda relación con el principal objeto de la Ley impugnada que es, según proclama su art. 1.1, establecer “los derechos y deberes de quienes son miembros de las uniones de hecho formalizadas, entendiendo por tales las formadas por dos personas que, con independencia de su sexo, convivan en una relación de afectividad análoga a la conyugal”. Este Tribunal ha identificado la regulación de las propias “instituciones de autogobierno”, expresión contenida en el art. 148.1.1 CE y, a partir de ahí, en los sucesivos Estatutos de Autonomía, con la “potestad de autoorganización” de la Comunidad Autónoma (STC 204/1992, de 26 de noviembre, FJ 5), esto es, con su potestad para crear, modificar y suprimir los órganos, unidades administrativas o entidades que configuran la respectiva Administración autonómica o dependen de ella (STC 55/1999, de 6 de abril, FJ 3, y las que allí se citan). Y es claro que la unión de hecho no es un órgano de la Administración de la Comunidad Valenciana, ni ejerce función pública alguna, ni depende de ella; al contrario, es una institución netamente privada y conformada por dos personas que voluntariamente conviven en atención al sentimiento —definido por la Ley como de “afectividad análoga a la conyugal”— que uno y otro se profesan. Por eso, este Tribunal ha tenido ya ocasión de señalar que la regulación de los efectos jurídicos que se atribuyen a la situación fáctica de convivencia en pareja, que es lo que hace la Ley 5/2012, de la Comunidad Valenciana, “se inserta de lleno en el ámbito de las relaciones personales y patrimoniales de los integrantes de la unión de hecho, teniendo, por tanto, una naturaleza propia de la materia regulada por el Derecho civil” (STC 81/2013, de 11 de abril, FJ 4, sobre la Ley de la Asamblea de Madrid 11/2001, de 19 de diciembre, de uniones de hecho). Según razonaba dicha Sentencia, los efectos personales y patrimoniales que se atribuyen a esa situación de convivencia por razón de afectividad son simple trasunto de las establecidas en el Código civil —y, en su caso, en los Derechos civiles forales o especiales— para el matrimonio (v. gr. pactos entre los miembros de esa unión, régimen económico —derechos, obligaciones, cargas y responsabilidades— de la misma, pensión compensatoria en caso de separación, derechos sucesorios del supérstite, etc…) y ello supone, por tanto, la regulación de una relación </w:t>
      </w:r>
      <w:r w:rsidRPr="00163957">
        <w:rPr>
          <w:i/>
        </w:rPr>
        <w:t>inter privatos</w:t>
      </w:r>
      <w:r>
        <w:t xml:space="preserve"> y, en consecuencia, de una institución civil, como ya había declarado la STC 28/2012, de 1 de marzo, FJ 5, citada también en aquella Sentencia.</w:t>
      </w:r>
    </w:p>
    <w:p w:rsidR="00163957" w:rsidRDefault="00163957" w:rsidP="00163957">
      <w:pPr>
        <w:pStyle w:val="TextoNormal"/>
      </w:pPr>
    </w:p>
    <w:p w:rsidR="00163957" w:rsidRDefault="00163957" w:rsidP="00163957">
      <w:pPr>
        <w:pStyle w:val="TextoNormal"/>
      </w:pPr>
      <w:r>
        <w:t xml:space="preserve">La mención al art. 49.1.1 EAV/2006 se justifica por la regulación de un registro administrativo de uniones de hecho en la misma Ley (artículos 3; 4.3; 5.2 y 3; y disposición final </w:t>
      </w:r>
      <w:r>
        <w:lastRenderedPageBreak/>
        <w:t>segunda, apartado 2). Pero de momento avanzaremos en el estudio de la competencia autonómica en materia civil: es el que invoca el legislador autonómico para dar cobertura a la Ley, el que se corresponde con su objeto definido en el artículo 1.1 y el que reclama nuestra atención de acuerdo con la impugnación efectuada.</w:t>
      </w:r>
    </w:p>
    <w:p w:rsidR="00163957" w:rsidRDefault="00163957" w:rsidP="00163957">
      <w:pPr>
        <w:pStyle w:val="TextoNormal"/>
      </w:pPr>
    </w:p>
    <w:p w:rsidR="00163957" w:rsidRDefault="00163957" w:rsidP="00163957">
      <w:pPr>
        <w:pStyle w:val="TextoNormal"/>
      </w:pPr>
      <w:r w:rsidRPr="00163957">
        <w:rPr>
          <w:rStyle w:val="NumeroAFNegritaCaracter"/>
        </w:rPr>
        <w:t>4</w:t>
      </w:r>
      <w:r>
        <w:t>. Este encuadramiento competencial de la Ley hace que los preceptos de referencia para la resolución de este conflicto hayan de ser, consiguientemente, los que regulan la distribución de competencias entre el Estado y la Comunidad Autónoma en materia de Derecho civil, que son los arts. 149.1.8 CE y 49.1.2 EAV/2006. Según el primero, “[e]l Estado tiene competencia exclusiva sobre las siguientes materias: … Legislación civil, sin perjuicio de la conservación, modificación y desarrollo por las Comunidades Autónomas de los derechos civiles, forales o especiales, allí donde existan. En todo caso, las reglas relativas a la aplicación y eficacia de las normas jurídicas, relaciones jurídico-civiles relativas a las formas de matrimonio, ordenación de los registros e instrumentos públicos, bases de las obligaciones contractuales, normas para resolver los conflictos de leyes y determinación de las fuentes del derecho, con respeto, en este último caso, a las normas de derecho foral o especial”. Estableciendo el art. 49.1.2 del Estatuto de Autonomía de la Comunidad Valenciana que “[l]a Generalitat tiene competencia exclusiva sobre las siguientes materias: … Conservación, desarrollo y modificación del Derecho civil foral valenciano”.</w:t>
      </w:r>
    </w:p>
    <w:p w:rsidR="00163957" w:rsidRDefault="00163957" w:rsidP="00163957">
      <w:pPr>
        <w:pStyle w:val="TextoNormal"/>
      </w:pPr>
    </w:p>
    <w:p w:rsidR="00163957" w:rsidRDefault="00163957" w:rsidP="00163957">
      <w:pPr>
        <w:pStyle w:val="TextoNormal"/>
      </w:pPr>
      <w:r>
        <w:t>Sobre la interpretación de estos preceptos y la consiguiente delimitación de las competencias entre el Estado y la Comunidad Valenciana en materia de Derecho civil se ha pronunciado la reciente STC 82/2016, de 28 de abril, resolutoria del recurso de inconstitucionalidad núm. 9888-2007 interpuesto por el Presidente del Gobierno contra la Ley de régimen económico matrimonial valenciano. La identidad de la materia y de las alegaciones de las partes obligan, en consecuencia, a seguir los criterios de ese precedente mencionado con las matizaciones oportunas por razón del específico objeto de la Ley aquí impugnada.</w:t>
      </w:r>
    </w:p>
    <w:p w:rsidR="00163957" w:rsidRDefault="00163957" w:rsidP="00163957">
      <w:pPr>
        <w:pStyle w:val="TextoNormal"/>
      </w:pPr>
    </w:p>
    <w:p w:rsidR="00163957" w:rsidRDefault="00163957" w:rsidP="00163957">
      <w:pPr>
        <w:pStyle w:val="TextoNormal"/>
      </w:pPr>
      <w:r>
        <w:t>Al igual que en ese recurso anterior, la referencia a los arts. 149.1.8 CE y 49.1.2 EAV no basta, sin embargo, para resolver la controversia que se nos plantea. Junto a ellos, cuya aplicación al caso nadie discute, los órganos ejecutivo y legislativo de la Comunidad Valenciana citan también otros que según afirman deben orientar o presidir la interpretación de aquellos dándoles un determinado sentido. Esos otros preceptos distintos de los arriba mencionados son la disposición adicional primera de la Constitución, el artículo 7.1 y la disposición transitoria tercera del propio Estatuto de Autonomía reformado en 2006 y la Ley Orgánica 12/1982, de 10 de agosto, de transferencia a la Comunidad Valenciana de competencias en materia de titularidad estatal (de la Ley Orgánica 12/1982). En consecuencia, antes de adentrarnos en la interpretación de los dos títulos competenciales antes dichos se hace necesario examinar la posible influencia que esos otros preceptos invocados desde la Comunidad Autónoma puedan tener en esa necesaria labor de interpretación.</w:t>
      </w:r>
    </w:p>
    <w:p w:rsidR="00163957" w:rsidRDefault="00163957" w:rsidP="00163957">
      <w:pPr>
        <w:pStyle w:val="TextoNormal"/>
      </w:pPr>
    </w:p>
    <w:p w:rsidR="00163957" w:rsidRDefault="00163957" w:rsidP="00163957">
      <w:pPr>
        <w:pStyle w:val="TextoNormal"/>
      </w:pPr>
      <w:r>
        <w:t xml:space="preserve">a) Comenzando por el de más alto rango, el letrado de las Cortes Valencianas insiste especialmente en vincular el término “foral” incluido en el art. 49.1.2 y en la disposición transitoria tercera del Estatuto de Autonomía (“Derecho civil foral valenciano”) con la disposición adicional primera de la Constitución, según la cual ésta “ampara y respeta los derechos históricos de los territorios forales. La actualización general de dicho régimen foral se llevará a cabo, en su caso, en el marco de la Constitución y de los Estatutos de Autonomía”. Para dicha parte, el Derecho civil “foral” valenciano encontraría acomodo en este </w:t>
      </w:r>
      <w:r>
        <w:lastRenderedPageBreak/>
        <w:t>precepto constitucional y, por consiguiente, debería ser “amparado” y “respetado” por la Constitución, de acuerdo con el mandato contenido en la referida disposición.</w:t>
      </w:r>
    </w:p>
    <w:p w:rsidR="00163957" w:rsidRDefault="00163957" w:rsidP="00163957">
      <w:pPr>
        <w:pStyle w:val="TextoNormal"/>
      </w:pPr>
    </w:p>
    <w:p w:rsidR="00163957" w:rsidRDefault="00163957" w:rsidP="00163957">
      <w:pPr>
        <w:pStyle w:val="TextoNormal"/>
      </w:pPr>
      <w:r>
        <w:t>No es esta, sin embargo, la interpretación que hemos mantenido de este precepto. Como avanzó la STC 82/2016, de 28 de abril, FJ 3, “el calificativo ‘foral’ incluido en la reforma estatutaria referido al derecho civil foral valenciano … no puede alterar el techo competencial del art. 149.1.8 CE”. Tanto es así que el Letrado de la Generalitat —aunque no el de las Cortes Valencianas— sí reconoce abiertamente en sus alegaciones que esta disposición no se refiere al Derecho civil, sino a ciertas especialidades jurídico-públicas de las Comunidades Autónomas del País Vasco y Navarra. En concreto, en la STC 88/1993, de 12 de marzo, FJ 1 b), y precisamente a propósito de una ley de contenido civil promulgada por la Comunidad Autónoma de Aragón ya descartamos que pudiera invocarse aquella disposición adicional con el fin de asentar o ampliar las competencias autonómicas en esta materia: “[n]i esta previsión, ni la que se contiene en la Disposición adicional quinta del EAAr”, decíamos entonces, “han de ser tomadas ahora en consideración, no ya sólo porque los derechos históricos de las Comunidades y Territorios forales no pueden considerarse como un título autónomo del que puedan deducirse específicas competencias no incorporadas a los Estatutos (SSTC 123/1984, fundamento jurídico 3; 94/1985, fundamento jurídico 6 y 76/1988, fundamento jurídico 4) sino, sobre todo y en primer lugar, porque el sentido de la Disposición adicional primera CE no es el de garantizar u ordenar el régimen constitucional de la foralidad civil (contemplado, exclusivamente, en el art. 149.1.8 y en la Disposición adicional segunda CE), sino el de permitir la integración y actualización en el ordenamiento postconstitucional, con los límites que dicha Disposición marca, de algunas de las peculiaridades jurídico-públicas que en el pasado singularizaron a determinadas partes del territorio de la Nación”. Siendo estas partes, como hemos dicho, el País Vasco y Navarra [SSTC 76/1988, de 26 de abril, FJ 2, y 208/2012, de 14 de noviembre, FJ 4 a)].</w:t>
      </w:r>
    </w:p>
    <w:p w:rsidR="00163957" w:rsidRDefault="00163957" w:rsidP="00163957">
      <w:pPr>
        <w:pStyle w:val="TextoNormal"/>
      </w:pPr>
    </w:p>
    <w:p w:rsidR="00163957" w:rsidRDefault="00163957" w:rsidP="00163957">
      <w:pPr>
        <w:pStyle w:val="TextoNormal"/>
      </w:pPr>
      <w:r>
        <w:t>En el mismo sentido, la STC 31/2010, de 28 de junio, FJ 10, analizando la referencia a los “derechos históricos” que hace el art. 5 del Estatuto de Autonomía de Cataluña, según la reforma de 2006, vinculándolos también de algún modo con el Derecho civil propio de aquella Comunidad, excluyó que esa referencia, ligada a la disposición adicional primera de la Constitución, pudiera proyectarse sobre el Derecho privado. Se dijo a propósito de lo anterior en la indicada Sentencia: “[s]e trata, pues, de derechos históricos en un sentido bien distinto del que corresponde a los derechos de los territorios forales a que se refiere la disposición adicional primera de la Constitución. Y ello porque se refieren a derechos y tradiciones de Derecho privado o, en el ámbito del Derecho público”.</w:t>
      </w:r>
    </w:p>
    <w:p w:rsidR="00163957" w:rsidRDefault="00163957" w:rsidP="00163957">
      <w:pPr>
        <w:pStyle w:val="TextoNormal"/>
      </w:pPr>
    </w:p>
    <w:p w:rsidR="00163957" w:rsidRDefault="00163957" w:rsidP="00163957">
      <w:pPr>
        <w:pStyle w:val="TextoNormal"/>
      </w:pPr>
      <w:r>
        <w:t>En definitiva, ni la disposición adicional primera de la Constitución es aplicable a este recurso, ni puede orientar o condicionar la interpretación de los títulos competenciales aquí concernidos sobre legislación civil (arts. 149.1.8 CE y 49.1.2 EAV/2006), pues se refiere a una materia distinta.</w:t>
      </w:r>
    </w:p>
    <w:p w:rsidR="00163957" w:rsidRDefault="00163957" w:rsidP="00163957">
      <w:pPr>
        <w:pStyle w:val="TextoNormal"/>
      </w:pPr>
    </w:p>
    <w:p w:rsidR="00163957" w:rsidRDefault="00163957" w:rsidP="00163957">
      <w:pPr>
        <w:pStyle w:val="TextoNormal"/>
      </w:pPr>
      <w:r>
        <w:t>b) La incidencia de los otros dos apoyos, ya de rango inferior a la Constitución, que invocan los representantes de la Comunidad Autónoma para sustentar su interpretación de los títulos competenciales en conflicto, que son la Ley Orgánica 12/1982 y el art. 7.1 y disposición transitoria tercera EAV/2006, han sido ya examinados en la mencionada STC 82/2016 de 28 de abril.</w:t>
      </w:r>
    </w:p>
    <w:p w:rsidR="00163957" w:rsidRDefault="00163957" w:rsidP="00163957">
      <w:pPr>
        <w:pStyle w:val="TextoNormal"/>
      </w:pPr>
    </w:p>
    <w:p w:rsidR="00163957" w:rsidRDefault="00163957" w:rsidP="00163957">
      <w:pPr>
        <w:pStyle w:val="TextoNormal"/>
      </w:pPr>
      <w:r>
        <w:lastRenderedPageBreak/>
        <w:t>En esa Sentencia ya rechazamos que la Ley Orgánica 12/1982 hubiese podido modificar el alcance de las competencias estatales y autonómicas que resulta del art. 149.1.8 CE. Tras recordar la evolución legislativa desde el Estatuto de Autonomía de 1982 hasta las Leyes Orgánicas 5/1994, de modificación del Estatuto de Autonomía para la Comunidad Valenciana/1982, y 12/1994, que derogó la Ley Orgánica 12/1982, concluimos que la citada Ley Orgánica 12/1982 “en ningún caso podía ir más allá de lo dispuesto en el art. 149 CE, por lo que la competencia autonómica se debe situar necesariamente en el marco de lo dispuesto en el art. 149.1.8 CE, que permite a las comunidades autónomas legislar en orden a la conservación, modificación y desarrollo del derecho civil foral o especial existente a la aprobación del texto constitucional, sin que la argumentación esgrimida por los recurrentes permita admitir la existencia de un derecho foral valenciano susceptible de actualización independientemente de su preexistencia” [STC 82/2016, de 28 de abril, FJ 3 a)].</w:t>
      </w:r>
    </w:p>
    <w:p w:rsidR="00163957" w:rsidRDefault="00163957" w:rsidP="00163957">
      <w:pPr>
        <w:pStyle w:val="TextoNormal"/>
      </w:pPr>
    </w:p>
    <w:p w:rsidR="00163957" w:rsidRDefault="00163957" w:rsidP="00163957">
      <w:pPr>
        <w:pStyle w:val="TextoNormal"/>
      </w:pPr>
      <w:r>
        <w:t>c) Igualmente, la misma STC 82/2016, de 28 de abril, ha analizado la incidencia del art. 7.1 y de la disposición transitoria tercera del propio Estatuto de Autonomía de la Comunidad Valenciana, también citados por los representantes de la Comunidad Autónoma en conflicto para justificar una “reinterprertación” del bloque de la constitucionalidad y para solicitar de este Tribunal un apartamiento o matización de su doctrina contenida en la STC 121/1992.</w:t>
      </w:r>
    </w:p>
    <w:p w:rsidR="00163957" w:rsidRDefault="00163957" w:rsidP="00163957">
      <w:pPr>
        <w:pStyle w:val="TextoNormal"/>
      </w:pPr>
    </w:p>
    <w:p w:rsidR="00163957" w:rsidRDefault="00163957" w:rsidP="00163957">
      <w:pPr>
        <w:pStyle w:val="TextoNormal"/>
      </w:pPr>
      <w:r>
        <w:t>Tal como señalamos en la citada STC 82/2016, de 28 de abril, FJ 3 b), el análisis de la cuestión relativa a la eficacia de tales normas debe partir de la “subordinación de los Estatutos a la CE”. Desde esa premisa, se puede constatar igualmente que los preceptos estatutarios antes transcritos “no contienen norma alguna atributiva de competencias”; al contrario, “presuponen esa atribución al tomar como premisa de su mandato ‘las competencias de la Generalitat’ (art. 7.1) y la ‘competencia exclusiva sobre el Derecho civil foral valenciano’ (disposición transitoria tercera)”, remitiéndose así al art. 49.1.2 EAV/2006, ubicado en el título IV rubricado “las competencias”. De modo que la llamada a recuperar y actualizar los antiguos Fueros “no autoriza al legislador autonómico a exceder la competencia en materia de legislación civil que el art. 149.1.18 CE permite a las Comunidades Autónomas con Derecho civil propio, más allá del cual se encuentra la competencia indisponible del Estado”.</w:t>
      </w:r>
    </w:p>
    <w:p w:rsidR="00163957" w:rsidRDefault="00163957" w:rsidP="00163957">
      <w:pPr>
        <w:pStyle w:val="TextoNormal"/>
      </w:pPr>
    </w:p>
    <w:p w:rsidR="00163957" w:rsidRDefault="00163957" w:rsidP="00163957">
      <w:pPr>
        <w:pStyle w:val="TextoNormal"/>
      </w:pPr>
      <w:r w:rsidRPr="00163957">
        <w:rPr>
          <w:rStyle w:val="NumeroAFNegritaCaracter"/>
        </w:rPr>
        <w:t>5</w:t>
      </w:r>
      <w:r>
        <w:t>. De conformidad con lo expuesto, la resolución del conflicto competencial que se nos plantea queda ceñido entonces a la interpretación del art. 149.1.8 CE, que regula dos cuestiones. En primer lugar, el presupuesto necesario para que las Comunidades Autónomas puedan asumir la competencia allí regulada, pues solamente se permite asumir esa competencia a las Comunidades Autónomas “allí donde existan” esos Derechos civiles forales o especiales; no, por tanto, a las demás. En segundo lugar, el art. 149.1.8 CE regula también la medida o alcance de esa competencia, que se define siempre por relación a ese Derecho civil foral o especial (“conservación, modificación y desarrollo” del mismo). A las dos cuestiones ha dado ya respuesta la doctrina de este Tribunal, recogida y reiterada en la STC 82/2016, de 28 de abril.</w:t>
      </w:r>
    </w:p>
    <w:p w:rsidR="00163957" w:rsidRDefault="00163957" w:rsidP="00163957">
      <w:pPr>
        <w:pStyle w:val="TextoNormal"/>
      </w:pPr>
    </w:p>
    <w:p w:rsidR="00163957" w:rsidRDefault="00163957" w:rsidP="00163957">
      <w:pPr>
        <w:pStyle w:val="TextoNormal"/>
      </w:pPr>
      <w:r>
        <w:t xml:space="preserve">a) Sobre el aludido presupuesto para asumir la competencia, hemos declarado que con la expresión “allí donde existan” la Constitución alude a la “previa existencia” en el territorio de que se trate “de un Derecho civil propio (SSTC 28/2012, de 1 de marzo, FJ 3, y 81/2013, de 11 de abril, FJ 4). Una preexistencia que no debe valorarse además con referencia a cualquier coordenada temporal, como se pretende desde la Comunidad Autónoma, sino muy precisamente ‘al tiempo de la entrada en vigor de la Constitución’ (STC 121/1992, de 28 de </w:t>
      </w:r>
      <w:r>
        <w:lastRenderedPageBreak/>
        <w:t>septiembre, FJ 1) o ‘a la entrada en vigor de la Constitución’ (SSTC 88/1993, de 12 de marzo, FJ 1, y 31/2010, de 28 de junio, FJ 76), sin que sea lícito remontarse a cualquier otro momento anterior” [STC 82/2016, de 28 de abril, FJ 4 a)].</w:t>
      </w:r>
    </w:p>
    <w:p w:rsidR="00163957" w:rsidRDefault="00163957" w:rsidP="00163957">
      <w:pPr>
        <w:pStyle w:val="TextoNormal"/>
      </w:pPr>
    </w:p>
    <w:p w:rsidR="00163957" w:rsidRDefault="00163957" w:rsidP="00163957">
      <w:pPr>
        <w:pStyle w:val="TextoNormal"/>
      </w:pPr>
      <w:r>
        <w:t>Ahora bien, “como también tuvimos ocasión de señalar precisamente en relación con la Comunidad Valenciana, ‘[el]l amplio enunciado de esta última salvedad (derechos civiles forales o especiales) permite entender que su remisión alcanza no sólo a aquellos derechos civiles especiales que habían sido objeto de compilación al tiempo de la entrada en vigor de la Constitución, sino también a normas civiles de ámbito regional o local y de formación consuetudinaria preexistentes a la Constitución’” y que “tras la abolición de los Fueros y hasta nuestros días, subsistiera en el territorio de la Comunidad Autónoma, siendo notoria la inexistencia de toda regla escrita que, antes de la Ley hoy impugnada, ordenara en dicho ámbito cualquier instituto civil de modo especial respecto al Derecho común’ (STC 121/1992, FJ 1). Y en el mismo sentido se ha pronunciado la STC 182/1992, FJ 3, aunque ésta en relación con la Comunidad Autónoma de Galicia” [STC 82/2016, de 28 de abril, FJ 4 a)].</w:t>
      </w:r>
    </w:p>
    <w:p w:rsidR="00163957" w:rsidRDefault="00163957" w:rsidP="00163957">
      <w:pPr>
        <w:pStyle w:val="TextoNormal"/>
      </w:pPr>
    </w:p>
    <w:p w:rsidR="00163957" w:rsidRDefault="00163957" w:rsidP="00163957">
      <w:pPr>
        <w:pStyle w:val="TextoNormal"/>
      </w:pPr>
      <w:r>
        <w:t>b) A su vez, y de manera no del todo desconectada, el art. 149.1.8 CE también define el contenido de esa competencia vinculado siempre a la “conservación, modificación y desarrollo” de ese Derecho civil foral o especial previamente existente. Sobre ello hemos razonado en la STC 82/2016, de 28 de abril, FJ 4 b), con cita de la STC 88/1993, de 12 de marzo, FJ 1, que “los concretos términos empleados por la Constitución (‘conservación, modificación y desarrollo’) son los que ‘dan positivamente la medida y el límite primero de las competencias así atribuibles y ejercitables y con arreglo a los que habrá que apreciar —como después haremos— la constitucionalidad o inconstitucionalidad de las normas en tal ámbito dictadas por el Legislador autonómico’. Y esta doctrina se ha reiterado igualmente en la SSTC 156/1993, de 6 de mayo, FJ 1 a); y 31/2010, de 28 de junio, FJ 76; y 4/2014, de 16 de enero, FJ 4 e)”.</w:t>
      </w:r>
    </w:p>
    <w:p w:rsidR="00163957" w:rsidRDefault="00163957" w:rsidP="00163957">
      <w:pPr>
        <w:pStyle w:val="TextoNormal"/>
      </w:pPr>
    </w:p>
    <w:p w:rsidR="00163957" w:rsidRDefault="00163957" w:rsidP="00163957">
      <w:pPr>
        <w:pStyle w:val="TextoNormal"/>
      </w:pPr>
      <w:r>
        <w:t xml:space="preserve">c) De manera que, aunando ambas perspectivas, y por lo que importa a la Comunidad Valenciana, la existencia de un régimen consuetudinario previo de una determinada institución se erige a la vez en presupuesto y límite para el ejercicio de la competencia en materia de Derecho civil, lo que nos llevó a reiterar en la STC 82/2016, de 28 de abril, FJ 4 c), lo dicho en la STC 121/1992, FJ 2, acerca de los arrendamientos rústicos históricos y generalizarlo para toda institución: “la existencia de un especial régimen consuetudinario para determinados arrendamientos rústicos en el actual territorio de la Comunidad Autónoma valenciana se constituye en auténtico presupuesto </w:t>
      </w:r>
      <w:r w:rsidRPr="00163957">
        <w:rPr>
          <w:i/>
        </w:rPr>
        <w:t>ex</w:t>
      </w:r>
      <w:r>
        <w:t xml:space="preserve"> art. 149.1.8 CE para el válido ejercicio de la competencia conferida por el art. 31.2 del Estatuto de Autonomía y que dicha competencia solo podrá ejercerse en la medida en que tal régimen consuetudinario sea efectivamente reconocible sobre el objeto ordenado, hasta la adopción de la Ley hoy impugnada, por la costumbre”. La reforma del Estatuto de 2006, por las razones antes apuntadas, no permite modificar esta interpretación que impone la letra de la norma constitucional.</w:t>
      </w:r>
    </w:p>
    <w:p w:rsidR="00163957" w:rsidRDefault="00163957" w:rsidP="00163957">
      <w:pPr>
        <w:pStyle w:val="TextoNormal"/>
      </w:pPr>
    </w:p>
    <w:p w:rsidR="00163957" w:rsidRDefault="00163957" w:rsidP="00163957">
      <w:pPr>
        <w:pStyle w:val="TextoNormal"/>
      </w:pPr>
      <w:r>
        <w:t xml:space="preserve">d) Finalmente, por lo que respecta a los conocidos hechos históricos que proporcionan el sustrato de legitimidad de la reivindicación y a los que continuamente apelan los escritos de los representantes de las Cortes y de la Generalitat valencianas, ya hemos dicho que tampoco permiten alterar la anterior conclusión puesto que si esas otras comunidades autónomas “han podido asumir esas competencias más amplias [en materia de Derecho civil] es </w:t>
      </w:r>
      <w:r>
        <w:lastRenderedPageBreak/>
        <w:t>precisamente por cumplir las condiciones establecidas en el art. 149.1.8 CE” [STC 82/2016, de 28 de abril, FJ 4 d)]. Por otra parte, y como ya ha declarado este Tribunal, la igualdad de trato se garantiza solamente a “los españoles” en los arts. 14 y 139.1 CE —ambos expresamente citados en el escrito de alegaciones del letrado de la Generalitat— y ni ese Derecho es predicable de las Comunidades Autónomas ni puede permitir alterar el régimen de distribución de competencias resultante de la Constitución y del bloque de la constitucionalidad [STC 82/2016, de 28 de abril, FJ 4 d), con cita de la STC 20/2013, de 31 de enero, FJ 10].</w:t>
      </w:r>
    </w:p>
    <w:p w:rsidR="00163957" w:rsidRDefault="00163957" w:rsidP="00163957">
      <w:pPr>
        <w:pStyle w:val="TextoNormal"/>
      </w:pPr>
    </w:p>
    <w:p w:rsidR="00163957" w:rsidRDefault="00163957" w:rsidP="00163957">
      <w:pPr>
        <w:pStyle w:val="TextoNormal"/>
      </w:pPr>
      <w:r>
        <w:t>De ahí que una interpretación razonada y no arbitraria del art. 149.1.8 CE “solamente permita reiterar y no rectificar la doctrina de la STC 121/1992”, como pretenden los representantes de las Cortes y Generalitat Valencianas [STC 82/2016, de 28 de abril, FJ 4 d)].</w:t>
      </w:r>
    </w:p>
    <w:p w:rsidR="00163957" w:rsidRDefault="00163957" w:rsidP="00163957">
      <w:pPr>
        <w:pStyle w:val="TextoNormal"/>
      </w:pPr>
    </w:p>
    <w:p w:rsidR="00163957" w:rsidRDefault="00163957" w:rsidP="00163957">
      <w:pPr>
        <w:pStyle w:val="TextoNormal"/>
      </w:pPr>
      <w:r w:rsidRPr="00163957">
        <w:rPr>
          <w:rStyle w:val="NumeroAFNegritaCaracter"/>
        </w:rPr>
        <w:t>6</w:t>
      </w:r>
      <w:r>
        <w:t>. Aplicando en consecuencia al presente caso la doctrina sentada en la ya citada STC 82/2016, de 28 de abril, que a su vez remite a la STC 121/1992, resulta que la validez de la Ley objeto de ese recurso depende entonces de que la Comunidad Autónoma pueda identificar una costumbre asentada en su Derecho civil efectivamente existente en su territorio (ya en 1978) y subsistente en el momento de la aprobación de la Ley, como sucedió en el caso de la citada STC 121/1992 (arrendamientos históricos), o bien otra institución consuetudinaria diferente a la regulada pero “conexa” con ella de manera que pueda servir de base para apreciar un “desarrollo” de su Derecho civil foral o especial. De no poder hacerlo, la norma civil valenciana debe reputarse inconstitucional y nula por falta de competencia, como sucedió en la STC 82/2016, de 28 de abril.</w:t>
      </w:r>
    </w:p>
    <w:p w:rsidR="00163957" w:rsidRDefault="00163957" w:rsidP="00163957">
      <w:pPr>
        <w:pStyle w:val="TextoNormal"/>
      </w:pPr>
    </w:p>
    <w:p w:rsidR="00163957" w:rsidRDefault="00163957" w:rsidP="00163957">
      <w:pPr>
        <w:pStyle w:val="TextoNormal"/>
      </w:pPr>
      <w:r>
        <w:t xml:space="preserve">La primera de esas dos posibilidades puede claramente descartarse en este caso. El propio legislador reconoce en el primer párrafo del preámbulo de la Ley recurrida que las formas de convivencia </w:t>
      </w:r>
      <w:r w:rsidRPr="00163957">
        <w:rPr>
          <w:i/>
        </w:rPr>
        <w:t>more uxorio</w:t>
      </w:r>
      <w:r>
        <w:t xml:space="preserve"> han aparecido solamente “[e]n los últimos años”. Por lo tanto, sería inútil —como reconoce el letrado de la Generalitat en su escrito de alegaciones— buscar en los antiguos fueros, o en las costumbres de ellos derivadas, una institución legitimadora de la regulación. En cuanto a la mención que se hace ese mismo preámbulo a la Ley 1/2001, de 6 de abril, de la Generalitat, por la que se regulan las uniones de hecho, como antecedente de la Ley 5/2012, esa Ley previa tampoco puede servir de cobertura a la nueva, pues también la “modificación” del Derecho civil foral o especial está sujeta al presupuesto y límite general de la preexistencia de un régimen consuetudinario sobre la institución impuesto con carácter general por la Constitución.</w:t>
      </w:r>
    </w:p>
    <w:p w:rsidR="00163957" w:rsidRDefault="00163957" w:rsidP="00163957">
      <w:pPr>
        <w:pStyle w:val="TextoNormal"/>
      </w:pPr>
    </w:p>
    <w:p w:rsidR="00163957" w:rsidRDefault="00163957" w:rsidP="00163957">
      <w:pPr>
        <w:pStyle w:val="TextoNormal"/>
      </w:pPr>
      <w:r>
        <w:t>Durante la tramitación parlamentaria de la norma tampoco se exploró esa necesaria cobertura, y ello a pesar de que el dictamen del Consell Jurídic Consultiu de la Comunidad Valenciana ya advertía acerca del “carácter controvertido de la competencia de la Generalitat en materia de derecho civil” y del riesgo de una posible impugnación de la Ley ante este Tribunal. Sin embargo, ninguna otra mención se hace a ese necesario presupuesto para el ejercicio de la competencia durante toda la tramitación del proyecto de Ley.</w:t>
      </w:r>
    </w:p>
    <w:p w:rsidR="00163957" w:rsidRDefault="00163957" w:rsidP="00163957">
      <w:pPr>
        <w:pStyle w:val="TextoNormal"/>
      </w:pPr>
    </w:p>
    <w:p w:rsidR="00163957" w:rsidRDefault="00163957" w:rsidP="00163957">
      <w:pPr>
        <w:pStyle w:val="TextoNormal"/>
      </w:pPr>
      <w:r>
        <w:t>Por último, aunque las partes apuntan en sus escritos procesales alguna posible conexión con el Derecho civil foral o especial preexistente, por un lado, las referidas a las antiguas —y derogadas— normas escritas del desaparecido Reino de Valencia (</w:t>
      </w:r>
      <w:r w:rsidRPr="00163957">
        <w:rPr>
          <w:i/>
        </w:rPr>
        <w:t>Furs</w:t>
      </w:r>
      <w:r>
        <w:t xml:space="preserve">) que cita el Letrado de la Generalitat deben descartarse, por las razones antes apuntadas. Y por otro, las que aluden a la pervivencia de alguna norma consuetudinaria que se pretende “conexa”, como la “costumbre testamentaria de </w:t>
      </w:r>
      <w:r w:rsidRPr="00163957">
        <w:rPr>
          <w:i/>
        </w:rPr>
        <w:t>l’une per l’altre</w:t>
      </w:r>
      <w:r>
        <w:t xml:space="preserve">” o el “fideicomiso foral”, citadas por </w:t>
      </w:r>
      <w:r>
        <w:lastRenderedPageBreak/>
        <w:t>el letrado de las Cortes, también. A diferencia de lo sucedido con los arrendamientos históricos, la existencia y contenido de esas costumbres sí es aquí “dudosa” [STC 121/1992, FJ 2 a)] al no haberse acreditado ante este Tribunal. Ni la reconoce el legislador estatal, como en el caso de los arrendamientos históricos, ni la parte que afirma su existencia ha aportado tampoco prueba alguna sobre su vigencia y contenido, como le correspondía hacer de conformidad con nuestra doctrina (SSTC 82/2016, de 28 de abril, FJ 6; 121/1992, FJ 2, y 182/1992, FJ 3). No se olvide que de acuerdo con el art. 1.3 del Código civil, dedicado a las “fuentes del derecho”, “[l]a costumbre sólo regirá … siempre que … resulte probada”. Y como recuerda la STC 82/2016, de 28 de abril, FJ 6, no es la primera vez que este Tribunal acude al título preliminar del Código civil para reconocer instituciones generales de nuestro ordenamiento, como la buena fe (STC 198/1988, de 24 de octubre, FJ 2) o el fraude de ley (STC 37/1987, de 26 de marzo, FJ 8).</w:t>
      </w:r>
    </w:p>
    <w:p w:rsidR="00163957" w:rsidRDefault="00163957" w:rsidP="00163957">
      <w:pPr>
        <w:pStyle w:val="TextoNormal"/>
      </w:pPr>
    </w:p>
    <w:p w:rsidR="00163957" w:rsidRDefault="00163957" w:rsidP="00163957">
      <w:pPr>
        <w:pStyle w:val="TextoNormal"/>
      </w:pPr>
      <w:r>
        <w:t>Así pues, y de la misma manera que apreciamos en el caso resuelto por la STC 88/1993 valorando la “conversión en Ley de un supuesto Derecho consuetudinario”, resulta que ni la Ley impugnada “pretende, en su exposición de motivos, justificarse así”, ni “la mera invocación a los precedentes históricos, por expresivos que sean de viejas tradiciones … puede resultar decisiva por sí sola a los efectos de lo dispuesto en el art. 149.1.8 CE” (FJ 2). De todo ello se deriva entonces, al igual que en la STC 82/2016, de 28 de abril, la falta de competencia de la Comunidad Valenciana para regular las consecuencias civiles de las “uniones de hecho formalizadas”, tal y como las denomina la Ley recurrida, y ello debe conducir a declarar la nulidad de todos los preceptos que así lo hagan.</w:t>
      </w:r>
    </w:p>
    <w:p w:rsidR="00163957" w:rsidRDefault="00163957" w:rsidP="00163957">
      <w:pPr>
        <w:pStyle w:val="TextoNormal"/>
      </w:pPr>
    </w:p>
    <w:p w:rsidR="00163957" w:rsidRDefault="00163957" w:rsidP="00163957">
      <w:pPr>
        <w:pStyle w:val="TextoNormal"/>
      </w:pPr>
      <w:r w:rsidRPr="00163957">
        <w:rPr>
          <w:rStyle w:val="NumeroAFNegritaCaracter"/>
        </w:rPr>
        <w:t>7</w:t>
      </w:r>
      <w:r>
        <w:t>. En cuanto al alcance de esta declaración, la estimación del motivo no permite declarar la nulidad de toda la Ley, como pretende el recurrente. Este Tribunal ha admitido que las Comunidades Autónomas sin competencia en materia civil puedan regular sin embargo las uniones de hecho a los efectos que consideren oportunos para el ejercicio de sus competencias (SSTC 81/2013, de 11 de abril, FFJJ 5 y 6; y 40/2014, de 11 de marzo, FJ 5). En la legislación del Estado, el art. 221.2 del vigente texto refundido de la Ley general de la Seguridad Social, aprobado por Real Decreto Legislativo 8/2015, de 30 de octubre (antiguo art. 174.3 del texto refundido aprobado por Real Decreto Legislativo 1/1994, de 20 de junio), alude igualmente a los “registros específicos existentes en las comunidades autónomas” para acreditar la condición de pareja de hecho. Y el Estatuto de Autonomía para la Comunidad Valenciana de 2006 también reconoce la competencia de la Generalitat Valenciana para la defensa y promoción de “los derechos sociales de los valencianos” (art. 10.1) mencionando específicamente entre ellos “los derechos de las situaciones de unión legalizadas” (art. 10.3). El Abogado del Estado, por su parte, reconoce igualmente que el artículo 15 de la Ley no tiene naturaleza civil, pues dirige contra él denuncias de invasión competencial diferentes vinculadas a los núms. 7, 13, 17 y 18 del art. 149.1 CE, según ha quedado expuesto en el antecedente primero de esta resolución. En consecuencia, el carácter indisponible e irrenunciable de las competencias tanto estatales como autonómicas obliga a comprobar uno a uno el contenido de los preceptos de la Ley para restringir la declaración de nulidad, por este motivo, solamente de los que tengan carácter civil.</w:t>
      </w:r>
    </w:p>
    <w:p w:rsidR="00163957" w:rsidRDefault="00163957" w:rsidP="00163957">
      <w:pPr>
        <w:pStyle w:val="TextoNormal"/>
      </w:pPr>
    </w:p>
    <w:p w:rsidR="00163957" w:rsidRDefault="00163957" w:rsidP="00163957">
      <w:pPr>
        <w:pStyle w:val="TextoNormal"/>
      </w:pPr>
      <w:r>
        <w:t xml:space="preserve">a) Tienen esta naturaleza, por regular derechos y obligaciones de los miembros de la unión de hecho formalizada según lo expuesto más arriba en el fundamento jurídico tercero, los siguientes artículos de la Ley: el artículo 6, que bajo la rúbrica “efectos de la extinción de la unión de hecho formalizada” dispone en tal caso la “revocación automática de los </w:t>
      </w:r>
      <w:r>
        <w:lastRenderedPageBreak/>
        <w:t>poderes que cualquiera de sus miembros hubiera otorgado a favor del otro”; el artículo 7, que establece la “libertad de regulación” de las “relaciones personales y patrimoniales derivadas de la convivencia”; el artículo 8 (“gastos comunes de la unión de hecho formalizada”); el artículo 9, que regula el “derecho de alimentos” entre los convivientes; el artículo 10 (“disposición de la vivienda habitual de la unión de hecho”); el artículo 11 (“responsabilidad patrimonial”); el artículo 12, que regula el destino del “ajuar doméstico y uso de la vivienda” tras el fallecimiento de uno de los convivientes; el artículo 13 (“representación legal de la persona conviviente”); y el artículo 14 (“derechos de la persona conviviente supérstite en la sucesión de la persona premuerta”). Todos estos preceptos, al contener normas para las que la Comunidad Valenciana no ostenta competencia, son inconstitucionales y deben ser declarados nulos.</w:t>
      </w:r>
    </w:p>
    <w:p w:rsidR="00163957" w:rsidRDefault="00163957" w:rsidP="00163957">
      <w:pPr>
        <w:pStyle w:val="TextoNormal"/>
      </w:pPr>
    </w:p>
    <w:p w:rsidR="00163957" w:rsidRDefault="00163957" w:rsidP="00163957">
      <w:pPr>
        <w:pStyle w:val="TextoNormal"/>
      </w:pPr>
      <w:r>
        <w:t>El artículo 2, que regula el “ámbito de aplicación” de la Ley haciéndolo depender de la “vecindad civil” de “las partes”, debe ser igualmente anulado, pues una vez desprovista la Ley de su contenido civil, su ámbito de aplicación debe atenerse al “principio de territorialidad de las competencias” que este Tribunal ha declarado “implícito al propio sistema de autonomías territoriales” [por todas, STC 80/2012, de 18 de abril, FJ 7 b)] y que recoge expresamente el art. 7.2 EAV/2006. Conforme a este principio, la aplicación de las normas de la Generalitat debe limitarse a su propio ámbito territorial [art. 7.2 EAV/2006, ya citado, y STC 126/2002, de 20 de mayo, FJ 9 a)], de suerte que “[s]i la actuación de órganos de la Comunidad Autónoma implica ejercicio del poder político sobre situaciones o sujetos situados fuera de su ámbito territorial de competencias, ciertamente ello representará una actuación ultra vires” (STC 165/1994, de 26 de mayo, FJ 10). De este principio general de territorialidad se exceptúan las normas civiles, como expresamente dispone el art. 7.2 EAV/2006 antes citado, pues esta clase de normas se aplican según la vecindad civil, que se ostenta “con independencia de donde se resida”, en expresión del art. 3.4 EAV/2006, al que remite el citado art. 2 de la Ley 5/2012, y de conformidad con lo preceptuado al efecto por el Código civil (arts. 14 y ss.). Pero como ya se ha dicho, una vez anuladas las normas civiles de la Ley 5/2012, el resto de normas de distinta naturaleza de esta Ley que puedan pervivir deben regirse por el mencionado principio de territorialidad (art. 7.2 EAV/2006). En consecuencia, debe anularse también el artículo 2 por este motivo.</w:t>
      </w:r>
    </w:p>
    <w:p w:rsidR="00163957" w:rsidRDefault="00163957" w:rsidP="00163957">
      <w:pPr>
        <w:pStyle w:val="TextoNormal"/>
      </w:pPr>
    </w:p>
    <w:p w:rsidR="00163957" w:rsidRDefault="00163957" w:rsidP="00163957">
      <w:pPr>
        <w:pStyle w:val="TextoNormal"/>
      </w:pPr>
      <w:r>
        <w:t>b) En cuanto a los demás preceptos de la Ley, el artículo 1 solamente resulta inconstitucional en el inciso que da soporte a la normativa civil comentada, pero no en su integridad; el resto del precepto puede seguir dando soporte a las normas válidas de la Ley. Y los artículos 3, 4 y 5 no regulan las relaciones de la pareja, simplemente definen lo que la Comunidad Autónoma entiende por unión de hecho en legítimo ejercicio de sus competencias y establecen un registro para su publicidad y constancia, lo cual tampoco infringe el art. 149.1.8 CE.</w:t>
      </w:r>
    </w:p>
    <w:p w:rsidR="00163957" w:rsidRDefault="00163957" w:rsidP="00163957">
      <w:pPr>
        <w:pStyle w:val="TextoNormal"/>
      </w:pPr>
    </w:p>
    <w:p w:rsidR="00163957" w:rsidRDefault="00163957" w:rsidP="00163957">
      <w:pPr>
        <w:pStyle w:val="TextoNormal"/>
      </w:pPr>
      <w:r>
        <w:t>Desarrollaremos a continuación las anteriores afirmaciones.</w:t>
      </w:r>
    </w:p>
    <w:p w:rsidR="00163957" w:rsidRDefault="00163957" w:rsidP="00163957">
      <w:pPr>
        <w:pStyle w:val="TextoNormal"/>
      </w:pPr>
    </w:p>
    <w:p w:rsidR="00163957" w:rsidRDefault="00163957" w:rsidP="00163957">
      <w:pPr>
        <w:pStyle w:val="TextoNormal"/>
      </w:pPr>
      <w:r>
        <w:t>(i) El artículo 1, bajo la rúbrica “Objeto y principios de esta ley”, dispone:</w:t>
      </w:r>
    </w:p>
    <w:p w:rsidR="00163957" w:rsidRDefault="00163957" w:rsidP="00163957">
      <w:pPr>
        <w:pStyle w:val="TextoNormal"/>
      </w:pPr>
    </w:p>
    <w:p w:rsidR="00163957" w:rsidRDefault="00163957" w:rsidP="00163957">
      <w:pPr>
        <w:pStyle w:val="TextoNormal"/>
      </w:pPr>
      <w:r>
        <w:t>“1. El objeto de la presente ley es la regulación de los derechos y deberes de quienes son miembros de las uniones de hecho formalizadas, entendiendo por tales las formadas por dos personas que, con independencia de su sexo, convivan en una relación de afectividad análoga a la conyugal, y que cumplan los requisitos de inscripción del artículo 3 de esta ley.</w:t>
      </w:r>
    </w:p>
    <w:p w:rsidR="00163957" w:rsidRDefault="00163957" w:rsidP="00163957">
      <w:pPr>
        <w:pStyle w:val="TextoNormal"/>
      </w:pPr>
    </w:p>
    <w:p w:rsidR="00163957" w:rsidRDefault="00163957" w:rsidP="00163957">
      <w:pPr>
        <w:pStyle w:val="TextoNormal"/>
      </w:pPr>
      <w:r>
        <w:t>2. Nadie podrá ser objeto de discriminación por razón de la naturaleza, matrimonial o no, del grupo familiar del que forme parte.”</w:t>
      </w:r>
    </w:p>
    <w:p w:rsidR="00163957" w:rsidRDefault="00163957" w:rsidP="00163957">
      <w:pPr>
        <w:pStyle w:val="TextoNormal"/>
      </w:pPr>
    </w:p>
    <w:p w:rsidR="00163957" w:rsidRDefault="00163957" w:rsidP="00163957">
      <w:pPr>
        <w:pStyle w:val="TextoNormal"/>
      </w:pPr>
      <w:r>
        <w:t>Realmente, de todo el precepto solamente tiene naturaleza civil por dar soporte a las normas civiles anuladas el inciso que incluye en el objeto de la Ley la regulación de “los derechos y deberes de quienes son miembros” de las uniones de hecho formalizadas. El resto del precepto, suprimido el inciso entrecomillado, puede sobrevivir de manera autónoma con el fin dar soporte a los preceptos que no invaden las competencias del Estado. El apartado 2, en cuanto contiene una prohibición de discriminación que concreta el mandato general del art. 14 CE, y una vez limitado a los ámbitos competenciales en los que la Generalitat puede tomar en consideración las uniones de hecho, tampoco produce invasión competencial de ningún tipo.</w:t>
      </w:r>
    </w:p>
    <w:p w:rsidR="00163957" w:rsidRDefault="00163957" w:rsidP="00163957">
      <w:pPr>
        <w:pStyle w:val="TextoNormal"/>
      </w:pPr>
    </w:p>
    <w:p w:rsidR="00163957" w:rsidRDefault="00163957" w:rsidP="00163957">
      <w:pPr>
        <w:pStyle w:val="TextoNormal"/>
      </w:pPr>
      <w:r>
        <w:t>(ii) El artículo 4 regula las “[p]rohibiciones para constituir una unión de hecho”, incluyendo en esas prohibiciones a los menores no emancipados, a las personas casadas y a determinados parientes (apartado 1). Prohíbe asimismo en el apartado 2 pactar esa unión con carácter temporal o condicional. Y el apartado 3 prescribe la denegación de la inscripción en el registro cuando se incurra en alguna de las anteriores prohibiciones. Íntimamente relacionado con el anterior, el artículo 5 regula las causas de extinción de la unión de hecho formalizada (común acuerdo, declaración de voluntad de uno de los convivientes, matrimonio, fallecimiento, etc…) y también el procedimiento de cancelación de la inscripción cuando ello ocurra.</w:t>
      </w:r>
    </w:p>
    <w:p w:rsidR="00163957" w:rsidRDefault="00163957" w:rsidP="00163957">
      <w:pPr>
        <w:pStyle w:val="TextoNormal"/>
      </w:pPr>
    </w:p>
    <w:p w:rsidR="00163957" w:rsidRDefault="00163957" w:rsidP="00163957">
      <w:pPr>
        <w:pStyle w:val="TextoNormal"/>
      </w:pPr>
      <w:r>
        <w:t>Se trata entonces de artículos competencialmente neutros, pues solamente definen, a los efectos que procedan, que ya no serán civiles una vez desprovista la Ley de las normas de ese carácter, lo que la Comunidad Valenciana considera una “unión de hecho formalizada”. Y ello debe considerarse una regulación ínsita en sus competencias sectoriales, según resulta de las SSTC 40/2014 y 81/2013 antes citadas.</w:t>
      </w:r>
    </w:p>
    <w:p w:rsidR="00163957" w:rsidRDefault="00163957" w:rsidP="00163957">
      <w:pPr>
        <w:pStyle w:val="TextoNormal"/>
      </w:pPr>
    </w:p>
    <w:p w:rsidR="00163957" w:rsidRDefault="00163957" w:rsidP="00163957">
      <w:pPr>
        <w:pStyle w:val="TextoNormal"/>
      </w:pPr>
      <w:r>
        <w:t>(iii) Por lo mismo, la regulación de un registro administrativo con el fin de controlar, dar publicidad y constancia a las uniones de hecho se ha considerado conforme con el orden constitucional de distribución de competencias en Comunidades Autónomas sin competencia en materia civil en la citada STC 81/2013, de 11 de abril, en relación con la previsión análoga contenida en la Ley de uniones de hecho de la Asamblea de Madrid: “[d]escartado ya” dice la referida Sentencia, FJ 5, “que el registro despliegue su eficacia en el ámbito de las relaciones personales y patrimoniales de los integrantes de la unión de hecho, pues hemos dejado sentado que la Comunidad Autónoma carece de competencias para establecerlo así, resulta que el mismo se limita a publicitar un hecho, la existencia de la previa unión de hecho a fin de atribuirle determinada eficacia en ámbitos de competencia propia de la Comunidad de Madrid y, por tanto, sin incidir en la legislación civil ni, por lo mismo, en la competencia estatal relativa a la ordenación de los registros del art. 149.1.8 CE. A tal fin la inscripción en el registro que se contempla en el art. 3 tiene por única finalidad, al igual que su antecedente regulado por el Decreto 36/1995, de 20 de abril, la acreditación de una situación de hecho, de modo que resulte posible aplicar el régimen jurídico que, en el ámbito de competencias autonómico, el legislador territorial haya considerado oportuno establecer, sin afectar a facetas propias de las relaciones personales o patrimoniales de los integrantes de la unión de hecho”.</w:t>
      </w:r>
    </w:p>
    <w:p w:rsidR="00163957" w:rsidRDefault="00163957" w:rsidP="00163957">
      <w:pPr>
        <w:pStyle w:val="TextoNormal"/>
      </w:pPr>
    </w:p>
    <w:p w:rsidR="00163957" w:rsidRDefault="00163957" w:rsidP="00163957">
      <w:pPr>
        <w:pStyle w:val="TextoNormal"/>
      </w:pPr>
      <w:r>
        <w:t xml:space="preserve">En relación con el “carácter constitutivo” de la inscripción establecido en el artículo aquí impugnado pero no abordado en esta Sentencia anterior, el mismo razonamiento conduce a rechazar la vulneración del art. 149.1.8 CE. Desprovista ya la Ley de todo contenido civil, ese requisito </w:t>
      </w:r>
      <w:r w:rsidRPr="00163957">
        <w:rPr>
          <w:i/>
        </w:rPr>
        <w:t>ad solemnitatem</w:t>
      </w:r>
      <w:r>
        <w:t xml:space="preserve"> que determina el nacimiento de la unión de hecho al mundo jurídico no puede vulnerar la competencia del Estado en materia de legislación civil, que es el único que aquí se ha hecho valer. Por otra parte, los efectos reflejos que esa eficacia pueda producir en normas estatales no hacen, solo por eso, inconstitucional la previsión (así, por ejemplo, SSTC 60/2014, de 5 de mayo, FJ 3; y 51/2014, de 7 de abril, FJ 3, sobre sus efectos en el sistema de pensiones de la Seguridad Social). No hay razón, por tanto, para declarar la inconstitucionalidad de esa previsión.</w:t>
      </w:r>
    </w:p>
    <w:p w:rsidR="00163957" w:rsidRDefault="00163957" w:rsidP="00163957">
      <w:pPr>
        <w:pStyle w:val="TextoNormal"/>
      </w:pPr>
    </w:p>
    <w:p w:rsidR="00163957" w:rsidRDefault="00163957" w:rsidP="00163957">
      <w:pPr>
        <w:pStyle w:val="TextoNormal"/>
      </w:pPr>
      <w:r w:rsidRPr="00163957">
        <w:rPr>
          <w:rStyle w:val="NumeroAFNegritaCaracter"/>
        </w:rPr>
        <w:t>8</w:t>
      </w:r>
      <w:r>
        <w:t>. Hemos tratado hasta aquí los preceptos que tienen carácter neutro, esto es, los que simplemente definen lo que la Comunidad Valenciana considera una “unión de hecho formalizada” a los efectos de su propia administración y competencias, y los que sirven a esa definición sin más (el establecimiento de un registro a los efectos de su publicidad). Toca ahora analizar los que toman en consideración esa definición positivamente para equiparar esas uniones de hecho a los matrimonios a determinados efectos.</w:t>
      </w:r>
    </w:p>
    <w:p w:rsidR="00163957" w:rsidRDefault="00163957" w:rsidP="00163957">
      <w:pPr>
        <w:pStyle w:val="TextoNormal"/>
      </w:pPr>
    </w:p>
    <w:p w:rsidR="00163957" w:rsidRDefault="00163957" w:rsidP="00163957">
      <w:pPr>
        <w:pStyle w:val="TextoNormal"/>
      </w:pPr>
      <w:r>
        <w:t>Están agrupadas esas normas en el artículo 15, rubricado precisamente “otros efectos [no civiles, por tanto] de la unión de hecho formalizada”. Dicho precepto establece:</w:t>
      </w:r>
    </w:p>
    <w:p w:rsidR="00163957" w:rsidRDefault="00163957" w:rsidP="00163957">
      <w:pPr>
        <w:pStyle w:val="TextoNormal"/>
      </w:pPr>
    </w:p>
    <w:p w:rsidR="00163957" w:rsidRDefault="00163957" w:rsidP="00163957">
      <w:pPr>
        <w:pStyle w:val="TextoNormal"/>
      </w:pPr>
      <w:r>
        <w:t>“Quienes integren las uniones de hecho formalizadas tendrán la misma consideración que los cónyuges a los siguientes efectos:</w:t>
      </w:r>
    </w:p>
    <w:p w:rsidR="00163957" w:rsidRDefault="00163957" w:rsidP="00163957">
      <w:pPr>
        <w:pStyle w:val="TextoNormal"/>
      </w:pPr>
    </w:p>
    <w:p w:rsidR="00163957" w:rsidRDefault="00163957" w:rsidP="00163957">
      <w:pPr>
        <w:pStyle w:val="TextoNormal"/>
      </w:pPr>
      <w:r>
        <w:t>1. La regulación de la función pública que es competencia de la Generalitat, en cuanto a licencias, permisos, situaciones administrativas, provisión de puestos de trabajo y ayuda familiar.</w:t>
      </w:r>
    </w:p>
    <w:p w:rsidR="00163957" w:rsidRDefault="00163957" w:rsidP="00163957">
      <w:pPr>
        <w:pStyle w:val="TextoNormal"/>
      </w:pPr>
    </w:p>
    <w:p w:rsidR="00163957" w:rsidRDefault="00163957" w:rsidP="00163957">
      <w:pPr>
        <w:pStyle w:val="TextoNormal"/>
      </w:pPr>
      <w:r>
        <w:t>2. Los derechos y obligaciones de derecho público establecidos por la Generalitat en materias de su competencia, tales como normas presupuestarias, indemnizaciones, subvenciones y tributos autonómicos.</w:t>
      </w:r>
    </w:p>
    <w:p w:rsidR="00163957" w:rsidRDefault="00163957" w:rsidP="00163957">
      <w:pPr>
        <w:pStyle w:val="TextoNormal"/>
      </w:pPr>
    </w:p>
    <w:p w:rsidR="00163957" w:rsidRDefault="00163957" w:rsidP="00163957">
      <w:pPr>
        <w:pStyle w:val="TextoNormal"/>
      </w:pPr>
      <w:r>
        <w:t>3. En cuanto a los derechos a percibir pensiones de viudedad y a las indemnizaciones por accidentes laborales o enfermedades profesionales, se estará a lo dispuesto por la legislación aplicable en cada caso.”</w:t>
      </w:r>
    </w:p>
    <w:p w:rsidR="00163957" w:rsidRDefault="00163957" w:rsidP="00163957">
      <w:pPr>
        <w:pStyle w:val="TextoNormal"/>
      </w:pPr>
    </w:p>
    <w:p w:rsidR="00163957" w:rsidRDefault="00163957" w:rsidP="00163957">
      <w:pPr>
        <w:pStyle w:val="TextoNormal"/>
      </w:pPr>
      <w:r>
        <w:t>El Abogado del Estado considera que la equiparación del apartado 1 vulnera las competencias estatales sobre las bases del régimen estatutario de los funcionarios públicos (art. 149.1.18 CE), pero esa impugnación ya ha sido rechazada con ocasión de las normas análogas de las leyes madrileña y navarra (SSTC 81/2013, de 11 de abril, FJ 6, y 93/2013, de 23 de abril, FJ 13, respectivamente). A los razonamientos allí explicitados que no es necesario reiterar aquí nos remitimos para desestimar esta impugnación.</w:t>
      </w:r>
    </w:p>
    <w:p w:rsidR="00163957" w:rsidRDefault="00163957" w:rsidP="00163957">
      <w:pPr>
        <w:pStyle w:val="TextoNormal"/>
      </w:pPr>
    </w:p>
    <w:p w:rsidR="00163957" w:rsidRDefault="00163957" w:rsidP="00163957">
      <w:pPr>
        <w:pStyle w:val="TextoNormal"/>
      </w:pPr>
      <w:r>
        <w:t xml:space="preserve">El apartado 2 tampoco vulnera la Constitución. Respecto a la equiparación de las uniones de hecho con los matrimonios en materia de “tributos autonómicos”, el Abogado del Estado invoca la doctrina de la STC 93/2013, FJ 13, que declaró la inconstitucionalidad de la misma </w:t>
      </w:r>
      <w:r>
        <w:lastRenderedPageBreak/>
        <w:t>equiparación prevista en la Ley Foral de Navarra sobre parejas estables no casadas. Se apreció en esa Sentencia que el régimen de la Ley Foral allí recurrida no concedía “a los miembros de las parejas estables la opción de suscribirse o no a dicho régimen, sino que se les impone con todas sus consecuencias, sean beneficiosas o perjudiciales”, y que ello suponía una infracción del principio constitucional de libre desarrollo de la personalidad. Sin embargo, en el ámbito de la Ley valenciana de uniones de hecho formalizadas, para que se produzca la mencionada equiparación con el régimen de los matrimonios las parejas han tenido que expresar su previa voluntad de constituirse como tal unión de hecho formalizada e inscribirse como tal en el Registro administrativo previsto en el art. 3 de la Ley 5/2012, ya declarado conforme con la Constitución en el precedente fundamento jurídico 7 b), apartado (iii), precisamente para posibilitar la aplicación del régimen jurídico que dentro de sus competencias pueda establecer las comunidad autónoma. Esta diferencia con el régimen de la Ley Foral de Navarra examinada en la STC 93/2013 hace que en este caso no se produzca la vulneración del principio de libre desarrollo de la personalidad denunciada por el Abogado del Estado, en la medida en que las parejas que cumplan los requisitos previstos en la Ley 5/2012 pueden optar libre y voluntariamente entre adscribirse al régimen de la mencionada Ley 5/2012 (con los efectos que ello conlleva, entre los que se encuentra la equiparación en materia de “tributos autonómicos") o no hacerlo, permaneciendo entonces al margen de la Ley de uniones de hecho formalizadas, también a efectos tributarios.</w:t>
      </w:r>
    </w:p>
    <w:p w:rsidR="00163957" w:rsidRDefault="00163957" w:rsidP="00163957">
      <w:pPr>
        <w:pStyle w:val="TextoNormal"/>
      </w:pPr>
    </w:p>
    <w:p w:rsidR="00163957" w:rsidRDefault="00163957" w:rsidP="00163957">
      <w:pPr>
        <w:pStyle w:val="TextoNormal"/>
      </w:pPr>
      <w:r>
        <w:t>Además, por lo que respecta al resto de incisos de este apartado 2, en ellos se establece la equiparación en sectores de los que solo pueden derivar derechos y ventajas para los convivientes (el pago de una subvención o de una indemnización o de cualquier otra obligación de pago derivada de las “normas presupuestarias”). Los posibles efectos perjudiciales o de gravamen de esa equiparación —las “obligaciones” a que hace referencia el precepto, como el eventual reintegro de la subvención o el cumplimiento de obligaciones formales del régimen subvencional, o la revocación de una indemnización a la que no se tenía derecho— debe entenderse que derivan de la previa solicitud o recepción de una u otra, y no de la equiparación legal. En consecuencia, al necesitar siempre una previa solicitud voluntaria del particular no pueden ser considerados contrarios al principio de libre desarrollo de la personalidad, en línea con lo razonado en la STC 93/2013. El recurso, por tanto, se desestima en este punto.</w:t>
      </w:r>
    </w:p>
    <w:p w:rsidR="00163957" w:rsidRDefault="00163957" w:rsidP="00163957">
      <w:pPr>
        <w:pStyle w:val="TextoNormal"/>
      </w:pPr>
    </w:p>
    <w:p w:rsidR="00163957" w:rsidRDefault="00163957" w:rsidP="00163957">
      <w:pPr>
        <w:pStyle w:val="TextoNormal"/>
      </w:pPr>
      <w:r>
        <w:t>Por último, la equiparación a efectos del derecho a percibir pensiones e indemnizaciones de la Seguridad Social del apartado 3 es una simple norma de remisión “a lo dispuesto por la legislación aplicable en cada caso”, por lo que no se aprecia extralimitación competencial en relación con el art. 149.1.17 CE invocado por el Abogado del Estado.</w:t>
      </w:r>
    </w:p>
    <w:p w:rsidR="00163957" w:rsidRDefault="00163957" w:rsidP="00163957">
      <w:pPr>
        <w:pStyle w:val="TextoNormal"/>
      </w:pPr>
    </w:p>
    <w:p w:rsidR="00163957" w:rsidRDefault="00163957" w:rsidP="00163957">
      <w:pPr>
        <w:pStyle w:val="TextoNormal"/>
      </w:pPr>
      <w:r w:rsidRPr="00163957">
        <w:rPr>
          <w:rStyle w:val="NumeroAFNegritaCaracter"/>
        </w:rPr>
        <w:t>9</w:t>
      </w:r>
      <w:r>
        <w:t>. Finalmente, la disposición adicional única, que regula la posibilidad de que las uniones de hecho inscritas conforme a la legislación anterior pasen a regularse por la nueva Ley no es inconstitucional una vez limitados los efectos de ésta y anuladas sus normas civiles. Lo mismo ocurre con las habilitaciones reglamentarias de la disposición final segunda, que no son inconstitucionales una vez limitada la materia a la que pueden referirse esos reglamentos, sobre todo el general previsto en el apartado 1. Por último, la disposición transitoria única se limita a establecer que hasta la aprobación del nuevo reglamento del registro de uniones de hecho formalizadas las inscripciones se practicarán en el registro existente constituido al amparo de la Ley anterior derogada. Siendo constitucional el registro, no hay razón tampoco para declarar la inconstitucionalidad de la disposición.</w:t>
      </w:r>
    </w:p>
    <w:p w:rsidR="00163957" w:rsidRDefault="00163957" w:rsidP="00163957">
      <w:pPr>
        <w:pStyle w:val="TextoNormal"/>
      </w:pPr>
    </w:p>
    <w:p w:rsidR="00163957" w:rsidRDefault="00163957" w:rsidP="00163957">
      <w:pPr>
        <w:pStyle w:val="TextoNormal"/>
      </w:pPr>
      <w:r w:rsidRPr="00163957">
        <w:rPr>
          <w:rStyle w:val="NumeroAFNegritaCaracter"/>
        </w:rPr>
        <w:t>10</w:t>
      </w:r>
      <w:r>
        <w:t>. Resta por determinar el alcance temporal de los efectos de la declaración de inconstitucionalidad. En este punto, teniendo en cuenta la existencia de un régimen legal anterior al ahora anulado (el de la Ley 1/2001, de 6 de abril, por la que se regulan las uniones de hecho) y los efectos que haya podido producir la aplicación de la Ley impugnada entre los miembros de las uniones de hecho formalizadas acogidas a la misma, y en sus relaciones con terceros, el principio de seguridad jurídica consagrado en el art. 9.3 CE aconseja limitar los efectos de esta Sentencia, que tendrá solo efectos “pro futuro”, sin afectar a las “situaciones jurídicas consolidadas” (en el mismo sentido, STC 93/2013, FJ 14, sobre la Ley Foral de Navarra 6/2000, de 3 de julio, para la igualdad jurídica de las parejas estables).</w:t>
      </w:r>
    </w:p>
    <w:p w:rsidR="00163957" w:rsidRDefault="00163957" w:rsidP="00163957">
      <w:pPr>
        <w:pStyle w:val="TextoNormal"/>
      </w:pPr>
    </w:p>
    <w:p w:rsidR="00163957" w:rsidRDefault="00163957" w:rsidP="00163957">
      <w:pPr>
        <w:pStyle w:val="TextoNormal"/>
      </w:pPr>
      <w:r>
        <w:t>Esta limitación temporal de los efectos de la declaración de nulidad no se producirá, lógicamente, en relación con el artículo 14, sobre “derechos sucesorios”, cuya aplicación se encuentra suspendida desde la fecha de interposición del recurso por el Presidente del Gobierno como consecuencia de la invocación por el mismo de los arts. 161.2 CE y 30 de la Ley Orgánica del Tribunal Constitucional, habiéndose acordado posteriormente mantener esta medida cautelar en el ATC 280/2013, de 3 de diciembre, FJ 6 y fallo.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Estimar en parte el presente recurso de inconstitucionalidad y, en consecuencia, declarar la inconstitucionalidad y nulidad, con los efectos señalados en el fundamento jurídico 10 de esta Sentencia, de los siguientes artículos de la Ley 5/2012, de 15 de octubre, de uniones de hecho formalizadas de la Comunitat Valenciana: el artículo 1.1, en el inciso “los derechos y deberes de quienes son miembros”; los artículos 2, 6, 7, 8, 9, 10, 11, 12, 13 y 14.</w:t>
      </w:r>
    </w:p>
    <w:p w:rsidR="00163957" w:rsidRDefault="00163957" w:rsidP="00163957">
      <w:pPr>
        <w:pStyle w:val="TextoNormal"/>
      </w:pPr>
    </w:p>
    <w:p w:rsidR="00163957" w:rsidRDefault="00163957" w:rsidP="00163957">
      <w:pPr>
        <w:pStyle w:val="TextoNormal"/>
      </w:pPr>
      <w:r>
        <w:t>2º Desestimar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nueve de junio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Juan Antonio Xiol Ríos a la Sentencia dictada en el recurso de inconstitucionalidad número 4522-2013.</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en la que se sustenta la Sentencia, manifiesto mi discrepancia con su fundamentación jurídica y con su fallo, el cual, en mi opinión, hubiera debido ser sustancialmente desestimatorio.</w:t>
      </w:r>
    </w:p>
    <w:p w:rsidR="00163957" w:rsidRDefault="00163957" w:rsidP="00163957">
      <w:pPr>
        <w:pStyle w:val="TextoNormal"/>
      </w:pPr>
    </w:p>
    <w:p w:rsidR="00163957" w:rsidRDefault="00163957" w:rsidP="00163957">
      <w:pPr>
        <w:pStyle w:val="TextoNormal"/>
      </w:pPr>
      <w:r>
        <w:t xml:space="preserve">La opinión mayoritaria en la que se sustenta la Sentencia fundamenta la inconstitucionalidad de determinados preceptos con contenido civil de la Ley 5/2012, de 15 de octubre, de uniones de hecho formalizadas de la Comunitat Valenciana, en la jurisprudencia sentada en </w:t>
      </w:r>
      <w:r>
        <w:lastRenderedPageBreak/>
        <w:t>la STC 82/2016, de 28 de abril, en que se resolvió el recurso de inconstitucionalidad número 9888-2007 interpuesto contra la Ley 10/2007, de 20 de marzo, de régimen económico matrimonial valenciano.</w:t>
      </w:r>
    </w:p>
    <w:p w:rsidR="00163957" w:rsidRDefault="00163957" w:rsidP="00163957">
      <w:pPr>
        <w:pStyle w:val="TextoNormal"/>
      </w:pPr>
    </w:p>
    <w:p w:rsidR="00163957" w:rsidRDefault="00163957" w:rsidP="00163957">
      <w:pPr>
        <w:pStyle w:val="TextoNormal"/>
      </w:pPr>
      <w:r>
        <w:t>Las razones de mi discrepancia con la doctrina establecida en la STC 82/2016 ya fueron expuestas en el Voto particular que formulé contra dicha Sentencia en que me manifesté en defensa de la constitucionalidad de las competencias que ostenta la Comunitat Valenciana en materia de derecho civil foral referidas a la regulación del matrimonio. Aquellas razones son íntegramente extensibles a los aspectos civiles de la normativa ahora controvertida sobre uniones de hecho que se ha declarado inconstitucional por razones competenciales. Esto es, creo que también la regulación de determinados aspectos de la normativa valenciana sobre uniones de hecho (i) se funda en una competencia reconocida inequívocamente en la reforma del Estatuto de Autonomía de la Comunitat Valenciana; (ii) los derechos históricos en materia de instituciones privadas son reconocidos por el Tribunal Constitucional cuando se consagran en un estatuto de autonomía; y (iii) aunque no fuera así, dentro de las competencias ordinarias en materia de Derecho civil, la Comunitat Valenciana puede regular esta materia.</w:t>
      </w:r>
    </w:p>
    <w:p w:rsidR="00163957" w:rsidRDefault="00163957" w:rsidP="00163957">
      <w:pPr>
        <w:pStyle w:val="TextoNormal"/>
      </w:pPr>
    </w:p>
    <w:p w:rsidR="00163957" w:rsidRDefault="00163957" w:rsidP="00163957">
      <w:pPr>
        <w:pStyle w:val="TextoNormal"/>
      </w:pPr>
      <w:r>
        <w:t>En este caso, creo que es necesario insistir en dichas ideas, tal como las expuse en el Voto particular formulado a la citada STC 82/2016, del que los siguientes apartados son una reproducción:</w:t>
      </w:r>
    </w:p>
    <w:p w:rsidR="00163957" w:rsidRDefault="00163957" w:rsidP="00163957">
      <w:pPr>
        <w:pStyle w:val="TextoNormal"/>
      </w:pPr>
    </w:p>
    <w:p w:rsidR="00163957" w:rsidRDefault="00163957" w:rsidP="00163957">
      <w:pPr>
        <w:pStyle w:val="TextoNormal"/>
      </w:pPr>
      <w:r>
        <w:t>“1. La ley impugnada se funda en una competencia reconocida inequívocamente en la reforma del Estatuto de Autonomía de la Comunitat Valenciana.</w:t>
      </w:r>
    </w:p>
    <w:p w:rsidR="00163957" w:rsidRDefault="00163957" w:rsidP="00163957">
      <w:pPr>
        <w:pStyle w:val="TextoNormal"/>
      </w:pPr>
    </w:p>
    <w:p w:rsidR="00163957" w:rsidRDefault="00163957" w:rsidP="00163957">
      <w:pPr>
        <w:pStyle w:val="TextoNormal"/>
      </w:pPr>
      <w:r>
        <w:t>La modificación del año 2006 del Estatuto de Autonomía de la Comunitat Valenciana ha alterado sustancialmente la competencia de esta comunidad autónoma en materia civil, pues (i) en general para todas las competencias, el art. 7.1 dirige un mandato a la Generalitat para ‘la recuperación de los contenidos correspondientes de los Fueros del histórico Reino de Valencia’; (ii) específicamente en materia civil, la disposición transitoria tercera realiza de manera expresa una consagración de la ‘competencia exclusiva’ sobre el ‘Derecho civil foral valenciano’, ejercida ‘a partir de la normativa foral del histórico Reino de Valencia, que se recupera y actualiza al amparo de la Constitución Española’; y (iii) en el art. 49.1.2 reconoce la competencia de la Comunidad para la ‘[c]onservación, desarrollo y modificación’ del Derecho civil valenciano, ahora calificado reiteradamente a lo largo del nuevo de Estatuto de Autonomía (en las seis ocasiones en que aparece) como ‘foral’, frente a ninguna en el texto originario.</w:t>
      </w:r>
    </w:p>
    <w:p w:rsidR="00163957" w:rsidRDefault="00163957" w:rsidP="00163957">
      <w:pPr>
        <w:pStyle w:val="TextoNormal"/>
      </w:pPr>
    </w:p>
    <w:p w:rsidR="00163957" w:rsidRDefault="00163957" w:rsidP="00163957">
      <w:pPr>
        <w:pStyle w:val="TextoNormal"/>
      </w:pPr>
      <w:r>
        <w:t>La opinión mayoritaria en que se funda la Sentencia, sin embargo, parte de la suposición de que la situación competencial de la Comunitat Valenciana en materia de Derecho civil es exactamente la misma que con anterioridad a la modificación del año 2006, a pesar de que en el primitivo Estatuto de Autonomía no se hacía referencia alguna al Derecho foral histórico. Para sustentar esta posición afirma que la disposición transitoria y el artículo séptimo carecen de relevancia alguna desde el punto de vista competencial. Considera, en suma, que el único artículo relevante a efectos competenciales es el citado artículo 49.1.2 (que, por cierto, también incluye por vez primera la palabra ‘foral’).</w:t>
      </w:r>
    </w:p>
    <w:p w:rsidR="00163957" w:rsidRDefault="00163957" w:rsidP="00163957">
      <w:pPr>
        <w:pStyle w:val="TextoNormal"/>
      </w:pPr>
    </w:p>
    <w:p w:rsidR="00163957" w:rsidRDefault="00163957" w:rsidP="00163957">
      <w:pPr>
        <w:pStyle w:val="TextoNormal"/>
      </w:pPr>
      <w:r>
        <w:lastRenderedPageBreak/>
        <w:t>A mi juicio resulta del todo imposible desconocer la importancia que tiene en materia competencial la citada disposición transitoria (que, recordemos, invoca la ‘competencia exclusiva’ en materia civil), el artículo séptimo, y, en su conjunto, la apelación a la normativa foral histórica del Reino de Valencia, reiterada persistentemente en el nuevo Estatuto. Mantener que las referidas disposiciones carecen de relevancia competencial alguna implica, a mi juicio, una trivialización de la modificación del Estatuto de Autonomía y, en último término, del Estatuto en sí y de la normativa foral histórica cuya recuperación se ordena en el marco del ejercicio de la competencia en Derecho civil de la Generalitat. Por no salirme de las referencias al Código civil (CC) felizmente gratas (al menos en este caso) a la opinión mayoritaria, debo recordar que una norma capital en la interpretación de los contratos, unánimemente considerada aplicable también a cualquier proposición jurídica, y por ende, a las normas, establece que si una cláusula admite diversos sentidos deberá entenderse en el más adecuado para que produzca efecto. Con la interpretación que sustenta la opinión mayoritaria la disposición transitoria tercera del Estatuto de Autonomía se limitaría a dirigir un evanescente mandato al legislador para que al desarrollar el Derecho civil trate de armonizarlo con el contenido de los antiguos fueros. Este mandato, aparte de estéril, no tendría sentido, habida cuenta del carácter consuetudinario al que la propia opinión mayoritaria reduce el alcance del Derecho civil valenciano.</w:t>
      </w:r>
    </w:p>
    <w:p w:rsidR="00163957" w:rsidRDefault="00163957" w:rsidP="00163957">
      <w:pPr>
        <w:pStyle w:val="TextoNormal"/>
      </w:pPr>
    </w:p>
    <w:p w:rsidR="00163957" w:rsidRDefault="00163957" w:rsidP="00163957">
      <w:pPr>
        <w:pStyle w:val="TextoNormal"/>
      </w:pPr>
      <w:r>
        <w:t>El texto de la referida disposición transitoria, en relación con el artículo 7.1 del Estatuto de Autonomía, hace prevalecer sin lugar a dudas la interpretación de que en ella se trata de la recuperación de la normativa histórica de la Comunidad Valenciana vinculada a los antiguos fueros (no se opone a ello la discutible opinión mayoritaria según la cual Valencia ha estado ausente de la ‘cuestión foral’), y así se deduce también del devenir histórico de su aprobación.</w:t>
      </w:r>
    </w:p>
    <w:p w:rsidR="00163957" w:rsidRDefault="00163957" w:rsidP="00163957">
      <w:pPr>
        <w:pStyle w:val="TextoNormal"/>
      </w:pPr>
    </w:p>
    <w:p w:rsidR="00163957" w:rsidRDefault="00163957" w:rsidP="00163957">
      <w:pPr>
        <w:pStyle w:val="TextoNormal"/>
      </w:pPr>
      <w:r>
        <w:t>El rigor imponía que, como traté de exponer durante la deliberación con más extensión que en este voto particular (agradeciendo la paciencia demostrada por mis colegas), el Tribunal se plantease si la recuperación del Derecho histórico valenciano cabe o no en la Constitución. En el caso de que la respuesta mayoritaria, como parece inevitable (en contra de mi criterio), hubiera sido negativa, habría sido necesario que el Tribunal se hubiera planteado la constitucionalidad de la disposición transitoria tercera del Estatuto de Autonomía, pues así lo ordena la Ley Orgánica del Tribunal Constitucional. Según esta Ley si la competencia controvertida hubiera sido atribuida por ley o norma con rango de ley (y un estatuto de autonomía es una ley orgánica definidora de las competencias de la comunidad autónoma), el conflicto de competencia se tramitará desde su inicio o, en su caso, desde que en defensa de la competencia ejercida se invocare la existencia de la norma legal habilitante, en la forma prevista para el recurso de inconstitucionalidad (artículo 67).</w:t>
      </w:r>
    </w:p>
    <w:p w:rsidR="00163957" w:rsidRDefault="00163957" w:rsidP="00163957">
      <w:pPr>
        <w:pStyle w:val="TextoNormal"/>
      </w:pPr>
    </w:p>
    <w:p w:rsidR="00163957" w:rsidRDefault="00163957" w:rsidP="00163957">
      <w:pPr>
        <w:pStyle w:val="TextoNormal"/>
      </w:pPr>
      <w:r>
        <w:t>Es decir, en el supuesto enjuiciado resulta improcedente plantearse aisladamente la inconstitucionalidad del acto dictado en el ejercicio la competencia controvertida, en este caso la Ley de Régimen económico matrimonial valenciano, pues esta trae causa directamente del Estatuto. La doctrina ha admitido profusamente el llamado incidente de constitucionalidad dentro de los procesos constitucionales, a pesar de la opinión contraria mantenida en la deliberación y quizá implícita en la sentencia.</w:t>
      </w:r>
    </w:p>
    <w:p w:rsidR="00163957" w:rsidRDefault="00163957" w:rsidP="00163957">
      <w:pPr>
        <w:pStyle w:val="TextoNormal"/>
      </w:pPr>
    </w:p>
    <w:p w:rsidR="00163957" w:rsidRDefault="00163957" w:rsidP="00163957">
      <w:pPr>
        <w:pStyle w:val="TextoNormal"/>
      </w:pPr>
      <w:r>
        <w:lastRenderedPageBreak/>
        <w:t>La supuesta osadía que alguien pudiera ver en el hecho de (auto)plantearse la inconstitucionalidad del Estatuto de Autonomía queda notablemente compensada por el riesgo de trivialización que supone esterilizar y convertir en yermos preceptos de sustancial importancia pertenecientes a una norma que tiene carácter institucional básico para la comunidad autónoma y que, como reiteradamente ha dicho el Tribunal, forma parte del bloque de la constitucionalidad y, como tal, es parámetro de constitucionalidad desde el punto de vista de la atribución de competencias.</w:t>
      </w:r>
    </w:p>
    <w:p w:rsidR="00163957" w:rsidRDefault="00163957" w:rsidP="00163957">
      <w:pPr>
        <w:pStyle w:val="TextoNormal"/>
      </w:pPr>
    </w:p>
    <w:p w:rsidR="00163957" w:rsidRDefault="00163957" w:rsidP="00163957">
      <w:pPr>
        <w:pStyle w:val="TextoNormal"/>
      </w:pPr>
      <w:r>
        <w:t>2. Los derechos históricos en materia de instituciones privadas son reconocidos por el Tribunal Constitucional cuando se consagran en un estatuto de autonomía.</w:t>
      </w:r>
    </w:p>
    <w:p w:rsidR="00163957" w:rsidRDefault="00163957" w:rsidP="00163957">
      <w:pPr>
        <w:pStyle w:val="TextoNormal"/>
      </w:pPr>
    </w:p>
    <w:p w:rsidR="00163957" w:rsidRDefault="00163957" w:rsidP="00163957">
      <w:pPr>
        <w:pStyle w:val="TextoNormal"/>
      </w:pPr>
      <w:r>
        <w:t>Según la posición predominante en la doctrina, de acuerdo con determinada interpretación histórica, aceptada por la jurisprudencia constitucional, la disposición adicional primera de la Constitución, que consagra la actualización de los derechos históricos de los territorios forales, únicamente puede entenderse referida al País Vasco y a Navarra, es decir, a los territorios forales así denominados tradicionalmente. Con ello se excluye a las demás comunidades con antecedentes forales de la posibilidad de ser reconocidas como titulares de derechos de esta naturaleza.</w:t>
      </w:r>
    </w:p>
    <w:p w:rsidR="00163957" w:rsidRDefault="00163957" w:rsidP="00163957">
      <w:pPr>
        <w:pStyle w:val="TextoNormal"/>
      </w:pPr>
    </w:p>
    <w:p w:rsidR="00163957" w:rsidRDefault="00163957" w:rsidP="00163957">
      <w:pPr>
        <w:pStyle w:val="TextoNormal"/>
      </w:pPr>
      <w:r>
        <w:t>Esta restricción del ámbito geográfico de reconocimiento de los derechos históricos por parte de la Constitución por la jurisprudencia constitucional se refiere específicamente al Derecho público: es decir, a las instituciones de autogobierno. La jurisprudencia antigua del Tribunal Constitucional no se pronunció en cuanto a la posible recuperación de derechos históricos en materia de Derecho privado por parte de otros territorios.</w:t>
      </w:r>
    </w:p>
    <w:p w:rsidR="00163957" w:rsidRDefault="00163957" w:rsidP="00163957">
      <w:pPr>
        <w:pStyle w:val="TextoNormal"/>
      </w:pPr>
    </w:p>
    <w:p w:rsidR="00163957" w:rsidRDefault="00163957" w:rsidP="00163957">
      <w:pPr>
        <w:pStyle w:val="TextoNormal"/>
      </w:pPr>
      <w:r>
        <w:t>La primera vez en que el Tribunal Constitucional se enfrenta con esa materia es en la STC 31/2010, de 28 de junio, sobre el Estatuto de Autonomía de Cataluña, que resolvió diversas cuestiones relacionadas con el Derecho civil catalán, al abordar la cuestión relativa al papel de los derechos históricos.</w:t>
      </w:r>
    </w:p>
    <w:p w:rsidR="00163957" w:rsidRDefault="00163957" w:rsidP="00163957">
      <w:pPr>
        <w:pStyle w:val="TextoNormal"/>
      </w:pPr>
    </w:p>
    <w:p w:rsidR="00163957" w:rsidRDefault="00163957" w:rsidP="00163957">
      <w:pPr>
        <w:pStyle w:val="TextoNormal"/>
      </w:pPr>
      <w:r>
        <w:t xml:space="preserve">El Tribunal Constitucional comprueba (fundamento jurídico 10) que, "[d]e acuerdo con el art. 5 del Estatuto de Autonomía de Cataluña (EAC) ‘[e]l autogobierno de Cataluña se fundamenta también en los derechos históricos del pueblo catalán, en sus instituciones seculares y en la tradición jurídica catalana, que el presente Estatuto incorpora y actualiza al amparo del artículo 2, la disposición transitoria segunda y otros preceptos de la Constitución'’’. A juicio de los recurrentes en aquel proceso, esto "supone recabar para el Estatuto de Autonomía una facultad de actualización de los derechos históricos y, con ella, de asunción de competencias por los cauces que la Constitución ha reservado a los territorios forales en su disposición adicional primera". Pues bien, el Tribunal Constitucional afirma que "[t]anto los derechos históricos como las instituciones seculares y la tradición jurídica de Cataluña invocados por el precepto son únicamente aquellos de los que deriva el reconocimiento de una posición singular de la Generalitat en relación con el derecho civil … Se trata, pues, de derechos históricos en un sentido bien distinto del que corresponde a los derechos de los territorios forales a que se refiere la disposición adicional primera de la Constitución. Y ello porque se refieren a derechos y tradiciones de Derecho privado o, en el ámbito del Derecho público, al derecho que la disposición transitoria segunda de la Constitución ha querido atribuir a los territorios que en el pasado hubieran plebiscitado Estatutos </w:t>
      </w:r>
      <w:r>
        <w:lastRenderedPageBreak/>
        <w:t>de autonomía … Sólo de manera impropia podría entenderse que tales derechos históricos son también, jurídicamente, fundamento del autogobierno de Cataluña …” (Resaltado mío).</w:t>
      </w:r>
    </w:p>
    <w:p w:rsidR="00163957" w:rsidRDefault="00163957" w:rsidP="00163957">
      <w:pPr>
        <w:pStyle w:val="TextoNormal"/>
      </w:pPr>
    </w:p>
    <w:p w:rsidR="00163957" w:rsidRDefault="00163957" w:rsidP="00163957">
      <w:pPr>
        <w:pStyle w:val="TextoNormal"/>
      </w:pPr>
      <w:r>
        <w:t>La Sentencia termina haciendo una interpretación constitucional del art. 5 EAC, con arreglo al cual este no es contrario a la Constitución interpretado en el sentido de que su inciso 'en los derechos históricos del pueblo catalán' no remite al contenido de la disposición adicional primera de la Constitución ni es fundamento jurídico propio del autogobierno de Cataluña al margen de la Constitución misma, y así se dispondrá en el fallo.</w:t>
      </w:r>
    </w:p>
    <w:p w:rsidR="00163957" w:rsidRDefault="00163957" w:rsidP="00163957">
      <w:pPr>
        <w:pStyle w:val="TextoNormal"/>
      </w:pPr>
    </w:p>
    <w:p w:rsidR="00163957" w:rsidRDefault="00163957" w:rsidP="00163957">
      <w:pPr>
        <w:pStyle w:val="TextoNormal"/>
      </w:pPr>
      <w:r>
        <w:t>En suma, el Tribunal Constitucional reconoce relevancia al mandato de actualización de derechos históricos en materia de Derecho privado cuando se incorpora a un Estatuto de Autonomía, entendiendo que dicho reconocimiento, por operar en el campo del Derecho privado, no se opone a la limitación geográfica impuesta por la disposición adicional primera de la Constitución, mientras que, en el campo del Derecho público, la única referencia válida a los derechos históricos es la que deriva del reconocimiento de una vía especial de acceso a la autonomía al amparo de la disposición transitoria segunda CE.</w:t>
      </w:r>
    </w:p>
    <w:p w:rsidR="00163957" w:rsidRDefault="00163957" w:rsidP="00163957">
      <w:pPr>
        <w:pStyle w:val="TextoNormal"/>
      </w:pPr>
    </w:p>
    <w:p w:rsidR="00163957" w:rsidRDefault="00163957" w:rsidP="00163957">
      <w:pPr>
        <w:pStyle w:val="TextoNormal"/>
      </w:pPr>
      <w:r>
        <w:t>No es discutible que la actualización de derechos históricos, posible en el campo del Derecho privado siempre que la establezca un Estatuto de Autonomía, ha de tener lugar de conformidad con la Constitución, como el Estatuto de Autonomía de la Comunitat Valenciana reconoce repetidamente. Hay que suponer que según la opinión mayoritaria en que se funda la Sentencia esta recuperación no sería posible en la Comunitat Valenciana, puesto que el régimen histórico foral valenciano no estaba vigente en el momento de la entrada en vigor de la Constitución.</w:t>
      </w:r>
    </w:p>
    <w:p w:rsidR="00163957" w:rsidRDefault="00163957" w:rsidP="00163957">
      <w:pPr>
        <w:pStyle w:val="TextoNormal"/>
      </w:pPr>
    </w:p>
    <w:p w:rsidR="00163957" w:rsidRDefault="00163957" w:rsidP="00163957">
      <w:pPr>
        <w:pStyle w:val="TextoNormal"/>
      </w:pPr>
      <w:r>
        <w:t xml:space="preserve">A mi juicio, esta objeción carece de valor por las siguientes razones: (i) El concepto general de actualización de los derechos históricos, una vez admitido por la jurisprudencia constitucional, carece de sentido alguno en el marco del Derecho privado si no se entiende que puede referirse a sistemas no vigentes en el momento de la entrada en vigor de la Constitución, pues para los que se hallaban vigentes en esta fecha no cabe hablar de actualización o recuperación de derechos históricos, sino simplemente de conservación de sistemas vigentes; (ii) la jurisprudencia del Tribunal Constitucional ha venido efectivamente diciendo que los derechos forales o especiales reconocidos por el artículo 149.1.8 CE solo son aquellos vigentes al momento de la entrada en vigor de la Constitución; sin embargo, esta afirmación se ha hecho siempre con el carácter de </w:t>
      </w:r>
      <w:r w:rsidRPr="00163957">
        <w:rPr>
          <w:i/>
        </w:rPr>
        <w:t>obiter dictum</w:t>
      </w:r>
      <w:r>
        <w:t xml:space="preserve">, pues los casos resueltos se refieren a instituciones la controversia acerca de las cuales no versaba sobre el momento de su vigencia, sino únicamente sobre su valor como Derecho civil foral o especial o su conexión con el Derecho foral; o a costumbres en las cuales, por su naturaleza de normas fundadas en la repetición consciente de conductas como obligatorias, la vigencia se confunde con la existencia; (iii) entender que una frase tan genérica como ‘allí donde existan’, utilizada por el artículo 149.1.8 CE exige el dato de la vigencia efectiva del Derecho foral o especial en el momento de la entrada en vigor de la Constitución, que es la tesis que propugna la opinión mayoritaria en que se funda la Sentencia, tiene su fundamento, a mi juicio, en una concepción restrictiva de los Derechos civiles territoriales, entendidos como realidades históricas residuales que deben conservarse provisionalmente o ‘por ahora’ en los territorios donde ‘subsistan’, como decía en su redacción original el Código civil. No parece necesario esforzarse en demostrar que esta concepción residual no es la que mantiene la CE, que habla de una manera amplia de la legislación en materia de ‘derechos forales o especiales’ como </w:t>
      </w:r>
      <w:r>
        <w:lastRenderedPageBreak/>
        <w:t>competencia ordinaria de determinadas Comunidades Autónomas y reserva al Estado concretas materias que son las que verdaderamente se considera necesario mantener frente a estos derechos en el ámbito de su competencia exclusiva; (iv) tratándose de los derechos históricos por antonomasia, es decir, de los pertenecientes en el ámbito del Derecho público al País Vasco y la Comunidad Foral de Navarra, resulta una evidencia histórica que no todos los derechos reconocidos en este ámbito territorial estaban vigentes en el momento de la entrada en vigor de la Constitución, pues el concierto económico para Guipúzcoa y Vizcaya se restauró prácticamente de forma contemporánea a la Constitución, tras un largo periodo de supresión, y otros derechos históricos, como la existencia de una policía propia en el País Vasco, se remontan a realidades históricas anteriores.</w:t>
      </w:r>
    </w:p>
    <w:p w:rsidR="00163957" w:rsidRDefault="00163957" w:rsidP="00163957">
      <w:pPr>
        <w:pStyle w:val="TextoNormal"/>
      </w:pPr>
    </w:p>
    <w:p w:rsidR="00163957" w:rsidRDefault="00163957" w:rsidP="00163957">
      <w:pPr>
        <w:pStyle w:val="TextoNormal"/>
      </w:pPr>
      <w:r>
        <w:t>A mi juicio, por consiguiente, no existe óbice alguno para admitir que no se opone al artículo 149.1.8 CE el reconocimiento de un sistema de Derecho privado foral por parte del Estatuto de Autonomía, aun cuando no estuviera vigente en el momento de la entrada en vigor de la Constitución, siempre que sea posible calificarlo como sistema de Derecho privado efectivamente vigente en el ámbito histórico, geográfico y sustantivo propio de los Derechos forales, como, sin que quepa duda alguna razonable en términos historiográficos, es el caso del Derecho foral de Valencia.</w:t>
      </w:r>
    </w:p>
    <w:p w:rsidR="00163957" w:rsidRDefault="00163957" w:rsidP="00163957">
      <w:pPr>
        <w:pStyle w:val="TextoNormal"/>
      </w:pPr>
    </w:p>
    <w:p w:rsidR="00163957" w:rsidRDefault="00163957" w:rsidP="00163957">
      <w:pPr>
        <w:pStyle w:val="TextoNormal"/>
      </w:pPr>
      <w:r>
        <w:t>3. Aunque no fuera así, dentro de las competencias ordinarias en materia de Derecho civil, la Comunitat Valenciana puede regular esta materia.</w:t>
      </w:r>
    </w:p>
    <w:p w:rsidR="00163957" w:rsidRDefault="00163957" w:rsidP="00163957">
      <w:pPr>
        <w:pStyle w:val="TextoNormal"/>
      </w:pPr>
    </w:p>
    <w:p w:rsidR="00163957" w:rsidRDefault="00163957" w:rsidP="00163957">
      <w:pPr>
        <w:pStyle w:val="TextoNormal"/>
      </w:pPr>
      <w:r>
        <w:t>Si se admite, siguiendo la propia argumentación de la opinión mayoritaria en que se sustenta la Sentencia, que existe un Derecho consuetudinario valenciano que tiene el valor de Derecho foral desde el punto de vista del artículo 149.1.8 CE (es decir, que existe competencia legislativa de la Comunidad Autónoma sobre su Derecho foral), parece inexplicable que la posible calificación de la Ley impugnada como integrante del Derecho foral se busque en unos hipotéticos antecedentes consuetudinarios, exigiendo la prueba de su existencia en el momento de la entrada en vigor de la Constitución, y no, de acuerdo con jurisprudencia constitucional reiterada, en la posible relación de conexión existente entre la ley impugnada y las instituciones reconocidas como forales, las cuales han adquirido, como la opinión de la que disiento reconoce, rango legislativo.</w:t>
      </w:r>
    </w:p>
    <w:p w:rsidR="00163957" w:rsidRDefault="00163957" w:rsidP="00163957">
      <w:pPr>
        <w:pStyle w:val="TextoNormal"/>
      </w:pPr>
    </w:p>
    <w:p w:rsidR="00163957" w:rsidRDefault="00163957" w:rsidP="00163957">
      <w:pPr>
        <w:pStyle w:val="TextoNormal"/>
      </w:pPr>
      <w:r>
        <w:t>Como es sabido, una vez reconocido el sistema de Derecho civil foral o especial como fundamento de las competencias civiles de la comunidad autónoma, la jurisprudencia del Tribunal Constitucional sigue un criterio muy amplio para determinar el alcance de sus competencias normativas, fundado en los principios constitucionales de ‘desarrollo’ y ‘modificación’.</w:t>
      </w:r>
    </w:p>
    <w:p w:rsidR="00163957" w:rsidRDefault="00163957" w:rsidP="00163957">
      <w:pPr>
        <w:pStyle w:val="TextoNormal"/>
      </w:pPr>
    </w:p>
    <w:p w:rsidR="00163957" w:rsidRDefault="00163957" w:rsidP="00163957">
      <w:pPr>
        <w:pStyle w:val="TextoNormal"/>
      </w:pPr>
      <w:r>
        <w:t xml:space="preserve">Esta jurisprudencia se basa en algunos puntos capitales: (i) ‘el término ‘allí donde existan’ a que se refiere el art. 149.1.8 CE, al delimitar la competencia autonómica en la materia, ha de entenderse más por referencia al Derecho foral en su conjunto que a instituciones forales concretas’ (STS 88/1993, FJ 3, entre otras); (ii) ‘la Constitución permite, así, que los Derechos civiles especiales o forales preexistentes puedan ser objeto no ya de ‘conservación’ y ‘modificación’, sino también de una acción legislativa que haga posible su crecimiento orgánico y reconoce, de este modo, no sólo la historicidad y la actual vigencia, sino también la vitalidad hacia el futuro, de tales ordenamientos preconstitucionales’ (STS 88/1993, FJ 3, entre otras); (iii) ‘[L]as competencias autonómicas para ‘desarrollar’, en lo </w:t>
      </w:r>
      <w:r>
        <w:lastRenderedPageBreak/>
        <w:t>que aquí interesa, el propio Derecho civil pueden dar lugar a la actualización y crecimiento orgánico de este y, en concreto, a la regulación de materias que, aun ausentes del texto originario de la Compilación, guarden una relación de conexión suficiente con institutos ya disciplinados en aquella o en otras normas integrantes del propio ordenamiento civil.’ (STC 156/1993, FJ 6, entre otras).</w:t>
      </w:r>
    </w:p>
    <w:p w:rsidR="00163957" w:rsidRDefault="00163957" w:rsidP="00163957">
      <w:pPr>
        <w:pStyle w:val="TextoNormal"/>
      </w:pPr>
    </w:p>
    <w:p w:rsidR="00163957" w:rsidRDefault="00163957" w:rsidP="00163957">
      <w:pPr>
        <w:pStyle w:val="TextoNormal"/>
      </w:pPr>
      <w:r>
        <w:t>Estas condiciones se cumplen en la Comunitat Valenciana, pues, (i) reconocida la vigencia del Derecho foral valenciano por la vía de la prueba de la existencia de instituciones consuetudinarias en el momento de la entrada en vigor de la Constitución (dado que la garantía de la foralidad, según infiere de la STC 121/1993 la opinión mayoritaria, alcanza a normas civiles de ámbito regional o local de formación consuetudinaria), (ii) la Constitución permite que este Derecho foral pueda ser objeto de modificación y desarrollo dando lugar a su actualización y crecimiento orgánico (iii) mediante la regulación de materias que guarden una relación de conexión suficiente con institutos ya disciplinados u otras normas integrantes del propio ordenamiento civil.</w:t>
      </w:r>
    </w:p>
    <w:p w:rsidR="00163957" w:rsidRDefault="00163957" w:rsidP="00163957">
      <w:pPr>
        <w:pStyle w:val="TextoNormal"/>
      </w:pPr>
    </w:p>
    <w:p w:rsidR="00163957" w:rsidRDefault="00163957" w:rsidP="00163957">
      <w:pPr>
        <w:pStyle w:val="TextoNormal"/>
      </w:pPr>
      <w:r>
        <w:t>Dado que este criterio de conexión ha sido utilizado con una enorme flexibilidad por parte de la jurisprudencia constitucional, no cabe descartar que pudiera encontrarse alguna conexión de esta naturaleza con las instituciones consuetudinarias valencianas ya reconocidas como Derecho foral y que han pasado a ser Derecho legislado. En todo caso, parece extraño que la opinión mayoritaria en que se funda la Sentencia no haya seguido esta vía y, por el contrario, se haya encerrado en la imposible pretensión de examinar la existencia o no de prueba acerca del valor consuetudinario del Derecho foral histórico, el cual, por su propia naturaleza, no puede ser equiparado a la costumbre ni estar sujeto a los requisitos para su reconocimiento, por tratarse de una fuente del Derecho de naturaleza distinta a las que integran el Derecho foral escrito, que es aquel a cuya recuperación y actualización se refiere el Estatuto de Autonomía de la Comunitat Valenciana. Tan cierto es que la costumbre solo regirá si resulta probada como que la vigencia de la norma escrita depende de procedimientos de aprobación, promulgación y publicación.</w:t>
      </w:r>
    </w:p>
    <w:p w:rsidR="00163957" w:rsidRDefault="00163957" w:rsidP="00163957">
      <w:pPr>
        <w:pStyle w:val="TextoNormal"/>
      </w:pPr>
    </w:p>
    <w:p w:rsidR="00163957" w:rsidRDefault="00163957" w:rsidP="00163957">
      <w:pPr>
        <w:pStyle w:val="TextoNormal"/>
      </w:pPr>
      <w:r>
        <w:t>Pero lo que me importa subrayar aquí es que no comparto el criterio según la cual el criterio de conexión opera como límite para el desarrollo y modificación de los derechos forales o especiales (reconozco que hasta ahora es el mantenido por la jurisprudencia constitucional), aunque soy consciente de mi absoluta soledad en la actual composición del Tribunal, habida cuenta de la contundencia con que el criterio de un desarrollo limitado del Derecho foral o especial —emparentado con la que he llamado concepción residual— se mantiene en la argumentación desarrollada por la opinión mayoritaria incorporada a la Sentencia (que se refleja, por ejemplo, en el párrafo primero del fundamento jurídico 6).</w:t>
      </w:r>
    </w:p>
    <w:p w:rsidR="00163957" w:rsidRDefault="00163957" w:rsidP="00163957">
      <w:pPr>
        <w:pStyle w:val="TextoNormal"/>
      </w:pPr>
    </w:p>
    <w:p w:rsidR="00163957" w:rsidRDefault="00163957" w:rsidP="00163957">
      <w:pPr>
        <w:pStyle w:val="TextoNormal"/>
      </w:pPr>
      <w:r>
        <w:t xml:space="preserve">Partiendo de conceptuar los Derechos forales o especiales como subsistemas jurídicos completos, autosuficientes, modernos y susceptibles de desarrollo (y no como realidades fragmentarias premodernas reconocidas provisionalmente con carácter subordinado al Derecho común), de acuerdo con una acreditada teoría surgida en el ámbito de la doctrina civilista, mi posición es la de los Votos particulares formulados a la STC 88/1993, de 12 marzo, según los cuales el Derecho civil foral no puede ser concebido como una serie más o menos residual de normas e instituciones aisladas y asistemáticas, sino como un sistema normativo dotado de la sistematización y conexión interna y de la completitud propias de </w:t>
      </w:r>
      <w:r>
        <w:lastRenderedPageBreak/>
        <w:t>un ordenamiento que tiene además constitucionalmente reconocida la posibilidad de determinar sus específicas fuentes de producción normativa. Los expresados Votos sustentan esta tesis (i) en el argumento analítico fundado en la interpretación literal de la expresión Derecho civil; (ii) en el argumento sistemático de que de otro modo no tiene sentido la reserva competencial al Estado de determinadas materias, algunas de las cuales no formaban parte de los Derechos forales o especiales; (iii) en el argumento apagógico de que la interpretación contraria hace depender el desarrollo de los derechos de factores aleatorios; (iv) y en el argumento teleológico según el cual la conservación de la legislación civil solo tiene sentido si se entiende limitada por razones históricas a determinadas comunidades autónomas, pero no en función del ámbito material de su contenido en cada una de ellas”.</w:t>
      </w:r>
    </w:p>
    <w:p w:rsidR="00163957" w:rsidRDefault="00163957" w:rsidP="00163957">
      <w:pPr>
        <w:pStyle w:val="TextoNormal"/>
      </w:pPr>
    </w:p>
    <w:p w:rsidR="00163957" w:rsidRDefault="00163957" w:rsidP="00163957">
      <w:pPr>
        <w:pStyle w:val="TextoNormal"/>
      </w:pPr>
      <w:r>
        <w:t>Madrid, a nueve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14" w:name="SENTENCIA_2016_111"/>
      <w:r>
        <w:lastRenderedPageBreak/>
        <w:t>SENTENCIA 111/2016, de 9 de junio de 2016</w:t>
      </w:r>
    </w:p>
    <w:bookmarkEnd w:id="114"/>
    <w:p w:rsidR="00163957" w:rsidRDefault="00163957" w:rsidP="00163957">
      <w:pPr>
        <w:pStyle w:val="TtuloResolucin"/>
      </w:pPr>
      <w:r>
        <w:t>Pleno</w:t>
      </w:r>
    </w:p>
    <w:p w:rsidR="00163957" w:rsidRDefault="00163957" w:rsidP="00163957">
      <w:pPr>
        <w:pStyle w:val="TtuloBOE"/>
      </w:pPr>
      <w:r>
        <w:t>(BOE núm. 170, de 15 de julio de 2016)</w:t>
      </w:r>
    </w:p>
    <w:p w:rsidR="00163957" w:rsidRDefault="00163957" w:rsidP="00163957">
      <w:pPr>
        <w:pStyle w:val="TextoNormalCentrado"/>
      </w:pPr>
      <w:r>
        <w:t>ECLI:ES:TC:2016:111</w:t>
      </w:r>
    </w:p>
    <w:p w:rsidR="00163957" w:rsidRDefault="00163957" w:rsidP="00163957">
      <w:pPr>
        <w:pStyle w:val="TextoNormalCentrado"/>
      </w:pPr>
    </w:p>
    <w:p w:rsidR="00163957" w:rsidRDefault="00163957" w:rsidP="00163957">
      <w:pPr>
        <w:pStyle w:val="SntesisDescriptiva"/>
      </w:pPr>
      <w:r>
        <w:t>Recurso de inconstitucionalidad 1959-2014. Interpuesto por el Consejo de Gobierno de la Junta de Andalucía en relación con diversos preceptos de la Ley 27/2013, de 27 de diciembre, de racionalización y sostenibilidad de la Administración local.</w:t>
      </w:r>
    </w:p>
    <w:p w:rsidR="00163957" w:rsidRDefault="00163957" w:rsidP="00163957">
      <w:pPr>
        <w:pStyle w:val="SntesisDescriptiva"/>
      </w:pPr>
    </w:p>
    <w:p w:rsidR="00163957" w:rsidRDefault="00163957" w:rsidP="00163957">
      <w:pPr>
        <w:pStyle w:val="SntesisAnaltica"/>
      </w:pPr>
      <w:r>
        <w:t>Principios de autonomía local, democrático y de lealtad institucional, autonomía financiera: nulidad parcial de los preceptos relativos a las funciones atribuidas a la Administración del Estado respecto de la coordinación de los servicios municipales por las diputaciones provinciales, condiciones para la ejecución en régimen de monopolio de las actividades reservadas y mayoría requerida para la adopción de acuerdos en las corporaciones locales; interpretación conforme de los preceptos relativos a la competencia provincial sobre prestación de los servicios de administración electrónica y contratación centralizada en determinados municipios y al plan provincial de cooperación a las obras y servicios de competencia municipal. Voto particular.</w:t>
      </w:r>
    </w:p>
    <w:p w:rsidR="00163957" w:rsidRDefault="00163957" w:rsidP="00163957">
      <w:pPr>
        <w:pStyle w:val="SntesisAnaltica"/>
      </w:pPr>
    </w:p>
    <w:p w:rsidR="00163957" w:rsidRDefault="00163957" w:rsidP="00163957">
      <w:pPr>
        <w:pStyle w:val="Extracto"/>
      </w:pPr>
      <w:r>
        <w:t>1.</w:t>
      </w:r>
      <w:r>
        <w:tab/>
        <w:t>La previsión de disolver entidades instrumentales respeta la reserva de ley orgánica prevista por el artículo 135 CE, pues se trata de una medida coyuntural para lograr el equilibrio financiero [FJ 4].</w:t>
      </w:r>
    </w:p>
    <w:p w:rsidR="00163957" w:rsidRDefault="00163957" w:rsidP="00163957">
      <w:pPr>
        <w:pStyle w:val="Extracto"/>
      </w:pPr>
    </w:p>
    <w:p w:rsidR="00163957" w:rsidRDefault="00163957" w:rsidP="00163957">
      <w:pPr>
        <w:pStyle w:val="Extracto"/>
      </w:pPr>
      <w:r>
        <w:t>2.</w:t>
      </w:r>
      <w:r>
        <w:tab/>
        <w:t>No cabe entender que cualesquiera medidas destinadas al ahorro en el gasto público, al manejo eficiente de los recursos públicos o a la racionalización de las estructuras administrativas queden reservadas a la ley orgánica, por el solo dato de que sirvan en última instancia a fines de estabilidad presupuestaria y sostenibilidad financiera (STC 41/2016) [FJ 4].</w:t>
      </w:r>
    </w:p>
    <w:p w:rsidR="00163957" w:rsidRDefault="00163957" w:rsidP="00163957">
      <w:pPr>
        <w:pStyle w:val="Extracto"/>
      </w:pPr>
    </w:p>
    <w:p w:rsidR="00163957" w:rsidRDefault="00163957" w:rsidP="00163957">
      <w:pPr>
        <w:pStyle w:val="Extracto"/>
      </w:pPr>
      <w:r>
        <w:t>3.</w:t>
      </w:r>
      <w:r>
        <w:tab/>
        <w:t>El Estado está habilitado para configurar un régimen de controles internos de la actividad local y para prever que los órganos interventores de las Entidades locales remitan un informe resumen con sus resultados, sin que con ello se perjudique la competencia autonómica de Andalucía en materia de tutela financiera de los Entes locales [FJ 5].</w:t>
      </w:r>
    </w:p>
    <w:p w:rsidR="00163957" w:rsidRDefault="00163957" w:rsidP="00163957">
      <w:pPr>
        <w:pStyle w:val="Extracto"/>
      </w:pPr>
    </w:p>
    <w:p w:rsidR="00163957" w:rsidRDefault="00163957" w:rsidP="00163957">
      <w:pPr>
        <w:pStyle w:val="Extracto"/>
      </w:pPr>
      <w:r>
        <w:t>4.</w:t>
      </w:r>
      <w:r>
        <w:tab/>
        <w:t>La tutela financiera atribuida a la Comunidad Autónoma de Andalucía no ampara la regulación de la actividad económico-financiera de los entes locales, sino la ejecución o aplicación de esa regulación [FJ 5].</w:t>
      </w:r>
    </w:p>
    <w:p w:rsidR="00163957" w:rsidRDefault="00163957" w:rsidP="00163957">
      <w:pPr>
        <w:pStyle w:val="Extracto"/>
      </w:pPr>
    </w:p>
    <w:p w:rsidR="00163957" w:rsidRDefault="00163957" w:rsidP="00163957">
      <w:pPr>
        <w:pStyle w:val="Extracto"/>
      </w:pPr>
      <w:r>
        <w:t>5.</w:t>
      </w:r>
      <w:r>
        <w:tab/>
        <w:t>El régimen de dedicación y remuneración de los miembros de los entes locales con menos de 1000 habitantes está justificado, permite ajustar las remuneraciones a la carga de trabajo y no vulnera el derecho fundamental de participación política [FJ 6].</w:t>
      </w:r>
    </w:p>
    <w:p w:rsidR="00163957" w:rsidRDefault="00163957" w:rsidP="00163957">
      <w:pPr>
        <w:pStyle w:val="Extracto"/>
      </w:pPr>
    </w:p>
    <w:p w:rsidR="00163957" w:rsidRDefault="00163957" w:rsidP="00163957">
      <w:pPr>
        <w:pStyle w:val="Extracto"/>
      </w:pPr>
      <w:r>
        <w:t>6.</w:t>
      </w:r>
      <w:r>
        <w:tab/>
        <w:t xml:space="preserve">Se parte del criterio razonable de que, a menor población, hay una menor carga de trabajo que exige una retribución inferior y, aunque se excluye la dedicación </w:t>
      </w:r>
      <w:r>
        <w:lastRenderedPageBreak/>
        <w:t>exclusiva, se permite que los entes locales fijen una variedad de regímenes de dedicación parcial y decidan el alcance de la retribución dentro de los topes previstos [FJ 6].</w:t>
      </w:r>
    </w:p>
    <w:p w:rsidR="00163957" w:rsidRDefault="00163957" w:rsidP="00163957">
      <w:pPr>
        <w:pStyle w:val="Extracto"/>
      </w:pPr>
    </w:p>
    <w:p w:rsidR="00163957" w:rsidRDefault="00163957" w:rsidP="00163957">
      <w:pPr>
        <w:pStyle w:val="Extracto"/>
      </w:pPr>
      <w:r>
        <w:t>7.</w:t>
      </w:r>
      <w:r>
        <w:tab/>
        <w:t xml:space="preserve">Una determinada modalidad retributiva, como es la percepción de un sueldo fijo, no constituye </w:t>
      </w:r>
      <w:r w:rsidRPr="00163957">
        <w:rPr>
          <w:i/>
        </w:rPr>
        <w:t xml:space="preserve">per se </w:t>
      </w:r>
      <w:r>
        <w:t>un derecho que forma parte del núcleo esencial del derecho fundamental a acceder en condiciones de igualdad a las funciones y cargos públicos protegido por el art. 23.2 CE (STC 36/2014) [FJ 6].</w:t>
      </w:r>
    </w:p>
    <w:p w:rsidR="00163957" w:rsidRDefault="00163957" w:rsidP="00163957">
      <w:pPr>
        <w:pStyle w:val="Extracto"/>
      </w:pPr>
    </w:p>
    <w:p w:rsidR="00163957" w:rsidRDefault="00163957" w:rsidP="00163957">
      <w:pPr>
        <w:pStyle w:val="Extracto"/>
      </w:pPr>
      <w:r>
        <w:t>8.</w:t>
      </w:r>
      <w:r>
        <w:tab/>
        <w:t>La referencia al concreto órgano autonómico que deberá aprobar el régimen de monopolio acordado por el ente local para la gestión de actividades reservadas vulnera la potestad autonómica de autoorganización (STC 41/2016) [FJ 7].</w:t>
      </w:r>
    </w:p>
    <w:p w:rsidR="00163957" w:rsidRDefault="00163957" w:rsidP="00163957">
      <w:pPr>
        <w:pStyle w:val="Extracto"/>
      </w:pPr>
    </w:p>
    <w:p w:rsidR="00163957" w:rsidRDefault="00163957" w:rsidP="00163957">
      <w:pPr>
        <w:pStyle w:val="Extracto"/>
      </w:pPr>
      <w:r>
        <w:t>9.</w:t>
      </w:r>
      <w:r>
        <w:tab/>
        <w:t>Hurtar al Pleno —como órgano constitucionalmente necesario de los ayuntamientos y diputaciones— tareas sumamente trascendentes en lo financiero y presupuestario para atribuírselas a la Junta de gobierno —como órgano eventual, carente de relieve constitucional y configurado legalmente con marcado “carácter ejecutivo”— constituye un sacrificio excesivo al principio democrático, que no se compensa por las ventajas que resultarían para la estabilidad presupuestaria [FJ 8].</w:t>
      </w:r>
    </w:p>
    <w:p w:rsidR="00163957" w:rsidRDefault="00163957" w:rsidP="00163957">
      <w:pPr>
        <w:pStyle w:val="Extracto"/>
      </w:pPr>
    </w:p>
    <w:p w:rsidR="00163957" w:rsidRDefault="00163957" w:rsidP="00163957">
      <w:pPr>
        <w:pStyle w:val="Extracto"/>
      </w:pPr>
      <w:r>
        <w:t>10.</w:t>
      </w:r>
      <w:r>
        <w:tab/>
        <w:t>El principio democrático (art. 1.1 CE), siendo fundamento de la autonomía local (arts. 137, 140 y 141 CE) y de la competencia estatal para regular el régimen de los órganos de gobierno de las corporaciones locales (art. 149.1.18 CE), debe funcionar necesariamente como fuente de límites al ejercicio de dicha competencia estatal [FJ 8].</w:t>
      </w:r>
    </w:p>
    <w:p w:rsidR="00163957" w:rsidRDefault="00163957" w:rsidP="00163957">
      <w:pPr>
        <w:pStyle w:val="Extracto"/>
      </w:pPr>
    </w:p>
    <w:p w:rsidR="00163957" w:rsidRDefault="00163957" w:rsidP="00163957">
      <w:pPr>
        <w:pStyle w:val="Extracto"/>
      </w:pPr>
      <w:r>
        <w:t>11.</w:t>
      </w:r>
      <w:r>
        <w:tab/>
        <w:t>Un aspecto sustancial del modelo de autonomía local garantizado en todo el Estado atañe al funcionamiento democrático de los órganos de gobierno de las Corporaciones Locales, ya que los preceptos relativos a estas cuestiones definen precisamente un modelo de democracia local [FJ 8].</w:t>
      </w:r>
    </w:p>
    <w:p w:rsidR="00163957" w:rsidRDefault="00163957" w:rsidP="00163957">
      <w:pPr>
        <w:pStyle w:val="Extracto"/>
      </w:pPr>
    </w:p>
    <w:p w:rsidR="00163957" w:rsidRDefault="00163957" w:rsidP="00163957">
      <w:pPr>
        <w:pStyle w:val="Extracto"/>
      </w:pPr>
      <w:r>
        <w:t>12.</w:t>
      </w:r>
      <w:r>
        <w:tab/>
        <w:t>La concreción de servicios supramunicipales y supracomarcales a realizar por la provincia, relativos al tratamiento de residuos y a la prevención y extinción de incendios, no compromete la autonomía municipal constitucionalmente garantizada; y la intervención provincial, que se configura como subsidiaria de la municipal,  no supone producir una injerencia –ni legítima ni ilegítima- en la autonomía municipal [FJ 10].</w:t>
      </w:r>
    </w:p>
    <w:p w:rsidR="00163957" w:rsidRDefault="00163957" w:rsidP="00163957">
      <w:pPr>
        <w:pStyle w:val="Extracto"/>
      </w:pPr>
    </w:p>
    <w:p w:rsidR="00163957" w:rsidRDefault="00163957" w:rsidP="00163957">
      <w:pPr>
        <w:pStyle w:val="Extracto"/>
      </w:pPr>
      <w:r>
        <w:t>13.</w:t>
      </w:r>
      <w:r>
        <w:tab/>
        <w:t>La prestación de servicios de administración electrónica y contratación centralizada a los municipios con menos de 20.000 habitantes, por parte de las Diputaciones provinciales, no vulnera la autonomía municipal, pues dicha previsión no transfiere en bloque la prestación de estos servicios de los municipios a las diputaciones provinciales, sino que únicamente pretende dar efectividad a la prestación de unos servicios que exigen la aplicación de tecnología informática o técnico-jurídica que los municipios de pequeña o mediana población pueden no estar en condiciones de asumir [FJ 11].</w:t>
      </w:r>
    </w:p>
    <w:p w:rsidR="00163957" w:rsidRDefault="00163957" w:rsidP="00163957">
      <w:pPr>
        <w:pStyle w:val="Extracto"/>
      </w:pPr>
    </w:p>
    <w:p w:rsidR="00163957" w:rsidRDefault="00163957" w:rsidP="00163957">
      <w:pPr>
        <w:pStyle w:val="Extracto"/>
      </w:pPr>
      <w:r>
        <w:lastRenderedPageBreak/>
        <w:t>14.</w:t>
      </w:r>
      <w:r>
        <w:tab/>
        <w:t>La nueva “coordinación de la prestación unificada de servicios de los municipios de su respectivo ámbito territorial” [letra c) del art. 36.1 LBRL] es una mención genérica a facultades provinciales de coordinación muy similar a la clásica “coordinación de los servicios municipales entre sí para la garantía de la prestación integral y adecuada”, materia para la que el Estado puede atribuir competencias a las diputaciones provinciales</w:t>
      </w:r>
      <w:r w:rsidRPr="00163957">
        <w:rPr>
          <w:i/>
        </w:rPr>
        <w:t xml:space="preserve"> ex </w:t>
      </w:r>
      <w:r>
        <w:t>art. 149.1.18 [FJ 12 a)].</w:t>
      </w:r>
    </w:p>
    <w:p w:rsidR="00163957" w:rsidRDefault="00163957" w:rsidP="00163957">
      <w:pPr>
        <w:pStyle w:val="Extracto"/>
      </w:pPr>
    </w:p>
    <w:p w:rsidR="00163957" w:rsidRDefault="00163957" w:rsidP="00163957">
      <w:pPr>
        <w:pStyle w:val="Extracto"/>
      </w:pPr>
      <w:r>
        <w:t>15.</w:t>
      </w:r>
      <w:r>
        <w:tab/>
        <w:t>La obligación de las entidades locales de calcular el “coste efectivo” de sus servicios y comunicarlo al Estado no vulnera la autonomía local, pues no se ven menoscabadas sus posibilidades de intervención en los asuntos que les afectan, ni hay injerencia alguna sobre su ámbito competencial: únicamente se impone una tarea de elaboración y análisis de datos con publicidad, que facilita la configuración de políticas públicas en los tres niveles territoriales y el control directo de la actividad local por parte de la ciudadanía [FJ 12 b)].</w:t>
      </w:r>
    </w:p>
    <w:p w:rsidR="00163957" w:rsidRDefault="00163957" w:rsidP="00163957">
      <w:pPr>
        <w:pStyle w:val="Extracto"/>
      </w:pPr>
    </w:p>
    <w:p w:rsidR="00163957" w:rsidRDefault="00163957" w:rsidP="00163957">
      <w:pPr>
        <w:pStyle w:val="Extracto"/>
      </w:pPr>
      <w:r>
        <w:t>16.</w:t>
      </w:r>
      <w:r>
        <w:tab/>
        <w:t>No es inconstitucional que la diputación incluya en su plan provincial fórmulas de prestación unificada o supramunicipal para reducir los costes efectivos de los servicios prestados por los municipios, siempre que se interprete en el sentido de que precisa de complementos normativos que, en todo caso, deben dejar márgenes de participación a los municipios [FJ 12 c)].</w:t>
      </w:r>
    </w:p>
    <w:p w:rsidR="00163957" w:rsidRDefault="00163957" w:rsidP="00163957">
      <w:pPr>
        <w:pStyle w:val="Extracto"/>
      </w:pPr>
    </w:p>
    <w:p w:rsidR="00163957" w:rsidRDefault="00163957" w:rsidP="00163957">
      <w:pPr>
        <w:pStyle w:val="Extracto"/>
      </w:pPr>
      <w:r>
        <w:t>17.</w:t>
      </w:r>
      <w:r>
        <w:tab/>
        <w:t>Es inconstitucional que el plan de la diputación provincial para coordinar los servicios municipales mínimos se someta a aprobación ministerial, ya que el Estado carece de las competencias sectoriales que dan cobertura a dicha competencia ejecutiva, que están en manos de las Comunidades Autónomas [FJ 12 d)].</w:t>
      </w:r>
    </w:p>
    <w:p w:rsidR="00163957" w:rsidRDefault="00163957" w:rsidP="00163957">
      <w:pPr>
        <w:pStyle w:val="Extracto"/>
      </w:pPr>
    </w:p>
    <w:p w:rsidR="00163957" w:rsidRDefault="00163957" w:rsidP="00163957">
      <w:pPr>
        <w:pStyle w:val="Extracto"/>
      </w:pPr>
      <w:r>
        <w:t>18.</w:t>
      </w:r>
      <w:r>
        <w:tab/>
        <w:t>Remisión a la STC 41/2016, que declaró constitucionales diversos preceptos impugnados por los mismos motivos ahora aducidos; la referida sentencia constitucional ocasiona la pérdida sobrevenida de objeto sobre otros preceptos ahora recurridos, dado que declaró su inconstitucionalidad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el recurso de inconstitucionalidad núm. 1959-2014 interpuesto por la Letrada de la Junta de Andalucía, en representación del Consejo de Gobierno de la Comunidad Autónoma, contra los apartados 2, 3, 5, 7, 8, 9, 13, 17, 18, 19, 21, 30, 31, 36 y 38 del art. 1, el art. 2.2 y las disposiciones adicionales octava, undécima y decimoquinta, transitorias primera a cuarta y final primera de la Ley 27/2013, de 27 de diciembre, de racionalización y sostenibilidad de la Administración local, por vulneración de las competencias autonómicas, la autonomía financiera de las Comunidades Autónomas (art. 156 CE), la autonomía local (arts. 137, 140 y 141 CE), el principio de lealtad institucional y otros preceptos constitucionales (arts. 135.5 y 23, en conexión con arts. 1.1 y 9.2). Ha sido ponente el Magistrado don Antonio Narváez Rodríguez,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27 de marzo de 2014, la Letrada de la Junta de Andalucía, en representación del Consejo de Gobierno de la Comunidad Autónoma, interpone recurso de inconstitucionalidad contra varios preceptos de la Ley 27/2013, de 27 de diciembre, de racionalización y sostenibilidad de la Administración local.</w:t>
      </w:r>
    </w:p>
    <w:p w:rsidR="00163957" w:rsidRDefault="00163957" w:rsidP="00163957">
      <w:pPr>
        <w:pStyle w:val="TextoNormal"/>
      </w:pPr>
    </w:p>
    <w:p w:rsidR="00163957" w:rsidRDefault="00163957" w:rsidP="00163957">
      <w:pPr>
        <w:pStyle w:val="TextoNormal"/>
      </w:pPr>
      <w:r w:rsidRPr="00163957">
        <w:rPr>
          <w:rStyle w:val="NumeroAFNegritaCaracter"/>
        </w:rPr>
        <w:t>2</w:t>
      </w:r>
      <w:r>
        <w:t>. El recurso de inconstitucionalidad realiza primero una serie de consideraciones generales sobre las competencias en materia de régimen local, la autonomía (de los entes locales y de las Comunidades Autónomas) y el principio de estabilidad presupuestaria. Coexistirían las atribuciones que, de acuerdo con la doctrina constitucional (SSTC 76/1983, de 5 de agosto, 214/1989, de 21 de diciembre, 247/2007, de 12 de diciembre, 31/2010, de 28 de junio, 103/2013, de 25 de abril), corresponden al Estado (art. 149.1.18 CE), con las autonómicas previstas en los arts. 148.1.2 CE y 60 del Estatuto de Andalucía (EAAnd), conforme a la redacción dada por la Ley Orgánica 2/2007, de 19 de marzo. El Estado, a través de la Ley de racionalización y sostenibilidad de la Administración local, habría desbordado este marco competencial porque habría dejado de garantizar mínimos de autonomía local e, incluso, habría impedido o dificultado que las Comunidades Autónomas los mejoren o amplíen. Tampoco respetaría la configuración constitucional de la autonomía local (SSTC 4/1981, de 2 de febrero; 32/1981, de 28 de julio; 84/1982, de 23 de diciembre; 170/1989, de 19 de octubre; 214/1989; 148/1991, de 4 de julio; 46/1992, de 2 de abril; 40/1998, de 19 de febrero; 159/2001, de 5 de julio, y 240/2006). Produciría toda una serie de subversiones en el sistema que podría hacer irreconocible la institución local, en algún caso de forma nítida. La Ley de racionalización y sostenibilidad de la Administración local vulneraría igualmente la autonomía financiera de las Comunidades Autónomas (SSTC 179/1987, de 13 de noviembre; 63/1986, de 21 de mayo; 201/1988, de 27 de octubre; 13/1992, de 6 de febrero, y 192/2000, de 13 de julio). Tras referirse a la doctrina constitucional en materia de estabilidad presupuestaria (SSTC 134/2011, de 20 de julio, y 157/2011, de 18 de octubre), el recurso razona también que el art. 135 CE no puede justificar la desnaturalización del modelo de organización territorial por el que optó el constituyente de 1978.</w:t>
      </w:r>
    </w:p>
    <w:p w:rsidR="00163957" w:rsidRDefault="00163957" w:rsidP="00163957">
      <w:pPr>
        <w:pStyle w:val="TextoNormal"/>
      </w:pPr>
    </w:p>
    <w:p w:rsidR="00163957" w:rsidRDefault="00163957" w:rsidP="00163957">
      <w:pPr>
        <w:pStyle w:val="TextoNormal"/>
      </w:pPr>
      <w:r>
        <w:t>Tras estas consideraciones, el recurso de inconstitucionalidad impugna las previsiones siguientes:</w:t>
      </w:r>
    </w:p>
    <w:p w:rsidR="00163957" w:rsidRDefault="00163957" w:rsidP="00163957">
      <w:pPr>
        <w:pStyle w:val="TextoNormal"/>
      </w:pPr>
    </w:p>
    <w:p w:rsidR="00163957" w:rsidRDefault="00163957" w:rsidP="00163957">
      <w:pPr>
        <w:pStyle w:val="TextoNormal"/>
      </w:pPr>
      <w:r>
        <w:lastRenderedPageBreak/>
        <w:t xml:space="preserve">a) Los arts. 3.2 y 24 </w:t>
      </w:r>
      <w:r w:rsidRPr="00163957">
        <w:rPr>
          <w:i/>
        </w:rPr>
        <w:t>bis</w:t>
      </w:r>
      <w:r>
        <w:t xml:space="preserve"> de Ley 7/1985, de 2 de abril, reguladora de las bases del régimen local (LBRL), que proceden de los apartados 2 y 7, respectivamente, del art. 1 de la Ley 27/2013, así como la disposición transitoria cuarta de la Ley 27/2013. Impedirían a las Comunidades Autónomas instituir o reconocer entidades de ámbito inframunicipal como entidades locales con personalidad jurídica propia. El art. 3.2 LBRL deja de contemplar estas instancias como entidades locales; el art. 24 </w:t>
      </w:r>
      <w:r w:rsidRPr="00163957">
        <w:rPr>
          <w:i/>
        </w:rPr>
        <w:t>bis</w:t>
      </w:r>
      <w:r>
        <w:t xml:space="preserve"> LBRL proscribe la creación de otras nuevas; y la disposición transitoria cuarta de la Ley 27/2013 prevé la supresión de las ya constituidas. Desbordarían por ello el ámbito correspondiente a las bases del régimen local (art. 149.1.18 CE) con vulneración de los arts. 59 y 89 EAAnd, sobre “organización territorial” y “estructura territorial”, respectivamente. La previsión de que estos entes carecerán de personalidad jurídica (art. 24 </w:t>
      </w:r>
      <w:r w:rsidRPr="00163957">
        <w:rPr>
          <w:i/>
        </w:rPr>
        <w:t>bis</w:t>
      </w:r>
      <w:r>
        <w:t xml:space="preserve"> LBRL), en particular, no estaría debidamente justificada, por no explicarse cómo incide sobre la garantía de la autonomía municipal. A su vez, la disposición transitoria cuarta, al exigir que la disolución se acuerde precisamente mediante decreto del órgano de gobierno de la Comunidad Autónoma, desconoce también la potestad de autoorganización (art. 148.1.1 CE).</w:t>
      </w:r>
    </w:p>
    <w:p w:rsidR="00163957" w:rsidRDefault="00163957" w:rsidP="00163957">
      <w:pPr>
        <w:pStyle w:val="TextoNormal"/>
      </w:pPr>
    </w:p>
    <w:p w:rsidR="00163957" w:rsidRDefault="00163957" w:rsidP="00163957">
      <w:pPr>
        <w:pStyle w:val="TextoNormal"/>
      </w:pPr>
      <w:r>
        <w:t>b) Los arts. 7 y 25 LBRL, en la redacción dada por los apartados 3 y 8, respectivamente, del art. 1 de la Ley 27/2013.</w:t>
      </w:r>
    </w:p>
    <w:p w:rsidR="00163957" w:rsidRDefault="00163957" w:rsidP="00163957">
      <w:pPr>
        <w:pStyle w:val="TextoNormal"/>
      </w:pPr>
    </w:p>
    <w:p w:rsidR="00163957" w:rsidRDefault="00163957" w:rsidP="00163957">
      <w:pPr>
        <w:pStyle w:val="TextoNormal"/>
      </w:pPr>
      <w:r>
        <w:t>La nueva redacción dada al art. 25 LBRL vulneraría las competencias estatutarias autonómicas; impediría que las Comunidades Autónomas dispongan de ellas. En primer lugar, porque dentro de las materias enumeradas en el apartado 2, obligaría a las Comunidades Autónomas a determinar en positivo (con precisión y concreción) las competencias propias de los municipios, lo que encerraría un velado carácter armonizador (art. 150.3 CE). En segundo lugar, porque el listado de materias enumerado en aquel apartado se afirma como cerrado; las Comunidades Autónomas solo podrían atribuir “competencias propias” a los municipios en el marco de ese elenco tasado de materias. De este modo, el Estado vendría a prohibir a las Comunidades Autónomas el ejercicio de sus atribuciones estatutarias en el sentido de ampliar las competencias propias municipales más allá del ámbito por él definido. Por todo ello la Ley de racionalización y sostenibilidad de la Administración local habría rebasado las bases del régimen local (art. 149.1.18 CE) con vulneración de “la competencia exclusiva de la Comunidad Autónoma de Andalucía” para “la determinación de las competencias y de las potestades propias de los municipios y de los demás entes locales”, en una serie de “ámbitos especificados” [art. 60.1 b) EAAnd].</w:t>
      </w:r>
    </w:p>
    <w:p w:rsidR="00163957" w:rsidRDefault="00163957" w:rsidP="00163957">
      <w:pPr>
        <w:pStyle w:val="TextoNormal"/>
      </w:pPr>
    </w:p>
    <w:p w:rsidR="00163957" w:rsidRDefault="00163957" w:rsidP="00163957">
      <w:pPr>
        <w:pStyle w:val="TextoNormal"/>
      </w:pPr>
      <w:r>
        <w:t>El art. 25 LBRL vulneraría asimismo la autonomía local constitucionalmente garantizada al constreñir los ámbitos materiales en que pueden atribuirse competencias propias municipales; las Comunidades Autónomas podrían ampliarlos, pero únicamente mediante la técnica de la delegación, que implica la sujeción del ente local a la dirección y el control autonómicos. El art. 25.4 LBRL, en particular, vulneraría la garantía constitucional de la autonomía local al establecer el elemento económico como criterio decisivo del reparto competencial entre Administraciones.</w:t>
      </w:r>
    </w:p>
    <w:p w:rsidR="00163957" w:rsidRDefault="00163957" w:rsidP="00163957">
      <w:pPr>
        <w:pStyle w:val="TextoNormal"/>
      </w:pPr>
    </w:p>
    <w:p w:rsidR="00163957" w:rsidRDefault="00163957" w:rsidP="00163957">
      <w:pPr>
        <w:pStyle w:val="TextoNormal"/>
      </w:pPr>
      <w:r>
        <w:t xml:space="preserve">El artículo 7, al referirse a otros dos tipos de competencias (las “delegadas”, por un lado, y las “distintas de las propias y de las delegadas”, por otro), permitiría ampliar el ámbito funcional municipal así circunscrito, pero de modo claramente insuficiente. La delegación supone la sujeción a la orientación, tutelaje y control del nivel de gobierno delegante. A su vez, el ejercicio de las competencias “distintas de las propias y de las delegadas” se hace </w:t>
      </w:r>
      <w:r>
        <w:lastRenderedPageBreak/>
        <w:t>depender de un acto administrativo o, más precisamente, de la autorización de una o dos Administraciones de otro nivel de gobierno.</w:t>
      </w:r>
    </w:p>
    <w:p w:rsidR="00163957" w:rsidRDefault="00163957" w:rsidP="00163957">
      <w:pPr>
        <w:pStyle w:val="TextoNormal"/>
      </w:pPr>
    </w:p>
    <w:p w:rsidR="00163957" w:rsidRDefault="00163957" w:rsidP="00163957">
      <w:pPr>
        <w:pStyle w:val="TextoNormal"/>
      </w:pPr>
      <w:r>
        <w:t>Ello supondría, nuevamente, la vulneración tanto de las competencias de la Junta de Andalucía —en particular, la “exclusiva en materia de régimen local” para la determinación de las competencias y de las potestades propias de los municipios y de los demás entes locales, en los ámbitos especificados” en los arts. 92 y 93 EAAnd [art. 60.1 b) EAAnd]— como la autonomía de los entes locales. El art. 7 LBRL, junto a otras previsiones introducidas por la  Ley de racionalización y sostenibilidad de la Administración local, no podría considerarse amparado en el art. 149.1.18 CE; se apartaría del sentido que es propio de las bases del régimen local; la defensa del ente local frente a las “nuevas centralidades” o “voracidad competencial” de las Comunidades Autónomas. El Estado habría fijado un “techo competencial” a los municipios al que estarían indebidamente sujetas las Comunidades Autónomas, que no podrían ampliar las competencias locales.</w:t>
      </w:r>
    </w:p>
    <w:p w:rsidR="00163957" w:rsidRDefault="00163957" w:rsidP="00163957">
      <w:pPr>
        <w:pStyle w:val="TextoNormal"/>
      </w:pPr>
    </w:p>
    <w:p w:rsidR="00163957" w:rsidRDefault="00163957" w:rsidP="00163957">
      <w:pPr>
        <w:pStyle w:val="TextoNormal"/>
      </w:pPr>
      <w:r>
        <w:t>La nueva redacción del art. 7 LBRL vulneraría igualmente la garantía constitucional de la autonomía local porque los ayuntamientos y las diputaciones, expresión de pluralismo político y legitimidad democrática —de primer grado en el caso de los primeros— deben contar con todas las competencias propias necesarias para prestar servicios públicos a la ciudadanía. Los informes sobre duplicidad competencial y sostenibilidad financiera encerrarían “controles de oportunidad” sobre el desarrollo de las tareas municipales. La amplitud e imprecisión del concepto jurídico “duplicidad” propiciaría que cada Administración pública “titular de la competencia” realice interpretaciones diferentes sobre una cuestión tan relevante como la cartera de servicios municipales, lo que, además de afectar al núcleo de la autonomía municipal constitucionalmente garantizada, vulneraría el art. 9.3 CE. Respecto del informe vinculante de la Administración que tenga atribuida la tutela financiera del municipio, el recurso afirma que una cuestión estructural de la vida municipal, como es la titularidad y el ejercicio de competencias, no puede someterse a una circunstancia puramente coyuntural, como es el cumplimiento de los objetivos de sostenibilidad financiera.</w:t>
      </w:r>
    </w:p>
    <w:p w:rsidR="00163957" w:rsidRDefault="00163957" w:rsidP="00163957">
      <w:pPr>
        <w:pStyle w:val="TextoNormal"/>
      </w:pPr>
    </w:p>
    <w:p w:rsidR="00163957" w:rsidRDefault="00163957" w:rsidP="00163957">
      <w:pPr>
        <w:pStyle w:val="TextoNormal"/>
      </w:pPr>
      <w:r>
        <w:t>El Estatuto andaluz, además de recoger una diferente tipología de competencias locales, garantiza a los municipios “un núcleo competencial propio que será ejercido con plena autonomía” y “sujeción sólo a los controles de constitucionalidad y legalidad” (art. 92.1). En particular, establece que “los Ayuntamientos tienen competencias propias” “en los términos que determinen las leyes” sobre una serie de materias (arts. 92. 2). Tres de estas [gestión de los servicios sociales comunitarios, cooperación para la protección de la salud pública y las restantes que “con este carácter sean establecidas por las leyes”, letras c), h) y ñ), respectivamente] no están ya recogidas en el listado —taxativo, según el recurso— del nuevo art. 25.2 LBRL. Competencias que el Estatuto autonómico concibe como “competencias propias”, habrían quedado ahora configuradas como “competencias distintas de las delegadas y de las propias” (art. 7.4 LBRL).</w:t>
      </w:r>
    </w:p>
    <w:p w:rsidR="00163957" w:rsidRDefault="00163957" w:rsidP="00163957">
      <w:pPr>
        <w:pStyle w:val="TextoNormal"/>
      </w:pPr>
    </w:p>
    <w:p w:rsidR="00163957" w:rsidRDefault="00163957" w:rsidP="00163957">
      <w:pPr>
        <w:pStyle w:val="TextoNormal"/>
      </w:pPr>
      <w:r>
        <w:t>c) El art. 13 LBRL, en la redacción dada por el art. 1.5 de la Ley 27/2013, incurriría en una extralimitación de lo básico con vulneración del art. 59 EAAnd, conforme al que “corresponde a la Comunidad Autónoma de Andalucía la competencia exclusiva” sobre “organización territorial, que incluye en todo caso “la determinación, la creación, la modificación y la supresión de las entidades” locales.</w:t>
      </w:r>
    </w:p>
    <w:p w:rsidR="00163957" w:rsidRDefault="00163957" w:rsidP="00163957">
      <w:pPr>
        <w:pStyle w:val="TextoNormal"/>
      </w:pPr>
    </w:p>
    <w:p w:rsidR="00163957" w:rsidRDefault="00163957" w:rsidP="00163957">
      <w:pPr>
        <w:pStyle w:val="TextoNormal"/>
      </w:pPr>
      <w:r>
        <w:lastRenderedPageBreak/>
        <w:t>La Letrada autonómica se refiere primero a la inclusión de un requisito poblacional mínimo para la creación de nuevos municipios (apartado 2); las bases estatales, aun admitiendo a efectos dialécticos que puedan optar libérrimamente entre el minifundismo o el latifundismo municipal, deberían guardar necesariamente una coherencia sistémica que falta en este caso: la Ley de racionalización y sostenibilidad de la Administración local viene a establecer el mínimo de 5.000 habitantes como concepto de población, pero incluye una amplia serie de medidas aplicables a municipios menos poblados (servicios mínimos, retribuciones de concejales, periodicidad de las reuniones plenarias).</w:t>
      </w:r>
    </w:p>
    <w:p w:rsidR="00163957" w:rsidRDefault="00163957" w:rsidP="00163957">
      <w:pPr>
        <w:pStyle w:val="TextoNormal"/>
      </w:pPr>
    </w:p>
    <w:p w:rsidR="00163957" w:rsidRDefault="00163957" w:rsidP="00163957">
      <w:pPr>
        <w:pStyle w:val="TextoNormal"/>
      </w:pPr>
      <w:r>
        <w:t>La misma infracción afectaría al establecimiento de una forma de alteración de los términos municipales (la fusión voluntaria de municipios mediante convenio) que no se produce por voluntad de las Comunidades Autónomas (apartados 4, 5 y 6).</w:t>
      </w:r>
    </w:p>
    <w:p w:rsidR="00163957" w:rsidRDefault="00163957" w:rsidP="00163957">
      <w:pPr>
        <w:pStyle w:val="TextoNormal"/>
      </w:pPr>
    </w:p>
    <w:p w:rsidR="00163957" w:rsidRDefault="00163957" w:rsidP="00163957">
      <w:pPr>
        <w:pStyle w:val="TextoNormal"/>
      </w:pPr>
      <w:r>
        <w:t>Del mismo modo, incurriría en inconstitucionalidad la previsión de que un órgano estatal (el Ministro de Hacienda y Administraciones Públicas a propuesta de la Intervención General del Estado) elaborará las normas de contabilidad a que se refiere la letra e) del párrafo tercero del art. 14.4 LBRL. No se estaría ante uno de los supuestos en que por excepción, la doctrina constitucional ha admitido que el art. 149.1.14 CE ampare regulaciones sobre régimen local.</w:t>
      </w:r>
    </w:p>
    <w:p w:rsidR="00163957" w:rsidRDefault="00163957" w:rsidP="00163957">
      <w:pPr>
        <w:pStyle w:val="TextoNormal"/>
      </w:pPr>
    </w:p>
    <w:p w:rsidR="00163957" w:rsidRDefault="00163957" w:rsidP="00163957">
      <w:pPr>
        <w:pStyle w:val="TextoNormal"/>
      </w:pPr>
      <w:r>
        <w:t xml:space="preserve">d) Los arts. 26.2, 36 [apartados 1, letras c) y g), y 2, letra a), segundo párrafo] y 116 </w:t>
      </w:r>
      <w:r w:rsidRPr="00163957">
        <w:rPr>
          <w:i/>
        </w:rPr>
        <w:t>ter</w:t>
      </w:r>
      <w:r>
        <w:t xml:space="preserve"> LBRL, en la redacción dada por los apartados 9, 13 y 31, respectivamente, del art. 1 de la Ley 27/2013, en relación con la ampliación de las competencias de las diputaciones provinciales.</w:t>
      </w:r>
    </w:p>
    <w:p w:rsidR="00163957" w:rsidRDefault="00163957" w:rsidP="00163957">
      <w:pPr>
        <w:pStyle w:val="TextoNormal"/>
      </w:pPr>
    </w:p>
    <w:p w:rsidR="00163957" w:rsidRDefault="00163957" w:rsidP="00163957">
      <w:pPr>
        <w:pStyle w:val="TextoNormal"/>
      </w:pPr>
      <w:r>
        <w:t xml:space="preserve">El art. 116 </w:t>
      </w:r>
      <w:r w:rsidRPr="00163957">
        <w:rPr>
          <w:i/>
        </w:rPr>
        <w:t>ter</w:t>
      </w:r>
      <w:r>
        <w:t xml:space="preserve"> LBRL obliga a todas las entidades locales a, por un lado, calcular el “coste efectivo” de sus servicios conforme a una serie de criterios —que una orden ministerial habrá de desarrollar— y, por otro, comunicar el cálculo resultante al Ministerio de Hacienda y Administraciones Públicas para su publicación. Se impugna por las “consecuencias jurídicas altamente perniciosas para la autonomía municipal” que otros preceptos de la Ley de racionalización y sostenibilidad de la Administración local asocian a la valoración individualizada del “coste efectivo” de cada uno de los servicios municipales.</w:t>
      </w:r>
    </w:p>
    <w:p w:rsidR="00163957" w:rsidRDefault="00163957" w:rsidP="00163957">
      <w:pPr>
        <w:pStyle w:val="TextoNormal"/>
      </w:pPr>
    </w:p>
    <w:p w:rsidR="00163957" w:rsidRDefault="00163957" w:rsidP="00163957">
      <w:pPr>
        <w:pStyle w:val="TextoNormal"/>
      </w:pPr>
      <w:r>
        <w:t xml:space="preserve">La nueva redacción del art. 26.2 LBRL se apoyaría en ese “coste efectivo” para desapoderar a los municipios de menos de 20.000 habitantes de determinados servicios. También la nueva redacción del art. 36 LBRL, que iría más lejos al establecer consecuencias semejantes para todos los ayuntamientos y sin hacer referencia ya a la necesaria “conformidad del municipio”. Este precepto, al regular el plan provincial relativo a determinados servicios [apartado 1, letras a), b) y c)], permite la inclusión de fórmulas de prestación unificada o supramunicipal para reducir sus costes efectivos, cuando “la Diputación detecte que los costes efectivos de los servicios prestados por los municipios son superiores a los de los servicios coordinados o prestados por ella” [apartado 2 a)]. La demanda no impugna su apartado 1 h), pero insiste en que también él se vale del concepto de “coste efectivo” definido en el art. 116 </w:t>
      </w:r>
      <w:r w:rsidRPr="00163957">
        <w:rPr>
          <w:i/>
        </w:rPr>
        <w:t>ter</w:t>
      </w:r>
      <w:r>
        <w:t xml:space="preserve"> LBRL; prevé el “seguimiento de los costes efectivos de los servicios prestados” como “función supervisora” de la diputación respecto de los municipios.</w:t>
      </w:r>
    </w:p>
    <w:p w:rsidR="00163957" w:rsidRDefault="00163957" w:rsidP="00163957">
      <w:pPr>
        <w:pStyle w:val="TextoNormal"/>
      </w:pPr>
    </w:p>
    <w:p w:rsidR="00163957" w:rsidRDefault="00163957" w:rsidP="00163957">
      <w:pPr>
        <w:pStyle w:val="TextoNormal"/>
      </w:pPr>
      <w:r>
        <w:t xml:space="preserve">La Letrada de la Junta de Andalucía se refiere al Dictamen 567/2013, de 26 de junio, del Consejo de Estado en relación con el anteproyecto de la Ley impugnada. Considera que los </w:t>
      </w:r>
      <w:r>
        <w:lastRenderedPageBreak/>
        <w:t>problemas que este órgano consultivo achacó al concepto de “coste estándar” incluido en el anteproyecto son trasladables a la noción de “coste efectivo” que figura en el texto de la Ley. La impugnación se basa en la garantía constitucional de la autonomía municipal (art. 137 CE). La Ley 27/2013 la habría incumplido al desconocer que el “coste” de los servicios es una variable que debe depender necesariamente de su calidad. Ha de ser la orientación política de los representantes políticos —traducción de los intereses y las aspiraciones vecinales— la que determine las decisiones relativas a los servicios municipales en términos de tanto cantidad como calidad. La mayor proximidad a la ciudadanía del nivel municipal de gobierno fundamenta que éste tenga atribuida la gestión de servicios y que aquélla, a través de sus representantes, pueda condicionar la calidad de esa gestión. Por eso la Ley 27/2013 infringiría la autonomía local en su vertiente de gasto, como “capacidad genérica de determinar y ordenar, bajo la propia responsabilidad, los gastos necesarios para el ejercicio de las competencias conferidas” (STC 32/1981). Tal capacidad entraña, en línea de principio, la plena disponibilidad de ingresos, sin condicionamientos indebidos y en toda su extensión, para el ejercicio de las competencias propias (SSTC 13/1992, de 6 de febrero; 237/1992, de 15 de diciembre; 68/1996, de 4 de abril; 109/1998, de 21 de mayo, y 48/2004, de 25 de marzo). La Letrada autonómica añade que la precitada “función supervisora” permite plantear si la Ley 27/2013 ha sometido a los municipios a una relación de dependencia respecto de la provincia incompatible con la autonomía que tienen constitucionalmente garantizada (STC 4/1981).</w:t>
      </w:r>
    </w:p>
    <w:p w:rsidR="00163957" w:rsidRDefault="00163957" w:rsidP="00163957">
      <w:pPr>
        <w:pStyle w:val="TextoNormal"/>
      </w:pPr>
    </w:p>
    <w:p w:rsidR="00163957" w:rsidRDefault="00163957" w:rsidP="00163957">
      <w:pPr>
        <w:pStyle w:val="TextoNormal"/>
      </w:pPr>
      <w:r>
        <w:t>El nuevo art. 26.2 LBRL sería incongruente e impreciso: a la vista de la STC 214/1989, habría que entender que denomina “coordinación” a fórmulas que, en principio, son de “cooperación”, en la medida en que se exige la conformidad del municipio. El precepto de la Ley reguladora de las bases del régimen local sería contrario a la autonomía local constitucionalmente garantizada. Atribuye a la diputación provincial la elaboración de una propuesta que puede implicar la sustitución del municipio en la prestación del servicio. El precepto establece que tal propuesta contará “con la conformidad de los municipios afectados”, pero, en realidad, tal conformidad no sería estrictamente un “acto voluntario o discrecional”; a la vista del párrafo tercero, la única posibilidad con que los municipios cuentan para retener servicios pasaría por acreditar ante la propia diputación que pueden prestarlos a un menor coste efectivo. Este sistema vaciaría el núcleo esencial de la autonomía local a la vista del arraigo y relevancia de los servicios coordinados y de que los municipios con menos de 20.000 habitantes representan el 96,19 por 100 de las entidades locales españolas. A su vez, se dice, el criterio económico no parece que pueda ser el único determinante en decisiones de esta envergadura.</w:t>
      </w:r>
    </w:p>
    <w:p w:rsidR="00163957" w:rsidRDefault="00163957" w:rsidP="00163957">
      <w:pPr>
        <w:pStyle w:val="TextoNormal"/>
      </w:pPr>
    </w:p>
    <w:p w:rsidR="00163957" w:rsidRDefault="00163957" w:rsidP="00163957">
      <w:pPr>
        <w:pStyle w:val="TextoNormal"/>
      </w:pPr>
      <w:r>
        <w:t>Se prevé que el Ministerio de Hacienda y Administraciones Públicas decidirá sobre una propuesta de prestación de servicios previamente elaborada por la diputación provincial con la conformidad de los municipios afectados. De este modo, el art. 26.2, segundo párrafo, LBRL convertiría a la diputación provincial en el árbitro de las competencias municipales y al Estado en la instancia que decide finalmente sobre la forma de gestión propuesta por la anterior. El Estado estaría atribuyéndose una competencia ejecutiva que desborda la cobertura de los apartados 18 y 14 del art. 149.1 CE. Hay prevista una intervención autonómica, pero no resulta decisiva; la emisión de un informe preceptivo no vinculante es incompatible con el art. 60.3 EAAnd, que atribuye a la Comunidad andaluza la tutela financiera de los entes locales.</w:t>
      </w:r>
    </w:p>
    <w:p w:rsidR="00163957" w:rsidRDefault="00163957" w:rsidP="00163957">
      <w:pPr>
        <w:pStyle w:val="TextoNormal"/>
      </w:pPr>
    </w:p>
    <w:p w:rsidR="00163957" w:rsidRDefault="00163957" w:rsidP="00163957">
      <w:pPr>
        <w:pStyle w:val="TextoNormal"/>
      </w:pPr>
      <w:r>
        <w:lastRenderedPageBreak/>
        <w:t>El recurso traslada los argumentos dirigidos contra el nuevo art. 26.2 LBRL a algunas de las indicadas previsiones del art. 36 LBRL, que entiende aplicables a supuestos en que la diputación, sin la aquiescencia del municipio, le sustituye en la prestación de servicios.</w:t>
      </w:r>
    </w:p>
    <w:p w:rsidR="00163957" w:rsidRDefault="00163957" w:rsidP="00163957">
      <w:pPr>
        <w:pStyle w:val="TextoNormal"/>
      </w:pPr>
    </w:p>
    <w:p w:rsidR="00163957" w:rsidRDefault="00163957" w:rsidP="00163957">
      <w:pPr>
        <w:pStyle w:val="TextoNormal"/>
      </w:pPr>
      <w:r>
        <w:t xml:space="preserve">e) El art. 57 </w:t>
      </w:r>
      <w:r w:rsidRPr="00163957">
        <w:rPr>
          <w:i/>
        </w:rPr>
        <w:t>bis</w:t>
      </w:r>
      <w:r>
        <w:t xml:space="preserve"> LBRL, introducido por el art. 1.17 de la Ley 27/2013, y la disposición adicional octava de la Ley 27/2013. Conforme al primer precepto, todo convenio por el que una Comunidad Autónoma delegue competencias o asuma obligaciones financieras o compromisos de pago debe incluir una cláusula de garantía que autorice a la Administración general del Estado a aplicar retenciones en las transferencias que correspondan a las Comunidades Autónomas por aplicación del sistema de financiación. Según el recurso, esta previsión incide evidentemente en el sistema de financiación por lo que regularía una materia reservada a la ley orgánica (art. 157.3 CE). Su contenido vulneraría, además, la autonomía financiera de las Comunidades Autonómicas garantizada en la Constitución (art. 156.1 CE) y en los Estatutos de Autonomía. Tal vulneración se produciría porque la extinción de deudas ocurre al margen de la voluntad de las Administraciones autonómicas en contra de los principios de lealtad institucional y cooperación en materia financiera, que deben regir las relaciones financieras entre el Estado y las Comunidades Autónomas (STC 13/2007, de 18 de diciembre). La regulación impugnada no ha previsto la intervención de órganos colegiados y consultivos [como la Comisión Mixta de Asuntos Económicos y Fiscales (art. 184 EAAnd) y el Consejo de Política Fiscal y Financiera (art. 3 de la Ley Orgánica de financiación de las Comunidades Autónomas)], ni siquiera una audiencia previa a la realización de la técnica establecida.</w:t>
      </w:r>
    </w:p>
    <w:p w:rsidR="00163957" w:rsidRDefault="00163957" w:rsidP="00163957">
      <w:pPr>
        <w:pStyle w:val="TextoNormal"/>
      </w:pPr>
    </w:p>
    <w:p w:rsidR="00163957" w:rsidRDefault="00163957" w:rsidP="00163957">
      <w:pPr>
        <w:pStyle w:val="TextoNormal"/>
      </w:pPr>
      <w:r>
        <w:t xml:space="preserve">La disposición adicional octava de la Ley 27/2013 permite al Ministerio de Hacienda y Administraciones Públicas retener recursos que habrían de transferirse a una Administración territorial (o entidad de Derecho público dependiente de ella) cuando ésta incumpla las obligaciones tributarias previstas en relación con los bienes inmuebles de la Seguridad Social que se le hayan adscrito o transferido [art. 81.1 d) del texto refundido de la Ley de la Seguridad Social, aprobado por Real Decreto Legislativo 1/1994, de 20 de junio], a fin de que pueda afrontarse el pago. El recurso extiende el razonamiento desenvuelto respecto del art. 57 </w:t>
      </w:r>
      <w:r w:rsidRPr="00163957">
        <w:rPr>
          <w:i/>
        </w:rPr>
        <w:t>bis</w:t>
      </w:r>
      <w:r>
        <w:t xml:space="preserve"> LBRL a este precepto, en lo que afecta las deudas correspondientes a los tributos locales, que son las que parece tener en cuenta el legislador.</w:t>
      </w:r>
    </w:p>
    <w:p w:rsidR="00163957" w:rsidRDefault="00163957" w:rsidP="00163957">
      <w:pPr>
        <w:pStyle w:val="TextoNormal"/>
      </w:pPr>
    </w:p>
    <w:p w:rsidR="00163957" w:rsidRDefault="00163957" w:rsidP="00163957">
      <w:pPr>
        <w:pStyle w:val="TextoNormal"/>
      </w:pPr>
      <w:r>
        <w:t xml:space="preserve">f) Los arts. 75 </w:t>
      </w:r>
      <w:r w:rsidRPr="00163957">
        <w:rPr>
          <w:i/>
        </w:rPr>
        <w:t>bis</w:t>
      </w:r>
      <w:r>
        <w:t xml:space="preserve"> y 75 </w:t>
      </w:r>
      <w:r w:rsidRPr="00163957">
        <w:rPr>
          <w:i/>
        </w:rPr>
        <w:t>ter</w:t>
      </w:r>
      <w:r>
        <w:t xml:space="preserve"> LBRL, introducidos por los apartados 18 y 19, respectivamente, del art. 1 de la Ley 27/2013, sobre dedicación y retribución de los miembros (y el personal al servicio) de las corporaciones locales. Respecto del primer artículo, la Letrada de la Junta de Andalucía centra las alegaciones en el régimen establecido para quienes desempeñan sus cargos en entes locales con menos de 1.000 habitantes. La dedicación exclusiva queda excluida con carácter absoluto, admitiéndose la parcial solo por excepción. Quienes en consecuencia desempeñen sus cargos sin sujeción a regímenes de dedicación exclusiva o parcial percibirán solo “asistencias por la concurrencia efectiva a las sesiones de los órganos colegiados de que formen parte, en la cuantía señalada por el Pleno” de la corporación (apartado 3). Quienes, por excepción, disfruten del régimen de dedicación parcial, percibirán “sus retribuciones dentro de los límites máximos señalados al efecto en la Ley de Presupuestos Generales del Estado” (apartado 2, párrafo segundo).</w:t>
      </w:r>
    </w:p>
    <w:p w:rsidR="00163957" w:rsidRDefault="00163957" w:rsidP="00163957">
      <w:pPr>
        <w:pStyle w:val="TextoNormal"/>
      </w:pPr>
    </w:p>
    <w:p w:rsidR="00163957" w:rsidRDefault="00163957" w:rsidP="00163957">
      <w:pPr>
        <w:pStyle w:val="TextoNormal"/>
      </w:pPr>
      <w:r>
        <w:t xml:space="preserve">Tales previsiones vulnerarían “el derecho constitucionalmente declarado en el artículo 23 de la Constitución”, significando un obstáculo a “la participación de todos los ciudadanos </w:t>
      </w:r>
      <w:r>
        <w:lastRenderedPageBreak/>
        <w:t>en la vida política, económica, cultural y social” (art. 9.2 CE); podrían desincentivar el acceso a los cargos públicos locales por parte de los ciudadanos, al ser posible que la adquisición de tal condición no conlleve retribución alguna. Se afirma en este sentido que “se constriñen de manera desproporcionada las posibilidades de configuración del régimen de dedicación y retribución en las corporaciones locales afectadas, partiendo del exclusivo dato de la población, sin considerar la posible concurrencia de otros factores, implicando con ello una limitación, carente de suficiente fundamentación, del derecho constitucionalmente declarado en el artículo 23”. Para argumentar la vulneración del art. 23 CE, el recurso menciona la Carta Europea de la Autonomía Local que, sin ser “canon de constitucionalidad de los derechos”, proporciona “elementos de interpretación de los constitucionalmente proclamados” (STC 247/2007, de 12 de diciembre). Conforme al art. 7.2 de la Carta Europea de la Autonomía Local, el estatuto de los representantes locales debe permitir la compensación financiera adecuada de los gastos causados por el ejercicio del mandato. Si llega el caso, también los beneficios perdidos o una remuneración del trabajo desempeñado y la cobertura social correspondiente. Se trae a colación la interpretación realizada por el Tribunal Supremo del concepto de “indemnización” incluido en el art. 75 LBRL; se trataría de un concepto “genérico” y “sin concreción alguna” que abarca, no solo el gasto realizado, sino también el beneficio dejado de percibir o pérdida de un tiempo que podría haberse dedicado a otra actividad (STS de 18 de enero de 2000).</w:t>
      </w:r>
    </w:p>
    <w:p w:rsidR="00163957" w:rsidRDefault="00163957" w:rsidP="00163957">
      <w:pPr>
        <w:pStyle w:val="TextoNormal"/>
      </w:pPr>
    </w:p>
    <w:p w:rsidR="00163957" w:rsidRDefault="00163957" w:rsidP="00163957">
      <w:pPr>
        <w:pStyle w:val="TextoNormal"/>
      </w:pPr>
      <w:r>
        <w:t xml:space="preserve">El art. 75 </w:t>
      </w:r>
      <w:r w:rsidRPr="00163957">
        <w:rPr>
          <w:i/>
        </w:rPr>
        <w:t>ter</w:t>
      </w:r>
      <w:r>
        <w:t xml:space="preserve"> LBRL reitera que los miembros de ayuntamientos con menos de 1.000 habitantes no podrán prestar servicios en régimen de dedicación exclusiva a la vez que determina el número máximo de los que podrán hacerlo en otros municipios, según umbrales poblacionales. El recurso reconoce la competencia estatal para regular con carácter básico aspectos organizativos y funcionales, la posibilidad con que cuenta el Estado de modificar su legislación básica (STC 134/2013) y los criterios de economía y racionalización del gasto a los que pudiera obedecer el precepto impugnado. No obstante, se remite a las consideraciones vertidas con relación al art. 7</w:t>
      </w:r>
      <w:r w:rsidRPr="00163957">
        <w:rPr>
          <w:i/>
        </w:rPr>
        <w:t>5 b</w:t>
      </w:r>
      <w:r>
        <w:t>is LBRL.</w:t>
      </w:r>
    </w:p>
    <w:p w:rsidR="00163957" w:rsidRDefault="00163957" w:rsidP="00163957">
      <w:pPr>
        <w:pStyle w:val="TextoNormal"/>
      </w:pPr>
    </w:p>
    <w:p w:rsidR="00163957" w:rsidRDefault="00163957" w:rsidP="00163957">
      <w:pPr>
        <w:pStyle w:val="TextoNormal"/>
      </w:pPr>
      <w:r>
        <w:t>g) El art. 85.2 LBRL, en la redacción dada por el art. 1.21 de la Ley 27/2013, sobre las formas de gestión de los servicios públicos locales. Según el recurso infringe la competencia exclusiva de la Comunidad Autónoma de Andalucía para regular “las modalidades de prestación de los servicios públicos” [art. 60.1 c) EAAnd]. La legislación básica podría regular “en clave de principios y configuración” los conceptos “servicio público”, “servicio reglamentado” y otros conexos, pero no las concretas modalidades de prestación. Las exigencias de sostenibilidad y eficiencia que han de presidir las modalidades de prestación de servicios no justifican que el Estado adopte un régimen que en nada coincide con la regulación adoptada legítimamente por el Parlamento andaluz en desarrollo de su competencia estatutaria.</w:t>
      </w:r>
    </w:p>
    <w:p w:rsidR="00163957" w:rsidRDefault="00163957" w:rsidP="00163957">
      <w:pPr>
        <w:pStyle w:val="TextoNormal"/>
      </w:pPr>
    </w:p>
    <w:p w:rsidR="00163957" w:rsidRDefault="00163957" w:rsidP="00163957">
      <w:pPr>
        <w:pStyle w:val="TextoNormal"/>
      </w:pPr>
      <w:r>
        <w:t xml:space="preserve">h) El art. 116 </w:t>
      </w:r>
      <w:r w:rsidRPr="00163957">
        <w:rPr>
          <w:i/>
        </w:rPr>
        <w:t>bis</w:t>
      </w:r>
      <w:r>
        <w:t xml:space="preserve"> LBRL, introducido por el art. 1.30 de la Ley 27/2013, y la disposición adicional novena LBRL, en la redacción dada por el art. 1.36 de la Ley 27/2013. El primero se refiere al plan económico-financiero que deben formular los entes locales cuando incumplan los objetivos de estabilidad presupuestaria o de deuda pública o la regla de gasto. Razona la Letrada de la Junta de Andalucía que el principio de estabilidad presupuestaria ha adquirido un valor estructural y condicionante de la acción pública así como del mantenimiento y desarrollo del Estado social proclamado en el art. 1.1 CE. Tal es su importancia, que la Constitución exige su desarrollo mediante legislación orgánica (art. 135.5 CE). En cumplimiento de esta reserva, el art. 21.1 de la Ley Orgánica 2/2012, de 27 de abril, de </w:t>
      </w:r>
      <w:r>
        <w:lastRenderedPageBreak/>
        <w:t>estabilidad presupuestaria y sostenibilidad financiera ha regulado el contenido y alcance del plan económico-financiero de las corporaciones locales incumplidoras. El precepto impugnado habría ampliado dicho contenido sin respetar la reserva de ley orgánica establecida en el art. 135.5 CE.</w:t>
      </w:r>
    </w:p>
    <w:p w:rsidR="00163957" w:rsidRDefault="00163957" w:rsidP="00163957">
      <w:pPr>
        <w:pStyle w:val="TextoNormal"/>
      </w:pPr>
    </w:p>
    <w:p w:rsidR="00163957" w:rsidRDefault="00163957" w:rsidP="00163957">
      <w:pPr>
        <w:pStyle w:val="TextoNormal"/>
      </w:pPr>
      <w:r>
        <w:t>Tal reproche resultaría extensible a la nueva disposición adicional novena LBRL, que introduce una serie de medidas de racionalización y redimensionamiento del sector público local. A juicio de la Letrada autonómica, tales medidas deben reputarse correctivas del incumplimiento de los objetivos de estabilidad presupuestaria, de deuda pública o de la regla de gasto. La regulación, al no revestir rango de ley orgánica, vulneraría también el art. 135.5 CE.</w:t>
      </w:r>
    </w:p>
    <w:p w:rsidR="00163957" w:rsidRDefault="00163957" w:rsidP="00163957">
      <w:pPr>
        <w:pStyle w:val="TextoNormal"/>
      </w:pPr>
    </w:p>
    <w:p w:rsidR="00163957" w:rsidRDefault="00163957" w:rsidP="00163957">
      <w:pPr>
        <w:pStyle w:val="TextoNormal"/>
      </w:pPr>
      <w:r>
        <w:t>i) La disposición adicional decimosexta LBRL, introducida por el art. 1.38 de la Ley 27/2013, conforme a la que, “excepcionalmente, cuando el Pleno de la Corporación Local no alcanzara, en una primera votación, la mayoría necesaria para la adopción de acuerdos prevista en esta Ley, la Junta de Gobierno Local tendrá competencia para aprobar” una serie de acuerdos (presupuesto; planes económico-financiero, de reequilibrio, ajuste, saneamiento y reducción deuda; entrada en los mecanismos extraordinarios de financiación). Siendo el pleno el órgano que representa a la ciudadanía, al privarle de sus competencias por no adoptar determinados acuerdos en primera votación, infringiría el principio democrático y el art. 23.1 CE. A su vez, al no definir ni concretar la situación excepcional que pudiera justificar la privación respecto de acuerdos de tanta importancia, faltaría también al principio democrático con vulneración del derecho reconocido en el art. 23.1 CE.</w:t>
      </w:r>
    </w:p>
    <w:p w:rsidR="00163957" w:rsidRDefault="00163957" w:rsidP="00163957">
      <w:pPr>
        <w:pStyle w:val="TextoNormal"/>
      </w:pPr>
    </w:p>
    <w:p w:rsidR="00163957" w:rsidRDefault="00163957" w:rsidP="00163957">
      <w:pPr>
        <w:pStyle w:val="TextoNormal"/>
      </w:pPr>
      <w:r>
        <w:t>j) El art. 213 del texto refundido de la Ley reguladora de las haciendas locales, aprobado por Real Decreto Legislativo 2/2004, de 5 de marzo, en la redacción dada por el art. 2.2 de la Ley 27/2013, sobre el control interno —en forma de intervención y control financiero o de eficacia— que ejercerán las entidades locales respecto de la gestión económica de sus organismos autónomos y sociedades mercantiles. El recurso admite que el Estado puede fijar un “marco normativo común de referencia para los interventores” y que puede hacerlo a través de reglamentos. Sin embargo, el precepto impugnado habría ido demasiado lejos. Habría desconocido que la Comunidad Autónoma de Andalucía tiene estatutariamente atribuida la tutela financiera de los entes locales (art. 60.3 EAAnd) al remitir a una futura norma reglamentaria estatal los procedimientos de control en todos sus aspectos (metodología, criterios de aplicación, fases, estatuto del personal) y establecer que los órganos interventores de las entidades locales elevarán a la Intervención General del Estado un informe resumen de los resultados de los controles desarrollados en cada ejercicio en el plazo y con el contenido establecido en aquella norma. Resultando difícil entrever las funciones que le restan a las Comunidades Autónomas, la competencia estatutaria para ejercer la tutela financiera habría quedado desdibujada hasta ser irreconocible. El precepto incurriría por ello en una extralimitación contraria a la Constitución (art. 149.1, apartados 14 y 18), a la autonomía local (art. 137 CE) y a las competencias autonómicas (art. 148.1.2 CE y 60.3 EAAnd).</w:t>
      </w:r>
    </w:p>
    <w:p w:rsidR="00163957" w:rsidRDefault="00163957" w:rsidP="00163957">
      <w:pPr>
        <w:pStyle w:val="TextoNormal"/>
      </w:pPr>
    </w:p>
    <w:p w:rsidR="00163957" w:rsidRDefault="00163957" w:rsidP="00163957">
      <w:pPr>
        <w:pStyle w:val="TextoNormal"/>
      </w:pPr>
      <w:r>
        <w:t xml:space="preserve">k) Las disposiciones adicionales undécima y decimoquinta y transitorias primera a tercera de la Ley 27/2013, relativas a servicios que vienen prestando los entes locales en materia de educación (disposición adicional decimoquinta), salud (disposición transitoria primera y disposición adicional undécima), servicios sociales (disposición transitoria segunda </w:t>
      </w:r>
      <w:r>
        <w:lastRenderedPageBreak/>
        <w:t>y disposición adicional undécima) y servicios de inspección sanitaria (disposición transitoria tercera). La Ley de racionalización y sostenibilidad de la Administración local atribuye ahora estas competencias y su ejercicio a las Comunidades Autónomas. Bajo determinadas condiciones (educación) o con sujeción a plazos de implantación (salud y servicios sociales), el Estado estaría utilizando una simple ley básica (ordinaria) para atribuir competencias a las Comunidades Autónomas. La Ley de racionalización y sostenibilidad de la Administración local habría desconocido que las competencias autonómicas son las previstas en los Estatutos, aprobados mediante ley orgánica, lo que infringiría los arts. 147.2 d) y 148.1 CE así como el art. 175.2 EAAnd. También que el Derecho andaluz haya previsto aquellas competencias como propias del municipio [arts. 60.1 b) y 92.2 EAAnd, arts. 9 y 13 de la Ley 5/2010, de 11 de junio, de Autonomía Local de Andalucía]. Las disposiciones impugnadas tendrían igualmente un “contenido armonizador” sin los requisitos que exige el art. 150.3 CE. Vulnerarían igualmente la autonomía financiera de las Comunidades Autónomas (arts. 156.1 CE y 175 EAAnd) porque, al desposeer a los municipios de aquellas competencias, las disposiciones impugnadas impondrían un incremento del gasto que deben soportar las Consejerías competentes.</w:t>
      </w:r>
    </w:p>
    <w:p w:rsidR="00163957" w:rsidRDefault="00163957" w:rsidP="00163957">
      <w:pPr>
        <w:pStyle w:val="TextoNormal"/>
      </w:pPr>
    </w:p>
    <w:p w:rsidR="00163957" w:rsidRDefault="00163957" w:rsidP="00163957">
      <w:pPr>
        <w:pStyle w:val="TextoNormal"/>
      </w:pPr>
      <w:r>
        <w:t>La disposición adicional decimoquinta, en particular, incluye una remisión a las normas que regulen el sistema de financiación, pero no por ello dejaría de incurrir en estas vulneraciones; tal remisión implica solo la suspensión temporal de su eficacia. A su vez, la hermenéutica del precepto es confusa, lo que vulnera el principio de seguridad jurídica (artículo 9.3). Por otra parte, las disposiciones transitorias primera.5 y segunda.5, al establecer un régimen de retenciones con cargo al sistema de financiación autonómica, incurrirían en las infracciones ya razonadas respecto del art. 5</w:t>
      </w:r>
      <w:r w:rsidRPr="00163957">
        <w:rPr>
          <w:i/>
        </w:rPr>
        <w:t>7 b</w:t>
      </w:r>
      <w:r>
        <w:t>is LBRL, introducido por el art. 1.17 de la Ley 27/2013.</w:t>
      </w:r>
    </w:p>
    <w:p w:rsidR="00163957" w:rsidRDefault="00163957" w:rsidP="00163957">
      <w:pPr>
        <w:pStyle w:val="TextoNormal"/>
      </w:pPr>
    </w:p>
    <w:p w:rsidR="00163957" w:rsidRDefault="00163957" w:rsidP="00163957">
      <w:pPr>
        <w:pStyle w:val="TextoNormal"/>
      </w:pPr>
      <w:r>
        <w:t xml:space="preserve">La disposición adicional undécima de la Ley 27/2013 se refiere a los servicios y competencias que las Comunidades Autónomas deben asumir de acuerdo con las disposiciones transitorias primera y segunda de la misma Ley. Establece la obligación de comunicar al Ministerio de Hacienda y Administraciones Públicas tanto la asunción de aquellos servicios y competencias como las obligaciones que tuvieran reconocidas y estuvieran pendientes de pago a los municipios; todo ello al objeto de la realización, en los términos que se determinen reglamentariamente, de compensaciones entre los derechos y obligaciones recíprocos, el posterior ingreso del saldo resultante a favor de la Administración que corresponda y, en su caso, recuperación mediante la aplicación de retenciones en el sistema de financiación de la Administración pública que resulte deudora. Según el recurso, este precepto, en cuanto admite que el Estado practique retenciones en el sistema de financiación autonómica, estaría afectado por los mismos vicios que el art. 57 </w:t>
      </w:r>
      <w:r w:rsidRPr="00163957">
        <w:rPr>
          <w:i/>
        </w:rPr>
        <w:t>bis</w:t>
      </w:r>
      <w:r>
        <w:t xml:space="preserve"> LBRL; vulneraría la reserva de ley orgánica (art. 157.3 CE) y la autonomía financiera garantizada en el art. 156 CE.</w:t>
      </w:r>
    </w:p>
    <w:p w:rsidR="00163957" w:rsidRDefault="00163957" w:rsidP="00163957">
      <w:pPr>
        <w:pStyle w:val="TextoNormal"/>
      </w:pPr>
    </w:p>
    <w:p w:rsidR="00163957" w:rsidRDefault="00163957" w:rsidP="00163957">
      <w:pPr>
        <w:pStyle w:val="TextoNormal"/>
      </w:pPr>
      <w:r>
        <w:t>l) El art. 97 del texto refundido de las disposiciones legales vigentes en materia de régimen local, aprobado por Real Decreto Legislativo 781/1986, de 18 de abril, en la redacción dada por la disposición final primera de la Ley 27/2013. La previsión impone condiciones a la ejecución efectiva en régimen de monopolio de las actividades reservadas de acuerdo con lo dispuesto en el art. 86.2 LBRL. Entre ellas, la aprobación del Consejo de Gobierno de la Comunidad Autónoma del acuerdo adoptado en ese sentido por el pleno de la corporación local. La referencia a un concreto órgano autonómico vulneraría la potestad autonómica de autoorganización (arts. 148.1.1 CE, arts. 46 y 47.1.1 EAAnd).</w:t>
      </w:r>
    </w:p>
    <w:p w:rsidR="00163957" w:rsidRDefault="00163957" w:rsidP="00163957">
      <w:pPr>
        <w:pStyle w:val="TextoNormal"/>
      </w:pPr>
    </w:p>
    <w:p w:rsidR="00163957" w:rsidRDefault="00163957" w:rsidP="00163957">
      <w:pPr>
        <w:pStyle w:val="TextoNormal"/>
      </w:pPr>
      <w:r w:rsidRPr="00163957">
        <w:rPr>
          <w:rStyle w:val="NumeroAFNegritaCaracter"/>
        </w:rPr>
        <w:t>3</w:t>
      </w:r>
      <w:r>
        <w:t>. Mediante providencia de 29 de mayo de 2014, el Pleno del Tribunal Constitucional acuerda admitir a trámite el presente recurso, dar traslado de la demanda y documentos presentados al Congreso de los Diputados, al Senado y al Gobierno, al objeto de que puedan personarse en el proceso y formular las alegaciones, y ordenar la publicación de la incoación del recurso en el “Boletín Oficial del Estado”; publicación que se produce en el núm. 132 de 31 de mayo de 2014.</w:t>
      </w:r>
    </w:p>
    <w:p w:rsidR="00163957" w:rsidRDefault="00163957" w:rsidP="00163957">
      <w:pPr>
        <w:pStyle w:val="TextoNormal"/>
      </w:pPr>
    </w:p>
    <w:p w:rsidR="00163957" w:rsidRDefault="00163957" w:rsidP="00163957">
      <w:pPr>
        <w:pStyle w:val="TextoNormal"/>
      </w:pPr>
      <w:r w:rsidRPr="00163957">
        <w:rPr>
          <w:rStyle w:val="NumeroAFNegritaCaracter"/>
        </w:rPr>
        <w:t>4</w:t>
      </w:r>
      <w:r>
        <w:t>. Por escrito registrado en este Tribunal el 5 de junio de 2014, el Presidente del Congreso de los Diputados comunica el Acuerdo de la Mesa de la Cámara de personarse en el proceso ofreciendo su colaboración a los efectos del art. 88.1 de la Ley Orgánica del Tribunal Constitucional (LOTC).</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registrado en este Tribunal el 11 de junio de 2014, el Presidente del Senado comunica el Acuerdo de la Mesa de la Cámara de personarse en el proceso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Por escrito registrado en este Tribunal el 11 de junio de 2014, el Abogado del Estado, en la representación que legalmente ostenta, comparece en el proceso y solicita la ampliación en ocho días del plazo de quince establecido para formular alegaciones habida cuenta del número de asuntos que penden en la Abogacía del Estado.</w:t>
      </w:r>
    </w:p>
    <w:p w:rsidR="00163957" w:rsidRDefault="00163957" w:rsidP="00163957">
      <w:pPr>
        <w:pStyle w:val="TextoNormal"/>
      </w:pPr>
    </w:p>
    <w:p w:rsidR="00163957" w:rsidRDefault="00163957" w:rsidP="00163957">
      <w:pPr>
        <w:pStyle w:val="TextoNormal"/>
      </w:pPr>
      <w:r w:rsidRPr="00163957">
        <w:rPr>
          <w:rStyle w:val="NumeroAFNegritaCaracter"/>
        </w:rPr>
        <w:t>7</w:t>
      </w:r>
      <w:r>
        <w:t>. Por providencia de 12 de junio de 2014 el Pleno del Tribunal Constitucional acuerda tener por personado al Abogado del Estado en la representación que legalmente ostenta y conceder la prórroga solicitada.</w:t>
      </w:r>
    </w:p>
    <w:p w:rsidR="00163957" w:rsidRDefault="00163957" w:rsidP="00163957">
      <w:pPr>
        <w:pStyle w:val="TextoNormal"/>
      </w:pPr>
    </w:p>
    <w:p w:rsidR="00163957" w:rsidRDefault="00163957" w:rsidP="00163957">
      <w:pPr>
        <w:pStyle w:val="TextoNormal"/>
      </w:pPr>
      <w:r w:rsidRPr="00163957">
        <w:rPr>
          <w:rStyle w:val="NumeroAFNegritaCaracter"/>
        </w:rPr>
        <w:t>8</w:t>
      </w:r>
      <w:r>
        <w:t>. El Abogado del Estado, en la representación que legalmente ostenta, presenta el 2 de julio de 2014 en el Registro General de este Tribunal Constitucional su escrito de alegaciones.</w:t>
      </w:r>
    </w:p>
    <w:p w:rsidR="00163957" w:rsidRDefault="00163957" w:rsidP="00163957">
      <w:pPr>
        <w:pStyle w:val="TextoNormal"/>
      </w:pPr>
    </w:p>
    <w:p w:rsidR="00163957" w:rsidRDefault="00163957" w:rsidP="00163957">
      <w:pPr>
        <w:pStyle w:val="TextoNormal"/>
      </w:pPr>
      <w:r>
        <w:t>El indicado escrito incluye una serie de consideraciones destinada a contextualizar la Ley de racionalización y sostenibilidad de la Administración local. Describe ampliamente el marco normativo europeo y nacional relativo a la estabilidad presupuestaria y a la sostenibilidad financiera. A la vista del art. 3 del Tratado de Estabilidad, Coordinación y Gobernanza en la Unión Europea y Monetaria, firmado por España el 2 de marzo de 2012, los presupuestos de las Administraciones públicas deben estar equilibrados o en superávit. Tras referirse a la legislación nacional adoptada a partir de 2001 en orden a la consecución de la estabilidad y crecimiento económicos, el Abogado del Estado se detiene en la incorporación de la exigencia de estabilidad presupuestaria en la Constitución (reforma del art. 135 CE de 27 de septiembre de 2011), que vino “justificada por el propio significado de la Unión Económica y Monetaria” (cita el Dictamen 164/2012 del Consejo de Estado). La reforma representa la primera apertura expresa de la Constitución al ordenamiento europeo y consagra una nueva atribución de competencias. La Ley Orgánica 2/2012 desarrolla el art. 135 CE e incorpora las exigencias europeas de estabilidad presupuestaria. Sus medidas resultan necesarias para dar cumplimiento, no solo al mandato constitucional, sino también a los compromisos de España ante la Unión Europea.</w:t>
      </w:r>
    </w:p>
    <w:p w:rsidR="00163957" w:rsidRDefault="00163957" w:rsidP="00163957">
      <w:pPr>
        <w:pStyle w:val="TextoNormal"/>
      </w:pPr>
    </w:p>
    <w:p w:rsidR="00163957" w:rsidRDefault="00163957" w:rsidP="00163957">
      <w:pPr>
        <w:pStyle w:val="TextoNormal"/>
      </w:pPr>
      <w:r>
        <w:t>La Ley de racionalización y sostenibilidad de la Administración local proviene del plan nacional de reformas 2013 remitido por el Consejo de Ministros a la Unión Europea, que pretende perseverar en la corrección de los desequilibrios presupuestarios y sentar las bases de la recuperación económica y de la creación de empleo. La Ley 27/2013 no es desarrollo estricto del nuevo art. 135 CE, pero responde al objetivo de traducir sus principios en esta relevante parte de la Administración pública española a través de las siguientes medidas: actualización de las competencias municipales, fortalecimiento de las diputaciones provinciales, cobertura presupuestaria completa del coste de las competencias delegadas, garantías de estabilidad presupuestaria en los convenios interadministrativos y en el ejercicio de la iniciativa local para el desarrollo de actividades económicas, impulso del redimensionamiento del sector público local, gestión eficiente y sostenible de los servicios públicos, sistema retributivo responsable y homogéneo y fortalecimiento de la función interventora municipal y el control interno.</w:t>
      </w:r>
    </w:p>
    <w:p w:rsidR="00163957" w:rsidRDefault="00163957" w:rsidP="00163957">
      <w:pPr>
        <w:pStyle w:val="TextoNormal"/>
      </w:pPr>
    </w:p>
    <w:p w:rsidR="00163957" w:rsidRDefault="00163957" w:rsidP="00163957">
      <w:pPr>
        <w:pStyle w:val="TextoNormal"/>
      </w:pPr>
      <w:r>
        <w:t>En cuanto a los títulos competenciales que soportarían la reforma, el Abogado del Estado se refiere a los apartados 18, 14 y 13 del art. 149.1 CE. El primero, sobre bases del régimen local, cubriría las regulaciones destinadas a concretar la autonomía constitucionalmente garantizada (arts. 137, 140 y 141.1 CE) y los restantes aspectos del régimen jurídico básico de todos los entes locales, “sin que quepa equiparar ‘régimen local’ o ‘régimen jurídico de las Administraciones locales’ con ‘autonomía local’” porque “los imperativos constitucionales derivados del art. 137 CE, por un lado, y del art. 149.1.18 CE, por otro, no son coextensos” (SSTC 11/1999, de 11 de febrero, FJ 2; 240/2006, de 20 de julio, FJ 8). La regulación del régimen local incluida en los Estatutos autonómicos reformados a partir de 2006 debería entenderse “sin perjuicio de las relaciones que el Estado puede legítimamente establecer con todos los entes locales” (STC 31/2010, de 28 de junio, FJ 36). Las previsiones estatutarias “deben respetar en todo caso la competencia básica que al Estado corresponde en la materia” (STC 143/2013, de 11 de julio, FJ 36; se cita también la STC 103/2013, de 25 de abril). Tales previsiones interiorizarían el régimen local en cada Comunidad Autónoma en el sentido de que proporcionan guía al legislador autonómico, pero debería prevalecer la norma básica estatal, si entrara en conflicto con ellas.</w:t>
      </w:r>
    </w:p>
    <w:p w:rsidR="00163957" w:rsidRDefault="00163957" w:rsidP="00163957">
      <w:pPr>
        <w:pStyle w:val="TextoNormal"/>
      </w:pPr>
    </w:p>
    <w:p w:rsidR="00163957" w:rsidRDefault="00163957" w:rsidP="00163957">
      <w:pPr>
        <w:pStyle w:val="TextoNormal"/>
      </w:pPr>
      <w:r>
        <w:t>El art. 149.1.14 CE, sobre hacienda general, cubriría específicamente la normativa estatal sobre las instituciones comunes a las distintas haciendas, la coordinación entre las haciendas estatal y locales y garantía de la suficiencia financiera de los entes locales prevista en el art. 137 CE (STC 233/1999, de 16 de diciembre, FJ 4, y las Sentencias que allí se citan). La estrecha vinculación entre el régimen local y la hacienda local justificaría que la Ley de racionalización y sostenibilidad de la Administración local cite conjuntamente ambos títulos, tal como ha admitido la doctrina constitucional (STC 233/1999), sin perjuicio de que varias de sus disposiciones serían directamente incardinables en el art. 149.1.14 CE.</w:t>
      </w:r>
    </w:p>
    <w:p w:rsidR="00163957" w:rsidRDefault="00163957" w:rsidP="00163957">
      <w:pPr>
        <w:pStyle w:val="TextoNormal"/>
      </w:pPr>
    </w:p>
    <w:p w:rsidR="00163957" w:rsidRDefault="00163957" w:rsidP="00163957">
      <w:pPr>
        <w:pStyle w:val="TextoNormal"/>
      </w:pPr>
      <w:r>
        <w:t xml:space="preserve">La Ley 27/2013 no cita específicamente el art. 149.1.13 CE, sobre ordenación general de la economía, pero, en realidad, sería el “título fundamental” que la habilita. La reforma no desarrolla estrictamente el nuevo art. 135 CE, pero se justifica primariamente en sus principios de estabilidad presupuestaria y sostenibilidad financiera. Trata, en particular, de ajustar el régimen jurídico básico de los entes locales a la Ley Orgánica 2/2012. La estabilidad presupuestaria sería una exigencia material de supervivencia de la Unión Europea, asumida formalmente por el constituyente español, que afecta a la distribución de competencias y a </w:t>
      </w:r>
      <w:r>
        <w:lastRenderedPageBreak/>
        <w:t>los cánones de enjuiciamiento aplicables. La mencionada Ley Orgánica, antes de la reforma constitucional, habría debido apoyarse en los apartados 11, 13, 14 y 18 del art. 149.1 CE (STC 134/2011, de 20 de julio); ahora está directamente habilitada por el art. 135 CE (STC 157/2011, de 18 de octubre, y otras). Por lo mismo, la Ley 27/2013 se apoyaría ahora de modo fundamental, dado el nuevo contexto constitucional, en el art. 149.1.13 CE. Este título justificaría una mayor extensión de las bases del régimen local, teniendo en cuenta que en todo caso el concepto de bases es dinámico y, por tanto, variable en función, tanto de las apreciaciones del titular de la competencia como de las circunstancias. De las nuevas circunstancias y, en particular, de la grave crisis económica que atraviesa el euro se habría hecho eco el Tribunal Constitucional (AATC 95/2011, de 21 de junio, FJ 5; 96/2011, de 21 de junio, FJ 5; 108/2011, de 5 de julio, FJ 5; 147/2012, de 16 de julio, FJ 6; 160/2011, de 22 de noviembre, FJ 3).</w:t>
      </w:r>
    </w:p>
    <w:p w:rsidR="00163957" w:rsidRDefault="00163957" w:rsidP="00163957">
      <w:pPr>
        <w:pStyle w:val="TextoNormal"/>
      </w:pPr>
    </w:p>
    <w:p w:rsidR="00163957" w:rsidRDefault="00163957" w:rsidP="00163957">
      <w:pPr>
        <w:pStyle w:val="TextoNormal"/>
      </w:pPr>
      <w:r>
        <w:t>Los factores de estabilidad presupuestaria y sostenibilidad de las Administraciones locales serían principios rectores que funcionan ahora con la misma intensidad que la garantía de la autonomía local (arts. 137, 140, 141 CE). Tal garantía habría resultado “modalizada” por aquellos objetivos que, en consonancia con la política financiera de la Unión Europea, ha acogido el legislador constitucional; objetivos que tendrían un carácter esencial en su realización desde abajo, dentro del régimen jurídico de los entes locales (se cita el Dictamen del Consejo de Estado sobre el anteproyecto de la Ley controvertida).</w:t>
      </w:r>
    </w:p>
    <w:p w:rsidR="00163957" w:rsidRDefault="00163957" w:rsidP="00163957">
      <w:pPr>
        <w:pStyle w:val="TextoNormal"/>
      </w:pPr>
    </w:p>
    <w:p w:rsidR="00163957" w:rsidRDefault="00163957" w:rsidP="00163957">
      <w:pPr>
        <w:pStyle w:val="TextoNormal"/>
      </w:pPr>
      <w:r>
        <w:t>El Abogado del Estado sintetiza la doctrina constitucional relativa a los límites de la autonomía financiera de las Comunidades Autónomas. Esa autonomía (arts. 2 y 137 CE) es una vertiente de la autonomía política, entendida como capacidad de elaborar políticas propias. Supone la plena disponibilidad de los ingresos sin condicionamientos indebidos. No obstante, tal autonomía no se establece constitucionalmente con carácter absoluto (STC 134/2011, FJ 8). El ejercicio de las competencias autonómicas de carácter financiero debe estar presidido por las directrices de cooperación y coordinación. A su vez, el Estado está legitimado para dictar legislación de estabilidad presupuestaria limitadora de la capacidad financiera y presupuestaria de las Comunidades Autónomas. Puede establecer, no solo límites presupuestarios en materias concretas, sino también topes generales a los propios presupuestos; la sujeción de las Comunidades Autónomas al principio de estabilidad presupuestaria es constitucionalmente legítima (STC 134/2011, FFJJ 7 y 8). El Estado es garante del “equilibrio económico general” y competente para “conseguir estabilidad económica, interna y externa” (STC 62/2001, FJ 4 y otras). En relación con los planes de saneamiento y control, son legítimos “los controles que resulte necesario ejercer para garantizar el cumplimiento de las facultades emanadas de las potestades de coordinación” (STC 134/2011, FFJJ 9 a 11). No es un control indebido la autorización estatal para que las Comunidades Autónomas puedan concertar operaciones de crédito en el extranjero, para emitir deuda pública o cualquier otra apelación al crédito público [STC 134/2011, FJ 8 e)]. A la vista de esta doctrina, resultaría innegable que la Ley Orgánica 2/2012 es perfectamente compatible con la autonomía financiera de las Comunidades Autónomas.</w:t>
      </w:r>
    </w:p>
    <w:p w:rsidR="00163957" w:rsidRDefault="00163957" w:rsidP="00163957">
      <w:pPr>
        <w:pStyle w:val="TextoNormal"/>
      </w:pPr>
    </w:p>
    <w:p w:rsidR="00163957" w:rsidRDefault="00163957" w:rsidP="00163957">
      <w:pPr>
        <w:pStyle w:val="TextoNormal"/>
      </w:pPr>
      <w:r>
        <w:t>El Abogado del Estado, se refiere específicamente a las impugnaciones del recurso de inconstitucionalidad.</w:t>
      </w:r>
    </w:p>
    <w:p w:rsidR="00163957" w:rsidRDefault="00163957" w:rsidP="00163957">
      <w:pPr>
        <w:pStyle w:val="TextoNormal"/>
      </w:pPr>
    </w:p>
    <w:p w:rsidR="00163957" w:rsidRDefault="00163957" w:rsidP="00163957">
      <w:pPr>
        <w:pStyle w:val="TextoNormal"/>
      </w:pPr>
      <w:r>
        <w:t xml:space="preserve">a) Respecto de los arts. 3.2 y 24 </w:t>
      </w:r>
      <w:r w:rsidRPr="00163957">
        <w:rPr>
          <w:i/>
        </w:rPr>
        <w:t>bis</w:t>
      </w:r>
      <w:r>
        <w:t xml:space="preserve"> LBRL (procedentes de los apartados 2 y 7, respectivamente, del art. 1 de la Ley 27/2013) y la disposición transitoria cuarta de la Ley 27/2013, </w:t>
      </w:r>
      <w:r>
        <w:lastRenderedPageBreak/>
        <w:t xml:space="preserve">el Abogado del Estado cita doctrina constitucional para defender que la autonomía local (STC 214/1989) y las competencias autonómicas (STC 179/1985) no impiden una regulación básica </w:t>
      </w:r>
      <w:r w:rsidRPr="00163957">
        <w:rPr>
          <w:i/>
        </w:rPr>
        <w:t>ex</w:t>
      </w:r>
      <w:r>
        <w:t xml:space="preserve"> art. 149.1.18 CE sobre entidades locales de segundo grado, sin perjuicio de que tal regulación deba ponderar los intereses locales y tener en cuenta que la decisión concreta de creación o supresión corresponde a las Comunidades Autónomas (SSTC 121/2012, de 5 de junio, 159/2001, de 5 de julio). La Ley de racionalización y sostenibilidad de la Administración local se movería dentro de estos contornos: no supone creación ni extinción de las entidades inframunicipales; no altera su régimen competencial; establece su regulación por remisión a la que adopten las Comunidades Autónomas; conserva todas las entidades existentes (disposiciones transitorias cuarta y quinta de la Ley 27/2013), imponiendo solo una carga para la conservación de su personalidad jurídica (la remisión de las cuentas al órgano competente); aunque hurta de personalidad jurídica a las de nueva creación, no impone su desaparición, teniendo en cuenta que se trata de entidades que, según la doctrina constitucional, aun con personalidad jurídica, forman parte del municipio, que actuaría en régimen de descentralización (STC 214/1989).</w:t>
      </w:r>
    </w:p>
    <w:p w:rsidR="00163957" w:rsidRDefault="00163957" w:rsidP="00163957">
      <w:pPr>
        <w:pStyle w:val="TextoNormal"/>
      </w:pPr>
    </w:p>
    <w:p w:rsidR="00163957" w:rsidRDefault="00163957" w:rsidP="00163957">
      <w:pPr>
        <w:pStyle w:val="TextoNormal"/>
      </w:pPr>
      <w:r>
        <w:t>La disposición transitoria cuarta de la Ley 27/2013 no suprime las entidades inframunicipales existentes; impone solo una carga: la remisión de las cuentas al órgano competente. El art. 149.1.14 CE habilita esta regulación, habida cuenta de que permite al Estado disciplinar las instituciones comunes a las distintas haciendas y las medidas para su coordinación y para subvenir a su suficiencia (STC 130/2013, FJ 4). La Comunidad Autónoma puede optar por conservarla como ente desconcentrado, asimilándola a las de nueva creación conforme al régimen diseñado en el art. 2</w:t>
      </w:r>
      <w:r w:rsidRPr="00163957">
        <w:rPr>
          <w:i/>
        </w:rPr>
        <w:t>4 b</w:t>
      </w:r>
      <w:r>
        <w:t>is LBRL.</w:t>
      </w:r>
    </w:p>
    <w:p w:rsidR="00163957" w:rsidRDefault="00163957" w:rsidP="00163957">
      <w:pPr>
        <w:pStyle w:val="TextoNormal"/>
      </w:pPr>
    </w:p>
    <w:p w:rsidR="00163957" w:rsidRDefault="00163957" w:rsidP="00163957">
      <w:pPr>
        <w:pStyle w:val="TextoNormal"/>
      </w:pPr>
      <w:r>
        <w:t>b) Respecto de la impugnación de los arts. 7 y 25 LBRL (en la redacción dada por los apartados 3 y 8, respectivamente, del art. 1 de la Ley 27/2013), el Abogado del Estado razona que la Constitución incluye listados competenciales en relación con la distribución del poder entre el Estado y las Comunidades Autónomas (arts. 148 y 149 CE) sin referirse explícitamente a las competencias locales. En ausencia de una predeterminación constitucional del contenido de la autonomía local (art. 137 CE), el legislador competente dispondría de un margen de configuración, sin perjuicio de que debe garantizar a los entes locales la participación efectiva en los asuntos que les atañen (STC 121/2012, de 5 de junio, FJ 5). De acuerdo con el art. 149.1.18 CE, “corresponde al Estado optar, de entre los posibles, por un determinado modelo municipal” (STC 103/2013, FJ 5). Formarían parte de ese modelo los aspectos competenciales (STC 32/1981, FJ 1). Corresponde al legislador básico establecer los mínimos que dotan de contenido y efectividad a la garantía de la autonomía local, así como fijar los principios que deben aplicar las Comunidades Autónomas al detallar las competencias locales (STC 214/1989).</w:t>
      </w:r>
    </w:p>
    <w:p w:rsidR="00163957" w:rsidRDefault="00163957" w:rsidP="00163957">
      <w:pPr>
        <w:pStyle w:val="TextoNormal"/>
      </w:pPr>
    </w:p>
    <w:p w:rsidR="00163957" w:rsidRDefault="00163957" w:rsidP="00163957">
      <w:pPr>
        <w:pStyle w:val="TextoNormal"/>
      </w:pPr>
      <w:r>
        <w:t>La regulación estatal de las competencias locales formaría parte, no de los aspectos básicos secundarios o no expresivos de la garantía institucional de la autonomía local, sino de los enraizados en los arts. 137, 140 y 141 CE (STC 159/2001, FJ 4); ahora también, en el art. 135 CE, que no sería menos trascendente como canon de constitucionalidad. Cuando el Estado regula las competencias locales sin salirse del ámbito de lo básico, no podría haber más que competencias autonómicas de desarrollo, sin que haya que atender a otros títulos de las Comunidades Autónomas (STC 31/2010, FJ 59). Por otra parte, la Constitución no obliga a que la ley atribuya una competencia universal o general a los municipios.</w:t>
      </w:r>
    </w:p>
    <w:p w:rsidR="00163957" w:rsidRDefault="00163957" w:rsidP="00163957">
      <w:pPr>
        <w:pStyle w:val="TextoNormal"/>
      </w:pPr>
    </w:p>
    <w:p w:rsidR="00163957" w:rsidRDefault="00163957" w:rsidP="00163957">
      <w:pPr>
        <w:pStyle w:val="TextoNormal"/>
      </w:pPr>
      <w:r>
        <w:lastRenderedPageBreak/>
        <w:t>La Ley de racionalización y sostenibilidad de la Administración local habría establecido un sistema coherente con la intención, no de restringir, sino de racionalizar las competencias locales en consonancia con las exigencias que ahora impone el art. 135 CE (STC 157/2011, FJ 3). El art. 2.1 LBRL sigue reconociendo a los entes locales el derecho a intervenir en cuantos asuntos afecten directamente al círculo de sus intereses, aunque adecuando su ejercicio, no solo a los principios de descentralización y proximidad, sino también a los imperativos de eficacia y eficiencia con estricta sujeción a la normativa de estabilidad presupuestaria y sostenibilidad financiera.</w:t>
      </w:r>
    </w:p>
    <w:p w:rsidR="00163957" w:rsidRDefault="00163957" w:rsidP="00163957">
      <w:pPr>
        <w:pStyle w:val="TextoNormal"/>
      </w:pPr>
    </w:p>
    <w:p w:rsidR="00163957" w:rsidRDefault="00163957" w:rsidP="00163957">
      <w:pPr>
        <w:pStyle w:val="TextoNormal"/>
      </w:pPr>
      <w:r>
        <w:t>La Ley reguladora de las bases del régimen local distingue ahora tres tipos de competencias locales: las propias, que son las determinadas por ley (artículo 25.2), las delegadas por el Estado y las Comunidades Autónomas (artículo 27) y las demás, que son las que, diferenciadas de las anteriores, quedan sometidas al régimen del artículo 7.4. La enumeración de competencias de una u otra clase supone un abanico lo suficientemente amplio para entender respetada la garantía constitucional de la autonomía local, que es el límite a la libertad de configuración con que cuenta el legislador básico. La cuestión de si las competencias locales deben atribuirse como propias o delegadas, respetando un contenido constitucional mínimo, pertenece a la libertad de configuración del legislador básico estatal.</w:t>
      </w:r>
    </w:p>
    <w:p w:rsidR="00163957" w:rsidRDefault="00163957" w:rsidP="00163957">
      <w:pPr>
        <w:pStyle w:val="TextoNormal"/>
      </w:pPr>
    </w:p>
    <w:p w:rsidR="00163957" w:rsidRDefault="00163957" w:rsidP="00163957">
      <w:pPr>
        <w:pStyle w:val="TextoNormal"/>
      </w:pPr>
      <w:r>
        <w:t>Respecto de las competencias propias, el Abogado del Estado insiste en que el art. 25.2 LBRL (en la redacción dada por el art. 1.8 de la Ley 27/2013) garantiza que las leyes atribuyan mínimos competenciales y, con ello, que doten de contenido a la garantía constitucional de la autonomía local. El listado materias dentro de las que “en todo caso” los municipios deben disponer de competencias propias no puede interpretarse en el sentido limitador y excluyente que propone el recurso. Los apartados 3, 4 y 5 introducen condiciones legales que operan a partir de la nueva configuración que el art. 135 CE ha producido sobre la legalidad constitucional.</w:t>
      </w:r>
    </w:p>
    <w:p w:rsidR="00163957" w:rsidRDefault="00163957" w:rsidP="00163957">
      <w:pPr>
        <w:pStyle w:val="TextoNormal"/>
      </w:pPr>
    </w:p>
    <w:p w:rsidR="00163957" w:rsidRDefault="00163957" w:rsidP="00163957">
      <w:pPr>
        <w:pStyle w:val="TextoNormal"/>
      </w:pPr>
      <w:r>
        <w:t>En cuanto a las competencias delegadas, el art. 27 LBRL (en la redacción dada por el art. 1.10 de la Ley 27/2013), no habría ocupado más espacio normativo que la anterior regulación; habría simplemente ofrecido una configuración diversa de la delegación encuadrada en los apartados 18 y 14 del art. 149.1 CE. Al igual que el art. 25 (apartados 3, 4, 5), el art. 27 (en especial, sus apartados 4, 6 y 7) diseñaría un nuevo sistema de atribución de competencias municipales dentro de la garantía de la autonomía local y desde la específica perspectiva del art. 135 CE, que incluye poderes de control y dirección de la Administración delegante (apartado 4); la exigencia de la financiación correspondiente con el acto de delegación (apartado 6); y la configuración como causa de renuncia, que puede hacer valer el ente local delegado, el incumplimiento por parte de la Administración delegante de sus obligaciones financieras (apartado 7). Tales previsiones se hallarían inspiradas en los principios del art. 135 CE, que solo el legislador básico estatal podía traducir en este ámbito.</w:t>
      </w:r>
    </w:p>
    <w:p w:rsidR="00163957" w:rsidRDefault="00163957" w:rsidP="00163957">
      <w:pPr>
        <w:pStyle w:val="TextoNormal"/>
      </w:pPr>
    </w:p>
    <w:p w:rsidR="00163957" w:rsidRDefault="00163957" w:rsidP="00163957">
      <w:pPr>
        <w:pStyle w:val="TextoNormal"/>
      </w:pPr>
      <w:r>
        <w:t xml:space="preserve">Con relación a las competencias distintas de las propias y de las atribuidas por delegación, el art. 7.4 LBRL permite ampliar el ámbito de gestión de los entes locales con nuevas competencias que, habrán de ejercerse con toda autonomía. Tal ampliación se sujeta a una serie de condiciones e informes que cuentan con una justificación objetiva y razonable: que no se produzca la ejecución simultánea del mismo servicio público y que no se ponga en </w:t>
      </w:r>
      <w:r>
        <w:lastRenderedPageBreak/>
        <w:t>riesgo la sostenibilidad financiera del conjunto de la hacienda municipal. Se habría conciliado así la garantía mínima prevista en los arts. 137, 140 y 141 CE con los condicionamientos que impone el art. 135 CE.</w:t>
      </w:r>
    </w:p>
    <w:p w:rsidR="00163957" w:rsidRDefault="00163957" w:rsidP="00163957">
      <w:pPr>
        <w:pStyle w:val="TextoNormal"/>
      </w:pPr>
    </w:p>
    <w:p w:rsidR="00163957" w:rsidRDefault="00163957" w:rsidP="00163957">
      <w:pPr>
        <w:pStyle w:val="TextoNormal"/>
      </w:pPr>
      <w:r>
        <w:t>c) Respecto del art. 13 LBRL (en la redacción dada por el art. 1.5 de la Ley 27/2013), el Abogado del Estado cita doctrina constitucional (STC 103/2013) para sostener que, conforme al art. 149.1.18 CE, el Estado “debe establecer el modelo municipal común”; “puede optar, de entre los posibles”, por uno determinado; puede inclinarse por un “modelo minifundista” o por otro “basado en mayores exigencias de población o territorio”. El art. 148.1.3 CE se refiere a la “alteración de los términos municipales comprendidos en su territorio” como competencia autonómica, pero el ejercicio de tal competencia debe enmarcarse en los criterios básicos que fije el Estado, como resulta del juego combinado de los arts. 137, 140 y 149.1.18 CE (STC 214/1989). La previsión controvertida se refiere a la fusión, regulando sus efectos e incentivándola; suaviza la mayoría requerida para que los municipios la acuerden voluntariamente e incluye otras medidas de fomento (mejora del sistema de financiación local, dispensa de la prestación de nuevos servicios mínimos y preferencia en la asignación de planes de cooperación y subvenciones).</w:t>
      </w:r>
    </w:p>
    <w:p w:rsidR="00163957" w:rsidRDefault="00163957" w:rsidP="00163957">
      <w:pPr>
        <w:pStyle w:val="TextoNormal"/>
      </w:pPr>
    </w:p>
    <w:p w:rsidR="00163957" w:rsidRDefault="00163957" w:rsidP="00163957">
      <w:pPr>
        <w:pStyle w:val="TextoNormal"/>
      </w:pPr>
      <w:r>
        <w:t>Esta regulación no invadiría las competencias autonómicas. La Comunidad Autónoma no quedaría al margen del proceso de fusión. El apartado 1 del art. 13 LBRL, además de prever el dictamen preceptivo del órgano consultivo superior de la Comunidad Autónoma y el informe de la Comunidad que tenga atribuida la tutela financiera del ente local, remite expresa y terminantemente el régimen de la fusión de municipios a la legislación autonómica. El apartado 3 deja a salvo la competencia autonómica en materia de incentivos a la fusión. El apartado 5 atribuye a las Comunidades Autónomas (y a las diputaciones provinciales o entes equivalentes), la supervisión y la coordinación de los servicios resultantes de la fusión.</w:t>
      </w:r>
    </w:p>
    <w:p w:rsidR="00163957" w:rsidRDefault="00163957" w:rsidP="00163957">
      <w:pPr>
        <w:pStyle w:val="TextoNormal"/>
      </w:pPr>
    </w:p>
    <w:p w:rsidR="00163957" w:rsidRDefault="00163957" w:rsidP="00163957">
      <w:pPr>
        <w:pStyle w:val="TextoNormal"/>
      </w:pPr>
      <w:r>
        <w:t>El Estado se habría movido dentro de sus márgenes competenciales al garantizar la suficiencia financiera del municipio resultante de la fusión, regular su régimen jurídico y coordinar las haciendas de todas las entidades locales. Los incentivos a la fusión en nada afectarían al otorgamiento de subvenciones. El art. 13 LBRL no regula cerrada y anticipadamente la concesión de subvenciones; se limita a establecer un criterio de preferencia que habrá de tener en cuenta la Administración competente para regular y conceder la correspondiente ayuda. Su apartado 3 deja a salvo la competencia autonómica para establecer otras medidas de fomento de las fusiones de municipios; a su vez el apartado 4 alude a incentivos de orden financiero que se enmarcan en el art. 149.1.14 CE, dejando expresamente a salvo el procedimiento establecido por las Comunidades Autónomas.</w:t>
      </w:r>
    </w:p>
    <w:p w:rsidR="00163957" w:rsidRDefault="00163957" w:rsidP="00163957">
      <w:pPr>
        <w:pStyle w:val="TextoNormal"/>
      </w:pPr>
    </w:p>
    <w:p w:rsidR="00163957" w:rsidRDefault="00163957" w:rsidP="00163957">
      <w:pPr>
        <w:pStyle w:val="TextoNormal"/>
      </w:pPr>
      <w:r>
        <w:t xml:space="preserve">d) Respecto de los arts. 26.2, 36 [apartados 1, letras c) y g), y 2, letra a), segundo párrafo] y 116 </w:t>
      </w:r>
      <w:r w:rsidRPr="00163957">
        <w:rPr>
          <w:i/>
        </w:rPr>
        <w:t>ter</w:t>
      </w:r>
      <w:r>
        <w:t xml:space="preserve"> LBRL, el Abogado del Estado razona lo siguiente. El “coste efectivo” se calcula de modo absolutamente objetivo, cierto y seguro. En ejecución de la remisión reglamentaria incluida en la previsión impugnada, el proyecto de orden del Ministerio de Hacienda ha establecido criterios armónicos y comparables que arrojan una información fidedigna para cada uno de los servicios. Distingue los costes “directo” e “indirecto”. El primero incluye gastos corrientes de bienes y servicios, de personal y los derivados de amortización de inversiones y, en su caso, las cuotas de arrendamientos financieros. El segundo es el imputado a cada programa o grupo de programas en proporción al volumen de gasto. En casos de </w:t>
      </w:r>
      <w:r>
        <w:lastRenderedPageBreak/>
        <w:t>gestión indirecta de servicios públicos, se corresponde con la totalidad de las contraprestaciones que abona el ente local al concesionario así como las eventuales subvenciones de explotación o cobertura del precio. Si la retribución se percibe por medio de tarifas, el coste efectivo es el importe pagado por el usuario más, en su caso, las subvenciones de cobertura del precio del servicio.</w:t>
      </w:r>
    </w:p>
    <w:p w:rsidR="00163957" w:rsidRDefault="00163957" w:rsidP="00163957">
      <w:pPr>
        <w:pStyle w:val="TextoNormal"/>
      </w:pPr>
    </w:p>
    <w:p w:rsidR="00163957" w:rsidRDefault="00163957" w:rsidP="00163957">
      <w:pPr>
        <w:pStyle w:val="TextoNormal"/>
      </w:pPr>
      <w:r>
        <w:t>La finalidad de la medida sería posibilitar que los ciudadanos y los entes locales conozcan el coste que supone la prestación de cada servicio por habitante. Se trata de dotar a los electores y a los responsables públicos de información muy valiosa. A su vez, el coste efectivo es determinante de la coordinación de determinadas competencias (art. 26.2 LBRL) y del contenido de los planes provinciales de cooperación para la prestación de obras y servicios (art. 36.2 LBRL). El efecto jurídico esencial del cálculo del coste efectivo se produce de forma “relativa” y “comparada”; la posibilidad de que la diputación asuma la coordinación de la prestación de determinados servicios si el municipio no los presta a un coste efectivo inferior. Tal consecuencia se produce siempre a través de la comparación de los costes efectivos de prestación del servicio de la concreta provincia y del municipio en particular. Por tanto, se tienen en cuenta elementos que concurren en el entorno económico y geográfico de ambas entidades, lo que no genera desigualdades ni discriminaciones con entidades enclavadas en otros entornos que pueden prestar sus servicios a costes inferiores.</w:t>
      </w:r>
    </w:p>
    <w:p w:rsidR="00163957" w:rsidRDefault="00163957" w:rsidP="00163957">
      <w:pPr>
        <w:pStyle w:val="TextoNormal"/>
      </w:pPr>
    </w:p>
    <w:p w:rsidR="00163957" w:rsidRDefault="00163957" w:rsidP="00163957">
      <w:pPr>
        <w:pStyle w:val="TextoNormal"/>
      </w:pPr>
      <w:r>
        <w:t xml:space="preserve">El Abogado del Estado se refiere en fin al Dictamen 338/2014, de 22 de mayo, del Consejo de Estado, sobre la interposición de un conflicto en defensa de la autonomía local frente a la Ley 27/2013. Este órgano consultivo ha tenido la oportunidad de pronunciarse allí sobre el concepto de “coste efectivo” que ha sustituido al concepto de “coste estándar”, que había merecido consideraciones críticas en el Dictamen 567/2013, de 26 de junio, en relación con el anteproyecto de la Ley de racionalización y sostenibilidad de la Administración local. El nuevo concepto mereció la siguiente valoración: “a resultas de estas observaciones, el texto definitivo de la Ley 27/2013 ha sustituido el concepto de ‘coste estándar’ por el de ‘coste efectivo de los servicios en los artículos 26.2 y 116 </w:t>
      </w:r>
      <w:r w:rsidRPr="00163957">
        <w:rPr>
          <w:i/>
        </w:rPr>
        <w:t>ter</w:t>
      </w:r>
      <w:r>
        <w:t xml:space="preserve"> de la LBRL. La noción de ‘coste efectivo’ introducida en el texto definitivo de la Ley 27/2013 es conceptualmente más precisa que la de ‘coste estándar’ y, desde esta perspectiva, los problemas que suscitaba la falta de concreción de este último concepto ya no se manifiestan en la misma medida”.</w:t>
      </w:r>
    </w:p>
    <w:p w:rsidR="00163957" w:rsidRDefault="00163957" w:rsidP="00163957">
      <w:pPr>
        <w:pStyle w:val="TextoNormal"/>
      </w:pPr>
    </w:p>
    <w:p w:rsidR="00163957" w:rsidRDefault="00163957" w:rsidP="00163957">
      <w:pPr>
        <w:pStyle w:val="TextoNormal"/>
      </w:pPr>
      <w:r>
        <w:t>En ejercicio de su amplio margen de configuración (SSTC 240/2006, 157/2011, 121/2012 y 108/2013) y en consonancia con la honda tradición de la provincia dentro del ordenamiento español (sucintamente resumida), ha optado por revitalizarla para la consecución de fines constitucionales (eficacia, eficiencia y estabilidad presupuestaria); favorece la gestión coordinada en detrimento de la gestión municipal aislada porque ello permite aplicar economías de escala y realizar una más eficiente asignación de recursos públicos.</w:t>
      </w:r>
    </w:p>
    <w:p w:rsidR="00163957" w:rsidRDefault="00163957" w:rsidP="00163957">
      <w:pPr>
        <w:pStyle w:val="TextoNormal"/>
      </w:pPr>
    </w:p>
    <w:p w:rsidR="00163957" w:rsidRDefault="00163957" w:rsidP="00163957">
      <w:pPr>
        <w:pStyle w:val="TextoNormal"/>
      </w:pPr>
      <w:r>
        <w:t xml:space="preserve">La regulación controvertida persigue la mayor calidad de los servicios al menor costo posible mediante cuatro elementos. En primer lugar, la gestión coordinada está prevista para municipios de menos de 20.000 habitantes en el entendido de que los de mayor población disponen de una organización e ingresos que permiten la prestación eficiente de los servicios públicos. En segundo lugar, tal gestión se aplica a servicios concretos, tasados y predeterminados. Se trata de servicios que, por su configuración y naturaleza, admiten una eficaz prestación desde una perspectiva supramunicipal. La prestación coordinada de un máximo de seis servicios en modo alguno puede suponer un desapoderamiento de las competencias </w:t>
      </w:r>
      <w:r>
        <w:lastRenderedPageBreak/>
        <w:t xml:space="preserve">municipales. En tercer lugar, el criterio determinante de la aplicación de estas fórmulas de cooperación es el “coste efectivo”, como elemento objetivo, ponderable, fácilmente calculable y cierto de acuerdo con el art. 116 </w:t>
      </w:r>
      <w:r w:rsidRPr="00163957">
        <w:rPr>
          <w:i/>
        </w:rPr>
        <w:t>ter</w:t>
      </w:r>
      <w:r>
        <w:t xml:space="preserve"> LBRL. En cuarto lugar, el legislador básico ha desarrollado el principio constitucional de coordinación (art. 103.1 CE) como técnica de acomodación de competencias en un Estado complejo.</w:t>
      </w:r>
    </w:p>
    <w:p w:rsidR="00163957" w:rsidRDefault="00163957" w:rsidP="00163957">
      <w:pPr>
        <w:pStyle w:val="TextoNormal"/>
      </w:pPr>
    </w:p>
    <w:p w:rsidR="00163957" w:rsidRDefault="00163957" w:rsidP="00163957">
      <w:pPr>
        <w:pStyle w:val="TextoNormal"/>
      </w:pPr>
      <w:r>
        <w:t>En este orden de ideas, el Abogado del Estado destaca que el art. 26.2 LBRL presupone y activa la intervención de tres Administraciones territoriales. En primer lugar, hay la intervención decisiva del propio municipio. El mecanismo solo actúa con su previo consentimiento y siempre de modo reversible; el municipio puede recuperar después la gestión aislada si acredita que está supondrá un menor coste efectivo. De modo que conservaría la facultad de “adherirse” o “descolgarse” de esta forma de coordinación por lo que su autonomía en nada resultaría afectada. En segundo lugar, hay la intervención de la Administración general del Estado; su competencia en materia de hacienda general y bases del régimen local se concreta aquí en la aprobación de la propuesta de la Diputación, configurada como control de estricta legalidad que atiende exclusivamente al cumplimiento del criterio de suficiencia financiera precisado en el art. 7 de la Ley Orgánica 2/2012. Hay también el informe preceptivo de la Comunidad Autónoma que ostenta la tutela financiera.</w:t>
      </w:r>
    </w:p>
    <w:p w:rsidR="00163957" w:rsidRDefault="00163957" w:rsidP="00163957">
      <w:pPr>
        <w:pStyle w:val="TextoNormal"/>
      </w:pPr>
    </w:p>
    <w:p w:rsidR="00163957" w:rsidRDefault="00163957" w:rsidP="00163957">
      <w:pPr>
        <w:pStyle w:val="TextoNormal"/>
      </w:pPr>
      <w:r>
        <w:t>Consecuentemente, el nuevo art. 26.2 LBRL hallaría cobertura en las competencias atribuidas al Estado en materia de hacienda general y bases del régimen local (art. 149.1.14 y 18 CE) y no vulneraría la autonomía municipal (arts. 137 y 140 CE). También respetaría escrupulosamente el principio democrático. Los miembros de las diputaciones son concejales elegidos en cada uno de los municipios de la provincia de acuerdo con el número de votos obtenidos por cada partido, coalición o agrupación (arts. 204 y 205 de la Ley Orgánica 5/1985, de 19 de junio, del régimen electoral general). El carácter indirecto de esta elección no resta un ápice de legitimidad democrática como tampoco lo hace la elección indirecta del alcalde, por los concejales de la corporación.</w:t>
      </w:r>
    </w:p>
    <w:p w:rsidR="00163957" w:rsidRDefault="00163957" w:rsidP="00163957">
      <w:pPr>
        <w:pStyle w:val="TextoNormal"/>
      </w:pPr>
    </w:p>
    <w:p w:rsidR="00163957" w:rsidRDefault="00163957" w:rsidP="00163957">
      <w:pPr>
        <w:pStyle w:val="TextoNormal"/>
      </w:pPr>
      <w:r>
        <w:t>Por otra parte, el apartado 2 a) del art. 36 LBRL no sería más que la competencia de asistencia, coordinación, cooperación prestación prevista en el apartado 1. No implicaría alteración o menoscabo de las competencias municipales pues ni siquiera prevé o atribuye competencias concretas a las diputaciones; habría una simple exhortación a la inclusión (no la imposición) de fórmulas de gestión coordinada de servicios. El párrafo primero del artículo 36.2 a) únicamente instaría a la diputación a aprobar un plan anual de cooperación, esto es, un plan para el ejercicio de las facultades de coordinación que son propias de la naturaleza, función y concepción de la entidad local provincial. El párrafo segundo prevé la inclusión en el plan de fórmulas de prestación unificada o coordinada. El párrafo tercero encerraría una invitación al Estado y a las Comunidades Autónomas a tener en cuenta el coste efectivo de la prestación de los servicios y el correcto empleo de los fondos públicos en el otorgamiento de subvenciones. Ello no supondría menoscabo alguno en las competencias municipales. Desarrollaría una posibilidad racional y eficiente directamente enlazada con el art. 135 CE. A su vez, está prevista la participación del municipio en la elaboración de los planes, lo que rubricaría la ausencia de cualquier afectación en la autonomía que tiene constitucionalmente garantizada.</w:t>
      </w:r>
    </w:p>
    <w:p w:rsidR="00163957" w:rsidRDefault="00163957" w:rsidP="00163957">
      <w:pPr>
        <w:pStyle w:val="TextoNormal"/>
      </w:pPr>
    </w:p>
    <w:p w:rsidR="00163957" w:rsidRDefault="00163957" w:rsidP="00163957">
      <w:pPr>
        <w:pStyle w:val="TextoNormal"/>
      </w:pPr>
      <w:r>
        <w:t xml:space="preserve">e) El art. 57 </w:t>
      </w:r>
      <w:r w:rsidRPr="00163957">
        <w:rPr>
          <w:i/>
        </w:rPr>
        <w:t>bis</w:t>
      </w:r>
      <w:r>
        <w:t xml:space="preserve"> LBRL (introducido por el art. 1.17 de la Ley 27/2013) y la disposición adicional octava de la Ley 27/2013 no vulnerarían la reserva de ley orgánica (art. 157 CE) </w:t>
      </w:r>
      <w:r>
        <w:lastRenderedPageBreak/>
        <w:t xml:space="preserve">ni los principios de autonomía financiera, suficiencia financiera y cooperación. El Abogado del Estado, al abordar el nuevo art. 57 </w:t>
      </w:r>
      <w:r w:rsidRPr="00163957">
        <w:rPr>
          <w:i/>
        </w:rPr>
        <w:t>bis</w:t>
      </w:r>
      <w:r>
        <w:t xml:space="preserve"> LBRL, pone de relieve que hay ya una previsión del mismo tenor que no ha sido objeto de recurso de inconstitucionalidad (disposición adicional 7 segunda de la Ley general de presupuestos para 2012, citada en el art. 57 </w:t>
      </w:r>
      <w:r w:rsidRPr="00163957">
        <w:rPr>
          <w:i/>
        </w:rPr>
        <w:t>bis</w:t>
      </w:r>
      <w:r>
        <w:t xml:space="preserve"> LBRL). Respecto de la ausencia de infracción de la reserva de ley orgánica, el Abogado del Estado afirma que basta la remisión a los argumentos empleados por el Tribunal Constitucional a la hora de justificar que el Estado puede “incidir sobre la autonomía financiera de las Comunidades Autónomas sobre la base de títulos competenciales concretos que requieren la coordinación entre ellos y el art. 157 CE”.</w:t>
      </w:r>
    </w:p>
    <w:p w:rsidR="00163957" w:rsidRDefault="00163957" w:rsidP="00163957">
      <w:pPr>
        <w:pStyle w:val="TextoNormal"/>
      </w:pPr>
    </w:p>
    <w:p w:rsidR="00163957" w:rsidRDefault="00163957" w:rsidP="00163957">
      <w:pPr>
        <w:pStyle w:val="TextoNormal"/>
      </w:pPr>
      <w:r>
        <w:t xml:space="preserve">La denunciada vulneración de la autonomía financiera de las Comunidades Autónomas no se produciría porque el art. 57 </w:t>
      </w:r>
      <w:r w:rsidRPr="00163957">
        <w:rPr>
          <w:i/>
        </w:rPr>
        <w:t>bis</w:t>
      </w:r>
      <w:r>
        <w:t xml:space="preserve"> responde a un principio de voluntariedad. La Comunidad Autónoma es quien, en el marco de sus competencias, decide qué gastos quiere hacer y cómo quiere emplearlos. Ella es la que decide voluntariamente, en particular, si quiere delegar competencias a los entes locales o celebrar convenios con ellos. De modo que se respeta en todo momento la autonomía financiera entendida como libertad para fijar el destino y la orientación del gasto público. Ello no cambia por la circunstancia de que, para asegurar que los entes locales puedan cumplir los principios de estabilidad presupuestaria y suficiencia económica, la previsión impugnada prevea que los convenios que se suscriban voluntariamente deben incluir la cláusula de garantía. La retención impuesta funciona en último término como garantía de la autonomía local, sin vulnerar la de las Comunidades Autónomas, al operar sobre compromisos de gastos que éstas ya han efectuado voluntariamente. No afectaría tampoco a la suficiencia financiera porque no reduce los ingresos que corresponden a las Comunidades Autónomas con cargo a los sistemas de financiación; supone simplemente que una parte de ellos se destina al pago de obligaciones voluntariamente suscritas por las Comunidades Autónomas, pero insatisfechas en el plazo fijado en la delegación o en el convenio.</w:t>
      </w:r>
    </w:p>
    <w:p w:rsidR="00163957" w:rsidRDefault="00163957" w:rsidP="00163957">
      <w:pPr>
        <w:pStyle w:val="TextoNormal"/>
      </w:pPr>
    </w:p>
    <w:p w:rsidR="00163957" w:rsidRDefault="00163957" w:rsidP="00163957">
      <w:pPr>
        <w:pStyle w:val="TextoNormal"/>
      </w:pPr>
      <w:r>
        <w:t>La disposición adicional octava de la Ley 27/2013, prevé la figura de la retención, pero su efectividad requiere estar a lo que disponga la normativa de financiación autonómica correspondiente. Por ello tampoco vulneraría la reserva de ley orgánica ni la autonomía de las Comunidades Autónomas.</w:t>
      </w:r>
    </w:p>
    <w:p w:rsidR="00163957" w:rsidRDefault="00163957" w:rsidP="00163957">
      <w:pPr>
        <w:pStyle w:val="TextoNormal"/>
      </w:pPr>
    </w:p>
    <w:p w:rsidR="00163957" w:rsidRDefault="00163957" w:rsidP="00163957">
      <w:pPr>
        <w:pStyle w:val="TextoNormal"/>
      </w:pPr>
      <w:r>
        <w:t xml:space="preserve">f) Respecto de los arts. 75 </w:t>
      </w:r>
      <w:r w:rsidRPr="00163957">
        <w:rPr>
          <w:i/>
        </w:rPr>
        <w:t>bis</w:t>
      </w:r>
      <w:r>
        <w:t xml:space="preserve"> y 75 </w:t>
      </w:r>
      <w:r w:rsidRPr="00163957">
        <w:rPr>
          <w:i/>
        </w:rPr>
        <w:t>ter</w:t>
      </w:r>
      <w:r>
        <w:t xml:space="preserve"> LBRL (introducidos por los apartados 18 y 19, respectivamente, del art. 1 de la Ley 27/2013), se descarta la vulneración del art. 23.2 CE. Tal derecho fundamental es “de configuración legal” y “se circunscribe al cargo y a permanecer en el mismo, pero no comprende el derecho al percibo de las cantidades que puedan estar previstas en las leyes o normas aplicables” (STC 36/2014, de 27 de febrero). La previsión impugnada no ha concretado salarios de forma cerrada y absoluta. Encomienda a la Ley de presupuestos generales del Estado la fijación del límite máximo que pueden percibir los representantes locales atendiendo, entre otros criterios, a la naturaleza de la entidad local y a la tabla establecida. Será por tanto ese instrumento normativo el que determine límites máximos que, naturalmente, pueden ser reducidos o clasificados en diferentes conceptos retributivos (fijos, variables, dietas, asistencias, gastos de representación) por las Comunidades Autónomas. La Ley se habría apoyado en la competencia en materia de bases del régimen jurídico de las Administraciones públicas para introducir razonabilidad, cordura y </w:t>
      </w:r>
      <w:r>
        <w:lastRenderedPageBreak/>
        <w:t>homogeneidad en las retribuciones de los cargos representativos, especialmente en un contexto económico donde la estabilidad financiera, la sostenibilidad y la eficiencia deben guiar la actuación de los poderes públicos.</w:t>
      </w:r>
    </w:p>
    <w:p w:rsidR="00163957" w:rsidRDefault="00163957" w:rsidP="00163957">
      <w:pPr>
        <w:pStyle w:val="TextoNormal"/>
      </w:pPr>
    </w:p>
    <w:p w:rsidR="00163957" w:rsidRDefault="00163957" w:rsidP="00163957">
      <w:pPr>
        <w:pStyle w:val="TextoNormal"/>
      </w:pPr>
      <w:r>
        <w:t xml:space="preserve">El art. 75 </w:t>
      </w:r>
      <w:r w:rsidRPr="00163957">
        <w:rPr>
          <w:i/>
        </w:rPr>
        <w:t>ter</w:t>
      </w:r>
      <w:r>
        <w:t xml:space="preserve"> LBRL no implicaría una extralimitación competencial del Estado. Tampoco vulneraría el art. 23 CE ni la autonomía local constitucionalmente garantizada. Mediante criterios ciertos y seguros racionalizaría la dedicación de los miembros de las corporaciones locales, adaptándola a la verdadera extensión e intensidad de tareas que requiere el municipio y asegurando ahorros de recursos públicos que coadyuvan a la sostenibilidad y suficiencia financiera de la entidad. La disposición utiliza constantemente la expresión “no excederá”, lo que implica que las Comunidades Autónomas podrán regular el número concreto de miembros con dedicación exclusiva. La determinación del número máximo de miembros con esa dedicación no forma parte del núcleo esencial del derecho fundamental consagrado en el art. 23.1 CE, tal como resulta de la STC 30/2012, de 1 marzo. Por último, la regulación preserva la imagen institucional que la conciencia social tiene de las tareas de representación política en el municipalismo español. Nuestro mapa local se compone de municipios que en su mayoría tienen reducidas dimensiones (menos de 20.000 habitantes) y en ellos la participación ciudadana se concibe, no como profesión, sino como dedicación temporal y transitoria.</w:t>
      </w:r>
    </w:p>
    <w:p w:rsidR="00163957" w:rsidRDefault="00163957" w:rsidP="00163957">
      <w:pPr>
        <w:pStyle w:val="TextoNormal"/>
      </w:pPr>
    </w:p>
    <w:p w:rsidR="00163957" w:rsidRDefault="00163957" w:rsidP="00163957">
      <w:pPr>
        <w:pStyle w:val="TextoNormal"/>
      </w:pPr>
      <w:r>
        <w:t>g) Respecto del art. 85.2 LBRL (en la redacción dada por el art. 1.21 de la Ley 27/2013), se afirma que el Estado ha ejercido su competencia sobre régimen jurídico de las Administraciones públicas (art. 149.1.18 CE) y hacienda general (art. 149.1.14 CE) para garantizar que los entes locales elijan la forma de prestación de los servicios dentro de unos criterios de eficiencia, eficacia y sostenibilidad en el manejo de los fondos públicos; criterios que son lógicos, elementales y acordes con el art. 135 CE. En consonancia con la doctrina constitucional (STC 143/2013, de 5 de abril, FJ 7), el precepto no coartaría la libertad de organización de la entidad local, limitándose a imponer dos requisitos a la opción favorable a formas prestacionales de carácter empresarial. Uno es material (mayor eficiencia y sostenibilidad de la prestación) y trasunto de los principios de eficacia administrativa (art. 103 CE) y eficiencia (art. 7.2 de la Ley Orgánica 2/2012). El otro requisito es formal; la justificación de esa opción en una memoria. Se afirma —con cita del Dictamen 338/2014 del Consejo de Estado— que la autonomía local no puede amparar la elección de modalidades de gestión directa de los servicios públicos locales menos eficientes o sostenibles; no se advierte qué ventajas aportaría la constitución de una entidad pública empresarial o sociedad mercantil local que resultara menos eficiente que la prestación del servicio por la propia entidad.</w:t>
      </w:r>
    </w:p>
    <w:p w:rsidR="00163957" w:rsidRDefault="00163957" w:rsidP="00163957">
      <w:pPr>
        <w:pStyle w:val="TextoNormal"/>
      </w:pPr>
    </w:p>
    <w:p w:rsidR="00163957" w:rsidRDefault="00163957" w:rsidP="00163957">
      <w:pPr>
        <w:pStyle w:val="TextoNormal"/>
      </w:pPr>
      <w:r>
        <w:t xml:space="preserve">h) El art. 116 </w:t>
      </w:r>
      <w:r w:rsidRPr="00163957">
        <w:rPr>
          <w:i/>
        </w:rPr>
        <w:t>bis</w:t>
      </w:r>
      <w:r>
        <w:t xml:space="preserve"> LBRL (introducido por el art. 1.30 de la Ley 27/2013) sería un desarrollo singularizado —que atiende a la especificidad de los entes locales— del art. 21 de la de la Ley Orgánica 2/2012, que regula el contenido mínimo del plan económico-financiero de toda Administración incumplidora de los objetivos de estabilidad presupuestaria, de deuda pública o de la regla de gasto. La Ley reguladora de las bases del régimen local incluiría así el desarrollo de un precepto que admite incluso el complemento reglamentario, a tenor de la disposición final primera de la Ley Orgánica 2/2012. No incurriría por ello en vulneración de la reserva de ley orgánica prevista en el art. 135.5 CE. La reserva de ley orgánica admite un cierto grado de colaboración internormativa (STC 137/1986, de 6 de noviembre). Se trae a colación la doctrina constitucional sobre el art. 122.1 CE (SSTC 38/1982, de 22 de junio; 60/1986, de 20 de mayo; 108/1986, de 26 de julio; 56/1990, de 29 de marzo, y 224/1993, </w:t>
      </w:r>
      <w:r>
        <w:lastRenderedPageBreak/>
        <w:t>de 1 de julio). Se reserva a un texto unitario —la Ley Orgánica del Poder Judicial— la configuración de los distintos órdenes jurisdiccionales, la definición genérica de su ámbito de conocimiento litigioso, los tipos genéricos de órgano judicial y las divisiones territoriales en que se organiza el Estado a efectos judiciales. No obstante, la reserva no alcanza a la creación en concreto de órganos judiciales, la planta ni la demarcación.</w:t>
      </w:r>
    </w:p>
    <w:p w:rsidR="00163957" w:rsidRDefault="00163957" w:rsidP="00163957">
      <w:pPr>
        <w:pStyle w:val="TextoNormal"/>
      </w:pPr>
    </w:p>
    <w:p w:rsidR="00163957" w:rsidRDefault="00163957" w:rsidP="00163957">
      <w:pPr>
        <w:pStyle w:val="TextoNormal"/>
      </w:pPr>
      <w:r>
        <w:t xml:space="preserve">El apartado 1 del art. 116 </w:t>
      </w:r>
      <w:r w:rsidRPr="00163957">
        <w:rPr>
          <w:i/>
        </w:rPr>
        <w:t>bis</w:t>
      </w:r>
      <w:r>
        <w:t xml:space="preserve"> incluye una regulación más pormenorizada del plan regulado por la Ley Orgánica 2/2012 que no lesiona la autonomía local. Refiriéndose al citado Dictamen del Consejo de Estado, el Abogado del Estado razona que el contenido mínimo de los planes económico-financieros de los entes locales se explica en el contexto de una situación de incumplimiento de los objetivos de estabilidad presupuestaria, de deuda pública o de la regla de gasto. Corresponde al propio ente local incumplidor concretar las competencias que deben suprimirse que, en todo caso, no podrán ser las ejercidas como propias o por delegación [letra a)]. La gestión integrada o coordinada de los servicios obligatorios es una elemental medida de reducción de costes ante el incumplimiento de los parámetros de estabilidad presupuestaria o sostenibilidad financiera [letra b)]. Aparece enunciada con amplitud suficiente para que los entes locales puedan decidir las formas de gestión más apropiadas en cada caso. Las entidades locales siguen teniendo capacidad para determinar las fuentes y la cuantía del “incremento de ingresos” necesario para financiar los servicios obligatorios [letra c)]. También permanece intacta su capacidad de decisión para la adopción de medidas de “racionalización organizativa” [letra d)], sin perjuicio de la necesidad de contemplar la supresión de entidades de ámbito territorial inferior al municipio [letra e)] o la fusión con municipios colindantes [letra f)].</w:t>
      </w:r>
    </w:p>
    <w:p w:rsidR="00163957" w:rsidRDefault="00163957" w:rsidP="00163957">
      <w:pPr>
        <w:pStyle w:val="TextoNormal"/>
      </w:pPr>
    </w:p>
    <w:p w:rsidR="00163957" w:rsidRDefault="00163957" w:rsidP="00163957">
      <w:pPr>
        <w:pStyle w:val="TextoNormal"/>
      </w:pPr>
      <w:r>
        <w:t xml:space="preserve">El Abogado del Estado se refiere a las funciones atribuidas a la diputación provincial (o entidad equivalente) de asistencia a los entes locales y colaboración con la Administración encargada de la tutela financiera, en la elaboración y en el seguimiento de las medidas del plan económico-financiero (apartado 3 del art. 116 </w:t>
      </w:r>
      <w:r w:rsidRPr="00163957">
        <w:rPr>
          <w:i/>
        </w:rPr>
        <w:t>bis</w:t>
      </w:r>
      <w:r>
        <w:t xml:space="preserve"> LBRL). No se incumpliría la competencia de la Comunidad Autónoma para ejercer la tutela financiera (art. 23.4 de la Ley Orgánica 2/2012). La Ley reguladora de las bases del régimen local coloca a la diputación provincial en una posición de mera colaboración, que se funda en las nuevas tareas asignadas a estos entes locales (art. 36). Su colaboración en la confección y seguimiento de estos planes, que pueden implicar fusión de municipios, es imprescindible. Se afirma que tal colaboración debería producirse en todo caso, aunque no estuviera específicamente prevista en la Ley, por virtud de las funciones que corresponden a la diputación provincial con carácter general.</w:t>
      </w:r>
    </w:p>
    <w:p w:rsidR="00163957" w:rsidRDefault="00163957" w:rsidP="00163957">
      <w:pPr>
        <w:pStyle w:val="TextoNormal"/>
      </w:pPr>
    </w:p>
    <w:p w:rsidR="00163957" w:rsidRDefault="00163957" w:rsidP="00163957">
      <w:pPr>
        <w:pStyle w:val="TextoNormal"/>
      </w:pPr>
      <w:r>
        <w:t>i) Respecto de la disposición adicional decimosexta LBRL, introducida por el art. 1.38 de la Ley 27/2013, el Abogado del Estado menciona primero las SSTC 103/2013 y 161/2013, de 26 de septiembre; su doctrina reforzaría el carácter democrático de la junta de gobierno a la vez que subrayaría su configuración, no solo como órgano administrativo o ejecutor de las decisiones del pleno, sino también como titular de competencias propias.</w:t>
      </w:r>
    </w:p>
    <w:p w:rsidR="00163957" w:rsidRDefault="00163957" w:rsidP="00163957">
      <w:pPr>
        <w:pStyle w:val="TextoNormal"/>
      </w:pPr>
    </w:p>
    <w:p w:rsidR="00163957" w:rsidRDefault="00163957" w:rsidP="00163957">
      <w:pPr>
        <w:pStyle w:val="TextoNormal"/>
      </w:pPr>
      <w:r>
        <w:t xml:space="preserve">La previsión impugnada no vulneraría el principio democrático (art. 1.1 CE), al que se conectan los arts. 23 CE y la vertiente organizativa de la autonomía local. En primer lugar, la excepcionalidad es el presupuesto para que la aprobación de los instrumentos enumerados pase del pleno a la junta de gobierno local. Los términos manejados son suficientemente expresivos de que la medida sirve solo para afrontar situaciones de excepcional y urgente </w:t>
      </w:r>
      <w:r>
        <w:lastRenderedPageBreak/>
        <w:t>necesidad por motivos financieros, cuando está en riesgo la estabilidad presupuestaria y la sostenibilidad de la entidad local. La medida evitaría demoras en la necesaria y urgente aprobación de instrumentos básicos de contenido complejo y técnico que precisan una decisión rápida en el contexto de los problemas financieros. Evitaría los daños que la inacción del pleno podría causar al interés municipal así como la aplicación de medidas coactivas mucho más intensas; las previstas en la Ley Orgánica 2/2012. En segundo lugar, la junta de gobierno local es un órgano que cuenta con legitimidad democrática y su decisión podría ser censurada y dejada sin efecto por el pleno. El precepto señala claramente que debe darse cuenta al pleno de la aprobación de aquellos instrumentos. Conforme a la Ley reguladora de las bases del régimen local, la junta de gobierno local “responde políticamente ante el Pleno de su gestión de forma solidaria, sin perjuicio de la responsabilidad directa de cada uno de sus miembros por su gestión” (art. 126.3) y a este órgano corresponde “el control y fiscalización de los órganos de gobierno” [art. 22.2 a)]. No existiría duda sobre la primacía de este órgano representativo; una decisión negativa del pleno a cualquiera de estos acuerdos los dejaría sin efecto. La decisión legal sería, por tanto, necesaria, adecuada a la finalidad pretendida y proporcionada.</w:t>
      </w:r>
    </w:p>
    <w:p w:rsidR="00163957" w:rsidRDefault="00163957" w:rsidP="00163957">
      <w:pPr>
        <w:pStyle w:val="TextoNormal"/>
      </w:pPr>
    </w:p>
    <w:p w:rsidR="00163957" w:rsidRDefault="00163957" w:rsidP="00163957">
      <w:pPr>
        <w:pStyle w:val="TextoNormal"/>
      </w:pPr>
      <w:r>
        <w:t>La nueva disposición adicional decimosexta LBRL, de la misma manera que no vulnera el principio democrático, no vulneraría tampoco el art. 23.2 CE; las personas integrantes de la corporación local pueden ejercer su derecho a ser informadas y pueden también proponer la censura o censurar las decisiones adoptadas por los órganos de carácter ejecutivo. Conforme a lo establecido por el Tribunal Constitucional, las sesiones de las juntas han de ser públicas para que tanto los concejales como los ciudadanos conozcan su desarrollo. Tampoco concurriría la vulneración del principio de autonomía local. Al revés, el propósito de la norma sería coadyuvar a la solución de un grave problema financiero sin prever decisiones estatales en sustitución de las locales. A su vez, se prevé que sean órganos democráticos y representativos (el alcalde y los concejales de la junta) quienes adopten las decisiones. Que se traslade la competencia del pleno a la junta podrá ser controvertido, pero no inconstitucional.</w:t>
      </w:r>
    </w:p>
    <w:p w:rsidR="00163957" w:rsidRDefault="00163957" w:rsidP="00163957">
      <w:pPr>
        <w:pStyle w:val="TextoNormal"/>
      </w:pPr>
    </w:p>
    <w:p w:rsidR="00163957" w:rsidRDefault="00163957" w:rsidP="00163957">
      <w:pPr>
        <w:pStyle w:val="TextoNormal"/>
      </w:pPr>
      <w:r>
        <w:t>j) De acuerdo con la doctrina constitucional (STC 233/1999), el art. 213 del Real Decreto Legislativo 2/2004, en la redacción dada por el art. 2.2 de la Ley 27/2013, resultaría amparado por el art. 149.1.14 CE, tal como ha precisado el precitado Dictamen 338/2014 del Consejo de Estado; la previsión sería consecuencia, no de la caracterización de los interventores de la Administración local como funcionarios con habilitación de carácter nacional, sino de la competencia estatal sobre la hacienda general. Tal título facultaría al Estado para establecer mecanismos de fiscalización y control interno sobre los entes locales de carácter uniforme que permitan formular políticas de alcance general o adoptar medidas en relación con sus competencias. La previsión controvertida no constituiría un estricto y verdadero control sobre la Administración local, sino un mandato al gobierno para que armonice mecanismos, procedimientos y criterios de seguimiento y control de la actividad económica financiera con la razonable finalidad de que todas las entidades locales apliquen el mismo sistema de verificación y adaptación a la legalidad de su actividad financiera. La remisión reglamentaria en absoluto implicaría una relación de subordinación jerárquica entre Administraciones, sino una forma de coordinación e interacción entre sí.</w:t>
      </w:r>
    </w:p>
    <w:p w:rsidR="00163957" w:rsidRDefault="00163957" w:rsidP="00163957">
      <w:pPr>
        <w:pStyle w:val="TextoNormal"/>
      </w:pPr>
    </w:p>
    <w:p w:rsidR="00163957" w:rsidRDefault="00163957" w:rsidP="00163957">
      <w:pPr>
        <w:pStyle w:val="TextoNormal"/>
      </w:pPr>
      <w:r>
        <w:t xml:space="preserve">k) Las disposiciones adicionales undécima, decimoquinta y transitorias primera a tercera serían consecuencia de la nueva ordenación de las competencias propias de los entes locales. </w:t>
      </w:r>
      <w:r>
        <w:lastRenderedPageBreak/>
        <w:t>El legislador básico, por razones de racionalización y sostenibilidad financiera, estima que los entes locales no deben ejercer determinadas competencias. Tales disposiciones se limitan a suprimir de las competencias propias de los entes locales funciones en materias que estaban configuradas como tales en la anterior redacción del art. 25.2 LBRL. Esto no significa que el Estado haya atribuido la titularidad de estas funciones a las Comunidades Autónomas. Tales funciones (sobre servicios sociales, educación, asistencia sanitaria e inspección de sanidad) están ya estatutariamente atribuidas a las Comunidades Autónomas. Éstas están llamadas a ejercer las funciones que les corresponden, que hasta ahora la legislación básica estatal había atribuido a las entidades locales. La Ley se limita a aplicar el régimen constitucional de distribución de competencias sin innovación alguna. La alternativa de que el Estado asumiera tales competencias sí sería inconstitucional. Por otra parte, la atribución de estas funciones se halla supeditada claramente en cada caso a lo que prevean las normas de financiación autonómica y local. Ello es especialmente aplicable a la disposición adicional decimoquinta de la Ley 27/2013, que es la única que suprime funciones que siguen siendo competencias propias en el nuevo art. 25.2 LBRL. Al remitirse a normas futuras, la previsión tiene un contenido programático.</w:t>
      </w:r>
    </w:p>
    <w:p w:rsidR="00163957" w:rsidRDefault="00163957" w:rsidP="00163957">
      <w:pPr>
        <w:pStyle w:val="TextoNormal"/>
      </w:pPr>
    </w:p>
    <w:p w:rsidR="00163957" w:rsidRDefault="00163957" w:rsidP="00163957">
      <w:pPr>
        <w:pStyle w:val="TextoNormal"/>
      </w:pPr>
      <w:r>
        <w:t>Por otra parte, la disposición adicional undécima de la Ley 27/2013 no vulneraría la reserva de ley orgánica ni la autonomía financiera de las Comunidades Autónomas por las mismas razones que no lo haría el nuevo art. 5</w:t>
      </w:r>
      <w:r w:rsidRPr="00163957">
        <w:rPr>
          <w:i/>
        </w:rPr>
        <w:t>7 b</w:t>
      </w:r>
      <w:r>
        <w:t>is LBRL.</w:t>
      </w:r>
    </w:p>
    <w:p w:rsidR="00163957" w:rsidRDefault="00163957" w:rsidP="00163957">
      <w:pPr>
        <w:pStyle w:val="TextoNormal"/>
      </w:pPr>
    </w:p>
    <w:p w:rsidR="00163957" w:rsidRDefault="00163957" w:rsidP="00163957">
      <w:pPr>
        <w:pStyle w:val="TextoNormal"/>
      </w:pPr>
      <w:r>
        <w:t>l) El art. 97 del texto refundido de las disposiciones legales vigentes en materia de régimen local, aprobado por Real Decreto Legislativo 781/1986, de 18 de abril, en la redacción dada por la disposición final primera de la Ley 27/2013. Esta previsión (junto al art. 86.2 LBRL, con el que conecta) se funda en el art. 128 CE, que permite reservar al sector público servicios y recursos esenciales, como una restricción a la libertad de empresa (art. 38 CE) que es posible en el marco de una economía de mercado. Las competencias estatales en materia de bases (art. 149.1.18 CE) y coordinación de la actividad económica general (art. 149.1.13 CE) habilitarían una regulación sobre las condiciones generales en las que ha de desenvolverse la reserva de servicios públicos locales así como sobre las líneas generales del procedimiento para el efectivo establecimiento de la reserva.</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7 de junio de 2016, se señaló para deliberación y votación de la presente Sentencia el día 9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Letrada de la Junta de Andalucía, en representación del Consejo de Gobierno de la Comunidad Autónoma, interpone recurso de inconstitucionalidad contra los apartados 2, 3, 5, 7, 8, 9, 13, 17, 18, 19, 21, 30, 31, 36 y 38 del art. 1, el art. 2.2 y las disposiciones adicionales octava, undécima y decimoquinta, transitorias primera a cuarta y final primera de la Ley 27/2013, de 27 de diciembre, de racionalización y sostenibilidad de la Administración local, por vulneración de las competencias autonómicas, la autonomía financiera de las Comunidades Autónomas (art. 156 CE), la autonomía local (arts. 137, 140 y 141 CE), el principio de lealtad institucional y otros preceptos constitucionales (arts. 135.5 y 23, en conexión con arts. 1.1 y 9.2). El Abogado del Estado se opone al recurso, razonando que las previsiones impugnadas se ajustan a la Constitución.</w:t>
      </w:r>
    </w:p>
    <w:p w:rsidR="00163957" w:rsidRDefault="00163957" w:rsidP="00163957">
      <w:pPr>
        <w:pStyle w:val="TextoNormal"/>
      </w:pPr>
    </w:p>
    <w:p w:rsidR="00163957" w:rsidRDefault="00163957" w:rsidP="00163957">
      <w:pPr>
        <w:pStyle w:val="TextoNormal"/>
      </w:pPr>
      <w:r>
        <w:t>Tras la interposición del recurso de inconstitucionalidad, la Ley 18/2015, de 9 de julio, ha modificado la disposición transitoria séptima de la Ley 27/2013, que no ha sido impugnada en este proceso constitucional. En consecuencia, la reforma no ha afectado al objeto del presente recurso.</w:t>
      </w:r>
    </w:p>
    <w:p w:rsidR="00163957" w:rsidRDefault="00163957" w:rsidP="00163957">
      <w:pPr>
        <w:pStyle w:val="TextoNormal"/>
      </w:pPr>
    </w:p>
    <w:p w:rsidR="00163957" w:rsidRDefault="00163957" w:rsidP="00163957">
      <w:pPr>
        <w:pStyle w:val="TextoNormal"/>
      </w:pPr>
      <w:r w:rsidRPr="00163957">
        <w:rPr>
          <w:rStyle w:val="NumeroAFNegritaCaracter"/>
        </w:rPr>
        <w:t>2</w:t>
      </w:r>
      <w:r>
        <w:t>. La Ley 27/2013 ha sido ya objeto de la STC 41/2016, de 3 de marzo, resolutoria del recurso de inconstitucionalidad núm. 1792-2014 interpuesto por la Asamblea de Extremadura (“BOE” núm. 85, de 8 de abril de 2016). La indicada Sentencia cobra relevancia en el presente proceso bajo los siguientes puntos de vista:</w:t>
      </w:r>
    </w:p>
    <w:p w:rsidR="00163957" w:rsidRDefault="00163957" w:rsidP="00163957">
      <w:pPr>
        <w:pStyle w:val="TextoNormal"/>
      </w:pPr>
    </w:p>
    <w:p w:rsidR="00163957" w:rsidRDefault="00163957" w:rsidP="00163957">
      <w:pPr>
        <w:pStyle w:val="TextoNormal"/>
      </w:pPr>
      <w:r>
        <w:t xml:space="preserve">a) El presente recurso impugna algunas previsiones que la STC 41/2016 ha declarado ya inconstitucionales y nulas: el art. 57 </w:t>
      </w:r>
      <w:r w:rsidRPr="00163957">
        <w:rPr>
          <w:i/>
        </w:rPr>
        <w:t>bis</w:t>
      </w:r>
      <w:r>
        <w:t xml:space="preserve"> de la Ley 7/1985, de 2 de abril, reguladora de las bases del régimen local (LBRL), en la redacción dada por el art. 1.17 de la Ley 27/2013, y las disposiciones adicional undécima y transitorias primera, segunda y tercera, así como el inciso “Decreto del órgano de gobierno de” incluido en la disposición transitoria cuarta.3, todas de la Ley 27/2013. De acuerdo con la consolidada doctrina constitucional [por todas, STC 139/2011, de 14 de septiembre, FJ 3 b)], la expulsión del ordenamiento jurídico de estas previsiones determina la pérdida sobrevenida de objeto del presente recurso de inconstitucionalidad, en lo que se refiere a las impugnaciones dirigidas contra aquellas previsiones.</w:t>
      </w:r>
    </w:p>
    <w:p w:rsidR="00163957" w:rsidRDefault="00163957" w:rsidP="00163957">
      <w:pPr>
        <w:pStyle w:val="TextoNormal"/>
      </w:pPr>
    </w:p>
    <w:p w:rsidR="00163957" w:rsidRDefault="00163957" w:rsidP="00163957">
      <w:pPr>
        <w:pStyle w:val="TextoNormal"/>
      </w:pPr>
      <w:r>
        <w:t>b) Aquel recurso de inconstitucionalidad y el presente formulan reproches y suscitan controversias competenciales muy similares, en términos generales, por lo que la doctrina de la Sentencia resolutoria del primero sirve para responder a buena parte de las impugnaciones aún subsistentes del segundo. De acuerdo con una pauta no infrecuente (por ejemplo, SSTC 138/2013, de 6 de junio, FJ 1; y 28/2016, de 18 de febrero, FJ 2), cabe dar aquí por reproducidos los fundamentos jurídicos que la STC 41/2016 dedica a la presentación de la Ley 27/2013 (FFJJ 2 y 10) y al encuadramiento de la controversia competencial (FFJJ 3 y 4), así como al significado de la garantía constitucional de la autonomía local (arts. 137, 140 y 141 CE) y al alcance de las bases del régimen local (art. 149.1.18 CE), singularmente en lo relativo a la organización y las competencias locales (FFJJ 5 y 9).</w:t>
      </w:r>
    </w:p>
    <w:p w:rsidR="00163957" w:rsidRDefault="00163957" w:rsidP="00163957">
      <w:pPr>
        <w:pStyle w:val="TextoNormal"/>
      </w:pPr>
    </w:p>
    <w:p w:rsidR="00163957" w:rsidRDefault="00163957" w:rsidP="00163957">
      <w:pPr>
        <w:pStyle w:val="TextoNormal"/>
      </w:pPr>
      <w:r>
        <w:t xml:space="preserve">c) A este respecto, hay que señalar, en particular, que la STC 41/2016 desestimó impugnaciones formuladas entonces por la Asamblea de Extremadura que el presente recurso plantea en términos análogos; se refieren a los mismos preceptos y se basan en los mismos motivos. Es el caso del art. 13 LBRL (en la redacción dada por el art. 1.5 de la Ley 27/2013), sobre alteración del término municipal y fusiones de municipios, al que ambos recursos imputan la vulneración del acervo competencial autonómico; el art. 24 </w:t>
      </w:r>
      <w:r w:rsidRPr="00163957">
        <w:rPr>
          <w:i/>
        </w:rPr>
        <w:t>bis</w:t>
      </w:r>
      <w:r>
        <w:t xml:space="preserve"> LBRL (introducido por el art. 1.7 de la Ley 27/2013), sobre “entes de ámbito territorial inferior al municipio”, también recurrido en ambos casos por infracción de las competencias estatutarias de las Comunidades Autónomas; el art. 25 LBRL (en la redacción dada por el art. 1.8 de la Ley 27/2013), sobre atribución de competencias propias a los municipios, impugnado en uno y otro caso también por ese motivo y por violación de la garantía constitucional de la autonomía local (arts. 137, 140 y 141 CE); el art. 85.2 LBRL (en la redacción dada por el art. 1.21 de la Ley 27/2013), sobre formas de gestión de los servicios públicos locales, afectado por estos mismos vicios según los dos recursos de inconstitucionalidad; el art. 116 </w:t>
      </w:r>
      <w:r w:rsidRPr="00163957">
        <w:rPr>
          <w:i/>
        </w:rPr>
        <w:t>bis</w:t>
      </w:r>
      <w:r>
        <w:t xml:space="preserve"> LBRL (introducido por el art. 1.30 de la Ley 27/2013), sobre el plan económico-financiero local, recurrido en ambos casos por incumplimiento de la reserva de ley orgánica (art. 135.5 CE) </w:t>
      </w:r>
      <w:r>
        <w:lastRenderedPageBreak/>
        <w:t>e invasión de las competencias autonómicas; la disposición adicional octava de la Ley 27/2013, sobre la obligación de la Tesorería General de la Seguridad Social de comunicar al Ministerio de Hacienda y Administraciones Públicas el incumplimiento de ciertos compromisos de pago, impugnado en uno y otro caso por vulneración de la reserva de ley orgánica (art. 157.3 CE) y de la autonomía financiera de las Comunidades Autónomas; así como la disposición transitoria cuarta de la Ley 27/2013, sobre supresión de entidades locales menores ya constituidas, que ambos recursos impugnan por vulneración de las competencias autonómicas sobre régimen local.</w:t>
      </w:r>
    </w:p>
    <w:p w:rsidR="00163957" w:rsidRDefault="00163957" w:rsidP="00163957">
      <w:pPr>
        <w:pStyle w:val="TextoNormal"/>
      </w:pPr>
    </w:p>
    <w:p w:rsidR="00163957" w:rsidRDefault="00163957" w:rsidP="00163957">
      <w:pPr>
        <w:pStyle w:val="TextoNormal"/>
      </w:pPr>
      <w:r>
        <w:t xml:space="preserve">A la vista de esta coincidencia objetiva entre los dos recursos de inconstitucionalidad, de acuerdo con la doctrina constitucional (STC 172/1998, de 23 de julio, FJ 2), cabe desestimar la serie indicada de impugnaciones por remisión a la STC 41/2016, lo que nos exime de reproducirla, siquiera en extracto. Nos remitimos específicamente, por tanto, al fundamento jurídico 6 de aquella Sentencia, que desestima la impugnación del art. 13 LBRL; al fundamento jurídico 7 b), que desestima la impugnación del art. 24 </w:t>
      </w:r>
      <w:r w:rsidRPr="00163957">
        <w:rPr>
          <w:i/>
        </w:rPr>
        <w:t>bis</w:t>
      </w:r>
      <w:r>
        <w:t xml:space="preserve"> LBRL; al fundamento jurídico 12, que razona la desestimación del art. 25 LBRL; al fundamento jurídico 14, que desestima la impugnación del art. 85.2 LBRL; al fundamento jurídico 15, que desestima la impugnación del art. 116 </w:t>
      </w:r>
      <w:r w:rsidRPr="00163957">
        <w:rPr>
          <w:i/>
        </w:rPr>
        <w:t>bis</w:t>
      </w:r>
      <w:r>
        <w:t xml:space="preserve"> LBRL; al fundamento jurídico 16 d), que desestima la impugnación de la disposición adicional octava de la Ley 27/2013; y al fundamento jurídico 7 c), que desestima la impugnación de la disposición transitoria cuarta de la Ley 27/2013.</w:t>
      </w:r>
    </w:p>
    <w:p w:rsidR="00163957" w:rsidRDefault="00163957" w:rsidP="00163957">
      <w:pPr>
        <w:pStyle w:val="TextoNormal"/>
      </w:pPr>
    </w:p>
    <w:p w:rsidR="00163957" w:rsidRDefault="00163957" w:rsidP="00163957">
      <w:pPr>
        <w:pStyle w:val="TextoNormal"/>
      </w:pPr>
      <w:r>
        <w:t>Respecto del art. 7 LBRL (en la redacción dada por el art. 1.3 de la Ley 27/2013), la Junta de Andalucía impugna formalmente en este proceso todos sus apartados, pero alega únicamente con relación al apartado 4; incurriría en una extralimitación competencial (art. 149.1.18 CE) vulneradora de la garantía constitucional de la autonomía local (arts. 137, 140 y 141 CE), tal como ha quedado más ampliamente expuesto en los antecedentes de esta Sentencia. Esta impugnación también fue planteada por la Asamblea de Extremadura y desestimada en la STC 41/2016, a cuyo fundamento jurídico 12, letras a) y b), nos remitimos.</w:t>
      </w:r>
    </w:p>
    <w:p w:rsidR="00163957" w:rsidRDefault="00163957" w:rsidP="00163957">
      <w:pPr>
        <w:pStyle w:val="TextoNormal"/>
      </w:pPr>
    </w:p>
    <w:p w:rsidR="00163957" w:rsidRDefault="00163957" w:rsidP="00163957">
      <w:pPr>
        <w:pStyle w:val="TextoNormal"/>
      </w:pPr>
      <w:r>
        <w:t>La disposición adicional decimoquinta de la Ley 27/2013, relativa a la asunción por parte de las Comunidades Autónomas de competencias en materia educativa (previstas “como propias del Municipio”), también ha sido impugnada en este proceso por motivos ya examinados y desestimados en la STC 41/2016, FJ 13 e). Esta Sentencia llevó a cabo una interpretación de conformidad del precepto que puede tenerse aquí por reproducida.</w:t>
      </w:r>
    </w:p>
    <w:p w:rsidR="00163957" w:rsidRDefault="00163957" w:rsidP="00163957">
      <w:pPr>
        <w:pStyle w:val="TextoNormal"/>
      </w:pPr>
    </w:p>
    <w:p w:rsidR="00163957" w:rsidRDefault="00163957" w:rsidP="00163957">
      <w:pPr>
        <w:pStyle w:val="TextoNormal"/>
      </w:pPr>
      <w:r>
        <w:t xml:space="preserve">d) La Junta de Andalucía impugna el art. 3.2 LBRL (en la redacción dada por el art. 1.2 de la Ley 27/2013); al dejar de incluir a los entes de ámbito inframunicipal de la lista de entidades locales, habría desbordado el ámbito correspondiente a las bases del régimen local (art. 149.1.18 CE) con vulneración consecuente de las competencias autonómicas sobre organización territorial. Tal impugnación no se desarrolla autónomamente, sino en conexión con el art. 24 </w:t>
      </w:r>
      <w:r w:rsidRPr="00163957">
        <w:rPr>
          <w:i/>
        </w:rPr>
        <w:t>bis</w:t>
      </w:r>
      <w:r>
        <w:t xml:space="preserve"> LBRL, introducido por el art. 1.7 de la Ley 27/2013. La extralimitación en que incurriría la nueva redacción del art. 3.2 LBRL se produciría, justamente, porque, de acuerdo con el art. 24 </w:t>
      </w:r>
      <w:r w:rsidRPr="00163957">
        <w:rPr>
          <w:i/>
        </w:rPr>
        <w:t>bis</w:t>
      </w:r>
      <w:r>
        <w:t xml:space="preserve"> LBRL, quedan plenamente integradas en el municipio, como organizaciones sin condición de entidad local ni personalidad jurídica, todas las constituidas a partir de la entrada en vigor de la Ley que no estuvieran en proceso de creación a fecha de 1 de enero de 2013. Consecuentemente, aunque la STC 41/2016 se pronunció solo sobre el art. 24 </w:t>
      </w:r>
      <w:r w:rsidRPr="00163957">
        <w:rPr>
          <w:i/>
        </w:rPr>
        <w:t>bis</w:t>
      </w:r>
      <w:r>
        <w:t xml:space="preserve"> LBRL [FJ 7, letras a) y b)], todo lo razonado para descartar la inconstitucionalidad </w:t>
      </w:r>
      <w:r>
        <w:lastRenderedPageBreak/>
        <w:t>de este precepto es enteramente trasladable a este proceso para desestimar la impugnación formulada contra la nueva redacción del art. 3.2 LBRL.</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El resto de las impugnaciones pueden agruparse en dos bloques temáticos. El primero se refiere a cuestiones organizativas de diversa naturaleza: redimensionamiento del sector público local (disposición adicional novena LBRL, en la redacción dada por el art. 1.36 de la Ley 27/2013), controles internos de la actividad económico-financiera de los entes locales [art. 213 del texto refundido de la Ley reguladora de las haciendas locales, aprobado por Real Decreto Legislativo 2/2004, de 5 de marzo, en la redacción dada por el art. 2.2 de la Ley 27/2013], dedicación y remuneración de los miembros de las corporaciones locales (arts. 75 </w:t>
      </w:r>
      <w:r w:rsidRPr="00163957">
        <w:rPr>
          <w:i/>
        </w:rPr>
        <w:t>bis</w:t>
      </w:r>
      <w:r>
        <w:t xml:space="preserve"> y 75 </w:t>
      </w:r>
      <w:r w:rsidRPr="00163957">
        <w:rPr>
          <w:i/>
        </w:rPr>
        <w:t>ter</w:t>
      </w:r>
      <w:r>
        <w:t xml:space="preserve"> LBRL, introducidos por los apartados 18 y 19, respectivamente, del art. 1 de la Ley 27/2013), órgano competente para la aprobación del régimen de monopolio acordado por el ente local para la gestión de actividades reservadas [art. 97 del texto refundido de las disposiciones legales vigentes en materia de régimen local, aprobado por Real Decreto Legislativo 781/1986, de 18 de abril, en la redacción dada por la disposición final primera de la Ley 27/2013] y nuevas competencias de la junta de gobierno local (disposición adicional decimosexta LBRL, introducida por el art. 1.38 de la Ley 27/2013).</w:t>
      </w:r>
    </w:p>
    <w:p w:rsidR="00163957" w:rsidRDefault="00163957" w:rsidP="00163957">
      <w:pPr>
        <w:pStyle w:val="TextoNormal"/>
      </w:pPr>
    </w:p>
    <w:p w:rsidR="00163957" w:rsidRDefault="00163957" w:rsidP="00163957">
      <w:pPr>
        <w:pStyle w:val="TextoNormal"/>
      </w:pPr>
      <w:r>
        <w:t xml:space="preserve">El segundo bloque incluye buena parte de las previsiones introducidas en la LBRL por la de la Ley 27/2013 con el fin de reordenar y reforzar las competencias de las diputaciones provinciales, tanto las materiales (prestación de servicios de interés supramunicipal) como las instrumentales (coordinación, cooperación y asistencia), que tienen por destinatarios directos otros entes locales, singularmente los municipios. Se recurren preceptos relacionados con competencias, tanto del primer tipo [letra c) del art. 36.1 LBRL, en la redacción dada por el art. 1.13 de la Ley 27/2013] como del segundo [art. 26.2 LBRL, en la redacción dada por el art. 1.9 de la Ley 27/2013; apartados 1, letras c) y g), y 2 del nuevo art. 36 LBRL; art. 116 </w:t>
      </w:r>
      <w:r w:rsidRPr="00163957">
        <w:rPr>
          <w:i/>
        </w:rPr>
        <w:t>ter</w:t>
      </w:r>
      <w:r>
        <w:t xml:space="preserve"> LBRL, introducido por el art. 1.31 de la Ley 27/2013]. Abordaremos, a continuación, el examen de estas impugnaciones.</w:t>
      </w:r>
    </w:p>
    <w:p w:rsidR="00163957" w:rsidRDefault="00163957" w:rsidP="00163957">
      <w:pPr>
        <w:pStyle w:val="TextoNormal"/>
      </w:pPr>
    </w:p>
    <w:p w:rsidR="00163957" w:rsidRDefault="00163957" w:rsidP="00163957">
      <w:pPr>
        <w:pStyle w:val="TextoNormal"/>
      </w:pPr>
      <w:r w:rsidRPr="00163957">
        <w:rPr>
          <w:rStyle w:val="NumeroAFNegritaCaracter"/>
        </w:rPr>
        <w:t>4</w:t>
      </w:r>
      <w:r>
        <w:t>. Comenzando por las impugnaciones agrupadas en el primer bloque, la Junta de Andalucía recurre la disposición adicional novena LBRL, en la redacción dada por el art. 1.36 de la Ley 27/2013, sobre “redimensionamiento del sector público local”.</w:t>
      </w:r>
    </w:p>
    <w:p w:rsidR="00163957" w:rsidRDefault="00163957" w:rsidP="00163957">
      <w:pPr>
        <w:pStyle w:val="TextoNormal"/>
      </w:pPr>
    </w:p>
    <w:p w:rsidR="00163957" w:rsidRDefault="00163957" w:rsidP="00163957">
      <w:pPr>
        <w:pStyle w:val="TextoNormal"/>
      </w:pPr>
      <w:r>
        <w:t>La disposición controvertida incluye una regulación amplia y compleja que puede reducirse a dos órdenes de previsiones. Hay, por un lado, medidas coyunturales que, en resumen, obligan que, a determinada fecha, estén disueltas entidades instrumentales dependientes de Administraciones locales que han sido incapaces de corregir su situación de desequilibrio financiero; de otro modo, la supresión se produce automáticamente por ministerio de la ley (apartados 2 y 4). Por otro lado, hay normas generales destinadas a asegurar que las corporaciones locales en situación de déficit presupuestario no creen entidades instrumentales (apartados 1 y 3). Según la Junta de Andalucía, al referirse al principio de estabilidad financiera, semejantes previsiones solo podrían establecerse mediante ley orgánica. Al carecer de ese rango, la nueva disposición adicional novena LBRL vulneraría la reserva de ley establecida en el art. 135.5 CE.</w:t>
      </w:r>
    </w:p>
    <w:p w:rsidR="00163957" w:rsidRDefault="00163957" w:rsidP="00163957">
      <w:pPr>
        <w:pStyle w:val="TextoNormal"/>
      </w:pPr>
    </w:p>
    <w:p w:rsidR="00163957" w:rsidRDefault="00163957" w:rsidP="00163957">
      <w:pPr>
        <w:pStyle w:val="TextoNormal"/>
      </w:pPr>
      <w:r>
        <w:t xml:space="preserve">La disolución de entidades instrumentales se produce antes de una fecha determinada por acuerdo de la entidad local o por ministerio de la ley. Se trata, pues, de una medida coyuntural, que, en cuanto tal, queda al margen del desarrollo orgánico del principio de estabilidad </w:t>
      </w:r>
      <w:r>
        <w:lastRenderedPageBreak/>
        <w:t xml:space="preserve">presupuestaria que exige el art. 135.5 CE. A su vez, las limitaciones establecidas con carácter general a la creación de entidades instrumentales, no por estar vinculadas a las exigencias de estabilidad presupuestaria, deben necesariamente incluirse en leyes orgánicas. Este motivo de impugnación puede rechazarse a partir de lo razonado en la STC 41/2016, que se refirió al alcance de la reserva de ley orgánica establecida en el art. 135 CE, en general, y con ocasión de la impugnación del art. 116 </w:t>
      </w:r>
      <w:r w:rsidRPr="00163957">
        <w:rPr>
          <w:i/>
        </w:rPr>
        <w:t>bis</w:t>
      </w:r>
      <w:r>
        <w:t xml:space="preserve"> LBRL, en particular.</w:t>
      </w:r>
    </w:p>
    <w:p w:rsidR="00163957" w:rsidRDefault="00163957" w:rsidP="00163957">
      <w:pPr>
        <w:pStyle w:val="TextoNormal"/>
      </w:pPr>
    </w:p>
    <w:p w:rsidR="00163957" w:rsidRDefault="00163957" w:rsidP="00163957">
      <w:pPr>
        <w:pStyle w:val="TextoNormal"/>
      </w:pPr>
      <w:r>
        <w:t xml:space="preserve">La STC 41/2016, FFJJ 3 a) y 15, destacó que la estabilidad presupuestaria, al igual que la eficiencia y la eficacia, es un principio que vincula a todos los “niveles de gobierno”, que “deben adoptar medidas de ese tipo en el marco de sus competencias respectivas”. El Estado, en particular, “tiene la responsabilidad de promover la eficacia de la actuación administrativa (art. 103.1 CE), la eficiencia en el uso de los recursos públicos (art. 31.2 CE) y la estabilidad presupuestaria (art. 135 CE) del conjunto de las Administraciones públicas mediante el ejercicio de las competencias que le atribuye el art. 149 CE”, cobrando “singular relevancia las competencias de que dispone con diverso alcance respecto de las organizaciones, los procedimientos, los empleados, los bienes y las haciendas públicas”. En ejercicio de estas competencias, “el Estado puede utilizar al efecto la legislación ordinaria”; “[n]o cabe un entendimiento expansivo en cuya virtud cualesquiera medidas destinadas al ahorro en el gasto público, al manejo eficiente de los recursos públicos o a la racionalización de las estructuras administrativas queden reservadas a la ley orgánica por el solo dato de que sirvan en última instancia a fines de estabilidad presupuestaria y sostenibilidad financiera”. Sobre esta base, se consideró que el art. 116 </w:t>
      </w:r>
      <w:r w:rsidRPr="00163957">
        <w:rPr>
          <w:i/>
        </w:rPr>
        <w:t>bis</w:t>
      </w:r>
      <w:r>
        <w:t xml:space="preserve"> LBRL, aunque complemente la regulación establecida en la Ley Orgánica 2/2012, de 27 de abril, de estabilidad presupuestaria y sostenibilidad financiera (de la Ley Orgánica 2/2012), no vulnera la reserva de ley orgánica (art. 135.5 CE), al estar estrechamente vinculado al régimen local. El indicado artículo, por un lado, añadió contenidos al plan económico-financiero que deben formular los entes locales cuando incumplan los objetivos de estabilidad presupuestaria o de deuda pública o la regla de gasto y, por otro, implicó a la diputación provincial en las tareas de elaboración y seguimiento del plan. Tal razonamiento es extensible a los límites a la creación de entidades instrumentales previstos en los apartados 1 y 3 de la disposición aquí controvertida.</w:t>
      </w:r>
    </w:p>
    <w:p w:rsidR="00163957" w:rsidRDefault="00163957" w:rsidP="00163957">
      <w:pPr>
        <w:pStyle w:val="TextoNormal"/>
      </w:pPr>
    </w:p>
    <w:p w:rsidR="00163957" w:rsidRDefault="00163957" w:rsidP="00163957">
      <w:pPr>
        <w:pStyle w:val="TextoNormal"/>
      </w:pPr>
      <w:r>
        <w:t>Procede, pues, desestimar la impugnación de la disposición adicional novena LBRL, en la redacción dada por el art. 1.36 de la Ley 27/2013.</w:t>
      </w:r>
    </w:p>
    <w:p w:rsidR="00163957" w:rsidRDefault="00163957" w:rsidP="00163957">
      <w:pPr>
        <w:pStyle w:val="TextoNormal"/>
      </w:pPr>
    </w:p>
    <w:p w:rsidR="00163957" w:rsidRDefault="00163957" w:rsidP="00163957">
      <w:pPr>
        <w:pStyle w:val="TextoNormal"/>
      </w:pPr>
      <w:r w:rsidRPr="00163957">
        <w:rPr>
          <w:rStyle w:val="NumeroAFNegritaCaracter"/>
        </w:rPr>
        <w:t>5</w:t>
      </w:r>
      <w:r>
        <w:t>. La Junta de Andalucía impugna el art. 213 del Real Decreto Legislativo 2/2004, en la redacción dada por el art. 2.2 de la Ley 27/2013.</w:t>
      </w:r>
    </w:p>
    <w:p w:rsidR="00163957" w:rsidRDefault="00163957" w:rsidP="00163957">
      <w:pPr>
        <w:pStyle w:val="TextoNormal"/>
      </w:pPr>
    </w:p>
    <w:p w:rsidR="00163957" w:rsidRDefault="00163957" w:rsidP="00163957">
      <w:pPr>
        <w:pStyle w:val="TextoNormal"/>
      </w:pPr>
      <w:r>
        <w:t xml:space="preserve">a) El Real Decreto Legislativo 2/2004 contiene una regulación sobre controles de la actividad económico-financiera de los entes locales destinada a proteger la integridad de los bienes públicos y promover una gestión ajustada a los principios de legalidad, eficacia y eficiencia. Distingue, de un lado, el control “externo”, que corresponde al Tribunal de Cuentas y, en su caso, a los órganos correspondientes de las Comunidades Autónomas (art. 223); y, de otro, el control “interno”, que realiza el propio ente local y se desglosa en las siguientes modalidades: la “función interventora”, consistente en “fiscalizar todos los actos de las entidades locales y de sus organismos autónomos que den lugar al reconocimiento y liquidación de derechos y obligaciones o gastos de contenido económico, los ingresos y pagos que de aquéllos se deriven, y la recaudación, inversión y aplicación, en general, de los caudales públicos administrados, con el fin de que la gestión se ajuste a las disposiciones aplicables </w:t>
      </w:r>
      <w:r>
        <w:lastRenderedPageBreak/>
        <w:t>en cada caso” (art. 214.1); el “control financiero”, que tiene por objeto “comprobar el funcionamiento en el aspecto económico-financiero de los servicios de las entidades locales, de sus organismos autónomos y de las sociedades mercantiles de ellas dependientes” y se realiza “por procedimientos de auditoría de acuerdo con las normas de auditoría del sector público” (art. 220); y el “control de eficacia”, que tiene por objeto “la comprobación periódica del grado de cumplimiento de los objetivos, así como el análisis del coste de funcionamiento y del rendimiento de los respectivos servicios o inversiones” (art. 221).</w:t>
      </w:r>
    </w:p>
    <w:p w:rsidR="00163957" w:rsidRDefault="00163957" w:rsidP="00163957">
      <w:pPr>
        <w:pStyle w:val="TextoNormal"/>
      </w:pPr>
    </w:p>
    <w:p w:rsidR="00163957" w:rsidRDefault="00163957" w:rsidP="00163957">
      <w:pPr>
        <w:pStyle w:val="TextoNormal"/>
      </w:pPr>
      <w:r>
        <w:t>El art. 213 del Real Decreto Legislativo 2/2004, antes de su reforma, enunciaba las modalidades de control interno: “se ejercerán en las Entidades Locales con la extensión y efectos que se determina en los artículos siguientes las funciones de control interno respecto de su gestión económica, de los organismos autónomos y de las sociedades mercantiles de ellas dependientes, en sus modalidades de función interventora, función de control financiero, incluida la auditoría de cuentas de las entidades que se determinen reglamentariamente, y función de control de la eficacia”. La Ley 27/2013 mantiene esta previsión, pero añade dos nuevos párrafos: un párrafo segundo, conforme al que “[a] propuesta del Ministerio de Hacienda y Administraciones Públicas, el Gobierno establecerá las normas sobre los procedimientos de control, metodología de aplicación, criterios de actuación, derechos y deberes del personal controlador y destinatarios de los informes de control, que se deberán seguir en el desarrollo de las funciones de control indicadas en el apartado anterior”; y un párrafo tercero, según el cual “[l]os órganos interventores de las Entidades Locales remitirán con carácter anual a la Intervención General de la Administración del Estado un informe resumen de los resultados de los citados controles desarrollados en cada ejercicio, en el plazo y con el contenido que se regulen en las normas indicadas en el párrafo anterior”.</w:t>
      </w:r>
    </w:p>
    <w:p w:rsidR="00163957" w:rsidRDefault="00163957" w:rsidP="00163957">
      <w:pPr>
        <w:pStyle w:val="TextoNormal"/>
      </w:pPr>
    </w:p>
    <w:p w:rsidR="00163957" w:rsidRDefault="00163957" w:rsidP="00163957">
      <w:pPr>
        <w:pStyle w:val="TextoNormal"/>
      </w:pPr>
      <w:r>
        <w:t>Según el recurso de inconstitucionalidad, la nueva redacción del art. 213 del Real Decreto Legislativo 2/2004 habría vaciado de contenido la tutela financiera que tiene estatutariamente atribuida la Comunidad Autónoma de Andalucía (art. 60.3 del Estatuo de Autonomía para Andalucía: EAAnd), al remitir a una futura norma reglamentaria estatal los procedimientos de control en todos sus aspectos (metodología, criterios de aplicación, fases, estatuto del personal) y establecer que los órganos interventores de las entidades locales elevarán a la Intervención General de la Administración del Estado un informe-resumen de los resultados de los controles desarrollados en cada ejercicio en el plazo y con el contenido establecido en aquella norma. Vulneraría igualmente la garantía constitucional de la autonomía local (art. 137 CE).</w:t>
      </w:r>
    </w:p>
    <w:p w:rsidR="00163957" w:rsidRDefault="00163957" w:rsidP="00163957">
      <w:pPr>
        <w:pStyle w:val="TextoNormal"/>
      </w:pPr>
    </w:p>
    <w:p w:rsidR="00163957" w:rsidRDefault="00163957" w:rsidP="00163957">
      <w:pPr>
        <w:pStyle w:val="TextoNormal"/>
      </w:pPr>
      <w:r>
        <w:t xml:space="preserve">b) La “tutela financiera” atribuida a la Comunidad Autónoma de Andalucía (art. 60.3 EAAnd) ampara, no la regulación de la actividad económico-financiera de los entes locales, sino la ejecución o aplicación de esa regulación mediante, por ejemplo, autorizaciones, inspecciones o actos de fiscalización. La STC 179/1985, de 19 de diciembre, FJ 1, declaró en este sentido que la Ley 24/1983, de 21 de diciembre, de medidas urgentes de saneamiento y regulación de las haciendas locales vulneraba las atribuciones estatutarias de una Comunidad Autónoma, no por regular los extremos a los que debía extenderse la inspección financiera sobre los entes locales, sino por encomendar el ejercicio de esa tarea a un órgano estatal. Por lo mismo, aunque corresponde al Estado la regulación de los criterios de distribución de la participación de los entes locales en los tributos estatales (art. 149.1.14 CE), su aplicación (determinando las cantidades y realizando efectivamente el reparto) constituye </w:t>
      </w:r>
      <w:r>
        <w:lastRenderedPageBreak/>
        <w:t>una tarea ejecutiva de las Comunidades Autónomas (por todas, STC 171/1996, de 30 de octubre, FJ 5).</w:t>
      </w:r>
    </w:p>
    <w:p w:rsidR="00163957" w:rsidRDefault="00163957" w:rsidP="00163957">
      <w:pPr>
        <w:pStyle w:val="TextoNormal"/>
      </w:pPr>
    </w:p>
    <w:p w:rsidR="00163957" w:rsidRDefault="00163957" w:rsidP="00163957">
      <w:pPr>
        <w:pStyle w:val="TextoNormal"/>
      </w:pPr>
      <w:r>
        <w:t>La impugnación del nuevo art. 213 del Real Decreto Legislativo 2/2004 obliga a valorar si resulta compatible con aquella competencia autonómica que el Estado atribuya tareas ejecutivas relacionadas con la actividad local económico-financiera, no a las Comunidades Autónomas, sino a los propios entes locales —que son los llamados a aplicar el régimen de controles “internos” establecido en el Real Decreto Legislativo 2/2004 y en el reglamento al que se remite la previsión controvertida— y a sí mismo, esto es, a su Intervención General, que es la que recibe el “informe resumen de los resultados de los citados controles desarrollados en cada ejercicio”.</w:t>
      </w:r>
    </w:p>
    <w:p w:rsidR="00163957" w:rsidRDefault="00163957" w:rsidP="00163957">
      <w:pPr>
        <w:pStyle w:val="TextoNormal"/>
      </w:pPr>
    </w:p>
    <w:p w:rsidR="00163957" w:rsidRDefault="00163957" w:rsidP="00163957">
      <w:pPr>
        <w:pStyle w:val="TextoNormal"/>
      </w:pPr>
      <w:r>
        <w:t>Respecto a lo primero, este Tribunal ha declarado que el art. 149.1.14 CE da cobertura a regulaciones sobre “la actividad financiera de las distintas haciendas que tiendan a asegurar los principios constitucionales que, conforme a nuestra Constitución, han de regir el gasto público: legalidad (art. 133.4 CE); eficiencia y economía (art. 31.2 CE); asignación equitativa de los recursos públicos (art. 31.2 CE); subordinación de la riqueza nacional al interés general (art. 128.1 CE); estabilidad presupuestaria (art. 135 CE; STC 134/2011, de 20 de julio); y control (art. 136 CE)”. En particular, aquellas cuyo objeto “sea la protección o preservación de los recursos públicos que integran las haciendas” [SSTC 130/2013, de 4 de junio, FJ 5, y 135/2013, de 5 de junio, FJ 3 b)].</w:t>
      </w:r>
    </w:p>
    <w:p w:rsidR="00163957" w:rsidRDefault="00163957" w:rsidP="00163957">
      <w:pPr>
        <w:pStyle w:val="TextoNormal"/>
      </w:pPr>
    </w:p>
    <w:p w:rsidR="00163957" w:rsidRDefault="00163957" w:rsidP="00163957">
      <w:pPr>
        <w:pStyle w:val="TextoNormal"/>
      </w:pPr>
      <w:r>
        <w:t>Por tanto, el Estado está habilitado para configurar un régimen de controles internos de la actividad local destinado a proteger la integridad de los caudales públicos así como la legalidad, eficacia y eficiencia en su gestión. De modo que el art. 149.1.14 CE da cobertura a la previsión de que “el Gobierno establecerá las normas sobre los procedimientos de control, metodología de aplicación, criterios de actuación, derechos y deberes del personal controlador y destinatarios de los informes de control, que se deberán seguir en el desarrollo de las funciones de control indicadas en el apartado anterior” (art. 213 del Real Decreto Legislativo 2/2004, segundo párrafo).</w:t>
      </w:r>
    </w:p>
    <w:p w:rsidR="00163957" w:rsidRDefault="00163957" w:rsidP="00163957">
      <w:pPr>
        <w:pStyle w:val="TextoNormal"/>
      </w:pPr>
    </w:p>
    <w:p w:rsidR="00163957" w:rsidRDefault="00163957" w:rsidP="00163957">
      <w:pPr>
        <w:pStyle w:val="TextoNormal"/>
      </w:pPr>
      <w:r>
        <w:t>En cuanto a lo segundo, este Tribunal ha tenido ya la oportunidad de señalar que la tutela financiera autonómica puede ser compatible con la ejecución por parte del Estado de algunos concretos controles (en relación con la deuda local: STC 120/2012, de 4 de junio, FFJJ 6 a 8, citando las SSTC 56/1983 y 57/1983, ambas de 28 de junio); también con el relativo a las cuentas locales que ejerce el Tribunal de Cuentas: “la fiscalización externa de las Corporaciones Locales por el Tribunal de Cuentas derivada del art. 4.1 C) de la Ley Orgánica 2/1982 ... no supone pues, la exclusión de otros órganos fiscalizadores de la actividad económico-financiera de las Corporaciones Locales”, de manera que “no cabe entender que la Constitución y la Ley Orgánica del Tribunal de Cuentas contengan precepto alguno que reserva en exclusiva para este Tribunal la fiscalización de dicha actividad”; “la fiscalización sobre las Corporaciones Locales prevista en la mencionada Ley autonómica ... forma parte del contenido de la tutela financiera y, por consiguiente, de la competencia derivada del citado precepto estatutario. Y, en este sentido, no puede considerarse contrario a la Constitución ni al Estatuto el que la Comunidad Autónoma de Cataluña atribuya a los órganos de dicha Comunidad -la Sindicatura de Cuentas- una actividad de control sobre la actuación financiera de las Corporaciones Locales” (STC 214/1989, de 21 de diciembre, FJ 28, citando la STC 187/1988, de 17 de octubre, FFJJ 8 y 9).</w:t>
      </w:r>
    </w:p>
    <w:p w:rsidR="00163957" w:rsidRDefault="00163957" w:rsidP="00163957">
      <w:pPr>
        <w:pStyle w:val="TextoNormal"/>
      </w:pPr>
    </w:p>
    <w:p w:rsidR="00163957" w:rsidRDefault="00163957" w:rsidP="00163957">
      <w:pPr>
        <w:pStyle w:val="TextoNormal"/>
      </w:pPr>
      <w:r>
        <w:t>Consecuentemente, tampoco puede perjudicar la competencia autonómica en materia de tutela financiera de los entes locales la previsión de que “[l]os órganos interventores de las Entidades Locales remitirán con carácter anual a la Intervención General de la Administración del Estado un informe resumen de los resultados de los citados controles desarrollados en cada ejercicio” (art. 213, tercer párrafo, del Real Decreto Legislativo 2/2004).</w:t>
      </w:r>
    </w:p>
    <w:p w:rsidR="00163957" w:rsidRDefault="00163957" w:rsidP="00163957">
      <w:pPr>
        <w:pStyle w:val="TextoNormal"/>
      </w:pPr>
    </w:p>
    <w:p w:rsidR="00163957" w:rsidRDefault="00163957" w:rsidP="00163957">
      <w:pPr>
        <w:pStyle w:val="TextoNormal"/>
      </w:pPr>
      <w:r>
        <w:t>Por último, la simple obligación de remitir un informe no puede vulnerar la garantía constitucional de la autonomía local (art. 137, 140 y 141 CE), como tampoco la previsión de aquellos controles internos. Así resulta de la doctrina constitucional en relación con el control de eficacia que el art. 136 LBRL atribuye al interventor municipal. La STC 143/2013, de 11 de julio, FJ 10, declaró que ni ese control “ni la circunstancia de que ello implicaría una valoración de la gestión económico-financiera llevada a cabo por los órganos de gobierno del Ayuntamiento suscitan reparos de índole constitucional, sino todo lo contrario, pues todo ello se ajusta plenamente a los principios generales de buena gestión financiera parcialmente constitucionalizados en el art. 31.2 CE”. Por lo demás, la STC 41/2016, FJ 14, se ha apoyado en este argumento para descartar, igualmente, que la nueva redacción del art. 85.2 LBRL vulnere el art. 137 CE por prever un informe del interventor local sobre sostenibilidad financiera.</w:t>
      </w:r>
    </w:p>
    <w:p w:rsidR="00163957" w:rsidRDefault="00163957" w:rsidP="00163957">
      <w:pPr>
        <w:pStyle w:val="TextoNormal"/>
      </w:pPr>
    </w:p>
    <w:p w:rsidR="00163957" w:rsidRDefault="00163957" w:rsidP="00163957">
      <w:pPr>
        <w:pStyle w:val="TextoNormal"/>
      </w:pPr>
      <w:r>
        <w:t>Procede, pues, desestimar la impugnación del art. 213 del Real Decreto Legislativo 2/2004, en la redacción dada por el art. 2.2 de la Ley 27/2013.</w:t>
      </w:r>
    </w:p>
    <w:p w:rsidR="00163957" w:rsidRDefault="00163957" w:rsidP="00163957">
      <w:pPr>
        <w:pStyle w:val="TextoNormal"/>
      </w:pPr>
    </w:p>
    <w:p w:rsidR="00163957" w:rsidRDefault="00163957" w:rsidP="00163957">
      <w:pPr>
        <w:pStyle w:val="TextoNormal"/>
      </w:pPr>
      <w:r w:rsidRPr="00163957">
        <w:rPr>
          <w:rStyle w:val="NumeroAFNegritaCaracter"/>
        </w:rPr>
        <w:t>6</w:t>
      </w:r>
      <w:r>
        <w:t xml:space="preserve">. La Junta de Andalucía impugna los arts. 75 </w:t>
      </w:r>
      <w:r w:rsidRPr="00163957">
        <w:rPr>
          <w:i/>
        </w:rPr>
        <w:t>bis</w:t>
      </w:r>
      <w:r>
        <w:t xml:space="preserve"> y 75 </w:t>
      </w:r>
      <w:r w:rsidRPr="00163957">
        <w:rPr>
          <w:i/>
        </w:rPr>
        <w:t>ter</w:t>
      </w:r>
      <w:r>
        <w:t xml:space="preserve"> LBRL, introducidos por los apartados 18 y 19, respectivamente, del art. 1 de la Ley 27/2013, sobre dedicación y retribución de los miembros (y el personal al servicio) de las corporaciones locales.</w:t>
      </w:r>
    </w:p>
    <w:p w:rsidR="00163957" w:rsidRDefault="00163957" w:rsidP="00163957">
      <w:pPr>
        <w:pStyle w:val="TextoNormal"/>
      </w:pPr>
    </w:p>
    <w:p w:rsidR="00163957" w:rsidRDefault="00163957" w:rsidP="00163957">
      <w:pPr>
        <w:pStyle w:val="TextoNormal"/>
      </w:pPr>
      <w:r>
        <w:t>a) De acuerdo con la Ley reguladora de las bases del régimen local, los miembros de las entidades locales pueden prestar servicio con: a) dedicación “exclusiva”, lo que, en lo que ahora importa, da derecho a percibir un sueldo periódico y fijo a modo de “retribución”, así como “indemnizaciones” por los gastos efectivos ocasionados por el desempeño del cargo (art. 75, apartados 1, 3 y 4); b) dedicación “parcial”, lo que da igualmente derecho a percibir una “retribución” por el tiempo de ocupación efectiva y las “indemnizaciones” (art. 75, apartados 2, 3 y 4); y c) sin dedicación, lo que da derecho a percibir las denominadas “asistencias” por la concurrencia efectiva a las sesiones de los órganos colegiados, además de las correspondientes “indemnizaciones” (art. 75, apartados 3 y 4). Corresponde al pleno determinar el régimen de dedicación y remuneraciones aparejado a los diferentes cargos; y al presidente de la corporación, concretar los miembros que “realizarán sus funciones en régimen de dedicación exclusiva o parcial” (art. 75, apartados 2 y 5). Los presupuestos generales de la entidad local consignarán las “retribuciones, indemnizaciones y asistencias”, “dentro de los límites que se establezcan, en su caso” (art. 75.5).</w:t>
      </w:r>
    </w:p>
    <w:p w:rsidR="00163957" w:rsidRDefault="00163957" w:rsidP="00163957">
      <w:pPr>
        <w:pStyle w:val="TextoNormal"/>
      </w:pPr>
    </w:p>
    <w:p w:rsidR="00163957" w:rsidRDefault="00163957" w:rsidP="00163957">
      <w:pPr>
        <w:pStyle w:val="TextoNormal"/>
      </w:pPr>
      <w:r>
        <w:t xml:space="preserve">A través de los arts. 75 </w:t>
      </w:r>
      <w:r w:rsidRPr="00163957">
        <w:rPr>
          <w:i/>
        </w:rPr>
        <w:t>bis</w:t>
      </w:r>
      <w:r>
        <w:t xml:space="preserve"> y 75 </w:t>
      </w:r>
      <w:r w:rsidRPr="00163957">
        <w:rPr>
          <w:i/>
        </w:rPr>
        <w:t>ter</w:t>
      </w:r>
      <w:r>
        <w:t xml:space="preserve"> LBRL, introducidos por la Ley 27/2013, el Estado ha regulado límites de esta especie porque pretende “una ordenación responsable de las retribuciones del personal al servicio de las Corporaciones locales, cualquiera que sea la naturaleza jurídica de su relación con la Administración” (preámbulo de la Ley 27/2013). Atendiendo a la población del ente local, ha establecido la cuantía máxima que puede percibirse así como el número máximo de miembros que podrán disfrutar de dedicación exclusiva.</w:t>
      </w:r>
    </w:p>
    <w:p w:rsidR="00163957" w:rsidRDefault="00163957" w:rsidP="00163957">
      <w:pPr>
        <w:pStyle w:val="TextoNormal"/>
      </w:pPr>
    </w:p>
    <w:p w:rsidR="00163957" w:rsidRDefault="00163957" w:rsidP="00163957">
      <w:pPr>
        <w:pStyle w:val="TextoNormal"/>
      </w:pPr>
      <w:r>
        <w:t xml:space="preserve">Respecto de las corporaciones con población inferior a 1.000 habitantes, los indicados preceptos prevén que ninguno de sus miembros “podrá prestar servicios en régimen de dedicación exclusiva” [art. 75 </w:t>
      </w:r>
      <w:r w:rsidRPr="00163957">
        <w:rPr>
          <w:i/>
        </w:rPr>
        <w:t>ter</w:t>
      </w:r>
      <w:r>
        <w:t xml:space="preserve">, apartado 1 a)]. Como regla general, estos cargos públicos han de prestar servicio sin dedicación alguna de modo que solo “excepcionalmente” podrán hacerlo “con dedicación parcial, percibiendo sus retribuciones dentro de los límites máximos señalados al efecto en la Ley de Presupuestos Generales del Estado” (art. 75 </w:t>
      </w:r>
      <w:r w:rsidRPr="00163957">
        <w:rPr>
          <w:i/>
        </w:rPr>
        <w:t>bis</w:t>
      </w:r>
      <w:r>
        <w:t>, apartado 1, segundo párrafo). Posteriormente, la Ley 22/2013, de 23 de diciembre, de presupuestos generales del Estado (disposición adicional 90ª, introducida por el Real Decreto-ley 1/2014, de 24 de enero), ha concretado “el límite máximo total que pueden percibir los miembros de las corporaciones locales”, estableciendo, en el caso de las de menos de 1.000 habitantes, que “resultará de aplicación la siguiente escala, atendiendo a su dedicación”: dedicación parcial al 75 por 100, 30.000 €; al 50 por 100, 22.000 €; y al 25 por 100, 15.000 €.</w:t>
      </w:r>
    </w:p>
    <w:p w:rsidR="00163957" w:rsidRDefault="00163957" w:rsidP="00163957">
      <w:pPr>
        <w:pStyle w:val="TextoNormal"/>
      </w:pPr>
    </w:p>
    <w:p w:rsidR="00163957" w:rsidRDefault="00163957" w:rsidP="00163957">
      <w:pPr>
        <w:pStyle w:val="TextoNormal"/>
      </w:pPr>
      <w:r>
        <w:t xml:space="preserve">La Junta de Andalucía discute únicamente los límites que los arts. 75 </w:t>
      </w:r>
      <w:r w:rsidRPr="00163957">
        <w:rPr>
          <w:i/>
        </w:rPr>
        <w:t>bis</w:t>
      </w:r>
      <w:r>
        <w:t xml:space="preserve"> y 75 </w:t>
      </w:r>
      <w:r w:rsidRPr="00163957">
        <w:rPr>
          <w:i/>
        </w:rPr>
        <w:t>ter</w:t>
      </w:r>
      <w:r>
        <w:t xml:space="preserve"> LBRL han introducido al régimen de dedicación y retribuciones de los miembros de corporaciones locales de menos de 1.000 habitantes. Vulneraría el art. 23 CE por carecer de toda justificación, imponer limitaciones desproporcionadas y desincentivar el acceso a los cargos públicos locales por parte de los ciudadanos, al ser posible que la adquisición de tal condición no conlleve retribución alguna.</w:t>
      </w:r>
    </w:p>
    <w:p w:rsidR="00163957" w:rsidRDefault="00163957" w:rsidP="00163957">
      <w:pPr>
        <w:pStyle w:val="TextoNormal"/>
      </w:pPr>
    </w:p>
    <w:p w:rsidR="00163957" w:rsidRDefault="00163957" w:rsidP="00163957">
      <w:pPr>
        <w:pStyle w:val="TextoNormal"/>
      </w:pPr>
      <w:r>
        <w:t xml:space="preserve">b) Los arts. 75 </w:t>
      </w:r>
      <w:r w:rsidRPr="00163957">
        <w:rPr>
          <w:i/>
        </w:rPr>
        <w:t>bis</w:t>
      </w:r>
      <w:r>
        <w:t xml:space="preserve"> y 75 </w:t>
      </w:r>
      <w:r w:rsidRPr="00163957">
        <w:rPr>
          <w:i/>
        </w:rPr>
        <w:t>ter</w:t>
      </w:r>
      <w:r>
        <w:t xml:space="preserve"> LBRL introducen limitaciones al régimen de dedicación y retribución de los miembros de entes locales con población inferior a 1.000 habitantes que responden a los principios de eficiencia en los recursos públicos (art. 31.2 CE) y estabilidad presupuestaria (art. 135 CE). Parten del razonable criterio de que, a menor población, menor carga real de trabajo y menor remuneración, asegurando en todo caso ámbitos decisorios suficientemente amplios que permitan ponderar otras variables. Excluyen la “dedicación exclusiva”, pero los entes locales pueden fijar una variedad de regímenes de dedicación parcial (como ha confirmado el artículo 11.3 del Real Decreto-ley 1/2014, al distinguir modalidades según porcentajes de dedicación) y decidir el concreto alcance de las consiguientes retribuciones dentro de los topes máximos previstos. Configuran la “dedicación parcial” como excepcional, pero no predeterminan el porcentaje de cargos sin dedicación específica. Los entes locales conservan márgenes relevantes para decidir entre estos regímenes de dedicación. A su vez, los arts. 75 </w:t>
      </w:r>
      <w:r w:rsidRPr="00163957">
        <w:rPr>
          <w:i/>
        </w:rPr>
        <w:t>bis</w:t>
      </w:r>
      <w:r>
        <w:t xml:space="preserve"> y 75 </w:t>
      </w:r>
      <w:r w:rsidRPr="00163957">
        <w:rPr>
          <w:i/>
        </w:rPr>
        <w:t>ter</w:t>
      </w:r>
      <w:r>
        <w:t xml:space="preserve"> LBRL no han cerrado las cantidades que hayan de percibir los miembros locales sin dedicación específica; su específico importe dependerá de las indemnizaciones y asistencias que decida el ente local dentro del marco de límites que establezca la legislación estatal y autonómica.</w:t>
      </w:r>
    </w:p>
    <w:p w:rsidR="00163957" w:rsidRDefault="00163957" w:rsidP="00163957">
      <w:pPr>
        <w:pStyle w:val="TextoNormal"/>
      </w:pPr>
    </w:p>
    <w:p w:rsidR="00163957" w:rsidRDefault="00163957" w:rsidP="00163957">
      <w:pPr>
        <w:pStyle w:val="TextoNormal"/>
      </w:pPr>
      <w:r>
        <w:t xml:space="preserve">Consecuentemente, los preceptos controvertidos, en lo que afecta a los entes locales con menos de 1.000 habitantes, ni carecen de toda justificación ni impiden ajustar las remuneraciones a la carga que supongan las tareas concretamente realizadas por el miembro de la corporación ni producen por sí los efectos que le imputa el recurso de inconstitucionalidad. Los entes locales conservan márgenes suficientemente amplios para decidir las remuneraciones de sus miembros por lo que la Ley 27/2013 difícilmente ha podido vulnerar el derecho fundamental de participación política de los cargos públicos representativos (art. 23.2 CE). Este Tribunal ha señalado en este sentido que “una determinada modalidad retributiva como es la percepción de un sueldo fijo” no “constituye, </w:t>
      </w:r>
      <w:r w:rsidRPr="00163957">
        <w:rPr>
          <w:i/>
        </w:rPr>
        <w:t>per se</w:t>
      </w:r>
      <w:r>
        <w:t xml:space="preserve">, un derecho que forma parte </w:t>
      </w:r>
      <w:r>
        <w:lastRenderedPageBreak/>
        <w:t>del núcleo esencial del derecho fundamental a acceder en condiciones de igualdad a las funciones y cargos públicos protegido por el art. 23.2 CE”. Así lo declaró la STC 36/2014, de 27 de enero, FJ 8, al enjuiciar el régimen de dedicación y retribución de los diputados de las Cortes de Castilla-La Mancha establecido en el Reglamento de la Cámara; sustituía un sistema de dedicación exclusiva (con la consiguiente percepción de un sueldo) por otro en el que solo los cargos previamente fijados por la Mesa podrán disfrutar de esa dedicación, pasando el resto de los diputados a recibir una cantidad en concepto de indemnización por los gastos derivados de sus funciones representativas así como por la concurrencia efectiva a las sesiones de los órganos colegiados de los que formen parte.</w:t>
      </w:r>
    </w:p>
    <w:p w:rsidR="00163957" w:rsidRDefault="00163957" w:rsidP="00163957">
      <w:pPr>
        <w:pStyle w:val="TextoNormal"/>
      </w:pPr>
    </w:p>
    <w:p w:rsidR="00163957" w:rsidRDefault="00163957" w:rsidP="00163957">
      <w:pPr>
        <w:pStyle w:val="TextoNormal"/>
      </w:pPr>
      <w:r>
        <w:t xml:space="preserve">Procede, pues, desestimar la impugnación de los arts. 75 </w:t>
      </w:r>
      <w:r w:rsidRPr="00163957">
        <w:rPr>
          <w:i/>
        </w:rPr>
        <w:t>bis</w:t>
      </w:r>
      <w:r>
        <w:t xml:space="preserve"> y 75 </w:t>
      </w:r>
      <w:r w:rsidRPr="00163957">
        <w:rPr>
          <w:i/>
        </w:rPr>
        <w:t>ter</w:t>
      </w:r>
      <w:r>
        <w:t xml:space="preserve"> LBRL, introducidos por los apartados 18 y 19, respectivamente, del art. 1 de la Ley 27/2013.</w:t>
      </w:r>
    </w:p>
    <w:p w:rsidR="00163957" w:rsidRDefault="00163957" w:rsidP="00163957">
      <w:pPr>
        <w:pStyle w:val="TextoNormal"/>
      </w:pPr>
    </w:p>
    <w:p w:rsidR="00163957" w:rsidRDefault="00163957" w:rsidP="00163957">
      <w:pPr>
        <w:pStyle w:val="TextoNormal"/>
      </w:pPr>
      <w:r w:rsidRPr="00163957">
        <w:rPr>
          <w:rStyle w:val="NumeroAFNegritaCaracter"/>
        </w:rPr>
        <w:t>7</w:t>
      </w:r>
      <w:r>
        <w:t>. La Junta de Andalucía impugna el art. 97 del texto refundido de las disposiciones legales vigentes en materia de régimen local, en la redacción dada por la disposición final primera de la Ley 27/2013. Aduce exactamente las mismas razones que llevaron a la STC 41/2016 a declarar la inconstitucionalidad y nulidad de los incisos “Decreto del órgano de gobierno de” y “el Órgano de Gobierno de”, incluidos, respectivamente, en las disposiciones transitorias cuarta.3 y undécima, párrafo tercero, todos de la Ley 27/2013. La referencia a un concreto órgano autonómico —en este caso la indicación de que corresponde al Consejo de Gobierno de la Comunidad Autónoma la aprobación del régimen de monopolio acordado por el ente local para la gestión de actividades reservadas conforme al art. 86.2 LBRL— vulneraría la potestad autonómica de autoorganización.</w:t>
      </w:r>
    </w:p>
    <w:p w:rsidR="00163957" w:rsidRDefault="00163957" w:rsidP="00163957">
      <w:pPr>
        <w:pStyle w:val="TextoNormal"/>
      </w:pPr>
    </w:p>
    <w:p w:rsidR="00163957" w:rsidRDefault="00163957" w:rsidP="00163957">
      <w:pPr>
        <w:pStyle w:val="TextoNormal"/>
      </w:pPr>
      <w:r>
        <w:t xml:space="preserve">Lo razonado en los fundamentos juridicos 7 c) y 8 b) de la STC 41/2016 es enteramente trasladable a este proceso para estimar la impugnación y, en consecuencia, declarar la inconstitucionalidad y nulidad del inciso “El Consejo de Gobierno de”, incluido en el segundo párrafo, </w:t>
      </w:r>
      <w:r w:rsidRPr="00163957">
        <w:rPr>
          <w:i/>
        </w:rPr>
        <w:t>in fine</w:t>
      </w:r>
      <w:r>
        <w:t>, del art. 97 del texto refundido de la Ley de régimen local, en la redacción dada por la disposición final primera de la Ley 27/2013.</w:t>
      </w:r>
    </w:p>
    <w:p w:rsidR="00163957" w:rsidRDefault="00163957" w:rsidP="00163957">
      <w:pPr>
        <w:pStyle w:val="TextoNormal"/>
      </w:pPr>
    </w:p>
    <w:p w:rsidR="00163957" w:rsidRDefault="00163957" w:rsidP="00163957">
      <w:pPr>
        <w:pStyle w:val="TextoNormal"/>
      </w:pPr>
      <w:r w:rsidRPr="00163957">
        <w:rPr>
          <w:rStyle w:val="NumeroAFNegritaCaracter"/>
        </w:rPr>
        <w:t>8</w:t>
      </w:r>
      <w:r>
        <w:t>. La Junta de Andalucía impugna la disposición adicional decimosexta LBRL, introducida por el art. 1.38 de la Ley 27/2013, que lleva el título “mayoría requerida para la adopción de acuerdos en las Corporaciones Locales”.</w:t>
      </w:r>
    </w:p>
    <w:p w:rsidR="00163957" w:rsidRDefault="00163957" w:rsidP="00163957">
      <w:pPr>
        <w:pStyle w:val="TextoNormal"/>
      </w:pPr>
    </w:p>
    <w:p w:rsidR="00163957" w:rsidRDefault="00163957" w:rsidP="00163957">
      <w:pPr>
        <w:pStyle w:val="TextoNormal"/>
      </w:pPr>
      <w:r>
        <w:t>a) La disposición controvertida enuncia las siguientes decisiones locales: a) “[e]l presupuesto del ejercicio inmediato siguiente”; b) “[l]os planes económico-financieros, los planes de reequilibrio y los planes de ajuste a los que se refiere la” de la Ley Orgánica 2/2012; c) “[l]os planes de saneamiento de la Corporación Local o los planes de reducción de deudas”; y d) “[l]a entrada de la Corporación Local en los mecanismos extraordinarios de financiación vigentes a los que se refiere la” de la Ley Orgánica 2/2012 y, “en particular, el acceso a las medidas extraordinarias de apoyo a la liquidez previstas en el Real Decreto-ley 8/2013, de 28 de junio, de medidas urgentes contra la morosidad de las administraciones públicas y de apoyo a Entidades Locales con problemas financieros”.</w:t>
      </w:r>
    </w:p>
    <w:p w:rsidR="00163957" w:rsidRDefault="00163957" w:rsidP="00163957">
      <w:pPr>
        <w:pStyle w:val="TextoNormal"/>
      </w:pPr>
    </w:p>
    <w:p w:rsidR="00163957" w:rsidRDefault="00163957" w:rsidP="00163957">
      <w:pPr>
        <w:pStyle w:val="TextoNormal"/>
      </w:pPr>
      <w:r>
        <w:t xml:space="preserve">Estas decisiones se refieren a los ingresos y gastos que soportan la actividad de la corporación local (y de sus entes instrumentales) a corto y medio plazo. El “presupuesto general” constituye, por un lado, la “expresión cifrada” de las previsiones de ingresos y gastos en un </w:t>
      </w:r>
      <w:r>
        <w:lastRenderedPageBreak/>
        <w:t>ejercicio —que “coincidirá con el año natural”— del ente local, de sus organismos autónomos y de las sociedades mercantiles cuyo capital social le pertenece íntegramente (arts. 162 y 163 del Real Decreto Legislativo 2/2004). Por otro, los planes indicados incluyen diagnósticos económico-financieros a mayor plazo, formulan objetivos y proyectan medidas de incremento de ingresos y reducción de gastos. En unos casos, la elaboración del plan constituye un acto obligado como consecuencia del incumplimiento de la regla de gasto o los objetivos de estabilidad presupuestaria o deuda pública: plan económico-financiero (definido como plan del “año en curso y el siguiente” que permite “el cumplimiento de los objetivos o de la regla de gasto”: art. 21.1 de la Ley Orgánica 2/2012) y plan de reequilibrio (adoptado específicamente para corregir el “déficit estructural en caso de catástrofes naturales, recesión económica grave o situaciones de emergencia extraordinaria”: art. 22 en relación con art. 11.3, ambos de la Ley Orgánica 2/2012). En otros supuestos, la elaboración del plan constituye una condición para acceder a una ventaja o utilidad: la autorización (por parte del Estado o de la Comunidad Autónoma, según los casos) de operaciones de crédito a largo plazo (planes de saneamiento o reducción de deudas previstos en el Real Decreto Legislativo 2/2004) o el acceso a recursos o mecanismos extraordinarios de financiación (planes de ajuste regulados en el Real Decreto-ley 8/2013 y la Ley Orgánica 2/2012). La solicitud misma de acceso a estos recursos, previa elaboración del correspondiente plan de ajuste, es el último de los actos locales a que hace referencia la disposición controvertida.</w:t>
      </w:r>
    </w:p>
    <w:p w:rsidR="00163957" w:rsidRDefault="00163957" w:rsidP="00163957">
      <w:pPr>
        <w:pStyle w:val="TextoNormal"/>
      </w:pPr>
    </w:p>
    <w:p w:rsidR="00163957" w:rsidRDefault="00163957" w:rsidP="00163957">
      <w:pPr>
        <w:pStyle w:val="TextoNormal"/>
      </w:pPr>
      <w:r>
        <w:t>La aprobación de estos instrumentos corresponde al pleno de la corporación local según lo establecido en otras previsiones incluidas en la Ley Orgánica 2/2012 (art. 23.4), la Ley reguladora de las bases del régimen local [arts. 22.2 e), 33.2 c) y d), 112.4, 123.1 h)], el Real Decreto Legislativo 2/2004 (arts. 53.1, 168.4, 169.2) y el precitado Real Decreto-ley 8/2013 [art. 18, apartados 1 a), 2 y 3; art. 32.2]. No habiendo previsiones que impongan específicamente la mayoría cualificada, estas decisiones se adoptan por mayoría simple de los miembros presentes (arts. 47.2 y 123.2 LBRL).</w:t>
      </w:r>
    </w:p>
    <w:p w:rsidR="00163957" w:rsidRDefault="00163957" w:rsidP="00163957">
      <w:pPr>
        <w:pStyle w:val="TextoNormal"/>
      </w:pPr>
    </w:p>
    <w:p w:rsidR="00163957" w:rsidRDefault="00163957" w:rsidP="00163957">
      <w:pPr>
        <w:pStyle w:val="TextoNormal"/>
      </w:pPr>
      <w:r>
        <w:t>La disposición controvertida mantiene la regla conforme a la que el órgano competente para adoptar aquellos actos es el pleno de la corporación. Lo hace así al exigir, en todo caso, una primera votación en el pleno y establecer que sólo “excepcionalmente” será competente la junta de gobierno local. La innovación introducida consiste, pues, precisamente, en transformar una regla “absoluta” (el órgano competente es el pleno) en una regla “relativa”, esto es, en un criterio que a partir de ahora pasa a ser sólo “general”. Cumplidas determinadas condiciones formales (que la corporación cuente con junta de gobierno; que se produzca al menos una primera votación fallida en el pleno de la corporación; y, en el caso del presupuesto, que exista previamente uno prorrogado), la junta de gobierno local “tendrá la competencia” para aprobar aquellos instrumentos.</w:t>
      </w:r>
    </w:p>
    <w:p w:rsidR="00163957" w:rsidRDefault="00163957" w:rsidP="00163957">
      <w:pPr>
        <w:pStyle w:val="TextoNormal"/>
      </w:pPr>
    </w:p>
    <w:p w:rsidR="00163957" w:rsidRDefault="00163957" w:rsidP="00163957">
      <w:pPr>
        <w:pStyle w:val="TextoNormal"/>
      </w:pPr>
      <w:r>
        <w:t>La Junta de Andalucía razona en su recurso de inconstitucionalidad que la previsión controvertida, al hurtar al órgano representativo de la corporación aquellas relevantes decisiones, vulneraría el principio democrático en sí (art. 1.1 CE) y como fundamento de la autonomía local constitucionalmente garantizada (arts. 137, 140, 141.1 CE), además del art. 23.1 CE. Para resolver la impugnación, es preciso tener en cuenta, de un lado, los amplios márgenes con que cuenta el legislador para configurar el entramado institucional de los entes locales; y, de otro, el significado y alcance del principio democrático.</w:t>
      </w:r>
    </w:p>
    <w:p w:rsidR="00163957" w:rsidRDefault="00163957" w:rsidP="00163957">
      <w:pPr>
        <w:pStyle w:val="TextoNormal"/>
      </w:pPr>
    </w:p>
    <w:p w:rsidR="00163957" w:rsidRDefault="00163957" w:rsidP="00163957">
      <w:pPr>
        <w:pStyle w:val="TextoNormal"/>
      </w:pPr>
      <w:r>
        <w:lastRenderedPageBreak/>
        <w:t>b) El “constituyente no predeterminó el contenido concreto de la autonomía local, por lo que el legislador podrá ejercer en uno u otro sentido su libertad inicial de configuración” (SSTC 240/2006, de 20 de julio, FJ 8, y 103/2013, de 25 de abril, FJ 6). Estableció pocas reglas directamente relacionadas con los órganos de gobierno de los entes locales.</w:t>
      </w:r>
    </w:p>
    <w:p w:rsidR="00163957" w:rsidRDefault="00163957" w:rsidP="00163957">
      <w:pPr>
        <w:pStyle w:val="TextoNormal"/>
      </w:pPr>
    </w:p>
    <w:p w:rsidR="00163957" w:rsidRDefault="00163957" w:rsidP="00163957">
      <w:pPr>
        <w:pStyle w:val="TextoNormal"/>
      </w:pPr>
      <w:r>
        <w:t>Los municipios y provincias, en tanto que “corporaciones” (art. 142 CE) o Administraciones con carácter “representativo” (arts. 141.2 y 142 CE) dotadas de “autogobierno” (STC 19/1987, de 17 de febrero, FJ 4), deben contar, por imperativo constitucional, con un órgano colegiado y representativo. No obstante, ese órgano forma parte del ayuntamiento o diputación encargado del “gobierno y administración” (arts. 140 y 141.2 CE), a diferencia de las Cortes Generales o las Asambleas autonómicas, que, naturalmente, en modo alguno se confunden con el Gobierno y Administración del Estado o de las Comunidades Autónomas. A su vez, las normas locales carecen de rango de ley, razón por la cual la autonomía local se diferencia de la autonomía política de las Comunidades Autónomas (STC 32/1981, de 28 de julio, FJ 3). Ese órgano representativo tendrá las competencias que le atribuya la ley (ordinaria) sin posibilidad de ejercer aquellas que el legislador (también ordinario) haya conferido a otros órganos de gobierno locales, a diferencia de las Cortes Generales y las Asambleas autonómicas; la Constitución y los Estatutos de Autonomía garantizan a estas Cámaras una posición preeminente respecto del poder ejecutivo mediante reservas de ley y la habilitación para ejercer cualesquiera tareas, sin perjuicio de la doctrina constitucional sobre las leyes singulares (por todas, STC 231/2015, de 5 de noviembre, FFJJ 3 y 4). En particular, la Constitución reserva específicamente a las Cortes Generales el “examen, enmienda y aprobación” de los “Presupuestos Generales del Estado” (art. 134.1) sin incluir expresamente una regla equivalente en favor del pleno de las corporaciones locales; dicho sea sin perjuicio de que, a los efectos de aislar límites constitucionales a la actividad presupuestaria autonómica, este Tribunal ha declarado que aunque de la “literalidad del art. 134 CE” se deduce, en principio, “que las reglas en él contenidas tienen como objeto directo la regulación de una institución estatal”, pueden llegar a derivarse “reglas y principios constitucionales aplicables a todos los poderes públicos que conforman el Estado en sentido amplio” (por todas, STC 215/2014, de 18 de diciembre, FJ 10).</w:t>
      </w:r>
    </w:p>
    <w:p w:rsidR="00163957" w:rsidRDefault="00163957" w:rsidP="00163957">
      <w:pPr>
        <w:pStyle w:val="TextoNormal"/>
      </w:pPr>
    </w:p>
    <w:p w:rsidR="00163957" w:rsidRDefault="00163957" w:rsidP="00163957">
      <w:pPr>
        <w:pStyle w:val="TextoNormal"/>
      </w:pPr>
      <w:r>
        <w:t>Ahora bien, por escasa que sea la densidad normativa de la Constitución en este punto y, en consecuencia, por amplios que sean los márgenes para distribuir competencias entre los órganos de gobierno de las corporaciones locales, el legislador debe en todo caso ajustarse a la democracia (art. 1.1 CE) como principio fundamental que juega en paralelo en los tres niveles territoriales: “nuestra democracia constitucional garantiza, de manera muy amplia, la participación de los ciudadanos en la vida pública y en el destino colectivo, decidiendo éstos, periódicamente, … acerca del destino político de la comunidad nacional en todas sus esferas, general, autonómica y local” (STC 103/2008, de 11 de septiembre, FJ 2).</w:t>
      </w:r>
    </w:p>
    <w:p w:rsidR="00163957" w:rsidRDefault="00163957" w:rsidP="00163957">
      <w:pPr>
        <w:pStyle w:val="TextoNormal"/>
      </w:pPr>
    </w:p>
    <w:p w:rsidR="00163957" w:rsidRDefault="00163957" w:rsidP="00163957">
      <w:pPr>
        <w:pStyle w:val="TextoNormal"/>
      </w:pPr>
      <w:r>
        <w:t xml:space="preserve">El principio democrático es nada menos que “el fundamento de la autonomía local y por tanto es predicable de todas las entidades locales constitucionalmente garantizadas” (STC 103/2013, FJ 6). Se trata de que la “comunidad local”, a través de las corporaciones locales en que está representada, intervenga en los asuntos que le afectan, lo que debe traducirse en la atribución de competencias al ente local y en la participación de este en las tareas conferidas a otras instancias territoriales (por todas, STC 32/1981, FJ 4). El preámbulo de la Carta europea de autonomía local, ratificada por España el 15 de octubre de 1985, declara en este sentido que “las Entidades locales son uno de los principales fundamentos de un régimen </w:t>
      </w:r>
      <w:r>
        <w:lastRenderedPageBreak/>
        <w:t>democrático”; que el local es el nivel en el que “puede ser ejercido más efectivamente” el “derecho de los ciudadanos a participar en la gestión de los asuntos públicos” como derecho que “forma parte de los principios democráticos comunes a todos los Estados miembros del Consejo de Europa”; que “la defensa y el fortalecimiento de la autonomía local en los diferentes países de Europa representan una contribución esencial en la construcción de una Europa basada en los principios de democracia y descentralización del poder”; y que todo esto “supone la existencia de Entidades locales dotadas de órganos de decisión democráticamente constituidos que se benefician de una amplia autonomía en cuanto a las competencias, a las modalidades de ejercicio de estas últimas y a los medios necesarios para el cumplimiento de su misión”.</w:t>
      </w:r>
    </w:p>
    <w:p w:rsidR="00163957" w:rsidRDefault="00163957" w:rsidP="00163957">
      <w:pPr>
        <w:pStyle w:val="TextoNormal"/>
      </w:pPr>
    </w:p>
    <w:p w:rsidR="00163957" w:rsidRDefault="00163957" w:rsidP="00163957">
      <w:pPr>
        <w:pStyle w:val="TextoNormal"/>
      </w:pPr>
      <w:r>
        <w:t>Por eso, la circunstancia de que las normas locales no tengan rango legal no significa en modo alguno que su aprobación por el pleno carezca de consecuencias bajo la perspectiva del principio democrático. Sin negar el juego de la reserva de ley tributaria, este Tribunal ha precisado que “en virtud de la autonomía de los Entes locales constitucionalmente garantizada y del carácter representativo del Pleno de la Corporación municipal, es preciso que la Ley estatal atribuya a los Acuerdos dictados por éste (así, los acuerdos dimanantes del ejercicio de la potestad de ordenanza), un cierto ámbito de decisión acerca de los tributos propios del Municipio, entre los cuales se encuentran las tasas” [STC 233/1999, de 16 de diciembre, FJ 10 c)]. Por lo mismo, se impone un “criterio de flexibilidad a la hora de identificar el alcance de la reserva de ley del art. 25.1 CE en relación con las ordenanzas municipales de contenido punitivo”; “la exigencia de ley para la tipificación de infracciones y sanciones ha de ser flexible en materias donde, por estar presente el interés local, existe un amplio campo para la regulación municipal y siempre que la regulación local la apruebe el Pleno del Ayuntamiento” (STC 132/2001, FFJJ 5 y 6).</w:t>
      </w:r>
    </w:p>
    <w:p w:rsidR="00163957" w:rsidRDefault="00163957" w:rsidP="00163957">
      <w:pPr>
        <w:pStyle w:val="TextoNormal"/>
      </w:pPr>
    </w:p>
    <w:p w:rsidR="00163957" w:rsidRDefault="00163957" w:rsidP="00163957">
      <w:pPr>
        <w:pStyle w:val="TextoNormal"/>
      </w:pPr>
      <w:r>
        <w:t>La competencia estatal para regular los órganos de gobierno de los entes locales, en general, y para distribuir entre ellos las atribuciones locales, en particular, conecta también, en última instancia, con el principio democrático: “es evidente que uno de los aspectos sustanciales del modelo de autonomía local garantizado en todo el Estado atañe al funcionamiento democrático de los órganos de gobierno de las Corporaciones Locales y, dentro de él, en concreto, a lo que afecta al quorum y mayorías necesarias para la adopción de acuerdos de los órganos colegiados superiores, ya que los preceptos relativos a estas cuestiones definen precisamente un modelo de democracia local”. Partiendo de este razonamiento, la STC 33/1993, de 1 de febrero, FJ 3, declaró la competencia estatal para regular “un sistema acabado de mayorías precisas para la adopción de acuerdos por parte de las Corporaciones locales”, que incluye un elenco taxativo o cerrado de supuestos de mayoría cualificada que las Comunidades Autónomas no pueden complementar ni ampliar. Lo mismo hizo la STC 233/1999, FJ 38, vinculando la regulación básica estatal de los contenidos de los presupuestos generales del ente local al “correcto desarrollo del debate político en torno a la aprobación y ejecución de dicho Presupuesto General” así como a la “transparencia”. También la STC 103/2013, FJ 3 e), refiriéndose al “diseño básico de la organización municipal”, que ha “comprendido tradicionalmente, los órganos de gobierno y de representación directamente enraizados en el art. 140 CE: Alcalde, tenientes de Alcalde, Pleno, Comisión de gobierno”.</w:t>
      </w:r>
    </w:p>
    <w:p w:rsidR="00163957" w:rsidRDefault="00163957" w:rsidP="00163957">
      <w:pPr>
        <w:pStyle w:val="TextoNormal"/>
      </w:pPr>
    </w:p>
    <w:p w:rsidR="00163957" w:rsidRDefault="00163957" w:rsidP="00163957">
      <w:pPr>
        <w:pStyle w:val="TextoNormal"/>
      </w:pPr>
      <w:r>
        <w:t xml:space="preserve">El principio democrático (art. 1.1 CE), siendo fundamento de la autonomía local (arts. 137, 140 y 141 CE) y de la competencia estatal para regular el régimen de los órganos de </w:t>
      </w:r>
      <w:r>
        <w:lastRenderedPageBreak/>
        <w:t>gobierno de las corporaciones locales (art. 149.1.18 CE), según acabamos de razonar, debe funcionar necesariamente también como fuente de límites al ejercicio de aquella competencia estatal. De ello hay manifestaciones en la doctrina constitucional reciente.</w:t>
      </w:r>
    </w:p>
    <w:p w:rsidR="00163957" w:rsidRDefault="00163957" w:rsidP="00163957">
      <w:pPr>
        <w:pStyle w:val="TextoNormal"/>
      </w:pPr>
    </w:p>
    <w:p w:rsidR="00163957" w:rsidRDefault="00163957" w:rsidP="00163957">
      <w:pPr>
        <w:pStyle w:val="TextoNormal"/>
      </w:pPr>
      <w:r>
        <w:t>Este Tribunal ha apoyado en el principio democrático la declaración de inconstitucionalidad de la previsión básica que permitía al alcalde nombrar como miembros de la junta de gobierno a personas que no ostentan la condición de concejales: “el art. 140 CE otorga una especial legitimación democrática al gobierno municipal, tanto en su función de dirección política, como de administración, que contrasta, sin duda, con el diseño que la propia Constitución establece para el Gobierno del Estado (arts. 97 y 98 CE). Un plus de legitimidad democrática, frente a la profesionalización, que, en todo caso, debe ser respetada por el legislador básico al configurar ese modelo común de autonomía municipal” (STC 103/2013, FJ 6).</w:t>
      </w:r>
    </w:p>
    <w:p w:rsidR="00163957" w:rsidRDefault="00163957" w:rsidP="00163957">
      <w:pPr>
        <w:pStyle w:val="TextoNormal"/>
      </w:pPr>
    </w:p>
    <w:p w:rsidR="00163957" w:rsidRDefault="00163957" w:rsidP="00163957">
      <w:pPr>
        <w:pStyle w:val="TextoNormal"/>
      </w:pPr>
      <w:r>
        <w:t>Del mismo modo, el principio democrático, “en su concreta dimensión de control del ejercicio del cargo de sus representantes electos” y como “exigencia de publicidad” (“aplicable a la actividad del pleno municipal, en tanto que órgano de carácter representativo de una colectividad política territorial que somete a un procedimiento democrático decisiones, que incorporan fines políticos propios, reflejo del principio de pluralismo político y del ámbito de poder atribuido en virtud de la autonomía local garantizada en el art. 137 CE”), dio lugar a la siguiente interpretación de conformidad: “el art. 70.1, párrafo segundo, LBRL, en tanto establece que las sesiones de las juntas de Gobierno local no son públicas, es conforme con el principio democrático (art. 1.1 CE) y el derecho a la participación en los asuntos públicos (art. 23.1 CE), siempre que se interprete en el sentido de que no incluye las decisiones relativas a las atribuciones delegadas por el pleno”. Se trata de evitar que, “aprovechando el carácter preceptivo de la no publicidad de las sesiones de la junta de gobierno local y mediante la mera delegación de atribución del pleno en la junta”, quede “imposibilitado el control de la ciudadanía sobre el proceso de la toma de decisiones, que, por su importancia, legalmente están sometidas al régimen de publicidad” (STC 161/2013, de 26 de septiembre, FJ 9).</w:t>
      </w:r>
    </w:p>
    <w:p w:rsidR="00163957" w:rsidRDefault="00163957" w:rsidP="00163957">
      <w:pPr>
        <w:pStyle w:val="TextoNormal"/>
      </w:pPr>
    </w:p>
    <w:p w:rsidR="00163957" w:rsidRDefault="00163957" w:rsidP="00163957">
      <w:pPr>
        <w:pStyle w:val="TextoNormal"/>
      </w:pPr>
      <w:r>
        <w:t>Por otra parte, la ordenación de las competencias de los órganos de gobierno que llevó a cabo la Ley 57/2003, de 16 de diciembre, de medidas para la modernización del gobierno local —a la que se refieren las SSTC 103/2013, 143/2013 y 161/2013— tuvo en cuenta el principio democrático. En líneas generales, optó por un modelo de separación funcional (en general, pero especialmente respecto de los llamados “municipios de gran población”), que traslada la dirección política y las tareas administrativas al alcalde (o presidente provincial) y a su junta de gobierno. Lo relevante a nuestros efectos es que el legislador perseguía —como ahora la disposición controvertida— potenciar a la junta de gobierno local, pero fortaleció igualmente el pleno como órgano representativo que controla al anterior, monopoliza prácticamente toda la producción de normas y conserva funciones administrativas de relevancia. Una expresión singularmente clara es el mantenimiento de la prohibición de que el pleno delegue la aprobación de los presupuestos, las ordenanzas, el reglamento orgánico, los planes así como el control y fiscalización de la actividad desarrollada por el alcalde (o presidente provincial) y la junta de gobierno local (arts. 22.4, 33.4 y 123.3 LBRL).</w:t>
      </w:r>
    </w:p>
    <w:p w:rsidR="00163957" w:rsidRDefault="00163957" w:rsidP="00163957">
      <w:pPr>
        <w:pStyle w:val="TextoNormal"/>
      </w:pPr>
    </w:p>
    <w:p w:rsidR="00163957" w:rsidRDefault="00163957" w:rsidP="00163957">
      <w:pPr>
        <w:pStyle w:val="TextoNormal"/>
      </w:pPr>
      <w:r>
        <w:lastRenderedPageBreak/>
        <w:t>c) A la vista de la doctrina constitucional expuesta, para resolver la impugnación, hemos de analizar primero si los asuntos sustraídos a la competencia del pleno afectan particularmente a la comunidad local y, en todo caso, si conectan de modo especial con el principio democrático; ello permitirá determinar si, y hasta qué punto, la disposición adicional decimosexta LBRL ha impuesto sacrificios al principio democrático.</w:t>
      </w:r>
    </w:p>
    <w:p w:rsidR="00163957" w:rsidRDefault="00163957" w:rsidP="00163957">
      <w:pPr>
        <w:pStyle w:val="TextoNormal"/>
      </w:pPr>
    </w:p>
    <w:p w:rsidR="00163957" w:rsidRDefault="00163957" w:rsidP="00163957">
      <w:pPr>
        <w:pStyle w:val="TextoNormal"/>
      </w:pPr>
      <w:r>
        <w:t>Es patente que los presupuestos generales encierran decisiones muy relevantes para la vida local. No puede perderse de vista que el instituto presupuestario, junto al tributo (“</w:t>
      </w:r>
      <w:r w:rsidRPr="00163957">
        <w:rPr>
          <w:i/>
        </w:rPr>
        <w:t>no taxation without representation</w:t>
      </w:r>
      <w:r>
        <w:t>”), está en los orígenes mismos de la democracia moderna (SSTC 3/2003, de 16 de enero, FJ 3, respecto del presupuesto; 107/2015, de 28 de mayo, FJ 2, respecto del tributo). La doctrina constitucional ha hablado en este sentido de una “conexión especial entre el presupuesto y la democracia”, refiriéndose específicamente a la democracia parlamentaria (STC 3/2003, FJ 3). En el ámbito local, la idea básica de que los gastos que elija el poder ejecutivo deban contar con la aceptación de los ciudadanos viene afirmándose a lo largo de los años con igual intensidad. Más aún, la mayor proximidad de las corporaciones locales a la ciudadanía ha favorecido el desarrollo, no solo del binomio “presupuesto y consentimiento ciudadano” (atribuyendo al pleno todas las decisiones presupuestarias de la entidad local), sino, incluso, del binomio “presupuesto y participación ciudadana” (facilitando la intervención directa del vecino en la elección de los gastos que más le afectan mediante los denominados “presupuestos participativos”).</w:t>
      </w:r>
    </w:p>
    <w:p w:rsidR="00163957" w:rsidRDefault="00163957" w:rsidP="00163957">
      <w:pPr>
        <w:pStyle w:val="TextoNormal"/>
      </w:pPr>
    </w:p>
    <w:p w:rsidR="00163957" w:rsidRDefault="00163957" w:rsidP="00163957">
      <w:pPr>
        <w:pStyle w:val="TextoNormal"/>
      </w:pPr>
      <w:r>
        <w:t>Por su parte, el debate y aprobación de aquellos planes (económico-financiero, de reequilibrio, ajuste, saneamiento o reducción de deudas) conllevan la toma de decisiones muy determinantes, más incluso que el propio presupuesto de la entidad local, caracterizado por el principio de anualidad. Condicionan, posiblemente más que ninguna otra, el conjunto de sus políticas mediante diagnósticos económico-financieros, previsiones de ingresos y compromisos de gasto que pueden tener carácter plurianual (arts. 21 de la Ley Orgánica 2/2012 y 53.1 del Real Decreto Legislativo 2/2004). Suponen, pues, la asunción de importantes compromisos; compromisos cuyo incumplimiento puede acarrear la imposición de medidas que afecten gravemente a la capacidad del ente local para adoptar políticas públicas (arts. 25 y 26 de la Ley Orgánica 2/2012). A la vista de esta inequívoca relevancia para el conjunto de los vecinos, se comprende que varias disposiciones legales atribuyan la aprobación de estos planes al pleno de la corporación local. A su vez, si la obtención de recursos extraordinarios está subordinada a que el pleno apruebe aquellos planes de ajuste, se entiende que su solicitud corresponda también al pleno. No precisa mayor esfuerzo argumentar que esa solicitud es trascendental, acaso la más importante de entre las que puede adoptar una corporación local a lo largo de un ejercicio; basta constatar que las ayudas aseguran en muchos casos la financiación de servicios esenciales, cuando no la subsistencia misma de la organización local, y que, a cambio de ellas, los entes locales deben consentir potentes restricciones a su capacidad de configuración de políticas públicas (disposición adicional primera de la Ley Orgánica 2/2012 y arts. 20 a 34 del Real Decreto-ley 8/2013).</w:t>
      </w:r>
    </w:p>
    <w:p w:rsidR="00163957" w:rsidRDefault="00163957" w:rsidP="00163957">
      <w:pPr>
        <w:pStyle w:val="TextoNormal"/>
      </w:pPr>
    </w:p>
    <w:p w:rsidR="00163957" w:rsidRDefault="00163957" w:rsidP="00163957">
      <w:pPr>
        <w:pStyle w:val="TextoNormal"/>
      </w:pPr>
      <w:r>
        <w:t xml:space="preserve">Por lo demás, la novedad histórica en el mundo local es la configuración del alcalde (o presidente provincial) y la junta de gobierno como órganos de marcado carácter “ejecutivo” con funciones propias de dirección política y gestión administrativa; lo que nunca se ha puesto en cuestión (ni en España ni en el Derecho local del entorno europeo) es el monopolio prácticamente total por parte del órgano de carácter representativo de la programación presupuestaria, las normas, los planes y las decisiones administrativas más relevantes de la </w:t>
      </w:r>
      <w:r>
        <w:lastRenderedPageBreak/>
        <w:t>corporación. Así lo ha señalado este Tribunal cuando, al hilo del examen de la Ley 57/2003, ha destacado como novedoso el “carácter ejecutivo” atribuido ahora a la junta de gobierno local, en general (“ya que no se integra de conformidad a los principios de representatividad y proporcionalidad del pleno, sino por el alcalde y una serie de concejales nombrados y separados libremente por el alcalde”, STC 161/2013, FJ 9) y en los denominados “municipios de gran población”, en particular [ya que “ha asumido la mayoría de las competencias de ejecución que antes correspondían al Pleno”, STC 103/2013, FJ 5 h)].</w:t>
      </w:r>
    </w:p>
    <w:p w:rsidR="00163957" w:rsidRDefault="00163957" w:rsidP="00163957">
      <w:pPr>
        <w:pStyle w:val="TextoNormal"/>
      </w:pPr>
    </w:p>
    <w:p w:rsidR="00163957" w:rsidRDefault="00163957" w:rsidP="00163957">
      <w:pPr>
        <w:pStyle w:val="TextoNormal"/>
      </w:pPr>
      <w:r>
        <w:t>Consecuentemente, al hurtar al pleno —como órgano constitucionalmente necesario de los ayuntamientos y diputaciones— de tareas sumamente trascendentes, dotadas de aquella “conexión especial”, y al atribuirlas a la junta de gobierno —como órgano eventual, carente de relieve constitucional y configurado legalmente con marcado “carácter ejecutivo”—, la disposición adicional decimosexta LBRL ha impuesto un sacrificio a un principio medular, definitorio de la propia autonomía local (arts. 137, 140 y 141 CE) y de la competencia estatal misma que da cobertura a la intervención legislativa (art. 149.1.18 CE); un principio constitucionalmente proclamado como valor superior del ordenamiento jurídico (art. 1.1 CE; STC 204/2011, de 15 de diciembre, FJ 8). No se trata de negar la legitimidad democrática o la capacidad representativa con que también cuenta, naturalmente, la junta de gobierno local. Se trata de constatar que la disposición adicional decimosexta LBRL afecta singularmente a dos dimensiones del principio democrático, convenientemente aisladas por la STC 42/2014, de 25 de marzo, FJ 4 a): de un lado, la dimensión que exige tendencialmente que las decisiones vinculadas al destino de la comunidad sean tomadas conforme al principio mayoritario por órganos colegiados de naturaleza representativa; y, de otro, la que garantiza, también tendencialmente, que, en el marco de procedimientos deliberativos, la minoría pueda formular propuestas y expresar su opinión sobre las propuestas de la mayoría, sin predeterminar necesariamente resultados, pero con la posibilidad abstracta de influir en ellos.</w:t>
      </w:r>
    </w:p>
    <w:p w:rsidR="00163957" w:rsidRDefault="00163957" w:rsidP="00163957">
      <w:pPr>
        <w:pStyle w:val="TextoNormal"/>
      </w:pPr>
    </w:p>
    <w:p w:rsidR="00163957" w:rsidRDefault="00163957" w:rsidP="00163957">
      <w:pPr>
        <w:pStyle w:val="TextoNormal"/>
      </w:pPr>
      <w:r>
        <w:t>Constatado el sacrificio impuesto al principio democrático, hay que valorar si las demás previsiones de la disposición adicional decimosexta LBRL lo eliminan o atenúan en alguna medida. El apartado 1 dispone, respecto del presupuesto general de la entidad local, que el traslado competencial tiene lugar únicamente cuando el municipio esté funcionando con un presupuesto prorrogado, es decir, cuando, iniciado el ejercicio económico, el nuevo presupuesto no haya sido aún objeto de aprobación (arts. 112.4 LBRL y 169.6 del Real Decreto Legislativo 2/2004). Señala igualmente, respecto del conjunto de los instrumentos enunciados, que la competencia atribuida a la junta presupone en todo caso una primera votación plenaria. Brinda así, al menos, una oportunidad al órgano representativo para adoptar, en el marco de un procedimiento deliberativo, acuerdos sumamente trascendentales para la vida local y dotados de aquella conexión especial, bien que bajo presión; los concejales saben de antemano que un resultado negativo implicará la pérdida de su competencia a favor de la junta de gobierno y, con ello, la pérdida de su capacidad de influencia sobre el contenido del acuerdo que finalmente se adopte.</w:t>
      </w:r>
    </w:p>
    <w:p w:rsidR="00163957" w:rsidRDefault="00163957" w:rsidP="00163957">
      <w:pPr>
        <w:pStyle w:val="TextoNormal"/>
      </w:pPr>
    </w:p>
    <w:p w:rsidR="00163957" w:rsidRDefault="00163957" w:rsidP="00163957">
      <w:pPr>
        <w:pStyle w:val="TextoNormal"/>
      </w:pPr>
      <w:r>
        <w:t xml:space="preserve">Todo ello no elimina el sacrificio impuesto a las indicadas manifestaciones del principio democrático; significa solo que ese enorme sacrificio podría ser todavía mayor, si el legislador llegara a atribuir directamente a la junta de gobierno local la competencia para aprobar tan decisivos acuerdos. Nótese que la disposición controvertida propicia la adopción de aquellas decisiones en ayuntamientos y diputaciones que cuentan con gobiernos en minoría, </w:t>
      </w:r>
      <w:r>
        <w:lastRenderedPageBreak/>
        <w:t>pero no solo. Los propios concejales del grupo político que sustenta al alcalde (o presidente) podrían dejar de apoyar los proyectos correspondientes (con ausencias o abstenciones, no necesariamente mediante votos en contra) para que pasen a la junta de gobierno sin debates ni enmiendas.</w:t>
      </w:r>
    </w:p>
    <w:p w:rsidR="00163957" w:rsidRDefault="00163957" w:rsidP="00163957">
      <w:pPr>
        <w:pStyle w:val="TextoNormal"/>
      </w:pPr>
    </w:p>
    <w:p w:rsidR="00163957" w:rsidRDefault="00163957" w:rsidP="00163957">
      <w:pPr>
        <w:pStyle w:val="TextoNormal"/>
      </w:pPr>
      <w:r>
        <w:t xml:space="preserve">Por su parte, el apartado 2 de la previsión impugnada obliga a, de un lado, publicar las decisiones que a este respecto adopte la junta de gobierno local y, de otro, dar cuenta al pleno en la primera sesión que se celebre. Trata así de preservar en alguna medida el principio democrático, aunque, en realidad, no por ello resultan menos afectadas sus dimensiones aquí relevantes; la publicidad y la rendición de cuentas son medidas </w:t>
      </w:r>
      <w:r w:rsidRPr="00163957">
        <w:rPr>
          <w:i/>
        </w:rPr>
        <w:t>ex post</w:t>
      </w:r>
      <w:r>
        <w:t>, no cambian el hecho de que el órgano representativo perdió la competencia y de que una decisión vital para la comunidad local especialmente conectada con el principio democrático fue adoptada por un órgano de carácter ejecutivo al margen de todo procedimiento deliberativo.</w:t>
      </w:r>
    </w:p>
    <w:p w:rsidR="00163957" w:rsidRDefault="00163957" w:rsidP="00163957">
      <w:pPr>
        <w:pStyle w:val="TextoNormal"/>
      </w:pPr>
    </w:p>
    <w:p w:rsidR="00163957" w:rsidRDefault="00163957" w:rsidP="00163957">
      <w:pPr>
        <w:pStyle w:val="TextoNormal"/>
      </w:pPr>
      <w:r>
        <w:t xml:space="preserve">Por lo demás, una cosa es que la junta de gobierno deba responder políticamente ante el pleno, lo que, en efecto, está previsto en la Ley reguladora de las bases del régimen local [arts. 22, apartados 2 a) y 3; 33, apartados 2 e) y 3; 123.1, letras a) y b); y 126.3] y la Ley Orgánica 5/1985, de 19 de junio, del régimen electoral general (LOREG), arts. 197, 197 </w:t>
      </w:r>
      <w:r w:rsidRPr="00163957">
        <w:rPr>
          <w:i/>
        </w:rPr>
        <w:t>bis</w:t>
      </w:r>
      <w:r>
        <w:t xml:space="preserve"> y 207, y otra bien distinta que este órgano, por el sólo hecho de tener carácter representativo, pueda dejar sin efecto las decisiones del “ejecutivo” local, tal como alega el Abogado del Estado. En el ámbito local, cada órgano de gobierno ejerce las competencias que le atribuya la ley; el pleno no puede atraer para sí las tareas legalmente encomendadas al alcalde (o presidente) y a la junta de gobierno.</w:t>
      </w:r>
    </w:p>
    <w:p w:rsidR="00163957" w:rsidRDefault="00163957" w:rsidP="00163957">
      <w:pPr>
        <w:pStyle w:val="TextoNormal"/>
      </w:pPr>
    </w:p>
    <w:p w:rsidR="00163957" w:rsidRDefault="00163957" w:rsidP="00163957">
      <w:pPr>
        <w:pStyle w:val="TextoNormal"/>
      </w:pPr>
      <w:r>
        <w:t>El sacrificio impuesto al principio democrático resulta, pues, inequívoco. No obstante, no puede perderse de vista que este principio, en cuanto tal, no puede cerrar los amplísimos espacios de configuración que la Constitución asigna al legislador básico a la hora de regular los órganos de gobierno locales y repartir tareas entre ellos; en lo que ahora importa, obliga sólo a que, respecto de aquellas decisiones determinantes de la vida de la comunidad local que presentan aquella “conexión especial”, tenga muy buenas razones para sustraerlas a la competencia del órgano representativo que expresa el pluralismo político de esa comunidad así como para suprimir o reducir los beneficios inherentes a la democracia deliberativa. Ello exige desarrollar un juicio —calificado de “ponderación” en la doctrina constitucional— que identifique los bienes en juego, calibre su importancia y determine si el beneficio asegurado a uno compensa el sacrificio impuesto a otro (“regla de prevalencia condicionada”, en términos de la STC 103/2001, de 23 de abril, FJ 10).</w:t>
      </w:r>
    </w:p>
    <w:p w:rsidR="00163957" w:rsidRDefault="00163957" w:rsidP="00163957">
      <w:pPr>
        <w:pStyle w:val="TextoNormal"/>
      </w:pPr>
    </w:p>
    <w:p w:rsidR="00163957" w:rsidRDefault="00163957" w:rsidP="00163957">
      <w:pPr>
        <w:pStyle w:val="TextoNormal"/>
      </w:pPr>
      <w:r>
        <w:t xml:space="preserve">d) A fin de realizar el señalado juicio de ponderación, hay que empezar por constatar que la exposición de motivos de la Ley 27/2013 no explica las razones de la disposición adicional decimosexta LBRL. La justificación de la enmienda núm. 420 introducida en el Congreso de los Diputados —de la que trae causa la previsión controvertida— tampoco resulta expresiva (“a fin de solventar determinadas incidencias que se pueden producir en el funcionamiento de una corporación local”). Pese a ello, no plantea dificultades identificar la finalidad de la disposición controvertida; responde muy directamente al principio constitucional de estabilidad presupuestaria (art. 135 CE). Para empezar, el indicado principio es el objetivo básico al que responde el conjunto de la Ley 27/2013, según su precitado preámbulo; “adaptar algunos aspectos de la organización y funcionamiento de la Administración </w:t>
      </w:r>
      <w:r>
        <w:lastRenderedPageBreak/>
        <w:t>local” a la “reforma del artículo 135 de la Constitución”. A su vez, las decisiones enumeradas en la disposición controvertida son todas de contenido económico con inequívoca incidencia presupuestaria. Además, la disposición impugnada menciona expresamente en dos ocasiones la Ley Orgánica 2/2012 y, en fin, cuenta con un antecedente normativo cuyo preámbulo se refiere a la estabilidad presupuestaria como fundamento de las nuevas atribuciones de la junta de gobierno local.</w:t>
      </w:r>
    </w:p>
    <w:p w:rsidR="00163957" w:rsidRDefault="00163957" w:rsidP="00163957">
      <w:pPr>
        <w:pStyle w:val="TextoNormal"/>
      </w:pPr>
    </w:p>
    <w:p w:rsidR="00163957" w:rsidRDefault="00163957" w:rsidP="00163957">
      <w:pPr>
        <w:pStyle w:val="TextoNormal"/>
      </w:pPr>
      <w:r>
        <w:t>La disposición adicional tercera del Real Decreto-Ley 14/2013, de 29 de noviembre, incluía, en efecto, una regulación similar (aunque estrictamente vinculada a las medidas de entrada en mecanismos extraordinarios de financiación y a los correspondientes planes de ajuste); disposición a la que, por cierto, se refiere la STC 40/2016, de 3 de marzo, FJ 4, declarando la extinción (por pérdida sobrevenida de objeto) de la impugnación que la Defensora del Pueblo formuló contra ella y haciendo constar que este Tribunal “tendrá la oportunidad de pronunciarse” sobre la constitucionalidad de la disposición adicional decimosexta LBRL, introducida por el art. 1.38 de la Ley 27/2013 en, precisamente, el presente proceso constitucional. Según el preámbulo del Real Decreto-ley 14/2013, el objetivo sería evitar “problemas de gobernabilidad en los ayuntamientos” y, más precisamente, eliminar “obstáculos que no deberían afectar al logro de la estabilidad y del reequilibrio de aquellas entidades” y desbloquear “una situación de interferencia de la situación política en el funcionamiento financiero de los municipios afectados”. Tal finalidad sería también la de la previsión aquí impugnada tal como resulta, por lo demás, de las alegaciones del Abogado del Estado, que giran en torno al principio de estabilidad presupuestaria como fundamento y justificación de las nuevas atribuciones de la junta de gobierno local.</w:t>
      </w:r>
    </w:p>
    <w:p w:rsidR="00163957" w:rsidRDefault="00163957" w:rsidP="00163957">
      <w:pPr>
        <w:pStyle w:val="TextoNormal"/>
      </w:pPr>
    </w:p>
    <w:p w:rsidR="00163957" w:rsidRDefault="00163957" w:rsidP="00163957">
      <w:pPr>
        <w:pStyle w:val="TextoNormal"/>
      </w:pPr>
      <w:r>
        <w:t>Las situaciones de bloqueo institucional pueden, en efecto, dificultar la aprobación y la aplicación de medidas destinadas a corregir problemas de déficit presupuestario. Tales situaciones pueden producirse fácilmente en el ámbito local porque allí el gobierno en minoría es un imperativo legal: si ninguno de los concejales que encabeza la lista correspondiente obtiene la confianza del pleno, será proclamado alcalde el de la lista más votada y, en caso de empate, el ganador de un sorteo; en municipios con entre 100 y 250 habitantes, si ningún concejal obtiene el apoyo de la mayoría absoluta, será proclamado alcalde el que hubiera obtenido más votos populares en las elecciones municipales (art. 196 LOREG). De modo que no es extraño el caso del pleno que se resiste sistemáticamente a aprobar las medidas de reequilibrio presupuestario que proyecta el “ejecutivo” local para dar cumplimiento a las exigencias del art. 135 CE y de la Ley Orgánica 2/2012.</w:t>
      </w:r>
    </w:p>
    <w:p w:rsidR="00163957" w:rsidRDefault="00163957" w:rsidP="00163957">
      <w:pPr>
        <w:pStyle w:val="TextoNormal"/>
      </w:pPr>
    </w:p>
    <w:p w:rsidR="00163957" w:rsidRDefault="00163957" w:rsidP="00163957">
      <w:pPr>
        <w:pStyle w:val="TextoNormal"/>
      </w:pPr>
      <w:r>
        <w:t>Estas dinámicas no son en sí mismas problemáticas; antes bien, son una expresión de pluralismo político consustancial a la democracia (art. 1.1 CE), en general, y al específico modelo que ha querido configurar el legislador orgánico para los entes locales, en particular. Ahora bien, ello no impide apreciar que tales dinámicas puedan llegar a perjudicar ese otro principio constitucional: la estabilidad presupuestaria como norma de conducta que obliga a los entes locales (art. 135.2 CE). Ello es lo que ha querido expresar, quizá sin mucha fortuna, el preámbulo de Real Decreto-ley 14/2013, cuando afirma que las nuevas atribuciones de la junta de gobierno pretenden eliminar “obstáculos que no deberían afectar al logro de la estabilidad y del reequilibrio de aquellas entidades” y desbloquear “una situación de interferencia de la situación política en el funcionamiento financiero de los municipios afectados”.</w:t>
      </w:r>
    </w:p>
    <w:p w:rsidR="00163957" w:rsidRDefault="00163957" w:rsidP="00163957">
      <w:pPr>
        <w:pStyle w:val="TextoNormal"/>
      </w:pPr>
    </w:p>
    <w:p w:rsidR="00163957" w:rsidRDefault="00163957" w:rsidP="00163957">
      <w:pPr>
        <w:pStyle w:val="TextoNormal"/>
      </w:pPr>
      <w:r>
        <w:lastRenderedPageBreak/>
        <w:t xml:space="preserve">Identificados los principios en juego, corresponde ahora valorar su importancia. La democracia y la estabilidad presupuestaria, en cuanto principios recogidos en el texto constitucional, tienen, por ello y </w:t>
      </w:r>
      <w:r w:rsidRPr="00163957">
        <w:rPr>
          <w:i/>
        </w:rPr>
        <w:t>prima facie</w:t>
      </w:r>
      <w:r>
        <w:t>, la misma relevancia constitucional. Sin embargo, es más que evidente que no son equivalentes, esto es, bienes a los que la Constitución haya asignado el mismo peso. Ya se ha explicado suficientemente que la democracia es principio fundacional del propio Estado constitucional (STC 259/2015, de 2 de diciembre, FJ 5), “valor superior de nuestro ordenamiento reflejado en el art. 1.1 CE” (STC 204/2011, FJ 8) y fundamento, tanto de la autonomía local (STC 103/2013, FJ 6), como de la competencia estatal misma para regular los órganos de gobierno de los entes locales y para repartir asuntos entre ellos (STC 33/1993, FJ 3). La ausencia de equivalencia no impide la ponderación ni supone necesariamente la inconstitucionalidad de la previsión impugnada; conduce sólo a considerar que esa previsión, para no incurrir en inconstitucionalidad, debería propiciar muchos más beneficios sobre el principio de estabilidad presupuestaria que perjuicios sobre el principio democrático.</w:t>
      </w:r>
    </w:p>
    <w:p w:rsidR="00163957" w:rsidRDefault="00163957" w:rsidP="00163957">
      <w:pPr>
        <w:pStyle w:val="TextoNormal"/>
      </w:pPr>
    </w:p>
    <w:p w:rsidR="00163957" w:rsidRDefault="00163957" w:rsidP="00163957">
      <w:pPr>
        <w:pStyle w:val="TextoNormal"/>
      </w:pPr>
      <w:r>
        <w:t>A fin de determinar los beneficios de la disposición adicional decimosexta LBRL en términos de estabilidad presupuestaria y valorar si superan ampliamente el sacrificio impuesto al principio democrático (art. 1.1 CE), hay que notar, en primer lugar, lo siguiente: el precepto recurrido no circunscribe su ámbito de aplicación a las situaciones de bloqueo institucional. Se aplica a ellas, pero no solo a ellas. Pueden beneficiarse de la traslación competencial también alcaldes (o presidentes) y juntas que no gobiernan en minoría. Los grupos políticos que han dado su confianza al alcalde (o presidente) pueden eventualmente optar por dejar de apoyar proyectos concretos del “ejecutivo” local, pasando tales asuntos a la junta de gobierno sin debates ni enmiendas. Ya se ha dicho que ello afecta gravemente al principio democrático. Ahora importa destacar que ello no solventa problema alguno de gobernabilidad ni aporta beneficios en términos de estabilidad presupuestaria.</w:t>
      </w:r>
    </w:p>
    <w:p w:rsidR="00163957" w:rsidRDefault="00163957" w:rsidP="00163957">
      <w:pPr>
        <w:pStyle w:val="TextoNormal"/>
      </w:pPr>
    </w:p>
    <w:p w:rsidR="00163957" w:rsidRDefault="00163957" w:rsidP="00163957">
      <w:pPr>
        <w:pStyle w:val="TextoNormal"/>
      </w:pPr>
      <w:r>
        <w:t xml:space="preserve">En segundo lugar, la disposición adicional decimosexta LBRL no limita su ámbito de aplicación a las situaciones de déficit presupuestario. Cumplidas ciertas condiciones formales, traslada a la junta la competencia para adoptar los presupuestos generales y lo hace en todo caso, también cuando la entidad local se halle efectivamente en situación de equilibrio o superávit presupuestario. Algo parecido ocurre en relación con otras decisiones. La aprobación de los llamados planes de “ajuste” o de “saneamiento” es una carga que permite acceder a ciertas ventajas también a corporaciones con cuentas equilibradas (en particular, la autorización de operaciones de crédito o la participación en el fondo para la financiación para el pago a proveedores, de acuerdo con lo establecido en el Real Decreto Legislativo 2/2004, el Real Decreto-ley 8/2013 y la disposición adicional primera de la Ley Orgánica 2/2012). En el mismo sentido, una de las situaciones que permite el “acceso a las medidas extraordinarias de apoyo a la liquidez previstas en el Real Decreto-ley 8/2013” [disposición adicional decimosexta.1, letra d), segundo inciso, LBRL] es que los entes locales “hayan cumplido con sus obligaciones de remisión de información económico-financiera, de acuerdo con la normativa reguladora de las haciendas locales y la de estabilidad presupuestaria y sostenibilidad financiera y, además, presenten ahorro neto y remanente de tesorería para gastos generales negativos, en términos consolidados, en los dos últimos años” [art. 21 a) del Real Decreto-ley 8/2013]. De igual modo, “la entrada de la Corporación Local en los mecanismos extraordinarios de financiación vigentes a los que se refiere la Ley Orgánica 2/2012, de 27 de abril” [disposición adicional decimosexta.1, letra d), primer inciso, LBRL] y las cargas consecuentes [entre ellas, la aprobación del “plan de ajuste” al que se refiere la </w:t>
      </w:r>
      <w:r>
        <w:lastRenderedPageBreak/>
        <w:t>letra b) de la previsión controvertida] están igualmente abiertas a entes locales sin problemas de desequilibrio presupuestario (disposición adicional primera de la Ley Orgánica 2/2012). Por lo demás, pudiera ocurrir que la decisión de los concejales del pleno de no apoyar cualquiera de los instrumentos enunciados responda a la consideración de que los ajustes programados son insuficientes o a motivos de conveniencia o legalidad que no comprometen el equilibrio presupuestario y, por tanto, a razones que el ejecutivo local podrá a partir de ahora esquivar pura y simplemente ejerciendo la competencia que le atribuye la disposición impugnada. Consecuentemente, el precepto controvertido, aplicado incluso por “ejecutivos” locales que gobiernen en minoría, impone aquel relevante sacrificio sobre el principio democrático sin producir en muchos casos ventaja alguna en términos de estabilidad presupuestaria.</w:t>
      </w:r>
    </w:p>
    <w:p w:rsidR="00163957" w:rsidRDefault="00163957" w:rsidP="00163957">
      <w:pPr>
        <w:pStyle w:val="TextoNormal"/>
      </w:pPr>
    </w:p>
    <w:p w:rsidR="00163957" w:rsidRDefault="00163957" w:rsidP="00163957">
      <w:pPr>
        <w:pStyle w:val="TextoNormal"/>
      </w:pPr>
      <w:r>
        <w:t>En tercer lugar, los beneficios sobre el principio de estabilidad presupuestaria que podrían llegar a producirse en algunos casos —esto es, en situaciones de gobierno minoritario y desequilibrio presupuestario— son eventuales y, en todo caso, no inmediatos, a diferencia del sacrificio impuesto al principio democrático. La disposición adicional decimosexta LBRL dinamiza en estos supuestos la estabilidad presupuestaria de manera indirecta, a través de los presupuestos generales y planes cuya aprobación resulta agilizada, y solo si estos contuvieran verdaderamente medidas adecuadas para lograr los incrementos de ingresos y las reducciones de gastos que reclama la corrección de situaciones de déficit.</w:t>
      </w:r>
    </w:p>
    <w:p w:rsidR="00163957" w:rsidRDefault="00163957" w:rsidP="00163957">
      <w:pPr>
        <w:pStyle w:val="TextoNormal"/>
      </w:pPr>
    </w:p>
    <w:p w:rsidR="00163957" w:rsidRDefault="00163957" w:rsidP="00163957">
      <w:pPr>
        <w:pStyle w:val="TextoNormal"/>
      </w:pPr>
      <w:r>
        <w:t xml:space="preserve">En cuarto lugar, para acabar de calibrar el alcance de los beneficios de carácter eventual e indirecto que la disposición adicional decimosexta LBRL podría llegar a producir en situaciones de gobierno minoritario y déficit presupuestario, no puede dejar de ponderarse que la Ley Orgánica 8/1999, de 21 de abril, reformó la Ley Orgánica del régimen electoral general para, precisamente, dotar a los entes locales de “un instrumento que permita superar las situaciones de rigidez o de bloqueo en el proceso de toma de decisiones” (exposición de motivos). Si el pleno rechaza la aprobación de decisiones “que tienen la máxima trascendencia”, según la exposición de motivos de la Ley Orgánica 8/1999, el alcalde (o presidente provincial) puede presentar la cuestión de confianza vinculada a aquellas decisiones. La aprobación de la cuestión conlleva la del asunto vinculado. La falta de aprobación supone, en unos casos (reglamento orgánico, ordenanzas fiscales, planeamiento general y plan provincial de cooperación), el cese del alcalde (o presidente). En otros (presupuestos generales), obliga a la oposición a plantear una moción de censura con candidato alternativo a alcalde (o presidente). Si en el plazo de un mes tal moción no se plantea o no prospera, el alcalde (o presidente) se mantendrá en el cargo y el proyecto de presupuestos se entenderá aprobado automáticamente por ministerio de la ley (arts. 197 </w:t>
      </w:r>
      <w:r w:rsidRPr="00163957">
        <w:rPr>
          <w:i/>
        </w:rPr>
        <w:t>bis</w:t>
      </w:r>
      <w:r>
        <w:t xml:space="preserve"> y 207.4 LOREG). Consecuentemente, en situaciones de gobierno minoritario, el pleno sigue siendo competente para aprobar los presupuestos y la oposición sigue pudiendo resistirse a permitir su adopción. Ahora bien, esa oposición política debe terminar por ponerse de acuerdo en el concejal que ha de ocupar la alcaldía y elaborar otro proyecto de presupuestos, si quiere evitar la aprobación </w:t>
      </w:r>
      <w:r w:rsidRPr="00163957">
        <w:rPr>
          <w:i/>
        </w:rPr>
        <w:t>ope legis</w:t>
      </w:r>
      <w:r>
        <w:t xml:space="preserve"> del rechazado por ella. De modo que esta regulación no sustrae estrictamente los presupuestos a la competencia del pleno ni al correspondiente procedimiento deliberativo; propicia, justamente, la búsqueda de acuerdos dentro del pleno mediante mecanismos deliberativos como remedio a las situaciones de bloqueo institucional.</w:t>
      </w:r>
    </w:p>
    <w:p w:rsidR="00163957" w:rsidRDefault="00163957" w:rsidP="00163957">
      <w:pPr>
        <w:pStyle w:val="TextoNormal"/>
      </w:pPr>
    </w:p>
    <w:p w:rsidR="00163957" w:rsidRDefault="00163957" w:rsidP="00163957">
      <w:pPr>
        <w:pStyle w:val="TextoNormal"/>
      </w:pPr>
      <w:r>
        <w:t xml:space="preserve">A la vista de todo lo razonado, cabe concluir que las ventajas (eventuales e indirectas) para la estabilidad presupuestaria propiciadas en algunos casos por la disposición adicional </w:t>
      </w:r>
      <w:r>
        <w:lastRenderedPageBreak/>
        <w:t>decimosexta LBRL no superan ampliamente —ni compensan mínimamente— los relevantes perjuicios causados al principio democrático. Ciertamente, no puede excluirse en abstracto la no inconstitucionalidad de otras hipotéticas regulaciones que, aquilatando de otro modo y más precisamente las circunstancias que determinan que la junta de gobierno local deba ser competente (o ampliando las decisiones locales a las que quepa vincular aquella cuestión de confianza), pudieran llegar a reducir el sacrificio impuesto al principio democrático a la vez que producir el nivel de beneficio en otros bienes capaz de contrarrestarlo. Ahora bien, tales regulaciones no son las sometidas a nuestro enjuiciamiento. En lo que ahora importa, la disposición aquí controvertida establece una solución que vulnera el principio democrático al imponer sobre él un sacrificio muy relevante que no puede entenderse justificado en otros valores, bienes o principios.</w:t>
      </w:r>
    </w:p>
    <w:p w:rsidR="00163957" w:rsidRDefault="00163957" w:rsidP="00163957">
      <w:pPr>
        <w:pStyle w:val="TextoNormal"/>
      </w:pPr>
    </w:p>
    <w:p w:rsidR="00163957" w:rsidRDefault="00163957" w:rsidP="00163957">
      <w:pPr>
        <w:pStyle w:val="TextoNormal"/>
      </w:pPr>
      <w:r>
        <w:t>e) El Abogado del Estado alega, en fin, que, cumplidas las condiciones formales indicadas (que la corporación cuente con junta de gobierno; que se produzca al menos una primera votación fallida en el pleno de la corporación; y, en el caso del presupuesto, que exista previamente uno prorrogado), la disposición adicional decimosexta LBRL no impone automáticamente la traslación competencial. Esta estaría subordinada, además, al cumplimiento de unas —inexpresadas— condiciones materiales. El precepto enunciaría estas condiciones materiales de modo implícito, a través del término “excepcionalmente”; afirma el Abogado del Estado que esta palabra es suficientemente expresiva de que la traslación competencial se impone solo en supuestos en que está verdaderamente en juego la estabilidad presupuestaria.</w:t>
      </w:r>
    </w:p>
    <w:p w:rsidR="00163957" w:rsidRDefault="00163957" w:rsidP="00163957">
      <w:pPr>
        <w:pStyle w:val="TextoNormal"/>
      </w:pPr>
    </w:p>
    <w:p w:rsidR="00163957" w:rsidRDefault="00163957" w:rsidP="00163957">
      <w:pPr>
        <w:pStyle w:val="TextoNormal"/>
      </w:pPr>
      <w:r>
        <w:t>Sin embargo, la disposición adicional decimosexta LBRL establece muy claramente que, cumplidas aquellas condiciones formales, la junta de gobierno “tendrá la competencia”. Esta previsión es una excepción a la regla —ahora general— que atribuye la responsabilidad al pleno de la corporación; de ahí que el precepto controvertido abra con el término “excepcionalmente”, sin que la mención pueda interpretarse como una remisión a circunstancias o condiciones materiales que haya de establecer o concretar la junta de gobierno local. Tal como hemos declarado en relación con otros preceptos de la Ley 27/2013, el tenor literal del precepto enjuiciado “es concluyente y no concede margen a una interpretación conforme” [STC 41/2016, FJ 13 c)].</w:t>
      </w:r>
    </w:p>
    <w:p w:rsidR="00163957" w:rsidRDefault="00163957" w:rsidP="00163957">
      <w:pPr>
        <w:pStyle w:val="TextoNormal"/>
      </w:pPr>
    </w:p>
    <w:p w:rsidR="00163957" w:rsidRDefault="00163957" w:rsidP="00163957">
      <w:pPr>
        <w:pStyle w:val="TextoNormal"/>
      </w:pPr>
      <w:r>
        <w:t>En todo caso, aunque la interpretación propuesta pudiera llegar a aceptarse, no por ello la disposición adicional decimosexta LBRL dejaría de incurrir en inconstitucionalidad. El supuesto de hecho que acarrearía la traslación competencial como consecuencia jurídica estaría regulado de modo excesivamente abierto a través del término “excepcionalmente”. La previsión impugnada podría aplicarse a situaciones críticas de gobierno en minoría y déficit presupuestario, pero no solo; también, a cualesquiera otras circunstancias que la junta de gobierno considerara “excepcionales”. Por eso, así interpretada, la disposición es tan abierta e indeterminada que no permite siquiera identificar los principios o bienes que podrían llegar a justificar los relevantes sacrificios impuestos al principio democrático.</w:t>
      </w:r>
    </w:p>
    <w:p w:rsidR="00163957" w:rsidRDefault="00163957" w:rsidP="00163957">
      <w:pPr>
        <w:pStyle w:val="TextoNormal"/>
      </w:pPr>
    </w:p>
    <w:p w:rsidR="00163957" w:rsidRDefault="00163957" w:rsidP="00163957">
      <w:pPr>
        <w:pStyle w:val="TextoNormal"/>
      </w:pPr>
      <w:r>
        <w:t xml:space="preserve">En conexión con lo anterior, la previsión impugnada, interpretada en el sentido propuesto por el Abogado del Estado, atribuiría a la junta de gobierno local márgenes demasiado amplios para definir su propia competencia con relación a aquella relevante serie de instrumentos. En asuntos de esta naturaleza, en que está claramente afectado el principio democrático, el legislador (básico) es quien debe perfilar de modo “acabado” el supuesto de hecho (en </w:t>
      </w:r>
      <w:r>
        <w:lastRenderedPageBreak/>
        <w:t>este sentido, en relación con el régimen de mayorías: STC 33/1993, FJ 3); debe establecer de la manera más clara posible las soluciones matizadas que busquen el punto de equilibrio entre los bienes en juego, sin remitir la definición precisa de la titularidad de la competencia a los propios “ejecutivos” locales, máxime si se tiene en cuenta el elevado número de entes que compone el mapa local español, que propicia la proliferación de las más diversas aplicaciones e interpretaciones. Por lo demás, vale también aquí cuanto se ha razonado en torno al carácter eventual e indirecto de los beneficios resultantes para el principio de estabilidad presupuestaria y la existencia dentro del ordenamiento jurídico de mecanismos que tratan de evitar las situaciones de bloqueo institucional sin detrimentos sobre el principio democrático.</w:t>
      </w:r>
    </w:p>
    <w:p w:rsidR="00163957" w:rsidRDefault="00163957" w:rsidP="00163957">
      <w:pPr>
        <w:pStyle w:val="TextoNormal"/>
      </w:pPr>
    </w:p>
    <w:p w:rsidR="00163957" w:rsidRDefault="00163957" w:rsidP="00163957">
      <w:pPr>
        <w:pStyle w:val="TextoNormal"/>
      </w:pPr>
      <w:r>
        <w:t xml:space="preserve">f) Procede, en consecuencia, declarar la inconstitucionalidad y nulidad de la disposición adicional decimosexta LBRL, introducida por el art. 1.38 de la Ley 27/2013. De conformidad con el art. 40.1 de la Ley Orgánica del Tribunal Constitucional (LOTC), esta declaración “no permitirá revisar procesos fenecidos mediante sentencia con fuerza de cosa juzgada” en los que se haya hecho aplicación de la mencionada disposición. Correspondiendo a este Tribunal precisar los efectos de la nulidad (STC 45/1989, de 20 de febrero), razones de seguridad jurídica (art. 9.3 CE) imponen en este caso acotar todavía más esos efectos: la declaración de inconstitucionalidad y nulidad de la disposición controvertida habrá de producir efectos </w:t>
      </w:r>
      <w:r w:rsidRPr="00163957">
        <w:rPr>
          <w:i/>
        </w:rPr>
        <w:t>ex nunc</w:t>
      </w:r>
      <w:r>
        <w:t>, a partir de la publicación de la presente Sentencia, sin que, por tanto, resulten afectados por ésta los presupuestos, planes y solicitudes ya aprobados por juntas de gobierno locales ni los actos sucesivos adoptados en aplicación de los anteriores, hayan o no devenido firmes en la vía administrativa.</w:t>
      </w:r>
    </w:p>
    <w:p w:rsidR="00163957" w:rsidRDefault="00163957" w:rsidP="00163957">
      <w:pPr>
        <w:pStyle w:val="TextoNormal"/>
      </w:pPr>
    </w:p>
    <w:p w:rsidR="00163957" w:rsidRDefault="00163957" w:rsidP="00163957">
      <w:pPr>
        <w:pStyle w:val="TextoNormal"/>
      </w:pPr>
      <w:r w:rsidRPr="00163957">
        <w:rPr>
          <w:rStyle w:val="NumeroAFNegritaCaracter"/>
        </w:rPr>
        <w:t>9</w:t>
      </w:r>
      <w:r>
        <w:t>. El segundo bloque de impugnaciones se refiere a la ordenación de las competencias provinciales que, en términos del preámbulo de la Ley 27/2013, pretende “reforzar el papel de las diputaciones” junto a “cabildos, consejos insulares o entidades equivalentes”. A continuación recogemos sucintamente la doctrina constitucional relativa a las competencias provinciales.</w:t>
      </w:r>
    </w:p>
    <w:p w:rsidR="00163957" w:rsidRDefault="00163957" w:rsidP="00163957">
      <w:pPr>
        <w:pStyle w:val="TextoNormal"/>
      </w:pPr>
    </w:p>
    <w:p w:rsidR="00163957" w:rsidRDefault="00163957" w:rsidP="00163957">
      <w:pPr>
        <w:pStyle w:val="TextoNormal"/>
      </w:pPr>
      <w:r>
        <w:t>La Constitución garantiza autonomía a la provincia para la gestión de sus intereses (art. 137 CE) sin precisar “cuáles sean estos intereses ni cuál el haz mínimo de competencias que para atender a su gestión debe el legislador atribuir a la provincia” (STC 32/1981, FJ 3). La “concreta configuración institucional de la autonomía provincial corresponde al legislador”, que “debe especificar y graduar las competencias provinciales teniendo en cuenta la relación entre intereses locales y supralocales en los asuntos que conciernan a la comunidad provincial” (STC 27/1987, de 2 de marzo, FJ 2). Las competencias de la diputación serán, pues, las que decidan atribuirle el Estado y las Comunidades Autónomas, cada cual en el marco de sus competencias, sin perjuicio de la garantía constitucional de la autonomía provincial [SSTC 214/1989, FJ 3 a); y 41/2016, FJ 9]. A este respecto, la doctrina constitucional ha precisado que las competencias instrumentales —aquellas que tienen al municipio por destinatario inmediato—, entroncan directamente con la Constitución: “el apoyo a los Municipios radicados en su ámbito territorial” constituye el “núcleo” de la actividad de la provincia, “en cuanto entidad local determinada por la agrupación de Municipios (art. 141.1 C.E)” cuya autonomía presenta “rasgos y perfiles específicos” respecto de la municipal (STC 109/1998, de 21 de mayo, FJ 2).</w:t>
      </w:r>
    </w:p>
    <w:p w:rsidR="00163957" w:rsidRDefault="00163957" w:rsidP="00163957">
      <w:pPr>
        <w:pStyle w:val="TextoNormal"/>
      </w:pPr>
    </w:p>
    <w:p w:rsidR="00163957" w:rsidRDefault="00163957" w:rsidP="00163957">
      <w:pPr>
        <w:pStyle w:val="TextoNormal"/>
      </w:pPr>
      <w:r>
        <w:lastRenderedPageBreak/>
        <w:t>El art. 149.1.18 CE ampara una ordenación básica de las condiciones con que el Estado y las Comunidades Autónomas han de atribuir competencias a las diputaciones provinciales [SSTC 214/1989, FJ 3 a) y b); 159/2001, FJ 4, y 121/2012, FJ 7]. Las bases del régimen local pueden llegar incluso a prefigurar específicamente el poder local y atribuir directamente competencias locales cuando ello no suponga un obstáculo a las competencias que corresponden a las Comunidades Autónomas o para “garantizar un núcleo homogéneo de derechos prestacionales del vecino” (STC 41/2016, FJ 9). Respecto de las competencias provinciales, en particular, está al alcance del legislador básico “disminuir o acrecentar las competencias hoy existentes”, sin llegar a “eliminarlas por entero” (STC 109/1998, FJ 2, citando la STC 32/1981, FJ 3).</w:t>
      </w:r>
    </w:p>
    <w:p w:rsidR="00163957" w:rsidRDefault="00163957" w:rsidP="00163957">
      <w:pPr>
        <w:pStyle w:val="TextoNormal"/>
      </w:pPr>
    </w:p>
    <w:p w:rsidR="00163957" w:rsidRDefault="00163957" w:rsidP="00163957">
      <w:pPr>
        <w:pStyle w:val="TextoNormal"/>
      </w:pPr>
      <w:r>
        <w:t>Una redefinición al alza de las competencias provinciales por parte del legislador básico estatal puede conllevar lógicamente una redefinición a la baja de las competencias municipales y que el resultado de todo ello sea una dinamización de la garantía constitucional de la autonomía provincial (arts. 137 y 141 CE), compatible con la garantía constitucional de la autonomía municipal (arts. 137 y 140 CE). Esta es una opción constitucionalmente posible, sin perjuicio de que los arts. 137 y 140 CE obligan en todo caso a asegurar que los municipios intervengan en los asuntos que les afectan con un grado de participación tendencialmente correlativo a la intensidad de sus intereses [STC 41/2016, FJ 11 b)].</w:t>
      </w:r>
    </w:p>
    <w:p w:rsidR="00163957" w:rsidRDefault="00163957" w:rsidP="00163957">
      <w:pPr>
        <w:pStyle w:val="TextoNormal"/>
      </w:pPr>
    </w:p>
    <w:p w:rsidR="00163957" w:rsidRDefault="00163957" w:rsidP="00163957">
      <w:pPr>
        <w:pStyle w:val="TextoNormal"/>
      </w:pPr>
      <w:r>
        <w:t>Así resulta de lo razonado en la STC 32/1981, FJ 3: “la Constitución prefigura, como antes decíamos, una distribución vertical del poder público entre entidades de distinto nivel que son fundamentalmente el Estado, titular de la soberanía; las Comunidades Autónomas, caracterizadas por su autonomía política, y las provincias y municipios, dotadas de autonomía administrativa de distinto ámbito. Prescindiendo ahora de otras consideraciones, es lo cierto que si el poder público ha de distribuirse entre más entes que los anteriormente existentes, cada uno de éstos ha de ver restringida lógicamente parte de la esfera de dicho poder que tenía atribuida. En definitiva, hay que efectuar una redistribución de competencias en función del respectivo interés entre las diversas entidades, para que el modelo de Estado configurado por la Constitución tenga efectividad práctica”.</w:t>
      </w:r>
    </w:p>
    <w:p w:rsidR="00163957" w:rsidRDefault="00163957" w:rsidP="00163957">
      <w:pPr>
        <w:pStyle w:val="TextoNormal"/>
      </w:pPr>
    </w:p>
    <w:p w:rsidR="00163957" w:rsidRDefault="00163957" w:rsidP="00163957">
      <w:pPr>
        <w:pStyle w:val="TextoNormal"/>
      </w:pPr>
      <w:r>
        <w:t>La STC 103/2013, FJ 5 c), lo ha declarado específicamente al desestimar el recurso interpuesto contra la letra c) del art. 36.1 LBRL, cuya redacción anterior —que en este punto se mantiene en la actualmente en vigor—, atribuía a las diputaciones provinciales la prestación de servicios de carácter supramunicipal: es cierto “que la ampliación de las competencias provinciales podría incidir en el ámbito de autonomía que tienen legalmente consagrada municipios y consejos comarcales, pero también lo es que la atribución de la nueva competencia afecta directamente al círculo de los intereses provinciales. Al existir distintas entidades locales superpuestas sobre una misma base territorial, la definición del modelo de autonomía de cada una de ellas incidirá, necesariamente, en el resto, sin que desde el punto de vista constitucional, haya más limitaciones a la hora de configurar el modelo básico de autonomía que las que vienen determinadas por el respeto al contenido esencial de la autonomía provincial, y el respeto al contenido esencial de la autonomía de esas otras entidades locales en las que inciden que, para el caso de las comarcas, no es una autonomía constitucionalmente garantizada en cuanto que la decisión sobre su propia existencia no depende de la Constitución sino de las Comunidades Autónomas”.</w:t>
      </w:r>
    </w:p>
    <w:p w:rsidR="00163957" w:rsidRDefault="00163957" w:rsidP="00163957">
      <w:pPr>
        <w:pStyle w:val="TextoNormal"/>
      </w:pPr>
    </w:p>
    <w:p w:rsidR="00163957" w:rsidRDefault="00163957" w:rsidP="00163957">
      <w:pPr>
        <w:pStyle w:val="TextoNormal"/>
      </w:pPr>
      <w:r>
        <w:lastRenderedPageBreak/>
        <w:t>Por último, no está de más recordar que la Ley Orgánica del régimen electoral general, de acuerdo con una arraigada tradición histórica y en consonancia con una concepción instrumental de la provincia, ha optado por que el pleno de esta corporación local cuente con legitimidad democrática indirecta: los miembros de la diputación provincial son elegidos de entre los concejales municipales en los términos previstos en los arts. 202 a 209 LOREG. No nos corresponde valorar la conveniencia u oportunidad de este sistema en sí ni dentro de un contexto de reformas tendente a reforzar el papel institucional de las diputaciones. Lo exclusivamente relevante a nuestros efectos es constatar que la Constitución, a la vez que garantiza la autonomía de la provincia (art. 141.1 CE), exigiendo del legislador las intervenciones que la materialicen, deja deliberadamente abierto el tipo de legitimidad (directa o indirecta) que exige su carácter representativo (art. 141.2 CE).</w:t>
      </w:r>
    </w:p>
    <w:p w:rsidR="00163957" w:rsidRDefault="00163957" w:rsidP="00163957">
      <w:pPr>
        <w:pStyle w:val="TextoNormal"/>
      </w:pPr>
    </w:p>
    <w:p w:rsidR="00163957" w:rsidRDefault="00163957" w:rsidP="00163957">
      <w:pPr>
        <w:pStyle w:val="TextoNormal"/>
      </w:pPr>
      <w:r>
        <w:t>De acuerdo con la STC 38/1983, de 16 de mayo, FFJJ 6 y 7, el modelo de legitimidad democrática concretamente establecido para la provincia en la Ley Orgánica del régimen electoral general es uno de los constitucionalmente posibles. Esta Sentencia, lejos de discutirlo, confirmó la validez de sus reglas (en cuanto al reparto de diputados provinciales entre partidos judiciales) porque “lo que es difícil fundamentar es que al actuar de tal modo no se haya respetado el texto constitucional, que en concreto nada disciplina al respecto” (FJ 7). La STC 103/2013, FJ 6, ha desarrollado esta idea: “si como hasta ahora hemos señalado, el principio representativo constituye el fundamento de la autonomía local y por tanto es predicable de todas las entidades locales constitucionalmente garantizadas, este principio ha sido consagrado para los municipios con una intensidad especial, mediante una regulación bastante más minuciosa, que contrasta con la menor densidad normativa con que la norma fundamental lo ha recogido para islas y provincias. En efecto, si el carácter representativo de los órganos de dirección política de las islas deriva directamente de la garantía institucional de la autonomía local consagrada en el art. 137 CE, el art. 141.2 CE prevé, ya expresamente, para las provincias, que su gobierno y administración autónoma estarán encomendados a Diputaciones u otras corporaciones de carácter representativo. Pero, para los municipios, el art. 140 CE, va aún más allá, al atribuir el gobierno y administración a los Ayuntamientos, integrados por alcaldes y concejales, imponiendo la elección democrática de sus integrantes”.</w:t>
      </w:r>
    </w:p>
    <w:p w:rsidR="00163957" w:rsidRDefault="00163957" w:rsidP="00163957">
      <w:pPr>
        <w:pStyle w:val="TextoNormal"/>
      </w:pPr>
    </w:p>
    <w:p w:rsidR="00163957" w:rsidRDefault="00163957" w:rsidP="00163957">
      <w:pPr>
        <w:pStyle w:val="TextoNormal"/>
      </w:pPr>
      <w:r w:rsidRPr="00163957">
        <w:rPr>
          <w:rStyle w:val="NumeroAFNegritaCaracter"/>
        </w:rPr>
        <w:t>10</w:t>
      </w:r>
      <w:r>
        <w:t xml:space="preserve">. Respecto de los preceptos de la Ley 27/2013 relacionados con las competencias provinciales materiales, la Junta de Andalucía no discute que el legislador básico siga atribuyendo a la diputación, como competencia provincial propia, “la prestación de servicios de carácter supramunicipal y, en su caso, supracomarcal” [letra c), primer inciso, de la nueva redacción del art. 36.1 LBRL, que coincide en este punto con lo previsto en la redacción anterior]. Discute algunas de las atribuciones introducidas en ese artículo para especificar o concretar aquella previsión general: el tratamiento de residuos en los municipios de menos de 5.000 habitantes; y la prevención y extinción de incendios en los de menos de 20.000 habitantes. Tales servicios corresponderán a la diputación provincial cuando el ayuntamiento no proceda a su prestación [letra c), </w:t>
      </w:r>
      <w:r w:rsidRPr="00163957">
        <w:rPr>
          <w:i/>
        </w:rPr>
        <w:t>in fine</w:t>
      </w:r>
      <w:r>
        <w:t>].</w:t>
      </w:r>
    </w:p>
    <w:p w:rsidR="00163957" w:rsidRDefault="00163957" w:rsidP="00163957">
      <w:pPr>
        <w:pStyle w:val="TextoNormal"/>
      </w:pPr>
    </w:p>
    <w:p w:rsidR="00163957" w:rsidRDefault="00163957" w:rsidP="00163957">
      <w:pPr>
        <w:pStyle w:val="TextoNormal"/>
      </w:pPr>
      <w:r>
        <w:t xml:space="preserve">El Estado habría traspasado los márgenes de su título competencial (art. 149.1.18 CE), vulnerando las competencias estatutarias de la Comunidad Autónoma de Andalucía en materia de régimen local (arts. 60, 92 y 96 del Estatuto de Autonomía de Andalucía). Habría infringido igualmente la garantía constitucional de la autonomía municipal (arts. 137 y 140 </w:t>
      </w:r>
      <w:r>
        <w:lastRenderedPageBreak/>
        <w:t>CE). Se destaca que las atribuciones previstas en el art. 36 LBRL, a diferencia de las reguladas en el art. 26.2 LBRL —también impugnado— ni siquiera sujetan su ejercicio a la “conformidad del municipio”.</w:t>
      </w:r>
    </w:p>
    <w:p w:rsidR="00163957" w:rsidRDefault="00163957" w:rsidP="00163957">
      <w:pPr>
        <w:pStyle w:val="TextoNormal"/>
      </w:pPr>
    </w:p>
    <w:p w:rsidR="00163957" w:rsidRDefault="00163957" w:rsidP="00163957">
      <w:pPr>
        <w:pStyle w:val="TextoNormal"/>
      </w:pPr>
      <w:r>
        <w:t>La Ley reguladora de las bases del régimen local configura el tratamiento de residuos, por un lado, y la prevención y extinción de incendios, por otro, como prestaciones básicas que los vecinos pueden exigir a los municipios. En particular, el art. 26.1 LBRL —que en este punto conserva la redacción anterior— los establece como servicios obligatorios en municipios que alcanzan determinado umbral poblacional; umbral cuya superación permite suponer que el ayuntamiento dispondrá de la capacidad para una gestión adecuada en términos de calidad, eficacia y eficiencia: el tratamiento de residuos es obligatorio en municipios de más de 5.000 habitantes [letra a)], y los servicios de prevención y extinción de incendios lo son en municipios de más de 20.000 habitantes [letra c)]. Naturalmente, el art. 26.1 LBRL no impide que los municipios que no alcanzan esas barreras poblacionales desarrollen también estos servicios. No les impone la obligación de establecerlos, simplemente; la legislación autonómica sobre régimen local o las regulaciones sectoriales, podrán configurar tales servicios como municipales [STC 41/2016, FFJJ 10 b) y e), 12 b), 13 c)].</w:t>
      </w:r>
    </w:p>
    <w:p w:rsidR="00163957" w:rsidRDefault="00163957" w:rsidP="00163957">
      <w:pPr>
        <w:pStyle w:val="TextoNormal"/>
      </w:pPr>
    </w:p>
    <w:p w:rsidR="00163957" w:rsidRDefault="00163957" w:rsidP="00163957">
      <w:pPr>
        <w:pStyle w:val="TextoNormal"/>
      </w:pPr>
      <w:r>
        <w:t xml:space="preserve">El impugnado art. 36.1, letra c) </w:t>
      </w:r>
      <w:r w:rsidRPr="00163957">
        <w:rPr>
          <w:i/>
        </w:rPr>
        <w:t>in fine</w:t>
      </w:r>
      <w:r>
        <w:t>, LBRL, en la redacción dada por el art. 1.13 de la Ley 27/2013, se refiere, precisamente, a la gestión de estos servicios en el ámbito territorial de municipios que no alcanzan aquellos niveles poblacionales. Tales servicios, aunque el legislador básico no los haya configurado en este caso como servicios municipales mínimos, son igualmente indispensables desde la perspectiva del vecino. La previsión recurrida establece por ello que, si los ayuntamientos no los prestan, la diputación provincial podrá hacerlo con carácter subsidiario: “en particular, asumirá la prestación de los servicios de tratamiento de residuos en los municipios de menos de 5.000 habitantes, y de prevención y extinción de incendios en los de menos de 20.000 habitantes, cuando éstos no procedan a su prestación”. De modo que la diputación provincial llevará a cabo la gestión de estos servicios si el municipio no ha recibido el encargo de hacerlo (porque no tenga atribuida la competencia o ni la ejerza por delegación) o si, habiéndolo hecho, no lo ejerce efectivamente.</w:t>
      </w:r>
    </w:p>
    <w:p w:rsidR="00163957" w:rsidRDefault="00163957" w:rsidP="00163957">
      <w:pPr>
        <w:pStyle w:val="TextoNormal"/>
      </w:pPr>
    </w:p>
    <w:p w:rsidR="00163957" w:rsidRDefault="00163957" w:rsidP="00163957">
      <w:pPr>
        <w:pStyle w:val="TextoNormal"/>
      </w:pPr>
      <w:r>
        <w:t xml:space="preserve">A la vista de la doctrina constitucional sistematizada en el fundamento jurídico anterior y en la STC 41/2016, FJ 9, no cabe dudar del carácter básico de esta regulación. Se está ante desarrollos de una competencia establecida genéricamente —“la prestación de servicios públicos de carácter supramunicipal y, en su caso, supracomarcal”— que ya estaba prevista en la legislación anterior y cuyo carácter básico </w:t>
      </w:r>
      <w:r w:rsidRPr="00163957">
        <w:rPr>
          <w:i/>
        </w:rPr>
        <w:t>ex</w:t>
      </w:r>
      <w:r>
        <w:t xml:space="preserve"> art. 149.1.18 CE ya declaró la STC 103/2013, FJ 5 c). La competencia para adoptar las bases del régimen local permite al Estado adoptar una regulación como la enjuiciada, que se apoya en la diputación provincial con el fin de asegurar que también los vecinos de zonas rurales o menos pobladas puedan acceder a servicios indispensables.</w:t>
      </w:r>
    </w:p>
    <w:p w:rsidR="00163957" w:rsidRDefault="00163957" w:rsidP="00163957">
      <w:pPr>
        <w:pStyle w:val="TextoNormal"/>
      </w:pPr>
    </w:p>
    <w:p w:rsidR="00163957" w:rsidRDefault="00163957" w:rsidP="00163957">
      <w:pPr>
        <w:pStyle w:val="TextoNormal"/>
      </w:pPr>
      <w:r>
        <w:t xml:space="preserve">Resulta, igualmente, evidente que la regulación impugnada no compromete la autonomía municipal constitucionalmente garantizada (arts. 137 y 140 CE). Al configurar la intervención provincial como subsidiaria de la municipal, no produce estrictamente una injerencia —ni legítima ni ilegítima— en la autonomía municipal. Ciertamente, la Ley reguladora de las bases del régimen local no define con precisión los presupuestos y las condiciones de la </w:t>
      </w:r>
      <w:r>
        <w:lastRenderedPageBreak/>
        <w:t>asunción provincial ni el procedimiento para articularla, pero ello no resulta en sí problemático en el contexto de una legislación básica que admite el desarrollo autonómico y en el que concurre legislación sectorial del Estado y, en su caso, de las Comunidades Autónomas (como sucede precisamente en materia de tratamiento de residuos así como de prevención y extinción de incendios) [en este sentido, SSTC 271/2015, de 17 de diciembre, FJ 5 a), y 41/2016, FJ 7 c)]. Del mismo modo, la legitimidad democrática indirecta con que cuenta la diputación provincial podrá discutirse políticamente, pero, siendo una opción constitucionalmente posible, no puede alzarse en obstáculo a intervenciones del legislador básico favorables a una ampliación de las competencias provinciales.</w:t>
      </w:r>
    </w:p>
    <w:p w:rsidR="00163957" w:rsidRDefault="00163957" w:rsidP="00163957">
      <w:pPr>
        <w:pStyle w:val="TextoNormal"/>
      </w:pPr>
    </w:p>
    <w:p w:rsidR="00163957" w:rsidRDefault="00163957" w:rsidP="00163957">
      <w:pPr>
        <w:pStyle w:val="TextoNormal"/>
      </w:pPr>
      <w:r>
        <w:t xml:space="preserve">Procede, en consecuencia, desestimar la impugnación de la letra c), </w:t>
      </w:r>
      <w:r w:rsidRPr="00163957">
        <w:rPr>
          <w:i/>
        </w:rPr>
        <w:t>in fine</w:t>
      </w:r>
      <w:r>
        <w:t>, del art. 36.1 LBRL, en la redacción dada por el art. 1.13 de la Ley 27/2013.</w:t>
      </w:r>
    </w:p>
    <w:p w:rsidR="00163957" w:rsidRDefault="00163957" w:rsidP="00163957">
      <w:pPr>
        <w:pStyle w:val="TextoNormal"/>
      </w:pPr>
    </w:p>
    <w:p w:rsidR="00163957" w:rsidRDefault="00163957" w:rsidP="00163957">
      <w:pPr>
        <w:pStyle w:val="TextoNormal"/>
      </w:pPr>
      <w:r w:rsidRPr="00163957">
        <w:rPr>
          <w:rStyle w:val="NumeroAFNegritaCaracter"/>
        </w:rPr>
        <w:t>11</w:t>
      </w:r>
      <w:r>
        <w:t>. La Junta de Andalucía recurre varias previsiones relacionadas con la modalidad competencial más característica de la diputación provincial, la que abarca tareas dirigidas directa o principalmente a otros entes locales, singularmente municipios (coordinación, asistencia y cooperación). Analizaremos primero la impugnación de la letra g) del art. 36.1 LBRL (en la redacción dada por el art. 1.13 de la Ley 27/2013), conforme a la que corresponde a la diputación provincial, como competencia propia, “la prestación de los servicios de administración electrónica y la contratación centralizada en los municipios con población inferior a 20.000 habitantes”. Vulneraría las competencias de la Junta de Andalucía (arts. 60, 92 y 96 EAAnd) y la garantía constitucional de la autonomía municipal (arts. 137 y 140 CE) por las mismas razones que el precepto examinado en el fundamento jurídico anterior.</w:t>
      </w:r>
    </w:p>
    <w:p w:rsidR="00163957" w:rsidRDefault="00163957" w:rsidP="00163957">
      <w:pPr>
        <w:pStyle w:val="TextoNormal"/>
      </w:pPr>
    </w:p>
    <w:p w:rsidR="00163957" w:rsidRDefault="00163957" w:rsidP="00163957">
      <w:pPr>
        <w:pStyle w:val="TextoNormal"/>
      </w:pPr>
      <w:r>
        <w:t>La previsión impugnada en modo alguno transfiere en bloque a la diputación provincial toda la prestación de servicios de administración electrónica y de la contratación de municipios de menos de 20.000 habitantes; una traslación semejante, general e indiscriminada, ni la pretende el legislador ni resultaría compatible con la potestad de autoorganización inherente a la autonomía constitucionalmente garantizada a todos los municipios (art. 137 CE), también a los de menores dimensiones. En realidad, el art. 36.1, letra g), LBRL, se ha limitado a incluir atribuciones nuevas que especifican la más general de “asistencia y cooperación jurídica, económica y técnica a los municipios, especialmente los de menor capacidad económica y de gestión”, que estaba —y sigue— estando prevista como base del régimen local [art. 36.1, letra b), LBRL]. Hay que tener en cuenta, además, que el art. 31.2 a) LBRL dispone como fines propios y específicos de las diputaciones provinciales los de “garantizar los principios de solidaridad y equilibrio intermunicipales” y, de modo particular, el de “asegurar la prestación integral y adecuada en la totalidad del territorio provincial de los servicios de competencia municipal”. Por ello, lo que pretende el precepto es dar efectividad a la prestación de unos servicios que exigen la aplicación de tecnología informática (en el caso de la administración electrónica) o técnico-jurídica (en el supuesto de la contratación centralizada) que los municipios de pequeña o mediana población (hasta 20.000 habitantes), pueden no estar en condiciones de asumir. En definitiva, se trata de que la diputación provincial cumpla su función institucional más característica prestando apoyo a estos municipios en las tareas que desempeñan relacionadas con la contratación y la llamada administración electrónica. Solo en este sentido, que se desprende naturalmente de interpretación conjunta de los citados artículos de la Ley reguladora de las bases del régimen local, puede entenderse el precepto impugnado.</w:t>
      </w:r>
    </w:p>
    <w:p w:rsidR="00163957" w:rsidRDefault="00163957" w:rsidP="00163957">
      <w:pPr>
        <w:pStyle w:val="TextoNormal"/>
      </w:pPr>
    </w:p>
    <w:p w:rsidR="00163957" w:rsidRDefault="00163957" w:rsidP="00163957">
      <w:pPr>
        <w:pStyle w:val="TextoNormal"/>
      </w:pPr>
      <w:r>
        <w:lastRenderedPageBreak/>
        <w:t>Hay que tener en cuenta, que el art. 149.1.18 CE autoriza una legislación básica estatal que desarrolle “el apoyo a los Municipios” como “núcleo” de la actividad de la provincia, “en cuanto entidad local determinada por la agrupación de Municipios (art. 141.1 C.E)” con autonomía constitucionalmente garantizada (STC 109/1998, de 21 de mayo, FJ 2). A su vez, las tareas provinciales de cooperación con (o asistencia al) municipio, lejos de vulnerar la autonomía municipal, contribuyen a facilitar su desarrollo efectivo, por lo que no pueden entenderse infringidos los arts. 137 y 140 CE.</w:t>
      </w:r>
    </w:p>
    <w:p w:rsidR="00163957" w:rsidRDefault="00163957" w:rsidP="00163957">
      <w:pPr>
        <w:pStyle w:val="TextoNormal"/>
      </w:pPr>
    </w:p>
    <w:p w:rsidR="00163957" w:rsidRDefault="00163957" w:rsidP="00163957">
      <w:pPr>
        <w:pStyle w:val="TextoNormal"/>
      </w:pPr>
      <w:r>
        <w:t>Por tanto, procede desestimar la impugnación de la letra g) del art. 36.1 LBRL, en la redacción dada por el art. 1.13 de la Ley 27/2013, en esta interpretación conforme, que será llevada al fallo.</w:t>
      </w:r>
    </w:p>
    <w:p w:rsidR="00163957" w:rsidRDefault="00163957" w:rsidP="00163957">
      <w:pPr>
        <w:pStyle w:val="TextoNormal"/>
      </w:pPr>
    </w:p>
    <w:p w:rsidR="00163957" w:rsidRDefault="00163957" w:rsidP="00163957">
      <w:pPr>
        <w:pStyle w:val="TextoNormal"/>
      </w:pPr>
      <w:r w:rsidRPr="00163957">
        <w:rPr>
          <w:rStyle w:val="NumeroAFNegritaCaracter"/>
        </w:rPr>
        <w:t>12</w:t>
      </w:r>
      <w:r>
        <w:t>. La Junta de Andalucía impugna varias previsiones que reiteran o desarrollan la competencia provincial de “coordinación de los servicios municipales entre sí para la garantía de la prestación integral y adecuada”, que, incluida ya en la anterior redacción del art. 36.1 LBRL, se mantiene en la nueva [letra a)].</w:t>
      </w:r>
    </w:p>
    <w:p w:rsidR="00163957" w:rsidRDefault="00163957" w:rsidP="00163957">
      <w:pPr>
        <w:pStyle w:val="TextoNormal"/>
      </w:pPr>
    </w:p>
    <w:p w:rsidR="00163957" w:rsidRDefault="00163957" w:rsidP="00163957">
      <w:pPr>
        <w:pStyle w:val="TextoNormal"/>
      </w:pPr>
      <w:r>
        <w:t>a) La letra c) del art. 36.1 LBRL —además de incluir la referencia ya examinada a servicios de interés supramunicipal y supracomarcal—, establece que corresponde a la Diputación Provincial, como competencia propia, la “coordinación de la prestación unificada de servicios de los municipios de su respectivo ámbito territorial”. La Junta de Andalucía razona también en este caso que hay extralimitación de la competencia estatal prevista en el art. 149.1.18 CE con vulneración de las competencias estatutarias de la Comunidad Autónoma (arts. 60, 92 y 96 EAAnd) y la garantía constitucional de la autonomía municipal (arts. 137 y 140 CE).</w:t>
      </w:r>
    </w:p>
    <w:p w:rsidR="00163957" w:rsidRDefault="00163957" w:rsidP="00163957">
      <w:pPr>
        <w:pStyle w:val="TextoNormal"/>
      </w:pPr>
    </w:p>
    <w:p w:rsidR="00163957" w:rsidRDefault="00163957" w:rsidP="00163957">
      <w:pPr>
        <w:pStyle w:val="TextoNormal"/>
      </w:pPr>
      <w:r>
        <w:t>La STC 214/1989, FJ 18, realizó dos precisiones relevantes a este respecto. En primer lugar, aisló la “coordinación” como concepto constitucional diferenciado de la “cooperación” (o “coordinación voluntaria”). Solo la primera implica un “límite efectivo al ejercicio de las competencias” de otro; “toda coordinación conlleva un cierto poder de dirección, consecuencia de la posición de superioridad en que se encuentra el que coordina respecto al coordinado”; “por ello mismo, debe venir, en efecto, amparada en la pertinente atribución competencial”. En segundo lugar, la indicada Sentencia constató que “la diferencia existente entre las técnicas de cooperación y las de coordinación encuentra, en efecto, una adecuada expresión en la LBRL”.</w:t>
      </w:r>
    </w:p>
    <w:p w:rsidR="00163957" w:rsidRDefault="00163957" w:rsidP="00163957">
      <w:pPr>
        <w:pStyle w:val="TextoNormal"/>
      </w:pPr>
    </w:p>
    <w:p w:rsidR="00163957" w:rsidRDefault="00163957" w:rsidP="00163957">
      <w:pPr>
        <w:pStyle w:val="TextoNormal"/>
      </w:pPr>
      <w:r>
        <w:t xml:space="preserve">El art. 36.1 LBRL, desde su redacción originaria, refleja, en efecto, la cooperación y la coordinación como competencias provinciales diferenciables. Si la primera estaba y sigue prevista en la letra b), la segunda estaba y sigue prevista en la letra a), que atribuye a la diputación como competencia propia “la coordinación de los servicios municipales entre sí para la garantía de la prestación integral y adecuada”. Tal como recuerda la STC 41/2016, FJ 9, este Tribunal, en la STC 214/1989, FJ 3 a), no se pronunció directamente sobre esta letra —no fue impugnada—, pero vino a juzgarla legítima en términos constitucionales: “al delimitar las materias en las que necesariamente, de acuerdo con los principios señalados, a las Entidades locales deberán atribuírseles competencias e, incluso, especificando para los municipios los servicios mínimos que, en todo caso, deberán prestar. Así, se prevé para los municipios en los arts. 25.2 y 26 y para las provincias en el art. 36, sin que, por lo demás, tales previsiones hayan sido objeto de impugnación alguna”. Después, la STC 109/1998, FJ </w:t>
      </w:r>
      <w:r>
        <w:lastRenderedPageBreak/>
        <w:t xml:space="preserve">3, se pronunció ya de modo directo sobre la letra a) del art. 36.1 LBRL, reputándola materialmente básica </w:t>
      </w:r>
      <w:r w:rsidRPr="00163957">
        <w:rPr>
          <w:i/>
        </w:rPr>
        <w:t>ex</w:t>
      </w:r>
      <w:r>
        <w:t xml:space="preserve"> art. 149.1.18 CE porque sirve para delimitar “las atribuciones de las Diputaciones Provinciales y contemplan la actividad instrumental para su ejercicio”.</w:t>
      </w:r>
    </w:p>
    <w:p w:rsidR="00163957" w:rsidRDefault="00163957" w:rsidP="00163957">
      <w:pPr>
        <w:pStyle w:val="TextoNormal"/>
      </w:pPr>
    </w:p>
    <w:p w:rsidR="00163957" w:rsidRDefault="00163957" w:rsidP="00163957">
      <w:pPr>
        <w:pStyle w:val="TextoNormal"/>
      </w:pPr>
      <w:r>
        <w:t>La nueva “coordinación de la prestación unificada de servicios de los municipios de su respectivo ámbito territorial” [letra c) del art. 36.1 LBRL] es una mención genérica a facultades provinciales de coordinación muy similar a la clásica “coordinación de los servicios municipales entre sí para la garantía de la prestación integral y adecuada” [letra a)]. Las razones que llevaron a este Tribunal a entender que el art. 149.1.18 CE proporciona cobertura a la competencia provincial de coordinación prevista en la letra a) del art. 36.1 LBRL han de conducir ahora a la misma conclusión respecto de la competencia provincial de coordinación que enuncia genéricamente la letra c) del art. 36.1 LBRL. Según se ha razonado ya, este título permite al Estado atribuir competencias a las diputaciones provinciales y, en particular, facultades de coordinación de la actividad municipal, orientadas a “flexibilizar y prevenir disfunciones derivadas del propio sistema de distribución de competencias” (STC 214/1989, FJ 18).</w:t>
      </w:r>
    </w:p>
    <w:p w:rsidR="00163957" w:rsidRDefault="00163957" w:rsidP="00163957">
      <w:pPr>
        <w:pStyle w:val="TextoNormal"/>
      </w:pPr>
    </w:p>
    <w:p w:rsidR="00163957" w:rsidRDefault="00163957" w:rsidP="00163957">
      <w:pPr>
        <w:pStyle w:val="TextoNormal"/>
      </w:pPr>
      <w:r>
        <w:t>A su vez, tampoco en este caso hay vulneración de la garantía constitucional de la autonomía municipal (art. 137 CE). Ciertamente, la indicada competencia provincial de coordinación de servicios municipales está prevista en términos generalísimos. Sin embargo, ello no contrasta con las exigencias de predeterminación normativa y proporcionalidad que el reconocimiento constitucional de autonomía impone a la coordinación, como “límite efectivo” al ejercicio de las competencias municipales expresivo de “cierto poder de dirección” de la diputación, “consecuencia de la posición de superioridad en que se encuentra el que coordina respecto al coordinado”, dicho en términos de la STC 214/1989, FJ 18. Según lo ya razonado, esta ausencia de precisión o determinación no puede entrañar un problema en el contexto de una regulación afirmada como básica y, por tanto, incompleta o necesitada del complemento autonómico; a la que se añade la legislación sectorial del Estado y las Comunidades Autónomas, que es la encargada de definir concretamente las competencias locales [SSTC 214/1989, FJ 3, letras a) y b) y c); 41/2016, FJ 9]. Por lo demás, la propia Ley reguladora de las bases del régimen local incluye previsiones algo más específicas sobre las facultades provinciales de coordinación, algunas de las cuales han sido impugnadas.</w:t>
      </w:r>
    </w:p>
    <w:p w:rsidR="00163957" w:rsidRDefault="00163957" w:rsidP="00163957">
      <w:pPr>
        <w:pStyle w:val="TextoNormal"/>
      </w:pPr>
    </w:p>
    <w:p w:rsidR="00163957" w:rsidRDefault="00163957" w:rsidP="00163957">
      <w:pPr>
        <w:pStyle w:val="TextoNormal"/>
      </w:pPr>
      <w:r>
        <w:t>En consecuencia, procede desestimar todos los motivos de inconstitucionalidad dirigidos contra la letra c) del art. 36.1 LBRL, en la redacción dada por el art. 1.13 de la Ley 27/2013.</w:t>
      </w:r>
    </w:p>
    <w:p w:rsidR="00163957" w:rsidRDefault="00163957" w:rsidP="00163957">
      <w:pPr>
        <w:pStyle w:val="TextoNormal"/>
      </w:pPr>
    </w:p>
    <w:p w:rsidR="00163957" w:rsidRDefault="00163957" w:rsidP="00163957">
      <w:pPr>
        <w:pStyle w:val="TextoNormal"/>
      </w:pPr>
      <w:r>
        <w:t xml:space="preserve">b) El art. 116 </w:t>
      </w:r>
      <w:r w:rsidRPr="00163957">
        <w:rPr>
          <w:i/>
        </w:rPr>
        <w:t>ter</w:t>
      </w:r>
      <w:r>
        <w:t xml:space="preserve"> LBRL, introducido por el art. 1.31 de la Ley 27/2013, obliga a las entidades locales a, por un lado, calcular el “coste efectivo” de sus servicios conforme a una serie de criterios —que una orden ministerial habrá de desarrollar— y, por otro, comunicar el cálculo resultante al Ministerio de Hacienda y Administraciones Públicas para su publicación.</w:t>
      </w:r>
    </w:p>
    <w:p w:rsidR="00163957" w:rsidRDefault="00163957" w:rsidP="00163957">
      <w:pPr>
        <w:pStyle w:val="TextoNormal"/>
      </w:pPr>
    </w:p>
    <w:p w:rsidR="00163957" w:rsidRDefault="00163957" w:rsidP="00163957">
      <w:pPr>
        <w:pStyle w:val="TextoNormal"/>
      </w:pPr>
      <w:r>
        <w:t xml:space="preserve">Se recurre por las “consecuencias jurídicas altamente perniciosas para la autonomía municipal” que otros preceptos de la Ley 27/2013 asociarían a la valoración individualizada del “coste efectivo” de cada uno de los servicios municipales. La nueva redacción del art. 26.2 LBRL —también impugnado— se apoyaría en ese “coste efectivo” para desapoderar a los municipios de menos de 20.000 habitantes de determinados servicios. También el </w:t>
      </w:r>
      <w:r>
        <w:lastRenderedPageBreak/>
        <w:t xml:space="preserve">nuevo art. 36.2 a) LBRL —recurrido igualmente—, relativo al plan provincial de cooperación a las obras y servicios de competencia municipal; permite la inclusión de fórmulas de prestación unificada o supramunicipal para reducir sus costes efectivos, cuando “la Diputación detecte que los costes efectivos de los servicios prestados por los municipios son superiores a los de los servicios coordinados o prestados por ella”. Conectaría igualmente con el art. 116 </w:t>
      </w:r>
      <w:r w:rsidRPr="00163957">
        <w:rPr>
          <w:i/>
        </w:rPr>
        <w:t>ter</w:t>
      </w:r>
      <w:r>
        <w:t xml:space="preserve"> LBRL, asociándole efectos “perniciosos”, el —no impugnado— art. 36.1 h) LBRL, que establece como “función supervisora” de la Diputación respecto de los municipios, el “seguimiento de los costes efectivos de los servicios prestados”.</w:t>
      </w:r>
    </w:p>
    <w:p w:rsidR="00163957" w:rsidRDefault="00163957" w:rsidP="00163957">
      <w:pPr>
        <w:pStyle w:val="TextoNormal"/>
      </w:pPr>
    </w:p>
    <w:p w:rsidR="00163957" w:rsidRDefault="00163957" w:rsidP="00163957">
      <w:pPr>
        <w:pStyle w:val="TextoNormal"/>
      </w:pPr>
      <w:r>
        <w:t>La impugnación se basa en la garantía constitucional de la autonomía municipal (arts. 137 y 140 CE). La Ley 27/2013 la habría incumplido al desconocer que el “coste” de los servicios es una variable que debe depender necesariamente de su calidad. Habría de ser la orientación política de los representantes políticos —traducción de los intereses y las aspiraciones vecinales— la que determinase las decisiones relativas a los servicios municipales en términos de tanto cantidad como calidad. La mayor proximidad a la ciudadanía del nivel municipal de gobierno fundamenta que éste deba tener atribuida la gestión de servicios y que aquélla, a través de sus representantes, pueda condicionar la calidad de esa gestión.</w:t>
      </w:r>
    </w:p>
    <w:p w:rsidR="00163957" w:rsidRDefault="00163957" w:rsidP="00163957">
      <w:pPr>
        <w:pStyle w:val="TextoNormal"/>
      </w:pPr>
    </w:p>
    <w:p w:rsidR="00163957" w:rsidRDefault="00163957" w:rsidP="00163957">
      <w:pPr>
        <w:pStyle w:val="TextoNormal"/>
      </w:pPr>
      <w:r>
        <w:t>El anteproyecto de la Ley impugnada regulaba el denominado “coste estándar”. Tras las objeciones del Dictamen 567/2013, de 26 de junio, del Consejo de Estado, el texto definitivo ha previsto el llamado “coste efectivo”, regulándolo en el precepto impugnado y utilizándolo en otras partes de su articulado para ordenar competencias provinciales de coordinación y cooperación, tal como subraya la Letrada autonómica.</w:t>
      </w:r>
    </w:p>
    <w:p w:rsidR="00163957" w:rsidRDefault="00163957" w:rsidP="00163957">
      <w:pPr>
        <w:pStyle w:val="TextoNormal"/>
      </w:pPr>
    </w:p>
    <w:p w:rsidR="00163957" w:rsidRDefault="00163957" w:rsidP="00163957">
      <w:pPr>
        <w:pStyle w:val="TextoNormal"/>
      </w:pPr>
      <w:r>
        <w:t xml:space="preserve">El art. 116 </w:t>
      </w:r>
      <w:r w:rsidRPr="00163957">
        <w:rPr>
          <w:i/>
        </w:rPr>
        <w:t>ter</w:t>
      </w:r>
      <w:r>
        <w:t xml:space="preserve"> LBRL impone dos obligaciones a los entes locales que en modo alguno entrañan una injerencia en su autonomía: calcular el “coste efectivo” de sus servicios conforme a una serie de criterios, que habrá de desarrollar una orden ministerial (ya adoptada: Orden HAP/2075/2014, de 6 de noviembre); y comunicar el cálculo resultante al Estado para su publicación. No por ello los entes locales han visto menoscabadas sus posibilidades de intervención en los asuntos que les afectan. No hay injerencia alguna sobre su ámbito competencial; hay la imposición de una tarea de elaboración y análisis de datos con publicidad que facilita la configuración de políticas públicas en los tres niveles territoriales, además del control directo de la actividad local por parte de la ciudadanía. Podrán discutirse políticamente los criterios de cálculo y el propio concepto legal de “coste efectivo”, pero es evidente que unos y otro no vulneran los arts. 137, 140 y 141 CE.</w:t>
      </w:r>
    </w:p>
    <w:p w:rsidR="00163957" w:rsidRDefault="00163957" w:rsidP="00163957">
      <w:pPr>
        <w:pStyle w:val="TextoNormal"/>
      </w:pPr>
    </w:p>
    <w:p w:rsidR="00163957" w:rsidRDefault="00163957" w:rsidP="00163957">
      <w:pPr>
        <w:pStyle w:val="TextoNormal"/>
      </w:pPr>
      <w:r>
        <w:t xml:space="preserve">Ciertamente, no puede excluirse en abstracto que los preceptos que se sirven del concepto de “coste efectivo” regulado en el art. 116 </w:t>
      </w:r>
      <w:r w:rsidRPr="00163957">
        <w:rPr>
          <w:i/>
        </w:rPr>
        <w:t>ter</w:t>
      </w:r>
      <w:r>
        <w:t xml:space="preserve"> LBRL vulneren la garantía constitucional de la autonomía local. No obstante, ello habrá de analizarse respecto de cada precepto concreto y, en todo caso, si la vulneración se produjera, sería imputable a ese precepto, no al art. 116 </w:t>
      </w:r>
      <w:r w:rsidRPr="00163957">
        <w:rPr>
          <w:i/>
        </w:rPr>
        <w:t>ter</w:t>
      </w:r>
      <w:r>
        <w:t xml:space="preserve"> LBRL. Por eso procede desestimar la impugnación del art. art. 116 </w:t>
      </w:r>
      <w:r w:rsidRPr="00163957">
        <w:rPr>
          <w:i/>
        </w:rPr>
        <w:t>ter</w:t>
      </w:r>
      <w:r>
        <w:t xml:space="preserve"> LBRL, introducido por el art. 1.31 de la Ley 27/2013.</w:t>
      </w:r>
    </w:p>
    <w:p w:rsidR="00163957" w:rsidRDefault="00163957" w:rsidP="00163957">
      <w:pPr>
        <w:pStyle w:val="TextoNormal"/>
      </w:pPr>
    </w:p>
    <w:p w:rsidR="00163957" w:rsidRDefault="00163957" w:rsidP="00163957">
      <w:pPr>
        <w:pStyle w:val="TextoNormal"/>
      </w:pPr>
      <w:r>
        <w:t xml:space="preserve">c) El apartado 2 del art. 36 LBRL, en la redacción dada por el art. 1.13 de la Ley 27/2013, establece una serie de previsiones “a los efectos de lo dispuesto en las letras a), b) y c) del apartado anterior”. Se aplica, por tanto, a las tres grandes competencias atribuidas con carácter general a la diputación provincial: la “prestación de servicios públicos de carácter </w:t>
      </w:r>
      <w:r>
        <w:lastRenderedPageBreak/>
        <w:t>supramunicipal y, en su caso, supracomarcal” (de la que nos hemos ocupado en el fundamento jurídico 10 de esta Sentencia), la “asistencia y cooperación jurídica, económica y técnica a los Municipios” (abordada en el fundamento jurídico 11) y la “coordinación” tanto “de los servicios municipales entre sí” como de su “prestación unificada” (afrontada en este fundamento jurídico).</w:t>
      </w:r>
    </w:p>
    <w:p w:rsidR="00163957" w:rsidRDefault="00163957" w:rsidP="00163957">
      <w:pPr>
        <w:pStyle w:val="TextoNormal"/>
      </w:pPr>
    </w:p>
    <w:p w:rsidR="00163957" w:rsidRDefault="00163957" w:rsidP="00163957">
      <w:pPr>
        <w:pStyle w:val="TextoNormal"/>
      </w:pPr>
      <w:r>
        <w:t>A estos efectos, la nueva regulación, en consonancia con la anterior, dispone que la diputación (o entidad equivalente) “aprueba anualmente un plan provincial de cooperación a las obras y servicios de competencia municipal” elaborado con participación de los municipios de la provincia y financiado con “medios propios”, aportaciones municipales o subvenciones autonómicas o estatales. El plan “deberá contener una memoria” que justifique “los criterios de distribución de los fondos”; criterios que “en todo caso han de ser objetivos y equitativos y entre los que estará el análisis de los costes efectivos de los servicios de los municipios”.</w:t>
      </w:r>
    </w:p>
    <w:p w:rsidR="00163957" w:rsidRDefault="00163957" w:rsidP="00163957">
      <w:pPr>
        <w:pStyle w:val="TextoNormal"/>
      </w:pPr>
    </w:p>
    <w:p w:rsidR="00163957" w:rsidRDefault="00163957" w:rsidP="00163957">
      <w:pPr>
        <w:pStyle w:val="TextoNormal"/>
      </w:pPr>
      <w:r>
        <w:t>La Junta de Andalucía impugna el párrafo segundo del art. 36.2 a) LBRL, que dispone: “Cuando la Diputación detecte que los costes efectivos de los servicios prestados por los municipios son superiores a los de los servicios coordinados o prestados por ella, incluirá en el plan provincial fórmulas de prestación unificada o supramunicipal para reducir sus costes efectivos”.</w:t>
      </w:r>
    </w:p>
    <w:p w:rsidR="00163957" w:rsidRDefault="00163957" w:rsidP="00163957">
      <w:pPr>
        <w:pStyle w:val="TextoNormal"/>
      </w:pPr>
    </w:p>
    <w:p w:rsidR="00163957" w:rsidRDefault="00163957" w:rsidP="00163957">
      <w:pPr>
        <w:pStyle w:val="TextoNormal"/>
      </w:pPr>
      <w:r>
        <w:t>Entre las fórmulas posibles de “prestación unificada o supramunicipal” se hallan las técnicas de colaboración o “coordinación voluntaria”, como las convencionales y asociativas; el plan provincial puede estimular la asociación voluntaria de municipios (mancomunidades) y la celebración de convenios de colaboración para la gestión compartida de sus servicios. El art. 36.2 a) LBRL habilita también la utilización de técnicas de coordinación en sentido propio o estricto. El propio art. 36.2 a) LBRL, al referirse a algunas de las condiciones que presuponen el ejercicio de esta competencia de coordinación (el menor coste de “los servicios coordinados o prestados” directamente por la diputación), da claramente a entender que atribuye a la provincia una potestad de cuyo ejercicio pueden resultar decisiones de obligado cumplimiento para los municipios de su ámbito territorial con relación a la gestión de los servicios de su titularidad.</w:t>
      </w:r>
    </w:p>
    <w:p w:rsidR="00163957" w:rsidRDefault="00163957" w:rsidP="00163957">
      <w:pPr>
        <w:pStyle w:val="TextoNormal"/>
      </w:pPr>
    </w:p>
    <w:p w:rsidR="00163957" w:rsidRDefault="00163957" w:rsidP="00163957">
      <w:pPr>
        <w:pStyle w:val="TextoNormal"/>
      </w:pPr>
      <w:r>
        <w:t>Según la Junta de Andalucía, también en este caso el Estado habría traspasado los márgenes de su título competencial (art. 149.1.18 CE), vulnerando las atribuciones estatutarias de la Comunidad Autónoma de Andalucía en materia de régimen local (arts. 60, 92 y 96 EAAnd). Habría infringido igualmente la garantía constitucional de la autonomía municipal (arts. 137 y 140 CE). Se subraya que las atribuciones previstas en el art. 36 LBRL —a diferencia de las reguladas por el también impugnado art. 26.2 LBRL— se aplican a todos los municipios —no solo a los de menos de 20.000 habitantes— y sin exigir su conformidad previa. Se dice, a su vez, que el criterio económico no parece que pueda ser el único determinante en decisiones de esta envergadura.</w:t>
      </w:r>
    </w:p>
    <w:p w:rsidR="00163957" w:rsidRDefault="00163957" w:rsidP="00163957">
      <w:pPr>
        <w:pStyle w:val="TextoNormal"/>
      </w:pPr>
    </w:p>
    <w:p w:rsidR="00163957" w:rsidRDefault="00163957" w:rsidP="00163957">
      <w:pPr>
        <w:pStyle w:val="TextoNormal"/>
      </w:pPr>
      <w:r>
        <w:t xml:space="preserve">Por las razones varias veces indicadas, no cabe duda de que la previsión impugnada halla cobertura en la competencia estatal para adoptar las bases del régimen local (art. 149.1.18 CE): respecto de la diputación provincial, está al alcance del “legislador básico” “disminuir o acrecentar las competencias hoy existentes” (STC 109/1998, FJ 2, citando la STC 32/1981, FJ 3). Al regular facultades de coordinación provincial de la actividad municipal, </w:t>
      </w:r>
      <w:r>
        <w:lastRenderedPageBreak/>
        <w:t>el Estado desarrolla el “núcleo” funcional característico de la diputación, en cuanto entidad local “determinada por la agrupación de Municipios” (art. 141.1 CE). Puede adoptar previsiones básicas a este respecto, delimitando “las atribuciones de las Diputaciones Provinciales” (STC 109/1998, FJ 2). La regulación controvertida expresa una de las opciones posibles dentro de los amplios márgenes de configuración que la Constitución atribuye al legislador básico, en particular, para elegir la forma de alcanzar objetivos constitucionales indeclinables, como son la eficiencia en el uso de los recursos públicos (art. 31.2 CE) y la estabilidad presupuestaria “como norma de conducta a la que están sujetas las entidades locales (art. 135.2 CE)” [STC 41/2016, FJ 3 a)].</w:t>
      </w:r>
    </w:p>
    <w:p w:rsidR="00163957" w:rsidRDefault="00163957" w:rsidP="00163957">
      <w:pPr>
        <w:pStyle w:val="TextoNormal"/>
      </w:pPr>
    </w:p>
    <w:p w:rsidR="00163957" w:rsidRDefault="00163957" w:rsidP="00163957">
      <w:pPr>
        <w:pStyle w:val="TextoNormal"/>
      </w:pPr>
      <w:r>
        <w:t>Resta por determinar si hay vulneración de los arts. 137 y 140 CE. La garantía constitucional de la autonomía local no impide por sí que el legislador atribuya a la diputación provincial competencias de coordinación en sentido estricto, como “límite efectivo” al ejercicio de las atribuciones municipales (STC 214/1989, FJ 18). Los arts. 137 y 140 CE no imposibilitan esta atribución, imponen sólo condiciones. Según lo ya razonado, la competencia provincial de coordinación, además de estar específicamente atribuida y suficientemente determinada, debe responder a la protección de intereses supramunicipales; una amplia indeterminación normativa equivale a confiar a la propia entidad coordinadora la forma y alcance de su “cierto poder de dirección” sobre el ente coordinado; un poder que estaría, en realidad, autoatribuido en contra de la doctrina constitucional. A su vez, el legislador, dentro de los amplios márgenes con que cuenta para diseñar fórmulas de coordinación provincial, debe asegurar que el grado de capacidad decisoria que conserve el municipio sea tendencialmente correlativo al nivel de interés municipal presente en el asunto de que se trate. Tal como recuerda la STC 154/2015, de 9 de julio, FJ 6 a), “se trata de que el legislador gradúe el alcance o intensidad de la intervención local ‘en función de la relación existente entre los intereses locales y supralocales dentro de tales asuntos o materias’ (SSTC 32/1981, FJ 4; 170/1989, 19 de octubre, FJ 9, y 51/2004, FJ 9, entre muchas; en el mismo sentido, últimamente, SSTC 95/2014, de 12 de junio, FJ 5; 57/2015, de 18 de marzo, FJ 6, y 92/2015, de 14 de mayo, FJ 4)”.</w:t>
      </w:r>
    </w:p>
    <w:p w:rsidR="00163957" w:rsidRDefault="00163957" w:rsidP="00163957">
      <w:pPr>
        <w:pStyle w:val="TextoNormal"/>
      </w:pPr>
    </w:p>
    <w:p w:rsidR="00163957" w:rsidRDefault="00163957" w:rsidP="00163957">
      <w:pPr>
        <w:pStyle w:val="TextoNormal"/>
      </w:pPr>
      <w:r>
        <w:t>En el presente caso, cabe apreciar, en primer término, que el art. 36.2 a), segundo párrafo LBRL, perfila algunos aspectos del poder de coordinación provincial a la vez que trata de proteger intereses supramunicipales sin dejar de tomar en consideración los municipales. La competencia de coordinación está legalmente atribuida —de manera muy general— en las letras a) y c) del apartado 1 del art. 36 LBRL y —de modo algo más concreto— en el propio apartado 2 a), que aísla algunos de sus elementos fundamentales: a) la coordinación se refiere, por definición, a competencias de titularidad municipal y, por tanto, a competencias cuya gestión corresponde (y debe seguir correspondiendo) a los ayuntamientos; b) la coordinación se instrumenta a través del plan provincial de cooperación; c) consiste en “fórmulas de prestación unificada o supramunicipal” cuyo contenido y alcance no se concretan; d) procede cuando los costes efectivos de los servicios prestados por los municipios sean superiores a los de los servicios coordinados o prestados por la diputación; y e) debe orientarse a la reducción de los costes efectivos. A su vez, el legislador básico, al atribuir estas facultades de coordinación, pretende proteger intereses supramunicipales, singularmente, la eficiencia en el uso de los recursos públicos y la estabilidad presupuestaria (arts. 31.2 y 135 CE).</w:t>
      </w:r>
    </w:p>
    <w:p w:rsidR="00163957" w:rsidRDefault="00163957" w:rsidP="00163957">
      <w:pPr>
        <w:pStyle w:val="TextoNormal"/>
      </w:pPr>
    </w:p>
    <w:p w:rsidR="00163957" w:rsidRDefault="00163957" w:rsidP="00163957">
      <w:pPr>
        <w:pStyle w:val="TextoNormal"/>
      </w:pPr>
      <w:r>
        <w:lastRenderedPageBreak/>
        <w:t>Funcionan, en fin, tres modalidades de intervención o participación municipal. En primer lugar, según hemos dicho ya, la coordinación tiene por objeto, naturalmente, competencias de titularidad municipal; “no supone … una sustracción o menoscabo de las competencias de las entidades sometidas a la misma”, “antes bien, presupone lógicamente la titularidad de las competencias en favor de la entidad coordinada” (SSTC 27/1987, FJ 2; 194/2004, de 4 de noviembre, FJ 8, y 178/2015, de 7 de septiembre, FJ 9). Ello implica que quien ejerza la competencia coordinada será siempre el propio ayuntamiento. En segundo término, los municipios de la provincia “deben participar” específicamente en la elaboración del plan provincial y, por tanto, en el diseño mismo de las fórmulas de coordinación [art. 36.2 a) LBRL]. Y, en tercer lugar, a través de los concejales municipales que forman parte de la diputación (arts. 202 a 209 LOREG), los ayuntamientos intervienen de algún modo, no solo en la elaboración del plan de cooperación, sino también en la aplicación y desarrollo de las facultades de coordinación; el sentido de que los municipios —no los ciudadanos— sean quienes estén directamente representados en los órganos provinciales de gobierno es, precisamente, en términos de principio, que los municipios son los destinatarios principales o directos de este tipo de competencias, característico de la provincia como entidad local “determinada por la agrupación de municipios” (art. 141.1 CE).</w:t>
      </w:r>
    </w:p>
    <w:p w:rsidR="00163957" w:rsidRDefault="00163957" w:rsidP="00163957">
      <w:pPr>
        <w:pStyle w:val="TextoNormal"/>
      </w:pPr>
    </w:p>
    <w:p w:rsidR="00163957" w:rsidRDefault="00163957" w:rsidP="00163957">
      <w:pPr>
        <w:pStyle w:val="TextoNormal"/>
      </w:pPr>
      <w:r>
        <w:t>Ahora bien, el art. 36.2 a) LBRL no predetermina suficientemente la competencia provincial atribuida ni precisa los detalles que pudieran garantizar que las fórmulas de gestión “unificada” que efectivamente se impongan asegurarán al ayuntamiento márgenes decisorios tendencialmente correlativos a la intensidad de los intereses municipales implicados. Nada dice sobre qué fórmulas han de establecerse en concreto ni qué circunstancias exigen promover las más livianas (p. ej., estímulos a la creación de mancomunidades) o las más penetrantes (p. ej., imposición de fórmulas de gestión indirecta). La previsión impugnada tiene un grado tal de indeterminación que, en abstracto, admite que la coordinación se concrete en el ejercicio de facultades virtualmente autoatribuidas, esto es, que el alcance del “cierto poder de dirección” que implica la coordinación sea decidido por la propia diputación. El precepto admite también, en principio, el desarrollo de técnicas de coordinación perfectamente compatibles con la autonomía municipal y todo lo contrario.</w:t>
      </w:r>
    </w:p>
    <w:p w:rsidR="00163957" w:rsidRDefault="00163957" w:rsidP="00163957">
      <w:pPr>
        <w:pStyle w:val="TextoNormal"/>
      </w:pPr>
    </w:p>
    <w:p w:rsidR="00163957" w:rsidRDefault="00163957" w:rsidP="00163957">
      <w:pPr>
        <w:pStyle w:val="TextoNormal"/>
      </w:pPr>
      <w:r>
        <w:t>Consecuentemente, el párrafo segundo del art. 36.2 a) LBRL sería contrario a los arts. 137 y 140 CE si fuera interpretado como previsión que atribuye por sí unas facultades de coordinación cuyo concreto alcance hubiera de fijar la propia diputación a través de los correspondientes planes de cooperación. Sin embargo, está interpretación ha de excluirse, habida cuenta de que hay otra que, siendo igualmente razonable, resulta conforme a la Constitución.</w:t>
      </w:r>
    </w:p>
    <w:p w:rsidR="00163957" w:rsidRDefault="00163957" w:rsidP="00163957">
      <w:pPr>
        <w:pStyle w:val="TextoNormal"/>
      </w:pPr>
    </w:p>
    <w:p w:rsidR="00163957" w:rsidRDefault="00163957" w:rsidP="00163957">
      <w:pPr>
        <w:pStyle w:val="TextoNormal"/>
      </w:pPr>
      <w:r>
        <w:t xml:space="preserve">De acuerdo a esa otra interpretación, el art. 36.2 a) LBRL es una previsión básica que, en cuanto tal, no pretende ni puede pretender agotar la regulación de la materia. Se refiere a una submateria —competencias locales— en la que las Comunidades Autónomas disponen de amplios márgenes de desarrollo y en la que, en todo caso, concurren regulaciones sectoriales [STC 41/2016, FJ 7 c)]. Bajo esta perspectiva, la ausencia de precisión característica de la previsión impugnada no resulta en sí problemática desde la perspectiva de la autonomía municipal (arts. 137 y 140 CE). En este sentido, puede entenderse que, en ausencia de indicaciones básicas más precisas en torno al alcance de las facultades de coordinación de la diputación provincial, la legislación autonómica sobre régimen local o las regulaciones sectoriales hayan de concretarlas. Tales regulaciones habrán de predeterminar </w:t>
      </w:r>
      <w:r>
        <w:lastRenderedPageBreak/>
        <w:t xml:space="preserve">suficientemente aquellas facultades ajustándose a las prescripciones básicas (que obligan a tomar en consideración el “coste efectivo”) y a la Constitución (que obliga a asegurar que la capacidad decisoria municipal sea tendencialmente correlativa al nivel de interés municipal involucrado). La previsión impugnada debe interpretarse, por tanto, en el sentido de que precisa de complementos normativos que, en todo caso, deben dejar márgenes de participación a los municipios. Todo ello no condiciona en absoluto, naturalmente, que, frente a estas regulaciones (y los propios planes provinciales) que pudieran vulnerar la indicada serie de exigencias </w:t>
      </w:r>
      <w:r w:rsidRPr="00163957">
        <w:rPr>
          <w:i/>
        </w:rPr>
        <w:t>ex</w:t>
      </w:r>
      <w:r>
        <w:t xml:space="preserve"> arts. 137 y 140 CE, podrán, en su caso, utilizarse las vías procesales oportunas a fin de restablecer la garantía de autonomía municipal constitucionalmente garantizada (en parecido sentido, con relación a las facultades de coordinación previstas en el art. 59 LBRL, STC 214/1989, FJ 21).</w:t>
      </w:r>
    </w:p>
    <w:p w:rsidR="00163957" w:rsidRDefault="00163957" w:rsidP="00163957">
      <w:pPr>
        <w:pStyle w:val="TextoNormal"/>
      </w:pPr>
    </w:p>
    <w:p w:rsidR="00163957" w:rsidRDefault="00163957" w:rsidP="00163957">
      <w:pPr>
        <w:pStyle w:val="TextoNormal"/>
      </w:pPr>
      <w:r>
        <w:t>Corresponde, en consecuencia, declarar que, así entendido, el art. 36.2, letra a), párrafo segundo, LBRL, en la redacción dada por el art. 1.13 de la Ley 27/2013, no es inconstitucional. Esta interpretación de conformidad se llevará al fallo.</w:t>
      </w:r>
    </w:p>
    <w:p w:rsidR="00163957" w:rsidRDefault="00163957" w:rsidP="00163957">
      <w:pPr>
        <w:pStyle w:val="TextoNormal"/>
      </w:pPr>
    </w:p>
    <w:p w:rsidR="00163957" w:rsidRDefault="00163957" w:rsidP="00163957">
      <w:pPr>
        <w:pStyle w:val="TextoNormal"/>
      </w:pPr>
      <w:r>
        <w:t>d) El art. 26.2 LBRL, en la redacción dada por el art. 1.9 de la Ley 27/2013, se refiere a los siguientes servicios: a) recogida y tratamiento de residuos; b) abastecimiento de agua potable a domicilio así como evacuación y tratamiento de aguas residuales; c) limpieza viaria; d) acceso a los núcleos de población, pavimentación de vías urbanas y alumbrado público.</w:t>
      </w:r>
    </w:p>
    <w:p w:rsidR="00163957" w:rsidRDefault="00163957" w:rsidP="00163957">
      <w:pPr>
        <w:pStyle w:val="TextoNormal"/>
      </w:pPr>
    </w:p>
    <w:p w:rsidR="00163957" w:rsidRDefault="00163957" w:rsidP="00163957">
      <w:pPr>
        <w:pStyle w:val="TextoNormal"/>
      </w:pPr>
      <w:r>
        <w:t>Todos estos servicios —salvo el tratamiento de aguas residuales— están previstos como servicios municipales mínimos (art. 26.1 LBRL) o, más precisamente, como prestaciones que, necesariamente, deben proporcionar todos los municipios o, al menos, los de más de 5.000 habitantes, en el caso del tratamiento de residuos. Se está, pues, ante competencias que el legislador básico ha atribuido específica y directamente a los ayuntamientos.</w:t>
      </w:r>
    </w:p>
    <w:p w:rsidR="00163957" w:rsidRDefault="00163957" w:rsidP="00163957">
      <w:pPr>
        <w:pStyle w:val="TextoNormal"/>
      </w:pPr>
    </w:p>
    <w:p w:rsidR="00163957" w:rsidRDefault="00163957" w:rsidP="00163957">
      <w:pPr>
        <w:pStyle w:val="TextoNormal"/>
      </w:pPr>
      <w:r>
        <w:t>El controvertido art. 26.2 LBRL no niega la titularidad municipal de estos servicios; se limita a prever la intervención de la diputación provincial en la gestión que lleven a cabo los municipios de menos de 20.000 habitantes. Tal intervención consiste, según el tenor de la norma, en una “coordinación” adoptada “con la conformidad de los municipios afectados” y concretada en el siguiente elenco —no taxativo— de técnicas posibles: “la prestación directa por la Diputación o la implantación de fórmulas de gestión compartida a través de consorcios, mancomunidades u otras fórmulas”.</w:t>
      </w:r>
    </w:p>
    <w:p w:rsidR="00163957" w:rsidRDefault="00163957" w:rsidP="00163957">
      <w:pPr>
        <w:pStyle w:val="TextoNormal"/>
      </w:pPr>
    </w:p>
    <w:p w:rsidR="00163957" w:rsidRDefault="00163957" w:rsidP="00163957">
      <w:pPr>
        <w:pStyle w:val="TextoNormal"/>
      </w:pPr>
      <w:r>
        <w:t>El precepto establece, en particular, que las técnicas de “coordinación” estarán previstas en un plan que, elaborado por la diputación provincial con la conformidad de los municipios afectados, aprueba el Ministerio de Hacienda y Administraciones Públicas, previo informe preceptivo de la Comunidad Autónoma, si es esta Administración la que ejerce la tutela financiera (párrafo segundo). Si la fórmula —decidida por el Ministerio con audiencia a la Comunidad Autónoma, a propuesta de la provincia y con el consentimiento previo del Ayuntamiento— consistiera en la gestión del servicio en el nivel provincial, la diputación “repercutirá a los municipios” su “coste efectivo” “en función de su uso” o, si se financiara con tasas, será ella quien las reciba (párrafo cuarto). El municipio que en su momento consintió la propuesta provincial, si quiere recuperar la gestión incondicionada puede hacerlo, pero cumpliendo la exigencia siguiente: debe justificar ante la diputación que puede prestar el servicio a un menor coste efectivo (párrafo tercero).</w:t>
      </w:r>
    </w:p>
    <w:p w:rsidR="00163957" w:rsidRDefault="00163957" w:rsidP="00163957">
      <w:pPr>
        <w:pStyle w:val="TextoNormal"/>
      </w:pPr>
    </w:p>
    <w:p w:rsidR="00163957" w:rsidRDefault="00163957" w:rsidP="00163957">
      <w:pPr>
        <w:pStyle w:val="TextoNormal"/>
      </w:pPr>
      <w:r>
        <w:t>A la vista de la impugnación desarrollada por la Junta de Andalucía, conviene aclarar, en primer término, que la regulación controvertida suscita una serie de consideraciones que deben quedar necesariamente al margen de nuestro enjuiciamiento. No nos corresponde valorar la conveniencia de una regulación cuya complejidad es directamente proporcional a la relevancia de los servicios implicados, típicamente municipales y, en efecto, indispensables para el desenvolvimiento de la vida urbana. Tampoco cabe emitir un juicio de constitucionalidad sobre la técnica legislativa empleada; el legislador llama “coordinación” a fórmulas que la doctrina constitucional denomina “colaboración”, “cooperación” o, todo lo más, “coordinación voluntaria”. La incongruencia denunciada por el recurrente desborda igualmente el control de constitucionalidad que nos corresponde.</w:t>
      </w:r>
    </w:p>
    <w:p w:rsidR="00163957" w:rsidRDefault="00163957" w:rsidP="00163957">
      <w:pPr>
        <w:pStyle w:val="TextoNormal"/>
      </w:pPr>
    </w:p>
    <w:p w:rsidR="00163957" w:rsidRDefault="00163957" w:rsidP="00163957">
      <w:pPr>
        <w:pStyle w:val="TextoNormal"/>
      </w:pPr>
      <w:r>
        <w:t>Hemos de responder solo la cuestión de si la regulación controvertida desconoce la garantía constitucional de la autonomía municipal (arts. 137 y 141 CE) y las competencias estatutarias de la Junta de Andalucía, que son las únicas vulneraciones estrictamente jurídico-constitucionales razonadas en el recurso. Según la demandante, el precepto vaciaría el núcleo esencial de la autonomía local a la vista del arraigo y relevancia de los servicios coordinados y de que los municipios con menos de 20.000 habitantes representan el 96,19 por 100 de las entidades locales españolas. Se afirma, también, que el criterio económico no parece que pueda ser el único determinante en decisiones de esta envergadura. Además, el Estado estaría atribuyéndose una competencia ejecutiva que desborda las bases del régimen local con vulneración consecuente de las competencias estatutarias de las Comunidades Autónomas.</w:t>
      </w:r>
    </w:p>
    <w:p w:rsidR="00163957" w:rsidRDefault="00163957" w:rsidP="00163957">
      <w:pPr>
        <w:pStyle w:val="TextoNormal"/>
      </w:pPr>
    </w:p>
    <w:p w:rsidR="00163957" w:rsidRDefault="00163957" w:rsidP="00163957">
      <w:pPr>
        <w:pStyle w:val="TextoNormal"/>
      </w:pPr>
      <w:r>
        <w:t>Tampoco el art. 26.2 LBRL determina precisamente las circunstancias habilitantes de una u otra técnica de “coordinación” (voluntaria). Sin embargo, ello no pone en riesgo la autonomía local constitucionalmente garantizada (arts. 137 y 140 CE) habida cuenta de que el precepto asigna al municipio la posibilidad de oponerse a cualquiera de esas técnicas y, por tanto, también a las que pudieran limitar más fuertemente su autonomía. Conforme al art. 26.2 LBRL, la puesta en marcha de las fórmulas de gestión que planifica la provincia depende, precisamente, de la autonomía municipal. El criterio determinante no es el económico, tampoco la decisión de otras Administraciones públicas; es la voluntad municipal misma. El municipio puede dar o no su conformidad a un plan que condicionará el modo en que ha de gestionar sus servicios. Hay una posible pérdida de autonomía, pues el municipio puede quedar sujeto a la técnica de “coordinación” correspondiente y, en ese caso, solo podría revertir la situación justificando el menor coste efectivo de la gestión incondicionada. Sin embargo, esa pérdida es consentida y, en cuanto tal, no lesiva de la garantía consagrada en los arts. 137 y 141 CE. La pérdida de autonomía municipal se producirá solo eventualmente y únicamente si la acepta el ayuntamiento o, lo que es lo mismo, “con la conformidad de los municipios afectados”.</w:t>
      </w:r>
    </w:p>
    <w:p w:rsidR="00163957" w:rsidRDefault="00163957" w:rsidP="00163957">
      <w:pPr>
        <w:pStyle w:val="TextoNormal"/>
      </w:pPr>
    </w:p>
    <w:p w:rsidR="00163957" w:rsidRDefault="00163957" w:rsidP="00163957">
      <w:pPr>
        <w:pStyle w:val="TextoNormal"/>
      </w:pPr>
      <w:r>
        <w:t xml:space="preserve">A este respecto, hay que hacer notar que la competencia provincial regulada en el art. 26.2 LBRL se corresponde con la sucintamente enunciada en el art. 36.1 h) LBRL, cuyo tenor tampoco arroja dudas sobre el carácter voluntario o consentido de estas fórmulas (llamadas) de coordinación: “Cuando la Diputación detecte que estos costes son superiores a los de los servicios coordinados o prestados por ella, ofrecerá a los municipios su colaboración para una gestión coordinada más eficiente de los servicios que permita reducir estos costes”. Por lo demás, conectan directamente con estas fórmulas voluntarias los estímulos </w:t>
      </w:r>
      <w:r>
        <w:lastRenderedPageBreak/>
        <w:t>financieros previstos en la disposición adicional decimoquinta, sobre “gestión integrada o coordinada de servicios”, del Real Decreto Legislativo 2/2004, en la redacción dada por el art. 2.5 de la Ley 27/2013.</w:t>
      </w:r>
    </w:p>
    <w:p w:rsidR="00163957" w:rsidRDefault="00163957" w:rsidP="00163957">
      <w:pPr>
        <w:pStyle w:val="TextoNormal"/>
      </w:pPr>
    </w:p>
    <w:p w:rsidR="00163957" w:rsidRDefault="00163957" w:rsidP="00163957">
      <w:pPr>
        <w:pStyle w:val="TextoNormal"/>
      </w:pPr>
      <w:r>
        <w:t>No puede excluirse en abstracto que los planes provinciales que sean aprobados al amparo de la norma legal de referencia, eventualmente, puedan diseñar mecanismos disuasorios de tal intensidad que solo formalmente preserven los márgenes de autonomía municipal que asegura el art. 26.2 LBRL. Pero, en tal caso, el problema que tal circunstancia pudiera plantear para la autonomía municipal constitucionalmente garantizada (arts. 137 y 140 CE) afectaría estrictamente, no al impugnado art. 26.2 LBRL, sino a los planes que hubieran desvirtuado materialmente la exigencia de “conformidad” que este impone. Por consiguiente, desde la perspectiva de la autonomía local, el precepto analizado no es inconstitucional.</w:t>
      </w:r>
    </w:p>
    <w:p w:rsidR="00163957" w:rsidRDefault="00163957" w:rsidP="00163957">
      <w:pPr>
        <w:pStyle w:val="TextoNormal"/>
      </w:pPr>
    </w:p>
    <w:p w:rsidR="00163957" w:rsidRDefault="00163957" w:rsidP="00163957">
      <w:pPr>
        <w:pStyle w:val="TextoNormal"/>
      </w:pPr>
      <w:r>
        <w:t>Corresponde ahora determinar si la regulación enjuiciada vulnera las competencias que tienen estatutariamente atribuidas las Comunidades Autónomas. Respecto del régimen local, el art. 149.1.18 CE autoriza al Estado a adoptar normas, pero sin agotar la disciplina. La competencia alcanza solo a la regulación, y ni siquiera toda ella; está limitada a las bases y no a la función ejecutiva [por todas, SSTC 214/1989, FJ 1; y 41/2016, FFJJ 3 a), 5, 6 c) y 7 c)]. Consecuentemente, el art. 26.2, párrafo segundo LBRL, al atribuir la indicada función al Ministerio de Hacienda y Administraciones Públicas, no puede ampararse en este título competencial.</w:t>
      </w:r>
    </w:p>
    <w:p w:rsidR="00163957" w:rsidRDefault="00163957" w:rsidP="00163957">
      <w:pPr>
        <w:pStyle w:val="TextoNormal"/>
      </w:pPr>
    </w:p>
    <w:p w:rsidR="00163957" w:rsidRDefault="00163957" w:rsidP="00163957">
      <w:pPr>
        <w:pStyle w:val="TextoNormal"/>
      </w:pPr>
      <w:r>
        <w:t>Respecto de los concretos servicios sometidos al plan de aprobación ministerial, el Estado carece también de las competencias sectoriales que pudieran dar cobertura a la tarea ejecutiva que ha querido atribuirse en el párrafo segundo del art. 26.2 LBRL. Son las Comunidades Autónomas quienes tienen conferidas las competencias ejecutivas en las materias a las que se refiere la mayor parte de los servicios enumerados en el art. 26.2 LBRL: “gestión en materia de protección del medio ambiente” (art. 148.1.9 CE), “sanidad e higiene” (art. 148.1.21 CE), proyección, construcción y explotación de los “aprovechamientos hidráulicos” y “aguas minerales y termales” (art. 148.1.10 CE), “ordenación del territorio, urbanismo y vivienda” (art. 148.1.3 CE), “ferrocarriles y carreteras cuyo itinerario se desarrolle íntegramente por el territorio de la Comunidad Autónoma” (art. 148.1.5 CE) y “obras públicas de interés de la Comunidad Autónoma en su propio territorio” (art. 148.1.4 CE). El art. 149.1.23 CE reconoce al Estado competencia en materia de medio ambiente, pero esta alcanza solo a las bases, sin que, por tanto, éstas pueda dar cobertura a tareas de ejecución como la ahora enjuiciada (por todas, STC 33/2005, de 17 de febrero, FFJJ 8 y 9). Otro tanto cabe afirmar respecto de los títulos coordinación general y bases de la sanidad interior (art. 149.1.16 CE) (SSTC 32/1983, de 28 de abril, FJ 2; 42/1983; de 20 de mayo FJ 3).</w:t>
      </w:r>
    </w:p>
    <w:p w:rsidR="00163957" w:rsidRDefault="00163957" w:rsidP="00163957">
      <w:pPr>
        <w:pStyle w:val="TextoNormal"/>
      </w:pPr>
    </w:p>
    <w:p w:rsidR="00163957" w:rsidRDefault="00163957" w:rsidP="00163957">
      <w:pPr>
        <w:pStyle w:val="TextoNormal"/>
      </w:pPr>
      <w:r>
        <w:t>En consecuencia, debemos declarar la inconstitucionalidad y nulidad de los siguientes incisos del art. 26.2 LBRL,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parcialmente el recurso de inconstitucionalidad y en consecuencia:</w:t>
      </w:r>
    </w:p>
    <w:p w:rsidR="00163957" w:rsidRDefault="00163957" w:rsidP="00163957">
      <w:pPr>
        <w:pStyle w:val="TextoNormal"/>
      </w:pPr>
    </w:p>
    <w:p w:rsidR="00163957" w:rsidRDefault="00163957" w:rsidP="00163957">
      <w:pPr>
        <w:pStyle w:val="TextoNormal"/>
      </w:pPr>
      <w:r>
        <w:t xml:space="preserve">1º Declarar extinguida, por pérdida sobrevenida de objeto, la impugnación del art. 57 </w:t>
      </w:r>
      <w:r w:rsidRPr="00163957">
        <w:rPr>
          <w:i/>
        </w:rPr>
        <w:t>bis</w:t>
      </w:r>
      <w:r>
        <w:t xml:space="preserve"> de la Ley 7/1985, de 2 de abril, reguladora de las bases del régimen local (en la redacción dada por el art. 1.17 de la Ley 27/2013, de 27 de diciembre, de racionalización y sostenibilidad de la Administración local), y de las disposiciones adicional undécima y transitorias primera, segunda y tercera, así como del inciso “Decreto del órgano de gobierno de” incluido en la disposición transitoria cuarta.3, siempre de la Ley 27/2013.</w:t>
      </w:r>
    </w:p>
    <w:p w:rsidR="00163957" w:rsidRDefault="00163957" w:rsidP="00163957">
      <w:pPr>
        <w:pStyle w:val="TextoNormal"/>
      </w:pPr>
    </w:p>
    <w:p w:rsidR="00163957" w:rsidRDefault="00163957" w:rsidP="00163957">
      <w:pPr>
        <w:pStyle w:val="TextoNormal"/>
      </w:pPr>
      <w:r>
        <w:t>2º Declarar inconstitucionales y nulos:</w:t>
      </w:r>
    </w:p>
    <w:p w:rsidR="00163957" w:rsidRDefault="00163957" w:rsidP="00163957">
      <w:pPr>
        <w:pStyle w:val="TextoNormal"/>
      </w:pPr>
    </w:p>
    <w:p w:rsidR="00163957" w:rsidRDefault="00163957" w:rsidP="00163957">
      <w:pPr>
        <w:pStyle w:val="TextoNormal"/>
      </w:pPr>
      <w:r>
        <w:t>a) los siguientes incisos del art. 26.2 de la Ley 7/1985, en la redacción dada por el art. 1.9 de la Ley 27/2013: “al Ministerio de Hacienda y Administraciones Públicas” y “para reducir los costes efectivos de los servicios el mencionado Ministerio decidirá sobre la propuesta formulada que deberá contar con el informe preceptivo de la Comunidad Autónoma si es la Administración que ejerce la tutela financiera”.</w:t>
      </w:r>
    </w:p>
    <w:p w:rsidR="00163957" w:rsidRDefault="00163957" w:rsidP="00163957">
      <w:pPr>
        <w:pStyle w:val="TextoNormal"/>
      </w:pPr>
    </w:p>
    <w:p w:rsidR="00163957" w:rsidRDefault="00163957" w:rsidP="00163957">
      <w:pPr>
        <w:pStyle w:val="TextoNormal"/>
      </w:pPr>
      <w:r>
        <w:t>b) la disposición adicional decimosexta de la Ley 7/1985, introducida por el art. 1.38 de la Ley 27/2013, con los efectos señalados en el fundamento jurídico 8 f) de esta Sentencia.</w:t>
      </w:r>
    </w:p>
    <w:p w:rsidR="00163957" w:rsidRDefault="00163957" w:rsidP="00163957">
      <w:pPr>
        <w:pStyle w:val="TextoNormal"/>
      </w:pPr>
    </w:p>
    <w:p w:rsidR="00163957" w:rsidRDefault="00163957" w:rsidP="00163957">
      <w:pPr>
        <w:pStyle w:val="TextoNormal"/>
      </w:pPr>
      <w:r>
        <w:t xml:space="preserve">c) el inciso “El Consejo de Gobierno de” incluido en el segundo párrafo, </w:t>
      </w:r>
      <w:r w:rsidRPr="00163957">
        <w:rPr>
          <w:i/>
        </w:rPr>
        <w:t>in fine</w:t>
      </w:r>
      <w:r>
        <w:t>, del art. 97 del texto refundido de las disposiciones legales vigentes en materia de régimen local, aprobado por Real Decreto Legislativo 781/1986, de 18 de abril, en la redacción dada por la disposición final primera de la Ley 27/2013.</w:t>
      </w:r>
    </w:p>
    <w:p w:rsidR="00163957" w:rsidRDefault="00163957" w:rsidP="00163957">
      <w:pPr>
        <w:pStyle w:val="TextoNormal"/>
      </w:pPr>
    </w:p>
    <w:p w:rsidR="00163957" w:rsidRDefault="00163957" w:rsidP="00163957">
      <w:pPr>
        <w:pStyle w:val="TextoNormal"/>
      </w:pPr>
      <w:r>
        <w:t>3º Declarar que los arts. 36.1 g) y 36.2 a), segundo párrafo, de la Ley 7/1985, de 2 de abril, reguladora de las bases del régimen local, en la redacción introducida por el art. 1.13 de la Ley 27/2013, no son inconstitucionales interpretados en los términos de los fundamentos jurídicos 11 y 12 c), respectivamente, de esta Sentencia.</w:t>
      </w:r>
    </w:p>
    <w:p w:rsidR="00163957" w:rsidRDefault="00163957" w:rsidP="00163957">
      <w:pPr>
        <w:pStyle w:val="TextoNormal"/>
      </w:pPr>
    </w:p>
    <w:p w:rsidR="00163957" w:rsidRDefault="00163957" w:rsidP="00163957">
      <w:pPr>
        <w:pStyle w:val="TextoNormal"/>
      </w:pPr>
      <w:r>
        <w:t>4º Desestimar el recurso de inconstitucionalidad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nueve de junio de dos mil dieciséis.</w:t>
      </w:r>
    </w:p>
    <w:p w:rsidR="00163957" w:rsidRDefault="00163957" w:rsidP="00163957">
      <w:pPr>
        <w:pStyle w:val="ParrafoNormal"/>
      </w:pPr>
    </w:p>
    <w:p w:rsidR="00163957" w:rsidRDefault="00163957" w:rsidP="00163957">
      <w:pPr>
        <w:pStyle w:val="TextoNormalNegritaCentrado"/>
        <w:keepNext/>
      </w:pPr>
      <w:r>
        <w:lastRenderedPageBreak/>
        <w:t>Voto particular que formula el Magistrado don Ricardo Enríquez Sancho a la Sentencia dictada por el Pleno de este Tribunal en el recurso de inconstitucionalidad número 1959-2014.</w:t>
      </w:r>
    </w:p>
    <w:p w:rsidR="00163957" w:rsidRDefault="00163957" w:rsidP="00163957">
      <w:pPr>
        <w:pStyle w:val="TextoNormalNegritaCentrado"/>
        <w:keepNext/>
      </w:pPr>
    </w:p>
    <w:p w:rsidR="00163957" w:rsidRDefault="00163957" w:rsidP="00163957">
      <w:pPr>
        <w:pStyle w:val="TextoNormal"/>
      </w:pPr>
      <w:r>
        <w:t>Conforme a lo previsto en el art.90.2 de la Ley Orgánica del Tribunal Constitucional (LOTC) y de acuerdo con lo que manifesté en la deliberación de este recurso, expreso mi discrepancia con la declaración de inconstitucionalidad del apartado 1 b) de la nueva disposición adicional decimosexta de la Ley reguladora de las bases del régimen local (LBRL), en cuanto a los planes económico-financieros y de reequilibrio, a que se refiere la Ley Orgánica 2/2012, de 27 de abril.</w:t>
      </w:r>
    </w:p>
    <w:p w:rsidR="00163957" w:rsidRDefault="00163957" w:rsidP="00163957">
      <w:pPr>
        <w:pStyle w:val="TextoNormal"/>
      </w:pPr>
    </w:p>
    <w:p w:rsidR="00163957" w:rsidRDefault="00163957" w:rsidP="00163957">
      <w:pPr>
        <w:pStyle w:val="TextoNormal"/>
      </w:pPr>
      <w:r>
        <w:t>Comparto con dicha Sentencia la consideración de que la atribución a la Junta de gobierno local de competencias que naturalmente corresponderían al pleno de la corporación local implica un sacrificio al principio democrático que solo puede justificarse cuando responda a la defensa de principios constitucionales igualmente relevantes y comparto también la consideración de que la invocación genérica del principio constitucional de estabilidad presupuestaria no puede justificar ese sacrificio.</w:t>
      </w:r>
    </w:p>
    <w:p w:rsidR="00163957" w:rsidRDefault="00163957" w:rsidP="00163957">
      <w:pPr>
        <w:pStyle w:val="TextoNormal"/>
      </w:pPr>
    </w:p>
    <w:p w:rsidR="00163957" w:rsidRDefault="00163957" w:rsidP="00163957">
      <w:pPr>
        <w:pStyle w:val="TextoNormal"/>
      </w:pPr>
      <w:r>
        <w:t>Sin embargo, creo que la Sentencia se adentra después en un análisis global de los apartados b), c) y d) del número 1 de la disposición adicional decimosexta que, en mi opinión conduce al Tribunal a la conclusión de la que discrepo.</w:t>
      </w:r>
    </w:p>
    <w:p w:rsidR="00163957" w:rsidRDefault="00163957" w:rsidP="00163957">
      <w:pPr>
        <w:pStyle w:val="TextoNormal"/>
      </w:pPr>
    </w:p>
    <w:p w:rsidR="00163957" w:rsidRDefault="00163957" w:rsidP="00163957">
      <w:pPr>
        <w:pStyle w:val="TextoNormal"/>
      </w:pPr>
      <w:r>
        <w:t>Afirma la Sala que todos los planes a que esos apartados se refieren suponen para la corporación local la asunción de importantes compromisos cuyo incumplimiento puede acarrear las medidas que prevén los artículos 25 y 26 de la Ley Orgánica 2/2012, esto es las medidas coercitivas y de cumplimiento forzoso que pueden imponerse a las Administraciones que hayan incurrido en incumplimiento del objetivo de estabilidad presupuestaria, de deuda pública o de la regla de gasto y no hayan observado las medidas correctivas que esa Ley establece, entre las que se encuentran la presentación del plan económico financiero o del plan de reequilibrio.</w:t>
      </w:r>
    </w:p>
    <w:p w:rsidR="00163957" w:rsidRDefault="00163957" w:rsidP="00163957">
      <w:pPr>
        <w:pStyle w:val="TextoNormal"/>
      </w:pPr>
    </w:p>
    <w:p w:rsidR="00163957" w:rsidRDefault="00163957" w:rsidP="00163957">
      <w:pPr>
        <w:pStyle w:val="TextoNormal"/>
      </w:pPr>
      <w:r>
        <w:t>El incumplimiento del plan económico financiero o del plan de reequilibrio, determina, desde luego la posibilidad de acudir a esas medidas, pero aun antes, si la Administración afectada no presenta esos planes pueden adoptarse las medidas coercitivas previstas en la Ley Orgánica 2/2012.</w:t>
      </w:r>
    </w:p>
    <w:p w:rsidR="00163957" w:rsidRDefault="00163957" w:rsidP="00163957">
      <w:pPr>
        <w:pStyle w:val="TextoNormal"/>
      </w:pPr>
    </w:p>
    <w:p w:rsidR="00163957" w:rsidRDefault="00163957" w:rsidP="00163957">
      <w:pPr>
        <w:pStyle w:val="TextoNormal"/>
      </w:pPr>
      <w:r>
        <w:t>De modo que el riesgo de que se adopten esas medidas no es solo el derivado del incumplimiento de esos planes sino también de su falta de presentación, y a esta eventualidad es a la que pretende hacer frente la disposición adicional decimosexta 1 b) LBRL, cuando trata de evitar que la falta de acuerdo del pleno de la corporación local respecto del plan económico-financiero o del plan de reequilibrio exigible conduzcan a las medidas coercitivas previstas en los arts. 25 y 26 de la Ley Orgánica 2/2012. Medidas que suponen, en primer lugar, la imposición de multas coercitivas a la entidad local incumplidora, en segundo término la posibilidad de imponer a esa entidad una serie de medidas adoptadas por el Gobierno a propuesta de una comisión de expertos y, en último término, tras el oportuno requerimiento al Presidente de la corporación local, podrá procederse a la disolución de los órganos de la corporación local incumplidora, de conformidad con lo dispuesto en el art. 61 LBRL.</w:t>
      </w:r>
    </w:p>
    <w:p w:rsidR="00163957" w:rsidRDefault="00163957" w:rsidP="00163957">
      <w:pPr>
        <w:pStyle w:val="TextoNormal"/>
      </w:pPr>
    </w:p>
    <w:p w:rsidR="00163957" w:rsidRDefault="00163957" w:rsidP="00163957">
      <w:pPr>
        <w:pStyle w:val="TextoNormal"/>
      </w:pPr>
      <w:r>
        <w:lastRenderedPageBreak/>
        <w:t>Así pues, puede decirse que el sacrificio al principio democrático que supone el atribuir a un órgano municipal de origen democrático, sí, pero no representativo del conjunto de los electores, no tiene por finalidad la preservación del principio de suficiencia financiera. Este principio ya viene garantizado por la posibilidad de adoptar las medidas previstas en la Ley Orgánica 2/2012. La finalidad es justamente preservar en lo posible la autonomía local evitando el sacrificio que supondría la necesidad de acudir a las medidas correctoras indicadas.</w:t>
      </w:r>
    </w:p>
    <w:p w:rsidR="00163957" w:rsidRDefault="00163957" w:rsidP="00163957">
      <w:pPr>
        <w:pStyle w:val="TextoNormal"/>
      </w:pPr>
    </w:p>
    <w:p w:rsidR="00163957" w:rsidRDefault="00163957" w:rsidP="00163957">
      <w:pPr>
        <w:pStyle w:val="TextoNormal"/>
      </w:pPr>
      <w:r>
        <w:t>Este punto de partida lastra, en mi opinión, el juicio de ponderación que lleva a cabo la Sentencia, que la conduce a realizar afirmaciones especialmente inadecuadas en lo relativo a los planes económico-financieros y los de reequilibrio. Porque aunque es cierto que la exposición de motivos de la Ley 27/2013 vincula todos los planes previstos en los apartados b), c) y d) de la disposición adicional decimosexta LBRL a la reforma del art. 135 CE de 27 de septiembre de 2011, que consagró el principio de estabilidad presupuestaria como principio rector que debe presidir la actuación de todas las Administraciones públicas, y a la necesidad de evitar que situaciones de bloqueo institucional puedan impedirla y aunque también es cierto que todos esos planes se orientan a la consecución de ese objetivo, no obstante la oposición del Pleno de la corporación local, no todos ellos operan del mismo modo en relación a dicho principio.</w:t>
      </w:r>
    </w:p>
    <w:p w:rsidR="00163957" w:rsidRDefault="00163957" w:rsidP="00163957">
      <w:pPr>
        <w:pStyle w:val="TextoNormal"/>
      </w:pPr>
    </w:p>
    <w:p w:rsidR="00163957" w:rsidRDefault="00163957" w:rsidP="00163957">
      <w:pPr>
        <w:pStyle w:val="TextoNormal"/>
      </w:pPr>
      <w:r>
        <w:t>El art. 53 del texto refundido de la Ley de hacienda locales y la disposición adicional 74 de la Ley 22/2013, de 23 de diciembre, de presupuestos generales del Estado para 2014, imponen la elaboración de un plan de saneamiento financiero o de reducción de deuda cuando las entidades locales presenten un ahorro neto negativo o endeudamiento superior al 75 por 100 de sus ingresos corrientes liquidados en el ejercicio inmediato anterior, como condición precisa para concertar operaciones de endeudamiento a largo plazo para financiar cualquier modalidad de inversión y no solo para financiar el pago a los proveedores, lo mismo que sucede con los planes de ajuste a que se refiere la disposición adicional primera de la Ley Orgánica 2/2012 y el art. 26 del Real Decreto-ley 8/2013, de 28 de junio. Tienen una conexión indirecta con la necesidad de conseguir que el pago a los proveedores no supere el periodo medio de pago previsto en el art. 20 de la Ley Orgánica 2/2012. Pero incluso su superación no determina el paso a las medidas correctoras previstas en esa Ley. Sería el incumplimiento de los citados planes lo que permitiría la adopción de esas medidas.</w:t>
      </w:r>
    </w:p>
    <w:p w:rsidR="00163957" w:rsidRDefault="00163957" w:rsidP="00163957">
      <w:pPr>
        <w:pStyle w:val="TextoNormal"/>
      </w:pPr>
    </w:p>
    <w:p w:rsidR="00163957" w:rsidRDefault="00163957" w:rsidP="00163957">
      <w:pPr>
        <w:pStyle w:val="TextoNormal"/>
      </w:pPr>
      <w:r>
        <w:t>Por el contrario, los planes económico-financieros y los de reequilibrio suponen que la corporación local ya ha incumplido los objetivos de estabilidad presupuestaria previstos en la Ley Orgánica 2/2012, por lo que para ella su presentación no es una opción ante la posibilidad de no hacerlo y perder unos medios extraordinarios de financiación, sino una obligación cuyo incumplimiento determinará la adopción de medidas más intrusivas en el principio de autonomía local como son las previstas en los arts. 25 y 26 de la Ley Orgánica 2/2012.</w:t>
      </w:r>
    </w:p>
    <w:p w:rsidR="00163957" w:rsidRDefault="00163957" w:rsidP="00163957">
      <w:pPr>
        <w:pStyle w:val="TextoNormal"/>
      </w:pPr>
    </w:p>
    <w:p w:rsidR="00163957" w:rsidRDefault="00163957" w:rsidP="00163957">
      <w:pPr>
        <w:pStyle w:val="TextoNormal"/>
      </w:pPr>
      <w:r>
        <w:t>La posibilidad de un uso fraudulento del mecanismo de aprobación de estos planes hurtando su examen al pleno de la corporación no me parece concluyente. En primer lugar, porque ese uso fraudulento podría denunciarse ante la jurisdicción competente. En segundo, porque un recto entendimiento del precepto exige que los planes económico-financieros o de reequilibrio aprobados por la Junta sean precisamente los que se hayan presentado ante el pleno municipal, en el que todos los grupos municipales han podido debatir y presentar las enmiendas que hayan considerado pertinentes.</w:t>
      </w:r>
    </w:p>
    <w:p w:rsidR="00163957" w:rsidRDefault="00163957" w:rsidP="00163957">
      <w:pPr>
        <w:pStyle w:val="TextoNormal"/>
      </w:pPr>
    </w:p>
    <w:p w:rsidR="00163957" w:rsidRDefault="00163957" w:rsidP="00163957">
      <w:pPr>
        <w:pStyle w:val="TextoNormal"/>
      </w:pPr>
      <w:r>
        <w:t>La ponencia razona ampliamente acerca de que la disposición adicional decimosexta LBRL no limita su ámbito de aplicación a las situaciones de déficit presupuestario. Pero no hace mención alguna en este análisis de los planes económico-financieros o de reequilibrio, que solo se imponen cuando ya se ha detectado que alguna corporación local o Comunidad Autónoma han incumplido los objetivos de déficit.</w:t>
      </w:r>
    </w:p>
    <w:p w:rsidR="00163957" w:rsidRDefault="00163957" w:rsidP="00163957">
      <w:pPr>
        <w:pStyle w:val="TextoNormal"/>
      </w:pPr>
    </w:p>
    <w:p w:rsidR="00163957" w:rsidRDefault="00163957" w:rsidP="00163957">
      <w:pPr>
        <w:pStyle w:val="TextoNormal"/>
      </w:pPr>
      <w:r>
        <w:t>Tampoco puedo compartir la afirmación de la Sentencia relativa a que en ese juicio de ponderación ha de tenerse en cuenta que los beneficios sobre la estabilidad presupuestaria serían eventuales y no inmediatos, frente al sacrificio impuesto al principio democrático. A lo que atiende la disposición adicional sexta LBRL respecto a los planes indicados es a conjurar un riesgo. El riesgo de que la falta de su presentación determine la imposición de medidas que limiten de modo más intenso la autonomía municipal. Ese riego es real y actual y solo puede soslayarse adoptando medidas en el momento en que el efecto que trata de prevenirse pueda llevarse a cabo con éxito.</w:t>
      </w:r>
    </w:p>
    <w:p w:rsidR="00163957" w:rsidRDefault="00163957" w:rsidP="00163957">
      <w:pPr>
        <w:pStyle w:val="TextoNormal"/>
      </w:pPr>
    </w:p>
    <w:p w:rsidR="00163957" w:rsidRDefault="00163957" w:rsidP="00163957">
      <w:pPr>
        <w:pStyle w:val="TextoNormal"/>
      </w:pPr>
      <w:r>
        <w:t xml:space="preserve">Finalmente, no creo que le mecanismo previsto en los arts. 197 </w:t>
      </w:r>
      <w:r w:rsidRPr="00163957">
        <w:rPr>
          <w:i/>
        </w:rPr>
        <w:t>bis</w:t>
      </w:r>
      <w:r>
        <w:t xml:space="preserve"> y 207.4 de la Ley Orgánica del régimen electoral general proporcionen un instrumento para solventar esa situación de bloqueo institucional a que alude la exposición de motivos de la Ley 27/2013. La presentación de una cuestión de confianza vinculada a la aprobación de determinados proyectos solo opera, respecto del alcalde, en relación con los presupuestos anuales, con el reglamento orgánico, con las ordenanzas fiscales y con los instrumentos de planeamiento general. No se prevén estos planes económico-financieros y de reequilibrio, entre otras razones, porque son posteriores a la reforma de los citados preceptos de la Ley Orgánica del régimen electoral general.</w:t>
      </w:r>
    </w:p>
    <w:p w:rsidR="00163957" w:rsidRDefault="00163957" w:rsidP="00163957">
      <w:pPr>
        <w:pStyle w:val="TextoNormal"/>
      </w:pPr>
    </w:p>
    <w:p w:rsidR="00163957" w:rsidRDefault="00163957" w:rsidP="00163957">
      <w:pPr>
        <w:pStyle w:val="TextoNormal"/>
      </w:pPr>
      <w:r>
        <w:tab/>
        <w:t>Madrid, a nueve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15" w:name="SENTENCIA_2016_112"/>
      <w:r>
        <w:lastRenderedPageBreak/>
        <w:t>SENTENCIA 112/2016, de 20 de junio de 2016</w:t>
      </w:r>
    </w:p>
    <w:bookmarkEnd w:id="115"/>
    <w:p w:rsidR="00163957" w:rsidRDefault="00163957" w:rsidP="00163957">
      <w:pPr>
        <w:pStyle w:val="TtuloResolucin"/>
      </w:pPr>
      <w:r>
        <w:t>Sala Primera</w:t>
      </w:r>
    </w:p>
    <w:p w:rsidR="00163957" w:rsidRDefault="00163957" w:rsidP="00163957">
      <w:pPr>
        <w:pStyle w:val="TtuloBOE"/>
      </w:pPr>
      <w:r>
        <w:t>(BOE núm. 181, de 28 de julio de 2016)</w:t>
      </w:r>
    </w:p>
    <w:p w:rsidR="00163957" w:rsidRDefault="00163957" w:rsidP="00163957">
      <w:pPr>
        <w:pStyle w:val="TextoNormalCentrado"/>
      </w:pPr>
      <w:r>
        <w:t>ECLI:ES:TC:2016:112</w:t>
      </w:r>
    </w:p>
    <w:p w:rsidR="00163957" w:rsidRDefault="00163957" w:rsidP="00163957">
      <w:pPr>
        <w:pStyle w:val="TextoNormalCentrado"/>
      </w:pPr>
    </w:p>
    <w:p w:rsidR="00163957" w:rsidRDefault="00163957" w:rsidP="00163957">
      <w:pPr>
        <w:pStyle w:val="SntesisDescriptiva"/>
      </w:pPr>
      <w:r>
        <w:t>Recurso de amparo 2514-2012. Promovido por don Tasio Erkizia Almandoz en relación con las Sentencias de las Salas de lo Penal del Tribunal Supremo y de la Audiencia Nacional que le condenaron por un delito de enaltecimiento del terrorismo.</w:t>
      </w:r>
    </w:p>
    <w:p w:rsidR="00163957" w:rsidRDefault="00163957" w:rsidP="00163957">
      <w:pPr>
        <w:pStyle w:val="SntesisDescriptiva"/>
      </w:pPr>
    </w:p>
    <w:p w:rsidR="00163957" w:rsidRDefault="00163957" w:rsidP="00163957">
      <w:pPr>
        <w:pStyle w:val="SntesisAnaltica"/>
      </w:pPr>
      <w:r>
        <w:t>Supuesta vulneración de los derechos a las libertades ideológica y de expresión: manifestaciones encuadrables en el discurso del odio, que incitaban a la violencia, a través del enaltecimiento público del autor de actividades terroristas. Voto particular.</w:t>
      </w:r>
    </w:p>
    <w:p w:rsidR="00163957" w:rsidRDefault="00163957" w:rsidP="00163957">
      <w:pPr>
        <w:pStyle w:val="SntesisAnaltica"/>
      </w:pPr>
    </w:p>
    <w:p w:rsidR="00163957" w:rsidRDefault="00163957" w:rsidP="00163957">
      <w:pPr>
        <w:pStyle w:val="Extracto"/>
      </w:pPr>
      <w:r>
        <w:t>1.</w:t>
      </w:r>
      <w:r>
        <w:tab/>
        <w:t xml:space="preserve">Allí donde las declaraciones litigiosas inciten al uso de la violencia con respecto a un individuo, a un representante del Estado o a una parte de la población, los márgenes del ejercicio legítimo del derecho a la libertad de expresión se verán restringidos (STEDH, de 8 de julio de 1999, </w:t>
      </w:r>
      <w:r w:rsidRPr="00163957">
        <w:rPr>
          <w:i/>
        </w:rPr>
        <w:t>Sürek</w:t>
      </w:r>
      <w:r>
        <w:t xml:space="preserve"> c. Turquía) [FJ 6].</w:t>
      </w:r>
    </w:p>
    <w:p w:rsidR="00163957" w:rsidRDefault="00163957" w:rsidP="00163957">
      <w:pPr>
        <w:pStyle w:val="Extracto"/>
      </w:pPr>
    </w:p>
    <w:p w:rsidR="00163957" w:rsidRDefault="00163957" w:rsidP="00163957">
      <w:pPr>
        <w:pStyle w:val="Extracto"/>
      </w:pPr>
      <w:r>
        <w:t>2.</w:t>
      </w:r>
      <w:r>
        <w:tab/>
        <w:t>La sanción penal de las conductas de enaltecimiento del terrorismo supone una legítima injerencia en el ámbito de la libertad de expresión de sus autores, en la medida en que puedan ser consideradas como una manifestación del discurso del odio por propiciar o alentar, aunque sea de manera indirecta, una situación de riesgo para las personas o derechos de terceros o para el propio sistema de libertades [FJ 4].</w:t>
      </w:r>
    </w:p>
    <w:p w:rsidR="00163957" w:rsidRDefault="00163957" w:rsidP="00163957">
      <w:pPr>
        <w:pStyle w:val="Extracto"/>
      </w:pPr>
    </w:p>
    <w:p w:rsidR="00163957" w:rsidRDefault="00163957" w:rsidP="00163957">
      <w:pPr>
        <w:pStyle w:val="Extracto"/>
      </w:pPr>
      <w:r>
        <w:t>3.</w:t>
      </w:r>
      <w:r>
        <w:tab/>
        <w:t>La libertad de expresión comprende la libertad de crítica aun cuando la misma sea desabrida y pueda molestar, inquietar o disgustar a quien se dirige, pues así lo requieren el pluralismo, la tolerancia y el espíritu de apertura, sin los cuales no existe sociedad democrática (STC 177/2015) [FJ 2].</w:t>
      </w:r>
    </w:p>
    <w:p w:rsidR="00163957" w:rsidRDefault="00163957" w:rsidP="00163957">
      <w:pPr>
        <w:pStyle w:val="Extracto"/>
      </w:pPr>
    </w:p>
    <w:p w:rsidR="00163957" w:rsidRDefault="00163957" w:rsidP="00163957">
      <w:pPr>
        <w:pStyle w:val="Extracto"/>
      </w:pPr>
      <w:r>
        <w:t>4.</w:t>
      </w:r>
      <w:r>
        <w:tab/>
        <w:t>El derecho a la libertad de expresión, no es de carácter absoluto, pues la libre exposición de las ideas no autoriza el uso de la violencia para imponer criterios propios (STC 177/2015) [FJ 2].</w:t>
      </w:r>
    </w:p>
    <w:p w:rsidR="00163957" w:rsidRDefault="00163957" w:rsidP="00163957">
      <w:pPr>
        <w:pStyle w:val="Extracto"/>
      </w:pPr>
    </w:p>
    <w:p w:rsidR="00163957" w:rsidRDefault="00163957" w:rsidP="00163957">
      <w:pPr>
        <w:pStyle w:val="Extracto"/>
      </w:pPr>
      <w:r>
        <w:t>5.</w:t>
      </w:r>
      <w:r>
        <w:tab/>
        <w:t xml:space="preserve">Resulta justificada una limitación de la libertad de expresión cuando se infiera que ciertas conductas de incitación o apología del terrorismo suponen un riesgo para la seguridad nacional, la integridad territorial o la seguridad pública, la defensa del orden o la prevención del delito (STEDH, de 2 de octubre de 2008, </w:t>
      </w:r>
      <w:r w:rsidRPr="00163957">
        <w:rPr>
          <w:i/>
        </w:rPr>
        <w:t>Leroy</w:t>
      </w:r>
      <w:r>
        <w:t xml:space="preserve"> c. Francia) [FJ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lastRenderedPageBreak/>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2514-2012, promovido por don Tasio Erkizia Almandoz, representado por el Procurador de los Tribunales don Javier Cuevas Rivas, bajo la dirección de la Letrada doña Jone Goirizelaia Ordorika, contra la Sentencia de la Sala de lo Penal del Tribunal Supremo de 14 de marzo de 2012, que declara no haber lugar al recurso de casación núm. 1638-2011 interpuesto contra la Sentencia de la Sección Primera de la Sala de lo Penal de la Audiencia Nacional de 3 de mayo de 2011 en el rollo de sala núm. 14-2010. Ha intervenido el Ministerio Fiscal. Han comparecido la Asociación Dignidad y Justicia, representada por la Procuradora de los Tribunales doña Mónica Ana Liceras Vallina, bajo la dirección de la Letrada doña Carmen Ladrón de Guevara Pascual. Ha sido Ponente el Magistrado don Juan Antonio Xiol Ríos, quien expresa el parecer de la Sala.</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Procurador de los Tribunales don Javier Cuevas Rivas, en nombre y representación de don Tasio Erkizia Almandoz, bajo la dirección de la Letrada doña Jone Goirizelaia Ordorika, interpuso demanda de amparo contra las resoluciones que se mencionan en el encabezamiento, mediante escrito registrado en este Tribunal el 27 de abril de 2012.</w:t>
      </w:r>
    </w:p>
    <w:p w:rsidR="00163957" w:rsidRDefault="00163957" w:rsidP="00163957">
      <w:pPr>
        <w:pStyle w:val="TextoNormal"/>
      </w:pPr>
    </w:p>
    <w:p w:rsidR="00163957" w:rsidRDefault="00163957" w:rsidP="00163957">
      <w:pPr>
        <w:pStyle w:val="TextoNormal"/>
      </w:pPr>
      <w:r w:rsidRPr="00163957">
        <w:rPr>
          <w:rStyle w:val="NumeroAFNegritaCaracter"/>
        </w:rPr>
        <w:t>2</w:t>
      </w:r>
      <w:r>
        <w:t>. El recurso tiene su origen en los siguientes antecedentes:</w:t>
      </w:r>
    </w:p>
    <w:p w:rsidR="00163957" w:rsidRDefault="00163957" w:rsidP="00163957">
      <w:pPr>
        <w:pStyle w:val="TextoNormal"/>
      </w:pPr>
    </w:p>
    <w:p w:rsidR="00163957" w:rsidRDefault="00163957" w:rsidP="00163957">
      <w:pPr>
        <w:pStyle w:val="TextoNormal"/>
      </w:pPr>
      <w:r>
        <w:t>a) La Sección Primera de la Sala de lo Penal de la Audiencia Nacional, por Sentencia de 3 de mayo de 2011, dictada en el rollo de sala núm. 14-2010, condenó al recurrente, como autor de un delito de enaltecimiento del terrorismo [art. 578 del Código penal (CP)], con la atenuante de dilaciones indebidas, a las penas de un año de prisión y siete años de inhabilitación absoluta, imponiéndole las costas de la instancia, incluidas las de la acusación popular. La Sentencia consideró probados los siguientes hechos:</w:t>
      </w:r>
    </w:p>
    <w:p w:rsidR="00163957" w:rsidRDefault="00163957" w:rsidP="00163957">
      <w:pPr>
        <w:pStyle w:val="TextoNormal"/>
      </w:pPr>
    </w:p>
    <w:p w:rsidR="00163957" w:rsidRDefault="00163957" w:rsidP="00163957">
      <w:pPr>
        <w:pStyle w:val="TextoNormal"/>
      </w:pPr>
      <w:r>
        <w:t>“I. El acusado, Tasio Erquizia Alamandoz es mayor de edad y carece de antecedentes penales.</w:t>
      </w:r>
    </w:p>
    <w:p w:rsidR="00163957" w:rsidRDefault="00163957" w:rsidP="00163957">
      <w:pPr>
        <w:pStyle w:val="TextoNormal"/>
      </w:pPr>
    </w:p>
    <w:p w:rsidR="00163957" w:rsidRDefault="00163957" w:rsidP="00163957">
      <w:pPr>
        <w:pStyle w:val="TextoNormal"/>
      </w:pPr>
      <w:r>
        <w:t>II. El referido, el día 21 de diciembre de 2008 participó como principal orador en un acto celebrado en la localidad de Arrigorriaga (Vizcaya) en recuerdo y loa del responsable de la organización E.T.A. Jose Miguel Beñaran Ordeñana, alias ‘Argala’, quien había sido asesinado treinta años antes en la localidad francesa de Angelu.</w:t>
      </w:r>
    </w:p>
    <w:p w:rsidR="00163957" w:rsidRDefault="00163957" w:rsidP="00163957">
      <w:pPr>
        <w:pStyle w:val="TextoNormal"/>
      </w:pPr>
    </w:p>
    <w:p w:rsidR="00163957" w:rsidRDefault="00163957" w:rsidP="00163957">
      <w:pPr>
        <w:pStyle w:val="TextoNormal"/>
      </w:pPr>
      <w:r>
        <w:t>El acto fue publicitado mediante carteles pegados en las calles en los que se transcribía un texto atribuido a Argala que dice:</w:t>
      </w:r>
    </w:p>
    <w:p w:rsidR="00163957" w:rsidRDefault="00163957" w:rsidP="00163957">
      <w:pPr>
        <w:pStyle w:val="TextoNormal"/>
      </w:pPr>
    </w:p>
    <w:p w:rsidR="00163957" w:rsidRDefault="00163957" w:rsidP="00163957">
      <w:pPr>
        <w:pStyle w:val="TextoNormal"/>
      </w:pPr>
      <w:r>
        <w:lastRenderedPageBreak/>
        <w:t>‘La lucha armada no nos gusta a nadie, la lucha armada es desagradable, es dura, a consecuencia de ellas se va a la cárcel, al exilio, se es torturado; a consecuencia de ella se puede morir, se ve uno obligado a matar, endurece a la persona, le hace daño, pero la lucha armada es imprescindible para avanzar’.</w:t>
      </w:r>
    </w:p>
    <w:p w:rsidR="00163957" w:rsidRDefault="00163957" w:rsidP="00163957">
      <w:pPr>
        <w:pStyle w:val="TextoNormal"/>
      </w:pPr>
    </w:p>
    <w:p w:rsidR="00163957" w:rsidRDefault="00163957" w:rsidP="00163957">
      <w:pPr>
        <w:pStyle w:val="TextoNormal"/>
      </w:pPr>
      <w:r>
        <w:t>Para su celebración se colocó una carpa y en su interior una tarima o escenario elevado en el que, en su lado derecho desde el punto de vista del público asistente, había, sobre un caballete, una gran fotografía del miembro de ETA cuya figura se ensalzaba; en el centro, una pantalla en la que se proyectaron fotografía de miembros encapuchados de la banda terrorista y de presos y, a la izquierda, un atril desde el que el acusado pronunció un discurso, todo ello presidido por un cartel con el lema ‘Independentzia Sozialismo 1949-1978’, en referencia a la fecha de nacimiento y muerte del llamado Argala.</w:t>
      </w:r>
    </w:p>
    <w:p w:rsidR="00163957" w:rsidRDefault="00163957" w:rsidP="00163957">
      <w:pPr>
        <w:pStyle w:val="TextoNormal"/>
      </w:pPr>
    </w:p>
    <w:p w:rsidR="00163957" w:rsidRDefault="00163957" w:rsidP="00163957">
      <w:pPr>
        <w:pStyle w:val="TextoNormal"/>
      </w:pPr>
      <w:r>
        <w:t>Durante el homenaje a ‘Argala’ actuaron bailarines o ‘dantzaris’ que ejecutaron una ‘Ezpatadantza’ o danza de espadas, baile de conmemoración y rendición de honores en el que los bailarines saludan con espadas de forma similar a la presentación de armas de los actos militares y también se ejecutó una ‘Ikurrin dantza’ o danza de la bandera en la que los danzantes adoptaron postura genuflexa frente al escenario, inclinando la cabeza hacia el suelo mientras en el centro un abanderado hondeaba la ikurriña sobre ellos, tras lo cual depositaron claveles rojos ante la fotografía de Argala.</w:t>
      </w:r>
    </w:p>
    <w:p w:rsidR="00163957" w:rsidRDefault="00163957" w:rsidP="00163957">
      <w:pPr>
        <w:pStyle w:val="TextoNormal"/>
      </w:pPr>
    </w:p>
    <w:p w:rsidR="00163957" w:rsidRDefault="00163957" w:rsidP="00163957">
      <w:pPr>
        <w:pStyle w:val="TextoNormal"/>
      </w:pPr>
      <w:r>
        <w:t>También intervinieron versolaris —improvisadores populares de versos en euskera— y músicos que tocaban instrumentos tradicionales vascos como la txalaparta, entre otros.</w:t>
      </w:r>
    </w:p>
    <w:p w:rsidR="00163957" w:rsidRDefault="00163957" w:rsidP="00163957">
      <w:pPr>
        <w:pStyle w:val="TextoNormal"/>
      </w:pPr>
    </w:p>
    <w:p w:rsidR="00163957" w:rsidRDefault="00163957" w:rsidP="00163957">
      <w:pPr>
        <w:pStyle w:val="TextoNormal"/>
      </w:pPr>
      <w:r>
        <w:t>III. El discurso del acusado Tasio Erkizia Almandoz fue el momento central del acto. En él pidió ‘una reflexión [para] escoger el camino más idóneo, el camino que más daño le haga al Estado, que conduzca a este pueblo a un nuevo escenario democrático’ y terminó con los gritos 'Gora Euskal Herria askatuta’, ‘Gora Euskal Herria euskalduna’ y ‘Gora Argala’ -¡Viva Euskal Herria libre! ¡Viva Euskal Herria vasca! ¡Viva Argala!, gritos que fueron respondidos por el público.</w:t>
      </w:r>
    </w:p>
    <w:p w:rsidR="00163957" w:rsidRDefault="00163957" w:rsidP="00163957">
      <w:pPr>
        <w:pStyle w:val="TextoNormal"/>
      </w:pPr>
    </w:p>
    <w:p w:rsidR="00163957" w:rsidRDefault="00163957" w:rsidP="00163957">
      <w:pPr>
        <w:pStyle w:val="TextoNormal"/>
      </w:pPr>
      <w:r>
        <w:t>Previamente, al subir al escenario, Erkizia colocó un clavel rojo sobre el soporte en el que se apoyaba la fotografía de Argala.</w:t>
      </w:r>
    </w:p>
    <w:p w:rsidR="00163957" w:rsidRDefault="00163957" w:rsidP="00163957">
      <w:pPr>
        <w:pStyle w:val="TextoNormal"/>
      </w:pPr>
    </w:p>
    <w:p w:rsidR="00163957" w:rsidRDefault="00163957" w:rsidP="00163957">
      <w:pPr>
        <w:pStyle w:val="TextoNormal"/>
      </w:pPr>
      <w:r>
        <w:t>IV. El acusado no había tenido relación de amistad ni trato o contacto especial con José Miguel Beñaran Ordañana, ‘Argala’, cuya única actividad conocida fue su pertenencia, como dirigente, de ETA, grupo organizado que usando armas, explosivos y otros medios comete delitos contra aquellos que no comparten su proclamada finalidad de conseguir la independencia de ‘Euskal Herria’.”</w:t>
      </w:r>
    </w:p>
    <w:p w:rsidR="00163957" w:rsidRDefault="00163957" w:rsidP="00163957">
      <w:pPr>
        <w:pStyle w:val="TextoNormal"/>
      </w:pPr>
    </w:p>
    <w:p w:rsidR="00163957" w:rsidRDefault="00163957" w:rsidP="00163957">
      <w:pPr>
        <w:pStyle w:val="TextoNormal"/>
      </w:pPr>
      <w:r>
        <w:t>b) La Sentencia en sus fundamentos de Derecho expone:</w:t>
      </w:r>
    </w:p>
    <w:p w:rsidR="00163957" w:rsidRDefault="00163957" w:rsidP="00163957">
      <w:pPr>
        <w:pStyle w:val="TextoNormal"/>
      </w:pPr>
    </w:p>
    <w:p w:rsidR="00163957" w:rsidRDefault="00163957" w:rsidP="00163957">
      <w:pPr>
        <w:pStyle w:val="TextoNormal"/>
      </w:pPr>
      <w:r>
        <w:t>“2. El delito de enaltecimiento del terrorismo.</w:t>
      </w:r>
    </w:p>
    <w:p w:rsidR="00163957" w:rsidRDefault="00163957" w:rsidP="00163957">
      <w:pPr>
        <w:pStyle w:val="TextoNormal"/>
      </w:pPr>
    </w:p>
    <w:p w:rsidR="00163957" w:rsidRDefault="00163957" w:rsidP="00163957">
      <w:pPr>
        <w:pStyle w:val="TextoNormal"/>
      </w:pPr>
      <w:r>
        <w:t>Los hechos declarados probados son constitutivos de un delito de enaltecimiento del terrorismo previsto y penado en los artículos 578 y 579.2 del Código penal.</w:t>
      </w:r>
    </w:p>
    <w:p w:rsidR="00163957" w:rsidRDefault="00163957" w:rsidP="00163957">
      <w:pPr>
        <w:pStyle w:val="TextoNormal"/>
      </w:pPr>
    </w:p>
    <w:p w:rsidR="00163957" w:rsidRDefault="00163957" w:rsidP="00163957">
      <w:pPr>
        <w:pStyle w:val="TextoNormal"/>
      </w:pPr>
      <w:r>
        <w:lastRenderedPageBreak/>
        <w:t>Como se dice en los autos del pleno de esta sala de 9 de julio de 2008, citados por la defensa, ‘enaltecer’, según el Diccionario de la Real Academia Española, es sinónimo de ensalzar, que significa engrandecer, exaltar, alabar.</w:t>
      </w:r>
    </w:p>
    <w:p w:rsidR="00163957" w:rsidRDefault="00163957" w:rsidP="00163957">
      <w:pPr>
        <w:pStyle w:val="TextoNormal"/>
      </w:pPr>
    </w:p>
    <w:p w:rsidR="00163957" w:rsidRDefault="00163957" w:rsidP="00163957">
      <w:pPr>
        <w:pStyle w:val="TextoNormal"/>
      </w:pPr>
      <w:r>
        <w:t>Exaltar, es elevar a alguien o a algo a gran auge o dignidad, realzar el mérito o circunstancias de alguien.</w:t>
      </w:r>
    </w:p>
    <w:p w:rsidR="00163957" w:rsidRDefault="00163957" w:rsidP="00163957">
      <w:pPr>
        <w:pStyle w:val="TextoNormal"/>
      </w:pPr>
    </w:p>
    <w:p w:rsidR="00163957" w:rsidRDefault="00163957" w:rsidP="00163957">
      <w:pPr>
        <w:pStyle w:val="TextoNormal"/>
      </w:pPr>
      <w:r>
        <w:t>Alabar es elogiar, celebrar con palabras.</w:t>
      </w:r>
    </w:p>
    <w:p w:rsidR="00163957" w:rsidRDefault="00163957" w:rsidP="00163957">
      <w:pPr>
        <w:pStyle w:val="TextoNormal"/>
      </w:pPr>
    </w:p>
    <w:p w:rsidR="00163957" w:rsidRDefault="00163957" w:rsidP="00163957">
      <w:pPr>
        <w:pStyle w:val="TextoNormal"/>
      </w:pPr>
      <w:r>
        <w:t>Se coloca así al ensalzado, exaltado o alabado en una posición preferente de virtud o mérito convirtiéndolo en referente y ejemplo a imitar.</w:t>
      </w:r>
    </w:p>
    <w:p w:rsidR="00163957" w:rsidRDefault="00163957" w:rsidP="00163957">
      <w:pPr>
        <w:pStyle w:val="TextoNormal"/>
      </w:pPr>
    </w:p>
    <w:p w:rsidR="00163957" w:rsidRDefault="00163957" w:rsidP="00163957">
      <w:pPr>
        <w:pStyle w:val="TextoNormal"/>
      </w:pPr>
      <w:r>
        <w:t>El que enaltece —sujeto activo del delito— otorga a los delitos de terrorismo y a los que en ellos intervienen —autores y partícipes— la condición de modelo a seguir, otorgándoles un valor de asimilación al orden jurídico, pese a contradecirlo frontalmente.</w:t>
      </w:r>
    </w:p>
    <w:p w:rsidR="00163957" w:rsidRDefault="00163957" w:rsidP="00163957">
      <w:pPr>
        <w:pStyle w:val="TextoNormal"/>
      </w:pPr>
    </w:p>
    <w:p w:rsidR="00163957" w:rsidRDefault="00163957" w:rsidP="00163957">
      <w:pPr>
        <w:pStyle w:val="TextoNormal"/>
      </w:pPr>
      <w:r>
        <w:t>‘Justificar’ es, también según el diccionario, probar una cosa con razones convincentes o con testigos o documentos y también hacer justo algo.</w:t>
      </w:r>
    </w:p>
    <w:p w:rsidR="00163957" w:rsidRDefault="00163957" w:rsidP="00163957">
      <w:pPr>
        <w:pStyle w:val="TextoNormal"/>
      </w:pPr>
    </w:p>
    <w:p w:rsidR="00163957" w:rsidRDefault="00163957" w:rsidP="00163957">
      <w:pPr>
        <w:pStyle w:val="TextoNormal"/>
      </w:pPr>
      <w:r>
        <w:t>En el tipo penal del que tratamos equivale a argumentar a favor del terrorista, disculpar sus acciones y aproximarlas o incluirlas en los actos permitidos por el ordenamiento jurídico, pese a vulnerarlo de modo directo. En palabras del Tribunal Supremo es hacer aparecer como acciones lícitas o legitimas aquello que solo es un comportamiento criminal —STS, 2, 149/2007 de 26 de febrero—.</w:t>
      </w:r>
    </w:p>
    <w:p w:rsidR="00163957" w:rsidRDefault="00163957" w:rsidP="00163957">
      <w:pPr>
        <w:pStyle w:val="TextoNormal"/>
      </w:pPr>
    </w:p>
    <w:p w:rsidR="00163957" w:rsidRDefault="00163957" w:rsidP="00163957">
      <w:pPr>
        <w:pStyle w:val="TextoNormal"/>
      </w:pPr>
      <w:r>
        <w:t>El tipo penal exige, además, que los actos de ‘enaltecimiento o justificación’, estén dotados de una publicidad de cierta calidad y capacidad de incidencia (medios de expresión pública o difusión) y que se inscriban en una línea clara de concreto apoyo a acciones específicas de carácter terroristas en sentido estricto (ATS de 23 de septiembre de 2003).</w:t>
      </w:r>
    </w:p>
    <w:p w:rsidR="00163957" w:rsidRDefault="00163957" w:rsidP="00163957">
      <w:pPr>
        <w:pStyle w:val="TextoNormal"/>
      </w:pPr>
    </w:p>
    <w:p w:rsidR="00163957" w:rsidRDefault="00163957" w:rsidP="00163957">
      <w:pPr>
        <w:pStyle w:val="TextoNormal"/>
      </w:pPr>
      <w:r>
        <w:t>Por ello, hay que distinguir entre lo que son ‘actos’ y ‘delitos de terrorismo’ ( artículos 571 a 577 Código penal ) y los que sin ser actos de terrorismo, expresan públicamente alguna forma de apoyo o solidaridad moral a los hechos o a sus autores (enaltecimiento o justificación), distinción que de forma inequívoca realizó el Tribunal Constitucional en STC 199/1987, de 16 de diciembre , al resolver los recursos de inconstitucionalidad interpuestos contra la Ley Orgánica 9/1984, de 26 de diciembre y cuya doctrina aparece recogida en el Auto del Tribunal Supremo de 23 de mayo de 2002 y en el de 14 de junio de 2002 .</w:t>
      </w:r>
    </w:p>
    <w:p w:rsidR="00163957" w:rsidRDefault="00163957" w:rsidP="00163957">
      <w:pPr>
        <w:pStyle w:val="TextoNormal"/>
      </w:pPr>
    </w:p>
    <w:p w:rsidR="00163957" w:rsidRDefault="00163957" w:rsidP="00163957">
      <w:pPr>
        <w:pStyle w:val="TextoNormal"/>
      </w:pPr>
      <w:r>
        <w:t>Este último matiz es de gran trascendencia, pues como expresan los autos del Tribunal Supremo citados ‘la apología, cuando se persigue penalmente, es un delito (de opinión) que versa sobre otro delito distinto, o delito-objeto: el de terrorismo, con el que no puede confundirse. De no ser así, esto es, si la apología del terrorismo fuera también delito de terrorismo, tendría que ser tratada de igual modo como delito la apología de la apología, lo que conduciría directamente al absurdo’…”</w:t>
      </w:r>
    </w:p>
    <w:p w:rsidR="00163957" w:rsidRDefault="00163957" w:rsidP="00163957">
      <w:pPr>
        <w:pStyle w:val="TextoNormal"/>
      </w:pPr>
    </w:p>
    <w:p w:rsidR="00163957" w:rsidRDefault="00163957" w:rsidP="00163957">
      <w:pPr>
        <w:pStyle w:val="TextoNormal"/>
      </w:pPr>
      <w:r>
        <w:t xml:space="preserve">“3.2. Los elementos objetivos del tipo del artículo 578 C.P. exigen, por lo que concierne al caso, que en el acto colectivo se llevara a cabo la loa de ‘Argala’ con intervención del acusado, y, como antecedente, que esa loa estuviera vinculada a la conducta terrorista del </w:t>
      </w:r>
      <w:r>
        <w:lastRenderedPageBreak/>
        <w:t>ensalzado, para lo que ha de tenerse especialmente en cuenta a efectos de valoración de la prueba que ‘en una concurrencia de personas gozan de tanta riqueza semiótica las palabras como los gestos’ (STS 20.06.2007 antes citada).</w:t>
      </w:r>
    </w:p>
    <w:p w:rsidR="00163957" w:rsidRDefault="00163957" w:rsidP="00163957">
      <w:pPr>
        <w:pStyle w:val="TextoNormal"/>
      </w:pPr>
    </w:p>
    <w:p w:rsidR="00163957" w:rsidRDefault="00163957" w:rsidP="00163957">
      <w:pPr>
        <w:pStyle w:val="TextoNormal"/>
      </w:pPr>
      <w:r>
        <w:t>Además es preciso que el acto haya tenido cierta repercusión pública, pues el tipo penal exige que el enaltecimiento se haga por cualquier medio de expresión pública o difusión.</w:t>
      </w:r>
    </w:p>
    <w:p w:rsidR="00163957" w:rsidRDefault="00163957" w:rsidP="00163957">
      <w:pPr>
        <w:pStyle w:val="TextoNormal"/>
      </w:pPr>
    </w:p>
    <w:p w:rsidR="00163957" w:rsidRDefault="00163957" w:rsidP="00163957">
      <w:pPr>
        <w:pStyle w:val="TextoNormal"/>
      </w:pPr>
      <w:r>
        <w:t>La prueba practicada conduce a afirmar la concurrencia de dichas premisas:</w:t>
      </w:r>
    </w:p>
    <w:p w:rsidR="00163957" w:rsidRDefault="00163957" w:rsidP="00163957">
      <w:pPr>
        <w:pStyle w:val="TextoNormal"/>
      </w:pPr>
    </w:p>
    <w:p w:rsidR="00163957" w:rsidRDefault="00163957" w:rsidP="00163957">
      <w:pPr>
        <w:pStyle w:val="TextoNormal"/>
      </w:pPr>
      <w:r>
        <w:t>a) De un lado, quedó patente por las imágenes vistas en el plenario que el acto es un homenaje a José Miguel Bañarán Ordeñana, ‘Argala’, pues es un acto que se celebra en su honor, con claras muestras de veneración y respeto hacia él con motivo del trigésimo aniversario de su fallecimiento.</w:t>
      </w:r>
    </w:p>
    <w:p w:rsidR="00163957" w:rsidRDefault="00163957" w:rsidP="00163957">
      <w:pPr>
        <w:pStyle w:val="TextoNormal"/>
      </w:pPr>
    </w:p>
    <w:p w:rsidR="00163957" w:rsidRDefault="00163957" w:rsidP="00163957">
      <w:pPr>
        <w:pStyle w:val="TextoNormal"/>
      </w:pPr>
      <w:r>
        <w:t>Esta conclusión la extrae el tribunal de los siguientes hechos apreciados directamente en las imágenes:</w:t>
      </w:r>
    </w:p>
    <w:p w:rsidR="00163957" w:rsidRDefault="00163957" w:rsidP="00163957">
      <w:pPr>
        <w:pStyle w:val="TextoNormal"/>
      </w:pPr>
    </w:p>
    <w:p w:rsidR="00163957" w:rsidRDefault="00163957" w:rsidP="00163957">
      <w:pPr>
        <w:pStyle w:val="TextoNormal"/>
      </w:pPr>
      <w:r>
        <w:t>1. En el escenario —elevado sobre el nivel del suelo para que fuese perfectamente visible—, sobre un caballete, hay una gran fotografía de Argala.</w:t>
      </w:r>
    </w:p>
    <w:p w:rsidR="00163957" w:rsidRDefault="00163957" w:rsidP="00163957">
      <w:pPr>
        <w:pStyle w:val="TextoNormal"/>
      </w:pPr>
    </w:p>
    <w:p w:rsidR="00163957" w:rsidRDefault="00163957" w:rsidP="00163957">
      <w:pPr>
        <w:pStyle w:val="TextoNormal"/>
      </w:pPr>
      <w:r>
        <w:t>2. Durante el acto se tocan instrumentos tradicionales —txalaparta, txistu, etc.— y se recitan versos improvisados en su honor.</w:t>
      </w:r>
    </w:p>
    <w:p w:rsidR="00163957" w:rsidRDefault="00163957" w:rsidP="00163957">
      <w:pPr>
        <w:pStyle w:val="TextoNormal"/>
      </w:pPr>
    </w:p>
    <w:p w:rsidR="00163957" w:rsidRDefault="00163957" w:rsidP="00163957">
      <w:pPr>
        <w:pStyle w:val="TextoNormal"/>
      </w:pPr>
      <w:r>
        <w:t>3. Se baila una ‘ezpatadantza’ o baile de espadas, danza siempre ligada a la conmemoración o a la rendición de honores y, en nuestro caso, con esta última función pues, como claramente se aprecia en las imágenes, los bailarines saludan militarmente con las espadas a la fotografía que hay sobre el estrado.</w:t>
      </w:r>
    </w:p>
    <w:p w:rsidR="00163957" w:rsidRDefault="00163957" w:rsidP="00163957">
      <w:pPr>
        <w:pStyle w:val="TextoNormal"/>
      </w:pPr>
    </w:p>
    <w:p w:rsidR="00163957" w:rsidRDefault="00163957" w:rsidP="00163957">
      <w:pPr>
        <w:pStyle w:val="TextoNormal"/>
      </w:pPr>
      <w:r>
        <w:t>4. También bailan una Ikurrin dantza o baile de la bandera en la que se ondea la Ikurriña sobre la cabeza humillada de los danzantes, que están en postura genuflexa de frente al estrado (véase también la fotografía al folio 82).</w:t>
      </w:r>
    </w:p>
    <w:p w:rsidR="00163957" w:rsidRDefault="00163957" w:rsidP="00163957">
      <w:pPr>
        <w:pStyle w:val="TextoNormal"/>
      </w:pPr>
    </w:p>
    <w:p w:rsidR="00163957" w:rsidRDefault="00163957" w:rsidP="00163957">
      <w:pPr>
        <w:pStyle w:val="TextoNormal"/>
      </w:pPr>
      <w:r>
        <w:t>5. Y, se depositan claveles rojos al pie de la fotografía como señal de respeto.</w:t>
      </w:r>
    </w:p>
    <w:p w:rsidR="00163957" w:rsidRDefault="00163957" w:rsidP="00163957">
      <w:pPr>
        <w:pStyle w:val="TextoNormal"/>
      </w:pPr>
    </w:p>
    <w:p w:rsidR="00163957" w:rsidRDefault="00163957" w:rsidP="00163957">
      <w:pPr>
        <w:pStyle w:val="TextoNormal"/>
      </w:pPr>
      <w:r>
        <w:t>Todos estos gestos no pueden interpretarse sino como que el acto tenía por finalidad la loa de Argala.</w:t>
      </w:r>
    </w:p>
    <w:p w:rsidR="00163957" w:rsidRDefault="00163957" w:rsidP="00163957">
      <w:pPr>
        <w:pStyle w:val="TextoNormal"/>
      </w:pPr>
    </w:p>
    <w:p w:rsidR="00163957" w:rsidRDefault="00163957" w:rsidP="00163957">
      <w:pPr>
        <w:pStyle w:val="TextoNormal"/>
      </w:pPr>
      <w:r>
        <w:t>Por último, que en él interviene el acusado como máximo protagonista es algo inconcuso y está admitido por él mismo tanto en fase de instrucción como en el plenario.</w:t>
      </w:r>
    </w:p>
    <w:p w:rsidR="00163957" w:rsidRDefault="00163957" w:rsidP="00163957">
      <w:pPr>
        <w:pStyle w:val="TextoNormal"/>
      </w:pPr>
    </w:p>
    <w:p w:rsidR="00163957" w:rsidRDefault="00163957" w:rsidP="00163957">
      <w:pPr>
        <w:pStyle w:val="TextoNormal"/>
      </w:pPr>
      <w:r>
        <w:t>b) De otro lado, que la loa tenía por objeto la conducta terrorista del homenajeado queda patente por varios hechos, singularmente porque:</w:t>
      </w:r>
    </w:p>
    <w:p w:rsidR="00163957" w:rsidRDefault="00163957" w:rsidP="00163957">
      <w:pPr>
        <w:pStyle w:val="TextoNormal"/>
      </w:pPr>
    </w:p>
    <w:p w:rsidR="00163957" w:rsidRDefault="00163957" w:rsidP="00163957">
      <w:pPr>
        <w:pStyle w:val="TextoNormal"/>
      </w:pPr>
      <w:r>
        <w:t>1. A José Miguel Beñarán Ordeñana, Argala, no se le conoce otra actividad que la terrorista.</w:t>
      </w:r>
    </w:p>
    <w:p w:rsidR="00163957" w:rsidRDefault="00163957" w:rsidP="00163957">
      <w:pPr>
        <w:pStyle w:val="TextoNormal"/>
      </w:pPr>
    </w:p>
    <w:p w:rsidR="00163957" w:rsidRDefault="00163957" w:rsidP="00163957">
      <w:pPr>
        <w:pStyle w:val="TextoNormal"/>
      </w:pPr>
      <w:r>
        <w:t>Es un hecho notorio que fue dirigente de la banda y su gran influencia en la pervivencia del terrorismo etarra tras la instauración del Estado democrático.</w:t>
      </w:r>
    </w:p>
    <w:p w:rsidR="00163957" w:rsidRDefault="00163957" w:rsidP="00163957">
      <w:pPr>
        <w:pStyle w:val="TextoNormal"/>
      </w:pPr>
    </w:p>
    <w:p w:rsidR="00163957" w:rsidRDefault="00163957" w:rsidP="00163957">
      <w:pPr>
        <w:pStyle w:val="TextoNormal"/>
      </w:pPr>
      <w:r>
        <w:t>2. Así quedó acreditado, además, por las declaraciones del testigo miembro del Cuerpo Nacional de Policía con número 77.665 que ratificó los dos informes que constan en la causa sobre quién era Argala y su participación en la actividad de ETA y por los propios carteles que convocaban al acto y en los cuales aparece una leyenda con palabras de Argala en las que dice que ‘La lucha armada no nos gusta a nadie, la lucha armada es desagradable, es dura, a consecuencia de ellas se va a la cárcel, al exilio, se es torturado; a consecuencia de ella se puede morir, se ve uno obligado a matar, endurece a la persona, le hace daño, pero la lucha armada es imprescindible para avanzar’ (por todos, folio 50 de autos).</w:t>
      </w:r>
    </w:p>
    <w:p w:rsidR="00163957" w:rsidRDefault="00163957" w:rsidP="00163957">
      <w:pPr>
        <w:pStyle w:val="TextoNormal"/>
      </w:pPr>
    </w:p>
    <w:p w:rsidR="00163957" w:rsidRDefault="00163957" w:rsidP="00163957">
      <w:pPr>
        <w:pStyle w:val="TextoNormal"/>
      </w:pPr>
      <w:r>
        <w:t>3. Durante el acto se proyecta en una pantalla situada en el centro del escenario imágenes en las que se ve a varios encapuchados sentados tras una mesa con los símbolos y anagrama de ETA, así como imágenes de presos.</w:t>
      </w:r>
    </w:p>
    <w:p w:rsidR="00163957" w:rsidRDefault="00163957" w:rsidP="00163957">
      <w:pPr>
        <w:pStyle w:val="TextoNormal"/>
      </w:pPr>
    </w:p>
    <w:p w:rsidR="00163957" w:rsidRDefault="00163957" w:rsidP="00163957">
      <w:pPr>
        <w:pStyle w:val="TextoNormal"/>
      </w:pPr>
      <w:r>
        <w:t>c) Finalmente, la aparición de la noticia en los medios de difusión, periódicos y noticiarios de televisión, es prueba de la repercusión pública del acto, como afirma la tan citada STS de 20.06.2007.</w:t>
      </w:r>
    </w:p>
    <w:p w:rsidR="00163957" w:rsidRDefault="00163957" w:rsidP="00163957">
      <w:pPr>
        <w:pStyle w:val="TextoNormal"/>
      </w:pPr>
    </w:p>
    <w:p w:rsidR="00163957" w:rsidRDefault="00163957" w:rsidP="00163957">
      <w:pPr>
        <w:pStyle w:val="TextoNormal"/>
      </w:pPr>
      <w:r>
        <w:t>3.3. El acusado se prestó voluntariamente a participar como protagonista en un acto que, como se acaba de exponer, era un claro homenaje a un terrorista —condición que no se pierde por haber sido a su vez víctima de otros delincuentes que lo asesinaron—, y a su vista, ciencia y paciencia se desarrolló toda él que siempre giró en torno a la rendición de honores, loa, elogio y alabanza de ‘Argala’, por lo que no es razonable ni creíble la explicación de que se trataba sólo de un recordatorio dentro de un acto político.</w:t>
      </w:r>
    </w:p>
    <w:p w:rsidR="00163957" w:rsidRDefault="00163957" w:rsidP="00163957">
      <w:pPr>
        <w:pStyle w:val="TextoNormal"/>
      </w:pPr>
    </w:p>
    <w:p w:rsidR="00163957" w:rsidRDefault="00163957" w:rsidP="00163957">
      <w:pPr>
        <w:pStyle w:val="TextoNormal"/>
      </w:pPr>
      <w:r>
        <w:t>Es más, si el acusado se hubiera limitado a pronunciar un discurso estrictamente político en defensa de la independencia del País Vasco y el socialismo su conducta no sería reprochable, pues España es una democracia tolerante, no militante; es decir, no se exige la adhesión a los postulados constitucionales sino que se puede defender cualquier idea —incluso el cambio de la estructura del Estado, de la forma política o la secesión de éste— siempre que se haga por medios democráticos -lo que excluye radicalmente la violencia y no se vulneren o lesiones los derechos fundamentales.</w:t>
      </w:r>
    </w:p>
    <w:p w:rsidR="00163957" w:rsidRDefault="00163957" w:rsidP="00163957">
      <w:pPr>
        <w:pStyle w:val="TextoNormal"/>
      </w:pPr>
    </w:p>
    <w:p w:rsidR="00163957" w:rsidRDefault="00163957" w:rsidP="00163957">
      <w:pPr>
        <w:pStyle w:val="TextoNormal"/>
      </w:pPr>
      <w:r>
        <w:t>Sin embargo, el acusado no hace eso sino que, con ambigüedad calculada pide ‘una reflexión [para] escoger el camino más idóneo, el camino que más daño le haga al Estado, que conduzca a este pueblo a un nuevo escenario democrático’, terminando su discurso con el grito de ‘Gora Argala!’ —¡Viva Argala!— ante cuya fotografía había depositado un clavel rojo.</w:t>
      </w:r>
    </w:p>
    <w:p w:rsidR="00163957" w:rsidRDefault="00163957" w:rsidP="00163957">
      <w:pPr>
        <w:pStyle w:val="TextoNormal"/>
      </w:pPr>
    </w:p>
    <w:p w:rsidR="00163957" w:rsidRDefault="00163957" w:rsidP="00163957">
      <w:pPr>
        <w:pStyle w:val="TextoNormal"/>
      </w:pPr>
      <w:r>
        <w:t>Por lo tanto, del contexto en el que se produce su intervención, de su actitud y de sus palabras y gestos se extrae su voluntad de exaltar la figura de José Miguel Bañarán Ordeñana, Argala, cuya única actividad conocida es la de terrorista y al que se presenta como héroe e icono de la ‘lucha del pueblo vasco’ por el socialismo y la independencia”.</w:t>
      </w:r>
    </w:p>
    <w:p w:rsidR="00163957" w:rsidRDefault="00163957" w:rsidP="00163957">
      <w:pPr>
        <w:pStyle w:val="TextoNormal"/>
      </w:pPr>
    </w:p>
    <w:p w:rsidR="00163957" w:rsidRDefault="00163957" w:rsidP="00163957">
      <w:pPr>
        <w:pStyle w:val="TextoNormal"/>
      </w:pPr>
      <w:r>
        <w:t xml:space="preserve">c) El demandante de amparo formuló recurso de casación, alegando, entre otros motivos, la vulneración de los derechos fundamentales a la libertad ideológica (art. 16.1 CE) y a la libertad de expresión [art. 20.1 a) CE], argumentando que la exteriorización de las ideas o </w:t>
      </w:r>
      <w:r>
        <w:lastRenderedPageBreak/>
        <w:t>de las propias convicciones, asociadas al ideario político de cada uno, solo podrían ser consideradas manifestaciones ilícitas cuando lleve aparejada una injerencia violenta o intimidatoria o cuando se hagan manifestaciones contrarias a derechos o se ensalcen a organizaciones terroristas. Esas circunstancias no habrían concurrido en este caso ya que en los hechos probados no aparece ninguna expresión en que se ensalce actividades terroristas, toda vez que la expresión “Gora Argala!” lo único que da es muestras de afecto a una persona en el marco de un homenaje familiar e íntimo al que acudieron 50 familiares y amigos en el trigésimo aniversario de su fallecimiento.</w:t>
      </w:r>
    </w:p>
    <w:p w:rsidR="00163957" w:rsidRDefault="00163957" w:rsidP="00163957">
      <w:pPr>
        <w:pStyle w:val="TextoNormal"/>
      </w:pPr>
    </w:p>
    <w:p w:rsidR="00163957" w:rsidRDefault="00163957" w:rsidP="00163957">
      <w:pPr>
        <w:pStyle w:val="TextoNormal"/>
      </w:pPr>
      <w:r>
        <w:t>d) La Sentencia de la Sala Segunda del Tribunal Supremo de 14 de marzo de 2012, acordada en el recurso de casación núm. 1638-2011, declaró no haber lugar al recurso. El concreto motivo de casación referido a la vulneración de los derechos fundamentales a la libertad ideológica (art. 16.1 CE) y a la libertad de expresión [art. 20.1 a) CE] fue desestimado en el fundamento de derecho cuarto, tras hacer una exposición en que se justificaba la constitucionalidad del precepto, con la siguiente argumentación:</w:t>
      </w:r>
    </w:p>
    <w:p w:rsidR="00163957" w:rsidRDefault="00163957" w:rsidP="00163957">
      <w:pPr>
        <w:pStyle w:val="TextoNormal"/>
      </w:pPr>
    </w:p>
    <w:p w:rsidR="00163957" w:rsidRDefault="00163957" w:rsidP="00163957">
      <w:pPr>
        <w:pStyle w:val="TextoNormal"/>
      </w:pPr>
      <w:r>
        <w:t>“1. Se alega que la condena se ha producido imputándose al acusado una manifestación ‘Gora Argala’ que se considera como loa a un terrorista miembro de ETA, pero la conducta del Sr. Erkizia no supone sino la libre expresión de un discurso político en el marco de una confrontación ideológica propia de un Estado de derecho, en el que el pluralismo político es la base, y donde se explicó la posición de la izquierda abertzale con respecto a la coyuntura política del momento, y el recuerdo a una persona fallecida de la que se ha sido amigo, sin otra trascendencia.</w:t>
      </w:r>
    </w:p>
    <w:p w:rsidR="00163957" w:rsidRDefault="00163957" w:rsidP="00163957">
      <w:pPr>
        <w:pStyle w:val="TextoNormal"/>
      </w:pPr>
    </w:p>
    <w:p w:rsidR="00163957" w:rsidRDefault="00163957" w:rsidP="00163957">
      <w:pPr>
        <w:pStyle w:val="TextoNormal"/>
      </w:pPr>
      <w:r>
        <w:t>2. … En nuestra STS núm. 299/2011, de 25 de abril, indicamos que ‘ciertamente el tipo penal de la exaltación/justificación en la doble modalidad del crimen o de sus autores, en la medida que constituye una figura que desborda la apología clásica del art. 18, puede adentrarse en la zona delicada de la sanción de opiniones, por deleznables que puedan ser consideradas, y, lo que es más delicado, pueden entrar en conflicto con derechos de rango constitucional como son los derechos de libertad ideológica y de opinión, reconocidos, respectivamente en los arts. 16.1 y 20.1 a) de la Constitución.</w:t>
      </w:r>
    </w:p>
    <w:p w:rsidR="00163957" w:rsidRDefault="00163957" w:rsidP="00163957">
      <w:pPr>
        <w:pStyle w:val="TextoNormal"/>
      </w:pPr>
    </w:p>
    <w:p w:rsidR="00163957" w:rsidRDefault="00163957" w:rsidP="00163957">
      <w:pPr>
        <w:pStyle w:val="TextoNormal"/>
      </w:pPr>
      <w:r>
        <w:t xml:space="preserve">Es por ello que, reconociendo la tensión que existe entre este delito y el derecho a la libre expresión de ideas y libertad ideológica, (como expresamente se reconoce en la sentencia de esta Sala 585/2007 de 20 de junio ), la labor judicial, como actividad individualizada que es, en un riguroso análisis, caso por caso, habrá de examinar tanto las concretas frases o expresiones producidas así como la ocasión y el escenario en el que fueron pronunciadas y, en fin, todas las circunstancias concurrentes, para determinar si está dentro del ámbito del tipo penal o extramuros de él, sin olvidar que el principio </w:t>
      </w:r>
      <w:r w:rsidRPr="00163957">
        <w:rPr>
          <w:i/>
        </w:rPr>
        <w:t>favor libertatis</w:t>
      </w:r>
      <w:r>
        <w:t xml:space="preserve"> debe jugar, necesariamente en los casos de duda, ante la naturaleza constitucional de los derechos de libertad de expresión e ideológica que podrían quedar afectados por el tipo penal, derechos que constituyen una de las más acusadas señas de identidad de la Sociedad Democrática.</w:t>
      </w:r>
    </w:p>
    <w:p w:rsidR="00163957" w:rsidRDefault="00163957" w:rsidP="00163957">
      <w:pPr>
        <w:pStyle w:val="TextoNormal"/>
      </w:pPr>
    </w:p>
    <w:p w:rsidR="00163957" w:rsidRDefault="00163957" w:rsidP="00163957">
      <w:pPr>
        <w:pStyle w:val="TextoNormal"/>
      </w:pPr>
      <w:r>
        <w:t>Todo ello nos lleva a la conclusión de que el delito de exaltación/justificación del terrorismo o sus autores se sitúa extramuros del delito de la apología clásica del art. 18 CP, pero sin invadir ni cercenar el derecho de libertad de expresión. Zona intermedia que, como ya hemos dicho, debe concretarse cuidadosamente caso a caso.</w:t>
      </w:r>
    </w:p>
    <w:p w:rsidR="00163957" w:rsidRDefault="00163957" w:rsidP="00163957">
      <w:pPr>
        <w:pStyle w:val="TextoNormal"/>
      </w:pPr>
    </w:p>
    <w:p w:rsidR="00163957" w:rsidRDefault="00163957" w:rsidP="00163957">
      <w:pPr>
        <w:pStyle w:val="TextoNormal"/>
      </w:pPr>
      <w:r>
        <w:lastRenderedPageBreak/>
        <w:t xml:space="preserve">¿Cuál es esa zona intermedia? se pregunta la sentencia referenciada 224/2010 .Y a ello se responde que, ‘de acuerdo con la concreta previsión contenida en la Exposición de Motivos de la Ley 7/2000, el bien jurídico protegido estaría en la interdicción de lo que el TEDH —SSTEDH de 8 de julio de 1999, </w:t>
      </w:r>
      <w:r w:rsidRPr="00163957">
        <w:rPr>
          <w:i/>
        </w:rPr>
        <w:t>Sürek vs Turquía</w:t>
      </w:r>
      <w:r>
        <w:t xml:space="preserve">, 4 de diciembre de 2003, </w:t>
      </w:r>
      <w:r w:rsidRPr="00163957">
        <w:rPr>
          <w:i/>
        </w:rPr>
        <w:t>Müslüm vs Turquía</w:t>
      </w:r>
      <w:r>
        <w:t xml:space="preserve"> y también nuestro Tribunal Constitucional STC 235/2007 de 7 de noviembre— califica como el </w:t>
      </w:r>
      <w:r w:rsidRPr="00163957">
        <w:rPr>
          <w:i/>
        </w:rPr>
        <w:t>discurso del odio</w:t>
      </w:r>
      <w:r>
        <w:t>, es decir la alabanza o justificación de acciones terroristas, que no cabe incluirlo dentro de la cobertura otorgada por el derecho a la libertad de exposición o ideológica en la medida que el terrorismo constituye la más grave vulneración de los Derechos Humanos de aquella Comunidad que lo sufre, porque el discurso del terrorismo se basa en el exterminio del distinto, en la intolerancia más absoluta, en la pérdida del pluralismo político y en definitiva en el aterrorizamiento colectivo como medio de conseguir esas finalidades.</w:t>
      </w:r>
    </w:p>
    <w:p w:rsidR="00163957" w:rsidRDefault="00163957" w:rsidP="00163957">
      <w:pPr>
        <w:pStyle w:val="TextoNormal"/>
      </w:pPr>
    </w:p>
    <w:p w:rsidR="00163957" w:rsidRDefault="00163957" w:rsidP="00163957">
      <w:pPr>
        <w:pStyle w:val="TextoNormal"/>
      </w:pPr>
      <w:r>
        <w:t>Es claramente un plus cualitativamente distinto del derecho a expresar opiniones arriesgadas que inquieten o choquen a sectores de una población, porque la Constitución también protege a quienes la niegan —STC 176/1995—, y ello es así porque nuestra Constitución no impone un modelo de ‘democracia militante’. No se exige ni el respeto ni la adhesión al ordenamiento jurídico ni a la Constitución. Nada que ver con esta situación es la alabanza de los actos terroristas o la apología de los verdugos.</w:t>
      </w:r>
    </w:p>
    <w:p w:rsidR="00163957" w:rsidRDefault="00163957" w:rsidP="00163957">
      <w:pPr>
        <w:pStyle w:val="TextoNormal"/>
      </w:pPr>
    </w:p>
    <w:p w:rsidR="00163957" w:rsidRDefault="00163957" w:rsidP="00163957">
      <w:pPr>
        <w:pStyle w:val="TextoNormal"/>
      </w:pPr>
      <w:r>
        <w:t>Como ya dijo esta Sala en la sentencia 633/2002 de 21 de mayo, la opción independentista puede y tiene cabida y legitimidad dentro del pluralismo político, y de hecho hay partidos que sostienen tal ideología y que ostentan responsabilidades políticas en algunas Comunidades Autónomas. Cuestión distinta es, al socaire de una legítima opinión independentista, tratar de imponerla con el indisimulado propósito de exterminar el pluralismo político mediante los más graves actos de aterrorización social.</w:t>
      </w:r>
    </w:p>
    <w:p w:rsidR="00163957" w:rsidRDefault="00163957" w:rsidP="00163957">
      <w:pPr>
        <w:pStyle w:val="TextoNormal"/>
      </w:pPr>
    </w:p>
    <w:p w:rsidR="00163957" w:rsidRDefault="00163957" w:rsidP="00163957">
      <w:pPr>
        <w:pStyle w:val="TextoNormal"/>
      </w:pPr>
      <w:r>
        <w:t>Esta consciente confusión entre la opción independentista y el exterminio del disidente, tiene una de sus manifestaciones más claras en la atribución a los terroristas de ETA la condición de ‘presos políticos’ por el entorno social que apoya el terrorismo. Se trata de una burda manifestación de la reinvención del lenguaje que constituye uno de los símbolos de la dinámica terrorista, que, en ocasiones, de forma inconsciente y por frivolidad acaba formando parte del lenguaje coloquial, de forma tan acrítica como censurable.</w:t>
      </w:r>
    </w:p>
    <w:p w:rsidR="00163957" w:rsidRDefault="00163957" w:rsidP="00163957">
      <w:pPr>
        <w:pStyle w:val="TextoNormal"/>
      </w:pPr>
    </w:p>
    <w:p w:rsidR="00163957" w:rsidRDefault="00163957" w:rsidP="00163957">
      <w:pPr>
        <w:pStyle w:val="TextoNormal"/>
      </w:pPr>
      <w:r>
        <w:t xml:space="preserve">En la jurisprudencia reciente, cabe recordar también que la STS 31/2011, de 2 de febrero, decía textualmente que ‘en esta clase de delitos es importante, no solo el </w:t>
      </w:r>
      <w:r w:rsidRPr="00163957">
        <w:rPr>
          <w:i/>
        </w:rPr>
        <w:t>tenor literal</w:t>
      </w:r>
      <w:r>
        <w:t xml:space="preserve"> de las palabras pronunciadas, sino también el </w:t>
      </w:r>
      <w:r w:rsidRPr="00163957">
        <w:rPr>
          <w:i/>
        </w:rPr>
        <w:t>sentido o la intención</w:t>
      </w:r>
      <w:r>
        <w:t xml:space="preserve"> con los que han sido utilizados, pues evidente que el lenguaje admite ordinariamente interpretaciones diversas y, a los efectos de establecer la responsabilidad por un delito de enaltecimiento del terrorismo, es preciso determinar con claridad en cuál de los posibles significados ha sido utilizado en cada ocasión concreta’.</w:t>
      </w:r>
    </w:p>
    <w:p w:rsidR="00163957" w:rsidRDefault="00163957" w:rsidP="00163957">
      <w:pPr>
        <w:pStyle w:val="TextoNormal"/>
      </w:pPr>
    </w:p>
    <w:p w:rsidR="00163957" w:rsidRDefault="00163957" w:rsidP="00163957">
      <w:pPr>
        <w:pStyle w:val="TextoNormal"/>
      </w:pPr>
      <w:r>
        <w:t xml:space="preserve">En la sentencia de esta Sala núm. 676/2009 de 5 de junio de 2009, se abordan hechos relativos a la designación de ‘reina y dama’ de las fiesta de la localidad a dos personas condenadas por delitos de terrorismo relacionados con ETA. Los acusados exhibieron también unas fotos o monigotes, como dice la sentencia, en el salón de Pleno del Ayuntamiento y por las calles de la localidad. La Audiencia Nacional les condenó como autores de un delito de enaltecimiento del terrorismo. La sentencia de casación —ciertamente con un voto </w:t>
      </w:r>
      <w:r>
        <w:lastRenderedPageBreak/>
        <w:t>particular— desestimó el recurso interpuesto, destacando que se trataba el aplicado de un tipo específico descrito por el Legislador sin tacha de constitucionalidad, consistente en ensalzar, encumbrar o mostrar como digna de honra la conducta de una determinada gravísima actuación delictiva, como es la de los elementos terroristas.</w:t>
      </w:r>
    </w:p>
    <w:p w:rsidR="00163957" w:rsidRDefault="00163957" w:rsidP="00163957">
      <w:pPr>
        <w:pStyle w:val="TextoNormal"/>
      </w:pPr>
    </w:p>
    <w:p w:rsidR="00163957" w:rsidRDefault="00163957" w:rsidP="00163957">
      <w:pPr>
        <w:pStyle w:val="TextoNormal"/>
      </w:pPr>
      <w:r>
        <w:t>Y que el propio carácter del fenómeno terrorista justifica ampliamente tal previsión legislativa que enfrenta una fenomenología delictiva de enorme importancia social, en la que incluso personas o grupos inicialmente ajenos a la propia actividad ilícita contribuyen a ella, reforzando su actuación mediante mensajes de justificación y claro apoyo.</w:t>
      </w:r>
    </w:p>
    <w:p w:rsidR="00163957" w:rsidRDefault="00163957" w:rsidP="00163957">
      <w:pPr>
        <w:pStyle w:val="TextoNormal"/>
      </w:pPr>
    </w:p>
    <w:p w:rsidR="00163957" w:rsidRDefault="00163957" w:rsidP="00163957">
      <w:pPr>
        <w:pStyle w:val="TextoNormal"/>
      </w:pPr>
      <w:r>
        <w:t>Y se destaca en esta sentencia que, por ello ha de tenerse muy presente que ni se trata en modo alguno de una simple criminalización de opiniones discrepantes ni el fundamento y el bien jurídico protegido en este caso es la defensa de la superioridad de ideas contrarias a aquellas que animan a esta clase de delincuentes, sino que, muy al contrario, la finalidad es combatir la actuación dirigida a la promoción pública de quienes ocasionan un grave quebranto en el régimen de libertades y en la paz de la comunidad con sus actos criminales, abortando toda clase de justificación y apoyo para lo que no son sino cumplidos atentados contra la significación más profunda del propio sistema democrático.</w:t>
      </w:r>
    </w:p>
    <w:p w:rsidR="00163957" w:rsidRDefault="00163957" w:rsidP="00163957">
      <w:pPr>
        <w:pStyle w:val="TextoNormal"/>
      </w:pPr>
    </w:p>
    <w:p w:rsidR="00163957" w:rsidRDefault="00163957" w:rsidP="00163957">
      <w:pPr>
        <w:pStyle w:val="TextoNormal"/>
      </w:pPr>
      <w:r>
        <w:t>Pues bien, situándonos en el sabido contexto en que se producen los hechos objeto de enjuiciamiento, es claro que en el País Vasco existe, desde hace tiempo, una facción criminal que propugna la independencia política respecto del resto del Estado del Reino de España por medios violentos, expresados en asesinatos, estragos, extorsiones y amedrentamientos de los núcleos de población que mayoritariamente han optado por la democracia como medio pacífico de expresión de las ideas. Su rechazo, es obvio, que debe hacerse tanto a través de la necesaria criminalización y castigo, con graves penas, de esas conductas y sus autores, como mediante su expulsión del mundo democrático del que voluntariamente se han apartado al recurrir al crimen como medio de actuar sobre la realidad política”.</w:t>
      </w:r>
    </w:p>
    <w:p w:rsidR="00163957" w:rsidRDefault="00163957" w:rsidP="00163957">
      <w:pPr>
        <w:pStyle w:val="TextoNormal"/>
      </w:pPr>
    </w:p>
    <w:p w:rsidR="00163957" w:rsidRDefault="00163957" w:rsidP="00163957">
      <w:pPr>
        <w:pStyle w:val="TextoNormal"/>
      </w:pPr>
      <w:r>
        <w:t>3. Y ciertamente, en ese contexto es donde tienen lugar los hechos declarados probados. En el presente caso nos encontramos con un acto de indudable ‘homenaje’ a un dirigente de la organización terrorista ETA. Organización que viene atemorizando y causando dolor a la sociedad española en general, y a la vasca en particular, durante ya más de cincuenta años. La sala de instancia examina el entorno y circunstancias en los que se producen las manifestaciones del acusado. La convocatoria de una manifestación en un espacio público, realizada con fotografías y textos de un miembro de ETA, militante activo hasta su fallecimiento, hondeando la ikurriña, con ejecución de bailes de rendición de honores, en ese acto y circunstancias el acusado realiza su intervención, colocando un clavel rojo sobre el soporte en que se apoyaba una gran fotografía de Argala, y tomando después la palabra, acabó profiriendo como final de su actuación los gritos de ‘Gora Euskal Herria askatuta’, ‘Gora Euskal Herria euskalduna’ y ‘Gora Argala’, a los que respondió el público convocado.</w:t>
      </w:r>
    </w:p>
    <w:p w:rsidR="00163957" w:rsidRDefault="00163957" w:rsidP="00163957">
      <w:pPr>
        <w:pStyle w:val="TextoNormal"/>
      </w:pPr>
    </w:p>
    <w:p w:rsidR="00163957" w:rsidRDefault="00163957" w:rsidP="00163957">
      <w:pPr>
        <w:pStyle w:val="TextoNormal"/>
      </w:pPr>
      <w:r>
        <w:t xml:space="preserve">Debe significarse que, (a diferencia de lo acontecido en otras ediciones de la conmemoración del aniversario con respecto a otros oradores) no es el contenido de las palabras pronunciadas en su discurso por el Sr. Erkizia recogidas parcialmente en el </w:t>
      </w:r>
      <w:r w:rsidRPr="00163957">
        <w:rPr>
          <w:i/>
        </w:rPr>
        <w:t>factum</w:t>
      </w:r>
      <w:r>
        <w:t xml:space="preserve">, y reflejadas en la grabación, que fue reproducida ante el acusado y el tribunal de instancia —siendo invocada por el acusado y su defensa repetidamente, a pesar de su impugnación en este </w:t>
      </w:r>
      <w:r>
        <w:lastRenderedPageBreak/>
        <w:t>recurso—, por independentista y contrario a la subsistencia del actual sistema constitucional, que sea, lo que resulta incompatible con el derecho a la libre expresión de ideas y libertad ideológica, sino que es el conjunto de actos desarrollados en honor del homenajeado con la participación del acusado como principal invitado, quien terminó su alocución con la expresión “gora Argala” (“Arriba Argala”), estando presente en el desarrollo de la danza, música, versos y efectuación personal de ofrenda floral, lo que excede de los límites legales del ejercicio del expresado derecho constitucional.</w:t>
      </w:r>
    </w:p>
    <w:p w:rsidR="00163957" w:rsidRDefault="00163957" w:rsidP="00163957">
      <w:pPr>
        <w:pStyle w:val="TextoNormal"/>
      </w:pPr>
    </w:p>
    <w:p w:rsidR="00163957" w:rsidRDefault="00163957" w:rsidP="00163957">
      <w:pPr>
        <w:pStyle w:val="TextoNormal"/>
      </w:pPr>
      <w:r>
        <w:t>La pretendida disociación entre el estricto homenaje familiar a una persona, en el aniversario de su fallecimiento, y el enaltecimiento público de esa misma persona, en su cualidad de miembro destacado de una organización terrorista, como es ETA, no puede efectuarse. El desarrollo de todas las fase del descrito acto, con manifestación pública posterior de unas 250 personas por el casco urbano de la población, y el contexto de aquél, en un lugar tan señalado y público como los soportales de las antiguas escuelas municipales, ubicadas junto al Ayuntamiento (ver informe de la Ertzanza, f 84), no lo permiten.</w:t>
      </w:r>
    </w:p>
    <w:p w:rsidR="00163957" w:rsidRDefault="00163957" w:rsidP="00163957">
      <w:pPr>
        <w:pStyle w:val="TextoNormal"/>
      </w:pPr>
    </w:p>
    <w:p w:rsidR="00163957" w:rsidRDefault="00163957" w:rsidP="00163957">
      <w:pPr>
        <w:pStyle w:val="TextoNormal"/>
      </w:pPr>
      <w:r>
        <w:t>Se ha de tener presente que, desde luego, no estamos ante una simple criminalización de opiniones discrepantes, como también que el bien jurídico protegido se centra en combatir los actos dirigidos a la promoción pública de ‘quienes ocasionan un grave quebranto en el régimen de libertades y en la paz de la comunidad con sus actos criminales, abortando toda clase de justificación y apoyo para lo que no son sino cumplidos atentados contra la significación más profunda del propio sistema democrático.’ (STS 5-6-09).</w:t>
      </w:r>
    </w:p>
    <w:p w:rsidR="00163957" w:rsidRDefault="00163957" w:rsidP="00163957">
      <w:pPr>
        <w:pStyle w:val="TextoNormal"/>
      </w:pPr>
    </w:p>
    <w:p w:rsidR="00163957" w:rsidRDefault="00163957" w:rsidP="00163957">
      <w:pPr>
        <w:pStyle w:val="TextoNormal"/>
      </w:pPr>
      <w:r>
        <w:t>La notoriedad de la trayectoria del citado ‘Argala’ y las circunstancias en las que se realizan los actos, permiten al Tribunal de instancia, concluir, acertadamente, que la mencionada tensión entre el derecho de libertad de expresión y la realización de los elementos del tipo del art. 578 CP, ha de resolverse a favor de éste. En el caso examinado resulta la procedencia de la condena de Tasio Erkizia, siendo su conducta penalmente incardinable en el delito de ensalzamiento, previsto y penado en dicho precepto. Sin que ello conlleve el resentimiento constitucional que se pretende.</w:t>
      </w:r>
    </w:p>
    <w:p w:rsidR="00163957" w:rsidRDefault="00163957" w:rsidP="00163957">
      <w:pPr>
        <w:pStyle w:val="TextoNormal"/>
      </w:pPr>
    </w:p>
    <w:p w:rsidR="00163957" w:rsidRDefault="00163957" w:rsidP="00163957">
      <w:pPr>
        <w:pStyle w:val="TextoNormal"/>
      </w:pPr>
      <w:r>
        <w:t>Por todo ello, el motivo ha de ser desestimado”.</w:t>
      </w:r>
    </w:p>
    <w:p w:rsidR="00163957" w:rsidRDefault="00163957" w:rsidP="00163957">
      <w:pPr>
        <w:pStyle w:val="TextoNormal"/>
      </w:pPr>
    </w:p>
    <w:p w:rsidR="00163957" w:rsidRDefault="00163957" w:rsidP="00163957">
      <w:pPr>
        <w:pStyle w:val="TextoNormal"/>
      </w:pPr>
      <w:r>
        <w:t>La Sentencia incluye un Voto particular discrepante en que se sostiene que a partir de los hechos declarados probados y teniendo en cuenta todo el contexto de la intervención del acusado en el homenaje no puede afirmase que existiera una extralimitación del ejercicio del derecho a la libertad de expresión mediante una manifestación del discurso del odio.</w:t>
      </w:r>
    </w:p>
    <w:p w:rsidR="00163957" w:rsidRDefault="00163957" w:rsidP="00163957">
      <w:pPr>
        <w:pStyle w:val="TextoNormal"/>
      </w:pPr>
    </w:p>
    <w:p w:rsidR="00163957" w:rsidRDefault="00163957" w:rsidP="00163957">
      <w:pPr>
        <w:pStyle w:val="TextoNormal"/>
      </w:pPr>
      <w:r w:rsidRPr="00163957">
        <w:rPr>
          <w:rStyle w:val="NumeroAFNegritaCaracter"/>
        </w:rPr>
        <w:t>3</w:t>
      </w:r>
      <w:r>
        <w:t>. El demandante de amparo aduce en su recurso que las Sentencias impugnadas han vulnerado sus derechos fundamentales a la libertad ideológica (art. 16.1 CE) y a la libertad de expresión [art. 20.1 a) CE], por lo que solicita su anulación.</w:t>
      </w:r>
    </w:p>
    <w:p w:rsidR="00163957" w:rsidRDefault="00163957" w:rsidP="00163957">
      <w:pPr>
        <w:pStyle w:val="TextoNormal"/>
      </w:pPr>
    </w:p>
    <w:p w:rsidR="00163957" w:rsidRDefault="00163957" w:rsidP="00163957">
      <w:pPr>
        <w:pStyle w:val="TextoNormal"/>
      </w:pPr>
      <w:r>
        <w:t xml:space="preserve">El demandante de amparo expone que los derechos a la libertad ideológica, a la participación política y a la libre expresión de ideas son derechos de especial incidencia en un sistema cuya base es el pluralismo político y que la exteriorización de las ideas, de las propias convicciones, de manera oral, escrita o con la adopción de actitudes o conductas sociales y asociadas al ideario político de cada uno, solo podrán ser consideradas manifestaciones ilícitas cuando su exteriorización lleve aparejada una injerencia violenta o intimidatoria de </w:t>
      </w:r>
      <w:r>
        <w:lastRenderedPageBreak/>
        <w:t>la libertad de otra persona o grupo, o cuando se hagan manifestaciones contrarias a derechos o se ensalcen a organizaciones terroristas, porque en ese caso se traspasa la esfera del legítimo ejercicio del derecho. En relación con ello, argumenta que la condena se ha basado en la participación en un acto político en que se realizaron reflexiones de ese carácter, por lo que la conducta desarrollada “no supone sino la libre expresión de un discurso político en el marco de una confrontación ideológica propia de un Estado de derecho”. Igualmente, pone de manifiesto que en los hechos probados no aparece ninguna expresión en que se ensalce actividades terroristas, toda vez que la expresión “Gora Argala!” lo único que da es muestras de afecto en el marco de un homenaje familiar e íntimo al que acudieron 50 familiares y amigos a recordar a una persona en el trigésimo aniversario de su fallecimiento.</w:t>
      </w:r>
    </w:p>
    <w:p w:rsidR="00163957" w:rsidRDefault="00163957" w:rsidP="00163957">
      <w:pPr>
        <w:pStyle w:val="TextoNormal"/>
      </w:pPr>
    </w:p>
    <w:p w:rsidR="00163957" w:rsidRDefault="00163957" w:rsidP="00163957">
      <w:pPr>
        <w:pStyle w:val="TextoNormal"/>
      </w:pPr>
      <w:r>
        <w:t>En la demanda de amparo se justifica la especial trascendencia constitucional de recurso afirmando que el tipo penal de enaltecimiento del terrorismo en su doble modalidad de justificación del crimen o sus autores desborda el clásico delito de apología pudiendo entrar en conflicto con los derechos a la libertad ideológica y de expresión, lo que hace necesario un pronunciamiento del Tribunal constitucional en que se establezcan qué requisitos deben darse para deslindar el legítimo ejercicio del derecho de la comisión de un delito de enaltecimiento.</w:t>
      </w:r>
    </w:p>
    <w:p w:rsidR="00163957" w:rsidRDefault="00163957" w:rsidP="00163957">
      <w:pPr>
        <w:pStyle w:val="TextoNormal"/>
      </w:pPr>
    </w:p>
    <w:p w:rsidR="00163957" w:rsidRDefault="00163957" w:rsidP="00163957">
      <w:pPr>
        <w:pStyle w:val="TextoNormal"/>
      </w:pPr>
      <w:r w:rsidRPr="00163957">
        <w:rPr>
          <w:rStyle w:val="NumeroAFNegritaCaracter"/>
        </w:rPr>
        <w:t>4</w:t>
      </w:r>
      <w:r>
        <w:t>. La Sala Primera de este Tribunal, por providencia de 3 de junio de 2013, acordó admitir a trámite la demanda de amparo y, en aplicación de lo dispuesto en el art. 51 de la Ley Orgánica del Tribunal Constitucional (LOTC), requerir que se remitiera certificación o copia adverada de las actuaciones y el emplazamiento de quienes hubieran sido parte en el procedimiento para que pudiesen comparecer en el plazo de diez días en el proceso de amparo. Igualmente, se acordó formar la correspondiente pieza separada de suspensión, en la que, tras los trámites oportunos, se acordó por ATC 167/2013, de 9 de septiembre, denegar la suspensión solicitada.</w:t>
      </w:r>
    </w:p>
    <w:p w:rsidR="00163957" w:rsidRDefault="00163957" w:rsidP="00163957">
      <w:pPr>
        <w:pStyle w:val="TextoNormal"/>
      </w:pPr>
    </w:p>
    <w:p w:rsidR="00163957" w:rsidRDefault="00163957" w:rsidP="00163957">
      <w:pPr>
        <w:pStyle w:val="TextoNormal"/>
      </w:pPr>
      <w:r w:rsidRPr="00163957">
        <w:rPr>
          <w:rStyle w:val="NumeroAFNegritaCaracter"/>
        </w:rPr>
        <w:t>5</w:t>
      </w:r>
      <w:r>
        <w:t>. La Secretaría de Justicia de la Sala Primera de este Tribunal, por diligencia de ordenación de 26 de julio de 2013, tuvo por recibidos los testimonios de las actuaciones; por personada a la Procuradora doña Mónica Ana Liceras Vallina, en nombre y representación de la Asociación Dignidad y Justicia; y acordó dar vista de las actuaciones al Ministerio Fiscal y a las partes personadas por un plazo de 20 días para presentar las alegaciones que estimasen pertinentes, de conformidad con el art. 52 LOTC.</w:t>
      </w:r>
    </w:p>
    <w:p w:rsidR="00163957" w:rsidRDefault="00163957" w:rsidP="00163957">
      <w:pPr>
        <w:pStyle w:val="TextoNormal"/>
      </w:pPr>
    </w:p>
    <w:p w:rsidR="00163957" w:rsidRDefault="00163957" w:rsidP="00163957">
      <w:pPr>
        <w:pStyle w:val="TextoNormal"/>
      </w:pPr>
      <w:r w:rsidRPr="00163957">
        <w:rPr>
          <w:rStyle w:val="NumeroAFNegritaCaracter"/>
        </w:rPr>
        <w:t>6</w:t>
      </w:r>
      <w:r>
        <w:t>. El Ministerio Fiscal, en escrito registrado el 4 de octubre de 2013, presentó sus alegaciones interesando que se denegara el amparo solicitado.</w:t>
      </w:r>
    </w:p>
    <w:p w:rsidR="00163957" w:rsidRDefault="00163957" w:rsidP="00163957">
      <w:pPr>
        <w:pStyle w:val="TextoNormal"/>
      </w:pPr>
    </w:p>
    <w:p w:rsidR="00163957" w:rsidRDefault="00163957" w:rsidP="00163957">
      <w:pPr>
        <w:pStyle w:val="TextoNormal"/>
      </w:pPr>
      <w:r>
        <w:t xml:space="preserve">El Ministerio Fiscal afirma, en primer lugar, que las resoluciones impugnadas han hecho un detenido análisis tanto de las expresiones proferidas por el recurrente como del contexto y actuaciones desarrolladas en el marco del acto para concluir que su conducta no quedaba amparada por el legítimo ejercicio de los derechos a la libertad ideológica (art. 16.1 CE) y a la libertad de expresión [art. 20.1 a) CE]. A esos efectos, argumenta que desde la perspectiva de los derechos invocados y tomando en consideración que la condena ha sido por un delito de enaltecimiento del terrorismo del art. 578 CP resulta preciso analizar si las ideas expresadas por el recurrente “versaron sobre materias y se manifestaron de modo que pudieran contribuir a la formación de una opinión pública libre, como garantía del pluralismo </w:t>
      </w:r>
      <w:r>
        <w:lastRenderedPageBreak/>
        <w:t>democrático. De ser así la fuerza del derecho fundamental se convertiría en una causa de justificación que operaría como excluyente de la antijuridicidad de la conducta sancionada”.</w:t>
      </w:r>
    </w:p>
    <w:p w:rsidR="00163957" w:rsidRDefault="00163957" w:rsidP="00163957">
      <w:pPr>
        <w:pStyle w:val="TextoNormal"/>
      </w:pPr>
    </w:p>
    <w:p w:rsidR="00163957" w:rsidRDefault="00163957" w:rsidP="00163957">
      <w:pPr>
        <w:pStyle w:val="TextoNormal"/>
      </w:pPr>
      <w:r>
        <w:t>En relación con ello, el Ministerio Fiscal expone la jurisprudencia constitucional y la del Tribunal Europeo de Derechos Humanos sobre el particular, poniendo de manifiesto la consideración de que la libertad de expresión no puede ofrecer cobertura al llamado discurso del odio, definido como aquel desarrollado en términos que suponga una incitación a la violencia contra los ciudadanos en general o contra determinadas razas o creencias en particular. Así, destaca que en los hechos declarados probados se sostiene que el recurrente participó como principal orador en un acto celebrado en recuerdo y loa de un responsable de ETA, que se publicitaba mediante carteles pegados en las calles en que se transcribía un texto atribuido al homenajeado en que el que se afirmaba que la lucha armada era imprescindible para avanzar; que sobre un caballete se mostraba una gran fotografía del miembro de ETA homenajeado; que en el centro se situó una pantalla en la que se proyectaron fotografías de miembros encapuchados de ETA y que el discurso del recurrente fue el momento central del acto “y que en él pidió una reflexión para escoger el camino más idóneo, el camino que más daño le haga al Estado, que conduzca a un nuevo escenario democrático”. A partir de ello, el Ministerio Fiscal concluye que la conducta del recurrente no puede encontrar amparo en la protección constitucional dispensada por los arts. 16.1 y 20.1 a) CE, ya que suponía “una particular manifestación personificada del conocido como ‘discurso del odio’; esto es, aquella forma de expresión que propaga, promueve o justifica el odio racial, la xenofobia y otras formas de odio basadas en la intolerancia, incluyendo la intolerancia manifestada mediante un nacionalismo y etnocentrismo agresivos como los que representa la organización terrorista ETA”.</w:t>
      </w:r>
    </w:p>
    <w:p w:rsidR="00163957" w:rsidRDefault="00163957" w:rsidP="00163957">
      <w:pPr>
        <w:pStyle w:val="TextoNormal"/>
      </w:pPr>
    </w:p>
    <w:p w:rsidR="00163957" w:rsidRDefault="00163957" w:rsidP="00163957">
      <w:pPr>
        <w:pStyle w:val="TextoNormal"/>
      </w:pPr>
      <w:r w:rsidRPr="00163957">
        <w:rPr>
          <w:rStyle w:val="NumeroAFNegritaCaracter"/>
        </w:rPr>
        <w:t>7</w:t>
      </w:r>
      <w:r>
        <w:t>. La Procuradora doña Mónica Ana Liceras Vallina, en escrito registrado el 26 de septiembre de 2013, presentó sus alegaciones solicitando que el recurso de amparo fuera desestimado. Argumenta que la invocación del derecho a la libertad ideológica y de expresión se fundamenta en un presupuesto fáctico que no responde a la verdad objetiva que aparece reflejada en la Sentencia impugnada, ya que la condena trae causa de su participación destacada en un homenaje a un terrorista integrante de ETA hasta su muerte no solo con la manifestación de “Gora Argala”, sino por sus palabras, gestos y el contexto y repercusión de su intervención. Igualmente, se afirma que esta intervención del recurrente no queda amparada por el derecho a la libertad ideológica y de expresión ya que “carece de cobertura constitucional la apología de los verdugos, glorificando su imagen y justificando sus hechos más si cabe cuando ello pueda suponer una humillación de sus víctimas”.</w:t>
      </w:r>
    </w:p>
    <w:p w:rsidR="00163957" w:rsidRDefault="00163957" w:rsidP="00163957">
      <w:pPr>
        <w:pStyle w:val="TextoNormal"/>
      </w:pPr>
    </w:p>
    <w:p w:rsidR="00163957" w:rsidRDefault="00163957" w:rsidP="00163957">
      <w:pPr>
        <w:pStyle w:val="TextoNormal"/>
      </w:pPr>
      <w:r w:rsidRPr="00163957">
        <w:rPr>
          <w:rStyle w:val="NumeroAFNegritaCaracter"/>
        </w:rPr>
        <w:t>8</w:t>
      </w:r>
      <w:r>
        <w:t>. El recurrente, en escrito registrado el 1 de octubre de 2013, presentó sus alegaciones ratificándose en su escrito de demanda de amparo.</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16 de junio de 2016, se señaló para la deliberación y votación de la presente Sentencia el día 20 del mismo mes y año.</w:t>
      </w:r>
    </w:p>
    <w:p w:rsidR="00163957" w:rsidRDefault="00163957" w:rsidP="00163957">
      <w:pPr>
        <w:pStyle w:val="TextoNormal"/>
      </w:pPr>
    </w:p>
    <w:p w:rsidR="00163957" w:rsidRDefault="00163957" w:rsidP="00163957">
      <w:pPr>
        <w:pStyle w:val="TextoNormalNegritaCentrado"/>
        <w:keepNext/>
      </w:pPr>
      <w:r>
        <w:lastRenderedPageBreak/>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objeto de este recurso de amparo es analizar si las resoluciones judiciales impugnadas han vulnerado los derechos fundamentales del demandante de amparo a la libertad ideológica (art. 16.1 CE) y de expresión [art. 20.1 a) CE], por haber sido condenado penalmente como autor de un delito de enaltecimiento del terrorismo (art. 578 CP) con motivo de su intervención en un homenaje ciudadano tributado a una persona que había formado parte de la banda terrorista ETA en el trigésimo aniversario de su muerte producida como consecuencia de un atentado terrorista.</w:t>
      </w:r>
    </w:p>
    <w:p w:rsidR="00163957" w:rsidRDefault="00163957" w:rsidP="00163957">
      <w:pPr>
        <w:pStyle w:val="TextoNormal"/>
      </w:pPr>
    </w:p>
    <w:p w:rsidR="00163957" w:rsidRDefault="00163957" w:rsidP="00163957">
      <w:pPr>
        <w:pStyle w:val="TextoNormal"/>
      </w:pPr>
      <w:r>
        <w:t>La especial trascendencia constitucional de este recurso, en los términos formulados a efectos meramente enunciativos y ejemplificadores en la STC 155/2009, de 25 de junio, FJ 2, radica en la posibilidad de que el Tribunal Constitucional, como máximo intérprete de los derechos fundamentales, tenga la oportunidad de pronunciarse sobre una cuestión hasta ahora no planteada ante esta jurisdicción constitucional como es el eventual conflicto que puede generar la interpretación y aplicación del delito de enaltecimiento del terrorismo (art. 578 CP) con el derecho a la libertad de expresión [art. 20.1 a) CE].</w:t>
      </w:r>
    </w:p>
    <w:p w:rsidR="00163957" w:rsidRDefault="00163957" w:rsidP="00163957">
      <w:pPr>
        <w:pStyle w:val="TextoNormal"/>
      </w:pPr>
    </w:p>
    <w:p w:rsidR="00163957" w:rsidRDefault="00163957" w:rsidP="00163957">
      <w:pPr>
        <w:pStyle w:val="TextoNormal"/>
      </w:pPr>
      <w:r w:rsidRPr="00163957">
        <w:rPr>
          <w:rStyle w:val="NumeroAFNegritaCaracter"/>
        </w:rPr>
        <w:t>2</w:t>
      </w:r>
      <w:r>
        <w:t>. . La jurisprudencia constitucional ha destacado tanto el carácter preeminente que tiene el derecho a la libertad de expresión en los sistemas democráticos, como su carácter limitado cuando entra en conflicto con otros derechos o intereses constitucionales, como sucede, por ejemplo, con aquellas expresiones que son manifestación del discurso del odio y que cabe interpretar como incitaciones a la violencia, discriminación contra colectivos, etc. Igualmente, la jurisprudencia constitucional también ha abordado la cuestión relativa a los límites que impone el principio de proporcionalidad a la injerencia que en el ejercicio del derecho a la libertad de expresión supone la sanción penal de determinadas expresiones. La reciente STC 177/2015, de 22 de julio, FJ 2, destaca estos tres aspectos cuando expone lo siguientes elementos caracterizadores de este derecho:</w:t>
      </w:r>
    </w:p>
    <w:p w:rsidR="00163957" w:rsidRDefault="00163957" w:rsidP="00163957">
      <w:pPr>
        <w:pStyle w:val="TextoNormal"/>
      </w:pPr>
    </w:p>
    <w:p w:rsidR="00163957" w:rsidRDefault="00163957" w:rsidP="00163957">
      <w:pPr>
        <w:pStyle w:val="TextoNormal"/>
      </w:pPr>
      <w:r>
        <w:t>(i) El carácter institucional del derecho a la libertad de expresión. La STC 177/2015 afirma que en una jurisprudencia unánime que arranca de las tempranas SSTC 6/1981, de 16 de marzo, y 12/1982, de 31 de marzo, se subraya repetidamente la “peculiar dimensión institucional de la libertad de expresión”, en cuanto que garantía para “la formación y existencia de una opinión pública libre”, que la convierte “en uno de los pilares de una sociedad libre y democrática”. De modo congruente con ello se destaca la necesidad de que dicha libertad “goce de un amplio cauce para el intercambio de ideas y opiniones”, que ha de ser “lo suficientemente generoso como para que pueda desenvolverse sin angostura; esto es, sin timidez y sin temor” [FJ 2 a)].</w:t>
      </w:r>
    </w:p>
    <w:p w:rsidR="00163957" w:rsidRDefault="00163957" w:rsidP="00163957">
      <w:pPr>
        <w:pStyle w:val="TextoNormal"/>
      </w:pPr>
    </w:p>
    <w:p w:rsidR="00163957" w:rsidRDefault="00163957" w:rsidP="00163957">
      <w:pPr>
        <w:pStyle w:val="TextoNormal"/>
      </w:pPr>
      <w:r>
        <w:t xml:space="preserve">La STC 177/2015 continúa exponiendo que este carácter institucional determina que la jurisprudencia constitucional haya establecido que la libertad de expresión comprende la libertad de crítica “aun cuando la misma sea desabrida y pueda molestar, inquietar o disgustar a quien se dirige, pues así lo requieren el pluralismo, la tolerancia y el espíritu de apertura, sin los cuales no existe sociedad democrática”; y que la libertad de expresión vale no solo para la difusión de ideas u opiniones “acogidas con favor o consideradas inofensivas o indiferentes, sino también para aquellas que contrarían, chocan o inquietan al Estado o a una parte cualquiera de la población”, ya que en nuestro sistema “no tiene cabida un modelo </w:t>
      </w:r>
      <w:r>
        <w:lastRenderedPageBreak/>
        <w:t>de ‘democracia militante’, esto es, un modelo en el que se imponga, no ya el respeto, sino la adhesión positiva al ordenamiento y, en primer lugar, a la Constitución … El valor del pluralismo y la necesidad del libre intercambio de ideas como sustrato del sistema democrático representativo impiden cualquier actividad de los poderes públicos tendente a controlar, seleccionar, o determinar gravemente la mera circulación pública de ideas o doctrinas” [FJ 2 b)].</w:t>
      </w:r>
    </w:p>
    <w:p w:rsidR="00163957" w:rsidRDefault="00163957" w:rsidP="00163957">
      <w:pPr>
        <w:pStyle w:val="TextoNormal"/>
      </w:pPr>
    </w:p>
    <w:p w:rsidR="00163957" w:rsidRDefault="00163957" w:rsidP="00163957">
      <w:pPr>
        <w:pStyle w:val="TextoNormal"/>
      </w:pPr>
      <w:r>
        <w:t>(ii) El carácter limitable del derecho a la libertad de expresión y, singularmente, el derivado de manifestaciones que alienten la violencia. La ya citada STC 177/2015 también sienta que el derecho a la libertad de expresión no es de carácter absoluto. Así, el Tribunal declara en este pronunciamiento que la libertad de expresión tiene, como todos los demás derechos, sus límites, de manera que cualquier ejercicio de ese derecho no merece, por el simple hecho de serlo, protección constitucional, y recuerda que la jurisprudencia del Tribunal Europeo de Derechos Humanos ha afirmado que la tolerancia y el respeto de la igual dignidad de todos los seres humanos constituyen el fundamento de una sociedad democrática y pluralista, de lo que resulta que, en principio, se pudiera considerar necesario en las sociedades democráticas sancionar e incluso prevenir todas las formas de expresión que propaguen, inciten, promuevan o justifiquen el odio basado en la intolerancia y que, del mismo modo, la libre exposición de las ideas no autoriza el uso de la violencia para imponer criterios propios [FJ 2 c)].</w:t>
      </w:r>
    </w:p>
    <w:p w:rsidR="00163957" w:rsidRDefault="00163957" w:rsidP="00163957">
      <w:pPr>
        <w:pStyle w:val="TextoNormal"/>
      </w:pPr>
    </w:p>
    <w:p w:rsidR="00163957" w:rsidRDefault="00163957" w:rsidP="00163957">
      <w:pPr>
        <w:pStyle w:val="TextoNormal"/>
      </w:pPr>
      <w:r>
        <w:t>En relación con este elemento caracterizador, en la STC 177/2015 se afirmó que, ante conductas que pueden ser eventualmente consideradas manifestaciones del discurso del odio, la labor de control constitucional que debe desarrollarse es la de “dilucidar si los hechos acaecidos son expresión de una opción política legítima, que pudieran estimular el debate tendente a transformar el sistema político, o si, por el contrario, persiguen desencadenar un reflejo emocional de hostilidad, incitando y promoviendo el odio y la intolerancia incompatibles con el sistema de valores de la democracia” (FJ 4). Igualmente se recodaba que “[e]n la STC 136/1999, de 20 de julio, afirmamos que ‘no cabe considerar ejercicio legítimo de las libertades de expresión e información a los mensajes que incorporen amenazas o intimidaciones a los ciudadanos o a los electores, ya que como es evidente con ellos ni se respeta la libertad de los demás, ni se contribuye a la formación de una opinión pública que merezca el calificativo de libre’ (FJ 15). Del mismo modo, la utilización de símbolos, mensajes o elementos que representen o se identifiquen con la exclusión política, social o cultural, deja de ser una simple manifestación ideológica para convertirse en un acto cooperador con la intolerancia excluyente, por lo que no puede encontrar cobertura en la libertad de expresión, cuya finalidad es contribuir a la formación de una opinión pública libre” (FJ 4). Y, además, que “[e]s obvio que las manifestaciones más toscas del denominado ‘discurso del odio’ son las que se proyectan sobre las condiciones étnicas, religiosas, culturales o sexuales de las personas. Pero lo cierto es que el discurso fóbico ofrece también otras vertientes, siendo una de ellas, indudablemente, la que persigue fomentar el rechazo y la exclusión de la vida política, y aun la eliminación física, de quienes no compartan el ideario de los intolerantes” (FJ 4).</w:t>
      </w:r>
    </w:p>
    <w:p w:rsidR="00163957" w:rsidRDefault="00163957" w:rsidP="00163957">
      <w:pPr>
        <w:pStyle w:val="TextoNormal"/>
      </w:pPr>
    </w:p>
    <w:p w:rsidR="00163957" w:rsidRDefault="00163957" w:rsidP="00163957">
      <w:pPr>
        <w:pStyle w:val="TextoNormal"/>
      </w:pPr>
      <w:r>
        <w:t xml:space="preserve">(iii) La proporcionalidad en la limitación penal del ejercicio del derecho a la libertad de expresión. Por último, también la STC 177/2015 pone de manifiesto los riesgos derivados de la utilización del </w:t>
      </w:r>
      <w:r w:rsidRPr="00163957">
        <w:rPr>
          <w:i/>
        </w:rPr>
        <w:t>ius puniendi</w:t>
      </w:r>
      <w:r>
        <w:t xml:space="preserve"> en la respuesta estatal ante un eventual ejercicio, extralimitado o no, del derecho a la libertad de expresión por la desproporción que puede suponer </w:t>
      </w:r>
      <w:r>
        <w:lastRenderedPageBreak/>
        <w:t>acudir a esta potestad y el efecto desaliento que ello puede generar. Así, en dicha resolución se afirma que los límites a los que está sometido el derecho a la libertad de expresión deben ser siempre ponderados con exquisito rigor, habida cuenta de la posición preferente que ocupa la libertad de expresión, cuando esta libertad entra en conflicto con otros derechos fundamentales o intereses de significada importancia social y política respaldados por la legislación penal. A ese respecto se incide en que, cuando esto sucede, esas limitaciones siempre han de ser interpretadas de tal modo que el derecho fundamental a la libertad de expresión no resulte desnaturalizado, lo que obliga al Juez penal a tener siempre presente su contenido constitucional para “no correr el riesgo de hacer del Derecho penal un factor de disuasión del ejercicio de la libertad de expresión, lo que, sin duda, resulta indeseable en el Estado democrático” [FJ 2 d)].</w:t>
      </w:r>
    </w:p>
    <w:p w:rsidR="00163957" w:rsidRDefault="00163957" w:rsidP="00163957">
      <w:pPr>
        <w:pStyle w:val="TextoNormal"/>
      </w:pPr>
    </w:p>
    <w:p w:rsidR="00163957" w:rsidRDefault="00163957" w:rsidP="00163957">
      <w:pPr>
        <w:pStyle w:val="TextoNormal"/>
      </w:pPr>
      <w:r>
        <w:t>En relación con lo anterior la STC 177/2015 recuerda que en este contexto de análisis la labor que debe desarrollar el órgano judicial penal consiste en valorar, como cuestión previa a la aplicación del tipo penal y atendiendo siempre a las circunstancias concurrentes en el caso concreto, si la conducta que enjuicia constituye un ejercicio lícito del derecho fundamental a la libertad de expresión y, en consecuencia, se justifica por el valor predominante de la libertad de expresión, lo que determina que “la ausencia de ese examen previo al que está obligado el Juez penal o su realización sin incluir en él la conexión de los comportamientos enjuiciados con el contenido de los derechos fundamentales y de las libertades públicas no es constitucionalmente admisible” y “constituye en sí misma una vulneración de los derechos fundamentales no tomados en consideración” [FJ 2 d)]. A esos efectos, la jurisprudencia constitucional ha afirmado como justificativo de esa posición no solo que “es obvio que los hechos probados no pueden ser a un mismo tiempo valorados como actos de ejercicio de un derecho fundamental y como conductas constitutivas de un delito” (SSTC 89/2010, de 15 de noviembre, FJ 3, y 177/2015, de 22 de julio, FJ 2); sino también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(STC 110/2000, de 5 de mayo, FJ 5).</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La concreta cuestión de la eventual incidencia que podría tener la sanción de un delito de enaltecimiento del terrorismo en el derecho a la libertad de expresión no ha sido todavía objeto de ningún pronunciamiento de este Tribunal mediante Sentencia. Ahora bien, por la similitud estructural que presentan ambos tipos penales y por su incidencia sobre el derecho fundamental invocado, resulta necesario recordar la doctrina establecida en la STC 235/2007, de 7 de noviembre, en la que se analiza la constitucionalidad de los tipos penales referidos a la negación y difusión de ideas que justifiquen el genocidio. En la STC 235/2007, en relación con los delitos de genocidio se afirmaba que “la especial peligrosidad de delitos tan odiosos y que ponen en riesgo la esencia misma de nuestra sociedad permite excepcionalmente que el legislador penal sin quebranto constitucional castigue la justificación pública de ese delito, siempre que tal justificación opere como incitación indirecta a su comisión” (FJ 9). Esa idea de la necesidad de que la justificación opere como una incitación indirecta a la comisión del delito fue la que determinó que la STC 235/2007 declarara la inconstitucionalidad del delito de negación del genocidio, ante la ausencia de ese elemento de incitación en su tipificación (FJ 8). E, igualmente, fue la exigencia interpretativa de que debiera concurrir ese elemento de incitación en el delito de la difusión de ideas que justifiquen el genocidio, lo que permitió mantener su constitucionalidad (FJ 9 y apartado 2 del </w:t>
      </w:r>
      <w:r>
        <w:lastRenderedPageBreak/>
        <w:t>fallo). En efecto, en relación con la tipificación penal de esta última conducta, la STC 235/2007 afirmó que “[t]ratándose de la expresión de un juicio de valor, sí resulta posible apreciar el citado elemento tendencial en la justificación pública del genocidio. La especial peligrosidad de delitos tan odiosos y que ponen en riesgo la esencia misma de nuestra sociedad, como el genocidio, permite excepcionalmente que el legislador penal sin quebranto constitucional castigue la justificación pública de ese delito, siempre que tal justificación opere como incitación indirecta a su comisión; esto es incriminándose (y ello es lo que ha de entenderse que realiza el art. 607.2 CP) conductas que aunque sea de forma indirecta supongan una provocación al genocidio. Por ello, el legislador puede, dentro de su libertad de configuración, perseguir tales conductas, incluso haciéndolas merecedoras de reproche penal siempre que no se entienda incluida en ellas la mera adhesión ideológica a posiciones políticas de cualquier tipo, que resultaría plenamente amparada por el art. 16 CE y, en conexión, por el art. 20 CE” (FJ 9).</w:t>
      </w:r>
    </w:p>
    <w:p w:rsidR="00163957" w:rsidRDefault="00163957" w:rsidP="00163957">
      <w:pPr>
        <w:pStyle w:val="TextoNormal"/>
      </w:pPr>
    </w:p>
    <w:p w:rsidR="00163957" w:rsidRDefault="00163957" w:rsidP="00163957">
      <w:pPr>
        <w:pStyle w:val="TextoNormal"/>
      </w:pPr>
      <w:r>
        <w:t>Esta exigencia de que la sanción penal de las conductas de exaltación o justificación de actos terroristas o de sus autores requiere, como una manifestación del discurso del odio, una situación de riesgo para las personas o derechos de terceros o para el propio sistema de libertades como condición para justificar su compatibilidad con el estándar del derecho de la libertad de expresión por ser necesaria esa injerencia en una sociedad democrática también aparece en el contexto internacional y regional europeo tal como se acredita con la actividad desarrollada tanto por el Consejo de Europa como por la Unión Europea en favor de sancionar penalmente las manifestaciones de apoyo a los fenómenos terroristas o a sus autores.</w:t>
      </w:r>
    </w:p>
    <w:p w:rsidR="00163957" w:rsidRDefault="00163957" w:rsidP="00163957">
      <w:pPr>
        <w:pStyle w:val="TextoNormal"/>
      </w:pPr>
    </w:p>
    <w:p w:rsidR="00163957" w:rsidRDefault="00163957" w:rsidP="00163957">
      <w:pPr>
        <w:pStyle w:val="TextoNormal"/>
      </w:pPr>
      <w:r>
        <w:t>En el marco del Consejo de Europa, cabe destacar la aprobación del Convenio del Consejo de Europa para la prevención del terrorismo, hecho en Varsovia el 16 de mayo de 2005 (“BOE” núm. 250, de 16 de octubre de 2009). El art. 5.1 de este Convenio, bajo la rúbrica “provocación pública para cometer delitos terroristas”, establece que “[a] los efectos del presente Convenio, se entenderá por ‘provocación pública para cometer delitos terroristas’ la difusión o cualquier otra forma de puesta a disposición del público de mensajes con la intención de incitar a cometer delitos terroristas, cuando ese comportamiento, ya preconice directamente o no la comisión de delitos terroristas, cree peligro de que se puedan cometer uno o varios delitos.” En el art. 5.2 se impone a los Estados parte, entre ellos España, la adopción de “las medidas necesarias para tipificar como delito, de conformidad con su derecho interno, la provocación pública para cometer delitos terroristas tal como se define en el apartado 1, cuando se cometa ilegal e intencionadamente”.</w:t>
      </w:r>
    </w:p>
    <w:p w:rsidR="00163957" w:rsidRDefault="00163957" w:rsidP="00163957">
      <w:pPr>
        <w:pStyle w:val="TextoNormal"/>
      </w:pPr>
    </w:p>
    <w:p w:rsidR="00163957" w:rsidRDefault="00163957" w:rsidP="00163957">
      <w:pPr>
        <w:pStyle w:val="TextoNormal"/>
      </w:pPr>
      <w:r>
        <w:t xml:space="preserve">El informe explicativo de este convenio destacó, en relación con la sanción penal de estas conductas, los riesgos derivados de una eventual limitación desproporcionada del derecho a la libertad de expresión, enfatizando que la jurisprudencia del Tribunal Europeo de Derechos Humanos —se citaba la STEDH de 20 de enero de 2000, asunto </w:t>
      </w:r>
      <w:r w:rsidRPr="00163957">
        <w:rPr>
          <w:i/>
        </w:rPr>
        <w:t>Hogefeld c. Alemania</w:t>
      </w:r>
      <w:r>
        <w:t>— había establecido que no puede quedar amparado bajo el legítimo ejercicio de este derecho la incitación a actos terroristas violentos, por lo que ciertas restricciones a los mensajes que puedan constituir una incitación indirecta a delitos terroristas violentos están en consonancia con el Convenio europeo para la protección de los derechos humanos y de las libertades fundamentales (§ 92 del informe explicativo). Igualmente se puso de manifiesto que en el origen de la definición de esta conducta de provocación pública están los docu</w:t>
      </w:r>
      <w:r>
        <w:lastRenderedPageBreak/>
        <w:t>mentos elaborados por el grupo de trabajo sobre apología del terrorismo del comité de expertos sobre terrorismo del Consejo de Europa (Codexter-Apologie), quien había propuesto centrarse, entre otras conductas, en las expresiones públicas de apoyo a actos terroristas o grupos (§§ 86 a 88 del informe explicativo); teniendo para ello presente tanto las opiniones de la Asamblea Parlamentaria del Consejo de Europa como del Comisionado para los Derechos humanos del Consejo de Europa que también habían sugerido que tal disposición podría cubrir, entre otras conductas, la difusión de mensajes de elogio al autor de un ataque terrorista (§ 95 del informe explicativo). De ese modo, se concluye en el informe explicativo que si bien finalmente en el art. 5.1 del Convenio se utiliza una fórmula genérica frente a otra más casuística, permite una cierta discreción a los países para definir este delito en relación con, por ejemplo, la conducta de difundir la idea de que un acto terrorista pueda resultar necesario y justificado (§§ 96 a 98 del Informe explicativo).</w:t>
      </w:r>
    </w:p>
    <w:p w:rsidR="00163957" w:rsidRDefault="00163957" w:rsidP="00163957">
      <w:pPr>
        <w:pStyle w:val="TextoNormal"/>
      </w:pPr>
    </w:p>
    <w:p w:rsidR="00163957" w:rsidRDefault="00163957" w:rsidP="00163957">
      <w:pPr>
        <w:pStyle w:val="TextoNormal"/>
      </w:pPr>
      <w:r>
        <w:t>Por su parte, en el marco de la Unión Europea, si bien en la redacción originaria de la Decisión marco 2002/475/JAI del Consejo, de 13 de junio de 2002, sobre la lucha contra el terrorismo (“DOCE” núm. L 164, de 22 de junio de 2002), se limitaba a incluir en el artículo 4.1 la obligación de tipificar como delito la inducción a la comisión de delitos terroristas. Con ocasión de la nueva redacción dada a su art. 3.1 a) por la Decisión marco 2008/919/JAI del Consejo, de 28 de noviembre de 2008 (“DOUE” núm. L 330, de 9 de diciembre de 2008), ya se establece que se entenderá por “’provocación a la comisión de un delito de terrorismo’ la distribución o difusión pública, por cualquier medio, de mensajes destinados a inducir a la comisión de cualesquiera de los delitos enumerados en el artículo 1, apartado 1, letras a) a h), cuando dicha conducta, independientemente de que promueva o no directamente la comisión de delitos de terrorismo, conlleve el riesgo de comisión de uno o algunos de dichos delitos”.</w:t>
      </w:r>
    </w:p>
    <w:p w:rsidR="00163957" w:rsidRDefault="00163957" w:rsidP="00163957">
      <w:pPr>
        <w:pStyle w:val="TextoNormal"/>
      </w:pPr>
    </w:p>
    <w:p w:rsidR="00163957" w:rsidRDefault="00163957" w:rsidP="00163957">
      <w:pPr>
        <w:pStyle w:val="TextoNormal"/>
      </w:pPr>
      <w:r w:rsidRPr="00163957">
        <w:rPr>
          <w:rStyle w:val="NumeroAFNegritaCaracter"/>
        </w:rPr>
        <w:t>4</w:t>
      </w:r>
      <w:r>
        <w:t>. El Tribunal Europeo de Derechos Humanos también ha tenido la ocasión de pronunciarse sobre la eventual tensión que se podría generar entre la sanción penal de este tipo de conductas y el derecho a la libertad de expresión. A esos efectos, la jurisprudencia del Tribunal Europeo de Derechos Humanos parte de la constatación de que este derecho no es ilimitado, en primer lugar, en aplicación del apartado segundo del art. 10 del Convenio europeo de derechos humanos (CEDH), conforme al cual, su ejercicio “podrá ser sometido a ciertas formalidades, condiciones, restricciones o sanciones previstas por la ley, que constituyan medidas necesarias, en una sociedad democrática, para la seguridad nacional, la integridad territorial o la seguridad pública, la defensa del orden y la prevención del delito, la protección de la salud o de la moral, la protección de la reputación o de los derechos ajenos, para impedir la divulgación de informaciones confidenciales o para garantizar la autoridad y la imparcialidad del poder judicial”. Igualmente, también ha sostenido que la libertad de expresión puede sufrir excepciones, en segundo lugar, en aplicación del art. 17 CEDH, conforme al cual, ninguna de las disposiciones del Convenio “podrá ser interpretada en el sentido de que implique para un Estado, grupo o individuo, un derecho cualquiera a dedicarse a una actividad o a realizar un acto tendente a la destrucción de los derechos o libertades reconocidos en el presente Convenio o a limitaciones más amplias de estos derechos o libertades que las previstas en el mismo”.</w:t>
      </w:r>
    </w:p>
    <w:p w:rsidR="00163957" w:rsidRDefault="00163957" w:rsidP="00163957">
      <w:pPr>
        <w:pStyle w:val="TextoNormal"/>
      </w:pPr>
    </w:p>
    <w:p w:rsidR="00163957" w:rsidRDefault="00163957" w:rsidP="00163957">
      <w:pPr>
        <w:pStyle w:val="TextoNormal"/>
      </w:pPr>
      <w:r>
        <w:t xml:space="preserve">En concreto, por lo que se refiere a sanciones penales vinculadas a conductas de incitación o apología del terrorismo es reiterada la jurisprudencia del Tribunal Europeo de Derechos Humanos en el sentido de que podría resultar justificada una limitación de la libertad </w:t>
      </w:r>
      <w:r>
        <w:lastRenderedPageBreak/>
        <w:t xml:space="preserve">de expresión cuando pueda inferirse que dichas conductas supongan un riesgo para la seguridad nacional, la integridad territorial o la seguridad pública, la defensa del orden o la prevención del delito (por ejemplo, STEDH de 2 de octubre de 2008, as. </w:t>
      </w:r>
      <w:r w:rsidRPr="00163957">
        <w:rPr>
          <w:i/>
        </w:rPr>
        <w:t>Leroy v. France</w:t>
      </w:r>
      <w:r>
        <w:t xml:space="preserve">, § 43), bien sea como apoyo moral a la actividad —mediante el enaltecimiento de la propia actividad— (por ejemplo, SSTEDH de 16 de marzo de 2000, as. </w:t>
      </w:r>
      <w:r w:rsidRPr="00163957">
        <w:rPr>
          <w:i/>
        </w:rPr>
        <w:t>Özgür Gündem c Turquía</w:t>
      </w:r>
      <w:r>
        <w:t xml:space="preserve">, § 65; 7 de febrero de 2006, as. </w:t>
      </w:r>
      <w:r w:rsidRPr="00163957">
        <w:rPr>
          <w:i/>
        </w:rPr>
        <w:t>Halis Dogan c Turquía</w:t>
      </w:r>
      <w:r>
        <w:t xml:space="preserve">, § 37; 7 de marzo de 2006, as. </w:t>
      </w:r>
      <w:r w:rsidRPr="00163957">
        <w:rPr>
          <w:i/>
        </w:rPr>
        <w:t>Hocaoğullari c Turquía</w:t>
      </w:r>
      <w:r>
        <w:t xml:space="preserve">, § 39; 10 de octubre de 2006, as. </w:t>
      </w:r>
      <w:r w:rsidRPr="00163957">
        <w:rPr>
          <w:i/>
        </w:rPr>
        <w:t>Halis Dogan c Turquía —núm</w:t>
      </w:r>
      <w:r>
        <w:t xml:space="preserve">. 3—, § 35); o como apoyo moral a la ideología a través de la loa a quienes desarrollan esa actividad —mediante el enaltecimiento de sus autores— (por ejemplo, STEDH de 28 de septiembre de 1999, as. </w:t>
      </w:r>
      <w:r w:rsidRPr="00163957">
        <w:rPr>
          <w:i/>
        </w:rPr>
        <w:t>Öztürk c Turquía</w:t>
      </w:r>
      <w:r>
        <w:t xml:space="preserve">, § 66; 2 de octubre de 2008, as. </w:t>
      </w:r>
      <w:r w:rsidRPr="00163957">
        <w:rPr>
          <w:i/>
        </w:rPr>
        <w:t>Leroy v. France</w:t>
      </w:r>
      <w:r>
        <w:t xml:space="preserve">, § 43). En aplicación de esta doctrina han sido diversas las resoluciones bien de inadmisión (DDTEDH de 13 de noviembre de 2003, as. </w:t>
      </w:r>
      <w:r w:rsidRPr="00163957">
        <w:rPr>
          <w:i/>
        </w:rPr>
        <w:t>Gündüz c Turquía —num</w:t>
      </w:r>
      <w:r>
        <w:t xml:space="preserve">. 2—; de 16 de junio de 2009, as. </w:t>
      </w:r>
      <w:r w:rsidRPr="00163957">
        <w:rPr>
          <w:i/>
        </w:rPr>
        <w:t>Bahceci y otros c Turquía</w:t>
      </w:r>
      <w:r>
        <w:t xml:space="preserve">) bien de desestimación de la lesión del derecho a la libertad de expresión (SSTEDH de 25 de noviembre de 1997, as. </w:t>
      </w:r>
      <w:r w:rsidRPr="00163957">
        <w:rPr>
          <w:i/>
        </w:rPr>
        <w:t>Zana c Turquía</w:t>
      </w:r>
      <w:r>
        <w:t xml:space="preserve">; de 8 de julio de 1999, as. </w:t>
      </w:r>
      <w:r w:rsidRPr="00163957">
        <w:rPr>
          <w:i/>
        </w:rPr>
        <w:t>Sürek c Turquía —núms. 1 y</w:t>
      </w:r>
      <w:r>
        <w:t xml:space="preserve"> 3—; 7 de febrero de 2006, as. </w:t>
      </w:r>
      <w:r w:rsidRPr="00163957">
        <w:rPr>
          <w:i/>
        </w:rPr>
        <w:t>Halis Dogan c Turquía</w:t>
      </w:r>
      <w:r>
        <w:t xml:space="preserve">; 7 de marzo de 2006, as. </w:t>
      </w:r>
      <w:r w:rsidRPr="00163957">
        <w:rPr>
          <w:i/>
        </w:rPr>
        <w:t>Hocaoğullari c Turquía</w:t>
      </w:r>
      <w:r>
        <w:t xml:space="preserve">; 10 de octubre de 2006, as. </w:t>
      </w:r>
      <w:r w:rsidRPr="00163957">
        <w:rPr>
          <w:i/>
        </w:rPr>
        <w:t>Halis Dogan c Turquía —núm</w:t>
      </w:r>
      <w:r>
        <w:t xml:space="preserve">. 3—; 2 de octubre de 2008, as. </w:t>
      </w:r>
      <w:r w:rsidRPr="00163957">
        <w:rPr>
          <w:i/>
        </w:rPr>
        <w:t>Leroy v. France</w:t>
      </w:r>
      <w:r>
        <w:t>) en supuestos en que quedaba acreditado que la condena penal se derivaba de conductas que eran concretas manifestación del discurso del odio por justificar el recurso a la violencia para la consecución de objetivos políticos.</w:t>
      </w:r>
    </w:p>
    <w:p w:rsidR="00163957" w:rsidRDefault="00163957" w:rsidP="00163957">
      <w:pPr>
        <w:pStyle w:val="TextoNormal"/>
      </w:pPr>
    </w:p>
    <w:p w:rsidR="00163957" w:rsidRDefault="00163957" w:rsidP="00163957">
      <w:pPr>
        <w:pStyle w:val="TextoNormal"/>
      </w:pPr>
      <w:r>
        <w:t>En conclusión, tomando en consideración la jurisprudencia de este Tribunal sobre la incidencia de las manifestaciones del denominado discurso del odio en el derecho a la libertad de expresión —que está en línea con la preocupación que a nivel internacional y regional se ha desarrollado en relación con la necesidad de sancionar penalmente las conductas de provocación a la comisión de delitos terroristas y la eventual incidencia que ello podría tener sobre el derecho a la libertad de expresión y con la jurisprudencia del Tribunal Europeo de Derechos Humanos sobre el particular—, hay que concluir que la sanción penal de las conductas de enaltecimiento del terrorismo sancionadas en el art. 578 —“el enaltecimiento o la justificación por cualquier medio de expresión pública o difusión de los delitos comprendidos en los artículos 571 a 577 de este Código [delitos de terrorismo] o de quienes hayan participado en su ejecución”— supone una legítima injerencia en el ámbito de la libertad de expresión de sus autores en la medida en que puedan ser consideradas como una manifestación del discurso del odio por propiciar o alentar, aunque sea de manera indirecta, una situación de riesgo para las personas o derechos de terceros o para el propio sistema de libertades.</w:t>
      </w:r>
    </w:p>
    <w:p w:rsidR="00163957" w:rsidRDefault="00163957" w:rsidP="00163957">
      <w:pPr>
        <w:pStyle w:val="TextoNormal"/>
      </w:pPr>
    </w:p>
    <w:p w:rsidR="00163957" w:rsidRDefault="00163957" w:rsidP="00163957">
      <w:pPr>
        <w:pStyle w:val="TextoNormal"/>
      </w:pPr>
      <w:r>
        <w:t>Por tanto, la labor de control de constitucionalidad que bajo la invocación del derecho a la libertad de expresión [art. 20.1 a) CE] debe desarrollarse en este procedimiento de amparo debe quedar limitada, sin entrar en aspectos de legalidad penal ordinaria referidos a la concreta aplicación del tipo penal, a verificar si en este caso las resoluciones judiciales impugnadas, al imponer la sanción penal al recurrente, han ponderado esa concreta exigencia, como elemento determinante delimitador de la constitucionalidad, de que la conducta desarrollada por el recurrente pudiera ser considerada una manifestación del discurso del odio, que incitaba a la violencia.</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En el presente caso, como ha sido expuesto más detenidamente en los antecedentes, las resoluciones judiciales han justificado la condena del recurrente como autor de un delito </w:t>
      </w:r>
      <w:r>
        <w:lastRenderedPageBreak/>
        <w:t>de enaltecimiento del terrorismo (art. 578 CP), al haber considerado probado que participó como principal orador en un acto celebrado en la ciudad natal en recuerdo y loa de un responsable de la organización ETA, quien había sido asesinado treinta años antes. En concreto se destaca que aceptó intervenir en un evento de homenaje de una persona con la que no había tenido relación de amistad ni trato o contacto especial y cuya única actividad conocida fue su pertenencia, como dirigente, a la organización terrorista ETA. El acto se publicitó mediante carteles pegados en las calles en los que se transcribía un texto atribuido al homenajeado en que se menciona que “La lucha armada no nos gusta a nadie, la lucha armada es desagradable, es dura, a consecuencia de ellas se va a la cárcel, al exilio, se es torturado; a consecuencia de ella se puede morir, se ve uno obligado a matar, endurece a la persona, le hace daño, pero la lucha armada es imprescindible para avanzar” y para su celebración se usó una tarima en que se ubicó una gran fotografía del homenajeado; una pantalla en la que se proyectaron fotografías de miembros encapuchados de la banda terrorista y de presos; y un atril desde el que el demandante pronunció un discurso, todo ello presidido por un cartel con el lema “Independentzia Sozialismo 1949-1978”, en referencia a la fecha de nacimiento y muerte del llamado homenajeado. En el acto se desarrollaron bailes conmemorativos tradicionales de homenaje con el uso de espadas de forma similar a la presentación de armas de los actos militares y adoptándose posturas genuflexas frente al escenario ante un abanderado que ondeaba la ikurriña sobre ellos, tras lo cual depositaron claveles rojos ante la fotografía del homenajeado. El discurso del recurrente fue el momento central del acto y en él pidió “una reflexión [para] escoger el camino más idóneo, el camino que más daño le haga al Estado, que conduzca a este pueblo a un nuevo escenario democrático” y terminó con los gritos “¡Viva Euskal Herria libre! ¡Viva Euskal Herria vasca! ¡Viva Argala!”, gritos que fueron respondidos por el público. Previamente, al subir al escenario, colocó un clavel rojo sobre el soporte en el que se apoyaba la fotografía del homenajeado.</w:t>
      </w:r>
    </w:p>
    <w:p w:rsidR="00163957" w:rsidRDefault="00163957" w:rsidP="00163957">
      <w:pPr>
        <w:pStyle w:val="TextoNormal"/>
      </w:pPr>
    </w:p>
    <w:p w:rsidR="00163957" w:rsidRDefault="00163957" w:rsidP="00163957">
      <w:pPr>
        <w:pStyle w:val="TextoNormal"/>
      </w:pPr>
      <w:r>
        <w:t>La Sentencia de instancia argumentó que concurre el delito de enaltecimiento del terrorismo porque (i) el acto colectivo en que participó el demandante de amparo se desarrolló en loa del homenajeado, ya que se ubicó una gran foto del homenajeado sobre un escenario, se ejecutaron bailes y actuaciones tradicionales de homenaje y se depositaron claveles rojos al pie de la fotografía; (ii) esta loa estaba vinculada a la conducta terrorista del homenajeado, ya que al homenajeado no se le conocía ninguna otra actividad que la terrorista, la convocatoria se publicitó con un texto de este en que se hacía referencia a que la lucha armada es imprescindible para avanzar y durante el acto se proyectaba en una gran pantalla imágenes de varios encapuchados sentados tras una mesa con los símbolos y anagrama de ETA, así como de presos; y (iii) tuvo repercusión pública, apareciendo la noticia del homenaje en los medios de difusión, periódicos y noticiarios de televisión. Por lo que se refiere a la concreta autoría del demandante se argumenta que (i) se prestó voluntariamente a participar como protagonista en un acto que era un claro homenaje a un terrorista, condición que no se pierde por haber sido a su vez víctima de otros delincuentes que lo asesinaron, asistiendo a todo su desarrollo; y (ii) no se limitó a un discurso político reivindicativo, sino que con una ambigüedad calculada pide “una reflexión [para] escoger el camino más idóneo, el camino que más daño le haga al Estado, que conduzca a este pueblo a un nuevo escenario democrático”, terminando su discurso con el grito de “¡Gora Argala!” —“¡Viva Argala!”— ante cuya fotografía había depositado un clavel rojo.</w:t>
      </w:r>
    </w:p>
    <w:p w:rsidR="00163957" w:rsidRDefault="00163957" w:rsidP="00163957">
      <w:pPr>
        <w:pStyle w:val="TextoNormal"/>
      </w:pPr>
    </w:p>
    <w:p w:rsidR="00163957" w:rsidRDefault="00163957" w:rsidP="00163957">
      <w:pPr>
        <w:pStyle w:val="TextoNormal"/>
      </w:pPr>
      <w:r>
        <w:lastRenderedPageBreak/>
        <w:t>Por su parte, la Sentencia de casación confirmó la condena impuesta argumentando (i) que el contexto en que se produce la conducta enjuiciada es la existencia de un grupo terrorista que propugna la independencia política del País Vasco mediante el uso de la violencia; (ii) que el acto es de indudable homenaje a un terrorista y no un mero acto familiar como pone de manifiesto el lugar donde se desarrolló —un lugar tan señalado y público como los soportales de las antiguas escuelas municipales, ubicadas junto al Ayuntamiento—, el propio contenido del acto y la manifestación pública posterior de unas 250 personas por el casco urbano de la población; (iii) que lo incompatible con los derechos a las libertades de expresión e ideológica de la conducta del ahora demandante de amparo no es el contenido de las palabras pronunciadas en su discurso “sino que es el conjunto de actos desarrollados en honor del homenajeado con la participación del acusado como principal invitado, quien terminó su alocución con la expresión ‘gora Argala’ (‘Arriba Argala’), estando presente en el desarrollo de la danza, música, versos y efectuación personal de ofrenda foral, lo que excede de los límites legales del ejercicio del expresado derecho constitucional”; y (iv) que la condena no supone la criminalización de opiniones discrepantes, sino la sanción de un acto dirigido a la promoción pública de “quienes ocasionan un grave quebranto en el régimen de libertades y en la paz de la comunidad con sus actos criminales, abortando toda clase de justificación y apoyo para lo que no son sino cumplidos atentados contra la significación más profunda del propio sistema democrático”.</w:t>
      </w:r>
    </w:p>
    <w:p w:rsidR="00163957" w:rsidRDefault="00163957" w:rsidP="00163957">
      <w:pPr>
        <w:pStyle w:val="TextoNormal"/>
      </w:pPr>
    </w:p>
    <w:p w:rsidR="00163957" w:rsidRDefault="00163957" w:rsidP="00163957">
      <w:pPr>
        <w:pStyle w:val="TextoNormal"/>
      </w:pPr>
      <w:r w:rsidRPr="00163957">
        <w:rPr>
          <w:rStyle w:val="NumeroAFNegritaCaracter"/>
        </w:rPr>
        <w:t>6</w:t>
      </w:r>
      <w:r>
        <w:t>. En atención a lo expuesto, debe concluirse que las resoluciones judiciales impugnadas, al condenar al recurrente como autor de un delito de enaltecimiento del terrorismo por su participación en ese homenaje, no han vulnerado su derecho a la libertad de expresión [art. 20.1 a) CE]. Su conducta no puede ser considerada como un legítimo ejercicio de este derecho, por ser manifestación del conocido como discurso del odio, al estar presentes todos los requisitos citados necesarios para ello: fue una expresión de odio basado en la intolerancia (el acto se publicitó mediante carteles pegados en las calles en los que se transcribía un texto atribuido a Argala que dice: “La lucha armada no nos gusta a nadie, la lucha armada es desagradable, es dura, a consecuencia de ellas se va a la cárcel, al exilio, se es torturado; a consecuencia de ella se puede morir, se ve uno obligado a matar, endurece a la persona, le hace daño, pero la lucha armada es imprescindible para avanzar”; con proyección de fotografías de miembros encapuchados de la banda terrorista; el recurrente pidió con ambigüedad calculada “una reflexión [para] escoger el camino más idóneo, el camino que más daño le haga al Estado, que conduzca a este pueblo a un nuevo escenario democrático”); manifestado a través de un nacionalismo agresivo; con inequívoca presencia de hostilidad hacia otros individuos. Es cierto que la Recomendación núm. R (97) 20 del Consejo de Europa de la que parte la jurisprudencia del Tribunal Europeo de Derechos Humanos es aplicable a la difusión a través de los medios de comunicación. Sin embargo, no puede obviarse en el presente caso dos ideas. Por una parte, los hechos cursaron en un acto público, lo que sin problemas puede entenderse como de eficacia perfectamente equiparable. Por otra, como reflejan las sentencias que antecedieron a ésta, el acto tuvo repercusión pública, apareciendo la noticia del homenaje en los medios de difusión, periódicos y noticiarios de televisión, dato que no podía ignorar el recurrente.</w:t>
      </w:r>
    </w:p>
    <w:p w:rsidR="00163957" w:rsidRDefault="00163957" w:rsidP="00163957">
      <w:pPr>
        <w:pStyle w:val="TextoNormal"/>
      </w:pPr>
    </w:p>
    <w:p w:rsidR="00163957" w:rsidRDefault="00163957" w:rsidP="00163957">
      <w:pPr>
        <w:pStyle w:val="TextoNormal"/>
      </w:pPr>
      <w:r>
        <w:t xml:space="preserve">Además, puede afirmarse que hubo una instigación a la violencia. Ciertamente, el Tribunal Europeo de Derechos Humanos, Sentencia de 16 de julio de 2009, caso </w:t>
      </w:r>
      <w:r w:rsidRPr="00163957">
        <w:rPr>
          <w:i/>
        </w:rPr>
        <w:t>Feret c Bélgica</w:t>
      </w:r>
      <w:r>
        <w:t xml:space="preserve">, § 73, recuerda que “la incitación al odio no requiere necesariamente el llamamiento a tal o cual acto de violencia ni a otro acto delictivo”. Parece claro, pues, que si los hechos implican </w:t>
      </w:r>
      <w:r>
        <w:lastRenderedPageBreak/>
        <w:t xml:space="preserve">tal incitación a la violencia, con mayor razón pueden incardinarse en dicho discurso (SSTEDH de 29 de abril 2008, caso </w:t>
      </w:r>
      <w:r w:rsidRPr="00163957">
        <w:rPr>
          <w:i/>
        </w:rPr>
        <w:t>Kutlular c. Turquía</w:t>
      </w:r>
      <w:r>
        <w:t xml:space="preserve">, § 49; de 16 de julio de 2009, caso </w:t>
      </w:r>
      <w:r w:rsidRPr="00163957">
        <w:rPr>
          <w:i/>
        </w:rPr>
        <w:t>Feret c. Bélgica</w:t>
      </w:r>
      <w:r>
        <w:t xml:space="preserve">, § 64; de 8 de julio de 1999, caso </w:t>
      </w:r>
      <w:r w:rsidRPr="00163957">
        <w:rPr>
          <w:i/>
        </w:rPr>
        <w:t>Sürek c. Turquía</w:t>
      </w:r>
      <w:r>
        <w:t xml:space="preserve">, § 62). Incitar supone siempre llevar a cabo una acción que </w:t>
      </w:r>
      <w:r w:rsidRPr="00163957">
        <w:rPr>
          <w:i/>
        </w:rPr>
        <w:t>ex ante</w:t>
      </w:r>
      <w:r>
        <w:t xml:space="preserve"> implique elevar el riesgo de que se produzca tal conducta violenta. Desde esta última perspectiva, acciones como las que nos ocupan crean un determinado caldo de cultivo, una atmósfera o ambiente social proclive a acciones terroristas, antesala del delito mismo, singularmente si se tienen en cuenta las circunstancias en las que cursaron los hechos: fue un acto público, previamente publicitado mediante carteles pegados en las calles, en un contexto en el que la actividad terrorista seguía siendo un importante problema social. Por consiguiente, es incuestionable que, para un espectador objetivo, la conducta del recurrente era idónea para contribuir a perpetuar una situación de violencia.</w:t>
      </w:r>
    </w:p>
    <w:p w:rsidR="00163957" w:rsidRDefault="00163957" w:rsidP="00163957">
      <w:pPr>
        <w:pStyle w:val="TextoNormal"/>
      </w:pPr>
    </w:p>
    <w:p w:rsidR="00163957" w:rsidRDefault="00163957" w:rsidP="00163957">
      <w:pPr>
        <w:pStyle w:val="TextoNormal"/>
      </w:pPr>
      <w:r>
        <w:t xml:space="preserve">El planteamiento efectuado no es ajeno a la jurisprudencia del Tribunal Constitucional. En efecto, tal como ya se ha expuesto anteriormente, la citada STC 235/2007, para entender como legítima la sanción de conductas de punición de justificación del genocidio, afirmó que “será necesario que la difusión pública de las ideas justificadoras entre en conflicto con bienes constitucionalmente relevantes de especial transcendencia que hayan de protegerse penalmente. Así sucede, en primer lugar, cuando la justificación de tan abominable delito suponga un modo de incitación indirecta a su perpetración. Sucederá también, en segundo lugar, cuando con la conducta consistente en presentar como justo el delito de genocidio se busque alguna suerte de provocación al odio hacia determinados en grupos definidos mediante la referencia a su color, raza, religión u origen nacional o étnico, de tal manera que represente un peligro cierto de generar un clima de violencia y hostilidad que puede concretarse en actos específicos de discriminación” (FJ 9). Es más, es claro que la justificación del genocidio </w:t>
      </w:r>
      <w:r w:rsidRPr="00163957">
        <w:rPr>
          <w:i/>
        </w:rPr>
        <w:t>ex ante</w:t>
      </w:r>
      <w:r>
        <w:t xml:space="preserve">, en determinado ambiente social, caracterizado por un rechazo generalizado de tales doctrinas, puede ser menos peligroso para bienes constitucionales que la conducta aquí objeto de consideración, llevada a cabo en un ambiente social en el que, patentemente, resultaba mucho más fácil que prendiera la llama. El contexto en el que acaecen los hechos no es jurídicamente irrelevante (STEDH </w:t>
      </w:r>
      <w:r w:rsidRPr="00163957">
        <w:rPr>
          <w:i/>
        </w:rPr>
        <w:t>Sürek contra Turquía</w:t>
      </w:r>
      <w:r>
        <w:t>, de 8 julio 1999, § 62).</w:t>
      </w:r>
    </w:p>
    <w:p w:rsidR="00163957" w:rsidRDefault="00163957" w:rsidP="00163957">
      <w:pPr>
        <w:pStyle w:val="TextoNormal"/>
      </w:pPr>
    </w:p>
    <w:p w:rsidR="00163957" w:rsidRDefault="00163957" w:rsidP="00163957">
      <w:pPr>
        <w:pStyle w:val="TextoNormal"/>
      </w:pPr>
      <w:r>
        <w:t xml:space="preserve">Las resoluciones judiciales impugnadas, en su labor de interpretación y aplicación del art. 578 CP, han ponderado adecuadamente todas las circunstancias concurrentes en la conducta del demandante de amparo. Concluyen correctamente no solo la aplicación del tipo penal —sobre lo que nada tiene ahora que decir este Tribunal al no ser una cuestión controvertida en este recurso de amparo bajo la invocación del derecho a la legalidad sancionadora (art. 25.1 CE)—; sino, especialmente, que era una conducta que no quedaba amparada dentro del contenido constitucionalmente protegido de la libertad de expresión [art. 20.1 a) CE], que es el concretamente invocado en este amparo, al tratarse de una manifestación del discurso del odio que incitaba públicamente el uso de la violencia en la consecución de determinados objetivos políticos. Al respecto, no es ociosa la cita de STEDH de 8 julio 1999, caso </w:t>
      </w:r>
      <w:r w:rsidRPr="00163957">
        <w:rPr>
          <w:i/>
        </w:rPr>
        <w:t>Sürek contra Turquía</w:t>
      </w:r>
      <w:r>
        <w:t xml:space="preserve">, §§ 61-62, en la que se subraya que “allí donde las declaraciones litigiosas inciten al uso de la violencia con respecto a un individuo, un representante del Estado o una parte de la población, las autoridades nacionales gozan de un margen de apreciación más amplio en su examen de la necesidad de una injerencia en el ejercicio de la libertad de expresión”. Aceptado, como aquí hemos hecho, la presencia de dicha incitación </w:t>
      </w:r>
      <w:r>
        <w:lastRenderedPageBreak/>
        <w:t>a la violencia en los hechos objeto de enjuiciamiento, se comprimen aún más los márgenes para apreciar el ejercicio legítimo del derecho invocado.</w:t>
      </w:r>
    </w:p>
    <w:p w:rsidR="00163957" w:rsidRDefault="00163957" w:rsidP="00163957">
      <w:pPr>
        <w:pStyle w:val="TextoNormal"/>
      </w:pPr>
    </w:p>
    <w:p w:rsidR="00163957" w:rsidRDefault="00163957" w:rsidP="00163957">
      <w:pPr>
        <w:pStyle w:val="TextoNormal"/>
      </w:pPr>
      <w:r>
        <w:t>En conclusión, debe denegarse el amparo solicitado por el demandante, toda vez que la sanción penal de su conducta, por ser una manifestación del discurso del odio, que incitaba a la violencia, a través del enaltecimiento del autor de actividades terroristas, la cual no puede quedar amparada dentro del contenido constitucionalmente protegido del derecho a la libertad de expresión [art. 20.1 a) CE].</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Desestimar el recurso de amparo interpuesto por don Tasio Erkizia Almandoz.</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veinte de junio de dos mil dieciséis.</w:t>
      </w:r>
    </w:p>
    <w:p w:rsidR="00163957" w:rsidRDefault="00163957" w:rsidP="00163957">
      <w:pPr>
        <w:pStyle w:val="ParrafoNormal"/>
      </w:pPr>
    </w:p>
    <w:p w:rsidR="00163957" w:rsidRDefault="00163957" w:rsidP="00163957">
      <w:pPr>
        <w:pStyle w:val="TextoNormalNegritaCentrado"/>
        <w:keepNext/>
      </w:pPr>
      <w:r>
        <w:t>Voto particular que formula el Magistrado don Juan Antonio Xiol Ríos a la Sentencia dictada en el recurso de amparo núm. 2514-2012</w:t>
      </w:r>
    </w:p>
    <w:p w:rsidR="00163957" w:rsidRDefault="00163957" w:rsidP="00163957">
      <w:pPr>
        <w:pStyle w:val="TextoNormalNegritaCentrado"/>
        <w:keepNext/>
      </w:pPr>
    </w:p>
    <w:p w:rsidR="00163957" w:rsidRDefault="00163957" w:rsidP="00163957">
      <w:pPr>
        <w:pStyle w:val="TextoNormal"/>
      </w:pPr>
      <w:r>
        <w:t>Con respeto a la opinión mayoritaria de mis compañeros de Sala en la que se sustenta la Sentencia, manifiesto mi discrepancia con parte de la fundamentación jurídica y el fallo de esta. Considero que hubiera debido ser estimatoria por vulneración del derecho a la libertad de expresión [art. 20.1 a) CE].</w:t>
      </w:r>
    </w:p>
    <w:p w:rsidR="00163957" w:rsidRDefault="00163957" w:rsidP="00163957">
      <w:pPr>
        <w:pStyle w:val="TextoNormal"/>
      </w:pPr>
    </w:p>
    <w:p w:rsidR="00163957" w:rsidRDefault="00163957" w:rsidP="00163957">
      <w:pPr>
        <w:pStyle w:val="TextoNormal"/>
      </w:pPr>
      <w:r>
        <w:t>1. Votos particulares en defensa de la libertad de expresión.</w:t>
      </w:r>
    </w:p>
    <w:p w:rsidR="00163957" w:rsidRDefault="00163957" w:rsidP="00163957">
      <w:pPr>
        <w:pStyle w:val="TextoNormal"/>
      </w:pPr>
    </w:p>
    <w:p w:rsidR="00163957" w:rsidRDefault="00163957" w:rsidP="00163957">
      <w:pPr>
        <w:pStyle w:val="TextoNormal"/>
      </w:pPr>
      <w:r>
        <w:t>Son numerosos los votos particulares que me he considerado obligado a formular en mi función de magistrado del Tribunal Constitucional. Algunos de ellos lo han sido para discrepar de opiniones mayoritarias que, a mi juicio, restringían los estándares mínimos de protección de los derechos a la libertad de expresión e información por haber considerado que determinadas injerencias represivas en su ejercicio eran necesarias y proporcionadas (así, SSTC 73/2014, de 8 de mayo; 18/2015, de 16 de febrero; 65/2015, de 13 de abril, y 177/2015, de 22 de junio). Como afirmé en el Voto particular formulado a la STC 177/2015 estos derechos están íntimamente ligados a la democracia y son uno de los mejores indicadores de su calidad. Todo proceso de democratización comienza con la expansión de los derechos a la libertad de expresión e información por constituirse en una regla de reconocimiento inherente a ese sistema. La libertad de expresión, como tantas veces se ha reiterado en la jurisprudencia constitucional y en la internacional de los derechos humanos, es uno de los pilares de una sociedad libre y democrática. Todo proceso de deterioro democrático, en contraposición, comienza con la restricción de estos derechos.</w:t>
      </w:r>
    </w:p>
    <w:p w:rsidR="00163957" w:rsidRDefault="00163957" w:rsidP="00163957">
      <w:pPr>
        <w:pStyle w:val="TextoNormal"/>
      </w:pPr>
    </w:p>
    <w:p w:rsidR="00163957" w:rsidRDefault="00163957" w:rsidP="00163957">
      <w:pPr>
        <w:pStyle w:val="TextoNormal"/>
      </w:pPr>
      <w:r>
        <w:t>No es fácil mostrarse discrepante cuando la cuestión de fondo planteada es el conflicto que generan conductas tan sensibles socialmente como son las de enaltecimiento del terrorismo o de la violencia en general con el derecho a la libertad de expresión. Opiniones favorables a la preferencia por la seguridad emergentes en nuestro entorno político y cultural derivadas de la amenaza que comporta la globalización del fenómeno terrorista harían más cómodo aliarse con la imperante idea de la justificación de legislaciones de excepción. Sin embargo, la defensa de los derechos fundamentales y, especialmente, del derecho a la libertad de expresión, determina que la protección que debe dispensarse deba ser especialmente cuidadosa cuando se trate de aquellas conductas que menos consenso puedan suscitar por resultar molestas o inquietantes o por chocar con las sustentadas por el Estado o una parte cualquiera de la población. El mejor derecho se hace a veces con las personas menos deseables (Frankfurter). El haz de garantías que dispensa el derecho a la libertad de expresión no resulta relevante respecto de manifestaciones acogidas con favor o consideradas inofensivas o indiferentes. Su campo de actuación es, precisamente, aquellas manifestaciones más extremas en que la discrepancia valorativa sea radical en relación con el propio sistema, por la conexión que tienen con una sociedad democrática los principios del pluralismo, la tolerancia y el espíritu de apertura, a los que sirve la libertad de expresión. La grandeza de la democracia, por ser una regla de reconocimiento del propio sistema democrático, es tanto mayor cuanto más coherente sea la feroz defensa de la posibilidad de que quienes discrepen con la democracia misma así puedan manifestarlo.</w:t>
      </w:r>
    </w:p>
    <w:p w:rsidR="00163957" w:rsidRDefault="00163957" w:rsidP="00163957">
      <w:pPr>
        <w:pStyle w:val="TextoNormal"/>
      </w:pPr>
    </w:p>
    <w:p w:rsidR="00163957" w:rsidRDefault="00163957" w:rsidP="00163957">
      <w:pPr>
        <w:pStyle w:val="TextoNormal"/>
      </w:pPr>
      <w:r>
        <w:t>Ciertamente, el derecho a la libertad de expresión no es de carácter absoluto y cualquier injerencia del Estado en el ejercicio de ese derecho no puede ser considerada lesiva del mismo. En esa idea se fundamenta la opinión mayoritaria en la que se sustenta la Sentencia para considerar que la conducta del recurrente, por ser una manifestación del discurso del odio, que incitaba a la violencia, a través del enaltecimiento del autor de actividades terroristas, no puede quedar amparada dentro del contenido constitucionalmente protegido del derecho a la libertad de expresión [art. 20.1 a) CE].</w:t>
      </w:r>
    </w:p>
    <w:p w:rsidR="00163957" w:rsidRDefault="00163957" w:rsidP="00163957">
      <w:pPr>
        <w:pStyle w:val="TextoNormal"/>
      </w:pPr>
    </w:p>
    <w:p w:rsidR="00163957" w:rsidRDefault="00163957" w:rsidP="00163957">
      <w:pPr>
        <w:pStyle w:val="TextoNormal"/>
      </w:pPr>
      <w:r>
        <w:t>Debo mostrar mi acuerdo con el planteamiento general de la opinión mayoritaria en lo que se refiere a la doctrina constitucional aplicable al caso, si bien considero que hubiera sido necesario profundizar en el estudio de los elementos que posibilitan la represión penal de conductas de justificación de la violencia terrorista desde la perspectiva del derecho a la libertad de expresión. Esa profundización hubiera debido llevar a concluir, y esa es mi discrepancia principal con la opinión mayoritaria en la que se sustenta la sentencia, que en el presente caso no concurren esos elementos que hacen que la sanción impuesta al demandante resulte necesaria y proporcionada desde la perspectiva del derecho a la libertad de expresión.</w:t>
      </w:r>
    </w:p>
    <w:p w:rsidR="00163957" w:rsidRDefault="00163957" w:rsidP="00163957">
      <w:pPr>
        <w:pStyle w:val="TextoNormal"/>
      </w:pPr>
    </w:p>
    <w:p w:rsidR="00163957" w:rsidRDefault="00163957" w:rsidP="00163957">
      <w:pPr>
        <w:pStyle w:val="TextoNormal"/>
      </w:pPr>
      <w:r>
        <w:t>2. La represión penal de conductas de justificación de la violencia terrorista es legítima en el marco de la libertad de expresión.</w:t>
      </w:r>
    </w:p>
    <w:p w:rsidR="00163957" w:rsidRDefault="00163957" w:rsidP="00163957">
      <w:pPr>
        <w:pStyle w:val="TextoNormal"/>
      </w:pPr>
    </w:p>
    <w:p w:rsidR="00163957" w:rsidRDefault="00163957" w:rsidP="00163957">
      <w:pPr>
        <w:pStyle w:val="TextoNormal"/>
      </w:pPr>
      <w:r>
        <w:t xml:space="preserve">El planteamiento general de la opinión mayoritaria parte del presupuesto de que la cuestión sometida a la consideración del Tribunal en el presente recurso de amparo es el conflicto que genera la interpretación y aplicación del delito de enaltecimiento del terrorismo (art. 578 CP) con el derecho a la libertad de expresión [art. 20.1 a) CE]. A partir de ello, y siguiendo una consolidada jurisprudencia constitucional, establece que en este contexto de </w:t>
      </w:r>
      <w:r>
        <w:lastRenderedPageBreak/>
        <w:t>análisis la labor que corresponde al órgano judicial penal consiste en valorar, como cuestión previa a la propia aplicación del tipo penal y atendiendo siempre a las circunstancias concurrentes en el caso concreto, si la conducta que enjuicia constituye un ejercicio lícito del derecho fundamental a la libertad de expresión y, en consecuencia, se justifica por el valor predominante de esta. Respecto de esa valoración la opinión mayoritaria realiza un interesante análisis —que se ha incluido en la Sentencia— sobre el tratamiento de esta materia en la jurisprudencia constitucional, en la del Tribunal Europeo de Derechos Humanos y en dos instrumentos normativos regionales como son el Convenio del Consejo de Europa para la prevención del terrorismo, hecho en Varsovia el 16 de mayo de 2005, y la Decisión marco 2002/475/JAI del Consejo, de 13 de junio de 2002, sobre la lucha contra el terrorismo, en la redacción dada tras la reforma por la Decisión marco 2008/919/JAI del Consejo, de 28 de noviembre de 2008. La conclusión que obtiene de este análisis la opinión mayoritaria es que la sanción penal de las conductas de enaltecimiento del terrorismo (art. 578 CP) supone una legítima injerencia en el ámbito de la libertad de expresión de sus autores solo en el caso en que dichas conductas propicien o alienten, aunque sea de manera indirecta, a la violencia terrorista, poniendo en una situación de riesgo a las personas o derechos de terceros o al propio sistema de libertades.</w:t>
      </w:r>
    </w:p>
    <w:p w:rsidR="00163957" w:rsidRDefault="00163957" w:rsidP="00163957">
      <w:pPr>
        <w:pStyle w:val="TextoNormal"/>
      </w:pPr>
    </w:p>
    <w:p w:rsidR="00163957" w:rsidRDefault="00163957" w:rsidP="00163957">
      <w:pPr>
        <w:pStyle w:val="TextoNormal"/>
      </w:pPr>
      <w:r>
        <w:t>Comparto este planteamiento general de la opinión mayoritaria porque supone una necesaria clarificación de los límites constitucionales a la intervención penal en relación con las conductas de enaltecimiento del terrorismo, bien a través de justificación de la propia violencia terrorista, bien a través de la exaltación de sus autores. Me parece que es fundamental en el actual contexto de emergencia de nuevas realidades terroristas que la jurisprudencia constitucional deje claro (i) que la labor de los órganos judiciales penales en la aplicación del tipo penal del art. 578 del Código penal no queda limitada a la subsunción de los elementos objetivos y subjetivos del tipo, sino que, al tener también encomendado esos mismos órganos judiciales la protección de los derechos fundamentales, se les exige una previa ponderación de la injerencia que esa respuesta penal implica para la libertad de expresión; y (ii) que en esa previa ponderación lo determinante desde el punto de vista constitucional, y a cuya exigencia está sujeto el órgano judicial penal, es que la conducta enjuiciada, más allá del estricto cumplimiento de los elementos objetivos y subjetivos del delito de enaltecimiento del terrorismo, suponga una incitación, aunque sea indirecta, a la violencia terrorista.</w:t>
      </w:r>
    </w:p>
    <w:p w:rsidR="00163957" w:rsidRDefault="00163957" w:rsidP="00163957">
      <w:pPr>
        <w:pStyle w:val="TextoNormal"/>
      </w:pPr>
    </w:p>
    <w:p w:rsidR="00163957" w:rsidRDefault="00163957" w:rsidP="00163957">
      <w:pPr>
        <w:pStyle w:val="TextoNormal"/>
      </w:pPr>
      <w:r>
        <w:t>Es de agradecer esta contundencia en la posición de la opinión mayoritaria, que incluso se ha traducido en una doble cita de la doctrina constitucional establecida en la STC 235/2007, de 7 de noviembre, en que se afirmó que la constitucionalidad de la sanción penal de la difusión de ideas que justifiquen el genocidio solo resultaba posible “siempre que tal justificación opere como incitación indirecta a su comisión” (FJ 9). Tal contundencia espero que sea correctamente interpretada por los operadores jurídicos en el sentido de que este pronunciamiento constitucional implica una suerte de sentencia interpretativa en relación con el tipo penal de enaltecimiento del terrorismo del art. 578 CP, en la línea de lo que ya se sostuvo respecto del delito de difusión de ideas que justifiquen el genocidio en la citada STC 235/2007. Espero, en una palabra, que la jurisprudencia constitucional cumpla en esta ocasión con su función.</w:t>
      </w:r>
    </w:p>
    <w:p w:rsidR="00163957" w:rsidRDefault="00163957" w:rsidP="00163957">
      <w:pPr>
        <w:pStyle w:val="TextoNormal"/>
      </w:pPr>
    </w:p>
    <w:p w:rsidR="00163957" w:rsidRDefault="00163957" w:rsidP="00163957">
      <w:pPr>
        <w:pStyle w:val="TextoNormal"/>
      </w:pPr>
      <w:r>
        <w:t>3. Hacía falta profundizar en los elementos que posibilitan la represión penal de conductas de justificación de la violencia terrorista desde la perspectiva del derecho a la libertad de expresión.</w:t>
      </w:r>
    </w:p>
    <w:p w:rsidR="00163957" w:rsidRDefault="00163957" w:rsidP="00163957">
      <w:pPr>
        <w:pStyle w:val="TextoNormal"/>
      </w:pPr>
    </w:p>
    <w:p w:rsidR="00163957" w:rsidRDefault="00163957" w:rsidP="00163957">
      <w:pPr>
        <w:pStyle w:val="TextoNormal"/>
      </w:pPr>
      <w:r>
        <w:t>La opinión mayoritaria en la que se sustenta la Sentencia es clara y contundente sobre la exigencia de que la constitucionalidad de la represión penal de las conductas de enaltecimiento del terrorismo impone que se acredite que exista una incitación, aunque sea indirecta, a la violencia terrorista. Entiendo esta opinión como un avance muy importante. Sin embargo, creo que el avance en la línea constitucionalmente exigible hubiera sido mayor si se hubiera realizado un mayor esfuerzo para profundizar en la determinación de los elementos que deben de ser tomados en consideración, desde una perspectiva constitucional, para valorar la necesidad y proporcionalidad de la injerencia de la intervención penal respecto de este tipo de conductas.</w:t>
      </w:r>
    </w:p>
    <w:p w:rsidR="00163957" w:rsidRDefault="00163957" w:rsidP="00163957">
      <w:pPr>
        <w:pStyle w:val="TextoNormal"/>
      </w:pPr>
    </w:p>
    <w:p w:rsidR="00163957" w:rsidRDefault="00163957" w:rsidP="00163957">
      <w:pPr>
        <w:pStyle w:val="TextoNormal"/>
      </w:pPr>
      <w:r>
        <w:t xml:space="preserve">El desarrollo de esta labor de concreción se hubiera visto muy favorecido, dentro del marco de lo que ha venido a llamarse el diálogo de tribunales —ya sé que algún miembro de la Sala no comparte este concepto, en el que yo insisto amablemente—, con un análisis más detallado de la jurisprudencia del Tribunal Europeo de Derechos Humanos por el gran número de ocasiones en que ha tenido la oportunidad de pronunciarse sobre asuntos semejantes al que se plantea en el presente recurso de amparo. A esos efectos, por ejemplo, hubiera sido esclarecedor un análisis más detenido sobre la relevancia que en esta valoración puede tener el mayor o menor impacto de difusión pública dependiendo de la naturaleza de la conducta desarrollada. Con carácter general, este tipo de conductas se suelen asociar a acciones que tienen lugar en medios de comunicación social con una amplia repercusión. Sin embargo, el Tribunal Europeo de Derechos Humanos se ha enfrentado también a otras manifestaciones del ejercicio de la libertad de expresión con un inferior impacto como son la publicación de libros en forma de narraciones, ensayos académicos o incluso poemarios; la lectura de un comunicado ante 150 personas (STEDH de 1 de febrero de 2011, as. </w:t>
      </w:r>
      <w:r w:rsidRPr="00163957">
        <w:rPr>
          <w:i/>
        </w:rPr>
        <w:t>Faruk Temel c Turquía</w:t>
      </w:r>
      <w:r>
        <w:t xml:space="preserve">) o la participación en actos conmemorativos como es, precisamente, el que dio lugar a este recurso de amparo. A ese respecto, la STEDH de 8 de julio de 1999, as. </w:t>
      </w:r>
      <w:r w:rsidRPr="00163957">
        <w:rPr>
          <w:i/>
        </w:rPr>
        <w:t>Gerger c Turquía</w:t>
      </w:r>
      <w:r>
        <w:t>, en un supuesto de sanción penal por las expresiones proferidas en una ceremonia conmemorativa de diversas personas sentenciadas a muerte y ejecutadas veinte años antes por un delito de intentar subvertir el orden constitucional mediante la violencia, que fueron interpretadas como una defensa de la legitimidad de la causa independentista de parte del territorio nacional turco, afirma que “[l]a Corte observa que el mensaje del demandante fue leído solamente ante un grupo de personas que asistieron a una ceremonia conmemorativa, lo que limita considerablemente su impacto potencial sobre la seguridad nacional, el orden público o la integridad territorial” (§ 50).</w:t>
      </w:r>
    </w:p>
    <w:p w:rsidR="00163957" w:rsidRDefault="00163957" w:rsidP="00163957">
      <w:pPr>
        <w:pStyle w:val="TextoNormal"/>
      </w:pPr>
    </w:p>
    <w:p w:rsidR="00163957" w:rsidRDefault="00163957" w:rsidP="00163957">
      <w:pPr>
        <w:pStyle w:val="TextoNormal"/>
      </w:pPr>
      <w:r>
        <w:t xml:space="preserve">Del mismo modo, hubiera sido también importante comprobar la incidencia que otorga el Tribunal Europeo de Derechos Humanos en este tipo de ponderaciones a las circunstancias personales de quien realiza la conducta. No es preciso recordar que, con carácter general, el Tribunal Europeo de Derechos Humanos ha establecido que “[e]l artículo 10.2 apenas deja lugar para restricciones a la libertad de expresión en el ámbito del discurso y el debate político —en el cual la libertad de expresión reviste la más alta importancia— o de las cuestiones de interés general. Preciosa para todos, la libertad de expresión lo es muy especialmente para un cargo electo del pueblo; representa a sus electores, manifiesta sus preocupaciones y defiende sus intereses. Por consiguiente, las injerencias en la libertad de expresión de un parlamentario obligan al Tribunal a realizar un control más estricto” (STEDH de 15 de marzo de 2011, as. </w:t>
      </w:r>
      <w:r w:rsidRPr="00163957">
        <w:rPr>
          <w:i/>
        </w:rPr>
        <w:t>Otegi Mondragón c España</w:t>
      </w:r>
      <w:r>
        <w:t xml:space="preserve">, § 50). Esa misma apreciación la ha extendido a los supuestos concretos referidos a conductas relacionadas con la incitación al </w:t>
      </w:r>
      <w:r>
        <w:lastRenderedPageBreak/>
        <w:t xml:space="preserve">terrorismo (STEDH 23 de abril de 1992, as. </w:t>
      </w:r>
      <w:r w:rsidRPr="00163957">
        <w:rPr>
          <w:i/>
        </w:rPr>
        <w:t>Castells c. España</w:t>
      </w:r>
      <w:r>
        <w:t xml:space="preserve">, § 42; o, más recientemente, STEDH de 1 de febrero de 2011, as. </w:t>
      </w:r>
      <w:r w:rsidRPr="00163957">
        <w:rPr>
          <w:i/>
        </w:rPr>
        <w:t>Faruk Temel c Turquía</w:t>
      </w:r>
      <w:r>
        <w:t>, § 55). Por el contrario, el Tribunal Europeo de Derechos Humanos ha justificado esa limitación del ejercicio de la libertad de expresión en casos de personas detenidas por actos terroristas o miembros de ese tipo de organizaciones cuya finalidad fuera el justificar dichos actos (DTEDH de 20 de enero de 2000, as</w:t>
      </w:r>
      <w:r w:rsidRPr="00163957">
        <w:rPr>
          <w:i/>
        </w:rPr>
        <w:t>. Hogefeld c Aleman</w:t>
      </w:r>
      <w:r>
        <w:t>ia).</w:t>
      </w:r>
    </w:p>
    <w:p w:rsidR="00163957" w:rsidRDefault="00163957" w:rsidP="00163957">
      <w:pPr>
        <w:pStyle w:val="TextoNormal"/>
      </w:pPr>
    </w:p>
    <w:p w:rsidR="00163957" w:rsidRDefault="00163957" w:rsidP="00163957">
      <w:pPr>
        <w:pStyle w:val="TextoNormal"/>
      </w:pPr>
      <w:r>
        <w:t xml:space="preserve">Otro de los elementos que han sido relevantes en las valoraciones realizadas por el Tribunal Europeo de Derechos Humanos es que la conducta desarrollada coincidiera en el tiempo con actos terroristas (SSTEDH de 25 de noviembre de 1997, as. </w:t>
      </w:r>
      <w:r w:rsidRPr="00163957">
        <w:rPr>
          <w:i/>
        </w:rPr>
        <w:t>Zana c Turquía</w:t>
      </w:r>
      <w:r>
        <w:t xml:space="preserve">, § 56; o de 2 de octubre de 2008, as. </w:t>
      </w:r>
      <w:r w:rsidRPr="00163957">
        <w:rPr>
          <w:i/>
        </w:rPr>
        <w:t>Leroy c France</w:t>
      </w:r>
      <w:r>
        <w:t xml:space="preserve">, § 45) o que se acreditara un contexto de violencia en que esa manifestación hubiera tenido alguna influencia. Respecto de esto último, es de destacar como la STEDH de 28 de septiembre de 1999, as. </w:t>
      </w:r>
      <w:r w:rsidRPr="00163957">
        <w:rPr>
          <w:i/>
        </w:rPr>
        <w:t>Öztürk c Turquía</w:t>
      </w:r>
      <w:r>
        <w:t>, en relación con el contenido de un determinado libro, señala que “el Tribunal no está convencido de que a la larga la edición de noviembre de 1988 podría haber tenido un efecto perjudicial sobre la prevención del desorden y el delito en Turquía. De hecho, el libro ha estado en venta abierta desde 1991 y, al parecer, no ha agravado la amenaza de ‘separatista’ que, según el gobierno, se habría producido antes y después de la condena del señor Öztürk” (§ 69).</w:t>
      </w:r>
    </w:p>
    <w:p w:rsidR="00163957" w:rsidRDefault="00163957" w:rsidP="00163957">
      <w:pPr>
        <w:pStyle w:val="TextoNormal"/>
      </w:pPr>
    </w:p>
    <w:p w:rsidR="00163957" w:rsidRDefault="00163957" w:rsidP="00163957">
      <w:pPr>
        <w:pStyle w:val="TextoNormal"/>
      </w:pPr>
      <w:r>
        <w:t xml:space="preserve">Por último, también resulta interesante el análisis realizado por el Tribunal Europeo de Derechos Humanos de las concretas manifestaciones proferidas. A esos efectos si bien el Tribunal Europeo de Derechos Humanos afirma que esta cuestión no es tan relevante en los casos en que puede apreciarse la existencia de una incitación directa de la violencia terrorista (SSTEDH de 7 de febrero de 2006, as. </w:t>
      </w:r>
      <w:r w:rsidRPr="00163957">
        <w:rPr>
          <w:i/>
        </w:rPr>
        <w:t>Halis Dogan c Turquía</w:t>
      </w:r>
      <w:r>
        <w:t xml:space="preserve">, § 37; o 7 de marzo de 2006, as. </w:t>
      </w:r>
      <w:r w:rsidRPr="00163957">
        <w:rPr>
          <w:i/>
        </w:rPr>
        <w:t>Hocaogullari c Turquía</w:t>
      </w:r>
      <w:r>
        <w:t xml:space="preserve">, § 39); su valoración debe ser más cautelosa cuando, a pesar de tratarse de tonos hostiles e incluso de la defensa de objetivos contrarios al orden legal y constitucional establecidos, no puedan ser identificado como defensa de actitudes violentas en la consecución de esos objetivos. Así, por ejemplo, la STEDH de 11 de diciembre de 2007, as. </w:t>
      </w:r>
      <w:r w:rsidRPr="00163957">
        <w:rPr>
          <w:i/>
        </w:rPr>
        <w:t>Karakoyun y Taran c Turquía</w:t>
      </w:r>
      <w:r>
        <w:t xml:space="preserve">, afirma que “aunque ciertos pasajes dibujan un cuadro extremadamente negativo de Turquía y, consecuentemente, dan a la narración un tono hostil, ello no incita la violencia, la resistencia armada o la insurrección, por lo que no constituye una manifestación del discurso del odio, lo que, desde la perspectiva del Tribunal, es un factor esencial” (§ 30). El Tribunal Europeo de Derechos Humanos se ha enfrentado también a supuestos en que el discurso podía ser considerado de una ambigüedad calculada. Ese fue el caso de la STEDH de 21 de febrero de 2008, as. </w:t>
      </w:r>
      <w:r w:rsidRPr="00163957">
        <w:rPr>
          <w:i/>
        </w:rPr>
        <w:t>Yalciner c Turquía</w:t>
      </w:r>
      <w:r>
        <w:t xml:space="preserve">. En esa resolución, “[e]l Tribunal aprecia que existe una ambigüedad deliberada en la terminología usada en el discurso del demandante en lo referente al método a adoptar en respuesta a las medidas adoptadas por las autoridades. Por un lado, llamó a la acción política y, por otro, expresó una cierta justificación de la lucha armada, al describir la presencia del Ejército turco en el sudeste de Turquía como ‘ocupación’. En efecto, si bien no hacía un abierto llamamiento al uso de la fuerza y de la violencia como método de acción, tampoco la disociaba claramente del uso de la violencia” (§ 46). En relación con ello, se afirma que “[e]n estas circunstancias, por tratarse del discurso de un político que puede comprometer la paz civil del país, el Tribunal considera que la condena del demandante como tal, incluso tomando en consideración el limitado margen de apreciación del que disponen los estados en esta materia, podría ser considerado razonablemente una respuesta a una ‘necesidad social </w:t>
      </w:r>
      <w:r>
        <w:lastRenderedPageBreak/>
        <w:t>imperiosa’. Las razones expuestas por las autoridades para justificar la condena del demandante eran ‘relevantes y suficientes’” (§ 47). La Sentencia continúa afirmando que, “[e]n cualquier caso, el Tribunal debe también tomar en consideración la naturaleza y la severidad de las sanciones para valorar la proporcionalidad de la injerencia. Se comprueba que en este caso el demandante fue condenado inicialmente a una pena de prisión de un año y un mes” (§ 48). A partir de esto concluye que, a pesar de posteriormente se suspendiera su ejecución estableciendo una serie de condiciones, existió una vulneración del art. 10 CEDH porque la injerencia que para su libertad de expresión suponía esa condena resultaba desproporcionada para los fines legítimamente perseguidos.</w:t>
      </w:r>
    </w:p>
    <w:p w:rsidR="00163957" w:rsidRDefault="00163957" w:rsidP="00163957">
      <w:pPr>
        <w:pStyle w:val="TextoNormal"/>
      </w:pPr>
    </w:p>
    <w:p w:rsidR="00163957" w:rsidRDefault="00163957" w:rsidP="00163957">
      <w:pPr>
        <w:pStyle w:val="TextoNormal"/>
      </w:pPr>
      <w:r>
        <w:t>4. Los órganos judiciales omitieron una ponderación específica sobre el derecho a la libertad de expresión.</w:t>
      </w:r>
    </w:p>
    <w:p w:rsidR="00163957" w:rsidRDefault="00163957" w:rsidP="00163957">
      <w:pPr>
        <w:pStyle w:val="TextoNormal"/>
      </w:pPr>
    </w:p>
    <w:p w:rsidR="00163957" w:rsidRDefault="00163957" w:rsidP="00163957">
      <w:pPr>
        <w:pStyle w:val="TextoNormal"/>
      </w:pPr>
      <w:r>
        <w:t>La opinión mayoritaria en la que se sustenta la Sentencia, como ya se ha expuesto, incide especialmente en que los órganos judiciales penales, dentro de su función de protección de los derechos fundamentales, deben valorar, como cuestión previa a la aplicación del tipo penal y atendiendo siempre a las circunstancias concurrentes en el caso concreto, si la conducta que se enjuicia constituye un ejercicio lícito del derecho fundamental a la libertad de expresión. Citando la STC 177/2015, de 22 de julio, establece además que “la ausencia de ese examen previo al que está obligado el Juez penal o su realización sin incluir en él la conexión de los comportamientos enjuiciados con el contenido de los derechos fundamentales y de las libertades públicas no es constitucionalmente admisible” y “constituye en sí misma una vulneración de los derechos fundamentales no tomados en consideración” [FJ 2 d)]. En atención a esto, pero de una manera casi apodíctica, la opinión mayoritaria en la que se sustenta la sentencia sostiene que las resoluciones judiciales impugnadas, en su labor de interpretación y aplicación del art. 578 CP, han ponderado adecuadamente todas las circunstancias concurrentes en la conducta del demandante de amparo y han concluido correctamente no solo la aplicación del tipo penal; sino, especialmente, que era una conducta que no quedaba amparada dentro del contenido constitucionalmente protegido de la libertad de expresión [art. 20.1 a) CE], al tratarse de una manifestación del discurso del odio que incitaba públicamente al uso de la violencia en la consecución de determinados objetivos políticos.</w:t>
      </w:r>
    </w:p>
    <w:p w:rsidR="00163957" w:rsidRDefault="00163957" w:rsidP="00163957">
      <w:pPr>
        <w:pStyle w:val="TextoNormal"/>
      </w:pPr>
    </w:p>
    <w:p w:rsidR="00163957" w:rsidRDefault="00163957" w:rsidP="00163957">
      <w:pPr>
        <w:pStyle w:val="TextoNormal"/>
      </w:pPr>
      <w:r>
        <w:t xml:space="preserve">No comparto esa opinión. Si se pone en relación esta obligación de ponderación de los órganos judiciales penales con la circunstancia, también señalada, de que la legitimidad de la injerencia penal en el ejercicio de la libertad de expresión en este tipo de conductas queda estrictamente vinculada a que se acredite que supone una incitación, aunque sea indirecta, a la comisión de ilícitos penales, poniendo en riesgo los derechos de terceros o el propio orden constitucional, habría que haber concluido que en este caso las resoluciones judiciales impugnadas no habían hecho esa valoración previa. En efecto, partiendo de la base de que el art. 578 CP se sanciona “el enaltecimiento o la justificación por cualquier medio de expresión pública o difusión de los delitos comprendidos en los artículos 571 a 577 de este Código [delitos de terrorismo] o de quienes hayan participado en su ejecución”, ambas resoluciones judiciales se han centrado, a mi juicio de manera evidente, en una labor estrictamente formal de interpretación y aplicación del citado precepto penal limitándose a constatar (i) que, conforme a su tenor literal, se sanciona, entre otras, la conducta de enaltecimiento de quienes hayan participado en la ejecución de delitos terroristas; y (ii) que la conducta desarrollada por el recurrente constituía el enaltecimiento de una persona que treinta años </w:t>
      </w:r>
      <w:r>
        <w:lastRenderedPageBreak/>
        <w:t>antes había formado parte de una organización terrorista. Sin embargo, a tenor de la amplia transcripción que se ha realizado en los antecedentes, no han llevado a cabo la labor de ponderación que les correspondía como garantes de los derechos fundamentales, ya que no han hecho un análisis previo de verificación acerca de (i) si la conducta desarrollada por el recurrente podría ser considerada un legítimo ejercicio de su derecho a la libertad de expresión, en atención a que no era susceptible de ser valorada como una incitación, aunque fuera indirecta, a la comisión de ilícitos penales; (ii) o, por el contrario, si no quedaba amparada por el ejercicio de ese derecho al poner de manifiesto que constituía un riesgo para los derechos de terceros o el orden constitucional derivado de su potencial efecto, aunque fuera indirecto, para incitar a la comisión de ilícitos penales.</w:t>
      </w:r>
    </w:p>
    <w:p w:rsidR="00163957" w:rsidRDefault="00163957" w:rsidP="00163957">
      <w:pPr>
        <w:pStyle w:val="TextoNormal"/>
      </w:pPr>
    </w:p>
    <w:p w:rsidR="00163957" w:rsidRDefault="00163957" w:rsidP="00163957">
      <w:pPr>
        <w:pStyle w:val="TextoNormal"/>
      </w:pPr>
      <w:r>
        <w:t>La ausencia de esa ponderación previa constituye en sí misma, según la jurisprudencia del Tribunal, una vulneración de este derecho fundamental a la libertad de expresión que hubiera debido implicar la necesidad de que este recurso de amparo fuera estimado.</w:t>
      </w:r>
    </w:p>
    <w:p w:rsidR="00163957" w:rsidRDefault="00163957" w:rsidP="00163957">
      <w:pPr>
        <w:pStyle w:val="TextoNormal"/>
      </w:pPr>
    </w:p>
    <w:p w:rsidR="00163957" w:rsidRDefault="00163957" w:rsidP="00163957">
      <w:pPr>
        <w:pStyle w:val="TextoNormal"/>
      </w:pPr>
      <w:r>
        <w:t>5. No es acertada la valoración sobre la concurrencia en el presente caso de una conducta que incitaba a la violencia terrorista.</w:t>
      </w:r>
    </w:p>
    <w:p w:rsidR="00163957" w:rsidRDefault="00163957" w:rsidP="00163957">
      <w:pPr>
        <w:pStyle w:val="TextoNormal"/>
      </w:pPr>
    </w:p>
    <w:p w:rsidR="00163957" w:rsidRDefault="00163957" w:rsidP="00163957">
      <w:pPr>
        <w:pStyle w:val="TextoNormal"/>
      </w:pPr>
      <w:r>
        <w:t>La opinión mayoritaria en la que se sustenta la Sentencia concluye que en el presente caso la condena del recurrente no vulnera su derecho a la libertad de expresión porque su conducta incitaba a la violencia a través del enaltecimiento del autor de actividades terroristas. Los argumentos en que se sustenta esa conclusión son (i) que, si bien la conducta no se desarrolló en un medio de comunicación, lo fue en un acto público que puede ser considerado como de eficacia equiparable al ser recogido por los medios de comunicación; (ii) que la conducta del recurrente fue una expresión de odio basada en la intolerancia manifestado a través de un nacionalismo agresivo con inequívoca presencia de hostilidad hacia otros individuos, como acreditaría el hecho de que el acto se publicitó mediante carteles pegados en las calles en los que se transcribía un texto atribuido al homenajeado en que se destaca que “la lucha armada es imprescindible para avanzar”, se proyectaban fotografías de miembros encapuchados de la banda terrorista y de que el recurrente pidió con ambigüedad calculada “una reflexión [para] escoger el camino más idóneo, el camino que más daño le haga al Estado, que conduzca a este pueblo a un nuevo escenario democrático”; y (iii) que esa conducta era idónea para incitar a la violencia y contribuir a perpetuar una situación de violencia, ya que creaba un determinado caldo de cultivo, una atmósfera o ambiente social proclive a acciones terroristas en un contexto en el que la actividad terrorista seguía siendo un importante problema social.</w:t>
      </w:r>
    </w:p>
    <w:p w:rsidR="00163957" w:rsidRDefault="00163957" w:rsidP="00163957">
      <w:pPr>
        <w:pStyle w:val="TextoNormal"/>
      </w:pPr>
    </w:p>
    <w:p w:rsidR="00163957" w:rsidRDefault="00163957" w:rsidP="00163957">
      <w:pPr>
        <w:pStyle w:val="TextoNormal"/>
      </w:pPr>
      <w:r>
        <w:t>Discrepo de esta argumentación. Considero que la reacción punitiva del Estado imponiendo una sanción penal privativa de libertad de un año y siete años de inhabilitación absoluta al demandante de amparo por la conducta que desarrolló en el homenaje a “Argala” no era necesaria ni proporcionada, desde la perspectiva del derecho a la libertad de expresión, por no poder ser considerada una incitación, aunque fuera indirecta, a la violencia terrorista. Las razones en las que sustento esta conclusión son las siguientes:</w:t>
      </w:r>
    </w:p>
    <w:p w:rsidR="00163957" w:rsidRDefault="00163957" w:rsidP="00163957">
      <w:pPr>
        <w:pStyle w:val="TextoNormal"/>
      </w:pPr>
    </w:p>
    <w:p w:rsidR="00163957" w:rsidRDefault="00163957" w:rsidP="00163957">
      <w:pPr>
        <w:pStyle w:val="TextoNormal"/>
      </w:pPr>
      <w:r>
        <w:t xml:space="preserve">(i) La opinión mayoritaria ha utilizado para analizar la conducta del recurrente un contexto muy amplio formado por conductas y actos que, a partir de la declaración de hechos probados de las Sentencias impugnadas, no cabe imputar al demandante de amparo. Las circunstancias, por ejemplo, de que el acto se convocara mediante una cartelería en que </w:t>
      </w:r>
      <w:r>
        <w:lastRenderedPageBreak/>
        <w:t>aparecía una determinada expresión imputada al homenajeado sobre la necesidad de la lucha armada o que durante su desarrollo se emitieran fotografías de personas encapuchadas pertenecientes a una organización terrorista no puede ser utilizadas sin más para valorar las acciones del recurrente. Las resoluciones judiciales dejan claro que el demandante fue invitado por los organizadores del homenaje para dirigir unas palabras a los asistentes en el marco de ese acto conmemorativo, sin establecer ninguna otra vinculación ni con la organización del evento ni con su desarrollo. El mero hecho de la tolerancia que podría atribuirse al demandante de amparo por la asistencia a ese acto en las condiciones en que estaba convocado y con su concreto desarrollo no puede resultar relevante. Parece razonable considerar que si ninguna responsabilidad se estableció respecto de quienes hubieran tomado esas concretas decisiones, mucho menos lo puede ser ahora respecto de quien acudió al acto como mero invitado. Si se trató, tal como se establece en las resoluciones impugnadas, de un acto que por celebrarse en un espacio público fue debidamente comunicado y no clandestino, no pueden ahora utilizarse como elementos valorativos en contra del recurrente aspectos —como es su publicitación— respecto de los que también el Estado mostró tolerancia.</w:t>
      </w:r>
    </w:p>
    <w:p w:rsidR="00163957" w:rsidRDefault="00163957" w:rsidP="00163957">
      <w:pPr>
        <w:pStyle w:val="TextoNormal"/>
      </w:pPr>
    </w:p>
    <w:p w:rsidR="00163957" w:rsidRDefault="00163957" w:rsidP="00163957">
      <w:pPr>
        <w:pStyle w:val="TextoNormal"/>
      </w:pPr>
      <w:r>
        <w:t>(ii) Por tanto, los aspectos relevantes de su actuación que eran susceptibles de ser valorados en nuestro control de constitucionalidad debían haber quedado limitados a aquellos que en la declaración de hechos probados se le atribuían. En concreto, el apartado III de esa declaración hacía constar lo siguiente: “El discurso del acusado Tasio Erkizia Almandoz fue el momento central del acto. En él pidió ‘una reflexión [para] escoger el camino más idóneo, el camino que más daño le haga al Estado, que conduzca a este pueblo a un nuevo escenario democrático’ y terminó con los gritos ‘¡Gora Euskal Herria askatuta!, ¡Gora Euskal Herria euskalduna! y ¡Gora Argala!’ —‘¡Viva Euskal Herria libre! ¡Viva Euskal Herria vasca! ¡Viva Argala!’—, gritos que fueron respondidos por el público”; añadiendo que “[p]reviamente, al subir al escenario, Erkizia colocó un clavel rojo sobre el soporte en el que se apoyaba la fotografía de Argala”.</w:t>
      </w:r>
    </w:p>
    <w:p w:rsidR="00163957" w:rsidRDefault="00163957" w:rsidP="00163957">
      <w:pPr>
        <w:pStyle w:val="TextoNormal"/>
      </w:pPr>
    </w:p>
    <w:p w:rsidR="00163957" w:rsidRDefault="00163957" w:rsidP="00163957">
      <w:pPr>
        <w:pStyle w:val="TextoNormal"/>
      </w:pPr>
      <w:r>
        <w:t>En mi opinión, esa concreta conducta desarrollada por el recurrente no tiene la entidad suficiente como para que pueda considerarse, más allá de la indudable exaltación y homenaje a la figura del conmemorado que se celebraba precisamente en la plaza de su pueblo natal que lleva su apodo —Argala—, que suponía una incitación, aunque sea indirecta, a la comisión de ilícitos terroristas o de cualquier otro modo evidenciara un riesgo más o menos inminente para los derechos de terceros o el orden constitucional derivado de la comisión de ilícitos penales. Es más, incluso si se aceptara la petición de principio de que la expresión pedir “una reflexión para escoger el camino más idóneo, el camino que más daño haga al Estado” pudiera aisladamente interpretarse como que ese camino es el camino de la violencia terrorista; creo que en el contexto completo de la expresión recogida en las sentencias, en que se añade que el demandante hacía una expresa indicación de que es un camino “que conduzca a este pueblo a un nuevo escenario democrático”, se despeja cualquier duda en relación a que no puede derivarse de sus palabras una defensa de la violencia terrorista.</w:t>
      </w:r>
    </w:p>
    <w:p w:rsidR="00163957" w:rsidRDefault="00163957" w:rsidP="00163957">
      <w:pPr>
        <w:pStyle w:val="TextoNormal"/>
      </w:pPr>
    </w:p>
    <w:p w:rsidR="00163957" w:rsidRDefault="00163957" w:rsidP="00163957">
      <w:pPr>
        <w:pStyle w:val="TextoNormal"/>
      </w:pPr>
      <w:r>
        <w:t>Por tanto, a pesar de que la opinión mayoritaria en la que se sustenta la Sentencia insiste en afirmar que esta manifestación del recurrente responde a una ambigüedad calculada, la expresa referencia a un nuevo escenario democrático, con el contenido material que ello implica de respeto, entre otros, a los principios de pluralidad y tolerancia, impediría a cual</w:t>
      </w:r>
      <w:r>
        <w:lastRenderedPageBreak/>
        <w:t>quier espectador objetivo identificar en las expresiones del demandante de amparo una apelación al uso de medios violentos. Por lo demás, si se atiende a la existencia de otras afirmaciones del demandante en aquel acto que, aunque no están contenidas en la declaración de hechos probados, sí están recogidas como transcripción literal en el apartado primero del Voto particular del Magistrado don Joaquín Giménez a la Sentencia de casación a partir del visionado de los vídeos aportados como prueba, queda más evidenciado que su discurso nada tenía que ver con la incitación a la violencia. Al contrario, representa una toma de posición, en el marco del debate entonces imperante dentro de la izquierda abertzale, en favor de continuar por otras vías pacíficas el proceso de independencia. Solo de ese modo puede entenderse la expresión de que “hemos conseguido en estos 30 años con mucho sufrimiento, esfuerzo y trabas, y también con equivocaciones pero con una entrega total llegar a una crisis de las instituciones actuales. Es necesario dar un paso más, de la resistencia a la construcción. Sin la izquierda abertzale no hay futuro para Euskalerria y ellos lo saben muy bien”. La apelación al reconocimiento de errores y equivocaciones, a la necesidad de abandonar posiciones de resistencia por otras de construcción y la mención misma a la izquierda abertzale como motor del cambio no parece que pueda interpretarse en ningún caso como una incitación a persistir en la violencia terrorista como medio de consecución de objetivos políticos, sino, por el contrario, a abandonarla.</w:t>
      </w:r>
    </w:p>
    <w:p w:rsidR="00163957" w:rsidRDefault="00163957" w:rsidP="00163957">
      <w:pPr>
        <w:pStyle w:val="TextoNormal"/>
      </w:pPr>
    </w:p>
    <w:p w:rsidR="00163957" w:rsidRDefault="00163957" w:rsidP="00163957">
      <w:pPr>
        <w:pStyle w:val="TextoNormal"/>
      </w:pPr>
      <w:r>
        <w:t>(iii) Las circunstancias personales del demandante y el contexto temporal en que se desarrolla su conducta son elementos que debidamente ponderados también hubieran debido propiciar la estimación del recurso de amparo. Todos estos elementos sirven, en conjunción con todo lo destacado anteriormente, para poner de manifiesto que la conducta del recurrente está muy lejos de tener la nota de incitación, aunque sea indirecta, a la violencia terrorista exigida para negar la protección constitucional debida por el derecho a la libertad de expresión a sus manifestaciones.</w:t>
      </w:r>
    </w:p>
    <w:p w:rsidR="00163957" w:rsidRDefault="00163957" w:rsidP="00163957">
      <w:pPr>
        <w:pStyle w:val="TextoNormal"/>
      </w:pPr>
    </w:p>
    <w:p w:rsidR="00163957" w:rsidRDefault="00163957" w:rsidP="00163957">
      <w:pPr>
        <w:pStyle w:val="TextoNormal"/>
      </w:pPr>
      <w:r>
        <w:t>En efecto, en el recurrente concurre la condición de ser un destacado hombre político que, si bien en el momento en que se desarrolló el acto no ostentaba ningún cargo de representación electiva —ha sido concejal del Ayuntamiento de Bilbao desde 1979 a 1983 y ha sido diputado del Parlamento vasco desde 1984 a 1998—, sigue siendo un referente de la llamada izquierda abertzale. En ese marco, la intervención que desarrolló en el acto conmemorativo debe ser considerada una manifestación del denominado “discurso político” en que se toma una posición sobre un tema netamente de interés en el debate partidista. Por otra parte, es de conocimiento público que el demandante viene participando activamente en el proceso de reflexión interna que ya en los momentos en que tuvo lugar su intervención se estaba desarrollando en la izquierda abertzale, y que asistió a la reunión que dio lugar a la Declaración de Alsasua de 2009, siendo un firme defensor de la propuesta “Zutik Euskal Herria”, hecha pública en febrero de 2010, de creación de un Estado vasco por medio de vías políticas y democráticas y en ausencia de violencia, en que se asumen los principios Mitchell para dar salida a la situación de la violencia terrorista en el País Vasco. Con esa trayectoria no es fácil que las palabras del demandante, pronunciadas en diciembre de 2008, puedan ser interpretadas como incitadoras a continuar en el camino de la violencia terrorista.</w:t>
      </w:r>
    </w:p>
    <w:p w:rsidR="00163957" w:rsidRDefault="00163957" w:rsidP="00163957">
      <w:pPr>
        <w:pStyle w:val="TextoNormal"/>
      </w:pPr>
    </w:p>
    <w:p w:rsidR="00163957" w:rsidRDefault="00163957" w:rsidP="00163957">
      <w:pPr>
        <w:pStyle w:val="TextoNormal"/>
      </w:pPr>
      <w:r>
        <w:t xml:space="preserve">(iv) La anterior conclusión aparece reforzada por otros dos elementos de singular importancia como son, por un lado, que la conducta del recurrente se desarrolló en un acto conmemorativo en el que sus palabras quedaban limitadas en su difusión a las personas allí </w:t>
      </w:r>
      <w:r>
        <w:lastRenderedPageBreak/>
        <w:t>concentradas; y, por otro, determinadas circunstancias concurrentes en la persona del homenajeado. Respecto de lo primero, aunque en la declaración de hechos probados nada se dice sobre el número de asistentes, en su fundamentación se reitera la idea, no contradicha, de que los asistentes al acto eran una cincuentena de personas. De nuevo, la circunstancia de que los medios de comunicación se hubieran hecho eco del acto en sus noticieros tampoco resulta relevante en tanto que aquí lo concretamente enjuiciado no es el acto en sí —no se estaba juzgando a los promotores del homenaje— sino la posibilidad de afirmar que la conducta desplegada por el recurrente en ese acto no era una manifestación del ejercicio del derecho a la libertad de expresión por tener un contenido de incitación, aunque fuera de manera indirecta, a la violencia terrorista. En relación con ello, no se ha acreditado que lo difundido por los medios de comunicación fuera el concreto contenido de la intervención del demandante. Además, partiendo de la base de que tampoco existe ninguna prueba videográfica del contenido de su intervención, ya que los medios solo pudieron aportar la grabación del comienzo y el final de la misma, difícilmente puede concluirse que existió una difusión pública de dicha intervención en una magnitud que objetivamente pudiera implicar un riesgo.</w:t>
      </w:r>
    </w:p>
    <w:p w:rsidR="00163957" w:rsidRDefault="00163957" w:rsidP="00163957">
      <w:pPr>
        <w:pStyle w:val="TextoNormal"/>
      </w:pPr>
    </w:p>
    <w:p w:rsidR="00163957" w:rsidRDefault="00163957" w:rsidP="00163957">
      <w:pPr>
        <w:pStyle w:val="TextoNormal"/>
      </w:pPr>
      <w:r>
        <w:t>Respecto de los elementos concurrentes en la persona del homenajeado, hay que destacar (i) que había fallecido 30 años antes; (ii) que su actividad la desarrolló en un periodo histórico previo al comienzo del régimen constitucional democrático, de modo tal que, si bien no consta que nunca fuera condenado por ninguna actividad terrorista, se le asocia con la participación en el comando de ETA que el 20 de diciembre de 1973 cometió el magnicidio del entonces presidente del Gobierno durante el régimen dictatorial franquista, don Luis Carrero Blanco; y (iii) que, a su vez, había sido víctima mortal de un atentado terrorista cometido el 21 de diciembre de 1978 en Francia, que fue reivindicado por el Batallón Vasco Español. Este singular perfil del homenajeado y, especialmente, el carácter casi histórico de la actividad que pudo haber desarrollado aleja también la posibilidad de concluir en un análisis realizado por un espectador objetivo que, atendiendo a la concreta conducta del demandante y a las circunstancias concurrentes en el caso, se trataba de una acción que, a través del enaltecimiento de la figura de un terrorista, pretendía incitar públicamente a la violencia terrorista y era objetivamente idónea para ello.</w:t>
      </w:r>
    </w:p>
    <w:p w:rsidR="00163957" w:rsidRDefault="00163957" w:rsidP="00163957">
      <w:pPr>
        <w:pStyle w:val="TextoNormal"/>
      </w:pPr>
    </w:p>
    <w:p w:rsidR="00163957" w:rsidRDefault="00163957" w:rsidP="00163957">
      <w:pPr>
        <w:pStyle w:val="TextoNormal"/>
      </w:pPr>
      <w:r>
        <w:t>En conclusión, existe un conjunto de circunstancias en el caso que no permite concluir que la conducta del recurrente encierre un potencial lesivo de incitación a la comisión de ilícitos penales de tal relevancia que su castigo con una pena de prisión de un año y una larga condena de inhabilitación por siete años resulte necesario y proporcionado en una sociedad democrática que reconoce la libertad de expresión como un elemento institucional de primera magnitud en su sistema de valores. Por tanto, en mi opinión, debió haberse otorgarse al recurrente el amparo solicitado por la vulneración de su derecho a la libertad de expresión.</w:t>
      </w:r>
    </w:p>
    <w:p w:rsidR="00163957" w:rsidRDefault="00163957" w:rsidP="00163957">
      <w:pPr>
        <w:pStyle w:val="TextoNormal"/>
      </w:pPr>
    </w:p>
    <w:p w:rsidR="00163957" w:rsidRDefault="00163957" w:rsidP="00163957">
      <w:pPr>
        <w:pStyle w:val="TextoNormal"/>
      </w:pPr>
      <w:r>
        <w:t>Madrid, a veinte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16" w:name="SENTENCIA_2016_113"/>
      <w:r>
        <w:lastRenderedPageBreak/>
        <w:t>SENTENCIA 113/2016, de 20 de junio de 2016</w:t>
      </w:r>
    </w:p>
    <w:bookmarkEnd w:id="116"/>
    <w:p w:rsidR="00163957" w:rsidRDefault="00163957" w:rsidP="00163957">
      <w:pPr>
        <w:pStyle w:val="TtuloResolucin"/>
      </w:pPr>
      <w:r>
        <w:t>Sala Segunda</w:t>
      </w:r>
    </w:p>
    <w:p w:rsidR="00163957" w:rsidRDefault="00163957" w:rsidP="00163957">
      <w:pPr>
        <w:pStyle w:val="TtuloBOE"/>
      </w:pPr>
      <w:r>
        <w:t>(BOE núm. 181, de 28 de julio de 2016)</w:t>
      </w:r>
    </w:p>
    <w:p w:rsidR="00163957" w:rsidRDefault="00163957" w:rsidP="00163957">
      <w:pPr>
        <w:pStyle w:val="TextoNormalCentrado"/>
      </w:pPr>
      <w:r>
        <w:t>ECLI:ES:TC:2016:113</w:t>
      </w:r>
    </w:p>
    <w:p w:rsidR="00163957" w:rsidRDefault="00163957" w:rsidP="00163957">
      <w:pPr>
        <w:pStyle w:val="TextoNormalCentrado"/>
      </w:pPr>
    </w:p>
    <w:p w:rsidR="00163957" w:rsidRDefault="00163957" w:rsidP="00163957">
      <w:pPr>
        <w:pStyle w:val="SntesisDescriptiva"/>
      </w:pPr>
      <w:r>
        <w:t>Recurso de amparo 115-2015. Promovido por el Ayuntamiento de Toledo respecto de las resoluciones dictadas por las Salas de lo Contencioso-Administrativo del Tribunal Superior de Justicia de Castilla-La Mancha y del Tribunal Supremo, en proceso de impugnación de la orden de la Consejería de Vivienda y Urbanismo, de aprobación definitiva del plan de ordenación municipal de Toledo.</w:t>
      </w:r>
    </w:p>
    <w:p w:rsidR="00163957" w:rsidRDefault="00163957" w:rsidP="00163957">
      <w:pPr>
        <w:pStyle w:val="SntesisDescriptiva"/>
      </w:pPr>
    </w:p>
    <w:p w:rsidR="00163957" w:rsidRDefault="00163957" w:rsidP="00163957">
      <w:pPr>
        <w:pStyle w:val="SntesisAnaltica"/>
      </w:pPr>
      <w:r>
        <w:t>Vulneración de los derechos a la tutela judicial efectiva y a un proceso con todas las garantías: sentencia no fundada en Derecho porque inaplica una ley autonómica vigente sin plantear cuestión de inconstitucionalidad (STC 195/2015).</w:t>
      </w:r>
    </w:p>
    <w:p w:rsidR="00163957" w:rsidRDefault="00163957" w:rsidP="00163957">
      <w:pPr>
        <w:pStyle w:val="SntesisAnaltica"/>
      </w:pPr>
    </w:p>
    <w:p w:rsidR="00163957" w:rsidRDefault="00163957" w:rsidP="00163957">
      <w:pPr>
        <w:pStyle w:val="Extracto"/>
      </w:pPr>
      <w:r>
        <w:t>1.</w:t>
      </w:r>
      <w:r>
        <w:tab/>
        <w:t>Asunto sustancialmente idéntico al resuelto por la STC 195/2015 [FFJJ 1 a 3].</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amparo núm. 115-2015, promovido por don Alberto Collado Martín, Procurador de los Tribunales y del Ayuntamiento de Toledo, bajo la dirección del Letrado don Santiago Muñoz Machado contra las siguientes resoluciones: (i) la Sentencia de 28 de noviembre de 2011, dictada por la Sección Primera de la Sala de lo Contencioso-Administrativo del Tribunal Superior de Justicia de Castilla-La Mancha, por la que se estima el recurso contencioso-administrativo núm. 735-2007 interpuesto contra la Orden de 26 de marzo de 2007, de la Consejería de Vivienda y Urbanismo, que aprueba definitivamente el Plan de Ordenación Municipal de Toledo; (ii) el Auto de 3 de abril de 2014, dictado por la Sección Primera de la Sala Tercera del Tribunal Supremo, por el que se acuerda declarar la pérdida sobrevenida de objeto en los recursos de casación interpuestos contra la citada Sentencia de instancia en el rollo núm. 239-2012, uno de ellos promovido por el Ayuntamiento aquí recurrente; (iii) y contra el Auto de la misma Sala y Sección del Tribunal Supremo, de fecha 23 de octubre de 2014, que desestima el incidente de nulidad de actuaciones promovido contra el antedicho Auto de 3 de abril de 2014. Han intervenido el Ministerio Fiscal; la Junta de Comunidades de Castilla-La Mancha, representada por el Procurador de los Tribunales don Francisco Velasco Muñoz-Cuellar y bajo la dirección letrada de don Ángel Querada Tapia; y la mercantil Miratorre SA, representada por el Procurador don Fernando </w:t>
      </w:r>
      <w:r>
        <w:lastRenderedPageBreak/>
        <w:t>Anaya García y bajo la dirección letrada de don Arturo Alonso Sánchez. Ha sido Ponente el Magistrado Ricardo Enríquez Sancho,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8 de enero de 2015, el Procurador de los Tribunales don Alberto Collado Martín, en representación del Ayuntamiento de Toledo, interpuso recurso de amparo contra las resoluciones a las que se ha hecho mención en el encabezamiento de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con relevancia para la resolución del presente recurso de amparo y a los que se refiere la demanda presentada, son los siguientes:</w:t>
      </w:r>
    </w:p>
    <w:p w:rsidR="00163957" w:rsidRDefault="00163957" w:rsidP="00163957">
      <w:pPr>
        <w:pStyle w:val="TextoNormal"/>
      </w:pPr>
    </w:p>
    <w:p w:rsidR="00163957" w:rsidRDefault="00163957" w:rsidP="00163957">
      <w:pPr>
        <w:pStyle w:val="TextoNormal"/>
      </w:pPr>
      <w:r>
        <w:t>a) Ante la Sala de lo Contencioso-Administrativo del Tribunal Superior de Justicia de Castilla-La Mancha, la mercantil Miratorre, S.A., planteó recurso contencioso-administrativo contra la Orden de 26 de marzo de 2007, de la Consejería de Vivienda y Urbanismo de la Junta de Comunidades de Castilla-La Mancha, por la que se aprueba definitivamente el plan de ordenación municipal de Toledo. Se alegaba en el recurso la falta de un segundo trámite de audiencia pública en el procedimiento de elaboración del plan, exigido por la jurisprudencia del Tribunal Supremo cuando se han realizado modificaciones sustanciales al plan original; detallando al respecto el escrito en qué consistieron tales modificaciones.</w:t>
      </w:r>
    </w:p>
    <w:p w:rsidR="00163957" w:rsidRDefault="00163957" w:rsidP="00163957">
      <w:pPr>
        <w:pStyle w:val="TextoNormal"/>
      </w:pPr>
    </w:p>
    <w:p w:rsidR="00163957" w:rsidRDefault="00163957" w:rsidP="00163957">
      <w:pPr>
        <w:pStyle w:val="TextoNormal"/>
      </w:pPr>
      <w:r>
        <w:t>b) La Sección Primera de la Sala de lo Contencioso-Administrativo del Tribunal Superior de Justicia, dictó Sentencia el 28 de noviembre de 2011 (procedimiento ordinario núm. 735-2007) estimando el recurso formulado contra la citada orden y declaró el plan de ordenación municipal de Toledo contrario a Derecho, con nulidad del mismo. El órgano judicial argumenta su decisión remitiéndose al criterio razonado en su Sentencia de 27 de diciembre de 2010, dictada en el recurso núm. 861-2007 en relación con las mismas disposiciones que aquí resultaban de aplicación: (i) de un lado, el art. 6.1 de la Ley 6/1998, de 13 de abril, sobre régimen del suelo y valoraciones (en adelante, LRSV), vigente entonces y que establecía: “La legislación urbanística garantizará la participación pública en los procesos de planeamiento y gestión, así como el derecho a la información de las entidades representativas de los intereses afectados por cada actuación y de los particulares”. (ii) De otro lado, el art. 36.2 A) del Decreto Legislativo 1/2004, de 28 de diciembre, por el que se aprueba el texto refundido de la Ley de ordenación del territorio y de la actividad urbanística de Castilla-La Mancha y a cuyo tenor, una vez concluida la redacción técnica del plan este será sometido a información pública por un periodo mínimo de un mes, precisando el párrafo segundo del precepto que “no será preceptivo reiterar este trámite en un mismo procedimiento, ni aun cuando se introduzcan modificaciones sustanciales en el proyecto, bastando que el órgano que otorgue la aprobación inicial la publique en la forma establecida en el párrafo anterior y notifique ésta a los interesados personados en las actuaciones”.</w:t>
      </w:r>
    </w:p>
    <w:p w:rsidR="00163957" w:rsidRDefault="00163957" w:rsidP="00163957">
      <w:pPr>
        <w:pStyle w:val="TextoNormal"/>
      </w:pPr>
    </w:p>
    <w:p w:rsidR="00163957" w:rsidRDefault="00163957" w:rsidP="00163957">
      <w:pPr>
        <w:pStyle w:val="TextoNormal"/>
      </w:pPr>
      <w:r>
        <w:t xml:space="preserve">La Sala señala que en aquella Sentencia de 27 de diciembre de 2010, decidió seguir el criterio expresado a su vez por la Sentencia de la Sección Quinta, de la Sala de lo Contencioso-Administrativo del Tribunal Supremo, de 9 de diciembre de 2008 (recurso de casación núm. 7459-2004), en una confrontación similar de los arts. 105 a) CE (“La audiencia de los ciudadanos, directamente o a través de las organizaciones y asociaciones reconocidas por la </w:t>
      </w:r>
      <w:r>
        <w:lastRenderedPageBreak/>
        <w:t>ley, en el procedimiento de elaboración de las disposiciones administrativas que les afecten”) y el art. 6.1 LRSV, frente al art. 38.2 A) párrafo segundo, de la Ley 6/1994, de 15 de noviembre, de la Generalitat Valenciana, reguladora de la actividad urbanística. Entonces el Tribunal Supremo declaró que el art. 105 a) CE recoge un derecho de configuración legal, y que el art. 6.1 LRSV debía considerarse norma básica del Estado dictada en ejercicio de las competencias del art. 149.1.1, 13, 18 y 23 CE, de lo que deriva que la legislación urbanística de desarrollo debe garantizar dicha información pública. Aun admitiendo que el enunciado abierto del art. 6.1 LRSV permite alcanzar el objetivo de participación por diversas vías, ha de entenderse que una norma autonómica que excluya un segundo trámite de información, cuando el documento de planeamiento aprobado inicialmente ha sufrido modificaciones sustanciales, no responde a la letra y espíritu de aquella norma básica, y es eso lo que sucede con el art. 38 de la Ley valenciana, la cual contravenía la norma estatal.</w:t>
      </w:r>
    </w:p>
    <w:p w:rsidR="00163957" w:rsidRDefault="00163957" w:rsidP="00163957">
      <w:pPr>
        <w:pStyle w:val="TextoNormal"/>
      </w:pPr>
    </w:p>
    <w:p w:rsidR="00163957" w:rsidRDefault="00163957" w:rsidP="00163957">
      <w:pPr>
        <w:pStyle w:val="TextoNormal"/>
      </w:pPr>
      <w:r>
        <w:t>Con base pues en esa misma solución, la Sala del Tribunal Superior de Justicia concluye en su Sentencia de 28 de noviembre de 2011, que debe aplicar la norma básica que “exigía abrir un nuevo trámite de información pública si se introducían modificaciones sustanciales”, estimando con ello el recurso en su pretensión principal, anulando la aprobación definitiva del Plan, y con retroacción de actuaciones “hasta el momento en que debió producirse la nueva información pública”.</w:t>
      </w:r>
    </w:p>
    <w:p w:rsidR="00163957" w:rsidRDefault="00163957" w:rsidP="00163957">
      <w:pPr>
        <w:pStyle w:val="TextoNormal"/>
      </w:pPr>
    </w:p>
    <w:p w:rsidR="00163957" w:rsidRDefault="00163957" w:rsidP="00163957">
      <w:pPr>
        <w:pStyle w:val="TextoNormal"/>
      </w:pPr>
      <w:r>
        <w:t xml:space="preserve">c) Tanto el Ayuntamiento de Toledo como la Junta de Comunidades de Castilla-La Mancha, interpusieron recursos de casación contra la Sentencia de instancia. En lo que importa al recurso de la corporación aquí recurrente en amparo, se basaba entre otros motivos en que la Sala </w:t>
      </w:r>
      <w:r w:rsidRPr="00163957">
        <w:rPr>
          <w:i/>
        </w:rPr>
        <w:t>a quo</w:t>
      </w:r>
      <w:r>
        <w:t xml:space="preserve"> había incurrido en un “exceso y abuso de jurisdicción”, pues estando obligada a aplicar la norma autonómica con rango de ley [el art. 36.2 A) párrafo segundo de la Ley de ordenación del territorio y de la actividad urbanística de Castilla-La Mancha] sin embargo no lo hace por considerar que dicho precepto resulta contrario “a la Constitución y a la normativa básica estatal”. Decisión que excede del ámbito de competencias de los tribunales contencioso-administrativos, se precisa, al ser el Tribunal Constitucional “el único competente para enjuiciar la constitucionalidad de una norma con rango legal como la dejada de aplicar por la Sentencia”, con cita en su apoyo de las SSTC 23/1988, de 22 de febrero; 173/2002, de 9 de octubre, y 58/2004, de 19 de abril, así como la de los preceptos constitucional (art. 163) y legales (arts. 2 y 35.1 LOTC; art. 5.2 LOPJ) que regulan el planteamiento de la cuestión de inconstitucionalidad ante este Tribunal.</w:t>
      </w:r>
    </w:p>
    <w:p w:rsidR="00163957" w:rsidRDefault="00163957" w:rsidP="00163957">
      <w:pPr>
        <w:pStyle w:val="TextoNormal"/>
      </w:pPr>
    </w:p>
    <w:p w:rsidR="00163957" w:rsidRDefault="00163957" w:rsidP="00163957">
      <w:pPr>
        <w:pStyle w:val="TextoNormal"/>
      </w:pPr>
      <w:r>
        <w:t>d) Por Auto de 3 de abril de 2014, la Sección Primera de la Sala de lo Contencioso-Administrativo del Tribunal Supremo declaró la pérdida sobrevenida de objeto de los dos recursos (rollo núm. 239-2012). La Sala considera que “la presente impugnación casacional se desarrolla en términos sustancialmente coincidentes” con los que fueron defendidos en el recurso de casación núm. 5116-2011, el cual resultó desestimado por Sentencia de la Sección Quinta de la propia Sala, de 27 de febrero de 2014, que confirmando la dictada por la de instancia —Tribunal Superior de Justicia de Castilla-La Mancha— el 26 de julio de 2011 (proceso ordinario núm. 556-2007), declaró la nulidad de la resolución impugnada ya identificada, “esto es, la Orden de 26 de marzo de 2007 de la Consejería de Vivienda y Urbanismo por la que se aprueba definitivamente el plan de ordenación municipal de Toledo”.</w:t>
      </w:r>
    </w:p>
    <w:p w:rsidR="00163957" w:rsidRDefault="00163957" w:rsidP="00163957">
      <w:pPr>
        <w:pStyle w:val="TextoNormal"/>
      </w:pPr>
    </w:p>
    <w:p w:rsidR="00163957" w:rsidRDefault="00163957" w:rsidP="00163957">
      <w:pPr>
        <w:pStyle w:val="TextoNormal"/>
      </w:pPr>
      <w:r>
        <w:lastRenderedPageBreak/>
        <w:t>En consecuencia, sigue razonando el Auto del Alto Tribunal, tal “circunstancia sobrevenida priva de objeto a los recursos de casación que ahora examinamos, pues carece de sentido que, aunque sea por la vía de enjuiciar el contenido de la sentencia recurrida, nos pronunciemos sobre si es o no ajustada a derecho una disposición de carácter general —tal es la naturaleza de los planes de ordenación— que ya ha sido declarada nula por Sentencia firme y que, por tanto, ha sido expulsada del ordenamiento jurídico”; citando al efecto el art. 72.2 LJCA 29/1998.</w:t>
      </w:r>
    </w:p>
    <w:p w:rsidR="00163957" w:rsidRDefault="00163957" w:rsidP="00163957">
      <w:pPr>
        <w:pStyle w:val="TextoNormal"/>
      </w:pPr>
    </w:p>
    <w:p w:rsidR="00163957" w:rsidRDefault="00163957" w:rsidP="00163957">
      <w:pPr>
        <w:pStyle w:val="TextoNormal"/>
      </w:pPr>
      <w:r>
        <w:t>e) El 5 de junio de 2014, el Ayuntamiento de Toledo formuló incidente de nulidad de actuaciones [art. 241 de la Ley Orgánica del Poder Judicial (LOPJ)] contra el Auto que acaba de citarse, ante la misma Sección Primera de la Sala de lo Contencioso-Administrativo del Tribunal Supremo. Se alegó en el escrito que al declarar la pérdida sobrevenida de objeto del recurso de casación, el Auto impugnado “traslada al recurso de casación a que se refiere, la totalidad de los argumentos y efectos jurídicos de la Sentencia de 27 de febrero de 2014”. Denuncia entonces la vulneración por esta última de los derechos a la tutela judicial efectiva (art. 24.1 CE) y a un proceso con todas las garantías (art. 24.2 CE), al incurrir en el mismo exceso de jurisdicción indicado [inaplicación del art. 36.2 A) párrafo segundo de la Ley de ordenación del territorio y de la actividad urbanística de Castilla-La Mancha], y añade que como resultado, colocó al Ayuntamiento de Toledo “en situación de efectiva indefensión pues ni tuvo oportunidad u ocasión de prever, dado el sometimiento judicial al imperio de la ley, tal preterición del sistema de fuentes, ni pudo hacer uso del trámite de alegaciones del artículo 35 LOTC”.</w:t>
      </w:r>
    </w:p>
    <w:p w:rsidR="00163957" w:rsidRDefault="00163957" w:rsidP="00163957">
      <w:pPr>
        <w:pStyle w:val="TextoNormal"/>
      </w:pPr>
    </w:p>
    <w:p w:rsidR="00163957" w:rsidRDefault="00163957" w:rsidP="00163957">
      <w:pPr>
        <w:pStyle w:val="TextoNormal"/>
      </w:pPr>
      <w:r>
        <w:t>f) Por Auto de 23 de octubre de 2014 se desestimó el incidente de nulidad de actuaciones, remitiéndose la Sala a lo resuelto en su Auto de 15 de julio de 2014 por el que desestimó el incidente de nulidad de actuaciones promovido por el mismo Ayuntamiento aquí recurrente, contra la Sentencia de la Sección Quinta, Sala Tercera del Tribunal Supremo, de 27 de febrero de 2014 (recurso de casación núm. 5116-2011).</w:t>
      </w:r>
    </w:p>
    <w:p w:rsidR="00163957" w:rsidRDefault="00163957" w:rsidP="00163957">
      <w:pPr>
        <w:pStyle w:val="TextoNormal"/>
      </w:pPr>
    </w:p>
    <w:p w:rsidR="00163957" w:rsidRDefault="00163957" w:rsidP="00163957">
      <w:pPr>
        <w:pStyle w:val="TextoNormal"/>
      </w:pPr>
      <w:r>
        <w:t>En concreto, la Sala reproduce del Auto de 15 de julio de 2014 el siguiente pasaje de su fundamentación: “Al seleccionar esta Sala la norma aplicable al caso, sin realizar juicio alguno acerca de la constitucionalidad del ordenamiento autonómico, ha procedido conforme a sus potestades jurisdiccionales de resolver el pleito sustanciado sin haberse, por tanto, vulnerado el derecho a la tutela judicial efectiva y a un proceso justo del Ayuntamiento promotor del incidente … Los razonamientos expuestos conducen a la desestimación del incidente de nulidad de actuaciones, reconociendo la imposibilidad de suspender el cumplimiento de la sentencia, sin perjuicio de la previsión contenida en el artículo 56 LOTC” que corresponde al Tribunal Constitucional.</w:t>
      </w:r>
    </w:p>
    <w:p w:rsidR="00163957" w:rsidRDefault="00163957" w:rsidP="00163957">
      <w:pPr>
        <w:pStyle w:val="TextoNormal"/>
      </w:pPr>
    </w:p>
    <w:p w:rsidR="00163957" w:rsidRDefault="00163957" w:rsidP="00163957">
      <w:pPr>
        <w:pStyle w:val="TextoNormal"/>
      </w:pPr>
      <w:r w:rsidRPr="00163957">
        <w:rPr>
          <w:rStyle w:val="NumeroAFNegritaCaracter"/>
        </w:rPr>
        <w:t>3</w:t>
      </w:r>
      <w:r>
        <w:t>. El Ayuntamiento recurrente denuncia en su demanda de amparo que las resoluciones judiciales mencionadas en el encabezamiento de esta Sentencia, vulneran sus derechos fundamentales a la tutela judicial efectiva sin indefensión y a un proceso con todas las garantías (art. 24.1 y 2 CE). Se pone de manifiesto la “estrecha conexión” que existe entre el presente recurso de amparo y el interpuesto por la misma entidad actora con el núm. 6011-2014, ante la Sala Primera de este Tribunal Constitucional respecto de la Sentencia del Tribunal Supremo de 27 de febrero de 2014, significando que a partir del dictado de esta última la Sección Primera, Sala Tercera del Tribunal Supremo, ha venido resolviendo los demás re</w:t>
      </w:r>
      <w:r>
        <w:lastRenderedPageBreak/>
        <w:t>cursos de casación pendientes en relación con el mismo asunto [nulidad del plan de ordenación municipal de Toledo, con inaplicación del art. 36.2 A) párrafo segundo de la Ley de ordenación del territorio y de la actividad urbanística de Castilla-La Mancha] a través, como aquí, de sendos Autos declarando la pérdida sobrevenida de objeto, en virtud del principio de “unidad de doctrina”.</w:t>
      </w:r>
    </w:p>
    <w:p w:rsidR="00163957" w:rsidRDefault="00163957" w:rsidP="00163957">
      <w:pPr>
        <w:pStyle w:val="TextoNormal"/>
      </w:pPr>
    </w:p>
    <w:p w:rsidR="00163957" w:rsidRDefault="00163957" w:rsidP="00163957">
      <w:pPr>
        <w:pStyle w:val="TextoNormal"/>
      </w:pPr>
      <w:r>
        <w:t>Sentado esto y luego de hacer resumen del contenido de las resoluciones impugnadas, la demanda pone de relieve que las mismas “incurren en manifiesto desconocimiento del deber de acatamiento de la doctrina del Tribunal Constitucional, lo cual supone una clara quiebra del mandato recogido en el art. 5.1 LOPJ de la que deriva la lesión del derecho del Ayuntamiento demandante a la tutela judicial efectiva (art. 24.1 CE)”. Con cita de Sentencias de este Tribunal (SSTC 29/2008, FJ 10; 147/2009, de 15 de junio, FJ 2; 195/2009, de 28 de septiembre, FJ 6; 206/2009, de 23 de noviembre, FJ 3; 133/2011, FJ 4; 187/2012, de 29 de octubre, y 177/2013, de 21 de octubre), se afirma que no se ha producido un error en la no aplicación del precepto autonómico de referencia, sino que “ha existido voluntad manifiesta de no proceder a su aplicación”, para lo cual servirían de demostración algunos extractos de la Sentencia de 27 de febrero de 2014 que acompaña. En ellos, aunque se hace cita de la STC 187/2012, a la cual el Tribunal Supremo dice que va a dar cumplimiento —omitiendo sin embargo, dice la demanda, la cita de la STC 177/12013 “que había vuelto a desautorizar la doctrina de la Sala Tercera”—, al final sin embargo el Alto Tribunal “resuelve todo lo contrario acogiéndose a su facultad privativa ‘de seleccionar la norma jurídica aplicable al caso concreto de entre las varias posibles’”.</w:t>
      </w:r>
    </w:p>
    <w:p w:rsidR="00163957" w:rsidRDefault="00163957" w:rsidP="00163957">
      <w:pPr>
        <w:pStyle w:val="TextoNormal"/>
      </w:pPr>
    </w:p>
    <w:p w:rsidR="00163957" w:rsidRDefault="00163957" w:rsidP="00163957">
      <w:pPr>
        <w:pStyle w:val="TextoNormal"/>
      </w:pPr>
      <w:r>
        <w:t xml:space="preserve">Con arreglo a lo expuesto, sostiene la demanda la lesión por las resoluciones impugnadas —Sentencia del Tribunal Superior de Justicia de Castilla-La Mancha y Autos del Tribunal Supremo— de los dos derechos fundamentales antes aludidos (tutela judicial efectiva —art. 24.1 CE— y derecho a un proceso con todas las garantías —art. 24.2 CE—), por no aplicar la norma autonómica de carácter urbanístico, en contra de lo establecido reiteradamente por la doctrina del Tribunal Constitucional, que fija su competencia exclusiva para depurar el ordenamiento legal </w:t>
      </w:r>
      <w:r w:rsidRPr="00163957">
        <w:rPr>
          <w:i/>
        </w:rPr>
        <w:t>ex</w:t>
      </w:r>
      <w:r>
        <w:t xml:space="preserve"> art. 163 CE “y concordantes” (se citan las SSTC “73/2000, 104/2000, 120/2000, 173/2002, 66/2011, 187/2012, o 177/2013”). Se produce la preterición del sistema de fuentes, sin que el Ayuntamiento pudiera hacer uso del trámite de alegaciones del art. 35 LOTC, y sin que se haya planteado cuestión de inconstitucionalidad, ya exigida en supuestos idénticos (se citan las SSTC 187/2012 y 177/2013).</w:t>
      </w:r>
    </w:p>
    <w:p w:rsidR="00163957" w:rsidRDefault="00163957" w:rsidP="00163957">
      <w:pPr>
        <w:pStyle w:val="TextoNormal"/>
      </w:pPr>
    </w:p>
    <w:p w:rsidR="00163957" w:rsidRDefault="00163957" w:rsidP="00163957">
      <w:pPr>
        <w:pStyle w:val="TextoNormal"/>
      </w:pPr>
      <w:r w:rsidRPr="00163957">
        <w:rPr>
          <w:rStyle w:val="NumeroAFNegritaCaracter"/>
        </w:rPr>
        <w:t>4</w:t>
      </w:r>
      <w:r>
        <w:t>. La Sección Cuarta, Sala Segunda, de este Tribunal Constitucional, dictó providencia el 7 de julio de 2015 por la que acordó inadmitir el recurso de amparo “dada la manifiesta inexistencia de violación de un derecho fundamental tutelable en amparo”.</w:t>
      </w:r>
    </w:p>
    <w:p w:rsidR="00163957" w:rsidRDefault="00163957" w:rsidP="00163957">
      <w:pPr>
        <w:pStyle w:val="TextoNormal"/>
      </w:pPr>
    </w:p>
    <w:p w:rsidR="00163957" w:rsidRDefault="00163957" w:rsidP="00163957">
      <w:pPr>
        <w:pStyle w:val="TextoNormal"/>
      </w:pPr>
      <w:r>
        <w:t>Contra esta decisión interpuso recurso de súplica el Ministerio Fiscal por escrito de 22 de septiembre de 2015, al que se adhirió el Ayuntamiento recurrente mediante escrito presentado por su representante procesal, el 30 de septiembre de 2015.</w:t>
      </w:r>
    </w:p>
    <w:p w:rsidR="00163957" w:rsidRDefault="00163957" w:rsidP="00163957">
      <w:pPr>
        <w:pStyle w:val="TextoNormal"/>
      </w:pPr>
    </w:p>
    <w:p w:rsidR="00163957" w:rsidRDefault="00163957" w:rsidP="00163957">
      <w:pPr>
        <w:pStyle w:val="TextoNormal"/>
      </w:pPr>
      <w:r>
        <w:t xml:space="preserve">La propia Sección Cuarta dictó Auto el 1 de octubre de 2015, estimando el recurso de súplica. Señaló al efecto en su fundamento jurídico único, que “atendidas las alegaciones del Ministerio Fiscal y de la parte recurrente en amparo, advertido el error material en que ha incurrido la providencia de 7 de julio de 2015 en la identificación del objeto del presente </w:t>
      </w:r>
      <w:r>
        <w:lastRenderedPageBreak/>
        <w:t>amparo, que no solo se dirige contra los Autos de la Sección Primera de la Sala de lo Contencioso Administrativo del Tribunal Supremo de 23 de octubre y 3 de abril de 2014, sino también contra la Sentencia de la Sección Primera de la Sala de lo Contencioso-Administrativo del Tribunal Superior de Justicia de Castilla-La Mancha, de 28 de noviembre de 2011, recaída en el recurso contencioso-administrativo núm. 7357-2007, se deja sin efecto la citada providencia”.</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En virtud de providencia de la misma Sección Cuarta, de 5 de octubre de 2015, se acordó la admisión a trámite de la demanda de amparo, “apreciando que concurre en el mismo una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En la misma providencia se acordó dirigir atenta comunicación a la Sección Primera de la Sala de lo Contencioso-Administrativo del Tribunal Supremo, y a la Sección Primera de la Sala de lo Contencioso-Administrativo del Tribunal Superior de Justicia de Castilla-La Mancha, para que, en el plazo de diez días, remitieran certificación o fotocopia adverada de las actuaciones correspondientes, respectivamente, al recurso de casación núm. 239-2012 y al procedimiento ordinario núm. 735-2007, en este segundo caso con emplazamiento de quienes hubieran sido parte en el proceso </w:t>
      </w:r>
      <w:r w:rsidRPr="00163957">
        <w:rPr>
          <w:i/>
        </w:rPr>
        <w:t>a quo</w:t>
      </w:r>
      <w:r>
        <w:t>, por si desean personarse en el presente recurso de amparo en el plazo de diez días. “Todo ello condicionado”, precisó dicha providencia, a que el Procurador don Alberto Collado Martín aportara la escritura de poder original acreditativa de su representación, lo cual este cumplimentó mediante escrito presentado en fecha 14 de octubre de 2015.</w:t>
      </w:r>
    </w:p>
    <w:p w:rsidR="00163957" w:rsidRDefault="00163957" w:rsidP="00163957">
      <w:pPr>
        <w:pStyle w:val="TextoNormal"/>
      </w:pPr>
    </w:p>
    <w:p w:rsidR="00163957" w:rsidRDefault="00163957" w:rsidP="00163957">
      <w:pPr>
        <w:pStyle w:val="TextoNormal"/>
      </w:pPr>
      <w:r w:rsidRPr="00163957">
        <w:rPr>
          <w:rStyle w:val="NumeroAFNegritaCaracter"/>
        </w:rPr>
        <w:t>6</w:t>
      </w:r>
      <w:r>
        <w:t>. Por escrito registrado en este Tribunal el día 30 de octubre de 2015, el Procurador de los Tribunales don Francisco Velasco Muñoz-Cuéllar compareció en representación de la Junta de Comunidades de Castilla-La Mancha, solicitando se le tuviera por personado en las actuaciones en la representación que ostenta, entendiéndose con él las sucesivas diligencias.</w:t>
      </w:r>
    </w:p>
    <w:p w:rsidR="00163957" w:rsidRDefault="00163957" w:rsidP="00163957">
      <w:pPr>
        <w:pStyle w:val="TextoNormal"/>
      </w:pPr>
    </w:p>
    <w:p w:rsidR="00163957" w:rsidRDefault="00163957" w:rsidP="00163957">
      <w:pPr>
        <w:pStyle w:val="TextoNormal"/>
      </w:pPr>
      <w:r>
        <w:t>Asimismo, por escrito registrado el 2 de noviembre de 2015, el Procurador de los Tribunales don Fernando Anaya García, actuando en representación de la mercantil Miratorre, S.A., solicitó se le tuviera por parte y personado en el presente procedimiento, en la representación que ostenta.</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La Secretaría de Justicia de la Sala Segunda de este Tribunal dictó diligencia de ordenación el 16 de noviembre de 2015, en la que tuvo por personado y parte en el procedimiento a los dos citados Procuradores, y acordó dar vista de las actuaciones a las partes y al Ministerio Fiscal, a fin de que pudieran formular alegaciones en el plazo común de veinte días, </w:t>
      </w:r>
      <w:r w:rsidRPr="00163957">
        <w:rPr>
          <w:i/>
        </w:rPr>
        <w:t>ex</w:t>
      </w:r>
      <w:r>
        <w:t xml:space="preserve"> art. 52.1 LOTC.</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En virtud de escrito registrado el 18 de diciembre 2015, formuló alegaciones el Ayuntamiento de Toledo interesando el otorgamiento del amparo, que basa en la “absoluta identidad” en cuanto a su objeto, entre el presente recurso y el resuelto mediante Sentencia de la Sala Primera de este Tribunal, de 21 de septiembre de 2015 (recurso núm. 6011-2014), </w:t>
      </w:r>
      <w:r>
        <w:lastRenderedPageBreak/>
        <w:t>que otorgó el amparo al citado Ayuntamiento. Por ello se interesa que la Sala Segunda otorgue igualmente el amparo que aquí solicita.</w:t>
      </w:r>
    </w:p>
    <w:p w:rsidR="00163957" w:rsidRDefault="00163957" w:rsidP="00163957">
      <w:pPr>
        <w:pStyle w:val="TextoNormal"/>
      </w:pPr>
    </w:p>
    <w:p w:rsidR="00163957" w:rsidRDefault="00163957" w:rsidP="00163957">
      <w:pPr>
        <w:pStyle w:val="TextoNormal"/>
      </w:pPr>
      <w:r>
        <w:t>Asimismo, mediante escrito registrado el 18 de diciembre de 2015, la representación procesal de la entidad Miratorre, S.A., presentó sus alegaciones. Se alude ante todo a la Sentencia dictada por la Sala Primera de este Tribunal en el recurso de amparo núm. 6011-2014, para colegir que con ella han resultado anuladas las resoluciones del Tribunal Superior de Justicia de Castilla-La Mancha y del Tribunal Supremo “que en su día constituyeron el fundamento y base de las que fueron dictadas a favor de mi mandante”; esto es, las impugnadas en el presente recurso de amparo.</w:t>
      </w:r>
    </w:p>
    <w:p w:rsidR="00163957" w:rsidRDefault="00163957" w:rsidP="00163957">
      <w:pPr>
        <w:pStyle w:val="TextoNormal"/>
      </w:pPr>
    </w:p>
    <w:p w:rsidR="00163957" w:rsidRDefault="00163957" w:rsidP="00163957">
      <w:pPr>
        <w:pStyle w:val="TextoNormal"/>
      </w:pPr>
      <w:r>
        <w:t>Sin embargo, se advierte que dicha entidad actuó en el proceso de instancia solicitando la nulidad del plan de ordenación municipal de Toledo, alegando los perjuicios que le deparaba la clasificación urbanística impuesta sobre la finca de su propiedad, a cuyos efectos —prosigue— se presentó prueba pericial acreditativa que no llegó a ser valorada en el fondo. De modo que si se declara la nulidad de las resoluciones aquí impugnadas, procedería que este Tribunal acordara la retroacción de actuaciones “al momento anterior al de la formulación de las conclusiones o subsidiariamente, al anterior al señalamiento para votación y fallo”, a fin de que la Sala de instancia se pronuncie sobre la pretensión por ella deducida. Así se pide también en el suplico del mismo escrito de alegaciones.</w:t>
      </w:r>
    </w:p>
    <w:p w:rsidR="00163957" w:rsidRDefault="00163957" w:rsidP="00163957">
      <w:pPr>
        <w:pStyle w:val="TextoNormal"/>
      </w:pPr>
    </w:p>
    <w:p w:rsidR="00163957" w:rsidRDefault="00163957" w:rsidP="00163957">
      <w:pPr>
        <w:pStyle w:val="TextoNormal"/>
      </w:pPr>
      <w:r w:rsidRPr="00163957">
        <w:rPr>
          <w:rStyle w:val="NumeroAFNegritaCaracter"/>
        </w:rPr>
        <w:t>9</w:t>
      </w:r>
      <w:r>
        <w:t>. El Ministerio Fiscal, mediante escrito presentado el 23 de diciembre de 2015, efectuó alegaciones interesando que se otorgara el amparo solicitado, reconociendo el derecho de la entidad recurrente a la tutela judicial efectiva (art. 24.1 CE) y a un proceso con todas las garantías (art. 24.2 CE); anulando las resoluciones impugnadas y retrotrayendo las actuaciones al momento procesal inmediatamente anterior “al señalamiento para votación y fallo del recurso núm. 735-2007, para que el Tribunal Superior de Justicia de Castilla-La Mancha dicte nueva Sentencia respetuosa con los derechos fundamentales vulnerados”.</w:t>
      </w:r>
    </w:p>
    <w:p w:rsidR="00163957" w:rsidRDefault="00163957" w:rsidP="00163957">
      <w:pPr>
        <w:pStyle w:val="TextoNormal"/>
      </w:pPr>
    </w:p>
    <w:p w:rsidR="00163957" w:rsidRDefault="00163957" w:rsidP="00163957">
      <w:pPr>
        <w:pStyle w:val="TextoNormal"/>
      </w:pPr>
      <w:r>
        <w:t xml:space="preserve">Tras pasar revista a los antecedentes del recurso, el Fiscal advierte que las resoluciones aquí impugnadas resuelven una controversia “fáctica y jurídicamente idéntica y amparadas en la misma </w:t>
      </w:r>
      <w:r w:rsidRPr="00163957">
        <w:rPr>
          <w:i/>
        </w:rPr>
        <w:t>ratio decidendi</w:t>
      </w:r>
      <w:r>
        <w:t>” que la enjuiciada en la Sentencia de la Sala Primera de este Tribunal, núm. 195/2015, de 21 de septiembre (la misma invocada por el Ayuntamiento de Toledo y la mercantil Miratorre, S.A., en sus escritos), en relación con la Sentencia de la Sección Quinta, de la Sala de lo Contencioso-Administrativo del Tribunal Supremo, pasando a reproducir los fundamentos jurídicos 6 a 8 inclusive de aquella —la STC 195/2015—.</w:t>
      </w:r>
    </w:p>
    <w:p w:rsidR="00163957" w:rsidRDefault="00163957" w:rsidP="00163957">
      <w:pPr>
        <w:pStyle w:val="TextoNormal"/>
      </w:pPr>
    </w:p>
    <w:p w:rsidR="00163957" w:rsidRDefault="00163957" w:rsidP="00163957">
      <w:pPr>
        <w:pStyle w:val="TextoNormal"/>
      </w:pPr>
      <w:r>
        <w:t>En consecuencia, dada esa doble identidad fáctica y jurídica, “es plenamente aplicable la doctrina y el pronunciamiento de la sentencia 195/2015 al presente recurso de amparo y, por ello, se habrían vulnerado los derechos a la tutela judicial efectiva y sin indefensión del art. 24.1 CE y el derecho a un proceso con todas las garantías del art. 24.2 CE del Ayuntamiento de Toledo”, por las resoluciones impugnadas en el presente recurso, por lo que procede otorgar el amparo solicitado, con el alcance que antes se ha especificado.</w:t>
      </w:r>
    </w:p>
    <w:p w:rsidR="00163957" w:rsidRDefault="00163957" w:rsidP="00163957">
      <w:pPr>
        <w:pStyle w:val="TextoNormal"/>
      </w:pPr>
    </w:p>
    <w:p w:rsidR="00163957" w:rsidRDefault="00163957" w:rsidP="00163957">
      <w:pPr>
        <w:pStyle w:val="TextoNormal"/>
      </w:pPr>
      <w:r>
        <w:t>La Junta de Comunidades de Castilla-La Mancha, por último, no formuló alegaciones.</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10</w:t>
      </w:r>
      <w:r>
        <w:t>. En la providencia ya citada de admisión a trámite del recurso, de 5 de octubre de 2015, se acordó también formar la correspondiente pieza separada de suspensión de las resoluciones judiciales recurridas, instada por la parte actora en el “otrosí tercero digo” de su escrito de demanda. Luego de su correspondiente tramitación, la Sala Segunda de este Tribunal dictó Auto el 14 de diciembre de 2015, denegando la suspensión solicitada.</w:t>
      </w:r>
    </w:p>
    <w:p w:rsidR="00163957" w:rsidRDefault="00163957" w:rsidP="00163957">
      <w:pPr>
        <w:pStyle w:val="TextoNormal"/>
      </w:pPr>
    </w:p>
    <w:p w:rsidR="00163957" w:rsidRDefault="00163957" w:rsidP="00163957">
      <w:pPr>
        <w:pStyle w:val="TextoNormal"/>
      </w:pPr>
      <w:r w:rsidRPr="00163957">
        <w:rPr>
          <w:rStyle w:val="NumeroAFNegritaCaracter"/>
        </w:rPr>
        <w:t>11</w:t>
      </w:r>
      <w:r>
        <w:t>. . Por providencia de 16 de junio de 2016, se señaló para deliberación y votación de la presente Sentencia el día 20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amparo tiene por objeto enjuiciar si las resoluciones judiciales en él impugnadas lesionaron los derechos fundamentales del Ayuntamiento recurrente a la tutela judicial efectiva sin indefensión (art. 24.1 CE), y a un proceso con todas las garantías (art. 24.2 CE), por incurrir los órganos judiciales en exceso de jurisdicción al resolver la cuestión objeto de debate (la necesidad o no de trámite de audiencia, en caso de modificaciones sustanciales al plan de ordenación municipal de Toledo sometido ya a información pública), rechazando la aplicación del precepto autonómico que resultaba pertinente [el art. 36.2 A) párrafo segundo de la Ley de ordenación del territorio y de la actividad urbanística de Castilla-La Mancha de Castilla-La Mancha], el cual se considera contrario a la norma básica del Estado [el art. 6.1 de la Ley sobre régimen del suelo y valoraciones (LRSV)], acordándolo así sin elevar previamente cuestión de inconstitucionalidad ante este Tribunal para que nos pronunciáramos sobre su validez, conforme a los arts. 163 CE y 35 de la Ley Orgánica del Tribunal Constitucional (LOTC).</w:t>
      </w:r>
    </w:p>
    <w:p w:rsidR="00163957" w:rsidRDefault="00163957" w:rsidP="00163957">
      <w:pPr>
        <w:pStyle w:val="TextoNormal"/>
      </w:pPr>
    </w:p>
    <w:p w:rsidR="00163957" w:rsidRDefault="00163957" w:rsidP="00163957">
      <w:pPr>
        <w:pStyle w:val="TextoNormal"/>
      </w:pPr>
      <w:r>
        <w:t>Si bien la demanda de amparo emplea una argumentación común contra todas las resoluciones impugnadas, debe hacerse una distinción entre ellas. El Auto dictado por la Sección Primera de la Sala de lo Contencioso-Administrativo del Tribunal Supremo de 3 de abril de 2014, si bien es cierto que sirvió para poner fin a los recursos de casación interpuestos por la corporación recurrente y por la Junta de Comunidades de Castilla-La Mancha contra la Sentencia de instancia, no lo hizo entrando en el estudio de los motivos de fondo. De manera distinta, la Sección competente del Alto Tribunal constató que el objeto de dichos recursos “se desarrolla en términos sustancialmente coincidentes” con el resuelto por la Sección Quinta de la misma Sala en la Sentencia de 27 de febrero de 2014 (recurso núm. 5116-2011), la cual devino firme y había declarado la nulidad del mencionado plan de ordenación municipal de Toledo.</w:t>
      </w:r>
    </w:p>
    <w:p w:rsidR="00163957" w:rsidRDefault="00163957" w:rsidP="00163957">
      <w:pPr>
        <w:pStyle w:val="TextoNormal"/>
      </w:pPr>
    </w:p>
    <w:p w:rsidR="00163957" w:rsidRDefault="00163957" w:rsidP="00163957">
      <w:pPr>
        <w:pStyle w:val="TextoNormal"/>
      </w:pPr>
      <w:r>
        <w:t>Teniendo esto en cuenta y como expresamente se indica en el propio Auto de 3 de abril de 2014, la Sala quedaba constreñida en su actuar por lo dispuesto en el art. 72.2 de la Ley reguladora de la jurisdicción contencioso-administrativa (LJCA), donde se establece que “las sentencias firmes que anulen una disposición general tendrán efectos generales desde el día en que sea publicado su fallo y preceptos anulados en el mismo periódico oficial en que lo hubiera sido la disposición anulada…”.</w:t>
      </w:r>
    </w:p>
    <w:p w:rsidR="00163957" w:rsidRDefault="00163957" w:rsidP="00163957">
      <w:pPr>
        <w:pStyle w:val="TextoNormal"/>
      </w:pPr>
    </w:p>
    <w:p w:rsidR="00163957" w:rsidRDefault="00163957" w:rsidP="00163957">
      <w:pPr>
        <w:pStyle w:val="TextoNormal"/>
      </w:pPr>
      <w:r>
        <w:t xml:space="preserve">Por tanto, aunque hubiera querido cambiar su anterior criterio hecho valer en la Sentencia de 27 de febrero de 2014, la Sala de lo Contencioso-Administrativo del Tribunal Supremo no podía haberlo hecho en estos recursos (núm. 239-2012), de idéntico objeto al tratado en </w:t>
      </w:r>
      <w:r>
        <w:lastRenderedPageBreak/>
        <w:t>aquélla y relativos al mismo plan de ordenación ya declarado nulo por Sentencia firme, salvo incurriendo en abierta conculcación de una norma legal que, como la indicada (art. 72.2 LJCA), se erige también en límite al ejercicio de su propia jurisdicción. La solución adoptada resultó por ende razonable (art. 24.1 CE), optando por dictar un Auto de pérdida sobrevenida de objeto para explicar de manera motivada el porqué del archivo de los recursos. En esta misma óptica, el posterior Auto de 23 de octubre de 2014 hizo suyas las razones expuestas por la propia Sala en otro Auto que rechazó similar incidente de nulidad, promovido contra la citada Sentencia de 27 de febrero de 2014.</w:t>
      </w:r>
    </w:p>
    <w:p w:rsidR="00163957" w:rsidRDefault="00163957" w:rsidP="00163957">
      <w:pPr>
        <w:pStyle w:val="TextoNormal"/>
      </w:pPr>
    </w:p>
    <w:p w:rsidR="00163957" w:rsidRDefault="00163957" w:rsidP="00163957">
      <w:pPr>
        <w:pStyle w:val="TextoNormal"/>
      </w:pPr>
      <w:r w:rsidRPr="00163957">
        <w:rPr>
          <w:rStyle w:val="NumeroAFNegritaCaracter"/>
        </w:rPr>
        <w:t>2</w:t>
      </w:r>
      <w:r>
        <w:t>. Ahora bien, como ha quedado asentado en el encabezamiento y los antecedentes de esta Sentencia, el presente recurso de amparo se ha interpuesto igualmente contra la Sentencia de la Sección Primera de la Sala de lo Contencioso-Administrativo del Tribunal Superior de Justicia de Castilla-La Mancha, de 28 de noviembre de 2011, la cual aparece en orden cronológico como la primera resolución judicial que se dice lesiva de los derechos fundamentales alegados por el Ayuntamiento recurrente, lo que propició la ulterior iniciativa impugnatoria en casación. Para resolver las quejas que se vierten en la demanda de amparo sobre dicha Sentencia, resulta sin duda necesario acometer el examen directo de la operación jurídica de inaplicación por la Sala de instancia del precepto urbanístico autonómico varias veces mencionado, que trajo consigo la nulidad del plan de ordenación municipal sobre el que las partes han mantenido posturas enfrentadas. La estimación del recurso en este punto, supondría por ello también la nulidad de aquellos dos Autos del Tribunal Supremo.</w:t>
      </w:r>
    </w:p>
    <w:p w:rsidR="00163957" w:rsidRDefault="00163957" w:rsidP="00163957">
      <w:pPr>
        <w:pStyle w:val="TextoNormal"/>
      </w:pPr>
    </w:p>
    <w:p w:rsidR="00163957" w:rsidRDefault="00163957" w:rsidP="00163957">
      <w:pPr>
        <w:pStyle w:val="TextoNormal"/>
      </w:pPr>
      <w:r>
        <w:t>A este respecto, tanto el demandante de amparo como el Ministerio Fiscal consideran en sus escritos de alegaciones —trámite del art. 52 LOTC—, que tras el dictado de la STC 195/2015, de 21 de septiembre, que estimó el recurso de amparo promovido por el mismo Ayuntamiento recurrente contra la citada Sentencia de la Sección Quinta de la Sala de lo Contencioso-Administrativo del Tribunal Supremo, de 27 de febrero de 2014, y declaró su nulidad, no cabe sino trasladar lo allí dispuesto al presente recurso, otorgando en consecuencia el amparo que ahora se nos solicita, dada la identidad de objeto entre ambos procesos.</w:t>
      </w:r>
    </w:p>
    <w:p w:rsidR="00163957" w:rsidRDefault="00163957" w:rsidP="00163957">
      <w:pPr>
        <w:pStyle w:val="TextoNormal"/>
      </w:pPr>
    </w:p>
    <w:p w:rsidR="00163957" w:rsidRDefault="00163957" w:rsidP="00163957">
      <w:pPr>
        <w:pStyle w:val="TextoNormal"/>
      </w:pPr>
      <w:r>
        <w:t>Dicha apreciación es compartida por este Tribunal y por ello consideramos que, en aplicación de la fundamentación esgrimida en la citada STC 195/2015, las resoluciones impugnadas en el presente caso han vulnerado el derecho a la tutela judicial efectiva (art. 24.1 CE) y a un proceso con todas las garantías (art. 24.2 CE) de la corporación recurrente, al proceder los órganos judiciales a la inaplicación de la norma autonómica por considerarla contraria a la ley básica estatal, sin plantear ante nosotros con carácter previo la cuestión de inconstitucionalidad (FJ 6), conforme lo dispuesto en el art. 163 CE y la jurisprudencia de este Tribunal.</w:t>
      </w:r>
    </w:p>
    <w:p w:rsidR="00163957" w:rsidRDefault="00163957" w:rsidP="00163957">
      <w:pPr>
        <w:pStyle w:val="TextoNormal"/>
      </w:pPr>
    </w:p>
    <w:p w:rsidR="00163957" w:rsidRDefault="00163957" w:rsidP="00163957">
      <w:pPr>
        <w:pStyle w:val="TextoNormal"/>
      </w:pPr>
      <w:r>
        <w:t>Debemos rechazar, sin embargo, como así consideramos en dicha STC 195/2015, FJ 5, “que exista una voluntad manifiesta de no aplicar la doctrina constitucional o una decisión consciente de soslayar la misma … y ello con independencia del acierto de la decisión adoptada que en nada afectaría al mandato contenido en el art. 5.1 LOPJ al que alude el recurrente”.</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3</w:t>
      </w:r>
      <w:r>
        <w:t xml:space="preserve">. El otorgamiento del presente amparo debe comportar, </w:t>
      </w:r>
      <w:r w:rsidRPr="00163957">
        <w:rPr>
          <w:i/>
        </w:rPr>
        <w:t>ex</w:t>
      </w:r>
      <w:r>
        <w:t xml:space="preserve"> art. 55.1 LOTC, el reconocimiento de los derechos fundamentales vulnerados y la nulidad de las resoluciones judiciales impugnadas; con orden de retroacción de las actuaciones al momento inmediatamente anterior a dictarse la Sentencia de la Sección Primera de la Sala de lo Contencioso-Administrativo del Tribunal Superior de Justicia de Castilla-La Mancha, como solicita el Ministerio Fiscal, a los efectos de que por dicho Tribunal se dicte otra resolución que resulte respetuosa con los derechos fundamentales reconocidos.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Otorgar el amparo solicitado por el Ayuntamiento de Toledo y, en su virtud:</w:t>
      </w:r>
    </w:p>
    <w:p w:rsidR="00163957" w:rsidRDefault="00163957" w:rsidP="00163957">
      <w:pPr>
        <w:pStyle w:val="TextoNormal"/>
      </w:pPr>
    </w:p>
    <w:p w:rsidR="00163957" w:rsidRDefault="00163957" w:rsidP="00163957">
      <w:pPr>
        <w:pStyle w:val="TextoNormal"/>
      </w:pPr>
      <w:r>
        <w:t>1º Reconocer el derecho del recurrente a la tutela judicial efectiva (art. 24.1 CE) y a un proceso con todas las garantías (art. 24.2 CE).</w:t>
      </w:r>
    </w:p>
    <w:p w:rsidR="00163957" w:rsidRDefault="00163957" w:rsidP="00163957">
      <w:pPr>
        <w:pStyle w:val="TextoNormal"/>
      </w:pPr>
    </w:p>
    <w:p w:rsidR="00163957" w:rsidRDefault="00163957" w:rsidP="00163957">
      <w:pPr>
        <w:pStyle w:val="TextoNormal"/>
      </w:pPr>
      <w:r>
        <w:t>2º Declarar la nulidad de la Sentencia de la Sección Primera de la Sala de lo Contencioso-Administrativo del Tribunal Superior de Justicia de Castilla-La Mancha, de 28 de noviembre de 2011, dictada en el recurso contencioso-administrativo núm. 735-2007; así como los Autos de 3 de abril y 23 de octubre, ambos de 2014, dictados en el recurso de casación núm. 239-2012, por la Sección Primera de la Sala de lo Contencioso-Administrativo del Tribunal Supremo.</w:t>
      </w:r>
    </w:p>
    <w:p w:rsidR="00163957" w:rsidRDefault="00163957" w:rsidP="00163957">
      <w:pPr>
        <w:pStyle w:val="TextoNormal"/>
      </w:pPr>
    </w:p>
    <w:p w:rsidR="00163957" w:rsidRDefault="00163957" w:rsidP="00163957">
      <w:pPr>
        <w:pStyle w:val="TextoNormal"/>
      </w:pPr>
      <w:r>
        <w:t>3º Retrotraer las actuaciones al momento inmediatamente anterior al señalamiento para votación y fallo del recurso núm. 735-2007, para que la Sala y Sección competente del Tribunal Superior de Justicia de Castilla-La Mancha dicte nueva Sentencia, respetuosa con los derechos fundamentales vulnerados.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veinte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17" w:name="SENTENCIA_2016_114"/>
      <w:r>
        <w:lastRenderedPageBreak/>
        <w:t>SENTENCIA 114/2016, de 20 de junio de 2016</w:t>
      </w:r>
    </w:p>
    <w:bookmarkEnd w:id="117"/>
    <w:p w:rsidR="00163957" w:rsidRDefault="00163957" w:rsidP="00163957">
      <w:pPr>
        <w:pStyle w:val="TtuloResolucin"/>
      </w:pPr>
      <w:r>
        <w:t>Sala Segunda</w:t>
      </w:r>
    </w:p>
    <w:p w:rsidR="00163957" w:rsidRDefault="00163957" w:rsidP="00163957">
      <w:pPr>
        <w:pStyle w:val="TtuloBOE"/>
      </w:pPr>
      <w:r>
        <w:t>(BOE núm. 181, de 28 de julio de 2016)</w:t>
      </w:r>
    </w:p>
    <w:p w:rsidR="00163957" w:rsidRDefault="00163957" w:rsidP="00163957">
      <w:pPr>
        <w:pStyle w:val="TextoNormalCentrado"/>
      </w:pPr>
      <w:r>
        <w:t>ECLI:ES:TC:2016:114</w:t>
      </w:r>
    </w:p>
    <w:p w:rsidR="00163957" w:rsidRDefault="00163957" w:rsidP="00163957">
      <w:pPr>
        <w:pStyle w:val="TextoNormalCentrado"/>
      </w:pPr>
    </w:p>
    <w:p w:rsidR="00163957" w:rsidRDefault="00163957" w:rsidP="00163957">
      <w:pPr>
        <w:pStyle w:val="SntesisDescriptiva"/>
      </w:pPr>
      <w:r>
        <w:t>Recurso de amparo 145-2015. Promovido por el Ayuntamiento de Toledo respecto de las resoluciones dictadas por las Salas de lo Contencioso-Administrativo del Tribunal Superior de Justicia de Castilla-La Mancha y del Tribunal Supremo, en proceso de impugnación de la orden de la Consejería de Vivienda y Urbanismo, de aprobación definitiva del plan de ordenación municipal de Toledo.</w:t>
      </w:r>
    </w:p>
    <w:p w:rsidR="00163957" w:rsidRDefault="00163957" w:rsidP="00163957">
      <w:pPr>
        <w:pStyle w:val="SntesisDescriptiva"/>
      </w:pPr>
    </w:p>
    <w:p w:rsidR="00163957" w:rsidRDefault="00163957" w:rsidP="00163957">
      <w:pPr>
        <w:pStyle w:val="SntesisAnaltica"/>
      </w:pPr>
      <w:r>
        <w:t>Vulneración de los derechos a la tutela judicial efectiva y a un proceso con todas las garantías: Sentencia no fundada en Derecho porque inaplica una ley autonómica vigente sin plantear cuestión de inconstitucionalidad (STC 195/2015).</w:t>
      </w:r>
    </w:p>
    <w:p w:rsidR="00163957" w:rsidRDefault="00163957" w:rsidP="00163957">
      <w:pPr>
        <w:pStyle w:val="SntesisAnaltica"/>
      </w:pPr>
    </w:p>
    <w:p w:rsidR="00163957" w:rsidRDefault="00163957" w:rsidP="00163957">
      <w:pPr>
        <w:pStyle w:val="Extracto"/>
      </w:pPr>
      <w:r>
        <w:t>1.</w:t>
      </w:r>
      <w:r>
        <w:tab/>
        <w:t>Asunto sustancialmente idéntico al resuelto por la STC 195/2015 [FFJJ 1 a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amparo núm. 145-2015, promovido por don Alberto Collado Martín, Procurador de los Tribunales y del Ayuntamiento de Toledo, bajo la dirección del Letrado don Santiago Muñoz Machado, contra el Auto de la Sección Primera de la Sala de lo Contencioso-Administrativo del Tribunal Supremo de fecha 23 de octubre de 2014 y el Auto de la misma Sala y Sección de 3 de abril de 2014, dictados en el recurso de casación núm. 4897-2011, y la Sentencia de 19 de julio de 2011, dictada por la Sección Primera de la Sala de lo Contencioso-Administrativo del Tribunal Superior de Justicia de Castilla-La Mancha, que estimó el recurso contencioso-administrativo núm. 555-2007 formulado contra la Orden de 26 de marzo de 2007 de la Consejería de Vivienda y Urbanismo, que aprueba definitivamente el plan de ordenación municipal de Toledo. Han intervenido el Ministerio Fiscal y la Junta de Comunidades de Castilla-La Mancha, representada por el Procurador de los Tribunales don Francisco Velasco Muñoz-Cuellar, y bajo la dirección letrada de don Ángel Querada Tapia. Ha sido Ponente el Magistrado don Fernando Valdés Dal-Ré, quien expresa el parecer del Tribunal.</w:t>
      </w:r>
    </w:p>
    <w:p w:rsidR="00163957" w:rsidRDefault="00163957" w:rsidP="00163957">
      <w:pPr>
        <w:pStyle w:val="TextoNormal"/>
      </w:pPr>
    </w:p>
    <w:p w:rsidR="00163957" w:rsidRDefault="00163957" w:rsidP="00163957">
      <w:pPr>
        <w:pStyle w:val="TextoNormalNegritaCentrado"/>
        <w:keepNext/>
      </w:pPr>
      <w:r>
        <w:lastRenderedPageBreak/>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día 9 de enero de 2015, el Procurador de los Tribunales don Alberto Collado Martín, en representación del Ayuntamiento de Toledo, interpuso recurso de amparo contra la Sentencia de la Sección Primera de la Sala de lo Contencioso-Administrativo del Tribunal Superior de Justicia de Castilla-La Mancha de 19 de julio de 2011, que estimó el recurso contencioso-administrativo núm. 555-2007, formulado contra la Orden de 26 de marzo de 2007 de la Consejería de Vivienda y Urbanismo, que aprueba definitivamente el plan de ordenación municipal de Toledo; contra el Auto de 3 de abril de 2014 de la Sección Primera de la Sala de lo Contencioso-Administrativo del Tribunal Supremo, que acordó declarar la pérdida de objeto del recurso de casación núm. 4987-2011, interpuesto contra la Sentencia citada, y contra el Auto de 23 de octubre de 2014, de la misma Sala y Sección, que desestimó el incidente de nulidad de actuaciones sucesivo y confirmó el anterior Auto.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de los que trae causa la demanda, relevantes para resolver el recurso de amparo interpuesto, son los siguientes:</w:t>
      </w:r>
    </w:p>
    <w:p w:rsidR="00163957" w:rsidRDefault="00163957" w:rsidP="00163957">
      <w:pPr>
        <w:pStyle w:val="TextoNormal"/>
      </w:pPr>
    </w:p>
    <w:p w:rsidR="00163957" w:rsidRDefault="00163957" w:rsidP="00163957">
      <w:pPr>
        <w:pStyle w:val="TextoNormal"/>
      </w:pPr>
      <w:r>
        <w:t>a) Ante la Sala de lo Contencioso-Administrativo del Tribunal Superior de Justicia de Castilla-La Mancha, don Felipe Martín Ortega interpuso recurso contencioso-administrativo contra la Orden de 26 de marzo de 2007 de la Consejería de Vivienda y Urbanismo de la Junta de Comunidades de Castilla-La Mancha, por la que se aprueba definitivamente el plan de ordenación municipal de Toledo. Denunciaba la nulidad de pleno Derecho de dicho plan de ordenación municipal, por haberse realizado modificaciones sustanciales sin someterlo nuevamente a trámite de información pública, por incumplirse los informes sectoriales, infringirse el principio de igualdad y por ilegalidad de adscripción de derechos urbanísticos, entre otros motivos.</w:t>
      </w:r>
    </w:p>
    <w:p w:rsidR="00163957" w:rsidRDefault="00163957" w:rsidP="00163957">
      <w:pPr>
        <w:pStyle w:val="TextoNormal"/>
      </w:pPr>
    </w:p>
    <w:p w:rsidR="00163957" w:rsidRDefault="00163957" w:rsidP="00163957">
      <w:pPr>
        <w:pStyle w:val="TextoNormal"/>
      </w:pPr>
      <w:r>
        <w:t>b) La Sentencia de la Sección Primera de la Sala de lo Contencioso-Administrativo del Tribunal Superior de Justicia de Castilla-La Mancha, de 19 de julio de 2011, estimó el recurso formulado contra la citada orden y declaró el plan de ordenación municipal de Toledo contrario a Derecho, anulándolo. El órgano judicial argumenta su decisión remitiéndose a lo razonado en la Sentencia de 27 de diciembre de 2010 dictada por la misma Sala y Sección. En primer lugar, justifica el no planteamiento de la cuestión de inconstitucionalidad contra el precepto de la Ley autonómica, decisión que apoya en la Sentencia del Tribunal Supremo de 9 de diciembre de 2008. Por otro lado considera que debe estimarse el recurso interpuesto, dado que, si bien la regulación contenida en la Ley autonómica no garantiza la participación pública en el proceso de planeamiento, el art. 6.1 de la Ley 6/1998, sobre régimen del suelo y valoraciones (LRSV), sí exige abrir un nuevo trámite de información pública en el proceso de planeamiento si se introducen modificaciones sustanciales.</w:t>
      </w:r>
    </w:p>
    <w:p w:rsidR="00163957" w:rsidRDefault="00163957" w:rsidP="00163957">
      <w:pPr>
        <w:pStyle w:val="TextoNormal"/>
      </w:pPr>
    </w:p>
    <w:p w:rsidR="00163957" w:rsidRDefault="00163957" w:rsidP="00163957">
      <w:pPr>
        <w:pStyle w:val="TextoNormal"/>
      </w:pPr>
      <w:r>
        <w:t xml:space="preserve">c) El Ayuntamiento de Toledo interpuso recurso de casación contra la indicada resolución basándolo, entre otros motivos, en que la Sala había incurrido en un exceso de jurisdicción al estar obligada a aplicar el art. 36.2 a) del texto refundido de la Ley de ordenación del territorio y de la actividad urbanística de Castilla-La Mancha, salvo que otra cosa resultara del planteamiento de una cuestión de inconstitucionalidad. Aducía a tal fin lo dispuesto, </w:t>
      </w:r>
      <w:r>
        <w:lastRenderedPageBreak/>
        <w:t>entre otros, en los arts. 163 CE y 5.2 de la Ley Orgánica del Poder Judicial (LOPJ), citando en su apoyo la STC 58/2004, de 19 abril.</w:t>
      </w:r>
    </w:p>
    <w:p w:rsidR="00163957" w:rsidRDefault="00163957" w:rsidP="00163957">
      <w:pPr>
        <w:pStyle w:val="TextoNormal"/>
      </w:pPr>
    </w:p>
    <w:p w:rsidR="00163957" w:rsidRDefault="00163957" w:rsidP="00163957">
      <w:pPr>
        <w:pStyle w:val="TextoNormal"/>
      </w:pPr>
      <w:r>
        <w:t>Formalizó también recurso de casación, además del Ayuntamiento demandante de amparo, la Junta de Comunidades de Castilla-La Mancha</w:t>
      </w:r>
    </w:p>
    <w:p w:rsidR="00163957" w:rsidRDefault="00163957" w:rsidP="00163957">
      <w:pPr>
        <w:pStyle w:val="TextoNormal"/>
      </w:pPr>
    </w:p>
    <w:p w:rsidR="00163957" w:rsidRDefault="00163957" w:rsidP="00163957">
      <w:pPr>
        <w:pStyle w:val="TextoNormal"/>
      </w:pPr>
      <w:r>
        <w:t>d) Por Auto de 3 de abril de 2014, la Sala de lo Contencioso-Administrativo del Tribunal Supremo declaró la pérdida sobrevenida de objeto de los recursos de casación interpuestos en el rollo 4897-2011, tanto por la Junta de Comunidades de Castilla-La Mancha como por el Ayuntamiento de Toledo. La Sala considera que la impugnación casacional se desarrolla en términos sustancialmente coincidentes con los examinados en el recurso de casación núm. 5116-2011, desestimado por Sentencia de 27 de febrero de 2014, que confirmó la Sentencia dictada por la misma Sala de instancia, de fecha de 26 de julio de 2011, dictada en recurso núm. 556-2007, y que declaró la nulidad de la misma resolución impugnada, esto es, la Orden de 26 de marzo de 2007 de la Consejería de Vivienda y Urbanismo por la que se aprueba definitivamente el plan de ordenación municipal de Toledo. Y sostiene, en consecuencia, que carece de sentido, aunque sea por la vía de enjuiciar el contenido de la Sentencia recurrida, pronunciarse sobre si es ajustada o no a Derecho una disposición de carácter general, como un plan de ordenación, que ya ha sido declarada nula por Sentencia firme y que, por tanto, ha sido expulsada del ordenamiento jurídico.</w:t>
      </w:r>
    </w:p>
    <w:p w:rsidR="00163957" w:rsidRDefault="00163957" w:rsidP="00163957">
      <w:pPr>
        <w:pStyle w:val="TextoNormal"/>
      </w:pPr>
    </w:p>
    <w:p w:rsidR="00163957" w:rsidRDefault="00163957" w:rsidP="00163957">
      <w:pPr>
        <w:pStyle w:val="TextoNormal"/>
      </w:pPr>
      <w:r>
        <w:t>e) El 13 de junio de 2014 el Ayuntamiento de Toledo formuló incidente de nulidad de actuaciones ante la misma Sección Primera de la Sala de lo Contencioso-Administrativo del Tribunal Supremo. Entre otras consideraciones, alegó que la Sentencia dictada en instancia no podía considerarse motivada, dado que inaplicó una ley postconstitucional vigente sin plantear cuestión de inconstitucionalidad y justificó esa decisión en la cláusula de prevalencia del art. 149.3 CE, interpretando la misma de un modo que no es conforme con la doctrina del Tribunal Constitucional, por lo que, al incurrir en exceso de jurisdicción, vulneró el derecho a la tutela judicial efectiva (art. 24.1 CE) y el derecho a un proceso con todas las garantías (art. 24.2 CE).</w:t>
      </w:r>
    </w:p>
    <w:p w:rsidR="00163957" w:rsidRDefault="00163957" w:rsidP="00163957">
      <w:pPr>
        <w:pStyle w:val="TextoNormal"/>
      </w:pPr>
    </w:p>
    <w:p w:rsidR="00163957" w:rsidRDefault="00163957" w:rsidP="00163957">
      <w:pPr>
        <w:pStyle w:val="TextoNormal"/>
      </w:pPr>
      <w:r>
        <w:t>f) Por Auto de 23 de octubre de 2014 se desestimó el incidente de nulidad de actuaciones, remitiéndose el alto Tribunal a lo razonado en su Auto de 15 de julio de 2014 que, de su lado, desestimó el presentado frente a la Sentencia de 27 de febrero de 2014; esto es, la resolución en la que se apoyaba el Auto de 3 de abril de 2014 impugnado a través del indicado remedio procesal.</w:t>
      </w:r>
    </w:p>
    <w:p w:rsidR="00163957" w:rsidRDefault="00163957" w:rsidP="00163957">
      <w:pPr>
        <w:pStyle w:val="TextoNormal"/>
      </w:pPr>
    </w:p>
    <w:p w:rsidR="00163957" w:rsidRDefault="00163957" w:rsidP="00163957">
      <w:pPr>
        <w:pStyle w:val="TextoNormal"/>
      </w:pPr>
      <w:r w:rsidRPr="00163957">
        <w:rPr>
          <w:rStyle w:val="NumeroAFNegritaCaracter"/>
        </w:rPr>
        <w:t>3</w:t>
      </w:r>
      <w:r>
        <w:t>. El Ayuntamiento demandante de amparo denuncia que las resoluciones judiciales mencionadas en el encabezamiento vulneran sus derechos fundamentales a la tutela judicial efectiva sin indefensión y a un proceso con todas las garantías (art. 24.1 y 2 CE). Solicita que se declare su nulidad y se retrotraigan las actuaciones al momento inmediatamente anterior al pronunciamiento del recurso de casación, apelando directamente a la Sala Tercera del Tribunal Supremo para que proceda al acatamiento estricto de la doctrina del Tribunal Constitucional.</w:t>
      </w:r>
    </w:p>
    <w:p w:rsidR="00163957" w:rsidRDefault="00163957" w:rsidP="00163957">
      <w:pPr>
        <w:pStyle w:val="TextoNormal"/>
      </w:pPr>
    </w:p>
    <w:p w:rsidR="00163957" w:rsidRDefault="00163957" w:rsidP="00163957">
      <w:pPr>
        <w:pStyle w:val="TextoNormal"/>
      </w:pPr>
      <w:r>
        <w:t xml:space="preserve">Alega que las resoluciones judiciales dictadas en el proceso soslayan de modo consciente la doctrina constitucional recogida, entre otras muchas, en las SSTC 73/2000, 104/2000, 120/2000, 173/2002, 66/2011, 187/2012 o 177/2013, lo que supone una quiebra del mandato </w:t>
      </w:r>
      <w:r>
        <w:lastRenderedPageBreak/>
        <w:t>recogido en el art. 5.1 LOPJ y la vulneración del derecho a la tutela judicial efectiva (art. 24.1 CE). Desde otro prisma, considera que se ha producido una lesión del derecho a la tutela judicial efectiva y a un proceso con todas las garantías (art. 24.1 y 2), al haber incurrido las resoluciones judiciales en exceso de jurisdicción, por inaplicación de las leyes autonómicas vigentes en materia de urbanismo sin el previo planteamiento de una cuestión de inconstitucionalidad, olvidando que en supuestos idénticos (entre otras, SSTC 187/2012 y 177/2013) se ha afirmado que “la depuración del ordenamiento legal, vigente en la Constitución, corresponde de forma exclusiva al Tribunal Constitucional”.</w:t>
      </w:r>
    </w:p>
    <w:p w:rsidR="00163957" w:rsidRDefault="00163957" w:rsidP="00163957">
      <w:pPr>
        <w:pStyle w:val="TextoNormal"/>
      </w:pPr>
    </w:p>
    <w:p w:rsidR="00163957" w:rsidRDefault="00163957" w:rsidP="00163957">
      <w:pPr>
        <w:pStyle w:val="TextoNormal"/>
      </w:pPr>
      <w:r w:rsidRPr="00163957">
        <w:rPr>
          <w:rStyle w:val="NumeroAFNegritaCaracter"/>
        </w:rPr>
        <w:t>4</w:t>
      </w:r>
      <w:r>
        <w:t>. En virtud de providencia de la Sala Segunda, de 5 de octubre de 2015, se acordó la admisión a trámite del recurso de amparo, “apreciando que concurre en el mismo una especial trascendencia constitucional (art. 50.1 de la Ley Orgánica del Tribunal Constitucional: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 y se acordó dirigir atenta comunicación a la Sala de lo Contencioso-Administrativo del Tribunal Supremo, Sección Primera, y a la Sección Primera de la Sala de lo Contencioso-Administrativo del Tribunal Superior de Justicia de Castilla-La Mancha para que, en el plazo de diez días, remitieran certificación o fotocopia adverada de las actuaciones correspondientes al recurso de casación núm. 4897-2011 y al recurso núm. 555-2007, seguidos respectivamente ante los mismos, así como para que se practicaran los emplazamientos correspondientes. También se acordó en la misma providencia formar la correspondiente pieza separada de suspensión, que tras la correspondiente tramitación fue resuelta por Auto de esta Sala de 14 de diciembre de 2015.</w:t>
      </w:r>
    </w:p>
    <w:p w:rsidR="00163957" w:rsidRDefault="00163957" w:rsidP="00163957">
      <w:pPr>
        <w:pStyle w:val="TextoNormal"/>
      </w:pPr>
    </w:p>
    <w:p w:rsidR="00163957" w:rsidRDefault="00163957" w:rsidP="00163957">
      <w:pPr>
        <w:pStyle w:val="TextoNormal"/>
      </w:pPr>
      <w:r w:rsidRPr="00163957">
        <w:rPr>
          <w:rStyle w:val="NumeroAFNegritaCaracter"/>
        </w:rPr>
        <w:t>5</w:t>
      </w:r>
      <w:r>
        <w:t>. Mediante escrito registrado en este Tribunal el día 22 de octubre de 2015, el Procurador de los Tribunales don Francisco Velasco Muñoz-Cuéllar compareció en representación de la Junta de Comunidades de Castilla-La Mancha, solicitando se le tuviera por personado.</w:t>
      </w:r>
    </w:p>
    <w:p w:rsidR="00163957" w:rsidRDefault="00163957" w:rsidP="00163957">
      <w:pPr>
        <w:pStyle w:val="TextoNormal"/>
      </w:pPr>
    </w:p>
    <w:p w:rsidR="00163957" w:rsidRDefault="00163957" w:rsidP="00163957">
      <w:pPr>
        <w:pStyle w:val="TextoNormal"/>
      </w:pPr>
      <w:r w:rsidRPr="00163957">
        <w:rPr>
          <w:rStyle w:val="NumeroAFNegritaCaracter"/>
        </w:rPr>
        <w:t>6</w:t>
      </w:r>
      <w:r>
        <w:t>. Por diligencia de ordenación de la Secretaría de Justicia de la Sala Segunda de este Tribunal, de 28 de diciembre de 2015, se tuvo por personado al Procurador citado, en la representación que ostenta, y por recibidos los testimonios de las actuaciones, acordándose abrir el plazo común de 20 días al Ministerio Fiscal y a las partes personadas, de conformidad con el art. 52.1 LOTC, para que pudieran presentar las alegaciones que a su derecho conviniere.</w:t>
      </w:r>
    </w:p>
    <w:p w:rsidR="00163957" w:rsidRDefault="00163957" w:rsidP="00163957">
      <w:pPr>
        <w:pStyle w:val="TextoNormal"/>
      </w:pPr>
    </w:p>
    <w:p w:rsidR="00163957" w:rsidRDefault="00163957" w:rsidP="00163957">
      <w:pPr>
        <w:pStyle w:val="TextoNormal"/>
      </w:pPr>
      <w:r w:rsidRPr="00163957">
        <w:rPr>
          <w:rStyle w:val="NumeroAFNegritaCaracter"/>
        </w:rPr>
        <w:t>7</w:t>
      </w:r>
      <w:r>
        <w:t>. Mediante escrito registrado el 12 de enero de 2016 formuló alegaciones la Junta de Comunidades de Castilla-La Mancha, haciendo suyas las efectuadas por el Ayuntamiento de Toledo en su escrito de interposición del recurso de amparo e interesando su otorgamiento.</w:t>
      </w:r>
    </w:p>
    <w:p w:rsidR="00163957" w:rsidRDefault="00163957" w:rsidP="00163957">
      <w:pPr>
        <w:pStyle w:val="TextoNormal"/>
      </w:pPr>
    </w:p>
    <w:p w:rsidR="00163957" w:rsidRDefault="00163957" w:rsidP="00163957">
      <w:pPr>
        <w:pStyle w:val="TextoNormal"/>
      </w:pPr>
      <w:r w:rsidRPr="00163957">
        <w:rPr>
          <w:rStyle w:val="NumeroAFNegritaCaracter"/>
        </w:rPr>
        <w:t>8</w:t>
      </w:r>
      <w:r>
        <w:t xml:space="preserve">. El Ministerio Fiscal evacuó el trámite por escrito presentado el 26 de enero de 2016, interesando que se otorgara el amparo solicitado. Estima que resulta “incuestionable y necesaria la aplicación de lo establecido en la STC 195/2015 al presente recurso de amparo, en cuanto que el ATS de 3 de abril de 2014, impugnado en este recurso de amparo, utiliza la anulada Sentencia del Tribunal Supremo de 27 de febrero de 2014 como soporte argumental y determinante de su contenido y parte dispositiva”. Consiguientemente, en atención </w:t>
      </w:r>
      <w:r>
        <w:lastRenderedPageBreak/>
        <w:t>a la doctrina de la citada STC 195/2015, resulta a su juicio que las resoluciones impugnadas han vulnerado el derecho a la tutela judicial efectiva y a un proceso con todas las garantías (art. 24.1 y 2 CE).</w:t>
      </w:r>
    </w:p>
    <w:p w:rsidR="00163957" w:rsidRDefault="00163957" w:rsidP="00163957">
      <w:pPr>
        <w:pStyle w:val="TextoNormal"/>
      </w:pPr>
    </w:p>
    <w:p w:rsidR="00163957" w:rsidRDefault="00163957" w:rsidP="00163957">
      <w:pPr>
        <w:pStyle w:val="TextoNormal"/>
      </w:pPr>
      <w:r w:rsidRPr="00163957">
        <w:rPr>
          <w:rStyle w:val="NumeroAFNegritaCaracter"/>
        </w:rPr>
        <w:t>9</w:t>
      </w:r>
      <w:r>
        <w:t>. Por escrito registrado el 2 de febrero de 2016 formuló alegaciones el Ayuntamiento de Toledo, interesando el otorgamiento del amparo por la absoluta identidad con el recurso resuelto mediante la STC 195/2015, de 21 de septiembre, que otorgó el amparo al citado Ayuntamiento.</w:t>
      </w:r>
    </w:p>
    <w:p w:rsidR="00163957" w:rsidRDefault="00163957" w:rsidP="00163957">
      <w:pPr>
        <w:pStyle w:val="TextoNormal"/>
      </w:pPr>
    </w:p>
    <w:p w:rsidR="00163957" w:rsidRDefault="00163957" w:rsidP="00163957">
      <w:pPr>
        <w:pStyle w:val="TextoNormal"/>
      </w:pPr>
      <w:r w:rsidRPr="00163957">
        <w:rPr>
          <w:rStyle w:val="NumeroAFNegritaCaracter"/>
        </w:rPr>
        <w:t>10</w:t>
      </w:r>
      <w:r>
        <w:t>. Por providencia de 16 de junio de 2016 se señaló para la deliberación y votación de la presente Sentencia el día 20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recurso de amparo tiene por objeto enjuiciar si las resoluciones en él impugnadas lesionaron los derechos fundamentales del recurrente a la tutela judicial efectiva sin indefensión (art. 24.1 CE) y a un proceso con todas las garantías (art. 24.2 CE), por incurrir los órganos judiciales en exceso de jurisdicción al rechazar, sin elevar previamente cuestión de inconstitucionalidad ante este Tribunal, la aplicación del art. 36.2 a) párrafo segundo del texto refundido de la Ley de Castilla-La Mancha de ordenación del territorio y de la actividad urbanística.</w:t>
      </w:r>
    </w:p>
    <w:p w:rsidR="00163957" w:rsidRDefault="00163957" w:rsidP="00163957">
      <w:pPr>
        <w:pStyle w:val="TextoNormal"/>
      </w:pPr>
    </w:p>
    <w:p w:rsidR="00163957" w:rsidRDefault="00163957" w:rsidP="00163957">
      <w:pPr>
        <w:pStyle w:val="TextoNormal"/>
      </w:pPr>
      <w:r w:rsidRPr="00163957">
        <w:rPr>
          <w:rStyle w:val="NumeroAFNegritaCaracter"/>
        </w:rPr>
        <w:t>2</w:t>
      </w:r>
      <w:r>
        <w:t>. Aun cuando la demanda de amparo emplea una argumentación común contra todas las resoluciones impugnadas, debe hacerse una distinción entre ellas. El Auto de fecha 3 de abril de 2014, dictado por la Sección Primera de la Sala de lo Contencioso-Administrativo del Tribunal Supremo, si bien puso fin a los recursos de casación interpuestos por la corporación recurrente y por la Junta de Comunidades de Castilla-La Mancha contra la Sentencia de instancia, no los resolvió entrando en el estudio de los motivos de fondo, toda vez que la citada Sección del Alto Tribunal constató que el objeto de dichos recursos “se desarrolla en términos sustancialmente coincidentes” con el resuelto por la Sección Quinta de la misma Sala en la Sentencia de 27 de febrero de 2014 (recurso núm. 5116-2011), la cual devino firme y había declarado la nulidad del mencionado plan de ordenación municipal de Toledo.</w:t>
      </w:r>
    </w:p>
    <w:p w:rsidR="00163957" w:rsidRDefault="00163957" w:rsidP="00163957">
      <w:pPr>
        <w:pStyle w:val="TextoNormal"/>
      </w:pPr>
    </w:p>
    <w:p w:rsidR="00163957" w:rsidRDefault="00163957" w:rsidP="00163957">
      <w:pPr>
        <w:pStyle w:val="TextoNormal"/>
      </w:pPr>
      <w:r>
        <w:t xml:space="preserve">Teniendo esto en cuenta y, como expresamente se indica en el propio Auto de 3 de abril de 2014, la Sala quedaba constreñida en su actuar por lo dispuesto en el art. 72.2 de la Ley reguladora de la jurisdicción contencioso-administrativa (LJCA), donde se establece que “las sentencias firmes que anulen una disposición general tendrán efectos generales desde el día en que sea publicado su fallo y preceptos anulados en el mismo periódico oficial en que lo hubiera sido la disposición anulada…”. Por tanto, aunque hubiera querido cambiar su anterior criterio, expuesto en la Sentencia de 27 de febrero de 2014, la Sala de lo Contencioso-Administrativo del Tribunal Supremo no podía haberlo hecho en este recurso (núm. 225-2012), de idéntico objeto al tratado en aquélla y relativos al mismo plan de ordenación ya declarado nulo por sentencia firme, salvo incurriendo en abierta conculcación de una norma legal que, como la indicada (art. 72.2 LJCA), se erige también en límite al ejercicio de su propia jurisdicción. La solución adoptada resultó ser razonable (art. 24.1 CE) al </w:t>
      </w:r>
      <w:r>
        <w:lastRenderedPageBreak/>
        <w:t>optar por el dictado de un Auto de pérdida sobrevenida de objeto, para así explicar de manera motivada el porqué del archivo del recurso. En esta misma óptica, el posterior Auto de 13 de noviembre de 2014 hizo suyas las razones expuestas por la propia Sala en otro Auto que rechazó un incidente de nulidad similar, concretamente el promovido contra la citada Sentencia de 27 de febrero de 2014.</w:t>
      </w:r>
    </w:p>
    <w:p w:rsidR="00163957" w:rsidRDefault="00163957" w:rsidP="00163957">
      <w:pPr>
        <w:pStyle w:val="TextoNormal"/>
      </w:pPr>
    </w:p>
    <w:p w:rsidR="00163957" w:rsidRDefault="00163957" w:rsidP="00163957">
      <w:pPr>
        <w:pStyle w:val="TextoNormal"/>
      </w:pPr>
      <w:r w:rsidRPr="00163957">
        <w:rPr>
          <w:rStyle w:val="NumeroAFNegritaCaracter"/>
        </w:rPr>
        <w:t>3</w:t>
      </w:r>
      <w:r>
        <w:t>. Como ha quedado expuesto en los antecedentes, tanto el demandante de amparo como el Ministerio Fiscal consideran que, tras el dictado de la STC 195/2015, de 21 de septiembre, no cabe sino trasladar lo allí establecido al presente caso y otorgar el amparo, dada la identidad de objeto de ambos recursos.</w:t>
      </w:r>
    </w:p>
    <w:p w:rsidR="00163957" w:rsidRDefault="00163957" w:rsidP="00163957">
      <w:pPr>
        <w:pStyle w:val="TextoNormal"/>
      </w:pPr>
    </w:p>
    <w:p w:rsidR="00163957" w:rsidRDefault="00163957" w:rsidP="00163957">
      <w:pPr>
        <w:pStyle w:val="TextoNormal"/>
      </w:pPr>
      <w:r>
        <w:t>Dicha apreciación es compartida por este Tribunal que por ello considera que, en aplicación de la fundamentación esgrimida en la citada Sentencia, las resoluciones impugnadas en el presente caso han vulnerado el derecho a la tutela judicial efectiva (art. 24.1 CE) y el derecho a un proceso con todas las garantías (art. 24.2 CE), al proceder los órganos judiciales a la inaplicación de la norma autonómica por considerarla contraria a la ley básica estatal sin plantear previamente una cuestión de inconstitucionalidad, conforme a lo dispuesto en el art. 163 CE y la jurisprudencia de este Tribunal. Debemos rechazar, sin embargo, como así consideramos en dicha resolución, que exista una voluntad manifiesta de no aplicar la doctrina constitucional o una decisión consciente de soslayarla y ello con independencia del acierto de la decisión adoptada que en nada afectaría al mandato contenido en el art. 5.1 de la Ley Orgánica del Poder Judicial al que alude el recurrente.</w:t>
      </w:r>
    </w:p>
    <w:p w:rsidR="00163957" w:rsidRDefault="00163957" w:rsidP="00163957">
      <w:pPr>
        <w:pStyle w:val="TextoNormal"/>
      </w:pPr>
    </w:p>
    <w:p w:rsidR="00163957" w:rsidRDefault="00163957" w:rsidP="00163957">
      <w:pPr>
        <w:pStyle w:val="TextoNormal"/>
      </w:pPr>
      <w:r w:rsidRPr="00163957">
        <w:rPr>
          <w:rStyle w:val="NumeroAFNegritaCaracter"/>
        </w:rPr>
        <w:t>4</w:t>
      </w:r>
      <w:r>
        <w:t>. El otorgamiento del amparo al demandante por vulneración del derecho a la tutela judicial efectiva (art. 24.1 CE) y a un proceso con todas las garantías (art. 24.2 CE) debe comportar (art. 55.1 LOTC) el reconocimiento de los derechos fundamentales vulnerados. Asimismo, procede declarar la nulidad de las resoluciones judiciales impugnadas, con retroacción de actuaciones al momento inmediatamente anterior a dictarse la Sentencia de la Sección Primera de la Sala de lo Contencioso-Administrativo del Tribunal Superior de Justicia de Castilla-La Mancha, como solicita el Ministerio Fiscal, a los efectos de que por dicho Tribunal se dicte otra resolución que resulte respetuosa con los derechos fundamentales reconocidos.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Otorgar el amparo solicitado por el Ayuntamiento de Toledo y, en su virtud:</w:t>
      </w:r>
    </w:p>
    <w:p w:rsidR="00163957" w:rsidRDefault="00163957" w:rsidP="00163957">
      <w:pPr>
        <w:pStyle w:val="TextoNormal"/>
      </w:pPr>
    </w:p>
    <w:p w:rsidR="00163957" w:rsidRDefault="00163957" w:rsidP="00163957">
      <w:pPr>
        <w:pStyle w:val="TextoNormal"/>
      </w:pPr>
      <w:r>
        <w:t>1º Reconocer los derechos del recurrente a la tutela judicial efectiva (art. 24.1 CE) y a un proceso con todas las garantías (art. 24.2 CE).</w:t>
      </w:r>
    </w:p>
    <w:p w:rsidR="00163957" w:rsidRDefault="00163957" w:rsidP="00163957">
      <w:pPr>
        <w:pStyle w:val="TextoNormal"/>
      </w:pPr>
    </w:p>
    <w:p w:rsidR="00163957" w:rsidRDefault="00163957" w:rsidP="00163957">
      <w:pPr>
        <w:pStyle w:val="TextoNormal"/>
      </w:pPr>
      <w:r>
        <w:t xml:space="preserve">2º Declarar la nulidad de la Sentencia de la Sección Primera de la Sala de lo Contencioso-Administrativo del Tribunal Superior de Justicia de Castilla-La Mancha, de 19 de julio de </w:t>
      </w:r>
      <w:r>
        <w:lastRenderedPageBreak/>
        <w:t>2011, recurso contencioso-administrativo núm. 555-2007, así como de los Autos de 23 de octubre y 3 de abril, ambos de 2014, dictados en el recurso de casación núm. 4897-2011 por la Sección Primera de la Sala de lo Contencioso-Administrativo del Tribunal Supremo.</w:t>
      </w:r>
    </w:p>
    <w:p w:rsidR="00163957" w:rsidRDefault="00163957" w:rsidP="00163957">
      <w:pPr>
        <w:pStyle w:val="TextoNormal"/>
      </w:pPr>
    </w:p>
    <w:p w:rsidR="00163957" w:rsidRDefault="00163957" w:rsidP="00163957">
      <w:pPr>
        <w:pStyle w:val="TextoNormal"/>
      </w:pPr>
      <w:r>
        <w:t>3º Retrotraer las actuaciones al momento inmediatamente anterior al señalamiento para votación y fallo del recurso núm. 555-2007, para que el Tribunal Superior de Justicia de Castilla-La Mancha dicte nueva Sentencia respetuosa con los derechos fundamentales vulnerados.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veinte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18" w:name="SENTENCIA_2016_115"/>
      <w:r>
        <w:lastRenderedPageBreak/>
        <w:t>SENTENCIA 115/2016, de 20 de junio de 2016</w:t>
      </w:r>
    </w:p>
    <w:bookmarkEnd w:id="118"/>
    <w:p w:rsidR="00163957" w:rsidRDefault="00163957" w:rsidP="00163957">
      <w:pPr>
        <w:pStyle w:val="TtuloResolucin"/>
      </w:pPr>
      <w:r>
        <w:t>Sala Segunda</w:t>
      </w:r>
    </w:p>
    <w:p w:rsidR="00163957" w:rsidRDefault="00163957" w:rsidP="00163957">
      <w:pPr>
        <w:pStyle w:val="TtuloBOE"/>
      </w:pPr>
      <w:r>
        <w:t>(BOE núm. 181, de 28 de julio de 2016)</w:t>
      </w:r>
    </w:p>
    <w:p w:rsidR="00163957" w:rsidRDefault="00163957" w:rsidP="00163957">
      <w:pPr>
        <w:pStyle w:val="TextoNormalCentrado"/>
      </w:pPr>
      <w:r>
        <w:t>ECLI:ES:TC:2016:115</w:t>
      </w:r>
    </w:p>
    <w:p w:rsidR="00163957" w:rsidRDefault="00163957" w:rsidP="00163957">
      <w:pPr>
        <w:pStyle w:val="TextoNormalCentrado"/>
      </w:pPr>
    </w:p>
    <w:p w:rsidR="00163957" w:rsidRDefault="00163957" w:rsidP="00163957">
      <w:pPr>
        <w:pStyle w:val="SntesisDescriptiva"/>
      </w:pPr>
      <w:r>
        <w:t>Recurso de amparo 582-2015. Promovido por el Ayuntamiento de Toledo respecto de las resoluciones dictadas por las Salas de lo Contencioso-Administrativo del Tribunal Superior de Justicia de Castilla-La Mancha y del Tribunal Supremo, en proceso de impugnación de la orden de la Consejería de Vivienda y Urbanismo, de aprobación definitiva del plan de ordenación municipal de Toledo.</w:t>
      </w:r>
    </w:p>
    <w:p w:rsidR="00163957" w:rsidRDefault="00163957" w:rsidP="00163957">
      <w:pPr>
        <w:pStyle w:val="SntesisDescriptiva"/>
      </w:pPr>
    </w:p>
    <w:p w:rsidR="00163957" w:rsidRDefault="00163957" w:rsidP="00163957">
      <w:pPr>
        <w:pStyle w:val="SntesisAnaltica"/>
      </w:pPr>
      <w:r>
        <w:t>Vulneración de los derechos a la tutela judicial efectiva y a un proceso con todas las garantías: sentencia no fundada en Derecho porque inaplica una ley autonómica vigente sin plantear cuestión de inconstitucionalidad (STC 195/2015).</w:t>
      </w:r>
    </w:p>
    <w:p w:rsidR="00163957" w:rsidRDefault="00163957" w:rsidP="00163957">
      <w:pPr>
        <w:pStyle w:val="SntesisAnaltica"/>
      </w:pPr>
    </w:p>
    <w:p w:rsidR="00163957" w:rsidRDefault="00163957" w:rsidP="00163957">
      <w:pPr>
        <w:pStyle w:val="Extracto"/>
      </w:pPr>
      <w:r>
        <w:t>1.</w:t>
      </w:r>
      <w:r>
        <w:tab/>
        <w:t>Asunto sustancialmente idéntico al resuelto por la STC 195/2015 [FFJJ 1 a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Dal-Re, don Juan José González Rivas, don Pedro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el recurso de amparo núm. 582-2015 promovido por el Ayuntamiento de Toledo, representado por el Procurador de los Tribunales don Alberto Collado Martín y bajo la dirección del Letrado don Santiago Muñoz Machado, que ha sido interpuesto contra las siguientes resoluciones: i) el Auto de la Sección Primera de la Sala de lo Contencioso-Administrativo del Tribunal Supremo, de fecha 13 de noviembre de 2014, en cuya virtud se desestimó el incidente de nulidad de actuaciones interpuesto contra el Auto que puso fin al recurso de casación núm. 225-2012; ii) el Auto de 3 de abril de 2014, que declaró la pérdida sobrevenida de objeto del recurso de casación núm. 225-2012 de la indicada Sala y Sección; y iii) la Sentencia de 5 de diciembre de 2011, dictada por la Sección Primera de la Sala de lo Contencioso-Administrativo del Tribunal Superior de Justicia de Castilla-La Mancha, que estima el recurso contencioso-administrativo núm. 522-2007, formulado contra la Orden de 26 de marzo de 2007 de la Consejería de Vivienda y Urbanismo que aprueba definitivamente el plan de ordenación municipal de Toledo. Han intervenido el Ministerio Fiscal, la Junta de Comunidades de Castilla-La Mancha, representada por el Procurador de los Tribunales don Francisco Velasco Muñoz-Cuellar y asistida por el Letrado de don Ángel Querada Tapia, y la Asociación Castellano-Manchega de Defensa del Patrimonio Natural (ACMADEN), representada por el Procurador de los Tribunales don Carlos Plasencia Baltés y </w:t>
      </w:r>
      <w:r>
        <w:lastRenderedPageBreak/>
        <w:t>asistida por el Letrado don Felipe Alonso Prieto. Ha sido Ponente el Magistrado don Pedro González-Trevijano Sánchez,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en el Registro General de este Tribunal el 30 de enero de 2015, el Procurador de los Tribunales don Alberto Collado Martín, quien actúa en representación del Ayuntamiento de Toledo y bajo la dirección del Letrado don Santiago Muñoz Machado, interpuso recurso de amparo contra las resoluciones citadas en el encabezamiento de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La demanda de amparo trae causa, en síntesis, de los siguientes hechos:</w:t>
      </w:r>
    </w:p>
    <w:p w:rsidR="00163957" w:rsidRDefault="00163957" w:rsidP="00163957">
      <w:pPr>
        <w:pStyle w:val="TextoNormal"/>
      </w:pPr>
    </w:p>
    <w:p w:rsidR="00163957" w:rsidRDefault="00163957" w:rsidP="00163957">
      <w:pPr>
        <w:pStyle w:val="TextoNormal"/>
      </w:pPr>
      <w:r>
        <w:t>a) La Sección Primera de la Sala de lo Contencioso-Administrativo del Tribunal Superior de Justicia de Castilla-La Mancha dictó Sentencia, en fecha 5 de diciembre del 2011, que fue estimatoria del recurso contencioso-administrativo núm. 522-2007, promovido por la Asociación Castellano-Manchega de Defensa del Patrimonio Natural contra la Orden de fecha 26 de marzo de 2007, de la Consejería de Vivienda y Urbanismo de la Junta de Comunidades de Castilla-La Mancha, por la que se aprobó definitivamente el plan de ordenación municipal de Toledo, el cual se declara contrario a derecho y se anula.</w:t>
      </w:r>
    </w:p>
    <w:p w:rsidR="00163957" w:rsidRDefault="00163957" w:rsidP="00163957">
      <w:pPr>
        <w:pStyle w:val="TextoNormal"/>
      </w:pPr>
    </w:p>
    <w:p w:rsidR="00163957" w:rsidRDefault="00163957" w:rsidP="00163957">
      <w:pPr>
        <w:pStyle w:val="TextoNormal"/>
      </w:pPr>
      <w:r>
        <w:t>En lo que concierne al presente recurso de amparo, la Sala de instancia aprecia que el plan de ordenación indicado debió ser sometido a un segundo trámite de información pública, conforme a lo establecido el art. 6.1 de la Ley 6/1998, de 13 de abril, sobre el régimen del suelo y valoraciones, dadas las sustanciales alteraciones introducidas en su texto, tras las alegaciones recibidas en el único trámite de información pública abierto al efecto.</w:t>
      </w:r>
    </w:p>
    <w:p w:rsidR="00163957" w:rsidRDefault="00163957" w:rsidP="00163957">
      <w:pPr>
        <w:pStyle w:val="TextoNormal"/>
      </w:pPr>
    </w:p>
    <w:p w:rsidR="00163957" w:rsidRDefault="00163957" w:rsidP="00163957">
      <w:pPr>
        <w:pStyle w:val="TextoNormal"/>
      </w:pPr>
      <w:r>
        <w:t>El Tribunal de instancia reproduce parte de la fundamentación jurídica de su Sentencia núm. 450/2011, de 18 de julio, recaída en el procedimiento ordinario núm. 516-2007, en la cual considera que, conforme a la doctrina asentada por la Sala Tercera del Tribunal Supremo, especialmente por la Sentencia del Tribunal Supremo de 9 de diciembre de 2008 (recurso 7459-2004), ese nuevo trámite de información debe llevarse a cabo pese a lo dispuesto el art. 36.2 a), párrafo segundo, del texto refundido de la Ley de ordenación del territorio y de la actividad urbanística de Castilla-La Mancha, aprobado por Decreto Legislativo 1/2004, de 28 de diciembre, precepto este que dispensa de abrir un nuevo trámite de información ante la referida circunstancia. Para el órgano judicial, el precepto último citado no garantiza la participación pública en el proceso de planeamiento, por oponerse a lo previsto por la norma básica del Estado en la materia, concretamente el art. 6.1 de la Ley 6/1998, de 13 de abril, sobre el régimen del suelo y valoraciones, todos ellos entonces vigentes. Por ello, el Tribunal de instancia consideró improcedente la aplicación de la norma autonómica indicada, y sí, por el contrario, el referido precepto estatal.</w:t>
      </w:r>
    </w:p>
    <w:p w:rsidR="00163957" w:rsidRDefault="00163957" w:rsidP="00163957">
      <w:pPr>
        <w:pStyle w:val="TextoNormal"/>
      </w:pPr>
    </w:p>
    <w:p w:rsidR="00163957" w:rsidRDefault="00163957" w:rsidP="00163957">
      <w:pPr>
        <w:pStyle w:val="TextoNormal"/>
      </w:pPr>
      <w:r>
        <w:t xml:space="preserve">b) Contra la referida Sentencia el Ayuntamiento de Toledo interpuso recurso de casación, que quedó registrado bajo el número 225-2012. En síntesis, el recurso se fundó en el exceso de jurisdicción que se atribuyó a la Sala </w:t>
      </w:r>
      <w:r w:rsidRPr="00163957">
        <w:rPr>
          <w:i/>
        </w:rPr>
        <w:t>a quo</w:t>
      </w:r>
      <w:r>
        <w:t>; y ello porque, a juicio del recurrente, el órgano judicial está obligado a aplicar el art. 36.2 a) del Decreto Legislativo 1/2004 ya ci</w:t>
      </w:r>
      <w:r>
        <w:lastRenderedPageBreak/>
        <w:t>tado, excepto que, previamente, plantee cuestión de inconstitucionalidad conforme a lo dispuesto en los arts. 163 CE y 35.1 de la Ley Orgánica del Tribunal Constitucional (LOTC) y el art. 5.2 de la Ley Orgánica del Poder Judicial (LOPJ). En apoyo del motivo cita, entre otras, las SSTC 61/1993, 163/1995, 173/2002, 58/2004 y 66/2011.</w:t>
      </w:r>
    </w:p>
    <w:p w:rsidR="00163957" w:rsidRDefault="00163957" w:rsidP="00163957">
      <w:pPr>
        <w:pStyle w:val="TextoNormal"/>
      </w:pPr>
    </w:p>
    <w:p w:rsidR="00163957" w:rsidRDefault="00163957" w:rsidP="00163957">
      <w:pPr>
        <w:pStyle w:val="TextoNormal"/>
      </w:pPr>
      <w:r>
        <w:t>c) La Sección Primera de la Sala de lo Contencioso-Administrativo del Tribunal Supremo dictó Auto, de fecha 3 de abril de 2014, por el que acuerda: “declarar la pérdida sobrevenida de objeto de los recursos de casación interpuestos en el rollo 225-2012 por la Junta de Comunidades de Castilla-La Mancha y por el Ayuntamiento de Toledo”. El referido órgano judicial considera que, al desarrollarse la impugnación casacional en términos sustancialmente coincidentes con los examinados en el recurso de casación núm. 5116-2011, desestimado por Sentencia de 27 de febrero de 2014 que confirmó la Sentencia dictada por la misma Sala de instancia en fecha de 26 de julio de 2011 (recurso núm. 556-2007), en cuya virtud fue declarada la nulidad de la misma disposición impugnada, esto es, la Orden de 26 de marzo de 2007 de la Consejería de Vivienda y Urbanismo por la que se aprueba definitivamente el plan de ordenación municipal de Toledo, carece de sentido, aunque sea por la vía de enjuiciar el contenido de la Sentencia recurrida, pronunciarse sobre si es ajustada o no a derecho una disposición de carácter general, como lo es un plan de ordenación, que ya ha sido declarada nula por Sentencia firme y que, por tanto, ha sido expulsada del ordenamiento jurídico.</w:t>
      </w:r>
    </w:p>
    <w:p w:rsidR="00163957" w:rsidRDefault="00163957" w:rsidP="00163957">
      <w:pPr>
        <w:pStyle w:val="TextoNormal"/>
      </w:pPr>
    </w:p>
    <w:p w:rsidR="00163957" w:rsidRDefault="00163957" w:rsidP="00163957">
      <w:pPr>
        <w:pStyle w:val="TextoNormal"/>
      </w:pPr>
      <w:r>
        <w:t>d) En fecha 5 de junio de 2014, el Ayuntamiento de Toledo formuló incidente de nulidad de actuaciones ante la misma Sección Primera de la Sala de lo Contencioso-Administrativo del Tribunal Supremo. Alegó que, “al declarar la pérdida sobrevenida de objeto del recurso de casación, el Auto que impugnamos traslada al recurso de casación a que se refiere la totalidad de los argumentos y efectos jurídicos de la Sentencia de 27 de febrero de 2014”. Por ello, también transmite al incidente de nulidad la totalidad de los argumentos utilizados en el incidente formulado contra la última Sentencia citada, esto es, la vulneración de sus derechos fundamentales a la tutela judicial efectiva sin indefensión y a un proceso con todas las garantías (art. 24.1 y 2 CE).</w:t>
      </w:r>
    </w:p>
    <w:p w:rsidR="00163957" w:rsidRDefault="00163957" w:rsidP="00163957">
      <w:pPr>
        <w:pStyle w:val="TextoNormal"/>
      </w:pPr>
    </w:p>
    <w:p w:rsidR="00163957" w:rsidRDefault="00163957" w:rsidP="00163957">
      <w:pPr>
        <w:pStyle w:val="TextoNormal"/>
      </w:pPr>
      <w:r>
        <w:t>e) Por Auto de 13 de noviembre del 2014 se desestimó el incidente de nulidad de actuaciones. Dicha resolución se remite a lo dispuesto en el Auto de 15 de julio de 2014, el cual, a su vez desestimó el incidente de nulidad presentado frente a la Sentencia de 27 de febrero de 2014.</w:t>
      </w:r>
    </w:p>
    <w:p w:rsidR="00163957" w:rsidRDefault="00163957" w:rsidP="00163957">
      <w:pPr>
        <w:pStyle w:val="TextoNormal"/>
      </w:pPr>
    </w:p>
    <w:p w:rsidR="00163957" w:rsidRDefault="00163957" w:rsidP="00163957">
      <w:pPr>
        <w:pStyle w:val="TextoNormal"/>
      </w:pPr>
      <w:r w:rsidRPr="00163957">
        <w:rPr>
          <w:rStyle w:val="NumeroAFNegritaCaracter"/>
        </w:rPr>
        <w:t>3</w:t>
      </w:r>
      <w:r>
        <w:t>. El Ayuntamiento demandante afirma que las resoluciones judiciales mencionadas en el encabezamiento vulneran sus derechos fundamentales a la tutela judicial efectiva sin indefensión (art. 24.1 CE) y a un proceso con todas las garantías (art. 24.2 CE). Alega que las resoluciones judiciales se apartan conscientemente de la doctrina constitucional recogida, entre otras muchas, en las SSTC 73/2000, 104/2000, 120/2000, 173/2002, 66/2011, 187/2012 y 177/2013. Ello supone una quiebra del mandato recogido en el art. 5.1 LOPJ, de la que deriva la vulneración del derecho a la tutela judicial efectiva sin indefensión (art. 24.1 CE).</w:t>
      </w:r>
    </w:p>
    <w:p w:rsidR="00163957" w:rsidRDefault="00163957" w:rsidP="00163957">
      <w:pPr>
        <w:pStyle w:val="TextoNormal"/>
      </w:pPr>
    </w:p>
    <w:p w:rsidR="00163957" w:rsidRDefault="00163957" w:rsidP="00163957">
      <w:pPr>
        <w:pStyle w:val="TextoNormal"/>
      </w:pPr>
      <w:r>
        <w:t xml:space="preserve">Por otra parte, considera que se ha producido una vulneración del derecho a la tutela judicial efectiva y a un proceso con todas las garantías (art. 24.1 y 2 CE), al haber incurrido </w:t>
      </w:r>
      <w:r>
        <w:lastRenderedPageBreak/>
        <w:t>las resoluciones judiciales en un exceso de jurisdicción por inaplicar la normativa autonómica entonces vigente en materia de urbanismo, sin que, previamente, se hubiera planteado cuestión de inconstitucionalidad. Ello contraviene la doctrina estatuida por el Tribunal Constitucional que, en supuestos muy similares, (entre otras, SSTC 187/2012 y 177/2013) ha afirmado que “la depuración del ordenamiento legal, vigente en la Constitución, corresponde de forma exclusiva al Tribunal Constitucional”.</w:t>
      </w:r>
    </w:p>
    <w:p w:rsidR="00163957" w:rsidRDefault="00163957" w:rsidP="00163957">
      <w:pPr>
        <w:pStyle w:val="TextoNormal"/>
      </w:pPr>
    </w:p>
    <w:p w:rsidR="00163957" w:rsidRDefault="00163957" w:rsidP="00163957">
      <w:pPr>
        <w:pStyle w:val="TextoNormal"/>
      </w:pPr>
      <w:r>
        <w:t>Por todo ello, interesa que se declare la nulidad de las resoluciones judiciales impugnadas y se retrotraigan las actuaciones al momento inmediatamente anterior al pronunciamiento del recurso de casación, a fin de que la Sala Tercera del Tribunal Supremo dicte Sentencia que sea respetuosa con la referida doctrina constitucional y los derechos fundamentales vulnerados.</w:t>
      </w:r>
    </w:p>
    <w:p w:rsidR="00163957" w:rsidRDefault="00163957" w:rsidP="00163957">
      <w:pPr>
        <w:pStyle w:val="TextoNormal"/>
      </w:pPr>
    </w:p>
    <w:p w:rsidR="00163957" w:rsidRDefault="00163957" w:rsidP="00163957">
      <w:pPr>
        <w:pStyle w:val="TextoNormal"/>
      </w:pPr>
      <w:r w:rsidRPr="00163957">
        <w:rPr>
          <w:rStyle w:val="NumeroAFNegritaCaracter"/>
        </w:rPr>
        <w:t>4</w:t>
      </w:r>
      <w:r>
        <w:t>. En virtud de providencia de la Sección Tercera de este Tribunal, de fecha 6 de octubre de 2015, se acordó la admisión a trámite de la demanda de amparo, “apreciando que concurre en el mismo la especial trascendencia constitucional (art. 50.1 LOTC) como consecuencia de que la doctrina de este Tribunal sobre el derecho fundamental que se alega podría estar siendo incumplida de modo general y reiterado por la jurisdicción ordinaria o pudieran existir resoluciones judiciales contradictorias sobre el derecho fundamental [STC 155/2009, FJ 2 e)]”</w:t>
      </w:r>
    </w:p>
    <w:p w:rsidR="00163957" w:rsidRDefault="00163957" w:rsidP="00163957">
      <w:pPr>
        <w:pStyle w:val="TextoNormal"/>
      </w:pPr>
    </w:p>
    <w:p w:rsidR="00163957" w:rsidRDefault="00163957" w:rsidP="00163957">
      <w:pPr>
        <w:pStyle w:val="TextoNormal"/>
      </w:pPr>
      <w:r>
        <w:t xml:space="preserve">En aplicación de lo dispuesto en el art. 51 LOTC, se acordó dirigir atenta comunicación a la Sección Primera de Sala de lo Contencioso-Administrativo del Tribunal Supremo y a la Sección Primera de la Sala de lo Contencioso-Administrativo del Tribunal Superior de Justicia de Castilla-La Mancha, para que, en el plazo de diez días, remitan certificación o fotocopia adverada de las actuaciones correspondientes al recurso de casación núm. 225-2012 y del procedimiento ordinario núm. 542-2007, seguidos respectivamente ante los citados órganos judiciales, con emplazamiento de quienes hubieran sido parte en el proceso </w:t>
      </w:r>
      <w:r w:rsidRPr="00163957">
        <w:rPr>
          <w:i/>
        </w:rPr>
        <w:t>a quo</w:t>
      </w:r>
      <w:r>
        <w:t>, excepto la parte demandante, por si desean personarse en el presente recurso de amparo en el plazo de diez días. No obstante, la admisión del recurso de amparo quedó condicionada a que, en el plazo de diez días, el Procurador de Tribunales don Alberto Collado Martín acreditara la representación que dice ostentar, mediante la presentación del poder original.</w:t>
      </w:r>
    </w:p>
    <w:p w:rsidR="00163957" w:rsidRDefault="00163957" w:rsidP="00163957">
      <w:pPr>
        <w:pStyle w:val="TextoNormal"/>
      </w:pPr>
    </w:p>
    <w:p w:rsidR="00163957" w:rsidRDefault="00163957" w:rsidP="00163957">
      <w:pPr>
        <w:pStyle w:val="TextoNormal"/>
      </w:pPr>
      <w:r w:rsidRPr="00163957">
        <w:rPr>
          <w:rStyle w:val="NumeroAFNegritaCaracter"/>
        </w:rPr>
        <w:t>5</w:t>
      </w:r>
      <w:r>
        <w:t>. Por diligencia de ordenación de fecha 16 de diciembre de 2015, dictada por la Secretaría de la Sala Segunda de este Tribunal, se tuvo por aportado el poder original presentado por el Procurador requerido a tal fin, quedando incorporado al procedimiento copia adverada del mismo.</w:t>
      </w:r>
    </w:p>
    <w:p w:rsidR="00163957" w:rsidRDefault="00163957" w:rsidP="00163957">
      <w:pPr>
        <w:pStyle w:val="TextoNormal"/>
      </w:pPr>
    </w:p>
    <w:p w:rsidR="00163957" w:rsidRDefault="00163957" w:rsidP="00163957">
      <w:pPr>
        <w:pStyle w:val="TextoNormal"/>
      </w:pPr>
      <w:r w:rsidRPr="00163957">
        <w:rPr>
          <w:rStyle w:val="NumeroAFNegritaCaracter"/>
        </w:rPr>
        <w:t>6</w:t>
      </w:r>
      <w:r>
        <w:t>. Por diligencia de ordenación de fecha 3 de febrero de 2016, dictada por la referida Secretaría, se requirió a la representación de la entidad demandante para que subsanara el presunto error, puesto de relieve por el Fiscal mediante escrito de fecha 1 de febrero del 2016, que recae sobre la identificación de la resolución de instancia objeto del presente recurso de amparo.</w:t>
      </w:r>
    </w:p>
    <w:p w:rsidR="00163957" w:rsidRDefault="00163957" w:rsidP="00163957">
      <w:pPr>
        <w:pStyle w:val="TextoNormal"/>
      </w:pPr>
    </w:p>
    <w:p w:rsidR="00163957" w:rsidRDefault="00163957" w:rsidP="00163957">
      <w:pPr>
        <w:pStyle w:val="TextoNormal"/>
      </w:pPr>
      <w:r>
        <w:t xml:space="preserve">Mediante escrito de fecha 18 de febrero de 2016, la representación procesal del recurrente comunicó a este Tribunal que el procedimiento ordinario en el que recayó la Sentencia de instancia impugnada fue el núm. 522-2007 de la Sala de lo Contencioso-Administrativo del </w:t>
      </w:r>
      <w:r>
        <w:lastRenderedPageBreak/>
        <w:t>Tribunal Superior de Justicia de Castilla- La Mancha y no, como por error se indicó en el escrito de demanda, el procedimiento ordinario núm. 542-2007 del citado Tribunal.</w:t>
      </w:r>
    </w:p>
    <w:p w:rsidR="00163957" w:rsidRDefault="00163957" w:rsidP="00163957">
      <w:pPr>
        <w:pStyle w:val="TextoNormal"/>
      </w:pPr>
    </w:p>
    <w:p w:rsidR="00163957" w:rsidRDefault="00163957" w:rsidP="00163957">
      <w:pPr>
        <w:pStyle w:val="TextoNormal"/>
      </w:pPr>
      <w:r>
        <w:t>Por providencia de la Sección Tercera de este Tribunal, de fecha 3 de marzo de 2016, se tuvo por subsanado el error padecido y se acordó recabar, del órgano judicial de instancia, certificación o copia adverada de las actuaciones correspondientes al recurso núm. 522-2007, debiendo emplazarse, previamente, a quienes hubieran sido parte en el procedimiento, excepto a la parte demandante, para que en el plazo de diez días puedan comparecer, si lo desean, en el recurso de amparo.</w:t>
      </w:r>
    </w:p>
    <w:p w:rsidR="00163957" w:rsidRDefault="00163957" w:rsidP="00163957">
      <w:pPr>
        <w:pStyle w:val="TextoNormal"/>
      </w:pPr>
    </w:p>
    <w:p w:rsidR="00163957" w:rsidRDefault="00163957" w:rsidP="00163957">
      <w:pPr>
        <w:pStyle w:val="TextoNormal"/>
      </w:pPr>
      <w:r w:rsidRPr="00163957">
        <w:rPr>
          <w:rStyle w:val="NumeroAFNegritaCaracter"/>
        </w:rPr>
        <w:t>7</w:t>
      </w:r>
      <w:r>
        <w:t>. A través de escrito registrado en este Tribunal el día 5 de abril de 2016, el Procurador de los Tribunales don Francisco Velasco Muñoz-Cuéllar compareció en representación de la Junta de Comunidades de Castilla-La Mancha, y solicitó que se le tuviera por personado. Asimismo, mediante escrito registrado en la misma fecha, el Procurador de los Tribunales don Carlos Plasencia Baltés interesó que se le tuviera por personado en representación de la Asociación Castellano-Manchega de Defensa del Patrimonio Natural.</w:t>
      </w:r>
    </w:p>
    <w:p w:rsidR="00163957" w:rsidRDefault="00163957" w:rsidP="00163957">
      <w:pPr>
        <w:pStyle w:val="TextoNormal"/>
      </w:pPr>
    </w:p>
    <w:p w:rsidR="00163957" w:rsidRDefault="00163957" w:rsidP="00163957">
      <w:pPr>
        <w:pStyle w:val="TextoNormal"/>
      </w:pPr>
      <w:r w:rsidRPr="00163957">
        <w:rPr>
          <w:rStyle w:val="NumeroAFNegritaCaracter"/>
        </w:rPr>
        <w:t>8</w:t>
      </w:r>
      <w:r>
        <w:t>. Mediante diligencia de ordenación de la Secretaría de Justicia de la Sala Segunda, de fecha 6 de abril del 2016, se tuvo por personados en el procedimiento a los Procuradores de Tribunales indicados en el apartado anterior. No obstante, dicha personación quedó condicionada a que en plazo no superior a diez días acreditasen, mediante la aportación de poder original, la representación que dicen ostentar. A su vez, se acordó dar vista de las actuaciones a las partes personadas y al Ministerio Fiscal, por plazo común de veinte días, a fin de que pudieran presentar las alegaciones pertinentes, conforme así lo determina el art. 52.1 LOTC. Por diligencia de fecha 16 de mayo de 2016, se tuvo por presentadas las escrituras de poder originales a que se refiere el apartado anterior, las cuales, previo desglose, fueron devueltas a los respectivos Procuradores que las presentaron.</w:t>
      </w:r>
    </w:p>
    <w:p w:rsidR="00163957" w:rsidRDefault="00163957" w:rsidP="00163957">
      <w:pPr>
        <w:pStyle w:val="TextoNormal"/>
      </w:pPr>
    </w:p>
    <w:p w:rsidR="00163957" w:rsidRDefault="00163957" w:rsidP="00163957">
      <w:pPr>
        <w:pStyle w:val="TextoNormal"/>
      </w:pPr>
      <w:r w:rsidRPr="00163957">
        <w:rPr>
          <w:rStyle w:val="NumeroAFNegritaCaracter"/>
        </w:rPr>
        <w:t>9</w:t>
      </w:r>
      <w:r>
        <w:t>. Por escrito de 10 de mayo de 2016 presentó sus alegaciones la Junta de Comunidades de Castilla-La Mancha que, en síntesis, hizo suyos los argumentos formulados por el Ayuntamiento de Toledo en su escrito de interposición del recurso de amparo y, en consecuencia, interesó la estimación del referido recurso.</w:t>
      </w:r>
    </w:p>
    <w:p w:rsidR="00163957" w:rsidRDefault="00163957" w:rsidP="00163957">
      <w:pPr>
        <w:pStyle w:val="TextoNormal"/>
      </w:pPr>
    </w:p>
    <w:p w:rsidR="00163957" w:rsidRDefault="00163957" w:rsidP="00163957">
      <w:pPr>
        <w:pStyle w:val="TextoNormal"/>
      </w:pPr>
      <w:r w:rsidRPr="00163957">
        <w:rPr>
          <w:rStyle w:val="NumeroAFNegritaCaracter"/>
        </w:rPr>
        <w:t>10</w:t>
      </w:r>
      <w:r>
        <w:t>. Mediante escrito de fecha 18 de mayo de 2016 presentó sus alegaciones el Ayuntamiento de Toledo. En esencia, destacó la absoluta identidad del presente recurso con los recursos de amparo núms. 6011-2014, 114-2015 y 583-2015, todos ellos resueltos en sentido estimatorio por la Sala Primera del Tribunal Constitucional. Por ello, considera que, ante supuestos de hecho iguales las consecuencias jurídicas también deben serlo; de suerte que, el sentido del fallo del presente recurso debe coincidir con lo resuelto en los recursos de amparo objeto de cita.</w:t>
      </w:r>
    </w:p>
    <w:p w:rsidR="00163957" w:rsidRDefault="00163957" w:rsidP="00163957">
      <w:pPr>
        <w:pStyle w:val="TextoNormal"/>
      </w:pPr>
    </w:p>
    <w:p w:rsidR="00163957" w:rsidRDefault="00163957" w:rsidP="00163957">
      <w:pPr>
        <w:pStyle w:val="TextoNormal"/>
      </w:pPr>
      <w:r w:rsidRPr="00163957">
        <w:rPr>
          <w:rStyle w:val="NumeroAFNegritaCaracter"/>
        </w:rPr>
        <w:t>11</w:t>
      </w:r>
      <w:r>
        <w:t>. Por medio de escrito presentado en la fecha última citada, formuló sus alegaciones la entidad Asociación Castellano-Manchega de Defensa del Patrimonio Natural. La referida asociación considera que el art.149.3 CE establece “el principio de prevalencia”, al contemplar que, en caso de conflicto, las normas estatales prevalecerán sobre las de las Comunidades Autónomas en todo lo que no esté atribuido a la exclusiva competencia de éstas, amén de estatuir, en el último inciso, el principio de supletoriedad de normativa estatal.</w:t>
      </w:r>
    </w:p>
    <w:p w:rsidR="00163957" w:rsidRDefault="00163957" w:rsidP="00163957">
      <w:pPr>
        <w:pStyle w:val="TextoNormal"/>
      </w:pPr>
    </w:p>
    <w:p w:rsidR="00163957" w:rsidRDefault="00163957" w:rsidP="00163957">
      <w:pPr>
        <w:pStyle w:val="TextoNormal"/>
      </w:pPr>
      <w:r>
        <w:t>A continuación afirma que la doctrina cuya aplicación pretende el demandante vaciaría de contenido el principio de prevalencia ya citado y supondría otorgar al Tribunal Constitucional el monopolio omnisciente del control de las leyes, aunque no esté en juego su validez sino su aplicación efectiva al caso. Asimismo, considera un contrasentido que, en determinados supuestos, el Juez nacional pueda no aplicar la legislación española que considere contraria a la normativa de la Unión Europea, sin plantear cuestión prejudicial ante el Tribunal de Justicia de la Unión Europea y, sin embargo, no pueda dejar de aplicar la normativa autonómica sin formular, previamente, cuestión de inconstitucionalidad.</w:t>
      </w:r>
    </w:p>
    <w:p w:rsidR="00163957" w:rsidRDefault="00163957" w:rsidP="00163957">
      <w:pPr>
        <w:pStyle w:val="TextoNormal"/>
      </w:pPr>
    </w:p>
    <w:p w:rsidR="00163957" w:rsidRDefault="00163957" w:rsidP="00163957">
      <w:pPr>
        <w:pStyle w:val="TextoNormal"/>
      </w:pPr>
      <w:r>
        <w:t>Por último señala que el principio de prevalencia constituye una regla establecida en garantía de la unidad del Ordenamiento, que está prevista para aquellos supuestos en que se suscita un conflicto entre una norma estatal y otra de naturaleza autonómica; asimismo entiende que, en relación con el caso concreto, los órganos judiciales se han decantado por la aplicación de la norma estatal, en salvaguardia de la única interpretación que resulta ser conforme con el texto constitucional.</w:t>
      </w:r>
    </w:p>
    <w:p w:rsidR="00163957" w:rsidRDefault="00163957" w:rsidP="00163957">
      <w:pPr>
        <w:pStyle w:val="TextoNormal"/>
      </w:pPr>
    </w:p>
    <w:p w:rsidR="00163957" w:rsidRDefault="00163957" w:rsidP="00163957">
      <w:pPr>
        <w:pStyle w:val="TextoNormal"/>
      </w:pPr>
      <w:r w:rsidRPr="00163957">
        <w:rPr>
          <w:rStyle w:val="NumeroAFNegritaCaracter"/>
        </w:rPr>
        <w:t>12</w:t>
      </w:r>
      <w:r>
        <w:t>. Mediante escrito presentado el 20 de mayo del 2016, el Fiscal presentó sus alegaciones. Tras realizar una serie de consideraciones previas, estima que “deviene incuestionable y necesaria la aplicación de la STC 195/2015 al presente recurso de amparo, en cuanto el ATS de 3 de abril de 2014, impugnado en este recurso de amparo, utiliza la anulada STS de 27 de febrero de 2014 como soporte argumental y determinante de su contenido y parte dispositiva”. Así, en aplicación de la doctrina expuesta en la citada STC 195/2015, resulta que las resoluciones impugnadas han vulnerado el derecho a la tutela judicial efectiva y a un proceso con todas las garantías (art. 24.1 y 2 CE).</w:t>
      </w:r>
    </w:p>
    <w:p w:rsidR="00163957" w:rsidRDefault="00163957" w:rsidP="00163957">
      <w:pPr>
        <w:pStyle w:val="TextoNormal"/>
      </w:pPr>
    </w:p>
    <w:p w:rsidR="00163957" w:rsidRDefault="00163957" w:rsidP="00163957">
      <w:pPr>
        <w:pStyle w:val="TextoNormal"/>
      </w:pPr>
      <w:r>
        <w:t>No aprecia, sin embargo, que se haya conculcado el derecho a la tutela judicial efectiva (art. 24.1 CE), por incurrir las resoluciones recurridas en un manifiesto desconocimiento del deber de acatamiento de la doctrina del Tribunal Constitucional, con quiebra del mandato recogido en el art. 5.1 LOPJ. Y ello, porque no concurren las circunstancias que determinan una oposición frontal a la interpretación realizada por el citado Tribunal, sino una interpretación errónea de la jurisprudencia constitucional. En suma, interesa la estimación del recurso de amparo, la anulación de las resoluciones impugnadas y la retroacción de las actuaciones al momento procesal inmediatamente anterior al de la Sentencia de 5 de diciembre de 2011, de la Sección Primera de la Sala de lo Contencioso-Administrativo del Tribunal Superior de Justicia de Castilla-La Mancha, a fin de que dicte otra que sea respetuosa con los derechos fundamentales vulnerados.</w:t>
      </w:r>
    </w:p>
    <w:p w:rsidR="00163957" w:rsidRDefault="00163957" w:rsidP="00163957">
      <w:pPr>
        <w:pStyle w:val="TextoNormal"/>
      </w:pPr>
    </w:p>
    <w:p w:rsidR="00163957" w:rsidRDefault="00163957" w:rsidP="00163957">
      <w:pPr>
        <w:pStyle w:val="TextoNormal"/>
      </w:pPr>
      <w:r w:rsidRPr="00163957">
        <w:rPr>
          <w:rStyle w:val="NumeroAFNegritaCaracter"/>
        </w:rPr>
        <w:t>13</w:t>
      </w:r>
      <w:r>
        <w:t>. Por providencia de 16 junio del 2016 se señaló, para la deliberación y votación de la presente Sentencia, el día 20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 El presente recurso de amparo tiene por objeto enjuiciar si las resoluciones citadas en el encabezamiento de esta resolución lesionan los derechos fundamentales del recurrente a la tutela judicial efectiva sin indefensión (art. 24.1 CE) y a un proceso con todas las ga</w:t>
      </w:r>
      <w:r>
        <w:lastRenderedPageBreak/>
        <w:t>rantías (art. 24.2 CE), por incurrir los órganos judiciales en exceso de jurisdicción al rechazar la aplicación del art. 36.2 a), párrafo segundo de la Ley de ordenación del territorio y de la actividad urbanística de Castilla-La Mancha, aprobado por Decreto Legislativo 1/2004, de 28 de diciembre, el cual se considera contrario a la norma básica del Estado (el art. 6.1 de la Ley 6/1998), acordándolo así sin elevar previamente cuestión de inconstitucionalidad ante este Tribunal para que nos pronunciáramos sobre su validez, conforme a los arts. 163 CE y 35 LOTC.</w:t>
      </w:r>
    </w:p>
    <w:p w:rsidR="00163957" w:rsidRDefault="00163957" w:rsidP="00163957">
      <w:pPr>
        <w:pStyle w:val="TextoNormal"/>
      </w:pPr>
    </w:p>
    <w:p w:rsidR="00163957" w:rsidRDefault="00163957" w:rsidP="00163957">
      <w:pPr>
        <w:pStyle w:val="TextoNormal"/>
      </w:pPr>
      <w:r w:rsidRPr="00163957">
        <w:rPr>
          <w:rStyle w:val="NumeroAFNegritaCaracter"/>
        </w:rPr>
        <w:t>2</w:t>
      </w:r>
      <w:r>
        <w:t>. Aun cuando la demanda de amparo emplea una argumentación común contra todas las resoluciones impugnadas, debe hacerse una distinción entre ellas. El Auto de fecha 3 de abril de 2014, dictado por la Sección Primera de la Sala de lo Contencioso-Administrativo del Tribunal Supremo, si bien puso fin a los recursos de casación interpuestos por la corporación recurrente y por la Junta de Comunidades de Castilla-La Mancha contra la Sentencia de instancia, no los resolvió entrando en el estudio de los motivos de fondo, toda vez que la citada Sección del Alto Tribunal constató que el objeto de dichos recursos “se desarrolla en términos sustancialmente coincidentes” con el resuelto por la Sección Quinta de la misma Sala en la Sentencia de 27 de febrero de 2014 (recurso núm. 5116-2011), la cual devino firme y había declarado la nulidad del mencionado plan de ordenación municipal de Toledo.</w:t>
      </w:r>
    </w:p>
    <w:p w:rsidR="00163957" w:rsidRDefault="00163957" w:rsidP="00163957">
      <w:pPr>
        <w:pStyle w:val="TextoNormal"/>
      </w:pPr>
    </w:p>
    <w:p w:rsidR="00163957" w:rsidRDefault="00163957" w:rsidP="00163957">
      <w:pPr>
        <w:pStyle w:val="TextoNormal"/>
      </w:pPr>
      <w:r>
        <w:t>Teniendo esto en cuenta y, como expresamente se indica en el propio Auto de 3 de abril de 2014, la Sala quedaba constreñida en su actuar por lo dispuesto en el art. 72.2 de la Ley reguladora de la jurisdicción contencioso-administrativa (LJCA), donde se establece que “las sentencias firmes que anulen una disposición general tendrán efectos generales desde el día en que sea publicado su fallo y preceptos anulados en el mismo periódico oficial en que lo hubiera sido la disposición anulada”. Por tanto, aunque hubiera querido cambiar su anterior criterio, expuesto en la Sentencia de 27 de febrero de 2014, la Sala de lo Contencioso-Administrativo del Tribunal Supremo no podía haberlo hecho en este recurso (núm. 225-2012), de idéntico objeto al tratado en aquélla y relativos al mismo plan de ordenación ya declarado nulo por sentencia firme, salvo incurriendo en abierta conculcación de una norma legal que, como la indicada (art. 72.2 LJCA), se erige también en límite al ejercicio de su propia jurisdicción. La solución adoptada resultó ser razonable (art. 24.1 CE) al optar por el dictado de un Auto de pérdida sobrevenida de objeto, para así explicar de manera motivada el porqué del archivo del recurso. En esta misma óptica, el posterior Auto de 13 de noviembre de 2014 hizo suyas las razones expuestas por la propia Sala en otro Auto que rechazó un incidente de nulidad similar, concretamente el promovido contra la citada Sentencia de 27 de febrero de 2014.</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Ahora bien, como ha quedado expuesto en los antecedentes, el ayuntamiento demandante de amparo, el Ministerio Fiscal y la Junta de Comunidades de Castilla- La Mancha sostienen en sus escritos de alegaciones que, tras el dictado de la STC 195/2015, de 21 de septiembre, no cabe sino trasladar lo allí dispuesto al presente recurso y otorgar el amparo, dada la identidad de objeto de ambos recursos. Dicha apreciación es compartida por este Tribunal y por ello considera que, en aplicación de la fundamentación esgrimida en la citada Sentencia, las resoluciones impugnadas en el presente caso han vulnerado el derecho a la tutela judicial efectiva (art. 24.1 CE) y a un proceso con todas las garantías (art. 24.2 CE), al proceder los órganos judiciales a la inaplicación de la norma autonómica por considerarla contraria a la ley básica estatal, sin plantear la cuestión de inconstitucionalidad, conforme lo dispuesto en el art. 163 CE y la jurisprudencia de este Tribunal. Debemos rechazar, sin </w:t>
      </w:r>
      <w:r>
        <w:lastRenderedPageBreak/>
        <w:t>embargo, como así lo consideramos en dicha resolución, que exista una voluntad manifiesta de no aplicar la doctrina constitucional o una decisión consciente de soslayarla, y ello con independencia del acierto de la decisión adoptada que en nada afectaría al mandato contenido en el art. 5.1 LOPJ al que alude el recurrente.</w:t>
      </w:r>
    </w:p>
    <w:p w:rsidR="00163957" w:rsidRDefault="00163957" w:rsidP="00163957">
      <w:pPr>
        <w:pStyle w:val="TextoNormal"/>
      </w:pPr>
    </w:p>
    <w:p w:rsidR="00163957" w:rsidRDefault="00163957" w:rsidP="00163957">
      <w:pPr>
        <w:pStyle w:val="TextoNormal"/>
      </w:pPr>
      <w:r w:rsidRPr="00163957">
        <w:rPr>
          <w:rStyle w:val="NumeroAFNegritaCaracter"/>
        </w:rPr>
        <w:t>4</w:t>
      </w:r>
      <w:r>
        <w:t>. El otorgamiento del amparo al demandante por vulneración del derecho a la tutela judicial efectiva (art. 24.1 CE) y a un proceso con todas las garantías (art. 24.2 CE), debe comportar (art. 55.1 LOTC) el reconocimiento de los derechos fundamentales vulnerados. Asimismo, procede declarar la nulidad de las resoluciones judiciales impugnadas, con retroacción de actuaciones al momento inmediatamente anterior a dictarse la Sentencia de la Sección Primera de la Sala de lo Contencioso-Administrativo del Tribunal Superior de Justicia de Castilla-La Mancha, como así lo solicita el Ministerio Fiscal, a los efectos de que por dicho Tribunal se dicte otra resolución que resulte respetuosa con los derechos fundamentales reconocidos.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Otorgar el amparo solicitado por el Ayuntamiento de Toledo y, en su virtud:</w:t>
      </w:r>
    </w:p>
    <w:p w:rsidR="00163957" w:rsidRDefault="00163957" w:rsidP="00163957">
      <w:pPr>
        <w:pStyle w:val="TextoNormal"/>
      </w:pPr>
    </w:p>
    <w:p w:rsidR="00163957" w:rsidRDefault="00163957" w:rsidP="00163957">
      <w:pPr>
        <w:pStyle w:val="TextoNormal"/>
      </w:pPr>
      <w:r>
        <w:t>1º Reconocer el derecho del recurrente a la tutela judicial efectiva (art. 24.1 CE) y a un proceso con todas las garantías (art. 24.2 CE).</w:t>
      </w:r>
    </w:p>
    <w:p w:rsidR="00163957" w:rsidRDefault="00163957" w:rsidP="00163957">
      <w:pPr>
        <w:pStyle w:val="TextoNormal"/>
      </w:pPr>
    </w:p>
    <w:p w:rsidR="00163957" w:rsidRDefault="00163957" w:rsidP="00163957">
      <w:pPr>
        <w:pStyle w:val="TextoNormal"/>
      </w:pPr>
      <w:r>
        <w:t>2º Declarar la nulidad de la Sentencia de la Sección Primera de la Sala de lo Contencioso-Administrativo del Tribunal Superior de Justicia de Castilla-La Mancha, de 5 de diciembre de 2011, recaída en el recurso contencioso-administrativo núm. 522-2007, así como los Autos de 13 de noviembre y 3 de abril, ambos de 2014, dictados en el recurso de casación núm. 225-2012 por la Sección Primera de la Sala de lo Contencioso-Administrativo del Tribunal Supremo.</w:t>
      </w:r>
    </w:p>
    <w:p w:rsidR="00163957" w:rsidRDefault="00163957" w:rsidP="00163957">
      <w:pPr>
        <w:pStyle w:val="TextoNormal"/>
      </w:pPr>
    </w:p>
    <w:p w:rsidR="00163957" w:rsidRDefault="00163957" w:rsidP="00163957">
      <w:pPr>
        <w:pStyle w:val="TextoNormal"/>
      </w:pPr>
      <w:r>
        <w:t>3º Retrotraer las actuaciones al momento inmediatamente anterior al señalamiento para votación y fallo del recurso núm. 522-2007, para que la Sala y Sección competente del Tribunal Superior de Justicia de Castilla-La Mancha dicte nueva Sentencia, que sea respetuosa con los derechos fundamentales vulnerados.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veinte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19" w:name="SENTENCIA_2016_116"/>
      <w:r>
        <w:lastRenderedPageBreak/>
        <w:t>SENTENCIA 116/2016, de 20 de junio de 2016</w:t>
      </w:r>
    </w:p>
    <w:bookmarkEnd w:id="119"/>
    <w:p w:rsidR="00163957" w:rsidRDefault="00163957" w:rsidP="00163957">
      <w:pPr>
        <w:pStyle w:val="TtuloResolucin"/>
      </w:pPr>
      <w:r>
        <w:t>Sala Primera</w:t>
      </w:r>
    </w:p>
    <w:p w:rsidR="00163957" w:rsidRDefault="00163957" w:rsidP="00163957">
      <w:pPr>
        <w:pStyle w:val="TtuloBOE"/>
      </w:pPr>
      <w:r>
        <w:t>(BOE núm. 181, de 28 de julio de 2016)</w:t>
      </w:r>
    </w:p>
    <w:p w:rsidR="00163957" w:rsidRDefault="00163957" w:rsidP="00163957">
      <w:pPr>
        <w:pStyle w:val="TextoNormalCentrado"/>
      </w:pPr>
      <w:r>
        <w:t>ECLI:ES:TC:2016:116</w:t>
      </w:r>
    </w:p>
    <w:p w:rsidR="00163957" w:rsidRDefault="00163957" w:rsidP="00163957">
      <w:pPr>
        <w:pStyle w:val="TextoNormalCentrado"/>
      </w:pPr>
    </w:p>
    <w:p w:rsidR="00163957" w:rsidRDefault="00163957" w:rsidP="00163957">
      <w:pPr>
        <w:pStyle w:val="SntesisDescriptiva"/>
      </w:pPr>
      <w:r>
        <w:t>Cuestión de inconstitucionalidad 1663-2015. Planteada por la Sala de lo Contencioso-Administrativo del Tribunal Superior de Justicia de Galicia en relación con el artículo 32.1 de la Ley 5/1997, de 22 de julio, de Administración local de Galicia.</w:t>
      </w:r>
    </w:p>
    <w:p w:rsidR="00163957" w:rsidRDefault="00163957" w:rsidP="00163957">
      <w:pPr>
        <w:pStyle w:val="SntesisDescriptiva"/>
      </w:pPr>
    </w:p>
    <w:p w:rsidR="00163957" w:rsidRDefault="00163957" w:rsidP="00163957">
      <w:pPr>
        <w:pStyle w:val="SntesisAnaltica"/>
      </w:pPr>
      <w:r>
        <w:t>Competencias sobre régimen local: inadmisión de la cuestión de inconstitucionalidad en la que se aduce inconstitucionalidad sobrevenida de un precepto legal autonómico (STC 102/2016). Votos particulares.</w:t>
      </w:r>
    </w:p>
    <w:p w:rsidR="00163957" w:rsidRDefault="00163957" w:rsidP="00163957">
      <w:pPr>
        <w:pStyle w:val="SntesisAnaltica"/>
      </w:pPr>
    </w:p>
    <w:p w:rsidR="00163957" w:rsidRDefault="00163957" w:rsidP="00163957">
      <w:pPr>
        <w:pStyle w:val="Extracto"/>
      </w:pPr>
      <w:r>
        <w:t>1.</w:t>
      </w:r>
      <w:r>
        <w:tab/>
        <w:t>Asunto sustancialmente idéntico al resuelto por la STC 102/2016, relativo a la doctrina sobre la inaplicación de normas autonómicas que se limiten a reproducir una norma estatal posteriormente modificada [FJ 2].</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Primera del Tribunal Constitucional, compuesta por don Francisco Pérez de los Cobos Orihuel, Presidente, doña Encarnación Roca Trías, don Andrés Ollero Tassara, don Santiago Martínez-Vares García y don Juan Antonio Xiol Ríos,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1663-2015, promovida por la Sala de lo Contencioso-Administrativo del Tribunal Superior de Justicia de Galicia en relación con el art. 32.1 de la Ley 5/1997, de 22 de julio, de Administración local de Galicia. Han intervenido y formulado alegaciones la Xunta de Galicia, el Parlamento de Galicia y el Fiscal General del Estado. Ha sido Ponente el Magistrado don Juan Antonio Xiol Ríos,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El 16 de abril de 2015 tuvo entrada en el Registro General de este Tribunal un oficio de la Sala de lo Contencioso-Administrativo del Tribunal Superior de Justicia de Galicia (Sección Segunda) al que se acompaña, junto al testimonio del recurso contencioso-administrativo núm. 4443-2013, interpuesto contra el Decreto 83/2013, de 6 de junio, por el que se aprueba la fusión voluntaria de los municipios de Oza dos Ríos y Cesuras y se constituye el municipio Oza-Cesuras, el Auto de 11 de marzo de 2015 por el que se acuerda plantear </w:t>
      </w:r>
      <w:r>
        <w:lastRenderedPageBreak/>
        <w:t>cuestión de inconstitucionalidad en relación con el art. 32.1 de la Ley 5/1997, de 22 de julio, de Administración local de Galicia.</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que interesa destacar a los efectos de este proceso constitucional son los siguientes:</w:t>
      </w:r>
    </w:p>
    <w:p w:rsidR="00163957" w:rsidRDefault="00163957" w:rsidP="00163957">
      <w:pPr>
        <w:pStyle w:val="TextoNormal"/>
      </w:pPr>
    </w:p>
    <w:p w:rsidR="00163957" w:rsidRDefault="00163957" w:rsidP="00163957">
      <w:pPr>
        <w:pStyle w:val="TextoNormal"/>
      </w:pPr>
      <w:r>
        <w:t>a) Por Decreto 83/2013, de 6 de junio, la Xunta de Galicia aprobó la fusión voluntaria de los municipios de Oza dos Ríos y Cesuras, dando lugar al nuevo municipio de Oza-Cesuras.</w:t>
      </w:r>
    </w:p>
    <w:p w:rsidR="00163957" w:rsidRDefault="00163957" w:rsidP="00163957">
      <w:pPr>
        <w:pStyle w:val="TextoNormal"/>
      </w:pPr>
    </w:p>
    <w:p w:rsidR="00163957" w:rsidRDefault="00163957" w:rsidP="00163957">
      <w:pPr>
        <w:pStyle w:val="TextoNormal"/>
      </w:pPr>
      <w:r>
        <w:t>b) El 13 de junio de 2013, don X.M.V.G, doña E.M.R.R. y doña M.C.L.R, concejales del Ayuntamiento de Cesuras que habían votado en contra de la decisión de iniciar la tramitación por la Xunta de Galicia del expediente de fusión, interpusieron ante la Sala de lo Contencioso-Administrativo del Tribunal Superior de Justicia de Galicia recurso contencioso-administrativo contra el citado Decreto 83/2013, de 6 de junio. En su recurso, alegaban, entre otras causas de nulidad, el incumplimiento por el Decreto impugnado del régimen de mayorías establecido en el art. 32.1 de la Ley 5/1997, de 22 de junio, de la Administración local de Galicia, que dice:</w:t>
      </w:r>
    </w:p>
    <w:p w:rsidR="00163957" w:rsidRDefault="00163957" w:rsidP="00163957">
      <w:pPr>
        <w:pStyle w:val="TextoNormal"/>
      </w:pPr>
    </w:p>
    <w:p w:rsidR="00163957" w:rsidRDefault="00163957" w:rsidP="00163957">
      <w:pPr>
        <w:pStyle w:val="TextoNormal"/>
      </w:pPr>
      <w:r>
        <w:t>“Las alteraciones de términos municipales podrán, asimismo, ser tramitadas, con carácter voluntario, por los Ayuntamientos interesados. En tal caso, el expediente será iniciado por los acuerdos de los respectivos Ayuntamientos, adoptados con el voto favorable de las dos terceras partes del número de hecho y, en todo caso, de la mayoría absoluta del número legal de miembros de la corporación.”</w:t>
      </w:r>
    </w:p>
    <w:p w:rsidR="00163957" w:rsidRDefault="00163957" w:rsidP="00163957">
      <w:pPr>
        <w:pStyle w:val="TextoNormal"/>
      </w:pPr>
    </w:p>
    <w:p w:rsidR="00163957" w:rsidRDefault="00163957" w:rsidP="00163957">
      <w:pPr>
        <w:pStyle w:val="TextoNormal"/>
      </w:pPr>
      <w:r>
        <w:t>Según se argumentaba en el recurso, teniendo el Ayuntamiento de Cesuras once concejales, las dos terceras partes exigidas por el precepto hubiesen requerido el voto favorable de, al menos, ocho concejales a la solicitud de fusión, y sin embargo esa solicitud se aprobó solamente por siete votos contra cuatro. Esto es, se cumplió la exigencia de mayoría absoluta que el precepto requiere “en todo caso”, pero no la superior de mayoría de dos tercios también impuesta en el referido art. 32.1 de la Ley 5/1997. La Xunta de Galicia, en cambio, había tramitado y aprobado dicha fusión amparándose en el art. 47.2 a) de la Ley 7/1985, de 2 de abril, reguladora de las bases del régimen local (LBRL), modificada en este punto por la Ley 57/2003, de 16 de diciembre, de medidas para la modernización del gobierno local, que dice:</w:t>
      </w:r>
    </w:p>
    <w:p w:rsidR="00163957" w:rsidRDefault="00163957" w:rsidP="00163957">
      <w:pPr>
        <w:pStyle w:val="TextoNormal"/>
      </w:pPr>
    </w:p>
    <w:p w:rsidR="00163957" w:rsidRDefault="00163957" w:rsidP="00163957">
      <w:pPr>
        <w:pStyle w:val="TextoNormal"/>
      </w:pPr>
      <w:r>
        <w:t>“Se requiere el voto favorable de la mayoría absoluta del número legal de miembros de las corporaciones para la adopción de acuerdos en las siguientes materias: a) Creación y supresión de municipios y alteración de términos municipales.”</w:t>
      </w:r>
    </w:p>
    <w:p w:rsidR="00163957" w:rsidRDefault="00163957" w:rsidP="00163957">
      <w:pPr>
        <w:pStyle w:val="TextoNormal"/>
      </w:pPr>
    </w:p>
    <w:p w:rsidR="00163957" w:rsidRDefault="00163957" w:rsidP="00163957">
      <w:pPr>
        <w:pStyle w:val="TextoNormal"/>
      </w:pPr>
      <w:r>
        <w:t xml:space="preserve">c) Una vez concluso el procedimiento, y antes de dictar sentencia, la Sección Segunda de la Sala de lo Contencioso-Administrativo del Tribunal Superior de Justicia de Galicia dictó providencia de 12 de febrero de 2015, por la que, al amparo de lo previsto en el art. 35.2 de la Ley Orgánica del Tribunal Constitucional, acordó dar a las partes y al Ministerio Fiscal el plazo común e improrrogable de diez días para que pudiera alegar sobre la pertinencia de plantear cuestión de inconstitucionalidad en relación con el art. 32.1 de la Ley 5/1997 “en cuanto exige el voto favorable de las dos terceras partes del número de hecho y, en todo caso, la mayoría absoluta del número legal de miembros de la corporación, por posible inconstitucionalidad sobrevenida por infracción del art. 149.1.18 de la Constitución, </w:t>
      </w:r>
      <w:r>
        <w:lastRenderedPageBreak/>
        <w:t>al contradecir lo establecido en el art. 47.2 a) de la Ley de Bases de Régimen Local, tras su reforma por la Ley 57/2003, que constituye legislación básica del Estado en materia de régimen local”.</w:t>
      </w:r>
    </w:p>
    <w:p w:rsidR="00163957" w:rsidRDefault="00163957" w:rsidP="00163957">
      <w:pPr>
        <w:pStyle w:val="TextoNormal"/>
      </w:pPr>
    </w:p>
    <w:p w:rsidR="00163957" w:rsidRDefault="00163957" w:rsidP="00163957">
      <w:pPr>
        <w:pStyle w:val="TextoNormal"/>
      </w:pPr>
      <w:r>
        <w:t>d) En cumplimiento del trámite conferido, el Letrado de la Xunta de Galicia presentó escrito fechado el 24 de febrero de 2015 mostrándose favorable al planteamiento de la cuestión de inconstitucionalidad. En el escrito se alega que hay una contradicción entre el art. 32.1 de la Ley 5/1997 y el art. 47.2 a) LBRL en cuanto a la mayoría para el acuerdo de inicio de los expedientes de alteración de términos municipales; que esta contradicción se origina en la nueva redacción dada al precepto estatal por la Ley 57/2003; y, en fin, que un debate constitucional similar ha sido resuelto por las SSTC 66/2011 y 159/2012 señalando que las mayorías fijadas en el precepto estatal, entendidas como inmodificables, tienen carácter básico. Por todo ello, suplica que se eleve cuestión de inconstitucionalidad respecto del art. 32.1 de la Ley 5/1997 por posible inconstitucionalidad sobrevenida por infracción del art. 149.1.18 CE.</w:t>
      </w:r>
    </w:p>
    <w:p w:rsidR="00163957" w:rsidRDefault="00163957" w:rsidP="00163957">
      <w:pPr>
        <w:pStyle w:val="TextoNormal"/>
      </w:pPr>
    </w:p>
    <w:p w:rsidR="00163957" w:rsidRDefault="00163957" w:rsidP="00163957">
      <w:pPr>
        <w:pStyle w:val="TextoNormal"/>
      </w:pPr>
      <w:r>
        <w:t xml:space="preserve">e) El Fiscal, en escrito registrado el 24 de febrero de 2015, sostiene que se dan en este caso los requisitos de procedibilidad </w:t>
      </w:r>
      <w:r w:rsidRPr="00163957">
        <w:rPr>
          <w:i/>
        </w:rPr>
        <w:t>ex</w:t>
      </w:r>
      <w:r>
        <w:t xml:space="preserve"> art. 35.2 de la Ley Orgánica del Tribunal Constitucional (LOTC) y, respecto al fondo, tras reproducir el art. 32 de la Ley 5/1997 y el art. 47.2 LBRL, afirma que “los artículos referidos devienen incompatibles y, como subrayan todas las partes … el pronunciamiento sobre la posible inconstitucionalidad que se vislumbra … es competencia del Tribunal Constitucional”, apuntando que parece similar a la resuelta en la STC 159/2012.</w:t>
      </w:r>
    </w:p>
    <w:p w:rsidR="00163957" w:rsidRDefault="00163957" w:rsidP="00163957">
      <w:pPr>
        <w:pStyle w:val="TextoNormal"/>
      </w:pPr>
    </w:p>
    <w:p w:rsidR="00163957" w:rsidRDefault="00163957" w:rsidP="00163957">
      <w:pPr>
        <w:pStyle w:val="TextoNormal"/>
      </w:pPr>
      <w:r>
        <w:t xml:space="preserve">f) El Letrado de la Diputación Provincial de A Coruña, en escrito registrado el 26 de febrero de 2015, alega que “en el cuarto otrosí digo de nuestro escrito de contestación a la demanda solicitamos expresamente el planteamiento de la cuestión de inconstitucionalidad del art. 32 de la Ley 5/1997, en cuanto contradice, de forma efectiva e insalvable, el régimen de mayorías establecido en el art. 47.2 a) LBRL, en la redacción dada por la Ley 57/2003, que tiene la condición de básico, </w:t>
      </w:r>
      <w:r w:rsidRPr="00163957">
        <w:rPr>
          <w:i/>
        </w:rPr>
        <w:t>ex</w:t>
      </w:r>
      <w:r>
        <w:t xml:space="preserve"> art. 149.1.18 CE”. El resto del escrito glosa la doctrina constitucional acerca del carácter básico </w:t>
      </w:r>
      <w:r w:rsidRPr="00163957">
        <w:rPr>
          <w:i/>
        </w:rPr>
        <w:t>ex</w:t>
      </w:r>
      <w:r>
        <w:t xml:space="preserve"> art. 149.1.18 CE del régimen de mayorías aplicable a los acuerdos municipales (SSTC 331/1993, 66/2011 y 159/2012) y la que destaca que “la disconformidad sobrevenida de las disposiciones autonómicas cuestionadas con las nuevas bases … adoptadas por el legislador estatal … determina la actual inconstitucionalidad de aquellas disposiciones originariamente respetuosas del orden constitucional de distribución de competencias” (STC 1/2003), lo que hace necesario que el órgano judicial, en lugar de inaplicar la norma autonómica por su propia autoridad, eleve la correspondiente cuestión de inconstitucionalidad.</w:t>
      </w:r>
    </w:p>
    <w:p w:rsidR="00163957" w:rsidRDefault="00163957" w:rsidP="00163957">
      <w:pPr>
        <w:pStyle w:val="TextoNormal"/>
      </w:pPr>
    </w:p>
    <w:p w:rsidR="00163957" w:rsidRDefault="00163957" w:rsidP="00163957">
      <w:pPr>
        <w:pStyle w:val="TextoNormal"/>
      </w:pPr>
      <w:r>
        <w:t xml:space="preserve">g) La actora, en escrito registrado el día 2 de marzo de 2015, parte de que la STC 331/1993 consideró que la mayoría requerida para los acuerdos de alteración de términos municipales es materia básica de competencia estatal, pero a continuación sostiene que, debido a que a Galicia incumben competencias de desarrollo legislativo en materia local, debe reconocérsele un espacio normativo en este ámbito de las mayorías que deben revestir los acuerdos municipales, proponiendo como lectura adecuada que la mayoría indicada por la norma estatal sea un mínimo que la ley autonómica pudiera legítimamente incrementar. De acuerdo a este planteamiento, muestra su conformidad a que se plantee la cuestión de inconstitucionalidad “para que el Tribunal Constitucional pueda revisar, por el transcurso del </w:t>
      </w:r>
      <w:r>
        <w:lastRenderedPageBreak/>
        <w:t>tiempo y el asentamiento del edificio constitucional, la rígida doctrina sentada por su sentencia 331/1993”.</w:t>
      </w:r>
    </w:p>
    <w:p w:rsidR="00163957" w:rsidRDefault="00163957" w:rsidP="00163957">
      <w:pPr>
        <w:pStyle w:val="TextoNormal"/>
      </w:pPr>
    </w:p>
    <w:p w:rsidR="00163957" w:rsidRDefault="00163957" w:rsidP="00163957">
      <w:pPr>
        <w:pStyle w:val="TextoNormal"/>
      </w:pPr>
      <w:r>
        <w:t>h) El Abogado del Estado, en su escrito de 3 de marzo de 2015, afirma que el art. art. 32.1 de la Ley 5/1997 contradice el contenido normativo del art. 47.2 a) LBRRL, argumentando que esa contradicción, de acuerdo a la doctrina constitucional establecida en las SSTC 331/1993, 66/2011 y 159/2012, supone que el precepto autonómico ha invadido la competencia básica estatal</w:t>
      </w:r>
      <w:r w:rsidRPr="00163957">
        <w:rPr>
          <w:i/>
        </w:rPr>
        <w:t xml:space="preserve"> e</w:t>
      </w:r>
      <w:r>
        <w:t>x art. 149.1.18 CE.</w:t>
      </w:r>
    </w:p>
    <w:p w:rsidR="00163957" w:rsidRDefault="00163957" w:rsidP="00163957">
      <w:pPr>
        <w:pStyle w:val="TextoNormal"/>
      </w:pPr>
    </w:p>
    <w:p w:rsidR="00163957" w:rsidRDefault="00163957" w:rsidP="00163957">
      <w:pPr>
        <w:pStyle w:val="TextoNormal"/>
      </w:pPr>
      <w:r>
        <w:t>i) Por Auto de 11 de marzo de 2015 la Sección Segunda de la Sala de lo Contencioso-Administrativo del Tribunal Superior de Justicia de Galicia acordó plantear cuestión de inconstitucionalidad en relación con el art. 32.1 de la Ley 5/1997, de 22 de julio, de Administración local de Galicia, por la posible vulneración del art. 149.1.18 CE.</w:t>
      </w:r>
    </w:p>
    <w:p w:rsidR="00163957" w:rsidRDefault="00163957" w:rsidP="00163957">
      <w:pPr>
        <w:pStyle w:val="TextoNormal"/>
      </w:pPr>
    </w:p>
    <w:p w:rsidR="00163957" w:rsidRDefault="00163957" w:rsidP="00163957">
      <w:pPr>
        <w:pStyle w:val="TextoNormal"/>
      </w:pPr>
      <w:r w:rsidRPr="00163957">
        <w:rPr>
          <w:rStyle w:val="NumeroAFNegritaCaracter"/>
        </w:rPr>
        <w:t>3</w:t>
      </w:r>
      <w:r>
        <w:t>. Tras recoger los hechos del caso y resumir los antecedentes de este trámite, el Auto de planteamiento contiene dos fundamentos de derecho.</w:t>
      </w:r>
    </w:p>
    <w:p w:rsidR="00163957" w:rsidRDefault="00163957" w:rsidP="00163957">
      <w:pPr>
        <w:pStyle w:val="TextoNormal"/>
      </w:pPr>
    </w:p>
    <w:p w:rsidR="00163957" w:rsidRDefault="00163957" w:rsidP="00163957">
      <w:pPr>
        <w:pStyle w:val="TextoNormal"/>
      </w:pPr>
      <w:r>
        <w:t xml:space="preserve">En el primero se razona acerca de la incidencia del precepto cuestionado en el proceso a quo. La Sala recuerda que lo que se discute en el proceso </w:t>
      </w:r>
      <w:r w:rsidRPr="00163957">
        <w:rPr>
          <w:i/>
        </w:rPr>
        <w:t>a quo</w:t>
      </w:r>
      <w:r>
        <w:t xml:space="preserve"> es si el acuerdo municipal de iniciación del expediente de fusión de los concellos de Cesuras y Oza de los Ríos es ilegal porque, al haber sido votado el acuerdo correspondiente del Concello de Cesuras por 7 concejales de 11 que estaban presentes, infringe lo dispuesto en el art. 32.1 de la Ley 5/1997. Añade que el 47.2 a) LBRL solo requiere para ese acuerdo la mayoría absoluta del número legal de miembros, lo que le lleva a concluir que “la aplicación de uno u otro precepto resulta determinante para acoger o rechazar el referido motivo de nulidad alegado por la parte actora”.</w:t>
      </w:r>
    </w:p>
    <w:p w:rsidR="00163957" w:rsidRDefault="00163957" w:rsidP="00163957">
      <w:pPr>
        <w:pStyle w:val="TextoNormal"/>
      </w:pPr>
    </w:p>
    <w:p w:rsidR="00163957" w:rsidRDefault="00163957" w:rsidP="00163957">
      <w:pPr>
        <w:pStyle w:val="TextoNormal"/>
      </w:pPr>
      <w:r>
        <w:t>En el segundo se argumenta la inconstitucionalidad del art. 32.1 de la Ley 5/1997. Se afirma que el art. 149.1.18 CE atribuye al Estado competencia exclusiva para establecer las bases del régimen jurídico de las Administraciones públicas, competencia que se materializó legítimamente (SSTC 33/1993, 331/1993 y 159/2012), por lo que a la Administración local se refiere, con la adopción de la Ley reguladora de las bases de régimen local, que en su art. 47.2 a), según la redacción dada por la Ley 57/2003, dispone que la alteración de términos municipales requiere el voto favorable de la mayoría absoluta del número legal de miembros de las corporaciones. Destaca también que el art. 32.1 de la Ley 5/1997 y el art. 47.2 a) LBRL colisionan de un modo insalvable, pues aquél exige para ese mismo tipo de acuerdos el voto favorable de las dos terceras partes del número de hecho y, en todo caso, de la mayoría absoluta del número legal de miembros de la corporación.</w:t>
      </w:r>
    </w:p>
    <w:p w:rsidR="00163957" w:rsidRDefault="00163957" w:rsidP="00163957">
      <w:pPr>
        <w:pStyle w:val="TextoNormal"/>
      </w:pPr>
    </w:p>
    <w:p w:rsidR="00163957" w:rsidRDefault="00163957" w:rsidP="00163957">
      <w:pPr>
        <w:pStyle w:val="TextoNormal"/>
      </w:pPr>
      <w:r>
        <w:t>Concluye este segundo fundamento de derecho que la anterior inconstitucionalidad parece clara, pero, como declaran SSTC 66/2011 y 159/2012, “la depuración del ordenamiento legal, vigente la Constitución, corresponde de forma exclusiva al Tribunal Constitucional, que tiene la competencia y la jurisdicción para declarar, con eficacia erga omnes, la inconstitucionalidad de las leyes”.</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Por providencia de 9 de junio de 2015, el Pleno del Tribunal, a propuesta de la Sección Primera, acordó admitir a trámite la cuestión de inconstitucionalidad planteada por la Sección Segunda de la Sala de lo Contencioso-Administrativo del Tribunal Superior de Justicia </w:t>
      </w:r>
      <w:r>
        <w:lastRenderedPageBreak/>
        <w:t>de Galicia en relación con el art. 32.1 de la Ley 5/1997, de 22 de julio, de Administración local de Galicia, por posible vulneración del art. 149.1.18 CE y, de conformidad con lo dispuesto en el artículo 10.1 c) LOTC, deferir a la Sala Primera el conocimiento de la cuestión, así como dar traslado de las actuaciones recibidas, conforme establece el art. 37.3 LOTC, al Congreso de los Diputados y al Senado, por conducto de sus Presidentes, al Gobierno, por conducto del Ministro de Justicia, y al Fiscal General del Estado, así como a la Xunta de Galicia y al Parlamento de Galicia, por conducto de sus Presidentes, al objeto de que en el improrrogable plazo de quince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 y en el “Diario Oficial de Galicia”.</w:t>
      </w:r>
    </w:p>
    <w:p w:rsidR="00163957" w:rsidRDefault="00163957" w:rsidP="00163957">
      <w:pPr>
        <w:pStyle w:val="TextoNormal"/>
      </w:pPr>
    </w:p>
    <w:p w:rsidR="00163957" w:rsidRDefault="00163957" w:rsidP="00163957">
      <w:pPr>
        <w:pStyle w:val="TextoNormal"/>
      </w:pPr>
      <w:r w:rsidRPr="00163957">
        <w:rPr>
          <w:rStyle w:val="NumeroAFNegritaCaracter"/>
        </w:rPr>
        <w:t>5</w:t>
      </w:r>
      <w:r>
        <w:t>. Por escrito de 16 de junio de 2015, registrado en este Tribunal el día 18, el Presidente del Congreso de los Diputados comunicó a este Tribunal el acuerdo de la Mesa de la Cámara de la misma fecha por el que se tiene por personado al Congreso de los Diputados en este procedimiento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6</w:t>
      </w:r>
      <w:r>
        <w:t>. El 24 de junio de 2015 tuvo entrada en el Registro General de este Tribunal escrito del Presidente del Senado comunicando el acuerdo de la Mesa de la Cámara de 23 de junio en el que se tiene por personada a la citada cámara en el procedimiento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7</w:t>
      </w:r>
      <w:r>
        <w:t>. El Abogado del Estado, en la representación que legalmente ostenta, presentó sus alegaciones el 26 de junio de 2015. En ellas, recuerda que el debate suscitado es “prácticamente idéntico” al resuelto en las SSTC 66/2011 y 159/2012, a propósito de la inconstitucionalidad sobrevenida del art. 131.2 de la Ley 14/1990, de 26 de julio, del régimen jurídico de las Administraciones públicas de Canarias, que regulaba las mayorías necesarias para un cambio de capitalidad del municipio, tras la modificación del régimen de mayorías previsto en la Ley reguladora de las bases de régimen local operado por la Ley 57/2003. La contradicción en que había entrado esa norma autonómica con ese nuevo régimen de mayorías instaurado por la citada Ley 57/2003 provocó que en aquel caso este Tribunal declarase: (a) que no podía un órgano de la jurisdicción ordinaria inaplicar por su propia autoridad una ley autonómica por contravenir una ley básica estatal; y (b) que la citada norma autonómica era, verdaderamente, formal y materialmente básica, al amparo del art. 149.1.18 CE, por lo que había incurrido en inconstitucionalidad sobrevenida y era en consecuencia inconstitucional y nula.</w:t>
      </w:r>
    </w:p>
    <w:p w:rsidR="00163957" w:rsidRDefault="00163957" w:rsidP="00163957">
      <w:pPr>
        <w:pStyle w:val="TextoNormal"/>
      </w:pPr>
    </w:p>
    <w:p w:rsidR="00163957" w:rsidRDefault="00163957" w:rsidP="00163957">
      <w:pPr>
        <w:pStyle w:val="TextoNormal"/>
      </w:pPr>
      <w:r>
        <w:t>Como en este caso aprecia la misma contradicción con la única variación de que el supuesto enjuiciado no es el de alteración de la capitalidad del municipio [art. 47.2 d) LBRL] sino el de fusión de ayuntamientos [art. 47.2 a)], entiende que concurren todos los presupuestos para la declaración de inconstitucionalidad, mediata o indirecta, del art. 32.1 de la Ley 5/1997 aquí cuestionado: carácter básico de la norma estatal infringida; contradicción insalvable entre los preceptos enfrentados, e imposibilidad de que la norma estatal básica desplace o prevalezca (art. 149.3 CE) sobre la norma autonómica sin previa declaración de inconstitucionalidad de ésta.</w:t>
      </w:r>
    </w:p>
    <w:p w:rsidR="00163957" w:rsidRDefault="00163957" w:rsidP="00163957">
      <w:pPr>
        <w:pStyle w:val="TextoNormal"/>
      </w:pPr>
    </w:p>
    <w:p w:rsidR="00163957" w:rsidRDefault="00163957" w:rsidP="00163957">
      <w:pPr>
        <w:pStyle w:val="TextoNormal"/>
      </w:pPr>
      <w:r w:rsidRPr="00163957">
        <w:rPr>
          <w:rStyle w:val="NumeroAFNegritaCaracter"/>
        </w:rPr>
        <w:t>8</w:t>
      </w:r>
      <w:r>
        <w:t>. El 26 de junio de 2015 tuvo entrada en el Registro General de este Tribunal escrito de la Presidenta del Parlamento de Galicia al que se acompaña el certificado del acuerdo de personación tomado por la Mesa de la citada cámara y las alegaciones efectuadas por el Letrado oficial mayor del Parlamento de Galicia.</w:t>
      </w:r>
    </w:p>
    <w:p w:rsidR="00163957" w:rsidRDefault="00163957" w:rsidP="00163957">
      <w:pPr>
        <w:pStyle w:val="TextoNormal"/>
      </w:pPr>
    </w:p>
    <w:p w:rsidR="00163957" w:rsidRDefault="00163957" w:rsidP="00163957">
      <w:pPr>
        <w:pStyle w:val="TextoNormal"/>
      </w:pPr>
      <w:r>
        <w:t>En esas alegaciones se asume el carácter básico del art. 47.2 a) LBRL, en su redacción resultante de la Ley 57/2003, ya que el carácter básico del régimen de mayorías de los órganos de gobierno local fue destacado ya en las SSTC 33/1993 y 331/1993. En consecuencia, se dice, la regla de mayoría de dos tercios establecida en el precepto cuestionado, que reproduce la originariamente establecida en la Ley reguladora de las bases de régimen local pero hoy modificada por la Ley 57/2003, “deviene inaplicable desde la entrada en vigor de la Ley 57/2003, que la sustituye por la regla de la mayoría absoluta”; no obstante, prosigue el Letrado de la cámara autonómica, es posible defender la constitucionalidad del precepto controvertido. Para ello, dice, debe partirse de que el Parlamento de Galicia, al aprobar la Ley 5/1997, de 22 de julio, de Administración local de Galicia, actuó dentro del marco competencial autonómico y con sujeción a la normativa estatal básica vigente en aquel momento.</w:t>
      </w:r>
    </w:p>
    <w:p w:rsidR="00163957" w:rsidRDefault="00163957" w:rsidP="00163957">
      <w:pPr>
        <w:pStyle w:val="TextoNormal"/>
      </w:pPr>
    </w:p>
    <w:p w:rsidR="00163957" w:rsidRDefault="00163957" w:rsidP="00163957">
      <w:pPr>
        <w:pStyle w:val="TextoNormal"/>
      </w:pPr>
      <w:r>
        <w:t>En la regulación del régimen de mayorías, el Parlamento de Galicia bien podía haberse remitido simplemente a la normativa básica del Estado, pero optó, en lugar de ello, por reproducir las mayorías fijadas en aquella, en aras de la seguridad jurídica proclamada en el art. 9.3 CE. Una técnica legislativa habitual y validada por este propio Tribunal Constitucional (STC 146/1993).</w:t>
      </w:r>
    </w:p>
    <w:p w:rsidR="00163957" w:rsidRDefault="00163957" w:rsidP="00163957">
      <w:pPr>
        <w:pStyle w:val="TextoNormal"/>
      </w:pPr>
    </w:p>
    <w:p w:rsidR="00163957" w:rsidRDefault="00163957" w:rsidP="00163957">
      <w:pPr>
        <w:pStyle w:val="TextoNormal"/>
      </w:pPr>
      <w:r>
        <w:t>La contravención sobrevenida de ese precepto originario con la nueva normativa básica actualizada por la Ley estatal 57/2003 no debe conducir a una declaración de inconstitucionalidad, sino a la aplicación de la cláusula de prevalencia del art. 149.3 CE, cuya aplicabilidad demanda en este caso el Letrado de la cámara autonómica.</w:t>
      </w:r>
    </w:p>
    <w:p w:rsidR="00163957" w:rsidRDefault="00163957" w:rsidP="00163957">
      <w:pPr>
        <w:pStyle w:val="TextoNormal"/>
      </w:pPr>
    </w:p>
    <w:p w:rsidR="00163957" w:rsidRDefault="00163957" w:rsidP="00163957">
      <w:pPr>
        <w:pStyle w:val="TextoNormal"/>
      </w:pPr>
      <w:r>
        <w:t>No ignora, concluye, los casos de las SSTC 66/2011 y 159/2012, pero según su parecer sería interesante que se reinterpretara o matizara esa doctrina de manera que se distingan dos supuestos: el de colisión entre una ley autonómica y una ley estatal en el momento mismo en que aquélla es aprobada, y el de colisión de una norma autonómica originariamente acorde con la normativa estatal básica pero posteriormente contraria a ella por la modificación de esta última. En este segundo caso, sostiene, no sería necesaria la declaración de inconstitucionalidad, sino que cabría su mera inaplicación por haber sido desplazada por la norma estatal, al amparo de la cláusula de prevalencia del art. 149.3 CE. Esta le parece la solución más sencilla y acorde con las exigencias del funcionamiento ordinario del sistema normativo, evitando las disfuncionalidades que acarrea la doctrina plasmada en las SSTC 66/2011 y 159/2012, que acaban extendiéndose al orden procesal.</w:t>
      </w:r>
    </w:p>
    <w:p w:rsidR="00163957" w:rsidRDefault="00163957" w:rsidP="00163957">
      <w:pPr>
        <w:pStyle w:val="TextoNormal"/>
      </w:pPr>
    </w:p>
    <w:p w:rsidR="00163957" w:rsidRDefault="00163957" w:rsidP="00163957">
      <w:pPr>
        <w:pStyle w:val="TextoNormal"/>
      </w:pPr>
      <w:r>
        <w:t xml:space="preserve">Considera por ello que debe desestimarse la presente cuestión de inconstitucionalidad, porque la Sala de lo Contencioso-Administrativo del Tribunal Superior de Justicia de Galicia podía haber determinado de manera inmediata, a través de la cláusula de prevalencia (art. 149.3 CE), cuál era el precepto aplicable y el régimen de mayorías exigido. Recuerda que la doctrina de este Tribunal ha admitido la inaplicación de leyes por órganos de la jurisdicción ordinaria en otros supuestos, como el de las leyes preconstitucionales (STC </w:t>
      </w:r>
      <w:r>
        <w:lastRenderedPageBreak/>
        <w:t>4/1981), los textos refundidos y articulados, que pueden confrontarse con las bases aprobadas por el Parlamento (SSTC 51/1982, 47/1984 y 159/2001) y las leyes contrarias al derecho de la Unión Europea, que deben inaplicarse por exigencia del principio de primacía.</w:t>
      </w:r>
    </w:p>
    <w:p w:rsidR="00163957" w:rsidRDefault="00163957" w:rsidP="00163957">
      <w:pPr>
        <w:pStyle w:val="TextoNormal"/>
      </w:pPr>
    </w:p>
    <w:p w:rsidR="00163957" w:rsidRDefault="00163957" w:rsidP="00163957">
      <w:pPr>
        <w:pStyle w:val="TextoNormal"/>
      </w:pPr>
      <w:r w:rsidRPr="00163957">
        <w:rPr>
          <w:rStyle w:val="NumeroAFNegritaCaracter"/>
        </w:rPr>
        <w:t>9</w:t>
      </w:r>
      <w:r>
        <w:t>. Por escrito registrado el 2 de julio de 2015, el Letrado de la Diputación Provincial de A Coruña, en representación y defensa del Ayuntamiento de Oza-Cesuras, se personó ante este Tribunal y solicitó que se entendieran con él las sucesivas actuaciones.</w:t>
      </w:r>
    </w:p>
    <w:p w:rsidR="00163957" w:rsidRDefault="00163957" w:rsidP="00163957">
      <w:pPr>
        <w:pStyle w:val="TextoNormal"/>
      </w:pPr>
    </w:p>
    <w:p w:rsidR="00163957" w:rsidRDefault="00163957" w:rsidP="00163957">
      <w:pPr>
        <w:pStyle w:val="TextoNormal"/>
      </w:pPr>
      <w:r w:rsidRPr="00163957">
        <w:rPr>
          <w:rStyle w:val="NumeroAFNegritaCaracter"/>
        </w:rPr>
        <w:t>10</w:t>
      </w:r>
      <w:r>
        <w:t>. El Letrado de la Xunta de Galicia presentó sus alegaciones el 3 de julio de 2015 interesando la estimación de la presente cuestión de inconstitucionalidad “por acatamiento debido” de la doctrina de este Tribunal. En lo que a este proceso constitucional interesa, recuerda que para la Administración, al resolver el expediente de fusión, aplicar el precepto cuestionado (art. 32.1 de la Ley 5/1997) implicaba vulnerar, sin duda alguna, el art. 47.2 d) LBRL. Y apoya en las consideraciones recogidas en el Dictamen 390/2013 del Consello Consultivo de Galicia, emitido con ocasión de la disyuntiva que este caso se presentaba ante la Administración, la necesidad de optar por la aplicación de este último precepto, el estatal. No ofrece duda alguna, sostiene, que la vulneración de la normativa básica estatal por el art. 32.1 de la Ley 5/1997 se produjo de manera sobrevenida, como consecuencia de la modificación de la Ley reguladora de las bases de régimen local por la Ley 57/2003; y no puede omitirse tampoco que esa reforma ya ha sido considerada formal y materialmente básica por este Tribunal Constitucional en las SSTC 66/2011 y 159/2012. En consecuencia, y por aplicación de esa doctrina: (i) a la Xunta de Galicia no le quedó más alternativa que aplicar esa normativa estatal formal y materialmente básica; (ii) pero la Sala de lo Contencioso-Administrativo no puede inaplicar por su propia autoridad y en virtud de la cláusula de prevalencia el precepto autonómico cuestionado, contrario a esa norma estatal básica; (iii) es únicamente este Tribunal Constitucional el que puede declarar la inconstitucionalidad mediata y sobrevenida del art. 32.1 de la Ley 5/1997, y su nulidad. Concluye por todo ello la necesaria estimación de la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11</w:t>
      </w:r>
      <w:r>
        <w:t>. Por diligencia de ordenación de 6 de julio de 2015, la Secretaría de la Sala Segunda de este Tribunal acordó tener por personado y parte al Letrado asesor jurídico de la Diputación Provincial de A Coruña, en representación del Ayuntamiento de Oza-Cesuras, y tenerle por personado y parte en la presente cuestión de inconstitucionalidad, entendiéndose con él las sucesivas actuaciones y, conforme establece el art. 37.2 LOTC, concederle un plazo de 15 días para que formule las alegaciones que estime convenientes.</w:t>
      </w:r>
    </w:p>
    <w:p w:rsidR="00163957" w:rsidRDefault="00163957" w:rsidP="00163957">
      <w:pPr>
        <w:pStyle w:val="TextoNormal"/>
      </w:pPr>
    </w:p>
    <w:p w:rsidR="00163957" w:rsidRDefault="00163957" w:rsidP="00163957">
      <w:pPr>
        <w:pStyle w:val="TextoNormal"/>
      </w:pPr>
      <w:r w:rsidRPr="00163957">
        <w:rPr>
          <w:rStyle w:val="NumeroAFNegritaCaracter"/>
        </w:rPr>
        <w:t>12</w:t>
      </w:r>
      <w:r>
        <w:t>. El 31 de julio de 2015 tuvieron entrada en este Tribunal las alegaciones de la Fiscal General del Estado, en las que se defiende la estimación de la cuestión de inconstitucionalidad. Tras hacer un extenso resumen de los antecedentes del caso, se apoya en las ya citadas SSTC 66/2011 y 159/2012 para concluir que la modificación legislativa del art. 47.2 d) LBRL operada por la Ley 57/2003, de 16 de diciembre, ha provocado que el art. 32.1 de la Ley gallega haya resultado, de manera sobrevenida, contrario a ese nuevo marco básico estatal resultante de la Ley 57/2003, y que de conformidad con la doctrina sentada en las dos Sentencias citadas, ello deba conducir a la declaración de inconstitucionalidad y nulidad del art. 32.1 de la Ley 5/1997 por este Tribunal Constitucional.</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13</w:t>
      </w:r>
      <w:r>
        <w:t>. Por providencia de 16 de junio de 2016 se acordó señalar para deliberación y votación de la presente Sentencia el día 20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La presente cuestión de inconstitucionalidad se plantea en relación con el art. 32.1 de la Ley 5/1997, de 22 de julio, de Administración local de Galicia, que exige un régimen de mayorías cualificadas para la fusión de municipios que resulta contrario al fijado en el art. 47.2 a) de la Ley 7/1985, de 2 de abril, reguladora de las bases de régimen local (LBRL). Ambos preceptos son aplicables en el proceso </w:t>
      </w:r>
      <w:r w:rsidRPr="00163957">
        <w:rPr>
          <w:i/>
        </w:rPr>
        <w:t>a quo</w:t>
      </w:r>
      <w:r>
        <w:t xml:space="preserve"> y determinantes del fallo que haya de dictarse en cuanto que en ese proceso se impugna un decreto que aprueba la fusión voluntaria de dos municipios cuya iniciativa, que requiere un acuerdo municipal en tal sentido, habría cumplido el régimen de mayorías establecido en una de ellas (la estatal) pero no el de la otra (la autonómica).</w:t>
      </w:r>
    </w:p>
    <w:p w:rsidR="00163957" w:rsidRDefault="00163957" w:rsidP="00163957">
      <w:pPr>
        <w:pStyle w:val="TextoNormal"/>
      </w:pPr>
    </w:p>
    <w:p w:rsidR="00163957" w:rsidRDefault="00163957" w:rsidP="00163957">
      <w:pPr>
        <w:pStyle w:val="TextoNormal"/>
      </w:pPr>
      <w:r>
        <w:t>Inicialmente, ambas normas, el art. 47.2 a) LBRL y el art. 32.1 de la Ley 5/1997, exigían la misma mayoría de dos tercios del número de miembros de la corporación para la adopción de un acuerdo que implicase la alteración de términos municipales. Pero la modificación introducida en la primera por la Ley 57/2003, de 16 de diciembre, que redujo esa mayoría cualificada prevista en el art. 47.2 LBRL de los dos tercios a la mayoría absoluta del número legal de miembros de la corporación, ha provocado, según la Sala promotora, que el precepto autonómico haya quedado incurso en “inconstitucionalidad sobrevenida”, en expresión, entre otras, de las SSTC 66/2011, de 16 de mayo, FJ 5, y 159/2012, de 17 de septiembre, FJ 5, que resuelven un conflicto de normas muy semejante a este que ahora se plantea [en aquel caso se trataba de la alteración de la capitalidad de un municipio, letra d) del mismo art. 47.2 LBRL, siendo la norma cuestionada y a la postre declarada nula por este Tribunal procedente de la Comunidad Autónoma de Canarias, y no gallega].</w:t>
      </w:r>
    </w:p>
    <w:p w:rsidR="00163957" w:rsidRDefault="00163957" w:rsidP="00163957">
      <w:pPr>
        <w:pStyle w:val="TextoNormal"/>
      </w:pPr>
    </w:p>
    <w:p w:rsidR="00163957" w:rsidRDefault="00163957" w:rsidP="00163957">
      <w:pPr>
        <w:pStyle w:val="TextoNormal"/>
      </w:pPr>
      <w:r>
        <w:t>En estricta aplicación de esa doctrina, la Sección Segunda de la Sala de lo Contencioso-Administrativo del Tribunal Superior de Justicia de Galicia eleva la presente cuestión de inconstitucionalidad para que este Tribunal declare esa “inconstitucionalidad sobrevenida” del art. 32.1 de la Ley 5/1997, teniendo presente el carácter formal y materialmente básico del nuevo art. 47.2 LBRL ya declarado en las citadas SSTC 66/2011 y 159/2012, por referencia a su letra d).</w:t>
      </w:r>
    </w:p>
    <w:p w:rsidR="00163957" w:rsidRDefault="00163957" w:rsidP="00163957">
      <w:pPr>
        <w:pStyle w:val="TextoNormal"/>
      </w:pPr>
    </w:p>
    <w:p w:rsidR="00163957" w:rsidRDefault="00163957" w:rsidP="00163957">
      <w:pPr>
        <w:pStyle w:val="TextoNormal"/>
      </w:pPr>
      <w:r w:rsidRPr="00163957">
        <w:rPr>
          <w:rStyle w:val="NumeroAFNegritaCaracter"/>
        </w:rPr>
        <w:t>2</w:t>
      </w:r>
      <w:r>
        <w:t>. Así formulada, la presente cuestión de inconstitucionalidad es idéntica a la núm. 1619-2015, planteada por el mismo órgano jurisdiccional en relación con el mismo precepto legal y por los mismos motivos, en el seno del recurso contencioso-administrativo interpuesto también por concejales disconformes con el mismo acto administrativo, y que ha sido recientemente resuelta por el Pleno de este Tribunal en la STC 102/2016, de 25 de mayo. Por lo tanto, lo decidido en esa Sentencia es de plena aplicación a este nuevo proceso con el mismo objeto.</w:t>
      </w:r>
    </w:p>
    <w:p w:rsidR="00163957" w:rsidRDefault="00163957" w:rsidP="00163957">
      <w:pPr>
        <w:pStyle w:val="TextoNormal"/>
      </w:pPr>
    </w:p>
    <w:p w:rsidR="00163957" w:rsidRDefault="00163957" w:rsidP="00163957">
      <w:pPr>
        <w:pStyle w:val="TextoNormal"/>
      </w:pPr>
      <w:r>
        <w:t>Según recordábamos en el precedente mencionado:</w:t>
      </w:r>
    </w:p>
    <w:p w:rsidR="00163957" w:rsidRDefault="00163957" w:rsidP="00163957">
      <w:pPr>
        <w:pStyle w:val="TextoNormal"/>
      </w:pPr>
    </w:p>
    <w:p w:rsidR="00163957" w:rsidRDefault="00163957" w:rsidP="00163957">
      <w:pPr>
        <w:pStyle w:val="TextoNormal"/>
      </w:pPr>
      <w:r>
        <w:lastRenderedPageBreak/>
        <w:t>a) El conflicto de normas que se nos plantea es nuevamente uno de los que hemos denominado “inconstitucionalidad indirecta o mediata”, en los que la norma autonómica controvertida no vulnera directa o frontalmente un precepto de la Constitución, sino que lo hace de manera secundaria o derivada, por infringir una norma de rango infraconstitucional dictada por el Estado en el ejercicio de sus competencias propias (STC 102/2016, FJ 1).</w:t>
      </w:r>
    </w:p>
    <w:p w:rsidR="00163957" w:rsidRDefault="00163957" w:rsidP="00163957">
      <w:pPr>
        <w:pStyle w:val="TextoNormal"/>
      </w:pPr>
    </w:p>
    <w:p w:rsidR="00163957" w:rsidRDefault="00163957" w:rsidP="00163957">
      <w:pPr>
        <w:pStyle w:val="TextoNormal"/>
      </w:pPr>
      <w:r>
        <w:t>b) Es, además, un caso de inconstitucionalidad “sobrevenida”, pues en estos casos de inconstitucionalidad mediata es, efectivamente, doctrina de este Tribunal que “la modificación de la normativa estatal básica de obligado acatamiento por las comunidades autónomas no provoca la derogación o desplazamiento del precepto legal autonómico anterior y contrario a esa nueva normativa básica”, sino que provoca su “inconstitucionalidad sobrevenida”, de modo que “no puede un órgano de la jurisdicción ordinaria inaplicar, por su propia y exclusiva autoridad, esa norma de rango legal, sino que el sometimiento estricto de la jurisdicción ordinaria al ‘imperio de la ley’ (art. 117.1 CE) y el monopolio de este Tribunal Constitucional en la fiscalización de la constitucionalidad de las leyes obligan, de acuerdo con el art. 163 CE, a promover la correspondiente cuestión de inconstitucionalidad” (STC 102/2016, FJ 2).</w:t>
      </w:r>
    </w:p>
    <w:p w:rsidR="00163957" w:rsidRDefault="00163957" w:rsidP="00163957">
      <w:pPr>
        <w:pStyle w:val="TextoNormal"/>
      </w:pPr>
    </w:p>
    <w:p w:rsidR="00163957" w:rsidRDefault="00163957" w:rsidP="00163957">
      <w:pPr>
        <w:pStyle w:val="TextoNormal"/>
      </w:pPr>
      <w:r>
        <w:t>c) No obstante, la STC 102/2016 declaró que en ese caso idéntico al que ahora nos ocupa no resultaba de aplicación la doctrina general comentada, en la medida en que “la legislación autonómica no ha hecho sino reproducir la legislación básica, y ésta se modifica después en un sentido incompatible con aquella legislación autonómica” (FJ 2).</w:t>
      </w:r>
    </w:p>
    <w:p w:rsidR="00163957" w:rsidRDefault="00163957" w:rsidP="00163957">
      <w:pPr>
        <w:pStyle w:val="TextoNormal"/>
      </w:pPr>
    </w:p>
    <w:p w:rsidR="00163957" w:rsidRDefault="00163957" w:rsidP="00163957">
      <w:pPr>
        <w:pStyle w:val="TextoNormal"/>
      </w:pPr>
      <w:r>
        <w:t>En estas circunstancias:</w:t>
      </w:r>
    </w:p>
    <w:p w:rsidR="00163957" w:rsidRDefault="00163957" w:rsidP="00163957">
      <w:pPr>
        <w:pStyle w:val="TextoNormal"/>
      </w:pPr>
    </w:p>
    <w:p w:rsidR="00163957" w:rsidRDefault="00163957" w:rsidP="00163957">
      <w:pPr>
        <w:pStyle w:val="TextoNormal"/>
      </w:pPr>
      <w:r>
        <w:t>(i) Hay que partir de la premisa de que “[l]a articulación de las competencias estatales y autonómicas mediante la técnica de la atribución al Estado de la competencia para dictar la legislación básica sobre una determinada materia y a las Comunidades Autónomas la de aprobar la normativa necesaria de desarrollo determina, en principio, ámbitos materiales tangentes pero no secantes”, lo que significa “que la legislación autonómica solo puede ocupar los espacios materiales no regulados por la legislación básica” (STC 102/2016, FJ 5).</w:t>
      </w:r>
    </w:p>
    <w:p w:rsidR="00163957" w:rsidRDefault="00163957" w:rsidP="00163957">
      <w:pPr>
        <w:pStyle w:val="TextoNormal"/>
      </w:pPr>
    </w:p>
    <w:p w:rsidR="00163957" w:rsidRDefault="00163957" w:rsidP="00163957">
      <w:pPr>
        <w:pStyle w:val="TextoNormal"/>
      </w:pPr>
      <w:r>
        <w:t>(ii) Ello no obstante, es “frecuente” que los legisladores legislador autonómicos introduzcan o repitan “en su normativa de desarrollo preceptos que corresponden a la legislación básica” que pretenden desarrollar (STC 102/2016, FJ 5).</w:t>
      </w:r>
    </w:p>
    <w:p w:rsidR="00163957" w:rsidRDefault="00163957" w:rsidP="00163957">
      <w:pPr>
        <w:pStyle w:val="TextoNormal"/>
      </w:pPr>
    </w:p>
    <w:p w:rsidR="00163957" w:rsidRDefault="00163957" w:rsidP="00163957">
      <w:pPr>
        <w:pStyle w:val="TextoNormal"/>
      </w:pPr>
      <w:r>
        <w:t>(iii) En estos casos, y de conformidad con la doctrina anterior de este Tribunal, si la finalidad de esa “reproducción por la legislación autonómica de desarrollo de preceptos de la legislación básica” es simplemente “facilitar al operador jurídico el conocimiento de la normativa aplicable, incluyendo en un solo texto el conjunto de la normativa a tener en cuenta”, entonces es claro que esa repetición no puede “alterar la naturaleza de la legislación reproducida”, ni permitir al “legislador autonómico … atribuirse potestad alguna de influir en la legislación básica” del Estado, de modo que, como igualmente ha declarado este Tribunal en ocasiones anteriores, si se produce la modificación de la legislación estatal básica repetida en la ley autonómica anterior “el legislador autonómico … debe acomodarse” a esa modificación y cambiar su propia ley de desarrollo (STC 102/2016, FJ 6).</w:t>
      </w:r>
    </w:p>
    <w:p w:rsidR="00163957" w:rsidRDefault="00163957" w:rsidP="00163957">
      <w:pPr>
        <w:pStyle w:val="TextoNormal"/>
      </w:pPr>
    </w:p>
    <w:p w:rsidR="00163957" w:rsidRDefault="00163957" w:rsidP="00163957">
      <w:pPr>
        <w:pStyle w:val="TextoNormal"/>
      </w:pPr>
      <w:r>
        <w:lastRenderedPageBreak/>
        <w:t>(iv) Pero si esa modificación de la Ley autonómica no se produce, como es el caso, y ésta se mantiene incólume pese a la modificación de las bases estatales que en ella se repiten, entonces “otorgar preferencia a la legislación básica estatal es la solución lógica a una situación provocada por la propia Comunidad Autónoma que ha incumplido su deber de inmediata acomodación de su legislación de desarrollo a la nueva legislación básica”, que aquélla no puede bloquear. Y es, además, “la solución que deriva del carácter superfluo de la legislación reproductora, que no añade nada a la legislación básica para que aquélla pueda ser considerada realmente normativa de desarrollo” (STC 102/2016, FJ 6). Sin perjuicio de otros apoyos que se detallan en la repetida STC 102/2016, la preferencia de la legislación estatal en esos casos “es la solución que se corresponde con lo dispuesto en el art. 149.3 CE que atribuye a las normas del Estado prevalencia sobre las de las Comunidades Autónomas en todo lo que no esté atribuido a la exclusiva competencia de éstas”, teniendo siempre presente que en este caso la comunidad autónoma de Galicia incluyó en su día el inciso cuestionado en su Ley de administración local “no … reclamando una competencia propia” de desarrollo de la materia, “sino por puro mimetismo con la regulación contenida en la legislación básica que aquella ley pretendía desarrollar” (FJ 6).</w:t>
      </w:r>
    </w:p>
    <w:p w:rsidR="00163957" w:rsidRDefault="00163957" w:rsidP="00163957">
      <w:pPr>
        <w:pStyle w:val="TextoNormal"/>
      </w:pPr>
    </w:p>
    <w:p w:rsidR="00163957" w:rsidRDefault="00163957" w:rsidP="00163957">
      <w:pPr>
        <w:pStyle w:val="TextoNormal"/>
      </w:pPr>
      <w:r>
        <w:t>Por todo ello, la inaplicación por los operadores jurídicos primarios de la ley autonómica en estos casos “[s]upone el único resultado constitucionalmente respetuoso con la plenitud del ordenamiento (art. 149.3 CE)”, en la medida en que “no” se ha “puest[o] en duda la constitucionalidad de la legislación básica modificada”, ya declarada además por este Tribunal en las SSTC 66/2011, de 16 de marzo, FJ 3, y 159/2012, de 17 de septiembre, FJ 3, como ha recordado la STC 102/2016, FJ 6.</w:t>
      </w:r>
    </w:p>
    <w:p w:rsidR="00163957" w:rsidRDefault="00163957" w:rsidP="00163957">
      <w:pPr>
        <w:pStyle w:val="TextoNormal"/>
      </w:pPr>
    </w:p>
    <w:p w:rsidR="00163957" w:rsidRDefault="00163957" w:rsidP="00163957">
      <w:pPr>
        <w:pStyle w:val="TextoNormal"/>
      </w:pPr>
      <w:r>
        <w:t>(v) Consecuencia de todo lo anterior es que “la Xunta de Galicia actuó acertadamente” (STC 102/2016, FJ 6) al inaplicar el precepto autonómico cuestionado en el Decreto objeto de recurso contencioso-administrativo ante la jurisdicción ordinaria. Por lo tanto, el citado precepto “no resulta aplicable al caso” en cuyo seno se ha planteado la presente cuestión de inconstitucionalidad y procede declarar la “inadmisibilidad del presente proceso constitucional” (STC 102/2016, FJ 7).</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Inadmitir la presente cuestión de inconstitucionalidad.</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veinte de junio de dos mil dieciséis.</w:t>
      </w:r>
    </w:p>
    <w:p w:rsidR="00163957" w:rsidRDefault="00163957" w:rsidP="00163957">
      <w:pPr>
        <w:pStyle w:val="ParrafoNormal"/>
      </w:pPr>
    </w:p>
    <w:p w:rsidR="00163957" w:rsidRDefault="00163957" w:rsidP="00163957">
      <w:pPr>
        <w:pStyle w:val="TextoNormalNegritaCentrado"/>
        <w:keepNext/>
      </w:pPr>
      <w:r>
        <w:lastRenderedPageBreak/>
        <w:t>Voto particular que formula el Magistrado don Andrés Ollero Tassara a la Sentencia de la Sala Primera de 20 de junio de 2016 dictada en la cuestión de inconstitucionalidad núm. 1663-2015.</w:t>
      </w:r>
    </w:p>
    <w:p w:rsidR="00163957" w:rsidRDefault="00163957" w:rsidP="00163957">
      <w:pPr>
        <w:pStyle w:val="TextoNormalNegritaCentrado"/>
        <w:keepNext/>
      </w:pPr>
    </w:p>
    <w:p w:rsidR="00163957" w:rsidRDefault="00163957" w:rsidP="00163957">
      <w:pPr>
        <w:pStyle w:val="TextoNormal"/>
      </w:pPr>
      <w:r>
        <w:t>En el ejercicio de la facultad conferida por el art. 90.2 de la Ley Orgánica del Tribunal Constitucional formulo, con el mayor respeto al dictamen de la mayoría, el presente Voto particular expresando mi discrepancia respecto a la argumentación de la Sentencia, a fin de ser coherente con la posición mantenida durante su deliberación en la Sala.</w:t>
      </w:r>
    </w:p>
    <w:p w:rsidR="00163957" w:rsidRDefault="00163957" w:rsidP="00163957">
      <w:pPr>
        <w:pStyle w:val="TextoNormal"/>
      </w:pPr>
    </w:p>
    <w:p w:rsidR="00163957" w:rsidRDefault="00163957" w:rsidP="00163957">
      <w:pPr>
        <w:pStyle w:val="TextoNormal"/>
      </w:pPr>
      <w:r>
        <w:t>Tuve ya oportunidad de exponer similar postura con motivo de la deliberación en el Pleno de la cuestión de inconstitucionalidad 1619-2015, aunque por incidencias procedimentales no llegara a reflejarse mi adhesión al Voto particular entonces formulado por la Magistrada Asua Batarrita, que acompañó a la Sentencia 102/2016, de 25 de mayo.</w:t>
      </w:r>
    </w:p>
    <w:p w:rsidR="00163957" w:rsidRDefault="00163957" w:rsidP="00163957">
      <w:pPr>
        <w:pStyle w:val="TextoNormal"/>
      </w:pPr>
    </w:p>
    <w:p w:rsidR="00163957" w:rsidRDefault="00163957" w:rsidP="00163957">
      <w:pPr>
        <w:pStyle w:val="TextoNormal"/>
      </w:pPr>
      <w:r>
        <w:t>Dada la similitud de la solución razonada en sus fundamentos jurídicos con los de la Sentencia de la Sala Primera que ahora nos ocupa, hago mía la argumentación recogida en dicho Voto.</w:t>
      </w:r>
    </w:p>
    <w:p w:rsidR="00163957" w:rsidRDefault="00163957" w:rsidP="00163957">
      <w:pPr>
        <w:pStyle w:val="TextoNormal"/>
      </w:pPr>
    </w:p>
    <w:p w:rsidR="00163957" w:rsidRDefault="00163957" w:rsidP="00163957">
      <w:pPr>
        <w:pStyle w:val="TextoNormal"/>
      </w:pPr>
      <w:r>
        <w:t>Madrid, a veinte de junio de dos mil dieciséis.</w:t>
      </w:r>
    </w:p>
    <w:p w:rsidR="00163957" w:rsidRDefault="00163957" w:rsidP="00163957">
      <w:pPr>
        <w:pStyle w:val="TextoNormal"/>
      </w:pPr>
    </w:p>
    <w:p w:rsidR="00163957" w:rsidRDefault="00163957" w:rsidP="00163957">
      <w:pPr>
        <w:pStyle w:val="TextoNormalNegritaCentrado"/>
        <w:keepNext/>
      </w:pPr>
      <w:r>
        <w:t>Voto particular que formula el Magistrado don Santiago Martínez-Vares García a la Sentencia dictada en la cuestión de inconstitucionalidad número 1663-2015.</w:t>
      </w:r>
    </w:p>
    <w:p w:rsidR="00163957" w:rsidRDefault="00163957" w:rsidP="00163957">
      <w:pPr>
        <w:pStyle w:val="TextoNormalNegritaCentrado"/>
        <w:keepNext/>
      </w:pPr>
    </w:p>
    <w:p w:rsidR="00163957" w:rsidRDefault="00163957" w:rsidP="00163957">
      <w:pPr>
        <w:pStyle w:val="TextoNormal"/>
      </w:pPr>
      <w:r>
        <w:t>En el ejercicio de la facultad conferida por el art. 90.2 de la Ley Orgánica del Tribunal Constitucional formulo, con el mayor respeto a la decisión de la mayoría, el presente Voto particular expresando mi discrepancia respecto a la argumentación de esta Sentencia, a fin de ser coherente con la posición mantenida durante su deliberación en la Sala.</w:t>
      </w:r>
    </w:p>
    <w:p w:rsidR="00163957" w:rsidRDefault="00163957" w:rsidP="00163957">
      <w:pPr>
        <w:pStyle w:val="TextoNormal"/>
      </w:pPr>
    </w:p>
    <w:p w:rsidR="00163957" w:rsidRDefault="00163957" w:rsidP="00163957">
      <w:pPr>
        <w:pStyle w:val="TextoNormal"/>
      </w:pPr>
      <w:r>
        <w:t>En consecuencia y dada la similitud de la solución expresada en el fallo de la Sentencia 102/2016 de 25 de mayo, con el de la Sentencia de esta Sala Primera que ahora nos ocupa, hago mía la argumentación recogida en el Voto de la Magistrada doña Adela Asua Batarrita, a la citada Sentencia 102/2016 al que me adhiero.</w:t>
      </w:r>
    </w:p>
    <w:p w:rsidR="00163957" w:rsidRDefault="00163957" w:rsidP="00163957">
      <w:pPr>
        <w:pStyle w:val="TextoNormal"/>
      </w:pPr>
    </w:p>
    <w:p w:rsidR="00163957" w:rsidRDefault="00163957" w:rsidP="00163957">
      <w:pPr>
        <w:pStyle w:val="TextoNormal"/>
      </w:pPr>
      <w:r>
        <w:t>Madrid, a veinte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20" w:name="SENTENCIA_2016_117"/>
      <w:r>
        <w:lastRenderedPageBreak/>
        <w:t>SENTENCIA 117/2016, de 20 de junio de 2016</w:t>
      </w:r>
    </w:p>
    <w:bookmarkEnd w:id="120"/>
    <w:p w:rsidR="00163957" w:rsidRDefault="00163957" w:rsidP="00163957">
      <w:pPr>
        <w:pStyle w:val="TtuloResolucin"/>
      </w:pPr>
      <w:r>
        <w:t>Sala Segunda</w:t>
      </w:r>
    </w:p>
    <w:p w:rsidR="00163957" w:rsidRDefault="00163957" w:rsidP="00163957">
      <w:pPr>
        <w:pStyle w:val="TtuloBOE"/>
      </w:pPr>
      <w:r>
        <w:t>(BOE núm. 181, de 28 de julio de 2016)</w:t>
      </w:r>
    </w:p>
    <w:p w:rsidR="00163957" w:rsidRDefault="00163957" w:rsidP="00163957">
      <w:pPr>
        <w:pStyle w:val="TextoNormalCentrado"/>
      </w:pPr>
      <w:r>
        <w:t>ECLI:ES:TC:2016:117</w:t>
      </w:r>
    </w:p>
    <w:p w:rsidR="00163957" w:rsidRDefault="00163957" w:rsidP="00163957">
      <w:pPr>
        <w:pStyle w:val="TextoNormalCentrado"/>
      </w:pPr>
    </w:p>
    <w:p w:rsidR="00163957" w:rsidRDefault="00163957" w:rsidP="00163957">
      <w:pPr>
        <w:pStyle w:val="SntesisDescriptiva"/>
      </w:pPr>
      <w:r>
        <w:t>Recurso de amparo 4924-2015. Promovido por Calzados D’Simons, S.L., en relación con la resolución sancionadora dictada por el Ministerio del Interior y la Sentencia de un Juzgado de lo Contencioso-Administrativo de Toledo que desestimó su impugnación.</w:t>
      </w:r>
    </w:p>
    <w:p w:rsidR="00163957" w:rsidRDefault="00163957" w:rsidP="00163957">
      <w:pPr>
        <w:pStyle w:val="SntesisDescriptiva"/>
      </w:pPr>
    </w:p>
    <w:p w:rsidR="00163957" w:rsidRDefault="00163957" w:rsidP="00163957">
      <w:pPr>
        <w:pStyle w:val="SntesisAnaltica"/>
      </w:pPr>
      <w:r>
        <w:t>Vulneración del derecho a la presunción de inocencia: sanción impuesta por incumplimiento del deber de identificación veraz del conductor, consecuencia de la negativa del propio identificado a ser tenido como tal (STC 29/2014).</w:t>
      </w:r>
    </w:p>
    <w:p w:rsidR="00163957" w:rsidRDefault="00163957" w:rsidP="00163957">
      <w:pPr>
        <w:pStyle w:val="SntesisAnaltica"/>
      </w:pPr>
    </w:p>
    <w:p w:rsidR="00163957" w:rsidRDefault="00163957" w:rsidP="00163957">
      <w:pPr>
        <w:pStyle w:val="Extracto"/>
      </w:pPr>
      <w:r>
        <w:t>1.</w:t>
      </w:r>
      <w:r>
        <w:tab/>
        <w:t>La negación de la condición de conductor por el identificado como tal en el seno de un procedimiento sancionador, no supone la automática declaración de responsabilidad del propietario del vehículo por el incumplimiento de la identificación veraz del conductor. El propietario sólo podrá ser sancionado, tras la tramitación del correspondiente procedimiento y a la vista, en cada caso, de las alegaciones realizadas y las pruebas en él practicadas, conforme a las reglas que derivan del derecho a la presunción de inocencia (STC 29/2014) [FJ 4].</w:t>
      </w:r>
    </w:p>
    <w:p w:rsidR="00163957" w:rsidRDefault="00163957" w:rsidP="00163957">
      <w:pPr>
        <w:pStyle w:val="Extracto"/>
      </w:pPr>
    </w:p>
    <w:p w:rsidR="00163957" w:rsidRDefault="00163957" w:rsidP="00163957">
      <w:pPr>
        <w:pStyle w:val="Extracto"/>
      </w:pPr>
      <w:r>
        <w:t>2.</w:t>
      </w:r>
      <w:r>
        <w:tab/>
        <w:t>La mera negación del hecho de la conducción por la persona identificada, por sí sola, no es prueba bastante de la inveracidad de la identificación, a los efectos de destruir la presunción de inocencia [FJ 4].</w:t>
      </w:r>
    </w:p>
    <w:p w:rsidR="00163957" w:rsidRDefault="00163957" w:rsidP="00163957">
      <w:pPr>
        <w:pStyle w:val="Extracto"/>
      </w:pPr>
    </w:p>
    <w:p w:rsidR="00163957" w:rsidRDefault="00163957" w:rsidP="00163957">
      <w:pPr>
        <w:pStyle w:val="Extracto"/>
      </w:pPr>
      <w:r>
        <w:t>3.</w:t>
      </w:r>
      <w:r>
        <w:tab/>
        <w:t>El deber legal de colaborar no puede extenderse al extremo de convertir al propietario de un vehículo en perseguidor del “infractor” con una obligación de resultado, haciéndole responsable</w:t>
      </w:r>
      <w:r w:rsidRPr="00163957">
        <w:rPr>
          <w:i/>
        </w:rPr>
        <w:t xml:space="preserve"> iuris et de iure </w:t>
      </w:r>
      <w:r>
        <w:t>del fracaso de la identificación, con consecuencia sancionadora [FJ 5].</w:t>
      </w:r>
    </w:p>
    <w:p w:rsidR="00163957" w:rsidRDefault="00163957" w:rsidP="00163957">
      <w:pPr>
        <w:pStyle w:val="Extracto"/>
      </w:pPr>
    </w:p>
    <w:p w:rsidR="00163957" w:rsidRDefault="00163957" w:rsidP="00163957">
      <w:pPr>
        <w:pStyle w:val="Extracto"/>
      </w:pPr>
      <w:r>
        <w:t>4.</w:t>
      </w:r>
      <w:r>
        <w:tab/>
        <w:t>El deber legal de colaboración comprende el ofrecimiento de una identificación veraz y de explicaciones y justificaciones que permitan comprobarla [FJ 5].</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el recurso de amparo núm. 4924-2015, promovido por la entidad Calzados D’Simons, S.L., representada por la Procuradora de los Tribunales doña María Amaya Castillo Gallo y defendida por el Letrado don Carlos Iván Peces Moreno, contra la resolución sancionadora de 1 de abril de 2014, dictada por el director del centro de tratamiento de denuncias automatizadas del Ministerio del Interior, por delegación de la Jefatura Provincial de Tráfico de Toledo, confirmada en reposición por resolución de 26 de mayo de 2014, y contra la Sentencia del Juzgado de lo Contencioso-Administrativo núm. 3 de Toledo, de 30 de junio de 2015, que desestimó el recurso contencioso-administrativo interpuesto contra las anteriores (procedimiento abreviado núm. 326-2014). Ha sido parte el Abogado del Estado, en la representación que ostenta, y ha intervenido el Ministerio Fiscal. Ha sido Ponente el Magistrado don Juan José González Rivas,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4 de septiembre de 2015, la Procuradora de los Tribunales doña María Amaya Castillo Gallo, en nombre y representación de entidad mercantil Calzados D’Simons, S.L., interpuso recurso de amparo contra las resoluciones referidas en el encabezamiento.</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en que se fundamenta la demanda de amparo son, sucintamente expuestos, los siguientes:</w:t>
      </w:r>
    </w:p>
    <w:p w:rsidR="00163957" w:rsidRDefault="00163957" w:rsidP="00163957">
      <w:pPr>
        <w:pStyle w:val="TextoNormal"/>
      </w:pPr>
    </w:p>
    <w:p w:rsidR="00163957" w:rsidRDefault="00163957" w:rsidP="00163957">
      <w:pPr>
        <w:pStyle w:val="TextoNormal"/>
      </w:pPr>
      <w:r>
        <w:t xml:space="preserve">a) En fecha 2 de enero de 2014, la entidad Calzados D’Simons, S.L., recibió notificación de denuncia, correspondiente al expediente sancionador núm. 45.045.364.146-3, procedente del centro de tratamiento de denuncias automatizadas del Ministerio del Interior, en la que se ponía de manifiesto el hecho presuntamente acaecido el día 12 de noviembre de 2013 a las 12:44 horas, consistente en la circulación del vehículo con matrícula 5578 GTC, propiedad de dicha entidad mercantil, a 85 km/h en el punto kilométrico 9,4 de la vía CM-4011 (sentido Toledo), estando limitada la velocidad a 50 km/h. En dicha comunicación se le requirió para que, en el plazo de 20 días hábiles, procediera a identificar verazmente al conductor responsable de la infracción. Ello con apercibimiento de que, de no cumplir con tal deber en el plazo indicado, se iniciaría contra la misma expediente sancionador por incumplimiento del art. 9 </w:t>
      </w:r>
      <w:r w:rsidRPr="00163957">
        <w:rPr>
          <w:i/>
        </w:rPr>
        <w:t>bis</w:t>
      </w:r>
      <w:r>
        <w:t xml:space="preserve"> del Real Decreto Legislativo 339/1990, de 2 de marzo, por el que se aprueba el texto articulado de la Ley sobre tráfico, circulación de vehículos a motor y seguridad vial (LSV), correspondiéndole una sanción de 1.200 €.</w:t>
      </w:r>
    </w:p>
    <w:p w:rsidR="00163957" w:rsidRDefault="00163957" w:rsidP="00163957">
      <w:pPr>
        <w:pStyle w:val="TextoNormal"/>
      </w:pPr>
    </w:p>
    <w:p w:rsidR="00163957" w:rsidRDefault="00163957" w:rsidP="00163957">
      <w:pPr>
        <w:pStyle w:val="TextoNormal"/>
      </w:pPr>
      <w:r>
        <w:t>b) Con fecha 8 de enero de 2014, la mercantil titular del vehículo identificó como conductor, mediante el servicio telemático establecido en la página web de la Dirección General del Tráfico, a don F.J.P.H, con indicación de su domicilio y número de documento nacional de identidad.</w:t>
      </w:r>
    </w:p>
    <w:p w:rsidR="00163957" w:rsidRDefault="00163957" w:rsidP="00163957">
      <w:pPr>
        <w:pStyle w:val="TextoNormal"/>
      </w:pPr>
    </w:p>
    <w:p w:rsidR="00163957" w:rsidRDefault="00163957" w:rsidP="00163957">
      <w:pPr>
        <w:pStyle w:val="TextoNormal"/>
      </w:pPr>
      <w:r>
        <w:t xml:space="preserve">c) Tras recibir dicha comunicación, el órgano instructor notificó la denuncia a la persona identificada como conductor. En dicha denuncia se indicaba que el importe total de la multa sería de 400 €, con posibilidad de reducción a 200 €, y que la firmeza de la sanción conllevaría la pérdida de cuatro puntos. La persona identificada manifestó por escrito que el día </w:t>
      </w:r>
      <w:r>
        <w:lastRenderedPageBreak/>
        <w:t>12 de noviembre de 2013 “no conducía dicho vehículo, y que el vehículo denunciado no es de mi propiedad”.</w:t>
      </w:r>
    </w:p>
    <w:p w:rsidR="00163957" w:rsidRDefault="00163957" w:rsidP="00163957">
      <w:pPr>
        <w:pStyle w:val="TextoNormal"/>
      </w:pPr>
    </w:p>
    <w:p w:rsidR="00163957" w:rsidRDefault="00163957" w:rsidP="00163957">
      <w:pPr>
        <w:pStyle w:val="TextoNormal"/>
      </w:pPr>
      <w:r>
        <w:t>d) A consecuencia de lo que precede, el centro de tratamiento de denuncias automatizadas del Ministerio del Interior acordó el inicio de expediente sancionador núm. 45.945.364.146-0 contra Calzados D’Simons, S.L., por la infracción muy grave consistente en no haber identificado verazmente al conductor del vehículo denunciado, a pesar de haber sido debidamente requerida para ello. Con fecha 5 de marzo de 2014, la entidad citada recibió traslado de la denuncia de fecha 20 de febrero de 2014 en la que se proponía una sanción de multa por importe de 1.200 € por dicha infracción.</w:t>
      </w:r>
    </w:p>
    <w:p w:rsidR="00163957" w:rsidRDefault="00163957" w:rsidP="00163957">
      <w:pPr>
        <w:pStyle w:val="TextoNormal"/>
      </w:pPr>
    </w:p>
    <w:p w:rsidR="00163957" w:rsidRDefault="00163957" w:rsidP="00163957">
      <w:pPr>
        <w:pStyle w:val="TextoNormal"/>
      </w:pPr>
      <w:r>
        <w:t>e) La entidad mercantil demandante formuló escrito de alegaciones, que tuvo entrada en el registro del órgano competente el 18 de marzo de 2014, en el que ponía de manifiesto que el requerimiento fue cumplido debidamente, habiendo identificado correctamente al conductor del vehículo de forma veraz, siendo don F.J.P.H. empleado de tal mercantil, el cual estaba realizando diversas gestiones para la misma el día en que cometió la infracción. Con objeto de acreditar lo alegado, adjuntó a dicho escrito de alegaciones el justificante de identificación del conductor, fotocopia del documento nacional de identidad de la persona identificada como conductor y un escrito firmado por esta misma persona en que afirmaba que en la fecha y hora de comisión de la presunta infracción estuvo “conduciendo el vehículo propiedad de la mercantil Calzados D’Simons, S.L., marca Peugeot 207, con número de matrícula 5578-GTC, por estar realizando diversas tareas encargadas por la dirección de la empresa”. Adicionalmente, dicha persona firmaba el escrito de alegaciones formuladas “en conformidad con su contenido”. El escrito terminaba solicitando el archivo del expediente así como la apertura de un periodo de prueba a fin de que se tomara declaración a la persona identificada como conductor para la confirmación de los hechos expuestos.</w:t>
      </w:r>
    </w:p>
    <w:p w:rsidR="00163957" w:rsidRDefault="00163957" w:rsidP="00163957">
      <w:pPr>
        <w:pStyle w:val="TextoNormal"/>
      </w:pPr>
    </w:p>
    <w:p w:rsidR="00163957" w:rsidRDefault="00163957" w:rsidP="00163957">
      <w:pPr>
        <w:pStyle w:val="TextoNormal"/>
      </w:pPr>
      <w:r>
        <w:t xml:space="preserve">f) Con fecha de 1 de abril de 2014, sin que mediara previo y expreso pronunciamiento sobre la prueba propuesta por la entidad interesada, se dictó resolución por el Director del Centro de Tratamiento de Denuncias Automatizadas, por delegación del Jefe Provincial de Tráfico de Toledo, que impuso a la entidad mercantil recurrente una sanción de 1.200 € por infracción del artículo 9 </w:t>
      </w:r>
      <w:r w:rsidRPr="00163957">
        <w:rPr>
          <w:i/>
        </w:rPr>
        <w:t>bis</w:t>
      </w:r>
      <w:r>
        <w:t>.1 LSV, a consecuencia del hecho consistente en “no facilitar el titular o arrendatario del vehículo, debidamente requerido para ello, la identificación veraz del conductor del mismo en el momento de ser cometida una infracción”. Dicha resolución fue notificada a la interesada el día 22 de abril de 2015.</w:t>
      </w:r>
    </w:p>
    <w:p w:rsidR="00163957" w:rsidRDefault="00163957" w:rsidP="00163957">
      <w:pPr>
        <w:pStyle w:val="TextoNormal"/>
      </w:pPr>
    </w:p>
    <w:p w:rsidR="00163957" w:rsidRDefault="00163957" w:rsidP="00163957">
      <w:pPr>
        <w:pStyle w:val="TextoNormal"/>
      </w:pPr>
      <w:r>
        <w:t xml:space="preserve">g) Frente a dicha resolución sancionadora interpuso la entidad mercantil interesada recurso de reposición que fue desestimado por Resolución del Jefe Provincial de Tráfico de Toledo de fecha 26 de mayo de 2014. En ella se indicaba que aparecía acreditado por las actuaciones y documentación obrantes en el expediente que el titular del vehículo denunciado había incumplido la obligación contenida en el art. 9 </w:t>
      </w:r>
      <w:r w:rsidRPr="00163957">
        <w:rPr>
          <w:i/>
        </w:rPr>
        <w:t>bis</w:t>
      </w:r>
      <w:r>
        <w:t>.1 LSV de facilitar los datos y documentación precisos para identificar al conductor del vehículo objeto de la denuncia, significándose que las alegaciones del interesado no desvirtúan el contenido esencial de la infracción que se declara cometida ni suponen causa de justificación o exculpación suficiente.</w:t>
      </w:r>
    </w:p>
    <w:p w:rsidR="00163957" w:rsidRDefault="00163957" w:rsidP="00163957">
      <w:pPr>
        <w:pStyle w:val="TextoNormal"/>
      </w:pPr>
    </w:p>
    <w:p w:rsidR="00163957" w:rsidRDefault="00163957" w:rsidP="00163957">
      <w:pPr>
        <w:pStyle w:val="TextoNormal"/>
      </w:pPr>
      <w:r>
        <w:lastRenderedPageBreak/>
        <w:t>h) Contra las resoluciones administrativas precedentes la entidad sancionada Calzados D’Simons, S.L., interpuso recurso contencioso­administrativo cuyo conocimiento correspondió al Juzgado de lo Contencioso-Administrativo núm. 3 de Toledo. En el proceso, que se tramitó por el cauce del procedimiento abreviado, la parte recurrente solicitó en el acto de la vista la práctica de prueba testifical de una trabajadora de la propia empresa así como la de la persona identificada como conductor del vehículo en el momento de comisión de la infracción. Ambas pruebas fueron inadmitidas y esta decisión fue recurrida en reposición por la parte proponente en el mismo acto. Admitido el recurso y previa audiencia de la Abogacía del Estado, fue desestimado, confirmándose la inadmisión de las pruebas propuestas, decisión frente a la que el Abogado de la entidad recurrente formuló protesta.</w:t>
      </w:r>
    </w:p>
    <w:p w:rsidR="00163957" w:rsidRDefault="00163957" w:rsidP="00163957">
      <w:pPr>
        <w:pStyle w:val="TextoNormal"/>
      </w:pPr>
    </w:p>
    <w:p w:rsidR="00163957" w:rsidRDefault="00163957" w:rsidP="00163957">
      <w:pPr>
        <w:pStyle w:val="TextoNormal"/>
      </w:pPr>
      <w:r>
        <w:t>i) El Juzgado de lo Contencioso-Administrativo núm. 3 de Toledo dictó la Sentencia núm. 178/2015, de fecha 30 de junio de 2015, desestimatoria del recurso contencioso-administrativo. La referida Sentencia señala que la demanda articula dos motivos de impugnación: “que propuso prueba en el procedimiento administrativo y no fue practicada, lo que le ha producido indefensión; y que procedió a identificar al conductor del vehículo”. A continuación, funda la desestimación de ambos motivos en los fundamentos segundo y tercero en los siguientes términos, literalmente trascritos:</w:t>
      </w:r>
    </w:p>
    <w:p w:rsidR="00163957" w:rsidRDefault="00163957" w:rsidP="00163957">
      <w:pPr>
        <w:pStyle w:val="TextoNormal"/>
      </w:pPr>
    </w:p>
    <w:p w:rsidR="00163957" w:rsidRDefault="00163957" w:rsidP="00163957">
      <w:pPr>
        <w:pStyle w:val="TextoNormal"/>
      </w:pPr>
      <w:r>
        <w:t>“Segundo.- El primer motivo que debemos examinar es el relativo a la regularidad formal del procedimiento administrativo sancionador; alegando el recurrente que propuso prueba imprescindible, y que la misma fue rechazada de forma inmotivada.</w:t>
      </w:r>
    </w:p>
    <w:p w:rsidR="00163957" w:rsidRDefault="00163957" w:rsidP="00163957">
      <w:pPr>
        <w:pStyle w:val="TextoNormal"/>
      </w:pPr>
    </w:p>
    <w:p w:rsidR="00163957" w:rsidRDefault="00163957" w:rsidP="00163957">
      <w:pPr>
        <w:pStyle w:val="TextoNormal"/>
      </w:pPr>
      <w:r>
        <w:t>El motivo no puede ser estimado. Según se desprende del expediente administrativo, la recurrente presentó alegaciones frente al acuerdo de inicio del procedimiento en las que solicitaba la práctica de prueba de que se tomara manifestación a D. [F.J.P.H] para que se ratificara en que era el conductor del vehículo en el momento de la denuncia, acompañando alegaciones de D. F […] en las que decía que el día 12 de noviembre de 2013 en torno a las 12,44 horas estuvo conduciendo el vehículo (folio 23 del expediente). El Instructor del procedimiento no se pronunció sobre dicha prueba, dictándose seguidamente la propuesta de resolución y la resolución sancionadora.</w:t>
      </w:r>
    </w:p>
    <w:p w:rsidR="00163957" w:rsidRDefault="00163957" w:rsidP="00163957">
      <w:pPr>
        <w:pStyle w:val="TextoNormal"/>
      </w:pPr>
    </w:p>
    <w:p w:rsidR="00163957" w:rsidRDefault="00163957" w:rsidP="00163957">
      <w:pPr>
        <w:pStyle w:val="TextoNormal"/>
      </w:pPr>
      <w:r>
        <w:t>A la vista de lo expuesto, hay que decir que si bien es cierto que no se hizo por el Instructor del procedimiento un pronunciamiento expreso sobre la admisión o denegación de la prueba propuesta, ello no podemos considerarlo un defecto formal que haya podido producir indefensión material al interesado, pues aunque no se tome manifestación al identificado por la recurrente como conductor, lo cierto es que, se unió al expediente el escrito presentado por la recurrente y suscrito por D. F […], por lo que la Administración pudo valorar perfectamente el documento aportado y las manifestaciones en el contenidas. Otra cosa es que ese documento y manifestaciones no se consideraran suficientes para entender no consumada la infracción, pero no cabe apreciar que se haya producido indefensión alguna a la interesada, indefensión que es necesario que se produzca para estimar la anulabilidad del acto, conforme a lo dispuesto en el art. 63.2 de la LRJAP y PAC.</w:t>
      </w:r>
    </w:p>
    <w:p w:rsidR="00163957" w:rsidRDefault="00163957" w:rsidP="00163957">
      <w:pPr>
        <w:pStyle w:val="TextoNormal"/>
      </w:pPr>
    </w:p>
    <w:p w:rsidR="00163957" w:rsidRDefault="00163957" w:rsidP="00163957">
      <w:pPr>
        <w:pStyle w:val="TextoNormal"/>
      </w:pPr>
      <w:r>
        <w:t xml:space="preserve">Tercero.- El segundo motivo se refiere a que identificó al conductor del vehículo. Tampoco esta alegación puede acogerse. Ciertamente el recurrente comunicó a la Jefatura Provincial de Tráfico, el nombre del que decía que era el conductor del vehículo, señalando que </w:t>
      </w:r>
      <w:r>
        <w:lastRenderedPageBreak/>
        <w:t>era D. [F.J.P.H]. No obstante y cuando la Administración dirigió el procedimiento sancionador contra el identificado como conductor, éste negó ser el conductor del vehículo. Ello determinó que la Administración no pudiera seguir el procedimiento sancionador contra el conductor del vehículo, iniciando procedimiento sancionador contra el titular del vehículo, por incumplir con su deber de identificar verazmente al conductor. Ciertamente y cuando se dio traslado a la recurrente del acuerdo de inicio del procedimiento por incumplir el deber de identificación, la recurrente presentó alegaciones junto con el Sr. [P.H] afirmando que éste era el conductor del vehículo. Sin embargo, esta circunstancia no enerva la comisión de la infracción ya producida pues se incumplió con el deber de identificación en el momento en que debió cumplirse con el mismo pues para cumplir con el deber de identificar al conductor, esta identificación debe ser eficaz y veraz y en el momento en que es requerida por la Administración. Así lo ha entendido este Juzgado en diversas sentencias, entre ellas la de 22 de octubre de 2012, en la que se dice que:</w:t>
      </w:r>
    </w:p>
    <w:p w:rsidR="00163957" w:rsidRDefault="00163957" w:rsidP="00163957">
      <w:pPr>
        <w:pStyle w:val="TextoNormal"/>
      </w:pPr>
    </w:p>
    <w:p w:rsidR="00163957" w:rsidRDefault="00163957" w:rsidP="00163957">
      <w:pPr>
        <w:pStyle w:val="TextoNormal"/>
      </w:pPr>
      <w:r>
        <w:t>En base a ello debemos entender que se cometió la infracción sancionada pues no consta que la recurrente procediera, a una identificación eficaz del conductor del vehículo, pues la identificación que facilitó no resultó eficaz al negar la persona identificada ser la conductora. Hay que tener en cuenta que la obligación de notificar que establece la LSV se cumple, cuando esa identificación es veraz, y no cuando formalmente se facilita la identificación de un conductor pero éste luego niega haber conducido el vehículo. Como ha puesto de relieve el Tribunal Constitucional, ‘es indudable que el propietario de un vehículo en razón del conjunto de derechos y obligaciones dimanantes de sus facultades dominicales y esencialmente debido al riesgo potencial que la utilización de un automóvil entraña para la vida, salud e integridad de las personas, debe conocer en todo momento quién lo conduce’ (TC S nº 154/94) y que sin la colaboración del titular del vehículo, la obligada intervención de los poderes públicos en el mantenimiento de la seguridad vial, resultaría notablemente dificultada (TC S nº 197/95). Por ello, la ‘obligación del propietario del vehículo es notificar a la Administración la identidad del conductor de forma eficaz para que la Administración pueda ejercitar sus potestades en materia de seguridad vial’, identificación no cumplida en el presente caso.</w:t>
      </w:r>
    </w:p>
    <w:p w:rsidR="00163957" w:rsidRDefault="00163957" w:rsidP="00163957">
      <w:pPr>
        <w:pStyle w:val="TextoNormal"/>
      </w:pPr>
    </w:p>
    <w:p w:rsidR="00163957" w:rsidRDefault="00163957" w:rsidP="00163957">
      <w:pPr>
        <w:pStyle w:val="TextoNormal"/>
      </w:pPr>
      <w:r>
        <w:t>Y a ello hay que añadir en el presente caso que la identificación debe ser eficaz y en el plazo en que se produce el primer requerimiento de la Administración y no con posterioridad al mismo una vez iniciado el procedimiento sancionador contra el titular del vehículo. Así lo exige la obligada intervención de los poderes públicos en el mantenimiento de la seguridad vial, lo que no podría ser posible si se dificultara el ejercicio de la potestad sancionadora con identificaciones no veraces, extemporáneas o con retractaciones en cuanto a quién era el conductor, también extemporáneas, como es el caso.</w:t>
      </w:r>
    </w:p>
    <w:p w:rsidR="00163957" w:rsidRDefault="00163957" w:rsidP="00163957">
      <w:pPr>
        <w:pStyle w:val="TextoNormal"/>
      </w:pPr>
    </w:p>
    <w:p w:rsidR="00163957" w:rsidRDefault="00163957" w:rsidP="00163957">
      <w:pPr>
        <w:pStyle w:val="TextoNormal"/>
      </w:pPr>
      <w:r>
        <w:t>Por todo ello el recurso debe ser desestimado”.</w:t>
      </w:r>
    </w:p>
    <w:p w:rsidR="00163957" w:rsidRDefault="00163957" w:rsidP="00163957">
      <w:pPr>
        <w:pStyle w:val="TextoNormal"/>
      </w:pPr>
    </w:p>
    <w:p w:rsidR="00163957" w:rsidRDefault="00163957" w:rsidP="00163957">
      <w:pPr>
        <w:pStyle w:val="TextoNormal"/>
      </w:pPr>
      <w:r w:rsidRPr="00163957">
        <w:rPr>
          <w:rStyle w:val="NumeroAFNegritaCaracter"/>
        </w:rPr>
        <w:t>3</w:t>
      </w:r>
      <w:r>
        <w:t>. La parte recurrente aduce en su demanda de amparo que las resoluciones impugnadas vulneran el principio de legalidad sancionadora del art. 25.1 CE, el derecho a la presunción de inocencia del art. 24.2 CE, el derecho de acceso al proceso del art. 24.1 CE, y los derechos de defensa, a un proceso con todas las garantías y a valerse de los medios de prueba pertinentes para su defensa del art. 24.2 CE.</w:t>
      </w:r>
    </w:p>
    <w:p w:rsidR="00163957" w:rsidRDefault="00163957" w:rsidP="00163957">
      <w:pPr>
        <w:pStyle w:val="TextoNormal"/>
      </w:pPr>
    </w:p>
    <w:p w:rsidR="00163957" w:rsidRDefault="00163957" w:rsidP="00163957">
      <w:pPr>
        <w:pStyle w:val="TextoNormal"/>
      </w:pPr>
      <w:r>
        <w:t>Argumenta, para ello, lo que a continuación se sintetiza:</w:t>
      </w:r>
    </w:p>
    <w:p w:rsidR="00163957" w:rsidRDefault="00163957" w:rsidP="00163957">
      <w:pPr>
        <w:pStyle w:val="TextoNormal"/>
      </w:pPr>
    </w:p>
    <w:p w:rsidR="00163957" w:rsidRDefault="00163957" w:rsidP="00163957">
      <w:pPr>
        <w:pStyle w:val="TextoNormal"/>
      </w:pPr>
      <w:r>
        <w:t xml:space="preserve">a) En primer lugar, en relación con el principio de legalidad sancionadora del art. 25.1 CE, considera la entidad demandante que dio perfecto cumplimiento a lo exigido por la norma, puesto que la identificación, efectuada en plazo legal, fue eficaz en el sentido en que los datos aportados permitieron a la Administración dirigirse contra el conductor identificado; y, además, fue veraz, porque tras la negativa inicial del conductor identificado, éste reconoció ser el conductor en el momento de la infracción. A su juicio, la interpretación dada por la Administración consistente en que la identificación no fue eficaz porque la persona identificada negó haber sido el conductor, es errónea porque el identificado primero negó pero luego reconoció, y así quedó demostrado en el procedimiento sancionador iniciado contra la recurrente como propietaria del vehículo. La interpretación dada por la Sentencia del Juzgado de lo Contencioso-Administrativo de Toledo consistente en que la identificación no se hizo en plazo es errónea, porque la identificación sí se hizo en plazo y fue en fase de alegaciones al procedimiento sancionador iniciado contra la mercantil recurrente cuando se acredita que la identificación fue correcta y veraz, que, por otro lado, es cuando se tenía que demostrar, dado que exigir una demostración </w:t>
      </w:r>
      <w:r w:rsidRPr="00163957">
        <w:rPr>
          <w:i/>
        </w:rPr>
        <w:t>a priori</w:t>
      </w:r>
      <w:r>
        <w:t xml:space="preserve"> es contrario al derecho a la defensa y acceso al proceso. Fue en fase de alegaciones donde quedó acreditada la identificación correcta. A partir de ese momento ninguna sanción se puede imponer.</w:t>
      </w:r>
    </w:p>
    <w:p w:rsidR="00163957" w:rsidRDefault="00163957" w:rsidP="00163957">
      <w:pPr>
        <w:pStyle w:val="TextoNormal"/>
      </w:pPr>
    </w:p>
    <w:p w:rsidR="00163957" w:rsidRDefault="00163957" w:rsidP="00163957">
      <w:pPr>
        <w:pStyle w:val="TextoNormal"/>
      </w:pPr>
      <w:r>
        <w:t>b) En segundo lugar, sostiene que se ha producido la vulneración del derecho a la presunción de inocencia (art. 24.2 CE) porque, a su entender, no existe ni una sola prueba que determine la culpabilidad de la entidad recurrente por no identificar correctamente al conductor del vehículo en el momento de la infracción. Argumenta que cuando recibió el requerimiento de identificación, utilizó los medios electrónicos que pone a disposición la Administración para identificar al conductor, que, previa negación —dice que “por error, por buena o por mala fe al no trabajar ya en la empresa, que no juzgamos por no venir al caso”—, posteriormente reconoce por escrito que sí era el conductor. Por lo tanto, no hay prueba de que la identificación efectuada fuera incorrecta. Es más, la Administración admite la manifestación del conductor identificado y une al expediente administrativo el documento de reconocimiento de los hechos, pero, a pesar de ello, sanciona a la entidad recurrente sin ningún tipo de prueba que determine que la identificación efectuada no fue veraz.</w:t>
      </w:r>
    </w:p>
    <w:p w:rsidR="00163957" w:rsidRDefault="00163957" w:rsidP="00163957">
      <w:pPr>
        <w:pStyle w:val="TextoNormal"/>
      </w:pPr>
    </w:p>
    <w:p w:rsidR="00163957" w:rsidRDefault="00163957" w:rsidP="00163957">
      <w:pPr>
        <w:pStyle w:val="TextoNormal"/>
      </w:pPr>
      <w:r>
        <w:t>c) Finalmente, afirma que también se ha producido infracción de los arts. 24.1 y 24.2 CE por vulneración del derecho a la defensa, del derecho de acceso al proceso con todas las garantías y del derecho a valerse de las pruebas pertinentes para la defensa. Argumenta que la resolución sancionadora responde a formulismos sin contestar a las alegaciones que la recurrente realizó, generando indefensión. Además, a su juicio, la Administración vulnera el derecho a la defensa y de prueba al no cumplir con su obligación de aceptar o rechazar motivadamente las pruebas solicitadas en el procedimiento sancionador, causando indefensión. Dicha vulneración, continúa razonando, sería imputable también al Juzgado al haber inadmitido las pruebas testificales propuestas, necesarias para la defensa de la entidad mercantil sancionada. Además, la Sentencia del Juzgado contencioso-administrativo de Toledo incurre en una motivación irrazonable y errónea en cuanto entiende que el posterior reconocimiento de los hechos por el conductor identificado no enerva la comisión de la infracción, ya que esta se produjo al tiempo del requerimiento, cuando lo acaecido en realidad es que la entidad sancionada demostró en fase de alegaciones la veracidad de la identificación llevada a cabo en el momento en que le fue exigida.</w:t>
      </w:r>
    </w:p>
    <w:p w:rsidR="00163957" w:rsidRDefault="00163957" w:rsidP="00163957">
      <w:pPr>
        <w:pStyle w:val="TextoNormal"/>
      </w:pPr>
    </w:p>
    <w:p w:rsidR="00163957" w:rsidRDefault="00163957" w:rsidP="00163957">
      <w:pPr>
        <w:pStyle w:val="TextoNormal"/>
      </w:pPr>
      <w:r>
        <w:lastRenderedPageBreak/>
        <w:t>Esta parte termina la demanda solicitando el dictado de Sentencia que reconozca la vulneración de los derechos fundamentales invocados y “restablezca sus derechos declarando la nulidad o anulabilidad” de las resoluciones administrativas y judicial impugnadas, y, en su virtud, se ordene la devolución del importe de la sanción impuesta por la Administración y pagada por la entidad demandante.</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providencia de 19 de enero de 2016, la Sala Segunda de este Tribunal acordó la admisión a trámite de la demanda de amparo presentada, “apreciando que concurre en el mismo una especial trascendencia constitucional (art. 50.1 LOTC) porque el recurso puede dar ocasión al Tribunal para aclarar o cambiar su doctrina, como consecuencia de un proceso de reflexión interna [STC 155/2009, FJ 2, b)]”, y, de conformidad con lo dispuesto en el art. 51 de la Ley Orgánica del Tribunal Constitucional (LOTC), dirigir atenta comunicación al Juzgado de lo Contencioso-Administrativo núm. 3 de Toledo a fin de que, en plazo que no exceda de diez días, remitiera certificación o fotocopia adverada de las actuaciones correspondientes al procedimiento abreviado núm. 326-2014 y emplazase a quienes hubieran sido parte en el procedimiento, excepto a la parte recurrente en amparo, para que en el plazo de diez días pudieran comparecer en el recurso de amparo. Al tiempo se acordó dirigir atenta comunicación al Centro de Tratamiento de Denuncias Automatizadas del Ministerio del Interior, a fin de que en plazo que no exceda de diez días, remitiera certificación o fotocopia adverada del expediente núm. 45-945-364.146/0.</w:t>
      </w:r>
    </w:p>
    <w:p w:rsidR="00163957" w:rsidRDefault="00163957" w:rsidP="00163957">
      <w:pPr>
        <w:pStyle w:val="TextoNormal"/>
      </w:pPr>
    </w:p>
    <w:p w:rsidR="00163957" w:rsidRDefault="00163957" w:rsidP="00163957">
      <w:pPr>
        <w:pStyle w:val="TextoNormal"/>
      </w:pPr>
      <w:r w:rsidRPr="00163957">
        <w:rPr>
          <w:rStyle w:val="NumeroAFNegritaCaracter"/>
        </w:rPr>
        <w:t>5</w:t>
      </w:r>
      <w:r>
        <w:t>. Por diligencia de ordenación del Secretario de Justicia de la Sala Segunda de este Tribunal de fecha 18 de febrero de 2016, se acordó tener por personado y parte en el procedimiento al Abogado del Estado, en la representación que ostenta, ordenándose entender con él las sucesivas actuaciones, y, con arreglo al art. 52 LOTC, conceder a las partes personadas y el Ministerio Fiscal el plazo común de veinte días para que, con vista de las actuaciones, formulasen alegaciones.</w:t>
      </w:r>
    </w:p>
    <w:p w:rsidR="00163957" w:rsidRDefault="00163957" w:rsidP="00163957">
      <w:pPr>
        <w:pStyle w:val="TextoNormal"/>
      </w:pPr>
    </w:p>
    <w:p w:rsidR="00163957" w:rsidRDefault="00163957" w:rsidP="00163957">
      <w:pPr>
        <w:pStyle w:val="TextoNormal"/>
      </w:pPr>
      <w:r w:rsidRPr="00163957">
        <w:rPr>
          <w:rStyle w:val="NumeroAFNegritaCaracter"/>
        </w:rPr>
        <w:t>6</w:t>
      </w:r>
      <w:r>
        <w:t>. En fecha 18 de marzo de 2016 el Abogado del Estado presentó su escrito de alegaciones en el que termina solicitando que se dicte Sentencia por la que se desestime la demanda de amparo. Para fundar tal pronunciamiento desestimatorio, argumenta lo que a continuación se resume:</w:t>
      </w:r>
    </w:p>
    <w:p w:rsidR="00163957" w:rsidRDefault="00163957" w:rsidP="00163957">
      <w:pPr>
        <w:pStyle w:val="TextoNormal"/>
      </w:pPr>
    </w:p>
    <w:p w:rsidR="00163957" w:rsidRDefault="00163957" w:rsidP="00163957">
      <w:pPr>
        <w:pStyle w:val="TextoNormal"/>
      </w:pPr>
      <w:r>
        <w:t>a) En relación con el derecho a la legalidad sancionadora (art. 25.1 CE), sostiene el Abogado del Estado que no se produce infracción, pues el requisito de veracidad en la identificación está impuesto expresamente por el legislador tras la reforma operada por la Ley 17/2005, y resulta aplicable la doctrina sentada en la Sentencia 29/2014, de 24 de febrero. Dicha Sentencia resolvió un supuesto idéntico al que aquí se plantea respecto a la vulneración del art 25 CE (ya que en dicho supuesto no se alegó vulneración del art 24 CE). Así, en el supuesto estudiado en la misma se sancionaba al propietario del vehículo por identificación inveraz del conductor del mismo en el momento de la denuncia ya que, identificado en plazo el conductor del vehículo, el mismo niega tal condición. Añade que la indicación “en el plazo establecido”, introducida por la Ley 18/2009, refuerza el argumento de la Sentencia de instancia relativo a que la identificación veraz, por el propietario del vehículo, del conductor del mismo en el momento de la infracción, debe hacerse en el plazo concedido para ello, y no habiéndose realizado una identificación veraz en dicho momento (por negativa del identificado), la infracción ha existido. En palabras de la STC 29/2014:</w:t>
      </w:r>
    </w:p>
    <w:p w:rsidR="00163957" w:rsidRDefault="00163957" w:rsidP="00163957">
      <w:pPr>
        <w:pStyle w:val="TextoNormal"/>
      </w:pPr>
    </w:p>
    <w:p w:rsidR="00163957" w:rsidRDefault="00163957" w:rsidP="00163957">
      <w:pPr>
        <w:pStyle w:val="TextoNormal"/>
      </w:pPr>
      <w:r>
        <w:t>“La finalidad a la que sirve el deber de identificación es, conforme a la doctrina constitucional, la de facilitar la intervención de los poderes públicos en el mantenimiento de la seguridad vial, permitiendo a la Administración la identificación del conductor supuestamente responsable de la infracción denunciada, para dirigir contra él el correspondiente procedimiento sancionador, cuando ello no ha sido posible en el acto de formularse la denuncia. Es, por tanto, un deber inherente al hecho de ser propietario de un objeto cuyo uso entraña un peligro potencial para la vida, salud e integridad de las personas, sin que el cumplimiento de este deber exteriorice un contenido autoinculpatorio cuando el propietario declara ser, además, el conductor de vehículo (STC 197/1995, de 21 de diciembre , FJ 8), ni suponga tampoco la declaración de responsabilidad o culpabilidad del conductor identificado, que solo podrá determinarse en un procedimiento sancionador con las garantías que derivan del derecho de defensa (STC 197/1995, FJ 2)”.</w:t>
      </w:r>
    </w:p>
    <w:p w:rsidR="00163957" w:rsidRDefault="00163957" w:rsidP="00163957">
      <w:pPr>
        <w:pStyle w:val="TextoNormal"/>
      </w:pPr>
    </w:p>
    <w:p w:rsidR="00163957" w:rsidRDefault="00163957" w:rsidP="00163957">
      <w:pPr>
        <w:pStyle w:val="TextoNormal"/>
      </w:pPr>
      <w:r>
        <w:t>b) Respecto de la aducida vulneración del derecho al proceso, a practicar las pruebas pertinentes y a la presunción de inocencia (art. 24. 1 y 2 CE), aduce el Abogado del Estado que tampoco se produce lesión: (i) En cuanto al derecho a la prueba, argumenta que si bien en vía administrativa no se resolvió expresamente sobre la admisión o no de la prueba testifical propuesta, lo cierto es que el documento de la declaración del conductor que se quería ratificar a través de dicha prueba testifical estaba incorporado en el expediente administrativo y fue tenido en cuenta por la Administración, que consideró que el mismo en nada variaba la calificación de la infracción sancionada. Tampoco se produce lesión en el proceso judicial ya que, pese a la denegación de las pruebas que se alega, el Juzgado tuvo en cuenta dicho documento y nadie lo impugnó, por lo que carecía de relevancia su ratificación por el firmante del mismo, debiendo recordarse que para que se entienda vulnerado dicho derecho debe traducirse en una efectiva indefensión, es decir, que la prueba sea decisiva en términos de defensa. (ii) En cuanto a la alegada vulneración al derecho a la presunción de inocencia, puesto que “no hay prueba de que la identificación efectuada fuera incorrecta”, señala el Abogado del Estado que la prueba que existe de que la identificación no fue veraz, es la negativa del conductor identificado por el propietario ante el requerimiento de la Administración y que consta en el expediente administrativo. El hecho de que el conductor se retractara con posterioridad e indicara que él era el conductor en el momento de la infracción de exceso de velocidad no obsta a la existencia de la infracción por no identificación del conductor, ya que ella debe ser veraz y en el plazo establecido, según exige el tipo infractor.</w:t>
      </w:r>
    </w:p>
    <w:p w:rsidR="00163957" w:rsidRDefault="00163957" w:rsidP="00163957">
      <w:pPr>
        <w:pStyle w:val="TextoNormal"/>
      </w:pPr>
    </w:p>
    <w:p w:rsidR="00163957" w:rsidRDefault="00163957" w:rsidP="00163957">
      <w:pPr>
        <w:pStyle w:val="TextoNormal"/>
      </w:pPr>
      <w:r w:rsidRPr="00163957">
        <w:rPr>
          <w:rStyle w:val="NumeroAFNegritaCaracter"/>
        </w:rPr>
        <w:t>7</w:t>
      </w:r>
      <w:r>
        <w:t>. La parte recurrente presentó escrito, en fecha de 21 de marzo de 2016, en que manifiesta su interés en añadir a la pretensión inicial de devolución de la cantidad pagada en concepto de sanción la de devolución de la cantidad de 360 € que, en concepto de costas, esa parte hubo de abonar en el proceso judicial precedente.</w:t>
      </w:r>
    </w:p>
    <w:p w:rsidR="00163957" w:rsidRDefault="00163957" w:rsidP="00163957">
      <w:pPr>
        <w:pStyle w:val="TextoNormal"/>
      </w:pPr>
    </w:p>
    <w:p w:rsidR="00163957" w:rsidRDefault="00163957" w:rsidP="00163957">
      <w:pPr>
        <w:pStyle w:val="TextoNormal"/>
      </w:pPr>
      <w:r w:rsidRPr="00163957">
        <w:rPr>
          <w:rStyle w:val="NumeroAFNegritaCaracter"/>
        </w:rPr>
        <w:t>8</w:t>
      </w:r>
      <w:r>
        <w:t>. En fecha 29 de marzo de 2016 el Ministerio Fiscal presentó su escrito de alegaciones en el que termina solicitando que se otorgue el amparo al haberse vulnerado el derecho fundamental de la entidad recurrente a la legalidad sancionadora (art. 25.1 CE), así como los derechos de defensa, utilización de medios de prueba pertinentes y presunción de inocencia (art. 24.2 CE). Tras relatar los antecedentes fácticos y resumir las alegaciones formuladas por el recurrente, argumenta el Fiscal ante el Tribunal Constitucional lo que a continuación se resume:</w:t>
      </w:r>
    </w:p>
    <w:p w:rsidR="00163957" w:rsidRDefault="00163957" w:rsidP="00163957">
      <w:pPr>
        <w:pStyle w:val="TextoNormal"/>
      </w:pPr>
    </w:p>
    <w:p w:rsidR="00163957" w:rsidRDefault="00163957" w:rsidP="00163957">
      <w:pPr>
        <w:pStyle w:val="TextoNormal"/>
      </w:pPr>
      <w:r>
        <w:lastRenderedPageBreak/>
        <w:t>a) Hay que partir de que la exigencia legal de que la identificación del conductor sea veraz o verosímil es un requisito expresamente contemplado en la norma. Así pues, si el cumplimiento del deber impuesto exige no sólo la identificación suficiente sino, además, veraz o verosímil del conductor, la interpretación según la cual el deber de identificación veraz no se habría cumplimentado en los términos legalmente exigidos cuando no quede acreditado que la persona identificada como conductora lo sea realmente, encaja en el sentido literal de la norma. El análisis, sin embargo, no puede quedar aquí, pues conforme a la doctrina constitucional, la satisfacción del derecho fundamental consagrado en el art. 25 .1 CE exige, además, que la interpretación realizada no conduzca a una solución esencialmente opuesta a la orientación material de la norma y, por ello, imprevisible para el destinatario.</w:t>
      </w:r>
    </w:p>
    <w:p w:rsidR="00163957" w:rsidRDefault="00163957" w:rsidP="00163957">
      <w:pPr>
        <w:pStyle w:val="TextoNormal"/>
      </w:pPr>
    </w:p>
    <w:p w:rsidR="00163957" w:rsidRDefault="00163957" w:rsidP="00163957">
      <w:pPr>
        <w:pStyle w:val="TextoNormal"/>
      </w:pPr>
      <w:r>
        <w:t>Como señala la STC 29/2014, FJ 4, la finalidad a la que sirve el deber de identificación es, conforme a la doctrina constitucional, la de facilitar la intervención de los poderes públicos en el mantenimiento de la seguridad vial, permitiendo a la Administración la identificación del conductor supuestamente responsable de la infracción denunciada, para dirigir contra él el correspondiente procedimiento sancionador, cuando ello no ha sido posible en el acto de formularse la denuncia. Es, por tanto, un deber inherente al hecho de ser propietario de un objeto cuyo uso entraña un peligro potencial para la vida, salud e integridad de las personas, sin que el cumplimiento de este deber exteriorice un contenido autoinculpatorio cuando el propietario declara ser, además, el conductor de vehículo (STC 197/1995, de 21 de diciembre, FJ 8), ni suponga tampoco la declaración de responsabilidad o culpabilidad del conductor identificado, que solo podrá determinarse en un procedimiento sancionador con las garantías que derivan del derecho de defensa (STC 197/1995, FJ 2). Tal finalidad a la que sirve el deber legalmente impuesto exige para su efectividad que la identificación sea convincente, pues, en otro caso, este propósito se vería impedido de antemano. Esto es, precisamente, lo que intentó corregir la reforma legislativa de 2005, al establecer, ya expresamente, que el deber de identificación que pesa sobre el conductor sólo se satisface si es veraz o verosímil. Así lo puso de manifiesto ese Tribunal en la STC 63/2007, de 27 de marzo, FJ 3, en la que se afirmó que “si la identificación es convincente, bastará para descargar al titular del vehículo de toda responsabilidad. En otro caso, tanto si el propietario ignora el oportuno requerimiento de identificación, como si lo atiende en forma inverosímil o incompleta, la Administración podrá desde luego incoarle expediente sancionador por infracción del art. 72.3 LSV”. En otras palabras, si la identificación es incompleta o inverosímil se habrá frustrado la finalidad a la que responde la imposición del deber y, por tanto, resulta previsible y congruente con la finalidad de colaborar con la reprensión administrativa de las conductas infractoras, la interpretación según la cual la tajante negativa del identificado como conductor puede suponer una identificación inverosímil o inveraz que permite incoar el correspondiente procedimiento sancionador que, tras la correspondiente tramitación, podrá en su caso concluir en la imposición de la sanción correspondiente.</w:t>
      </w:r>
    </w:p>
    <w:p w:rsidR="00163957" w:rsidRDefault="00163957" w:rsidP="00163957">
      <w:pPr>
        <w:pStyle w:val="TextoNormal"/>
      </w:pPr>
    </w:p>
    <w:p w:rsidR="00163957" w:rsidRDefault="00163957" w:rsidP="00163957">
      <w:pPr>
        <w:pStyle w:val="TextoNormal"/>
      </w:pPr>
      <w:r>
        <w:t xml:space="preserve">Sin embargo, al igual que, según expresa la STC 197/1995, FJ 2, la identificación del propietario no supone la determinación automática de la responsabilidad del conductor, que sólo podrá ser declarada tras la tramitación del correspondiente procedimiento sancionador en el que se garantice su derecho de defensa, como explícitamente destaca la STC 29/2014, la negación de la condición de conductor por el identificado como tal en el seno de un procedimiento sancionador no supone la automática declaración de responsabilidad del propietario por el incumplimiento de la identificación veraz del conductor, que sólo podrá ser sancionado, tras la tramitación del correspondiente procedimiento y a la vista, en cada caso, </w:t>
      </w:r>
      <w:r>
        <w:lastRenderedPageBreak/>
        <w:t>de las alegaciones realizadas y las pruebas en él practicadas, conforme a las reglas que derivan del derecho contemplado en el art. 24.2 CE.</w:t>
      </w:r>
    </w:p>
    <w:p w:rsidR="00163957" w:rsidRDefault="00163957" w:rsidP="00163957">
      <w:pPr>
        <w:pStyle w:val="TextoNormal"/>
      </w:pPr>
    </w:p>
    <w:p w:rsidR="00163957" w:rsidRDefault="00163957" w:rsidP="00163957">
      <w:pPr>
        <w:pStyle w:val="TextoNormal"/>
      </w:pPr>
      <w:r>
        <w:t>b) En este último punto reside precisamente el problema en el presente caso, pues a diferencia del supuesto subyacente a la STC 29/2014, la mercantil recurrente en amparo invoca con pleno fundamento, entre otras infracciones de sus derechos fundamentales de orden procesal, vulneración de su derecho de defensa (art. 24.2 CE) y de su derecho a utilizar medios de prueba pertinentes para su defensa (art. 24.2 CE), en conjunción con la de su derecho a la presunción de inocencia (art. 24.2 CE).</w:t>
      </w:r>
    </w:p>
    <w:p w:rsidR="00163957" w:rsidRDefault="00163957" w:rsidP="00163957">
      <w:pPr>
        <w:pStyle w:val="TextoNormal"/>
      </w:pPr>
    </w:p>
    <w:p w:rsidR="00163957" w:rsidRDefault="00163957" w:rsidP="00163957">
      <w:pPr>
        <w:pStyle w:val="TextoNormal"/>
      </w:pPr>
      <w:r>
        <w:t xml:space="preserve">En el presente caso, la sanción no puede tener fundamento razonable en la mera declaración inicial de negación del identificado como conductor cuando precisamente, dadas las alegaciones formuladas, el reconocimiento aportado —que podía ser ratificado— y siendo éste el único momento en que la mercantil podía defenderse y demostrar la veracidad de su identificación, pudo y debió haber sido practicada la declaración del mismo, tal y como propuso la mercantil sometida al expediente sancionador. Frente a ello, al margen de las alegaciones y la concreta, pertinente y relevante prueba propuesta, se impuso por la Administración la sanción sin referirse precisamente a ellas y sin más trámite. Con dicho obrar, en el que la Administración no se pronunció específicamente ni sobre las específicas alegaciones formuladas ni sobre la admisión y práctica de la prueba, se habrían infringido las garantías constitucionales aplicables de todo punto en el expediente administrativo sancionador, y muy palmariamente el derecho de defensa y el derecho a valerse de las pruebas pertinentes para ello, y de este modo se habría actualizado una interpretación y aplicación esencialmente opuesta a la orientación material de la norma. A diferencia de lo sucedido en el supuesto de la STC 29/2014, era posible en el presente caso, aun en el seno del expediente incoado a la mercantil, realizar actuaciones y practicar nuevas pruebas dirigidas a comprobar la veracidad de la identificación y, sin embargo, la Administración optó por la inacción y por convertir en imposible para el inculpado la prueba de que los datos aportados para la identificación del conductor eran suficientes y veraces para el cumplimiento de la finalidad a la que sirve el deber establecido en el art. 9 </w:t>
      </w:r>
      <w:r w:rsidRPr="00163957">
        <w:rPr>
          <w:i/>
        </w:rPr>
        <w:t>bis</w:t>
      </w:r>
      <w:r>
        <w:t>.1 LSV.</w:t>
      </w:r>
    </w:p>
    <w:p w:rsidR="00163957" w:rsidRDefault="00163957" w:rsidP="00163957">
      <w:pPr>
        <w:pStyle w:val="TextoNormal"/>
      </w:pPr>
    </w:p>
    <w:p w:rsidR="00163957" w:rsidRDefault="00163957" w:rsidP="00163957">
      <w:pPr>
        <w:pStyle w:val="TextoNormal"/>
      </w:pPr>
      <w:r>
        <w:t xml:space="preserve">c) Lo anterior, además, determina la constatación de la lesión del derecho a la presunción de inocencia (art. 24.2 CE) que rige sin excepciones en el ordenamiento sancionador y ha de ser respetada en la imposición de cualesquiera sanciones, sean penales, sean administrativas, ya que “el ejercicio del </w:t>
      </w:r>
      <w:r w:rsidRPr="00163957">
        <w:rPr>
          <w:i/>
        </w:rPr>
        <w:t>ius puniendi</w:t>
      </w:r>
      <w:r>
        <w:t xml:space="preserve"> en sus diversas manifestaciones está condicionado por el art. 24.2 de la Constitución al juego de la prueba y a un procedimiento contradictorio en el que puedan defenderse las propias posiciones”, condicionantes que no se habrían respetado en el presente supuesto por las razones expuestas.</w:t>
      </w:r>
    </w:p>
    <w:p w:rsidR="00163957" w:rsidRDefault="00163957" w:rsidP="00163957">
      <w:pPr>
        <w:pStyle w:val="TextoNormal"/>
      </w:pPr>
    </w:p>
    <w:p w:rsidR="00163957" w:rsidRDefault="00163957" w:rsidP="00163957">
      <w:pPr>
        <w:pStyle w:val="TextoNormal"/>
      </w:pPr>
      <w:r w:rsidRPr="00163957">
        <w:rPr>
          <w:rStyle w:val="NumeroAFNegritaCaracter"/>
        </w:rPr>
        <w:t>9</w:t>
      </w:r>
      <w:r>
        <w:t>. Por providencia de 16 de junio de 2016, se señaló para deliberación y votación de la presente Sentencia el día 20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Se interpone el presente recurso de amparo contra la resolución de 1 de abril de 2014, dictada por el director del centro de tratamiento de denuncias automatizadas del Ministerio del Interior, por delegación de la Jefatura Provincial de Tráfico de Toledo, que impuso a la </w:t>
      </w:r>
      <w:r>
        <w:lastRenderedPageBreak/>
        <w:t xml:space="preserve">entidad mercantil demandante una sanción de 1.200 € por infracción del artículo 9 </w:t>
      </w:r>
      <w:r w:rsidRPr="00163957">
        <w:rPr>
          <w:i/>
        </w:rPr>
        <w:t>bis</w:t>
      </w:r>
      <w:r>
        <w:t>.1 del Real Decreto Legislativo 339/1990, de 2 de marzo, por el que se aprueba el texto articulado de la Ley sobre tráfico, circulación de vehículos a motor y seguridad vial (LSV), a consecuencia del hecho consistente en “no facilitar el titular o arrendatario del vehículo, debidamente requerido para ello, la identificación veraz del conductor del mismo en el momento de ser cometida una infracción”, así como contra la resolución de 26 de mayo de 2014, que confirma en reposición la anterior, y la Sentencia del Juzgado de lo Contencioso-Administrativo núm. 3 de Toledo, de 30 de junio de 2015, que desestimó el recurso contencioso-administrativo interpuesto frente a las anteriores resoluciones administrativas (procedimiento abreviado núm. 326-2014).</w:t>
      </w:r>
    </w:p>
    <w:p w:rsidR="00163957" w:rsidRDefault="00163957" w:rsidP="00163957">
      <w:pPr>
        <w:pStyle w:val="TextoNormal"/>
      </w:pPr>
    </w:p>
    <w:p w:rsidR="00163957" w:rsidRDefault="00163957" w:rsidP="00163957">
      <w:pPr>
        <w:pStyle w:val="TextoNormal"/>
      </w:pPr>
      <w:r>
        <w:t>En el apartado de antecedentes han quedado expuestas con detalle las circunstancias relativas al desarrollo del procedimiento administrativo que desembocó en la imposición de la sanción, al igual que las referidas al proceso judicial promovido para su revisión.</w:t>
      </w:r>
    </w:p>
    <w:p w:rsidR="00163957" w:rsidRDefault="00163957" w:rsidP="00163957">
      <w:pPr>
        <w:pStyle w:val="TextoNormal"/>
      </w:pPr>
    </w:p>
    <w:p w:rsidR="00163957" w:rsidRDefault="00163957" w:rsidP="00163957">
      <w:pPr>
        <w:pStyle w:val="TextoNormal"/>
      </w:pPr>
      <w:r>
        <w:t>A juicio de la parte recurrente, las resoluciones administrativas impugnadas infringen, en primer lugar, su derecho fundamental a la legalidad sancionadora (art. 25.1 CE) porque, habiendo efectuado una identificación en plazo, eficaz y veraz, la interpretación dada por la Administración consistente en que la identificación no fue eficaz porque la persona identificada negó inicialmente haber sido el conductor es errónea. En segundo término, dichas resoluciones administrativas habrían vulnerado su derecho a la presunción de inocencia (art. 24.2 CE) porque, a su entender, no existe prueba de que la identificación efectuada fuera inveraz, habiéndose practicado, por el contrario, prueba de la veracidad de tal identificación. Finalmente, considera que se ha lesionado su derecho de defensa, de acceso al proceso y de prueba (arts. 24.1 y 24.2 CE), por la denegación indebida, tanto en el procedimiento administrativo como en el judicial, de pruebas propuestas y decisivas en términos de defensa, por falta de la debida motivación de las resoluciones administrativas, así como por incurrir la resolución judicial en una motivación irrazonable y errónea.</w:t>
      </w:r>
    </w:p>
    <w:p w:rsidR="00163957" w:rsidRDefault="00163957" w:rsidP="00163957">
      <w:pPr>
        <w:pStyle w:val="TextoNormal"/>
      </w:pPr>
    </w:p>
    <w:p w:rsidR="00163957" w:rsidRDefault="00163957" w:rsidP="00163957">
      <w:pPr>
        <w:pStyle w:val="TextoNormal"/>
      </w:pPr>
      <w:r>
        <w:t>El Ministerio Fiscal interesa la estimación del recurso de amparo al entender, en síntesis, que a diferencia del supuesto subyacente a la STC 29/2014, de 24 de febrero, en este caso la entidad mercantil recurrente en amparo invoca vulneración de su derecho de defensa y de su derecho a utilizar medios de prueba pertinentes para su defensa, en conjunción con la de su derecho a la presunción de inocencia (art. 24.2 CE), y, dadas las circunstancias del caso, de alegaciones y proposición de prueba pertinente y relevante, la sanción no puede tener fundamento razonable en la mera declaración inicial de negación del identificado, habiéndose infringido las garantías constitucionales aplicables en el expediente administrativo sancionador.</w:t>
      </w:r>
    </w:p>
    <w:p w:rsidR="00163957" w:rsidRDefault="00163957" w:rsidP="00163957">
      <w:pPr>
        <w:pStyle w:val="TextoNormal"/>
      </w:pPr>
    </w:p>
    <w:p w:rsidR="00163957" w:rsidRDefault="00163957" w:rsidP="00163957">
      <w:pPr>
        <w:pStyle w:val="TextoNormal"/>
      </w:pPr>
      <w:r>
        <w:t xml:space="preserve">El Abogado del Estado considera que las quejas carecen de sustento. Argumenta, resumidamente, que el requisito de “veracidad” está expresamente previsto tras la reforma de la Ley sobre tráfico, circulación de vehículos a motor y seguridad vial operada por la Ley 17/2005, de 19 de julio, y la STC 29/2014, de 24 de febrero, rechazó la lesión del derecho a la legalidad penal (art. 25.1CE) en un supuesto idéntico; en cuanto al derecho de defensa y de prueba (art. 24.2 CE), que el documento que pretendía ratificarse a través de la declaración testifical fue admitido y valorado, tanto en la vía administrativa como en la judicial, </w:t>
      </w:r>
      <w:r>
        <w:lastRenderedPageBreak/>
        <w:t>de modo que dichas testificales no pueden considerarse decisivas; y, en relación con el derecho a la presunción de inocencia (art. 24.2 CE), que la prueba que existe de que la identificación no fue veraz es la negativa del conductor identificado.</w:t>
      </w:r>
    </w:p>
    <w:p w:rsidR="00163957" w:rsidRDefault="00163957" w:rsidP="00163957">
      <w:pPr>
        <w:pStyle w:val="TextoNormal"/>
      </w:pPr>
    </w:p>
    <w:p w:rsidR="00163957" w:rsidRDefault="00163957" w:rsidP="00163957">
      <w:pPr>
        <w:pStyle w:val="TextoNormal"/>
      </w:pPr>
      <w:r w:rsidRPr="00163957">
        <w:rPr>
          <w:rStyle w:val="NumeroAFNegritaCaracter"/>
        </w:rPr>
        <w:t>2</w:t>
      </w:r>
      <w:r>
        <w:t>. Con carácter previo al examen de las cuestiones planteadas, debe precisarse que el presente recurso de amparo se dirige contra las resoluciones administrativas reseñadas y contra la Sentencia que desestimó el recurso contencioso-administrativo interpuesto frente a ellas, a la que se atribuyen lesiones autónomas, configurándose así, tal y como ponen de manifiesto las partes, como “recurso de amparo mixto”, correspondiente tanto a la previsión del art. 44 como a la del art. 43 de la Ley Orgánica del Tribunal Constitucional (LOTC).</w:t>
      </w:r>
    </w:p>
    <w:p w:rsidR="00163957" w:rsidRDefault="00163957" w:rsidP="00163957">
      <w:pPr>
        <w:pStyle w:val="TextoNormal"/>
      </w:pPr>
    </w:p>
    <w:p w:rsidR="00163957" w:rsidRDefault="00163957" w:rsidP="00163957">
      <w:pPr>
        <w:pStyle w:val="TextoNormal"/>
      </w:pPr>
      <w:r>
        <w:t xml:space="preserve">En estos casos, tal y como ha reiterado este Tribunal, “el carácter prioritario de la impugnación del acto administrativo, origen y fin del proceso judicial posterior, y la facilitación de una solución más temprana al amparo impetrado”, determinan que examinemos primero las quejas referidas a aquellos actos, hasta el punto de que la eventual estimación de la pretensión impugnatoria del art. 43 LOTC haría innecesario el examen de la queja encauzada por la vía del art. 44 LOTC (por todas, SSTC 5/2008, de 21 de enero, FJ 3, 113/2008, de 29 de septiembre, FJ 2, 31/2014, de 24 de febrero, FJ 2, y 199/2014, de 15 de diciembre, FJ 2). No puede dejar de expresarse, sin embargo, que en el caso examinado tampoco podría dirigirse crítica autónoma hacia las actuaciones judiciales porque no se promovió contra la Sentencia impugnada incidente de nulidad de actuaciones, procedente </w:t>
      </w:r>
      <w:r w:rsidRPr="00163957">
        <w:rPr>
          <w:i/>
        </w:rPr>
        <w:t>ex</w:t>
      </w:r>
      <w:r>
        <w:t xml:space="preserve"> art. 241.1 de la Ley Orgánica del Poder Judicial (LOPJ), de modo que la queja no ha agotado todos los recursos utilizables dentro de la vía judicial, y debe, por ello, resultar inadmitida [art. 44.1 a) LOTC].</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Aunque ninguna de las partes comparecidas ha puesto en duda la especial trascendencia constitucional de este recurso, que es requisito para su admisión de conformidad con los arts. 49.1 y 50.1 b) de nuestra Ley Orgánica reguladora y, por consiguiente, de orden público procesal (entre otras, STC 113/2012, de 24 de mayo, FJ 2, y las allí citadas), exigencias de certeza y buena administración de justicia (STEDH de 20 de enero de 2015, caso </w:t>
      </w:r>
      <w:r w:rsidRPr="00163957">
        <w:rPr>
          <w:i/>
        </w:rPr>
        <w:t>Arribas Antón c. España</w:t>
      </w:r>
      <w:r>
        <w:t>, § 46) obligan a explicitar el cumplimiento del mismo a fin de hacer así recognoscibles los criterios empleados al efecto por este Tribunal.</w:t>
      </w:r>
    </w:p>
    <w:p w:rsidR="00163957" w:rsidRDefault="00163957" w:rsidP="00163957">
      <w:pPr>
        <w:pStyle w:val="TextoNormal"/>
      </w:pPr>
    </w:p>
    <w:p w:rsidR="00163957" w:rsidRDefault="00163957" w:rsidP="00163957">
      <w:pPr>
        <w:pStyle w:val="TextoNormal"/>
      </w:pPr>
      <w:r>
        <w:t>En el presente caso, este Tribunal decidió admitir el recurso de amparo apreciando que concurría en el mismo especial trascendencia constitucional (art. 50.1 LOTC) porque el recurso puede dar ocasión al Tribunal para aclarar o cambiar su doctrina, como consecuencia de un proceso de reflexión interna [STC 155/2009, FJ 2 b)].</w:t>
      </w:r>
    </w:p>
    <w:p w:rsidR="00163957" w:rsidRDefault="00163957" w:rsidP="00163957">
      <w:pPr>
        <w:pStyle w:val="TextoNormal"/>
      </w:pPr>
    </w:p>
    <w:p w:rsidR="00163957" w:rsidRDefault="00163957" w:rsidP="00163957">
      <w:pPr>
        <w:pStyle w:val="TextoNormal"/>
      </w:pPr>
      <w:r>
        <w:t xml:space="preserve">La STC 29/2014, de 24 de febrero, de reiterada cita por el Abogado del Estado y por el Ministerio Fiscal, según se ha dejado constancia en los antecedentes, se pronunció, en asunto similar, sobre la infracción del derecho a la legalidad penal del art. 25.1 CE, pero no sobre una eventual lesión del principio de presunción de inocencia (art. 24.2 CE), ni sobre las garantías de defensa y prueba en el procedimiento administrativo sancionador seguido por la infracción de la que tratamos, tipificada en la actualidad como infracción muy grave en el art. 65.5, apartado j), de la Ley sobre tráfico, circulación de vehículos a motor y seguridad vial. En aquel caso, los hechos consistían en la negación, pura y simple, de la conducción por el identificado, acompañada de la falta de aportación o proposición de prueba por </w:t>
      </w:r>
      <w:r>
        <w:lastRenderedPageBreak/>
        <w:t>parte del titular del vehículo. En el caso que examinamos, las circunstancias fácticas concurrentes permitirán al Tribunal aclarar su doctrina respecto de los referidos derechos fundamentales implicados en relación con la infracción administrativa considerada.</w:t>
      </w:r>
    </w:p>
    <w:p w:rsidR="00163957" w:rsidRDefault="00163957" w:rsidP="00163957">
      <w:pPr>
        <w:pStyle w:val="TextoNormal"/>
      </w:pPr>
    </w:p>
    <w:p w:rsidR="00163957" w:rsidRDefault="00163957" w:rsidP="00163957">
      <w:pPr>
        <w:pStyle w:val="TextoNormal"/>
      </w:pPr>
      <w:r w:rsidRPr="00163957">
        <w:rPr>
          <w:rStyle w:val="NumeroAFNegritaCaracter"/>
        </w:rPr>
        <w:t>4</w:t>
      </w:r>
      <w:r>
        <w:t>. En consonancia con lo que se acaba de expresar, procede abordar el examen de la queja, articulada por la vía del art. 43 LOTC, relativa a la infracción del derecho a la presunción de inocencia (art. 24.2 CE) que, en el presente caso, se anuda a la prueba de la “inveracidad” de la identificación del conductor del vehículo.</w:t>
      </w:r>
    </w:p>
    <w:p w:rsidR="00163957" w:rsidRDefault="00163957" w:rsidP="00163957">
      <w:pPr>
        <w:pStyle w:val="TextoNormal"/>
      </w:pPr>
    </w:p>
    <w:p w:rsidR="00163957" w:rsidRDefault="00163957" w:rsidP="00163957">
      <w:pPr>
        <w:pStyle w:val="TextoNormal"/>
      </w:pPr>
      <w:r>
        <w:t>En concreto, en el fundamento jurídico 4 de la STC 29/2014, de 24 de febrero, se señala que “la tajante negativa del identificado como conductor puede suponer una identificación inverosímil o inveraz que permite incoar el correspondiente procedimiento sancionador”, para aclarar, acto seguido, que dicho procedimiento “tras la correspondiente tramitación”, “podrá en su caso concluir en la imposición de la sanción correspondiente.” A continuación insiste, con cita de la STC 197/1995, FJ 2, en que “la identificación del propietario no supone la determinación automática de la responsabilidad del conductor, que sólo podrá ser declarada tras la tramitación del correspondiente procedimiento sancionador en el que se garantice su derecho de defensa”; y, en que, “de igual modo, la negación de la condición de conductor por el identificado como tal en el seno de un procedimiento sancionador, no supone la automática declaración de responsabilidad del propietario por el incumplimiento de la identificación veraz del conductor”. El propietario “sólo podrá ser sancionado, tras la tramitación del correspondiente procedimiento y a la vista, en cada caso, de las alegaciones realizadas y las pruebas en él practicadas, conforme a las reglas que derivan del derecho contemplado en el art. 24.2 CE”.</w:t>
      </w:r>
    </w:p>
    <w:p w:rsidR="00163957" w:rsidRDefault="00163957" w:rsidP="00163957">
      <w:pPr>
        <w:pStyle w:val="TextoNormal"/>
      </w:pPr>
    </w:p>
    <w:p w:rsidR="00163957" w:rsidRDefault="00163957" w:rsidP="00163957">
      <w:pPr>
        <w:pStyle w:val="TextoNormal"/>
      </w:pPr>
      <w:r>
        <w:t>No se desprende de esa STC 29/2014, de 24 de febrero, tantas veces citada, la conclusión de que la mera negativa del identificado como conductor sea suficiente para reputar inverosímil o inveraz la identificación a los efectos de aplicar la norma sancionadora, pues podría resultar contraria al principio de presunción de inocencia (art. 24.2 CE).</w:t>
      </w:r>
    </w:p>
    <w:p w:rsidR="00163957" w:rsidRDefault="00163957" w:rsidP="00163957">
      <w:pPr>
        <w:pStyle w:val="TextoNormal"/>
      </w:pPr>
    </w:p>
    <w:p w:rsidR="00163957" w:rsidRDefault="00163957" w:rsidP="00163957">
      <w:pPr>
        <w:pStyle w:val="TextoNormal"/>
      </w:pPr>
      <w:r>
        <w:t xml:space="preserve">En efecto, el derecho a la presunción de inocencia (art. 24.2 CE), que rige sin excepciones en el procedimiento administrativo sancionador (SSTC 56/1998, de 16 de marzo, FJ 4; 76/1990, FJ 8, y 35/2006, de 13 de febrero FJ 6), comporta la exigencia de un acervo probatorio suficiente, recayendo sobre la Administración pública actuante la carga probatoria tanto de la comisión del ilícito como de la participación del acusado, sin que a éste pueda exigírsele una </w:t>
      </w:r>
      <w:r w:rsidRPr="00163957">
        <w:rPr>
          <w:i/>
        </w:rPr>
        <w:t>probatio diabolica</w:t>
      </w:r>
      <w:r>
        <w:t xml:space="preserve"> de los hechos negativos (por todas, SSTC 45/1997, de 11 de marzo, FJ 4, y 74/2004, de 24 de abril, FJ 4).</w:t>
      </w:r>
    </w:p>
    <w:p w:rsidR="00163957" w:rsidRDefault="00163957" w:rsidP="00163957">
      <w:pPr>
        <w:pStyle w:val="TextoNormal"/>
      </w:pPr>
    </w:p>
    <w:p w:rsidR="00163957" w:rsidRDefault="00163957" w:rsidP="00163957">
      <w:pPr>
        <w:pStyle w:val="TextoNormal"/>
      </w:pPr>
      <w:r>
        <w:t xml:space="preserve">No puede obviarse que la dificultad de obtención de prueba directa en los casos en que no ha sido posible identificar al conductor en el acto de formularse la denuncia ha llevado al Tribunal Europeo de Derecho Humanos a hacerse eco de la posibilidad, respetuosa con el derecho a la presunción de inocencia (art. 6.2 del Convenio europeo para la protección de los derechos humanos y de las libertades fundamentales), de emplear “presunciones de hecho” con sujeción a “límites razonables” (Decisión del Tribunal Europeo de Derechos Humanos de 19 de octubre de 2004, caso </w:t>
      </w:r>
      <w:r w:rsidRPr="00163957">
        <w:rPr>
          <w:i/>
        </w:rPr>
        <w:t>Falk c. Holanda</w:t>
      </w:r>
      <w:r>
        <w:t>).</w:t>
      </w:r>
    </w:p>
    <w:p w:rsidR="00163957" w:rsidRDefault="00163957" w:rsidP="00163957">
      <w:pPr>
        <w:pStyle w:val="TextoNormal"/>
      </w:pPr>
    </w:p>
    <w:p w:rsidR="00163957" w:rsidRDefault="00163957" w:rsidP="00163957">
      <w:pPr>
        <w:pStyle w:val="TextoNormal"/>
      </w:pPr>
      <w:r>
        <w:t xml:space="preserve">Es igualmente doctrina reiterada que no corresponde a este Tribunal revisar la valoración de las pruebas a través de las cuales el órgano sancionador alcanza su íntima convicción, </w:t>
      </w:r>
      <w:r>
        <w:lastRenderedPageBreak/>
        <w:t>sino únicamente llevar a cabo una supervisión externa de la razonabilidad del discurso que enlaza la actividad probatoria con el relato fáctico resultante (SSTC 117/2002, de 20 de mayo, FJ 9, y 131/2003, de 30 de junio, FJ 7, por todas).</w:t>
      </w:r>
    </w:p>
    <w:p w:rsidR="00163957" w:rsidRDefault="00163957" w:rsidP="00163957">
      <w:pPr>
        <w:pStyle w:val="TextoNormal"/>
      </w:pPr>
    </w:p>
    <w:p w:rsidR="00163957" w:rsidRDefault="00163957" w:rsidP="00163957">
      <w:pPr>
        <w:pStyle w:val="TextoNormal"/>
      </w:pPr>
      <w:r>
        <w:t>De cuanto llevamos expuesto se desprende que la mera negación del hecho de la conducción por la persona identificada, por sí sola, no es prueba bastante, a los efectos de destruir la presunción de inocencia consagrada en el art. 24.2 CE, de la inveracidad de la identificación. Ciertamente, puede constituir un indicio relevante, siempre y cuando tal negación esté revestida de mayor credibilidad que la identificación realizada y así se explicite por la Administración, posibilitando entonces que el procedimiento sancionador se dirija contra el propietario por la infracción de que tratamos. Sin embargo, partiendo de que el deber de identificación es instrumental por servir la finalidad de facilitar la intervención de los poderes públicos en el mantenimiento de la seguridad vial (SSTC 197/1995, de 21 de diciembre, FJ 8, y 29/2014, de 24 de febrero, FJ 4), será necesario desarrollar la fase instructora dirigida a la identificación del conductor supuestamente responsable de la infracción de tráfico originaria, lo cual habrá de incluir la posibilidad de aportación y la práctica de las pruebas de descargo que resultasen pertinentes (art. 24.2 CE).</w:t>
      </w:r>
    </w:p>
    <w:p w:rsidR="00163957" w:rsidRDefault="00163957" w:rsidP="00163957">
      <w:pPr>
        <w:pStyle w:val="TextoNormal"/>
      </w:pPr>
    </w:p>
    <w:p w:rsidR="00163957" w:rsidRDefault="00163957" w:rsidP="00163957">
      <w:pPr>
        <w:pStyle w:val="TextoNormal"/>
      </w:pPr>
      <w:r>
        <w:t>En efecto, como reconoce la STC 197/1995 (FJ 8) no se exige al titular del vehículo “probar la responsabilidad o culpabilidad del conductor supuestamente autor de la infracción sino que tal declaración se efectuará en su caso por la Administración, tras la conclusión del oportuno expediente sancionador en cuya tramitación el conductor podrá alegar en su descargo y proponer la práctica de cuantas pruebas considere pertinentes” (STC 197/1995, FJ 2).</w:t>
      </w:r>
    </w:p>
    <w:p w:rsidR="00163957" w:rsidRDefault="00163957" w:rsidP="00163957">
      <w:pPr>
        <w:pStyle w:val="TextoNormal"/>
      </w:pPr>
    </w:p>
    <w:p w:rsidR="00163957" w:rsidRDefault="00163957" w:rsidP="00163957">
      <w:pPr>
        <w:pStyle w:val="TextoNormal"/>
      </w:pPr>
      <w:r w:rsidRPr="00163957">
        <w:rPr>
          <w:rStyle w:val="NumeroAFNegritaCaracter"/>
        </w:rPr>
        <w:t>5</w:t>
      </w:r>
      <w:r>
        <w:t>. En el caso examinado, como ha quedado expuesto con detalle en el apartado de antecedentes, la entidad propietaria del vehículo, una vez requerida, identificó en plazo a una persona como conductor; y, cuando se dirigió contra ella procedimiento sancionador ante la negación de la conducción por la persona identificada, presentó y propuso prueba a fin de acreditar la veracidad de tal identificación. Como circunstancias adicionales relevantes hay que considerar: que la entidad propietaria del vehículo es una persona jurídica, lo cual excluye, en este caso, respecto a la conducta infractora inicial que la identificación pudiera tener una finalidad autoexculpatoria; que la declaración por escrito del identificado se limitaba a señalar que “no conducía”, sin añadir ninguna circunstancia adicional que pudiera dar razón de la identificación; que en fase de alegaciones, la entidad propietaria del vehículo, además de insistir en la identidad del conductor, empleado suyo con contrato laboral en el momento de formularse la denuncia, hecho que añade verosimilitud a la declaración, acompañó un escrito de este último en que se retractaba y asumía la conducción, junto con fotocopia de su documento nacional de identidad; que en el mismo escrito propuso, como prueba testifical, la declaración de tal persona, que fue tácitamente rechazada por la Administración; y, en fin, que en el expediente y en las resoluciones administrativas sancionadoras no constan ni se valoran circunstancias adicionales que pudieran incidir en la valoración de la veracidad de las declaraciones.</w:t>
      </w:r>
    </w:p>
    <w:p w:rsidR="00163957" w:rsidRDefault="00163957" w:rsidP="00163957">
      <w:pPr>
        <w:pStyle w:val="TextoNormal"/>
      </w:pPr>
    </w:p>
    <w:p w:rsidR="00163957" w:rsidRDefault="00163957" w:rsidP="00163957">
      <w:pPr>
        <w:pStyle w:val="TextoNormal"/>
      </w:pPr>
      <w:r>
        <w:t xml:space="preserve">No es posible aceptar que, en las antedichas circunstancias, la mera negación del hecho de la conducción por la persona identificada, en la fase de audiencia del procedimiento sancionador dirigido contra la misma, constituya prueba suficiente de la inveracidad de la identificación, pues el deber legal de colaborar no puede extenderse al extremo de convertir al </w:t>
      </w:r>
      <w:r>
        <w:lastRenderedPageBreak/>
        <w:t xml:space="preserve">propietario de un vehículo en perseguidor del “infractor” con una obligación de resultado, haciéndole responsable </w:t>
      </w:r>
      <w:r w:rsidRPr="00163957">
        <w:rPr>
          <w:i/>
        </w:rPr>
        <w:t>iuris et de iure</w:t>
      </w:r>
      <w:r>
        <w:t>, con consecuencia sancionadora, del fracaso de la fase instructora del procedimiento administrativo sancionador en la prioritaria determinación de la persona del conductor.</w:t>
      </w:r>
    </w:p>
    <w:p w:rsidR="00163957" w:rsidRDefault="00163957" w:rsidP="00163957">
      <w:pPr>
        <w:pStyle w:val="TextoNormal"/>
      </w:pPr>
    </w:p>
    <w:p w:rsidR="00163957" w:rsidRDefault="00163957" w:rsidP="00163957">
      <w:pPr>
        <w:pStyle w:val="TextoNormal"/>
      </w:pPr>
      <w:r>
        <w:t xml:space="preserve">Debe precisarse, finalmente, que ese deber legal de colaboración comprende, por imponerlo así el mandato de “veracidad”, además de indicar los datos de la persona a que se refiere la Ley sobre tráfico, circulación de vehículos a motor y seguridad vial (art. 9 </w:t>
      </w:r>
      <w:r w:rsidRPr="00163957">
        <w:rPr>
          <w:i/>
        </w:rPr>
        <w:t>bis</w:t>
      </w:r>
      <w:r>
        <w:t xml:space="preserve">.1), el de ofrecer, en cuanto la autoridad sancionadora lo solicite, las explicaciones y justificaciones que, según las circunstancias, permitan comprobar </w:t>
      </w:r>
      <w:r w:rsidRPr="00163957">
        <w:rPr>
          <w:i/>
        </w:rPr>
        <w:t>prima facie</w:t>
      </w:r>
      <w:r>
        <w:t xml:space="preserve"> la verosimilitud de aquella identificación. Esta exigencia, como se ha expuesto, aparece razonablemente satisfecha en el asunto que nos ocupa y sin embargo la Sentencia recurrida no lo apreció.</w:t>
      </w:r>
    </w:p>
    <w:p w:rsidR="00163957" w:rsidRDefault="00163957" w:rsidP="00163957">
      <w:pPr>
        <w:pStyle w:val="TextoNormal"/>
      </w:pPr>
    </w:p>
    <w:p w:rsidR="00163957" w:rsidRDefault="00163957" w:rsidP="00163957">
      <w:pPr>
        <w:pStyle w:val="TextoNormal"/>
      </w:pPr>
      <w:r w:rsidRPr="00163957">
        <w:rPr>
          <w:rStyle w:val="NumeroAFNegritaCaracter"/>
        </w:rPr>
        <w:t>6</w:t>
      </w:r>
      <w:r>
        <w:t>. Los razonamientos expuestos, de conformidad con el art. 55.1 LOTC, conducen a estimar el recurso de amparo por vulneración del art. 24.2 CE, y a anular las resoluciones impugnadas, sin necesidad de examinar los restantes motivos aducidos.</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el recurso de amparo interpuesto por Calzados D’Simons, S.L., y, en su virtud:</w:t>
      </w:r>
    </w:p>
    <w:p w:rsidR="00163957" w:rsidRDefault="00163957" w:rsidP="00163957">
      <w:pPr>
        <w:pStyle w:val="TextoNormal"/>
      </w:pPr>
    </w:p>
    <w:p w:rsidR="00163957" w:rsidRDefault="00163957" w:rsidP="00163957">
      <w:pPr>
        <w:pStyle w:val="TextoNormal"/>
      </w:pPr>
      <w:r>
        <w:t>1º Declarar vulnerado el derecho de la entidad recurrente en amparo a la presunción de inocencia (art. 24.2 CE).</w:t>
      </w:r>
    </w:p>
    <w:p w:rsidR="00163957" w:rsidRDefault="00163957" w:rsidP="00163957">
      <w:pPr>
        <w:pStyle w:val="TextoNormal"/>
      </w:pPr>
    </w:p>
    <w:p w:rsidR="00163957" w:rsidRDefault="00163957" w:rsidP="00163957">
      <w:pPr>
        <w:pStyle w:val="TextoNormal"/>
      </w:pPr>
      <w:r>
        <w:t>2º Restablecer su derecho y, a tal fin, anular y dejar sin efecto la Resolución de 1 de abril de 2014, dictada por el Director del Centro de Tratamiento de Denuncias Automatizadas del Ministerio del Interior, por delegación de la Jefatura Provincial de Tráfico de Toledo, la Resolución de 26 de mayo de 2014 desestimatoria del recurso de reposición, y la Sentencia del Juzgado de lo Contencioso-Administrativo núm. 3 de Toledo, de 30 de junio de 2015, que desestimó el recurso contencioso-administrativo interpuesto contra las anteriores (procedimiento abreviado núm. 326-2014).</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veinte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21" w:name="SENTENCIA_2016_118"/>
      <w:r>
        <w:lastRenderedPageBreak/>
        <w:t>SENTENCIA 118/2016, de 23 de junio de 2016</w:t>
      </w:r>
    </w:p>
    <w:bookmarkEnd w:id="121"/>
    <w:p w:rsidR="00163957" w:rsidRDefault="00163957" w:rsidP="00163957">
      <w:pPr>
        <w:pStyle w:val="TtuloResolucin"/>
      </w:pPr>
      <w:r>
        <w:t>Pleno</w:t>
      </w:r>
    </w:p>
    <w:p w:rsidR="00163957" w:rsidRDefault="00163957" w:rsidP="00163957">
      <w:pPr>
        <w:pStyle w:val="TtuloBOE"/>
      </w:pPr>
      <w:r>
        <w:t>(BOE núm. 181, de 28 de julio de 2016)</w:t>
      </w:r>
    </w:p>
    <w:p w:rsidR="00163957" w:rsidRDefault="00163957" w:rsidP="00163957">
      <w:pPr>
        <w:pStyle w:val="TextoNormalCentrado"/>
      </w:pPr>
      <w:r>
        <w:t>ECLI:ES:TC:2016:118</w:t>
      </w:r>
    </w:p>
    <w:p w:rsidR="00163957" w:rsidRDefault="00163957" w:rsidP="00163957">
      <w:pPr>
        <w:pStyle w:val="TextoNormalCentrado"/>
      </w:pPr>
    </w:p>
    <w:p w:rsidR="00163957" w:rsidRDefault="00163957" w:rsidP="00163957">
      <w:pPr>
        <w:pStyle w:val="SntesisDescriptiva"/>
      </w:pPr>
      <w:r>
        <w:t>Recurso de inconstitucionalidad 3443-2010, 4138-2010, 4223-2010, 4224-2010. Interpuestos por el Consejo de Gobierno de la Comunidad Autónoma de La Rioja, el Parlamento de La Rioja, el Consejo de Gobierno de la Comunidad Autónoma de Castilla y León y las Cortes de Castilla y León, respectivamente, respecto de la Ley Orgánica 1/2010, de 19 de febrero, de modificación de las leyes orgánicas del Tribunal Constitucional y del Poder Judicial.</w:t>
      </w:r>
    </w:p>
    <w:p w:rsidR="00163957" w:rsidRDefault="00163957" w:rsidP="00163957">
      <w:pPr>
        <w:pStyle w:val="SntesisDescriptiva"/>
      </w:pPr>
    </w:p>
    <w:p w:rsidR="00163957" w:rsidRDefault="00163957" w:rsidP="00163957">
      <w:pPr>
        <w:pStyle w:val="SntesisAnaltica"/>
      </w:pPr>
      <w:r>
        <w:t>Principios de igualdad, interdicción de la arbitrariedad, solidaridad, unidad de mercado y autonomía financiera; derecho a la tutela judicial efectiva, potestades jurisdiccionales del Tribunal Constitucional y del orden contencioso-administrativo: interpretación conforme de los preceptos legales que establecen un control de las normas forales fiscales compartido entre la jurisdicción constitucional y la ordinaria.</w:t>
      </w:r>
    </w:p>
    <w:p w:rsidR="00163957" w:rsidRDefault="00163957" w:rsidP="00163957">
      <w:pPr>
        <w:pStyle w:val="SntesisAnaltica"/>
      </w:pPr>
    </w:p>
    <w:p w:rsidR="00163957" w:rsidRDefault="00163957" w:rsidP="00163957">
      <w:pPr>
        <w:pStyle w:val="Extracto"/>
      </w:pPr>
      <w:r>
        <w:t>1.</w:t>
      </w:r>
      <w:r>
        <w:tab/>
        <w:t>Consideraciones previas sobre el régimen tributario foral [FJ 2].</w:t>
      </w:r>
    </w:p>
    <w:p w:rsidR="00163957" w:rsidRDefault="00163957" w:rsidP="00163957">
      <w:pPr>
        <w:pStyle w:val="Extracto"/>
      </w:pPr>
    </w:p>
    <w:p w:rsidR="00163957" w:rsidRDefault="00163957" w:rsidP="00163957">
      <w:pPr>
        <w:pStyle w:val="Extracto"/>
      </w:pPr>
      <w:r>
        <w:t>2.</w:t>
      </w:r>
      <w:r>
        <w:tab/>
        <w:t xml:space="preserve">La eventual contradicción entre la Ley Orgánica 1/2010 y la Ley Orgánica 2/1979 solo provoca un problema de selección de la norma aplicable, soluble conforme al criterio de sucesión temporal </w:t>
      </w:r>
      <w:r w:rsidRPr="00163957">
        <w:rPr>
          <w:i/>
        </w:rPr>
        <w:t>lex posterior derogat priori</w:t>
      </w:r>
      <w:r>
        <w:t>, no dando lugar a un vicio de constitucionalidad, salvo que con la modificación operada se violase, además, un mandato constitucional [FJ 3 a)].</w:t>
      </w:r>
    </w:p>
    <w:p w:rsidR="00163957" w:rsidRDefault="00163957" w:rsidP="00163957">
      <w:pPr>
        <w:pStyle w:val="Extracto"/>
      </w:pPr>
    </w:p>
    <w:p w:rsidR="00163957" w:rsidRDefault="00163957" w:rsidP="00163957">
      <w:pPr>
        <w:pStyle w:val="Extracto"/>
      </w:pPr>
      <w:r>
        <w:t>3.</w:t>
      </w:r>
      <w:r>
        <w:tab/>
        <w:t>Es el legislador orgánico el único constitucionalmente habilitado para delimitar nuestro sistema de jurisdicción constitucional y la forma de acceso a los diferentes procesos constituidos, como así se ha puesto de manifiesto en las sucesivas reformas de la Ley Orgánica del Tribunal Constitucional acomodando su contenido a las necesidades y circunstancias de cada momento [FJ 3 a)].</w:t>
      </w:r>
    </w:p>
    <w:p w:rsidR="00163957" w:rsidRDefault="00163957" w:rsidP="00163957">
      <w:pPr>
        <w:pStyle w:val="Extracto"/>
      </w:pPr>
    </w:p>
    <w:p w:rsidR="00163957" w:rsidRDefault="00163957" w:rsidP="00163957">
      <w:pPr>
        <w:pStyle w:val="Extracto"/>
      </w:pPr>
      <w:r>
        <w:t>4.</w:t>
      </w:r>
      <w:r>
        <w:tab/>
        <w:t>Es necesario subrayar que, del hecho de que la potestad normativa de las Juntas generales de los territorios de Álava, Gipuzkoa y Bizkaia, en materia tributaria, sea una de las manifestaciones de la foralidad que la Constitución “ampara y respeta”, no se colige como consecuencia necesaria que derive un concreto modo de protección jurídica de las normas forales fiscales, por lo que en ningún momento puede afirmarse que la Ley Orgánica 1/2010 haya actualizado, en contra del Estatuto de Autonomía, un pretendido rasgo histórico de la foralidad [FJ 3 b)].</w:t>
      </w:r>
    </w:p>
    <w:p w:rsidR="00163957" w:rsidRDefault="00163957" w:rsidP="00163957">
      <w:pPr>
        <w:pStyle w:val="Extracto"/>
      </w:pPr>
    </w:p>
    <w:p w:rsidR="00163957" w:rsidRDefault="00163957" w:rsidP="00163957">
      <w:pPr>
        <w:pStyle w:val="Extracto"/>
      </w:pPr>
      <w:r>
        <w:t>5.</w:t>
      </w:r>
      <w:r>
        <w:tab/>
        <w:t>El objeto de la competencia que se atribuye a este Tribunal Constitucional para controlar las normas forales ni es exclusivo de la jurisdicción constitucional ni es excluyente de la intervención de los Tribunales ordinarios, concretamente, los de la jurisdicción contencioso-administrativa [FJ 3 c)].</w:t>
      </w:r>
    </w:p>
    <w:p w:rsidR="00163957" w:rsidRDefault="00163957" w:rsidP="00163957">
      <w:pPr>
        <w:pStyle w:val="Extracto"/>
      </w:pPr>
    </w:p>
    <w:p w:rsidR="00163957" w:rsidRDefault="00163957" w:rsidP="00163957">
      <w:pPr>
        <w:pStyle w:val="Extracto"/>
      </w:pPr>
      <w:r>
        <w:t>6.</w:t>
      </w:r>
      <w:r>
        <w:tab/>
        <w:t xml:space="preserve">Siendo que el art. 28 LOTC acoge el denominado “bloque de constitucionalidad” formado por la CE y las leyes del Estado  delimitadoras de competencias estatales y autonómicas -incluidas las de los territorios históricos-, o armonizadoras del </w:t>
      </w:r>
      <w:r>
        <w:lastRenderedPageBreak/>
        <w:t>ejercicio de las autonómicas [v. gr., las normas estatutarias (STC 38/1983) o, en materia financiera, la ley orgánica a que se refiere el art. 157.3 CE (STC 181/1988)], la remisión de la D. Ad. 5ª LOTC al art. 28, supone que para fijar el parámetro de validez de las normas forales fiscales, sólo serán objeto del control atribuido a este Tribunal, las previstas en el art. 41.2 a) EAPV, que desconozcan o contradigan precepto integrante de dicho bloque (STC 157/1988) [FJ 3.c)].</w:t>
      </w:r>
    </w:p>
    <w:p w:rsidR="00163957" w:rsidRDefault="00163957" w:rsidP="00163957">
      <w:pPr>
        <w:pStyle w:val="Extracto"/>
      </w:pPr>
    </w:p>
    <w:p w:rsidR="00163957" w:rsidRDefault="00163957" w:rsidP="00163957">
      <w:pPr>
        <w:pStyle w:val="Extracto"/>
      </w:pPr>
      <w:r>
        <w:t>7.</w:t>
      </w:r>
      <w:r>
        <w:tab/>
        <w:t>Son parámetro inmediato o directo de la validez de las normas forales fiscales, además de la Constitución, tanto el Estatuto de Autonomía -en la actualidad, la Ley Orgánica 3/1979, de 18 de diciembre, de Estatuto de Autonomía para el País Vasco-, como el concierto -en la actualidad, la Ley 12/2002, de 23 de mayo, por la que se aprueba el concierto económico con la Comunidad Autónoma del País Vasco-, al ser estas últimas normas ordenadoras de las relaciones tributarias entre el Estado y los territorios históricos de Álava, Bizkaia y Gipuzkoa [FJ 3.c)].</w:t>
      </w:r>
    </w:p>
    <w:p w:rsidR="00163957" w:rsidRDefault="00163957" w:rsidP="00163957">
      <w:pPr>
        <w:pStyle w:val="Extracto"/>
      </w:pPr>
    </w:p>
    <w:p w:rsidR="00163957" w:rsidRDefault="00163957" w:rsidP="00163957">
      <w:pPr>
        <w:pStyle w:val="Extracto"/>
      </w:pPr>
      <w:r>
        <w:t>8.</w:t>
      </w:r>
      <w:r>
        <w:tab/>
        <w:t>Son parámetro mediato o indirecto del enjuiciamiento de aquella validez, por expresa remisión de la Ley del concierto, tanto las normas estatales reguladoras de los diferentes tributos que configuran “la estructura general impositiva del Estado” (art. 2.1.2 de la Ley del concierto económico), como “la Ley General Tributaria” [art. 3 a) de la Ley del concierto económico], pues únicamente en contraste con las mismas puede comprenderse el concreto alcance y comprobarse el correcto ejercicio de las competencias normativas que les han sido reconocidas [SSTC 161/2012; 197/2012 y 33/2016), en relación con los tributos cedidos a las Comunidades Autónomas] [FJ 3.c)].</w:t>
      </w:r>
    </w:p>
    <w:p w:rsidR="00163957" w:rsidRDefault="00163957" w:rsidP="00163957">
      <w:pPr>
        <w:pStyle w:val="Extracto"/>
      </w:pPr>
    </w:p>
    <w:p w:rsidR="00163957" w:rsidRDefault="00163957" w:rsidP="00163957">
      <w:pPr>
        <w:pStyle w:val="Extracto"/>
      </w:pPr>
      <w:r>
        <w:t>9.</w:t>
      </w:r>
      <w:r>
        <w:tab/>
        <w:t>Ningún reparo se le puede oponer, en principio, al hecho de que legislador orgánico haya decidido someter a todas las disposiciones normativas en materia tributaria al mismo mecanismo de control jurisdiccional, al servir todas estas formas de normación a la misma finalidad constitucional: la garantía de la autoimposición de la comunidad sobre sí misma [FJ 3 d)].</w:t>
      </w:r>
    </w:p>
    <w:p w:rsidR="00163957" w:rsidRDefault="00163957" w:rsidP="00163957">
      <w:pPr>
        <w:pStyle w:val="Extracto"/>
      </w:pPr>
    </w:p>
    <w:p w:rsidR="00163957" w:rsidRDefault="00163957" w:rsidP="00163957">
      <w:pPr>
        <w:pStyle w:val="Extracto"/>
      </w:pPr>
      <w:r>
        <w:t>10.</w:t>
      </w:r>
      <w:r>
        <w:tab/>
        <w:t>La inidoneidad de las normas forales fiscales para constituirse en objeto del recurso de inconstitucionalidad o de la cuestión de inconstitucionalidad nada dice en contra de su posible control de constitucionalidad a través de un nuevo proceso creado bajo el manto de los arts. 161.1 d), 162.2 y 165 CE, siendo irrelevante que las reglas de “la interposición y sus efectos, legitimación, tramitación y sentencia” sean las de aquellos, pues tal remisión, por sí sola, ni menoscaba el modelo de jurisdicción constitucional diseñado por el constituyente ni altera la regulación de los procesos de control de constitucionalidad directamente creados por él [FJ 3 d)].</w:t>
      </w:r>
    </w:p>
    <w:p w:rsidR="00163957" w:rsidRDefault="00163957" w:rsidP="00163957">
      <w:pPr>
        <w:pStyle w:val="Extracto"/>
      </w:pPr>
    </w:p>
    <w:p w:rsidR="00163957" w:rsidRDefault="00163957" w:rsidP="00163957">
      <w:pPr>
        <w:pStyle w:val="Extracto"/>
      </w:pPr>
      <w:r>
        <w:t>11.</w:t>
      </w:r>
      <w:r>
        <w:tab/>
        <w:t xml:space="preserve">Una misma norma es susceptible de control alternativo por una u otra jurisdicción (por ejemplo, el decreto legislativo que incurre en ultra vires); también, de un control sucesivo (como ocurre con los reglamentos contrarios a la CE); y, en otros casos, de un control excluyente (como pasa con el control de la eventual contradicción del Derecho de la UE con las normas legales por parte de los órganos de la jurisdicción ordinaria o con el control de constitucionalidad de las disposiciones con rango de ley y, ahora también, con el de las normas forales fiscales), sin que </w:t>
      </w:r>
      <w:r>
        <w:lastRenderedPageBreak/>
        <w:t>en ninguno de esos casos se desfigure el modelo de control constitucional de unas normas u otras, legales o reglamentarias [FJ 3 d)].</w:t>
      </w:r>
    </w:p>
    <w:p w:rsidR="00163957" w:rsidRDefault="00163957" w:rsidP="00163957">
      <w:pPr>
        <w:pStyle w:val="Extracto"/>
      </w:pPr>
    </w:p>
    <w:p w:rsidR="00163957" w:rsidRDefault="00163957" w:rsidP="00163957">
      <w:pPr>
        <w:pStyle w:val="Extracto"/>
      </w:pPr>
      <w:r>
        <w:t>12.</w:t>
      </w:r>
      <w:r>
        <w:tab/>
        <w:t>La inexistencia de recursos directos frente a las normas forales fiscales no genera indefensión alguna, pues quienes caen bajo su cobertura podrán impugnar sus actos de desarrollo o ejecución, alegando ante los Jueces y Tribunales tanto la vulneración por aquellas disposiciones de cualquiera de sus derechos, como la violación de cualquier mandato del bloque de la constitucionalidad, solicitando del órgano judicial, en orden a su inaplicación, el planteamiento de la correspondiente cuestión prejudicial de validez [FJ 3 e)].</w:t>
      </w:r>
    </w:p>
    <w:p w:rsidR="00163957" w:rsidRDefault="00163957" w:rsidP="00163957">
      <w:pPr>
        <w:pStyle w:val="Extracto"/>
      </w:pPr>
    </w:p>
    <w:p w:rsidR="00163957" w:rsidRDefault="00163957" w:rsidP="00163957">
      <w:pPr>
        <w:pStyle w:val="Extracto"/>
      </w:pPr>
      <w:r>
        <w:t>13.</w:t>
      </w:r>
      <w:r>
        <w:tab/>
        <w:t>Privar a las Comunidades Autónomas de la posibilidad de impugnar las normas forales fiscales, aun cuando constituya un obstáculo al libre acceso a la jurisdicción por parte de las Comunidades Autónomas, ni carece de razonabilidad (pues procura remediar el déficit de protección constitucional de la foralidad vasca en atención a los fines que la disposición adicional primera del texto constitucional respeta y ampara), ni adolece de la necesaria proporcionalidad (al no convertir a las normas forales fiscales, en modo alguno, en un producto normativo inmune a toda clase de control jurisdiccional) [FJ 3 e)].</w:t>
      </w:r>
    </w:p>
    <w:p w:rsidR="00163957" w:rsidRDefault="00163957" w:rsidP="00163957">
      <w:pPr>
        <w:pStyle w:val="Extracto"/>
      </w:pPr>
    </w:p>
    <w:p w:rsidR="00163957" w:rsidRDefault="00163957" w:rsidP="00163957">
      <w:pPr>
        <w:pStyle w:val="Extracto"/>
      </w:pPr>
      <w:r>
        <w:t>14.</w:t>
      </w:r>
      <w:r>
        <w:tab/>
        <w:t>El hecho de que se haya cambiado el régimen de impugnación de las normas forales fiscales y que ahora las personas físicas y jurídicas no puedan recurrir directamente unas normas que antes sí podían, no puede considerarse discriminatorio ni tampoco permite apreciar la aplicación de un trato desigual [FJ 3 f)].</w:t>
      </w:r>
    </w:p>
    <w:p w:rsidR="00163957" w:rsidRDefault="00163957" w:rsidP="00163957">
      <w:pPr>
        <w:pStyle w:val="Extracto"/>
      </w:pPr>
    </w:p>
    <w:p w:rsidR="00163957" w:rsidRDefault="00163957" w:rsidP="00163957">
      <w:pPr>
        <w:pStyle w:val="Extracto"/>
      </w:pPr>
      <w:r>
        <w:t>15.</w:t>
      </w:r>
      <w:r>
        <w:tab/>
        <w:t>En relación con el “efecto deslocalizador”, los recurrentes no analizan una concreta consecuencia jurídica o efecto derivado de la aplicación de la normativa impugnada, sino que se limitan a imputarle una suerte de vicios de inconstitucionalidad con fundamento en los eventuales e inciertos efectos que la aplicación de la normativa impugnada pudiera deparar en un futuro, en función del uso que los territorios históricos pudieran hacer de su potestad normativa en materia tributaria, lo que determina que estemos en presencia de una denuncia de las que hemos venido calificando como “prematuras” [FJ 3 g)].</w:t>
      </w:r>
    </w:p>
    <w:p w:rsidR="00163957" w:rsidRDefault="00163957" w:rsidP="00163957">
      <w:pPr>
        <w:pStyle w:val="Extracto"/>
      </w:pPr>
    </w:p>
    <w:p w:rsidR="00163957" w:rsidRDefault="00163957" w:rsidP="00163957">
      <w:pPr>
        <w:pStyle w:val="Extracto"/>
      </w:pPr>
      <w:r>
        <w:t>16.</w:t>
      </w:r>
      <w:r>
        <w:tab/>
        <w:t>En relación con el conflicto en defensa de la autonomía foral, ningún reproche se le puede hacer al legislador orgánico por el hecho de que haya procedido a dotar a los derechos históricos que la Constitución “ampara y respeta”, una vez que han sido actualizados “en el marco de la Constitución y de los Estatutos de Autonomía”, de los instrumentos procesales idóneos para su defensa y protección [FJ 4 b)].</w:t>
      </w:r>
    </w:p>
    <w:p w:rsidR="00163957" w:rsidRDefault="00163957" w:rsidP="00163957">
      <w:pPr>
        <w:pStyle w:val="Extracto"/>
      </w:pPr>
    </w:p>
    <w:p w:rsidR="00163957" w:rsidRDefault="00163957" w:rsidP="00163957">
      <w:pPr>
        <w:pStyle w:val="Extracto"/>
      </w:pPr>
      <w:r>
        <w:t>17.</w:t>
      </w:r>
      <w:r>
        <w:tab/>
        <w:t>El proceso regulado en el apartado tercero de la nueva disposición adicional quinta LOTC contiene rasgos distintivos suficientes —la especificidad del motivo de impugnación y la atribución de legitimación activa únicamente a los entes territoriales afectados— que permiten configurarlo como un proceso constitucional con sustantividad propia y anclaje en los arts. 161.1 d), 162.2 y 165 CE [FJ 4 c)].</w:t>
      </w:r>
    </w:p>
    <w:p w:rsidR="00163957" w:rsidRDefault="00163957" w:rsidP="00163957">
      <w:pPr>
        <w:pStyle w:val="Extracto"/>
      </w:pPr>
    </w:p>
    <w:p w:rsidR="00163957" w:rsidRDefault="00163957" w:rsidP="00163957">
      <w:pPr>
        <w:pStyle w:val="Extracto"/>
      </w:pPr>
      <w:r>
        <w:lastRenderedPageBreak/>
        <w:t>18.</w:t>
      </w:r>
      <w:r>
        <w:tab/>
        <w:t>Los territorios históricos vascos gozan de una singularidad que se materializa en un ámbito competencial diferente y más amplio del conferido a las provincias de régimen común, que dimana del régimen foral constitucional y estatutariamente garantizado, no solo frente a las Instituciones comunes del País Vasco sino también frente “a los poderes centrales del Estado” (STC 76/1988), para cuya protección se ha creado el nuevo conflicto en defensa de la autonomía foral, sin que se pretenda dotar de un mayor grado de protección a la autonomía foral que a la autonomía local, sino garantizar de manera particularizada instituciones diferentes que responden a circunstancias y fines distintos [FJ 4 d)].</w:t>
      </w:r>
    </w:p>
    <w:p w:rsidR="00163957" w:rsidRDefault="00163957" w:rsidP="00163957">
      <w:pPr>
        <w:pStyle w:val="Extracto"/>
      </w:pPr>
    </w:p>
    <w:p w:rsidR="00163957" w:rsidRDefault="00163957" w:rsidP="00163957">
      <w:pPr>
        <w:pStyle w:val="Extracto"/>
      </w:pPr>
      <w:r>
        <w:t>19.</w:t>
      </w:r>
      <w:r>
        <w:tab/>
        <w:t>La modificación de las reglas procesales de control de unas normas que, por su contenido y alcance pueden provocar, - como se señala en la STC 96/2002-, el llamado “efecto frontera” de estimular el traslado de actividades económicas de territorio común a territorio foral, con afectación de la autonomía financiera de las Comunidades Autónomas limítrofes, alterando sus posibilidades de reacción frente a eventual afectación de su ámbito de autonomía, genera en ellas un interés legítimo, directo y específico [FJ 1 b)].</w:t>
      </w:r>
    </w:p>
    <w:p w:rsidR="00163957" w:rsidRDefault="00163957" w:rsidP="00163957">
      <w:pPr>
        <w:pStyle w:val="Extracto"/>
      </w:pPr>
    </w:p>
    <w:p w:rsidR="00163957" w:rsidRDefault="00163957" w:rsidP="00163957">
      <w:pPr>
        <w:pStyle w:val="Extracto"/>
      </w:pPr>
      <w:r>
        <w:t>20.</w:t>
      </w:r>
      <w:r>
        <w:tab/>
        <w:t>En la medida en que, con este nuevo conflicto en defensa de la autonomía foral, las Juntas generales y las Diputaciones forales pueden cuestionar normas estatales con rango de ley y, entre ellas, las propias normas estatutarias de las Comunidades Autónomas limítrofes cuando se aduzca una afectación de la autonomía foral, no cabe duda del interés de las instituciones demandantes, no solo en el control del correcto ejercicio de las competencias del Estado en materia de legislación procesal, sino también en la defensa de su propio ámbito de autonomía, que se ve afectado por esa nueva delimitación [FJ 1 c)].</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 xml:space="preserve">En los recursos de inconstitucionalidad acumulados 3443-2010, interpuesto por el Consejo de Gobierno de la Comunidad Autónoma de La Rioja; 4138-2010, interpuesto por el Parlamento de La Rioja; 4223-2010, interpuesto por el Consejo de Gobierno de la Comunidad Autónoma de Castilla y León y 4224-2010, interpuesto por las Cortes de Castilla y León; todos ellos contra la Ley Orgánica 1/2010, de 19 de febrero, de modificación de las </w:t>
      </w:r>
      <w:r>
        <w:lastRenderedPageBreak/>
        <w:t>leyes orgánicas del Tribunal Constitucional y del Poder Judicial. Ha comparecido el Abogado del Estado, en representación del Gobierno de la Nación. Se han personado el Gobierno Vasco y el Parlamento Vasco, en condición de coadyuvantes del Gobierno de la Nación. Ha sido Ponente el Presidente don Francisco Pérez de los Cobos Orihuel, Presidente,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presentado el día 26 de abril de 2010 en el Registro General de este Tribunal, el Letrado de la Comunidad Autónoma de La Rioja, actuando en representación y defensa de su Consejo de Gobierno, interpuso un recurso de inconstitucionalidad (registrado con el núm. 3443-2010) contra la Ley Orgánica 1/2010, de 19 de febrero, de modificación de las leyes orgánicas del Tribunal Constitucional y del Poder Judicial, por posible vulneración de los arts. 2, 9.3, 14, 19, 24.1, 38, 40.1, 106.1, 130.1, 131.1, 138.1 y 2, 139.1 y 2, 149.1.1, 152, 156.1, 157.2, 158.2, 161.1 a), 162.1, 163, así como de la disposición adicional primera, todos ellos de la Constitución, en relación con el art. 28.1 de la Ley Orgánica 2/1979, de 3 de octubre, del Tribunal Constitucional (en adelante, LOTC), con los arts. 25, 37, 38 y 41 de la Ley Orgánica 3/1979, de 18 de diciembre, de Estatuto de Autonomía para el País Vasco (en lo sucesivo, EAPV), y con el art. 8.1.4 de la Ley Orgánica 3/1982, de 9 de junio, de Estatuto de Autonomía de La Rioja (en adelante, EAR).</w:t>
      </w:r>
    </w:p>
    <w:p w:rsidR="00163957" w:rsidRDefault="00163957" w:rsidP="00163957">
      <w:pPr>
        <w:pStyle w:val="TextoNormal"/>
      </w:pPr>
    </w:p>
    <w:p w:rsidR="00163957" w:rsidRDefault="00163957" w:rsidP="00163957">
      <w:pPr>
        <w:pStyle w:val="TextoNormal"/>
      </w:pPr>
      <w:r>
        <w:t>En el escrito de demanda se fundamenta, antes de nada, la legitimación que asiste al Consejo de Gobierno de La Rioja para interponer el recurso de inconstitucionalidad, por afectar la norma impugnada “a su propio ámbito de autonomía” [arts. 162.1 a) CE y 32.2 LOTC], lo que sucede cuando existe un punto de conexión material entre la ley estatal y el ámbito competencial autonómico que, en el presente caso, no solo se encuentra en las competencias autonómicas en materia de “ordenación y planificación de la actividad económica, así como fomento del desarrollo económico de la Comunidad Autónoma” (art. 8.1.4 EAR), como reconoció en un supuesto similar la STC 96/2002, de 25 de abril (FJ 3), sino también en el recorte de las facultades de reacción y tutela que derivan de la reforma operada por la Ley Orgánica 1/2010, de la competencias, derechos e intereses legítimos de la Comunidad Autónoma de La Rioja, lo que afecta a la base de su autonomía. A continuación, se pasa a examinar el significado y fundamento de los derechos históricos de los territorios forales a la luz de la disposición adicional primera de la Constitución, la actualización de tales derechos históricos a través del Estatuto de Autonomía para el País Vasco, la naturaleza jurídica de los territorios históricos de Álava, Bizkaia y Gipuzkoa, las relaciones entre las instituciones comunes vascas y los órganos forales de los territorios históricos y, finalmente, el régimen fiscal foral, deteniéndose en el régimen de concierto económico así como en los principios y límites que inspiran y afectan, respectivamente, a la potestad tributaria foral.</w:t>
      </w:r>
    </w:p>
    <w:p w:rsidR="00163957" w:rsidRDefault="00163957" w:rsidP="00163957">
      <w:pPr>
        <w:pStyle w:val="TextoNormal"/>
      </w:pPr>
    </w:p>
    <w:p w:rsidR="00163957" w:rsidRDefault="00163957" w:rsidP="00163957">
      <w:pPr>
        <w:pStyle w:val="TextoNormal"/>
      </w:pPr>
      <w:r>
        <w:t>Una vez hechas las anteriores consideraciones generales se pasan a exponer las razones dirigidas a sustentar la inconstitucionalidad de los apartados 1 y 2 de la nueva disposición adicional quinta LOTC, así como de la nueva redacción de los arts. 9.4 de la Ley Orgánica 6/1985, de 1 de julio, del Poder Judicial (en adelante, LOPJ), y 3d) de la Ley 29/1998, de 13 de julio, reguladora de la Jurisdicción Contencioso-administrativa (en lo sucesivo, LJCA), con fundamento en los siguientes argumentos:</w:t>
      </w:r>
    </w:p>
    <w:p w:rsidR="00163957" w:rsidRDefault="00163957" w:rsidP="00163957">
      <w:pPr>
        <w:pStyle w:val="TextoNormal"/>
      </w:pPr>
    </w:p>
    <w:p w:rsidR="00163957" w:rsidRDefault="00163957" w:rsidP="00163957">
      <w:pPr>
        <w:pStyle w:val="TextoNormal"/>
      </w:pPr>
      <w:r>
        <w:lastRenderedPageBreak/>
        <w:t>a) La aprobación del Estatuto de Autonomía para el País Vasco en 1979 implicó una redistribución o novación subjetiva de la titularidad de los derechos históricos a que se refiere la disposición adicional primera de la Constitución, de modo que muchas de las posiciones jurídicas singulares que correspondieron históricamente a las provincias vascas fueron asumidas por las instituciones autonómicas centrales. En particular, la potestad legislativa fue atribuida, por el Estatuto de Autonomía y por la Ley de territorios históricos de 1983, exclusivamente, al Parlamento Vasco. Por su parte, las normas forales de los territorios históricos tienen carácter reglamentario y, dada esta circunstancia, las disposiciones de la Ley Orgánica 1/2010 contravienen el art. 106.1 CE, en cuanto excluyen de todo control jurisdiccional el ejercicio por ciertas Administraciones públicas de la potestad reglamentaria que tienen atribuida en materia fiscal, sustituyéndola por un control de constitucionalidad a cargo del Tribunal Constitucional, con la consiguiente vulneración de los arts. 161.1 a) y 163 CE.</w:t>
      </w:r>
    </w:p>
    <w:p w:rsidR="00163957" w:rsidRDefault="00163957" w:rsidP="00163957">
      <w:pPr>
        <w:pStyle w:val="TextoNormal"/>
      </w:pPr>
    </w:p>
    <w:p w:rsidR="00163957" w:rsidRDefault="00163957" w:rsidP="00163957">
      <w:pPr>
        <w:pStyle w:val="TextoNormal"/>
      </w:pPr>
      <w:r>
        <w:t>La exclusión que hace la Ley Orgánica 1/2010 de toda posibilidad de impugnación de las normas forales fiscales ante los Tribunales por los ciudadanos y sujetos privados o públicos afectados por las mismas, es contraria al art. 106.1 CE, a cuyo tenor “[l]os Tribunales controlan la potestad reglamentaria y la legalidad de la actuación administrativa, así como el sometimiento de esta a los fines que la justifican”, donde resulta recogido el control propiamente jurisdiccional —consecuencia de la nota básica del Estado de Derecho que es la separación de poderes y la vinculación del Poder ejecutivo a la ley— que conviene a todo ejercicio de la potestad reglamentaria por cualquier órgano de la Administración que la tenga atribuida, cual es el caso de las Juntas Generales. Y es directamente contraria también al art. 38.3 EAPV, según el cual “los actos y acuerdos y las normas reglamentarías emanadas de los órganos ejecutivos y administrativos del País Vasco serán recurribles ante la jurisdicción contencioso administrativa”, a cuyo efecto hay que tener en cuenta que este precepto se sitúa dentro de su título II, que trata “de los poderes del País Vasco” incluyendo entre ellos “las instituciones de los Territorios Históricos” (capítulo IV) y, por tanto, sus órganos forales (art. 37.1 EAPV), entre los que se encuentran las juntas generales, que son, todos ellos, “órganos administrativos”.</w:t>
      </w:r>
    </w:p>
    <w:p w:rsidR="00163957" w:rsidRDefault="00163957" w:rsidP="00163957">
      <w:pPr>
        <w:pStyle w:val="TextoNormal"/>
      </w:pPr>
    </w:p>
    <w:p w:rsidR="00163957" w:rsidRDefault="00163957" w:rsidP="00163957">
      <w:pPr>
        <w:pStyle w:val="TextoNormal"/>
      </w:pPr>
      <w:r>
        <w:t>En suma, los territorios históricos tienen, por serlo, facultades de regulación tributaria más amplias que las que corresponden a otras Administraciones. Ahora bien, la propia Constitución en su art. 133.2 reconoce que “las Corporaciones locales podrán establecer y exigir tributos, de acuerdo con la Constitución y las leyes”, y eso en modo alguno permite excluir del control jurisdiccional a las ordenanzas locales que se dicten en ejercicio de esa potestad tributaria constitucionalmente reconocida, sea cual fuere su repercusión e importancia práctica.</w:t>
      </w:r>
    </w:p>
    <w:p w:rsidR="00163957" w:rsidRDefault="00163957" w:rsidP="00163957">
      <w:pPr>
        <w:pStyle w:val="TextoNormal"/>
      </w:pPr>
    </w:p>
    <w:p w:rsidR="00163957" w:rsidRDefault="00163957" w:rsidP="00163957">
      <w:pPr>
        <w:pStyle w:val="TextoNormal"/>
      </w:pPr>
      <w:r>
        <w:t>b) La Ley Orgánica 1/2010 infringe también la Constitución en la medida en que asigna al Tribunal Constitucional unas competencias que la misma excluye por completo. En nuestro sistema, al Tribunal Constitucional corresponde, en exclusiva, declarar la nulidad de las leyes —a través del recurso y de la cuestión de inconstitucionalidad [arts. 161.1 a) y 163 CE]— al tiempo que le está vedado declarar la inconstitucionalidad de las normas reglamentarias, lo que es competencia exclusiva de los órganos judiciales (art. 106.1 CE). El Tribunal Constitucional no tiene atribuida la función de control de esas normas de natura</w:t>
      </w:r>
      <w:r>
        <w:lastRenderedPageBreak/>
        <w:t>leza reglamentaria, las cuales no pueden ser objeto ni de recursos ni de cuestiones de inconstitucionalidad, según tiene reiteradamente establecido el propio Tribunal Constitucional.</w:t>
      </w:r>
    </w:p>
    <w:p w:rsidR="00163957" w:rsidRDefault="00163957" w:rsidP="00163957">
      <w:pPr>
        <w:pStyle w:val="TextoNormal"/>
      </w:pPr>
    </w:p>
    <w:p w:rsidR="00163957" w:rsidRDefault="00163957" w:rsidP="00163957">
      <w:pPr>
        <w:pStyle w:val="TextoNormal"/>
      </w:pPr>
      <w:r>
        <w:t>c) El cambio de régimen impugnatorio de las normas forales, trasladando la competencia para su control al Tribunal Constitucional, implica una merma constitucionalmente inaceptable de las garantías hasta ahora establecidas a favor de las personas físicas y jurídicas afectadas por las normas tributarias forales, contraria al art. 24.1 CE.</w:t>
      </w:r>
    </w:p>
    <w:p w:rsidR="00163957" w:rsidRDefault="00163957" w:rsidP="00163957">
      <w:pPr>
        <w:pStyle w:val="TextoNormal"/>
      </w:pPr>
    </w:p>
    <w:p w:rsidR="00163957" w:rsidRDefault="00163957" w:rsidP="00163957">
      <w:pPr>
        <w:pStyle w:val="TextoNormal"/>
      </w:pPr>
      <w:r>
        <w:t>d) El nuevo régimen de control de las normas forales fiscales viola el principio de interdicción de la arbitrariedad de los poderes públicos, consagrado en el art. 9.3 CE, al ser causante de una discriminación y estar falto de una justificación razonable en cuanto está primordialmente orientado a reducir los motivos de impugnación y eliminar la posibilidad de recurrir que hasta ahora tenían las personas físicas y jurídicas cuyos intereses se viesen afectados por las normas forales.</w:t>
      </w:r>
    </w:p>
    <w:p w:rsidR="00163957" w:rsidRDefault="00163957" w:rsidP="00163957">
      <w:pPr>
        <w:pStyle w:val="TextoNormal"/>
      </w:pPr>
    </w:p>
    <w:p w:rsidR="00163957" w:rsidRDefault="00163957" w:rsidP="00163957">
      <w:pPr>
        <w:pStyle w:val="TextoNormal"/>
      </w:pPr>
      <w:r>
        <w:t>e) La consagración del “blindaje”, en combinación con el llamado “efecto frontera” o de deslocalización de empresas por su traslado desde las Comunidades Autónomas vecinas a la del País Vasco, traerá como consecuencia práctica una infracción de los siguientes preceptos constitucionales: del art. 9.3 (que consagra la interdicción de la arbitrariedad de los poderes públicos); del art. 14 (que reconoce la igualdad ante la ley de todos los españoles); del art. 24.1 (referido a la tutela judicial efectiva de los derechos e intereses legítimos de todas las personas, incluidas las personas jurídicas públicas, como es la Administración de la Comunidad Autónoma de La Rioja); del art. 106.1 (relativo al control por los Tribunales de la potestad reglamentaria); del art. 138.2 (que proscribe la existencia de privilegios económicos y sociales entre los diferentes territorios del Estado); del art. 139.1 (relativo a la igualdad de todos los españoles en derechos y obligaciones en cualquier parte del territorio del Estado); del art. 161.1 a), referido al recurso de inconstitucionalidad contra “leyes y disposiciones normativas con fuerza de ley”; del art. 163 [relativo a la cuestión de inconstituciona1idad contra “norma(s) con rango de ley”]; de los arts. 19 y 38 (en cuanto relativos a los principios de libertad de circulación, de residencia y de empresa); de los arts. 2, 38, 40.l, 130.1, 131.1, 138.1 y 2, 139.2, 149.1.1 y 157.2 (en cuanto afectan al principio de unidad de mercado); de los arts. 2, 138, 156.1 y 158.2 (en cuanto a los principios de solidaridad y autonomía financiera); y de la disposición adicional primera (que establece la actualización de los derechos históricos en el marco de la Constitución y de los Estatutos de Autonomía).</w:t>
      </w:r>
    </w:p>
    <w:p w:rsidR="00163957" w:rsidRDefault="00163957" w:rsidP="00163957">
      <w:pPr>
        <w:pStyle w:val="TextoNormal"/>
      </w:pPr>
    </w:p>
    <w:p w:rsidR="00163957" w:rsidRDefault="00163957" w:rsidP="00163957">
      <w:pPr>
        <w:pStyle w:val="TextoNormal"/>
      </w:pPr>
      <w:r>
        <w:t xml:space="preserve">f) Para el Consejo de Gobierno de La Rioja la normativa reguladora del conflicto en defensa de la autonomía foral infringe los siguientes preceptos constitucionales: art. 9.3 (en cuanto establece la interdicción de la arbitrariedad de los poderes públicos), art. 14 (que consagra la igualdad ante la ley de todos los españoles), art. 24.1 (por cuanto reconoce el derecho a la tutela judicial efectiva de los derechos e intereses legítimos de todas las personas, incluidas las personas jurídicas públicas), art. 138.2 (que proscribe la existencia de privilegios económicos y sociales entre los diferentes territorios del Estado), art. 139.1 (que expresa la igualdad de todos los españoles en derechos y obligaciones en cualquier parte del territorio del Estado), art. 161.1 a), relativo a la competencia del Tribunal Constitucional para conocer del recurso de inconstitucionalidad contra leyes y disposiciones normativas </w:t>
      </w:r>
      <w:r>
        <w:lastRenderedPageBreak/>
        <w:t>con fuerza de ley, art. 162.1 a), sobre legitimación para la interposición del recurso de inconstitucionalidad y disposición adicional primera (que establece la actualización de los derechos históricos en el marco de la Constitución y de los Estatutos de Autonomía).</w:t>
      </w:r>
    </w:p>
    <w:p w:rsidR="00163957" w:rsidRDefault="00163957" w:rsidP="00163957">
      <w:pPr>
        <w:pStyle w:val="TextoNormal"/>
      </w:pPr>
    </w:p>
    <w:p w:rsidR="00163957" w:rsidRDefault="00163957" w:rsidP="00163957">
      <w:pPr>
        <w:pStyle w:val="TextoNormal"/>
      </w:pPr>
      <w:r>
        <w:t>En efecto, la Ley Orgánica 1/2010 introduce un nuevo proceso constitucional denominado “conflicto en defensa de la autonomía foral” (apartado tercero de la nueva disposición adicional quinta LOTC). A su juicio, no existe ningún elemento diferencial, desde el punto de vista de la autonomía local que consagra el art. 140 CE —el cual se aplica por igual a los territorios históricos vascos y a las demás provincias españolas—, que justifique el establecimiento de un mecanismo constitucional específico de protección de aquellos y no de estas, sin que tampoco la disposición adicional primera de la Constitución contemple o permita un régimen singular de protección de las competencias de los territorios históricos. En este sentido, rechaza el recurrente que sea compatible con la Constitución una configuración asimétrica de las garantías constitucionales de la autonomía local, que comprenda no solo el diferente contenido institucional de esta última sino también los mecanismos jurisdiccionales de defensa de dicha autonomía frente al legislador, puesto que el art. 24.1 CE reconoce por igual el derecho a la tutela judicial efectiva a todos los afectados en sus derechos e intereses por cualquier decisión de los poderes públicos. Considerando que lo que se trata de preservar es la garantía consagrada en el art. 140 CE y que esta corresponde por igual a todas las entidades locales existentes en el Estado, no es racional y resulta arbitrario, por contradicción con el principio de igualdad, imponer un reparto asimétrico de las garantías, de modo que sean distintas en unos territorios y en otros.</w:t>
      </w:r>
    </w:p>
    <w:p w:rsidR="00163957" w:rsidRDefault="00163957" w:rsidP="00163957">
      <w:pPr>
        <w:pStyle w:val="TextoNormal"/>
      </w:pPr>
    </w:p>
    <w:p w:rsidR="00163957" w:rsidRDefault="00163957" w:rsidP="00163957">
      <w:pPr>
        <w:pStyle w:val="TextoNormal"/>
      </w:pPr>
      <w:r>
        <w:t xml:space="preserve">Para el Gobierno recurrente la creación de un nuevo proceso ante el Tribunal Constitucional en defensa de la autonomía foral solo pretende dotar a las diputaciones forales de una legitimación individualizada para impugnar leyes estatales, de la que carecían en el conflicto en defensa de autonomía local, para el que solo están legitimadas en litisconsorcio activo necesario un número de provincias que supongan al menos la mitad de las existentes en el ámbito territorial de aplicación de la disposición con rango de ley [art. 75 </w:t>
      </w:r>
      <w:r w:rsidRPr="00163957">
        <w:rPr>
          <w:i/>
        </w:rPr>
        <w:t>ter</w:t>
      </w:r>
      <w:r>
        <w:t>.1 c) LOTC]. La remisión para la tramitación y resolución de estos conflictos al procedimiento establecido en los arts. 63 y ss. LOTC, no es sino un expediente artificioso para dar apariencia de sustantividad singularizada al nuevo proceso constitucional sin reparar en que existen diferencias insalvables, pues los conflictos solo caben contra una “disposición, resolución, o acto” sin fuerza de ley, nunca contra leyes.</w:t>
      </w:r>
    </w:p>
    <w:p w:rsidR="00163957" w:rsidRDefault="00163957" w:rsidP="00163957">
      <w:pPr>
        <w:pStyle w:val="TextoNormal"/>
      </w:pPr>
    </w:p>
    <w:p w:rsidR="00163957" w:rsidRDefault="00163957" w:rsidP="00163957">
      <w:pPr>
        <w:pStyle w:val="TextoNormal"/>
      </w:pPr>
      <w:r>
        <w:t>Haciendo igualmente suyo el informe de la Defensora del Pueblo riojano de 24 de febrero de 2010, se añade en la demanda que la inconstitucionalidad de la disposición impugnada deriva de los siguientes motivos: a) La legitimación activa conferida a los territorios históricos es más amplia que la que se reconoce a los entes locales para presentar el conflicto en defensa de la autonomía local, sin que exista justificación para ello, dado que no cabe entender que la Constitución establezca un mayor grado de protección para la autonomía foral que para la autonomía local. b) Aunque el preámbulo de la Ley vincula la creación de este conflicto a “</w:t>
      </w:r>
      <w:r w:rsidRPr="00163957">
        <w:rPr>
          <w:i/>
        </w:rPr>
        <w:t>motivos de estricta coherencia</w:t>
      </w:r>
      <w:r>
        <w:t xml:space="preserve">”, lo cierto es que la Ley crea un conflicto en defensa de la autonomía foral constitucional y estatutariamente garantizada, lo que no se limita a aspectos de carácter fiscal; ello implica un privilegio de la autonomía foral frente a la autonomía local que debe reputarse absolutamente injustificado. c) El conflicto, tal y como se regula, puede derivar en que se anule una ley u otra norma con fuerza de ley, por </w:t>
      </w:r>
      <w:r>
        <w:lastRenderedPageBreak/>
        <w:t>lo que debe entenderse que se ha procedido a la creación de un nuevo proceso de impugnación directa de leyes y normas con fuerza de ley, contraviniendo lo dispuesto en los arts. 161.1 a) y 162.1 a) CE. Ello supone conceder un privilegio a este conflicto frente al conflicto en defensa de la autonomía local, en el que la sentencia es meramente declarativa y la declaración de inconstitucionalidad de la ley solo puede obtenerse si el Tribunal Constitucional se plantea la cuestión interna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2</w:t>
      </w:r>
      <w:r>
        <w:t>. El día 18 de mayo de 2010, el Letrado Mayor del Parlamento de La Rioja, en la representación conferida por dicha Cámara autonómica, presentó un recurso de inconstitucionalidad (registrado con el núm. 4138-2010) contra las disposiciones de la Ley Orgánica 1/2010, de 19 de febrero, por posible vulneración del principio de igualdad (arts. 1.1, 9.2, 14, 31.1, 138.1, 138.2, 139.1, 139.2 y 149.1.1 CE), de los derechos de circulación y empresa (arts. 19 y 38 CE), de la unidad de mercado (arts. 2, 38, 40.1, 130.1, 131.1, 138.1 y 2, 139.2, 149.1.1 y 157.2) y de los principios de solidaridad y autonomía financiera (arts. 2, 138, 156.1 y 158.2).</w:t>
      </w:r>
    </w:p>
    <w:p w:rsidR="00163957" w:rsidRDefault="00163957" w:rsidP="00163957">
      <w:pPr>
        <w:pStyle w:val="TextoNormal"/>
      </w:pPr>
    </w:p>
    <w:p w:rsidR="00163957" w:rsidRDefault="00163957" w:rsidP="00163957">
      <w:pPr>
        <w:pStyle w:val="TextoNormal"/>
      </w:pPr>
      <w:r>
        <w:t>En el escrito de demanda, tras fundamentarse la legitimación que asiste al Parlamento de La Rioja para interponer el recurso de inconstitucionalidad, en los mismos términos que hizo el Consejo de Gobierno de La Rioja, se examinan el origen, evolución y caracterización del régimen fiscal foral, los principios y límites de la potestad tributaria foral, las relaciones entre los territorios históricos y la Comunidad Autónoma vasca en materia de concierto económico, los derechos históricos de los territorios forales a la luz de la disposición adicional primera de la Constitución y del Estatuto de Autonomía para el País Vasco, así como la naturaleza jurídica de las normas forales, en particular las de carácter fiscal, para terminar exponiendo los motivos en los que se sustenta la alegación de inconstitucionalidad de los preceptos impugnados, que pueden sintetizarse del siguiente modo:</w:t>
      </w:r>
    </w:p>
    <w:p w:rsidR="00163957" w:rsidRDefault="00163957" w:rsidP="00163957">
      <w:pPr>
        <w:pStyle w:val="TextoNormal"/>
      </w:pPr>
    </w:p>
    <w:p w:rsidR="00163957" w:rsidRDefault="00163957" w:rsidP="00163957">
      <w:pPr>
        <w:pStyle w:val="TextoNormal"/>
      </w:pPr>
      <w:r>
        <w:t xml:space="preserve">a) Las normas forales no son leyes ni disposiciones normativas con rango de ley sino una expresión de una potestad fiscal singular, porque tienen asegurada una reserva material de contenido y desplazan o excepcionan a las leyes fiscales del Estado en dichos territorios. Consecuentemente, la introducción del recurso de inconstitucionalidad contra las normas forales fiscales de los territorios históricos desnaturaliza la justicia constitucional y la función del Tribunal Constitucional, convirtiéndole </w:t>
      </w:r>
      <w:r w:rsidRPr="00163957">
        <w:rPr>
          <w:i/>
        </w:rPr>
        <w:t>ad casum</w:t>
      </w:r>
      <w:r>
        <w:t xml:space="preserve"> en un tribunal ordinario de enjuiciamiento de dichas disposiciones infralegales, lo que entra en contradicción con el art. 161.1 a) en relación con el art. 106.1 CE, y con el desarrollo que del precepto constitucional hizo el art. 27.2 LOTC, que forma parte del bloque de constitucionalidad </w:t>
      </w:r>
      <w:r w:rsidRPr="00163957">
        <w:rPr>
          <w:i/>
        </w:rPr>
        <w:t>ex</w:t>
      </w:r>
      <w:r>
        <w:t xml:space="preserve"> art. 28 LOTC. Igualmente, la reforma introducida por la Ley Orgánica 1/2010, legitimando a los tribunales ordinarios a elevar cuestión de inconstitucionalidad en relación con normas forales tributarias, vulnera el art. 163 CE y su desarrollo en el art. 35 LOTC, pues el objeto de este proceso constitucional queda reservado a normas con rango de ley, del cual adolecen las normas forales tributarias.</w:t>
      </w:r>
    </w:p>
    <w:p w:rsidR="00163957" w:rsidRDefault="00163957" w:rsidP="00163957">
      <w:pPr>
        <w:pStyle w:val="TextoNormal"/>
      </w:pPr>
    </w:p>
    <w:p w:rsidR="00163957" w:rsidRDefault="00163957" w:rsidP="00163957">
      <w:pPr>
        <w:pStyle w:val="TextoNormal"/>
      </w:pPr>
      <w:r>
        <w:t xml:space="preserve">b) La reforma procesal operada, basada en residenciar el enjuiciamiento de las normas forales fiscales ante el Tribunal Constitucional, conlleva para las Comunidades Autónomas vecinas no solo una importante limitación para recurrir (pues carecen de legitimación para entablar el recurso de inconstitucionalidad) sino también una reducción de los motivos de impugnación, con lo que se viola el derecho fundamental consagrado en el art. 24.1 CE. No </w:t>
      </w:r>
      <w:r>
        <w:lastRenderedPageBreak/>
        <w:t>es entendible, desde un punto de vista de justicia material y de interdicción de la arbitrariedad de los poderes públicos (art. 9.3 CE), que con motivo de la reforma no se haya ampliado la legitimación activa de las Comunidades Autónomas para impugnar ante el Tribunal Constitucional las normas forales cuando afecten o invadan su autonomía política y financiera, también consagrada y garantizada constitucionalmente (arts. 2 y 156 CE).</w:t>
      </w:r>
    </w:p>
    <w:p w:rsidR="00163957" w:rsidRDefault="00163957" w:rsidP="00163957">
      <w:pPr>
        <w:pStyle w:val="TextoNormal"/>
      </w:pPr>
    </w:p>
    <w:p w:rsidR="00163957" w:rsidRDefault="00163957" w:rsidP="00163957">
      <w:pPr>
        <w:pStyle w:val="TextoNormal"/>
      </w:pPr>
      <w:r>
        <w:t>c) El conocido como “blindaje” de las normas forales vulnera también, a juicio del Parlamento riojano, el principio de igualdad, que se proyecta sobre diversos preceptos constitucionales. En efecto, la igualdad aparece recogida en el art. 1.1 CE como valor superior del ordenamiento jurídico; en el art. 9.2 CE, como principio que los poderes públicos deben promover; en el art. 14 CE, en cuanto este precepto prohíbe las discriminaciones de cualquier género; en el art. 31.1 CE, como principio inspirador del sistema tributario español; en el art. 138.2 CE, que permite diferencias entre los Estatutos de las diferentes Comunidades Autónomas siempre y cuando no implique, en ningún caso, privilegios económicos o sociales; en el art. 139.1 CE, en cuanto garantiza los mismos derechos y obligaciones a todos los españoles en cualquier parte del territorio del Estado; en el art. 139.2 CE, que prescribe que ninguna autoridad puede adoptar medidas que directa o indirectamente obstaculicen la libertad de circulación y establecimiento de las personas y la libre circulación de bienes en todo el territorio nacional; y en el art. 149.1.1 CE, que atribuye al Estado la competencia exclusiva en materia de regulación de las condiciones básicas que garanticen la igualdad de todos los españoles en cualquier parte del territorio del Estado.</w:t>
      </w:r>
    </w:p>
    <w:p w:rsidR="00163957" w:rsidRDefault="00163957" w:rsidP="00163957">
      <w:pPr>
        <w:pStyle w:val="TextoNormal"/>
      </w:pPr>
    </w:p>
    <w:p w:rsidR="00163957" w:rsidRDefault="00163957" w:rsidP="00163957">
      <w:pPr>
        <w:pStyle w:val="TextoNormal"/>
      </w:pPr>
      <w:r>
        <w:t>d) También, la consagración del blindaje de las normas forales lesiona los derechos de circulación, residencia y empresa (arts. 19 y 38 CE), dado que las normas forales tributarias pueden atraer, mediante mejoras fiscales, a empresas de Comunidades limítrofes, dando lugar al conocido como “efecto frontera”, tal y como apreció la STC 96/2002, de 25 de abril. Este efecto se incrementará si las Comunidades Autónomas vecinas carecen de legitimación activa para recurrir ante el Tribunal Constitucional los efectos deslocalizadores que puedan provocar las normas forales tributarias. Además, fruto del aludido “efecto frontera” o deslocalizador de los domicilios fiscales de las empresas, se quebranta el principio de unidad de mercado (arts. 2, 38, 40.1, 130.1, 131.1, 138.1 y 2, 139.2, 149.1.1 y 157.2 CE).</w:t>
      </w:r>
    </w:p>
    <w:p w:rsidR="00163957" w:rsidRDefault="00163957" w:rsidP="00163957">
      <w:pPr>
        <w:pStyle w:val="TextoNormal"/>
      </w:pPr>
    </w:p>
    <w:p w:rsidR="00163957" w:rsidRDefault="00163957" w:rsidP="00163957">
      <w:pPr>
        <w:pStyle w:val="TextoNormal"/>
      </w:pPr>
      <w:r>
        <w:t>e) Por último, también vulnera el principio constitucional de autonomía financiera de las Comunidades Autónomas (art. 156.1 CE), que no está exento de límites, pues el propio precepto constitucional lo subordina a otros dos principios: el de coordinación con la Hacienda estatal y el de solidaridad entre todos los españoles (art. 2 CE en relación con el 138.1 CE). La reforma legislativa acaecida provocará ineludiblemente un régimen foral privilegiado que puede chocar con la autonomía financiera de las Comunidades Autónomas limítrofes, lo que contradice los principios de solidaridad y de autonomía financiera (arts. 2, 138, 156.1 y 158.2 CE).</w:t>
      </w:r>
    </w:p>
    <w:p w:rsidR="00163957" w:rsidRDefault="00163957" w:rsidP="00163957">
      <w:pPr>
        <w:pStyle w:val="TextoNormal"/>
      </w:pPr>
    </w:p>
    <w:p w:rsidR="00163957" w:rsidRDefault="00163957" w:rsidP="00163957">
      <w:pPr>
        <w:pStyle w:val="TextoNormal"/>
      </w:pPr>
      <w:r>
        <w:t xml:space="preserve">f) En relación con el nuevo conflicto en defensa de la autonomía foral considera el Parlamento recurrente que aun cuando a primera vista supone atribuir una nueva materia a la competencia del Tribunal Constitucional, conforme a lo dispuesto en el art. 161.1 d) CE, en la práctica implica ampliar la legitimación activa para interponer recurso de inconstitucionalidad frente a una norma con rango de ley, lo que infringe el art. 162.1 a) CE. Y ello viola la Constitución, en primer lugar, porque la legitimación activa conferida a los territorios históricos es más amplia que la que se reconoce a los entes locales en el conflicto en defensa </w:t>
      </w:r>
      <w:r>
        <w:lastRenderedPageBreak/>
        <w:t>de la autonomía local, sin que exista justificación para ello, dado que no cabe entender que la Constitución establezca un mayor grado de protección para la autonomía foral que para la local. En segundo lugar, porque aun cuando el preámbulo de la Ley vincula la creación de este conflicto a “motivos de estricta coherencia”, lo cierto es que el conflicto no se limita a la impugnación de leyes de carácter fiscal, lo que implica un privilegio de la autonomía foral frente a la autonomía local que debe reputarse absolutamente injustificado. Y, en tercer lugar, porque el conflicto, tal y como se regula, puede provocar que se anule una ley u otra norma con fuerza de ley, por lo que crea un nuevo proceso de impugnación directa de leyes y normas con fuerza de ley, contraviniendo lo dispuesto en los arts. 161.1 a) y 162.1 a) CE. Esto supone conceder un privilegio a este conflicto frente al conflicto en defensa de la autonomía local, pues en este la sentencia es meramente declarativa y la declaración de inconstitucionalidad de la ley solo puede obtenerse si el Tribunal Constitucional se plantea la cuestión interna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3</w:t>
      </w:r>
      <w:r>
        <w:t>. El día 20 de mayo de 2010 el Director de los Servicios Jurídicos de la Administración de la Comunidad Autónoma de Castilla y León presentó un escrito por el que interponía un recurso de inconstitucionalidad (registrado con el núm. 4223-2010), en cumplimiento del acuerdo adoptado al efecto por el Consejo de Gobierno de la indicada Comunidad Autónoma. El recurso que se dirige contra la Ley Orgánica 1/2010, de 19 de febrero, se sustenta en su posible contradicción con los arts. 1.1, 9.3, 14, 24.1, 87.1 y 2, 106.1, 152, 153, 161.1 a), 162.1 a), 163, 166 y 167 CE, en relación con los arts. 25 y 38.1 y 3 EAPV. En el escrito de demanda se fundamenta, antes de nada, la legitimación que asiste al Consejo de Gobierno de Castilla y León para interponer el recurso de inconstitucionalidad conforme a las previsiones del art. 32.2 LOTC y a la doctrina de la STC 48/2003, conformes a las cuales la legitimación de las Comunidades Autónomas para recurrir leyes estatales no solo encuentra su fundamento en la defensa de la propia competencia en una materia, sino también en la depuración objetiva del orden jurídico, y, en el presente caso, el régimen procesal que introduce la Ley impugnada respecto de las normas forales fiscales implica un recorte de las facultades de reacción y tutela judicial de la Comunidad Autónoma de Castilla y León, que afecta negativamente a sus derechos e intereses legítimos al impedirles la posibilidad de reaccionar —como hasta ahora venían haciendo— frente a normas que incidan negativamente en su ámbito territorial, en contra de su ámbito de autonomía.</w:t>
      </w:r>
    </w:p>
    <w:p w:rsidR="00163957" w:rsidRDefault="00163957" w:rsidP="00163957">
      <w:pPr>
        <w:pStyle w:val="TextoNormal"/>
      </w:pPr>
    </w:p>
    <w:p w:rsidR="00163957" w:rsidRDefault="00163957" w:rsidP="00163957">
      <w:pPr>
        <w:pStyle w:val="TextoNormal"/>
      </w:pPr>
      <w:r>
        <w:t>Una vez hecha la anterior precisión se pasan a delimitar las normas forales afectadas por la Ley impugnada y de analiza su relación con la disposición adicional primera de la Constitución, con el Estatuto de Autonomía para el País Vasco y con la Ley de concierto económico, para continuar después con el examen de la naturaleza jurídica de las normas forales fiscales y de la finalidad que subyace en la reforma. Tras ello, se detallan los motivos que sustentan la inconstitucionalidad que, sucintamente expuestos, son los siguientes:</w:t>
      </w:r>
    </w:p>
    <w:p w:rsidR="00163957" w:rsidRDefault="00163957" w:rsidP="00163957">
      <w:pPr>
        <w:pStyle w:val="TextoNormal"/>
      </w:pPr>
    </w:p>
    <w:p w:rsidR="00163957" w:rsidRDefault="00163957" w:rsidP="00163957">
      <w:pPr>
        <w:pStyle w:val="TextoNormal"/>
      </w:pPr>
      <w:r>
        <w:t xml:space="preserve">a) La Ley Orgánica 1/2010 reforma los procedimientos de declaración de inconstitucionalidad ya existentes —hasta el punto de que se remite de forma expresa y en bloque a lo previsto para el recurso y la cuestión de inconstitucionalidad— con la sola finalidad de modificar la clase de normas que puedan ser objeto del control de constitucionalidad, lo que no es posible, dado que el modelo de justicia constitucional que emana de la Constitución opera como un límite para el legislador orgánico. Este nuevo modelo de control de las normas forales fiscales viola los arts. 161.1 a) CE y 27.2 LOTC, los cuales establecen una relación </w:t>
      </w:r>
      <w:r>
        <w:lastRenderedPageBreak/>
        <w:t>tasada de disposiciones susceptibles de ser declaradas inconstitucionales (leyes y disposiciones o actos con fuerza de ley), lo que excluye a las disposiciones reglamentarias, criterio este igualmente predicable respecto de la cuestión de inconstitucionalidad (art. 163 CE). Aun cuando es cierto que el Tribunal Constitucional puede conocer de impugnaciones de normas reglamentarias (en el conflicto de competencias, el recurso de amparo o la impugnación prevista en el art. 161.2 CE), ello tiene lugar siempre en el marco de procedimientos específicos que no están concebidos para la declaración de inconstitucionalidad de normas y, además, de modo siempre compatible con el control de legalidad ejercido por la jurisdicción contencioso-administrativa.</w:t>
      </w:r>
    </w:p>
    <w:p w:rsidR="00163957" w:rsidRDefault="00163957" w:rsidP="00163957">
      <w:pPr>
        <w:pStyle w:val="TextoNormal"/>
      </w:pPr>
    </w:p>
    <w:p w:rsidR="00163957" w:rsidRDefault="00163957" w:rsidP="00163957">
      <w:pPr>
        <w:pStyle w:val="TextoNormal"/>
      </w:pPr>
      <w:r>
        <w:t>b) La Ley pretende, en esencia, que ninguna persona jurídica o física pueda seguir recurriendo ante la jurisdicción contencioso-administrativa las normas forales tributarias, por lo que desde esta perspectiva, puede calificarse a la Ley Orgánica impugnada de una ley singular que tiene como contenido exclusivo impedir el ejercicio del derecho a la tutela judicial efectiva (art. 24.1 CE). La reforma crea una zona exenta de control judicial y, por ello, puede afirmarse que tanto la atribución al Tribunal Constitucional del conocimiento de los recursos y cuestiones de inconstitucionalidad planteados contra las normas forales fiscales vascas (operada mediante los apartados 1 y 2 de la disposición adicional quinta incorporada a la LOTC), como la exclusión del conocimiento de los tribunales del orden contencioso-administrativo [que se contiene en el modificado art. 9.4 LOPJ, así como en la nueva letra d) del art. 3 LJCA], vulneran los arts. 106.1 y 153 c) CE y, a su través, el 24.1 CE. En fin, para el Consejo de Gobierno recurrente, de no apreciarse así se corre el riesgo de que en el futuro la exoneración del control judicial se extienda a otras normas reglamentarias.</w:t>
      </w:r>
    </w:p>
    <w:p w:rsidR="00163957" w:rsidRDefault="00163957" w:rsidP="00163957">
      <w:pPr>
        <w:pStyle w:val="TextoNormal"/>
      </w:pPr>
    </w:p>
    <w:p w:rsidR="00163957" w:rsidRDefault="00163957" w:rsidP="00163957">
      <w:pPr>
        <w:pStyle w:val="TextoNormal"/>
      </w:pPr>
      <w:r>
        <w:t>c) Para el Parlamento recurrente la Ley Orgánica 1/2010 establece un privilegio a favor de las provincias vascas en relación con las restantes que no solo resulta contrario al principio de igualdad consagrado en el art. 14 CE, sino que, además, incurre en arbitrariedad al vulnerar el art. 9.3 CE. Puesto que no es cierto que exista un déficit de protección constitucional de la foralidad, lo que la reforma conlleva es una exclusión del régimen de control de legalidad ordinaria de la actividad reglamentaria que el constituyente encomendó a los tribunales ordinarios en el art. 106 CE. Además vulnera el principio de subsidiariedad de la jurisdicción constitucional respecto de la ordinaria en las acciones de inconstitucionalidad de actos sin valor de ley [art. 153 c) CE], resultando contrario al art. 103.1 CE, que establece el sometimiento pleno de la actuación de la Administración a la ley y al Derecho.</w:t>
      </w:r>
    </w:p>
    <w:p w:rsidR="00163957" w:rsidRDefault="00163957" w:rsidP="00163957">
      <w:pPr>
        <w:pStyle w:val="TextoNormal"/>
      </w:pPr>
    </w:p>
    <w:p w:rsidR="00163957" w:rsidRDefault="00163957" w:rsidP="00163957">
      <w:pPr>
        <w:pStyle w:val="TextoNormal"/>
      </w:pPr>
      <w:r>
        <w:t xml:space="preserve">Los municipios, al igual que los territorios históricos, ostentan competencias exclusivas en materia de tributos locales, de acuerdo con lo previsto en la Ley de haciendas locales. El producto de la potestad normativa que ostentan tiene, al igual que las normas forales, naturaleza reglamentaria. En consecuencia, resulta palmaria la discriminación provocada por la Ley Orgánica 1/2010, puesto que las normas tributarias aprobadas por el pleno de cualquier ayuntamiento están sometidas a un régimen procesal distinto del ahora fijado para las normas forales tributarias, las cuales quedan excluidas expresamente de su enjuiciamiento por la jurisdicción contencioso-administrativa. Pero es más, teniendo en cuenta que sobre determinadas materias tributarias los territorios históricos tienen la competencia exclusiva de desarrollar la ley estatal, resulta que las normas reglamentarias de desarrollo dictadas por los respectivos entes competentes (estatales y, en su caso, autonómicos) no gozan del privilegio del control constitucional, sino que están sometidas al control de legalidad ordinaria; </w:t>
      </w:r>
      <w:r>
        <w:lastRenderedPageBreak/>
        <w:t>mientras que las normas forales quedan sometidas exclusivamente y de forma excluyente al control de constitucionalidad.</w:t>
      </w:r>
    </w:p>
    <w:p w:rsidR="00163957" w:rsidRDefault="00163957" w:rsidP="00163957">
      <w:pPr>
        <w:pStyle w:val="TextoNormal"/>
      </w:pPr>
    </w:p>
    <w:p w:rsidR="00163957" w:rsidRDefault="00163957" w:rsidP="00163957">
      <w:pPr>
        <w:pStyle w:val="TextoNormal"/>
      </w:pPr>
      <w:r>
        <w:t>En consecuencia, la Ley Orgánica 1/2010 es una ley arbitraria y contraria a los arts. 9.3, 14 y 103.1 CE, tanto por otorgar el mismo tratamiento a situaciones distintas (normas forales y normas de rango legal) como por otorgar distinto tratamiento a situaciones iguales (normas forales y normas reglamentarias).</w:t>
      </w:r>
    </w:p>
    <w:p w:rsidR="00163957" w:rsidRDefault="00163957" w:rsidP="00163957">
      <w:pPr>
        <w:pStyle w:val="TextoNormal"/>
      </w:pPr>
    </w:p>
    <w:p w:rsidR="00163957" w:rsidRDefault="00163957" w:rsidP="00163957">
      <w:pPr>
        <w:pStyle w:val="TextoNormal"/>
      </w:pPr>
      <w:r>
        <w:t>d) El nuevo conflicto en defensa de la autonomía foral admite la declaración de inconstitucionalidad de leyes estatales por vías distintas de las específicamente previstas en la Constitución, legitimando para su interposición a sujetos que no figuran en el art. 162.1 a) CE. A juicio de este Consejo de Gobierno, lo que se busca es dotar a las juntas generales y a las diputaciones forales de una legitimación individualizada para impugnar las leyes estatales de la que carecían en el conflicto en defensa de la autonomía local. Además, puesto que la Sentencia que ponga fin a este nuevo proceso puede determinar la anulación de una ley o norma de rango legal, ello supone la creación de un nuevo proceso de impugnación de normas legales en contra de lo dispuesto en los arts. 161.1 a) y 162.1 a) CE, con lo que de forma artificiosa se viene a dar apariencia de sustantividad singularizada a un nuevo proceso constitucional, en contra del modelo de justicia constitucional diseñado por la Constitución. Resulta así evidente que se ha modificado el objeto y la legitimación constitucionalmente establecidos en los arts. 161.1 a) y 162.1 a) CE, prescindiendo de los procedimientos de reforma constitucional expresamente previstos por el poder constituyente, lo que vulnera, a su vez, el art. 1.1 CE.</w:t>
      </w:r>
    </w:p>
    <w:p w:rsidR="00163957" w:rsidRDefault="00163957" w:rsidP="00163957">
      <w:pPr>
        <w:pStyle w:val="TextoNormal"/>
      </w:pPr>
    </w:p>
    <w:p w:rsidR="00163957" w:rsidRDefault="00163957" w:rsidP="00163957">
      <w:pPr>
        <w:pStyle w:val="TextoNormal"/>
      </w:pPr>
      <w:r w:rsidRPr="00163957">
        <w:rPr>
          <w:rStyle w:val="NumeroAFNegritaCaracter"/>
        </w:rPr>
        <w:t>4</w:t>
      </w:r>
      <w:r>
        <w:t xml:space="preserve">. El día 20 de mayo de 2010 el Letrado de las Cortes de Castilla y León, haciendo uso de la representación conferida al efecto, presentó un recurso de inconstitucionalidad (registrado con el núm. 4224-2010) contra los preceptos de la Ley Orgánica 1/2010, de 19 de febrero, por su posible contradicción con la disposición adicional primera y los arts. 9.3, 24.1, 53.2, 106.1, 161.1 a), 162.1 a) y 163 CE. En el escrito de demanda se fundamenta, antes de nada, la legitimación que asiste a las Cortes de Castilla y León para interponer el recurso de inconstitucionalidad conforme a las previsiones del art. 32.2 LOTC y a la doctrina de este Tribunal Constitucional, conformes a las cuales la legitimación de las Comunidades Autónomas para recurrir leyes estatales no solo encuentra su fundamento en la defensa de la propia competencia, sino también en la depuración objetiva del orden jurídico, y, en el presente caso, el régimen procesal que introduce la Ley impugnada respecto de las normas forales fiscales implica un recorte de las facultades de reacción y tutela judicial de la Comunidad Autónoma de Castilla y León, que afecta negativamente tanto a sus derechos e intereses legítimos al impedirles la posibilidad de reaccionar —como hasta ahora venían haciendo— frente a normas que incidan negativamente en su ámbito territorial, como a su ámbito de autonomía (defensa de sus competencias exclusivas en materia de fomento del desarrollo económico de la Comunidad y de su autonomía financiera </w:t>
      </w:r>
      <w:r w:rsidRPr="00163957">
        <w:rPr>
          <w:i/>
        </w:rPr>
        <w:t>ex</w:t>
      </w:r>
      <w:r>
        <w:t xml:space="preserve"> arts. 70.1 y 82.2 del Estatuto de Autonomía de Castilla y León).</w:t>
      </w:r>
    </w:p>
    <w:p w:rsidR="00163957" w:rsidRDefault="00163957" w:rsidP="00163957">
      <w:pPr>
        <w:pStyle w:val="TextoNormal"/>
      </w:pPr>
    </w:p>
    <w:p w:rsidR="00163957" w:rsidRDefault="00163957" w:rsidP="00163957">
      <w:pPr>
        <w:pStyle w:val="TextoNormal"/>
      </w:pPr>
      <w:r>
        <w:t>Una vez efectuada la precisión anterior, describen las Cortes recurrentes el contenido y alcance de la Ley Orgánica 1/2010, para pasar a continuación a exponer los motivos de inconstitucionalidad que, sucintamente expuestos, son los siguientes:</w:t>
      </w:r>
    </w:p>
    <w:p w:rsidR="00163957" w:rsidRDefault="00163957" w:rsidP="00163957">
      <w:pPr>
        <w:pStyle w:val="TextoNormal"/>
      </w:pPr>
    </w:p>
    <w:p w:rsidR="00163957" w:rsidRDefault="00163957" w:rsidP="00163957">
      <w:pPr>
        <w:pStyle w:val="TextoNormal"/>
      </w:pPr>
      <w:r>
        <w:lastRenderedPageBreak/>
        <w:t>a) Consideran las Cortes recurrentes que el Estatuto de Autonomía para el País Vasco [art. 41.2 e)] ha optado por residenciar en cada territorio histórico la competencia para establecer y regular su régimen tributario, sin participación alguna, ni siquiera formal, de las instituciones comunes de la Comunidad Autónoma. De ello se deriva que la regulación de esta materia se realiza por medio de las normas forales, que tienen naturaleza inequívocamente reglamentaria, de conformidad también con la Ley vasca 27/1983, de 25 de noviembre, de territorios históricos, cuyo art. 6.2 dispone que “la facultad de dictar normas con rango de ley corresponde en exclusiva al Parlamento”. En la medida en que la Ley Orgánica 1/2010 ha introducido modificaciones sustanciales en el régimen foral, al margen y en contradicción con el Estatuto de Autonomía para el País Vasco y las leyes dictadas en desarrollo del mismo, se invade la reserva estatutaria fijada en la disposición adicional primera CE, que contempla la actualización del régimen foral en el marco de la propia Constitución y del Estatuto de Autonomía.</w:t>
      </w:r>
    </w:p>
    <w:p w:rsidR="00163957" w:rsidRDefault="00163957" w:rsidP="00163957">
      <w:pPr>
        <w:pStyle w:val="TextoNormal"/>
      </w:pPr>
    </w:p>
    <w:p w:rsidR="00163957" w:rsidRDefault="00163957" w:rsidP="00163957">
      <w:pPr>
        <w:pStyle w:val="TextoNormal"/>
      </w:pPr>
      <w:r>
        <w:t>b) Los apartados 1 y 2 de la nueva disposición adicional quinta LOTC vulneran los arts. 161.1 a) y 163 CE, al ampliar el objeto del control de constitucionalidad que compete a este Tribunal Constitucional a normas sin valor ni rango de ley. De hecho, se producirían los mismos resultados con solo incluir una mención a las normas forales fiscales en la relación de normas contenida en el art. 27.2 LOTC susceptibles de ser declaradas inconstitucionales y con reconocer en los arts. 34 y 35 LOTC, la legitimación de las instituciones forales para comparecer en el proceso y formular alegaciones.</w:t>
      </w:r>
    </w:p>
    <w:p w:rsidR="00163957" w:rsidRDefault="00163957" w:rsidP="00163957">
      <w:pPr>
        <w:pStyle w:val="TextoNormal"/>
      </w:pPr>
    </w:p>
    <w:p w:rsidR="00163957" w:rsidRDefault="00163957" w:rsidP="00163957">
      <w:pPr>
        <w:pStyle w:val="TextoNormal"/>
      </w:pPr>
      <w:r>
        <w:t>c) Para las Cortes recurrentes los apartados 3 y 4 del art. 9 LOPJ, en la redacción dada al mismo por el art. 2 de la Ley Orgánica 1/2010, vulneran también el art. 106.1 CE por tres razones: en primer lugar, porque la atribución de competencia al Tribunal Constitucional para ejercer un control de constitucionalidad sobre las normas forales no satisface el mandato contenido en el art. 106.1 CE, en cuanto despoja a la jurisdicción contencioso-administrativa de la competencia para ejercer el control de legalidad que dicho precepto constitucional le encomienda. En segundo término, porque el parámetro de control de las normas forales que puede emplear el Tribunal Constitucional estará constituido exclusivamente por el bloque de constitucionalidad, dada la remisión expresa al art. 28 LOTC que se hace en la nueva disposición adicional quinta LOTC, lo que impide el examen de los vicios de mera legalidad en que puedan incurrir las normas forales fiscales. Y, en último lugar, porque no se satisfacen las exigencias del derecho a la tutela judicial efectiva (art. 24.1 CE) de quienes puedan ser lesionados en sus intereses legítimos por dichas normas forales.</w:t>
      </w:r>
    </w:p>
    <w:p w:rsidR="00163957" w:rsidRDefault="00163957" w:rsidP="00163957">
      <w:pPr>
        <w:pStyle w:val="TextoNormal"/>
      </w:pPr>
    </w:p>
    <w:p w:rsidR="00163957" w:rsidRDefault="00163957" w:rsidP="00163957">
      <w:pPr>
        <w:pStyle w:val="TextoNormal"/>
      </w:pPr>
      <w:r>
        <w:t xml:space="preserve">d) Los apartados 1 y 2 de la nueva disposición adicional quinta LOTC, el nuevo inciso incorporado al art. 9.4 LOPJ y la letra d) de la nueva redacción del art. 3 LJCA, infringen el derecho a la tutela judicial efectiva (art. 24.1 CE), el art. 53.2 CE y el principio de interdicción de la arbitrariedad de los poderes públicos (art. 9.3 CE). Para las Cortes recurrentes una primera consecuencia de la reforma es el blindaje de las normas forales fiscales, que no podrán ser impugnadas ante el Tribunal Constitucional por otras Comunidades Autónomas —por impedirlo el art. 32.2 LOTC— ni ante la jurisdicción contencioso-administrativa. Tampoco podrán ser impugnadas por las personas físicas o jurídicas que no residiendo en el País Vasco se vean afectadas en sus intereses legítimos, como cámaras oficiales o federaciones empresariales. Y, por último, los propios ciudadanos de los territorios forales habrán quedado privados del recurso directo contencioso-administrativo contra tales normas, </w:t>
      </w:r>
      <w:r>
        <w:lastRenderedPageBreak/>
        <w:t>debiéndose tener en cuenta que el planteamiento de las cuestiones de inconstitucionalidad es una facultad exclusiva de los órganos judiciales.</w:t>
      </w:r>
    </w:p>
    <w:p w:rsidR="00163957" w:rsidRDefault="00163957" w:rsidP="00163957">
      <w:pPr>
        <w:pStyle w:val="TextoNormal"/>
      </w:pPr>
    </w:p>
    <w:p w:rsidR="00163957" w:rsidRDefault="00163957" w:rsidP="00163957">
      <w:pPr>
        <w:pStyle w:val="TextoNormal"/>
      </w:pPr>
      <w:r>
        <w:t>e) Para las Cortes recurrentes el denominado “blindaje” de las normas forales vulnera el art. 53.2 CE en la medida en que las normas forales fiscales vascas ya no podrán ser objeto de recurso de amparo ordinario ni de recurso amparo constitucional. Este sacrificio resulta, por excesivo, innecesario y carente de justificación, además de contrario al principio de interdicción de la arbitrariedad de los poderes públicos (art. 9.3 CE). A esto se une la falta de racionalidad, su incoherencia y una deficiente técnica legislativa en la modificación operada, que da lugar a una ruptura en el régimen impugnatorio de las propias normas forales vascas, ya que si su contenido es tributario el enjuiciamiento corresponderá en exclusiva al Tribunal Constitucional; por el contrario, si la norma foral regula cualquier otra materia, su enjuiciamiento será competencia de la jurisdicción ordinaria. Todo ello sin olvidar que existen ciertas disposiciones que pueden dictar las diputaciones forales por delegación de las juntas generales o por razones de urgencia —los decretos forales normativos y los decretos normativos de urgencia fiscal— que pueden modificar o sustituir a las normas forales fiscales, y que, sin embargo, seguirán siendo impugnables ante la jurisdicción contencioso-administrativa, lo cual supone una conculcación del antes mencionado principio de interdicción de la arbitrariedad de los poderes públicos (art. 9.3 CE).</w:t>
      </w:r>
    </w:p>
    <w:p w:rsidR="00163957" w:rsidRDefault="00163957" w:rsidP="00163957">
      <w:pPr>
        <w:pStyle w:val="TextoNormal"/>
      </w:pPr>
    </w:p>
    <w:p w:rsidR="00163957" w:rsidRDefault="00163957" w:rsidP="00163957">
      <w:pPr>
        <w:pStyle w:val="TextoNormal"/>
      </w:pPr>
      <w:r>
        <w:t>f) En relación con el denominado “conflicto en defensa de la autonomía foral” regulado en el apartado 3 de la nueva disposición adicional quinta LOTC, entienden las Cortes de Castilla y León que su introducción vulnera los arts. 161.1 a) y 162.1 a) CE, puesto que a través suyo se está legitimando para instar el control de constitucionalidad de disposiciones legales a sujetos distintos de aquellos a los que taxativamente se refiere el art. 162.1 a) CE. Al mismo tiempo, se está desconociendo el papel que en nuestro Ordenamiento corresponde al recurso de inconstitucionalidad como cauce para impugnar la constitucionalidad de una ley, cualquiera que sea el fundamento de la impugnación [art. 161.1 a) CE].</w:t>
      </w:r>
    </w:p>
    <w:p w:rsidR="00163957" w:rsidRDefault="00163957" w:rsidP="00163957">
      <w:pPr>
        <w:pStyle w:val="TextoNormal"/>
      </w:pPr>
    </w:p>
    <w:p w:rsidR="00163957" w:rsidRDefault="00163957" w:rsidP="00163957">
      <w:pPr>
        <w:pStyle w:val="TextoNormal"/>
      </w:pPr>
      <w:r>
        <w:t>g) Precisan también las Cortes de Castilla y León que la modificación operada no cabe sustentarla en la disposición adicional primera, de un lado, porque cualquiera que sea la fecha a la que se retrotraigan los derechos históricos, no es posible relacionarlos con el sistema de fuentes presidido por una Constitución normativa ni con el sistema de justicia constitucional. De otro, porque el reconocimiento y amparo de los derechos históricos está unido a su acomodación a la Constitución y, por tanto, al sistema constitucional de fuentes. Además, no existe una supuesta discriminación respecto a la situación de las normas forales navarras, pues no son realidades homogéneas comparables habida cuenta de que el territorio foral de Navarra optó por constituirse en Comunidad Autónoma, con competencia legislativa en materia fiscal.</w:t>
      </w:r>
    </w:p>
    <w:p w:rsidR="00163957" w:rsidRDefault="00163957" w:rsidP="00163957">
      <w:pPr>
        <w:pStyle w:val="TextoNormal"/>
      </w:pPr>
    </w:p>
    <w:p w:rsidR="00163957" w:rsidRDefault="00163957" w:rsidP="00163957">
      <w:pPr>
        <w:pStyle w:val="TextoNormal"/>
      </w:pPr>
      <w:r>
        <w:t>Por otra parte, consideran que no puede sostenerse que las normas forales fiscales vascas sean materialmente leyes y, en consecuencia, no tienen por qué recibir el mismo tratamiento que estas en su control jurisdiccional. Hay que tener presente que la atribución a una institución de determinadas competencias normativas no prejuzga ni predetermina el valor o rango de las normas a través de las cuales va a ejercitarlas, a lo cual se une que nuestro sistema constitucional de fuentes está construido sobre una concepción estrictamente formal de estas, de manera que los rasgos que definen a una norma son el órgano del que emana y el procedimiento de elaboración, no la materia que venga a regular.</w:t>
      </w:r>
    </w:p>
    <w:p w:rsidR="00163957" w:rsidRDefault="00163957" w:rsidP="00163957">
      <w:pPr>
        <w:pStyle w:val="TextoNormal"/>
      </w:pPr>
    </w:p>
    <w:p w:rsidR="00163957" w:rsidRDefault="00163957" w:rsidP="00163957">
      <w:pPr>
        <w:pStyle w:val="TextoNormal"/>
      </w:pPr>
      <w:r>
        <w:t>En fin, concluyen las Cortes recurrentes señalando que tampoco las normas forales fiscales son idóneas para cubrir la reserva de ley en materia tributaria que establece el art. 31.3 CE, porque no son leyes materiales. Y, por lo demás, la supresión del control de la jurisdicción contencioso-administrativa no es necesaria para incrementar la seguridad jurídica de los contribuyentes vascos, razonamiento que se basa en una errónea contraposición entre seguridad jurídica y control jurisdiccional de la actuación de los poderes públicos.</w:t>
      </w:r>
    </w:p>
    <w:p w:rsidR="00163957" w:rsidRDefault="00163957" w:rsidP="00163957">
      <w:pPr>
        <w:pStyle w:val="TextoNormal"/>
      </w:pPr>
    </w:p>
    <w:p w:rsidR="00163957" w:rsidRDefault="00163957" w:rsidP="00163957">
      <w:pPr>
        <w:pStyle w:val="TextoNormal"/>
      </w:pPr>
      <w:r w:rsidRPr="00163957">
        <w:rPr>
          <w:rStyle w:val="NumeroAFNegritaCaracter"/>
        </w:rPr>
        <w:t>5</w:t>
      </w:r>
      <w:r>
        <w:t>. Por providencia de fecha 19 de mayo de 2010 el Pleno de este Tribunal acordó admitir a trámite el recurso de inconstitucionalidad núm. 3443-2010 interpuesto por el Consejo de Gobierno de La Rioja, dando traslado de la demanda y documentos presentados, conforme establece el art. 34 LOTC, al Congreso de los Diputados y al Senado, por conducto de sus Presidentes, y al Gobierno de la Nación por conducto del Ministro de Justicia, al objeto de que en el improrrogable plazo de 15 días pudieran personarse en el proceso y formular las alegaciones que estimasen convenientes. Al tiempo, se acordó publicar la incoación del recurso de inconstitucionalidad en el “Boletín Oficial del Estado” (lo que se llevó a efecto en el “BOE” núm. 136, de 4 de junio).</w:t>
      </w:r>
    </w:p>
    <w:p w:rsidR="00163957" w:rsidRDefault="00163957" w:rsidP="00163957">
      <w:pPr>
        <w:pStyle w:val="TextoNormal"/>
      </w:pPr>
    </w:p>
    <w:p w:rsidR="00163957" w:rsidRDefault="00163957" w:rsidP="00163957">
      <w:pPr>
        <w:pStyle w:val="TextoNormal"/>
      </w:pPr>
      <w:r w:rsidRPr="00163957">
        <w:rPr>
          <w:rStyle w:val="NumeroAFNegritaCaracter"/>
        </w:rPr>
        <w:t>6</w:t>
      </w:r>
      <w:r>
        <w:t>. El Presidente del Congreso de los Diputados —mediante escrito registrado en este Tribunal el día 4 de junio de 2010— y el Presidente del Senado —por medio de escrito registrado el día 8 de junio del mismo año— comunicaron los acuerdos, de las respectivas Mesas de las Cámaras, de personación en el procedimiento y de ofrecimiento de colaboración a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7</w:t>
      </w:r>
      <w:r>
        <w:t>. Por escrito registrado el día 15 de junio de 2010, el Abogado del Estado solicitó su personación en nombre del Gobierno de la Nación y una ampliación del plazo de presentación de alegaciones, accediéndose a ambas peticiones mediante providencia de fecha 16 de junio de 2010, que amplió en ocho días el plazo inicialmente conferido.</w:t>
      </w:r>
    </w:p>
    <w:p w:rsidR="00163957" w:rsidRDefault="00163957" w:rsidP="00163957">
      <w:pPr>
        <w:pStyle w:val="TextoNormal"/>
      </w:pPr>
    </w:p>
    <w:p w:rsidR="00163957" w:rsidRDefault="00163957" w:rsidP="00163957">
      <w:pPr>
        <w:pStyle w:val="TextoNormal"/>
      </w:pPr>
      <w:r w:rsidRPr="00163957">
        <w:rPr>
          <w:rStyle w:val="NumeroAFNegritaCaracter"/>
        </w:rPr>
        <w:t>8</w:t>
      </w:r>
      <w:r>
        <w:t>. Mediante providencias con fecha de 30 de junio de 2010, el Pleno del Tribunal admitió a trámite los recursos de inconstitucionalidad núm. 4138-2010, interpuesto por el Parlamento de La Rioja; núm. 4223-2010, interpuesto por el Consejo de Gobierno de la Comunidad Autónoma de Castilla y León; y núm. 4224-2010, interpuesto por las Cortes de Castilla y León. Al mismo tiempo acordó dar los traslados a que se refiere el art. 34 LOTC y publicar la incoación de los recursos en el “Boletín Oficial del Estado” (lo que tuvo lugar en el “BOE” núm. 165, de 8 de julio).</w:t>
      </w:r>
    </w:p>
    <w:p w:rsidR="00163957" w:rsidRDefault="00163957" w:rsidP="00163957">
      <w:pPr>
        <w:pStyle w:val="TextoNormal"/>
      </w:pPr>
    </w:p>
    <w:p w:rsidR="00163957" w:rsidRDefault="00163957" w:rsidP="00163957">
      <w:pPr>
        <w:pStyle w:val="TextoNormal"/>
      </w:pPr>
      <w:r w:rsidRPr="00163957">
        <w:rPr>
          <w:rStyle w:val="NumeroAFNegritaCaracter"/>
        </w:rPr>
        <w:t>9</w:t>
      </w:r>
      <w:r>
        <w:t>. El Presidente del Senado —mediante escritos registrados en este Tribunal el día 14 de julio de 2010— y el Presidente del Congreso de los Diputados —por medio de escritos registrados el día 22 de julio siguiente— comunicaron los acuerdos, de las respectivas Mesas de las Cámaras, de personación en el procedimiento y de ofrecimiento de colaboración a efectos del art. 88.1 LOTC, en los recursos de inconstitucionalidad 4138-2010, 4223-2010 y 4224-2010.</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10</w:t>
      </w:r>
      <w:r>
        <w:t>. Por escrito registrado el día 6 de julio de 2010 el Abogado del Estado solicitó se le tuviera por parte en los recursos 4138-2010, 4223-2010 y 4224-2010, en nombre del Gobierno de la Nación, y una ampliación del plazo de presentación de alegaciones, accediéndose a ambas peticiones mediante providencias de fecha 9 de julio de 2010, que ampliaron en ocho días el plazo inicialmente conferido.</w:t>
      </w:r>
    </w:p>
    <w:p w:rsidR="00163957" w:rsidRDefault="00163957" w:rsidP="00163957">
      <w:pPr>
        <w:pStyle w:val="TextoNormal"/>
      </w:pPr>
    </w:p>
    <w:p w:rsidR="00163957" w:rsidRDefault="00163957" w:rsidP="00163957">
      <w:pPr>
        <w:pStyle w:val="TextoNormal"/>
      </w:pPr>
      <w:r w:rsidRPr="00163957">
        <w:rPr>
          <w:rStyle w:val="NumeroAFNegritaCaracter"/>
        </w:rPr>
        <w:t>11</w:t>
      </w:r>
      <w:r>
        <w:t>. Por providencias de fecha 30 de junio de 2010 el Pleno del Tribunal acordó oír a las partes acerca de la procedencia de acumular los recursos de inconstitucionalidad 4138-2010, 4223-2010 y 4224-2010, al registrado con el núm. 3443-2010. El Abogado del Estado, en escrito presentado el día 6 de julio de 2010, se mostró favorable a tal acumulación, al tener todos los recursos el mismo objeto y presentar similar argumentación constitucional. Por su parte, el Letrado de la Comunidad Autónoma de La Rioja —mediante escrito presentado el día 12 de julio del mismo año—, y el Letrado del Parlamento de La Rioja —en escrito registrado el día 22 de julio de 2010—, manifestaron no tener objeción alguna que oponer a dicha acumulación. Igualmente, las representaciones procesales de la Junta de Castilla y León —en escrito presentado el día 7 de julio de 2010— y de las Cortes de Castilla y León —por escrito registrado el día 12 de julio del mismo año— manifestaron su conformidad con la acumulación de los indicados recursos de inconstitucionalidad.</w:t>
      </w:r>
    </w:p>
    <w:p w:rsidR="00163957" w:rsidRDefault="00163957" w:rsidP="00163957">
      <w:pPr>
        <w:pStyle w:val="TextoNormal"/>
      </w:pPr>
    </w:p>
    <w:p w:rsidR="00163957" w:rsidRDefault="00163957" w:rsidP="00163957">
      <w:pPr>
        <w:pStyle w:val="TextoNormal"/>
      </w:pPr>
      <w:r>
        <w:t>Por ATC 136/2010, de 5 de octubre, el Pleno de este Tribunal acordó acumular los recursos de inconstitucionalidad 4138-2010, 4223-2010 y 4224-2010, al recurso de inconstitucionalidad núm. 3443-2010, siguiendo así una misma tramitación hasta su resolución, también única, por el Pleno.</w:t>
      </w:r>
    </w:p>
    <w:p w:rsidR="00163957" w:rsidRDefault="00163957" w:rsidP="00163957">
      <w:pPr>
        <w:pStyle w:val="TextoNormal"/>
      </w:pPr>
    </w:p>
    <w:p w:rsidR="00163957" w:rsidRDefault="00163957" w:rsidP="00163957">
      <w:pPr>
        <w:pStyle w:val="TextoNormal"/>
      </w:pPr>
      <w:r w:rsidRPr="00163957">
        <w:rPr>
          <w:rStyle w:val="NumeroAFNegritaCaracter"/>
        </w:rPr>
        <w:t>12</w:t>
      </w:r>
      <w:r>
        <w:t>. El día 30 de junio de 2010 el Abogado del Estado, en la representación que ostenta, presentó su escrito de alegaciones en el recurso de inconstitucionalidad núm. 3443-2010, y por nuevos escritos registrados el día 26 de julio siguiente, formuló sus alegaciones en los recursos 4138-2010, 4223-2010 y 4224-2010. En todos sus escritos solicita, en primer lugar, la inadmisión de los diferentes recursos por falta de legitimación activa de los recurrentes, y, subsidiariamente, la inadmisión de la impugnación del apartado 3 de la nueva disposición adicional quinta LOTC, reguladora del conflicto en defensa de la autonomía foral, o, en su defecto, la desestimación de todos los recursos, por las razones que se pasan a exponer:</w:t>
      </w:r>
    </w:p>
    <w:p w:rsidR="00163957" w:rsidRDefault="00163957" w:rsidP="00163957">
      <w:pPr>
        <w:pStyle w:val="TextoNormal"/>
      </w:pPr>
    </w:p>
    <w:p w:rsidR="00163957" w:rsidRDefault="00163957" w:rsidP="00163957">
      <w:pPr>
        <w:pStyle w:val="TextoNormal"/>
      </w:pPr>
      <w:r>
        <w:t xml:space="preserve">a) Para el Abogado del Estado la Ley Orgánica 1/2010, de 19 de febrero, contiene exclusivamente normas de delimitación jurisdiccional (entre el Tribunal Constitucional y el orden contencioso administrativo) y normas procesales (objeto, legitimación, trámite y decisión de los nuevos procesos constitucionales creados por la disposición adicional quinta LOTC). La regulación de estas materias es competencia exclusiva del legislador estatal con arreglo al art. 149.1.5 y 6 CE, en relación con los arts. 117.3, 122.1, 161.1 a), 162.2 y 165 CE, sin incidencia directa sobre las competencias autonómicas invocadas (las de planificación, ordenación económica y fomento del desarrollo regional </w:t>
      </w:r>
      <w:r w:rsidRPr="00163957">
        <w:rPr>
          <w:i/>
        </w:rPr>
        <w:t>ex</w:t>
      </w:r>
      <w:r>
        <w:t xml:space="preserve"> art. 8.1.4 EAR y de fomento del desarrollo económico </w:t>
      </w:r>
      <w:r w:rsidRPr="00163957">
        <w:rPr>
          <w:i/>
        </w:rPr>
        <w:t>ex</w:t>
      </w:r>
      <w:r>
        <w:t xml:space="preserve"> art. 70.1.18 del Estatuto de Autonomía castellano-leonés), rechazando que la STC 96/2002, de 25 de abril, suponga un precedente que justifique la legitimación activa de los órganos autonómicos actores ya que en esa ocasión el precepto legal impugnado —referido a la política económica nacional— incidía directamente en el objeto de las competencias autonómicas riojanas sobre planificación y ordenación de la actividad económica regional y fomento del desarrollo económico, y la norma impugnada contribuía </w:t>
      </w:r>
      <w:r>
        <w:lastRenderedPageBreak/>
        <w:t>a generar un “efecto [económico] frontera” —por estimular la deslocalización de actividades en La Rioja y su traslado a territorio foral— que repercutía “directa e inequívocamente” en su autonomía financiera.</w:t>
      </w:r>
    </w:p>
    <w:p w:rsidR="00163957" w:rsidRDefault="00163957" w:rsidP="00163957">
      <w:pPr>
        <w:pStyle w:val="TextoNormal"/>
      </w:pPr>
    </w:p>
    <w:p w:rsidR="00163957" w:rsidRDefault="00163957" w:rsidP="00163957">
      <w:pPr>
        <w:pStyle w:val="TextoNormal"/>
      </w:pPr>
      <w:r>
        <w:t>Niega el Abogado del Estado que la Ley Orgánica impugnada recorte las facultades de reacción y tutela judicial de las Comunidades Autónomas, puesto que la mayor o menor legitimación de que puedan gozar en procesos constitucionales o contencioso-administrativos no guarda relación con el haz de competencias autonómicas sino con el derecho fundamental reconocido en el art. 24.1 CE o bien se trata de reglas de legitimación establecidas por el constituyente en razón de la singularidad del control de constitucionalidad [apartados 1 a) y 2 del art. 162 CE]. Solo habría conexión con competencias autonómicas en el supuesto, que a su juicio no concurre, de que la finalidad de la Ley fuera el propiciar la inmunidad de control jurisdiccional para las normas forales fiscales vascas y, por ende, permitir y favorecer normas contrarias a derecho y lesivas del desarrollo económico de las Comunidades limítrofes. A ello se añade que las instituciones recurrentes parten de la premisa de que la reforma legislativa les niega legitimación procesal para interponer recurso contra las normas forales fiscales ante el Tribunal Constitucional pese a que, en realidad, será la futura doctrina constitucional la que sentará criterio al respecto.</w:t>
      </w:r>
    </w:p>
    <w:p w:rsidR="00163957" w:rsidRDefault="00163957" w:rsidP="00163957">
      <w:pPr>
        <w:pStyle w:val="TextoNormal"/>
      </w:pPr>
    </w:p>
    <w:p w:rsidR="00163957" w:rsidRDefault="00163957" w:rsidP="00163957">
      <w:pPr>
        <w:pStyle w:val="TextoNormal"/>
      </w:pPr>
      <w:r>
        <w:t>b) Subsidiariamente pide el Abogado del Estado la inadmisión parcial de los recursos, no solo porque las razones que los demandantes ofrecen para fundamentar su legitimación no guardan la menor relación con el apartado 3 de la nueva disposición adicional quinta LOTC (que regula el conflicto en defensa de la autonomía foral), habiendo incumplido su carga de alegar el punto de conexión competencial en el que basan su legitimación, sino también porque la Ley Orgánica 1/2010 únicamente contiene normas de delimitación jurisdiccional y normas procesales, de competencia exclusiva del legislador estatal [art. 149.1.5 y 6 CE, en relación con los arts. 117.3, 122.1, 161.1 d), 162.2 y 165 CE], careciendo el nuevo conflicto de toda incidencia sobre las competencias riojanas invocadas en las demandas relativas a la planificación y ordenación económica y fomento de desarrollo regional.</w:t>
      </w:r>
    </w:p>
    <w:p w:rsidR="00163957" w:rsidRDefault="00163957" w:rsidP="00163957">
      <w:pPr>
        <w:pStyle w:val="TextoNormal"/>
      </w:pPr>
    </w:p>
    <w:p w:rsidR="00163957" w:rsidRDefault="00163957" w:rsidP="00163957">
      <w:pPr>
        <w:pStyle w:val="TextoNormal"/>
      </w:pPr>
      <w:r>
        <w:t xml:space="preserve">c) En relación con las cuestiones de fondo solicita el Abogado del Estado la desestimación de los recursos de inconstitucionalidad interpuestos, para lo cual arranca en su exposición precisando que el ámbito de control de las normas forales fiscales alcanza a las impugnaciones fundadas en la vulneración de una regla del bloque de la constitucionalidad, pero no cuando la infracción imputada lo fuese de una norma del Derecho de la Unión Europea (infracción absolutamente ajena a la jurisdicción de este Tribunal) o cuando adolezca de vicios de simple ilegalidad, por cualquier violación sustantiva de la ley estatal o autonómica sin relieve constitucional (cuestión que igualmente está fuera de la jurisdicción de este Tribunal Constitucional). Hay que tener presente —añade— que el tercer párrafo del apartado 1 de la disposición adicional quinta LOTC, prevé que “el parámetro de validez de las normas forales enjuiciadas se ajustará a lo dispuesto en el artículo veintiocho de esta Ley”, es decir, a las normas y principios del bloque de la constitucionalidad, de modo que cuando la impugnación no cuente con un fundamento jurídico-constitucional (violación del Derecho europeo o infracciones de mera legalidad), cabrá la posibilidad de interponer recurso contencioso-administrativo. Y cuando se interponga el recurso contencioso-administrativo aduciendo conjuntamente fundamentos constitucionales, fundamentos basados en el Derecho de la Unión Europea y fundamentos de mera legalidad, para decidir sobre los fundamentos </w:t>
      </w:r>
      <w:r>
        <w:lastRenderedPageBreak/>
        <w:t>de inconstitucionalidad, el tribunal contencioso-administrativo deberá plantear, “con carácter prejudicial”, la cuestión de la validez constitucional de la norma foral fiscal (párrafo segundo del apartado 1 de la nueva disposición adicional quinta LOTC).</w:t>
      </w:r>
    </w:p>
    <w:p w:rsidR="00163957" w:rsidRDefault="00163957" w:rsidP="00163957">
      <w:pPr>
        <w:pStyle w:val="TextoNormal"/>
      </w:pPr>
    </w:p>
    <w:p w:rsidR="00163957" w:rsidRDefault="00163957" w:rsidP="00163957">
      <w:pPr>
        <w:pStyle w:val="TextoNormal"/>
      </w:pPr>
      <w:r>
        <w:t>Por otra parte, mediante el art. 2 de la Ley Orgánica 1/2010 el legislador pretende excluir del ámbito jurisdiccional contencioso administrativo únicamente lo que incluye en el constitucional, pues aun cuando en el nuevo art. 9.4 LOPJ señale que los “recursos indirectos” contra las normas forales fiscales corresponden en exclusiva al Tribunal Constitucional, añade a continuación “en los términos establecidos por la disposición adicional quinta de su Ley Orgánica”. Esta disposición deja claro que los recursos de que ha de conocer el Tribunal Constitucional son impugnaciones cuyo objeto sea la propia norma foral o alguno de sus preceptos, nunca uno de sus actos administrativos de aplicación, aunque la impugnación se base en un vicio imputable a la norma aplicada y ese vicio sea de inconstitucionalidad, en cuyo caso habrá de plantearse la correspondiente cuestión sobre la validez de la norma foral fiscal. El planteamiento de cuestión alguna sobre su validez constitucional solo tiene sentido en el seno de un proceso contencioso-administrativo.</w:t>
      </w:r>
    </w:p>
    <w:p w:rsidR="00163957" w:rsidRDefault="00163957" w:rsidP="00163957">
      <w:pPr>
        <w:pStyle w:val="TextoNormal"/>
      </w:pPr>
    </w:p>
    <w:p w:rsidR="00163957" w:rsidRDefault="00163957" w:rsidP="00163957">
      <w:pPr>
        <w:pStyle w:val="TextoNormal"/>
      </w:pPr>
      <w:r>
        <w:t>En definitiva, los recursos contencioso-administrativos directos basados exclusivamente en fundamentos de inconstitucionalidad quedan excluidos del conocimiento de los tribunales contencioso-administrativos por corresponder al Tribunal Constitucional, mientras que los recursos contencioso-administrativos indirectos basados exclusivamente en la inconstitucionalidad de la norma foral fiscal no podrán ser resueltos sin plantear previamente ante el Tribunal Constitucional la cuestión de validez de la norma foral fiscal.</w:t>
      </w:r>
    </w:p>
    <w:p w:rsidR="00163957" w:rsidRDefault="00163957" w:rsidP="00163957">
      <w:pPr>
        <w:pStyle w:val="TextoNormal"/>
      </w:pPr>
    </w:p>
    <w:p w:rsidR="00163957" w:rsidRDefault="00163957" w:rsidP="00163957">
      <w:pPr>
        <w:pStyle w:val="TextoNormal"/>
      </w:pPr>
      <w:r>
        <w:t>Para el Abogado del Estado no existe colisión de la reforma legislativa con la disposición adicional primera de la Constitución, puesto que sin duda el Estatuto de Autonomía es la vía principalísima de actualización del régimen foral, pero la disposición adicional primera CE no contiene ninguna reserva exclusiva a favor del Estatuto para actualizar el régimen foral, pues si esta actualización debe verificarse “en el marco de la Constitución”, a ella pueden también contribuir las Cortes Generales no solo cuando aprueban la Ley del concierto económico sino con ocasión de ejercitar cualesquiera de sus competencias constitucionales exclusivas.</w:t>
      </w:r>
    </w:p>
    <w:p w:rsidR="00163957" w:rsidRDefault="00163957" w:rsidP="00163957">
      <w:pPr>
        <w:pStyle w:val="TextoNormal"/>
      </w:pPr>
    </w:p>
    <w:p w:rsidR="00163957" w:rsidRDefault="00163957" w:rsidP="00163957">
      <w:pPr>
        <w:pStyle w:val="TextoNormal"/>
      </w:pPr>
      <w:r>
        <w:t>Una vez hechas las precisiones anteriores añade a continuación el Abogado del Estado que no se produce la violación de los arts. 161.1 a) y 163 CE, por parte de los apartados 1 y 2 de la nueva disposición adicional quinta LOTC, pues esta no altera el régimen del recurso y la cuestión de inconstitucionalidad sino que crea unos nuevos procedimientos de control de constitucionalidad. A su juicio, son ciertamente procedimientos de control de constitucionalidad de normas y de ahí la decisión del legislador de remitirse al régimen de los dos procedimientos-tipo de control de leyes: el recurso y la cuestión de inconstitucionalidad. Sin embargo, el objeto de los nuevos procedimientos es singular no solo por el rango reglamentario de la norma enjuiciada sino por la materia fiscal que regulan. Ni es ajeno a la jurisdicción del Tribunal Constitucional el control de constitucionalidad de normas reglamentarias ni de la previsión constitucional de dos procedimientos de control de constitucionalidad de las leyes cabe inferir una prohibición de crear procedimientos de control de constitucionalidad de cierto tipo de normas reglamentarias.</w:t>
      </w:r>
    </w:p>
    <w:p w:rsidR="00163957" w:rsidRDefault="00163957" w:rsidP="00163957">
      <w:pPr>
        <w:pStyle w:val="TextoNormal"/>
      </w:pPr>
    </w:p>
    <w:p w:rsidR="00163957" w:rsidRDefault="00163957" w:rsidP="00163957">
      <w:pPr>
        <w:pStyle w:val="TextoNormal"/>
      </w:pPr>
      <w:r>
        <w:lastRenderedPageBreak/>
        <w:t>d) Rechaza el Abogado del Estado igualmente que el art. 2 y la disposición adicional única de la Ley Orgánica 1/2010 —es decir, el inciso introducido en el primer párrafo del art. 9.4 LOPJ y la nueva letra d) del art. 3 LJCA— vulneren el art. 106.1 CE, pues los tribunales contencioso administrativos siguen pudiendo controlar el sometimiento de las normas forales fiscales a la ley y al Derecho en cuanto se traten de infracciones distintas de las constitucionales, como son las de legalidad ordinaria interna o las relativas al Derecho de la Unión Europea.</w:t>
      </w:r>
    </w:p>
    <w:p w:rsidR="00163957" w:rsidRDefault="00163957" w:rsidP="00163957">
      <w:pPr>
        <w:pStyle w:val="TextoNormal"/>
      </w:pPr>
    </w:p>
    <w:p w:rsidR="00163957" w:rsidRDefault="00163957" w:rsidP="00163957">
      <w:pPr>
        <w:pStyle w:val="TextoNormal"/>
      </w:pPr>
      <w:r>
        <w:t xml:space="preserve">e) Para el Abogado del Estado tampoco resulta lesionado el derecho a la tutela judicial efectiva (art. 24.1 CE) puesto que las Administraciones de las Comunidades Autónomas cuentan con legitimación para recurrir en vía contencioso-administrativa </w:t>
      </w:r>
      <w:r w:rsidRPr="00163957">
        <w:rPr>
          <w:i/>
        </w:rPr>
        <w:t>ex</w:t>
      </w:r>
      <w:r>
        <w:t xml:space="preserve"> art. 19.1 d) LJCA las disposiciones administrativas forales subordinadas a las normas forales fiscales, es decir, las disposiciones de contenido tributario dictadas por las diputaciones forales que desarrollen o ejecuten normas forales fiscales aprobadas por las juntas generales, así como los actos administrativos generales dictados por la diputación foral o por órganos de la Administración tributaria foral; y también los llamados decretos forales normativos, fruto de una delegación normativa de las Juntas Generales en las diputaciones forales, si exceden tales disposiciones los límites de la delegación (art. 1.</w:t>
      </w:r>
      <w:r w:rsidRPr="00163957">
        <w:rPr>
          <w:i/>
        </w:rPr>
        <w:t>1 in fi</w:t>
      </w:r>
      <w:r>
        <w:t>ne LJCA).</w:t>
      </w:r>
    </w:p>
    <w:p w:rsidR="00163957" w:rsidRDefault="00163957" w:rsidP="00163957">
      <w:pPr>
        <w:pStyle w:val="TextoNormal"/>
      </w:pPr>
    </w:p>
    <w:p w:rsidR="00163957" w:rsidRDefault="00163957" w:rsidP="00163957">
      <w:pPr>
        <w:pStyle w:val="TextoNormal"/>
      </w:pPr>
      <w:r>
        <w:t>Por otra parte, considera el Abogado del Estado que es cierto que no cabrá promover un recurso contencioso-administrativo directo de protección de los derechos fundamentales contra una norma foral fiscal, pero sí cabrá un amparo judicial indirecto contra una norma foral fiscal, es decir, un recurso contencioso-administrativo de protección de derechos fundamentales (arts. 114 y ss. LJCA) dirigido contra una disposición o acto aplicativos de la norma foral fiscal, basado en que esta viola tales derechos, en el seno del cual el tribunal contencioso-administrativo podrá plantear cuestión de validez de la norma foral fiscal ante el Tribunal Constitucional. Y si rechaza plantearla, el recurrente podrá intentar un recurso de amparo constitucional, que será un amparo indirecto contra la norma foral fiscal. Con ello se garantiza una tutela suficiente de los derechos fundamentales que puedan estimarse directamente vulnerados por una norma foral fiscal, y no puede entenderse infringido el art. 53.2 CE.</w:t>
      </w:r>
    </w:p>
    <w:p w:rsidR="00163957" w:rsidRDefault="00163957" w:rsidP="00163957">
      <w:pPr>
        <w:pStyle w:val="TextoNormal"/>
      </w:pPr>
    </w:p>
    <w:p w:rsidR="00163957" w:rsidRDefault="00163957" w:rsidP="00163957">
      <w:pPr>
        <w:pStyle w:val="TextoNormal"/>
      </w:pPr>
      <w:r>
        <w:t xml:space="preserve">En fin, a su juicio, el alcance exacto de la legitimación activa para recurrir ante el Tribunal Constitucional las normas forales fiscales deberá ser fijado en el futuro por este Tribunal. En todo caso, por aplicación del art. 37.2 LOTC a las cuestiones sobre la validez de las normas forales fiscales, quienes hayan sido parte en el proceso </w:t>
      </w:r>
      <w:r w:rsidRPr="00163957">
        <w:rPr>
          <w:i/>
        </w:rPr>
        <w:t>a quo</w:t>
      </w:r>
      <w:r>
        <w:t xml:space="preserve"> podrán personarse ante el Tribunal Constitucional y formular alegaciones.</w:t>
      </w:r>
    </w:p>
    <w:p w:rsidR="00163957" w:rsidRDefault="00163957" w:rsidP="00163957">
      <w:pPr>
        <w:pStyle w:val="TextoNormal"/>
      </w:pPr>
    </w:p>
    <w:p w:rsidR="00163957" w:rsidRDefault="00163957" w:rsidP="00163957">
      <w:pPr>
        <w:pStyle w:val="TextoNormal"/>
      </w:pPr>
      <w:r>
        <w:t>f) Para el Abogado del Estado el establecimiento de un distinto régimen de control de las normas forales en función de la materia que regulen (si son normas tributarias su enjuiciamiento corresponderá al Tribunal Constitucional y si no a los tribunales contencioso-administrativos, sin olvidar la existencia de disposiciones en materia tributaria dictadas por las diputaciones forales con valor normativo, como los decretos forales normativos, decretos normativos de urgencia fiscal o decretos forales-norma, que continuarán siendo controlados por los tribunales contencioso administrativos), se sustenta en la existencia del concierto económico, presidido por una ley que, en parte al menos, queda integrada en el bloque de la constitucionalidad. Por lo tanto, las normas forales fiscales plantean específicas cuestio</w:t>
      </w:r>
      <w:r>
        <w:lastRenderedPageBreak/>
        <w:t>nes constitucionales de interpretación del régimen foral de concierto económico que no suscitan las normas forales extratributarias, lo que justifica de forma suficiente la inexistencia de una arbitrariedad legislativa.</w:t>
      </w:r>
    </w:p>
    <w:p w:rsidR="00163957" w:rsidRDefault="00163957" w:rsidP="00163957">
      <w:pPr>
        <w:pStyle w:val="TextoNormal"/>
      </w:pPr>
    </w:p>
    <w:p w:rsidR="00163957" w:rsidRDefault="00163957" w:rsidP="00163957">
      <w:pPr>
        <w:pStyle w:val="TextoNormal"/>
      </w:pPr>
      <w:r>
        <w:t>g) Llama la atención el Abogado del Estado sobre el hecho de que tanto el Gobierno como el Parlamento de La Rioja denuncian una serie de infracciones constitucionales relativas a las libertades de circulación, residencia y empresa (arts. 19 y 39 CE), a la unidad de mercado (arts. 2, 38, 40.1, 130.1, 131, 138.1 y 2, 139.2, 149.1.14 y 157.2 CE) y a los principios de solidaridad y autonomía financiera (arts. 2, 138, 156.1 y 158 CE), y sin embargo, incumplen la carga de fundamentar tan dispares violaciones, impidiéndole ejercer su derecho de defensa. En cualquier caso, añade, las hipotéticas violaciones serían imputables a las normas forales fiscales, únicas que provocarían tan dañinos efectos, y no a la Ley Orgánica 1/2010 que, por su contenido, carece de aptitud para generar autónomamente tan perniciosas consecuencias.</w:t>
      </w:r>
    </w:p>
    <w:p w:rsidR="00163957" w:rsidRDefault="00163957" w:rsidP="00163957">
      <w:pPr>
        <w:pStyle w:val="TextoNormal"/>
      </w:pPr>
    </w:p>
    <w:p w:rsidR="00163957" w:rsidRDefault="00163957" w:rsidP="00163957">
      <w:pPr>
        <w:pStyle w:val="TextoNormal"/>
      </w:pPr>
      <w:r>
        <w:t>h) En relación con el apartado 3 de la disposición adicional quinta LOTC, que crea y regula el conflicto en defensa de la autonomía foral, señala el Abogado del Estado que la singularidad de su objeto (normas del Estado con rango de ley), la singularidad de la fundamentación de la pretensión conflictual (la lesión de la garantía constitucional y estatutaria de la autonomía foral) y la singularidad de la legitimación (diputaciones forales y juntas generales) dan fisonomía propia al nuevo procedimiento, del cual cabe predicar lo que la STC 240/2006, de 20 de julio, FJ 1, dijo del conflicto en defensa de la autonomía local: “Estamos efectivamente ante un nuevo proceso constitucional, pues, dada su configuración, no puede entenderse como una nueva modalidad, ni de alguno de los procesos a los que se hace referencia en los epígrafes a), b) y c) del art. 161.1 CE, ni del contemplado en el art. 161.2 CE. Tampoco puede considerarse una variante de ninguno de los procedimientos que, al amparo del epígrafe d) del art. 161.1 CE, han sido creados por las leyes orgánicas y hoy forman parte de la jurisdicción constitucional en nuestro Ordenamiento”. En definitiva el nuevo conflicto en defensa de la autonomía foral responde a una decisión del legislador orgánico amparada en los arts. 161.1 d), 162.2 y 165 CE.</w:t>
      </w:r>
    </w:p>
    <w:p w:rsidR="00163957" w:rsidRDefault="00163957" w:rsidP="00163957">
      <w:pPr>
        <w:pStyle w:val="TextoNormal"/>
      </w:pPr>
    </w:p>
    <w:p w:rsidR="00163957" w:rsidRDefault="00163957" w:rsidP="00163957">
      <w:pPr>
        <w:pStyle w:val="TextoNormal"/>
      </w:pPr>
      <w:r>
        <w:t>Por lo que hace al reproche de infracción de los arts. 9.3, 14, 24, 138.2, y 139.1 CE, considera el Abogado del Estado que ni los territorios ni los entes públicos están protegidos por el art. 14 CE, encontrándose la raíz del privilegio foral en el propio texto constitucional. Por lo demás, la unidad del texto fundamental impide invocar los arts. 138.2 y 139.1 CE, frente a la disposición adicional primera CE.</w:t>
      </w:r>
    </w:p>
    <w:p w:rsidR="00163957" w:rsidRDefault="00163957" w:rsidP="00163957">
      <w:pPr>
        <w:pStyle w:val="TextoNormal"/>
      </w:pPr>
    </w:p>
    <w:p w:rsidR="00163957" w:rsidRDefault="00163957" w:rsidP="00163957">
      <w:pPr>
        <w:pStyle w:val="TextoNormal"/>
      </w:pPr>
      <w:r>
        <w:t xml:space="preserve">Para concluir, rechaza el Abogado del Estado, de un lado, que la Ley Orgánica 1/2010, de 19 de febrero, pueda vulnerar los arts. 1.1, 87.1 y 2, y 166 CE, por implicar una reforma encubierta de la propia Constitución fuera de los cauces previstos en la misma, señalando al respecto que ya en el ATC 85/2006, de 15 de marzo y en la posterior STC 49/2008, de 9 de abril, este Tribunal ha afirmado que las eventuales lesiones producidas por una norma impugnada no alteran el contenido normativo de la Constitución, ni le confieren una virtualidad modificativa de la misma, sino que lo que determinan es su inconstitucionalidad. De otro lado, califica de inadmisible la pretensión formulada por el Consejo de Gobierno de Castilla y León de que se declare en la presente Sentencia que sus efectos “alcanzan a las normas forales fiscales y demás decisiones o actos que en su aplicación puedan haber sido </w:t>
      </w:r>
      <w:r>
        <w:lastRenderedPageBreak/>
        <w:t>dictados por los órganos Forales de los Territorios Históricos de Álava, Guipúzcoa y Vizcaya durante la sustanciación del presente recurso de inconstitucionalidad, ordenando abrir los plazos procesales pertinentes para su impugnación”, por ser contraria tal petición a los arts. 27.1 y 39.1 LOTC.</w:t>
      </w:r>
    </w:p>
    <w:p w:rsidR="00163957" w:rsidRDefault="00163957" w:rsidP="00163957">
      <w:pPr>
        <w:pStyle w:val="TextoNormal"/>
      </w:pPr>
    </w:p>
    <w:p w:rsidR="00163957" w:rsidRDefault="00163957" w:rsidP="00163957">
      <w:pPr>
        <w:pStyle w:val="TextoNormal"/>
      </w:pPr>
      <w:r w:rsidRPr="00163957">
        <w:rPr>
          <w:rStyle w:val="NumeroAFNegritaCaracter"/>
        </w:rPr>
        <w:t>13</w:t>
      </w:r>
      <w:r>
        <w:t>. Mediante escrito registrado en este Tribunal el día 29 de febrero de 2012, la Diputación Foral de Bizkaia, a través del Procurador de los Tribunales don Julián del Olmo Pastor y la asistencia letrada de don Enrique Lucas Murillo de la Cueva, solicitó su personación en el presente proceso como coadyuvante del Gobierno de la Nación, en defensa de la constitucionalidad de la impugnada Ley Orgánica 1/2010, de 19 de febrero. A esta pretensión se opusieron el propio Abogado del Estado así como el Consejo de Gobierno de La Rioja, el Parlamento de La Rioja, el Consejo de Gobierno de la Junta de Castilla y León, y las Cortes de Castilla y León. Mediante ATC 144/2012, de 16 de julio, el Pleno de este Tribunal, a la vista de lo previsto en los arts. 162.1 a) CE, y 32 y 34 LOTC, acordó denegar la personación solicitada.</w:t>
      </w:r>
    </w:p>
    <w:p w:rsidR="00163957" w:rsidRDefault="00163957" w:rsidP="00163957">
      <w:pPr>
        <w:pStyle w:val="TextoNormal"/>
      </w:pPr>
    </w:p>
    <w:p w:rsidR="00163957" w:rsidRDefault="00163957" w:rsidP="00163957">
      <w:pPr>
        <w:pStyle w:val="TextoNormal"/>
      </w:pPr>
      <w:r w:rsidRPr="00163957">
        <w:rPr>
          <w:rStyle w:val="NumeroAFNegritaCaracter"/>
        </w:rPr>
        <w:t>14</w:t>
      </w:r>
      <w:r>
        <w:t>. Por medio de escrito presentado el día 7 de mayo de 2012, solicitó su personación en el proceso el Gobierno Vasco, también como coadyuvante del Gobierno de la Nación, lo que fue acordado por el Pleno del Tribunal en providencia de fecha 16 de julio de 2012, sin que ello comportase retroacción de las actuaciones a un momento anterior, por lo que, habiendo precluido el periodo de alegaciones, no se tuvieron por hechas las manifestaciones sobre la cuestión de fondo contenidas en el escrito de personación.</w:t>
      </w:r>
    </w:p>
    <w:p w:rsidR="00163957" w:rsidRDefault="00163957" w:rsidP="00163957">
      <w:pPr>
        <w:pStyle w:val="TextoNormal"/>
      </w:pPr>
    </w:p>
    <w:p w:rsidR="00163957" w:rsidRDefault="00163957" w:rsidP="00163957">
      <w:pPr>
        <w:pStyle w:val="TextoNormal"/>
      </w:pPr>
      <w:r w:rsidRPr="00163957">
        <w:rPr>
          <w:rStyle w:val="NumeroAFNegritaCaracter"/>
        </w:rPr>
        <w:t>15</w:t>
      </w:r>
      <w:r>
        <w:t>. La Letrada Mayor del Parlamento Vasco, mediante de escrito presentado el día 15 de noviembre de 2012, solicitó la personación de la Cámara autonómica en el presente proceso, como coadyuvante del Gobierno de la Nación, lo que fue acordado por el Pleno del Tribunal en providencia de fecha 18 de diciembre de 2012, sin que ello comportase retroacción de las actuaciones a un momento anterior, por lo que, habiendo precluido el periodo de alegaciones, no se le confirió plazo a tal fin.</w:t>
      </w:r>
    </w:p>
    <w:p w:rsidR="00163957" w:rsidRDefault="00163957" w:rsidP="00163957">
      <w:pPr>
        <w:pStyle w:val="TextoNormal"/>
      </w:pPr>
    </w:p>
    <w:p w:rsidR="00163957" w:rsidRDefault="00163957" w:rsidP="00163957">
      <w:pPr>
        <w:pStyle w:val="TextoNormal"/>
      </w:pPr>
      <w:r w:rsidRPr="00163957">
        <w:rPr>
          <w:rStyle w:val="NumeroAFNegritaCaracter"/>
        </w:rPr>
        <w:t>16</w:t>
      </w:r>
      <w:r>
        <w:t>. Mediante providencia de 21 de junio de 2016 se señaló para deliberación y votación de la presente Sentencia el día 23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Consejo de Gobierno y el Parlamento de la Comunidad Autónoma de La Rioja, así como el Consejo de Gobierno y las Cortes de la Comunidad Autónoma de Castilla y León, impugnan en el presente proceso constitucional la Ley Orgánica 1/2010, de 19 de febrero, de modificación de las leyes orgánicas del Tribunal Constitucional y del Poder Judicial. Sin embargo, antes de entrar a dar respuesta a cada uno de los motivos de inconstitucionalidad esgrimidos en los diferentes recursos es necesario realizar una serie de precisiones previas:</w:t>
      </w:r>
    </w:p>
    <w:p w:rsidR="00163957" w:rsidRDefault="00163957" w:rsidP="00163957">
      <w:pPr>
        <w:pStyle w:val="TextoNormal"/>
      </w:pPr>
    </w:p>
    <w:p w:rsidR="00163957" w:rsidRDefault="00163957" w:rsidP="00163957">
      <w:pPr>
        <w:pStyle w:val="TextoNormal"/>
      </w:pPr>
      <w:r>
        <w:t xml:space="preserve">a) Debe advertirse que el párrafo primero del artículo segundo de la Ley Orgánica 1/2010, objeto del presente proceso constitucional, ha sido corregido posteriormente por la disposición adicional primera de la Ley Orgánica 4/2011, de 11 de marzo, complementaria de la Ley de economía sostenible, por la que se modifican las Leyes Orgánicas 5/2002, de </w:t>
      </w:r>
      <w:r>
        <w:lastRenderedPageBreak/>
        <w:t>19 de junio, de las cualificaciones y de la formación profesional, 2/2006, de 3 de mayo, de Educación, y 6/1985, de 1 de julio, del Poder Judicial. Conforme a esta corrección, el inciso “apartado 4 del artículo 9 de esta Ley” se sustituye por “párrafo primero del apartado 4 del artículo 9 de la Ley Orgánica 6/1985, de 1 de julio, del Poder Judicial”. Se trata, como puede comprobarse, de una corrección que, en modo alguno, afecta al objeto del presente proceso constitucional.</w:t>
      </w:r>
    </w:p>
    <w:p w:rsidR="00163957" w:rsidRDefault="00163957" w:rsidP="00163957">
      <w:pPr>
        <w:pStyle w:val="TextoNormal"/>
      </w:pPr>
    </w:p>
    <w:p w:rsidR="00163957" w:rsidRDefault="00163957" w:rsidP="00163957">
      <w:pPr>
        <w:pStyle w:val="TextoNormal"/>
      </w:pPr>
      <w:r>
        <w:t>b) Opone el Abogado del Estado la falta de legitimación activa de los recurrentes para interponer los presentes recursos de inconstitucionalidad contra la Ley Orgánica 1/2010, al no afectar a las competencias autonómicas invocadas. Sin embargo, debe rechazarse esta falta de legitimación que se imputa a los recurrentes toda vez que, de conformidad con el art. 32.2 de la Ley Orgánica del Tribunal Constitucional (LOTC), los órganos ejecutivos y las Asambleas de las Comunidades Autónomas tienen legitimación para el ejercicio del recurso de inconstitucionalidad contra Leyes, disposiciones o actos con fuerza de Ley del Estado, cuando afecten “a su propio ámbito de autonomía”. Aunque esta última expresión fue entendida en un principio por la doctrina de este Tribunal en un sentido estrictamente competencial, con referencia a una afectación de las competencias propias y exclusivas necesarias para satisfacer el interés respectivo (así, por ejemplo, en SSTC 25/1981, de 14 de julio, FJ 3, y 84/1982, de 23 de diciembre, FJ 2), posteriormente hemos considerado que la legitimación para interponer un recurso de inconstitucionalidad no lo es tanto para la preservación o delimitación del propio ámbito competencial, como para “la depuración objetiva del ordenamiento mediante la invalidación de la norma inconstitucional” (STC 199/1987, de 16 de diciembre, FJ 1). De esta manera, al día de hoy “puede afirmarse que los condicionamientos materiales a la legitimación de las Comunidades Autónomas para impugnar leyes del Estado constituyen una verdadera excepción”, de modo tal que “la legitimación de las Comunidades Autónomas para interponer el recurso de inconstitucionalidad no está al servicio de la reivindicación de una competencia violada, sino de la depuración del ordenamiento jurídico”, extendiéndose “a todos aquellos supuestos en que exista un punto de conexión material entre la ley estatal y el ámbito competencial autonómico” (STC 110/2011, de 22 de junio, FJ 2).</w:t>
      </w:r>
    </w:p>
    <w:p w:rsidR="00163957" w:rsidRDefault="00163957" w:rsidP="00163957">
      <w:pPr>
        <w:pStyle w:val="TextoNormal"/>
      </w:pPr>
    </w:p>
    <w:p w:rsidR="00163957" w:rsidRDefault="00163957" w:rsidP="00163957">
      <w:pPr>
        <w:pStyle w:val="TextoNormal"/>
      </w:pPr>
      <w:r>
        <w:t>Precisamente por carecer las Comunidades Autónomas de competencia en materia de legislación procesal, con la salvedad de las necesarias especialidades que en este orden se deriven de las particularidades de su Derecho sustantivo (art. 149.1.6 CE), la modificación operada por la Ley Orgánica 1/2010 afecta “a su propio ámbito de autonomía” (art. 32.2 LOTC), porque el nuevo régimen procesal que introduce, como señalan los recurrentes, implica un recorte de sus facultades de reacción y tutela judicial, al impedirles impugnar —como hasta ahora venían haciendo— las normas forales fiscales que incidan negativamente en su ámbito territorial, pasándose de un sistema de control de estas normas ante los órganos de la jurisdicción ordinaria en el que las propias Comunidades Autónomas limítrofes con la del País Vasco venían legitimadas directamente para su impugnación, a un sistema en el que ese control se atribuye ahora a este Tribunal Constitucional, pero en el que carecen de legitimación para su impugnación directa [art. 32.1 y 2 LOTC].</w:t>
      </w:r>
    </w:p>
    <w:p w:rsidR="00163957" w:rsidRDefault="00163957" w:rsidP="00163957">
      <w:pPr>
        <w:pStyle w:val="TextoNormal"/>
      </w:pPr>
    </w:p>
    <w:p w:rsidR="00163957" w:rsidRDefault="00163957" w:rsidP="00163957">
      <w:pPr>
        <w:pStyle w:val="TextoNormal"/>
      </w:pPr>
      <w:r>
        <w:t xml:space="preserve">En suma, la modificación de las reglas procesales de control de unas normas que, por su contenido y alcance pueden provocar, como señalamos en la STC 96/2002, de 26 de abril, el llamado “efecto frontera” de estimular el traslado de actividades económicas de territorio </w:t>
      </w:r>
      <w:r>
        <w:lastRenderedPageBreak/>
        <w:t>común a territorio foral, con afectación de la autonomía financiera de las Comunidades Autónomas limítrofes (FJ 3), alterando sus posibilidades de reacción frente a eventual afectación de su ámbito de autonomía, genera en ellas un interés legítimo, directo y específico, en la constatación de que la articulación de aquellas nuevas reglas por el Estado, en el ejercicio de sus competencias exclusivas en materia de legislación procesal [art. 149.1.6 CE, en conexión con los arts. 161.1 d), 162.2 y 165 CE], se ha hecho mediante el recto ejercicio de su ámbito competencial, garantizándose, en todo caso, la supremacía de la Constitución. Debe rechazarse, en consecuencia, la falta de legitimación de los recurrentes para interponer los presentes recursos de inconstitucionalidad.</w:t>
      </w:r>
    </w:p>
    <w:p w:rsidR="00163957" w:rsidRDefault="00163957" w:rsidP="00163957">
      <w:pPr>
        <w:pStyle w:val="TextoNormal"/>
      </w:pPr>
    </w:p>
    <w:p w:rsidR="00163957" w:rsidRDefault="00163957" w:rsidP="00163957">
      <w:pPr>
        <w:pStyle w:val="TextoNormal"/>
      </w:pPr>
      <w:r>
        <w:t>c) Considera también el Abogado del Estado que deben inadmitirse parcialmente los recursos, no solo porque las razones que los demandantes ofrecen para fundamentar su legitimación no guardan la menor relación con el apartado 3 de la nueva disposición adicional quinta LOTC (que regula el conflicto en defensa de la autonomía foral), habiendo incumplido su carga de alegar el punto de conexión competencial en el que basan su legitimación, sino también porque la Ley Orgánica 1/2010 únicamente contiene normas de delimitación jurisdiccional y normas procesales, de competencia exclusiva del legislador estatal [art. 149.1.5 y 6 CE, en relación con los arts. 117.3, 122.1, 161.1 d), 162.2 y 165 CE], careciendo el nuevo conflicto de toda incidencia sobre las competencias invocadas en las demandas.</w:t>
      </w:r>
    </w:p>
    <w:p w:rsidR="00163957" w:rsidRDefault="00163957" w:rsidP="00163957">
      <w:pPr>
        <w:pStyle w:val="TextoNormal"/>
      </w:pPr>
    </w:p>
    <w:p w:rsidR="00163957" w:rsidRDefault="00163957" w:rsidP="00163957">
      <w:pPr>
        <w:pStyle w:val="TextoNormal"/>
      </w:pPr>
      <w:r>
        <w:t>También esta objeción debe rechazase al existir, como se ha dicho, un interés legítimo, directo y específico de las instituciones recurrentes para impugnar la atribución a las Diputaciones Forales y a las Juntas Generales de Álava, Bizkaia y Gipuzkoa, de la legitimación para plantear ante este Tribunal Constitucional los conflictos en defensa de la autonomía foral frente a normas del Estado con rango de ley. En la medida que con este nuevo conflicto en defensa de la autonomía foral las juntas generales y las diputaciones forales pueden cuestionar las normas del Estado con rango de ley y, entre ellas, las propias normas estatutarias de las Comunidades Autónomas limítrofes cuando se aduzca una afectación de la autonomía foral, no cabe duda del interés de las instituciones demandantes, como se ha dicho, no solo en el control del correcto ejercicio de las competencias del Estado en materia de legislación procesal (art. 149.1.6 CE), en relación con la delimitación del modelo de jurisdicción constitucional, sus procesos y las reglas de legitimación [arts. 161.1 d), 162.2 y 165 CE], sino también en la defensa de su “propio ámbito de autonomía”, el cual se ve claramente afectado por esa nueva delimitación. Debe rechazarse, por tanto, también esta otra objeción.</w:t>
      </w:r>
    </w:p>
    <w:p w:rsidR="00163957" w:rsidRDefault="00163957" w:rsidP="00163957">
      <w:pPr>
        <w:pStyle w:val="TextoNormal"/>
      </w:pPr>
    </w:p>
    <w:p w:rsidR="00163957" w:rsidRDefault="00163957" w:rsidP="00163957">
      <w:pPr>
        <w:pStyle w:val="TextoNormal"/>
      </w:pPr>
      <w:r>
        <w:t>d) Puesto que a lo largo de las diferentes demandas se vierten una serie de consideraciones críticas sobre el especial régimen tributario de los territorios forales, es importante dejar sentado ya en este momento que el único objeto del presente proceso constitucional lo constituye el nuevo régimen procesal establecido por la Ley Orgánica 1/2010, tanto para la impugnación de las normas forales fiscales como para la defensa de la autonomía foral. En ningún momento será objeto de nuestro análisis, pues, la existencia misma del propio régimen tributario foral, su contenido, alcance o consecuencias que de su aplicación pudieran derivarse, aspectos estos que no pueden formar del presente proceso constitucional.</w:t>
      </w:r>
    </w:p>
    <w:p w:rsidR="00163957" w:rsidRDefault="00163957" w:rsidP="00163957">
      <w:pPr>
        <w:pStyle w:val="TextoNormal"/>
      </w:pPr>
    </w:p>
    <w:p w:rsidR="00163957" w:rsidRDefault="00163957" w:rsidP="00163957">
      <w:pPr>
        <w:pStyle w:val="TextoNormal"/>
      </w:pPr>
      <w:r>
        <w:t>El objeto del presente proceso constitucional lo constituye, entonces, el contenido de la Ley Orgánica 1/2010, de 19 de febrero, por ser esta la norma impugnada, en sus tres previsiones: en primer lugar, en la modificación de la Ley Orgánica 2/1979, del Tribunal Cons</w:t>
      </w:r>
      <w:r>
        <w:lastRenderedPageBreak/>
        <w:t>titucional (en adelante, LOTC), mediante la adición a esta norma de una disposición adicional quinta (art. 1); en segundo lugar, en la modificación de la Ley Orgánica 6/1985, de 1 de julio, del Poder Judicial (en lo sucesivo, LOPJ), concretamente, dando nueva redacción al párrafo primero de su art. 9.4 (art. 2); y, finalmente, en la modificación de la Ley 29/1998, de 13 de julio, reguladora de la jurisdicción contencioso-administrativa (en adelante, LJCA), mediante la adición de una nueva letra d) a su art. 3 (disposición adicional única).</w:t>
      </w:r>
    </w:p>
    <w:p w:rsidR="00163957" w:rsidRDefault="00163957" w:rsidP="00163957">
      <w:pPr>
        <w:pStyle w:val="TextoNormal"/>
      </w:pPr>
    </w:p>
    <w:p w:rsidR="00163957" w:rsidRDefault="00163957" w:rsidP="00163957">
      <w:pPr>
        <w:pStyle w:val="TextoNormal"/>
      </w:pPr>
      <w:r>
        <w:t>Eso sí, debemos anticipar ya en este mismo instante, como hicimos en la STC 49/2008, de 9 de abril (en recurso de inconstitucionalidad promovido contra la Ley Orgánica 6/2007, de 24 de mayo, por la que se modificaba la Ley Orgánica 2/1979, de 3 de octubre, del Tribunal Constitucional), que “el examen de la constitucionalidad de nuestra Ley reguladora nos obliga a extremar las consideraciones institucionales y funcionales que siempre acompañan al control del legislador democrático. Por de pronto, es evidente que nuestro enjuiciamiento es exclusivamente de constitucionalidad y no político, de oportunidad o de calidad técnica. Las intenciones del legislador, su estrategia política o su propósito último no constituyen, como es evidente, objeto de nuestro control, debiendo limitarnos a contrastar con carácter abstracto y, por lo tanto, al margen de su posible aplicación práctica los concretos preceptos impugnados y las normas y principios constitucionales que integran en cada caso el parámetro de control. Por otro lado, tratándose del legislador democrático no podemos perder de vista que la presunción de constitucionalidad ocupa un lugar destacado en el desarrollo de dicho control, correspondiendo al recurrente no solo ponerlo en marcha mediante el ejercicio de su legitimación, sino concretar los motivos de la pretendida inconstitucionalidad y colaborar con la jurisdicción constitucional. Y tampoco debe perderse de vista, como cuestión de principio, que el legislador no debe limitarse a ejecutar la Constitución, sino que está constitucionalmente legitimado para tomar todas aquellas medidas que, en un marco caracterizado por el pluralismo político, no vulneren los límites que se derivan de la Norma fundamental” (FJ 4).</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entrar a dar respuesta a los vicios de inconstitucionalidad denunciados por las instituciones recurrentes y puesto que a lo largo de los diferentes escritos de alegaciones se han vertido distintas afirmaciones sobre la justificación histórica, contenido y alcance del régimen tributario foral, así como sobre la naturaleza y rango de las normas dictadas en su seno, vamos a comenzar nuestro análisis realizando una serie de concreciones previas relativas a los rasgos históricos del régimen de Concierto, a la naturaleza de las normas forales fiscales y a su relación con el principio de reserva de ley operante en materia tributaria.</w:t>
      </w:r>
    </w:p>
    <w:p w:rsidR="00163957" w:rsidRDefault="00163957" w:rsidP="00163957">
      <w:pPr>
        <w:pStyle w:val="TextoNormal"/>
      </w:pPr>
    </w:p>
    <w:p w:rsidR="00163957" w:rsidRDefault="00163957" w:rsidP="00163957">
      <w:pPr>
        <w:pStyle w:val="TextoNormal"/>
      </w:pPr>
      <w:r>
        <w:t xml:space="preserve">a) La disposición adicional primera de la Constitución de 27 de diciembre de 1978 recoge el respeto a “los derechos históricos de los territorios forales” (párrafo primero), cuya actualización “se llevará a cabo, en su caso, en el marco de la Constitución y de los Estatutos de Autonomía” (párrafo segundo), razón por la cual, la Ley Orgánica 3/1979, de 18 de diciembre, de Estatuto de Autonomía para el País Vasco —EAPV— ha previsto que “[l]as relaciones de orden tributario entre el Estado y el País Vasco vendrán reguladas mediante el sistema foral tradicional de Concierto Económico o Convenios” (art. 41.1 EAPV). Conforme al mismo, las Instituciones competentes de los territorios históricos no sólo pueden “mantener, establecer y regular, dentro de su territorio, el régimen tributario, atendiendo a la estructura general impositiva del Estado, a las normas que para la coordinación, armonización fiscal y colaboración con el Estado se contengan en el propio Concierto, y a las que dicte el Parlamento Vasco para idénticas finalidades dentro de la Comunidad Autónoma” </w:t>
      </w:r>
      <w:r>
        <w:lastRenderedPageBreak/>
        <w:t>[art. 41.2 a) EAPV], sino que deben adoptar “los acuerdos pertinentes, con objeto de aplicar en sus respectivos territorios las normas fiscales de carácter excepcional y coyuntural que el Estado decida aplicar al territorio común, estableciéndose igual periodo de vigencia que el señalado para éstas” [art. 41.2 c) EAPV].</w:t>
      </w:r>
    </w:p>
    <w:p w:rsidR="00163957" w:rsidRDefault="00163957" w:rsidP="00163957">
      <w:pPr>
        <w:pStyle w:val="TextoNormal"/>
      </w:pPr>
    </w:p>
    <w:p w:rsidR="00163957" w:rsidRDefault="00163957" w:rsidP="00163957">
      <w:pPr>
        <w:pStyle w:val="TextoNormal"/>
      </w:pPr>
      <w:r>
        <w:t>Fruto de la anterior previsión estatutaria se dictó la Ley 12/1981, de 13 mayo, por la que se aprobaba el concierto económico con la Comunidad Autónoma del País Vasco, con duración hasta el día 31 de diciembre de 2001 (art. 1). Esta ley sometía el régimen tributario de los territorios históricos a los principios de “[r]espeto de la solidaridad en los términos prevenidos en la Constitución y en el Estatuto de Autonomía” (art. 2.1.1); “[a]tención a la estructura general impositiva del Estado” (art. 2.1.2); “[c]oordinación, armonización fiscal y colaboración con el Estado, de acuerdo con las normas del presente Concierto Económico” (art. 2.1.3); “[c]oordinación, armonización fiscal y colaboración mutua entre las instituciones de los Territorios Históricos según las normas que, a tal efecto, dicte el Parlamento Vasco” (art. 2.1.4) y “[s]ometimiento a los Tratados o Convenios internacionales firmados y ratificados por el Estado español o a los que este se adhiera” (art. 2.1.5). En la actualidad, la anterior norma legal ha sido sustituida por la Ley 12/2002, de 23 de mayo, por la que se aprueba el concierto económico con la Comunidad Autónoma del País Vasco, que nuevamente condiciona el régimen tributario de los territorios históricos a los mismos principios que han sido citados pero con una precisión adicional, a saber, la de que atenderá, en particular, “a lo dispuesto en los Convenios internacionales suscritos por España para evitar la doble imposición y en las normas de armonización fiscal de la Unión Europea” (art. 2.1.5).</w:t>
      </w:r>
    </w:p>
    <w:p w:rsidR="00163957" w:rsidRDefault="00163957" w:rsidP="00163957">
      <w:pPr>
        <w:pStyle w:val="TextoNormal"/>
      </w:pPr>
    </w:p>
    <w:p w:rsidR="00163957" w:rsidRDefault="00163957" w:rsidP="00163957">
      <w:pPr>
        <w:pStyle w:val="TextoNormal"/>
      </w:pPr>
      <w:r>
        <w:t>Pues bien, con la expresión “territorios forales” recogida en la disposición adicional primera del texto constitucional “se hace referencia a ‘aquellos territorios’ integrantes de la Monarquía española que, pese a la unificación del Derecho público y de las instituciones políticas y administrativas del resto de los reinos y regiones de España, culminada en los Decretos de Nueva Planta de 1707, 1711, 1715 y 1716, mantuvieron sus propios fueros (entendidos tanto en el sentido de peculiar forma de organización de sus poderes públicos como del régimen jurídico propio en otras materias) durante el siglo XVIII y gran parte del XIX, llegando incluso hasta nuestros días manifestaciones de esa peculiaridad foral” (SSTC 76/1988, de 26 de abril, FJ 2, y 173/2014, de 23 de octubre, FJ 3). De esta manera, una de las peculiaridades que han tenido las provincias vascas a lo largo de la historia (comúnmente conocidas, junto con Navarra, como “territorios históricos” o “territorios forales”), y, por tanto, uno de los “derechos históricos” que la disposición adicional primera de la Constitución “ampara y respeta”, aunque, como no podía ser de otra manera, de forma actualizada “en el marco de la Constitución y de los Estatutos de Autonomía”, pues el texto constitucional “imposibilita el mantenimiento de situaciones jurídicas (aun con una probada tradición) que resulten incompatibles con los mandatos y principios constitucionales” (STC 76/1988, de 26 de abril, FJ 3), es lo que se ha conocido como el “régimen de concierto económico”, que se integra en el núcleo del régimen foral y que se caracteriza por la existencia de “un régimen fiscal propio”, que no hace sino salvaguardar determinadas peculiaridades de su “autogobierno territorial” o de su “foralidad” (STC 76/1988, de 26 de abril, FFJJ 2 y 4).</w:t>
      </w:r>
    </w:p>
    <w:p w:rsidR="00163957" w:rsidRDefault="00163957" w:rsidP="00163957">
      <w:pPr>
        <w:pStyle w:val="TextoNormal"/>
      </w:pPr>
    </w:p>
    <w:p w:rsidR="00163957" w:rsidRDefault="00163957" w:rsidP="00163957">
      <w:pPr>
        <w:pStyle w:val="TextoNormal"/>
      </w:pPr>
      <w:r>
        <w:t xml:space="preserve">Se trata de un régimen especial aplicable exclusivamente a la materia tributaria, que no se extiende “a aspectos financieros no tributarios” (STC 11/1984, de 2 de febrero, FJ 3), y </w:t>
      </w:r>
      <w:r>
        <w:lastRenderedPageBreak/>
        <w:t>que ha sido ejercido de forma continuada por la Institución Foral, aunque de forma concertada “previamente con el Estado” [SSTC 208/2012, de 14 de noviembre, FJ 4 b); y 171/2014, de 23 de octubre, FJ 6]. De este modo, los territorios históricos han venido estableciendo, regulando y gestionando su propio régimen tributario, “pero sin oponerse … a los tributos del Estado” (STC 207/2013, de 5 de diciembre, FJ 2), y sin que sus normas reguladoras hayan emanado del Parlamento Vasco sino de las Juntas Generales, en cuánto órganos de representación y participación popular. Por consiguiente, es preciso concluir que, como rasgo histórico de la foralidad, actualizada en el marco de Constitución y del Estatuto de Autonomía, los territorios de Álava, Gipuzkoa y Bizkaia han conservado, de forma exclusiva, la competencia para mantener, establecer, regular y gestionar, dentro de cada uno sus territorios, su propio régimen tributario, aunque atendiendo a la estructura general impositiva del Estado, tanto en su contenido ordinario [art. 41.2 a) EAPV], como en el excepcional y coyuntural [art. 41.2 c) EAPV], pues en cada uno de sus impuestos deber ser “identificable la imagen de los que integran el sistema tributario estatal” (STC 110/2014, de 26 de junio, FJ 3).</w:t>
      </w:r>
    </w:p>
    <w:p w:rsidR="00163957" w:rsidRDefault="00163957" w:rsidP="00163957">
      <w:pPr>
        <w:pStyle w:val="TextoNormal"/>
      </w:pPr>
    </w:p>
    <w:p w:rsidR="00163957" w:rsidRDefault="00163957" w:rsidP="00163957">
      <w:pPr>
        <w:pStyle w:val="TextoNormal"/>
      </w:pPr>
      <w:r>
        <w:t>b) Puesto que el Estado “se organiza territorialmente en municipios, en provincias y en las Comunidades Autónomas que se constituyan” (art. 137 CE), los territorios históricos de Álava, Gipuzkoa y Bizkaia, titulares de su propio régimen tributario (arts. 41.2 EAPV), se configuran, dentro de esa organización territorial del Estado, como provincias y, en virtud de ello, como entidades locales [arts. 141.1 CE y 3.1 b) de la Ley 7/1985, de 2 de abril, reguladora de las bases del régimen local (en adelante, LBRL)], correspondiéndoles “las potestades reglamentarias y de autoorganización” [art. 4.1 a) LBRL]. Eso sí, su condición no termina ahí, teniendo también la de “</w:t>
      </w:r>
      <w:r w:rsidRPr="00163957">
        <w:rPr>
          <w:i/>
        </w:rPr>
        <w:t>territorios forale</w:t>
      </w:r>
      <w:r>
        <w:t>s” (disposición adicional primera CE), lo que les dota de una singularidad que se concreta en un ámbito competencial propio, que se manifiesta tanto frente al Estado como ante la propia Comunidad Autónoma del País Vasco, y que dimana del régimen foral constitucional y estatutariamente garantizado.</w:t>
      </w:r>
    </w:p>
    <w:p w:rsidR="00163957" w:rsidRDefault="00163957" w:rsidP="00163957">
      <w:pPr>
        <w:pStyle w:val="TextoNormal"/>
      </w:pPr>
    </w:p>
    <w:p w:rsidR="00163957" w:rsidRDefault="00163957" w:rsidP="00163957">
      <w:pPr>
        <w:pStyle w:val="TextoNormal"/>
      </w:pPr>
      <w:r>
        <w:t>Dado que aquellos territorios históricos “conservan su régimen peculiar en el marco del Estatuto de Autonomía de la Comunidad Autónoma del País Vasco” (art. 39 LBRL), de manera que “se regirán por el régimen jurídico privativo de cada uno de ellos” (art. 37 EAPV), la regulación de ese régimen jurídico peculiar y privativo se hizo en la Norma Foral de 7 de marzo de 1983, de organización institucional del territorio histórico de Álava; en la Norma Foral de 26 de febrero de 1983, de organización institucional del territorio histórico de Guipúzcoa (hoy sustituida por la Norma Foral 6/2005, de 12 de julio, de organización institucional, Gobierno y Administración del territorio histórico de Guipúzcoa); y en la Norma Foral de 5 de enero de 1983, de organización institucional del territorio histórico de Vizcaya (actualmente reemplazada por la Norma Foral 3/1987, de 13 de febrero, sobre elección, organización, régimen y funcionamiento de las instituciones forales del territorio histórico de Vizcaya).</w:t>
      </w:r>
    </w:p>
    <w:p w:rsidR="00163957" w:rsidRDefault="00163957" w:rsidP="00163957">
      <w:pPr>
        <w:pStyle w:val="TextoNormal"/>
      </w:pPr>
    </w:p>
    <w:p w:rsidR="00163957" w:rsidRDefault="00163957" w:rsidP="00163957">
      <w:pPr>
        <w:pStyle w:val="TextoNormal"/>
      </w:pPr>
      <w:r>
        <w:t xml:space="preserve">Según ese régimen jurídico peculiar y privativo, “[d]e acuerdo con su tradición histórica, son Órganos Forales de los Territorios Históricos sus respectivas Juntas Generales y Diputaciones Forales” (art. 1.2 de la Ley del País Vasco 27/1983, de 25 de noviembre, de relaciones entre las instituciones comunes de la Comunidad Autónoma y los órganos forales de sus territorios históricos), que tienen competencia exclusiva sobre todas las materias “que tengan atribuidas por la Ley del Concierto Económico y por otras normas y disposiciones de carácter tributario” [art. 7 a) 6 de la Ley de relaciones entre las instituciones comunes], </w:t>
      </w:r>
      <w:r>
        <w:lastRenderedPageBreak/>
        <w:t>sobre las cuales les corresponde ejercer la potestad “normativa” y la “reglamentaria” [art. 8.1 a) y b) de la Ley de relaciones entre las instituciones comunes]. Eso sí, “[e]n todo caso, la facultad de dictar normas con rango de Ley corresponde en exclusiva al Parlamento” (art. 6.2 de la Ley de relaciones entre las instituciones comunes), pues el Parlamento Vasco es el único que “ejerce la potestad legislativa” (art. 25.1 EAPV).</w:t>
      </w:r>
    </w:p>
    <w:p w:rsidR="00163957" w:rsidRDefault="00163957" w:rsidP="00163957">
      <w:pPr>
        <w:pStyle w:val="TextoNormal"/>
      </w:pPr>
    </w:p>
    <w:p w:rsidR="00163957" w:rsidRDefault="00163957" w:rsidP="00163957">
      <w:pPr>
        <w:pStyle w:val="TextoNormal"/>
      </w:pPr>
      <w:r>
        <w:t>Las juntas generales, órgano de representación y participación popular, ejercen la potestad normativa a través de disposiciones generales (mediante las normas forales) que gozan de un rango superior a los decretos de la diputación foral (art. 5 de la Norma Foral de Álava del 7 de marzo de 1983; art. 6.1 de la Norma Foral de Guipúzcoa 6/2005; y art. 5 de la Norma Foral de Vizcaya 3/1987). Por su parte, la diputación foral, órgano colegiado de gobierno y administración del territorio histórico, ejerce la función ejecutiva y la potestad reglamentaria (a través de los decretos forales). De esta manera, las normas forales “que regulan el sistema tributario de cada territorio histórico son normas que no emanan del Parlamento vasco, sino de las Juntas Generales de cada uno de los territorios históricos”, tratándose de “disposiciones normativas que… carecen de rango de ley” y de “fuerza de ley” (STC 295/2006, de 11 de octubre, FJ 3), como no podía ser de otra manera, puesto que, como hemos comprobado con anterioridad, el ejercicio de la potestad legislativa corresponde, en exclusiva, al Parlamento Vasco (arts. 25.1 EAPV y 6.2 de la Ley de relaciones entre las instituciones comunes).</w:t>
      </w:r>
    </w:p>
    <w:p w:rsidR="00163957" w:rsidRDefault="00163957" w:rsidP="00163957">
      <w:pPr>
        <w:pStyle w:val="TextoNormal"/>
      </w:pPr>
    </w:p>
    <w:p w:rsidR="00163957" w:rsidRDefault="00163957" w:rsidP="00163957">
      <w:pPr>
        <w:pStyle w:val="TextoNormal"/>
      </w:pPr>
      <w:r>
        <w:t>Habida cuenta que la potestad legislativa la ejerce el Parlamento Vasco (art. 25.1 EAPV), las normas forales fiscales que emanan de las juntas generales de los territorios históricos son, por tanto, disposiciones normativas con naturaleza reglamentaria (como correcta y expresamente señala el párrafo cuarto del preámbulo de la Ley Orgánica 1/2010). Ahora bien, se trata de disposiciones que ni “tienen naturaleza de meros reglamentos de ejecución de la Ley estatal” (SSTC 255/2004, de 22 de diciembre, FJ 2; y 295/2006, de 11 de octubre, FJ 3), en la medida que gozan de una singularidad que dimana del régimen foral constitucional y estatutariamente garantizado, no solo frente a las Instituciones comunes del País Vasco sino también frente “a los poderes centrales del Estado” (STC 76/1988, de 26 de abril, FJ 6), ni tienen la de disposiciones autónomas, al no surgir desvinculadas de toda ley, dado que tienen como función constitucional la de configurar, de forma armonizada, un régimen tributario foral que sustituye y replica, en cada uno de esos territorios, la estructura del sistema tributario del Estado (STC 208/2012, de 14 de noviembre, FJ 5), tanto en su contenido ordinario [art. 41.2 a) EAPV] como en el extraordinario y coyuntural [art. 41.2 c) EAPV].</w:t>
      </w:r>
    </w:p>
    <w:p w:rsidR="00163957" w:rsidRDefault="00163957" w:rsidP="00163957">
      <w:pPr>
        <w:pStyle w:val="TextoNormal"/>
      </w:pPr>
    </w:p>
    <w:p w:rsidR="00163957" w:rsidRDefault="00163957" w:rsidP="00163957">
      <w:pPr>
        <w:pStyle w:val="TextoNormal"/>
      </w:pPr>
      <w:r>
        <w:t xml:space="preserve">Se trata, pues, de un tipo singular de normas reglamentarias, que operan sobre “un cierto contenido competencial que vendría siendo ejercido de forma continuada por la Institución Foral” (STC 208/2012, de 14 de noviembre, FJ 4), expresión máxima de la foralidad garantizada por la disposición adicional primera del texto constitucional, pero cuyo contenido y alcance es fruto de un poder tributario derivado, cuyo ejercicio, como sucede también con el que corresponde en materia tributaria a las Comunidades Autónomas y a las entidades locales, “no sólo queda condicionado por la Constitución, sino también por las normas que dicte el Estado en la materia” (STC 100/2012, de 8 de mayo, FJ 7), pues sólo en contraste con las leyes estatales reguladoras de los tributos se puede comprender el concreto alcance de las potestades atribuidas a los territorios históricos [SSTC 161/2012, de 20 de septiembre, FJ 3, y 33/2016, de 18 de febrero, FJ 4 A), aunque con relación a los tributos cedidos a las Comunidades Autónomas]. No hay que olvidar que ni los derechos históricos “pued[en] </w:t>
      </w:r>
      <w:r>
        <w:lastRenderedPageBreak/>
        <w:t>considerarse por sí mismos, títulos competenciales autónomos de los que quepa deducir competencias” (STC 208/2012, de 14 de noviembre, FJ 4), ni la potestad originaria del Estado en materia tributaria (art. 133.1 CE) “puede quedar enervada por disposición alguna de inferior rango” (STC 100/2012, de 8 de mayo, FJ 7).</w:t>
      </w:r>
    </w:p>
    <w:p w:rsidR="00163957" w:rsidRDefault="00163957" w:rsidP="00163957">
      <w:pPr>
        <w:pStyle w:val="TextoNormal"/>
      </w:pPr>
    </w:p>
    <w:p w:rsidR="00163957" w:rsidRDefault="00163957" w:rsidP="00163957">
      <w:pPr>
        <w:pStyle w:val="TextoNormal"/>
      </w:pPr>
      <w:r>
        <w:t>Por consiguiente, a los territorios forales no les es dado, al margen de las normas legales estatales de cobertura (leyes ordenadoras), “decidir unilateralmente sobre su contenido” sino, antes al contrario, el régimen tributario que establezcan “debe ser acordado previamente con el Estado” y “ser reflejo del estatal” (STC 208/2012, de 14 de noviembre, FJ 5), hasta el punto que, en la mayoría de los supuestos, “la identificación de la norma reglamentaria con la ley es tal que no permite la inaplicación de aquella sin, al mismo tiempo, dejar de aplicar esta” (ATC 54/2006, de 15 de febrero, FJ 2), de modo que “la infracción constitucional que pudiera imputarse a aquellas ha de entenderse incluida en la norma estatal” (STC 255/2004, de 22 de diciembre, FJ 2). No hay que descuidar que la complejidad de nuestro sistema de fuentes “conduce a la consecuencia, en el orden procesal constitucional, de que la determinación de la validez o constitucionalidad de una disposición o enunciado… puede requerir el previo examen, a estos solos efectos, de la propia constitucionalidad de la norma de ley de que trae causa la impugnada” [STC 61/1997, de 20 de marzo, FJ 2 a), con relación a los decretos legislativos]. Lo anterior, claro está, salvo que “resulte posible escindir la inaplicación del reglamento de la propia inaplicación de la ley”, porque aquel no hubiese armonizado correctamente, en los términos en que venía obligado, el alcance los preceptos legales ordenadores (ATC 54/2006, de 15 de febrero, FJ 2).</w:t>
      </w:r>
    </w:p>
    <w:p w:rsidR="00163957" w:rsidRDefault="00163957" w:rsidP="00163957">
      <w:pPr>
        <w:pStyle w:val="TextoNormal"/>
      </w:pPr>
    </w:p>
    <w:p w:rsidR="00163957" w:rsidRDefault="00163957" w:rsidP="00163957">
      <w:pPr>
        <w:pStyle w:val="TextoNormal"/>
      </w:pPr>
      <w:r>
        <w:t>c) El art. 31.3 CE dispone que solo pueden establecerse prestaciones patrimoniales “con arreglo a la ley” y el art. 133 CE atribuye la potestad de establecer tributos “mediante ley”, confiriendo al Estado un poder “originario” o primario que deriva directamente del texto constitucional, y a las Comunidades Autónomas y corporaciones locales un poder “derivado” o secundario cuyo ejercicio “no solo queda condicionado por la Constitución, sino también por las normas que dicte el Estado en la materia” (STC 100/2012, de 8 de mayo, FJ 3). Por su parte, la disposición adicional primera de la Constitución “ampara y respeta los derechos históricos de los territorios forales”, a quienes corresponde, en materia de tributos concertados, la potestad de dictar disposiciones normativas con carácter reglamentario [art. 4.1 a) LBRL], las juntas generales a través de las “normas forales” y las diputaciones forales mediante “decretos forales” [art. 8.1 a) y b) de la Ley de relaciones entre las instituciones comunes], eso sí, gozando las primeras de un rango superior al de los segundos (arts. 5 de la Norma Foral de Álava del 7 de marzo de 1983; 6.1 de la Norma Foral de Guipúzcoa 6/2005; y 5 de la Norma Foral de Vizcaya 3/1987).</w:t>
      </w:r>
    </w:p>
    <w:p w:rsidR="00163957" w:rsidRDefault="00163957" w:rsidP="00163957">
      <w:pPr>
        <w:pStyle w:val="TextoNormal"/>
      </w:pPr>
    </w:p>
    <w:p w:rsidR="00163957" w:rsidRDefault="00163957" w:rsidP="00163957">
      <w:pPr>
        <w:pStyle w:val="TextoNormal"/>
      </w:pPr>
      <w:r>
        <w:t xml:space="preserve">Conforme a lo que antecede, el sentido que hay que reconocer en la reserva de ley prevista en materia tributaria, que se dirige a preservar tanto la paridad básica de posición de todos los ciudadanos (art. 139.1 CE) como la unidad misma del ordenamiento (arts. 1.2 y 2 CE), no puede entenderse desligado de la garantía de la foralidad que la Constitución consagra, que garantiza un régimen tributario propio en los territorios forales. La forma de conciliar aquella exigencia constitucional de la “reserva de ley” para establecer tributos (arts. 31.3 y 133 CE) con la potestad reglamentaria de los territorios históricos para establecer y exigir su propios tributos (disposición adicional primera CE), se produce mediante la intervención del Estado que, a través de su potestad legislativa en la materia, configura un sistema tributario único y lo dota de contenido, para que, a continuación y bajo la cobertura de </w:t>
      </w:r>
      <w:r>
        <w:lastRenderedPageBreak/>
        <w:t>las leyes estatales reguladoras de cada tributo, las juntas generales hagan realidad su potestad tributaria a través de sus propias disposiciones normativas.</w:t>
      </w:r>
    </w:p>
    <w:p w:rsidR="00163957" w:rsidRDefault="00163957" w:rsidP="00163957">
      <w:pPr>
        <w:pStyle w:val="TextoNormal"/>
      </w:pPr>
    </w:p>
    <w:p w:rsidR="00163957" w:rsidRDefault="00163957" w:rsidP="00163957">
      <w:pPr>
        <w:pStyle w:val="TextoNormal"/>
      </w:pPr>
      <w:r>
        <w:t>En suma, aun cuando la Constitución autoriza a los territorios históricos a establecer y regular su propio régimen tributario, han de hacerlo tanto en el marco de la Constitución y del Estatuto de Autonomía (disposición adicional primera), como de acuerdo con las previsiones del concierto económico (art. 41.1 EAPV) y de las leyes del Estado en materia tributaria [art. 41.2 a) y c) EAPV], las cuales no son “meramente habilitadoras para el ejercicio de una potestad tributaria que originariamente solo corresponde al Estado”, sino también, como hemos señalado con anterioridad, son “leyes ordenadoras” de los tributos que integran aquel régimen tributario propio, “porque la Constitución encomienda aquí al legislador no solo el reconocer un ámbito de autonomía al ente territorial, sino también garantizar la reserva legal que ella misma establece (art. 31.3)” [SSTC 19/1987, de 17 de febrero, FJ 4; y 233/1999, de 16 de diciembre, FJ 10 c), respecto de los tributos locales]. Procura así la Constitución garantizar “que el ejercicio del poder tributario por los distintos niveles territoriales sea compatible con la existencia de “un sistema” tributario en los términos exigidos por el art. 31.1 CE” (SSTC 120/2012, de 4 de junio, FJ 4; y 85/2013, de 11 de abril, FJ 3), integrando las exigencias de la reserva de ley estatal y de la autonomía foral, que no está carente de límites, no solo por el mismo carácter derivado del poder tributario de los territorios históricos, sino también porque “como no podía ser de otro modo, la autonomía hace referencia a un poder necesariamente limitado” [SSTC 19/1987, de 17 de febrero, FJ 4; 221/1992, de 11 de diciembre, FJ 8; y 233/1999, de 16 de diciembre, FJ 10 b)].</w:t>
      </w:r>
    </w:p>
    <w:p w:rsidR="00163957" w:rsidRDefault="00163957" w:rsidP="00163957">
      <w:pPr>
        <w:pStyle w:val="TextoNormal"/>
      </w:pPr>
    </w:p>
    <w:p w:rsidR="00163957" w:rsidRDefault="00163957" w:rsidP="00163957">
      <w:pPr>
        <w:pStyle w:val="TextoNormal"/>
      </w:pPr>
      <w:r w:rsidRPr="00163957">
        <w:rPr>
          <w:rStyle w:val="NumeroAFNegritaCaracter"/>
        </w:rPr>
        <w:t>3</w:t>
      </w:r>
      <w:r>
        <w:t>. El art. 1 de la Ley Orgánica 1/2010, de 19 de febrero, introduce un nueva disposición adicional quinta LOTC, cuyos apartados 1 y 2 disponen:</w:t>
      </w:r>
    </w:p>
    <w:p w:rsidR="00163957" w:rsidRDefault="00163957" w:rsidP="00163957">
      <w:pPr>
        <w:pStyle w:val="TextoNormal"/>
      </w:pPr>
    </w:p>
    <w:p w:rsidR="00163957" w:rsidRDefault="00163957" w:rsidP="00163957">
      <w:pPr>
        <w:pStyle w:val="TextoNormal"/>
      </w:pPr>
      <w:r>
        <w:t>“1. Corresponderá al Tribunal Constitucional el conocimiento de los recursos interpuestos contra las Normas Forales fiscales de los Territorios de Álava, Guipúzcoa y Vizcaya, dictadas en el ejercicio de sus competencias exclusivas garantizadas por la disposición adicional primera de la Constitución y reconocidas en el artículo 41.2.a) del Estatuto de Autonomía para el País Vasco (Ley Orgánica 3/1979, de 18 de diciembre).</w:t>
      </w:r>
    </w:p>
    <w:p w:rsidR="00163957" w:rsidRDefault="00163957" w:rsidP="00163957">
      <w:pPr>
        <w:pStyle w:val="TextoNormal"/>
      </w:pPr>
    </w:p>
    <w:p w:rsidR="00163957" w:rsidRDefault="00163957" w:rsidP="00163957">
      <w:pPr>
        <w:pStyle w:val="TextoNormal"/>
      </w:pPr>
      <w:r>
        <w:t>El Tribunal Constitucional resolverá también las cuestiones que se susciten con carácter prejudicial por los órganos jurisdiccionales sobre la validez de las referidas disposiciones, cuando de ella dependa el fallo del litigio principal.</w:t>
      </w:r>
    </w:p>
    <w:p w:rsidR="00163957" w:rsidRDefault="00163957" w:rsidP="00163957">
      <w:pPr>
        <w:pStyle w:val="TextoNormal"/>
      </w:pPr>
    </w:p>
    <w:p w:rsidR="00163957" w:rsidRDefault="00163957" w:rsidP="00163957">
      <w:pPr>
        <w:pStyle w:val="TextoNormal"/>
      </w:pPr>
      <w:r>
        <w:t>El parámetro de validez de las Normas Forales enjuiciadas se ajustará a lo dispuesto en el artículo veintiocho de esta Ley.</w:t>
      </w:r>
    </w:p>
    <w:p w:rsidR="00163957" w:rsidRDefault="00163957" w:rsidP="00163957">
      <w:pPr>
        <w:pStyle w:val="TextoNormal"/>
      </w:pPr>
    </w:p>
    <w:p w:rsidR="00163957" w:rsidRDefault="00163957" w:rsidP="00163957">
      <w:pPr>
        <w:pStyle w:val="TextoNormal"/>
      </w:pPr>
      <w:r>
        <w:t>2. La interposición y sus efectos, la legitimación, tramitación y sentencia de los recursos y cuestiones referidos en el apartado anterior, se regirá por lo dispuesto en el Título II de esta Ley para los recursos y cuestiones de inconstitucionalidad respectivamente.</w:t>
      </w:r>
    </w:p>
    <w:p w:rsidR="00163957" w:rsidRDefault="00163957" w:rsidP="00163957">
      <w:pPr>
        <w:pStyle w:val="TextoNormal"/>
      </w:pPr>
    </w:p>
    <w:p w:rsidR="00163957" w:rsidRDefault="00163957" w:rsidP="00163957">
      <w:pPr>
        <w:pStyle w:val="TextoNormal"/>
      </w:pPr>
      <w:r>
        <w:t>Los trámites regulados en los artículos 34 y 37 se entenderán en su caso con las correspondientes Juntas Generales y Diputaciones Forales.</w:t>
      </w:r>
    </w:p>
    <w:p w:rsidR="00163957" w:rsidRDefault="00163957" w:rsidP="00163957">
      <w:pPr>
        <w:pStyle w:val="TextoNormal"/>
      </w:pPr>
    </w:p>
    <w:p w:rsidR="00163957" w:rsidRDefault="00163957" w:rsidP="00163957">
      <w:pPr>
        <w:pStyle w:val="TextoNormal"/>
      </w:pPr>
      <w:r>
        <w:lastRenderedPageBreak/>
        <w:t>En la tramitación de los recursos y cuestiones regulados en esta disposición adicional se aplicarán las reglas atributivas de competencia al Pleno y a las Salas de los artículos diez y once de esta Ley.”</w:t>
      </w:r>
    </w:p>
    <w:p w:rsidR="00163957" w:rsidRDefault="00163957" w:rsidP="00163957">
      <w:pPr>
        <w:pStyle w:val="TextoNormal"/>
      </w:pPr>
    </w:p>
    <w:p w:rsidR="00163957" w:rsidRDefault="00163957" w:rsidP="00163957">
      <w:pPr>
        <w:pStyle w:val="TextoNormal"/>
      </w:pPr>
      <w:r>
        <w:t>Por su parte, el art. 2 de esa misma Ley Orgánica 1/2010 modifica el art. 9.4 LOPJ, dándole la siguiente redacción:</w:t>
      </w:r>
    </w:p>
    <w:p w:rsidR="00163957" w:rsidRDefault="00163957" w:rsidP="00163957">
      <w:pPr>
        <w:pStyle w:val="TextoNormal"/>
      </w:pPr>
    </w:p>
    <w:p w:rsidR="00163957" w:rsidRDefault="00163957" w:rsidP="00163957">
      <w:pPr>
        <w:pStyle w:val="TextoNormal"/>
      </w:pPr>
      <w:r>
        <w:t>“Los del orden contencioso-administrativo conocerán de las pretensiones que se deduzcan en relación con la actuación de las Administraciones públicas sujeta al derecho administrativo, con las disposiciones generales de rango inferior a la ley y con los reales decretos legislativos en los términos previstos en el artículo 82.6 de la Constitución, de conformidad con lo que establezca la Ley de esa jurisdicción.</w:t>
      </w:r>
    </w:p>
    <w:p w:rsidR="00163957" w:rsidRDefault="00163957" w:rsidP="00163957">
      <w:pPr>
        <w:pStyle w:val="TextoNormal"/>
      </w:pPr>
    </w:p>
    <w:p w:rsidR="00163957" w:rsidRDefault="00163957" w:rsidP="00163957">
      <w:pPr>
        <w:pStyle w:val="TextoNormal"/>
      </w:pPr>
      <w:r>
        <w:t>También conocerán de los recursos contra la inactividad de la Administración y contra sus actuaciones materiales que constituyan vía de hecho. Quedan excluidos de su conocimiento los recursos directos o indirectos que se interpongan contra las Normas Forales fiscales de las Juntas Generales de los Territorios Históricos de Álava, Guipúzcoa y Vizcaya, que corresponderán, en exclusiva, al Tribunal Constitucional, en los términos establecidos por la disposición adicional quinta de su Ley Orgánica.”</w:t>
      </w:r>
    </w:p>
    <w:p w:rsidR="00163957" w:rsidRDefault="00163957" w:rsidP="00163957">
      <w:pPr>
        <w:pStyle w:val="TextoNormal"/>
      </w:pPr>
    </w:p>
    <w:p w:rsidR="00163957" w:rsidRDefault="00163957" w:rsidP="00163957">
      <w:pPr>
        <w:pStyle w:val="TextoNormal"/>
      </w:pPr>
      <w:r>
        <w:t>Finalmente, la disposición adicional única (que carece de rango orgánico) añade una nueva letra d) al art. 3 LJCA, con el siguiente contenido:</w:t>
      </w:r>
    </w:p>
    <w:p w:rsidR="00163957" w:rsidRDefault="00163957" w:rsidP="00163957">
      <w:pPr>
        <w:pStyle w:val="TextoNormal"/>
      </w:pPr>
    </w:p>
    <w:p w:rsidR="00163957" w:rsidRDefault="00163957" w:rsidP="00163957">
      <w:pPr>
        <w:pStyle w:val="TextoNormal"/>
      </w:pPr>
      <w:r>
        <w:t>“d) Los recursos directos o indirectos que se interpongan contra las Normas Forales fiscales de las Juntas Generales de los Territorios Históricos de Álava, Guipúzcoa y Vizcaya, que corresponderán, en exclusiva, al Tribunal Constitucional, en los términos establecidos por la disposición adicional quinta de su Ley Orgánica.”</w:t>
      </w:r>
    </w:p>
    <w:p w:rsidR="00163957" w:rsidRDefault="00163957" w:rsidP="00163957">
      <w:pPr>
        <w:pStyle w:val="TextoNormal"/>
      </w:pPr>
    </w:p>
    <w:p w:rsidR="00163957" w:rsidRDefault="00163957" w:rsidP="00163957">
      <w:pPr>
        <w:pStyle w:val="TextoNormal"/>
      </w:pPr>
      <w:r>
        <w:t>Para los recurrentes los apartados 1 y 2 del art. 1, así como el art. 2 y la disposición adicional única, de la Ley Orgánica 1/2010, violan los arts. 106.1, 153 c), 161.1 a), 162.1 a) y 163 CE, el art. 38.3 EAPV, y los arts. 27.2 y 35 LOTC, por conferir al Tribunal Constitucional el control de las disposiciones reglamentarias de las juntas generales de los territorios históricos, despojando a los tribunales del orden contencioso-administrativo de ese control, en contra del modelo de control de constitucionalidad existente, que establece una relación tasada de las disposiciones susceptibles de ser declaradas inconstitucionales (leyes y disposiciones o actos con fuerza de ley) a través del recurso y de la cuestión inconstitucionalidad. Por su parte, el Abogado del Estado considera que no se produce esa contradicción, pues al crearse unos nuevos procedimientos de control de constitucionalidad de algunos aspectos de unas normas reglamentarias singulares no se altera el régimen del recurso y de la cuestión de inconstitucionalidad, al seguir controlando los tribunales contencioso-administrativos el sometimiento de las normas forales fiscales a la ley y al Derecho, en cuanto se traten de infracciones distintas de las constitucionales, como son las de legalidad ordinaria interna o las relativas al Derecho de la Unión Europea.</w:t>
      </w:r>
    </w:p>
    <w:p w:rsidR="00163957" w:rsidRDefault="00163957" w:rsidP="00163957">
      <w:pPr>
        <w:pStyle w:val="TextoNormal"/>
      </w:pPr>
    </w:p>
    <w:p w:rsidR="00163957" w:rsidRDefault="00163957" w:rsidP="00163957">
      <w:pPr>
        <w:pStyle w:val="TextoNormal"/>
      </w:pPr>
      <w:r>
        <w:t xml:space="preserve">a) Antes de entrar a dar respuesta a la violación denunciada por los recurrentes, debe llamarse la atención sobre el hecho de que conviertan en parámetro de la constitucionalidad de la Ley Orgánica 1/2010, a la propia Ley Orgánica 2/1979, de 3 de febrero, del Tribunal Constitucional, que es modificada por aquella, para deducir, de su eventual contradicción, </w:t>
      </w:r>
      <w:r>
        <w:lastRenderedPageBreak/>
        <w:t>la inconstitucionalidad de la impugnada. A este respecto, lo primero que debe señalarse es que no existe ningún óbice desde el punto de vista constitucional que impida aplicar el criterio de sucesión temporal “a las relaciones entre leyes del mismo rango y naturaleza”, tal y como recuerda la regla general prevista en el art. 2 del Código civil, de modo que, la modificación o derogación que se opere “no solo ‘tendrá el alcance que expresamente se disponga’ sino que ‘se extenderá siempre a todo aquello que en la ley nueva, sobre la misma materia, sea incompatible con la anterior’ (apartado 2 del art. 2 Código civil)” (STC 136/2011, de 13 de septiembre, FJ 4). Así las cosas, las relaciones entre las leyes a las que llaman los arts. 161.1 a), 162.2 y 165 CE, “se basan en la estricta aplicación del criterio de sucesión temporal de leyes ‘</w:t>
      </w:r>
      <w:r w:rsidRPr="00163957">
        <w:rPr>
          <w:i/>
        </w:rPr>
        <w:t>lex posterior derogat priori</w:t>
      </w:r>
      <w:r>
        <w:t>’, de modo tal, que cualquier ley posterior del mismo rango puede abordar su regulación” (STC 136/2001, de 13 de septiembre, FJ 4, respecto de la relación entre las leyes ordinarias). Conforme a esto, la eventual contradicción entre la Ley Orgánica 1/2010 y la Ley Orgánica 2/1979 solo provoca un problema de selección de la norma aplicable soluble conforme al criterio de sucesión temporal citado, no dando lugar a un vicio de constitucionalidad, salvo que con la modificación operada se violase, además, un mandato constitucional.</w:t>
      </w:r>
    </w:p>
    <w:p w:rsidR="00163957" w:rsidRDefault="00163957" w:rsidP="00163957">
      <w:pPr>
        <w:pStyle w:val="TextoNormal"/>
      </w:pPr>
    </w:p>
    <w:p w:rsidR="00163957" w:rsidRDefault="00163957" w:rsidP="00163957">
      <w:pPr>
        <w:pStyle w:val="TextoNormal"/>
      </w:pPr>
      <w:r>
        <w:t xml:space="preserve">Tampoco es posible aceptar, como parece deducirse de las alegaciones de los recurrentes, que una vez que la Ley Orgánica 2/1979, de 3 de febrero, procedió en su momento inicial a desarrollar los mandatos del título IX del texto constitucional, </w:t>
      </w:r>
      <w:r w:rsidRPr="00163957">
        <w:rPr>
          <w:i/>
        </w:rPr>
        <w:t>ex</w:t>
      </w:r>
      <w:r>
        <w:t xml:space="preserve"> arts. 161.1 d), 162.2 y 165, dicha regulación deba permanecer inmutable en el tiempo so pena de incurrir, el propio legislador orgánico, en una contradicción constitucional. Si la ley orgánica a la que llaman los citados preceptos constitucionales concretó el alcance tanto de la jurisdicción constitucional como de la forma de acceso y ejercicio de los diferentes procesos constitucionales, dentro de los parámetros marcados por el propio constituyente, “ninguna razón existe, desde el punto de vista constitucional, que impida que aquella ley orgánica pueda adecuar[la] … a las necesidades de cada momento” [SSTC 13/2007, de 18 de enero, FJ 6; y 19/2012, de 15 de febrero, FJ 11 a); aunque en relación con la reserva de ley orgánica del art. 157.3 CE].</w:t>
      </w:r>
    </w:p>
    <w:p w:rsidR="00163957" w:rsidRDefault="00163957" w:rsidP="00163957">
      <w:pPr>
        <w:pStyle w:val="TextoNormal"/>
      </w:pPr>
    </w:p>
    <w:p w:rsidR="00163957" w:rsidRDefault="00163957" w:rsidP="00163957">
      <w:pPr>
        <w:pStyle w:val="TextoNormal"/>
      </w:pPr>
      <w:r>
        <w:t>En efecto, “el legislador orgánico del Tribunal Constitucional goza de una libertad de configuración que no solo se deriva del principio democrático, sino que también está protegida a través de las diversas reservas de ley orgánica previstas en el texto constitucional respecto de esta institución [arts. 161.1 d), 162.2 y 165 CE]” (STC 49/2008, de 9 de abril, FJ 3). Por esta razón, “sea cual sea el lugar que la Ley orgánica de este Tribunal ocupa en el llamado bloque de la constitucionalidad, su contenido es disponible para el legislador” y, en consecuencia, “dentro del respeto a las normas constitucionales y a la independencia y función del Tribunal, puede introducir en ella los cambios o modificaciones que entienda oportunos” (SSTC 66/1985, de 23 de mayo, FJ 4; y 49/2008, de 9 de abril, FJ 3). Admitir lo contrario sería tanto como “constreñir indebidamente la legítima opción del legislador de modificar, en todo o en parte, la regulación jurídica de una determinada materia o de un concreto sector del Ordenamiento”, o, lo que es lo mismo, impedirle “desplegar su libertad de conformación del ordenamiento jurídico”, además de consagrar una petrificación o congelación del modelo de jurisdicción constitucional que no se compadece ni con el margen de configuración del legislador democrático ni “con el carácter dinámico del Ordenamiento jurídico” [STC 19/2012, de 15 de febrero, FJ 11 a)].</w:t>
      </w:r>
    </w:p>
    <w:p w:rsidR="00163957" w:rsidRDefault="00163957" w:rsidP="00163957">
      <w:pPr>
        <w:pStyle w:val="TextoNormal"/>
      </w:pPr>
    </w:p>
    <w:p w:rsidR="00163957" w:rsidRDefault="00163957" w:rsidP="00163957">
      <w:pPr>
        <w:pStyle w:val="TextoNormal"/>
      </w:pPr>
      <w:r>
        <w:t xml:space="preserve">En suma, es el legislador orgánico el único constitucionalmente habilitado para delimitar nuestro sistema de jurisdicción constitucional y la forma de acceso a los diferentes procesos </w:t>
      </w:r>
      <w:r>
        <w:lastRenderedPageBreak/>
        <w:t>constituidos, como así se ha puesto de manifiesto en las sucesivas reformas de la Ley Orgánica del Tribunal Constitucional acomodando su contenido a las necesidades y circunstancias de cada momento (Leyes Orgánicas 8/1984, de 26 de diciembre; 4/1985, de 7 de junio; 6/1988, de 9 de junio; 7/1999, de 21 de abril; 1/2000, de 7 de enero; 6/2007, de 24 de mayo; 1/2010, de 19 de febrero; 8/2010, de 4 de noviembre; 12/2015, de 22 de septiembre, y 15/2015, de 16 de octubre).</w:t>
      </w:r>
    </w:p>
    <w:p w:rsidR="00163957" w:rsidRDefault="00163957" w:rsidP="00163957">
      <w:pPr>
        <w:pStyle w:val="TextoNormal"/>
      </w:pPr>
    </w:p>
    <w:p w:rsidR="00163957" w:rsidRDefault="00163957" w:rsidP="00163957">
      <w:pPr>
        <w:pStyle w:val="TextoNormal"/>
      </w:pPr>
      <w:r>
        <w:t>b) Los recurrentes también toman como parámetro de control de la Ley Orgánica 1/2010, lo dispuesto en la Ley Orgánica 3/1979, de 18 de diciembre, de Estatuto de Autonomía para el País Vasco, concretamente, en un precepto dirigido a determinar la forma del control de los poderes del País Vasco, conforme al cual, mientras que “[l]as Leyes del Parlamento Vasco solamente se someterán al control de constitucionalidad por el Tribunal Constitucional” (art. 38.1), “[l]os actos y acuerdos y las normas reglamentarias emanadas de los órganos ejecutivos y administrativos del País Vasco serán recurribles ante la Jurisdicción Contencioso-Administrativa” (art. 38.3).</w:t>
      </w:r>
    </w:p>
    <w:p w:rsidR="00163957" w:rsidRDefault="00163957" w:rsidP="00163957">
      <w:pPr>
        <w:pStyle w:val="TextoNormal"/>
      </w:pPr>
    </w:p>
    <w:p w:rsidR="00163957" w:rsidRDefault="00163957" w:rsidP="00163957">
      <w:pPr>
        <w:pStyle w:val="TextoNormal"/>
      </w:pPr>
      <w:r>
        <w:t>En este sentido es necesario subrayar que, del hecho de que la potestad normativa de las juntas generales de los territorios de Álava, Gipuzkoa y Bizkaia, en materia tributaria, sea una de las manifestaciones de la foralidad que la Constitución “ampara y respeta” en su disposición adicional primera, no se colige como consecuencia necesaria que derive un concreto modo de protección jurídica de las normas forales fiscales, por lo que en ningún momento puede afirmarse, como hacen los recurrentes, que la Ley Orgánica 1/2010 haya actualizado, en contra del Estatuto de Autonomía, un pretendido rasgo histórico de la foralidad. No puede confundirse el alcance de la garantía de la foralidad que la Constitución “ampara y respeta”, que se actualizará “en el marco de la Constitución y los Estatutos de Autonomía” y se dirige a “la preservación de una institución en términos recognoscibles para la imagen que de la misma tiene la conciencia social en cada tiempo y lugar” y cuyo contenido viene determinado “en buena parte por las normas que en cada momento la regulan y la aplicación que de las mismas se hace” (STC 103/2013, de 23 de abril, FJ 11), con el eventual régimen procesal dirigido a su control y defensa, que no forma parte de aquella garantía institucional, por no guardar relación alguna con la imagen comúnmente aceptada de aquella institución. No hay que olvidar que “la garantía constitucional y estatutaria de un ámbito competencial propio de los territorios forales” no implica que éstos hayan de ostentar una específica legitimación para recurrir ante el Tribunal Constitucional (ATC 1021/1987, de 22 de septiembre, FJ 1, y también AATC 1142/1987, de 14 de octubre, FJ 2, y 144/2012, de 16 de julio, FJ 3), ni, por tanto, que sus normas deban tener un determinado grado de control constitucional.</w:t>
      </w:r>
    </w:p>
    <w:p w:rsidR="00163957" w:rsidRDefault="00163957" w:rsidP="00163957">
      <w:pPr>
        <w:pStyle w:val="TextoNormal"/>
      </w:pPr>
    </w:p>
    <w:p w:rsidR="00163957" w:rsidRDefault="00163957" w:rsidP="00163957">
      <w:pPr>
        <w:pStyle w:val="TextoNormal"/>
      </w:pPr>
      <w:r>
        <w:t>Conforme a lo que antecede, el régimen procesal dirigido al control y defensa de las disposiciones normativas dictadas por los territorios forales al amparo de la garantía de la foralidad que la Constitución “ampara y respeta” (disposición adicional primera), no forma parte de esa garantía institucional por no guardar relación alguna con la imagen comúnmente aceptada de aquella institución. Aun siendo cierto que el art. 38 EAPV recoge una previsión procesal, este precepto no supone ni, por tanto, consagra, una atribución competencial distinta de la que deriva del reparto competencial que en esta materia ha efectuado el texto constitucional, limitándose el legislador estatutario a trasladar las reglas procesales genera</w:t>
      </w:r>
      <w:r>
        <w:lastRenderedPageBreak/>
        <w:t>les existentes, en un momento dado, para el control de las disposiciones dictadas en el ejercicio de la potestad legislativa y reglamentaria, por los órganos de la Comunidad Autónoma del País Vasco.</w:t>
      </w:r>
    </w:p>
    <w:p w:rsidR="00163957" w:rsidRDefault="00163957" w:rsidP="00163957">
      <w:pPr>
        <w:pStyle w:val="TextoNormal"/>
      </w:pPr>
    </w:p>
    <w:p w:rsidR="00163957" w:rsidRDefault="00163957" w:rsidP="00163957">
      <w:pPr>
        <w:pStyle w:val="TextoNormal"/>
      </w:pPr>
      <w:r>
        <w:t xml:space="preserve">Es, pues, al legislador orgánico, </w:t>
      </w:r>
      <w:r w:rsidRPr="00163957">
        <w:rPr>
          <w:i/>
        </w:rPr>
        <w:t>ex</w:t>
      </w:r>
      <w:r>
        <w:t xml:space="preserve"> arts. 161.1 d), 162.2 y 165 (en conexión con el art. 81.1) CE, a quien corresponde determinar, en cada momento, a partir de las previsiones del texto constitucional, el alcance de las competencias y el contenido de los procedimientos que corresponden a este Tribunal Constitucional, eso sí, dentro de las reglas y con los límites que la Constitución le impone, “ya que únicamente la Ley Orgánica del Tribunal Constitucional y no cualquier otra ley puede desarrollar la institución del Tribunal Constitucional en todos los ámbitos en que quepa tal desarrollo, bien por requerirlo la Constitución, bien porque no esté constitucionalmente impedido” (STC 49/2008, de 9 de abril, FJ 16). Y puesto que la reserva de ley orgánica prevista en esos preceptos constitucionales no puede entenderse, en puridad, como un título competencial habilitante a favor del Estado (aunque solo es el Estado quien puede dictar esta forma de leyes), la fijación de su alcance “debe cohonestarse con el contenido de los preceptos del llamado bloque de la constitucionalidad que distribuyen las competencias entre el Estado y las Comunidades Autónomas” [STC 215/2014, de 18 de diciembre, FJ 3 a)]. Resulta, entonces, que el Estado es el competente para regular la materia relativa a la legislación procesal </w:t>
      </w:r>
      <w:r w:rsidRPr="00163957">
        <w:rPr>
          <w:i/>
        </w:rPr>
        <w:t>ex</w:t>
      </w:r>
      <w:r>
        <w:t xml:space="preserve"> art. 149.1.6 CE, “sin perjuicio de las necesarias especialidades que en este orden se deriven de las particularidades del derecho sustantivo de las Comunidades Autónomas”. Y no hay que olvidar que cuando la Constitución atribuye al Estado una competencia exclusiva, habilitando su intervención unilateral en este ámbito competencial, lo hace con el fin de alcanzar un mínimo grado de homogeneidad sobre la materia “orillando así la dificultad que habría supuesto que dicho sistema quedase exclusivamente al albur de lo que se decidiese en el procedimiento de elaboración de cada uno de los Estatutos de Autonomía” (SSTC 68/1996, de 4 de abril, FJ 9, y 13/2007, de 18 de enero, FJ 7; aunque con relación a la materia financiera).</w:t>
      </w:r>
    </w:p>
    <w:p w:rsidR="00163957" w:rsidRDefault="00163957" w:rsidP="00163957">
      <w:pPr>
        <w:pStyle w:val="TextoNormal"/>
      </w:pPr>
    </w:p>
    <w:p w:rsidR="00163957" w:rsidRDefault="00163957" w:rsidP="00163957">
      <w:pPr>
        <w:pStyle w:val="TextoNormal"/>
      </w:pPr>
      <w:r>
        <w:t>c) Desde un punto de vista general, el control de la actividad de los órganos de las Comunidades Autónomas se ejercerá “[p]or el Tribunal Constitucional”, en lo relativo “a la constitucionalidad de sus disposiciones normativas con fuerza de ley” [art. 153 a) CE]. Por esta razón, “[l]as Leyes del Parlamento Vasco solamente se someterán al control de constitucionalidad por el Tribunal Constitucional” (art. 38.1 EAPV), en principio, tanto a través del “recurso de inconstitucionalidad contra leyes y disposiciones normativas con fuerza de ley” [arts. 161.1 a) CE y 31 LOTC], como de la cuestión de inconstitucionalidad frente a normas con rango de ley de cuya validez depende el fallo del proceso judicial (arts. 163 CE y 35.1 LOTC). Por su parte, puesto que el control de la “potestad reglamentaria” corresponde a los Tribunales ordinarios (art. 106.1 CE), “según las normas de competencia y procedimiento” que establezcan las leyes (art. 117.3 CE), el control de las “normas reglamentarias” de las Comunidades Autónomas se efectuará “[p]or la jurisdicción contencioso-administrativa” [art. 153 d) CE]. Así, “las normas reglamentarias emanadas de los órganos ejecutivos y administrativos del País Vasco serán recurribles ante la Jurisdicción Contencioso-Administrativa” (art. 38.3 EAPV).</w:t>
      </w:r>
    </w:p>
    <w:p w:rsidR="00163957" w:rsidRDefault="00163957" w:rsidP="00163957">
      <w:pPr>
        <w:pStyle w:val="TextoNormal"/>
      </w:pPr>
    </w:p>
    <w:p w:rsidR="00163957" w:rsidRDefault="00163957" w:rsidP="00163957">
      <w:pPr>
        <w:pStyle w:val="TextoNormal"/>
      </w:pPr>
      <w:r>
        <w:t xml:space="preserve">Junto al anterior esquema, el art. 1 de la Ley Orgánica 1/2010, de 19 de febrero, ha introducido una nueva disposición adicional quinta en la LOTC, de conformidad con la cual corresponderá al Tribunal Constitucional el conocimiento tanto “de los recursos interpuestos contra las Normas Forales fiscales de los Territorios de Álava, Guipúzcoa y Vizcaya”, </w:t>
      </w:r>
      <w:r>
        <w:lastRenderedPageBreak/>
        <w:t>como de “las cuestiones que se susciten con carácter prejudicial por los órganos jurisdiccionales sobre la validez de las referidas disposiciones” (apartado 1). A tal fin, “[l]a interposición y sus efectos, la legitimación, tramitación y sentencia de los recursos y cuestiones referidos en el apartado anterior, se regirá por lo dispuesto en el Título II de esta Ley para los recursos y cuestiones de inconstitucionalidad respectivamente” (apartado 2). Con esta reforma, aunque siguen siendo los Tribunales ordinarios los que “controlan la potestad reglamentaria y la legalidad de la actuación administrativa, así como el sometimiento de esta a los fines que la justifican” [arts. 106.1 CE y 8 LOPJ, en conexión con el art. art. 38.3 EAPV], quedan excluidos del conocimiento de los del orden contencioso-administrativo, “los recursos directos o indirectos que se interpongan contra las Normas Forales fiscales de las Juntas Generales de los Territorios Históricos de Álava, Guipúzcoa y Vizcaya, que corresponderán, en exclusiva, al Tribunal Constitucional” [arts. 9.4 LOPJ y 3 d) LJCA, ambos en la redacción que les ha dado el art. 2 y la disposición adicional única, respectivamente, de la Ley Orgánica 1/2010].</w:t>
      </w:r>
    </w:p>
    <w:p w:rsidR="00163957" w:rsidRDefault="00163957" w:rsidP="00163957">
      <w:pPr>
        <w:pStyle w:val="TextoNormal"/>
      </w:pPr>
    </w:p>
    <w:p w:rsidR="00163957" w:rsidRDefault="00163957" w:rsidP="00163957">
      <w:pPr>
        <w:pStyle w:val="TextoNormal"/>
      </w:pPr>
      <w:r>
        <w:t>Tanto en el caso de los recursos interpuestos contra las normas forales fiscales como en el supuesto de la cuestión prejudicial sobre las mismas, “[e]l parámetro de validez de las Normas Forales enjuiciadas se ajustará a lo dispuesto en el artículo veintiocho de esta Ley” (apartado 1 de la disposición adicional quinta LOTC, en la redacción dada por la Ley Orgánica 1/2010), conforme al cual, para determinar la conformidad o disconformidad con la Constitución de esas normas forales fiscales se tomarán en consideración tanto “los preceptos constitucionales” como “las Leyes que, dentro del marco constitucional, se hubieran dictado para delimitar las competencias del Estado y las diferentes Comunidades Autónomas o para regular o armonizar el ejercicio de las competencias de estas”.</w:t>
      </w:r>
    </w:p>
    <w:p w:rsidR="00163957" w:rsidRDefault="00163957" w:rsidP="00163957">
      <w:pPr>
        <w:pStyle w:val="TextoNormal"/>
      </w:pPr>
    </w:p>
    <w:p w:rsidR="00163957" w:rsidRDefault="00163957" w:rsidP="00163957">
      <w:pPr>
        <w:pStyle w:val="TextoNormal"/>
      </w:pPr>
      <w:r>
        <w:t>De acuerdo con el anterior marco normativo podemos afirmar ya en este momento —como señala el Abogado del Estado—, que el objeto de la competencia que se atribuye a este Tribunal Constitucional para controlar las normas forales ni es exclusivo de la jurisdicción constitucional ni es excluyente de la intervención de los Tribunales ordinarios, concretamente, los de la jurisdicción contencioso-administrativa. En efecto, de un lado, la nueva disposición adicional quinta LOTC acota el objeto del control que corresponde efectuar a este Tribunal Constitucional con relación a las normas forales emanadas de las juntas generales, no a todas, sino exclusivamente a una clase concreta de ellas, a saber, las que tengan carácter fiscal, y, dentro de estas, a aquellas que hayan sido dictadas en el ejercicio de las competencias reconocidas por el art. 41.2 a) EAPV, a saber, las que se dirijan a “mantener, establecer y regular, dentro de su territorio, el régimen tributario, atendiendo a la estructura general impositiva del Estado”. Las restantes normas forales fiscales, esto es, las que no se dirijan a replicar los tributos integrantes del sistema impositivo común, quedarían fuera del ámbito de las competencias de este Tribunal, por no traspasar el umbral de la legalidad ordinaria, correspondiendo su exclusivo control, directo e indirecto, a los tribunales ordinarios a través del sistema de recursos previsto en las correspondientes leyes procesales.</w:t>
      </w:r>
    </w:p>
    <w:p w:rsidR="00163957" w:rsidRDefault="00163957" w:rsidP="00163957">
      <w:pPr>
        <w:pStyle w:val="TextoNormal"/>
      </w:pPr>
    </w:p>
    <w:p w:rsidR="00163957" w:rsidRDefault="00163957" w:rsidP="00163957">
      <w:pPr>
        <w:pStyle w:val="TextoNormal"/>
      </w:pPr>
      <w:r>
        <w:t xml:space="preserve">De otro lado, puesto que el art. 28 LOTC acoge lo que se ha denominado como el “bloque de la constitucionalidad” formado por la propia Constitución y las leyes del Estado (por todas, STC 157/1988, de 15 de septiembre, FJ 2) delimitadoras de competencias estatales y autonómicas o armonizadoras del ejercicio de las autonómicas [como, por ejemplo, las normas estatutarias (STC 38/1983, de 16 de mayo, FJ 3) o, en materia financiera, la ley orgánica a que hace referencia el art. 157.3 CE (STC 181/1988, de 13 de octubre, FJ 4)], la remisión </w:t>
      </w:r>
      <w:r>
        <w:lastRenderedPageBreak/>
        <w:t>que hace aquella disposición adicional quinta al art. 28 LOTC, para fijar el parámetro de validez de las normas forales fiscales, debe entenderse en el sentido de que únicamente serán objeto del control atribuido a este Tribunal Constitucional, aquellas normas forales fiscales de las previstas en el art. 41.2 a) EAPV, que desconozcan o contradigan alguna disposición integrante del bloque de la constitucionalidad a que hace referencia el art. 28 LOTC, o, lo que es lo mismo, las que vulneren la Constitución o las “leyes” que se hayan dictado “para delimitar las competencias” del Estado y de los territorios históricos.</w:t>
      </w:r>
    </w:p>
    <w:p w:rsidR="00163957" w:rsidRDefault="00163957" w:rsidP="00163957">
      <w:pPr>
        <w:pStyle w:val="TextoNormal"/>
      </w:pPr>
    </w:p>
    <w:p w:rsidR="00163957" w:rsidRDefault="00163957" w:rsidP="00163957">
      <w:pPr>
        <w:pStyle w:val="TextoNormal"/>
      </w:pPr>
      <w:r>
        <w:t>Lo anterior supone que son parámetro inmediato o directo de la validez de las normas forales fiscales, además de la Constitución, tanto el Estatuto de Autonomía (en la actualidad, la Ley Orgánica 3/1979, de 18 de diciembre, de Estatuto de Autonomía para el País Vasco), como el concierto (en la actualidad, la Ley 12/2002, de 23 de mayo, por la que se aprueba el concierto económico con la Comunidad Autónoma del País Vasco), al ser estas últimas normas ordenadoras de las relaciones tributarias entre el Estado y los territorios históricos de Álava, Bizkaia y Gipuzkoa. Pero también son parámetro mediato o indirecto del enjuiciamiento de aquella validez, por expresa remisión de la Ley del concierto, tanto las normas estatales reguladoras de los diferentes tributos que configuran “la estructura general impositiva del Estado” (art. 2.1.2 de la Ley del concierto económico), como “la Ley General Tributaria” [art. 3 a) de la Ley del concierto económico], pues únicamente en contraste con las mismas puede comprenderse el concreto alcance y comprobarse el correcto ejercicio de las competencias normativas que les han sido reconocidas [SSTC 161/2012, de 20 de septiembre, FJ 2 c); 197/2012, de 6 de noviembre, FJ 3, y 33/2016, de 18 de febrero, FJ 4 A), en relación con los tributos cedidos a las Comunidades Autónomas].</w:t>
      </w:r>
    </w:p>
    <w:p w:rsidR="00163957" w:rsidRDefault="00163957" w:rsidP="00163957">
      <w:pPr>
        <w:pStyle w:val="TextoNormal"/>
      </w:pPr>
    </w:p>
    <w:p w:rsidR="00163957" w:rsidRDefault="00163957" w:rsidP="00163957">
      <w:pPr>
        <w:pStyle w:val="TextoNormal"/>
      </w:pPr>
      <w:r>
        <w:t>Por el contrario, aunque la Ley del concierto se remite también a lo dispuesto en los “Tratados o Convenios internacionales” y en las “normas de armonización fiscal de la Unión Europea” (art. 2.1.5 de la Ley del concierto económico ), puesto que ni unos ni otras son leyes del Estado delimitadoras de las competencias de este y los territorios históricos, de aquellas a las que hace referencia el art. 28 LOTC, es a los órganos judiciales ordinarios a quienes corresponde el control, entonces, tanto de la eventual contradicción entre una norma foral fiscal y una disposición de un tratado o convenio internacional firmado y ratificado por España (SSTC 270/2015, de 17 de diciembre, FJ 5; y 29/2016, de 18 de febrero, FJ 5), como de la adecuación de las normas forales fiscales a las normas de armonización fiscal de la Unión Europea [SSTC 64/2013, de 14 de marzo, FJ 4, y 44/2015, de 5 de marzo, FJ 5 b)].</w:t>
      </w:r>
    </w:p>
    <w:p w:rsidR="00163957" w:rsidRDefault="00163957" w:rsidP="00163957">
      <w:pPr>
        <w:pStyle w:val="TextoNormal"/>
      </w:pPr>
    </w:p>
    <w:p w:rsidR="00163957" w:rsidRDefault="00163957" w:rsidP="00163957">
      <w:pPr>
        <w:pStyle w:val="TextoNormal"/>
      </w:pPr>
      <w:r>
        <w:t>Tampoco sería residenciable ante este Tribunal Constitucional —sino ante los órganos de la jurisdicción ordinaria— la eventual contradicción entre las normas forales fiscales y las leyes del Parlamento Vasco que se hayan dictado “para la coordinación, armonización fiscal y colaboración con el Estado” a las que también hace referencia el art. 41.2 a) EAPV, pues aun cuando sean delimitadoras de las competencias tributarias entre los diferentes territorios históricos o entre estos y la Comunidad Autónoma del País Vasco (esto sucede, por ejemplo, con la Ley del Parlamento Vasco 3/1989, de 30 de mayo, de armonización, coordinación y colaboración fiscal), no serían, de conformidad con el art. 28 LOTC, leyes del Estado distributivas de competencias entre este y los territorios históricos.</w:t>
      </w:r>
    </w:p>
    <w:p w:rsidR="00163957" w:rsidRDefault="00163957" w:rsidP="00163957">
      <w:pPr>
        <w:pStyle w:val="TextoNormal"/>
      </w:pPr>
    </w:p>
    <w:p w:rsidR="00163957" w:rsidRDefault="00163957" w:rsidP="00163957">
      <w:pPr>
        <w:pStyle w:val="TextoNormal"/>
      </w:pPr>
      <w:r>
        <w:lastRenderedPageBreak/>
        <w:t>Por último, es necesario precisar que los eventuales vicios formales o procedimentales en los que hubieran podido incurrir las normas forales fiscales, como resulta evidente, tampoco pueden erigirse en el objeto del control de constitucionalidad previsto en la nueva disposición adicional quinta LOTC.</w:t>
      </w:r>
    </w:p>
    <w:p w:rsidR="00163957" w:rsidRDefault="00163957" w:rsidP="00163957">
      <w:pPr>
        <w:pStyle w:val="TextoNormal"/>
      </w:pPr>
    </w:p>
    <w:p w:rsidR="00163957" w:rsidRDefault="00163957" w:rsidP="00163957">
      <w:pPr>
        <w:pStyle w:val="TextoNormal"/>
      </w:pPr>
      <w:r>
        <w:t>En suma, cuando los arts. 9.4 LOPJ y 3 d) LJCA (en la redacción dada por la Ley Orgánica 1/2010) excluyen del conocimiento de los Tribunales del orden contencioso-administrativo los recursos directos o indirectos que se interpongan contra las normas forales fiscales, que corresponderá, en exclusiva, a este Tribunal Constitucional, lo están haciendo “en los términos establecidos por la disposición adicional quinta de su Ley Orgánica”, disposición conforme a la cual correspondería únicamente a este Tribunal Constitucional el control de “constitucionalidad” de las normas forales fiscales dictadas al amparo de lo previsto en el art. 41.2 a) EAPV (las que se dirijan a mantener, establecer y regular, dentro de cada territorio histórico, su régimen tributario) y sólo en la medida que puedan contradecir alguna disposición integrante del bloque de la constitucionalidad a que hace referencia el art. 28 LOTC (los preceptos constitucionales y estatutarios, los de la ley del concierto, así como los de la ley general tributaria y de las leyes reguladoras de los diferentes tributos del Estado), pero no cuando la contradicción se produzca con normas ajenas a ese bloque (como sucede con los tratados y convenios internacionales, con las normas de armonización fiscal de la Unión Europea o con las leyes del Parlamento Vasco).</w:t>
      </w:r>
    </w:p>
    <w:p w:rsidR="00163957" w:rsidRDefault="00163957" w:rsidP="00163957">
      <w:pPr>
        <w:pStyle w:val="TextoNormal"/>
      </w:pPr>
    </w:p>
    <w:p w:rsidR="00163957" w:rsidRDefault="00163957" w:rsidP="00163957">
      <w:pPr>
        <w:pStyle w:val="TextoNormal"/>
      </w:pPr>
      <w:r>
        <w:t>d) Según ha quedado visto, el primer reproche de inconstitucionalidad que se dirige contra los preceptos impugnados de la Ley Orgánica 1/2010, no es otro que el de modificar los procesos constitucionales ya existentes —el recurso de inconstitucionalidad y la cuestión de inconstitucionalidad— en aspectos que se dicen indisponibles para el legislador orgánico, por venir fijados en la Constitución misma. En particular, sostienen las instituciones recurrentes que al posibilitarse la impugnación de normas forales fiscales —de rango infralegal— se ha distorsionado tanto el objeto del recurso de inconstitucionalidad (“leyes y disposiciones normativas con fuerza de ley”) como el de la cuestión de inconstitucionalidad (“normas con rango de ley”), fijados respectivamente por los arts. 161.1 a) y 163 CE.</w:t>
      </w:r>
    </w:p>
    <w:p w:rsidR="00163957" w:rsidRDefault="00163957" w:rsidP="00163957">
      <w:pPr>
        <w:pStyle w:val="TextoNormal"/>
      </w:pPr>
    </w:p>
    <w:p w:rsidR="00163957" w:rsidRDefault="00163957" w:rsidP="00163957">
      <w:pPr>
        <w:pStyle w:val="TextoNormal"/>
      </w:pPr>
      <w:r>
        <w:t xml:space="preserve">Los preceptos de la Ley Orgánica 1/2010 impugnados vienen a atribuir a este Tribunal Constitucional el conocimiento de los recursos y de las cuestiones prejudiciales de validez de la normas forales fiscales “garantizadas por la disposición adicional primera de la Constitución y reconocidas por el artículo 41.2 a) del Estatuto de Autonomía del País Vasco”, al tratarse de un “núcleo competencial exclusivo” propio de cada uno de los territorios históricos que integran el País Vasco “en el que ni siquiera el Parlamento Vasco puede entrar”. Son, entonces, “las Juntas Generales de cada territorio quienes tienen la competencia para establecer y regular los distintos tributos que nutren la hacienda foral, regulación que realizan mediante la aprobación de normas forales, que tienen naturaleza reglamentaria”, razón por la cual, son “recurribles ante los tribunales de la jurisdicción contencioso-administrativa, situación esta que contrasta abiertamente con las normas fiscales del Estado, que tienen rango de ley y, por lo tanto, solo pueden ser impugnadas ante el Tribunal Constitucional por la reducida lista de sujetos que el artículo 162 de la Constitución considera legitimados”. De este modo, “las instituciones forales han de operar, sin embargo, con normas que, al carecer de rango de ley resultan más vulnerables y, por lo tanto, más frágiles, lo que hace consiguientemente más débil la garantía constitucional de la foralidad de los territorios históricos vascos que la de la Comunidad Foral de Navarra, a pesar de que en ambos casos el </w:t>
      </w:r>
      <w:r>
        <w:lastRenderedPageBreak/>
        <w:t>fundamento constitucional es el mismo: la disposición adicional primera de la norma fundamental”. Por consiguiente, para el legislador orgánico “[l]os derechos históricos de los territorios forales, al menos en lo que concierne a su núcleo esencial, no son una cuestión de mera legalidad ordinaria, sino que entrañan, sin duda, una cuestión constitucional… lo que obliga a arbitrar una vía practicable y accesible para su defensa, que remedie el déficit de protección de la foralidad que resulta de la falta de legitimación de las instituciones forales para acudir al Tribunal Constitucional en los supuestos en que el legislador, estatal o autonómico, invada el espacio que la disposición adicional primera de la Constitución y el artículo 37 del Estatuto vasco les reserva en exclusiva” (apartado I del preámbulo).</w:t>
      </w:r>
    </w:p>
    <w:p w:rsidR="00163957" w:rsidRDefault="00163957" w:rsidP="00163957">
      <w:pPr>
        <w:pStyle w:val="TextoNormal"/>
      </w:pPr>
    </w:p>
    <w:p w:rsidR="00163957" w:rsidRDefault="00163957" w:rsidP="00163957">
      <w:pPr>
        <w:pStyle w:val="TextoNormal"/>
      </w:pPr>
      <w:r>
        <w:t>Conforme a lo que antecede, puesto que las normas forales fiscales han venido sustituyendo en los territorios históricos a las disposiciones legislativas del Estado en materia tributaria, ningún reparo se le puede oponer, en principio, al hecho de que legislador orgánico haya decidido someter a todas las disposiciones normativas en materia tributaria (las de régimen común, las de la Comunidad Foral de Navarra y, ahora también, las de los territorios históricos de la Comunidad Autónoma del País Vasco), al mismo mecanismo de control jurisdiccional, al servir todas estas formas de normación a la misma finalidad constitucional: la garantía de la autoimposición de la comunidad sobre sí misma. Contando, pues, la modificación operada con una justificación que no se opone al texto constitucional, resta por determinar si la forma en la que se ha arbitrado choca con alguno de los límites que, dentro del título IX de la Constitución, constriñen la labor del legislador democrático que, fundamentalmente, son dos: de un lado, la prohibición de desfigurar el modelo de jurisdicción constitucional diseñado por el constituyente; de otro, la prohibición de alterar la regulación de los procesos directamente creados por el propio texto constitucional.</w:t>
      </w:r>
    </w:p>
    <w:p w:rsidR="00163957" w:rsidRDefault="00163957" w:rsidP="00163957">
      <w:pPr>
        <w:pStyle w:val="TextoNormal"/>
      </w:pPr>
    </w:p>
    <w:p w:rsidR="00163957" w:rsidRDefault="00163957" w:rsidP="00163957">
      <w:pPr>
        <w:pStyle w:val="TextoNormal"/>
      </w:pPr>
      <w:r>
        <w:t xml:space="preserve">A estos efectos es importante tener presente que nuestro constituyente no quiso diseñar un modelo cerrado de jurisdicción constitucional, petrificado y congelado en el tiempo, e incompatible con el carácter evolutivo del Derecho, sino que dejó al legislador orgánico su determinación última. Basta con acudir a los arts. 161.1 d), 162.2 y 165 CE, para constatar la inexistencia de un modelo cerrado de jurisdicción constitucional y la existencia de una amplia habilitación al legislador orgánico para su ulterior configuración, pudiendo articular cada nuevo proceso, no solo como un instrumento de resolución de controversias constitucionales, sino también como un vehículo a través del cual alcanzar los fines que la propia Constitución le impone. Por esta razón, le ha conferido de manera expresa y directa la responsabilidad de concretar “las demás materias” que pudieran ser del conocimiento y jurisdicción de este Tribunal Constitucional [art. 161.1 d) CE], la de determinar las personas y órganos legitimados “[e]n los demás casos” (art. 162.2 CE), así como la de regular “el procedimiento ante el mismo” (art. 165 CE). Y esto se hace con “una vocación de </w:t>
      </w:r>
      <w:r w:rsidRPr="00163957">
        <w:rPr>
          <w:i/>
        </w:rPr>
        <w:t>completud</w:t>
      </w:r>
      <w:r>
        <w:t>” que “no impide que otras leyes orgánicas incidan en el alcance de la jurisdicción constitucional atribuyéndole nuevas competencias” (STC 49/2008, de 9 de abril, FJ 16).</w:t>
      </w:r>
    </w:p>
    <w:p w:rsidR="00163957" w:rsidRDefault="00163957" w:rsidP="00163957">
      <w:pPr>
        <w:pStyle w:val="TextoNormal"/>
      </w:pPr>
    </w:p>
    <w:p w:rsidR="00163957" w:rsidRDefault="00163957" w:rsidP="00163957">
      <w:pPr>
        <w:pStyle w:val="TextoNormal"/>
      </w:pPr>
      <w:r>
        <w:t xml:space="preserve">En efecto, ni los arts. 161 y 163 CE, acogen una lista exhaustiva de los procesos constitucionales de los que pueda conocer este Tribunal Constitucional, ni del art. 162.1 CE se colige una lista única de legitimados para acudir al mismo en toda clase de procesos. Antes al contrario, como ya se ha dicho, los arts. 161.1 a), 162.2 y 165 CE, legitiman al legislador orgánico para delimitar qué otras “materias”, qué otras personas y órganos se encuentran “legitimados” y, en fin, qué “procedimiento” se va a seguir ante el Tribunal Constitucional. Buena prueba de ello ha sido la atribución a este Tribunal Constitucional hasta la fecha, </w:t>
      </w:r>
      <w:r>
        <w:lastRenderedPageBreak/>
        <w:t>aparte de los procesos que expresamente le asigna la Constitución, los del control previo de constitucionalidad de los tratados internacionales (por la Ley Orgánica 2/1979); del control previo de inconstitucionalidad contra proyectos de Estatuto de Autonomía y de leyes orgánicas (por la Ley Orgánica 2/1979), luego derogado (por la Ley Orgánica 4/1985), y, en la actualidad, nuevamente atribuido aunque respecto de los proyectos de Estatuto de Autonomía y propuestas de reforma de los mismos (por la Ley Orgánica 12/2015); de los conflictos entre órganos constitucionales del Estado (por la Ley Orgánica 2/1979); de los conflictos en defensa de la autonomía local (por la Ley Orgánica 7/1999); y, en fin, ahora también de los recursos contra las normas forales fiscales, de las cuestiones prejudiciales de validez sobre las mismas y de los conflictos en defensa de la autonomía foral (por la, en este proceso impugnada, Ley Orgánica 1/2010).</w:t>
      </w:r>
    </w:p>
    <w:p w:rsidR="00163957" w:rsidRDefault="00163957" w:rsidP="00163957">
      <w:pPr>
        <w:pStyle w:val="TextoNormal"/>
      </w:pPr>
    </w:p>
    <w:p w:rsidR="00163957" w:rsidRDefault="00163957" w:rsidP="00163957">
      <w:pPr>
        <w:pStyle w:val="TextoNormal"/>
      </w:pPr>
      <w:r>
        <w:t>Ciertamente, lo que singulariza a los procesos introducidos por los apartados 1 y 2 de la nueva disposición adicional quinta LOTC es la naturaleza de las normas que constituyen su objeto (una concreta clase, aunque singular, de normas reglamentarias como son las normas forales fiscales de las juntas generales), pues “la interposición y sus efectos, la legitimación, tramitación y sentencia” de los recursos y cuestiones sobre las mismas “se regirá por lo dispuesto en el Título II de esta Ley para los recursos y cuestiones de inconstitucionalidad respectivamente”, con la especialidad de que “los trámites regulados en los arts. 34 y 37 se entenderán en su caso con las correspondientes Juntas Generales y Diputaciones Forales”; añadiéndose que el parámetro de validez de las normas forales enjuiciadas se ajustará a lo dispuesto en el art. 28 LOTC. Con esta regulación es evidente que los nuevos procesos no difieren de lo establecido para el recurso o la cuestión de inconstitucionalidad, por lo que es forzoso concluir que el resultado de la reforma en este punto no es sino la ampliación del objeto del control abstracto de constitucionalidad que puede llevar a cabo la jurisdicción constitucional.</w:t>
      </w:r>
    </w:p>
    <w:p w:rsidR="00163957" w:rsidRDefault="00163957" w:rsidP="00163957">
      <w:pPr>
        <w:pStyle w:val="TextoNormal"/>
      </w:pPr>
    </w:p>
    <w:p w:rsidR="00163957" w:rsidRDefault="00163957" w:rsidP="00163957">
      <w:pPr>
        <w:pStyle w:val="TextoNormal"/>
      </w:pPr>
      <w:r>
        <w:t>El legislador orgánico no desmiente esta apreciación, afirmando en el preámbulo de la Ley impugnada, como hemos comprobado con anterioridad, que el propósito de la reforma es remediar el déficit de protección constitucional de la foralidad vasca, para lo cual equipara el régimen procesal de impugnación de las normas forales, pero no de todas, sino exclusivamente de las que tienen carácter fiscal, con el de las leyes tributarias del Estado y de la Comunidad Foral de Navarra. Por tanto, para el legislador orgánico lo relevante es la “identidad material” de lo regulado por las diferentes disposiciones normativas en materia tributaria (sean disposiciones legislativas del Estado o de la Comunidad Foral de Navarra, o normas forales fiscales de los diferentes territorios que integran la Comunidad Autónoma del País Vasco), sin que esté en su propósito dotar a estas de rango, valor o fuerza de ley, algo que, por lo demás, no solo quedaría fuera de su alcance sino que sería contrario a la propia naturaleza reglamentaria de aquellas disposiciones normativas forales. Ahora bien, la inidoneidad de las normas forales fiscales para constituirse en objeto del recurso de inconstitucionalidad [art. 161.1 a) CE] o de la cuestión de inconstitucionalidad (art. 163 CE), nada dice en contra de su posible control de constitucionalidad a través de un nuevo proceso creado bajo el manto de los arts. 161.1 d), 162.2 y 165 CE. Es irrelevante, a estos efectos, que las reglas de “la interposición y sus efectos, legitimación, tramitación y sentencia” sean las de aquellos, pues tal remisión, por sí sola, ni menoscaba el modelo de jurisdicción constitucional diseñado por el constituyente ni altera la regulación de los procesos de control de constitucionalidad directamente creados por él.</w:t>
      </w:r>
    </w:p>
    <w:p w:rsidR="00163957" w:rsidRDefault="00163957" w:rsidP="00163957">
      <w:pPr>
        <w:pStyle w:val="TextoNormal"/>
      </w:pPr>
    </w:p>
    <w:p w:rsidR="00163957" w:rsidRDefault="00163957" w:rsidP="00163957">
      <w:pPr>
        <w:pStyle w:val="TextoNormal"/>
      </w:pPr>
      <w:r>
        <w:lastRenderedPageBreak/>
        <w:t>Llegados a este punto, es importante realizar ya en este instante dos precisiones. La primera, como ya hemos tenido ocasión de señalar en repetidas ocasiones, que “es necesario apurar todas las posibilidades de interpretar los preceptos de conformidad con la Constitución y declarar tan sólo la derogación de aquellos cuya incompatibilidad con ella resulte indudable por ser imposible llevar a cabo dicha interpretación” (SSTC 14/2015, de 5 de febrero,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Eso sí,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(STC 14/2015, de 5 de febrero, FJ 5).</w:t>
      </w:r>
    </w:p>
    <w:p w:rsidR="00163957" w:rsidRDefault="00163957" w:rsidP="00163957">
      <w:pPr>
        <w:pStyle w:val="TextoNormal"/>
      </w:pPr>
    </w:p>
    <w:p w:rsidR="00163957" w:rsidRDefault="00163957" w:rsidP="00163957">
      <w:pPr>
        <w:pStyle w:val="TextoNormal"/>
      </w:pPr>
      <w:r>
        <w:t>La otra precisión que es necesario realizar se dirige a recordar que los preceptos de la Constitución no pueden interpretarse de forma aislada. La interpretación del contenido y alcance de la jurisdicción ordinaria [arts. 106.1 y 153 c) CE] y el de la jurisdicción constitucional [arts. 153 a), 161 y 163 CE], “ha de hacerse considerando la Constitución como un todo en el que cada precepto encuentra su sentido pleno valorándolo en relación con los demás” (STC 125/2013, de 23 de mayo, FJ 7), esto es, “como un todo sistemático exento de contradicciones lógicas” (STC 113/2004, de 12 de julio, FJ 6), como consecuencia del “principio de unidad de la Constitución” (STC 9/2010, de 27 de abril, FJ 3), que conduce a considerar los preceptos constitucionales implicados “a partir de una interpretación sistemática y global” (STC 107/1996, de 12 de junio, FJ 9). Solo una interpretación sistemática e integradora de los preceptos constitucionales, entonces, permite acotar respetuosamente el alcance de la habilitación que el constituyente le ha conferido al legislador, orgánico u ordinario [arts. 117.3, 122.1, 161.1 d), 162.2 y 165], preservando el contorno de la discrecionalidad que intencionadamente le ha otorgado. Hay que tener presente que la unidad de la Constitución no toleraría que alguna de sus disposiciones [art. 161.1 d)] se desvirtuase íntegramente por lo establecido en otras [arts. 106.1 y 153 c) CE]; en términos parecidos, SSTC 137/1986, de 6 de noviembre, FJ 3; y 173/1998, de 23 de julio, FJ 7.</w:t>
      </w:r>
    </w:p>
    <w:p w:rsidR="00163957" w:rsidRDefault="00163957" w:rsidP="00163957">
      <w:pPr>
        <w:pStyle w:val="TextoNormal"/>
      </w:pPr>
    </w:p>
    <w:p w:rsidR="00163957" w:rsidRDefault="00163957" w:rsidP="00163957">
      <w:pPr>
        <w:pStyle w:val="TextoNormal"/>
      </w:pPr>
      <w:r>
        <w:t xml:space="preserve">Una vez realizadas las precisiones anteriores es conveniente ya señalar que de nuestro marco constitucional puede deducirse que el control de las disposiciones con rango de ley le corresponde, como regla general, prioritariamente, al Tribunal Constitucional, mientras que el de las disposiciones reglamentarias es de la competencia, también como regla general, prioritariamente, de los Tribunales ordinarios. Pero de la circunstancia de que nuestro texto constitucional haya consagrado una neta preferencia de la jurisdicción contencioso-administrativa para el control procesal de las normas reglamentarias [arts. 106.1 y 153 c) CE] y una neta preferencia de la jurisdicción constitucional para el control de las disposiciones con rango o fuerza de ley [arts. 53.1, 153 a), 161.1 a) y 163 CE], no puede colegirse, sin más, que nos encontremos, en uno y otro caso, ante una primacía, entendida en términos absolutos, que impida que cada una de ellas pueda incidir, en ningún caso, sobre el ámbito material ajeno. De la misma manera que la supremacía de la Constitución es compatible </w:t>
      </w:r>
      <w:r>
        <w:lastRenderedPageBreak/>
        <w:t>“con regímenes de aplicación que otorguen preferencia aplicativa a normas de otro Ordenamiento diferente del nacional siempre que la Constitución lo haya así dispuesto” (DTC 1/2004, de 13 de diciembre, FJ 4), o que la preferencia de ley formal en la determinación de lo básico no excluye, como posibilidad excepcional, que mediante el ejercicio de la potestad reglamentaria se dote de contenido a algunos aspectos básicos (por ejemplo, STC 39/2014, de 11 de marzo, FJ 4), nuestro modelo constitucional del control jurisdiccional de las normas legales y reglamentarias, ni impide a este Tribunal, en algunos supuestos, controlar normas reglamentarias, ni excluye de la jurisdicción ordinaria, en todo caso, el control de normas con fuerza y rango de ley.</w:t>
      </w:r>
    </w:p>
    <w:p w:rsidR="00163957" w:rsidRDefault="00163957" w:rsidP="00163957">
      <w:pPr>
        <w:pStyle w:val="TextoNormal"/>
      </w:pPr>
    </w:p>
    <w:p w:rsidR="00163957" w:rsidRDefault="00163957" w:rsidP="00163957">
      <w:pPr>
        <w:pStyle w:val="TextoNormal"/>
      </w:pPr>
      <w:r>
        <w:t>Que este Tribunal puede llevar a cabo el enjuiciamiento de normas infralegales sucede, por ejemplo, a través del recurso de amparo [art. 161.1 b) CE; y, entre muchas, SSTC 55/1989, de 23 de febrero; y 193/2006, de 19 de junio], mediante los conflictos de competencias [art. 161.1 c) CE] o por medio de las impugnaciones de las disposiciones sin fuerza de ley y resoluciones de las Comunidades Autónomas (arts. 161.2 CE y 76 LOTC). Y que los órganos judiciales ordinarios están habilitados para controlar disposiciones con fuerza y rango de ley ocurre, por ejemplo, con el control de la eventual contradicción del Derecho de la Unión, en las que se puede llegar incluso a su inaplicación por el Juez ordinario (STC 145/2012, de 2 de julio, FJ 5), fruto de la previsión contenida en el art. 93 CE “mediante el cual es posible la cesión de competencias derivadas de la Constitución a favor de una institución internacional así habilitada constitucionalmente para la disposición normativa de materias hasta entonces reservadas a los poderes internos constituidos y para su aplicación a éstos” (DTC 1/2004, de 8 de mayo, FJ 7); o con el control de los decretos legislativos cuando excedan los límites de la delegación —</w:t>
      </w:r>
      <w:r w:rsidRPr="00163957">
        <w:rPr>
          <w:i/>
        </w:rPr>
        <w:t>ultra vires</w:t>
      </w:r>
      <w:r>
        <w:t>— (arts. 82.6 CE, 9.4 LOPJ y 1.1 LJCA; STC 166/2007, de 4 de julio, FJ 2), el cual puede llevarles igualmente a su inaplicación (STC 47/1984, de 4 de abril, FJ 3).</w:t>
      </w:r>
    </w:p>
    <w:p w:rsidR="00163957" w:rsidRDefault="00163957" w:rsidP="00163957">
      <w:pPr>
        <w:pStyle w:val="TextoNormal"/>
      </w:pPr>
    </w:p>
    <w:p w:rsidR="00163957" w:rsidRDefault="00163957" w:rsidP="00163957">
      <w:pPr>
        <w:pStyle w:val="TextoNormal"/>
      </w:pPr>
      <w:r>
        <w:t>A lo anterior hay que añadir ahora que cuando la disposición adicional quinta LOTC atribuye a este Tribunal el control de constitucionalidad de las normas forales fiscales, no está excluyendo, como hemos visto con anterioridad, todo control de esas normas por parte de los órganos de la jurisdicción contencioso-administrativa. Cuando se planteen problemas que no traspasen el umbral de la legalidad ordinaria, quien esté provisto de un interés legítimo las podrá impugnar, directa o indirectamente, ante los mismos (lo que sucederá cuando estemos ante una norma foral fiscal que no sea de las que configuran el régimen tributario de los territorios históricos, o cuando aun siéndolo, la contradicción que se le imputa lo es con una disposición que no forma parte integrante del bloque de la constitucionalidad a que hace referencia el art. 28 LOTC, esto es, con los tratados y convenios internacionales, con las normas de armonización fiscal de la Unión Europea o con las leyes del Parlamento Vasco). Y si existiesen dudas sobre su eventual contradicción con las normas que integran el bloque de la constitucionalidad definido en el art. 28 LOTC (con los preceptos constitucionales y estatutarios, de la ley del concierto, de la ley general tributaria o de las leyes reguladoras de los diferentes tributos del Estado), el órgano judicial podrá despejar esas dudas mediante la realización, de forma fundada, de un juicio de validez de la norma aplicable, o, en caso contrario, plantear una cuestión prejudicial sobre su eventual invalidez ante este Tribunal Constitucional [SSTC 222/2015, de 2 de noviembre, FJ 2; 239/2015, de 30 de noviembre, FJ 2; 240/2015, de 30 de noviembre, FJ 2; 262/2015, de 14 de diciembre, FJ 2; 263/2015, de 14 de diciembre, FJ 2, y 3/2016, de 18 de enero, FJ 5 c)].</w:t>
      </w:r>
    </w:p>
    <w:p w:rsidR="00163957" w:rsidRDefault="00163957" w:rsidP="00163957">
      <w:pPr>
        <w:pStyle w:val="TextoNormal"/>
      </w:pPr>
    </w:p>
    <w:p w:rsidR="00163957" w:rsidRDefault="00163957" w:rsidP="00163957">
      <w:pPr>
        <w:pStyle w:val="TextoNormal"/>
      </w:pPr>
      <w:r>
        <w:lastRenderedPageBreak/>
        <w:t xml:space="preserve">Conforme a lo dicho nos encontramos con que unas mismas normas son susceptibles, en unos supuestos, de un control alternativo por una u otra jurisdicción (por ejemplo, como acontece con los decretos legislativos que incurren en </w:t>
      </w:r>
      <w:r w:rsidRPr="00163957">
        <w:rPr>
          <w:i/>
        </w:rPr>
        <w:t>ultra vires</w:t>
      </w:r>
      <w:r>
        <w:t>); en otros, de un control sucesivo (por ejemplo, como ocurre con los reglamentos contrarios a la Constitución); y en fin, en otros, de un control excluyente (por ejemplo, como pasa con el control de la eventual contradicción del Derecho de la Unión por las normas legales por parte de los órganos de la jurisdicción ordinaria o con el control de constitucionalidad por este Tribunal de las disposiciones con rango de ley y, ahora también, con el de las normas forales fiscales). Sucede, sin embargo, que en ninguno de esos casos se desfigura el modelo de control constitucional de unas normas u otras, legales o reglamentarias, sino, antes al contrario, ese modelo constitucional no es el que deriva, de forma estanca, de unas determinadas previsiones constitucionales, sino el que se deduce interpretando el texto constitucional de forma conjunta, como un todo sistemático consecuencia de aquel principio de unidad de la Constitución al que hemos apelado con anterioridad, y en el que el alcance de unos preceptos se acota en su conjunción con el sentido de los restantes [arts. 106.1, 153 a) y c), 161.1 a) y d), 162.2 y 165 CE].</w:t>
      </w:r>
    </w:p>
    <w:p w:rsidR="00163957" w:rsidRDefault="00163957" w:rsidP="00163957">
      <w:pPr>
        <w:pStyle w:val="TextoNormal"/>
      </w:pPr>
    </w:p>
    <w:p w:rsidR="00163957" w:rsidRDefault="00163957" w:rsidP="00163957">
      <w:pPr>
        <w:pStyle w:val="TextoNormal"/>
      </w:pPr>
      <w:r>
        <w:t>A la vista de cuanto antecede, no cabe duda de que es posible realizar una interpretación de los preceptos impugnados respetuosa con la Constitución, pues tanto de su literalidad como de su contenido se puede deducir, de modo natural y no forzado, que puesto que las normas forales fiscales han venido sustituyendo en los territorios históricos a las disposiciones legislativas del Estado en materia tributaria, fruto de la garantía de la foralidad que el texto constitucional consagra (disposición adicional primera), y dado que el constituyente ha habilitado expresamente al legislador orgánico para que, dentro de su libertad de configuración, introduzca nuevos procesos de control de constitucionalidad con los que atender a la consecución de cualesquiera fines de relevancia constitucional [arts. 161.1 d), 162.2 y 165 CE], ningún reparo se le puede oponer al hecho de que haya decidido someter a aquellas normas al mismo mecanismo de control jurisdiccional que tienen las disposiciones de la Comunidad Foral de Navarra, al responder unas normas y otras, legales y reglamentarias, a la misma finalidad constitucional, actualizada en el marco de la Constitución y los Estatutos de Autonomía: el mantenimiento, establecimiento y regulación, dentro de su territorio, de su propio régimen tributario.</w:t>
      </w:r>
    </w:p>
    <w:p w:rsidR="00163957" w:rsidRDefault="00163957" w:rsidP="00163957">
      <w:pPr>
        <w:pStyle w:val="TextoNormal"/>
      </w:pPr>
    </w:p>
    <w:p w:rsidR="00163957" w:rsidRDefault="00163957" w:rsidP="00163957">
      <w:pPr>
        <w:pStyle w:val="TextoNormal"/>
      </w:pPr>
      <w:r>
        <w:t xml:space="preserve">En suma, nos encontramos con que el control de las normas forales fiscales es un control compartido entre la jurisdicción ordinaria y la constitucional, fruto de una decisión del legislador orgánico articulada al amparo de una expresa habilitación constitucional [arts. 161.1 d), 162.2 y 165 CE], en el ejercicio de la competencia del Estado en materia de legislación procesal (art. 149.1.6 CE) y a la búsqueda de un objetivo constitucionalmente legítimo como es el de atender a la singularidad de una institución —la de la foralidad en materia tributaria (disposición adicional primera CE)—. Decisión esta que ni desfigura el control general de la potestad reglamentaria de las Juntas Generales de los territorios históricos por parte de los Jueces y Tribunales ordinarios [arts. 106.1 y 153 c) CE, y 38.3 EAPV], ni transforma el modelo de jurisdicción constitucional (o el del control de las normas reglamentarias) diseñado por el constituyente [arts. 161.1 a) y 163, de un lado, y 161.1 d), 162.2 y 165 CE], ni, en fin, altera la regulación de los procesos constitucionales directamente creados por el propio texto constitucional [arts. 53.1, 153 a), 161.1 a), 161.1 b), 161.1 c), 161.2 y 163 CE]. Por tanto, interpretados en el sentido expuesto los arts. 1 (que introduce una nueva disposición adicional quinta en la LOTC), 2 (que modifica el art. 9.4 LOPJ), y la disposición </w:t>
      </w:r>
      <w:r>
        <w:lastRenderedPageBreak/>
        <w:t>adicional única [que añade una nueva letra d) al art. 3 LJCA], de la Ley Orgánica 1/2010, de 19 de febrero, no resultan contrarios a los arts. 106.1, 153 c), 161.1 a) y 163 CE, 38.3 EAPV, y 27.2 y 35 LOTC, y así se expresará en el fallo.</w:t>
      </w:r>
    </w:p>
    <w:p w:rsidR="00163957" w:rsidRDefault="00163957" w:rsidP="00163957">
      <w:pPr>
        <w:pStyle w:val="TextoNormal"/>
      </w:pPr>
    </w:p>
    <w:p w:rsidR="00163957" w:rsidRDefault="00163957" w:rsidP="00163957">
      <w:pPr>
        <w:pStyle w:val="TextoNormal"/>
      </w:pPr>
      <w:r>
        <w:t>e) Imputan también los recurrentes al art. 1 (que introduce una nueva disposición adicional quinta en la LOTC), al art. 2 (que modifica el art. 9.4 LOPJ) y a la disposición adicional única [que añade una nueva letra d) al art. 3 LJCA], de la Ley Orgánica 1/2010, de 19 de febrero, la lesión del derecho a la tutela judicial efectiva del art. 24.1 CE, pues, a su entender, el cambio de régimen impugnatorio de las normas forales trasladando la competencia para su control a este Tribunal Constitucional, no solo implica una merma constitucionalmente inaceptable de las garantías establecidas a favor de las personas físicas y jurídicas afectadas por las normas tributarias forales, sino que conlleva una importante limitación para que las Comunidades Autónomas vecinas puedan recurrirlas, por carecer de legitimación tanto para entablar recursos de inconstitucionalidad —</w:t>
      </w:r>
      <w:r w:rsidRPr="00163957">
        <w:rPr>
          <w:i/>
        </w:rPr>
        <w:t>ex</w:t>
      </w:r>
      <w:r>
        <w:t xml:space="preserve"> art. 32.2 LOTC— como para impugnarlas ahora ante los Tribunales de la jurisdicción contencioso-administrativa —</w:t>
      </w:r>
      <w:r w:rsidRPr="00163957">
        <w:rPr>
          <w:i/>
        </w:rPr>
        <w:t>ex</w:t>
      </w:r>
      <w:r>
        <w:t xml:space="preserve"> arts. 9.4 LOPJ y 3 d) LJCA—. Para el Abogado del Estado, sin embargo, no se ha producido esta lesión porque las Comunidades Autónomas cuentan con legitimación para recurrir en vía contencioso-administrativa —</w:t>
      </w:r>
      <w:r w:rsidRPr="00163957">
        <w:rPr>
          <w:i/>
        </w:rPr>
        <w:t>ex</w:t>
      </w:r>
      <w:r>
        <w:t xml:space="preserve"> art. 19.1 d) LJCA— tanto las disposiciones administrativas forales subordinadas a las normas forales fiscales, como los actos administrativos dictados a su amparo.</w:t>
      </w:r>
    </w:p>
    <w:p w:rsidR="00163957" w:rsidRDefault="00163957" w:rsidP="00163957">
      <w:pPr>
        <w:pStyle w:val="TextoNormal"/>
      </w:pPr>
    </w:p>
    <w:p w:rsidR="00163957" w:rsidRDefault="00163957" w:rsidP="00163957">
      <w:pPr>
        <w:pStyle w:val="TextoNormal"/>
      </w:pPr>
      <w:r>
        <w:t>Debe señalarse que el hecho de residenciar en este Tribunal Constitucional el control de constitucionalidad de las normas forales fiscales supone una opción legislativa que “incide de forma directa, aunque no necesariamente ilegítima, en el derecho a la tutela judicial efectiva”, pues impide, en parte, el control de la jurisdicción contencioso-administrativa a que se someten el resto de las normas forales (en sentido parecido, aunque con relación a la leyes singulares, STC 203/2013, de 5 de diciembre, FJ 3). Ahora bien, ni supone merma alguna en la posibilidad de discutir en Derecho su contenido, ni produce una afectación ilegítima en el derecho fundamental a la tutela judicial efectiva de quienes quedan bajo su ámbito de aplicación. En efecto, la atribución de la competencia a este Tribunal Constitucional para efectuar aquel control cuenta, como hemos comprobado con anterioridad, con una justificación objetiva suficiente desde el punto de vista constitucional. A diferencia, entonces, de lo que ha podido suceder con algunas leyes autoaplicativas (por ejemplo, en materia urbanística o expropiatoria), el hecho de que se haya atribuido a este Tribunal el “control de constitucionalidad” de las normas forales fiscales no permite apreciar como intención del legislador la de impedir el acceso de los derechos e intereses legítimos de los ciudadanos a un control judicial de mayor intensidad, limitando una capacidad de reacción frente a las mismas. Y ello porque una parte de su control, como hemos podido comprobar con anterioridad, sigue correspondiendo a los órganos de la jurisdicción contencioso-administrativa, lo que evita convertirlas en normas jurisdiccionalmente inmunes.</w:t>
      </w:r>
    </w:p>
    <w:p w:rsidR="00163957" w:rsidRDefault="00163957" w:rsidP="00163957">
      <w:pPr>
        <w:pStyle w:val="TextoNormal"/>
      </w:pPr>
    </w:p>
    <w:p w:rsidR="00163957" w:rsidRDefault="00163957" w:rsidP="00163957">
      <w:pPr>
        <w:pStyle w:val="TextoNormal"/>
      </w:pPr>
      <w:r>
        <w:t xml:space="preserve">Además, coloca a los ciudadanos que quedan bajo su ámbito de aplicación en la misma situación que quienes quedan bajo el ámbito de aplicación de las normas legales reguladoras del régimen tributario común o del foral navarro, que carecen igualmente de una acción judicial directa para combatir esas disposiciones, cuyo control es “únicamente residenciable ante este Tribunal Constitucional” [STC 166/1986, de 19 de diciembre, FJ 15 A)]. En efecto, como sucede con las disposiciones legales, la inexistencia de recursos directos frente a las normas forales fiscales no genera indefensión alguna, pues quienes caen bajo su cobertura </w:t>
      </w:r>
      <w:r>
        <w:lastRenderedPageBreak/>
        <w:t>podrán impugnar sus actos de desarrollo o ejecución, alegando ante los Jueces y Tribunales tanto la vulneración por aquellas disposiciones de cualquiera de sus derechos, como la violación de cualquier mandato del bloque de la constitucionalidad, solicitando del órgano judicial, en orden a su inaplicación, el planteamiento de la correspondiente cuestión prejudicial de validez, “lo cual dará lugar o bien a que se eleve la cuestión al Tribunal Constitucional o bien a una resolución judicial denegatoria motivada, otorgándose así contenido al derecho a la tutela judicial frente a la Ley [o norma foral fiscal] cuestionada” [en sentido parecido, STC 166/1986, de 19 de diciembre, FJ 15 A)]. No hay que olvidar “que nuestro modelo de jurisdicción concentrada permite acudir a los Jueces y Tribunales ordinarios para defender cualquier clase de derechos e intereses legítimos”, poniendo a disposición de éstos un instrumento, la cuestión de inconstitucionalidad [la cuestión prejudicial de validez, en el caso de las normas forales fiscales], destinado a asegurar que la actuación normativa se ha mantenido “dentro de los límites de la Constitución” (SSTC 73/2000, de 14 de marzo, FJ 15, y 248/2000, de 19 de octubre, FJ 5).</w:t>
      </w:r>
    </w:p>
    <w:p w:rsidR="00163957" w:rsidRDefault="00163957" w:rsidP="00163957">
      <w:pPr>
        <w:pStyle w:val="TextoNormal"/>
      </w:pPr>
    </w:p>
    <w:p w:rsidR="00163957" w:rsidRDefault="00163957" w:rsidP="00163957">
      <w:pPr>
        <w:pStyle w:val="TextoNormal"/>
      </w:pPr>
      <w:r>
        <w:t>Por consiguiente, aunque la atribución del control de una disposición sin rango legal al Tribunal Constitucional no “puede servir como instrumento dirigido a evitar o disminuir la protección de los derechos e intereses legítimos amparados por la legalidad ordinaria” (STC 129/2013, de 4 de junio, FJ 5), lo cierto es que la decisión del legislador orgánico, al modificar el diferente régimen de impugnación de las normas forales fiscales vascas y las dictadas en materia tributaria por la Comunidad Foral de Navarra, unas y otras dictadas en el ejercicio de una foralidad constitucionalmente garantizada y estatutariamente reconocida, no ha supuesto un sacrificio desproporcionado del derecho a la tutela judicial efectiva de los ciudadanos. No puede afirmarse “que la satisfacción del derecho a la tutela judicial efectiva de los titulares de derechos e intereses legítimos afectados por la aprobación [de una norma foral fiscal] requiera, necesariamente, de un pronunciamiento de los Tribunales de la jurisdicción contencioso-administrativa”, pues “el derecho a la tutela judicial efectiva de los derechos e intereses afectados puede llevarse a cabo por el Tribunal Constitucional” (SSTC 166/1986, de 19 de diciembre, FJ 11; 48/2005, de 3 de marzo, FJ 6, y 129/2013, FJ 5), quien puede efectuar “un control suficiente para brindar una tutela materialmente equivalente” a la que puede otorgar, frente a un acto o disposición administrativo, la jurisdicción contencioso-administrativa (SSTC 48/2005, FJ 6, y 129/2013 FJ 5).</w:t>
      </w:r>
    </w:p>
    <w:p w:rsidR="00163957" w:rsidRDefault="00163957" w:rsidP="00163957">
      <w:pPr>
        <w:pStyle w:val="TextoNormal"/>
      </w:pPr>
    </w:p>
    <w:p w:rsidR="00163957" w:rsidRDefault="00163957" w:rsidP="00163957">
      <w:pPr>
        <w:pStyle w:val="TextoNormal"/>
      </w:pPr>
      <w:r>
        <w:t>Distinta es, sin embargo, la situación de las Comunidades Autónomas (fundamentalmente, las limítrofes), a quienes se priva de la posibilidad de impugnar las normas forales fiscales de forma directa, por carecer de legitimación para entablar recursos de inconstitucionalidad —</w:t>
      </w:r>
      <w:r w:rsidRPr="00163957">
        <w:rPr>
          <w:i/>
        </w:rPr>
        <w:t>ex</w:t>
      </w:r>
      <w:r>
        <w:t xml:space="preserve"> art. 32.2 LOTC— y para impugnarlas, por razón de su inconstitucionalidad, ante los Tribunales de la jurisdicción contencioso-administrativa —</w:t>
      </w:r>
      <w:r w:rsidRPr="00163957">
        <w:rPr>
          <w:i/>
        </w:rPr>
        <w:t>ex</w:t>
      </w:r>
      <w:r>
        <w:t xml:space="preserve"> arts. 9.4 LOPJ y 3 d) LJCA—. A estos efectos es necesario insistir que es doctrina consolidada de este Tribunal la de que el art. 24 CE recoge un derecho prestacional de configuración legal [arts. 117.3 y 149.1.6 CE], cuyo primer contenido es el derecho de acceso a la jurisdicción que, aun cuando permite ser parte en un proceso y obtener un pronunciamiento sobre las pretensiones deducidas, no es ejercitable sin más, sino solo a través de los cauces que el legislador establezca [entre las últimas, STC 186/2015, de 21 de septiembre, FJ 3 a)], pues “no se trata de un derecho absoluto o incondicionado” (STC 154/1997, de 29 de septiembre, FJ 3). Es al legislador, entonces, a quien corresponde “la configuración de la actividad judicial y, más concretamente, del proceso en cuyo seno se ejercita el derecho fundamental ordenado a la satisfacción de pretensiones” (STC 206/1987, de 21 de diciembre, FJ 5). Y cuenta para ello </w:t>
      </w:r>
      <w:r>
        <w:lastRenderedPageBreak/>
        <w:t>con “un amplio margen de libertad en la definición y determinación de las condiciones y consecuencias del acceso a la jurisdicción para la defensa de derechos e intereses legítimos” (STC 114/1992, de 14 de septiembre, FJ 3), “atendiendo a los intereses públicos y privados implicados” (STC 180/2003, de 13 de octubre, FJ 2), de suerte que puede establecer límites al pleno acceso a la jurisdicción que “serán constitucionalmente válidos cuando estén dirigidos a preservar otros derechos, bienes o intereses constitucionalmente protegidos” y “sean razonables y proporcionados” respecto de los fines que lícitamente se persigan (STC 112/2006, de 5 de abril, FJ 5).</w:t>
      </w:r>
    </w:p>
    <w:p w:rsidR="00163957" w:rsidRDefault="00163957" w:rsidP="00163957">
      <w:pPr>
        <w:pStyle w:val="TextoNormal"/>
      </w:pPr>
    </w:p>
    <w:p w:rsidR="00163957" w:rsidRDefault="00163957" w:rsidP="00163957">
      <w:pPr>
        <w:pStyle w:val="TextoNormal"/>
      </w:pPr>
      <w:r>
        <w:t>De conformidad con lo que antecede, el hecho de someter a las normas forales fiscales de los territorios históricos de la Comunidad autónoma del País Vasco al mismo sistema de control jurisdiccional a que están sometidas las disposiciones legislativas que, en materia tributaria, emanan del Estado o de la Comunidad Foral de Navarra, y la circunstancia de impedir a las Comunidades Autónomas la impugnación directa ante el Tribunal Constitucional o ante los órganos de la jurisdicción ordinaria de esas normas forales fiscales, en los mismos términos que se les impide la impugnación directa de las disposiciones legislativas de otras Comunidades Autónomas ante el Tribunal Constitucional [arts. 161.1 a) CE y 32.2 LOTC] o ante los órganos de la jurisdicción ordinaria [arts. 8 y 9.4 LOPJ, y 1 LJCA], representa una opción legítima del legislador desde el punto de vista constitucional. Y es legítima porque, aun cuando constituya un obstáculo al libre acceso a la jurisdicción por parte de las Comunidades Autónomas, ni carece de razonabilidad (pues procura remediar el déficit de protección constitucional de la foralidad vasca en atención a los fines que la disposición adicional primera del texto constitucional respeta y ampara), ni adolece de la necesaria proporcionalidad (al no convertir a las normas forales fiscales, en modo alguno, en un producto normativo inmune a toda clase de control jurisdiccional).</w:t>
      </w:r>
    </w:p>
    <w:p w:rsidR="00163957" w:rsidRDefault="00163957" w:rsidP="00163957">
      <w:pPr>
        <w:pStyle w:val="TextoNormal"/>
      </w:pPr>
    </w:p>
    <w:p w:rsidR="00163957" w:rsidRDefault="00163957" w:rsidP="00163957">
      <w:pPr>
        <w:pStyle w:val="TextoNormal"/>
      </w:pPr>
      <w:r>
        <w:t>Debe rechazarse, por tanto, la violación del derecho a la tutela judicial efectiva (art. 24.1 CE) por el art. 1 (que introduce una nueva disposición adicional quinta en la LOTC), por el art. 2 (que modifica el art. 9.4 LOPJ) y por la disposición adicional única [que añade una nueva letra d) al art. 3 LJCA], de la Ley Orgánica 1/2010, de 19 de febrero.</w:t>
      </w:r>
    </w:p>
    <w:p w:rsidR="00163957" w:rsidRDefault="00163957" w:rsidP="00163957">
      <w:pPr>
        <w:pStyle w:val="TextoNormal"/>
      </w:pPr>
    </w:p>
    <w:p w:rsidR="00163957" w:rsidRDefault="00163957" w:rsidP="00163957">
      <w:pPr>
        <w:pStyle w:val="TextoNormal"/>
      </w:pPr>
      <w:r>
        <w:t>f) Consideran también las instituciones recurrentes que la imposibilidad de que las personas físicas y jurídicas puedan impugnar las normas forales ante la Jurisdicción contencioso-administrativa, con el ulterior recurso de amparo, viola los principios de igualdad (arts. 9.2, 14, 31.1, 138.2 y 139.1 CE) y de interdicción de la arbitrariedad de los poderes públicos (art. 9.3 CE), por tratarse de una medida que está falta de una justificación razonable. Además, consideran que se establece una discriminación respecto de los municipios que, al igual que los territorios históricos, ostentan competencias exclusivas en materia de tributos locales, y, sin embargo, ahora sus normas tributarias quedan sometidas a un régimen procesal distinto. Para el Abogado del Estado, sin embargo, el establecimiento de un distinto régimen de control de las normas forales en función de la materia que regulen, que se sustenta en la existencia del concierto económico, justifica de forma suficiente la inexistencia de una arbitrariedad legislativa.</w:t>
      </w:r>
    </w:p>
    <w:p w:rsidR="00163957" w:rsidRDefault="00163957" w:rsidP="00163957">
      <w:pPr>
        <w:pStyle w:val="TextoNormal"/>
      </w:pPr>
    </w:p>
    <w:p w:rsidR="00163957" w:rsidRDefault="00163957" w:rsidP="00163957">
      <w:pPr>
        <w:pStyle w:val="TextoNormal"/>
      </w:pPr>
      <w:r>
        <w:t xml:space="preserve">Basta para rechazar esta queja con recordar que el análisis de la existencia de arbitrariedad en la actuación del legislador democrático, con toda la prudencia que debe seguirse en este control para evitar constricciones indebidas al poder legislativo respetando sus diferentes opciones políticas, se centra únicamente en verificar si la decisión adoptada “carece de </w:t>
      </w:r>
      <w:r>
        <w:lastRenderedPageBreak/>
        <w:t>toda explicación racional” o “establece una discriminación”, “sin que sea pertinente realizar un análisis a fondo de todas las motivaciones posibles de la norma y de todas sus eventuales consecuencias” (SSTC 96/2002, de 25 de abril, FJ 6; y 215/2014, de 18 de diciembre, FJ 4). Y resulta, como ya hemos ocasión de comprobar en los apartados anteriores, que la norma impugnada no carece de “toda explicación racional”, ni tampoco establece discriminación de ninguna clase. En efecto, la Ley Orgánica 1/2010, con la modificación operada, pretende remediar el diferente régimen de impugnación que tenían las normas forales fiscales vascas (recurribles ante los órganos de la jurisdicción contencioso-administrativa) y las normas dictadas en materia tributaria por la Comunidad Foral de Navarra (que solo pueden ser impugnadas ante el Tribunal Constitucional), cuando el fundamento de la foralidad navarra y el de la foralidad vasca encuentra el mismo anclaje constitucional: la disposición adicional primera de la Constitución. Para el legislador orgánico “[l]os derechos históricos de los territorios forales, al menos en lo que concierne a su núcleo esencial, no son una cuestión de mera legalidad ordinaria, sino que entrañan, sin duda, una cuestión constitucional” (apartado I del preámbulo).</w:t>
      </w:r>
    </w:p>
    <w:p w:rsidR="00163957" w:rsidRDefault="00163957" w:rsidP="00163957">
      <w:pPr>
        <w:pStyle w:val="TextoNormal"/>
      </w:pPr>
    </w:p>
    <w:p w:rsidR="00163957" w:rsidRDefault="00163957" w:rsidP="00163957">
      <w:pPr>
        <w:pStyle w:val="TextoNormal"/>
      </w:pPr>
      <w:r>
        <w:t>Por otra parte y en contra de lo que pretenden los recurrentes, el hecho de que se haya cambiado el régimen de impugnación de las normas forales fiscales y que ahora las personas físicas y jurídicas no puedan recurrir directamente unas normas que antes sí podían, no puede considerarse discriminatorio ni tampoco permite apreciar la aplicación de un trato desigual. Dejando a un lado que tampoco esos sujetos podían antes recurrir directamente las disposiciones normativas legislativas del Estado o de la Comunidad Foral de Navarra en materia tributaria y no por ello se les discriminaba, lo cierto es que para efectuar un juicio de igualdad la comparación no puede realizarse “entre la configuración jurídica que se encontraba vigente en distintos momentos temporales, pues el principio de igualdad establece la interdicción de la desigualdad injustificada o arbitraria, no de la desigualdad causada por la sucesión temporal de normas de contenido distinto, adoptadas por el legislador en ejercicio de su libertad de configuración normativa dentro del marco de la Constitución; ni tampoco proscribe dicho precepto los perjuicios ocasionados por los cambios legislativos” (STC 19/2012, de 15 de febrero, FJ 9). El principio de igualdad “no impide el distinto tratamiento temporal de situaciones iguales motivado por la sucesión normativa, porque no exige que se deba dispensar un idéntico tratamiento a todos los supuestos con independencia del tiempo en que se originaron o produjeron sus efectos” (STC 19/2012, de 15 de febrero, FJ 9). De esta manera, los supuestos de sucesión de normas no son equiparables “a una desigualdad de trato temporal”, de modo que “la diferenciación normativa entre sujetos del ordenamiento a causa de la sucesión de normas en el tiempo no puede presentarse</w:t>
      </w:r>
      <w:r w:rsidRPr="00163957">
        <w:rPr>
          <w:i/>
        </w:rPr>
        <w:t>, prima fac</w:t>
      </w:r>
      <w:r>
        <w:t>ie, como atentatoria del principio de igualdad” (STC 19/2012, de 15 de febrero, FJ 9).</w:t>
      </w:r>
    </w:p>
    <w:p w:rsidR="00163957" w:rsidRDefault="00163957" w:rsidP="00163957">
      <w:pPr>
        <w:pStyle w:val="TextoNormal"/>
      </w:pPr>
    </w:p>
    <w:p w:rsidR="00163957" w:rsidRDefault="00163957" w:rsidP="00163957">
      <w:pPr>
        <w:pStyle w:val="TextoNormal"/>
      </w:pPr>
      <w:r>
        <w:t xml:space="preserve">Tampoco puede apreciarse diferencia de trato entre los territorios históricos y los municipios, como pretenden los recurrentes, pues las situaciones que quieren traerse a comparación (el control y defensa de la garantía de la autonomía local del art. 137 CE, por un lado, y el control y defensa de la garantía de la autonomía foral de la disposición adicional primera CE, por otro), no son equiparables, por no ser homogéneos, al responder a finalidades diferentes (como lo pone de manifiesto, entre otras circunstancias, la propia separación que de la consagración de una y otra garantía se hace en el texto constitucional), lo que impide fundar un juicio de igualdad y de no discriminación. El legislador orgánico se ha limitado a dotar de unas consecuencias jurídicas diversas a situaciones que, por su propia naturaleza, </w:t>
      </w:r>
      <w:r>
        <w:lastRenderedPageBreak/>
        <w:t>son diferentes, lo cual, en modo alguno puede ser constitutivo de una desigualdad contraria al texto constitucional.</w:t>
      </w:r>
    </w:p>
    <w:p w:rsidR="00163957" w:rsidRDefault="00163957" w:rsidP="00163957">
      <w:pPr>
        <w:pStyle w:val="TextoNormal"/>
      </w:pPr>
    </w:p>
    <w:p w:rsidR="00163957" w:rsidRDefault="00163957" w:rsidP="00163957">
      <w:pPr>
        <w:pStyle w:val="TextoNormal"/>
      </w:pPr>
      <w:r>
        <w:t>En suma, debe rechazarse que el art. 1 (que introduce una nueva disposición adicional quinta en la LOTC), el art. 2 (que modifica el art. 9.4 LOPJ) y la disposición adicional única [que añade una nueva letra d) al art. 3 LJCA], de la Ley Orgánica 1/2010, de 19 de febrero, violen los principios de igualdad y de interdicción de la arbitrariedad (arts. 9.3 y 14 CE).</w:t>
      </w:r>
    </w:p>
    <w:p w:rsidR="00163957" w:rsidRDefault="00163957" w:rsidP="00163957">
      <w:pPr>
        <w:pStyle w:val="TextoNormal"/>
      </w:pPr>
    </w:p>
    <w:p w:rsidR="00163957" w:rsidRDefault="00163957" w:rsidP="00163957">
      <w:pPr>
        <w:pStyle w:val="TextoNormal"/>
      </w:pPr>
      <w:r>
        <w:t>g) Para el Gobierno y el Parlamento de La Rioja la consagración del denominado “blindaje vasco”, en combinación con el llamado “efecto frontera” o de deslocalización de empresas por su traslado desde las Comunidades Autónomas vecinas a la del País Vasco, traerá como consecuencia la infracción de las libertades de circulación, residencia y libertad de empresa, y de los principios de solidaridad, unidad de mercado y autonomía financiera (arts. 2, 19, 38, 40.l, 130.1, 131.1, 138.1 y 2, 139.2, 149.1.1, 156.1, 157.2 y 158.2 CE), en la medida que las normas forales tributarias pueden atraer, mediante mejoras fiscales, a empresas de Comunidades limítrofes, provocando un sistema foral privilegiado, con un efecto potenciador de la violación denunciada como consecuencia de la falta de legitimación activa de las Comunidades Autónomas colindantes con los territorios históricos para recurrir ante el Tribunal Constitucional esos “efectos deslocalizadores”. El Abogado del Estado, por su parte, denuncia que los recurrentes han incumplido la carga de fundamentar tan dispares violaciones, impidiéndole ejercer su derecho de defensa. Además, precisa, las hipotéticas violaciones serían imputables a las normas forales fiscales y no a la Ley Orgánica 1/2010 que, por su contenido, carece de aptitud para generar autónomamente tan perniciosas consecuencias.</w:t>
      </w:r>
    </w:p>
    <w:p w:rsidR="00163957" w:rsidRDefault="00163957" w:rsidP="00163957">
      <w:pPr>
        <w:pStyle w:val="TextoNormal"/>
      </w:pPr>
    </w:p>
    <w:p w:rsidR="00163957" w:rsidRDefault="00163957" w:rsidP="00163957">
      <w:pPr>
        <w:pStyle w:val="TextoNormal"/>
      </w:pPr>
      <w:r>
        <w:t>A este respecto es necesario señalar, en primer lugar, que las entidades recurrentes se limitan a imputar a la regulación orgánica impugnada una serie de vicios que, como advierte el Abogado del Estado, realmente se dirigen contra el propio régimen tributario foral, y se hace, además y como denuncia el Abogado del Estado, sin especificar las concretas razones por las cuales se produciría, de forma efectiva, cada una de las violaciones denunciadas. Hay que insistir una vez más en que no basta para cuestionar la constitucionalidad de una disposición legal con imputarle una u otra vulneración, siendo imprescindible argumentar sobre la efectividad del vicio cuya concurrencia se denuncia. Cuando lo que está en juego es la depuración del ordenamiento jurídico, es carga de los recurrentes no solo la de abrir la vía para que el Tribunal pueda pronunciarse, sino también la de colaborar con la justicia del Tribunal mediante un pormenorizado análisis de las graves cuestiones que se suscitan. Es justo, pues, hablar de una carga del recurrente y en los casos en que esta no se atiende, de una falta de diligencia procesalmente exigible, como es la de ofrecer la fundamentación que razonablemente es de esperar (STC 44/2015, de 5 de marzo, FJ 4).</w:t>
      </w:r>
    </w:p>
    <w:p w:rsidR="00163957" w:rsidRDefault="00163957" w:rsidP="00163957">
      <w:pPr>
        <w:pStyle w:val="TextoNormal"/>
      </w:pPr>
    </w:p>
    <w:p w:rsidR="00163957" w:rsidRDefault="00163957" w:rsidP="00163957">
      <w:pPr>
        <w:pStyle w:val="TextoNormal"/>
      </w:pPr>
      <w:r>
        <w:t>Pero es que, en segundo lugar, los recurrentes no analizan una concreta consecuencia jurídica o efecto derivado de la aplicación de la normativa impugnada, sino que se limitan a imputarle una suerte de vicios de inconstitucionalidad con fundamento en los eventuales e inciertos efectos que la aplicación de la normativa impugnada pudiera deparar en un futuro, en función del uso que los territorios históricos pudieran hacer de su potestad normativa en materia tributaria, lo que determina que estemos en presencia de una denuncia de las que hemos venido calificando como “prematuras” (por ejemplo, en la STC 6/2013, de 17 de enero, FJ 5).</w:t>
      </w:r>
    </w:p>
    <w:p w:rsidR="00163957" w:rsidRDefault="00163957" w:rsidP="00163957">
      <w:pPr>
        <w:pStyle w:val="TextoNormal"/>
      </w:pPr>
    </w:p>
    <w:p w:rsidR="00163957" w:rsidRDefault="00163957" w:rsidP="00163957">
      <w:pPr>
        <w:pStyle w:val="TextoNormal"/>
      </w:pPr>
      <w:r>
        <w:t>Por consiguiente, debe rechazarse que el art. 1 (que introduce una nueva disposición adicional quinta en la LOTC), el art. 2 (que modifica el art. 9.4 LOPJ) y la disposición adicional única [que añade una nueva letra d) al art. 3 LJCA], de la Ley Orgánica 1/2010, de 19 de febrero, violen las libertades de circulación, residencia y libertad de empresa, y los principios de solidaridad, unidad de mercado y autonomía financiera (arts. 2, 19, 38, 40.l, 130.1, 131.1, 138.1 y 2, 139.2, 149.1.1, 156.1, 157.2 y 158.2 CE).</w:t>
      </w:r>
    </w:p>
    <w:p w:rsidR="00163957" w:rsidRDefault="00163957" w:rsidP="00163957">
      <w:pPr>
        <w:pStyle w:val="TextoNormal"/>
      </w:pPr>
    </w:p>
    <w:p w:rsidR="00163957" w:rsidRDefault="00163957" w:rsidP="00163957">
      <w:pPr>
        <w:pStyle w:val="TextoNormal"/>
      </w:pPr>
      <w:r w:rsidRPr="00163957">
        <w:rPr>
          <w:rStyle w:val="NumeroAFNegritaCaracter"/>
        </w:rPr>
        <w:t>4</w:t>
      </w:r>
      <w:r>
        <w:t>. El apartado 3 de la nueva disposición adicional quinta LOTC, en la redacción que le ha dado el art. 1 de la Ley Orgánica 1/2010, de 19 de febrero, tiene el siguiente contenido:</w:t>
      </w:r>
    </w:p>
    <w:p w:rsidR="00163957" w:rsidRDefault="00163957" w:rsidP="00163957">
      <w:pPr>
        <w:pStyle w:val="TextoNormal"/>
      </w:pPr>
    </w:p>
    <w:p w:rsidR="00163957" w:rsidRDefault="00163957" w:rsidP="00163957">
      <w:pPr>
        <w:pStyle w:val="TextoNormal"/>
      </w:pPr>
      <w:r>
        <w:t>“Las normas del Estado con rango de ley podrán dar lugar al planteamiento de conflictos en defensa de la autonomía foral de los Territorios Históricos de la Comunidad Autónoma del País Vasco, constitucional y estatutariamente garantizada.</w:t>
      </w:r>
    </w:p>
    <w:p w:rsidR="00163957" w:rsidRDefault="00163957" w:rsidP="00163957">
      <w:pPr>
        <w:pStyle w:val="TextoNormal"/>
      </w:pPr>
    </w:p>
    <w:p w:rsidR="00163957" w:rsidRDefault="00163957" w:rsidP="00163957">
      <w:pPr>
        <w:pStyle w:val="TextoNormal"/>
      </w:pPr>
      <w:r>
        <w:t>Están legitimadas para plantear estos conflictos las Diputaciones Forales y las Juntas Generales de los Territorios Históricos de Álava, Bizkaia y Gipuzkoa, mediante acuerdo adoptado al efecto.</w:t>
      </w:r>
    </w:p>
    <w:p w:rsidR="00163957" w:rsidRDefault="00163957" w:rsidP="00163957">
      <w:pPr>
        <w:pStyle w:val="TextoNormal"/>
      </w:pPr>
    </w:p>
    <w:p w:rsidR="00163957" w:rsidRDefault="00163957" w:rsidP="00163957">
      <w:pPr>
        <w:pStyle w:val="TextoNormal"/>
      </w:pPr>
      <w:r>
        <w:t>Los referidos conflictos se tramitarán y resolverán con arreglo al procedimiento establecido en los artículos 63 y siguientes de esta Ley.”</w:t>
      </w:r>
    </w:p>
    <w:p w:rsidR="00163957" w:rsidRDefault="00163957" w:rsidP="00163957">
      <w:pPr>
        <w:pStyle w:val="TextoNormal"/>
      </w:pPr>
    </w:p>
    <w:p w:rsidR="00163957" w:rsidRDefault="00163957" w:rsidP="00163957">
      <w:pPr>
        <w:pStyle w:val="TextoNormal"/>
      </w:pPr>
      <w:r>
        <w:t>a) Consideran los recurrentes que la regulación que la Ley Orgánica 1/2010 le ha dado a este nuevo proceso constitucional denominado “conflicto en defensa de la autonomía foral”, contradice los arts. 161.1 a) y 162.1 a) CE, pues realizan una configuración asimétrica de las garantías constitucionales de la autonomía foral que carece de una justificación racional, más allá de permitir a las diputaciones forales una legitimación individualizada para impugnar leyes estatales de la que carecían en el conflicto en defensa de la autonomía local. A su juicio, sería admisible y razonable la configuración de un conflicto que desembocara en una Sentencia exclusivamente destinada a determinar la titularidad de la competencia controvertida y, sin embargo, la Ley Orgánica 1/2010, al remitirse a lo previsto en los arts. 63 y ss. LOTC, está previendo la posibilidad de que la Sentencia que se dicte anule una disposición estatal con rango de ley, lo que implica crear un recurso de inconstitucionalidad encubierto a favor de entes a los que la Constitución no les atribuye legitimación activa para impugnar directamente una ley o norma con fuerza de ley. Para el Abogado del Estado, sin embargo, el nuevo conflicto responde a una decisión del legislador orgánico amparada en los arts. 161.1 d), 162.2 y 165 CE, con fundamento en las singularidades de su objeto (normas del Estado con rango de ley), de la fundamentación de la pretensión conflictual (la lesión de la garantía constitucional y estatutaria de la autonomía foral) y de la legitimación (diputaciones forales y juntas generales).</w:t>
      </w:r>
    </w:p>
    <w:p w:rsidR="00163957" w:rsidRDefault="00163957" w:rsidP="00163957">
      <w:pPr>
        <w:pStyle w:val="TextoNormal"/>
      </w:pPr>
    </w:p>
    <w:p w:rsidR="00163957" w:rsidRDefault="00163957" w:rsidP="00163957">
      <w:pPr>
        <w:pStyle w:val="TextoNormal"/>
      </w:pPr>
      <w:r>
        <w:t xml:space="preserve">Para el Consejo de Gobierno de La Rioja aquella regulación es contraria, además, al art. 9.3 CE (que establece la interdicción de la arbitrariedad de los poderes públicos), al art. 14 CE (que consagra la igualdad ante la ley de todos los españoles), al art. 24.1 CE (que reconoce el derecho a la tutela judicial efectiva de los derechos e intereses legítimos de todas las personas, incluidas las personas jurídicas públicas), al art. 138.2 CE (que proscribe la existencia de privilegios económicos y sociales entre los diferentes territorios del Estado), al art. 139.1 CE (que expresa la igualdad de todos los españoles en derechos y obligaciones en </w:t>
      </w:r>
      <w:r>
        <w:lastRenderedPageBreak/>
        <w:t>cualquier parte del territorio del Estado), y, en fin, a la disposición adicional primera CE (que consagra los derechos históricos de los territorios forales actualizados en el marco de la Constitución y de los Estatutos de Autonomía).</w:t>
      </w:r>
    </w:p>
    <w:p w:rsidR="00163957" w:rsidRDefault="00163957" w:rsidP="00163957">
      <w:pPr>
        <w:pStyle w:val="TextoNormal"/>
      </w:pPr>
    </w:p>
    <w:p w:rsidR="00163957" w:rsidRDefault="00163957" w:rsidP="00163957">
      <w:pPr>
        <w:pStyle w:val="TextoNormal"/>
      </w:pPr>
      <w:r>
        <w:t>Antes de entrar a dar respuesta a este último bloque de vulneraciones es necesario insistir una vez más en que nuestro control es “exclusivamente de constitucionalidad y no político” (STC 49/2008, de 9 de abril, FJ 4), externo, objetivo y de carácter “jurídico” (STC 199/2015, de 24 de septiembre, FJ 4), excluyendo “toda valoración política o de conveniencia u oportunidad” (STC 233/2015, de 5 de noviembre, FJ 5), y, por tanto, los “supuestos propósitos larvados” de la modificación operada (STC 197/2014, de 4 de diciembre, FJ 1). De esta manera, “las intenciones del legislador, su estrategia política o su propósito último no constituyen, como es evidente, objeto de nuestro control” (STC 14/2015, de 5 de febrero, FJ 4), sin que pueda convertirse la legítima crítica política en argumento de inconstitucionalidad, so pena de perder la objetividad del control que nos corresponde realizar.</w:t>
      </w:r>
    </w:p>
    <w:p w:rsidR="00163957" w:rsidRDefault="00163957" w:rsidP="00163957">
      <w:pPr>
        <w:pStyle w:val="TextoNormal"/>
      </w:pPr>
    </w:p>
    <w:p w:rsidR="00163957" w:rsidRDefault="00163957" w:rsidP="00163957">
      <w:pPr>
        <w:pStyle w:val="TextoNormal"/>
      </w:pPr>
      <w:r>
        <w:t>b) El apartado 3 de la nueva disposición adicional quinta LOTC configura un proceso constitucional cuyo objeto son los “conflictos en defensa de la autonomía foral de los Territorios Históricos de la Comunidad Autónoma del País Vasco, constitucional y estatutariamente garantizada” … amparándose precisamente en la cláusula del art. 161.1 d) CE, que habilita al legislador orgánico para atribuir a la jurisdicción del Tribunal Constitucional la competencia para conocer “de las demás materias” no contempladas en los preceptos constitucionales siempre, claro está, que dicha atribución no se haga contra la Constitución (STC 240/2006, de 20 de julio, FJ 1, con relación al conflicto en defensa de la autonomía local creado por la Ley Orgánica 7/1999, de 21 de abril; y también SSTC 47/2008, de 11 de marzo, FJ 1, y 27/2016, de 18 de febrero, FJ 3).</w:t>
      </w:r>
    </w:p>
    <w:p w:rsidR="00163957" w:rsidRDefault="00163957" w:rsidP="00163957">
      <w:pPr>
        <w:pStyle w:val="TextoNormal"/>
      </w:pPr>
    </w:p>
    <w:p w:rsidR="00163957" w:rsidRDefault="00163957" w:rsidP="00163957">
      <w:pPr>
        <w:pStyle w:val="TextoNormal"/>
      </w:pPr>
      <w:r>
        <w:t xml:space="preserve">De la misma manera que los arts. 137 y 140 CE, garantizan la autonomía local, para cuya defensa la Ley Orgánica 7/1999 creó el nuevo instrumento procesal del conflicto en defensa de la autonomía local (arts. 75 </w:t>
      </w:r>
      <w:r w:rsidRPr="00163957">
        <w:rPr>
          <w:i/>
        </w:rPr>
        <w:t>bis</w:t>
      </w:r>
      <w:r>
        <w:t xml:space="preserve"> a 75 </w:t>
      </w:r>
      <w:r w:rsidRPr="00163957">
        <w:rPr>
          <w:i/>
        </w:rPr>
        <w:t>quinquies</w:t>
      </w:r>
      <w:r>
        <w:t xml:space="preserve"> LOTC), la disposición adicional primera de la Constitución garantiza la autonomía foral para cuya defensa la Ley Orgánica 1/2010 ha introducido ese otro instrumento procesal (en la disposición adicional quinta, apartado 3, LOTC), cuya tramitación y resolución seguirá el procedimiento previsto para los conflictos positivos de competencias (arts. 63 a 67 LOTC). Nos encontramos, pues, ante un proceso constitucional que se dirige específicamente a reforzar la defensa de otra autonomía, la foral, claramente diferenciada de la local, por venir específicamente consagrada, de forma separada, por el texto constitucional (disposición adicional primera). Dicha especificidad se manifiesta en que este nuevo conflicto solo puede ser promovido frente a normas legales con base en un único motivo de inconstitucionalidad, la lesión “de la autonomía foral de los Territorios Históricos de la Comunidad Autónoma del País Vasco, constitucional y estatutariamente garantizada”, de modo que no podrán alegarse en él otros motivos fundados en la infracción de preceptos constitucionales que no guarden una relación directa con la autonomía que la Constitución garantiza a los territorios históricos de la Comunidad Autónoma del País Vasco (en sentido igual, aunque con relación a la autonomía local, STC 240/2006, de 20 de julio, FJ 3).</w:t>
      </w:r>
    </w:p>
    <w:p w:rsidR="00163957" w:rsidRDefault="00163957" w:rsidP="00163957">
      <w:pPr>
        <w:pStyle w:val="TextoNormal"/>
      </w:pPr>
    </w:p>
    <w:p w:rsidR="00163957" w:rsidRDefault="00163957" w:rsidP="00163957">
      <w:pPr>
        <w:pStyle w:val="TextoNormal"/>
      </w:pPr>
      <w:r>
        <w:t xml:space="preserve">En suma, ningún reproche se le puede hacer al legislador orgánico por el hecho de que, de conformidad con la previsión del art. 161.1 d) CE, haya procedido a dotar a los derechos históricos que la Constitución “ampara y respeta”, una vez que han sido actualizados “en el </w:t>
      </w:r>
      <w:r>
        <w:lastRenderedPageBreak/>
        <w:t>marco de la Constitución y de los Estatutos de Autonomía” (disposición adicional primera), de los instrumentos procesales idóneos para su defensa y protección. Debe rechazarse, en consecuencia la violación del art. 161.1 a) CE.</w:t>
      </w:r>
    </w:p>
    <w:p w:rsidR="00163957" w:rsidRDefault="00163957" w:rsidP="00163957">
      <w:pPr>
        <w:pStyle w:val="TextoNormal"/>
      </w:pPr>
    </w:p>
    <w:p w:rsidR="00163957" w:rsidRDefault="00163957" w:rsidP="00163957">
      <w:pPr>
        <w:pStyle w:val="TextoNormal"/>
      </w:pPr>
      <w:r>
        <w:t>c) Los recurrentes identifican la legitimación activa que el art. 162.1 a) CE prevé para interponer un recurso de inconstitucionalidad con la legitimación del conflicto en defensa de la autonomía foral, deduciendo de ahí la inconstitucionalidad del nuevo proceso por habérsela otorgado a las juntas generales y a las diputaciones forales, instituciones ambas que no figuran entre el elenco de legitimados para interponer un recurso de inconstitucionalidad contra leyes y disposiciones normativas con fuerza de ley.</w:t>
      </w:r>
    </w:p>
    <w:p w:rsidR="00163957" w:rsidRDefault="00163957" w:rsidP="00163957">
      <w:pPr>
        <w:pStyle w:val="TextoNormal"/>
      </w:pPr>
    </w:p>
    <w:p w:rsidR="00163957" w:rsidRDefault="00163957" w:rsidP="00163957">
      <w:pPr>
        <w:pStyle w:val="TextoNormal"/>
      </w:pPr>
      <w:r>
        <w:t xml:space="preserve">Como con corrección señalan los recurrentes, al legislador orgánico no le es dado alterar, al amparo de la previsión del art. 161.1 d) CE, la regulación de los procesos constitucionales creados por el texto constitucional, ni tampoco añadir nuevos legitimados para promover un recurso de inconstitucionalidad, distintos de aquellos a los que el art. 162.1 CE otorga la </w:t>
      </w:r>
      <w:r w:rsidRPr="00163957">
        <w:rPr>
          <w:i/>
        </w:rPr>
        <w:t>legitimatio ad causam</w:t>
      </w:r>
      <w:r>
        <w:t xml:space="preserve">, al haberse adoptado por la Constitución “un sistema de </w:t>
      </w:r>
      <w:r w:rsidRPr="00163957">
        <w:rPr>
          <w:i/>
        </w:rPr>
        <w:t>numerus clausus</w:t>
      </w:r>
      <w:r>
        <w:t>, taxativo y riguroso” (STC 137/2010, de 16 de diciembre, FJ 3; y también AATC 6/1981, de 14 de enero, FJ 2; 201/2000, de 25 de julio, FJ 2; 202/2000, de 25 de julio, FJ 2, y 27/2016, de 18 de febrero, FJ 3). Consiguientemente, un proceso —el conflicto en defensa de la autonomía foral— que supusiera simplemente la ampliación del círculo de los legitimados para interponer el recurso de inconstitucionalidad, resultaría contrario a la previsión del art. 162.1 a) CE, que enumera de manera taxativa los sujetos jurídicos que gozan de dicha legitimación, sin mencionar entre ellos a los órganos forales de los territorios históricos.</w:t>
      </w:r>
    </w:p>
    <w:p w:rsidR="00163957" w:rsidRDefault="00163957" w:rsidP="00163957">
      <w:pPr>
        <w:pStyle w:val="TextoNormal"/>
      </w:pPr>
    </w:p>
    <w:p w:rsidR="00163957" w:rsidRDefault="00163957" w:rsidP="00163957">
      <w:pPr>
        <w:pStyle w:val="TextoNormal"/>
      </w:pPr>
      <w:r>
        <w:t xml:space="preserve">No obstante lo anterior, el planteamiento de los recurrentes resulta tributario de una concepción según la cual el recurso de inconstitucionalidad ostenta el monopolio como cauce procesal para llevar a cabo el control de constitucionalidad sobre las leyes o disposiciones normativas con fuerza de ley. No cabe duda, sin embargo, de que tanto a través de la cuestión de inconstitucionalidad (art. 163 CE), como de los conflictos de competencia [arts. 161.1 c) CE y 67 LOTC] y de los conflictos en defensa de la autonomía local [arts. 161.1 d) CE y 75 </w:t>
      </w:r>
      <w:r w:rsidRPr="00163957">
        <w:rPr>
          <w:i/>
        </w:rPr>
        <w:t>quinquies</w:t>
      </w:r>
      <w:r>
        <w:t>.6 LOTC], es posible efectuar un control de esa naturaleza y, por tanto, un pronunciamiento favorable a la declaración de inconstitucionalidad y nulidad de las disposiciones controladas. Por consiguiente, no es suficiente la mera constatación de que el conflicto en defensa de la autonomía foral puede dar lugar a la declaración de inconstitucionalidad de “normas del Estado con rango legal” (disposición adicional quinta LOTC, apartado 3), para alcanzar la conclusión de que se ha producido una distorsión del recurso de inconstitucionalidad incompatible con el diseño realizado por nuestro texto constitucional.</w:t>
      </w:r>
    </w:p>
    <w:p w:rsidR="00163957" w:rsidRDefault="00163957" w:rsidP="00163957">
      <w:pPr>
        <w:pStyle w:val="TextoNormal"/>
      </w:pPr>
    </w:p>
    <w:p w:rsidR="00163957" w:rsidRDefault="00163957" w:rsidP="00163957">
      <w:pPr>
        <w:pStyle w:val="TextoNormal"/>
      </w:pPr>
      <w:r>
        <w:t xml:space="preserve">Atendiendo al preámbulo de la Ley Orgánica 1/2010 ahora impugnada, el nuevo proceso persigue solventar, como hemos señalado en repetidas ocasiones, “el déficit de protección constitucional de la foralidad vasca que resulta de la falta de reconocimiento a los territorios históricos del País Vasco para defender en vía constitucional su régimen foral frente a eventuales agresiones del legislador estatal”. Para alcanzar el fin así descrito, el legislador orgánico ha configurado un proceso constitucional caracterizado porque solo puede dirigirse contra normas del Estado con rango de ley y su planteamiento ha de fundarse en la defensa de la autonomía foral de los territorios históricos de la Comunidad Autónoma del País </w:t>
      </w:r>
      <w:r>
        <w:lastRenderedPageBreak/>
        <w:t>Vasco, lo que lleva a conferir legitimación única para promoverlo tanto a las juntas generales de Álava, Gipuzkoa y Bizkaia, como a sus diputaciones forales. A diferencia del conflicto de competencias, el conflicto en defensa de la autonomía foral no se circunscribe a la vertiente competencial de la autonomía foral, sino que alcanza a todo su contenido.</w:t>
      </w:r>
    </w:p>
    <w:p w:rsidR="00163957" w:rsidRDefault="00163957" w:rsidP="00163957">
      <w:pPr>
        <w:pStyle w:val="TextoNormal"/>
      </w:pPr>
    </w:p>
    <w:p w:rsidR="00163957" w:rsidRDefault="00163957" w:rsidP="00163957">
      <w:pPr>
        <w:pStyle w:val="TextoNormal"/>
      </w:pPr>
      <w:r>
        <w:t>Es claro que el nuevo proceso comparte con el recurso de inconstitucionalidad el posibilitar el control de constitucionalidad de normas con rango de ley. Pero, más allá de esta parcial coincidencia, son más abundantes los aspectos que los diferencian, pues, además de las distintas reglas de legitimación activa, acontece, en primer lugar, que mientras que el recurso de inconstitucionalidad abarca la impugnación de cualquier norma de rango legal, del Estado o de las Comunidades Autónomas, el conflicto en defensa de la autonomía foral solo puede suscitarse en relación con las “normas del Estado con rango del ley”. En segundo lugar, también difiere el parámetro de control aplicable en ambos procesos, pues mientras en el recurso de inconstitucionalidad puede plantearse frente a cualquier infracción constitucional imputable a la norma legal impugnada, en el conflicto examinado solo tiene cabida la defensa específica de la autonomía foral, constitucional y estatutariamente garantizada. En tercer lugar, son también diferentes las reglas procedimentales que ocupan a uno y otro, pues el nuevo proceso se tramita y resuelve con arreglo al procedimiento establecido para los conflictos positivos de competencia en los arts. 63 y ss. LOTC. En fin, y respecto de la sentencia que se dicte en el proceso en defensa de la autonomía foral, aun siendo posible, ciertamente, que la misma declare la inconstitucionalidad y nulidad de la norma de rango legal impugnada (arts. 67 y 39 LOTC), este resultado no es necesariamente el único al que se puede llegar pues la defensa de la autonomía foral se puede dirigir tanto a la reivindicación del ejercicio de la competencia propia como a la defensa contra la injerencia indebida en el ejercicio de la competencia ajena, lo que supone que también es posible que la autonomía foral afectada quede preservada con la mera declaración de la titularidad de la competencia o con la exigencia del cese en la injerencia indebida o con la declaración de que la disposición impugnada no resulta de aplicación en el territorio o territorios históricos recurrentes.</w:t>
      </w:r>
    </w:p>
    <w:p w:rsidR="00163957" w:rsidRDefault="00163957" w:rsidP="00163957">
      <w:pPr>
        <w:pStyle w:val="TextoNormal"/>
      </w:pPr>
    </w:p>
    <w:p w:rsidR="00163957" w:rsidRDefault="00163957" w:rsidP="00163957">
      <w:pPr>
        <w:pStyle w:val="TextoNormal"/>
      </w:pPr>
      <w:r>
        <w:t>La cuestión estriba en dilucidar si estas diferencias son suficientes como para considerar que el legislador ha creado un proceso llamado a conocer de una nueva materia, tal y como autorizan los arts. 161.1 d), 162.2 y 165 CE, o si, por el contrario, solo ha perseguido ampliar la legitimación para interponer el recurso de inconstitucionalidad, eludiendo la lista de legitimados taxativamente fijada en el art. 162.1 a) CE, como defienden los recurrentes. Y a este respecto hay que señalar que, en su mayor parte, las objeciones expresadas por las instituciones recurrentes coinciden con las que disipamos en la ya citada STC 240/2006, de 20 de julio (en relación con el conflicto en defensa de la autonomía local creado por la Ley Orgánica 7/1999), al apreciar entonces la idoneidad de dicho conflicto como nuevo proceso constitucional al amparo de la previsión del art. 161.1 d) CE. Entendimos entonces acerca de dicho proceso que su “especificidad se manifiesta en que el conflicto solo puede ser promovido frente a normas legales con base en un único motivo de inconstitucionalidad, la lesión de ‘la autonomía local constitucionalmente garantizada’ y en que la legitimación activa para plantear el conflicto en defensa de la autonomía local se reserva específicamente a determinados entes locales” (FJ 3).</w:t>
      </w:r>
    </w:p>
    <w:p w:rsidR="00163957" w:rsidRDefault="00163957" w:rsidP="00163957">
      <w:pPr>
        <w:pStyle w:val="TextoNormal"/>
      </w:pPr>
    </w:p>
    <w:p w:rsidR="00163957" w:rsidRDefault="00163957" w:rsidP="00163957">
      <w:pPr>
        <w:pStyle w:val="TextoNormal"/>
      </w:pPr>
      <w:r>
        <w:t xml:space="preserve">Esas señas de identidad —la especificidad del motivo de impugnación y la atribución de legitimación activa únicamente a los entes territoriales afectados— están presentes también </w:t>
      </w:r>
      <w:r>
        <w:lastRenderedPageBreak/>
        <w:t>en el conflicto en defensa de la autonomía foral de los territorios históricos vascos. Se trata de sendas peculiaridades que le apartan de lo que resulta consustancial al recurso de inconstitucionalidad: la extensión del parámetro de control de la ley a la infracción de cualquier precepto constitucional y la inexigibilidad de un interés subjetivo en los sujetos jurídicos legitimados para interponerlo. A estas diferencias se añaden ahora el distinto objeto —solo las normas del Estado con rango de ley— y la peculiar consecuencia a que puede dar lugar la sentencia estimatoria: la mera declaración de la competencia o del carácter indebido de la injerencia, provocando la no aplicación de la ley estatal impugnada en el territorio histórico sin llevar aparejada su anulación. Ello nos lleva a concluir que el proceso regulado en el apartado tercero de la nueva disposición adicional quinta LOTC contiene rasgos distintivos suficientes que permiten configurarlo como un proceso constitucional con sustantividad propia y anclaje en los arts. 161.1 d), 162.2 y 165 CE, razón por la cual, debe rechazarse también esta otra inconstitucionalidad denunciada por los recurrentes.</w:t>
      </w:r>
    </w:p>
    <w:p w:rsidR="00163957" w:rsidRDefault="00163957" w:rsidP="00163957">
      <w:pPr>
        <w:pStyle w:val="TextoNormal"/>
      </w:pPr>
    </w:p>
    <w:p w:rsidR="00163957" w:rsidRDefault="00163957" w:rsidP="00163957">
      <w:pPr>
        <w:pStyle w:val="TextoNormal"/>
      </w:pPr>
      <w:r>
        <w:t>d) Todavía en relación con este mismo proceso, el Consejo de Gobierno de la Comunidad Autónoma de La Rioja alega que se consagra una configuración asimétrica de la garantía constitucional de la autonomía local que implica una discriminación que favorece a los territorios históricos frente a las restantes provincias que ven limitadas sus posibilidades de impugnación de una ley cuanto se vulnere su autonomía local, con menoscabo de los arts. 9.3, 14, 24.1, 138.2 y 139.1 de la Constitución. A su juicio, se confiere a las instituciones de los territorios históricos una legitimación activa más amplia que la que se reconoce a los entes locales para promover el conflicto en defensa de la autonomía local, sin que exista justificación para ello, dado que no cabe entender que la Constitución establezca un mayor grado de protección para la autonomía foral que para la autonomía local, el cual se aplica por igual a los territorios históricos vascos y a las demás provincias españolas. Además se crea un conflicto en defensa de la autonomía foral que no se limita a aspectos de índole fiscal y que se privilegia frente al conflicto en defensa de la autonomía local, en el que la sentencia es, en principio, meramente declarativa, de modo que la declaración de inconstitucionalidad de la ley solo puede obtenerse si el Tribunal Constitucional se plantea la cuestión interna de inconstitucionalidad.</w:t>
      </w:r>
    </w:p>
    <w:p w:rsidR="00163957" w:rsidRDefault="00163957" w:rsidP="00163957">
      <w:pPr>
        <w:pStyle w:val="TextoNormal"/>
      </w:pPr>
    </w:p>
    <w:p w:rsidR="00163957" w:rsidRDefault="00163957" w:rsidP="00163957">
      <w:pPr>
        <w:pStyle w:val="TextoNormal"/>
      </w:pPr>
      <w:r>
        <w:t>En puridad, lo que se viene a denunciar en este motivo es la arbitraria atribución a los territorios históricos de un régimen privilegiado para la impugnación de disposiciones legales estatales que menoscaben su ámbito competencial u organizativo. Sobre este particular, el análisis de la existencia de arbitrariedad en la actuación de legislador democrático, con toda la prudencia que seguirse en este control para evitar constricciones indebidas al poder legislativo respetando sus diferentes opciones políticas, se centra únicamente en verificar si la decisión adoptada “carece de toda explicación racional” o “establece una discriminación”, “sin que sea pertinente realizar un análisis a fondo de todas las motivaciones posibles de la norma y de todas sus eventuales consecuencias” (SSTC 96/2002, de 25 de abril, FJ 6, y 215/2014, de 18 de diciembre, FJ 4).</w:t>
      </w:r>
    </w:p>
    <w:p w:rsidR="00163957" w:rsidRDefault="00163957" w:rsidP="00163957">
      <w:pPr>
        <w:pStyle w:val="TextoNormal"/>
      </w:pPr>
    </w:p>
    <w:p w:rsidR="00163957" w:rsidRDefault="00163957" w:rsidP="00163957">
      <w:pPr>
        <w:pStyle w:val="TextoNormal"/>
      </w:pPr>
      <w:r>
        <w:t>Conforme a lo dicho, lo primero que debe advertirse ya en este momento es que las situaciones que los recurrentes pretenden traer a la comparación no son equiparables: de un lado, las provincias; de otro, los territorios históricos. Es cierto, que los territorios históricos son, desde un punto de vista estrictamente territorial, “provincia</w:t>
      </w:r>
      <w:r w:rsidRPr="00163957">
        <w:rPr>
          <w:i/>
        </w:rPr>
        <w:t>s</w:t>
      </w:r>
      <w:r>
        <w:t xml:space="preserve">” y, por tanto, tienen la condición de entes locales (art. 141.1 CE), pero también lo es que su condición no termina ahí, teniendo también la de “territorios forales” expresamente reconocidos en la disposición </w:t>
      </w:r>
      <w:r>
        <w:lastRenderedPageBreak/>
        <w:t xml:space="preserve">adicional primera de la Constitución. De este modo, los territorios históricos, en su condición de “provincias” a las que hace referencia el art. 141.1 CE (y el art. 2.2 EAPV), son llamados por la Ley Orgánica del Tribunal Constitucional a la defensa de la “autonomía local” que la Constitución les reconoce y garantiza (arts. 137 y 140), a través del “conflicto en defensa de la autonomía local” (arts. 75 </w:t>
      </w:r>
      <w:r w:rsidRPr="00163957">
        <w:rPr>
          <w:i/>
        </w:rPr>
        <w:t>bis</w:t>
      </w:r>
      <w:r>
        <w:t xml:space="preserve"> y ss. y disposición adicional cuarta LOTC). Sin embargo, los territorios históricos en su condición de “territorios forales”, a los que se refiere la disposición adicional primera del texto constitucional, son llamados a la defensa de los “derechos históricos” que la Constitución les reconoce y ampara (disposición adicional primera), mediante el “conflicto en defensa de la autonomía foral” (disposición adicional quinta, apartado 3, LOTC).</w:t>
      </w:r>
    </w:p>
    <w:p w:rsidR="00163957" w:rsidRDefault="00163957" w:rsidP="00163957">
      <w:pPr>
        <w:pStyle w:val="TextoNormal"/>
      </w:pPr>
    </w:p>
    <w:p w:rsidR="00163957" w:rsidRDefault="00163957" w:rsidP="00163957">
      <w:pPr>
        <w:pStyle w:val="TextoNormal"/>
      </w:pPr>
      <w:r>
        <w:t>El concepto de “derecho histórico” empleado por la disposición adicional primera de la Constitución “apela, entre otras cosas, a un cierto contenido competencial que vendría siendo ejercido de forma continuada por la Institución Foral y reconocido por el Estado” [SSTC 140/1990, de 20 de septiembre, FJ 4; y 173/2014, de 23 de octubre, FJ 3.a)]. Eso sí, hay que tener presente que los derechos históricos de los territorios forales a que alude aquella disposición adicional primera no pueden considerarse como un título autónomo del que puedan deducirse específicas competencias, pues la propia disposición establece que la actualización se llevará a cabo en el marco de la Constitución y de los Estatutos de Autonomía [SSTC 123/1984, de 18 de diciembre, FJ 3; 94/1985, de 29 de julio, FJ 6; y 173/20014, de 23 de octubre, FJ 3.a)]. De esta manera, “la disposición adicional primera de la Constitución permite que las comunidades forales puedan mantener competencias que históricamente les hubieran correspondido … pero dichas competencias deberán ser asumidas mediante la norma estatutaria” [SSTC 208/2012, de 14 de noviembre, FJ 4; y 173/20014, de 23 de octubre, FJ 3 a)]. Así ha sucedido expresamente con la Ley Orgánica 3/1979, de 18 de diciembre, de Estatuto de Autonomía para el País Vasco, conforme a la cual, “cada uno de los territorios históricos que integran el País Vasco podrán, en el seno del mismo, conservar o, en su caso, restablecer y actualizar su organización e instituciones privativas de autogobierno” (art. 3, en relación con el art. 24.2, ambos del EAPV), los cuales, no solo se regirán “por el régimen privativo de cada uno de ellos” (art. 37.1 EAPV), sino que conservarán una serie de competencias exclusivas (arts. 37.3 y 25.1, ambos del EAPV), también en materia tributaria (art. 41.2 EAPV), que vienen a constituir unas “zonas de poder exentas de Ley del Parlamento” (como las califica el párrafo séptimo de la exposición de motivos de la Ley 27/1983, de 25 de noviembre, de relaciones entre las instituciones comunes de la Comunidad Autónomos órganos forales de sus territorios históricos). Se trata, pues, de una garantía foral “que coloca en lugar preferente, en cuanto a su respeto y protección, a los regímenes forales en su definición estatutaria, tanto frente a las Instituciones comunes del País Vasco como a los poderes centrales del Estado” (STC 76/1988, de 26 de abril, FJ 6).</w:t>
      </w:r>
    </w:p>
    <w:p w:rsidR="00163957" w:rsidRDefault="00163957" w:rsidP="00163957">
      <w:pPr>
        <w:pStyle w:val="TextoNormal"/>
      </w:pPr>
    </w:p>
    <w:p w:rsidR="00163957" w:rsidRDefault="00163957" w:rsidP="00163957">
      <w:pPr>
        <w:pStyle w:val="TextoNormal"/>
      </w:pPr>
      <w:r>
        <w:t xml:space="preserve">Cuanto antecede pone de manifiesto que los territorios históricos vascos gozan de una singularidad que se materializa en un ámbito competencial diferente y más amplio del conferido a las provincias de régimen común, que dimana del régimen foral constitucional y estatutariamente garantizado, no solo frente a las Instituciones comunes del País Vasco sino también, como hemos señalado, frente “a los poderes centrales del Estado” (STC 76/1988, de 26 de abril, FJ 6). Singularidad para cuya protección se ha creado el nuevo conflicto en defensa de la autonomía foral como forma de resolver “el déficit de protección constitucional de la foralidad vasca que resulta de la falta de reconocimiento a los territorios históricos </w:t>
      </w:r>
      <w:r>
        <w:lastRenderedPageBreak/>
        <w:t>del País Vasco para defender en vía constitucional su régimen foral frente a eventuales agresiones del legislador estatal”. Y con aquel conflicto no se trata de dotar de un mayor grado de protección a la autonomía foral que a la autonomía local, sino de garantizar de manera particularizada instituciones diferentes que responden a circunstancias y fines distintos.</w:t>
      </w:r>
    </w:p>
    <w:p w:rsidR="00163957" w:rsidRDefault="00163957" w:rsidP="00163957">
      <w:pPr>
        <w:pStyle w:val="TextoNormal"/>
      </w:pPr>
    </w:p>
    <w:p w:rsidR="00163957" w:rsidRDefault="00163957" w:rsidP="00163957">
      <w:pPr>
        <w:pStyle w:val="TextoNormal"/>
      </w:pPr>
      <w:r>
        <w:t>En conclusión, desde la limitada perspectiva del control que nos corresponde efectuar, no estando la modificación operada por la Ley Orgánica 1/2010 ayuna de una explicación racional y encontrándonos ante situaciones que no son susceptibles de comparación, no cabe sino rechazar este último motivo de recurso y, en su efecto, debe descartarse la invocada lesión de los arts. 9.3, 14, 24.1, 138.2, y 139.1 CE.</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Declarar que los arts. 1 y 2, así como la disposición adicional única, todo ellos de la Ley Orgánica 1/2010, de 19 de febrero, de modificación de las leyes orgánicas del Tribunal Constitucional y del Poder Judicial, no son inconstitucionales interpretados en los términos del fundamento jurídico 3 d), desestimando el recurso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veintitrés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22" w:name="SENTENCIA_2016_119"/>
      <w:r>
        <w:lastRenderedPageBreak/>
        <w:t>SENTENCIA 119/2016, de 23 de junio de 2016</w:t>
      </w:r>
    </w:p>
    <w:bookmarkEnd w:id="122"/>
    <w:p w:rsidR="00163957" w:rsidRDefault="00163957" w:rsidP="00163957">
      <w:pPr>
        <w:pStyle w:val="TtuloResolucin"/>
      </w:pPr>
      <w:r>
        <w:t>Pleno</w:t>
      </w:r>
    </w:p>
    <w:p w:rsidR="00163957" w:rsidRDefault="00163957" w:rsidP="00163957">
      <w:pPr>
        <w:pStyle w:val="TtuloBOE"/>
      </w:pPr>
      <w:r>
        <w:t>(BOE núm. 181, de 28 de julio de 2016)</w:t>
      </w:r>
    </w:p>
    <w:p w:rsidR="00163957" w:rsidRDefault="00163957" w:rsidP="00163957">
      <w:pPr>
        <w:pStyle w:val="TextoNormalCentrado"/>
      </w:pPr>
      <w:r>
        <w:t>ECLI:ES:TC:2016:119</w:t>
      </w:r>
    </w:p>
    <w:p w:rsidR="00163957" w:rsidRDefault="00163957" w:rsidP="00163957">
      <w:pPr>
        <w:pStyle w:val="TextoNormalCentrado"/>
      </w:pPr>
    </w:p>
    <w:p w:rsidR="00163957" w:rsidRDefault="00163957" w:rsidP="00163957">
      <w:pPr>
        <w:pStyle w:val="SntesisDescriptiva"/>
      </w:pPr>
      <w:r>
        <w:t>Recurso de inconstitucionalidad 2218-2013. Interpuesto por el Gobierno vasco en relación con diversos preceptos del Real Decreto-ley 20/2012, de 13 de julio, de medidas para garantizar la estabilidad presupuestaria y de fomento de la competitividad.</w:t>
      </w:r>
    </w:p>
    <w:p w:rsidR="00163957" w:rsidRDefault="00163957" w:rsidP="00163957">
      <w:pPr>
        <w:pStyle w:val="SntesisDescriptiva"/>
      </w:pPr>
    </w:p>
    <w:p w:rsidR="00163957" w:rsidRDefault="00163957" w:rsidP="00163957">
      <w:pPr>
        <w:pStyle w:val="SntesisAnaltica"/>
      </w:pPr>
      <w:r>
        <w:t>Límites a los decretos-leyes; competencias en materia de ordenación general de la economía y función pública y principio de seguridad jurídica: constitucionalidad de los preceptos legales relativos a la supresión de la paga extraordinaria y de la paga adicional de complemento específico, correspondientes al mes de diciembre de 2012, permisos y vacaciones de los funcionarios públicos, horarios comerciales y régimen de promoción de ventas (SSTC 81/2015 y 156/2015). Voto particular.</w:t>
      </w:r>
    </w:p>
    <w:p w:rsidR="00163957" w:rsidRDefault="00163957" w:rsidP="00163957">
      <w:pPr>
        <w:pStyle w:val="SntesisAnaltica"/>
      </w:pPr>
    </w:p>
    <w:p w:rsidR="00163957" w:rsidRDefault="00163957" w:rsidP="00163957">
      <w:pPr>
        <w:pStyle w:val="Extracto"/>
      </w:pPr>
      <w:r>
        <w:t>1.</w:t>
      </w:r>
      <w:r>
        <w:tab/>
        <w:t>El Gobierno ha aportado una justificación bastante que permite apreciar la concurrencia del presupuesto habilitante requerido para modificar por medio de decreto-ley el régimen de horarios comerciales y de ordenación del comercio minorista, por lo que se desestima el recurso en este aspecto [FJ 2 a)].</w:t>
      </w:r>
    </w:p>
    <w:p w:rsidR="00163957" w:rsidRDefault="00163957" w:rsidP="00163957">
      <w:pPr>
        <w:pStyle w:val="Extracto"/>
      </w:pPr>
    </w:p>
    <w:p w:rsidR="00163957" w:rsidRDefault="00163957" w:rsidP="00163957">
      <w:pPr>
        <w:pStyle w:val="Extracto"/>
      </w:pPr>
      <w:r>
        <w:t>2.</w:t>
      </w:r>
      <w:r>
        <w:tab/>
        <w:t>Doctrina sobre la existencia de la situación de extraordinaria y urgente necesidad en relación con la modificación del régimen de horarios comerciales y de ordenación del comercio minorista (SSTC 81/2015, 156/2015, 18/2016 y  37/2016) [FJ 2 a)].</w:t>
      </w:r>
    </w:p>
    <w:p w:rsidR="00163957" w:rsidRDefault="00163957" w:rsidP="00163957">
      <w:pPr>
        <w:pStyle w:val="Extracto"/>
      </w:pPr>
    </w:p>
    <w:p w:rsidR="00163957" w:rsidRDefault="00163957" w:rsidP="00163957">
      <w:pPr>
        <w:pStyle w:val="Extracto"/>
      </w:pPr>
      <w:r>
        <w:t>3.</w:t>
      </w:r>
      <w:r>
        <w:tab/>
        <w:t>La medida que suprime la paga extraordinaria del mes de diciembre de 2012 al personal del sector público tiene relación directa con la situación de urgencia a la que pretende dar respuesta (SSTC 81/2015 y 243/2015) y se considera una norma instrumental necesaria para asegurar la efectividad de una decisión estatal tendente a la contención de los gastos de personal de las Administraciones públicas [FFJJ 2, 3].</w:t>
      </w:r>
    </w:p>
    <w:p w:rsidR="00163957" w:rsidRDefault="00163957" w:rsidP="00163957">
      <w:pPr>
        <w:pStyle w:val="Extracto"/>
      </w:pPr>
    </w:p>
    <w:p w:rsidR="00163957" w:rsidRDefault="00163957" w:rsidP="00163957">
      <w:pPr>
        <w:pStyle w:val="Extracto"/>
      </w:pPr>
      <w:r>
        <w:t>4.</w:t>
      </w:r>
      <w:r>
        <w:tab/>
        <w:t>Los preceptos que modifican el régimen de permisos y vacaciones de los funcionarios públicos tienen naturaleza materialmente básica, toda vez que brindan una mínima homogeneidad en relación con los supuestos de ausencia temporal justificada al puesto de trabajo y no excluyen las competencias autonómicas de desarrollo legislativo y de ejecución [FJ 4].</w:t>
      </w:r>
    </w:p>
    <w:p w:rsidR="00163957" w:rsidRDefault="00163957" w:rsidP="00163957">
      <w:pPr>
        <w:pStyle w:val="Extracto"/>
      </w:pPr>
    </w:p>
    <w:p w:rsidR="00163957" w:rsidRDefault="00163957" w:rsidP="00163957">
      <w:pPr>
        <w:pStyle w:val="Extracto"/>
      </w:pPr>
      <w:r>
        <w:t>5.</w:t>
      </w:r>
      <w:r>
        <w:tab/>
        <w:t>Las disposiciones relativas a los horarios comerciales, domingos y días festivos y adaptación de los calendarios comerciales autonómicos tienen carácter materialmente básico en la medida en que inciden de manera significativa sobre la actividad económica en general y comercial en particular y fijan un minimun sobre el que la Comunidad Autónoma puede establecer una normativa adicional [FJ 5].</w:t>
      </w:r>
    </w:p>
    <w:p w:rsidR="00163957" w:rsidRDefault="00163957" w:rsidP="00163957">
      <w:pPr>
        <w:pStyle w:val="Extracto"/>
      </w:pPr>
    </w:p>
    <w:p w:rsidR="00163957" w:rsidRDefault="00163957" w:rsidP="00163957">
      <w:pPr>
        <w:pStyle w:val="Extracto"/>
      </w:pPr>
      <w:r>
        <w:t>6.</w:t>
      </w:r>
      <w:r>
        <w:tab/>
        <w:t xml:space="preserve">Es constitucional el precepto que permite a cada comerciante decidir libremente los periodos de rebajas y su duración, dado que regula un marco temporal para el </w:t>
      </w:r>
      <w:r>
        <w:lastRenderedPageBreak/>
        <w:t>desarrollo de específicas modalidades de ventas, lo que debe considerarse integrado en las normas que velan por la defensa de la competencia y que son competencia del Estado [FJ 7 c)].</w:t>
      </w:r>
    </w:p>
    <w:p w:rsidR="00163957" w:rsidRDefault="00163957" w:rsidP="00163957">
      <w:pPr>
        <w:pStyle w:val="Extracto"/>
      </w:pPr>
    </w:p>
    <w:p w:rsidR="00163957" w:rsidRDefault="00163957" w:rsidP="00163957">
      <w:pPr>
        <w:pStyle w:val="Extracto"/>
      </w:pPr>
      <w:r>
        <w:t>7.</w:t>
      </w:r>
      <w:r>
        <w:tab/>
        <w:t>El precepto que regula la venta de saldos como una excepción de la genérica prohibición de venta con pérdidas establecida en virtud del título competencial sobre defensa de la competencia no vulnera la Constitución, pues el Estado se encuentra habilitado para determinar los límites definitorios de la norma genérica dictada en el ejercicio de su competencia [FJ 7 c)].</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recurso de inconstitucionalidad núm. 2218-2013, interpuesto por el Gobierno vasco contra los arts. 2, 8, 10, 27 y 28, así como contra la disposición final tercera, todos ellos del Real Decreto-ley 20/2012, de 13 de julio, de medidas para garantizar la estabilidad presupuestaria y de fomento de la competitividad. Ha comparecido el Abogado del Estado, en representación del Gobierno de la Nación. Ha sido Ponente el Magistrado don Juan José González Rivas,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Mediante un escrito presentado el día 12 de abril de 2013 en el Registro General de este Tribunal, el Procurador de los Tribunales, don Felipe Segundo Juanas Blanco, actuando en nombre y representación del Consejo de Gobierno del País Vasco, asistido por el Letrado don Javier Otaola Bajeneta, interpuso un recurso de inconstitucionalidad (registrado con el núm. 2218-2013) contra los arts. 2 (paga extraordinaria del mes de diciembre de 2012 del personal del sector público), 8 (modificación de los artículos 48 y 50 de la Ley 7/2007, de 12 de abril, de estatuto básico del empleado público y medidas sobre días adicionales), 10 (reducción de créditos y permisos sindicales), 27 (modificación de la Ley 1/2004, de 21 de diciembre, de horarios comerciales) y 28 (modificación de la Ley 7/1996, de 15 de enero, de ordenación del comercio minorista), así como contra la disposición final tercera (adaptación de los calendarios comerciales de las Comunidades Autónomas), todos ellos del Real </w:t>
      </w:r>
      <w:r>
        <w:lastRenderedPageBreak/>
        <w:t>Decreto-ley 20/2012, de 13 de julio, de medidas para garantizar la estabilidad presupuestaria y de fomento de la competitividad.</w:t>
      </w:r>
    </w:p>
    <w:p w:rsidR="00163957" w:rsidRDefault="00163957" w:rsidP="00163957">
      <w:pPr>
        <w:pStyle w:val="TextoNormal"/>
      </w:pPr>
    </w:p>
    <w:p w:rsidR="00163957" w:rsidRDefault="00163957" w:rsidP="00163957">
      <w:pPr>
        <w:pStyle w:val="TextoNormal"/>
      </w:pPr>
      <w:r>
        <w:t>a) En el escrito de demanda, tras excluir el art. 156.1 de la Constitución como un título competencial que habilite al Estado a dictar la norma impugnada y concretar, por tanto, los arts. 149.1.13 y 149.1.18, ambos de la Constitución, como únicos títulos competenciales, se precisa como objetivo principal del Real Decreto-ley 20/2012, de acuerdo con su exposición de motivos, el de atender a la estabilidad presupuestaria, es decir, a la consolidación fiscal y al impulso de reformas estructurales con el fin de alcanzar los niveles de déficit público exigidos por la Unión Europea, de acuerdo con los instrumentos que le confiere la Ley Orgánica 2/2012, de 27 de abril, de estabilidad presupuestaria y sostenibilidad financiera (informativos, preventivos y coercitivos). Eso sí, aunque esos instrumentos le otorgan la posibilidad de adoptar las medidas necesarias para ordenar la política presupuestaria y garantizar los equilibrios exigibles, no le habilitan a hacerlo de forma unilateral mediante la adopción de medidas de cumplimiento forzoso, sin intervención previa de la comisión mixta, sobre todo cuando la propia Ley Orgánica 2/2012 salvaguarda para las Comunidades Autónomas un ámbito para su propia corresponsabilidad y para el ejercicio de sus propias opciones en orden a la garantía de los objetivos comunes, otorgando un suficiente margen de libertad de decisión a las Comunidades Autónomas.</w:t>
      </w:r>
    </w:p>
    <w:p w:rsidR="00163957" w:rsidRDefault="00163957" w:rsidP="00163957">
      <w:pPr>
        <w:pStyle w:val="TextoNormal"/>
      </w:pPr>
    </w:p>
    <w:p w:rsidR="00163957" w:rsidRDefault="00163957" w:rsidP="00163957">
      <w:pPr>
        <w:pStyle w:val="TextoNormal"/>
      </w:pPr>
      <w:r>
        <w:t xml:space="preserve">A juicio del Gobierno vasco, el Real Decreto-ley 20/2012 carece de legitimidad constitucional al adoptar una serie de medidas coercitivas sin la intervención previa de la comisión mixta del concierto económico (Ley 12/2002), bien en el proceso de elaboración de la norma, como plasmación de los principios de coordinación y colaboración, bien </w:t>
      </w:r>
      <w:r w:rsidRPr="00163957">
        <w:rPr>
          <w:i/>
        </w:rPr>
        <w:t>a posteriori</w:t>
      </w:r>
      <w:r>
        <w:t>, con una previsión expresa que hiciera un llamamiento a los mecanismos previstos en el concierto. Siendo aplicables a la Comunidad Autónoma del País Vasco las normas estatales sobre estabilidad presupuestaria, su aplicación no sólo exige incluir en la norma “una referencia que salvaguarde las particularidades que derivan del Concierto Económico”, sino que impone la necesaria intervención de la comisión mixta del concierto a los efectos de acordar los compromisos de coordinación y colaboración en la materia, aunque hasta la fecha dicha colaboración se haya limitado al acuerdo del objetivo de estabilidad presupuestaria, a la adopción, en su caso, de medidas de saneamiento, así como al establecimiento de un flujo de información al respecto. En suma, la norma impugnada vulnera, a su juicio, los principios de coordinación y colaboración establecidos tanto en la Ley Orgánica 2/2012 como en la Ley 12/2002.</w:t>
      </w:r>
    </w:p>
    <w:p w:rsidR="00163957" w:rsidRDefault="00163957" w:rsidP="00163957">
      <w:pPr>
        <w:pStyle w:val="TextoNormal"/>
      </w:pPr>
    </w:p>
    <w:p w:rsidR="00163957" w:rsidRDefault="00163957" w:rsidP="00163957">
      <w:pPr>
        <w:pStyle w:val="TextoNormal"/>
      </w:pPr>
      <w:r>
        <w:t>b) Tras analizar la Resolución 187/2013 del Tribunal Constitucional de Portugal, relativa a la supresión de la paga de vacaciones a los empleados públicos, entra el Gobierno recurrente a concretar los motivos por los que considera que es inconstitucional el art. 2 del Real Decreto-ley 20/2012 (que suprime la paga extraordinaria del mes de diciembre de 2012 al personal del sector público) A este respecto, precisa que este precepto establece una reducción de aproximadamente la mitad de las retribuciones salariales de los empleados públicos del mes de diciembre de 2012, que no cumple con el presupuesto constitucional del art. 86.1 CE al no existir la necesaria entre la pretendida situación de urgencia y extraordinaria necesidad a la que se dirige y la modificación del sueldo de los funcionarios (concretado 15 días antes por la Ley de presupuestos para 2012).</w:t>
      </w:r>
    </w:p>
    <w:p w:rsidR="00163957" w:rsidRDefault="00163957" w:rsidP="00163957">
      <w:pPr>
        <w:pStyle w:val="TextoNormal"/>
      </w:pPr>
    </w:p>
    <w:p w:rsidR="00163957" w:rsidRDefault="00163957" w:rsidP="00163957">
      <w:pPr>
        <w:pStyle w:val="TextoNormal"/>
      </w:pPr>
      <w:r>
        <w:lastRenderedPageBreak/>
        <w:t>c) Por otra parte, aun la medida controvertida se dicta por el Estado al amparo de los arts. 149.1.13, 149.1.18 y 156.1 de la Constitución, lo cierto es que el título prevalente es el art. 149.1.18 CE que le atribuye la competencia para dictar las bases del régimen jurídico de las Administraciones públicas, dentro del cual al Estado le corresponde la determinación del sueldo, trienios pagas extraordinarias, y a las administraciones competentes, el complemento específico. Ahora bien, también es cierto que el art. 149.1.13 CE le habilita para adoptar medidas económicas generales de carácter presupuestario dirigidas a contener la expansión relativa de uno de los componentes esenciales del gasto público (STC 63/1986, FJ 11), lo que permite afirmar que la medida de reducción salarial de los empleados del sector público para el año 2012 prevista en el apartado 1 de ese art. 2 encontraría amparo competencial en el título de ese art. 149.1.13 CE, por tratarse de una norma coyuntural, de formulación y alcance general, que tiene un contenido mínimamente económico y una incidencia directa en el gasto de 2012, y cuya finalidad es dar cumplimiento a los compromisos de estabilidad presupuestaria.</w:t>
      </w:r>
    </w:p>
    <w:p w:rsidR="00163957" w:rsidRDefault="00163957" w:rsidP="00163957">
      <w:pPr>
        <w:pStyle w:val="TextoNormal"/>
      </w:pPr>
    </w:p>
    <w:p w:rsidR="00163957" w:rsidRDefault="00163957" w:rsidP="00163957">
      <w:pPr>
        <w:pStyle w:val="TextoNormal"/>
      </w:pPr>
      <w:r>
        <w:t>No puede decirse lo mismo, sin embargo, a juicio del Gobierno vasco, de los mecanismos concretos y el procedimiento de aplicación previsto en el apartado 2 del art. 2 para hacer efectiva la reducción de las retribuciones, pues se regula, en términos precisos, el modo de ejecutar la reducción por las Comunidades Autónomas y el resto de administraciones, empresas y entes afectados, imponiendo a las Comunidades Autónomas un tipo de actuación delimitada y restringida (la reducción de retribuciones debe realizarse en la paga extraordinaria de diciembre en toda su integridad), sin margen de actuación alguno.</w:t>
      </w:r>
    </w:p>
    <w:p w:rsidR="00163957" w:rsidRDefault="00163957" w:rsidP="00163957">
      <w:pPr>
        <w:pStyle w:val="TextoNormal"/>
      </w:pPr>
    </w:p>
    <w:p w:rsidR="00163957" w:rsidRDefault="00163957" w:rsidP="00163957">
      <w:pPr>
        <w:pStyle w:val="TextoNormal"/>
      </w:pPr>
      <w:r>
        <w:t>d) Los siguientes preceptos impugnados son los arts. 8 (modificación de los artículos 48 y 50 de la Ley 7/2007, de 12 de abril, de estatuto básico del empleado público y medidas sobre días adicionales, concretamente, en lo referido a los “permisos de los funcionarios públicos” y a las “vacaciones de los funcionarios públicos”, respectivamente) y 10 (referente a la “reducción de créditos y permisos sindicales”), por considerar que esta regulación no encuentra justificación en el título competencial del art. 149.1.13 CE, al tratarse de una medida relativa al alcance y duración mínima de las jornadas de los empleados públicos que no tiene una incidencia directa y significativa en el ámbito de la economía general, tanto más cuando su contenido no es inherentemente económico ni afecta a aspectos retributivos. La eventualidad de un potencial ahorro como consecuencia del incremento de las horas de trabajo no es justificación suficiente para encajarla como una medida directa a efectos de la dirección política o presupuestaria, ni de la consecución de los objetivos de estabilidad presupuestaria que avalarían la invocación de los títulos previstos en los arts. 149.1.13 CE y 156.2, ambos de la Constitución.</w:t>
      </w:r>
    </w:p>
    <w:p w:rsidR="00163957" w:rsidRDefault="00163957" w:rsidP="00163957">
      <w:pPr>
        <w:pStyle w:val="TextoNormal"/>
      </w:pPr>
    </w:p>
    <w:p w:rsidR="00163957" w:rsidRDefault="00163957" w:rsidP="00163957">
      <w:pPr>
        <w:pStyle w:val="TextoNormal"/>
      </w:pPr>
      <w:r>
        <w:t xml:space="preserve">e) También considera inconstitucionales el Gobierno vasco los arts. 27 (“Modificación de la Ley 1/2004, de 21 de diciembre, de horarios comerciales”) y 28 (“Modificación de la Ley 7/1996, de 15 de enero, de ordenación del comercio minorista”), así como la disposición final tercera (“Adaptación de los calendarios comerciales de las Comunidades Autónomas”), todos ellos del Real Decreto-ley 20/2012, de 13 de julio. En primer lugar, a juicio del Gobierno vasco, no se ha proporcionado en el debate parlamentario de convalidación información ni datos objetivos que justifiquen la extraordinaria y urgente necesidad para efectuar las modificaciones que aborda, en los términos señalados en la STC 31/2011, que declaró la inexistencia del presupuesto habilitante para regular mediante el instrumento de urgencia (el Real Decreto-ley 6/2000) los horarios comerciales. Tampoco en el preámbulo </w:t>
      </w:r>
      <w:r>
        <w:lastRenderedPageBreak/>
        <w:t>del propio Real Decreto-ley 20/2012 ni en el propio debate de convalidación se ha justificado la adecuación de las medidas propuestas para dar respuesta a la situación de urgencia existente, ni los perjuicios que ocasionaría la adopción de las medidas cuestionadas por el procedimiento parlamentario ordinario, lo que, a su juicio, vulnera el art. 86.1 CE.</w:t>
      </w:r>
    </w:p>
    <w:p w:rsidR="00163957" w:rsidRDefault="00163957" w:rsidP="00163957">
      <w:pPr>
        <w:pStyle w:val="TextoNormal"/>
      </w:pPr>
    </w:p>
    <w:p w:rsidR="00163957" w:rsidRDefault="00163957" w:rsidP="00163957">
      <w:pPr>
        <w:pStyle w:val="TextoNormal"/>
      </w:pPr>
      <w:r>
        <w:t>f) El art. 27 del Real Decreto-ley 20/2012 (modificación de la Ley 1/2004, de 21 de diciembre, de horarios comerciales) se inserta dentro de la materia de comercio interior (SSTC 225/1993, FJ 2; 164/2006, FJ 5; y 88/2010, FJ 2), la cual, según el art. 10.27 del Estatuto de Autonomía del País Vasco, es una competencia exclusiva de la Comunidad Autónoma, salvo en lo relativo a la política general de precios, a la libre circulación de bienes y a la defensa de la competencia. Ahora bien, siendo cierto que el Estado a través del título competencial del art. 149.1.13 CE puede incidir en la libertad de fijación de horarios comerciales [STC 284/1993, FJ 4 B)] cuando persiga un objetivo de política económica general, no puede hacerlo con tal grado de desarrollo que deje vacías de contenido las correlativas competencias autonómicas, pues cada Comunidad Autónoma, dentro de su ámbito territorial, debe poder ejercer las competencias de desarrollo normativo y/o ejecución [STC 284/1993, FJ 4 C)]. Hecha esta precisión, resulta para el Gobierno vasco que el art. 3.1 de la Ley 1/2004, de 21 de diciembre, establecía un horario global dentro del cual los comercios podían desarrollar su actividad de 72 horas los días laborales, habiendo sido validada esta medida por la STC 26/2012, de 1 de marzo, que la consideró como una medida formal y materialmente básica. Sin embargo, el art. 27.1 (que modifica el art. 3.1 de la Ley 1/2004, de 21 de diciembre, de horarios comerciales) y el art. 4 (que modifica la disposición adicional primera de la Ley 1/2004) del Real Decreto-ley 20/2012, elevan el horario de 72 a 90 horas, en una clara extralimitación del título competencial previsto en el art. 149.1.13 CE que vacía la competencia en materia de comercio interior de las Comunidades Autónomas.</w:t>
      </w:r>
    </w:p>
    <w:p w:rsidR="00163957" w:rsidRDefault="00163957" w:rsidP="00163957">
      <w:pPr>
        <w:pStyle w:val="TextoNormal"/>
      </w:pPr>
    </w:p>
    <w:p w:rsidR="00163957" w:rsidRDefault="00163957" w:rsidP="00163957">
      <w:pPr>
        <w:pStyle w:val="TextoNormal"/>
      </w:pPr>
      <w:r>
        <w:t>También el art. 27.2 (que modifica el art. 4 de la Ley 1/2004), al determinar el número mínimo de domingos y días festivos que los comercios pueden permanecer abiertos al público (en principio, dieciséis, pudiendo las Comunidades Autónomas, de un lado, incrementar o reducir dicho número aunque nunca por debajo de diez días de apertura, y, de otro, determinar los días de apertura, otorgando además libertad a cada comerciante para fijar el horario de los domingos y festivos en los que ejerza su actividad), se está extralimitando de las competencias que el art. 149.1.13 CE atribuye al Estado. Aunque el art. 4 de la Ley 1/2004 fue también validado por la misma STC 26/2012 (FJ 8), las modificaciones operadas por el Real Decreto-ley 20/2012 anulan el margen de decisión de la Comunidad Autónoma, cuya intervención queda ahora más limitada, pues no permite el desarrollo normativo por su parte, actuando como meras ejecutoras de la normativa básica, lo que viola la competencia que le corresponde en exclusiva en materia de comercio interior (art. 10.27 del Estatuto). Este debe llevar, a juicio del Gobierno vasco, a la declaración de inconstitucionalidad tanto del citado art. 27.2 como, por su conexión con este, de la disposición final tercera del mismo Real Decreto-ley 20/2012.</w:t>
      </w:r>
    </w:p>
    <w:p w:rsidR="00163957" w:rsidRDefault="00163957" w:rsidP="00163957">
      <w:pPr>
        <w:pStyle w:val="TextoNormal"/>
      </w:pPr>
    </w:p>
    <w:p w:rsidR="00163957" w:rsidRDefault="00163957" w:rsidP="00163957">
      <w:pPr>
        <w:pStyle w:val="TextoNormal"/>
      </w:pPr>
      <w:r>
        <w:t xml:space="preserve">En fin, también el art. 27.4 (que modifica la disposición adicional primera de la Ley 1/2004) y 5 (que modifica la disposición adicional segunda de la Ley 1/2004) serían inconstitucionales por contener disposiciones de derecho supletorio contrarias al art. 149.3 CE. En este sentido, el art. 27.4 (régimen de libertad de horarios) prevé que de no producirse normativa autonómica se otorga libertad absoluta a los comerciantes para fijar las horas de </w:t>
      </w:r>
      <w:r>
        <w:lastRenderedPageBreak/>
        <w:t>apertura de sus establecimientos. Por su parte, el art. 27.5 confiere a las Comunidades Autónomas unas facultades limitadas (la determinación de los 16 domingos y festivos de apertura, ampliables o reducibles hasta un mínimo de diez) que, de no hacerse efectivas, autorizan a los comerciantes para fijar los domingos y festivos de apertura de sus establecimientos. Pues bien, el Estado no puede en materias donde ostenta competencias compartidas invocar la cláusula de supletoriedad para producir normas meramente supletorias vulnerando el orden constitucional de competencias (STC 118/1996, FJ 6). El presupuesto de aplicación de la supletoriedad no es la ausencia de regulación, sino la presencia de una laguna detectada, y resulta que en esta materia no es posible que el aplicador detecte una laguna porque no existe, como lo demuestra el Decreto 33/2005, de 22 de febrero, de horarios comerciales de la Comunidad Autónoma de Euskadi.</w:t>
      </w:r>
    </w:p>
    <w:p w:rsidR="00163957" w:rsidRDefault="00163957" w:rsidP="00163957">
      <w:pPr>
        <w:pStyle w:val="TextoNormal"/>
      </w:pPr>
    </w:p>
    <w:p w:rsidR="00163957" w:rsidRDefault="00163957" w:rsidP="00163957">
      <w:pPr>
        <w:pStyle w:val="TextoNormal"/>
      </w:pPr>
      <w:r>
        <w:t>g) El art. 28 del Real Decreto-ley 20/2012 modifica la Ley 7/1996, de 15 de enero, de ordenación del comercio minorista, y se dicta al amparo del título competencial previsto en el art. 149.1.13 CE. Concretamente, modifica los arts. 18 (concepto de promoción de ventas), 20 (constancia de reducción de precios), 25 (temporada de rebajas), 26 (calidad de los productos rebajados), 27 (concepto de las ventas en promoción), 28 (concepto de venta de saldos) y 31 (duración y reiteración de ventas en liquidación). A juicio del Gobierno vasco se ha producido una alteración del título competencial que no solo es contrario al principio de seguridad jurídica (art. 9.3 CE), al justificar ahora el Estado su regulación en el art. 149.1.13 CE en lugar de hacerlo como venía sucediendo con anterioridad a la modificación en el titulo previsto en el art. 149.1.6 CE., sino que no deja espacio alguno al legislador autonómico para el ejercicio de sus competencias en una materia en la que concurren los títulos competenciales del Estado sobre Derecho mercantil de la competencia (art. 149.1.6 CE) y de la Comunidad Autónoma sobre comercio interior (art. 10.27 del Estatuto de Autonomía) y sobre defensa del consumidor y del usuario (art. 10.28 del Estatuto). Con este cambio de título competencial se ha pasado de uno (el art. 149.1.6 CE) que, aun siendo exclusivo del Estado, permitía, la intervención de las Comunidades Autónomas con competencias en materia de comercio interior, a otro (el art. 149.1.13 CE), también exclusivo del Estado, pero que debe desplegar sus efectos en la combinación bases-desarrollo legislativo, ocupando todo el espacio normativo e impidiendo el ejercicio por parte de la Comunidad Autónoma de sus competencias exclusivas en materia de comercio interior (art. 10.27 del Estatuto).</w:t>
      </w:r>
    </w:p>
    <w:p w:rsidR="00163957" w:rsidRDefault="00163957" w:rsidP="00163957">
      <w:pPr>
        <w:pStyle w:val="TextoNormal"/>
      </w:pPr>
    </w:p>
    <w:p w:rsidR="00163957" w:rsidRDefault="00163957" w:rsidP="00163957">
      <w:pPr>
        <w:pStyle w:val="TextoNormal"/>
      </w:pPr>
      <w:r w:rsidRPr="00163957">
        <w:rPr>
          <w:rStyle w:val="NumeroAFNegritaCaracter"/>
        </w:rPr>
        <w:t>2</w:t>
      </w:r>
      <w:r>
        <w:t>. Por diligencia de ordenación del Pleno de este Tribunal Constitucional con fecha de 16 de abril de 2013 se acordó requerir al Procurador don Felipe Segundo Juanas Blanco para que aportase tanto el acuerdo del Consejo de Gobierno por el que se decidió interponer el presente recurso de inconstitucionalidad contra el Real Decreto-ley 20/2012, como el poder notarial acreditativo de la representación que decía ostentar del Gobierno vasco, lo que cumplimentó por escrito registrado en este Tribunal el día 24 de abril de 2013.</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Por providencia de fecha 21 de mayo de 2013 el Pleno de este Tribunal acordó admitir a trámite el recurso de inconstitucionalidad, dando traslado de la demanda y documentos presentados, conforme establece el art. 34 de la Ley Orgánica del Tribunal Constitucional (LOTC), al Congreso de los Diputados y al Senado, por conducto de sus Presidentes, y al Gobierno por conducto del Ministro de Justicia, al objeto de que en el improrrogable plazo de quince días pudieran personarse en el proceso y formular las alegaciones que estimasen convenientes. Al tiempo, se acordó publicar la incoación del recurso de inconstitucionalidad </w:t>
      </w:r>
      <w:r>
        <w:lastRenderedPageBreak/>
        <w:t>en el “Boletín Oficial del Estado” (lo que se llevó a efecto en el “BOE” núm. 132, de 3 de junio).</w:t>
      </w:r>
    </w:p>
    <w:p w:rsidR="00163957" w:rsidRDefault="00163957" w:rsidP="00163957">
      <w:pPr>
        <w:pStyle w:val="TextoNormal"/>
      </w:pPr>
    </w:p>
    <w:p w:rsidR="00163957" w:rsidRDefault="00163957" w:rsidP="00163957">
      <w:pPr>
        <w:pStyle w:val="TextoNormal"/>
      </w:pPr>
      <w:r w:rsidRPr="00163957">
        <w:rPr>
          <w:rStyle w:val="NumeroAFNegritaCaracter"/>
        </w:rPr>
        <w:t>4</w:t>
      </w:r>
      <w:r>
        <w:t>. Por escrito registrado el día 5 de junio de 2013, el Abogado del Estado solicitó su personación en nombre del Gobierno de la Nación y una ampliación del plazo de presentación de alegaciones, accediéndose a esta petición mediante providencia del Pleno de este Tribunal de fecha 7 de junio de 2013, que amplió en ocho días el plazo inicialmente conferido.</w:t>
      </w:r>
    </w:p>
    <w:p w:rsidR="00163957" w:rsidRDefault="00163957" w:rsidP="00163957">
      <w:pPr>
        <w:pStyle w:val="TextoNormal"/>
      </w:pPr>
    </w:p>
    <w:p w:rsidR="00163957" w:rsidRDefault="00163957" w:rsidP="00163957">
      <w:pPr>
        <w:pStyle w:val="TextoNormal"/>
      </w:pPr>
      <w:r w:rsidRPr="00163957">
        <w:rPr>
          <w:rStyle w:val="NumeroAFNegritaCaracter"/>
        </w:rPr>
        <w:t>5</w:t>
      </w:r>
      <w:r>
        <w:t>. El Presidente del Senado, mediante escrito registrado en este Tribunal el día 6 de junio de 2013, comunicó a este Tribunal el acuerdo de la Mesa de la Cámara de personación en el procedimiento y de ofrecimiento de colaboración a efectos del art. 88.1 LOTC. Y por escrito registrado el día 7 de junio siguiente, el Presidente del Congreso comunicó el acuerdo de la Mesa de la Cámara en el mismo sentido, esto es, de personación en el procedimiento y de ofrecimiento de colaboración a efectos del art. 88.1 LOTC, remitiéndose a la Dirección General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rsidRPr="00163957">
        <w:rPr>
          <w:rStyle w:val="NumeroAFNegritaCaracter"/>
        </w:rPr>
        <w:t>6</w:t>
      </w:r>
      <w:r>
        <w:t>. El día 1 de julio de 2013 el Abogado del Estado, en la representación que ostenta, presentó su escrito de alegaciones solicitando la desestimación del recurso en su integridad. Arranca en sus alegaciones analizando la concurrencia del presupuesto habilitante en el Real Decreto-ley 20/2012 según ha sido interpretado por la doctrina constitucional (SSTC 329/2005, FJ 5; 332/2005, FFJJ 5 y ss.; 68/2007, FJ 6; 31/2011, FJ 3; 137/2011, FJ 4, y 1/2012, FJ 6).</w:t>
      </w:r>
    </w:p>
    <w:p w:rsidR="00163957" w:rsidRDefault="00163957" w:rsidP="00163957">
      <w:pPr>
        <w:pStyle w:val="TextoNormal"/>
      </w:pPr>
    </w:p>
    <w:p w:rsidR="00163957" w:rsidRDefault="00163957" w:rsidP="00163957">
      <w:pPr>
        <w:pStyle w:val="TextoNormal"/>
      </w:pPr>
      <w:r>
        <w:t>a) Para el Abogado del Estado, si la “extraordinaria y urgente necesidad” ha de ser explicitada y razonada, debiendo existir una conexión entre la situación de urgencia definida y la medida concreta adoptada, y el decreto-ley puede atender a coyunturas económicas problemáticas (SSTC 6/1983, 11/1983, 29/1986, 23/1993, 182/1997 y 137/2003), el Real Decreto-ley 20/2012 supera claramente el test de constitucionalidad, porque los órganos políticos han cumplido con la exigencia de exteriorizar las razones de urgencia que legitiman la utilización de esta figura normativa. En efecto, tal y como refleja el preámbulo y la intervención del Ministro de Hacienda en el debate de convalidación, la norma se adopta en el marco de una crisis económica sin precedentes que exige fuertes ajustes presupuestarios y que supone la adopción de una estrategia político económica sobre dos ejes: la consolidación fiscal y el impulso de nuevas reformas estructurales. En suma, la senda de la consolidación fiscal pactada con los órganos de la Unión Europea obligaba a España a una fuerte reducción del déficit público, en un contexto recesivo, lo que le conducía a adoptar necesariamente importantes medidas de reducción del gasto público.</w:t>
      </w:r>
    </w:p>
    <w:p w:rsidR="00163957" w:rsidRDefault="00163957" w:rsidP="00163957">
      <w:pPr>
        <w:pStyle w:val="TextoNormal"/>
      </w:pPr>
    </w:p>
    <w:p w:rsidR="00163957" w:rsidRDefault="00163957" w:rsidP="00163957">
      <w:pPr>
        <w:pStyle w:val="TextoNormal"/>
      </w:pPr>
      <w:r>
        <w:t xml:space="preserve">b) Respecto de que la norma impugnada ignora los procesos de instrumentación que regulan tanto la Ley Orgánica 2/2012, de 27 de abril, de estabilidad presupuestaria y sostenibilidad financiera, como la Ley del concierto económico, lo cierto es que, para el Abogado del Estado, la aplicación de los preceptos del Real Decreto-ley 20/2012 opera en un plano distinto a la Ley de estabilidad pues se trata de una norma excepcional que actúa para atender una coyuntura económica comprometida con medidas que sólo encuentran sentido si son adoptadas simultáneamente por todas las Administraciones públicas y con la finalidad </w:t>
      </w:r>
      <w:r>
        <w:lastRenderedPageBreak/>
        <w:t>de minorar el déficit público, que no supone su suplantación, por mucho que con todas las medidas adoptadas se persiguiese el control del déficit público. Ciertamente, no supone la inaplicación de la Ley Orgánica 2/2012 porque el superávit del País Vasco en el tercer trimestre de 2012 hizo que no se tuvieran que aplicar a esta Comunidad Autónoma ninguno de los mecanismos preventivos y correctivos legalmente previstos, ni que tuviera que exigírsele la adopción de otras medidas de recorte de gastos o de incremento de los ingresos. Pero tampoco supone la inaplicación de la Ley del concierto porque esta norma no impide la aplicación a la Comunidad Autónoma del País Vasco de las limitaciones de gasto establecidas por el Estado (así se ha reconocido expresamente respecto de Navarra en las SSTC 148/2006, 195/2006 y 297/2006).</w:t>
      </w:r>
    </w:p>
    <w:p w:rsidR="00163957" w:rsidRDefault="00163957" w:rsidP="00163957">
      <w:pPr>
        <w:pStyle w:val="TextoNormal"/>
      </w:pPr>
    </w:p>
    <w:p w:rsidR="00163957" w:rsidRDefault="00163957" w:rsidP="00163957">
      <w:pPr>
        <w:pStyle w:val="TextoNormal"/>
      </w:pPr>
      <w:r>
        <w:t>c) Con relación a la pretendida inconstitucionalidad de los arts. 2, 8 y 10 del Real Decreto-ley 20/2012, precisa el Abogado del Estado, en primer lugar, que la exposición de motivos, tras definir la situación excepcional a la que responde (racionalizar y reducir el gasto de personal de las Administraciones públicas, en un situación de crisis económica con efectos sobre la economía, el mercado del trabajo y las finanzas, con la necesidad urgente de acometer reformas estructurales en nuestro sistema de empleo público que contribuya a reforzar tanto la garantía de cumplimiento de los compromisos adquiridos por España en materia de gasto público y déficit como la mejora de la eficiencia, productividad y competitividad de nuestra economía), pasa a concretar las razones por las que se adoptan las medidas impugnadas. De acuerdo con la exposición de motivos de la norma “el proceso de consolidación fiscal y de sostenibilidad de las cuentas públicas exige de las Administraciones Públicas continuar adaptando una serie de medidas extraordinarias y cuya adopción debe ser urgente, dirigidas a racionalizar y reducir el gasto de personal de las Administraciones Públicas y a incrementar la eficiencia de su gestión”, debiéndose “adoptar medidas que ahorren gastos de personal e incrementen la calidad y productividad del empleo público”. Subraya el Abogado del Estado que se trata de medidas que se deben adoptar de manera conjunta para ofrecer un cambio estructural y coherente que permita, contemplado en su totalidad, la satisfacción de los mencionados objetivos de austeridad y eficiencia en las Administraciones públicas. Para ello, “se reducen los días de libre disposición. Además, se suprimen los días adicionales por antigüedad tanto en el caso de las vacaciones como en el de los días por asuntos particulares y se suspenden los pactos y acuerdos que contradigan estas disposiciones. Se homogeniza, asimismo, el régimen de permisos para todas las Administraciones Públicas. Con la misma finalidad de racionalizar el gasto de personal, se limita el número de días de asuntos particulares y de días adicionales a los de libre disposición que puedan haber establecido las Administraciones Públicas y se adoptan medidas con la misma finalidad en relación con el personal laboral, así como respecto de las vacaciones. Igualmente, en materia de tiempo retribuido para realizar funciones sindicales y de representación, nombramiento de delegados sindicales, dispensas de asistencia al trabajo y demás derechos sindicales, se limitan los actualmente existentes a los estrictamente previstos por la normativa laboral, favoreciendo el incremento de los tiempos de trabajo destinados directamente al servicio público”. Y la conexión de sentido se extrae del debate de convalidación del Real Decreto-ley, donde el Ministro de Hacienda afirmó que “de una crisis como esta salimos trabajando más, todos, todos tenemos que trabajar más… Tenemos que pedir también esfuerzos, compromisos a los que hoy tienen trabajo, como ocurre con la Función pública”. No cabe duda, pues, a juicio del Abogado del Estado, de la relación de causalidad entre las circunstancias de urgencia apreciadas y las concretas medidas adoptadas.</w:t>
      </w:r>
    </w:p>
    <w:p w:rsidR="00163957" w:rsidRDefault="00163957" w:rsidP="00163957">
      <w:pPr>
        <w:pStyle w:val="TextoNormal"/>
      </w:pPr>
    </w:p>
    <w:p w:rsidR="00163957" w:rsidRDefault="00163957" w:rsidP="00163957">
      <w:pPr>
        <w:pStyle w:val="TextoNormal"/>
      </w:pPr>
      <w:r>
        <w:lastRenderedPageBreak/>
        <w:t>Procede, a continuación, el Abogado del Estado a analizar el carácter básico de los arts. 2, 8 y 10, del Real Decreto-ley 20/2012, para lo cual, tras recordar la doctrina del Tribunal Constitucional referida a la extensión del título competencial previsto en el art. 149.1.18 CE, respecto del régimen estatutario de los funcionarios públicos, la doctrina del Tribunal Constitucional referida al título competencial previsto en el art. 149.1.13 CE, en relación con la reducción de gasto público en materia de personal, así como la doctrina del Tribunal Constitucional sobre la obligación de todas las Comunidades Autónomas de concurrir al cumplimiento del principio de estabilidad presupuestaria, sostiene la competencia estatal para fijar el régimen común de derechos de los empleados públicos para todo el territorio nacional, pues tanto las medidas de contención de los gastos de personal como las relativas a los días de vacaciones y de permiso les corresponde fijarlas al Estado con carácter básico.</w:t>
      </w:r>
    </w:p>
    <w:p w:rsidR="00163957" w:rsidRDefault="00163957" w:rsidP="00163957">
      <w:pPr>
        <w:pStyle w:val="TextoNormal"/>
      </w:pPr>
    </w:p>
    <w:p w:rsidR="00163957" w:rsidRDefault="00163957" w:rsidP="00163957">
      <w:pPr>
        <w:pStyle w:val="TextoNormal"/>
      </w:pPr>
      <w:r>
        <w:t>En primer lugar, considera el Abogado del Estado que, aun cuando la supresión de la paga extraordinaria (art. 2) constituye una medida que debe ser adoptada simultáneamente para todo el sector público, no siendo posible que su ejecución quede a la disposición de las Comunidades Autónomas, entidades locales y demás entes del sector público, sin embargo, deja un ámbito de concreción por parte de las Comunidades Autónomas que acomodarán la deducción retributiva a lo largo de las nóminas devengadas desde su entrada en vigor. En segundo lugar, entiende que el legislador básico puede establecer, para todas las Administraciones públicas, un límite máximo en el número de días que los empleados públicos pueden disponer de vacaciones o de permisos por asuntos particulares (art. 8), pudiendo las Comunidades Autónomas fijar límites máximos aún más estrictos, que contribuyan a incrementar su productividad interna y a reducir sus déficits. Asimismo, las Comunidades Autónomas pueden optar por fijar la forma en que se disfruten las vacaciones (por días sueltos o estableciendo un mínimo de días consecutivos), la posibilidad de unir los días de vacaciones a los de los distintos permisos, la de disfrutar permisos y vacaciones de un año en el mes de enero del siguiente, etc. Y, en tercer lugar, opina que el hecho de que la reducción de créditos y permisos sindicales en el ámbito de las Administraciones públicas, entidades, universidades, fundaciones y sociedades dependientes de las mismas (art. 10), se ajuste a lo que determine el estatuto de los trabajadores, la Ley de libertad sindical y la Ley del estatuto básico del empleado público, configura una medida que se integra dentro de un conjunto de ellas dirigidas a la reducción del déficit público, mejorando la eficiencia de las Administraciones públicas y racionalizando el gasto de personal, para favorecer el incremento de los tiempos de trabajo destinados al servicio público, con un ahorro anual estimado de 62 millones de euros.</w:t>
      </w:r>
    </w:p>
    <w:p w:rsidR="00163957" w:rsidRDefault="00163957" w:rsidP="00163957">
      <w:pPr>
        <w:pStyle w:val="TextoNormal"/>
      </w:pPr>
    </w:p>
    <w:p w:rsidR="00163957" w:rsidRDefault="00163957" w:rsidP="00163957">
      <w:pPr>
        <w:pStyle w:val="TextoNormal"/>
      </w:pPr>
      <w:r>
        <w:t xml:space="preserve">d) Respecto del segundo bloque de preceptos impugnados, esto es, los arts. 27 y 28, y la disposición final tercera, todos ellos del Real Decreto-ley 20/2012, para el Abogado del Estado, de acuerdo con la exposición de motivos de la norma, se recogen “un conjunto de medidas urgentes de carácter liberalizador en el ámbito de la distribución comercial y de fomento de la actividad en el sector exterior… La ampliación de la libertad de horarios tendrá efectos positivos sobre la productividad y la eficiencia en la distribución comercial minorista y los precios y proporcionará a las empresas una nueva variable que permitirá incrementar la competencia efectiva entre los comercios. Asimismo, se incrementan las posibilidades de compra del consumidor y, en consecuencia, sus oportunidades de conciliación de la vida familiar y laboral… Además se introducen medidas urgentes en relación con las promociones de ventas, mediante una modificación del Título II de la Ley 7/1996, de 15 de </w:t>
      </w:r>
      <w:r>
        <w:lastRenderedPageBreak/>
        <w:t>enero, de ordenación del comercio minorista. Las medidas propuestas son de carácter general, para todo tipo de actividades de promoción de ventas, es decir, rebajas, saldos, liquidaciones o cualquier otra oferta promocional destinada al incremento de las ventas. Con ello se pretende liberalizar el ejercicio de la actividad comercial, dando la posibilidad de realizar a un mismo tiempo y en un mismo establecimiento comercial cualquier tipo de actividad de promoción de ventas, de tal forma que las rebajas puedan convivir con los saldos u otras ofertas comerciales”.</w:t>
      </w:r>
    </w:p>
    <w:p w:rsidR="00163957" w:rsidRDefault="00163957" w:rsidP="00163957">
      <w:pPr>
        <w:pStyle w:val="TextoNormal"/>
      </w:pPr>
    </w:p>
    <w:p w:rsidR="00163957" w:rsidRDefault="00163957" w:rsidP="00163957">
      <w:pPr>
        <w:pStyle w:val="TextoNormal"/>
      </w:pPr>
      <w:r>
        <w:t>Por otra parte, la conexión de las medidas adoptadas en los arts. 27 y 28 con la situación de extraordinaria y urgente necesidad alegada no sólo se desprende también del Preámbulo, sino que fue mencionada en el debate de convalidación y aparece extensamente justificada en la memoria del análisis del impacto normativo del Real Decreto-ley 20/2012. En particular, señala el Abogado del Estado, en una situación de crisis como la padecida que ha llevado a cifras de paro hasta ahora desconocidas, en la que España ha entrado en una segunda recesión en poco tiempo debida a un hundimiento del consumo interno y, por tanto, de uno de los componentes de la demanda agregada, es clara la urgencia de implementar medidas que esperan producir “un incremento del PIB de un 1,63 por 100 para el conjunto de la economía nacional, (aprox. 17.187 millones de euros)” y “337.581 nuevos puestos de trabajo en el total de la economía”. Se podrá decir que son simples previsiones, pero todas lo son en materia económica.</w:t>
      </w:r>
    </w:p>
    <w:p w:rsidR="00163957" w:rsidRDefault="00163957" w:rsidP="00163957">
      <w:pPr>
        <w:pStyle w:val="TextoNormal"/>
      </w:pPr>
    </w:p>
    <w:p w:rsidR="00163957" w:rsidRDefault="00163957" w:rsidP="00163957">
      <w:pPr>
        <w:pStyle w:val="TextoNormal"/>
      </w:pPr>
      <w:r>
        <w:t xml:space="preserve">e) A continuación pasa el Abogado del Estado a analizar el carácter materialmente básico del art. 27 del Real Decreto-ley 20/2012. En este sentido, según la doctrina del Tribunal referida al régimen de horarios comerciales [SSTC 225/1993, de 8 de julio, FJ 4; 264/1993, de 22 de julio, FJ 3 c); 284/1993, de 30 de septiembre, FJ 4; 88/2010, de 15 de noviembre, FJ 5; 140/2011, de 14 de septiembre, FFJJ 2 a 4, y 26/2012, de 1 de marzo, FFJJ 6 a 8], cuando la normativa estatal básica desregule, por liberalizar, un sector (como supone con el establecimiento de un régimen de libertad de horarios comerciales), resulta lógico que no permita normativa autonómica de desarrollo, salvo que ésta se limitase a reproducir la liberalización ya efectuada desde la norma básica. Además, una norma básica que afecte sólo a una submateria de un título competencial autonómico más amplio, nunca puede producir un vaciamiento, por sí sola, de la competencia, dado que ésta siempre tendría un ámbito material más extenso sobre el que podría seguir desplegándose, y que no quedaría afectado por el ejercicio por el Estado de la competencia sobre la normativa básica. Más concretamente, respecto de la regulación de la libertad de apertura de establecimientos comerciales en unos términos que excluyen la intervención normativa autonómica, según la STC 140/2011, FJ 4, se trata de una previsión que puede ser calificada como norma básica </w:t>
      </w:r>
      <w:r w:rsidRPr="00163957">
        <w:rPr>
          <w:i/>
        </w:rPr>
        <w:t>ex</w:t>
      </w:r>
      <w:r>
        <w:t xml:space="preserve"> art. 149.1.13 CE.</w:t>
      </w:r>
    </w:p>
    <w:p w:rsidR="00163957" w:rsidRDefault="00163957" w:rsidP="00163957">
      <w:pPr>
        <w:pStyle w:val="TextoNormal"/>
      </w:pPr>
    </w:p>
    <w:p w:rsidR="00163957" w:rsidRDefault="00163957" w:rsidP="00163957">
      <w:pPr>
        <w:pStyle w:val="TextoNormal"/>
      </w:pPr>
      <w:r>
        <w:t xml:space="preserve">Pues bien, una vez hecha la precisión anterior, señala el Abogado del Estado ya con relación al art. 27 del Real Decreto-ley 20/2011 (que da nueva redacción a los arts. 4 y 5 de la Ley 1/2004, de 21 de diciembre, de horarios comerciales), que el precepto impugnado únicamente pretende establecer un régimen mínimo de libertad de horarios, dentro del cual el legislador autonómico podrá optar por grados superiores de liberalización. Para la determinación de los domingos y festivos de apertura, el legislador básico se limita a concretar los criterios mínimos dentro de los cuales las Comunidades Autónomas deberán decidir los días concretos de apertura, otorgando un amplio margen de concreción. Por su parte, la novedad introducida en el art. 5 de la Ley 1/2004, consiste en precisar los criterios mínimos que deben seguir las Comunidades Autónomas para determinar las zonas de gran afluencia </w:t>
      </w:r>
      <w:r>
        <w:lastRenderedPageBreak/>
        <w:t>turística. Son susceptibles de ser ampliados por las Comunidades Autónomas, y permiten un grado de apreciación autonómico para su adaptación a las circunstancias de cada región. En suma, no puede imputarse vaciamiento competencial a una normativa desreguladora, que sólo incide parcialmente en un subsector de un título competencial autonómico más amplio. Pero es que, además, las bases impugnadas no son ni mucho menos agotadoras, permitiendo que, dentro de ellas, las Comunidades Autónomas puedan optar por establecer grados superiores de libertad de horarios comerciales.</w:t>
      </w:r>
    </w:p>
    <w:p w:rsidR="00163957" w:rsidRDefault="00163957" w:rsidP="00163957">
      <w:pPr>
        <w:pStyle w:val="TextoNormal"/>
      </w:pPr>
    </w:p>
    <w:p w:rsidR="00163957" w:rsidRDefault="00163957" w:rsidP="00163957">
      <w:pPr>
        <w:pStyle w:val="TextoNormal"/>
      </w:pPr>
      <w:r>
        <w:t>f) El art. 28 del Real Decreto-ley 20/2012 ha modificado los arts. 18.4, 20, 25, 26.1, 27, 28 y 31 de la Ley 7/1996, con la finalidad de desregular el régimen de ventas promocionales. Para el Abogado del Estado las medidas de desregulación contenidas en el precepto impugnado tienen amparo en el art. 149.1.13 CE, por razones similares a las expuestas con relación al art. 27 del Real Decreto-ley 20/2012, en el contexto de las circunstancias económicas por las que atraviesa España y sin que las medidas adoptadas eliminen la capacidad de regulación de las Comunidades Autónomas, si bien es cierto que sitúan como protagonista de las decisiones al propio comerciante.</w:t>
      </w:r>
    </w:p>
    <w:p w:rsidR="00163957" w:rsidRDefault="00163957" w:rsidP="00163957">
      <w:pPr>
        <w:pStyle w:val="TextoNormal"/>
      </w:pPr>
    </w:p>
    <w:p w:rsidR="00163957" w:rsidRDefault="00163957" w:rsidP="00163957">
      <w:pPr>
        <w:pStyle w:val="TextoNormal"/>
      </w:pPr>
      <w:r>
        <w:t>Por lo demás, para el Abogado del Estado, el hecho de que el art. 28 del Real Decreto-ley 20/2012 haya añadido a la redacción anterior del art. 27 de la Ley 7/1996, de 15 de enero, de ordenación del comercio minorista, un inciso sobre las ventas en promoción, y la circunstancia de que el art. 28 del Real Decreto-ley 20/2011 haya suprimido el art. 28.3 de la misma Ley 7/1996 relativo a las ventas de saldo, no supone sino medidas extraordinarias y urgentes que forman parte de un conjunto, pensadas para afrontar una situación económica adversa que justifican la utilización del título competencial previsto en el art. 149.1.13 CE. Además, hay que tener en cuenta que según el art. 51.1 CE, todos los poderes públicos tienen la obligación de garantizar la defensa de los consumidores y usuarios, y, como ha señalado el Tribunal Constitucional (SSTC 71/1982 y 88/1986), “en un Estado descentralizado como el nuestro, la garantía de la protección a los consumidores no puede estar concentrada en una sola instancia, ya sea central o autonómica. En este sentido, el derecho del consumidor, entendido como conjunto de reglas jurídicas, difícilmente puede encontrarse codificado en un conjunto normativo emanado de una sola de estas instancias, siendo más bien la resultante de la suma de las actuaciones normativas, enderezadas a este objetivo, de los distintos poderes públicos que integran el Estado, con base a su respectivo acervo competencial”.</w:t>
      </w:r>
    </w:p>
    <w:p w:rsidR="00163957" w:rsidRDefault="00163957" w:rsidP="00163957">
      <w:pPr>
        <w:pStyle w:val="TextoNormal"/>
      </w:pPr>
    </w:p>
    <w:p w:rsidR="00163957" w:rsidRDefault="00163957" w:rsidP="00163957">
      <w:pPr>
        <w:pStyle w:val="TextoNormal"/>
      </w:pPr>
      <w:r w:rsidRPr="00163957">
        <w:rPr>
          <w:rStyle w:val="NumeroAFNegritaCaracter"/>
        </w:rPr>
        <w:t>7</w:t>
      </w:r>
      <w:r>
        <w:t>. Mediante providencia de 21 de junio de 2016 se señaló para deliberación y votación de la presente Sentencia el día 23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Comenzaremos por delimitar el objeto de impugnación y sobre esta materia recurre el Gobierno vasco en el presente proceso constitucional los arts. 2, 8, 10, 27 y 28, así como la disposición final tercera, todos ellos del Real Decreto-ley 20/2012, de 13 de julio, de medidas para garantizar la estabilidad presupuestaria y de fomento de la competitividad. Antes de entrar a dar respuesta a las diferentes vulneraciones denunciadas debemos concretar la incidencia que sobre el objeto del presente proceso constitucional han podido tener determinadas circunstancias que pasamos a exponer.</w:t>
      </w:r>
    </w:p>
    <w:p w:rsidR="00163957" w:rsidRDefault="00163957" w:rsidP="00163957">
      <w:pPr>
        <w:pStyle w:val="TextoNormal"/>
      </w:pPr>
    </w:p>
    <w:p w:rsidR="00163957" w:rsidRDefault="00163957" w:rsidP="00163957">
      <w:pPr>
        <w:pStyle w:val="TextoNormal"/>
      </w:pPr>
      <w:r>
        <w:t>El art. 2 del Real Decreto-ley 20/2012 (“Paga extraordinaria del mes de diciembre de 2012 del personal del sector público”) redujo las retribuciones del personal del sector público en las cuantías que correspondía percibir en el mes de diciembre de 2012 como consecuencia de la supresión tanto de la paga extraordinaria como de la paga adicional de complemento específico o pagas adicionales equivalentes de dicho mes. El alcance de la medida que contiene este precepto se ha visto luego afectada, en primer lugar, por la disposición adicional duodécima de la Ley 36/2014, de 26 de diciembre, de presupuestos generales del Estado para 2015, que bajo el epígrafe “Recuperación de la paga extraordinaria y adicional del mes de diciembre de 2012” estableció, en su apartado 1, que cada Administración pública, en su ámbito, podía aprobar el abono de cantidades en concepto de recuperación de los importes efectivamente dejados de percibir como consecuencia de la supresión de la paga extraordinaria de diciembre de 2012, así como de la paga adicional de complemento específico o pagas adicionales equivalentes, por aplicación del Real Decreto-ley 20/2012, siendo esas cantidades equivalentes a la parte proporcional correspondiente a los primeros 44 días de la paga extraordinaria suprimida. Pero es que, posteriormente, se ha visto también afectada por la previsión del art. 1 del Real Decreto-ley 10/2015, de 11 de septiembre, por el que se conceden créditos extraordinarios y suplementos de crédito en el presupuesto del Estado y se adoptan otras medidas en materia de empleo público y estímulo a la economía, que bajo el título de “Recuperación de la paga extraordinaria y adicional del mes de diciembre de 2012 del personal del sector público” previó, en su apartado 1, que cada Administración pública, en su ámbito, abonaría dentro del ejercicio 2015, y por una sola vez, una retribución de carácter extraordinario cuyo importe será equivalente a 48 días o al 26,23 por ciento de los importes dejados de percibir como consecuencia de la supresión de la paga extraordinaria, así como de la paga adicional de complemento específico o pagas adicionales equivalentes correspondientes al mes de diciembre de 2012 por aplicación del Real Decreto-ley 20/2012. En fin, la disposición adicional duodécima de la Ley 48/2015, de 29 de octubre, de presupuestos generales del Estado para el año 2016, prevé en su apartado 1 que “cada Administración Pública, en su ámbito, podrá aprobar dentro del ejercicio 2016, y por una sola vez, una retribución de carácter extraordinario cuyo importe será el equivalente a las cantidades aún no recuperadas de los importes efectivamente dejados de percibir como consecuencia de la supresión de la paga extraordinaria, así como de la paga adicional de complemento específico o pagas adicionales equivalentes, correspondientes al mes de diciembre de 2012, por aplicación del Real Decreto-ley 20/2012, de 13 de julio”.</w:t>
      </w:r>
    </w:p>
    <w:p w:rsidR="00163957" w:rsidRDefault="00163957" w:rsidP="00163957">
      <w:pPr>
        <w:pStyle w:val="TextoNormal"/>
      </w:pPr>
    </w:p>
    <w:p w:rsidR="00163957" w:rsidRDefault="00163957" w:rsidP="00163957">
      <w:pPr>
        <w:pStyle w:val="TextoNormal"/>
      </w:pPr>
      <w:r>
        <w:t xml:space="preserve">Por su parte, el art. 8 del Real Decreto-ley 20/2012 modificó los arts. 48 y 50 de la Ley 7/2007, de 12 de abril, de estatuto básico del empleado público y medidas sobre días adicionales. La letra k) del art. 48, que preveía originariamente, por asuntos particulares, seis días al año, luego reducidos a tres días por el Real Decreto-ley 20/2012, fue modificada por la Ley Orgánica 9/2013, de 20 de diciembre, de control de la deuda comercial en el sector público, que amplió a cuatro el citado número de días (apartado primero de la disposición adicional cuarta). Posteriormente, la Ley 15/2014, de 16 de septiembre, de racionalización del sector público y otras medidas de reforma administrativa, aumentó hasta cinco el número de días por asuntos particulares (art. 28.3). A continuación, el Real Decreto-ley 10/2015, de 11 de septiembre, por el que se conceden créditos extraordinarios y suplementos de crédito en el presupuesto del Estado y se adoptan otras medidas en materia de empleo público y de estímulo a la economía, fijó el número de días por asuntos particulares nuevamente en seis (art. 2). Finalmente, aunque el Real Decreto Legislativo 5/2015, de 30 de octubre por el que </w:t>
      </w:r>
      <w:r>
        <w:lastRenderedPageBreak/>
        <w:t>se aprueba el texto refundido de la Ley del estatuto básico del empleado público, ha derogado aquella Ley 7/2007 (apartado 1 de la disposición derogatoria única), mantiene en seis el número de días por asuntos particulares [art. 48 k)].</w:t>
      </w:r>
    </w:p>
    <w:p w:rsidR="00163957" w:rsidRDefault="00163957" w:rsidP="00163957">
      <w:pPr>
        <w:pStyle w:val="TextoNormal"/>
      </w:pPr>
    </w:p>
    <w:p w:rsidR="00163957" w:rsidRDefault="00163957" w:rsidP="00163957">
      <w:pPr>
        <w:pStyle w:val="TextoNormal"/>
      </w:pPr>
      <w:r>
        <w:t>Por otro lado, el art. 27 del Real Decreto-ley 20/2012 modificó los arts. 3.1 (horario global), 4 (domingos y festivos), 5 (establecimientos con régimen especial de horarios), así como las disposiciones adicionales primera (régimen de libertad de horarios) y segunda (libertad de elección de domingos y festivos), de la Ley 1/2004, de 21 de diciembre, de horarios comerciales. Pues bien, primero, por los apartados 1 y 2 del art. 7 del Real Decreto-ley 8/2014, de 4 de julio, de aprobación de medidas urgentes para el crecimiento, la competitividad y la eficiencia, y, después, por los apartados 1 y 2 del art. 7 de la Ley 18/2014, de 15 de octubre, también de aprobación de medidas urgentes para el crecimiento, la competitividad y la eficiencia, se modificaron los apartados 4 y 5 del art. 5 de aquella Ley 1/2004.</w:t>
      </w:r>
    </w:p>
    <w:p w:rsidR="00163957" w:rsidRDefault="00163957" w:rsidP="00163957">
      <w:pPr>
        <w:pStyle w:val="TextoNormal"/>
      </w:pPr>
    </w:p>
    <w:p w:rsidR="00163957" w:rsidRDefault="00163957" w:rsidP="00163957">
      <w:pPr>
        <w:pStyle w:val="TextoNormal"/>
      </w:pPr>
      <w:r>
        <w:t>En fin, el art. 28 del Real Decreto-ley 20/2012 introdujo, aparte de otros contenidos, un nuevo apartado tercero en el art. 20 (constancia de la reducción de precios) de la Ley 7/1996, de 15 de enero, de ordenación del comercio minorista, que ha sido posteriormente suprimido por la Ley 3/2014, de 27 de marzo (concretamente, por el apartado 3 de su disposición final segunda).</w:t>
      </w:r>
    </w:p>
    <w:p w:rsidR="00163957" w:rsidRDefault="00163957" w:rsidP="00163957">
      <w:pPr>
        <w:pStyle w:val="TextoNormal"/>
      </w:pPr>
    </w:p>
    <w:p w:rsidR="00163957" w:rsidRDefault="00163957" w:rsidP="00163957">
      <w:pPr>
        <w:pStyle w:val="TextoNormal"/>
      </w:pPr>
      <w:r>
        <w:t>Salvo lo que se dirá respecto de esta última en el fundamento jurídico 6 a), ninguna de las alteraciones que han sufrido los preceptos que fueron objeto de modificación por el Real Decreto-ley 20/2012, ha afectado al objeto del presente proceso constitucional, por dos razones. De un lado, porque como viene señalando nuestra doctrina cuando lo denunciado en un proceso constitucional es el eventual uso indebido de la legislación de urgencia por el Gobierno, las modificaciones operadas en la norma impugnada no hacen decaer el objeto del proceso, pues subsiste el interés constitucional de velar por el recto ejercicio de la potestad de dictar decretos-leyes dentro del marco constitucional, decidiendo la validez o invalidez de las normas impugnadas sin atender a su vigencia o derogación en el momento en que se pronuncia el fallo (entre las últimas, SSTC 18/2016, de 4 de febrero, FJ 2; 38/2016, de 3 de marzo, FJ 1; y 40/2016, de 3 de marzo, FJ 3). Y, de otro lado, porque las normas posteriores que han incidido en el Real Decreto-ley 20/2012 plantean, en esencia, los mismos problemas competenciales que han sido denunciados en el presente proceso constitucional, lo que supone que tampoco su modificación hace perder el objeto al presente proceso al ser función de este Tribunal la de preservar los ámbitos respectivos de competencias (por todas, SSTC 18/2016, de 4 de febrero, FJ 2; 40/2016, de 3 de marzo, FJ 3 y 55/2016, de 17 de marzo, FJ 3).</w:t>
      </w:r>
    </w:p>
    <w:p w:rsidR="00163957" w:rsidRDefault="00163957" w:rsidP="00163957">
      <w:pPr>
        <w:pStyle w:val="TextoNormal"/>
      </w:pPr>
    </w:p>
    <w:p w:rsidR="00163957" w:rsidRDefault="00163957" w:rsidP="00163957">
      <w:pPr>
        <w:pStyle w:val="TextoNormal"/>
      </w:pPr>
      <w:r>
        <w:t>Por tanto, en la medida que el recurso se fundamenta tanto en el posible desconocimiento del presupuesto de hecho habilitante del decreto-ley, así como en la eventual extralimitación competencial del Estado en el ejercicio de sus competencias, no cabe sino apreciar que subsiste el interés constitucional, tanto de velar por el recto ejercicio de la potestad de dictar decretos-leyes como por determinar el alcance de las competencias controvertidas.</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En el ámbito de los arts. 2, 27 y 28 y sobre la concurrencia del presupuesto habilitante, consistente en la extraordinaria y urgente necesidad, el Gobierno vasco denuncia la infracción del art. 86.1 CE por dos motivos. De un lado, por la inexistencia del presupuesto habilitante para modificar mediante decreto-ley tanto la Ley 1/2004, de 21 de diciembre, de </w:t>
      </w:r>
      <w:r>
        <w:lastRenderedPageBreak/>
        <w:t>horarios comerciales (art. 27 del Real Decreto-ley 20/2012), como la Ley 7/1996, de 15 de enero, de ordenación del comercio minorista (art. 28 del Real Decreto-ley 20/2012), dado que, a su juicio, los motivos recogidos en la exposición de motivos de la norma impugnada y los expresados durante el debate parlamentario de convalidación, ni proporcionan información suficiente ni datos objetivos que justifiquen la concurrencia de una situación de extraordinaria y urgente necesidad, ni clarifican la adecuación entre las medidas propuestas y la situación de urgencia a la que se pretende hacer frente con su adopción. De otro lado, porque la medida adoptada por el art. 2 (que suprime la paga extraordinaria del mes de diciembre de 2012 al personal del sector público) carece de la necesaria conexión con la situación de extraordinaria y urgente necesidad a la que se dirige.</w:t>
      </w:r>
    </w:p>
    <w:p w:rsidR="00163957" w:rsidRDefault="00163957" w:rsidP="00163957">
      <w:pPr>
        <w:pStyle w:val="TextoNormal"/>
      </w:pPr>
    </w:p>
    <w:p w:rsidR="00163957" w:rsidRDefault="00163957" w:rsidP="00163957">
      <w:pPr>
        <w:pStyle w:val="TextoNormal"/>
      </w:pPr>
      <w:r>
        <w:t>El Abogado del Estado, por su parte, considera que el Real Decreto-ley 20/2012 supera claramente el test de constitucionalidad, pues no sólo los órganos políticos han cumplido con la exigencia de exteriorizar las razones de la urgencia que legitiman la utilización de esta figura normativa, sino que la conexión entre las medidas adoptadas en los arts. 27 y 28, y la situación de urgencia a la que tratan de dar respuesta, se desprende tanto del preámbulo como del debate de convalidación y de la memoria del análisis del impacto normativo del citado Real Decreto-ley 20/2012, que no es otra que la implementar unas medidas que provoquen un aumento del PIB en una situación de crisis en la que se ha hundido el consumo interno. Y lo mismo sucede con la medida prevista en el art. 2 que guarda una relación de causalidad entre la urgencia apreciada (cumplimiento de los compromisos de gastos público y déficit) y la concreta medida adoptada (ahorro del gasto de personal).</w:t>
      </w:r>
    </w:p>
    <w:p w:rsidR="00163957" w:rsidRDefault="00163957" w:rsidP="00163957">
      <w:pPr>
        <w:pStyle w:val="TextoNormal"/>
      </w:pPr>
    </w:p>
    <w:p w:rsidR="00163957" w:rsidRDefault="00163957" w:rsidP="00163957">
      <w:pPr>
        <w:pStyle w:val="TextoNormal"/>
      </w:pPr>
      <w:r>
        <w:t>Este motivo de impugnación ya ha sido abordado en las SSTC 81/2015, de 30 de abril, y 156/2015, de 9 de julio, cuyos criterios, que referimos a continuación, nos llevan, como entonces, a desestimarlo, remitiéndonos, en su integridad, al contenido de la fundamentación jurídica de dichas resoluciones.</w:t>
      </w:r>
    </w:p>
    <w:p w:rsidR="00163957" w:rsidRDefault="00163957" w:rsidP="00163957">
      <w:pPr>
        <w:pStyle w:val="TextoNormal"/>
      </w:pPr>
    </w:p>
    <w:p w:rsidR="00163957" w:rsidRDefault="00163957" w:rsidP="00163957">
      <w:pPr>
        <w:pStyle w:val="TextoNormal"/>
      </w:pPr>
      <w:r>
        <w:t>a) Presupuesto habilitante (arts. 27 y 28): Debe señalarse que si el art. 27 del Real Decreto-ley 20/2012 modificó la Ley 1/2004, de 21 de diciembre, de horarios comerciales, introduciendo una mayor liberalización de horarios y de apertura comercial (horario comercial y número de domingos y días festivos de apertura), el art. 28 afectó a la Ley 7/1996, de 15 de enero, de ordenación del comercio minorista, en lo relativo al régimen de promoción de ventas (rebajas, saldos, liquidaciones o cualquier otra oferta promocional destinada al incremento de las ventas). Pues bien, la denuncia de la violación del art. 86.1 CE por los citados arts. 27 y 28 del Real Decreto-ley 20/2012 ha sido resuelta por este Tribunal en la STC 156/2015, de 9 de julio, en el sentido de considerar que tanto en la exposición de motivos de la norma cuestionada como en el debate parlamentario de convalidación, es posible apreciar que se ha explicitado claramente la existencia de una situación de extraordinaria y urgente necesidad [FJ 6; y también SSTC 18/2016, de 4 de febrero, FJ 5 c), y 37/2016, de 3 de marzo, FJ 3]. Esta última señala, literalmente, en el citado FJ 3:</w:t>
      </w:r>
    </w:p>
    <w:p w:rsidR="00163957" w:rsidRDefault="00163957" w:rsidP="00163957">
      <w:pPr>
        <w:pStyle w:val="TextoNormal"/>
      </w:pPr>
    </w:p>
    <w:p w:rsidR="00163957" w:rsidRDefault="00163957" w:rsidP="00163957">
      <w:pPr>
        <w:pStyle w:val="TextoNormal"/>
      </w:pPr>
      <w:r>
        <w:t>“La tacha relativa a la falta del presupuesto habilitante de la extraordinaria y urgente necesidad exigida por el art. 86.1 CE, en lo que concierne específicamente a los arts. 27 y 28 que son objeto de impugnación en este proceso constitucional, fue desestimada por la STC 156/2015, FJ 6 [a la que se remite la STC 18/2016, FJ 5 c)]. Se consideró que tanto en la exposición de motivos de la norma cuestionada como en el debate parlamentario de con</w:t>
      </w:r>
      <w:r>
        <w:lastRenderedPageBreak/>
        <w:t>validación, es posible apreciar que se ha explicitado la existencia de una situación de extraordinaria y urgente necesidad por referencia a la concreta coyuntura económica y a la necesidad de propiciar el crecimiento de la productividad y la competencia, y lo mismo sucede con el requisito de la conexión de sentido entre la situación de urgencia apreciada por el Gobierno y las medidas adoptadas para hacerle frente”.</w:t>
      </w:r>
    </w:p>
    <w:p w:rsidR="00163957" w:rsidRDefault="00163957" w:rsidP="00163957">
      <w:pPr>
        <w:pStyle w:val="TextoNormal"/>
      </w:pPr>
    </w:p>
    <w:p w:rsidR="00163957" w:rsidRDefault="00163957" w:rsidP="00163957">
      <w:pPr>
        <w:pStyle w:val="TextoNormal"/>
      </w:pPr>
      <w:r>
        <w:t>Así, frente a lo alegado en el recurso, y como también señalamos en la STC 156/2015, de 9 de julio (FJ 6), no cabe sino constatar la conexión de sentido de las medidas adoptadas con la situación de urgencia apreciada por el Gobierno, por los siguientes motivos:</w:t>
      </w:r>
    </w:p>
    <w:p w:rsidR="00163957" w:rsidRDefault="00163957" w:rsidP="00163957">
      <w:pPr>
        <w:pStyle w:val="TextoNormal"/>
      </w:pPr>
    </w:p>
    <w:p w:rsidR="00163957" w:rsidRDefault="00163957" w:rsidP="00163957">
      <w:pPr>
        <w:pStyle w:val="TextoNormal"/>
      </w:pPr>
      <w:r>
        <w:t>a’) Apartados 1 y 3 del art. 27 del Real Decreto-ley 20/2012: se constata la conexión de sentido de las medidas adoptadas con la situación de urgencia apreciada por el Gobierno tanto en lo relativo a la materia del horario global semanal (art. 3 y disposición adicional primera de la Ley 1/2004, de 21 de diciembre) como de los establecimientos comerciales a los que se reconoce un régimen especial de libertad horaria (art. 5 de la Ley 1/2004, de 21 de diciembre), pues su entrada en vigor no ha quedado aplazada y cabe considerar que, de acuerdo al control externo que compete a este Tribunal Constitucional, las medidas buscan propiciar el crecimiento de la productividad y la competencia.</w:t>
      </w:r>
    </w:p>
    <w:p w:rsidR="00163957" w:rsidRDefault="00163957" w:rsidP="00163957">
      <w:pPr>
        <w:pStyle w:val="TextoNormal"/>
      </w:pPr>
    </w:p>
    <w:p w:rsidR="00163957" w:rsidRDefault="00163957" w:rsidP="00163957">
      <w:pPr>
        <w:pStyle w:val="TextoNormal"/>
      </w:pPr>
      <w:r>
        <w:t>b’) Apartado 2 del art. 27 de Real Decreto-ley 20/2012: debemos apreciar la conexión de sentido con la situación de urgencia en lo relativo al número de domingos y días festivos en que los comercios podrán abrir al público (art. 4 de la Ley 1/2004, de 21 de diciembre), pues aun cuando su entrada en vigor quedó diferida al 1 de enero de 2013, ello respondía “a la necesidad de que las Comunidades Autónomas dispongan de un margen temporal cierto para poner en marcha los procedimientos necesarios para adaptar los calendarios de domingos y festivos del año 2013, pues precisamente el precepto impugnado otorga a aquellas un margen de desarrollo normativo”.</w:t>
      </w:r>
    </w:p>
    <w:p w:rsidR="00163957" w:rsidRDefault="00163957" w:rsidP="00163957">
      <w:pPr>
        <w:pStyle w:val="TextoNormal"/>
      </w:pPr>
    </w:p>
    <w:p w:rsidR="00163957" w:rsidRDefault="00163957" w:rsidP="00163957">
      <w:pPr>
        <w:pStyle w:val="TextoNormal"/>
      </w:pPr>
      <w:r>
        <w:t>c’) Apartados 1 a 7 del art. 28 del Real Decreto-ley 20/2012: se produce, asimismo, tal conexión de sentido en cuanto al nuevo régimen de promoción de ventas con rebajas, saldos, liquidaciones o cualquier otra oferta promocional destinada al incremento de las ventas (arts. 18, 20, 25, 26, 27, 28 y 31 de la Ley 7/1996, de 15 de enero), pues su entrada en vigor es inmediata y las medidas buscan propiciar el crecimiento de la productividad y la competencia.</w:t>
      </w:r>
    </w:p>
    <w:p w:rsidR="00163957" w:rsidRDefault="00163957" w:rsidP="00163957">
      <w:pPr>
        <w:pStyle w:val="TextoNormal"/>
      </w:pPr>
    </w:p>
    <w:p w:rsidR="00163957" w:rsidRDefault="00163957" w:rsidP="00163957">
      <w:pPr>
        <w:pStyle w:val="TextoNormal"/>
      </w:pPr>
      <w:r>
        <w:t>En suma, debemos concluir que el Gobierno ha aportado una justificación bastante que permite apreciar la concurrencia del presupuesto habilitante requerido, por lo que no cabe considerar vulnerado el art. 86.1 CE y se desestima el recurso en este aspecto.</w:t>
      </w:r>
    </w:p>
    <w:p w:rsidR="00163957" w:rsidRDefault="00163957" w:rsidP="00163957">
      <w:pPr>
        <w:pStyle w:val="TextoNormal"/>
      </w:pPr>
    </w:p>
    <w:p w:rsidR="00163957" w:rsidRDefault="00163957" w:rsidP="00163957">
      <w:pPr>
        <w:pStyle w:val="TextoNormal"/>
      </w:pPr>
      <w:r>
        <w:t xml:space="preserve">b) Presupuesto habilitante (art. 2): Respecto de la necesaria conexión de la medida incorporada al art. 2 (que suprime la paga extraordinaria del mes de diciembre de 2012 al personal del sector público) con la situación de extraordinaria y urgente necesidad a la que se dirige, como hemos tenido la oportunidad de señalar en la STC 81/2015, de 30 de abril (FJ 4), tanto de la exposición de motivos del Real Decreto-ley 20/2012 como del debate de convalidación ante el Congreso de los Diputados, se puede deducir que no sólo el Gobierno justificó “de manera expresa, concreta, detallada y razonada la necesidad de emplear en este caso la potestad legislativa provisional y de urgencia que le reconoce el art. 86.1 CE”, sino que, con </w:t>
      </w:r>
      <w:r>
        <w:lastRenderedPageBreak/>
        <w:t>relación a la conexión de sentido de la medida aquí recurrida (la supresión de la paga extraordinaria de diciembre de 2012 a los empleados públicos), apreciamos que era “difícilmente cuestionable” que la reducción de gastos de personal no tienda al objetivo general de la norma tanto de “garantizar que España cumple rigurosamente sus compromisos fiscales dentro del marco de Déficit Excesivo establecido por la Unión Europea” (apartado I de la exposición de motivos), como de mejorar “la eficiencia, productividad y competitividad de nuestra economía” “al reducir el coste del trabajo realizado por los empleados públicos” y, al mismo tiempo, reducir “el déficit excesivo apreciado por la Unión Europea”.</w:t>
      </w:r>
    </w:p>
    <w:p w:rsidR="00163957" w:rsidRDefault="00163957" w:rsidP="00163957">
      <w:pPr>
        <w:pStyle w:val="TextoNormal"/>
      </w:pPr>
    </w:p>
    <w:p w:rsidR="00163957" w:rsidRDefault="00163957" w:rsidP="00163957">
      <w:pPr>
        <w:pStyle w:val="TextoNormal"/>
      </w:pPr>
      <w:r>
        <w:t>Por consiguiente, resulta evidente la relación entre la medida adoptada y la situación de urgencia definida a la que pretendía dar respuesta, “al ser los gastos de personal una de las dos principales partidas de gasto público corriente de los presupuestos de las Administraciones públicas” (STC 81/2015, de 30 de abril, FJ 4; y también STC 243/2015, de 30 de noviembre, FJ 2), por lo que tampoco infringe el art. 86.1 CE.</w:t>
      </w:r>
    </w:p>
    <w:p w:rsidR="00163957" w:rsidRDefault="00163957" w:rsidP="00163957">
      <w:pPr>
        <w:pStyle w:val="TextoNormal"/>
      </w:pPr>
    </w:p>
    <w:p w:rsidR="00163957" w:rsidRDefault="00163957" w:rsidP="00163957">
      <w:pPr>
        <w:pStyle w:val="TextoNormal"/>
      </w:pPr>
      <w:r>
        <w:t>Se desestima también este otro motivo de recurso.</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El primer precepto impugnado por el Gobierno vasco es el art. 2 del Real Decreto-ley 20/2012 (“Paga extraordinaria del mes de diciembre de 2012 del personal del sector público”) al que imputa dos vulneraciones diferentes. En primer lugar, la privación a la Comunidad Autónoma de todo margen de actuación en la ejecución de la medida. Y, en segundo lugar, la imposición de la medida de forma unilateral sin intervención —con carácter previo o </w:t>
      </w:r>
      <w:r w:rsidRPr="00163957">
        <w:rPr>
          <w:i/>
        </w:rPr>
        <w:t>a posteriori</w:t>
      </w:r>
      <w:r>
        <w:t>— de la comisión mixta del concierto económico.</w:t>
      </w:r>
    </w:p>
    <w:p w:rsidR="00163957" w:rsidRDefault="00163957" w:rsidP="00163957">
      <w:pPr>
        <w:pStyle w:val="TextoNormal"/>
      </w:pPr>
    </w:p>
    <w:p w:rsidR="00163957" w:rsidRDefault="00163957" w:rsidP="00163957">
      <w:pPr>
        <w:pStyle w:val="TextoNormal"/>
      </w:pPr>
      <w:r>
        <w:t>a) Supresión de la paga extraordinaria del mes de diciembre de 2012 al personal del sector público. A juicio del Gobierno vasco, el art. 2 del Real Decreto-ley 20/2012 procede, con el carácter de norma básica, a la “supresión tanto de la paga extraordinaria como de la paga adicional de complemento específico o pagas adicionales” correspondiente al mes de diciembre de 2012 para todo “el personal del sector público definido en el artículo 22.1 de la Ley 2/2012, de 29 de junio, de Presupuestos Generales del Estado”. El Gobierno vasco reconoce que la medida de reducción salarial de los empleados del sector público para el año 2012 prevista en el apartado 1 del art. 2 del Real Decreto-ley 20/2012 representa una medida coyuntural, de alcance general, con un contenido económico y una incidencia en el gasto, que persigue la finalidad de dar cumplimiento a los compromisos de estabilidad presupuestaria, lo que encontraría amparo en el título competencial del art. 149.1.13 CE. Lo que cuestiona es, entonces, los mecanismos concretos y el procedimiento de aplicación previstos en el apartado 2 de ese mismo art. 2 para hacer efectiva la reducción de las retribuciones, al entender que la regulación que contiene es demasiado precisa, sin dejar margen alguno de actuación a las Comunidades Autónomas. Para el Abogado del Estado, sin embargo, aunque se trata de una medida que debe ser adoptada simultáneamente para todo el sector público, no siendo posible que su ejecución quede a la disposición de las Comunidades Autónomas, entidades locales y demás entes del sector público, sin embargo, deja un ámbito de concreción por parte de las Comunidades Autónomas que acomodarán la deducción retributiva a lo largo de las nóminas devengadas desde su entrada en vigor.</w:t>
      </w:r>
    </w:p>
    <w:p w:rsidR="00163957" w:rsidRDefault="00163957" w:rsidP="00163957">
      <w:pPr>
        <w:pStyle w:val="TextoNormal"/>
      </w:pPr>
    </w:p>
    <w:p w:rsidR="00163957" w:rsidRDefault="00163957" w:rsidP="00163957">
      <w:pPr>
        <w:pStyle w:val="TextoNormal"/>
      </w:pPr>
      <w:r>
        <w:t xml:space="preserve">Sobre el tema planteado ya hemos tenido la oportunidad de pronunciarnos en la STC 81/2015, de 30 de abril (doctrina que luego hemos reproducido en la STC 18/2016, de 4 de febrero), en el sentido de señalar, de un lado, que la medida de reducción salarial prevista </w:t>
      </w:r>
      <w:r>
        <w:lastRenderedPageBreak/>
        <w:t>en el art. 2.1 “responde, por su naturaleza y contenido, al legítimo ejercicio de las competencias que al Estado atribuye el art. 149.1.13 CE” [SSTC 81/2015, FJ 7; y 18/2016, FJ 6 b)], y, de otro, que las reglas previstas en el art. 2.2 son “necesarias para asegurar la efectividad de la decisión estatal tendente a la contención de los gastos de personal de las Administraciones públicas” [STC 18/2016, FJ 6 b)]. En suma, se trata de “normas con vocación de vigencia temporal que responden a la estricta y limitada finalidad de garantizar la efectividad de la regulación establecida legítimamente en ejercicio de competencias del Estado, en la medida en que persigue asegurar la minoración de retribuciones del personal del sector público para así reducir uno de los componentes fundamentales del gasto público en un contexto de exigente contención del mismo” [STC 18/2016, FJ 6 b)].</w:t>
      </w:r>
    </w:p>
    <w:p w:rsidR="00163957" w:rsidRDefault="00163957" w:rsidP="00163957">
      <w:pPr>
        <w:pStyle w:val="TextoNormal"/>
      </w:pPr>
    </w:p>
    <w:p w:rsidR="00163957" w:rsidRDefault="00163957" w:rsidP="00163957">
      <w:pPr>
        <w:pStyle w:val="TextoNormal"/>
      </w:pPr>
      <w:r>
        <w:t>Por consiguiente, y como señalamos en la citada STC 18/2016, estamos ante “norma instrumental de complemento y garantía de la eficacia de la norma principal establecida por el Estado, por lo que procede afirmar que el artículo 2.2 no es contrario a la distribución competencial que perfila nuestro texto constitucional” [FJ 6 b)]. Debe desestimarse, en consecuencia, este motivo de recurso.</w:t>
      </w:r>
    </w:p>
    <w:p w:rsidR="00163957" w:rsidRDefault="00163957" w:rsidP="00163957">
      <w:pPr>
        <w:pStyle w:val="TextoNormal"/>
      </w:pPr>
    </w:p>
    <w:p w:rsidR="00163957" w:rsidRDefault="00163957" w:rsidP="00163957">
      <w:pPr>
        <w:pStyle w:val="TextoNormal"/>
      </w:pPr>
      <w:r>
        <w:t>b) Falta de intervención de la comisión mixta del concierto. Aunque el Gobierno vasco considera que los arts. 149.1.13 y 149.1.18, ambos de la Constitución, habilitan al Estado a adoptar la medida regulada por el art. 2 impugnado, para ordenar la política presupuestaria y garantizar los equilibrios exigibles, sin embargo, a su juicio, ni la Ley 12/2002, de 23 de mayo, por la que se aprueba el concierto económico con la Comunidad Autónoma del País Vasco, ni la Ley Orgánica 2/2012, de 27 de abril, de estabilidad presupuestaria, le autorizan a hacerlo de forma unilateral, sin intervención —con carácter previo o a posteriori— de la comisión mixta del concierto económico, a los efectos de acordar los compromisos de coordinación y colaboración en la materia. Para el Abogado del Estado, sin embargo, el Real Decreto-ley 20/2012 opera en un plano distinto a la Ley de estabilidad al tratarse de una norma que actúa para atender una coyuntura económica comprometida con medidas que sólo encuentran sentido si son adoptadas simultáneamente por todas las Administraciones públicas y que, en modo alguno, suponen la inaplicación de la Ley del concierto pues esta norma no impide la aplicación a la Comunidad Autónoma del País Vasco de las limitaciones de gasto establecidas por el Estado.</w:t>
      </w:r>
    </w:p>
    <w:p w:rsidR="00163957" w:rsidRDefault="00163957" w:rsidP="00163957">
      <w:pPr>
        <w:pStyle w:val="TextoNormal"/>
      </w:pPr>
    </w:p>
    <w:p w:rsidR="00163957" w:rsidRDefault="00163957" w:rsidP="00163957">
      <w:pPr>
        <w:pStyle w:val="TextoNormal"/>
      </w:pPr>
      <w:r>
        <w:t>Según precedentes referidos a la Comunidad Foral de Navarra [FFJJ 7 y 8 de la STC 148/2006, de 11 de mayo y las posteriores SSTC 195/2006, de 22 de junio (FJ 6) y 297/2006, de 11 de octubre (FJ 5)] y en lo que resulta pertinente, el concierto no impediría la aplicación a la Comunidad Autónoma del País Vasco de las limitaciones de gasto establecidas por el Estado.</w:t>
      </w:r>
    </w:p>
    <w:p w:rsidR="00163957" w:rsidRDefault="00163957" w:rsidP="00163957">
      <w:pPr>
        <w:pStyle w:val="TextoNormal"/>
      </w:pPr>
    </w:p>
    <w:p w:rsidR="00163957" w:rsidRDefault="00163957" w:rsidP="00163957">
      <w:pPr>
        <w:pStyle w:val="TextoNormal"/>
      </w:pPr>
      <w:r>
        <w:t>Es cierto que el apartado 2 de la disposición final tercera de la Ley Orgánica 2/2012 prevé que “[e]n virtud de su régimen foral, la aplicación a la Comunidad Autónoma del País Vasco de lo dispuesto en esta Ley, se entenderá sin perjuicio de lo dispuesto en la Ley del Concierto Económico”. Ahora bien, dicho esto, debe ya rechazarse esta impugnación al no haber levantado el Gobierno vasco de manera suficiente la carga de fundamentar que sobre él pesaba [por todas, SSTC 216/2015, de 22 de octubre, FJ 2 a); y 236/2015, de 19 de noviembre, FJ 2].</w:t>
      </w:r>
    </w:p>
    <w:p w:rsidR="00163957" w:rsidRDefault="00163957" w:rsidP="00163957">
      <w:pPr>
        <w:pStyle w:val="TextoNormal"/>
      </w:pPr>
    </w:p>
    <w:p w:rsidR="00163957" w:rsidRDefault="00163957" w:rsidP="00163957">
      <w:pPr>
        <w:pStyle w:val="TextoNormal"/>
      </w:pPr>
      <w:r>
        <w:lastRenderedPageBreak/>
        <w:t>Además de que la parte actora no justifica en absoluto porqué, a su juicio, una norma estatal puede ser parámetro de constitucionalidad de otra norma estatal, lo que no resultaría factible, no hace más que una referencia genérica al pretendido incumplimiento por parte del Estado de sus compromisos de coordinación y cooperación en materia de estabilidad presupuestaria, no concretando cuáles son los concretos preceptos orgánicos ni qué mandatos impuestos por estos han sido desconocidos por el legislador estatal. Todo ello impide a este Tribunal poder entrar a analizar la cuestión planteada desde esta perspectiva. Por otro lado, no puede fundarse la inconstitucionalidad de la norma impugnada, cual pretende el Gobierno vasco, en el hecho de que se haya omitido en la norma impugnada “una referencia que salvaguarde las particularidades que derivan del Concierto Económico”, pues el pretendido vicio de la norma no puede fundarse, en modo alguno, en la existencia o no de esa referencia, sino en la obligación o no, en su caso, conforme a las normas que integran el bloque de constitucionalidad [art. 28 de la Ley Orgánica del Tribunal Constitucional (LOTC)], de la activación de los correspondientes mecanismos de coordinación o cooperación.</w:t>
      </w:r>
    </w:p>
    <w:p w:rsidR="00163957" w:rsidRDefault="00163957" w:rsidP="00163957">
      <w:pPr>
        <w:pStyle w:val="TextoNormal"/>
      </w:pPr>
    </w:p>
    <w:p w:rsidR="00163957" w:rsidRDefault="00163957" w:rsidP="00163957">
      <w:pPr>
        <w:pStyle w:val="TextoNormal"/>
      </w:pPr>
      <w:r>
        <w:t>Distinta es, sin embargo, la invocación de la Ley del concierto, que no sólo prevé la existencia de la “Comisión Mixta del Concierto Económico” (art. 61 de la Ley del concierto económico), sino que le atribuye, entre otras funciones, la de “[a]cordar los compromisos de colaboración y coordinación en materia de estabilidad presupuestaria” [art. 62 b) de la Ley del concierto económico]. Sobre este particular, no cabe duda de que el Real Decreto-ley 20/2012 responde, en la concreta medida regulada en el art. 2 (supresión de la paga extraordinaria del mes de diciembre de 2012 al personal del sector público), a la necesidad de “mejorar la eficiencia de las Administraciones Públicas en el uso de los recursos públicos, con objeto de contribuir a la consecución del inexcusable objetivo de estabilidad presupuestaria”, de manera que “el proceso de consolidación fiscal y de sostenibilidad de las cuentas públicas exige de las Administraciones Públicas continuar adaptando una serie de medidas extraordinarias y cuya adopción debe ser urgente, dirigidas a racionalizar y reducir el gasto de personal” (apartado II de la exposición de motivos). Ahora bien, que el precepto impugnado sirva de manera instrumental, en su objetivo último, a “la consolidación fiscal y de sostenibilidad de las cuentas públicas”, no supone que nos encontremos propiamente ante una norma, como señala el Abogado del Estado, dictada “en materia de estabilidad presupuestaria”, al no ir dirigida a determinar los objetivos de gasto ni a planificar la programación o ejecución de las políticas de gasto de la Comunidad Autónoma del País Vasco, sino simplemente a delimitar el alcance de una partida concreta de gasto público, para cuya determinación, en modo alguno, puede exigir la activación del mecanismo de colaboración previsto en el art. 62 b) de la Ley del concierto económico. No le corresponde, pues, a la comisión mixta del concierto económico la pretendida función que el Gobierno vasco erróneamente le atribuye, dado que la materia controvertida no afecta a las relaciones de orden tributario entre el Estado y el País Vasco (STC 11/1984, de 2 de febrero, FJ 3), ni tampoco aborda contenidos propios de la estabilidad presupuestaria o de la sostenibilidad financiera, por mucho que las medidas adoptadas puedan servir a la consecución de una u otra.</w:t>
      </w:r>
    </w:p>
    <w:p w:rsidR="00163957" w:rsidRDefault="00163957" w:rsidP="00163957">
      <w:pPr>
        <w:pStyle w:val="TextoNormal"/>
      </w:pPr>
    </w:p>
    <w:p w:rsidR="00163957" w:rsidRDefault="00163957" w:rsidP="00163957">
      <w:pPr>
        <w:pStyle w:val="TextoNormal"/>
      </w:pPr>
      <w:r>
        <w:t xml:space="preserve">Confunde el Gobierno recurrente el ejercicio legítimo de las competencias de coordinación que conforme al texto constitucional le corresponden al Estado mediante la adopción de las correspondientes normas orgánicas o básicas, con la eventual cooperación para la puesta en funcionamiento de aquellas que requieran su necesaria intervención de cara a la determinación de su alcance y concreción. Nos encontramos, por consiguiente, con que el </w:t>
      </w:r>
      <w:r>
        <w:lastRenderedPageBreak/>
        <w:t>Estado ha dictado una disposición en el ejercicio de sus competencias en materia de retribuciones de los empleados del sector público que, por revestir el carácter básico, procura establecer un marco normativo común en cuanto expresión de unos principios estructurales organizativos que se proyectan sobre el conjunto y que se dirige a asegurar unos intereses generales cuya efectividad no puede quedar supeditada al concreto acuerdo con cada Comunidad Autónoma en el seno de la correspondiente comisión mixta.</w:t>
      </w:r>
    </w:p>
    <w:p w:rsidR="00163957" w:rsidRDefault="00163957" w:rsidP="00163957">
      <w:pPr>
        <w:pStyle w:val="TextoNormal"/>
      </w:pPr>
    </w:p>
    <w:p w:rsidR="00163957" w:rsidRDefault="00163957" w:rsidP="00163957">
      <w:pPr>
        <w:pStyle w:val="TextoNormal"/>
      </w:pPr>
      <w:r>
        <w:t>Debe rechazarse que el artículo 2 impugnado, desde la perspectiva que ahora nos ocupa, sea contrario a la Ley 12/2002, de 23 de mayo, por la que se aprueba el concierto económico con la Comunidad Autónoma del País Vasco, o a la Ley Orgánica 2/2012, de 27 de abril, de estabilidad presupuestaria, y, por tanto, debe desestimarse también este motivo de recurso.</w:t>
      </w:r>
    </w:p>
    <w:p w:rsidR="00163957" w:rsidRDefault="00163957" w:rsidP="00163957">
      <w:pPr>
        <w:pStyle w:val="TextoNormal"/>
      </w:pPr>
    </w:p>
    <w:p w:rsidR="00163957" w:rsidRDefault="00163957" w:rsidP="00163957">
      <w:pPr>
        <w:pStyle w:val="TextoNormal"/>
      </w:pPr>
      <w:r w:rsidRPr="00163957">
        <w:rPr>
          <w:rStyle w:val="NumeroAFNegritaCaracter"/>
        </w:rPr>
        <w:t>4</w:t>
      </w:r>
      <w:r>
        <w:t>. Los siguientes preceptos impugnados son los arts. 8, y 10 del Real Decreto-ley 20/2012. El primero de estos preceptos se dedica a la “modificación de los artículos 48 y 50 de la Ley 7/2007, de 12 de abril, de Estatuto Básico del Empleado Público y medidas sobre días adicionales”, concretamente en lo relativo a los “permisos de los funcionarios públicos” y a las “vacaciones de los funcionarios públicos”. Por su parte, el segundo precepto, el art. 10, bajo el título de “reducción de créditos y permisos sindicales”, se dirige a ajustar los derechos sindicales (los referidos al tiempo retribuido para realizar funciones sindicales y de representación, nombramiento de delegados sindicales, así como los relativos a dispensas totales de asistencia al trabajo y demás derechos sindicales), a lo establecido en el Real Decreto Legislativo 1/1995, de 24 de marzo, por el que se aprueba el texto refundido de la Ley del estatuto de los trabajadores, en la Ley Orgánica 11/1985, de 2 de agosto, de libertad sindical, y en la Ley 7/2007, de 12 de abril, del estatuto básico del empleado público. En la actualidad esta remisión debe entenderse, por lo que hace a la primera y a la tercera de las normas indicadas, al Real Decreto Legislativo 2/2015, de 23 de octubre, por el que se aprueba el texto refundido de la Ley del estatuto de los trabajadores, y al Real Decreto Legislativo 5/2015, de 30 de octubre, por el que se aprueba el texto refundido de la Ley del estatuto básico del empleado público.</w:t>
      </w:r>
    </w:p>
    <w:p w:rsidR="00163957" w:rsidRDefault="00163957" w:rsidP="00163957">
      <w:pPr>
        <w:pStyle w:val="TextoNormal"/>
      </w:pPr>
    </w:p>
    <w:p w:rsidR="00163957" w:rsidRDefault="00163957" w:rsidP="00163957">
      <w:pPr>
        <w:pStyle w:val="TextoNormal"/>
      </w:pPr>
      <w:r>
        <w:t>a) Artículo 8 (permisos y vacaciones de los funcionarios públicos): Para el Gobierno vasco la regulación de los permisos y vacaciones de los funcionarios públicos contenida en el art. 8 del Real Decreto-ley 20/2012 no encuentra justificación en el título competencial del art. 149.1.13 CE, al tratarse de una medida relativa al alcance y duración mínima de las jornadas de los empleados públicos que no tiene una incidencia directa y significativa en el ámbito de la economía general, tanto más cuando su contenido no es inherentemente económico ni afecta a aspectos retributivos. A este respecto entiende que la eventualidad de un potencial ahorro como consecuencia del incremento de las horas de trabajo no es justificación suficiente para encajarla como una medida directa a efectos de la dirección política o presupuestaria, ni de la consecución de los objetivos de estabilidad presupuestaria que avalarían la invocación de los títulos previstos en los arts. 149.1.13 CE y 156.2 CE. Para el Abogado del Estado, sin embargo, el legislador básico puede establecer para todas las Administraciones públicas un límite máximo de días de permiso y vacaciones de los empleados públicos, pudiendo las Comunidades Autónomas fijar límites máximos más estrictos que contribuyan a incrementar su productividad y a reducir sus déficits.</w:t>
      </w:r>
    </w:p>
    <w:p w:rsidR="00163957" w:rsidRDefault="00163957" w:rsidP="00163957">
      <w:pPr>
        <w:pStyle w:val="TextoNormal"/>
      </w:pPr>
    </w:p>
    <w:p w:rsidR="00163957" w:rsidRDefault="00163957" w:rsidP="00163957">
      <w:pPr>
        <w:pStyle w:val="TextoNormal"/>
      </w:pPr>
      <w:r>
        <w:t xml:space="preserve">La cuestión ahora planteada ha sido ya resuelta por este Tribunal en la STC 156/2015, de 9 de julio (FJ 8), doctrina que luego se ha reproducido en las SSTC 9/2016, de 21 de </w:t>
      </w:r>
      <w:r>
        <w:lastRenderedPageBreak/>
        <w:t>enero (FJ 3), y 18/2016, de 4 de febrero [FJ 6 c)]. Sobre este particular, hemos señalado que aun cuando algunas de las disposiciones del Real Decreto-ley 20/2012 podían encontrar amparo en la competencia del Estado sobre bases y coordinación de la planificación general de la actividad económica (art. 149.1.13 CE), dado que las medidas previstas en el art. 8 impugnado lo eran en materia de permisos y vacaciones de los empleados públicos y no pretendían dar respuesta a una problemática transitoria, adoptándose con un carácter estructural y con vocación de permanencia, esa regulación acogía una materia que había que encuadrarla en la referida al régimen jurídico de los funcionarios públicos (art. 149.1.18 CE), correspondiendo al Estado el establecimiento de las bases del régimen relativo a sus derechos y deberes, y a la Comunidad Autónoma el desarrollo legislativo y ejecución de la función pública autonómica y local, de acuerdo con la legislación básica. Este criterio, que hace prevalecer el título competencial atribuido al Estado por el art. 149.1.18 CE cuando se trata de regulaciones permanentes de derechos de los funcionarios, también ha sido recogido, esta vez en relación a la definición de la jornada laboral, en la STC 99/2016, de 25 de mayo.</w:t>
      </w:r>
    </w:p>
    <w:p w:rsidR="00163957" w:rsidRDefault="00163957" w:rsidP="00163957">
      <w:pPr>
        <w:pStyle w:val="TextoNormal"/>
      </w:pPr>
    </w:p>
    <w:p w:rsidR="00163957" w:rsidRDefault="00163957" w:rsidP="00163957">
      <w:pPr>
        <w:pStyle w:val="TextoNormal"/>
      </w:pPr>
      <w:r>
        <w:t>Conforme a lo que antecede concluimos, en primer lugar, que entre las bases del régimen estatutario de los funcionarios públicos de todas las Administraciones públicas cabe incluir previsiones comunes relativas tanto a sus retribuciones como a los supuestos de ausencia temporal justificada al puesto de trabajo (permisos, licencias y vacaciones), con el objetivo de lograr una mínima y fundamental homogeneidad en unos aspectos sustanciales del régimen funcionarial, por lo que el título competencial del art. 149.1.18 CE legitima la nueva redacción que el art. 8 del Real Decreto-ley 20/2012 le ha dado a los arts. 48 y 50 de la Ley 7/2007, de 12 de abril. Y, en segundo lugar, que la nueva regulación no agota el contenido de los referidos permisos, licencias o vacaciones, permitiendo a las Comunidades Autónomas el ejercicio de sus competencias de desarrollo legislativo y de ejecución en la materia, al dejarlas fijar la forma y manera de su utilización [SSTC 156/2015, de 9 de julio, FJ 8; 9/2016, de 21 de enero, FJ 3, y 18/2016, de 4 de febrero, FJ 6 c)].</w:t>
      </w:r>
    </w:p>
    <w:p w:rsidR="00163957" w:rsidRDefault="00163957" w:rsidP="00163957">
      <w:pPr>
        <w:pStyle w:val="TextoNormal"/>
      </w:pPr>
    </w:p>
    <w:p w:rsidR="00163957" w:rsidRDefault="00163957" w:rsidP="00163957">
      <w:pPr>
        <w:pStyle w:val="TextoNormal"/>
      </w:pPr>
      <w:r>
        <w:t>Desestimamos, en consecuencia, la impugnación en este punto, al encontrar su fundamento en la competencia del Estado sobre las bases del régimen de derechos y deberes de los funcionarios públicos y la posibilidad de un margen de desarrollo a las Comunidades Autónomas.</w:t>
      </w:r>
    </w:p>
    <w:p w:rsidR="00163957" w:rsidRDefault="00163957" w:rsidP="00163957">
      <w:pPr>
        <w:pStyle w:val="TextoNormal"/>
      </w:pPr>
    </w:p>
    <w:p w:rsidR="00163957" w:rsidRDefault="00163957" w:rsidP="00163957">
      <w:pPr>
        <w:pStyle w:val="TextoNormal"/>
      </w:pPr>
      <w:r>
        <w:t>b) Artículo 10 (reducción de créditos y permisos sindicales): Aunque el Gobierno vasco impugna también el art. 10 (“Reducción de créditos y permisos sindicales”), lo cierto es que no existe a lo largo del escrito de demanda un solo argumento que sustente su pretendida inconstitucionalidad, sin que sea posible deducirlo de la fundamentación dirigida a cuestionar el art. 8, lo que supone que se ha incumplido la carga de argumentar el vicio denunciado que pesa sobre aquel [por todas, SSTC 216/2015, de 22 de octubre, FJ 2 a), y 236/2015, de 19 de noviembre, FJ 2]. Cuando lo que está en juego es la depuración del ordenamiento jurídico, es carga del recurrente no solo la de abrir la vía para que el Tribunal pueda pronunciarse, sino también la de colaborar con la justicia del Tribunal mediante un pormenorizado análisis de las graves cuestiones que se suscitan, por lo que es justo hablar de una carga del recurrente y en los casos en que ésta no se atiende, de una falta de diligencia procesalmente exigible, como es la de ofrecer la fundamentación que razonablemente es de esperar [por todas, STC 44/2015, de 5 de marzo, FJ 4 b), y 62/2016, de 17 de marzo, FJ 3].</w:t>
      </w:r>
    </w:p>
    <w:p w:rsidR="00163957" w:rsidRDefault="00163957" w:rsidP="00163957">
      <w:pPr>
        <w:pStyle w:val="TextoNormal"/>
      </w:pPr>
    </w:p>
    <w:p w:rsidR="00163957" w:rsidRDefault="00163957" w:rsidP="00163957">
      <w:pPr>
        <w:pStyle w:val="TextoNormal"/>
      </w:pPr>
      <w:r>
        <w:lastRenderedPageBreak/>
        <w:t>Siendo lo anterior motivo suficiente para desestimar el recurso en este punto, no obstante, incluso tomando como fundamentación del vicio denunciado la que sustenta la inconstitucionalidad del art. 8 de ese mismo Real Decreto-ley 20/2012, tampoco podría alcanzarse un resultado favorable a la pretensión del Gobierno recurrente. Como hemos señalado con anterioridad, la regulación ahora discutida no encontraría amparo en la competencia del Estado sobre bases y coordinación de la planificación general de la actividad económica (art. 149.1.13 CE), dado que no pretende dar respuesta a una problemática transitoria, adoptándose con un carácter estructural y con vocación de permanencia, lo que supone que debe encuadrarse en la referida al régimen jurídico de los funcionarios públicos (art. 149.1.18 CE), dentro del cual cabe incluir previsiones comunes relativas a los supuestos de ausencia temporal justificada al puesto de trabajo, entre los que se encuentra el de “realizar funciones sindicales o de representación del personal, en los términos que se determine” [art. 48 c) del Real Decreto Legislativo 5/2015, de 30 de octubre, por el que se aprueba el texto refundido de la Ley del estatuto básico del empleado público].</w:t>
      </w:r>
    </w:p>
    <w:p w:rsidR="00163957" w:rsidRDefault="00163957" w:rsidP="00163957">
      <w:pPr>
        <w:pStyle w:val="TextoNormal"/>
      </w:pPr>
    </w:p>
    <w:p w:rsidR="00163957" w:rsidRDefault="00163957" w:rsidP="00163957">
      <w:pPr>
        <w:pStyle w:val="TextoNormal"/>
      </w:pPr>
      <w:r>
        <w:t>Pues bien, a diferencia del art. 8 del Real Decreto-ley 20/2012, que incluye una regulación detallada de los permisos y licencias de los funcionarios, aunque dejando el necesario margen de actuación para el desarrollo y ejecución autonómico, la regulación del art. 10 de ese mismo Real Decreto-ley 20/2012 se limita a ajustar los tiempos retribuidos para realizar funciones sindicales y de representación contemplados en exceso en los diferentes acuerdos o convenios colectivos suscritos con representantes u organizaciones sindicales (tanto para personal funcionario y estatutario, como para el personal laboral) a lo previsto en el Real Decreto Legislativo 1/1995, de 24 de marzo, por el que se aprueba el texto refundido de la Ley del estatuto de los trabajadores, en la Ley Orgánica 11/1985, de 2 de agosto, de libertad sindical, y en la Ley 7/2007, de 12 de abril, del estatuto básico del empleado público, permitiendo no obstante que en lo sucesivo pueda establecerse otra cosa mediante acuerdo alcanzado en el ámbito de las mesas generales de negociación. En la actualidad esta remisión debe entenderse, por lo que hace a la primera y a la tercera de las normas indicadas, al Real Decreto Legislativo 2/2015, de 23 de octubre, por el que se aprueba el texto refundido de la Ley del estatuto de los trabajadores, y al Real Decreto Legislativo 5/2015, de 30 de octubre, por el que se aprueba el texto refundido de la Ley del estatuto básico del empleado público. En todo caso, el contenido normativo del precepto legal enjuiciado no ha cambiado por esta remisión actualizada.</w:t>
      </w:r>
    </w:p>
    <w:p w:rsidR="00163957" w:rsidRDefault="00163957" w:rsidP="00163957">
      <w:pPr>
        <w:pStyle w:val="TextoNormal"/>
      </w:pPr>
    </w:p>
    <w:p w:rsidR="00163957" w:rsidRDefault="00163957" w:rsidP="00163957">
      <w:pPr>
        <w:pStyle w:val="TextoNormal"/>
      </w:pPr>
      <w:r>
        <w:t>Estamos en presencia, pues, de una norma que, al establecer un determinado régimen jurídico de un aspecto sustancial del régimen funcionarial como es el de los créditos y permisos sindicales por referencia a la duración de los mismos fijada en el texto refundido de la Ley del estatuto de los trabajadores y en el texto refundido de la Ley del estatuto básico del empleado público (si bien admitiendo que en lo sucesivo se puedan ampliar por acuerdo de las mesas generales de negociación), se legitima en el título competencial del art. 149.1.18 CE y que, en modo alguno, impide el ejercicio de las competencias de desarrollo legislativo y de ejecución que en la materia puedan corresponder a las Comunidades Autónomas. Esa misma medida, en tanto se refiere a los empleados públicos que son personal laboral, resulta amparada por el título competencial previsto en el art. 149.1.7 CE, pues con base en él corresponde al Estado la normación de la relación laboral y, por tanto, la definición de los derechos del trabajador, entre los que están los supuestos de ausencia temporal justificada al puesto de trabajo, como hemos declarado en la STC 99/2016, de 25 de mayo, por referencia a la jornada de trabajo del personal laboral de las Administraciones públicas.</w:t>
      </w:r>
    </w:p>
    <w:p w:rsidR="00163957" w:rsidRDefault="00163957" w:rsidP="00163957">
      <w:pPr>
        <w:pStyle w:val="TextoNormal"/>
      </w:pPr>
    </w:p>
    <w:p w:rsidR="00163957" w:rsidRDefault="00163957" w:rsidP="00163957">
      <w:pPr>
        <w:pStyle w:val="TextoNormal"/>
      </w:pPr>
      <w:r>
        <w:t>Respecto del punto concreto del crédito horario de los delegados sindicales el art. 10.3 de la Ley Orgánica de libertad sindical (LOLS) les atribuye las garantías reconocidas a los miembros de los comités de empresa o de los órganos de representación que se establezcan en las Administraciones públicas, entre las que están los créditos horarios (art. 68 del texto refundido de la Ley del estatuto de los trabajadores; arts. 32 y 41 del texto refundido de la Ley del estatuto básico del empleado público). Este Tribunal ha declarado (por todas, la STC 70/2000, de 13 de marzo) que el crédito horario de los delegados sindicales forma parte del contenido adicional del derecho a la libertad sindical (art. 28.1 CE), lo que significa, en el tenor literal de la STC 281/2005, de 7 de noviembre, FJ 3, que “los actos contrarios a este último [a dicho contenido adicional] son también susceptibles de infringir el art. 28.1 CE”, pero también que “estos derechos adicionales, en la medida que sobrepasan el contenido esencial que ha de ser garantizado a todos los sindicatos, son creación infraconstitucional y deben ser ejercitados en el marco de su regulación, pudiendo ser alterados o suprimidos por la norma legal o convencional que los establece”. Esta configuración del crédito horario de los delegados sindicales no altera el reparto competencial que ha quedado expuesto, según el cual el precepto estatal recurrido, en tanto que prevé un régimen jurídico de los créditos horarios de los delegados sindicales, está amparado, según se trate de personal laboral o personal funcionario del sector público, por las atribuciones que hacen al Estado las cláusulas 7 y 18 del art. 149.1 CE.</w:t>
      </w:r>
    </w:p>
    <w:p w:rsidR="00163957" w:rsidRDefault="00163957" w:rsidP="00163957">
      <w:pPr>
        <w:pStyle w:val="TextoNormal"/>
      </w:pPr>
    </w:p>
    <w:p w:rsidR="00163957" w:rsidRDefault="00163957" w:rsidP="00163957">
      <w:pPr>
        <w:pStyle w:val="TextoNormal"/>
      </w:pPr>
      <w:r>
        <w:t>Debe rechazarse, por tanto, también la impugnación en este otro punto.</w:t>
      </w:r>
    </w:p>
    <w:p w:rsidR="00163957" w:rsidRDefault="00163957" w:rsidP="00163957">
      <w:pPr>
        <w:pStyle w:val="TextoNormal"/>
      </w:pPr>
    </w:p>
    <w:p w:rsidR="00163957" w:rsidRDefault="00163957" w:rsidP="00163957">
      <w:pPr>
        <w:pStyle w:val="TextoNormal"/>
      </w:pPr>
      <w:r w:rsidRPr="00163957">
        <w:rPr>
          <w:rStyle w:val="NumeroAFNegritaCaracter"/>
        </w:rPr>
        <w:t>5</w:t>
      </w:r>
      <w:r>
        <w:t>. Los siguientes preceptos impugnados por el Gobierno vasco son el art. 27 (“Modificación de la Ley 1/2004, de 21 de diciembre, de horarios comerciales”) y la disposición final tercera (“Adaptación de los calendarios comerciales de las Comunidades Autónomas”), ambos del Real Decreto-ley 20/2012.</w:t>
      </w:r>
    </w:p>
    <w:p w:rsidR="00163957" w:rsidRDefault="00163957" w:rsidP="00163957">
      <w:pPr>
        <w:pStyle w:val="TextoNormal"/>
      </w:pPr>
    </w:p>
    <w:p w:rsidR="00163957" w:rsidRDefault="00163957" w:rsidP="00163957">
      <w:pPr>
        <w:pStyle w:val="TextoNormal"/>
      </w:pPr>
      <w:r>
        <w:t>a) Contenido del art. 27 del Real Decreto-ley 20/2012: El art. 27 del Real Decreto-ley 20/2012 modifica la Ley 1/2004, de 21 de diciembre, de horarios comerciales, concretamente: 1º) El art. 3.1 relativo al “horario global”; 2º) El art. 4 referente a los “domingos y festivos”; 3º) El art. 5 dedicado a los “establecimientos con régimen especial de horarios”; 4º) La disposición adicional primera que trata el “régimen de libertad de horarios”; 5º) La disposición adicional segunda que se dedica a la “libertad de elección de domingos y festivos”. Por su parte, la disposición final tercera de ese Real Decreto-ley 20/2012 apela a las Comunidades Autónomas para que pongan en marcha “los procedimientos necesarios para adaptar los calendarios de domingos y festivos en que los comercios podrán permanecer abiertos al público, a partir de 2013, de acuerdo con lo dispuesto en el artículo 4 de la Ley 1/2004, de 21 de diciembre, de horarios comerciales, en la redacción dada por este real decreto”.</w:t>
      </w:r>
    </w:p>
    <w:p w:rsidR="00163957" w:rsidRDefault="00163957" w:rsidP="00163957">
      <w:pPr>
        <w:pStyle w:val="TextoNormal"/>
      </w:pPr>
    </w:p>
    <w:p w:rsidR="00163957" w:rsidRDefault="00163957" w:rsidP="00163957">
      <w:pPr>
        <w:pStyle w:val="TextoNormal"/>
      </w:pPr>
      <w:r>
        <w:t xml:space="preserve">De conformidad con la disposición final cuarta del Real Decreto-ley 20/2012, el título V de la propia norma, en el que se inserta el art. 27, “se dicta al amparo del art. 149.1.13 de la Constitución que atribuyen al Estado la competencia sobre las bases y coordinación de la planificación general de la actividad económica”. Por su parte, el art. 10.27 de la Ley Orgánica 3/1979, de 18 de diciembre, de Estatuto de Autonomía para el País Vasco, atribuye a esta Comunidad Autónoma competencia exclusiva en materia de “Comercio interior, sin perjuicio de la política general de precios, la libre circulación de bienes en el territorio del </w:t>
      </w:r>
      <w:r>
        <w:lastRenderedPageBreak/>
        <w:t>Estado y de la legislación sobre defensa de la competencia”. Pues bien, antes de entrar a analizar el contenido del precepto impugnado y a la vista de los títulos competenciales citados hemos de recordar ya en este momento que “sobre el comercio interior pueden incidir las competencias básicas del Estado previstas en el art. 149.1.13 CE, si bien cada Comunidad Autónoma, dentro de su ámbito territorial, podrá ejercer las competencias de desarrollo normativo y/o ejecución, según lo establecido en el respectivo Estatuto en materia de comercio interior” (SSTC 156/2015, de 9 de julio, FJ 9; 18/2016, de 4 de febrero, FJ 9; y 55/2016, de 17 de marzo, FJ 4).</w:t>
      </w:r>
    </w:p>
    <w:p w:rsidR="00163957" w:rsidRDefault="00163957" w:rsidP="00163957">
      <w:pPr>
        <w:pStyle w:val="TextoNormal"/>
      </w:pPr>
    </w:p>
    <w:p w:rsidR="00163957" w:rsidRDefault="00163957" w:rsidP="00163957">
      <w:pPr>
        <w:pStyle w:val="TextoNormal"/>
      </w:pPr>
      <w:r>
        <w:t>b) Apartados 1 y 4 del art. 27 del Real Decreto-ley 20/2012: La demanda plantea, en primer lugar, la inconstitucionalidad de los apartados 1 y 4 del art. 27 del Real Decreto-ley 20/2012, que modifican, respectivamente, el art. 3 y la disposición adicional primera de esa misma Ley 1/2004, que tienen por objeto la determinación del horario global semanal en el que los comercios podrán desarrollar su actividad, por considerar que vulneran las competencias autonómicas en materia de comercio interior previstas en el art. 10.27 del Estatuto de Autonomía, excediéndose del título competencial estatal consignado en el art. 149.1.13 CE, al anular el margen de decisión de la Comunidad Autónoma. Para el Abogado del Estado, sin embargo, el art. 27 del Real Decreto-ley impugnado se justifica en el título estatal recogido en el art. 149.1.13 CE, sin que la concreta regulación haya agotado la materia, permitiendo así que, dentro de las bases establecidas, las Comunidades Autónomas puedan optar por establecer grados superiores de libertad de horarios comerciales.</w:t>
      </w:r>
    </w:p>
    <w:p w:rsidR="00163957" w:rsidRDefault="00163957" w:rsidP="00163957">
      <w:pPr>
        <w:pStyle w:val="TextoNormal"/>
      </w:pPr>
    </w:p>
    <w:p w:rsidR="00163957" w:rsidRDefault="00163957" w:rsidP="00163957">
      <w:pPr>
        <w:pStyle w:val="TextoNormal"/>
      </w:pPr>
      <w:r>
        <w:t>El apartado 1 del art. 27 del Real Decreto-ley 20/2012 modifica el art. 3.1 de la Ley 1/2004 y establece que el horario global en el que los comercios pueden desarrollar su actividad en días laborables no puede ser restringido por las Comunidades Autónomas a menos de 90 horas. Por su parte, el apartado 4 de ese mismo art. 27 modifica la disposición adicional primera de la Ley 1/2004 y dispone que, en el caso de que las Comunidades Autónomas no hagan uso de esa facultad, se entenderá que los comerciantes disponen de plena libertad horaria.</w:t>
      </w:r>
    </w:p>
    <w:p w:rsidR="00163957" w:rsidRDefault="00163957" w:rsidP="00163957">
      <w:pPr>
        <w:pStyle w:val="TextoNormal"/>
      </w:pPr>
    </w:p>
    <w:p w:rsidR="00163957" w:rsidRDefault="00163957" w:rsidP="00163957">
      <w:pPr>
        <w:pStyle w:val="TextoNormal"/>
      </w:pPr>
      <w:r>
        <w:t xml:space="preserve">Hay que recordar que la intervención estatal </w:t>
      </w:r>
      <w:r w:rsidRPr="00163957">
        <w:rPr>
          <w:i/>
        </w:rPr>
        <w:t>ex</w:t>
      </w:r>
      <w:r>
        <w:t xml:space="preserve"> art. 149.1.13 CE en la regulación de los horarios comerciales ya ha sido reconocida por nuestra doctrina por su carácter “particularmente relevante en la ordenación de la actividad comercial minorista, rama o sector de la economía nacional respecto a la cual el Estado puede … establecer medidas básicas en cuanto lo requiera la adecuada ordenación de la actividad económica” [SSTC 88/2010, de 15 de noviembre, FJ 5; 26/2012, de 1 de marzo, FJ 7; 156/2015, de 9 de julio, FJ 10; 18/2016, de 4 de febrero, FJ 9 a), y 55/2016, de 17 de marzo, FJ 4], lo que permite sostener “que la regulación de los horarios globales semanales no supone sino el establecimiento de unas directrices o criterios globales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 razón por la cual, “el Estado, en el ejercicio de sus competencias </w:t>
      </w:r>
      <w:r w:rsidRPr="00163957">
        <w:rPr>
          <w:i/>
        </w:rPr>
        <w:t>ex</w:t>
      </w:r>
      <w:r>
        <w:t xml:space="preserve"> art. 149.1.13 CE ha decidido que, para la consecución de los objetivos básicos que persigue, resulta preciso establecer un régimen de más amplia liberalización de horarios, lo que, conforme a la doctrina que hemos expuesto, no resulta contrario al orden constitucional de distribución de competencias” [STC 18/2016, de 4 de febrero, FJ 9 a), y en el mismo sentido, STC 37/2016, de 3 de marzo, FJ 4 a)].</w:t>
      </w:r>
    </w:p>
    <w:p w:rsidR="00163957" w:rsidRDefault="00163957" w:rsidP="00163957">
      <w:pPr>
        <w:pStyle w:val="TextoNormal"/>
      </w:pPr>
    </w:p>
    <w:p w:rsidR="00163957" w:rsidRDefault="00163957" w:rsidP="00163957">
      <w:pPr>
        <w:pStyle w:val="TextoNormal"/>
      </w:pPr>
      <w:r>
        <w:t>Lo anterior conduce a la desestimación de la queja planteada no sólo respecto al art. 27.1 del Real Decreto-ley 20/2012, sino también con relación al art. 27.4 de la misma norma, que “establece simplemente una consecuencia para el caso de falta de ejercicio de las competencias autonómicas en materia de comercio en el subsector de los horarios comerciales, de modo que no impone una libertad horaria —que sería conforme con el orden competencial, de acuerdo con la doctrina antes citada— sino que permite que las Comunidades Autónomas opten por ella en el caso de que decidan no utilizar las posibilidades de regulación que derivan de la norma estatal” [STC 18/2016, de 4 de febrero, FJ 9 a), y en el mismo sentido, STC 37/2016, de 3 de marzo, FJ 4 a)].</w:t>
      </w:r>
    </w:p>
    <w:p w:rsidR="00163957" w:rsidRDefault="00163957" w:rsidP="00163957">
      <w:pPr>
        <w:pStyle w:val="TextoNormal"/>
      </w:pPr>
    </w:p>
    <w:p w:rsidR="00163957" w:rsidRDefault="00163957" w:rsidP="00163957">
      <w:pPr>
        <w:pStyle w:val="TextoNormal"/>
      </w:pPr>
      <w:r>
        <w:t>Por consiguiente, los apartados 1 y 4 del art. 27 del Real Decreto-ley 20/2012 no son contrarios a los arts. 149.1.13 CE y 10.27 del Estatuto de Autonomía para el País Vasco (EAPV).</w:t>
      </w:r>
    </w:p>
    <w:p w:rsidR="00163957" w:rsidRDefault="00163957" w:rsidP="00163957">
      <w:pPr>
        <w:pStyle w:val="TextoNormal"/>
      </w:pPr>
    </w:p>
    <w:p w:rsidR="00163957" w:rsidRDefault="00163957" w:rsidP="00163957">
      <w:pPr>
        <w:pStyle w:val="TextoNormal"/>
      </w:pPr>
      <w:r>
        <w:t>c) Apartado 2 del art. 27 y disposición final tercera, ambos del Real Decreto-ley 20/2012: Cuestiona también el Gobierno vasco el régimen de domingos y festivos de apertura que deriva del art. 27.2 del Real Decreto-ley 20/2012, que da nueva redacción al art. 4 de la Ley 1/2004, así como, por conexión con este, la disposición final tercera del Real Decreto-ley 20/2012, que fija las reglas para la aplicación de lo dispuesto en ese artículo 4, por considerar también que vulneran las competencias autonómicas en materia de comercio interior previstas en el art. 10.27 del Estatuto de Autonomía, excediéndose del título competencial estatal consignado en el art. 149.1.13 CE, al anular nuevamente el margen de decisión de la Comunidad Autónoma. El Abogado del Estado considera, sin embargo, que la regulación del Estado no agota el espacio normativo de las Comunidades Autónomas, limitándose a establecer un mínimo común denominador para todo el territorio nacional, a partir del cual les corresponde a aquellas el desarrollo de los instrumentos y mecanismos necesarios para que los comerciantes puedan ejercer su libertad de elección horaria.</w:t>
      </w:r>
    </w:p>
    <w:p w:rsidR="00163957" w:rsidRDefault="00163957" w:rsidP="00163957">
      <w:pPr>
        <w:pStyle w:val="TextoNormal"/>
      </w:pPr>
    </w:p>
    <w:p w:rsidR="00163957" w:rsidRDefault="00163957" w:rsidP="00163957">
      <w:pPr>
        <w:pStyle w:val="TextoNormal"/>
      </w:pPr>
      <w:r>
        <w:t>El apartado 2 del art. 27 del Real Decreto-ley 20/2012 da nueva redacción al art. 4 de la Ley 1/2004 y determina que el número mínimo de domingos y días festivos en los que los comercios podrán permanecer abiertos al público será de 16, si bien las Comunidades Autónomas podrán modificar dicho número en atención a sus necesidades comerciales, incrementándolo o reduciéndolo, sin que en ningún caso se pueda limitar por debajo de diez el número mínimo de domingos y festivos de apertura autorizada, cuyo horario concreto será determinado libremente por cada comerciante. Igualmente, se fijan los criterios que deberán tenerse en cuenta por las Comunidades Autónomas para determinar los concretos domingos y festivos de apertura en su territorio. Por su parte, la disposición final tercera prevé la adaptación a estas nuevas reglas, por parte de las Comunidades Autónomas, de sus calendarios comerciales para 2013.</w:t>
      </w:r>
    </w:p>
    <w:p w:rsidR="00163957" w:rsidRDefault="00163957" w:rsidP="00163957">
      <w:pPr>
        <w:pStyle w:val="TextoNormal"/>
      </w:pPr>
    </w:p>
    <w:p w:rsidR="00163957" w:rsidRDefault="00163957" w:rsidP="00163957">
      <w:pPr>
        <w:pStyle w:val="TextoNormal"/>
      </w:pPr>
      <w:r>
        <w:t xml:space="preserve">Este Tribunal ya ha tenido la oportunidad de pronunciarse respecto de los apartados 1 y 2 del artículo 4 de la Ley 1/2004, en la redacción que les dio el art. 27.2 del Real Decreto-ley 20/2012, señalando que “teniendo presentes los objetivos que persigue la regulación estatal en materia de horarios comerciales, relacionados con la necesidad de ‘promover unas adecuadas condiciones de competencia en el sector, contribuir a mejorar la eficiencia en la distribución comercial minorista y lograr un adecuado nivel de oferta para los consumidores’ es de apreciar que tales circunstancias determinan el carácter materialmente básico de </w:t>
      </w:r>
      <w:r>
        <w:lastRenderedPageBreak/>
        <w:t>la norma estatal, en la medida en que tal decisión no es indiferente, en cuanto estímulo a la demanda privada de bienes de consumo y al empleo en dicho sector comercial, lo que justifica que puede ser adoptada por el Estado en atención a su incidencia directa y significativa sobre la actividad económica general y la comercial en particular” [STC 18/2016, de 4 de febrero, FJ 9 b)]. De esta manera, “la opción legislativa estatal supone el establecimiento de normas básicas en lo relativo a la intervención administrativa en la fijación de los horarios comerciales cuya concreción requiere de la actuación autonómica, para, respetando el mínimo estatal, fijar el número y determinación concreta de los festivos de apertura autorizada, lo que permite excluir la vulneración que se denuncia” [STC 18/2016, de 4 de febrero, FJ 9 b), y en el mismo sentido, STC 37/2016, de 3 de marzo, FJ 4 b)].</w:t>
      </w:r>
    </w:p>
    <w:p w:rsidR="00163957" w:rsidRDefault="00163957" w:rsidP="00163957">
      <w:pPr>
        <w:pStyle w:val="TextoNormal"/>
      </w:pPr>
    </w:p>
    <w:p w:rsidR="00163957" w:rsidRDefault="00163957" w:rsidP="00163957">
      <w:pPr>
        <w:pStyle w:val="TextoNormal"/>
      </w:pPr>
      <w:r>
        <w:t xml:space="preserve">Por otra parte, pero esta vez en relación con al apartado 5 del art. 4 de la Ley 1/2004, en la redacción que le dio también el art. 27.2 del Real Decreto-ley 20/2012, hemos considerado que no sólo “es un precepto formalmente básico, pues con tal carácter se proclama en la disposición final cuarta del Real Decreto-ley 20/2012”, sino que también su contenido es materialmente básico en la medida que “la regulación de criterios para la determinación de los domingos y festivos de apertura en función del atractivo comercial para los consumidores y para la determinación de las zonas de gran afluencia turística, no supone sino el establecimiento de unas directrices o criterios globales que cumplen, dado su carácter de condiciones mínimas y comunes, los parámetros constitucionales para su consideración material de norma básica, en tanto que la misma encierra una serie de objetivos de política económica aplicables a un sector de gran trascendencia en nuestra economía como es el de la distribución comercial” (STC 156/2015, de 9 de julio, FJ 10). Y con fundamento en esta idea hemos concluido que “los indicados criterios respetan las competencias autonómicas en materia de comercio interior, pues las normas contenidas en los preceptos referidos de la Ley 1/2004 no son tan minuciosas o exhaustivas que agoten la regulación de la materia, sino que establecen un </w:t>
      </w:r>
      <w:r w:rsidRPr="00163957">
        <w:rPr>
          <w:i/>
        </w:rPr>
        <w:t>minimum</w:t>
      </w:r>
      <w:r>
        <w:t xml:space="preserve"> sobre el que la Comunidad Autónoma pueda establecer una normativa adicional en el ejercicio de sus competencias. De esta manera no se agotan las posibilidades de que el legislador autonómico con competencia para ello pueda llevar a cabo desarrollos normativos que, sin detrimento de la eficacia de la norma estatal básica, permitan que cada Comunidad Autónoma pueda establecer sistemas singularizados en materia de apertura de comercios en domingos y festivos y en materia de determinación de las zonas de gran afluencia turística” (STC 156/2015, de 9 de julio, FJ 10).</w:t>
      </w:r>
    </w:p>
    <w:p w:rsidR="00163957" w:rsidRDefault="00163957" w:rsidP="00163957">
      <w:pPr>
        <w:pStyle w:val="TextoNormal"/>
      </w:pPr>
    </w:p>
    <w:p w:rsidR="00163957" w:rsidRDefault="00163957" w:rsidP="00163957">
      <w:pPr>
        <w:pStyle w:val="TextoNormal"/>
      </w:pPr>
      <w:r>
        <w:t>A la misma conclusión podemos llegar ahora respecto de la disposición final tercera del Real Decreto-ley 20/2012, pues aunque basta rechazar esta denuncia con el hecho de que se haya postulado su inconstitucionalidad por conexión con un precepto que ya hemos considerado conforme con el orden constitucional de distribución de competencias [STC 18/2016, de 4 de febrero, FJ 9 b)], lo cierto es que el precepto cuestionado defiere expresamente a las Comunidades Autónomas la puesta en marcha de “los procedimientos necesarios para adaptar los calendarios de domingos y festivos en que los comercios podrán permanecer abiertos al público, a partir de 2013”, lo que supone que no sólo no se agota la regulación de la materia sino, antes al contrario, que la norma reclama expresamente la intervención de la Comunidad Autónoma para que ejerza sus competencias de desarrollo normativo y/o ejecución.</w:t>
      </w:r>
    </w:p>
    <w:p w:rsidR="00163957" w:rsidRDefault="00163957" w:rsidP="00163957">
      <w:pPr>
        <w:pStyle w:val="TextoNormal"/>
      </w:pPr>
    </w:p>
    <w:p w:rsidR="00163957" w:rsidRDefault="00163957" w:rsidP="00163957">
      <w:pPr>
        <w:pStyle w:val="TextoNormal"/>
      </w:pPr>
      <w:r>
        <w:lastRenderedPageBreak/>
        <w:t>Debe rechazarse, en consecuencia, que el apartado 2 del art. 27 y la disposición final tercera, ambos del Real Decreto-ley 20/2012, sean contrarios a los arts. 149.1.13 CE y 10.27 EAPV.</w:t>
      </w:r>
    </w:p>
    <w:p w:rsidR="00163957" w:rsidRDefault="00163957" w:rsidP="00163957">
      <w:pPr>
        <w:pStyle w:val="TextoNormal"/>
      </w:pPr>
    </w:p>
    <w:p w:rsidR="00163957" w:rsidRDefault="00163957" w:rsidP="00163957">
      <w:pPr>
        <w:pStyle w:val="TextoNormal"/>
      </w:pPr>
      <w:r>
        <w:t>d) Apartados 4 y 5 del artículo 27 y disposición final tercera, ambos del Real Decreto-ley 20/2012 (cláusula de supletoriedad): Con carácter subsidiario a las denuncias anteriores se impugnan tanto los apartados 4 y 5 del art. 27, como la disposición final tercera, y por conexión con su contenido, también los apartados 1 y 2 de ese mismo art. 27, todos ellos del Real Decreto-ley 20/2012, al considerar el Gobierno vasco que se trata de disposiciones de carácter supletorio contrarias a la doctrina de este Tribunal Constitucional [SSTC 118/1996, FJ 6, y 61/1997, FJ 12 c)], para quien el presupuesto de aplicación de la cláusula de supletoriedad no es la ausencia de regulación, sino la presencia de una laguna que la norma estatal deba cubrir que, en el presente caso, no existe, como lo prueba el Decreto 33/2005, de 22 de febrero, de horarios comerciales de la Comunidad Autónoma de Euskadi.</w:t>
      </w:r>
    </w:p>
    <w:p w:rsidR="00163957" w:rsidRDefault="00163957" w:rsidP="00163957">
      <w:pPr>
        <w:pStyle w:val="TextoNormal"/>
      </w:pPr>
    </w:p>
    <w:p w:rsidR="00163957" w:rsidRDefault="00163957" w:rsidP="00163957">
      <w:pPr>
        <w:pStyle w:val="TextoNormal"/>
      </w:pPr>
      <w:r>
        <w:t>El apartado 4 del artículo 27 del Real Decreto-ley 20/2012 modifica la disposición adicional primera de la Ley 1/2004 y dispone que, en el caso de que las Comunidades Autónomas no hagan uso de la facultad que les confiere el art. 3.1 de la Ley 1/2004 (“El horario global en que los comercios podrán desarrollar su actividad durante el conjunto de días laborales de la semana no podrá restringirse por las Comunidades Autónomas a menos de 90 horas”), se entenderá que los comerciantes disponen de plena libertad horaria. Por su parte, el apartado 5 da nueva redacción a la disposición adicional segunda de aquella Ley 1/2004 en el sentido de prever para los comerciantes un régimen de libertad de elección de domingos y festivos para el caso de que las Comunidades Autónomas decidan no ejercitar las opciones que les confiere el art. 4.4 (“La determinación de los domingos o días festivos en los que podrán permanecer abiertos al público los comercios, con el mínimo anual antes señalado, corresponderá a cada Comunidad Autónoma para su respectivo ámbito territorial”). Por último, la disposición final tercera prevé la adaptación, por parte de las Comunidades Autónomas, de sus calendarios comerciales para 2013.</w:t>
      </w:r>
    </w:p>
    <w:p w:rsidR="00163957" w:rsidRDefault="00163957" w:rsidP="00163957">
      <w:pPr>
        <w:pStyle w:val="TextoNormal"/>
      </w:pPr>
    </w:p>
    <w:p w:rsidR="00163957" w:rsidRDefault="00163957" w:rsidP="00163957">
      <w:pPr>
        <w:pStyle w:val="TextoNormal"/>
      </w:pPr>
      <w:r>
        <w:t>Tampoco puede prosperar esta denuncia pues no estamos, en modo alguno, ante una cláusula de supletoriedad, sino ante una simple consecuencia jurídica derivada de la propia y opcional inactividad autonómica. En efecto, como hemos señalado en la STC 18/2016, de 4 de febrero, precisamente con relación al apartado 4 del art. 27 del Real Decreto-ley 20/2012, la norma impugnada “establece simplemente una consecuencia para el caso de falta de ejercicio de las competencias autonómicas en materia de comercio en el subsector de los horarios comerciales, de modo que no impone una libertad horaria —que sería conforme con el orden competencial, de acuerdo con la doctrina antes citada— sino que permite que las Comunidades Autónomas opten por ella en el caso de que decidan no utilizar las posibilidades de regulación que derivan de la norma estatal” [STC 18/2016, de 4 de febrero, FJ 9 a)]. Y, en fin, también respecto del apartado 5 de ese mismo artículo 27 del Real Decreto-ley 20/2012 hemos considerado que “la plena libertad de apertura en domingos y festivos es una opción a disposición de la Comunidad Autónoma para el caso de que decida no ejercer las posibilidades de regulación que le ofrece la norma estatal” [STC 18/2016, de 4 de febrero, FJ 9 b)].</w:t>
      </w:r>
    </w:p>
    <w:p w:rsidR="00163957" w:rsidRDefault="00163957" w:rsidP="00163957">
      <w:pPr>
        <w:pStyle w:val="TextoNormal"/>
      </w:pPr>
    </w:p>
    <w:p w:rsidR="00163957" w:rsidRDefault="00163957" w:rsidP="00163957">
      <w:pPr>
        <w:pStyle w:val="TextoNormal"/>
      </w:pPr>
      <w:r>
        <w:lastRenderedPageBreak/>
        <w:t>Debe rechazarse, en consecuencia, que los apartados 4 y 5 del artículo 27, la disposición final tercera, y por conexión, los apartados 1 y 2 de ese mismo artículo 27, todos ellos del Real Decreto-ley 20/2012, sean contrarios al art. 149.3 CE.</w:t>
      </w:r>
    </w:p>
    <w:p w:rsidR="00163957" w:rsidRDefault="00163957" w:rsidP="00163957">
      <w:pPr>
        <w:pStyle w:val="TextoNormal"/>
      </w:pPr>
    </w:p>
    <w:p w:rsidR="00163957" w:rsidRDefault="00163957" w:rsidP="00163957">
      <w:pPr>
        <w:pStyle w:val="TextoNormal"/>
      </w:pPr>
      <w:r w:rsidRPr="00163957">
        <w:rPr>
          <w:rStyle w:val="NumeroAFNegritaCaracter"/>
        </w:rPr>
        <w:t>6</w:t>
      </w:r>
      <w:r>
        <w:t>. El último precepto que considera el Gobierno vasco que es inconstitucional es el artículo 28 del Real Decreto-ley 20/2012 (“Modificación de la Ley 7/1996, de 15 de enero, de ordenación del comercio minorista”) no sólo por contradecir los arts. 10.27 y 10.28, ambos del Estatuto de Autonomía del País Vasco, al extralimitarse del ámbito competencial del art. 149.1.13 CE, sino también por infringir el art. 9.3 CE.</w:t>
      </w:r>
    </w:p>
    <w:p w:rsidR="00163957" w:rsidRDefault="00163957" w:rsidP="00163957">
      <w:pPr>
        <w:pStyle w:val="TextoNormal"/>
      </w:pPr>
    </w:p>
    <w:p w:rsidR="00163957" w:rsidRDefault="00163957" w:rsidP="00163957">
      <w:pPr>
        <w:pStyle w:val="TextoNormal"/>
      </w:pPr>
      <w:r>
        <w:t>a) El apartado segundo del artículo 28 del Real Decreto-ley 20/2012 introdujo un nuevo apartado tercero en el artículo 20 (“Constancia de la reducción de precios”) de la Ley 7/1996, de 15 de enero, de ordenación del comercio minorista, que ha sido posteriormente suprimido por la Ley 3/2014, de 27 de marzo (concretamente, por el apartado tres de su disposición final segunda). Esta circunstancia determina que este recurso de inconstitucionalidad haya perdido objeto sobrevenidamente en cuanto al art. 28.2 impugnado, tanto por lo que hace al motivo sustantivo (art. 9.3 CE) como a la alegación de extralimitación competencial.</w:t>
      </w:r>
    </w:p>
    <w:p w:rsidR="00163957" w:rsidRDefault="00163957" w:rsidP="00163957">
      <w:pPr>
        <w:pStyle w:val="TextoNormal"/>
      </w:pPr>
    </w:p>
    <w:p w:rsidR="00163957" w:rsidRDefault="00163957" w:rsidP="00163957">
      <w:pPr>
        <w:pStyle w:val="TextoNormal"/>
      </w:pPr>
      <w:r>
        <w:t>b) Seguridad jurídica: Aunque el Gobierno vasco imputa a alguno de los apartados (1, 4 y 7) del artículo 28 del Real Decreto-ley 20/2012 la vulneración del principio de seguridad jurídica (art. 9.3 CE), una vez más, lo hace sin levantar la carga de argumentar que sobre él pesa, pues imputa la vulneración de ese principio constitucional sin abonar una sola razón que la justifique, lo que es suficiente para rechazar su pretendida inconstitucionalidad [por todas, SSTC 44/2015, de 5 de marzo, FJ 4; 216/2015, de 22 de octubre, FJ 2 a); 236/2015, de 19 de noviembre, FJ 2, y 62/2016, de 17 de marzo, FJ 3]. Ahora bien, sí imputa con carácter general al precepto impugnado la vulneración del citado principio de seguridad jurídica (art. 9.3 CE) por haber alterado los fundamentos competenciales, al justificar el Estado su regulación en el art. 149.1.13 CE, en lugar de hacerlo —como venía sucediendo con anterioridad a la modificación— en el titulo previsto en el art. 149.1.6 CE, aunque sin especificar tampoco las razones por la que considera que ese cambio de anclaje competencial es lesivo de aquel principio constitucional, lo que también sería suficiente para rechazar esta concreta denuncia que se formula conforme a la doctrina citada.</w:t>
      </w:r>
    </w:p>
    <w:p w:rsidR="00163957" w:rsidRDefault="00163957" w:rsidP="00163957">
      <w:pPr>
        <w:pStyle w:val="TextoNormal"/>
      </w:pPr>
    </w:p>
    <w:p w:rsidR="00163957" w:rsidRDefault="00163957" w:rsidP="00163957">
      <w:pPr>
        <w:pStyle w:val="TextoNormal"/>
      </w:pPr>
      <w:r>
        <w:t>No obstante lo anterior, el hecho de que el art. 28 del Real Decreto-ley 20/2012 —que modifica la Ley 7/1996— se haya dictado al amparo del art. 149.1.13 CE (según reza la disposición final cuarta del citado Real Decreto-ley), pese a que la versión originaria de los preceptos de la Ley 7/1996 que han sido modificados por aquel Real Decreto-ley 20/2012 se fundamentase en la competencia exclusiva que el art. 149.1.6 CE atribuye al Estado para regular el derecho mercantil de la competencia (según señalaba la disposición final única de la Ley 7/1996), resulta irrelevante. Y lo es porque “no sólo el legislador estatal es libre para determinar el título competencial en el que funda sus decisiones, siendo lo único relevante que responda a un legítimo ejercicio de las competencias estatales, sino que, en todo caso, corresponde a este Tribunal identificar si finalmente el título competencial concreto que ofrezca —cuando proceda— da cobertura al precepto impugnado” (STC 59/2016, de 17 de marzo, FJ 5, y también SSTC 18/2016, de 4 de febrero, FJ 10, y 37/2016, de 3 de marzo, FJ 5).</w:t>
      </w:r>
    </w:p>
    <w:p w:rsidR="00163957" w:rsidRDefault="00163957" w:rsidP="00163957">
      <w:pPr>
        <w:pStyle w:val="TextoNormal"/>
      </w:pPr>
    </w:p>
    <w:p w:rsidR="00163957" w:rsidRDefault="00163957" w:rsidP="00163957">
      <w:pPr>
        <w:pStyle w:val="TextoNormal"/>
      </w:pPr>
      <w:r>
        <w:lastRenderedPageBreak/>
        <w:t>c) Controversia competencial: A juicio del Gobierno vasco, el artículo 28 del Real Decreto-ley 20/2012 no deja espacio alguno al legislador autonómico para el ejercicio de sus competencias exclusivas en materia de comercio interior (art. 10.27 EAPV) y de defensa del consumidor y del usuario (art. 10.28 EAPV). No es de esta opinión el Abogado del Estado para quien las medidas adoptadas, aunque sitúan como protagonista de las decisiones a los propios comerciantes, no eliminan la capacidad de regulación de las Comunidades Autónomas.</w:t>
      </w:r>
    </w:p>
    <w:p w:rsidR="00163957" w:rsidRDefault="00163957" w:rsidP="00163957">
      <w:pPr>
        <w:pStyle w:val="TextoNormal"/>
      </w:pPr>
    </w:p>
    <w:p w:rsidR="00163957" w:rsidRDefault="00163957" w:rsidP="00163957">
      <w:pPr>
        <w:pStyle w:val="TextoNormal"/>
      </w:pPr>
      <w:r>
        <w:t>El artículo 28 del Real Decreto-ley 20/2012 modifica la Ley 7/1996, de 15 de enero, de ordenación del comercio minorista, y, en particular, por lo que ahora interesa, suprimido el apartado 2) del artículo 28: 1) El 18.4 relativo al “concepto” de actividades de promoción de ventas; 3) El art. 25 dedicado a la “temporada de rebajas”); 4) El artículo 26.1 (sobre la “calidad de los productos rebajados”; 5) El artículo 27 que recoge el “concepto” de las ventas de promoción; 6) El artículo 28 que regula el “concepto” de las ventas de saldos; y 7) El artículo 31 relativo a la “duración y reiteración” de las ventas en liquidación.</w:t>
      </w:r>
    </w:p>
    <w:p w:rsidR="00163957" w:rsidRDefault="00163957" w:rsidP="00163957">
      <w:pPr>
        <w:pStyle w:val="TextoNormal"/>
      </w:pPr>
    </w:p>
    <w:p w:rsidR="00163957" w:rsidRDefault="00163957" w:rsidP="00163957">
      <w:pPr>
        <w:pStyle w:val="TextoNormal"/>
      </w:pPr>
      <w:r>
        <w:t>A este respecto debe señalarse, antes de nada, que tanto el apartado 1 del artículo 26 como el apartado 2 del artículo 27 de la Ley 7/1996, de 15 de enero, de ordenación del comercio minorista, en la redacción que les dieron los apartados 4 y 5 del artículo 28, respectivamente, del Real Decreto-ley 20/2012, han sido declarados ya contrarios al orden constitucional de distribución de competencias y, por tanto, inconstitucionales y nulos, por la STC 18/2016, de 4 de febrero (FJ 10), lo que determina la pérdida de objeto del presente recurso de inconstitucionalidad en cuanto a esos apartados al haber sido ya expulsados del ordenamiento jurídico [en el mismo sentido, STC 37/2016, de 3 de marzo, FJ 2 a)].</w:t>
      </w:r>
    </w:p>
    <w:p w:rsidR="00163957" w:rsidRDefault="00163957" w:rsidP="00163957">
      <w:pPr>
        <w:pStyle w:val="TextoNormal"/>
      </w:pPr>
    </w:p>
    <w:p w:rsidR="00163957" w:rsidRDefault="00163957" w:rsidP="00163957">
      <w:pPr>
        <w:pStyle w:val="TextoNormal"/>
      </w:pPr>
      <w:r>
        <w:t>Por su parte, el artículo 28.1 del Real Decreto-ley 20/2012, como ya hemos tenido la oportunidad de señalar, tiene como objeto permitir la convivencia de distintas modalidades de venta en un único establecimiento comercial, tratándose de un modo de intervención pública que pretende ordenar el mercado, eliminando restricciones existentes en la regulación anterior, que afecta al régimen de competencia entre los ofertantes permitiéndoles el desempeño simultáneo de varias actividades comerciales. De esta manera, “[e]n la medida, por tanto, en que se trata de una regulación que afecta sobre todo a la relación horizontal entre las empresas en una economía de libre mercado y no a la situación del consumidor como destinatario de los productos, su aprobación corresponde al ente territorial competente para legislar en el ámbito de la defensa de la competencia, esto es, el Estado en virtud del art. 149.1.13 CE” [STC 18/2016, de 4 de febrero, FJ 10; y en el mismo sentido, STC 37/2016, de 3 de marzo, FJ 5 a)].</w:t>
      </w:r>
    </w:p>
    <w:p w:rsidR="00163957" w:rsidRDefault="00163957" w:rsidP="00163957">
      <w:pPr>
        <w:pStyle w:val="TextoNormal"/>
      </w:pPr>
    </w:p>
    <w:p w:rsidR="00163957" w:rsidRDefault="00163957" w:rsidP="00163957">
      <w:pPr>
        <w:pStyle w:val="TextoNormal"/>
      </w:pPr>
      <w:r>
        <w:t xml:space="preserve">El artículo 28.3 del Real Decreto-ley 20/2012, que permite a cada comerciante decidir libremente los periodos de rebajas y su duración, configura una norma que regula un marco temporal para el desarrollo de específicas modalidades de ventas, que debe considerarse integrada en las normas que velan por la defensa de la competencia que son competencia del Estado </w:t>
      </w:r>
      <w:r w:rsidRPr="00163957">
        <w:rPr>
          <w:i/>
        </w:rPr>
        <w:t>ex</w:t>
      </w:r>
      <w:r>
        <w:t xml:space="preserve"> art. 149.1.13 CE (STC 18/2016, de 4 de febrero, FJ 10).</w:t>
      </w:r>
    </w:p>
    <w:p w:rsidR="00163957" w:rsidRDefault="00163957" w:rsidP="00163957">
      <w:pPr>
        <w:pStyle w:val="TextoNormal"/>
      </w:pPr>
    </w:p>
    <w:p w:rsidR="00163957" w:rsidRDefault="00163957" w:rsidP="00163957">
      <w:pPr>
        <w:pStyle w:val="TextoNormal"/>
      </w:pPr>
      <w:r>
        <w:t xml:space="preserve">El artículo 28.6 del Real Decreto-ley 20/2012 es también conforme con el orden competencial porque contempla la venta de saldos como uno de los supuestos exceptuados de la genérica prohibición de la venta con pérdidas establecida en virtud del título estatal sobre defensa de la competencia, lo que habilita al Estado “para establecer los límites definitorios </w:t>
      </w:r>
      <w:r>
        <w:lastRenderedPageBreak/>
        <w:t>de la excepción que la propia norma consagra” [STC 18/2016, de 4 de febrero, FJ 10; y en el mismo sentido, STC 37/2016, de 3 de marzo, FJ 5 b)].</w:t>
      </w:r>
    </w:p>
    <w:p w:rsidR="00163957" w:rsidRDefault="00163957" w:rsidP="00163957">
      <w:pPr>
        <w:pStyle w:val="TextoNormal"/>
      </w:pPr>
    </w:p>
    <w:p w:rsidR="00163957" w:rsidRDefault="00163957" w:rsidP="00163957">
      <w:pPr>
        <w:pStyle w:val="TextoNormal"/>
      </w:pPr>
      <w:r>
        <w:t xml:space="preserve">En fin, también el artículo 28.7 del Real Decreto-ley 20/2012 es conforme con el orden constitucional de delimitación de competencias, de un lado, porque “las normas que establecen un marco temporal imperativo para el desarrollo de modalidades específicas de venta deben considerarse integradas en las normas que velan por la defensa de la competencia y su aprobación corresponde al Estado </w:t>
      </w:r>
      <w:r w:rsidRPr="00163957">
        <w:rPr>
          <w:i/>
        </w:rPr>
        <w:t>ex</w:t>
      </w:r>
      <w:r>
        <w:t xml:space="preserve"> art. 149.1.13 CE”; y, de otro lado, porque la prohibición de efectuar una nueva liquidación de productos similares en los tres años siguientes, ya la STC 88/1986, de 1 de julio, consideró que un precepto similar excedía de las competencias autonómicas y constituye una materia consistente en el ejercicio del comercio, “de clara competencia estatal, a tenor del artículo 149.1.6 CE” [STC 18/2016, de 4 de febrero, FJ 10, y en el mismo sentido, STC 37/2016, de 3 de marzo, FJ 5 c)].</w:t>
      </w:r>
    </w:p>
    <w:p w:rsidR="00163957" w:rsidRDefault="00163957" w:rsidP="00163957">
      <w:pPr>
        <w:pStyle w:val="TextoNormal"/>
      </w:pPr>
    </w:p>
    <w:p w:rsidR="00163957" w:rsidRDefault="00163957" w:rsidP="00163957">
      <w:pPr>
        <w:pStyle w:val="TextoNormal"/>
      </w:pPr>
      <w:r>
        <w:t>En suma, debe rechazarse que los apartados 1, 2, 3, 6 y 7 del artículo 28 del Real Decreto-ley 20/2012 sean contrarios a los arts. 149.1.6 y 149.1.13, ambos de la CE, ni a los arts. 10.27 y 10.28, ambos del EAPV.</w:t>
      </w:r>
    </w:p>
    <w:p w:rsidR="00163957" w:rsidRDefault="00163957" w:rsidP="00163957">
      <w:pPr>
        <w:pStyle w:val="TextoNormal"/>
      </w:pPr>
    </w:p>
    <w:p w:rsidR="00163957" w:rsidRDefault="00163957" w:rsidP="00163957">
      <w:pPr>
        <w:pStyle w:val="TextoNormal"/>
      </w:pPr>
      <w:r w:rsidRPr="00163957">
        <w:rPr>
          <w:rStyle w:val="NumeroAFNegritaCaracter"/>
        </w:rPr>
        <w:t>7</w:t>
      </w:r>
      <w:r>
        <w:t>. Dado que el art. 28.2 del Real Decreto-ley 20/2012 ha sido derogado [FJ 6 a)] y los arts. 28.4 y 28.5 del Real Decreto-ley 20/2012 han sido expulsados del ordenamiento [FJ 6 c)] por haber sido declarados inconstitucionales y nulos, este recurso de inconstitucionalidad pierde objeto en cuanto a ellos de un modo sobrevenido.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Declarar que ha perdido objeto la impugnación de los arts. 28.2, 28.4 y 28.5 del Real Decreto-ley 20/2012, de 13 de julio, de medidas para garantizar la estabilidad presupuestaria y de fomento de la competitividad, en cuanto que dan nueva redacción a los arts. 20.3, 26.1 y 27.2 de la Ley 7/1996, de 15 de enero, de ordenación del comercio minorista.</w:t>
      </w:r>
    </w:p>
    <w:p w:rsidR="00163957" w:rsidRDefault="00163957" w:rsidP="00163957">
      <w:pPr>
        <w:pStyle w:val="TextoNormal"/>
      </w:pPr>
    </w:p>
    <w:p w:rsidR="00163957" w:rsidRDefault="00163957" w:rsidP="00163957">
      <w:pPr>
        <w:pStyle w:val="TextoNormal"/>
      </w:pPr>
      <w:r>
        <w:t>2º Desestimar el presente recurso de inconstitucionalidad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veintitrés de junio de dos mil dieciséis.</w:t>
      </w:r>
    </w:p>
    <w:p w:rsidR="00163957" w:rsidRDefault="00163957" w:rsidP="00163957">
      <w:pPr>
        <w:pStyle w:val="ParrafoNormal"/>
      </w:pPr>
    </w:p>
    <w:p w:rsidR="00163957" w:rsidRDefault="00163957" w:rsidP="00163957">
      <w:pPr>
        <w:pStyle w:val="TextoNormalNegritaCentrado"/>
        <w:keepNext/>
      </w:pPr>
      <w:r>
        <w:t xml:space="preserve">Voto particular que formula el Magistrado don Antonio Narváez Rodríguez en relación con la Sentencia dictada en el recurso de inconstitucionalidad núm. </w:t>
      </w:r>
      <w:r>
        <w:lastRenderedPageBreak/>
        <w:t>2218-2013, y al que se adhieren los Magistrados doña Adela Asua Batarrita, don Fernando Valdés Dal-Ré y don Juan Antonio Xiol Ríos.</w:t>
      </w:r>
    </w:p>
    <w:p w:rsidR="00163957" w:rsidRDefault="00163957" w:rsidP="00163957">
      <w:pPr>
        <w:pStyle w:val="TextoNormalNegritaCentrado"/>
        <w:keepNext/>
      </w:pPr>
    </w:p>
    <w:p w:rsidR="00163957" w:rsidRDefault="00163957" w:rsidP="00163957">
      <w:pPr>
        <w:pStyle w:val="TextoNormal"/>
      </w:pPr>
      <w:r>
        <w:t>Con el máximo respeto a la opinión mayoritaria de mis compañeros de Pleno, emito este Voto particular discrepante porque entiendo que el art. 8, apartado 1 del Real Decreto-ley 20/2012, de 13 de julio, de medidas para garantizar la estabilidad presupuestaria y de fomento de la competitividad, en el particular que ha dado nueva redacción al art. 48 k) de la Ley 7/2007, de 12 de abril, del estatuto básico del empleado público es inconstitucional en lo que se refiere a la específica duración del permiso de tres días por asuntos particulares, que ha regulado temporalmente este precepto respecto de los funcionarios de todas las Administraciones públicas, incluidos los de las Comunidades Autónomas y de las corporaciones locales, sin que deba ser declarado nulo en lo que atañe a los funcionarios de la Administración General del Estado.</w:t>
      </w:r>
    </w:p>
    <w:p w:rsidR="00163957" w:rsidRDefault="00163957" w:rsidP="00163957">
      <w:pPr>
        <w:pStyle w:val="TextoNormal"/>
      </w:pPr>
    </w:p>
    <w:p w:rsidR="00163957" w:rsidRDefault="00163957" w:rsidP="00163957">
      <w:pPr>
        <w:pStyle w:val="TextoNormal"/>
      </w:pPr>
      <w:r>
        <w:t>Las razones de mi discrepancia son coincidentes con las que ya fueron expuestas en el Voto particular formulado a la STC 156/2015, de 9 de julio, al que me remito para evitar reiteraciones innecesarias.</w:t>
      </w:r>
    </w:p>
    <w:p w:rsidR="00163957" w:rsidRDefault="00163957" w:rsidP="00163957">
      <w:pPr>
        <w:pStyle w:val="TextoNormal"/>
      </w:pPr>
    </w:p>
    <w:p w:rsidR="00163957" w:rsidRDefault="00163957" w:rsidP="00163957">
      <w:pPr>
        <w:pStyle w:val="TextoNormal"/>
      </w:pPr>
      <w:r>
        <w:t>Madrid, a veintitrés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23" w:name="SENTENCIA_2016_120"/>
      <w:r>
        <w:lastRenderedPageBreak/>
        <w:t>SENTENCIA 120/2016, de 23 de junio de 2016</w:t>
      </w:r>
    </w:p>
    <w:bookmarkEnd w:id="123"/>
    <w:p w:rsidR="00163957" w:rsidRDefault="00163957" w:rsidP="00163957">
      <w:pPr>
        <w:pStyle w:val="TtuloResolucin"/>
      </w:pPr>
      <w:r>
        <w:t>Pleno</w:t>
      </w:r>
    </w:p>
    <w:p w:rsidR="00163957" w:rsidRDefault="00163957" w:rsidP="00163957">
      <w:pPr>
        <w:pStyle w:val="TtuloBOE"/>
      </w:pPr>
      <w:r>
        <w:t>(BOE núm. 181, de 28 de julio de 2016)</w:t>
      </w:r>
    </w:p>
    <w:p w:rsidR="00163957" w:rsidRDefault="00163957" w:rsidP="00163957">
      <w:pPr>
        <w:pStyle w:val="TextoNormalCentrado"/>
      </w:pPr>
      <w:r>
        <w:t>ECLI:ES:TC:2016:120</w:t>
      </w:r>
    </w:p>
    <w:p w:rsidR="00163957" w:rsidRDefault="00163957" w:rsidP="00163957">
      <w:pPr>
        <w:pStyle w:val="TextoNormalCentrado"/>
      </w:pPr>
    </w:p>
    <w:p w:rsidR="00163957" w:rsidRDefault="00163957" w:rsidP="00163957">
      <w:pPr>
        <w:pStyle w:val="SntesisDescriptiva"/>
      </w:pPr>
      <w:r>
        <w:t>Conflicto positivo de competencia 2304-2014. Planteado por el Gobierno de la Generalitat de Cataluña en relación con diversos preceptos del Real Decreto 1048/2013, de 27 de diciembre, por el que se establece la metodología para el cálculo de la retribución de la actividad de distribución de energía eléctrica.</w:t>
      </w:r>
    </w:p>
    <w:p w:rsidR="00163957" w:rsidRDefault="00163957" w:rsidP="00163957">
      <w:pPr>
        <w:pStyle w:val="SntesisDescriptiva"/>
      </w:pPr>
    </w:p>
    <w:p w:rsidR="00163957" w:rsidRDefault="00163957" w:rsidP="00163957">
      <w:pPr>
        <w:pStyle w:val="SntesisAnaltica"/>
      </w:pPr>
      <w:r>
        <w:t>Competencias sobre ordenación general de la economía y energía: nulidad de los preceptos que equiparan la habilitación legal de la potestad reglamentaria con el dictado de resoluciones administrativas y que atribuyen el ejercicio de potestades ejecutivas a la Administración del Estado.</w:t>
      </w:r>
    </w:p>
    <w:p w:rsidR="00163957" w:rsidRDefault="00163957" w:rsidP="00163957">
      <w:pPr>
        <w:pStyle w:val="SntesisAnaltica"/>
      </w:pPr>
    </w:p>
    <w:p w:rsidR="00163957" w:rsidRDefault="00163957" w:rsidP="00163957">
      <w:pPr>
        <w:pStyle w:val="Extracto"/>
      </w:pPr>
      <w:r>
        <w:t>1.</w:t>
      </w:r>
      <w:r>
        <w:tab/>
        <w:t>El desarrollo reglamentario de la Ley del sector eléctrico, para aprobar los procedimientos de operación de las redes de distribución, pretende llevarse a cabo mediante una resolución del Secretario de Estado de Energía, lo que, por su notoria insuficiencia de rango, no se ajusta a las exigencias formales que exige la doctrina constitucional (en el mismo sentido, STC 156/2011) [FJ 7].</w:t>
      </w:r>
    </w:p>
    <w:p w:rsidR="00163957" w:rsidRDefault="00163957" w:rsidP="00163957">
      <w:pPr>
        <w:pStyle w:val="Extracto"/>
      </w:pPr>
    </w:p>
    <w:p w:rsidR="00163957" w:rsidRDefault="00163957" w:rsidP="00163957">
      <w:pPr>
        <w:pStyle w:val="Extracto"/>
      </w:pPr>
      <w:r>
        <w:t>2.</w:t>
      </w:r>
      <w:r>
        <w:tab/>
        <w:t>Se cuestiona que la compensación económica, que la empresa distribuidora debe abonar a los propietarios de los locales cedidos para ubicar un centro transformador, deba ser fijada por una Orden del Ministerio de Industria, Energía y Turismo; dado que esta determinación de la cuantía concreta es tarea ejecutiva que no tiene naturaleza básica, en cuanto que no resulta imprescindible para garantizar el régimen económico único del sector, ni tampoco es precisa para salvaguardar la homogeneidad requerida en la definición del régimen común de uno de los sujetos que intervienen en el sistema eléctrico. En consecuencia, se incurre en extralimitación competencial y es inconstitucional y nulo [FJ 9].</w:t>
      </w:r>
    </w:p>
    <w:p w:rsidR="00163957" w:rsidRDefault="00163957" w:rsidP="00163957">
      <w:pPr>
        <w:pStyle w:val="Extracto"/>
      </w:pPr>
    </w:p>
    <w:p w:rsidR="00163957" w:rsidRDefault="00163957" w:rsidP="00163957">
      <w:pPr>
        <w:pStyle w:val="Extracto"/>
      </w:pPr>
      <w:r>
        <w:t>3.</w:t>
      </w:r>
      <w:r>
        <w:tab/>
        <w:t>El precepto que regula los criterios de redes y funcionamiento de las instalaciones de distribución sujetas a retribución regulada tiene por finalidad hacer compatible la garantía de la uniformidad del régimen económico de las actividades del sector eléctrico en todo el territorio del Estado, pudiendo éste utilizar diversas técnicas para compensar los costes. Así, la Ley del sector eléctrico contempla la posibilidad de convenios para el caso de normativas específicas sobre redes o instalaciones de producción que supongan unos mayores costes en la actividad, de modo que no se vulneran las competencias autonómicas [FJ 5].</w:t>
      </w:r>
    </w:p>
    <w:p w:rsidR="00163957" w:rsidRDefault="00163957" w:rsidP="00163957">
      <w:pPr>
        <w:pStyle w:val="Extracto"/>
      </w:pPr>
    </w:p>
    <w:p w:rsidR="00163957" w:rsidRDefault="00163957" w:rsidP="00163957">
      <w:pPr>
        <w:pStyle w:val="Extracto"/>
      </w:pPr>
      <w:r>
        <w:t>4.</w:t>
      </w:r>
      <w:r>
        <w:tab/>
        <w:t>Es constitucional la disposición que  define las obligaciones de extensión de las redes eléctricas a cumplir por las empresas distribuidoras, puesto que dichas obligaciones se conectan con el principio básico de la garantía del suministro eléctrico [FJ 6].</w:t>
      </w:r>
    </w:p>
    <w:p w:rsidR="00163957" w:rsidRDefault="00163957" w:rsidP="00163957">
      <w:pPr>
        <w:pStyle w:val="Extracto"/>
      </w:pPr>
    </w:p>
    <w:p w:rsidR="00163957" w:rsidRDefault="00163957" w:rsidP="00163957">
      <w:pPr>
        <w:pStyle w:val="Extracto"/>
      </w:pPr>
      <w:r>
        <w:t>5.</w:t>
      </w:r>
      <w:r>
        <w:tab/>
        <w:t xml:space="preserve">No vulnera la Constitución el precepto que regula de forma detallada y completa el procedimiento de solicitud de instalación de nueva extensión y su ejecución, ya </w:t>
      </w:r>
      <w:r>
        <w:lastRenderedPageBreak/>
        <w:t>que su relación con el diseño del sistema de retribución de la actividad de distribución eléctrica justifica que el Estado haya adoptado una regulación de este tipo [FJ 8].</w:t>
      </w:r>
    </w:p>
    <w:p w:rsidR="00163957" w:rsidRDefault="00163957" w:rsidP="00163957">
      <w:pPr>
        <w:pStyle w:val="Extracto"/>
      </w:pPr>
    </w:p>
    <w:p w:rsidR="00163957" w:rsidRDefault="00163957" w:rsidP="00163957">
      <w:pPr>
        <w:pStyle w:val="Extracto"/>
      </w:pPr>
      <w:r>
        <w:t>6.</w:t>
      </w:r>
      <w:r>
        <w:tab/>
        <w:t>Es conforme a la Constitución la obligación de las empresas distribuidoras de remitir a los organismos estatales pertinentes un informe sobre, entre otras cuestiones, el valor de la inversión real hecha: dicha información se relaciona con el régimen económico del sector eléctrico y, por tanto, es el Estado el que tiene que fijar los criterios homogéneos para elaborarla y remitirla [FJ 10].</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conflicto positivo de competencias núm. 2304-2014, planteado por el Gobierno de la Generalitat de Cataluña en relación con los arts. 8.4; 21; 22; 25, apartados 3, 4, 5 (párrafos primero y segundo) y 7; 26.3; 31; 32 y disposición final primera del Real Decreto 1048/2013, de 27 de diciembre, por el que se establece la metodología para el cálculo de la retribución de la actividad de distribución de energía eléctrica. Ha comparecido y formulado alegaciones el Abogado del Estado. Ha sido Ponente el Magistrado don Pedro José González-Trevijano Sánchez,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el 9 de abril de 2014, la Abogada de la Generalitat de Cataluña, en la representación que legalmente ostenta, promueve conflicto positivo de competencia en relación con los arts. 8.4; 21; 22; 25, apartados 3, 4, 5 (párrafos primero y segundo) y 7; 26.3; 31; 32 y disposición final primera del Real Decreto 1048/2013, de 27 de diciembre, por el que se establece la metodología para el cálculo de la retribución de la actividad de distribución de energía eléctrica.</w:t>
      </w:r>
    </w:p>
    <w:p w:rsidR="00163957" w:rsidRDefault="00163957" w:rsidP="00163957">
      <w:pPr>
        <w:pStyle w:val="TextoNormal"/>
      </w:pPr>
    </w:p>
    <w:p w:rsidR="00163957" w:rsidRDefault="00163957" w:rsidP="00163957">
      <w:pPr>
        <w:pStyle w:val="TextoNormal"/>
      </w:pPr>
      <w:r>
        <w:t>Los motivos del conflicto son, sucintamente expuestos, los siguientes.</w:t>
      </w:r>
    </w:p>
    <w:p w:rsidR="00163957" w:rsidRDefault="00163957" w:rsidP="00163957">
      <w:pPr>
        <w:pStyle w:val="TextoNormal"/>
      </w:pPr>
    </w:p>
    <w:p w:rsidR="00163957" w:rsidRDefault="00163957" w:rsidP="00163957">
      <w:pPr>
        <w:pStyle w:val="TextoNormal"/>
      </w:pPr>
      <w:r>
        <w:t xml:space="preserve">Tras aludir al contenido del previo requerimiento de incompetencia, así como a la contestación desestimatoria del Gobierno, se refiere al contenido de la norma parcialmente </w:t>
      </w:r>
      <w:r>
        <w:lastRenderedPageBreak/>
        <w:t>cuestionada. Indica que el Real Decreto 1048/2013 tiene como objetivo establecer una metodología unitaria para determinar la retribución de las empresas que desarrollan la actividad de distribución de energía eléctrica con el fin de contribuir a aportar estabilidad regulatoria y también poder incidir tanto en la calidad del suministro como en su coste. Al propio tiempo determina el régimen de acometidas eléctricas y demás actuaciones necesarias para atender el suministro eléctrico y ello con el fin de agrupar bajo la misma norma todos los ingresos que perciben las empresas distribuidoras de energía eléctrica. La norma se dicta al amparo de los arts. 149.1.13 y 25 CE.</w:t>
      </w:r>
    </w:p>
    <w:p w:rsidR="00163957" w:rsidRDefault="00163957" w:rsidP="00163957">
      <w:pPr>
        <w:pStyle w:val="TextoNormal"/>
      </w:pPr>
    </w:p>
    <w:p w:rsidR="00163957" w:rsidRDefault="00163957" w:rsidP="00163957">
      <w:pPr>
        <w:pStyle w:val="TextoNormal"/>
      </w:pPr>
      <w:r>
        <w:t>La demanda pone de relieve la relación de la presente impugnación con el recurso interpuesto contra la Ley 24/2013, de 26 de diciembre, del sector eléctrico (LSE), señalando que el marco competencial en el que se insertan ambas normas es el mismo. Menciona la doctrina constitucional respecto a las competencias estatales sobre el sector eléctrico derivadas de los arts. 149.1.13 y 149.1.25 CE, así como la relativa a la noción de bases. En cuanto al ámbito material de las bases del sector eléctrico indica que la doctrina constitucional incluye la determinación de los sujetos del sistema eléctrico, la fijación de las principales directrices de las actividades destinadas al suministro de energía, la planificación eléctrica y, de forma muy especial, la determinación de un régimen económico uniforme para todo el territorio español y la garantía de seguridad y la calidad en el suministro. En cuanto a la competencia de desarrollo de las bases del régimen energético relativa a la actividad de distribución eléctrica, la demanda menciona que, de acuerdo con el art. 133.1, apartados b) y e), del Estatuto de Autonomía de Cataluña (EAC), la Generalitat ha asumido la competencia compartida en materia de energía que incluye en todo caso la regulación de la actividad de distribución de energía que se realice en Cataluña, el otorgamiento de las autorizaciones de las instalaciones correspondientes y el ejercicio de las actividades de inspección y control de todas las instalaciones existentes en Cataluña y el despliegue de las normas complementarias de calidad de los servicios de suministro de energía.</w:t>
      </w:r>
    </w:p>
    <w:p w:rsidR="00163957" w:rsidRDefault="00163957" w:rsidP="00163957">
      <w:pPr>
        <w:pStyle w:val="TextoNormal"/>
      </w:pPr>
    </w:p>
    <w:p w:rsidR="00163957" w:rsidRDefault="00163957" w:rsidP="00163957">
      <w:pPr>
        <w:pStyle w:val="TextoNormal"/>
      </w:pPr>
      <w:r>
        <w:t>Previamente a la consideración singular de cada uno de los preceptos impugnados, la Abogada de la Generalitat de Cataluña alude, en primer lugar, a las peculiaridades de la red de distribución de Cataluña, lo que, a su juicio, justifica que la Comunidad Autónoma haya asumido competencias en esta materia como principal conocedora de las características de la red en Cataluña, pudiendo incidir en el régimen de derechos y obligaciones de las empresas distribuidoras, y, en segundo lugar, a que en la fundamentación del conflicto va a referirse a los arts. 15, 38.8, 40 y 51 LSE, también impugnados en el correspondiente proceso y que, a su juicio, legitiman los del Real Decreto 1048/2013 que ahora se impugnan.</w:t>
      </w:r>
    </w:p>
    <w:p w:rsidR="00163957" w:rsidRDefault="00163957" w:rsidP="00163957">
      <w:pPr>
        <w:pStyle w:val="TextoNormal"/>
      </w:pPr>
    </w:p>
    <w:p w:rsidR="00163957" w:rsidRDefault="00163957" w:rsidP="00163957">
      <w:pPr>
        <w:pStyle w:val="TextoNormal"/>
      </w:pPr>
      <w:r>
        <w:t xml:space="preserve">La demanda alega que la peculiar configuración de la red de distribución determina que resulte necesario llevar a cabo una mayor extensión de la red de distribución, es decir, establecer más refuerzos o adecuaciones de las instalaciones de distribución para atender nuevos suministros o ampliaciones. En otro orden de consideraciones argumenta que si bien es cierto que la actividad de distribución de energía eléctrica, de acuerdo con su carácter de monopolio natural, tiene la consideración de actividad regulada, de forma que el régimen retributivo y lógicamente la metodología para establecerlo queda reservada al Estado, es necesario discriminar si efectivamente los preceptos recurridos forman parte de ese régimen retributivo, o esta incidencia responde a cuestiones meramente finalistas, pues la norma, tal como reconoció el Consejo de Estado en su dictamen, incluye aspectos que no forman parte </w:t>
      </w:r>
      <w:r>
        <w:lastRenderedPageBreak/>
        <w:t>del mencionado régimen retributivo en sentido estricto, como sucede con los planes de inversión, el régimen de acometidas o los procedimientos de operación.</w:t>
      </w:r>
    </w:p>
    <w:p w:rsidR="00163957" w:rsidRDefault="00163957" w:rsidP="00163957">
      <w:pPr>
        <w:pStyle w:val="TextoNormal"/>
      </w:pPr>
    </w:p>
    <w:p w:rsidR="00163957" w:rsidRDefault="00163957" w:rsidP="00163957">
      <w:pPr>
        <w:pStyle w:val="TextoNormal"/>
      </w:pPr>
      <w:r>
        <w:t>La demanda examina a continuación el art. 8, primero de los impugnados, indicando que dispone en su apartado 4 que en la retribución de las instalaciones de la red de distribución con cargo al sistema eléctrico se considerara, exclusivamente, la inversión o los costes de operación y mantenimiento reconocidos por la normativa básica estatal en los términos fijados en el Real Decreto 1048/2013. Asimismo dispone que, de acuerdo con el art. 15 LSE, las empresas a las que aplicaran, en alguna de sus áreas, normas específicas sobre redes, unos niveles de calidad superiores a los fijados por la normativa estatal o unos criterios de diseño de redes que supongan unos mayores costes en la actividad de distribución, podrán establecer convenios u otros mecanismos con las Administraciones Públicas para cubrir el sobrecoste ocasionado.</w:t>
      </w:r>
    </w:p>
    <w:p w:rsidR="00163957" w:rsidRDefault="00163957" w:rsidP="00163957">
      <w:pPr>
        <w:pStyle w:val="TextoNormal"/>
      </w:pPr>
    </w:p>
    <w:p w:rsidR="00163957" w:rsidRDefault="00163957" w:rsidP="00163957">
      <w:pPr>
        <w:pStyle w:val="TextoNormal"/>
      </w:pPr>
      <w:r>
        <w:t>Para la Abogada de la Generalitat de Cataluña este precepto hace inviable la posibilidad de que una Comunidad Autónoma pueda imponer obligaciones adicionales en materia de redes de distribución eléctrica o en materia de niveles de calidad, ya que si se aplican normas específicas que puedan suponer mayores costes a la actividad de distribución este sobrecoste no podrá ser sufragado mediante los propios costes del sistema eléctrico. Este precepto se ampara en el art. 15 LSE, al que directamente se remite, pero también en el art. 51 LSE, precepto igualmente impugnado en su momento por la Generalitat de Cataluña, en cuanto que determina una regulación uniforme y homogénea para todas las Comunidades Autónomas respecto a la calidad del suministro eléctrico.</w:t>
      </w:r>
    </w:p>
    <w:p w:rsidR="00163957" w:rsidRDefault="00163957" w:rsidP="00163957">
      <w:pPr>
        <w:pStyle w:val="TextoNormal"/>
      </w:pPr>
    </w:p>
    <w:p w:rsidR="00163957" w:rsidRDefault="00163957" w:rsidP="00163957">
      <w:pPr>
        <w:pStyle w:val="TextoNormal"/>
      </w:pPr>
      <w:r>
        <w:t>Ambos preceptos legales, unidos al art. 8.4 del Real Decreto 1048/2013, impiden que el sobrecoste causado por normativas específicas de las Comunidades Autónomas sobre redes o instalaciones de producción pueda ser sufragado a través de los ingresos del sistema eléctrico y en consecuencia no dejan margen para ejercer políticas propias al hacer inviable que la Generalitat pueda imponer obligaciones en materia de niveles de calidad.</w:t>
      </w:r>
    </w:p>
    <w:p w:rsidR="00163957" w:rsidRDefault="00163957" w:rsidP="00163957">
      <w:pPr>
        <w:pStyle w:val="TextoNormal"/>
      </w:pPr>
    </w:p>
    <w:p w:rsidR="00163957" w:rsidRDefault="00163957" w:rsidP="00163957">
      <w:pPr>
        <w:pStyle w:val="TextoNormal"/>
      </w:pPr>
      <w:r>
        <w:t>Recuerda al respecto la doctrina de la STC 148/2011, FJ 5, de la que se desprende que a pesar de que el régimen económico aplicable a la retribución de las actividades eléctricas ha de ser uniforme no implica necesariamente un vaciado de la competencia autonómica en materia de energía. El que las Comunidades Autónomas puedan pactar a través de convenio con las empresas distribuidoras unos niveles de calidad superior no excluye la vulneración competencial, dado que esta posibilidad no constituye un mecanismo de recuperación dentro del propio sistema eléctrico, sino que se trata de una posibilidad que las Comunidades Autónomas podrán utilizar aunque no estuviera prevista en la Ley del sector eléctrico. Tampoco excluye dicha vulneración el hecho de que en el pasado se hubiera admitido el convenio, como mecanismo que permitió llegar a un consenso entre el Estado y la Generalitat en relación con la compatibilidad de la Ley catalana 18/2008, de garantía de calidad del suministro eléctrico, respecto a las medidas adicionales de calidad fijadas por la normativa estatal, ya que lo que ha de ser objeto de enjuiciamiento es el hecho que art. 8 del Real Decreto 1048/2013, en concordancia con los arts. 15 y 51 LSE, impiden a la Generalitat desarrollar la normativa básica en materia de distribución de energía eléctrica adecuada a su peculiar red de distribución, así como el despliegue de las normas de calidad de los servicios de suministro de energía.</w:t>
      </w:r>
    </w:p>
    <w:p w:rsidR="00163957" w:rsidRDefault="00163957" w:rsidP="00163957">
      <w:pPr>
        <w:pStyle w:val="TextoNormal"/>
      </w:pPr>
    </w:p>
    <w:p w:rsidR="00163957" w:rsidRDefault="00163957" w:rsidP="00163957">
      <w:pPr>
        <w:pStyle w:val="TextoNormal"/>
      </w:pPr>
      <w:r>
        <w:lastRenderedPageBreak/>
        <w:t>La demanda formula una serie de consideraciones comunes a los arts. 21; 22; 25, apartados 3, 4, 5 (párrafos primero y segundo) y 7, por cuanto todos ellos se refieren al régimen jurídico de las acometidas que no forma parte, estrictamente, del régimen retributivo sino que constituyen una regulación sustantiva de la materia cuya finalidad no es la fijación del régimen económico, lo que lleva a excluir la invocación del art. 1491.13 CE. La Abogada de la Generalitat relaciona la impugnación de estos preceptos con la de los arts. 40 y 38.8 LSE.</w:t>
      </w:r>
    </w:p>
    <w:p w:rsidR="00163957" w:rsidRDefault="00163957" w:rsidP="00163957">
      <w:pPr>
        <w:pStyle w:val="TextoNormal"/>
      </w:pPr>
    </w:p>
    <w:p w:rsidR="00163957" w:rsidRDefault="00163957" w:rsidP="00163957">
      <w:pPr>
        <w:pStyle w:val="TextoNormal"/>
      </w:pPr>
      <w:r>
        <w:t>El artículo 21 regula un conjunto de conceptos vinculados a la dotación del suministro eléctrico, como son la extensión natural de las redes de distribución para atender el crecimiento vegetativo de la demanda y las instalaciones de nueva extensión que no responden a ese crecimiento vegetativo, que constituyen lo que se denomina el régimen jurídico de las acometidas eléctricas. De las determinaciones de este precepto la demanda deduce que la extensión de la redes de distribución si responde al crecimiento vegetativo fijado en una orden ministerial, se hace de acuerdo con los planes de inversión que aprueba el Estado y lo mismo sucede si la extensión de las redes no responde a ese crecimiento vegetativo, sin que se haga remisión alguna a la normativa autonómica, ni se contemple la aprobación de los planes de inversión por las Comunidades Autónomas. Por tanto, esta nueva regulación, además de suprimir cualquier intervención de las Comunidades Autónomas, ya no establece remisión a su normativa. En este sentido se debe tener en cuenta que el contenido de este artículo 21 está directamente vinculado al art. 40.1 e) LSE que obliga a las empresas distribuidoras a proceder a la ampliación de las instalaciones de distribución cuando así sea necesario para atender nuevas demandas, pero tan solo en los términos que fije reglamentariamente el Estado de modo que esa ausencia de referencia a la normativa de las Comunidades Autónomas determina que no se deja margen a que desarrollen la normativa básica en materia de extensión de redes de distribución.</w:t>
      </w:r>
    </w:p>
    <w:p w:rsidR="00163957" w:rsidRDefault="00163957" w:rsidP="00163957">
      <w:pPr>
        <w:pStyle w:val="TextoNormal"/>
      </w:pPr>
    </w:p>
    <w:p w:rsidR="00163957" w:rsidRDefault="00163957" w:rsidP="00163957">
      <w:pPr>
        <w:pStyle w:val="TextoNormal"/>
      </w:pPr>
      <w:r>
        <w:t>El artículo 22 prevé que por resolución de la Secretaria de Estado, se apruebe un procedimiento de operación de las redes de distribución. Asimismo establece que en la retribución de la actividad de distribución con cargo al sistema eléctrico se consideren exclusivamente los costes que pudieran derivarse de la aplicación de los procedimientos de operación de distribución aprobados por la Secretaria General de Energía. Este procedimiento tiene como objetivo determinar los criterios de diseño de la red de distribución, los requisitos mínimos de equipamiento de nuevas instalaciones y su comprobación, así como el proceso de puesta en servicio, para garantizar el buen funcionamiento de la red de distribución, fijando una serie de aspectos tasados y comunes, en desarrollo de los arts. 38.8 y 40.2 LSE. A juicio de la demanda este artículo 21 vuelve a determinar que la Generalitat solo pueda aprobar normativa autonómica sobre el procedimiento de operación, si asume los posibles costes que esta normativa pueda generar, lo que le lleva a remitirse a las alegaciones ya formuladas acerca del art. 8.4. Añade además que sus determinaciones son complementarias a las del precedente artículo 21, ya que articulan el procedimiento de una función ejecutiva o aplicativa de fijación del diseño de la red de distribución y. por tanto, se trata de una competencia ejecutiva en materia de régimen energético que corresponde a la Generalitat.</w:t>
      </w:r>
    </w:p>
    <w:p w:rsidR="00163957" w:rsidRDefault="00163957" w:rsidP="00163957">
      <w:pPr>
        <w:pStyle w:val="TextoNormal"/>
      </w:pPr>
    </w:p>
    <w:p w:rsidR="00163957" w:rsidRDefault="00163957" w:rsidP="00163957">
      <w:pPr>
        <w:pStyle w:val="TextoNormal"/>
      </w:pPr>
      <w:r>
        <w:t xml:space="preserve">El artículo 25, en los apartados 3, 4 y 5 (párrafos primero y segundo) regula el procedimiento de la solicitud de instalación y su ejecución, especificando las características del pliego de condiciones técnicas y presupuesto de forma detallada y completa, cuando se trata </w:t>
      </w:r>
      <w:r>
        <w:lastRenderedPageBreak/>
        <w:t>de cuestiones que no integran en lo esencial el régimen económico de la distribución eléctrica. Este desarrollo reglamentario no deja margen a las Comunidades Autónomas para el desarrollo de actuaciones y políticas propias en materia de distribución de la energía eléctrica y más cuando estos aspectos técnicos y de detalle de las conexiones tampoco presentan relación alguna con el régimen económico del sector eléctrico. En el apartado 7 de este artículo 25 se prevé que las empresas distribuidoras a quienes hayan sido cedidas instalaciones destinadas a más de un consumidor deberán informar anualmente a la Dirección General de Política Energética y Minas y a la Comisión Nacional de los Mercados y la Competencia, de las instalaciones de distribución que han sido objeto de cesión y de las condiciones de la misma. La demanda entiende que resulta necesario prever que esta información también debe ser proporcionada a los órganos competentes en materia de energía de las Comunidades Autónomas y que esta obligación se debe establecer con carácter básico.</w:t>
      </w:r>
    </w:p>
    <w:p w:rsidR="00163957" w:rsidRDefault="00163957" w:rsidP="00163957">
      <w:pPr>
        <w:pStyle w:val="TextoNormal"/>
      </w:pPr>
    </w:p>
    <w:p w:rsidR="00163957" w:rsidRDefault="00163957" w:rsidP="00163957">
      <w:pPr>
        <w:pStyle w:val="TextoNormal"/>
      </w:pPr>
      <w:r>
        <w:t>El artículo 26.3 prevé que la compensación económica a abonar por la empresa distribuidora a los propietarios de los locales cedidos para ubicar un centro transformador de potencia superior a 100 Kw sea fijada por orden del Ministerio de Industria, Energía y Turismo. Esta previsión no es respetuosa con el reparto competencial, ya que lo que procedería a efecto de determinar unas normas de valoración con carácter básico sería fijar unos criterios comunes para valorar los inmuebles, objeto de cesión que pudieran ser concretados por la Comunidad Autónom</w:t>
      </w:r>
      <w:r w:rsidRPr="00163957">
        <w:rPr>
          <w:i/>
        </w:rPr>
        <w:t>a a posterio</w:t>
      </w:r>
      <w:r>
        <w:t>ri.</w:t>
      </w:r>
    </w:p>
    <w:p w:rsidR="00163957" w:rsidRDefault="00163957" w:rsidP="00163957">
      <w:pPr>
        <w:pStyle w:val="TextoNormal"/>
      </w:pPr>
    </w:p>
    <w:p w:rsidR="00163957" w:rsidRDefault="00163957" w:rsidP="00163957">
      <w:pPr>
        <w:pStyle w:val="TextoNormal"/>
      </w:pPr>
      <w:r>
        <w:t>El artículo 31 determina la obligación de las empresas distribuidoras de suministrar a la Dirección General de Política Energética y Minas y a la Comisión Nacional de los Mercados y la Competencia información relativa a las propias empresas distribuidoras y a efectos del régimen retributivo. La demanda no controvierte esta obligación de información sino que dicha información no se recabe a través de la Comunidad Autónoma, teniendo en cuenta que se trata de una función aplicativa. El artículo 32 faculta al Director General de Política Energética y Minas para establecer unos criterios homogéneos que deberán seguirse para elaborar un informe de auditoría externa que contenga la información necesaria para el cálculo de la retribución asociado a las nuevas instalaciones y a la modificación de las existentes, sin prever una consulta a las Comunidades Autónomas donde se hallan emplazadas las empresas distribuidoras que han de elaborar dicho informe, a fin de que puedan incluir a su vez criterios específicos de su ámbito territorial que deban ser tenidos en cuenta.</w:t>
      </w:r>
    </w:p>
    <w:p w:rsidR="00163957" w:rsidRDefault="00163957" w:rsidP="00163957">
      <w:pPr>
        <w:pStyle w:val="TextoNormal"/>
      </w:pPr>
    </w:p>
    <w:p w:rsidR="00163957" w:rsidRDefault="00163957" w:rsidP="00163957">
      <w:pPr>
        <w:pStyle w:val="TextoNormal"/>
      </w:pPr>
      <w:r>
        <w:t>En cuanto a la disposición final primera relativa a los títulos competenciales, al tratarse de una impugnación sistemática ha de seguir la suerte de los preceptos impugnados, precisamente por el carácter de básico que les atribuye y, por tanto, la inconstitucionalidad de los mismos se proyecta sobre ella.</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Por providencia de 27 de mayo de 2014, el Pleno, a propuesta de la Sección Tercera, acordó admitir a trámite el conflicto positivo de competencia promovido por el Gobierno de la Generalitat de Cataluña, y en su representación y defensa, por la Abogada del mismo, frente al Gobierno de la Nación contra los arts. 8.4; 21; 22; 25, apartados 3, 4, 5 (párrafos primero y segundo) y 7; 26.3; 31; 32 y disposición final primera del Real Decreto 1048/2013, de 27 de diciembre, por el que se establece la metodología para el cálculo de la retribución de la actividad de distribución de energía eléctrica. Se acordó también dar traslado de la demanda y documentos presentados al Gobierno de la Nación, por conducto de su Presidente, al objeto de que en el plazo de veinte días y, por medio de la representación </w:t>
      </w:r>
      <w:r>
        <w:lastRenderedPageBreak/>
        <w:t>procesal que determina el art. 82.2 de la Ley Orgánica del Tribunal Constitucional (LOTC), aporte cuanto documentos y alegaciones considere convenientes así como comunicar la incoación del conflicto a la Sala de lo Contencioso-Administrativo del Tribunal Supremo, por si ante la misma estuvieran impugnados o se impugnaren los citados preceptos, en cuyo caso se suspenderá el curso del proceso hasta la decisión del conflicto, según dispone el art. 61.2 LOTC; y publicar la incoación del conflicto en el “Boletín Oficial del Estado” y en el “Diari Oficial de la Generalitat de Catalunya”.</w:t>
      </w:r>
    </w:p>
    <w:p w:rsidR="00163957" w:rsidRDefault="00163957" w:rsidP="00163957">
      <w:pPr>
        <w:pStyle w:val="TextoNormal"/>
      </w:pPr>
    </w:p>
    <w:p w:rsidR="00163957" w:rsidRDefault="00163957" w:rsidP="00163957">
      <w:pPr>
        <w:pStyle w:val="TextoNormal"/>
      </w:pPr>
      <w:r w:rsidRPr="00163957">
        <w:rPr>
          <w:rStyle w:val="NumeroAFNegritaCaracter"/>
        </w:rPr>
        <w:t>3</w:t>
      </w:r>
      <w:r>
        <w:t>. Por escrito registrado en este Tribunal el día 11 de junio de 2014, el Abogado del Estado se personó en el proceso solicitando una prórroga del plazo concedido para formular alegaciones, que fue concedida mediante providencia de 12 de junio de 2014. Finalmente, dicho escrito tuvo entrada en el Registro General de este Tribunal el día 11 de julio de 2014, oponiéndose a la demanda con fundamento en las razones que se resumen a continuación.</w:t>
      </w:r>
    </w:p>
    <w:p w:rsidR="00163957" w:rsidRDefault="00163957" w:rsidP="00163957">
      <w:pPr>
        <w:pStyle w:val="TextoNormal"/>
      </w:pPr>
    </w:p>
    <w:p w:rsidR="00163957" w:rsidRDefault="00163957" w:rsidP="00163957">
      <w:pPr>
        <w:pStyle w:val="TextoNormal"/>
      </w:pPr>
      <w:r>
        <w:t>Alude en primer lugar al marco competencial en la materia señalando que las competencias estatales en materia de regulación del sector eléctrico se residencian en los arts. 149.1.13, 149.1.22 y 149.1.25 CE, mencionando también la doctrina constitucional de las SSTC 181/2013, 18/2011 y 196/1997, relativa al alcance de estos títulos competenciales especialmente en cuanto al establecimiento de las bases del sector y de su régimen económico. Sobre las competencias autonómicas en la materia, menciona el art. 133 EAC así como la doctrina de la STC 31/2010.</w:t>
      </w:r>
    </w:p>
    <w:p w:rsidR="00163957" w:rsidRDefault="00163957" w:rsidP="00163957">
      <w:pPr>
        <w:pStyle w:val="TextoNormal"/>
      </w:pPr>
    </w:p>
    <w:p w:rsidR="00163957" w:rsidRDefault="00163957" w:rsidP="00163957">
      <w:pPr>
        <w:pStyle w:val="TextoNormal"/>
      </w:pPr>
      <w:r>
        <w:t>Específicamente en relación con las competencias del Estado sobre la distribución de energía eléctrica señala su relación con el derecho de todos los consumidores al acceso y conexión a las redes de transporte y distribución de energía eléctrica en el territorio nacional, principio que reviste carácter de norma básica, conforme a la doctrina de la STC 18/2011. En cuanto a las competencias del Estado en materia de régimen económico del sector expone que se reconocen en las SSTC 18/2011 y 4/2013. En ejercicio de sus competencias en la materia el Estado estableció en la Ley del sector eléctrico la sostenibilidad económica y financiera del sistema eléctrico como un principio rector de las actuaciones de las Administraciones públicas y demás sujetos comprendidos en el ámbito de aplicación de la Ley. Se entiende por sostenibilidad económica y financiera la capacidad del sistema eléctrico para satisfacer la totalidad de sus costes, de modo que los ingresos del sistema sean suficientes para satisfacer la totalidad de los costes, y que para mantener los techos de costes e ingresos, toda medida normativa en relación con el sector eléctrico que suponga un incremento de costes o una reducción de ingresos para dicho sistema incorpore una reducción equivalente de otras partidas de costes o un incremento equivalente de ingresos que asegure su equilibrio.</w:t>
      </w:r>
    </w:p>
    <w:p w:rsidR="00163957" w:rsidRDefault="00163957" w:rsidP="00163957">
      <w:pPr>
        <w:pStyle w:val="TextoNormal"/>
      </w:pPr>
    </w:p>
    <w:p w:rsidR="00163957" w:rsidRDefault="00163957" w:rsidP="00163957">
      <w:pPr>
        <w:pStyle w:val="TextoNormal"/>
      </w:pPr>
      <w:r>
        <w:t xml:space="preserve">Tras lo anterior, el Abogado del Estado analiza los concretos preceptos impugnados. Así, respecto al artículo 8 señala que, a su través, se impugna improcedentemente los arts. 15 y 51 LSE y que, frente a lo alegado por la Generalitat de Cataluña el precepto no tiene que ver con las competencias en materia de calidad del suministro eléctrico, pues su objeto es regular el régimen económico de la retribución de las redes de distribución de competencia estatal, conforme a la STC 148/2011. Por otra parte, la regulación del artículo 8.4 no impide en absoluto a las Comunidades Autónomas aplicar medidas respecto a la fijación de niveles adicionales de calidad pero el modo de cubrir los costes que ello pudiera generar, compete </w:t>
      </w:r>
      <w:r>
        <w:lastRenderedPageBreak/>
        <w:t>regularlo al Estado. Por tanto, las medidas adicionales de calidad, si supusieran un incremento de los costes de los distribuidores, serían satisfechas mediante convenios y otros instrumentos que determinara la correspondiente Comunidad Autónoma. Lo que no es admisible, a juicio del Abogado del Estado, es que el Gobierno de Cataluña pretenda imponer obligaciones adicionales a los distribuidores en materia de inversiones, redes y niveles de calidad desatendiendo los costes que ello conlleva para el sistema. Esto es, libertad para aumentar los costes sin contribuir a elevar los ingresos. Las Comunidades Autónomas pueden imponer a los distribuidores requisitos de calidad adicionales en su respectivo territorio. Eso sí, no financiados con cargo a los ingresos del sistema, sino mediante convenios que suscriban con el distribuidor. Este criterio fue asumido expresamente por la Comunidad Autónoma de Cataluña en la resolución de 23 de septiembre de 2009 de la Secretaría de Estado de Cooperación Territorial, por la que se publica el acuerdo de la Subcomisión de seguimiento normativo, prevención y solución de conflictos de la Comisión Bilateral Generalitat-Estado en relación con la Ley catalana 18/2008, de 23 de diciembre, de garantía y calidad de suministro eléctrico.</w:t>
      </w:r>
    </w:p>
    <w:p w:rsidR="00163957" w:rsidRDefault="00163957" w:rsidP="00163957">
      <w:pPr>
        <w:pStyle w:val="TextoNormal"/>
      </w:pPr>
    </w:p>
    <w:p w:rsidR="00163957" w:rsidRDefault="00163957" w:rsidP="00163957">
      <w:pPr>
        <w:pStyle w:val="TextoNormal"/>
      </w:pPr>
      <w:r>
        <w:t>Respecto al artículo 21 indica que el precepto no elimina la intervención autonómica, como denuncia la Generalitat de Cataluña, pues le reserva la resolución de conflictos entre distribuidores y usuarios sobre el punto y la potencia de conexión a la red de distribución y la resolución de los conflictos acaecidos entre distribuidores sobre la asunción de la obligación de asumir la ejecución de nuevas instalaciones de extensión de la red. Rechaza también lo que entiende como una impugnación indirecta del art. 40.1 e) LSE, simplemente porque este precepto no recoja una mención a las normas autonómicas, pues esa falta de mención “no impide ni coarta en absoluto su facultad para, en el legítimo ejercicio de sus competencias, y siempre que respete la normativa básica del Estado, regular las obligaciones de los sujetos distribuidores”.</w:t>
      </w:r>
    </w:p>
    <w:p w:rsidR="00163957" w:rsidRDefault="00163957" w:rsidP="00163957">
      <w:pPr>
        <w:pStyle w:val="TextoNormal"/>
      </w:pPr>
    </w:p>
    <w:p w:rsidR="00163957" w:rsidRDefault="00163957" w:rsidP="00163957">
      <w:pPr>
        <w:pStyle w:val="TextoNormal"/>
      </w:pPr>
      <w:r>
        <w:t>En cuanto al artículo 22 señala que los procedimientos de operación de la red de distribución definen los conceptos básicos y la metodología aplicable a la caracterización de la demanda de suministro eléctrico y de las infraestructuras de red de distribución asociadas a este suministro precisas para la correcta cobertura de la demanda, siendo, en atención a su contenido, formal y materialmente básicos. Son, además, determinantes del cálculo de la retribución de la actividad de distribución, garantizándose así el principio de la igualdad territorial en cuanto a la retribución de los distribuidores para la consecución del nivel de calidad mínimo determinado por la normativa básica. Por tanto, el Real Decreto 1048/2013 no es una norma reguladora de los procedimientos de operación de redes, sino una norma económica, de limitación, determinación o concreción de los costes del sistema.</w:t>
      </w:r>
    </w:p>
    <w:p w:rsidR="00163957" w:rsidRDefault="00163957" w:rsidP="00163957">
      <w:pPr>
        <w:pStyle w:val="TextoNormal"/>
      </w:pPr>
    </w:p>
    <w:p w:rsidR="00163957" w:rsidRDefault="00163957" w:rsidP="00163957">
      <w:pPr>
        <w:pStyle w:val="TextoNormal"/>
      </w:pPr>
      <w:r>
        <w:t xml:space="preserve">Sobre la impugnación del artículo 25.3, 4, 5 (párrafos primero y segundo) y 7 señala que la Generalitat considera que estos preceptos contienen una regulación completa que no da margen al desarrollo autonómico. Frente a ello sostiene que los apartados 3, 4 y 5 del artículo 25 regulan las obligaciones del suministrador una vez le ha sido solicitada una nueva extensión que no sea sobre suelo urbano, esto es, la que sufraga el solicitante. De este modo, la regulación controvertida tiene por objeto el establecimiento de un régimen armónico entre la actividad de distribución y su retribución, pues las obligaciones impuestas al distribuidor son la contrapartida de la retribución, se articule esta mediante aplicación de los derechos de extensión, o mediante su satisfacción por el solicitante. Por tanto concluye que “es evidente que la regulación de las condiciones en las que ha de desenvolverse la extensión de </w:t>
      </w:r>
      <w:r>
        <w:lastRenderedPageBreak/>
        <w:t>redes de distribución de energía eléctrica afecta de lleno al concepto de régimen económico del sistema eléctrico, en la medida en que determina los parámetros por los que ha de discurrir la ejecución material de la extensión y, consecuentemente, que van a definir la retribución del distribuidor. La regulación por cada Comunidad Autónoma de las obligaciones de los distribuidores en relación con instalaciones de nueva extensión no sería en absoluto inocua para la retribución de esta actividad, y por tanto, para el régimen económico del sistema”. Igualmente, en cuanto a la obligación de remisión de información, señala que la norma básica no impide que la Comunidad Autónoma pueda ampliar esta obligación.</w:t>
      </w:r>
    </w:p>
    <w:p w:rsidR="00163957" w:rsidRDefault="00163957" w:rsidP="00163957">
      <w:pPr>
        <w:pStyle w:val="TextoNormal"/>
      </w:pPr>
    </w:p>
    <w:p w:rsidR="00163957" w:rsidRDefault="00163957" w:rsidP="00163957">
      <w:pPr>
        <w:pStyle w:val="TextoNormal"/>
      </w:pPr>
      <w:r>
        <w:t>Sobre la impugnación del artículo 26.3, el Abogado del Estado sostiene que la “fijación de la retribución por uso del local se asienta en la competencia del Estado para fijación del régimen económico del sistema eléctrico, dado que el uso del local supone al distribuidor un coste que ha de ser retribuido con criterios homogéneos en toda España con el fin de mantener la previsión de los gastos, costes e inversiones de los distribuidores y posibilitar así la suficiencia y sostenibilidad del sistema”. Respecto a las obligaciones de suministro de información por parte de las empresas distribuidoras, al que se refiere el artículo 31 señala que la Generalitat no discute estas informaciones sino que no se obtengan a través de ella. El Abogado del Estado alega que la impugnación es preventiva, pues se hace depender de una hipotética normativa autonómica. Por otra parte señala que la razón de ser de este precepto es “dotar al Ministerio de la información necesaria para el cálculo retributivo del sistema. Sin esta información sería imposible la regulación y cálculo de un régimen económico homogéneo, suficiente y sostenible. Por tanto, se inserta en la competencia del Estado para la regulación del régimen económico del sector eléctrico”. Finalmente respecto al artículo 32 entiende que sólo se argumenta la vulneración de su apartado 1 que establece una facultad de concreción, normalización u homogeneización de la información que han de remitir las distribuidoras con el fin de lograr un adecuado tratamiento de los datos e informaciones aportadas. Se dicta, por tanto, al igual que el artículo 31, en el ejercicio de la competencia del Estado sobre determinación del régimen económico del sector eléctrico. Ello no impide a la Comunidad Autónoma, en el marco de sus competencias ejecutivas, solicitar otro tipo de información que considere relevante para su correcto ejercicio. Pero en ningún caso puede interferir en el modo y forma en que el Estado ejerce sus facultades sobre el régimen económico del sector. Concluye el Abogado del Estado su escrito señalando, sobre la impugnación de la disposición final primera, que, en la medida en que el Tribunal se pronuncie sobre el carácter básico de cada uno de los preceptos recurridos, no es preciso un pronunciamiento específico sobre este aspecto.</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21 de junio se señaló para deliberación y votación de la presente Sentencia el día 23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proceso constitucional tiene por objeto resolver el conflicto positivo de competencia planteado por el Gobierno de la Generalitat de Cataluña contra los arts. 8.4; 21; 22; 25, apartados 3, 4, 5 (párrafos primero y segundo) y 7; 26.3; 31; 32 y disposición final primera del Real Decreto 1048/2013, de 27 de diciembre, por el que se establece la metodología para el cálculo de la retribución de la actividad de distribución de energía eléctrica.</w:t>
      </w:r>
    </w:p>
    <w:p w:rsidR="00163957" w:rsidRDefault="00163957" w:rsidP="00163957">
      <w:pPr>
        <w:pStyle w:val="TextoNormal"/>
      </w:pPr>
    </w:p>
    <w:p w:rsidR="00163957" w:rsidRDefault="00163957" w:rsidP="00163957">
      <w:pPr>
        <w:pStyle w:val="TextoNormal"/>
      </w:pPr>
      <w:r>
        <w:t>El Gobierno de la Generalitat de Cataluña considera que la regulación impugnada se ha excedido en la fijación de bases en relación a la actividad de distribución eléctrica, menoscabando la competencia autonómica para dictar la normativa de desarrollo y sustrayendo asimismo la que le corresponde para el ejercicio de una serie de funciones ejecutivas, lo que determina la vulneración de lo dispuesto en el art. 133 del Estatuto de Autonomía de Cataluña (EAC).</w:t>
      </w:r>
    </w:p>
    <w:p w:rsidR="00163957" w:rsidRDefault="00163957" w:rsidP="00163957">
      <w:pPr>
        <w:pStyle w:val="TextoNormal"/>
      </w:pPr>
    </w:p>
    <w:p w:rsidR="00163957" w:rsidRDefault="00163957" w:rsidP="00163957">
      <w:pPr>
        <w:pStyle w:val="TextoNormal"/>
      </w:pPr>
      <w:r>
        <w:t xml:space="preserve">El Abogado del Estado ha negado las vulneraciones denunciadas señalando que los preceptos impugnados responden a un adecuado ejercicio de las competencias estatales, en especial en lo relativo al régimen económico del sector </w:t>
      </w:r>
      <w:r w:rsidRPr="00163957">
        <w:rPr>
          <w:i/>
        </w:rPr>
        <w:t>ex</w:t>
      </w:r>
      <w:r>
        <w:t xml:space="preserve"> art. 149.1.13 y 25 CE.</w:t>
      </w:r>
    </w:p>
    <w:p w:rsidR="00163957" w:rsidRDefault="00163957" w:rsidP="00163957">
      <w:pPr>
        <w:pStyle w:val="TextoNormal"/>
      </w:pPr>
    </w:p>
    <w:p w:rsidR="00163957" w:rsidRDefault="00163957" w:rsidP="00163957">
      <w:pPr>
        <w:pStyle w:val="TextoNormal"/>
      </w:pPr>
      <w:r>
        <w:t>Durante la pendencia del presente proceso ha variado la redacción de algunos de los preceptos impugnados. Los arts. 25.4, 31.1 y 3 y 32.1 han sido modificados por el Real Decreto 1054/2014, de 12 de diciembre, por el que se regula el procedimiento de cesión de los derechos de cobro del déficit del sistema eléctrico del año 2013 y se desarrolla la metodología de cálculo del tipo de interés que devengarán los derechos de cobro de dicho déficit y, en su caso, de los desajustes temporales negativos posteriores. Por su parte, los apartados tres y cinco del artículo 25 han sido reformados por el art. 2 del Real Decreto 1073/2015, de 27 de noviembre, por el que se modifican distintas disposiciones en los reales decretos de retribución de redes eléctricas. En ambos casos se trata de modificaciones puntuales que no han afectado a la controversia suscitada, centrada en la delimitación de competencias en materia de energía eléctrica, que subsiste en los términos en los que se planteó.</w:t>
      </w:r>
    </w:p>
    <w:p w:rsidR="00163957" w:rsidRDefault="00163957" w:rsidP="00163957">
      <w:pPr>
        <w:pStyle w:val="TextoNormal"/>
      </w:pPr>
    </w:p>
    <w:p w:rsidR="00163957" w:rsidRDefault="00163957" w:rsidP="00163957">
      <w:pPr>
        <w:pStyle w:val="TextoNormal"/>
      </w:pPr>
      <w:r w:rsidRPr="00163957">
        <w:rPr>
          <w:rStyle w:val="NumeroAFNegritaCaracter"/>
        </w:rPr>
        <w:t>2</w:t>
      </w:r>
      <w:r>
        <w:t>. El objeto del Real Decreto 1048/2013 es, conforme a su preámbulo, regular la metodología para determinar la retribución de las empresas que desarrollan la actividad de distribución de energía eléctrica, con el fin de contribuir a aportar estabilidad regulatoria e incidir tanto en la calidad como en el coste del suministro. Además, se determina el régimen de acometidas y otras actuaciones necesarias para atender el suministro eléctrico, para agrupar bajo una misma normativa todos los ingresos que perciben las empresas distribuidoras. Da así cumplimiento a la Ley del sector eléctrico, pues el artículo 14.8 contiene una remisión reglamentaria para el establecimiento de las metodologías de retribución de la actividad de distribución y el artículo 14.9 habilita al Gobierno para fijar “el régimen económico de los derechos por acometidas, enganches, verificación de las instalaciones, actuaciones sobre los equipos de control y medida, alquiler de aparatos de medida, realización de estudios de conexión y acceso a las redes y demás actuaciones necesarias para atender los requerimientos de los usuarios”. En consecuencia, junto a las disposiciones relativas a la retribución de la actividad de distribución, también se contiene el régimen económico de los pagos de los derechos por acometidas, enganches, verificaciones y actuaciones sobre los equipos de control y de los estudios de acceso y conexión a las redes de distribución.</w:t>
      </w:r>
    </w:p>
    <w:p w:rsidR="00163957" w:rsidRDefault="00163957" w:rsidP="00163957">
      <w:pPr>
        <w:pStyle w:val="TextoNormal"/>
      </w:pPr>
    </w:p>
    <w:p w:rsidR="00163957" w:rsidRDefault="00163957" w:rsidP="00163957">
      <w:pPr>
        <w:pStyle w:val="TextoNormal"/>
      </w:pPr>
      <w:r>
        <w:t>De acuerdo con la disposición final primera, el Real Decreto 1048/2013 tiene carácter básico y se dicta al amparo de los arts. 149.1.13 y 149.1.25 CE, que atribuyen al Estado, respectivamente, la competencias para establecer las bases y la coordinación de la planificación general de la economía y las bases del régimen energético.</w:t>
      </w:r>
    </w:p>
    <w:p w:rsidR="00163957" w:rsidRDefault="00163957" w:rsidP="00163957">
      <w:pPr>
        <w:pStyle w:val="TextoNormal"/>
      </w:pPr>
    </w:p>
    <w:p w:rsidR="00163957" w:rsidRDefault="00163957" w:rsidP="00163957">
      <w:pPr>
        <w:pStyle w:val="TextoNormal"/>
      </w:pPr>
      <w:r w:rsidRPr="00163957">
        <w:rPr>
          <w:rStyle w:val="NumeroAFNegritaCaracter"/>
        </w:rPr>
        <w:lastRenderedPageBreak/>
        <w:t>3</w:t>
      </w:r>
      <w:r>
        <w:t>. Dado que lo que se plantea es una controversia competencial, hemos de considerar ahora la cuestión relativa al encuadramiento de los preceptos controvertidos en el sistema material de distribución de competencias.</w:t>
      </w:r>
    </w:p>
    <w:p w:rsidR="00163957" w:rsidRDefault="00163957" w:rsidP="00163957">
      <w:pPr>
        <w:pStyle w:val="TextoNormal"/>
      </w:pPr>
    </w:p>
    <w:p w:rsidR="00163957" w:rsidRDefault="00163957" w:rsidP="00163957">
      <w:pPr>
        <w:pStyle w:val="TextoNormal"/>
      </w:pPr>
      <w:r>
        <w:t>Tratándose de la materia energía eléctrica las partes no discrepan en los títulos competenciales que consideran de aplicación para la resolución del presente proceso constitucional, sino en su alcance con relación a cada uno de los preceptos impugnados. El debate se refiere al alcance de determinadas previsiones estatales a las que la Generalitat niega su carácter básico, sin que discuta su encuadramiento material en el sector eléctrico. Hemos de confirmar este encuadramiento material, pues se trata de una norma cuya finalidad es fijar el régimen económico de los pagos por los derechos de acometida y el régimen retributivo de la actividad de distribución eléctrica.</w:t>
      </w:r>
    </w:p>
    <w:p w:rsidR="00163957" w:rsidRDefault="00163957" w:rsidP="00163957">
      <w:pPr>
        <w:pStyle w:val="TextoNormal"/>
      </w:pPr>
    </w:p>
    <w:p w:rsidR="00163957" w:rsidRDefault="00163957" w:rsidP="00163957">
      <w:pPr>
        <w:pStyle w:val="TextoNormal"/>
      </w:pPr>
      <w:r>
        <w:t>a) Conforme a ese encuadramiento, los títulos competenciales estatales que debemos tomar en consideración son los de las reglas 13 (“bases y coordinación de la planificación general de la actividad económica”) y 25 (“bases del régimen … energético”) del art. 149.1 CE, invocados ambos expresamente en la disposición final segunda LSE. Respecto al alcance de ambos ya nos hemos pronunciado en la STC 18/2011, de 3 de marzo, FJ 6, a la que ahora procede remitirse.</w:t>
      </w:r>
    </w:p>
    <w:p w:rsidR="00163957" w:rsidRDefault="00163957" w:rsidP="00163957">
      <w:pPr>
        <w:pStyle w:val="TextoNormal"/>
      </w:pPr>
    </w:p>
    <w:p w:rsidR="00163957" w:rsidRDefault="00163957" w:rsidP="00163957">
      <w:pPr>
        <w:pStyle w:val="TextoNormal"/>
      </w:pPr>
      <w:r>
        <w:t>Dichos títulos han de ser puestos en relación con el art. 133.1 EAC que atribuye a la Generalitat la competencia compartida en materia de energía que incluye las submaterias siguientes: “a) La regulación de las actividades de producción, almacenaje y transporte de energía, el otorgamiento de las autorizaciones de las instalaciones que transcurran íntegramente por el territorio de Cataluña y el ejercicio de las actividades de inspección y control de todas las instalaciones existentes en Cataluña; b) La regulación de la actividad de distribución de energía que se lleve a cabo en Cataluña, el otorgamiento de las autorizaciones de las instalaciones correspondientes y el ejercicio de las actividades de inspección y control de todas las instalaciones existentes en Cataluña; c) El desarrollo de las normas complementarias de calidad de los servicios de suministro de energía; d) El fomento y la gestión de las energías renovables y de la eficiencia energética”. Carácter compartido de la competencia autonómica que ha de ser entendido en el sentido que ya expresamos en la STC 31/2010, de 28 de junio (FJ 60).</w:t>
      </w:r>
    </w:p>
    <w:p w:rsidR="00163957" w:rsidRDefault="00163957" w:rsidP="00163957">
      <w:pPr>
        <w:pStyle w:val="TextoNormal"/>
      </w:pPr>
    </w:p>
    <w:p w:rsidR="00163957" w:rsidRDefault="00163957" w:rsidP="00163957">
      <w:pPr>
        <w:pStyle w:val="TextoNormal"/>
      </w:pPr>
      <w:r>
        <w:t>b) Por otra parte, la norma cuestionada se refiere a la actividad de distribución de energía, esto es, “aquélla que tiene por objeto la transmisión de energía eléctrica desde las redes de transporte, o en su caso desde otras redes de distribución o desde la generación conectada a la propia red de distribución, hasta los puntos de consumo u otras redes de distribución en las adecuadas condiciones de calidad con el fin último de suministrarla a los consumidores” (art. 38.1 LSE). Esta actividad comprende la construcción, mantenimiento y operación de redes de distribución, ya que el suministro eléctrico precisa de una red física de conductores que lo haga posible. Por ello, cumple también que recordemos que, como señala la STC 32/2016, de 18 de febrero, FJ 9, “se trata de una actividad destinada al suministro de energía eléctrica como servicio de interés económico general (artículo 1.2 en relación con el artículo 2.2) con la finalidad de garantizar ese suministro y adecuarlo a las necesidades de los consumidores en términos de seguridad, calidad, eficiencia, objetividad, transparencia y al mínimo coste (artículo 1.1), circunstancia que pone de relieve la importancia de dicha activi</w:t>
      </w:r>
      <w:r>
        <w:lastRenderedPageBreak/>
        <w:t xml:space="preserve">dad tanto para los usuarios individuales como para el funcionamiento de los distintos sectores económicos, y, por tanto, para el desarrollo de la economía nacional (STC 18/2011, FJ 10)”, carácter regulado que determina “la fijación administrativa de su retribución” y justifica “que la ordenación y regulación de la distribución tenga por objeto ‘establecer y aplicar principios comunes que garanticen su adecuada relación con las restantes actividades eléctricas, determinar las condiciones de tránsito de la energía eléctrica por dichas redes, establecer la suficiente igualdad entre quienes realizan la actividad en todo el territorio y la fijación de condiciones comunes equiparables para todos los usuarios de la energía’ (art. 38.4 LSE), reconociendo así su importancia para el adecuado funcionamiento del sistema eléctrico en su conjunto en el que el distribuidor ocupa un papel esencial”. La consecuencia de lo anterior es que “Corresponde al Estado el establecimiento de la regulación básica de las actividades destinadas al suministro de energía eléctrica, entre las que se encuentra la distribución (STC 18/2011, FJ 10), pues con ello se definen elementos nucleares del sistema eléctrico que encajan en el concepto material de bases </w:t>
      </w:r>
      <w:r w:rsidRPr="00163957">
        <w:rPr>
          <w:i/>
        </w:rPr>
        <w:t>ex</w:t>
      </w:r>
      <w:r>
        <w:t xml:space="preserve"> art. 149.1.13 y 25 CE, ya que para asegurar el correcto funcionamiento del sector es imprescindible el establecimiento de una ordenación común en el conjunto del sistema eléctrico en un aspecto como el de la distribución que opera en un sistema único para todo el territorio nacional” (STC 32/2016, FJ 9).</w:t>
      </w:r>
    </w:p>
    <w:p w:rsidR="00163957" w:rsidRDefault="00163957" w:rsidP="00163957">
      <w:pPr>
        <w:pStyle w:val="TextoNormal"/>
      </w:pPr>
    </w:p>
    <w:p w:rsidR="00163957" w:rsidRDefault="00163957" w:rsidP="00163957">
      <w:pPr>
        <w:pStyle w:val="TextoNormal"/>
      </w:pPr>
      <w:r>
        <w:t>c) Finalmente, a efectos de completar el canon de enjuiciamiento aplicable, es preciso referirse, puesto que es cuestión debatida en el presente proceso, a la doctrina constitucional en torno a los requisitos de carácter formal y material que han de cumplir las bases. En la STC 4/2013, de 17 de enero, FJ 5, citada por las SSTC 32/2016, FJ 4, y 62/2016, de 17 de marzo, FJ 7, el Tribunal declaró que “el ámbito de lo básico, desde la perspectiva material, incluye las determinaciones que aseguran un mínimo común normativo en el sector material de que se trate y, con ello, una orientación unitaria y dotada de cierta estabilidad en todo aquello que el legislador considera en cada momento aspectos esenciales de dicho sector material (STC 223/2000, de 21 de septiembre, FJ 6, con cita de las SSTC 1/1982, de 28 de enero; 48/1988, de 2 de marzo; 147/1991, de 4 de julio, y 197/1996, de 28 de noviembre)”.</w:t>
      </w:r>
    </w:p>
    <w:p w:rsidR="00163957" w:rsidRDefault="00163957" w:rsidP="00163957">
      <w:pPr>
        <w:pStyle w:val="TextoNormal"/>
      </w:pPr>
    </w:p>
    <w:p w:rsidR="00163957" w:rsidRDefault="00163957" w:rsidP="00163957">
      <w:pPr>
        <w:pStyle w:val="TextoNormal"/>
      </w:pPr>
      <w:r>
        <w:t xml:space="preserve">Las citadas SSTC 32/2016, FJ 4, y 62/2016, FJ 7, recuerdan que “por lo que hace a la perspectiva formal, en el ámbito de la energía eléctrica, la doctrina constitucional entiende que el concepto de bases comprende las normas básicas con rango legal sobre la ordenación del sector eléctrico, y también, de manera excepcional y de acuerdo con la doctrina constitucional sobre el concepto material de bases, normas de carácter reglamentario y actos de naturaleza ejecutiva, especialmente, pero no sólo, con respecto al régimen económico del sector (STC 18/2011, FJ 8). Nuestra doctrina ha fijado los requisitos que deben cumplirse, de modo que se ha admitido que a esta perspectiva atiende “el principio de ley formal... en razón a que sólo a través de este instrumento normativo se alcanzará... una determinación cierta y estable de los ámbitos de ordenación de las materias en las que concurren y se articulan las competencias básicas estatales y reglamentarias autonómicas. También precisamos que como excepción a dicho principio de ley formal... el Gobierno puede hacer uso de la potestad reglamentaria, para regular por Decreto alguno de los preceptos básicos de una materia, cuando resulten, por la competencia de ésta, complemento necesario para garantizar el fin a que responde la competencia sobre las bases (STC 98/2001, de 5 de abril, FJ 7, con cita de la STC 69/1988, de 19 de abril, FJ 5)” (STC 14/2004, de 13 de febrero, FJ 11). En el caso de la ordenación del sector eléctrico la intervención de la norma reglamentaria, amparada tanto en el título general relativo a la planificación de la economía (art. 149.1.13 CE) como en el más específico relativo al sector energético (art. 149.1.25 CE), se </w:t>
      </w:r>
      <w:r>
        <w:lastRenderedPageBreak/>
        <w:t>justifica por la importancia del sector eléctrico para el conjunto de la economía nacional y por su carácter esencial para la totalidad de los sectores económicos y para la vida cotidiana (STC 148/2011, de 28 de septiembre, FJ 6), así como en los casos en los que la propia norma legal lo reclama para completar la regulación de la disciplina básica por ella definida y conseguir la exigible calidad y seguridad en el suministro y también por su carácter marcadamente técnico, justificativo de su tratamiento por normas reglamentarias (STC 4/2013, FJ 5)”.</w:t>
      </w:r>
    </w:p>
    <w:p w:rsidR="00163957" w:rsidRDefault="00163957" w:rsidP="00163957">
      <w:pPr>
        <w:pStyle w:val="TextoNormal"/>
      </w:pPr>
    </w:p>
    <w:p w:rsidR="00163957" w:rsidRDefault="00163957" w:rsidP="00163957">
      <w:pPr>
        <w:pStyle w:val="TextoNormal"/>
      </w:pPr>
      <w:r w:rsidRPr="00163957">
        <w:rPr>
          <w:rStyle w:val="NumeroAFNegritaCaracter"/>
        </w:rPr>
        <w:t>4</w:t>
      </w:r>
      <w:r>
        <w:t>. Antes aún de comenzar el enjuiciamiento de los preceptos controvertidos son necesarias tres precisiones adicionales.</w:t>
      </w:r>
    </w:p>
    <w:p w:rsidR="00163957" w:rsidRDefault="00163957" w:rsidP="00163957">
      <w:pPr>
        <w:pStyle w:val="TextoNormal"/>
      </w:pPr>
    </w:p>
    <w:p w:rsidR="00163957" w:rsidRDefault="00163957" w:rsidP="00163957">
      <w:pPr>
        <w:pStyle w:val="TextoNormal"/>
      </w:pPr>
      <w:r>
        <w:t>La primera es que, al analizar la controversia competencial que se plantea, no podemos tomar en consideración las afirmaciones de la Letrada de la Generalitat respecto a las peculiaridades de la red de distribución de Cataluña, pues, además de que las mismas no se acompañan de justificación alguna, lo aquí debatido tiene que ver con la delimitación de las competencias estatales y autonómicas en materia de energía que resulta de los criterios constitucionales y estatutarios, al margen de toda consideración fáctica en relación con la actividad de distribución eléctrica sobre la que se proyectarían los mencionados criterios.</w:t>
      </w:r>
    </w:p>
    <w:p w:rsidR="00163957" w:rsidRDefault="00163957" w:rsidP="00163957">
      <w:pPr>
        <w:pStyle w:val="TextoNormal"/>
      </w:pPr>
    </w:p>
    <w:p w:rsidR="00163957" w:rsidRDefault="00163957" w:rsidP="00163957">
      <w:pPr>
        <w:pStyle w:val="TextoNormal"/>
      </w:pPr>
      <w:r>
        <w:t>La segunda es que, desde la perspectiva competencial que el proceso nos reclama, no es relevante la consideración de que determinados preceptos impugnados no formarían parte del régimen retributivo de la actividad de distribución de energía eléctrica, pues lo que ha de dilucidarse aquí es si, con independencia de dicha relación, encuentran o no amparo en los títulos competenciales estatales en relación con el sistema eléctrico que antes se han mencionado.</w:t>
      </w:r>
    </w:p>
    <w:p w:rsidR="00163957" w:rsidRDefault="00163957" w:rsidP="00163957">
      <w:pPr>
        <w:pStyle w:val="TextoNormal"/>
      </w:pPr>
    </w:p>
    <w:p w:rsidR="00163957" w:rsidRDefault="00163957" w:rsidP="00163957">
      <w:pPr>
        <w:pStyle w:val="TextoNormal"/>
      </w:pPr>
      <w:r>
        <w:t>La tercera es que el presente proceso ha de limitarse a enjuiciar la conformidad competencial de los preceptos del Real Decreto 1048/2013 que han sido impugnados, sin que corresponda ahora pronunciarse sobre los preceptos de la Ley del sector eléctrico que se citan en la demanda, sin perjuicio de que tales preceptos ya hayan sido enjuiciados por este Tribunal en las SSTC 32/2016 y 62/2016.</w:t>
      </w:r>
    </w:p>
    <w:p w:rsidR="00163957" w:rsidRDefault="00163957" w:rsidP="00163957">
      <w:pPr>
        <w:pStyle w:val="TextoNormal"/>
      </w:pPr>
    </w:p>
    <w:p w:rsidR="00163957" w:rsidRDefault="00163957" w:rsidP="00163957">
      <w:pPr>
        <w:pStyle w:val="TextoNormal"/>
      </w:pPr>
      <w:r w:rsidRPr="00163957">
        <w:rPr>
          <w:rStyle w:val="NumeroAFNegritaCaracter"/>
        </w:rPr>
        <w:t>5</w:t>
      </w:r>
      <w:r>
        <w:t>. Señalado todo lo anterior, procede ya iniciar el enjuiciamiento de los distintos preceptos impugnados, comenzando por el art. 8.4, según el cual:</w:t>
      </w:r>
    </w:p>
    <w:p w:rsidR="00163957" w:rsidRDefault="00163957" w:rsidP="00163957">
      <w:pPr>
        <w:pStyle w:val="TextoNormal"/>
      </w:pPr>
    </w:p>
    <w:p w:rsidR="00163957" w:rsidRDefault="00163957" w:rsidP="00163957">
      <w:pPr>
        <w:pStyle w:val="TextoNormal"/>
      </w:pPr>
      <w:r>
        <w:t>“En la retribución de las instalaciones de la red de distribución con cargo al sistema eléctrico se considerarán exclusivamente la inversión o los costes de operación y mantenimiento reconocidos por la normativa básica estatal en los términos establecidos en este real decreto.</w:t>
      </w:r>
    </w:p>
    <w:p w:rsidR="00163957" w:rsidRDefault="00163957" w:rsidP="00163957">
      <w:pPr>
        <w:pStyle w:val="TextoNormal"/>
      </w:pPr>
    </w:p>
    <w:p w:rsidR="00163957" w:rsidRDefault="00163957" w:rsidP="00163957">
      <w:pPr>
        <w:pStyle w:val="TextoNormal"/>
      </w:pPr>
      <w:r>
        <w:t>De acuerdo al artículo 15 de la Ley 24/2013, de 26 de diciembre, las empresas a las que aplicaran, en alguna de sus áreas normas específicas sobre redes, unos niveles de calidad superiores a los fijados por la normativa estatal o unos criterios de diseño de redes que supongan unos mayores costes en la actividad de distribución, podrán establecer convenios u otros mecanismos con las Administraciones Públicas para cubrir el sobrecoste ocasionado.”</w:t>
      </w:r>
    </w:p>
    <w:p w:rsidR="00163957" w:rsidRDefault="00163957" w:rsidP="00163957">
      <w:pPr>
        <w:pStyle w:val="TextoNormal"/>
      </w:pPr>
    </w:p>
    <w:p w:rsidR="00163957" w:rsidRDefault="00163957" w:rsidP="00163957">
      <w:pPr>
        <w:pStyle w:val="TextoNormal"/>
      </w:pPr>
      <w:r>
        <w:lastRenderedPageBreak/>
        <w:t>La representación procesal del Gobierno de la Generalitat de Cataluña afirma que el art. 8.4, en relación con el art. 15 LSE, hace inviable la posibilidad de que la Comunidad Autónoma pueda imponer obligaciones adicionales en materia de redes de distribución eléctrica o de niveles de calidad, puesto que prevé que los costes más elevados que ello suponga no podrán subvenirse con cargo al propio sistema eléctrico, conllevando un vaciamiento de la competencia autonómica. El Abogado del Estado ha negado esta vulneración, indicando que este precepto tiene por finalidad delimitar los costes de distribución que serán sufragados por los ingresos del sistema, por lo que se inserta en las competencias estatales en relación con el régimen económico del sector.</w:t>
      </w:r>
    </w:p>
    <w:p w:rsidR="00163957" w:rsidRDefault="00163957" w:rsidP="00163957">
      <w:pPr>
        <w:pStyle w:val="TextoNormal"/>
      </w:pPr>
    </w:p>
    <w:p w:rsidR="00163957" w:rsidRDefault="00163957" w:rsidP="00163957">
      <w:pPr>
        <w:pStyle w:val="TextoNormal"/>
      </w:pPr>
      <w:r>
        <w:t>El artículo 8 establece los criterios de redes y funcionamiento de las instalaciones de distribución sujetas a retribución regulada, por lo que se relaciona directamente con las competencias estatales para fijar el régimen económico del sector a las que aluden las SSTC 148/2011 y 4/2013. Dichas competencias no determinan automáticamente una prohibición para que las Comunidades Autónomas adopten medidas en relación con la calidad del suministro eléctrico, pues el carácter básico del régimen económico del sector eléctrico no puede erigirse como un límite absoluto que impida el ejercicio de las competencias compartidas de las Comunidades Autónomas (STC 148/2011, FJ 5). Ese carácter compartido de la competencia obliga a que, en el caso de que estas medidas supongan costes reconocibles para las empresas, el Estado articule los mecanismos para compensar los eventuales costes generados por las exigencias de la normativa autonómica, ya que, como señala la ya mencionada STC 148/2011, FJ 5, “ninguna duda cabe de que corresponde a la normativa básica estatal definir, en su caso, la forma y medida en que han de tenerse en cuenta los costes que, para las actividades eléctricas reguladas, como es el caso de la distribución, se deriven del ejercicio de las competencias autonómicas en materia de calidad del suministro eléctrico”. Por tanto, “corresponderá, en su caso, al Estado, en ejercicio de sus indiscutidas competencias para la retribución de las actividades reguladas, articular los mecanismos que estime precisos para compensar los eventuales costes generados por las exigencias de la normativa autonómica” (STC 148/2011, FJ 7).</w:t>
      </w:r>
    </w:p>
    <w:p w:rsidR="00163957" w:rsidRDefault="00163957" w:rsidP="00163957">
      <w:pPr>
        <w:pStyle w:val="TextoNormal"/>
      </w:pPr>
    </w:p>
    <w:p w:rsidR="00163957" w:rsidRDefault="00163957" w:rsidP="00163957">
      <w:pPr>
        <w:pStyle w:val="TextoNormal"/>
      </w:pPr>
      <w:r>
        <w:t>El precepto impugnado se ajusta a dicha doctrina pues tiene por finalidad hacer compatible la garantía de la uniformidad del régimen económico de las actividades del sector eléctrico en todo el territorio del Estado, con el ejercicio de la competencia de las Comunidades Autónomas. Para conseguir esa finalidad el Estado puede utilizar diversas técnicas con el fin de compensar los costes que para las actividades eléctricas reguladas comporta el cumplimiento de la normativa autonómica. Así, la Ley del sector eléctrico contempla la posibilidad de convenios para el caso de normativas específicas sobre redes o instalaciones de producción que supongan unos mayores costes en la actividad (art. 15.2 LSE). También regula que los sobrecostes derivados del gravamen de las actividades o instalaciones destinadas al suministro eléctrico con tributos propios de las comunidades autónomas en el peaje de acceso (art. 16.4 LSE) o en los precios voluntarios o tarifas de último recurso (art. 17.6 LSE) deben ser asumidos por los consumidores del ámbito territorial de la respectiva Comunidad Autónoma mediante el pago de un suplemento territorial que cubra la totalidad de este sobrecoste. Igualmente, en la STC 148/2011, FJ 7, consideramos conforme con el orden competencial, la prohibición de que un concreto coste, el derivado de la instalación del sistema de medida de incidencias de calidad, fuera asumido por la empresa distribuidora, impidiendo, por tanto, su reconocimiento como un coste retribuible con cargo al régimen económico del sector.</w:t>
      </w:r>
    </w:p>
    <w:p w:rsidR="00163957" w:rsidRDefault="00163957" w:rsidP="00163957">
      <w:pPr>
        <w:pStyle w:val="TextoNormal"/>
      </w:pPr>
    </w:p>
    <w:p w:rsidR="00163957" w:rsidRDefault="00163957" w:rsidP="00163957">
      <w:pPr>
        <w:pStyle w:val="TextoNormal"/>
      </w:pPr>
      <w:r>
        <w:t>La previsión de convenios u otros mecanismos entre las administraciones autonómicas y las empresas distribuidoras para compensar los costes derivados de los requerimientos adicionales de calidad se inserta en esa misma lógica, pues el Estado, al ejercer su competencia para articular los instrumentos que considere necesarios para compensar los costes generados por las exigencias de la normativa autonómica, ha optado por la técnica de los convenios, sin que con esa opción se vulneren las competencias autonómicas.</w:t>
      </w:r>
    </w:p>
    <w:p w:rsidR="00163957" w:rsidRDefault="00163957" w:rsidP="00163957">
      <w:pPr>
        <w:pStyle w:val="TextoNormal"/>
      </w:pPr>
    </w:p>
    <w:p w:rsidR="00163957" w:rsidRDefault="00163957" w:rsidP="00163957">
      <w:pPr>
        <w:pStyle w:val="TextoNormal"/>
      </w:pPr>
      <w:r>
        <w:t>Por lo demás, y aunque los acuerdos de las comisiones bilaterales de cooperación no pueden alterar la doctrina constitucional (STC 106/2009, de 4 de mayo, FJ 3), no cabe sino advertir que este es precisamente el mecanismo que permitió llegar a un consenso entre el Estado y la Generalitat de Catalunya en relación con la discrepancias competenciales manifestadas en relación con determinados preceptos de la Ley catalana 18/2008, de 23 de diciembre, de garantía y calidad del suministro eléctrico, en la que se establecían medidas de calidad adicionales a las fijadas por la normativa básica estatal. Así consta en el acuerdo de la Subcomisión de seguimiento normativo, prevención y solución de conflictos de la Comisión Bilateral Generalitat-Estado, de 22 de septiembre de 2009, publicado en el “Boletín Oficial del Estado” de 30 de octubre de 2009.</w:t>
      </w:r>
    </w:p>
    <w:p w:rsidR="00163957" w:rsidRDefault="00163957" w:rsidP="00163957">
      <w:pPr>
        <w:pStyle w:val="TextoNormal"/>
      </w:pPr>
    </w:p>
    <w:p w:rsidR="00163957" w:rsidRDefault="00163957" w:rsidP="00163957">
      <w:pPr>
        <w:pStyle w:val="TextoNormal"/>
      </w:pPr>
      <w:r>
        <w:t>En suma, el artículo 8.4 no vulnera las competencias de la Generalitat de Cataluña.</w:t>
      </w:r>
    </w:p>
    <w:p w:rsidR="00163957" w:rsidRDefault="00163957" w:rsidP="00163957">
      <w:pPr>
        <w:pStyle w:val="TextoNormal"/>
      </w:pPr>
    </w:p>
    <w:p w:rsidR="00163957" w:rsidRDefault="00163957" w:rsidP="00163957">
      <w:pPr>
        <w:pStyle w:val="TextoNormal"/>
      </w:pPr>
      <w:r w:rsidRPr="00163957">
        <w:rPr>
          <w:rStyle w:val="NumeroAFNegritaCaracter"/>
        </w:rPr>
        <w:t>6</w:t>
      </w:r>
      <w:r>
        <w:t>. El siguiente precepto impugnado es el artículo 21, si bien la demanda solamente argumenta en relación a su apartado 1, según el cual:</w:t>
      </w:r>
    </w:p>
    <w:p w:rsidR="00163957" w:rsidRDefault="00163957" w:rsidP="00163957">
      <w:pPr>
        <w:pStyle w:val="TextoNormal"/>
      </w:pPr>
    </w:p>
    <w:p w:rsidR="00163957" w:rsidRDefault="00163957" w:rsidP="00163957">
      <w:pPr>
        <w:pStyle w:val="TextoNormal"/>
      </w:pPr>
      <w:r>
        <w:t>“Artículo 21. Extensión de las redes de distribución</w:t>
      </w:r>
    </w:p>
    <w:p w:rsidR="00163957" w:rsidRDefault="00163957" w:rsidP="00163957">
      <w:pPr>
        <w:pStyle w:val="TextoNormal"/>
      </w:pPr>
    </w:p>
    <w:p w:rsidR="00163957" w:rsidRDefault="00163957" w:rsidP="00163957">
      <w:pPr>
        <w:pStyle w:val="TextoNormal"/>
      </w:pPr>
      <w:r>
        <w:t>1. A efectos de lo dispuesto en este real decreto se entenderá por:</w:t>
      </w:r>
    </w:p>
    <w:p w:rsidR="00163957" w:rsidRDefault="00163957" w:rsidP="00163957">
      <w:pPr>
        <w:pStyle w:val="TextoNormal"/>
      </w:pPr>
    </w:p>
    <w:p w:rsidR="00163957" w:rsidRDefault="00163957" w:rsidP="00163957">
      <w:pPr>
        <w:pStyle w:val="TextoNormal"/>
      </w:pPr>
      <w:r>
        <w:t>a) Extensión natural de las redes de distribución: a los refuerzos o adecuaciones de las instalaciones de distribución existentes a las que se conecten las infraestructuras necesarias para atender los nuevos suministros o la ampliación de los existentes, que respondan al crecimiento vegetativo de la demanda. Dichas infraestructuras deberán ser realizadas y costeadas por la empresa de distribución responsable de las mismas en la zona y reconocidas en la retribución correspondiente a cada distribuidor.</w:t>
      </w:r>
    </w:p>
    <w:p w:rsidR="00163957" w:rsidRDefault="00163957" w:rsidP="00163957">
      <w:pPr>
        <w:pStyle w:val="TextoNormal"/>
      </w:pPr>
    </w:p>
    <w:p w:rsidR="00163957" w:rsidRDefault="00163957" w:rsidP="00163957">
      <w:pPr>
        <w:pStyle w:val="TextoNormal"/>
      </w:pPr>
      <w:r>
        <w:t>A los efectos definidos en el párrafo anterior, la red de distribución tendrá consideración de red única, por lo que el crecimiento vegetativo en un elemento de la red de distribución de un distribuidor conectado a la red de distribución de otra empresa distribuidora de mayor tamaño será asumido como tal por el distribuidor de mayor tamaño.</w:t>
      </w:r>
    </w:p>
    <w:p w:rsidR="00163957" w:rsidRDefault="00163957" w:rsidP="00163957">
      <w:pPr>
        <w:pStyle w:val="TextoNormal"/>
      </w:pPr>
    </w:p>
    <w:p w:rsidR="00163957" w:rsidRDefault="00163957" w:rsidP="00163957">
      <w:pPr>
        <w:pStyle w:val="TextoNormal"/>
      </w:pPr>
      <w:r>
        <w:t>La extensión natural de las redes de distribución de las empresas distribuidoras se reflejarán en los planes de inversión.</w:t>
      </w:r>
    </w:p>
    <w:p w:rsidR="00163957" w:rsidRDefault="00163957" w:rsidP="00163957">
      <w:pPr>
        <w:pStyle w:val="TextoNormal"/>
      </w:pPr>
    </w:p>
    <w:p w:rsidR="00163957" w:rsidRDefault="00163957" w:rsidP="00163957">
      <w:pPr>
        <w:pStyle w:val="TextoNormal"/>
      </w:pPr>
      <w:r>
        <w:t xml:space="preserve">b) Instalaciones de nueva extensión de red: a las instalaciones o infraestructuras de red que sean necesarias realizar para la atención de solicitudes de nuevos suministros o ampliación de los existentes, que no respondan a crecimientos vegetativos de la demanda, desde la red de distribución existente hasta el primer elemento propiedad del solicitante, en las condiciones reglamentarias de seguridad, fiabilidad y calidad de servicio. Asimismo, también </w:t>
      </w:r>
      <w:r>
        <w:lastRenderedPageBreak/>
        <w:t>tendrán la consideración de nueva extensión de red aquellos refuerzos que tienen por objeto incrementar la capacidad de algún elemento de la red existente, con el mismo nivel de tensión que la del punto de conexión y que de acuerdo con los criterios establecidos mediante orden ministerial supongan un aumento relevante en la potencia del elemento a reforzar. A estos efectos, se entenderá por solicitante la persona física o jurídica que solicita el suministro, sin que necesariamente tenga que contratar el mismo.</w:t>
      </w:r>
    </w:p>
    <w:p w:rsidR="00163957" w:rsidRDefault="00163957" w:rsidP="00163957">
      <w:pPr>
        <w:pStyle w:val="TextoNormal"/>
      </w:pPr>
    </w:p>
    <w:p w:rsidR="00163957" w:rsidRDefault="00163957" w:rsidP="00163957">
      <w:pPr>
        <w:pStyle w:val="TextoNormal"/>
      </w:pPr>
      <w:r>
        <w:t>En todos los casos de instalaciones de nueva extensión de red, las condiciones técnico-económicas sobre el nivel de tensión, el punto de conexión y la solución de alimentación eléctrica para los nuevos suministros serán determinadas por el distribuidor, que deberá tener en cuenta criterios de desarrollo y de operación al mínimo coste de las redes de distribución garantizando la calidad de suministro. El solicitante del nuevo suministro tendrá derecho a que la empresa distribuidora le justifique las causas de elección del punto y de la tensión de conexión. En caso de discrepancia entre el solicitante del suministro y el distribuidor, resolverá el órgano competente de la Administración Pública correspondiente.</w:t>
      </w:r>
    </w:p>
    <w:p w:rsidR="00163957" w:rsidRDefault="00163957" w:rsidP="00163957">
      <w:pPr>
        <w:pStyle w:val="TextoNormal"/>
      </w:pPr>
    </w:p>
    <w:p w:rsidR="00163957" w:rsidRDefault="00163957" w:rsidP="00163957">
      <w:pPr>
        <w:pStyle w:val="TextoNormal"/>
      </w:pPr>
      <w:r>
        <w:t>Cuando las nuevas instalaciones de extensión de redes puedan ser ejecutadas por varios distribuidores existentes en la zona, la Administración Pública competente determinará, siguiendo criterios de mínimo coste, con carácter previo a su ejecución, cuál de ellos debe asumir dichas instalaciones como activos de su red de distribución.</w:t>
      </w:r>
    </w:p>
    <w:p w:rsidR="00163957" w:rsidRDefault="00163957" w:rsidP="00163957">
      <w:pPr>
        <w:pStyle w:val="TextoNormal"/>
      </w:pPr>
    </w:p>
    <w:p w:rsidR="00163957" w:rsidRDefault="00163957" w:rsidP="00163957">
      <w:pPr>
        <w:pStyle w:val="TextoNormal"/>
      </w:pPr>
      <w:r>
        <w:t>A los efectos definidos en este real decreto, se entenderá por crecimiento vegetativo y por aumento relevante en la potencia del elemento a reforzar el que se defina por Orden del Ministro de Industria, Energía y Turismo previo acuerdo de la Comisión Delegada para Asuntos Económicos, a propuesta de la Comisión Nacional de los Mercados y la Competencia.”</w:t>
      </w:r>
    </w:p>
    <w:p w:rsidR="00163957" w:rsidRDefault="00163957" w:rsidP="00163957">
      <w:pPr>
        <w:pStyle w:val="TextoNormal"/>
      </w:pPr>
    </w:p>
    <w:p w:rsidR="00163957" w:rsidRDefault="00163957" w:rsidP="00163957">
      <w:pPr>
        <w:pStyle w:val="TextoNormal"/>
      </w:pPr>
      <w:r>
        <w:t>Las tachas imputadas a este precepto se relacionan con su carácter excesivamente detallado que se entiende incompatible con su condición básica. En concreto se aprecia que excluye cualquier intervención de las Comunidades Autónomas, en la medida en que no hace remisiones a su normativa, impidiendo que éstas puedan definir las obligaciones de extensión de las redes eléctricas a cumplir por las empresas distribuidoras. Por el contrario, el Abogado del Estado ha defendido que los conceptos determinantes de obligaciones de inversión han de ser fijados por el Estado, sin que el precepto elimine la intervención autonómica en la materia.</w:t>
      </w:r>
    </w:p>
    <w:p w:rsidR="00163957" w:rsidRDefault="00163957" w:rsidP="00163957">
      <w:pPr>
        <w:pStyle w:val="TextoNormal"/>
      </w:pPr>
    </w:p>
    <w:p w:rsidR="00163957" w:rsidRDefault="00163957" w:rsidP="00163957">
      <w:pPr>
        <w:pStyle w:val="TextoNormal"/>
      </w:pPr>
      <w:r>
        <w:t xml:space="preserve">El artículo 21.1 es un desarrollo del art. 40.1 e) LSE según el cual los distribuidores, como titulares de las redes de distribución, vienen obligados a “proceder a la ampliación de las instalaciones de distribución cuando así sea necesario para atender nuevas demandas de suministro eléctrico en los términos que se establezcan reglamentariamente”. Sobre este precepto legal nos pronunciamos en la STC 32/2016, FJ 9, indicando que “se trata de una obligación que se conecta con el principio básico de la garantía del suministro eléctrico o, lo que es lo mismo, con la “finalidad de garantizar el suministro de energía eléctrica, y de adecuarlo a las necesidades de los consumidores en términos de seguridad, calidad, eficiencia, objetividad, transparencia y al mínimo coste” que proclama el art. 1 LSE. Atendiendo a su relación con dicho principio así como al carácter técnico de la materia de que se trata hemos de concluir que nos encontramos en un ámbito en el que es posible la colaboración reglamentaria, sin que esa remisión vulnere las competencias autonómicas y sin que eso </w:t>
      </w:r>
      <w:r>
        <w:lastRenderedPageBreak/>
        <w:t>signifique, en este momento, pronunciamiento alguno acerca del contenido de esa eventual regulación”.</w:t>
      </w:r>
    </w:p>
    <w:p w:rsidR="00163957" w:rsidRDefault="00163957" w:rsidP="00163957">
      <w:pPr>
        <w:pStyle w:val="TextoNormal"/>
      </w:pPr>
    </w:p>
    <w:p w:rsidR="00163957" w:rsidRDefault="00163957" w:rsidP="00163957">
      <w:pPr>
        <w:pStyle w:val="TextoNormal"/>
      </w:pPr>
      <w:r>
        <w:t xml:space="preserve">El precepto vincula la extensión de las redes de distribución con dos conceptos. El primero es el que denomina “Extensión natural de las redes de distribución”, en relación con las infraestructuras necesarias para atender los nuevos suministros o la ampliación de los existentes, que respondan al crecimiento vegetativo de la demanda y el segundo, las “Instalaciones de nueva extensión de red”, relativas a las instalaciones o infraestructuras de red que sea necesario realizar para la atención de solicitudes de nuevos suministros o ampliación de los existentes, que no respondan a crecimientos vegetativos de la demanda. A su vez, una vez definidos los dos supuestos en los que procede la extensión de la red, la norma reglamentaria remite a una orden ministerial la determinación de los dos aspectos sobre los que pivota dicha extensión, el crecimiento vegetativo y el aumento relevante en la potencia del elemento a reforzar. </w:t>
      </w:r>
    </w:p>
    <w:p w:rsidR="00163957" w:rsidRDefault="00163957" w:rsidP="00163957">
      <w:pPr>
        <w:pStyle w:val="TextoNormal"/>
      </w:pPr>
    </w:p>
    <w:p w:rsidR="00163957" w:rsidRDefault="00163957" w:rsidP="00163957">
      <w:pPr>
        <w:pStyle w:val="TextoNormal"/>
      </w:pPr>
      <w:r>
        <w:t xml:space="preserve">Para desestimar la queja relativa a la ausencia de referencia a la normativa autonómica basta la mención a la doctrina de la STC 32/2016, FJ 9, en la que descartamos una tacha similar señalando que “no puede ser estimada pues el hecho de que no se recoja en el precepto una cláusula de salvaguarda como la reclamada no lo vicia de inconstitucionalidad dada la innecesariedad de la previsión expresa de este tipo de cláusulas”. </w:t>
      </w:r>
    </w:p>
    <w:p w:rsidR="00163957" w:rsidRDefault="00163957" w:rsidP="00163957">
      <w:pPr>
        <w:pStyle w:val="TextoNormal"/>
      </w:pPr>
    </w:p>
    <w:p w:rsidR="00163957" w:rsidRDefault="00163957" w:rsidP="00163957">
      <w:pPr>
        <w:pStyle w:val="TextoNormal"/>
      </w:pPr>
      <w:r>
        <w:t>Asimismo, a la vista de su tenor, es fácil concluir que el precepto no excluye la intervención autonómica. En cuanto que exige que la extensión natural de las redes de distribución de las empresas distribuidoras se reflejen en los planes de inversión, hace que se relacione directamente con el art. 40.1 h) LSE, sobre el que nos pronunciamos en la STC 32/2016, FJ 9, en relación con la intervención autonómica en la aprobación de dichos planes respecto a las inversiones previstas que afecten a su territorio. Asimismo precisa de la aplicación autonómica, en cuanto que reconoce las competencias de las Comunidades Autónomas para dirimir los conflictos derivados de su aplicación. Así, prevé que, en caso de discrepancia entre el solicitante del suministro y el distribuidor, “resolverá el órgano competente de la Administración Pública correspondiente” [artículo 21.1 b), segundo párrafo]. Igualmente prescribe que, si las nuevas instalaciones de extensión de redes pueden ser ejecutadas por diversos distribuidores existentes en la zona, “la Administración Pública competente determinará, siguiendo criterios de mínimo coste, con carácter previo a su ejecución, cuál de ellos debe asumir dichas instalaciones como activos de su red de distribución” [artículo 21.1 b), tercer párrafo].</w:t>
      </w:r>
    </w:p>
    <w:p w:rsidR="00163957" w:rsidRDefault="00163957" w:rsidP="00163957">
      <w:pPr>
        <w:pStyle w:val="TextoNormal"/>
      </w:pPr>
    </w:p>
    <w:p w:rsidR="00163957" w:rsidRDefault="00163957" w:rsidP="00163957">
      <w:pPr>
        <w:pStyle w:val="TextoNormal"/>
      </w:pPr>
      <w:r>
        <w:t>Consecuentemente, en atención a todo lo anteriormente expuesto, hemos de desestimar la impugnación del artículo 21.</w:t>
      </w:r>
    </w:p>
    <w:p w:rsidR="00163957" w:rsidRDefault="00163957" w:rsidP="00163957">
      <w:pPr>
        <w:pStyle w:val="TextoNormal"/>
      </w:pPr>
    </w:p>
    <w:p w:rsidR="00163957" w:rsidRDefault="00163957" w:rsidP="00163957">
      <w:pPr>
        <w:pStyle w:val="TextoNormal"/>
      </w:pPr>
      <w:r w:rsidRPr="00163957">
        <w:rPr>
          <w:rStyle w:val="NumeroAFNegritaCaracter"/>
        </w:rPr>
        <w:t>7</w:t>
      </w:r>
      <w:r>
        <w:t>. El Gobierno de la Generalitat de Cataluña impugna el artículo 22 que dispone:</w:t>
      </w:r>
    </w:p>
    <w:p w:rsidR="00163957" w:rsidRDefault="00163957" w:rsidP="00163957">
      <w:pPr>
        <w:pStyle w:val="TextoNormal"/>
      </w:pPr>
    </w:p>
    <w:p w:rsidR="00163957" w:rsidRDefault="00163957" w:rsidP="00163957">
      <w:pPr>
        <w:pStyle w:val="TextoNormal"/>
      </w:pPr>
      <w:r>
        <w:t>“Artículo 22. Procedimientos de operación de las redes de distribución</w:t>
      </w:r>
    </w:p>
    <w:p w:rsidR="00163957" w:rsidRDefault="00163957" w:rsidP="00163957">
      <w:pPr>
        <w:pStyle w:val="TextoNormal"/>
      </w:pPr>
    </w:p>
    <w:p w:rsidR="00163957" w:rsidRDefault="00163957" w:rsidP="00163957">
      <w:pPr>
        <w:pStyle w:val="TextoNormal"/>
      </w:pPr>
      <w:r>
        <w:t xml:space="preserve">1. Por resolución de la Secretaría de Estado de Energía se aprobarán los procedimientos de operación de las redes de distribución que serán de aplicación en todo el territorio español y tendrán efectos sobre el marco retributivo establecido por la Administración General del Estado. En la retribución de la actividad de distribución con cargo al sistema eléctrico se </w:t>
      </w:r>
      <w:r>
        <w:lastRenderedPageBreak/>
        <w:t>considerarán exclusivamente los costes que pudieran derivarse de la aplicación de los procedimientos de operación de distribución aprobados por la Secretaría de Estado de Energía.</w:t>
      </w:r>
    </w:p>
    <w:p w:rsidR="00163957" w:rsidRDefault="00163957" w:rsidP="00163957">
      <w:pPr>
        <w:pStyle w:val="TextoNormal"/>
      </w:pPr>
    </w:p>
    <w:p w:rsidR="00163957" w:rsidRDefault="00163957" w:rsidP="00163957">
      <w:pPr>
        <w:pStyle w:val="TextoNormal"/>
      </w:pPr>
      <w:r>
        <w:t>Estos procedimientos de operación de las redes de distribución serán propuestos a la Secretaría de Estado de Energía por la Comisión Nacional de los Mercados y la Competencia y abarcarán, los siguientes aspectos:</w:t>
      </w:r>
    </w:p>
    <w:p w:rsidR="00163957" w:rsidRDefault="00163957" w:rsidP="00163957">
      <w:pPr>
        <w:pStyle w:val="TextoNormal"/>
      </w:pPr>
    </w:p>
    <w:p w:rsidR="00163957" w:rsidRDefault="00163957" w:rsidP="00163957">
      <w:pPr>
        <w:pStyle w:val="TextoNormal"/>
      </w:pPr>
      <w:r>
        <w:t>a) Criterios de operación y planes y programación del mantenimiento de las redes de distribución.</w:t>
      </w:r>
    </w:p>
    <w:p w:rsidR="00163957" w:rsidRDefault="00163957" w:rsidP="00163957">
      <w:pPr>
        <w:pStyle w:val="TextoNormal"/>
      </w:pPr>
    </w:p>
    <w:p w:rsidR="00163957" w:rsidRDefault="00163957" w:rsidP="00163957">
      <w:pPr>
        <w:pStyle w:val="TextoNormal"/>
      </w:pPr>
      <w:r>
        <w:t>b) Planes de emergencia.</w:t>
      </w:r>
    </w:p>
    <w:p w:rsidR="00163957" w:rsidRDefault="00163957" w:rsidP="00163957">
      <w:pPr>
        <w:pStyle w:val="TextoNormal"/>
      </w:pPr>
    </w:p>
    <w:p w:rsidR="00163957" w:rsidRDefault="00163957" w:rsidP="00163957">
      <w:pPr>
        <w:pStyle w:val="TextoNormal"/>
      </w:pPr>
      <w:r>
        <w:t>c) Caracterización y previsión de la demanda y de la generación distribuida.</w:t>
      </w:r>
    </w:p>
    <w:p w:rsidR="00163957" w:rsidRDefault="00163957" w:rsidP="00163957">
      <w:pPr>
        <w:pStyle w:val="TextoNormal"/>
      </w:pPr>
    </w:p>
    <w:p w:rsidR="00163957" w:rsidRDefault="00163957" w:rsidP="00163957">
      <w:pPr>
        <w:pStyle w:val="TextoNormal"/>
      </w:pPr>
      <w:r>
        <w:t>d) Criterios de coordinación entre las distintas empresas distribuidoras, las empresas titulares de instalaciones de transporte y el operador del sistema sobre los planes de desarrollo de las redes de distribución.</w:t>
      </w:r>
    </w:p>
    <w:p w:rsidR="00163957" w:rsidRDefault="00163957" w:rsidP="00163957">
      <w:pPr>
        <w:pStyle w:val="TextoNormal"/>
      </w:pPr>
    </w:p>
    <w:p w:rsidR="00163957" w:rsidRDefault="00163957" w:rsidP="00163957">
      <w:pPr>
        <w:pStyle w:val="TextoNormal"/>
      </w:pPr>
      <w:r>
        <w:t>e) Procedimiento de solicitud y gestión de la información intercambiada entre los gestores de la red de distribución, el operador del sistema y el resto de agentes.</w:t>
      </w:r>
    </w:p>
    <w:p w:rsidR="00163957" w:rsidRDefault="00163957" w:rsidP="00163957">
      <w:pPr>
        <w:pStyle w:val="TextoNormal"/>
      </w:pPr>
    </w:p>
    <w:p w:rsidR="00163957" w:rsidRDefault="00163957" w:rsidP="00163957">
      <w:pPr>
        <w:pStyle w:val="TextoNormal"/>
      </w:pPr>
      <w:r>
        <w:t>2. Estos procedimientos de operación de las redes de distribución, tendrán carácter básico y se aplicarán en todo el territorio español.”</w:t>
      </w:r>
    </w:p>
    <w:p w:rsidR="00163957" w:rsidRDefault="00163957" w:rsidP="00163957">
      <w:pPr>
        <w:pStyle w:val="TextoNormal"/>
      </w:pPr>
    </w:p>
    <w:p w:rsidR="00163957" w:rsidRDefault="00163957" w:rsidP="00163957">
      <w:pPr>
        <w:pStyle w:val="TextoNormal"/>
      </w:pPr>
      <w:r>
        <w:t>Para la representación procesal del Gobierno de la Generalitat de Cataluña este precepto incurre en la misma vulneración que el artículo 8.4, en cuanto que impide que en la retribución de la actividad de distribución se consideren los costes derivados de la aplicación de la normativa autonómica y, además, articula una función ejecutiva de fijación del diseño de la red de distribución que correspondería a la Generalitat. El Abogado del Estado se ha opuesto a este planteamiento señalando que se trata de disposiciones administrativas de carácter general que definen los conceptos básicos y la metodología aplicable a la caracterización de la demanda de suministro eléctrico y de las infraestructuras de red de distribución asociadas a ese suministro que sean precisas para la correcta cobertura de la demanda, siendo determinantes para el cálculo de la retribución de la actividad de distribución. Se trata, por tanto, de una norma de limitación, determinación o concreción de los costes del sistema.</w:t>
      </w:r>
    </w:p>
    <w:p w:rsidR="00163957" w:rsidRDefault="00163957" w:rsidP="00163957">
      <w:pPr>
        <w:pStyle w:val="TextoNormal"/>
      </w:pPr>
    </w:p>
    <w:p w:rsidR="00163957" w:rsidRDefault="00163957" w:rsidP="00163957">
      <w:pPr>
        <w:pStyle w:val="TextoNormal"/>
      </w:pPr>
      <w:r>
        <w:t xml:space="preserve">La fijación uniforme de estos procedimientos de operación se justifica en razón de que los costes de la operación de las redes de distribución constituyen uno de los elementos que se toman en consideración para calcular la retribución de la actividad de distribución de acuerdo al principio de realización de la actividad al menor coste para el sistema eléctrico (art. 14.8 LSE), operación que debe realizarse, “mediante la aplicación de criterios homogéneos en todo el territorio español” (art. 14.3 LSE). Se garantiza así el principio de igualdad territorial en cuanto a la retribución de los distribuidores, para el nivel de calidad determinado por la normativa estatal. Sobre la naturaleza básica de la regulación del régimen económico ya hemos señalado que “el establecimiento del régimen económico del sector eléctrico ‘constituye uno de los aspectos fundamentales de su ordenación’ (STC 18/2011, FJ 8), así como que ‘la regulación de un régimen económico único para todo el territorio nacional en la materia que nos ocupa tiene naturaleza básica, al ser necesaria esa regulación para </w:t>
      </w:r>
      <w:r>
        <w:lastRenderedPageBreak/>
        <w:t>calcular la retribución de los distintos operadores que realizan las diferentes actividades destinadas al suministro eléctrico y para repercutir los costes sobre los consumidores’ [FJ 21 a)]” (STC 4/2013, FJ 10). Desde otra perspectiva, en la medida en que estos procedimientos buscan garantizar el adecuado funcionamiento de la red de distribución eléctrica se relacionan también con la continuidad y la calidad del suministro eléctrico de suerte que “constituyen un común normativo necesario para asegurar el principio de garantía del suministro de energía eléctrica a todos los demandantes del mismo, con la necesaria continuidad y calidad” (STC 4/2013, FJ 5).</w:t>
      </w:r>
    </w:p>
    <w:p w:rsidR="00163957" w:rsidRDefault="00163957" w:rsidP="00163957">
      <w:pPr>
        <w:pStyle w:val="TextoNormal"/>
      </w:pPr>
    </w:p>
    <w:p w:rsidR="00163957" w:rsidRDefault="00163957" w:rsidP="00163957">
      <w:pPr>
        <w:pStyle w:val="TextoNormal"/>
      </w:pPr>
      <w:r>
        <w:t>Frente a lo que afirma la demanda, dichos procedimientos no tienen naturaleza ejecutiva sino normativa lo que implica que, para que pueda considerarse conforme con el orden competencial, el precepto debe tener carácter de básico en la doble perspectiva formal y material. Desde una perspectiva material, la ya mencionada conexión directa entre los procedimientos de operación de las redes, los costes que generan y su retribución a cargo del sistema eléctrico así como su relación con la garantía del suministro, justifica el carácter básico de esta regulación. En el análisis de la vertiente formal “hay que partir de que en las materias de competencia compartida en las que, como ocurre en este caso, corresponde al Estado el establecimiento de las normas básicas y a las Comunidades Autónomas el desarrollo normativo y la ejecución de dichas bases, la fijación de las bases debe hacerse con el soporte de la ley formal siempre que sea posible, o, en todo caso, a través de norma reglamentaria del Gobierno que regule los aspectos centrales del régimen jurídico de la materia correspondiente” (STC 7/2016, de 21 de enero, FJ 6). De este modo, el precepto impugnado hace una llamada al desarrollo reglamentario para aprobar los procedimientos de operación de las redes de distribución, pero este desarrollo reglamentario de la Ley del sector eléctrico pretende llevarse a cabo por una resolución del Secretario de Estado de Energía, lo que, por su notoria insuficiencia de rango, no se ajusta a las exigencias formales que exige la doctrina constitucional (en el mismo sentido, STC 156/2011, de 18 de octubre, FJ 7).</w:t>
      </w:r>
    </w:p>
    <w:p w:rsidR="00163957" w:rsidRDefault="00163957" w:rsidP="00163957">
      <w:pPr>
        <w:pStyle w:val="TextoNormal"/>
      </w:pPr>
    </w:p>
    <w:p w:rsidR="00163957" w:rsidRDefault="00163957" w:rsidP="00163957">
      <w:pPr>
        <w:pStyle w:val="TextoNormal"/>
      </w:pPr>
      <w:r>
        <w:t>Por tanto, el inciso “por resolución de la Secretaría de Estado de Energía se aprobarán” del artículo 22.1 es contrario al orden constitucional de distribución de competencias y, por tanto, inconstitucional y nulo.</w:t>
      </w:r>
    </w:p>
    <w:p w:rsidR="00163957" w:rsidRDefault="00163957" w:rsidP="00163957">
      <w:pPr>
        <w:pStyle w:val="TextoNormal"/>
      </w:pPr>
    </w:p>
    <w:p w:rsidR="00163957" w:rsidRDefault="00163957" w:rsidP="00163957">
      <w:pPr>
        <w:pStyle w:val="TextoNormal"/>
      </w:pPr>
      <w:r w:rsidRPr="00163957">
        <w:rPr>
          <w:rStyle w:val="NumeroAFNegritaCaracter"/>
        </w:rPr>
        <w:t>8</w:t>
      </w:r>
      <w:r>
        <w:t>. La Letrada de la Generalitat de Cataluña controvierte los apartados 3; 4; 5, párrafos primero y segundo, y 7 del artículo 25, precepto dedicado a establecer “criterios para la determinación de los pagos por derechos de extensión”. Analizaremos en primer lugar la impugnación de los apartados 3; 4 y 5, párrafos primero y segundo, del artículo 25, pues el apartado 7 se impugna por una razón diferente.</w:t>
      </w:r>
    </w:p>
    <w:p w:rsidR="00163957" w:rsidRDefault="00163957" w:rsidP="00163957">
      <w:pPr>
        <w:pStyle w:val="TextoNormal"/>
      </w:pPr>
    </w:p>
    <w:p w:rsidR="00163957" w:rsidRDefault="00163957" w:rsidP="00163957">
      <w:pPr>
        <w:pStyle w:val="TextoNormal"/>
      </w:pPr>
      <w:r>
        <w:t>a) Los apartados 3; 4 y 5, párrafos primero y segundo, del artículo 25 se refieren al supuesto de instalaciones de nueva extensión necesarias para atender las solicitudes de nuevos suministros o ampliación de los existentes según la tensión o potencia instalada así como al procedimiento de la solicitud de instalación y su ejecución (requisitos del pliego de condiciones técnicas, condiciones del presupuesto de los trabajos necesarios, aceptación de los trabajos convenios de resarcimiento, obligaciones de cesión de instalaciones de nueva extensión de red).</w:t>
      </w:r>
    </w:p>
    <w:p w:rsidR="00163957" w:rsidRDefault="00163957" w:rsidP="00163957">
      <w:pPr>
        <w:pStyle w:val="TextoNormal"/>
      </w:pPr>
    </w:p>
    <w:p w:rsidR="00163957" w:rsidRDefault="00163957" w:rsidP="00163957">
      <w:pPr>
        <w:pStyle w:val="TextoNormal"/>
      </w:pPr>
      <w:r>
        <w:t xml:space="preserve">La demanda argumenta que estos preceptos establecen el procedimiento de la solicitud de la instalación y su ejecución, especificando las características del pliego de condiciones </w:t>
      </w:r>
      <w:r>
        <w:lastRenderedPageBreak/>
        <w:t>técnicas y presupuesto de forma detallada y completa cuando se trata de cuestiones que no integran en lo esencial el régimen económico de la distribución eléctrica. El Abogado del Estado ha alegado que esta regulación tiene por objeto armonizar la regulación de la actividad de distribución y su régimen económico, pues las obligaciones impuestas al distribuidor son la contrapartida de la retribución, con independencia de que se articule mediante aplicación de los derechos de extensión o mediante su satisfacción por el solicitante.</w:t>
      </w:r>
    </w:p>
    <w:p w:rsidR="00163957" w:rsidRDefault="00163957" w:rsidP="00163957">
      <w:pPr>
        <w:pStyle w:val="TextoNormal"/>
      </w:pPr>
    </w:p>
    <w:p w:rsidR="00163957" w:rsidRDefault="00163957" w:rsidP="00163957">
      <w:pPr>
        <w:pStyle w:val="TextoNormal"/>
      </w:pPr>
      <w:r>
        <w:t>El artículo 25 regula la retribución de instalaciones de nueva extensión (esto es, aquellas que no deben ser necesariamente costeadas por la empresa de distribución responsable de las mismas en la zona) para atender las solicitudes de nuevos suministros de energía eléctrica, diferenciando entre las instalaciones nuevas sobre suelo urbanizado y el resto de instalaciones de nueva extensión. La extensión se refiere a todas las infraestructuras eléctricas entre la red de distribución existente y el primer elemento propiedad del solicitante que es preciso realizar al solicitar un nuevo suministro o ampliar la potencia de uno ya existente. En el caso de instalaciones sobre suelos urbanizados se aplican los denominados derechos de extensión, esto es, la contraprestación económica a pagar a la distribuidora por el solicitante de un nuevo suministro, o la ampliación de potencia de uno ya existente, como compensación por las instalaciones de nueva extensión de red que son responsabilidad de la empresa distribuidora. En el caso impugnado, referido al resto de instalaciones de nueva extensión que no se ubiquen en suelos urbanizados, no se cobran tales derechos de extensión ya que se trata de supuestos en los que las nuevas instalaciones responden a la atención de solicitudes de nuevos suministros o ampliación de los existentes y no a crecimientos vegetativos de la demanda, con lo que, conforme al artículo 25.2 “el coste será de cuenta de sus solicitantes, sin que proceda el cobro de derechos de extensión”. En todo caso tampoco se reconocen directamente en la retribución correspondiente a cada distribuidor, sino que son los solicitantes los que asumen su coste.</w:t>
      </w:r>
    </w:p>
    <w:p w:rsidR="00163957" w:rsidRDefault="00163957" w:rsidP="00163957">
      <w:pPr>
        <w:pStyle w:val="TextoNormal"/>
      </w:pPr>
    </w:p>
    <w:p w:rsidR="00163957" w:rsidRDefault="00163957" w:rsidP="00163957">
      <w:pPr>
        <w:pStyle w:val="TextoNormal"/>
      </w:pPr>
      <w:r>
        <w:t>Esta regulación trae causa de lo dispuesto en el art. 14.9 LSE, según el cual “Reglamentariamente por el Gobierno se establecerá el régimen económico de los derechos por acometidas, enganches, verificación de las instalaciones, actuaciones sobre los equipos de control y medida, alquiler de aparatos de medida, realización de estudios de conexión y acceso a las redes y demás actuaciones necesarias para atender los requerimientos de los usuarios”. Por su parte, de acuerdo con el art. 38 LSE los distribuidores son los gestores de las redes de distribución que operen. Como gestores de las redes son responsables de su explotación, mantenimiento y desarrollo, así como, en su caso, de sus interconexiones con otras redes, y de garantizar que su red tenga capacidad para asumir, a largo plazo, una demanda razonable de distribución de electricidad. El art. 40 LSE regula las obligaciones de las empresas distribuidoras, entre las que destacan “analizar las solicitudes de conexión a las redes de distribución que gestionen y denegar o, en su caso, condicionar, la conexión a las mismas de acuerdo a los criterios que se establezcan reglamentariamente previa audiencia de las Comunidades Autónomas y Ciudades de Ceuta y Melilla. A estos efectos, deberán atender todas las solicitudes en condiciones de igualdad” [art. 40.1 c)] así como la proceder a la ampliación de las instalaciones de distribución cuando así sea necesario para atender nuevas demandas de suministro eléctrico, sin perjuicio de lo que resulte de la aplicación del régimen establecido para las acometidas eléctricas [art. 40.1 e)]. En relación con ello, los arts. 38.2 y 40.2, último inciso de la Ley del sector eléctrico remiten a un ulterior desarrollo reglamentario las condiciones y procedimientos acerca de las acometidas eléctricas y el enganche de nuevos usuarios a las redes de distribución.</w:t>
      </w:r>
    </w:p>
    <w:p w:rsidR="00163957" w:rsidRDefault="00163957" w:rsidP="00163957">
      <w:pPr>
        <w:pStyle w:val="TextoNormal"/>
      </w:pPr>
    </w:p>
    <w:p w:rsidR="00163957" w:rsidRDefault="00163957" w:rsidP="00163957">
      <w:pPr>
        <w:pStyle w:val="TextoNormal"/>
      </w:pPr>
      <w:r>
        <w:t>La justificación de esta regulación se encuentra en que el distribuidor es el responsable del correcto dimensionamiento de la red existente, para lo que ha de tener en cuenta las particulares características de las instalaciones en el lugar donde ha de prestarse el nuevo servicio, ya que, como consecuencia del sistema de red única y monopolio natural propio de la distribución eléctrica, el suministro a través de una red de distribución no es sustituible por el suministro a través de otra red. De acuerdo con ello, estas previsiones responden a que la extensión de la red, además de responsabilidad última de la empresa distribuidora, guarda relación con el régimen económico del sector y, en concreto, con la retribución de la actividad. Así, los ingresos de las empresas distribuidoras comprenderán, por una parte, los ingresos correspondientes a la retribución reglada de la actividad de distribución en desarrollo del art. 14 LSE y, por otra, los ingresos provenientes de terceros, en concepto, entre otros, de derechos de acometida o, como es el caso, de ingresos por ejecución de instalaciones a precio libre. A la hora de determinar la retribución correspondiente a cada distribuidora, no se toman en consideración los ingresos obtenidos de terceros, como son los aquí contemplados que derivan de la ejecución de obras financiadas por el solicitante, en cuanto que la distribuidora no está obligada a costearlas ni, son, por tanto, retribuidas directamente con cargo al sistema. Por tanto, la norma que aquí examinamos no es sino manifestación de uno de los criterios que informa la retribución de la actividad, como es que los ingresos obtenidos a partir de terceros, han de ser descontados a la hora de determinar el importe que ha de ser objeto de retribución (artículo 13.2, en relación con el art. 14.9 LSE), tal como confirman los no impugnados arts. 11.2 y 12.3 del Real Decreto 1048/2013. Por dicha razón la norma dispone un régimen homogéneo respecto a las instalaciones o infraestructuras de red que sea necesario realizar y a las obligaciones de las empresas distribuidoras han de asumir en tanto que responsables de garantizar que su red tenga capacidad para asumir, a largo plazo, una demanda razonable de distribución de electricidad.</w:t>
      </w:r>
    </w:p>
    <w:p w:rsidR="00163957" w:rsidRDefault="00163957" w:rsidP="00163957">
      <w:pPr>
        <w:pStyle w:val="TextoNormal"/>
      </w:pPr>
    </w:p>
    <w:p w:rsidR="00163957" w:rsidRDefault="00163957" w:rsidP="00163957">
      <w:pPr>
        <w:pStyle w:val="TextoNormal"/>
      </w:pPr>
      <w:r>
        <w:t>En suma, la relación con el diseño del sistema de retribución de la actividad de distribución eléctrica, justifica que el Estado haya adoptado una regulación como la impugnada, que, por lo demás, es materialmente coincidente con su antecedente, el art. 9.2 del Real Decreto 222/2008, de 15 de febrero, que no había generado controversia competencial alguna.</w:t>
      </w:r>
    </w:p>
    <w:p w:rsidR="00163957" w:rsidRDefault="00163957" w:rsidP="00163957">
      <w:pPr>
        <w:pStyle w:val="TextoNormal"/>
      </w:pPr>
    </w:p>
    <w:p w:rsidR="00163957" w:rsidRDefault="00163957" w:rsidP="00163957">
      <w:pPr>
        <w:pStyle w:val="TextoNormal"/>
      </w:pPr>
      <w:r>
        <w:t>b) El apartado 7 del artículo 25 dispone que “con carácter anual, las empresas distribuidoras a quienes hayan sido cedidas instalaciones destinadas a más de un consumidor deberán informar a la Dirección General de Política Energética y Minas y a la Comisión Nacional de los Mercados y la Competencia, de las instalaciones de distribución que han sido objeto de cesión y de las condiciones de la misma”. El reproche que se formula a este precepto es que hubiera resultado necesario prever que esta información también fuera proporcionada a los órganos autonómicos competentes, tacha que es rechazada por el Abogado del Estado.</w:t>
      </w:r>
    </w:p>
    <w:p w:rsidR="00163957" w:rsidRDefault="00163957" w:rsidP="00163957">
      <w:pPr>
        <w:pStyle w:val="TextoNormal"/>
      </w:pPr>
    </w:p>
    <w:p w:rsidR="00163957" w:rsidRDefault="00163957" w:rsidP="00163957">
      <w:pPr>
        <w:pStyle w:val="TextoNormal"/>
      </w:pPr>
      <w:r>
        <w:t xml:space="preserve">La impugnación debe ser desestimada. En primer lugar, nada obsta a que la obligación pueda también incluirse en la normativa autonómica y, en segundo lugar, esta exigencia de información se relaciona con las competencias estatales sobre el régimen económico de la actividad de distribución, tal como se desprende del art. 13.2 del Real Decreto 1048/2013 al disponer que: “Aquellas instalaciones que deban ser construidas o financiadas por consumidores o productores de energía eléctrica y hayan sido o hubieran debido ser cedidas o </w:t>
      </w:r>
      <w:r>
        <w:lastRenderedPageBreak/>
        <w:t>financiadas de acuerdo a la normativa estatal a la red de distribución, sólo percibirán retribución en concepto de operación y mantenimiento, considerándose nulo su valor de inversión a efectos retributivos”.</w:t>
      </w:r>
    </w:p>
    <w:p w:rsidR="00163957" w:rsidRDefault="00163957" w:rsidP="00163957">
      <w:pPr>
        <w:pStyle w:val="TextoNormal"/>
      </w:pPr>
    </w:p>
    <w:p w:rsidR="00163957" w:rsidRDefault="00163957" w:rsidP="00163957">
      <w:pPr>
        <w:pStyle w:val="TextoNormal"/>
      </w:pPr>
      <w:r w:rsidRPr="00163957">
        <w:rPr>
          <w:rStyle w:val="NumeroAFNegritaCaracter"/>
        </w:rPr>
        <w:t>9</w:t>
      </w:r>
      <w:r>
        <w:t>. El siguiente precepto impugnado es el artículo 26.3 que dispone:</w:t>
      </w:r>
    </w:p>
    <w:p w:rsidR="00163957" w:rsidRDefault="00163957" w:rsidP="00163957">
      <w:pPr>
        <w:pStyle w:val="TextoNormal"/>
      </w:pPr>
    </w:p>
    <w:p w:rsidR="00163957" w:rsidRDefault="00163957" w:rsidP="00163957">
      <w:pPr>
        <w:pStyle w:val="TextoNormal"/>
      </w:pPr>
      <w:r>
        <w:t>“3. La empresa distribuidora, cuando haga uso del mencionado local deberá abonar al propietario una compensación que se establecerá por orden del Ministro de Industria, Energía y Turismo, previo acuerdo de la Comisión Delegada del Gobierno para Asuntos Económicos, a propuesta de la Comisión Nacional de los Mercados y la Competencia.</w:t>
      </w:r>
    </w:p>
    <w:p w:rsidR="00163957" w:rsidRDefault="00163957" w:rsidP="00163957">
      <w:pPr>
        <w:pStyle w:val="TextoNormal"/>
      </w:pPr>
    </w:p>
    <w:p w:rsidR="00163957" w:rsidRDefault="00163957" w:rsidP="00163957">
      <w:pPr>
        <w:pStyle w:val="TextoNormal"/>
      </w:pPr>
      <w:r>
        <w:t>En el caso de que la potencia del centro de transformación instalado sea superior a la solicitada, con la finalidad de suministrar energía a otros peticionarios, la empresa distribuidora abonará a la propiedad del inmueble en el que recaiga la instalación en el momento de la concesión de la autorización de explotación del centro de transformación, una cantidad que se establecerá por orden del Ministro de Industria, Energía y Turismo, previo acuerdo de la Comisión Delegada del Gobierno para Asuntos Económicos, a propuesta de la Comisión Nacional de los Mercados y la Competencia. Lo anterior será así mismo de aplicación ante cualquier ampliación de la potencia instalada en el referido centro de transformación. A estos efectos no se considerará la diferencia de potencias que pudiera existir entre la potencia solicitada y la potencia normalizada del transformador inmediatamente superior a la solicitada.”</w:t>
      </w:r>
    </w:p>
    <w:p w:rsidR="00163957" w:rsidRDefault="00163957" w:rsidP="00163957">
      <w:pPr>
        <w:pStyle w:val="TextoNormal"/>
      </w:pPr>
    </w:p>
    <w:p w:rsidR="00163957" w:rsidRDefault="00163957" w:rsidP="00163957">
      <w:pPr>
        <w:pStyle w:val="TextoNormal"/>
      </w:pPr>
      <w:r>
        <w:t>El art. 26, relativo a la “Reserva de uso de locales”, prevé que cuando se trate de suministros sobre los suelos en situación básica de urbanizados y la potencia solicitada para un local, edificio o agrupación de estos sea superior a 100 Kw, el peticionario de la instalación deba reservar un local para que la empresa distribuidora lo use posteriormente, de acuerdo con las condiciones técnicas reglamentarias y con las normas técnicas de la empresa distribuidora, aprobadas por la Administración pública competente, para la ubicación de un centro de transformación (art. 26.1 del Real Decreto). En dicho marco la Letrada de la Generalitat de Cataluña cuestiona que la compensación económica que la empresa distribuidora debe abonar a los propietarios de los locales cedidos para ubicar un centro transformador deba ser fijada por una Orden del Ministerio de Industria, Energía y Turismo, por cuanto considera que el valor de los locales cedidos no es uniforme en todo el Estado sino que varía en función de su ubicación, motivo por el cual esta valoración debería realizarla cada Comunidad Autónoma, a partir de unos criterios fijados por el Estado. Para el Abogado del Estado la fijación de la retribución por el uso del local se relaciona con las competencias estatales sobre el régimen económico del sector en la medida en que se refiere a un coste que ha de ser soportado por el distribuidor.</w:t>
      </w:r>
    </w:p>
    <w:p w:rsidR="00163957" w:rsidRDefault="00163957" w:rsidP="00163957">
      <w:pPr>
        <w:pStyle w:val="TextoNormal"/>
      </w:pPr>
    </w:p>
    <w:p w:rsidR="00163957" w:rsidRDefault="00163957" w:rsidP="00163957">
      <w:pPr>
        <w:pStyle w:val="TextoNormal"/>
      </w:pPr>
      <w:r>
        <w:t xml:space="preserve">Frente a lo que sostiene la Letrada de la Generalitat de Cataluña la norma no regula la valoración del local sino la compensación a abonar por su uso con la finalidad prevista en la norma. Ahora bien, la determinación de la cuantía concreta de dicha compensación es una tarea ejecutiva que no tiene naturaleza básica, en cuanto que no resulta imprescindible para garantizar el régimen económico único del sector, ni tampoco es precisa para salvaguardar la homogeneidad requerida en la definición del régimen común de uno de los sujetos que intervienen en el sistema eléctrico. En consecuencia, el inciso “que se establecerá por </w:t>
      </w:r>
      <w:r>
        <w:lastRenderedPageBreak/>
        <w:t>orden del Ministro de Industria, Energía y Turismo, previo acuerdo de la Comisión Delegada del Gobierno para Asuntos Económicos, a propuesta de la Comisión Nacional de los Mercados y la Competencia” del artículo 26.3 incurre en extralimitación competencial y es inconstitucional y nulo.</w:t>
      </w:r>
    </w:p>
    <w:p w:rsidR="00163957" w:rsidRDefault="00163957" w:rsidP="00163957">
      <w:pPr>
        <w:pStyle w:val="TextoNormal"/>
      </w:pPr>
    </w:p>
    <w:p w:rsidR="00163957" w:rsidRDefault="00163957" w:rsidP="00163957">
      <w:pPr>
        <w:pStyle w:val="TextoNormal"/>
      </w:pPr>
      <w:r w:rsidRPr="00163957">
        <w:rPr>
          <w:rStyle w:val="NumeroAFNegritaCaracter"/>
        </w:rPr>
        <w:t>10</w:t>
      </w:r>
      <w:r>
        <w:t>. Resta por examinar la impugnación de los dos preceptos que integran el capítulo VIII del Real Decreto 1048/2013, intitulado “Información y auditoría”.</w:t>
      </w:r>
    </w:p>
    <w:p w:rsidR="00163957" w:rsidRDefault="00163957" w:rsidP="00163957">
      <w:pPr>
        <w:pStyle w:val="TextoNormal"/>
      </w:pPr>
    </w:p>
    <w:p w:rsidR="00163957" w:rsidRDefault="00163957" w:rsidP="00163957">
      <w:pPr>
        <w:pStyle w:val="TextoNormal"/>
      </w:pPr>
      <w:r>
        <w:t>a) El primero de ellos, el artículo 31, dispone que, a los efectos de determinar la retribución de las empresas distribuidoras y de favorecer la adecuada supervisión y control de su actividad, estas deberán remitir periódicamente a la Dirección General de Política Energética y Minas y a la Comisión Nacional de los Mercados y la Competencia un informe sometido a auditoría. Esta información deberá incluir el valor de la inversión real hecha, una declaración de ayudas y aportaciones de fondos públicos o equivalentes, así como sobre las instalaciones cedidas y financiadas por terceros. Igualmente, el precepto prevé el deber de comunicar las instalaciones objeto de transmisión de titularidad o que causen baja, así como un inventario de cada una de las instalaciones en servicio, ya sean de alta o de baja tensión. Además, contiene una serie de reglas para enmendar los defectos observados en el proceso de presentación de la documentación y para facilitar el acceso informatizado a los registros, bases de datos y aplicaciones en poder de la Comisión Nacional de los Mercados y la Competencia por parte de la Dirección General de Política Energética y Minas.</w:t>
      </w:r>
    </w:p>
    <w:p w:rsidR="00163957" w:rsidRDefault="00163957" w:rsidP="00163957">
      <w:pPr>
        <w:pStyle w:val="TextoNormal"/>
      </w:pPr>
    </w:p>
    <w:p w:rsidR="00163957" w:rsidRDefault="00163957" w:rsidP="00163957">
      <w:pPr>
        <w:pStyle w:val="TextoNormal"/>
      </w:pPr>
      <w:r>
        <w:t xml:space="preserve">La Generalitat no controvierte las anteriores obligaciones de información sino que dicha información no se recabe a través de la Comunidad Autónoma, reconociendo expresamente que la Generalitat, al amparo de su competencia </w:t>
      </w:r>
      <w:r w:rsidRPr="00163957">
        <w:rPr>
          <w:i/>
        </w:rPr>
        <w:t>ex</w:t>
      </w:r>
      <w:r>
        <w:t xml:space="preserve"> art. 133 EAC, puede regular la obligación de que las empresas distribuidoras se la faciliten. Para el Abogado del Estado esta obligación de remisión de información se inserta en la competencia estatal sobre la regulación del régimen económico del sector.</w:t>
      </w:r>
    </w:p>
    <w:p w:rsidR="00163957" w:rsidRDefault="00163957" w:rsidP="00163957">
      <w:pPr>
        <w:pStyle w:val="TextoNormal"/>
      </w:pPr>
    </w:p>
    <w:p w:rsidR="00163957" w:rsidRDefault="00163957" w:rsidP="00163957">
      <w:pPr>
        <w:pStyle w:val="TextoNormal"/>
      </w:pPr>
      <w:r>
        <w:t>Sobre una cuestión similar ya se pronunció este Tribunal en la STC 223/2000, de 21 de septiembre, FJ 19, señalando que “no puede desconocerse el interés del Estado en disponer de la información a que se refiere la obligación impuesta en el precepto, toda vez que la misma puede resultarle imprescindible para poder ejercitar sus competencias de ordenación del sector energético. Siendo perfectamente posible y deseable el juego de mecanismos de colaboración y coordinación entre el Estado y la Generalidad de Cataluña en lo relativo al trasvase recíproco de información, lo cierto es que no puede, por principio, condicionarse de modo absoluto la recepción de la información por el Estado a que la misma se traslade a través de la Generalidad, ya que la función planificadora y ordenadora del Estado puede requerir en ocasiones la relación directa con las empresas del sector, pues, en caso contrario, el Estado no podría ejercer una competencia propia, como es la que ahora consideramos, de modo autónomo”.</w:t>
      </w:r>
    </w:p>
    <w:p w:rsidR="00163957" w:rsidRDefault="00163957" w:rsidP="00163957">
      <w:pPr>
        <w:pStyle w:val="TextoNormal"/>
      </w:pPr>
    </w:p>
    <w:p w:rsidR="00163957" w:rsidRDefault="00163957" w:rsidP="00163957">
      <w:pPr>
        <w:pStyle w:val="TextoNormal"/>
      </w:pPr>
      <w:r>
        <w:t xml:space="preserve">El artículo 31 se ajusta al anterior criterio por cuanto se limita a prescribir una serie de requerimientos de información relacionados con el régimen económico del sector, cuya definición corresponde al Estado. Es competencia estatal la determinación de la retribución de las empresas distribuidoras, y como es la Comisión Nacional de los Mercados y la Competencia la responsable de elaborar una propuesta previa sobre ella (arts. 6, 9 y 10 del Real </w:t>
      </w:r>
      <w:r>
        <w:lastRenderedPageBreak/>
        <w:t>Decreto 1048/2013), la norma dispone que sean éstos los receptores de la información necesaria para el cálculo, supervisión y control de la retribución asignada a cada empresa distribuidora. Por tanto, en la medida en que la información solicitada se relaciona directamente con una indiscutida competencia estatal, la obligación de remitirla no vulnera el orden constitucional de distribución de competencias.</w:t>
      </w:r>
    </w:p>
    <w:p w:rsidR="00163957" w:rsidRDefault="00163957" w:rsidP="00163957">
      <w:pPr>
        <w:pStyle w:val="TextoNormal"/>
      </w:pPr>
    </w:p>
    <w:p w:rsidR="00163957" w:rsidRDefault="00163957" w:rsidP="00163957">
      <w:pPr>
        <w:pStyle w:val="TextoNormal"/>
      </w:pPr>
      <w:r>
        <w:t>Con todo, es evidente que ello no obsta para que la Generalitat, en el marco de la regulación sobre distribución de la actividad de energía, pueda establecer las disposiciones necesarias para requerir la información que considere necesaria para el ejercicio de sus competencias reconocidas en el art. 133 EAC.</w:t>
      </w:r>
    </w:p>
    <w:p w:rsidR="00163957" w:rsidRDefault="00163957" w:rsidP="00163957">
      <w:pPr>
        <w:pStyle w:val="TextoNormal"/>
      </w:pPr>
    </w:p>
    <w:p w:rsidR="00163957" w:rsidRDefault="00163957" w:rsidP="00163957">
      <w:pPr>
        <w:pStyle w:val="TextoNormal"/>
      </w:pPr>
      <w:r>
        <w:t>b) El artículo 32 faculta al Director General de Política Energética y Minas para establecer unos criterios homogéneos a seguir en la elaboración de la auditoría externa a que se refiere el artículo 31.1. Asimismo, prevé que la Comisión Nacional de los Mercados y la Competencia pueda proponer un procedimiento de auditoría diferenciado para las empresas distribuidoras con menos de 100.000 clientes, que deberá aprobarse por resolución de la citada Dirección General; que el pago de los servicios de la empresa auditora deba ser sufragado por las empresas auditadas, y que están exentas de esta obligación las empresas que durante el año anterior perciban una retribución inferior a dos millones de euros. Finalmente, también prevé la obligación de las distribuidoras de remitir una declaración responsable de la veracidad de los datos aportados, así como que la Comisión Nacional de los Mercados y la Competencia, o el órgano que tenga atribuida la competencia de inspección, deberá realizar las inspecciones necesarias para comprobar la exactitud de la información aportada, al menos una vez durante cada periodo regulatorio.</w:t>
      </w:r>
    </w:p>
    <w:p w:rsidR="00163957" w:rsidRDefault="00163957" w:rsidP="00163957">
      <w:pPr>
        <w:pStyle w:val="TextoNormal"/>
      </w:pPr>
    </w:p>
    <w:p w:rsidR="00163957" w:rsidRDefault="00163957" w:rsidP="00163957">
      <w:pPr>
        <w:pStyle w:val="TextoNormal"/>
      </w:pPr>
      <w:r>
        <w:t>La Letrada autonómica aduce que no se prevé una consulta a las Comunidades Autónomas donde se encuentran emplazadas las empresas distribuidoras que han de elaborar ese informe, a fin de que puedan incluir criterios específicos para su ámbito territorial que deban ser tenidos en cuenta en el informe de auditoría externa. Para el Abogado del Estado es una previsión que guarda relación con el artículo 31 y, al igual que aquél, se dicta en el ejercicio de la competencia estatal sobre el régimen económico del sector.</w:t>
      </w:r>
    </w:p>
    <w:p w:rsidR="00163957" w:rsidRDefault="00163957" w:rsidP="00163957">
      <w:pPr>
        <w:pStyle w:val="TextoNormal"/>
      </w:pPr>
    </w:p>
    <w:p w:rsidR="00163957" w:rsidRDefault="00163957" w:rsidP="00163957">
      <w:pPr>
        <w:pStyle w:val="TextoNormal"/>
      </w:pPr>
      <w:r>
        <w:t>Se trata de un precepto relativo al régimen económico del sector eléctrico, puesto que la información requerida, consistente en un informe de auditoría externa, se relaciona con la aplicación del sistema retributivo de la actividad de distribución. Es el Estado quien ha de fijar las condiciones para que esta información adopte la forma más adecuada, esto es, los criterios homogéneos que deben seguirse para elaborarla y remitirla. Con ello no se excluye, sin embargo, que la Generalitat pueda imponer normativamente a las empresas distribuidoras obligaciones informativas o de auditoría sobre aquellos aspectos de su actividad vinculados al ámbito de sus competencias.</w:t>
      </w:r>
    </w:p>
    <w:p w:rsidR="00163957" w:rsidRDefault="00163957" w:rsidP="00163957">
      <w:pPr>
        <w:pStyle w:val="TextoNormal"/>
      </w:pPr>
    </w:p>
    <w:p w:rsidR="00163957" w:rsidRDefault="00163957" w:rsidP="00163957">
      <w:pPr>
        <w:pStyle w:val="TextoNormal"/>
      </w:pPr>
      <w:r>
        <w:t>Consecuentemente, se desestima la impugnación del artículo 32.</w:t>
      </w:r>
    </w:p>
    <w:p w:rsidR="00163957" w:rsidRDefault="00163957" w:rsidP="00163957">
      <w:pPr>
        <w:pStyle w:val="TextoNormal"/>
      </w:pPr>
    </w:p>
    <w:p w:rsidR="00163957" w:rsidRDefault="00163957" w:rsidP="00163957">
      <w:pPr>
        <w:pStyle w:val="TextoNormal"/>
      </w:pPr>
      <w:r w:rsidRPr="00163957">
        <w:rPr>
          <w:rStyle w:val="NumeroAFNegritaCaracter"/>
        </w:rPr>
        <w:t>11</w:t>
      </w:r>
      <w:r>
        <w:t xml:space="preserve">. Por último, la impugnación de la disposición final primera que enuncia los títulos competenciales que habilitan al Estado para establecer la regulación cuestionada del Real Decreto 1048/2013, debe resolverse en consonancia con las conclusiones alcanzadas en los anteriores fundamentos jurídicos. Por tanto, incurre en extralimitación competencial, en </w:t>
      </w:r>
      <w:r>
        <w:lastRenderedPageBreak/>
        <w:t xml:space="preserve">cuanto que califica de básicos </w:t>
      </w:r>
      <w:r w:rsidRPr="00163957">
        <w:rPr>
          <w:i/>
        </w:rPr>
        <w:t>ex</w:t>
      </w:r>
      <w:r>
        <w:t xml:space="preserve"> arts. 149.1.13 y 149.1.25 CE, los incisos que han sido declarados inconstitucionales en la presente Sentencia.</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parcialmente el presente conflicto positivo de competencia y, en consecuencia, declarar la inconstitucionalidad y nulidad del inciso “Por resolución de la Secretaría de Estado de Energía se aprobarán” del artículo 22.1 y del inciso “que se establecerá por orden del Ministro de Industria, Energía y Turismo, previo acuerdo de la Comisión Delegada del Gobierno para Asuntos Económicos, a propuesta de la Comisión Nacional de los Mercados y la Competencia” del art. 26.3 del Real Decreto 1048/2013, de 27 de diciembre, por el que se establece la metodología para el cálculo de la retribución de la actividad de distribución de energía eléctrica.</w:t>
      </w:r>
    </w:p>
    <w:p w:rsidR="00163957" w:rsidRDefault="00163957" w:rsidP="00163957">
      <w:pPr>
        <w:pStyle w:val="TextoNormal"/>
      </w:pPr>
    </w:p>
    <w:p w:rsidR="00163957" w:rsidRDefault="00163957" w:rsidP="00163957">
      <w:pPr>
        <w:pStyle w:val="TextoNormal"/>
      </w:pPr>
      <w:r>
        <w:t>2º Declarar que la disposición final primera del Real Decreto 1048/2013 es contraria al orden constitucional de distribución de competencias en los términos del fundamento jurídico 11.</w:t>
      </w:r>
    </w:p>
    <w:p w:rsidR="00163957" w:rsidRDefault="00163957" w:rsidP="00163957">
      <w:pPr>
        <w:pStyle w:val="TextoNormal"/>
      </w:pPr>
    </w:p>
    <w:p w:rsidR="00163957" w:rsidRDefault="00163957" w:rsidP="00163957">
      <w:pPr>
        <w:pStyle w:val="TextoNormal"/>
      </w:pPr>
      <w:r>
        <w:t>3º Desestimar el conflicto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veintitrés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24" w:name="SENTENCIA_2016_121"/>
      <w:r>
        <w:lastRenderedPageBreak/>
        <w:t>SENTENCIA 121/2016, de 23 de junio de 2016</w:t>
      </w:r>
    </w:p>
    <w:bookmarkEnd w:id="124"/>
    <w:p w:rsidR="00163957" w:rsidRDefault="00163957" w:rsidP="00163957">
      <w:pPr>
        <w:pStyle w:val="TtuloResolucin"/>
      </w:pPr>
      <w:r>
        <w:t>Pleno</w:t>
      </w:r>
    </w:p>
    <w:p w:rsidR="00163957" w:rsidRDefault="00163957" w:rsidP="00163957">
      <w:pPr>
        <w:pStyle w:val="TtuloBOE"/>
      </w:pPr>
      <w:r>
        <w:t>(BOE núm. 181, de 28 de julio de 2016)</w:t>
      </w:r>
    </w:p>
    <w:p w:rsidR="00163957" w:rsidRDefault="00163957" w:rsidP="00163957">
      <w:pPr>
        <w:pStyle w:val="TextoNormalCentrado"/>
      </w:pPr>
      <w:r>
        <w:t>ECLI:ES:TC:2016:121</w:t>
      </w:r>
    </w:p>
    <w:p w:rsidR="00163957" w:rsidRDefault="00163957" w:rsidP="00163957">
      <w:pPr>
        <w:pStyle w:val="TextoNormalCentrado"/>
      </w:pPr>
    </w:p>
    <w:p w:rsidR="00163957" w:rsidRDefault="00163957" w:rsidP="00163957">
      <w:pPr>
        <w:pStyle w:val="SntesisDescriptiva"/>
      </w:pPr>
      <w:r>
        <w:t>Cuestión de inconstitucionalidad 6244-2014. Planteada por la Sala de lo Contencioso-Administrativo del Tribunal Supremo en relación con la disposición adicional trigésima primera de la Ley 35/2006, de 28 de noviembre, del impuesto sobre la renta de las personas físicas y de modificación parcial de las Leyes de los impuestos sobre sociedades, sobre la renta de no residentes y sobre el patrimonio, incorporada por la disposición final cuadragésima novena, apartado primero, de la Ley 2/2011, de 4 de marzo, de economía sostenible.</w:t>
      </w:r>
    </w:p>
    <w:p w:rsidR="00163957" w:rsidRDefault="00163957" w:rsidP="00163957">
      <w:pPr>
        <w:pStyle w:val="SntesisDescriptiva"/>
      </w:pPr>
    </w:p>
    <w:p w:rsidR="00163957" w:rsidRDefault="00163957" w:rsidP="00163957">
      <w:pPr>
        <w:pStyle w:val="SntesisAnaltica"/>
      </w:pPr>
      <w:r>
        <w:t>Principio de seguridad jurídica: nulidad del precepto legal que dota de una retroactividad máxima a la regulación del régimen fiscal de los rendimientos derivados del ejercicio de opciones de compra sobre acciones.</w:t>
      </w:r>
    </w:p>
    <w:p w:rsidR="00163957" w:rsidRDefault="00163957" w:rsidP="00163957">
      <w:pPr>
        <w:pStyle w:val="SntesisAnaltica"/>
      </w:pPr>
    </w:p>
    <w:p w:rsidR="00163957" w:rsidRDefault="00163957" w:rsidP="00163957">
      <w:pPr>
        <w:pStyle w:val="Extracto"/>
      </w:pPr>
      <w:r>
        <w:t>1.</w:t>
      </w:r>
      <w:r>
        <w:tab/>
        <w:t>No se han constatado razones suficientes para justificar un grado de retroactividad como el examinado en este proceso, pues debe insistirse en que los efectos de la disposición cuestionada se retrotraen a casi siete años naturales, de manera que afecta incluso a ejercicios ya prescritos [FJ 6].</w:t>
      </w:r>
    </w:p>
    <w:p w:rsidR="00163957" w:rsidRDefault="00163957" w:rsidP="00163957">
      <w:pPr>
        <w:pStyle w:val="Extracto"/>
      </w:pPr>
    </w:p>
    <w:p w:rsidR="00163957" w:rsidRDefault="00163957" w:rsidP="00163957">
      <w:pPr>
        <w:pStyle w:val="Extracto"/>
      </w:pPr>
      <w:r>
        <w:t>2.</w:t>
      </w:r>
      <w:r>
        <w:tab/>
        <w:t>En los casos de retroactividad propia, la prohibición de retroactividad operaría plenamente, de modo que debe examinarse si concurren exigencias cualificadas del bien común (SSTC 176/2011, 126/1987, 197/1922, 173/1996, 182/1997) [FJ 4].</w:t>
      </w:r>
    </w:p>
    <w:p w:rsidR="00163957" w:rsidRDefault="00163957" w:rsidP="00163957">
      <w:pPr>
        <w:pStyle w:val="Extracto"/>
      </w:pPr>
    </w:p>
    <w:p w:rsidR="00163957" w:rsidRDefault="00163957" w:rsidP="00163957">
      <w:pPr>
        <w:pStyle w:val="Extracto"/>
      </w:pPr>
      <w:r>
        <w:t>3.</w:t>
      </w:r>
      <w:r>
        <w:tab/>
        <w:t>Las invocaciones genéricas a la crisis financiera no puede tener virtualidad alguna, por sí mismas, para admitir el establecimiento de una medida con el grado de retroactividad como la que aquí se cuestiona [FJ 5].</w:t>
      </w:r>
    </w:p>
    <w:p w:rsidR="00163957" w:rsidRDefault="00163957" w:rsidP="00163957">
      <w:pPr>
        <w:pStyle w:val="Extracto"/>
      </w:pPr>
    </w:p>
    <w:p w:rsidR="00163957" w:rsidRDefault="00163957" w:rsidP="00163957">
      <w:pPr>
        <w:pStyle w:val="Extracto"/>
      </w:pPr>
      <w:r>
        <w:t>4.</w:t>
      </w:r>
      <w:r>
        <w:tab/>
        <w:t>Aunque la retribución mediante opciones sobre acciones pueda emplearse para eludir impuestos, no es razón suficiente para avalar una modificación retroactiva e indiscriminada de su régimen; dado que cualquier instrumento o negocio jurídico puede ser empleado para ese fin, ello serviría para admitir cualquier medida retroactiva [FJ 6].</w:t>
      </w:r>
    </w:p>
    <w:p w:rsidR="00163957" w:rsidRDefault="00163957" w:rsidP="00163957">
      <w:pPr>
        <w:pStyle w:val="Extracto"/>
      </w:pPr>
    </w:p>
    <w:p w:rsidR="00163957" w:rsidRDefault="00163957" w:rsidP="00163957">
      <w:pPr>
        <w:pStyle w:val="Extracto"/>
      </w:pPr>
      <w:r>
        <w:t>5.</w:t>
      </w:r>
      <w:r>
        <w:tab/>
        <w:t>El hecho de que la modificación que ahora se regula en una ley hubiera estado antes en una norma reglamentaria no justifica la retroactividad: de un lado, porque cuando se trata de una retroactividad de grado máximo, la previsibilidad no forma parte del análisis de su constitucionalidad; y, del otro, porque el proceso constitucional sólo puede ceñirse a la disposición de rango legal que se cuestiona, correspondiéndole al Tribunal Supremo pronunciarse sobre la norma reglamentaria [FJ 6].</w:t>
      </w:r>
    </w:p>
    <w:p w:rsidR="00163957" w:rsidRDefault="00163957" w:rsidP="00163957">
      <w:pPr>
        <w:pStyle w:val="Extracto"/>
      </w:pPr>
    </w:p>
    <w:p w:rsidR="00163957" w:rsidRDefault="00163957" w:rsidP="00163957">
      <w:pPr>
        <w:pStyle w:val="Extracto"/>
      </w:pPr>
      <w:r>
        <w:t>6.</w:t>
      </w:r>
      <w:r>
        <w:tab/>
        <w:t xml:space="preserve">Aunque el precepto cuestionado no se encuentra ya en vigor, pues fue objeto de modificación legislativa, lo relevante es que la norma que se cuestione resulte efectivamente aplicable en el proceso </w:t>
      </w:r>
      <w:r w:rsidRPr="00163957">
        <w:rPr>
          <w:i/>
        </w:rPr>
        <w:t xml:space="preserve">a quo </w:t>
      </w:r>
      <w:r>
        <w:t>y que de su validez dependa la decisión a adoptar en éste (SSTC 255/2004, 116/2009, 73/2014, 83/2015, 25/2016) [FJ 2].</w:t>
      </w:r>
    </w:p>
    <w:p w:rsidR="00163957" w:rsidRDefault="00163957" w:rsidP="00163957">
      <w:pPr>
        <w:pStyle w:val="Extracto"/>
      </w:pPr>
    </w:p>
    <w:p w:rsidR="00163957" w:rsidRDefault="00163957" w:rsidP="00163957">
      <w:pPr>
        <w:pStyle w:val="Extracto"/>
      </w:pPr>
      <w:r>
        <w:lastRenderedPageBreak/>
        <w:t>7.</w:t>
      </w:r>
      <w:r>
        <w:tab/>
        <w:t>Se afirma que la norma aplicable al procedimiento en el que se plantea la cuestión es la redacción original de modo que, estando adecuadamente razonado el juicio de aplicabilidad y relevancia, el enjuiciamiento habrá de referirse a la redacción original, sin tomar en consideración las modificaciones posteriores [FJ 2].</w:t>
      </w:r>
    </w:p>
    <w:p w:rsidR="00163957" w:rsidRDefault="00163957" w:rsidP="00163957">
      <w:pPr>
        <w:pStyle w:val="Extracto"/>
      </w:pPr>
    </w:p>
    <w:p w:rsidR="00163957" w:rsidRDefault="00163957" w:rsidP="00163957">
      <w:pPr>
        <w:pStyle w:val="Extracto"/>
      </w:pPr>
      <w:r>
        <w:t>8.</w:t>
      </w:r>
      <w:r>
        <w:tab/>
        <w:t>La nulidad del precepto cuestionado no tiene efecto para el ejercicio de 2011, ya que en éste la retroactividad es impropia y la medida previsible (STC 182/1997) [FJ 6].</w:t>
      </w:r>
    </w:p>
    <w:p w:rsidR="00163957" w:rsidRDefault="00163957" w:rsidP="00163957">
      <w:pPr>
        <w:pStyle w:val="Extracto"/>
      </w:pPr>
    </w:p>
    <w:p w:rsidR="00163957" w:rsidRDefault="00163957" w:rsidP="00163957">
      <w:pPr>
        <w:pStyle w:val="Extracto"/>
      </w:pPr>
      <w:r>
        <w:t>9.</w:t>
      </w:r>
      <w:r>
        <w:tab/>
        <w:t>Conforme al art. 40.1 de la LOTC, la presente Sentencia no permite revisar procesos ya fenecidos mediante sentencias con fuerza de cosa juzgada en los que se haya aplicado el precepto ahora declarado inconstitucional [FJ 6].</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6244-2014, planteada por la Sección Segunda de la Sala de lo Contencioso-Administrativo del Tribunal Supremo en relación con la disposición adicional trigésima primera de la Ley 35/2006, de 28 de noviembre, del impuesto sobre la renta de las personas físicas y de modificación parcial de las leyes de los impuestos sobre sociedades, sobre la renta de no residentes y sobre el patrimonio, incorporada por la disposición final cuadragésima novena, apartado primero, de la Ley 2/2011, de 4 de marzo, de economía sostenible, por posible vulneración del art. 9.3 de la Constitución. Han comparecido y formulado alegaciones la parte demandante en el proceso judicial, doña Mercedes García Bravo, el Abogado del Estado y el Fiscal General del Estado. Ha sido Ponente el Magistrado don Fernando Valdés Dal-Ré,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Mediante escrito registrado en este Tribunal el 17 de octubre de 2014, al que se acompaña el correspondiente Auto de 3 de septiembre del mismo año, la Sección Segunda de la Sala de lo Contencioso-Administrativo del Tribunal Supremo acuerda plantear cuestión de inconstitucionalidad en relación con la disposición adicional trigésima primera de la Ley </w:t>
      </w:r>
      <w:r>
        <w:lastRenderedPageBreak/>
        <w:t>35/2006, de 28 de noviembre, del impuesto sobre la renta de las personas físicas y de modificación parcial de las leyes de los impuestos sobre sociedades, sobre la renta de no residentes y sobre el patrimonio, incorporada por la disposición final cuadragésima novena, apartado primero, de la Ley 2/2011, de 4 de marzo, de economía sostenible, por posible vulneración del art. 9.3 de la Constitución.</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de hecho del planteamiento de la presente cuestión de inconstitucionalidad son los siguientes:</w:t>
      </w:r>
    </w:p>
    <w:p w:rsidR="00163957" w:rsidRDefault="00163957" w:rsidP="00163957">
      <w:pPr>
        <w:pStyle w:val="TextoNormal"/>
      </w:pPr>
    </w:p>
    <w:p w:rsidR="00163957" w:rsidRDefault="00163957" w:rsidP="00163957">
      <w:pPr>
        <w:pStyle w:val="TextoNormal"/>
      </w:pPr>
      <w:r>
        <w:t>a) Doña Mercedes García Bravo estuvo empleada por la sociedad francesa Gilead Sciences, S.A.R.L., trabajando en Francia, desde 1 de octubre de 2002 a 30 de septiembre de 2005. A partir del 1 de octubre de 2005 fue contratada por Gilead Sciences, S.L., residiendo en España desde ese momento. Fue despedida el 16 de febrero de 2007. Los días 14 y 15 de febrero de 2007, doña Mercedes García Bravo ejercitó 143.000 opciones sobre acciones de la sociedad radicada en Estados Unidos Gilead Sciences, Inc., matriz del grupo Gilead Sciences. De ese total, 126.100 opciones le habían sido concedidas durante los años 2002-2005 por el trabajo desempeñado en la sociedad francesa Gilead Sciences, S.A.R.L.</w:t>
      </w:r>
    </w:p>
    <w:p w:rsidR="00163957" w:rsidRDefault="00163957" w:rsidP="00163957">
      <w:pPr>
        <w:pStyle w:val="TextoNormal"/>
      </w:pPr>
    </w:p>
    <w:p w:rsidR="00163957" w:rsidRDefault="00163957" w:rsidP="00163957">
      <w:pPr>
        <w:pStyle w:val="TextoNormal"/>
      </w:pPr>
      <w:r>
        <w:t>b) Disconforme con la autoliquidación de retenciones del impuesto sobre la renta de las personas físicas (IRPF) correspondiente a febrero 2007 presentada por la sociedad Gilead Sciences, S.L., doña Mercedes García Bravo solicitó de la Agencia Estatal de la Administración Tributaria (AEAT) su rectificación con fecha 6 de marzo de 2008. Dicha solicitud fue desestimada por la AEAT el 12 de noviembre de 2008.</w:t>
      </w:r>
    </w:p>
    <w:p w:rsidR="00163957" w:rsidRDefault="00163957" w:rsidP="00163957">
      <w:pPr>
        <w:pStyle w:val="TextoNormal"/>
      </w:pPr>
    </w:p>
    <w:p w:rsidR="00163957" w:rsidRDefault="00163957" w:rsidP="00163957">
      <w:pPr>
        <w:pStyle w:val="TextoNormal"/>
      </w:pPr>
      <w:r>
        <w:t>c) La interesada interpuso reclamación económico-administrativa ante el Tribunal Económico-Administrativo Central contra la resolución de la AEAT, solicitando la devolución del ingreso a cuenta repercutido de 1.874.346,01 €, con sus correspondientes intereses. Por resolución del Tribunal Económico-Administrativo Central de 3 de febrero de 2010, se estimó parcialmente la reclamación, por juzgar excesiva la base sobre la que se calculó el ingreso a cuenta discutido.</w:t>
      </w:r>
    </w:p>
    <w:p w:rsidR="00163957" w:rsidRDefault="00163957" w:rsidP="00163957">
      <w:pPr>
        <w:pStyle w:val="TextoNormal"/>
      </w:pPr>
    </w:p>
    <w:p w:rsidR="00163957" w:rsidRDefault="00163957" w:rsidP="00163957">
      <w:pPr>
        <w:pStyle w:val="TextoNormal"/>
      </w:pPr>
      <w:r>
        <w:t>d) En lo que interesa a este proceso constitucional, el Tribunal Económico-Administrativo Central desestimó la pretensión suscitada a título subsidiario por la contribuyente: la aplicación de la reducción del 40 por 100 de la renta gravable prevista en el art. 18.2 de la Ley 35/2006, de 28 de noviembre, del impuesto sobre la renta de las personas físicas y de modificación parcial de las leyes de los impuestos sobre sociedades, sobre la renta de no residentes y sobre el patrimonio. Considera el Tribunal Económico-Administrativo Central que no se han cumplido los requisitos previstos en el art. 11.3 del Reglamento del IRPF aprobado por Real Decreto 439/2007, de 30 de marzo.</w:t>
      </w:r>
    </w:p>
    <w:p w:rsidR="00163957" w:rsidRDefault="00163957" w:rsidP="00163957">
      <w:pPr>
        <w:pStyle w:val="TextoNormal"/>
      </w:pPr>
    </w:p>
    <w:p w:rsidR="00163957" w:rsidRDefault="00163957" w:rsidP="00163957">
      <w:pPr>
        <w:pStyle w:val="TextoNormal"/>
      </w:pPr>
      <w:r>
        <w:t>e) Con fecha 6 de julio de 2010, doña Mercedes García Bravo interpuso recurso contencioso-administrativo contra dicha resolución del Tribunal Económico-Administrativo Central, que fue desestimado por Sentencia de 30 de junio de 2011 de la Sección Cuarta de la Sala de lo Contencioso-Administrativo de la Audiencia Nacional.</w:t>
      </w:r>
    </w:p>
    <w:p w:rsidR="00163957" w:rsidRDefault="00163957" w:rsidP="00163957">
      <w:pPr>
        <w:pStyle w:val="TextoNormal"/>
      </w:pPr>
    </w:p>
    <w:p w:rsidR="00163957" w:rsidRDefault="00163957" w:rsidP="00163957">
      <w:pPr>
        <w:pStyle w:val="TextoNormal"/>
      </w:pPr>
      <w:r>
        <w:t xml:space="preserve">Al analizar si los actos administrativos recurridos habían sido dictados aplicando un precepto reglamentario que incurría en un exceso, al imponer para la aplicación de la reducción del 40 por 100 unas condiciones no previstas en el art. 18.2 de la Ley 35/2006, concluye </w:t>
      </w:r>
      <w:r>
        <w:lastRenderedPageBreak/>
        <w:t>que el exceso reglamentario se ha visto paliado como consecuencia de la entrada en vigor de la disposición cuestionada en este proceso constitucional, que otorga rango de ley formal a las normas anteriormente contenidas en disposiciones reglamentarias, sin innovación del ordenamiento jurídico.</w:t>
      </w:r>
    </w:p>
    <w:p w:rsidR="00163957" w:rsidRDefault="00163957" w:rsidP="00163957">
      <w:pPr>
        <w:pStyle w:val="TextoNormal"/>
      </w:pPr>
    </w:p>
    <w:p w:rsidR="00163957" w:rsidRDefault="00163957" w:rsidP="00163957">
      <w:pPr>
        <w:pStyle w:val="TextoNormal"/>
      </w:pPr>
      <w:r>
        <w:t xml:space="preserve">Por incluir limitaciones no previstas en la ley para beneficiarse de la citada reducción del 40 por 100, en sendas cuestiones de ilegalidad la Sala Tercera del Tribunal Supremo ha declarado nulos de pleno derecho el art. 10.3 del Reglamento del IRPF aprobado por Real Decreto 214/1999, de 5 de febrero (Sentencias de 9 de julio de 2008 y 30 de abril de 2009), y el art. 11.3 del Reglamento del IRPF aprobado por Real Decreto 439/2007, de 30 de marzo (Sentencia de 16 de noviembre de 2011). Pese a tener idéntico contenido —e incurrir en idéntico exceso—, no ha sido el caso del art. 10.3 del Reglamento del IRPF aprobado por Real Decreto 1775/2004, aplicable al proceso </w:t>
      </w:r>
      <w:r w:rsidRPr="00163957">
        <w:rPr>
          <w:i/>
        </w:rPr>
        <w:t>a quo</w:t>
      </w:r>
      <w:r>
        <w:t>, que permaneció por tanto formalmente vigente hasta su derogación mediante el Real Decreto 439/2007.</w:t>
      </w:r>
    </w:p>
    <w:p w:rsidR="00163957" w:rsidRDefault="00163957" w:rsidP="00163957">
      <w:pPr>
        <w:pStyle w:val="TextoNormal"/>
      </w:pPr>
    </w:p>
    <w:p w:rsidR="00163957" w:rsidRDefault="00163957" w:rsidP="00163957">
      <w:pPr>
        <w:pStyle w:val="TextoNormal"/>
      </w:pPr>
      <w:r>
        <w:t>f) Frente a la anterior, interpuso recurso de casación. En el escrito de formalización del recurso de casación solicita, con carácter subsidiario a la pretensión principal, el planteamiento de cuestión de inconstitucionalidad en relación con la disposición adicional trigésima primera de la Ley 35/2006, incorporada por la disposición final cuadragésima novena, apartado primero, de la Ley 2/2011, de 4 de marzo, de economía sostenible. Considera la demandante que esta disposición “introduce una modificación legislativa con efectos desde 4 de agosto de 2004, y que la sentencia objeto del presente recurso aplica a un ingreso a cuenta del Impuesto de la Renta de las Personas Físicas practicado en febrero de 2007”.</w:t>
      </w:r>
    </w:p>
    <w:p w:rsidR="00163957" w:rsidRDefault="00163957" w:rsidP="00163957">
      <w:pPr>
        <w:pStyle w:val="TextoNormal"/>
      </w:pPr>
    </w:p>
    <w:p w:rsidR="00163957" w:rsidRDefault="00163957" w:rsidP="00163957">
      <w:pPr>
        <w:pStyle w:val="TextoNormal"/>
      </w:pPr>
      <w:r>
        <w:t>g) Conclusa la tramitación del recurso de casación, y dentro del plazo señalado para dictar Sentencia, la Sección, mediante providencia de 14 de mayo de 2014, acordó conferir un plazo común de diez días a las partes y al Ministerio Fiscal para que, de conformidad con el art. 35.2 de la Ley Orgánica del Tribunal Constitucional (LOTC), formularan alegaciones sobre la pertinencia de plantear cuestión de inconstitucionalidad respecto de la disposición adicional trigésima primera de la Ley 35/2006, “por su posible contradicción con los artículos 9.3, 24.1 y 31.1 de la Constitución Española”.</w:t>
      </w:r>
    </w:p>
    <w:p w:rsidR="00163957" w:rsidRDefault="00163957" w:rsidP="00163957">
      <w:pPr>
        <w:pStyle w:val="TextoNormal"/>
      </w:pPr>
    </w:p>
    <w:p w:rsidR="00163957" w:rsidRDefault="00163957" w:rsidP="00163957">
      <w:pPr>
        <w:pStyle w:val="TextoNormal"/>
      </w:pPr>
      <w:r>
        <w:t>h) Al evacuar dicho trámite, la demandante solicitó la elevación de cuestión de inconstitucionalidad por posible quebranto de los arts. 9.3, 14, 31.1 y 3 y 24.1 CE. El Ministerio Fiscal consideró innecesario el planteamiento de la cuestión de inconstitucionalidad en los términos solicitados por la parte actora, si bien, para el caso de que el órgano judicial entendiera lo contrario, no se opuso a ello, en los términos y con las reservas que expone en sus alegaciones. Por su parte, el Abogado del Estado se opuso al planteamiento de la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3</w:t>
      </w:r>
      <w:r>
        <w:t>. El Auto de planteamiento de la cuestión señala, en síntesis, lo siguiente:</w:t>
      </w:r>
    </w:p>
    <w:p w:rsidR="00163957" w:rsidRDefault="00163957" w:rsidP="00163957">
      <w:pPr>
        <w:pStyle w:val="TextoNormal"/>
      </w:pPr>
    </w:p>
    <w:p w:rsidR="00163957" w:rsidRDefault="00163957" w:rsidP="00163957">
      <w:pPr>
        <w:pStyle w:val="TextoNormal"/>
      </w:pPr>
      <w:r>
        <w:t xml:space="preserve">Los preceptos aplicables a los rendimientos obtenidos por la actora los días 14 y 15 de febrero de 2007 son el art. 18.2 de la Ley 35/2006 y, </w:t>
      </w:r>
      <w:r w:rsidRPr="00163957">
        <w:rPr>
          <w:i/>
        </w:rPr>
        <w:t>ratione temporis</w:t>
      </w:r>
      <w:r>
        <w:t>, el art. 10.3 del Reglamento del IRPF aprobado por Real Decreto 1775/2004, con lo que tanto el Tribunal Económico-Administrativo Central como la Audiencia Nacional se equivocan al manejar el art. 11.3 del Reglamento del IRPF de 2007.</w:t>
      </w:r>
    </w:p>
    <w:p w:rsidR="00163957" w:rsidRDefault="00163957" w:rsidP="00163957">
      <w:pPr>
        <w:pStyle w:val="TextoNormal"/>
      </w:pPr>
    </w:p>
    <w:p w:rsidR="00163957" w:rsidRDefault="00163957" w:rsidP="00163957">
      <w:pPr>
        <w:pStyle w:val="TextoNormal"/>
      </w:pPr>
      <w:r>
        <w:lastRenderedPageBreak/>
        <w:t>Señala que, en sendas cuestiones de ilegalidad, la Sala Tercera del Tribunal Supremo ha declarado nulos de pleno derecho, respectivamente, el art. 10.3 del Reglamento del IRPF aprobado por Real Decreto 214/1999, de 5 de febrero (Sentencias de 9 de julio de 2008 y 30 de abril de 2009), y el art. 11.3 del Reglamento del IRPF aprobado por Real Decreto 439/2007, de 30 de marzo (Sentencia de 16 de noviembre de 2011).</w:t>
      </w:r>
    </w:p>
    <w:p w:rsidR="00163957" w:rsidRDefault="00163957" w:rsidP="00163957">
      <w:pPr>
        <w:pStyle w:val="TextoNormal"/>
      </w:pPr>
    </w:p>
    <w:p w:rsidR="00163957" w:rsidRDefault="00163957" w:rsidP="00163957">
      <w:pPr>
        <w:pStyle w:val="TextoNormal"/>
      </w:pPr>
      <w:r>
        <w:t xml:space="preserve">A diferencia de los anteriores, el art. 10.3 del Reglamento del IRPF aprobado por Real Decreto 1775/2004, aplicable al proceso </w:t>
      </w:r>
      <w:r w:rsidRPr="00163957">
        <w:rPr>
          <w:i/>
        </w:rPr>
        <w:t>a quo</w:t>
      </w:r>
      <w:r>
        <w:t>, que permaneció por tanto formalmente vigente hasta su derogación mediante el Real Decreto 439/2007, no ha sido objeto de pronunciamiento jurisdiccional declarando su nulidad. Sin embargo, carecía igualmente de previsión legal alguna que le diera cobertura durante el tiempo de su vigencia. Por ello, de no haber sido aprobada en 2011 la disposición adicional trigésima primera de la Ley 35/2006, objeto de este proceso constitucional, la pretensión de la actora habría sido acogida.</w:t>
      </w:r>
    </w:p>
    <w:p w:rsidR="00163957" w:rsidRDefault="00163957" w:rsidP="00163957">
      <w:pPr>
        <w:pStyle w:val="TextoNormal"/>
      </w:pPr>
    </w:p>
    <w:p w:rsidR="00163957" w:rsidRDefault="00163957" w:rsidP="00163957">
      <w:pPr>
        <w:pStyle w:val="TextoNormal"/>
      </w:pPr>
      <w:r>
        <w:t>La duda de constitucionalidad que se plantea nada tiene que ver con la retroactividad prohibida por el art. 9.3 CE, que no afecta a las normas fiscales (SSTC 173/1996, de 31 de octubre, FJ 3, y las allí citadas, 150/1990, de 4 de octubre, FJ 8; 197/1992, de 19 de noviembre, FJ 4, y 100/2012, de 8 de mayo, FJ 10). Se formula desde las exigencias propias del principio de seguridad jurídica del mismo art. 9.3 CE, con el que puede entrar en colisión la norma tributaria retroactiva, como cualquier otra [SSTC 126/1987, de 16 de julio, FJ 9 b), y 173/1996, de 31 de octubre, FFJJ 3 y 4]. La vulneración del principio de seguridad jurídica por una determinada norma tributaria requiere, por un lado, la contemplación del grado de retroactividad y, por otro, el análisis de las circunstancias concurrentes en cada supuesto (STC 100/2012, FJ 10, y las allí citadas).</w:t>
      </w:r>
    </w:p>
    <w:p w:rsidR="00163957" w:rsidRDefault="00163957" w:rsidP="00163957">
      <w:pPr>
        <w:pStyle w:val="TextoNormal"/>
      </w:pPr>
    </w:p>
    <w:p w:rsidR="00163957" w:rsidRDefault="00163957" w:rsidP="00163957">
      <w:pPr>
        <w:pStyle w:val="TextoNormal"/>
      </w:pPr>
      <w:r>
        <w:t xml:space="preserve">La disposición cuestionada impone una retroactividad de grado máximo al incidir en situaciones plenamente consolidadas. En el caso objeto del proceso </w:t>
      </w:r>
      <w:r w:rsidRPr="00163957">
        <w:rPr>
          <w:i/>
        </w:rPr>
        <w:t>a quo</w:t>
      </w:r>
      <w:r>
        <w:t>, al tiempo de aprobarse, incluso habría prescrito la potestad de la Administración para liquidar el tributo y la del contribuyente para solicitar las oportunas devoluciones. Tan “máxima” es la retroactividad que, cuando se aprueba la disposición cuestionada, ya habían transcurrido varios años desde la sustitución del Reglamento del IRPF de 2004 por el de 2007. Siendo así, la norma sólo se justificaría en exigencias cualificadas del bien común (STC 126/1987, FJ 1) o de interés general [STC 192/1997, FJ 11 d)].</w:t>
      </w:r>
    </w:p>
    <w:p w:rsidR="00163957" w:rsidRDefault="00163957" w:rsidP="00163957">
      <w:pPr>
        <w:pStyle w:val="TextoNormal"/>
      </w:pPr>
    </w:p>
    <w:p w:rsidR="00163957" w:rsidRDefault="00163957" w:rsidP="00163957">
      <w:pPr>
        <w:pStyle w:val="TextoNormal"/>
      </w:pPr>
      <w:r>
        <w:t xml:space="preserve">El objetivo de la disposición cuestionada fue dar cobertura legal </w:t>
      </w:r>
      <w:r w:rsidRPr="00163957">
        <w:rPr>
          <w:i/>
        </w:rPr>
        <w:t>a posteriori</w:t>
      </w:r>
      <w:r>
        <w:t xml:space="preserve"> a disposiciones reglamentarias cuya nulidad estaba “anunciada” por ser su contenido idéntico al que fuera anulado por las Sentencias del Tribunal Supremo de 9 de julio de 2008 y 30 de abril de 2009. Tal designio, aisladamente considerado, no puede entenderse fundado en exigencias cualificadas de interés general, pues éste demanda que la Administración, en cualquiera de sus actuaciones, se conduzca con pleno sometimiento a la ley y al derecho, respetando la jerarquía normativa y la reserva de ley en materia tributaria (arts. 103.1, 9.3 y 31.1 CE). Aun cuando sea fácilmente identificable el objetivo de interés general perseguido —evitar una improcedente tributación como irregulares de rendimientos del trabajo a los que no cupiera atribuir ese carácter—, para lograrlo bastaba introducir la norma legal </w:t>
      </w:r>
      <w:r w:rsidRPr="00163957">
        <w:rPr>
          <w:i/>
        </w:rPr>
        <w:t>pro futuro</w:t>
      </w:r>
      <w:r>
        <w:t xml:space="preserve"> u otorgarle una retroactividad impropia o de grado medio. Habida cuenta de las declaraciones de ilegalidad contenidas en las citadas Sentencias del Tribunal Supremo de 2008 y 2009, el interés general demandaba reparar la situación sin violentar el principio de seguridad jurídica del art. 9.3 CE a través de una retroactividad de grado máximo.</w:t>
      </w:r>
    </w:p>
    <w:p w:rsidR="00163957" w:rsidRDefault="00163957" w:rsidP="00163957">
      <w:pPr>
        <w:pStyle w:val="TextoNormal"/>
      </w:pPr>
    </w:p>
    <w:p w:rsidR="00163957" w:rsidRDefault="00163957" w:rsidP="00163957">
      <w:pPr>
        <w:pStyle w:val="TextoNormal"/>
      </w:pPr>
      <w:r>
        <w:t>Para la hipótesis de que la retroactividad de la disposición controvertida se reputase impropia, el Auto desarrolla el test que propone la doctrina constitucional (STC 116/2009, de 18 de mayo, FJ 3).</w:t>
      </w:r>
    </w:p>
    <w:p w:rsidR="00163957" w:rsidRDefault="00163957" w:rsidP="00163957">
      <w:pPr>
        <w:pStyle w:val="TextoNormal"/>
      </w:pPr>
    </w:p>
    <w:p w:rsidR="00163957" w:rsidRDefault="00163957" w:rsidP="00163957">
      <w:pPr>
        <w:pStyle w:val="TextoNormal"/>
      </w:pPr>
      <w:r>
        <w:t xml:space="preserve">A partir de ahí, y en relación con la previsibilidad del cambio normativo, señala que, de no haber mediado la intervención del legislador aprobando la disposición cuestionada, el recurso contencioso-administrativo habría dado lugar al planteamiento de la cuestión de ilegalidad y a un pronunciamiento estimatorio. Por ello, lo previsible a la vista de las circunstancias concurrentes no hubiera sido la aplicación con plenos efectos del art. 10.3 del Reglamento del IRPF de 2004, sino el éxito de la pretensión por las razones fijadas en las sentencias del Tribunal Supremo relativas a los reglamentos del IRPF de 1999 y 2007. Se destacan los efectos perturbadores que produce el hecho manifiestamente aleatorio de la duración del litigio: la disposición cuestionada ha interferido inmediata y directamente en un proceso en curso que, de haber concluido antes, habría tenido un final favorable a la demandante, quedando frustrada esa expectativa </w:t>
      </w:r>
      <w:r w:rsidRPr="00163957">
        <w:rPr>
          <w:i/>
        </w:rPr>
        <w:t>in itinere</w:t>
      </w:r>
      <w:r>
        <w:t xml:space="preserve"> como consecuencia del cambio normativo.</w:t>
      </w:r>
    </w:p>
    <w:p w:rsidR="00163957" w:rsidRDefault="00163957" w:rsidP="00163957">
      <w:pPr>
        <w:pStyle w:val="TextoNormal"/>
      </w:pPr>
    </w:p>
    <w:p w:rsidR="00163957" w:rsidRDefault="00163957" w:rsidP="00163957">
      <w:pPr>
        <w:pStyle w:val="TextoNormal"/>
      </w:pPr>
      <w:r>
        <w:t>En todo caso, recuerda que la duda de constitucionalidad no se suscita en cuanto a la previsibilidad sustantiva, sino en cuanto a sus efectos en el tiempo. El principio constitucional de seguridad jurídica exige que los poderes públicos actúen respetando las exigencias inherentes al mismo en cuanto a la eficacia retroactiva del instrumento normativo empleado.</w:t>
      </w:r>
    </w:p>
    <w:p w:rsidR="00163957" w:rsidRDefault="00163957" w:rsidP="00163957">
      <w:pPr>
        <w:pStyle w:val="TextoNormal"/>
      </w:pPr>
    </w:p>
    <w:p w:rsidR="00163957" w:rsidRDefault="00163957" w:rsidP="00163957">
      <w:pPr>
        <w:pStyle w:val="TextoNormal"/>
      </w:pPr>
      <w:r>
        <w:t>A continuación, destaca que la disposición cuestionada afecta, indiscriminadamente, a todos los rendimientos de trabajo derivados de la concesión de opciones sobre acciones “que se imputen en un período impositivo que finalice con posterioridad a 4 de agosto de 2004”, sin tener en cuenta si estaban o no pendientes de revisión administrativa o judicial, cuando es obvio que la situación en uno u otro supuesto era distinta.</w:t>
      </w:r>
    </w:p>
    <w:p w:rsidR="00163957" w:rsidRDefault="00163957" w:rsidP="00163957">
      <w:pPr>
        <w:pStyle w:val="TextoNormal"/>
      </w:pPr>
    </w:p>
    <w:p w:rsidR="00163957" w:rsidRDefault="00163957" w:rsidP="00163957">
      <w:pPr>
        <w:pStyle w:val="TextoNormal"/>
      </w:pPr>
      <w:r>
        <w:t>Por último, en cuanto a la importancia cuantitativa de la reforma, no parece que la tributación de las opciones sobre acciones represente un porcentaje relevante en la recaudación del IRPF.</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18 de noviembre de 2014, el Pleno de este Tribunal acordó admitir a trámite la cuestión de inconstitucionalidad, reservando para sí el conocimiento de la misma conforme al art. 10.1 c) LOTC y dar traslado de la demanda y documentos presentados al Congreso de los Diputados y al Senado, por conducto de sus Presidentes, al Gobierno, a través del Ministro de Justicia, y al Fiscal General del Estado, para que en el improrrogable plazo de 15 días pudieran personarse en el procedimiento y formular las alegaciones que estimasen convenientes (art. 37.3 LOTC). Asimismo, se ordenó, por un lado, comunicar esa resolución a la Sección Segunda de la Sala de lo Contencioso-Administrativo del Tribunal Supremo a fin de que, de conformidad con el art. 35.3 LOTC, permaneciese suspendido el proceso hasta que este Tribunal resolviese definitivamente la cuestión y, por otro, publicar la admisión de la misma en el “Boletín Oficial del Estado” (lo que se llevó a efecto en el “BOE” núm. 283, de 22 de noviembre de 2014).</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El 26 de noviembre de 2014 tuvo entrada en este Tribunal un escrito presentado por la Procuradora doña Gloria Messa Teichman, en nombre y representación de doña Mercedes </w:t>
      </w:r>
      <w:r>
        <w:lastRenderedPageBreak/>
        <w:t>García Bravo mediante el que se personaba en el proceso constitucional, solicitando que se entendieran con ella las diligencias sucesivas.</w:t>
      </w:r>
    </w:p>
    <w:p w:rsidR="00163957" w:rsidRDefault="00163957" w:rsidP="00163957">
      <w:pPr>
        <w:pStyle w:val="TextoNormal"/>
      </w:pPr>
    </w:p>
    <w:p w:rsidR="00163957" w:rsidRDefault="00163957" w:rsidP="00163957">
      <w:pPr>
        <w:pStyle w:val="TextoNormal"/>
      </w:pPr>
      <w:r w:rsidRPr="00163957">
        <w:rPr>
          <w:rStyle w:val="NumeroAFNegritaCaracter"/>
        </w:rPr>
        <w:t>6</w:t>
      </w:r>
      <w:r>
        <w:t>. Mediante escrito presentado en el Registro General de este Tribunal el 28 de noviembre de 2014, el Presidente del Congreso de los Diputados comunicó el acuerdo de la Mesa de la Cámara de personarse en el presente proceso constitucional,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7</w:t>
      </w:r>
      <w:r>
        <w:t>. Igualmente, por medio de un escrito presentado en el Registro General de este Tribunal el 5 de diciembre de 2014, el Presidente del Senado comunicó el acuerdo de la Mesa de esa Cámara de personarse en el presente proceso constitucional, ofreciendo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8</w:t>
      </w:r>
      <w:r>
        <w:t>. Por escrito registrado en este Tribunal el 12 de diciembre de 2014, el Abogado del Estado evacuó el trámite de alegaciones, interesando la desestimación de la cuestión de inconstitucionalidad planteada.</w:t>
      </w:r>
    </w:p>
    <w:p w:rsidR="00163957" w:rsidRDefault="00163957" w:rsidP="00163957">
      <w:pPr>
        <w:pStyle w:val="TextoNormal"/>
      </w:pPr>
    </w:p>
    <w:p w:rsidR="00163957" w:rsidRDefault="00163957" w:rsidP="00163957">
      <w:pPr>
        <w:pStyle w:val="TextoNormal"/>
      </w:pPr>
      <w:r>
        <w:t>Comienza el escrito recordando que la relación jurídico-tributaria, en una aplicación del concepto doctrinal civilista de la relación jurídica, es la relación entablada entre el obligado tributario y la administración tributaria, relación integrada por un conjunto de deberes y derechos. En concreto la determinación del ordenamiento jurídico al que se sujeta el contenido de la relación jurídica se refiere al devengo del impuesto, constatando a continuación que la normativa vigente al tiempo de producirse el devengo era el artículo 10, apartado tercero, del Real Decreto 1765/2004, de 30 julio, disposición que disciplina la percepción de opciones sobre acciones. Señala también que efectivamente la misma regulación material había sido objeto de declaración de nulidad por parte de sendas Sentencias del Tribunal Supremo, de 9 julio 2008 y de 30 abril 2009. Expuestos los antecedentes de estas cuestiones destaca que el citado Real Decreto 1775/2004 no ha sido objeto de cuestión de ilegalidad, sin que las declaraciones de nulidad operadas sobre las versiones anterior y posterior del controvertido precepto se puedan extender al mismo.</w:t>
      </w:r>
    </w:p>
    <w:p w:rsidR="00163957" w:rsidRDefault="00163957" w:rsidP="00163957">
      <w:pPr>
        <w:pStyle w:val="TextoNormal"/>
      </w:pPr>
    </w:p>
    <w:p w:rsidR="00163957" w:rsidRDefault="00163957" w:rsidP="00163957">
      <w:pPr>
        <w:pStyle w:val="TextoNormal"/>
      </w:pPr>
      <w:r>
        <w:t>Sentado lo anterior se refiere al efecto retroactivo de la Ley 2/2011, de 4 marzo, de economía sostenible, cuya disposición final cuadragésima novena, apartado 1, añadió a su vez la disposición adicional trigésima primera a la Ley 35/2006, del impuesto sobre la renta de las personas físicas, cuyo tenor se recoge en el escrito.</w:t>
      </w:r>
    </w:p>
    <w:p w:rsidR="00163957" w:rsidRDefault="00163957" w:rsidP="00163957">
      <w:pPr>
        <w:pStyle w:val="TextoNormal"/>
      </w:pPr>
    </w:p>
    <w:p w:rsidR="00163957" w:rsidRDefault="00163957" w:rsidP="00163957">
      <w:pPr>
        <w:pStyle w:val="TextoNormal"/>
      </w:pPr>
      <w:r>
        <w:t>Coincide en que estamos ante un supuesto de retroactividad propia, deteniéndose a continuación en los parámetros sentados por la STC 273/2000 para verificar si queda salvaguardado el principio de seguridad jurídica.</w:t>
      </w:r>
    </w:p>
    <w:p w:rsidR="00163957" w:rsidRDefault="00163957" w:rsidP="00163957">
      <w:pPr>
        <w:pStyle w:val="TextoNormal"/>
      </w:pPr>
    </w:p>
    <w:p w:rsidR="00163957" w:rsidRDefault="00163957" w:rsidP="00163957">
      <w:pPr>
        <w:pStyle w:val="TextoNormal"/>
      </w:pPr>
      <w:r>
        <w:t>Comienza, a partir de lo anterior, destacando la certeza de la norma toda vez que el precepto reglamentario citado estaba en vigor, de manera que la recurrente siempre tuvo certeza y seguridad plena de la norma que gobernó su relación jurídico-tributaria.</w:t>
      </w:r>
    </w:p>
    <w:p w:rsidR="00163957" w:rsidRDefault="00163957" w:rsidP="00163957">
      <w:pPr>
        <w:pStyle w:val="TextoNormal"/>
      </w:pPr>
    </w:p>
    <w:p w:rsidR="00163957" w:rsidRDefault="00163957" w:rsidP="00163957">
      <w:pPr>
        <w:pStyle w:val="TextoNormal"/>
      </w:pPr>
      <w:r>
        <w:t xml:space="preserve">A continuación se refiere a la previsibilidad de la norma destacando que en el momento de concesión y del ejercicio de la opción sobre acciones el Tribunal Supremo todavía no se </w:t>
      </w:r>
      <w:r>
        <w:lastRenderedPageBreak/>
        <w:t>había pronunciado sobre la ilegalidad citada, toda vez que dicha acción se ejerció los días 14 y 15 febrero 2007 y las citadas Sentencias son posteriores.</w:t>
      </w:r>
    </w:p>
    <w:p w:rsidR="00163957" w:rsidRDefault="00163957" w:rsidP="00163957">
      <w:pPr>
        <w:pStyle w:val="TextoNormal"/>
      </w:pPr>
    </w:p>
    <w:p w:rsidR="00163957" w:rsidRDefault="00163957" w:rsidP="00163957">
      <w:pPr>
        <w:pStyle w:val="TextoNormal"/>
      </w:pPr>
      <w:r>
        <w:t>Sentado lo anterior se refiere a las razones cualificadas de interés general, citando la STC 176/2011, de 8 noviembre y haciendo hincapié en concreto en que existen “poderosas razones de interés general” toda vez que si bien es cierto que la justificación de la enmienda mediante la que se introdujo la meritada disposición adicional puede “no dar una idea clara y certera de la finalidad de la reforma” no lo es menos que la exposición de motivos de la Ley de economía sostenible sí se refiere a la “crisis financiera y económica internacional, la más grave en muchas décadas”. Apunta a partir de lo anterior que el objetivo del cambio normativo “es tan evidente que no requiere especial fundamento”, ya que la concesión de opciones sobre acciones se ha venido utilizando como mecanismo de planificación fiscal contraria a la finalidad y espíritu de la reducción de la base imponible, de manera que la finalidad de la medida no es otra que salvaguardar el principio de justicia en materia tributaria consagrado en el artículo 31 de la Constitución.</w:t>
      </w:r>
    </w:p>
    <w:p w:rsidR="00163957" w:rsidRDefault="00163957" w:rsidP="00163957">
      <w:pPr>
        <w:pStyle w:val="TextoNormal"/>
      </w:pPr>
    </w:p>
    <w:p w:rsidR="00163957" w:rsidRDefault="00163957" w:rsidP="00163957">
      <w:pPr>
        <w:pStyle w:val="TextoNormal"/>
      </w:pPr>
      <w:r>
        <w:t>Destaca asimismo que la modificación afecta sólo a determinados rendimientos, aquéllos que deriven del ejercicio de opciones de compra sobre acciones o participaciones de trabajadores, sin afectar indiscriminadamente a todos los rendimientos irregulares ni a todas las formas de rendimientos del trabajo.</w:t>
      </w:r>
    </w:p>
    <w:p w:rsidR="00163957" w:rsidRDefault="00163957" w:rsidP="00163957">
      <w:pPr>
        <w:pStyle w:val="TextoNormal"/>
      </w:pPr>
    </w:p>
    <w:p w:rsidR="00163957" w:rsidRDefault="00163957" w:rsidP="00163957">
      <w:pPr>
        <w:pStyle w:val="TextoNormal"/>
      </w:pPr>
      <w:r>
        <w:t>Finaliza haciendo una referencia a la pretensión y a los motivos considerando que la demandante ha introducido una pretensión nueva, toda vez que ya tuvo ocasión de manifestarse y alegar lo que a su derecho conviene sobre la aplicación retroactiva de la ley tanto en el escrito de interposición del recurso de casación como en las alegaciones al planteamiento de la cuestión de inconstitucionalidad, por lo que ningún derecho fundamental con relevancia en el proceso puede ser afectado mediante la aplicación retroactiva de la norma.</w:t>
      </w:r>
    </w:p>
    <w:p w:rsidR="00163957" w:rsidRDefault="00163957" w:rsidP="00163957">
      <w:pPr>
        <w:pStyle w:val="TextoNormal"/>
      </w:pPr>
    </w:p>
    <w:p w:rsidR="00163957" w:rsidRDefault="00163957" w:rsidP="00163957">
      <w:pPr>
        <w:pStyle w:val="TextoNormal"/>
      </w:pPr>
      <w:r w:rsidRPr="00163957">
        <w:rPr>
          <w:rStyle w:val="NumeroAFNegritaCaracter"/>
        </w:rPr>
        <w:t>9</w:t>
      </w:r>
      <w:r>
        <w:t>. Con fecha 23 de diciembre de 2014, la Procuradora doña Gloria Messa Teichman, en nombre y representación de doña Mercedes García Bravo, presentó sus alegaciones, solicitando la estimación de la cuestión.</w:t>
      </w:r>
    </w:p>
    <w:p w:rsidR="00163957" w:rsidRDefault="00163957" w:rsidP="00163957">
      <w:pPr>
        <w:pStyle w:val="TextoNormal"/>
      </w:pPr>
    </w:p>
    <w:p w:rsidR="00163957" w:rsidRDefault="00163957" w:rsidP="00163957">
      <w:pPr>
        <w:pStyle w:val="TextoNormal"/>
      </w:pPr>
      <w:r>
        <w:t>Comienza destacando que desde la interposición del recurso contencioso-administrativo ante la Audiencia Nacional, como después en casación ante el Tribunal Supremo, viene sosteniendo la inconstitucionalidad de la disposición final cuadragésima novena.1 de la Ley 2/2011.</w:t>
      </w:r>
    </w:p>
    <w:p w:rsidR="00163957" w:rsidRDefault="00163957" w:rsidP="00163957">
      <w:pPr>
        <w:pStyle w:val="TextoNormal"/>
      </w:pPr>
    </w:p>
    <w:p w:rsidR="00163957" w:rsidRDefault="00163957" w:rsidP="00163957">
      <w:pPr>
        <w:pStyle w:val="TextoNormal"/>
      </w:pPr>
      <w:r>
        <w:t>Expone a continuación en detalle el contexto jurídico en el que tuvo lugar la aprobación de la norma cuestionada, haciendo hincapié en que la regulación que añade la norma coincide con el contenido, reiteradamente declarado ilegal, del Reglamento del impuesto sobre la renta de las personas físicas. En concreto el inciso “si, además, no se conceden anualmente” no se había incorporado a la ley hasta ahora, sino que había venido siendo regulado en normas reglamentarias.</w:t>
      </w:r>
    </w:p>
    <w:p w:rsidR="00163957" w:rsidRDefault="00163957" w:rsidP="00163957">
      <w:pPr>
        <w:pStyle w:val="TextoNormal"/>
      </w:pPr>
    </w:p>
    <w:p w:rsidR="00163957" w:rsidRDefault="00163957" w:rsidP="00163957">
      <w:pPr>
        <w:pStyle w:val="TextoNormal"/>
      </w:pPr>
      <w:r>
        <w:t xml:space="preserve">Expone seguidamente las razones por las cuales la citada disposición cuestionada infringe los principios de legalidad, seguridad jurídica, e irretroactividad contemplados en el </w:t>
      </w:r>
      <w:r>
        <w:lastRenderedPageBreak/>
        <w:t>artículo 9.3 de la Constitución; así como el derecho a la igualdad tributaria y no confiscatorio del artículo 31.1, el principio de reserva de ley tributaria del artículo 31.3 y el derecho de igualdad ante la ley del artículo 14, todos ellos de la Constitución.</w:t>
      </w:r>
    </w:p>
    <w:p w:rsidR="00163957" w:rsidRDefault="00163957" w:rsidP="00163957">
      <w:pPr>
        <w:pStyle w:val="TextoNormal"/>
      </w:pPr>
    </w:p>
    <w:p w:rsidR="00163957" w:rsidRDefault="00163957" w:rsidP="00163957">
      <w:pPr>
        <w:pStyle w:val="TextoNormal"/>
      </w:pPr>
      <w:r>
        <w:t xml:space="preserve">Concluye, en fin, que la norma incurre en retroactividad de grado máximo, recalcando que, de acuerdo con la jurisprudencia del Tribunal Constitucional, en tal caso “sólo exigencias cualificadas en el bien común podrían imponerse excepcionalmente al principio”. Insiste en la inconstitucionalidad de la medida toda vez que ni se han constatado tales exigencias de interés general ni tampoco supera el test de previsibilidad en cuanto a sus efectos en el tiempo, haciendo referencia a la jurisprudencia del Tribunal de Justicia de la Unión Europea y, entre otras, la de 12 diciembre 2013, (Asunto C 362/12), Caso </w:t>
      </w:r>
      <w:r w:rsidRPr="00163957">
        <w:rPr>
          <w:i/>
        </w:rPr>
        <w:t>Test Claimants in the Franken Investment Income Group Litigation</w:t>
      </w:r>
      <w:r>
        <w:t>, concluyendo, con cita igualmente de la jurisprudencia del Tribunal Constitucional, que la norma es contraria a la Constitución, y recordando que sus efectos retroactivos afectan incluso a ejercicios que ya están prescritos.</w:t>
      </w:r>
    </w:p>
    <w:p w:rsidR="00163957" w:rsidRDefault="00163957" w:rsidP="00163957">
      <w:pPr>
        <w:pStyle w:val="TextoNormal"/>
      </w:pPr>
    </w:p>
    <w:p w:rsidR="00163957" w:rsidRDefault="00163957" w:rsidP="00163957">
      <w:pPr>
        <w:pStyle w:val="TextoNormal"/>
      </w:pPr>
      <w:r w:rsidRPr="00163957">
        <w:rPr>
          <w:rStyle w:val="NumeroAFNegritaCaracter"/>
        </w:rPr>
        <w:t>10</w:t>
      </w:r>
      <w:r>
        <w:t>. El 23 de enero de 2015 se presentó en este Tribunal el escrito de alegaciones de la Fiscal General del Estado por el que solicita la estimación de la cuestión de inconstitucionalidad planteada.</w:t>
      </w:r>
    </w:p>
    <w:p w:rsidR="00163957" w:rsidRDefault="00163957" w:rsidP="00163957">
      <w:pPr>
        <w:pStyle w:val="TextoNormal"/>
      </w:pPr>
    </w:p>
    <w:p w:rsidR="00163957" w:rsidRDefault="00163957" w:rsidP="00163957">
      <w:pPr>
        <w:pStyle w:val="TextoNormal"/>
      </w:pPr>
      <w:r>
        <w:t>En primer lugar, la Fiscal General del Estado aprecia que concurren los requisitos procedimentales para el válido planteamiento de la cuestión, conclusión a la que llega tras examinar de forma detallada los antecedentes de la misma. Asimismo, estima que la posterior sustitución de la norma sobre la que se formula la cuestión por la nueva regulación introducida mediante la Ley 26/2014, de 27 noviembre, no supone la pérdida del objeto de ésta, dado que la resolución del litigio que está en el origen de la misma requiere la aplicación de la norma sobre la que el Tribunal Supremo alberga las dudas de constitucionalidad.</w:t>
      </w:r>
    </w:p>
    <w:p w:rsidR="00163957" w:rsidRDefault="00163957" w:rsidP="00163957">
      <w:pPr>
        <w:pStyle w:val="TextoNormal"/>
      </w:pPr>
    </w:p>
    <w:p w:rsidR="00163957" w:rsidRDefault="00163957" w:rsidP="00163957">
      <w:pPr>
        <w:pStyle w:val="TextoNormal"/>
      </w:pPr>
      <w:r>
        <w:t>Entrando ya en el fondo de la cuestión planteada, comienza por recordar, de forma extensa y detallada, la jurisprudencia constitucional en relación con el principio de seguridad jurídica, que se puede ver afectado en supuestos de eficacia retroactiva de normas legales que imponen a los ciudadanos la obligación de contribuir al sostenimiento de los gastos públicos. Tras recordar dicha doctrina, con cita entre otras de las SSTC 126/1987 y 182/1997 así como las más recientes SSTC 176/2011 y 100/2012 y recoger sus principales conclusiones, constata, en primer lugar, que el grado de retroactividad de la norma cuestionada es máximo.</w:t>
      </w:r>
    </w:p>
    <w:p w:rsidR="00163957" w:rsidRDefault="00163957" w:rsidP="00163957">
      <w:pPr>
        <w:pStyle w:val="TextoNormal"/>
      </w:pPr>
    </w:p>
    <w:p w:rsidR="00163957" w:rsidRDefault="00163957" w:rsidP="00163957">
      <w:pPr>
        <w:pStyle w:val="TextoNormal"/>
      </w:pPr>
      <w:r>
        <w:t>En segundo lugar, aduce que es también evidente que la medida tributaria contenida en la disposición cuestionada viene a cubrir los déficit de reserva legal en materia tributaria de que adolecían tanto el Reglamento del impuesto sobre la renta de las personas físicas de 2004 como el de 2002, particularmente en los requisitos que para esta clase de renta restablecían los preceptos reglamentarios. Es también manifiesto que dichos incisos reglamentarios habían sido previamente anulados por el Tribunal Supremo.</w:t>
      </w:r>
    </w:p>
    <w:p w:rsidR="00163957" w:rsidRDefault="00163957" w:rsidP="00163957">
      <w:pPr>
        <w:pStyle w:val="TextoNormal"/>
      </w:pPr>
    </w:p>
    <w:p w:rsidR="00163957" w:rsidRDefault="00163957" w:rsidP="00163957">
      <w:pPr>
        <w:pStyle w:val="TextoNormal"/>
      </w:pPr>
      <w:r>
        <w:t xml:space="preserve">A partir de lo anterior, y reiterando la cita de la doctrina constitucional antes reseñada, concluye que si bien es posible hallar razones que pudieran hacer conveniente la restricción de las ventajas fiscales ofrecidas a los perceptores de este tipo de rendimientos, desde la perspectiva constitucional, ello no basta para considerar que la medida es respetuosa con el principio de seguridad jurídica, teniendo además especialmente en cuenta que se trata en </w:t>
      </w:r>
      <w:r>
        <w:lastRenderedPageBreak/>
        <w:t>este caso del impuesto sobre la renta de las personas físicas, que ocupa un lugar central en el sistema tributario.</w:t>
      </w:r>
    </w:p>
    <w:p w:rsidR="00163957" w:rsidRDefault="00163957" w:rsidP="00163957">
      <w:pPr>
        <w:pStyle w:val="TextoNormal"/>
      </w:pPr>
    </w:p>
    <w:p w:rsidR="00163957" w:rsidRDefault="00163957" w:rsidP="00163957">
      <w:pPr>
        <w:pStyle w:val="TextoNormal"/>
      </w:pPr>
      <w:r>
        <w:t>Examinadas de forma minuciosa todas las consideraciones que en relación con la seguridad jurídica han sido tenidas en cuenta en la doctrina constitucional, se concluye que no cabe apreciar en el presente asunto que concurrieran ni nítidas ni cualificadas exigencias de interés general que pudieran resultar prevalentes a las exigencias derivadas de los principios de seguridad jurídica e interdicción de la arbitrariedad, pudiendo incluso cuestionar que exista una sobrada base lógica suficiente que responda a una intervención absolutamente necesaria.</w:t>
      </w:r>
    </w:p>
    <w:p w:rsidR="00163957" w:rsidRDefault="00163957" w:rsidP="00163957">
      <w:pPr>
        <w:pStyle w:val="TextoNormal"/>
      </w:pPr>
    </w:p>
    <w:p w:rsidR="00163957" w:rsidRDefault="00163957" w:rsidP="00163957">
      <w:pPr>
        <w:pStyle w:val="TextoNormal"/>
      </w:pPr>
      <w:r>
        <w:t>Considera por ello que no ha quedado acreditada la existencia de tal interés general que permita establecer una medida con un alcance retroactivo auténtico del tal impacto como el que aquí se cuestiona, lo que como mínimo resulta excesivo y desproporcionado en los específicos términos en que se concretó y dadas las circunstancias en que se produjo, y máxime teniendo en cuenta la anulación judicial de los reglamentos a los que se ha hecho referencia. Por último afirma que la Administración tampoco ha aportado datos económicos para determinar el impacto recaudatorio de dicha medida a los efectos de justificar el citado bien común o interés general.</w:t>
      </w:r>
    </w:p>
    <w:p w:rsidR="00163957" w:rsidRDefault="00163957" w:rsidP="00163957">
      <w:pPr>
        <w:pStyle w:val="TextoNormal"/>
      </w:pPr>
    </w:p>
    <w:p w:rsidR="00163957" w:rsidRDefault="00163957" w:rsidP="00163957">
      <w:pPr>
        <w:pStyle w:val="TextoNormal"/>
      </w:pPr>
      <w:r>
        <w:t>El escrito concluye manifestando que la disposición cuestionada conculca el principio de seguridad jurídica al establecer una disposición tributaria dotada de retroactividad auténtica sin que concurran exigencias cualificadas de interés común que puedan resultar prevalentes, proponiendo en consecuencia la estimación de la cuestión de inconstitucionalidad y la declaración de inconstitucionalidad y nulidad del inciso “que se imputen en un periodo impositivo que finalice con posterioridad a 4 agosto 2004”.</w:t>
      </w:r>
    </w:p>
    <w:p w:rsidR="00163957" w:rsidRDefault="00163957" w:rsidP="00163957">
      <w:pPr>
        <w:pStyle w:val="TextoNormal"/>
      </w:pPr>
    </w:p>
    <w:p w:rsidR="00163957" w:rsidRDefault="00163957" w:rsidP="00163957">
      <w:pPr>
        <w:pStyle w:val="TextoNormal"/>
      </w:pPr>
      <w:r w:rsidRPr="00163957">
        <w:rPr>
          <w:rStyle w:val="NumeroAFNegritaCaracter"/>
        </w:rPr>
        <w:t>11</w:t>
      </w:r>
      <w:r>
        <w:t>. Por providencia de 21 de junio de 2016 se señaló para deliberación y votación de la presente Sentencia el día 23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Este proceso constitucional tiene por objeto examinar la posible contradicción con el principio de seguridad jurídica que proclama el art. 9.3 de la Constitución Española, del inciso “que se imputen en un periodo impositivo que finalice con posterioridad a 4 agosto 2004”, de la disposición adicional trigésima primera de la Ley 35/2006, incorporada por la disposición final cuadragésima novena, apartado 1, de la Ley 2/2011, de 4 de marzo, de economía sostenible.</w:t>
      </w:r>
    </w:p>
    <w:p w:rsidR="00163957" w:rsidRDefault="00163957" w:rsidP="00163957">
      <w:pPr>
        <w:pStyle w:val="TextoNormal"/>
      </w:pPr>
    </w:p>
    <w:p w:rsidR="00163957" w:rsidRDefault="00163957" w:rsidP="00163957">
      <w:pPr>
        <w:pStyle w:val="TextoNormal"/>
      </w:pPr>
      <w:r>
        <w:t>El tenor de la disposición es el siguiente:</w:t>
      </w:r>
    </w:p>
    <w:p w:rsidR="00163957" w:rsidRDefault="00163957" w:rsidP="00163957">
      <w:pPr>
        <w:pStyle w:val="TextoNormal"/>
      </w:pPr>
    </w:p>
    <w:p w:rsidR="00163957" w:rsidRDefault="00163957" w:rsidP="00163957">
      <w:pPr>
        <w:pStyle w:val="TextoNormal"/>
      </w:pPr>
      <w:r>
        <w:t>“Uno. Se añade una nueva disposición adicional trigésima primera en la Ley 35/2006, de 28 de noviembre, del Impuesto sobre la Renta de las Personas Físicas y de modificación parcial de las leyes de los Impuestos sobre Sociedades, sobre la Renta de no Residentes y sobre el Patrimonio con el siguiente contenido:</w:t>
      </w:r>
    </w:p>
    <w:p w:rsidR="00163957" w:rsidRDefault="00163957" w:rsidP="00163957">
      <w:pPr>
        <w:pStyle w:val="TextoNormal"/>
      </w:pPr>
    </w:p>
    <w:p w:rsidR="00163957" w:rsidRDefault="00163957" w:rsidP="00163957">
      <w:pPr>
        <w:pStyle w:val="TextoNormal"/>
      </w:pPr>
      <w:r>
        <w:lastRenderedPageBreak/>
        <w:t>Disposición adicional trigésima primera. Rendimientos derivados del ejercicio de opciones de compra sobre acciones.</w:t>
      </w:r>
    </w:p>
    <w:p w:rsidR="00163957" w:rsidRDefault="00163957" w:rsidP="00163957">
      <w:pPr>
        <w:pStyle w:val="TextoNormal"/>
      </w:pPr>
    </w:p>
    <w:p w:rsidR="00163957" w:rsidRDefault="00163957" w:rsidP="00163957">
      <w:pPr>
        <w:pStyle w:val="TextoNormal"/>
      </w:pPr>
      <w:r>
        <w:t>En el caso de los rendimientos del trabajo que deriven del ejercicio de opciones de compra sobre acciones o participaciones por los trabajadores que se imputen en un período impositivo que finalice con posterioridad a 4 de agosto de 2004, a efectos de la aplicación de la reducción del 40 por ciento prevista en el artículo 18.2 de esta Ley, sólo se considerará que el rendimiento del trabajo tiene un período de generación superior a dos años y que no se obtiene de forma periódica o recurrente, cuando las opciones de compra se ejerciten transcurridos más de dos años desde su concesión, si, además, no se conceden anualmente.”</w:t>
      </w:r>
    </w:p>
    <w:p w:rsidR="00163957" w:rsidRDefault="00163957" w:rsidP="00163957">
      <w:pPr>
        <w:pStyle w:val="TextoNormal"/>
      </w:pPr>
    </w:p>
    <w:p w:rsidR="00163957" w:rsidRDefault="00163957" w:rsidP="00163957">
      <w:pPr>
        <w:pStyle w:val="TextoNormal"/>
      </w:pPr>
      <w:r>
        <w:t>La norma, que entró en vigor el día siguiente a su publicación en el “Boletín Oficial del Estado”, esto es, el 7 de marzo de 2011, modifica el impuesto sobre la renta de las personas físicas con efectos que se retrotraen al 4 de agosto de 2004.</w:t>
      </w:r>
    </w:p>
    <w:p w:rsidR="00163957" w:rsidRDefault="00163957" w:rsidP="00163957">
      <w:pPr>
        <w:pStyle w:val="TextoNormal"/>
      </w:pPr>
    </w:p>
    <w:p w:rsidR="00163957" w:rsidRDefault="00163957" w:rsidP="00163957">
      <w:pPr>
        <w:pStyle w:val="TextoNormal"/>
      </w:pPr>
      <w:r>
        <w:t>a) El Tribunal Supremo, órgano promotor de la cuestión, considera que la disposición puede vulnerar el principio de seguridad jurídica atendiendo a su grado de retroactividad y teniendo en cuenta las circunstancias concurrentes en este caso, por lo que ciñe la cuestión al inciso que extiende los efectos de la misma a 2004, sin cuestionar el resto de la norma.</w:t>
      </w:r>
    </w:p>
    <w:p w:rsidR="00163957" w:rsidRDefault="00163957" w:rsidP="00163957">
      <w:pPr>
        <w:pStyle w:val="TextoNormal"/>
      </w:pPr>
    </w:p>
    <w:p w:rsidR="00163957" w:rsidRDefault="00163957" w:rsidP="00163957">
      <w:pPr>
        <w:pStyle w:val="TextoNormal"/>
      </w:pPr>
      <w:r>
        <w:t xml:space="preserve">Destaca el Auto que la disposición impone una retroactividad de grado máximo al incidir en situaciones plenamente consolidadas. En el caso objeto del proceso </w:t>
      </w:r>
      <w:r w:rsidRPr="00163957">
        <w:rPr>
          <w:i/>
        </w:rPr>
        <w:t>a quo</w:t>
      </w:r>
      <w:r>
        <w:t>, al tiempo de aprobarse, incluso habría prescrito la potestad de la Administración para liquidar el tributo y la del contribuyente para solicitar las oportunas devoluciones. En cuanto a las circunstancias concurrentes, considera que dicha retroactividad no puede entenderse justificada, ya que su objetivo fue el de otorgar cobertura legal a disposiciones reglamentarias cuya nulidad estaba “anunciada” por ser su contenido idéntico al que había sido anulado por las Sentencias del Tribunal Supremo de 9 de julio de 2008 y 30 de abril de 2009.</w:t>
      </w:r>
    </w:p>
    <w:p w:rsidR="00163957" w:rsidRDefault="00163957" w:rsidP="00163957">
      <w:pPr>
        <w:pStyle w:val="TextoNormal"/>
      </w:pPr>
    </w:p>
    <w:p w:rsidR="00163957" w:rsidRDefault="00163957" w:rsidP="00163957">
      <w:pPr>
        <w:pStyle w:val="TextoNormal"/>
      </w:pPr>
      <w:r>
        <w:t>Añade que incluso siendo identificable el objetivo de interés general perseguido, que consiste en evitar una improcedente tributación como irregulares de rendimientos del trabajo a los que no cupiera atribuir ese carácter, para su consecución no era necesario dotar a la norma de retroactividad propia, habiendo bastado una retroactividad impropia o de grado medio. Destaca asimismo que la disposición cuestionada afecta, indiscriminadamente, a todos los rendimientos de trabajo derivados de la concesión de opciones sobre acciones “que se imputen en un período impositivo que finalice con posterioridad a 4 de agosto de 2004”, sin tener en cuenta si estaban o no pendientes de revisión administrativa o judicial, cuando es obvio que la situación en uno u otro supuesto era distinta.</w:t>
      </w:r>
    </w:p>
    <w:p w:rsidR="00163957" w:rsidRDefault="00163957" w:rsidP="00163957">
      <w:pPr>
        <w:pStyle w:val="TextoNormal"/>
      </w:pPr>
    </w:p>
    <w:p w:rsidR="00163957" w:rsidRDefault="00163957" w:rsidP="00163957">
      <w:pPr>
        <w:pStyle w:val="TextoNormal"/>
      </w:pPr>
      <w:r>
        <w:t xml:space="preserve">b) Ésta es también la opinión que defiende la Fiscal General del Estado, que en un extenso escrito interesa igualmente la declaración de inconstitucionalidad del inciso cuestionado. Tras recoger de forma amplia la doctrina constitucional (con cita, entre otras, de las SSTC 126/1987 y 182/1997 así como las más recientes SSTC 176/2011 y 100/2012), y concluir que el grado de retroactividad de la norma cuestionada es máximo, destaca, como también lo hace el órgano promotor, que la norma cuestionada tenía como principal finalidad la de cubrir los déficit de reserva legal en materia tributaria de que adolecían tanto del Reglamento del impuesto sobre la renta de las personas físicas de 2004 como el de 2002, </w:t>
      </w:r>
      <w:r>
        <w:lastRenderedPageBreak/>
        <w:t>que habían sido previamente anulados por el Tribunal Supremo en lo referente al requisito de las opciones sobre acciones que aquí interesa.</w:t>
      </w:r>
    </w:p>
    <w:p w:rsidR="00163957" w:rsidRDefault="00163957" w:rsidP="00163957">
      <w:pPr>
        <w:pStyle w:val="TextoNormal"/>
      </w:pPr>
    </w:p>
    <w:p w:rsidR="00163957" w:rsidRDefault="00163957" w:rsidP="00163957">
      <w:pPr>
        <w:pStyle w:val="TextoNormal"/>
      </w:pPr>
      <w:r>
        <w:t>Considera que las razones que pudieran hacer conveniente la restricción de las ventajas fiscales ofrecidas a los perceptores de este tipo de rendimientos no son suficientes para poder concluir que su efecto retroactivo es respetuoso con el principio de seguridad jurídica, siendo el efecto de retroactividad máxima, excesivo y desproporcionado en los específicos términos en que se concretó y dadas las circunstancias en que se produjo, máxime teniendo en cuenta la anulación judicial de los reglamentos a los que se ha hecho referencia.</w:t>
      </w:r>
    </w:p>
    <w:p w:rsidR="00163957" w:rsidRDefault="00163957" w:rsidP="00163957">
      <w:pPr>
        <w:pStyle w:val="TextoNormal"/>
      </w:pPr>
    </w:p>
    <w:p w:rsidR="00163957" w:rsidRDefault="00163957" w:rsidP="00163957">
      <w:pPr>
        <w:pStyle w:val="TextoNormal"/>
      </w:pPr>
      <w:r>
        <w:t xml:space="preserve">c) La misma opinión es defendida, en fin, en su escrito de alegaciones, por la parte recurrente en el proceso </w:t>
      </w:r>
      <w:r w:rsidRPr="00163957">
        <w:rPr>
          <w:i/>
        </w:rPr>
        <w:t>a quo</w:t>
      </w:r>
      <w:r>
        <w:t xml:space="preserve"> que, con similares argumentos, aduce que la norma incurre en retroactividad de grado máximo, sin que se haya justificado la existencia de “exigencias cualificadas el bien común que podrían imponerse excepcionalmente al principio”, no habiéndose tampoco superado el test de previsibilidad en cuanto a sus efectos en el tiempo. Todo ello se alega con apoyo tanto en la jurisprudencia del Tribunal Constitucional como en la del Tribunal de Justicia de la Unión Europea, con cita, entre otras, de la Sentencia de 12 diciembre 2013 (asunto C-362/12), caso </w:t>
      </w:r>
      <w:r w:rsidRPr="00163957">
        <w:rPr>
          <w:i/>
        </w:rPr>
        <w:t>Test Claimants in the Franken Investment Income Group Litigation</w:t>
      </w:r>
      <w:r>
        <w:t>.</w:t>
      </w:r>
    </w:p>
    <w:p w:rsidR="00163957" w:rsidRDefault="00163957" w:rsidP="00163957">
      <w:pPr>
        <w:pStyle w:val="TextoNormal"/>
      </w:pPr>
    </w:p>
    <w:p w:rsidR="00163957" w:rsidRDefault="00163957" w:rsidP="00163957">
      <w:pPr>
        <w:pStyle w:val="TextoNormal"/>
      </w:pPr>
      <w:r>
        <w:t>d) El Abogado del Estado defiende por el contrario, y en los términos que se han resumido en los antecedentes, que concurrían razones cualificadas de interés general, toda vez que, si bien es cierto que la justificación de la enmienda mediante la que se introdujo la meritada disposición adicional puede “no dar una idea clara y certera de la finalidad de la reforma”, debe tenerse en cuenta que la exposición de motivos de la Ley de economía sostenible contiene una referencia expresa a la “crisis financiera y económica internacional, la más grave en muchas décadas”. De esta manera, sostiene que el objetivo del cambio normativo resulta tan evidente que no precisa de especial fundamento, toda vez que la concesión de opciones sobre acciones se ha venido utilizando como un mecanismo de planificación fiscal contraria a la finalidad y espíritu de la reducción de la base imponible, de forma que la medida tiene, en última instancia, la finalidad de salvaguardar el principio de justicia en materia tributaria consagrado en el art. 31 CE.</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entrar a dar respuesta al fondo del asunto, es necesario indicar que el precepto cuestionado no se encuentra ya en vigor, habiendo sido modificado, con efectos a partir del 1 de enero de 2015, mediante el art. 1.78 de la 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w:t>
      </w:r>
    </w:p>
    <w:p w:rsidR="00163957" w:rsidRDefault="00163957" w:rsidP="00163957">
      <w:pPr>
        <w:pStyle w:val="TextoNormal"/>
      </w:pPr>
    </w:p>
    <w:p w:rsidR="00163957" w:rsidRDefault="00163957" w:rsidP="00163957">
      <w:pPr>
        <w:pStyle w:val="TextoNormal"/>
      </w:pPr>
      <w:r>
        <w:t xml:space="preserve">Como hemos reiterado en tantos supuestos similares, lo anterior no es óbice para continuar con su enjuiciamiento en este tipo de proceso jurisdiccional, donde lo relevante es que la norma que se cuestione resulte efectivamente aplicable en el proceso </w:t>
      </w:r>
      <w:r w:rsidRPr="00163957">
        <w:rPr>
          <w:i/>
        </w:rPr>
        <w:t>a quo</w:t>
      </w:r>
      <w:r>
        <w:t>, y que de su validez dependa la decisión a adoptar en éste (SSTC 255/2004, de 23 de diciembre, FJ 2; 116/2009, de 18 de mayo, FJ 2; 73/2014, de 8 de mayo, FJ 2; 83/2015, de 30 de abril, FJ 3, y 25/2016, de 15 de febrero, FJ 1, entre otras muchas).</w:t>
      </w:r>
    </w:p>
    <w:p w:rsidR="00163957" w:rsidRDefault="00163957" w:rsidP="00163957">
      <w:pPr>
        <w:pStyle w:val="TextoNormal"/>
      </w:pPr>
    </w:p>
    <w:p w:rsidR="00163957" w:rsidRDefault="00163957" w:rsidP="00163957">
      <w:pPr>
        <w:pStyle w:val="TextoNormal"/>
      </w:pPr>
      <w:r>
        <w:lastRenderedPageBreak/>
        <w:t>La Sala de lo Contencioso-Administrativo del Tribunal Supremo afirma en el Auto de planteamiento que la norma aplicable al procedimiento en el que se plantea la cuestión es la redacción original. Estando adecuadamente razonado el juicio de aplicabilidad y relevancia —que suscriben el Abogado del Estado y la Fiscal General del Estado— nuestro enjuiciamiento habrá de referirse a la redacción original anteriormente reproducida, sin tomar en consideración las modificaciones posteriores.</w:t>
      </w:r>
    </w:p>
    <w:p w:rsidR="00163957" w:rsidRDefault="00163957" w:rsidP="00163957">
      <w:pPr>
        <w:pStyle w:val="TextoNormal"/>
      </w:pPr>
    </w:p>
    <w:p w:rsidR="00163957" w:rsidRDefault="00163957" w:rsidP="00163957">
      <w:pPr>
        <w:pStyle w:val="TextoNormal"/>
      </w:pPr>
      <w:r>
        <w:t>El objeto de nuestro enjuiciamiento será por tanto la redacción original de la disposición adicional trigésima primera de la Ley 35/2006, incorporada por la disposición final cuadragésima novena.1 de la Ley 2/2011, de 4 de marzo, de economía sostenible, que ha estado vigente entre el 6 de marzo de 2011 y el 31 de enero de 2014. En todo caso, no es impertinente señalar que este enjuiciamiento no afecta al recurso de inconstitucionalidad 6642-2011, interpuesto contra esta misma ley y pendiente de resolución.</w:t>
      </w:r>
    </w:p>
    <w:p w:rsidR="00163957" w:rsidRDefault="00163957" w:rsidP="00163957">
      <w:pPr>
        <w:pStyle w:val="TextoNormal"/>
      </w:pPr>
    </w:p>
    <w:p w:rsidR="00163957" w:rsidRDefault="00163957" w:rsidP="00163957">
      <w:pPr>
        <w:pStyle w:val="TextoNormal"/>
      </w:pPr>
      <w:r w:rsidRPr="00163957">
        <w:rPr>
          <w:rStyle w:val="NumeroAFNegritaCaracter"/>
        </w:rPr>
        <w:t>3</w:t>
      </w:r>
      <w:r>
        <w:t>. Como ya ha quedado expuesto en los antecedentes, y en el fundamento primero, la disposición se refiere a los rendimientos del trabajo que deriven del ejercicio de opciones de compra sobre acciones o participaciones por parte de los trabajadores.</w:t>
      </w:r>
    </w:p>
    <w:p w:rsidR="00163957" w:rsidRDefault="00163957" w:rsidP="00163957">
      <w:pPr>
        <w:pStyle w:val="TextoNormal"/>
      </w:pPr>
    </w:p>
    <w:p w:rsidR="00163957" w:rsidRDefault="00163957" w:rsidP="00163957">
      <w:pPr>
        <w:pStyle w:val="TextoNormal"/>
      </w:pPr>
      <w:r>
        <w:t>Para un cabal entendimiento de las cuestiones que se plantean en este pleito, debemos exponer de forma sucinta la evolución reciente de su régimen jurídico.</w:t>
      </w:r>
    </w:p>
    <w:p w:rsidR="00163957" w:rsidRDefault="00163957" w:rsidP="00163957">
      <w:pPr>
        <w:pStyle w:val="TextoNormal"/>
      </w:pPr>
    </w:p>
    <w:p w:rsidR="00163957" w:rsidRDefault="00163957" w:rsidP="00163957">
      <w:pPr>
        <w:pStyle w:val="TextoNormal"/>
      </w:pPr>
      <w:r>
        <w:t>El art. 17.2 a) de la Ley 40/1998, de 9 de diciembre, del impuesto sobre la renta de las personas físicas y otras normas tributarias, el artículo de idéntica numeración del Real Decreto Legislativo 3/2004, de 5 de marzo, por el que se aprueba el texto refundido de la Ley del impuesto sobre la renta de las personas físicas y, con posterioridad, el art. 18.2 de la Ley 35/2006, de 28 de noviembre, del impuesto sobre la renta de las personas físicas, establecieron que los rendimientos derivados del ejercicio de opciones de compra sobre acciones o participaciones por los trabajadores se computarían en la base imponible del impuesto tras una reducción de su importe, que se ha venido fijando en el 40 por 100, y siempre que se cumplan, además, determinadas condiciones. Como sucede con otras rentas irregulares, la reducción tiene por finalidad mitigar el efecto que la progresividad del impuesto tendría sobre rentas que se perciben en un único ejercicio, pero que, en puridad, se han generado en varios.</w:t>
      </w:r>
    </w:p>
    <w:p w:rsidR="00163957" w:rsidRDefault="00163957" w:rsidP="00163957">
      <w:pPr>
        <w:pStyle w:val="TextoNormal"/>
      </w:pPr>
    </w:p>
    <w:p w:rsidR="00163957" w:rsidRDefault="00163957" w:rsidP="00163957">
      <w:pPr>
        <w:pStyle w:val="TextoNormal"/>
      </w:pPr>
      <w:r>
        <w:t>La disposición que ahora se cuestiona condiciona la aplicación de la reducción a las opciones de compra que cumplan el resto de requisitos (obtención de forma periódica o recurrente, y ejercicio transcurridos más de dos años desde su concesión) a que dichas opciones no se concedan anualmente. Se pretende así evitar que se beneficien de la reducción de rentas irregulares rentas que notoriamente no lo sean, precisamente por percibirse con regularidad en el tiempo, como sucedería si se obtuvieran de forma anual.</w:t>
      </w:r>
    </w:p>
    <w:p w:rsidR="00163957" w:rsidRDefault="00163957" w:rsidP="00163957">
      <w:pPr>
        <w:pStyle w:val="TextoNormal"/>
      </w:pPr>
    </w:p>
    <w:p w:rsidR="00163957" w:rsidRDefault="00163957" w:rsidP="00163957">
      <w:pPr>
        <w:pStyle w:val="TextoNormal"/>
      </w:pPr>
      <w:r>
        <w:t>Ahora bien, hasta la aprobación de la disposición legal, esta última condición o requisito, “si, además, no se conceden anualmente”, había venido siendo establecida en normas reglamentarias.</w:t>
      </w:r>
    </w:p>
    <w:p w:rsidR="00163957" w:rsidRDefault="00163957" w:rsidP="00163957">
      <w:pPr>
        <w:pStyle w:val="TextoNormal"/>
      </w:pPr>
    </w:p>
    <w:p w:rsidR="00163957" w:rsidRDefault="00163957" w:rsidP="00163957">
      <w:pPr>
        <w:pStyle w:val="TextoNormal"/>
      </w:pPr>
      <w:r>
        <w:t xml:space="preserve">En concreto, dicha condición se estableció primero en el Real Decreto 214/1999, de 5 de febrero, por el que se aprueba el Reglamento del impuesto sobre la renta de las personas físicas (art. 10.3) y, posteriormente y en términos similares, en el Real Decreto 1775/2004, </w:t>
      </w:r>
      <w:r>
        <w:lastRenderedPageBreak/>
        <w:t>de 30 de julio y, finalmente, el Real Decreto 439/2007, de 30 de marzo, por el que se aprueba el Reglamento del impuesto sobre la renta de las personas físicas, y que reprodujo el mismo tenor en su art. 11.3.</w:t>
      </w:r>
    </w:p>
    <w:p w:rsidR="00163957" w:rsidRDefault="00163957" w:rsidP="00163957">
      <w:pPr>
        <w:pStyle w:val="TextoNormal"/>
      </w:pPr>
    </w:p>
    <w:p w:rsidR="00163957" w:rsidRDefault="00163957" w:rsidP="00163957">
      <w:pPr>
        <w:pStyle w:val="TextoNormal"/>
      </w:pPr>
      <w:r>
        <w:t>El primer desarrollo reglamentario, llevado a cabo por el art. 10.3 del Real Decreto 214/1999, de 5 de febrero, por el que se aprueba el Reglamento del impuesto sobre la renta de las personas físicas, fue anulado por la Sala de lo Contencioso-Administrativo del Tribunal Supremo al declararse excesivo, e ilegal. En concreto, las Sentencias del Tribunal Supremo (Sala Tercera) de 9 de julio de 2008 y de 30 de abril de 2009, respectivamente, declararon la nulidad de los incisos “cuando sólo puedan ejercitarse transcurridos más de dos años desde su concesión” y “si, además, no se conceden anualmente”, del art. 10.3 del Real Decreto 214/1999, por entender que constituían excesos reglamentarios sobre la disposición legal que infringían la reserva de ley vigente en materia tributaria y el principio de jerarquía.</w:t>
      </w:r>
    </w:p>
    <w:p w:rsidR="00163957" w:rsidRDefault="00163957" w:rsidP="00163957">
      <w:pPr>
        <w:pStyle w:val="TextoNormal"/>
      </w:pPr>
    </w:p>
    <w:p w:rsidR="00163957" w:rsidRDefault="00163957" w:rsidP="00163957">
      <w:pPr>
        <w:pStyle w:val="TextoNormal"/>
      </w:pPr>
      <w:r>
        <w:t>Pues bien, el Real Decreto 1775/2004, de 30 de julio, que reprodujo sin variación el precedente art. 10.3 del Reglamento de 1999, fue la norma que inicialmente habría resultado aplicable al supuesto de hecho que subyace a esta cuestión, si no se hubiera modificado la Ley del impuesto con efectos retroactivos. El Real Decreto 1775/2004 entró en vigor el 5 de agosto de 2004. Por su parte, la disposición adicional trigésima primera de la Ley 35/2006, introducida mediante la Ley 2/2011, habría de resultar aplicable a aquellos rendimientos que se imputaran “con posterioridad a 4 de agosto de 2004”. Dada la coincidencia de las fechas de entrada en vigor del Reglamento y los efectos retroactivos de la citada Ley, el Auto del Tribunal Supremo considera que tal efecto retroactivo venía motivado para evitar el vacío normativo consecuencia de la previsible anulación del Reglamento de 2004, pues dada su identidad con el Reglamento de 1999, y dada también la identidad de las normas legales reguladoras del impuesto, incurre en el mismo exceso reglamentario.</w:t>
      </w:r>
    </w:p>
    <w:p w:rsidR="00163957" w:rsidRDefault="00163957" w:rsidP="00163957">
      <w:pPr>
        <w:pStyle w:val="TextoNormal"/>
      </w:pPr>
    </w:p>
    <w:p w:rsidR="00163957" w:rsidRDefault="00163957" w:rsidP="00163957">
      <w:pPr>
        <w:pStyle w:val="TextoNormal"/>
      </w:pPr>
      <w:r w:rsidRPr="00163957">
        <w:rPr>
          <w:rStyle w:val="NumeroAFNegritaCaracter"/>
        </w:rPr>
        <w:t>4</w:t>
      </w:r>
      <w:r>
        <w:t>. En los términos ya expuestos, la disposición adicional trigésima primera de la Ley 35/2006, incorporada por la disposición final cuadragésima novena, apartado 1, de la Ley 2/2011, se cuestiona únicamente por su efecto retroactivo, al aplicarse a rendimientos generados a partir del 5 de agosto de 2004.</w:t>
      </w:r>
    </w:p>
    <w:p w:rsidR="00163957" w:rsidRDefault="00163957" w:rsidP="00163957">
      <w:pPr>
        <w:pStyle w:val="TextoNormal"/>
      </w:pPr>
    </w:p>
    <w:p w:rsidR="00163957" w:rsidRDefault="00163957" w:rsidP="00163957">
      <w:pPr>
        <w:pStyle w:val="TextoNormal"/>
      </w:pPr>
      <w:r>
        <w:t>Para examinar la compatibilidad de tal retroactividad con el art. 9.3 CE debemos antes de nada recordar que no existe una prohibición constitucional de la legislación tributaria retroactiva, pues las normas tributarias no tienen carácter sancionador sino que imponen a los ciudadanos la obligación de contribuir al sostenimiento de gastos públicos o de efectuar prestaciones patrimoniales de carácter público (art. 31.3 CE). Tampoco, como hemos reiterado, existe en nuestro ordenamiento constitucional un derecho de los ciudadanos al mantenimiento de un determinado régimen fiscal (SSTC 126/1987, de 16 de julio, FJ 11 y 116/2009, de 18 de mayo, FJ 3), aun cuando sí se exija la protección de la confianza de los ciudadanos que ajustan su conducta económica a la legislación vigente frente a cambios normativos que no sean razonablemente previsibles, ya que la retroactividad posible de las normas no puede trascender la interdicción de la arbitrariedad (SSTC 150/1990, de 4 de octubre, FJ 8; 182/1997, de 28 de octubre, FJ 11; 89/2009, de 20 de abril, FJ 3; 90/2009, de 20 de abril, FJ 4, y 100/2012, de 8 de mayo, FJ 10).</w:t>
      </w:r>
    </w:p>
    <w:p w:rsidR="00163957" w:rsidRDefault="00163957" w:rsidP="00163957">
      <w:pPr>
        <w:pStyle w:val="TextoNormal"/>
      </w:pPr>
    </w:p>
    <w:p w:rsidR="00163957" w:rsidRDefault="00163957" w:rsidP="00163957">
      <w:pPr>
        <w:pStyle w:val="TextoNormal"/>
      </w:pPr>
      <w:r>
        <w:lastRenderedPageBreak/>
        <w:t>Por tanto, la retroactividad podrá ser contraria al principio de seguridad jurídica e interdicción de la arbitrariedad (art. 9.3 CE), dependiendo de su grado, así como las circunstancias específicas que concurran en cada caso, lo que resultará clave en el enjuiciamiento a la luz de la Constitución [SSTC 126/1987, de 16 de julio, FJ 11; 150/1990, de 4 de octubre, FJ 8; 173/1996, de 31 de octubre, FJ 3; 182/1997, de 20 de octubre, FJ 11 c), y STC 176/2011, de 8 de noviembre, FJ 5, entre muchas otras].</w:t>
      </w:r>
    </w:p>
    <w:p w:rsidR="00163957" w:rsidRDefault="00163957" w:rsidP="00163957">
      <w:pPr>
        <w:pStyle w:val="TextoNormal"/>
      </w:pPr>
    </w:p>
    <w:p w:rsidR="00163957" w:rsidRDefault="00163957" w:rsidP="00163957">
      <w:pPr>
        <w:pStyle w:val="TextoNormal"/>
      </w:pPr>
      <w:r>
        <w:t>Asimismo, es preciso tener en cuenta de manera especial tanto el tipo de impuesto en que se produce, su naturaleza y la estructura del hecho imponible, como las circunstancias concretas concurrentes en el caso. Conviene recordar que, a efectos de la determinación de la norma aplicable, en la dogmática tributaria el devengo es el momento en que, por establecerlo así la Ley, se entiende realizado el hecho imponible y nacida la obligación tributaria. En los tributos instantáneos el aspecto temporal del hecho imponible no adquiere relevancia jurídica y la realización del elemento material del hecho imponible determina el nacimiento de la obligación tributaria. Ahora bien, en los tributos periódicos, cuyo hecho imponible consiste en un estado de cosas o situación (elemento material) que no se agota en sí mismo sino que se prolonga de manera continuada en el tiempo, no basta, a fin de ponderar el alcance de la retroactividad de la norma, con atender sólo al momento del devengo; ha de tenerse en cuenta también el período impositivo o dimensión temporal del elemento objetivo del hecho imponible.</w:t>
      </w:r>
    </w:p>
    <w:p w:rsidR="00163957" w:rsidRDefault="00163957" w:rsidP="00163957">
      <w:pPr>
        <w:pStyle w:val="TextoNormal"/>
      </w:pPr>
    </w:p>
    <w:p w:rsidR="00163957" w:rsidRDefault="00163957" w:rsidP="00163957">
      <w:pPr>
        <w:pStyle w:val="TextoNormal"/>
      </w:pPr>
      <w:r>
        <w:t>En este caso, todas las partes coinciden en que, en los ejercicios 2004 a 2010, estamos ante un supuesto de retroactividad de grado máximo, pues se afecta a situaciones jurídicas cuyos efectos ya se han consolidado (SSTC 126/1987, de 16 de julio, FJ 11; 197/1992, de 19 de noviembre, FJ 4 y 182/1997, de 28 de octubre, FJ 11).</w:t>
      </w:r>
    </w:p>
    <w:p w:rsidR="00163957" w:rsidRDefault="00163957" w:rsidP="00163957">
      <w:pPr>
        <w:pStyle w:val="TextoNormal"/>
      </w:pPr>
    </w:p>
    <w:p w:rsidR="00163957" w:rsidRDefault="00163957" w:rsidP="00163957">
      <w:pPr>
        <w:pStyle w:val="TextoNormal"/>
      </w:pPr>
      <w:r>
        <w:t>La norma afecta a siete ejercicios fiscales que ya habían finalizado en el momento de su entrada en vigor (ejercicios 2004 a 2010), por lo que sólo puede concluirse que su incidencia inmediata sobre el principio de seguridad jurídica es evidente, lo que permite anticipar que es susceptible de trascender la interdicción de la arbitrariedad (SSTC 150/1990, de 4 de octubre, FJ 8; 182/1997, de 28 de octubre, FJ 11; 90/2009, de 20 de abril, FJ 4, y 100/2012, de 8 de mayo, FJ 10). En efecto, en los casos de retroactividad propia, hemos reiterado que, como regla general, la prohibición de la retroactividad operaria plenamente, de modo que debe examinarse si concurren “exigencias cualificadas del bien común” [STC 176/2011, FJ 5, con cita de las SSTC 126/1987, de 16 de julio, FJ 11; 197/1992, de 19 de noviembre, FJ 4; 173/1996, de 31 de octubre, FJ 5 C), y 182/1997, de 20 de octubre, FJ 11 d)], pues sólo en tal caso podrá concluirse la licitud de la disposición y, por tanto, el sacrificio de ese principio.</w:t>
      </w:r>
    </w:p>
    <w:p w:rsidR="00163957" w:rsidRDefault="00163957" w:rsidP="00163957">
      <w:pPr>
        <w:pStyle w:val="TextoNormal"/>
      </w:pPr>
    </w:p>
    <w:p w:rsidR="00163957" w:rsidRDefault="00163957" w:rsidP="00163957">
      <w:pPr>
        <w:pStyle w:val="TextoNormal"/>
      </w:pPr>
      <w:r>
        <w:t>Al respecto, hemos insistido en que dichas exigencias de interés general “deben ser especialmente nítidas cuando la norma retroactiva de que se trate incide en un tributo como el impuesto sobre la renta de las personas físicas” [STC 182/1997, de 28 de octubre, FJ 13 A)], que es lo que acontece en este caso.</w:t>
      </w:r>
    </w:p>
    <w:p w:rsidR="00163957" w:rsidRDefault="00163957" w:rsidP="00163957">
      <w:pPr>
        <w:pStyle w:val="TextoNormal"/>
      </w:pPr>
    </w:p>
    <w:p w:rsidR="00163957" w:rsidRDefault="00163957" w:rsidP="00163957">
      <w:pPr>
        <w:pStyle w:val="TextoNormal"/>
      </w:pPr>
      <w:r w:rsidRPr="00163957">
        <w:rPr>
          <w:rStyle w:val="NumeroAFNegritaCaracter"/>
        </w:rPr>
        <w:t>5</w:t>
      </w:r>
      <w:r>
        <w:t>. Constatado que, en los ejercicios 2004 a 2010, se produce una retroactividad de grado máximo, debemos examinar si concurre alguna razón que permita entender justificada la afectación que a la seguridad jurídica se ha producido, examinando el conjunto de circunstancias que concurren en el supuesto.</w:t>
      </w:r>
    </w:p>
    <w:p w:rsidR="00163957" w:rsidRDefault="00163957" w:rsidP="00163957">
      <w:pPr>
        <w:pStyle w:val="TextoNormal"/>
      </w:pPr>
    </w:p>
    <w:p w:rsidR="00163957" w:rsidRDefault="00163957" w:rsidP="00163957">
      <w:pPr>
        <w:pStyle w:val="TextoNormal"/>
      </w:pPr>
      <w:r>
        <w:t>La disposición final cuestionada fue incorporada en el Senado mediante una enmienda del Grupo Socialista, (la número 608), y fue justificada en la necesidad de “aclarar el régimen tributario aplicable a los rendimientos del trabajo derivados del ejercicio de opciones de compra sobre acciones, incrementando la seguridad jurídica de las empresas y trabajadores cuyos planes de opciones se ajustaron a tales requisitos” (“Boletín Oficial de las Cortes Generales”, Senado, número 9, de 28 enero 2011, página 509).</w:t>
      </w:r>
    </w:p>
    <w:p w:rsidR="00163957" w:rsidRDefault="00163957" w:rsidP="00163957">
      <w:pPr>
        <w:pStyle w:val="TextoNormal"/>
      </w:pPr>
    </w:p>
    <w:p w:rsidR="00163957" w:rsidRDefault="00163957" w:rsidP="00163957">
      <w:pPr>
        <w:pStyle w:val="TextoNormal"/>
      </w:pPr>
      <w:r>
        <w:t>Esta finalidad, que puede guardar conexión con la decisión del legislador de otorgar rango de ley al régimen jurídico que, hasta ese momento, había venido siendo regulado mediante reglamento, no se encuentra sin embargo conectada con el grado de retroactividad otorgado a la medida, sino sólo con su incorporación a la norma legal.</w:t>
      </w:r>
    </w:p>
    <w:p w:rsidR="00163957" w:rsidRDefault="00163957" w:rsidP="00163957">
      <w:pPr>
        <w:pStyle w:val="TextoNormal"/>
      </w:pPr>
    </w:p>
    <w:p w:rsidR="00163957" w:rsidRDefault="00163957" w:rsidP="00163957">
      <w:pPr>
        <w:pStyle w:val="TextoNormal"/>
      </w:pPr>
      <w:r>
        <w:t>El Abogado del Estado justifica la adopción de la disposición cuestionada afirmando que existen “poderosas razones de interés general”, y resaltando que el objetivo del cambio normativo “es tan evidente que no requiere especial fundamento”. Más concretamente, se refiere a dos tipos de justificaciones; por un lado, el contexto de crisis financiera que rodea el momento en que la medida se aprueba y, por otro, que las opciones sobre acciones han sido empleadas en maniobras de planificación fiscal, con lo que la medida pretendería en suma salvaguardar el principio de justicia tributaria consagrado en el art. 31.1 CE.</w:t>
      </w:r>
    </w:p>
    <w:p w:rsidR="00163957" w:rsidRDefault="00163957" w:rsidP="00163957">
      <w:pPr>
        <w:pStyle w:val="TextoNormal"/>
      </w:pPr>
    </w:p>
    <w:p w:rsidR="00163957" w:rsidRDefault="00163957" w:rsidP="00163957">
      <w:pPr>
        <w:pStyle w:val="TextoNormal"/>
      </w:pPr>
      <w:r>
        <w:t>Estas razones no son suficientes para entender justificada la retroactividad en este caso.</w:t>
      </w:r>
    </w:p>
    <w:p w:rsidR="00163957" w:rsidRDefault="00163957" w:rsidP="00163957">
      <w:pPr>
        <w:pStyle w:val="TextoNormal"/>
      </w:pPr>
    </w:p>
    <w:p w:rsidR="00163957" w:rsidRDefault="00163957" w:rsidP="00163957">
      <w:pPr>
        <w:pStyle w:val="TextoNormal"/>
      </w:pPr>
      <w:r>
        <w:t>En primer lugar, las invocaciones genéricas a la crisis financiera no pueden tener virtualidad alguna, por sí mismas, para admitir el establecimiento de una medida con el grado de retroactividad como la que aquí se cuestiona. La realidad de la crisis financiera, y sus devastadores efectos sobre las cuentas públicas, no permiten sin más tener por justificado cualquier grado de retroactividad por el mero hecho de que éste pueda facilitar que se atajen economías de opción como las que refiere el escrito del Abogado del Estado. Todo ello sin perjuicio de que lo que se controvierte en este caso no es la medida en sí, sino su efecto retroactivo, que extiende sus efectos desde el ejercicio de 2004, alcanzando de lleno ejercicios en los cuáles la crisis financiera y después económica no había ni siquiera empezado.</w:t>
      </w:r>
    </w:p>
    <w:p w:rsidR="00163957" w:rsidRDefault="00163957" w:rsidP="00163957">
      <w:pPr>
        <w:pStyle w:val="TextoNormal"/>
      </w:pPr>
    </w:p>
    <w:p w:rsidR="00163957" w:rsidRDefault="00163957" w:rsidP="00163957">
      <w:pPr>
        <w:pStyle w:val="TextoNormal"/>
      </w:pPr>
      <w:r>
        <w:t xml:space="preserve">En segundo lugar, y en concreto sobre la justicia tributaria, a la que también alude el Abogado del Estado, no cabe duda de que la finalidad de luchar contra determinadas economías de opción, o directamente contra prácticas elusivas de impuestos, constituye, como tantas veces hemos reiterado, un mandato constitucional, ya que “la amplitud y la complejidad de las funciones que asume el Estado hace que los gastos públicos sean tan cuantiosos que el deber de una aportación equitativa para su sostenimiento resulta especialmente apremiante. De otra forma se produciría una distribución injusta en la carga fiscal, ya que lo que unos no paguen debiendo pagar, lo tendrán que pagar otros con más espíritu cívico o con menos posibilidades de defraudar” (por todas, STC 110/1984, de 26 de noviembre, FJ 3). La garantía de un sistema tributario justo es central a todo Estado social y democrático de derecho, ya que, en ausencia de tal sistema, no puede ni siquiera haber una sociedad civilizada. Ahora bien, ello no permite, sin más, que el legislador pueda anudar a una disposición una retroactividad de efectos tan amplios como la que aquí se enjuicia, pues ello convertiría el principio de seguridad jurídica en una mera ilusión o en un principio vacío de contenido. Tampoco el hecho de que, en ocasiones, el empleo de normas retroactivas pueda permitir </w:t>
      </w:r>
      <w:r>
        <w:lastRenderedPageBreak/>
        <w:t xml:space="preserve">atajar determinados mecanismos de elusión de impuestos, como se ha constatado entre otros casos en el decidido en la Sentencia del Tribunal de Justicia de la Unión Europea 26 de abril de 2005 (C-376/02), caso </w:t>
      </w:r>
      <w:r w:rsidRPr="00163957">
        <w:rPr>
          <w:i/>
        </w:rPr>
        <w:t>Stichting Goed Wonen contra Staatssecretaris van Financiën</w:t>
      </w:r>
      <w:r>
        <w:t xml:space="preserve">, no permite sin más avalar una retroactividad auténtica y amplia como la que aquí se examina, pues ello supone desconocer abiertamente un valor central del ordenamiento jurídico como es el principio de confianza legítima, corolario del principio de seguridad jurídica y al que también se ha referido el mismo Tribunal [entre otras en las Sentencias de 11 de julio de 2002, Marks &amp; Spencer (C 62/00), párrafo 46; o de 12 diciembre 2013, (asunto C 362/12), caso </w:t>
      </w:r>
      <w:r w:rsidRPr="00163957">
        <w:rPr>
          <w:i/>
        </w:rPr>
        <w:t>Test Claimants in the Franken Investment Income Group Litigation</w:t>
      </w:r>
      <w:r>
        <w:t>, párrafos 44 y siguientes].</w:t>
      </w:r>
    </w:p>
    <w:p w:rsidR="00163957" w:rsidRDefault="00163957" w:rsidP="00163957">
      <w:pPr>
        <w:pStyle w:val="TextoNormal"/>
      </w:pPr>
    </w:p>
    <w:p w:rsidR="00163957" w:rsidRDefault="00163957" w:rsidP="00163957">
      <w:pPr>
        <w:pStyle w:val="TextoNormal"/>
      </w:pPr>
      <w:r>
        <w:t>En este sentido, no está de más recordar que la justicia tributaria fue ya invocada, en similares términos genéricos, en relación precisamente con una norma retroactiva del impuesto sobre la renta de las personas físicas que afectaba a determinados rendimientos irregulares, en el asunto enjuiciado en la STC 176/2011, de 8 de noviembre. También en aquél caso, según constatamos, el efecto retroactivo pretendía ampararse en “la finalidad, constitucionalmente respaldada, de una mayor justicia tributaria” (STC 126/1987, de 16 de julio, FJ 13). Dijimos entonces que “aunque pudieran haber existido razones que hicieran conveniente la modificación, sin embargo, en la medida en que dicha modificación afecta por igual a todas las rentas irregulares del trabajo, sin establecer distinciones de ningún tipo para aquellas rentas que pretendidamente serían el objeto de la medida porque con ellas se propiciaban operaciones de planificación fiscal, se produce un tratamiento indiscriminado. Este tratamiento indiscriminado implica que el efecto retroactivo se proyecte por igual sobre todas las rentas irregulares del trabajo, lo que no sólo pone en duda la existencia misma de un cualificado fin de interés general sino que tiene como consecuencia que la medida tenga un alcance más general que el que pudiera estar reflejado en la tramitación parlamentaria”, lo que nos condujo a concluir que la norma cuestionada “ha llevado a cabo, retroactivamente, una alteración en la determinación de la deuda tributaria del impuesto sobre la renta de las personas físicas sin la concurrencia de nítidas y cualificadas exigencias de interés general que justificasen el efecto retroactivo otorgado, lo que conduce a estimar que se ha producido la vulneración del principio de seguridad jurídica garantizado por el art. 9.3 de la Constitución y, en su consecuencia, a declarar la inconstitucionalidad y nulidad” (STC 176/2011, FJ 5).</w:t>
      </w:r>
    </w:p>
    <w:p w:rsidR="00163957" w:rsidRDefault="00163957" w:rsidP="00163957">
      <w:pPr>
        <w:pStyle w:val="TextoNormal"/>
      </w:pPr>
    </w:p>
    <w:p w:rsidR="00163957" w:rsidRDefault="00163957" w:rsidP="00163957">
      <w:pPr>
        <w:pStyle w:val="TextoNormal"/>
      </w:pPr>
      <w:r w:rsidRPr="00163957">
        <w:rPr>
          <w:rStyle w:val="NumeroAFNegritaCaracter"/>
        </w:rPr>
        <w:t>6</w:t>
      </w:r>
      <w:r>
        <w:t>. En este caso, la conclusión no puede ser diferente a la alcanzada en la STC 176/2011, para aquellos ejercicios en los que la retroactividad es de grado máximo, pues el efecto retroactivo de la norma afecta, también indiscriminadamente, a todo tipo de retribución mediante opciones sobre acciones, se haya constatado o no su uso torticero en la elusión de impuestos. Todo ello sin perjuicio de que el hecho de que la retribución mediante opciones sobre acciones pueda emplearse para eludir impuestos de forma contraria al ordenamiento jurídico, no es razón suficiente para avalar sin más una modificación retroactiva de su régimen, pues es evidente que cualquier instrumento o negocio jurídico, -como un contrato de compraventa o la creación de una sociedad- puede ser empleado para eludir impuestos. Dicho de otro modo, si se aceptara como justificación suficiente la potencialidad defraudadora de esta modalidad retributiva, ello permitiría admitir virtualmente cualquier tipo de medida retroactiva, siempre que pudiera demostrarse que afecta a algún negocio susceptible de ser empleado para la elusión de impuestos.</w:t>
      </w:r>
    </w:p>
    <w:p w:rsidR="00163957" w:rsidRDefault="00163957" w:rsidP="00163957">
      <w:pPr>
        <w:pStyle w:val="TextoNormal"/>
      </w:pPr>
    </w:p>
    <w:p w:rsidR="00163957" w:rsidRDefault="00163957" w:rsidP="00163957">
      <w:pPr>
        <w:pStyle w:val="TextoNormal"/>
      </w:pPr>
      <w:r>
        <w:lastRenderedPageBreak/>
        <w:t xml:space="preserve">Por último, no cabe cuestionar los motivos del legislador, pero si el objetivo de interés general era evitar una improcedente tributación como rendimientos del trabajo irregulares a los que no resulta jurídicamente posible atribuirles ese carácter, es evidente que para su consecución hubiera bastado con introducir la norma legal con efectos </w:t>
      </w:r>
      <w:r w:rsidRPr="00163957">
        <w:rPr>
          <w:i/>
        </w:rPr>
        <w:t>pro futuro</w:t>
      </w:r>
      <w:r>
        <w:t xml:space="preserve"> o, incluso, otorgarle una retroactividad impropia o de grado medio, lo que habría exigido que resultara aplicable sólo a aquéllos contribuyentes cuyos periodos impositivos no hubieran finalizado.</w:t>
      </w:r>
    </w:p>
    <w:p w:rsidR="00163957" w:rsidRDefault="00163957" w:rsidP="00163957">
      <w:pPr>
        <w:pStyle w:val="TextoNormal"/>
      </w:pPr>
    </w:p>
    <w:p w:rsidR="00163957" w:rsidRDefault="00163957" w:rsidP="00163957">
      <w:pPr>
        <w:pStyle w:val="TextoNormal"/>
      </w:pPr>
      <w:r>
        <w:t>Cabe así concluir, a partir de lo anterior, que no se han constatado razones suficientes para justificar un grado de retroactividad como el examinado en este proceso, pues debe insistirse en que los efectos de la disposición cuestionada se retrotraen a casi siete años naturales, de manera que, como destaca el Auto del promotor de la cuestión y también la Fiscal General del Estado, afecta incluso a ejercicios ya prescritos.</w:t>
      </w:r>
    </w:p>
    <w:p w:rsidR="00163957" w:rsidRDefault="00163957" w:rsidP="00163957">
      <w:pPr>
        <w:pStyle w:val="TextoNormal"/>
      </w:pPr>
    </w:p>
    <w:p w:rsidR="00163957" w:rsidRDefault="00163957" w:rsidP="00163957">
      <w:pPr>
        <w:pStyle w:val="TextoNormal"/>
      </w:pPr>
      <w:r>
        <w:t xml:space="preserve">El hecho de que la modificación que ahora se regula en una ley hubiera estado antes contemplada en una norma reglamentaria no enerva la conclusión alcanzada. Primero, porque cuando se trata de una retroactividad de grado máximo como la que se produce en los ejercicios 2004 a 2010, la previsibilidad no forma parte del análisis de su constitucionalidad. Y, en todo caso, porque por mucho que la medida en concreto adoptada pudiera ser previsible, el grado de retroactividad de la ley, que es lo que aquí se controvierte, no lo era. A mayor abundamiento, y como destacan tanto el Auto del Tribunal Supremo como el escrito de alegaciones de la Fiscal General del Estado, si como parece era previsible la declaración de ilegalidad de la norma reglamentaria, por ser ésta idéntica a otra anterior igualmente declarada ilegal, entonces la expectativa razonable de los contribuyentes era precisamente su anulación, de manera que el efecto retroactivo de la disposición que enjuiciamos sólo vendría justificado por la finalidad de sanar, </w:t>
      </w:r>
      <w:r w:rsidRPr="00163957">
        <w:rPr>
          <w:i/>
        </w:rPr>
        <w:t>a posteriori</w:t>
      </w:r>
      <w:r>
        <w:t>, una previsible declaración de exceso reglamentario.</w:t>
      </w:r>
    </w:p>
    <w:p w:rsidR="00163957" w:rsidRDefault="00163957" w:rsidP="00163957">
      <w:pPr>
        <w:pStyle w:val="TextoNormal"/>
      </w:pPr>
    </w:p>
    <w:p w:rsidR="00163957" w:rsidRDefault="00163957" w:rsidP="00163957">
      <w:pPr>
        <w:pStyle w:val="TextoNormal"/>
      </w:pPr>
      <w:r>
        <w:t>A ello hay que añadir, en segundo lugar, que este proceso constitucional sólo puede ceñirse a la disposición de rango legal que se cuestiona. Como se expone en el Auto de planteamiento de la cuestión, corresponderá al Tribunal Supremo, en su caso, pronunciarse sobre la norma reglamentaria.</w:t>
      </w:r>
    </w:p>
    <w:p w:rsidR="00163957" w:rsidRDefault="00163957" w:rsidP="00163957">
      <w:pPr>
        <w:pStyle w:val="TextoNormal"/>
      </w:pPr>
    </w:p>
    <w:p w:rsidR="00163957" w:rsidRDefault="00163957" w:rsidP="00163957">
      <w:pPr>
        <w:pStyle w:val="TextoNormal"/>
      </w:pPr>
      <w:r>
        <w:t>De acuerdo con lo que ha quedado expuesto, debemos concluir que la norma cuestionada ha vulnerado el art. 9.3 CE, toda vez que limita la aplicación de la reducción correspondiente a las rentas irregulares y le dota de una retroactividad de grado máximo, en los ejercicios 2004 a 2010, sin que se haya constatado la concurrencia de exigencias cualificadas de interés común que puedan resultar prevalentes. Tal efecto no tiene lugar, sin embargo, en el ejercicio 2011, ya que en éste la retroactividad era impropia, y la medida previsible, de acuerdo con nuestra doctrina (por todas, STC 182/1997, FJ 13). Procede en consecuencia estimar la cuestión planteada para los ejercicios 2004 a 2011 en los que la retroactividad fue de grado máximo, y declarar inconstitucional y nulo el inciso “que se imputen en un período impositivo que finalice con posterioridad a 4 de agosto de 2004”, de la disposición adicional 31ª de la Ley 35/2006, de 28 de noviembre, del impuesto sobre la renta de las personas físicas y de modificación parcial de las leyes de los impuestos sobre sociedades, sobre la renta de no residentes y sobre el patrimonio, en la redacción otorgada por la disposición final 49ª.1 de la Ley 2/2011, de 4 de marzo, de economía sostenible.</w:t>
      </w:r>
    </w:p>
    <w:p w:rsidR="00163957" w:rsidRDefault="00163957" w:rsidP="00163957">
      <w:pPr>
        <w:pStyle w:val="TextoNormal"/>
      </w:pPr>
    </w:p>
    <w:p w:rsidR="00163957" w:rsidRDefault="00163957" w:rsidP="00163957">
      <w:pPr>
        <w:pStyle w:val="TextoNormal"/>
      </w:pPr>
      <w:r>
        <w:lastRenderedPageBreak/>
        <w:t>Por último, no estará de más recordar que conforme al art. 40.1 de la LOTC, la presente Sentencia no permite revisar procesos ya fenecidos mediante sentencias con fuerza de cosa juzgada en los que se haya aplicado el precepto ahora declarado inconstitucional.</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la presente cuestión de inconstitucionalidad y, en su virtud, declarar inconstitucional y nulo el inciso “que se imputen en un período impositivo que finalice con posterioridad a 4 de agosto de 2004” de la disposición adicional trigésima primera de la Ley 35/2006, de 28 de noviembre, del impuesto sobre la renta de las personas físicas y de modificación parcial de las leyes de los impuestos sobre sociedades, sobre la renta de no residentes y sobre el patrimonio, en la redacción otorgada por la disposición final cuadragésima novena.1 de la Ley 2/2011, de 4 de marzo, de economía sostenible, en su aplicación a los ejercicios de 2004 a 2010.</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veintitrés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25" w:name="SENTENCIA_2016_122"/>
      <w:r>
        <w:lastRenderedPageBreak/>
        <w:t>SENTENCIA 122/2016, de 23 de junio de 2016</w:t>
      </w:r>
    </w:p>
    <w:bookmarkEnd w:id="125"/>
    <w:p w:rsidR="00163957" w:rsidRDefault="00163957" w:rsidP="00163957">
      <w:pPr>
        <w:pStyle w:val="TtuloResolucin"/>
      </w:pPr>
      <w:r>
        <w:t>Pleno</w:t>
      </w:r>
    </w:p>
    <w:p w:rsidR="00163957" w:rsidRDefault="00163957" w:rsidP="00163957">
      <w:pPr>
        <w:pStyle w:val="TtuloBOE"/>
      </w:pPr>
      <w:r>
        <w:t>(BOE núm. 181, de 28 de julio de 2016)</w:t>
      </w:r>
    </w:p>
    <w:p w:rsidR="00163957" w:rsidRDefault="00163957" w:rsidP="00163957">
      <w:pPr>
        <w:pStyle w:val="TextoNormalCentrado"/>
      </w:pPr>
      <w:r>
        <w:t>ECLI:ES:TC:2016:122</w:t>
      </w:r>
    </w:p>
    <w:p w:rsidR="00163957" w:rsidRDefault="00163957" w:rsidP="00163957">
      <w:pPr>
        <w:pStyle w:val="TextoNormalCentrado"/>
      </w:pPr>
    </w:p>
    <w:p w:rsidR="00163957" w:rsidRDefault="00163957" w:rsidP="00163957">
      <w:pPr>
        <w:pStyle w:val="SntesisDescriptiva"/>
      </w:pPr>
      <w:r>
        <w:t>Cuestión de inconstitucionalidad 451-2015. Planteada por la Sala de lo Contencioso-Administrativo del Tribunal Supremo en relación con la disposición adicional decimonovena de la Ley del Parlamento de las Illes Balears 8/2004, de 23 de diciembre, de medidas tributarias, administrativas y de función pública.</w:t>
      </w:r>
    </w:p>
    <w:p w:rsidR="00163957" w:rsidRDefault="00163957" w:rsidP="00163957">
      <w:pPr>
        <w:pStyle w:val="SntesisDescriptiva"/>
      </w:pPr>
    </w:p>
    <w:p w:rsidR="00163957" w:rsidRDefault="00163957" w:rsidP="00163957">
      <w:pPr>
        <w:pStyle w:val="SntesisAnaltica"/>
      </w:pPr>
      <w:r>
        <w:t>Principios de interdicción de la arbitrariedad, seguridad jurídica e igualdad: nulidad del precepto legal que deja sin efecto los procedimientos de concurso para la adjudicación de concesiones administrativas para la ocupación y explotación de instalaciones náutico-deportivas pendientes de resolución a la fecha de entrada en vigor de la Ley.</w:t>
      </w:r>
    </w:p>
    <w:p w:rsidR="00163957" w:rsidRDefault="00163957" w:rsidP="00163957">
      <w:pPr>
        <w:pStyle w:val="SntesisAnaltica"/>
      </w:pPr>
    </w:p>
    <w:p w:rsidR="00163957" w:rsidRDefault="00163957" w:rsidP="00163957">
      <w:pPr>
        <w:pStyle w:val="Extracto"/>
      </w:pPr>
      <w:r>
        <w:t>1.</w:t>
      </w:r>
      <w:r>
        <w:tab/>
        <w:t>Se debe declarar la inconstitucionalidad y nulidad de la disposición impugnada, pues, al implicar un tratamiento diferenciado no justificado para un único supuesto, vulnera los principios de igualdad y seguridad jurídica [FJ 6].</w:t>
      </w:r>
    </w:p>
    <w:p w:rsidR="00163957" w:rsidRDefault="00163957" w:rsidP="00163957">
      <w:pPr>
        <w:pStyle w:val="Extracto"/>
      </w:pPr>
    </w:p>
    <w:p w:rsidR="00163957" w:rsidRDefault="00163957" w:rsidP="00163957">
      <w:pPr>
        <w:pStyle w:val="Extracto"/>
      </w:pPr>
      <w:r>
        <w:t>2.</w:t>
      </w:r>
      <w:r>
        <w:tab/>
        <w:t>Este Tribunal definió la “ley singular” como “aquélla dictada en atención a un supuesto de hecho concreto y singular”,  de destinatario único, que además solo es susceptible de aplicarse una vez  -o, lo que es lo mismo, que es concreta o “autoaplicativa”- y que, por tanto, agota “su contenido y eficacia en la adopción y ejecución de la medida tomada por el legislador ante ese supuesto de hecho, aislado en la Ley singular y no comunicable con ningún otro” (SSTC 166/1986, 231/2015 y 233/2015) [FJ 3].</w:t>
      </w:r>
    </w:p>
    <w:p w:rsidR="00163957" w:rsidRDefault="00163957" w:rsidP="00163957">
      <w:pPr>
        <w:pStyle w:val="Extracto"/>
      </w:pPr>
    </w:p>
    <w:p w:rsidR="00163957" w:rsidRDefault="00163957" w:rsidP="00163957">
      <w:pPr>
        <w:pStyle w:val="Extracto"/>
      </w:pPr>
      <w:r>
        <w:t>3.</w:t>
      </w:r>
      <w:r>
        <w:tab/>
        <w:t>La disposición impugnada constituye una regulación singular y autoaplicativa, ya que de facto se refiere al procedimiento de concurso para la adjudicación de la concesión administrativa para la ocupación y explotación de las instalaciones náutico-deportivas del puerto deportivo de Andratx, que era el único que estaba pendiente de resolución a la fecha de su entrada en vigor [FJ 3].</w:t>
      </w:r>
    </w:p>
    <w:p w:rsidR="00163957" w:rsidRDefault="00163957" w:rsidP="00163957">
      <w:pPr>
        <w:pStyle w:val="Extracto"/>
      </w:pPr>
    </w:p>
    <w:p w:rsidR="00163957" w:rsidRDefault="00163957" w:rsidP="00163957">
      <w:pPr>
        <w:pStyle w:val="Extracto"/>
      </w:pPr>
      <w:r>
        <w:t>4.</w:t>
      </w:r>
      <w:r>
        <w:tab/>
        <w:t>La finalidad de paralizar cualquier concesión, que pudiera comprometer o retrasar la vigencia de la nueva legislación de puertos balear, podría haberse obtenido igualmente con los medios ordinarios disponibles para la Administración [FJ 6].</w:t>
      </w:r>
    </w:p>
    <w:p w:rsidR="00163957" w:rsidRDefault="00163957" w:rsidP="00163957">
      <w:pPr>
        <w:pStyle w:val="Extracto"/>
      </w:pPr>
    </w:p>
    <w:p w:rsidR="00163957" w:rsidRDefault="00163957" w:rsidP="00163957">
      <w:pPr>
        <w:pStyle w:val="Extracto"/>
      </w:pPr>
      <w:r>
        <w:t>5.</w:t>
      </w:r>
      <w:r>
        <w:tab/>
        <w:t>El legislador autonómico incurrió en un ejercicio arbitrario de la potestad legislativa y, al implicar la disposición adicional cuestionada un tratamiento diferenciado no justificado para un único supuesto, vulnera también el principio de igualdad (art. 14 CE) y genera una quiebra inadmisible del principio de seguridad jurídica (art. 9.3 CE), como garantía de certeza y previsibilidad del ordenamiento jurídico [FJ 6].</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 xml:space="preserve">El Pleno del Tribunal Constitucional, compuesto por don Francisco Pérez de los Cobos Orihuel, Presidente, doña Adela Asua Batarrita, doña Encarnación Roca Trías, don Andrés Ollero Tassara, don Fernando Valdés Dal-Ré, don Juan José González Rivas, don Santiago </w:t>
      </w:r>
      <w:r>
        <w:lastRenderedPageBreak/>
        <w:t>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la cuestión de inconstitucionalidad núm. 451-2015, planteada por la Sala de lo Contencioso-Administrativo del Tribunal Supremo, en relación con la disposición adicional decimonovena de la Ley del Parlamento de las Illes Balears 8/2004, de 23 de diciembre, de medidas tributarias, administrativas y de función pública, por posible vulneración de los arts. 9.3 y 14 CE. Ha comparecido y formulado alegaciones la Abogada de la Comunidad Autónoma de las Illes Balears y ha intervenido la Fiscal General del Estado. Ha sido Ponente el Magistrado don Andrés Ollero Tassara,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día 26 de enero de 2015 tuvo entrada en el Registro General de este Tribunal un oficio de la Sección Séptima de la Sala de lo Contencioso-Administrativo del Tribunal Supremo al que se acompaña, junto con el testimonio del procedimiento correspondiente (recurso de casación núm. 4751-2011), el Auto de 3 de diciembre de 2014, por el que se acuerda plantear cuestión de inconstitucionalidad respecto de la disposición adicional decimonovena de la Ley del Parlamento de las Illes Balears 8/2004, de 23 de diciembre, de medidas tributarias, administrativas y de función pública, por posible vulneración de los arts. 9.3 y 14 CE.</w:t>
      </w:r>
    </w:p>
    <w:p w:rsidR="00163957" w:rsidRDefault="00163957" w:rsidP="00163957">
      <w:pPr>
        <w:pStyle w:val="TextoNormal"/>
      </w:pPr>
    </w:p>
    <w:p w:rsidR="00163957" w:rsidRDefault="00163957" w:rsidP="00163957">
      <w:pPr>
        <w:pStyle w:val="TextoNormal"/>
      </w:pPr>
      <w:r w:rsidRPr="00163957">
        <w:rPr>
          <w:rStyle w:val="NumeroAFNegritaCaracter"/>
        </w:rPr>
        <w:t>2</w:t>
      </w:r>
      <w:r>
        <w:t>. Los hechos de los que trae causa esta cuestión de inconstitucionalidad son, resumidamente expuestos, los siguientes:</w:t>
      </w:r>
    </w:p>
    <w:p w:rsidR="00163957" w:rsidRDefault="00163957" w:rsidP="00163957">
      <w:pPr>
        <w:pStyle w:val="TextoNormal"/>
      </w:pPr>
    </w:p>
    <w:p w:rsidR="00163957" w:rsidRDefault="00163957" w:rsidP="00163957">
      <w:pPr>
        <w:pStyle w:val="TextoNormal"/>
      </w:pPr>
      <w:r>
        <w:t xml:space="preserve">a) Ante la Sala de lo Contencioso-Administrativo del Tribunal Supremo se sigue el recurso de casación núm. 4751-2011, interpuesto por una sociedad mercantil (Iniciatives Portuaris Mirall de Mar Mallorca, S.L.) contra la Sentencia dictada el 17 de junio de 2011 por la Sala de lo Contencioso-Administrativo del Tribunal Superior de Justicia de las Illes Balears, que desestimó el recurso contencioso-administrativo interpuesto por aquella contra determinados actos administrativos del Gobierno balear y del consejo de administración de Puertos de las Illes Balears, en relación con la adjudicación de la concesión administrativa para la ocupación y explotación de la instalación náutica deportiva para el amarre de embarcaciones deportivas y de recreo, construida en el puerto de Andratx (Mallorca). La sociedad recurrente no consiguió, pese a ser el licitador que obtuvo mayor puntuación, que le fuera adjudicada dicha concesión; fue, en cambio, otorgada por otros 30 años a la antigua concesionaria cuya oferta fue calificada en tercer lugar (con 34 puntos menos que la recurrente), de acuerdo con lo previsto en la disposición transitoria cuarta de la Ley 10/2005, de </w:t>
      </w:r>
      <w:r>
        <w:lastRenderedPageBreak/>
        <w:t>21 de junio, de puertos de las Illes Balears. Todo ello, tras haberle sido concedida, en aplicación de lo dispuesto en el art. 29 de la Ley 10/2003, de 22 de diciembre, la continuidad en la explotación de la concesión durante todo el tiempo que duró el proceso de concesión, a pesar de que en junio de 2002 se había acordado la reversión de las instalaciones y bienes de la concesión a la Administración.</w:t>
      </w:r>
    </w:p>
    <w:p w:rsidR="00163957" w:rsidRDefault="00163957" w:rsidP="00163957">
      <w:pPr>
        <w:pStyle w:val="TextoNormal"/>
      </w:pPr>
    </w:p>
    <w:p w:rsidR="00163957" w:rsidRDefault="00163957" w:rsidP="00163957">
      <w:pPr>
        <w:pStyle w:val="TextoNormal"/>
      </w:pPr>
      <w:r>
        <w:t>b) Concluso el procedimiento y dentro del plazo para dictar Sentencia, el Tribunal Supremo dictó providencia con fecha 28 de julio de 2014 por la que, de conformidad con el art. 35 de la Ley Orgánica del Tribunal Constitucional (LOTC), acordó oír a las partes y al Ministerio Fiscal por plazo común de diez días, para que alegasen sobre la pertinencia de plantear cuestión de inconstitucionalidad respecto de la disposición adicional decimonovena de la Ley del Parlamento de las Illes Balears 8/2004, de 23 de diciembre, de medidas tributarias, administrativas y de función pública (que entró en vigor el 1 de enero de 2005).</w:t>
      </w:r>
    </w:p>
    <w:p w:rsidR="00163957" w:rsidRDefault="00163957" w:rsidP="00163957">
      <w:pPr>
        <w:pStyle w:val="TextoNormal"/>
      </w:pPr>
    </w:p>
    <w:p w:rsidR="00163957" w:rsidRDefault="00163957" w:rsidP="00163957">
      <w:pPr>
        <w:pStyle w:val="TextoNormal"/>
      </w:pPr>
      <w:r>
        <w:t>El precepto cuestionado dispone lo siguiente:</w:t>
      </w:r>
    </w:p>
    <w:p w:rsidR="00163957" w:rsidRDefault="00163957" w:rsidP="00163957">
      <w:pPr>
        <w:pStyle w:val="TextoNormal"/>
      </w:pPr>
    </w:p>
    <w:p w:rsidR="00163957" w:rsidRDefault="00163957" w:rsidP="00163957">
      <w:pPr>
        <w:pStyle w:val="TextoNormal"/>
      </w:pPr>
      <w:r>
        <w:t>“Disposición adicional decimonovena.</w:t>
      </w:r>
    </w:p>
    <w:p w:rsidR="00163957" w:rsidRDefault="00163957" w:rsidP="00163957">
      <w:pPr>
        <w:pStyle w:val="TextoNormal"/>
      </w:pPr>
    </w:p>
    <w:p w:rsidR="00163957" w:rsidRDefault="00163957" w:rsidP="00163957">
      <w:pPr>
        <w:pStyle w:val="TextoNormal"/>
      </w:pPr>
      <w:r>
        <w:t>1. Quedan sin efecto los procedimientos de concurso para la adjudicación de concesiones administrativas para la ocupación y explotación de instalaciones náutico-deportivas que estén pendientes de resolución y que se hubieran iniciado antes de la entrada en vigor de esta ley.</w:t>
      </w:r>
    </w:p>
    <w:p w:rsidR="00163957" w:rsidRDefault="00163957" w:rsidP="00163957">
      <w:pPr>
        <w:pStyle w:val="TextoNormal"/>
      </w:pPr>
    </w:p>
    <w:p w:rsidR="00163957" w:rsidRDefault="00163957" w:rsidP="00163957">
      <w:pPr>
        <w:pStyle w:val="TextoNormal"/>
      </w:pPr>
      <w:r>
        <w:t>2. Los licitadores que se hayan presentado a los procedimientos de adjudicación de concesiones a que se refiere el apartado anterior tendrán derecho a ser indemnizados de todos los gastos debidamente justificados y que hubiesen sido directamente consistentes exclusivamente en gastos de redacción del proyecto básico, de realización de planos, de constitución, mantenimiento y cancelación de fianza provisional y, en su caso, de la fianza adicional provisional.</w:t>
      </w:r>
    </w:p>
    <w:p w:rsidR="00163957" w:rsidRDefault="00163957" w:rsidP="00163957">
      <w:pPr>
        <w:pStyle w:val="TextoNormal"/>
      </w:pPr>
    </w:p>
    <w:p w:rsidR="00163957" w:rsidRDefault="00163957" w:rsidP="00163957">
      <w:pPr>
        <w:pStyle w:val="TextoNormal"/>
      </w:pPr>
      <w:r>
        <w:t>3. A los efectos de lo que se dispone en el apartado anterior las fianzas constituidas quedarán a disposición de los licitadores desde la fecha de entrada en vigor de esta ley.”</w:t>
      </w:r>
    </w:p>
    <w:p w:rsidR="00163957" w:rsidRDefault="00163957" w:rsidP="00163957">
      <w:pPr>
        <w:pStyle w:val="TextoNormal"/>
      </w:pPr>
    </w:p>
    <w:p w:rsidR="00163957" w:rsidRDefault="00163957" w:rsidP="00163957">
      <w:pPr>
        <w:pStyle w:val="TextoNormal"/>
      </w:pPr>
      <w:r>
        <w:t>Señala el Tribunal Supremo en su providencia que “dicho precepto dejó sin efecto el procedimiento administrativo al que se refiere el presente proceso y, según se desprende de la prueba practicada en la instancia, no consta que se haya aplicado en ningún caso y puede ser contrario a los artículos 9.3 (irretroactividad de las disposiciones restrictivas de derechos individuales e interdicción de la arbitrariedad de los poderes públicos), 14, 33.3 y 149.1.1 de la Constitución”.</w:t>
      </w:r>
    </w:p>
    <w:p w:rsidR="00163957" w:rsidRDefault="00163957" w:rsidP="00163957">
      <w:pPr>
        <w:pStyle w:val="TextoNormal"/>
      </w:pPr>
    </w:p>
    <w:p w:rsidR="00163957" w:rsidRDefault="00163957" w:rsidP="00163957">
      <w:pPr>
        <w:pStyle w:val="TextoNormal"/>
      </w:pPr>
      <w:r>
        <w:t>El Ministerio Fiscal manifestó no oponerse al planteamiento de la cuestión de inconstitucionalidad. La representación procesal de la sociedad recurrente lo consideró procedente en el caso de que se entienda aplicable al caso lo previsto en la disposición adicional decimonovena de la Ley del Parlamento de las Illes Balears 8/2004. Por su parte, la Abogada de la Comunidad Autónoma de las Illes Balears se opuso a su planteamiento, razonando que el referido precepto se acomoda plenamente a la Constitución.</w:t>
      </w:r>
    </w:p>
    <w:p w:rsidR="00163957" w:rsidRDefault="00163957" w:rsidP="00163957">
      <w:pPr>
        <w:pStyle w:val="TextoNormal"/>
      </w:pPr>
    </w:p>
    <w:p w:rsidR="00163957" w:rsidRDefault="00163957" w:rsidP="00163957">
      <w:pPr>
        <w:pStyle w:val="TextoNormal"/>
      </w:pPr>
      <w:r>
        <w:lastRenderedPageBreak/>
        <w:t>c) El Tribunal Supremo dictó el Auto de 3 de diciembre de 2014 planteando la cuestión de inconstitucionalidad respecto de la disposición adicional decimonovena de la Ley del Parlamento de las Illes Balears 8/2004, de 23 de diciembre, de medidas tributarias, administrativas y de función pública, por posible infracción del art. 9.3 CE (en sus vertientes de interdicción de la arbitrariedad de los poderes públicos y de prohibición de la retroactividad de las disposiciones restrictivas de derechos), así como del art. 14 CE.</w:t>
      </w:r>
    </w:p>
    <w:p w:rsidR="00163957" w:rsidRDefault="00163957" w:rsidP="00163957">
      <w:pPr>
        <w:pStyle w:val="TextoNormal"/>
      </w:pPr>
    </w:p>
    <w:p w:rsidR="00163957" w:rsidRDefault="00163957" w:rsidP="00163957">
      <w:pPr>
        <w:pStyle w:val="TextoNormal"/>
      </w:pPr>
      <w:r w:rsidRPr="00163957">
        <w:rPr>
          <w:rStyle w:val="NumeroAFNegritaCaracter"/>
        </w:rPr>
        <w:t>3</w:t>
      </w:r>
      <w:r>
        <w:t>. Tras exponer los antecedentes de hecho de la presente cuestión y el cumplimiento del trámite de audiencia previsto en el art. 35.2 LOTC, la Sala de lo Contencioso-Administrativo del Tribunal Supremo explicita en su Auto de planteamiento el juicio de aplicabilidad y relevancia de la norma de cuya constitucionalidad duda, razonando como sigue.</w:t>
      </w:r>
    </w:p>
    <w:p w:rsidR="00163957" w:rsidRDefault="00163957" w:rsidP="00163957">
      <w:pPr>
        <w:pStyle w:val="TextoNormal"/>
      </w:pPr>
    </w:p>
    <w:p w:rsidR="00163957" w:rsidRDefault="00163957" w:rsidP="00163957">
      <w:pPr>
        <w:pStyle w:val="TextoNormal"/>
      </w:pPr>
      <w:r>
        <w:t xml:space="preserve">Se señala que el examen de la controversia lleva a la conclusión de que, a la entrada en vigor de la Ley balear 8/2004, de 23 de diciembre (1 de enero de 2005), el procedimiento administrativo a que dio lugar la convocatoria del concurso (publicada el 8 de noviembre de 2002) para la adjudicación de la concesión administrativa del puerto de Andratx no había terminado; si bien se valoraron y puntuaron las ofertas de los licitadores y se preparó una propuesta de adjudicación a favor de la empresa demandante, ésta no llegó a ser firmada, de manera que la adjudicación no tuvo lugar. La sociedad demandante en el proceso </w:t>
      </w:r>
      <w:r w:rsidRPr="00163957">
        <w:rPr>
          <w:i/>
        </w:rPr>
        <w:t>a quo</w:t>
      </w:r>
      <w:r>
        <w:t xml:space="preserve"> interpuso recurso contencioso-administrativo el 15 de noviembre de 2004, por entender desestimada por silencio administrativo su pretensión de que le fuese adjudicada la concesión. Publicada la Ley balear 8/2004, de 23 de diciembre, se aplicó a dicho procedimiento lo previsto en la disposición adicional decimonovena; esta determinó que el procedimiento quedase sin efecto, con devolución a la sociedad recurrente de la fianza constituida al presentarse a dicho concurso, sin que dicha devolución hubiera sido solicitada por esta. Posteriormente, acogiéndose a lo previsto en la disposición transitoria cuarta de la Ley 10/2005, de 21 de junio, de puertos de las Illes Balears, la antigua concesionaria obtuvo una nueva concesión administrativa del puerto de Andratx, por 30 años.</w:t>
      </w:r>
    </w:p>
    <w:p w:rsidR="00163957" w:rsidRDefault="00163957" w:rsidP="00163957">
      <w:pPr>
        <w:pStyle w:val="TextoNormal"/>
      </w:pPr>
    </w:p>
    <w:p w:rsidR="00163957" w:rsidRDefault="00163957" w:rsidP="00163957">
      <w:pPr>
        <w:pStyle w:val="TextoNormal"/>
      </w:pPr>
      <w:r>
        <w:t>Se añade en el Auto que las reglas de la Ley 30/1992, de régimen jurídico de las Administraciones públicas y del procedimiento administrativo común, sobre el silencio administrativo son aplicables a aquel procedimiento; como resultado, de acuerdo con ellas, la sociedad recurrente pudo correctamente entender desestimada su oferta, lo que le daba derecho a reclamar la revisión judicial de ese rechazo, como efectivamente hizo. Por otro lado, las normas de la Ley 30/1992 rigen también en el ámbito de la contratación administrativa; lo dispuesto en su artículo 44.1 sobre los efectos de la falta de resolución expresa en los procedimientos iniciados de oficio de los que pudiera derivarse el reconocimiento o la constitución de derechos u otras situaciones jurídicas individualizadas (los interesados podrán entender en estos casos desestimada su pretensión por silencio administrativo) resulta aplicable al caso. La interpretación del Tribunal de instancia, según la cual esta norma únicamente contempla supuestos en los que haya un solo interesado, ni la impone el texto del precepto ni deriva de la lógica que inspira el tratamiento legal de la cuestión, en especial cuando en supuestos como el que subyace a este proceso, al final es uno solo el que, en su caso, puede obtener el resultado favorable.</w:t>
      </w:r>
    </w:p>
    <w:p w:rsidR="00163957" w:rsidRDefault="00163957" w:rsidP="00163957">
      <w:pPr>
        <w:pStyle w:val="TextoNormal"/>
      </w:pPr>
    </w:p>
    <w:p w:rsidR="00163957" w:rsidRDefault="00163957" w:rsidP="00163957">
      <w:pPr>
        <w:pStyle w:val="TextoNormal"/>
      </w:pPr>
      <w:r>
        <w:t xml:space="preserve">Todo ello —continúa la Sala— implica necesariamente la estimación de los motivos de casación 1 y 3 y, conforme al art. 95.2 d) de la Ley reguladora de la jurisdicción contencioso-administrativa, obliga a resolver el recurso contencioso-administrativo, respecto a lo cual, </w:t>
      </w:r>
      <w:r>
        <w:lastRenderedPageBreak/>
        <w:t>la Sala aprecia que la disposición adicional decimonovena de la Ley balear 8/2004 resulta decisiva a la hora de enjuiciar la legalidad de la actuación administrativa; de ser conforme a la Constitución, su aplicación al caso determinará la desestimación del recurso contencioso-administrativo. En cambio, si se declarase inconstitucional, el procedimiento de adjudicación de la concesión no estará concluido y habrá de reconocerse a la recurrente el derecho a que se resuelva el mismo conforme a los términos de la convocatoria, a las ofertas presentadas y a las actuaciones que obran en el expediente administrativo; pronunciamientos que implicarán la acogida de las pretensiones de la sociedad recurrente relativas a la devolución de las garantías y a la ulterior adjudicación de la concesión administrativa del puerto de Andratx.</w:t>
      </w:r>
    </w:p>
    <w:p w:rsidR="00163957" w:rsidRDefault="00163957" w:rsidP="00163957">
      <w:pPr>
        <w:pStyle w:val="TextoNormal"/>
      </w:pPr>
    </w:p>
    <w:p w:rsidR="00163957" w:rsidRDefault="00163957" w:rsidP="00163957">
      <w:pPr>
        <w:pStyle w:val="TextoNormal"/>
      </w:pPr>
      <w:r>
        <w:t>Expuesto el juicio de aplicabilidad y relevancia, la Sala pasa a desarrollar las razones en la que se funda su duda sobre la constitucionalidad de la disposición adicional decimonovena de la Ley balear 8/2004. Razona que esta disposición, aun formulada en términos generales, entraña una regulación legal singular que carece de la justificación debida, pues no responde a ninguna circunstancia excepcional que la exija. Los objetivos que pretendía con ella el legislador balear podían lograrse perfectamente con instrumentos ordinarios sin necesidad de recurrir a medidas legales de la naturaleza de la adoptada (dejar desierto el concurso, valerse de la revisión de oficio o utilizar el procedimiento de expropiación de los derechos adquiridos o que hubieran podido adquirir las licitadoras o la adjudicataria). No sólo se ha reconocido en el proceso que no se ha aplicado esta disposición a ningún otro caso más que a este, sino que, como se puso de manifiesto en los debates habidos durante la tramitación parlamentaria de la enmienda que introdujo la que acabaría siendo la disposición adicional decimonovena de la Ley balear 8/2004, su objeto tenía relación exclusiva con el concurso convocado para la adjudicación de la concesión del puerto de Andratx. La enmienda se propuso cuando ya se ha había interpuesto el recurso contencioso-administrativo y la Consejera competente para resolver sobre la adjudicación de la concesión, tras varios meses en los que estuvo paralizado el procedimiento, acabó reconociendo su interés personal en el asunto y absteniéndose. Todo ello no lleva a tener por justificada la decisión legislativa, sino a confirmar la impresión de que estamos ante una regulación legal de caso único que no se ajusta a los criterios sentados por el Tribunal Constitucional para considerar conformes a la Constitución intervenciones del legislador de esta naturaleza.</w:t>
      </w:r>
    </w:p>
    <w:p w:rsidR="00163957" w:rsidRDefault="00163957" w:rsidP="00163957">
      <w:pPr>
        <w:pStyle w:val="TextoNormal"/>
      </w:pPr>
    </w:p>
    <w:p w:rsidR="00163957" w:rsidRDefault="00163957" w:rsidP="00163957">
      <w:pPr>
        <w:pStyle w:val="TextoNormal"/>
      </w:pPr>
      <w:r>
        <w:t>Las leyes, expresión de la voluntad popular según el preámbulo de la Constitución, se caracterizan, en principio, por la generalidad y abstracción de sus preceptos y siempre deben observar las prescripciones constitucionales; entre ellas las recogidas en el art. 9.3 y, en particular, la que veda la arbitrariedad de los poderes públicos y, por tanto, también la del legislador. La Sala no advierte en el presente caso una justificación razonable que excluya dicha arbitrariedad, sino más bien todo lo contrario; la disposición adicional decimonovena de la Ley balear 8/2004 no ofrece una determinada configuración de una materia o sector del ordenamiento jurídico, sino que adopta una medida carente de toda explicación racional distinta de la de impedir que llegara a su fin un único procedimiento administrativo. A juicio de la Sala, se dan aquí los presupuestos que, a la luz de las consideraciones hechas por las SSTC 73/2000 y 48/2005, permiten apreciar la infracción por el legislador del principio de interdicción de la arbitrariedad (art. 9.3 CE). Ese proceder arbitrario del legislador sería lesivo, además, del art. 14 CE, porque implica un trato discriminatorio para la sociedad mercantil recurrente, al privarla de la aplicación de las normas generales y someterla a un trato singular e injustificado.</w:t>
      </w:r>
    </w:p>
    <w:p w:rsidR="00163957" w:rsidRDefault="00163957" w:rsidP="00163957">
      <w:pPr>
        <w:pStyle w:val="TextoNormal"/>
      </w:pPr>
    </w:p>
    <w:p w:rsidR="00163957" w:rsidRDefault="00163957" w:rsidP="00163957">
      <w:pPr>
        <w:pStyle w:val="TextoNormal"/>
      </w:pPr>
      <w:r>
        <w:t>Por el contrario, se descarta que la disposición cuestionada tenga efectos retroactivos, porque el procedimiento no había terminado a la entrada en vigor de la Ley balear 8/2004 y el precepto mira directamente a la realidad del momento en que entra en vigor, no al pasado. En cambio, sí infringiría el principio de seguridad jurídica, también garantizado por el art. 9.3 CE; a la entrada en vigor de la Ley balear 8/2004 (1 de enero de 2005), la sociedad recurrente había adquirido el derecho a que se resolviese el concurso en los términos de la convocatoria y de las actuaciones que, conforme a ella, se habían realizado ya. La disposición adicional decimonovena de la Ley 8/2004 no es, ciertamente, una norma sancionadora pero sí frustra ese derecho consolidado; lo hace, según la Sala, afectando a la seguridad jurídica proclamada por el art. 9.3 CE, ya que quiebra la previsibilidad de las consecuencias de la propia conducta, elemento inherente a ese principio constitucional.</w:t>
      </w:r>
    </w:p>
    <w:p w:rsidR="00163957" w:rsidRDefault="00163957" w:rsidP="00163957">
      <w:pPr>
        <w:pStyle w:val="TextoNormal"/>
      </w:pPr>
    </w:p>
    <w:p w:rsidR="00163957" w:rsidRDefault="00163957" w:rsidP="00163957">
      <w:pPr>
        <w:pStyle w:val="TextoNormal"/>
      </w:pPr>
      <w:r>
        <w:t>Se descarta pues que la disposición cuestionada incurra en vulneración de los arts. 149.1.1 y 33.3 CE; respecto al primero, porque la infracción carecería de sustantividad y, respecto al segundo, por la naturaleza del derecho adquirido por la sociedad demandante.</w:t>
      </w:r>
    </w:p>
    <w:p w:rsidR="00163957" w:rsidRDefault="00163957" w:rsidP="00163957">
      <w:pPr>
        <w:pStyle w:val="TextoNormal"/>
      </w:pPr>
    </w:p>
    <w:p w:rsidR="00163957" w:rsidRDefault="00163957" w:rsidP="00163957">
      <w:pPr>
        <w:pStyle w:val="TextoNormal"/>
      </w:pPr>
      <w:r w:rsidRPr="00163957">
        <w:rPr>
          <w:rStyle w:val="NumeroAFNegritaCaracter"/>
        </w:rPr>
        <w:t>4</w:t>
      </w:r>
      <w:r>
        <w:t>. Mediante providencia de tres de marzo de 2015, el Pleno, a propuesta de la Sección Segunda de este Tribunal, acordó admitir a trámite la presente cuestión de inconstitucionalidad y reservar para sí el conocimiento de la misma, de acuerdo con lo dispuesto por el art. 10.1 c) LOTC; así como dar traslado de las actuaciones recibidas, de conformidad con el art. 37.3 LOTC, al Congreso de los Diputados y al Senado, al Gobierno y al Fiscal General del Estado, al Gobierno y al Parlamento de las Illes Balears, al objeto de que en el plazo de 15 días pudieran personarse en el proceso y formular las alegaciones que estimasen convenientes. Igualmente, se acordó comunicar dicha resolución a la Sección Séptima de la Sala de lo Contencioso-administrativo del Tribunal Supremo, a fin de que, según lo dispuesto en el art. 35.3 LOTC, permanezca suspendido el proceso hasta que este Tribunal resuelva definitivamente la presente cuestión y publicar la incoación de esta en el “Boletín Oficial del Estado” y en el “Butlletí Oficial de la Comunitat Autónoma de les Illes Balears”.</w:t>
      </w:r>
    </w:p>
    <w:p w:rsidR="00163957" w:rsidRDefault="00163957" w:rsidP="00163957">
      <w:pPr>
        <w:pStyle w:val="TextoNormal"/>
      </w:pPr>
    </w:p>
    <w:p w:rsidR="00163957" w:rsidRDefault="00163957" w:rsidP="00163957">
      <w:pPr>
        <w:pStyle w:val="TextoNormal"/>
      </w:pPr>
      <w:r w:rsidRPr="00163957">
        <w:rPr>
          <w:rStyle w:val="NumeroAFNegritaCaracter"/>
        </w:rPr>
        <w:t>5</w:t>
      </w:r>
      <w:r>
        <w:t>. Por sendos escritos de los Presidentes del Congreso y del Senado, comunicados a este Tribunal los días 12 y 18 de marzo de 2015, respectivamente, ambas Cámaras se personaron y ofrecieron su colaboración a los efectos del art. 88.1 LOTC. El Abogado del Estado se personó en nombre del Gobierno mediante escrito registrado en este Tribunal el 16 de marzo de 2015, señalando que no va a formular alegaciones y que se persona exclusivamente a los efectos de que en su día se le notifiquen las resoluciones que en el presente procedimiento se dicten.</w:t>
      </w:r>
    </w:p>
    <w:p w:rsidR="00163957" w:rsidRDefault="00163957" w:rsidP="00163957">
      <w:pPr>
        <w:pStyle w:val="TextoNormal"/>
      </w:pPr>
    </w:p>
    <w:p w:rsidR="00163957" w:rsidRDefault="00163957" w:rsidP="00163957">
      <w:pPr>
        <w:pStyle w:val="TextoNormal"/>
      </w:pPr>
      <w:r w:rsidRPr="00163957">
        <w:rPr>
          <w:rStyle w:val="NumeroAFNegritaCaracter"/>
        </w:rPr>
        <w:t>6</w:t>
      </w:r>
      <w:r>
        <w:t>. La Abogada de la Comunidad Autónoma de les Illes Balears, actuando en su representación legal y defensa, se personó en el procedimiento mediante escrito registrado el 1 de abril de 2015. Tras resumir los antecedentes de la presente cuestión, niega, en primer lugar, que la disposición adicional decimonovena de la Ley 8/2004 contenga una regulación arbitraria contraria a lo dispuesto en el art. 9.3 CE. En apoyo de esta alegación, se refiere a cómo se desarrollaron los hechos desde el momento en que se convocó el concurso para el otorgamiento de la concesión administrativa de la ocupación y explotación de la instalación náutico-deportiva construida en el puerto de Andratx.</w:t>
      </w:r>
    </w:p>
    <w:p w:rsidR="00163957" w:rsidRDefault="00163957" w:rsidP="00163957">
      <w:pPr>
        <w:pStyle w:val="TextoNormal"/>
      </w:pPr>
    </w:p>
    <w:p w:rsidR="00163957" w:rsidRDefault="00163957" w:rsidP="00163957">
      <w:pPr>
        <w:pStyle w:val="TextoNormal"/>
      </w:pPr>
      <w:r>
        <w:lastRenderedPageBreak/>
        <w:t>Señala que la dilación de todo el procedimiento se explica por el cambio de titularidad de la Consejería de Medio Ambiente y la reestructuración del marco competencial de las dos Consejerías, junto con el cambio de determinados cargos que conformaban la “Comisión de Selección del Adjudicatario”. Celebradas las elecciones de 2003, se aborda un nuevo tratamiento de la materia portuaria de competencia autonómica, con la intención de tramitar una norma propia en materia de puertos, considerando el valor económico de los puertos de competencia autonómica en la economía de las Islas, tratando de dotar de seguridad jurídica a la materia y homogeneizar el régimen de los puertos de competencia autonómica. Ello exigía que la nueva norma no naciera con cargas o defectos insalvables, garantizando el interés general al máximo y permitiendo la mayor aplicación de la misma desde su entrada en vigor. Esto se plasmó en dos decisiones legislativas esenciales del Parlamento de las Illes Balears, para salvaguardar la aplicación y eficacia de la norma. Por una parte, la Ley 10/2003, de 22 de diciembre, cuyo artículo 29 garantizaba la continuidad durante un plazo máximo de tres años de las concesiones administrativas en materia de puertos expiradas; esto se aplicó a todas las concesiones que a su entrada en vigor se encontraban expiradas o expiraron con posterioridad). Por otra, la Ley 8/2004, de 23 de diciembre, de medidas tributarias, administrativas y de función pública, con su disposición adicional decimonovena, que ahora se plantea como inconstitucional. Como último eslabón de esta secuencia, la Ley 10/2005, de 21 de junio, de puertos de las Illes Balears, constituye la respuesta del legislador a la inaplazable tarea en el archipiélago balear de dotar a la materia portuaria de una norma con rango de ley que aborde la regulación integral de los puertos. Pone de manifiesto la larga tramitación de la norma, que se inició por resolución de la Consejera de Obras Públicas de 24 de septiembre de 2003. Todos los documentos evidenciarían que desde el inicio de la legislatura ha existido una continua actividad legislativa orientada a la promulgación de la Ley de puertos autonómica; lo que justifica las dos medidas legislativas antes mencionadas. Recuerda que, en coherencia con la actuación del legislador, el ejecutivo autonómico ha optado por no convocar ningún concurso para el otorgamiento de concesiones en materia portuaria en el período comprendido entre mayo de 2003 y la fecha de entrada en vigor de la Ley 10/2005, de puertos de las Illes Balears. Sólo tras la entrada en vigor de esta Ley, y bajo su régimen jurídico, se han reanudado las convocatorias de concursos para el otorgamiento de concesiones en relación a los puertos de competencia autonómica.</w:t>
      </w:r>
    </w:p>
    <w:p w:rsidR="00163957" w:rsidRDefault="00163957" w:rsidP="00163957">
      <w:pPr>
        <w:pStyle w:val="TextoNormal"/>
      </w:pPr>
    </w:p>
    <w:p w:rsidR="00163957" w:rsidRDefault="00163957" w:rsidP="00163957">
      <w:pPr>
        <w:pStyle w:val="TextoNormal"/>
      </w:pPr>
      <w:r>
        <w:t>De acuerdo con todo lo dicho, concluye que la regulación efectuada por la citada disposición es una consecuencia de la nueva regulación en materia de puertos de titularidad de la Comunidad Autónoma de las Illes Balears, razonada y razonable, que no incurre en arbitrariedad alguna; no afecta a procedimientos concluidos o a situaciones agotadas o consolidadas ni, por otra parte, incide sobre la esfera de derechos fundamentales o libertades públicas, ni siquiera sobre derechos subjetivos reales, sino sobre meras expectativas adecuadamente compensadas. No hay, por tanto, lesión de los arts. 9.3 y 33.3 CE, ya que ni la Ley 8/2004 se ha aplicado retroactivamente, ni existían derechos subjetivos adquiridos que se hayan lesionado o expropiado por la ineficacia sobrevenida del concurso.</w:t>
      </w:r>
    </w:p>
    <w:p w:rsidR="00163957" w:rsidRDefault="00163957" w:rsidP="00163957">
      <w:pPr>
        <w:pStyle w:val="TextoNormal"/>
      </w:pPr>
    </w:p>
    <w:p w:rsidR="00163957" w:rsidRDefault="00163957" w:rsidP="00163957">
      <w:pPr>
        <w:pStyle w:val="TextoNormal"/>
      </w:pPr>
      <w:r>
        <w:t xml:space="preserve">Entiende que, al margen de mostrar un juicio político “en cuyo mérito este Tribunal no puede entrar” (STC 66/1985), ni la parte recurrente en casación ni el Tribunal Supremo, en el Auto por el que eleva la cuestión de inconstitucionalidad, prueban que las medidas adoptadas por la disposición adicional cuestionada sean abusivas, desproporcionadas o faltas de racionalidad y, en consecuencia, fueran arbitrarias. Tampoco se habría acreditado que se haya producido con ella un “sacrificio preciso e innecesario” de derechos constitucionales. </w:t>
      </w:r>
      <w:r>
        <w:lastRenderedPageBreak/>
        <w:t>No bastaría para ello la existencia de un proceso pendiente (de acuerdo con lo razonado en la STC 73/2000), ni señalar, como hace el Auto del Tribunal Supremo, que el objetivo pretendido por el legislador podía haberse logrado con instrumentos ordinarios; no se trataba de un procedimiento que incurriese en una causa de nulidad de pleno derecho ostensible (requisito ineludible para iniciar la revisión de oficio) o de una situación que permitiera iniciar un largo proceso de lesividad, ni ante un supuesto que pudiese solventarse sobre la base de la expropiación de derechos adquiridos, en cuanto que no había tales derechos en el caso.</w:t>
      </w:r>
    </w:p>
    <w:p w:rsidR="00163957" w:rsidRDefault="00163957" w:rsidP="00163957">
      <w:pPr>
        <w:pStyle w:val="TextoNormal"/>
      </w:pPr>
    </w:p>
    <w:p w:rsidR="00163957" w:rsidRDefault="00163957" w:rsidP="00163957">
      <w:pPr>
        <w:pStyle w:val="TextoNormal"/>
      </w:pPr>
      <w:r>
        <w:t>Igualmente, niega la representación procesal de la Comunidad Autónoma balear que la disposición adicional decimonovena de la Ley 8/2004 suponga una vulneración del art. 14 CE. Primero, porque la norma cuestionada se habría aplicado a los procedimientos de concurso pendientes de resolución, sin que ninguno en idéntica situación haya sido tratado de manera diferente. En segundo lugar, porque la disposición adicional no sería una ley singular o de caso concreto en sentido estricto, sino una medida normativa que tiende a paliar el déficit con el que, de no actuar el legislador, podría partir una importante Ley autonómica en elaboración respecto de un destacado sector económico; sería irrelevante que la citada disposición sea aplicable a uno o a más procedimientos, porque no va referida a uno en concreto, sino a una situación contraria a los intereses generales.</w:t>
      </w:r>
    </w:p>
    <w:p w:rsidR="00163957" w:rsidRDefault="00163957" w:rsidP="00163957">
      <w:pPr>
        <w:pStyle w:val="TextoNormal"/>
      </w:pPr>
    </w:p>
    <w:p w:rsidR="00163957" w:rsidRDefault="00163957" w:rsidP="00163957">
      <w:pPr>
        <w:pStyle w:val="TextoNormal"/>
      </w:pPr>
      <w:r>
        <w:t>Con cita de lo dispuesto en la STC 166/1986, concluye que no existe vicio de inconstitucionalidad en este punto por parte de la Ley autonómica, siendo perfectamente coherente la posición del legislador de dejar sin efecto uno o varios procedimientos pendientes de resolución (los que hubiese en el momento de entrada en vigor de la norma) y de compensar, a quienes en tal situación se encontrasen, por los gastos realizados.</w:t>
      </w:r>
    </w:p>
    <w:p w:rsidR="00163957" w:rsidRDefault="00163957" w:rsidP="00163957">
      <w:pPr>
        <w:pStyle w:val="TextoNormal"/>
      </w:pPr>
    </w:p>
    <w:p w:rsidR="00163957" w:rsidRDefault="00163957" w:rsidP="00163957">
      <w:pPr>
        <w:pStyle w:val="TextoNormal"/>
      </w:pPr>
      <w:r w:rsidRPr="00163957">
        <w:rPr>
          <w:rStyle w:val="NumeroAFNegritaCaracter"/>
        </w:rPr>
        <w:t>7</w:t>
      </w:r>
      <w:r>
        <w:t xml:space="preserve">. El 8 de mayo de 2015 la Fiscal General del Estado presentó su escrito de alegaciones. Señala que el núcleo de dicha cuestión viene constituido por el carácter de norma legal singular o </w:t>
      </w:r>
      <w:r w:rsidRPr="00163957">
        <w:rPr>
          <w:i/>
        </w:rPr>
        <w:t>ad hoc</w:t>
      </w:r>
      <w:r>
        <w:t xml:space="preserve"> que se atribuye a la cuestionada disposición adicional decimonovena de la Ley del Parlamento de las Illes Balears 8/2004 y la determinación de si la misma observa los requisitos de constitucionalidad que son exigibles respecto de este tipo de normas legales.</w:t>
      </w:r>
    </w:p>
    <w:p w:rsidR="00163957" w:rsidRDefault="00163957" w:rsidP="00163957">
      <w:pPr>
        <w:pStyle w:val="TextoNormal"/>
      </w:pPr>
    </w:p>
    <w:p w:rsidR="00163957" w:rsidRDefault="00163957" w:rsidP="00163957">
      <w:pPr>
        <w:pStyle w:val="TextoNormal"/>
      </w:pPr>
      <w:r>
        <w:t>A este respecto argumenta que si bien la referida disposición adicional aparece formalmente como una norma de carácter general, cuya regulación sería de aplicación a todos los procesos de concurso a los que la misma se refiere que estuvieran pendientes de resolver, materialmente, la misma viene a regular tan solo el supuesto del concurso al que se refiere el proceso judicial del que trae causa la presente cuestión. Además, otros datos adicionales corroborarían que estamos efectivamente en presencia de una norma singular.</w:t>
      </w:r>
    </w:p>
    <w:p w:rsidR="00163957" w:rsidRDefault="00163957" w:rsidP="00163957">
      <w:pPr>
        <w:pStyle w:val="TextoNormal"/>
      </w:pPr>
    </w:p>
    <w:p w:rsidR="00163957" w:rsidRDefault="00163957" w:rsidP="00163957">
      <w:pPr>
        <w:pStyle w:val="TextoNormal"/>
      </w:pPr>
      <w:r>
        <w:t xml:space="preserve">Así vendría a confirmarlo, para empezar, la propia tramitación parlamentaria, que pone de manifiesto que la disposición cuestionada se incorpora por vía de enmienda a la Ley 8/2004, de 23 diciembre de ordenación económica, medidas tributarias, administrativas y de la función pública. Esta ley, como su propia exposición de motivos pone de manifiesto, “se enmarca dentro del grupo de leyes de acompañamiento a la de presupuestos”. Dichas leyes, dada su singularidad, están sujetas a las limitaciones establecidas por el Tribunal Constitucional con relación al alcance de las leyes de presupuestos (por todas, se cita la STC </w:t>
      </w:r>
      <w:r>
        <w:lastRenderedPageBreak/>
        <w:t>217/2013). En este sentido, las denominadas “leyes de acompañamiento” pretenden complementar la ley de presupuestos y constituir, con esta, una unidad de acción racional para cumplir los objetivos de política económica, razón que justifica que se tramiten simultáneamente con las leyes de presupuestos. En el presente caso, la regulación que se establece en la disposición adicional decimonovena de la Ley 8/2004, que deja sin efecto los procedimientos de concurso pendientes para la adjudicación de concesiones administrativas para la ocupación y explotación de instalaciones náutico-deportivas, resulta de difícil encuadramiento en el contenido propio y esencial de las leyes de presupuestos o, al menos, en el contenido eventual de estas leyes. Debe tenerse en cuenta que la propia Administración demandada puso de manifiesto en el proceso subyacente, como justificación de esta disposición adicional que dejaba sin efecto el procedimiento de concurso, razones distintas a las relacionadas con la previsión de ingresos o gastos públicos de la Comunidad Autónoma o de efectividad de la política económica que se pretendía llevar a cabo por el Gobierno de la Comunidad Autónoma. Alegó que existía un proyecto de elaboración de una nueva ley reguladora del régimen jurídico de los puertos de las Illes Balears (que luego sería la Ley 10/2005, de 21 de junio, de puertos de las Illes Balears) y era conveniente paralizar cualquier concesión que pudiera comprometer o retrasar la vigencia de ese nuevo régimen jurídico, que se trataba de establecer tras el cambio político producido en el Gobierno de la Comunidad Autónoma.</w:t>
      </w:r>
    </w:p>
    <w:p w:rsidR="00163957" w:rsidRDefault="00163957" w:rsidP="00163957">
      <w:pPr>
        <w:pStyle w:val="TextoNormal"/>
      </w:pPr>
    </w:p>
    <w:p w:rsidR="00163957" w:rsidRDefault="00163957" w:rsidP="00163957">
      <w:pPr>
        <w:pStyle w:val="TextoNormal"/>
      </w:pPr>
      <w:r>
        <w:t>Por otro lado, se advierte que la disposición adicional se introdujo después de que la entidad licitadora, Iniciatives Portuaris Mirall del Mar Mallorca, S.L., hubiera interpuesto el recurso contencioso-administrativo contra la desestimación presunta de su oferta y al final de la tramitación parlamentaria de la Ley 8/2004, de 23 diciembre de 2003. Según pone de manifiesto la Sala de lo Contencioso-Administrativo del Tribunal Supremo en su Auto de planteamiento, esta enmienda tenía relación exclusiva con el concurso para la adjudicación de la explotación del puerto de Andratx al que se refiere el proceso subyacente de la cuestión, como resulta de la lectura del “Diario de Sesiones de la Comisión de Hacienda y Presupuestos del Parlamento de las Illes Balears”, VI legislatura, de 14 diciembre de 2004, núm. 35, fascículo I págs. 790 a 795 y del “Diario de Sesiones del Pleno”, VI Legislatura, de 21 diciembre de 2004, núm. 48, fascículo 1, págs. 2193 a 2195.</w:t>
      </w:r>
    </w:p>
    <w:p w:rsidR="00163957" w:rsidRDefault="00163957" w:rsidP="00163957">
      <w:pPr>
        <w:pStyle w:val="TextoNormal"/>
      </w:pPr>
    </w:p>
    <w:p w:rsidR="00163957" w:rsidRDefault="00163957" w:rsidP="00163957">
      <w:pPr>
        <w:pStyle w:val="TextoNormal"/>
      </w:pPr>
      <w:r>
        <w:t xml:space="preserve">Partiendo, pues, de que la norma cuestionada reúne las características de una ley singular o </w:t>
      </w:r>
      <w:r w:rsidRPr="00163957">
        <w:rPr>
          <w:i/>
        </w:rPr>
        <w:t>ad hoc</w:t>
      </w:r>
      <w:r>
        <w:t>, analiza la Fiscal General del Estado si concurren las circunstancias excepcionales que justificarían su adecuación a la Constitución. Tras repasar la doctrina constitucional en la materia, llega a la conclusión de que, en el presente caso, la disposición adicional decimonovena de la Ley 8/2004 no cumple el canon de constitucionalidad exigible como norma singular, por las siguientes razones:</w:t>
      </w:r>
    </w:p>
    <w:p w:rsidR="00163957" w:rsidRDefault="00163957" w:rsidP="00163957">
      <w:pPr>
        <w:pStyle w:val="TextoNormal"/>
      </w:pPr>
    </w:p>
    <w:p w:rsidR="00163957" w:rsidRDefault="00163957" w:rsidP="00163957">
      <w:pPr>
        <w:pStyle w:val="TextoNormal"/>
      </w:pPr>
      <w:r>
        <w:t>a) La disposición cuestionada viene a dejar sin efecto los procesos de concurso para la adjudicación de las concesiones administrativas de ocupación y explotación de instalaciones náutico-deportivas pendientes de resolución y que se hubieran iniciado antes de la entrada en vigor de la Ley.</w:t>
      </w:r>
    </w:p>
    <w:p w:rsidR="00163957" w:rsidRDefault="00163957" w:rsidP="00163957">
      <w:pPr>
        <w:pStyle w:val="TextoNormal"/>
      </w:pPr>
    </w:p>
    <w:p w:rsidR="00163957" w:rsidRDefault="00163957" w:rsidP="00163957">
      <w:pPr>
        <w:pStyle w:val="TextoNormal"/>
      </w:pPr>
      <w:r>
        <w:t xml:space="preserve">b) Esta disposición se introdujo por enmienda en la última fase de tramitación de la Ley 8/2004 y después de que la entidad licitadora recurrente había presentado el recurso contencioso-administrativo contra la desestimación presunta de su oferta; solo fue de aplicación en el concurso administrativo del que trae causa el proceso subyacente, sin que aparezca </w:t>
      </w:r>
      <w:r>
        <w:lastRenderedPageBreak/>
        <w:t>acreditada la concurrencia de una situación singular y excepcional que justificara la medida establecida por la norma para tal supuesto.</w:t>
      </w:r>
    </w:p>
    <w:p w:rsidR="00163957" w:rsidRDefault="00163957" w:rsidP="00163957">
      <w:pPr>
        <w:pStyle w:val="TextoNormal"/>
      </w:pPr>
    </w:p>
    <w:p w:rsidR="00163957" w:rsidRDefault="00163957" w:rsidP="00163957">
      <w:pPr>
        <w:pStyle w:val="TextoNormal"/>
      </w:pPr>
      <w:r>
        <w:t>c) No se cumple tampoco con el requisito de razonabilidad o proporcionalidad de la medida de dejar sin efecto el concurso pendiente de resolución, en relación con el fin propuesto; según la propia Comunidad Autónoma demandada, era evitar que un nuevo proyecto de ley sobre el régimen jurídico de puertos en las Illes Balears perdiera su virtualidad. La supuesta finalidad pretendida podría haberse alcanzado con la utilización de los medios ordinarios disponibles para la Administración: dejar desierto el concurso, acudir a la revisión de oficio o utilizar el procedimiento de expropiación de los derechos adquiridos o que hubieran podido adquirir las licitadoras o la adjudicataria.</w:t>
      </w:r>
    </w:p>
    <w:p w:rsidR="00163957" w:rsidRDefault="00163957" w:rsidP="00163957">
      <w:pPr>
        <w:pStyle w:val="TextoNormal"/>
      </w:pPr>
    </w:p>
    <w:p w:rsidR="00163957" w:rsidRDefault="00163957" w:rsidP="00163957">
      <w:pPr>
        <w:pStyle w:val="TextoNormal"/>
      </w:pPr>
      <w:r>
        <w:t>Dado que las circunstancias concurrentes ponen de manifiesto que la disposición adicional decimonovena de la Ley 8/2004 no cumple las exigencias de razonabilidad y proporcionalidad exigibles respecto de una norma singular, se concluye que nos hallamos ante un ejercicio arbitrario de la potestad legislativa (art. 9.3 CE) y que, en cuanto implica un tratamiento diferenciado no justificado, la disposición en cuestión vulnera asimismo el principio de igualdad ante la ley (art. 14 CE).</w:t>
      </w:r>
    </w:p>
    <w:p w:rsidR="00163957" w:rsidRDefault="00163957" w:rsidP="00163957">
      <w:pPr>
        <w:pStyle w:val="TextoNormal"/>
      </w:pPr>
    </w:p>
    <w:p w:rsidR="00163957" w:rsidRDefault="00163957" w:rsidP="00163957">
      <w:pPr>
        <w:pStyle w:val="TextoNormal"/>
      </w:pPr>
      <w:r>
        <w:t xml:space="preserve">Por último, en lo que se refiere a la vulneración del art 9.3 CE en la vertiente de prohibición de retroactividad de las disposiciones restrictivas de derechos, se señala que en el Auto de planteamiento de la Sala de lo Contencioso-Administrativo del Tribunal Supremo no se exponen las razones por las que, a juicio del Tribunal </w:t>
      </w:r>
      <w:r w:rsidRPr="00163957">
        <w:rPr>
          <w:i/>
        </w:rPr>
        <w:t>a quo</w:t>
      </w:r>
      <w:r>
        <w:t>, se estima que la norma cuestionada puede infringir dicha prohibición constitucional. Esta falta de argumentación impediría que el Tribunal Constitucional pueda conocer los motivos en los que el Tribunal promotor de la cuestión sustenta sus dudas de validez respecto de dicho precepto constitucional. En el caso de que, no obstante esa insuficiencia de argumentación, el Tribunal Constitucional considere que debe entrar a enjuiciar la posible infracción del principio de interdicción de retroactividad de las normas restrictivas de derechos, se aduce que dicha infracción podría inicialmente abordarse desde la perspectiva de un supuesto de irretroactividad impropia o de grado medio de la norma legal; dado que los efectos de la disposición adicional se proyectarían sobre situaciones jurídicas no concluidas, ni consolidadas (STC 112/2006, de 5 de abril, FJ 7). Todo ello porque el estado de tramitación del proceso del concurso al que se refiere la presente cuestión, pendiente de la propuesta de adjudicación, no permite considerar que la recurrente, Iniciatives Portuaris Mirall de Mar Mallorca, S.L., fuera titular de un derecho subjetivo adquirido a la adjudicación de la concesión, sino que tenía una expectativa de derecho respecto de la resolución del concurso y la adjudicación a su favor.</w:t>
      </w:r>
    </w:p>
    <w:p w:rsidR="00163957" w:rsidRDefault="00163957" w:rsidP="00163957">
      <w:pPr>
        <w:pStyle w:val="TextoNormal"/>
      </w:pPr>
    </w:p>
    <w:p w:rsidR="00163957" w:rsidRDefault="00163957" w:rsidP="00163957">
      <w:pPr>
        <w:pStyle w:val="TextoNormal"/>
      </w:pPr>
      <w:r>
        <w:t xml:space="preserve">De acuerdo con la doctrina constitucional en la materia, en este supuesto de irretroactividad impropia, para determinar la licitud o ilicitud de la norma, debe realizarse una ponderación teniendo en cuenta, de un lado, la seguridad jurídica y, de otro, los motivos imperativos que requieran la modificación del ordenamiento jurídico, así como las circunstancias concurrentes en cada caso. A este respecto, no se desprende duda alguna respecto al hecho de que la norma cuestionada deje sin efecto los procesos de concurso pendientes afecta a la garantía de certeza y previsibilidad sobre la aplicación del ordenamiento jurídico, concretada en la expectativa de que el proceso del curso fuera tramitado hasta su resolución. En lo que se refiere a los motivos imperiosos que habrían justificado la modificación del ordenamiento y de los intereses tutelados, se traen a colación los argumentos ya expuestos respecto </w:t>
      </w:r>
      <w:r>
        <w:lastRenderedPageBreak/>
        <w:t>a la vulneración de la interdicción de arbitrariedad, que excluyen su legitimidad. Estamos en presencia de una norma singular que lesiona este principio, dado que no supera el canon de constitucionalidad, puesto que no cumple con la exigencia de la razonabilidad y proporcionalidad en relación con el fin pretendido. Por todo ello se concluye que la norma cuestionada ha infringido también el art. 9.3 CE, desde el punto de vista de la interdicción de retroactividad.</w:t>
      </w:r>
    </w:p>
    <w:p w:rsidR="00163957" w:rsidRDefault="00163957" w:rsidP="00163957">
      <w:pPr>
        <w:pStyle w:val="TextoNormal"/>
      </w:pPr>
    </w:p>
    <w:p w:rsidR="00163957" w:rsidRDefault="00163957" w:rsidP="00163957">
      <w:pPr>
        <w:pStyle w:val="TextoNormal"/>
      </w:pPr>
      <w:r>
        <w:t>Por todo lo expuesto, solicita la Fiscal General del Estado que se estime por este Tribunal la presente cuestión, declarándose la inconstitucionalidad y nulidad de la disposición adicional decimonovena de la Ley del Parlamento de las Illes Balears 8/2004, de 23 diciembre.</w:t>
      </w:r>
    </w:p>
    <w:p w:rsidR="00163957" w:rsidRDefault="00163957" w:rsidP="00163957">
      <w:pPr>
        <w:pStyle w:val="TextoNormal"/>
      </w:pPr>
    </w:p>
    <w:p w:rsidR="00163957" w:rsidRDefault="00163957" w:rsidP="00163957">
      <w:pPr>
        <w:pStyle w:val="TextoNormal"/>
      </w:pPr>
      <w:r w:rsidRPr="00163957">
        <w:rPr>
          <w:rStyle w:val="NumeroAFNegritaCaracter"/>
        </w:rPr>
        <w:t>8</w:t>
      </w:r>
      <w:r>
        <w:t>. El Procurador don Juan Antonio García San Miguel y Orueta, en nombre y representación de Iniciatives Portuaris Mirall de Mar Mallorca, S.L., presentó escrito de alegaciones el 27 de mayo de 2015. Por providencia de 9 de junio de 2015 se declaró no haber lugar a tenerle por personado y parte en el presente procedimiento, al haber transcurrido en exceso el plazo de 15 días desde la publicación en el “Boletín Oficial del Estado” (9 de marzo de 2015) de la providencia de admisión a trámite de la presente cuestión de inconstitucionalidad (art. 37.2 LOTC).</w:t>
      </w:r>
    </w:p>
    <w:p w:rsidR="00163957" w:rsidRDefault="00163957" w:rsidP="00163957">
      <w:pPr>
        <w:pStyle w:val="TextoNormal"/>
      </w:pPr>
    </w:p>
    <w:p w:rsidR="00163957" w:rsidRDefault="00163957" w:rsidP="00163957">
      <w:pPr>
        <w:pStyle w:val="TextoNormal"/>
      </w:pPr>
      <w:r w:rsidRPr="00163957">
        <w:rPr>
          <w:rStyle w:val="NumeroAFNegritaCaracter"/>
        </w:rPr>
        <w:t>9</w:t>
      </w:r>
      <w:r>
        <w:t>. Mediante providencia de 21 de junio de 2016 se señaló para deliberación y votación de la presente Sentencia el día 23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La Sección Séptima de la Sala de lo Contencioso-Administrativo del Tribunal Supremo plantea cuestión de inconstitucionalidad respecto de la disposición adicional decimonovena de la Ley del Parlamento de las Illes Balears 8/2004, de 23 de diciembre, de medidas tributarias, administrativas y de función pública, de cuyo contenido se ha dado cuenta en el antecedente segundo b) de esta resolución y que supone, en definitiva, dejar sin efecto los procedimientos de concurso para la adjudicación de concesiones administrativas para la ocupación y explotación de instalaciones náutico-deportivas que, a fecha de la entrada en vigor de la Ley, estuvieran pendientes de resolución y siempre que se hubieran iniciado con anterioridad a dicha fecha (apartado primero), previéndose el derecho a la indemnización de los licitadores afectados por los gastos efectuados, incluidos los relativos a las fianzas que se hubiesen constituido (apartado segundo), que se dejan a disposición de los licitadores a partir de la entrada en vigor de la Ley (apartado tercero).</w:t>
      </w:r>
    </w:p>
    <w:p w:rsidR="00163957" w:rsidRDefault="00163957" w:rsidP="00163957">
      <w:pPr>
        <w:pStyle w:val="TextoNormal"/>
      </w:pPr>
    </w:p>
    <w:p w:rsidR="00163957" w:rsidRDefault="00163957" w:rsidP="00163957">
      <w:pPr>
        <w:pStyle w:val="TextoNormal"/>
      </w:pPr>
      <w:r>
        <w:t xml:space="preserve">Según se ha dado cuenta con detalle en los antecedentes, el órgano judicial promotor de la cuestión considera que el precepto controvertido constituye una norma </w:t>
      </w:r>
      <w:r w:rsidRPr="00163957">
        <w:rPr>
          <w:i/>
        </w:rPr>
        <w:t>ad hoc</w:t>
      </w:r>
      <w:r>
        <w:t xml:space="preserve"> que vulnera los principios de interdicción de la arbitrariedad y de seguridad jurídica garantizados por el art. 9.3 CE; resultaría lesivo, además, del art. 14 CE, por implicar un trato discriminatorio para la sociedad mercantil recurrente en el proceso </w:t>
      </w:r>
      <w:r w:rsidRPr="00163957">
        <w:rPr>
          <w:i/>
        </w:rPr>
        <w:t>a quo</w:t>
      </w:r>
      <w:r>
        <w:t xml:space="preserve">, al privarla de la aplicación de las normas generales y someterla a un trato singular e injustificado. Se rechaza expresamente, en cambio, que la disposición cuestionada tenga efectos retroactivos, por lo que necesariamente ha de entenderse como un error de transcripción la mención, que en la parte dispositiva del Auto de planteamiento se realiza, a la infracción de la prohibición de retroactividad de las disposiciones restrictivas de derechos contenida en el art. 9.3 CE. Igualmente, se </w:t>
      </w:r>
      <w:r>
        <w:lastRenderedPageBreak/>
        <w:t>descarta que la disposición cuestionada incurra en vulneración de los arts. 33.3 y 149.1.1 CE.</w:t>
      </w:r>
    </w:p>
    <w:p w:rsidR="00163957" w:rsidRDefault="00163957" w:rsidP="00163957">
      <w:pPr>
        <w:pStyle w:val="TextoNormal"/>
      </w:pPr>
    </w:p>
    <w:p w:rsidR="00163957" w:rsidRDefault="00163957" w:rsidP="00163957">
      <w:pPr>
        <w:pStyle w:val="TextoNormal"/>
      </w:pPr>
      <w:r>
        <w:t>La Fiscal General del Estado coincide fundamentalmente con el juicio de inconstitucionalidad formulado en el Auto de planteamiento de la presente cuestión, por lo que interesa su estimación; la Abogada de la Comunidad Autónoma de las Illes Balears discrepa del mismo, solicitando la desestimación de la cuestión, en los términos que se detallan en los antecedentes de esta Sentencia.</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La alegada infracción del principio de interdicción de la arbitrariedad contenido en el art. 9.3 CE se razona en el Auto del Tribunal Supremo; se sostiene que la disposición adicional cuestionada constituye una norma </w:t>
      </w:r>
      <w:r w:rsidRPr="00163957">
        <w:rPr>
          <w:i/>
        </w:rPr>
        <w:t>ad hoc</w:t>
      </w:r>
      <w:r>
        <w:t xml:space="preserve"> o </w:t>
      </w:r>
      <w:r w:rsidRPr="00163957">
        <w:rPr>
          <w:i/>
        </w:rPr>
        <w:t>ad casum</w:t>
      </w:r>
      <w:r>
        <w:t xml:space="preserve"> carente de toda explicación racional distinta de la de impedir que llegara a su fin un único procedimiento administrativo y que sería, por tanto, arbitraria. Si bien la referida disposición adicional aparece formalmente como una norma de carácter general, cuya regulación sería de aplicación a todos los procesos de concurso a los que la misma se refiere que estuvieran pendientes de resolver, materialmente, la misma viene a regular tan solo el supuesto del concurso al que se refiere el proceso judicial del que trae causa la presente cuestión de inconstitucionalidad; según quedó demostrado en dicho proceso, a la entrada en vigor de la norma cuestionada no había en la Comunidad Autónoma balear ningún otro concurso pendiente de resolución aparte del relativo a la adjudicación de la concesión administrativa para la ocupación y explotación de la instalación náutica deportiva para el amarre de embarcaciones deportivas y de recreo construida en el puerto de Andratx (Mallorca).</w:t>
      </w:r>
    </w:p>
    <w:p w:rsidR="00163957" w:rsidRDefault="00163957" w:rsidP="00163957">
      <w:pPr>
        <w:pStyle w:val="TextoNormal"/>
      </w:pPr>
    </w:p>
    <w:p w:rsidR="00163957" w:rsidRDefault="00163957" w:rsidP="00163957">
      <w:pPr>
        <w:pStyle w:val="TextoNormal"/>
      </w:pPr>
      <w:r>
        <w:t>El análisis de dicha alegación resulta inescindible del referido a la vulneración de los principios de seguridad jurídica (art. 9.3 CE) y de igualdad (art. 14 CE). Respecto al primero de ellos, porque, como señalamos en la STC 27/1981, de 20 de julio, FJ 10, y hemos reiterado en diversas resoluciones posteriores (por todas, STC 270/2015, de 17 de diciembre, FJ 7), los principios constitucionales que integran el art. 9.3 CE “no son compartimentos estancos, sino que, al contrario, cada uno de ellos cobra valor en función de los demás y en tanto sirva a promover los valores superiores del ordenamiento jurídico que propugna el Estado social y democrático de Derecho”. Además, en sintonía con lo señalado en la STC 99/1987, de 11 de junio, FJ 6 c), porque de estimarse que la modificación legislativa cuestionada incurre en arbitrariedad, habría de considerarse necesariamente infringido también el principio de seguridad jurídica, ya que la inevitable afectación de dicha modificación a las relaciones o situaciones jurídicas preexistentes resultaría imprevisible, por su propia naturaleza arbitraria. Otro tanto podría decirse respecto al principio de igualdad: de constatarse (como sostiene el Tribunal Supremo en su Auto) que estamos ante una regulación legal de aplicación a un único destinatario y que esa regulación resulta arbitraria, tal constatación se traduciría indefectiblemente en una lesión de lo establecido en el art. 14 CE (en este sentido, por todas, STC 166/1986, de 19 de diciembre, FJ 11).</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De acuerdo con las alegaciones contenidas en el Auto de planteamiento y en aras al adecuado enjuiciamiento de la presente cuestión de inconstitucionalidad, lo primero que ha de dilucidarse es si en verdad nos encontramos ante una ley “de caso único”. Para ello, hemos de referirnos a nuestra doctrina en la materia (sistematizada y resumida en las SSTC 203/2013, de 5 de diciembre, FJ 3 y 231/2015, de 5 de noviembre, FJ 3), de acuerdo con la cual tales leyes pueden enmarcarse en la más amplia categoría de “ley singular” acuñada </w:t>
      </w:r>
      <w:r>
        <w:lastRenderedPageBreak/>
        <w:t>por este Tribunal, identificándose, dentro de ella, como “aquéllas dictadas en atención a un supuesto de hecho concreto y singular”. Con esta definición describíamos en la temprana STC 166/1986, FJ 10, la Ley 7/1983, de 29 de junio, sobre expropiación por razones de utilidad pública e interés social de los Bancos y otras sociedades que componen el grupo Rumasa, S.A., como ley singular de destinatario único, que además solo es susceptible de aplicarse una vez (o, lo que es lo mismo, que es concreta o “autoaplicativa”) y que, por tanto, agota “su contenido y eficacia en la adopción y ejecución de la medida tomada por el legislador ante ese supuesto de hecho, aislado en la Ley singular y no comunicable con ningún otro”.</w:t>
      </w:r>
    </w:p>
    <w:p w:rsidR="00163957" w:rsidRDefault="00163957" w:rsidP="00163957">
      <w:pPr>
        <w:pStyle w:val="TextoNormal"/>
      </w:pPr>
    </w:p>
    <w:p w:rsidR="00163957" w:rsidRDefault="00163957" w:rsidP="00163957">
      <w:pPr>
        <w:pStyle w:val="TextoNormal"/>
      </w:pPr>
      <w:r>
        <w:t xml:space="preserve">A diferencia de la ley entonces enjuiciada, que formalmente se mostraba ya como singular y autoaplicativa, nos encontramos aquí con un precepto legislativo que se inserta en una ley general y abstracta (la Ley del Parlamento de las Illes Balears 8/2004, de 23 de diciembre, de medidas tributarias, administrativas y de función pública) y que aparece, asimismo, formulado en términos generales. Sin embargo, en realidad constituye una regulación singular y autoaplicativa, pues </w:t>
      </w:r>
      <w:r w:rsidRPr="00163957">
        <w:rPr>
          <w:i/>
        </w:rPr>
        <w:t>de facto</w:t>
      </w:r>
      <w:r>
        <w:t xml:space="preserve"> se refiere al único procedimiento de concurso que estaba pendiente de resolución a fecha de su entrada en vigor y solo a él podía aplicarse: el de la adjudicación de la concesión administrativa para la ocupación y explotación de las instalaciones náutico-deportivas del puerto deportivo de Andratx; como se deduce del debate parlamentario referido a la enmienda por la que se introdujo la disposición adicional ahora cuestionada, recogido en el “Diario de Sesiones de la Comisión de Hacienda y Presupuestos del Parlamento de las Illes Balears”, VI legislatura, de 14 de diciembre de 2004, núm. 35, fascículo I págs. 790 a 795 y del “Diario de Sesiones del Pleno”, VI Legislatura, de 21 diciembre de 2004, núm. 48, fascículo 1, págs. 2193 a 2195.</w:t>
      </w:r>
    </w:p>
    <w:p w:rsidR="00163957" w:rsidRDefault="00163957" w:rsidP="00163957">
      <w:pPr>
        <w:pStyle w:val="TextoNormal"/>
      </w:pPr>
    </w:p>
    <w:p w:rsidR="00163957" w:rsidRDefault="00163957" w:rsidP="00163957">
      <w:pPr>
        <w:pStyle w:val="TextoNormal"/>
      </w:pPr>
      <w:r>
        <w:t>Tal constatación ha de conducir, a la hora de enjuiciar la constitucionalidad de la disposición legal cuestionada, a la aplicación de la doctrina sentada principalmente en la ya citada STC 166/1986 y complementada en otras resoluciones posteriores a las que haremos referencia más adelante. De acuerdo con lo establecido en dicha doctrina, el legislador puede dictar preceptos referidos a supuestos únicos o sujetos específicos; en esos casos, dado que la norma carece de las notas típicas de generalidad y abstracción, ha de verificarse que no establece una desigualdad arbitraria o injustificada (SSTC 166/1986, FJ 11; 129/2013, de 4 de junio, FJ 4, y 233/2015, de 5 de noviembre, FJ 15, entre otras).</w:t>
      </w:r>
    </w:p>
    <w:p w:rsidR="00163957" w:rsidRDefault="00163957" w:rsidP="00163957">
      <w:pPr>
        <w:pStyle w:val="TextoNormal"/>
      </w:pPr>
    </w:p>
    <w:p w:rsidR="00163957" w:rsidRDefault="00163957" w:rsidP="00163957">
      <w:pPr>
        <w:pStyle w:val="TextoNormal"/>
      </w:pPr>
      <w:r w:rsidRPr="00163957">
        <w:rPr>
          <w:rStyle w:val="NumeroAFNegritaCaracter"/>
        </w:rPr>
        <w:t>4</w:t>
      </w:r>
      <w:r>
        <w:t>. Precisamente, como ya hemos dicho, la tacha de inconstitucionalidad principal que encuentra el Tribunal Supremo en la disposición adicional decimonovena de la Ley del Parlamento de las Illes Balears 8/2004 se refiere a su posible arbitrariedad.</w:t>
      </w:r>
    </w:p>
    <w:p w:rsidR="00163957" w:rsidRDefault="00163957" w:rsidP="00163957">
      <w:pPr>
        <w:pStyle w:val="TextoNormal"/>
      </w:pPr>
    </w:p>
    <w:p w:rsidR="00163957" w:rsidRDefault="00163957" w:rsidP="00163957">
      <w:pPr>
        <w:pStyle w:val="TextoNormal"/>
      </w:pPr>
      <w:r>
        <w:t>A este respecto, es necesario recordar la doctrina fijada con carácter general por este Tribunal, según la cual, la calificación de “arbitraria” dada a una ley a los efectos del art. 9.3 CE exige una cierta prudencia, ya que dicha norma es la “expresión de la voluntad popular”, como dice el preámbulo de la Constitución y el imperio de la ley es principio básico del sistema democrático. En consecuencia “la noción de arbitrariedad no puede ser utilizada sin introducir muchas correcciones y matizaciones en la construcción que de ella ha hecho la doctrina del Derecho administrativo, pues no es la misma la situación en la que el legislador se encuentra respecto de la Constitución, que aquélla en la que se halla el Gobierno, como titular del poder reglamentario, en relación con la Ley” (STC 73/2000, de 14 de marzo, FJ 4).</w:t>
      </w:r>
    </w:p>
    <w:p w:rsidR="00163957" w:rsidRDefault="00163957" w:rsidP="00163957">
      <w:pPr>
        <w:pStyle w:val="TextoNormal"/>
      </w:pPr>
    </w:p>
    <w:p w:rsidR="00163957" w:rsidRDefault="00163957" w:rsidP="00163957">
      <w:pPr>
        <w:pStyle w:val="TextoNormal"/>
      </w:pPr>
      <w:r>
        <w:t>Como recuerda el Tribunal Supremo en su Auto de planteamiento, en un régimen constitucional también el poder legislativo está sujeto a la Constitución (art. 9.1 CE), siendo misión de este Tribunal velar por que se mantenga esa sujeción, que no es más que otra forma de sumisión a la voluntad popular, expresada esta vez como poder constituyente. Ese control de la constitucionalidad de las leyes deba ejercerse de forma que no imponga constricciones indebidas al poder legislativo y respete sus opciones políticas (SSTC 73/2000, de 14 de marzo, FJ 4; 104/2000, de 13 de abril, FJ 8, y 47/2005, de 3 de marzo, FJ 7, por todas). Admitida, con las cautelas señaladas, la posibilidad de controlar la arbitrariedad de la ley, hemos exigido para ello, no obstante, que quien formula esta censura la razone en detalle, ofreciendo una justificación convincente para destruir la presunción de constitucionalidad de la ley impugnada. Tal justificación puede fundamentarse, señaladamente, en una discriminación normativa o en la carencia absoluta de explicación racional de la medida legislativa adoptada. En ningún caso se entenderá debidamente fundada esa tacha de inconstitucionalidad dirigida al legislador si se sustenta en una mera discrepancia política respecto al contenido de la norma legal impugnada (STC 49/2008, de 9 de abril, FJ 3, y doctrina allí citada; en términos análogos, STC 155/2014, de 25 de septiembre, FJ 6).</w:t>
      </w:r>
    </w:p>
    <w:p w:rsidR="00163957" w:rsidRDefault="00163957" w:rsidP="00163957">
      <w:pPr>
        <w:pStyle w:val="TextoNormal"/>
      </w:pPr>
    </w:p>
    <w:p w:rsidR="00163957" w:rsidRDefault="00163957" w:rsidP="00163957">
      <w:pPr>
        <w:pStyle w:val="TextoNormal"/>
      </w:pPr>
      <w:r>
        <w:t>En particular, cuando se trata de una ley singular autoaplicativa y de destinatario único, este Tribunal ha dirigido su control a determinar si tal norma establece una desigualdad arbitraria (entre otras, SSTC 166/1986, FJ 11, y 129/2013, FJ 4), lo que obliga a un análisis material de la misma (por todas, STC 233/2015, FJ 15). Ello supone que la prohibición de desigualdad arbitraria o injustificada no se refiere al alcance subjetivo de la norma, sino a su contenido; en su virtud, la ley singular debe responder a una situación excepcional, cuyo canon de constitucionalidad es la razonabilidad y proporcionalidad de la misma al supuesto de hecho sobre el que se proyecta (SSTC 166/1986, FJ 11; 231/2015, FJ 3, y 233/2015, FJ 15).</w:t>
      </w:r>
    </w:p>
    <w:p w:rsidR="00163957" w:rsidRDefault="00163957" w:rsidP="00163957">
      <w:pPr>
        <w:pStyle w:val="TextoNormal"/>
      </w:pPr>
    </w:p>
    <w:p w:rsidR="00163957" w:rsidRDefault="00163957" w:rsidP="00163957">
      <w:pPr>
        <w:pStyle w:val="TextoNormal"/>
      </w:pPr>
      <w:r w:rsidRPr="00163957">
        <w:rPr>
          <w:rStyle w:val="NumeroAFNegritaCaracter"/>
        </w:rPr>
        <w:t>5</w:t>
      </w:r>
      <w:r>
        <w:t>. Empezando, pues, por el canon de la razonabilidad o de existencia de una justificación objetiva que constituya una finalidad constitucionalmente lícita, ha de advertirse que, como bien recuerda la Abogada de la Comunidad Autónoma balear, nuestro análisis no puede entrañar un juicio de intenciones políticas (STC 239/1992, de 17 de diciembre, FJ 2 y, en términos parecidos, STC 66/1985, de 23 de mayo, FJ 1). Esto no significa que deba desplegarse exclusivamente en el plano meramente formal, prescindiendo del contexto en el que se ha dictado el precepto cuestionado, que resulta esencial para valorar si dicha finalidad concurre realmente o no.</w:t>
      </w:r>
    </w:p>
    <w:p w:rsidR="00163957" w:rsidRDefault="00163957" w:rsidP="00163957">
      <w:pPr>
        <w:pStyle w:val="TextoNormal"/>
      </w:pPr>
    </w:p>
    <w:p w:rsidR="00163957" w:rsidRDefault="00163957" w:rsidP="00163957">
      <w:pPr>
        <w:pStyle w:val="TextoNormal"/>
      </w:pPr>
      <w:r>
        <w:t>Han de recordarse aquí, por tanto, las circunstancias en las que se aprobó la disposición adicional decimonovena de la Ley del Parlamento de las Illes Balears 8/2004, de modo que arrojen luz acerca de la concurrencia material en la misma de una finalidad admisible constitucionalmente. A tales circunstancias hace referencia el Tribunal Supremo, en su Auto de planteamiento de la presente cuestión de inconstitucionalidad, con el objetivo de poner de manifiesto la ausencia de un fin legítimo en la aprobación de dicha disposición; cumple así con la exigencia que se deriva de la doctrina constitucional ya reseñada en relación con la justificación de la censura de arbitrariedad que se plantea.</w:t>
      </w:r>
    </w:p>
    <w:p w:rsidR="00163957" w:rsidRDefault="00163957" w:rsidP="00163957">
      <w:pPr>
        <w:pStyle w:val="TextoNormal"/>
      </w:pPr>
    </w:p>
    <w:p w:rsidR="00163957" w:rsidRDefault="00163957" w:rsidP="00163957">
      <w:pPr>
        <w:pStyle w:val="TextoNormal"/>
      </w:pPr>
      <w:r>
        <w:t xml:space="preserve">Pese a que la norma se redacta en términos aparentemente generales, al dejar sin efecto “los procedimientos de concurso para la adjudicación de concesiones administrativas para </w:t>
      </w:r>
      <w:r>
        <w:lastRenderedPageBreak/>
        <w:t>la ocupación y explotación de instalaciones náutico-deportivas que estén pendientes de resolución y que se hubieran iniciado antes de la entrada en vigor de esta ley”, lo cierto es que, a esa fecha, el único procedimiento de concurso de ese tipo que estaba pendiente de resolución era el que se refería al de la adjudicación de la concesión administrativa de la explotación del puerto deportivo de Andratx; así resulta del debate parlamentario recogido en los respectivos diarios de sesiones, a los que ya hemos hecho referencia. Dicho procedimiento se había iniciado mediante la convocatoria del concurso publicada el 8 de noviembre de 2002, después de que, el 8 de junio de ese mismo año, hubiera expirado la concesión vigente hasta entonces, tras denegar la Administración la solicitud de prórroga de la concesionaria y haberse dictado por la Consejería de Medio Ambiente el acta de reversión a la Administración de las instalaciones náutico-deportivas del puerto de Andratx (con fecha 24 de junio de 2002). No obstante, la antigua concesionaria continuó prestando el servicio en dicho puerto, en aplicación de lo dispuesto en el art. 29 de la Ley balear 10/2003, de 22 de diciembre, de medidas tributarias y administrativas.</w:t>
      </w:r>
    </w:p>
    <w:p w:rsidR="00163957" w:rsidRDefault="00163957" w:rsidP="00163957">
      <w:pPr>
        <w:pStyle w:val="TextoNormal"/>
      </w:pPr>
    </w:p>
    <w:p w:rsidR="00163957" w:rsidRDefault="00163957" w:rsidP="00163957">
      <w:pPr>
        <w:pStyle w:val="TextoNormal"/>
      </w:pPr>
      <w:r>
        <w:t xml:space="preserve">En el curso de ese procedimiento llegaron a valorarse y puntuarse las ofertas de los licitadores, preparándose por la comisión de selección del adjudicatario un informe-propuesta de adjudicación, el 26 de junio de 2003, a favor de la sociedad demandante en el proceso </w:t>
      </w:r>
      <w:r w:rsidRPr="00163957">
        <w:rPr>
          <w:i/>
        </w:rPr>
        <w:t>a quo</w:t>
      </w:r>
      <w:r>
        <w:t>. Esta obtuvo la mejor puntuación en el informe de la comisión técnica, que fue asumido en su integridad por la comisión de selección. Por su parte, la empresa que había sido titular de la concesión anteriormente quedó situada en dicho informe en tercer lugar, con una diferencia de 30 puntos respecto a la clasificada en el primero. La propuesta, sin embargo, no llegó a ser firmada, de manera que la adjudicación nunca tuvo lugar.</w:t>
      </w:r>
    </w:p>
    <w:p w:rsidR="00163957" w:rsidRDefault="00163957" w:rsidP="00163957">
      <w:pPr>
        <w:pStyle w:val="TextoNormal"/>
      </w:pPr>
    </w:p>
    <w:p w:rsidR="00163957" w:rsidRDefault="00163957" w:rsidP="00163957">
      <w:pPr>
        <w:pStyle w:val="TextoNormal"/>
      </w:pPr>
      <w:r>
        <w:t>La sociedad que fue mejor puntuada en el informe-propuesta mencionado interpuso recurso contencioso-administrativo el 15 de noviembre de 2004 (pasados dos años desde la publicación de la convocatoria), por entender desestimada por silencio su pretensión de que le fuese adjudicada la concesión, tras haber solicitado en cinco ocasiones (entre el 31 de julio de 2003 y el 5 de agosto de 2004) que se resolviera el concurso. Fue entonces (y tras la abstención de la Consejera competente para resolver sobre la adjudicación de la concesión el 15 de octubre de 2004, al reconocer su interés personal en el asunto y después de estar paralizado el procedimiento durante varios meses) cuando el grupo parlamentario mayoritario en la Cámara autonómica presentó una enmienda al proyecto de Ley del Parlamento de las Illes Balears, de medidas tributarias, administrativas y de función pública, que se encontraba en la fase final de su tramitación. Esta enmienda suponía la inclusión de la disposición adicional decimonovena hoy cuestionada y que, según hemos venido repitiendo, tenía relación exclusiva con el concurso para la adjudicación de la explotación del puerto deportivo de Andratx.</w:t>
      </w:r>
    </w:p>
    <w:p w:rsidR="00163957" w:rsidRDefault="00163957" w:rsidP="00163957">
      <w:pPr>
        <w:pStyle w:val="TextoNormal"/>
      </w:pPr>
    </w:p>
    <w:p w:rsidR="00163957" w:rsidRDefault="00163957" w:rsidP="00163957">
      <w:pPr>
        <w:pStyle w:val="TextoNormal"/>
      </w:pPr>
      <w:r>
        <w:t>Publicada la Ley balear 8/2004, de 23 de diciembre, se aplicó a dicho procedimiento lo previsto en su disposición adicional decimonovena, lo que determinó que quedase sin efecto, con devolución a la sociedad recurrente de la fianza constituida al presentarse a dicho concurso, sin que dicha devolución hubiera sido solicitada. Posteriormente, tras la aprobación de la Ley 10/2005, de 21 de junio, de puertos de las Illes Balears y acogiéndose a lo previsto en su disposición transitoria cuarta, la antigua concesionaria de las instalaciones deportivas del puerto de Andratx solicitó y obtuvo una nueva concesión administrativa de este puerto por un plazo de 30 años.</w:t>
      </w:r>
    </w:p>
    <w:p w:rsidR="00163957" w:rsidRDefault="00163957" w:rsidP="00163957">
      <w:pPr>
        <w:pStyle w:val="TextoNormal"/>
      </w:pPr>
    </w:p>
    <w:p w:rsidR="00163957" w:rsidRDefault="00163957" w:rsidP="00163957">
      <w:pPr>
        <w:pStyle w:val="TextoNormal"/>
      </w:pPr>
      <w:r>
        <w:lastRenderedPageBreak/>
        <w:t>A la vista de los hechos relatados, no resulta sencillo encontrar una justificación razonable a la medida adoptada por el legislador balear. La Abogada de la Comunidad Autónoma, no obstante, apunta como finalidad de la disposición enjuiciada la de evitar que el nuevo proyecto de ley sobre el régimen jurídico de puertos en la Illes Balears (que estaba en proceso de tramitación por aquel entonces y que culminó con la aprobación de la Ley 10/2005, de 21 de junio, de puertos de las Illes Balears) perdiera su virtualidad; resultaría conveniente, a ese respecto, paralizar cualquier concesión que pudiera comprometer o retrasar la vigencia de ese nuevo régimen jurídico.</w:t>
      </w:r>
    </w:p>
    <w:p w:rsidR="00163957" w:rsidRDefault="00163957" w:rsidP="00163957">
      <w:pPr>
        <w:pStyle w:val="TextoNormal"/>
      </w:pPr>
    </w:p>
    <w:p w:rsidR="00163957" w:rsidRDefault="00163957" w:rsidP="00163957">
      <w:pPr>
        <w:pStyle w:val="TextoNormal"/>
      </w:pPr>
      <w:r>
        <w:t>Tal explicación, sin embargo, no resulta convincente. El establecimiento de un nuevo régimen jurídico para un determinado sector del ordenamiento no resulta una situación en absoluto extraordinaria y no se alcanza a comprender cómo un único procedimiento pendiente (en el cual existía, además, un informe-propuesta de adjudicación a favor de uno de los licitadores) pudiera “comprometer o retrasar” la vigencia de la nueva regulación de los puertos baleares.</w:t>
      </w:r>
    </w:p>
    <w:p w:rsidR="00163957" w:rsidRDefault="00163957" w:rsidP="00163957">
      <w:pPr>
        <w:pStyle w:val="TextoNormal"/>
      </w:pPr>
    </w:p>
    <w:p w:rsidR="00163957" w:rsidRDefault="00163957" w:rsidP="00163957">
      <w:pPr>
        <w:pStyle w:val="TextoNormal"/>
      </w:pPr>
      <w:r>
        <w:t>En segundo lugar, la finalidad sugerida por la representación procesal de la Comunidad Autónoma balear en este proceso constitucional no se desprende de la exposición de motivos de la Ley 8/2004. En su apartado I se ofrece una justificación general de toda la regulación legal, enmarcándola en las conocidas como “leyes de acompañamiento de los presupuestos generales”. En cuanto tal, se afirma que pretende completar la Ley de presupuestos y constituir con ésta “una unidad de acción racional para cumplir los objetivos de política económica, razón que justifica que se tramiten simultáneamente con las leyes de presupuestos generales”. Además, en el último párrafo del apartado III se hace referencia de forma conjunta a las disposiciones adicionales contenidas en la Ley, señalándose, simplemente, que “la parte final se completa con veinte disposiciones adicionales, a los efectos de recoger la creación, modificación y extinción de determinados entes públicos instrumentales, entre otras determinaciones normativas que, por razones de técnica legislativa, no tienen cabida a lo largo del articulado de la ley”. Ninguna mención se dedica en la exposición de motivos, por tanto, a la necesidad de incluir en la Ley 8/2004 una medida como la prevista en su disposición adicional decimonovena.</w:t>
      </w:r>
    </w:p>
    <w:p w:rsidR="00163957" w:rsidRDefault="00163957" w:rsidP="00163957">
      <w:pPr>
        <w:pStyle w:val="TextoNormal"/>
      </w:pPr>
    </w:p>
    <w:p w:rsidR="00163957" w:rsidRDefault="00163957" w:rsidP="00163957">
      <w:pPr>
        <w:pStyle w:val="TextoNormal"/>
      </w:pPr>
      <w:r>
        <w:t>Es cierto que, según advertimos en la STC 49/2008, FJ 5, el legislador no está constitucionalmente obligado a justificar sus opciones legislativas en las exposiciones de motivos o preámbulos de las leyes y que, por tanto, la ausencia de dicha justificación no puede considerarse generadora, por sí sola, de arbitrariedad. También lo es que, como se señala igualmente en esa y en otras resoluciones anteriores, no puede desconocerse el papel que aquellos desempeñan en la interpretación y análisis de los preceptos legales sometidos al control de constitucionalidad de este Tribunal (SSTC 36/1981, de 12 de noviembre, FJ 7, y 222/2006, de 6 de julio, FJ 8). En este caso resulta evidente que la inclusión de una medida de tales características en la Ley 8/2004 habría requerido, dadas las circunstancias descritas, de alguna explicación por parte del legislador que justificara la necesidad de su inserción en una Ley “de acompañamiento” de la Ley de presupuestos que, según lo señalado en su propia exposición de motivos, está destinada a formar “una unidad de acción racional para cumplir los objetivos de política económica” de la Comunidad Autónoma.</w:t>
      </w:r>
    </w:p>
    <w:p w:rsidR="00163957" w:rsidRDefault="00163957" w:rsidP="00163957">
      <w:pPr>
        <w:pStyle w:val="TextoNormal"/>
      </w:pPr>
    </w:p>
    <w:p w:rsidR="00163957" w:rsidRDefault="00163957" w:rsidP="00163957">
      <w:pPr>
        <w:pStyle w:val="TextoNormal"/>
      </w:pPr>
      <w:r>
        <w:lastRenderedPageBreak/>
        <w:t>Como consecuencia de todo lo expuesto, nos encontramos ante una ausencia de motivos que justifiquen de manera razonable la decisión del legislador balear, sin que podamos nosotros deducirlos a la vista de los datos expuestos. No obstante, en aras de un respeto escrupuloso a la presunción de constitucionalidad de las leyes, reiteradamente afirmada en nuestra doctrina (por todas, STC 8/2016, de 21 de enero, FJ 4), resulta conveniente dar un paso más en nuestra argumentación, sometiendo a la norma enjuiciada al juicio de proporcionalidad.</w:t>
      </w:r>
    </w:p>
    <w:p w:rsidR="00163957" w:rsidRDefault="00163957" w:rsidP="00163957">
      <w:pPr>
        <w:pStyle w:val="TextoNormal"/>
      </w:pPr>
    </w:p>
    <w:p w:rsidR="00163957" w:rsidRDefault="00163957" w:rsidP="00163957">
      <w:pPr>
        <w:pStyle w:val="TextoNormal"/>
      </w:pPr>
      <w:r w:rsidRPr="00163957">
        <w:rPr>
          <w:rStyle w:val="NumeroAFNegritaCaracter"/>
        </w:rPr>
        <w:t>6</w:t>
      </w:r>
      <w:r>
        <w:t>. En este caso el juicio de proporcionalidad ayuda a reforzar la convicción de que la disposición cuestionada carece de una justificación razonable, como sugiere el Tribunal Supremo en su Auto de planteamiento de la presente cuestión de inconstitucionalidad y apoya la Fiscal General del Estado en su escrito de alegaciones. En el momento en que se presenta por el grupo parlamentario mayoritario en la Cámara autonómica la enmienda al proyecto de Ley del Parlamento de las Illes Balears de medidas tributarias, administrativas y de función pública (que se convirtió, finalmente, en la disposición adicional cuestionada) el único procedimiento de concurso para la adjudicación de concesiones administrativas para la ocupación y explotación de instalaciones náutico-deportivas que estaba pendiente de resolución era el del puerto deportivo de Andratx.</w:t>
      </w:r>
    </w:p>
    <w:p w:rsidR="00163957" w:rsidRDefault="00163957" w:rsidP="00163957">
      <w:pPr>
        <w:pStyle w:val="TextoNormal"/>
      </w:pPr>
    </w:p>
    <w:p w:rsidR="00163957" w:rsidRDefault="00163957" w:rsidP="00163957">
      <w:pPr>
        <w:pStyle w:val="TextoNormal"/>
      </w:pPr>
      <w:r>
        <w:t>La finalidad a la que alude la Abogada de la Comunidad Autónoma (paralizar cualquier concesión que pudiera comprometer o retrasar la vigencia de la nueva legislación de puertos balear) podría pues haberse obtenido por el Gobierno autonómico igualmente con los medios ordinarios disponibles para la Administración conforme al ordenamiento jurídico (como la revisión de oficio o la expropiación de los derechos adquiridos o que hubieran podido adquirir las licitadoras o la adjudicataria).</w:t>
      </w:r>
    </w:p>
    <w:p w:rsidR="00163957" w:rsidRDefault="00163957" w:rsidP="00163957">
      <w:pPr>
        <w:pStyle w:val="TextoNormal"/>
      </w:pPr>
    </w:p>
    <w:p w:rsidR="00163957" w:rsidRDefault="00163957" w:rsidP="00163957">
      <w:pPr>
        <w:pStyle w:val="TextoNormal"/>
      </w:pPr>
      <w:r>
        <w:t>La aprobación de la disposición adicional cuestionada no supera pues el “juicio de necesidad connatural al principio de proporcionalidad” (STC 48/2005, FJ 8); en los términos expresados en la STC 166/1986, FJ 11, no responde a un caso excepcional que por su extraordinaria trascendencia y complejidad no resulte remediable “por los instrumentos normales de los que dispone la Administración, constreñida a actuar con sujeción al principio de legalidad”. Este es, efectivamente, un dato definitivo a la hora de enjuiciar la constitucionalidad de la disposición adicional decimonovena de la Ley del Parlamento de las Illes Balears 8/2004; existe una diferencia decisiva entre la adopción de alguna de dichas medidas por la Administración y la aprobación del precepto legal cuestionado para alcanzar tal hipotética finalidad, que no es otra que la posibilidad de aquellas de ser sometidas al control de la jurisdicción contencioso-administrativa, como demuestran los hechos que dan origen a la presente cuestión de inconstitucionalidad.</w:t>
      </w:r>
    </w:p>
    <w:p w:rsidR="00163957" w:rsidRDefault="00163957" w:rsidP="00163957">
      <w:pPr>
        <w:pStyle w:val="TextoNormal"/>
      </w:pPr>
    </w:p>
    <w:p w:rsidR="00163957" w:rsidRDefault="00163957" w:rsidP="00163957">
      <w:pPr>
        <w:pStyle w:val="TextoNormal"/>
      </w:pPr>
      <w:r>
        <w:t xml:space="preserve">Una vez descartadas todas las posibilidades de dotar de una justificación razonable a la presentación de la citada enmienda, que daría finalmente lugar a la cuestionada disposición adicional decimonovena de la Ley del Parlamento de las Illes Balears 8/2004, se desvela lógicamente que no estamos aquí ante una “legítima opción del legislador de modificar, en todo o en parte, la regulación jurídica de una determinada materia o de un concreto sector del ordenamiento” (como apreciamos, en cambio, en la STC 73/2000, FJ 7, dadas las circunstancias que allí se planteaban). La disposición legal enjuiciada, en ausencia de dicha justificación, se alza en este caso concreto como un obstáculo constitucionalmente inadmisible a las atribuciones que el art. 106.1 CE otorga a los Tribunales ordinarios, en orden a </w:t>
      </w:r>
      <w:r>
        <w:lastRenderedPageBreak/>
        <w:t>controlar que la Administración pública sirve efectivamente “con objetividad los intereses generales y actúa … con sometimiento pleno a la ley y al Derecho” (art. 103.1 CE) y como garantía específica del derecho a la tutela judicial efectiva del que gozan todos los ciudadanos, de acuerdo con lo dispuesto en el art. 24.1 CE. Como el resto de los poderes públicos, el legislador no puede actuar prescindiendo de los mandatos de la Constitución (art. 9.1 CE) y, de hacerlo, este Tribunal no puede sino declarar la nulidad del producto normativo de su inconstitucional actuación.</w:t>
      </w:r>
    </w:p>
    <w:p w:rsidR="00163957" w:rsidRDefault="00163957" w:rsidP="00163957">
      <w:pPr>
        <w:pStyle w:val="TextoNormal"/>
      </w:pPr>
    </w:p>
    <w:p w:rsidR="00163957" w:rsidRDefault="00163957" w:rsidP="00163957">
      <w:pPr>
        <w:pStyle w:val="TextoNormal"/>
      </w:pPr>
      <w:r>
        <w:t>Apreciado, pues, que el legislador balear incurrió al aprobar en un ejercicio arbitrario de la potestad legislativa.</w:t>
      </w:r>
    </w:p>
    <w:p w:rsidR="00163957" w:rsidRDefault="00163957" w:rsidP="00163957">
      <w:pPr>
        <w:pStyle w:val="TextoNormal"/>
      </w:pPr>
    </w:p>
    <w:p w:rsidR="00163957" w:rsidRDefault="00163957" w:rsidP="00163957">
      <w:pPr>
        <w:pStyle w:val="TextoNormal"/>
      </w:pPr>
      <w:r>
        <w:t>Ha de concluirse asimismo, de acuerdo con las consideraciones realizadas en el fundamento jurídico segundo de esta Sentencia, que al implicar la disposición adicional cuestionada un tratamiento diferenciado no justificado para un único supuesto, vulnera también el principio de igualdad (art. 14 CE) y genera una quiebra inadmisible del principio de seguridad jurídica (art. 9.3 CE), como garantía de certeza y previsibilidad del ordenamiento jurídico.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la cuestión de inconstitucionalidad núm. 451-2015, promovida por la Sección Tercera de la Sala de lo Contencioso-Administrativo del Tribunal Supremo y, en consecuencia, declarar la inconstitucionalidad y nulidad de la disposición adicional decimonovena de la Ley del Parlamento de las Illes Balears 8/2004, de 23 de diciembre, de medidas tributarias, administrativas y de función pública.</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veintitrés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26" w:name="SENTENCIA_2016_123"/>
      <w:r>
        <w:lastRenderedPageBreak/>
        <w:t>SENTENCIA 123/2016, de 23 de junio de 2016</w:t>
      </w:r>
    </w:p>
    <w:bookmarkEnd w:id="126"/>
    <w:p w:rsidR="00163957" w:rsidRDefault="00163957" w:rsidP="00163957">
      <w:pPr>
        <w:pStyle w:val="TtuloResolucin"/>
      </w:pPr>
      <w:r>
        <w:t>Pleno</w:t>
      </w:r>
    </w:p>
    <w:p w:rsidR="00163957" w:rsidRDefault="00163957" w:rsidP="00163957">
      <w:pPr>
        <w:pStyle w:val="TtuloBOE"/>
      </w:pPr>
      <w:r>
        <w:t>(BOE núm. 181, de 28 de julio de 2016)</w:t>
      </w:r>
    </w:p>
    <w:p w:rsidR="00163957" w:rsidRDefault="00163957" w:rsidP="00163957">
      <w:pPr>
        <w:pStyle w:val="TextoNormalCentrado"/>
      </w:pPr>
      <w:r>
        <w:t>ECLI:ES:TC:2016:123</w:t>
      </w:r>
    </w:p>
    <w:p w:rsidR="00163957" w:rsidRDefault="00163957" w:rsidP="00163957">
      <w:pPr>
        <w:pStyle w:val="TextoNormalCentrado"/>
      </w:pPr>
    </w:p>
    <w:p w:rsidR="00163957" w:rsidRDefault="00163957" w:rsidP="00163957">
      <w:pPr>
        <w:pStyle w:val="SntesisDescriptiva"/>
      </w:pPr>
      <w:r>
        <w:t>Cuestión de inconstitucionalidad 703-2015. Planteada por la Sala de lo Social del Tribunal Superior de Justicia del País Vasco en relación con el apartado primero de la disposición adicional sexagésima sexta del texto refundido de la Ley general de la Seguridad Social, aprobado por Real Decreto Legislativo 1/1994, de 20 de junio, incorporada por la Ley 22/2013, de 23 de diciembre, de presupuestos generales del Estado para 2014.</w:t>
      </w:r>
    </w:p>
    <w:p w:rsidR="00163957" w:rsidRDefault="00163957" w:rsidP="00163957">
      <w:pPr>
        <w:pStyle w:val="SntesisDescriptiva"/>
      </w:pPr>
    </w:p>
    <w:p w:rsidR="00163957" w:rsidRDefault="00163957" w:rsidP="00163957">
      <w:pPr>
        <w:pStyle w:val="SntesisAnaltica"/>
      </w:pPr>
      <w:r>
        <w:t>Principio de seguridad jurídica y derechos a la tutela judicial efectiva y a la legalidad sancionadora (non bis in idem); límites materiales de las leyes de presupuestos: nulidad del precepto legal que establece el régimen de protección por desempleo de los liberados de prisión.</w:t>
      </w:r>
    </w:p>
    <w:p w:rsidR="00163957" w:rsidRDefault="00163957" w:rsidP="00163957">
      <w:pPr>
        <w:pStyle w:val="SntesisAnaltica"/>
      </w:pPr>
    </w:p>
    <w:p w:rsidR="00163957" w:rsidRDefault="00163957" w:rsidP="00163957">
      <w:pPr>
        <w:pStyle w:val="Extracto"/>
      </w:pPr>
      <w:r>
        <w:t>1.</w:t>
      </w:r>
      <w:r>
        <w:tab/>
        <w:t>Es doctrina consolidada de este Tribunal que no cualquier regulación puede ser incluida formalmente en las leyes de presupuestos; éstas tienen un contenido propio y determinado -sobre previsión de ingresos y  autorización de gastos del sector público estatal, de conformidad con el artículo 134 CE-  y las restricciones en el debate parlamentario motivadas por ese objeto impiden a su vez que pueda emplearse ese vehículo para aprobar una norma desconectada de ese objeto (STC 152/2014) [FFJJ 3, 4].</w:t>
      </w:r>
    </w:p>
    <w:p w:rsidR="00163957" w:rsidRDefault="00163957" w:rsidP="00163957">
      <w:pPr>
        <w:pStyle w:val="Extracto"/>
      </w:pPr>
    </w:p>
    <w:p w:rsidR="00163957" w:rsidRDefault="00163957" w:rsidP="00163957">
      <w:pPr>
        <w:pStyle w:val="Extracto"/>
      </w:pPr>
      <w:r>
        <w:t>2.</w:t>
      </w:r>
      <w:r>
        <w:tab/>
        <w:t>Se rechaza la defensa planteada por las partes comparecidas alegando que la simple reducción de gastos que implica la medida —incuestionable, por otra parte— sea suficiente para legitimar su inclusión en la Ley de presupuestos [FJ 4].</w:t>
      </w:r>
    </w:p>
    <w:p w:rsidR="00163957" w:rsidRDefault="00163957" w:rsidP="00163957">
      <w:pPr>
        <w:pStyle w:val="Extracto"/>
      </w:pPr>
    </w:p>
    <w:p w:rsidR="00163957" w:rsidRDefault="00163957" w:rsidP="00163957">
      <w:pPr>
        <w:pStyle w:val="Extracto"/>
      </w:pPr>
      <w:r>
        <w:t>3.</w:t>
      </w:r>
      <w:r>
        <w:tab/>
        <w:t>No se aprecia que la disposición cuestionada responda “a los criterios de política económica del Gobierno” ni se dirija “a una mayor inteligencia o mejor ejecución del presupuesto”, que son, aparte de la “relación directa”, los otros dos vínculos con el contenido esencial de la Ley de presupuestos admitidos para permitir la inclusión de una norma no estrictamente presupuestaria [FJ 4].</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lastRenderedPageBreak/>
        <w:t>SENTENCIA</w:t>
      </w:r>
    </w:p>
    <w:p w:rsidR="00163957" w:rsidRDefault="00163957" w:rsidP="00163957">
      <w:pPr>
        <w:pStyle w:val="TextoNormalCentrado"/>
        <w:keepNext/>
      </w:pPr>
    </w:p>
    <w:p w:rsidR="00163957" w:rsidRDefault="00163957" w:rsidP="00163957">
      <w:pPr>
        <w:pStyle w:val="TextoNormal"/>
      </w:pPr>
      <w:r>
        <w:t>En la cuestión de inconstitucionalidad núm. 703-2015, promovida por la Sala de lo Social del Tribunal Superior de Justicia del País Vasco en relación con el apartado 1 de la disposición adicional sexagésima sexta del texto refundido de la Ley general de la Seguridad Social, aprobado por Real Decreto Legislativo 1/1994, de 20 de junio, incorporada por la disposición final cuarta, punto ocho, de la Ley 22/2013, de 23 de diciembre, de presupuestos generales del Estado para 2014. Han intervenido y formulado alegaciones el Abogado del Estado y el Fiscal General del Estado. Ha sido Ponente el Magistrado don Ricardo Enríquez Sancho,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5 de febrero de 2015 tuvo entrada en el Registro General de este Tribunal el Auto de la Sala de lo Social del Tribunal Superior de Justicia del País Vasco de 27 de enero de 2015, al que se adjunta testimonio del recurso de suplicación núm. 2226-2014, por el que se acuerda plantear cuestión de inconstitucionalidad respecto del apartado 1 de la disposición adicional sexagésima sexta del texto refundido de la Ley general de la Seguridad Social (en adelante, LGSS) aprobado por Real Decreto Legislativo 1/1994, de 20 de junio, incorporada por la disposición final cuarta, punto 8, de la Ley 22/2013, de 23 de diciembre, de presupuestos generales del Estado para 2014, por su eventual contradicción con los arts. 9.3, 14, 24.1, 25.1 y 25.2 CE.</w:t>
      </w:r>
    </w:p>
    <w:p w:rsidR="00163957" w:rsidRDefault="00163957" w:rsidP="00163957">
      <w:pPr>
        <w:pStyle w:val="TextoNormal"/>
      </w:pPr>
    </w:p>
    <w:p w:rsidR="00163957" w:rsidRDefault="00163957" w:rsidP="00163957">
      <w:pPr>
        <w:pStyle w:val="TextoNormal"/>
      </w:pPr>
      <w:r>
        <w:t>El precepto cuestionado dice:</w:t>
      </w:r>
    </w:p>
    <w:p w:rsidR="00163957" w:rsidRDefault="00163957" w:rsidP="00163957">
      <w:pPr>
        <w:pStyle w:val="TextoNormal"/>
      </w:pPr>
    </w:p>
    <w:p w:rsidR="00163957" w:rsidRDefault="00163957" w:rsidP="00163957">
      <w:pPr>
        <w:pStyle w:val="TextoNormal"/>
      </w:pPr>
      <w:r>
        <w:t>“Sexagésima sexta. Protección por desempleo de los liberados de prisión</w:t>
      </w:r>
    </w:p>
    <w:p w:rsidR="00163957" w:rsidRDefault="00163957" w:rsidP="00163957">
      <w:pPr>
        <w:pStyle w:val="TextoNormal"/>
      </w:pPr>
    </w:p>
    <w:p w:rsidR="00163957" w:rsidRDefault="00163957" w:rsidP="00163957">
      <w:pPr>
        <w:pStyle w:val="TextoNormal"/>
      </w:pPr>
      <w:r>
        <w:t>Los liberados de prisión que hubieran sido condenados por la comisión de los delitos relacionados en los párrafos a), b), c) o d) del apartado 2 del art. 36 del Código Penal sólo podrán obtener el subsidio por desempleo previsto en los apartados 1.1 d) y 1.2 del art. 215 de esta Ley cuando, además de reunir las condiciones establecidas en este último artículo, acrediten, mediante la oportuna certificación de la Administración penitenciaria, los siguientes extremos:</w:t>
      </w:r>
    </w:p>
    <w:p w:rsidR="00163957" w:rsidRDefault="00163957" w:rsidP="00163957">
      <w:pPr>
        <w:pStyle w:val="TextoNormal"/>
      </w:pPr>
    </w:p>
    <w:p w:rsidR="00163957" w:rsidRDefault="00163957" w:rsidP="00163957">
      <w:pPr>
        <w:pStyle w:val="TextoNormal"/>
      </w:pPr>
      <w:r>
        <w:t>1. En el caso de los liberados de prisión condenados por los delitos contemplados en las letras a) o b) del apartado 2 del art. 36 del Código Penal, que han cumplido los requisitos exigidos en el apartado seis del art. 72 de la Ley Orgánica 1/1979, de 26 de septiembre, General Penitenciaria.”</w:t>
      </w:r>
    </w:p>
    <w:p w:rsidR="00163957" w:rsidRDefault="00163957" w:rsidP="00163957">
      <w:pPr>
        <w:pStyle w:val="TextoNormal"/>
      </w:pPr>
    </w:p>
    <w:p w:rsidR="00163957" w:rsidRDefault="00163957" w:rsidP="00163957">
      <w:pPr>
        <w:pStyle w:val="TextoNormal"/>
      </w:pPr>
      <w:r w:rsidRPr="00163957">
        <w:rPr>
          <w:rStyle w:val="NumeroAFNegritaCaracter"/>
        </w:rPr>
        <w:t>2</w:t>
      </w:r>
      <w:r>
        <w:t>. Los antecedentes que interesa destacar a los efectos de este proceso constitucional son los siguientes:</w:t>
      </w:r>
    </w:p>
    <w:p w:rsidR="00163957" w:rsidRDefault="00163957" w:rsidP="00163957">
      <w:pPr>
        <w:pStyle w:val="TextoNormal"/>
      </w:pPr>
    </w:p>
    <w:p w:rsidR="00163957" w:rsidRDefault="00163957" w:rsidP="00163957">
      <w:pPr>
        <w:pStyle w:val="TextoNormal"/>
      </w:pPr>
      <w:r>
        <w:t xml:space="preserve">a) El 11 de julio de 2014 el Juzgado de lo Social de Eibar dictó Sentencia desestimando la demanda deducida por los Sres. Zarrabe y Azkargorta contra las resoluciones, de 7 de abril de 2014, por las que el Servicio Público de Empleo Estatal confirmó los acuerdos de 31 de febrero de 2014, que denegaban sus solicitudes de reconocimiento del subsidio de </w:t>
      </w:r>
      <w:r>
        <w:lastRenderedPageBreak/>
        <w:t xml:space="preserve">desempleo a favor de las personas liberadas de prisión, por no cumplir los requisitos adicionales que para acceder a esa modalidad de subsidio introdujo la norma impugnada. Obran en el expediente remitido a este Tribunal junto con el Auto de planteamiento sendas certificaciones de la Administración penitenciaria que afirman, respecto de cada uno de los actores en el pleito </w:t>
      </w:r>
      <w:r w:rsidRPr="00163957">
        <w:rPr>
          <w:i/>
        </w:rPr>
        <w:t>a quo</w:t>
      </w:r>
      <w:r>
        <w:t>, que “ha cumplido condena por delitos contemplados en el art. 36.2 a) o b) CP” y que “no cumple [o no consta que cumpla] los requisitos exigidos en el art. 72.6 LGP”. Frente a esta Sentencia se dedujo recurso de suplicación ante la Sala de lo Social del Tribunal Superior de Justicia del País Vasco.</w:t>
      </w:r>
    </w:p>
    <w:p w:rsidR="00163957" w:rsidRDefault="00163957" w:rsidP="00163957">
      <w:pPr>
        <w:pStyle w:val="TextoNormal"/>
      </w:pPr>
    </w:p>
    <w:p w:rsidR="00163957" w:rsidRDefault="00163957" w:rsidP="00163957">
      <w:pPr>
        <w:pStyle w:val="TextoNormal"/>
      </w:pPr>
      <w:r>
        <w:t>b) Concluso el procedimiento, y antes de dictar sentencia, la referida Sala dictó providencia de 2 de diciembre de 2014 por la que, al amparo de lo previsto en el art. 35.2 de la Ley Orgánica del Tribunal Constitucional (LOTC), acordó oír a las partes y al Ministerio Fiscal por el plazo común de diez días acerca de la posible inconstitucionalidad del apartado 1 de la disposición adicional sexagésima sexta LGSS, incorporada por la disposición final cuarta, punto 8, de la Ley 22/2013, de 23 de diciembre, de presupuestos generales del Estado para 2014, por su eventual contradicción con los arts. 9.3, 14, 24.1, 25.1 y 25.2 CE.</w:t>
      </w:r>
    </w:p>
    <w:p w:rsidR="00163957" w:rsidRDefault="00163957" w:rsidP="00163957">
      <w:pPr>
        <w:pStyle w:val="TextoNormal"/>
      </w:pPr>
    </w:p>
    <w:p w:rsidR="00163957" w:rsidRDefault="00163957" w:rsidP="00163957">
      <w:pPr>
        <w:pStyle w:val="TextoNormal"/>
      </w:pPr>
      <w:r>
        <w:t xml:space="preserve">c) El Abogado del Estado, en escrito de 29 de diciembre de 2014, se opuso al planteamiento de la cuestión. El Fiscal, en escrito de 30 de diciembre de 2014, sostuvo que “entendiendo que concurren los requisitos formales exigidos por el art. 35 LOTC no nos oponemos a su planteamiento sin perjuicio del informe que sobre el fondo pudiera emitirse, en su día, por el Fiscal General del Estado”. Los actores registraron sus alegaciones el 2 de enero de 2015. Juzgan aplicable la norma vigente al tiempo de la excarcelación, de modo que, al haber sido excarcelados el 8 de noviembre y el 2 de diciembre de 2013, no les sería aplicable la norma cuestionada, que entró en vigor el 1 de enero de 2014. Subsidiariamente, instan que se cuestione la constitucionalidad de dicho precepto legal porque, a su juicio, vulnera el art. 14 CE, por introducir una diferencia que no es objetiva ni razonable entre los liberados de prisión; el art. 25 CE, en la medida que su regulación no está orientada a la reeducación y reinserción social; el art. 81 CE, en tanto que exceptúa lo ordenado por el art. 73 de la Ley Orgánica general penitenciaria (LOGP); y el art. 24.1 CE, en su dimensión de garantía de indemnidad, porque la norma cuestionada es una consecuencia peyorativa de la STEDH (Gran Sala) de 21 de octubre de 2013, asunto </w:t>
      </w:r>
      <w:r w:rsidRPr="00163957">
        <w:rPr>
          <w:i/>
        </w:rPr>
        <w:t>Del Río Prada contra España</w:t>
      </w:r>
      <w:r>
        <w:t>.</w:t>
      </w:r>
    </w:p>
    <w:p w:rsidR="00163957" w:rsidRDefault="00163957" w:rsidP="00163957">
      <w:pPr>
        <w:pStyle w:val="TextoNormal"/>
      </w:pPr>
    </w:p>
    <w:p w:rsidR="00163957" w:rsidRDefault="00163957" w:rsidP="00163957">
      <w:pPr>
        <w:pStyle w:val="TextoNormal"/>
      </w:pPr>
      <w:r>
        <w:t>d) La Sala de lo Social del Tribunal Superior de Justicia del País Vasco dictó Auto de 27 de enero de 2015, por el que acuerda plantear cuestión de inconstitucionalidad respecto del apartado 1 de la disposición adicional sexagésima sexta LGSS, incorporada por la disposición final cuarta, punto 8, de la Ley 22/2013, de 23 de diciembre, de presupuestos generales del Estado para 2014, por su eventual contradicción con los arts. 9.3, 14, 24.1, 25.1 y 25.2 CE.</w:t>
      </w:r>
    </w:p>
    <w:p w:rsidR="00163957" w:rsidRDefault="00163957" w:rsidP="00163957">
      <w:pPr>
        <w:pStyle w:val="TextoNormal"/>
      </w:pPr>
    </w:p>
    <w:p w:rsidR="00163957" w:rsidRDefault="00163957" w:rsidP="00163957">
      <w:pPr>
        <w:pStyle w:val="TextoNormal"/>
      </w:pPr>
      <w:r w:rsidRPr="00163957">
        <w:rPr>
          <w:rStyle w:val="NumeroAFNegritaCaracter"/>
        </w:rPr>
        <w:t>3</w:t>
      </w:r>
      <w:r>
        <w:t xml:space="preserve">. El Auto de planteamiento, tras recoger los hechos del caso, destina el primer razonamiento jurídico a los requisitos procesales </w:t>
      </w:r>
      <w:r w:rsidRPr="00163957">
        <w:rPr>
          <w:i/>
        </w:rPr>
        <w:t>ex</w:t>
      </w:r>
      <w:r>
        <w:t xml:space="preserve"> art. 35 LOTC: a) “la disposición de cuya constitucionalidad se duda… está incorporada a una norma con rango de ley”; b) “la referida disposición adicional resulta de aplicación al supuesto de autos a tenor de lo previsto en la disposición transitoria sexta de la Ley 22/2013, en tanto preceptúa que lo previsto en aquélla se aplicará a partir de la entrada en vigor de la Ley 22/2013 y afectará a los solicitantes del subsidio al que se refiere el apartado 3 del art. 205 LGSS que en ese momento no hayan perfeccionado los requisitos establecidos en el número 1 del apartado 1 de su art. 215. Y </w:t>
      </w:r>
      <w:r>
        <w:lastRenderedPageBreak/>
        <w:t>ello, teniendo en cuenta los siguientes datos: 1) los recurrentes cumplieron condena por la comisión de delitos referentes a organizaciones y grupos terroristas y delitos de terrorismo a los que hace alusión la letra a) del art. 36 del Código Penal; 2) uno de ellos se inscribió como demandante de empleo el 8 de enero de 2014, bajo la vigencia de la Ley 22/2013, y el otro el 3 de diciembre de 2013, finalizando el plazo de espera de un mes el 2 de enero de 2014, una vez vigente la mentada Ley; y 3) los actores no han dado cumplimiento a los requisitos exigidos en el apartado seis del art. 72 LOGP, lo que ha determinado la denegación del subsidio de excarcelación por el Servicio Público de Empleo Estatal”; c) “de la validez de la norma cuya validez se somete a examen y decisión del Tribunal Constitucional, depende el fallo del presente recurso de suplicación, pues en el caso hipotético de que se declarase su nulidad, habría de estimarse aquél, con la consiguiente revocación de la sentencia impugnada y acogimiento de la pretensión deducida en la demanda origen de las actuaciones”; d) “la cuestión se ha suscitado en el momento procesal oportuno, una vez concluida la tramitación procedimental del recurso de suplicación” y e) “se ha observado el preceptivo trámite de audiencia a las partes y al Fiscal”.</w:t>
      </w:r>
    </w:p>
    <w:p w:rsidR="00163957" w:rsidRDefault="00163957" w:rsidP="00163957">
      <w:pPr>
        <w:pStyle w:val="TextoNormal"/>
      </w:pPr>
    </w:p>
    <w:p w:rsidR="00163957" w:rsidRDefault="00163957" w:rsidP="00163957">
      <w:pPr>
        <w:pStyle w:val="TextoNormal"/>
      </w:pPr>
      <w:r>
        <w:t>El segundo fundamento jurídico expone las dudas de constitucionalidad. Inicia con la relativa a la vulneración del art. 24.1 CE, “en su especial contenido de garantía de indemnidad”. La Sala afirma que “la aprobación de la disposición cuestionada fue una réplica a la STEDH (Gran Sala) de 21 de octubre de 2013, para evitar uno de los efectos secundarios de la excarcelación de los presos de ETA afectados por la doctrina sentada en dicha resolución”. Y también que se trata de una “medida que no se habría adoptado si no se hubiese articulado esa acción ante los órganos jurisdiccionales y constitucionales internos primero y ante el Tribunal Europeo después”.</w:t>
      </w:r>
    </w:p>
    <w:p w:rsidR="00163957" w:rsidRDefault="00163957" w:rsidP="00163957">
      <w:pPr>
        <w:pStyle w:val="TextoNormal"/>
      </w:pPr>
    </w:p>
    <w:p w:rsidR="00163957" w:rsidRDefault="00163957" w:rsidP="00163957">
      <w:pPr>
        <w:pStyle w:val="TextoNormal"/>
      </w:pPr>
      <w:r>
        <w:t xml:space="preserve">Expone que la norma cuestionada se origina en la interpelación que el Grupo Parlamentario Unión Progreso y Democracia presentó en el Congreso de los Diputados el 24 de octubre de 2013, día en que se conoció aquella Sentencia. De la iniciativa, debatida en el Pleno del 20 noviembre siguiente, reproduce algunos extractos. La representante de los promotores dijo: “esta actuación [Harrera Elkartea aconsejaba a los presos que salían de prisión medidas para poder cobrar esta protección por desempleo] alertó a este grupo parlamentario, que se puso a reflexionar sobre esta cuestión que estaba teniendo lugar en España, esto es, la existencia de un subsidio de excarcelación, una modalidad de protección por desempleo que tiene un carácter asistencial, y que les es entregado sin ningún tipo de condicionamiento, entre otros a los presos terroristas que salen de las cárceles”. El del Grupo Popular expuso: “tras la sentencia tremendamente dolorosa, injusta e incomprensible no solo para las víctimas, sino para la sociedad… el Gobierno ya ha dejado claro no solo que no iba a modificar su política penitenciaria en la lucha antiterrorista, sino que recordó su firme compromiso, el compromiso de llevar a cabo todas las modificaciones legales necesarias”. El del Grupo de La Izquierda Plural calificó la propuesta de “una mala resaca de la resolución del Tribunal Europeo de Derechos Humanos”. Igualmente resalta que el Ministro del Interior en el Pleno del Congreso de los Diputados del 30 de octubre de 2013 declaró que “como ha hecho referencia a un tema que está de candente actualidad, cual es el fallo del Tribunal de Derechos Humanos de Estrasburgo… quiero hacer un par de reflexiones. Una, que la grandeza y la servidumbre del Estado democrático de derecho… se manifiestan también cuando tienes que acatar fallos cuyas consecuencias te parecen injustas e incluso repugnantes”, puntualizando más adelante que “estamos dispuestos a estudiar también la posibilidad legal de fijar, </w:t>
      </w:r>
      <w:r>
        <w:lastRenderedPageBreak/>
        <w:t>precisamente como un requisito previo para la percepción de ayudas, la satisfacción de la responsabilidad civil para los delitos graves como el terrorismo”.</w:t>
      </w:r>
    </w:p>
    <w:p w:rsidR="00163957" w:rsidRDefault="00163957" w:rsidP="00163957">
      <w:pPr>
        <w:pStyle w:val="TextoNormal"/>
      </w:pPr>
    </w:p>
    <w:p w:rsidR="00163957" w:rsidRDefault="00163957" w:rsidP="00163957">
      <w:pPr>
        <w:pStyle w:val="TextoNormal"/>
      </w:pPr>
      <w:r>
        <w:t>Añade que esta iniciativa “se tradujo en la proposición no de ley aprobada por mayoría en la sesión de la Comisión de Interior de 18 de diciembre de 2013, si bien su plasmación legal se produjo con su incorporación al proyecto de Ley de Presupuestos Generales del Estado para 2014, a través de las enmiendas presentadas por el Grupo Parlamentario del Partido Popular en el Senado (núms. 3046 y 3048)”, justificadas como “revisión en profundidad de la normativa reguladora de dicho subsidio que permita cohonestar debidamente la asistencia social que se presta mediante éste a los liberados de prisión con la reparación justa y debida a las víctimas del delito y a la sociedad mediante la satisfacción previa de la responsabilidad civil derivada del delito. Asimismo… en determinadas manifestaciones particularmente graves de delincuencia como el terrorismo y la criminalidad organizada, el arrepentimiento, el perdón a las víctimas y la desvinculación clara e inequívoca con la organización criminal son indicios claros e inequívocos de la voluntad de reinserción e integración del liberado en una sociedad democrática que propugna la convivencia pacífica de sus integrantes”.</w:t>
      </w:r>
    </w:p>
    <w:p w:rsidR="00163957" w:rsidRDefault="00163957" w:rsidP="00163957">
      <w:pPr>
        <w:pStyle w:val="TextoNormal"/>
      </w:pPr>
    </w:p>
    <w:p w:rsidR="00163957" w:rsidRDefault="00163957" w:rsidP="00163957">
      <w:pPr>
        <w:pStyle w:val="TextoNormal"/>
      </w:pPr>
      <w:r>
        <w:t>Sentado que la norma cuestionada es una acción reactiva frente a la STEDH (Gran Sala) de 21 de octubre de 2013, “el siguiente punto a dilucidar es si la garantía de indemnidad… opera frente al poder legislativo”. El Auto aduce que “no encontramos argumentos —que la Abogacía del Estado tampoco esgrime— para darle una respuesta negativa. Cuestión distinta es que el legislador esté facultado para excepcionar la efectividad de la garantía de indemnidad, como de cualquier otro derecho fundamental, con la finalidad de salvaguardar otros bienes constitucionalmente protegidos, siempre que su sacrificio resulte justificado en tanto que proporcionado”. Coherentemente con ello, afirma que “el tercer paso del razonamiento se ha de referir a la proporcionalidad de la disposición de cuya inconstitucionalidad se sospecha”, destacando que, a su juicio, “la medida en cuestión no se presentaba como necesaria atendiendo a los efectos... del fallo del Tribunal Europeo, limitados a un colectivo reducido de presos por delitos de terrorismo… Las dudas aumentan… al no apreciarse el exigible equilibrio y ponderación entre los beneficios que se pretenden obtener con el endurecimiento de los requisitos de acceso al subsidio de desempleo… y el sacrificio de la garantía de indemnidad”.</w:t>
      </w:r>
    </w:p>
    <w:p w:rsidR="00163957" w:rsidRDefault="00163957" w:rsidP="00163957">
      <w:pPr>
        <w:pStyle w:val="TextoNormal"/>
      </w:pPr>
    </w:p>
    <w:p w:rsidR="00163957" w:rsidRDefault="00163957" w:rsidP="00163957">
      <w:pPr>
        <w:pStyle w:val="TextoNormal"/>
      </w:pPr>
      <w:r>
        <w:t>Rechaza, para terminar con esta primera duda de constitucionalidad, que “la única persona respecto de la que se podría declarar la existencia de tal lesión era la demandante en el asunto que concluyó con la sentencia del Tribunal Europeo de Derechos Humanos”, pues “es hecho notorio que la allí accionante no fue la única que recurrió ante esa instancia, y que si dicho órgano no llegó a dictar nuevas sentencias fue porque a partir del auto de 25 de octubre de 2013 (ejecutoria 32-1990), pronunciado por el Pleno de la Sala de lo Penal de la Audiencia Nacional, este órgano acordó aplicar la doctrina del Tribunal Europeo a todos los reclusos que se encontrasen en su misma situación”.</w:t>
      </w:r>
    </w:p>
    <w:p w:rsidR="00163957" w:rsidRDefault="00163957" w:rsidP="00163957">
      <w:pPr>
        <w:pStyle w:val="TextoNormal"/>
      </w:pPr>
    </w:p>
    <w:p w:rsidR="00163957" w:rsidRDefault="00163957" w:rsidP="00163957">
      <w:pPr>
        <w:pStyle w:val="TextoNormal"/>
      </w:pPr>
      <w:r>
        <w:t xml:space="preserve">La segunda duda alude al art. 25.1 CE, en su vertiente de prohibición del </w:t>
      </w:r>
      <w:r w:rsidRPr="00163957">
        <w:rPr>
          <w:i/>
        </w:rPr>
        <w:t>bis in idem</w:t>
      </w:r>
      <w:r>
        <w:t xml:space="preserve">, pues la Sala considera que la conducta de los actores de no satisfacer la responsabilidad civil derivada del delito y no desvincularse de ETA “les impidió obtener beneficios penitenciarios, cuya privación absorbió todo el reproche que su actuación merecía. No obstante, en </w:t>
      </w:r>
      <w:r>
        <w:lastRenderedPageBreak/>
        <w:t>virtud de una Ley aprobada después de su excarcelación, ese mismo comportamiento desplegó nuevos efectos negativos imposibilitándoles el acceso al subsidio de desempleo”. Con cita de la STC 121/2010, de 29 de noviembre, referida específicamente a los recargos tributarios y de Seguridad Social argumenta que los requisitos adicionales impuestos por la norma cuestionada es una sanción porque “el propósito que late tras esas exigencias es represaliar o castigar a los terroristas que no se desvinculan de la organización criminal”. Y termina diciendo que, “no resultando problemática la identidad subjetiva y en el fundamento de las medidas punitivas contrastadas, entendemos que también concurre la indispensable identidad fáctica, al tratarse de un hecho único aunque mantenido en el tiempo”.</w:t>
      </w:r>
    </w:p>
    <w:p w:rsidR="00163957" w:rsidRDefault="00163957" w:rsidP="00163957">
      <w:pPr>
        <w:pStyle w:val="TextoNormal"/>
      </w:pPr>
    </w:p>
    <w:p w:rsidR="00163957" w:rsidRDefault="00163957" w:rsidP="00163957">
      <w:pPr>
        <w:pStyle w:val="TextoNormal"/>
      </w:pPr>
      <w:r>
        <w:t xml:space="preserve">En tercer lugar, luego de recordar que, según las SSTC 206/2013 y 217/2013, de 5 y 19 de diciembre, el principio de seguridad jurídica </w:t>
      </w:r>
      <w:r w:rsidRPr="00163957">
        <w:rPr>
          <w:i/>
        </w:rPr>
        <w:t>ex</w:t>
      </w:r>
      <w:r>
        <w:t xml:space="preserve"> art. 9.3 CE exige que una ley de contenido definido constitucionalmente, como la de presupuestos generales del Estado, no contenga más disposiciones que las que guardan debida correspondencia con su función específica, la Sala reputa contrario a ese principio constitucional “que la Ley de Presupuestos pueda servir de vehículo para un cambio normativo que aun pudiendo determinar una reducción del gasto público, obedece en exclusiva a una causa, explicitada en el debate parlamentario, completamente alejada de ese objetivo, máxime cuando la reforma operada repercute negativamente en derechos básicos de los ciudadanos”.</w:t>
      </w:r>
    </w:p>
    <w:p w:rsidR="00163957" w:rsidRDefault="00163957" w:rsidP="00163957">
      <w:pPr>
        <w:pStyle w:val="TextoNormal"/>
      </w:pPr>
    </w:p>
    <w:p w:rsidR="00163957" w:rsidRDefault="00163957" w:rsidP="00163957">
      <w:pPr>
        <w:pStyle w:val="TextoNormal"/>
      </w:pPr>
      <w:r>
        <w:t>La Sala entiende, en cuarto lugar, que la norma cuestionada contraría “el art. 25.2 CE, en tanto contiene un mandato dirigido al legislador para que oriente el sistema de ejecución de las penas privativas de libertad y las instituciones que lo integran a la reeducación y reinserción social efectivas”. Parte de que “la función primordial de la modalidad de subsidio de desempleo que se considera es procurar al excarcelado que al salir de prisión carece de rentas para hacer frente a sus necesidades vitales básicas, y en su caso a las de los familiares que de él dependen, una ayuda económica mientras encuentra un empleo, que no sólo le permitirá subsistir, sino que contribuirá a su reinserción en la sociedad, lo que obliga a valorarla en el marco del sistema de reinserción social de los penados del que es una pieza fundamental”.</w:t>
      </w:r>
    </w:p>
    <w:p w:rsidR="00163957" w:rsidRDefault="00163957" w:rsidP="00163957">
      <w:pPr>
        <w:pStyle w:val="TextoNormal"/>
      </w:pPr>
    </w:p>
    <w:p w:rsidR="00163957" w:rsidRDefault="00163957" w:rsidP="00163957">
      <w:pPr>
        <w:pStyle w:val="TextoNormal"/>
      </w:pPr>
      <w:r>
        <w:t>Y concluye que, siendo el art. 25.2 CE parámetro de constitucionalidad de las leyes (SSTC 160/2012, de 20 de septiembre, y 128/2013, de 3 de junio), “la disposición cuestionada, en tanto excluye de la prestación de desempleo a los penados por determinados delitos con base en exigencias que o bien resultan imposibles de cumplir por carecer de medios para ello, o bien afectan a aspectos emocionales, ideológicos y morales, no respeta el principio constitucional orientador de la reinserción”, precisando que “el rumbo que marca el art. 25.2 CE, y el diseño legal de la medida objeto de análisis, no pueden verse alterados, atendiendo al mandato constitucional, en función de la clase y gravedad del delito, pues la norma fundamental no hace distinción alguna al respecto y la necesidad de adoptar medidas de rehabilitación social es mayor conforme aumenta el tiempo de estancia en prisión, y tampoco por actitudes del excarcelado que no guardan relación con la situación protegida, afectan a aspectos emocionales, ideológicos y morales, y no pueden ser valoradas necesariamente como muestra de la falta de voluntad de reintegración efectiva en una sociedad democrática entre cuyas señas de identidad figura el diálogo, la tolerancia y la convivencia pacífica y la no utilización de la violencia para imponer las propias ideas, máxime si se tiene en cuenta que en ocasiones no siempre son libres para tomar sus propias decisiones”.</w:t>
      </w:r>
    </w:p>
    <w:p w:rsidR="00163957" w:rsidRDefault="00163957" w:rsidP="00163957">
      <w:pPr>
        <w:pStyle w:val="TextoNormal"/>
      </w:pPr>
    </w:p>
    <w:p w:rsidR="00163957" w:rsidRDefault="00163957" w:rsidP="00163957">
      <w:pPr>
        <w:pStyle w:val="TextoNormal"/>
      </w:pPr>
      <w:r>
        <w:lastRenderedPageBreak/>
        <w:t>Y frente a la coincidencia de contenidos con el art. 72.6 LOGP, que el Abogado del Estado suscita al tiempo que alega que nadie lo ha tachado de contrario al art. 25.2 CE, sostiene que “prevalece la disparidad entre el momento en que se aplica una y otra medida y la finalidad a la que responden. La clasificación en tercer grado es un medio para potenciar las posibilidades de reintegración social una vez se ha cumplido la pena, que depende del pronóstico favorable de reinserción, lo que explica tales exigencias, sin cuya observancia el interno debe redimir íntegramente su castigo en régimen ordinario, mientras que el subsidio de desempleo pretende subvenir las necesidades básicas de quienes han permanecido en prisión preventiva o definitiva durante más de seis meses, y su papel resocializador está ligado a la provisión de los medios de subsistencia para atender esas necesidades”.</w:t>
      </w:r>
    </w:p>
    <w:p w:rsidR="00163957" w:rsidRDefault="00163957" w:rsidP="00163957">
      <w:pPr>
        <w:pStyle w:val="TextoNormal"/>
      </w:pPr>
    </w:p>
    <w:p w:rsidR="00163957" w:rsidRDefault="00163957" w:rsidP="00163957">
      <w:pPr>
        <w:pStyle w:val="TextoNormal"/>
      </w:pPr>
      <w:r>
        <w:t>La Sala también duda de la conformidad de la norma con el art. 14 CE, pues “la diferencia de trato que establece entre los liberados de prisión, en función del tipo de delito por el que han cumplido condena, podría resultar contraria al principio de igualdad, al introducir una diferencia de trato peyorativa que no resulta objetivamente justificada por una razón vinculada a la función específica que cumple la modalidad de subsidio de desempleo que regula y a la situación de necesidad que trata de proteger; y que no es proporcionada, al privar a los beneficiarios que carecen de rentas del acceso a una prestación del régimen público de Seguridad Social que, según ordena el art. 41 CE, debe garantizar la asistencia y prestaciones sociales ante situaciones de necesidad, especialmente en caso de desempleo, estado de necesidad mucho más acusado cuando se ha estado recluido en prisión durante un largo período de tiempo —18 y 26 años en el caso de los actores—, y se ha obtenido la libertad a una edad —53 y 61 años en el caso— que hacen mucho más difícil encontrar medios de vida con los que satisfacer las necesidades más básicas”. Añade “que si bien el art. 41 CE no obliga a los poderes públicos a establecer una prestación asistencial a favor de los liberados de prisión, una vez que deciden proteger esa contingencia no pueden hacerlo imponiendo requisitos más rigurosos a quienes habiendo cumplido pena por ciertos delitos se encuentran en una situación de necesidad similar, o incluso más acusada, que los restantes, por cuanto que la gravedad del delito no es un criterio que el legislador haya tomado en cuenta a la hora de articular la protección… lo que además ocasiona un daño desproporcionado, como es la imposibilidad de lucrar la prestación, que no se puede justificar por la falta de acreditación de unos requisitos que o bien resultan imposibles de cumplir por carecer el interesado de medios para ello, o bien afectan a aspectos emocionales, ideológicos y morales que ya fueron tenidos en cuenta en el momento de cumplimiento de la pena”. Termina esta duda de constitucionalidad señalando “que si la condición de ex-recluso halla encaje en las ‘otras condiciones’ a las que alude el art. 14 CE, la norma cuestionada podría venir a introducir una diferencia de trato injustificada y desproporcionada entre las personas que ostentan esa condición, a las que el art. 73.1 LOGP reconoce, sin salvedad ni excepción alguna, el derecho a ser plenamente reintegrados en el ejercicio de sus derechos como ciudadanos”.</w:t>
      </w:r>
    </w:p>
    <w:p w:rsidR="00163957" w:rsidRDefault="00163957" w:rsidP="00163957">
      <w:pPr>
        <w:pStyle w:val="TextoNormal"/>
      </w:pPr>
    </w:p>
    <w:p w:rsidR="00163957" w:rsidRDefault="00163957" w:rsidP="00163957">
      <w:pPr>
        <w:pStyle w:val="TextoNormal"/>
      </w:pPr>
      <w:r w:rsidRPr="00163957">
        <w:rPr>
          <w:rStyle w:val="NumeroAFNegritaCaracter"/>
        </w:rPr>
        <w:t>4</w:t>
      </w:r>
      <w:r>
        <w:t>. Por providencia de 17 de marzo de 2015, la Sección Cuarta acordó oír al Fiscal General del Estado para que, en el plazo de diez días, alegase lo que tuviera por conveniente acerca de la admisibilidad de la cuestión por si fuera notoriamente infundada.</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El 17 de abril de 2015 tuvo entrada en este Tribunal el escrito de alegaciones del Ministerio Fiscal. Tras resumir los antecedentes del caso, alude al marco normativo relevante. Transcribe, además de la norma impugnada, el art. 36.2 de la Ley Orgánica 10/1995, de 23 de noviembre, del Código penal; el art. 72.6 de la Ley Orgánica 1/1979, de 26 de </w:t>
      </w:r>
      <w:r>
        <w:lastRenderedPageBreak/>
        <w:t>septiembre, general penitenciaria; la disposición transitoria tercera de la Ley 22/2013 y los arts. 205.3 y 215 LGSS.</w:t>
      </w:r>
    </w:p>
    <w:p w:rsidR="00163957" w:rsidRDefault="00163957" w:rsidP="00163957">
      <w:pPr>
        <w:pStyle w:val="TextoNormal"/>
      </w:pPr>
    </w:p>
    <w:p w:rsidR="00163957" w:rsidRDefault="00163957" w:rsidP="00163957">
      <w:pPr>
        <w:pStyle w:val="TextoNormal"/>
      </w:pPr>
      <w:r>
        <w:t>Luego recuerda, con cita del ATC 133/2014, que este Tribunal puede apreciar en el trámite de admisión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w:t>
      </w:r>
    </w:p>
    <w:p w:rsidR="00163957" w:rsidRDefault="00163957" w:rsidP="00163957">
      <w:pPr>
        <w:pStyle w:val="TextoNormal"/>
      </w:pPr>
    </w:p>
    <w:p w:rsidR="00163957" w:rsidRDefault="00163957" w:rsidP="00163957">
      <w:pPr>
        <w:pStyle w:val="TextoNormal"/>
      </w:pPr>
      <w:r>
        <w:t>Sobre la viabilidad del primer motivo de inconstitucionalidad sostiene que de las SSTC 6/2011 y 136/2011 fluye que el derecho fundamental a la tutela judicial efectiva en su vertiente de garantía de indemnidad trata de proteger a los ciudadanos para que no sufran consecuencias perjudiciales por el ejercicio de las acciones penales o los actos preparatorios o previos a dicho ejercicio, “no pudiéndose constituir tal derecho en un límite al legislador democrático para regular cuantas materias estime pertinentes, aun en respuesta a nuevas situaciones creadas por pronunciamientos judiciales”, sobre todo cuando se trata de regulaciones que para nada empecen a la plena efectividad de las resoluciones judiciales. Y añade que “la normativa objeto de examen no ha impedido que, tras el pronunciamiento de la sentencia del Tribunal Europeo de Derechos Humanos, la misma alcance su finalidad y se haya producido la excarcelación de las personas a las que la misma afectaba ni ha supuesto impedimento alguno para el pleno disfrute de su libertad”. Además de lo anterior, hace valer otras dos razones a este efecto. Afirma que la norma tiene como “destinatarios una pluralidad de ciudadanos, de los que sólo una pequeña parte han sido afectados por la sentencia en cuestión” y que no es una legislación “sobre un derecho fundamental, sino sobre los requisitos para acceder a una prestación no contributiva de desempleo… por lo que su análisis de constitucionalidad ha de ser distinto al pertinente cuando se examinan medidas que suponen una injerencia en un derecho fundamental o libertad pública”.</w:t>
      </w:r>
    </w:p>
    <w:p w:rsidR="00163957" w:rsidRDefault="00163957" w:rsidP="00163957">
      <w:pPr>
        <w:pStyle w:val="TextoNormal"/>
      </w:pPr>
    </w:p>
    <w:p w:rsidR="00163957" w:rsidRDefault="00163957" w:rsidP="00163957">
      <w:pPr>
        <w:pStyle w:val="TextoNormal"/>
      </w:pPr>
      <w:r>
        <w:t xml:space="preserve">Descarta la lesión de la regla </w:t>
      </w:r>
      <w:r w:rsidRPr="00163957">
        <w:rPr>
          <w:i/>
        </w:rPr>
        <w:t>non bis in idem</w:t>
      </w:r>
      <w:r>
        <w:t xml:space="preserve"> (art. 25.1 CE), pues “dada la incuestionada naturaleza de norma de seguridad social que establece requisitos para acceder a una prestación no contributiva de desempleo, la ajenidad del derecho esgrimido aparece de forma palmaria, con independencia del propósito que al entender de la Sala late tras el establecimiento de los requisitos complementarios, por lo que también debe descartarse esta duda de constitucionalidad”.</w:t>
      </w:r>
    </w:p>
    <w:p w:rsidR="00163957" w:rsidRDefault="00163957" w:rsidP="00163957">
      <w:pPr>
        <w:pStyle w:val="TextoNormal"/>
      </w:pPr>
    </w:p>
    <w:p w:rsidR="00163957" w:rsidRDefault="00163957" w:rsidP="00163957">
      <w:pPr>
        <w:pStyle w:val="TextoNormal"/>
      </w:pPr>
      <w:r>
        <w:t>Sobre el motivo de inconstitucionalidad relativo a los arts. 134.2 y 9.3 CE, el Fiscal expone que “la conexión con el objeto del presupuesto no es negada por el órgano promovente y aparece directamente pretendida por la norma cuya finalidad clara es imposibilitar que determinados presos cobren la prestación, lo que implica en sí mismo una reducción del gasto público, sin que la motivación que haya tenido el legislador, por lo demás clara, pueda afectar a la naturaleza de la norma que es lo único que debe ser tenido en cuenta para examinar si la misma puede ser incluida o no en una ley de presupuestos”.</w:t>
      </w:r>
    </w:p>
    <w:p w:rsidR="00163957" w:rsidRDefault="00163957" w:rsidP="00163957">
      <w:pPr>
        <w:pStyle w:val="TextoNormal"/>
      </w:pPr>
    </w:p>
    <w:p w:rsidR="00163957" w:rsidRDefault="00163957" w:rsidP="00163957">
      <w:pPr>
        <w:pStyle w:val="TextoNormal"/>
      </w:pPr>
      <w:r>
        <w:t xml:space="preserve">El Fiscal razona que la norma cuestionada no vulnera el art. 25.2 CE, pues aquella “sólo puede aplicarse cuando la fase de ejecución ha finalizado, como así sucedía en el caso de autos, por lo que la misma es ajena al ámbito de ejecución de las penas privativas de libertad y a la de la Administración penitenciaria, de lo que se desprende con naturalidad que no </w:t>
      </w:r>
      <w:r>
        <w:lastRenderedPageBreak/>
        <w:t>pueden entorpecer ni menoscabar la reeducación y reinserción social de los penados, al no aplicarse a los mismos”.</w:t>
      </w:r>
    </w:p>
    <w:p w:rsidR="00163957" w:rsidRDefault="00163957" w:rsidP="00163957">
      <w:pPr>
        <w:pStyle w:val="TextoNormal"/>
      </w:pPr>
    </w:p>
    <w:p w:rsidR="00163957" w:rsidRDefault="00163957" w:rsidP="00163957">
      <w:pPr>
        <w:pStyle w:val="TextoNormal"/>
      </w:pPr>
      <w:r>
        <w:t>El Fiscal rechaza, en último lugar, que todas las personas que han extinguido una condena penal se encuentren en idénticas circunstancias a la hora de concederles el subsidio que aquí interesa. Sostiene, por el contrario, que “[l]as personas que han extinguido una pena privativa de libertad tienen ese solo elemento en común pero hay muchos factores objetivos que les diferencian, en atención a los hechos realizados, su calificación jurídica y reproche penal aparejado”. Y, en consecuencia, sigue afirmando “[e]l legislador puede tener en cuenta esas desigualdades existentes y otorgarles relevancia jurídica a la hora de otorgarles prestaciones no contributivas, de libre configuración legal, para, además de exigir una determinada situación de necesidad, imponerles algún tipo de comportamiento, ya en relación con el pago de las responsabilidades civiles, ya con la facilitación de la lucha contra esa especial y grave delincuencia, ya con otros comportamientos reparadores para con las víctimas”. Concluye de todo ello que la desigualdad introducida viene fundada en criterios objetivos y razonables y que las consecuencias derivadas de la distinción no resultan desproporcionadas, al estar en manos de los propios sujetos hacer cesar la desigualdad.</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7 de julio de 2015, el Pleno del Tribunal, a propuesta de la Sección Cuarta, acordó tener por formuladas por el Fiscal General del Estado las anteriores alegaciones y admitir a trámite la cuestión planteada por la Sala de lo Social del Tribunal Superior de Justicia del País Vasco en relación con el apartado 1 de la disposición adicional sexagésima sexta del texto refundido de la Ley general de la Seguridad Social aprobado por Real Decreto Legislativo 1/1994, de 20 de junio, incorporada por la disposición final cuarta, punto 8, de la Ley 22/2013, de 23 de diciembre, de presupuestos generales del Estado, por posible vulneración de los arts. 9.3, 14, 24.1, 25.1 y 25.2 CE. El Pleno acordó también, conforme al artículo 10.1 c) LOTC, reservar para sí el conocimiento de la cuestión, así como dar traslado de las actuaciones recibidas (art. 37.3 LOTC) al Congreso de los Diputados y al Senado, al Gobierno y al Fiscal General del Estado, al objeto de que, en el improrrogable plazo de quince días, pudieran personarse en el proceso y formular las alegaciones que estimasen convenientes. Se acordó, asimismo, comunicar esta resolución al órgano judicial promotor de la cuestión, a fin de que el procedimiento del que la misma emana permaneciera suspendido hasta que este Tribunal resolviera definitivamente (art. 35.3 LOTC). Y se ordenó, por último, la publicación de la incoación de la cuestión en el “Boletín Oficial del Estado”.</w:t>
      </w:r>
    </w:p>
    <w:p w:rsidR="00163957" w:rsidRDefault="00163957" w:rsidP="00163957">
      <w:pPr>
        <w:pStyle w:val="TextoNormal"/>
      </w:pPr>
    </w:p>
    <w:p w:rsidR="00163957" w:rsidRDefault="00163957" w:rsidP="00163957">
      <w:pPr>
        <w:pStyle w:val="TextoNormal"/>
      </w:pPr>
      <w:r w:rsidRPr="00163957">
        <w:rPr>
          <w:rStyle w:val="NumeroAFNegritaCaracter"/>
        </w:rPr>
        <w:t>7</w:t>
      </w:r>
      <w:r>
        <w:t>. Mediante escrito de 14 de julio de 2015, registrado en el Tribunal el día 16, el Presidente del Congreso de los Diputados comunicó al Tribunal el acuerdo de la Mesa de la Cámara, de igual fecha, en orden a que se tuviera por personado al Congreso de los Diputados en el procedimiento y por ofrecida su colaboración a los efectos del art. 88.1 LOTC, así como remitir a la Dirección de estudios, análisis y publicaciones y a la asesoría jurídica de la Secretaría General.</w:t>
      </w:r>
    </w:p>
    <w:p w:rsidR="00163957" w:rsidRDefault="00163957" w:rsidP="00163957">
      <w:pPr>
        <w:pStyle w:val="TextoNormal"/>
      </w:pPr>
    </w:p>
    <w:p w:rsidR="00163957" w:rsidRDefault="00163957" w:rsidP="00163957">
      <w:pPr>
        <w:pStyle w:val="TextoNormal"/>
      </w:pPr>
      <w:r w:rsidRPr="00163957">
        <w:rPr>
          <w:rStyle w:val="NumeroAFNegritaCaracter"/>
        </w:rPr>
        <w:t>8</w:t>
      </w:r>
      <w:r>
        <w:t>. Mediante escrito de 16 de julio de 2015, registrado en el Tribunal el siguiente día 20, el Presidente del Senado comunicó al Tribunal el acuerdo de la Mesa de la Cámara, de igual fecha, en orden a que se tuviera por personado al Senado en el procedimiento y por ofrecida su colaboración a los efectos del art. 88.1 LOTC.</w:t>
      </w:r>
    </w:p>
    <w:p w:rsidR="00163957" w:rsidRDefault="00163957" w:rsidP="00163957">
      <w:pPr>
        <w:pStyle w:val="TextoNormal"/>
      </w:pPr>
    </w:p>
    <w:p w:rsidR="00163957" w:rsidRDefault="00163957" w:rsidP="00163957">
      <w:pPr>
        <w:pStyle w:val="TextoNormal"/>
      </w:pPr>
      <w:r w:rsidRPr="00163957">
        <w:rPr>
          <w:rStyle w:val="NumeroAFNegritaCaracter"/>
        </w:rPr>
        <w:t>9</w:t>
      </w:r>
      <w:r>
        <w:t>. El 30 de julio de 2015 tuvo entrada en este Tribunal el escrito de alegaciones del Abogado del Estado, en representación del Gobierno de la Nación. En él, la Abogacía del Estado niega que se hayan producido las vulneraciones suscitadas por la Sala cuestionante y defiende la plena constitucionalidad de la norma impugnada.</w:t>
      </w:r>
    </w:p>
    <w:p w:rsidR="00163957" w:rsidRDefault="00163957" w:rsidP="00163957">
      <w:pPr>
        <w:pStyle w:val="TextoNormal"/>
      </w:pPr>
    </w:p>
    <w:p w:rsidR="00163957" w:rsidRDefault="00163957" w:rsidP="00163957">
      <w:pPr>
        <w:pStyle w:val="TextoNormal"/>
      </w:pPr>
      <w:r>
        <w:t xml:space="preserve">a) Por lo que se refiere a la vulneración del art. 24.1 CE, comienza alegando que la vinculación de la norma cuestionada con la anulación de la llamada “doctrina Parot” por la STEDH </w:t>
      </w:r>
      <w:r w:rsidRPr="00163957">
        <w:rPr>
          <w:i/>
        </w:rPr>
        <w:t>Del Rio Prada</w:t>
      </w:r>
      <w:r>
        <w:t xml:space="preserve"> es una apreciación singular del órgano proponente y una mera hipótesis no acreditada. Y en cualquier caso, aun confirmada esa hipótesis, ese motivo no resultaría fiscalizable por constituir una razón de política legislativa del Gobierno. Sostiene que no corresponde a este Tribunal Constitucional enjuiciar el acierto u oportunidad política de la reforma, ni si las razones que motivan las medidas legislativas son adecuadas o no al interés general. La motivación de la norma podrá o no compartirse, pero de ello no se deriva la inconstitucionalidad de una ley. Niega, en cualquier caso, que el legislador democrático, como legítimo y directo representante de la soberanía popular (art. 66 CE), pueda resultar limitado por la previa decisión de un organismo internacional, como no sea por la adhesión a un tratado internacional por la vía del art. 93 CE. Y termina matizando que, en todo caso, y conforme a la doctrina constitucional, la garantía de indemnidad derivada del art. 24.1 CE podría excluir las denominadas leyes autoaplicativas, dictadas para evitar, respecto de un caso concreto, la ejecución de una sentencia firme, pero no pueden privar a la ley formal de su fuerza derivada de su misma naturaleza. Los límites a las leyes se encuentran en la Constitución, y ésta no prohíbe el establecimiento de una nueva regulación. Y esta nueva regulación aquí cuestionada ni tiende a evitar la ejecución de una sentencia firme ni imposibilita jurídica o materialmente la ejecución de sentencias o resoluciones judiciales ya dictadas.</w:t>
      </w:r>
    </w:p>
    <w:p w:rsidR="00163957" w:rsidRDefault="00163957" w:rsidP="00163957">
      <w:pPr>
        <w:pStyle w:val="TextoNormal"/>
      </w:pPr>
    </w:p>
    <w:p w:rsidR="00163957" w:rsidRDefault="00163957" w:rsidP="00163957">
      <w:pPr>
        <w:pStyle w:val="TextoNormal"/>
      </w:pPr>
      <w:r>
        <w:t xml:space="preserve">b) Respecto a la vulneración del art. 25.1 CE por vulneración del principio </w:t>
      </w:r>
      <w:r w:rsidRPr="00163957">
        <w:rPr>
          <w:i/>
        </w:rPr>
        <w:t>non bis in idem</w:t>
      </w:r>
      <w:r>
        <w:t>, comienza matizando que la norma cuestionada no contiene ninguna sanción, sino que se trata de la Ley que regula las prestaciones de la seguridad social. A ello añade que no se cumple la triple identidad de sujeto, hecho y fundamento exigida por la doctrina constitucional. Así, el hecho causante del subsidio no es el delito ni la pena, sino el cumplimiento de los requisitos establecidos por la norma para acceder a ese derecho; y el fundamento de la eventual no concesión no lo es tampoco el delito ni la pena, sino la actitud posterior del sujeto en relación con quienes fueron víctimas del delito. Añade que la reinserción social perseguida por la reforma es, además, un fin constitucionalmente lícito, conforme al art. 25.2 CE.</w:t>
      </w:r>
    </w:p>
    <w:p w:rsidR="00163957" w:rsidRDefault="00163957" w:rsidP="00163957">
      <w:pPr>
        <w:pStyle w:val="TextoNormal"/>
      </w:pPr>
    </w:p>
    <w:p w:rsidR="00163957" w:rsidRDefault="00163957" w:rsidP="00163957">
      <w:pPr>
        <w:pStyle w:val="TextoNormal"/>
      </w:pPr>
      <w:r>
        <w:t>c) Niega asimismo que la norma examinada afecte negativamente a la seguridad jurídica o a la claridad de las normas, o tenga efecto retroactivo (art. 9.3 CE).</w:t>
      </w:r>
    </w:p>
    <w:p w:rsidR="00163957" w:rsidRDefault="00163957" w:rsidP="00163957">
      <w:pPr>
        <w:pStyle w:val="TextoNormal"/>
      </w:pPr>
    </w:p>
    <w:p w:rsidR="00163957" w:rsidRDefault="00163957" w:rsidP="00163957">
      <w:pPr>
        <w:pStyle w:val="TextoNormal"/>
      </w:pPr>
      <w:r>
        <w:t>Razona en primer lugar que la norma se ajusta al “contenido eventual” de la Ley de presupuestos, pues guarda una “relación directa” con los ingresos y gastos del Estado, como ha exigido la doctrina de este Tribunal. Invoca, en concreto, el caso de la STC 65/1990, de 5 de abril, que admitió la inclusión en la Ley de presupuestos de una norma estableciendo la incompatibilidad de la percepción de pensiones y de haberes de la Administración.</w:t>
      </w:r>
    </w:p>
    <w:p w:rsidR="00163957" w:rsidRDefault="00163957" w:rsidP="00163957">
      <w:pPr>
        <w:pStyle w:val="TextoNormal"/>
      </w:pPr>
    </w:p>
    <w:p w:rsidR="00163957" w:rsidRDefault="00163957" w:rsidP="00163957">
      <w:pPr>
        <w:pStyle w:val="TextoNormal"/>
      </w:pPr>
      <w:r>
        <w:t xml:space="preserve">Pasa luego a examinar si concurre o no la supuesta inseguridad jurídica que imputa a la norma el Auto de planteamiento por afectar a sujetos que, según esa misma resolución, </w:t>
      </w:r>
      <w:r>
        <w:lastRenderedPageBreak/>
        <w:t>habrían ya psicológicamente asumido la percepción del subsidio de desempleo una vez liberados. Y recuerda que esa convicción es una simple expectativa de derecho y no da lugar a ninguna situación jurídicamente consolidada que solo se alcanza al cumplir los requisitos previstos por la ley para generar el derecho a percibir la prestación. Además, al reproducir la norma cuestionada los requisitos exigidos para alcanzar el tercer grado las personas afectadas por la medida esa nueva previsión normativa no puede resultar sorpresiva.</w:t>
      </w:r>
    </w:p>
    <w:p w:rsidR="00163957" w:rsidRDefault="00163957" w:rsidP="00163957">
      <w:pPr>
        <w:pStyle w:val="TextoNormal"/>
      </w:pPr>
    </w:p>
    <w:p w:rsidR="00163957" w:rsidRDefault="00163957" w:rsidP="00163957">
      <w:pPr>
        <w:pStyle w:val="TextoNormal"/>
      </w:pPr>
      <w:r>
        <w:t>d) Para el representante del Gobierno tampoco puede considerarse discriminatoria la medida (art. 14 CE, en relación con el art. 41). La norma tiene, según él, una justificación objetiva y razonable, que es lo que exige la doctrina constitucional sobre la igualdad ante la ley. No todas las personas han realizado los mismos hechos, han atacado los mismos bienes jurídicos, han causado los mismos daños y dolor a las víctimas y a la sociedad y han formado parte de los mismos entramados delictivos. Todos estos factores objetivos, que puede legítimamente tomar en cuenta el legislador, diferencian a los destinatarios de esta medida de otros liberados de prisión. Reitera que las condiciones exigidas guardan además relación con la función reeducadora de la pena establecida en el art. 25.2 CE (aun recordando que el precepto no regula una sanción). No son, en este sentido, condicionamientos arbitrarios o caprichosos, sino que su cumplimiento depende de la exclusiva voluntad del potencial beneficiario de la prestación.</w:t>
      </w:r>
    </w:p>
    <w:p w:rsidR="00163957" w:rsidRDefault="00163957" w:rsidP="00163957">
      <w:pPr>
        <w:pStyle w:val="TextoNormal"/>
      </w:pPr>
    </w:p>
    <w:p w:rsidR="00163957" w:rsidRDefault="00163957" w:rsidP="00163957">
      <w:pPr>
        <w:pStyle w:val="TextoNormal"/>
      </w:pPr>
      <w:r>
        <w:t>Por todo ello termina solicitando la desestimación de la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10</w:t>
      </w:r>
      <w:r>
        <w:t>. El 3 de septiembre de 2015 tuvo entrada en este Tribunal el escrito de alegaciones de la Fiscal General del Estado. Tras una pormenorizada exposición de los antecedentes y del contenido del Auto impugnado, la representante del Ministerio público se pronuncia sobre los diferentes motivos de inconstitucionalidad planteados.</w:t>
      </w:r>
    </w:p>
    <w:p w:rsidR="00163957" w:rsidRDefault="00163957" w:rsidP="00163957">
      <w:pPr>
        <w:pStyle w:val="TextoNormal"/>
      </w:pPr>
    </w:p>
    <w:p w:rsidR="00163957" w:rsidRDefault="00163957" w:rsidP="00163957">
      <w:pPr>
        <w:pStyle w:val="TextoNormal"/>
      </w:pPr>
      <w:r>
        <w:t xml:space="preserve">a) Niega, en primer lugar, que la norma pueda ser contraria a la garantía de indemnidad (art. 24.1 CE) porque, matiza, esa norma no ha impedido la plena eficacia de la STEDH </w:t>
      </w:r>
      <w:r w:rsidRPr="00163957">
        <w:rPr>
          <w:i/>
        </w:rPr>
        <w:t>Del Río Prada</w:t>
      </w:r>
      <w:r>
        <w:t xml:space="preserve"> que, según el Auto de planteamiento, habría estado en el origen de la reacción legislativa del Parlamento. Sostiene, asimismo, que las motivaciones de la reforma podrán ser o no compartidas, pero ello no convierte una norma en inconstitucional.</w:t>
      </w:r>
    </w:p>
    <w:p w:rsidR="00163957" w:rsidRDefault="00163957" w:rsidP="00163957">
      <w:pPr>
        <w:pStyle w:val="TextoNormal"/>
      </w:pPr>
    </w:p>
    <w:p w:rsidR="00163957" w:rsidRDefault="00163957" w:rsidP="00163957">
      <w:pPr>
        <w:pStyle w:val="TextoNormal"/>
      </w:pPr>
      <w:r>
        <w:t xml:space="preserve">b) Por lo que respecta a la vulneración del </w:t>
      </w:r>
      <w:r w:rsidRPr="00163957">
        <w:rPr>
          <w:i/>
        </w:rPr>
        <w:t>bis in idem</w:t>
      </w:r>
      <w:r>
        <w:t xml:space="preserve"> (art. 25.1 CE), recuerda la incuestionada norma de seguridad social de la norma de cuya constitucionalidad se duda. A partir de ahí, le parece que la ajenidad del derecho esgrimido resulta palmaria.</w:t>
      </w:r>
    </w:p>
    <w:p w:rsidR="00163957" w:rsidRDefault="00163957" w:rsidP="00163957">
      <w:pPr>
        <w:pStyle w:val="TextoNormal"/>
      </w:pPr>
    </w:p>
    <w:p w:rsidR="00163957" w:rsidRDefault="00163957" w:rsidP="00163957">
      <w:pPr>
        <w:pStyle w:val="TextoNormal"/>
      </w:pPr>
      <w:r>
        <w:t>c) En cuanto a la vulneración del principio de seguridad jurídica por haber sido aprobada la norma en una ley de presupuestos, sostiene que la vinculación con los presupuestos del Estado no es negada por el órgano proponente, y de hecho aparece pretendida directamente por la norma cuya finalidad clara es imposibilitar que determinados presos cobren la prestación. Lo que implica en sí mismo una reducción del gasto público, concluye.</w:t>
      </w:r>
    </w:p>
    <w:p w:rsidR="00163957" w:rsidRDefault="00163957" w:rsidP="00163957">
      <w:pPr>
        <w:pStyle w:val="TextoNormal"/>
      </w:pPr>
    </w:p>
    <w:p w:rsidR="00163957" w:rsidRDefault="00163957" w:rsidP="00163957">
      <w:pPr>
        <w:pStyle w:val="TextoNormal"/>
      </w:pPr>
      <w:r>
        <w:t xml:space="preserve">d) Con relación a la posible contradicción del mandato del art. 25.2 CE, recuerda que el ámbito de ese mandato es el de la ejecución de las penas y medidas de seguridad privativas de libertad, tal y como resulta de la doctrina constitucional (cita la STC 160/2012, FFJJ 3 y 4) y del propio tenor del precepto. A partir de ahí, como la norma cuestionada entra en juego precisamente una vez que las penas privativas de libertad se han extinguido y el sujeto deja </w:t>
      </w:r>
      <w:r>
        <w:lastRenderedPageBreak/>
        <w:t>de depender de la Administración penitenciaria, de ello se desprende con naturalidad que no puede entorpecer ni menoscabar la reeducación y reinserción social de los penados, al no aplicarse a los mismos.</w:t>
      </w:r>
    </w:p>
    <w:p w:rsidR="00163957" w:rsidRDefault="00163957" w:rsidP="00163957">
      <w:pPr>
        <w:pStyle w:val="TextoNormal"/>
      </w:pPr>
    </w:p>
    <w:p w:rsidR="00163957" w:rsidRDefault="00163957" w:rsidP="00163957">
      <w:pPr>
        <w:pStyle w:val="TextoNormal"/>
      </w:pPr>
      <w:r>
        <w:t>e) Finalmente aborda la posible inconstitucionalidad por contravención del art. 14 CE. Critica el planteamiento de la Sala promotora, para quien todas las personas que han extinguido su condena penal se encuentran en la misma situación a la hora de percibir una pensión no contributiva. Sin embargo, le parece claro que ello no es así y que existen circunstancias que pueden ser tenidas en cuenta, pues no todas las personas han cometidos los mismos hechos, han atacado los mismos bienes jurídicos, han causado los mismos daños a las víctimas y a la sociedad y han formado parte de los mismos entramados delictivos. Le parece lícito que el legislador pueda tener en cuenta estas desigualdades existentes a la hora de otorgarles una pensión no contributiva, de libre configuración legal, para, además de exigirles una determinada situación de necesidad, imponerles algún tipo de comportamiento que no es además de imposible cumplimiento. En definitiva, ni las situaciones comparadas son idénticas a los efectos del art. 14 CE, ni la diferenciación establecida carece de justificación objetiva y razonable.</w:t>
      </w:r>
    </w:p>
    <w:p w:rsidR="00163957" w:rsidRDefault="00163957" w:rsidP="00163957">
      <w:pPr>
        <w:pStyle w:val="TextoNormal"/>
      </w:pPr>
    </w:p>
    <w:p w:rsidR="00163957" w:rsidRDefault="00163957" w:rsidP="00163957">
      <w:pPr>
        <w:pStyle w:val="TextoNormal"/>
      </w:pPr>
      <w:r>
        <w:t>Por todo lo expuesto solicita la desestimación de la presente cuestión de inconstitucionalidad.</w:t>
      </w:r>
    </w:p>
    <w:p w:rsidR="00163957" w:rsidRDefault="00163957" w:rsidP="00163957">
      <w:pPr>
        <w:pStyle w:val="TextoNormal"/>
      </w:pPr>
    </w:p>
    <w:p w:rsidR="00163957" w:rsidRDefault="00163957" w:rsidP="00163957">
      <w:pPr>
        <w:pStyle w:val="TextoNormal"/>
      </w:pPr>
      <w:r w:rsidRPr="00163957">
        <w:rPr>
          <w:rStyle w:val="NumeroAFNegritaCaracter"/>
        </w:rPr>
        <w:t>11</w:t>
      </w:r>
      <w:r>
        <w:t>. Por providencia de 21 de junio de 2016, se acordó señalar para deliberación y votación de la presente Sentencia el día 23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xml:space="preserve">. La Sala de lo Social del Tribunal Superior de Justicia del País Vasco plantea cuestión de inconstitucionalidad respecto del apartado 1 de la disposición adicional sexagésima sexta del texto refundido de la Ley general de la Seguridad Social (LGSS) aprobado por Real Decreto Legislativo 1/1994, de 20 de junio, incorporada por la disposición final cuarta, punto 8, de la Ley 22/2013, de 23 de diciembre, de presupuestos generales del Estado para 2014, por su eventual contradicción con los arts. 9.3, 14, 24.1, 25.1 y 25.2 CE. La citada disposición adicional, aplicable al proceso </w:t>
      </w:r>
      <w:r w:rsidRPr="00163957">
        <w:rPr>
          <w:i/>
        </w:rPr>
        <w:t>a quo</w:t>
      </w:r>
      <w:r>
        <w:t xml:space="preserve"> por razones temporales, ha sido derogada y se corresponde con el vigente art. 274.2 a) del Real Decreto Legislativo 8/2015, de 30 de octubre, por el que se aprueba el texto refundido de la Ley general de la Seguridad Social, pero ello no determina la pérdida de objeto de la presente cuestión de inconstitucionalidad (por todas, STC 29/2015, de 19 de febrero, FJ 2, con cita de otras).</w:t>
      </w:r>
    </w:p>
    <w:p w:rsidR="00163957" w:rsidRDefault="00163957" w:rsidP="00163957">
      <w:pPr>
        <w:pStyle w:val="TextoNormal"/>
      </w:pPr>
    </w:p>
    <w:p w:rsidR="00163957" w:rsidRDefault="00163957" w:rsidP="00163957">
      <w:pPr>
        <w:pStyle w:val="TextoNormal"/>
      </w:pPr>
      <w:r>
        <w:t>En el antecedente 1 de esta resolución ha quedado recogido el tenor del precepto cuestionado. En lo que a este proceso importa, el precepto ha venido a añadir requisitos adicionales a los generalmente exigidos en el art. 215.1.1 d) LGSS para que los liberados de prisión por haber sido condenados por determinados delitos —entre ellos, y por lo que aquí importa, delitos de terrorismo— puedan percibir el subsidio por desempleo previsto con carácter general en aquel precepto.</w:t>
      </w:r>
    </w:p>
    <w:p w:rsidR="00163957" w:rsidRDefault="00163957" w:rsidP="00163957">
      <w:pPr>
        <w:pStyle w:val="TextoNormal"/>
      </w:pPr>
    </w:p>
    <w:p w:rsidR="00163957" w:rsidRDefault="00163957" w:rsidP="00163957">
      <w:pPr>
        <w:pStyle w:val="TextoNormal"/>
      </w:pPr>
      <w:r>
        <w:t xml:space="preserve">Los recurrentes ante el órgano promotor fueron condenados por delitos de la clase mencionada, y una vez liberados de prisión vieron denegada su pretensión de obtener el citado </w:t>
      </w:r>
      <w:r>
        <w:lastRenderedPageBreak/>
        <w:t>subsidio, por la Administración primero y por el Juzgado de lo Social de Eibar después, en aplicación del precepto ahora cuestionado. Fue la Sala de ese orden jurisdiccional del Tribunal Superior de Justicia del País Vasco la que, al examinar el recurso de suplicación deducido por aquéllos, acordó formular la presente cuestión de inconstitucionalidad al amparo del art. 163 CE.</w:t>
      </w:r>
    </w:p>
    <w:p w:rsidR="00163957" w:rsidRDefault="00163957" w:rsidP="00163957">
      <w:pPr>
        <w:pStyle w:val="TextoNormal"/>
      </w:pPr>
    </w:p>
    <w:p w:rsidR="00163957" w:rsidRDefault="00163957" w:rsidP="00163957">
      <w:pPr>
        <w:pStyle w:val="TextoNormal"/>
      </w:pPr>
      <w:r w:rsidRPr="00163957">
        <w:rPr>
          <w:rStyle w:val="NumeroAFNegritaCaracter"/>
        </w:rPr>
        <w:t>2</w:t>
      </w:r>
      <w:r>
        <w:t xml:space="preserve">. De entre todas las dudas de constitucionalidad suscitadas en el Auto de planteamiento, razones de orden lógico aconsejan examinar en primer lugar la duda de orden formal relacionada con el vehículo empleado para la aprobación del precepto cuestionado: la Ley de presupuestos generales del Estado para 2014, antes de adentrarnos, si llega el caso, en las dudas de fondo que le genera el precepto a la Sala de Bilbao por contravenir su contenido mandatos materiales de la Constitución (la igualdad ante la ley del art. 14; la garantía de indemnidad derivada del art. 24.1; el </w:t>
      </w:r>
      <w:r w:rsidRPr="00163957">
        <w:rPr>
          <w:i/>
        </w:rPr>
        <w:t>non bis in idem</w:t>
      </w:r>
      <w:r>
        <w:t xml:space="preserve"> del art. 25.1 y el mandato de reeducación y reinserción social de las penas del art. 25.2).</w:t>
      </w:r>
    </w:p>
    <w:p w:rsidR="00163957" w:rsidRDefault="00163957" w:rsidP="00163957">
      <w:pPr>
        <w:pStyle w:val="TextoNormal"/>
      </w:pPr>
    </w:p>
    <w:p w:rsidR="00163957" w:rsidRDefault="00163957" w:rsidP="00163957">
      <w:pPr>
        <w:pStyle w:val="TextoNormal"/>
      </w:pPr>
      <w:r>
        <w:t xml:space="preserve">Haciendo así momentánea abstracción de las dudas que pueda generar ese contenido, la Sala proponente entiende que la Ley de presupuestos generales del Estado (art. 134 CE) empleada para la aprobación del precepto aplicado por la Administración en el acto impugnado no era adecuada para ello. Trae a colación la conocida doctrina sobre el “contenido necesario” y el “contenido eventual” de las leyes de presupuestos, a la que inmediatamente aludiremos, y sostiene que las normas que pueden eventualmente incluirse en esa clase de leyes son solamente las que guardan debida correspondencia con su función específica. Entiende, por ello, que la aquí cuestionada, aunque pueda determinar una reducción del gasto público, no obedece a este fin típico o propio de la ley de presupuestos, pues fue aprobada con una finalidad distinta explicitada en el debate parlamentario: como reacción o réplica a la STEDH (Gran Sala) de 21 de octubre de 2013, asunto </w:t>
      </w:r>
      <w:r w:rsidRPr="00163957">
        <w:rPr>
          <w:i/>
        </w:rPr>
        <w:t>Del Río Prada contra España</w:t>
      </w:r>
      <w:r>
        <w:t>, que declaró contraria al art. 7 del Convenio la popularmente conocida como “doctrina Parot” y supuso la excarcelación de varios condenados por graves delitos a quienes se había aplicado la mencionada doctrina. De los antecedentes legislativos, el órgano proponente extrae que la reforma estuvo dirigida a este fin y a cohonestar la asistencia social debida a los liberados de prisión con “la reparación justa y debida a las víctimas del delito y a la sociedad” por quienes han cometido delitos que son para el legislador especialmente graves y reprobables. Un fin que para la Sala cuestionante no guarda relación con aquel objeto propio y necesario de las leyes de presupuestos, y que por ello vulnera el mandato de seguridad jurídica del art. 9.3 CE.</w:t>
      </w:r>
    </w:p>
    <w:p w:rsidR="00163957" w:rsidRDefault="00163957" w:rsidP="00163957">
      <w:pPr>
        <w:pStyle w:val="TextoNormal"/>
      </w:pPr>
    </w:p>
    <w:p w:rsidR="00163957" w:rsidRDefault="00163957" w:rsidP="00163957">
      <w:pPr>
        <w:pStyle w:val="TextoNormal"/>
      </w:pPr>
      <w:r>
        <w:t>El Gobierno de la Nación, a través del Abogado del Estado, y el Fiscal General del Estado se oponen a la estimación de este motivo. Para ellos las normas de reducción del gasto sí pueden formar parte de las leyes de presupuestos, citando el primero especialmente a estos efectos el caso de la STC 65/1990, de 5 de abril, FJ 3, sobre la incompatibilidad de percepción de haberes activos y de pensiones establecida en las leyes de presupuestos para 1984 y 1985.</w:t>
      </w:r>
    </w:p>
    <w:p w:rsidR="00163957" w:rsidRDefault="00163957" w:rsidP="00163957">
      <w:pPr>
        <w:pStyle w:val="TextoNormal"/>
      </w:pPr>
    </w:p>
    <w:p w:rsidR="00163957" w:rsidRDefault="00163957" w:rsidP="00163957">
      <w:pPr>
        <w:pStyle w:val="TextoNormal"/>
      </w:pPr>
      <w:r w:rsidRPr="00163957">
        <w:rPr>
          <w:rStyle w:val="NumeroAFNegritaCaracter"/>
        </w:rPr>
        <w:t>3</w:t>
      </w:r>
      <w:r>
        <w:t>. Es, efectivamente, doctrina consolidada de este Tribunal que no cualquier regulación puede ser incluida formalmente en las leyes de presupuestos. Estas leyes tienen un contenido propio y determinado (art. 134 CE) y las restricciones en el debate parlamentario motivadas por ese objeto impiden a su vez que pueda emplearse ese vehículo para aprobar una norma desconectada de ese objeto.</w:t>
      </w:r>
    </w:p>
    <w:p w:rsidR="00163957" w:rsidRDefault="00163957" w:rsidP="00163957">
      <w:pPr>
        <w:pStyle w:val="TextoNormal"/>
      </w:pPr>
    </w:p>
    <w:p w:rsidR="00163957" w:rsidRDefault="00163957" w:rsidP="00163957">
      <w:pPr>
        <w:pStyle w:val="TextoNormal"/>
      </w:pPr>
      <w:r>
        <w:t>En la STC 152/2014, de 25 de septiembre, por citar una entre las más recientes, hemos hecho un extenso recordatorio de esta doctrina, invocando además una extensa relación de precedentes que resultan de interés. Decíamos allí [FJ 4 a)]:</w:t>
      </w:r>
    </w:p>
    <w:p w:rsidR="00163957" w:rsidRDefault="00163957" w:rsidP="00163957">
      <w:pPr>
        <w:pStyle w:val="TextoNormal"/>
      </w:pPr>
    </w:p>
    <w:p w:rsidR="00163957" w:rsidRDefault="00163957" w:rsidP="00163957">
      <w:pPr>
        <w:pStyle w:val="TextoNormal"/>
      </w:pPr>
      <w:r>
        <w:t xml:space="preserve">“Debemos pues recapitular nuestra doctrina sobre los límites de las leyes de presupuestos, partiendo de nuestras recientes SSTC 9/2013, de 28 de enero, FFJJ 3 y 4; 86/2013, de 11 de abril, FFJJ 4 y 5; 206/2013, de 5 de diciembre, FJ 2 b); y 217/2013, de 19 de diciembre, FJ 5. En ellas hemos reiterado que el contenido de estas leyes ‘está constitucionalmente delimitado, en tanto que norma de ordenación jurídica del gasto público </w:t>
      </w:r>
      <w:r w:rsidRPr="00163957">
        <w:rPr>
          <w:i/>
        </w:rPr>
        <w:t>ex</w:t>
      </w:r>
      <w:r>
        <w:t xml:space="preserve"> art. 134 CE. La Constitución establece la reserva de un contenido de ley de presupuestos, lo que significa que la norma debe ceñirse a ese contenido y también que ese contenido sólo puede ser regulado por ella’ (STC 9/2013, FJ 3).</w:t>
      </w:r>
    </w:p>
    <w:p w:rsidR="00163957" w:rsidRDefault="00163957" w:rsidP="00163957">
      <w:pPr>
        <w:pStyle w:val="TextoNormal"/>
      </w:pPr>
    </w:p>
    <w:p w:rsidR="00163957" w:rsidRDefault="00163957" w:rsidP="00163957">
      <w:pPr>
        <w:pStyle w:val="TextoNormal"/>
      </w:pPr>
      <w:r>
        <w:t>Ese contenido puede ser de dos tipos. Por un lado y de forma principal, el contenido propio o “núcleo esencial” del presupuesto, integrado por la previsión de ingresos y la habilitación de gastos para un ejercicio económico, así como por las normas que directamente desarrollan y aclaran los estados cifrados, esto es, las partidas presupuestarias propiamente dichas. Este contenido es esencial, porque conforma la identidad misma del presupuesto, por lo que no es disponible para el legislador.</w:t>
      </w:r>
    </w:p>
    <w:p w:rsidR="00163957" w:rsidRDefault="00163957" w:rsidP="00163957">
      <w:pPr>
        <w:pStyle w:val="TextoNormal"/>
      </w:pPr>
    </w:p>
    <w:p w:rsidR="00163957" w:rsidRDefault="00163957" w:rsidP="00163957">
      <w:pPr>
        <w:pStyle w:val="TextoNormal"/>
      </w:pPr>
      <w:r>
        <w:t>Adicionalmente, las leyes de presupuestos pueden albergar otras disposiciones. Lo que hemos denominado ‘contenido eventual’, o no necesario, está integrado por todas aquellas normas incluidas en la Ley de presupuestos que, sin constituir directamente una previsión de ingresos o habilitación de gastos, guardan ‘una relación directa con los ingresos o gastos del Estado, responden a los criterios de política económica del Gobierno o, en fin, se dirigen a una mayor inteligencia o mejor ejecución del presupuesto’ (por todas, con cita de anteriores, STC 248/2007, de 13 de diciembre, FJ 4)…</w:t>
      </w:r>
    </w:p>
    <w:p w:rsidR="00163957" w:rsidRDefault="00163957" w:rsidP="00163957">
      <w:pPr>
        <w:pStyle w:val="TextoNormal"/>
      </w:pPr>
    </w:p>
    <w:p w:rsidR="00163957" w:rsidRDefault="00163957" w:rsidP="00163957">
      <w:pPr>
        <w:pStyle w:val="TextoNormal"/>
      </w:pPr>
      <w:r>
        <w:t>Para determinar si [una norma] tiene cabida en una ley de presupuestos, por ser admisible como contenido eventual, ‘es necesario que guarde una conexión económica —relación directa con los ingresos o gastos del Estado o vehículo director de la política económica del Gobierno— o presupuestaria —para una mayor inteligencia o mejor ejecución del presupuesto—’ [STC 217/2013, de 19 de diciembre, FJ 5 a); con cita de las SSTC 274/2000, de 15 de noviembre, FJ 4; 109/2001, de 26 de abril, FJ 5; 238/2007, de 21 de noviembre, FJ 4; 248/2007, de 13 de diciembre, FJ 4; 74/2011, de 19 de mayo, FJ 3; 9/2013, de 28 de enero, FJ 3 b); y 206/2013, de 5 de diciembre, FJ 2 b)]. Sólo si se cumplen las citadas condiciones es posible justificar ‘la restricción de las competencias del poder legislativo, propia de las leyes de presupuestos, y para salvaguardar la seguridad jurídica que garantiza el art. 9.3 CE, esto es, la certeza del Derecho que exige que una ley de contenido constitucionalmente definido, como es la ley de presupuestos generales, no contenga más disposiciones que las que corresponden a su función constitucional (arts. 66.2 y 134.2 CE)’ [STC 76/1992, de 14 de mayo, FJ 4 a)]. En consecuencia, si bien la ley de presupuestos puede ser un instrumento para una adaptación circunstancial de las distintas normas, no tienen en ella cabida las modificaciones sustantivas del ordenamiento jurídico, a menos que éstas guarden la suficiente conexión económica (relación directa con los ingresos o gastos del Estado o vehículo director de la política económica del Gobierno) o presupuestaria (para una mayor inteligencia o mejor ejecución del presupuesto).</w:t>
      </w:r>
    </w:p>
    <w:p w:rsidR="00163957" w:rsidRDefault="00163957" w:rsidP="00163957">
      <w:pPr>
        <w:pStyle w:val="TextoNormal"/>
      </w:pPr>
    </w:p>
    <w:p w:rsidR="00163957" w:rsidRDefault="00163957" w:rsidP="00163957">
      <w:pPr>
        <w:pStyle w:val="TextoNormal"/>
      </w:pPr>
      <w:r>
        <w:t>Cumplidos los citados condicionantes, hemos considerado que pueden incluirse en una ley de presupuestos medidas que tengan como finalidad y consecuencia directa la reducción del gasto público (STC 65/1990, de 5 de abril, FJ 3, sobre normas de incompatibilidad de percepción de haberes activos y de pensiones), o su aumento (STC 237/1992, de 15 de diciembre, relativa al incremento de retribuciones salariales para el personal al servicio de las Administraciones públicas), así como la creación de un complemento retributivo para determinados cargos públicos (STC 32/2000, de 3 de febrero), o la sujeción al derecho privado de la red comercial de la entidad pública empresarial Loterías y Apuestas del Estado [STC 217/2013, FJ 5 e)], entre otros ejemplos.</w:t>
      </w:r>
    </w:p>
    <w:p w:rsidR="00163957" w:rsidRDefault="00163957" w:rsidP="00163957">
      <w:pPr>
        <w:pStyle w:val="TextoNormal"/>
      </w:pPr>
    </w:p>
    <w:p w:rsidR="00163957" w:rsidRDefault="00163957" w:rsidP="00163957">
      <w:pPr>
        <w:pStyle w:val="TextoNormal"/>
      </w:pPr>
      <w:r>
        <w:t>Por el contrario, quedarían en principio excluidas de estas leyes las normas propias del Derecho codificado, u otras previsiones de carácter general en las que no concurra dicha vinculación inmediata y directa. Así sucede con un procedimiento, como el contenido en el art. 110 de la Ley 33/1987, de presupuestos generales del Estado para 1988, que dio la nueva redacción al art. 130 de la Ley general tributaria, que facilita la recaudación de las deudas tributarias, estableciendo un mecanismo de autorización automática de entrada en el domicilio del deudor. Al respecto concluimos que la ‘disposición controvertida afecta de algún modo a la materia presupuestaria. En efecto, en cuanto se refiere a la ejecución forzosa de las deudas tributarias que implican entrada en el domicilio del deudor, la norma en cuestión está relacionada con la recaudación de los tributos, la cual es necesaria para que se cumplan las previsiones de ingresos que, a su vez, condicionan la realización de los gastos. Pero siendo esto cierto, no lo es menos que esta incidencia en una materia propia de la Hacienda General, cual es la recaudación forzosa de los tributos, no es suficiente para poder afirmar que se dé la necesaria conexión directa de la norma en cuestión con el Presupuesto, en sentido estricto, o con los criterios de la política económica del Gobierno, pues antes al contrario el art. 130 LGT es ante todo y sobre todo una norma de atribución a un órgano judicial de una función garantizadora de un derecho fundamental, la inviolabilidad del domicilio, y de fijación de las condiciones del ejercicio de dicha competencia. Este es, pues, el contenido del precepto cuestionado, por lo que resulta claro su carácter de norma general del régimen jurídico aplicable a todos los tributos, cuya incidencia en la ordenación del programa anual de ingresos y gastos es sólo accidental y secundaria y por ende insuficiente para legitimar su inclusión en la Ley de Presupuestos, cuyo contenido propio y su función constitucional (arts. 66.2 y 134.2 CE) resulta desvirtuado por la incorporación de normas típicas del Derecho codificado’ [STC 76/1992, FJ 4 b)].</w:t>
      </w:r>
    </w:p>
    <w:p w:rsidR="00163957" w:rsidRDefault="00163957" w:rsidP="00163957">
      <w:pPr>
        <w:pStyle w:val="TextoNormal"/>
      </w:pPr>
    </w:p>
    <w:p w:rsidR="00163957" w:rsidRDefault="00163957" w:rsidP="00163957">
      <w:pPr>
        <w:pStyle w:val="TextoNormal"/>
      </w:pPr>
      <w:r>
        <w:t>También hemos descartado que puedan tener cabida en una ley de presupuestos algunas normas que integran el régimen de la función pública; por ejemplo, las relativas a los procedimientos de acceso de los funcionarios sanitarios locales interinos a la categoría de funcionarios de carrera (STC 174/1998, de 23 de julio, FFJJ 6 y 7), de provisión de los puestos de trabajo del personal sanitario (STC 203/1998, de 15 de octubre, FFJJ 3 a 5), de edad de pase a la situación de segunda actividad de los funcionarios del Cuerpo Nacional de Policía (STC 234/1999, de 16 de diciembre, FFJJ 4 y 5) o, recientemente, los requisitos de titulación necesaria para acceder al Cuerpo Superior de Auditores del Tribunal de Cuentas (STC 9/2013, FJ 3), así como en general las normas típicas del derecho codificado u otras previsiones de carácter general en las que no concurra dicha vinculación (STC 86/2013, FJ 4; con cita de las SSTC 248/2007, de 13 de diciembre, FJ 4; 74/2011, de 19 de mayo, FJ 3; y 9/2013, FJ 3).</w:t>
      </w:r>
    </w:p>
    <w:p w:rsidR="00163957" w:rsidRDefault="00163957" w:rsidP="00163957">
      <w:pPr>
        <w:pStyle w:val="TextoNormal"/>
      </w:pPr>
    </w:p>
    <w:p w:rsidR="00163957" w:rsidRDefault="00163957" w:rsidP="00163957">
      <w:pPr>
        <w:pStyle w:val="TextoNormal"/>
      </w:pPr>
      <w:r>
        <w:t>La clave, por tanto, radica en que la conexión con el objeto del presupuesto (habilitación de gastos y estimación de ingresos) sea directa, inmediata y querida por la norma; es evidente que toda medida legislativa tendrá siempre algún efecto presupuestario, porque requerirá un incremento de gasto presupuestario o la dotación de una partida, o porque supondrá, por el contrario, una reducción del gasto o un incremento de los ingresos”.</w:t>
      </w:r>
    </w:p>
    <w:p w:rsidR="00163957" w:rsidRDefault="00163957" w:rsidP="00163957">
      <w:pPr>
        <w:pStyle w:val="TextoNormal"/>
      </w:pPr>
    </w:p>
    <w:p w:rsidR="00163957" w:rsidRDefault="00163957" w:rsidP="00163957">
      <w:pPr>
        <w:pStyle w:val="TextoNormal"/>
      </w:pPr>
      <w:r>
        <w:t>Es, asimismo, doctrina de este Tribunal que la extralimitación de ese contenido vulnera el principio de seguridad jurídica del art. 9.3 CE, que es el precepto constitucional citado por la Sala de Bilbao. Así lo dice la Sentencia recién transcrita entre otras muchas, como la STC 32/2000, de 3 de febrero, FJ 5, por citar otro precedente.</w:t>
      </w:r>
    </w:p>
    <w:p w:rsidR="00163957" w:rsidRDefault="00163957" w:rsidP="00163957">
      <w:pPr>
        <w:pStyle w:val="TextoNormal"/>
      </w:pPr>
    </w:p>
    <w:p w:rsidR="00163957" w:rsidRDefault="00163957" w:rsidP="00163957">
      <w:pPr>
        <w:pStyle w:val="TextoNormal"/>
      </w:pPr>
      <w:r w:rsidRPr="00163957">
        <w:rPr>
          <w:rStyle w:val="NumeroAFNegritaCaracter"/>
        </w:rPr>
        <w:t>4</w:t>
      </w:r>
      <w:r>
        <w:t>. Pasando ahora al examen de la norma cuestionada desde los anteriores parámetros, es claro, para empezar, que la misma no forma parte del “contenido esencial” de la Ley de presupuestos, que es la previsión de ingresos y la autorización de gastos del sector público estatal (art. 134.2 CE). Queda por ver si puede formar parte o no de su “contenido eventual”.</w:t>
      </w:r>
    </w:p>
    <w:p w:rsidR="00163957" w:rsidRDefault="00163957" w:rsidP="00163957">
      <w:pPr>
        <w:pStyle w:val="TextoNormal"/>
      </w:pPr>
    </w:p>
    <w:p w:rsidR="00163957" w:rsidRDefault="00163957" w:rsidP="00163957">
      <w:pPr>
        <w:pStyle w:val="TextoNormal"/>
      </w:pPr>
      <w:r>
        <w:t>Este Tribunal ha insistido en que no basta con que la medida aprobada implique una reducción de gastos, pues “es evidente que toda medida legislativa tendrá siempre algún efecto presupuestario, porque requerirá un incremento de gasto presupuestario o la dotación de una partida, o porque supondrá, por el contrario, una reducción del gasto o un incremento de los ingresos”. No pueden, por tanto, incluirse normas “cuya incidencia en la ordenación del programa anual de ingresos y gastos es sólo accidental y secundaria y por ende insuficiente para legitimar su inclusión en la Ley de Presupuestos” [STC 152/2014, FJ 4 a), antes citada].</w:t>
      </w:r>
    </w:p>
    <w:p w:rsidR="00163957" w:rsidRDefault="00163957" w:rsidP="00163957">
      <w:pPr>
        <w:pStyle w:val="TextoNormal"/>
      </w:pPr>
    </w:p>
    <w:p w:rsidR="00163957" w:rsidRDefault="00163957" w:rsidP="00163957">
      <w:pPr>
        <w:pStyle w:val="TextoNormal"/>
      </w:pPr>
      <w:r>
        <w:t>Por ello, la aplicación de la doctrina expuesta debe conducir, ante todo, a rechazar la defensa planteada por las partes comparecidas alegando que la simple reducción de gastos que implica la medida —incuestionable, por otra parte— sea suficiente para legitimar su inclusión en la Ley de presupuestos.</w:t>
      </w:r>
    </w:p>
    <w:p w:rsidR="00163957" w:rsidRDefault="00163957" w:rsidP="00163957">
      <w:pPr>
        <w:pStyle w:val="TextoNormal"/>
      </w:pPr>
    </w:p>
    <w:p w:rsidR="00163957" w:rsidRDefault="00163957" w:rsidP="00163957">
      <w:pPr>
        <w:pStyle w:val="TextoNormal"/>
      </w:pPr>
      <w:r>
        <w:t>Esto sentado, ha de examinarse si hay, aparte de ese efecto propio e intrínseco de reducción de gastos, alguna otra razón que justifique la inclusión de la norma cuestionada en la Ley de presupuestos por guardar con ella “la suficiente conexión económica (relación directa con los ingresos o gastos del Estado o vehículo director de la política económica del Gobierno) o presupuestaria (para una mayor inteligencia o mejor ejecución del presupuesto)”.</w:t>
      </w:r>
    </w:p>
    <w:p w:rsidR="00163957" w:rsidRDefault="00163957" w:rsidP="00163957">
      <w:pPr>
        <w:pStyle w:val="TextoNormal"/>
      </w:pPr>
    </w:p>
    <w:p w:rsidR="00163957" w:rsidRDefault="00163957" w:rsidP="00163957">
      <w:pPr>
        <w:pStyle w:val="TextoNormal"/>
      </w:pPr>
      <w:r>
        <w:t>Y la respuesta a este interrogante debe ser negativa.</w:t>
      </w:r>
    </w:p>
    <w:p w:rsidR="00163957" w:rsidRDefault="00163957" w:rsidP="00163957">
      <w:pPr>
        <w:pStyle w:val="TextoNormal"/>
      </w:pPr>
    </w:p>
    <w:p w:rsidR="00163957" w:rsidRDefault="00163957" w:rsidP="00163957">
      <w:pPr>
        <w:pStyle w:val="TextoNormal"/>
      </w:pPr>
      <w:r>
        <w:t xml:space="preserve">En primer lugar, de los antecedentes legislativos expuestos —relatados en el fundamento jurídico segundo, apartado 1.I, del Auto impugnado y extractados en el antecedente 3 de esta resolución; y, sobre todo, no refutados ante este Tribunal— resulta de un modo manifiesto que no fue la necesidad de reducir el gasto la que llevó al grupo parlamentario popular en el Senado a introducir las enmiendas núm. 3046 y 3048 que terminaron dando lugar a la disposición cuya constitucionalidad ahora se cuestiona. Tanto es así que, de hecho, en la justificación de esas enmiendas en el Senado, transcrita en parte en el Auto de planteamiento, no se hace referencia alguna al ahorro que podría representar la medida, sino que se </w:t>
      </w:r>
      <w:r>
        <w:lastRenderedPageBreak/>
        <w:t>alude al “tiempo transcurrido desde la implantación del subsidio por desempleo a favor de los liberados de prisión a través de la Ley 31/1984, de 2 de agosto”, lo cual “aconseja”, según los proponentes de la enmienda, “una revisión en profundidad de la normativa reguladora de dicho subsidio”. Revisión dirigida como ya se dijo a “cohonestar debidamente la asistencia social que se presta mediante éste a los liberados de prisión, con la reparación justa y debida a las víctimas del delito y a la propia sociedad mediante la satisfacción previa de la responsabilidad civil derivada del delito”, es decir, a exigencias de justicia, pues se tacha de “injusto” el sistema anterior, sobre todo en relación con “determinadas manifestaciones particularmente graves de delincuencia como el terrorismo y la criminalidad organizada” (“Boletín Oficial de las Cortes Generales”, Senado, X Legislatura, núm. 278, de 2 de diciembre de 2013, pág. 2319).</w:t>
      </w:r>
    </w:p>
    <w:p w:rsidR="00163957" w:rsidRDefault="00163957" w:rsidP="00163957">
      <w:pPr>
        <w:pStyle w:val="TextoNormal"/>
      </w:pPr>
    </w:p>
    <w:p w:rsidR="00163957" w:rsidRDefault="00163957" w:rsidP="00163957">
      <w:pPr>
        <w:pStyle w:val="TextoNormal"/>
      </w:pPr>
      <w:r>
        <w:t>Tampoco se aprecia, por otra parte, que la disposición cuestionada responda “a los criterios de política económica del Gobierno” ni se dirija “a una mayor inteligencia o mejor ejecución del presupuesto”, que son, aparte de la “relación directa”, los otros dos vínculos con el contenido esencial de la Ley de presupuestos que la doctrina de este Tribunal ha admitido para permitir la inclusión de una norma no estrictamente presupuestaria.</w:t>
      </w:r>
    </w:p>
    <w:p w:rsidR="00163957" w:rsidRDefault="00163957" w:rsidP="00163957">
      <w:pPr>
        <w:pStyle w:val="TextoNormal"/>
      </w:pPr>
    </w:p>
    <w:p w:rsidR="00163957" w:rsidRDefault="00163957" w:rsidP="00163957">
      <w:pPr>
        <w:pStyle w:val="TextoNormal"/>
      </w:pPr>
      <w:r>
        <w:t>Finalmente, en relación con el caso de la STC 65/1990, citado por el Abogado del Estado como indicativo de que la reducción de gastos justifica sin más la inserción de una medida de ahorro en la Ley de presupuestos, hemos de destacar, en primer lugar, que las normas allí examinadas contenían una vocación de generalidad que aquí no se aprecia. Efectivamente, las normas examinadas en aquel caso declaraban la incompatibilidad de cualquier pensión de jubilación con el ejercicio de cualquier actividad retribuida en cualquier Administración pública. Frente a ello, la disposición aquí examinada opera justamente como una excepción singular a la norma general del art. 215.1.1 d) LGSS para determinadas clases de delitos: los de los párrafos a) y b) del art. 36.2 del Código penal. Además, justamente por esa vocación de generalidad de la norma, la STC 65/1990 apreció que ésta tenía “un efecto claro sobre la dimensión del gasto público, puesto que ambas disposiciones representan medidas tendentes a la reducción del mismo, y se presentan como específicamente vinculadas al equilibrio de las previsiones presupuestarias para los ejercicios correspondientes a 1984 y 1985, respectivamente, por lo que, como ya se dijera en la STC 65/1987, fundamento jurídico 7, resulta indiscutible la vinculación de estos preceptos a la materia presupuestaria en grado suficiente para considerar que su inclusión en la Ley de presupuestos se encuentra constitucionalmente justificada por la conexión existente entre su contenido y los criterios de política económica que inspiran la normativa presupuestaria en que se incardinan” (FJ 3). Es evidente, sin embargo, que esa íntima relación no se produce en este caso, hasta tal punto que ni en el procedimiento legislativo ni por parte del Gobierno en sus alegaciones ante este Tribunal se ha efectuado alegato alguno acerca del ahorro efectivamente producido con la medida, que en todo caso aparenta ser más bien escaso.</w:t>
      </w:r>
    </w:p>
    <w:p w:rsidR="00163957" w:rsidRDefault="00163957" w:rsidP="00163957">
      <w:pPr>
        <w:pStyle w:val="TextoNormal"/>
      </w:pPr>
    </w:p>
    <w:p w:rsidR="00163957" w:rsidRDefault="00163957" w:rsidP="00163957">
      <w:pPr>
        <w:pStyle w:val="TextoNormal"/>
      </w:pPr>
      <w:r w:rsidRPr="00163957">
        <w:rPr>
          <w:rStyle w:val="NumeroAFNegritaCaracter"/>
        </w:rPr>
        <w:t>5</w:t>
      </w:r>
      <w:r>
        <w:t>. Las consideraciones anteriores obligan a estimar la presente cuestión de inconstitucionalidad, declarando la consiguiente nulidad de la disposición impugnada. Lo cual determina, a su vez, que hayan quedado sin objeto las restantes dudas de constitucionalidad planteadas por el órgano proponente, que ya no hay razón para examinar.</w:t>
      </w:r>
    </w:p>
    <w:p w:rsidR="00163957" w:rsidRDefault="00163957" w:rsidP="00163957">
      <w:pPr>
        <w:pStyle w:val="TextoNormal"/>
      </w:pPr>
    </w:p>
    <w:p w:rsidR="00163957" w:rsidRDefault="00163957" w:rsidP="00163957">
      <w:pPr>
        <w:pStyle w:val="TextoNormalCentrado"/>
        <w:keepNext/>
      </w:pPr>
      <w:r>
        <w:lastRenderedPageBreak/>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Estimar la presente cuestión de inconstitucionalidad y, en consecuencia, declarar la inconstitucionalidad y nulidad del apartado 1 de la disposición adicional sexagésima sexta del texto refundido de la Ley general de la Seguridad Social, aprobado por Real Decreto Legislativo 1/1994, de 20 de junio, incorporada por la disposición final cuarta, punto 8, de la Ley 22/2013, de 23 de diciembre, de presupuestos generales del Estado.</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163957">
      <w:pPr>
        <w:pStyle w:val="TextoNormal"/>
      </w:pPr>
      <w:r>
        <w:t>Dada en Madrid, a veintitrés de junio de dos mil dieciséis.</w:t>
      </w:r>
    </w:p>
    <w:p w:rsidR="00163957" w:rsidRDefault="00163957">
      <w:pPr>
        <w:spacing w:after="160" w:line="259" w:lineRule="auto"/>
        <w:rPr>
          <w:rFonts w:ascii="Times New Roman" w:eastAsia="Times New Roman" w:hAnsi="Times New Roman" w:cs="Times New Roman"/>
          <w:sz w:val="24"/>
          <w:szCs w:val="24"/>
          <w:lang w:eastAsia="es-ES"/>
        </w:rPr>
      </w:pPr>
      <w:r>
        <w:br w:type="page"/>
      </w:r>
    </w:p>
    <w:p w:rsidR="00163957" w:rsidRDefault="00163957" w:rsidP="00163957">
      <w:pPr>
        <w:pStyle w:val="TtuloResolucin"/>
      </w:pPr>
      <w:bookmarkStart w:id="127" w:name="SENTENCIA_2016_124"/>
      <w:r>
        <w:lastRenderedPageBreak/>
        <w:t>SENTENCIA 124/2016, de 23 de junio de 2016</w:t>
      </w:r>
    </w:p>
    <w:bookmarkEnd w:id="127"/>
    <w:p w:rsidR="00163957" w:rsidRDefault="00163957" w:rsidP="00163957">
      <w:pPr>
        <w:pStyle w:val="TtuloResolucin"/>
      </w:pPr>
      <w:r>
        <w:t>Pleno</w:t>
      </w:r>
    </w:p>
    <w:p w:rsidR="00163957" w:rsidRDefault="00163957" w:rsidP="00163957">
      <w:pPr>
        <w:pStyle w:val="TtuloBOE"/>
      </w:pPr>
      <w:r>
        <w:t>(BOE núm. 181, de 28 de julio de 2016)</w:t>
      </w:r>
    </w:p>
    <w:p w:rsidR="00163957" w:rsidRDefault="00163957" w:rsidP="00163957">
      <w:pPr>
        <w:pStyle w:val="TextoNormalCentrado"/>
      </w:pPr>
      <w:r>
        <w:t>ECLI:ES:TC:2016:124</w:t>
      </w:r>
    </w:p>
    <w:p w:rsidR="00163957" w:rsidRDefault="00163957" w:rsidP="00163957">
      <w:pPr>
        <w:pStyle w:val="TextoNormalCentrado"/>
      </w:pPr>
    </w:p>
    <w:p w:rsidR="00163957" w:rsidRDefault="00163957" w:rsidP="00163957">
      <w:pPr>
        <w:pStyle w:val="SntesisDescriptiva"/>
      </w:pPr>
      <w:r>
        <w:t>Conflicto positivo de competencia 4722-2015. Planteado por el Gobierno vasco frente a la Orden FOM/710/2015, de 30 de enero, por la que se aprueba el catálogo de líneas y tramos de la red ferroviaria de interés general.</w:t>
      </w:r>
    </w:p>
    <w:p w:rsidR="00163957" w:rsidRDefault="00163957" w:rsidP="00163957">
      <w:pPr>
        <w:pStyle w:val="SntesisDescriptiva"/>
      </w:pPr>
    </w:p>
    <w:p w:rsidR="00163957" w:rsidRDefault="00163957" w:rsidP="00163957">
      <w:pPr>
        <w:pStyle w:val="SntesisAnaltica"/>
      </w:pPr>
      <w:r>
        <w:t>Competencias sobre ferrocarriles: nulidad de la orden ministerial en cuanto incluye sendas líneas intracomunitarias en la red de ferrocarriles de interés general (STC 245/2012).</w:t>
      </w:r>
    </w:p>
    <w:p w:rsidR="00163957" w:rsidRDefault="00163957" w:rsidP="00163957">
      <w:pPr>
        <w:pStyle w:val="SntesisAnaltica"/>
      </w:pPr>
    </w:p>
    <w:p w:rsidR="00163957" w:rsidRDefault="00163957" w:rsidP="00163957">
      <w:pPr>
        <w:pStyle w:val="Extracto"/>
      </w:pPr>
      <w:r>
        <w:t>1.</w:t>
      </w:r>
      <w:r>
        <w:tab/>
        <w:t>En materia de acceso de líneas ferroviarias a un puerto, concurre el interés general, reflejando una función que corresponde a la Red de Carreteras del Estado, cual es la de asegurar la conexión o salida a las vías de comunicación terrestre de esas otras grandes infraestructuras de transporte de titularidad estatal, como son los puertos y aeropuertos de interés general (art. 149.1.20 CE) desde una perspectiva combinada de los transportes sobre los que el Estado ostenta competencia exclusiva y sirviendo de acceso a los principales puestos fronterizos y constituyendo acceso a un puerto de interés general”; no cabe entender sobrepasado el margen de libertad de que goza el legislador (SSTC 65/1998, 245/2012) [FJ 9].</w:t>
      </w:r>
    </w:p>
    <w:p w:rsidR="00163957" w:rsidRDefault="00163957" w:rsidP="00163957">
      <w:pPr>
        <w:pStyle w:val="Extracto"/>
      </w:pPr>
    </w:p>
    <w:p w:rsidR="00163957" w:rsidRDefault="00163957" w:rsidP="00163957">
      <w:pPr>
        <w:pStyle w:val="Extracto"/>
      </w:pPr>
      <w:r>
        <w:t>2.</w:t>
      </w:r>
      <w:r>
        <w:tab/>
        <w:t>El criterio de las conexiones y accesos ferroviarios a los principales núcleos de población y de transporte puede ser entendido como especificación del criterio más amplio relativo a las infraestructuras ferroviarias que enlacen las distintas Comunidades Autónomas, pues se trataría de itinerarios supracomunitarios, selectivamente escogidos o cualificados en virtud de determinadas circunstancias que los hacen merecedores de la consideración de interés general (SSTC 245/2012; 65/1998) [FJ 11].</w:t>
      </w:r>
    </w:p>
    <w:p w:rsidR="00163957" w:rsidRDefault="00163957" w:rsidP="00163957">
      <w:pPr>
        <w:pStyle w:val="Extracto"/>
      </w:pPr>
    </w:p>
    <w:p w:rsidR="00163957" w:rsidRDefault="00163957" w:rsidP="00163957">
      <w:pPr>
        <w:pStyle w:val="Extracto"/>
      </w:pPr>
      <w:r>
        <w:t>3.</w:t>
      </w:r>
      <w:r>
        <w:tab/>
        <w:t>El concepto de la red ferroviaria de interés general plasmado en el artículo 4 de la Ley del sector ferroviario (LSF) solo incluye infraestructuras y deja fuera los servicios de transporte (STC 245/2012) [FJ 3].</w:t>
      </w:r>
    </w:p>
    <w:p w:rsidR="00163957" w:rsidRDefault="00163957" w:rsidP="00163957">
      <w:pPr>
        <w:pStyle w:val="Extracto"/>
      </w:pPr>
    </w:p>
    <w:p w:rsidR="00163957" w:rsidRDefault="00163957" w:rsidP="00163957">
      <w:pPr>
        <w:pStyle w:val="Extracto"/>
      </w:pPr>
      <w:r>
        <w:t>4.</w:t>
      </w:r>
      <w:r>
        <w:tab/>
        <w:t>El transporte es una materia con entidad propia (STC 40/1998) diferenciable de la infraestructura (carreteras, ferrocarriles) o de la vía natural (aguas fluviales o marítimas) sobre la que ha de realizarse (STC 138/2010) [FJ 3].</w:t>
      </w:r>
    </w:p>
    <w:p w:rsidR="00163957" w:rsidRDefault="00163957" w:rsidP="00163957">
      <w:pPr>
        <w:pStyle w:val="Extracto"/>
      </w:pPr>
    </w:p>
    <w:p w:rsidR="00163957" w:rsidRDefault="00163957" w:rsidP="00163957">
      <w:pPr>
        <w:pStyle w:val="Extracto"/>
      </w:pPr>
      <w:r>
        <w:t>5.</w:t>
      </w:r>
      <w:r>
        <w:tab/>
        <w:t>La construcción de ferrocarriles de transporte público entra de lleno en la noción de obra pública, por cuanto es de general uso y aprovechamiento, y está destinada a un servicio público (SSTC 118/1996; 245/2012) [FJ 3].</w:t>
      </w:r>
    </w:p>
    <w:p w:rsidR="00163957" w:rsidRDefault="00163957" w:rsidP="00163957">
      <w:pPr>
        <w:pStyle w:val="Extracto"/>
      </w:pPr>
    </w:p>
    <w:p w:rsidR="00163957" w:rsidRDefault="00163957" w:rsidP="00163957">
      <w:pPr>
        <w:pStyle w:val="Extracto"/>
      </w:pPr>
      <w:r>
        <w:t>6.</w:t>
      </w:r>
      <w:r>
        <w:tab/>
        <w:t>La Constitución no impone una interpretación que relegue el título relativo a las obras públicas a su mera construcción o financiación y que no permita comprender la planificación, proyección, construcción, conservación, financiación, uso y explotación de las carreteras estatales, cuestiones todas ellas íntimamente vinculadas a la obra pública (STC 65/1998) [FJ 3].</w:t>
      </w:r>
    </w:p>
    <w:p w:rsidR="00163957" w:rsidRDefault="00163957" w:rsidP="00163957">
      <w:pPr>
        <w:pStyle w:val="Extracto"/>
      </w:pPr>
    </w:p>
    <w:p w:rsidR="00163957" w:rsidRDefault="00163957" w:rsidP="00163957">
      <w:pPr>
        <w:pStyle w:val="Extracto"/>
      </w:pPr>
      <w:r>
        <w:t>7.</w:t>
      </w:r>
      <w:r>
        <w:tab/>
        <w:t>El criterio territorial se configura como elemento esencial en el sistema de distribución de competencias sobre ferrocarriles, ya que el artículo 149.1.21 y 24 CE, toma como referencia el desarrollo de los itinerarios, atendiendo a si transcurren o no íntegramente en el territorio de las Comunidades Autónomas (SSTC 118/1996; 245/2012); no obstante, este precepto constitucional no es el único título competencial aplicable a las infraestructuras ferroviarias ya que el criterio del interés general concurre en esta materia con los conceptos de obra pública y de servicio público (STC 245/2012) [FJ 3].</w:t>
      </w:r>
    </w:p>
    <w:p w:rsidR="00163957" w:rsidRDefault="00163957" w:rsidP="00163957">
      <w:pPr>
        <w:pStyle w:val="Extracto"/>
      </w:pPr>
    </w:p>
    <w:p w:rsidR="00163957" w:rsidRDefault="00163957" w:rsidP="00163957">
      <w:pPr>
        <w:pStyle w:val="Extracto"/>
      </w:pPr>
      <w:r>
        <w:t>8.</w:t>
      </w:r>
      <w:r>
        <w:tab/>
        <w:t>Las competencias autonómicas sobre ferrocarriles versan sobre tramos que discurren dentro de la Comunidad, aunque nazcan o mueran fuera de ella -condición positiva- y que no formen parte de infraestructuras consideradas de interés general por el Estado -condición negativa- (STC 245/2012). El interés general pretende garantizar la interconexión e interoperabilidad de las redes, a partir de los principios de coordinación y cooperación, por lo que, la gestión centralizada de las infraestructuras ferroviarias solo procederá con este fin [FJ 3].</w:t>
      </w:r>
    </w:p>
    <w:p w:rsidR="00163957" w:rsidRDefault="00163957" w:rsidP="00163957">
      <w:pPr>
        <w:pStyle w:val="Extracto"/>
      </w:pPr>
    </w:p>
    <w:p w:rsidR="00163957" w:rsidRDefault="00163957" w:rsidP="00163957">
      <w:pPr>
        <w:pStyle w:val="Extracto"/>
      </w:pPr>
      <w:r>
        <w:t>9.</w:t>
      </w:r>
      <w:r>
        <w:tab/>
        <w:t>Desde el punto de vista competencial, no hay nada que objetar a que el Estado establezca y regule una red de ferrocarriles de interés general (SSTC 118/1996; 245/2012) [FJ 3].</w:t>
      </w:r>
    </w:p>
    <w:p w:rsidR="00163957" w:rsidRDefault="00163957" w:rsidP="00163957">
      <w:pPr>
        <w:pStyle w:val="Extracto"/>
      </w:pPr>
    </w:p>
    <w:p w:rsidR="00163957" w:rsidRDefault="00163957" w:rsidP="00163957">
      <w:pPr>
        <w:pStyle w:val="Extracto"/>
      </w:pPr>
      <w:r>
        <w:t>10.</w:t>
      </w:r>
      <w:r>
        <w:tab/>
        <w:t>En la red de ferrocarriles de interés general cabe integrar infraestructuras que se consideren esenciales para garantizar un sistema común de transporte ferroviario en todo el territorio del Estado, o cuya administración conjunta sea necesaria para el correcto funcionamiento de dicho sistema. Entre ellas, las que sirvan de conexión o acceso a los principales núcleos de población y de transporte, o a instalaciones esenciales para la economía o defensa nacional, como los puertos y aeropuertos de interés general (STC 245/2012) [FJ 3].</w:t>
      </w:r>
    </w:p>
    <w:p w:rsidR="00163957" w:rsidRDefault="00163957" w:rsidP="00163957">
      <w:pPr>
        <w:pStyle w:val="Extracto"/>
      </w:pPr>
    </w:p>
    <w:p w:rsidR="00163957" w:rsidRDefault="00163957" w:rsidP="00163957">
      <w:pPr>
        <w:pStyle w:val="Extracto"/>
      </w:pPr>
      <w:r>
        <w:t>11.</w:t>
      </w:r>
      <w:r>
        <w:tab/>
        <w:t>Es inconstitucional, por vulnerar los criterios de delimitación competencial en materia de ferrocarriles recogidos en los artículos 149.1.21 y 149.1.24 CE, la definición de la red de ferrocarriles de interés general a partir de un criterio subjetivo consistente en integrar en la misma las infraestructuras explotadas hasta ese momento por determinados órganos estatales (STC 245/2012) [FJ 3].</w:t>
      </w:r>
    </w:p>
    <w:p w:rsidR="00163957" w:rsidRDefault="00163957" w:rsidP="00163957">
      <w:pPr>
        <w:pStyle w:val="Extracto"/>
      </w:pPr>
    </w:p>
    <w:p w:rsidR="00163957" w:rsidRDefault="00163957" w:rsidP="00163957">
      <w:pPr>
        <w:pStyle w:val="Extracto"/>
      </w:pPr>
      <w:r>
        <w:t>12.</w:t>
      </w:r>
      <w:r>
        <w:tab/>
        <w:t>El constituyente no precisó qué se entiende por obras públicas de interés general, por lo que los órganos estatales -y muy singularmente el legislador- disponen de un margen de libertad para determinar los supuestos en que concurren las circunstancias que permiten calificar una infraestructura de interés general (SSTC 65/1998; 245/2012); los límites del legislador a este respecto, deben extraerse, en primer lugar, del propio bloque de constitucionalidad (SSTC 65/1998; 245/2012) [FJ 3].</w:t>
      </w:r>
    </w:p>
    <w:p w:rsidR="00163957" w:rsidRDefault="00163957" w:rsidP="00163957">
      <w:pPr>
        <w:pStyle w:val="Extracto"/>
      </w:pPr>
    </w:p>
    <w:p w:rsidR="00163957" w:rsidRDefault="00163957" w:rsidP="00163957">
      <w:pPr>
        <w:pStyle w:val="Extracto"/>
      </w:pPr>
      <w:r>
        <w:t>13.</w:t>
      </w:r>
      <w:r>
        <w:tab/>
        <w:t>La facultad del Estado de inclusión de nuevas infraestructuras ferroviarias en la red de ferrocarriles de interés general se extiende a las que, considerándose de interés general, discurran íntegramente por el territorio de una sola Comunidad Autónoma aunque, si no tienen conexión física con el resto de la red (aunque tengan con ella conexión funcional), se exige el previo consentimiento autonómico. Si existe conexión física, pueden quedar integradas en la red de ferrocarriles de interés general por decisión del Ministerio de Fomento, previo informe de la Comunidad Autónoma (SSTC 245/2012 y 85/2013) [FJ 3].</w:t>
      </w:r>
    </w:p>
    <w:p w:rsidR="00163957" w:rsidRDefault="00163957" w:rsidP="00163957">
      <w:pPr>
        <w:pStyle w:val="Extracto"/>
      </w:pPr>
    </w:p>
    <w:p w:rsidR="00163957" w:rsidRDefault="00163957" w:rsidP="00163957">
      <w:pPr>
        <w:pStyle w:val="Extracto"/>
      </w:pPr>
      <w:r>
        <w:t>14.</w:t>
      </w:r>
      <w:r>
        <w:tab/>
        <w:t>La simple circunstancia de que el itinerario de una línea férrea atraviese más de una Comunidad Autónoma, no debe determinar por sí sola la incorporación de dicha línea a la red estatal (STC 245/2012) [FJ 6].</w:t>
      </w:r>
    </w:p>
    <w:p w:rsidR="00163957" w:rsidRDefault="00163957" w:rsidP="00163957">
      <w:pPr>
        <w:pStyle w:val="Extracto"/>
      </w:pPr>
    </w:p>
    <w:p w:rsidR="00163957" w:rsidRDefault="00163957" w:rsidP="00163957">
      <w:pPr>
        <w:pStyle w:val="Extracto"/>
      </w:pPr>
      <w:r>
        <w:t>15.</w:t>
      </w:r>
      <w:r>
        <w:tab/>
        <w:t>La solución en materia de ferrocarriles es análoga a la de conflictos positivos de competencia relativos a la interpretación del título competencial del art. 149.1.22 CE, en cuanto atribuye al Estado competencia para autorizar las instalaciones eléctricas cuyo aprovechamiento afecte a otra Comunidad (STC 181/2013) [FJ 7].</w:t>
      </w:r>
    </w:p>
    <w:p w:rsidR="00163957" w:rsidRDefault="00163957" w:rsidP="00163957">
      <w:pPr>
        <w:pStyle w:val="Extracto"/>
      </w:pPr>
    </w:p>
    <w:p w:rsidR="00163957" w:rsidRDefault="00163957" w:rsidP="00163957">
      <w:pPr>
        <w:pStyle w:val="Extracto"/>
      </w:pPr>
      <w:r>
        <w:t>16.</w:t>
      </w:r>
      <w:r>
        <w:tab/>
        <w:t>El criterio del interés general permite la consideración “carretera estatal” aunque posea itinerario íntegramente comunitario (STC 245/2012). El precepto impugnado es constitucional, si se interpreta que cuando concurran razones de interés general que justifiquen la incorporación a la “red ferroviaria de interés general de infraestructuras” que discurran íntegramente por la Comunidad Autónoma, será necesario el consentimiento autonómico cuando no estén conectadas físicamente a la red aunque tengan con ella una conexión funcional [FJ 8].</w:t>
      </w:r>
    </w:p>
    <w:p w:rsidR="00163957" w:rsidRDefault="00163957" w:rsidP="00163957">
      <w:pPr>
        <w:pStyle w:val="Extracto"/>
      </w:pPr>
    </w:p>
    <w:p w:rsidR="00163957" w:rsidRDefault="00163957" w:rsidP="00163957">
      <w:pPr>
        <w:pStyle w:val="Extracto"/>
      </w:pPr>
    </w:p>
    <w:p w:rsidR="00163957" w:rsidRDefault="00163957" w:rsidP="00163957">
      <w:pPr>
        <w:pStyle w:val="TextoNormal"/>
      </w:pPr>
      <w: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00163957" w:rsidRDefault="00163957" w:rsidP="00163957">
      <w:pPr>
        <w:pStyle w:val="TextoNormal"/>
      </w:pPr>
    </w:p>
    <w:p w:rsidR="00163957" w:rsidRDefault="00163957" w:rsidP="00163957">
      <w:pPr>
        <w:pStyle w:val="TextoNormalCentrado"/>
        <w:keepNext/>
      </w:pPr>
      <w:r>
        <w:t>EN NOMBRE DEL REY</w:t>
      </w:r>
    </w:p>
    <w:p w:rsidR="00163957" w:rsidRDefault="00163957" w:rsidP="00163957">
      <w:pPr>
        <w:pStyle w:val="TextoNormalCentrado"/>
        <w:keepNext/>
      </w:pPr>
    </w:p>
    <w:p w:rsidR="00163957" w:rsidRDefault="00163957" w:rsidP="00163957">
      <w:pPr>
        <w:pStyle w:val="TextoNormalCentrado"/>
        <w:keepNext/>
      </w:pPr>
    </w:p>
    <w:p w:rsidR="00163957" w:rsidRDefault="00163957" w:rsidP="00163957">
      <w:pPr>
        <w:pStyle w:val="TextoNormal"/>
      </w:pPr>
      <w:r>
        <w:t>la siguiente</w:t>
      </w:r>
    </w:p>
    <w:p w:rsidR="00163957" w:rsidRDefault="00163957" w:rsidP="00163957">
      <w:pPr>
        <w:pStyle w:val="TextoNormal"/>
      </w:pPr>
    </w:p>
    <w:p w:rsidR="00163957" w:rsidRDefault="00163957" w:rsidP="00163957">
      <w:pPr>
        <w:pStyle w:val="TextoNormalCentrado"/>
        <w:keepNext/>
      </w:pPr>
      <w:r>
        <w:t>SENTENCIA</w:t>
      </w:r>
    </w:p>
    <w:p w:rsidR="00163957" w:rsidRDefault="00163957" w:rsidP="00163957">
      <w:pPr>
        <w:pStyle w:val="TextoNormalCentrado"/>
        <w:keepNext/>
      </w:pPr>
    </w:p>
    <w:p w:rsidR="00163957" w:rsidRDefault="00163957" w:rsidP="00163957">
      <w:pPr>
        <w:pStyle w:val="TextoNormal"/>
      </w:pPr>
      <w:r>
        <w:t>En el conflicto positivo de competencia núm. 4722-2015, interpuesto por el Consejo de Gobierno de la Comunidad Autónoma del País Vasco, contra la Orden FOM/710/2015, de 30 de enero (“BOE” núm. 97, del 23 de abril), por la que se aprueba el catálogo de líneas y tramos de la red ferroviaria de interés general. Ha sido Ponente el Magistrado don Antonio Narváez Rodríguez, quien expresa el parecer del Tribunal.</w:t>
      </w:r>
    </w:p>
    <w:p w:rsidR="00163957" w:rsidRDefault="00163957" w:rsidP="00163957">
      <w:pPr>
        <w:pStyle w:val="TextoNormal"/>
      </w:pPr>
    </w:p>
    <w:p w:rsidR="00163957" w:rsidRDefault="00163957" w:rsidP="00163957">
      <w:pPr>
        <w:pStyle w:val="TextoNormalNegritaCentrado"/>
        <w:keepNext/>
      </w:pPr>
      <w:r>
        <w:t>I. Antecedentes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Mediante escrito registrado en este Tribunal Constitucional el 5 de agosto de 2015, el Consejo de Gobierno de la Comunidad Autónoma del País Vasco, interpuso conflicto positivo de competencia contra la Orden FOM/710/2015, de 30 de enero, por la que se aprueba el catálogo de líneas y tramos de la red ferroviaria de interés general (Orden FOM/710/2015).</w:t>
      </w:r>
    </w:p>
    <w:p w:rsidR="00163957" w:rsidRDefault="00163957" w:rsidP="00163957">
      <w:pPr>
        <w:pStyle w:val="TextoNormal"/>
      </w:pPr>
    </w:p>
    <w:p w:rsidR="00163957" w:rsidRDefault="00163957" w:rsidP="00163957">
      <w:pPr>
        <w:pStyle w:val="TextoNormal"/>
      </w:pPr>
      <w:r w:rsidRPr="00163957">
        <w:rPr>
          <w:rStyle w:val="NumeroAFNegritaCaracter"/>
        </w:rPr>
        <w:t>2</w:t>
      </w:r>
      <w:r>
        <w:t>. El conflicto de competencia promovido por el Gobierno del País Vasco se basa en los motivos que, sucintamente, se recogen a continuación:</w:t>
      </w:r>
    </w:p>
    <w:p w:rsidR="00163957" w:rsidRDefault="00163957" w:rsidP="00163957">
      <w:pPr>
        <w:pStyle w:val="TextoNormal"/>
      </w:pPr>
    </w:p>
    <w:p w:rsidR="00163957" w:rsidRDefault="00163957" w:rsidP="00163957">
      <w:pPr>
        <w:pStyle w:val="TextoNormal"/>
      </w:pPr>
      <w:r>
        <w:t>a) El conflicto está relacionado con el recurso de inconstitucionalidad núm. 6866-2013, interpuesto por el Gobierno Vasco, contra el Real Decreto-ley 4/2013, de 22 de febrero (“BOE” núm. 47, del 23 de febrero), de medidas de apoyo al emprendedor y de estímulo al crecimiento y de la creación de empleo que, en su art. 37, modificó la disposición adicional novena de la Ley 39/2003, de 17 de noviembre, del sector ferroviario (LSF), fijando un plazo de seis meses para la aprobación por el Ministerio de Fomento del “catálogo de líneas y tramos de la red ferroviaria de interés general”.</w:t>
      </w:r>
    </w:p>
    <w:p w:rsidR="00163957" w:rsidRDefault="00163957" w:rsidP="00163957">
      <w:pPr>
        <w:pStyle w:val="TextoNormal"/>
      </w:pPr>
    </w:p>
    <w:p w:rsidR="00163957" w:rsidRDefault="00163957" w:rsidP="00163957">
      <w:pPr>
        <w:pStyle w:val="TextoNormal"/>
      </w:pPr>
      <w:r>
        <w:t>El Real Decreto-ley 4/2013, fue convalidado por la Ley 11/2013, de 16 de julio, por lo que, en la demanda del recurso de inconstitucionalidad núm. 6866-2013, se solicitó que la Sentencia de éste, proyectase sus efectos sobre los arts. 37 y 38 y el anexo de la Ley 11/2013.</w:t>
      </w:r>
    </w:p>
    <w:p w:rsidR="00163957" w:rsidRDefault="00163957" w:rsidP="00163957">
      <w:pPr>
        <w:pStyle w:val="TextoNormal"/>
      </w:pPr>
    </w:p>
    <w:p w:rsidR="00163957" w:rsidRDefault="00163957" w:rsidP="00163957">
      <w:pPr>
        <w:pStyle w:val="TextoNormal"/>
      </w:pPr>
      <w:r>
        <w:t>La Orden FOM/710/2015 aprobó el catálogo previsto en el art. 37 del Real Decreto-ley 4/2013, por lo que, en su momento, la representación del Gobierno Vasco pidió la acumulación de este conflicto al recurso de inconstitucionalidad.</w:t>
      </w:r>
    </w:p>
    <w:p w:rsidR="00163957" w:rsidRDefault="00163957" w:rsidP="00163957">
      <w:pPr>
        <w:pStyle w:val="TextoNormal"/>
      </w:pPr>
    </w:p>
    <w:p w:rsidR="00163957" w:rsidRDefault="00163957" w:rsidP="00163957">
      <w:pPr>
        <w:pStyle w:val="TextoNormal"/>
      </w:pPr>
      <w:r>
        <w:t>b) Según la distribución competencial en materia de ferrocarriles derivada del bloque de constitucionalidad, el Estado ostenta competencia legislativa y ejecutiva sobre infraestructuras ferroviarias que transcurran por el territorio de más de una Comunidad Autónoma. También, sobre la ordenación de los servicios de transporte ferroviario que no tengan su origen y destino dentro de la Comunidad. No es óbice para el ejercicio de la competencia autonómica que el servicio discurra sobre infraestructura de titularidad estatal, sin perjuicio que el Estado se reserve su ejecución directa (art. 149.1.21 CE) o que se trate de obras públicas de interés general o que afecten a más de una Comunidad Autónoma (art. 149.1.24 CE).</w:t>
      </w:r>
    </w:p>
    <w:p w:rsidR="00163957" w:rsidRDefault="00163957" w:rsidP="00163957">
      <w:pPr>
        <w:pStyle w:val="TextoNormal"/>
      </w:pPr>
    </w:p>
    <w:p w:rsidR="00163957" w:rsidRDefault="00163957" w:rsidP="00163957">
      <w:pPr>
        <w:pStyle w:val="TextoNormal"/>
      </w:pPr>
      <w:r>
        <w:t>La Comunidad Autónoma del País Vasco [arts. 10.32 y 12.9 del Estatuto de Autonomía para el País Vasco (EAPV)] tiene competencia legislativa y ejecutiva plena sobre la infraestructura ferroviaria que discurra dentro de su territorio y competencia de ejecución de la legislación estatal sobre ordenación del transporte de mercancías y viajeros con origen y destino en su territorio, aunque discurra por la red de ferrocarriles de interés general, sin perjuicio de la gestión directa que se reserve el Estado. También tiene competencia plena legislativa y ejecutiva sobre obras públicas no calificadas de interés general o cuya realización no afecte a otros territorios (art. 10.33 EAPV).</w:t>
      </w:r>
    </w:p>
    <w:p w:rsidR="00163957" w:rsidRDefault="00163957" w:rsidP="00163957">
      <w:pPr>
        <w:pStyle w:val="TextoNormal"/>
      </w:pPr>
    </w:p>
    <w:p w:rsidR="00163957" w:rsidRDefault="00163957" w:rsidP="00163957">
      <w:pPr>
        <w:pStyle w:val="TextoNormal"/>
      </w:pPr>
      <w:r>
        <w:t>c) La doctrina constitucional sobre las competencias en materia de infraestructuras y servicios de transporte ferroviario, se sintetiza en la STC 83/2013 (FJ 3). De la misma, resulta que el criterio territorial es el criterio básico de reparto competencial en la materia, mientras que el interés general de la infraestructura, es criterio modulador (arts. 149.1.21 y 149.1.24 CE).</w:t>
      </w:r>
    </w:p>
    <w:p w:rsidR="00163957" w:rsidRDefault="00163957" w:rsidP="00163957">
      <w:pPr>
        <w:pStyle w:val="TextoNormal"/>
      </w:pPr>
    </w:p>
    <w:p w:rsidR="00163957" w:rsidRDefault="00163957" w:rsidP="00163957">
      <w:pPr>
        <w:pStyle w:val="TextoNormal"/>
      </w:pPr>
      <w:r>
        <w:t>El criterio territorial se basa en el “itinerario” como punto de conexión. A partir de éste y de los arts. 148.1.5 y 149.1.21 CE, se distingue entre itinerarios intraautonómicos y supraautonómicos. La competencia sobre los primeros, corresponde a las Comunidades Autónomas, por lo que el Estado necesita su consentimiento para incorporarlos a la red de ferrocarriles de interés general.</w:t>
      </w:r>
    </w:p>
    <w:p w:rsidR="00163957" w:rsidRDefault="00163957" w:rsidP="00163957">
      <w:pPr>
        <w:pStyle w:val="TextoNormal"/>
      </w:pPr>
    </w:p>
    <w:p w:rsidR="00163957" w:rsidRDefault="00163957" w:rsidP="00163957">
      <w:pPr>
        <w:pStyle w:val="TextoNormal"/>
      </w:pPr>
      <w:r>
        <w:t>En cuanto a los itinerarios supraautonómicos, la doctrina constitucional (STC 245/2012, FJ 6), mantiene una interpretación laxa del adverbio “íntegramente”. Así, permite a las Comunidades Autónomas asumir competencias sobre ellos, salvo que sean de interés general.</w:t>
      </w:r>
    </w:p>
    <w:p w:rsidR="00163957" w:rsidRDefault="00163957" w:rsidP="00163957">
      <w:pPr>
        <w:pStyle w:val="TextoNormal"/>
      </w:pPr>
    </w:p>
    <w:p w:rsidR="00163957" w:rsidRDefault="00163957" w:rsidP="00163957">
      <w:pPr>
        <w:pStyle w:val="TextoNormal"/>
      </w:pPr>
      <w:r>
        <w:t>El criterio de interés general se basa en el art. 149.1.24 CE. Permite una adecuada racionalización de la red ferroviaria mediante la interconexión e interoperabilidad de las distintas redes férreas autonómicas y su integración en redes estatales e internacionales.</w:t>
      </w:r>
    </w:p>
    <w:p w:rsidR="00163957" w:rsidRDefault="00163957" w:rsidP="00163957">
      <w:pPr>
        <w:pStyle w:val="TextoNormal"/>
      </w:pPr>
    </w:p>
    <w:p w:rsidR="00163957" w:rsidRDefault="00163957" w:rsidP="00163957">
      <w:pPr>
        <w:pStyle w:val="TextoNormal"/>
      </w:pPr>
      <w:r>
        <w:t>Los principios de cooperación y coordinación entre Administraciones competentes son imprescindibles, según la misma doctrina constitucional, para la integración de las redes ferroviarias. El Estado puede adoptar medidas de coordinación en virtud del art. 149.1.13 CE, pero no puede vaciar las competencias autonómicas (STC 65/1998, FJ 7; STC 245/2012, FJ 8).</w:t>
      </w:r>
    </w:p>
    <w:p w:rsidR="00163957" w:rsidRDefault="00163957" w:rsidP="00163957">
      <w:pPr>
        <w:pStyle w:val="TextoNormal"/>
      </w:pPr>
    </w:p>
    <w:p w:rsidR="00163957" w:rsidRDefault="00163957" w:rsidP="00163957">
      <w:pPr>
        <w:pStyle w:val="TextoNormal"/>
      </w:pPr>
      <w:r>
        <w:t>La jurisprudencia constitucional ha rechazado un criterio subjetivo de atribución de competencias en esta materia. Por ello, la STC 245/2012, consideró inconstitucional la disposición adicional novena LSF, que declaró de interés general las infraestructuras que, a su entrada en vigor, eran administradas por entes públicos como la entidad Administrador de Infraestructuras Ferroviarias (ADIF).</w:t>
      </w:r>
    </w:p>
    <w:p w:rsidR="00163957" w:rsidRDefault="00163957" w:rsidP="00163957">
      <w:pPr>
        <w:pStyle w:val="TextoNormal"/>
      </w:pPr>
    </w:p>
    <w:p w:rsidR="00163957" w:rsidRDefault="00163957" w:rsidP="00163957">
      <w:pPr>
        <w:pStyle w:val="TextoNormal"/>
      </w:pPr>
      <w:r>
        <w:t>En definitiva, las competencias autonómicas sobre ferrocarriles versan sobre tramos que discurren dentro de la Comunidad, aunque nazcan o mueran fuera de ella (condición positiva) y que no formen parte de infraestructuras consideradas de interés general por el Estado (condición negativa). El interés general pretende garantizar la interconexión e interoperabilidad de las redes, a partir de los principios de coordinación y cooperación citados, por lo que, la gestión centralizada de las infraestructuras ferroviarias solo procederá con este fin.</w:t>
      </w:r>
    </w:p>
    <w:p w:rsidR="00163957" w:rsidRDefault="00163957" w:rsidP="00163957">
      <w:pPr>
        <w:pStyle w:val="TextoNormal"/>
      </w:pPr>
    </w:p>
    <w:p w:rsidR="00163957" w:rsidRDefault="00163957" w:rsidP="00163957">
      <w:pPr>
        <w:pStyle w:val="TextoNormal"/>
      </w:pPr>
      <w:r>
        <w:t>De la doctrina expuesta se deduce que el criterio del “interés general” del art. 149.1.24 CE, no puede ser invocado para modular el criterio territorial si las Comunidades Autónomas pueden garantizar la interoperabilidad y la interconexión con la red de ferrocarriles de interés general ya que, éstas son las finalidades que dicho criterio trata de garantizar y el mismo tiene un carácter excepcional.</w:t>
      </w:r>
    </w:p>
    <w:p w:rsidR="00163957" w:rsidRDefault="00163957" w:rsidP="00163957">
      <w:pPr>
        <w:pStyle w:val="TextoNormal"/>
      </w:pPr>
    </w:p>
    <w:p w:rsidR="00163957" w:rsidRDefault="00163957" w:rsidP="00163957">
      <w:pPr>
        <w:pStyle w:val="TextoNormal"/>
      </w:pPr>
      <w:r>
        <w:t>d) El marco legislativo vigente se contiene en la Ley del sector ferroviario. Su art. 4 reconoce la competencia del Estado para declarar la existencia de una red ferroviaria de interés general y centralizar su gestión, para garantizar un sistema común de transporte ferroviario en todo el territorio, o cuando sea necesaria su administración conjunta para el correcto funcionamiento de ese sistema. El art. 4.1 LSF considera de interés general, los tramos o líneas vinculadas a itinerarios de tráfico internacional; los que supongan conexión y acceso principal a las distintas Comunidades Autónomas o a sus principales núcleos de población y, los que sean acceso principal a instalaciones esenciales para la economía o defensa nacional.</w:t>
      </w:r>
    </w:p>
    <w:p w:rsidR="00163957" w:rsidRDefault="00163957" w:rsidP="00163957">
      <w:pPr>
        <w:pStyle w:val="TextoNormal"/>
      </w:pPr>
    </w:p>
    <w:p w:rsidR="00163957" w:rsidRDefault="00163957" w:rsidP="00163957">
      <w:pPr>
        <w:pStyle w:val="TextoNormal"/>
      </w:pPr>
      <w:r>
        <w:t>El art. 4.2 LSF, desarrollado por el Real-Decreto 2387/2004, que aprueba el Reglamento del sector ferroviario, exige informe previo de las Comunidades Autónomas para la inclusión de nuevas infraestructuras en la red de ferrocarriles de interés general y su consentimiento si la infraestructura discurre íntegramente por su territorio, sin conexión con el resto de la red, o si fuese de su titularidad. La STC 83/2013, FJ 4, realizó una interpretación conforme a la Constitución de estos preceptos entendiendo que el consentimiento autonómico será necesario, cuando las infraestructuras “no estén conectadas físicamente a la red aunque tengan con ella una conexión funcional”.</w:t>
      </w:r>
    </w:p>
    <w:p w:rsidR="00163957" w:rsidRDefault="00163957" w:rsidP="00163957">
      <w:pPr>
        <w:pStyle w:val="TextoNormal"/>
      </w:pPr>
    </w:p>
    <w:p w:rsidR="00163957" w:rsidRDefault="00163957" w:rsidP="00163957">
      <w:pPr>
        <w:pStyle w:val="TextoNormal"/>
      </w:pPr>
      <w:r>
        <w:t>El citado art. 4.2 LSF debe interpretarse sistemáticamente con la disposición adicional novena LSF, modificada por el Real Decreto-ley 4/2013 y la Ley 11/2013, para dar cumplimiento a la STC 245/2012, que se reproduce. A partir de ella, se afirma que el catálogo es el acto que configura la red de ferrocarriles de interés general y la distingue de las líneas y tramos que, al no incluirse en él, podrán ser transferibles a las Comunidades Autónomas, teniendo en cuenta lo dicho sobre necesario consentimiento autonómico para la inclusión en él de las líneas que discurran íntegramente por su territorio.</w:t>
      </w:r>
    </w:p>
    <w:p w:rsidR="00163957" w:rsidRDefault="00163957" w:rsidP="00163957">
      <w:pPr>
        <w:pStyle w:val="TextoNormal"/>
      </w:pPr>
    </w:p>
    <w:p w:rsidR="00163957" w:rsidRDefault="00163957" w:rsidP="00163957">
      <w:pPr>
        <w:pStyle w:val="TextoNormal"/>
      </w:pPr>
      <w:r>
        <w:t>Existe una Directiva 2008/57/CE sobre condiciones técnicas para garantizar la interoperabilidad e interconexión de la red europea, incorporada al ordenamiento español por el Real Decreto 1434/2010, de 5 de noviembre. En materia de seguridad del sistema ferroviario, se dictó la Directiva 2004/49/CE, traspuesta por el Real Decreto 810/2007. Esta normativa obliga a todas las Administraciones disponiendo el Gobierno Vasco, del ente público Euskal Trembide Sarea/Red Ferroviaria Vasca (ETS), creado por Ley del Parlamento Vasco 6/2004, como administrador de la infraestructura ferroviaria transferida. Respecto de ésta, se aprobó en 2009, conforme al Derecho comunitario, una “Declaración de Red”, sobre normas, plazos, procedimientos y criterios de los sistemas de cánones y adjudicación de capacidad.</w:t>
      </w:r>
    </w:p>
    <w:p w:rsidR="00163957" w:rsidRDefault="00163957" w:rsidP="00163957">
      <w:pPr>
        <w:pStyle w:val="TextoNormal"/>
      </w:pPr>
    </w:p>
    <w:p w:rsidR="00163957" w:rsidRDefault="00163957" w:rsidP="00163957">
      <w:pPr>
        <w:pStyle w:val="TextoNormal"/>
      </w:pPr>
      <w:r>
        <w:t xml:space="preserve">e) En el marco normativo expuesto, se dicta la Orden FOM/710/2015 que no respeta las competencias de la Comunidad Autónoma del País Vasco (Comunidad Autónoma del País Vasco) en materia de transporte ferroviario </w:t>
      </w:r>
      <w:r w:rsidRPr="00163957">
        <w:rPr>
          <w:i/>
        </w:rPr>
        <w:t>ex</w:t>
      </w:r>
      <w:r>
        <w:t xml:space="preserve"> arts. 10.32 y 33 y 12.9 EAPV puesto que establece nuevos criterios, no recogidos en la Ley del sector ferroviario, que permiten al Estado, unilateralmente, integrar un tramo o línea en la red de ferrocarriles de interés general. Estos criterios no están basados en la nota de esencialidad que exige la Ley del sector ferroviario, sino en la conveniencia. En particular, la orden se refiere (art. 1) a “la conveniencia de contemplar ciertos tramos en el análisis para reflejar adecuadamente el sentido económico del conjunto y asegurar la racionalidad de la red ferroviaria”. Después, declara en general y sin motivación que, en la singularización de las líneas y tramos de la red de ferrocarriles de interés general, se ha comprobado el cumplimiento de los requisitos del art. 4 LSF.</w:t>
      </w:r>
    </w:p>
    <w:p w:rsidR="00163957" w:rsidRDefault="00163957" w:rsidP="00163957">
      <w:pPr>
        <w:pStyle w:val="TextoNormal"/>
      </w:pPr>
    </w:p>
    <w:p w:rsidR="00163957" w:rsidRDefault="00163957" w:rsidP="00163957">
      <w:pPr>
        <w:pStyle w:val="TextoNormal"/>
      </w:pPr>
      <w:r>
        <w:t>La Orden FOM/710/2015, detalla en su anexo las líneas y tramos del catálogo de la red de ferrocarriles de interés general que se dividen, a partir del art. 1, en tres bloques: el de las líneas y tramos que persiguen garantizar un sistema común de transporte ferroviario; los tramos incluidos en las redes portuarias de interés general y sus accesos; el tramo Figueras-frontera francesa.</w:t>
      </w:r>
    </w:p>
    <w:p w:rsidR="00163957" w:rsidRDefault="00163957" w:rsidP="00163957">
      <w:pPr>
        <w:pStyle w:val="TextoNormal"/>
      </w:pPr>
    </w:p>
    <w:p w:rsidR="00163957" w:rsidRDefault="00163957" w:rsidP="00163957">
      <w:pPr>
        <w:pStyle w:val="TextoNormal"/>
      </w:pPr>
      <w:r>
        <w:t>En el anexo de la orden se incluyen infraestructuras ferroviarias ubicadas en la Comunidad Autónoma del País Vasco que deberían excluirse, pues no concurre en ellas, interés general según el art. 4 LSF.</w:t>
      </w:r>
    </w:p>
    <w:p w:rsidR="00163957" w:rsidRDefault="00163957" w:rsidP="00163957">
      <w:pPr>
        <w:pStyle w:val="TextoNormal"/>
      </w:pPr>
    </w:p>
    <w:p w:rsidR="00163957" w:rsidRDefault="00163957" w:rsidP="00163957">
      <w:pPr>
        <w:pStyle w:val="TextoNormal"/>
      </w:pPr>
      <w:r>
        <w:t>f) La Orden FOM/710/2015 invade las competencias autonómicas del art. 10.32 y 33 EAPV y vulnera la disposición adicional novena LSF. Según ésta, el catálogo de red de ferrocarriles de interés general debe constar de un anexo con las redes y líneas que se integran en dicha red de ferrocarriles de interés general por cumplir los requisitos del art. 4 LSF y, otro, con las líneas y tramos que, sin reunir esos requisitos, continúen temporalmente bajo administración estatal hasta que, previa solicitud de la Comunidad Autónoma respectiva, se traspasen a ésta.</w:t>
      </w:r>
    </w:p>
    <w:p w:rsidR="00163957" w:rsidRDefault="00163957" w:rsidP="00163957">
      <w:pPr>
        <w:pStyle w:val="TextoNormal"/>
      </w:pPr>
    </w:p>
    <w:p w:rsidR="00163957" w:rsidRDefault="00163957" w:rsidP="00163957">
      <w:pPr>
        <w:pStyle w:val="TextoNormal"/>
      </w:pPr>
      <w:r>
        <w:t>Sin embargo, la Orden FOM/710/2015 no incluye el anejo sobre líneas y tramos que pueden ser transferidos a las Comunidades Autónomas, aunque en su parte expositiva se refiere a él. En el caso de la Comunidad Autónoma del País Vasco, todas las líneas y tramos se incorporan a la red de ferrocarriles de interés general, con lo que se mantiene la gestión centralizada y se vulnera la doctrina de la STC 245/2012.</w:t>
      </w:r>
    </w:p>
    <w:p w:rsidR="00163957" w:rsidRDefault="00163957" w:rsidP="00163957">
      <w:pPr>
        <w:pStyle w:val="TextoNormal"/>
      </w:pPr>
    </w:p>
    <w:p w:rsidR="00163957" w:rsidRDefault="00163957" w:rsidP="00163957">
      <w:pPr>
        <w:pStyle w:val="TextoNormal"/>
      </w:pPr>
      <w:r>
        <w:t>La disposición adicional novena LSF, además, impone al Estado, para incorporar a la red de ferrocarriles de interés general un tramo o línea que atraviese una Comunidad Autónoma, dar audiencia a ésta y contar con su consentimiento previo en determinados casos. De la interpretación conjunta de la disposición y de los arts.4.2 LSF y 5 del reglamento ferroviario, resulta que estos casos, son: a) los tramos y líneas intraautonómicos, cuyos puntos de origen y destino estén dentro del territorio de la Comunidad Autónoma y, b) los tramos y líneas supraautonómicos que discurran por la Comunidad Autónoma, sobre los que no concurra razón de interés general para su inclusión en la red de ferrocarriles de interés general, o que se integren en ella siendo gestionados por la Administración autonómica, sin que ello perjudique el funcionamiento del sistema.</w:t>
      </w:r>
    </w:p>
    <w:p w:rsidR="00163957" w:rsidRDefault="00163957" w:rsidP="00163957">
      <w:pPr>
        <w:pStyle w:val="TextoNormal"/>
      </w:pPr>
    </w:p>
    <w:p w:rsidR="00163957" w:rsidRDefault="00163957" w:rsidP="00163957">
      <w:pPr>
        <w:pStyle w:val="TextoNormal"/>
      </w:pPr>
      <w:r>
        <w:t>La Comunidad Autónoma del País Vasco no ha consentido la incorporación a la red de ferrocarriles de interés general de los tramos, intraautonómicos y supraautonómicos, que transcurren por su territorio.</w:t>
      </w:r>
    </w:p>
    <w:p w:rsidR="00163957" w:rsidRDefault="00163957" w:rsidP="00163957">
      <w:pPr>
        <w:pStyle w:val="TextoNormal"/>
      </w:pPr>
    </w:p>
    <w:p w:rsidR="00163957" w:rsidRDefault="00163957" w:rsidP="00163957">
      <w:pPr>
        <w:pStyle w:val="TextoNormal"/>
      </w:pPr>
      <w:r>
        <w:t>g) La Orden FOM/710/2015 hace una interpretación extensiva y desproporcionada del criterio de interés general, que vacía la competencia autonómica. Omite los principios de cooperación y coordinación previstos en el art. 4.4 LSF y añade dos criterios a los previstos en el art. 4 LSF (necesidades de la planificación estatal y conveniencia de asegurar la racionalidad de la red), sin respetar la naturaleza complementaria del criterio del interés general.</w:t>
      </w:r>
    </w:p>
    <w:p w:rsidR="00163957" w:rsidRDefault="00163957" w:rsidP="00163957">
      <w:pPr>
        <w:pStyle w:val="TextoNormal"/>
      </w:pPr>
    </w:p>
    <w:p w:rsidR="00163957" w:rsidRDefault="00163957" w:rsidP="00163957">
      <w:pPr>
        <w:pStyle w:val="TextoNormal"/>
      </w:pPr>
      <w:r>
        <w:t>La respuesta del Consejo de Ministros al requerimiento del Gobierno Vasco sobre la orden, pone en evidencia que el Estado no concibe que las funciones de los administradores de las infraestructuras ferroviarias puedan ser compartidas por las Administraciones autonómicas.</w:t>
      </w:r>
    </w:p>
    <w:p w:rsidR="00163957" w:rsidRDefault="00163957" w:rsidP="00163957">
      <w:pPr>
        <w:pStyle w:val="TextoNormal"/>
      </w:pPr>
    </w:p>
    <w:p w:rsidR="00163957" w:rsidRDefault="00163957" w:rsidP="00163957">
      <w:pPr>
        <w:pStyle w:val="TextoNormal"/>
      </w:pPr>
      <w:r>
        <w:t>De facto, la Orden FOM/710/2015, mantiene el criterio subjetivo de reparto competencial declarado inconstitucional en la STC 245/2012, en lugar de limitar la gestión centralizada a lo que sea esencial para garantizar la interconexión de la red ferroviaria y establecer los mecanismos precisos para la gestión autonómica del resto de líneas y tramos.</w:t>
      </w:r>
    </w:p>
    <w:p w:rsidR="00163957" w:rsidRDefault="00163957" w:rsidP="00163957">
      <w:pPr>
        <w:pStyle w:val="TextoNormal"/>
      </w:pPr>
    </w:p>
    <w:p w:rsidR="00163957" w:rsidRDefault="00163957" w:rsidP="00163957">
      <w:pPr>
        <w:pStyle w:val="TextoNormal"/>
      </w:pPr>
      <w:r>
        <w:t>h) La singularización de líneas y tramos de la red de ferrocarriles de interés general del anexo de la Orden FOM/710/2015, en lo que atañe al País Vasco, vulnera las competencias autonómicas y es contraria al principio de interdicción de la arbitrariedad de los poderes públicos del art. 9.3 CE.</w:t>
      </w:r>
    </w:p>
    <w:p w:rsidR="00163957" w:rsidRDefault="00163957" w:rsidP="00163957">
      <w:pPr>
        <w:pStyle w:val="TextoNormal"/>
      </w:pPr>
    </w:p>
    <w:p w:rsidR="00163957" w:rsidRDefault="00163957" w:rsidP="00163957">
      <w:pPr>
        <w:pStyle w:val="TextoNormal"/>
      </w:pPr>
      <w:r>
        <w:t>La orden materializa la integración de las líneas y tramos en la red de ferrocarriles de interés general. Debería haber excluido, a falta de consentimiento de la Comunidad Autónoma, los tramos intraautonómicos que se citan, cuya transferencia ha reclamado el País Vasco. También debería haber excluido, los tramos supraautonómicos impugnados, pues la Comunidad Autónoma del País Vasco puede garantizar la interoperabilidad. Se adjuntan documentos con mapas identificativos de los distintos trazados.</w:t>
      </w:r>
    </w:p>
    <w:p w:rsidR="00163957" w:rsidRDefault="00163957" w:rsidP="00163957">
      <w:pPr>
        <w:pStyle w:val="TextoNormal"/>
      </w:pPr>
    </w:p>
    <w:p w:rsidR="00163957" w:rsidRDefault="00163957" w:rsidP="00163957">
      <w:pPr>
        <w:pStyle w:val="TextoNormal"/>
      </w:pPr>
      <w:r>
        <w:t>Además, la Orden FOM/710/2015 no ha sido sometida al preceptivo dictamen del Consejo de Estado (art. 22 LOCE).</w:t>
      </w:r>
    </w:p>
    <w:p w:rsidR="00163957" w:rsidRDefault="00163957" w:rsidP="00163957">
      <w:pPr>
        <w:pStyle w:val="TextoNormal"/>
      </w:pPr>
    </w:p>
    <w:p w:rsidR="00163957" w:rsidRDefault="00163957" w:rsidP="00163957">
      <w:pPr>
        <w:pStyle w:val="TextoNormal"/>
      </w:pPr>
      <w:r>
        <w:t>i) La Comunidad Autónoma del País Vasco puede garantizar una adecuada coordinación y funcionamiento del sistema ferroviario común estatal a través del ente público ETS y los instrumentos de interoperabilidad.</w:t>
      </w:r>
    </w:p>
    <w:p w:rsidR="00163957" w:rsidRDefault="00163957" w:rsidP="00163957">
      <w:pPr>
        <w:pStyle w:val="TextoNormal"/>
      </w:pPr>
    </w:p>
    <w:p w:rsidR="00163957" w:rsidRDefault="00163957" w:rsidP="00163957">
      <w:pPr>
        <w:pStyle w:val="TextoNormal"/>
      </w:pPr>
      <w:r>
        <w:t>Entre la red gestionada por el Estado y la red de la Comunidad Autónoma del País Vasco, no existen problemas de interoperabilidad. Desde 1996 se han suscrito sucesivos convenios marco en materia ferroviaria, lo que demuestra que el traspaso a la Comunidad Autónoma del País Vasco de los tramos y líneas incorporados a la red de ferrocarriles de interés general no perjudicaría el funcionamiento del sistema.</w:t>
      </w:r>
    </w:p>
    <w:p w:rsidR="00163957" w:rsidRDefault="00163957" w:rsidP="00163957">
      <w:pPr>
        <w:pStyle w:val="TextoNormal"/>
      </w:pPr>
    </w:p>
    <w:p w:rsidR="00163957" w:rsidRDefault="00163957" w:rsidP="00163957">
      <w:pPr>
        <w:pStyle w:val="TextoNormal"/>
      </w:pPr>
      <w:r>
        <w:t>j) El análisis de las líneas intracomunitarias de la Comunidad Autónoma del País Vasco del anexo de la Orden FOM/710/2015, revela que no son esenciales, ni es necesaria su administración conjunta.</w:t>
      </w:r>
    </w:p>
    <w:p w:rsidR="00163957" w:rsidRDefault="00163957" w:rsidP="00163957">
      <w:pPr>
        <w:pStyle w:val="TextoNormal"/>
      </w:pPr>
    </w:p>
    <w:p w:rsidR="00163957" w:rsidRDefault="00163957" w:rsidP="00163957">
      <w:pPr>
        <w:pStyle w:val="TextoNormal"/>
      </w:pPr>
      <w:r>
        <w:t>La línea de Santurtzi a Bilbao Abando (01-720) que, según el Estado, es acceso al puerto exterior de Bilbao, podría ser transferida al Gobierno Vasco sin detrimento para dicho acceso. El propio Ministerio de Fomento ha previsto un acceso distinto al puerto (variante Sur de mercancías de Bilbao y túnel de Serantes) que es el que debería, en su caso, incluirse en la red de ferrocarriles de interés general. Por tanto, dado el carácter de su explotación (mayoritariamente de cercanías); su desarrollo integral dentro de la Comunidad Autónoma del País Vasco y su provisionalidad como acceso al puerto de Bilbao, esta línea debe ser excluida del anexo e incluirse en otro relativo a líneas transferibles.</w:t>
      </w:r>
    </w:p>
    <w:p w:rsidR="00163957" w:rsidRDefault="00163957" w:rsidP="00163957">
      <w:pPr>
        <w:pStyle w:val="TextoNormal"/>
      </w:pPr>
    </w:p>
    <w:p w:rsidR="00163957" w:rsidRDefault="00163957" w:rsidP="00163957">
      <w:pPr>
        <w:pStyle w:val="TextoNormal"/>
      </w:pPr>
      <w:r>
        <w:t>La línea de Muskiz a Desertu-Barakaldo (01-722), se incluye en el catálogo de red de ferrocarriles de interés general porque, en el futuro, podrá ser acceso al puerto exterior de Bilbao, a través del nuevo túnel de Serantes. Sin embargo, no existe enlace actual de esta línea con el puerto y aunque fuera transferida al Gobierno Vasco, el acceso ferroviario seguiría garantizado. Esta línea además fue originariamente construida y explotada por la Diputación de Bizkaia e incautada en 1941.</w:t>
      </w:r>
    </w:p>
    <w:p w:rsidR="00163957" w:rsidRDefault="00163957" w:rsidP="00163957">
      <w:pPr>
        <w:pStyle w:val="TextoNormal"/>
      </w:pPr>
    </w:p>
    <w:p w:rsidR="00163957" w:rsidRDefault="00163957" w:rsidP="00163957">
      <w:pPr>
        <w:pStyle w:val="TextoNormal"/>
      </w:pPr>
      <w:r>
        <w:t>La línea Bilbao-mercancías a Santurtzi (01-724), dada su escasa longitud, no es esencial.</w:t>
      </w:r>
    </w:p>
    <w:p w:rsidR="00163957" w:rsidRDefault="00163957" w:rsidP="00163957">
      <w:pPr>
        <w:pStyle w:val="TextoNormal"/>
      </w:pPr>
    </w:p>
    <w:p w:rsidR="00163957" w:rsidRDefault="00163957" w:rsidP="00163957">
      <w:pPr>
        <w:pStyle w:val="TextoNormal"/>
      </w:pPr>
      <w:r>
        <w:t>La línea de Ariz a Basurto-hospital (08-782), discurre íntegramente en el área Metropolitana de Bilbao y se incluye en la red de ferrocarriles de interés general por ser acceso a la factoría de Arcelor Mittal en Etxebarri. Sin embargo, este no es uno de los supuestos previstos en el art. 4 LSF y además, la entrada a la fábrica, no se verifica por dicha línea sino por otra ya transferida a la Comunidad Autónoma del País Vasco, que enlaza luego con una línea de ADIF, lo que demuestra la interoperatividad entre ambas redes.</w:t>
      </w:r>
    </w:p>
    <w:p w:rsidR="00163957" w:rsidRDefault="00163957" w:rsidP="00163957">
      <w:pPr>
        <w:pStyle w:val="TextoNormal"/>
      </w:pPr>
    </w:p>
    <w:p w:rsidR="00163957" w:rsidRDefault="00163957" w:rsidP="00163957">
      <w:pPr>
        <w:pStyle w:val="TextoNormal"/>
      </w:pPr>
      <w:r>
        <w:t>La línea Lutxana-Barakaldo a Irauregi (08-784), se incorpora, según el Consejo de Ministros, a la red de ferrocarriles de interés general, por servir para la carga de mercancías de la Acería Compacta de Bizcaia, del grupo siderúrgico Arcelor-Mittal. Sin embargo, la línea no llega a esa factoría, lo que exige un acarreo por carretera de unos cuatro kilómetros. Se adjunta documentación al respecto.</w:t>
      </w:r>
    </w:p>
    <w:p w:rsidR="00163957" w:rsidRDefault="00163957" w:rsidP="00163957">
      <w:pPr>
        <w:pStyle w:val="TextoNormal"/>
      </w:pPr>
    </w:p>
    <w:p w:rsidR="00163957" w:rsidRDefault="00163957" w:rsidP="00163957">
      <w:pPr>
        <w:pStyle w:val="TextoNormal"/>
      </w:pPr>
      <w:r>
        <w:t>k) El Gobierno Vasco entiende que las líneas y tramos supracomunitarios que discurren en parte por la Comunidad Autónoma del País Vasco, incorporados a la red de ferrocarriles de interés general, tampoco son de interés general.</w:t>
      </w:r>
    </w:p>
    <w:p w:rsidR="00163957" w:rsidRDefault="00163957" w:rsidP="00163957">
      <w:pPr>
        <w:pStyle w:val="TextoNormal"/>
      </w:pPr>
    </w:p>
    <w:p w:rsidR="00163957" w:rsidRDefault="00163957" w:rsidP="00163957">
      <w:pPr>
        <w:pStyle w:val="TextoNormal"/>
      </w:pPr>
      <w:r>
        <w:t>Son las líneas Bilbao La Concordia-Santander (08-780) y la Asunción Universidad-Aranguren (08-790), con capacidad reducida y en las que el transporte de viajeros es de poca entidad. Por ello, tras describirlas en detalle, se concluye que podrían adscribirse a la Comunidad Autónoma del País Vasco.</w:t>
      </w:r>
    </w:p>
    <w:p w:rsidR="00163957" w:rsidRDefault="00163957" w:rsidP="00163957">
      <w:pPr>
        <w:pStyle w:val="TextoNormal"/>
      </w:pPr>
    </w:p>
    <w:p w:rsidR="00163957" w:rsidRDefault="00163957" w:rsidP="00163957">
      <w:pPr>
        <w:pStyle w:val="TextoNormal"/>
      </w:pPr>
      <w:r>
        <w:t>l) Tras todo lo anterior, el suplico del escrito solicita que se declare que la titularidad de la competencia controvertida sobre las líneas y tramos que se singularizan mediante los códigos 01-720, 01-722, 01-724, 08-782, 08-784, 08-780 y 08-790, corresponde a la Comunidad Autónoma del País Vasco, acordando la nulidad de la Orden FOM/710/2015, en lo que afecta a dichas líneas y tramos y se ordene su incorporación al anexo de tramos y líneas transferibles a las Comunidades Autónomas que debe incorporar la orden objeto del conflicto.</w:t>
      </w:r>
    </w:p>
    <w:p w:rsidR="00163957" w:rsidRDefault="00163957" w:rsidP="00163957">
      <w:pPr>
        <w:pStyle w:val="TextoNormal"/>
      </w:pPr>
    </w:p>
    <w:p w:rsidR="00163957" w:rsidRDefault="00163957" w:rsidP="00163957">
      <w:pPr>
        <w:pStyle w:val="TextoNormal"/>
      </w:pPr>
      <w:r w:rsidRPr="00163957">
        <w:rPr>
          <w:rStyle w:val="NumeroAFNegritaCaracter"/>
        </w:rPr>
        <w:t>3</w:t>
      </w:r>
      <w:r>
        <w:t>. Por providencia de 20 de octubre de 2015, el Pleno de este Tribunal, a propuesta de la Sección Cuarta, acordó admitir a trámite el conflicto positivo de competencia y dar traslado de la demanda y documentos presentados al Gobierno de la Nación, por conducto de su Presidente, al objeto de que en el plazo de 20 días aporte cuantos documentos y alegaciones considere convenientes. Se acordó también comunicar la incoación del conflicto a la Sala de lo Contencioso-Administrativo de la Audiencia Nacional por si se impugnara o estuviese impugnada ante ella la orden objeto del conflicto, en cuyo caso se suspenderá el curso del proceso según dispone el art. 61.2 de la Ley Orgánica del Tribunal Constitucional (LOTC) y publicar la incoación del conflicto en el “Boletín Oficial del Estado” y en el “Boletín Oficial del País Vasco”.</w:t>
      </w:r>
    </w:p>
    <w:p w:rsidR="00163957" w:rsidRDefault="00163957" w:rsidP="00163957">
      <w:pPr>
        <w:pStyle w:val="TextoNormal"/>
      </w:pPr>
    </w:p>
    <w:p w:rsidR="00163957" w:rsidRDefault="00163957" w:rsidP="00163957">
      <w:pPr>
        <w:pStyle w:val="TextoNormal"/>
      </w:pPr>
      <w:r w:rsidRPr="00163957">
        <w:rPr>
          <w:rStyle w:val="NumeroAFNegritaCaracter"/>
        </w:rPr>
        <w:t>4</w:t>
      </w:r>
      <w:r>
        <w:t>. El 28 de octubre de 2015, el Abogado del Estado, en la representación que ostenta, se personó en el proceso, solicitando prórroga del plazo concedido para hacer alegaciones. Dicha prórroga le fue concedida, por plazo adicional de diez días, mediante providencia de 29 de octubre de 2015.</w:t>
      </w:r>
    </w:p>
    <w:p w:rsidR="00163957" w:rsidRDefault="00163957" w:rsidP="00163957">
      <w:pPr>
        <w:pStyle w:val="TextoNormal"/>
      </w:pPr>
    </w:p>
    <w:p w:rsidR="00163957" w:rsidRDefault="00163957" w:rsidP="00163957">
      <w:pPr>
        <w:pStyle w:val="TextoNormal"/>
      </w:pPr>
      <w:r w:rsidRPr="00163957">
        <w:rPr>
          <w:rStyle w:val="NumeroAFNegritaCaracter"/>
        </w:rPr>
        <w:t>5</w:t>
      </w:r>
      <w:r>
        <w:t>. El 3 de diciembre de 2015, tuvo entrada en el Tribunal escrito de alegaciones del Abogado del Estado en el que solicitó la desestimación del conflicto con base en los siguientes argumentos:</w:t>
      </w:r>
    </w:p>
    <w:p w:rsidR="00163957" w:rsidRDefault="00163957" w:rsidP="00163957">
      <w:pPr>
        <w:pStyle w:val="TextoNormal"/>
      </w:pPr>
    </w:p>
    <w:p w:rsidR="00163957" w:rsidRDefault="00163957" w:rsidP="00163957">
      <w:pPr>
        <w:pStyle w:val="TextoNormal"/>
      </w:pPr>
      <w:r>
        <w:t>a) Tras exponer el objeto y antecedentes del conflicto, destaca que, el aspecto decisivo para calificar una línea férrea de interés general y, por tanto, de competencia estatal, es la conexión y no tanto el criterio territorial. Cita la STC 245/2012.</w:t>
      </w:r>
    </w:p>
    <w:p w:rsidR="00163957" w:rsidRDefault="00163957" w:rsidP="00163957">
      <w:pPr>
        <w:pStyle w:val="TextoNormal"/>
      </w:pPr>
    </w:p>
    <w:p w:rsidR="00163957" w:rsidRDefault="00163957" w:rsidP="00163957">
      <w:pPr>
        <w:pStyle w:val="TextoNormal"/>
      </w:pPr>
      <w:r>
        <w:t>La conexión, como elemento funcional que define el interés general, se regula en el art. 4 LSF, cuya adecuación al régimen constitucional de distribución de competencias, fue declarada por la STC 245/2012, a partir del art. 149.1.21 y 24 CE. La Orden FOM/710/2015, tiene en cuenta explícitamente los criterios del art. 4 LSF.</w:t>
      </w:r>
    </w:p>
    <w:p w:rsidR="00163957" w:rsidRDefault="00163957" w:rsidP="00163957">
      <w:pPr>
        <w:pStyle w:val="TextoNormal"/>
      </w:pPr>
    </w:p>
    <w:p w:rsidR="00163957" w:rsidRDefault="00163957" w:rsidP="00163957">
      <w:pPr>
        <w:pStyle w:val="TextoNormal"/>
      </w:pPr>
      <w:r>
        <w:t>La competencia exclusiva del Estado para el establecimiento de la red ferroviaria de interés general, como ha indicado la misma STC 245/2012, se funda no solo en los apartados 21 y 24 del art. 149.1 CE, sino también en otros títulos, especialmente el del art. 149.1.13 CE, puesto que se trata de garantizar un sistema común de transporte ferroviario. Por tanto, el art. 149.1.13 CE, también complementa y modula el criterio territorial estricto del art. 149.1.21 CE.</w:t>
      </w:r>
    </w:p>
    <w:p w:rsidR="00163957" w:rsidRDefault="00163957" w:rsidP="00163957">
      <w:pPr>
        <w:pStyle w:val="TextoNormal"/>
      </w:pPr>
    </w:p>
    <w:p w:rsidR="00163957" w:rsidRDefault="00163957" w:rsidP="00163957">
      <w:pPr>
        <w:pStyle w:val="TextoNormal"/>
      </w:pPr>
      <w:r>
        <w:t>La misma doctrina ampara la potestad del Ministerio de Fomento de acordar, mediante orden, tanto la integración de nuevas infraestructuras en la red ferroviaria de interés general cuando aprecie razones de interés general que lo justifiquen (art. 4.2 LSF) como, en su caso, la exclusión de dicha red (art. 4.3 LSF). Vuelve a citarse aquí la STC 245/2012.</w:t>
      </w:r>
    </w:p>
    <w:p w:rsidR="00163957" w:rsidRDefault="00163957" w:rsidP="00163957">
      <w:pPr>
        <w:pStyle w:val="TextoNormal"/>
      </w:pPr>
    </w:p>
    <w:p w:rsidR="00163957" w:rsidRDefault="00163957" w:rsidP="00163957">
      <w:pPr>
        <w:pStyle w:val="TextoNormal"/>
      </w:pPr>
      <w:r>
        <w:t>La potestad del Ministro de Fomento en este ámbito, es de carácter discrecional, sobre la base de los criterios establecidos en el art. 4 LSF. Ello supone que, solo a esta autoridad administrativa, le corresponde valorar la concurrencia de las circunstancias de interés general. A los tribunales de justicia, en su función revisora, solo les corresponde el control externo. Así resulta de las SSTC 245/2012 y 40/1998.</w:t>
      </w:r>
    </w:p>
    <w:p w:rsidR="00163957" w:rsidRDefault="00163957" w:rsidP="00163957">
      <w:pPr>
        <w:pStyle w:val="TextoNormal"/>
      </w:pPr>
    </w:p>
    <w:p w:rsidR="00163957" w:rsidRDefault="00163957" w:rsidP="00163957">
      <w:pPr>
        <w:pStyle w:val="TextoNormal"/>
      </w:pPr>
      <w:r>
        <w:t>Los motivos discrecionales base del interés general de las vías o tramos ferroviarios incluidos en el anexo de la Orden FOM/710/2015, se mencionan en la propia orden.</w:t>
      </w:r>
    </w:p>
    <w:p w:rsidR="00163957" w:rsidRDefault="00163957" w:rsidP="00163957">
      <w:pPr>
        <w:pStyle w:val="TextoNormal"/>
      </w:pPr>
    </w:p>
    <w:p w:rsidR="00163957" w:rsidRDefault="00163957" w:rsidP="00163957">
      <w:pPr>
        <w:pStyle w:val="TextoNormal"/>
      </w:pPr>
      <w:r>
        <w:t>b) No es correcta la conclusión que deduce la demandante de la STC 83/2013, FJ 4, según la cual, ésta flexibiliza el criterio de conexión física a la red a efectos de interpretar la exigencia del consentimiento de las Comunidades Autónomas para incluir en la red de ferrocarriles de interés general tramos que discurren por su territorio. Lo que dice la Sentencia (y el art. 4.2 LSF) es que, cuando la línea transcurra exclusivamente por el territorio de una Comunidad Autónoma, deberá recabarse su consentimiento cuando no haya conexión física con el resto de la red, no cuando haya conexión funcional.</w:t>
      </w:r>
    </w:p>
    <w:p w:rsidR="00163957" w:rsidRDefault="00163957" w:rsidP="00163957">
      <w:pPr>
        <w:pStyle w:val="TextoNormal"/>
      </w:pPr>
    </w:p>
    <w:p w:rsidR="00163957" w:rsidRDefault="00163957" w:rsidP="00163957">
      <w:pPr>
        <w:pStyle w:val="TextoNormal"/>
      </w:pPr>
      <w:r>
        <w:t>En contra de lo que dice la impugnación, los itinerarios no son el aspecto decisivo para dilucidar la competencia estatal o autonómica, sino que lo son las líneas o tramos como tales y su conexión a la red. Esto es lo determinante para tener que recabar o no el consentimiento autonómico a la hora de catalogar e incluir una línea en la red de ferrocarriles de interés general. Además, la jurisprudencia ha señalado como condición necesaria para atribuir la competencia autonómica sobre una línea circunscrita al territorio de una Comunidad Autónoma, que el tramo no forme parte de una infraestructura ferroviaria considerada de interés general por el Estado (STC 245/2012, FJ 10).</w:t>
      </w:r>
    </w:p>
    <w:p w:rsidR="00163957" w:rsidRDefault="00163957" w:rsidP="00163957">
      <w:pPr>
        <w:pStyle w:val="TextoNormal"/>
      </w:pPr>
    </w:p>
    <w:p w:rsidR="00163957" w:rsidRDefault="00163957" w:rsidP="00163957">
      <w:pPr>
        <w:pStyle w:val="TextoNormal"/>
      </w:pPr>
      <w:r>
        <w:t>En cuanto a las líneas Basurto Hospital-Ariz e Irauregui-Lutxana-Barakaldo, existe conexión física y no solo funcional por lo que no es preciso el consentimiento de la Comunidad Autónoma del País Vasco. Son líneas que forman parte de la red de ancho métrico (dígitos 08, según apartado primero de la orden impugnada), integradas en el sistema territorial general del Estado, ya que ésta es una medida de anchura general uniforme, interconectada en el plano de las infraestructuras.</w:t>
      </w:r>
    </w:p>
    <w:p w:rsidR="00163957" w:rsidRDefault="00163957" w:rsidP="00163957">
      <w:pPr>
        <w:pStyle w:val="TextoNormal"/>
      </w:pPr>
    </w:p>
    <w:p w:rsidR="00163957" w:rsidRDefault="00163957" w:rsidP="00163957">
      <w:pPr>
        <w:pStyle w:val="TextoNormal"/>
      </w:pPr>
      <w:r>
        <w:t>Las líneas Desertu-Barakaldo-Muskiz y Bilbao Mercancías-Santurzi, se incluyen en el catálogo con los dígitos 01, que corresponde a los grandes ejes que garantizan el sistema común de transporte ferroviario; en el caso concreto del eje principal 01, es la Línea Madrid-Chamartín-Irún/Hendaya. Por tanto, en ambas líneas hay conexión física.</w:t>
      </w:r>
    </w:p>
    <w:p w:rsidR="00163957" w:rsidRDefault="00163957" w:rsidP="00163957">
      <w:pPr>
        <w:pStyle w:val="TextoNormal"/>
      </w:pPr>
    </w:p>
    <w:p w:rsidR="00163957" w:rsidRDefault="00163957" w:rsidP="00163957">
      <w:pPr>
        <w:pStyle w:val="TextoNormal"/>
      </w:pPr>
      <w:r>
        <w:t>Además, el Acuerdo del Consejo de Ministros de 17 de julio de 2015, de respuesta al requerimiento del Gobierno Vasco, expone razones específicas funcionales. Se trata de infraestructuras de interés general, amparadas en el art. 149.1.24 CE.</w:t>
      </w:r>
    </w:p>
    <w:p w:rsidR="00163957" w:rsidRDefault="00163957" w:rsidP="00163957">
      <w:pPr>
        <w:pStyle w:val="TextoNormal"/>
      </w:pPr>
    </w:p>
    <w:p w:rsidR="00163957" w:rsidRDefault="00163957" w:rsidP="00163957">
      <w:pPr>
        <w:pStyle w:val="TextoNormal"/>
      </w:pPr>
      <w:r>
        <w:t>c) La posición del Gobierno Vasco en este conflicto contradice la que sostuvo en el RI 6866-2013, En aquel recurso mantenía la inconstitucionalidad de la disposición adicional novena LSF, modificada por el art. 37 del Real Decreto-ley 4/2013, por circunscribir el requisito legal del consentimiento de la Comunidad Autónoma a los casos en que el Estado no esgrima razones funcionales de interés general. En cambio, en este conflicto, afirma que la Orden FOM/710/2015 infringe las competencias autonómicas porque incluye las líneas y tramos en la red de ferrocarriles de interés general, sin haber dado el Gobierno Vasco el consentimiento que exige la disposición adicional novena, que ahora se interpreta para concluir que exige dicho requisito aunque el Estado esgrima razones funcionales de interés general. La contradicción es patente con independencia de que sea el criterio funcional el escogido por el legislador básico para determinar la competencia estatal, como ha corroborado la STC 245/2012, FJ 14.</w:t>
      </w:r>
    </w:p>
    <w:p w:rsidR="00163957" w:rsidRDefault="00163957" w:rsidP="00163957">
      <w:pPr>
        <w:pStyle w:val="TextoNormal"/>
      </w:pPr>
    </w:p>
    <w:p w:rsidR="00163957" w:rsidRDefault="00163957" w:rsidP="00163957">
      <w:pPr>
        <w:pStyle w:val="TextoNormal"/>
      </w:pPr>
      <w:r>
        <w:t>La modificación de la disposición adicional novena LSF, llevada a cabo por el Real Decreto-ley 4/2013, convalidado por la Ley 11/2013, en la que se añade la obligación de oír a las Comunidades Autónomas sobre la determinación del catálogo, incluso en el caso en que las líneas o tramos se comprendan totalmente en su territorio, hace que el art. 4.2 LSF deba hoy interpretarse en el sentido de que basta esa audiencia a la Comunidad Autónoma, salvo que la infraestructura no tenga conexión con el resto de la red. La redacción del art. 4.2 de la vigente Ley 38/2015, de 29 de septiembre, del sector ferroviario que ha derogado la Ley del sector ferroviario de 2003, es igual que la que tenía este artículo tras la reforma del Real Decreto-ley 4/2013. Se considera por todo ello, que el conflicto ha perdido validez pues versa sobre la interpretación del art. 4.2 LSF, sin tener en cuenta la reforma de la disposición adicional novena en el 2013.</w:t>
      </w:r>
    </w:p>
    <w:p w:rsidR="00163957" w:rsidRDefault="00163957" w:rsidP="00163957">
      <w:pPr>
        <w:pStyle w:val="TextoNormal"/>
      </w:pPr>
    </w:p>
    <w:p w:rsidR="00163957" w:rsidRDefault="00163957" w:rsidP="00163957">
      <w:pPr>
        <w:pStyle w:val="TextoNormal"/>
      </w:pPr>
      <w:r>
        <w:t>d) La motivación explícita de las razones de interés general que, con base en el art. 4 LSF, justifican la integración en la red de ferrocarriles de interés general de las concretas líneas impugnadas, está en el acuerdo del Consejo de Ministros de 17 de julio de 2015, de contestación al requerimiento del Gobierno Vasco. El Abogado del Estado se remite íntegramente a este acuerdo, sin perjuicio de ulterior referencia a sus aspectos esenciales. Además, aporta un informe del Ministerio de Fomento, de noviembre de 2015, explicativo de la orden.</w:t>
      </w:r>
    </w:p>
    <w:p w:rsidR="00163957" w:rsidRDefault="00163957" w:rsidP="00163957">
      <w:pPr>
        <w:pStyle w:val="TextoNormal"/>
      </w:pPr>
    </w:p>
    <w:p w:rsidR="00163957" w:rsidRDefault="00163957" w:rsidP="00163957">
      <w:pPr>
        <w:pStyle w:val="TextoNormal"/>
      </w:pPr>
      <w:r>
        <w:t>La inclusión de una línea o tramo en uno de los grandes ejes ferroviarios, aunque no transcurra por más de una Comunidad Autónoma, es una conexión física, no meramente funcional, con independencia de que el Estado, para incluir la línea o tramo en la red de ferrocarriles de interés general tenga que justificar, conforme a la Ley del sector ferroviario, dicha inclusión y sin que sea necesario en este caso el consentimiento de la Comunidad Autónoma del art. 4.2 LSF. No hay conexión física, en cambio, si la línea o tramo no forma parte de una línea estatal pero, aun así, el Estado puede considerarla razonadamente de interés general y obtener el consentimiento autonómico.</w:t>
      </w:r>
    </w:p>
    <w:p w:rsidR="00163957" w:rsidRDefault="00163957" w:rsidP="00163957">
      <w:pPr>
        <w:pStyle w:val="TextoNormal"/>
      </w:pPr>
    </w:p>
    <w:p w:rsidR="00163957" w:rsidRDefault="00163957" w:rsidP="00163957">
      <w:pPr>
        <w:pStyle w:val="TextoNormal"/>
      </w:pPr>
      <w:r>
        <w:t>Aparte de ello, se reproduce la justificación del acuerdo del Consejo de Ministros de 17 de julio de 2015. En concreto, las líneas 01-720: Bilbao Abando Ind.Prieto-Santurzi y 01-724 Bilbao Mercancías Santurzi, sirven de acceso a los principales núcleos de población y transporte y a instalaciones esenciales para la economía, como el puerto de Bilbao, de interés general y estratégico a nivel europeo. Este puerto es nodo de la red básica que forma parte del corredor atlántico en la actual configuración de la Red transeuropea de transporte según los reglamentos comunitarios. Estas líneas son salida y entrada por ferrocarril de mercancías a dicho puerto. La línea 01-722 Desierto Barakaldo-Múskiz, se está conectando con el nuevo acceso al puerto de Bilbao (túnel de Serantes) en una obra casi concluida. En las líneas Basurto Hospital-Ariz e Irauregui-Lutxana-Barakaldo, dentro del eje red de ancho métrico (dígitos 08) existe conexión física y no solo funcional por formar parte del sistema territorial general del Estado.</w:t>
      </w:r>
    </w:p>
    <w:p w:rsidR="00163957" w:rsidRDefault="00163957" w:rsidP="00163957">
      <w:pPr>
        <w:pStyle w:val="TextoNormal"/>
      </w:pPr>
    </w:p>
    <w:p w:rsidR="00163957" w:rsidRDefault="00163957" w:rsidP="00163957">
      <w:pPr>
        <w:pStyle w:val="TextoNormal"/>
      </w:pPr>
      <w:r>
        <w:t>La línea 08-782 Ariz-Basurto Hospital, es el ramal de mercancías de línea de ancho métrico que conecta la terminal de Ariz, de la que parte una vía de acceso a la factoría de Arcelor Mittal en Etxebarri, origen o destino de materias primas esenciales para las factorías de la cornisa cantábrica. La línea 08-784 Lutxana Barakaldo-Irauregui, carga mercancías de la Acería Compacta de Bizcaia que se distribuyen por la red de ancho métrico y es acceso a principales núcleos de transporte o a instalaciones esenciales para la economía. Las otras dos líneas de ancho métrico 08, que discurren por territorio de la Comunidad Autónoma del País Vasco (Santander-Bilbao La Concordia y Asunción Universidad-Aranguren) atraviesan más de una Comunidad Autónoma y su interés general se justifica en el acuerdo del Consejo de Ministros.</w:t>
      </w:r>
    </w:p>
    <w:p w:rsidR="00163957" w:rsidRDefault="00163957" w:rsidP="00163957">
      <w:pPr>
        <w:pStyle w:val="TextoNormal"/>
      </w:pPr>
    </w:p>
    <w:p w:rsidR="00163957" w:rsidRDefault="00163957" w:rsidP="00163957">
      <w:pPr>
        <w:pStyle w:val="TextoNormal"/>
      </w:pPr>
      <w:r>
        <w:t>e) La demanda plantea además cuestiones de legalidad ordinaria, como una supuesta infracción de las Directivas 2004/49/CEE y 2008/57/CEE, que es ajena a este debate y una supuesta vulneración formal, por la Orden FOM/710/2015, de la disposición adicional novena LSF por no contener dos anexos que, igualmente, carece de trascendencia constitucional.</w:t>
      </w:r>
    </w:p>
    <w:p w:rsidR="00163957" w:rsidRDefault="00163957" w:rsidP="00163957">
      <w:pPr>
        <w:pStyle w:val="TextoNormal"/>
      </w:pPr>
    </w:p>
    <w:p w:rsidR="00163957" w:rsidRDefault="00163957" w:rsidP="00163957">
      <w:pPr>
        <w:pStyle w:val="TextoNormal"/>
      </w:pPr>
      <w:r>
        <w:t>Lo mismo se hace extensivo a la alegación de omisión del dictamen, supuestamente preceptivo, del Consejo de Estado y a la omisión en la orden, de toda referencia a los principios de coordinación y cooperación del art. 4.4 LSF. Estos, son principios informadores de toda actuación administrativa (art. 105 CE) que no precisan mención explícita.</w:t>
      </w:r>
    </w:p>
    <w:p w:rsidR="00163957" w:rsidRDefault="00163957" w:rsidP="00163957">
      <w:pPr>
        <w:pStyle w:val="TextoNormal"/>
      </w:pPr>
    </w:p>
    <w:p w:rsidR="00163957" w:rsidRDefault="00163957" w:rsidP="00163957">
      <w:pPr>
        <w:pStyle w:val="TextoNormal"/>
      </w:pPr>
      <w:r>
        <w:t>Se solicita la desestimación de las objeciones de legalidad ordinaria, por inadecuación del procedimiento de conflicto constitucional para sustanciarlas.</w:t>
      </w:r>
    </w:p>
    <w:p w:rsidR="00163957" w:rsidRDefault="00163957" w:rsidP="00163957">
      <w:pPr>
        <w:pStyle w:val="TextoNormal"/>
      </w:pPr>
    </w:p>
    <w:p w:rsidR="00163957" w:rsidRDefault="00163957" w:rsidP="00163957">
      <w:pPr>
        <w:pStyle w:val="TextoNormal"/>
      </w:pPr>
      <w:r w:rsidRPr="00163957">
        <w:rPr>
          <w:rStyle w:val="NumeroAFNegritaCaracter"/>
        </w:rPr>
        <w:t>6</w:t>
      </w:r>
      <w:r>
        <w:t>. Por providencia de 21 de junio de 2016, se señaló para deliberación y votación de la presente Sentencia el día 23 del mismo mes y año.</w:t>
      </w:r>
    </w:p>
    <w:p w:rsidR="00163957" w:rsidRDefault="00163957" w:rsidP="00163957">
      <w:pPr>
        <w:pStyle w:val="TextoNormal"/>
      </w:pPr>
    </w:p>
    <w:p w:rsidR="00163957" w:rsidRDefault="00163957" w:rsidP="00163957">
      <w:pPr>
        <w:pStyle w:val="TextoNormalNegritaCentrado"/>
        <w:keepNext/>
      </w:pPr>
      <w:r>
        <w:t>II. Fundamentos jurídicos</w:t>
      </w:r>
    </w:p>
    <w:p w:rsidR="00163957" w:rsidRDefault="00163957" w:rsidP="00163957">
      <w:pPr>
        <w:pStyle w:val="TextoNormalNegritaCentrado"/>
        <w:keepNext/>
      </w:pPr>
    </w:p>
    <w:p w:rsidR="00163957" w:rsidRDefault="00163957" w:rsidP="00163957">
      <w:pPr>
        <w:pStyle w:val="TextoNormal"/>
      </w:pPr>
      <w:r w:rsidRPr="00163957">
        <w:rPr>
          <w:rStyle w:val="NumeroAFNegritaCaracter"/>
        </w:rPr>
        <w:t>1</w:t>
      </w:r>
      <w:r>
        <w:t>. El presente proceso constitucional tiene por objeto resolver el conflicto positivo de competencia planteado por el Consejo de Gobierno de la Comunidad Autónoma del País Vasco, contra la Orden FOM/710/2015, de 30 de enero, por la que se aprueba el catálogo de líneas y tramos de la red ferroviaria de interés general.</w:t>
      </w:r>
    </w:p>
    <w:p w:rsidR="00163957" w:rsidRDefault="00163957" w:rsidP="00163957">
      <w:pPr>
        <w:pStyle w:val="TextoNormal"/>
      </w:pPr>
    </w:p>
    <w:p w:rsidR="00163957" w:rsidRDefault="00163957" w:rsidP="00163957">
      <w:pPr>
        <w:pStyle w:val="TextoNormal"/>
      </w:pPr>
      <w:r>
        <w:t>De conformidad con los antecedentes que se han resumido, el Gobierno del País Vasco afirma la inconstitucionalidad de la orden impugnada, en cuanto incorpora a su anexo, (denominado “Catálogo de líneas y tramos de la red ferroviaria de interés general”), las líneas y tramos que discurren por el País Vasco que relaciona lo que, a su juicio, vulnera los apartados 21 y 24 del art. 149.1 CE; 32 y 33 del art. 10 y art. 12.9 del Estatuto de Autonomía del País Vasco.</w:t>
      </w:r>
    </w:p>
    <w:p w:rsidR="00163957" w:rsidRDefault="00163957" w:rsidP="00163957">
      <w:pPr>
        <w:pStyle w:val="TextoNormal"/>
      </w:pPr>
    </w:p>
    <w:p w:rsidR="00163957" w:rsidRDefault="00163957" w:rsidP="00163957">
      <w:pPr>
        <w:pStyle w:val="TextoNormal"/>
      </w:pPr>
      <w:r>
        <w:t>Por el contrario, el Abogado del Estado, considera que la orden impugnada encuentra plena cobertura en los títulos competenciales de los apartados 13, 21 y 24 del art. 149.1 CE, por lo que solicita la desestimación íntegra del conflicto planteado.</w:t>
      </w:r>
    </w:p>
    <w:p w:rsidR="00163957" w:rsidRDefault="00163957" w:rsidP="00163957">
      <w:pPr>
        <w:pStyle w:val="TextoNormal"/>
      </w:pPr>
    </w:p>
    <w:p w:rsidR="00163957" w:rsidRDefault="00163957" w:rsidP="00163957">
      <w:pPr>
        <w:pStyle w:val="TextoNormal"/>
      </w:pPr>
      <w:r w:rsidRPr="00163957">
        <w:rPr>
          <w:rStyle w:val="NumeroAFNegritaCaracter"/>
        </w:rPr>
        <w:t>2</w:t>
      </w:r>
      <w:r>
        <w:t>. Antes de iniciar el examen de los aspectos controvertidos en el presente conflicto competencial, hemos de referirnos a la evolución del contexto normativo y al recurso de inconstitucionalidd núm. 6866-2013 que es antecedente del mismo.</w:t>
      </w:r>
    </w:p>
    <w:p w:rsidR="00163957" w:rsidRDefault="00163957" w:rsidP="00163957">
      <w:pPr>
        <w:pStyle w:val="TextoNormal"/>
      </w:pPr>
    </w:p>
    <w:p w:rsidR="00163957" w:rsidRDefault="00163957" w:rsidP="00163957">
      <w:pPr>
        <w:pStyle w:val="TextoNormal"/>
      </w:pPr>
      <w:r>
        <w:t>En efecto, la Comunidad Autónoma del País Vasco, promotora de este conflicto, recurrió inicialmente (en el recurso núm. 6866-2013) el art. 38, su anexo y, por conexión, el art. 37 del Real Decreto-ley 4/2013, de 22 de febrero, de medidas de apoyo al emprendedor y de estímulo del crecimiento y de la creación de empleo. Estos preceptos se referían al mismo catálogo de líneas y tramos de la red ferroviaria de interés general finalmente aprobado por la orden objeto de este procedimiento. Así, el art. 37 de dicho Real Decreto-ley 4/2013, a raíz de la STC 245/2012 (a la que luego haremos referencia), modificó la disposición adicional novena de la Ley 39/2003, del sector ferroviario, estableciendo, entre otros aspectos, un plazo de seis meses para la aprobación por el Ministerio de Fomento, del catálogo finalmente recogido en la Orden FOM/710/2015. Por su parte, el art. 38, establecía que, hasta la aprobación del catálogo, la red de ferrocarriles de interés general se consideraría compuesta de las líneas y tramos relacionados en su anexo.</w:t>
      </w:r>
    </w:p>
    <w:p w:rsidR="00163957" w:rsidRDefault="00163957" w:rsidP="00163957">
      <w:pPr>
        <w:pStyle w:val="TextoNormal"/>
      </w:pPr>
    </w:p>
    <w:p w:rsidR="00163957" w:rsidRDefault="00163957" w:rsidP="00163957">
      <w:pPr>
        <w:pStyle w:val="TextoNormal"/>
      </w:pPr>
      <w:r>
        <w:t>Los preceptos citados del Real Decreto-ley 4/2013 fueron convalidados por la Ley 11/2013, de 26 de julio, de medidas de apoyo al emprendedor y de estímulo del crecimiento y de la creación de empleo, que entró en vigor antes de la interposición del recurso de inconstitucionalidad núm. 6866-2013 y que, sin embargo, no fue recurrida. Por esta razón y porque el art. 37 del Real Decreto-ley 4/2013, no se incluyó en el acuerdo de inicio de las negociaciones entre la Comunidad Autónoma del País Vasco y el Gobierno del art. 33.2 b) de la Ley Orgánica del Tribunal Constitucional (LOTC), el recurso de inconstitucionalidad núm. 6866-2013, fue resuelto por la STC 197/2015, de 24 de septiembre, en el sentido de inadmitirlo contra el citado art. 37 y entenderlo limitado, en cuanto al art. 38 y su anexo, únicamente a la alegada vulneración del art. 86.1 CE, por supuestas falta del presupuesto habilitante de la extraordinaria y urgente necesidad y vulneración del límite material del Real Decreto-ley, extremos éstos en los que el recurso fue desestimado.</w:t>
      </w:r>
    </w:p>
    <w:p w:rsidR="00163957" w:rsidRDefault="00163957" w:rsidP="00163957">
      <w:pPr>
        <w:pStyle w:val="TextoNormal"/>
      </w:pPr>
    </w:p>
    <w:p w:rsidR="00163957" w:rsidRDefault="00163957" w:rsidP="00163957">
      <w:pPr>
        <w:pStyle w:val="TextoNormal"/>
      </w:pPr>
      <w:r>
        <w:t>Después de la STC 197/2015, se produjo una ulterior modificación normativa de relevancia para este proceso pues la Ley 39/2003, de 17 de noviembre, del sector ferroviario (LSF 2003), en que se basa la demanda, fue derogada por la Ley 38/2015, de 29 de septiembre, del sector ferroviario (en adelante, LSF 2015), en vigor desde el 1 de octubre de ese año.</w:t>
      </w:r>
    </w:p>
    <w:p w:rsidR="00163957" w:rsidRDefault="00163957" w:rsidP="00163957">
      <w:pPr>
        <w:pStyle w:val="TextoNormal"/>
      </w:pPr>
    </w:p>
    <w:p w:rsidR="00163957" w:rsidRDefault="00163957" w:rsidP="00163957">
      <w:pPr>
        <w:pStyle w:val="TextoNormal"/>
      </w:pPr>
      <w:r>
        <w:t xml:space="preserve">Por ello, si bien el bloque de constitucionalidad </w:t>
      </w:r>
      <w:r w:rsidRPr="00163957">
        <w:rPr>
          <w:i/>
        </w:rPr>
        <w:t>stricto sensu</w:t>
      </w:r>
      <w:r>
        <w:t xml:space="preserve"> (art. 149.1, apartados 13, 21 y 24 CE y Estatuto de Autonomía del País Vasco) conforme al cual debe realizarse el control de la norma que incurre en posible exceso competencial, no ha sufrido reforma alguna desde la interposición de este recurso hasta su resolución, la Ley estatal que debemos tomar en consideración en este proceso como elemento de análisis, es la citada LSF 2015, vigente en la fecha de esta Sentencia. Al contenido de esta Ley nos referiremos más adelante.</w:t>
      </w:r>
    </w:p>
    <w:p w:rsidR="00163957" w:rsidRDefault="00163957" w:rsidP="00163957">
      <w:pPr>
        <w:pStyle w:val="TextoNormal"/>
      </w:pPr>
    </w:p>
    <w:p w:rsidR="00163957" w:rsidRDefault="00163957" w:rsidP="00163957">
      <w:pPr>
        <w:pStyle w:val="TextoNormal"/>
      </w:pPr>
      <w:r>
        <w:t>La LSF 2015, sin embargo, no deroga expresamente el Reglamento del sector ferroviario, aprobado por el Real Decreto 2387/2004, de 30 de diciembre por lo que, conforme a su disposición derogatoria, se ha de considerar vigente el mismo en todo lo que no se oponga expresamente a ella.</w:t>
      </w:r>
    </w:p>
    <w:p w:rsidR="00163957" w:rsidRDefault="00163957" w:rsidP="00163957">
      <w:pPr>
        <w:pStyle w:val="TextoNormal"/>
      </w:pPr>
    </w:p>
    <w:p w:rsidR="00163957" w:rsidRDefault="00163957" w:rsidP="00163957">
      <w:pPr>
        <w:pStyle w:val="TextoNormal"/>
      </w:pPr>
      <w:r w:rsidRPr="00163957">
        <w:rPr>
          <w:rStyle w:val="NumeroAFNegritaCaracter"/>
        </w:rPr>
        <w:t>3</w:t>
      </w:r>
      <w:r>
        <w:t>. Los títulos competenciales que se invocan en este conflicto como supuestamente vulnerados, son, en cuanto a las competencias estatales, el inciso primero del art. 149.1.21 CE, que reserva al Estado la competencia exclusiva sobre “ferrocarriles y transportes terrestres que transcurran por el territorio de más de una Comunidad Autónoma”, y el art. 149.1.24 CE, que le otorga la competencia exclusiva sobre “obras públicas de interés general o cuya realización afecte a más de una Comunidad Autónoma”.</w:t>
      </w:r>
    </w:p>
    <w:p w:rsidR="00163957" w:rsidRDefault="00163957" w:rsidP="00163957">
      <w:pPr>
        <w:pStyle w:val="TextoNormal"/>
      </w:pPr>
    </w:p>
    <w:p w:rsidR="00163957" w:rsidRDefault="00163957" w:rsidP="00163957">
      <w:pPr>
        <w:pStyle w:val="TextoNormal"/>
      </w:pPr>
      <w:r>
        <w:t>Respecto a las competencias autonómicas, el Estatuto de Autonomía del País Vasco, atribuye a esta Comunidad, la competencia exclusiva sobre “ferrocarriles (y) transportes terrestres... sin perjuicio de lo dispuesto en el artículo 149.1.20 de la Constitución” (art. 10.32) y sobre “obras públicas que no tengan la calificación legal de interés general o cuya realización no afecte a otros territorios” (art. 10.33) así como, competencia para ejecutar la legislación del Estado sobre: “Ordenación del transporte de mercancías y viajeros que tengan su origen y destino dentro del territorio de la Comunidad Autónoma, aunque discurran sobre las infraestructuras de titularidad estatal a que hace referencia el número 21 del apartado 1 del artículo 149 de la Constitución, sin perjuicio de la ejecución directa que se reserve el Estado” (art.12.9).</w:t>
      </w:r>
    </w:p>
    <w:p w:rsidR="00163957" w:rsidRDefault="00163957" w:rsidP="00163957">
      <w:pPr>
        <w:pStyle w:val="TextoNormal"/>
      </w:pPr>
    </w:p>
    <w:p w:rsidR="00163957" w:rsidRDefault="00163957" w:rsidP="00163957">
      <w:pPr>
        <w:pStyle w:val="TextoNormal"/>
      </w:pPr>
      <w:r>
        <w:t>Aunque, según lo expuesto, la Comunidad Autónoma invoca como infringidas, tanto sus competencias sobre ferrocarriles, como las relativas a la ordenación del transporte, el debate planteado se centra en el primero de los ámbitos citados puesto que, la orden recurrida, tiene por objeto la definición del catálogo de infraestructuras que se integran en la red de ferrocarriles de interés general y no la regulación del transporte que discurre sobre ellas. Como ya dijimos en el fundamento jurídico 5 de la STC 245/2012, de 18 de diciembre, en la que resolvimos los recursos de inconstitucionalidad interpuestos contra la LSF 2003: “el concepto de la red ferroviaria de interés general plasmado en el art. 4 LSF solo incluye infraestructuras y deja fuera los servicios de transporte” (FJ 9) y “en nuestra doctrina también hemos partido de la diferenciación entre la infraestructura (en este caso, ferroviaria) y el transporte que se desarrolla sobre ella. En efecto, el transporte ha sido considerado por este Tribunal como una materia con entidad propia (STC 40/1998, de 19 de febrero, FJ 45) y, por tanto, diferenciable de la infraestructura (carreteras, ferrocarriles) o de la vía natural (aguas fluviales o marítimas) sobre la que ha de realizarse (STC 138/2010, de 16 de diciembre, FJ 5)”.</w:t>
      </w:r>
    </w:p>
    <w:p w:rsidR="00163957" w:rsidRDefault="00163957" w:rsidP="00163957">
      <w:pPr>
        <w:pStyle w:val="TextoNormal"/>
      </w:pPr>
    </w:p>
    <w:p w:rsidR="00163957" w:rsidRDefault="00163957" w:rsidP="00163957">
      <w:pPr>
        <w:pStyle w:val="TextoNormal"/>
      </w:pPr>
      <w:r>
        <w:t>La competencia sobre ferrocarriles se encuentra también íntimamente relacionada con la competencia sobre obras públicas de interés general, la cual sí entra en juego a la hora de enjuiciar la constitucionalidad de la Orden FOM/710/2015 pues, como señalamos en la STC 118/1996, FJ 43, citada luego en la STC 245/2012, FJ 4: “la construcción de ferrocarriles de transporte público entra de lleno en la noción de obra pública, por cuanto es de general uso y aprovechamiento, y está destinada a un servicio público”. Asimismo, la STC 65/1998, FJ 8, en referencia a las carreteras, pero con afirmaciones trasladables a la red ferroviaria, declaró que “la Constitución no impone una interpretación que relegue el título relativo a las obras públicas a su mera construcción o financiación y que no permita comprender...la 'planificación, proyección, construcción, conservación, financiación, uso y explotación de las carreteras estatales', cuestiones todas ellas íntimamente vinculadas a la obra pública”.</w:t>
      </w:r>
    </w:p>
    <w:p w:rsidR="00163957" w:rsidRDefault="00163957" w:rsidP="00163957">
      <w:pPr>
        <w:pStyle w:val="TextoNormal"/>
      </w:pPr>
    </w:p>
    <w:p w:rsidR="00163957" w:rsidRDefault="00163957" w:rsidP="00163957">
      <w:pPr>
        <w:pStyle w:val="TextoNormal"/>
      </w:pPr>
      <w:r>
        <w:t>Hemos pues de recordar, siquiera brevemente, la doctrina constitucional relativa a los títulos competenciales de los apartados 21 y 24 del art. 149.1 CE, la cual se recoge en la STC 245/2012, de reiterada cita (FJ 4), en los términos siguientes:</w:t>
      </w:r>
    </w:p>
    <w:p w:rsidR="00163957" w:rsidRDefault="00163957" w:rsidP="00163957">
      <w:pPr>
        <w:pStyle w:val="TextoNormal"/>
      </w:pPr>
    </w:p>
    <w:p w:rsidR="00163957" w:rsidRDefault="00163957" w:rsidP="00163957">
      <w:pPr>
        <w:pStyle w:val="TextoNormal"/>
      </w:pPr>
      <w:r>
        <w:t>“[E]l punto de partida se sitúa en el hecho de que en el art. 149.1.21 CE y en los preceptos correspondientes de los Estatutos de Autonomía, el criterio territorial se configura como elemento esencial en el sistema de distribución de competencias sobre ferrocarriles, ya que los preceptos citados toman como punto de referencia central el desarrollo de los itinerarios, atendiendo a si transcurren o no íntegramente en el territorio de las Comunidades Autónomas (STC 118/1996, FFJJ 43 a 45). No obstante, los mencionados preceptos no son el único título competencial aplicable a las infraestructuras ferroviarias ya que el criterio del interés general concurre en esta materia asociado con los conceptos de obra pública y de servicio público... Así pues, el criterio esencial para resolver las impugnaciones planteadas ha de ser el criterio territorial, en su caso complementado y modulado por el del interés general. Ello impone la necesidad de someter las normas legales cuestionadas por las Comunidades Autónomas a un doble canon sucesivamente, el de territorialidad y el del interés general, en el entendimiento de que el criterio del interés general complementa y modula el puramente territorial pero sin excluirlo de forma sustancial... En definitiva, el objeto de las competencias autonómicas sobre ferrocarriles debe ser acotado por la concurrencia de una doble condición: se trata de tramos o partes de las vías férreas que, aunque nazcan o mueran fuera de la Comunidad en su itinerario total, discurren dentro de la Comunidad (condición positiva), siempre que el tramo en cuestión no forme parte de una infraestructura ferroviaria considerada de interés general por el Estado (condición negativa)”.</w:t>
      </w:r>
    </w:p>
    <w:p w:rsidR="00163957" w:rsidRDefault="00163957" w:rsidP="00163957">
      <w:pPr>
        <w:pStyle w:val="TextoNormal"/>
      </w:pPr>
    </w:p>
    <w:p w:rsidR="00163957" w:rsidRDefault="00163957" w:rsidP="00163957">
      <w:pPr>
        <w:pStyle w:val="TextoNormal"/>
      </w:pPr>
      <w:r>
        <w:t>A partir de las consideraciones expuestas, nuestra doctrina sobre el criterio del interés general en relación con la competencia estatal sobre las infraestructuras ferroviarias, partiendo de la precitada STC 245/2012 y de la posterior STC 83/2013, de 11 de abril, en la que resolvimos el conflicto positivo de competencia formulado por la Junta de Andalucía contra varios artículos del Reglamento del sector ferroviario, se puede resumir, en lo que ahora interesa, como sigue:</w:t>
      </w:r>
    </w:p>
    <w:p w:rsidR="00163957" w:rsidRDefault="00163957" w:rsidP="00163957">
      <w:pPr>
        <w:pStyle w:val="TextoNormal"/>
      </w:pPr>
    </w:p>
    <w:p w:rsidR="00163957" w:rsidRDefault="00163957" w:rsidP="00163957">
      <w:pPr>
        <w:pStyle w:val="TextoNormal"/>
      </w:pPr>
      <w:r>
        <w:t>a) Desde el punto de vista competencial, no hay nada que objetar a que el Estado establezca y regule una red de ferrocarriles de interés general (SSTC 118/1996; 245/2012, FFJJ 9, 10).</w:t>
      </w:r>
    </w:p>
    <w:p w:rsidR="00163957" w:rsidRDefault="00163957" w:rsidP="00163957">
      <w:pPr>
        <w:pStyle w:val="TextoNormal"/>
      </w:pPr>
    </w:p>
    <w:p w:rsidR="00163957" w:rsidRDefault="00163957" w:rsidP="00163957">
      <w:pPr>
        <w:pStyle w:val="TextoNormal"/>
      </w:pPr>
      <w:r>
        <w:t>b) En dicha red de ferrocarriles de interés general cabe integrar infraestructuras que se consideren esenciales para garantizar un sistema común de transporte ferroviario en todo el territorio del Estado, o cuya administración conjunta sea necesaria para el correcto funcionamiento de dicho sistema. Entre ellas, las que sirvan de conexión o acceso a los principales núcleos de población y de transporte, o a instalaciones esenciales para la economía o defensa nacional, como los puertos y aeropuertos de interés general (STC 245/2012, FJ 10).</w:t>
      </w:r>
    </w:p>
    <w:p w:rsidR="00163957" w:rsidRDefault="00163957" w:rsidP="00163957">
      <w:pPr>
        <w:pStyle w:val="TextoNormal"/>
      </w:pPr>
    </w:p>
    <w:p w:rsidR="00163957" w:rsidRDefault="00163957" w:rsidP="00163957">
      <w:pPr>
        <w:pStyle w:val="TextoNormal"/>
      </w:pPr>
      <w:r>
        <w:t>c) En cambio, es inconstitucional, por vulnerar los criterios de delimitación competencial en materia de ferrocarriles recogidos en los arts. 149.1.21 y 149.1.24 CE, la definición de la red de ferrocarriles de interés general a partir de un criterio subjetivo consistente en integrar en la misma las infraestructuras explotadas hasta ese momento por determinados órganos estatales (STC 245/2012, FJ 10).</w:t>
      </w:r>
    </w:p>
    <w:p w:rsidR="00163957" w:rsidRDefault="00163957" w:rsidP="00163957">
      <w:pPr>
        <w:pStyle w:val="TextoNormal"/>
      </w:pPr>
    </w:p>
    <w:p w:rsidR="00163957" w:rsidRDefault="00163957" w:rsidP="00163957">
      <w:pPr>
        <w:pStyle w:val="TextoNormal"/>
      </w:pPr>
      <w:r>
        <w:t>d) Puesto que el constituyente no ha precisado qué deba entenderse por obras públicas de interés general, sin que pueda darse a la expresión un sentido unívoco, los órganos estatales (y muy singularmente el legislador) disponen de un margen de libertad para determinar los supuestos en que concurren las circunstancias que permiten calificar una infraestructura de interés general (SSTC 65/1998, FJ 10, y 245/2012, FJ 4) siendo así que, los límites del legislador a este respecto, deben extraerse, en primer lugar, del propio bloque de constitucionalidad (STC 65/1998, FJ 11, y 245/2012, FJ 4).</w:t>
      </w:r>
    </w:p>
    <w:p w:rsidR="00163957" w:rsidRDefault="00163957" w:rsidP="00163957">
      <w:pPr>
        <w:pStyle w:val="TextoNormal"/>
      </w:pPr>
    </w:p>
    <w:p w:rsidR="00163957" w:rsidRDefault="00163957" w:rsidP="00163957">
      <w:pPr>
        <w:pStyle w:val="TextoNormal"/>
      </w:pPr>
      <w:r>
        <w:t xml:space="preserve">e) A este Tribunal le corresponde solo un control externo, en el sentido de que su intervención se limita a determinar si se han transgredido los márgenes dentro de los cuales los órganos del Estado pueden actuar con libertad. El control del Tribunal se realiza </w:t>
      </w:r>
      <w:r w:rsidRPr="00163957">
        <w:rPr>
          <w:i/>
        </w:rPr>
        <w:t>a posteriori</w:t>
      </w:r>
      <w:r>
        <w:t xml:space="preserve"> de forma que, una vez producida la integración en la red de ferrocarriles de interés general, si así lo insta la Comunidad Autónoma afectada, se tendrá que enjuiciar la concreta decisión en comparación con el orden constitucional de competencias (SSTC 40/1998, FJ 19; 65/1998, FJ 10; 245/2012, FFJJ 4, 10, y 85/2013, FJ 4).</w:t>
      </w:r>
    </w:p>
    <w:p w:rsidR="00163957" w:rsidRDefault="00163957" w:rsidP="00163957">
      <w:pPr>
        <w:pStyle w:val="TextoNormal"/>
      </w:pPr>
    </w:p>
    <w:p w:rsidR="00163957" w:rsidRDefault="00163957" w:rsidP="00163957">
      <w:pPr>
        <w:pStyle w:val="TextoNormal"/>
      </w:pPr>
      <w:r>
        <w:t>f) La facultad del Estado de inclusión de nuevas infraestructuras ferroviarias en la red de ferrocarriles de interés general se extiende a las que, considerándose de interés general, discurran íntegramente por el territorio de una sola Comunidad Autónoma aunque, si no tienen conexión física con el resto de la red (aunque tengan con ella conexión funcional), se exige el previo consentimiento autonómico. Si existe conexión física, pueden quedar integradas en la red de ferrocarriles de interés general por decisión del Ministerio de Fomento, previo informe de la Comunidad Autónoma (SSTC 245/2012, FJ 10, y 85/2013, FJ 4).</w:t>
      </w:r>
    </w:p>
    <w:p w:rsidR="00163957" w:rsidRDefault="00163957" w:rsidP="00163957">
      <w:pPr>
        <w:pStyle w:val="TextoNormal"/>
      </w:pPr>
    </w:p>
    <w:p w:rsidR="00163957" w:rsidRDefault="00163957" w:rsidP="00163957">
      <w:pPr>
        <w:pStyle w:val="TextoNormal"/>
      </w:pPr>
      <w:r>
        <w:t xml:space="preserve">En cuanto al art. 149.1.13 CE, que se invoca también por el Abogado del Estado como fundamento de la Orden FOM/710/2015, en la STC 245/2012, FJ 8, dijimos que “la formulación de una finalidad genérica o abstracta como la enunciada en el art. 2 a) LSF —‘garantizar un sistema común ferroviario en el territorio del Estado’— encuentra fundamento suficiente en la competencia estatal </w:t>
      </w:r>
      <w:r w:rsidRPr="00163957">
        <w:rPr>
          <w:i/>
        </w:rPr>
        <w:t>ex</w:t>
      </w:r>
      <w:r>
        <w:t xml:space="preserve"> art. 149.1.13 CE”. Ello no obstante, siendo más específicos los títulos de los apartados 21 y 24 del art. 149.1 CE, a los efectos del presente conflicto, centraremos en ellos nuestro análisis.</w:t>
      </w:r>
    </w:p>
    <w:p w:rsidR="00163957" w:rsidRDefault="00163957" w:rsidP="00163957">
      <w:pPr>
        <w:pStyle w:val="TextoNormal"/>
      </w:pPr>
    </w:p>
    <w:p w:rsidR="00163957" w:rsidRDefault="00163957" w:rsidP="00163957">
      <w:pPr>
        <w:pStyle w:val="TextoNormal"/>
      </w:pPr>
      <w:r w:rsidRPr="00163957">
        <w:rPr>
          <w:rStyle w:val="NumeroAFNegritaCaracter"/>
        </w:rPr>
        <w:t>4</w:t>
      </w:r>
      <w:r>
        <w:t>. Una vez sintetizada la doctrina constitucional relativa a los títulos competenciales aplicables al caso, procede hacer referencia al tenor de la norma impugnada y a la LSF 2015.</w:t>
      </w:r>
    </w:p>
    <w:p w:rsidR="00163957" w:rsidRDefault="00163957" w:rsidP="00163957">
      <w:pPr>
        <w:pStyle w:val="TextoNormal"/>
      </w:pPr>
    </w:p>
    <w:p w:rsidR="00163957" w:rsidRDefault="00163957" w:rsidP="00163957">
      <w:pPr>
        <w:pStyle w:val="TextoNormal"/>
      </w:pPr>
      <w:r>
        <w:t>El apartado primero de la Orden FOM/710/2015 explica el contenido de su anexo (en el que se incluyen las líneas objeto de este conflicto a las que nos referiremos más adelante) señalando, en lo que ahora interesa, lo siguiente:</w:t>
      </w:r>
    </w:p>
    <w:p w:rsidR="00163957" w:rsidRDefault="00163957" w:rsidP="00163957">
      <w:pPr>
        <w:pStyle w:val="TextoNormal"/>
      </w:pPr>
    </w:p>
    <w:p w:rsidR="00163957" w:rsidRDefault="00163957" w:rsidP="00163957">
      <w:pPr>
        <w:pStyle w:val="TextoNormal"/>
      </w:pPr>
      <w:r>
        <w:t>“El Catálogo de líneas y tramos de la Red Ferroviaria de Interés General, detallado en el anexo que se acompaña a esta orden, está integrado por tres bloques diferentes de líneas y tramos:</w:t>
      </w:r>
    </w:p>
    <w:p w:rsidR="00163957" w:rsidRDefault="00163957" w:rsidP="00163957">
      <w:pPr>
        <w:pStyle w:val="TextoNormal"/>
      </w:pPr>
    </w:p>
    <w:p w:rsidR="00163957" w:rsidRDefault="00163957" w:rsidP="00163957">
      <w:pPr>
        <w:pStyle w:val="TextoNormal"/>
      </w:pPr>
      <w:r>
        <w:t>1. Conjunto de líneas y tramos que garantizan un sistema común de transporte ferroviario y cuya administración conjunta resulta necesaria para su correcto funcionamiento.</w:t>
      </w:r>
    </w:p>
    <w:p w:rsidR="00163957" w:rsidRDefault="00163957" w:rsidP="00163957">
      <w:pPr>
        <w:pStyle w:val="TextoNormal"/>
      </w:pPr>
    </w:p>
    <w:p w:rsidR="00163957" w:rsidRDefault="00163957" w:rsidP="00163957">
      <w:pPr>
        <w:pStyle w:val="TextoNormal"/>
      </w:pPr>
      <w:r>
        <w:t>Se incluyen en este grupo las vinculadas a los itinerarios de tráfico internacional, las que enlazan distintas Comunidades Autónomas y sus conexiones y accesos a los principales núcleos de población y de transporte o a instalaciones esenciales para la economía o la defensa nacional. No se consideran en este bloque las redes portuarias y sus accesos.</w:t>
      </w:r>
    </w:p>
    <w:p w:rsidR="00163957" w:rsidRDefault="00163957" w:rsidP="00163957">
      <w:pPr>
        <w:pStyle w:val="TextoNormal"/>
      </w:pPr>
    </w:p>
    <w:p w:rsidR="00163957" w:rsidRDefault="00163957" w:rsidP="00163957">
      <w:pPr>
        <w:pStyle w:val="TextoNormal"/>
      </w:pPr>
      <w:r>
        <w:t>Se agrupan tramos y subtramos de diversa longitud, según los casos, de manera que se presentan itinerarios completos de la red, en la mayoría de los casos coincidentes con la denominación comúnmente utilizada. En cada uno de estos itinerarios se consideran incluidos aquellos pequeños tramos que aunque no tienen una función principal en el sistema de transporte, como conexiones, accesos a apartaderos y otros, son asimismo necesarios para el buen funcionamiento global del sistema.</w:t>
      </w:r>
    </w:p>
    <w:p w:rsidR="00163957" w:rsidRDefault="00163957" w:rsidP="00163957">
      <w:pPr>
        <w:pStyle w:val="TextoNormal"/>
      </w:pPr>
    </w:p>
    <w:p w:rsidR="00163957" w:rsidRDefault="00163957" w:rsidP="00163957">
      <w:pPr>
        <w:pStyle w:val="TextoNormal"/>
      </w:pPr>
      <w:r>
        <w:t>Los grandes ejes se codifican con dos dígitos a los que se agregan tres dígitos más para codificar los diferentes tramos que los componen:</w:t>
      </w:r>
    </w:p>
    <w:p w:rsidR="00163957" w:rsidRDefault="00163957" w:rsidP="00163957">
      <w:pPr>
        <w:pStyle w:val="TextoNormal"/>
      </w:pPr>
    </w:p>
    <w:p w:rsidR="00163957" w:rsidRDefault="00163957" w:rsidP="00163957">
      <w:pPr>
        <w:pStyle w:val="TextoNormal"/>
      </w:pPr>
      <w:r>
        <w:t>01-Madrid Chamartín-Irún/Hendaya.</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08-Red de Ancho Métrico (excepto línea Cercedilla-Los Cotos).</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2. Redes portuarias y accesos.</w:t>
      </w:r>
    </w:p>
    <w:p w:rsidR="00163957" w:rsidRDefault="00163957" w:rsidP="00163957">
      <w:pPr>
        <w:pStyle w:val="TextoNormal"/>
      </w:pPr>
    </w:p>
    <w:p w:rsidR="00163957" w:rsidRDefault="00163957" w:rsidP="00163957">
      <w:pPr>
        <w:pStyle w:val="TextoNormal"/>
      </w:pPr>
      <w:r>
        <w:t>Se incluyen las redes situadas en el interior de los puertos así como los tramos de acceso exteriores a las mismas que cumplen únicamente con esa función.</w:t>
      </w:r>
    </w:p>
    <w:p w:rsidR="00163957" w:rsidRDefault="00163957" w:rsidP="00163957">
      <w:pPr>
        <w:pStyle w:val="TextoNormal"/>
      </w:pPr>
    </w:p>
    <w:p w:rsidR="00163957" w:rsidRDefault="00163957" w:rsidP="00163957">
      <w:pPr>
        <w:pStyle w:val="TextoNormal"/>
      </w:pPr>
      <w:r>
        <w:t>El código que se ha asignado está formado por el siguiente esquema: la letra P seguida de tres dígitos…</w:t>
      </w:r>
    </w:p>
    <w:p w:rsidR="00163957" w:rsidRDefault="00163957" w:rsidP="00163957">
      <w:pPr>
        <w:pStyle w:val="TextoNormal"/>
      </w:pPr>
    </w:p>
    <w:p w:rsidR="00163957" w:rsidRDefault="00163957" w:rsidP="00163957">
      <w:pPr>
        <w:pStyle w:val="TextoNormal"/>
      </w:pPr>
      <w:r>
        <w:t>3 …</w:t>
      </w:r>
    </w:p>
    <w:p w:rsidR="00163957" w:rsidRDefault="00163957" w:rsidP="00163957">
      <w:pPr>
        <w:pStyle w:val="TextoNormal"/>
      </w:pPr>
    </w:p>
    <w:p w:rsidR="00163957" w:rsidRDefault="00163957" w:rsidP="00163957">
      <w:pPr>
        <w:pStyle w:val="TextoNormal"/>
      </w:pPr>
      <w:r>
        <w:t>Todas las líneas y tramos de estos tres bloques han sido analizados pormenorizadamente para comprobar que en la actualidad cumplen los requisitos previstos en el artículo 4 de la ley del Sector Ferroviario. También se ha tenido en cuenta la posible existencia de actuaciones previstas en la planificación ferroviaria, que imponen la necesidad de mantener un determinado tramo en la RFIG, así como la conveniencia de contemplar ciertos tramos en el análisis para reflejar adecuadamente el sentido económico del conjunto y asegurar la racionalidad de la red ferroviaria...”</w:t>
      </w:r>
    </w:p>
    <w:p w:rsidR="00163957" w:rsidRDefault="00163957" w:rsidP="00163957">
      <w:pPr>
        <w:pStyle w:val="TextoNormal"/>
      </w:pPr>
    </w:p>
    <w:p w:rsidR="00163957" w:rsidRDefault="00163957" w:rsidP="00163957">
      <w:pPr>
        <w:pStyle w:val="TextoNormal"/>
      </w:pPr>
      <w:r>
        <w:t>El preámbulo de la Orden FOM/710/2015, por su parte, tras aludir a los antecedentes legislativos y a la STC 245/2012, hace algunas precisiones. Por ejemplo, resalta que, las líneas y tramos incluidos en el catálogo “mantienen entre sí una clara relación funcional ferroviaria, de manera que las acciones, que pueden llevarse a cabo en cada uno de dichos tramos, muestran efectos de diverso alcance en el resto”.</w:t>
      </w:r>
    </w:p>
    <w:p w:rsidR="00163957" w:rsidRDefault="00163957" w:rsidP="00163957">
      <w:pPr>
        <w:pStyle w:val="TextoNormal"/>
      </w:pPr>
    </w:p>
    <w:p w:rsidR="00163957" w:rsidRDefault="00163957" w:rsidP="00163957">
      <w:pPr>
        <w:pStyle w:val="TextoNormal"/>
      </w:pPr>
      <w:r>
        <w:t>La motivación de la inclusión en el catálogo de las líneas y tramos objeto de este conflicto competencial, se completa además, según se refleja en los antecedentes de esta sentencia, en el acuerdo del Consejo de Ministros de 17 de julio de 2015, que contestó al requerimiento de incompetencia formulado por la Comunidad Autónoma del País Vasco, así como en el informe del Ministerio de Fomento, de noviembre de 2015, que acompaña el Abogado del Estado con su escrito de alegaciones.</w:t>
      </w:r>
    </w:p>
    <w:p w:rsidR="00163957" w:rsidRDefault="00163957" w:rsidP="00163957">
      <w:pPr>
        <w:pStyle w:val="TextoNormal"/>
      </w:pPr>
    </w:p>
    <w:p w:rsidR="00163957" w:rsidRDefault="00163957" w:rsidP="00163957">
      <w:pPr>
        <w:pStyle w:val="TextoNormal"/>
      </w:pPr>
      <w:r>
        <w:t>En cuanto a la LSF 2015, no impugnada ante este Tribunal, de su preámbulo resulta que su objetivo principal es la incorporación al ordenamiento español de nuevas normas comunitarias relativas al establecimiento de un espacio ferroviario europeo único, con importantes novedades en aspectos tales como la regulación del transporte ferroviario. Según su disposición final quinta, la ley se dicta al amparo de lo dispuesto en el art. 149.1.13, 21 y 24 CE. El mismo preámbulo legal, al adelantar que el título II de la Ley define el concepto de red de ferrocarriles de interés general, afirma que, sobre ella: “el Estado ejerce competencias plenas”.</w:t>
      </w:r>
    </w:p>
    <w:p w:rsidR="00163957" w:rsidRDefault="00163957" w:rsidP="00163957">
      <w:pPr>
        <w:pStyle w:val="TextoNormal"/>
      </w:pPr>
    </w:p>
    <w:p w:rsidR="00163957" w:rsidRDefault="00163957" w:rsidP="00163957">
      <w:pPr>
        <w:pStyle w:val="TextoNormal"/>
      </w:pPr>
      <w:r>
        <w:t>En lo que ahora interesa, la LSF 2015, recoge una definición de la red de ferrocarriles de interés general que no varía respecto de la recogida en la Ley del sector ferroviario de 2003, bajo cuya vigencia se dictó la Orden FOM/710/2015. Así, el art. 4 LSF 2015, en sus apartados 1 y 2, contiene una regulación prácticamente idéntica a la del art. 4.1 y 2 LSF 2003 (cuya inconstitucionalidad fue rechazada en la STC 245/2012) sobre la definición de las infraestructuras que se integran en la red de ferrocarriles de interés general (art. 4.1 de ambas normas) y la competencia del Ministro de Fomento para acordar en cada momento la inclusión de nuevas infraestructuras en dicha red (art. 4.2, párrafo primero de las dos leyes). Por lo demás, el art. 4 LSF 2015, incluye nuevos apartados relativos al catálogo de infraestructuras de la red de ferrocarriles de interés general que, en la LSF 2003, se regulaba en la disposición adicional novena.</w:t>
      </w:r>
    </w:p>
    <w:p w:rsidR="00163957" w:rsidRDefault="00163957" w:rsidP="00163957">
      <w:pPr>
        <w:pStyle w:val="TextoNormal"/>
      </w:pPr>
    </w:p>
    <w:p w:rsidR="00163957" w:rsidRDefault="00163957" w:rsidP="00163957">
      <w:pPr>
        <w:pStyle w:val="TextoNormal"/>
      </w:pPr>
      <w:r>
        <w:t>El tenor de los apartados del art. 4 LSF 2015 más relevantes a efectos de este conflicto, es el siguiente:</w:t>
      </w:r>
    </w:p>
    <w:p w:rsidR="00163957" w:rsidRDefault="00163957" w:rsidP="00163957">
      <w:pPr>
        <w:pStyle w:val="TextoNormal"/>
      </w:pPr>
    </w:p>
    <w:p w:rsidR="00163957" w:rsidRDefault="00163957" w:rsidP="00163957">
      <w:pPr>
        <w:pStyle w:val="TextoNormal"/>
      </w:pPr>
      <w:r>
        <w:t>“1. La Red Ferroviaria de Interés General está integrada por las infraestructuras ferroviarias que resulten esenciales para garantizar un sistema común de transporte ferroviario en todo el territorio del Estado o cuya administración conjunta resulte necesaria para el correcto funcionamiento de tal sistema común de transporte, como las vinculadas a los itinerarios de tráfico internacional, las que enlacen las distintas comunidades autónomas y sus conexiones y accesos a los principales núcleos de población y de transporte o a instalaciones esenciales para la economía o la defensa nacional.</w:t>
      </w:r>
    </w:p>
    <w:p w:rsidR="00163957" w:rsidRDefault="00163957" w:rsidP="00163957">
      <w:pPr>
        <w:pStyle w:val="TextoNormal"/>
      </w:pPr>
    </w:p>
    <w:p w:rsidR="00163957" w:rsidRDefault="00163957" w:rsidP="00163957">
      <w:pPr>
        <w:pStyle w:val="TextoNormal"/>
      </w:pPr>
      <w:r>
        <w:t>2. Corresponde al Ministro de Fomento acordar, en cada momento, la inclusión, en la Red Ferroviaria de Interés General, de nuevas infraestructuras ferroviarias cuando razones de interés general así lo justifiquen, previo informe de las comunidades autónomas afectadas.</w:t>
      </w:r>
    </w:p>
    <w:p w:rsidR="00163957" w:rsidRDefault="00163957" w:rsidP="00163957">
      <w:pPr>
        <w:pStyle w:val="TextoNormal"/>
      </w:pPr>
    </w:p>
    <w:p w:rsidR="00163957" w:rsidRDefault="00163957" w:rsidP="00163957">
      <w:pPr>
        <w:pStyle w:val="TextoNormal"/>
      </w:pPr>
      <w:r>
        <w:t>Si la infraestructura ferroviaria que se pretenda incluir en la Red Ferroviaria de Interés General discurriera, íntegramente, por el territorio de una sola comunidad autónoma y sin conexión con el resto de la red o fuera titularidad de la comunidad autónoma, será necesario para tal inclusión su previo consentimiento.</w:t>
      </w:r>
    </w:p>
    <w:p w:rsidR="00163957" w:rsidRDefault="00163957" w:rsidP="00163957">
      <w:pPr>
        <w:pStyle w:val="TextoNormal"/>
      </w:pPr>
    </w:p>
    <w:p w:rsidR="00163957" w:rsidRDefault="00163957" w:rsidP="00163957">
      <w:pPr>
        <w:pStyle w:val="TextoNormal"/>
      </w:pPr>
      <w:r>
        <w:t>...</w:t>
      </w:r>
    </w:p>
    <w:p w:rsidR="00163957" w:rsidRDefault="00163957" w:rsidP="00163957">
      <w:pPr>
        <w:pStyle w:val="TextoNormal"/>
      </w:pPr>
    </w:p>
    <w:p w:rsidR="00163957" w:rsidRDefault="00163957" w:rsidP="00163957">
      <w:pPr>
        <w:pStyle w:val="TextoNormal"/>
      </w:pPr>
      <w:r>
        <w:t>4. Todas las infraestructuras ferroviarias que formen parte de la Red Ferroviaria de Interés General se incluirán en el Catálogo de infraestructuras ferroviarias de la Red Ferroviaria de Interés General, en el que se relacionarán las líneas y tramos conforme a un código oficial, expresando asimismo su origen y destino y una breve referencia a sus características técnicas, así como las estaciones de transporte de viajeros y las terminales de transporte de mercancías.</w:t>
      </w:r>
    </w:p>
    <w:p w:rsidR="00163957" w:rsidRDefault="00163957" w:rsidP="00163957">
      <w:pPr>
        <w:pStyle w:val="TextoNormal"/>
      </w:pPr>
    </w:p>
    <w:p w:rsidR="00163957" w:rsidRDefault="00163957" w:rsidP="00163957">
      <w:pPr>
        <w:pStyle w:val="TextoNormal"/>
      </w:pPr>
      <w:r>
        <w:t>En todo caso, para la determinación o modificación del catálogo deberán ser oídas las comunidades autónomas por las que discurran las correspondientes líneas o tramos ferroviarios...”</w:t>
      </w:r>
    </w:p>
    <w:p w:rsidR="00163957" w:rsidRDefault="00163957" w:rsidP="00163957">
      <w:pPr>
        <w:pStyle w:val="TextoNormal"/>
      </w:pPr>
    </w:p>
    <w:p w:rsidR="00163957" w:rsidRDefault="00163957" w:rsidP="00163957">
      <w:pPr>
        <w:pStyle w:val="TextoNormal"/>
      </w:pPr>
      <w:r>
        <w:t>La LSF 2015 reconoce expresamente la coexistencia de la red de ferrocarriles de interés general con infraestructuras ferroviarias de titularidad autonómica, disponiendo al efecto, en el art. 4.6, que “el Estado y las comunidades autónomas con infraestructuras ferroviarias de su titularidad cooperarán para facilitar la conexión entre estas infraestructuras ferroviarias y la Red Ferroviaria de Interés General, fomentando la interoperabilidad entre las diferentes redes”.</w:t>
      </w:r>
    </w:p>
    <w:p w:rsidR="00163957" w:rsidRDefault="00163957" w:rsidP="00163957">
      <w:pPr>
        <w:pStyle w:val="TextoNormal"/>
      </w:pPr>
    </w:p>
    <w:p w:rsidR="00163957" w:rsidRDefault="00163957" w:rsidP="00163957">
      <w:pPr>
        <w:pStyle w:val="TextoNormal"/>
      </w:pPr>
      <w:r>
        <w:t>Por su parte, el art. 19 LSF 2015, define el contenido y alcance de la administración de las infraestructuras ferroviarias integradas en la red de ferrocarriles de interés general, señalando que “tiene por objeto el mantenimiento y la explotación de aquellas, así como también la gestión de su sistema de control, de circulación y de seguridad” y que “no podrá encomendarse a terceros la realización de funciones inherentes a la gestión del sistema de control, de circulación y de seguridad”.</w:t>
      </w:r>
    </w:p>
    <w:p w:rsidR="00163957" w:rsidRDefault="00163957" w:rsidP="00163957">
      <w:pPr>
        <w:pStyle w:val="TextoNormal"/>
      </w:pPr>
    </w:p>
    <w:p w:rsidR="00163957" w:rsidRDefault="00163957" w:rsidP="00163957">
      <w:pPr>
        <w:pStyle w:val="TextoNormal"/>
      </w:pPr>
      <w:r w:rsidRPr="00163957">
        <w:rPr>
          <w:rStyle w:val="NumeroAFNegritaCaracter"/>
        </w:rPr>
        <w:t>5</w:t>
      </w:r>
      <w:r>
        <w:t xml:space="preserve">. Dicho todo lo anterior, como resulta de las alegaciones de las partes que hemos sintetizado </w:t>
      </w:r>
      <w:r w:rsidRPr="00163957">
        <w:rPr>
          <w:i/>
        </w:rPr>
        <w:t>ut supra</w:t>
      </w:r>
      <w:r>
        <w:t>, en el presente conflicto competencial, se aprecian dos circunstancias que obligan a deslindar, ya desde ahora, el objeto del debate planteado.</w:t>
      </w:r>
    </w:p>
    <w:p w:rsidR="00163957" w:rsidRDefault="00163957" w:rsidP="00163957">
      <w:pPr>
        <w:pStyle w:val="TextoNormal"/>
      </w:pPr>
    </w:p>
    <w:p w:rsidR="00163957" w:rsidRDefault="00163957" w:rsidP="00163957">
      <w:pPr>
        <w:pStyle w:val="TextoNormal"/>
      </w:pPr>
      <w:r>
        <w:t>Por una parte, si bien los argumentos expuestos se esgrimen frente a la Orden FOM/710/2015 en su conjunto, el suplico de la demanda, que delimita la pretensión que se ejerce, solo pide que se declare que la titularidad de la competencia controvertida sobre las líneas singularizadas mediante los códigos 01-720, 01-722, 01-724, 08-782 y 08-784, 08-780 y 08-790, corresponde a la Comunidad Autónoma del País Vasco: “acordando la nulidad de la Orden FOM/710/2015, en lo que los tramos y líneas señaladas afecta, por estar viciado de incompetencia” y que “se ordene su incorporación al Anexo de tramos y líneas transferibles a las Comunidades Autónomas que debe incorporar la Orden ministerial objeto de este conflicto”.</w:t>
      </w:r>
    </w:p>
    <w:p w:rsidR="00163957" w:rsidRDefault="00163957" w:rsidP="00163957">
      <w:pPr>
        <w:pStyle w:val="TextoNormal"/>
      </w:pPr>
    </w:p>
    <w:p w:rsidR="00163957" w:rsidRDefault="00163957" w:rsidP="00163957">
      <w:pPr>
        <w:pStyle w:val="TextoNormal"/>
      </w:pPr>
      <w:r>
        <w:t>Por tanto, no procede examinar la parte dispositiva de la orden pues, aunque en la demanda se alude a la inclusión en ella de criterios de conveniencia no recogidos en la Ley del sector ferroviario, no se solicita luego su anulación, ni se extrae de esta argumentación conclusión específica alguna en relación con las líneas controvertidas. Como ha reiterado nuestra doctrina (por todas, SSTC 48/2013, FJ 2 y 207/2012, FJ 2) “el enjuiciamiento que se solicita de este Tribunal debe contraerse exclusivamente a los preceptos que se contienen en el suplico de la demanda del conflicto”.</w:t>
      </w:r>
    </w:p>
    <w:p w:rsidR="00163957" w:rsidRDefault="00163957" w:rsidP="00163957">
      <w:pPr>
        <w:pStyle w:val="TextoNormal"/>
      </w:pPr>
    </w:p>
    <w:p w:rsidR="00163957" w:rsidRDefault="00163957" w:rsidP="00163957">
      <w:pPr>
        <w:pStyle w:val="TextoNormal"/>
      </w:pPr>
      <w:r>
        <w:t>La misma conclusión se alcanza respecto de la alegación relativa a la supuesta omisión en la Orden FOM/710/2015 de un segundo anexo sobre líneas y tramos transferibles a las Comunidades Autónomas que, a juicio de la recurrente, debiera incluir, por establecerlo así la LSF 2003. Nuestro análisis debe centrarse en la delimitación competencial en este ámbito y no en la forma o documentación en que deba plasmarse la misma.</w:t>
      </w:r>
    </w:p>
    <w:p w:rsidR="00163957" w:rsidRDefault="00163957" w:rsidP="00163957">
      <w:pPr>
        <w:pStyle w:val="TextoNormal"/>
      </w:pPr>
    </w:p>
    <w:p w:rsidR="00163957" w:rsidRDefault="00163957" w:rsidP="00163957">
      <w:pPr>
        <w:pStyle w:val="TextoNormal"/>
      </w:pPr>
      <w:r w:rsidRPr="00163957">
        <w:rPr>
          <w:rStyle w:val="NumeroAFNegritaCaracter"/>
        </w:rPr>
        <w:t>6</w:t>
      </w:r>
      <w:r>
        <w:t>. La controversia que subyace en este procedimiento, según se ha expuesto, se refiere a la interpretación de los títulos competenciales de los apartados 21 y 24 del art. 149.1 CE y art. 10. 32 y 33 del Estatuto de Autonomía para el País Vasco en relación con el art. 148.1.5 CE.</w:t>
      </w:r>
    </w:p>
    <w:p w:rsidR="00163957" w:rsidRDefault="00163957" w:rsidP="00163957">
      <w:pPr>
        <w:pStyle w:val="TextoNormal"/>
      </w:pPr>
    </w:p>
    <w:p w:rsidR="00163957" w:rsidRDefault="00163957" w:rsidP="00163957">
      <w:pPr>
        <w:pStyle w:val="TextoNormal"/>
      </w:pPr>
      <w:r>
        <w:t xml:space="preserve">La Comunidad Autónoma del País Vasco sostiene que, de los citados preceptos del bloque de constitucionalidad y de la doctrina constitucional aplicable al caso, resulta la competencia autonómica sobre los itinerarios férreos intraautonómicos y también sobre los supraautonómicos puesto que, el adverbio “íntegramente” del art. 148.1.5 CE, se ha interpretado por este Tribunal de forma laxa. El criterio del interés general del art. 149.1.24 CE serviría en esta interpretación para modular el criterio territorial entendido en la forma expuesta. De esta manera, solo por razones de interés general, se podría incluir una determinada línea o tramo de itinerario intracomunitario en la red de ferrocarriles de interés general y, solo por estas mismas razones, podría el Estado asumir competencias sobre los tramos de infraestructuras de itinerario supraautonómico que transcurran o pasen por el territorio de una Comunidad Autónoma. Además, siempre según la Comunidad Autónoma del País Vasco, el criterio del interés general del art. 149.1.24 CE, a partir de los principios de cooperación y coordinación entre Administraciones Públicas, no puede ser invocado para modular el criterio territorial si las Comunidades Autónomas poseen instrumentos adecuados para garantizar la interoperabilidad y la interconexión con la red de ferrocarriles de interés general ya que, éstas últimas, son las finalidades que dicho criterio trata de garantizar y el mismo tiene un carácter excepcional. Aplicar el criterio del interés general a otros supuestos supone, según la Comunidad Autónoma del País Vasco, hacer una interpretación extensiva del mismo que vacía las competencias autonómicas y conlleva de </w:t>
      </w:r>
      <w:r w:rsidRPr="00163957">
        <w:rPr>
          <w:i/>
        </w:rPr>
        <w:t>facto</w:t>
      </w:r>
      <w:r>
        <w:t xml:space="preserve"> el mantenimiento del criterio subjetivo, que asocia dicho interés general a las líneas y tramos que venía administrando anteriormente el Estado, el cual fue anulado por la STC 245/2012.</w:t>
      </w:r>
    </w:p>
    <w:p w:rsidR="00163957" w:rsidRDefault="00163957" w:rsidP="00163957">
      <w:pPr>
        <w:pStyle w:val="TextoNormal"/>
      </w:pPr>
    </w:p>
    <w:p w:rsidR="00163957" w:rsidRDefault="00163957" w:rsidP="00163957">
      <w:pPr>
        <w:pStyle w:val="TextoNormal"/>
      </w:pPr>
      <w:r>
        <w:t>De acuerdo con nuestra doctrina en este ámbito, hemos de partir del criterio territorial que, como hemos declarado, es el criterio esencial de distribución de competencias en la materia de ferrocarriles que nos ocupa. También hemos afirmado que dicho criterio territorial se modula por el criterio del interés general, sin excluirlo completamente. Estas afirmaciones son de aplicación, tanto al caso de itinerarios ferroviarios intracomunitarios, como a los itinerarios supracomunitarios, pues ya en la STC 245/2012, FJ 6, este Tribunal declaró que “la simple circunstancia de que el itinerario de una línea férrea atraviese más de una Comunidad Autónoma, no debe determinar por sí sola la incorporación de dicha línea a la red estatal”. Así, tal y como hemos afirmado, “el objeto de las competencias autonómicas sobre ferrocarriles debe ser acotado por la concurrencia de una doble condición: se trata de tramos o partes de las vías férreas que, aunque nazcan o mueran fuera de la Comunidad en su itinerario total, discurren dentro de la Comunidad (condición positiva), siempre que el tramo en cuestión no forme parte de una infraestructura ferroviaria considerada de interés general por el Estado (condición negativa)” [STC 245/2012, de 18 de diciembre, FJ 6].</w:t>
      </w:r>
    </w:p>
    <w:p w:rsidR="00163957" w:rsidRDefault="00163957" w:rsidP="00163957">
      <w:pPr>
        <w:pStyle w:val="TextoNormal"/>
      </w:pPr>
    </w:p>
    <w:p w:rsidR="00163957" w:rsidRDefault="00163957" w:rsidP="00163957">
      <w:pPr>
        <w:pStyle w:val="TextoNormal"/>
      </w:pPr>
      <w:r>
        <w:t xml:space="preserve">Sin embargo, no es correcto excluir </w:t>
      </w:r>
      <w:r w:rsidRPr="00163957">
        <w:rPr>
          <w:i/>
        </w:rPr>
        <w:t>a priori</w:t>
      </w:r>
      <w:r>
        <w:t>, como propone la Comunidad Autónoma del País Vasco, la aplicación del criterio del interés general en los supuestos en que las Comunidades Autónomas puedan garantizar la interoperabilidad y la interconexión de las redes. La garantía del sistema común de transporte ferroviario en todo el territorio del Estado, que se pretende conseguir con la red de ferrocarriles de interés general, no ha de entenderse solo en términos de conexión e interoperabilidad, no obstante su indudable importancia.</w:t>
      </w:r>
    </w:p>
    <w:p w:rsidR="00163957" w:rsidRDefault="00163957" w:rsidP="00163957">
      <w:pPr>
        <w:pStyle w:val="TextoNormal"/>
      </w:pPr>
    </w:p>
    <w:p w:rsidR="00163957" w:rsidRDefault="00163957" w:rsidP="00163957">
      <w:pPr>
        <w:pStyle w:val="TextoNormal"/>
      </w:pPr>
      <w:r>
        <w:t>En efecto, como resulta de la doctrina recogida ya en la STC 245/2012, FJ 6, el sistema común de transporte ferroviario puede también plantearse en términos de relevancia o trascendencia de los itinerarios y de integración de las redes en otras más amplias, estatales o internacionales; o a fin de asegurar la conexión o salida a las vías ferroviarias de otras obras públicas de interés general y de titularidad estatal, como los puertos y aeropuertos de interés general. Todo ello, otra vez, sin olvidar el margen de libertad reconocido por este Tribunal al legislador estatal en este ámbito, que le permite considerar aspectos técnicos más allá de la interoperabilidad. Así, el preámbulo de la Orden/FOM/710/2015, alude a la relación funcional ferroviaria, en conexión con las funciones que incluye la administración de la red de ferrocarriles de interés general según el art. 19 LSF 2015 precitado, referidas a la gestión de su sistema de control, circulación y seguridad.</w:t>
      </w:r>
    </w:p>
    <w:p w:rsidR="00163957" w:rsidRDefault="00163957" w:rsidP="00163957">
      <w:pPr>
        <w:pStyle w:val="TextoNormal"/>
      </w:pPr>
    </w:p>
    <w:p w:rsidR="00163957" w:rsidRDefault="00163957" w:rsidP="00163957">
      <w:pPr>
        <w:pStyle w:val="TextoNormal"/>
      </w:pPr>
      <w:r>
        <w:t>Por otra parte, debemos igualmente recordar que, tanto el criterio territorial, como el de interés general, se diferencian del criterio subjetivo que declaramos inconstitucional en la STC 245/2012 (lo que nos llevó a anular la disposición adicional novena, apartado 1, LSF 2003). Así, la integración de las líneas o tramos en la red de ferrocarriles de interés general no está en función de quien sea su anterior administrador sino del interés general apreciado a partir de los criterios definidos en el art. 4 LSF 2015. Ello no supone tampoco vaciamiento de competencias autonómicas, que se ejercen, como manifiesta la propia Comunidad Autónoma del País Vasco, sobre las líneas y tramos actualmente administrados por el ente público autonómico ETS.</w:t>
      </w:r>
    </w:p>
    <w:p w:rsidR="00163957" w:rsidRDefault="00163957" w:rsidP="00163957">
      <w:pPr>
        <w:pStyle w:val="TextoNormal"/>
      </w:pPr>
    </w:p>
    <w:p w:rsidR="00163957" w:rsidRDefault="00163957" w:rsidP="00163957">
      <w:pPr>
        <w:pStyle w:val="TextoNormal"/>
      </w:pPr>
      <w:r w:rsidRPr="00163957">
        <w:rPr>
          <w:rStyle w:val="NumeroAFNegritaCaracter"/>
        </w:rPr>
        <w:t>7</w:t>
      </w:r>
      <w:r>
        <w:t>. Habiendo realizado las anteriores precisiones, todavía procede otra puntualización sobre los límites de los conflictos positivos de competencia, antes de examinar los argumentos de las partes en relación con la concurrencia o no del requisito del interés general en las concretas líneas y tramos conflictivos que se han suscitado por la representación del Gobierno Vasco.</w:t>
      </w:r>
    </w:p>
    <w:p w:rsidR="00163957" w:rsidRDefault="00163957" w:rsidP="00163957">
      <w:pPr>
        <w:pStyle w:val="TextoNormal"/>
      </w:pPr>
    </w:p>
    <w:p w:rsidR="00163957" w:rsidRDefault="00163957" w:rsidP="00163957">
      <w:pPr>
        <w:pStyle w:val="TextoNormal"/>
      </w:pPr>
      <w:r>
        <w:t>A este respecto, hay que señalar que, aunque en algunas Sentencias hemos considerado que excede del objeto de estos procesos constitucionales la verificación de la aplicación práctica de los títulos competenciales a los supuestos concretos planteados (por ejemplo, STC 88/1989), esta limitación hace referencia a supuestos en que el análisis práctico a realizar sea puramente fáctico o, de ser jurídico, carezca de relevancia constitucional. No es esto, en cambio, lo que sucede en el caso presente, en que está en juego la concreción de un concepto jurídico indeterminado como el de “interés general” que es, en sí mismo, criterio constitucional atributivo de competencias en materia de obras públicas, en la forma que hemos venido describiendo.</w:t>
      </w:r>
    </w:p>
    <w:p w:rsidR="00163957" w:rsidRDefault="00163957" w:rsidP="00163957">
      <w:pPr>
        <w:pStyle w:val="TextoNormal"/>
      </w:pPr>
    </w:p>
    <w:p w:rsidR="00163957" w:rsidRDefault="00163957" w:rsidP="00163957">
      <w:pPr>
        <w:pStyle w:val="TextoNormal"/>
      </w:pPr>
      <w:r>
        <w:t xml:space="preserve">La solución es análoga a la que hemos mantenido, por ejemplo, en conflictos positivos de competencia relativos a la interpretación del título competencial del art. 149.1.22 CE, en cuanto atribuye al Estado competencia para autorizar las instalaciones eléctricas cuyo “aprovechamiento afecte a otra Comunidad”. En estos supuestos, hemos analizado el ejercicio de la competencia en los casos concretos partiendo, como dijimos en la STC 181/2013, FJ 4, que cita varios ejemplos, de “un análisis conjunto de las circunstancias alegadas por las partes”. Ello es, también, coherente con nuestra doctrina en la que, como se ha indicado, hemos señalado que el Tribunal no puede determinar </w:t>
      </w:r>
      <w:r w:rsidRPr="00163957">
        <w:rPr>
          <w:i/>
        </w:rPr>
        <w:t>a priori</w:t>
      </w:r>
      <w:r>
        <w:t xml:space="preserve"> las razones de interés general: “sin perjuicio de que ese control podrá llevarse a cabo con motivo de la integración de una concreta infraestructura en la red ferroviaria de interés general” (STC 83/2013, FJ 4; STC 245/2012, FJ 10).</w:t>
      </w:r>
    </w:p>
    <w:p w:rsidR="00163957" w:rsidRDefault="00163957" w:rsidP="00163957">
      <w:pPr>
        <w:pStyle w:val="TextoNormal"/>
      </w:pPr>
    </w:p>
    <w:p w:rsidR="00163957" w:rsidRDefault="00163957" w:rsidP="00163957">
      <w:pPr>
        <w:pStyle w:val="TextoNormal"/>
      </w:pPr>
      <w:r>
        <w:t>En todo caso, puesto que el control que nos corresponde en estos supuestos es un control externo, dirigido a comprobar si el legislador estatal ha transgredido los márgenes o límites derivados del bloque de constitucionalidad, la primera constatación que hemos de realizar es, si la Orden FOM/710/2015, aplica los criterios legales definidores del interés general aprobados por el Estado en ejercicio de sus competencias.</w:t>
      </w:r>
    </w:p>
    <w:p w:rsidR="00163957" w:rsidRDefault="00163957" w:rsidP="00163957">
      <w:pPr>
        <w:pStyle w:val="TextoNormal"/>
      </w:pPr>
    </w:p>
    <w:p w:rsidR="00163957" w:rsidRDefault="00163957" w:rsidP="00163957">
      <w:pPr>
        <w:pStyle w:val="TextoNormal"/>
      </w:pPr>
      <w:r>
        <w:t>Entrando así en el examen de las líneas y tramos concretos sobre los que se plantea la controversia competencial, se comprueba que el interés general que el legislador estatal estima concurrente en las líneas y tramos que incluye en el catálogo, se define, como se ha visto, en el apartado primero de la Orden FOM/710/2015, sobre la base de los mismos criterios que mencionaba la LSF 2003, vigente al aprobarse la orden (que examinamos y consideramos conformes a la Constitución en las STC 245/2012) y que se reiteran en la LSF 2015, actualmente en vigor.</w:t>
      </w:r>
    </w:p>
    <w:p w:rsidR="00163957" w:rsidRDefault="00163957" w:rsidP="00163957">
      <w:pPr>
        <w:pStyle w:val="TextoNormal"/>
      </w:pPr>
    </w:p>
    <w:p w:rsidR="00163957" w:rsidRDefault="00163957" w:rsidP="00163957">
      <w:pPr>
        <w:pStyle w:val="TextoNormal"/>
      </w:pPr>
      <w:r>
        <w:t>Los criterios legales, como se ha venido diciendo, son la esencialidad de las líneas y tramos a la hora de garantizar un sistema común de transporte ferroviario, o la necesidad de su administración conjunta para el correcto funcionamiento de ese sistema, entre los cuales se citan, a modo de ejemplo, tanto en la LSF 2015, como en la misma orden objeto de este conflicto: las líneas vinculadas a los itinerarios de tráfico internacional, las que enlazan distintas comunidades autónomas y sus conexiones y accesos a los principales núcleos de población y de transporte o a instalaciones esenciales para la economía o la defensa nacional.</w:t>
      </w:r>
    </w:p>
    <w:p w:rsidR="00163957" w:rsidRDefault="00163957" w:rsidP="00163957">
      <w:pPr>
        <w:pStyle w:val="TextoNormal"/>
      </w:pPr>
    </w:p>
    <w:p w:rsidR="00163957" w:rsidRDefault="00163957" w:rsidP="00163957">
      <w:pPr>
        <w:pStyle w:val="TextoNormal"/>
      </w:pPr>
      <w:r>
        <w:t>La Orden FOM/710/2015 invoca pues los aludidos criterios y, aunque se refiere a ellos de forma genérica, en relación a todas las líneas y tramos que incluye en su anexo, indicando solo que “han sido analizados pormenorizadamente para comprobar que en la actualidad cumplen los requisitos previstos en el artículo 4 de la Ley del Sector Ferroviario”, tanto el acuerdo del Consejo de Ministros de 17 de julio de 2015, de respuesta al requerimiento formulado por el Gobierno Vasco, como el informe complementario aportado por el Abogado del Estado junto con su escrito de alegaciones, incluyen, en principio, una motivación individualizada relativa a cada una de las líneas y tramos en disputa.</w:t>
      </w:r>
    </w:p>
    <w:p w:rsidR="00163957" w:rsidRDefault="00163957" w:rsidP="00163957">
      <w:pPr>
        <w:pStyle w:val="TextoNormal"/>
      </w:pPr>
    </w:p>
    <w:p w:rsidR="00163957" w:rsidRDefault="00163957" w:rsidP="00163957">
      <w:pPr>
        <w:pStyle w:val="TextoNormal"/>
      </w:pPr>
      <w:r>
        <w:t xml:space="preserve">A partir de dicha información, contrastándola con los argumentos de la Comunidad Autónoma del País Vasco, estamos ya en condiciones de realizar el control </w:t>
      </w:r>
      <w:r w:rsidRPr="00163957">
        <w:rPr>
          <w:i/>
        </w:rPr>
        <w:t>a posteriori</w:t>
      </w:r>
      <w:r>
        <w:t xml:space="preserve"> que incumbe a este Tribunal y, por tanto, de analizar si la Orden FOM/710/2015, se extralimita al aplicar los supuestos, previstos en la LSF 2015, en que se concreta el criterio del interés general, llegando a vulnerar el esquema constitucional de competencias.</w:t>
      </w:r>
    </w:p>
    <w:p w:rsidR="00163957" w:rsidRDefault="00163957" w:rsidP="00163957">
      <w:pPr>
        <w:pStyle w:val="TextoNormal"/>
      </w:pPr>
    </w:p>
    <w:p w:rsidR="00163957" w:rsidRDefault="00163957" w:rsidP="00163957">
      <w:pPr>
        <w:pStyle w:val="TextoNormal"/>
      </w:pPr>
      <w:r w:rsidRPr="00163957">
        <w:rPr>
          <w:rStyle w:val="NumeroAFNegritaCaracter"/>
        </w:rPr>
        <w:t>8</w:t>
      </w:r>
      <w:r>
        <w:t>. Centrando ya nuestro análisis en las líneas de itinerario intracomunitario sobre las que recae el objeto de este conflicto, hay que comenzar destacando que, en afirmación recogida en la STC 65/1998, de 18 de marzo, FJ 12, referida a la red de carreteras, luego reiterada en la STC 245/2012, FJ 10, respecto de las líneas ferroviarias, “el criterio del interés general puede permitir la consideración como carretera estatal de una carretera de itinerario íntegramente comunitario”.</w:t>
      </w:r>
    </w:p>
    <w:p w:rsidR="00163957" w:rsidRDefault="00163957" w:rsidP="00163957">
      <w:pPr>
        <w:pStyle w:val="TextoNormal"/>
      </w:pPr>
    </w:p>
    <w:p w:rsidR="00163957" w:rsidRDefault="00163957" w:rsidP="00163957">
      <w:pPr>
        <w:pStyle w:val="TextoNormal"/>
      </w:pPr>
      <w:r>
        <w:t>A partir de esta inicial consideración, debemos examinar las alegaciones de la demanda sobre el requisito legal del consentimiento autonómico, necesario en ciertos casos para integrar líneas y tramos ferroviarios intraautonómicos en la red de ferrocarriles de interés general. A este respecto, la Comunidad Autónoma del País Vasco sostiene en el escrito de promoción del conflicto que su consentimiento era necesario para incorporar a la red de ferrocarriles de interés general las líneas intracomunitarias controvertidas, que aparecen incluidas en la Orden FOM/710/2015 y, como quiera que el Gobierno Vasco nunca ha dado tal consentimiento, se han vulnerado sus competencias. El Abogado del Estado, por su parte, esgrime que dicho consentimiento no era preciso en este caso puesto que las líneas en cuestión están conectadas físicamente a la red general.</w:t>
      </w:r>
    </w:p>
    <w:p w:rsidR="00163957" w:rsidRDefault="00163957" w:rsidP="00163957">
      <w:pPr>
        <w:pStyle w:val="TextoNormal"/>
      </w:pPr>
    </w:p>
    <w:p w:rsidR="00163957" w:rsidRDefault="00163957" w:rsidP="00163957">
      <w:pPr>
        <w:pStyle w:val="TextoNormal"/>
      </w:pPr>
      <w:r>
        <w:t xml:space="preserve">Como expone la recurrente, el requisito del previo consentimiento autonómico para incorporar a la red de ferrocarriles de interés general las líneas o tramos intracomunitarios, se recogía en el art. 4.2 LSF 2003 y en el art. 5.1 del Reglamento del sector ferroviario. Actualmente, este requisito se contempla en el art. 4.2 LSF 2015, transcrito </w:t>
      </w:r>
      <w:r w:rsidRPr="00163957">
        <w:rPr>
          <w:i/>
        </w:rPr>
        <w:t>ut supra</w:t>
      </w:r>
      <w:r>
        <w:t>, siendo necesario, en los términos de dicho precepto, si la infraestructura ferroviaria que se pretenda incluir en la red de ferrocarriles de interés general discurre íntegramente por el territorio de la Comunidad Autónoma, “sin conexión con el resto de la Red”.</w:t>
      </w:r>
    </w:p>
    <w:p w:rsidR="00163957" w:rsidRDefault="00163957" w:rsidP="00163957">
      <w:pPr>
        <w:pStyle w:val="TextoNormal"/>
      </w:pPr>
    </w:p>
    <w:p w:rsidR="00163957" w:rsidRDefault="00163957" w:rsidP="00163957">
      <w:pPr>
        <w:pStyle w:val="TextoNormal"/>
      </w:pPr>
      <w:r>
        <w:t>Este Tribunal se pronunció ya sobre el significado del requisito que nos ocupa en las SSTC 245/2012 y 83/2013. En el fundamento jurídico 4 de esta última, en referencia al art. 5.1 del Reglamento del sector ferroviario, cuya redacción era similar en lo que ahora interesa, a la de la actual LSF 2015, declaró ya que “los reparos que opone la recurrente, relativos a … la falta de consentimiento de las Comunidades Autónomas cuando son infraestructuras ferroviarias autonómicas las que se incorporan a la red ferroviaria de interés general, fueron rechazados por este Tribunal, al pronunciarse sobre la constitucionalidad del art. 4.2 LSF (STC 245/2012, de 18 de diciembre, FJ 10). Así pues, siguiendo la doctrina entonces establecida, debemos señalar … que el precepto impugnado es constitucional, siempre que se interprete que cuando concurran razones de interés general que justifiquen la incorporación a la red ferroviaria de interés general de infraestructuras que discurran íntegramente por la Comunidad Autónoma, será necesario, en todo caso, consentimiento de la Comunidad Autónoma cuando no estén conectadas físicamente a la red aunque tengan con ella una conexión funcional”.</w:t>
      </w:r>
    </w:p>
    <w:p w:rsidR="00163957" w:rsidRDefault="00163957" w:rsidP="00163957">
      <w:pPr>
        <w:pStyle w:val="TextoNormal"/>
      </w:pPr>
    </w:p>
    <w:p w:rsidR="00163957" w:rsidRDefault="00163957" w:rsidP="00163957">
      <w:pPr>
        <w:pStyle w:val="TextoNormal"/>
      </w:pPr>
      <w:r>
        <w:t>A partir de lo anterior, y puesto que las líneas en cuestión, están conectadas físicamente a la red general, lo relevante es si las líneas o tramos cumplen el requisito de interés general por ser éste el criterio atributivo de competencias que ampararía en su caso la incorporación a la red de ferrocarriles de interés general, lo que se abordará en los siguientes fundamentos jurídicos.</w:t>
      </w:r>
    </w:p>
    <w:p w:rsidR="00163957" w:rsidRDefault="00163957" w:rsidP="00163957">
      <w:pPr>
        <w:pStyle w:val="TextoNormal"/>
      </w:pPr>
    </w:p>
    <w:p w:rsidR="00163957" w:rsidRDefault="00163957" w:rsidP="00163957">
      <w:pPr>
        <w:pStyle w:val="TextoNormal"/>
      </w:pPr>
      <w:r w:rsidRPr="00163957">
        <w:rPr>
          <w:rStyle w:val="NumeroAFNegritaCaracter"/>
        </w:rPr>
        <w:t>9</w:t>
      </w:r>
      <w:r>
        <w:t>. Así, analizaremos en primer lugar, las líneas intracomunitarias controvertidas: 01-720 Bilbao Abando Indalecio Prieto-Santurtzi; 01-724 Bilbao Mercancías-Santurtzi y 01-722 Desertu- Barakaldo-Muskiz. Estas líneas pueden ser examinadas conjuntamente en cuanto vinculadas, todas ellas, aunque no de forma exclusiva, al acceso al puerto de Bilbao.</w:t>
      </w:r>
    </w:p>
    <w:p w:rsidR="00163957" w:rsidRDefault="00163957" w:rsidP="00163957">
      <w:pPr>
        <w:pStyle w:val="TextoNormal"/>
      </w:pPr>
    </w:p>
    <w:p w:rsidR="00163957" w:rsidRDefault="00163957" w:rsidP="00163957">
      <w:pPr>
        <w:pStyle w:val="TextoNormal"/>
      </w:pPr>
      <w:r>
        <w:t>En efecto, se trata de líneas que al estar codificadas con los dígitos 01, según la Orden FOM/710/2015, forman parte del eje Madrid Chamartín- Irún /Hendaya. Según el acuerdo del Consejo de Ministros de 17 de julio de 2015 y el informe del Ministerio de Fomento de noviembre de ese mismo año, las líneas 01-720 y 01-724 sirven de acceso a principales núcleos de población y de transporte y a instalaciones esenciales para la economía como, en particular, el puerto de Bilbao. Se razona que éste es uno de los puertos de interés general que componen el sistema portuario español y se recuerda el tenor del art. 4 del texto refundido de la Ley de puertos del Estado (Real Decreto Legislativo 2/2011, de 5 de septiembre), para afirmar que, de este precepto, resulta casi literalmente, la inclusión de estos puertos en las “instalaciones esenciales para la economía” a que se refiere el art. 4 LSF. También exponen los informes estatales, que el puerto de Bilbao está incluido en la actual configuración de la red transeuropea de transporte, como nudo de la red básica, integrante del corredor atlántico. A partir de aquí, se destaca que las líneas 01-720 y 01-724, son el único trayecto de conexión de dicho puerto con el resto de la red ferroviaria. El acuerdo dice que, estas líneas sirven de “salida y entrada por ferrocarril de mercancías al Puerto de Bilbao y por ella circulan tráficos de mercancías mayoritariamente intercomunitarios, además de soportar tráficos de cercanías de Bilbao”. Por su parte, la línea 01-722 Desertu Barakaldo-Muskiz, según los mismos documentos citados, es una bifurcación de la línea 01-720, estando en ejecución su conexión al nuevo acceso del puerto de Bilbao mediante una obra adjudicada por el Ministerio de Fomento y casi concluida, cuyo objeto es aliviar la salida de mercancías del puerto.</w:t>
      </w:r>
    </w:p>
    <w:p w:rsidR="00163957" w:rsidRDefault="00163957" w:rsidP="00163957">
      <w:pPr>
        <w:pStyle w:val="TextoNormal"/>
      </w:pPr>
    </w:p>
    <w:p w:rsidR="00163957" w:rsidRDefault="00163957" w:rsidP="00163957">
      <w:pPr>
        <w:pStyle w:val="TextoNormal"/>
      </w:pPr>
      <w:r>
        <w:t>Frente a lo anterior, la Comunidad Autónoma del País Vasco, no niega en su recurso que las líneas 01-720 y 01-724 sirvan de acceso al puerto exterior de Bilbao aunque considera que “ello no debería ser determinante”, pues, aunque las líneas fueran transferidas al Gobierno Vasco, “el acceso seguiría garantizado”. En cuanto a la línea 01-722, reitera el mismo razonamiento y destaca que en la actualidad no existe enlace de esta línea con el puerto exterior, aunque no discute que, como dice el Estado, la conexión esté casi concluida.</w:t>
      </w:r>
    </w:p>
    <w:p w:rsidR="00163957" w:rsidRDefault="00163957" w:rsidP="00163957">
      <w:pPr>
        <w:pStyle w:val="TextoNormal"/>
      </w:pPr>
    </w:p>
    <w:p w:rsidR="00163957" w:rsidRDefault="00163957" w:rsidP="00163957">
      <w:pPr>
        <w:pStyle w:val="TextoNormal"/>
      </w:pPr>
      <w:r>
        <w:t>Puesto que las partes coinciden en que las líneas en cuestión son la única conexión del puerto de Bilbao con el resto de la red ferroviaria (o, en el caso de la 01-722, nuevo acceso), estamos ante uno de los supuestos en los que ya hemos apreciado concurrencia del interés general, por tratarse de líneas de acceso a un puerto de esta naturaleza. Así, ya en la STC 65/1998, FJ 12, luego reproducida en la STC 245/2012, dijimos que “tampoco cabe oponer ningún reparo a la otra de las circunstancias definitorias de lo que constituye un itinerario de interés general, esto es ‘constituir el acceso a un puerto o aeropuerto de interés general’… pues refleja otra de las funciones que pueden legítimamente corresponder en principio, a la Red de Carreteras del Estado, cual es la de asegurar la conexión o salida a las vías de comunicación terrestre de esas otras grandes infraestructuras de transporte de titularidad estatal, como son los puertos y aeropuertos de interés general (art. 149.1.20 CE) desde una perspectiva combinada de los transportes sobre los que el Estado ostenta competencia exclusiva”. Por eso, en la STC 245/2012, FJ 10, dijimos, refiriéndonos a la STC 65/1998 y a los concretos criterios utilizados en materia de carreteras, de “servir de acceso a los principales puestos fronterizos y constituir acceso a un puerto de interés general”, que no cabe entender que “el margen de libertad de que goza el legislador a este respecto [haya] sido sobrepasado en relación con ninguna de dichas circunstancias”. Por otro lado, la integración del puerto (no discutida) en la red transeuropea de transporte, confirma la vinculación de las líneas de acceso al mismo, a itinerarios de tráfico internacional en el sentido del art. 4.1 LSF 2015.</w:t>
      </w:r>
    </w:p>
    <w:p w:rsidR="00163957" w:rsidRDefault="00163957" w:rsidP="00163957">
      <w:pPr>
        <w:pStyle w:val="TextoNormal"/>
      </w:pPr>
    </w:p>
    <w:p w:rsidR="00163957" w:rsidRDefault="00163957" w:rsidP="00163957">
      <w:pPr>
        <w:pStyle w:val="TextoNormal"/>
      </w:pPr>
      <w:r>
        <w:t>El hecho, al que se refiere la Comunidad Autónoma del País Vasco, de que en el futuro, el acceso al puerto de Bilbao pueda realizarse principalmente a través de la línea 01-722, no desvirtúa el razonamiento expuesto, sin perjuicio de que, si ello llegara a materializarse y las líneas 01-720 y 01-724 dejasen por ello de ser de interés general en un momento dado, pudieran excluirse, como contempla el mismo art. 4 LSF 2015, del catálogo de la red de ferrocarriles de interés general, toda vez que la aplicación de los criterios de distribución competencial utilizados por la orden de referencia podrían llevar en el futuro, en otras circunstancias fácticas, a unas conclusiones diferentes.</w:t>
      </w:r>
    </w:p>
    <w:p w:rsidR="00163957" w:rsidRDefault="00163957" w:rsidP="00163957">
      <w:pPr>
        <w:pStyle w:val="TextoNormal"/>
      </w:pPr>
    </w:p>
    <w:p w:rsidR="00163957" w:rsidRDefault="00163957" w:rsidP="00163957">
      <w:pPr>
        <w:pStyle w:val="TextoNormal"/>
      </w:pPr>
      <w:r>
        <w:t>Tampoco desvirtúa el interés general que el transporte que se realiza por estas líneas sea mayoritariamente de mercancías. De hecho, el tráfico de éstas es la parte sustancial de la actividad portuaria y, por tanto, su movilidad, desde y hacia el puerto, es la finalidad última pretendida con el acceso que se trata de garantizar e interesa al conjunto de la economía.</w:t>
      </w:r>
    </w:p>
    <w:p w:rsidR="00163957" w:rsidRDefault="00163957" w:rsidP="00163957">
      <w:pPr>
        <w:pStyle w:val="TextoNormal"/>
      </w:pPr>
    </w:p>
    <w:p w:rsidR="00163957" w:rsidRDefault="00163957" w:rsidP="00163957">
      <w:pPr>
        <w:pStyle w:val="TextoNormal"/>
      </w:pPr>
      <w:r>
        <w:t>La escasa longitud de la línea, que caracteriza a la 01-724, como destaca la Comunidad Autónoma del País Vasco, no es en sí misma óbice a su interés general, en la medida en que sirva de acceso al puerto. La misma Orden FOM/710/2015 pone de manifiesto que se agrupan tramos y sub-tramos de diversa longitud y que, en los itinerarios se consideran incluidos pequeños tramos como conexiones o accesos necesarios para el buen funcionamiento del sistema.</w:t>
      </w:r>
    </w:p>
    <w:p w:rsidR="00163957" w:rsidRDefault="00163957" w:rsidP="00163957">
      <w:pPr>
        <w:pStyle w:val="TextoNormal"/>
      </w:pPr>
    </w:p>
    <w:p w:rsidR="00163957" w:rsidRDefault="00163957" w:rsidP="00163957">
      <w:pPr>
        <w:pStyle w:val="TextoNormal"/>
      </w:pPr>
      <w:r>
        <w:t>De la misma forma, el origen histórico de la línea 01-722, a que alude la Comunidad Autónoma del País Vasco, no desvirtúa la concurrencia del criterio de “interés general”, de carácter autónomo y vinculado a la funcionalidad de la línea o tramo.</w:t>
      </w:r>
    </w:p>
    <w:p w:rsidR="00163957" w:rsidRDefault="00163957" w:rsidP="00163957">
      <w:pPr>
        <w:pStyle w:val="TextoNormal"/>
      </w:pPr>
    </w:p>
    <w:p w:rsidR="00163957" w:rsidRDefault="00163957" w:rsidP="00163957">
      <w:pPr>
        <w:pStyle w:val="TextoNormal"/>
      </w:pPr>
      <w:r>
        <w:t>Finalmente, la capacidad de la Comunidad Autónoma del País Vasco para garantizar el acceso o la conexión, conforme hemos razonado en el fundamento jurídico 6, no excluye el interés general derivado de lo expuesto.</w:t>
      </w:r>
    </w:p>
    <w:p w:rsidR="00163957" w:rsidRDefault="00163957" w:rsidP="00163957">
      <w:pPr>
        <w:pStyle w:val="TextoNormal"/>
      </w:pPr>
    </w:p>
    <w:p w:rsidR="00163957" w:rsidRDefault="00163957" w:rsidP="00163957">
      <w:pPr>
        <w:pStyle w:val="TextoNormal"/>
      </w:pPr>
      <w:r>
        <w:t>En consecuencia, procede desestimar el conflicto en lo relativo a las líneas 01-720, 01-722 y 01-724.</w:t>
      </w:r>
    </w:p>
    <w:p w:rsidR="00163957" w:rsidRDefault="00163957" w:rsidP="00163957">
      <w:pPr>
        <w:pStyle w:val="TextoNormal"/>
      </w:pPr>
    </w:p>
    <w:p w:rsidR="00163957" w:rsidRDefault="00163957" w:rsidP="00163957">
      <w:pPr>
        <w:pStyle w:val="TextoNormal"/>
      </w:pPr>
      <w:r w:rsidRPr="00163957">
        <w:rPr>
          <w:rStyle w:val="NumeroAFNegritaCaracter"/>
        </w:rPr>
        <w:t>10</w:t>
      </w:r>
      <w:r>
        <w:t>. A continuación, hemos de examinar las líneas intracomunitarias en las que el interés general determinante de su incorporación a la red de ferrocarriles de interés general se vincula al acceso a determinadas instalaciones fabriles.</w:t>
      </w:r>
    </w:p>
    <w:p w:rsidR="00163957" w:rsidRDefault="00163957" w:rsidP="00163957">
      <w:pPr>
        <w:pStyle w:val="TextoNormal"/>
      </w:pPr>
    </w:p>
    <w:p w:rsidR="00163957" w:rsidRDefault="00163957" w:rsidP="00163957">
      <w:pPr>
        <w:pStyle w:val="TextoNormal"/>
      </w:pPr>
      <w:r>
        <w:t>En la categoría indicada, podemos incluir las líneas 08-782-Basurto Hospital-Ariz y 08-784-Irauregui-Lutxana-Barakaldo, que, según el acuerdo del Consejo de Ministros y el informe del Ministerio de Fomento de noviembre de 2015, en la primera de las citadas, se trata de la única vía de unión de la factoría de Arcelor Mittal en Etxebarri con la red de ancho métrico; y en el caso de la segunda, se incorpora a la red de ferrocarriles de interés general, por realizarse en ella la carga de mercancías de la acería compacta de Bizkaia, del grupo siderúrgico Arcelor-Mittal, que se distribuyen por la red de ancho métrico, fundamentalmente a otras Comunidades Autónomas.</w:t>
      </w:r>
    </w:p>
    <w:p w:rsidR="00163957" w:rsidRDefault="00163957" w:rsidP="00163957">
      <w:pPr>
        <w:pStyle w:val="TextoNormal"/>
      </w:pPr>
    </w:p>
    <w:p w:rsidR="00163957" w:rsidRDefault="00163957" w:rsidP="00163957">
      <w:pPr>
        <w:pStyle w:val="TextoNormal"/>
      </w:pPr>
      <w:r>
        <w:t>Para resolver la controversia planteada, hemos de partir de la doctrina constitucional relativa a la aplicación del criterio del interés general en relación con las llamadas “instalaciones esenciales para la economía o la defensa nacional” a que se refiere el art. 4.1 LSF 2015.</w:t>
      </w:r>
    </w:p>
    <w:p w:rsidR="00163957" w:rsidRDefault="00163957" w:rsidP="00163957">
      <w:pPr>
        <w:pStyle w:val="TextoNormal"/>
      </w:pPr>
    </w:p>
    <w:p w:rsidR="00163957" w:rsidRDefault="00163957" w:rsidP="00163957">
      <w:pPr>
        <w:pStyle w:val="TextoNormal"/>
      </w:pPr>
      <w:r>
        <w:t xml:space="preserve">En la STC 245/2012, FJ 10, declaramos que “desde la perspectiva de la competencia estatal </w:t>
      </w:r>
      <w:r w:rsidRPr="00163957">
        <w:rPr>
          <w:i/>
        </w:rPr>
        <w:t>ex</w:t>
      </w:r>
      <w:r>
        <w:t xml:space="preserve"> art. 149.1.24 CE debemos rechazar la impugnación contra la inclusión </w:t>
      </w:r>
      <w:r w:rsidRPr="00163957">
        <w:rPr>
          <w:i/>
        </w:rPr>
        <w:t>ope legis</w:t>
      </w:r>
      <w:r>
        <w:t xml:space="preserve"> en la red ferroviaria de interés general de las ‘conexiones y accesos…a instalaciones esenciales para la economía o la defensa nacional’ (art. 4.1) pues de una interpretación sistemática del precepto cabe deducir que se trata de instalaciones esenciales para la economía o defensa nacional que constituyan obras públicas de interés general cuyas infraestructuras ferroviarias estén conectadas con la red ferroviaria de interés general”, lo que, a partir del art. 36 LSF 2003, vinculábamos a los puertos y aeropuertos de interés general.</w:t>
      </w:r>
    </w:p>
    <w:p w:rsidR="00163957" w:rsidRDefault="00163957" w:rsidP="00163957">
      <w:pPr>
        <w:pStyle w:val="TextoNormal"/>
      </w:pPr>
    </w:p>
    <w:p w:rsidR="00163957" w:rsidRDefault="00163957" w:rsidP="00163957">
      <w:pPr>
        <w:pStyle w:val="TextoNormal"/>
      </w:pPr>
      <w:r>
        <w:t>La anterior afirmación no debe entenderse en el sentido de excluir otras posibles instalaciones que puedan considerarse esenciales para la economía o la defensa nacional. Ahora bien, se debe tratar, bien de instalaciones que efectivamente constituyan obras públicas de interés general, como ya establecimos en la STC 245/2012, FJ 10, bien de instalaciones, redes o servicios, que aun siendo de titularidad privada, puedan tener una repercusión importante en la seguridad o en el bienestar económico de los ciudadanos, vinculándose a la noción de instalaciones básicas para la economía o estratégicas para la defensa nacional. Entre estas instalaciones básicas o sensibles, desde el punto de vista de la economía nacional, se encontrarían aquellas relacionadas con la prestación de servicios esenciales, como podrían ser las centrales y redes de producción de energía, las instalaciones vinculadas con el sector sanitario, o con el abastecimiento de productos básicos para el sostenimiento de la población o, en fin, para la distribución y suministro de servicios esenciales (electricidad, gas, agua etc.), sin que, por el contrario, sea posible incluir dentro de aquel concepto aquellas instalaciones privadas de mera producción económica, pues no se trata propiamente de instalaciones esenciales para la economía o la defensa nacional. Así, este tipo de instalaciones no pueden por ello ser consideradas de interés general, en los términos acuñados por nuestra doctrina.</w:t>
      </w:r>
    </w:p>
    <w:p w:rsidR="00163957" w:rsidRDefault="00163957" w:rsidP="00163957">
      <w:pPr>
        <w:pStyle w:val="TextoNormal"/>
      </w:pPr>
    </w:p>
    <w:p w:rsidR="00163957" w:rsidRDefault="00163957" w:rsidP="00163957">
      <w:pPr>
        <w:pStyle w:val="TextoNormal"/>
      </w:pPr>
      <w:r>
        <w:t>Hemos afirmado que los órganos estatales —y muy singularmente el legislador— disponen de un margen de libertad para determinar en qué supuestos concurren las circunstancias que permitan calificar una obra como de interés general (STC 202/2013, de 5 de diciembre, FJ 2), así como la de establecer cuáles de entre aquellas obras públicas de interés general u otras infraestructuras o instalaciones básicas o sensibles tienen tal carácter esencial para la economía o la defensa que justifique la inclusión de una determinada línea que las conecte con la red ferroviaria en el correspondiente catálogo estatal. Pero la discrecionalidad de los órganos estatales no llega al punto de poder excluir la exigencia de que se trate de una obra de interés general o de una instalación básica o sensible para la economía o estratégica para la defensa nacional en los términos referidos en el párrafo anterior.</w:t>
      </w:r>
    </w:p>
    <w:p w:rsidR="00163957" w:rsidRDefault="00163957" w:rsidP="00163957">
      <w:pPr>
        <w:pStyle w:val="TextoNormal"/>
      </w:pPr>
    </w:p>
    <w:p w:rsidR="00163957" w:rsidRDefault="00163957" w:rsidP="00163957">
      <w:pPr>
        <w:pStyle w:val="TextoNormal"/>
      </w:pPr>
      <w:r>
        <w:t>La relevancia que pueda tener para la economía una determinada instalación privada, no puede erigirse en único elemento determinante de la inclusión de la línea ferroviaria que la conecte en el correspondiente catálogo estatal. Además, en el caso de ambas líneas ferroviarias, tampoco el Estado ha ido más allá de la mera afirmación de que las instalaciones fabriles de titularidad privada que conectan estas líneas resultan de interés general para la economía nacional, pues, tan solo, se ha limitado a destacar que la factoría de Arcelor Mittal en Etxebarri y la acería compacta de Bizkaia del mismo grupo, son instalaciones esenciales para la economía nacional y que las líneas ferroviarias de referencia permiten la distribución de materias primas para las factorías de la cornisa cantábrica, pero sin aportar ningún otro dato o elemento de corroboración que permita servir de fundamento a la afirmación realizada.</w:t>
      </w:r>
    </w:p>
    <w:p w:rsidR="00163957" w:rsidRDefault="00163957" w:rsidP="00163957">
      <w:pPr>
        <w:pStyle w:val="TextoNormal"/>
      </w:pPr>
    </w:p>
    <w:p w:rsidR="00163957" w:rsidRDefault="00163957" w:rsidP="00163957">
      <w:pPr>
        <w:pStyle w:val="TextoNormal"/>
      </w:pPr>
      <w:r>
        <w:t>La conclusión es que la Orden FOM/710/2015, en cuando incluye en la red de ferrocarriles de interés general las líneas intracomunitarias 08-782 y 08-784, incurre en exceso competencial, por lo que el conflicto de competencias debe ser estimado en este punto.</w:t>
      </w:r>
    </w:p>
    <w:p w:rsidR="00163957" w:rsidRDefault="00163957" w:rsidP="00163957">
      <w:pPr>
        <w:pStyle w:val="TextoNormal"/>
      </w:pPr>
    </w:p>
    <w:p w:rsidR="00163957" w:rsidRDefault="00163957" w:rsidP="00163957">
      <w:pPr>
        <w:pStyle w:val="TextoNormal"/>
      </w:pPr>
      <w:r w:rsidRPr="00163957">
        <w:rPr>
          <w:rStyle w:val="NumeroAFNegritaCaracter"/>
        </w:rPr>
        <w:t>11</w:t>
      </w:r>
      <w:r>
        <w:t>. Por lo que respecta a las líneas y tramos de itinerario supracomunitario que discurren en parte por la Comunidad Autónoma del País Vasco (08-780: Bilbao La Concordia a Santander y 08-790: Asunción Universidad-Aranguren), el acuerdo del Consejo de Ministros de 17 de julio de 2015, dice que ambas líneas son necesarias para el correcto funcionamiento del sistema común de transporte ferroviario y sirven como acceso a los principales núcleos de población y de transporte o a instalaciones esenciales para la economía. También señala que, ambas líneas, tienen tráfico de mercancías y viajeros intercomunitarios y de cercanías de Bilbao. Sobre la línea 08-780, se indica que es compartida con la Comunidad Autónoma de Cantabria y, en cuanto a la línea 08-790, destaca que se encuentra mayoritariamente en Cantabria y Castilla y León.</w:t>
      </w:r>
    </w:p>
    <w:p w:rsidR="00163957" w:rsidRDefault="00163957" w:rsidP="00163957">
      <w:pPr>
        <w:pStyle w:val="TextoNormal"/>
      </w:pPr>
    </w:p>
    <w:p w:rsidR="00163957" w:rsidRDefault="00163957" w:rsidP="00163957">
      <w:pPr>
        <w:pStyle w:val="TextoNormal"/>
      </w:pPr>
      <w:r>
        <w:t>El Abogado del Estado por su parte, además de remitirse al acuerdo del Consejo de Ministros citado y al informe del Ministerio de Fomento que aporta, señala que las líneas numeradas con los dígitos 08, según el apartado primero de la Orden FOM/710/2015, son líneas de la red de ancho métrico, medida de anchura general uniforme, interconectada por tanto en el plano de las infraestructuras.</w:t>
      </w:r>
    </w:p>
    <w:p w:rsidR="00163957" w:rsidRDefault="00163957" w:rsidP="00163957">
      <w:pPr>
        <w:pStyle w:val="TextoNormal"/>
      </w:pPr>
    </w:p>
    <w:p w:rsidR="00163957" w:rsidRDefault="00163957" w:rsidP="00163957">
      <w:pPr>
        <w:pStyle w:val="TextoNormal"/>
      </w:pPr>
      <w:r>
        <w:t>Frente a lo anterior, la Comunidad Autónoma del País Vasco rechaza que las líneas 08-780 y 08-790 sean de interés general destacando que, en ellas, el transporte de viajeros supracomunitario tiene muy poca entidad y seguiría garantizándose si se le traspasara la competencia.</w:t>
      </w:r>
    </w:p>
    <w:p w:rsidR="00163957" w:rsidRDefault="00163957" w:rsidP="00163957">
      <w:pPr>
        <w:pStyle w:val="TextoNormal"/>
      </w:pPr>
    </w:p>
    <w:p w:rsidR="00163957" w:rsidRDefault="00163957" w:rsidP="00163957">
      <w:pPr>
        <w:pStyle w:val="TextoNormal"/>
      </w:pPr>
      <w:r>
        <w:t>Conforme a lo razonado en el fundamento jurídico 6, también en las líneas 08-780 y 08-790, líneas de itinerario supracomunitario, debe exigirse la concurrencia del interés general. Así, en el presente supuesto se trata de dos líneas con tráficos de mercancías y viajeros intercomunitarios, de conexión entre núcleos de población, como Bilbao y Santander y Bilbao y León los cuales, por ser capitales de provincia, merecen el calificativo de “principales” en el sentido del art. 4.1 LSF 2015. Así, en la STC 245/2012 consideramos que el criterio de las “conexiones y accesos [ferroviarios] a los principales núcleos de población y de transporte” puede ser entendido como especificación del criterio más amplio relativo a las infraestructuras ferroviarias “que enlacen las distintas Comunidades Autónomas”, pues se trataría de “itinerarios supracomunitarios, selectivamente escogidos o cualificados en virtud de determinadas circunstancias que los hacen merecedores de la consideración de interés general” (STC 65/1998, FJ 12). Ello, con independencia, frente a lo alegado en el recurso, de que el número de viajeros sea mayor o menor, o de que la Comunidad Autónoma del País Vasco pudiese o no garantizar en su caso tales conexiones.</w:t>
      </w:r>
    </w:p>
    <w:p w:rsidR="00163957" w:rsidRDefault="00163957" w:rsidP="00163957">
      <w:pPr>
        <w:pStyle w:val="TextoNormal"/>
      </w:pPr>
      <w:r>
        <w:t>Por tanto, el conflicto debe ser desestimado en este punto.</w:t>
      </w:r>
    </w:p>
    <w:p w:rsidR="00163957" w:rsidRDefault="00163957" w:rsidP="00163957">
      <w:pPr>
        <w:pStyle w:val="TextoNormal"/>
      </w:pPr>
    </w:p>
    <w:p w:rsidR="00163957" w:rsidRDefault="00163957" w:rsidP="00163957">
      <w:pPr>
        <w:pStyle w:val="TextoNormalCentrado"/>
        <w:keepNext/>
      </w:pPr>
      <w:r>
        <w:t>FALLO</w:t>
      </w:r>
    </w:p>
    <w:p w:rsidR="00163957" w:rsidRDefault="00163957" w:rsidP="00163957">
      <w:pPr>
        <w:pStyle w:val="TextoNormalCentrado"/>
        <w:keepNext/>
      </w:pPr>
    </w:p>
    <w:p w:rsidR="00163957" w:rsidRDefault="00163957" w:rsidP="00163957">
      <w:pPr>
        <w:pStyle w:val="TextoNormal"/>
      </w:pPr>
      <w:r>
        <w:t>En atención a todo lo expuesto, el Tribunal Constitucional, POR LA AUTORIDAD QUE LE CONFIERE LA CONSTITUCIÓN DE LA NACIÓN ESPAÑOLA,</w:t>
      </w:r>
    </w:p>
    <w:p w:rsidR="00163957" w:rsidRDefault="00163957" w:rsidP="00163957">
      <w:pPr>
        <w:pStyle w:val="TextoNormal"/>
      </w:pPr>
    </w:p>
    <w:p w:rsidR="00163957" w:rsidRDefault="00163957" w:rsidP="00163957">
      <w:pPr>
        <w:pStyle w:val="TextoNormalCentrado"/>
        <w:keepNext/>
      </w:pPr>
      <w:r>
        <w:t>Ha decidido</w:t>
      </w:r>
    </w:p>
    <w:p w:rsidR="00163957" w:rsidRDefault="00163957" w:rsidP="00163957">
      <w:pPr>
        <w:pStyle w:val="TextoNormalCentrado"/>
        <w:keepNext/>
      </w:pPr>
    </w:p>
    <w:p w:rsidR="00163957" w:rsidRDefault="00163957" w:rsidP="00163957">
      <w:pPr>
        <w:pStyle w:val="TextoNormal"/>
      </w:pPr>
      <w:r>
        <w:t>1º Estimar parcialmente el conflicto positivo de competencias núm. 4722-2015 y, en consecuencia, declarar la nulidad de la referencia, en el anexo de la Orden FOM/710/2015, de 30 de enero, por la que se aprueba el catálogo de líneas y tramos de la red ferroviaria de interés general, a las líneas y tramos que se singularizan mediante los códigos 08-782-Basurto Hospital-Ariz y 08-784-Irauregui-Lutxana-Barakaldo, por vulneración de las competencias de la Comunidad Autónoma del País Vasco.</w:t>
      </w:r>
    </w:p>
    <w:p w:rsidR="00163957" w:rsidRDefault="00163957" w:rsidP="00163957">
      <w:pPr>
        <w:pStyle w:val="TextoNormal"/>
      </w:pPr>
    </w:p>
    <w:p w:rsidR="00163957" w:rsidRDefault="00163957" w:rsidP="00163957">
      <w:pPr>
        <w:pStyle w:val="TextoNormal"/>
      </w:pPr>
      <w:r>
        <w:t>2º Desestimar el conflicto en todo lo demás.</w:t>
      </w:r>
    </w:p>
    <w:p w:rsidR="00163957" w:rsidRDefault="00163957" w:rsidP="00163957">
      <w:pPr>
        <w:pStyle w:val="TextoNormal"/>
      </w:pPr>
    </w:p>
    <w:p w:rsidR="00163957" w:rsidRDefault="00163957" w:rsidP="00163957">
      <w:pPr>
        <w:pStyle w:val="TextoNormal"/>
      </w:pPr>
      <w:r>
        <w:t>Publíquese esta Sentencia en el “Boletín Oficial del Estado”.</w:t>
      </w:r>
    </w:p>
    <w:p w:rsidR="00163957" w:rsidRDefault="00163957" w:rsidP="0033382B">
      <w:pPr>
        <w:pStyle w:val="TextoNormal"/>
      </w:pPr>
      <w:r>
        <w:t>Dada en Madrid, a veintitrés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163957">
      <w:pPr>
        <w:pStyle w:val="ParrafoNormal"/>
      </w:pPr>
    </w:p>
    <w:p w:rsidR="0033382B" w:rsidRDefault="0033382B" w:rsidP="0033382B">
      <w:pPr>
        <w:pStyle w:val="ParrafoNormal"/>
      </w:pPr>
    </w:p>
    <w:p w:rsidR="0033382B" w:rsidRDefault="0033382B" w:rsidP="0033382B">
      <w:pPr>
        <w:pStyle w:val="ParrafoNormal"/>
      </w:pPr>
    </w:p>
    <w:p w:rsidR="0033382B" w:rsidRDefault="0033382B" w:rsidP="0033382B">
      <w:pPr>
        <w:pStyle w:val="ParrafoNormal"/>
      </w:pPr>
    </w:p>
    <w:p w:rsidR="0033382B" w:rsidRDefault="0033382B" w:rsidP="0033382B">
      <w:pPr>
        <w:pStyle w:val="ParrafoNormal"/>
      </w:pPr>
    </w:p>
    <w:p w:rsidR="0033382B" w:rsidRDefault="0033382B" w:rsidP="0033382B">
      <w:pPr>
        <w:pStyle w:val="ParrafoNormal"/>
      </w:pPr>
    </w:p>
    <w:p w:rsidR="0033382B" w:rsidRDefault="0033382B" w:rsidP="0033382B">
      <w:pPr>
        <w:pStyle w:val="ParrafoNormal"/>
      </w:pPr>
    </w:p>
    <w:p w:rsidR="0033382B" w:rsidRDefault="0033382B" w:rsidP="0033382B">
      <w:pPr>
        <w:pStyle w:val="ParrafoNormal"/>
      </w:pPr>
    </w:p>
    <w:p w:rsidR="0033382B" w:rsidRDefault="0033382B" w:rsidP="0033382B">
      <w:pPr>
        <w:pStyle w:val="ParrafoNormal"/>
      </w:pPr>
    </w:p>
    <w:p w:rsidR="0033382B" w:rsidRDefault="0033382B" w:rsidP="0033382B">
      <w:pPr>
        <w:pStyle w:val="ParrafoNormal"/>
      </w:pPr>
    </w:p>
    <w:p w:rsidR="0033382B" w:rsidRDefault="0033382B" w:rsidP="0033382B">
      <w:pPr>
        <w:pStyle w:val="ParrafoNormal"/>
      </w:pPr>
    </w:p>
    <w:p w:rsidR="0033382B" w:rsidRDefault="0033382B" w:rsidP="0033382B">
      <w:pPr>
        <w:pStyle w:val="ParrafoNormal"/>
      </w:pPr>
    </w:p>
    <w:p w:rsidR="0033382B" w:rsidRDefault="0033382B" w:rsidP="0033382B">
      <w:pPr>
        <w:pStyle w:val="ParrafoNormal"/>
      </w:pPr>
    </w:p>
    <w:p w:rsidR="0033382B" w:rsidRDefault="0033382B" w:rsidP="0033382B">
      <w:pPr>
        <w:pStyle w:val="CabeceraApartado"/>
      </w:pPr>
      <w:r>
        <w:t>AUTOS</w:t>
      </w:r>
    </w:p>
    <w:p w:rsidR="0033382B" w:rsidRDefault="0033382B">
      <w:pPr>
        <w:spacing w:after="160" w:line="259" w:lineRule="auto"/>
        <w:rPr>
          <w:rFonts w:ascii="Times New Roman" w:eastAsia="Times New Roman" w:hAnsi="Times New Roman" w:cs="Times New Roman"/>
          <w:sz w:val="48"/>
          <w:szCs w:val="24"/>
          <w:lang w:eastAsia="es-ES"/>
        </w:rPr>
      </w:pPr>
      <w:r>
        <w:br w:type="page"/>
      </w:r>
    </w:p>
    <w:p w:rsidR="0033382B" w:rsidRDefault="0033382B" w:rsidP="0033382B">
      <w:pPr>
        <w:pStyle w:val="TtuloResolucin"/>
      </w:pPr>
      <w:bookmarkStart w:id="128" w:name="AUTO_2016_1"/>
      <w:r>
        <w:t>AUTO 1/2016, de 18 de enero de 2016</w:t>
      </w:r>
    </w:p>
    <w:bookmarkEnd w:id="128"/>
    <w:p w:rsidR="0033382B" w:rsidRDefault="0033382B" w:rsidP="0033382B">
      <w:pPr>
        <w:pStyle w:val="TtuloResolucin"/>
      </w:pPr>
      <w:r>
        <w:t>Sala Primera</w:t>
      </w:r>
    </w:p>
    <w:p w:rsidR="0033382B" w:rsidRDefault="0033382B" w:rsidP="0033382B">
      <w:pPr>
        <w:pStyle w:val="TextoNormalCentrado"/>
      </w:pPr>
      <w:r>
        <w:t>ECLI:ES:TC:2016:1A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don Andrés Ollero Tassara, don Santiago Martínez-Vares García y don Juan Antonio Xiol Ríos.</w:t>
      </w:r>
    </w:p>
    <w:p w:rsidR="0033382B" w:rsidRDefault="0033382B" w:rsidP="0033382B">
      <w:pPr>
        <w:pStyle w:val="SntesisDescriptiva"/>
      </w:pPr>
    </w:p>
    <w:p w:rsidR="0033382B" w:rsidRDefault="0033382B" w:rsidP="0033382B">
      <w:pPr>
        <w:pStyle w:val="SntesisDescriptiva"/>
      </w:pPr>
      <w:r>
        <w:t>Acuerda la extinción, por pérdida de objeto, de la pieza separada de suspensión en el recurso de amparo 2995-2013, promovido por doña Carmen Menéndez González Palenzuela en proceso parlamentario.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registrado en este Tribunal el 20 de mayo de 2013, el Procurador don Jorge Laguna Alonso interpuso demanda de amparo conforme a lo previsto en el art. 42 de la Ley Orgánica del Tribunal Constitucional (LOTC), en nombre y representación de la diputada doña Carmen Menéndez González-Palenzuela, contra el acuerdo del Presidente de la Asamblea de Madrid de 9 de mayo de 2013, que dispuso la expulsión del Pleno de la Asamblea de la recurrente, así como la suspensión de sus derechos y deberes como diputada durante el plazo de un mes.</w:t>
      </w:r>
    </w:p>
    <w:p w:rsidR="0033382B" w:rsidRDefault="0033382B" w:rsidP="0033382B">
      <w:pPr>
        <w:pStyle w:val="TextoNormal"/>
      </w:pPr>
    </w:p>
    <w:p w:rsidR="0033382B" w:rsidRDefault="0033382B" w:rsidP="0033382B">
      <w:pPr>
        <w:pStyle w:val="TextoNormal"/>
      </w:pPr>
      <w:r w:rsidRPr="0033382B">
        <w:rPr>
          <w:rStyle w:val="NumeroAFNegritaCaracter"/>
        </w:rPr>
        <w:t>2</w:t>
      </w:r>
      <w:r>
        <w:t>. La demandante considera que el acuerdo impugnado vulnera los derechos fundamentales reconocidos en los arts. 20, 23 y 25.1 CE. Por medio de otrosí se solicita que, de conformidad con lo previsto en el art. 56.2 y 6 LOTC, se acuerde la suspensión de la sanción impuesta.</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providencia de 30 de noviembre de 2015, la Sala Primera de este Tribunal acordó admitir a trámite la demanda de amparo y formar la correspondiente pieza separada de suspensión, dando traslado por providencia de igual fecha al Ministerio Fiscal y a la recurrente para que alegaran lo que estimasen pertinente sobre la petición de suspensión.</w:t>
      </w:r>
    </w:p>
    <w:p w:rsidR="0033382B" w:rsidRDefault="0033382B" w:rsidP="0033382B">
      <w:pPr>
        <w:pStyle w:val="TextoNormal"/>
      </w:pPr>
    </w:p>
    <w:p w:rsidR="0033382B" w:rsidRDefault="0033382B" w:rsidP="0033382B">
      <w:pPr>
        <w:pStyle w:val="TextoNormal"/>
      </w:pPr>
      <w:r w:rsidRPr="0033382B">
        <w:rPr>
          <w:rStyle w:val="NumeroAFNegritaCaracter"/>
        </w:rPr>
        <w:t>4</w:t>
      </w:r>
      <w:r>
        <w:t>. El Fiscal presentó escrito registrado el 18 de diciembre de 2015 en el que, tras hacer referencia a la excepcionalidad de la medida cautelar de suspensión, señala que, de acuerdo con la doctrina de este Tribunal, habría que considerar que en el presente caso concurrirían los presupuestos que justifican su adopción, dado que se trata de una sanción privativa de las funciones de diputado, de muy corta duración temporal, que no es susceptible de restaurar, en el supuesto de que el amparo fuera estimado, haciéndole perder su efectividad para el restablecimiento del derecho fundamental invocado como lesionado. Por otra parte, pone de manifiesto que no resultaría afectado un interés general distinto del de la efectividad del acto del órgano parlamentario que impuso la sanción, ni tampoco otros derechos fundamentales de terceros. No obstante lo dicho, se estima que no procede acceder a la petición de suspensión de la sanción, al haber sido admitido el recurso de amparo con posterioridad al cumplimiento total de la sanción impuesta por el acuerdo de 9 de mayo de 2013, del Presidente de la Asamblea de Madrid y, sobre todo, habiendo concluido la IX Legislatura Autonómica en la que la recurrente obtuvo la condición de diputada de dicha Asamblea y en la que fue objeto de la sanción recurrida en amparo. En virtud de ello, considera el Fiscal que la suspensión de la ejecución de la resolución no puede tener ninguna efectividad y, por tanto, que ha sobrevenido la pérdida de objeto de la medida cautelar.</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art. 56.2 de la Ley Orgánica del Tribunal Constitucional (LOTC) establece que la Sala que conozca de un recurso de amparo podrá disponer, de oficio o a instancia de parte, la suspensión del acto de los poderes públicos por razón del cual se reclame el amparo constitucional, cuando la ejecución hubiere de ocasionar al recurrente un perjuicio que haría perder al amparo su finalidad, siempre que dicha suspensión no ocasione perturbación grave a un interés constitucionalmente protegido o a los derechos fundamentales o libertades de un tercero.</w:t>
      </w:r>
    </w:p>
    <w:p w:rsidR="0033382B" w:rsidRDefault="0033382B" w:rsidP="0033382B">
      <w:pPr>
        <w:pStyle w:val="TextoNormal"/>
      </w:pPr>
    </w:p>
    <w:p w:rsidR="0033382B" w:rsidRDefault="0033382B" w:rsidP="0033382B">
      <w:pPr>
        <w:pStyle w:val="TextoNormal"/>
      </w:pPr>
      <w:r>
        <w:t>Sin embargo, lo anterior no debe hacer olvidar que la mera interposición de un recurso de amparo no obsta a la vigencia, efectividad o ejecutoriedad de las disposiciones generales, actos administrativos o resoluciones judiciales que sean objeto de impugnación. La Ley Orgánica del Tribunal Constitucional establece el principio de que “la interposición del recurso de amparo no suspenderá los efectos del acto o sentencia impugnados” (art. 56.1), lo cual “es consecuencia de la presunción de legitimidad que alcanza a todas las actuaciones de los poderes públicos, presunción inherente a la entera actividad pública (legislativa, ejecutiva y judicial)” [AATC 189/2015 y 190/2015, ambos de 5 de noviembre, FJ 2 b)].</w:t>
      </w:r>
    </w:p>
    <w:p w:rsidR="0033382B" w:rsidRDefault="0033382B" w:rsidP="0033382B">
      <w:pPr>
        <w:pStyle w:val="TextoNormal"/>
      </w:pPr>
    </w:p>
    <w:p w:rsidR="0033382B" w:rsidRDefault="0033382B" w:rsidP="0033382B">
      <w:pPr>
        <w:pStyle w:val="TextoNormal"/>
      </w:pPr>
      <w:r>
        <w:t>Consiguientemente, la suspensión se configura como una medida de carácter excepcional y de aplicación restrictiva (por todos, ATC 117/2015, de 6 de julio, FJ 1). A lo cual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(ATC 90/2014, de 27 de marzo, FJ 1, entre otros muchos), al punto de privar al recurso de su finalidad, provocando que el restablecimiento del recurrente en el derecho constitucional vulnerado sea tardío y convirtiendo en meramente ilusorio y nominal el amparo (por todos, AATC 51/1989, de 30 de enero; 290/1995, de 23 de octubre; 370/1996, de 16 de diciembre, y 283/1999, de 29 de noviembre).</w:t>
      </w:r>
    </w:p>
    <w:p w:rsidR="0033382B" w:rsidRDefault="0033382B" w:rsidP="0033382B">
      <w:pPr>
        <w:pStyle w:val="TextoNormal"/>
      </w:pPr>
    </w:p>
    <w:p w:rsidR="0033382B" w:rsidRDefault="0033382B" w:rsidP="0033382B">
      <w:pPr>
        <w:pStyle w:val="TextoNormal"/>
      </w:pPr>
      <w:r>
        <w:t>Por lo mismo, no resulta adecuada la suspensión de actos o resoluciones ya ejecutados, perdiendo objeto la solicitud en tales casos (AATC 190/2015, de 5 de noviembre, FJ 2, y 288/2007, de 18 de junio, FJ único y resoluciones allí citadas). Porque la suspensión sólo procede respecto de una ejecución que se está produciendo o que podría producirse en el futuro, careciendo, en cambio, de objeto y de sentido cuando el acto de los poderes públicos impugnado ya ha sido ejecutado plenamente, pues en ese caso las vulneraciones, de concurrir, ya se habrían producido y agotado (AATC 315/2003, de 1 de octubre, y 94/2006, de 27 de marzo).</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la doctrina constitucional citada, ha de ponerse de relieve que, en este caso, la demandante argumentó en su demanda la existencia de un perjuicio irreparable de no suspenderse el acuerdo recurrido, al no resultar posible restituirla en los actos parlamentarios que hubiera podido ejercer durante el mes en el que se encontró suspendida de sus derechos y deberes como diputada regional. De otra parte, la suspensión tampoco afectaría a un interés constitucionalmente protegido distinto al de la efectividad del acto del órgano parlamentario que impuso la sanción, ni a otros derechos fundamentales o libertades de terceros.</w:t>
      </w:r>
    </w:p>
    <w:p w:rsidR="0033382B" w:rsidRDefault="0033382B" w:rsidP="0033382B">
      <w:pPr>
        <w:pStyle w:val="TextoNormal"/>
      </w:pPr>
    </w:p>
    <w:p w:rsidR="0033382B" w:rsidRDefault="0033382B" w:rsidP="0033382B">
      <w:pPr>
        <w:pStyle w:val="TextoNormal"/>
      </w:pPr>
      <w:r>
        <w:t>Sin embargo, conforme a esa misma doctrina constitucional, han de añadirse a esas consideraciones otras que se derivan de las circunstancias particulares sobrevenidas en el presente supuesto y que obligan a plantearse si resulta innecesario e inútil que el Tribunal se pronuncie sobre la petición de suspensión. Y, en este sentido, ha de coincidirse con el Fiscal cuando señala que, dado que el recurso de amparo ha sido admitido con posterioridad al cumplimiento total de la sanción impuesta y habiendo concluido la IX Legislatura autonómica en la que la recurrente obtuvo la condición de diputada de la Asamblea de Madrid y en la que fue sancionada, la eventual suspensión del acuerdo impugnado no tendría ningún efecto relevante sobre el conflicto planteado en el recurso, de modo que resultaría patentemente inútil. En consecuencia, procede su denegación, desde el momento en que acordarla cuando ha desaparecido el objeto del incidente de suspensión en modo alguno contribuiría a evitar un perjuicio que hiciese perder al amparo su finalidad (art. 56.1 LOTC).</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Declarar extinguida esta pieza separada de suspensión, por desaparición de su objeto.</w:t>
      </w:r>
    </w:p>
    <w:p w:rsidR="0033382B" w:rsidRDefault="0033382B" w:rsidP="0033382B">
      <w:pPr>
        <w:pStyle w:val="TextoNormal"/>
      </w:pPr>
    </w:p>
    <w:p w:rsidR="0033382B" w:rsidRDefault="0033382B" w:rsidP="0033382B">
      <w:pPr>
        <w:pStyle w:val="TextoNormal"/>
      </w:pPr>
      <w:r>
        <w:t>Madrid, a dieciocho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29" w:name="AUTO_2016_2"/>
      <w:r>
        <w:t>AUTO 2/2016, de 18 de enero de 2016</w:t>
      </w:r>
    </w:p>
    <w:bookmarkEnd w:id="129"/>
    <w:p w:rsidR="0033382B" w:rsidRDefault="0033382B" w:rsidP="0033382B">
      <w:pPr>
        <w:pStyle w:val="TtuloResolucin"/>
      </w:pPr>
      <w:r>
        <w:t>Sala Segunda</w:t>
      </w:r>
    </w:p>
    <w:p w:rsidR="0033382B" w:rsidRDefault="0033382B" w:rsidP="0033382B">
      <w:pPr>
        <w:pStyle w:val="TextoNormalCentrado"/>
      </w:pPr>
      <w:r>
        <w:t>ECLI:ES:TC:2016:2A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Deniega la suspensión en el recurso de amparo 2569-2014, promovido por don Félix Ojer Pueyo y otras personas en causa penal.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día 23 de abril de 2014, la Procuradora de los Tribunales doña Rosa Sorribes Calle, en nombre y representación de don Félix Ojer Pueyo y doña María Carmen Romero Martínez, y bajo la dirección letrada de don Tomás Gui Mori, interpuso demanda de amparo constitucional contra la Sentencia núm. 35/2014, de 7 de febrero, de la Sección Primera de la Audiencia Provincial de Lleida (apelación penal núm. 192-2013), que condenó a los recurrentes de amparo como autores penalmente responsables de un delito de alzamiento de bienes a la pena de dos años de prisión, inhabilitación especial para el ejercicio del derecho de sufragio pasivo durante el tiempo de la condena y multa de quince meses con cuota diaria de 6 €, con responsabilidad personal subsidiaria en caso de impago, revocando la inicial Sentencia absolutoria del Juzgado de lo Penal núm. 3 de Lleida, de 26 de agosto de 2013, dictada en autos de procedimiento abreviado núm. 417-2012. Se dirige la demanda, en segundo lugar, contra la providencia de la misma Sala y Sección, de 19 de marzo de 2014, que inadmitió a trámite el incidente de nulidad de actuaciones interpuesto frente a la Sentencia de apelación indicada.</w:t>
      </w:r>
    </w:p>
    <w:p w:rsidR="0033382B" w:rsidRDefault="0033382B" w:rsidP="0033382B">
      <w:pPr>
        <w:pStyle w:val="TextoNormal"/>
      </w:pPr>
    </w:p>
    <w:p w:rsidR="0033382B" w:rsidRDefault="0033382B" w:rsidP="0033382B">
      <w:pPr>
        <w:pStyle w:val="TextoNormal"/>
      </w:pPr>
      <w:r>
        <w:t>En la demanda de amparo, invocando el art. 56 de la Ley Orgánica del Tribunal Constitucional, se solicitó la suspensión de la ejecución de la Sentencia condenatoria.</w:t>
      </w:r>
    </w:p>
    <w:p w:rsidR="0033382B" w:rsidRDefault="0033382B" w:rsidP="0033382B">
      <w:pPr>
        <w:pStyle w:val="TextoNormal"/>
      </w:pPr>
    </w:p>
    <w:p w:rsidR="0033382B" w:rsidRDefault="0033382B" w:rsidP="0033382B">
      <w:pPr>
        <w:pStyle w:val="TextoNormal"/>
      </w:pPr>
      <w:r w:rsidRPr="0033382B">
        <w:rPr>
          <w:rStyle w:val="NumeroAFNegritaCaracter"/>
        </w:rPr>
        <w:t>2</w:t>
      </w:r>
      <w:r>
        <w:t>. La Sala Segunda de este Tribunal, por sendas providencias de 28 de mayo de 2015, acordó la admisión a trámite de la demanda de amparo y la formación de pieza separada para la tramitación del incidente sobre la suspensión solicitada, otorgando al recurrente y al Ministerio Fiscal el plazo común de tres días para que alegasen lo que estimasen pertinente sobre dicha suspensión.</w:t>
      </w:r>
    </w:p>
    <w:p w:rsidR="0033382B" w:rsidRDefault="0033382B" w:rsidP="0033382B">
      <w:pPr>
        <w:pStyle w:val="TextoNormal"/>
      </w:pPr>
    </w:p>
    <w:p w:rsidR="0033382B" w:rsidRDefault="0033382B" w:rsidP="0033382B">
      <w:pPr>
        <w:pStyle w:val="TextoNormal"/>
      </w:pPr>
      <w:r w:rsidRPr="0033382B">
        <w:rPr>
          <w:rStyle w:val="NumeroAFNegritaCaracter"/>
        </w:rPr>
        <w:t>3</w:t>
      </w:r>
      <w:r>
        <w:t>. Tras los correspondientes trámites, la Sala Segunda de este Tribunal dictó el ATC 116/2015, de 6 de julio, denegando la petición al constatar que la ejecución de las penas de prisión impuestas fue suspendida por un plazo de dos años por el Auto del Juzgado de lo Penal núm. 3 de Lleida, de 5 de mayo de 2014, y porque no concurría, en consecuencia, el presupuesto establecido en el art. 56.2 de la Ley Orgánica del Tribunal Constitucional (LOTC): que la ejecución de la pena pudiera ocasionar un perjuicio que hiciera perder al amparo su finalidad. Todo ello, añadía el Tribunal, con independencia de que la denegación de la suspensión pudiera ser modificada en el curso del proceso constitucional si surgieren nuevas circunstancias (art. 57 LOTC).</w:t>
      </w:r>
    </w:p>
    <w:p w:rsidR="0033382B" w:rsidRDefault="0033382B" w:rsidP="0033382B">
      <w:pPr>
        <w:pStyle w:val="TextoNormal"/>
      </w:pPr>
    </w:p>
    <w:p w:rsidR="0033382B" w:rsidRDefault="0033382B" w:rsidP="0033382B">
      <w:pPr>
        <w:pStyle w:val="TextoNormal"/>
      </w:pPr>
      <w:r w:rsidRPr="0033382B">
        <w:rPr>
          <w:rStyle w:val="NumeroAFNegritaCaracter"/>
        </w:rPr>
        <w:t>4</w:t>
      </w:r>
      <w:r>
        <w:t>. Por escrito registrado en este Tribunal el día 14 de diciembre de 2015, la representación procesal de los recurrentes solicita nuevamente que se suspenda la ejecución de la Sentencia condenatoria. Lo hace como consecuencia de lo acordado en el Auto de la Audiencia Provincial de Lleida de 13 de noviembre 2015, aclarado después por Auto de 3 de diciembre de 2015, que resolvió el recurso de apelación formalizado contra la inicial resolución que suspendía la ejecución de las penas (Auto de 5 de mayo de 2014). El indicado pronunciamiento, estimatorio del recurso de apelación, determina la devolución de las actuaciones al Juzgado de lo Penal núm. 3 de Lleida, lo que supone —dicen los recurrentes— un riesgo inmediato de que puedan ser ingresados en prisión.</w:t>
      </w:r>
    </w:p>
    <w:p w:rsidR="0033382B" w:rsidRDefault="0033382B" w:rsidP="0033382B">
      <w:pPr>
        <w:pStyle w:val="TextoNormal"/>
      </w:pPr>
    </w:p>
    <w:p w:rsidR="0033382B" w:rsidRDefault="0033382B" w:rsidP="0033382B">
      <w:pPr>
        <w:pStyle w:val="TextoNormal"/>
      </w:pPr>
      <w:r>
        <w:t xml:space="preserve">En efecto, el Auto de 13 de noviembre de 2015 de la Audiencia Provincial de Lleida, como señala la parte en su escrito, acuerda la retroacción de las actuaciones con base en lo prescrito en el art. 81 del Código penal, en su redacción vigente en el momento de dictarse la resolución impugnada en apelación. Un precepto que vincula la suspensión de la ejecución de las penas privativas de libertad inferiores a dos años, entre otros requisitos, a que se hayan satisfecho las responsabilidades civiles que se hubieren originado, salvo que el Juez o Tribunal sentenciador, después de oír a los interesados y al Ministerio Fiscal, declare la imposibilidad total o parcial de que el condenado haga frente a las mismas. A la vista de ello, y de su falta de valoración </w:t>
      </w:r>
      <w:r w:rsidRPr="0033382B">
        <w:rPr>
          <w:i/>
        </w:rPr>
        <w:t>ad casum</w:t>
      </w:r>
      <w:r>
        <w:t>, el Auto de 13 de noviembre de 2015 estima el recurso de apelación y devuelve las actuaciones al Juzgado de procedencia para que adecúe “el trámite de ejecución de la sentencia a los parámetros legalmente exigidos para la concesión o denegación del beneficio de suspensión interesado, y, en particular, en lo tocante a la satisfacción de las responsabilidades civiles derivadas del delito por el que fueron condenados para, una vez cumplimentado aquel trámite, valorar con plena libertad de criterio la petición relativa a la suspensión de la pena impuesta”.</w:t>
      </w:r>
    </w:p>
    <w:p w:rsidR="0033382B" w:rsidRDefault="0033382B" w:rsidP="0033382B">
      <w:pPr>
        <w:pStyle w:val="TextoNormal"/>
      </w:pPr>
    </w:p>
    <w:p w:rsidR="0033382B" w:rsidRDefault="0033382B" w:rsidP="0033382B">
      <w:pPr>
        <w:pStyle w:val="TextoNormal"/>
      </w:pPr>
      <w:r w:rsidRPr="0033382B">
        <w:rPr>
          <w:rStyle w:val="NumeroAFNegritaCaracter"/>
        </w:rPr>
        <w:t>5</w:t>
      </w:r>
      <w:r>
        <w:t>. La Sala Segunda del Tribunal, por providencia de 15 de diciembre de 2015, acordó unir el escrito de los recurrentes a la pieza formada para la tramitación del incidente sobre suspensión y, conforme determina el art. 56 LOTC, concedió un plazo común de tres días a la parte recurrente y al Ministerio Fiscal para que alegasen lo que estimasen pertinente sobre la solicitud de suspensión formulada.</w:t>
      </w:r>
    </w:p>
    <w:p w:rsidR="0033382B" w:rsidRDefault="0033382B" w:rsidP="0033382B">
      <w:pPr>
        <w:pStyle w:val="TextoNormal"/>
      </w:pPr>
    </w:p>
    <w:p w:rsidR="0033382B" w:rsidRDefault="0033382B" w:rsidP="0033382B">
      <w:pPr>
        <w:pStyle w:val="TextoNormal"/>
      </w:pPr>
      <w:r>
        <w:t>Con fecha de 22 de diciembre de 2015, los demandantes de amparo se remitieron a lo razonado en el escrito que registraron el anterior día 14 de diciembre.</w:t>
      </w:r>
    </w:p>
    <w:p w:rsidR="0033382B" w:rsidRDefault="0033382B" w:rsidP="0033382B">
      <w:pPr>
        <w:pStyle w:val="TextoNormal"/>
      </w:pPr>
    </w:p>
    <w:p w:rsidR="0033382B" w:rsidRDefault="0033382B" w:rsidP="0033382B">
      <w:pPr>
        <w:pStyle w:val="TextoNormal"/>
      </w:pPr>
      <w:r>
        <w:t>El Ministerio Fiscal, por su parte, evacuó el trámite el día 12 de enero de 2016. En su opinión, considerando que los nuevos datos fácticos alegados ponen de manifiesto la esencial variación de las circunstancias que llevaron al Tribunal a denegar la suspensión, procedería acceder a ahora a lo solicitado, aunque exclusivamente en cuanto a la pena de prisión, sin extender los efectos a las penas accesorias ni a los pronunciamientos relativos a la responsabilidad civil y costas.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art. 56.1 de la Ley Orgánica del Tribunal Constitucional (LOTC) dispone que la interposición de un recurso de amparo no suspenderá los efectos del acto o sentencia impugnados, concretando el art. 56.2 LOTC, no obstante,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33382B" w:rsidRDefault="0033382B" w:rsidP="0033382B">
      <w:pPr>
        <w:pStyle w:val="TextoNormal"/>
      </w:pPr>
    </w:p>
    <w:p w:rsidR="0033382B" w:rsidRDefault="0033382B" w:rsidP="0033382B">
      <w:pPr>
        <w:pStyle w:val="TextoNormal"/>
      </w:pPr>
      <w:r>
        <w:t>Según doctrina de este Tribunal (por todos, ATC 116/2015, de 6 de julio, dictado en esta misma pieza de suspensión), si la ejecución de una pena privativa de libertad no reviste carácter efectivo o actual por haber sido aplazada o suspendida, o por haber sido concedida la remisión condicional o la libertad condicional mediante resolución de los órganos judiciales competentes, no concurrirá el presupuesto del que parte el art. 56.2 LOTC, esto es, que la ejecución de la pena hubiere de ocasionar un perjuicio que haría perder al amparo su finalidad. Todo ello con independencia de que la denegación de la suspensión pueda ser modificada en el curso del proceso constitucional si surgieren nuevas circunstancias (art. 57 LOTC).</w:t>
      </w:r>
    </w:p>
    <w:p w:rsidR="0033382B" w:rsidRDefault="0033382B" w:rsidP="0033382B">
      <w:pPr>
        <w:pStyle w:val="TextoNormal"/>
      </w:pPr>
    </w:p>
    <w:p w:rsidR="0033382B" w:rsidRDefault="0033382B" w:rsidP="0033382B">
      <w:pPr>
        <w:pStyle w:val="TextoNormal"/>
      </w:pPr>
      <w:r w:rsidRPr="0033382B">
        <w:rPr>
          <w:rStyle w:val="NumeroAFNegritaCaracter"/>
        </w:rPr>
        <w:t>2</w:t>
      </w:r>
      <w:r>
        <w:t>. En aplicación de dichas pautas jurisprudenciales y legales, no puede compartirse el criterio sostenido por la parte recurrente y el Ministerio Fiscal. El Auto de la Audiencia Provincial de Lleida, de 13 de noviembre de 2015, retrotrae las actuaciones al Juzgado de procedencia para que adecúe el trámite de ejecución de la sentencia a los parámetros legalmente exigidos y valore con plena libertad de criterio la petición relativa a la suspensión de la pena impuesta. No concurre, entonces, el presupuesto establecido por el art. 56.2 LOTC, esto es, que la ejecución de la pena hubiere de ocasionar un perjuicio que haría perder al amparo su finalidad, pues la decisión sobre la ejecución controvertida está pendiente de resolución en la ejecutoria núm.130-2014, tras la devolución de las actuaciones, existiendo una solicitud de suspensión y una expectativa de que la pena pueda ser suspendida que corresponde sustanciar y resolver el órgano judicial.</w:t>
      </w:r>
    </w:p>
    <w:p w:rsidR="0033382B" w:rsidRDefault="0033382B" w:rsidP="0033382B">
      <w:pPr>
        <w:pStyle w:val="TextoNormal"/>
      </w:pPr>
    </w:p>
    <w:p w:rsidR="0033382B" w:rsidRDefault="0033382B" w:rsidP="0033382B">
      <w:pPr>
        <w:pStyle w:val="TextoNormal"/>
      </w:pPr>
      <w:r>
        <w:t>Deberá estarse, por consiguiente, a lo que dispuso el ATC 116/2015, de 6 de julio, también en lo referente a la previsión del art. 57 LOTC.</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Denegar la suspensión solicitada.</w:t>
      </w:r>
    </w:p>
    <w:p w:rsidR="0033382B" w:rsidRDefault="0033382B" w:rsidP="0033382B">
      <w:pPr>
        <w:pStyle w:val="TextoNormal"/>
      </w:pPr>
    </w:p>
    <w:p w:rsidR="0033382B" w:rsidRDefault="0033382B" w:rsidP="0033382B">
      <w:pPr>
        <w:pStyle w:val="TextoNormal"/>
      </w:pPr>
      <w:r>
        <w:t>Madrid, a dieciocho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30" w:name="AUTO_2016_3"/>
      <w:r>
        <w:t>AUTO 3/2016, de 18 de enero de 2016</w:t>
      </w:r>
    </w:p>
    <w:bookmarkEnd w:id="130"/>
    <w:p w:rsidR="0033382B" w:rsidRDefault="0033382B" w:rsidP="0033382B">
      <w:pPr>
        <w:pStyle w:val="TtuloResolucin"/>
      </w:pPr>
      <w:r>
        <w:t>Sala Segunda</w:t>
      </w:r>
    </w:p>
    <w:p w:rsidR="0033382B" w:rsidRDefault="0033382B" w:rsidP="0033382B">
      <w:pPr>
        <w:pStyle w:val="TextoNormalCentrado"/>
      </w:pPr>
      <w:r>
        <w:t>ECLI:ES:TC:2016:3A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Deniega la suspensión en el recurso de amparo 2443-2015, promovido por don Ignacio Berenguer Sánchez y otras personas en causa penal.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registrado en este Tribunal el día 28 de abril de 2015, el Procurador de los Tribunales don Ignacio Melchor de Oruña, en nombre y representación de don Ignacio Berenguer Sánchez y don Ángel Berenguer Sánchez, interpuso demanda de amparo contra la Sentencia núm. 147/2015, de 17 de marzo, de la Sala de lo Penal del Tribunal Supremo, que estimó el recurso de casación formalizado por el Ministerio Fiscal, por infracción de ley y de precepto constitucional, contra la Sentencia de 11 de abril de 2014 de la Sección Quinta de la Audiencia Provincial de Madrid, en causa rollo núm. 16-2012 seguida por delito contra la salud pública, y declaró, en su virtud, la nulidad de la mencionada Sentencia con retroacción de las actuaciones a la fase de deliberación subsiguiente a la celebración del juicio, para que, por los mismos Magistrados que la dictaron, se delibere y redacte una nueva, partiendo de la regularidad de la cadena de custodia y de la validez de los informes periciales analíticos emitidos sobre las distintas sustancias incautadas, en contra de lo que apreció en su momento la Sección Quinta de la Audiencia Provincial de Madrid.</w:t>
      </w:r>
    </w:p>
    <w:p w:rsidR="0033382B" w:rsidRDefault="0033382B" w:rsidP="0033382B">
      <w:pPr>
        <w:pStyle w:val="TextoNormal"/>
      </w:pPr>
    </w:p>
    <w:p w:rsidR="0033382B" w:rsidRDefault="0033382B" w:rsidP="0033382B">
      <w:pPr>
        <w:pStyle w:val="TextoNormal"/>
      </w:pPr>
      <w:r w:rsidRPr="0033382B">
        <w:rPr>
          <w:rStyle w:val="NumeroAFNegritaCaracter"/>
        </w:rPr>
        <w:t>2</w:t>
      </w:r>
      <w:r>
        <w:t>. Los demandantes aducen que la Sentencia impugnada en amparo lesiona el derecho a la tutela judicial efectiva en relación con el principio de inmediación y el carácter público del proceso y el derecho a la presunción de inocencia (art. 24.2 CE), pues existieron en la cadena de custodia irregularidades relevantes, sin que haya quedado acreditado que la sustancia enviada al laboratorio para su análisis fuera la incautada, más aún si se tiene en cuenta la falta de ratificación del atestado policial en el plenario.</w:t>
      </w:r>
    </w:p>
    <w:p w:rsidR="0033382B" w:rsidRDefault="0033382B" w:rsidP="0033382B">
      <w:pPr>
        <w:pStyle w:val="TextoNormal"/>
      </w:pPr>
    </w:p>
    <w:p w:rsidR="0033382B" w:rsidRDefault="0033382B" w:rsidP="0033382B">
      <w:pPr>
        <w:pStyle w:val="TextoNormal"/>
      </w:pPr>
      <w:r>
        <w:t>Por medio de otrosí la demanda de amparo solicita la suspensión de la ejecución de la Sentencia de 17 de marzo de 2015, ya que lo contrario implicaría la continuación del procedimiento ante la Sección Quinta de la Audiencia Provincial de Madrid creando “una desmesurada litigiosidad y perjuicio a los mandantes”.</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providencia de 30 de noviembre de 2015, la Sección Cuarta de este Tribunal acordó admitir a trámite el recurso de amparo.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33382B" w:rsidRDefault="0033382B" w:rsidP="0033382B">
      <w:pPr>
        <w:pStyle w:val="TextoNormal"/>
      </w:pPr>
    </w:p>
    <w:p w:rsidR="0033382B" w:rsidRDefault="0033382B" w:rsidP="0033382B">
      <w:pPr>
        <w:pStyle w:val="TextoNormal"/>
      </w:pPr>
      <w:r w:rsidRPr="0033382B">
        <w:rPr>
          <w:rStyle w:val="NumeroAFNegritaCaracter"/>
        </w:rPr>
        <w:t>4</w:t>
      </w:r>
      <w:r>
        <w:t>. El 4 de diciembre de 2015, los recurrentes presentaron en el Registro General de este Tribunal su escrito de alegaciones. Sostienen que una eventual condena produciría un daño irreparable, dada la duración de las penas privativas de libertad previstas para el delito por el que son acusados, resultando que, por el contrario, la suspensión solicitada no ocasiona lesión específica y grave de los intereses generales ni de los derechos fundamentales o libertades públicas de terceros.</w:t>
      </w:r>
    </w:p>
    <w:p w:rsidR="0033382B" w:rsidRDefault="0033382B" w:rsidP="0033382B">
      <w:pPr>
        <w:pStyle w:val="TextoNormal"/>
      </w:pPr>
    </w:p>
    <w:p w:rsidR="0033382B" w:rsidRDefault="0033382B" w:rsidP="0033382B">
      <w:pPr>
        <w:pStyle w:val="TextoNormal"/>
      </w:pPr>
      <w:r w:rsidRPr="0033382B">
        <w:rPr>
          <w:rStyle w:val="NumeroAFNegritaCaracter"/>
        </w:rPr>
        <w:t>5</w:t>
      </w:r>
      <w:r>
        <w:t>. Por escrito registrado en este Tribunal el día 17 de diciembre de 2015, el Ministerio Fiscal presentó su escrito de alegaciones, oponiéndose a la suspensión solicitada. Destaca que la Sentencia de 17 de marzo de 2015, dictada por la Sala de lo Penal del Tribunal Supremo, no impone ninguna pena, “limitándose a acordar la nulidad del procedimiento y su retroacción al momento en que la Audiencia Provincial de Madrid dictó sentencia, que lo fue absolutoria”. En consecuencia, concluye, no puede hablarse “de que la situación actual pueda provocar un daño irreparable a los recurrentes”.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w:t>
      </w:r>
    </w:p>
    <w:p w:rsidR="0033382B" w:rsidRDefault="0033382B" w:rsidP="0033382B">
      <w:pPr>
        <w:pStyle w:val="TextoNormal"/>
      </w:pPr>
    </w:p>
    <w:p w:rsidR="0033382B" w:rsidRDefault="0033382B" w:rsidP="0033382B">
      <w:pPr>
        <w:pStyle w:val="TextoNormal"/>
      </w:pPr>
      <w:r>
        <w:t>En atención a esta previsión legal, el Tribunal ha declarado que cuando el amparo constitucional se solicita respecto de resoluciones judiciales firmes, la suspensión de su ejecución entraña en sí misma una perturbación de la función jurisdiccional que comprende la potestad de hacer ejecutar lo juzgado (art. 117.3 CE), por lo que esta medida cautelar resulta pertinente únicamente si la ejecución del fallo causa al solicitante de amparo un perjuicio irreparable, debiendo entenderse por tal aquel que provoque que el restablecimiento del recurrente en los derechos fundamentales cuya vulneración denuncia sea tardío e impida definitivamente que la restauración sea efectiva (por citar el más reciente, ATC 117/2015, de 6 de julio, FJ 3).</w:t>
      </w:r>
    </w:p>
    <w:p w:rsidR="0033382B" w:rsidRDefault="0033382B" w:rsidP="0033382B">
      <w:pPr>
        <w:pStyle w:val="TextoNormal"/>
      </w:pPr>
    </w:p>
    <w:p w:rsidR="0033382B" w:rsidRDefault="0033382B" w:rsidP="0033382B">
      <w:pPr>
        <w:pStyle w:val="TextoNormal"/>
      </w:pPr>
      <w:r>
        <w:t>Igualmente, este Tribunal ha establecido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(por ejemplo, ATC 95/2015, de 25 de mayo, FJ 2).</w:t>
      </w:r>
    </w:p>
    <w:p w:rsidR="0033382B" w:rsidRDefault="0033382B" w:rsidP="0033382B">
      <w:pPr>
        <w:pStyle w:val="TextoNormal"/>
      </w:pPr>
    </w:p>
    <w:p w:rsidR="0033382B" w:rsidRDefault="0033382B" w:rsidP="0033382B">
      <w:pPr>
        <w:pStyle w:val="TextoNormal"/>
      </w:pPr>
      <w:r w:rsidRPr="0033382B">
        <w:rPr>
          <w:rStyle w:val="NumeroAFNegritaCaracter"/>
        </w:rPr>
        <w:t>2</w:t>
      </w:r>
      <w:r>
        <w:t>. En el presente supuesto se solicita la suspensión de la ejecución de una sentencia que retrotrae las actuaciones a la fase de deliberación subsiguiente a la celebración del juicio ante la Sección Quinta de la Audiencia Provincial de Madrid, para que se dicte nueva sentencia partiendo de la regularidad de la cadena de custodia y de la validez de los informes analíticos emitidos sobre las diferentes sustancias incautadas, en contra de lo que dispuso la Sentencia de 11 de abril de 2014, en causa rollo núm. 16-2012 seguida por delito contra la salud pública, anulada por el pronunciamiento judicial que ahora se impugna.</w:t>
      </w:r>
    </w:p>
    <w:p w:rsidR="0033382B" w:rsidRDefault="0033382B" w:rsidP="0033382B">
      <w:pPr>
        <w:pStyle w:val="TextoNormal"/>
      </w:pPr>
    </w:p>
    <w:p w:rsidR="0033382B" w:rsidRDefault="0033382B" w:rsidP="0033382B">
      <w:pPr>
        <w:pStyle w:val="TextoNormal"/>
      </w:pPr>
      <w:r>
        <w:t>A la vista de ello, como afirma con rigor el Ministerio Fiscal, no sólo no existe pena alguna que haya sido impuesta en esta fecha, sino que ni siquiera cabe presumir que la decisión final del proceso sea condenatoria, toda vez que la Audiencia Provincial deberá decidir a la vista de la valoración conjunta de todo el acervo probatorio, partiendo, claro es, de que no hubo ruptura de la cadena de custodia, como ha establecido la Sentencia de la Sala Segunda del Alto Tribunal. En esas circunstancias, con independencia de lo que deba decirse en nuestra Sentencia sobre las quejas formuladas, no se advierte aquí qué concretos perjuicios podría acarrear la ejecución de la Sentencia del Tribunal Supremo, con la continuidad necesaria del procedimiento, ni tampoco, por lo tanto, la irreparabilidad de los mismos, pues no puede aceptarse que una eventual condena futura a los recurrentes —que de darse sería el resultado del propio enjuiciamiento— constituya en sí misma considerada un perjuicio irreparable y real que deba evitarse en esta fase, al resultar, antes bien, un efecto solo potencial y futuro y una hipótesis, en realidad, expresiva de un temor de los recurrentes que no hace perder al amparo su finalidad y que no impide definitivamente, si procediera, que la restauración de sus derechos fundamentales pueda ser efectiva.</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Denegar la suspensión solicitada.</w:t>
      </w:r>
    </w:p>
    <w:p w:rsidR="0033382B" w:rsidRDefault="0033382B" w:rsidP="0033382B">
      <w:pPr>
        <w:pStyle w:val="TextoNormal"/>
      </w:pPr>
    </w:p>
    <w:p w:rsidR="0033382B" w:rsidRDefault="0033382B" w:rsidP="0033382B">
      <w:pPr>
        <w:pStyle w:val="TextoNormal"/>
      </w:pPr>
      <w:r>
        <w:t>Madrid, a dieciocho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31" w:name="AUTO_2016_4"/>
      <w:r>
        <w:t>AUTO 4/2016, de 18 de enero de 2016</w:t>
      </w:r>
    </w:p>
    <w:bookmarkEnd w:id="131"/>
    <w:p w:rsidR="0033382B" w:rsidRDefault="0033382B" w:rsidP="0033382B">
      <w:pPr>
        <w:pStyle w:val="TtuloResolucin"/>
      </w:pPr>
      <w:r>
        <w:t>Sección Segunda</w:t>
      </w:r>
    </w:p>
    <w:p w:rsidR="0033382B" w:rsidRDefault="0033382B" w:rsidP="0033382B">
      <w:pPr>
        <w:pStyle w:val="TextoNormalCentrado"/>
      </w:pPr>
      <w:r>
        <w:t>ECLI:ES:TC:2016:4A</w:t>
      </w:r>
    </w:p>
    <w:p w:rsidR="0033382B" w:rsidRDefault="0033382B" w:rsidP="0033382B">
      <w:pPr>
        <w:pStyle w:val="TextoNormalCentrado"/>
      </w:pPr>
    </w:p>
    <w:p w:rsidR="0033382B" w:rsidRDefault="0033382B" w:rsidP="0033382B">
      <w:pPr>
        <w:pStyle w:val="SntesisDescriptiva"/>
      </w:pPr>
      <w:r>
        <w:t>Excms. Srs. don Andrés Ollero Tassara y don Santiago Martínez-Vares García.</w:t>
      </w:r>
    </w:p>
    <w:p w:rsidR="0033382B" w:rsidRDefault="0033382B" w:rsidP="0033382B">
      <w:pPr>
        <w:pStyle w:val="SntesisDescriptiva"/>
      </w:pPr>
    </w:p>
    <w:p w:rsidR="0033382B" w:rsidRDefault="0033382B" w:rsidP="0033382B">
      <w:pPr>
        <w:pStyle w:val="SntesisDescriptiva"/>
      </w:pPr>
      <w:r>
        <w:t>Desestima el recurso de súplica del Ministerio Fiscal sobre inadmisión del recurso de amparo 3926-2015, promovido por Planeas Promotores, S.L.,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presentado el 30 de octubre de 2015 en el Registro General de este Tribunal el Fiscal ante el Tribunal Constitucional interpone recurso de súplica contra la providencia de la Sección Segunda del día 5 del mismo mes que acordó la inadmisión del recurso de amparo núm. 3926-2015.</w:t>
      </w:r>
    </w:p>
    <w:p w:rsidR="0033382B" w:rsidRDefault="0033382B" w:rsidP="0033382B">
      <w:pPr>
        <w:pStyle w:val="TextoNormal"/>
      </w:pPr>
    </w:p>
    <w:p w:rsidR="0033382B" w:rsidRDefault="0033382B" w:rsidP="0033382B">
      <w:pPr>
        <w:pStyle w:val="TextoNormal"/>
      </w:pPr>
      <w:r w:rsidRPr="0033382B">
        <w:rPr>
          <w:rStyle w:val="NumeroAFNegritaCaracter"/>
        </w:rPr>
        <w:t>2</w:t>
      </w:r>
      <w:r>
        <w:t>. Los hechos de los que trae causa el recurso de súplica son, sucintamente expuestos, los siguientes:</w:t>
      </w:r>
    </w:p>
    <w:p w:rsidR="0033382B" w:rsidRDefault="0033382B" w:rsidP="0033382B">
      <w:pPr>
        <w:pStyle w:val="TextoNormal"/>
      </w:pPr>
    </w:p>
    <w:p w:rsidR="0033382B" w:rsidRDefault="0033382B" w:rsidP="0033382B">
      <w:pPr>
        <w:pStyle w:val="TextoNormal"/>
      </w:pPr>
      <w:r>
        <w:t>a) La sociedad limitada Planeas Promotores —actual demandante de amparo— contrata un crédito hipotecario con la entidad Caixabank, S.A. La hipoteca es formalizada por doña María Teresa Segarra Cabrera, administradora de Planeas Promotores, y avalada solidariamente como fiador por don Carlos Alamán Esparza.</w:t>
      </w:r>
    </w:p>
    <w:p w:rsidR="0033382B" w:rsidRDefault="0033382B" w:rsidP="0033382B">
      <w:pPr>
        <w:pStyle w:val="TextoNormal"/>
      </w:pPr>
    </w:p>
    <w:p w:rsidR="0033382B" w:rsidRDefault="0033382B" w:rsidP="0033382B">
      <w:pPr>
        <w:pStyle w:val="TextoNormal"/>
      </w:pPr>
      <w:r>
        <w:t>b) El 13 de febrero de 2012 Caixabank formaliza demanda de ejecución hipotecaria contra Planeas Promotores, que da lugar al procedimiento 65-2013, tramitado por el Juzgado de Primera Instancia e Instrucción núm. 1 de Boltaña (Huesca). No consta que la demandante de amparo promoviese el incidente de oposición a la ejecución hipotecaria previsto en el art. 695 de la Ley de enjuiciamiento civil (LEC).</w:t>
      </w:r>
    </w:p>
    <w:p w:rsidR="0033382B" w:rsidRDefault="0033382B" w:rsidP="0033382B">
      <w:pPr>
        <w:pStyle w:val="TextoNormal"/>
      </w:pPr>
    </w:p>
    <w:p w:rsidR="0033382B" w:rsidRDefault="0033382B" w:rsidP="0033382B">
      <w:pPr>
        <w:pStyle w:val="TextoNormal"/>
      </w:pPr>
      <w:r>
        <w:t>c) Por Autos de 10 de febrero y 14 de marzo de 2014 el Juzgado rechaza la posibilidad de que el fiador, don Carlos Alamán Esparza, sea parte en el procedimiento de ejecución hipotecaria.</w:t>
      </w:r>
    </w:p>
    <w:p w:rsidR="0033382B" w:rsidRDefault="0033382B" w:rsidP="0033382B">
      <w:pPr>
        <w:pStyle w:val="TextoNormal"/>
      </w:pPr>
    </w:p>
    <w:p w:rsidR="0033382B" w:rsidRDefault="0033382B" w:rsidP="0033382B">
      <w:pPr>
        <w:pStyle w:val="TextoNormal"/>
      </w:pPr>
      <w:r>
        <w:t>d) El 15 de mayo de 2014, despachada la ejecución y estando pendiente la celebración de la subasta, la actual recurrente en amparo interesa la nulidad de todas las actuaciones del procedimiento de ejecución. Afirma que Caixabank ha creado la apariencia de que su demanda de ejecución cumple los requisitos que exige el art. 573 LEC, pero no es así por no estar acompañada de un documento válido que exprese con detalle el extracto de las partidas de cargo, abono e intereses que determinan el saldo concreto por el que se pide el despacho de ejecución.</w:t>
      </w:r>
    </w:p>
    <w:p w:rsidR="0033382B" w:rsidRDefault="0033382B" w:rsidP="0033382B">
      <w:pPr>
        <w:pStyle w:val="TextoNormal"/>
      </w:pPr>
    </w:p>
    <w:p w:rsidR="0033382B" w:rsidRDefault="0033382B" w:rsidP="0033382B">
      <w:pPr>
        <w:pStyle w:val="TextoNormal"/>
      </w:pPr>
      <w:r>
        <w:t>e) Por Auto de 3 de junio de 2014 el Juzgado declara que “no ha lugar a acordar la nulidad de las presentes actuaciones, debiendo continuar el presente procedimiento por los trámites correspondientes”, porque “no se ha producido vulneración alguna de lo dispuesto en el art. 573.1.1 LEC al haberse acompañado a la demanda ejecutiva, junto con las certificaciones del débito intervenidas por el fedatario público el extracto de las operaciones de abono y cargo que determinan el saldo que se reclama”.</w:t>
      </w:r>
    </w:p>
    <w:p w:rsidR="0033382B" w:rsidRDefault="0033382B" w:rsidP="0033382B">
      <w:pPr>
        <w:pStyle w:val="TextoNormal"/>
      </w:pPr>
    </w:p>
    <w:p w:rsidR="0033382B" w:rsidRDefault="0033382B" w:rsidP="0033382B">
      <w:pPr>
        <w:pStyle w:val="TextoNormal"/>
      </w:pPr>
      <w:r>
        <w:t>f) El 10 de junio de 2014 la actual demandante de amparo interpone recurso de reposición contra el Auto anterior. Insiste en que “los documentos acompañados a la demanda pretenden aparentar el cumplimiento de los requisitos exigibles sobre saldo de cuenta corriente, pero no tienen nada que ver con la exigencia legal”. Señala también que “esta parte debe denunciar la indefensión que le causa la resolución recurrida al no dar lugar a la nulidad y, además, el abuso de derecho y de posición dominante de la actora, por la falta de aportación de los documentos legales requeridos para obtener la ejecución hipotecaria”.</w:t>
      </w:r>
    </w:p>
    <w:p w:rsidR="0033382B" w:rsidRDefault="0033382B" w:rsidP="0033382B">
      <w:pPr>
        <w:pStyle w:val="TextoNormal"/>
      </w:pPr>
    </w:p>
    <w:p w:rsidR="0033382B" w:rsidRDefault="0033382B" w:rsidP="0033382B">
      <w:pPr>
        <w:pStyle w:val="TextoNormal"/>
      </w:pPr>
      <w:r>
        <w:t>g) Por Auto de 7 de julio de 2014 el Juzgado desestima el recurso de reposición porque sus alegaciones “no son sino una reiteración de la cuestión que se planteó en su momento a través del incidente de nulidad de actuaciones”, “siendo la oposición a la ejecución el cauce adecuado para poner de manifiesto tales cuestiones, lo cual no se realizó en el momento procesal oportuno por el ahora recurrente, por lo que tales alegaciones resultan del todo extemporáneas, teniendo en cuenta el estado actual del procedimiento, pendiente de subasta”.</w:t>
      </w:r>
    </w:p>
    <w:p w:rsidR="0033382B" w:rsidRDefault="0033382B" w:rsidP="0033382B">
      <w:pPr>
        <w:pStyle w:val="TextoNormal"/>
      </w:pPr>
    </w:p>
    <w:p w:rsidR="0033382B" w:rsidRDefault="0033382B" w:rsidP="0033382B">
      <w:pPr>
        <w:pStyle w:val="TextoNormal"/>
      </w:pPr>
      <w:r>
        <w:t>h) Por diligencia de ordenación de 16 de enero de 2015 se señala el 16 de marzo de 2015 como fecha de celebración de la subasta de las fincas objeto de ejecución hipotecaria.</w:t>
      </w:r>
    </w:p>
    <w:p w:rsidR="0033382B" w:rsidRDefault="0033382B" w:rsidP="0033382B">
      <w:pPr>
        <w:pStyle w:val="TextoNormal"/>
      </w:pPr>
    </w:p>
    <w:p w:rsidR="0033382B" w:rsidRDefault="0033382B" w:rsidP="0033382B">
      <w:pPr>
        <w:pStyle w:val="TextoNormal"/>
      </w:pPr>
      <w:r>
        <w:t>i) El 11 de marzo de 2015, pocos días antes del día señalado para la subasta judicial de las fincas hipotecadas, la actual demandante de amparo presenta un nuevo escrito. Insiste en que el procedimiento de ejecución hipotecaria incurre en abuso de Derecho manifiesto por la diferencia entre el valor de los inmuebles por el que en pública subasta la ejecutante puede llegar adquirir la propiedad y lo adeudado por la parte ejecutada. Señala igualmente que constituye un abuso de Derecho la aplicación del art. 685 LEC para no permitir al fiador ser parte en el procedimiento y plantear oposición. Dado que “la legislación española no prevé solución alguna para resolver los abusos de Derecho mencionados”, procede “la interposición de cuestión prejudicial por parte de este Juzgado ante el Tribunal de Justicia de la Unión Europea”. Añade: “A tenor de ello interesa se suspenda el curso del presente procedimiento de ejecución hipotecaria, incluyendo la subasta de 16 de marzo de 2015 a las 11:00 horas”.</w:t>
      </w:r>
    </w:p>
    <w:p w:rsidR="0033382B" w:rsidRDefault="0033382B" w:rsidP="0033382B">
      <w:pPr>
        <w:pStyle w:val="TextoNormal"/>
      </w:pPr>
    </w:p>
    <w:p w:rsidR="0033382B" w:rsidRDefault="0033382B" w:rsidP="0033382B">
      <w:pPr>
        <w:pStyle w:val="TextoNormal"/>
      </w:pPr>
      <w:r>
        <w:t>j) Por providencia de 17 de marzo de 2015, el Juzgado declara que “no ha lugar a elevar la cuestión prejudicial comunitaria” porque los argumentos de la ejecutada han sido ya resueltos a través de los Autos de 3 de junio y 7 de julio de 2014. Añade que “existen motivos suficientes para concluir, dados los antecedentes expuestos, que la cuestión prejudicial comunitaria se plantea en este momento procesal (dos días antes de la fecha de señalamiento de la subasta judicial de las fincas hipotecadas) con ánimo exclusivamente dilatorio”.</w:t>
      </w:r>
    </w:p>
    <w:p w:rsidR="0033382B" w:rsidRDefault="0033382B" w:rsidP="0033382B">
      <w:pPr>
        <w:pStyle w:val="TextoNormal"/>
      </w:pPr>
    </w:p>
    <w:p w:rsidR="0033382B" w:rsidRDefault="0033382B" w:rsidP="0033382B">
      <w:pPr>
        <w:pStyle w:val="TextoNormal"/>
      </w:pPr>
      <w:r>
        <w:t>k) El 25 de marzo de 2015, la actual demandante de amparo interpone recurso de reposición, reproduciendo los argumentos del escrito de 11 de marzo de 2015 y añadiendo que lo solicitado es que se resuelvan cuestiones ya planteadas, pero de acuerdo con la normativa comunitaria tal como la interpreta el Tribunal de Justicia de la Unión Europea.</w:t>
      </w:r>
    </w:p>
    <w:p w:rsidR="0033382B" w:rsidRDefault="0033382B" w:rsidP="0033382B">
      <w:pPr>
        <w:pStyle w:val="TextoNormal"/>
      </w:pPr>
    </w:p>
    <w:p w:rsidR="0033382B" w:rsidRDefault="0033382B" w:rsidP="0033382B">
      <w:pPr>
        <w:pStyle w:val="TextoNormal"/>
      </w:pPr>
      <w:r>
        <w:t>l) Por Auto de 27 de abril de 2015, el Juzgado desestima el recurso de reposición porque éste no indica el precepto legal infringido. Tras dar por reproducidas las razones expuestas en la resolución recurrida, insiste en que el Juzgado ya se ha pronunciado sobre la improcedencia de elevar la cuestión prejudicial.</w:t>
      </w:r>
    </w:p>
    <w:p w:rsidR="0033382B" w:rsidRDefault="0033382B" w:rsidP="0033382B">
      <w:pPr>
        <w:pStyle w:val="TextoNormal"/>
      </w:pPr>
    </w:p>
    <w:p w:rsidR="0033382B" w:rsidRDefault="0033382B" w:rsidP="0033382B">
      <w:pPr>
        <w:pStyle w:val="TextoNormal"/>
      </w:pPr>
      <w:r>
        <w:t>m) Por escrito de 7 de mayo de 2015, la actual demandante de amparo afirma que en su momento identificó los preceptos vulnerados (arts. 24 y 96 CE y art. 234 del Tratado de la Unión Europea) por lo que interesa la rectificación del mencionado error material.</w:t>
      </w:r>
    </w:p>
    <w:p w:rsidR="0033382B" w:rsidRDefault="0033382B" w:rsidP="0033382B">
      <w:pPr>
        <w:pStyle w:val="TextoNormal"/>
      </w:pPr>
    </w:p>
    <w:p w:rsidR="0033382B" w:rsidRDefault="0033382B" w:rsidP="0033382B">
      <w:pPr>
        <w:pStyle w:val="TextoNormal"/>
      </w:pPr>
      <w:r>
        <w:t>n) Por Auto de 26 de mayo de 2015, el Juzgado declara que no ha lugar a efectuar la aclaración del Auto de 27 de abril de 2015 porque éste no incurre en ningún error material o defecto susceptible de subsanación. Razona que la desestimación se basó, no sólo en la falta de citación expresa del precepto legal infringido, sino también en los argumentos de la resolución recurrida, que se dieron por reproducidos.</w:t>
      </w:r>
    </w:p>
    <w:p w:rsidR="0033382B" w:rsidRDefault="0033382B" w:rsidP="0033382B">
      <w:pPr>
        <w:pStyle w:val="TextoNormal"/>
      </w:pPr>
    </w:p>
    <w:p w:rsidR="0033382B" w:rsidRDefault="0033382B" w:rsidP="0033382B">
      <w:pPr>
        <w:pStyle w:val="TextoNormal"/>
      </w:pPr>
      <w:r>
        <w:t>ñ) El 2 de julio de 2015 tiene entrada en el Registro General del Tribunal Constitucional escrito de don Eduardo Codés Feijoo, Procurador de los Tribunales y de Planeas Promotores, S. L., por el que se interpone recurso de amparo contra el Auto de 26 de mayo de 2015, que rechaza la corrección solicitada respecto del Auto de 27 de abril, desestimatorio del recurso de reposición interpuesto contra la providencia de 17 de marzo que declara que no ha lugar a la elevación de la cuestión prejudicial.</w:t>
      </w:r>
    </w:p>
    <w:p w:rsidR="0033382B" w:rsidRDefault="0033382B" w:rsidP="0033382B">
      <w:pPr>
        <w:pStyle w:val="TextoNormal"/>
      </w:pPr>
    </w:p>
    <w:p w:rsidR="0033382B" w:rsidRDefault="0033382B" w:rsidP="0033382B">
      <w:pPr>
        <w:pStyle w:val="TextoNormal"/>
      </w:pPr>
      <w:r>
        <w:t xml:space="preserve">La demanda carece de un apartado específico destinado a la argumentación de la vulneración de derecho fundamental que se estima producida. Consta sólo de dos partes, una relativa a los antecedentes de hecho y otra a los fundamentos jurídico-procesales que carece igualmente de razonamientos relativos a la especial trascendencia constitucional del recurso como criterio de admisibilidad </w:t>
      </w:r>
      <w:r w:rsidRPr="0033382B">
        <w:rPr>
          <w:i/>
        </w:rPr>
        <w:t>ex</w:t>
      </w:r>
      <w:r>
        <w:t xml:space="preserve"> art. 49.1 de la Ley Orgánica del Tribunal Constitucional (LOTC). En el apartado de hechos insiste en que el Juzgado ha incurrido en abuso de Derecho por despachar la ejecución hipotecaria sin que la demanda cumpliera los requisitos legalmente exigidos y sin permitir que el fiador sea parte en el procedimiento al amparo del art. 685 LEC. En los dos últimos puntos de ese apartado concluye: “procede la interposición de la mencionada cuestión prejudicial, habida cuenta que el Tribunal Constitucional en sus Sentencias 58/2004, de 19 de abril, 194/2006, de 19 de junio, y 78/2010, de 20 de octubre, considera que la falta de planteamiento de una cuestión prejudicial puede suponer una vulneración de la tutela judicial efectiva”; “A la vista de lo aquí expuesto queda de manifiesto que nos encontramos ante una vulneración del derecho contenido en el art. 24 CE”.</w:t>
      </w:r>
    </w:p>
    <w:p w:rsidR="0033382B" w:rsidRDefault="0033382B" w:rsidP="0033382B">
      <w:pPr>
        <w:pStyle w:val="TextoNormal"/>
      </w:pPr>
    </w:p>
    <w:p w:rsidR="0033382B" w:rsidRDefault="0033382B" w:rsidP="0033382B">
      <w:pPr>
        <w:pStyle w:val="TextoNormal"/>
      </w:pPr>
      <w:r>
        <w:t>o) Por providencia de 5 de octubre de 2015, la Sección Segunda del Tribunal Constitucional acuerda inadmitir a trámite el recurso de amparo “con arreglo a lo previsto en el art. 50.1 a), en relación con su art. 44.1 c), toda vez que en el proceso previo no se denunció la vulneración del derecho fundamental”.</w:t>
      </w:r>
    </w:p>
    <w:p w:rsidR="0033382B" w:rsidRDefault="0033382B" w:rsidP="0033382B">
      <w:pPr>
        <w:pStyle w:val="TextoNormal"/>
      </w:pPr>
    </w:p>
    <w:p w:rsidR="0033382B" w:rsidRDefault="0033382B" w:rsidP="0033382B">
      <w:pPr>
        <w:pStyle w:val="TextoNormal"/>
      </w:pPr>
      <w:r>
        <w:t>p) El 19 de octubre de 2015 tiene entrada en el Registro General del Tribunal Constitucional escrito de don Eduardo Codés Feijoo, Procurador de los Tribunales y de Planeas Promotores, S. L., afirmando que en el proceso previo sí mencionó y denunció la vulneración del derecho fundamental a la tutela judicial efectiva. Interesa la rectificación del error material de que adolece la providencia anterior y la admisión del recurso de amparo.</w:t>
      </w:r>
    </w:p>
    <w:p w:rsidR="0033382B" w:rsidRDefault="0033382B" w:rsidP="0033382B">
      <w:pPr>
        <w:pStyle w:val="TextoNormal"/>
      </w:pPr>
    </w:p>
    <w:p w:rsidR="0033382B" w:rsidRDefault="0033382B" w:rsidP="0033382B">
      <w:pPr>
        <w:pStyle w:val="TextoNormal"/>
      </w:pPr>
      <w:r w:rsidRPr="0033382B">
        <w:rPr>
          <w:rStyle w:val="NumeroAFNegritaCaracter"/>
        </w:rPr>
        <w:t>3</w:t>
      </w:r>
      <w:r>
        <w:t xml:space="preserve">. En su recurso de súplica, el Ministerio Fiscal, sin pronunciarse sobre “la fundamentación de la lesión constitucional denunciada”, afirma que “el examen de las actuaciones permite constatar que la sociedad demandante denunció en el proceso </w:t>
      </w:r>
      <w:r w:rsidRPr="0033382B">
        <w:rPr>
          <w:i/>
        </w:rPr>
        <w:t>a quo</w:t>
      </w:r>
      <w:r>
        <w:t xml:space="preserve"> la lesión del derecho a la tutela judicial efectiva (art. 24.1 CE), como consecuencia de la negativa del órgano judicial a plantear la cuestión prejudicial ante el Tribunal de Justicia de la Unión Europea”. Por ello, estima cumplido el requisito de la invocación previa en la jurisdicción ordinaria del derecho fundamental cuya lesión se denuncia en sede amparo.</w:t>
      </w:r>
    </w:p>
    <w:p w:rsidR="0033382B" w:rsidRDefault="0033382B" w:rsidP="0033382B">
      <w:pPr>
        <w:pStyle w:val="TextoNormal"/>
      </w:pPr>
    </w:p>
    <w:p w:rsidR="0033382B" w:rsidRDefault="0033382B" w:rsidP="0033382B">
      <w:pPr>
        <w:pStyle w:val="TextoNormal"/>
      </w:pPr>
      <w:r w:rsidRPr="0033382B">
        <w:rPr>
          <w:rStyle w:val="NumeroAFNegritaCaracter"/>
        </w:rPr>
        <w:t>4</w:t>
      </w:r>
      <w:r>
        <w:t>. Por diligencia de ordenación de 3 de noviembre de 2015, el Secretario de Justicia de la Sala Primera del Tribunal Constitucional tiene por recibido el escrito del Ministerio Fiscal y acuerda dar trasladado al demandante de amparo para que alegue lo que estime conveniente de conformidad con el art. 93.2 LOTC.</w:t>
      </w:r>
    </w:p>
    <w:p w:rsidR="0033382B" w:rsidRDefault="0033382B" w:rsidP="0033382B">
      <w:pPr>
        <w:pStyle w:val="TextoNormal"/>
      </w:pPr>
    </w:p>
    <w:p w:rsidR="0033382B" w:rsidRDefault="0033382B" w:rsidP="0033382B">
      <w:pPr>
        <w:pStyle w:val="TextoNormal"/>
      </w:pPr>
      <w:r w:rsidRPr="0033382B">
        <w:rPr>
          <w:rStyle w:val="NumeroAFNegritaCaracter"/>
        </w:rPr>
        <w:t>5</w:t>
      </w:r>
      <w:r>
        <w:t>. El 10 de noviembre de 2015 tiene entrada en el Registro General de este Tribunal escrito de don Eduardo Codés Feijoo, Procurador de los Tribunales y de Planeas Promotores, S. L, adhiriéndose al recurso de súplica presentado por el Ministerio Fiscal.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 xml:space="preserve">Único. El Ministerio Fiscal interpone recurso de súplica contra la providencia de 5 de octubre de 2015 de la Sección Segunda de este Tribunal que acordó la inadmisión del recurso de amparo núm. 3926-2015. Considera que “el examen de las actuaciones permite constatar que la sociedad demandante denunció en el proceso </w:t>
      </w:r>
      <w:r w:rsidRPr="0033382B">
        <w:rPr>
          <w:i/>
        </w:rPr>
        <w:t>a quo</w:t>
      </w:r>
      <w:r>
        <w:t xml:space="preserve"> la lesión del derecho a la tutela judicial efectiva (art. 24.1 CE), como consecuencia de la negativa del órgano judicial a plantear la cuestión prejudicial ante el Tribunal de Justicia de la Unión Europea”. Por ello, estima cumplido el requisito de la invocación previa en la jurisdicción ordinaria del derecho fundamental cuya lesión se denuncia en sede amparo.</w:t>
      </w:r>
    </w:p>
    <w:p w:rsidR="0033382B" w:rsidRDefault="0033382B" w:rsidP="0033382B">
      <w:pPr>
        <w:pStyle w:val="TextoNormal"/>
      </w:pPr>
    </w:p>
    <w:p w:rsidR="0033382B" w:rsidRDefault="0033382B" w:rsidP="0033382B">
      <w:pPr>
        <w:pStyle w:val="TextoNormal"/>
      </w:pPr>
      <w:r>
        <w:t>Conviene precisar, por de pronto, que el escrito que plantea el recurso de amparo carece, no sólo de una mínima argumentación relativa a su eventual especial trascendencia constitucional, sino también de un apartado específico de fundamentos jurídico-materiales que razone cumplidamente la vulneración denunciada.</w:t>
      </w:r>
    </w:p>
    <w:p w:rsidR="0033382B" w:rsidRDefault="0033382B" w:rsidP="0033382B">
      <w:pPr>
        <w:pStyle w:val="TextoNormal"/>
      </w:pPr>
    </w:p>
    <w:p w:rsidR="0033382B" w:rsidRDefault="0033382B" w:rsidP="0033382B">
      <w:pPr>
        <w:pStyle w:val="TextoNormal"/>
      </w:pPr>
      <w:r>
        <w:t>En los antecedentes de hecho, la demandante parece entender que el Juzgado de Primera Instancia e Instrucción núm. 1 de Boltaña (Huesca) ha vulnerado su derecho fundamental a la tutela judicial efectiva (art. 24.1 CE) por no remediar los “abusos de Derecho” que, según afirma, resultan de aplicar la legislación española y, en particular, por despachar la ejecución hipotecaria sin que la demanda cumpliera los requisitos legalmente exigidos y sin permitir que el fiador sea parte en el procedimiento al amparo del art. 685 de la Ley de enjuiciamiento civil (LEC). Según el recurso de amparo, el órgano judicial debió rectificar tales abusos mediante el planteamiento de la cuestión prejudicial ante el Tribunal de Justicia de la Unión Europea. La demanda no explica acabadamente qué normas comunitarias podrían ser aplicables ni cómo remediarían aquellos abusos ni por qué todos estos derivarían directamente de la legislación española. Sin embargo, considera que, al no plantear la cuestión prejudicial, el órgano judicial habría infringido el art. 24.1 CE.</w:t>
      </w:r>
    </w:p>
    <w:p w:rsidR="0033382B" w:rsidRDefault="0033382B" w:rsidP="0033382B">
      <w:pPr>
        <w:pStyle w:val="TextoNormal"/>
      </w:pPr>
    </w:p>
    <w:p w:rsidR="0033382B" w:rsidRDefault="0033382B" w:rsidP="0033382B">
      <w:pPr>
        <w:pStyle w:val="TextoNormal"/>
      </w:pPr>
      <w:r>
        <w:t>La demandante de amparo no puso de relieve aquellos “abusos de Derecho” ni la posibilidad de repararlos mediante el Derecho comunitario y el planteamiento de la cuestión prejudicial “tan pronto como” hubo “lugar para ello” [art. 44.1 c) de la Ley Orgánica del Tribunal Constitucional: LOTC].</w:t>
      </w:r>
    </w:p>
    <w:p w:rsidR="0033382B" w:rsidRDefault="0033382B" w:rsidP="0033382B">
      <w:pPr>
        <w:pStyle w:val="TextoNormal"/>
      </w:pPr>
    </w:p>
    <w:p w:rsidR="0033382B" w:rsidRDefault="0033382B" w:rsidP="0033382B">
      <w:pPr>
        <w:pStyle w:val="TextoNormal"/>
      </w:pPr>
      <w:r>
        <w:t>En primer lugar, no consta que la demandante de amparo promoviese el incidente de oposición a la ejecución hipotecaria previsto en el art. 695 LEC. Precisamente por eso el Auto de 7 julio de 2014 del Juzgado rechazó la alegación proferida en el escrito de recurso de reposición de 10 de junio de 2014 en cuanto a los defectos atribuidos a la demanda de ejecución: “siendo la oposición a la ejecución el cauce adecuado para poner de manifiesto tales cuestiones, lo cual no se realizó en el momento procesal oportuno por el ahora recurrente”, “tales alegaciones resultan del todo extemporáneas, teniendo en cuenta el estado actual del procedimiento, pendiente de subasta”.</w:t>
      </w:r>
    </w:p>
    <w:p w:rsidR="0033382B" w:rsidRDefault="0033382B" w:rsidP="0033382B">
      <w:pPr>
        <w:pStyle w:val="TextoNormal"/>
      </w:pPr>
    </w:p>
    <w:p w:rsidR="0033382B" w:rsidRDefault="0033382B" w:rsidP="0033382B">
      <w:pPr>
        <w:pStyle w:val="TextoNormal"/>
      </w:pPr>
      <w:r>
        <w:t>En segundo lugar, la circunstancia de que el fiador no fuera llamado como parte a la ejecución hipotecaria existía desde el despacho de ejecución, en febrero de 2013, y fue reafirmada en Autos de 10 de febrero y 14 de marzo de 2014. Sin embargo, la recurrente en amparo no la puso de manifiesto, vinculándola al planteamiento de la cuestión prejudicial, hasta marzo de 2015. Los escritos de 15 de mayo y 10 de junio de 2014 por los que la demandante de amparo formuló incidente de nulidad de actuaciones y recurso de reposición, respectivamente, ni siquiera hacen mención de la cuestión relativa a la falta de notificación del proceso al fiador. La queja resultaba, pues, extemporánea, sin necesidad de entrar a valorar si sólo el fiador estaría legitimado para formularla.</w:t>
      </w:r>
    </w:p>
    <w:p w:rsidR="0033382B" w:rsidRDefault="0033382B" w:rsidP="0033382B">
      <w:pPr>
        <w:pStyle w:val="TextoNormal"/>
      </w:pPr>
    </w:p>
    <w:p w:rsidR="0033382B" w:rsidRDefault="0033382B" w:rsidP="0033382B">
      <w:pPr>
        <w:pStyle w:val="TextoNormal"/>
      </w:pPr>
      <w:r>
        <w:t>En suma, sin haber denunciado en la fase procesal oportuna aquellos posibles “abusos de Derecho”, la demandante los plantea después, vinculados al planteamiento de la cuestión prejudicial comunitaria, en un escrito de 11 de marzo de 2015 respecto del que “existen motivos suficientes para concluir” que se presenta “en este momento procesal (dos días antes de la fecha de señalamiento de la subasta judicial de las fincas hipotecadas) con ánimo exclusivamente dilatorio”, tal como afirma la providencia de 17 de marzo de 2015 del Juzgado.</w:t>
      </w:r>
    </w:p>
    <w:p w:rsidR="0033382B" w:rsidRDefault="0033382B" w:rsidP="0033382B">
      <w:pPr>
        <w:pStyle w:val="TextoNormal"/>
      </w:pPr>
    </w:p>
    <w:p w:rsidR="0033382B" w:rsidRDefault="0033382B" w:rsidP="0033382B">
      <w:pPr>
        <w:pStyle w:val="TextoNormal"/>
      </w:pPr>
      <w:r>
        <w:t>Procede, pues, confirmar la inadmisión del recurso de amparo por incumplir el art. 50.1 a), en relación con su art. 44.1 c), ambos LOTC, toda vez que en el proceso previo no se denunció la vulneración del derecho fundamental tan pronto como era posible (SSTC 55/1991, de 12 de marzo, FJ 2; 185/1992, de 16 de noviembre, FJ 1; y 132/2006, de 27 de abril, FJ 3, por todas).</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Desestimar el recurso de súplica interpuesto por el Ministerio Fiscal y, en consecuencia, confirmar en su integridad la providencia de 5 de octubre de 2015 que acordó la inadmisión del recurso de amparo núm. 3926-2015.</w:t>
      </w:r>
    </w:p>
    <w:p w:rsidR="0033382B" w:rsidRDefault="0033382B" w:rsidP="0033382B">
      <w:pPr>
        <w:pStyle w:val="TextoNormal"/>
      </w:pPr>
    </w:p>
    <w:p w:rsidR="0033382B" w:rsidRDefault="0033382B" w:rsidP="0033382B">
      <w:pPr>
        <w:pStyle w:val="TextoNormal"/>
      </w:pPr>
      <w:r>
        <w:t>Madrid, a dieciocho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32" w:name="AUTO_2016_5"/>
      <w:r>
        <w:t>AUTO 5/2016, de 18 de enero de 2016</w:t>
      </w:r>
    </w:p>
    <w:bookmarkEnd w:id="132"/>
    <w:p w:rsidR="0033382B" w:rsidRDefault="0033382B" w:rsidP="0033382B">
      <w:pPr>
        <w:pStyle w:val="TtuloResolucin"/>
      </w:pPr>
      <w:r>
        <w:t>Sala Segunda</w:t>
      </w:r>
    </w:p>
    <w:p w:rsidR="0033382B" w:rsidRDefault="0033382B" w:rsidP="0033382B">
      <w:pPr>
        <w:pStyle w:val="TextoNormalCentrado"/>
      </w:pPr>
      <w:r>
        <w:t>ECLI:ES:TC:2016:5A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extinción, por pérdida de objeto, de la cuestión de inconstitucionalidad 5964-2015, planteada por el Juzgado de lo Contencioso-Administrativo núm. 1 de Santander en relación con el artículo 65 bis.1 de la Ley 2/2001, de 25 de junio, de ordenación territorial y del régimen urbanístico del suelo de Cantabria, añadido por el art. 1 de la Ley 4/2013, de 20 de junio.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Por escrito registrado en este Tribunal el 27 de octubre de 2015, el Juzgado de lo Contencioso-Administrativo núm. 1 de Santander remitió testimonio del Auto de 13 de octubre de 2015 por el que se acordó plantear cuestión de inconstitucionalidad en relación con el art. 65 </w:t>
      </w:r>
      <w:r w:rsidRPr="0033382B">
        <w:rPr>
          <w:i/>
        </w:rPr>
        <w:t>bis</w:t>
      </w:r>
      <w:r>
        <w:t>.1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Por Sentencias del Juzgado promotor de 21 de noviembre de 2000 (dos), 28 de noviembre de 2000 y 9 de febrero de 2004, dictadas en los procedimientos ordinarios núms. 185-1999, 183-1999, 184-1999 y 181-1999, se anularon licencias urbanísticas concedidas por el Ayuntamiento de Argoños en la urbanización “Las Llamas” por no respetarse en todos esos casos la obligación de adaptar las construcciones al ambiente en que estuviesen situadas contenida en el art. 138 del texto refundido de la Ley del suelo aprobado por Real Decreto Legislativo 1/1992, de 26 de junio. Todos esos procedimientos fueron instados por la asociación para la defensa de los recursos naturales de Cantabria (ARCA), y todas esas Sentencias ganaron firmeza como consecuencia de las desestimación de los recursos de apelación interpuestos contra ellas por Sentencias de distintas fechas dictadas por la Sala de lo Contencioso-Administrativo del Tribunal Superior de Justicia de Cantabria.</w:t>
      </w:r>
    </w:p>
    <w:p w:rsidR="0033382B" w:rsidRDefault="0033382B" w:rsidP="0033382B">
      <w:pPr>
        <w:pStyle w:val="TextoNormal"/>
      </w:pPr>
    </w:p>
    <w:p w:rsidR="0033382B" w:rsidRDefault="0033382B" w:rsidP="0033382B">
      <w:pPr>
        <w:pStyle w:val="TextoNormal"/>
      </w:pPr>
      <w:r>
        <w:t>b) La parte recurrente instó la ejecución de las referidas Sentencias, acordándose por el Juzgado la acumulación de todos esos incidentes de ejecución en uno solo, correspondiente al procedimiento ordinario núm. 185-1999.</w:t>
      </w:r>
    </w:p>
    <w:p w:rsidR="0033382B" w:rsidRDefault="0033382B" w:rsidP="0033382B">
      <w:pPr>
        <w:pStyle w:val="TextoNormal"/>
      </w:pPr>
    </w:p>
    <w:p w:rsidR="0033382B" w:rsidRDefault="0033382B" w:rsidP="0033382B">
      <w:pPr>
        <w:pStyle w:val="TextoNormal"/>
      </w:pPr>
      <w:r>
        <w:t>c) En el seno del referido incidente, el Ayuntamiento de Argoños presentó escrito solicitando al amparo del art. 105 de la Ley reguladora de la jurisdicción contencioso-administrativa (LJCA) que el Juzgado acordara la inejecutabilidad de las Sentencias recaídas.</w:t>
      </w:r>
    </w:p>
    <w:p w:rsidR="0033382B" w:rsidRDefault="0033382B" w:rsidP="0033382B">
      <w:pPr>
        <w:pStyle w:val="TextoNormal"/>
      </w:pPr>
    </w:p>
    <w:p w:rsidR="0033382B" w:rsidRDefault="0033382B" w:rsidP="0033382B">
      <w:pPr>
        <w:pStyle w:val="TextoNormal"/>
      </w:pPr>
      <w:r>
        <w:t>d) Por diligencia de ordenación de 6 de abril de 2015 se dio traslado a las partes personadas para que alegaran lo que a su derecho conviniera.</w:t>
      </w:r>
    </w:p>
    <w:p w:rsidR="0033382B" w:rsidRDefault="0033382B" w:rsidP="0033382B">
      <w:pPr>
        <w:pStyle w:val="TextoNormal"/>
      </w:pPr>
    </w:p>
    <w:p w:rsidR="0033382B" w:rsidRDefault="0033382B" w:rsidP="0033382B">
      <w:pPr>
        <w:pStyle w:val="TextoNormal"/>
      </w:pPr>
      <w:r>
        <w:t xml:space="preserve">e) A la vista de las alegaciones efectuadas el Juzgado, mediante providencia de 20 de julio de 2015, acordó en virtud del art. 35.2 de la Ley Orgánica del Tribunal Constitucional (LOTC), con suspensión del plazo para dictar resolución, oír a las partes por posible inconstitucionalidad de la normativa autonómica. En concreto, dudaba de la constitucionalidad del art. art. 65 </w:t>
      </w:r>
      <w:r w:rsidRPr="0033382B">
        <w:rPr>
          <w:i/>
        </w:rPr>
        <w:t>bis</w:t>
      </w:r>
      <w:r>
        <w:t>.1 de la Ley 2/2001, de 25 de junio, de ordenación territorial y del régimen urbanístico del suelo de Cantabria, añadido por el art. 1 de la Ley 4/2013, de 20 de junio, en la parte que se refiere a las órdenes de demolición judicial. Entendía que el inciso del precepto legal impugnado pudiera ser contrario al art. 24, 117.3 y 149.1.6 CE.</w:t>
      </w:r>
    </w:p>
    <w:p w:rsidR="0033382B" w:rsidRDefault="0033382B" w:rsidP="0033382B">
      <w:pPr>
        <w:pStyle w:val="TextoNormal"/>
      </w:pPr>
    </w:p>
    <w:p w:rsidR="0033382B" w:rsidRDefault="0033382B" w:rsidP="0033382B">
      <w:pPr>
        <w:pStyle w:val="TextoNormal"/>
      </w:pPr>
      <w:r>
        <w:t>f) Oídas las partes personadas en el proceso, el Juzgado acordó mediante Auto de 13 de octubre de 2015 plantear cuestión de inconstitucionalidad en relación con el precepto antes citado.</w:t>
      </w:r>
    </w:p>
    <w:p w:rsidR="0033382B" w:rsidRDefault="0033382B" w:rsidP="0033382B">
      <w:pPr>
        <w:pStyle w:val="TextoNormal"/>
      </w:pPr>
    </w:p>
    <w:p w:rsidR="0033382B" w:rsidRDefault="0033382B" w:rsidP="0033382B">
      <w:pPr>
        <w:pStyle w:val="TextoNormal"/>
      </w:pPr>
      <w:r w:rsidRPr="0033382B">
        <w:rPr>
          <w:rStyle w:val="NumeroAFNegritaCaracter"/>
        </w:rPr>
        <w:t>3</w:t>
      </w:r>
      <w:r>
        <w:t>. En cuanto al contenido del Auto de promoción importa destacar lo siguiente:</w:t>
      </w:r>
    </w:p>
    <w:p w:rsidR="0033382B" w:rsidRDefault="0033382B" w:rsidP="0033382B">
      <w:pPr>
        <w:pStyle w:val="TextoNormal"/>
      </w:pPr>
    </w:p>
    <w:p w:rsidR="0033382B" w:rsidRDefault="0033382B" w:rsidP="0033382B">
      <w:pPr>
        <w:pStyle w:val="TextoNormal"/>
      </w:pPr>
      <w:r>
        <w:t>Tras exponer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0033382B" w:rsidRDefault="0033382B" w:rsidP="0033382B">
      <w:pPr>
        <w:pStyle w:val="TextoNormal"/>
      </w:pPr>
    </w:p>
    <w:p w:rsidR="0033382B" w:rsidRDefault="0033382B" w:rsidP="0033382B">
      <w:pPr>
        <w:pStyle w:val="TextoNormal"/>
      </w:pPr>
      <w:r>
        <w:t xml:space="preserve">Según se afirma en esta resolución el art. 65 </w:t>
      </w:r>
      <w:r w:rsidRPr="0033382B">
        <w:rPr>
          <w:i/>
        </w:rPr>
        <w:t>bis</w:t>
      </w:r>
      <w:r>
        <w:t>.1 de la Ley de ordenación territorial y del régimen urbanístico del suelo de Cantabria, en la parte que se refiere a las ordenes de demolición judiciales, puede ser contrario al art. 149.1.6 CE, al derecho a la ejecución de sentencias que garantiza el art. 24 CE y al art. 117.3 CE.</w:t>
      </w:r>
    </w:p>
    <w:p w:rsidR="0033382B" w:rsidRDefault="0033382B" w:rsidP="0033382B">
      <w:pPr>
        <w:pStyle w:val="TextoNormal"/>
      </w:pPr>
    </w:p>
    <w:p w:rsidR="0033382B" w:rsidRDefault="0033382B" w:rsidP="0033382B">
      <w:pPr>
        <w:pStyle w:val="TextoNormal"/>
      </w:pPr>
      <w:r>
        <w:t>El Juzgado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0033382B" w:rsidRDefault="0033382B" w:rsidP="0033382B">
      <w:pPr>
        <w:pStyle w:val="TextoNormal"/>
      </w:pPr>
    </w:p>
    <w:p w:rsidR="0033382B" w:rsidRDefault="0033382B" w:rsidP="0033382B">
      <w:pPr>
        <w:pStyle w:val="TextoNormal"/>
      </w:pPr>
      <w:r>
        <w:t>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0033382B" w:rsidRDefault="0033382B" w:rsidP="0033382B">
      <w:pPr>
        <w:pStyle w:val="TextoNormal"/>
      </w:pPr>
    </w:p>
    <w:p w:rsidR="0033382B" w:rsidRDefault="0033382B" w:rsidP="0033382B">
      <w:pPr>
        <w:pStyle w:val="TextoNormal"/>
      </w:pPr>
      <w:r>
        <w:t>Recuerda que la suspensión de la ejecución de sentencias anulatorias de licencias prevista en la Ley 2/2001, de 25 de junio, ya fue declarada inconstitucional en la STC 92/2013, de 22 de abril. Para él, la suspensión ahora regulada, aunque limitada a cuatro años, tiene el mismo efecto: hace que el ayuntamiento tenga en sus manos la posibilidad de frustrar la efectividad de la ejecución del fallo, entrando la disposición en conflicto con el art. 117.3 CE y 105.1 LJCA, que expresamente prohíbe la suspensión de la ejecución del fallo.</w:t>
      </w:r>
    </w:p>
    <w:p w:rsidR="0033382B" w:rsidRDefault="0033382B" w:rsidP="0033382B">
      <w:pPr>
        <w:pStyle w:val="TextoNormal"/>
      </w:pPr>
    </w:p>
    <w:p w:rsidR="0033382B" w:rsidRDefault="0033382B" w:rsidP="0033382B">
      <w:pPr>
        <w:pStyle w:val="TextoNormal"/>
      </w:pPr>
      <w:r>
        <w:t xml:space="preserve">Descarta finalmente que pueda oponerse que la causa de la inejecución sea el acto administrativo, pues este se ampara en la norma cuestionada, alejando </w:t>
      </w:r>
      <w:r w:rsidRPr="0033382B">
        <w:rPr>
          <w:i/>
        </w:rPr>
        <w:t>sine díe</w:t>
      </w:r>
      <w:r>
        <w:t xml:space="preserve"> la ejecución de la Sentencia firme y anticipando la eficacia de una norma que no es tal. Considera que tampoco se trata del otorgamiento de una nueva licencia, tras la anulada, sino de una licencia provisional, cuyo encaje de legalidad se debe efectuar con un proyecto de norma exento de control judicial al no tratarse de un acto definitivo, lo que supone dejar en manos del ejecutado la ejecución de sentencias firmes.</w:t>
      </w:r>
    </w:p>
    <w:p w:rsidR="0033382B" w:rsidRDefault="0033382B" w:rsidP="0033382B">
      <w:pPr>
        <w:pStyle w:val="TextoNormal"/>
      </w:pPr>
    </w:p>
    <w:p w:rsidR="0033382B" w:rsidRDefault="0033382B" w:rsidP="0033382B">
      <w:pPr>
        <w:pStyle w:val="TextoNormal"/>
      </w:pPr>
      <w:r>
        <w:t xml:space="preserve">Las anteriores consideraciones llevan al Juzgado a plantear cuestión de inconstitucionalidad en relación con el art. 65 </w:t>
      </w:r>
      <w:r w:rsidRPr="0033382B">
        <w:rPr>
          <w:i/>
        </w:rPr>
        <w:t>bis</w:t>
      </w:r>
      <w:r>
        <w:t>.1 de la Ley 2/2001, de 25 de junio, de ordenación territorial y régimen urbanístico, modificada por la Ley 4/2013, en la parte que se refiere a las órdenes de demolición judiciales.</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18 de noviembre de 2015, el Pleno, a propuesta de la Sección Cuarta, acordó admitir a trámite la cuestión de inconstitucionalidad, deferir su conocimiento a la Sala Segunda a la que por turno objetivo ha correspondido, y dar traslado de las actuaciones al Congreso de los Diputados y al Senado por conducto de sus Presidentes, al Gobierno por conducto del Ministro de Justicia, y al Fiscal General del Estado, así como al Gobierno y al Parlamento de Cantabria por conducto de sus Presidentes, al objeto de que, en el improrrogable plazo de quince días, pudieran personarse en el proceso y formular las alegaciones que estimasen convenientes. Asimismo se acordó comunicar la admisión al órgano judicial proponente a fin de que, de conformidad con el art. 35.3 LOTC, permaneciera suspendido el proceso judicial hasta que se resolviera la cuestión de inconstitucionalidad. En la misma providencia acordó el Tribunal publicar la incoación de la cuestión de inconstitucionalidad en el “Boletín Oficial del Estado” y en el “Boletín Oficial de Cantabria”.</w:t>
      </w:r>
    </w:p>
    <w:p w:rsidR="0033382B" w:rsidRDefault="0033382B" w:rsidP="0033382B">
      <w:pPr>
        <w:pStyle w:val="TextoNormal"/>
      </w:pPr>
    </w:p>
    <w:p w:rsidR="0033382B" w:rsidRDefault="0033382B" w:rsidP="0033382B">
      <w:pPr>
        <w:pStyle w:val="TextoNormal"/>
      </w:pPr>
      <w:r w:rsidRPr="0033382B">
        <w:rPr>
          <w:rStyle w:val="NumeroAFNegritaCaracter"/>
        </w:rPr>
        <w:t>5</w:t>
      </w:r>
      <w:r>
        <w:t>. El Presidente del Senado, mediante escrito que tuvo entrada el 24 de noviembre de 2015, comunicó que la Mesa de la Cámara había acordado personarse en el proceso, ofreciendo su colaboración a los efectos del art. 88.1 LOTC. Lo mismo hizo el Presidente del Congreso de los Diputados mediante escrito que tuvo entrada el siguiente día 26.</w:t>
      </w:r>
    </w:p>
    <w:p w:rsidR="0033382B" w:rsidRDefault="0033382B" w:rsidP="0033382B">
      <w:pPr>
        <w:pStyle w:val="TextoNormal"/>
      </w:pPr>
    </w:p>
    <w:p w:rsidR="0033382B" w:rsidRDefault="0033382B" w:rsidP="0033382B">
      <w:pPr>
        <w:pStyle w:val="TextoNormal"/>
      </w:pPr>
      <w:r w:rsidRPr="0033382B">
        <w:rPr>
          <w:rStyle w:val="NumeroAFNegritaCaracter"/>
        </w:rPr>
        <w:t>6</w:t>
      </w:r>
      <w:r>
        <w:t>. El Abogado del Estado se persona y presenta alegaciones en escrito de 3 de diciembre de 2015 solicitando la estimación de la cuestión de inconstitucionalidad presentada.</w:t>
      </w:r>
    </w:p>
    <w:p w:rsidR="0033382B" w:rsidRDefault="0033382B" w:rsidP="0033382B">
      <w:pPr>
        <w:pStyle w:val="TextoNormal"/>
      </w:pPr>
    </w:p>
    <w:p w:rsidR="0033382B" w:rsidRDefault="0033382B" w:rsidP="0033382B">
      <w:pPr>
        <w:pStyle w:val="TextoNormal"/>
      </w:pPr>
      <w:r>
        <w:t xml:space="preserve">Sostiene, en primer término, que la autorización provisional que prevé el art. 65 </w:t>
      </w:r>
      <w:r w:rsidRPr="0033382B">
        <w:rPr>
          <w:i/>
        </w:rPr>
        <w:t>bis</w:t>
      </w:r>
      <w:r>
        <w:t>.1 de la Ley cántabra 2/2001 no es una verdadera autorización por cuanto ni implica una actividad de auténtica verificación o comprobación de la conformidad de la construcción con el planeamiento urbanístico, ni crea una situación definitiva, sino interina, ni persigue un interés público, sino particular, quedando además la situación creada sometida a término (caducidad, revocación o sustitución por licencia definitiva). En su opinión, la regulación persigue una adaptación del planeamiento a las condiciones de la edificación.</w:t>
      </w:r>
    </w:p>
    <w:p w:rsidR="0033382B" w:rsidRDefault="0033382B" w:rsidP="0033382B">
      <w:pPr>
        <w:pStyle w:val="TextoNormal"/>
      </w:pPr>
    </w:p>
    <w:p w:rsidR="0033382B" w:rsidRDefault="0033382B" w:rsidP="0033382B">
      <w:pPr>
        <w:pStyle w:val="TextoNormal"/>
      </w:pPr>
      <w:r>
        <w:t xml:space="preserve">Afirma, en segundo lugar, que el artículo 65 </w:t>
      </w:r>
      <w:r w:rsidRPr="0033382B">
        <w:rPr>
          <w:i/>
        </w:rPr>
        <w:t>bis</w:t>
      </w:r>
      <w:r>
        <w:t>.1 en el inciso referido a las demoliciones judiciales, vulnera el derecho a la tutela judicial efectiva en su vertiente de derecho a la ejecución de las sentencias en sus propios términos. Señala, a estos efectos, que de acuerdo con la doctrina constitucional (SSTC 4/1988, 153/1992, y 73/2000), son contrarias al artículo 24.1 en relación con los artículos 117.3 y 118, las previsiones normativas que sacrifican, de forma desproporcionada, el pronunciamiento contenido en el fallo de una resolución judicial firme, de modo que de forma patente o manifiesta no exista la debida proporción entre el interés encarnado en la Ley y el concreto interés tutelado por el fallo a ejecutar, es decir, la debida proporción entre la finalidad perseguida y el sacrificio impuesto.</w:t>
      </w:r>
    </w:p>
    <w:p w:rsidR="0033382B" w:rsidRDefault="0033382B" w:rsidP="0033382B">
      <w:pPr>
        <w:pStyle w:val="TextoNormal"/>
      </w:pPr>
    </w:p>
    <w:p w:rsidR="0033382B" w:rsidRDefault="0033382B" w:rsidP="0033382B">
      <w:pPr>
        <w:pStyle w:val="TextoNormal"/>
      </w:pPr>
      <w:r>
        <w:t xml:space="preserve">Analizado el presente caso conforme a estos parámetros, el Abogado del Estado afirma que ni la ley ni la defensa que de ella hace la Comunidad Autónoma ponderan debidamente los intereses en juego, sin que se advierta por qué razón el interés en conservar las edificaciones declaradas ilegales se antepone a la ejecución de las resoluciones judiciales firmes y llega a la conclusión de que, en realidad, la previsión del art. 65 </w:t>
      </w:r>
      <w:r w:rsidRPr="0033382B">
        <w:rPr>
          <w:i/>
        </w:rPr>
        <w:t>bis</w:t>
      </w:r>
      <w:r>
        <w:t>.1 genera un sacrificio injustificado de la intangibilidad y de la debida ejecución del fallo por un título que no constituye sino una situación interina no apta para enervar la fuerza de una sentencia judicial firme.</w:t>
      </w:r>
    </w:p>
    <w:p w:rsidR="0033382B" w:rsidRDefault="0033382B" w:rsidP="0033382B">
      <w:pPr>
        <w:pStyle w:val="TextoNormal"/>
      </w:pPr>
    </w:p>
    <w:p w:rsidR="0033382B" w:rsidRDefault="0033382B" w:rsidP="0033382B">
      <w:pPr>
        <w:pStyle w:val="TextoNormal"/>
      </w:pPr>
      <w:r>
        <w:t>En tercer lugar, argumenta que la regulación autonómica invade la competencia exclusiva del Estado en materia de legislación procesal por cuanto ésta abarca la regulación de la ejecución de las resoluciones judiciales. Y ello sin que, por otra parte, pueda considerarse que se trata de una norma especial que deriva de las particularidades del derecho sustantivo de la Comunidad Autónoma de Cantabria.</w:t>
      </w:r>
    </w:p>
    <w:p w:rsidR="0033382B" w:rsidRDefault="0033382B" w:rsidP="0033382B">
      <w:pPr>
        <w:pStyle w:val="TextoNormal"/>
      </w:pPr>
    </w:p>
    <w:p w:rsidR="0033382B" w:rsidRDefault="0033382B" w:rsidP="0033382B">
      <w:pPr>
        <w:pStyle w:val="TextoNormal"/>
      </w:pPr>
      <w:r>
        <w:t>Por último, sostiene que la norma cuestionada invade la exclusividad de la potestad jurisdiccional consagrada en el art. 117.3 CE al quebrar el régimen uniforme de ejecución de las sentencias contencioso-administrativas reconociendo la facultad de interferir en la ejecución de un pronunciamiento de una sentencia contencioso-administrativa firme mediante una autorización que se opone y contradice el pronunciamiento jurisdiccional supeditando el ejercicio de la potestad judicial de ejecutar (art. 117.3 CE), la obligación de cumplir las sentencias firmes (art. 118 CE) y el derecho fundamental a la ejecución (art. 24 CE), a la concesión de una autorización provisional a la obra cuya demolición ordenó la jurisdicción.</w:t>
      </w:r>
    </w:p>
    <w:p w:rsidR="0033382B" w:rsidRDefault="0033382B" w:rsidP="0033382B">
      <w:pPr>
        <w:pStyle w:val="TextoNormal"/>
      </w:pPr>
    </w:p>
    <w:p w:rsidR="0033382B" w:rsidRDefault="0033382B" w:rsidP="0033382B">
      <w:pPr>
        <w:pStyle w:val="TextoNormal"/>
      </w:pPr>
      <w:r w:rsidRPr="0033382B">
        <w:rPr>
          <w:rStyle w:val="NumeroAFNegritaCaracter"/>
        </w:rPr>
        <w:t>7</w:t>
      </w:r>
      <w:r>
        <w:t>. El 9 de diciembre de 2015 el Letrado del Gobierno de Cantabria presentó un escrito solicitando que se acuerde la terminación por pérdida sobrevenida de objeto de la presente cuestión de inconstitucionalidad al haber sido ya anulado y expulsado del ordenamiento el inciso cuestionado por la STC 254/2015, de 30 de noviembre.</w:t>
      </w:r>
    </w:p>
    <w:p w:rsidR="0033382B" w:rsidRDefault="0033382B" w:rsidP="0033382B">
      <w:pPr>
        <w:pStyle w:val="TextoNormal"/>
      </w:pPr>
    </w:p>
    <w:p w:rsidR="0033382B" w:rsidRDefault="0033382B" w:rsidP="0033382B">
      <w:pPr>
        <w:pStyle w:val="TextoNormal"/>
      </w:pPr>
      <w:r w:rsidRPr="0033382B">
        <w:rPr>
          <w:rStyle w:val="NumeroAFNegritaCaracter"/>
        </w:rPr>
        <w:t>8</w:t>
      </w:r>
      <w:r>
        <w:t>. En el mismo sentido, la Fiscal General del Estado solicitó por escrito registrado el 21 de diciembre de 2015 que se dicte resolución por la que se declare la pérdida sobrevenida de objeto de la presente cuestión de inconstitucionalidad, al haber sido ya anulado el inciso cuestionado por la citada STC 254/2015.</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 xml:space="preserve">Único. La presente cuestión de inconstitucionalidad ha sido promovida por el Juzgado de lo Contencioso-Administrativo núm. 1 de Santander en relación con el art. 65 </w:t>
      </w:r>
      <w:r w:rsidRPr="0033382B">
        <w:rPr>
          <w:i/>
        </w:rPr>
        <w:t>bis</w:t>
      </w:r>
      <w:r>
        <w:t>.1 de la Ley 2/2001, de 25 de junio, de ordenación territorial y del régimen urbanístico del suelo de Cantabria, introducido por la Ley 4/2013, de 20 de junio, en la parte del mismo que se refiere a las órdenes de demolición judiciales.</w:t>
      </w:r>
    </w:p>
    <w:p w:rsidR="0033382B" w:rsidRDefault="0033382B" w:rsidP="0033382B">
      <w:pPr>
        <w:pStyle w:val="TextoNormal"/>
      </w:pPr>
    </w:p>
    <w:p w:rsidR="0033382B" w:rsidRDefault="0033382B" w:rsidP="0033382B">
      <w:pPr>
        <w:pStyle w:val="TextoNormal"/>
      </w:pPr>
      <w:r>
        <w:t>El precepto dispone que “iniciado el procedimiento dirigido a la formación, modificación o revisión de los planes urbanísticos y demás instrumentos de planeamiento, y para impedir que se generen perjuicios irreparables al interés público o a los propietarios de edificaciones o actuaciones que, habiendo sido previamente declaradas ilegales y sobre las que hubiesen recaído órdenes de demolición administrativas o judiciales, puedan resultar conformes con la nueva ordenación que se está tramitando, el órgano municipal competente para aprobar inicialmente el plan podrá otorgar, de oficio o a instancia de los interesados, autorizaciones provisionales que afecten a dichas edificaciones o actuaciones preexistentes, previa comprobación de que resultan conformes con el nuevo planeamiento municipal en tramitación. Si el procedimiento se inicia a solicitud del interesado, transcurrido el plazo de tres meses sin haberse notificado resolución alguna podrá entender desestimada su petición”.</w:t>
      </w:r>
    </w:p>
    <w:p w:rsidR="0033382B" w:rsidRDefault="0033382B" w:rsidP="0033382B">
      <w:pPr>
        <w:pStyle w:val="TextoNormal"/>
      </w:pPr>
    </w:p>
    <w:p w:rsidR="0033382B" w:rsidRDefault="0033382B" w:rsidP="0033382B">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0033382B" w:rsidRDefault="0033382B" w:rsidP="0033382B">
      <w:pPr>
        <w:pStyle w:val="TextoNormal"/>
      </w:pPr>
    </w:p>
    <w:p w:rsidR="0033382B" w:rsidRDefault="0033382B" w:rsidP="0033382B">
      <w:pPr>
        <w:pStyle w:val="TextoNormal"/>
      </w:pPr>
      <w:r>
        <w:t xml:space="preserve">Este Tribunal, en su reciente STC 254/2015, de 30 de noviembre, estimatoria de la cuestión de inconstitucionalidad núm. 6860-2014, dictada con posterioridad a que la presente cuestión fuera admitida a trámite, ha declarado inconstitucional y nulo el inciso “o judiciales” del art. 65 </w:t>
      </w:r>
      <w:r w:rsidRPr="0033382B">
        <w:rPr>
          <w:i/>
        </w:rPr>
        <w:t>bis</w:t>
      </w:r>
      <w:r>
        <w:t>.1 de la Ley 2/2001, de 25 de junio, de ordenación territorial y de régimen urbanístico del suelo de Cantabria, introducido por la Ley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33382B" w:rsidRDefault="0033382B" w:rsidP="0033382B">
      <w:pPr>
        <w:pStyle w:val="TextoNormal"/>
      </w:pPr>
    </w:p>
    <w:p w:rsidR="0033382B" w:rsidRDefault="0033382B" w:rsidP="0033382B">
      <w:pPr>
        <w:pStyle w:val="TextoNormal"/>
      </w:pPr>
      <w:r>
        <w:t>Se sigue de ello que el referido inciso ha sido expulsado del ordenamiento, una vez anulado por inconstitucional, lo que impone ahora apreciar, conforme a reiterada doctrina de este Tribunal (por todos, ATC 28/2015, de 16 de febrero, FJ único), la desaparición sobrevenida del objeto de la presente cuestión, al haber quedado disipada la duda de constitucionalidad planteada por el órgano judicial.</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Declarar la extinción de la cuestión de inconstitucionalidad núm. 5964-2015, por desaparición sobrevenida de su objeto.</w:t>
      </w:r>
    </w:p>
    <w:p w:rsidR="0033382B" w:rsidRDefault="0033382B" w:rsidP="0033382B">
      <w:pPr>
        <w:pStyle w:val="TextoNormal"/>
      </w:pPr>
    </w:p>
    <w:p w:rsidR="0033382B" w:rsidRDefault="0033382B" w:rsidP="0033382B">
      <w:pPr>
        <w:pStyle w:val="TextoNormal"/>
      </w:pPr>
      <w:r>
        <w:t>Madrid, a dieciocho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33" w:name="AUTO_2016_6"/>
      <w:r>
        <w:t>AUTO 6/2016, de 19 de enero de 2016</w:t>
      </w:r>
    </w:p>
    <w:bookmarkEnd w:id="133"/>
    <w:p w:rsidR="0033382B" w:rsidRDefault="0033382B" w:rsidP="0033382B">
      <w:pPr>
        <w:pStyle w:val="TtuloResolucin"/>
      </w:pPr>
      <w:r>
        <w:t>Pleno</w:t>
      </w:r>
    </w:p>
    <w:p w:rsidR="0033382B" w:rsidRDefault="0033382B" w:rsidP="0033382B">
      <w:pPr>
        <w:pStyle w:val="TextoNormalCentrado"/>
      </w:pPr>
      <w:r>
        <w:t>ECLI:ES:TC:2016:6A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6246-2014, planteada por la Sala de lo Contencioso-Administrativo del Tribunal Superior de Justicia de Castilla-La Mancha en relación con diversos preceptos del Real Decreto Legislativo 2/2008, de 20 de junio, por el que se aprueba el texto refundido de la Ley de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16 de octubre de 2014 tuvo entrada en el Registro General de este Tribunal un oficio de la Sección Segunda de la Sala de lo Contencioso-Administrativo del Tribunal Superior de Justicia de Castilla-La Mancha, al que se acompaña, junto al testimonio del procedimiento ordinario núm. 559-2010, el Auto de 9 de septiembre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Dos personas físicas, propietarios de fincas afectadas por el proyecto de expropiación derivado del “proyecto de singular interés Parque Industrial y Tecnológico de Illescas”, recurren en vía contencioso-administrativa la resolución del Jurado Regional de Valoraciones de la Junta de Comunidades de Castilla-La Mancha que fijó el justiprecio de sus fincas, que se encontraban en situación de rústicas.</w:t>
      </w:r>
    </w:p>
    <w:p w:rsidR="0033382B" w:rsidRDefault="0033382B" w:rsidP="0033382B">
      <w:pPr>
        <w:pStyle w:val="TextoNormal"/>
      </w:pPr>
    </w:p>
    <w:p w:rsidR="0033382B" w:rsidRDefault="0033382B" w:rsidP="0033382B">
      <w:pPr>
        <w:pStyle w:val="TextoNormal"/>
      </w:pPr>
      <w:r>
        <w:t>b) Una vez concluso el procedimiento, y antes de dictar sentencia, la Sección Segunda de la Sala de lo Contencioso-Administrativo del Tribunal Superior de Justicia de Castilla-La Mancha dictó providencia de 2 de julio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artículos 12 y 25, por la posible vulneración de los arts. 14 y 33.3 CE.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y el artículo 14 en cuando se permite al resto de los propietarios realizar su valor real.</w:t>
      </w:r>
    </w:p>
    <w:p w:rsidR="0033382B" w:rsidRDefault="0033382B" w:rsidP="0033382B">
      <w:pPr>
        <w:pStyle w:val="TextoNormal"/>
      </w:pPr>
    </w:p>
    <w:p w:rsidR="0033382B" w:rsidRDefault="0033382B" w:rsidP="0033382B">
      <w:pPr>
        <w:pStyle w:val="TextoNormal"/>
      </w:pPr>
      <w:r>
        <w:t xml:space="preserve">c) El Ministerio Fiscal, en escrito presentado el 8 de julio de 2014,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w:t>
      </w:r>
      <w:r w:rsidRPr="0033382B">
        <w:rPr>
          <w:i/>
        </w:rPr>
        <w:t>prima facie</w:t>
      </w:r>
      <w:r>
        <w:t>,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0033382B" w:rsidRDefault="0033382B" w:rsidP="0033382B">
      <w:pPr>
        <w:pStyle w:val="TextoNormal"/>
      </w:pPr>
    </w:p>
    <w:p w:rsidR="0033382B" w:rsidRDefault="0033382B" w:rsidP="0033382B">
      <w:pPr>
        <w:pStyle w:val="TextoNormal"/>
      </w:pPr>
      <w:r>
        <w:t>El Letrado de la Administración de la Junta de Comunidades de Castilla-La Mancha, en escrito registrado el 15 de julio de 2014, se opuso al planteamiento de la cuestión por lo que hace a los arts. 23.1 y 23.2 del Real Decreto Legislativo 2/2008, con el argumento de que la STC 141/2014 los había declarado constitucionales.</w:t>
      </w:r>
    </w:p>
    <w:p w:rsidR="0033382B" w:rsidRDefault="0033382B" w:rsidP="0033382B">
      <w:pPr>
        <w:pStyle w:val="TextoNormal"/>
      </w:pPr>
    </w:p>
    <w:p w:rsidR="0033382B" w:rsidRDefault="0033382B" w:rsidP="0033382B">
      <w:pPr>
        <w:pStyle w:val="TextoNormal"/>
      </w:pPr>
      <w:r>
        <w:t>La representación del actor, que evacua el trámite mediante escrito de 14 de julio de 2014, considera pertinente el planteamiento de la cuestión de inconstitucionalidad.</w:t>
      </w:r>
    </w:p>
    <w:p w:rsidR="0033382B" w:rsidRDefault="0033382B" w:rsidP="0033382B">
      <w:pPr>
        <w:pStyle w:val="TextoNormal"/>
      </w:pPr>
    </w:p>
    <w:p w:rsidR="0033382B" w:rsidRDefault="0033382B" w:rsidP="0033382B">
      <w:pPr>
        <w:pStyle w:val="TextoNormal"/>
      </w:pPr>
      <w:r>
        <w:t>d) La Sección Segunda de la Sala de lo Contencioso-Administrativo del Tribunal Superior de Justicia de Castilla-La Mancha dictó Auto de 9 de septiembre de 2014, por el que se acuerda plantear cuestión de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luego de referirse a los antecedentes de hecho del caso y de transcribir los preceptos cuestionados, aborda los requisitos de procedibilidad.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0033382B" w:rsidRDefault="0033382B" w:rsidP="0033382B">
      <w:pPr>
        <w:pStyle w:val="TextoNormal"/>
      </w:pPr>
    </w:p>
    <w:p w:rsidR="0033382B" w:rsidRDefault="0033382B" w:rsidP="0033382B">
      <w:pPr>
        <w:pStyle w:val="TextoNormal"/>
      </w:pPr>
      <w:r>
        <w:t>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actual legislación.</w:t>
      </w:r>
    </w:p>
    <w:p w:rsidR="0033382B" w:rsidRDefault="0033382B" w:rsidP="0033382B">
      <w:pPr>
        <w:pStyle w:val="TextoNormal"/>
      </w:pPr>
    </w:p>
    <w:p w:rsidR="0033382B" w:rsidRDefault="0033382B" w:rsidP="0033382B">
      <w:pPr>
        <w:pStyle w:val="TextoNormal"/>
      </w:pPr>
      <w:r>
        <w:t xml:space="preserve">A continuación, señala que, aunque nada hay de inconstitucional en que la ley pueda establecer unos métodos de valoración determinados u otros, sí afirmamos que será difícilmente constitucional que de manera manifiesta impida dar con un valor real, valor que a nuestro juicio equivale a un valor que sea próximo al del mercado propio del bien de que se trate …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w:t>
      </w:r>
      <w:r w:rsidRPr="0033382B">
        <w:rPr>
          <w:i/>
        </w:rPr>
        <w:t>Lightgow y otros contra Reino Unido</w:t>
      </w:r>
      <w:r>
        <w:t xml:space="preserve">—, 9 de diciembre de 1994 —caso </w:t>
      </w:r>
      <w:r w:rsidRPr="0033382B">
        <w:rPr>
          <w:i/>
        </w:rPr>
        <w:t>de los Santos Monasterios Griegos contra Grecia</w:t>
      </w:r>
      <w:r>
        <w:t xml:space="preserve">—, 4 de agosto de 2009 —caso </w:t>
      </w:r>
      <w:r w:rsidRPr="0033382B">
        <w:rPr>
          <w:i/>
        </w:rPr>
        <w:t>Perdigao contra Portugal</w:t>
      </w:r>
      <w:r>
        <w:t>—, 4 de noviembre de 2010, 9 de octubre de 2003 o 26 de abril de 2011).</w:t>
      </w:r>
    </w:p>
    <w:p w:rsidR="0033382B" w:rsidRDefault="0033382B" w:rsidP="0033382B">
      <w:pPr>
        <w:pStyle w:val="TextoNormal"/>
      </w:pPr>
    </w:p>
    <w:p w:rsidR="0033382B" w:rsidRDefault="0033382B" w:rsidP="0033382B">
      <w:pPr>
        <w:pStyle w:val="TextoNormal"/>
      </w:pPr>
      <w:r>
        <w:t>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0033382B" w:rsidRDefault="0033382B" w:rsidP="0033382B">
      <w:pPr>
        <w:pStyle w:val="TextoNormal"/>
      </w:pPr>
    </w:p>
    <w:p w:rsidR="0033382B" w:rsidRDefault="0033382B" w:rsidP="0033382B">
      <w:pPr>
        <w:pStyle w:val="TextoNormal"/>
      </w:pPr>
      <w:r>
        <w:t>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PSI que motiva la expropiación; y que el propio PSI valoraba en 25 E/m2”.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PSI declaraba. Esta es la prueba, a nuestro juicio, de que el sistema establecido por la Ley no es hábil para hallar el valor real del bien ni aun aproximadamente y que, por consiguiente, puede resultar inconstitucional”.</w:t>
      </w:r>
    </w:p>
    <w:p w:rsidR="0033382B" w:rsidRDefault="0033382B" w:rsidP="0033382B">
      <w:pPr>
        <w:pStyle w:val="TextoNormal"/>
      </w:pPr>
    </w:p>
    <w:p w:rsidR="0033382B" w:rsidRDefault="0033382B" w:rsidP="0033382B">
      <w:pPr>
        <w:pStyle w:val="TextoNormal"/>
      </w:pPr>
      <w:r>
        <w:t>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 Las expectativas urbanísticas se basan en circunstancias actuales (</w:t>
      </w:r>
      <w:r w:rsidRPr="0033382B">
        <w:rPr>
          <w:i/>
        </w:rPr>
        <w:t>vgr</w:t>
      </w:r>
      <w:r>
        <w:t>.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0033382B" w:rsidRDefault="0033382B" w:rsidP="0033382B">
      <w:pPr>
        <w:pStyle w:val="TextoNormal"/>
      </w:pPr>
    </w:p>
    <w:p w:rsidR="0033382B" w:rsidRDefault="0033382B" w:rsidP="0033382B">
      <w:pPr>
        <w:pStyle w:val="TextoNormal"/>
      </w:pPr>
      <w:r>
        <w:t>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 33.3 CE y el 14 CE”. Y sobre la constitucionalidad del régimen previsto en el artículo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E/m2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18 de noviembre de 2015, la Sección Primera del Tribunal Constitucional acordó oír al Fiscal General del Estado para que, en el plazo de diez días, y a los efectos que determina el art. 37.1 de la Ley Orgánica del Tribunal Constitucional (LOTC), alegase lo que considerase conveniente “en relación con el cumplimiento de los requisitos procesales (art. 35.2 LOTC) y por si hubiera devenido notoriamente infundada (STC 218/2015, de 22 de octubre)”.</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el 22 de diciembre de 2015, en el que desarrolla tres alegaciones distintas, partiendo en gran medida de las SSTC 141/2014 y 218/2015, que a su juicio ya han resuelto las cuestiones que en este proceso se plantean.</w:t>
      </w:r>
    </w:p>
    <w:p w:rsidR="0033382B" w:rsidRDefault="0033382B" w:rsidP="0033382B">
      <w:pPr>
        <w:pStyle w:val="TextoNormal"/>
      </w:pPr>
    </w:p>
    <w:p w:rsidR="0033382B" w:rsidRDefault="0033382B" w:rsidP="0033382B">
      <w:pPr>
        <w:pStyle w:val="TextoNormal"/>
      </w:pPr>
      <w:r>
        <w:t>Expone, en primer término, que “no se habría llevado a cabo un adecuado juicio de relevancia sobre lo que la Sala denomina otras circunstancias específicas, que no ha concretado, de las que devengan una inconstitucionalidad añadida del art. 23.1 a) del Real Decreto Legislativo 2/2008, conclusión a la que también debe alcanzar la supuesta inconstitucionalidad del art. 25.1 del Real Decreto Legislativo 2/2008, pues ningún razonamiento se aporta en el auto de planteamiento de la cuestión de inconstitucionalidad que difiera de los que fueron expuestos en la cuestión de inconstitucionalidad que dio origen al pronunciamiento del Alto Tribunal que transcribe el órgano judicial en su resolución por la que promueve la presente cuestión de inconstitucionalidad”.</w:t>
      </w:r>
    </w:p>
    <w:p w:rsidR="0033382B" w:rsidRDefault="0033382B" w:rsidP="0033382B">
      <w:pPr>
        <w:pStyle w:val="TextoNormal"/>
      </w:pPr>
    </w:p>
    <w:p w:rsidR="0033382B" w:rsidRDefault="0033382B" w:rsidP="0033382B">
      <w:pPr>
        <w:pStyle w:val="TextoNormal"/>
      </w:pPr>
      <w:r>
        <w:t>Afirma, en segundo lugar, que "la presente cuestión de inconstitucionalidad debe ser resuelta en los términos que han sido declarados por la Sentencia de 30 de noviembre de 2015, dictada en la cuestión de inconstitucionalidad 6190-2014”. Así, tal como se ha resuelto en tal Sentencia, la declaración de inconstitucionalidad y nulidad del art. 25.2 a) del Real Decreto Legislativo 2/2008 por la STC 218/2015 supone “que se haya extinguido sobrevenidamente el objeto procesal en cuanto a este extremo”, alegación que extiende al art. 23.1 a) del Real Decreto Legislativo 2/2008 en la medida que la STC 141/2014 declaró inconstitucional el inciso “hasta el máximo del doble”.</w:t>
      </w:r>
    </w:p>
    <w:p w:rsidR="0033382B" w:rsidRDefault="0033382B" w:rsidP="0033382B">
      <w:pPr>
        <w:pStyle w:val="TextoNormal"/>
      </w:pPr>
    </w:p>
    <w:p w:rsidR="0033382B" w:rsidRDefault="0033382B" w:rsidP="0033382B">
      <w:pPr>
        <w:pStyle w:val="TextoNormal"/>
      </w:pPr>
      <w:r>
        <w:t>Como tercera y última alegación, sostiene, con citas de la STC 218/2015 (por lo que hace al art. 33.3 CE) y de la STC 141/2014 (por lo que respecta al art. 14 CE), que los arts. 12, 23.2 y 25.1 del Real Decreto Legislativo 2/2008 no contradicen los arts. 14 y 33.3 CE, por lo que la cuestión suscitada es en este punto manifiestamente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 xml:space="preserve">La Sala considera que el art. 23.1 a) del Real Decreto Legislativo 2/2008 establece un método de valoración para el suelo en situación básica de rural </w:t>
      </w:r>
      <w:r w:rsidRPr="0033382B">
        <w:rPr>
          <w:i/>
        </w:rPr>
        <w:t>ex</w:t>
      </w:r>
      <w:r>
        <w:t xml:space="preserve">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0033382B" w:rsidRDefault="0033382B" w:rsidP="0033382B">
      <w:pPr>
        <w:pStyle w:val="TextoNormal"/>
      </w:pPr>
    </w:p>
    <w:p w:rsidR="0033382B" w:rsidRDefault="0033382B" w:rsidP="0033382B">
      <w:pPr>
        <w:pStyle w:val="TextoNormal"/>
      </w:pPr>
      <w:r>
        <w:t>La Fiscal General del Estado, en el trámite previsto en el art. 37.1 de la Ley Orgánica del Tribunal Constitucional (LOTC), alega sucesivamente (a) un deficiente juicio de relevancia por lo que hace a los arts. 23.1 a) y 25.1 del Real Decreto Legislativo 2/2008; (b) la pérdida sobrevenida del objeto de la cuestión en cuanto el art. 25.2 a) del Real Decreto Legislativo 2/2008 porque así ha se ha pronunciado el Tribunal en un supuesto idéntico en la STC 244/2015, de 30 de noviembre, criterio que extiende al art. 23.1 a) Real Decreto Legislativo 2/2008 en la medida que la STC 141/2014 declaró inconstitucional y nulo el inciso “hasta el máximo del doble”; y (c), en fin, el carácter notoriamente infundado de la duda de constitucionalidad en relación a los arts. 12, 23.2 y 25.1 del Real Decreto Legislativo 2/2008.</w:t>
      </w:r>
    </w:p>
    <w:p w:rsidR="0033382B" w:rsidRDefault="0033382B" w:rsidP="0033382B">
      <w:pPr>
        <w:pStyle w:val="TextoNormal"/>
      </w:pPr>
    </w:p>
    <w:p w:rsidR="0033382B" w:rsidRDefault="0033382B" w:rsidP="0033382B">
      <w:pPr>
        <w:pStyle w:val="TextoNormal"/>
      </w:pPr>
      <w:r w:rsidRPr="0033382B">
        <w:rPr>
          <w:rStyle w:val="NumeroAFNegritaCaracter"/>
        </w:rPr>
        <w:t>2</w:t>
      </w:r>
      <w:r>
        <w:t>.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33382B" w:rsidRDefault="0033382B" w:rsidP="0033382B">
      <w:pPr>
        <w:pStyle w:val="TextoNormal"/>
      </w:pPr>
    </w:p>
    <w:p w:rsidR="0033382B" w:rsidRDefault="0033382B" w:rsidP="0033382B">
      <w:pPr>
        <w:pStyle w:val="TextoNormal"/>
      </w:pPr>
      <w:r w:rsidRPr="0033382B">
        <w:rPr>
          <w:rStyle w:val="NumeroAFNegritaCaracter"/>
        </w:rPr>
        <w:t>4</w:t>
      </w:r>
      <w:r>
        <w:t>. La Fiscal General del Estado alega falta del adecuado juicio de relevancia sobre lo que la Sala denomina otras circunstancias específicas, de las que deriva una inconstitucionalidad del art. 23.1 a) del Real Decreto Legislativo 2/2008 añadida a la ya declarada en la STC 141/2014, déficit en el juicio de relevancia que invoca también respecto de la supuesta inconstitucionalidad del art. 25.1 del Real Decreto Legislativo 2/2008, pues, a su juicio, ningún razonamiento se aporta en el Auto de planteamiento que difiera de los que fueron expuestos en la cuestión de inconstitucionalidad que dio origen a la STC 141/2014.</w:t>
      </w:r>
    </w:p>
    <w:p w:rsidR="0033382B" w:rsidRDefault="0033382B" w:rsidP="0033382B">
      <w:pPr>
        <w:pStyle w:val="TextoNormal"/>
      </w:pPr>
    </w:p>
    <w:p w:rsidR="0033382B" w:rsidRDefault="0033382B" w:rsidP="0033382B">
      <w:pPr>
        <w:pStyle w:val="TextoNormal"/>
      </w:pPr>
      <w:r>
        <w:t>Aprecia este Tribunal, por el contrario, que el Auto de planteamiento afirma expresamente que la STC 141/2014 excluye de su pronunciamiento toda consideración del art. 25 del Real Decreto Legislativo 2/2008 y, por tanto, del sistema valorativo de conjunto que resulta de la combinación de los arts. 23 y 25 del Real Decreto Legislativo 2/2008, cuestión ésta que, según razona, adquiere especial relevancia dadas las circunstancias específicas de este caso, donde la expropiación afecta a suelo que está en situación básica de rústico (art. 23 del Real Decreto Legislativo 2/2008), pero respecto del que el propietario ha adquirido ya la facultad de participar en la urbanización (art. 25 del Real Decreto Legislativo 2/2008). Por todo ello, procede rechazar este primer óbice de procedibilidad.</w:t>
      </w:r>
    </w:p>
    <w:p w:rsidR="0033382B" w:rsidRDefault="0033382B" w:rsidP="0033382B">
      <w:pPr>
        <w:pStyle w:val="TextoNormal"/>
      </w:pPr>
    </w:p>
    <w:p w:rsidR="0033382B" w:rsidRDefault="0033382B" w:rsidP="0033382B">
      <w:pPr>
        <w:pStyle w:val="TextoNormal"/>
      </w:pPr>
      <w:r w:rsidRPr="0033382B">
        <w:rPr>
          <w:rStyle w:val="NumeroAFNegritaCaracter"/>
        </w:rPr>
        <w:t>5</w:t>
      </w:r>
      <w:r>
        <w:t>. El art. 25.2 a) del Real Decreto Legislativo 2/2008 ha sido declarado inconstitucional y nulo por la STC 218/2015, de 22 de octubre. El art. 164 CE, y también el art. 38 LOTC, disponen que las Sentencias del Tribunal Constitucional que declaren la inconstitucionalidad de una ley tengan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0033382B" w:rsidRDefault="0033382B" w:rsidP="0033382B">
      <w:pPr>
        <w:pStyle w:val="TextoNormal"/>
      </w:pPr>
    </w:p>
    <w:p w:rsidR="0033382B" w:rsidRDefault="0033382B" w:rsidP="0033382B">
      <w:pPr>
        <w:pStyle w:val="TextoNormal"/>
      </w:pPr>
      <w:r>
        <w:t>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0033382B" w:rsidRDefault="0033382B" w:rsidP="0033382B">
      <w:pPr>
        <w:pStyle w:val="TextoNormal"/>
      </w:pPr>
    </w:p>
    <w:p w:rsidR="0033382B" w:rsidRDefault="0033382B" w:rsidP="0033382B">
      <w:pPr>
        <w:pStyle w:val="TextoNormal"/>
      </w:pPr>
      <w:r w:rsidRPr="0033382B">
        <w:rPr>
          <w:rStyle w:val="NumeroAFNegritaCaracter"/>
        </w:rPr>
        <w:t>6</w:t>
      </w:r>
      <w:r>
        <w:t>.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0033382B" w:rsidRDefault="0033382B" w:rsidP="0033382B">
      <w:pPr>
        <w:pStyle w:val="TextoNormal"/>
      </w:pPr>
    </w:p>
    <w:p w:rsidR="0033382B" w:rsidRDefault="0033382B" w:rsidP="0033382B">
      <w:pPr>
        <w:pStyle w:val="TextoNormal"/>
      </w:pPr>
      <w:r>
        <w:t>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0033382B" w:rsidRDefault="0033382B" w:rsidP="0033382B">
      <w:pPr>
        <w:pStyle w:val="TextoNormal"/>
      </w:pPr>
    </w:p>
    <w:p w:rsidR="0033382B" w:rsidRDefault="0033382B" w:rsidP="0033382B">
      <w:pPr>
        <w:pStyle w:val="TextoNormal"/>
      </w:pPr>
      <w:r>
        <w:t>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0033382B" w:rsidRDefault="0033382B" w:rsidP="0033382B">
      <w:pPr>
        <w:pStyle w:val="TextoNormal"/>
      </w:pPr>
    </w:p>
    <w:p w:rsidR="0033382B" w:rsidRDefault="0033382B" w:rsidP="0033382B">
      <w:pPr>
        <w:pStyle w:val="TextoNormal"/>
      </w:pPr>
      <w:r>
        <w:t>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0033382B" w:rsidRDefault="0033382B" w:rsidP="0033382B">
      <w:pPr>
        <w:pStyle w:val="TextoNormal"/>
      </w:pPr>
    </w:p>
    <w:p w:rsidR="0033382B" w:rsidRDefault="0033382B" w:rsidP="0033382B">
      <w:pPr>
        <w:pStyle w:val="TextoNormal"/>
      </w:pPr>
      <w:r>
        <w:t>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0033382B" w:rsidRDefault="0033382B" w:rsidP="0033382B">
      <w:pPr>
        <w:pStyle w:val="TextoNormal"/>
      </w:pPr>
    </w:p>
    <w:p w:rsidR="0033382B" w:rsidRDefault="0033382B" w:rsidP="0033382B">
      <w:pPr>
        <w:pStyle w:val="TextoNormal"/>
      </w:pPr>
      <w:r>
        <w:t>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0033382B" w:rsidRDefault="0033382B" w:rsidP="0033382B">
      <w:pPr>
        <w:pStyle w:val="TextoNormal"/>
      </w:pPr>
    </w:p>
    <w:p w:rsidR="0033382B" w:rsidRDefault="0033382B" w:rsidP="0033382B">
      <w:pPr>
        <w:pStyle w:val="TextoNormal"/>
      </w:pPr>
      <w:r>
        <w:t>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0033382B" w:rsidRDefault="0033382B" w:rsidP="0033382B">
      <w:pPr>
        <w:pStyle w:val="TextoNormal"/>
      </w:pPr>
    </w:p>
    <w:p w:rsidR="0033382B" w:rsidRDefault="0033382B" w:rsidP="0033382B">
      <w:pPr>
        <w:pStyle w:val="TextoNormal"/>
      </w:pPr>
      <w:r>
        <w:t>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diecinueve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34" w:name="AUTO_2016_7"/>
      <w:r>
        <w:t>AUTO 7/2016, de 19 de enero de 2016</w:t>
      </w:r>
    </w:p>
    <w:bookmarkEnd w:id="134"/>
    <w:p w:rsidR="0033382B" w:rsidRDefault="0033382B" w:rsidP="0033382B">
      <w:pPr>
        <w:pStyle w:val="TtuloResolucin"/>
      </w:pPr>
      <w:r>
        <w:t>Pleno</w:t>
      </w:r>
    </w:p>
    <w:p w:rsidR="0033382B" w:rsidRDefault="0033382B" w:rsidP="0033382B">
      <w:pPr>
        <w:pStyle w:val="TextoNormalCentrado"/>
      </w:pPr>
      <w:r>
        <w:t>ECLI:ES:TC:2016:7A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7476-2014, planteada por la Sala de lo Contencioso-Administrativo del Tribunal Superior de Justicia de Castilla-La Mancha en relación con diversos preceptos del Real Decreto Legislativo 2/2008, de 20 de junio, por el que se aprueba el texto refundido de la Ley de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11 de diciembre de 2014 tuvo entrada en el Registro General de este Tribunal un oficio de la Sección Segunda de la Sala de lo Contencioso-Administrativo del Tribunal Superior de Justicia de Castilla-La Mancha, al que se acompaña, junto al testimonio del procedimiento ordinario núm. 882-2010, el Auto de 3 de noviembre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Los propietarios de una finca afectada por el proyecto de expropiación derivado del “Proyecto de singular interés Parque Industrial y Tecnológico de Illescas”, recurrieron en vía contencioso-administrativa la resolución del Jurado Regional de Valoraciones de la Junta de Comunidades de Castilla-La Mancha que fijó el justiprecio de su finca, que se encontraban en situación de rústica.</w:t>
      </w:r>
    </w:p>
    <w:p w:rsidR="0033382B" w:rsidRDefault="0033382B" w:rsidP="0033382B">
      <w:pPr>
        <w:pStyle w:val="TextoNormal"/>
      </w:pPr>
    </w:p>
    <w:p w:rsidR="0033382B" w:rsidRDefault="0033382B" w:rsidP="0033382B">
      <w:pPr>
        <w:pStyle w:val="TextoNormal"/>
      </w:pPr>
      <w:r>
        <w:t>b) Una vez concluso el procedimiento, y antes de dictar sentencia, la Sección Segunda de la Sala de lo Contencioso-Administrativo del Tribunal Superior de Justicia de Castilla-La Mancha dictó providencia de 30 de septiembre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y el artículo 14 en cuando se permite al resto de los propietarios realizar su valor real.</w:t>
      </w:r>
    </w:p>
    <w:p w:rsidR="0033382B" w:rsidRDefault="0033382B" w:rsidP="0033382B">
      <w:pPr>
        <w:pStyle w:val="TextoNormal"/>
      </w:pPr>
    </w:p>
    <w:p w:rsidR="0033382B" w:rsidRDefault="0033382B" w:rsidP="0033382B">
      <w:pPr>
        <w:pStyle w:val="TextoNormal"/>
      </w:pPr>
      <w:r>
        <w:t xml:space="preserve">c) El Ministerio Fiscal, en escrito presentado el 6 de octubre de 2014,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w:t>
      </w:r>
      <w:r w:rsidRPr="0033382B">
        <w:rPr>
          <w:i/>
        </w:rPr>
        <w:t>prima facie</w:t>
      </w:r>
      <w:r>
        <w:t>,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0033382B" w:rsidRDefault="0033382B" w:rsidP="0033382B">
      <w:pPr>
        <w:pStyle w:val="TextoNormal"/>
      </w:pPr>
    </w:p>
    <w:p w:rsidR="0033382B" w:rsidRDefault="0033382B" w:rsidP="0033382B">
      <w:pPr>
        <w:pStyle w:val="TextoNormal"/>
      </w:pPr>
      <w:r>
        <w:t>El Letrado de la Administración de la Junta de Comunidades de Castilla-La Mancha, en escrito registrado el 14 de octubre de 2014, se opuso al planteamiento de la cuestión por lo que hace a los arts. 23.1 y 23.2 del Real Decreto Legislativo 2/2008, con el argumento de que la STC 141/2014 los había declarado constitucionales.</w:t>
      </w:r>
    </w:p>
    <w:p w:rsidR="0033382B" w:rsidRDefault="0033382B" w:rsidP="0033382B">
      <w:pPr>
        <w:pStyle w:val="TextoNormal"/>
      </w:pPr>
    </w:p>
    <w:p w:rsidR="0033382B" w:rsidRDefault="0033382B" w:rsidP="0033382B">
      <w:pPr>
        <w:pStyle w:val="TextoNormal"/>
      </w:pPr>
      <w:r>
        <w:t>La representación de la parte actora evacuó el trámite mediante escrito registrado el 14 de octubre de 2014, en el que considera pertinente el planteamiento de la cuestión de inconstitucionalidad.</w:t>
      </w:r>
    </w:p>
    <w:p w:rsidR="0033382B" w:rsidRDefault="0033382B" w:rsidP="0033382B">
      <w:pPr>
        <w:pStyle w:val="TextoNormal"/>
      </w:pPr>
    </w:p>
    <w:p w:rsidR="0033382B" w:rsidRDefault="0033382B" w:rsidP="0033382B">
      <w:pPr>
        <w:pStyle w:val="TextoNormal"/>
      </w:pPr>
      <w:r>
        <w:t>d) La Sección Segunda de la Sala de lo Contencioso-Administrativo del Tribunal Superior de Justicia de Castilla-La Mancha dictó Auto de 3 de noviembre de 2014, por el que se acuerda plantear cuestión de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luego de referirse a los antecedentes de hecho del caso y de transcribir los preceptos cuestionados, aborda los requisitos de procedibilidad.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0033382B" w:rsidRDefault="0033382B" w:rsidP="0033382B">
      <w:pPr>
        <w:pStyle w:val="TextoNormal"/>
      </w:pPr>
    </w:p>
    <w:p w:rsidR="0033382B" w:rsidRDefault="0033382B" w:rsidP="0033382B">
      <w:pPr>
        <w:pStyle w:val="TextoNormal"/>
      </w:pPr>
      <w:r>
        <w:t>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actual legislación.</w:t>
      </w:r>
    </w:p>
    <w:p w:rsidR="0033382B" w:rsidRDefault="0033382B" w:rsidP="0033382B">
      <w:pPr>
        <w:pStyle w:val="TextoNormal"/>
      </w:pPr>
    </w:p>
    <w:p w:rsidR="0033382B" w:rsidRDefault="0033382B" w:rsidP="0033382B">
      <w:pPr>
        <w:pStyle w:val="TextoNormal"/>
      </w:pPr>
      <w:r>
        <w:t xml:space="preserve">A continuación, señala que, aunque nada hay de inconstitucional en que la ley pueda establecer unos métodos de valoración determinados u otros, sí afirmamos que será difícilmente constitucional que de manera manifiesta impida dar con un valor real, valor que a nuestro juicio equivale a un valor que sea próximo al del mercado propio del bien de que se trate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w:t>
      </w:r>
      <w:r w:rsidRPr="0033382B">
        <w:rPr>
          <w:i/>
        </w:rPr>
        <w:t>Lightgow y otros contra Reino Unido</w:t>
      </w:r>
      <w:r>
        <w:t xml:space="preserve">—, 9 de diciembre de 1994 —caso </w:t>
      </w:r>
      <w:r w:rsidRPr="0033382B">
        <w:rPr>
          <w:i/>
        </w:rPr>
        <w:t>de los Santos Monasterios Griegos contra Grecia</w:t>
      </w:r>
      <w:r>
        <w:t xml:space="preserve">—, 4 de agosto de 2009 —caso </w:t>
      </w:r>
      <w:r w:rsidRPr="0033382B">
        <w:rPr>
          <w:i/>
        </w:rPr>
        <w:t>Perdigao contra Portugal</w:t>
      </w:r>
      <w:r>
        <w:t>—, 4 de noviembre de 2010, 9 de octubre de 2003 o 26 de abril de 2011).</w:t>
      </w:r>
    </w:p>
    <w:p w:rsidR="0033382B" w:rsidRDefault="0033382B" w:rsidP="0033382B">
      <w:pPr>
        <w:pStyle w:val="TextoNormal"/>
      </w:pPr>
    </w:p>
    <w:p w:rsidR="0033382B" w:rsidRDefault="0033382B" w:rsidP="0033382B">
      <w:pPr>
        <w:pStyle w:val="TextoNormal"/>
      </w:pPr>
      <w:r>
        <w:t>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0033382B" w:rsidRDefault="0033382B" w:rsidP="0033382B">
      <w:pPr>
        <w:pStyle w:val="TextoNormal"/>
      </w:pPr>
    </w:p>
    <w:p w:rsidR="0033382B" w:rsidRDefault="0033382B" w:rsidP="0033382B">
      <w:pPr>
        <w:pStyle w:val="TextoNormal"/>
      </w:pPr>
      <w:r>
        <w:t>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PSI que motiva la expropiación; y que el propio PSI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PSI declaraba. Esta es la prueba, a nuestro juicio, de que el sistema establecido por la Ley no es hábil para hallar el valor real del bien ni aun aproximadamente y que, por consiguiente, puede resultar inconstitucional”.</w:t>
      </w:r>
    </w:p>
    <w:p w:rsidR="0033382B" w:rsidRDefault="0033382B" w:rsidP="0033382B">
      <w:pPr>
        <w:pStyle w:val="TextoNormal"/>
      </w:pPr>
    </w:p>
    <w:p w:rsidR="0033382B" w:rsidRDefault="0033382B" w:rsidP="0033382B">
      <w:pPr>
        <w:pStyle w:val="TextoNormal"/>
      </w:pPr>
      <w:r>
        <w:t>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 Las expectativas urbanísticas se basan en circunstancias actuales (</w:t>
      </w:r>
      <w:r w:rsidRPr="0033382B">
        <w:rPr>
          <w:i/>
        </w:rPr>
        <w:t>vgr</w:t>
      </w:r>
      <w:r>
        <w:t>.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0033382B" w:rsidRDefault="0033382B" w:rsidP="0033382B">
      <w:pPr>
        <w:pStyle w:val="TextoNormal"/>
      </w:pPr>
    </w:p>
    <w:p w:rsidR="0033382B" w:rsidRDefault="0033382B" w:rsidP="0033382B">
      <w:pPr>
        <w:pStyle w:val="TextoNormal"/>
      </w:pPr>
      <w:r>
        <w:t>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arto 33.3 CE y el 14 CE”. Y sobre la constitucionalidad del régimen previsto en el art.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0033382B" w:rsidRDefault="0033382B" w:rsidP="0033382B">
      <w:pPr>
        <w:pStyle w:val="TextoNormal"/>
      </w:pPr>
    </w:p>
    <w:p w:rsidR="0033382B" w:rsidRDefault="0033382B" w:rsidP="0033382B">
      <w:pPr>
        <w:pStyle w:val="TextoNormal"/>
      </w:pPr>
      <w:r>
        <w:t>El Auto incluye un epígrafe séptimo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w:t>
      </w:r>
    </w:p>
    <w:p w:rsidR="0033382B" w:rsidRDefault="0033382B" w:rsidP="0033382B">
      <w:pPr>
        <w:pStyle w:val="TextoNormal"/>
      </w:pPr>
    </w:p>
    <w:p w:rsidR="0033382B" w:rsidRDefault="0033382B" w:rsidP="0033382B">
      <w:pPr>
        <w:pStyle w:val="TextoNormal"/>
      </w:pPr>
      <w:r>
        <w:t>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w:t>
      </w:r>
    </w:p>
    <w:p w:rsidR="0033382B" w:rsidRDefault="0033382B" w:rsidP="0033382B">
      <w:pPr>
        <w:pStyle w:val="TextoNormal"/>
      </w:pPr>
    </w:p>
    <w:p w:rsidR="0033382B" w:rsidRDefault="0033382B" w:rsidP="0033382B">
      <w:pPr>
        <w:pStyle w:val="TextoNormal"/>
      </w:pPr>
      <w:r>
        <w:t>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 25.1”.</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18 de noviembre de 2015, la Sección Cuarta del Tribunal Constitucional acordó oír al Fiscal General del Estado para que, en el plazo de diez días, y a los efectos que determina el art. 37.1 LOTC, alegase lo que considerase conveniente “en relación con el cumplimiento de los requisitos procesales (art. 35.2 LOTC) y por si hubiera devenido notoriamente infundada (STC 218/2015, de 22 de octubre)”.</w:t>
      </w:r>
    </w:p>
    <w:p w:rsidR="0033382B" w:rsidRDefault="0033382B" w:rsidP="0033382B">
      <w:pPr>
        <w:pStyle w:val="TextoNormal"/>
      </w:pPr>
    </w:p>
    <w:p w:rsidR="0033382B" w:rsidRDefault="0033382B" w:rsidP="0033382B">
      <w:pPr>
        <w:pStyle w:val="TextoNormal"/>
      </w:pPr>
      <w:r w:rsidRPr="0033382B">
        <w:rPr>
          <w:rStyle w:val="NumeroAFNegritaCaracter"/>
        </w:rPr>
        <w:t>5</w:t>
      </w:r>
      <w:r>
        <w:t>. El Fiscal General del Estado evacuó el trámite conferido mediante escrito registrado el 22 de diciembre de 2015, en el que desarrolla tres alegaciones distintas, partiendo en gran medida de las SSTC 141/2014 y 218/2015, que a su juicio ya han resuelto las cuestiones que en este proceso se plantean.</w:t>
      </w:r>
    </w:p>
    <w:p w:rsidR="0033382B" w:rsidRDefault="0033382B" w:rsidP="0033382B">
      <w:pPr>
        <w:pStyle w:val="TextoNormal"/>
      </w:pPr>
    </w:p>
    <w:p w:rsidR="0033382B" w:rsidRDefault="0033382B" w:rsidP="0033382B">
      <w:pPr>
        <w:pStyle w:val="TextoNormal"/>
      </w:pPr>
      <w:r>
        <w:t>Expone, en primer término, que “no se habría llevado a cabo un adecuado juicio de relevancia sobre lo que la Sala denomina otras circunstancias específicas, que no ha concretado, de las que devengan una inconstitucionalidad añadida del art. 23.1 a) del Real Decreto Legislativo 2/2008, conclusión a la que también debe alcanzar la supuesta inconstitucionalidad del art. 25.1 del Real Decreto Legislativo 2/2008, pues ningún razonamiento se aporta en el auto de planteamiento de la cuestión de inconstitucionalidad que difiera de los que fueron expuestos en la cuestión de inconstitucionalidad que dio origen al pronunciamiento del Alto Tribunal que transcribe el órgano judicial en su resolución por la que promueve la presente cuestión de inconstitucionalidad”.</w:t>
      </w:r>
    </w:p>
    <w:p w:rsidR="0033382B" w:rsidRDefault="0033382B" w:rsidP="0033382B">
      <w:pPr>
        <w:pStyle w:val="TextoNormal"/>
      </w:pPr>
    </w:p>
    <w:p w:rsidR="0033382B" w:rsidRDefault="0033382B" w:rsidP="0033382B">
      <w:pPr>
        <w:pStyle w:val="TextoNormal"/>
      </w:pPr>
      <w:r>
        <w:t>Afirma, en segundo lugar, que la presente cuestión de inconstitucionalidad debe ser resuelta en los términos que han sido declarados por la Sentencia de 30 de noviembre de 2015, dictada en la cuestión de inconstitucionalidad 6190-2014. Así, tal como se ha resuelto en tal sentencia, la declaración de inconstitucionalidad y nulidad del art. 25.2 a) del Real Decreto Legislativo 2/2008 por la STC 218/2015 supone “que se haya extinguido sobrevenidamente el objeto procesal en cuanto a este extremo”, alegación que extiende al art. 23.1 a) del Real Decreto Legislativo 2/2008 en la medida que la STC 141/2014 declaró inconstitucional el inciso “hasta el máximo del doble”.</w:t>
      </w:r>
    </w:p>
    <w:p w:rsidR="0033382B" w:rsidRDefault="0033382B" w:rsidP="0033382B">
      <w:pPr>
        <w:pStyle w:val="TextoNormal"/>
      </w:pPr>
    </w:p>
    <w:p w:rsidR="0033382B" w:rsidRDefault="0033382B" w:rsidP="0033382B">
      <w:pPr>
        <w:pStyle w:val="TextoNormal"/>
      </w:pPr>
      <w:r>
        <w:t>Como tercera y última alegación, sostiene, con citas de la STC 218/2015 (por lo que hace al art. 33.3 CE) y de la STC 141/2014 (por lo que respecta al art. 14 CE), que los arts. 12, 23.2 y 25.1 del Real Decreto Legislativo 2/2008 no contradicen los arts. 14 y 33.3 CE, por lo que la cuestión suscitada es en este punto manifiestamente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 xml:space="preserve">La Sala considera que el art. 23.1 a) del Real Decreto Legislativo 2/2008 establece un método de valoración para el suelo en situación básica de rural </w:t>
      </w:r>
      <w:r w:rsidRPr="0033382B">
        <w:rPr>
          <w:i/>
        </w:rPr>
        <w:t>ex</w:t>
      </w:r>
      <w:r>
        <w:t xml:space="preserve">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0033382B" w:rsidRDefault="0033382B" w:rsidP="0033382B">
      <w:pPr>
        <w:pStyle w:val="TextoNormal"/>
      </w:pPr>
    </w:p>
    <w:p w:rsidR="0033382B" w:rsidRDefault="0033382B" w:rsidP="0033382B">
      <w:pPr>
        <w:pStyle w:val="TextoNormal"/>
      </w:pPr>
      <w:r>
        <w:t>El Fiscal General del Estado, en el trámite previsto en el art. 37.1 de la Ley Orgánica del Tribunal Constitucional (LOTC), alega sucesivamente (a) un deficiente juicio de relevancia por lo que hace a los arts. 23.1 a) y 25.1 del Real Decreto Legislativo 2/2008; (b) la pérdida sobrevenida del objeto de la cuestión en cuanto 25.2 a) del Real Decreto Legislativo 2/2008 porque así ha se ha pronunciado el Tribunal en un supuesto idéntico en la STC 244/2015, de 30 de noviembre, criterio que extiende al art. 23.1 a) del Real Decreto Legislativo 2/2008 en la medida que la STC 141/2014 declaró inconstitucional y nulo el inciso “hasta el máximo del doble”; y (c), en fin, el carácter notoriamente infundado de la duda de constitucionalidad en relación a los arts. 12, 23.2 y 25.1 del Real Decreto Legislativo 2/2008.</w:t>
      </w:r>
    </w:p>
    <w:p w:rsidR="0033382B" w:rsidRDefault="0033382B" w:rsidP="0033382B">
      <w:pPr>
        <w:pStyle w:val="TextoNormal"/>
      </w:pPr>
    </w:p>
    <w:p w:rsidR="0033382B" w:rsidRDefault="0033382B" w:rsidP="0033382B">
      <w:pPr>
        <w:pStyle w:val="TextoNormal"/>
      </w:pPr>
      <w:r w:rsidRPr="0033382B">
        <w:rPr>
          <w:rStyle w:val="NumeroAFNegritaCaracter"/>
        </w:rPr>
        <w:t>2</w:t>
      </w:r>
      <w:r>
        <w:t>. La derogación de los preceptos cuestionados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del Real Decreto Legislativo 2/2008, hoy derogado, en el proceso subyacente (así, por todas, STC 29/2015, de 19 de febrero, FJ 2, con cita de otras).</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de la Ley Orgánica del Tribunal Constitucional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33382B" w:rsidRDefault="0033382B" w:rsidP="0033382B">
      <w:pPr>
        <w:pStyle w:val="TextoNormal"/>
      </w:pPr>
    </w:p>
    <w:p w:rsidR="0033382B" w:rsidRDefault="0033382B" w:rsidP="0033382B">
      <w:pPr>
        <w:pStyle w:val="TextoNormal"/>
      </w:pPr>
      <w:r w:rsidRPr="0033382B">
        <w:rPr>
          <w:rStyle w:val="NumeroAFNegritaCaracter"/>
        </w:rPr>
        <w:t>4</w:t>
      </w:r>
      <w:r>
        <w:t>. La Fiscal General del Estado alega falta del adecuado juicio de relevancia sobre lo que la Sala denomina otras circunstancias específicas, de las que deriva una inconstitucionalidad del art. 23.1 a) del Real Decreto Legislativo 2/2008 añadida a la ya declarada en la STC 141/2014, déficit en el juicio de relevancia que invoca también respecto de la supuesta inconstitucionalidad del art. 25.1 del Real Decreto Legislativo 2/2008, pues, a su juicio, ningún razonamiento se aporta en el auto de planteamiento que difiera de los que fueron expuestos en la cuestión de inconstitucionalidad que dio origen a la STC 141/2014.</w:t>
      </w:r>
    </w:p>
    <w:p w:rsidR="0033382B" w:rsidRDefault="0033382B" w:rsidP="0033382B">
      <w:pPr>
        <w:pStyle w:val="TextoNormal"/>
      </w:pPr>
    </w:p>
    <w:p w:rsidR="0033382B" w:rsidRDefault="0033382B" w:rsidP="0033382B">
      <w:pPr>
        <w:pStyle w:val="TextoNormal"/>
      </w:pPr>
      <w:r>
        <w:t>Aprecia este Tribunal, por el contrario, que el Auto de planteamiento afirma expresamente que la STC 141/2014 excluye de su pronunciamiento toda consideración del art. 25 del Real Decreto Legislativo 2/2008 y, por tanto, del sistema valorativo de conjunto que resulta de la combinación de los arts. 23 y 25 del Real Decreto Legislativo 2/2008, cuestión ésta que, según razona, adquiere especial relevancia dadas las circunstancias específicas de este caso, donde la expropiación afecta a suelo que está en situación básica de rústico (art. 23 del Real Decreto Legislativo 2/2008), pero respecto del que el propietario ha adquirido ya la facultad de participar en la urbanización (art. 25 del Real Decreto Legislativo 2/2008). Por todo ello, procede rechazar este primer óbice de procedibilidad.</w:t>
      </w:r>
    </w:p>
    <w:p w:rsidR="0033382B" w:rsidRDefault="0033382B" w:rsidP="0033382B">
      <w:pPr>
        <w:pStyle w:val="TextoNormal"/>
      </w:pPr>
    </w:p>
    <w:p w:rsidR="0033382B" w:rsidRDefault="0033382B" w:rsidP="0033382B">
      <w:pPr>
        <w:pStyle w:val="TextoNormal"/>
      </w:pPr>
      <w:r w:rsidRPr="0033382B">
        <w:rPr>
          <w:rStyle w:val="NumeroAFNegritaCaracter"/>
        </w:rPr>
        <w:t>5</w:t>
      </w:r>
      <w:r>
        <w:t>.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0033382B" w:rsidRDefault="0033382B" w:rsidP="0033382B">
      <w:pPr>
        <w:pStyle w:val="TextoNormal"/>
      </w:pPr>
    </w:p>
    <w:p w:rsidR="0033382B" w:rsidRDefault="0033382B" w:rsidP="0033382B">
      <w:pPr>
        <w:pStyle w:val="TextoNormal"/>
      </w:pPr>
      <w:r>
        <w:t>Procede acordar, como consecuencia de ello,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0033382B" w:rsidRDefault="0033382B" w:rsidP="0033382B">
      <w:pPr>
        <w:pStyle w:val="TextoNormal"/>
      </w:pPr>
    </w:p>
    <w:p w:rsidR="0033382B" w:rsidRDefault="0033382B" w:rsidP="0033382B">
      <w:pPr>
        <w:pStyle w:val="TextoNormal"/>
      </w:pPr>
      <w:r w:rsidRPr="0033382B">
        <w:rPr>
          <w:rStyle w:val="NumeroAFNegritaCaracter"/>
        </w:rPr>
        <w:t>6</w:t>
      </w:r>
      <w:r>
        <w:t>.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0033382B" w:rsidRDefault="0033382B" w:rsidP="0033382B">
      <w:pPr>
        <w:pStyle w:val="TextoNormal"/>
      </w:pPr>
    </w:p>
    <w:p w:rsidR="0033382B" w:rsidRDefault="0033382B" w:rsidP="0033382B">
      <w:pPr>
        <w:pStyle w:val="TextoNormal"/>
      </w:pPr>
      <w:r>
        <w:t>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0033382B" w:rsidRDefault="0033382B" w:rsidP="0033382B">
      <w:pPr>
        <w:pStyle w:val="TextoNormal"/>
      </w:pPr>
    </w:p>
    <w:p w:rsidR="0033382B" w:rsidRDefault="0033382B" w:rsidP="0033382B">
      <w:pPr>
        <w:pStyle w:val="TextoNormal"/>
      </w:pPr>
      <w:r>
        <w:t>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0033382B" w:rsidRDefault="0033382B" w:rsidP="0033382B">
      <w:pPr>
        <w:pStyle w:val="TextoNormal"/>
      </w:pPr>
    </w:p>
    <w:p w:rsidR="0033382B" w:rsidRDefault="0033382B" w:rsidP="0033382B">
      <w:pPr>
        <w:pStyle w:val="TextoNormal"/>
      </w:pPr>
      <w:r>
        <w:t>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0033382B" w:rsidRDefault="0033382B" w:rsidP="0033382B">
      <w:pPr>
        <w:pStyle w:val="TextoNormal"/>
      </w:pPr>
    </w:p>
    <w:p w:rsidR="0033382B" w:rsidRDefault="0033382B" w:rsidP="0033382B">
      <w:pPr>
        <w:pStyle w:val="TextoNormal"/>
      </w:pPr>
      <w:r>
        <w:t>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0033382B" w:rsidRDefault="0033382B" w:rsidP="0033382B">
      <w:pPr>
        <w:pStyle w:val="TextoNormal"/>
      </w:pPr>
    </w:p>
    <w:p w:rsidR="0033382B" w:rsidRDefault="0033382B" w:rsidP="0033382B">
      <w:pPr>
        <w:pStyle w:val="TextoNormal"/>
      </w:pPr>
      <w:r>
        <w:t>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0033382B" w:rsidRDefault="0033382B" w:rsidP="0033382B">
      <w:pPr>
        <w:pStyle w:val="TextoNormal"/>
      </w:pPr>
    </w:p>
    <w:p w:rsidR="0033382B" w:rsidRDefault="0033382B" w:rsidP="0033382B">
      <w:pPr>
        <w:pStyle w:val="TextoNormal"/>
      </w:pPr>
      <w:r>
        <w:t>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0033382B" w:rsidRDefault="0033382B" w:rsidP="0033382B">
      <w:pPr>
        <w:pStyle w:val="TextoNormal"/>
      </w:pPr>
    </w:p>
    <w:p w:rsidR="0033382B" w:rsidRDefault="0033382B" w:rsidP="0033382B">
      <w:pPr>
        <w:pStyle w:val="TextoNormal"/>
      </w:pPr>
      <w:r>
        <w:t>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diecinueve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35" w:name="AUTO_2016_8"/>
      <w:r>
        <w:t>AUTO 8/2016, de 19 de enero de 2016</w:t>
      </w:r>
    </w:p>
    <w:bookmarkEnd w:id="135"/>
    <w:p w:rsidR="0033382B" w:rsidRDefault="0033382B" w:rsidP="0033382B">
      <w:pPr>
        <w:pStyle w:val="TtuloResolucin"/>
      </w:pPr>
      <w:r>
        <w:t>Pleno</w:t>
      </w:r>
    </w:p>
    <w:p w:rsidR="0033382B" w:rsidRDefault="0033382B" w:rsidP="0033382B">
      <w:pPr>
        <w:pStyle w:val="TextoNormalCentrado"/>
      </w:pPr>
      <w:r>
        <w:t>ECLI:ES:TC:2016:8A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7560-2014, planteada por la Sala de lo Contencioso-Administrativo del Tribunal Superior de Justicia de Castilla-La Mancha en relación con diversos preceptos del Real Decreto Legislativo 2/2008, de 20 de junio, por el que se aprueba el texto refundido de la Ley de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16 de diciembre de 2014 tuvo entrada en el Registro General de este Tribunal un oficio de la Sección Segunda de la Sala de lo Contencioso-Administrativo del Tribunal Superior de Justicia de Castilla-La Mancha, al que se acompaña, junto al testimonio del procedimiento ordinario núm. 881-2010, el Auto de 27 de octubre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Dieciséis personas físicas, propietarios de distintas fincas afectadas por el proyecto de expropiación derivado del “Proyecto de singular interés Parque Industrial y Tecnológico de Illescas”, recurre en vía contencioso-administrativa la resolución del Jurado Regional de Valoraciones de la Junta de Comunidades de Castilla-La Mancha que fijó el justiprecio de sus fincas, que se encontraban en situación de rústicas.</w:t>
      </w:r>
    </w:p>
    <w:p w:rsidR="0033382B" w:rsidRDefault="0033382B" w:rsidP="0033382B">
      <w:pPr>
        <w:pStyle w:val="TextoNormal"/>
      </w:pPr>
    </w:p>
    <w:p w:rsidR="0033382B" w:rsidRDefault="0033382B" w:rsidP="0033382B">
      <w:pPr>
        <w:pStyle w:val="TextoNormal"/>
      </w:pPr>
      <w:r>
        <w:t>b) Una vez concluso el procedimiento, y antes de dictar sentencia, la Sección Segunda de la Sala de lo Contencioso-Administrativo del Tribunal Superior de Justicia de Castilla-La Mancha dictó providencia de 30 de septiembre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y el artículo 14 en cuando se permite al resto de los propietarios realizar su valor real (esta providencia es idéntica a la que se dictó en la cuestión de inconstitucionalidad 6059-2014).</w:t>
      </w:r>
    </w:p>
    <w:p w:rsidR="0033382B" w:rsidRDefault="0033382B" w:rsidP="0033382B">
      <w:pPr>
        <w:pStyle w:val="TextoNormal"/>
      </w:pPr>
    </w:p>
    <w:p w:rsidR="0033382B" w:rsidRDefault="0033382B" w:rsidP="0033382B">
      <w:pPr>
        <w:pStyle w:val="TextoNormal"/>
      </w:pPr>
      <w:r>
        <w:t xml:space="preserve">c) El Ministerio Fiscal, en escrito presentado el 6 de octubre de 2014,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w:t>
      </w:r>
      <w:r w:rsidRPr="0033382B">
        <w:rPr>
          <w:i/>
        </w:rPr>
        <w:t>prima facie</w:t>
      </w:r>
      <w:r>
        <w:t>,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0033382B" w:rsidRDefault="0033382B" w:rsidP="0033382B">
      <w:pPr>
        <w:pStyle w:val="TextoNormal"/>
      </w:pPr>
    </w:p>
    <w:p w:rsidR="0033382B" w:rsidRDefault="0033382B" w:rsidP="0033382B">
      <w:pPr>
        <w:pStyle w:val="TextoNormal"/>
      </w:pPr>
      <w:r>
        <w:t>El Letrado de la Administración de la Junta de Comunidades de Castilla-La Mancha, en escrito registrado el 14 de octubre de 2014, se opuso al planteamiento de la cuestión por lo que hace a los arts. 23.1 y 23.2 del Real Decreto Legislativo 2/2008, con el argumento de que la STC 141/2014 los había declarado constitucionales.</w:t>
      </w:r>
    </w:p>
    <w:p w:rsidR="0033382B" w:rsidRDefault="0033382B" w:rsidP="0033382B">
      <w:pPr>
        <w:pStyle w:val="TextoNormal"/>
      </w:pPr>
    </w:p>
    <w:p w:rsidR="0033382B" w:rsidRDefault="0033382B" w:rsidP="0033382B">
      <w:pPr>
        <w:pStyle w:val="TextoNormal"/>
      </w:pPr>
      <w:r>
        <w:t>La representación del actor, que evacua el trámite mediante escrito de 17 de diciembre de 2015 (después del Auto de planteamiento de 27 de octubre de 2014), en el que reconoce haber sido notificado de la providencia de 30 de septiembre de 2014, considera pertinente el planteamiento de la cuestión de inconstitucionalidad.</w:t>
      </w:r>
    </w:p>
    <w:p w:rsidR="0033382B" w:rsidRDefault="0033382B" w:rsidP="0033382B">
      <w:pPr>
        <w:pStyle w:val="TextoNormal"/>
      </w:pPr>
    </w:p>
    <w:p w:rsidR="0033382B" w:rsidRDefault="0033382B" w:rsidP="0033382B">
      <w:pPr>
        <w:pStyle w:val="TextoNormal"/>
      </w:pPr>
      <w:r>
        <w:t>d) La Sección Segunda de la Sala de lo Contencioso-Administrativo del Tribunal Superior de Justicia de Castilla-La Mancha dictó Auto de 27 de octubre de 2014, por el que se acuerda plantear cuestión de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27 de octubre de 2014, luego de referirse a los antecedentes de hecho del caso y de transcribir los preceptos cuestionados, aborda los requisitos de procedibilidad. Expone que se ha dado traslado a las partes de la cuestión por providencia de 30 de septiembre de 2014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 Merece la pena destacar que es literalmente igual al modo de formular el juicio de relevancia en la cuestión de inconstitucionalidad 6059-2014.</w:t>
      </w:r>
    </w:p>
    <w:p w:rsidR="0033382B" w:rsidRDefault="0033382B" w:rsidP="0033382B">
      <w:pPr>
        <w:pStyle w:val="TextoNormal"/>
      </w:pPr>
    </w:p>
    <w:p w:rsidR="0033382B" w:rsidRDefault="0033382B" w:rsidP="0033382B">
      <w:pPr>
        <w:pStyle w:val="TextoNormal"/>
      </w:pPr>
      <w:r>
        <w:t>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actual legislación.</w:t>
      </w:r>
    </w:p>
    <w:p w:rsidR="0033382B" w:rsidRDefault="0033382B" w:rsidP="0033382B">
      <w:pPr>
        <w:pStyle w:val="TextoNormal"/>
      </w:pPr>
    </w:p>
    <w:p w:rsidR="0033382B" w:rsidRDefault="0033382B" w:rsidP="0033382B">
      <w:pPr>
        <w:pStyle w:val="TextoNormal"/>
      </w:pPr>
      <w:r>
        <w:t xml:space="preserve">A continuación, señala que, aunque nada hay de inconstitucional en que la ley pueda establecer unos métodos de valoración determinados u otros, sí afirmamos que será difícilmente constitucional que de manera manifiesta impida dar con un valor real, valor que a nuestro juicio equivale a un valor que sea próximo al del mercado propio del bien de que se trate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w:t>
      </w:r>
      <w:r w:rsidRPr="0033382B">
        <w:rPr>
          <w:i/>
        </w:rPr>
        <w:t>Lightgow y otros contra ReinoUnido</w:t>
      </w:r>
      <w:r>
        <w:t xml:space="preserve">—, 9 de diciembre de 1994 —caso </w:t>
      </w:r>
      <w:r w:rsidRPr="0033382B">
        <w:rPr>
          <w:i/>
        </w:rPr>
        <w:t>de los Santos Monasterios Griegos contra Grecia</w:t>
      </w:r>
      <w:r>
        <w:t xml:space="preserve">—, 4 de agosto de 2009 —caso </w:t>
      </w:r>
      <w:r w:rsidRPr="0033382B">
        <w:rPr>
          <w:i/>
        </w:rPr>
        <w:t>Perdigao contra Portugal</w:t>
      </w:r>
      <w:r>
        <w:t>—, 4 de noviembre de 2010, 9 de octubre de 2003 o 26 de abril de 2011).</w:t>
      </w:r>
    </w:p>
    <w:p w:rsidR="0033382B" w:rsidRDefault="0033382B" w:rsidP="0033382B">
      <w:pPr>
        <w:pStyle w:val="TextoNormal"/>
      </w:pPr>
    </w:p>
    <w:p w:rsidR="0033382B" w:rsidRDefault="0033382B" w:rsidP="0033382B">
      <w:pPr>
        <w:pStyle w:val="TextoNormal"/>
      </w:pPr>
      <w:r>
        <w:t>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0033382B" w:rsidRDefault="0033382B" w:rsidP="0033382B">
      <w:pPr>
        <w:pStyle w:val="TextoNormal"/>
      </w:pPr>
    </w:p>
    <w:p w:rsidR="0033382B" w:rsidRDefault="0033382B" w:rsidP="0033382B">
      <w:pPr>
        <w:pStyle w:val="TextoNormal"/>
      </w:pPr>
      <w:r>
        <w:t>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PSI que motiva la expropiación; y que el propio PSI valoraba en 25 E/m2”.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PSI declaraba. Esta es la prueba, a nuestro juicio, de que el sistema establecido por la Ley no es hábil para hallar el valor real del bien ni aun aproximadamente y que, por consiguiente, puede resultar inconstitucional”.</w:t>
      </w:r>
    </w:p>
    <w:p w:rsidR="0033382B" w:rsidRDefault="0033382B" w:rsidP="0033382B">
      <w:pPr>
        <w:pStyle w:val="TextoNormal"/>
      </w:pPr>
    </w:p>
    <w:p w:rsidR="0033382B" w:rsidRDefault="0033382B" w:rsidP="0033382B">
      <w:pPr>
        <w:pStyle w:val="TextoNormal"/>
      </w:pPr>
      <w:r>
        <w:t>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 Las expectativas urbanísticas se basan en circunstancias actuales (vgr.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0033382B" w:rsidRDefault="0033382B" w:rsidP="0033382B">
      <w:pPr>
        <w:pStyle w:val="TextoNormal"/>
      </w:pPr>
    </w:p>
    <w:p w:rsidR="0033382B" w:rsidRDefault="0033382B" w:rsidP="0033382B">
      <w:pPr>
        <w:pStyle w:val="TextoNormal"/>
      </w:pPr>
      <w:r>
        <w:t>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arto 33.3 CE y el 14 CE”. Y sobre la constitucionalidad del régimen previsto en el artículo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0033382B" w:rsidRDefault="0033382B" w:rsidP="0033382B">
      <w:pPr>
        <w:pStyle w:val="TextoNormal"/>
      </w:pPr>
    </w:p>
    <w:p w:rsidR="0033382B" w:rsidRDefault="0033382B" w:rsidP="0033382B">
      <w:pPr>
        <w:pStyle w:val="TextoNormal"/>
      </w:pPr>
      <w:r>
        <w:t>El Auto incluye un epígrafe séptimo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w:t>
      </w:r>
    </w:p>
    <w:p w:rsidR="0033382B" w:rsidRDefault="0033382B" w:rsidP="0033382B">
      <w:pPr>
        <w:pStyle w:val="TextoNormal"/>
      </w:pPr>
    </w:p>
    <w:p w:rsidR="0033382B" w:rsidRDefault="0033382B" w:rsidP="0033382B">
      <w:pPr>
        <w:pStyle w:val="TextoNormal"/>
      </w:pPr>
      <w:r>
        <w:t>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w:t>
      </w:r>
    </w:p>
    <w:p w:rsidR="0033382B" w:rsidRDefault="0033382B" w:rsidP="0033382B">
      <w:pPr>
        <w:pStyle w:val="TextoNormal"/>
      </w:pPr>
    </w:p>
    <w:p w:rsidR="0033382B" w:rsidRDefault="0033382B" w:rsidP="0033382B">
      <w:pPr>
        <w:pStyle w:val="TextoNormal"/>
      </w:pPr>
      <w:r>
        <w:t>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 25.1”.</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18 de noviembre de 2015, la Sección Tercera del Tribunal Constitucional acordó oír al Fiscal General del Estado para que, en el plazo de diez días, y a los efectos que determina el art. 37.1 LOTC, alegase lo que considerase conveniente “en relación con el cumplimiento de los requisitos procesales (art. 35.2 LOTC) y por si hubiera devenido notoriamente infundada (STC 218/2015, de 22 de octubre)”.</w:t>
      </w:r>
    </w:p>
    <w:p w:rsidR="0033382B" w:rsidRDefault="0033382B" w:rsidP="0033382B">
      <w:pPr>
        <w:pStyle w:val="TextoNormal"/>
      </w:pPr>
    </w:p>
    <w:p w:rsidR="0033382B" w:rsidRDefault="0033382B" w:rsidP="0033382B">
      <w:pPr>
        <w:pStyle w:val="TextoNormal"/>
      </w:pPr>
      <w:r w:rsidRPr="0033382B">
        <w:rPr>
          <w:rStyle w:val="NumeroAFNegritaCaracter"/>
        </w:rPr>
        <w:t>5</w:t>
      </w:r>
      <w:r>
        <w:t>. El Fiscal General del Estado evacuó el trámite conferido mediante escrito registrado el 22 de diciembre de 2015, en el que desarrolla tres alegaciones distintas, partiendo en gran medida de las SSTC 141/2014 y 218/2015, que a su juicio ya han resuelto las cuestiones que en este proceso se plantean.</w:t>
      </w:r>
    </w:p>
    <w:p w:rsidR="0033382B" w:rsidRDefault="0033382B" w:rsidP="0033382B">
      <w:pPr>
        <w:pStyle w:val="TextoNormal"/>
      </w:pPr>
    </w:p>
    <w:p w:rsidR="0033382B" w:rsidRDefault="0033382B" w:rsidP="0033382B">
      <w:pPr>
        <w:pStyle w:val="TextoNormal"/>
      </w:pPr>
      <w:r>
        <w:t>Expone, en primer término, que “no se habría llevado a cabo un adecuado juicio de relevancia sobre lo que la Sala denomina otras circunstancias específicas, que no ha concretado, de las que devengan una inconstitucionalidad añadida del art. 23.1 a) del Real Decreto Legislativo 2/2008, conclusión a la que también debe alcanzar la supuesta inconstitucionalidad del art. 25.1 del Real Decreto Legislativo 2/2008, pues ningún razonamiento se aporta en el auto de planteamiento de la cuestión de inconstitucionalidad que difiera de los que fueron expuestos en la cuestión de inconstitucionalidad que dio origen al pronunciamiento del Alto Tribunal que transcribe el órgano judicial en su resolución por la que promueve la presente cuestión de inconstitucionalidad”.</w:t>
      </w:r>
    </w:p>
    <w:p w:rsidR="0033382B" w:rsidRDefault="0033382B" w:rsidP="0033382B">
      <w:pPr>
        <w:pStyle w:val="TextoNormal"/>
      </w:pPr>
    </w:p>
    <w:p w:rsidR="0033382B" w:rsidRDefault="0033382B" w:rsidP="0033382B">
      <w:pPr>
        <w:pStyle w:val="TextoNormal"/>
      </w:pPr>
      <w:r>
        <w:t>Afirma, en segundo lugar, que "la presente cuestión de inconstitucionalidad debe ser resuelta en los términos que han sido declarados por la Sentencia de 30 de noviembre de 2015, dictada en la cuestión de inconstitucionalidad 6190-2014 [STC 244/2015, de 30 de noviembre]”. Así, tal como se ha resuelto en tal Sentencia, la declaración de inconstitucionalidad y nulidad del art. 25.2 a) del Real Decreto Legislativo 2/2008 por la STC 218/2015 supone “que se haya extinguido sobrevenidamente el objeto procesal en cuanto a este extremo”, alegación que extiende al art. 23.1 a) del Real Decreto Legislativo 2/2008 en la medida que la STC 141/2014 declaró inconstitucional el inciso “hasta el máximo del doble”.</w:t>
      </w:r>
    </w:p>
    <w:p w:rsidR="0033382B" w:rsidRDefault="0033382B" w:rsidP="0033382B">
      <w:pPr>
        <w:pStyle w:val="TextoNormal"/>
      </w:pPr>
    </w:p>
    <w:p w:rsidR="0033382B" w:rsidRDefault="0033382B" w:rsidP="0033382B">
      <w:pPr>
        <w:pStyle w:val="TextoNormal"/>
      </w:pPr>
      <w:r>
        <w:t>Como tercera y última alegación, sostiene, con citas de la STC 218/2015 (por lo que hace al art. 33.3 CE) y de la STC 141/2014 (por lo que respecta al art. 14 CE), que los arts. 12, 23.2 y 25.1 del Real Decreto Legislativo 2/2008 no contradicen los arts. 14 y 33.3 CE, por lo que la cuestión suscitada es en este punto manifiestamente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 xml:space="preserve">La Sala considera que el art. 23.1.a) del Real Decreto Legislativo 2/2008 establece un método de valoración para el suelo en situación básica de rural </w:t>
      </w:r>
      <w:r w:rsidRPr="0033382B">
        <w:rPr>
          <w:i/>
        </w:rPr>
        <w:t>ex</w:t>
      </w:r>
      <w:r>
        <w:t xml:space="preserve">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0033382B" w:rsidRDefault="0033382B" w:rsidP="0033382B">
      <w:pPr>
        <w:pStyle w:val="TextoNormal"/>
      </w:pPr>
    </w:p>
    <w:p w:rsidR="0033382B" w:rsidRDefault="0033382B" w:rsidP="0033382B">
      <w:pPr>
        <w:pStyle w:val="TextoNormal"/>
      </w:pPr>
      <w:r>
        <w:t>El Fiscal General del Estado, en el trámite previsto en el art. 37.1 de la Ley Orgánica del Tribunal Constitucional (LOTC), alega sucesivamente (a) un deficiente juicio de relevancia por lo que hace a los arts. 23.1 a) y 25.1 del Real Decreto Legislativo 2/2008; (b) la pérdida sobrevenida del objeto de la cuestión en cuanto 25.2 a) del Real Decreto Legislativo 2/2008 porque así ha se ha pronunciado el Tribunal en un supuesto idéntico en la STC 243/2015, de 30 de noviembre, criterio que extiende al art. 23.1 a) del Real Decreto Legislativo 2/2008 en la medida que la STC 141/2014 declaró inconstitucional y nulo el inciso “hasta el máximo del doble”; y (c), en fin, el carácter notoriamente infundado de la duda de constitucionalidad en relación a los arts. 12, 23.2 y 25.1 del Real Decreto Legislativo 2/2008.</w:t>
      </w:r>
    </w:p>
    <w:p w:rsidR="0033382B" w:rsidRDefault="0033382B" w:rsidP="0033382B">
      <w:pPr>
        <w:pStyle w:val="TextoNormal"/>
      </w:pPr>
    </w:p>
    <w:p w:rsidR="0033382B" w:rsidRDefault="0033382B" w:rsidP="0033382B">
      <w:pPr>
        <w:pStyle w:val="TextoNormal"/>
      </w:pPr>
      <w:r w:rsidRPr="0033382B">
        <w:rPr>
          <w:rStyle w:val="NumeroAFNegritaCaracter"/>
        </w:rPr>
        <w:t>2</w:t>
      </w:r>
      <w:r>
        <w:t>. La derogación de los preceptos cuestionados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33382B" w:rsidRDefault="0033382B" w:rsidP="0033382B">
      <w:pPr>
        <w:pStyle w:val="TextoNormal"/>
      </w:pPr>
    </w:p>
    <w:p w:rsidR="0033382B" w:rsidRDefault="0033382B" w:rsidP="0033382B">
      <w:pPr>
        <w:pStyle w:val="TextoNormal"/>
      </w:pPr>
      <w:r w:rsidRPr="0033382B">
        <w:rPr>
          <w:rStyle w:val="NumeroAFNegritaCaracter"/>
        </w:rPr>
        <w:t>4</w:t>
      </w:r>
      <w:r>
        <w:t>. El Fiscal alega falta del adecuado juicio de relevancia sobre lo que la Sala denomina otras circunstancias específicas, de las que deriva una inconstitucionalidad del art. 23.1 a) del Real Decreto Legislativo 2/2008 añadida a la ya declarada en la STC 141/2014, déficit en el juicio de relevancia que invoca también respecto de la supuesta inconstitucionalidad del art. 25.1 del Real Decreto Legislativo 2/2008, pues, a su juicio, ningún razonamiento se aporta en el Auto de planteamiento que difiera de los que fueron expuestos en la cuestión de inconstitucionalidad que dio origen a la STC 141/2014.</w:t>
      </w:r>
    </w:p>
    <w:p w:rsidR="0033382B" w:rsidRDefault="0033382B" w:rsidP="0033382B">
      <w:pPr>
        <w:pStyle w:val="TextoNormal"/>
      </w:pPr>
    </w:p>
    <w:p w:rsidR="0033382B" w:rsidRDefault="0033382B" w:rsidP="0033382B">
      <w:pPr>
        <w:pStyle w:val="TextoNormal"/>
      </w:pPr>
      <w:r>
        <w:t>Aprecia este Tribunal, por el contrario, que el Auto de planteamiento afirma expresamente que la STC 141/2014 excluye de su pronunciamiento toda consideración del art. 25 del Real Decreto Legislativo 2/2008 y, por tanto, del sistema valorativo de conjunto que resulta de la combinación de los arts. 23 y 25 del Real Decreto Legislativo 2/2008, cuestión ésta que, según razona, adquiere especial relevancia dadas las circunstancias específicas de este caso, donde la expropiación afecta a suelo que está en situación básica de rústico (art. 23 del Real Decreto Legislativo 2/2008), pero respecto del que el propietario ha adquirido ya la facultad de participar en la urbanización (art. 25 del Real Decreto Legislativo 2/2008). Por todo ello, procede rechazar este primer óbice de procedibilidad.</w:t>
      </w:r>
    </w:p>
    <w:p w:rsidR="0033382B" w:rsidRDefault="0033382B" w:rsidP="0033382B">
      <w:pPr>
        <w:pStyle w:val="TextoNormal"/>
      </w:pPr>
    </w:p>
    <w:p w:rsidR="0033382B" w:rsidRDefault="0033382B" w:rsidP="0033382B">
      <w:pPr>
        <w:pStyle w:val="TextoNormal"/>
      </w:pPr>
      <w:r w:rsidRPr="0033382B">
        <w:rPr>
          <w:rStyle w:val="NumeroAFNegritaCaracter"/>
        </w:rPr>
        <w:t>5</w:t>
      </w:r>
      <w:r>
        <w:t>.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0033382B" w:rsidRDefault="0033382B" w:rsidP="0033382B">
      <w:pPr>
        <w:pStyle w:val="TextoNormal"/>
      </w:pPr>
    </w:p>
    <w:p w:rsidR="0033382B" w:rsidRDefault="0033382B" w:rsidP="0033382B">
      <w:pPr>
        <w:pStyle w:val="TextoNormal"/>
      </w:pPr>
      <w:r>
        <w:t>Procede acordar, como consecuencia de ello,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0033382B" w:rsidRDefault="0033382B" w:rsidP="0033382B">
      <w:pPr>
        <w:pStyle w:val="TextoNormal"/>
      </w:pPr>
    </w:p>
    <w:p w:rsidR="0033382B" w:rsidRDefault="0033382B" w:rsidP="0033382B">
      <w:pPr>
        <w:pStyle w:val="TextoNormal"/>
      </w:pPr>
      <w:r w:rsidRPr="0033382B">
        <w:rPr>
          <w:rStyle w:val="NumeroAFNegritaCaracter"/>
        </w:rPr>
        <w:t>6</w:t>
      </w:r>
      <w:r>
        <w:t>.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0033382B" w:rsidRDefault="0033382B" w:rsidP="0033382B">
      <w:pPr>
        <w:pStyle w:val="TextoNormal"/>
      </w:pPr>
    </w:p>
    <w:p w:rsidR="0033382B" w:rsidRDefault="0033382B" w:rsidP="0033382B">
      <w:pPr>
        <w:pStyle w:val="TextoNormal"/>
      </w:pPr>
      <w:r>
        <w:t>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0033382B" w:rsidRDefault="0033382B" w:rsidP="0033382B">
      <w:pPr>
        <w:pStyle w:val="TextoNormal"/>
      </w:pPr>
    </w:p>
    <w:p w:rsidR="0033382B" w:rsidRDefault="0033382B" w:rsidP="0033382B">
      <w:pPr>
        <w:pStyle w:val="TextoNormal"/>
      </w:pPr>
      <w:r>
        <w:t>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0033382B" w:rsidRDefault="0033382B" w:rsidP="0033382B">
      <w:pPr>
        <w:pStyle w:val="TextoNormal"/>
      </w:pPr>
    </w:p>
    <w:p w:rsidR="0033382B" w:rsidRDefault="0033382B" w:rsidP="0033382B">
      <w:pPr>
        <w:pStyle w:val="TextoNormal"/>
      </w:pPr>
      <w:r>
        <w:t>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0033382B" w:rsidRDefault="0033382B" w:rsidP="0033382B">
      <w:pPr>
        <w:pStyle w:val="TextoNormal"/>
      </w:pPr>
    </w:p>
    <w:p w:rsidR="0033382B" w:rsidRDefault="0033382B" w:rsidP="0033382B">
      <w:pPr>
        <w:pStyle w:val="TextoNormal"/>
      </w:pPr>
      <w:r>
        <w:t>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0033382B" w:rsidRDefault="0033382B" w:rsidP="0033382B">
      <w:pPr>
        <w:pStyle w:val="TextoNormal"/>
      </w:pPr>
    </w:p>
    <w:p w:rsidR="0033382B" w:rsidRDefault="0033382B" w:rsidP="0033382B">
      <w:pPr>
        <w:pStyle w:val="TextoNormal"/>
      </w:pPr>
      <w:r>
        <w:t>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0033382B" w:rsidRDefault="0033382B" w:rsidP="0033382B">
      <w:pPr>
        <w:pStyle w:val="TextoNormal"/>
      </w:pPr>
    </w:p>
    <w:p w:rsidR="0033382B" w:rsidRDefault="0033382B" w:rsidP="0033382B">
      <w:pPr>
        <w:pStyle w:val="TextoNormal"/>
      </w:pPr>
      <w:r>
        <w:t>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0033382B" w:rsidRDefault="0033382B" w:rsidP="0033382B">
      <w:pPr>
        <w:pStyle w:val="TextoNormal"/>
      </w:pPr>
    </w:p>
    <w:p w:rsidR="0033382B" w:rsidRDefault="0033382B" w:rsidP="0033382B">
      <w:pPr>
        <w:pStyle w:val="TextoNormal"/>
      </w:pPr>
      <w:r>
        <w:t>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diecinueve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36" w:name="AUTO_2016_9"/>
      <w:r>
        <w:t>AUTO 9/2016, de 19 de enero de 2016</w:t>
      </w:r>
    </w:p>
    <w:bookmarkEnd w:id="136"/>
    <w:p w:rsidR="0033382B" w:rsidRDefault="0033382B" w:rsidP="0033382B">
      <w:pPr>
        <w:pStyle w:val="TtuloResolucin"/>
      </w:pPr>
      <w:r>
        <w:t>Pleno</w:t>
      </w:r>
    </w:p>
    <w:p w:rsidR="0033382B" w:rsidRDefault="0033382B" w:rsidP="0033382B">
      <w:pPr>
        <w:pStyle w:val="TextoNormalCentrado"/>
      </w:pPr>
      <w:r>
        <w:t>ECLI:ES:TC:2016:9A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7561-2014, planteada por la Sala de lo Contencioso-Administrativo del Tribunal Superior de Justicia de Andalucía en relación con el artículo 17.8 de la Ley 17/2012, de 27 de diciembre, de presupuestos generales del Estado para 2013.</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16 de diciembre de 2014 tuvo entrada en el Registro General de este Tribunal escrito del Tribunal Superior de Justicia de Andalucía, Sala de lo Contencioso-Administrativo (Sección Tercera), con sede en Sevilla, al que se acompaña, además del testimonio del procedimiento tramitado con el núm. 179-2013, el Auto de 14 de octubre de 2014 por el que se plantea cuestión de inconstitucionalidad en relación con el art. 17.8 de la Ley 17/2012, de 27 de diciembre, de presupuestos generales del Estado para 2013.</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La Unión Sindical Obrera de Andalucía (USO) interpuso recurso contencioso-administrativo contra diversas órdenes de 27 de febrero de 2013, de la Consejería de Educación de la Junta de Andalucía, por las que se acuerda denegar el concierto educativo a determinados centros de educación diferenciada. Alega la demanda, entre otras razones, que tales órdenes vulneran lo dispuesto en el art. 17.8 de la Ley 17/2012, de 27 de diciembre, de presupuestos generales del Estado para 2013, precepto que constituye el objeto de esta cuestión de inconstitucionalidad.</w:t>
      </w:r>
    </w:p>
    <w:p w:rsidR="0033382B" w:rsidRDefault="0033382B" w:rsidP="0033382B">
      <w:pPr>
        <w:pStyle w:val="TextoNormal"/>
      </w:pPr>
    </w:p>
    <w:p w:rsidR="0033382B" w:rsidRDefault="0033382B" w:rsidP="0033382B">
      <w:pPr>
        <w:pStyle w:val="TextoNormal"/>
      </w:pPr>
      <w:r>
        <w:t>b) Conclusas las actuaciones y dentro del plazo para dictar sentencia, por providencia de 1 de julio de 2014 se dio traslado a las partes y al Ministerio Fiscal para que formularan alegaciones en torno a la pertinencia de plantear cuestión de inconstitucionalidad sobre el citado artículo 17.8. A instancia del Fiscal, que recurrió en reposición la providencia por no cumplir los requisitos del art. 35.2 de la Ley Orgánica del Tribunal Constitucional (LOTC), con fecha 1 de septiembre de 2014 se dictó nueva providencia en la que se especifica que la duda de constitucionalidad se funda en la posible vulneración de la reserva de ley orgánica (art. 81.1 CE) y del ámbito material de las leyes de presupuestos (art. 134.2 CE).</w:t>
      </w:r>
    </w:p>
    <w:p w:rsidR="0033382B" w:rsidRDefault="0033382B" w:rsidP="0033382B">
      <w:pPr>
        <w:pStyle w:val="TextoNormal"/>
      </w:pPr>
    </w:p>
    <w:p w:rsidR="0033382B" w:rsidRDefault="0033382B" w:rsidP="0033382B">
      <w:pPr>
        <w:pStyle w:val="TextoNormal"/>
      </w:pPr>
      <w:r>
        <w:t>c) En sus alegaciones, la parte demandante se mostró desfavorable al planteamiento de la cuestión de inconstitucionalidad, en tanto que el representante procesal de la Junta de Andalucía y el Ministerio Fiscal manifestaron la procedencia de su planteamiento.</w:t>
      </w:r>
    </w:p>
    <w:p w:rsidR="0033382B" w:rsidRDefault="0033382B" w:rsidP="0033382B">
      <w:pPr>
        <w:pStyle w:val="TextoNormal"/>
      </w:pPr>
    </w:p>
    <w:p w:rsidR="0033382B" w:rsidRDefault="0033382B" w:rsidP="0033382B">
      <w:pPr>
        <w:pStyle w:val="TextoNormal"/>
      </w:pPr>
      <w:r>
        <w:t>d) Mediante Auto de 14 de octubre de 2014, el órgano judicial acuerda plantear cuestión de inconstitucionalidad en relación con el art. 17.8 de la Ley 17/2012, de 27 de diciembre, de presupuestos generales del Estado para 2013.</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de esta cuestión de inconstitucionalidad razona que, tras la entrada en vigor de la Ley Orgánica 2/2006, de 3 de mayo, de educación (LOE), resultaba conforme a derecho, de acuerdo con la jurisprudencia del Tribunal Supremo, que la Administración rechazase celebrar conciertos educativos con centros docentes privados que no escolarizan alumnos de ambos sexos, en atención a lo establecido en su artículo 84. Tras la aprobación de la Ley 17/2012, la regla es la contraria: su artículo 17, relativo al módulo económico de distribución de fondos públicos para sostenimiento de centros concertados, estableció en su apartado 8 que lo en él establecido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El precepto cuestionado habría sido vulnerado por el acto administrativo recurrido, siendo incuestionable que de su validez depende el fallo.</w:t>
      </w:r>
    </w:p>
    <w:p w:rsidR="0033382B" w:rsidRDefault="0033382B" w:rsidP="0033382B">
      <w:pPr>
        <w:pStyle w:val="TextoNormal"/>
      </w:pPr>
    </w:p>
    <w:p w:rsidR="0033382B" w:rsidRDefault="0033382B" w:rsidP="0033382B">
      <w:pPr>
        <w:pStyle w:val="TextoNormal"/>
      </w:pPr>
      <w:r>
        <w:t>El órgano judicial plantea dos dudas acerca de la constitucionalidad del art. 17.8 de la Ley 17/2012: de una parte, la posible vulneración del art. 81.1 CE, que reserva a la ley orgánica la regulación de los aspectos esenciales de un derecho fundamental, teniendo en cuenta que, antes de la Ley 17/2012, esta cuestión estaba regulada en la Ley Orgánica de educación; de otra, la posible vulneración del art. 134.2 CE, por desbordar los límites constitucionales de la Ley de presupuestos, según la doctrina constitucional (STC 76/1992, de 14 de mayo), que distingue entre el contenido necesario y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y es dudoso que, aun cuando pueda tener una relación directa con los ingresos o gastos del Estado, sea complemento necesario para su mejor inteligencia.</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18 de noviembre de 2015, la Sección Cuarta, a los efectos determinados por el art. 37.1 LOTC, acordó oír al Fiscal General del Estado para que, en el plazo de diez días, alegara acerca de la admisibilidad de esta cuestión de inconstitucionalidad, en relación con el cumplimiento de los requisitos procesales (art. 35.2 LOTC) y por si hubiese devenido notoriamente infundada (STC 234/2015, de 5 de noviembre).</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escrito presentado con fecha 11 de diciembre de 2015, el Fiscal General del Estado solicita la inadmisión de la cuestión, en atención a las razones que se sintetizan a continuación.</w:t>
      </w:r>
    </w:p>
    <w:p w:rsidR="0033382B" w:rsidRDefault="0033382B" w:rsidP="0033382B">
      <w:pPr>
        <w:pStyle w:val="TextoNormal"/>
      </w:pPr>
    </w:p>
    <w:p w:rsidR="0033382B" w:rsidRDefault="0033382B" w:rsidP="0033382B">
      <w:pPr>
        <w:pStyle w:val="TextoNormal"/>
      </w:pPr>
      <w:r>
        <w:t>a) A la vista de lo establecido en la STC 234/2015, de 5 de noviembre, FJ 2, el órgano promotor no ha formulado adecuadamente los denominados juicios de aplicabilidad y relevancia, porque no ha tenido en cuenta lo establecido en la disposición transitoria segunda de la Ley orgánica 8/2013, de 9 de diciembre, para la mejora de la calidad educativa (LOMCE), en relación con la aplicación temporal del art. 84.3 LOE, en la redacción dada por el apartado 61 del artículo único de la Ley Orgánica para la mejora de la calidad educativa. Dado el tenor literal de tales preceptos, es claro que éstos pudieran ser directamente aplicables al supuesto que la Sala ha de examinar, al hallarse vigente la Ley Orgánica para la mejora de la calidad educativa en la fecha del Auto de planteamiento de la cuestión de inconstitucionalidad, pese a lo cual el órgano judicial no ha hecho referencia alguna a ese precepto, ni para completar su argumentación, ni para establecer las razones por las que, en su caso, lo ha considerado inaplicable.</w:t>
      </w:r>
    </w:p>
    <w:p w:rsidR="0033382B" w:rsidRDefault="0033382B" w:rsidP="0033382B">
      <w:pPr>
        <w:pStyle w:val="TextoNormal"/>
      </w:pPr>
    </w:p>
    <w:p w:rsidR="0033382B" w:rsidRDefault="0033382B" w:rsidP="0033382B">
      <w:pPr>
        <w:pStyle w:val="TextoNormal"/>
      </w:pPr>
      <w:r>
        <w:t xml:space="preserve">Así las cosas, pudiera suceder que un pronunciamiento del Tribunal Constitucional sobre el art. 17.8 de la Ley 17/2012 pudiera no ser necesario para resolver el caso de autos, con lo que el juicio de constitucionalidad podría quedar desconectado de su aplicación al proceso </w:t>
      </w:r>
      <w:r w:rsidRPr="0033382B">
        <w:rPr>
          <w:i/>
        </w:rPr>
        <w:t>a quo</w:t>
      </w:r>
      <w:r>
        <w:t>, si el órgano judicial optara por aplicar la disposición transitoria segunda LOMCE una vez resuelta la cuestión.</w:t>
      </w:r>
    </w:p>
    <w:p w:rsidR="0033382B" w:rsidRDefault="0033382B" w:rsidP="0033382B">
      <w:pPr>
        <w:pStyle w:val="TextoNormal"/>
      </w:pPr>
    </w:p>
    <w:p w:rsidR="0033382B" w:rsidRDefault="0033382B" w:rsidP="0033382B">
      <w:pPr>
        <w:pStyle w:val="TextoNormal"/>
      </w:pPr>
      <w:r>
        <w:t>b) La contradicción entre el art. 17.8 de la Ley 17/2012 y el art. 84.3 LOE en la redacción anterior a su modificación por la Ley Orgánica para la mejora de la calidad educativa, que para el órgano judicial funda la duda de constitucionalidad, no se produciría si se entendiera, como hace la STC 234/2015, FJ 2, que las normas aplicables al caso son el precepto cuestionado y la nueva redacción de dicho art. 84.3 LOE, que resultaría aplicable conforme a la disposición transitoria segunda LOMCE.</w:t>
      </w:r>
    </w:p>
    <w:p w:rsidR="0033382B" w:rsidRDefault="0033382B" w:rsidP="0033382B">
      <w:pPr>
        <w:pStyle w:val="TextoNormal"/>
      </w:pPr>
    </w:p>
    <w:p w:rsidR="0033382B" w:rsidRDefault="0033382B" w:rsidP="0033382B">
      <w:pPr>
        <w:pStyle w:val="TextoNormal"/>
      </w:pPr>
      <w:r>
        <w:t>Del tenor de estos preceptos se deduce que la cuestión de inconstitucionalidad sería notoriamente infundada, por lo que también por este motivo procedería su inadmisión.</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Sala de lo Contencioso-Administrativo del Tribunal Superior de Justicia de Andalucía, con sede en Sevilla, plantea cuestión de inconstitucionalidad en relación con el art. 17.8 de la Ley 17/2012, de 27 de diciembre, de presupuestos generales del Estado para el año 2013. Entiende el órgano judicial que el citado precepto puede vulnerar tanto la reserva de ley orgánica establecida en el art. 81.1 CE como los límites materiales de las leyes de presupuestos, que derivan del art. 134.2 CE.</w:t>
      </w:r>
    </w:p>
    <w:p w:rsidR="0033382B" w:rsidRDefault="0033382B" w:rsidP="0033382B">
      <w:pPr>
        <w:pStyle w:val="TextoNormal"/>
      </w:pPr>
    </w:p>
    <w:p w:rsidR="0033382B" w:rsidRDefault="0033382B" w:rsidP="0033382B">
      <w:pPr>
        <w:pStyle w:val="TextoNormal"/>
      </w:pPr>
      <w:r>
        <w:t>El Fiscal General del Estado solicita la inadmisión de esta cuestión, por las razones que han quedado detalladas en los antecedentes de esta resolución.</w:t>
      </w:r>
    </w:p>
    <w:p w:rsidR="0033382B" w:rsidRDefault="0033382B" w:rsidP="0033382B">
      <w:pPr>
        <w:pStyle w:val="TextoNormal"/>
      </w:pPr>
    </w:p>
    <w:p w:rsidR="0033382B" w:rsidRDefault="0033382B" w:rsidP="0033382B">
      <w:pPr>
        <w:pStyle w:val="TextoNormal"/>
      </w:pPr>
      <w:r w:rsidRPr="0033382B">
        <w:rPr>
          <w:rStyle w:val="NumeroAFNegritaCaracter"/>
        </w:rPr>
        <w:t>2</w:t>
      </w:r>
      <w:r>
        <w:t>. Conforme a lo dispuesto en el art. 37.1 de la Ley Orgánica del Tribunal Constitucional, este Tribunal puede rechazar en trámite de admisión, mediante Auto y con la sola audiencia del Fiscal General del Estado, aquellas cuestiones de inconstitucionalidad en las que faltaren los necesarios requisitos procesales o que fueren notoriamente infundadas.</w:t>
      </w:r>
    </w:p>
    <w:p w:rsidR="0033382B" w:rsidRDefault="0033382B" w:rsidP="0033382B">
      <w:pPr>
        <w:pStyle w:val="TextoNormal"/>
      </w:pPr>
    </w:p>
    <w:p w:rsidR="0033382B" w:rsidRDefault="0033382B" w:rsidP="0033382B">
      <w:pPr>
        <w:pStyle w:val="TextoNormal"/>
      </w:pPr>
      <w:r>
        <w:t>Estamos ante una cuestión sustancialmente idéntica a la que ha sido objeto de la reciente STC 234/2015, de 5 de noviembre, en la que este Tribunal ha decidido inadmitir una cuestión de inconstitucionalidad promovida en relación con el art. 17.8 de la Ley 17/2012 por la misma Sala, por apreciar la posible vulneración de los mismos preceptos constitucionales. Procede en consecuencia dar por reproducido lo razonado en el fundamento jurídico 2 de dicha Sentencia, para concluir que tampoco en este caso han quedado adecuadamente formulados los juicios de aplicabilidad y relevancia: siendo “indiscutible que el precepto cuestionado es aplicable para la resolución del pleito sometido a la consideración del órgano judicial …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diecinueve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37" w:name="AUTO_2016_10"/>
      <w:r>
        <w:t>AUTO 10/2016, de 19 de enero de 2016</w:t>
      </w:r>
    </w:p>
    <w:bookmarkEnd w:id="137"/>
    <w:p w:rsidR="0033382B" w:rsidRDefault="0033382B" w:rsidP="0033382B">
      <w:pPr>
        <w:pStyle w:val="TtuloResolucin"/>
      </w:pPr>
      <w:r>
        <w:t>Pleno</w:t>
      </w:r>
    </w:p>
    <w:p w:rsidR="0033382B" w:rsidRDefault="0033382B" w:rsidP="0033382B">
      <w:pPr>
        <w:pStyle w:val="TextoNormalCentrado"/>
      </w:pPr>
      <w:r>
        <w:t>ECLI:ES:TC:2016:10A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7766-2014, planteada por la Sala de lo Contencioso-Administrativo del Tribunal Superior de Justicia de Castilla-La Mancha en relación con los artículos 23.1 a) y 2 del Real Decreto Legislativo 2/2008, de 20 de junio, por el que se aprueba el texto refundido de la Ley de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26 de diciembre de 2014 tuvo entrada en el Registro General de este Tribunal un oficio de la Sección Segunda de la Sala de lo Contencioso-Administrativo del Tribunal Superior de Justicia de Castilla-La Mancha, al que se acompaña, junto al testimonio del procedimiento ordinario núm. 122-2011, el Auto de 10 de noviembre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Los propietarios de una finca afectada por el proyecto de expropiación derivado del “Proyecto de singular interés Parque Industrial y Tecnológico de Illescas”, recurrieron en vía contencioso-administrativa la resolución del Jurado Regional de Valoraciones de la Junta de Comunidades de Castilla-La Mancha que fijó el justiprecio de su finca, que se encontraban en situación de rústica.</w:t>
      </w:r>
    </w:p>
    <w:p w:rsidR="0033382B" w:rsidRDefault="0033382B" w:rsidP="0033382B">
      <w:pPr>
        <w:pStyle w:val="TextoNormal"/>
      </w:pPr>
    </w:p>
    <w:p w:rsidR="0033382B" w:rsidRDefault="0033382B" w:rsidP="0033382B">
      <w:pPr>
        <w:pStyle w:val="TextoNormal"/>
      </w:pPr>
      <w:r>
        <w:t>b) Una vez concluso el procedimiento, y antes de dictar sentencia, la Sección Segunda de la Sala de lo Contencioso-Administrativo del Tribunal Superior de Justicia de Castilla-La Mancha dictó providencia de 17 de octubre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artículos 12 y 25, por la posible vulneración de los arts. 14 y 33.3 CE.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y el artículo 14 en cuando se permite al resto de los propietarios realizar su valor real.</w:t>
      </w:r>
    </w:p>
    <w:p w:rsidR="0033382B" w:rsidRDefault="0033382B" w:rsidP="0033382B">
      <w:pPr>
        <w:pStyle w:val="TextoNormal"/>
      </w:pPr>
    </w:p>
    <w:p w:rsidR="0033382B" w:rsidRDefault="0033382B" w:rsidP="0033382B">
      <w:pPr>
        <w:pStyle w:val="TextoNormal"/>
      </w:pPr>
      <w:r>
        <w:t xml:space="preserve">c) El Ministerio Fiscal, en escrito presentado el 5 de noviembre de 2014,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w:t>
      </w:r>
      <w:r w:rsidRPr="0033382B">
        <w:rPr>
          <w:i/>
        </w:rPr>
        <w:t>prima facie</w:t>
      </w:r>
      <w:r>
        <w:t>,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0033382B" w:rsidRDefault="0033382B" w:rsidP="0033382B">
      <w:pPr>
        <w:pStyle w:val="TextoNormal"/>
      </w:pPr>
    </w:p>
    <w:p w:rsidR="0033382B" w:rsidRDefault="0033382B" w:rsidP="0033382B">
      <w:pPr>
        <w:pStyle w:val="TextoNormal"/>
      </w:pPr>
      <w:r>
        <w:t>El Letrado de la Administración de la Junta de Comunidades de Castilla-La Mancha, en escrito registrado el 24 de octubre de 2014, se opuso al planteamiento de la cuestión por lo que hace a los arts. 23.1 y 23.2 del Real Decreto Legislativo 2/2008, con el argumento de que la STC 141/2014 los había declarado constitucionales.</w:t>
      </w:r>
    </w:p>
    <w:p w:rsidR="0033382B" w:rsidRDefault="0033382B" w:rsidP="0033382B">
      <w:pPr>
        <w:pStyle w:val="TextoNormal"/>
      </w:pPr>
    </w:p>
    <w:p w:rsidR="0033382B" w:rsidRDefault="0033382B" w:rsidP="0033382B">
      <w:pPr>
        <w:pStyle w:val="TextoNormal"/>
      </w:pPr>
      <w:r>
        <w:t>La representación de la parte actora evacuó el trámite mediante escrito registrado el 5 de noviembre de 2014, en el que considera pertinente el planteamiento de la cuestión de inconstitucionalidad.</w:t>
      </w:r>
    </w:p>
    <w:p w:rsidR="0033382B" w:rsidRDefault="0033382B" w:rsidP="0033382B">
      <w:pPr>
        <w:pStyle w:val="TextoNormal"/>
      </w:pPr>
    </w:p>
    <w:p w:rsidR="0033382B" w:rsidRDefault="0033382B" w:rsidP="0033382B">
      <w:pPr>
        <w:pStyle w:val="TextoNormal"/>
      </w:pPr>
      <w:r>
        <w:t>d) La Sección Segunda de la Sala de lo Contencioso-Administrativo del Tribunal Superior de Justicia de Castilla-La Mancha dictó Auto de 10 de noviembre de 2014, por el que se acuerda plantear cuestión de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luego de referirse a los antecedentes de hecho del caso y de transcribir los preceptos cuestionados, aborda los requisitos de procedibilidad.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0033382B" w:rsidRDefault="0033382B" w:rsidP="0033382B">
      <w:pPr>
        <w:pStyle w:val="TextoNormal"/>
      </w:pPr>
    </w:p>
    <w:p w:rsidR="0033382B" w:rsidRDefault="0033382B" w:rsidP="0033382B">
      <w:pPr>
        <w:pStyle w:val="TextoNormal"/>
      </w:pPr>
      <w:r>
        <w:t>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actual legislación.</w:t>
      </w:r>
    </w:p>
    <w:p w:rsidR="0033382B" w:rsidRDefault="0033382B" w:rsidP="0033382B">
      <w:pPr>
        <w:pStyle w:val="TextoNormal"/>
      </w:pPr>
    </w:p>
    <w:p w:rsidR="0033382B" w:rsidRDefault="0033382B" w:rsidP="0033382B">
      <w:pPr>
        <w:pStyle w:val="TextoNormal"/>
      </w:pPr>
      <w:r>
        <w:t xml:space="preserve">A continuación, señala que, aunque nada hay de inconstitucional en que la ley pueda establecer unos métodos de valoración determinados u otros, sí afirmamos que será difícilmente constitucional que de manera manifiesta impida dar con un valor real, valor que a nuestro juicio equivale a un valor que sea próximo al del mercado propio del bien de que se trate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w:t>
      </w:r>
      <w:r w:rsidRPr="0033382B">
        <w:rPr>
          <w:i/>
        </w:rPr>
        <w:t>Lightgow y otros contra Reino Unido</w:t>
      </w:r>
      <w:r>
        <w:t xml:space="preserve">—, 9 de diciembre de 1994 —caso </w:t>
      </w:r>
      <w:r w:rsidRPr="0033382B">
        <w:rPr>
          <w:i/>
        </w:rPr>
        <w:t>de los Santos Monasterios Griegos contra Grecia</w:t>
      </w:r>
      <w:r>
        <w:t xml:space="preserve">—, 4 de agosto de 2009 —caso </w:t>
      </w:r>
      <w:r w:rsidRPr="0033382B">
        <w:rPr>
          <w:i/>
        </w:rPr>
        <w:t>Perdigao contra Portugal</w:t>
      </w:r>
      <w:r>
        <w:t>—, 4 de noviembre de 2010, 9 de octubre de 2003 o 26 de abril de 2011).</w:t>
      </w:r>
    </w:p>
    <w:p w:rsidR="0033382B" w:rsidRDefault="0033382B" w:rsidP="0033382B">
      <w:pPr>
        <w:pStyle w:val="TextoNormal"/>
      </w:pPr>
    </w:p>
    <w:p w:rsidR="0033382B" w:rsidRDefault="0033382B" w:rsidP="0033382B">
      <w:pPr>
        <w:pStyle w:val="TextoNormal"/>
      </w:pPr>
      <w:r>
        <w:t>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0033382B" w:rsidRDefault="0033382B" w:rsidP="0033382B">
      <w:pPr>
        <w:pStyle w:val="TextoNormal"/>
      </w:pPr>
    </w:p>
    <w:p w:rsidR="0033382B" w:rsidRDefault="0033382B" w:rsidP="0033382B">
      <w:pPr>
        <w:pStyle w:val="TextoNormal"/>
      </w:pPr>
      <w:r>
        <w:t>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PSI que motiva la expropiación; y que el propio PSI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PSI declaraba. Esta es la prueba, a nuestro juicio, de que el sistema establecido por la Ley no es hábil para hallar el valor real del bien ni aun aproximadamente y que, por consiguiente, puede resultar inconstitucional”.</w:t>
      </w:r>
    </w:p>
    <w:p w:rsidR="0033382B" w:rsidRDefault="0033382B" w:rsidP="0033382B">
      <w:pPr>
        <w:pStyle w:val="TextoNormal"/>
      </w:pPr>
    </w:p>
    <w:p w:rsidR="0033382B" w:rsidRDefault="0033382B" w:rsidP="0033382B">
      <w:pPr>
        <w:pStyle w:val="TextoNormal"/>
      </w:pPr>
      <w:r>
        <w:t>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 Las expectativas urbanísticas se basan en circunstancias actuales (</w:t>
      </w:r>
      <w:r w:rsidRPr="0033382B">
        <w:rPr>
          <w:i/>
        </w:rPr>
        <w:t>vgr</w:t>
      </w:r>
      <w:r>
        <w:t>.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0033382B" w:rsidRDefault="0033382B" w:rsidP="0033382B">
      <w:pPr>
        <w:pStyle w:val="TextoNormal"/>
      </w:pPr>
    </w:p>
    <w:p w:rsidR="0033382B" w:rsidRDefault="0033382B" w:rsidP="0033382B">
      <w:pPr>
        <w:pStyle w:val="TextoNormal"/>
      </w:pPr>
      <w:r>
        <w:t>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arto 33.3 CE y el 14 CE”. Y sobre la constitucionalidad del régimen previsto en el art.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0033382B" w:rsidRDefault="0033382B" w:rsidP="0033382B">
      <w:pPr>
        <w:pStyle w:val="TextoNormal"/>
      </w:pPr>
    </w:p>
    <w:p w:rsidR="0033382B" w:rsidRDefault="0033382B" w:rsidP="0033382B">
      <w:pPr>
        <w:pStyle w:val="TextoNormal"/>
      </w:pPr>
      <w:r>
        <w:t>El Auto incluye un epígrafe séptimo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w:t>
      </w:r>
    </w:p>
    <w:p w:rsidR="0033382B" w:rsidRDefault="0033382B" w:rsidP="0033382B">
      <w:pPr>
        <w:pStyle w:val="TextoNormal"/>
      </w:pPr>
    </w:p>
    <w:p w:rsidR="0033382B" w:rsidRDefault="0033382B" w:rsidP="0033382B">
      <w:pPr>
        <w:pStyle w:val="TextoNormal"/>
      </w:pPr>
      <w:r>
        <w:t>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w:t>
      </w:r>
    </w:p>
    <w:p w:rsidR="0033382B" w:rsidRDefault="0033382B" w:rsidP="0033382B">
      <w:pPr>
        <w:pStyle w:val="TextoNormal"/>
      </w:pPr>
    </w:p>
    <w:p w:rsidR="0033382B" w:rsidRDefault="0033382B" w:rsidP="0033382B">
      <w:pPr>
        <w:pStyle w:val="TextoNormal"/>
      </w:pPr>
      <w:r>
        <w:t>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 25.1”.</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18 de noviembre de 2015, la Sección Cuarta del Tribunal Constitucional acordó oír al Fiscal General del Estado para que, en el plazo de diez días, y a los efectos que determina el art. 37.1 LOTC, alegase lo que considerase conveniente “en relación con el cumplimiento de los requisitos procesales (art. 35.2 LOTC) y por si hubiera devenido notoriamente infundada (STC 218/2015, de 22 de octubre)”.</w:t>
      </w:r>
    </w:p>
    <w:p w:rsidR="0033382B" w:rsidRDefault="0033382B" w:rsidP="0033382B">
      <w:pPr>
        <w:pStyle w:val="TextoNormal"/>
      </w:pPr>
    </w:p>
    <w:p w:rsidR="0033382B" w:rsidRDefault="0033382B" w:rsidP="0033382B">
      <w:pPr>
        <w:pStyle w:val="TextoNormal"/>
      </w:pPr>
      <w:r w:rsidRPr="0033382B">
        <w:rPr>
          <w:rStyle w:val="NumeroAFNegritaCaracter"/>
        </w:rPr>
        <w:t>5</w:t>
      </w:r>
      <w:r>
        <w:t>. El Fiscal General del Estado evacuó el trámite conferido mediante escrito registrado el 22 de diciembre de 2015, en el que desarrolla tres alegaciones distintas, partiendo en gran medida de las SSTC 141/2014 y 218/2015, que a su juicio ya han resuelto las cuestiones que en este proceso se plantean.</w:t>
      </w:r>
    </w:p>
    <w:p w:rsidR="0033382B" w:rsidRDefault="0033382B" w:rsidP="0033382B">
      <w:pPr>
        <w:pStyle w:val="TextoNormal"/>
      </w:pPr>
    </w:p>
    <w:p w:rsidR="0033382B" w:rsidRDefault="0033382B" w:rsidP="0033382B">
      <w:pPr>
        <w:pStyle w:val="TextoNormal"/>
      </w:pPr>
      <w:r>
        <w:t>Expone, en primer término, que “no se habría llevado a cabo un adecuado juicio de relevancia sobre lo que la Sala denomina otras circunstancias específicas, que no ha concretado, de las que devengan una inconstitucionalidad añadida del art. 23.1 a) del Real Decreto Legislativo 2/2008, conclusión a la que también debe alcanzar la supuesta inconstitucionalidad del art. 25.1 del Real Decreto Legislativo 2/2008, pues ningún razonamiento se aporta en el auto de planteamiento de la cuestión de inconstitucionalidad que difiera de los que fueron expuestos en la cuestión de inconstitucionalidad que dio origen al pronunciamiento del Alto Tribunal que transcribe el órgano judicial en su resolución por la que promueve la presente cuestión de inconstitucionalidad”.</w:t>
      </w:r>
    </w:p>
    <w:p w:rsidR="0033382B" w:rsidRDefault="0033382B" w:rsidP="0033382B">
      <w:pPr>
        <w:pStyle w:val="TextoNormal"/>
      </w:pPr>
    </w:p>
    <w:p w:rsidR="0033382B" w:rsidRDefault="0033382B" w:rsidP="0033382B">
      <w:pPr>
        <w:pStyle w:val="TextoNormal"/>
      </w:pPr>
      <w:r>
        <w:t>Afirma, en segundo lugar, que la presente cuestión de inconstitucionalidad debe ser resuelta en los términos que han sido declarados por la Sentencia de 30 de noviembre de 2015, dictada en la cuestión de inconstitucionalidad 6190-2014. Así, tal como se ha resuelto en tal Sentencia, la declaración de inconstitucionalidad y nulidad del art. 25.2 a) del Real Decreto Legislativo 2/2008 por la STC 218/2015 supone “que se haya extinguido sobrevenidamente el objeto procesal en cuanto a este extremo”, alegación que extiende al art. 23.1 a) del Real Decreto Legislativo 2/2008 en la medida que la STC 141/2014 declaró inconstitucional el inciso “hasta el máximo del doble”.</w:t>
      </w:r>
    </w:p>
    <w:p w:rsidR="0033382B" w:rsidRDefault="0033382B" w:rsidP="0033382B">
      <w:pPr>
        <w:pStyle w:val="TextoNormal"/>
      </w:pPr>
    </w:p>
    <w:p w:rsidR="0033382B" w:rsidRDefault="0033382B" w:rsidP="0033382B">
      <w:pPr>
        <w:pStyle w:val="TextoNormal"/>
      </w:pPr>
      <w:r>
        <w:t>Como tercera y última alegación, sostiene, con citas de la STC 218/2015 (por lo que hace al art. 33.3 CE) y de la STC 141/2014 (por lo que respecta al art. 14 CE), que los arts. 12, 23.2 y 25.1 del Real Decreto Legislativo 2/2008 no contradicen los arts. 14 y 33.3 CE, por lo que la cuestión suscitada es en este punto manifiestamente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 xml:space="preserve">La Sala considera que el art. 23.1 a) del Real Decreto Legislativo 2/2008 establece un método de valoración para el suelo en situación básica de rural </w:t>
      </w:r>
      <w:r w:rsidRPr="0033382B">
        <w:rPr>
          <w:i/>
        </w:rPr>
        <w:t>ex</w:t>
      </w:r>
      <w:r>
        <w:t xml:space="preserve">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Real Decreto Legislativo 2/2008.</w:t>
      </w:r>
    </w:p>
    <w:p w:rsidR="0033382B" w:rsidRDefault="0033382B" w:rsidP="0033382B">
      <w:pPr>
        <w:pStyle w:val="TextoNormal"/>
      </w:pPr>
    </w:p>
    <w:p w:rsidR="0033382B" w:rsidRDefault="0033382B" w:rsidP="0033382B">
      <w:pPr>
        <w:pStyle w:val="TextoNormal"/>
      </w:pPr>
      <w:r>
        <w:t>El Fiscal General del Estado, en el trámite previsto en el art. 37.1 de la Ley Orgánica del Tribunal Constitucional (LOTC), alega sucesivamente (a) un deficiente juicio de relevancia por lo que hace a los arts. 23.1 a) y 25.1 del Real Decreto Legislativo 2/2008; (b) la pérdida sobrevenida del objeto de la cuestión en cuanto 25.2 a) del Real Decreto Legislativo 2/2008 porque así ha se ha pronunciado el Tribunal en un supuesto idéntico en la STC 244/2015, de 30 de noviembre, criterio que extiende al art. 23.1 a) del Real Decreto Legislativo 2/2008 en la medida que la STC 141/2014 declaró inconstitucional y nulo el inciso “hasta el máximo del doble”; y (c), en fin, el carácter notoriamente infundado de la duda de constitucionalidad en relación a los arts. 12, 23.2 y 25.1 del Real Decreto Legislativo 2/2008.</w:t>
      </w:r>
    </w:p>
    <w:p w:rsidR="0033382B" w:rsidRDefault="0033382B" w:rsidP="0033382B">
      <w:pPr>
        <w:pStyle w:val="TextoNormal"/>
      </w:pPr>
    </w:p>
    <w:p w:rsidR="0033382B" w:rsidRDefault="0033382B" w:rsidP="0033382B">
      <w:pPr>
        <w:pStyle w:val="TextoNormal"/>
      </w:pPr>
      <w:r w:rsidRPr="0033382B">
        <w:rPr>
          <w:rStyle w:val="NumeroAFNegritaCaracter"/>
        </w:rPr>
        <w:t>2</w:t>
      </w:r>
      <w:r>
        <w:t>. La derogación de los preceptos cuestionados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33382B" w:rsidRDefault="0033382B" w:rsidP="0033382B">
      <w:pPr>
        <w:pStyle w:val="TextoNormal"/>
      </w:pPr>
    </w:p>
    <w:p w:rsidR="0033382B" w:rsidRDefault="0033382B" w:rsidP="0033382B">
      <w:pPr>
        <w:pStyle w:val="TextoNormal"/>
      </w:pPr>
      <w:r w:rsidRPr="0033382B">
        <w:rPr>
          <w:rStyle w:val="NumeroAFNegritaCaracter"/>
        </w:rPr>
        <w:t>4</w:t>
      </w:r>
      <w:r>
        <w:t>. La Fiscal General del Estado alega falta del adecuado juicio de relevancia sobre lo que la Sala denomina otras circunstancias específicas, de las que deriva una inconstitucionalidad del art. 23.1 a) del Real Decreto Legislativo 2/2008 añadida a la ya declarada en la STC 141/2014, déficit en el juicio de relevancia que invoca también respecto de la supuesta inconstitucionalidad del art. 25.1 del Real Decreto Legislativo 2/2008, pues, a su juicio, ningún razonamiento se aporta en el Auto de planteamiento que difiera de los que fueron expuestos en la cuestión de inconstitucionalidad que dio origen a la STC 141/2014.</w:t>
      </w:r>
    </w:p>
    <w:p w:rsidR="0033382B" w:rsidRDefault="0033382B" w:rsidP="0033382B">
      <w:pPr>
        <w:pStyle w:val="TextoNormal"/>
      </w:pPr>
    </w:p>
    <w:p w:rsidR="0033382B" w:rsidRDefault="0033382B" w:rsidP="0033382B">
      <w:pPr>
        <w:pStyle w:val="TextoNormal"/>
      </w:pPr>
      <w:r>
        <w:t>Aprecia este Tribunal, por el contrario, que el Auto de planteamiento afirma expresamente que la STC 141/2014 excluye de su pronunciamiento toda consideración del art. 25 del Real Decreto Legislativo 2/2008 y, por tanto, del sistema valorativo de conjunto que resulta de la combinación de los arts. 23 y 25 del Real Decreto Legislativo 2/2008, cuestión ésta que, según razona, adquiere especial relevancia dadas las circunstancias específicas de este caso, donde la expropiación afecta a suelo que está en situación básica de rústico (art. 23 del Real Decreto Legislativo 2/2008), pero respecto del que el propietario ha adquirido ya la facultad de participar en la urbanización (art. 25 del Real Decreto Legislativo 2/2008). Por todo ello, procede rechazar este primer óbice de procedibilidad.</w:t>
      </w:r>
    </w:p>
    <w:p w:rsidR="0033382B" w:rsidRDefault="0033382B" w:rsidP="0033382B">
      <w:pPr>
        <w:pStyle w:val="TextoNormal"/>
      </w:pPr>
    </w:p>
    <w:p w:rsidR="0033382B" w:rsidRDefault="0033382B" w:rsidP="0033382B">
      <w:pPr>
        <w:pStyle w:val="TextoNormal"/>
      </w:pPr>
      <w:r w:rsidRPr="0033382B">
        <w:rPr>
          <w:rStyle w:val="NumeroAFNegritaCaracter"/>
        </w:rPr>
        <w:t>5</w:t>
      </w:r>
      <w:r>
        <w:t>.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0033382B" w:rsidRDefault="0033382B" w:rsidP="0033382B">
      <w:pPr>
        <w:pStyle w:val="TextoNormal"/>
      </w:pPr>
    </w:p>
    <w:p w:rsidR="0033382B" w:rsidRDefault="0033382B" w:rsidP="0033382B">
      <w:pPr>
        <w:pStyle w:val="TextoNormal"/>
      </w:pPr>
      <w:r>
        <w:t>Procede acordar, como consecuencia de ello,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0033382B" w:rsidRDefault="0033382B" w:rsidP="0033382B">
      <w:pPr>
        <w:pStyle w:val="TextoNormal"/>
      </w:pPr>
    </w:p>
    <w:p w:rsidR="0033382B" w:rsidRDefault="0033382B" w:rsidP="0033382B">
      <w:pPr>
        <w:pStyle w:val="TextoNormal"/>
      </w:pPr>
      <w:r w:rsidRPr="0033382B">
        <w:rPr>
          <w:rStyle w:val="NumeroAFNegritaCaracter"/>
        </w:rPr>
        <w:t>6</w:t>
      </w:r>
      <w:r>
        <w:t>. Dejando a un lado, en virtud de las razones expuestas, el art. 25.2 a) del Real Decreto Legislativo 2/2008, el objeto de este proceso sobre el que este Tribunal debe pronunciarse se ciñe a los arts. 12, 23.1.a), 23.2 y resto del art. 25 del Real Decreto Legislativo 2/2008. Pues bien, la referida STC 218/2015, de 22 de octubre, se pronunció sobre la constitucionalidad de estos preceptos en los siguientes términos:</w:t>
      </w:r>
    </w:p>
    <w:p w:rsidR="0033382B" w:rsidRDefault="0033382B" w:rsidP="0033382B">
      <w:pPr>
        <w:pStyle w:val="TextoNormal"/>
      </w:pPr>
    </w:p>
    <w:p w:rsidR="0033382B" w:rsidRDefault="0033382B" w:rsidP="0033382B">
      <w:pPr>
        <w:pStyle w:val="TextoNormal"/>
      </w:pPr>
      <w:r>
        <w:t>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0033382B" w:rsidRDefault="0033382B" w:rsidP="0033382B">
      <w:pPr>
        <w:pStyle w:val="TextoNormal"/>
      </w:pPr>
    </w:p>
    <w:p w:rsidR="0033382B" w:rsidRDefault="0033382B" w:rsidP="0033382B">
      <w:pPr>
        <w:pStyle w:val="TextoNormal"/>
      </w:pPr>
      <w:r>
        <w:t>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0033382B" w:rsidRDefault="0033382B" w:rsidP="0033382B">
      <w:pPr>
        <w:pStyle w:val="TextoNormal"/>
      </w:pPr>
    </w:p>
    <w:p w:rsidR="0033382B" w:rsidRDefault="0033382B" w:rsidP="0033382B">
      <w:pPr>
        <w:pStyle w:val="TextoNormal"/>
      </w:pPr>
      <w:r>
        <w:t>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0033382B" w:rsidRDefault="0033382B" w:rsidP="0033382B">
      <w:pPr>
        <w:pStyle w:val="TextoNormal"/>
      </w:pPr>
    </w:p>
    <w:p w:rsidR="0033382B" w:rsidRDefault="0033382B" w:rsidP="0033382B">
      <w:pPr>
        <w:pStyle w:val="TextoNormal"/>
      </w:pPr>
      <w:r>
        <w:t>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0033382B" w:rsidRDefault="0033382B" w:rsidP="0033382B">
      <w:pPr>
        <w:pStyle w:val="TextoNormal"/>
      </w:pPr>
    </w:p>
    <w:p w:rsidR="0033382B" w:rsidRDefault="0033382B" w:rsidP="0033382B">
      <w:pPr>
        <w:pStyle w:val="TextoNormal"/>
      </w:pPr>
      <w:r>
        <w:t>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0033382B" w:rsidRDefault="0033382B" w:rsidP="0033382B">
      <w:pPr>
        <w:pStyle w:val="TextoNormal"/>
      </w:pPr>
    </w:p>
    <w:p w:rsidR="0033382B" w:rsidRDefault="0033382B" w:rsidP="0033382B">
      <w:pPr>
        <w:pStyle w:val="TextoNormal"/>
      </w:pPr>
      <w:r>
        <w:t>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0033382B" w:rsidRDefault="0033382B" w:rsidP="0033382B">
      <w:pPr>
        <w:pStyle w:val="TextoNormal"/>
      </w:pPr>
    </w:p>
    <w:p w:rsidR="0033382B" w:rsidRDefault="0033382B" w:rsidP="0033382B">
      <w:pPr>
        <w:pStyle w:val="TextoNormal"/>
      </w:pPr>
      <w:r>
        <w:t>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diecinueve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38" w:name="AUTO_2016_11"/>
      <w:r>
        <w:t>AUTO 11/2016, de 19 de enero de 2016</w:t>
      </w:r>
    </w:p>
    <w:bookmarkEnd w:id="138"/>
    <w:p w:rsidR="0033382B" w:rsidRDefault="0033382B" w:rsidP="0033382B">
      <w:pPr>
        <w:pStyle w:val="TtuloResolucin"/>
      </w:pPr>
      <w:r>
        <w:t>Pleno</w:t>
      </w:r>
    </w:p>
    <w:p w:rsidR="0033382B" w:rsidRDefault="0033382B" w:rsidP="0033382B">
      <w:pPr>
        <w:pStyle w:val="TextoNormalCentrado"/>
      </w:pPr>
      <w:r>
        <w:t>ECLI:ES:TC:2016:11A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4613-2015, planteada por la Sala de lo Contencioso-Administrativo del Tribunal Superior de Justicia de Castilla-León en relación con el artículo 38.4 del Real Decreto Legislativo 670/1987, de 30 de abril, por el que se aprueba el texto refundido de la Ley de clases pasivas del Estado.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30 de julio de 2015 tuvo entrada en el Registro General de este Tribunal escrito de la Sala de lo Contencioso-Administrativo del Tribunal Superior de Justicia de Castilla y León con sede en Valladolid, al que se acompaña, además del testimonio del procedimiento ordinario 790-2012, el Auto de 25 de junio de 2015, por el que se acuerda plantear cuestión de inconstitucionalidad en relación con el art. 38.4, último párrafo del texto refundido de la Ley de clases pasivas del Estado, aprobado por Real Decreto Legislativo 670/1987, de 30 de abril.</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En fecha 22 de junio de 2012, ante la Sala de lo Contencioso-Administrativo del Tribunal Superior de Justicia de Castilla y León, con sede en Valladolid se interpuso recurso contencioso-administrativo contra la resolución de 23 de abril de 2012, del Subdirector General de Recursos e Información Administrativa del Ministerio de Defensa, por la que se desestima el recurso de alzada formulado frente a resolución de 31 de enero de 2012, de la Dirección General de Personal (Subdirección General de Costes de Recursos Humanos, Área Pensiones) que desestima la solicitud de reconocimiento de pensión de viudedad de doña Aziza Oualdi por falta de acreditación de los requisitos contemplados en el art. 38.4 de la Ley de clases pasivas; considera la parte recurrente que, dada la equiparación generalmente aceptada entre matrimonio y pareja de hecho, debe resultar de aplicación lo previsto en el art. 38.1 de la citada Ley.</w:t>
      </w:r>
    </w:p>
    <w:p w:rsidR="0033382B" w:rsidRDefault="0033382B" w:rsidP="0033382B">
      <w:pPr>
        <w:pStyle w:val="TextoNormal"/>
      </w:pPr>
    </w:p>
    <w:p w:rsidR="0033382B" w:rsidRDefault="0033382B" w:rsidP="0033382B">
      <w:pPr>
        <w:pStyle w:val="TextoNormal"/>
      </w:pPr>
      <w:r>
        <w:t>b) Conclusas las actuaciones, y efectuado el señalamiento para votación y fallo, mediante providencia de 2 de junio de 2015, el órgano judicial, con suspensión del plazo para dictar sentencia, acordó oír a las partes y al Ministerio Fiscal, para que en el plazo común en improrrogable de diez días pudieran alegar lo que estimaren conveniente sobre la pertinencia de plantear cuestión de inconstitucionalidad en relación con el último párrafo del art. 38.4 del texto refundido de la Ley de clases pasivas del Estado, aprobado por Real Decreto Legislativo 670/1987, de 30 de abril, por cuanto pudiera ser contrario a los arts. 14 y 39 CE.</w:t>
      </w:r>
    </w:p>
    <w:p w:rsidR="0033382B" w:rsidRDefault="0033382B" w:rsidP="0033382B">
      <w:pPr>
        <w:pStyle w:val="TextoNormal"/>
      </w:pPr>
    </w:p>
    <w:p w:rsidR="0033382B" w:rsidRDefault="0033382B" w:rsidP="0033382B">
      <w:pPr>
        <w:pStyle w:val="TextoNormal"/>
      </w:pPr>
      <w:r>
        <w:t>Señala la providencia que la Administración ha denegado a la interesada la pensión de viudedad por no acreditar una convivencia de una duración mínima de cinco años anteriores al fallecimiento del causante y por no haberse producido la inscripción como pareja de hecho con una antelación mínima de dos años al momento de dicho fallecimiento; añade que si en lugar de haberse inscrito como pareja de hecho hubieran constituido matrimonio, la pensión de viudedad hubiera sido reconocida sin obstáculo alguno.</w:t>
      </w:r>
    </w:p>
    <w:p w:rsidR="0033382B" w:rsidRDefault="0033382B" w:rsidP="0033382B">
      <w:pPr>
        <w:pStyle w:val="TextoNormal"/>
      </w:pPr>
    </w:p>
    <w:p w:rsidR="0033382B" w:rsidRDefault="0033382B" w:rsidP="0033382B">
      <w:pPr>
        <w:pStyle w:val="TextoNormal"/>
      </w:pPr>
      <w:r>
        <w:t>Entiende la Sala que la exigencia de requisitos agravados de convivencia y antigüedad para la constitución de la pareja de hecho respecto del matrimonio, a efectos de lucrar la pensión de viudedad, puede ser vulneradora de los arts. 14 y 139 CE cuando la pareja tiene hijos comunes dependientes de la misma, en cuanto es susceptible de producir una discriminación indirecta por razón de filiación. Y tal cuestión es relevante para la resolución del presente litigio, porque la forma de reparar la discriminación producida sería la concesión de la pensión de viudedad a la demandante, en idénticas condiciones que si se tratase de una relación de carácter matrimonial.</w:t>
      </w:r>
    </w:p>
    <w:p w:rsidR="0033382B" w:rsidRDefault="0033382B" w:rsidP="0033382B">
      <w:pPr>
        <w:pStyle w:val="TextoNormal"/>
      </w:pPr>
    </w:p>
    <w:p w:rsidR="0033382B" w:rsidRDefault="0033382B" w:rsidP="0033382B">
      <w:pPr>
        <w:pStyle w:val="TextoNormal"/>
      </w:pPr>
      <w:r>
        <w:t>Esa discriminación indirecta se produce porque en el régimen de clases pasivas (art. 42.4 de la Ley de clases pasivas) —a diferencia de lo que ocurren en el Sistema de Seguridad Social— no resulta posible en ningún caso a los hijos acrecer la pensión de orfandad con el importe de la pensión de viudedad, en los casos de orfandad absoluta. Por ello, al aplicarse, además, criterios diferentes y más severos a las uniones de hecho que a los matrimonios, a efectos de lucrar la pensión de viudedad, la protección social que tienen los hijos comunes dependientes, en el caso de las parejas de hecho, es menor que la que corresponde a los hijos matrimoniales.</w:t>
      </w:r>
    </w:p>
    <w:p w:rsidR="0033382B" w:rsidRDefault="0033382B" w:rsidP="0033382B">
      <w:pPr>
        <w:pStyle w:val="TextoNormal"/>
      </w:pPr>
    </w:p>
    <w:p w:rsidR="0033382B" w:rsidRDefault="0033382B" w:rsidP="0033382B">
      <w:pPr>
        <w:pStyle w:val="TextoNormal"/>
      </w:pPr>
      <w:r>
        <w:t>Concluye la providencia afirmando que en el sistema de clases pasivas se podría solventar esta discriminación si se introdujese la posibilidad del incremento de las pensiones de orfandad con el acrecimiento de la pensión de viudedad, cuando no exista progenitor con derecho a pensión de viudedad; que esta reforma del régimen de clases pasivas podría ser obra del legislador, pero también pudiera llegar a considerarse que la diferencia en este punto entre el régimen de clases pasivas y el sistema de Seguridad Social es incompatible con el art. 14 CE, por introducir una diferencia desproporcionada, en este punto, entre la protección social de los dos colectivos.</w:t>
      </w:r>
    </w:p>
    <w:p w:rsidR="0033382B" w:rsidRDefault="0033382B" w:rsidP="0033382B">
      <w:pPr>
        <w:pStyle w:val="TextoNormal"/>
      </w:pPr>
    </w:p>
    <w:p w:rsidR="0033382B" w:rsidRDefault="0033382B" w:rsidP="0033382B">
      <w:pPr>
        <w:pStyle w:val="TextoNormal"/>
      </w:pPr>
      <w:r>
        <w:t>c) Por escrito de1 7 de junio de 2015, el Abogado del Estado, en representación del Ministerio de Defensa y despachando el trámite de audiencia, emite informe en el que considera que no se ha cumplido correctamente el juicio de relevancia.</w:t>
      </w:r>
    </w:p>
    <w:p w:rsidR="0033382B" w:rsidRDefault="0033382B" w:rsidP="0033382B">
      <w:pPr>
        <w:pStyle w:val="TextoNormal"/>
      </w:pPr>
    </w:p>
    <w:p w:rsidR="0033382B" w:rsidRDefault="0033382B" w:rsidP="0033382B">
      <w:pPr>
        <w:pStyle w:val="TextoNormal"/>
      </w:pPr>
      <w:r>
        <w:t>La solución que propone la Sala no guarda relación con la planteada en el procedimiento judicial del que trae causa, habida cuenta de que lo que se reclama en el proceso es el reconocimiento de la pensión de viudedad del supérstite, y, si se reconociera dicha pensión de viudedad, el hijo no podría en ningún acrecer la pensión de orfandad. Por otro lado, si bien es cierto que en el régimen de clases pasivas no existe el derecho a acrecer la pensión de orfandad con el importe de la pensión de viudedad, también lo es que, en todo caso, existe un tratamiento igualitario, a estos efectos, entre los hijos matrimoniales y los no matrimoniales, y aunque los requisitos para el reconocimiento de la pensión de viudedad, son diferentes para el caso de las parejas de hecho y los matrimonios, pero sin que ello implique que puedan ser considerados como más severos o agravados. Se señala asimismo que es la comparación entre el régimen de clases pasivas y el sistema de Seguridad Social, el que se utiliza como elemento determinante para articular la inconstitucionalidad del precepto, lo que implica que la Sala parte de un presupuesto que no supera el juicio de relevancia.</w:t>
      </w:r>
    </w:p>
    <w:p w:rsidR="0033382B" w:rsidRDefault="0033382B" w:rsidP="0033382B">
      <w:pPr>
        <w:pStyle w:val="TextoNormal"/>
      </w:pPr>
    </w:p>
    <w:p w:rsidR="0033382B" w:rsidRDefault="0033382B" w:rsidP="0033382B">
      <w:pPr>
        <w:pStyle w:val="TextoNormal"/>
      </w:pPr>
      <w:r>
        <w:t>Por la representación procesal de la demandante se formula escrito de alegaciones, en el que manifiesta su conformidad con el planteamiento de la cuestión de inconstitucionalidad. El Fiscal, en escrito de 8 de junio, manifiesta que no se opone al planteamiento de la cuestión.</w:t>
      </w:r>
    </w:p>
    <w:p w:rsidR="0033382B" w:rsidRDefault="0033382B" w:rsidP="0033382B">
      <w:pPr>
        <w:pStyle w:val="TextoNormal"/>
      </w:pPr>
    </w:p>
    <w:p w:rsidR="0033382B" w:rsidRDefault="0033382B" w:rsidP="0033382B">
      <w:pPr>
        <w:pStyle w:val="TextoNormal"/>
      </w:pPr>
      <w:r>
        <w:t>El 25 de junio de 2015 el órgano judicial dicta Auto por el que acuerda el planteamiento de cuestión de inconstitucionalidad en relación con el art. 38.4, último párrafo del texto refundido de la Ley de clases pasivas del Estado, aprobado por Real Decreto Legislativo 670/1987, de 30 de abril, por posible vulneración de los arts. 14 y 39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de la cuestión de inconstitucionalidad se fundamenta en las consideraciones que seguidamente se indican:</w:t>
      </w:r>
    </w:p>
    <w:p w:rsidR="0033382B" w:rsidRDefault="0033382B" w:rsidP="0033382B">
      <w:pPr>
        <w:pStyle w:val="TextoNormal"/>
      </w:pPr>
    </w:p>
    <w:p w:rsidR="0033382B" w:rsidRDefault="0033382B" w:rsidP="0033382B">
      <w:pPr>
        <w:pStyle w:val="TextoNormal"/>
      </w:pPr>
      <w:r>
        <w:t>Comienza el Auto señalando que nos encontramos ante la reclamación de una pensión de viudedad del régimen de clases pasivas por la sobreviviente de una pareja de hecho, con una hija en común, a la que la Administración ha denegado la pensión de viudedad por no acreditar una convivencia de un mínimo de cinco años anterior al fallecimiento, ni haberse producido la inscripción como pareja de hecho con una antelación mínima de dos años al momento del fallecimiento, en los términos contemplados en el art. 38.4 de la Ley de clases pasivas del Estado.</w:t>
      </w:r>
    </w:p>
    <w:p w:rsidR="0033382B" w:rsidRDefault="0033382B" w:rsidP="0033382B">
      <w:pPr>
        <w:pStyle w:val="TextoNormal"/>
      </w:pPr>
    </w:p>
    <w:p w:rsidR="0033382B" w:rsidRDefault="0033382B" w:rsidP="0033382B">
      <w:pPr>
        <w:pStyle w:val="TextoNormal"/>
      </w:pPr>
      <w:r>
        <w:t>Precisa a continuación: “las dudas de esta Sala respecto a la inconstitucionalidad de la regulación legal de protección social de la familia en caso de fallecimiento de uno de los progenitores, no son relativas a la diferencia de trato entre el matrimonio y la pareja de hecho, cuestión ya resuelta por abundante jurisprudencia constitucional, sino respecto a la discriminación indirecta que la regulación produce por razón de la filiación, matrimonial o extramatrimonial, cuando existen hijos que dependen económicamente de la unidad familiar. El problema no estriba en que el cónyuge superviviente de un matrimonio pueda percibir una pensión de viudedad, y en las mismas circunstancias no lo haga la persona superviviente de una pareja de hecho. El problema estriba en que cuando la pareja tiene hijos dependientes, la diferente protección económica de la familia, en función de que la pareja sea matrimonial o de hecho, determina una muy diferente protección económica del conjunto de la familia y pudiera constituir una discriminación indirecta por razón de filiación”.</w:t>
      </w:r>
    </w:p>
    <w:p w:rsidR="0033382B" w:rsidRDefault="0033382B" w:rsidP="0033382B">
      <w:pPr>
        <w:pStyle w:val="TextoNormal"/>
      </w:pPr>
    </w:p>
    <w:p w:rsidR="0033382B" w:rsidRDefault="0033382B" w:rsidP="0033382B">
      <w:pPr>
        <w:pStyle w:val="TextoNormal"/>
      </w:pPr>
      <w:r>
        <w:t xml:space="preserve">La pensión de viudedad y las pensiones de orfandad están reguladas, tanto en la legislación de Seguridad Social como en la legislación de clases pasivas del Estado, como forma de protección de la familia, de manera que ambas se complementan para suplir, hasta cierto límite, los ingresos perdidos que aportaba el miembro de la misma fallecido. Por ello, “los términos de comparación a efectos de protección, son dos unidades familiares con hijos comunes dependientes, en las cuales fallece uno de sus miembros, una de carácter matrimonial y la otra constituida </w:t>
      </w:r>
      <w:r w:rsidRPr="0033382B">
        <w:rPr>
          <w:i/>
        </w:rPr>
        <w:t>more uxorio</w:t>
      </w:r>
      <w:r>
        <w:t>. Si como consecuencia de ese fallecimiento, la protección social global de una y otra unidad familiar es diferente (sumando prestaciones de viudedad y orfandad), y la causa de esa diferencia es exclusivamente el carácter matrimonial o extramatrimonial de la pareja, tal diferencia es contraria a los artículos 14 y 39 de la Constitución, por constituir una discriminación indirecta por razón de filiación, conforme al criterio de la Sentencia del Tribunal Constitucional 154/2006”.</w:t>
      </w:r>
    </w:p>
    <w:p w:rsidR="0033382B" w:rsidRDefault="0033382B" w:rsidP="0033382B">
      <w:pPr>
        <w:pStyle w:val="TextoNormal"/>
      </w:pPr>
    </w:p>
    <w:p w:rsidR="0033382B" w:rsidRDefault="0033382B" w:rsidP="0033382B">
      <w:pPr>
        <w:pStyle w:val="TextoNormal"/>
      </w:pPr>
      <w:r>
        <w:t>Entiende el órgano judicial que la citada discriminación se produce en el régimen de clases pasivas, como consecuencia de la aplicación de criterios diferentes a las uniones de hecho y a los matrimonios a efectos de lucrar la pensión de viudedad, cuando la pareja tiene hijos comunes que dependen de ellos económicamente. La exigencia de requisitos agravados de convivencia y antigüedad de la constitución de la pareja de hecho respecto del matrimonio, a efectos de lucrar la pensión de viudedad, cuando la pareja tiene hijos comunes dependientes puede vulnerar, en el sentido indicado, los arts. 14 y 39 CE, y tal cuestión es relevante para la resolución del presente litigio, porque si se entendiese así la forma de reparar la discriminación producida sería la concesión de la pensión de viudedad a la demandante.</w:t>
      </w:r>
    </w:p>
    <w:p w:rsidR="0033382B" w:rsidRDefault="0033382B" w:rsidP="0033382B">
      <w:pPr>
        <w:pStyle w:val="TextoNormal"/>
      </w:pPr>
    </w:p>
    <w:p w:rsidR="0033382B" w:rsidRDefault="0033382B" w:rsidP="0033382B">
      <w:pPr>
        <w:pStyle w:val="TextoNormal"/>
      </w:pPr>
      <w:r>
        <w:t>Continúa señalando el Auto que en el sistema de Seguridad Social (arts. 36.2 del Decreto 3158/1966, de 23 de diciembre y Real Decreto 296/2009, de 6 de marzo) se permite el acrecimiento de la pensión de orfandad con el importe de la pensión de viudedad en los casos de orfandad absoluta. Esta solución, sin embargo no es posible en el sistema de clases pasivas (art. 42.4 de la Ley de clases pasivas), que no contempla dicho acrecimiento. La discriminación entre ambos tipos de familia solamente puede subsanarse por la vía, sin duda menos satisfactoria, del reconocimiento de la pensión de viudedad en igualdad de condiciones con el matrimonio cuando existen hijos comunes dependientes de la pareja de hecho.</w:t>
      </w:r>
    </w:p>
    <w:p w:rsidR="0033382B" w:rsidRDefault="0033382B" w:rsidP="0033382B">
      <w:pPr>
        <w:pStyle w:val="TextoNormal"/>
      </w:pPr>
    </w:p>
    <w:p w:rsidR="0033382B" w:rsidRDefault="0033382B" w:rsidP="0033382B">
      <w:pPr>
        <w:pStyle w:val="TextoNormal"/>
      </w:pPr>
      <w:r>
        <w:t>Afirma el Auto que “no se le escapa a esta Sala, no obstante, que también en el sistema de Clases Pasivas se podría solventar la discriminación mediante el incremento de las pensiones de orfandad si se introdujese en el mismo la posibilidad de incremento de las pensiones de orfandad con el acrecimiento de la pensión de viudedad cuando no quede progenitor con derecho a pensión de viudedad. Esta reforma del régimen de clases pasivas podría ser obra del legislador, pero también pudiera llegar a considerarse que la diferencia en este punto entre el régimen de clases pasivas y el sistema de Seguridad Social es incompatible con el artículo 14 de la Constitución, por introducir una diferencia desproporcionada en este concreto punto entre la protección social de dos colectivos, máxime cuando gran parte de los funcionarios del régimen de clases pasivas desempeñan en las Administraciones sus funciones en paralelo a funcionarios y laborales protegidos por el sistema de Seguridad Social … Si así fuese, la denegación de la pensión de viudedad de la pareja de hecho en el régimen de Clases Pasivas en los términos analizados no sería contraria a la Constitución, sino que la inconstitucionalidad estaría en la falta de reconocimiento a los huérfanos del incremento de las pensiones de orfandad en términos análogos a los analizados en el sistema de Seguridad Social”.</w:t>
      </w:r>
    </w:p>
    <w:p w:rsidR="0033382B" w:rsidRDefault="0033382B" w:rsidP="0033382B">
      <w:pPr>
        <w:pStyle w:val="TextoNormal"/>
      </w:pPr>
    </w:p>
    <w:p w:rsidR="0033382B" w:rsidRDefault="0033382B" w:rsidP="0033382B">
      <w:pPr>
        <w:pStyle w:val="TextoNormal"/>
      </w:pPr>
      <w:r>
        <w:t>El Auto se pronuncia específicamente sobre el juicio de relevancia, afirmando que “lo que esta Sala ha de decidir es si debe concederse o denegarse la pensión de viudedad a la actora, como supérstite de una pareja de hecho, que le ha sido denegada por cuanto no cumple los requisitos de convivencia y antigüedad de la formalización como pareja de hecho que exige con toda claridad la norma legal aplicable. Si aplicamos el texto legal vigente la solución ha de ser desestimatoria de la pretensión. No obstante, por las razones que se han esgrimido, la norma pudiera ser contraria a los artículos 14 y 39 de la Constitución al exigir requisitos diferenciados para lucrar pensión de viudedad en el caso de matrimonios que en el caso de parejas de hecho, cuando éstas tengan hijos comunes dependientes de las mismas, por cuanto tal diferencia puede ser considerada una discriminación indirecta por razón de filiación al dispensar una protección social divergente a dos tipos de familia en las que se integran los menores dependientes. Si así se considerase por el Tribunal Constitucional, el fallo debiera ser estimatorio de la pretensión”.</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18 de noviembre de 2015, la Sección Tercera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la falta de cumplimiento de los requisitos procesales (art. 35.2 LOTC) y por si fuere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en este Tribunal el 14 de diciembre de 2015, en el que interesa la inadmisión de la presente cuestión de inconstitucionalidad por incumplimiento del presupuesto procesal relativo al juicio de relevancia y por ser la misma notoriamente infundada.</w:t>
      </w:r>
    </w:p>
    <w:p w:rsidR="0033382B" w:rsidRDefault="0033382B" w:rsidP="0033382B">
      <w:pPr>
        <w:pStyle w:val="TextoNormal"/>
      </w:pPr>
    </w:p>
    <w:p w:rsidR="0033382B" w:rsidRDefault="0033382B" w:rsidP="0033382B">
      <w:pPr>
        <w:pStyle w:val="TextoNormal"/>
      </w:pPr>
      <w:r>
        <w:t xml:space="preserve">Considera la Fiscal General que los términos en que la cuestión ha sido suscitada exceden de la naturaleza propia de este proceso, como mecanismo de control concreto de la constitucionalidad de las leyes, necesariamente vinculado con la pretensión que fue ejercitada en el proceso subyacente; y ello porque, en el presente caso, la cuestión elevada ha alterado sustancialmente los términos de la pretensión que fue ejercitada en el proceso </w:t>
      </w:r>
      <w:r w:rsidRPr="0033382B">
        <w:rPr>
          <w:i/>
        </w:rPr>
        <w:t>a quo</w:t>
      </w:r>
      <w:r>
        <w:t>.</w:t>
      </w:r>
    </w:p>
    <w:p w:rsidR="0033382B" w:rsidRDefault="0033382B" w:rsidP="0033382B">
      <w:pPr>
        <w:pStyle w:val="TextoNormal"/>
      </w:pPr>
    </w:p>
    <w:p w:rsidR="0033382B" w:rsidRDefault="0033382B" w:rsidP="0033382B">
      <w:pPr>
        <w:pStyle w:val="TextoNormal"/>
      </w:pPr>
      <w:r>
        <w:t>En el recurso contencioso del que trae causa la presente cuestión, el objeto del proceso son las resoluciones administrativas que denegaron a la recurrente el reconocimiento de la pensión de viudedad, y la pretensión deducida era obtener su nulidad, por estimar que en las mismas se hizo una incorrecta interpretación del art. 38.4 del texto refundido de la Ley de clases pasivas del Estado, contraria a la equiparación que con carácter general se admite entre el matrimonio y la relación de afectividad análoga. De lo anterior se desprende que la controversia suscitada era la de la interpretación que debía darse a los requisitos temporales de convivencia y formalidad de la pareja de hecho, establecidos en el último párrafo del art. 38.4 de la Ley de clases pasivas, en relación con el derecho al reconocimiento de la pensión de viudedad denegada a la recurrente.</w:t>
      </w:r>
    </w:p>
    <w:p w:rsidR="0033382B" w:rsidRDefault="0033382B" w:rsidP="0033382B">
      <w:pPr>
        <w:pStyle w:val="TextoNormal"/>
      </w:pPr>
    </w:p>
    <w:p w:rsidR="0033382B" w:rsidRDefault="0033382B" w:rsidP="0033382B">
      <w:pPr>
        <w:pStyle w:val="TextoNormal"/>
      </w:pPr>
      <w:r>
        <w:t xml:space="preserve">El Tribunal </w:t>
      </w:r>
      <w:r w:rsidRPr="0033382B">
        <w:rPr>
          <w:i/>
        </w:rPr>
        <w:t>a quo</w:t>
      </w:r>
      <w:r>
        <w:t>, sin embargo, ha construido el juicio de relevancia de manera desconectada con la pretensión deducida por la recurrente en su demanda. La Sala, tras admitir la validez constitucional de las diferencias de trato entre parejas matrimoniales y parejas de hecho, en orden al reconocimiento de la pensión de viudedad al sobreviviente —que ya han sido examinadas en varias ocasiones por el Tribunal Constitucional— ha construido la cuestión sobre la base de un supuesto trato discriminatorio indirecto que causa a la unidad familiar y, en concreto a los hijos comunes no matrimoniales, la exigencia del cumplimiento de requisitos temporales de convivencia y de la formalidad de la constitución de la pareja de hecho, basándose para ello en la STC 154/2006, de 22 de mayo, que resolvía un tema de acrecimiento de la indemnización a tanto alzado a favor de los hijos no matrimoniales, suscitado en un recurso de amparo constitucional.</w:t>
      </w:r>
    </w:p>
    <w:p w:rsidR="0033382B" w:rsidRDefault="0033382B" w:rsidP="0033382B">
      <w:pPr>
        <w:pStyle w:val="TextoNormal"/>
      </w:pPr>
    </w:p>
    <w:p w:rsidR="0033382B" w:rsidRDefault="0033382B" w:rsidP="0033382B">
      <w:pPr>
        <w:pStyle w:val="TextoNormal"/>
      </w:pPr>
      <w:r>
        <w:t>La base sobre la que se construye el planteamiento de la validez constitucional del art. 38.4 de la Ley de clases pasivas es, en realidad, la de la discriminación indirecta de los hijos no matrimoniales, en relación con las prestaciones que pueden recibir al fallecer uno de los progenitores, al no contemplarse en el régimen de clases pasivas el acrecimiento de la pensión de viudedad respecto de la de orfandad, que sí se contempla en el régimen de la Seguridad Social tras la citada STC 154/2006.</w:t>
      </w:r>
    </w:p>
    <w:p w:rsidR="0033382B" w:rsidRDefault="0033382B" w:rsidP="0033382B">
      <w:pPr>
        <w:pStyle w:val="TextoNormal"/>
      </w:pPr>
    </w:p>
    <w:p w:rsidR="0033382B" w:rsidRDefault="0033382B" w:rsidP="0033382B">
      <w:pPr>
        <w:pStyle w:val="TextoNormal"/>
      </w:pPr>
      <w:r>
        <w:t>El referido planeamiento de la cuestión supone un claro apartamiento de la pretensión que es objeto del proceso contencioso-administrativo del que trae causa, que solo se refiere a la interpretación sobre los requisitos para el reconocimiento de la pensión de viudedad en caso de parejas de hecho, no habiéndose suscitado la controversia procesal sobre las prestaciones de orfandad que corresponden a los hijos comunes no matrimoniales y el acrecimiento que, en su caso, puede corresponderles de la pensión de viudedad.</w:t>
      </w:r>
    </w:p>
    <w:p w:rsidR="0033382B" w:rsidRDefault="0033382B" w:rsidP="0033382B">
      <w:pPr>
        <w:pStyle w:val="TextoNormal"/>
      </w:pPr>
    </w:p>
    <w:p w:rsidR="0033382B" w:rsidRDefault="0033382B" w:rsidP="0033382B">
      <w:pPr>
        <w:pStyle w:val="TextoNormal"/>
      </w:pPr>
      <w:r>
        <w:t>Cabe concluir, por ello, que el juicio de relevancia de la norma cuestionada no está correctamente construido, puesto que vincula su validez a una cuestión que no guarda relación con el objeto del proceso sobre el que debe resolver, utilizando la cuestión como mecanismo de control abstracto y no concreto de validez de las normas legales, lo que determina a priori que la cuestión, en los términos en que ha sido planteada, no pueda considerarse debidamente 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Sala de lo Contencioso-Administrativo del Tribunal Superior de Justicia de Castilla y León, con sede en Valladolid, plantea cuestión de inconstitucionalidad en relación con el art. 38.4, último párrafo del texto refundido de la Ley de clases pasivas del Estado, aprobado por Real Decreto Legislativo 670/1987, de 30 de abril. El precepto cuestionado dispone literalmente lo siguiente:</w:t>
      </w:r>
    </w:p>
    <w:p w:rsidR="0033382B" w:rsidRDefault="0033382B" w:rsidP="0033382B">
      <w:pPr>
        <w:pStyle w:val="TextoNormal"/>
      </w:pPr>
    </w:p>
    <w:p w:rsidR="0033382B" w:rsidRDefault="0033382B" w:rsidP="0033382B">
      <w:pPr>
        <w:pStyle w:val="TextoNormal"/>
      </w:pPr>
      <w:r>
        <w:t>“Art. 38. Condiciones del derecho a la pensión</w:t>
      </w:r>
    </w:p>
    <w:p w:rsidR="0033382B" w:rsidRDefault="0033382B" w:rsidP="0033382B">
      <w:pPr>
        <w:pStyle w:val="TextoNormal"/>
      </w:pPr>
    </w:p>
    <w:p w:rsidR="0033382B" w:rsidRDefault="0033382B" w:rsidP="0033382B">
      <w:pPr>
        <w:pStyle w:val="TextoNormal"/>
      </w:pPr>
      <w:r>
        <w:t>…</w:t>
      </w:r>
    </w:p>
    <w:p w:rsidR="0033382B" w:rsidRDefault="0033382B" w:rsidP="0033382B">
      <w:pPr>
        <w:pStyle w:val="TextoNormal"/>
      </w:pPr>
    </w:p>
    <w:p w:rsidR="0033382B" w:rsidRDefault="0033382B" w:rsidP="0033382B">
      <w:pPr>
        <w:pStyle w:val="TextoNormal"/>
      </w:pPr>
      <w:r>
        <w:t>4. Tendrá asimismo derecho a la pensión de viudedad quien se encontrase unido al causante en el momento de su fallecimiento, formando una pareja de hecho, y acreditara que sus ingresos durante el año natural anterior no alcanzaron el 50 por 100 de la suma de los propios y de los del causante habidos en el mismo período. Dicho porcentaje será del 25 por 100 en caso de inexistencia de hijos comunes con derecho a pensión de orfandad.</w:t>
      </w:r>
    </w:p>
    <w:p w:rsidR="0033382B" w:rsidRDefault="0033382B" w:rsidP="0033382B">
      <w:pPr>
        <w:pStyle w:val="TextoNormal"/>
      </w:pPr>
    </w:p>
    <w:p w:rsidR="0033382B" w:rsidRDefault="0033382B" w:rsidP="0033382B">
      <w:pPr>
        <w:pStyle w:val="TextoNormal"/>
      </w:pPr>
      <w:r>
        <w:t>No obstante, también se reconocerá derecho a pensión de viudedad cuando los ingresos del sobreviviente resulten inferiores a 1,5 veces el importe del salario mínimo interprofesional vigente en el momento del hecho causante, requisito que deberá concurrir tanto en el momento del hecho causante de la prestación, como durante el período de su percepción. El límite indicado se incrementará en 0,5 veces la cuantía del salario mínimo interprofesional vigente por cada hijo común, con derecho a la pensión de orfandad que conviva con el sobreviviente.</w:t>
      </w:r>
    </w:p>
    <w:p w:rsidR="0033382B" w:rsidRDefault="0033382B" w:rsidP="0033382B">
      <w:pPr>
        <w:pStyle w:val="TextoNormal"/>
      </w:pPr>
    </w:p>
    <w:p w:rsidR="0033382B" w:rsidRDefault="0033382B" w:rsidP="0033382B">
      <w:pPr>
        <w:pStyle w:val="TextoNormal"/>
      </w:pPr>
      <w:r>
        <w:t>Se considerarán como ingresos los rendimientos de trabajo y de capital así como los de carácter patrimonial, en los términos en que son computados para el reconocimiento de los complementos para mínimos de pensiones.</w:t>
      </w:r>
    </w:p>
    <w:p w:rsidR="0033382B" w:rsidRDefault="0033382B" w:rsidP="0033382B">
      <w:pPr>
        <w:pStyle w:val="TextoNormal"/>
      </w:pPr>
    </w:p>
    <w:p w:rsidR="0033382B" w:rsidRDefault="0033382B" w:rsidP="0033382B">
      <w:pPr>
        <w:pStyle w:val="TextoNormal"/>
      </w:pPr>
      <w:r>
        <w:t>A efectos de lo establecido en este apartado, se considerará pareja de hecho la constituida, con análoga relación de afectividad a la conyugal, por quienes, no hallándose impedidos para contraer matrimonio, no tengan vínculo matrimonial con otra persona y acrediten, mediante el correspondiente certificado de empadronamiento, una convivencia estable y notoria de carácter inmediato al fallecimiento del causante y con una duración ininterrumpida no inferior a cinco años. La existencia de pareja de hecho se acreditará mediante certificación de la inscripción en alguno de los registros específicos existentes en las comunidades autónomas o ayuntamientos del lugar de residencia o mediante documento público en el que conste la constitución de dicha pareja. Tanto la mencionada inscripción como la formalización del correspondiente documento público deberá haberse producido con una antelación mínima de dos años con respecto a la fecha de fallecimiento del causante.”</w:t>
      </w:r>
    </w:p>
    <w:p w:rsidR="0033382B" w:rsidRDefault="0033382B" w:rsidP="0033382B">
      <w:pPr>
        <w:pStyle w:val="TextoNormal"/>
      </w:pPr>
    </w:p>
    <w:p w:rsidR="0033382B" w:rsidRDefault="0033382B" w:rsidP="0033382B">
      <w:pPr>
        <w:pStyle w:val="TextoNormal"/>
      </w:pPr>
      <w:r>
        <w:t>Como se ha expuesto en los antecedentes de la presente resolución, el órgano judicial considera que la exigencia de requisitos agravados de convivencia y antigüedad para la constitución de la pareja de hecho, respecto del matrimonio, a efectos de lucrar la pensión de viudedad puede vulnerar los arts. 14 y 39 CE, en cuanto es susceptible de producir una discriminación indirecta por razón de filiación. En el régimen de clases pasivas, a diferencia de lo que ocurre en el sistema de Seguridad Social, no resulta posible a los hijos acrecer la pensión de orfandad con el importe de la pensión de viudedad, en los supuestos de orfandad absoluta, por lo que al aplicarse, además, criterios diferentes y más severos para la acreditación de las uniones de hecho, a efectos de lucrar la pensión de viudedad, la protección social de los hijos comunes dependientes es menor que la que corresponde a los hijos matrimoniales.</w:t>
      </w:r>
    </w:p>
    <w:p w:rsidR="0033382B" w:rsidRDefault="0033382B" w:rsidP="0033382B">
      <w:pPr>
        <w:pStyle w:val="TextoNormal"/>
      </w:pPr>
    </w:p>
    <w:p w:rsidR="0033382B" w:rsidRDefault="0033382B" w:rsidP="0033382B">
      <w:pPr>
        <w:pStyle w:val="TextoNormal"/>
      </w:pPr>
      <w:r>
        <w:t>La Fiscal General del Estado, en el trámite previsto en el art. 37.1 de la Ley Orgánica del Tribunal Constitucional (LOTC), se ha opuesto a la admisión a trámite de la presente cuestión de inconstitucionalidad, por entender que no se ha formulado adecuadamente por el órgano judicial el juicio de relevancia exigido por el art. 35 LOTC, y por ser la cuestión notoriamente infundada en su planteamiento.</w:t>
      </w:r>
    </w:p>
    <w:p w:rsidR="0033382B" w:rsidRDefault="0033382B" w:rsidP="0033382B">
      <w:pPr>
        <w:pStyle w:val="TextoNormal"/>
      </w:pPr>
    </w:p>
    <w:p w:rsidR="0033382B" w:rsidRDefault="0033382B" w:rsidP="0033382B">
      <w:pPr>
        <w:pStyle w:val="TextoNormal"/>
      </w:pPr>
      <w:r w:rsidRPr="0033382B">
        <w:rPr>
          <w:rStyle w:val="NumeroAFNegritaCaracter"/>
        </w:rPr>
        <w:t>2</w:t>
      </w:r>
      <w:r>
        <w:t>. Conforme a lo dispuesto en el art. 37 LOTC, este Tribunal puede rechazar en trámite de admisión, mediante Auto y con la sola audiencia del Fiscal General del Estado, aquellas cuestiones de inconstitucionalidad que adolezcan de falta de los necesarios requisitos procesales o que fueren notoriamente infundadas.</w:t>
      </w:r>
    </w:p>
    <w:p w:rsidR="0033382B" w:rsidRDefault="0033382B" w:rsidP="0033382B">
      <w:pPr>
        <w:pStyle w:val="TextoNormal"/>
      </w:pPr>
    </w:p>
    <w:p w:rsidR="0033382B" w:rsidRDefault="0033382B" w:rsidP="0033382B">
      <w:pPr>
        <w:pStyle w:val="TextoNormal"/>
      </w:pPr>
      <w:r>
        <w:t>Como dijimos en la STC 79/2015, de 30 de abril, FJ 3,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ello,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w:t>
      </w:r>
    </w:p>
    <w:p w:rsidR="0033382B" w:rsidRDefault="0033382B" w:rsidP="0033382B">
      <w:pPr>
        <w:pStyle w:val="TextoNormal"/>
      </w:pPr>
    </w:p>
    <w:p w:rsidR="0033382B" w:rsidRDefault="0033382B" w:rsidP="0033382B">
      <w:pPr>
        <w:pStyle w:val="TextoNormal"/>
      </w:pPr>
      <w:r>
        <w:t>De ahí que este Tribunal haya estimado que debe darse una verdadera “dependencia” o un “nexo de subordinación” entre el fallo del proceso y la validez de la norma cuestionada (STC 157/1990, de 18 de octubre FJ 1). Así, no basta con que el Tribunal considere que la norma es aplicable al caso, sino que también ha de satisfacer el requisito de la relevancia, y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33382B" w:rsidRDefault="0033382B" w:rsidP="0033382B">
      <w:pPr>
        <w:pStyle w:val="TextoNormal"/>
      </w:pPr>
    </w:p>
    <w:p w:rsidR="0033382B" w:rsidRDefault="0033382B" w:rsidP="0033382B">
      <w:pPr>
        <w:pStyle w:val="TextoNormal"/>
      </w:pPr>
      <w:r>
        <w:t xml:space="preserve">En el presente caso, la cuestión de inconstitucionalidad debe ser inadmitida por incorrecto cumplimiento de los requisitos procesales, pues la premisa sustancial que fundamenta y justifica el planteamiento de la cuestión carece de conexión con el proceso </w:t>
      </w:r>
      <w:r w:rsidRPr="0033382B">
        <w:rPr>
          <w:i/>
        </w:rPr>
        <w:t>a quo</w:t>
      </w:r>
      <w:r>
        <w:t>, por lo que no puede entenderse correctamente cumplido el juicio de relevancia que establece el art. 35.2 LOTC.</w:t>
      </w:r>
    </w:p>
    <w:p w:rsidR="0033382B" w:rsidRDefault="0033382B" w:rsidP="0033382B">
      <w:pPr>
        <w:pStyle w:val="TextoNormal"/>
      </w:pPr>
    </w:p>
    <w:p w:rsidR="0033382B" w:rsidRDefault="0033382B" w:rsidP="0033382B">
      <w:pPr>
        <w:pStyle w:val="TextoNormal"/>
      </w:pPr>
      <w:r w:rsidRPr="0033382B">
        <w:rPr>
          <w:rStyle w:val="NumeroAFNegritaCaracter"/>
        </w:rPr>
        <w:t>3</w:t>
      </w:r>
      <w:r>
        <w:t>. La cuestión controvertida en el procedimiento judicial del que trae causa la presente cuestión de inconstitucionalidad, se centra en la supuesta discriminación entre uniones matrimoniales y parejas de hecho, en relación a los requisitos exigidos a estas últimas en el art. 38.4 de la Ley de clases pasivas del Estado, para el reconocimiento del derecho a percibir la pensión de viudedad por el cónyuge supérstite.</w:t>
      </w:r>
    </w:p>
    <w:p w:rsidR="0033382B" w:rsidRDefault="0033382B" w:rsidP="0033382B">
      <w:pPr>
        <w:pStyle w:val="TextoNormal"/>
      </w:pPr>
    </w:p>
    <w:p w:rsidR="0033382B" w:rsidRDefault="0033382B" w:rsidP="0033382B">
      <w:pPr>
        <w:pStyle w:val="TextoNormal"/>
      </w:pPr>
      <w:r>
        <w:t xml:space="preserve">Sin embargo, el Auto de planteamiento de la cuestión excluye </w:t>
      </w:r>
      <w:r w:rsidRPr="0033382B">
        <w:rPr>
          <w:i/>
        </w:rPr>
        <w:t>ab initio</w:t>
      </w:r>
      <w:r>
        <w:t xml:space="preserve"> que las dudas suscitadas por el citado precepto, tengan relación con una posible discriminación por razón del diferente tratamiento que el precepto otorga a las parejas matrimoniales y no matrimoniales para la acreditación del vínculo a efectos de lucrar la pensión de viudedad, pues afirma que esa cuestión ya ha sido resuelta por la propia jurisprudencia constitucional.</w:t>
      </w:r>
    </w:p>
    <w:p w:rsidR="0033382B" w:rsidRDefault="0033382B" w:rsidP="0033382B">
      <w:pPr>
        <w:pStyle w:val="TextoNormal"/>
      </w:pPr>
    </w:p>
    <w:p w:rsidR="0033382B" w:rsidRDefault="0033382B" w:rsidP="0033382B">
      <w:pPr>
        <w:pStyle w:val="TextoNormal"/>
      </w:pPr>
      <w:r>
        <w:t>Por ello, el objeto de la cuestión de inconstitucionalidad se centra en que la exigencia de requisitos agravados para lucrar la pensión de viudedad en el caso de las parejas de hecho es susceptible de producir una discriminación indirecta por razón de filiación, cuando la pareja tiene hijos comunes dependientes. Y ello sería así porque el régimen de clases pasivas no contempla la posibilidad de acrecimiento de la pensión de orfandad con la de viudedad, en los casos de orfandad absoluta, previsión que sí se recoge en el Sistema de Seguridad Social, por lo que si, además, los requisitos para lucrar la pensión de viudedad son más exigentes en el supuesto de parejas de hecho que en el caso de matrimonio, se produce, indirectamente, una discriminación de los hijos no matrimoniales, que podría vulnerar los arts. 14 y 39 CE.</w:t>
      </w:r>
    </w:p>
    <w:p w:rsidR="0033382B" w:rsidRDefault="0033382B" w:rsidP="0033382B">
      <w:pPr>
        <w:pStyle w:val="TextoNormal"/>
      </w:pPr>
    </w:p>
    <w:p w:rsidR="0033382B" w:rsidRDefault="0033382B" w:rsidP="0033382B">
      <w:pPr>
        <w:pStyle w:val="TextoNormal"/>
      </w:pPr>
      <w:r>
        <w:t>Precisa el Auto de planteamiento que esta discriminación indirecta solo puede subsanarse a través de una reforma legislativa que equipare ambos regímenes, o por la vía —que expresamente califica de menos satisfactoria— del reconocimiento de la pensión de viudedad en igualdad de condiciones entre el matrimonio y las parejas de hecho, cuando existan hijos comunes dependientes, a fin de que estos últimos se sitúen en condiciones de igualdad con los hijos matrimoniales.</w:t>
      </w:r>
    </w:p>
    <w:p w:rsidR="0033382B" w:rsidRDefault="0033382B" w:rsidP="0033382B">
      <w:pPr>
        <w:pStyle w:val="TextoNormal"/>
      </w:pPr>
    </w:p>
    <w:p w:rsidR="0033382B" w:rsidRDefault="0033382B" w:rsidP="0033382B">
      <w:pPr>
        <w:pStyle w:val="TextoNormal"/>
      </w:pPr>
      <w:r>
        <w:t>En otros términos, lo que plantea el órgano judicial, es que el diferente tratamiento previsto en el sistema de clases pasivas y en el de Seguridad Social, en relación a la pensión de orfandad y su posible acrecimiento, debería ser “compensado” con un tratamiento igualitario entre las relaciones matrimoniales y no matrimoniales en cuanto a los requisitos exigidos para lucrar la pensión de viudedad, como medio para evitar que se produzca una discriminación negativa indirecta de los hijos no matrimoniales, y se dispense una protección igualitaria a ambos tipos de familia.</w:t>
      </w:r>
    </w:p>
    <w:p w:rsidR="0033382B" w:rsidRDefault="0033382B" w:rsidP="0033382B">
      <w:pPr>
        <w:pStyle w:val="TextoNormal"/>
      </w:pPr>
    </w:p>
    <w:p w:rsidR="0033382B" w:rsidRDefault="0033382B" w:rsidP="0033382B">
      <w:pPr>
        <w:pStyle w:val="TextoNormal"/>
      </w:pPr>
      <w:r>
        <w:t>Apela la Sala a lo señalado en la STC 154/2006, que resolvió un recurso de amparo en el que se vino a apreciar la discriminación indirecta de los hijos extramatrimoniales, en relación con la percepción de la indemnización a tanto alzado en caso de muerte causada por accidente de trabajo del progenitor. En aquel supuesto, el precepto aplicado situaba el hecho causante de la percepción de indemnización por los huérfanos, en la inexistencia de “cónyuge” sobreviviente con derecho a esa indemnización especial, lo que determinaba que los padres extramatrimoniales no tuvieran derecho a la misma por no existir vínculo matrimonial, y al no reconocimiento consiguiente a sus huérfanos.</w:t>
      </w:r>
    </w:p>
    <w:p w:rsidR="0033382B" w:rsidRDefault="0033382B" w:rsidP="0033382B">
      <w:pPr>
        <w:pStyle w:val="TextoNormal"/>
      </w:pPr>
    </w:p>
    <w:p w:rsidR="0033382B" w:rsidRDefault="0033382B" w:rsidP="0033382B">
      <w:pPr>
        <w:pStyle w:val="TextoNormal"/>
      </w:pPr>
      <w:r>
        <w:t>El presupuesto fáctico que dio lugar a dicho pronunciamiento no resulta trasladable, sin embargo, al presente supuesto, habida cuenta de que la discriminación indirecta entonces apreciada tenía su origen inmediato en la propia norma objeto del recurso; siendo así que, en el supuesto que ahora se examina, no concurren estas circunstancias objetivas, pues la imposibilidad de acrecimiento de la pensión de orfandad no resulta de lo dispuesto en el precepto aquí controvertido, y ni siquiera encuentra acomodo en la regulación que de la pensión de orfandad efectúa la Ley de clases pasivas, que resulta aplicable en idénticos términos a los hijos matrimoniales y no matrimoniales, sino que tiene su origen en la comparación que el órgano judicial efectúa entre dos regímenes diferentes, el de clases pasivas y el de Seguridad Social.</w:t>
      </w:r>
    </w:p>
    <w:p w:rsidR="0033382B" w:rsidRDefault="0033382B" w:rsidP="0033382B">
      <w:pPr>
        <w:pStyle w:val="TextoNormal"/>
      </w:pPr>
    </w:p>
    <w:p w:rsidR="0033382B" w:rsidRDefault="0033382B" w:rsidP="0033382B">
      <w:pPr>
        <w:pStyle w:val="TextoNormal"/>
      </w:pPr>
      <w:r>
        <w:t xml:space="preserve">Planteada la cuestión de inconstitucionalidad en estos términos, no puede considerarse correctamente cumplido el juicio de relevancia en los términos exigidos por el art. 35 LOTC, pues el fundamento sobre el que se sustenta la cuestión planteada no guarda relación con la pretensión suscitada en el proceso </w:t>
      </w:r>
      <w:r w:rsidRPr="0033382B">
        <w:rPr>
          <w:i/>
        </w:rPr>
        <w:t>a quo</w:t>
      </w:r>
      <w:r>
        <w:t>, que se refiere únicamente a la interpretación sobre los requisitos que para el reconocimiento de la pensión de viudedad en casos de parejas de hecho, que establece el art. 38.4, último párrafo de la Ley de clases pasivas del Estado, no habiéndose suscitado controversia procesal sobre las prestaciones de orfandad que corresponden a los hijos comunes no matrimoniales y el diferente tratamiento de las mismas respecto del sistema de Seguridad Social, por lo que se han alterado sustancialmente los términos de la pretensión ejercitada en el proceso subyacente.</w:t>
      </w:r>
    </w:p>
    <w:p w:rsidR="0033382B" w:rsidRDefault="0033382B" w:rsidP="0033382B">
      <w:pPr>
        <w:pStyle w:val="TextoNormal"/>
      </w:pPr>
    </w:p>
    <w:p w:rsidR="0033382B" w:rsidRDefault="0033382B" w:rsidP="0033382B">
      <w:pPr>
        <w:pStyle w:val="TextoNormal"/>
      </w:pPr>
      <w:r>
        <w:t>No existe, en consecuencia, una conexión directa o nexo de subordinación entre la cuestión de inconstitucionalidad planteada y la debatida en el proceso del que trae causa, y la eventual declaración de inconstitucionalidad del precepto cuestionado no determinaría, en ningún caso, la equiparación en el tratamiento de la mencionada pensión de orfandad en ambos regímenes de protección social, que constituye el núcleo sobre el que se sustenta jurídicamente el planteamiento realizado por la Sala.</w:t>
      </w:r>
    </w:p>
    <w:p w:rsidR="0033382B" w:rsidRDefault="0033382B" w:rsidP="0033382B">
      <w:pPr>
        <w:pStyle w:val="TextoNormal"/>
      </w:pPr>
    </w:p>
    <w:p w:rsidR="0033382B" w:rsidRDefault="0033382B" w:rsidP="0033382B">
      <w:pPr>
        <w:pStyle w:val="TextoNormal"/>
      </w:pPr>
      <w:r>
        <w:t>En definitiva pues, procede acoger la objeción procesal formulada por la Fiscal General del Estado, en el sentido de que la cuestión se sustancia sobre unas circunstancias que no se han planteado en el proceso que ha dado lugar a la formulación de la misma y que no guardan conexión de sentido ni relevancia para el fallo que haya de dictarse en dicho proceso, por lo que el juicio de relevancia ha sido incorrectamente formulado, en la medida en que el planteamiento de la cuestión va más allá de la necesidad de resolver el proceso pendiente, pretendiendo, por el contrario, un control abstracto de constitucionalidad que ha sido reiteradamente rechazado por la doctrina constitucional (por todas, STC 83/2015, FJ 3).</w:t>
      </w:r>
    </w:p>
    <w:p w:rsidR="0033382B" w:rsidRDefault="0033382B" w:rsidP="0033382B">
      <w:pPr>
        <w:pStyle w:val="TextoNormal"/>
      </w:pPr>
    </w:p>
    <w:p w:rsidR="0033382B" w:rsidRDefault="0033382B" w:rsidP="0033382B">
      <w:pPr>
        <w:pStyle w:val="TextoNormal"/>
      </w:pPr>
      <w:r w:rsidRPr="0033382B">
        <w:rPr>
          <w:rStyle w:val="NumeroAFNegritaCaracter"/>
        </w:rPr>
        <w:t>4</w:t>
      </w:r>
      <w:r>
        <w:t xml:space="preserve">. La cuestión de inconstitucionalidad puede considerarse, además, notoriamente infundada, pues la pretensión de equiparar dos regímenes de protección social distintos, regulados en normas separadas, con un contenido no coincidente, con orígenes disímiles, articulados en torno a principios diferentes y dirigidos a distintos colectivos, no tiene sino la naturaleza de propuesta de </w:t>
      </w:r>
      <w:r w:rsidRPr="0033382B">
        <w:rPr>
          <w:i/>
        </w:rPr>
        <w:t>lege ferenda</w:t>
      </w:r>
      <w:r>
        <w:t xml:space="preserve"> y está, por tanto, sujeta al margen de discrecionalidad que corresponde al legislador en el marco del sistema prestacional del Estado.</w:t>
      </w:r>
    </w:p>
    <w:p w:rsidR="0033382B" w:rsidRDefault="0033382B" w:rsidP="0033382B">
      <w:pPr>
        <w:pStyle w:val="TextoNormal"/>
      </w:pPr>
    </w:p>
    <w:p w:rsidR="0033382B" w:rsidRDefault="0033382B" w:rsidP="0033382B">
      <w:pPr>
        <w:pStyle w:val="TextoNormal"/>
      </w:pPr>
      <w:r>
        <w:t>Admitir tal pretensión supondría intentar sustituir la función que al legislador corresponde para corregir, en su caso el diferente tratamiento que recibe la pensión de orfandad en ambos regímenes, lo que, evidentemente, no corresponde a este Tribunal sino a una decisión de política legislativa que no constituye consecuencia obligada de lo dispuesto en los preceptos constitucionales que se alegan, pues “la identidad en el nivel de protección de todos los ciudadanos podrá constituir algo deseable desde el punto de vista social, pero cuando las prestaciones derivan de distintos sistemas o regímenes, cada uno con su propia normativa, no constituye un imperativo jurídico (STC 103/1984 y 27/1988) ni vulnera el principio de igualdad (STC 77/1995, de 20 de mayo, FJ 4).” (STC 186/2004, de 2 de noviembre, FJ 3).</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diecinueve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39" w:name="AUTO_2016_12"/>
      <w:r>
        <w:t>AUTO 12/2016, de 19 de enero de 2016</w:t>
      </w:r>
    </w:p>
    <w:bookmarkEnd w:id="139"/>
    <w:p w:rsidR="0033382B" w:rsidRDefault="0033382B" w:rsidP="0033382B">
      <w:pPr>
        <w:pStyle w:val="TtuloResolucin"/>
      </w:pPr>
      <w:r>
        <w:t>Pleno</w:t>
      </w:r>
    </w:p>
    <w:p w:rsidR="0033382B" w:rsidRDefault="0033382B" w:rsidP="0033382B">
      <w:pPr>
        <w:pStyle w:val="TextoNormalCentrado"/>
      </w:pPr>
      <w:r>
        <w:t>ECLI:ES:TC:2016:12A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4650-2015, planteada por la Sala de lo Contencioso-Administrativo del Tribunal Superior de Justicia de Madrid en relación con diversos preceptos del Real Decreto-ley 9/2008, de 28 de noviembre, por el que se aprueba el fondo estatal de inversión local.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31 de julio de 2015, al que se acompaña el correspondiente Auto de 9 del mismo mes, la Sección Octava de la Sala de lo Contencioso-Administrativo del Tribunal Superior de Justicia de Madrid planteó una cuestión de inconstitucionalidad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los siguientes:</w:t>
      </w:r>
    </w:p>
    <w:p w:rsidR="0033382B" w:rsidRDefault="0033382B" w:rsidP="0033382B">
      <w:pPr>
        <w:pStyle w:val="TextoNormal"/>
      </w:pPr>
    </w:p>
    <w:p w:rsidR="0033382B" w:rsidRDefault="0033382B" w:rsidP="0033382B">
      <w:pPr>
        <w:pStyle w:val="TextoNormal"/>
      </w:pPr>
      <w:r>
        <w:t xml:space="preserve">a) El Ayuntamiento de Granada —recurrente en el proceso </w:t>
      </w:r>
      <w:r w:rsidRPr="0033382B">
        <w:rPr>
          <w:i/>
        </w:rPr>
        <w:t>a quo</w:t>
      </w:r>
      <w:r>
        <w:t>— recibió ayudas para la ejecución de los proyectos “remodelación de las calles Arzobispo Pedro de Castro, Pedro Temboury y Luz Casanova 1514” y “remodelación de la calle Aviador Dávila 1868” con cargo al fondo estatal de inversión local, creado por el Real Decreto-ley 9/2008.</w:t>
      </w:r>
    </w:p>
    <w:p w:rsidR="0033382B" w:rsidRDefault="0033382B" w:rsidP="0033382B">
      <w:pPr>
        <w:pStyle w:val="TextoNormal"/>
      </w:pPr>
    </w:p>
    <w:p w:rsidR="0033382B" w:rsidRDefault="0033382B" w:rsidP="0033382B">
      <w:pPr>
        <w:pStyle w:val="TextoNormal"/>
      </w:pPr>
      <w:r>
        <w:t>b) A la vista del informe de control financiero de subvenciones y ayudas nacionales elaborado por la Intervención territorial de Granada, la Dirección General de Coordinación de las Competencias con las Comunidades Autónomas y las Entidades Locales (Ministerio de Hacienda y Administraciones Públicas) acordó iniciar el procedimiento de reintegro regulado en el art. 10 del Real Decreto-ley 9/2008, confiriendo mediante resolución de 30 de mayo de 2012 el correspondiente trámite de alegaciones. Las alegaciones formuladas por el Ayuntamiento de Granada fueron desestimadas mediante resolución de la citada Dirección General de 9 de octubre de 2012, por la que se declaraba la existencia de un saldo a favor del tesoro público, por incumplimiento de lo dispuesto en el Real Decreto-ley 9/2008.</w:t>
      </w:r>
    </w:p>
    <w:p w:rsidR="0033382B" w:rsidRDefault="0033382B" w:rsidP="0033382B">
      <w:pPr>
        <w:pStyle w:val="TextoNormal"/>
      </w:pPr>
    </w:p>
    <w:p w:rsidR="0033382B" w:rsidRDefault="0033382B" w:rsidP="0033382B">
      <w:pPr>
        <w:pStyle w:val="TextoNormal"/>
      </w:pPr>
      <w:r>
        <w:t>c) Contra dicha resolución, el Ayuntamiento de Granada interpuso recurso contencioso-administrativo ante la Sala de lo Contencioso-Administrativo del Tribunal Superior de Justicia de Madrid (recurso núm. 602-2013), alegando que no concurría causa alguna de reintegro.</w:t>
      </w:r>
    </w:p>
    <w:p w:rsidR="0033382B" w:rsidRDefault="0033382B" w:rsidP="0033382B">
      <w:pPr>
        <w:pStyle w:val="TextoNormal"/>
      </w:pPr>
    </w:p>
    <w:p w:rsidR="0033382B" w:rsidRDefault="0033382B" w:rsidP="0033382B">
      <w:pPr>
        <w:pStyle w:val="TextoNormal"/>
      </w:pPr>
      <w:r>
        <w:t>d) Una vez declarado concluso el procedimiento, mediante providencia de 21 de abril de 2015 se acordó oír a las partes y al Ministerio Fiscal sobre la conveniencia de plantear una cuestión de inconstitucionalidad en relación con los preceptos del Real Decreto-ley 9/2008 objeto de aplicación.</w:t>
      </w:r>
    </w:p>
    <w:p w:rsidR="0033382B" w:rsidRDefault="0033382B" w:rsidP="0033382B">
      <w:pPr>
        <w:pStyle w:val="TextoNormal"/>
      </w:pPr>
    </w:p>
    <w:p w:rsidR="0033382B" w:rsidRDefault="0033382B" w:rsidP="0033382B">
      <w:pPr>
        <w:pStyle w:val="TextoNormal"/>
      </w:pPr>
      <w:r>
        <w:t>e) El Abogado del Estado presentó un escrito de alegaciones el 7 de mayo de 2015 en el que se oponía al planteamiento de la cuestión. Aducía, en apoyo de su pretensión, que la STC 150/2012 no podía servir de fundamento para la formulación de la cuestión porque se refería a otro Real Decreto-ley y, además, que la cuestión de inconstitucionalidad no era el procedimiento para resolver esta controversia competencial.</w:t>
      </w:r>
    </w:p>
    <w:p w:rsidR="0033382B" w:rsidRDefault="0033382B" w:rsidP="0033382B">
      <w:pPr>
        <w:pStyle w:val="TextoNormal"/>
      </w:pPr>
    </w:p>
    <w:p w:rsidR="0033382B" w:rsidRDefault="0033382B" w:rsidP="0033382B">
      <w:pPr>
        <w:pStyle w:val="TextoNormal"/>
      </w:pPr>
      <w:r>
        <w:t>f) El Ministerio Fiscal formuló alegaciones mediante escrito presentado el 14 de mayo de 2015, razonando que los arts. 8 y 10 del Real Decreto-ley 9/2008 son aplicables al caso y relevantes para el fallo, pues se referían al reintegro de la ayuda concedida al ayuntamiento. No se oponía al planteamiento de la cuestión, a la vista de la STC 150/2012 y de que el contenido de los citados arts. 8 y 10 coincidía con el de dos de los preceptos declarados inconstitucionales en dicho pronunciamiento.</w:t>
      </w:r>
    </w:p>
    <w:p w:rsidR="0033382B" w:rsidRDefault="0033382B" w:rsidP="0033382B">
      <w:pPr>
        <w:pStyle w:val="TextoNormal"/>
      </w:pPr>
    </w:p>
    <w:p w:rsidR="0033382B" w:rsidRDefault="0033382B" w:rsidP="0033382B">
      <w:pPr>
        <w:pStyle w:val="TextoNormal"/>
      </w:pPr>
      <w:r>
        <w:t>g) Mediante providencia de 1 de junio de 2015 la Sección Octava de la Sala de lo Contencioso-Administrativo del Tribunal Superior de Justicia de Madrid aclaró su providencia de 21 de abril, especificando la duda de constitucionalidad que albergaba. Habiéndoseles notificado la nueva providencia, tanto el Abogado del Estado como el Ministerio Fiscal se remitieron a sus alegaciones anteriores.</w:t>
      </w:r>
    </w:p>
    <w:p w:rsidR="0033382B" w:rsidRDefault="0033382B" w:rsidP="0033382B">
      <w:pPr>
        <w:pStyle w:val="TextoNormal"/>
      </w:pPr>
    </w:p>
    <w:p w:rsidR="0033382B" w:rsidRDefault="0033382B" w:rsidP="0033382B">
      <w:pPr>
        <w:pStyle w:val="TextoNormal"/>
      </w:pPr>
      <w:r w:rsidRPr="0033382B">
        <w:rPr>
          <w:rStyle w:val="NumeroAFNegritaCaracter"/>
        </w:rPr>
        <w:t>3</w:t>
      </w:r>
      <w:r>
        <w:t xml:space="preserve">. El Auto de promoción de la cuestión señala que los procedimientos de control financiero y reintegro cuya resolución constituye el objeto del proceso </w:t>
      </w:r>
      <w:r w:rsidRPr="0033382B">
        <w:rPr>
          <w:i/>
        </w:rPr>
        <w:t>a quo</w:t>
      </w:r>
      <w:r>
        <w:t xml:space="preserve"> se fundan en los preceptos controvertidos: arts. 8 y 10 del Real Decreto-ley 9/2008, que son sustancialmente equivalentes a los arts. 5 y 6 del Real Decreto-ley 13/2009, que fueron declarados inconstitucionales por la STC 150/2012. En dicha Sentencia se consideró que el art. 149.1.13 de la Constitución no ampara la regulación contenida en dichos preceptos, habida cuenta de que deben ser las Comunidades Autónomas quienes establezcan el régimen de gestión, control y resolución de las solicitudes de ayudas, así como el procedimiento de reintegro. Los preceptos aplicados en este procedimiento, a juicio del órgano judicial, incurrirían en el mismo vicio de inconstitucionalidad, al otorgar a órganos de la Administración general del Estado las competencias de control y reintegro de las ayudas en una competencia que es compartida con las Comunidades Autónomas. El Tribunal proponente considera, en consecuencia, que los arts. 8 y 10 del Real Decreto-ley 9/2008 vulneran el art. 149.1.13 de la Constitución, al igual que sucedía con los preceptos equivalentes del Real Decreto-ley 13/2009.</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20 de octubre de 2015 la Sección Primera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en relación con el cumplimiento de los requisitos procesales.</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en escrito registrado el 6 de noviembre de 2015, después de relacionar las circunstancias del caso y transcribir íntegramente las normas legales cuestionadas, expone dos fundamentos de Derecho.</w:t>
      </w:r>
    </w:p>
    <w:p w:rsidR="0033382B" w:rsidRDefault="0033382B" w:rsidP="0033382B">
      <w:pPr>
        <w:pStyle w:val="TextoNormal"/>
      </w:pPr>
    </w:p>
    <w:p w:rsidR="0033382B" w:rsidRDefault="0033382B" w:rsidP="0033382B">
      <w:pPr>
        <w:pStyle w:val="TextoNormal"/>
      </w:pPr>
      <w:r>
        <w:t>En el primero analiza la identidad del procedimiento previsto en el Real Decreto-ley 9/2008 con el del Real Decreto-ley 13/2009, al que se refiere la STC 150/2012, lo que explica las dudas de constitucionalidad que alberga el órgano judicial promotor de la cuestión.</w:t>
      </w:r>
    </w:p>
    <w:p w:rsidR="0033382B" w:rsidRDefault="0033382B" w:rsidP="0033382B">
      <w:pPr>
        <w:pStyle w:val="TextoNormal"/>
      </w:pPr>
    </w:p>
    <w:p w:rsidR="0033382B" w:rsidRDefault="0033382B" w:rsidP="0033382B">
      <w:pPr>
        <w:pStyle w:val="TextoNormal"/>
      </w:pPr>
      <w:r>
        <w:t>En el segundo aborda la posible concurrencia de óbices procesales en relación, por un lado, con la debida cumplimentación del art. 35.2 LOTC y, por otro, con el juicio de aplicabilidad y relevancia.</w:t>
      </w:r>
    </w:p>
    <w:p w:rsidR="0033382B" w:rsidRDefault="0033382B" w:rsidP="0033382B">
      <w:pPr>
        <w:pStyle w:val="TextoNormal"/>
      </w:pPr>
    </w:p>
    <w:p w:rsidR="0033382B" w:rsidRDefault="0033382B" w:rsidP="0033382B">
      <w:pPr>
        <w:pStyle w:val="TextoNormal"/>
      </w:pPr>
      <w:r>
        <w:t>En cuanto al primero de los aspectos, la Fiscal concluye que debe tenerse por correctamente evacuado el trámite de audiencia a las partes.</w:t>
      </w:r>
    </w:p>
    <w:p w:rsidR="0033382B" w:rsidRDefault="0033382B" w:rsidP="0033382B">
      <w:pPr>
        <w:pStyle w:val="TextoNormal"/>
      </w:pPr>
    </w:p>
    <w:p w:rsidR="0033382B" w:rsidRDefault="0033382B" w:rsidP="0033382B">
      <w:pPr>
        <w:pStyle w:val="TextoNormal"/>
      </w:pPr>
      <w:r>
        <w:t>Conclusión distinta alcanza la Fiscal General del Estado en cuanto a la formulación de los juicios de aplicabilidad y relevancia. Tras recordar la doctrina del Tribunal sobre el carácter esencial de estos juicios y sobre los requisitos para entender que han sido correctamente formulados, especialmente la necesidad de que se exterioricen por el órgano judicial, recuerda que otras cuestiones referidas a los mismos preceptos legales y planteadas exactamente en los mismos términos que la aquí analizada ya han sido inadmitidas por insuficiente exteriorización del juicio de relevancia. De acuerdo con lo anterior, y para guardar coherencia con dichas resoluciones, considera la Fiscal que la presente cuestión debe ser inadmitida por el mismo motivo.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suscita en relación con los arts. 8 y 10 del Real Decreto-ley 9/2008, de 28 de noviembre, por el que se crean un fondo estatal de inversión local y un fondo especial del Estado para la dinamización de la economía y el empleo y se aprueban créditos extraordinarios para atender a su financiación (en adelante, Real Decreto-ley 9/2008), por posible infracción del art. 149.1.13 CE. Los citados arts. 8 y 10 del Real Decreto-ley 9/2008 atribuyen a órganos del Estado, respectivamente, el control de la correcta aplicación de los recursos obtenidos del fondo y la tramitación de los expedientes de reintegro de las cantidades no justificadas.</w:t>
      </w:r>
    </w:p>
    <w:p w:rsidR="0033382B" w:rsidRDefault="0033382B" w:rsidP="0033382B">
      <w:pPr>
        <w:pStyle w:val="TextoNormal"/>
      </w:pPr>
    </w:p>
    <w:p w:rsidR="0033382B" w:rsidRDefault="0033382B" w:rsidP="0033382B">
      <w:pPr>
        <w:pStyle w:val="TextoNormal"/>
      </w:pPr>
      <w:r>
        <w:t>La Sección Octava de la Sala de lo Contencioso-Administrativo del Tribunal Superior de Justicia de Madrid considera que tales preceptos son sustancialmente equivalentes a los arts. 5 y 6 del Real Decreto-ley 13/2009, de 26 de octubre, de creación del fondo estatal para el empleo y la sostenibilidad local, que ya fueron declarados inconstitucionales por la STC 150/2012, de 5 de julio. El órgano promotor recuerda que en dicha Sentencia este Tribunal afirmó que el art. 149.1.13 CE no ampara tal regulación, habida cuenta de que, tratándose de una competencia compartida, deben ser las Comunidades Autónomas quienes asuman, en tanto que actividades ejecutivas, el control financiero de las ayudas concedidas y, en su caso, los expedientes de reintegro. A su juicio, los preceptos cuestionados del Real Decreto-ley 9/2008 incurrirían en esa misma inconstitucionalidad, al otorgar a órganos de la Administración general del Estado las competencias de control y reintegro del fondo estatal de inversión local.</w:t>
      </w:r>
    </w:p>
    <w:p w:rsidR="0033382B" w:rsidRDefault="0033382B" w:rsidP="0033382B">
      <w:pPr>
        <w:pStyle w:val="TextoNormal"/>
      </w:pPr>
    </w:p>
    <w:p w:rsidR="0033382B" w:rsidRDefault="0033382B" w:rsidP="0033382B">
      <w:pPr>
        <w:pStyle w:val="TextoNormal"/>
      </w:pPr>
      <w:r>
        <w:t>La Fiscal General del Estado, según se ha indicado en los antecedentes, sostiene, en cuanto al cumplimiento de los requisitos procesales, que se ha practicado correctamente el trámite de audiencia del art. 35.2 de la Ley Orgánica del Tribunal Constitucional (LOTC) pero entiende, en cambio, que el juicio de relevancia no se ha exteriorizado conforme a las exigencias de la doctrina constitucional, interesando la inadmisión de la cuestión por este motivo, en coherencia con la decisión adoptada en relación con otras cuestiones planteadas exactamente en los mismos términos.</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el art. 37.1 LOTC, este Tribunal puede rechazar en trámite de admisión y mediante Auto, sin otra audiencia que la del Fiscal General del Estado, la cuestión de inconstitucionalidad “cuando faltaren las condiciones procesales”.</w:t>
      </w:r>
    </w:p>
    <w:p w:rsidR="0033382B" w:rsidRDefault="0033382B" w:rsidP="0033382B">
      <w:pPr>
        <w:pStyle w:val="TextoNormal"/>
      </w:pPr>
    </w:p>
    <w:p w:rsidR="0033382B" w:rsidRDefault="0033382B" w:rsidP="0033382B">
      <w:pPr>
        <w:pStyle w:val="TextoNormal"/>
      </w:pPr>
      <w:r>
        <w:t>Acerca de tales condiciones, es preciso comenzar recordando, como dijimos en la STC 79/2015, de 30 de abril, FJ 3,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w:t>
      </w:r>
    </w:p>
    <w:p w:rsidR="0033382B" w:rsidRDefault="0033382B" w:rsidP="0033382B">
      <w:pPr>
        <w:pStyle w:val="TextoNormal"/>
      </w:pPr>
    </w:p>
    <w:p w:rsidR="0033382B" w:rsidRDefault="0033382B" w:rsidP="0033382B">
      <w:pPr>
        <w:pStyle w:val="TextoNormal"/>
      </w:pPr>
      <w:r>
        <w:t>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33382B" w:rsidRDefault="0033382B" w:rsidP="0033382B">
      <w:pPr>
        <w:pStyle w:val="TextoNormal"/>
      </w:pPr>
    </w:p>
    <w:p w:rsidR="0033382B" w:rsidRDefault="0033382B" w:rsidP="0033382B">
      <w:pPr>
        <w:pStyle w:val="TextoNormal"/>
      </w:pPr>
      <w:r w:rsidRPr="0033382B">
        <w:rPr>
          <w:rStyle w:val="NumeroAFNegritaCaracter"/>
        </w:rPr>
        <w:t>3</w:t>
      </w:r>
      <w:r>
        <w:t>. En la cuestión aquí analizada, la Fiscal General del Estado, al evacuar el trámite del art. 37.1 LOTC, deja constancia de que el órgano judicial solo hace una formulación implícita del juicio de relevancia, lo que, de acuerdo con la doctrina de este Tribunal, no resulta suficiente.</w:t>
      </w:r>
    </w:p>
    <w:p w:rsidR="0033382B" w:rsidRDefault="0033382B" w:rsidP="0033382B">
      <w:pPr>
        <w:pStyle w:val="TextoNormal"/>
      </w:pPr>
    </w:p>
    <w:p w:rsidR="0033382B" w:rsidRDefault="0033382B" w:rsidP="0033382B">
      <w:pPr>
        <w:pStyle w:val="TextoNormal"/>
      </w:pPr>
      <w:r>
        <w:t>Como recuerda la Fiscal General del Estado, en fechas recientes varias resoluciones de este Tribunal (ATC 136/2015, de 21 de julio, STC 201/2015, de 24 de septiembre; SSTC 212/2015 y 213/2015, ambas de 8 de octubre, y SSTC 219/2015, 220/2015, y 221/2015, todas ellas de 22 de octubre) han tenido ocasión de pronunciarse sobre si cumplían los juicios de aplicabilidad y relevancia varios Autos de la misma Sala que planteaban otras cuestiones de inconstitucionalidad respecto de los mismos preceptos. Tras descartar que pudieran entenderse convenientemente cumplidos aquellos dos juicios a través de justificaciones meramente “implícitas”, carentes de suficiente argumentación, se inadmitieron las cuestiones por la razón siguiente: “El Auto de planteamiento no va más allá de exponer que los preceptos cuestionados fueron aplicados por los actos administrativos impugnados [en] el pleito a quo. En estas circunstancias, aunque pudiera admitirse que con ello se justifica la aplicabilidad de los mismos, no es posible reconocer en tal argumento una exteriorización del juicio de relevancia, lo que determina la inadmisión de la presente cuestión de inconstitucionalidad porque el órgano judicial no ha levantado la carga de ‘especificar y justificar’ el juicio de relevancia” (ATC 136/2015, FJ 3, y Sentencias antes citadas que se remiten a él).</w:t>
      </w:r>
    </w:p>
    <w:p w:rsidR="0033382B" w:rsidRDefault="0033382B" w:rsidP="0033382B">
      <w:pPr>
        <w:pStyle w:val="TextoNormal"/>
      </w:pPr>
    </w:p>
    <w:p w:rsidR="0033382B" w:rsidRDefault="0033382B" w:rsidP="0033382B">
      <w:pPr>
        <w:pStyle w:val="TextoNormal"/>
      </w:pPr>
      <w:r>
        <w:t>La presente cuestión de inconstitucionalidad está planteada exactamente en los mismos términos que las inadmitidas en las indicadas resoluciones. Corresponde, en consecuencia, apreciar que el órgano judicial tampoco en este caso ha exteriorizado suficientemente las razones por las que considera que su enjuiciamiento depende de la constitucionalidad de los arts. 8 y 10 del Real Decreto-ley 9/2008 y, con ello, inadmitir la presente cuestión (art. 35.2 LOTC), sin que esta inadmisión, al basarse en un motivo estrictamente formal, impida un eventual replanteamiento (entre otros, AATC 120/1997, de 23 de abril, FJ 2; y 195/2010, de 14 de diciembre, FJ 2).</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cuestión de inconstitucionalidad núm. 4650-2015, planteada por la Sección Octava de la Sala de lo Contencioso-Administrativo del Tribunal Superior de Justicia de Madrid.</w:t>
      </w:r>
    </w:p>
    <w:p w:rsidR="0033382B" w:rsidRDefault="0033382B" w:rsidP="0033382B">
      <w:pPr>
        <w:pStyle w:val="TextoNormal"/>
      </w:pPr>
    </w:p>
    <w:p w:rsidR="0033382B" w:rsidRDefault="0033382B" w:rsidP="0033382B">
      <w:pPr>
        <w:pStyle w:val="TextoNormal"/>
      </w:pPr>
      <w:r>
        <w:t>Madrid, a diecinueve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40" w:name="AUTO_2016_13"/>
      <w:r>
        <w:t>AUTO 13/2016, de 19 de enero de 2016</w:t>
      </w:r>
    </w:p>
    <w:bookmarkEnd w:id="140"/>
    <w:p w:rsidR="0033382B" w:rsidRDefault="0033382B" w:rsidP="0033382B">
      <w:pPr>
        <w:pStyle w:val="TtuloResolucin"/>
      </w:pPr>
      <w:r>
        <w:t>Pleno</w:t>
      </w:r>
    </w:p>
    <w:p w:rsidR="0033382B" w:rsidRDefault="0033382B" w:rsidP="0033382B">
      <w:pPr>
        <w:pStyle w:val="TextoNormalCentrado"/>
      </w:pPr>
      <w:r>
        <w:t>ECLI:ES:TC:2016:13A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4993-2015, planteada por la Sala de lo Social del Tribunal Superior de Justicia de Murcia en relación con el artículo 2 del Real Decreto-ley 20/2012, de 13 de julio, de medidas para garantizar la estabilidad presupuestaria y de fomento de la competitividad y el artículo 2.1 de la Ley de la Asamblea Regional de Murcia 9/2012, de 8 de noviembre, de adaptación de la normativa regional en materia de función pública al Real Decreto-ley 20/2012.</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día 9 de septiembre de 2015 tuvo entrada en el Registro General de este Tribunal escrito del Tribunal Superior de Justicia de la Región de Murcia, Sala de lo Social, al que se acompaña, además del testimonio del correspondiente procedimiento, el Auto de 11 de mayo de 2015 por el que se plantea cuestión de inconstitucionalidad en relación con los arts. 2 del Real Decreto-ley 20/2012, de 13 de julio, de medidas para garantizar la estabilidad presupuestaria y de fomento de la competitividad, y 2.1 de la Ley de la Asamblea Regional de Murcia 9/2012, de 8 de noviembre, de adaptación de la normativa regional en materia de función pública al Real Decreto-ley 20/2012.</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del planteamiento de esta cuestión de inconstitucionalidad son, sucintamente expuestos, los siguientes:</w:t>
      </w:r>
    </w:p>
    <w:p w:rsidR="0033382B" w:rsidRDefault="0033382B" w:rsidP="0033382B">
      <w:pPr>
        <w:pStyle w:val="TextoNormal"/>
      </w:pPr>
    </w:p>
    <w:p w:rsidR="0033382B" w:rsidRDefault="0033382B" w:rsidP="0033382B">
      <w:pPr>
        <w:pStyle w:val="TextoNormal"/>
      </w:pPr>
      <w:r>
        <w:t>a) El presente procedimiento deriva de la demanda de conflicto colectivo, seguido a instancia de la federación de servicios a la ciudadanía de CC OO-Región de Murcia frente al Ayuntamiento de Blanca, en relación con la supresión de la paga extraordinaria de diciembre de 2012. Solicita la demandante el reconocimiento a la percepción de dicha paga y, subsidiariamente, el reconocimiento del derecho a la percepción de la parte proporcional correspondiente al periodo comprendido entre el 1 de enero y el 14 de julio de 2012 o, en caso de entender que su devengo es semestral, al periodo comprendido entre el 1 de junio y el 14 de julio de 2012.</w:t>
      </w:r>
    </w:p>
    <w:p w:rsidR="0033382B" w:rsidRDefault="0033382B" w:rsidP="0033382B">
      <w:pPr>
        <w:pStyle w:val="TextoNormal"/>
      </w:pPr>
    </w:p>
    <w:p w:rsidR="0033382B" w:rsidRDefault="0033382B" w:rsidP="0033382B">
      <w:pPr>
        <w:pStyle w:val="TextoNormal"/>
      </w:pPr>
      <w:r>
        <w:t>b) Por Sentencia de 17 de junio de 2014, el Juzgado de lo Social núm. 4 de Murcia estimó parcialmente la demanda, declarando el derecho de los trabajadores del Ayuntamiento de Blanca a percibir la parte proporcional correspondiente a los 44 días transcurridos entre el 1 de junio y el 14 de julio de 2012.</w:t>
      </w:r>
    </w:p>
    <w:p w:rsidR="0033382B" w:rsidRDefault="0033382B" w:rsidP="0033382B">
      <w:pPr>
        <w:pStyle w:val="TextoNormal"/>
      </w:pPr>
    </w:p>
    <w:p w:rsidR="0033382B" w:rsidRDefault="0033382B" w:rsidP="0033382B">
      <w:pPr>
        <w:pStyle w:val="TextoNormal"/>
      </w:pPr>
      <w:r>
        <w:t>Contra dicha Sentencia la parte demandante interpuso recurso de suplicación.</w:t>
      </w:r>
    </w:p>
    <w:p w:rsidR="0033382B" w:rsidRDefault="0033382B" w:rsidP="0033382B">
      <w:pPr>
        <w:pStyle w:val="TextoNormal"/>
      </w:pPr>
    </w:p>
    <w:p w:rsidR="0033382B" w:rsidRDefault="0033382B" w:rsidP="0033382B">
      <w:pPr>
        <w:pStyle w:val="TextoNormal"/>
      </w:pPr>
      <w:r>
        <w:t>c) Por Auto de 26 de enero de 2015, la Sala de lo Social del Tribunal Superior de Justicia señala que, aunque en casos esencialmente iguales entró en el fondo del asunto, el hecho de que el Tribunal Constitucional haya admitido a trámite cuestiones de inconstitucionalidad sobre el particular condiciona que la Sala, siguiendo el trámite del art. 35 y ss. de la Ley Orgánica del Tribunal Constitucional (LOTC), deba oír a las partes y al Ministerio Fiscal sobre si procede plantear cuestión de inconstitucionalidad en relación con el art. 2 del Real Decreto-ley 20/2012 que acuerda suprimir la paga extra de diciembre de 2012, por ser contrario al art. 9.3 CE. En este auto no se hace mención del art. 2.1 de la Ley de la Asamblea Regional de Murcia 9/2012.</w:t>
      </w:r>
    </w:p>
    <w:p w:rsidR="0033382B" w:rsidRDefault="0033382B" w:rsidP="0033382B">
      <w:pPr>
        <w:pStyle w:val="TextoNormal"/>
      </w:pPr>
    </w:p>
    <w:p w:rsidR="0033382B" w:rsidRDefault="0033382B" w:rsidP="0033382B">
      <w:pPr>
        <w:pStyle w:val="TextoNormal"/>
      </w:pPr>
      <w:r>
        <w:t>d) Mediante escrito de 11 de marzo de 2015, el Fiscal alega que procede plantear cuestión de inconstitucionalidad en relación con el art. 2 del Real Decreto-ley 20/2012. Las partes demandante y demandada no presentaron alegaciones.</w:t>
      </w:r>
    </w:p>
    <w:p w:rsidR="0033382B" w:rsidRDefault="0033382B" w:rsidP="0033382B">
      <w:pPr>
        <w:pStyle w:val="TextoNormal"/>
      </w:pPr>
    </w:p>
    <w:p w:rsidR="0033382B" w:rsidRDefault="0033382B" w:rsidP="0033382B">
      <w:pPr>
        <w:pStyle w:val="TextoNormal"/>
      </w:pPr>
      <w:r>
        <w:t>e) Por Auto de 11 de mayo de 2015, la Sala de lo Social del Tribunal Superior de Justicia de la Región de Murcia acordó promover cuestión de inconstitucionalidad contra los arts. 2 del Real Decreto-ley 20/2012 y 2.1 de la Ley de la Asamblea Regional de Murcia 9/2012 “por posible infracción de la prohibición de retroactividad de las normas restrictivas de derechos individuales que garantiza el art. 9.3 CE, en relación con el principio de seguridad jurídica del mismo precepto”.</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señala que en sentencias anteriores, dictadas en procesos con objeto similar, estimó que la retroactividad dispuesta por el Real Decreto-ley 20/2012 no era expresa, por lo que rechazó el planteamiento de la cuestión de inconstitucionalidad y condenó a la parte demandada a abonar la parte proporcional de la paga extraordinaria de 2012 ya devengada. No obstante, el hecho de que el Tribunal Constitucional haya admitido a trámite diversas cuestiones de inconstitucionalidad en relación con el art. 2 del Real Decreto-ley 20/2012 “determina que, con el fin de garantizar la igualdad en la aplicación de la ley, esta Sala deba cambiar de criterio”. A continuación, expone los términos en los que se promueve la cuestión de inconstitucionalidad por vulneración del art. 9.3 CE, que garantiza la irretroactividad de las disposiciones sancionadoras no favorables o las restrictivas de derechos individuales.</w:t>
      </w:r>
    </w:p>
    <w:p w:rsidR="0033382B" w:rsidRDefault="0033382B" w:rsidP="0033382B">
      <w:pPr>
        <w:pStyle w:val="TextoNormal"/>
      </w:pPr>
    </w:p>
    <w:p w:rsidR="0033382B" w:rsidRDefault="0033382B" w:rsidP="0033382B">
      <w:pPr>
        <w:pStyle w:val="TextoNormal"/>
      </w:pPr>
      <w:r>
        <w:t>La retribución denominada “paga extraordinaria” que se regula en el art. 31 de la Ley del estatuto de los trabajadores (LET), tiene naturaleza salarial (art. 26 LET). La jurisprudencia del Tribunal Supremo (con cita de diversas sentencias) ha interpretado la paga extra como una retribución de devengo diario y cobro aplazado. El derecho del trabajador a percibir la parte proporcional de la paga extraordinaria devengada y no pagada debe calificarse como derecho individual. La doctrina del Tribunal Constitucional ha establecido que los derechos a una retribución ya generada, aunque no percibida, son derechos individuales a los efectos del art. 9.3 CE (AATC 179/2011, de 13 de diciembre, y 8/2013, de 15 de enero).</w:t>
      </w:r>
    </w:p>
    <w:p w:rsidR="0033382B" w:rsidRDefault="0033382B" w:rsidP="0033382B">
      <w:pPr>
        <w:pStyle w:val="TextoNormal"/>
      </w:pPr>
    </w:p>
    <w:p w:rsidR="0033382B" w:rsidRDefault="0033382B" w:rsidP="0033382B">
      <w:pPr>
        <w:pStyle w:val="TextoNormal"/>
      </w:pPr>
      <w:r>
        <w:t>Los términos del art. 2 del Real Decreto-ley 20/2012 son claros en cuanto que viene a suprimir la percepción de la paga extraordinaria del mes de diciembre del año 2012 para el personal laboral del sector público. Ello se confirma en el artículo 6, donde además se afirma que la supresión se refiere a todo el año 2012, corroborando la naturaleza retroactiva de la supresión acordada por el artículo 2, y excluyendo la interpretación de que la supresión tan solo alcanza a la parte de la paga extraordinaria devengada con posterioridad a la entrada en vigor del Real Decreto-ley 20/2012.</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24 de septiembre de 2015, el Pleno acordó, de conformidad con lo dispuesto en el art. 88 LOTC, dirigir atenta comunicación al Ayuntamiento de Blanca, a fin de que indicara si, en atención a lo previsto en la disposición adicional duodécima de la Ley 36/2014, de presupuestos generales del Estado para el año 2015, o por cualquier otra circunstancia, ha satisfecho al personal laboral de esa administración alguna cantidad en concepto de recuperación de la paga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33382B" w:rsidRDefault="0033382B" w:rsidP="0033382B">
      <w:pPr>
        <w:pStyle w:val="TextoNormal"/>
      </w:pPr>
    </w:p>
    <w:p w:rsidR="0033382B" w:rsidRDefault="0033382B" w:rsidP="0033382B">
      <w:pPr>
        <w:pStyle w:val="TextoNormal"/>
      </w:pPr>
      <w:r>
        <w:t>Mediante escrito que tuvo entrada en el Registro General de este Tribunal el día 28 de octubre de 2015, el Alcalde del Ayuntamiento de Blanca adjunta informe de la Secretaría General del Ayuntamiento en el que hace constar que, en virtud de Decreto de la Alcaldía núm. 29/2015, de 26 de enero, se acordó y procedió al abono de la parte proporcional (equivalente a 44 días) de la paga extraordinaria de 2012 cuyo importe se dejó de percibir. Dicho Decreto 29/2015 invoca lo previsto en el apartado 1.2 de la disposición adicional Duodécima de la Ley 36/2014.</w:t>
      </w:r>
    </w:p>
    <w:p w:rsidR="0033382B" w:rsidRDefault="0033382B" w:rsidP="0033382B">
      <w:pPr>
        <w:pStyle w:val="TextoNormal"/>
      </w:pPr>
    </w:p>
    <w:p w:rsidR="0033382B" w:rsidRDefault="0033382B" w:rsidP="0033382B">
      <w:pPr>
        <w:pStyle w:val="TextoNormal"/>
      </w:pPr>
      <w:r w:rsidRPr="0033382B">
        <w:rPr>
          <w:rStyle w:val="NumeroAFNegritaCaracter"/>
        </w:rPr>
        <w:t>5</w:t>
      </w:r>
      <w:r>
        <w:t>. Por providencia de 18 de noviembre de 2015, la Sección Cuarta de este Tribunal Constitucional, a los efectos que determina el art. 37.1 LOTC, acordó oír al Fiscal General del Estado para que, en el plazo de diez días, alegue lo que considere conveniente acerca de la admisibilidad de la presente cuestión de inconstitucionalidad, por si fuera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6</w:t>
      </w:r>
      <w:r>
        <w:t>. El 4 de diciembre de 2015 tuvo entrada en el Registro General de este Tribunal el informe del Fiscal General del Estado, solicitando la inadmisión de la cuestión, en atención a las razones que se sintetizan a continuación.</w:t>
      </w:r>
    </w:p>
    <w:p w:rsidR="0033382B" w:rsidRDefault="0033382B" w:rsidP="0033382B">
      <w:pPr>
        <w:pStyle w:val="TextoNormal"/>
      </w:pPr>
    </w:p>
    <w:p w:rsidR="0033382B" w:rsidRDefault="0033382B" w:rsidP="0033382B">
      <w:pPr>
        <w:pStyle w:val="TextoNormal"/>
      </w:pPr>
      <w:r>
        <w:t>a) Puede aducirse que no se ha cumplido adecuadamente el trámite de audiencia del art. 35.2 LOTC, dado que en el Auto que abrió el trámite de audiencia no se mencionó el art. 2.1 de la Ley de la Asamblea Regional de Murcia 9/2012, si bien dicho óbice puede obviarse al limitarse la norma autonómica a la aplicación de lo previsto en el Real Decreto-ley 20/2012 al personal de la Comunidad Autónoma, por lo que las partes han podido cumplimentar de modo adecuado el trámite de audiencia.</w:t>
      </w:r>
    </w:p>
    <w:p w:rsidR="0033382B" w:rsidRDefault="0033382B" w:rsidP="0033382B">
      <w:pPr>
        <w:pStyle w:val="TextoNormal"/>
      </w:pPr>
    </w:p>
    <w:p w:rsidR="0033382B" w:rsidRDefault="0033382B" w:rsidP="0033382B">
      <w:pPr>
        <w:pStyle w:val="TextoNormal"/>
      </w:pPr>
      <w:r>
        <w:t>Conforme al criterio de las SSTC 83/2015, de 30 de abril, y 224/2015, de 2 de noviembre, ha de considerarse que el Decreto de la Alcaldía 29/2015, de 26 de enero, por el que se procedió al abono a la totalidad de los empleados públicos del ayuntamiento de la parte proporcional de la paga extra de diciembre de 2012, correspondiente a los 44 primeros días, ha supuesto la satisfacción extraprocesal de la pretensión deducida en el proceso laboral sobre el que se articula la presente cuestión. Tal circunstancia se produjo con anterioridad al planteamiento de la cuestión, que por ello deviene también notoriamente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Sala de lo Social del Tribunal Superior de Justicia de Murcia plantea cuestión de inconstitucionalidad en relación con el art. 2 del Real Decreto-ley 20/2012, de 13 de julio, de medidas para garantizar la estabilidad presupuestaria y de fomento de la competitividad y el art. 2.1 de la Ley de la Asamblea Regional de Murcia 9/2012, de 8 de noviembre, de adaptación de la normativa regional en materia de función pública al Real Decreto-ley 20/2012, por posible vulneración del art. 9.3 de la Constitución.</w:t>
      </w:r>
    </w:p>
    <w:p w:rsidR="0033382B" w:rsidRDefault="0033382B" w:rsidP="0033382B">
      <w:pPr>
        <w:pStyle w:val="TextoNormal"/>
      </w:pPr>
    </w:p>
    <w:p w:rsidR="0033382B" w:rsidRDefault="0033382B" w:rsidP="0033382B">
      <w:pPr>
        <w:pStyle w:val="TextoNormal"/>
      </w:pPr>
      <w:r>
        <w:t>La duda de constitucionalidad se basa en que los citados preceptos, en cuanto suprime la totalidad de la paga extraordinaria del mes de diciembre de 2012 al personal laboral del sector público, sin establecer ninguna excepción respecto de las cantidades ya devengadas a la fecha de su entrada en vigor, podrían contravenir el art. 9.3 CE. El Fiscal General del Estado sostiene que, conforme al criterio de la STC 83/2015, de 30 de abril, y la posterior STC 224/2015, de 2 de noviembre, el abono de la parte proporcional de la paga extra de diciembre de 2012, correspondiente a los primeros 44 días, ha supuesto la satisfacción extraprocesal de la pretensión deducida en el proceso laboral sobre el que se articula la presente cuestión. Añade que, al haberse producido dicho abono con anterioridad al planteamiento de la cuestión, deviene también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2</w:t>
      </w:r>
      <w:r>
        <w:t>. Conforme a lo dispuesto en el art. 37.1 de la Ley Orgánica del Tribunal Constitucional (LOTC), este Tribunal puede rechazar en trámite de admisión, mediante Auto y con la sola audiencia del Fiscal General del Estado, aquellas cuestiones de inconstitucionalidad cuando faltaren los necesarios requisitos procesales o fueren notoriamente infundadas.</w:t>
      </w:r>
    </w:p>
    <w:p w:rsidR="0033382B" w:rsidRDefault="0033382B" w:rsidP="0033382B">
      <w:pPr>
        <w:pStyle w:val="TextoNormal"/>
      </w:pPr>
    </w:p>
    <w:p w:rsidR="0033382B" w:rsidRDefault="0033382B" w:rsidP="0033382B">
      <w:pPr>
        <w:pStyle w:val="TextoNormal"/>
      </w:pPr>
      <w:r>
        <w:t>a) La cuestión no resulta admisible respecto del art. 2.1 de la Ley de Asamblea Regional de Murcia 9/2012. A lo ya señalado por el Fiscal General del Estado respecto de su omisión en el trámite de audiencia del art. 35.2 LOTC, procede añadir que no se puede considerar cumplido el juicio de aplicabilidad y relevancia, toda vez que este precepto es de aplicación únicamente al personal al servicio del sector público regional definido en el art. 22.1 de la Ley 6/2011, de 26 de diciembre, de presupuestos generales de la Comunidad Autónoma de la Región de Murcia para el ejercicio 2012, que no incluye al personal de las entidades locales.</w:t>
      </w:r>
    </w:p>
    <w:p w:rsidR="0033382B" w:rsidRDefault="0033382B" w:rsidP="0033382B">
      <w:pPr>
        <w:pStyle w:val="TextoNormal"/>
      </w:pPr>
    </w:p>
    <w:p w:rsidR="0033382B" w:rsidRDefault="0033382B" w:rsidP="0033382B">
      <w:pPr>
        <w:pStyle w:val="TextoNormal"/>
      </w:pPr>
      <w:r>
        <w:t>b) En lo que concierne al art. 2 del Real Decreto-ley 20/2012, como señala el Fiscal General del Estado, es de aplicación la STC 83/2015, de 30 de abril, FJ 3, que ha determinado la pérdida de objeto de una cuestión de inconstitucionalidad suscitada sobre el mismo precepto y por el mismo motivo, como consecuencia de lo establecido en la disposición adicional duodécima de la Ley 36/2014, de 26 de diciembre, de presupuestos generales del Estado para 2015. Bajo el epígrafe “recuperación de la paga extraordinaria y adicional del mes de diciembre de 2012”, se establece, en su apartado 1.1,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 según establece el apartado 1.2.</w:t>
      </w:r>
    </w:p>
    <w:p w:rsidR="0033382B" w:rsidRDefault="0033382B" w:rsidP="0033382B">
      <w:pPr>
        <w:pStyle w:val="TextoNormal"/>
      </w:pPr>
    </w:p>
    <w:p w:rsidR="0033382B" w:rsidRDefault="0033382B" w:rsidP="0033382B">
      <w:pPr>
        <w:pStyle w:val="TextoNormal"/>
      </w:pPr>
      <w:r>
        <w:t>Como consta en los antecedentes de esta resolución, en respuesta a la comunicación dirigida por este Tribunal de conformidad con lo dispuesto en el art. 88 LOTC al Ayuntamiento de Blanca, su Alcalde ha informado que, en virtud de Decreto de la Alcaldía núm. 29/2015, de 26 de enero, se acordó y procedió al abono de la parte proporcional (equivalente a 44 días) de la paga extraordinaria de 2012 cuyo importe se dejó de percibir. Dicho Decreto 29/2015 invoca lo previsto en el apartado 1.2 de la disposición adicional duodécima de la Ley 36/2014.</w:t>
      </w:r>
    </w:p>
    <w:p w:rsidR="0033382B" w:rsidRDefault="0033382B" w:rsidP="0033382B">
      <w:pPr>
        <w:pStyle w:val="TextoNormal"/>
      </w:pPr>
    </w:p>
    <w:p w:rsidR="0033382B" w:rsidRDefault="0033382B" w:rsidP="0033382B">
      <w:pPr>
        <w:pStyle w:val="TextoNormal"/>
      </w:pPr>
      <w:r>
        <w:t>En consecuencia, y en los términos en los que ha sido planteada la cuestión, es obligado recordar que en la STC 83/2015, determinamos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33382B" w:rsidRDefault="0033382B" w:rsidP="0033382B">
      <w:pPr>
        <w:pStyle w:val="TextoNormal"/>
      </w:pPr>
    </w:p>
    <w:p w:rsidR="0033382B" w:rsidRDefault="0033382B" w:rsidP="0033382B">
      <w:pPr>
        <w:pStyle w:val="TextoNormal"/>
      </w:pPr>
      <w:r>
        <w:t xml:space="preserve">En este caso, el abono a los empleados públicos del Ayuntamiento de La Blanca, en concepto de parte proporcional de la paga extraordinaria de diciembre de 2012, por la cuantía devengada en el período de 1 de junio a 14 de julio de 1012 (44 días), efectuado con anterioridad al Auto de planteamiento, comporta el mismo efecto de satisfacción extraprocesal de la pretensión deducida en el proceso </w:t>
      </w:r>
      <w:r w:rsidRPr="0033382B">
        <w:rPr>
          <w:i/>
        </w:rPr>
        <w:t>a quo</w:t>
      </w:r>
      <w:r>
        <w:t xml:space="preserve"> y, por consiguiente, la carencia de objeto de esta cuestión de inconstitucionalidad, pues,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FJ 3; y en el mismo sentido AATC 340/2003, de 21 de octubre, FJ único, y 75/2004, de 9 de marzo, FJ único).</w:t>
      </w:r>
    </w:p>
    <w:p w:rsidR="0033382B" w:rsidRDefault="0033382B" w:rsidP="0033382B">
      <w:pPr>
        <w:pStyle w:val="TextoNormal"/>
      </w:pPr>
    </w:p>
    <w:p w:rsidR="0033382B" w:rsidRDefault="0033382B" w:rsidP="0033382B">
      <w:pPr>
        <w:pStyle w:val="TextoNormal"/>
      </w:pPr>
      <w:r>
        <w:t>La señalada carencia de objeto de la presente cuestión de inconstitucionalidad ha de determinar, en este momento procesal, su inadmisión.</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diecinueve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41" w:name="AUTO_2016_14"/>
      <w:r>
        <w:t>AUTO 14/2016, de 19 de enero de 2016</w:t>
      </w:r>
    </w:p>
    <w:bookmarkEnd w:id="141"/>
    <w:p w:rsidR="0033382B" w:rsidRDefault="0033382B" w:rsidP="0033382B">
      <w:pPr>
        <w:pStyle w:val="TtuloResolucin"/>
      </w:pPr>
      <w:r>
        <w:t>Pleno</w:t>
      </w:r>
    </w:p>
    <w:p w:rsidR="0033382B" w:rsidRDefault="0033382B" w:rsidP="0033382B">
      <w:pPr>
        <w:pStyle w:val="TextoNormalCentrado"/>
      </w:pPr>
      <w:r>
        <w:t>ECLI:ES:TC:2016:14A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5153-2015, planteada por el Juzgado de lo Contencioso-Administrativo núm. 34 de Madrid en relación con el artículo 48 f) de la Ley 7/2007, de 12 de abril, del estatuto básico del empleado público.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17 de septiembre de 2015 tuvo entrada en este Tribunal escrito del Juzgado de lo Contencioso-Administrativo núm. 34 de Madrid al que se acompaña, junto con el testimonio del procedimiento abreviado 213-2014, el Auto de 21 de julio de 2015 por el que se acuerda plantear cuestión de inconstitucionalidad en relación con los párrafos primero y segundo del art. 48 f) de la Ley 7/2007, de 12 de abril, del estatuto básico del empleado público (LEEP), que dice:</w:t>
      </w:r>
    </w:p>
    <w:p w:rsidR="0033382B" w:rsidRDefault="0033382B" w:rsidP="0033382B">
      <w:pPr>
        <w:pStyle w:val="TextoNormal"/>
      </w:pPr>
    </w:p>
    <w:p w:rsidR="0033382B" w:rsidRDefault="0033382B" w:rsidP="0033382B">
      <w:pPr>
        <w:pStyle w:val="TextoNormal"/>
      </w:pPr>
      <w:r>
        <w:t>“Los funcionarios públicos tendrán los siguientes permisos: …</w:t>
      </w:r>
    </w:p>
    <w:p w:rsidR="0033382B" w:rsidRDefault="0033382B" w:rsidP="0033382B">
      <w:pPr>
        <w:pStyle w:val="TextoNormal"/>
      </w:pPr>
    </w:p>
    <w:p w:rsidR="0033382B" w:rsidRDefault="0033382B" w:rsidP="0033382B">
      <w:pPr>
        <w:pStyle w:val="TextoNormal"/>
      </w:pPr>
      <w:r>
        <w:t>f) Por lactancia de un hijo menor de doce meses tendrá derecho a una hora de ausencia del trabajo que podrá dividir en dos fracciones. Este derecho podrá sustituirse por una reducción de la jornada normal en media hora al inicio y al final de la jornada o, en una hora al inicio o al final de la jornada, con la misma finalidad. Este derecho podrá ser ejercido indistintamente por uno u otro de los progenitores, en el caso de que ambos trabajen.</w:t>
      </w:r>
    </w:p>
    <w:p w:rsidR="0033382B" w:rsidRDefault="0033382B" w:rsidP="0033382B">
      <w:pPr>
        <w:pStyle w:val="TextoNormal"/>
      </w:pPr>
    </w:p>
    <w:p w:rsidR="0033382B" w:rsidRDefault="0033382B" w:rsidP="0033382B">
      <w:pPr>
        <w:pStyle w:val="TextoNormal"/>
      </w:pPr>
      <w:r>
        <w:t>Igualmente la funcionaria podrá solicitar la sustitución del tiempo de lactancia por un permiso retribuido que acumule en jornadas completas el tiempo correspondiente.”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cuestión de inconstitucionalidad son, sucintamente expuestos, los siguientes:</w:t>
      </w:r>
    </w:p>
    <w:p w:rsidR="0033382B" w:rsidRDefault="0033382B" w:rsidP="0033382B">
      <w:pPr>
        <w:pStyle w:val="TextoNormal"/>
      </w:pPr>
    </w:p>
    <w:p w:rsidR="0033382B" w:rsidRDefault="0033382B" w:rsidP="0033382B">
      <w:pPr>
        <w:pStyle w:val="TextoNormal"/>
      </w:pPr>
      <w:r>
        <w:t>a) Don D.F.G. es guardia civil y el 26 de febrero de 2013 tuvo un hijo con su esposa doña M.E.P.G.</w:t>
      </w:r>
    </w:p>
    <w:p w:rsidR="0033382B" w:rsidRDefault="0033382B" w:rsidP="0033382B">
      <w:pPr>
        <w:pStyle w:val="TextoNormal"/>
      </w:pPr>
    </w:p>
    <w:p w:rsidR="0033382B" w:rsidRDefault="0033382B" w:rsidP="0033382B">
      <w:pPr>
        <w:pStyle w:val="TextoNormal"/>
      </w:pPr>
      <w:r>
        <w:t>b) Terminado el permiso de paternidad de dieciséis semanas que disfrutó el padre por estar su esposa desempleada, aquél solicitó igualmente el reconocimiento y disfrute del permiso de lactancia regulado en el citado art. 48 f) LEEP, instando asimismo su sustitución por jornadas completas en aplicación del párrafo 2 del precepto.</w:t>
      </w:r>
    </w:p>
    <w:p w:rsidR="0033382B" w:rsidRDefault="0033382B" w:rsidP="0033382B">
      <w:pPr>
        <w:pStyle w:val="TextoNormal"/>
      </w:pPr>
    </w:p>
    <w:p w:rsidR="0033382B" w:rsidRDefault="0033382B" w:rsidP="0033382B">
      <w:pPr>
        <w:pStyle w:val="TextoNormal"/>
      </w:pPr>
      <w:r>
        <w:t>c) Por resolución del Coronel jefe interino del sector de tráfico de Madrid de fecha 8 de mayo de 2013, la solicitud fue desestimada atendiendo a que para el reconocimiento del derecho pretendido “es requisito indispensable que ambos progenitores trabajen”, por lo que “la situación de desempleo de la madre hace incompatible que el permiso por lactancia sea disfrutado por el padre”.</w:t>
      </w:r>
    </w:p>
    <w:p w:rsidR="0033382B" w:rsidRDefault="0033382B" w:rsidP="0033382B">
      <w:pPr>
        <w:pStyle w:val="TextoNormal"/>
      </w:pPr>
    </w:p>
    <w:p w:rsidR="0033382B" w:rsidRDefault="0033382B" w:rsidP="0033382B">
      <w:pPr>
        <w:pStyle w:val="TextoNormal"/>
      </w:pPr>
      <w:r>
        <w:t>d) Interpuesto recurso de alzada contra la citada resolución, el mismo fue desestimado por resolución del General jefe de la agrupación de tráfico de la Guardia Civil de 7 de julio de 2013, reiterando los motivos de la resolución impugnada.</w:t>
      </w:r>
    </w:p>
    <w:p w:rsidR="0033382B" w:rsidRDefault="0033382B" w:rsidP="0033382B">
      <w:pPr>
        <w:pStyle w:val="TextoNormal"/>
      </w:pPr>
    </w:p>
    <w:p w:rsidR="0033382B" w:rsidRDefault="0033382B" w:rsidP="0033382B">
      <w:pPr>
        <w:pStyle w:val="TextoNormal"/>
      </w:pPr>
      <w:r>
        <w:t>e) Contra la citada resolución administrativa, el interesado interpuso recurso contencioso-administrativo ante el Juzgado de lo Contencioso-Administrativo núm. 34 de Madrid, recurso que dio lugar a los autos de procedimiento abreviado núm. 213-2014.</w:t>
      </w:r>
    </w:p>
    <w:p w:rsidR="0033382B" w:rsidRDefault="0033382B" w:rsidP="0033382B">
      <w:pPr>
        <w:pStyle w:val="TextoNormal"/>
      </w:pPr>
    </w:p>
    <w:p w:rsidR="0033382B" w:rsidRDefault="0033382B" w:rsidP="0033382B">
      <w:pPr>
        <w:pStyle w:val="TextoNormal"/>
      </w:pPr>
      <w:r>
        <w:t>f) Una vez concluso el procedimiento y llegado el trámite de sentencia, el Juzgado dictó providencia dando audiencia a las partes y al Ministerio Fiscal sobre la pertinencia de plantear ante este Tribunal Constitucional cuestión de inconstitucionalidad, o sobre el fondo de ésta, en relación con el citado art. 48 f) LEEP, párrafos primero y segundo, por su posible contradicción con los derechos reconocidos en los arts. 14 y 23.2 CE.</w:t>
      </w:r>
    </w:p>
    <w:p w:rsidR="0033382B" w:rsidRDefault="0033382B" w:rsidP="0033382B">
      <w:pPr>
        <w:pStyle w:val="TextoNormal"/>
      </w:pPr>
    </w:p>
    <w:p w:rsidR="0033382B" w:rsidRDefault="0033382B" w:rsidP="0033382B">
      <w:pPr>
        <w:pStyle w:val="TextoNormal"/>
      </w:pPr>
      <w:r>
        <w:t>g) En cumplimiento del trámite referenciado, el Fiscal presentó sus alegaciones considerando que concurrían todos los presupuestos procesales para el planteamiento de la cuestión de inconstitucionalidad sobre la norma controvertida; el recurrente, por su parte, presentó escrito solicitando su planteamiento; y el Abogado del Estado, en cambio, se opuso a ello.</w:t>
      </w:r>
    </w:p>
    <w:p w:rsidR="0033382B" w:rsidRDefault="0033382B" w:rsidP="0033382B">
      <w:pPr>
        <w:pStyle w:val="TextoNormal"/>
      </w:pPr>
    </w:p>
    <w:p w:rsidR="0033382B" w:rsidRDefault="0033382B" w:rsidP="0033382B">
      <w:pPr>
        <w:pStyle w:val="TextoNormal"/>
      </w:pPr>
      <w:r w:rsidRPr="0033382B">
        <w:rPr>
          <w:rStyle w:val="NumeroAFNegritaCaracter"/>
        </w:rPr>
        <w:t>3</w:t>
      </w:r>
      <w:r>
        <w:t>. Por Auto de 21 de julio de 2015, el Juzgado acordó plantear ante el Tribunal Constitucional cuestión de inconstitucionalidad en relación con el mencionado art. 48 f), párrafos primero y segundo, LEEP, por su posible contradicción con los igualmente citados arts. 14 y 23.2 CE.</w:t>
      </w:r>
    </w:p>
    <w:p w:rsidR="0033382B" w:rsidRDefault="0033382B" w:rsidP="0033382B">
      <w:pPr>
        <w:pStyle w:val="TextoNormal"/>
      </w:pPr>
    </w:p>
    <w:p w:rsidR="0033382B" w:rsidRDefault="0033382B" w:rsidP="0033382B">
      <w:pPr>
        <w:pStyle w:val="TextoNormal"/>
      </w:pPr>
      <w:r>
        <w:t>Tras reproducir los arts. 163 CE y 35 de la Ley Orgánica del Tribunal Constitucional (LOTC), sobre la cuestión de inconstitucionalidad, así como el precepto cuestionado y las normas constitucionales infringidas, razona extensamente sobre la aplicación del precepto controvertido al caso examinado. Reproduce la normativa específica de la Guardia Civil, y en particular los artículos 28 (conciliación de la vida familiar y laboral) y 29 (remisión en materia de permisos a la normativa general de los funcionarios de la Administración general del estado) de la Ley Orgánica 11/2007, de 22 de octubre, reguladora de los derechos y deberes de los miembros de la Guardia Civil. Y concluye, por tanto, que en virtud de esta remisión es de “forzosa aplicación al caso” el controvertido art. 48 f) LEEP.</w:t>
      </w:r>
    </w:p>
    <w:p w:rsidR="0033382B" w:rsidRDefault="0033382B" w:rsidP="0033382B">
      <w:pPr>
        <w:pStyle w:val="TextoNormal"/>
      </w:pPr>
    </w:p>
    <w:p w:rsidR="0033382B" w:rsidRDefault="0033382B" w:rsidP="0033382B">
      <w:pPr>
        <w:pStyle w:val="TextoNormal"/>
      </w:pPr>
      <w:r>
        <w:t>Razona seguidamente sobre la pertinencia de plantear la cuestión en relación con los dos párrafos del precepto. Y justifica ese planteamiento de este modo: para decidir si la Administración resolvió no conforme a derecho habrá de determinarse, en primer lugar, si el permiso de lactancia puede ser disfrutado por el padre cuando se da la circunstancia de que su esposa y madre del niño no desarrolla actividad profesional alguna, ni por cuenta propia ni por cuenta ajena; y en segundo lugar, para el caso de que así procediera declararlo, procedería analizar el obstáculo que para el reconocimiento de la situación jurídica individualizada se pretende en la demanda representa la mención exclusiva a “la[s] funcionaria[s]” mujeres el párrafo segundo de la norma.</w:t>
      </w:r>
    </w:p>
    <w:p w:rsidR="0033382B" w:rsidRDefault="0033382B" w:rsidP="0033382B">
      <w:pPr>
        <w:pStyle w:val="TextoNormal"/>
      </w:pPr>
    </w:p>
    <w:p w:rsidR="0033382B" w:rsidRDefault="0033382B" w:rsidP="0033382B">
      <w:pPr>
        <w:pStyle w:val="TextoNormal"/>
      </w:pPr>
      <w:r>
        <w:t xml:space="preserve">Llegado a este punto, expone las dudas de constitucionalidad. Parte de la Sentencia del Tribunal de Justicia de la Unión Europea en el caso </w:t>
      </w:r>
      <w:r w:rsidRPr="0033382B">
        <w:rPr>
          <w:i/>
        </w:rPr>
        <w:t>Roca Álvarez</w:t>
      </w:r>
      <w:r>
        <w:t xml:space="preserve">, de 30 de septiembre de 2010 (asunto C-104/09), dictada a propósito de la denegación del permiso de lactancia a un trabajador por cuenta ajena español en aplicación del art. 37.4 del Estatuto de los trabajadores, en la que el Tribunal comunitario aclaró que “el hecho de que el permiso controvertido en el litigio principal pueda disfrutarse [según el derecho español] indistintamente por el padre trabajador por cuenta ajena o por la madre trabajadora por cuenta ajena implica que tanto el padre como la madre pueden asumir la alimentación y el tiempo de cuidado del hijo. Parece pues que ese permiso se concede a los trabajadores y trabajadoras por su condición de progenitores del niño. Por tanto, no puede considerarse que permita asegurar la protección de la condición biológica de la madre después de su embarazo o la protección de las particulares relaciones entre la madre y su hijo” (apartado 31). De igual manera, el Tribunal comunitario aclaró allí que “…el hecho de considerar, como sostiene el Gobierno español, que sólo la madre que tenga la condición de trabajadora por cuenta ajena es titular del derecho a disfrutar del permiso controvertido en el litigio principal, en tanto que el padre que tenga la misma condición únicamente podría disfrutar de ese derecho, sin ser su titular, puede en cambio contribuir a perpetuar un reparto tradicional de funciones entre el hombre y la mujer al mantener a los hombres en una función subsidiaria de las mujeres respecto al ejercicio de su función parental (véase en ese sentido la sentencia </w:t>
      </w:r>
      <w:r w:rsidRPr="0033382B">
        <w:rPr>
          <w:i/>
        </w:rPr>
        <w:t>Lommers</w:t>
      </w:r>
      <w:r>
        <w:t>, antes citada, apartado 41)” (apartado 36).</w:t>
      </w:r>
    </w:p>
    <w:p w:rsidR="0033382B" w:rsidRDefault="0033382B" w:rsidP="0033382B">
      <w:pPr>
        <w:pStyle w:val="TextoNormal"/>
      </w:pPr>
    </w:p>
    <w:p w:rsidR="0033382B" w:rsidRDefault="0033382B" w:rsidP="0033382B">
      <w:pPr>
        <w:pStyle w:val="TextoNormal"/>
      </w:pPr>
      <w:r>
        <w:t xml:space="preserve">Con estas premisas, y con el fin de demostrar la discriminación que aprecia la Juzgadora </w:t>
      </w:r>
      <w:r w:rsidRPr="0033382B">
        <w:rPr>
          <w:i/>
        </w:rPr>
        <w:t>a quo</w:t>
      </w:r>
      <w:r>
        <w:t xml:space="preserve"> en el precepto examinado, el Auto se plantea la hipótesis inversa a la examinada, esto es, aquella en que una madre funcionaria solicitase el permiso de lactancia estando el padre desempleado, y le parece que en tal caso el principio de no discriminación por el embarazo y la maternidad del art. 8 de la Ley Orgánica 3/2007, de 22 de marzo, para la igualdad efectiva de mujeres y hombres, impediría la desestimación de esa solicitud. Por consiguiente, le parece claro que el precepto cuestionado, basado en una apariencia de trato favorable a la mujer, en realidad favorece su discriminación, al obligarla a hacerse cargo del cuidado del hijo perpetuando el modelo tradicional de reparto de funciones de que habla el Tribunal comunitario, negando al mismo tiempo al padre el derecho que igualmente tiene a ocuparse del hijo común.</w:t>
      </w:r>
    </w:p>
    <w:p w:rsidR="0033382B" w:rsidRDefault="0033382B" w:rsidP="0033382B">
      <w:pPr>
        <w:pStyle w:val="TextoNormal"/>
      </w:pPr>
    </w:p>
    <w:p w:rsidR="0033382B" w:rsidRDefault="0033382B" w:rsidP="0033382B">
      <w:pPr>
        <w:pStyle w:val="TextoNormal"/>
      </w:pPr>
      <w:r>
        <w:t>Añade que en el ámbito laboral y en el caso de permiso por maternidad el art. 48.4 del Estatuto de los trabajadores sí permite al padre suspender el contrato de trabajo cuando la madre no ejerce actividad laboral alguna, todo ello “con el propósito de contribuir a un reparto más equilibrado de las responsabilidades familiares” (STC 75/2011, de 19 de mayo, FJ 8).</w:t>
      </w:r>
    </w:p>
    <w:p w:rsidR="0033382B" w:rsidRDefault="0033382B" w:rsidP="0033382B">
      <w:pPr>
        <w:pStyle w:val="TextoNormal"/>
      </w:pPr>
    </w:p>
    <w:p w:rsidR="0033382B" w:rsidRDefault="0033382B" w:rsidP="0033382B">
      <w:pPr>
        <w:pStyle w:val="TextoNormal"/>
      </w:pPr>
      <w:r>
        <w:t>Estos mismos razonamientos le valen para cuestionarse la constitucionalidad del segundo párrafo del precepto. La reserva del derecho de acumulación el permiso en jornadas completas solo a “la[s] funcionaria[s]” contribuye a perpetuar ese modelo tradicional que discrimina a la mujer según el Tribunal de Justicia de la Unión Europea. Por eso, concluye el Auto, la interpretación literal del precepto “tendría que dar lugar a la desestimación del recurso sin mayor argumentación que la de que la parte recurrente es un hombre y no una mujer; un razonamiento que, aun siendo admisible por derivado de la mera interpretación literal de la norma repugnaría, no obstante, a los postulados del principio de igualdad” plasmado en la Constitución Española.</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20 de octubre de 2015, la Sección Cuarta de este Tribunal acordó, a los efectos del art. 37.1 LOTC, conferir plazo de diez días al Fiscal General del Estado para que alegue lo que considere conveniente acerca de la admisibilidad de la presente cuestión de inconstitucionalidad, por si fuera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en este Tribunal el 18 de noviembre de 2015. En él, interesa la inadmisión de la presente cuestión por considerarla notoriamente infundada.</w:t>
      </w:r>
    </w:p>
    <w:p w:rsidR="0033382B" w:rsidRDefault="0033382B" w:rsidP="0033382B">
      <w:pPr>
        <w:pStyle w:val="TextoNormal"/>
      </w:pPr>
    </w:p>
    <w:p w:rsidR="0033382B" w:rsidRDefault="0033382B" w:rsidP="0033382B">
      <w:pPr>
        <w:pStyle w:val="TextoNormal"/>
      </w:pPr>
      <w:r>
        <w:t>Tras hacer una extensa exposición de los antecedentes del caso y de la jurisprudencia de este Tribunal acerca del concepto de cuestión “notoriamente infundada” (art. 37.1 LOTC), el Ministerio público centra la cuestión debatida, y le parece que “el objeto de la presente cuestión de inconstitucionalidad es determinar si la denegación del derecho reconocido a la ‘funcionaria pública’ de sustituir el tiempo de lactancia por un permiso retribuido que acumule en jornadas completas el tiempo correspondiente tras el nacimiento del hijo … al padre ‘funcionario’ es discriminatorio y si también sería discriminatoria la circunstancia de que el posible disfrute de dicho derecho venga condicionado a que la madre sea ‘funcionaria’ o trabajadora dada de alta en un régimen de la seguridad social y, en consecuencia, dicha norma sería contraria al principio de igualdad del art. 14 y 23.2 CE”.</w:t>
      </w:r>
    </w:p>
    <w:p w:rsidR="0033382B" w:rsidRDefault="0033382B" w:rsidP="0033382B">
      <w:pPr>
        <w:pStyle w:val="TextoNormal"/>
      </w:pPr>
    </w:p>
    <w:p w:rsidR="0033382B" w:rsidRDefault="0033382B" w:rsidP="0033382B">
      <w:pPr>
        <w:pStyle w:val="TextoNormal"/>
      </w:pPr>
      <w:r>
        <w:t>Desde esta premisa, descarta en primer lugar que exista una posible vulneración del art. 23.2 CE, pues sobre la vulneración de este precepto nada dice el promotor de la cuestión de inconstitucionalidad. Además, tratándose de un problema de discriminación por razón de sexo, el precepto constitucional de referencia ha de ser el art. 14 CE, y no el art. 23.2 que solamente “concreta el principio general de igualdad en el ámbito de la función pública”, de acuerdo con la jurisprudencia de este Tribunal (cita la STC 293/1993).</w:t>
      </w:r>
    </w:p>
    <w:p w:rsidR="0033382B" w:rsidRDefault="0033382B" w:rsidP="0033382B">
      <w:pPr>
        <w:pStyle w:val="TextoNormal"/>
      </w:pPr>
    </w:p>
    <w:p w:rsidR="0033382B" w:rsidRDefault="0033382B" w:rsidP="0033382B">
      <w:pPr>
        <w:pStyle w:val="TextoNormal"/>
      </w:pPr>
      <w:r>
        <w:t>Adentrándose ya en el examen de la duda suscitada desde la perspectiva del art. 14 CE, le parece “evidente que la norma cuestionada introduce una diferencia de trato por razón de sexo, ya que el derecho a acumular en jornadas completas el permiso de lactancia se reconoce a la mujer, y no al hombre, y sin establecer condición alguna”.</w:t>
      </w:r>
    </w:p>
    <w:p w:rsidR="0033382B" w:rsidRDefault="0033382B" w:rsidP="0033382B">
      <w:pPr>
        <w:pStyle w:val="TextoNormal"/>
      </w:pPr>
    </w:p>
    <w:p w:rsidR="0033382B" w:rsidRDefault="0033382B" w:rsidP="0033382B">
      <w:pPr>
        <w:pStyle w:val="TextoNormal"/>
      </w:pPr>
      <w:r>
        <w:t>No obstante, le parece que esa diferenciación está justificada y no hay, en consecuencia, vulneración del art. 14 CE.</w:t>
      </w:r>
    </w:p>
    <w:p w:rsidR="0033382B" w:rsidRDefault="0033382B" w:rsidP="0033382B">
      <w:pPr>
        <w:pStyle w:val="TextoNormal"/>
      </w:pPr>
    </w:p>
    <w:p w:rsidR="0033382B" w:rsidRDefault="0033382B" w:rsidP="0033382B">
      <w:pPr>
        <w:pStyle w:val="TextoNormal"/>
      </w:pPr>
      <w:r>
        <w:t xml:space="preserve">Del análisis de la STJUE asunto </w:t>
      </w:r>
      <w:r w:rsidRPr="0033382B">
        <w:rPr>
          <w:i/>
        </w:rPr>
        <w:t>Roca Álvarez</w:t>
      </w:r>
      <w:r>
        <w:t xml:space="preserve"> y de la STC 75/2011 antes citadas, así como de la STJCE de 2 de julio de 1984 (asunto </w:t>
      </w:r>
      <w:r w:rsidRPr="0033382B">
        <w:rPr>
          <w:i/>
        </w:rPr>
        <w:t>Ulrich Hoffman contra Alemania</w:t>
      </w:r>
      <w:r>
        <w:t xml:space="preserve">), asunto 184/1983, extrae la conclusión de que el principio de no discriminación por razón de sexo, establecido en el art. 14 CE y también en la Directiva 76/207/CEE, del Consejo, de 9 de febrero de 1976, relativa a la igualdad de trato entre hombres y mujeres en lo que se refiere al acceso al empleo, a la formación y a la promoción profesionales, y a las condiciones de trabajo, que es la norma aplicada (con sus modificaciones) por el Tribunal de Justicia en los asuntos citados, no impide que pueda reconocerse un permiso remunerado solo a la madre trabajadora, con exclusión del padre, “habida cuenta de que únicamente la madre puede verse bajo la presión, no deseable, de reanudar prematuramente su trabajo” (Sentencia </w:t>
      </w:r>
      <w:r w:rsidRPr="0033382B">
        <w:rPr>
          <w:i/>
        </w:rPr>
        <w:t>Ulrich Hoffman</w:t>
      </w:r>
      <w:r>
        <w:t xml:space="preserve"> antes citada, apartado 26) ante la pérdida de retribución salarial que representaría su no incorporación. Todo ello sin perjuicio de que, en su amplia libertad de configuración, el legislador estatal pueda extender ese permiso igualmente al padre, como tuvo ocasión de señalar este Tribunal en la citada STC 75/2011, FJ 7, pero sin que ello resulte constitucionalmente obligado.</w:t>
      </w:r>
    </w:p>
    <w:p w:rsidR="0033382B" w:rsidRDefault="0033382B" w:rsidP="0033382B">
      <w:pPr>
        <w:pStyle w:val="TextoNormal"/>
      </w:pPr>
    </w:p>
    <w:p w:rsidR="0033382B" w:rsidRDefault="0033382B" w:rsidP="0033382B">
      <w:pPr>
        <w:pStyle w:val="TextoNormal"/>
      </w:pPr>
      <w:r>
        <w:t>Le parece, en definitiva, que el permiso cuestionado del art. 48 f) LEEP vendría a ser una forma de protección de la maternidad en sentido amplio. Y que existen razones objetivas y razonables que justifican esa diferencia de trato del hombre respecto a la mujer, centradas en la protección de la maternidad.</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Juzgado de lo Contencioso-Administrativo núm. 34 de Madrid plantea cuestión de inconstitucionalidad en relación con los párrafos primero y segundo del art. 48 f) de la Ley 7/2007, de 12 de abril, del estatuto básico del empleado público (LEEP).</w:t>
      </w:r>
    </w:p>
    <w:p w:rsidR="0033382B" w:rsidRDefault="0033382B" w:rsidP="0033382B">
      <w:pPr>
        <w:pStyle w:val="TextoNormal"/>
      </w:pPr>
    </w:p>
    <w:p w:rsidR="0033382B" w:rsidRDefault="0033382B" w:rsidP="0033382B">
      <w:pPr>
        <w:pStyle w:val="TextoNormal"/>
      </w:pPr>
      <w:r>
        <w:t>El tenor del precepto cuestionado ha quedado recogido en el antecedente 1 de esta resolución.</w:t>
      </w:r>
    </w:p>
    <w:p w:rsidR="0033382B" w:rsidRDefault="0033382B" w:rsidP="0033382B">
      <w:pPr>
        <w:pStyle w:val="TextoNormal"/>
      </w:pPr>
    </w:p>
    <w:p w:rsidR="0033382B" w:rsidRDefault="0033382B" w:rsidP="0033382B">
      <w:pPr>
        <w:pStyle w:val="TextoNormal"/>
      </w:pPr>
      <w:r>
        <w:t xml:space="preserve">El Juzgado promotor de la cuestión considera que la denegación del permiso de lactancia al padre solicitante, y recurrente en el proceso </w:t>
      </w:r>
      <w:r w:rsidRPr="0033382B">
        <w:rPr>
          <w:i/>
        </w:rPr>
        <w:t>a quo</w:t>
      </w:r>
      <w:r>
        <w:t>, justificada en el acto impugnado en que, según el precepto controvertido, para el reconocimiento del derecho “es requisito indispensable que ambos progenitores trabajen”, por lo que “la situación de desempleo de la madre hace incompatible que el permiso por lactancia sea disfrutado por el padre”, pudiera entrañar una discriminación por razón de sexo contraria a los arts. 14 y 23.2 CE, en la medida en que perpetúa el modelo de cuidado de los hijos a cargo de la madre que, siempre según el Auto de planteamiento, sí tendría derecho a ese permiso en el supuesto inverso al examinado.</w:t>
      </w:r>
    </w:p>
    <w:p w:rsidR="0033382B" w:rsidRDefault="0033382B" w:rsidP="0033382B">
      <w:pPr>
        <w:pStyle w:val="TextoNormal"/>
      </w:pPr>
    </w:p>
    <w:p w:rsidR="0033382B" w:rsidRDefault="0033382B" w:rsidP="0033382B">
      <w:pPr>
        <w:pStyle w:val="TextoNormal"/>
      </w:pPr>
      <w:r>
        <w:t xml:space="preserve">De este modo, el supuesto derecho de la madre a disfrutar del permiso de lactancia en ese supuesto análogo al planteado en el proceso </w:t>
      </w:r>
      <w:r w:rsidRPr="0033382B">
        <w:rPr>
          <w:i/>
        </w:rPr>
        <w:t>a quo</w:t>
      </w:r>
      <w:r>
        <w:t xml:space="preserve"> se erige en premisa y sustento de la duda de constitucionalidad suscitada. Y así se construye abiertamente el Auto de planteamiento, afirmando como antecedente o condición el derecho de la mujer —de la madre— al permiso de lactancia, en contraposición a lo acontecido con el padre.</w:t>
      </w:r>
    </w:p>
    <w:p w:rsidR="0033382B" w:rsidRDefault="0033382B" w:rsidP="0033382B">
      <w:pPr>
        <w:pStyle w:val="TextoNormal"/>
      </w:pPr>
    </w:p>
    <w:p w:rsidR="0033382B" w:rsidRDefault="0033382B" w:rsidP="0033382B">
      <w:pPr>
        <w:pStyle w:val="TextoNormal"/>
      </w:pPr>
      <w:r w:rsidRPr="0033382B">
        <w:rPr>
          <w:rStyle w:val="NumeroAFNegritaCaracter"/>
        </w:rPr>
        <w:t>2</w:t>
      </w:r>
      <w:r>
        <w:t>. El art.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0033382B" w:rsidRDefault="0033382B" w:rsidP="0033382B">
      <w:pPr>
        <w:pStyle w:val="TextoNormal"/>
      </w:pPr>
    </w:p>
    <w:p w:rsidR="0033382B" w:rsidRDefault="0033382B" w:rsidP="0033382B">
      <w:pPr>
        <w:pStyle w:val="TextoNormal"/>
      </w:pPr>
      <w:r>
        <w:t>Es doctrina reiterada de este Tribunal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 (así, entre los más recientes, ATC 121/2015, de 7 de julio, FJ 2).</w:t>
      </w:r>
    </w:p>
    <w:p w:rsidR="0033382B" w:rsidRDefault="0033382B" w:rsidP="0033382B">
      <w:pPr>
        <w:pStyle w:val="TextoNormal"/>
      </w:pPr>
    </w:p>
    <w:p w:rsidR="0033382B" w:rsidRDefault="0033382B" w:rsidP="0033382B">
      <w:pPr>
        <w:pStyle w:val="TextoNormal"/>
      </w:pPr>
      <w:r>
        <w:t>En este caso, y por las razones que se exponen a continuación, puede apreciarse ya en este trámite liminar esa falta de viabilidad de la cuestión apuntada por nuestra comentada doctrina.</w:t>
      </w:r>
    </w:p>
    <w:p w:rsidR="0033382B" w:rsidRDefault="0033382B" w:rsidP="0033382B">
      <w:pPr>
        <w:pStyle w:val="TextoNormal"/>
      </w:pPr>
    </w:p>
    <w:p w:rsidR="0033382B" w:rsidRDefault="0033382B" w:rsidP="0033382B">
      <w:pPr>
        <w:pStyle w:val="TextoNormal"/>
      </w:pPr>
      <w:r w:rsidRPr="0033382B">
        <w:rPr>
          <w:rStyle w:val="NumeroAFNegritaCaracter"/>
        </w:rPr>
        <w:t>3</w:t>
      </w:r>
      <w:r>
        <w:t>. En primer lugar, procede ubicar con precisión la duda de constitucionalidad suscitada. En este sentido, y en línea con lo razonado por la Fiscal General del Estado, la presente cuestión de inconstitucionalidad debe entenderse referida exclusivamente a la pretendida contradicción del precepto cuestionado con el art. 14 CE, segundo inciso (prohibición de discriminación por razón de sexo), pues ninguna argumentación específica se contiene en el Auto de planteamiento acerca de la eventual contradicción del mismo precepto con el art. 23.2 CE, cuya cita no pasa de ser así una alusión meramente retórica (en este mismo sentido, STC 75/2011, de 19 de mayo, FJ 5).</w:t>
      </w:r>
    </w:p>
    <w:p w:rsidR="0033382B" w:rsidRDefault="0033382B" w:rsidP="0033382B">
      <w:pPr>
        <w:pStyle w:val="TextoNormal"/>
      </w:pPr>
    </w:p>
    <w:p w:rsidR="0033382B" w:rsidRDefault="0033382B" w:rsidP="0033382B">
      <w:pPr>
        <w:pStyle w:val="TextoNormal"/>
      </w:pPr>
      <w:r>
        <w:t>En cualquier caso, conviene recordar que este segundo precepto constitucional no hace otra cosa que “concreta[r] el principio general de igualdad en el ámbito de la función pública”, obligando de este modo a que los requisitos y condiciones exigidos para el acceso y la promoción profesional en ese ámbito “sean referibles a los principios de mérito y capacidad” (por todas, STC 99/1999, de 31 de mayo, FJ 4). Y en este caso es manifiesto que esa perspectiva adicional, propia del acceso y promoción en la función pública, es por completo ajena a la duda de constitucionalidad suscitada, aunque la misma se haya planteado en el seno de un recurso contencioso-administrativo interpuesto por un funcionario en relación con la denegación de un permiso que regula su normativa estatutaria. Lo único planteado por el órgano promotor de la cuestión es si la normativa reguladora del permiso denegado al funcionario que ante él recurre es o no conforme con el principio de no discriminación por razón de sexo. En consecuencia, esta ha de ser también la única perspectiva adoptada por este Tribunal.</w:t>
      </w:r>
    </w:p>
    <w:p w:rsidR="0033382B" w:rsidRDefault="0033382B" w:rsidP="0033382B">
      <w:pPr>
        <w:pStyle w:val="TextoNormal"/>
      </w:pPr>
    </w:p>
    <w:p w:rsidR="0033382B" w:rsidRDefault="0033382B" w:rsidP="0033382B">
      <w:pPr>
        <w:pStyle w:val="TextoNormal"/>
      </w:pPr>
      <w:r w:rsidRPr="0033382B">
        <w:rPr>
          <w:rStyle w:val="NumeroAFNegritaCaracter"/>
        </w:rPr>
        <w:t>4</w:t>
      </w:r>
      <w:r>
        <w:t xml:space="preserve">. Así delimitado el objeto de esta cuestión de inconstitucionalidad, la duda que se plantea ante este Tribunal parte de la premisa, así explicitada en el Auto de planteamiento, de que si hubiera sido una mujer (la madre) la solicitante del permiso, la Administración no habría tenido más remedio que reconocérselo, por lo que la denegación del mismo permiso a un hombre (al padre) en el acto administrativo objeto del proceso </w:t>
      </w:r>
      <w:r w:rsidRPr="0033382B">
        <w:rPr>
          <w:i/>
        </w:rPr>
        <w:t>a quo</w:t>
      </w:r>
      <w:r>
        <w:t xml:space="preserve"> pudiera resultar contraria al principio de no discriminación por razón de sexo, en la medida en que bajo una norma aparentemente protectora de la maternidad se estaría haciendo a la madre de peor condición que al padre, perpetuando el modelo tradicional de reparto de funciones en el cuidado de los hijos.</w:t>
      </w:r>
    </w:p>
    <w:p w:rsidR="0033382B" w:rsidRDefault="0033382B" w:rsidP="0033382B">
      <w:pPr>
        <w:pStyle w:val="TextoNormal"/>
      </w:pPr>
    </w:p>
    <w:p w:rsidR="0033382B" w:rsidRDefault="0033382B" w:rsidP="0033382B">
      <w:pPr>
        <w:pStyle w:val="TextoNormal"/>
      </w:pPr>
      <w:r>
        <w:t>Un detenido examen de la norma y del supuesto examinado permite apreciar, sin embargo, que es errónea esa premisa del razonamiento empleado, al no existir esa diferencia de trato entre sexos apreciada por el Juzgado a quo, y ello hace perder todo su sustento a la duda de constitucionalidad planteada.</w:t>
      </w:r>
    </w:p>
    <w:p w:rsidR="0033382B" w:rsidRDefault="0033382B" w:rsidP="0033382B">
      <w:pPr>
        <w:pStyle w:val="TextoNormal"/>
      </w:pPr>
    </w:p>
    <w:p w:rsidR="0033382B" w:rsidRDefault="0033382B" w:rsidP="0033382B">
      <w:pPr>
        <w:pStyle w:val="TextoNormal"/>
      </w:pPr>
      <w:r w:rsidRPr="0033382B">
        <w:rPr>
          <w:rStyle w:val="NumeroAFNegritaCaracter"/>
        </w:rPr>
        <w:t>5</w:t>
      </w:r>
      <w:r>
        <w:t>. El cuestionado art. 48 f) LEEP reconoce a “los funcionarios” en general el derecho a disfrutar del permiso de lactancia, un permiso que se disfruta mediante reducciones en la jornada de trabajo. Esta primera parte de la norma concluye con un último inciso que dispone expresamente que “[e]ste derecho podrá ser ejercido indistintamente por uno u otro de los progenitores, en el caso de que ambos trabajen”. Es, por tanto, incontestable que la norma cuestionada reconoce el derecho al permiso de lactancia tanto al padre como a la madre funcionarios, o dicho de otro modo, que esta primera parte de la norma es absolutamente neutra en cuanto al sexo de “los funcionarios” o, si se prefiere, de “los progenitores”.</w:t>
      </w:r>
    </w:p>
    <w:p w:rsidR="0033382B" w:rsidRDefault="0033382B" w:rsidP="0033382B">
      <w:pPr>
        <w:pStyle w:val="TextoNormal"/>
      </w:pPr>
    </w:p>
    <w:p w:rsidR="0033382B" w:rsidRDefault="0033382B" w:rsidP="0033382B">
      <w:pPr>
        <w:pStyle w:val="TextoNormal"/>
      </w:pPr>
      <w:r>
        <w:t>Es el párrafo segundo del art. 48 f) el que, al regular la posibilidad de acumular o concentrar esas reducciones de jornada para disfrutarlas en jornadas completas, establece una norma que sí diferencia en función del sexo del progenitor, al disponer: “[i]gualmente la funcionaria podrá solicitar la sustitución del tiempo de lactancia por un permiso retribuido que acumule en jornadas completas el tiempo correspondiente”. Es decir, que por expresa imposición de la norma solamente la mujer (“la funcionaria”) puede disfrutar de este permiso de lactancia por jornadas completas, un derecho que se niega implícitamente al padre.</w:t>
      </w:r>
    </w:p>
    <w:p w:rsidR="0033382B" w:rsidRDefault="0033382B" w:rsidP="0033382B">
      <w:pPr>
        <w:pStyle w:val="TextoNormal"/>
      </w:pPr>
    </w:p>
    <w:p w:rsidR="0033382B" w:rsidRDefault="0033382B" w:rsidP="0033382B">
      <w:pPr>
        <w:pStyle w:val="TextoNormal"/>
      </w:pPr>
      <w:r>
        <w:t>En conclusión, del completo tenor del art. 48 f) LEEP se deduce que, por un lado, todos “los funcionarios”, sean de sexo masculino o femenino, tienen igual derecho al permiso de lactancia, siempre con la condición de “que ambos trabajen”, pero que, por otro, solo la mujer funcionaria, y no el hombre, puede disfrutar de este permiso en jornadas completas.</w:t>
      </w:r>
    </w:p>
    <w:p w:rsidR="0033382B" w:rsidRDefault="0033382B" w:rsidP="0033382B">
      <w:pPr>
        <w:pStyle w:val="TextoNormal"/>
      </w:pPr>
    </w:p>
    <w:p w:rsidR="0033382B" w:rsidRDefault="0033382B" w:rsidP="0033382B">
      <w:pPr>
        <w:pStyle w:val="TextoNormal"/>
      </w:pPr>
      <w:r w:rsidRPr="0033382B">
        <w:rPr>
          <w:rStyle w:val="NumeroAFNegritaCaracter"/>
        </w:rPr>
        <w:t>6</w:t>
      </w:r>
      <w:r>
        <w:t xml:space="preserve">. Como ya se ha expuesto, pero no importa reiterar para una mayor claridad expositiva, el recurrente en el proceso </w:t>
      </w:r>
      <w:r w:rsidRPr="0033382B">
        <w:rPr>
          <w:i/>
        </w:rPr>
        <w:t>a quo</w:t>
      </w:r>
      <w:r>
        <w:t>, padre de un niño, vio denegada su solicitud de que le fuera reconocido el permiso de lactancia porque, según razona expresamente la resolución denegatoria de la solicitud, del precepto cuestionado se deduce que “es requisito indispensable que ambos progenitores trabajen”, por lo que “la situación de desempleo de la madre hace incompatible que el permiso por lactancia sea disfrutado por el padre”.</w:t>
      </w:r>
    </w:p>
    <w:p w:rsidR="0033382B" w:rsidRDefault="0033382B" w:rsidP="0033382B">
      <w:pPr>
        <w:pStyle w:val="TextoNormal"/>
      </w:pPr>
    </w:p>
    <w:p w:rsidR="0033382B" w:rsidRDefault="0033382B" w:rsidP="0033382B">
      <w:pPr>
        <w:pStyle w:val="TextoNormal"/>
      </w:pPr>
      <w:r>
        <w:t>Pues bien, en contra de lo razonado por el órgano promotor de la cuestión en el Auto de planteamiento, nada permite suponer que, en el caso inverso al examinado, la madre funcionaria sí hubiera visto reconocido su derecho a disfrutar del permiso de lactancia, si lo hubiera solicitado en idénticas circunstancias, esto es, si el padre no trabaja. El párrafo primero del art. 48 f) LEEP impide absolutamente sentar esta presunción, premisa y soporte de toda la duda de constitucionalidad. De acuerdo con el referido precepto, si uno de los dos progenitores carece de ocupación retribuida, sea éste hombre o mujer, el permiso de lactancia le será denegado al otro (sea mujer u hombre).</w:t>
      </w:r>
    </w:p>
    <w:p w:rsidR="0033382B" w:rsidRDefault="0033382B" w:rsidP="0033382B">
      <w:pPr>
        <w:pStyle w:val="TextoNormal"/>
      </w:pPr>
    </w:p>
    <w:p w:rsidR="0033382B" w:rsidRDefault="0033382B" w:rsidP="0033382B">
      <w:pPr>
        <w:pStyle w:val="TextoNormal"/>
      </w:pPr>
      <w:r>
        <w:t>Puede estarse de acuerdo o en desacuerdo con este sistema (no reconocer el permiso de lactancia cuando uno de los dos progenitores no trabaja), pero no puede tacharse nunca de discriminatorio, pues falta en él el “tratamiento peyorativo fundado en el sexo” necesario para apreciar una discriminación contraria al art. 14 CE (así, expresamente, STC 75/2011, antes citada, precisamente a propósito del derecho a la suspensión del contrato de trabajo en caso de parto, adopción o acogimiento del art. 48.4 del estatuto de los trabajadores, FJ 7).</w:t>
      </w:r>
    </w:p>
    <w:p w:rsidR="0033382B" w:rsidRDefault="0033382B" w:rsidP="0033382B">
      <w:pPr>
        <w:pStyle w:val="TextoNormal"/>
      </w:pPr>
    </w:p>
    <w:p w:rsidR="0033382B" w:rsidRDefault="0033382B" w:rsidP="0033382B">
      <w:pPr>
        <w:pStyle w:val="TextoNormal"/>
      </w:pPr>
      <w:r>
        <w:t>En definitiva, el precepto cuestionado carga con el cuidado del niño de igual manera al padre o a la madre, y no perpetúa así ningún modelo de familia (padre trabajador y madre cuidadora).</w:t>
      </w:r>
    </w:p>
    <w:p w:rsidR="0033382B" w:rsidRDefault="0033382B" w:rsidP="0033382B">
      <w:pPr>
        <w:pStyle w:val="TextoNormal"/>
      </w:pPr>
    </w:p>
    <w:p w:rsidR="0033382B" w:rsidRDefault="0033382B" w:rsidP="0033382B">
      <w:pPr>
        <w:pStyle w:val="TextoNormal"/>
      </w:pPr>
      <w:r w:rsidRPr="0033382B">
        <w:rPr>
          <w:rStyle w:val="NumeroAFNegritaCaracter"/>
        </w:rPr>
        <w:t>7</w:t>
      </w:r>
      <w:r>
        <w:t>. Tampoco aporta el Auto de planteamiento dato alguno que permita plantearse si la norma, siendo aparentemente neutra, produce efectos desfavorables en un colectivo formado mayoritariamente, aunque no necesariamente de forma exclusiva, por mujeres (discriminación indirecta por razón de sexo: STC 110/2015, de 28 de mayo, FJ 6, entre otras).</w:t>
      </w:r>
    </w:p>
    <w:p w:rsidR="0033382B" w:rsidRDefault="0033382B" w:rsidP="0033382B">
      <w:pPr>
        <w:pStyle w:val="TextoNormal"/>
      </w:pPr>
    </w:p>
    <w:p w:rsidR="0033382B" w:rsidRDefault="0033382B" w:rsidP="0033382B">
      <w:pPr>
        <w:pStyle w:val="TextoNormal"/>
      </w:pPr>
      <w:r>
        <w:t>El artículo 48 f), párrafo primero, se dirige en general a “los funcionarios”, e impone una exigencia general de trabajo a sus parejas. No cabe, por tanto, mayor grado de abstracción. El legislador no está aislando un concreto grupo de trabajadores (“trabajadores a tiempo parcial —STJCE de 27 de junio de 1990—, trabajadores con menos de dos años de permanencia en su puesto de trabajo —STJCE de 9 de febrero de 1999—, trabajadores con menos fuerza física —STC 149/1991—, etc.”, ejemplos de discriminación indirecta citados en la mencionada STC 110/2015, FJ 6) para aplicarles un régimen jurídico diferenciado, discriminando así, indirectamente, a las mujeres que mayoritariamente lo componen. Está regulando con la mayor abstracción y neutralidad posible el permiso de lactancia de los funcionarios.</w:t>
      </w:r>
    </w:p>
    <w:p w:rsidR="0033382B" w:rsidRDefault="0033382B" w:rsidP="0033382B">
      <w:pPr>
        <w:pStyle w:val="TextoNormal"/>
      </w:pPr>
    </w:p>
    <w:p w:rsidR="0033382B" w:rsidRDefault="0033382B" w:rsidP="0033382B">
      <w:pPr>
        <w:pStyle w:val="TextoNormal"/>
      </w:pPr>
      <w:r>
        <w:t xml:space="preserve">Puede compartirse que, como razona el Tribunal de Justicia de la Unión Europea en su Sentencia asunto </w:t>
      </w:r>
      <w:r w:rsidRPr="0033382B">
        <w:rPr>
          <w:i/>
        </w:rPr>
        <w:t>Roca Álvarez</w:t>
      </w:r>
      <w:r>
        <w:t xml:space="preserve"> de 30 de septiembre de 2010 (asunto C-104/2009), si el permiso de lactancia, tal como lo regula el derecho español, puede ser solicitado y disfrutado por la madre o el padre indistintamente, entonces su objetivo y razón de ser no puede estar en la atención a la salud de la madre o en el hecho del amamantamiento, sino en establecer un “tiempo de cuidado en favor del hijo y… una medida conciliadora de la vida familiar y laboral” (Sentencia </w:t>
      </w:r>
      <w:r w:rsidRPr="0033382B">
        <w:rPr>
          <w:i/>
        </w:rPr>
        <w:t>Roca Álvarez</w:t>
      </w:r>
      <w:r>
        <w:t xml:space="preserve"> antes citada, apartado 28). De esta doctrina ya se ha hecho eco este Tribunal, en la igualmente aludida STC 75/2011, FJ 7. Ahora bien, en la medida en que el art. 48 f) LEEP, aquí cuestionado, niega el permiso de lactancia por igual al padre o a la madre cuando el otro progenitor no trabaja, no puede apreciarse en él indicio de discriminación alguna.</w:t>
      </w:r>
    </w:p>
    <w:p w:rsidR="0033382B" w:rsidRDefault="0033382B" w:rsidP="0033382B">
      <w:pPr>
        <w:pStyle w:val="TextoNormal"/>
      </w:pPr>
    </w:p>
    <w:p w:rsidR="0033382B" w:rsidRDefault="0033382B" w:rsidP="0033382B">
      <w:pPr>
        <w:pStyle w:val="TextoNormal"/>
      </w:pPr>
      <w:r w:rsidRPr="0033382B">
        <w:rPr>
          <w:rStyle w:val="NumeroAFNegritaCaracter"/>
        </w:rPr>
        <w:t>8</w:t>
      </w:r>
      <w:r>
        <w:t>. Descartada de este modo la inconstitucionalidad del párrafo primero del art. 48 f) LEEP, el párrafo segundo deviene irrelevante, pues si no es contrario a la Constitución que el solicitante (el padre) no tenga derecho al permiso de lactancia, carece ya de sentido preguntarse, en el marco de una cuestión de inconstitucionalidad de carácter incidental o prejudicial (arts. 163 CE y 35.1 LOTC), si el párrafo segundo que restringe a “la[s] funcionaria[s]” el derecho a solicitar la acumulación es o no conforme con el art. 14 CE, pues ese segundo inciso no sería “aplicable al caso”, como exigen los indicados preceptos.</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cuestión de inconstitucionalidad núm. 5153-2015.</w:t>
      </w:r>
    </w:p>
    <w:p w:rsidR="0033382B" w:rsidRDefault="0033382B" w:rsidP="0033382B">
      <w:pPr>
        <w:pStyle w:val="TextoNormal"/>
      </w:pPr>
    </w:p>
    <w:p w:rsidR="0033382B" w:rsidRDefault="0033382B" w:rsidP="0033382B">
      <w:pPr>
        <w:pStyle w:val="TextoNormal"/>
      </w:pPr>
      <w:r>
        <w:t>Madrid, a diecinueve de enero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42" w:name="AUTO_2016_15"/>
      <w:r>
        <w:t>AUTO 15/2016, de 20 de enero de 2016</w:t>
      </w:r>
    </w:p>
    <w:bookmarkEnd w:id="142"/>
    <w:p w:rsidR="0033382B" w:rsidRDefault="0033382B" w:rsidP="0033382B">
      <w:pPr>
        <w:pStyle w:val="TtuloResolucin"/>
      </w:pPr>
      <w:r>
        <w:t>Sección Tercera</w:t>
      </w:r>
    </w:p>
    <w:p w:rsidR="0033382B" w:rsidRDefault="0033382B" w:rsidP="0033382B">
      <w:pPr>
        <w:pStyle w:val="TextoNormalCentrado"/>
      </w:pPr>
      <w:r>
        <w:t>ECLI:ES:TC:2016:15A</w:t>
      </w:r>
    </w:p>
    <w:p w:rsidR="0033382B" w:rsidRDefault="0033382B" w:rsidP="0033382B">
      <w:pPr>
        <w:pStyle w:val="TextoNormalCentrado"/>
      </w:pPr>
    </w:p>
    <w:p w:rsidR="0033382B" w:rsidRDefault="0033382B" w:rsidP="0033382B">
      <w:pPr>
        <w:pStyle w:val="SntesisDescriptiva"/>
      </w:pPr>
      <w:r>
        <w:t>Excms. Srs. doña Adela Asua Batarrita, don Juan José González Rivas y don Pedro José González-Trevijano Sánchez.</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143" w:name="AUTO_2016_16"/>
      <w:r>
        <w:t>AUTO 16/2016, de 25 de enero de 2016</w:t>
      </w:r>
    </w:p>
    <w:bookmarkEnd w:id="143"/>
    <w:p w:rsidR="0033382B" w:rsidRDefault="0033382B" w:rsidP="0033382B">
      <w:pPr>
        <w:pStyle w:val="TtuloResolucin"/>
      </w:pPr>
      <w:r>
        <w:t>Sección Segunda</w:t>
      </w:r>
    </w:p>
    <w:p w:rsidR="0033382B" w:rsidRDefault="0033382B" w:rsidP="0033382B">
      <w:pPr>
        <w:pStyle w:val="TextoNormalCentrado"/>
      </w:pPr>
      <w:r>
        <w:t>ECLI:ES:TC:2016:16A</w:t>
      </w:r>
    </w:p>
    <w:p w:rsidR="0033382B" w:rsidRDefault="0033382B" w:rsidP="0033382B">
      <w:pPr>
        <w:pStyle w:val="TextoNormalCentrado"/>
      </w:pPr>
    </w:p>
    <w:p w:rsidR="0033382B" w:rsidRDefault="0033382B" w:rsidP="0033382B">
      <w:pPr>
        <w:pStyle w:val="SntesisDescriptiva"/>
      </w:pPr>
      <w:r>
        <w:t>Excms. Srs. don Andrés Ollero Tassara y don Santiago Martínez-Vares García.</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144" w:name="AUTO_2016_17"/>
      <w:r>
        <w:t>AUTO 17/2016, de 1 de febrero de 2016</w:t>
      </w:r>
    </w:p>
    <w:bookmarkEnd w:id="144"/>
    <w:p w:rsidR="0033382B" w:rsidRDefault="0033382B" w:rsidP="0033382B">
      <w:pPr>
        <w:pStyle w:val="TtuloResolucin"/>
      </w:pPr>
      <w:r>
        <w:t>Sala Primera</w:t>
      </w:r>
    </w:p>
    <w:p w:rsidR="0033382B" w:rsidRDefault="0033382B" w:rsidP="0033382B">
      <w:pPr>
        <w:pStyle w:val="TextoNormalCentrado"/>
      </w:pPr>
      <w:r>
        <w:t>ECLI:ES:TC:2016:17A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don Andrés Ollero Tassara, don Santiago Martínez-Vares García y don Juan Antonio Xiol Ríos.</w:t>
      </w:r>
    </w:p>
    <w:p w:rsidR="0033382B" w:rsidRDefault="0033382B" w:rsidP="0033382B">
      <w:pPr>
        <w:pStyle w:val="SntesisDescriptiva"/>
      </w:pPr>
    </w:p>
    <w:p w:rsidR="0033382B" w:rsidRDefault="0033382B" w:rsidP="0033382B">
      <w:pPr>
        <w:pStyle w:val="SntesisDescriptiva"/>
      </w:pPr>
      <w:r>
        <w:t>Deniega la suspensión en el recurso de amparo 4657-2014, promovido por don Christopher Frank Carandini Lee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15 de julio de 2014, el Procurador de los Tribunales don Antonio Ortega Fuentes, en nombre y representación de don Christopher Frank Carandini Lee, y bajo la dirección de los Letrados don Andrés Reina Agero y don Alejandro Jiménez Miles, interpuso recurso de amparo contra el Auto del Juzgado de lo Mercantil núm. 1 de Burgos de 3 de junio de 2014, que desestima el incidente de nulidad de actuaciones interpuesto contra el Auto de 26 de octubre de 2009, recaído en el procedimiento de ejecución de títulos judiciales núm. 695-2009, en que se acordaba despachar ejecución, entre otros extremos, por la cantidad de 710.000 € a cuyo pago había sido condenado solidariamente el recurrente por sentencia.</w:t>
      </w:r>
    </w:p>
    <w:p w:rsidR="0033382B" w:rsidRDefault="0033382B" w:rsidP="0033382B">
      <w:pPr>
        <w:pStyle w:val="TextoNormal"/>
      </w:pPr>
    </w:p>
    <w:p w:rsidR="0033382B" w:rsidRDefault="0033382B" w:rsidP="0033382B">
      <w:pPr>
        <w:pStyle w:val="TextoNormal"/>
      </w:pPr>
      <w:r>
        <w:t>En la demanda de amparo se solicita por otrosí la suspensión parcial de la resolución judicial impugnada en lo relativo al demandante de amparo, argumentando que su ejecución produce un perjuicio irreparable por la elevada cuantía de la cantidad a abonar y la avanzada edad del recurrente y la inexistencia de perjuicios para la contraparte, ya que dicha cantidad lo era para el abono de un lucro cesante y la suspensión se pide solo de manera parcial en relación con uno de los obligados al pago. Para el caso en que se acepte la suspensión se hace ofrecimiento de constituir fianza de por la cantidad de 3.000 €.</w:t>
      </w:r>
    </w:p>
    <w:p w:rsidR="0033382B" w:rsidRDefault="0033382B" w:rsidP="0033382B">
      <w:pPr>
        <w:pStyle w:val="TextoNormal"/>
      </w:pPr>
    </w:p>
    <w:p w:rsidR="0033382B" w:rsidRDefault="0033382B" w:rsidP="0033382B">
      <w:pPr>
        <w:pStyle w:val="TextoNormal"/>
      </w:pPr>
      <w:r w:rsidRPr="0033382B">
        <w:rPr>
          <w:rStyle w:val="NumeroAFNegritaCaracter"/>
        </w:rPr>
        <w:t>2</w:t>
      </w:r>
      <w:r>
        <w:t>. La Secretaria de Justicia de la Sección Primera de este Tribunal, mediante diligencia de ordenación de 1 de julio de 2015, tuvo por sustituida procesalmente a doña Birgit Lee respecto del recurrente, con motivo de su fallecimiento.</w:t>
      </w:r>
    </w:p>
    <w:p w:rsidR="0033382B" w:rsidRDefault="0033382B" w:rsidP="0033382B">
      <w:pPr>
        <w:pStyle w:val="TextoNormal"/>
      </w:pPr>
    </w:p>
    <w:p w:rsidR="0033382B" w:rsidRDefault="0033382B" w:rsidP="0033382B">
      <w:pPr>
        <w:pStyle w:val="TextoNormal"/>
      </w:pPr>
      <w:r w:rsidRPr="0033382B">
        <w:rPr>
          <w:rStyle w:val="NumeroAFNegritaCaracter"/>
        </w:rPr>
        <w:t>3</w:t>
      </w:r>
      <w:r>
        <w:t>. La Sala Primera de este Tribunal, por providencia de 30 de noviembre de 2015, acordó la admisión a trámite de la demanda de amparo y la formación de pieza separada para la tramitación del incidente sobre la suspensión solicitada. La Sección Primera de este Tribunal, por providencia de 30 de noviembre de 2015, acordó conceder al recurrente y al Ministerio Fiscal el plazo común de tres días para que alegasen lo que estimasen pertinente sobre la suspensión.</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escrito registrado el 16 de diciembre de 2015, presentó alegaciones en las que, enunciando la jurisprudencia de este Tribunal sobre el particular, interesó que se denegara la suspensión, argumentando que, a pesar de la alta cuantía de la cantidad reclamada, en ningún momento se ha justificado el carácter irreversible del perjuicio ni se razona en qué forma su abono le ocasionaría un grave quebranto en atención a su situación económico-financiera. También, se pone de manifiesto que el resto de circunstancias alegadas en la demanda no resultan relevantes para apreciar la irreparabilidad del perjuicio, como presupuesto material esencial para conceder la suspensión.</w:t>
      </w:r>
    </w:p>
    <w:p w:rsidR="0033382B" w:rsidRDefault="0033382B" w:rsidP="0033382B">
      <w:pPr>
        <w:pStyle w:val="TextoNormal"/>
      </w:pPr>
    </w:p>
    <w:p w:rsidR="0033382B" w:rsidRDefault="0033382B" w:rsidP="0033382B">
      <w:pPr>
        <w:pStyle w:val="TextoNormal"/>
      </w:pPr>
      <w:r w:rsidRPr="0033382B">
        <w:rPr>
          <w:rStyle w:val="NumeroAFNegritaCaracter"/>
        </w:rPr>
        <w:t>5</w:t>
      </w:r>
      <w:r>
        <w:t>. La recurrente por sucesión procesal, por escrito registrado el 9 de diciembre de 2015, presentó alegaciones reiterando íntegramente lo expuesto en su demanda de amparo, incluyendo la circunstancia de que sigue concurriendo, al igual que en el demandante originario, una avanzada edad en su viuda. También se refiere en el escrito al “hecho evidente de que en la sucesión de la parte fallecida ha de estarse a lo que resulte del proceso sucesorio que se insta por los familiares del fallecido en el Reino Unido y conforme a la legislación nacional que le es de aplicación”.</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Por su parte, el artículo 56.3 establece que se podrá “adoptar cualesquiera medidas cautelares y resoluciones provisionales previstas en el ordenamiento, que, por su naturaleza, puedan aplicarse en el proceso de amparo y tiendan a evitar que el recurso pierda su finalidad”.</w:t>
      </w:r>
    </w:p>
    <w:p w:rsidR="0033382B" w:rsidRDefault="0033382B" w:rsidP="0033382B">
      <w:pPr>
        <w:pStyle w:val="TextoNormal"/>
      </w:pPr>
    </w:p>
    <w:p w:rsidR="0033382B" w:rsidRDefault="0033382B" w:rsidP="0033382B">
      <w:pPr>
        <w:pStyle w:val="TextoNormal"/>
      </w:pPr>
      <w:r>
        <w:t>En relación con la adopción de medidas cautelares en el procedimiento de amparo, este Tribunal ha declarado que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w:t>
      </w:r>
    </w:p>
    <w:p w:rsidR="0033382B" w:rsidRDefault="0033382B" w:rsidP="0033382B">
      <w:pPr>
        <w:pStyle w:val="TextoNormal"/>
      </w:pPr>
    </w:p>
    <w:p w:rsidR="0033382B" w:rsidRDefault="0033382B" w:rsidP="0033382B">
      <w:pPr>
        <w:pStyle w:val="TextoNormal"/>
      </w:pPr>
      <w:r>
        <w:t>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81/2012, de 7 de mayo, FJ 3).</w:t>
      </w:r>
    </w:p>
    <w:p w:rsidR="0033382B" w:rsidRDefault="0033382B" w:rsidP="0033382B">
      <w:pPr>
        <w:pStyle w:val="TextoNormal"/>
      </w:pPr>
    </w:p>
    <w:p w:rsidR="0033382B" w:rsidRDefault="0033382B" w:rsidP="0033382B">
      <w:pPr>
        <w:pStyle w:val="TextoNormal"/>
      </w:pPr>
      <w:r>
        <w:t>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solo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(ATC 81/2012, de 7 de mayo, FJ 2).</w:t>
      </w:r>
    </w:p>
    <w:p w:rsidR="0033382B" w:rsidRDefault="0033382B" w:rsidP="0033382B">
      <w:pPr>
        <w:pStyle w:val="TextoNormal"/>
      </w:pPr>
    </w:p>
    <w:p w:rsidR="0033382B" w:rsidRDefault="0033382B" w:rsidP="0033382B">
      <w:pPr>
        <w:pStyle w:val="TextoNormal"/>
      </w:pPr>
      <w:r w:rsidRPr="0033382B">
        <w:rPr>
          <w:rStyle w:val="NumeroAFNegritaCaracter"/>
        </w:rPr>
        <w:t>2</w:t>
      </w:r>
      <w:r>
        <w:t>. El contenido del fallo de la resolución impugnada respecto del que se pide la suspensión es exclusivamente de carácter económico. Por tanto, conforme a la jurisprudencia constitucional ya reseñada, solo la concurrencia de excepcionales circunstancias vinculadas a la irreparabilidad de los perjuicios económicos que se pudieran irrogar con la ejecución y su debida acreditación justificaría una decisión de suspensión.</w:t>
      </w:r>
    </w:p>
    <w:p w:rsidR="0033382B" w:rsidRDefault="0033382B" w:rsidP="0033382B">
      <w:pPr>
        <w:pStyle w:val="TextoNormal"/>
      </w:pPr>
    </w:p>
    <w:p w:rsidR="0033382B" w:rsidRDefault="0033382B" w:rsidP="0033382B">
      <w:pPr>
        <w:pStyle w:val="TextoNormal"/>
      </w:pPr>
      <w:r>
        <w:t>En el presente caso, sin embargo, tal como destaca el Ministerio Fiscal en su informe, más allá del hecho objetivo de la alta cuantía de la cantidad a abonar, no se ha desarrollado ni el más mínimo esfuerzo argumental para poner de manifiesto a este Tribunal cómo repercutiría su ejecución en el patrimonio del obligado al pago. Esa situación de indeterminación de los eventuales perjuicios se ve ahora agravada, incluso, con la circunstancia puesta de manifiesto por la sucesora procesal en su escrito de alegaciones de que no están determinados los herederos del recurrente por no haber finalizado el proceso sucesorio seguido al efecto en el Reino Unido y, por tanto, que ni siquiera están determinados subjetivamente los obligados al pago.</w:t>
      </w:r>
    </w:p>
    <w:p w:rsidR="0033382B" w:rsidRDefault="0033382B" w:rsidP="0033382B">
      <w:pPr>
        <w:pStyle w:val="TextoNormal"/>
      </w:pPr>
    </w:p>
    <w:p w:rsidR="0033382B" w:rsidRDefault="0033382B" w:rsidP="0033382B">
      <w:pPr>
        <w:pStyle w:val="TextoNormal"/>
      </w:pPr>
      <w:r>
        <w:t>En estas concretas circunstancias en que resultan indeterminados los perjuicios alegados y, propiamente, también resulta indeterminada la concreta persona o personas respecto de las que debería predicarse la irreparabilidad de un eventual perjuicio, este Tribunal no puede acceder a la suspensión solicitada por insuficiente acreditación de la concurrencia de sus presupuestos materiales.</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Denegar la suspensión solicitada.</w:t>
      </w:r>
    </w:p>
    <w:p w:rsidR="0033382B" w:rsidRDefault="0033382B" w:rsidP="0033382B">
      <w:pPr>
        <w:pStyle w:val="TextoNormal"/>
      </w:pPr>
    </w:p>
    <w:p w:rsidR="0033382B" w:rsidRDefault="0033382B" w:rsidP="0033382B">
      <w:pPr>
        <w:pStyle w:val="TextoNormal"/>
      </w:pPr>
      <w:r>
        <w:t>Madrid, a uno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45" w:name="AUTO_2016_18"/>
      <w:r>
        <w:t>AUTO 18/2016, de 1 de febrero de 2016</w:t>
      </w:r>
    </w:p>
    <w:bookmarkEnd w:id="145"/>
    <w:p w:rsidR="0033382B" w:rsidRDefault="0033382B" w:rsidP="0033382B">
      <w:pPr>
        <w:pStyle w:val="TtuloResolucin"/>
      </w:pPr>
      <w:r>
        <w:t>Sala Primera</w:t>
      </w:r>
    </w:p>
    <w:p w:rsidR="0033382B" w:rsidRDefault="0033382B" w:rsidP="0033382B">
      <w:pPr>
        <w:pStyle w:val="TextoNormalCentrado"/>
      </w:pPr>
      <w:r>
        <w:t>ECLI:ES:TC:2016:18A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don Andrés Ollero Tassara, don Santiago Martínez-Vares García y don Juan Antonio Xiol Ríos.</w:t>
      </w:r>
    </w:p>
    <w:p w:rsidR="0033382B" w:rsidRDefault="0033382B" w:rsidP="0033382B">
      <w:pPr>
        <w:pStyle w:val="SntesisDescriptiva"/>
      </w:pPr>
    </w:p>
    <w:p w:rsidR="0033382B" w:rsidRDefault="0033382B" w:rsidP="0033382B">
      <w:pPr>
        <w:pStyle w:val="SntesisDescriptiva"/>
      </w:pPr>
      <w:r>
        <w:t>Declara que no se ha producido funcionamiento anormal en la tramitación del recurso de amparo 7023-2014, promovido por don Litterio Tudisco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1 de octubre de 2015 la Procuradora de los Tribunales doña Eloísa García Martín en nombre y representación de don Litterio Tudisco, bajo la dirección letrada de don Miquel Nadal Borras, presenta escrito solicitando que este Tribunal dicte resolución por la que declare expresamente un funcionamiento anormal por dilaciones indebidas en la tramitación del recurso de amparo núm. 7023-2014 promovido en su día por su representado.</w:t>
      </w:r>
    </w:p>
    <w:p w:rsidR="0033382B" w:rsidRDefault="0033382B" w:rsidP="0033382B">
      <w:pPr>
        <w:pStyle w:val="TextoNormal"/>
      </w:pPr>
    </w:p>
    <w:p w:rsidR="0033382B" w:rsidRDefault="0033382B" w:rsidP="0033382B">
      <w:pPr>
        <w:pStyle w:val="TextoNormal"/>
      </w:pPr>
      <w:r w:rsidRPr="0033382B">
        <w:rPr>
          <w:rStyle w:val="NumeroAFNegritaCaracter"/>
        </w:rPr>
        <w:t>2</w:t>
      </w:r>
      <w:r>
        <w:t>. Esa petición tiene su origen en los siguientes antecedentes:</w:t>
      </w:r>
    </w:p>
    <w:p w:rsidR="0033382B" w:rsidRDefault="0033382B" w:rsidP="0033382B">
      <w:pPr>
        <w:pStyle w:val="TextoNormal"/>
      </w:pPr>
    </w:p>
    <w:p w:rsidR="0033382B" w:rsidRDefault="0033382B" w:rsidP="0033382B">
      <w:pPr>
        <w:pStyle w:val="TextoNormal"/>
      </w:pPr>
      <w:r>
        <w:t>a) El 21 de noviembre de 2014 tiene entrada en el Registro General del Tribunal Constitucional escrito por el que don Litterio Tudisco, bajo la dirección letrada de don Miquel Nadal Borras, “prepara y/o anuncia” el recurso de amparo contra el Auto de la Sala de lo Civil y Penal del Tribunal Superior de Justicia de Cataluña de 10 de noviembre de 2014 dictado en el recurso de casación núm. 93-2013 y contra la Sentencia núm. 399/2013 de la Sección Duodécima de la Audiencia Provincial de Barcelona de 29 de mayo de 2013 en el rollo de apelación núm. 306-2012.</w:t>
      </w:r>
    </w:p>
    <w:p w:rsidR="0033382B" w:rsidRDefault="0033382B" w:rsidP="0033382B">
      <w:pPr>
        <w:pStyle w:val="TextoNormal"/>
      </w:pPr>
    </w:p>
    <w:p w:rsidR="0033382B" w:rsidRDefault="0033382B" w:rsidP="0033382B">
      <w:pPr>
        <w:pStyle w:val="TextoNormal"/>
      </w:pPr>
      <w:r>
        <w:t>b) Por diligencia de ordenación de 26 de noviembre de 2014 el Secretario de Justicia de la Sala Primera del Tribunal Constitucional tiene por recibido el anterior escrito y, de conformidad con lo establecido en la Ley 1/1996, de asistencia jurídica gratuita, acuerda librar despacho al Colegio de Procuradores de Madrid, para que se designe al recurrente Procurador del turno de oficio.</w:t>
      </w:r>
    </w:p>
    <w:p w:rsidR="0033382B" w:rsidRDefault="0033382B" w:rsidP="0033382B">
      <w:pPr>
        <w:pStyle w:val="TextoNormal"/>
      </w:pPr>
    </w:p>
    <w:p w:rsidR="0033382B" w:rsidRDefault="0033382B" w:rsidP="0033382B">
      <w:pPr>
        <w:pStyle w:val="TextoNormal"/>
      </w:pPr>
      <w:r>
        <w:t>c) El 7 de enero de 2015 tiene entrada en el Registro General del Tribunal Constitucional escrito por el que el Ilustre Colegio de Procuradores de Madrid comunica la designación de la Procuradora doña Eloísa García Martín para representar a don Litterio Tudisco ante el Tribunal Constitucional.</w:t>
      </w:r>
    </w:p>
    <w:p w:rsidR="0033382B" w:rsidRDefault="0033382B" w:rsidP="0033382B">
      <w:pPr>
        <w:pStyle w:val="TextoNormal"/>
      </w:pPr>
    </w:p>
    <w:p w:rsidR="0033382B" w:rsidRDefault="0033382B" w:rsidP="0033382B">
      <w:pPr>
        <w:pStyle w:val="TextoNormal"/>
      </w:pPr>
      <w:r>
        <w:t>d) Por diligencia de ordenación de 8 de enero de 2015 el Secretario de Justicia de la Sala Primera del Tribunal Constitucional se tiene por recibido despacho del Colegio de Procuradores de Madrid por el que se participa corresponde la designación en turno de oficio a la Procuradora doña Eloísa García Martín y se concede un plazo de 30 días para la formulación de la correspondiente demanda de amparo.</w:t>
      </w:r>
    </w:p>
    <w:p w:rsidR="0033382B" w:rsidRDefault="0033382B" w:rsidP="0033382B">
      <w:pPr>
        <w:pStyle w:val="TextoNormal"/>
      </w:pPr>
    </w:p>
    <w:p w:rsidR="0033382B" w:rsidRDefault="0033382B" w:rsidP="0033382B">
      <w:pPr>
        <w:pStyle w:val="TextoNormal"/>
      </w:pPr>
      <w:r>
        <w:t>e) El 21 de enero de 2015 tiene entrada en el Registro General del Tribunal, escrito de don Litterio Tudisco suscrito por el Abogado don Miquel Nadal Borras por el que se interpone recurso de amparo contra las resoluciones judiciales precitadas.</w:t>
      </w:r>
    </w:p>
    <w:p w:rsidR="0033382B" w:rsidRDefault="0033382B" w:rsidP="0033382B">
      <w:pPr>
        <w:pStyle w:val="TextoNormal"/>
      </w:pPr>
    </w:p>
    <w:p w:rsidR="0033382B" w:rsidRDefault="0033382B" w:rsidP="0033382B">
      <w:pPr>
        <w:pStyle w:val="TextoNormal"/>
      </w:pPr>
      <w:r>
        <w:t>f) Por diligencia de 22 de enero de 2015 el Secretario de Justicia de la Sala Primera del Tribunal Constitucional tiene por recibido el precedente escrito.</w:t>
      </w:r>
    </w:p>
    <w:p w:rsidR="0033382B" w:rsidRDefault="0033382B" w:rsidP="0033382B">
      <w:pPr>
        <w:pStyle w:val="TextoNormal"/>
      </w:pPr>
    </w:p>
    <w:p w:rsidR="0033382B" w:rsidRDefault="0033382B" w:rsidP="0033382B">
      <w:pPr>
        <w:pStyle w:val="TextoNormal"/>
      </w:pPr>
      <w:r>
        <w:t>g) Por providencia de 17 de septiembre de 2015, notificada a la representación del demandante el 21 del mismo mes, la Sección acuerda inadmitir el recurso por falta agotamiento por defectuosa interposición de recurso de casación y extraordinario de infracción procesal [art. 50.1 a) de la Ley Orgánica del Tribunal Constitucional: LOTC].</w:t>
      </w:r>
    </w:p>
    <w:p w:rsidR="0033382B" w:rsidRDefault="0033382B" w:rsidP="0033382B">
      <w:pPr>
        <w:pStyle w:val="TextoNormal"/>
      </w:pPr>
    </w:p>
    <w:p w:rsidR="0033382B" w:rsidRDefault="0033382B" w:rsidP="0033382B">
      <w:pPr>
        <w:pStyle w:val="TextoNormal"/>
      </w:pPr>
      <w:r w:rsidRPr="0033382B">
        <w:rPr>
          <w:rStyle w:val="NumeroAFNegritaCaracter"/>
        </w:rPr>
        <w:t>3</w:t>
      </w:r>
      <w:r>
        <w:t>. El escrito presentado por la representación de don Litterio Tudisco el 1 de octubre de 2015 solicita la declaración de funcionamiento anormal en la tramitación de su recurso de amparo en virtud del art. 139.5 de la Ley 30/1992, de 26 de noviembre, de régimen jurídico de las Administraciones públicas y del procedimiento administrativo común. A juicio del recurrente, el Tribunal Constitucional habría incurrido en dilaciones indebidas al tardar más de nueve meses en tramitar el recurso de amparo desde su formalización el 21 de enero de 2015 hasta la notificación de la providencia de inadmisión el 21 de septiembre de 2015. Teniendo en cuenta que la Ley Orgánica del Tribunal Constitucional no exige la motivación de la indicada providencia, resultaría evidente que el tiempo transcurrido sería excesivo; exceso que habría causado perjuicios al recurrente al retrasar la interposición del correspondiente recurso ante el Tribunal Europeo de Derechos Humanos. Añade que el Tribunal Constitucional debería declarar su anormal funcionamiento en dos meses a la vista de que tal es el plazo que el Real Decreto 429/1993, de 26 de marzo, concede para emitir dictamen sobre reclamaciones de responsabilidad patrimonial dirigidas contra Administraciones públicas.</w:t>
      </w:r>
    </w:p>
    <w:p w:rsidR="0033382B" w:rsidRDefault="0033382B" w:rsidP="0033382B">
      <w:pPr>
        <w:pStyle w:val="TextoNormal"/>
      </w:pPr>
    </w:p>
    <w:p w:rsidR="0033382B" w:rsidRDefault="0033382B" w:rsidP="0033382B">
      <w:pPr>
        <w:pStyle w:val="TextoNormal"/>
      </w:pPr>
      <w:r w:rsidRPr="0033382B">
        <w:rPr>
          <w:rStyle w:val="NumeroAFNegritaCaracter"/>
        </w:rPr>
        <w:t>4</w:t>
      </w:r>
      <w:r>
        <w:t>. La Sala Primera, por providencia de 11 de noviembre de 2015, acuerda formar pieza separada jurisdiccional para resolver la presente solicitud y conceder al Ministerio Fiscal y al Abogado del Estado, previo traslado del citado escrito, un plazo de diez días para que puedan personarse en esta pieza separada y presentar las alegaciones que estimen convenientes.</w:t>
      </w:r>
    </w:p>
    <w:p w:rsidR="0033382B" w:rsidRDefault="0033382B" w:rsidP="0033382B">
      <w:pPr>
        <w:pStyle w:val="TextoNormal"/>
      </w:pPr>
    </w:p>
    <w:p w:rsidR="0033382B" w:rsidRDefault="0033382B" w:rsidP="0033382B">
      <w:pPr>
        <w:pStyle w:val="TextoNormal"/>
      </w:pPr>
      <w:r w:rsidRPr="0033382B">
        <w:rPr>
          <w:rStyle w:val="NumeroAFNegritaCaracter"/>
        </w:rPr>
        <w:t>5</w:t>
      </w:r>
      <w:r>
        <w:t>. El 25 de noviembre de 2015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(AATC 194/2010 y 209/2014). Descarta después la concurrencia de tal anormal funcionamiento por las siguientes razones: el examen de admisibilidad no se reduce a la apreciación rutinaria de una causa de inadmisión porque conlleva una carga de trabajo para la que no sirve de medida la mayor o menor extensión de la providencia (AATC 194/2010 y 209/2014); el número de recursos de amparo presentados sigue siendo muy abultado; y el demandante en ningún momento presentó escritos dirigidos a denunciar una posible dilación indebida por parte del Tribunal Constitucional; no se dan las circunstancias que han llevado en otro caso a apreciar la anormalidad del funcionamiento del Tribunal (extravío del recurso de amparo, escritos reiterados del demandante solicitando la reactividad del recurso y retraso de treinta meses entre la solicitud y la reconstrucción del expediente).</w:t>
      </w:r>
    </w:p>
    <w:p w:rsidR="0033382B" w:rsidRDefault="0033382B" w:rsidP="0033382B">
      <w:pPr>
        <w:pStyle w:val="TextoNormal"/>
      </w:pPr>
    </w:p>
    <w:p w:rsidR="0033382B" w:rsidRDefault="0033382B" w:rsidP="0033382B">
      <w:pPr>
        <w:pStyle w:val="TextoNormal"/>
      </w:pPr>
      <w:r w:rsidRPr="0033382B">
        <w:rPr>
          <w:rStyle w:val="NumeroAFNegritaCaracter"/>
        </w:rPr>
        <w:t>6</w:t>
      </w:r>
      <w:r>
        <w:t>. El 3 de diciembre de 2015 el Fiscal ante el Tribunal Constitucional presenta escrito por el que considera rechazable la solicitud de declaración de funcionamiento anormal. Tras recordar la doctrina constitucional al respecto (ATC 194/2010), afirma que el recurrente sólo ha denunciado las supuestas dilaciones indebidas tras la providencia de inadmisión, incumpliendo el deber de cooperación con el Tribunal Constitucional. Además, el tiempo transcurrido no puede considerarse como un plazo no razonable teniendo en cuenta la propia naturaleza de esa resolución y la media que el Tribunal emplea en poder resolver los numerosos recursos de amparo presentados ante el mismo cada año (ATC 12/2014, de 5 de mayo).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objeto de esta resolución es realizar una declaración sobre la existencia de un eventual funcionamiento anormal del Tribunal Constitucional en la tramitación del recurso de amparo núm. 7023-2014.</w:t>
      </w:r>
    </w:p>
    <w:p w:rsidR="0033382B" w:rsidRDefault="0033382B" w:rsidP="0033382B">
      <w:pPr>
        <w:pStyle w:val="TextoNormal"/>
      </w:pPr>
    </w:p>
    <w:p w:rsidR="0033382B" w:rsidRDefault="0033382B" w:rsidP="0033382B">
      <w:pPr>
        <w:pStyle w:val="TextoNormal"/>
      </w:pPr>
      <w:r w:rsidRPr="0033382B">
        <w:rPr>
          <w:rStyle w:val="NumeroAFNegritaCaracter"/>
        </w:rPr>
        <w:t>2</w:t>
      </w:r>
      <w:r>
        <w:t>. Conforme al art. 139.5 de la Ley 30/1992, de 26 de noviembre, de régimen jurídico de las Administraciones públicas y del procedimiento administrativo común (LPC), en la redacción dada por la Ley 13/2009, de 3 de noviembre,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la responsabilidad sobre la que debemos pronunciarnos necesariamente y con carácter previo a través de una declaración de carácter jurisdiccional (entre otros, AATC 120/2012, de 6 de junio, y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0033382B" w:rsidRDefault="0033382B" w:rsidP="0033382B">
      <w:pPr>
        <w:pStyle w:val="TextoNormal"/>
      </w:pPr>
    </w:p>
    <w:p w:rsidR="0033382B" w:rsidRDefault="0033382B" w:rsidP="0033382B">
      <w:pPr>
        <w:pStyle w:val="TextoNormal"/>
      </w:pPr>
      <w:r>
        <w:t>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y otros criterios como la complejidad del litigio, los márgenes ordinarios de duración en supuestos del mismo tipo o el interés que en aquél arriesga el demandante de amparo, su conducta procesal y la de las autoridades. En aplicación de esta doctrina, se ha descartado en varias ocasiones la existencia de anormal funcionamiento por el tiempo transcurrido desde que este Tribunal estuvo en condiciones de pronunciarse sobre la admisibilidad del recurso de amparo y la fecha en que se notificó la providencia de inadmisión (AATC 194/2010, de 2 de diciembre; 126/2014, de 5 de mayo; 127/2014, de 5 de mayo; 151/2014, de 9 de junio; 171/2014, de 23 de junio; 172/2014, de 23 de junio, 173/2014, de 23 de junio; 209/2014, de 8 de septiembre, y 296/2014, de 15 de diciembre).</w:t>
      </w:r>
    </w:p>
    <w:p w:rsidR="0033382B" w:rsidRDefault="0033382B" w:rsidP="0033382B">
      <w:pPr>
        <w:pStyle w:val="TextoNormal"/>
      </w:pPr>
    </w:p>
    <w:p w:rsidR="0033382B" w:rsidRDefault="0033382B" w:rsidP="0033382B">
      <w:pPr>
        <w:pStyle w:val="TextoNormal"/>
      </w:pPr>
      <w:r>
        <w:t>En el presente asunto, la sola consideración del tiempo empleado para adoptar la providencia de inadmisión permite descartar la concurrencia de un funcionamiento anormal sin necesidad de entrar a valorar circunstancias tales como la dificultad de entrever el perjuicio efectivo que el actual solicitante habría dejado de padecer con un pronunciamiento de inadmisión más temprano; que éste no denunciara antes de la inadmisión las supuestas dilaciones indebidas y lo hiciera sólo después; o que, tras un lustro de reducción constante del número de nuevos asuntos ingresados en este Tribunal (desde 2006, cuando alcanzó el máximo de 11.741, hasta el 2011, cuando esa cifra bajó a los 7.192), se haya invertido la tendencia en los años 2013 y 2014 (7.573 y 7.663 asuntos nuevos, respectivamente), tal como resulta de las memorias anuales elaboradas por este Tribunal.</w:t>
      </w:r>
    </w:p>
    <w:p w:rsidR="0033382B" w:rsidRDefault="0033382B" w:rsidP="0033382B">
      <w:pPr>
        <w:pStyle w:val="TextoNormal"/>
      </w:pPr>
    </w:p>
    <w:p w:rsidR="0033382B" w:rsidRDefault="0033382B" w:rsidP="0033382B">
      <w:pPr>
        <w:pStyle w:val="TextoNormal"/>
      </w:pPr>
      <w:r>
        <w:t>El transcurso de tiempo desde la entrada en el Registro General de este Tribunal de la demanda de amparo hasta la notificación de la providencia de inadmisión entra dentro de los márgenes temporales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en un estudio pormenorizado de requisitos procesales y sustantivos (art. 50.1 LOTC) que a menudo alcanza al fondo de la verosimilitud de las lesiones aducidas (ATC 194/2010, FJ 2), como ha ocurrido en el presente caso. Ello supone una carga de trabajo para la que no sirve de medida la mayor o menor extensión de la providencia de admisión o de inadmisión en que se traduzca su resultado; su realización en el tiempo indicado en modo alguno puede reputarse injustificada o expresión de un anormal funcionamiento del Tribunal Constitucional.</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Declarar que no se ha producido funcionamiento anormal en la tramitación del recurso de amparo núm. 7023-2014.</w:t>
      </w:r>
    </w:p>
    <w:p w:rsidR="0033382B" w:rsidRDefault="0033382B" w:rsidP="0033382B">
      <w:pPr>
        <w:pStyle w:val="TextoNormal"/>
      </w:pPr>
    </w:p>
    <w:p w:rsidR="0033382B" w:rsidRDefault="0033382B" w:rsidP="0033382B">
      <w:pPr>
        <w:pStyle w:val="TextoNormal"/>
      </w:pPr>
      <w:r>
        <w:t>Madrid, a uno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46" w:name="AUTO_2016_19"/>
      <w:r>
        <w:t>AUTO 19/2016, de 1 de febrero de 2016</w:t>
      </w:r>
    </w:p>
    <w:bookmarkEnd w:id="146"/>
    <w:p w:rsidR="0033382B" w:rsidRDefault="0033382B" w:rsidP="0033382B">
      <w:pPr>
        <w:pStyle w:val="TtuloResolucin"/>
      </w:pPr>
      <w:r>
        <w:t>Sala Primera</w:t>
      </w:r>
    </w:p>
    <w:p w:rsidR="0033382B" w:rsidRDefault="0033382B" w:rsidP="0033382B">
      <w:pPr>
        <w:pStyle w:val="TextoNormalCentrado"/>
      </w:pPr>
      <w:r>
        <w:t>ECLI:ES:TC:2016:19A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don Andrés Ollero Tassara, don Santiago Martínez-Vares García y don Juan Antonio Xiol Ríos.</w:t>
      </w:r>
    </w:p>
    <w:p w:rsidR="0033382B" w:rsidRDefault="0033382B" w:rsidP="0033382B">
      <w:pPr>
        <w:pStyle w:val="SntesisDescriptiva"/>
      </w:pPr>
    </w:p>
    <w:p w:rsidR="0033382B" w:rsidRDefault="0033382B" w:rsidP="0033382B">
      <w:pPr>
        <w:pStyle w:val="SntesisDescriptiva"/>
      </w:pPr>
      <w:r>
        <w:t>Deniega la suspensión en el recurso de amparo 442-2015, promovido por don Christopher Frank Carandini Lee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23 de enero de 2015, el Procurador de los Tribunales don Antonio Ortega Fuentes, en nombre y representación de don Christopher Frank Carandini Lee, y bajo la dirección de los Letrados don Andrés Reina Agero y don Ignacio Laín Corona, interpuso recurso de amparo contra el Auto del Juzgado de lo Mercantil núm. 1 de Burgos de 3 de junio de 2014, que deniega la petición de revocación de la certificación de título ejecutivo europeo en relación con el Auto de 26 de octubre de 2009, recaído en el procedimiento de ejecución de títulos judiciales núm. 695-2009, en que se acordaba despachar ejecución, entre otros extremos, por la cantidad de 710.000 € a cuyo pago había sido condenado solidariamente el recurrente por sentencia; y asimismo, contra el Auto de 31 de julio de 2014, que desestima el recurso de reposición formulado contra el anterior, y tras el que se dictó Auto de 2 de diciembre de 2014, por el que se desestima el incidente de nulidad de actuaciones presentado.</w:t>
      </w:r>
    </w:p>
    <w:p w:rsidR="0033382B" w:rsidRDefault="0033382B" w:rsidP="0033382B">
      <w:pPr>
        <w:pStyle w:val="TextoNormal"/>
      </w:pPr>
    </w:p>
    <w:p w:rsidR="0033382B" w:rsidRDefault="0033382B" w:rsidP="0033382B">
      <w:pPr>
        <w:pStyle w:val="TextoNormal"/>
      </w:pPr>
      <w:r>
        <w:t xml:space="preserve">En la demanda de amparo se solicita por otrosí la suspensión de la ejecutividad del certificado de título ejecutivo europeo que constituye el objeto de las resoluciones judiciales impugnadas, argumentando que su ejecución produce un perjuicio irreparable ya que la propia naturaleza de título ejecutivo europeo, emitido al amparo del Reglamento (CE) núm. 805-2004 del Parlamento Europeo y del Consejo, de 21 de abril de 2004, por el que se establece un título ejecutivo europeo para créditos no impugnados, implica la posibilidad de que de forma automática y sin necesidad de </w:t>
      </w:r>
      <w:r w:rsidRPr="0033382B">
        <w:rPr>
          <w:i/>
        </w:rPr>
        <w:t>exequatur</w:t>
      </w:r>
      <w:r>
        <w:t xml:space="preserve"> o reconocimiento judicial se ejecute en el Reino Unido, lo que obligaría al recurrente a ejercitar una acción tendente a recuperar el dinero abonado en caso de estimarse el recurso de amparo, con el consiguiente riesgo de una eventual imposibilidad de recuperar dicha cantidad. Igualmente, se argumenta la irreparabilidad del perjuicio vinculada a la elevada cuantía de la cantidad a abonar y la avanzada edad del recurrente.</w:t>
      </w:r>
    </w:p>
    <w:p w:rsidR="0033382B" w:rsidRDefault="0033382B" w:rsidP="0033382B">
      <w:pPr>
        <w:pStyle w:val="TextoNormal"/>
      </w:pPr>
    </w:p>
    <w:p w:rsidR="0033382B" w:rsidRDefault="0033382B" w:rsidP="0033382B">
      <w:pPr>
        <w:pStyle w:val="TextoNormal"/>
      </w:pPr>
      <w:r w:rsidRPr="0033382B">
        <w:rPr>
          <w:rStyle w:val="NumeroAFNegritaCaracter"/>
        </w:rPr>
        <w:t>2</w:t>
      </w:r>
      <w:r>
        <w:t>. El Secretario de Justicia de la Sección Primera de este Tribunal, mediante diligencia de ordenación de 1 de julio de 2015, tuvo por sustituida procesalmente a doña Birgit Lee respecto del recurrente, con motivo de su fallecimiento.</w:t>
      </w:r>
    </w:p>
    <w:p w:rsidR="0033382B" w:rsidRDefault="0033382B" w:rsidP="0033382B">
      <w:pPr>
        <w:pStyle w:val="TextoNormal"/>
      </w:pPr>
    </w:p>
    <w:p w:rsidR="0033382B" w:rsidRDefault="0033382B" w:rsidP="0033382B">
      <w:pPr>
        <w:pStyle w:val="TextoNormal"/>
      </w:pPr>
      <w:r w:rsidRPr="0033382B">
        <w:rPr>
          <w:rStyle w:val="NumeroAFNegritaCaracter"/>
        </w:rPr>
        <w:t>3</w:t>
      </w:r>
      <w:r>
        <w:t>. La Sala Primera de este Tribunal, por providencia de 30 de noviembre de 2015, acordó la admisión a trámite de la demanda de amparo; y también por providencia de la misma fecha acordó la formación de pieza separada para la tramitación del incidente sobre la suspensión solicitada, concediendo al recurrente y al Ministerio Fiscal el plazo común de tres días para que alegasen lo que estimasen pertinente sobre la suspensión.</w:t>
      </w:r>
    </w:p>
    <w:p w:rsidR="0033382B" w:rsidRDefault="0033382B" w:rsidP="0033382B">
      <w:pPr>
        <w:pStyle w:val="TextoNormal"/>
      </w:pPr>
    </w:p>
    <w:p w:rsidR="0033382B" w:rsidRDefault="0033382B" w:rsidP="0033382B">
      <w:pPr>
        <w:pStyle w:val="TextoNormal"/>
      </w:pPr>
      <w:r w:rsidRPr="0033382B">
        <w:rPr>
          <w:rStyle w:val="NumeroAFNegritaCaracter"/>
        </w:rPr>
        <w:t>4</w:t>
      </w:r>
      <w:r>
        <w:t>. La recurrente por sucesión procesal, por escrito registrado el 9 de diciembre de 2015, presentó alegaciones reiterando íntegramente lo expuesto en su demanda de amparo en relación con la pérdida de la finalidad del amparo, incluyendo la circunstancia de que sigue concurriendo, al igual que en el demandante originario, una avanzada edad en su viuda (sucesora procesal). También se refiere en el escrito al “hecho evidente de que en la sucesión de la parte fallecida ha de estarse a lo que resulte del proceso sucesorio que se insta por los familiares del fallecido en el Reino Unido y conforme a la legislación nacional que le es de aplicación”. En las alegaciones se hace referencia a la inexistencia de perjuicios para la contraparte, afirmando que la cantidad reclamada lo era para el abono de un lucro cesante y la suspensión se pide solo de manera parcial en relación con uno de los obligados al pago (el demandante de amparo). Para el caso en que se acepte la suspensión se hace ofrecimiento de constituir fianza por la cantidad de 3.000 €.</w:t>
      </w:r>
    </w:p>
    <w:p w:rsidR="0033382B" w:rsidRDefault="0033382B" w:rsidP="0033382B">
      <w:pPr>
        <w:pStyle w:val="TextoNormal"/>
      </w:pPr>
    </w:p>
    <w:p w:rsidR="0033382B" w:rsidRDefault="0033382B" w:rsidP="0033382B">
      <w:pPr>
        <w:pStyle w:val="TextoNormal"/>
      </w:pPr>
      <w:r w:rsidRPr="0033382B">
        <w:rPr>
          <w:rStyle w:val="NumeroAFNegritaCaracter"/>
        </w:rPr>
        <w:t>5</w:t>
      </w:r>
      <w:r>
        <w:t>. El Ministerio Fiscal, por escrito registrado el 18 de diciembre de 2015, presentó alegaciones en las que, enunciando la jurisprudencia de este Tribunal sobre el particular, interesó que se denegara la suspensión, argumentando que, a pesar de la alta cuantía de la cantidad reclamada, en ningún momento se ha justificado el carácter irreversible del perjuicio ni se razona en qué forma su abono le ocasionaría un grave quebranto en atención a su situación económico-financiera. Asimismo indica que tampoco el resto de circunstancias alegadas en la demanda, como la edad avanzada y el estado de salud del demandante de amparo, resultan relevantes para apreciar la irreparabilidad del perjuicio, como presupuesto material esencial para conceder la suspensión.</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Por su parte, el art. 56.3 LOTC establece que se podrá “adoptar cualesquiera medidas cautelares y resoluciones provisionales previstas en el ordenamiento, que, por su naturaleza, puedan aplicarse en el proceso de amparo y tiendan a evitar que el recurso pierda su finalidad”.</w:t>
      </w:r>
    </w:p>
    <w:p w:rsidR="0033382B" w:rsidRDefault="0033382B" w:rsidP="0033382B">
      <w:pPr>
        <w:pStyle w:val="TextoNormal"/>
      </w:pPr>
    </w:p>
    <w:p w:rsidR="0033382B" w:rsidRDefault="0033382B" w:rsidP="0033382B">
      <w:pPr>
        <w:pStyle w:val="TextoNormal"/>
      </w:pPr>
      <w:r>
        <w:t>En relación con la adopción de medidas cautelares en el procedimiento de amparo, este Tribunal ha declarado que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w:t>
      </w:r>
    </w:p>
    <w:p w:rsidR="0033382B" w:rsidRDefault="0033382B" w:rsidP="0033382B">
      <w:pPr>
        <w:pStyle w:val="TextoNormal"/>
      </w:pPr>
    </w:p>
    <w:p w:rsidR="0033382B" w:rsidRDefault="0033382B" w:rsidP="0033382B">
      <w:pPr>
        <w:pStyle w:val="TextoNormal"/>
      </w:pPr>
      <w:r>
        <w:t>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81/2012, de 7 de mayo, FJ 3).</w:t>
      </w:r>
    </w:p>
    <w:p w:rsidR="0033382B" w:rsidRDefault="0033382B" w:rsidP="0033382B">
      <w:pPr>
        <w:pStyle w:val="TextoNormal"/>
      </w:pPr>
    </w:p>
    <w:p w:rsidR="0033382B" w:rsidRDefault="0033382B" w:rsidP="0033382B">
      <w:pPr>
        <w:pStyle w:val="TextoNormal"/>
      </w:pPr>
      <w:r>
        <w:t>En lo que se refiere a la ejecución de los pronunciamientos con efectos fundamentalmente patrimoniales o de contenido económico, este Tribunal ha consagrado que, con carácter general, ni causa un perjuicio irreparable al obligado al pago, ni puede hacer perder al amparo su finalidad, al ser posible la restitución íntegra de lo ejecutado. De ese modo, sólo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(ATC 81/2012, FJ 2).</w:t>
      </w:r>
    </w:p>
    <w:p w:rsidR="0033382B" w:rsidRDefault="0033382B" w:rsidP="0033382B">
      <w:pPr>
        <w:pStyle w:val="TextoNormal"/>
      </w:pPr>
    </w:p>
    <w:p w:rsidR="0033382B" w:rsidRDefault="0033382B" w:rsidP="0033382B">
      <w:pPr>
        <w:pStyle w:val="TextoNormal"/>
      </w:pPr>
      <w:r w:rsidRPr="0033382B">
        <w:rPr>
          <w:rStyle w:val="NumeroAFNegritaCaracter"/>
        </w:rPr>
        <w:t>2</w:t>
      </w:r>
      <w:r>
        <w:t>. La recurrente por sucesión procesal sostiene que en este caso la no suspensión de la resolución objeto de impugnación es susceptible de generar un perjuicio irreparable que pudiera hacer perder al amparo su finalidad en caso de una eventual estimación argumentando, por un lado, que, aun tratándose de una resolución con meros efectos económicos, la irreparabilidad del perjuicio se derivaría de su alta cuantía y la avanzada edad de la sucesora procesal; y, por otro, que se trata de un certificado de título ejecutivo europeo, emitido al amparo del Reglamento (CE) núm. 805-2004 del Parlamento Europeo y del Consejo, de 21 de abril de 2004, por el que se establece un título ejecutivo europeo para créditos no impugnados, que por su propio carácter está destinado a desplegar sus efectos fuera del ámbito de la jurisdicción de este Tribunal Constitucional, de modo tal que una eventual estimación del amparo, una vez ejecutado en el exterior, no permitiera retrotraer los efectos de pérdida patrimonial provocados.</w:t>
      </w:r>
    </w:p>
    <w:p w:rsidR="0033382B" w:rsidRDefault="0033382B" w:rsidP="0033382B">
      <w:pPr>
        <w:pStyle w:val="TextoNormal"/>
      </w:pPr>
    </w:p>
    <w:p w:rsidR="0033382B" w:rsidRDefault="0033382B" w:rsidP="0033382B">
      <w:pPr>
        <w:pStyle w:val="TextoNormal"/>
      </w:pPr>
      <w:r w:rsidRPr="0033382B">
        <w:rPr>
          <w:rStyle w:val="NumeroAFNegritaCaracter"/>
        </w:rPr>
        <w:t>3</w:t>
      </w:r>
      <w:r>
        <w:t>. El contenido de la resolución respecto del que se pide la suspensión es exclusivamente de carácter económico. Por tanto, conforme a la jurisprudencia constitucional ya reseñada, solo la concurrencia de excepcionales circunstancias vinculadas a la irreparabilidad de los perjuicios económicos que se pudieran irrogar con la ejecución y su debida acreditación justificaría una decisión de suspensión.</w:t>
      </w:r>
    </w:p>
    <w:p w:rsidR="0033382B" w:rsidRDefault="0033382B" w:rsidP="0033382B">
      <w:pPr>
        <w:pStyle w:val="TextoNormal"/>
      </w:pPr>
    </w:p>
    <w:p w:rsidR="0033382B" w:rsidRDefault="0033382B" w:rsidP="0033382B">
      <w:pPr>
        <w:pStyle w:val="TextoNormal"/>
      </w:pPr>
      <w:r>
        <w:t>En el presente caso, sin embargo, tal como destaca el Ministerio Fiscal en su informe, más allá del hecho objetivo de la alta cuantía de la cantidad a abonar, no se ha desarrollado ni el más mínimo esfuerzo argumental para poner de manifiesto a este Tribunal cómo repercutiría su ejecución en el patrimonio del obligado al pago. Esa situación de indeterminación de los eventuales perjuicios se ve ahora agravada, incluso, con la circunstancia puesta de manifiesto por la sucesora procesal en su escrito de alegaciones de que no están determinados los herederos del recurrente por no haber finalizado el proceso sucesorio seguido al efecto en el Reino Unido y, por tanto, que ni siquiera están determinados subjetivamente los obligados al pago.</w:t>
      </w:r>
    </w:p>
    <w:p w:rsidR="0033382B" w:rsidRDefault="0033382B" w:rsidP="0033382B">
      <w:pPr>
        <w:pStyle w:val="TextoNormal"/>
      </w:pPr>
    </w:p>
    <w:p w:rsidR="0033382B" w:rsidRDefault="0033382B" w:rsidP="0033382B">
      <w:pPr>
        <w:pStyle w:val="TextoNormal"/>
      </w:pPr>
      <w:r>
        <w:t xml:space="preserve">Por otra parte, y en relación con la irreparabilidad por la irreversibilidad de una eventual pérdida patrimonial propiciada por el efecto ejecutivo extraterritorial de la resolución impugnada, hay que poner de manifiesto que tampoco se cumple la carga procesal de aportar a este Tribunal la acreditación de extremos relevantes para apreciar el </w:t>
      </w:r>
      <w:r w:rsidRPr="0033382B">
        <w:rPr>
          <w:i/>
        </w:rPr>
        <w:t>periculum in mora</w:t>
      </w:r>
      <w:r>
        <w:t xml:space="preserve"> propio de toda medida cautelar. Así, no se acredita el efectivo intento de hacer valer el certificado del título ejecutivo europeo en el Reino Unido por parte del acreedor o los eventuales efectos que sobre el procedimiento de ejecución que hubiera podido comenzar haya tenido el fallecimiento del recurrente y la prosecución del proceso sucesorio. Y todo ello al margen de que, al haber sido admitido a trámite este recurso de amparo, así como el recurso de amparo núm. 4657-2014, en relación con el contenido del Auto cuya certificación es objeto del presente recurso, pudiera ser considerada la resolución certificada como impugnada a los efectos del art. 23 del Reglamento (CE) núm. 805.2004, desplegando </w:t>
      </w:r>
      <w:r w:rsidRPr="0033382B">
        <w:rPr>
          <w:i/>
        </w:rPr>
        <w:t>ex lege</w:t>
      </w:r>
      <w:r>
        <w:t xml:space="preserve"> los efectos de suspensión o limitación previstos en dicho artículo en el Estado de ejecución.</w:t>
      </w:r>
    </w:p>
    <w:p w:rsidR="0033382B" w:rsidRDefault="0033382B" w:rsidP="0033382B">
      <w:pPr>
        <w:pStyle w:val="TextoNormal"/>
      </w:pPr>
    </w:p>
    <w:p w:rsidR="0033382B" w:rsidRDefault="0033382B" w:rsidP="0033382B">
      <w:pPr>
        <w:pStyle w:val="TextoNormal"/>
      </w:pPr>
      <w:r>
        <w:t>En estas concretas circunstancias en que resultan indeterminados los perjuicios económicos alegados, la concreta persona o personas respecto de las que debería predicarse la irreparabilidad de un eventual perjuicio, así como el intento mismo de ejecutarse la certificación impugnada, este Tribunal no puede acceder a la suspensión solicitada por insuficiente acreditación de la concurrencia de sus presupuestos materiales.</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Denegar la suspensión solicitada.</w:t>
      </w:r>
    </w:p>
    <w:p w:rsidR="0033382B" w:rsidRDefault="0033382B" w:rsidP="0033382B">
      <w:pPr>
        <w:pStyle w:val="TextoNormal"/>
      </w:pPr>
    </w:p>
    <w:p w:rsidR="0033382B" w:rsidRDefault="0033382B" w:rsidP="0033382B">
      <w:pPr>
        <w:pStyle w:val="TextoNormal"/>
      </w:pPr>
      <w:r>
        <w:t>Madrid, a uno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47" w:name="AUTO_2016_20"/>
      <w:r>
        <w:t>AUTO 20/2016, de 1 de febrero de 2016</w:t>
      </w:r>
    </w:p>
    <w:bookmarkEnd w:id="147"/>
    <w:p w:rsidR="0033382B" w:rsidRDefault="0033382B" w:rsidP="0033382B">
      <w:pPr>
        <w:pStyle w:val="TtuloResolucin"/>
      </w:pPr>
      <w:r>
        <w:t>Sección Segunda</w:t>
      </w:r>
    </w:p>
    <w:p w:rsidR="0033382B" w:rsidRDefault="0033382B" w:rsidP="0033382B">
      <w:pPr>
        <w:pStyle w:val="TextoNormalCentrado"/>
      </w:pPr>
      <w:r>
        <w:t>ECLI:ES:TC:2016:20A</w:t>
      </w:r>
    </w:p>
    <w:p w:rsidR="0033382B" w:rsidRDefault="0033382B" w:rsidP="0033382B">
      <w:pPr>
        <w:pStyle w:val="TextoNormalCentrado"/>
      </w:pPr>
    </w:p>
    <w:p w:rsidR="0033382B" w:rsidRDefault="0033382B" w:rsidP="0033382B">
      <w:pPr>
        <w:pStyle w:val="SntesisDescriptiva"/>
      </w:pPr>
      <w:r>
        <w:t>Excms. Srs. don Andrés Ollero Tassara y don Santiago Martínez-Vares García.</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148" w:name="AUTO_2016_21"/>
      <w:r>
        <w:t>AUTO 21/2016, de 2 de febrero de 2016</w:t>
      </w:r>
    </w:p>
    <w:bookmarkEnd w:id="148"/>
    <w:p w:rsidR="0033382B" w:rsidRDefault="0033382B" w:rsidP="0033382B">
      <w:pPr>
        <w:pStyle w:val="TtuloResolucin"/>
      </w:pPr>
      <w:r>
        <w:t>Pleno</w:t>
      </w:r>
    </w:p>
    <w:p w:rsidR="0033382B" w:rsidRDefault="0033382B" w:rsidP="0033382B">
      <w:pPr>
        <w:pStyle w:val="TextoNormalCentrado"/>
      </w:pPr>
      <w:r>
        <w:t>ECLI:ES:TC:2016:21A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951-2015, planteada por la Sala de lo Contencioso-Administrativo del Tribunal Superior de Justicia de Castilla-La Mancha en relación con varios preceptos del Real Decreto Legislativo 2/2008, de 20 de junio, por el que se aprueba el texto refundido de la Ley de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19 de febrero de 2015 tuvo entrada en el Registro General de este Tribunal un oficio de la Sección Segunda de la Sala de lo Contencioso-Administrativo del Tribunal Superior de Justicia de Castilla-La Mancha, al que se acompaña, junto al testimonio del procedimiento ordinario núm. 117-2011, el Auto de 3 de diciembre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Una persona física, propietaria de una finca afectada por el proyecto de expropiación derivado del “proyecto de singular interés Parque Industrial y Tecnológico de Illescas”, recurre en vía contencioso-administrativa la resolución del Jurado regional de valoraciones de la Junta de Comunidades de Castilla-La Mancha que fijó el justiprecio de la finca, que se encontraban en situación de rústica.</w:t>
      </w:r>
    </w:p>
    <w:p w:rsidR="0033382B" w:rsidRDefault="0033382B" w:rsidP="0033382B">
      <w:pPr>
        <w:pStyle w:val="TextoNormal"/>
      </w:pPr>
    </w:p>
    <w:p w:rsidR="0033382B" w:rsidRDefault="0033382B" w:rsidP="0033382B">
      <w:pPr>
        <w:pStyle w:val="TextoNormal"/>
      </w:pPr>
      <w:r>
        <w:t>b) Una vez concluso el procedimiento, y antes de dictar sentencia, la Sección Segunda de la Sala de lo Contencioso-Administrativo del Tribunal Superior de Justicia de Castilla-La Mancha dictó providencia de 17 de octubre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los arts. 14 y 33.3 CE en cuanto se permite al resto de los propietarios realizar su valor real.</w:t>
      </w:r>
    </w:p>
    <w:p w:rsidR="0033382B" w:rsidRDefault="0033382B" w:rsidP="0033382B">
      <w:pPr>
        <w:pStyle w:val="TextoNormal"/>
      </w:pPr>
    </w:p>
    <w:p w:rsidR="0033382B" w:rsidRDefault="0033382B" w:rsidP="0033382B">
      <w:pPr>
        <w:pStyle w:val="TextoNormal"/>
      </w:pPr>
      <w:r>
        <w:t xml:space="preserve">c) El Ministerio Fiscal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w:t>
      </w:r>
      <w:r w:rsidRPr="0033382B">
        <w:rPr>
          <w:i/>
        </w:rPr>
        <w:t>prima facie</w:t>
      </w:r>
      <w:r>
        <w:t>,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0033382B" w:rsidRDefault="0033382B" w:rsidP="0033382B">
      <w:pPr>
        <w:pStyle w:val="TextoNormal"/>
      </w:pPr>
    </w:p>
    <w:p w:rsidR="0033382B" w:rsidRDefault="0033382B" w:rsidP="0033382B">
      <w:pPr>
        <w:pStyle w:val="TextoNormal"/>
      </w:pPr>
      <w:r>
        <w:t>El Letrado de la Administración de la Junta de Comunidades de Castilla-La Mancha se opuso al planteamiento de la cuestión por lo que hace a los arts. 23.1 y 23.2 del Real Decreto Legislativo 2/2008, con el argumento de que la STC 141/2014 los había declarado constitucionales.</w:t>
      </w:r>
    </w:p>
    <w:p w:rsidR="0033382B" w:rsidRDefault="0033382B" w:rsidP="0033382B">
      <w:pPr>
        <w:pStyle w:val="TextoNormal"/>
      </w:pPr>
    </w:p>
    <w:p w:rsidR="0033382B" w:rsidRDefault="0033382B" w:rsidP="0033382B">
      <w:pPr>
        <w:pStyle w:val="TextoNormal"/>
      </w:pPr>
      <w:r>
        <w:t>La representación del actor consideró pertinente el planteamiento de la cuestión de inconstitucionalidad.</w:t>
      </w:r>
    </w:p>
    <w:p w:rsidR="0033382B" w:rsidRDefault="0033382B" w:rsidP="0033382B">
      <w:pPr>
        <w:pStyle w:val="TextoNormal"/>
      </w:pPr>
    </w:p>
    <w:p w:rsidR="0033382B" w:rsidRDefault="0033382B" w:rsidP="0033382B">
      <w:pPr>
        <w:pStyle w:val="TextoNormal"/>
      </w:pPr>
      <w:r>
        <w:t>d) La Sección Segunda de la Sala de lo Contencioso-Administrativo del Tribunal Superior de Justicia de Castilla-La Mancha dictó Auto de 3 de diciembre de 2014, por el que se acuerda plantear cuestión de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luego de referirse a los antecedentes de hecho del caso y de transcribir los preceptos cuestionados, aborda los requisitos de procedibilidad.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0033382B" w:rsidRDefault="0033382B" w:rsidP="0033382B">
      <w:pPr>
        <w:pStyle w:val="TextoNormal"/>
      </w:pPr>
    </w:p>
    <w:p w:rsidR="0033382B" w:rsidRDefault="0033382B" w:rsidP="0033382B">
      <w:pPr>
        <w:pStyle w:val="TextoNormal"/>
      </w:pPr>
      <w:r>
        <w:t>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actual legislación.</w:t>
      </w:r>
    </w:p>
    <w:p w:rsidR="0033382B" w:rsidRDefault="0033382B" w:rsidP="0033382B">
      <w:pPr>
        <w:pStyle w:val="TextoNormal"/>
      </w:pPr>
    </w:p>
    <w:p w:rsidR="0033382B" w:rsidRDefault="0033382B" w:rsidP="0033382B">
      <w:pPr>
        <w:pStyle w:val="TextoNormal"/>
      </w:pPr>
      <w:r>
        <w:t xml:space="preserve">A continuación, señala que, aunque nada hay de inconstitucional en que la ley pueda establecer unos métodos de valoración determinados u otros, “sí afirmamos que será difícilmente constitucional que de manera manifiesta impida dar con un valor real, valor que a nuestro juicio equivale a un valor que sea próximo al del mercado propio del bien de que se trate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w:t>
      </w:r>
      <w:r w:rsidRPr="0033382B">
        <w:rPr>
          <w:i/>
        </w:rPr>
        <w:t>Lightgow y otros contra Reino Unido</w:t>
      </w:r>
      <w:r>
        <w:t xml:space="preserve">—, 9 de diciembre de 1994 —caso </w:t>
      </w:r>
      <w:r w:rsidRPr="0033382B">
        <w:rPr>
          <w:i/>
        </w:rPr>
        <w:t>de los Santos Monasterios Griegos contra Grecia</w:t>
      </w:r>
      <w:r>
        <w:t xml:space="preserve">—, 4 de agosto de 2009 —caso </w:t>
      </w:r>
      <w:r w:rsidRPr="0033382B">
        <w:rPr>
          <w:i/>
        </w:rPr>
        <w:t>Perdigao contra Portugal</w:t>
      </w:r>
      <w:r>
        <w:t>—, 4 de noviembre de 2010, 9 de octubre de 2003, o 26 de abril de 2011)”.</w:t>
      </w:r>
    </w:p>
    <w:p w:rsidR="0033382B" w:rsidRDefault="0033382B" w:rsidP="0033382B">
      <w:pPr>
        <w:pStyle w:val="TextoNormal"/>
      </w:pPr>
    </w:p>
    <w:p w:rsidR="0033382B" w:rsidRDefault="0033382B" w:rsidP="0033382B">
      <w:pPr>
        <w:pStyle w:val="TextoNormal"/>
      </w:pPr>
      <w:r>
        <w:t>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0033382B" w:rsidRDefault="0033382B" w:rsidP="0033382B">
      <w:pPr>
        <w:pStyle w:val="TextoNormal"/>
      </w:pPr>
    </w:p>
    <w:p w:rsidR="0033382B" w:rsidRDefault="0033382B" w:rsidP="0033382B">
      <w:pPr>
        <w:pStyle w:val="TextoNormal"/>
      </w:pPr>
      <w:r>
        <w:t>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PSI que motiva la expropiación; y que el propio PSI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PSI declaraba. Esta es la prueba, a nuestro juicio, de que el sistema establecido por la Ley no es hábil para hallar el valor real del bien ni aun aproximadamente y que, por consiguiente, puede resultar inconstitucional”.</w:t>
      </w:r>
    </w:p>
    <w:p w:rsidR="0033382B" w:rsidRDefault="0033382B" w:rsidP="0033382B">
      <w:pPr>
        <w:pStyle w:val="TextoNormal"/>
      </w:pPr>
    </w:p>
    <w:p w:rsidR="0033382B" w:rsidRDefault="0033382B" w:rsidP="0033382B">
      <w:pPr>
        <w:pStyle w:val="TextoNormal"/>
      </w:pPr>
      <w:r>
        <w:t>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 Las expectativas urbanísticas se basan en circunstancias actuales (</w:t>
      </w:r>
      <w:r w:rsidRPr="0033382B">
        <w:rPr>
          <w:i/>
        </w:rPr>
        <w:t>vgr</w:t>
      </w:r>
      <w:r>
        <w:t>.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0033382B" w:rsidRDefault="0033382B" w:rsidP="0033382B">
      <w:pPr>
        <w:pStyle w:val="TextoNormal"/>
      </w:pPr>
    </w:p>
    <w:p w:rsidR="0033382B" w:rsidRDefault="0033382B" w:rsidP="0033382B">
      <w:pPr>
        <w:pStyle w:val="TextoNormal"/>
      </w:pPr>
      <w:r>
        <w:t>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 33.3 CE y el 14 CE”. Y sobre la constitucionalidad del régimen previsto en el art.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0033382B" w:rsidRDefault="0033382B" w:rsidP="0033382B">
      <w:pPr>
        <w:pStyle w:val="TextoNormal"/>
      </w:pPr>
    </w:p>
    <w:p w:rsidR="0033382B" w:rsidRDefault="0033382B" w:rsidP="0033382B">
      <w:pPr>
        <w:pStyle w:val="TextoNormal"/>
      </w:pPr>
      <w:r>
        <w:t>El Auto incluye un epígrafe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 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 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 25.1”.</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18 de noviembre de 2015, la Sección Primera del Tribunal Constitucional acordó oír al Fiscal General del Estado para que, en el plazo de diez días, y a los efectos que determina el art. 37.1 LOTC, alegase lo que considerase conveniente “en relación con el cumplimiento de los requisitos procesales (art. 35.2 LOTC) y por si hubiera devenido notoriamente infundada (STC 218/2015, de 22 de octubre)”.</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el 22 de diciembre de 2015, en el que desarrolla tres alegaciones distintas, partiendo en gran medida de las SSTC 141/2014 y 218/2015, que a su juicio ya han resuelto las cuestiones que en este proceso se plantean.</w:t>
      </w:r>
    </w:p>
    <w:p w:rsidR="0033382B" w:rsidRDefault="0033382B" w:rsidP="0033382B">
      <w:pPr>
        <w:pStyle w:val="TextoNormal"/>
      </w:pPr>
    </w:p>
    <w:p w:rsidR="0033382B" w:rsidRDefault="0033382B" w:rsidP="0033382B">
      <w:pPr>
        <w:pStyle w:val="TextoNormal"/>
      </w:pPr>
      <w:r>
        <w:t>Expone, en primer término, que “no se habría llevado a cabo un adecuado juicio de relevancia sobre lo que la Sala denomina otras circunstancias específicas, que no ha concretado, de las que devengan una inconstitucionalidad añadida del art. 23.1 a) del Real Decreto Legislativo 2/2008, conclusión a la que también debe alcanzar la supuesta inconstitucionalidad del art. 25.1 del Real Decreto Legislativo 2/2008, pues ningún razonamiento se aporta en el Auto de planteamiento de la cuestión de inconstitucionalidad que difiera de los que fueron expuestos en la cuestión de inconstitucionalidad que dio origen al pronunciamiento del Alto Tribunal que transcribe el órgano judicial en su resolución por la que promueve la presente cuestión de inconstitucionalidad”.</w:t>
      </w:r>
    </w:p>
    <w:p w:rsidR="0033382B" w:rsidRDefault="0033382B" w:rsidP="0033382B">
      <w:pPr>
        <w:pStyle w:val="TextoNormal"/>
      </w:pPr>
    </w:p>
    <w:p w:rsidR="0033382B" w:rsidRDefault="0033382B" w:rsidP="0033382B">
      <w:pPr>
        <w:pStyle w:val="TextoNormal"/>
      </w:pPr>
      <w:r>
        <w:t>Afirma, en segundo lugar, que la presente cuestión de inconstitucionalidad debe ser resuelta en los términos que han sido declarados por la Sentencia de 30 de noviembre de 2015, dictada en la cuestión de inconstitucionalidad 6190-2014. Así, tal como se ha resuelto en tal Sentencia, la declaración de inconstitucionalidad y nulidad del art. 25.2 a) del Real Decreto Legislativo 2/2008 por la STC 218/2015 supone “que se haya extinguido sobrevenidamente el objeto procesal en cuanto a este extremo”, alegación que extiende al art. 23.1 a) del Real Decreto Legislativo 2/2008 en la medida que la STC 141/2014 declaró inconstitucional el inciso “hasta el máximo del doble”.</w:t>
      </w:r>
    </w:p>
    <w:p w:rsidR="0033382B" w:rsidRDefault="0033382B" w:rsidP="0033382B">
      <w:pPr>
        <w:pStyle w:val="TextoNormal"/>
      </w:pPr>
    </w:p>
    <w:p w:rsidR="0033382B" w:rsidRDefault="0033382B" w:rsidP="0033382B">
      <w:pPr>
        <w:pStyle w:val="TextoNormal"/>
      </w:pPr>
      <w:r>
        <w:t>Como tercera y última alegación, sostiene, con citas de la STC 218/2015 (por lo que hace al art. 33.3 CE) y de la STC 141/2014 (por lo que respecta al art. 14 CE), que los arts. 12, 23.2 y 25.1 del Real Decreto Legislativo 2/2008 no contradicen los arts. 14 y 33.3 CE, por lo que la cuestión suscitada es en este punto manifiestamente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 xml:space="preserve">La Sala considera que el art. 23.1 a) del Real Decreto Legislativo 2/2008 establece un método de valoración para el suelo en situación básica de rural </w:t>
      </w:r>
      <w:r w:rsidRPr="0033382B">
        <w:rPr>
          <w:i/>
        </w:rPr>
        <w:t>ex</w:t>
      </w:r>
      <w:r>
        <w:t xml:space="preserve">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0033382B" w:rsidRDefault="0033382B" w:rsidP="0033382B">
      <w:pPr>
        <w:pStyle w:val="TextoNormal"/>
      </w:pPr>
    </w:p>
    <w:p w:rsidR="0033382B" w:rsidRDefault="0033382B" w:rsidP="0033382B">
      <w:pPr>
        <w:pStyle w:val="TextoNormal"/>
      </w:pPr>
      <w:r>
        <w:t>La Fiscal General del Estado, en el trámite previsto en el art. 37.1 de la Ley Orgánica del Tribunal Constitucional (LOTC), alega sucesivamente (a) un deficiente juicio de relevancia por lo que hace a los arts. 23.1 a) y 25.1 del Real Decreto Legislativo 2/2008; (b) la pérdida sobrevenida del objeto de la cuestión en cuanto 25.2 a) del Real Decreto Legislativo 2/2008 porque así ha se ha pronunciado el Tribunal en un supuesto idéntico en la STC 244/2015, de 30 de noviembre, criterio que extiende al art. 23.1 a) del Real Decreto Legislativo 2/2008 en la medida que la STC 141/2014 declaró inconstitucional y nulo el inciso “hasta el máximo del doble”; y (c), en fin, el carácter notoriamente infundado de la duda de constitucionalidad en relación a los arts. 12, 23.2 y 25.1 del Real Decreto Legislativo 2/2008.</w:t>
      </w:r>
    </w:p>
    <w:p w:rsidR="0033382B" w:rsidRDefault="0033382B" w:rsidP="0033382B">
      <w:pPr>
        <w:pStyle w:val="TextoNormal"/>
      </w:pPr>
    </w:p>
    <w:p w:rsidR="0033382B" w:rsidRDefault="0033382B" w:rsidP="0033382B">
      <w:pPr>
        <w:pStyle w:val="TextoNormal"/>
      </w:pPr>
      <w:r w:rsidRPr="0033382B">
        <w:rPr>
          <w:rStyle w:val="NumeroAFNegritaCaracter"/>
        </w:rPr>
        <w:t>2</w:t>
      </w:r>
      <w:r>
        <w:t>.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33382B" w:rsidRDefault="0033382B" w:rsidP="0033382B">
      <w:pPr>
        <w:pStyle w:val="TextoNormal"/>
      </w:pPr>
    </w:p>
    <w:p w:rsidR="0033382B" w:rsidRDefault="0033382B" w:rsidP="0033382B">
      <w:pPr>
        <w:pStyle w:val="TextoNormal"/>
      </w:pPr>
      <w:r w:rsidRPr="0033382B">
        <w:rPr>
          <w:rStyle w:val="NumeroAFNegritaCaracter"/>
        </w:rPr>
        <w:t>4</w:t>
      </w:r>
      <w:r>
        <w:t>. La Fiscal General del Estado alega falta del adecuado juicio de relevancia sobre lo que la Sala denomina otras circunstancias específicas, de las que deriva una inconstitucionalidad del art. 23.1 a) del Real Decreto Legislativo 2/2008 añadida a la ya declarada en la STC 141/2014, déficit en el juicio de relevancia que invoca también respecto de la supuesta inconstitucionalidad del art. 25.1 del Real Decreto Legislativo 2/2008, pues, a su juicio, ningún razonamiento se aporta en el Auto de planteamiento que difiera de los que fueron expuestos en la cuestión de inconstitucionalidad que dio origen a la STC 141/2014.</w:t>
      </w:r>
    </w:p>
    <w:p w:rsidR="0033382B" w:rsidRDefault="0033382B" w:rsidP="0033382B">
      <w:pPr>
        <w:pStyle w:val="TextoNormal"/>
      </w:pPr>
    </w:p>
    <w:p w:rsidR="0033382B" w:rsidRDefault="0033382B" w:rsidP="0033382B">
      <w:pPr>
        <w:pStyle w:val="TextoNormal"/>
      </w:pPr>
      <w:r>
        <w:t>Aprecia este Tribunal, por el contrario, que el Auto de planteamiento afirma expresamente que la STC 141/2014 excluye de su pronunciamiento toda consideración del art. 25 del Real Decreto Legislativo 2/2008 y, por tanto, del sistema valorativo de conjunto que resulta de la combinación de los arts. 23 y 25 del Real Decreto Legislativo 2/2008, cuestión ésta que, según razona, adquiere especial relevancia dadas las circunstancias específicas de este caso, donde la expropiación afecta a suelo que está en situación básica de rústico (art. 23 del Real Decreto Legislativo 2/2008), pero respecto del que el propietario ha adquirido ya la facultad de participar en la urbanización (art. 25 del Real Decreto Legislativo 2/2008). Por todo ello, procede rechazar este primer óbice de procedibilidad.</w:t>
      </w:r>
    </w:p>
    <w:p w:rsidR="0033382B" w:rsidRDefault="0033382B" w:rsidP="0033382B">
      <w:pPr>
        <w:pStyle w:val="TextoNormal"/>
      </w:pPr>
    </w:p>
    <w:p w:rsidR="0033382B" w:rsidRDefault="0033382B" w:rsidP="0033382B">
      <w:pPr>
        <w:pStyle w:val="TextoNormal"/>
      </w:pPr>
      <w:r w:rsidRPr="0033382B">
        <w:rPr>
          <w:rStyle w:val="NumeroAFNegritaCaracter"/>
        </w:rPr>
        <w:t>5</w:t>
      </w:r>
      <w:r>
        <w:t>.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0033382B" w:rsidRDefault="0033382B" w:rsidP="0033382B">
      <w:pPr>
        <w:pStyle w:val="TextoNormal"/>
      </w:pPr>
    </w:p>
    <w:p w:rsidR="0033382B" w:rsidRDefault="0033382B" w:rsidP="0033382B">
      <w:pPr>
        <w:pStyle w:val="TextoNormal"/>
      </w:pPr>
      <w:r>
        <w:t>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0033382B" w:rsidRDefault="0033382B" w:rsidP="0033382B">
      <w:pPr>
        <w:pStyle w:val="TextoNormal"/>
      </w:pPr>
    </w:p>
    <w:p w:rsidR="0033382B" w:rsidRDefault="0033382B" w:rsidP="0033382B">
      <w:pPr>
        <w:pStyle w:val="TextoNormal"/>
      </w:pPr>
      <w:r w:rsidRPr="0033382B">
        <w:rPr>
          <w:rStyle w:val="NumeroAFNegritaCaracter"/>
        </w:rPr>
        <w:t>6</w:t>
      </w:r>
      <w:r>
        <w:t>.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0033382B" w:rsidRDefault="0033382B" w:rsidP="0033382B">
      <w:pPr>
        <w:pStyle w:val="TextoNormal"/>
      </w:pPr>
    </w:p>
    <w:p w:rsidR="0033382B" w:rsidRDefault="0033382B" w:rsidP="0033382B">
      <w:pPr>
        <w:pStyle w:val="TextoNormal"/>
      </w:pPr>
      <w:r>
        <w:t>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0033382B" w:rsidRDefault="0033382B" w:rsidP="0033382B">
      <w:pPr>
        <w:pStyle w:val="TextoNormal"/>
      </w:pPr>
    </w:p>
    <w:p w:rsidR="0033382B" w:rsidRDefault="0033382B" w:rsidP="0033382B">
      <w:pPr>
        <w:pStyle w:val="TextoNormal"/>
      </w:pPr>
      <w:r>
        <w:t>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0033382B" w:rsidRDefault="0033382B" w:rsidP="0033382B">
      <w:pPr>
        <w:pStyle w:val="TextoNormal"/>
      </w:pPr>
    </w:p>
    <w:p w:rsidR="0033382B" w:rsidRDefault="0033382B" w:rsidP="0033382B">
      <w:pPr>
        <w:pStyle w:val="TextoNormal"/>
      </w:pPr>
      <w:r>
        <w:t>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0033382B" w:rsidRDefault="0033382B" w:rsidP="0033382B">
      <w:pPr>
        <w:pStyle w:val="TextoNormal"/>
      </w:pPr>
    </w:p>
    <w:p w:rsidR="0033382B" w:rsidRDefault="0033382B" w:rsidP="0033382B">
      <w:pPr>
        <w:pStyle w:val="TextoNormal"/>
      </w:pPr>
      <w:r>
        <w:t>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0033382B" w:rsidRDefault="0033382B" w:rsidP="0033382B">
      <w:pPr>
        <w:pStyle w:val="TextoNormal"/>
      </w:pPr>
    </w:p>
    <w:p w:rsidR="0033382B" w:rsidRDefault="0033382B" w:rsidP="0033382B">
      <w:pPr>
        <w:pStyle w:val="TextoNormal"/>
      </w:pPr>
      <w:r>
        <w:t>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0033382B" w:rsidRDefault="0033382B" w:rsidP="0033382B">
      <w:pPr>
        <w:pStyle w:val="TextoNormal"/>
      </w:pPr>
    </w:p>
    <w:p w:rsidR="0033382B" w:rsidRDefault="0033382B" w:rsidP="0033382B">
      <w:pPr>
        <w:pStyle w:val="TextoNormal"/>
      </w:pPr>
      <w:r>
        <w:t>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0033382B" w:rsidRDefault="0033382B" w:rsidP="0033382B">
      <w:pPr>
        <w:pStyle w:val="TextoNormal"/>
      </w:pPr>
    </w:p>
    <w:p w:rsidR="0033382B" w:rsidRDefault="0033382B" w:rsidP="0033382B">
      <w:pPr>
        <w:pStyle w:val="TextoNormal"/>
      </w:pPr>
      <w:r>
        <w:t>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dos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49" w:name="AUTO_2016_22"/>
      <w:r>
        <w:t>AUTO 22/2016, de 2 de febrero de 2016</w:t>
      </w:r>
    </w:p>
    <w:bookmarkEnd w:id="149"/>
    <w:p w:rsidR="0033382B" w:rsidRDefault="0033382B" w:rsidP="0033382B">
      <w:pPr>
        <w:pStyle w:val="TtuloResolucin"/>
      </w:pPr>
      <w:r>
        <w:t>Pleno</w:t>
      </w:r>
    </w:p>
    <w:p w:rsidR="0033382B" w:rsidRDefault="0033382B" w:rsidP="0033382B">
      <w:pPr>
        <w:pStyle w:val="TextoNormalCentrado"/>
      </w:pPr>
      <w:r>
        <w:t>ECLI:ES:TC:2016:22A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1456-2015, planteada por la Sala de lo Contencioso-Administrativo del Tribunal Superior de Justicia de Castilla-La Mancha en relación con varios preceptos del Real Decreto Legislativo 2/2008, de 20 de junio, por el que se aprueba el texto refundido de la Ley de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12 de marzo de 2015 tuvo entrada en el Registro General de este Tribunal un oficio de la Sección Segunda de la Sala de lo Contencioso-Administrativo del Tribunal Superior de Justicia de Castilla-La Mancha, al que se acompaña, junto al testimonio del procedimiento ordinario núm. 114-2011, el Auto de 2 de febrero de 2015,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Una persona física, propietaria de una finca afectada por el proyecto de expropiación derivado del “proyecto de singular interés Parque Industrial y Tecnológico de Illescas”, recurre en vía contencioso-administrativa la resolución del Jurado regional de valoraciones de la Junta de Comunidades de Castilla-La Mancha que fijó el justiprecio de la finca, que se encontraban en situación de rústica.</w:t>
      </w:r>
    </w:p>
    <w:p w:rsidR="0033382B" w:rsidRDefault="0033382B" w:rsidP="0033382B">
      <w:pPr>
        <w:pStyle w:val="TextoNormal"/>
      </w:pPr>
    </w:p>
    <w:p w:rsidR="0033382B" w:rsidRDefault="0033382B" w:rsidP="0033382B">
      <w:pPr>
        <w:pStyle w:val="TextoNormal"/>
      </w:pPr>
      <w:r>
        <w:t>b) Una vez concluso el procedimiento, y antes de dictar sentencia, la Sección Segunda de la Sala de lo Contencioso-Administrativo del Tribunal Superior de Justicia de Castilla-La Mancha dictó providencia de 15 de diciembre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los arts. 14 y 33.3 CE en cuanto se permite al resto de los propietarios realizar su valor real.</w:t>
      </w:r>
    </w:p>
    <w:p w:rsidR="0033382B" w:rsidRDefault="0033382B" w:rsidP="0033382B">
      <w:pPr>
        <w:pStyle w:val="TextoNormal"/>
      </w:pPr>
    </w:p>
    <w:p w:rsidR="0033382B" w:rsidRDefault="0033382B" w:rsidP="0033382B">
      <w:pPr>
        <w:pStyle w:val="TextoNormal"/>
      </w:pPr>
      <w:r>
        <w:t xml:space="preserve">c) El Ministerio Fiscal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w:t>
      </w:r>
      <w:r w:rsidRPr="0033382B">
        <w:rPr>
          <w:i/>
        </w:rPr>
        <w:t>prima facie</w:t>
      </w:r>
      <w:r>
        <w:t>,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0033382B" w:rsidRDefault="0033382B" w:rsidP="0033382B">
      <w:pPr>
        <w:pStyle w:val="TextoNormal"/>
      </w:pPr>
    </w:p>
    <w:p w:rsidR="0033382B" w:rsidRDefault="0033382B" w:rsidP="0033382B">
      <w:pPr>
        <w:pStyle w:val="TextoNormal"/>
      </w:pPr>
      <w:r>
        <w:t>El Letrado de la Administración de la Junta de Comunidades de Castilla-La Mancha se opuso al planteamiento de la cuestión por lo que hace a los arts. 23.1 y 23.2 del Real Decreto Legislativo 2/2008, con el argumento de que la STC 141/2014 los había declarado constitucionales.</w:t>
      </w:r>
    </w:p>
    <w:p w:rsidR="0033382B" w:rsidRDefault="0033382B" w:rsidP="0033382B">
      <w:pPr>
        <w:pStyle w:val="TextoNormal"/>
      </w:pPr>
    </w:p>
    <w:p w:rsidR="0033382B" w:rsidRDefault="0033382B" w:rsidP="0033382B">
      <w:pPr>
        <w:pStyle w:val="TextoNormal"/>
      </w:pPr>
      <w:r>
        <w:t>La representación del actor consideró pertinente el planteamiento de la cuestión de inconstitucionalidad.</w:t>
      </w:r>
    </w:p>
    <w:p w:rsidR="0033382B" w:rsidRDefault="0033382B" w:rsidP="0033382B">
      <w:pPr>
        <w:pStyle w:val="TextoNormal"/>
      </w:pPr>
    </w:p>
    <w:p w:rsidR="0033382B" w:rsidRDefault="0033382B" w:rsidP="0033382B">
      <w:pPr>
        <w:pStyle w:val="TextoNormal"/>
      </w:pPr>
      <w:r>
        <w:t>d) La Sección Segunda de la Sala de lo Contencioso-Administrativo del Tribunal Superior de Justicia de Castilla-La Mancha dictó Auto de 2 de febrero de 2015, por el que se acuerda plantear cuestión de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luego de referirse a los antecedentes de hecho del caso y de transcribir los preceptos cuestionados, aborda los requisitos de procedibilidad.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0033382B" w:rsidRDefault="0033382B" w:rsidP="0033382B">
      <w:pPr>
        <w:pStyle w:val="TextoNormal"/>
      </w:pPr>
    </w:p>
    <w:p w:rsidR="0033382B" w:rsidRDefault="0033382B" w:rsidP="0033382B">
      <w:pPr>
        <w:pStyle w:val="TextoNormal"/>
      </w:pPr>
      <w:r>
        <w:t>Respecto de la inconstitucionalidad de los preceptos cuestionados, destaca acerca del art. 23 del Real Decreto Legislativo 2/2008 que la idea esencial de la STC 141/2014 es la de que no hay tacha posible de inconstitucionalidad en el hecho de que la Ley pueda establecer como sistema de valoración del suelo el de capitalización de rentas, pero la propia norma reconoce que, en ocasiones, ese criterio general puede no llegar a reflejar correctamente el valor del bien, de modo que el artículo 23.1 prevé una corrección de la valoración del suelo, pero en esa corrección establece un límite máximo del doble del valor hallado por capitalización, limite que la STC 141/2014 considera inconstitucional por carecer de base razonable. En el presente caso el órgano judicial considera que, lejos del planteamiento abstracto, concurren circunstancias que permiten apreciar la inconstitucionalidad de la Ley en su aplicación concreta. Así, indica que el Jurado regional de valoraciones valoró el suelo haciendo aplicación del art. 23.1.a) del Real Decreto Legislativo 2/2008 y luego aplicó el art. 23.2, criterios aplicables a la valoración de suelo rustico. Para la sala era inapropiado utilizar tales criterios por cuanto se trataba, según consta en los autos, de “una bolsa de suelo rústico rodeada de suelo urbanizado industrial y residencial”, cuyo valor, en la memoria del proyecto singular, se estimaba en 25 E/m2.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que impide que se alcance el valor real que deriva de la proximidad del suelo a entornos urbanos”.</w:t>
      </w:r>
    </w:p>
    <w:p w:rsidR="0033382B" w:rsidRDefault="0033382B" w:rsidP="0033382B">
      <w:pPr>
        <w:pStyle w:val="TextoNormal"/>
      </w:pPr>
    </w:p>
    <w:p w:rsidR="0033382B" w:rsidRDefault="0033382B" w:rsidP="0033382B">
      <w:pPr>
        <w:pStyle w:val="TextoNormal"/>
      </w:pPr>
      <w:r>
        <w:t>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servicios, no alcance la categoría valorativa de “suelo urbanizado” y siga en la de “suelo rural”. Y concluye que “la igualación de todas las anteriores situaciones bajo una misma categoría implica el reconocimiento, en determinados casos, de un complemento indemnizatorio que deriva del art. 25 del Real Decreto Legislativo 2/2008, complemento que no es suficiente atendiendo a las circunstancias del caso”.</w:t>
      </w:r>
    </w:p>
    <w:p w:rsidR="0033382B" w:rsidRDefault="0033382B" w:rsidP="0033382B">
      <w:pPr>
        <w:pStyle w:val="TextoNormal"/>
      </w:pPr>
    </w:p>
    <w:p w:rsidR="0033382B" w:rsidRDefault="0033382B" w:rsidP="0033382B">
      <w:pPr>
        <w:pStyle w:val="TextoNormal"/>
      </w:pPr>
      <w:r>
        <w:t>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arto 33.3 CE y el 14 CE”. Y sobre la constitucionalidad del régimen previsto en el artículo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18 de noviembre de 2015, la Sección Primera del Tribunal Constitucional acordó oír al Fiscal General del Estado para que, en el plazo de diez días, y a los efectos que determina el art. 37.1 LOTC, alegase lo que considerase conveniente “en relación con el cumplimiento de los requisitos procesales (art. 35.2 LOTC) y por si hubiera devenido notoriamente infundada (STC 218/2015, de 22 de octubre)”.</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el 22 de diciembre de 2015, en el que desarrolla tres alegaciones distintas, partiendo en gran medida de las SSTC 141/2014 y 218/2015, que a su juicio ya han resuelto las cuestiones que en este proceso se plantean.</w:t>
      </w:r>
    </w:p>
    <w:p w:rsidR="0033382B" w:rsidRDefault="0033382B" w:rsidP="0033382B">
      <w:pPr>
        <w:pStyle w:val="TextoNormal"/>
      </w:pPr>
    </w:p>
    <w:p w:rsidR="0033382B" w:rsidRDefault="0033382B" w:rsidP="0033382B">
      <w:pPr>
        <w:pStyle w:val="TextoNormal"/>
      </w:pPr>
      <w:r>
        <w:t>Expone, en primer término, que “no se habría llevado a cabo un adecuado juicio de relevancia sobre lo que la Sala denomina otras circunstancias específicas, que no ha concretado, de las que devengan una inconstitucionalidad añadida del art. 23.1 a) del Real Decreto Legislativo 2/2008, conclusión a la que también debe alcanzar la supuesta inconstitucionalidad del art. 25.1 del Real Decreto Legislativo 2/2008, pues ningún razonamiento se aporta en el auto de planteamiento de la cuestión de inconstitucionalidad que difiera de los que fueron expuestos en la cuestión de inconstitucionalidad que dio origen al pronunciamiento del Alto Tribunal que transcribe el órgano judicial en su resolución por la que promueve la presente cuestión de inconstitucionalidad”.</w:t>
      </w:r>
    </w:p>
    <w:p w:rsidR="0033382B" w:rsidRDefault="0033382B" w:rsidP="0033382B">
      <w:pPr>
        <w:pStyle w:val="TextoNormal"/>
      </w:pPr>
    </w:p>
    <w:p w:rsidR="0033382B" w:rsidRDefault="0033382B" w:rsidP="0033382B">
      <w:pPr>
        <w:pStyle w:val="TextoNormal"/>
      </w:pPr>
      <w:r>
        <w:t>Afirma, en segundo lugar, que la presente cuestión de inconstitucionalidad debe ser resuelta en los términos que han sido declarados por la Sentencia de 30 de noviembre de 2015, dictada en la cuestión de inconstitucionalidad 6190/2014. Así, tal como se ha resuelto en tal Sentencia, la declaración de inconstitucionalidad y nulidad del art. 25.2 a) del Real Decreto Legislativo 2/2008 por la STC 218/2015 supone “que se haya extinguido sobrevenidamente el objeto procesal en cuanto a este extremo”, alegación que extiende al art. 23.1 a) del Real Decreto Legislativo 2/2008 en la medida que la STC 141/2014 declaró inconstitucional el inciso “hasta el máximo del doble”.</w:t>
      </w:r>
    </w:p>
    <w:p w:rsidR="0033382B" w:rsidRDefault="0033382B" w:rsidP="0033382B">
      <w:pPr>
        <w:pStyle w:val="TextoNormal"/>
      </w:pPr>
    </w:p>
    <w:p w:rsidR="0033382B" w:rsidRDefault="0033382B" w:rsidP="0033382B">
      <w:pPr>
        <w:pStyle w:val="TextoNormal"/>
      </w:pPr>
      <w:r>
        <w:t>Como tercera y última alegación, sostiene, con citas de la STC 218/2015 (por lo que hace al art. 33.3 CE) y de la STC 141/2014 (por lo que respecta al art. 14 CE), que los arts. 12, 23.2 y 25.1 del Real Decreto Legislativo 2/2008 no contradicen los arts. 14 y 33.3 CE, por lo que la cuestión suscitada es en este punto manifiestamente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 xml:space="preserve">La Sala considera que el art. 23.1 a) del Real Decreto Legislativo 2/2008 establece un método de valoración para el suelo en situación básica de rural </w:t>
      </w:r>
      <w:r w:rsidRPr="0033382B">
        <w:rPr>
          <w:i/>
        </w:rPr>
        <w:t>ex</w:t>
      </w:r>
      <w:r>
        <w:t xml:space="preserve">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0033382B" w:rsidRDefault="0033382B" w:rsidP="0033382B">
      <w:pPr>
        <w:pStyle w:val="TextoNormal"/>
      </w:pPr>
    </w:p>
    <w:p w:rsidR="0033382B" w:rsidRDefault="0033382B" w:rsidP="0033382B">
      <w:pPr>
        <w:pStyle w:val="TextoNormal"/>
      </w:pPr>
      <w:r>
        <w:t>La Fiscal General del Estado, en el trámite previsto en el art. 37.1 de la Ley Orgánica del Tribunal Constitucional (LOTC), alega sucesivamente (a) un deficiente juicio de relevancia por lo que hace a los arts. 23.1 a) y 25.1 del Real Decreto Legislativo 2/2008; (b) la pérdida sobrevenida del objeto de la cuestión en cuanto 25.2 a) del Real Decreto Legislativo 2/2008 porque así se ha pronunciado el Tribunal en un supuesto idéntico en la STC 244/2015, de 30 de noviembre, criterio que extiende al art. 23.1 a) del Real Decreto Legislativo 2/2008 en la medida que la STC 141/2014 declaró inconstitucional y nulo el inciso “hasta el máximo del doble”; y (c), en fin, el carácter notoriamente infundado de la duda de constitucionalidad en relación a los arts. 12, 23.2 y 25.1 del Real Decreto Legislativo 2/2008.</w:t>
      </w:r>
    </w:p>
    <w:p w:rsidR="0033382B" w:rsidRDefault="0033382B" w:rsidP="0033382B">
      <w:pPr>
        <w:pStyle w:val="TextoNormal"/>
      </w:pPr>
    </w:p>
    <w:p w:rsidR="0033382B" w:rsidRDefault="0033382B" w:rsidP="0033382B">
      <w:pPr>
        <w:pStyle w:val="TextoNormal"/>
      </w:pPr>
      <w:r w:rsidRPr="0033382B">
        <w:rPr>
          <w:rStyle w:val="NumeroAFNegritaCaracter"/>
        </w:rPr>
        <w:t>2</w:t>
      </w:r>
      <w:r>
        <w:t>.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33382B" w:rsidRDefault="0033382B" w:rsidP="0033382B">
      <w:pPr>
        <w:pStyle w:val="TextoNormal"/>
      </w:pPr>
    </w:p>
    <w:p w:rsidR="0033382B" w:rsidRDefault="0033382B" w:rsidP="0033382B">
      <w:pPr>
        <w:pStyle w:val="TextoNormal"/>
      </w:pPr>
      <w:r w:rsidRPr="0033382B">
        <w:rPr>
          <w:rStyle w:val="NumeroAFNegritaCaracter"/>
        </w:rPr>
        <w:t>4</w:t>
      </w:r>
      <w:r>
        <w:t>. La Fiscal General del Estado alega falta del adecuado juicio de relevancia sobre lo que la Sala denomina otras circunstancias específicas, de las que deriva una inconstitucionalidad del art. 23.1 a) del Real Decreto Legislativo 2/2008 añadida a la ya declarada en la STC 141/2014, déficit en el juicio de relevancia que invoca también respecto de la supuesta inconstitucionalidad del art. 25.1 del Real Decreto Legislativo 2/2008, pues, a su juicio, ningún razonamiento se aporta en el auto de planteamiento que difiera de los que fueron expuestos en la cuestión de inconstitucionalidad que dio origen a la STC 141/2014.</w:t>
      </w:r>
    </w:p>
    <w:p w:rsidR="0033382B" w:rsidRDefault="0033382B" w:rsidP="0033382B">
      <w:pPr>
        <w:pStyle w:val="TextoNormal"/>
      </w:pPr>
    </w:p>
    <w:p w:rsidR="0033382B" w:rsidRDefault="0033382B" w:rsidP="0033382B">
      <w:pPr>
        <w:pStyle w:val="TextoNormal"/>
      </w:pPr>
      <w:r>
        <w:t>Aprecia este Tribunal, por el contrario, que el Auto de planteamiento afirma expresamente que la STC 141/2014 excluye de su pronunciamiento toda consideración del art. 25 del Real Decreto Legislativo 2/2008 y, por tanto, del sistema valorativo de conjunto que resulta de la combinación de los arts. 23 y 25 del Real Decreto Legislativo 2/2008, cuestión ésta que, según razona, adquiere especial relevancia dadas las circunstancias específicas de este caso, donde la expropiación afecta a suelo que está en situación básica de rústico (art. 23 del Real Decreto Legislativo 2/2008), pero respecto del que el propietario ha adquirido ya la facultad de participar en la urbanización (art. 25 del Real Decreto Legislativo 2/2008). Por todo ello, procede rechazar este primer óbice de procedibilidad.</w:t>
      </w:r>
    </w:p>
    <w:p w:rsidR="0033382B" w:rsidRDefault="0033382B" w:rsidP="0033382B">
      <w:pPr>
        <w:pStyle w:val="TextoNormal"/>
      </w:pPr>
    </w:p>
    <w:p w:rsidR="0033382B" w:rsidRDefault="0033382B" w:rsidP="0033382B">
      <w:pPr>
        <w:pStyle w:val="TextoNormal"/>
      </w:pPr>
      <w:r w:rsidRPr="0033382B">
        <w:rPr>
          <w:rStyle w:val="NumeroAFNegritaCaracter"/>
        </w:rPr>
        <w:t>5</w:t>
      </w:r>
      <w:r>
        <w:t>.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0033382B" w:rsidRDefault="0033382B" w:rsidP="0033382B">
      <w:pPr>
        <w:pStyle w:val="TextoNormal"/>
      </w:pPr>
    </w:p>
    <w:p w:rsidR="0033382B" w:rsidRDefault="0033382B" w:rsidP="0033382B">
      <w:pPr>
        <w:pStyle w:val="TextoNormal"/>
      </w:pPr>
      <w:r>
        <w:t>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0033382B" w:rsidRDefault="0033382B" w:rsidP="0033382B">
      <w:pPr>
        <w:pStyle w:val="TextoNormal"/>
      </w:pPr>
    </w:p>
    <w:p w:rsidR="0033382B" w:rsidRDefault="0033382B" w:rsidP="0033382B">
      <w:pPr>
        <w:pStyle w:val="TextoNormal"/>
      </w:pPr>
      <w:r w:rsidRPr="0033382B">
        <w:rPr>
          <w:rStyle w:val="NumeroAFNegritaCaracter"/>
        </w:rPr>
        <w:t>6</w:t>
      </w:r>
      <w:r>
        <w:t>.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0033382B" w:rsidRDefault="0033382B" w:rsidP="0033382B">
      <w:pPr>
        <w:pStyle w:val="TextoNormal"/>
      </w:pPr>
    </w:p>
    <w:p w:rsidR="0033382B" w:rsidRDefault="0033382B" w:rsidP="0033382B">
      <w:pPr>
        <w:pStyle w:val="TextoNormal"/>
      </w:pPr>
      <w:r>
        <w:t>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0033382B" w:rsidRDefault="0033382B" w:rsidP="0033382B">
      <w:pPr>
        <w:pStyle w:val="TextoNormal"/>
      </w:pPr>
    </w:p>
    <w:p w:rsidR="0033382B" w:rsidRDefault="0033382B" w:rsidP="0033382B">
      <w:pPr>
        <w:pStyle w:val="TextoNormal"/>
      </w:pPr>
      <w:r>
        <w:t>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0033382B" w:rsidRDefault="0033382B" w:rsidP="0033382B">
      <w:pPr>
        <w:pStyle w:val="TextoNormal"/>
      </w:pPr>
    </w:p>
    <w:p w:rsidR="0033382B" w:rsidRDefault="0033382B" w:rsidP="0033382B">
      <w:pPr>
        <w:pStyle w:val="TextoNormal"/>
      </w:pPr>
      <w:r>
        <w:t>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0033382B" w:rsidRDefault="0033382B" w:rsidP="0033382B">
      <w:pPr>
        <w:pStyle w:val="TextoNormal"/>
      </w:pPr>
    </w:p>
    <w:p w:rsidR="0033382B" w:rsidRDefault="0033382B" w:rsidP="0033382B">
      <w:pPr>
        <w:pStyle w:val="TextoNormal"/>
      </w:pPr>
      <w:r>
        <w:t>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0033382B" w:rsidRDefault="0033382B" w:rsidP="0033382B">
      <w:pPr>
        <w:pStyle w:val="TextoNormal"/>
      </w:pPr>
    </w:p>
    <w:p w:rsidR="0033382B" w:rsidRDefault="0033382B" w:rsidP="0033382B">
      <w:pPr>
        <w:pStyle w:val="TextoNormal"/>
      </w:pPr>
      <w:r>
        <w:t>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0033382B" w:rsidRDefault="0033382B" w:rsidP="0033382B">
      <w:pPr>
        <w:pStyle w:val="TextoNormal"/>
      </w:pPr>
    </w:p>
    <w:p w:rsidR="0033382B" w:rsidRDefault="0033382B" w:rsidP="0033382B">
      <w:pPr>
        <w:pStyle w:val="TextoNormal"/>
      </w:pPr>
      <w:r>
        <w:t>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0033382B" w:rsidRDefault="0033382B" w:rsidP="0033382B">
      <w:pPr>
        <w:pStyle w:val="TextoNormal"/>
      </w:pPr>
    </w:p>
    <w:p w:rsidR="0033382B" w:rsidRDefault="0033382B" w:rsidP="0033382B">
      <w:pPr>
        <w:pStyle w:val="TextoNormal"/>
      </w:pPr>
      <w:r>
        <w:t>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dos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50" w:name="AUTO_2016_23"/>
      <w:r>
        <w:t>AUTO 23/2016, de 3 de febrero de 2016</w:t>
      </w:r>
    </w:p>
    <w:bookmarkEnd w:id="150"/>
    <w:p w:rsidR="0033382B" w:rsidRDefault="0033382B" w:rsidP="0033382B">
      <w:pPr>
        <w:pStyle w:val="TtuloResolucin"/>
      </w:pPr>
      <w:r>
        <w:t>Pleno</w:t>
      </w:r>
    </w:p>
    <w:p w:rsidR="0033382B" w:rsidRDefault="0033382B" w:rsidP="0033382B">
      <w:pPr>
        <w:pStyle w:val="TextoNormalCentrado"/>
      </w:pPr>
      <w:r>
        <w:t>ECLI:ES:TC:2016:23A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6576-2015, planteada por la Sala de lo Contencioso-Administrativo del Tribunal Superior de Justicia de Galicia en relación con el artículo 96 de la Ley del Parlamento de Galicia 9/2002, de 30 de diciembre, de ordenación urbanística y protección del medio rural de Galicia.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23 de noviembre de 2015 entró en el Registro General de este Tribunal un escrito de la Sección Segunda de la Sala de lo Contencioso-Administrativo del Tribunal Superior de Justicia de Galicia, al que se acompaña, junto al testimonio del recurso ordinario 4523-2011,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dispuesto en los arts. 9.2 y 105 a) CE, así como de lo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 la cuestión son los siguientes:</w:t>
      </w:r>
    </w:p>
    <w:p w:rsidR="0033382B" w:rsidRDefault="0033382B" w:rsidP="0033382B">
      <w:pPr>
        <w:pStyle w:val="TextoNormal"/>
      </w:pPr>
    </w:p>
    <w:p w:rsidR="0033382B" w:rsidRDefault="0033382B" w:rsidP="0033382B">
      <w:pPr>
        <w:pStyle w:val="TextoNormal"/>
      </w:pPr>
      <w:r>
        <w:t>a) El plan general de ordenación municipal de Ourense aprobado por Orden de 29 de abril de 2003 de la Consellería de Política Territorial, Obras Públicas y Vivienda fue anulado, en firme, por STS de 9 de marzo de 2011. En consecuencia, resultaba vigente la ordenación del plan general de ordenación municipal de Ourense de 1986. El Decreto 187/2011, de 29 de septiembre, de la Consellería de Medio Ambiente, Territorio e Infraestructuras, acordó, mediante el mecanismo especial del art. 96 de la Ley del Parlamento de Galicia 9/2002, suspender parcialmente la vigencia del plan general de ordenación municipal de Ourense de 1986, así como aprobar una ordenación urbanística provisional hasta la entrada en vigor del nuevo planeamiento, mediante la cual reestablecía la ordenación de 2003 anulada.</w:t>
      </w:r>
    </w:p>
    <w:p w:rsidR="0033382B" w:rsidRDefault="0033382B" w:rsidP="0033382B">
      <w:pPr>
        <w:pStyle w:val="TextoNormal"/>
      </w:pPr>
    </w:p>
    <w:p w:rsidR="0033382B" w:rsidRDefault="0033382B" w:rsidP="0033382B">
      <w:pPr>
        <w:pStyle w:val="TextoNormal"/>
      </w:pPr>
      <w:r>
        <w:t>Diecisiete personas físicas, ejercitando la acción pública urbanística prevista en la disposición adicional cuarta de la Ley del Parlamento de Galicia 9/2002, impugnan dicho Decreto 187/2011. Después de exponer en el fundamento jurídico A) que, según la Sentencia del Tribunal Superior de Justicia de Galicia de 12 de noviembre de 2009, el art. 96 de la Ley del Parlamento de Galicia 9/2002 regula un mecanismo especial de revisión del planeamiento, que se caracteriza por ser provisional y no requerir trámite de información pública, en el fundamento jurídico B) argumenta que no se dan las circunstancias especiales para que ese mecanismo especial se pudiere aplicar, debiendo en consecuencia haberse seguido el trámite normal de revisión de la ordenación urbanística previsto en los arts. 93, 94 y 95 de la Ley del Parlamento de Galicia 9/2002.</w:t>
      </w:r>
    </w:p>
    <w:p w:rsidR="0033382B" w:rsidRDefault="0033382B" w:rsidP="0033382B">
      <w:pPr>
        <w:pStyle w:val="TextoNormal"/>
      </w:pPr>
    </w:p>
    <w:p w:rsidR="0033382B" w:rsidRDefault="0033382B" w:rsidP="0033382B">
      <w:pPr>
        <w:pStyle w:val="TextoNormal"/>
      </w:pPr>
      <w:r>
        <w:t xml:space="preserve">b) Con posterioridad al inicio de este recurso ordinario 4523-2011 y después incluso de que se hubieran formulado los escritos de conclusiones, la STS de 5 de febrero de 2014 casó la Sentencia del Tribunal Superior de Justicia de Galicia de 20 de enero de 2011, que había decidido un asunto muy similar al que ahora se planteaba. Dice la Sentencia del Tribunal Supremo, en su fundamento jurídico segundo </w:t>
      </w:r>
      <w:r w:rsidRPr="0033382B">
        <w:rPr>
          <w:i/>
        </w:rPr>
        <w:t>in fine</w:t>
      </w:r>
      <w:r>
        <w:t>,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 xml:space="preserve">Esta STS de 5 de febrero de 2014 fue aportada al recurso ordinario 4523-2011 por la parte recurrente. No consta en el expediente enviado a este Tribunal junto con el Auto de planteamiento, pero así se desprende, como se dirá más adelante, del escrito de alegaciones que dicha parte evacuó con motivo del trámite de audiencia </w:t>
      </w:r>
      <w:r w:rsidRPr="0033382B">
        <w:rPr>
          <w:i/>
        </w:rPr>
        <w:t>ex</w:t>
      </w:r>
      <w:r>
        <w:t xml:space="preserve"> art. 35.2 de la Ley Orgánica del Tribunal Constitucional (LOTC).</w:t>
      </w:r>
    </w:p>
    <w:p w:rsidR="0033382B" w:rsidRDefault="0033382B" w:rsidP="0033382B">
      <w:pPr>
        <w:pStyle w:val="TextoNormal"/>
      </w:pPr>
    </w:p>
    <w:p w:rsidR="0033382B" w:rsidRDefault="0033382B" w:rsidP="0033382B">
      <w:pPr>
        <w:pStyle w:val="TextoNormal"/>
      </w:pPr>
      <w:r>
        <w:t xml:space="preserve">c) Conclusa la tramitación del proceso </w:t>
      </w:r>
      <w:r w:rsidRPr="0033382B">
        <w:rPr>
          <w:i/>
        </w:rPr>
        <w:t>a quo</w:t>
      </w:r>
      <w:r>
        <w:t>, el órgano judicial dictó providencia de 17 de septiembre de 2015, en la que afirma que “procede someter a la consideración de las partes y del Ministerio Fiscal, por un plazo común de diez días, la posible concurrencia de motivo susceptible de fundar el planteamiento de cuestión de inconstitucionalidad respecto del art. 96 de la Ley del Parlamento de Galicia 9/2002. El presente recurso contencioso-administrativo se dirige contra el Decreto 184/2011 (</w:t>
      </w:r>
      <w:r w:rsidRPr="0033382B">
        <w:rPr>
          <w:i/>
        </w:rPr>
        <w:t>sic</w:t>
      </w:r>
      <w:r>
        <w:t>), de 29 de septiembre, de la Consellería de Medio Ambiente, Territorio e Infraestructuras, que acordó suspender parcialmente la vigencia del plan general de ordenación municipal de Ourense de 1986, así como aprobar una ordenación urbanística provisional hasta la entrada en vigor del nuevo planeamiento. Se plantea, como motivo impugnatorio del citado Decreto, la falta de información pública en el procedimiento de elaboración y aprobación de la ordenación provisional, alegación que en principio conecta con el criterio plasmado en la sentencia de la sección quinta de la Sala de lo Contencioso-Administrativo del Tribunal Supremo, de 5 de febrero de 2014, estimatoria del recurso de casación interpuesto contra la Sentencia de esta Sala de 20 de enero de 2011. Ahora bien, para que tal motivo pudiera prosperar habría de ser inaplicado el citado artículo de la Ley del Parlamento de Galicia 9/2002, ya que en dicho precepto el legislador autonómico optó por omitir la exigencia de información pública en el procedimiento de aprobación de la normativa provisional, omisión que según la referida Sentencia del Tribunal Supremo incurre en la infracción de los arts. 9.2 y 105 a) CE y si al mismo tiempo se considera que el mencionado art. 96 se dictó en el ejercicio de la competencia exclusiva de la Comunidad Autónoma en materia de urbanismo, no parece que el tema debatido pueda resolverse acudiendo a la cláusula de prevalencia del derecho estatal conforme al art. 149.3 CE. Así, como quiera que la prosperabilidad de la alegación de que se trata, con los correspondientes efectos anulatorios, depende de la no aplicación del citado precepto de la Ley del Parlamento de Galicia 9/2002 en lo que respecta a la omisión del trámite asumida por la misma, cabría plantear la inconstitucionalidad de dicho art. 96 de la Ley del Parlamento de Galicia 9/2002, por considerarlo contrario a los referidos preceptos constitucionales y a los arts. 149.1.1, 13, 18 y 23 CE en relación con el art. 11.1 del texto refundido de la Ley de suelo estatal”.</w:t>
      </w:r>
    </w:p>
    <w:p w:rsidR="0033382B" w:rsidRDefault="0033382B" w:rsidP="0033382B">
      <w:pPr>
        <w:pStyle w:val="TextoNormal"/>
      </w:pPr>
    </w:p>
    <w:p w:rsidR="0033382B" w:rsidRDefault="0033382B" w:rsidP="0033382B">
      <w:pPr>
        <w:pStyle w:val="TextoNormal"/>
      </w:pPr>
      <w:r>
        <w:t>d) El Fiscal, en escrito de 21 de septiembre de 2015, informa que procede el planteamiento de la cuestión porque el art. 96 de la Ley del Parlamento de Galicia 9/2002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del Parlamento de Galicia 9/2002 fue dictado en ejercicio de la competencia exclusiva de la Comunidad Autónoma de Galicia en materia de urbanismo.</w:t>
      </w:r>
    </w:p>
    <w:p w:rsidR="0033382B" w:rsidRDefault="0033382B" w:rsidP="0033382B">
      <w:pPr>
        <w:pStyle w:val="TextoNormal"/>
      </w:pPr>
    </w:p>
    <w:p w:rsidR="0033382B" w:rsidRDefault="0033382B" w:rsidP="0033382B">
      <w:pPr>
        <w:pStyle w:val="TextoNormal"/>
      </w:pPr>
      <w:r>
        <w:t>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96 de la Ley del Parlamento de Galicia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0033382B" w:rsidRDefault="0033382B" w:rsidP="0033382B">
      <w:pPr>
        <w:pStyle w:val="TextoNormal"/>
      </w:pPr>
    </w:p>
    <w:p w:rsidR="0033382B" w:rsidRDefault="0033382B" w:rsidP="0033382B">
      <w:pPr>
        <w:pStyle w:val="TextoNormal"/>
      </w:pPr>
      <w:r>
        <w:t>El Letrado de la Xunta de Galicia (demandada), en escrito de 30 de septiembre de 2015, afirma que no se puede reputar contrario al bloque de constitucionalidad el art. 96 de la Ley del Parlamento de Galicia 9/2002.</w:t>
      </w:r>
    </w:p>
    <w:p w:rsidR="0033382B" w:rsidRDefault="0033382B" w:rsidP="0033382B">
      <w:pPr>
        <w:pStyle w:val="TextoNormal"/>
      </w:pPr>
    </w:p>
    <w:p w:rsidR="0033382B" w:rsidRDefault="0033382B" w:rsidP="0033382B">
      <w:pPr>
        <w:pStyle w:val="TextoNormal"/>
      </w:pPr>
      <w:r>
        <w:t>El representante de la entidad codemandada Desarrollos comerciales de ocio e inmobiliarios de Ourense, en escrito de 5 de octubre de 2015, sostiene que el art. 96 de la Ley del Parlamento de Galicia 9/2002 no regula un instrumento de ordenación urbanística, pues su vocación no es ordenar el término municipal sino evitar los efectos perniciosos del planeamiento vigente mientras se elabora el nuevo. Es en la elaboración de dicho nuevo planeamiento cuando la Ley del Parlamento de Galicia 9/2002 garantiza la participación mediante el trámite de información pública. Por estos motivos la ausencia de información pública prevista en el art. 96 de la Ley del Parlamento de Galicia 9/2002 para los acuerdos de suspensión del planeamiento vigente y de ordenación provisional no vulneran los arts. 9.2 y 105 a) CE, ni contradicen el art. 11.1 del texto refundido de la Ley de suelo, que está previsto para un supuesto distinto, para los verdaderos procesos de ordenación urbanística.</w:t>
      </w:r>
    </w:p>
    <w:p w:rsidR="0033382B" w:rsidRDefault="0033382B" w:rsidP="0033382B">
      <w:pPr>
        <w:pStyle w:val="TextoNormal"/>
      </w:pPr>
    </w:p>
    <w:p w:rsidR="0033382B" w:rsidRDefault="0033382B" w:rsidP="0033382B">
      <w:pPr>
        <w:pStyle w:val="TextoNormal"/>
      </w:pPr>
      <w:r>
        <w:t>La parte recurrente, en escrito de 6 de octubre de 2015, insta igualmente el no planteamiento de la cuestión porque, a su juicio, la contradicción entre el art. 11.1 del texto refundido de la Ley de suelo y el art. 96 de la Ley del Parlamento de Galicia 9/2002 no es efectiva e insalvable por vía interpretativa. Ahora bien, por motivos opuestos a los indicados en los escritos de las partes demandada y codemandadas. Razona que el art. 96 de la Ley del Parlamento de Galicia 9/2002 “no contiene una regulación exhaustiva y completa del procedimiento de aprobación de la ordenación provisional tras la suspensión de un planeamiento”. Por ello, su no exigencia expresa de información pública para estos casos no se debe interpretar como una prohibición de exposición al público, de modo que ésta es posible en aplicación del art. 11.1 del texto refundido de la Ley de suelo y que sería posible, por ejemplo, coincidiendo en el tiempo con la audiencia al ayuntamiento afectado. Añade, además, que “la Sentencia que hemos aportado a Autos del Tribunal Supremo anulando las normas provisionales del municipio gallego de Barreiros fue dictada sin apreciar necesidad alguna de promover cuestión de inconstitucionalidad sobre el citado precepto”. Tal Sentencia, que no consta en el expediente remitido a este Tribunal, aunque la parte dice haberla aportado, es la STS de 5 de febrero de 2014, que es la que cita la providencia 17 de septiembre de 2015 por la que se abre el trámite de audiencia y a cuyo contenido se ha aludido en el subapartado 2 de este epígrafe.</w:t>
      </w:r>
    </w:p>
    <w:p w:rsidR="0033382B" w:rsidRDefault="0033382B" w:rsidP="0033382B">
      <w:pPr>
        <w:pStyle w:val="TextoNormal"/>
      </w:pPr>
    </w:p>
    <w:p w:rsidR="0033382B" w:rsidRDefault="0033382B" w:rsidP="0033382B">
      <w:pPr>
        <w:pStyle w:val="TextoNormal"/>
      </w:pPr>
      <w:r>
        <w:t>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(en adelante, Ley del Parlamento de Galicia 9/2002), por posible vulneración de lo dispuesto en los arts. 9.2 y 105 a) CE, así como de lo previsto en los números 1, 13, 18 y 23 del art. 149.1 CE.</w:t>
      </w:r>
    </w:p>
    <w:p w:rsidR="0033382B" w:rsidRDefault="0033382B" w:rsidP="0033382B">
      <w:pPr>
        <w:pStyle w:val="TextoNormal"/>
      </w:pPr>
    </w:p>
    <w:p w:rsidR="0033382B" w:rsidRDefault="0033382B" w:rsidP="0033382B">
      <w:pPr>
        <w:pStyle w:val="TextoNormal"/>
      </w:pPr>
      <w:r>
        <w:t>Su apartado “Fundamentos de Derecho” dice: “Único. Tal y como se apuntaba en la referida providencia, el presente recurso contencioso administrativo se dirige contra el Decreto 187/2011, de 29 de septiembre, de la Consellería de Medio Ambiente, Territorio e Infraestructuras, que acordó suspender parcialmente la vigencia del plan general de ordenación municipal de Ourense 1986, así como aprobar una ordenación urbanística provisional hasta la entrada en vigor del nuevo planeamiento. Se plantea, como motivo impugnatorio del citado Decreto, la falta de información pública en el procedimiento de elaboración y aprobación de la ordenación provisional, alegación que en principio conecta con el criterio plasmado en la Sentencia de la Sección Quinta de la Sala de los Contencioso-Administrativo del Tribunal Supremo, de cinco de febrero de 2014, estimatoria del recurso de casación interpuesto contra la Sentencia de esta Sala de 20 de enero de 2011. Ahora bien, para que tal motivo pudiera prosperar habría de ser inaplicado el citado artículo de la Ley del Parlamento de Galicia 9/2002, ya que en dicho precepto el legislador autonómico optó por omitir la exigencia de información pública en el procedimiento de aprobación de la normativa provisional, omisión que según la referida sentencia del Tribunal Supremo incurre en la infracción de los arts. 9.2 y 105 a) CE y si al mismo tiempo se considera que el mencionado art 96 se dictó en el ejercicio de la competencia exclusiva de la Comunidad Autónoma en materia de urbanismo, no parece que el tema debatido pueda resolverse acudiendo a la cláusula de prevalencia del derecho estatal conforme al art. 149.3 CE. Así, como quiera que la prosperabilidad de la alegación de que se trata, con los correspondientes efectos anulatorios, depende de la no aplicación del citado precepto de la Ley del Parlamento de Galicia 9/2002 en lo que respecta a la omisión del trámite asumida por la misma, cabe plantear la inconstitucionalidad de dicho art. 96 de la Ley del Parlamento de Galicia 9/2002, por considerarlo contrario a los referidos preceptos constitucionales y a los arts.149.1.1, 13, 18 y 23 CE en relación con el art. 11.1 del texto refundido de la Ley de suelo estatal”.</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providencia de 15 de diciembre de 2015 la Sección Tercera de este Tribunal acordó, a los efectos que determina el art. 37.1 de la Ley Orgánica del Tribunal Constitucional, oír al Fiscal General del Estado para que en el plazo de diez días alegase acerca de la admisibilidad de la presente cuestión de inconstitucionalidad, por si faltasen requisitos de procedibilidad o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4</w:t>
      </w:r>
      <w:r>
        <w:t>. El Fiscal General del Estado, en escrito registrado el 21 de enero de 2015, razona que no es adecuado el juicio de relevancia formulado por la Sala porque “no se han planteado dos extremos que a simple vista parecen fundamentales y que, de haber sido contemplados, podrían haber provocado que esa Sala ni siquiera hubiera llegado a plantear la presente cuestión: i) si el precepto por ella cuestionado lleva consigo una prohibición del trámite de información pública en el procedimiento de suspensión de la vigencia de un plan general de ordenación urbana y de aprobación de una ordenación urbanística provisional hasta la entrada en vigor del nuevo planeamiento que se contempla en el arto 96 de la Ley del Parlamento de Galicia 9/2002; y ii) si no podría en todo caso garantizarse la efectividad de ese trámite de información pública que en el Auto de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del Parlamento de Galicia 9/2002, que previene expresamente el trámite de información pública en el procedimiento ordinario de aprobación de un plan general. Omisiones estas que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0033382B" w:rsidRDefault="0033382B" w:rsidP="0033382B">
      <w:pPr>
        <w:pStyle w:val="TextoNormal"/>
      </w:pPr>
    </w:p>
    <w:p w:rsidR="0033382B" w:rsidRDefault="0033382B" w:rsidP="0033382B">
      <w:pPr>
        <w:pStyle w:val="TextoNormal"/>
      </w:pPr>
      <w:r>
        <w:t>Sostiene igualmente que la duda de constitucionalidad debe reputarse notoriamente infundada en el sentido que tiene esta expresión en la STC 165/2001, FJ 2. Argumenta que “lo cierto es que en el art. 96 de la Ley del Parlamento de Galicia 9/2002 ni hay previsión alguna que contradiga expresamente al citado precepto constitucional —por lo que se trataría, en todo caso, de una posible inconstitucionalidad por omisión— ni cabe interpretar el silencio de la norma como sinónimo de exclusión, pues la regulación legal que se cuestiona en nada obsta a la aplicación de las previsiones al respecto contenidas tanto en el art. 86 de la Ley 30/1992, de 26 de noviembre, de Régimen las Administraciones Públicas y del Procedimiento Administrativo Común, como en el art. 11 del texto refundido de la Ley de suelo, o incluso en el art. 85 de la Ley del Parlamento de Galicia 9/2002, que previene expresamente el trámite de información pública en el procedimiento ordinario de aprobación de un plan general. De modo que si se considerara, como hace la Sección Segunda de la Sala de lo Contencioso-Administrativo del Tribunal Superior de Justicia de Galicia, que el Decreto 187/2011, de 29 de septiembre, adolece de ausencia de información pública en el procedimiento elaboración y aprobación de la ordenación provisional contemplada en el art. 96 de la Ley del Parlamento de Galicia 9/2002, no sería necesario acudir a la declaración de inconstitucionalidad del citado precepto, por omisión del trámite de información pública en el procedimiento de aprobación de la normativa provisional, con infracción del art. 105 a) CE, puesto que tal precepto en modo alguno la prohíbe, sino bastaría, para fundar su exigencia, con acudir a lo establecido en los preceptos ya citados”.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del Parlamento de Galicia 9/2002 vulnere lo dispuesto en los arts. 9.2 y 105 a) CE, así como que, por ser incompatible con el art. 11 del texto refundido de la Ley de suelo (“todos los instrumentos de ordenación territorial y de ordenación y ejecución urbanísticas deben ser sometidos al trámite de información pública”), desconozca lo previsto en los números 1, 13, 18 y 23 del art. 149.1 CE.</w:t>
      </w:r>
    </w:p>
    <w:p w:rsidR="0033382B" w:rsidRDefault="0033382B" w:rsidP="0033382B">
      <w:pPr>
        <w:pStyle w:val="TextoNormal"/>
      </w:pPr>
    </w:p>
    <w:p w:rsidR="0033382B" w:rsidRDefault="0033382B" w:rsidP="0033382B">
      <w:pPr>
        <w:pStyle w:val="TextoNormal"/>
      </w:pPr>
      <w:r>
        <w:t>La Fiscal General del Estado sostiene que la Sala no ha formulado adecuadamente el juicio de relevancia porque “no se ha planteado dos extremos que a simple vista parecen fundamentales y que, de haber sido contemplados, podrían haber provocado que esa Sala ni siquiera hubiera llegado a plantear la presente cuestión”. Además, en virtud de las razones detalladas en los antecedentes, entiende que la cuestión es notoriamente infundada. Por todo ello, insta su inadmisión.</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0033382B" w:rsidRDefault="0033382B" w:rsidP="0033382B">
      <w:pPr>
        <w:pStyle w:val="TextoNormal"/>
      </w:pPr>
    </w:p>
    <w:p w:rsidR="0033382B" w:rsidRDefault="0033382B" w:rsidP="0033382B">
      <w:pPr>
        <w:pStyle w:val="TextoNormal"/>
      </w:pPr>
      <w:r>
        <w:t>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0033382B" w:rsidRDefault="0033382B" w:rsidP="0033382B">
      <w:pPr>
        <w:pStyle w:val="TextoNormal"/>
      </w:pPr>
    </w:p>
    <w:p w:rsidR="0033382B" w:rsidRDefault="0033382B" w:rsidP="0033382B">
      <w:pPr>
        <w:pStyle w:val="TextoNormal"/>
      </w:pPr>
      <w:r>
        <w:t>El Auto de 3 de noviembre de 2015, que ha quedado transcrito íntegramente en sus fundamentos de derecho, se limita a citar los preceptos constitucionales que se consideran infringidos por el precepto legal cuestionado, sin exteriorizar de ningún modo el razonamiento que le lleva a esa conclusión. En estas circunstancias queda claro que el órgano judicial no ha colaborado con la justicia del Tribunal mediante un pormenorizado análisis de las graves cuestiones que se suscitan, lo que resulta obligado cuando se trata de instar la depuración del ordenamiento jurídico y, por ello, justificaría la inadmisión de esta cuestión de inconstitucionalidad por falta de requisitos procesales.</w:t>
      </w:r>
    </w:p>
    <w:p w:rsidR="0033382B" w:rsidRDefault="0033382B" w:rsidP="0033382B">
      <w:pPr>
        <w:pStyle w:val="TextoNormal"/>
      </w:pPr>
    </w:p>
    <w:p w:rsidR="0033382B" w:rsidRDefault="0033382B" w:rsidP="0033382B">
      <w:pPr>
        <w:pStyle w:val="TextoNormal"/>
      </w:pPr>
      <w:r>
        <w:t>En efecto, el Auto se limita a afirmar que “el legislador autonómico optó por omitir la exigencia de información pública en el procedimiento de aprobación de la normativa provisional, omisión que según la referida sentencia del Tribunal Supremo incurre en la infracción de los arts. 9.2 y 105 a) CE”. El Auto no realiza, ni siquiera de modo esquemático o aproximativo, ningún análisis del contenido de los arts. 9.2 y 105 a) CE y mucho menos contrasta ese contenido con la regulación autonómica cuestionada. Se limita a decir que tal contradicción ha sido declarada por la Sentencia de la Sala de lo Contencioso-Administrativo del Tribunal Supremo de 5 de febrero de 2014. Es importante destacar que la duda de constitucionalidad que da lugar a que el Tribunal Constitucional se pronuncie en este cauce procesal ha de ser necesariamente del órgano judicial, explicitada por él y no por remisión a lo que digan las partes u otros órganos judiciales (ATC 95/2004, de 23 de marzo, FJ 2).</w:t>
      </w:r>
    </w:p>
    <w:p w:rsidR="0033382B" w:rsidRDefault="0033382B" w:rsidP="0033382B">
      <w:pPr>
        <w:pStyle w:val="TextoNormal"/>
      </w:pPr>
    </w:p>
    <w:p w:rsidR="0033382B" w:rsidRDefault="0033382B" w:rsidP="0033382B">
      <w:pPr>
        <w:pStyle w:val="TextoNormal"/>
      </w:pPr>
      <w:r>
        <w:t>El órgano judicial, por lo que hace a la otra duda de constitucionalidad, y en este sentido se expresan las alegaciones de la Fiscal General del Estado, omite la consideración de elementos fundamentales que inciden en su duda de constitucionalidad. Se limita a decir que “como quiera que la prosperabilidad de la alegación de que se trata, con los correspondientes efectos anulatorios, depende de la no aplicación del citado precepto de la Ley del Parlamento de Galicia 9/2002 en lo que respecta a la omisión del trámite asumida por la misma, cabe plantear la inconstitucionalidad de dicho art. 96 de la Ley del Parlamento de Galicia 9/2002, por considerarlo contrario a los referidos preceptos constitucionales y a los arts. 149.1.1, 13, 18 y 23 CE en relación con el art. 11.1 del texto refundido de la Ley de suelo estatal”.</w:t>
      </w:r>
    </w:p>
    <w:p w:rsidR="0033382B" w:rsidRDefault="0033382B" w:rsidP="0033382B">
      <w:pPr>
        <w:pStyle w:val="TextoNormal"/>
      </w:pPr>
    </w:p>
    <w:p w:rsidR="0033382B" w:rsidRDefault="0033382B" w:rsidP="0033382B">
      <w:pPr>
        <w:pStyle w:val="TextoNormal"/>
      </w:pPr>
      <w:r>
        <w:t xml:space="preserve">Como se ve, no desarrolla cuál es el contenido y alcance de estos preceptos constitucionales, ni por tanto en qué medida el art. 11.1 del texto refundido de la Ley de suelo encuentra cobertura en ellos. Y, aun más importante, se limita a afirmar que el art. 96 de la Ley del Parlamento de Galicia 9/2002 es contrario al art. 11.1 del texto refundido de la Ley de suelo, sin profundizar en por qué, lo que es especialmente grave a la luz de las alegaciones formuladas por las partes al evacuar el trámite de audiencia </w:t>
      </w:r>
      <w:r w:rsidRPr="0033382B">
        <w:rPr>
          <w:i/>
        </w:rPr>
        <w:t>ex</w:t>
      </w:r>
      <w:r>
        <w:t xml:space="preserve"> art. 35.2 LOTC, que razonan sobre si existe contradicción efectiva e insalvable por vía interpretativa entre dichos preceptos legales, resultando esta cuestión realmente controvertida. A pesar de esta rica argumentación vertida en dichos escritos de alegaciones, el órgano judicial se limita en el Auto de planteamiento a reiterar literalmente el contenido de la providencia por la que abrió el trámite de audiencia, sin desarrollar ningún esfuerzo argumental para levantar la carga de fundar la inconstitucionalidad que sostiene.</w:t>
      </w:r>
    </w:p>
    <w:p w:rsidR="0033382B" w:rsidRDefault="0033382B" w:rsidP="0033382B">
      <w:pPr>
        <w:pStyle w:val="TextoNormal"/>
      </w:pPr>
    </w:p>
    <w:p w:rsidR="0033382B" w:rsidRDefault="0033382B" w:rsidP="0033382B">
      <w:pPr>
        <w:pStyle w:val="TextoNormal"/>
      </w:pPr>
      <w:r>
        <w:t>Dadas las circunstancias descritas, el Auto de planteamiento no hace un pormenorizado análisis de las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3</w:t>
      </w:r>
      <w:r>
        <w:t>.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w:t>
      </w:r>
    </w:p>
    <w:p w:rsidR="0033382B" w:rsidRDefault="0033382B" w:rsidP="0033382B">
      <w:pPr>
        <w:pStyle w:val="TextoNormal"/>
      </w:pPr>
    </w:p>
    <w:p w:rsidR="0033382B" w:rsidRDefault="0033382B" w:rsidP="0033382B">
      <w:pPr>
        <w:pStyle w:val="TextoNormal"/>
      </w:pPr>
      <w:r>
        <w:t>El Auto de planteamiento señala que el art. 96 de la Ley del Parlamento de Galicia 9/2002 contradice el art. 11.1 del texto refundido de la Ley de suelo,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227/1988 y 141/2014).</w:t>
      </w:r>
    </w:p>
    <w:p w:rsidR="0033382B" w:rsidRDefault="0033382B" w:rsidP="0033382B">
      <w:pPr>
        <w:pStyle w:val="TextoNormal"/>
      </w:pPr>
    </w:p>
    <w:p w:rsidR="0033382B" w:rsidRDefault="0033382B" w:rsidP="0033382B">
      <w:pPr>
        <w:pStyle w:val="TextoNormal"/>
      </w:pPr>
      <w:r>
        <w:t>Asentada esta premisa, procede examinar si hay contradicción efectiva e insalvable por vía interpretativa entre el art. 96 de la Ley del Parlamento de Galicia 9/2002 y el art. 11.1 del texto refundido de la Ley de suelo. Lo primero que interesa a este efecto es si el art. 96 de la Ley del Parlamento de Galicia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periodo intermedio, que incluso no tiene límite temporal en la redacción del art. 96 de la Ley del Parlamento de Galicia 9/2002, se prolongaría en la práctica durante años.</w:t>
      </w:r>
    </w:p>
    <w:p w:rsidR="0033382B" w:rsidRDefault="0033382B" w:rsidP="0033382B">
      <w:pPr>
        <w:pStyle w:val="TextoNormal"/>
      </w:pPr>
    </w:p>
    <w:p w:rsidR="0033382B" w:rsidRDefault="0033382B" w:rsidP="0033382B">
      <w:pPr>
        <w:pStyle w:val="TextoNormal"/>
      </w:pPr>
      <w:r>
        <w:t>Siguiendo con esta distinción, se aprecia que el art. 96 de la Ley del Parlamento de Galicia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del Parlamento de Galicia 9/2002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En fin, conforme a este planteamiento, queda claro que no hay contradicción efectiva e insalvable por vía interpretativa entre el art. 96 de la Ley del Parlamento de Galicia 9/2002 y el art. 11.1 del texto refundido de la Ley de suelo, lo que determina que la presente cuestión deba considerarse notoriamente infundada, según ha configurado este concepto la doctrina constitucional (por todos, ATC 121/2015, de 7 de julio, FJ 2).</w:t>
      </w:r>
    </w:p>
    <w:p w:rsidR="0033382B" w:rsidRDefault="0033382B" w:rsidP="0033382B">
      <w:pPr>
        <w:pStyle w:val="TextoNormal"/>
      </w:pPr>
    </w:p>
    <w:p w:rsidR="0033382B" w:rsidRDefault="0033382B" w:rsidP="0033382B">
      <w:pPr>
        <w:pStyle w:val="TextoNormal"/>
      </w:pPr>
      <w:r>
        <w:t>Llegados a la conclusión de que el art. 96 de la Ley del Parlamento de Galicia 9/2002 no impide que, en aplicación del art. 11.1 del texto refundido de la Ley de suelo, se confiera a los afectados por la ordenación provisional, durante la elaboración de ésta, un trámite de información pública, este precepto no resulta en absoluto contrario a los arts. 9.2 y 105 a) CE, por lo que esta segunda duda de constitucionalidad debe seguir la misma suerte que la anterior.</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 núm. 6576-2015, planteada por la Sección Segunda de la Sala de lo Contencioso-Administrativo del Tribunal Superior de Justicia de Galicia.</w:t>
      </w:r>
    </w:p>
    <w:p w:rsidR="0033382B" w:rsidRDefault="0033382B" w:rsidP="0033382B">
      <w:pPr>
        <w:pStyle w:val="TextoNormal"/>
      </w:pPr>
    </w:p>
    <w:p w:rsidR="0033382B" w:rsidRDefault="0033382B" w:rsidP="0033382B">
      <w:pPr>
        <w:pStyle w:val="TextoNormal"/>
      </w:pPr>
      <w:r>
        <w:t>Madrid, a tres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51" w:name="AUTO_2016_24"/>
      <w:r>
        <w:t>AUTO 24/2016, de 4 de febrero de 2016</w:t>
      </w:r>
    </w:p>
    <w:bookmarkEnd w:id="151"/>
    <w:p w:rsidR="0033382B" w:rsidRDefault="0033382B" w:rsidP="0033382B">
      <w:pPr>
        <w:pStyle w:val="TtuloResolucin"/>
      </w:pPr>
      <w:r>
        <w:t>Sección Segunda</w:t>
      </w:r>
    </w:p>
    <w:p w:rsidR="0033382B" w:rsidRDefault="0033382B" w:rsidP="0033382B">
      <w:pPr>
        <w:pStyle w:val="TextoNormalCentrado"/>
      </w:pPr>
      <w:r>
        <w:t>ECLI:ES:TC:2016:24A</w:t>
      </w:r>
    </w:p>
    <w:p w:rsidR="0033382B" w:rsidRDefault="0033382B" w:rsidP="0033382B">
      <w:pPr>
        <w:pStyle w:val="TextoNormalCentrado"/>
      </w:pPr>
    </w:p>
    <w:p w:rsidR="0033382B" w:rsidRDefault="0033382B" w:rsidP="0033382B">
      <w:pPr>
        <w:pStyle w:val="SntesisDescriptiva"/>
      </w:pPr>
      <w:r>
        <w:t>Excms. Srs. don Andrés Ollero Tassara y don Santiago Martínez-Vares García.</w:t>
      </w:r>
    </w:p>
    <w:p w:rsidR="0033382B" w:rsidRDefault="0033382B" w:rsidP="0033382B">
      <w:pPr>
        <w:pStyle w:val="SntesisDescriptiva"/>
      </w:pPr>
    </w:p>
    <w:p w:rsidR="0033382B" w:rsidRDefault="0033382B" w:rsidP="0033382B">
      <w:pPr>
        <w:pStyle w:val="SntesisDescriptiva"/>
      </w:pPr>
      <w:r>
        <w:t>Desestima el recurso de súplica del Ministerio Fiscal sobre inadmisión del recurso de amparo 7093-2014, promovido por don Aitor Zuzaya Pagola y otras personas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recibido en el Registro General de este Tribunal Constitucional el 25 de noviembre de 2014, el Procurador don Ramiro Reynolds Martínez, en nombre y representación de don Aitor Zuzaya Pagola y de doña Maria Belén Burgui Aramburu, interpuso recurso de amparo contra la Sentencia de la Sala de lo Contencioso-Administrativo del Tribunal Superior de Justicia del País Vasco, dictada el 8 de abril de 2015, por vulnerar el derecho a la tutela judicial efectiva, al haber denegado sin motivación válida los motivos de nulidad del acto administrativo impugnado y por infringir el principio de igualdad.</w:t>
      </w:r>
    </w:p>
    <w:p w:rsidR="0033382B" w:rsidRDefault="0033382B" w:rsidP="0033382B">
      <w:pPr>
        <w:pStyle w:val="TextoNormal"/>
      </w:pPr>
    </w:p>
    <w:p w:rsidR="0033382B" w:rsidRDefault="0033382B" w:rsidP="0033382B">
      <w:pPr>
        <w:pStyle w:val="TextoNormal"/>
      </w:pPr>
      <w:r w:rsidRPr="0033382B">
        <w:rPr>
          <w:rStyle w:val="NumeroAFNegritaCaracter"/>
        </w:rPr>
        <w:t>2</w:t>
      </w:r>
      <w:r>
        <w:t>. La Sección Segunda de este Tribunal, mediante providencia de 16 de noviembre de 2015, acordó inadmitir a trámite la demanda de amparo, de conformidad con el art. 50.1 a) en relación con el art. 44.1, ambos de la Ley Orgánica del Tribunal Constitucional (LOTC), dada la manifiesta inexistencia de violación de un derecho fundamental tutelable en amparo.</w:t>
      </w:r>
    </w:p>
    <w:p w:rsidR="0033382B" w:rsidRDefault="0033382B" w:rsidP="0033382B">
      <w:pPr>
        <w:pStyle w:val="TextoNormal"/>
      </w:pPr>
    </w:p>
    <w:p w:rsidR="0033382B" w:rsidRDefault="0033382B" w:rsidP="0033382B">
      <w:pPr>
        <w:pStyle w:val="TextoNormal"/>
      </w:pPr>
      <w:r w:rsidRPr="0033382B">
        <w:rPr>
          <w:rStyle w:val="NumeroAFNegritaCaracter"/>
        </w:rPr>
        <w:t>3</w:t>
      </w:r>
      <w:r>
        <w:t>. Contra la referida providencia el Ministerio Fiscal, mediante escrito presentado el 17 de diciembre de 2015, interpuso recurso de súplica, alegando que por providencia de la Sala Segunda del Tribunal Constitucional se ha admitido a trámite la demanda de amparo núm. 1388-2014 sustancialmente igual al presente y que ha sido informado por el Ministerio Fiscal solicitando el otorgamiento del amparo, por lo que procede estimar el recurso de súplica dejando sin efecto la providencia de inadmisión recaída.</w:t>
      </w:r>
    </w:p>
    <w:p w:rsidR="0033382B" w:rsidRDefault="0033382B" w:rsidP="0033382B">
      <w:pPr>
        <w:pStyle w:val="TextoNormal"/>
      </w:pPr>
    </w:p>
    <w:p w:rsidR="0033382B" w:rsidRDefault="0033382B" w:rsidP="0033382B">
      <w:pPr>
        <w:pStyle w:val="TextoNormal"/>
      </w:pPr>
      <w:r w:rsidRPr="0033382B">
        <w:rPr>
          <w:rStyle w:val="NumeroAFNegritaCaracter"/>
        </w:rPr>
        <w:t>4</w:t>
      </w:r>
      <w:r>
        <w:t>. Por diligencia de ordenación de 21 de diciembre de 2015 se acordó dar traslado del recurso de súplica a los demandantes, para que en el plazo de tres días alegaran lo que estimasen pertinente, de conformidad con el art. 93.2 LOTC. Su representación procesal presentó el 30 de diciembre de 2015 escrito en el que se adhiere al recurso de súplica interpuesto por el Ministerio Fiscal, abundando en los argumentos por los que considera vulnerados los derechos invocados.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Ministerio Fiscal sustenta el recurso en la igualdad sustancial de la presente demanda, que ha sido inadmitida por la providencia recurrida, y la registrada con el núm. 1388-2014 que, sin embargo, ha sido admitida a trámite, emitiendo el Ministerio Fiscal en dicho proceso constitucional informe favorable a su estimación.</w:t>
      </w:r>
    </w:p>
    <w:p w:rsidR="0033382B" w:rsidRDefault="0033382B" w:rsidP="0033382B">
      <w:pPr>
        <w:pStyle w:val="TextoNormal"/>
      </w:pPr>
    </w:p>
    <w:p w:rsidR="0033382B" w:rsidRDefault="0033382B" w:rsidP="0033382B">
      <w:pPr>
        <w:pStyle w:val="TextoNormal"/>
      </w:pPr>
      <w:r w:rsidRPr="0033382B">
        <w:rPr>
          <w:rStyle w:val="NumeroAFNegritaCaracter"/>
        </w:rPr>
        <w:t>2</w:t>
      </w:r>
      <w:r>
        <w:t>. Planteada la cuestión en tales términos es necesario comprobar si la identidad sustancial que sustenta el recurso de súplica concurre, lo que nos obliga a verificar si tal coincidencia se puede predicar de las resoluciones impugnadas —en sendos recursos de amparo— en relación con las vulneraciones invocadas en cada una de las demandas.</w:t>
      </w:r>
    </w:p>
    <w:p w:rsidR="0033382B" w:rsidRDefault="0033382B" w:rsidP="0033382B">
      <w:pPr>
        <w:pStyle w:val="TextoNormal"/>
      </w:pPr>
    </w:p>
    <w:p w:rsidR="0033382B" w:rsidRDefault="0033382B" w:rsidP="0033382B">
      <w:pPr>
        <w:pStyle w:val="TextoNormal"/>
      </w:pPr>
      <w:r>
        <w:t>Con carácter previo procede advertir que la presente demanda de amparo tiene relación, que no identidad —tal y como se expondrá—, con la registrada con el núm. 1388-2014. En cambio, dicha identidad si se observa con otras tres demandas de amparo (recursos núms. 7131-2014, 1809-2015 y 1826-2015), que han sido inadmitidas por providencias dictadas por las Secciones Primera y Segunda apreciando “la manifiesta inexistencia de violación de un derecho fundamental tutelable en amparo”.</w:t>
      </w:r>
    </w:p>
    <w:p w:rsidR="0033382B" w:rsidRDefault="0033382B" w:rsidP="0033382B">
      <w:pPr>
        <w:pStyle w:val="TextoNormal"/>
      </w:pPr>
    </w:p>
    <w:p w:rsidR="0033382B" w:rsidRDefault="0033382B" w:rsidP="0033382B">
      <w:pPr>
        <w:pStyle w:val="TextoNormal"/>
      </w:pPr>
      <w:r>
        <w:t>La pretendida identidad sustancial entre el presente recurso de amparo y el sustanciado ante la Sala Segunda de este Tribunal con el núm. 1388-2014 es, como se ha anticipado, meramente aparente. De la lectura de la Sentencia de la Sala de lo Contencioso-Administrativo del País Vasco que se impugna en el presente recurso de amparo y a la que se atribuye la vulneración del derecho a la tutela judicial efectiva por no haber planteado la cuestión de inconstitucionalidad —entiéndase, la cuestión prejudicial—, resulta que aborda la pretensión de la parte relativa a este extremo y expone —de forma razonada y extensa— por qué no procede plantear la cuestión prejudicial, al considerar que el art. 26.2 de la Norma Foral 8/98 no vulnera los principios de seguridad jurídica e interdicción de la arbitrariedad (art. 9.3 CE), así como el principio de igualdad y no discriminación (art. 14 CE).</w:t>
      </w:r>
    </w:p>
    <w:p w:rsidR="0033382B" w:rsidRDefault="0033382B" w:rsidP="0033382B">
      <w:pPr>
        <w:pStyle w:val="TextoNormal"/>
      </w:pPr>
    </w:p>
    <w:p w:rsidR="0033382B" w:rsidRDefault="0033382B" w:rsidP="0033382B">
      <w:pPr>
        <w:pStyle w:val="TextoNormal"/>
      </w:pPr>
      <w:r>
        <w:t>Dicho razonamiento satisface las exigencias derivadas del derecho a la tutela judicial efectiva, pues como hemos recordado recientemente —con cita de otras Sentencias— en la STC 262/2015, de 14 de diciembre, FJ 2, la decisión sobre el planteamiento de una cuestión prejudicial sobre normas forales fiscales prevista en la disposición adicional quinta LOTC corresponde, de forma exclusiva e irrevisable, al órgano judicial que resuelve el litigio, “por lo que ninguna vulneración existe de los derechos garantizados por el art. 24.1 CE cuando el Juez o Tribunal no alberga dudas sobre la constitucionalidad de la Norma Foral fiscal aplicable al caso concreto y decide por ello, en contra de la opinión del justiciable, no plantear la cuestión al Tribunal Constitucional que se le solicita (SSTC 58/2004, de 19 de abril, FJ 10; 84/2008, de 21 de julio, FJ 5; 26/2009, de 26 de enero, FJ 2; y 212/2014, de 18 de diciembre, FJ 3). Ahora bien, ‘el que esta potestad de los Jueces y Tribunales esté configurada de manera exclusiva no significa, en modo alguno, que no deba ser exteriorizado, de manera suficiente y adecuada, el razonamiento que, desde la perspectiva tanto fáctica como jurídica, ha llevado al órgano judicial a la decisión de plantear o no dicha cuestión de inconstitucionalidad, pues no cabe olvidar que la exigencia de motivación de las Sentencias tiene rango constitucional (art. 120 CE)’ (STC 35/2002, de 11 de febrero, FJ 3).”</w:t>
      </w:r>
    </w:p>
    <w:p w:rsidR="0033382B" w:rsidRDefault="0033382B" w:rsidP="0033382B">
      <w:pPr>
        <w:pStyle w:val="TextoNormal"/>
      </w:pPr>
    </w:p>
    <w:p w:rsidR="0033382B" w:rsidRDefault="0033382B" w:rsidP="0033382B">
      <w:pPr>
        <w:pStyle w:val="TextoNormal"/>
      </w:pPr>
      <w:r>
        <w:t>Por el contrario en la Sentencia de la Sala de lo Contencioso-Administrativo del País Vasco de 12 de noviembre de 2013, que es objeto de impugnación en el recurso de amparo núm. 1388-2014, este órgano judicial se atribuye la posibilidad de enjuiciar la constitucionalidad de la Norma Foral impugnada, indicando en su fundamento jurídico quinto: “la improcedencia de plantear cuestión de inconstitucionalidad, cuestión prejudicial ante el Tribunal Constitucional, como consecuencia de las reformas introducidas por la Ley Orgánica 1/2010, de 19 de febrero en la Ley Orgánica del Tribunal Constitucional, en la Ley Orgánica del Poder Judicial y en la Ley de la Jurisdicción Contencioso Administrativa, lo que lleva a ratificar que esta Sala mantiene la competencia para conocer la impugnación indirecta de la Norma Foral de IPRF (</w:t>
      </w:r>
      <w:r w:rsidRPr="0033382B">
        <w:rPr>
          <w:i/>
        </w:rPr>
        <w:t>sic</w:t>
      </w:r>
      <w:r>
        <w:t>) por estar ante un recurso no solo interpuesto con anterioridad a la entrada en vigor de la Ley Orgánica 1/2010, a los veinte días de su publicación, en el ‘Boletín Oficial del Estado’ el 20 de febrero de 2010, sino también con anterioridad a la formalización de la demanda en la que se formalizó la impugnación indirecta … por lo que ratificamos la competencia de la Sala para conocer la impugnación indirecta de la Norma Foral”.</w:t>
      </w:r>
    </w:p>
    <w:p w:rsidR="0033382B" w:rsidRDefault="0033382B" w:rsidP="0033382B">
      <w:pPr>
        <w:pStyle w:val="TextoNormal"/>
      </w:pPr>
    </w:p>
    <w:p w:rsidR="0033382B" w:rsidRDefault="0033382B" w:rsidP="0033382B">
      <w:pPr>
        <w:pStyle w:val="TextoNormal"/>
      </w:pPr>
      <w:r>
        <w:t>Por tanto, la argumentación de la Sentencia, impugnada en el recurso de amparo núm. 1388-2014, concluye en la inaplicación de la reforma introducida en la Ley Orgánica del Tribunal Constitucional por la Ley Orgánica 1/2010 y consiguientemente en la afirmación de la competencia para anular el art. 26.2 de la Norma Foral 8/1998 de 24, de diciembre, del impuesto sobre la renta de las personas físicas.</w:t>
      </w:r>
    </w:p>
    <w:p w:rsidR="0033382B" w:rsidRDefault="0033382B" w:rsidP="0033382B">
      <w:pPr>
        <w:pStyle w:val="TextoNormal"/>
      </w:pPr>
    </w:p>
    <w:p w:rsidR="0033382B" w:rsidRDefault="0033382B" w:rsidP="0033382B">
      <w:pPr>
        <w:pStyle w:val="TextoNormal"/>
      </w:pPr>
      <w:r>
        <w:t>La falta de identidad sustancial entre ambas Sentencias, no solo se advierte en lo relativo a la argumentación por la que se concluye que no procede el planteamiento de la cuestión prejudicial, sino también en el resto del razonamiento por el que se desestima el recurso contencioso-administrativo, por lo que no puede compartirse el único motivo en el que se sustenta el recurso de súplica interpuesto por el Ministerio Fiscal.</w:t>
      </w:r>
    </w:p>
    <w:p w:rsidR="0033382B" w:rsidRDefault="0033382B" w:rsidP="0033382B">
      <w:pPr>
        <w:pStyle w:val="TextoNormal"/>
      </w:pPr>
    </w:p>
    <w:p w:rsidR="0033382B" w:rsidRDefault="0033382B" w:rsidP="0033382B">
      <w:pPr>
        <w:pStyle w:val="TextoNormal"/>
      </w:pPr>
      <w:r>
        <w:t>A lo anterior debemos añadir que el recurso de amparo núm. 1388-2014, a cuya pretendida identidad sustancial se aludía por el Ministerio Fiscal para fundamentar su recurso de súplica, ha sido desestimada por Sentencia de la Sala Segunda del Tribunal Constitucional de 19 de enero de 2016.</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Desestimar el recurso de súplica interpuesto por el Ministerio Fiscal contra la providencia de 16 de noviembre de 2015.</w:t>
      </w:r>
    </w:p>
    <w:p w:rsidR="0033382B" w:rsidRDefault="0033382B" w:rsidP="0033382B">
      <w:pPr>
        <w:pStyle w:val="TextoNormal"/>
      </w:pPr>
    </w:p>
    <w:p w:rsidR="0033382B" w:rsidRDefault="0033382B" w:rsidP="0033382B">
      <w:pPr>
        <w:pStyle w:val="TextoNormal"/>
      </w:pPr>
      <w:r>
        <w:t>Madrid, a cuatro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52" w:name="AUTO_2016_25"/>
      <w:r>
        <w:t>AUTO 25/2016, de 5 de febrero de 2016</w:t>
      </w:r>
    </w:p>
    <w:bookmarkEnd w:id="152"/>
    <w:p w:rsidR="0033382B" w:rsidRDefault="0033382B" w:rsidP="0033382B">
      <w:pPr>
        <w:pStyle w:val="TtuloResolucin"/>
      </w:pPr>
      <w:r>
        <w:t>Sección Cuarta</w:t>
      </w:r>
    </w:p>
    <w:p w:rsidR="0033382B" w:rsidRDefault="0033382B" w:rsidP="0033382B">
      <w:pPr>
        <w:pStyle w:val="TextoNormalCentrado"/>
      </w:pPr>
      <w:r>
        <w:t>ECLI:ES:TC:2016:25A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153" w:name="AUTO_2016_26"/>
      <w:r>
        <w:t>AUTO 26/2016, de 5 de febrero de 2016</w:t>
      </w:r>
    </w:p>
    <w:bookmarkEnd w:id="153"/>
    <w:p w:rsidR="0033382B" w:rsidRDefault="0033382B" w:rsidP="0033382B">
      <w:pPr>
        <w:pStyle w:val="TtuloResolucin"/>
      </w:pPr>
      <w:r>
        <w:t>Sección Cuarta</w:t>
      </w:r>
    </w:p>
    <w:p w:rsidR="0033382B" w:rsidRDefault="0033382B" w:rsidP="0033382B">
      <w:pPr>
        <w:pStyle w:val="TextoNormalCentrado"/>
      </w:pPr>
      <w:r>
        <w:t>ECLI:ES:TC:2016:26A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154" w:name="AUTO_2016_27"/>
      <w:r>
        <w:t>AUTO 27/2016, de 8 de febrero de 2016</w:t>
      </w:r>
    </w:p>
    <w:bookmarkEnd w:id="154"/>
    <w:p w:rsidR="0033382B" w:rsidRDefault="0033382B" w:rsidP="0033382B">
      <w:pPr>
        <w:pStyle w:val="TtuloResolucin"/>
      </w:pPr>
      <w:r>
        <w:t>Sección Segunda</w:t>
      </w:r>
    </w:p>
    <w:p w:rsidR="0033382B" w:rsidRDefault="0033382B" w:rsidP="0033382B">
      <w:pPr>
        <w:pStyle w:val="TextoNormalCentrado"/>
      </w:pPr>
      <w:r>
        <w:t>ECLI:ES:TC:2016:27A</w:t>
      </w:r>
    </w:p>
    <w:p w:rsidR="0033382B" w:rsidRDefault="0033382B" w:rsidP="0033382B">
      <w:pPr>
        <w:pStyle w:val="TextoNormalCentrado"/>
      </w:pPr>
    </w:p>
    <w:p w:rsidR="0033382B" w:rsidRDefault="0033382B" w:rsidP="0033382B">
      <w:pPr>
        <w:pStyle w:val="SntesisDescriptiva"/>
      </w:pPr>
      <w:r>
        <w:t>Excms. Srs. don Andrés Ollero Tassara y don Santiago Martínez-Vares García.</w:t>
      </w:r>
    </w:p>
    <w:p w:rsidR="0033382B" w:rsidRDefault="0033382B" w:rsidP="0033382B">
      <w:pPr>
        <w:pStyle w:val="SntesisDescriptiva"/>
      </w:pPr>
    </w:p>
    <w:p w:rsidR="0033382B" w:rsidRDefault="0033382B" w:rsidP="0033382B">
      <w:pPr>
        <w:pStyle w:val="SntesisDescriptiva"/>
      </w:pPr>
      <w:r>
        <w:t>Desestima el recurso de súplica del Ministerio Fiscal sobre inadmisión del recurso de amparo 4983-2015, promovido por don Andrés Martínez López-Puigcerver y otra persona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presentado en el Registro General de este Tribunal el 8 de septiembre de 2015, don Andrés Martínez López-Puigcerver y don Emilio Martínez López-Puigcerver, interpusieron recurso de amparo contra la Sentencia de la Sala de lo Civil del Tribunal Supremo de 9 de junio de 2011 que resolvía el recurso de casación e infracción procesal, y contra la providencia de 23 de abril de 2013 que inadmitía el incidente de nulidad de actuaciones interpuesto contra la anterior.</w:t>
      </w:r>
    </w:p>
    <w:p w:rsidR="0033382B" w:rsidRDefault="0033382B" w:rsidP="0033382B">
      <w:pPr>
        <w:pStyle w:val="TextoNormal"/>
      </w:pPr>
    </w:p>
    <w:p w:rsidR="0033382B" w:rsidRDefault="0033382B" w:rsidP="0033382B">
      <w:pPr>
        <w:pStyle w:val="TextoNormal"/>
      </w:pPr>
      <w:r w:rsidRPr="0033382B">
        <w:rPr>
          <w:rStyle w:val="NumeroAFNegritaCaracter"/>
        </w:rPr>
        <w:t>2</w:t>
      </w:r>
      <w:r>
        <w:t>. En síntesis, los hechos de los que trae causa la demanda de amparo son los siguientes:</w:t>
      </w:r>
    </w:p>
    <w:p w:rsidR="0033382B" w:rsidRDefault="0033382B" w:rsidP="0033382B">
      <w:pPr>
        <w:pStyle w:val="TextoNormal"/>
      </w:pPr>
    </w:p>
    <w:p w:rsidR="0033382B" w:rsidRDefault="0033382B" w:rsidP="0033382B">
      <w:pPr>
        <w:pStyle w:val="TextoNormal"/>
      </w:pPr>
      <w:r>
        <w:t>a) Ante el Juzgado de Primera Instancia núm. 2 de Orgaz, se siguieron los autos del juicio de mayor cuantía, en los que doña Francisca López-Puigcerver Blanco, madre de los demandantes de amparo, actuaba, junto con otros, como demandada y actora reconvencional. El Juzgado dictó Sentencia por la que estimó la demanda y desestimó la reconvención condenado en costas a doña Francisca, junto con los otros demandados.</w:t>
      </w:r>
    </w:p>
    <w:p w:rsidR="0033382B" w:rsidRDefault="0033382B" w:rsidP="0033382B">
      <w:pPr>
        <w:pStyle w:val="TextoNormal"/>
      </w:pPr>
    </w:p>
    <w:p w:rsidR="0033382B" w:rsidRDefault="0033382B" w:rsidP="0033382B">
      <w:pPr>
        <w:pStyle w:val="TextoNormal"/>
      </w:pPr>
      <w:r>
        <w:t>b) El 17 de septiembre de 2007, la Sección Segunda de la Audiencia Provincial de Toledo resolvió por Sentencia el recurso de apelación, que había sido interpuesto por algunos demandados —entre los que no se encontraba doña Francisca—, desestimando la demanda y estimando la reconvención.</w:t>
      </w:r>
    </w:p>
    <w:p w:rsidR="0033382B" w:rsidRDefault="0033382B" w:rsidP="0033382B">
      <w:pPr>
        <w:pStyle w:val="TextoNormal"/>
      </w:pPr>
    </w:p>
    <w:p w:rsidR="0033382B" w:rsidRDefault="0033382B" w:rsidP="0033382B">
      <w:pPr>
        <w:pStyle w:val="TextoNormal"/>
      </w:pPr>
      <w:r>
        <w:t>c) Frente a dicha Sentencia, los actores interpusieron recurso extraordinario por infracción procesal y por el Procurador don Ignacio Cuadrado Ruescas en representación, entre otros, doña Francisca López-Puigcerver, recurso de casación y extraordinario por infracción procesal. Los recursos fueron admitidos por Auto de la Sala Civil del Tribunal Supremo de 23 de junio de 2009 y finalmente por Sentencia de 9 de junio de 2011, se estimó el recurso extraordinario por infracción procesal interpuesto por los actores y fueron desestimados los interpuestos por los demandados, exponiéndose, en relación con el recurso interpuesto por doña Francisca López-Puigcerver, en el fundamento jurídico quinto, lo siguiente:</w:t>
      </w:r>
    </w:p>
    <w:p w:rsidR="0033382B" w:rsidRDefault="0033382B" w:rsidP="0033382B">
      <w:pPr>
        <w:pStyle w:val="TextoNormal"/>
      </w:pPr>
    </w:p>
    <w:p w:rsidR="0033382B" w:rsidRDefault="0033382B" w:rsidP="0033382B">
      <w:pPr>
        <w:pStyle w:val="TextoNormal"/>
      </w:pPr>
      <w:r>
        <w:t>“QUINTO.- Recurso por infracción procesal y de casación interpuesto por doña Francisca López-Puigcerver Blanco y otros.</w:t>
      </w:r>
    </w:p>
    <w:p w:rsidR="0033382B" w:rsidRDefault="0033382B" w:rsidP="0033382B">
      <w:pPr>
        <w:pStyle w:val="TextoNormal"/>
      </w:pPr>
    </w:p>
    <w:p w:rsidR="0033382B" w:rsidRDefault="0033382B" w:rsidP="0033382B">
      <w:pPr>
        <w:pStyle w:val="TextoNormal"/>
      </w:pPr>
      <w:r>
        <w:t>Los referidos recursos, interpuestos por quienes no fueron apelantes y, en consecuencia, evidenciaron su asentimiento a lo resuelto en primera instancia en sentencia que era desfavorable a sus pretensiones- lo que ahora les priva de legitimación para recurrir- ha quedado, en todo caso, sin objeto en cuanto pretende la extensión a los mismos de lo resuelto por la sentencia de apelación sobre la estimación de la reconvención, pronunciamiento que ahora queda sin efecto y que, en consecuencia, no puede beneficiarles.”</w:t>
      </w:r>
    </w:p>
    <w:p w:rsidR="0033382B" w:rsidRDefault="0033382B" w:rsidP="0033382B">
      <w:pPr>
        <w:pStyle w:val="TextoNormal"/>
      </w:pPr>
    </w:p>
    <w:p w:rsidR="0033382B" w:rsidRDefault="0033382B" w:rsidP="0033382B">
      <w:pPr>
        <w:pStyle w:val="TextoNormal"/>
      </w:pPr>
      <w:r>
        <w:t>d) Mediante escrito de 15 de febrero de 2015 don Anibal Bordallo Huidobro, en representación de los demandantes de amparo, promovió incidente de nulidad de actuaciones, alegando indefensión por no hacerse activado el mecanismo de la sucesión procesal pese al fallecimiento de su madre el 15 de octubre de 2007, refiriendo que el recurso de casación se interpuso por la representación procesal de su madre tras su fallecimiento, por lo que el poder había cesado.</w:t>
      </w:r>
    </w:p>
    <w:p w:rsidR="0033382B" w:rsidRDefault="0033382B" w:rsidP="0033382B">
      <w:pPr>
        <w:pStyle w:val="TextoNormal"/>
      </w:pPr>
    </w:p>
    <w:p w:rsidR="0033382B" w:rsidRDefault="0033382B" w:rsidP="0033382B">
      <w:pPr>
        <w:pStyle w:val="TextoNormal"/>
      </w:pPr>
      <w:r>
        <w:t>e) Por providencia de 23 de abril de 2013, dictada por la Sala de lo Civil del Tribunal Supremo, se inadmitió el incidente de nulidad de actuaciones por haberlo presentado fuera del plazo de veinte días, por cuanto que consta que la Sentencia fue notificada a la representación procesal de la recurrente fallecida el 21 de junio de 2011. Añade que la representación procesal no puso en conocimiento de la Sala el fallecimiento de su representada, teniendo constancia del deceso por la manifestación efectuada por la representación de la actora. Y que “con independencia del posible defecto material acontecido en el presente rollo relativo a la sucesión procesal de la recurrente fallecida, en ningún caso llevaría consigo la modificación de la ratio decidendi y consiguiente fallo de la sentencia cuestionada. Todo ello, perjuicio de que la parte haga valer dicho defecto material en el supuesto de tramitación de tasación de costas ocasionadas ante esta Sala” (</w:t>
      </w:r>
      <w:r w:rsidRPr="0033382B">
        <w:rPr>
          <w:i/>
        </w:rPr>
        <w:t>sic</w:t>
      </w:r>
      <w:r>
        <w:t>).</w:t>
      </w:r>
    </w:p>
    <w:p w:rsidR="0033382B" w:rsidRDefault="0033382B" w:rsidP="0033382B">
      <w:pPr>
        <w:pStyle w:val="TextoNormal"/>
      </w:pPr>
    </w:p>
    <w:p w:rsidR="0033382B" w:rsidRDefault="0033382B" w:rsidP="0033382B">
      <w:pPr>
        <w:pStyle w:val="TextoNormal"/>
      </w:pPr>
      <w:r w:rsidRPr="0033382B">
        <w:rPr>
          <w:rStyle w:val="NumeroAFNegritaCaracter"/>
        </w:rPr>
        <w:t>3</w:t>
      </w:r>
      <w:r>
        <w:t>. La demanda de amparo denuncia la vulneración del derecho a la tutela judicial efectiva sin indefensión (art. 24.1 CE), como consecuencia de que el Tribunal Supremo no dio lugar al mecanismo de la sucesión procesal previsto en el art. 16 de la Ley de enjuiciamiento civil (LEC), así como por el incumplimiento de la obligación legal de notificarles la pendencia del procedimiento (art. 150.2 LEC), ante el fallecimiento de su madre, doña Francisca López-Puigcerver Blanco. Extiende la vulneración a la motivación de la providencia de inadmisión del incidente de nulidad de actuaciones.</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23 de noviembre de 2015, la Sección Segunda del Tribunal Constitucional, acordó inadmitir a trámite el recurso de amparo dada la manifiesta inexistencia de violación de un derecho fundamental tutelable en amparo (44.1 LOTC).</w:t>
      </w:r>
    </w:p>
    <w:p w:rsidR="0033382B" w:rsidRDefault="0033382B" w:rsidP="0033382B">
      <w:pPr>
        <w:pStyle w:val="TextoNormal"/>
      </w:pPr>
    </w:p>
    <w:p w:rsidR="0033382B" w:rsidRDefault="0033382B" w:rsidP="0033382B">
      <w:pPr>
        <w:pStyle w:val="TextoNormal"/>
      </w:pPr>
      <w:r w:rsidRPr="0033382B">
        <w:rPr>
          <w:rStyle w:val="NumeroAFNegritaCaracter"/>
        </w:rPr>
        <w:t>5</w:t>
      </w:r>
      <w:r>
        <w:t>. El Ministerio Fiscal interpuso, el 12 de enero de 2016, recurso de súplica frente a la providencia de inadmisión.</w:t>
      </w:r>
    </w:p>
    <w:p w:rsidR="0033382B" w:rsidRDefault="0033382B" w:rsidP="0033382B">
      <w:pPr>
        <w:pStyle w:val="TextoNormal"/>
      </w:pPr>
    </w:p>
    <w:p w:rsidR="0033382B" w:rsidRDefault="0033382B" w:rsidP="0033382B">
      <w:pPr>
        <w:pStyle w:val="TextoNormal"/>
      </w:pPr>
      <w:r>
        <w:t>Considera el Fiscal que el examen de la documentación aportada y las alegaciones vertidas en la demanda de amparo no permiten descartar la existencia de una apariencia de lesión constitucional del derecho a la tutela judicial efectiva sin indefensión (art. 24.1 CE). Razona que aunque la Sala de lo Civil tuvo conocimiento del fallecimiento de doña Francisca López-Puigcerver Blanco antes de resolver el recurso de casación e infracción procesal interpuesto por su representación procesal, no hay constancia de que activara el mecanismo de sucesión procesal por muerte previsto en el art. 16 LEC, a fin de posibilitar la personación de los demandantes de amparo en defensa de sus derechos e intereses legítimos, lo que vulneró el derecho invocado (STC 54/2014, FJ 4). Considera que la vulneración se perpetuó con la desestimación del incidente de nulidad de actuaciones por la providencia de 23 de abril de 2013, pues “al margen de si el resultado y fallo del recurso hubiera sido exactamente el mismo, lo cierto es que la no activación del mecanismo de sucesión procesal impidió a los recurrentes hacer uso de la facultad de personación que les concede el art. 16 LEC y, por tanto, les privó de su derecho a tomar alguna decisión acerca del propio mantenimiento o no del recurso o, por el contrario, su desistimiento, con los consiguientes efectos procesales, respectivamente, derivados de su posicionamiento final.”</w:t>
      </w:r>
    </w:p>
    <w:p w:rsidR="0033382B" w:rsidRDefault="0033382B" w:rsidP="0033382B">
      <w:pPr>
        <w:pStyle w:val="TextoNormal"/>
      </w:pPr>
    </w:p>
    <w:p w:rsidR="0033382B" w:rsidRDefault="0033382B" w:rsidP="0033382B">
      <w:pPr>
        <w:pStyle w:val="TextoNormal"/>
      </w:pPr>
      <w:r w:rsidRPr="0033382B">
        <w:rPr>
          <w:rStyle w:val="NumeroAFNegritaCaracter"/>
        </w:rPr>
        <w:t>6</w:t>
      </w:r>
      <w:r>
        <w:t>. Mediante diligencia de ordenación de 13 de enero de 2016, la Sección Segunda del Tribunal Constitucional tuvo por interpuesto recurso de súplica por el Ministerio Fiscal y, de conformidad con el art. 50.3 de la Ley Orgánica del Tribunal Constitucional, acordó dar traslado a los demandantes de amparo por el plazo de tres días para que alegaran lo que estimaran pertinente. Los recurrentes, mediante escrito de 21 de enero de 2016, se adhirieron al recurso de súplica interpuesto por el Ministerio Fiscal.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Ministerio Fiscal recurre en súplica la providencia dictada por esta misma Sección en fecha de 23 de noviembre de 2015, por la que se acordó inadmitir a trámite el recurso de amparo (interpuesto contra la Sentencia de 9 de junio de 2011 y la providencia de 23 de abril de 2013, dictadas por la Sala de lo Civil del Tribunal Supremo), dada la manifiesta inexistencia de violación de un derecho fundamental tutelable en amparo.</w:t>
      </w:r>
    </w:p>
    <w:p w:rsidR="0033382B" w:rsidRDefault="0033382B" w:rsidP="0033382B">
      <w:pPr>
        <w:pStyle w:val="TextoNormal"/>
      </w:pPr>
    </w:p>
    <w:p w:rsidR="0033382B" w:rsidRDefault="0033382B" w:rsidP="0033382B">
      <w:pPr>
        <w:pStyle w:val="TextoNormal"/>
      </w:pPr>
      <w:r>
        <w:t>Según el Ministerio Público, la Sala de lo Civil del Tribunal Supremo tuvo conocimiento del fallecimiento de la recurrente, doña Francisca López-Puigcerver Blanco, antes de resolver el recurso de casación e infracción procesal interpuesto por su representación procesal, sin que diera lugar al mecanismo de sucesión procesal por muerte previsto en el art. 16 de la Ley de enjuiciamiento civil (LEC), imposibilitando con tal omisión, la personación de los demandantes de amparo en defensa de sus derechos e intereses legítimos. Dicha imposibilidad de personación, a juicio del Ministerio Fiscal, causó la vulneración del derecho a la tutela judicial efectiva, “al margen de si el resultado y fallo del recurso hubiera sido exactamente el mismo”.</w:t>
      </w:r>
    </w:p>
    <w:p w:rsidR="0033382B" w:rsidRDefault="0033382B" w:rsidP="0033382B">
      <w:pPr>
        <w:pStyle w:val="TextoNormal"/>
      </w:pPr>
    </w:p>
    <w:p w:rsidR="0033382B" w:rsidRDefault="0033382B" w:rsidP="0033382B">
      <w:pPr>
        <w:pStyle w:val="TextoNormal"/>
      </w:pPr>
      <w:r w:rsidRPr="0033382B">
        <w:rPr>
          <w:rStyle w:val="NumeroAFNegritaCaracter"/>
        </w:rPr>
        <w:t>2</w:t>
      </w:r>
      <w:r>
        <w:t>. Las razones expuestas en el recurso llevan a la conveniencia de exponer la doctrina constitucional en materia de indefensión, recordada ampliamente por la STC 258/2007, de 18 de diciembre —Pleno— (FJ 3): En efecto, este Tribunal ya desde la STC 48/1984, de 4 de abril, destacó, por un lado, que “la idea de indefensión engloba, entendida en un sentido amplio, a todas las demás violaciones de derechos constitucionales que pueden colocarse en el marco del art. 24” (FJ 1) y, por otro, que “[e]l concepto jurídico-constitucional de indefensión que el art. 24 de la Constitución permite y obliga a construir, no tiene por qué coincidir enteramente con la figura jurídico-procesal de la indefensión ... La conclusión que hay que sacar de ello es doble: por una parte, que no toda infracción de normas procesales se convierte por sí sola en indefensión jurídico-constitucional y por ende en violación de lo ordenado por el art. 24 de la Constitución; y, por otra parte, que la calificación de la indefensión con relevancia jurídico-constitucional o con repercusión o trascendencia en el orden constitucional ha de llevarse a cabo con la introducción de factores diferentes del mero respeto —o, a la inversa, de la infracción de las normas procesales y del rigor formal del enjuiciamiento” (FJ 1). Así, en la STC 48/1986, de 23 de abril, se señaló que “una indefensión constitucionalmente relevante no tiene lugar siempre que se vulneren cualesquiera normas procesales, sino sólo cuando con esa vulneración se aparejan consecuencias prácticas consistentes en la privación del derecho de defensa y en un perjuicio real y efectivo de los intereses del afectado por ella” (FJ 1). Este Tribunal sigue reiterando que para que “una irregularidad procesal o infracción de las normas de procedimiento alcance relevancia constitucional debe producir un perjuicio real y efectivo en las posibilidades de defensa de quien las denuncie” (por todas, SSTC 233/2005, de 26 de septiembre, FJ 10, o 130/2002, de 3 de junio, FJ 4).</w:t>
      </w:r>
    </w:p>
    <w:p w:rsidR="0033382B" w:rsidRDefault="0033382B" w:rsidP="0033382B">
      <w:pPr>
        <w:pStyle w:val="TextoNormal"/>
      </w:pPr>
    </w:p>
    <w:p w:rsidR="0033382B" w:rsidRDefault="0033382B" w:rsidP="0033382B">
      <w:pPr>
        <w:pStyle w:val="TextoNormal"/>
      </w:pPr>
      <w:r>
        <w:t>En relación con lo anterior, se viene afirmando de manera continuada la exigencia de la indefensión material no sólo respecto de la vulneración del art. 24.1 CE —por ejemplo, en supuestos de omisión del trámite de audiencia (por todas, STC 156/2007, de 2 de julio, FJ 4) o defectuosos emplazamientos (por todas, STC 199/2006, de 3 de julio, FJ 5)— sino, específicamente, respecto de derechos expresamente reconocidos en el art. 24.2 CE, como los derechos al Juez ordinario predeterminado por la ley y a la imparcialidad judicial, en relación con las incidencias en las composiciones de los órganos judiciales (por todas, STC 215/2005, de 12 de septiembre, FJ 2), o determinadas garantías contenidas en el derecho a un proceso con todas las garantías, como pueden ser la de contradicción en la práctica de diligencias de entrada y registro domiciliario, respecto de su valor probatorio (por todas, STC 219/2006, de 3 de julio, FJ 7), o la de inmediación, respecto de dar por reproducido en juicio las pruebas documentales sin proceder a su lectura (por todas, STC 233/2005, de 26 de septiembre, FJ 10).</w:t>
      </w:r>
    </w:p>
    <w:p w:rsidR="0033382B" w:rsidRDefault="0033382B" w:rsidP="0033382B">
      <w:pPr>
        <w:pStyle w:val="TextoNormal"/>
      </w:pPr>
    </w:p>
    <w:p w:rsidR="0033382B" w:rsidRDefault="0033382B" w:rsidP="0033382B">
      <w:pPr>
        <w:pStyle w:val="TextoNormal"/>
      </w:pPr>
      <w:r w:rsidRPr="0033382B">
        <w:rPr>
          <w:rStyle w:val="NumeroAFNegritaCaracter"/>
        </w:rPr>
        <w:t>3</w:t>
      </w:r>
      <w:r>
        <w:t>. En el supuesto ahora enjuiciado, resulta que la Sala de lo Civil del Tribunal Supremo tuvo conocimiento del fallecimiento de doña Francisca López-Puigcerver Blanco por la manifestación de la representación procesal de los otros recurrentes, en el escrito de personación y de oposición a la admisión de los recursos interpuestos, pese a lo cual, como bien afirma el Ministerio Fiscal, omitió el trámite previsto en el art. 16.2 LEC, en virtud del cual el Secretario judicial, en caso de fallecimiento de un litigante, por medio de diligencia de ordenación permitirá que las demás partes pidan que se notifique a los sucesores la existencia del proceso, emplazándoles para comparecer en el plazo de diez días y acordando la suspensión del proceso hasta que comparezcan o finalice el plazo para la comparecencia.</w:t>
      </w:r>
    </w:p>
    <w:p w:rsidR="0033382B" w:rsidRDefault="0033382B" w:rsidP="0033382B">
      <w:pPr>
        <w:pStyle w:val="TextoNormal"/>
      </w:pPr>
    </w:p>
    <w:p w:rsidR="0033382B" w:rsidRDefault="0033382B" w:rsidP="0033382B">
      <w:pPr>
        <w:pStyle w:val="TextoNormal"/>
      </w:pPr>
      <w:r>
        <w:t>Ahora bien, los demandantes de amparo no argumentan que dicha irregularidad procesal haya ocasionado una indefensión material, real o efectiva, como tampoco lo hace en su recurso el Ministerio Fiscal quien, al contrario, sostiene que la vulneración se produce al margen de que el resultado y fallo del recurso hubiera sido exactamente el mismo. Frente a ello, debemos insistir que solo la indefensión material reviste relevancia constitucional a efectos recabar la tutela de este Tribunal mediante el recurso de amparo, con fundamento en el art. 24 CE. De lo que se sigue que, no habiendo alzado los demandantes la carga de justificar la indefensión material supuestamente sufrida, su queja no puede ser admitida.</w:t>
      </w:r>
    </w:p>
    <w:p w:rsidR="0033382B" w:rsidRDefault="0033382B" w:rsidP="0033382B">
      <w:pPr>
        <w:pStyle w:val="TextoNormal"/>
      </w:pPr>
    </w:p>
    <w:p w:rsidR="0033382B" w:rsidRDefault="0033382B" w:rsidP="0033382B">
      <w:pPr>
        <w:pStyle w:val="TextoNormal"/>
      </w:pPr>
      <w:r>
        <w:t xml:space="preserve">Lo expuesto permite descartar la identidad del supuesto planteado con el resuelto en la STC 54/2010, de 4 de octubre —citada por el Ministerio Fiscal—, en la que se afirma que la infracción del art. 16.2 LEC ocasionó “una indefensión real y efectiva en los entonces recurrentes en amparo … al introducir como </w:t>
      </w:r>
      <w:r w:rsidRPr="0033382B">
        <w:rPr>
          <w:i/>
        </w:rPr>
        <w:t>thema decidendi</w:t>
      </w:r>
      <w:r>
        <w:t>, una cuestión nueva … [lo que] produjo una alteración de los términos del debate procesal a los fines de resolver la apelación” (FJ 4).</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Desestimar el recurso de súplica interpuesto por el Ministerio Fiscal y, en consecuencia, confirmar en su integridad la providencia de 23 de noviembre de 2015 en el recurso de amparo núm. 4983-2015.</w:t>
      </w:r>
    </w:p>
    <w:p w:rsidR="0033382B" w:rsidRDefault="0033382B" w:rsidP="0033382B">
      <w:pPr>
        <w:pStyle w:val="TextoNormal"/>
      </w:pPr>
    </w:p>
    <w:p w:rsidR="0033382B" w:rsidRDefault="0033382B" w:rsidP="0033382B">
      <w:pPr>
        <w:pStyle w:val="TextoNormal"/>
      </w:pPr>
      <w:r>
        <w:t>Madrid, a ocho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55" w:name="AUTO_2016_28"/>
      <w:r>
        <w:t>AUTO 28/2016, de 9 de febrero de 2016</w:t>
      </w:r>
    </w:p>
    <w:bookmarkEnd w:id="155"/>
    <w:p w:rsidR="0033382B" w:rsidRDefault="0033382B" w:rsidP="0033382B">
      <w:pPr>
        <w:pStyle w:val="TtuloResolucin"/>
      </w:pPr>
      <w:r>
        <w:t>Sección Cuarta</w:t>
      </w:r>
    </w:p>
    <w:p w:rsidR="0033382B" w:rsidRDefault="0033382B" w:rsidP="0033382B">
      <w:pPr>
        <w:pStyle w:val="TextoNormalCentrado"/>
      </w:pPr>
      <w:r>
        <w:t>ECLI:ES:TC:2016:28A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SntesisDescriptiva"/>
      </w:pPr>
      <w:r>
        <w:t>Estima el recurso de súplica del Ministerio Fiscal sobre inadmisión del recurso de amparo 3857-2015, promovido por Cap Deu, S.L., y Lasbolis 2001, S.L.,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que tuvo entrada en este Tribunal el día 30 de junio de 2015, la Procuradora de los Tribunales doña Concepción Delgado Azqueta, en nombre y representación de Cap Deu, S.L., y Lasbolis 2001, S.L., interpuso demanda de amparo contra el Auto de 14 de mayo de 2015 de la Sección Octava de la Audiencia Provincial de Sevilla, dictado en recurso de apelación núm. 7452-2014-A, confirmatorio del de 24 de abril de 2014 del Juzgado de Primera Instancia núm. 2 de Sevilla, en ejecución hipotecaria núm 827-2012, que acordó el sobreseimiento de la oposición a la ejecución hipotecaria formulada por las sociedades recurrentes, teniéndolas por desistidas, al no comparecer a la vista con procurador (art. 560, párrafo cuarto, de la Ley de enjuiciamiento civil).</w:t>
      </w:r>
    </w:p>
    <w:p w:rsidR="0033382B" w:rsidRDefault="0033382B" w:rsidP="0033382B">
      <w:pPr>
        <w:pStyle w:val="TextoNormal"/>
      </w:pPr>
    </w:p>
    <w:p w:rsidR="0033382B" w:rsidRDefault="0033382B" w:rsidP="0033382B">
      <w:pPr>
        <w:pStyle w:val="TextoNormal"/>
      </w:pPr>
      <w:r w:rsidRPr="0033382B">
        <w:rPr>
          <w:rStyle w:val="NumeroAFNegritaCaracter"/>
        </w:rPr>
        <w:t>2</w:t>
      </w:r>
      <w:r>
        <w:t>. Las recurrentes en amparo denuncian en su demanda la vulneración del derecho a la tutela judicial efectiva sin indefensión (art. 24.1 CE). Subrayan que no desistieron de su demanda de oposición a la ejecución, ni de la vista ni del procedimiento, como probaría que su letrado expresase su protesta en la comparecencia y, de forma clara, en esa vista del incidente de oposición celebrada el día 23 de abril de 2014, así como su interés en continuar con la demanda de oposición. El retraso de unos pocos minutos de la Procuradora que tenía que representar a las recurrentes, por tanto, no puede calificarse como un acto de desistimiento. Las resoluciones impugnadas, además de contrarias a la jurisprudencia del Tribunal Supremo y del Tribunal Constitucional, carecen en consecuencia de motivación, no razonando su decisión a la luz de una regulación legal que, en el art. 560 de la Ley de enjuiciamiento civil, dispone la asistencia a la vista del ejecutado, como aquí ocurrió, sin señalar en cambio que el procurador esté obligado a acudir también a la misma. El sobreseimiento acordado, sin causa legal que lo ampare, sería por todo ello contrario al art. 24.1 CE.</w:t>
      </w:r>
    </w:p>
    <w:p w:rsidR="0033382B" w:rsidRDefault="0033382B" w:rsidP="0033382B">
      <w:pPr>
        <w:pStyle w:val="TextoNormal"/>
      </w:pPr>
    </w:p>
    <w:p w:rsidR="0033382B" w:rsidRDefault="0033382B" w:rsidP="0033382B">
      <w:pPr>
        <w:pStyle w:val="TextoNormal"/>
      </w:pPr>
      <w:r w:rsidRPr="0033382B">
        <w:rPr>
          <w:rStyle w:val="NumeroAFNegritaCaracter"/>
        </w:rPr>
        <w:t>3</w:t>
      </w:r>
      <w:r>
        <w:t>. La Sección cuarta de la Sala Segunda de este Tribunal, por providencia de 29 de octubre de 2015, declaró la inadmisión del recurso de amparo por manifiesta inexistencia de violación de un derecho fundamental tutelable en amparo; violación que, de acuerdo con el art. 44.1 de la Ley Orgánica del Tribunal Constitucional, es condición para que este Tribunal pueda ejercer dicha tutela.</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escrito registrado el día 26 de noviembre de 2015, interpuso recurso de súplica contra la referida providencia de inadmisión. Argumenta que las resoluciones recurridas no contienen referencia alguna a la significación que pueda tener la presencia en la vista del poderdante o la actitud del Abogado defensor pidiendo el aplazamiento o la celebración de la misma, revelando con ello que no existía intención alguna de abandonar el ejercicio de la oposición planteada. No es correcto por consiguiente, concluye, apreciar una manifiesta ausencia de vulneración de derechos fundamentales tutelables en amparo.</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diligencia de ordenación de 27 de noviembre de 2015, la Secretaría de Justicia de la Sala Segunda dio traslado del escrito del Ministerio Fiscal a la representación procesal de los demandantes de amparo, a fin de que en el plazo de tres días pudieran alegar lo que estimasen pertinente en relación al recurso de súplica formulado.</w:t>
      </w:r>
    </w:p>
    <w:p w:rsidR="0033382B" w:rsidRDefault="0033382B" w:rsidP="0033382B">
      <w:pPr>
        <w:pStyle w:val="TextoNormal"/>
      </w:pPr>
    </w:p>
    <w:p w:rsidR="0033382B" w:rsidRDefault="0033382B" w:rsidP="0033382B">
      <w:pPr>
        <w:pStyle w:val="TextoNormal"/>
      </w:pPr>
      <w:r w:rsidRPr="0033382B">
        <w:rPr>
          <w:rStyle w:val="NumeroAFNegritaCaracter"/>
        </w:rPr>
        <w:t>6</w:t>
      </w:r>
      <w:r>
        <w:t>. El día 3 de diciembre de 2015, la representación procesal de los recurrentes evacuó dicho trámite, adhiriéndose a las alegaciones del Ministerio Fiscal e interesando la estimación del recurso de súplica interpuesto.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Examinadas las alegaciones presentadas hay que coincidir con el Ministerio Fiscal en que el recurso de amparo no revela, en contra de lo que apreciamos en nuestra providencia de 29 de octubre de 2015, una manifiesta inexistencia de la violación del derecho fundamental que se invoca.</w:t>
      </w:r>
    </w:p>
    <w:p w:rsidR="0033382B" w:rsidRDefault="0033382B" w:rsidP="0033382B">
      <w:pPr>
        <w:pStyle w:val="TextoNormal"/>
      </w:pPr>
    </w:p>
    <w:p w:rsidR="0033382B" w:rsidRDefault="0033382B" w:rsidP="0033382B">
      <w:pPr>
        <w:pStyle w:val="TextoNormal"/>
      </w:pPr>
      <w:r w:rsidRPr="0033382B">
        <w:rPr>
          <w:rStyle w:val="NumeroAFNegritaCaracter"/>
        </w:rPr>
        <w:t>2</w:t>
      </w:r>
      <w:r>
        <w:t>. Como ha quedado sucintamente reflejado en los antecedentes de esta resolución, una vez señalada la fecha para la celebración del incidente de oposición a la ejecución, compareció a la misma el letrado de los recurrentes en amparo y su representante legal, no haciéndolo en cambio, a la hora prevista, el Procurador designado. La consecuencia procesal de ello fue la de no tener por comparecida a la parte en la vista y declarar el sobreseimiento de la oposición por desistimiento, de conformidad con lo previsto en el art. 560, párrafo cuarto de la Ley de enjuiciamiento civil, según ha precisado el Auto recurrido de la Audiencia Provincial de Sevilla.</w:t>
      </w:r>
    </w:p>
    <w:p w:rsidR="0033382B" w:rsidRDefault="0033382B" w:rsidP="0033382B">
      <w:pPr>
        <w:pStyle w:val="TextoNormal"/>
      </w:pPr>
    </w:p>
    <w:p w:rsidR="0033382B" w:rsidRDefault="0033382B" w:rsidP="0033382B">
      <w:pPr>
        <w:pStyle w:val="TextoNormal"/>
      </w:pPr>
      <w:r>
        <w:t>Ha de concluirse que no cabe excluir de forma terminante en esta fase de admisibilidad la vulneración denunciada. En efecto, en primer lugar, la declaración de desistimiento indicada no tuvo fundamento en una regulación legal inequívoca, puesto que, como afirma la parte recurrente en amparo, el tenor literal del art. 560 de la Ley aplicada, en su párrafo cuarto, no descarta necesariamente una interpretación distinta a la realizada por el órgano judicial. Incluso si la citada norma procesal, como han entendido los órganos judiciales intervinientes, contuviera implícitamente un régimen de postulación procesal dirigido a asegurar el buen desarrollo de la actividad jurisdiccional mediante la garantía de que quien comparece por la parte no carece de las facultades de representación necesarias para actuar en su nombre, y de que, así, la parte puede conducirse en el proceso de la forma más conveniente para sus derechos e intereses jurídicos y defenderse debidamente frente a la parte contraria, lo cierto es que desde el prisma del derecho fundamental aducido sería relevante considerar si esa finalidad quedaba salvaguardada o no por la comparecencia del Abogado y del representante legal de los recurrentes en amparo. Más aún cuando el desistimiento se configura técnicamente como un acto que expresa la voluntad del demandante de abandonar el proceso y que por ello, como ha puesto de manifiesto este Tribunal, ha de tener su causa en una voluntad de apartarse de él, por lo que no cabe presumirlo cuando el demandante manifiesta claramente su decisión de continuarlo o su oposición a la conclusión del mismo (por todas, STC 21/1989, de 31 de enero, FJ 3).</w:t>
      </w:r>
    </w:p>
    <w:p w:rsidR="0033382B" w:rsidRDefault="0033382B" w:rsidP="0033382B">
      <w:pPr>
        <w:pStyle w:val="TextoNormal"/>
      </w:pPr>
    </w:p>
    <w:p w:rsidR="0033382B" w:rsidRDefault="0033382B" w:rsidP="0033382B">
      <w:pPr>
        <w:pStyle w:val="TextoNormal"/>
      </w:pPr>
      <w:r>
        <w:t xml:space="preserve">Sin perjuicio de la decisión que se adopte sobre la admisibilidad de este recurso tras el examen conjunto de los requisitos exigidos en la Ley Orgánica del Tribunal Constitucional, concluimos que no cabe descartar </w:t>
      </w:r>
      <w:r w:rsidRPr="0033382B">
        <w:rPr>
          <w:i/>
        </w:rPr>
        <w:t>prima facie</w:t>
      </w:r>
      <w:r>
        <w:t xml:space="preserve"> la existencia de la lesión que se denuncia en el presente proceso constitucional. En razón de ello, se acuerda reponer las actuaciones al momento anterior al del dictado de la providencia de 29 de octubre de 2015, para decidir nuevamente sobre la admisión a trámite de la demanda.</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Estimar el recurso de súplica interpuesto por el Ministerio Fiscal, dejando sin efecto la providencia de 29 de octubre de 2015 por la que se acuerda no admitir a trámite el recurso de amparo núm. 3857-2015.</w:t>
      </w:r>
    </w:p>
    <w:p w:rsidR="0033382B" w:rsidRDefault="0033382B" w:rsidP="0033382B">
      <w:pPr>
        <w:pStyle w:val="TextoNormal"/>
      </w:pPr>
    </w:p>
    <w:p w:rsidR="0033382B" w:rsidRDefault="0033382B" w:rsidP="0033382B">
      <w:pPr>
        <w:pStyle w:val="TextoNormal"/>
      </w:pPr>
      <w:r>
        <w:t>Madrid, a nueve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56" w:name="AUTO_2016_29"/>
      <w:r>
        <w:t>AUTO 29/2016, de 15 de febrero de 2016</w:t>
      </w:r>
    </w:p>
    <w:bookmarkEnd w:id="156"/>
    <w:p w:rsidR="0033382B" w:rsidRDefault="0033382B" w:rsidP="0033382B">
      <w:pPr>
        <w:pStyle w:val="TtuloResolucin"/>
      </w:pPr>
      <w:r>
        <w:t>Sección Tercera</w:t>
      </w:r>
    </w:p>
    <w:p w:rsidR="0033382B" w:rsidRDefault="0033382B" w:rsidP="0033382B">
      <w:pPr>
        <w:pStyle w:val="TextoNormalCentrado"/>
      </w:pPr>
      <w:r>
        <w:t>ECLI:ES:TC:2016:29A</w:t>
      </w:r>
    </w:p>
    <w:p w:rsidR="0033382B" w:rsidRDefault="0033382B" w:rsidP="0033382B">
      <w:pPr>
        <w:pStyle w:val="TextoNormalCentrado"/>
      </w:pPr>
    </w:p>
    <w:p w:rsidR="0033382B" w:rsidRDefault="0033382B" w:rsidP="0033382B">
      <w:pPr>
        <w:pStyle w:val="SntesisDescriptiva"/>
      </w:pPr>
      <w:r>
        <w:t>Excms. Srs. doña Adela Asua Batarrita y don Pedro José González-Trevijano Sánchez.</w:t>
      </w:r>
    </w:p>
    <w:p w:rsidR="0033382B" w:rsidRDefault="0033382B" w:rsidP="0033382B">
      <w:pPr>
        <w:pStyle w:val="SntesisDescriptiva"/>
      </w:pPr>
    </w:p>
    <w:p w:rsidR="0033382B" w:rsidRDefault="0033382B" w:rsidP="0033382B">
      <w:pPr>
        <w:pStyle w:val="SntesisDescriptiva"/>
      </w:pPr>
      <w:r>
        <w:t>Acepta una abstención en el recurso de amparo 3767-2012, promovido por doña Ana Serratosa Luján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t>Único. En el recurso de amparo antes referido se impugnaba auto de la Sala de lo Contencioso-Administrativo del Tribunal Supremo en recurso de casación 6137-2010, contra la Sentencia dictada por la Audiencia Nacional en recurso 265-2008. El recurso fue inadmitido por providencia de 26 de septiembre de 2012, formulándose solicitud de declaración de funcionamiento anormal en 18 de noviembre último.</w:t>
      </w:r>
    </w:p>
    <w:p w:rsidR="0033382B" w:rsidRDefault="0033382B" w:rsidP="0033382B">
      <w:pPr>
        <w:pStyle w:val="TextoNormal"/>
      </w:pPr>
    </w:p>
    <w:p w:rsidR="0033382B" w:rsidRDefault="0033382B" w:rsidP="0033382B">
      <w:pPr>
        <w:pStyle w:val="TextoNormal"/>
      </w:pPr>
      <w:r>
        <w:t>Mediante escrito fechado el 12 de febrero de 2016, el Magistrado don Juan José González Rivas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16 de junio de 2011, resolución impugnada en el presente recurso de amparo número 3767-2012.</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Vista la comunicación efectuada por don Juan José González Rivas, Magistrado de esta Sección Tercera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16 de junio de 2011, en el recurso de casación núm. 6137-2010, que ha sido impugnado en el presente recurso de amparo.</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Estimar justificada la abstención formulada por el Magistrado don Juan José González Rivas en el recurso de amparo núm. 3767-2012, apartándole definitivamente del conocimiento del referido recurso y de todas sus incidencias.</w:t>
      </w:r>
    </w:p>
    <w:p w:rsidR="0033382B" w:rsidRDefault="0033382B" w:rsidP="0033382B">
      <w:pPr>
        <w:pStyle w:val="TextoNormal"/>
      </w:pPr>
    </w:p>
    <w:p w:rsidR="0033382B" w:rsidRDefault="0033382B" w:rsidP="0033382B">
      <w:pPr>
        <w:pStyle w:val="TextoNormal"/>
      </w:pPr>
      <w:r>
        <w:t>Madrid, a quince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57" w:name="AUTO_2016_30"/>
      <w:r>
        <w:t>AUTO 30/2016, de 15 de febrero de 2016</w:t>
      </w:r>
    </w:p>
    <w:bookmarkEnd w:id="157"/>
    <w:p w:rsidR="0033382B" w:rsidRDefault="0033382B" w:rsidP="0033382B">
      <w:pPr>
        <w:pStyle w:val="TtuloResolucin"/>
      </w:pPr>
      <w:r>
        <w:t>Sala Primera</w:t>
      </w:r>
    </w:p>
    <w:p w:rsidR="0033382B" w:rsidRDefault="0033382B" w:rsidP="0033382B">
      <w:pPr>
        <w:pStyle w:val="TextoNormalCentrado"/>
      </w:pPr>
      <w:r>
        <w:t>ECLI:ES:TC:2016:30A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don Andrés Ollero Tassara, don Santiago Martínez-Vares García y don Juan Antonio Xiol Ríos.</w:t>
      </w:r>
    </w:p>
    <w:p w:rsidR="0033382B" w:rsidRDefault="0033382B" w:rsidP="0033382B">
      <w:pPr>
        <w:pStyle w:val="SntesisDescriptiva"/>
      </w:pPr>
    </w:p>
    <w:p w:rsidR="0033382B" w:rsidRDefault="0033382B" w:rsidP="0033382B">
      <w:pPr>
        <w:pStyle w:val="SntesisDescriptiva"/>
      </w:pPr>
      <w:r>
        <w:t>Declara que no se ha producido funcionamiento anormal en la tramitación del recurso de amparo 2164-2014, promovido por don Hassan Sbayou en causa penal.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18 de septiembre de 2015 la Procuradora de los Tribunales doña María Mercedes Romero González en nombre y representación de don Hassan Sbayou, bajo la dirección letrada de don Miquel Nadal Borras, presenta escrito solicitando que este Tribunal dicte resolución por la que declare expresamente un funcionamiento anormal por dilaciones indebidas en la tramitación del recurso de amparo núm. 2164-2014 promovido en su día por su representado.</w:t>
      </w:r>
    </w:p>
    <w:p w:rsidR="0033382B" w:rsidRDefault="0033382B" w:rsidP="0033382B">
      <w:pPr>
        <w:pStyle w:val="TextoNormal"/>
      </w:pPr>
    </w:p>
    <w:p w:rsidR="0033382B" w:rsidRDefault="0033382B" w:rsidP="0033382B">
      <w:pPr>
        <w:pStyle w:val="TextoNormal"/>
      </w:pPr>
      <w:r w:rsidRPr="0033382B">
        <w:rPr>
          <w:rStyle w:val="NumeroAFNegritaCaracter"/>
        </w:rPr>
        <w:t>2</w:t>
      </w:r>
      <w:r>
        <w:t>. Esa petición tiene su origen en los siguientes antecedentes:</w:t>
      </w:r>
    </w:p>
    <w:p w:rsidR="0033382B" w:rsidRDefault="0033382B" w:rsidP="0033382B">
      <w:pPr>
        <w:pStyle w:val="TextoNormal"/>
      </w:pPr>
    </w:p>
    <w:p w:rsidR="0033382B" w:rsidRDefault="0033382B" w:rsidP="0033382B">
      <w:pPr>
        <w:pStyle w:val="TextoNormal"/>
      </w:pPr>
      <w:r>
        <w:t>a) El 4 de abril de 2014 tiene entrada en el Registro General del Tribunal Constitucional escrito por el que don Hassan Sbayou, bajo la dirección letrada de don Miquel Nadal Borras, “prepara y/o anuncia” el recurso de amparo contra el Auto de la Sección Octava de la Audiencia Provincial de Barcelona de fecha 27 de marzo de 2014 recaído en recurso de apelación núm. 228-2014 contra el dictado por el Juzgado de Instrucción núm. 18 de Barcelona de fecha 28 de enero de 2014 en procedimiento núm. 1-2014 relativo a la Ley de extranjería.</w:t>
      </w:r>
    </w:p>
    <w:p w:rsidR="0033382B" w:rsidRDefault="0033382B" w:rsidP="0033382B">
      <w:pPr>
        <w:pStyle w:val="TextoNormal"/>
      </w:pPr>
    </w:p>
    <w:p w:rsidR="0033382B" w:rsidRDefault="0033382B" w:rsidP="0033382B">
      <w:pPr>
        <w:pStyle w:val="TextoNormal"/>
      </w:pPr>
      <w:r>
        <w:t>b) Por diligencia de ordenación de 9 de abril de 2014 el Secretario de Justicia de la Sala Primera del Tribunal Constitucional tiene por recibido el anterior escrito y, de conformidad con lo establecido en la Ley 1/1996, de asistencia jurídica gratuita, acuerda librar despacho al Colegio de Procuradores de Madrid, para que se designe al recurrente Procurador del turno de oficio.</w:t>
      </w:r>
    </w:p>
    <w:p w:rsidR="0033382B" w:rsidRDefault="0033382B" w:rsidP="0033382B">
      <w:pPr>
        <w:pStyle w:val="TextoNormal"/>
      </w:pPr>
    </w:p>
    <w:p w:rsidR="0033382B" w:rsidRDefault="0033382B" w:rsidP="0033382B">
      <w:pPr>
        <w:pStyle w:val="TextoNormal"/>
      </w:pPr>
      <w:r>
        <w:t>c) El 5 de mayo de 2014 tiene entrada en el Registro General del Tribunal Constitucional escrito por el que el Ilustre Colegio de Procuradores de Madrid comunica la designación de la Procuradora doña María Mercedes Romero González para representar a don Hassan Sbayou ante el Tribunal Constitucional.</w:t>
      </w:r>
    </w:p>
    <w:p w:rsidR="0033382B" w:rsidRDefault="0033382B" w:rsidP="0033382B">
      <w:pPr>
        <w:pStyle w:val="TextoNormal"/>
      </w:pPr>
    </w:p>
    <w:p w:rsidR="0033382B" w:rsidRDefault="0033382B" w:rsidP="0033382B">
      <w:pPr>
        <w:pStyle w:val="TextoNormal"/>
      </w:pPr>
      <w:r>
        <w:t>d) Por diligencia de ordenación de 6 de mayo de 2014 el Secretario de Justicia de la Sala Primera del Tribunal Constitucional se tiene por recibido despacho del Colegio de Procuradores de Madrid por el que se participa corresponde la designación en turno de oficio a la Procuradora doña María Mercedes Romero González y se concede un plazo de 30 días para la formulación de la correspondiente demanda de amparo.</w:t>
      </w:r>
    </w:p>
    <w:p w:rsidR="0033382B" w:rsidRDefault="0033382B" w:rsidP="0033382B">
      <w:pPr>
        <w:pStyle w:val="TextoNormal"/>
      </w:pPr>
    </w:p>
    <w:p w:rsidR="0033382B" w:rsidRDefault="0033382B" w:rsidP="0033382B">
      <w:pPr>
        <w:pStyle w:val="TextoNormal"/>
      </w:pPr>
      <w:r>
        <w:t>e) El 28 de mayo de 2014 tiene entrada en el Registro General del Tribunal, escrito de don Hassan Sbayou suscrito por el Abogado don Miquel Nadal Borras por el que se interpone recurso de amparo contra las resoluciones judiciales precitadas. Por diligencia del Secretario de Justicia de la Sala Primera del Tribunal Constitucional de 29 de mayo de 2014 tiene por recibido el precedente escrito.</w:t>
      </w:r>
    </w:p>
    <w:p w:rsidR="0033382B" w:rsidRDefault="0033382B" w:rsidP="0033382B">
      <w:pPr>
        <w:pStyle w:val="TextoNormal"/>
      </w:pPr>
    </w:p>
    <w:p w:rsidR="0033382B" w:rsidRDefault="0033382B" w:rsidP="0033382B">
      <w:pPr>
        <w:pStyle w:val="TextoNormal"/>
      </w:pPr>
      <w:r>
        <w:t>f) Por providencia de 10 de septiembre de 2015, notificada a la representación del demandante el 14 del mismo mes, la Sección acuerda inadmitir el recurso por no haber satisfecho debidamente la carga consistente en justificar la especial trascendencia constitucional del recurso [art. 50.1 a) de la Ley Orgánica del Tribunal Constitucional en relación al 49.1 del mismo cuerpo normativo].</w:t>
      </w:r>
    </w:p>
    <w:p w:rsidR="0033382B" w:rsidRDefault="0033382B" w:rsidP="0033382B">
      <w:pPr>
        <w:pStyle w:val="TextoNormal"/>
      </w:pPr>
    </w:p>
    <w:p w:rsidR="0033382B" w:rsidRDefault="0033382B" w:rsidP="0033382B">
      <w:pPr>
        <w:pStyle w:val="TextoNormal"/>
      </w:pPr>
      <w:r w:rsidRPr="0033382B">
        <w:rPr>
          <w:rStyle w:val="NumeroAFNegritaCaracter"/>
        </w:rPr>
        <w:t>3</w:t>
      </w:r>
      <w:r>
        <w:t>. El escrito presentado por la representación de don Hassan Sbayou el 18 de septiembre de 2015 solicita la declaración de funcionamiento anormal en la tramitación de su recurso de amparo en virtud del art. 139.5 de la Ley 30/1992, de 26 de noviembre, de régimen jurídico de las Administraciones públicas y del procedimiento administrativo común. A juicio del recurrente, el Tribunal Constitucional habría incurrido en dilaciones indebidas al tardar un año y tres meses en tramitar el recurso de amparo desde su formalización el 28 de mayo de 2014 hasta el dictado de la providencia de inadmisión el 10 de septiembre de 2015. Teniendo en cuenta que la Ley Orgánica del Tribunal Constitucional no exige la motivación de la indicada providencia, resultaría evidente que el tiempo transcurrido sería excesivo; exceso que habría causado perjuicios al recurrente al retrasar la interposición del correspondiente recurso ante el Tribunal Europeo de Derechos Humanos. Añade que el Tribunal Constitucional debería declarar su anormal funcionamiento en dos meses a la vista de que tal es el plazo que el Real Decreto 429/1993, de 26 de marzo, concede para emitir dictamen sobre reclamaciones de responsabilidad patrimonial dirigidas contra Administraciones públicas.</w:t>
      </w:r>
    </w:p>
    <w:p w:rsidR="0033382B" w:rsidRDefault="0033382B" w:rsidP="0033382B">
      <w:pPr>
        <w:pStyle w:val="TextoNormal"/>
      </w:pPr>
    </w:p>
    <w:p w:rsidR="0033382B" w:rsidRDefault="0033382B" w:rsidP="0033382B">
      <w:pPr>
        <w:pStyle w:val="TextoNormal"/>
      </w:pPr>
      <w:r w:rsidRPr="0033382B">
        <w:rPr>
          <w:rStyle w:val="NumeroAFNegritaCaracter"/>
        </w:rPr>
        <w:t>4</w:t>
      </w:r>
      <w:r>
        <w:t>. La Sala Primera, por providencia de 9 de diciembre de 2015, acuerda formar pieza separada jurisdiccional para resolver la presente solicitud y conceder al Ministerio Fiscal y al Abogado del Estado, previo traslado del citado escrito, un plazo de diez días para que puedan personarse en esta pieza separada y presentar las alegaciones que estimen convenientes.</w:t>
      </w:r>
    </w:p>
    <w:p w:rsidR="0033382B" w:rsidRDefault="0033382B" w:rsidP="0033382B">
      <w:pPr>
        <w:pStyle w:val="TextoNormal"/>
      </w:pPr>
    </w:p>
    <w:p w:rsidR="0033382B" w:rsidRDefault="0033382B" w:rsidP="0033382B">
      <w:pPr>
        <w:pStyle w:val="TextoNormal"/>
      </w:pPr>
      <w:r w:rsidRPr="0033382B">
        <w:rPr>
          <w:rStyle w:val="NumeroAFNegritaCaracter"/>
        </w:rPr>
        <w:t>5</w:t>
      </w:r>
      <w:r>
        <w:t>. El 23 de diciembre de 2015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(ATC 194/2010, de 2 de diciembre). Descarta después la concurrencia de tal anormal funcionamiento por las siguientes razones: el examen de admisibilidad no se reduce a la apreciación rutinaria de una causa de inadmisión porque conlleva una carga de trabajo para la que no sirve de medida la mayor o menor extensión de la providencia (ATC 194/2010); el número de recursos de amparo presentados sigue siendo muy abultado; y el demandante en ningún momento presentó escritos dirigidos a denunciar una posible dilación indebida por parte del Tribunal Constitucional; no se dan las circunstancias que han llevado en otro caso a apreciar la anormalidad del funcionamiento del Tribunal (extravío del recurso de amparo, escritos reiterados del demandante solicitando la reactividad del recurso y retraso de treinta meses entre la solicitud y la reconstrucción del expediente) (ATC162/2012, de 22 de mayo).</w:t>
      </w:r>
    </w:p>
    <w:p w:rsidR="0033382B" w:rsidRDefault="0033382B" w:rsidP="0033382B">
      <w:pPr>
        <w:pStyle w:val="TextoNormal"/>
      </w:pPr>
    </w:p>
    <w:p w:rsidR="0033382B" w:rsidRDefault="0033382B" w:rsidP="0033382B">
      <w:pPr>
        <w:pStyle w:val="TextoNormal"/>
      </w:pPr>
      <w:r w:rsidRPr="0033382B">
        <w:rPr>
          <w:rStyle w:val="NumeroAFNegritaCaracter"/>
        </w:rPr>
        <w:t>6</w:t>
      </w:r>
      <w:r>
        <w:t>. El 12 de enero de 2016 el Fiscal ante el Tribunal Constitucional presenta escrito por el que considera rechazable la solicitud de declaración de funcionamiento anormal. Tras recordar la doctrina constitucional al respecto (ATC 194/2010), afirma que el recurrente sólo ha denunciado las supuestas dilaciones indebidas tras la providencia de inadmisión, incumpliendo el deber de cooperación con el Tribunal Constitucional y sin desplegar ninguna actividad hasta ese momento. Además, el tiempo transcurrido no puede considerarse como un plazo no razonable teniendo en cuenta la propia naturaleza de esa resolución y la media que el Tribunal emplea en poder resolver los numerosos recursos de amparo presentados ante el mismo cada año (ATC 12/2014, de 5 de mayo).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objeto de esta resolución es realizar una declaración sobre la existencia de un eventual funcionamiento anormal del Tribunal Constitucional en la tramitación del recurso de amparo núm. 2164-2014.</w:t>
      </w:r>
    </w:p>
    <w:p w:rsidR="0033382B" w:rsidRDefault="0033382B" w:rsidP="0033382B">
      <w:pPr>
        <w:pStyle w:val="TextoNormal"/>
      </w:pPr>
    </w:p>
    <w:p w:rsidR="0033382B" w:rsidRDefault="0033382B" w:rsidP="0033382B">
      <w:pPr>
        <w:pStyle w:val="TextoNormal"/>
      </w:pPr>
      <w:r w:rsidRPr="0033382B">
        <w:rPr>
          <w:rStyle w:val="NumeroAFNegritaCaracter"/>
        </w:rPr>
        <w:t>2</w:t>
      </w:r>
      <w:r>
        <w:t>. Conforme al art. 139.5 de la Ley 30/1992, de 26 de noviembre, de régimen jurídico de las Administraciones públicas y del procedimiento administrativo común (LPC), en la redacción dada por la Ley 13/2009, de 3 de noviembre,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la responsabilidad sobre la que debemos pronunciarnos necesariamente y con carácter previo a través de una declaración de carácter jurisdiccional (entre otros, AATC 120/2012, de 6 de junio, y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 139.5 LPC.</w:t>
      </w:r>
    </w:p>
    <w:p w:rsidR="0033382B" w:rsidRDefault="0033382B" w:rsidP="0033382B">
      <w:pPr>
        <w:pStyle w:val="TextoNormal"/>
      </w:pPr>
    </w:p>
    <w:p w:rsidR="0033382B" w:rsidRDefault="0033382B" w:rsidP="0033382B">
      <w:pPr>
        <w:pStyle w:val="TextoNormal"/>
      </w:pPr>
      <w:r>
        <w:t>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y otros criterios como la complejidad del litigio, los márgenes ordinarios de duración en supuestos del mismo tipo o el interés que en aquél arriesga el demandante de amparo, su conducta procesal y la de las propias autoridades. En aplicación de esta doctrina, se ha descartado en varias ocasiones la existencia de anormal funcionamiento por el tiempo transcurrido desde que este Tribunal estuvo en condiciones de pronunciarse sobre la admisibilidad del recurso de amparo y la fecha en que se notificó la providencia de inadmisión (AATC 194/2010, de 2 de diciembre; 126/2014, de 5 de mayo; 127/2014, de 5 de mayo; 151/2014, de 9 de junio; 171/2014, de 23 de junio; 172/2014, de 23 de junio, 173/2014, de 23 de junio; 209/2014, de 8 de septiembre, y 296/2014, de 15 de diciembre).</w:t>
      </w:r>
    </w:p>
    <w:p w:rsidR="0033382B" w:rsidRDefault="0033382B" w:rsidP="0033382B">
      <w:pPr>
        <w:pStyle w:val="TextoNormal"/>
      </w:pPr>
    </w:p>
    <w:p w:rsidR="0033382B" w:rsidRDefault="0033382B" w:rsidP="0033382B">
      <w:pPr>
        <w:pStyle w:val="TextoNormal"/>
      </w:pPr>
      <w:r>
        <w:t>En el presente asunto, la sola consideración del tiempo empleado para adoptar la providencia de inadmisión permite descartar la concurrencia de un funcionamiento anormal sin necesidad de entrar a valorar circunstancias tales como la dificultad de entrever el perjuicio efectivo que el actual solicitante habría dejado de padecer con un pronunciamiento de inadmisión más temprano; que éste no denunciara antes de la inadmisión las supuestas dilaciones indebidas y lo hiciera sólo después; o que, tras un lustro de reducción constante el número de nuevos asuntos ingresados en este Tribunal (desde 2006, cuando alcanzó el máximo de 11.741, hasta el 2011, cuando esa cifra bajó a los 7.192), se haya invertido la tendencia en los años 2013 y 2014 (7.573 y 7.663 asuntos nuevos, respectivamente), tal como resulta de las memorias anuales elaboradas por este Tribunal.</w:t>
      </w:r>
    </w:p>
    <w:p w:rsidR="0033382B" w:rsidRDefault="0033382B" w:rsidP="0033382B">
      <w:pPr>
        <w:pStyle w:val="TextoNormal"/>
      </w:pPr>
    </w:p>
    <w:p w:rsidR="0033382B" w:rsidRDefault="0033382B" w:rsidP="0033382B">
      <w:pPr>
        <w:pStyle w:val="TextoNormal"/>
      </w:pPr>
      <w:r>
        <w:t>El transcurso de tiempo desde la entrada en el Registro General de este Tribunal de la demanda de amparo hasta la notificación de la providencia de inadmisión entra dentro de los márgenes temporales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en un estudio pormenorizado de requisitos procesales y sustantivos (art. 50.1 LOTC) que a menudo alcanza al fondo de la verosimilitud de las lesiones aducidas (ATC 194/2010, FJ 2), como ha ocurrido en el presente caso. Ello supone una carga de trabajo para la que no sirve de medida la mayor o menor extensión de la providencia de admisión o de inadmisión en que se traduzca su resultado; su realización en el tiempo indicado en modo alguno puede reputarse injustificada o expresión de un anormal funcionamiento del Tribunal Constitucional.</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Declarar que no se ha producido funcionamiento anormal en la tramitación del recurso de amparo núm. 2164-2014.</w:t>
      </w:r>
    </w:p>
    <w:p w:rsidR="0033382B" w:rsidRDefault="0033382B" w:rsidP="0033382B">
      <w:pPr>
        <w:pStyle w:val="TextoNormal"/>
      </w:pPr>
    </w:p>
    <w:p w:rsidR="0033382B" w:rsidRDefault="0033382B" w:rsidP="0033382B">
      <w:pPr>
        <w:pStyle w:val="TextoNormal"/>
      </w:pPr>
      <w:r>
        <w:t>Madrid, a quince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58" w:name="AUTO_2016_31"/>
      <w:r>
        <w:t>AUTO 31/2016, de 15 de febrero de 2016</w:t>
      </w:r>
    </w:p>
    <w:bookmarkEnd w:id="158"/>
    <w:p w:rsidR="0033382B" w:rsidRDefault="0033382B" w:rsidP="0033382B">
      <w:pPr>
        <w:pStyle w:val="TtuloResolucin"/>
      </w:pPr>
      <w:r>
        <w:t>Sala Segunda</w:t>
      </w:r>
    </w:p>
    <w:p w:rsidR="0033382B" w:rsidRDefault="0033382B" w:rsidP="0033382B">
      <w:pPr>
        <w:pStyle w:val="TextoNormalCentrado"/>
      </w:pPr>
      <w:r>
        <w:t>ECLI:ES:TC:2016:31A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159" w:name="AUTO_2016_32"/>
      <w:r>
        <w:t>AUTO 32/2016, de 15 de febrero de 2016</w:t>
      </w:r>
    </w:p>
    <w:bookmarkEnd w:id="159"/>
    <w:p w:rsidR="0033382B" w:rsidRDefault="0033382B" w:rsidP="0033382B">
      <w:pPr>
        <w:pStyle w:val="TtuloResolucin"/>
      </w:pPr>
      <w:r>
        <w:t>Sección Segunda</w:t>
      </w:r>
    </w:p>
    <w:p w:rsidR="0033382B" w:rsidRDefault="0033382B" w:rsidP="0033382B">
      <w:pPr>
        <w:pStyle w:val="TextoNormalCentrado"/>
      </w:pPr>
      <w:r>
        <w:t>ECLI:ES:TC:2016:32A</w:t>
      </w:r>
    </w:p>
    <w:p w:rsidR="0033382B" w:rsidRDefault="0033382B" w:rsidP="0033382B">
      <w:pPr>
        <w:pStyle w:val="TextoNormalCentrado"/>
      </w:pPr>
    </w:p>
    <w:p w:rsidR="0033382B" w:rsidRDefault="0033382B" w:rsidP="0033382B">
      <w:pPr>
        <w:pStyle w:val="SntesisDescriptiva"/>
      </w:pPr>
      <w:r>
        <w:t>Excms. Srs. don Andrés Ollero Tassara y don Santiago Martínez-Vares García.</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160" w:name="AUTO_2016_33"/>
      <w:r>
        <w:t>AUTO 33/2016, de 15 de febrero de 2016</w:t>
      </w:r>
    </w:p>
    <w:bookmarkEnd w:id="160"/>
    <w:p w:rsidR="0033382B" w:rsidRDefault="0033382B" w:rsidP="0033382B">
      <w:pPr>
        <w:pStyle w:val="TtuloResolucin"/>
      </w:pPr>
      <w:r>
        <w:t>Sección Segunda</w:t>
      </w:r>
    </w:p>
    <w:p w:rsidR="0033382B" w:rsidRDefault="0033382B" w:rsidP="0033382B">
      <w:pPr>
        <w:pStyle w:val="TextoNormalCentrado"/>
      </w:pPr>
      <w:r>
        <w:t>ECLI:ES:TC:2016:33A</w:t>
      </w:r>
    </w:p>
    <w:p w:rsidR="0033382B" w:rsidRDefault="0033382B" w:rsidP="0033382B">
      <w:pPr>
        <w:pStyle w:val="TextoNormalCentrado"/>
      </w:pPr>
    </w:p>
    <w:p w:rsidR="0033382B" w:rsidRDefault="0033382B" w:rsidP="0033382B">
      <w:pPr>
        <w:pStyle w:val="SntesisDescriptiva"/>
      </w:pPr>
      <w:r>
        <w:t>Excms. Srs. don Andrés Ollero Tassara y don Santiago Martínez-Vares García.</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161" w:name="AUTO_2016_34"/>
      <w:r>
        <w:t>AUTO 34/2016, de 15 de febrero de 2016</w:t>
      </w:r>
    </w:p>
    <w:bookmarkEnd w:id="161"/>
    <w:p w:rsidR="0033382B" w:rsidRDefault="0033382B" w:rsidP="0033382B">
      <w:pPr>
        <w:pStyle w:val="TtuloResolucin"/>
      </w:pPr>
      <w:r>
        <w:t>Sala Segunda</w:t>
      </w:r>
    </w:p>
    <w:p w:rsidR="0033382B" w:rsidRDefault="0033382B" w:rsidP="0033382B">
      <w:pPr>
        <w:pStyle w:val="TextoNormalCentrado"/>
      </w:pPr>
      <w:r>
        <w:t>ECLI:ES:TC:2016:34A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parcial en el recurso de amparo 5664-2015, promovido por doña Elisa Isabel Cataluña Lacreu y otras personas en causa penal.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día 8 de octubre de 2015 tuvo entrada en el Registro General de este Tribunal Constitucional, un escrito del Procurador de los Tribunales don José Enrique Ríos Fernández, en nombre y representación de doña Elisa Isabel Cataluña Lacreu, don Francisco Ignacio Cortina Saus y la entidad Técnicos en Planes Parciales, S.L., por el que interponía un recurso de amparo contra la Sentencia del Juzgado de lo Penal núm. 10 de Valencia, de 9 de marzo de 2015, y contra la Sentencia de la Sección Cuarta de la Audiencia Provincial de Valencia, de 3 de septiembre de 2015, por supuesta vulneración de los derechos fundamentales a la tutela judicial efectiva (art. 24.1 CE), a la igualdad (art. 14 CE), al principio de legalidad penal (art. 25.1 CE), al derecho a la presunción de inocencia (art. 24.2 CE) y al derecho a la libertad (art. 17.1 CE).</w:t>
      </w:r>
    </w:p>
    <w:p w:rsidR="0033382B" w:rsidRDefault="0033382B" w:rsidP="0033382B">
      <w:pPr>
        <w:pStyle w:val="TextoNormal"/>
      </w:pPr>
    </w:p>
    <w:p w:rsidR="0033382B" w:rsidRDefault="0033382B" w:rsidP="0033382B">
      <w:pPr>
        <w:pStyle w:val="TextoNormal"/>
      </w:pPr>
      <w:r w:rsidRPr="0033382B">
        <w:rPr>
          <w:rStyle w:val="NumeroAFNegritaCaracter"/>
        </w:rPr>
        <w:t>2</w:t>
      </w:r>
      <w:r>
        <w:t>. Sucintamente, los hechos relevantes para resolver la pretensión de suspensión de los recurrentes son los siguientes:</w:t>
      </w:r>
    </w:p>
    <w:p w:rsidR="0033382B" w:rsidRDefault="0033382B" w:rsidP="0033382B">
      <w:pPr>
        <w:pStyle w:val="TextoNormal"/>
      </w:pPr>
    </w:p>
    <w:p w:rsidR="0033382B" w:rsidRDefault="0033382B" w:rsidP="0033382B">
      <w:pPr>
        <w:pStyle w:val="TextoNormal"/>
      </w:pPr>
      <w:r>
        <w:t>a) El Juzgado de lo Penal núm. 10 de Valencia dictó Sentencia el 9 de marzo de 2015 por la que condenó a los acusados don Francisco Ignacio Cortina Saus y doña Elisa Isabel Cataluña Lacreu:</w:t>
      </w:r>
    </w:p>
    <w:p w:rsidR="0033382B" w:rsidRDefault="0033382B" w:rsidP="0033382B">
      <w:pPr>
        <w:pStyle w:val="TextoNormal"/>
      </w:pPr>
    </w:p>
    <w:p w:rsidR="0033382B" w:rsidRDefault="0033382B" w:rsidP="0033382B">
      <w:pPr>
        <w:pStyle w:val="TextoNormal"/>
      </w:pPr>
      <w:r>
        <w:t>— Como autores de un delito contra la hacienda pública, correspondiente al impuesto sobre el valor añadido del año 2007, a las penas de: (i) un año de prisión, con la accesoria de inhabilitación especial para el derecho de sufragio pasivo durante el tiempo de la condena; (ii) multa de 209.790,93 €, con responsabilidad personal subsidiaria en caso de impago, por tiempo de tres meses, respondiendo de manera directa y solidaria de las multas la mercantil Técnicos en Planes Parciales, S.L.; y, (iii) pérdida de la posibilidad de obtener subvenciones o ayudas públicas y del derecho a gozar de beneficios o incentivos fiscales o de la Seguridad Social durante un periodo de tres años. Asimismo se les condena en concepto de responsabilidad civil derivada del delito, a indemnizar de forma conjunta y solidaria a la hacienda pública en la cantidad de 209.790,93 €, más los intereses de demora tributarios devengados desde la fecha de finalización del plazo de presentación de la liquidación anual del impuesto sobre el valor añadido de 2007 (31 de enero de 2008), cuya concreción se llevará a cabo en fase de ejecución de sentencia; respondiendo de esta cantidad, como responsable civil subsidiaria, la mercantil Técnicos en Planes Parciales, S.L.</w:t>
      </w:r>
    </w:p>
    <w:p w:rsidR="0033382B" w:rsidRDefault="0033382B" w:rsidP="0033382B">
      <w:pPr>
        <w:pStyle w:val="TextoNormal"/>
      </w:pPr>
    </w:p>
    <w:p w:rsidR="0033382B" w:rsidRDefault="0033382B" w:rsidP="0033382B">
      <w:pPr>
        <w:pStyle w:val="TextoNormal"/>
      </w:pPr>
      <w:r>
        <w:t>— Como autores de un delito contra la hacienda pública, correspondiente al impuesto sobre el valor añadido correspondiente al año 2008, a las penas de: (i) un año de prisión, con la accesoria de inhabilitación especial para el derecho de sufragio pasivo durante el tiempo de la condena; (ii) multa de 211.578,24 €, con responsabilidad personal subsidiaria en caso de impago, por tiempo de tres meses, respondiendo de manera directa y solidaria de las multas la mercantil Técnicos en Planes Parciales, S.L.; y, (iii) pérdida de la posibilidad de obtener subvenciones o ayudas públicas y del derecho a gozar de beneficios o incentivos fiscales o de la Seguridad Social durante un periodo de tres años. Asimismo se les condena en concepto de responsabilidad civil derivada del delito, a indemnizar de forma conjunta y solidaria a la hacienda pública en la cantidad de 211.578,24 €, más los intereses de demora tributarios devengados desde la fecha de finalización del plazo de presentación de la liquidación anual del impuesto sobre el valor añadido de 2008 (31 de enero de 2009), cuya concreción se llevará a cabo en fase de ejecución de sentencia; respondiendo de esta cantidad, como responsable civil subsidiaria, la mercantil Técnicos en Planes Parciales, S.L.</w:t>
      </w:r>
    </w:p>
    <w:p w:rsidR="0033382B" w:rsidRDefault="0033382B" w:rsidP="0033382B">
      <w:pPr>
        <w:pStyle w:val="TextoNormal"/>
      </w:pPr>
    </w:p>
    <w:p w:rsidR="0033382B" w:rsidRDefault="0033382B" w:rsidP="0033382B">
      <w:pPr>
        <w:pStyle w:val="TextoNormal"/>
      </w:pPr>
      <w:r>
        <w:t>— Al pago de las costas procesales, por mitad.</w:t>
      </w:r>
    </w:p>
    <w:p w:rsidR="0033382B" w:rsidRDefault="0033382B" w:rsidP="0033382B">
      <w:pPr>
        <w:pStyle w:val="TextoNormal"/>
      </w:pPr>
    </w:p>
    <w:p w:rsidR="0033382B" w:rsidRDefault="0033382B" w:rsidP="0033382B">
      <w:pPr>
        <w:pStyle w:val="TextoNormal"/>
      </w:pPr>
      <w:r>
        <w:t xml:space="preserve">b) Interpuesto recurso de apelación contra la citada Sentencia, la Sección Cuarta de la Audiencia Provincial de Valencia lo tramitó, dictando Sentencia desestimatoria el 3 de septiembre de 2015, confirmando la del Juzgado </w:t>
      </w:r>
      <w:r w:rsidRPr="0033382B">
        <w:rPr>
          <w:i/>
        </w:rPr>
        <w:t>a quo</w:t>
      </w:r>
      <w:r>
        <w:t>.</w:t>
      </w:r>
    </w:p>
    <w:p w:rsidR="0033382B" w:rsidRDefault="0033382B" w:rsidP="0033382B">
      <w:pPr>
        <w:pStyle w:val="TextoNormal"/>
      </w:pPr>
    </w:p>
    <w:p w:rsidR="0033382B" w:rsidRDefault="0033382B" w:rsidP="0033382B">
      <w:pPr>
        <w:pStyle w:val="TextoNormal"/>
      </w:pPr>
      <w:r w:rsidRPr="0033382B">
        <w:rPr>
          <w:rStyle w:val="NumeroAFNegritaCaracter"/>
        </w:rPr>
        <w:t>3</w:t>
      </w:r>
      <w:r>
        <w:t>. En la demanda de amparo se alega, en síntesis, de un lado la vulneración de los derechos fundamentales a la tutela judicial efectiva (art. 24.1 CE), a la igualdad (art. 14 CE), el principio de legalidad penal (art. 25.1 CE) y el derecho a la libertad (art. 17.1 CE), por no haberse declarado la prescripción del delito contra la hacienda pública por el ejercicio fiscal del impuesto sobre el valor añadido del año 2007. Y de otro lado, la vulneración de los derechos fundamentales a la tutela judicial efectiva (art. 24.1 CE), el derecho a la presunción de inocencia (art. 24.2 CE), el principio de legalidad penal (art. 25.1 CE), y el derecho a la libertad (art. 17.1 CE), por no existir prueba de cargo que acredite la comisión en grado de dolo o culpa, del delito por el que se les condena.</w:t>
      </w:r>
    </w:p>
    <w:p w:rsidR="0033382B" w:rsidRDefault="0033382B" w:rsidP="0033382B">
      <w:pPr>
        <w:pStyle w:val="TextoNormal"/>
      </w:pPr>
    </w:p>
    <w:p w:rsidR="0033382B" w:rsidRDefault="0033382B" w:rsidP="0033382B">
      <w:pPr>
        <w:pStyle w:val="TextoNormal"/>
      </w:pPr>
      <w:r>
        <w:t>Por otrosí digo en la misma demanda, se solicitó la suspensión de la ejecución de las resoluciones impugnadas, “y en especial de la pena de privación de libertad”. Se alega que de no suspenderse dichas resoluciones “y en especial” —se insiste—, la de prisión, cuando se produzca la eventual estimación del presente recurso de amparo ésta sería ya “tardía”, y el restablecimiento de los derechos vulnerados “no podría ser ya efectivo, sino simplemente ilusorio y nominal”. Se invoca el art. 56.3 la Ley Orgánica del Tribunal Constitucional (LOTC), que permite acordar la suspensión para evitar que la ejecución de las resoluciones durante el tiempo de tramitación del recurso haga perder a éste su finalidad.</w:t>
      </w:r>
    </w:p>
    <w:p w:rsidR="0033382B" w:rsidRDefault="0033382B" w:rsidP="0033382B">
      <w:pPr>
        <w:pStyle w:val="TextoNormal"/>
      </w:pPr>
    </w:p>
    <w:p w:rsidR="0033382B" w:rsidRDefault="0033382B" w:rsidP="0033382B">
      <w:pPr>
        <w:pStyle w:val="TextoNormal"/>
      </w:pPr>
      <w:r>
        <w:t>Prosigue diciendo que dicha parte conoce que la jurisprudencia de este Tribunal obliga a realizar una ponderación de los intereses en conflicto, citando el ATC 19/2014, de 27 de enero, y en este caso entienden que no concurre interés general o derechos fundamentales de terceros que puedan quedar afectados. Se citan los AATC 92/2015, de 25 de mayo —donde se considera imposible o muy difícil la reparación de las penas privativas de libertad—, y 139/2013, de 3 de junio —que acuerda la suspensión en un caso donde la pena de prisión era de un año y seis meses—.</w:t>
      </w:r>
    </w:p>
    <w:p w:rsidR="0033382B" w:rsidRDefault="0033382B" w:rsidP="0033382B">
      <w:pPr>
        <w:pStyle w:val="TextoNormal"/>
      </w:pPr>
    </w:p>
    <w:p w:rsidR="0033382B" w:rsidRDefault="0033382B" w:rsidP="0033382B">
      <w:pPr>
        <w:pStyle w:val="TextoNormal"/>
      </w:pPr>
      <w:r>
        <w:t>Con arreglo a ello se suplica del Tribunal acordar “de conformidad con lo previsto en el artículo 56.6 de la Ley Orgánica del Tribunal Constitucional, y con arreglo al cauce procesal allí previsto, acuerde con carácter urgente la suspensión de efectos de las resoluciones impugnadas … y en especial la suspensión de la pena de privación de libertad”.</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la Sección Cuarta, Sala Segunda, de este Tribunal, de 19 de enero de 2016, se acordó admitir a trámite el recurso, “apreciando que concurre en el mismo una especial trascendencia constitucional (art. 50.1 LOTC) como consecuencia de que el órgano judicial pudiera haber incurrido en una negativa manifiesta del deber de acatamiento de la doctrina de este Tribunal [STC 155/2009, FJ 2, f)]”. Asimismo, se acordó dirigir atenta comunicación a la Sección Cuarta de la Audiencia Provincial de Valencia, y al Juzgado de lo Penal núm. 10 de Valencia, para que respectivamente remitan en el plazo de diez días, certificación o fotocopia adverada del recurso de apelación núm. 248-2015, y del juicio abreviado núm. 344-2014; con emplazamiento a quienes hubieran sido parte en el procedimiento, excepto a la parte recurrente en amparo, para poder personarse en el plazo de diez días, si lo desean, en el presente recurso. Todo ello condicionado, se advierte al final, a que por el Procurador de los recurrentes se presenten los poderes para pleitos originales que acrediten la representación que dice ostentar.</w:t>
      </w:r>
    </w:p>
    <w:p w:rsidR="0033382B" w:rsidRDefault="0033382B" w:rsidP="0033382B">
      <w:pPr>
        <w:pStyle w:val="TextoNormal"/>
      </w:pPr>
    </w:p>
    <w:p w:rsidR="0033382B" w:rsidRDefault="0033382B" w:rsidP="0033382B">
      <w:pPr>
        <w:pStyle w:val="TextoNormal"/>
      </w:pPr>
      <w:r>
        <w:t>Este requerimiento se cumplimentó por escrito del mencionado Procurador, de 27 de enero de 2016, acordándose por diligencia de la Secretaría de Justicia de 28 de enero de 2016, tener por presentado dicho escrito y proveer a la solicitud de desglose y devolución de las escrituras de poderes.</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otra providencia dictada por la Sección Cuarta de este Tribunal el 19 de enero de 2016, se acordó “formar con la precedente fotocopia, la oportuna pieza para la tramitación del incidente sobre suspensión y conforme determina el artículo 56 de la Ley Orgánica de este Tribunal, conceder un plazo de tres días a la parte recurrente y al Ministerio Fiscal para que aleguen lo que estimen pertinente sobre dicha suspensión”.</w:t>
      </w:r>
    </w:p>
    <w:p w:rsidR="0033382B" w:rsidRDefault="0033382B" w:rsidP="0033382B">
      <w:pPr>
        <w:pStyle w:val="TextoNormal"/>
      </w:pPr>
    </w:p>
    <w:p w:rsidR="0033382B" w:rsidRDefault="0033382B" w:rsidP="0033382B">
      <w:pPr>
        <w:pStyle w:val="TextoNormal"/>
      </w:pPr>
      <w:r w:rsidRPr="0033382B">
        <w:rPr>
          <w:rStyle w:val="NumeroAFNegritaCaracter"/>
        </w:rPr>
        <w:t>6</w:t>
      </w:r>
      <w:r>
        <w:t>. Por escrito registrado el 27 de enero de 2016, la representación procesal de los recurrentes presentó sus alegaciones, solicitando de este Tribunal que acuerde “la suspensión de la pena privativa de libertad impuesta por las resoluciones impugnadas”. En el escrito se reproducen las afirmaciones formuladas en el otrosí digo de la demanda, refiriéndose a la suspensión de las Sentencias recurridas “y muy especialmente la suspensión de la ejecución de la pena de privación de libertad impuesta a mis representados”. Se añade que en este caso, “la responsabilidad civil derivada del delito se encuentra plenamente garantizada mediante los embargos trabados por la Agencia Tributaria a doña Elisa Isabel Cataluña Lacreu al amparo de lo previsto en el artículo 81 de la Ley General Tributaria, cuya resolución (Acuerdo) de fecha 21 de julio de 2014 se acompaña como Documento 1, cuya valoración y estimación del valor real de los mismos asciende al importe total de 798.716,11 €”.</w:t>
      </w:r>
    </w:p>
    <w:p w:rsidR="0033382B" w:rsidRDefault="0033382B" w:rsidP="0033382B">
      <w:pPr>
        <w:pStyle w:val="TextoNormal"/>
      </w:pPr>
    </w:p>
    <w:p w:rsidR="0033382B" w:rsidRDefault="0033382B" w:rsidP="0033382B">
      <w:pPr>
        <w:pStyle w:val="TextoNormal"/>
      </w:pPr>
      <w:r w:rsidRPr="0033382B">
        <w:rPr>
          <w:rStyle w:val="NumeroAFNegritaCaracter"/>
        </w:rPr>
        <w:t>7</w:t>
      </w:r>
      <w:r>
        <w:t>. En la misma fecha, 27 de enero de 2016, se registró escrito del Fiscal ante este Tribunal Constitucional, por el que considera que procede acceder a la suspensión de las dos penas de un año de prisión impuesta a los recurrentes doña Elisa Isabel y don Francisco Ignacio, debiendo denegarse por el contrario las demás penas a las que también resultaron condenados.</w:t>
      </w:r>
    </w:p>
    <w:p w:rsidR="0033382B" w:rsidRDefault="0033382B" w:rsidP="0033382B">
      <w:pPr>
        <w:pStyle w:val="TextoNormal"/>
      </w:pPr>
    </w:p>
    <w:p w:rsidR="0033382B" w:rsidRDefault="0033382B" w:rsidP="0033382B">
      <w:pPr>
        <w:pStyle w:val="TextoNormal"/>
      </w:pPr>
      <w:r>
        <w:t>El escrito de alegaciones del Fiscal, luego de recapitular sobre la doctrina de este Tribunal en materia de suspensión ejecutiva de resoluciones judiciales, en particular cuando se trata de penas privativas de libertad y los factores que deben ponderarse en tales situaciones, pasa a referirse a las penas impuestas a los recurrentes. Atendida su gravedad, recuerda que el Tribunal obliga a comparar la extensión de la pena privativa de libertad con el tiempo estimado para tramitar el amparo, debiendo suspenderse la sanción ahí donde de lo contrario se ocasionaría un perjuicio irreparable. Añade el escrito en este punto, que acceder a la suspensión “no ocasionaría una lesión específica y grave del interés general, más allá de la genérica que de por sí produce la no ejecución de un fallo judicial”.</w:t>
      </w:r>
    </w:p>
    <w:p w:rsidR="0033382B" w:rsidRDefault="0033382B" w:rsidP="0033382B">
      <w:pPr>
        <w:pStyle w:val="TextoNormal"/>
      </w:pPr>
    </w:p>
    <w:p w:rsidR="0033382B" w:rsidRDefault="0033382B" w:rsidP="0033382B">
      <w:pPr>
        <w:pStyle w:val="TextoNormal"/>
      </w:pPr>
      <w:r>
        <w:t>En segundo lugar, el Fiscal defiende que no se suspenda la pena accesoria de inhabilitación de sufragio pasivo, la multa, la responsabilidad civil y la condena en costas, al tratarse de sanciones y en su caso obligaciones de contenido económico, de modo que los perjuicios que genera su ejecución resultan perfectamente reparables si se otorga el amparo, con cita de jurisprudencia de apoyo (“entre otros muchos, AATC 152/1996, 371/1996, 91/1997,181/1998 y 82/1998”). Además, recalca, los recurrentes no levantan la carga procesal de explicar en su escrito, los “graves quebrantos” que les causa cumplir con lo resuelto (cita el ATC de 23 de noviembre de 1998).</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Es doctrina reiterada de este Tribunal expresada, entre otros, en el ATC 198/2014, de 21 de julio, de esta misma Sala, en su fundamento jurídico 1, que “[c]omo regla general, el apartado 1 del art. 56 de la Ley Orgánica del Tribunal Constitucional: LOTC (en la redacción dada por la Ley Orgánica 6/2007, de 24 de mayo) determina que ‘la interposición del recurso de amparo no suspenderá los efectos del acto o sentencia impugnados’. Regla que se somete a excepción en el apartado 2 del mismo precepto, permitiendo la medida de suspensión total o parcial de los efectos del acto o sentencia impugnados, cuando uno u otra ‘produzca un perjuicio al recurrente que pudiera hacer perder al amparo su finalidad’, condicionado en todo caso a que ‘la suspensión no ocasione perturbación grave a un interés constitucionalmente protegido, ni a los derechos fundamentales o libertades de otra persona’. 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entiende procedente acordarla en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9/2003, de 20 de enero, FJ 2; y 44/2012, de 12 de marzo, FJ 1)…’ (ATC 19/2014, de 27 de enero, FJ 1)”.</w:t>
      </w:r>
    </w:p>
    <w:p w:rsidR="0033382B" w:rsidRDefault="0033382B" w:rsidP="0033382B">
      <w:pPr>
        <w:pStyle w:val="TextoNormal"/>
      </w:pPr>
    </w:p>
    <w:p w:rsidR="0033382B" w:rsidRDefault="0033382B" w:rsidP="0033382B">
      <w:pPr>
        <w:pStyle w:val="TextoNormal"/>
      </w:pPr>
      <w:r w:rsidRPr="0033382B">
        <w:rPr>
          <w:rStyle w:val="NumeroAFNegritaCaracter"/>
        </w:rPr>
        <w:t>2</w:t>
      </w:r>
      <w:r>
        <w:t>. Prosigue explicando el mencionado ATC 198/2014, de 21 de julio, en su fundamento jurídico 2:</w:t>
      </w:r>
    </w:p>
    <w:p w:rsidR="0033382B" w:rsidRDefault="0033382B" w:rsidP="0033382B">
      <w:pPr>
        <w:pStyle w:val="TextoNormal"/>
      </w:pPr>
    </w:p>
    <w:p w:rsidR="0033382B" w:rsidRDefault="0033382B" w:rsidP="0033382B">
      <w:pPr>
        <w:pStyle w:val="TextoNormal"/>
      </w:pPr>
      <w:r>
        <w:t>“[C]uando se trata de la suspensión de penas de prisión, se ha venido reiterando doctrina en virtud de la cual: ‘…La evaluación de la gravedad de la perturbación que para el interés general tiene la suspensión de la ejecución de una pena constituye un juicio complejo dependiente de diversos factores,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211/2004, de 2 de junio, FJ 3). En relación con este criterio de gravedad de la pena este Tribunal adopta como directriz inicial la de que la pena se sitúe por encima o por debajo de la frontera de los cinco años de prisión, que es la que le sirve al legislador penal para diferenciar entre las penas graves y las menos graves (art. 33 CP)…’ (ATC 31/2007, de 12 de febrero, FJ 2. En el mismo sentido, entre otros, AATC 420/2007, de 5 de noviembre, FJ 2; 42/2008, de 11 de febrero, FJ 1; 286/2008, de 22 de septiembre, FJ 1; 16/2009, de 26 de enero, FJ 1; 157/2009, de 18 de mayo, FFJJ 2 y 3; 50/2010, de 20 de abril, FJ 1; 44/2012, de 12 de marzo, FJ 2; 185/2012, de 15 de octubre, FJ 1; 61/2013, de 27 de febrero, FJ 2; y 90/2014, de 27 de marzo, FJ 2).</w:t>
      </w:r>
    </w:p>
    <w:p w:rsidR="0033382B" w:rsidRDefault="0033382B" w:rsidP="0033382B">
      <w:pPr>
        <w:pStyle w:val="TextoNormal"/>
      </w:pPr>
    </w:p>
    <w:p w:rsidR="0033382B" w:rsidRDefault="0033382B" w:rsidP="0033382B">
      <w:pPr>
        <w:pStyle w:val="TextoNormal"/>
      </w:pPr>
      <w:r>
        <w:t>Este canon general, sin embargo, se ha excepcionado en dos situaciones singulares donde, pese a ponderarse que concurren en el caso los requisitos necesarios para decretar la suspensión, la misma se deniega por carecer la medida de verdadera eficacia práctica. Así sucede: a) cuando la pena de la que se solicita la suspensión tiene fijada una fecha futura de inicio de cumplimiento, respecto de la cual resulta previsible que se haya dictado para entonces la Sentencia resolutoria del amparo (ATC 42/2008, de 11 de febrero, FJ 2), y b) si la persona debiera continuar en prisión en todo caso, en virtud del cumplimiento de otra ejecutoria anterior (ATC 486/1983, de 19 de octubre, FJ único)”.</w:t>
      </w:r>
    </w:p>
    <w:p w:rsidR="0033382B" w:rsidRDefault="0033382B" w:rsidP="0033382B">
      <w:pPr>
        <w:pStyle w:val="TextoNormal"/>
      </w:pPr>
    </w:p>
    <w:p w:rsidR="0033382B" w:rsidRDefault="0033382B" w:rsidP="0033382B">
      <w:pPr>
        <w:pStyle w:val="TextoNormal"/>
      </w:pPr>
      <w:r w:rsidRPr="0033382B">
        <w:rPr>
          <w:rStyle w:val="NumeroAFNegritaCaracter"/>
        </w:rPr>
        <w:t>3</w:t>
      </w:r>
      <w:r>
        <w:t>. En lo que concierne a la suspensión de las penas privativas de libertad que le han sido impuestas a los recurrentes doña Elisa Isabel y don Francisco Ignacio, ha de accederse a lo solicitado, con respaldo en este punto del Ministerio Fiscal. La extensión total de la indicada pena, dos años de prisión en total para cada uno de los recurrentes, teniendo en cuenta el tiempo que requerirá la tramitación de este proceso de amparo y su resolución por la Sala, podría ocasionar un perjuicio irreparable de no suspenderse su cumplimiento, lo que haría perder gran parte, sino toda, la eficacia de un eventual fallo estimatorio del recurso; teniendo en cuenta además que no se produce ninguna perturbación grave de los intereses generales, ni la afectación a derechos fundamentales de terceros.</w:t>
      </w:r>
    </w:p>
    <w:p w:rsidR="0033382B" w:rsidRDefault="0033382B" w:rsidP="0033382B">
      <w:pPr>
        <w:pStyle w:val="TextoNormal"/>
      </w:pPr>
    </w:p>
    <w:p w:rsidR="0033382B" w:rsidRDefault="0033382B" w:rsidP="0033382B">
      <w:pPr>
        <w:pStyle w:val="TextoNormal"/>
      </w:pPr>
      <w:r>
        <w:t>Esta misma decisión de suspender ha de acordarse también en cuanto a la pena accesoria de inhabilitación especial para el ejercicio del derecho de sufragio pasivo durante el tiempo de la condena de prisión, conforme reiterada doctrina del Tribunal que determina que la pena accesoria siga la suerte de la pena principal, respecto de lo que se haya acordado sobre ésta en el incidente de suspensión (por todos, ATC 291/2014, de 1 de diciembre, FJ 3, con cita de otros anteriores).</w:t>
      </w:r>
    </w:p>
    <w:p w:rsidR="0033382B" w:rsidRDefault="0033382B" w:rsidP="0033382B">
      <w:pPr>
        <w:pStyle w:val="TextoNormal"/>
      </w:pPr>
    </w:p>
    <w:p w:rsidR="0033382B" w:rsidRDefault="0033382B" w:rsidP="0033382B">
      <w:pPr>
        <w:pStyle w:val="TextoNormal"/>
      </w:pPr>
      <w:r w:rsidRPr="0033382B">
        <w:rPr>
          <w:rStyle w:val="NumeroAFNegritaCaracter"/>
        </w:rPr>
        <w:t>4</w:t>
      </w:r>
      <w:r>
        <w:t xml:space="preserve">. Por el contrario, no procede suspender la pena pecuniaria de multa por los ejercicios de 2007 y 2008; la pérdida de la posibilidad de obtener subvenciones o ayudas públicas y del derecho a gozar de beneficios o incentivos fiscales o de la Seguridad social por tiempo de tres años (art. 305.1 </w:t>
      </w:r>
      <w:r w:rsidRPr="0033382B">
        <w:rPr>
          <w:i/>
        </w:rPr>
        <w:t>in fine</w:t>
      </w:r>
      <w:r>
        <w:t xml:space="preserve"> Código penal); así como tampoco la suspensión del pago de la indemnización por responsabilidad civil </w:t>
      </w:r>
      <w:r w:rsidRPr="0033382B">
        <w:rPr>
          <w:i/>
        </w:rPr>
        <w:t>ex delicto</w:t>
      </w:r>
      <w:r>
        <w:t xml:space="preserve"> (capital e intereses de demora tributarios) y el de las costas procesales causadas.</w:t>
      </w:r>
    </w:p>
    <w:p w:rsidR="0033382B" w:rsidRDefault="0033382B" w:rsidP="0033382B">
      <w:pPr>
        <w:pStyle w:val="TextoNormal"/>
      </w:pPr>
    </w:p>
    <w:p w:rsidR="0033382B" w:rsidRDefault="0033382B" w:rsidP="0033382B">
      <w:pPr>
        <w:pStyle w:val="TextoNormal"/>
      </w:pPr>
      <w:r>
        <w:t>Las mencionadas sanciones (multa; pérdida de subvenciones y ayudas) obligaciones civiles (indemnización) y procesales (costas), tienen un contenido patrimonial y por tanto, por su naturaleza, no producen daño irreparable o de muy difícil reparación (entre otros, AATC 386/2008, de 15 de diciembre, FJ 3; 156/2009 y 157/2009, ambos de 18 de mayo, FJ 3; 18/2011, de 28 de febrero, FJ 4, y 16/2012, de 30 de enero, FFJJ 2 y 3).</w:t>
      </w:r>
    </w:p>
    <w:p w:rsidR="0033382B" w:rsidRDefault="0033382B" w:rsidP="0033382B">
      <w:pPr>
        <w:pStyle w:val="TextoNormal"/>
      </w:pPr>
    </w:p>
    <w:p w:rsidR="0033382B" w:rsidRDefault="0033382B" w:rsidP="0033382B">
      <w:pPr>
        <w:pStyle w:val="TextoNormal"/>
      </w:pPr>
      <w:r>
        <w:t>Para que en el caso concreto pudiera estimarse otra cosa habría sido necesario que los recurrentes, bien en el otrosí digo de su demanda de amparo, bien en el escrito de alegaciones abierto dentro de la pieza de suspensión, hubiesen fundamentado verosímilmente la imposibilidad de reparación (ATC 117/2004, de 19 de abril, FJ 4). Extremo sobre el que sin embargo no se pronuncian, limitándose a decir que la responsabilidad civil está garantizada con el embargo de bienes que ha sido trabado por la Agencia Tributaria, lo que a todas luces resulta insuficiente en el sentido indicado. El incumplimiento de la carga de alegación que pesaba sobre los recurrentes, conduce a desestimar su solicitud de suspensión respecto de las mismas (por ejemplo, AATC 56/2009, de 23 de febrero, FJ 2, y 124/2012, de 18 de junio, FJ 2).</w:t>
      </w:r>
    </w:p>
    <w:p w:rsidR="0033382B" w:rsidRDefault="0033382B" w:rsidP="0033382B">
      <w:pPr>
        <w:pStyle w:val="TextoNormal"/>
      </w:pPr>
    </w:p>
    <w:p w:rsidR="0033382B" w:rsidRDefault="0033382B" w:rsidP="0033382B">
      <w:pPr>
        <w:pStyle w:val="TextoNormal"/>
      </w:pPr>
      <w:r>
        <w:t xml:space="preserve">Finalmente, tampoco puede accederse a la suspensión de la responsabilidad personal subsidiaria en caso de impago de la pena de multa, por tres meses, incluida en la Sentencia de condena. Este Tribunal viene considerando que el cumplimiento de tal responsabilidad personal comporta una “eventualidad incierta en este momento, que depende de que la multa no llegue a ser abonada voluntariamente”, lo que impide por eso mismo su otorgamiento; ello sin perjuicio de que de producirse en el futuro, pueda dar lugar a su reconsideración tras una nueva solicitud de los recurrentes, </w:t>
      </w:r>
      <w:r w:rsidRPr="0033382B">
        <w:rPr>
          <w:i/>
        </w:rPr>
        <w:t>ex</w:t>
      </w:r>
      <w:r>
        <w:t xml:space="preserve"> art. 57 LOTC (AATC 386/2008, de 15 de diciembre, FJ 3, y 53/2009, de 23 de febrero, FJ 3).</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Suspender la ejecución de la Sentencia del Juzgado de lo Penal núm. 10 de Valencia, de 9 de marzo de 2015, confirmada por Sentencia de la Sección Cuarta de la Audiencia Provincial de Valencia, de 7 de septiembre de 2015, única y exclusivamente en cuanto a las penas de prisión y la accesoria de inhabilitación especial para el ejercicio del derecho de sufragio pasivo durante el tiempo de la condena de prisión, impuestas a doña Elisa Isabel Cataluña Lacreu y don Ignacio Cortina Saus.</w:t>
      </w:r>
    </w:p>
    <w:p w:rsidR="0033382B" w:rsidRDefault="0033382B" w:rsidP="0033382B">
      <w:pPr>
        <w:pStyle w:val="TextoNormal"/>
      </w:pPr>
    </w:p>
    <w:p w:rsidR="0033382B" w:rsidRDefault="0033382B" w:rsidP="0033382B">
      <w:pPr>
        <w:pStyle w:val="TextoNormal"/>
      </w:pPr>
      <w:r>
        <w:t>Madrid, a quince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62" w:name="AUTO_2016_35"/>
      <w:r>
        <w:t>AUTO 35/2016, de 16 de febrero de 2016</w:t>
      </w:r>
    </w:p>
    <w:bookmarkEnd w:id="162"/>
    <w:p w:rsidR="0033382B" w:rsidRDefault="0033382B" w:rsidP="0033382B">
      <w:pPr>
        <w:pStyle w:val="TtuloResolucin"/>
      </w:pPr>
      <w:r>
        <w:t>Pleno</w:t>
      </w:r>
    </w:p>
    <w:p w:rsidR="0033382B" w:rsidRDefault="0033382B" w:rsidP="0033382B">
      <w:pPr>
        <w:pStyle w:val="TtuloBOE"/>
      </w:pPr>
      <w:r>
        <w:t>(BOE núm. 71, de 23 de marzo de 2016)</w:t>
      </w:r>
    </w:p>
    <w:p w:rsidR="0033382B" w:rsidRDefault="0033382B" w:rsidP="0033382B">
      <w:pPr>
        <w:pStyle w:val="TextoNormalCentrado"/>
      </w:pPr>
      <w:r>
        <w:t>ECLI:ES:TC:2016:35A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6379-2014, planteada por el Juzgado de lo Mercantil núm. 1 de Oviedo respecto del artículo 168.1 de la Ley 22/2003, de 9 de julio, concursal, en la redacción dada por el Real Decreto-ley 3/2009, de 27 de marzo.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presentado en el Registro General de este Tribunal Constitucional el día 24 de octubre de 2014, el Juzgado de lo Mercantil núm. 1 de Oviedo, en los autos del concurso voluntario núm. 94-2012, plantea cuestión de inconstitucionalidad respecto del art. 168.1 de la Ley concursal de 22/2003, de 9 de julio (en la redacción dada por el Real Decreto-ley 3/2009, de 27 de marzo) acompañando el testimonio de las actuaciones y el Auto de planteamiento de 30 de septiembre de 2014.</w:t>
      </w:r>
    </w:p>
    <w:p w:rsidR="0033382B" w:rsidRDefault="0033382B" w:rsidP="0033382B">
      <w:pPr>
        <w:pStyle w:val="TextoNormal"/>
      </w:pPr>
    </w:p>
    <w:p w:rsidR="0033382B" w:rsidRDefault="0033382B" w:rsidP="0033382B">
      <w:pPr>
        <w:pStyle w:val="TextoNormal"/>
      </w:pPr>
      <w:r w:rsidRPr="0033382B">
        <w:rPr>
          <w:rStyle w:val="NumeroAFNegritaCaracter"/>
        </w:rPr>
        <w:t>2</w:t>
      </w:r>
      <w:r>
        <w:t>. Los hechos de los que trae causa la cuestión de inconstitucionalidad planteada son, en síntesis, los siguientes:</w:t>
      </w:r>
    </w:p>
    <w:p w:rsidR="0033382B" w:rsidRDefault="0033382B" w:rsidP="0033382B">
      <w:pPr>
        <w:pStyle w:val="TextoNormal"/>
      </w:pPr>
    </w:p>
    <w:p w:rsidR="0033382B" w:rsidRDefault="0033382B" w:rsidP="0033382B">
      <w:pPr>
        <w:pStyle w:val="TextoNormal"/>
      </w:pPr>
      <w:r>
        <w:t>a) En los autos del concurso voluntario núm. 94-2011 seguidos en relación con el deudor Edinain, S.L., por el Juzgado de lo Mercantil núm. 1 de Oviedo, se acordó por Auto de 4 de diciembre de 2013 aprobar el plan de liquidación, y por providencia de 24 de enero de 2014, la formación de la sección sexta de calificación del concurso y la publicación en el “BOE” y en el tablón de anuncios del Juzgado, para que cualquier acreedor o persona que acreditara un interés legítimo pudiera personarse.</w:t>
      </w:r>
    </w:p>
    <w:p w:rsidR="0033382B" w:rsidRDefault="0033382B" w:rsidP="0033382B">
      <w:pPr>
        <w:pStyle w:val="TextoNormal"/>
      </w:pPr>
    </w:p>
    <w:p w:rsidR="0033382B" w:rsidRDefault="0033382B" w:rsidP="0033382B">
      <w:pPr>
        <w:pStyle w:val="TextoNormal"/>
      </w:pPr>
      <w:r>
        <w:t>b) La Abogacía del Estado, en representación de la Agencia estatal de la Administración tributaria y la representación procesal de una entidad financiera, solicitaron que se les tuviera por personados, mediantes escritos presentados el 12 y 27 de febrero de 2014, solicitando además la Abogacía del Estado, la declaración del concurso como culpable. El Juzgado por sendas providencias de 26 de febrero y 13 de marzo de 2014 les tuvo por personados. Mediante diligencia de ordenación de 26 de mayo de 2014 se dio traslado del mismo a la Administración concursal a los efectos de presentar informe de calificación del concurso.</w:t>
      </w:r>
    </w:p>
    <w:p w:rsidR="0033382B" w:rsidRDefault="0033382B" w:rsidP="0033382B">
      <w:pPr>
        <w:pStyle w:val="TextoNormal"/>
      </w:pPr>
    </w:p>
    <w:p w:rsidR="0033382B" w:rsidRDefault="0033382B" w:rsidP="0033382B">
      <w:pPr>
        <w:pStyle w:val="TextoNormal"/>
      </w:pPr>
      <w:r>
        <w:t>c) La Administración concursal, por escrito de 19 de junio de 2014, entendió que el concurso debía calificarse como fortuito. Por diligencia de ordenación de 26 de junio de 2014, se unió el escrito presentado y, de conformidad con el art. 169.2 del Real Decreto-ley 3/2009, se acordó dar traslado de lo actuado en la sección sexta al Ministerio Fiscal a fin de que en el plazo de diez días emitiera informe.</w:t>
      </w:r>
    </w:p>
    <w:p w:rsidR="0033382B" w:rsidRDefault="0033382B" w:rsidP="0033382B">
      <w:pPr>
        <w:pStyle w:val="TextoNormal"/>
      </w:pPr>
    </w:p>
    <w:p w:rsidR="0033382B" w:rsidRDefault="0033382B" w:rsidP="0033382B">
      <w:pPr>
        <w:pStyle w:val="TextoNormal"/>
      </w:pPr>
      <w:r>
        <w:t>d) El Ministerio Fiscal, mediante informe de 3 de julio de 2014, solicitó que el concurso se declarase como fortuito.</w:t>
      </w:r>
    </w:p>
    <w:p w:rsidR="0033382B" w:rsidRDefault="0033382B" w:rsidP="0033382B">
      <w:pPr>
        <w:pStyle w:val="TextoNormal"/>
      </w:pPr>
    </w:p>
    <w:p w:rsidR="0033382B" w:rsidRDefault="0033382B" w:rsidP="0033382B">
      <w:pPr>
        <w:pStyle w:val="TextoNormal"/>
      </w:pPr>
      <w:r>
        <w:t>e) Por providencia de 28 de julio de 2014, se acordó oír a las partes personadas en la sección sexta para que “en el plazo común e improrrogable de diez días aleguen lo que deseen sobre la pertinencia de plantear cuestión de inconstitucionalidad del art. 168.1, en la redacción dada por el Real Decreto-ley 3/2009, en relación con el art. 170.1, ambos de la Ley concursal, por entender que cercenan la tutela judicial efectiva del art. 24 de la Constitución Española al privar a la AEAT, en este caso, de la posibilidad de seguir adelante en solitario con la tramitación de la Sección Sexta pese a reconocerle el art. 168.1 la condición de parte”. Dicha providencia fue notificada únicamente a los personados en la sección sexta de calificación.</w:t>
      </w:r>
    </w:p>
    <w:p w:rsidR="0033382B" w:rsidRDefault="0033382B" w:rsidP="0033382B">
      <w:pPr>
        <w:pStyle w:val="TextoNormal"/>
      </w:pPr>
    </w:p>
    <w:p w:rsidR="0033382B" w:rsidRDefault="0033382B" w:rsidP="0033382B">
      <w:pPr>
        <w:pStyle w:val="TextoNormal"/>
      </w:pPr>
      <w:r>
        <w:t>f) El Ministerio Fiscal, por escrito de fecha 4 de septiembre de 2014 estimó que al cumplirse los requisitos procesales exigidos por la Ley Orgánica del Tribunal Constitucional no se oponía al planteamiento de la cuestión de inconstitucionalidad, aunque advertía que la Fiscalía General del Estado ya se había pronunciado sobre una cuestión idéntica a la suscitada por el mismo órgano judicial considerándola notoriamente infundada, siendo inadmitida por Auto del Pleno del Tribunal Constitucional de 29 de enero de 2013.</w:t>
      </w:r>
    </w:p>
    <w:p w:rsidR="0033382B" w:rsidRDefault="0033382B" w:rsidP="0033382B">
      <w:pPr>
        <w:pStyle w:val="TextoNormal"/>
      </w:pPr>
    </w:p>
    <w:p w:rsidR="0033382B" w:rsidRDefault="0033382B" w:rsidP="0033382B">
      <w:pPr>
        <w:pStyle w:val="TextoNormal"/>
      </w:pPr>
      <w:r>
        <w:t>g) El Abogado del Estado, en representación de la Agencia Tributaria, se posicionó a favor del planteamiento de la cuestión de inconstitucionalidad en su escrito de 5 de septiembre de 2014, por entender que los arts. 168.1 y 170.1 del Real Decreto-ley 3/2009 vulneraban el derecho a la tutela judicial efectiva.</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28 de octubre de 2014 del Juzgado de lo Mercantil núm. 1 de Oviedo fundamenta el planteamiento de la cuestión de inconstitucionalidad en las consideraciones que seguidamente, y de forma resumida, se indican.</w:t>
      </w:r>
    </w:p>
    <w:p w:rsidR="0033382B" w:rsidRDefault="0033382B" w:rsidP="0033382B">
      <w:pPr>
        <w:pStyle w:val="TextoNormal"/>
      </w:pPr>
    </w:p>
    <w:p w:rsidR="0033382B" w:rsidRDefault="0033382B" w:rsidP="0033382B">
      <w:pPr>
        <w:pStyle w:val="TextoNormal"/>
      </w:pPr>
      <w:r>
        <w:t>Tras la exposición del contenido del art. 35 de la Ley Orgánica del Tribunal Constitucional (LOTC) y del art. 168.1 del Real Decreto-ley 3/2009, relativo, este último, a la personación y condición de parte de los terceros que aducen interés legítimo en la sección de calificación del concurso, comienza el órgano judicial exponiendo las dudas que suscita el precepto mencionado de la Ley concursal en relación con la condición de parte que haya de reconocerse en la pieza de calificación a los acreedores y terceros legítimamente interesados. Seguidamente examina la evolución que dicha posición ha experimentado desde el viejo régimen legal contenido en el Código de comercio (art. 859.2), pasando por los sucesivos anteproyectos de reforma de la legislación codificada y por la redacción original del art. 168.1 de la Ley 22/2003, que no hacía referencia expresa a la condición de parte de los personados en la sección de calificación, y la jurisprudencia menor que se hacía eco de dicha circunstancia. Concluye con el examen de la reforma operada por el Real Decreto-ley 3/2009, de 27 de marzo, que introduce una novedad en el artículo 168 al reconocer al tercero personado la condición de parte. Esta reforma, a su juicio, excede de una mera corrección de estilo y obliga a aceptar su condición de parte plena, salvo que se entienda que la alusión a la condición de parte, tanto en la letra del precepto como en su rúbrica, es superflua por redundante, o se desnude la condición de parte de los atributos que le son propios. Sin embargo, insiste en que la defectuosa técnica legislativa no permite cerrar el debate, antes al contrario, y es que el artículo 170, cuya constitucionalidad se cuestiona, incomprensiblemente sigue diciendo que en caso de coincidir la Administración concursal y el Ministerio Fiscal en calificar el concurso como fortuito se procederá, sin más, al archivo de la sección y, además, sin posibilidad de ulterior recurso, lo que parece contravenir la condición de parte que atribuye a los terceros el art. 168.1 del Real Decreto-ley 3/2009. Además, añade que tras la Ley 38/2011 la cuestión se hace más compleja si tenemos en cuenta que en fase de apelación y ejecución se vuelve a hacer hincapié en el papel de los terceros.</w:t>
      </w:r>
    </w:p>
    <w:p w:rsidR="0033382B" w:rsidRDefault="0033382B" w:rsidP="0033382B">
      <w:pPr>
        <w:pStyle w:val="TextoNormal"/>
      </w:pPr>
    </w:p>
    <w:p w:rsidR="0033382B" w:rsidRDefault="0033382B" w:rsidP="0033382B">
      <w:pPr>
        <w:pStyle w:val="TextoNormal"/>
      </w:pPr>
      <w:r>
        <w:t>Seguidamente, el órgano judicial proponente realiza un extenso repaso de los fundamentos de las posturas doctrinales y jurisprudenciales enfrentadas en la exégesis de dichos preceptos de la Ley concursal a propósito de la interpretación que haya de darse a la atribución de la condición de parte a los terceros personados en la pieza de calificación, distinguiendo entre una postura restrictiva mayoritaria, que concibe la intervención de los terceros personados en la pieza de calificación de manera limitada, y otra minoritaria, que reconoce la plena condición de parte procesal a los mismos. A ello sigue una exposición de la jurisprudencia constitucional relativa al contenido del derecho fundamental a la tutela judicial efectiva en sus vertientes de derecho de acceso a la jurisdicción, incluido en el derecho a la obtención de una resolución sobre el fondo fundada en derecho, y el de acceso a los recursos que se incorpora al mencionado derecho fundamental en su precisa configuración legal.</w:t>
      </w:r>
    </w:p>
    <w:p w:rsidR="0033382B" w:rsidRDefault="0033382B" w:rsidP="0033382B">
      <w:pPr>
        <w:pStyle w:val="TextoNormal"/>
      </w:pPr>
    </w:p>
    <w:p w:rsidR="0033382B" w:rsidRDefault="0033382B" w:rsidP="0033382B">
      <w:pPr>
        <w:pStyle w:val="TextoNormal"/>
      </w:pPr>
      <w:r>
        <w:t xml:space="preserve">A continuación, señala el órgano judicial que salvo que aceptemos que la Ley concursal, al configurar la participación de terceros en la sección de calificación, innova un concepto jurídico procesal de parte hasta ahora desconocido, habremos de convenir que esa participación habrá de tener encaje en una de las dos categorías que a tal efecto reconoce la Ley de enjuiciamiento civil (LEC): la condición de parte procesal legítima (artículo 10) o la de interviniente (arts. 13 y 14). En la tarea de hallar el recto sentido de la norma considera más sencillo comenzar diciendo qué posición no ostenta el tercero. Así, afirma que es claro que su participación es voluntaria, luego debe excluirse la intervención provocada o </w:t>
      </w:r>
      <w:r w:rsidRPr="0033382B">
        <w:rPr>
          <w:i/>
        </w:rPr>
        <w:t>litis denuntiatio</w:t>
      </w:r>
      <w:r>
        <w:t xml:space="preserve"> del artículo 14. Por lo que se refiere a si las alegaciones de terceros encuentran anclaje en la intervención regulada en el art. 13.1 LEC, indica que en el caso comentado la concurrencia del interés legítimo es palmario, aunque más discutible es que sea directo. Sin embargo, considera que aunque no se admitiera el carácter “directo” del interés de los terceros en la calificación, el artículo 13.1 ha de interpretarse, como la totalidad de nuestro ordenamiento, de conformidad con la Constitución, que en su artículo 24.1 reconoce el derecho fundamental a obtener una tutela judicial efectiva a quien sea titular de un interés “legítimo”, sin más calificativos, por lo que ante la posibilidad de cercenar un derecho fundamental, debería admitirse su intervención en el proceso. Ahora bien, añade, si por el interés que el tercero titula podría admitírsele como interviniente, la asimetría con que está diseñada la sección sexta imposibilita acudir a esta figura, por cuanto el proceso, entendiendo por tal, no el concurso en su generalidad, sino la calificación, realmente no está pendiente, sino que se inicia precisamente con el trámite de alegaciones de los terceros, por lo que decae la razón de ser de este instituto. Pero, continúa, aunque admitiéramos a efectos polémicos que el tercero en la sección de calificación es un interviniente, ello no implica que sea un mero coadyuvante. El tercero, al intervenir, persigue evitar unos perjuicios; en algunos casos su actuación puede limitarse a coadyuvar a la victoria de una de las partes, apoyándola con alegaciones y medios de prueba, pero en otros tendrá que suplir la inactividad de la parte originaria e incluso es posible que tenga que enfrentarse a ella cuando se trate de un proceso fraudulento o simulado.</w:t>
      </w:r>
    </w:p>
    <w:p w:rsidR="0033382B" w:rsidRDefault="0033382B" w:rsidP="0033382B">
      <w:pPr>
        <w:pStyle w:val="TextoNormal"/>
      </w:pPr>
    </w:p>
    <w:p w:rsidR="0033382B" w:rsidRDefault="0033382B" w:rsidP="0033382B">
      <w:pPr>
        <w:pStyle w:val="TextoNormal"/>
      </w:pPr>
      <w:r>
        <w:t>Descartada la posibilidad de la intervención, señala que la única categoría que resta es la de “parte procesal legítima”, pues la Ley de enjuiciamiento civil no contempla al coadyuvante, que se caracteriza, positivamente, por ser un auxiliador o amparador y, negativamente, por no ser parte. Afirma que la calificación concursal, a pesar del escalonamiento en las posiciones de demandante y demandado, es un proceso plenario que responde al esquema declarativo típico: demanda-contestación-vista. A su juicio, la circunstancia de que la Ley concursal restrinja aparentemente su participación a la alegación de hechos relevantes para fundar la calificación culpable del concurso es un argumento de suma debilidad para negar su condición de parte plena, pues la Ley concursal no destaca por su acierto en la regulación del contenido de los escritos de la Administración concursal o del Ministerio Fiscal.</w:t>
      </w:r>
    </w:p>
    <w:p w:rsidR="0033382B" w:rsidRDefault="0033382B" w:rsidP="0033382B">
      <w:pPr>
        <w:pStyle w:val="TextoNormal"/>
      </w:pPr>
    </w:p>
    <w:p w:rsidR="0033382B" w:rsidRDefault="0033382B" w:rsidP="0033382B">
      <w:pPr>
        <w:pStyle w:val="TextoNormal"/>
      </w:pPr>
      <w:r>
        <w:t>Por todo ello considera que el art. 168.1 del Real Decreto-ley 3/2009 supone equiparar procesalmente a los interesados con el resto de partes de la pieza de calificación, con plena autonomía para formular pretensiones, participar en la vista, proponer prueba o recurrir. No cabe, a su juicio, otra posibilidad, salvo que se desnaturalice la cualidad de parte, privándola de los atributos que en esencia le son propios. Por este motivo afirma que en caso de que existan interesados personados en la sección sexta y hayan formulado concretas pretensiones en la misma, debería emplazarse a la concursada y, en su caso, a las personas afectadas por la calificación o cómplices, aun cuando la Administración concursal y el Ministerio Fiscal hayan coincido en calificar como fortuito el concurso, siendo suficiente la existencia de aquéllas para la continuación de la tramitación de la sección. Si, por el contrario, la calificación pretendida por el acreedor coexiste con la de la Administración concursal o el Ministerio Fiscal, debería darse traslado de la misma, a su juicio, en primer término, a esas mismas partes demandantes, por si desean incorporar a sus escritos rectores alguno de sus contenidos, y, posteriormente, a la concursada, personas afectadas por la calificación y, en su caso, cómplices, a fin de que puedan ejercitar adecuadamente su derecho de defensa.</w:t>
      </w:r>
    </w:p>
    <w:p w:rsidR="0033382B" w:rsidRDefault="0033382B" w:rsidP="0033382B">
      <w:pPr>
        <w:pStyle w:val="TextoNormal"/>
      </w:pPr>
    </w:p>
    <w:p w:rsidR="0033382B" w:rsidRDefault="0033382B" w:rsidP="0033382B">
      <w:pPr>
        <w:pStyle w:val="TextoNormal"/>
      </w:pPr>
      <w:r>
        <w:t>Concluye afirmando que el propio Tribunal Constitucional, en reciente Sentencia de 12 de febrero de 2012, parece reconocer a los terceros la posibilidad de intervenir como parte en el proceso. Sin embargo, no resuelve todas las dudas que se plantean en este Auto, de ahí la necesidad de plantear la cuestión de inconstitucionalidad.</w:t>
      </w:r>
    </w:p>
    <w:p w:rsidR="0033382B" w:rsidRDefault="0033382B" w:rsidP="0033382B">
      <w:pPr>
        <w:pStyle w:val="TextoNormal"/>
      </w:pPr>
    </w:p>
    <w:p w:rsidR="0033382B" w:rsidRDefault="0033382B" w:rsidP="0033382B">
      <w:pPr>
        <w:pStyle w:val="TextoNormal"/>
      </w:pPr>
      <w:r>
        <w:t>De seguir la tesis más restrictiva, el Auto por el que se acuerda el archivo al amparo del art. 170.1 del Real Decreto-ley 3/2009, estaría negando la propia primera instancia, lo que exacerba el juicio de constitucionalidad. Finalmente afirma que la vía interpretativa no permite dotar a los artículos 168 y 170 de un sentido armónico con el art. 24 del texto fundamental dado el tenor taxativo e imperativo del último de los preceptos.</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resolución de 15 de diciembre de 2015,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El Fiscal General del Estado evacuó el trámite conferido mediante escrito registrado el 20 de enero de 2015, en el que considera que la cuestión de inconstitucionalidad es inadmisible por falta de cumplimiento de los requisitos procesales y por ser notoriamente infundada.</w:t>
      </w:r>
    </w:p>
    <w:p w:rsidR="0033382B" w:rsidRDefault="0033382B" w:rsidP="0033382B">
      <w:pPr>
        <w:pStyle w:val="TextoNormal"/>
      </w:pPr>
    </w:p>
    <w:p w:rsidR="0033382B" w:rsidRDefault="0033382B" w:rsidP="0033382B">
      <w:pPr>
        <w:pStyle w:val="TextoNormal"/>
      </w:pPr>
      <w:r>
        <w:t>a) Por lo que se refiere al cumplimiento de los requisitos procesales, considera que procede la inadmisión por defectos en el trámite de audiencia del art. 35.2 LOTC, al no haber dado traslado de la providencia de 28 de julio de 2014, de apertura del trámite de audiencia, a todas las partes personadas en el concurso, sino solamente a las partes personadas en la sección sexta (AATC 220/2012, FJ 4, y 24/2013, FJ 3).</w:t>
      </w:r>
    </w:p>
    <w:p w:rsidR="0033382B" w:rsidRDefault="0033382B" w:rsidP="0033382B">
      <w:pPr>
        <w:pStyle w:val="TextoNormal"/>
      </w:pPr>
    </w:p>
    <w:p w:rsidR="0033382B" w:rsidRDefault="0033382B" w:rsidP="0033382B">
      <w:pPr>
        <w:pStyle w:val="TextoNormal"/>
      </w:pPr>
      <w:r>
        <w:t>b) Por lo que se refiere al carácter notoriamente infundado, señala el Ministerio Fiscal que la presente cuestión es idéntica a la planteada por el mismo órgano judicial y tramitada en el procedimiento núm. 3545-2012, en la que sostuvo su carácter notoriamente infundada.</w:t>
      </w:r>
    </w:p>
    <w:p w:rsidR="0033382B" w:rsidRDefault="0033382B" w:rsidP="0033382B">
      <w:pPr>
        <w:pStyle w:val="TextoNormal"/>
      </w:pPr>
    </w:p>
    <w:p w:rsidR="0033382B" w:rsidRDefault="0033382B" w:rsidP="0033382B">
      <w:pPr>
        <w:pStyle w:val="TextoNormal"/>
      </w:pPr>
      <w:r>
        <w:t>Refiere que la duda de inconstitucionalidad se centra exclusivamente en el art. 170.1 del Real Decreto-ley 3/2009 y no en el art. 168.1 del Real Decreto-ley 3/2009, utilizado como parámetro interpretativo. Añade que del contenido de la argumentación no alberga duda alguna sobre cuál deba ser el alcance interpretativo del concepto de “parte” que establece el art. 168.1 del Real Decreto-ley 3/2009, trasladando al Tribunal Constitucional el debate existente en un sector de la jurisprudencia acerca de la interpretación del concepto de “parte” que establece el art. 168.1 del Real Decreto-ley 3/2009 y sus facultades, para que, a modo de “árbitro”, tome partido por una u otra interpretación, sin que le corresponda al Tribunal Constitucional resolver controversias interpretativas sobre la legalidad o alcance de determinado precepto legal (ATC 23/2004, FJ 2; y 255/213, FJ 4).</w:t>
      </w:r>
    </w:p>
    <w:p w:rsidR="0033382B" w:rsidRDefault="0033382B" w:rsidP="0033382B">
      <w:pPr>
        <w:pStyle w:val="TextoNormal"/>
      </w:pPr>
    </w:p>
    <w:p w:rsidR="0033382B" w:rsidRDefault="0033382B" w:rsidP="0033382B">
      <w:pPr>
        <w:pStyle w:val="TextoNormal"/>
      </w:pPr>
      <w:r>
        <w:t>Por último, dando por reproducidas las alegaciones efectuadas en el procedimiento constitucional núm. 3545-2012, indica que los acreedores o personas que acrediten un interés legítimo, a los que el art. 168.1 del Real Decreto-ley 3/2009 les concede el derecho a personarse y ser parte en la sección sexta, autorizándoles a formular por escrito alegaciones sobre la calificación del concurso como culpable, no ostentan sin embargo una posición equiparable al de la Administración concursal y la del Ministerio Fiscal, siendo esta una opción legítima del legislador que encuentra su justificación objetiva en el interés general del concurso o del interés público que los mencionados representan (STS 10/2015, de 3 de febrero, FJ 3).</w:t>
      </w:r>
    </w:p>
    <w:p w:rsidR="0033382B" w:rsidRDefault="0033382B" w:rsidP="0033382B">
      <w:pPr>
        <w:pStyle w:val="TextoNormal"/>
      </w:pPr>
    </w:p>
    <w:p w:rsidR="0033382B" w:rsidRDefault="0033382B" w:rsidP="0033382B">
      <w:pPr>
        <w:pStyle w:val="TextoNormal"/>
      </w:pPr>
      <w:r>
        <w:t>Por todo ello, interesa que se dicte Auto de inadmisión de la cuestión de inconstitucionalidad por falta de requisitos procesales y por ser notoriamente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Constituye el objeto de la presente cuestión de inconstitucionalidad el art. 170.1 del Real Decreto-ley 3/2009, —en cuanto ordena el archivo de la sección de calificación del concurso cuando la administración concursal y el Ministerio Fiscal coincidan en calificarlo como fortuito— en relación con el art. 168.1 del mismo texto legal, en la redacción dada a este último por el Real Decreto-ley 3/2009, de 27 de marzo, relativo a la condición de parte de los terceros personados en la sección sexta de calificación del concurso. A juicio del órgano que promueve la cuestión, el precepto podría incurrir en inconstitucionalidad por contradecir el contenido del derecho fundamental a la tutela judicial efectiva (art. 24.1 CE).</w:t>
      </w:r>
    </w:p>
    <w:p w:rsidR="0033382B" w:rsidRDefault="0033382B" w:rsidP="0033382B">
      <w:pPr>
        <w:pStyle w:val="TextoNormal"/>
      </w:pPr>
    </w:p>
    <w:p w:rsidR="0033382B" w:rsidRDefault="0033382B" w:rsidP="0033382B">
      <w:pPr>
        <w:pStyle w:val="TextoNormal"/>
      </w:pPr>
      <w:r>
        <w:t>Por su parte, el Ministerio Fiscal, tal y como se ha expuesto, interesa la inadmisión de la cuestión de inconstitucionalidad por incumplimiento de los requisitos procesales exigidos por la Ley Orgánica del Tribunal Constitucional (LOTC) y por ser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2</w:t>
      </w:r>
      <w:r>
        <w:t>.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Pues bien, el análisis de la presente cuestión de inconstitucionalidad pone de manifiesto que en la misma concurre el primer motivo de inadmisión, dado que el trámite de audiencia a las partes y al Ministerio Fiscal, previsto en el art. 35.2 LOTC, no se ha desarrollado correctamente.</w:t>
      </w:r>
    </w:p>
    <w:p w:rsidR="0033382B" w:rsidRDefault="0033382B" w:rsidP="0033382B">
      <w:pPr>
        <w:pStyle w:val="TextoNormal"/>
      </w:pPr>
    </w:p>
    <w:p w:rsidR="0033382B" w:rsidRDefault="0033382B" w:rsidP="0033382B">
      <w:pPr>
        <w:pStyle w:val="TextoNormal"/>
      </w:pPr>
      <w:r>
        <w:t>En las actuaciones remitidas por el órgano judicial se advierte que en la providencia que abrió el trámite de audiencia del art. 35.2 LOTC, se acordó oír al Ministerio Fiscal y “a las partes personadas en esta Sección Sexta” sobre la procedencia de plantear la cuestión de inconstitucionalidad. Como acertadamente pone de manifiesto el Ministerio Fiscal, la providencia fue notificada exclusivamente a las personadas en la sección sexta de calificación, por lo que no se dio trámite de audiencia del art. 35.2 LOTC a las demás partes personadas en el procedimiento concursal que habían decidido no personarse en la sección sexta.</w:t>
      </w:r>
    </w:p>
    <w:p w:rsidR="0033382B" w:rsidRDefault="0033382B" w:rsidP="0033382B">
      <w:pPr>
        <w:pStyle w:val="TextoNormal"/>
      </w:pPr>
    </w:p>
    <w:p w:rsidR="0033382B" w:rsidRDefault="0033382B" w:rsidP="0033382B">
      <w:pPr>
        <w:pStyle w:val="TextoNormal"/>
      </w:pPr>
      <w:r>
        <w:t xml:space="preserve">El ATC 167/2015, de 6 de octubre, FJ 2, con cita del ATC 220/2012, de 27 de noviembre, recuerda que la audiencia a las partes prevista en el art. 35.2 LOTC, no es una secuencia del proceso </w:t>
      </w:r>
      <w:r w:rsidRPr="0033382B">
        <w:rPr>
          <w:i/>
        </w:rPr>
        <w:t>a quo</w:t>
      </w:r>
      <w:r>
        <w:t xml:space="preserve"> sino una pieza preliminar del posterior proceso constitucional. Así, “quien no comparece en el proceso o deja de atender los llamamientos judiciales lo hace en orden a las pretensiones y posiciones de las demás partes que se ventilan en ese mismo proceso, pero no respecto de aquellas cuestiones que, estrictamente hablando, no forman parte del mismo como es el eventual planteamiento de una cuestión de inconstitucionalidad. En rigor, dicho trámite de audiencia constituye así el momento inicial del procedimiento dado que lo que se ventila no es sino la posibilidad de alegar lo que al derecho de las partes convenga sobre la pertinencia de plantear la cuestión.” De este modo lo determinante es que no solo las partes personadas en la sección sexta del concurso “tengan la opción de ser oídas y expresar su parecer sobre una decisión de tanta entidad como el planteamiento de una cuestión de inconstitucionalidad”, sino que puedan hacerlo todas las que se encuentra personadas en el procedimiento concursal.</w:t>
      </w:r>
    </w:p>
    <w:p w:rsidR="0033382B" w:rsidRDefault="0033382B" w:rsidP="0033382B">
      <w:pPr>
        <w:pStyle w:val="TextoNormal"/>
      </w:pPr>
    </w:p>
    <w:p w:rsidR="0033382B" w:rsidRDefault="0033382B" w:rsidP="0033382B">
      <w:pPr>
        <w:pStyle w:val="TextoNormal"/>
      </w:pPr>
      <w:r>
        <w:t xml:space="preserve">De las distintas personas físicas y jurídicas que se encontraban personadas en el procedimiento —tal y como resulta del encabezamiento del Auto de 4 de diciembre de 2013 por el que se acuerda la formación de la sección sexta de calificación—, solo una parte de ellas decidieron personarse en dicha sección. El resto, que tomó la decisión de no personarse en la sección sexta, no pudo tener en consideración “aquellas cuestiones que, estrictamente hablando, no forman parte de la misma como es el eventual planteamiento de una cuestión de inconstitucionalidad”. Esta cuestión que surgió después y era distinta a la que integraba el objeto de la sección sexta, hubiera tenido que conllevar, conforme a la lógica del trámite </w:t>
      </w:r>
      <w:r w:rsidRPr="0033382B">
        <w:rPr>
          <w:i/>
        </w:rPr>
        <w:t>ex</w:t>
      </w:r>
      <w:r>
        <w:t xml:space="preserve"> art. 35.2 LOTC, que a todas las partes personadas en el concurso, comparecidas o no en la mencionada sección, se les hubiera dado “la opción de ser oídas y expresar su parecer sobre una decisión de tanta entidad como el planteamiento de una cuestión de inconstitucionalidad”.</w:t>
      </w:r>
    </w:p>
    <w:p w:rsidR="0033382B" w:rsidRDefault="0033382B" w:rsidP="0033382B">
      <w:pPr>
        <w:pStyle w:val="TextoNormal"/>
      </w:pPr>
    </w:p>
    <w:p w:rsidR="0033382B" w:rsidRDefault="0033382B" w:rsidP="0033382B">
      <w:pPr>
        <w:pStyle w:val="TextoNormal"/>
      </w:pPr>
      <w:r>
        <w:t xml:space="preserve">En conclusión, y como también entiende acertadamente el Ministerio Fiscal, para que el trámite </w:t>
      </w:r>
      <w:r w:rsidRPr="0033382B">
        <w:rPr>
          <w:i/>
        </w:rPr>
        <w:t>ex</w:t>
      </w:r>
      <w:r>
        <w:t xml:space="preserve"> art. 35.2 LOTC hubiera sido correctamente satisfecho habría sido necesario notificar la resolución de 28 de julio de 2014, que da apertura al mismo, a todas las partes y no solo a las personadas en la sección sexta. Solo de esa manera el trámite de audiencia habría cumplido el doble objetivo de garantizar la audiencia de las partes,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(por todas, AATC 33/2009, de 27 de enero, FJ 2, y 167/2015, FJ 2).</w:t>
      </w:r>
    </w:p>
    <w:p w:rsidR="0033382B" w:rsidRDefault="0033382B" w:rsidP="0033382B">
      <w:pPr>
        <w:pStyle w:val="TextoNormal"/>
      </w:pPr>
    </w:p>
    <w:p w:rsidR="0033382B" w:rsidRDefault="0033382B" w:rsidP="0033382B">
      <w:pPr>
        <w:pStyle w:val="TextoNormal"/>
      </w:pPr>
      <w:r>
        <w:t>Al no haberse realizado este traslado, no se ha cumplido con una de las exigencias consignadas en el art. 35.2 LOTC, por lo que procede inadmitir esta cuestión de inconstitucionalidad por falta de uno de los requisitos procesales esenciales.</w:t>
      </w:r>
    </w:p>
    <w:p w:rsidR="0033382B" w:rsidRDefault="0033382B" w:rsidP="0033382B">
      <w:pPr>
        <w:pStyle w:val="TextoNormal"/>
      </w:pPr>
    </w:p>
    <w:p w:rsidR="0033382B" w:rsidRDefault="0033382B" w:rsidP="0033382B">
      <w:pPr>
        <w:pStyle w:val="TextoNormal"/>
      </w:pPr>
      <w:r w:rsidRPr="0033382B">
        <w:rPr>
          <w:rStyle w:val="NumeroAFNegritaCaracter"/>
        </w:rPr>
        <w:t>3</w:t>
      </w:r>
      <w:r>
        <w:t>. El Ministerio Fiscal también interesa la inadmisión de la cuestión de inconstitucionalidad por ser notoriamente infundada. Como atinadamente advierte en su informe, el mismo órgano judicial planteó idéntica cuestión a la que ahora promueve y que también fue inadmitida por irregularidades en el trámite de audiencia del art. 35.2 LOTC (ATC 24/2013, de 29 de enero), circunstancia que lleva a la conveniencia de examinar la viabilidad constitucional de la cuestión suscitada a fin de evitar los efectos no deseables que pudieran derivarse de la paralización de múltiples procesos en los que resulte de aplicación la norma cuestionada, como consecuencia del planteamiento de nuevas cuestiones de inconstitucionalidad.</w:t>
      </w:r>
    </w:p>
    <w:p w:rsidR="0033382B" w:rsidRDefault="0033382B" w:rsidP="0033382B">
      <w:pPr>
        <w:pStyle w:val="TextoNormal"/>
      </w:pPr>
    </w:p>
    <w:p w:rsidR="0033382B" w:rsidRDefault="0033382B" w:rsidP="0033382B">
      <w:pPr>
        <w:pStyle w:val="TextoNormal"/>
      </w:pPr>
      <w:r>
        <w:t>Llegados a este punto, es oportuno reiterar que el concepto de cuestión notoriamente infundada encierra un cierto grado de indefinición que se traduce procesalmente en un margen de apreciación del Tribunal Constitucional a la hora de controlar su solidez, sin que ello signifique, necesariamente, que la cuestión de inconstitucionalidad carezca de forma total y absoluta de fundamentación o que ésta sea arbitraria (por todos, ATC 194/2015, de 18 de noviembre, FJ 3).</w:t>
      </w:r>
    </w:p>
    <w:p w:rsidR="0033382B" w:rsidRDefault="0033382B" w:rsidP="0033382B">
      <w:pPr>
        <w:pStyle w:val="TextoNormal"/>
      </w:pPr>
    </w:p>
    <w:p w:rsidR="0033382B" w:rsidRDefault="0033382B" w:rsidP="0033382B">
      <w:pPr>
        <w:pStyle w:val="TextoNormal"/>
      </w:pPr>
      <w:r>
        <w:t>Por el Juzgado de lo Mercantil núm. 1 de Oviedo se plantea la cuestión de inconstitucionalidad del art. 170.1 del Real Decreto-ley 3/2009, en relación con el art. 168.1 del mismo texto legal, al considerar que contravienen el derecho a la tutela judicial efectiva (art. 24.1 CE), en cuanto ordena el archivo de la sección de calificación del concurso cuando la Administración concursal y el Ministerio Fiscal coincidan en calificarlo como fortuito, pese a que uno de los acreedores personados lo hubiera calificado de culpable. Ahora bien, como afirma el Ministerio Fiscal, la duda de inconstitucionalidad solo alcanza al art. 170.1 del Real Decreto-ley 3/2009, sirviéndose el órgano que promueve la cuestión de la cita del art. 168 del Real Decreto-ley 3/2009 a los exclusivos efectos de sustentar el planteamiento de inconstitucionalidad del art. 170.1 del Real Decreto-ley 3/2009.</w:t>
      </w:r>
    </w:p>
    <w:p w:rsidR="0033382B" w:rsidRDefault="0033382B" w:rsidP="0033382B">
      <w:pPr>
        <w:pStyle w:val="TextoNormal"/>
      </w:pPr>
    </w:p>
    <w:p w:rsidR="0033382B" w:rsidRDefault="0033382B" w:rsidP="0033382B">
      <w:pPr>
        <w:pStyle w:val="TextoNormal"/>
      </w:pPr>
      <w:r>
        <w:t>Dispone el art. 170. 1 del Real Decreto-ley 3/2009 que “si el informe de la administración concursal y el dictamen que, en su caso, hubiera emitido el Ministerio Fiscal coincidieran en calificar el concurso como fortuito, el juez, sin más trámites, ordenará el archivo de las actuaciones mediante auto, contra el que no cabrá recurso alguno.”. Considera el Juzgado que dicho precepto imposibilita que los acreedores y quienes ostenten un interés legítimo puedan formular sus pretensiones con plena autonomía, pese a que el art. 168 del Real Decreto-ley 3/2009 admite que puedan personarse y ser parte en la sección de calificación alegando por escrito cuanto consideren relevante para la calificación del concurso como culpable. De dicha limitación extrae el órgano judicial que promueve la cuestión la vulneración del derecho a la tutela judicial efectiva (art. 24.1 CE).</w:t>
      </w:r>
    </w:p>
    <w:p w:rsidR="0033382B" w:rsidRDefault="0033382B" w:rsidP="0033382B">
      <w:pPr>
        <w:pStyle w:val="TextoNormal"/>
      </w:pPr>
    </w:p>
    <w:p w:rsidR="0033382B" w:rsidRDefault="0033382B" w:rsidP="0033382B">
      <w:pPr>
        <w:pStyle w:val="TextoNormal"/>
      </w:pPr>
      <w:r w:rsidRPr="0033382B">
        <w:rPr>
          <w:rStyle w:val="NumeroAFNegritaCaracter"/>
        </w:rPr>
        <w:t>4</w:t>
      </w:r>
      <w:r>
        <w:t>. Es preciso recordar que el derecho a la tutela judicial efectiva no es un derecho de libertad, ejercitable sin más y directamente a partir de la Constitución (STC 99/1985, de 30 de septiembre, FJ 4), sino un derecho prestacional y un derecho de configuración legal, cuyo ejercicio está sujeto a la concurrencia de los presupuestos y requisitos procesales que, en cada caso, haya establecido el legislador (STC 182/2004, de 2 de noviembre, FJ 2). Ello implica que el legislador cuenta con un ámbito de libertad amplio en la definición o determinación de las condiciones y consecuencias del acceso a la justicia, pues le incumbe crear la configuración de la actividad judicial y, más concretamente, del proceso en cuyo seno se ejercita el derecho fundamental ordenado a la satisfacción de pretensiones dirigidas a la defensa de derechos e intereses legítimos (STC 206/1987, de 21 de diciembre, FJ 5). En esta regulación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y 32/1991, de 14 de febrero, FJ 4). En principio, pues,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(SSTC 60/1989, de 16 de marzo, FJ 4; y 114/1992, de 14 de septiembre, FJ 3).</w:t>
      </w:r>
    </w:p>
    <w:p w:rsidR="0033382B" w:rsidRDefault="0033382B" w:rsidP="0033382B">
      <w:pPr>
        <w:pStyle w:val="TextoNormal"/>
      </w:pPr>
    </w:p>
    <w:p w:rsidR="0033382B" w:rsidRDefault="0033382B" w:rsidP="0033382B">
      <w:pPr>
        <w:pStyle w:val="TextoNormal"/>
      </w:pPr>
      <w:r>
        <w:t>Conforme a la doctrina expuesta, para dar una respuesta a la duda planteada por el Juzgado de lo Mercantil en cuanto a la constitucionalidad del art. 170.1 del Real Decreto-ley 3/2009, resulta claro que no podemos partir de una consideración abstracta del derecho a la tutela judicial efectiva sin indefensión, sino que, por la naturaleza instrumental de éste [STC 166/1986, de 19 de diciembre, FJ 11 c)], es preciso tener en cuenta los derechos o intereses en juego que determinan los bienes constitucionales protegidos por el precepto impugnado, al objeto de discernir si el límite impuesto por el legislador al acreedor o titular de un interés legítimo personado en la sección de calificación, se ajusta al canon expuesto.</w:t>
      </w:r>
    </w:p>
    <w:p w:rsidR="0033382B" w:rsidRDefault="0033382B" w:rsidP="0033382B">
      <w:pPr>
        <w:pStyle w:val="TextoNormal"/>
      </w:pPr>
    </w:p>
    <w:p w:rsidR="0033382B" w:rsidRDefault="0033382B" w:rsidP="0033382B">
      <w:pPr>
        <w:pStyle w:val="TextoNormal"/>
      </w:pPr>
      <w:r>
        <w:t>Del examen de la regulación establecida en la Ley concursal, puede afirmarse que la limitación de la intervención del acreedor y de aquellos que ostentan un interés legítimo en la sección de calificación, se sustenta en la consideración de que los “intereses que se ejercitan en la sección de calificación no son estrictamente públicos, pues los hay generales del concurso y por ello de los acreedores en su conjunto” (STS 10/2015, de 3 de febrero), de tal modo que ha limitado la legitimación para ejercitar las acciones de calificación a la Administración concursal y al Ministerio Fiscal.</w:t>
      </w:r>
    </w:p>
    <w:p w:rsidR="0033382B" w:rsidRDefault="0033382B" w:rsidP="0033382B">
      <w:pPr>
        <w:pStyle w:val="TextoNormal"/>
      </w:pPr>
    </w:p>
    <w:p w:rsidR="0033382B" w:rsidRDefault="0033382B" w:rsidP="0033382B">
      <w:pPr>
        <w:pStyle w:val="TextoNormal"/>
      </w:pPr>
      <w:r>
        <w:t>La finalidad de dicha limitación, como ha tenido ocasión de señalar la citada STS 10/2015, es “evitar una acumulación de acciones particulares, encomendando a la Administración concursal y al Ministerio Fiscal el ejercicio de esta acción”, pues a la Administración concursal le corresponde la representación de los intereses generales del concurso, dentro de los cuales se encuentran los de los acreedores concursales a obtener la íntegra satisfacción de sus créditos, y al Ministerio Fiscal la defensa del interés público.</w:t>
      </w:r>
    </w:p>
    <w:p w:rsidR="0033382B" w:rsidRDefault="0033382B" w:rsidP="0033382B">
      <w:pPr>
        <w:pStyle w:val="TextoNormal"/>
      </w:pPr>
    </w:p>
    <w:p w:rsidR="0033382B" w:rsidRDefault="0033382B" w:rsidP="0033382B">
      <w:pPr>
        <w:pStyle w:val="TextoNormal"/>
      </w:pPr>
      <w:r>
        <w:t xml:space="preserve">Ello no significa que a los acreedores y demás interesados en la calificación no se les reconozca ninguna intervención, sino que pese a carecer de legitimación para pedir una determinada calificación, se les reconoce, entre otras, la posibilidad de formular alegaciones a los efectos de informar a la administración concursal, alegando lo que consideren relevante para la calificación del concurso como culpable (art. 168.1 del Real Decreto-ley 3/2009 ), así como de intervenir como coadyuvantes de la concreta petición de calificación formulada por la Administración concursal y/o el Ministerio Fiscal, y también de interponer recurso de apelación (art. 172 </w:t>
      </w:r>
      <w:r w:rsidRPr="0033382B">
        <w:rPr>
          <w:i/>
        </w:rPr>
        <w:t>bis</w:t>
      </w:r>
      <w:r>
        <w:t>.4 del Real Decreto-ley 3/2009). Y a estos concretos efectos se les reconoce la condición de parte.</w:t>
      </w:r>
    </w:p>
    <w:p w:rsidR="0033382B" w:rsidRDefault="0033382B" w:rsidP="0033382B">
      <w:pPr>
        <w:pStyle w:val="TextoNormal"/>
      </w:pPr>
    </w:p>
    <w:p w:rsidR="0033382B" w:rsidRDefault="0033382B" w:rsidP="0033382B">
      <w:pPr>
        <w:pStyle w:val="TextoNormal"/>
      </w:pPr>
      <w:r>
        <w:t>De este modo, puede concluirse que la Ley concursal, en la tramitación de la sección de calificación, ha definido la posición de los acreedores y de quienes ostentan un interés legítimo, en relación con la naturaleza y las finalidades que se ventilan en dicha sección, atendidos los intereses que representan el Administrador concursal y el Ministerio Fiscal, sin que el diseño procesal presente atisbo alguno de inconstitucionalidad, o de desproporción o arbitrariedad en la atribución de legitimación para ejercitar la acción de calificación exclusivamente a quienes se les reconoce la representación del interés general del concurso —la Administración concursal— o del interés público —el Ministerio Fiscal— y excluyendo, por tanto, a quienes no ostentan una posición procesal autónoma con respecto a los intereses que se debaten en el incidente de calificación concursal.</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cuestión de inconstitucionalidad núm. 6379-2014 planteada por el Juzgado de lo Mercantil núm. 1 de Oviedo.</w:t>
      </w:r>
    </w:p>
    <w:p w:rsidR="0033382B" w:rsidRDefault="0033382B" w:rsidP="0033382B">
      <w:pPr>
        <w:pStyle w:val="TextoNormal"/>
      </w:pPr>
    </w:p>
    <w:p w:rsidR="0033382B" w:rsidRDefault="0033382B" w:rsidP="0033382B">
      <w:pPr>
        <w:pStyle w:val="TextoNormal"/>
      </w:pPr>
      <w:r>
        <w:t>Publíquese este Auto en el “Boletín Oficial del Estado”.</w:t>
      </w:r>
    </w:p>
    <w:p w:rsidR="0033382B" w:rsidRDefault="0033382B" w:rsidP="0033382B">
      <w:pPr>
        <w:pStyle w:val="TextoNormal"/>
      </w:pPr>
    </w:p>
    <w:p w:rsidR="0033382B" w:rsidRDefault="0033382B" w:rsidP="0033382B">
      <w:pPr>
        <w:pStyle w:val="TextoNormal"/>
      </w:pPr>
      <w:r>
        <w:t>Madrid, a dieciséis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63" w:name="AUTO_2016_36"/>
      <w:r>
        <w:t>AUTO 36/2016, de 16 de febrero de 2016</w:t>
      </w:r>
    </w:p>
    <w:bookmarkEnd w:id="163"/>
    <w:p w:rsidR="0033382B" w:rsidRDefault="0033382B" w:rsidP="0033382B">
      <w:pPr>
        <w:pStyle w:val="TtuloResolucin"/>
      </w:pPr>
      <w:r>
        <w:t>Pleno</w:t>
      </w:r>
    </w:p>
    <w:p w:rsidR="0033382B" w:rsidRDefault="0033382B" w:rsidP="0033382B">
      <w:pPr>
        <w:pStyle w:val="TextoNormalCentrado"/>
      </w:pPr>
      <w:r>
        <w:t>ECLI:ES:TC:2016:36A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6959-2014, planteada por el Juzgado de lo Mercantil núm. 1 de Oviedo en relación con el artículo 170.1 de la Ley 22/2003, de 9 de julio, concursal, en la redacción dada por el Real Decreto-ley 3/2009, de 27 de marzo.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presentado en el Registro General de este Tribunal Constitucional el día 19 de noviembre de 2014, el Juzgado de lo Mercantil núm. 1 de Oviedo, en los autos del concurso voluntario núm. 222-2011, plantea cuestión de inconstitucionalidad respecto del art. 168.1 de la Ley concursal 22/2003, de 9 de julio (en la redacción dada por el Real Decreto-ley 3/2009, de 27 de marzo) acompañando el testimonio de las actuaciones y el Auto de planteamiento de 28 de octubre de 2014.</w:t>
      </w:r>
    </w:p>
    <w:p w:rsidR="0033382B" w:rsidRDefault="0033382B" w:rsidP="0033382B">
      <w:pPr>
        <w:pStyle w:val="TextoNormal"/>
      </w:pPr>
    </w:p>
    <w:p w:rsidR="0033382B" w:rsidRDefault="0033382B" w:rsidP="0033382B">
      <w:pPr>
        <w:pStyle w:val="TextoNormal"/>
      </w:pPr>
      <w:r w:rsidRPr="0033382B">
        <w:rPr>
          <w:rStyle w:val="NumeroAFNegritaCaracter"/>
        </w:rPr>
        <w:t>2</w:t>
      </w:r>
      <w:r>
        <w:t>. Los hechos de los que trae causa la cuestión de inconstitucionalidad planteada son, en síntesis, los siguientes:</w:t>
      </w:r>
    </w:p>
    <w:p w:rsidR="0033382B" w:rsidRDefault="0033382B" w:rsidP="0033382B">
      <w:pPr>
        <w:pStyle w:val="TextoNormal"/>
      </w:pPr>
    </w:p>
    <w:p w:rsidR="0033382B" w:rsidRDefault="0033382B" w:rsidP="0033382B">
      <w:pPr>
        <w:pStyle w:val="TextoNormal"/>
      </w:pPr>
      <w:r>
        <w:t>a) En los autos del concurso voluntario núm. 222-2011 seguidos en relación con el deudor Esdehor, S.L., por el Juzgado de lo Mercantil núm. 1 de Oviedo, se acordó por Auto de 12 de noviembre de 2013, aprobar el plan de liquidación y la formación de la sección sexta de calificación del concurso y publicar la resolución en el “BOE” y en el tablón de anuncios del Juzgado, para que cualquier acreedor o persona que acreditara un interés legítimo pudiera personarse.</w:t>
      </w:r>
    </w:p>
    <w:p w:rsidR="0033382B" w:rsidRDefault="0033382B" w:rsidP="0033382B">
      <w:pPr>
        <w:pStyle w:val="TextoNormal"/>
      </w:pPr>
    </w:p>
    <w:p w:rsidR="0033382B" w:rsidRDefault="0033382B" w:rsidP="0033382B">
      <w:pPr>
        <w:pStyle w:val="TextoNormal"/>
      </w:pPr>
      <w:r>
        <w:t>b) Sucesivamente se fueron personando en la sección sexta del referido concurso las representaciones procesales de Ascensores Tresa, S.A., doña Lucía Álvarez González, Ferrallas Los Llanos, S.L., Mallas Chapas y Complementos, S.L., Puertas Lis, S.L., Liberbank, S.L., y finalmente la Abogacía del Estado, en representación de la Agencia Estatal de la Administración Tributaria (AEAT). El Juzgado por sendas providencias de 19 de diciembre de 2013 y 8 de abril de 2014 les tuvo por personados. En el escrito del Abogado del Estado en el que se solicitaba la personación en el proceso, se alegó también que el concurso debía ser calificado como culpable, por lo que, el Juzgado, en la citada providencia de 24 de marzo de 2010 tuvo por formuladas las pretensiones de condena contenidas en el escrito y dio traslado del mismo a la Administración concursal y al Ministerio Fiscal.</w:t>
      </w:r>
    </w:p>
    <w:p w:rsidR="0033382B" w:rsidRDefault="0033382B" w:rsidP="0033382B">
      <w:pPr>
        <w:pStyle w:val="TextoNormal"/>
      </w:pPr>
    </w:p>
    <w:p w:rsidR="0033382B" w:rsidRDefault="0033382B" w:rsidP="0033382B">
      <w:pPr>
        <w:pStyle w:val="TextoNormal"/>
      </w:pPr>
      <w:r>
        <w:t>c) La Administración concursal, por escrito de 4 de junio de 2014, entendió que el concurso debía calificarse como fortuito. Por providencia del Juzgado de 24 de junio de 2014, se unió el escrito presentado y, de conformidad con el art. 169.2 de la Ley concursal 22/2003, se acordó dar traslado de lo actuado en la sección sexta al Ministerio Fiscal a fin de que en el plazo de diez días emitiera informe.</w:t>
      </w:r>
    </w:p>
    <w:p w:rsidR="0033382B" w:rsidRDefault="0033382B" w:rsidP="0033382B">
      <w:pPr>
        <w:pStyle w:val="TextoNormal"/>
      </w:pPr>
    </w:p>
    <w:p w:rsidR="0033382B" w:rsidRDefault="0033382B" w:rsidP="0033382B">
      <w:pPr>
        <w:pStyle w:val="TextoNormal"/>
      </w:pPr>
      <w:r>
        <w:t>d) El Ministerio Fiscal, mediante informe de 14 de julio de 2014, solicitó que el concurso se declarase como fortuito.</w:t>
      </w:r>
    </w:p>
    <w:p w:rsidR="0033382B" w:rsidRDefault="0033382B" w:rsidP="0033382B">
      <w:pPr>
        <w:pStyle w:val="TextoNormal"/>
      </w:pPr>
    </w:p>
    <w:p w:rsidR="0033382B" w:rsidRDefault="0033382B" w:rsidP="0033382B">
      <w:pPr>
        <w:pStyle w:val="TextoNormal"/>
      </w:pPr>
      <w:r>
        <w:t>e) Por providencia de 28 de julio de 2014, se acordó oír a las partes personadas en la sección sexta para que “en el plazo común e improrrogable de 10 días aleguen lo que deseen sobre la pertinencia de plantear cuestión de inconstitucionalidad del art. 168.1, en la redacción dada por el Real Decreto Ley 3/2009, en relación con el art. 170.1, ambos de la Ley concursal, por entender que cercenan la tutela judicial efectiva del art. 24 de la Constitución Española al privar a la AEAT, en este caso, de la posibilidad de seguir adelante en solitario con la tramitación de la Sección Sexta pese a reconocerle el art. 168.1 la condición de parte”.</w:t>
      </w:r>
    </w:p>
    <w:p w:rsidR="0033382B" w:rsidRDefault="0033382B" w:rsidP="0033382B">
      <w:pPr>
        <w:pStyle w:val="TextoNormal"/>
      </w:pPr>
    </w:p>
    <w:p w:rsidR="0033382B" w:rsidRDefault="0033382B" w:rsidP="0033382B">
      <w:pPr>
        <w:pStyle w:val="TextoNormal"/>
      </w:pPr>
      <w:r>
        <w:t>f) El 10 de septiembre de 2014, el Juzgado dictó providencia en la que tras exponer que no constaba que se hubiera notificado la anterior providencia al Ministerio Fiscal, acordaba que se verificara la notificación a los fines y plazos indicados.</w:t>
      </w:r>
    </w:p>
    <w:p w:rsidR="0033382B" w:rsidRDefault="0033382B" w:rsidP="0033382B">
      <w:pPr>
        <w:pStyle w:val="TextoNormal"/>
      </w:pPr>
    </w:p>
    <w:p w:rsidR="0033382B" w:rsidRDefault="0033382B" w:rsidP="0033382B">
      <w:pPr>
        <w:pStyle w:val="TextoNormal"/>
      </w:pPr>
      <w:r>
        <w:t>g) El Abogado del Estado, en representación de la Agencia Tributaria, se posicionó a favor del planteamiento de la cuestión de inconstitucionalidad en su escrito de 5 de septiembre de 2014, por entender que los arts. 168.1 y 170.1 de la Ley concursal 22/2003 vulneraban el derecho a la tutela judicial efectiva.</w:t>
      </w:r>
    </w:p>
    <w:p w:rsidR="0033382B" w:rsidRDefault="0033382B" w:rsidP="0033382B">
      <w:pPr>
        <w:pStyle w:val="TextoNormal"/>
      </w:pPr>
    </w:p>
    <w:p w:rsidR="0033382B" w:rsidRDefault="0033382B" w:rsidP="0033382B">
      <w:pPr>
        <w:pStyle w:val="TextoNormal"/>
      </w:pPr>
      <w:r>
        <w:t>h) El Ministerio Fiscal, por escrito de fecha 19 de septiembre de 2014 estimó que al cumplirse los requisitos procesales exigidos por la Ley Orgánica del Tribunal Constitucional (LOTC) no se oponía al planteamiento de la cuestión de inconstitucionalidad, aunque advertía que la Fiscalía General del Estado ya se había pronunciado sobre una cuestión idéntica a la suscitada por el mismo órgano judicial considerándola notoriamente infundada, siendo inadmitida por Auto del Pleno del Tribunal Constitucional de 29 de enero de 2013.</w:t>
      </w:r>
    </w:p>
    <w:p w:rsidR="0033382B" w:rsidRDefault="0033382B" w:rsidP="0033382B">
      <w:pPr>
        <w:pStyle w:val="TextoNormal"/>
      </w:pPr>
    </w:p>
    <w:p w:rsidR="0033382B" w:rsidRDefault="0033382B" w:rsidP="0033382B">
      <w:pPr>
        <w:pStyle w:val="TextoNormal"/>
      </w:pPr>
      <w:r>
        <w:t>i) Por diligencia de ordenación de 2 de octubre de 2014, se acordó notificar nuevamente la providencia de 28 de julio de 2014 a la representación procesal de doña Lucía Álvarez González y de la entidad Puertas Lis, S.L., al constatarse un error en la anterior notificación.</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28 de octubre de 2014 del Juzgado de lo Mercantil núm. 1 de Oviedo fundamenta el planteamiento de la cuestión de inconstitucionalidad en las consideraciones que seguidamente, y de forma resumida, se indican.</w:t>
      </w:r>
    </w:p>
    <w:p w:rsidR="0033382B" w:rsidRDefault="0033382B" w:rsidP="0033382B">
      <w:pPr>
        <w:pStyle w:val="TextoNormal"/>
      </w:pPr>
    </w:p>
    <w:p w:rsidR="0033382B" w:rsidRDefault="0033382B" w:rsidP="0033382B">
      <w:pPr>
        <w:pStyle w:val="TextoNormal"/>
      </w:pPr>
      <w:r>
        <w:t>Tras la exposición del contenido del art. 35 LOTC y del art. 168.1 de la Ley concursal 22/2003, relativo, este último, a la personación y condición de parte de los terceros que aducen interés legítimo en la sección de calificación del concurso, comienza el órgano judicial exponiendo las dudas que suscita el precepto mencionado de la Ley concursal en relación con la condición de parte que haya de reconocerse en la pieza de calificación a los acreedores y terceros legítimamente interesados. Seguidamente examina la evolución que dicha posición ha experimentado desde el viejo régimen legal contenido en el Código de comercio (art. 859.2), pasando por los sucesivos anteproyectos de reforma de la legislación codificada y por la redacción original del art. 168.1 de la Ley 22/2003, que no hacía referencia expresa a la condición de parte de los personados en la sección de calificación, y la jurisprudencia menor que se hacía eco de dicha circunstancia. Concluye con el examen de la reforma operada por el Real Decreto-ley 3/2009, de 27 de marzo, que introduce una novedad en el artículo 168 al reconocer al tercero personado la condición de parte. Esta reforma, a su juicio, excede de una mera corrección de estilo y obliga a aceptar su condición de parte plena, salvo que se entienda que la alusión a la condición de parte, tanto en la letra del precepto como en su rúbrica, es superflua por redundante, o se desnude la condición de parte de los atributos que le son propios. Sin embargo, insiste en que la defectuosa técnica legislativa no permite cerrar el debate, antes al contrario, y es que el artículo 170, cuya constitucionalidad se cuestiona, incomprensiblemente sigue diciendo que en caso de coincidir la Administración concursal y el Ministerio Fiscal en calificar el concurso como fortuito se procederá, sin más, al archivo de la sección y, además, sin posibilidad de ulterior recurso, lo que parece contravenir la condición de parte que atribuye a los terceros el art. 168.1 de la Ley concursal 22/2003. Además, añade que tras la Ley 38/2011 la cuestión se hace más compleja si tenemos en cuenta que en fase de apelación y ejecución se vuelve a hacer hincapié en el papel de los terceros.</w:t>
      </w:r>
    </w:p>
    <w:p w:rsidR="0033382B" w:rsidRDefault="0033382B" w:rsidP="0033382B">
      <w:pPr>
        <w:pStyle w:val="TextoNormal"/>
      </w:pPr>
    </w:p>
    <w:p w:rsidR="0033382B" w:rsidRDefault="0033382B" w:rsidP="0033382B">
      <w:pPr>
        <w:pStyle w:val="TextoNormal"/>
      </w:pPr>
      <w:r>
        <w:t>Seguidamente, el órgano judicial proponente realiza un extenso repaso de los fundamentos de las posturas doctrinales y jurisprudenciales enfrentadas en la exégesis de dichos preceptos de la Ley concursal a propósito de la interpretación que haya de darse a la atribución de la condición de parte a los terceros personados en la pieza de calificación, distinguiendo entre una postura restrictiva mayoritaria, que concibe la intervención de los terceros personados en la pieza de calificación de manera limitada, y otra minoritaria, que reconoce la plena condición de parte procesal a los mismos. A ello sigue una exposición de la jurisprudencia constitucional relativa al contenido del derecho fundamental a la tutela judicial efectiva en sus vertientes de derecho de acceso a la jurisdicción, incluido en el derecho a la obtención de una resolución sobre el fondo fundada en derecho, y el de acceso a los recursos que se incorpora al mencionado derecho fundamental en su precisa configuración legal.</w:t>
      </w:r>
    </w:p>
    <w:p w:rsidR="0033382B" w:rsidRDefault="0033382B" w:rsidP="0033382B">
      <w:pPr>
        <w:pStyle w:val="TextoNormal"/>
      </w:pPr>
    </w:p>
    <w:p w:rsidR="0033382B" w:rsidRDefault="0033382B" w:rsidP="0033382B">
      <w:pPr>
        <w:pStyle w:val="TextoNormal"/>
      </w:pPr>
      <w:r>
        <w:t xml:space="preserve">A continuación, señala el órgano judicial que salvo que aceptemos que la Ley concursal, al configurar la participación de terceros en la sección de calificación, innova un concepto jurídico procesal de parte hasta ahora desconocido, habremos de convenir que esa participación habrá de tener encaje en una de las dos categorías que a tal efecto reconoce la Ley de enjuiciamiento civil (LEC): la condición de parte procesal legítima (art. 10) o la de interviniente (arts. 13 y 14). En la tarea de hallar el recto sentido de la norma considera más sencillo comenzar diciendo qué posición no ostenta el tercero. Así, afirma que es claro que su participación es voluntaria, luego debe excluirse la intervención provocada o </w:t>
      </w:r>
      <w:r w:rsidRPr="0033382B">
        <w:rPr>
          <w:i/>
        </w:rPr>
        <w:t>litis denuntiatio</w:t>
      </w:r>
      <w:r>
        <w:t xml:space="preserve"> del art. 14. Por lo que se refiere a si las alegaciones de terceros encuentran anclaje en la intervención regulada en el art. 13.1 LEC, indica que en el caso comentado la concurrencia del interés legítimo es palmario, aunque más discutible es que sea directo. Sin embargo, considera que aunque no se admitiera el carácter “directo” del interés de los terceros en la calificación, el art. 13.1 ha de interpretarse, como la totalidad de nuestro ordenamiento, de conformidad con la Constitución, que en el art. 24.1 reconoce el derecho fundamental a obtener una tutela judicial efectiva a quien sea titular de un interés “legítimo”, sin más calificativos, por lo que ante la posibilidad de cercenar un derecho fundamental, debería admitirse su intervención en el proceso. Ahora bien, añade, si por el interés que el tercero titula podría admitírsele como interviniente, la asimetría con que está diseñada la sección sexta imposibilita acudir a esta figura, por cuanto el proceso, entendiendo por tal, no el concurso en su generalidad, sino la calificación, realmente no está pendiente, sino que se inicia precisamente con el trámite de alegaciones de los terceros, por lo que decae la razón de ser de este instituto. Pero, continua, aunque admitiéramos a efectos polémicos que el tercero en la sección de calificación es un interviniente, ello no implica que sea un mero coadyuvante. El tercero, al intervenir, persigue evitar unos perjuicios; en algunos casos su actuación puede limitarse a coadyuvar a la victoria de una de las partes, apoyándola con alegaciones y medios de prueba, pero en otros tendrá que suplir la inactividad de la parte originaria e incluso es posible que tenga que enfrentarse a ella cuando se trate de un proceso fraudulento o simulado.</w:t>
      </w:r>
    </w:p>
    <w:p w:rsidR="0033382B" w:rsidRDefault="0033382B" w:rsidP="0033382B">
      <w:pPr>
        <w:pStyle w:val="TextoNormal"/>
      </w:pPr>
    </w:p>
    <w:p w:rsidR="0033382B" w:rsidRDefault="0033382B" w:rsidP="0033382B">
      <w:pPr>
        <w:pStyle w:val="TextoNormal"/>
      </w:pPr>
      <w:r>
        <w:t>Descartada la posibilidad de la intervención, señala que la única categoría que resta es la de “parte procesal legítima”, pues la Ley de enjuiciamiento civil no contempla al coadyuvante, que se caracteriza, positivamente, por ser un auxiliador o amparador y, negativamente, por no ser parte. Afirma que la calificación concursal, a pesar del escalonamiento en las posiciones de demandante y demandado, es un proceso plenario que responde al esquema declarativo típico: demanda-contestación-vista. A su juicio, la circunstancia de que la Ley concursal restrinja aparentemente su participación a la alegación de hechos relevantes para fundar la calificación culpable del concurso es un argumento de suma debilidad para negar su condición de parte plena, pues la Ley concursal no destaca por su acierto en la regulación del contenido de los escritos de la Administración concursal o del Ministerio Fiscal.</w:t>
      </w:r>
    </w:p>
    <w:p w:rsidR="0033382B" w:rsidRDefault="0033382B" w:rsidP="0033382B">
      <w:pPr>
        <w:pStyle w:val="TextoNormal"/>
      </w:pPr>
    </w:p>
    <w:p w:rsidR="0033382B" w:rsidRDefault="0033382B" w:rsidP="0033382B">
      <w:pPr>
        <w:pStyle w:val="TextoNormal"/>
      </w:pPr>
      <w:r>
        <w:t>Por todo ello considera que el art. 168.1 de la Ley concursal 22/2003 supone equiparar procesalmente a los interesados con el resto de partes de la pieza de calificación, con plena autonomía para formular pretensiones, participar en la vista, proponer prueba o recurrir. No cabe, a su juicio, otra posibilidad, salvo que se desnaturalice la cualidad de parte, privándola de los atributos que en esencia le son propios. Por este motivo afirma que en caso de que existan interesados personados en la sección sexta y hayan formulado concretas pretensiones en la misma, debería emplazarse a la concursada y, en su caso, a las personas afectadas por la calificación o cómplices, aun cuando la Administración concursal y el Ministerio Fiscal hayan coincido en calificar como fortuito el concurso, siendo suficiente la existencia de aquéllas para la continuación de la tramitación de la sección. Si, por el contrario, la calificación pretendida por el acreedor coexiste con la de la Administración concursal o el Ministerio Fiscal, debería darse traslado de la misma, a su juicio, en primer término, a esas mismas partes demandantes, por si desean incorporar a sus escritos rectores alguno de sus contenidos, y, posteriormente, a la concursada, personas afectadas por la calificación y, en su caso, cómplices, a fin de que puedan ejercitar adecuadamente su derecho de defensa.</w:t>
      </w:r>
    </w:p>
    <w:p w:rsidR="0033382B" w:rsidRDefault="0033382B" w:rsidP="0033382B">
      <w:pPr>
        <w:pStyle w:val="TextoNormal"/>
      </w:pPr>
    </w:p>
    <w:p w:rsidR="0033382B" w:rsidRDefault="0033382B" w:rsidP="0033382B">
      <w:pPr>
        <w:pStyle w:val="TextoNormal"/>
      </w:pPr>
      <w:r>
        <w:t>Concluye afirmando que el propio Tribunal Constitucional, en reciente Sentencia de 12 de febrero de 2012, parece reconocer a los terceros la posibilidad de intervenir como parte en el proceso. Sin embargo, no resuelve todas las dudas que se plantean en este Auto, de ahí la necesidad de plantear la cuestión de inconstitucionalidad.</w:t>
      </w:r>
    </w:p>
    <w:p w:rsidR="0033382B" w:rsidRDefault="0033382B" w:rsidP="0033382B">
      <w:pPr>
        <w:pStyle w:val="TextoNormal"/>
      </w:pPr>
    </w:p>
    <w:p w:rsidR="0033382B" w:rsidRDefault="0033382B" w:rsidP="0033382B">
      <w:pPr>
        <w:pStyle w:val="TextoNormal"/>
      </w:pPr>
      <w:r>
        <w:t>De seguir la tesis más restrictiva, el Auto por el que se acuerda el archivo al amparo del art. 170.1 de la Ley concursal 22/2003, estaría negando la propia primera instancia, lo que exacerba el juicio de constitucionalidad. Finalmente afirma que la vía interpretativa no permite dotar a los arts. 168 y 170 de un sentido armónico con el art. 24 del texto fundamental dado el tenor taxativo e imperativo del último de los preceptos.</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resolución de 15 de diciembre de 2015, la Sección Segunda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El Fiscal General del Estado evacuó el trámite conferido mediante escrito registrado el 18 de enero de 2015, en el que considera que la cuestión de inconstitucionalidad es inadmisible por falta de cumplimiento de los requisitos procesales y por ser notoriamente infundada.</w:t>
      </w:r>
    </w:p>
    <w:p w:rsidR="0033382B" w:rsidRDefault="0033382B" w:rsidP="0033382B">
      <w:pPr>
        <w:pStyle w:val="TextoNormal"/>
      </w:pPr>
    </w:p>
    <w:p w:rsidR="0033382B" w:rsidRDefault="0033382B" w:rsidP="0033382B">
      <w:pPr>
        <w:pStyle w:val="TextoNormal"/>
      </w:pPr>
      <w:r>
        <w:t>a) Por lo que se refiere al cumplimiento de los requisitos procesales, considera que procede la inadmisión por defectos en el trámite de audiencia del art. 35.2 LOTC, al no haber dado traslado a todas las partes en un plazo común y simultáneo, sino de modo sucesivo. Afirma, que no existe constancia de que la providencia de 28 de julio de 2014, de apertura del trámite de audiencia, haya sido notificada al resto de las partes personadas en la pieza de calificación, ni tampoco a la propia sociedad concursada. Avalaría esta conclusión el hecho de que ninguna de las partes personadas, ni la propia sociedad concursada, presentaran escrito alguno acerca de la viabilidad de plantear o no cuestión de inconstitucionalidad. Sostiene que incluso la providencia de apertura del trámite de audiencia debía ser notificada no solo a las partes personadas en la sección sexta sino a todas las partes personadas en el procedimiento concursal en atención a la singular trascendencia del planteamiento de la cuestión de inconstitucionalidad (ATC 220/2012), por lo que concurriría causa de inadmisibilidad al no haberse concedido a todas las partes, personadas o no, la posibilidad de ser oídas (AATC 24/2013, FJ 3, y 220/2012, FJ 4).</w:t>
      </w:r>
    </w:p>
    <w:p w:rsidR="0033382B" w:rsidRDefault="0033382B" w:rsidP="0033382B">
      <w:pPr>
        <w:pStyle w:val="TextoNormal"/>
      </w:pPr>
    </w:p>
    <w:p w:rsidR="0033382B" w:rsidRDefault="0033382B" w:rsidP="0033382B">
      <w:pPr>
        <w:pStyle w:val="TextoNormal"/>
      </w:pPr>
      <w:r>
        <w:t>Añade que además se incumplió la exigencia constitucional de que el traslado se llevara a cabo por un plazo común y simultaneo, no sucesivo (AATC 221/2013, FJ 5; 220/2012, FJ 4, y 127/2008, FJ 2), pues cuando se concedió el traslado a las representaciones procesales de doña Lucía Álvarez González y de la sociedad Puertas Lis, S.L., ya se habían presentado los escritos de alegaciones por parte del Ministerio Fiscal y la Abogacía del Estado, en representación de la Agencia Tributaria. Y cuando se dio traslado al Ministerio Fiscal ya se habían presentado las alegaciones favorables al planteamiento por la Abogacía del Estado.</w:t>
      </w:r>
    </w:p>
    <w:p w:rsidR="0033382B" w:rsidRDefault="0033382B" w:rsidP="0033382B">
      <w:pPr>
        <w:pStyle w:val="TextoNormal"/>
      </w:pPr>
    </w:p>
    <w:p w:rsidR="0033382B" w:rsidRDefault="0033382B" w:rsidP="0033382B">
      <w:pPr>
        <w:pStyle w:val="TextoNormal"/>
      </w:pPr>
      <w:r>
        <w:t>b) Por lo que se refiere al juicio de relevancia, señala el Ministerio Fiscal que la presente cuestión es idéntica a la planteada por el mismo órgano judicial y tramitada en el procedimiento núm. 3545-2012, en la que sostuvo su carácter notoriamente infundada.</w:t>
      </w:r>
    </w:p>
    <w:p w:rsidR="0033382B" w:rsidRDefault="0033382B" w:rsidP="0033382B">
      <w:pPr>
        <w:pStyle w:val="TextoNormal"/>
      </w:pPr>
    </w:p>
    <w:p w:rsidR="0033382B" w:rsidRDefault="0033382B" w:rsidP="0033382B">
      <w:pPr>
        <w:pStyle w:val="TextoNormal"/>
      </w:pPr>
      <w:r>
        <w:t>Refiere que la duda de inconstitucionalidad se centra exclusivamente en el art. 170.1 y no en el art. 168.1 de la Ley concursal 22/2003, utilizado como parámetro interpretativo. Añade que del contenido de la argumentación no alberga duda alguna sobre cuál deba ser el alcance interpretativo del concepto de “parte” que establece el art. 168.1 , trasladando al Tribunal Constitucional el debate existente en un sector de la jurisprudencia acerca de la interpretación del concepto de “parte” que establece el art. 168.1 de la Ley concursal 22/2003 y sus facultades, para que, a modo de “árbitro”, tome partido por una u otra interpretación, sin que le corresponda al Tribunal Constitucional resolver controversias interpretativas sobre la legalidad o alcance de determinado precepto legal (ATC 23/2004, FJ 2, y 255/213, FJ 4).</w:t>
      </w:r>
    </w:p>
    <w:p w:rsidR="0033382B" w:rsidRDefault="0033382B" w:rsidP="0033382B">
      <w:pPr>
        <w:pStyle w:val="TextoNormal"/>
      </w:pPr>
    </w:p>
    <w:p w:rsidR="0033382B" w:rsidRDefault="0033382B" w:rsidP="0033382B">
      <w:pPr>
        <w:pStyle w:val="TextoNormal"/>
      </w:pPr>
      <w:r>
        <w:t>Por último, dando por reproducidas las alegaciones efectuadas en el procedimiento constitucional núm. 3545-2012, indica que los acreedores o personas que acrediten un interés legítimo, a los que el art. 168.1 de la Ley concursal 22/2003 les concede el derecho a personarse y ser parte en la sección sexta, autorizándoles a formular por escrito alegaciones sobre la calificación del concurso como culpable, no ostentan sin embargo una posición equiparable al de la Administración concursal y la del Ministerio Fiscal, siendo esta una opción legítima del legislador que encuentra su justificación objetiva en el interés general del concurso o del interés público que los mencionados representan (STS 10/2015, de 3 de febrero, FJ 3).</w:t>
      </w:r>
    </w:p>
    <w:p w:rsidR="0033382B" w:rsidRDefault="0033382B" w:rsidP="0033382B">
      <w:pPr>
        <w:pStyle w:val="TextoNormal"/>
      </w:pPr>
    </w:p>
    <w:p w:rsidR="0033382B" w:rsidRDefault="0033382B" w:rsidP="0033382B">
      <w:pPr>
        <w:pStyle w:val="TextoNormal"/>
      </w:pPr>
      <w:r>
        <w:t>Por todo ello, interesa que se dicte Auto de inadmisión de la cuestión de inconstitucionalidad por falta de requisitos procesales y por ser notoriamente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Constituye el objeto de la presente cuestión de inconstitucionalidad el art. 170.1 de la Ley concursal 22/2003, —en cuanto ordena el archivo de la sección de calificación del concurso cuando la Administración concursal y el Ministerio Fiscal coincidan en calificarlo como fortuito— en relación con el art. 168.1 del mismo texto legal, en la redacción dada a este último por el Real Decreto-ley 3/2009, de 27 de marzo, relativo a la condición de parte de los terceros personados en la sección sexta de calificación del concurso. A juicio del órgano que promueve la cuestión, el precepto podría incurrir en inconstitucionalidad por contradecir el contenido del derecho fundamental a la tutela judicial efectiva (art. 24.1 CE).</w:t>
      </w:r>
    </w:p>
    <w:p w:rsidR="0033382B" w:rsidRDefault="0033382B" w:rsidP="0033382B">
      <w:pPr>
        <w:pStyle w:val="TextoNormal"/>
      </w:pPr>
    </w:p>
    <w:p w:rsidR="0033382B" w:rsidRDefault="0033382B" w:rsidP="0033382B">
      <w:pPr>
        <w:pStyle w:val="TextoNormal"/>
      </w:pPr>
      <w:r>
        <w:t>Por su parte, el Ministerio Fiscal, tal y como se ha expuesto, interesa la inadmisión de la cuestión de inconstitucionalidad por incumplimiento de los requisitos procesales exigidos por la Ley Orgánica del Tribunal Constitucional (LOTC) y por ser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2</w:t>
      </w:r>
      <w:r>
        <w:t>.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 Pues bien, el análisis de la presente cuestión de inconstitucionalidad pone de manifiesto que en la misma concurre el primer motivo de inadmisión, dado que el trámite de audiencia a las partes y al Ministerio Fiscal, previsto en el art. 35.2 LOTC, no se ha desarrollado correctamente.</w:t>
      </w:r>
    </w:p>
    <w:p w:rsidR="0033382B" w:rsidRDefault="0033382B" w:rsidP="0033382B">
      <w:pPr>
        <w:pStyle w:val="TextoNormal"/>
      </w:pPr>
    </w:p>
    <w:p w:rsidR="0033382B" w:rsidRDefault="0033382B" w:rsidP="0033382B">
      <w:pPr>
        <w:pStyle w:val="TextoNormal"/>
      </w:pPr>
      <w:r>
        <w:t>En las actuaciones remitidas por el órgano judicial se advierte que en la providencia que abrió el trámite de audiencia del art. 35.2 LOTC, se acordó oír al Ministerio Fiscal y “a las partes personadas en esta Sección Sexta” sobre la procedencia de plantear la cuestión de inconstitucionalidad. Tras algunas incidencias procesales, la providencia fue notificada de modo sucesivo a las distintas partes, pero exclusivamente a las personadas en la sección sexta —así se aprecia en los dos justificantes de la comunicación telemática efectuada a través del sistema lexnet—. De tal modo que por una parte, cuando el Ministerio Fiscal evacuó el trámite de audiencia o cuando se dio traslado a la representación procesal de otras partes personadas, ya se habían presentado las alegaciones por la Abogacía del Estado, y por otra, no se dio trámite de audiencia del art. 35.2 LOTC a las demás partes personadas en el procedimiento concursal que habían decidido no personarse en la sección sexta.</w:t>
      </w:r>
    </w:p>
    <w:p w:rsidR="0033382B" w:rsidRDefault="0033382B" w:rsidP="0033382B">
      <w:pPr>
        <w:pStyle w:val="TextoNormal"/>
      </w:pPr>
    </w:p>
    <w:p w:rsidR="0033382B" w:rsidRDefault="0033382B" w:rsidP="0033382B">
      <w:pPr>
        <w:pStyle w:val="TextoNormal"/>
      </w:pPr>
      <w:r>
        <w:t xml:space="preserve">El ATC 167/2015, de 6 de octubre, FJ 2, con cita del ATC 220/2012, de 27 de noviembre, recuerda que la audiencia a las partes prevista en el art. 35.2 LOTC, no es una secuencia del proceso </w:t>
      </w:r>
      <w:r w:rsidRPr="0033382B">
        <w:rPr>
          <w:i/>
        </w:rPr>
        <w:t>a quo</w:t>
      </w:r>
      <w:r>
        <w:t xml:space="preserve"> sino una pieza preliminar del posterior proceso constitucional. Así, “quien no comparece en el proceso o deja de atender los llamamientos judiciales lo hace en orden a las pretensiones y posiciones de las demás partes que se ventilan en ese mismo proceso, pero no respecto de aquellas cuestiones que, estrictamente hablando, no forman parte del mismo como es el eventual planteamiento de una cuestión de inconstitucionalidad. En rigor, dicho trámite de audiencia constituye así el momento inicial del procedimiento dado que lo que se ventila no es sino la posibilidad de alegar lo que al derecho de las partes convenga sobre la pertinencia de plantear la cuestión.” De este modo lo determinante es que no solo las partes personadas en la sección sexta del concurso “tengan la opción de ser oídas y expresar su parecer sobre una decisión de tanta entidad como el planteamiento de una cuestión de inconstitucionalidad”, sino que puedan hacerlo todas las que se encuentran personadas en el procedimiento concursal.</w:t>
      </w:r>
    </w:p>
    <w:p w:rsidR="0033382B" w:rsidRDefault="0033382B" w:rsidP="0033382B">
      <w:pPr>
        <w:pStyle w:val="TextoNormal"/>
      </w:pPr>
    </w:p>
    <w:p w:rsidR="0033382B" w:rsidRDefault="0033382B" w:rsidP="0033382B">
      <w:pPr>
        <w:pStyle w:val="TextoNormal"/>
      </w:pPr>
      <w:r>
        <w:t>De las distintas personas físicas y jurídicas que se encontraban personadas en el procedimiento —tal y como resulta del encabezamiento del Auto de 12 de noviembre de 2013 por el que se acuerda la formación de la sección sexta—, solo una parte de ellas decidieron personarse en dicha sección. El resto, que tomó la decisión de no personarse en la sección sexta, no pudo tener en consideración “aquellas cuestiones que, estrictamente hablando, no forman parte de la misma como es el eventual planteamiento de una cuestión de inconstitucionalidad”. Esta cuestión que surgió después y era distinta a la que integraba el objeto de la sección sexta, hubiera tenido que conllevar, conforme a la lógica del trámite ex art. 35.2 LOTC, que a todas las partes personadas en el concurso, comparecidas o no en la mencionada sección, se les hubiera dado “la opción de ser oídas y expresar su parecer sobre una decisión de tanta entidad como el planteamiento de una cuestión de inconstitucionalidad”.</w:t>
      </w:r>
    </w:p>
    <w:p w:rsidR="0033382B" w:rsidRDefault="0033382B" w:rsidP="0033382B">
      <w:pPr>
        <w:pStyle w:val="TextoNormal"/>
      </w:pPr>
    </w:p>
    <w:p w:rsidR="0033382B" w:rsidRDefault="0033382B" w:rsidP="0033382B">
      <w:pPr>
        <w:pStyle w:val="TextoNormal"/>
      </w:pPr>
      <w:r>
        <w:t xml:space="preserve">En conclusión, y como también entiende acertadamente el Ministerio Fiscal, para que el trámite </w:t>
      </w:r>
      <w:r w:rsidRPr="0033382B">
        <w:rPr>
          <w:i/>
        </w:rPr>
        <w:t>ex</w:t>
      </w:r>
      <w:r>
        <w:t xml:space="preserve"> art. 35.2 LOTC hubiera sido correctamente satisfecho habría sido necesario notificar la resolución de 28 de julio de 2014, que da apertura al mismo, a todas las partes y no solo a las personadas en la sección sexta. Solo de esa manera el trámite de audiencia habría cumplido el doble objetivo de garantizar la audiencia de las partes, ante una posible decisión judicial de tanta entidad como es el abrir un proceso de inconstitucionalidad y poner a disposición del Juez un medio que le permita conocer la opinión de los sujetos interesados con el fin de facilitar su reflexión sobre la conveniencia o no de proceder a la apertura de dicho proceso (por todas, AATC 167/2015, FJ 2, y 33/2009, de 27 de enero, FJ 2).</w:t>
      </w:r>
    </w:p>
    <w:p w:rsidR="0033382B" w:rsidRDefault="0033382B" w:rsidP="0033382B">
      <w:pPr>
        <w:pStyle w:val="TextoNormal"/>
      </w:pPr>
    </w:p>
    <w:p w:rsidR="0033382B" w:rsidRDefault="0033382B" w:rsidP="0033382B">
      <w:pPr>
        <w:pStyle w:val="TextoNormal"/>
      </w:pPr>
      <w:r>
        <w:t>Al no haberse realizado este traslado, no se ha cumplido con una de las exigencias consignadas en el art. 35.2 LOTC, por lo que procede inadmitir esta cuestión de inconstitucionalidad por falta de uno de los requisitos procesales esenciales, sin necesidad de valorar que el traslado no hubiera sido simultáneo sino sucesivo.</w:t>
      </w:r>
    </w:p>
    <w:p w:rsidR="0033382B" w:rsidRDefault="0033382B" w:rsidP="0033382B">
      <w:pPr>
        <w:pStyle w:val="TextoNormal"/>
      </w:pPr>
    </w:p>
    <w:p w:rsidR="0033382B" w:rsidRDefault="0033382B" w:rsidP="0033382B">
      <w:pPr>
        <w:pStyle w:val="TextoNormal"/>
      </w:pPr>
      <w:r w:rsidRPr="0033382B">
        <w:rPr>
          <w:rStyle w:val="NumeroAFNegritaCaracter"/>
        </w:rPr>
        <w:t>3</w:t>
      </w:r>
      <w:r>
        <w:t>. El Ministerio Fiscal también interesa la inadmisión de la cuestión de inconstitucionalidad por ser notoriamente infundada. Como atinadamente advierte en su informe, el mismo órgano judicial planteó idéntica cuestión a la que ahora promueve y que también fue inadmitida por irregularidades en el trámite de audiencia del art. 35.2 LOTC (ATC 24/2013, de 29 de enero), circunstancia que lleva a la conveniencia de examinar la viabilidad constitucional de la cuestión suscitada a fin de evitar los efectos no deseables que pudieran derivarse de la paralización de múltiples procesos en los que resulte de aplicación la norma cuestionada, como consecuencia del planteamiento de nuevas cuestiones de inconstitucionalidad.</w:t>
      </w:r>
    </w:p>
    <w:p w:rsidR="0033382B" w:rsidRDefault="0033382B" w:rsidP="0033382B">
      <w:pPr>
        <w:pStyle w:val="TextoNormal"/>
      </w:pPr>
    </w:p>
    <w:p w:rsidR="0033382B" w:rsidRDefault="0033382B" w:rsidP="0033382B">
      <w:pPr>
        <w:pStyle w:val="TextoNormal"/>
      </w:pPr>
      <w:r>
        <w:t>Llegados a este punto, es oportuno reiterar que el concepto de cuestión notoriamente infundada encierra un cierto grado de indefinición que se traduce procesalmente en un margen de apreciación del Tribunal Constitucional a la hora de controlar su solidez, sin que ello signifique, necesariamente, que la cuestión de inconstitucionalidad carezca de forma total y absoluta de fundamentación o que ésta sea arbitraria (por todos, ATC 194/2015, de 18 de noviembre, FJ 3).</w:t>
      </w:r>
    </w:p>
    <w:p w:rsidR="0033382B" w:rsidRDefault="0033382B" w:rsidP="0033382B">
      <w:pPr>
        <w:pStyle w:val="TextoNormal"/>
      </w:pPr>
    </w:p>
    <w:p w:rsidR="0033382B" w:rsidRDefault="0033382B" w:rsidP="0033382B">
      <w:pPr>
        <w:pStyle w:val="TextoNormal"/>
      </w:pPr>
      <w:r>
        <w:t>Por el Juzgado de lo Mercantil núm. 1 de Oviedo se plantea la cuestión de inconstitucionalidad del art. 170.1 de la Ley concursal 22/2003, en relación con el art. 168.1 del mismo texto legal, al considerar que contravienen el derecho a la tutela judicial efectiva (art. 24.1 CE), en cuanto ordena el archivo de la sección de calificación del concurso cuando la Administración concursal y el Ministerio Fiscal coincidan en calificarlo como fortuito, pese a que uno de los acreedores personados lo hubiera calificado de culpable. Ahora bien, como afirma el Ministerio Fiscal, la duda de inconstitucionalidad solo alcanza al art. 170.1 de la Ley concursal 22/2003, sirviéndose el órgano que promueve la cuestión de la cita del art. 168 de la misma Ley a los exclusivos efectos de sustentar el planteamiento de inconstitucionalidad del art. 170.1 de la Ley concursal 22/2003.</w:t>
      </w:r>
    </w:p>
    <w:p w:rsidR="0033382B" w:rsidRDefault="0033382B" w:rsidP="0033382B">
      <w:pPr>
        <w:pStyle w:val="TextoNormal"/>
      </w:pPr>
    </w:p>
    <w:p w:rsidR="0033382B" w:rsidRDefault="0033382B" w:rsidP="0033382B">
      <w:pPr>
        <w:pStyle w:val="TextoNormal"/>
      </w:pPr>
      <w:r>
        <w:t>Dispone el art. 170. 1 de la Ley concursal 22/2003 que “si el informe de la administración concursal y el dictamen que, en su caso, hubiera emitido el Ministerio Fiscal coincidieran en calificar el concurso como fortuito, el juez, sin más trámites, ordenará el archivo de las actuaciones mediante auto, contra el que no cabrá recurso alguno.”. Considera el Juzgado que dicho precepto imposibilita que los acreedores y quienes ostenten un interés legítimo puedan formular sus pretensiones con plena autonomía, pese a que el art. 168 de la Ley concursal 22/2003, admite que puedan personarse y ser parte en la sección de calificación alegando por escrito cuanto consideren relevante para la calificación del concurso como culpable. De dicha limitación extrae el órgano judicial que promueve la cuestión la vulneración del derecho a la tutela judicial efectiva (art. 24.1 CE).</w:t>
      </w:r>
    </w:p>
    <w:p w:rsidR="0033382B" w:rsidRDefault="0033382B" w:rsidP="0033382B">
      <w:pPr>
        <w:pStyle w:val="TextoNormal"/>
      </w:pPr>
    </w:p>
    <w:p w:rsidR="0033382B" w:rsidRDefault="0033382B" w:rsidP="0033382B">
      <w:pPr>
        <w:pStyle w:val="TextoNormal"/>
      </w:pPr>
      <w:r w:rsidRPr="0033382B">
        <w:rPr>
          <w:rStyle w:val="NumeroAFNegritaCaracter"/>
        </w:rPr>
        <w:t>4</w:t>
      </w:r>
      <w:r>
        <w:t>. Es preciso recordar que el derecho a la tutela judicial efectiva no es un derecho de libertad, ejercitable sin más y directamente a partir de la Constitución (STC 99/1985, de 30 de septiembre, FJ 4), sino un derecho prestacional y un derecho de configuración legal, cuyo ejercicio está sujeto a la concurrencia de los presupuestos y requisitos procesales que, en cada caso, haya establecido el legislador (STC 182/2004, de 2 de noviembre, FJ 2). Ello implica que el legislador cuenta con un ámbito de libertad amplio en la definición o determinación de las condiciones y consecuencias del acceso a la justicia, pues le incumbe crear la configuración de la actividad judicial y, más concretamente, del proceso en cuyo seno se ejercita el derecho fundamental ordenado a la satisfacción de pretensiones dirigidas a la defensa de derechos e intereses legítimos (STC 206/1987, de 21 de diciembre, FJ 5). En esta regulación podrá establecer límites al ejercicio del derecho fundamental que serán constitucionalmente válidos si, respetando su contenido esencial (art. 53.1 CE), están dirigidos a preservar otros derechos, bienes o intereses constitucionalmente protegidos y guardan la adecuada proporcionalidad con la naturaleza del proceso y la finalidad perseguida (entre otras, SSTC 158/1987, de 20 de octubre, FJ 4; y 32/1991, de 14 de febrero, FJ 4). En principio, pues, el derecho reconocido en el art. 24.1 CE puede verse conculcado por aquellas normas que impongan requisitos impeditivos u obstaculizadores del acceso a la jurisdicción, si tales trabas resultan innecesarias, excesivas y carecen de razonabilidad o proporcionalidad respecto de los fines que lícitamente puede perseguir el legislador (SSTC 60/1989, de 16 de marzo, FJ 4; y 114/1992, de 14 de septiembre, FJ 3).</w:t>
      </w:r>
    </w:p>
    <w:p w:rsidR="0033382B" w:rsidRDefault="0033382B" w:rsidP="0033382B">
      <w:pPr>
        <w:pStyle w:val="TextoNormal"/>
      </w:pPr>
    </w:p>
    <w:p w:rsidR="0033382B" w:rsidRDefault="0033382B" w:rsidP="0033382B">
      <w:pPr>
        <w:pStyle w:val="TextoNormal"/>
      </w:pPr>
      <w:r>
        <w:t>Conforme a la doctrina expuesta, para dar una respuesta a la duda planteada por el Juzgado de lo Mercantil en cuanto a la constitucionalidad del art. 170.1 de la Ley concursal 22/2003, resulta claro que no podemos partir de una consideración abstracta del derecho a la tutela judicial efectiva sin indefensión, sino que, por la naturaleza instrumental de éste [STC 166/1986, de 19 de diciembre, FJ 11 c)], es preciso tener en cuenta los derechos o intereses en juego que determinan los bienes constitucionales protegidos por el precepto impugnado, al objeto de discernir si el límite impuesto por el legislador al acreedor o titular de un interés legítimo personado en la sección de calificación, se ajusta al canon expuesto.</w:t>
      </w:r>
    </w:p>
    <w:p w:rsidR="0033382B" w:rsidRDefault="0033382B" w:rsidP="0033382B">
      <w:pPr>
        <w:pStyle w:val="TextoNormal"/>
      </w:pPr>
    </w:p>
    <w:p w:rsidR="0033382B" w:rsidRDefault="0033382B" w:rsidP="0033382B">
      <w:pPr>
        <w:pStyle w:val="TextoNormal"/>
      </w:pPr>
      <w:r>
        <w:t>Del examen de la regulación establecida en la Ley concursal, puede afirmarse que la limitación de la intervención del acreedor y de aquellos que ostentan un interés legítimo en la sección de calificación, se sustenta en la consideración de que los “intereses que se ejercitan en la sección de calificación no son estrictamente públicos, pues los hay generales del concurso y por ello de los acreedores en su conjunto” (STS 10/2015, de 3 de febrero), de tal modo que ha limitado la legitimación para ejercitar las acciones de calificación a la Administración concursal y al Ministerio Fiscal.</w:t>
      </w:r>
    </w:p>
    <w:p w:rsidR="0033382B" w:rsidRDefault="0033382B" w:rsidP="0033382B">
      <w:pPr>
        <w:pStyle w:val="TextoNormal"/>
      </w:pPr>
    </w:p>
    <w:p w:rsidR="0033382B" w:rsidRDefault="0033382B" w:rsidP="0033382B">
      <w:pPr>
        <w:pStyle w:val="TextoNormal"/>
      </w:pPr>
      <w:r>
        <w:t>La finalidad de dicha limitación, como ha tenido ocasión de señalar la citada STS 10/2015, es “evitar una acumulación de acciones particulares, encomendando a la Administración concursal y al Ministerio Fiscal el ejercicio de esta acción”, pues a la Administración concursal le corresponde la representación de los intereses generales del concurso, dentro de los cuales se encuentran los de los acreedores concursales a obtener la íntegra satisfacción de sus créditos, y al Ministerio Fiscal la defensa del interés público.</w:t>
      </w:r>
    </w:p>
    <w:p w:rsidR="0033382B" w:rsidRDefault="0033382B" w:rsidP="0033382B">
      <w:pPr>
        <w:pStyle w:val="TextoNormal"/>
      </w:pPr>
    </w:p>
    <w:p w:rsidR="0033382B" w:rsidRDefault="0033382B" w:rsidP="0033382B">
      <w:pPr>
        <w:pStyle w:val="TextoNormal"/>
      </w:pPr>
      <w:r>
        <w:t xml:space="preserve">Ello no significa que a los acreedores y demás interesados en la calificación no se les reconozca ninguna intervención, sino que pese a carecer de legitimación para pedir una determinada calificación, se les reconoce, entre otras, la posibilidad de formular alegaciones a los efectos de informar a la administración concursal, alegando lo que consideren relevante para la calificación del concurso como culpable ( art. 168.1 de la Ley concursal 22/2003), así como de intervenir como coadyuvantes de la concreta petición de calificación formulada por la Administración concursal y/o el Ministerio Fiscal, y también de interponer recurso de apelación ( art. 172 </w:t>
      </w:r>
      <w:r w:rsidRPr="0033382B">
        <w:rPr>
          <w:i/>
        </w:rPr>
        <w:t>bis</w:t>
      </w:r>
      <w:r>
        <w:t>.4 de la Ley concursal 22/2003). Y a estos concretos efectos se les reconoce la condición de parte.</w:t>
      </w:r>
    </w:p>
    <w:p w:rsidR="0033382B" w:rsidRDefault="0033382B" w:rsidP="0033382B">
      <w:pPr>
        <w:pStyle w:val="TextoNormal"/>
      </w:pPr>
    </w:p>
    <w:p w:rsidR="0033382B" w:rsidRDefault="0033382B" w:rsidP="0033382B">
      <w:pPr>
        <w:pStyle w:val="TextoNormal"/>
      </w:pPr>
      <w:r>
        <w:t>De este modo, puede concluirse que la Ley concursal, en la tramitación de la sección de calificación, ha definido la posición de los acreedores y de quienes ostentan un interés legítimo, en relación con la naturaleza y las finalidades que se ventilan en dicha sección, atendidos los intereses que representan el Administrador concursal y el Ministerio Fiscal, sin que el diseño procesal presente atisbo alguno de inconstitucionalidad, o de desproporción o arbitrariedad en la atribución de legitimación para ejercitar la acción de calificación exclusivamente a quienes se les reconoce la representación del interés general del concurso —la administración concursal— o del interés público —el Ministerio Fiscal— y excluyendo, por tanto, a quienes no ostentan una posición procesal autónoma con respecto a los intereses que se debaten en el incidente de calificación concursal.</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cuestión de inconstitucionalidad núm. 6959-2014 planteada por el Juzgado de lo Mercantil núm. 1 de Oviedo.</w:t>
      </w:r>
    </w:p>
    <w:p w:rsidR="0033382B" w:rsidRDefault="0033382B" w:rsidP="0033382B">
      <w:pPr>
        <w:pStyle w:val="TextoNormal"/>
      </w:pPr>
    </w:p>
    <w:p w:rsidR="0033382B" w:rsidRDefault="0033382B" w:rsidP="0033382B">
      <w:pPr>
        <w:pStyle w:val="TextoNormal"/>
      </w:pPr>
      <w:r>
        <w:t>Madrid, a dieciséis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64" w:name="AUTO_2016_37"/>
      <w:r>
        <w:t>AUTO 37/2016, de 16 de febrero de 2016</w:t>
      </w:r>
    </w:p>
    <w:bookmarkEnd w:id="164"/>
    <w:p w:rsidR="0033382B" w:rsidRDefault="0033382B" w:rsidP="0033382B">
      <w:pPr>
        <w:pStyle w:val="TtuloResolucin"/>
      </w:pPr>
      <w:r>
        <w:t>Pleno</w:t>
      </w:r>
    </w:p>
    <w:p w:rsidR="0033382B" w:rsidRDefault="0033382B" w:rsidP="0033382B">
      <w:pPr>
        <w:pStyle w:val="TextoNormalCentrado"/>
      </w:pPr>
      <w:r>
        <w:t>ECLI:ES:TC:2016:37A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7559-2014, planteada por la Sala de lo Contencioso-Administrativo del Tribunal Superior de Justicia de Castilla-La Mancha en relación con varios preceptos del Real Decreto Legislativo 2/2008, de 20 de junio, por el que se aprueba el texto refundido de la Ley de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16 de diciembre de 2014 tuvo entrada en el Registro General de este Tribunal un oficio de la Sección Segunda de la Sala de lo Contencioso-Administrativo del Tribunal Superior de Justicia de Castilla-La Mancha, al que se acompaña, junto al testimonio del procedimiento ordinario núm. 116-2011, el Auto de 3 de noviembre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Una persona física, propietaria de una finca afectada por el proyecto de expropiación derivado del “proyecto de singular interés Parque Industrial y Tecnológico de Illescas”, recurre en vía contencioso-administrativa la resolución del Jurado Regional de Valoraciones de la Junta de Comunidades de Castilla-La Mancha que fijó el justiprecio de las fincas, que se encontraban en situación de rústicas.</w:t>
      </w:r>
    </w:p>
    <w:p w:rsidR="0033382B" w:rsidRDefault="0033382B" w:rsidP="0033382B">
      <w:pPr>
        <w:pStyle w:val="TextoNormal"/>
      </w:pPr>
    </w:p>
    <w:p w:rsidR="0033382B" w:rsidRDefault="0033382B" w:rsidP="0033382B">
      <w:pPr>
        <w:pStyle w:val="TextoNormal"/>
      </w:pPr>
      <w:r>
        <w:t>b) Una vez concluso el procedimiento, y antes de dictar sentencia, la Sección Segunda de la Sala de lo Contencioso-Administrativo del Tribunal Superior de Justicia de Castilla-La Mancha dictó providencia de 8 de octubre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c) El Ministerio Fiscal consideró pertinente el planteamiento de la cuestión de inconstitucionalidad respecto de los arts. 23.2, en relación con el art. 12, y 25 del Real Decreto Legislativo 2/2008, por su aparente contradicción con el art. 33.3 CE.</w:t>
      </w:r>
    </w:p>
    <w:p w:rsidR="0033382B" w:rsidRDefault="0033382B" w:rsidP="0033382B">
      <w:pPr>
        <w:pStyle w:val="TextoNormal"/>
      </w:pPr>
    </w:p>
    <w:p w:rsidR="0033382B" w:rsidRDefault="0033382B" w:rsidP="0033382B">
      <w:pPr>
        <w:pStyle w:val="TextoNormal"/>
      </w:pPr>
      <w:r>
        <w:t>El Letrado de la Administración de la Junta de Comunidades de Castilla-La Mancha se opuso al planteamiento de la cuestión por lo que hace a los arts. 23.1 y 23.2 del Real Decreto Legislativo 2/2008, con el argumento de que la STC 141/2014, de 11 de septiembre, no los había declarado inconstitucionales.</w:t>
      </w:r>
    </w:p>
    <w:p w:rsidR="0033382B" w:rsidRDefault="0033382B" w:rsidP="0033382B">
      <w:pPr>
        <w:pStyle w:val="TextoNormal"/>
      </w:pPr>
    </w:p>
    <w:p w:rsidR="0033382B" w:rsidRDefault="0033382B" w:rsidP="0033382B">
      <w:pPr>
        <w:pStyle w:val="TextoNormal"/>
      </w:pPr>
      <w:r>
        <w:t>La representación del actor consideró pertinente el planteamiento de la cuestión de inconstitucionalidad.</w:t>
      </w:r>
    </w:p>
    <w:p w:rsidR="0033382B" w:rsidRDefault="0033382B" w:rsidP="0033382B">
      <w:pPr>
        <w:pStyle w:val="TextoNormal"/>
      </w:pPr>
    </w:p>
    <w:p w:rsidR="0033382B" w:rsidRDefault="0033382B" w:rsidP="0033382B">
      <w:pPr>
        <w:pStyle w:val="TextoNormal"/>
      </w:pPr>
      <w:r>
        <w:t>d) La Sección Segunda de la Sala de lo Contencioso-Administrativo del Tribunal Superior de Justicia de Castilla-La Mancha dictó Auto de 3 de noviembre de 2014, por el que se acuerda plantear cuestión de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luego de referirse a los antecedentes de hecho del caso y de transcribir los preceptos cuestionados, aborda los requisitos de procedimiento.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sobre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el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0033382B" w:rsidRDefault="0033382B" w:rsidP="0033382B">
      <w:pPr>
        <w:pStyle w:val="TextoNormal"/>
      </w:pPr>
    </w:p>
    <w:p w:rsidR="0033382B" w:rsidRDefault="0033382B" w:rsidP="0033382B">
      <w:pPr>
        <w:pStyle w:val="TextoNormal"/>
      </w:pPr>
      <w:r>
        <w:t>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limitados por las reglas que al efecto se contienen en la actual legislación.</w:t>
      </w:r>
    </w:p>
    <w:p w:rsidR="0033382B" w:rsidRDefault="0033382B" w:rsidP="0033382B">
      <w:pPr>
        <w:pStyle w:val="TextoNormal"/>
      </w:pPr>
    </w:p>
    <w:p w:rsidR="0033382B" w:rsidRDefault="0033382B" w:rsidP="0033382B">
      <w:pPr>
        <w:pStyle w:val="TextoNormal"/>
      </w:pPr>
      <w:r>
        <w:t xml:space="preserve">A continuación, señala que, aunque nada hay de inconstitucional en que la ley pueda establecer unos métodos de valoración determinados u otros, “sí afirmamos que será difícilmente constitucional cualquier método que de manera manifiesta impida dar con un valor real, valor que a nuestro juicio equivale a un valor que sea próximo al del mercado propio del bien de que se trate …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Solo en circunstancias excepcionales y justificadas, y que por tanto –añadimos nosotros- no pueden convertirse en la regla general para cualquier expropiación forzosa, cabría aceptar una reparación no íntegra del valor real del bien (SSTEDH de 8 de junio de 1986 —caso </w:t>
      </w:r>
      <w:r w:rsidRPr="0033382B">
        <w:rPr>
          <w:i/>
        </w:rPr>
        <w:t>Lightgow y otros contra Reino Unido</w:t>
      </w:r>
      <w:r>
        <w:t xml:space="preserve">—, 9 de diciembre de 1994 —caso </w:t>
      </w:r>
      <w:r w:rsidRPr="0033382B">
        <w:rPr>
          <w:i/>
        </w:rPr>
        <w:t>de los Santos Monasterios Griegos contra Grecia</w:t>
      </w:r>
      <w:r>
        <w:t xml:space="preserve">—, 4 de agosto de 2009 —caso </w:t>
      </w:r>
      <w:r w:rsidRPr="0033382B">
        <w:rPr>
          <w:i/>
        </w:rPr>
        <w:t>Perdigao contra Portugal</w:t>
      </w:r>
      <w:r>
        <w:t>—, 4 de noviembre de 2010, 9 de octubre de 2003 o 26 de abril de 2011).</w:t>
      </w:r>
    </w:p>
    <w:p w:rsidR="0033382B" w:rsidRDefault="0033382B" w:rsidP="0033382B">
      <w:pPr>
        <w:pStyle w:val="TextoNormal"/>
      </w:pPr>
    </w:p>
    <w:p w:rsidR="0033382B" w:rsidRDefault="0033382B" w:rsidP="0033382B">
      <w:pPr>
        <w:pStyle w:val="TextoNormal"/>
      </w:pPr>
      <w:r>
        <w:t>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0033382B" w:rsidRDefault="0033382B" w:rsidP="0033382B">
      <w:pPr>
        <w:pStyle w:val="TextoNormal"/>
      </w:pPr>
    </w:p>
    <w:p w:rsidR="0033382B" w:rsidRDefault="0033382B" w:rsidP="0033382B">
      <w:pPr>
        <w:pStyle w:val="TextoNormal"/>
      </w:pPr>
      <w:r>
        <w:t>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PSI que motiva la expropiación; y que el propio PSI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PSI declaraba. Esta es la prueba, a nuestro juicio, de que el sistema establecido por la Ley no es hábil para hallar el valor real del bien ni aun aproximadamente y que, por consiguiente, puede resultar inconstitucional”.</w:t>
      </w:r>
    </w:p>
    <w:p w:rsidR="0033382B" w:rsidRDefault="0033382B" w:rsidP="0033382B">
      <w:pPr>
        <w:pStyle w:val="TextoNormal"/>
      </w:pPr>
    </w:p>
    <w:p w:rsidR="0033382B" w:rsidRDefault="0033382B" w:rsidP="0033382B">
      <w:pPr>
        <w:pStyle w:val="TextoNormal"/>
      </w:pPr>
      <w:r>
        <w:t>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 Las expectativas urbanísticas se basan en circunstancias actuales (</w:t>
      </w:r>
      <w:r w:rsidRPr="0033382B">
        <w:rPr>
          <w:i/>
        </w:rPr>
        <w:t>vgr</w:t>
      </w:r>
      <w:r>
        <w:t>.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0033382B" w:rsidRDefault="0033382B" w:rsidP="0033382B">
      <w:pPr>
        <w:pStyle w:val="TextoNormal"/>
      </w:pPr>
    </w:p>
    <w:p w:rsidR="0033382B" w:rsidRDefault="0033382B" w:rsidP="0033382B">
      <w:pPr>
        <w:pStyle w:val="TextoNormal"/>
      </w:pPr>
      <w:r>
        <w:t>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 33.3 CE y el 14 CE”. Y sobre la constitucionalidad del régimen previsto en el art.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0033382B" w:rsidRDefault="0033382B" w:rsidP="0033382B">
      <w:pPr>
        <w:pStyle w:val="TextoNormal"/>
      </w:pPr>
    </w:p>
    <w:p w:rsidR="0033382B" w:rsidRDefault="0033382B" w:rsidP="0033382B">
      <w:pPr>
        <w:pStyle w:val="TextoNormal"/>
      </w:pPr>
      <w:r>
        <w:t>El Auto incluye un epígrafe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 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 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 25.1”.</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 de diciembre de 2015, la Sección Segunda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la pérdida de objeto de la cuestión de inconstitucionalidad respecto al art. 25.2 a) del Real Decreto Legislativo 2/2008 y de su carácter notoriamente infundado (STC 218/2015, de 22 de octubre) respecto a los otros preceptos cuestionados”.</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el 27 de enero de 2016, en el que afirma que la presente cuestión de inconstitucionalidad debe ser resuelta siguiendo la dicción de los Autos de 19 de enero de 2016 dictados por este Tribunal en las cuestiones de inconstitucionalidad 6246-2014, 7766-2014, 7476-2014 y 7560-2014, entre otros, pues parten de los mismos presupuestos tanto respecto de los preceptos cuestionados del del Real Decreto Legislativo 2/2008 como de los preceptos constitucionales con los que, en su caso, entrarían en contradicción, arts. 14 y 33.3 CE.</w:t>
      </w:r>
    </w:p>
    <w:p w:rsidR="0033382B" w:rsidRDefault="0033382B" w:rsidP="0033382B">
      <w:pPr>
        <w:pStyle w:val="TextoNormal"/>
      </w:pPr>
    </w:p>
    <w:p w:rsidR="0033382B" w:rsidRDefault="0033382B" w:rsidP="0033382B">
      <w:pPr>
        <w:pStyle w:val="TextoNormal"/>
      </w:pPr>
      <w:r>
        <w:t>Partiendo de lo afirmado en los mismos concluye que procede declarar la inadmisión de la presente cuestión de inconstitucionalidad por pérdida sobrevenida de objeto de la presente cuestión de inconstitucionalidad respecto de los arts. 23.1 a), en los términos de la STC 141/2014, y 25.2 a) del del Real Decreto Legislativo 2/2008, y declarar manifiestamente infundada la presente cuestión de inconstitucionalidad respecto de los arts. 12, 23.2 y 25.1 del Real Decreto Legislativo 2/2008.</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 xml:space="preserve">La Sala que plantea la cuestión considera que el art. 23.1 a) del Real Decreto Legislativo 2/2008 establece un método de valoración para el suelo en situación básica de rural </w:t>
      </w:r>
      <w:r w:rsidRPr="0033382B">
        <w:rPr>
          <w:i/>
        </w:rPr>
        <w:t>ex</w:t>
      </w:r>
      <w:r>
        <w:t xml:space="preserve">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el Tribunal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0033382B" w:rsidRDefault="0033382B" w:rsidP="0033382B">
      <w:pPr>
        <w:pStyle w:val="TextoNormal"/>
      </w:pPr>
    </w:p>
    <w:p w:rsidR="0033382B" w:rsidRDefault="0033382B" w:rsidP="0033382B">
      <w:pPr>
        <w:pStyle w:val="TextoNormal"/>
      </w:pPr>
      <w:r>
        <w:t>La Fiscal General del Estado, en el trámite previsto en el art. 37.1 de la Ley Orgánica del Tribunal Constitucional (LOTC), partiendo de lo resuelto en los AATC 6, 7, 8 y 10/2016, de 19 de enero de 2016, considera que procede declarar la inadmisión de la presente cuestión de inconstitucionalidad por pérdida sobrevenida de objeto respecto de los arts. 23.1 a), en los términos de la STC 141/2014, y 25.2 a) del Real Decreto Legislativo 2/2008, y declarar manifiestamente infundada la presente cuestión de inconstitucionalidad respecto de los arts. 12, 23.2 y 25.1 del Real Decreto Legislativo 2/2008.</w:t>
      </w:r>
    </w:p>
    <w:p w:rsidR="0033382B" w:rsidRDefault="0033382B" w:rsidP="0033382B">
      <w:pPr>
        <w:pStyle w:val="TextoNormal"/>
      </w:pPr>
    </w:p>
    <w:p w:rsidR="0033382B" w:rsidRDefault="0033382B" w:rsidP="0033382B">
      <w:pPr>
        <w:pStyle w:val="TextoNormal"/>
      </w:pPr>
      <w:r w:rsidRPr="0033382B">
        <w:rPr>
          <w:rStyle w:val="NumeroAFNegritaCaracter"/>
        </w:rPr>
        <w:t>2</w:t>
      </w:r>
      <w:r>
        <w:t>.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33382B" w:rsidRDefault="0033382B" w:rsidP="0033382B">
      <w:pPr>
        <w:pStyle w:val="TextoNormal"/>
      </w:pPr>
    </w:p>
    <w:p w:rsidR="0033382B" w:rsidRDefault="0033382B" w:rsidP="0033382B">
      <w:pPr>
        <w:pStyle w:val="TextoNormal"/>
      </w:pPr>
      <w:r w:rsidRPr="0033382B">
        <w:rPr>
          <w:rStyle w:val="NumeroAFNegritaCaracter"/>
        </w:rPr>
        <w:t>4</w:t>
      </w:r>
      <w:r>
        <w:t>.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0033382B" w:rsidRDefault="0033382B" w:rsidP="0033382B">
      <w:pPr>
        <w:pStyle w:val="TextoNormal"/>
      </w:pPr>
    </w:p>
    <w:p w:rsidR="0033382B" w:rsidRDefault="0033382B" w:rsidP="0033382B">
      <w:pPr>
        <w:pStyle w:val="TextoNormal"/>
      </w:pPr>
      <w:r>
        <w:t>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0033382B" w:rsidRDefault="0033382B" w:rsidP="0033382B">
      <w:pPr>
        <w:pStyle w:val="TextoNormal"/>
      </w:pPr>
    </w:p>
    <w:p w:rsidR="0033382B" w:rsidRDefault="0033382B" w:rsidP="0033382B">
      <w:pPr>
        <w:pStyle w:val="TextoNormal"/>
      </w:pPr>
      <w:r w:rsidRPr="0033382B">
        <w:rPr>
          <w:rStyle w:val="NumeroAFNegritaCaracter"/>
        </w:rPr>
        <w:t>5</w:t>
      </w:r>
      <w:r>
        <w:t>.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0033382B" w:rsidRDefault="0033382B" w:rsidP="0033382B">
      <w:pPr>
        <w:pStyle w:val="TextoNormal"/>
      </w:pPr>
    </w:p>
    <w:p w:rsidR="0033382B" w:rsidRDefault="0033382B" w:rsidP="0033382B">
      <w:pPr>
        <w:pStyle w:val="TextoNormal"/>
      </w:pPr>
      <w:r>
        <w:t>a) “cuestión distinta es el art. 25.2 b) del Real Decreto Legislativo 2/2008 …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0033382B" w:rsidRDefault="0033382B" w:rsidP="0033382B">
      <w:pPr>
        <w:pStyle w:val="TextoNormal"/>
      </w:pPr>
    </w:p>
    <w:p w:rsidR="0033382B" w:rsidRDefault="0033382B" w:rsidP="0033382B">
      <w:pPr>
        <w:pStyle w:val="TextoNormal"/>
      </w:pPr>
      <w:r>
        <w:t>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0033382B" w:rsidRDefault="0033382B" w:rsidP="0033382B">
      <w:pPr>
        <w:pStyle w:val="TextoNormal"/>
      </w:pPr>
    </w:p>
    <w:p w:rsidR="0033382B" w:rsidRDefault="0033382B" w:rsidP="0033382B">
      <w:pPr>
        <w:pStyle w:val="TextoNormal"/>
      </w:pPr>
      <w:r>
        <w:t>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0033382B" w:rsidRDefault="0033382B" w:rsidP="0033382B">
      <w:pPr>
        <w:pStyle w:val="TextoNormal"/>
      </w:pPr>
    </w:p>
    <w:p w:rsidR="0033382B" w:rsidRDefault="0033382B" w:rsidP="0033382B">
      <w:pPr>
        <w:pStyle w:val="TextoNormal"/>
      </w:pPr>
      <w:r>
        <w:t>d)“si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0033382B" w:rsidRDefault="0033382B" w:rsidP="0033382B">
      <w:pPr>
        <w:pStyle w:val="TextoNormal"/>
      </w:pPr>
    </w:p>
    <w:p w:rsidR="0033382B" w:rsidRDefault="0033382B" w:rsidP="0033382B">
      <w:pPr>
        <w:pStyle w:val="TextoNormal"/>
      </w:pPr>
      <w:r>
        <w:t>e)“este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0033382B" w:rsidRDefault="0033382B" w:rsidP="0033382B">
      <w:pPr>
        <w:pStyle w:val="TextoNormal"/>
      </w:pPr>
    </w:p>
    <w:p w:rsidR="0033382B" w:rsidRDefault="0033382B" w:rsidP="0033382B">
      <w:pPr>
        <w:pStyle w:val="TextoNormal"/>
      </w:pPr>
      <w:r>
        <w:t>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0033382B" w:rsidRDefault="0033382B" w:rsidP="0033382B">
      <w:pPr>
        <w:pStyle w:val="TextoNormal"/>
      </w:pPr>
    </w:p>
    <w:p w:rsidR="0033382B" w:rsidRDefault="0033382B" w:rsidP="0033382B">
      <w:pPr>
        <w:pStyle w:val="TextoNormal"/>
      </w:pPr>
      <w:r>
        <w:t>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dieciséis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65" w:name="AUTO_2016_38"/>
      <w:r>
        <w:t>AUTO 38/2016, de 16 de febrero de 2016</w:t>
      </w:r>
    </w:p>
    <w:bookmarkEnd w:id="165"/>
    <w:p w:rsidR="0033382B" w:rsidRDefault="0033382B" w:rsidP="0033382B">
      <w:pPr>
        <w:pStyle w:val="TtuloResolucin"/>
      </w:pPr>
      <w:r>
        <w:t>Pleno</w:t>
      </w:r>
    </w:p>
    <w:p w:rsidR="0033382B" w:rsidRDefault="0033382B" w:rsidP="0033382B">
      <w:pPr>
        <w:pStyle w:val="TextoNormalCentrado"/>
      </w:pPr>
      <w:r>
        <w:t>ECLI:ES:TC:2016:38A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632-2015, planteada por la Sala de lo Contencioso-Administrativo del Tribunal Superior de Justicia de Castilla-La Mancha en relación con varios preceptos del Real Decreto Legislativo 2/2008, de 20 de junio, por el que se aprueba el texto refundido de la Ley de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3 de febrero de 2015 tuvo entrada en el Registro General de este Tribunal un oficio de la Sección Segunda de la Sala de lo Contencioso-Administrativo del Tribunal Superior de Justicia de Castilla-La Mancha al que se acompaña, junto al testimonio del procedimiento ordinario núm. 115-2011, el Auto de 9 de enero de 2015, por el que se acuerda plantear cuestión de inconstitucionalidad respecto a los arts. 23, párrafos 1 a) y 2, y 25 del Real Decreto Legislativo 2/2008, de 20 de junio, por el que se aprueba el texto refundido de la Ley de suelo, en relación con su art. 12,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Las personas físicas propietarias de una finca afectada por el proyecto de expropiación derivado del “proyecto de singular interés Parque Industrial y Tecnológico de Illescas”, recurrieron en vía contencioso-administrativa la resolución del Jurado regional de valoraciones de la Junta de Comunidades de Castilla-La Mancha que fijó el justiprecio de la finca, que se encontraban en situación de rústica.</w:t>
      </w:r>
    </w:p>
    <w:p w:rsidR="0033382B" w:rsidRDefault="0033382B" w:rsidP="0033382B">
      <w:pPr>
        <w:pStyle w:val="TextoNormal"/>
      </w:pPr>
    </w:p>
    <w:p w:rsidR="0033382B" w:rsidRDefault="0033382B" w:rsidP="0033382B">
      <w:pPr>
        <w:pStyle w:val="TextoNormal"/>
      </w:pPr>
      <w:r>
        <w:t>b) Una vez concluso el procedimiento, y antes de dictar sentencia, la Sección Segunda de la Sala de lo Contencioso-Administrativo del Tribunal Superior de Justicia de Castilla-La Mancha dictó providencia de 25 de noviembre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así como el art. 14 CE en cuando que al resto de los propietarios se permite realizar su valor real.</w:t>
      </w:r>
    </w:p>
    <w:p w:rsidR="0033382B" w:rsidRDefault="0033382B" w:rsidP="0033382B">
      <w:pPr>
        <w:pStyle w:val="TextoNormal"/>
      </w:pPr>
    </w:p>
    <w:p w:rsidR="0033382B" w:rsidRDefault="0033382B" w:rsidP="0033382B">
      <w:pPr>
        <w:pStyle w:val="TextoNormal"/>
      </w:pPr>
      <w:r>
        <w:t>c) El Ministerio Fiscal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dicha representación entienda que “</w:t>
      </w:r>
      <w:r w:rsidRPr="0033382B">
        <w:rPr>
          <w:i/>
        </w:rPr>
        <w:t>prima facie</w:t>
      </w:r>
      <w:r>
        <w:t>,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0033382B" w:rsidRDefault="0033382B" w:rsidP="0033382B">
      <w:pPr>
        <w:pStyle w:val="TextoNormal"/>
      </w:pPr>
    </w:p>
    <w:p w:rsidR="0033382B" w:rsidRDefault="0033382B" w:rsidP="0033382B">
      <w:pPr>
        <w:pStyle w:val="TextoNormal"/>
      </w:pPr>
      <w:r>
        <w:t>El Letrado de la Administración de la Junta de Comunidades de Castilla-La Mancha se opuso al planteamiento de la cuestión por lo que hace a los arts. 23.1 y 23.2 del Real Decreto Legislativo 2/2008, con el argumento de que la STC 141/2014 los había declarado constitucionales.</w:t>
      </w:r>
    </w:p>
    <w:p w:rsidR="0033382B" w:rsidRDefault="0033382B" w:rsidP="0033382B">
      <w:pPr>
        <w:pStyle w:val="TextoNormal"/>
      </w:pPr>
    </w:p>
    <w:p w:rsidR="0033382B" w:rsidRDefault="0033382B" w:rsidP="0033382B">
      <w:pPr>
        <w:pStyle w:val="TextoNormal"/>
      </w:pPr>
      <w:r>
        <w:t>La representación del actor consideró pertinente el planteamiento de la cuestión de inconstitucionalidad.</w:t>
      </w:r>
    </w:p>
    <w:p w:rsidR="0033382B" w:rsidRDefault="0033382B" w:rsidP="0033382B">
      <w:pPr>
        <w:pStyle w:val="TextoNormal"/>
      </w:pPr>
    </w:p>
    <w:p w:rsidR="0033382B" w:rsidRDefault="0033382B" w:rsidP="0033382B">
      <w:pPr>
        <w:pStyle w:val="TextoNormal"/>
      </w:pPr>
      <w:r>
        <w:t>d) La Sección Segunda de la Sala de lo Contencioso-Administrativo del Tribunal Superior de Justicia de Castilla-La Mancha dictó Auto de 9 de enero de 2015, por el que se acuerda plantear cuestión de inconstitucionalidad respecto a los arts. 23, párrafos 1 a) y 2, y 25 del Real Decreto Legislativo 2/2008 en relación con su artículo 12,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analiza en primer lugar la causa de oposición de la Administración demandada. El órgano judicial entiende que la existencia de la STC 141/2014 no es razón para no plantear cuestión de inconstitucionalidad, porque la Sentencia solo da respuesta al problema desde la perspectiva abstracta del recurso de inconstitucionalidad, pero deja a salvo la presentación de cuestiones de inconstitucionalidad en supuestos concretos de aplicación de la Ley en los que pudiera derivarse un resultado injusto y desproporcionado; y porque la Sentencia se abstiene de examinar el art. 25 de la Ley, por considerar que no había sido impugnado. Dicho lo cual, advierte de que el Auto diferirá de los planteados con anterioridad en asuntos semejantes, antes de que se conociera la STC 141/2014, pues la argumentación se dirigirá a la posibilidad de que “la concreta aplicación de los criterios de valoración” lesione los derechos de los particulares demandantes, con aportación de “los necesarios elementos de juicio”.</w:t>
      </w:r>
    </w:p>
    <w:p w:rsidR="0033382B" w:rsidRDefault="0033382B" w:rsidP="0033382B">
      <w:pPr>
        <w:pStyle w:val="TextoNormal"/>
      </w:pPr>
    </w:p>
    <w:p w:rsidR="0033382B" w:rsidRDefault="0033382B" w:rsidP="0033382B">
      <w:pPr>
        <w:pStyle w:val="TextoNormal"/>
      </w:pPr>
      <w:r>
        <w:t>A continuación, tras referirse a los preceptos cuestionados, aborda los requisitos de procedibilidad. Expone que se ha dado traslado a las partes de la cuestión por providencia de 25 de noviembre de 2014, una vez conclusas las actuaciones. En cuanto al juicio de relevancia, señala lo siguiente: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0033382B" w:rsidRDefault="0033382B" w:rsidP="0033382B">
      <w:pPr>
        <w:pStyle w:val="TextoNormal"/>
      </w:pPr>
    </w:p>
    <w:p w:rsidR="0033382B" w:rsidRDefault="0033382B" w:rsidP="0033382B">
      <w:pPr>
        <w:pStyle w:val="TextoNormal"/>
      </w:pPr>
      <w:r>
        <w:t>Respecto de la inconstitucionalidad de los preceptos cuestionados, comenzando por el art. 23 del texto refundido, el órgano judicial recalca que, según la STC 141/2014 (FJ 9), el sistema de valoración por capitalización de rentas, modulado en atención a otros factores, es un sistema que incorpora criterios acordes con la idea de valor real o económico del bien y que “en principio y en abstracto” puede ofrecer un proporcional equilibrio entre el daño sufrido y la indemnización correspondiente, si bien el Tribunal Constitucional entendió que el límite máximo de la corrección del criterio general hasta el doble del valor obtenido por capitalización no se hallaba justificado y podía resultar inadecuado una valoración del bien ajustada a su valor real. No obstante, el Tribunal Constitucional señaló que todo ello se basaba en un examen abstracto y que a través del planteamiento de la cuestión de inconstitucionalidad se podían apreciar elementos que pusieran en evidencia la posible inconstitucionalidad de la norma. La Sala considera que, precisamente, el caso de autos ofrece los elementos precisos para apreciar la inconstitucionalidad de la Ley en su aplicación concreta. Esos elementos conducen a la convicción de la Sala de que es inapropiado valorar por capitalización de rentas agrícolas un bien que según el propio instrumento que motivaba la expropiación constituía una bolsa de suelo rústico rodeada de suelo urbanizado industrial y residencial y por esa razón se valoraba a 25 €/m2, mientras que el valor establecido por el Jurado Regional de Valoraciones ascendía a 2,0381 €/m2 (tras incrementar en un 75 por 100 el valor de capitalización de rentas, basado en la renta de un cultivo de labor de cereal de secano, que salía a 1,1646 €/m2). El órgano judicial reconoce que, tras la STC 141/2014, no habría obstáculo para incrementar el valor de capitalización en un factor de localización adecuado, sin límite alguno, y llegar hasta los 25 €/m2. Ahora bien, afirma, determinados pasajes de la Sentencia permiten hacer dudar de que el factor pueda ser aplicado también para determinar incrementos de valor derivados de las expectativas urbanísticas, en atención a lo que establece el art. 23.2 del texto refundido, precepto “incólume” en el examen abstracto que realiza el Tribunal Constitucional. A juicio de la Sala, el valor real de 25 € que recogía el proyecto de singular interés puede ser considerado un valor ajeno por completo a lo agrícola y derivado del concepto “expectativas urbanísticas”. Pues bien, si el artículo 23.2 supone un obstáculo para que a través del factor de localización se pueda alcanzar el valor de 25 €/m2 que el suelo vale según el propio expropiante, ello —a juicio de la Sala— demostraría su inconstitucionalidad.</w:t>
      </w:r>
    </w:p>
    <w:p w:rsidR="0033382B" w:rsidRDefault="0033382B" w:rsidP="0033382B">
      <w:pPr>
        <w:pStyle w:val="TextoNormal"/>
      </w:pPr>
    </w:p>
    <w:p w:rsidR="0033382B" w:rsidRDefault="0033382B" w:rsidP="0033382B">
      <w:pPr>
        <w:pStyle w:val="TextoNormal"/>
      </w:pPr>
      <w:r>
        <w:t>A continuación, expone los motivos del planteamiento de la cuestión en cuanto al art. 25 del texto refundido, en relación con el art. 12. La Sala aduce que en la situación de “suelo rural” contemplada por el artículo 12 se pueden incluir situaciones francamente diversas desde el punto de vista urbanístico, económico, jurídico y de mercado: suelos en entornos netamente rurales, suelos próximos a centros urbanos o polígonos industriales, suelos programados como urbanizables antes de que se inicie o finalice la urbanización, e incluso suelos clasificados como urbanos sin consolidar. El texto refundido iguala todas esas situaciones en la misma categoría y sistema de valoración, pero en los supuestos tercero y cuarto modula esa valoración mediante la regla del artículo 25. El Tribunal Constitucional ha declarado en la STC 141/2014 que la modulación del artículo 25 constituye un “complemento indemnizatorio importante”. Lo que falta por saber, señala el órgano judicial, es si es suficiente, atendiendo a las peculiares circunstancias del presente caso. Los demandantes defienden que, a la fecha en que hay que valorar el suelo, habían adquirido facultades urbanísticas sobre el mismo y, por ello, plantean la aplicación del art. 25 del texto refundido, frente al criterio de la Administración demandada. Pues bien, a juicio de la Sala, la aplicación combinada del artículo 23 con el artículo 25 no depara un resultado satisfactorio para valorar el suelo, lo que pone de manifiesto la inadecuación de tales preceptos desde el punto de vista de los arts. 33.3 y 14 CE.</w:t>
      </w:r>
    </w:p>
    <w:p w:rsidR="0033382B" w:rsidRDefault="0033382B" w:rsidP="0033382B">
      <w:pPr>
        <w:pStyle w:val="TextoNormal"/>
      </w:pPr>
    </w:p>
    <w:p w:rsidR="0033382B" w:rsidRDefault="0033382B" w:rsidP="0033382B">
      <w:pPr>
        <w:pStyle w:val="TextoNormal"/>
      </w:pPr>
      <w:r>
        <w:t>Si la regla del artículo 25 permitiera hallar un valor comparable al valor real del bien, no habría problema de constitucionalidad, pero no es esto lo que sucede. Un suelo urbanizable recibe, por el hecho de serlo, una consideración en el mercado que le dota de un valor superior aunque no esté urbanizado. En leyes anteriores la valoración de estos suelos se hacía mediante la aplicación de los valores de ponencias catastrales al aprovechamiento previsto, o mediante la aplicación del método residual, con deducción de los gastos de urbanización y de todas las cesiones legamente obligatorias (art. 26 de la Ley 6/1998, de 13 de abril, de régimen del suelo y valoraciones). El art. 25.2 a) del Real Decreto Legislativo 2/2008 no establece que al propietario al que se impida la urbanización del suelo urbanizable se le abonará el precio que por comparación pueda tener un suelo semejante en el entorno, ni tampoco el valor que como tal suelo urbanizable pueda derivar de las ponencias catastrales, ni tampoco la diferencia entre el suelo ya urbanizado y el no urbanizado, previa deducción de cesiones obligatorias y costos de urbanización; sino que se le indemniza con un porcentaje entre el 5 y el 15 por 100 del resultado de restar el valor que tendría el suelo una vez urbanizado del valor del suelo en su situación de origen. En cambio, el propietario de suelo urbanizable que no sea expropiado puede, previa realización de las cesiones obligatorias y ejecución de la urbanización correspondiente, con el consiguiente coste, hacerse con un suelo urbanizable que adquiere el correspondiente valor en el mercado. A este último respecto arguye la Sala lo siguiente: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 (no el 5 ni el 15 %) de la diferencia de valor entre un suelo y el otro, sin perjuicio de, naturalmente, descontar los costes y gastos de urbanización.”</w:t>
      </w:r>
    </w:p>
    <w:p w:rsidR="0033382B" w:rsidRDefault="0033382B" w:rsidP="0033382B">
      <w:pPr>
        <w:pStyle w:val="TextoNormal"/>
      </w:pPr>
    </w:p>
    <w:p w:rsidR="0033382B" w:rsidRDefault="0033382B" w:rsidP="0033382B">
      <w:pPr>
        <w:pStyle w:val="TextoNormal"/>
      </w:pPr>
      <w:r>
        <w:t>Finalmente, el Auto afirma que los preceptos también vulneran el art. 14 CE, en tanto que imponen al expropiado un sacrificio desproporcionado mientras que permiten al resto de titulares de terrenos la obtención de valores muy superiores, bien mediante la enajenación de los terrenos en el mercado, bien mediante el mantenimiento de tales terrenos en su patrimonio.</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 de diciembre de 2015, la Sección Tercera del Tribunal Constitucional acordó oír al Fiscal General del Estado para que, en el plazo de diez días, y a los efectos que determina el art. 37.1 de la Ley Orgánica del Tribunal Constitucional, alegase lo que considerase conveniente acerca de la admisibilidad de la cuestión, “en relación con la pérdida de objetivo de la cuestión de inconstitucionalidad respecto del art. 25.2 a) del del Real Decreto Legislativo 2/2008 y de su carácter notoriamente infundado (por efecto de lo resuelto en la STC 218/2015, de 22 de octubre) respecto a los otros preceptos cuestionados”.</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el 29 de enero de 2016. Señala que la cuestión de inconstitucionalidad debe ser resuelta siguiendo la dicción de los Autos del Tribunal Constitucional de 19 de enero de 2016, dictados entre otras en las cuestiones de inconstitucionalidad núms. 6246-2014, 7476-2014, 7569-2014 y 7766-2014, pues parten de los mismos presupuestos, tanto respecto de los preceptos cuestionados del Real Decreto Legislativo 2/2008 como de los preceptos constitucionales con los que, en su caso, entrarían en contradicción, arts. 14 y 33.3 CE. Tomando como referente el Auto dictado en la cuestión núm. 7766-2014, reproduce un largo fragmento de su fundamento jurídico 6.</w:t>
      </w:r>
    </w:p>
    <w:p w:rsidR="0033382B" w:rsidRDefault="0033382B" w:rsidP="0033382B">
      <w:pPr>
        <w:pStyle w:val="TextoNormal"/>
      </w:pPr>
    </w:p>
    <w:p w:rsidR="0033382B" w:rsidRDefault="0033382B" w:rsidP="0033382B">
      <w:pPr>
        <w:pStyle w:val="TextoNormal"/>
      </w:pPr>
      <w:r>
        <w:t>Por lo que respecta al cuestionamiento del art. 23 por posible vulneración del art. 14 CE, se remite a la STC 141/2014, FJ 9 B), y concluye que “en consecuencia, procede declarar la inadmisión de la presente cuestión de inconstitucionalidad por pérdida sobrevenida de objeto de la presente cuestión de inconstitucionalidad respecto de los arts. 23.1 a), en los términos de la STC 141/2014, y 25.2 a) del Real Decreto Legislativo 2/2008”, así como, sin más precisiones, “declarar manifiestamente infundada la presente cuestión de inconstitucionalidad respecto de los arts. 12, 23.2 y 25.1 del Real Decreto Legislativo 2/2008”.</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Sección Segunda de la Sala de lo Contencioso-Administrativo del Tribunal Superior de Justicia de Castilla-La Mancha, respecto de los arts. 23, párrafos 1 a) y 2, y 25 del Real Decreto Legislativo 2/2008, de 20 de junio, por el que se aprueba el texto refundido de la Ley de suelo, en relación con su art. 12, por la posible vulneración de los arts. 14 y 33.3 CE.</w:t>
      </w:r>
    </w:p>
    <w:p w:rsidR="0033382B" w:rsidRDefault="0033382B" w:rsidP="0033382B">
      <w:pPr>
        <w:pStyle w:val="TextoNormal"/>
      </w:pPr>
    </w:p>
    <w:p w:rsidR="0033382B" w:rsidRDefault="0033382B" w:rsidP="0033382B">
      <w:pPr>
        <w:pStyle w:val="TextoNormal"/>
      </w:pPr>
      <w:r>
        <w:t xml:space="preserve">La Sala considera que el art. 23.1 a) del Real Decreto Legislativo 2/2008 establece un método de valoración para el suelo en situación básica de rural </w:t>
      </w:r>
      <w:r w:rsidRPr="0033382B">
        <w:rPr>
          <w:i/>
        </w:rPr>
        <w:t>ex</w:t>
      </w:r>
      <w:r>
        <w:t xml:space="preserve">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0033382B" w:rsidRDefault="0033382B" w:rsidP="0033382B">
      <w:pPr>
        <w:pStyle w:val="TextoNormal"/>
      </w:pPr>
    </w:p>
    <w:p w:rsidR="0033382B" w:rsidRDefault="0033382B" w:rsidP="0033382B">
      <w:pPr>
        <w:pStyle w:val="TextoNormal"/>
      </w:pPr>
      <w:r>
        <w:t>La Fiscal General del Estado, en el trámite previsto en el art. 37.1 de la Ley Orgánica del Tribunal Constitucional (LOTC), alega, en primer lugar, que la cuestión de inconstitucionalidad debe ser resuelta siguiendo la dicción de los Autos del Tribunal Constitucional de 19 de enero de 2016, dictados entre otras en las cuestiones de inconstitucionalidad 6246-2014, 7476-2014, 7569-2014 y 7766-2014; en segundo lugar, la pérdida sobrevenida de objeto de la presente cuestión de inconstitucionalidad respecto de los arts. 23.1 a) (en los términos de la STC 141/2014) y 25.2 a) del Real Decreto Legislativo 2/2008; y, por último, el carácter notoriamente infundado de la duda de inconstitucionalidad respecto de los arts. 12, 23.2 y 25.1 del Real Decreto Legislativo 2/2008.</w:t>
      </w:r>
    </w:p>
    <w:p w:rsidR="0033382B" w:rsidRDefault="0033382B" w:rsidP="0033382B">
      <w:pPr>
        <w:pStyle w:val="TextoNormal"/>
      </w:pPr>
    </w:p>
    <w:p w:rsidR="0033382B" w:rsidRDefault="0033382B" w:rsidP="0033382B">
      <w:pPr>
        <w:pStyle w:val="TextoNormal"/>
      </w:pPr>
      <w:r w:rsidRPr="0033382B">
        <w:rPr>
          <w:rStyle w:val="NumeroAFNegritaCaracter"/>
        </w:rPr>
        <w:t>2</w:t>
      </w:r>
      <w:r>
        <w:t>.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33382B" w:rsidRDefault="0033382B" w:rsidP="0033382B">
      <w:pPr>
        <w:pStyle w:val="TextoNormal"/>
      </w:pPr>
    </w:p>
    <w:p w:rsidR="0033382B" w:rsidRDefault="0033382B" w:rsidP="0033382B">
      <w:pPr>
        <w:pStyle w:val="TextoNormal"/>
      </w:pPr>
      <w:r w:rsidRPr="0033382B">
        <w:rPr>
          <w:rStyle w:val="NumeroAFNegritaCaracter"/>
        </w:rPr>
        <w:t>4</w:t>
      </w:r>
      <w:r>
        <w:t>.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0033382B" w:rsidRDefault="0033382B" w:rsidP="0033382B">
      <w:pPr>
        <w:pStyle w:val="TextoNormal"/>
      </w:pPr>
    </w:p>
    <w:p w:rsidR="0033382B" w:rsidRDefault="0033382B" w:rsidP="0033382B">
      <w:pPr>
        <w:pStyle w:val="TextoNormal"/>
      </w:pPr>
      <w:r>
        <w:t>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0033382B" w:rsidRDefault="0033382B" w:rsidP="0033382B">
      <w:pPr>
        <w:pStyle w:val="TextoNormal"/>
      </w:pPr>
    </w:p>
    <w:p w:rsidR="0033382B" w:rsidRDefault="0033382B" w:rsidP="0033382B">
      <w:pPr>
        <w:pStyle w:val="TextoNormal"/>
      </w:pPr>
      <w:r w:rsidRPr="0033382B">
        <w:rPr>
          <w:rStyle w:val="NumeroAFNegritaCaracter"/>
        </w:rPr>
        <w:t>5</w:t>
      </w:r>
      <w:r>
        <w:t>.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0033382B" w:rsidRDefault="0033382B" w:rsidP="0033382B">
      <w:pPr>
        <w:pStyle w:val="TextoNormal"/>
      </w:pPr>
    </w:p>
    <w:p w:rsidR="0033382B" w:rsidRDefault="0033382B" w:rsidP="0033382B">
      <w:pPr>
        <w:pStyle w:val="TextoNormal"/>
      </w:pPr>
      <w:r>
        <w:t>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0033382B" w:rsidRDefault="0033382B" w:rsidP="0033382B">
      <w:pPr>
        <w:pStyle w:val="TextoNormal"/>
      </w:pPr>
    </w:p>
    <w:p w:rsidR="0033382B" w:rsidRDefault="0033382B" w:rsidP="0033382B">
      <w:pPr>
        <w:pStyle w:val="TextoNormal"/>
      </w:pPr>
      <w:r>
        <w:t>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0033382B" w:rsidRDefault="0033382B" w:rsidP="0033382B">
      <w:pPr>
        <w:pStyle w:val="TextoNormal"/>
      </w:pPr>
    </w:p>
    <w:p w:rsidR="0033382B" w:rsidRDefault="0033382B" w:rsidP="0033382B">
      <w:pPr>
        <w:pStyle w:val="TextoNormal"/>
      </w:pPr>
      <w:r>
        <w:t>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0033382B" w:rsidRDefault="0033382B" w:rsidP="0033382B">
      <w:pPr>
        <w:pStyle w:val="TextoNormal"/>
      </w:pPr>
    </w:p>
    <w:p w:rsidR="0033382B" w:rsidRDefault="0033382B" w:rsidP="0033382B">
      <w:pPr>
        <w:pStyle w:val="TextoNormal"/>
      </w:pPr>
      <w:r>
        <w:t>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0033382B" w:rsidRDefault="0033382B" w:rsidP="0033382B">
      <w:pPr>
        <w:pStyle w:val="TextoNormal"/>
      </w:pPr>
    </w:p>
    <w:p w:rsidR="0033382B" w:rsidRDefault="0033382B" w:rsidP="0033382B">
      <w:pPr>
        <w:pStyle w:val="TextoNormal"/>
      </w:pPr>
      <w:r>
        <w:t>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0033382B" w:rsidRDefault="0033382B" w:rsidP="0033382B">
      <w:pPr>
        <w:pStyle w:val="TextoNormal"/>
      </w:pPr>
    </w:p>
    <w:p w:rsidR="0033382B" w:rsidRDefault="0033382B" w:rsidP="0033382B">
      <w:pPr>
        <w:pStyle w:val="TextoNormal"/>
      </w:pPr>
      <w:r>
        <w:t>Las circunstancias que caracterizan a la presente cuestión de inconstitucionalidad son sustancialmente iguales a las que subyacen a la que fue resuelta por la STC 218/2015, de 22 de octubre. En efecto, la materia litigiosa es la valoración expropiatoria de parcelas en idéntica situación valorativa según el art. 12 del Real Decreto Legislativo 2/2008, que han sido afectadas por el “proyecto de singular interés Parque Industrial y Tecnológico de Illescas”; los preceptos cuestionados son los arts. 23, párrafos 1 a) y 2, 12 y 25 del Real Decreto Legislativo 2/2008; y las disposiciones constitucionales que se consideran infringidas son los arts. 14 y 33.3 CE.</w:t>
      </w:r>
    </w:p>
    <w:p w:rsidR="0033382B" w:rsidRDefault="0033382B" w:rsidP="0033382B">
      <w:pPr>
        <w:pStyle w:val="TextoNormal"/>
      </w:pPr>
    </w:p>
    <w:p w:rsidR="0033382B" w:rsidRDefault="0033382B" w:rsidP="0033382B">
      <w:pPr>
        <w:pStyle w:val="TextoNormal"/>
      </w:pPr>
      <w:r>
        <w:t>Estas identidades conllevan que los argumentos indicados, en virtud de los cuales la STC 218/2015 desestimó la cuestión allí planteada, sean plenamente trasladables a la presente cuestión de inconstitucionalidad y, en consecuencia, determinen que esta cuestión, en cuanto a las dudas de constitucionalidad referidas a los preceptos legales impugnados no declarados nulos, deba ser inadmitida por ser notoriamente infundada.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dieciséis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66" w:name="AUTO_2016_39"/>
      <w:r>
        <w:t>AUTO 39/2016, de 16 de febrero de 2016</w:t>
      </w:r>
    </w:p>
    <w:bookmarkEnd w:id="166"/>
    <w:p w:rsidR="0033382B" w:rsidRDefault="0033382B" w:rsidP="0033382B">
      <w:pPr>
        <w:pStyle w:val="TtuloResolucin"/>
      </w:pPr>
      <w:r>
        <w:t>Pleno</w:t>
      </w:r>
    </w:p>
    <w:p w:rsidR="0033382B" w:rsidRDefault="0033382B" w:rsidP="0033382B">
      <w:pPr>
        <w:pStyle w:val="TextoNormalCentrado"/>
      </w:pPr>
      <w:r>
        <w:t>ECLI:ES:TC:2016:39A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2579-2015, planteada por la Sala de lo Contencioso-Administrativo del Tribunal Superior de Justicia de Andalucía en relación con el artículo 17.8 de la Ley 17/2012, de 27 de diciembre, de presupuestos generales del Estado para 2013.</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6 de junio de 2015 tuvo entrada en el Registro General de este Tribunal escrito del Tribunal Superior de Justicia de Andalucía, Sala de lo Contencioso-Administrativo (Sección Tercera), con sede en Sevilla, al que se acompaña, además del testimonio del procedimiento tramitado con el núm. 120-2013, el Auto de 24 de marzo de 2015 por el que se plantea cuestión de inconstitucionalidad en relación con el art. 17.8 de la Ley 17/2012, de 27 de diciembre, de presupuestos generales del Estado para 2013.</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La mercantil Safes interpuso recurso contencioso-administrativo contra la Orden de la Consejería de Educación de la Junta de Andalucía de 27 de febrero de 2013, por la que se acuerda denegar el concierto educativo al centro docente privado “Altair”, dejando por tanto de ser un centro concertado, por no comprometerse a escolarizar alumnado de ambos sexos. Alega la demanda, entre otras razones, que dicha Orden vulnera lo dispuesto en el art. 17.8 de la Ley 17/2012, de 27 de diciembre, de presupuestos generales del Estado para 2013, precepto que constituye el objeto de esta cuestión de inconstitucionalidad.</w:t>
      </w:r>
    </w:p>
    <w:p w:rsidR="0033382B" w:rsidRDefault="0033382B" w:rsidP="0033382B">
      <w:pPr>
        <w:pStyle w:val="TextoNormal"/>
      </w:pPr>
    </w:p>
    <w:p w:rsidR="0033382B" w:rsidRDefault="0033382B" w:rsidP="0033382B">
      <w:pPr>
        <w:pStyle w:val="TextoNormal"/>
      </w:pPr>
      <w:r>
        <w:t>b) Conclusas las actuaciones y dentro del plazo para dictar sentencia, por providencia de 12 de diciembre de 2014 se dio traslado a las partes y al Ministerio Fiscal para que formularan alegaciones en torno a la pertinencia de plantear cuestión de inconstitucionalidad sobre el citado artículo 17.8 por la posible vulneración de la reserva de ley orgánica (art. 81.1 CE).</w:t>
      </w:r>
    </w:p>
    <w:p w:rsidR="0033382B" w:rsidRDefault="0033382B" w:rsidP="0033382B">
      <w:pPr>
        <w:pStyle w:val="TextoNormal"/>
      </w:pPr>
    </w:p>
    <w:p w:rsidR="0033382B" w:rsidRDefault="0033382B" w:rsidP="0033382B">
      <w:pPr>
        <w:pStyle w:val="TextoNormal"/>
      </w:pPr>
      <w:r>
        <w:t>c) En sus alegaciones, la parte demandante no se opuso al planteamiento de la cuestión, a pesar de que entender que el art. 17.8 de la Ley 27/2012, de 27 de diciembre, no adolecía de defecto alguno de constitucionalidad, en tanto que el representante procesal de la Junta de Andalucía y el Ministerio Fiscal manifestaron la procedencia de su planteamiento.</w:t>
      </w:r>
    </w:p>
    <w:p w:rsidR="0033382B" w:rsidRDefault="0033382B" w:rsidP="0033382B">
      <w:pPr>
        <w:pStyle w:val="TextoNormal"/>
      </w:pPr>
    </w:p>
    <w:p w:rsidR="0033382B" w:rsidRDefault="0033382B" w:rsidP="0033382B">
      <w:pPr>
        <w:pStyle w:val="TextoNormal"/>
      </w:pPr>
      <w:r>
        <w:t>d) Mediante Auto de 24 de marzo de 2015, el órgano judicial acuerda plantear cuestión de inconstitucionalidad en relación con el art. 17.8 de la Ley 17/2012, de 27 de diciembre, de presupuestos generales del Estado para 2013, por posible vulneración de los arts. 81.1 y 134.2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de esta cuestión de inconstitucionalidad razona que, tras la entrada en vigor de la Ley Orgánica 2/2006, de 3 de mayo, de educación (LOE), resultaba conforme a derecho, de acuerdo con la jurisprudencia del Tribunal Supremo, que la Administración rechazase celebrar conciertos educativos con centros docentes privados que no escolarizan alumnos de ambos sexos, en atención a lo establecido en su artículo 84. No obstante, el estado de la cuestión ha cambiado tras la aprobación de la Ley 17/2012, pues la regla es la contraria: su artículo 17, relativo al módulo económico de distribución de fondos públicos para sostenimiento de centros concertados, estableció en su apartado 8 que lo en él establecido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El precepto cuestionado habría sido vulnerado por el acto administrativo recurrido, siendo incuestionable que de su validez depende el fallo.</w:t>
      </w:r>
    </w:p>
    <w:p w:rsidR="0033382B" w:rsidRDefault="0033382B" w:rsidP="0033382B">
      <w:pPr>
        <w:pStyle w:val="TextoNormal"/>
      </w:pPr>
    </w:p>
    <w:p w:rsidR="0033382B" w:rsidRDefault="0033382B" w:rsidP="0033382B">
      <w:pPr>
        <w:pStyle w:val="TextoNormal"/>
      </w:pPr>
      <w:r>
        <w:t>El órgano judicial plantea dos dudas acerca de la constitucionalidad del art. 17.8 de la Ley 17/2012: de una parte, la posible vulneración del art. 81.1 CE, que reserva a la ley orgánica la regulación de los aspectos esenciales de un derecho fundamental, teniendo en cuenta que, antes de la Ley 17/2012, esta cuestión estaba regulada en la Ley Orgánica 2/2006, de 3 de mayo, de educación; de otra parte, la posible vulneración del art. 134.2 CE, por desbordar los límites constitucionales de la ley de presupuestos, según la doctrina constitucional (STC 76/1992, de 14 de mayo), que distingue entre el contenido necesario y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y es dudoso que, aun cuando pueda tener una relación directa con los ingresos o gastos del Estado, sea complemento necesario para su mejor inteligencia.</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 de diciembre de 2015, la Sección Tercera del Tribunal Constitucional, a los efectos determinados por el art. 37.1 de la Ley Orgánica del Tribunal Constitucional (LOTC), acordó oír al Fiscal General del Estado para que, en el plazo de diez días, alegara acerca de la admisibilidad de esta cuestión de inconstitucionalidad, en relación con el cumplimiento de los requisitos procesales (art. 35.2 LOTC) y por si hubiese devenido notoriamente infundada (STC 234/2015, de 5 de noviembre).</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escrito presentado con fecha 15 de enero de 2015, el Fiscal General del Estado solicita la inadmisión de la cuestión, en atención a las razones que se sintetizan a continuación:</w:t>
      </w:r>
    </w:p>
    <w:p w:rsidR="0033382B" w:rsidRDefault="0033382B" w:rsidP="0033382B">
      <w:pPr>
        <w:pStyle w:val="TextoNormal"/>
      </w:pPr>
    </w:p>
    <w:p w:rsidR="0033382B" w:rsidRDefault="0033382B" w:rsidP="0033382B">
      <w:pPr>
        <w:pStyle w:val="TextoNormal"/>
      </w:pPr>
      <w:r>
        <w:t>a) En primer lugar, a la vista de lo establecido en la STC 234/2015, de 5 de noviembre, FJ 2, señala que el órgano promotor no ha formulado adecuadamente los denominados juicios de aplicabilidad y relevancia, porque no ha tenido en cuenta lo establecido en la disposición transitoria segunda de la Ley Orgánica 8/2013, de 9 de diciembre, para la mejora de la calidad educativa (LOMCE), en relación con la aplicación temporal del art. 84.3 LOE, en la redacción dada por el apartado sesenta y uno del artículo único de la LOMCE. Dado el tenor literal de tales preceptos, es claro que éstos pudieran ser directamente aplicables al supuesto que la Sala ha de examinar, al hallarse vigente la LOMCE en la fecha del Auto de planteamiento de la cuestión de inconstitucionalidad, pese a lo cual el órgano judicial no ha hecho referencia alguna a ese precepto, ni para completar su argumentación, ni para establecer las razones por las que, en su caso, lo ha considerado inaplicable.</w:t>
      </w:r>
    </w:p>
    <w:p w:rsidR="0033382B" w:rsidRDefault="0033382B" w:rsidP="0033382B">
      <w:pPr>
        <w:pStyle w:val="TextoNormal"/>
      </w:pPr>
    </w:p>
    <w:p w:rsidR="0033382B" w:rsidRDefault="0033382B" w:rsidP="0033382B">
      <w:pPr>
        <w:pStyle w:val="TextoNormal"/>
      </w:pPr>
      <w:r>
        <w:t xml:space="preserve">Así las cosas, pudiera suceder que un pronunciamiento del Tribunal Constitucional sobre el art. 17.8 de la Ley 17/2012 pudiera no ser necesario para resolver el caso de autos, con lo que el juicio de constitucionalidad podría quedar desconectado de su aplicación al proceso </w:t>
      </w:r>
      <w:r w:rsidRPr="0033382B">
        <w:rPr>
          <w:i/>
        </w:rPr>
        <w:t>a quo</w:t>
      </w:r>
      <w:r>
        <w:t>, si el órgano judicial optara por aplicar la disposición transitoria segunda de la LOMCE una vez resuelta la cuestión.</w:t>
      </w:r>
    </w:p>
    <w:p w:rsidR="0033382B" w:rsidRDefault="0033382B" w:rsidP="0033382B">
      <w:pPr>
        <w:pStyle w:val="TextoNormal"/>
      </w:pPr>
    </w:p>
    <w:p w:rsidR="0033382B" w:rsidRDefault="0033382B" w:rsidP="0033382B">
      <w:pPr>
        <w:pStyle w:val="TextoNormal"/>
      </w:pPr>
      <w:r>
        <w:t>b) En segundo lugar, afirma que no se produciría la contradicción entre el art. 17.8 de la Ley 17/2012 y el art. 84.3 LOE en la redacción anterior a su modificación por la LOMCE, que para el órgano judicial funda la duda de constitucionalidad, si se entendiera, como hace la STC 234/2015, FJ 2, que las normas aplicables al caso son el precepto cuestionado y la nueva redacción de dicho art. 84.3 LOE, que resultaría aplicable conforme a la disposición transitoria segunda de la LOMCE. Del tenor de estos preceptos se deduce que la cuestión de inconstitucionalidad sería notoriamente infundada, por lo que también por este motivo procedería su inadmisión.</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Sala de lo Contencioso-Administrativo del Tribunal Superior de Justicia de Andalucía, con sede en Sevilla, plantea cuestión de inconstitucionalidad en relación con el art. 17.8 de la Ley 17/2012, de 27 de diciembre, de presupuestos generales del Estado para el año 2013. Entiende el órgano judicial que el citado precepto puede vulnerar tanto la reserva de ley orgánica establecida en el art. 81.1 CE como los límites materiales de las leyes de presupuestos, que derivan del art. 134.2 CE.</w:t>
      </w:r>
    </w:p>
    <w:p w:rsidR="0033382B" w:rsidRDefault="0033382B" w:rsidP="0033382B">
      <w:pPr>
        <w:pStyle w:val="TextoNormal"/>
      </w:pPr>
    </w:p>
    <w:p w:rsidR="0033382B" w:rsidRDefault="0033382B" w:rsidP="0033382B">
      <w:pPr>
        <w:pStyle w:val="TextoNormal"/>
      </w:pPr>
      <w:r>
        <w:t>El Fiscal General del Estado solicita la inadmisión de esta cuestión, por las razones que han quedado detalladas en los antecedentes de esta resolución.</w:t>
      </w:r>
    </w:p>
    <w:p w:rsidR="0033382B" w:rsidRDefault="0033382B" w:rsidP="0033382B">
      <w:pPr>
        <w:pStyle w:val="TextoNormal"/>
      </w:pPr>
    </w:p>
    <w:p w:rsidR="0033382B" w:rsidRDefault="0033382B" w:rsidP="0033382B">
      <w:pPr>
        <w:pStyle w:val="TextoNormal"/>
      </w:pPr>
      <w:r w:rsidRPr="0033382B">
        <w:rPr>
          <w:rStyle w:val="NumeroAFNegritaCaracter"/>
        </w:rPr>
        <w:t>2</w:t>
      </w:r>
      <w:r>
        <w:t>. Conforme a lo dispuesto en el art. 37.1 de la Ley Orgánica del Tribunal Constitucional (LOTC), este Tribunal puede rechazar en trámite de admisión, mediante Auto y con la sola audiencia del Fiscal General del Estado, aquellas cuestiones de inconstitucionalidad en las que faltaren los necesarios requisitos procesales o que fueren notoriamente infundadas.</w:t>
      </w:r>
    </w:p>
    <w:p w:rsidR="0033382B" w:rsidRDefault="0033382B" w:rsidP="0033382B">
      <w:pPr>
        <w:pStyle w:val="TextoNormal"/>
      </w:pPr>
    </w:p>
    <w:p w:rsidR="0033382B" w:rsidRDefault="0033382B" w:rsidP="0033382B">
      <w:pPr>
        <w:pStyle w:val="TextoNormal"/>
      </w:pPr>
      <w:r>
        <w:t>Estamos ante una cuestión sustancialmente idéntica a la que ha sido objeto de la reciente STC 234/2015, de 5 de noviembre, en la que este Tribunal ha decidido inadmitir una cuestión de inconstitucionalidad promovida en relación con el art. 17.8 de la Ley 17/2012 por el mismo órgano judicial, por apreciar la posible vulneración de los mismos preceptos constitucionales. Procede en consecuencia dar por reproducido lo razonado en el fundamento jurídico 2 de dicha Sentencia, para concluir que tampoco en este caso han quedado adecuadamente formulados los juicios de aplicabilidad y relevancia: siendo “indiscutible que el precepto cuestionado es aplicable para la resolución del pleito sometido a la consideración del órgano judicial … podría no ser el único relevante a la vista de lo regulado por la disposición transitoria segunda de la Ley Orgánica para la mejora de la calidad educativa en relación con el art. 84.3 de la Ley Orgánica de educación,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dieciséis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67" w:name="AUTO_2016_40"/>
      <w:r>
        <w:t>AUTO 40/2016, de 16 de febrero de 2016</w:t>
      </w:r>
    </w:p>
    <w:bookmarkEnd w:id="167"/>
    <w:p w:rsidR="0033382B" w:rsidRDefault="0033382B" w:rsidP="0033382B">
      <w:pPr>
        <w:pStyle w:val="TtuloResolucin"/>
      </w:pPr>
      <w:r>
        <w:t>Pleno</w:t>
      </w:r>
    </w:p>
    <w:p w:rsidR="0033382B" w:rsidRDefault="0033382B" w:rsidP="0033382B">
      <w:pPr>
        <w:pStyle w:val="TextoNormalCentrado"/>
      </w:pPr>
      <w:r>
        <w:t>ECLI:ES:TC:2016:40A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2580-2015, planteada por la Sala de lo Contencioso-Administrativo del Tribunal Superior de Justicia de Andalucía en relación con el artículo 17.8 de la Ley 17/2012, de 27 de diciembre, de presupuestos generales del Estado para 2013.</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6 de mayo de 2015 tuvo entrada en el Registro General de este Tribunal escrito del Tribunal Superior de Justicia de Andalucía, Sala de lo Contencioso-Administrativo (Sección Tercera), con sede en Sevilla, al que se acompaña, además del testimonio del procedimiento tramitado con el núm. 172-2013, el Auto de 24 de marzo de 2015 por el que se plantea cuestión de inconstitucionalidad en relación con el art. 17.8 de la Ley 17/2012, de 27 de diciembre, de presupuestos generales del Estado para el año 2013.</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La Asociación de Madres y Padres de Alumnos del colegio Albaydar interpuso recurso contencioso-administrativo contra la Orden de 27 de febrero de 2013, de la Consejería de Educación de la Junta de Andalucía, por la que se resuelve la solicitud de renovación del concierto educativo con el centro docente privado concertado “Albaydar” de Sevilla, a partir del curso académico 2013-2014.</w:t>
      </w:r>
    </w:p>
    <w:p w:rsidR="0033382B" w:rsidRDefault="0033382B" w:rsidP="0033382B">
      <w:pPr>
        <w:pStyle w:val="TextoNormal"/>
      </w:pPr>
    </w:p>
    <w:p w:rsidR="0033382B" w:rsidRDefault="0033382B" w:rsidP="0033382B">
      <w:pPr>
        <w:pStyle w:val="TextoNormal"/>
      </w:pPr>
      <w:r>
        <w:t>b) Conclusas las actuaciones y dentro del plazo para dictar sentencia, por providencia de 24 de febrero de 2015, se dio traslado a las partes y al Ministerio Fiscal para que formularan alegaciones en torno a la pertinencia de plantear cuestión de inconstitucionalidad sobre el citado art. 17.8 de la Ley 17/2012, por si fuera contrario a los arts. 81.1 y 134.2 CE.</w:t>
      </w:r>
    </w:p>
    <w:p w:rsidR="0033382B" w:rsidRDefault="0033382B" w:rsidP="0033382B">
      <w:pPr>
        <w:pStyle w:val="TextoNormal"/>
      </w:pPr>
    </w:p>
    <w:p w:rsidR="0033382B" w:rsidRDefault="0033382B" w:rsidP="0033382B">
      <w:pPr>
        <w:pStyle w:val="TextoNormal"/>
      </w:pPr>
      <w:r>
        <w:t>c) En sus alegaciones, la parte demandante se mostró en contra del planteamiento de la cuestión de inconstitucionalidad, en tanto que el representante procesal de la Junta de Andalucía manifestó la procedencia de su planteamiento. El Ministerio Fiscal no formuló alegaciones en el trámite conferido.</w:t>
      </w:r>
    </w:p>
    <w:p w:rsidR="0033382B" w:rsidRDefault="0033382B" w:rsidP="0033382B">
      <w:pPr>
        <w:pStyle w:val="TextoNormal"/>
      </w:pPr>
    </w:p>
    <w:p w:rsidR="0033382B" w:rsidRDefault="0033382B" w:rsidP="0033382B">
      <w:pPr>
        <w:pStyle w:val="TextoNormal"/>
      </w:pPr>
      <w:r>
        <w:t>d) Mediante Auto de 24 de marzo de 2015, el órgano judicial acuerda plantear cuestión de inconstitucionalidad en relación con el art. 17.8 de la Ley 17/2012, de 27 de diciembre, de presupuestos generales del Estado para 2013.</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de esta cuestión de inconstitucionalidad razona que, tras la entrada en vigor de la Ley Orgánica 2/2006, de 3 de mayo, de educación (LOE), resultaba conforme a derecho, de acuerdo con la jurisprudencia del Tribunal Supremo, que la Administración rechazase celebrar conciertos educativos con centros docentes privados que no escolarizan alumnos de ambos sexos, en atención a lo establecido en su artículo 84. Tras la aprobación de la Ley 17/2012, la regla es la contraria: su artículo 17, relativo al módulo económico de distribución de fondos públicos para sostenimiento de centros concertados, estableció en su apartado 8 que lo en él establecido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El precepto cuestionado habría sido vulnerado por el acto administrativo recurrido, siendo incuestionable que de su validez depende el fallo.</w:t>
      </w:r>
    </w:p>
    <w:p w:rsidR="0033382B" w:rsidRDefault="0033382B" w:rsidP="0033382B">
      <w:pPr>
        <w:pStyle w:val="TextoNormal"/>
      </w:pPr>
    </w:p>
    <w:p w:rsidR="0033382B" w:rsidRDefault="0033382B" w:rsidP="0033382B">
      <w:pPr>
        <w:pStyle w:val="TextoNormal"/>
      </w:pPr>
      <w:r>
        <w:t>El órgano judicial plantea dos dudas acerca de la constitucionalidad del art. 17.8 de la Ley 17/2012: de una parte, la posible vulneración del art. 81.1 CE, que reserva a la ley orgánica la regulación de los aspectos esenciales de un derecho fundamental, teniendo en cuenta que, antes de la Ley 17/2012, esta cuestión estaba regulada en la Ley Orgánica de educación; de otra, la posible vulneración del art. 134.2 CE, por desbordar los límites constitucionales de la ley de presupuestos, según la doctrina constitucional (STC 76/1992, de 14 de mayo), que distingue entre el contenido necesario y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y es dudoso que, aun cuando pueda tener una relación directa con los ingresos o gastos del Estado, sea complemento necesario para su mejor inteligencia.</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 de diciembre de 2015, la Sección Cuarta, a los efectos determinados por el art. 37.1 de la Ley Orgánica del Tribunal Constitucional (LOTC), acordó oír al Fiscal General del Estado para que, en el plazo de diez días, alegara acerca de la admisibilidad de esta cuestión de inconstitucionalidad, en relación con el cumplimiento de los requisitos procesales (art. 35.2 LOTC) y por si hubiese devenido notoriamente infundada (STC 234/2015, de 5 de noviembre).</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escrito presentado con fecha 15 de enero de 2016, la Fiscal General del Estado solicita la inadmisión de la cuestión, en atención a las razones que se sintetizan a continuación.</w:t>
      </w:r>
    </w:p>
    <w:p w:rsidR="0033382B" w:rsidRDefault="0033382B" w:rsidP="0033382B">
      <w:pPr>
        <w:pStyle w:val="TextoNormal"/>
      </w:pPr>
    </w:p>
    <w:p w:rsidR="0033382B" w:rsidRDefault="0033382B" w:rsidP="0033382B">
      <w:pPr>
        <w:pStyle w:val="TextoNormal"/>
      </w:pPr>
      <w:r>
        <w:t>a) A la vista de lo establecido en la STC 234/2015, de 5 de noviembre, FJ 2, el órgano promotor no ha formulado adecuadamente los denominados juicios de aplicabilidad y relevancia, porque no ha tenido en cuenta lo establecido en la disposición transitoria segunda de la Ley Orgánica 8/2013, de 9 de diciembre, para la mejora de la calidad educativa (LOMCE), en relación con la aplicación temporal del art. 84.3 LOE, en la redacción dada por el apartado 61 del artículo único LOMCE. Dado el tenor literal de tales preceptos, es claro que éstos pudieran ser directamente aplicables al supuesto que la Sala ha de examinar, al hallarse vigente la LOMCE en la fecha del Auto de planteamiento de la cuestión de inconstitucionalidad, pese a lo cual el órgano judicial no ha hecho referencia alguna a ese precepto, ni para completar su argumentación, ni para establecer las razones por las que, en su caso, lo ha considerado inaplicable.</w:t>
      </w:r>
    </w:p>
    <w:p w:rsidR="0033382B" w:rsidRDefault="0033382B" w:rsidP="0033382B">
      <w:pPr>
        <w:pStyle w:val="TextoNormal"/>
      </w:pPr>
    </w:p>
    <w:p w:rsidR="0033382B" w:rsidRDefault="0033382B" w:rsidP="0033382B">
      <w:pPr>
        <w:pStyle w:val="TextoNormal"/>
      </w:pPr>
      <w:r>
        <w:t xml:space="preserve">Así las cosas, pudiera suceder que un pronunciamiento del Tribunal Constitucional sobre el art. 17.8 de la Ley 17/2012 pudiera no ser necesario para resolver el caso de autos, con lo que el juicio de constitucionalidad podría quedar desconectado de su aplicación al proceso </w:t>
      </w:r>
      <w:r w:rsidRPr="0033382B">
        <w:rPr>
          <w:i/>
        </w:rPr>
        <w:t>a quo</w:t>
      </w:r>
      <w:r>
        <w:t>, si el órgano judicial optara por aplicar la disposición transitoria segunda LOMCE una vez resuelta la cuestión.</w:t>
      </w:r>
    </w:p>
    <w:p w:rsidR="0033382B" w:rsidRDefault="0033382B" w:rsidP="0033382B">
      <w:pPr>
        <w:pStyle w:val="TextoNormal"/>
      </w:pPr>
    </w:p>
    <w:p w:rsidR="0033382B" w:rsidRDefault="0033382B" w:rsidP="0033382B">
      <w:pPr>
        <w:pStyle w:val="TextoNormal"/>
      </w:pPr>
      <w:r>
        <w:t>b) La contradicción entre el art. 17.8 de la Ley 17/2012 y el art. 84.3 LOE en la redacción anterior a su modificación por la LOMCE, que para el órgano judicial funda la duda de constitucionalidad, no se produciría si se entendiera, como hace la STC 234/2015, FJ 2, que las normas aplicables al caso son el precepto cuestionado y la nueva redacción de dicho art. 84.3 LOE, que resultaría aplicable conforme a la disposición transitoria 2ª LOMCE.</w:t>
      </w:r>
    </w:p>
    <w:p w:rsidR="0033382B" w:rsidRDefault="0033382B" w:rsidP="0033382B">
      <w:pPr>
        <w:pStyle w:val="TextoNormal"/>
      </w:pPr>
    </w:p>
    <w:p w:rsidR="0033382B" w:rsidRDefault="0033382B" w:rsidP="0033382B">
      <w:pPr>
        <w:pStyle w:val="TextoNormal"/>
      </w:pPr>
      <w:r>
        <w:t>Del tenor de estos preceptos se deduce que la cuestión de inconstitucionalidad sería notoriamente infundada, por lo que también por este motivo procedería su inadmisión.</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Sala de lo Contencioso-Administrativo del Tribunal Superior de Justicia de Andalucía, con sede en Sevilla, plantea cuestión de inconstitucionalidad en relación con el art. 17.8 de la Ley 17/2012, de 27 de diciembre, de presupuestos generales del Estado para el año 2013. Entiende el órgano judicial que el citado precepto puede vulnerar tanto la reserva de ley orgánica establecida en el art. 81.1 CE como los límites materiales de las leyes de presupuestos, que derivan del art. 134.2 CE.</w:t>
      </w:r>
    </w:p>
    <w:p w:rsidR="0033382B" w:rsidRDefault="0033382B" w:rsidP="0033382B">
      <w:pPr>
        <w:pStyle w:val="TextoNormal"/>
      </w:pPr>
    </w:p>
    <w:p w:rsidR="0033382B" w:rsidRDefault="0033382B" w:rsidP="0033382B">
      <w:pPr>
        <w:pStyle w:val="TextoNormal"/>
      </w:pPr>
      <w:r>
        <w:t>La Fiscal General del Estado solicita la inadmisión de esta cuestión, por las razones que han quedado detalladas en los antecedentes de esta resolución.</w:t>
      </w:r>
    </w:p>
    <w:p w:rsidR="0033382B" w:rsidRDefault="0033382B" w:rsidP="0033382B">
      <w:pPr>
        <w:pStyle w:val="TextoNormal"/>
      </w:pPr>
    </w:p>
    <w:p w:rsidR="0033382B" w:rsidRDefault="0033382B" w:rsidP="0033382B">
      <w:pPr>
        <w:pStyle w:val="TextoNormal"/>
      </w:pPr>
      <w:r w:rsidRPr="0033382B">
        <w:rPr>
          <w:rStyle w:val="NumeroAFNegritaCaracter"/>
        </w:rPr>
        <w:t>2</w:t>
      </w:r>
      <w:r>
        <w:t>. Conforme a lo dispuesto en el art. 37.1 de la Ley Orgánica del Tribunal Constitucional, este Tribunal puede rechazar en trámite de admisión, mediante Auto y con la sola audiencia del Fiscal General del Estado, aquellas cuestiones de inconstitucionalidad en las que faltaren los necesarios requisitos procesales o que fueren notoriamente infundadas.</w:t>
      </w:r>
    </w:p>
    <w:p w:rsidR="0033382B" w:rsidRDefault="0033382B" w:rsidP="0033382B">
      <w:pPr>
        <w:pStyle w:val="TextoNormal"/>
      </w:pPr>
    </w:p>
    <w:p w:rsidR="0033382B" w:rsidRDefault="0033382B" w:rsidP="0033382B">
      <w:pPr>
        <w:pStyle w:val="TextoNormal"/>
      </w:pPr>
      <w:r>
        <w:t>Estamos ante una cuestión sustancialmente idéntica a la que ha sido objeto de la reciente STC 234/2015, de 5 de noviembre, en la que este Tribunal ha decidido inadmitir una cuestión de inconstitucionalidad promovida en relación con el art. 17.8 de la Ley 17/2012 por la misma Sala, por apreciar la posible vulneración de los mismos preceptos constitucionales. Procede en consecuencia dar por reproducido lo razonado en el fundamento jurídico 2 de dicha Sentencia, para concluir que tampoco en este caso han quedado adecuadamente formulados los juicios de aplicabilidad y relevancia: siendo “indiscutible que el precepto cuestionado es aplicable para la resolución del pleito sometido a la consideración del órgano judicial …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 núm. 2580-2015.</w:t>
      </w:r>
    </w:p>
    <w:p w:rsidR="0033382B" w:rsidRDefault="0033382B" w:rsidP="0033382B">
      <w:pPr>
        <w:pStyle w:val="TextoNormal"/>
      </w:pPr>
    </w:p>
    <w:p w:rsidR="0033382B" w:rsidRDefault="0033382B" w:rsidP="0033382B">
      <w:pPr>
        <w:pStyle w:val="TextoNormal"/>
      </w:pPr>
      <w:r>
        <w:t>Madrid, a dieciséis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68" w:name="AUTO_2016_41"/>
      <w:r>
        <w:t>AUTO 41/2016, de 16 de febrero de 2016</w:t>
      </w:r>
    </w:p>
    <w:bookmarkEnd w:id="168"/>
    <w:p w:rsidR="0033382B" w:rsidRDefault="0033382B" w:rsidP="0033382B">
      <w:pPr>
        <w:pStyle w:val="TtuloResolucin"/>
      </w:pPr>
      <w:r>
        <w:t>Pleno</w:t>
      </w:r>
    </w:p>
    <w:p w:rsidR="0033382B" w:rsidRDefault="0033382B" w:rsidP="0033382B">
      <w:pPr>
        <w:pStyle w:val="TextoNormalCentrado"/>
      </w:pPr>
      <w:r>
        <w:t>ECLI:ES:TC:2016:41A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Mantiene la suspensión acordada en el recurso de inconstitucionalidad 5272-2015, interpuesto por el Presidente del Gobierno en relación con el Decreto-ley de la Generalitat de Cataluña 7/2014, de 23 de diciembre, por el que se derogan varios apartados del artículo 9 del Decreto-ley 1/2009, de 22 de diciembre, de ordenación de equipamientos comerciales.</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presentado en el Registro General de este Tribunal el 23 de septiembre de 2015, el Abogado del Estado, en nombre del Presidente del Gobierno, interpuso recurso de inconstitucionalidad contra el Decreto-ley de la Generalitat de Cataluña 7/2014, de 23 de diciembre, publicado en el “Diari Oficial de la Generalitat de Cataluña” núm. 6.777, de 24 de diciembre de 2014, por el que se deroga la letra b) del apartado 3 y el segundo párrafo del apartado 4 del art. 9 del Decreto-ley 1/2009, de 22 de diciembre, de ordenación de los equipamientos comerciales, solicitando que se declarase la inconstitucionalidad y nulidad del Decreto-ley impugnado en su integridad.</w:t>
      </w:r>
    </w:p>
    <w:p w:rsidR="0033382B" w:rsidRDefault="0033382B" w:rsidP="0033382B">
      <w:pPr>
        <w:pStyle w:val="TextoNormal"/>
      </w:pPr>
    </w:p>
    <w:p w:rsidR="0033382B" w:rsidRDefault="0033382B" w:rsidP="0033382B">
      <w:pPr>
        <w:pStyle w:val="TextoNormal"/>
      </w:pPr>
      <w:r>
        <w:t>El Abogado del Estado invocó el art. 161.2 CE, a fin de que se acodara la suspensión del precepto impugnado.</w:t>
      </w:r>
    </w:p>
    <w:p w:rsidR="0033382B" w:rsidRDefault="0033382B" w:rsidP="0033382B">
      <w:pPr>
        <w:pStyle w:val="TextoNormal"/>
      </w:pPr>
    </w:p>
    <w:p w:rsidR="0033382B" w:rsidRDefault="0033382B" w:rsidP="0033382B">
      <w:pPr>
        <w:pStyle w:val="TextoNormal"/>
      </w:pPr>
      <w:r w:rsidRPr="0033382B">
        <w:rPr>
          <w:rStyle w:val="NumeroAFNegritaCaracter"/>
        </w:rPr>
        <w:t>2</w:t>
      </w:r>
      <w:r>
        <w:t>. Por providencia de 6 de octubre de 2015, el Pleno, a propuesta de la Sección Primera, admitió a trámite el referido recurso de inconstitucionalidad y acordó dar traslado de la demanda y de los documentos presentados, conforme a lo dispuesto en el art. 34 de la Ley Orgánica del Tribunal Constitucional (LOTC), al Congreso de los Diputados, al Senado, a la Generalitat y al Parlamento de Cataluña, por conducto de sus Presidentes, al objeto, de que, en plazo de quince días, pudieran personarse en el proceso y formular alegaciones. Asimismo se acordó tener por invocado por el Presidente del Gobierno el art. 161.2 CE, lo que, a su tenor y conforme dispone el art. 30 LOTC, produce la suspensión de la vigencia y aplicación de los preceptos impugnados desde la fecha de interposición del recurso, 23 de septiembre de 2015, para las partes del proceso y desde el día en que aparece publicada la suspensión en el “Boletín Oficial del Estado” para los terceros, comunicándose así a los Presidentes de la Generalitat y del Parlamento de Cataluña. Se acordó, por último, publicar la incoación del recurso en el “Boletín Oficial del Estado” y en el “Diari Oficial de la Generalitat de Cataluña”.</w:t>
      </w:r>
    </w:p>
    <w:p w:rsidR="0033382B" w:rsidRDefault="0033382B" w:rsidP="0033382B">
      <w:pPr>
        <w:pStyle w:val="TextoNormal"/>
      </w:pPr>
    </w:p>
    <w:p w:rsidR="0033382B" w:rsidRDefault="0033382B" w:rsidP="0033382B">
      <w:pPr>
        <w:pStyle w:val="TextoNormal"/>
      </w:pPr>
      <w:r w:rsidRPr="0033382B">
        <w:rPr>
          <w:rStyle w:val="NumeroAFNegritaCaracter"/>
        </w:rPr>
        <w:t>3</w:t>
      </w:r>
      <w:r>
        <w:t>. Por sendos escritos registrados en este Tribunal el 14 y 15 de octubre de 2015, el Presidente del Senado y el Presidente del Congreso comunicaron que por acuerdo de la Mesa de sus respectivas Cámaras, se acordó darse por personadas en este proceso constitucional y ofrecer su colaboración a los efectos del art. 88.1 LOTC.</w:t>
      </w:r>
    </w:p>
    <w:p w:rsidR="0033382B" w:rsidRDefault="0033382B" w:rsidP="0033382B">
      <w:pPr>
        <w:pStyle w:val="TextoNormal"/>
      </w:pPr>
    </w:p>
    <w:p w:rsidR="0033382B" w:rsidRDefault="0033382B" w:rsidP="0033382B">
      <w:pPr>
        <w:pStyle w:val="TextoNormal"/>
      </w:pPr>
      <w:r w:rsidRPr="0033382B">
        <w:rPr>
          <w:rStyle w:val="NumeroAFNegritaCaracter"/>
        </w:rPr>
        <w:t>4</w:t>
      </w:r>
      <w:r>
        <w:t>. La Abogada de la Generalitat de Cataluña, por escrito registrado en este Tribunal el 30 de octubre de 2015, se personó en este procedimiento en representación y defensa del Gobierno de la Generalitat y formuló alegaciones solicitando la desestimación del recurso de inconstitucionalidad. Por otrosí solicitó el levantamiento inmediato de la suspensión del Decreto-ley impugnado. Alega la Generalitat que, de acuerdo con la doctrina constitucional, es posible acordar el levantamiento de la suspensión antes de que transcurra el plazo de cinco meses al que se refiere el art. 161.2 CE, ya que el referido plazo constituye el límite máximo inicialmente previsto para la suspensión, incluyéndose, por tanto, la ratificación y el levantamiento de la suspensión dentro de dicho plazo.</w:t>
      </w:r>
    </w:p>
    <w:p w:rsidR="0033382B" w:rsidRDefault="0033382B" w:rsidP="0033382B">
      <w:pPr>
        <w:pStyle w:val="TextoNormal"/>
      </w:pPr>
    </w:p>
    <w:p w:rsidR="0033382B" w:rsidRDefault="0033382B" w:rsidP="0033382B">
      <w:pPr>
        <w:pStyle w:val="TextoNormal"/>
      </w:pPr>
      <w:r>
        <w:t>También aduce que, de acuerdo con la doctrina de este Tribunal, el levantamiento o mantenimiento de la suspensión derivada de la invocación del art. 161.2 CE ha de dirimirse tomando en consideración varios criterios. Considera, en primer lugar, que ha de partirse de la presunción de legitimidad de las normas, en especial de las que tienen rango de ley, en cuanto que entiende que existe un interés general en que las leyes sean eficaces al ser expresión de la voluntad popular. En segundo lugar, sostiene que han de ponderarse los distintos intereses en presencia, tanto el general y público, como, en su caso, el particular o privado de las distintas personas afectadas y, de otro, los perjuicios de imposible o difícil reparación que pueda producir la aplicación de la norma o su suspensión, que han de ser ciertos y efectivos y no meramente hipotéticos. Por otra parte, se indica que esta valoración ha de efectuarse al margen de la viabilidad de las pretensiones que se formulan en la demanda y de las consideraciones sobre la cuestión de fondo que resultan ajenas a dicha valoración. También se pone de manifiesto que el mantenimiento de la suspensión, en cuanto excepción a la regla general del mantenimiento de la eficacia de las normas, requiere que, el Gobierno, a quien se debe la iniciativa de la suspensión (art. 161.2 CE) aporte y razone con detalle los argumentos que la justifiquen.</w:t>
      </w:r>
    </w:p>
    <w:p w:rsidR="0033382B" w:rsidRDefault="0033382B" w:rsidP="0033382B">
      <w:pPr>
        <w:pStyle w:val="TextoNormal"/>
      </w:pPr>
    </w:p>
    <w:p w:rsidR="0033382B" w:rsidRDefault="0033382B" w:rsidP="0033382B">
      <w:pPr>
        <w:pStyle w:val="TextoNormal"/>
      </w:pPr>
      <w:r>
        <w:t>En el presente caso, la Generalitat considera que el levantamiento de la suspensión de la vigencia y aplicación del Decreto-ley 7/2014 y la subsiguiente efectividad de la derogación de las excepciones a la implantación de los medianos y grandes establecimientos comerciales en la trama urbana consolidada durante el periodo que transcurra hasta que se dicte la sentencia que debe resolver el presente proceso no parece que pueda ocasionar perjuicios graves e irreparables ni al interés general de España ni a terceros, ya que la supresión de ciertas excepciones a la localización de los referidos centros comerciales no afecta a ninguna situación jurídica consolidada ni a ningún derecho preexistente en la medida que no altera el régimen legal de los establecimientos autorizados al amparo de las excepciones derogadas, sino que, a lo sumo, elimina las expectativas que eventualmente pudieran tener algunos operadores comerciales de situarse en las zonas colindantes a las tramas urbanas consolidadas. Se señala también que, en el caso de este Tribunal estimara el recurso y declarase la inconstitucionalidad de la derogación efectuada por el Decreto impugnado, los operadores que se consideraran perjudicados por esta norma podrían solicitar la reparación de los daños económicos eventualmente padecidos, pues, si tales daños se produjesen serían perfectamente identificables y fácilmente reparables.</w:t>
      </w:r>
    </w:p>
    <w:p w:rsidR="0033382B" w:rsidRDefault="0033382B" w:rsidP="0033382B">
      <w:pPr>
        <w:pStyle w:val="TextoNormal"/>
      </w:pPr>
    </w:p>
    <w:p w:rsidR="0033382B" w:rsidRDefault="0033382B" w:rsidP="0033382B">
      <w:pPr>
        <w:pStyle w:val="TextoNormal"/>
      </w:pPr>
      <w:r>
        <w:t>En virtud de las referidas consideraciones la Generalitat solicita el levantamiento inmediato de la suspensión del Decreto-ley impugnado.</w:t>
      </w:r>
    </w:p>
    <w:p w:rsidR="0033382B" w:rsidRDefault="0033382B" w:rsidP="0033382B">
      <w:pPr>
        <w:pStyle w:val="TextoNormal"/>
      </w:pPr>
    </w:p>
    <w:p w:rsidR="0033382B" w:rsidRDefault="0033382B" w:rsidP="0033382B">
      <w:pPr>
        <w:pStyle w:val="TextoNormal"/>
      </w:pPr>
      <w:r w:rsidRPr="0033382B">
        <w:rPr>
          <w:rStyle w:val="NumeroAFNegritaCaracter"/>
        </w:rPr>
        <w:t>5</w:t>
      </w:r>
      <w:r>
        <w:t>. El Parlamento de Cataluña, por escrito de 2 de noviembre de 2015, se persona en este proceso y formula alegaciones solicitando que se dicte sentencia por la que se declare la extinción de este proceso constitucional por inexistencia de objeto o, subsidiariamente, se desestime el recurso en su integridad. Por otrosí solicita el levantamiento inmediato de la suspensión acordada en virtud del art. 161.2 CE.</w:t>
      </w:r>
    </w:p>
    <w:p w:rsidR="0033382B" w:rsidRDefault="0033382B" w:rsidP="0033382B">
      <w:pPr>
        <w:pStyle w:val="TextoNormal"/>
      </w:pPr>
    </w:p>
    <w:p w:rsidR="0033382B" w:rsidRDefault="0033382B" w:rsidP="0033382B">
      <w:pPr>
        <w:pStyle w:val="TextoNormal"/>
      </w:pPr>
      <w:r>
        <w:t>La Letrada del Parlamento, invocando la jurisprudencia constitucional, alega que es posible levantar la suspensión antes de que transcurra el plazo de cinco meses al que se refiere el art. 161.2 CE, ya que este precepto constitucional está estableciendo un plazo máximo, dentro del cual el Tribunal podrá levantar o mantener la suspensión acordada en su momento. Junto a ello pone de manifiesto que, de acuerdo con la jurisprudencia constitucional, la decisión sobre el mantenimiento o levantamiento de la suspensión, al ser una medida cautelar, ha de tomar en consideración únicamente las situaciones de hecho que se derivan del análisis de las normas impugnadas, al margen de la viabilidad de las pretensiones formuladas por las partes. Según se alega, esta decisión debe partir de la presunción de constitucionalidad de las leyes que determina que el mantenimiento de la suspensión sea una medida excepcional. Por ello considera que para que pueda adoptarse esta decisión es preciso que el Gobierno razone de modo consistente sobre la procedencia de esta medida y para ello deberá tomar en consideración los intereses concernidos, ya sean públicos y generales o particulares y privados, y los perjuicios de imposible o difícil reparación que se derivarían tanto del mantenimiento de la suspensión como de la vigencia de la norma impugnada.</w:t>
      </w:r>
    </w:p>
    <w:p w:rsidR="0033382B" w:rsidRDefault="0033382B" w:rsidP="0033382B">
      <w:pPr>
        <w:pStyle w:val="TextoNormal"/>
      </w:pPr>
    </w:p>
    <w:p w:rsidR="0033382B" w:rsidRDefault="0033382B" w:rsidP="0033382B">
      <w:pPr>
        <w:pStyle w:val="TextoNormal"/>
      </w:pPr>
      <w:r>
        <w:t>Según sostiene el Parlamento de Cataluña, la ponderación de los intereses en juego en el presente caso debe determinar el levantamiento de la suspensión, pues tal medida no afecta a ningún derecho público o general ni a ningún interés particular o privado, toda vez que los operadores económicos podrían iniciar las gestiones para solicitar las correspondientes licencias de implantación según el régimen vigente. Los perjuicios de difícil o imposible reparación podrían producirse, según sostiene esta parte procesal, si se mantiene la suspensión de la norma impugnada, pues ello podría dar lugar a la implantación indiscriminada en todo el territorio de Cataluña de establecimiento comerciales de gran formato (MEG, GEC y GECT), con los correspondientes efectos negativos que, de forma irreversible se producirían y que afectarían gravemente a la ordenación urbanística, al medio ambiente y a la protección del patrimonio histórico y artístico.</w:t>
      </w:r>
    </w:p>
    <w:p w:rsidR="0033382B" w:rsidRDefault="0033382B" w:rsidP="0033382B">
      <w:pPr>
        <w:pStyle w:val="TextoNormal"/>
      </w:pPr>
    </w:p>
    <w:p w:rsidR="0033382B" w:rsidRDefault="0033382B" w:rsidP="0033382B">
      <w:pPr>
        <w:pStyle w:val="TextoNormal"/>
      </w:pPr>
      <w:r>
        <w:t>Por todo ello el Parlamento de Cataluña solicita el levantamiento inmediato de la suspensión.</w:t>
      </w:r>
    </w:p>
    <w:p w:rsidR="0033382B" w:rsidRDefault="0033382B" w:rsidP="0033382B">
      <w:pPr>
        <w:pStyle w:val="TextoNormal"/>
      </w:pPr>
    </w:p>
    <w:p w:rsidR="0033382B" w:rsidRDefault="0033382B" w:rsidP="0033382B">
      <w:pPr>
        <w:pStyle w:val="TextoNormal"/>
      </w:pPr>
      <w:r w:rsidRPr="0033382B">
        <w:rPr>
          <w:rStyle w:val="NumeroAFNegritaCaracter"/>
        </w:rPr>
        <w:t>6</w:t>
      </w:r>
      <w:r>
        <w:t>. Por providencia del Pleno de 3 de noviembre de 2015 se acordó incorporar a los autos los escritos de alegaciones que formulan las Letradas de la Generalitat y del Parlamento de Cataluña y, en relación con las solicitudes de levantamiento de la suspensión que formulan por otrosí, otorgar un plazo de cinco días al Abogado del Estado para que exponga lo que estime procedente.</w:t>
      </w:r>
    </w:p>
    <w:p w:rsidR="0033382B" w:rsidRDefault="0033382B" w:rsidP="0033382B">
      <w:pPr>
        <w:pStyle w:val="TextoNormal"/>
      </w:pPr>
    </w:p>
    <w:p w:rsidR="0033382B" w:rsidRDefault="0033382B" w:rsidP="0033382B">
      <w:pPr>
        <w:pStyle w:val="TextoNormal"/>
      </w:pPr>
      <w:r w:rsidRPr="0033382B">
        <w:rPr>
          <w:rStyle w:val="NumeroAFNegritaCaracter"/>
        </w:rPr>
        <w:t>7</w:t>
      </w:r>
      <w:r>
        <w:t>. El Abogado del Estado, el 12 de noviembre de 2015, presentó en el Registro General de este Tribunal su escrito de alegaciones. Según sostiene, de acuerdo con la jurisprudencia constitucional, la decisión relativa al mantenimiento o levantamiento de la suspensión ha de adoptarse tras ponderar la gravedad de los perjuicios que ocasionaría las situaciones de hecho que previsiblemente se producirían en el caso de que se levantara o se mantuviera la suspensión. Entiende el Abogado del Estado que aunque el Tribunal alude a situaciones de hecho creadas, la realidad es que lo que con frecuencia ha de examinarse son las situaciones de hecho que podrían crearse. Por ello considera que lo que trata de evitar la medida que prevé el art. 161.2 CE es que tales situaciones se produzcan.</w:t>
      </w:r>
    </w:p>
    <w:p w:rsidR="0033382B" w:rsidRDefault="0033382B" w:rsidP="0033382B">
      <w:pPr>
        <w:pStyle w:val="TextoNormal"/>
      </w:pPr>
    </w:p>
    <w:p w:rsidR="0033382B" w:rsidRDefault="0033382B" w:rsidP="0033382B">
      <w:pPr>
        <w:pStyle w:val="TextoNormal"/>
      </w:pPr>
      <w:r>
        <w:t xml:space="preserve">Se aduce también que, como se sostiene en el ATC 228/1992, de 21 de julio, el análisis del incidente ha de practicarse en función de las situaciones de hecho, con abstracción de la viabilidad de las pretensiones objeto del proceso, aun cuando resulte inevitable una mirada de soslayo, y, en definitiva, sin prejuzgar la cuestión principal. Alega el Abogado del Estado que toda medida cautelar dictada en un proceso judicial está basada en lo que se ha dado en dominar </w:t>
      </w:r>
      <w:r w:rsidRPr="0033382B">
        <w:rPr>
          <w:i/>
        </w:rPr>
        <w:t>fumus bonis iuris</w:t>
      </w:r>
      <w:r>
        <w:t>. Según sostiene, hay un supuesto en el que adquiere especial relevancia la cuestión de fondo para la resolución del incidente y es el de las normas autonómicas dictadas con “manifiesta ausencia de cobertura” (ATC 243/1993, de 13 de julio). Por ello entiende que en estos casos la finalidad de la medida cautelar, además de prevenir perjuicios materiales en el sentido más patrimonial del término, puede consistir también en asegurar provisionalmente que aquella de las partes litigantes cuya pretensión, de acuerdo con la jurisprudencia existente sobre cuestiones similares, tenga muchas posibilidades de prosperar. De este modo, se logra evitar que la adopción de una actitud contumaz en el plano legislativo pueda alterar una situación consolidad en cuanto el criterio jurídico-constitucional de carácter competencial.</w:t>
      </w:r>
    </w:p>
    <w:p w:rsidR="0033382B" w:rsidRDefault="0033382B" w:rsidP="0033382B">
      <w:pPr>
        <w:pStyle w:val="TextoNormal"/>
      </w:pPr>
    </w:p>
    <w:p w:rsidR="0033382B" w:rsidRDefault="0033382B" w:rsidP="0033382B">
      <w:pPr>
        <w:pStyle w:val="TextoNormal"/>
      </w:pPr>
      <w:r>
        <w:t>Por otra parte, se pone de manifiesto también que, de acuerdo con la doctrina constitucional, se puede tomar en consideración el fondo de la cuestión planteada para resolver el incidente de suspensión en aquellos casos en los que la ley autonómica conlleva un bloqueo de las competencias atribuidas al Estado por el bloque de la constitucionalidad, pues este supuesto excede de las situaciones normales de controversia competencial.</w:t>
      </w:r>
    </w:p>
    <w:p w:rsidR="0033382B" w:rsidRDefault="0033382B" w:rsidP="0033382B">
      <w:pPr>
        <w:pStyle w:val="TextoNormal"/>
      </w:pPr>
    </w:p>
    <w:p w:rsidR="0033382B" w:rsidRDefault="0033382B" w:rsidP="0033382B">
      <w:pPr>
        <w:pStyle w:val="TextoNormal"/>
      </w:pPr>
      <w:r>
        <w:t>El Abogado del Estado considera que en el caso de levantarse la suspensión de la eficacia del Decreto-ley impugnado se causaría perjuicios de imposible o difícil reparación, pues la vigencia de la norma impugnada conllevaría una ralentización del desarrollo económico sectorial a causa de las medidas restrictivas de la competencia establecidas en la misma. El Abogado del Estado fundamenta esta conclusión en el informe de 19 de octubre de 2015, elaborado por el Ministerio de Economía y competitividad sobre la conveniencia y necesidad de mantener la suspensión del Decreto-ley 7/2014, de 23 de diciembre, en el que se lleva a cabo un análisis cuantitativo de locales comerciales. En este informe se pone de manifiesto el descenso de número de establecimientos de comercio al por menor en Cataluña en el periodo de 2000-2014 que pasó de 108.242 a 94.982 y se sostiene que el número de estos establecimientos seguiría descendiendo si se mantiene la vigencia de la norma impugnada al considerarla restrictiva de la actividad comercial.</w:t>
      </w:r>
    </w:p>
    <w:p w:rsidR="0033382B" w:rsidRDefault="0033382B" w:rsidP="0033382B">
      <w:pPr>
        <w:pStyle w:val="TextoNormal"/>
      </w:pPr>
    </w:p>
    <w:p w:rsidR="0033382B" w:rsidRDefault="0033382B" w:rsidP="0033382B">
      <w:pPr>
        <w:pStyle w:val="TextoNormal"/>
      </w:pPr>
      <w:r>
        <w:t>En el referido informe se analiza también la evolución del empleo —los puestos de trabajo en locales comerciales minoristas— y se pone de manifiesto que en el periodo comprendido entre el primer trimestre de 2002 y el tercer trimestre de 2014 los ocupados en el comercio minorista crecieron 1,6 puntos por debajo de la media española y el índice de los precios de consumo crecieron 5,2 puntos por encima de la media española. Y por último compara el número de comercio minorista según tamaño y llega a la conclusión de que comparada con la Comunidad de Madrid, Cataluña tiene mayor porcentaje y densidad de locales pequeños (hasta 300 m2), menor densidad de locales grandes (de más de 2.500 m2), lo que atribuye, en parte, a las dificultades para implantarse fuera de las tramas urbanas consolidadas, ya que dentro de la misma existen limitaciones de espacio. Y por último se efectúa una comparación entre Comunidades Autónomas sobre el número de nuevas licencias otorgadas a establecimientos comerciales durante el periodo 2010-2014, como dato empírico en cuanto que el movimiento y mayor dinamicidad en el mercado es consecuencia de una mayor liberalización.</w:t>
      </w:r>
    </w:p>
    <w:p w:rsidR="0033382B" w:rsidRDefault="0033382B" w:rsidP="0033382B">
      <w:pPr>
        <w:pStyle w:val="TextoNormal"/>
      </w:pPr>
    </w:p>
    <w:p w:rsidR="0033382B" w:rsidRDefault="0033382B" w:rsidP="0033382B">
      <w:pPr>
        <w:pStyle w:val="TextoNormal"/>
      </w:pPr>
      <w:r>
        <w:t>El Abogado del Estado sostiene que el levantamiento de la suspensión produciría una restricción de libertades de iniciativa económica evidente, lo que daría lugar a una disparidad de régimen respecto de otras Comunidades Autónomas, una ruptura de la unidad de mercado, al aplicarse en Cataluña un régimen diferente al resto de los comerciantes de toda España, y provocaría un perjuicio económico inmediato para comercios situados en territorio de Cataluña.</w:t>
      </w:r>
    </w:p>
    <w:p w:rsidR="0033382B" w:rsidRDefault="0033382B" w:rsidP="0033382B">
      <w:pPr>
        <w:pStyle w:val="TextoNormal"/>
      </w:pPr>
    </w:p>
    <w:p w:rsidR="0033382B" w:rsidRDefault="0033382B" w:rsidP="0033382B">
      <w:pPr>
        <w:pStyle w:val="TextoNormal"/>
      </w:pPr>
      <w:r>
        <w:t>Alega, además, la contumacia en la actividad legislativa disconforme con las competencias estatales atribuidas por la Constitución en esta materia y el potencial perjuicio económico de los inversores. El levantamiento de la suspensión conllevaría, según afirma el Abogado del Estado el incumplimiento de la STC 193/2013, de 21 de noviembre, y de nuevo la supresión de una perspectiva económica favorable para los empresarios titulares o explotadores de medianos y grandes establecimientos comerciales. En su opinión, esta conclusión puede mantenerse aunque el ATC 182/2015, de 3 de noviembre, haya acordado el levantamiento de la suspensión del art. 95 de la ley del Parlamento de Cataluña 3/2015, de 11 de marzo, de medidas fiscales, financieras y administrativas en el que se establece también una situación restrictiva de los establecimientos comerciales dentro de las instalaciones de los puertos de titularidad pública, ya que esta medida, no tiene carácter general, sino que, como se acaba de indicar, se circunscribe a áreas portuarias de titularidad pública. Por ello entiende, que como norma ahora impugnada, al derogar los apartados 3 y el segundo párrafo del apartado 4 del art. 9 del Decreto-ley 1/2009, de 22 de diciembre, de ordenación de los equipamientos comerciales, impide la implantación de centros comerciales fuera de las tramas consolidadas de los municipios y dentro de ellas si no reúnen ciertos requisitos que dicha Ley exige, lo que, en su opinión, supone el incumplimiento intencionado de la STC 193/20013, de 21 de noviembre, que declaró inconstitucional el art. 114 de la Ley del Parlamento de Cataluña 9/2011, de 29 de diciembre, que había dado una redacción a los apartados 3 y 4 del Decreto-ley 1/2009 más restrictiva que la que tenía en su redacción originaria.</w:t>
      </w:r>
    </w:p>
    <w:p w:rsidR="0033382B" w:rsidRDefault="0033382B" w:rsidP="0033382B">
      <w:pPr>
        <w:pStyle w:val="TextoNormal"/>
      </w:pPr>
    </w:p>
    <w:p w:rsidR="0033382B" w:rsidRDefault="0033382B" w:rsidP="0033382B">
      <w:pPr>
        <w:pStyle w:val="TextoNormal"/>
      </w:pPr>
      <w:r>
        <w:t>El Abogado del Estado considera que la vigencia de la norma impugnada puede crear inseguridad jurídica, producto de la intermitencia de situaciones favorables para el mercado y los inversores en grandes superficies comerciales en este sector del comercio minorista derivada de la STC 193/2013, que declaró inconstitucionales y nulos los apartados 3 y 4 del art. 9 del Decreto-ley 1/2009, de 22 de diciembre, de ordenación de equipamientos comerciales de Cataluña, en la redacción dada a los mismos por el art. 114 de la Ley del Parlamento de Cataluña 9/2011, de 29 de diciembre, de promoción de la actividad económica, y de la aprobación de una nueva regulación autonómica que, en contra de las medidas liberalizaras establecidas en la legislación básica estatal, vuelve a imponer las medidas restrictivas para el establecimiento de este tipo de establecimientos comerciales. Junto a ello se alega también que, al haber liberalizado la norma estatal un sector concreto de la actividad económica, y, por tanto, incidir en la ordenación general de la economía, las bases estatales pueden tener carácter agotador de la materia y no permitir el desarrollo autonómico, citando en su apoyo la doctrina contenida en la STC 225/1993, de 8 de julio, FJ 4, y otras posteriores.</w:t>
      </w:r>
    </w:p>
    <w:p w:rsidR="0033382B" w:rsidRDefault="0033382B" w:rsidP="0033382B">
      <w:pPr>
        <w:pStyle w:val="TextoNormal"/>
      </w:pPr>
    </w:p>
    <w:p w:rsidR="0033382B" w:rsidRDefault="0033382B" w:rsidP="0033382B">
      <w:pPr>
        <w:pStyle w:val="TextoNormal"/>
      </w:pPr>
      <w:r>
        <w:t>Por último se aduce que la finalidad del Decreto-ley impugnado es evitar la eficacia vinculante de las resoluciones del Tribunal Constitucional, en concreto, de la STC 193/2013. Según se alega, el Decreto-ley impugnado, al no tener otro objeto que el de derogar la letra b) del apartado 3 y el segundo párrafo del apartado 4 del art. 9 del Decreto-ley 1/2009, de 22 de diciembre, de ordenación de los equipamientos comerciales, conlleva que en esta materia resulte aplicable una regulación similar a la que la STC 193/2013 declaró inconstitucional.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objeto de esta resolución consiste en determinar si, en aplicación del art. 161.2 CE, procede levantar o mantener la suspensión de la vigencia del Decreto-ley de la Generalitat de Cataluña 7/2014, de 23 de diciembre, por el que se deroga la letra b) del apartado 3 y el segundo párrafo del apartado 4 del art. 9 del Decreto-ley 1/2009, de 22 de diciembre, de ordenación de los equipamientos comerciales. Como se ha expuesto en los antecedentes, las representaciones procesales de la Generalitat y del Parlamento de Cataluña han solicitado al Tribunal que se pronuncie sobre el levantamiento de la suspensión antes de que transcurran los cinco meses previstos en el art. 161.2 CE y acuerde el levantamiento de la misma. Por el contrario, el Abogado del Estado solicita el mantenimiento de la suspensión.</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la doctrina de este Tribunal, la solicitud de levantamiento de la suspensión antes de que transcurran los cinco meses previstos en el art. 161.2 CE, formulada tanto por la Generalitat como por el Parlamento de Cataluña, es viable procesalmente, pues dentro del expresado plazo de cinco meses, que constituye el límite máximo inicialmente previsto para la suspensión, el Tribunal tiene la potestad de ratificarla o levantarla (entre otros muchos, ATC 75/2010, de 30 de junio, FJ 2; 183/2011, de 14 de diciembre, FJ 2; 88/2013, de 23 de abril, FJ 2; 280/2013, de 3 de diciembre, y 196/2015, de 18 de noviembre, FJ 2).</w:t>
      </w:r>
    </w:p>
    <w:p w:rsidR="0033382B" w:rsidRDefault="0033382B" w:rsidP="0033382B">
      <w:pPr>
        <w:pStyle w:val="TextoNormal"/>
      </w:pPr>
    </w:p>
    <w:p w:rsidR="0033382B" w:rsidRDefault="0033382B" w:rsidP="0033382B">
      <w:pPr>
        <w:pStyle w:val="TextoNormal"/>
      </w:pPr>
      <w:r>
        <w:t>También es doctrina constitucional reiterada que la resolución de este incidente cautelar requiere ponderar, de un lado, los intereses que se encuentran concernidos, tanto el público y general como los privados, y, de otro, los perjuicios de imposible o difícil reparación que puedan derivarse del mantenimiento de la suspensión. Asimismo, el Tribunal ha sostenido que el mantenimiento de la suspensión requiere que el Gobierno, a quien se debe la iniciativa, no solo invoque la existencia de aquellos perjuicios, sino que es igualmente necesario demostrar o, al menos, razonar consistentemente su procedencia y su imposible o difícil reparación, ya que debe partirse en principio de la existencia de una presunción de constitucionalidad a favor de las normas o actos objeto de conflicto (entre otros muchos, AATC, 147/2012, de 16 de julio, 157/2013, de 11 de julio, FJ 2, y 122/2015, FJ 2). Además, ha establecido que la resolución de este tipo de incidentes ha de efectuarse atendiendo a las situaciones de hecho creadas y al margen de la viabilidad de las pretensiones que se formulen en la demanda.</w:t>
      </w:r>
    </w:p>
    <w:p w:rsidR="0033382B" w:rsidRDefault="0033382B" w:rsidP="0033382B">
      <w:pPr>
        <w:pStyle w:val="TextoNormal"/>
      </w:pPr>
    </w:p>
    <w:p w:rsidR="0033382B" w:rsidRDefault="0033382B" w:rsidP="0033382B">
      <w:pPr>
        <w:pStyle w:val="TextoNormal"/>
      </w:pPr>
      <w:r>
        <w:t>No obstante, existen supuestos en los que, por excepción, este último criterio no resulta de aplicación y el incidente de suspensión ha de resolverse atendiendo a la apariencia de buen derecho. Así ocurre en aquellos casos en que los preceptos impugnados contienen previsiones muy similares a los de otros preceptos que han sido declarados inconstitucionales y nulos por Sentencia de este Tribunal (AATC 78/1987, de 22 de enero, FJ 2; 183/2011, de 14 de diciembre, FJ 4, y 182/2015, de 3 de noviembre de 2015, FJ 6). Por ello, como se afirma en el ATC 183/2011, de 14 de diciembre, FJ 4, “[e]ste criterio —similitud intensa o coincidencia literal con normas declarada inconstitucionales y nulas por este Tribunal— es, pues, un supuesto cualificado de apariencia de buen derecho que se aparta de lo que es regla general y que por tanto es fundamento suficiente para mantener la suspensión establecida en el art. 161.2 CE”.</w:t>
      </w:r>
    </w:p>
    <w:p w:rsidR="0033382B" w:rsidRDefault="0033382B" w:rsidP="0033382B">
      <w:pPr>
        <w:pStyle w:val="TextoNormal"/>
      </w:pPr>
    </w:p>
    <w:p w:rsidR="0033382B" w:rsidRDefault="0033382B" w:rsidP="0033382B">
      <w:pPr>
        <w:pStyle w:val="TextoNormal"/>
      </w:pPr>
      <w:r w:rsidRPr="0033382B">
        <w:rPr>
          <w:rStyle w:val="NumeroAFNegritaCaracter"/>
        </w:rPr>
        <w:t>3</w:t>
      </w:r>
      <w:r>
        <w:t xml:space="preserve">. El Abogado del Estado aduce en sus alegaciones que el Tribunal, en determinadas ocasiones, ha otorgado relevancia a la cuestión de fondo para resolver la medida cautelar acudiendo al </w:t>
      </w:r>
      <w:r w:rsidRPr="0033382B">
        <w:rPr>
          <w:i/>
        </w:rPr>
        <w:t>fumus boni iuris</w:t>
      </w:r>
      <w:r>
        <w:t xml:space="preserve"> para resolver este incidente de suspensión. De ahí que se deba analizar, en primer lugar, si en el presente caso nos encontramos ante uno de los supuestos en los que excepcionalmente puede resolverse el presente incidente de suspensión atendiendo al criterio de la apariencia de buen derecho.</w:t>
      </w:r>
    </w:p>
    <w:p w:rsidR="0033382B" w:rsidRDefault="0033382B" w:rsidP="0033382B">
      <w:pPr>
        <w:pStyle w:val="TextoNormal"/>
      </w:pPr>
    </w:p>
    <w:p w:rsidR="0033382B" w:rsidRDefault="0033382B" w:rsidP="0033382B">
      <w:pPr>
        <w:pStyle w:val="TextoNormal"/>
      </w:pPr>
      <w:r>
        <w:t xml:space="preserve">Como se acaba indicar, el Tribunal ha admitido excepcionalmente que pueda tenerse en consideración el </w:t>
      </w:r>
      <w:r w:rsidRPr="0033382B">
        <w:rPr>
          <w:i/>
        </w:rPr>
        <w:t>fumus boni iuris</w:t>
      </w:r>
      <w:r>
        <w:t xml:space="preserve"> para resolver este tipo de incidentes y para ello ha exigido que la norma sobre la que versa el incidente de suspensión tenga una “similitud intensa o coincidencia literal” (ATC 183/2011, de 14 de diciembre, FJ 4) con otra declarada inconstitucional y nula por este Tribunal.</w:t>
      </w:r>
    </w:p>
    <w:p w:rsidR="0033382B" w:rsidRDefault="0033382B" w:rsidP="0033382B">
      <w:pPr>
        <w:pStyle w:val="TextoNormal"/>
      </w:pPr>
    </w:p>
    <w:p w:rsidR="0033382B" w:rsidRDefault="0033382B" w:rsidP="0033382B">
      <w:pPr>
        <w:pStyle w:val="TextoNormal"/>
      </w:pPr>
      <w:r>
        <w:t>En el presente caso, la derogación de la letra b) del apartado 3 y el segundo párrafo del apartado 4 del art. 9 del Decreto-ley 1/2009, de 22 de diciembre, de ordenación de los equipamientos comerciales, que efectúa el Decreto-ley 7/2014 ahora impugnado determina que la nueva redacción el Decreto-ley 1/2009, tras esta modificación, tenga el mismo contenido que el que otorgó el art. 114 de la Ley del Parlamento de Cataluña 9/2011, a los apartado 3 y 4 del art. 9 del Decreto-ley 1/2009; los cuales fueron declarados inconstitucionales y nulos por la STC 193/2013, de 21 de noviembre.</w:t>
      </w:r>
    </w:p>
    <w:p w:rsidR="0033382B" w:rsidRDefault="0033382B" w:rsidP="0033382B">
      <w:pPr>
        <w:pStyle w:val="TextoNormal"/>
      </w:pPr>
    </w:p>
    <w:p w:rsidR="0033382B" w:rsidRDefault="0033382B" w:rsidP="0033382B">
      <w:pPr>
        <w:pStyle w:val="TextoNormal"/>
      </w:pPr>
      <w:r>
        <w:t>En efecto, los apartados 3 y 4 del art. 9 del Decreto-ley 1/2009 en la redacción que les confirió el art. 114 de la ley 9/2011 eran del siguiente tenor:</w:t>
      </w:r>
    </w:p>
    <w:p w:rsidR="0033382B" w:rsidRDefault="0033382B" w:rsidP="0033382B">
      <w:pPr>
        <w:pStyle w:val="TextoNormal"/>
      </w:pPr>
    </w:p>
    <w:p w:rsidR="0033382B" w:rsidRDefault="0033382B" w:rsidP="0033382B">
      <w:pPr>
        <w:pStyle w:val="TextoNormal"/>
      </w:pPr>
      <w:r>
        <w:t>“3. Los medianos establecimientos comerciales y los grandes establecimientos comerciales sólo pueden implantarse en la trama urbana consolidada de los municipios de más de 5.000 habitantes o asimilables a éstos o que sean capital de comarca. Se entiende por municipio asimilable a uno de más de 5.000 habitantes el que dispone de una población equivalente a tiempo completo anual (ETCA) superior a esta cantidad, según los últimos datos oficiales del Instituto de Estadística de Cataluña (Idescat).</w:t>
      </w:r>
    </w:p>
    <w:p w:rsidR="0033382B" w:rsidRDefault="0033382B" w:rsidP="0033382B">
      <w:pPr>
        <w:pStyle w:val="TextoNormal"/>
      </w:pPr>
    </w:p>
    <w:p w:rsidR="0033382B" w:rsidRDefault="0033382B" w:rsidP="0033382B">
      <w:pPr>
        <w:pStyle w:val="TextoNormal"/>
      </w:pPr>
      <w:r>
        <w:t>Excepcionalmente, los medianos establecimientos comerciales y los grandes establecimientos comerciales pueden implantarse también fuera de la trama urbana consolidada si la implantación se produce dentro de las zonas de acceso restringido de las estaciones de líneas transfronterizas y transregionales del sistema ferroviario que acogen el tren de alta velocidad o líneas de largo recorrido, de los puertos clasificados de interés general y de los aeropuertos con categoría de aeropuertos comerciales según el plan de aeropuertos, aeródromos y helipuertos de Cataluña 2009-2015.</w:t>
      </w:r>
    </w:p>
    <w:p w:rsidR="0033382B" w:rsidRDefault="0033382B" w:rsidP="0033382B">
      <w:pPr>
        <w:pStyle w:val="TextoNormal"/>
      </w:pPr>
    </w:p>
    <w:p w:rsidR="0033382B" w:rsidRDefault="0033382B" w:rsidP="0033382B">
      <w:pPr>
        <w:pStyle w:val="TextoNormal"/>
      </w:pPr>
      <w:r>
        <w:t>4. Los grandes establecimientos comerciales territoriales pueden implantarse únicamente en la trama urbana consolidada de los municipios de más de 50.000 habitantes o los asimilables a éstos o que sean capital de comarca. Se entiende por municipio asimilable a uno de más de 50.000 habitantes el que dispone de una población equivalente a tiempo completo anual (ETCA) superior a esta cantidad, según los últimos datos oficiales del Instituto de Estadística de Cataluña (Idescat).”</w:t>
      </w:r>
    </w:p>
    <w:p w:rsidR="0033382B" w:rsidRDefault="0033382B" w:rsidP="0033382B">
      <w:pPr>
        <w:pStyle w:val="TextoNormal"/>
      </w:pPr>
    </w:p>
    <w:p w:rsidR="0033382B" w:rsidRDefault="0033382B" w:rsidP="0033382B">
      <w:pPr>
        <w:pStyle w:val="TextoNormal"/>
      </w:pPr>
      <w:r>
        <w:t>Como se ha indicado, la STC 193/2013, de 21 de noviembre, declaró la inconstitucionalidad y nulidad de los preceptos transcritos. Tras esta Sentencia se dictó la Ley 2/2014, de 27 de enero, de medidas fiscales, administrativas, financieras del sector público de Cataluña, la cual, en la disposición adicional vigésima séptima, declaró vigentes los apartados 3 y 4 del artículo 9 del Decreto-ley 1/2009, de 22 de diciembre, de ordenación de los equipamientos comerciales, en la redacción que tenían en el momento de entrar en vigor el 29 de diciembre de 2009, en los que se establece:</w:t>
      </w:r>
    </w:p>
    <w:p w:rsidR="0033382B" w:rsidRDefault="0033382B" w:rsidP="0033382B">
      <w:pPr>
        <w:pStyle w:val="TextoNormal"/>
      </w:pPr>
    </w:p>
    <w:p w:rsidR="0033382B" w:rsidRDefault="0033382B" w:rsidP="0033382B">
      <w:pPr>
        <w:pStyle w:val="TextoNormal"/>
      </w:pPr>
      <w:r>
        <w:t>“3. Los medianos establecimientos comerciales y los grandes establecimientos comerciales sólo pueden implantarse en la trama urbana consolidada de los municipios de más de 5.000 habitantes o asimilables a éstos o que sean capital de comarca. Por reglamento, deben concretarse las características que han de concurrir para poder considerar un municipio como asimilable a uno de más de 5.000 habitantes.</w:t>
      </w:r>
    </w:p>
    <w:p w:rsidR="0033382B" w:rsidRDefault="0033382B" w:rsidP="0033382B">
      <w:pPr>
        <w:pStyle w:val="TextoNormal"/>
      </w:pPr>
    </w:p>
    <w:p w:rsidR="0033382B" w:rsidRDefault="0033382B" w:rsidP="0033382B">
      <w:pPr>
        <w:pStyle w:val="TextoNormal"/>
      </w:pPr>
      <w:r>
        <w:t>Excepcionalmente se pueden implantar también fuera de la trama urbana consolidada cuando concurra alguna de las circunstancias siguientes:</w:t>
      </w:r>
    </w:p>
    <w:p w:rsidR="0033382B" w:rsidRDefault="0033382B" w:rsidP="0033382B">
      <w:pPr>
        <w:pStyle w:val="TextoNormal"/>
      </w:pPr>
    </w:p>
    <w:p w:rsidR="0033382B" w:rsidRDefault="0033382B" w:rsidP="0033382B">
      <w:pPr>
        <w:pStyle w:val="TextoNormal"/>
      </w:pPr>
      <w:r>
        <w:t>a) Que la implantación se produzca dentro de las zonas de acceso restringido de las estaciones de líneas transfronterizas y transregionales del sistema ferroviario que acojan el tren de alta velocidad o líneas de largo recorrido, de los puertos clasificados de interés general y de los aeropuertos con categoría de aeropuertos comerciales, según el Plan de aeropuertos, aeródromos y helipuertos de Cataluña 2009-2015.</w:t>
      </w:r>
    </w:p>
    <w:p w:rsidR="0033382B" w:rsidRDefault="0033382B" w:rsidP="0033382B">
      <w:pPr>
        <w:pStyle w:val="TextoNormal"/>
      </w:pPr>
    </w:p>
    <w:p w:rsidR="0033382B" w:rsidRDefault="0033382B" w:rsidP="0033382B">
      <w:pPr>
        <w:pStyle w:val="TextoNormal"/>
      </w:pPr>
      <w:r>
        <w:t>b) Que sea justificada la localización fuera de la trama urbana consolidada de un establecimiento individual y siempre que se cumplan todas y cada una de las condiciones siguientes:</w:t>
      </w:r>
    </w:p>
    <w:p w:rsidR="0033382B" w:rsidRDefault="0033382B" w:rsidP="0033382B">
      <w:pPr>
        <w:pStyle w:val="TextoNormal"/>
      </w:pPr>
    </w:p>
    <w:p w:rsidR="0033382B" w:rsidRDefault="0033382B" w:rsidP="0033382B">
      <w:pPr>
        <w:pStyle w:val="TextoNormal"/>
      </w:pPr>
      <w:r>
        <w:t>1) El emplazamiento tiene que estar situado en continuidad física con el tejido urbano residencial, que configura la TUC, sin que pueda estar separado de ésta por ninguna barrera física no permeable significativa.</w:t>
      </w:r>
    </w:p>
    <w:p w:rsidR="0033382B" w:rsidRDefault="0033382B" w:rsidP="0033382B">
      <w:pPr>
        <w:pStyle w:val="TextoNormal"/>
      </w:pPr>
    </w:p>
    <w:p w:rsidR="0033382B" w:rsidRDefault="0033382B" w:rsidP="0033382B">
      <w:pPr>
        <w:pStyle w:val="TextoNormal"/>
      </w:pPr>
      <w:r>
        <w:t>2) El planeamiento urbanístico ha de admitir el uso comercial con carácter dominante o principal en la parcela donde se pretende implantar el establecimiento comercial.</w:t>
      </w:r>
    </w:p>
    <w:p w:rsidR="0033382B" w:rsidRDefault="0033382B" w:rsidP="0033382B">
      <w:pPr>
        <w:pStyle w:val="TextoNormal"/>
      </w:pPr>
    </w:p>
    <w:p w:rsidR="0033382B" w:rsidRDefault="0033382B" w:rsidP="0033382B">
      <w:pPr>
        <w:pStyle w:val="TextoNormal"/>
      </w:pPr>
      <w:r>
        <w:t>3) El establecimiento comercial ha de localizarse en parcela aislada con acceso principal desde la calle perimetral a la TUC. Esta calle ha de dar continuidad o complementar la red viaria principal del municipio y facilitar la conexión urbana para peatones y bicicletas desde la zona residencial confrontante.</w:t>
      </w:r>
    </w:p>
    <w:p w:rsidR="0033382B" w:rsidRDefault="0033382B" w:rsidP="0033382B">
      <w:pPr>
        <w:pStyle w:val="TextoNormal"/>
      </w:pPr>
    </w:p>
    <w:p w:rsidR="0033382B" w:rsidRDefault="0033382B" w:rsidP="0033382B">
      <w:pPr>
        <w:pStyle w:val="TextoNormal"/>
      </w:pPr>
      <w:r>
        <w:t>4) El establecimiento comercial debe estar a una distancia inferior a 200 metros, respecto de la entrada principal, de una parada de transporte público urbano integrado en la red municipal o se ha de prever la instalación de paradas, terminales o estaciones para atender los flujos de público previsibles.</w:t>
      </w:r>
    </w:p>
    <w:p w:rsidR="0033382B" w:rsidRDefault="0033382B" w:rsidP="0033382B">
      <w:pPr>
        <w:pStyle w:val="TextoNormal"/>
      </w:pPr>
    </w:p>
    <w:p w:rsidR="0033382B" w:rsidRDefault="0033382B" w:rsidP="0033382B">
      <w:pPr>
        <w:pStyle w:val="TextoNormal"/>
      </w:pPr>
      <w:r>
        <w:t>La excepcionalidad a que se refiere el apartado b) puede ser válida también para establecimientos comerciales colectivos, si en el momento de la solicitud de la licencia comercial ya queda definido el proyecto comercial, el cual tiene que cumplir todas y cada una de las características del artículo 5.b), así como el resto de las condiciones de la excepcionalidad mencionada.</w:t>
      </w:r>
    </w:p>
    <w:p w:rsidR="0033382B" w:rsidRDefault="0033382B" w:rsidP="0033382B">
      <w:pPr>
        <w:pStyle w:val="TextoNormal"/>
      </w:pPr>
    </w:p>
    <w:p w:rsidR="0033382B" w:rsidRDefault="0033382B" w:rsidP="0033382B">
      <w:pPr>
        <w:pStyle w:val="TextoNormal"/>
      </w:pPr>
      <w:r>
        <w:t>Por reglamento se deben detallar las condiciones de estas excepcionalidades.</w:t>
      </w:r>
    </w:p>
    <w:p w:rsidR="0033382B" w:rsidRDefault="0033382B" w:rsidP="0033382B">
      <w:pPr>
        <w:pStyle w:val="TextoNormal"/>
      </w:pPr>
    </w:p>
    <w:p w:rsidR="0033382B" w:rsidRDefault="0033382B" w:rsidP="0033382B">
      <w:pPr>
        <w:pStyle w:val="TextoNormal"/>
      </w:pPr>
      <w:r>
        <w:t>4. Los grandes establecimientos comerciales territoriales pueden implantarse únicamente en la trama urbana consolidada de los municipios de más de 50.000 habitantes o los asimilables a éstos o que sean capital de comarca. Por reglamento, deben concretarse las características que han de concurrir para considerar un municipio como asimilable a uno de más de 50.000 habitantes.</w:t>
      </w:r>
    </w:p>
    <w:p w:rsidR="0033382B" w:rsidRDefault="0033382B" w:rsidP="0033382B">
      <w:pPr>
        <w:pStyle w:val="TextoNormal"/>
      </w:pPr>
    </w:p>
    <w:p w:rsidR="0033382B" w:rsidRDefault="0033382B" w:rsidP="0033382B">
      <w:pPr>
        <w:pStyle w:val="TextoNormal"/>
      </w:pPr>
      <w:r>
        <w:t>Excepcionalmente, estos establecimientos pueden implantarse fuera de la trama urbana consolidada cuando concurran las circunstancias previstas en el apartado a) y b) del punto 3 de este artículo, siempre que se justifique también la conexión al transporte público interurbano.”</w:t>
      </w:r>
    </w:p>
    <w:p w:rsidR="0033382B" w:rsidRDefault="0033382B" w:rsidP="0033382B">
      <w:pPr>
        <w:pStyle w:val="TextoNormal"/>
      </w:pPr>
    </w:p>
    <w:p w:rsidR="0033382B" w:rsidRDefault="0033382B" w:rsidP="0033382B">
      <w:pPr>
        <w:pStyle w:val="TextoNormal"/>
      </w:pPr>
      <w:r>
        <w:t>Esta regulación, mediante la que se dispone que, de forma excepcional y cumpliendo una serie de requisitos, pueden implantarse grandes establecimientos comerciales fuera de la trama urbana consolidada, es la que modifica el Decreto-ley 7/2014 ahora impugnado, derogando los apartados en los que excepcionalmente se permitía la implantación de medianos y grandes centros comerciales fuera de la trama urbana consolidada.</w:t>
      </w:r>
    </w:p>
    <w:p w:rsidR="0033382B" w:rsidRDefault="0033382B" w:rsidP="0033382B">
      <w:pPr>
        <w:pStyle w:val="TextoNormal"/>
      </w:pPr>
    </w:p>
    <w:p w:rsidR="0033382B" w:rsidRDefault="0033382B" w:rsidP="0033382B">
      <w:pPr>
        <w:pStyle w:val="TextoNormal"/>
      </w:pPr>
      <w:r>
        <w:t>Los apartados 3 y 4 art 9 del Decreto-ley 1 /2009, después de la reforma que efectúa la norma ahora impugnada, disponen:</w:t>
      </w:r>
    </w:p>
    <w:p w:rsidR="0033382B" w:rsidRDefault="0033382B" w:rsidP="0033382B">
      <w:pPr>
        <w:pStyle w:val="TextoNormal"/>
      </w:pPr>
    </w:p>
    <w:p w:rsidR="0033382B" w:rsidRDefault="0033382B" w:rsidP="0033382B">
      <w:pPr>
        <w:pStyle w:val="TextoNormal"/>
      </w:pPr>
      <w:r>
        <w:t>“3. Los medianos establecimientos comerciales y los grandes establecimientos comerciales sólo pueden implantarse en la trama urbana consolidada de los municipios de más de 5.000 habitantes o asimilables a éstos o que sean capital de comarca. Por reglamento, deben concretarse las características que han de concurrir para poder considerar un municipio como asimilable a uno de más de 5.000 habitantes.</w:t>
      </w:r>
    </w:p>
    <w:p w:rsidR="0033382B" w:rsidRDefault="0033382B" w:rsidP="0033382B">
      <w:pPr>
        <w:pStyle w:val="TextoNormal"/>
      </w:pPr>
    </w:p>
    <w:p w:rsidR="0033382B" w:rsidRDefault="0033382B" w:rsidP="0033382B">
      <w:pPr>
        <w:pStyle w:val="TextoNormal"/>
      </w:pPr>
      <w:r>
        <w:t>Excepcionalmente se pueden implantar también fuera de la trama urbana consolidada cuando concurra alguna de las circunstancias siguientes:</w:t>
      </w:r>
    </w:p>
    <w:p w:rsidR="0033382B" w:rsidRDefault="0033382B" w:rsidP="0033382B">
      <w:pPr>
        <w:pStyle w:val="TextoNormal"/>
      </w:pPr>
    </w:p>
    <w:p w:rsidR="0033382B" w:rsidRDefault="0033382B" w:rsidP="0033382B">
      <w:pPr>
        <w:pStyle w:val="TextoNormal"/>
      </w:pPr>
      <w:r>
        <w:t>a) Que la implantación se produzca dentro de las zonas de acceso restringido de las estaciones de líneas transfronterizas y transregionales del sistema ferroviario que acojan el tren de alta velocidad o líneas de largo recorrido, de los puertos clasificados de interés general y de los aeropuertos con categoría de aeropuertos comerciales, según el Plan de aeropuertos, aeródromos y helipuertos de Cataluña 2009-2015.</w:t>
      </w:r>
    </w:p>
    <w:p w:rsidR="0033382B" w:rsidRDefault="0033382B" w:rsidP="0033382B">
      <w:pPr>
        <w:pStyle w:val="TextoNormal"/>
      </w:pPr>
    </w:p>
    <w:p w:rsidR="0033382B" w:rsidRDefault="0033382B" w:rsidP="0033382B">
      <w:pPr>
        <w:pStyle w:val="TextoNormal"/>
      </w:pPr>
      <w:r>
        <w:t>b) ...</w:t>
      </w:r>
    </w:p>
    <w:p w:rsidR="0033382B" w:rsidRDefault="0033382B" w:rsidP="0033382B">
      <w:pPr>
        <w:pStyle w:val="TextoNormal"/>
      </w:pPr>
    </w:p>
    <w:p w:rsidR="0033382B" w:rsidRDefault="0033382B" w:rsidP="0033382B">
      <w:pPr>
        <w:pStyle w:val="TextoNormal"/>
      </w:pPr>
      <w:r>
        <w:t>La excepcionalidad a que se refiere el apartado b) puede ser válida también para establecimientos comerciales colectivos, si en el momento de la solicitud de la licencia comercial ya queda definido el proyecto comercial, el cual tiene que cumplir todas y cada una de las características del artículo 5.b), así como el resto de las condiciones de la excepcionalidad mencionada.</w:t>
      </w:r>
    </w:p>
    <w:p w:rsidR="0033382B" w:rsidRDefault="0033382B" w:rsidP="0033382B">
      <w:pPr>
        <w:pStyle w:val="TextoNormal"/>
      </w:pPr>
    </w:p>
    <w:p w:rsidR="0033382B" w:rsidRDefault="0033382B" w:rsidP="0033382B">
      <w:pPr>
        <w:pStyle w:val="TextoNormal"/>
      </w:pPr>
      <w:r>
        <w:t>Por reglamento se deben detallar las condiciones de estas excepcionalidades.</w:t>
      </w:r>
    </w:p>
    <w:p w:rsidR="0033382B" w:rsidRDefault="0033382B" w:rsidP="0033382B">
      <w:pPr>
        <w:pStyle w:val="TextoNormal"/>
      </w:pPr>
    </w:p>
    <w:p w:rsidR="0033382B" w:rsidRDefault="0033382B" w:rsidP="0033382B">
      <w:pPr>
        <w:pStyle w:val="TextoNormal"/>
      </w:pPr>
      <w:r>
        <w:t>4. Los grandes establecimientos comerciales territoriales pueden implantarse únicamente en la trama urbana consolidada de los municipios de más de 50.000 habitantes o los asimilables a éstos o que sean capital de comarca. Por reglamento, deben concretarse las características que han de concurrir para considerar un municipio como asimilable a uno de más de 50.000 habitantes.”</w:t>
      </w:r>
    </w:p>
    <w:p w:rsidR="0033382B" w:rsidRDefault="0033382B" w:rsidP="0033382B">
      <w:pPr>
        <w:pStyle w:val="TextoNormal"/>
      </w:pPr>
    </w:p>
    <w:p w:rsidR="0033382B" w:rsidRDefault="0033382B" w:rsidP="0033382B">
      <w:pPr>
        <w:pStyle w:val="TextoNormal"/>
      </w:pPr>
      <w:r>
        <w:t>Resulta, por tanto, que, como consecuencia de la modificación legislativa que efectúa el Decreto-ley ahora impugnado, en Cataluña solo puede instalarse este tipo de establecimientos comerciales en los municipios que cuenten con un número de habitantes (5.000, en el caso de los medianos y grandes establecimientos y de 50.000 en el de grandes establecimientos territoriales), que sean capital de comarca, o que la implantación se produzca dentro de las zonas de acceso restringido de las estaciones de líneas transfronterizas y transregionales del sistema ferroviario, que acojan al tren de alta velocidad o líneas de largo recorrido, de los puertos clasificados de interés general y de los aeropuertos comerciales. De ahí que la norma ahora impugnada, al derogar los apartados del precepto en los que excepcionalmente se permitía la instalación de este tipo de establecimientos fuera de la trama urbana consolidada, ha establecido una regulación de contenido muy similar a la que este Tribunal declaró inconstitucional en la STC 193/2013.</w:t>
      </w:r>
    </w:p>
    <w:p w:rsidR="0033382B" w:rsidRDefault="0033382B" w:rsidP="0033382B">
      <w:pPr>
        <w:pStyle w:val="TextoNormal"/>
      </w:pPr>
    </w:p>
    <w:p w:rsidR="0033382B" w:rsidRDefault="0033382B" w:rsidP="0033382B">
      <w:pPr>
        <w:pStyle w:val="TextoNormal"/>
      </w:pPr>
      <w:r w:rsidRPr="0033382B">
        <w:rPr>
          <w:rStyle w:val="NumeroAFNegritaCaracter"/>
        </w:rPr>
        <w:t>4</w:t>
      </w:r>
      <w:r>
        <w:t xml:space="preserve">. Al existir una gran similitud entre la normativa que declaró inconstitucional y nula la STC 193/2013 y la que regula esta materia tras la derogación que lleva a cabo la norma impugnada en este proceso constitucional, la presunción de constitucionalidad de la Ley impugnada debe ceder ante la apariencia de buen derecho que se deriva de la referida Sentencia y, por ello, ha de mantenerse la suspensión de la eficacia del Decreto-ley impugnado al concurrir el presupuesto que, por excepción, permite resolver el incidente de suspensión en virtud del criterio del </w:t>
      </w:r>
      <w:r w:rsidRPr="0033382B">
        <w:rPr>
          <w:i/>
        </w:rPr>
        <w:t>fumus boni iuris</w:t>
      </w:r>
      <w:r>
        <w:t xml:space="preserve"> o apariencia de buen derecho.</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Mantener la suspensión del Decreto-ley de la Generalitat de Cataluña 7/2014, de 23 de diciembre, por el cual se deroga la letra b) del apartado 3 y el segundo párrafo del apartado 4 del art. 9 del Decreto-ley 1/2009, de 22 de diciembre, de ordenación de los equipamientos comerciales.</w:t>
      </w:r>
    </w:p>
    <w:p w:rsidR="0033382B" w:rsidRDefault="0033382B" w:rsidP="0033382B">
      <w:pPr>
        <w:pStyle w:val="TextoNormal"/>
      </w:pPr>
    </w:p>
    <w:p w:rsidR="0033382B" w:rsidRDefault="0033382B" w:rsidP="0033382B">
      <w:pPr>
        <w:pStyle w:val="TextoNormal"/>
      </w:pPr>
      <w:r>
        <w:t>Madrid, a dieciséis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69" w:name="AUTO_2016_42"/>
      <w:r>
        <w:t>AUTO 42/2016, de 16 de febrero de 2016</w:t>
      </w:r>
    </w:p>
    <w:bookmarkEnd w:id="169"/>
    <w:p w:rsidR="0033382B" w:rsidRDefault="0033382B" w:rsidP="0033382B">
      <w:pPr>
        <w:pStyle w:val="TtuloResolucin"/>
      </w:pPr>
      <w:r>
        <w:t>Pleno</w:t>
      </w:r>
    </w:p>
    <w:p w:rsidR="0033382B" w:rsidRDefault="0033382B" w:rsidP="0033382B">
      <w:pPr>
        <w:pStyle w:val="TextoNormalCentrado"/>
      </w:pPr>
      <w:r>
        <w:t>ECLI:ES:TC:2016:42A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6446-2015, planteada por el Juzgado de Primera Instancia núm. 5 de Alcobendas en relación con la disposición transitoria cuarta de la Ley 1/2013, de 14 de mayo, de medidas para reforzar la protección a los deudores hipotecarios, reestructuración de la deuda y alquiler social.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día 17 de noviembre de 2015 tuvo entrada en el Registro General de este Tribunal un escrito del Juzgado de Primera Instancia núm. 5 de Alcobendas al que se acompaña testimonio del procedimiento de ejecución hipotecaria 663-2010 y del Auto de fecha 24 de abril de 2014 por el que se acuerda plantear cuestión de inconstitucionalidad en relación con la disposición transitoria cuarta de la Ley 1/2013, de 14 de mayo, de medidas para reforzar la protección a los deudores hipotecarios, reestructuración de la deuda y alquiler social, por posible vulneración del art. 24.1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En el citado procedimiento de ejecución hipotecaria, tras los trámites oportunos (Auto despachando ejecución de 30 de junio de 2010 y subasta del bien hipotecado, el 27 de febrero de 2013), se procedió a adjudicar el inmueble a la entidad ejecutante (Ibercaja Banco, S.A.U.), a su instancia, por no haber asistido postores al acto de subasta, conforme establece el art. 671 de la Ley de enjuiciamiento civil (decreto del Secretario Judicial de 25 de marzo de 2013).</w:t>
      </w:r>
    </w:p>
    <w:p w:rsidR="0033382B" w:rsidRDefault="0033382B" w:rsidP="0033382B">
      <w:pPr>
        <w:pStyle w:val="TextoNormal"/>
      </w:pPr>
    </w:p>
    <w:p w:rsidR="0033382B" w:rsidRDefault="0033382B" w:rsidP="0033382B">
      <w:pPr>
        <w:pStyle w:val="TextoNormal"/>
      </w:pPr>
      <w:r>
        <w:t>b) Por diligencia de ordenación de 4 de junio de 2013, el Juzgado ordenó el lanzamiento de los ejecutados.</w:t>
      </w:r>
    </w:p>
    <w:p w:rsidR="0033382B" w:rsidRDefault="0033382B" w:rsidP="0033382B">
      <w:pPr>
        <w:pStyle w:val="TextoNormal"/>
      </w:pPr>
    </w:p>
    <w:p w:rsidR="0033382B" w:rsidRDefault="0033382B" w:rsidP="0033382B">
      <w:pPr>
        <w:pStyle w:val="TextoNormal"/>
      </w:pPr>
      <w:r>
        <w:t>c) El 14 de junio de 2013, don J.C.G, uno de los ejecutados, presentó en el Decanato de los Juzgados de Alcobendas un “incidente de oposición en base al art. 695.1.4 de la Ley de enjuiciamiento civil”, introducido por la Ley 1/2013, de 14 de mayo, de medidas para reforzar la protección a los deudores hipotecarios, reestructuración de la deuda y alquiler social, haciendo constar expresamente que lo hacía dentro del plazo de un mes desde la entrada en vigor de la citada Ley 1/2013, según autorizaba a hacer su disposición transitoria cuarta.</w:t>
      </w:r>
    </w:p>
    <w:p w:rsidR="0033382B" w:rsidRDefault="0033382B" w:rsidP="0033382B">
      <w:pPr>
        <w:pStyle w:val="TextoNormal"/>
      </w:pPr>
    </w:p>
    <w:p w:rsidR="0033382B" w:rsidRDefault="0033382B" w:rsidP="0033382B">
      <w:pPr>
        <w:pStyle w:val="TextoNormal"/>
      </w:pPr>
      <w:r>
        <w:t>En el citado incidente, tras poner de manifiesto el carácter abusivo de la “cláusula suelo” presente en su contrato de constitución de hipoteca, confirmado por el Auto de la Sala Primera del Tribunal Supremo de 9 de mayo de 2013, carácter que podía hacer valer en ese momento de acuerdo con la modificación del art. 695.1 de la Ley de enjuiciamiento civil efectuada por la Ley 1/2013 mencionada, solicitaba: (i) el planteamiento de una cuestión prejudicial ante el Tribunal de Justicia de la Unión Europea en relación con diversos aspectos de la Ley 1/2013; (ii) el planteamiento de una cuestión de inconstitucionalidad ante este Tribunal Constitucional en relación con el sistema de cómputo del plazo de un mes para hacer valer esta nueva causa de oposición a la ejecución introducida en el citado art. 695.1.4 de la Ley de enjuiciamiento civil por la Ley 1/2013, que se cuenta desde la entrada en vigor de la citada Ley 1/2013 y sin exigir una notificación individual al ejecutado, de acuerdo con su disposición transitoria cuarta, por considerar que dicho sistema de cómputo vulnera el derecho a la tutela judicial efectiva del art. 24.1 CE; y (iii) subsidiariamente, para el caso de que no se estimase lo anterior (plantear las cuestiones prejudicial y de inconstitucionalidad citadas), que el Juzgado tuviera por impugnadas por abusivas determinadas cláusulas de su contrato de hipoteca.</w:t>
      </w:r>
    </w:p>
    <w:p w:rsidR="0033382B" w:rsidRDefault="0033382B" w:rsidP="0033382B">
      <w:pPr>
        <w:pStyle w:val="TextoNormal"/>
      </w:pPr>
    </w:p>
    <w:p w:rsidR="0033382B" w:rsidRDefault="0033382B" w:rsidP="0033382B">
      <w:pPr>
        <w:pStyle w:val="TextoNormal"/>
      </w:pPr>
      <w:r>
        <w:t>d) Recibido el incidente, el Juzgado, mediante diligencia de ordenación de la Secretaria Judicial de fecha 19 de junio de 2013 suspendió la ejecución hipotecaria y, a tenor de lo dispuesto en el art. 695 de la Ley de enjuiciamiento civil, citó a las partes a una vista el día 14 de noviembre de 2013 al objeto de ser oídos sobre “la oposición formulada”.</w:t>
      </w:r>
    </w:p>
    <w:p w:rsidR="0033382B" w:rsidRDefault="0033382B" w:rsidP="0033382B">
      <w:pPr>
        <w:pStyle w:val="TextoNormal"/>
      </w:pPr>
    </w:p>
    <w:p w:rsidR="0033382B" w:rsidRDefault="0033382B" w:rsidP="0033382B">
      <w:pPr>
        <w:pStyle w:val="TextoNormal"/>
      </w:pPr>
      <w:r>
        <w:t>e) Celebrada la vista, el Juzgado resolvió por Auto de 24 de abril de 2014 lo siguiente:</w:t>
      </w:r>
    </w:p>
    <w:p w:rsidR="0033382B" w:rsidRDefault="0033382B" w:rsidP="0033382B">
      <w:pPr>
        <w:pStyle w:val="TextoNormal"/>
      </w:pPr>
    </w:p>
    <w:p w:rsidR="0033382B" w:rsidRDefault="0033382B" w:rsidP="0033382B">
      <w:pPr>
        <w:pStyle w:val="TextoNormal"/>
      </w:pPr>
      <w:r>
        <w:t>“Primero.- Acuerdo la nulidad del Decreto de adjudicación de 25 de marzo de 2013.</w:t>
      </w:r>
    </w:p>
    <w:p w:rsidR="0033382B" w:rsidRDefault="0033382B" w:rsidP="0033382B">
      <w:pPr>
        <w:pStyle w:val="TextoNormal"/>
      </w:pPr>
    </w:p>
    <w:p w:rsidR="0033382B" w:rsidRDefault="0033382B" w:rsidP="0033382B">
      <w:pPr>
        <w:pStyle w:val="TextoNormal"/>
      </w:pPr>
      <w:r>
        <w:t>Segundo.- Plantear cuestión prejudicial de interpretación al Tribunal de Justicia de la Unión Europea, a través de las siguientes cuestiones:</w:t>
      </w:r>
    </w:p>
    <w:p w:rsidR="0033382B" w:rsidRDefault="0033382B" w:rsidP="0033382B">
      <w:pPr>
        <w:pStyle w:val="TextoNormal"/>
      </w:pPr>
    </w:p>
    <w:p w:rsidR="0033382B" w:rsidRDefault="0033382B" w:rsidP="0033382B">
      <w:pPr>
        <w:pStyle w:val="TextoNormal"/>
      </w:pPr>
      <w:r>
        <w:t>1. Elevación de cuestión prejudicial al Tribunal de Justicia de la Unión Europea relativa a la obligación de revisión de oficio de las cláusulas abusivas del título que se ejecuta en el contrato de autos.</w:t>
      </w:r>
    </w:p>
    <w:p w:rsidR="0033382B" w:rsidRDefault="0033382B" w:rsidP="0033382B">
      <w:pPr>
        <w:pStyle w:val="TextoNormal"/>
      </w:pPr>
    </w:p>
    <w:p w:rsidR="0033382B" w:rsidRDefault="0033382B" w:rsidP="0033382B">
      <w:pPr>
        <w:pStyle w:val="TextoNormal"/>
      </w:pPr>
      <w:r>
        <w:t xml:space="preserve">2. Elevación de cuestión prejudicial al Tribunal de Justicia de la Unión Europea relativa a la vulneración de la STJUE asunto </w:t>
      </w:r>
      <w:r w:rsidRPr="0033382B">
        <w:rPr>
          <w:i/>
        </w:rPr>
        <w:t>Cofidis</w:t>
      </w:r>
      <w:r>
        <w:t xml:space="preserve"> sobre preclusión realizada por la disposición cuarta (</w:t>
      </w:r>
      <w:r w:rsidRPr="0033382B">
        <w:rPr>
          <w:i/>
        </w:rPr>
        <w:t>sic</w:t>
      </w:r>
      <w:r>
        <w:t>) de la Ley 1/2013.</w:t>
      </w:r>
    </w:p>
    <w:p w:rsidR="0033382B" w:rsidRDefault="0033382B" w:rsidP="0033382B">
      <w:pPr>
        <w:pStyle w:val="TextoNormal"/>
      </w:pPr>
    </w:p>
    <w:p w:rsidR="0033382B" w:rsidRDefault="0033382B" w:rsidP="0033382B">
      <w:pPr>
        <w:pStyle w:val="TextoNormal"/>
      </w:pPr>
      <w:r>
        <w:t>Tercero.- Plantear cuestión de inconstitucionalidad sobre la disposición transitoria cuarta de la Ley 1/2013, por vulneración del derecho a la tutela judicial efectiva regulado en el artículo 24 de la Constitución española.</w:t>
      </w:r>
    </w:p>
    <w:p w:rsidR="0033382B" w:rsidRDefault="0033382B" w:rsidP="0033382B">
      <w:pPr>
        <w:pStyle w:val="TextoNormal"/>
      </w:pPr>
    </w:p>
    <w:p w:rsidR="0033382B" w:rsidRDefault="0033382B" w:rsidP="0033382B">
      <w:pPr>
        <w:pStyle w:val="TextoNormal"/>
      </w:pPr>
      <w:r>
        <w:t>Cuarto.- Suspender la tramitación de la presente causa, en tanto se resuelven las presentes cuestiones.”</w:t>
      </w:r>
    </w:p>
    <w:p w:rsidR="0033382B" w:rsidRDefault="0033382B" w:rsidP="0033382B">
      <w:pPr>
        <w:pStyle w:val="TextoNormal"/>
      </w:pPr>
    </w:p>
    <w:p w:rsidR="0033382B" w:rsidRDefault="0033382B" w:rsidP="0033382B">
      <w:pPr>
        <w:pStyle w:val="TextoNormal"/>
      </w:pPr>
      <w:r>
        <w:t>f) Contra el citado Auto, la parte ejecutante interpuso recurso de apelación ante la Audiencia Provincial de Madrid, que fue admitido a trámite. La Sección Decimoctava de la citada Audiencia Provincial, por Auto de 19 de enero de 2015, desestimó el mencionado recurso de apelación razonando, en lo que a este proceso interesa, que “no cabe recurrir en apelación la decisión tomada por la Juzgadora de plantear las cuestiones prejudiciales ante el Tribunal de Justicia ni la cuestión de inconstitucionalidad” ante el Tribunal Constitucional, sino que “lo precedente es que por parte del Juzgado se tramiten esas cuestiones”.</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en lo que respecta a la cuestión de inconstitucionalidad que en el mismo se promueve, se limita a recoger, por referencia a lo argumentado por el ejecutado en el incidente de oposición formulado, que la disposición transitoria cuarta de la Ley 1/2013, en cuanto establece un plazo preclusivo de un mes a contar desde la publicación de la Ley en el “Boletín Oficial del Estado” sin necesidad de notificación individual a las partes en los procedimientos en trámite para hacer valer en esos procedimientos en curso la nueva causa de oposición a la ejecución introducida en el nuevo art. 695.1.4 de la Ley de enjuiciamiento civil (“el carácter abusivo de una cláusula contractual que constituya el fundamento de la ejecución o que hubiese determinado la cantidad exigible”) pudiera ser contraria al derecho a la tutela judicial efectiva sin indefensión garantizado en el art. 24.1 CE y al derecho a un proceso con todas las garantías del art. 24.2 CE, al considerar bastante la publicación de la Ley como forma de comunicación de la apertura de ese trámite de oposición y excluir expresamente la notificación individual a las partes interesadas acerca de la existencia de esta posibilidad.</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15 de diciembre de 2015, la Sección Cuarta del Tribunal Constitucional acordó oír al Fiscal General del Estado para que, en el plazo de diez días, y a los efectos que determina el art. 37.1 de la Ley Orgánica del Tribunal Constitucional (LOTC), alegase lo que considerase conveniente “en relación con el cumplimiento de los requisitos procesales (art. 35.2 LOTC)”.</w:t>
      </w:r>
    </w:p>
    <w:p w:rsidR="0033382B" w:rsidRDefault="0033382B" w:rsidP="0033382B">
      <w:pPr>
        <w:pStyle w:val="TextoNormal"/>
      </w:pPr>
    </w:p>
    <w:p w:rsidR="0033382B" w:rsidRDefault="0033382B" w:rsidP="0033382B">
      <w:pPr>
        <w:pStyle w:val="TextoNormal"/>
      </w:pPr>
      <w:r w:rsidRPr="0033382B">
        <w:rPr>
          <w:rStyle w:val="NumeroAFNegritaCaracter"/>
        </w:rPr>
        <w:t>5</w:t>
      </w:r>
      <w:r>
        <w:t>. El Fiscal General del Estado evacuó el trámite conferido mediante escrito registrado el 28 de enero de 2016, en el que interesa la inadmisión de la cuestión de inconstitucionalidad por el “incumplimiento palmario y evidente de los requisitos del trámite de audiencia”.</w:t>
      </w:r>
    </w:p>
    <w:p w:rsidR="0033382B" w:rsidRDefault="0033382B" w:rsidP="0033382B">
      <w:pPr>
        <w:pStyle w:val="TextoNormal"/>
      </w:pPr>
    </w:p>
    <w:p w:rsidR="0033382B" w:rsidRDefault="0033382B" w:rsidP="0033382B">
      <w:pPr>
        <w:pStyle w:val="TextoNormal"/>
      </w:pPr>
      <w:r>
        <w:t>Tras recordar la importancia que otorga a este trámite la doctrina de este Tribunal, como medio que asegura la intervención de las partes y permite al órgano promotor de la cuestión conocer la opinión al respecto de los sujetos interesados y del Ministerio Fiscal, concluye en base a ello que en este caso “no existió en realidad trámite de audiencia” y que esa falta constituye un “defecto insubsanable en el modo de proposición de la cuestión que hace que la misma resulte inadmisible” (cita los AATC 295/2006, FJ 2; 263/2006, FJ 3, y 164/2006, FJ único). Y así, señala los siguientes defectos en el cumplimiento del referido trámite: en primer lugar, el órgano judicial en ningún momento suscitó a las parte sus dudas sobre la constitucionalidad del precepto controvertido; en segundo término, la celebración de la vista de oposición a la ejecución del art. 695.2 de la Ley de enjuiciamiento civil y las alegaciones orales vertidas en ella no cumplen, tampoco, con el tenor literal del art. 35.2 LOTC, impidiendo además que este Tribunal Constitucional pueda tomar en cuenta esas alegaciones a los efectos de examinar la viabilidad de la cuestión misma y el alcance del problema constitucional planteado por el órgano judicial; (iii) en tercer lugar, en el presente caso tampoco se dio traslado al Ministerio Fiscal para formular alegaciones, tal como exige expresamente el mencionado art. 35.2 LOTC; (iv) y finalmente, en cuarto lugar, le parece que el Auto de planteamiento adolece de “notables deficiencias que le convierten en inidóneo para estimar correctamente planteada la cuestión” de inconstitucionalidad, reputando su contenido “confuso e impreciso”, y así, entre sus defectos principales, señala “que no hay la más mínima justificación sobre la idoneidad del momento procesal para su planteamiento, carece de toda explicación sobre el juicio de aplicabilidad y relevancia de la norma cuestionada … no precisa qué aspectos concretos del contenido de la norma o apartados de la misma son los cuestionados por el órgano judicial, ni qué manifestación del derecho a la tutela judicial efectiva se estaría lesionando”.</w:t>
      </w:r>
    </w:p>
    <w:p w:rsidR="0033382B" w:rsidRDefault="0033382B" w:rsidP="0033382B">
      <w:pPr>
        <w:pStyle w:val="TextoNormal"/>
      </w:pPr>
    </w:p>
    <w:p w:rsidR="0033382B" w:rsidRDefault="0033382B" w:rsidP="0033382B">
      <w:pPr>
        <w:pStyle w:val="TextoNormal"/>
      </w:pPr>
      <w:r>
        <w:t>En definitiva, a su parecer, el “incumplimiento flagrante y patente” de la doctrina constitucional sobre el trámite de audiencia a las partes y al Ministerio Fiscal debe conducir a la inadmisión de la presente cuestión de inconstitucionalidad.</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Juzgado de Primera Instancia núm. 5 de Alcobendas plantea cuestión de inconstitucionalidad en relación con la disposición transitoria cuarta de la Ley 1/2013, de 14 de mayo, de medidas para reforzar la protección a los deudores hipotecarios, reestructuración de la deuda y alquiler social. Le parece que el sistema de cómputo del plazo preclusivo de un mes establecido en la mencionada disposición para hacer valer la nueva causa de oposición a la ejecución introducida en el art. 695.1.4 de la Ley de enjuiciamiento civil (LEC) por la misma Ley 1/2013 en los procedimientos de ejecución que se encontraban en trámite en el momento de su entrada en vigor, que no exige notificación individual a los interesados, pudiera ser contrario al derecho a la tutela judicial efectiva garantizado en el art. 24.1 CE.</w:t>
      </w:r>
    </w:p>
    <w:p w:rsidR="0033382B" w:rsidRDefault="0033382B" w:rsidP="0033382B">
      <w:pPr>
        <w:pStyle w:val="TextoNormal"/>
      </w:pPr>
    </w:p>
    <w:p w:rsidR="0033382B" w:rsidRDefault="0033382B" w:rsidP="0033382B">
      <w:pPr>
        <w:pStyle w:val="TextoNormal"/>
      </w:pPr>
      <w:r>
        <w:t>La Ley 1/2013 añadió al listado tasado de causas de oposición en los procedimientos de ejecución de títulos no judiciales la existencia de cláusulas abusivas en el título (art. 557.1.7 LEC), que no estaba previsto con anterioridad. Correlativamente, la Ley amplió también el listado específico de causas de oposición comprendido entre las normas especiales para la ejecución sobre bienes hipotecados o pignorados (arts. 681 y ss. LEC), añadiendo al mismo “el carácter abusivo de una cláusula contractual que constituya el fundamento de la ejecución o que hubiese determinado la cantidad exigible” (art. 695.1.4 LEC), y dispuso la inmediata aplicación de estas modificaciones a todos los procedimientos de ejecución en trámite en el momento de entrada en vigor de la Ley (disposición transitoria cuarta, apartado 1). Finalmente, para aquellos procedimientos en los que hubiese transcurrido ya el plazo de diez días para formular oposición previsto con carácter general en el art. 556.1 LEC pero que no hubieran culminado con la puesta en posesión del inmueble al adquirente conforme a lo previsto en el art. 675 LEC, la disposición transitoria cuarta de la Ley 1/2013 estableció que “las partes ejecutadas dispondrán de un plazo preclusivo de un mes para formular un incidente extraordinario de oposición basado en la existencia de las nuevas causas de oposición previstas en el apartado 7 del artículo 557.1 y 4 del artículo 695.1 de la Ley de enjuiciamiento civil” (apartado 2), con la particularidad de que el citado “plazo preclusivo de un mes se computará desde el día siguiente a la entrada en vigor de esta Ley” (mismo apartado 2, párrafo segundo) y “[l]a publicidad de la presente disposición tendrá el carácter de comunicación plena y válida a los efectos de notificación y cómputo” del indicado plazo, “no siendo necesario en ningún caso dictar resolución expresa al efecto” (disposición transitoria cuarta, apartado 4).</w:t>
      </w:r>
    </w:p>
    <w:p w:rsidR="0033382B" w:rsidRDefault="0033382B" w:rsidP="0033382B">
      <w:pPr>
        <w:pStyle w:val="TextoNormal"/>
      </w:pPr>
    </w:p>
    <w:p w:rsidR="0033382B" w:rsidRDefault="0033382B" w:rsidP="0033382B">
      <w:pPr>
        <w:pStyle w:val="TextoNormal"/>
      </w:pPr>
      <w:r w:rsidRPr="0033382B">
        <w:rPr>
          <w:rStyle w:val="NumeroAFNegritaCaracter"/>
        </w:rPr>
        <w:t>2</w:t>
      </w:r>
      <w:r>
        <w:t>. En el trámite de admisión, y al amparo del art. 37.1 LOTC, se dio audiencia al Fiscal General del Estado para que alegase sobre la posible falta de condiciones procesales de la presente cuestión de inconstitucionalidad.</w:t>
      </w:r>
    </w:p>
    <w:p w:rsidR="0033382B" w:rsidRDefault="0033382B" w:rsidP="0033382B">
      <w:pPr>
        <w:pStyle w:val="TextoNormal"/>
      </w:pPr>
    </w:p>
    <w:p w:rsidR="0033382B" w:rsidRDefault="0033382B" w:rsidP="0033382B">
      <w:pPr>
        <w:pStyle w:val="TextoNormal"/>
      </w:pPr>
      <w:r>
        <w:t>En indicado trámite, la Fiscal General del Estado ha informado sobre los presupuestos procesales de la cuestión suscitada y la ha considerado inadmisible por apreciar defectos insubsanables en el trámite de audiencia y en el Auto de planteamiento, defectos que han quedado debidamente detallados en el apartado de los antecedentes.</w:t>
      </w:r>
    </w:p>
    <w:p w:rsidR="0033382B" w:rsidRDefault="0033382B" w:rsidP="0033382B">
      <w:pPr>
        <w:pStyle w:val="TextoNormal"/>
      </w:pPr>
    </w:p>
    <w:p w:rsidR="0033382B" w:rsidRDefault="0033382B" w:rsidP="0033382B">
      <w:pPr>
        <w:pStyle w:val="TextoNormal"/>
      </w:pPr>
      <w:r w:rsidRPr="0033382B">
        <w:rPr>
          <w:rStyle w:val="NumeroAFNegritaCaracter"/>
        </w:rPr>
        <w:t>3</w:t>
      </w:r>
      <w:r>
        <w:t>. Tal y como ha apreciado la Fiscal General del Estado, la admisibilidad de una cuestión de inconstitucionalidad, requiere, entre otras “condiciones procesales” (art. 37.1 LOTC), el correcto cumplimiento del denominado trámite de audiencia, esto es, la preceptiva audiencia a las partes y al Ministerio Fiscal antes de elaborar el Auto de planteamiento de la cuestión de inconstitucionalidad por el órgano judicial promotor de la misma. Así lo exige expresamente el art. 35.2 LOTC, que dice que “antes de adoptar mediante auto su decisión definitiva, el órgano judicial oirá a las partes y al Ministerio Fiscal para que en el plazo común e improrrogable de diez días puedan alegar lo que deseen sobre la pertinencia de plantear la cuestión de inconstitucionalidad, o sobre el fondo de ésta; seguidamente y sin más trámite, el juez resolverá en el plazo de tres días”.</w:t>
      </w:r>
    </w:p>
    <w:p w:rsidR="0033382B" w:rsidRDefault="0033382B" w:rsidP="0033382B">
      <w:pPr>
        <w:pStyle w:val="TextoNormal"/>
      </w:pPr>
    </w:p>
    <w:p w:rsidR="0033382B" w:rsidRDefault="0033382B" w:rsidP="0033382B">
      <w:pPr>
        <w:pStyle w:val="TextoNormal"/>
      </w:pPr>
      <w:r>
        <w:t>Según consolidada jurisprudencia de este Tribunal, el trámite de audiencia “responde al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Es por tanto … un requisito de todo punto inexcusable, cuya eventual omisión constituye un defecto en el modo de proposición de la cuestión que ha de determinar, tras el trámite previsto en el art. 37.1 LOTC, la inadmisión de la cuestión así suscitada” (entre otros muchos, AATC 220/2012, de 27 de noviembre, FJ 4, y 389/2008, de 17 de diciembre, FJ 2).</w:t>
      </w:r>
    </w:p>
    <w:p w:rsidR="0033382B" w:rsidRDefault="0033382B" w:rsidP="0033382B">
      <w:pPr>
        <w:pStyle w:val="TextoNormal"/>
      </w:pPr>
    </w:p>
    <w:p w:rsidR="0033382B" w:rsidRDefault="0033382B" w:rsidP="0033382B">
      <w:pPr>
        <w:pStyle w:val="TextoNormal"/>
      </w:pPr>
      <w:r>
        <w:t>En línea de continuidad con esta doctrina general, es asimismo “doctrina reiterada que la omisión del trámite de audiencia de una de las partes constituye sin duda una irregularidad del procedimiento que debe llevar a considerarlo incorrectamente tramitado (ATC 299/2005, de 5 de julio, FJ 3)” (AATC 220/2012, FJ 4, y 266/2014, de 4 de noviembre, FJ 3).</w:t>
      </w:r>
    </w:p>
    <w:p w:rsidR="0033382B" w:rsidRDefault="0033382B" w:rsidP="0033382B">
      <w:pPr>
        <w:pStyle w:val="TextoNormal"/>
      </w:pPr>
    </w:p>
    <w:p w:rsidR="0033382B" w:rsidRDefault="0033382B" w:rsidP="0033382B">
      <w:pPr>
        <w:pStyle w:val="TextoNormal"/>
      </w:pPr>
      <w:r>
        <w:t xml:space="preserve">En el presente caso, la falta de audiencia al Ministerio Fiscal por el Juzgado </w:t>
      </w:r>
      <w:r w:rsidRPr="0033382B">
        <w:rPr>
          <w:i/>
        </w:rPr>
        <w:t>a quo</w:t>
      </w:r>
      <w:r>
        <w:t xml:space="preserve"> antes de dictar el Auto promoviendo la presente cuestión de inconstitucionalidad debe conducir, por lo dicho, a declarar directamente su inadmisión (en el mismo sentido, para un caso de falta de audiencia del Fiscal, ATC 875/1985, de 5 de diciembre, FJ 2).</w:t>
      </w:r>
    </w:p>
    <w:p w:rsidR="0033382B" w:rsidRDefault="0033382B" w:rsidP="0033382B">
      <w:pPr>
        <w:pStyle w:val="TextoNormal"/>
      </w:pPr>
    </w:p>
    <w:p w:rsidR="0033382B" w:rsidRDefault="0033382B" w:rsidP="0033382B">
      <w:pPr>
        <w:pStyle w:val="TextoNormal"/>
      </w:pPr>
      <w:r w:rsidRPr="0033382B">
        <w:rPr>
          <w:rStyle w:val="NumeroAFNegritaCaracter"/>
        </w:rPr>
        <w:t>4</w:t>
      </w:r>
      <w:r>
        <w:t>. Aunque el defecto apreciado bastaría ya para declarar la inadmisibilidad de la presente cuestión de inconstitucionalidad, la posibilidad, admitida por nuestra doctrina, de que una vez subsanados los defectos apreciados en el trámite de audiencia el mismo Juzgado pueda volver a plantear la misma cuestión de inconstitucionalidad [por todas, STC 27/2012, de 1 de marzo, FJ 2 A)] aconseja realizar las siguientes dos puntualizaciones adicionales.</w:t>
      </w:r>
    </w:p>
    <w:p w:rsidR="0033382B" w:rsidRDefault="0033382B" w:rsidP="0033382B">
      <w:pPr>
        <w:pStyle w:val="TextoNormal"/>
      </w:pPr>
    </w:p>
    <w:p w:rsidR="0033382B" w:rsidRDefault="0033382B" w:rsidP="0033382B">
      <w:pPr>
        <w:pStyle w:val="TextoNormal"/>
      </w:pPr>
      <w:r>
        <w:t xml:space="preserve">En primer lugar, que al igual que sucedió en el caso resuelto por el ATC 206/2014, de 22 de julio, dictado en relación con una cuestión idéntica a la aquí planteada, el momento procesal alcanzado en el proceso </w:t>
      </w:r>
      <w:r w:rsidRPr="0033382B">
        <w:rPr>
          <w:i/>
        </w:rPr>
        <w:t>a quo</w:t>
      </w:r>
      <w:r>
        <w:t xml:space="preserve"> no es ya el oportuno para el planteamiento de la cuestión de inconstitucionalidad suscitada, esencialmente por haber aplicado ya el órgano promovente la norma cuestionada, lo que, a su vez, da lugar a que la validez de la misma no sea ya determinante de la resolución que haya de dictarse, como exigen igualmente los arts. 163 CE y 35.1 LOTC (“de cuya validez dependa el fallo”) para la admisión de una cuestión de inconstitucionalidad (juicio de relevancia).</w:t>
      </w:r>
    </w:p>
    <w:p w:rsidR="0033382B" w:rsidRDefault="0033382B" w:rsidP="0033382B">
      <w:pPr>
        <w:pStyle w:val="TextoNormal"/>
      </w:pPr>
    </w:p>
    <w:p w:rsidR="0033382B" w:rsidRDefault="0033382B" w:rsidP="0033382B">
      <w:pPr>
        <w:pStyle w:val="TextoNormal"/>
      </w:pPr>
      <w:r>
        <w:t>Efectivamente, de la misma manera que en aquel caso, en este “la disposición legal cuestionada, en lo que resulta relevante para el caso (esto es, en su apartado 2), fue ya aplicada por el Juzgado promotor; lo que torna en inadmisible el planteamiento de la cuestión. Según resulta de las actuaciones, antes de proceder a la apertura del trámite de audiencia del art. 35.2 LOTC (por Auto de 4 de noviembre de 2013) el órgano judicial ya había aplicado las previsiones de la disposición transitoria cuarta de la Ley 1/2013. Mediante diligencia de ordenación de 16 de octubre de 2013 [aquí, de 19 de junio de 2013], el Juzgado tuvo por formulado el incidente extraordinario de oposición presentado por la parte ejecutada conforme a lo previsto en el apartado 2 de dicha disposición, en el que denuncia la existencia de cláusulas abusivas en el contrato de préstamo hipotecario; se procedió a la tramitación del incidente, con suspensión del proceso principal hasta su resolución, conforme a lo previsto igualmente en el apartado 2 de la misma disposición; de suerte que se ha hecho efectivo el control judicial de las posibles cláusulas abusivas” (ATC 2016/2014 citado, FJ 3). En el mismo sentido, ATC 76/2015, de 28 de abril, FJ 3, también sobre la disposición transitoria cuarta de la Ley 1/2013.</w:t>
      </w:r>
    </w:p>
    <w:p w:rsidR="0033382B" w:rsidRDefault="0033382B" w:rsidP="0033382B">
      <w:pPr>
        <w:pStyle w:val="TextoNormal"/>
      </w:pPr>
    </w:p>
    <w:p w:rsidR="0033382B" w:rsidRDefault="0033382B" w:rsidP="0033382B">
      <w:pPr>
        <w:pStyle w:val="TextoNormal"/>
      </w:pPr>
      <w:r>
        <w:t>Además, de los antecedentes expuestos resulta que en este caso el incidente extraordinario de oposición basado en la existencia de esta nueva causa de oposición a la ejecución introducida por la Ley 1/2013 (carácter abusivo de determinadas cláusulas del contrato de constitución de hipoteca) se presentó por el ejecutado antes de transcurrir el plazo de un mes desde la entrada en vigor de la Ley 1/2013 previsto en la disposición transitoria cuarta, y a pesar de no haber recibido aquél una notificación individual al respecto. Efectivamente, si la Ley 1/2013 entró en vigor el “el día de su publicación en el ‘Boletín Oficial del Estado’” de acuerdo con su disposición final cuarta, y esta publicación se produjo en el “BOE” núm. 116, de 15 de mayo de 2013, entonces el “incidente extraordinario de oposición” presentado por el ejecutado en el Decanato de los Juzgados de Alcobendas el día 14 de junio de 2013 se presentó antes de haber expirado el plazo de un mes desde la entrada en vigor de la Ley previsto en la disposición transitoria cuarta. Y ello, como ya se ha advertido, con independencia de que el ejecutado no hubiese recibido una notificación específica sobre la posibilidad de abrir de este nuevo trámite de oposición. Siendo este, precisamente, el extremo cuestionado por el órgano promovente, que deviene así en irrelevante para la resolución del incidente (resolución, por lo demás, ya dictada, como ya se ha expuesto). Ello hace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(por todas, STC 83/2015, de 30 de abril, FJ 3, con cita de otras en el mismo sentido).</w:t>
      </w:r>
    </w:p>
    <w:p w:rsidR="0033382B" w:rsidRDefault="0033382B" w:rsidP="0033382B">
      <w:pPr>
        <w:pStyle w:val="TextoNormal"/>
      </w:pPr>
    </w:p>
    <w:p w:rsidR="0033382B" w:rsidRDefault="0033382B" w:rsidP="0033382B">
      <w:pPr>
        <w:pStyle w:val="TextoNormal"/>
      </w:pPr>
      <w:r>
        <w:t>Todo ello sin perjuicio de lo resuelto por el Tribunal de Justicia de la Unión Europea a propósito de esta falta de notificación individual en su Sentencia de 29 de octubre de 2015 (asunto C-8/2014), posterior al planteamiento de la presente cuestión de inconstitucionalidad, pero que deberá incidir en la aplicación de la disposición transitoria cuarta de la Ley 1/2013 por los órganos de la jurisdicción ordinaria tras su dictado, de conformidad con el principio de primacía y la doctrina del acto claro o “aclarado” que este Tribunal ha validado (DTC 1/2004, de 13 de diciembre, FJ 4, y STC 232/2015, de 5 de noviembre, FJ 6, entre otras).</w:t>
      </w:r>
    </w:p>
    <w:p w:rsidR="0033382B" w:rsidRDefault="0033382B" w:rsidP="0033382B">
      <w:pPr>
        <w:pStyle w:val="TextoNormal"/>
      </w:pPr>
    </w:p>
    <w:p w:rsidR="0033382B" w:rsidRDefault="0033382B" w:rsidP="0033382B">
      <w:pPr>
        <w:pStyle w:val="TextoNormal"/>
      </w:pPr>
      <w:r>
        <w:t>Todo lo cual, como ya se ha dicho, redunda en la inadmisibilidad de la presente cuestión de inconstitucionalidad.</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dieciséis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70" w:name="AUTO_2016_43"/>
      <w:r>
        <w:t>AUTO 43/2016, de 18 de febrero de 2016</w:t>
      </w:r>
    </w:p>
    <w:bookmarkEnd w:id="170"/>
    <w:p w:rsidR="0033382B" w:rsidRDefault="0033382B" w:rsidP="0033382B">
      <w:pPr>
        <w:pStyle w:val="TtuloResolucin"/>
      </w:pPr>
      <w:r>
        <w:t>Sección Cuarta</w:t>
      </w:r>
    </w:p>
    <w:p w:rsidR="0033382B" w:rsidRDefault="0033382B" w:rsidP="0033382B">
      <w:pPr>
        <w:pStyle w:val="TextoNormalCentrado"/>
      </w:pPr>
      <w:r>
        <w:t>ECLI:ES:TC:2016:43A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SntesisDescriptiva"/>
      </w:pPr>
      <w:r>
        <w:t>Desestima el recurso de súplica del Ministerio Fiscal sobre inadmisión del recurso de amparo 2439-2015, promovido por don Francesc Damia Cerda Antoli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recibido en el Registro General de este Tribunal el 28 de abril de 2015, la Procuradora de los Tribunales doña María del Carmen García Martín, en nombre y representación de don Francesc Damia Cerdá Antolí, interpuso recurso de amparo contra la Sentencia de la Sección Octava de la Sala de lo Contencioso-Administrativo de la Audiencia Nacional de 25 de febrero de 2015, desestimatoria del recurso de apelación núm. 82-2014, interpuesto frente a la Sentencia del Juzgado Central de lo Contencioso-Administrativo núm. 3 de Madrid de 18 de junio de 2014, recaída en el procedimiento abreviado 533-2013.</w:t>
      </w:r>
    </w:p>
    <w:p w:rsidR="0033382B" w:rsidRDefault="0033382B" w:rsidP="0033382B">
      <w:pPr>
        <w:pStyle w:val="TextoNormal"/>
      </w:pPr>
    </w:p>
    <w:p w:rsidR="0033382B" w:rsidRDefault="0033382B" w:rsidP="0033382B">
      <w:pPr>
        <w:pStyle w:val="TextoNormal"/>
      </w:pPr>
      <w:r w:rsidRPr="0033382B">
        <w:rPr>
          <w:rStyle w:val="NumeroAFNegritaCaracter"/>
        </w:rPr>
        <w:t>2</w:t>
      </w:r>
      <w:r>
        <w:t>. Mediante providencia de 30 de noviembre de 2015, la Sección Cuarta de este Tribunal acordó inadmitir a trámite la demanda de amparo, de conformidad con el art. 50.1 a) en relación con el art. 44.1 a), ambos de la Ley Orgánica del Tribunal Constitucional (LOTC), al ser la demanda de amparo prematura “por no haber concluido el proceso abierto en la vía judicial”.</w:t>
      </w:r>
    </w:p>
    <w:p w:rsidR="0033382B" w:rsidRDefault="0033382B" w:rsidP="0033382B">
      <w:pPr>
        <w:pStyle w:val="TextoNormal"/>
      </w:pPr>
    </w:p>
    <w:p w:rsidR="0033382B" w:rsidRDefault="0033382B" w:rsidP="0033382B">
      <w:pPr>
        <w:pStyle w:val="TextoNormal"/>
      </w:pPr>
      <w:r w:rsidRPr="0033382B">
        <w:rPr>
          <w:rStyle w:val="NumeroAFNegritaCaracter"/>
        </w:rPr>
        <w:t>3</w:t>
      </w:r>
      <w:r>
        <w:t>. Por medio de escrito presentado el 14 de enero de 2016, el Ministerio Fiscal interpuso recurso de súplica contra la referida providencia, alegando que “a la vista de las actuaciones, no parece, sin embargo, que concurra la circunstancia determinante de la providencia de inadmisión”, por ser irrecurrible la Sentencia de apelación impugnada y resultar un hipotético incidente de nulidad de actuaciones “de dudosa procedencia”. Interesaba, en consecuencia, el Ministerio Fiscal, que se dejara sin efecto la providencia de inadmisión.</w:t>
      </w:r>
    </w:p>
    <w:p w:rsidR="0033382B" w:rsidRDefault="0033382B" w:rsidP="0033382B">
      <w:pPr>
        <w:pStyle w:val="TextoNormal"/>
      </w:pPr>
    </w:p>
    <w:p w:rsidR="0033382B" w:rsidRDefault="0033382B" w:rsidP="0033382B">
      <w:pPr>
        <w:pStyle w:val="TextoNormal"/>
      </w:pPr>
      <w:r w:rsidRPr="0033382B">
        <w:rPr>
          <w:rStyle w:val="NumeroAFNegritaCaracter"/>
        </w:rPr>
        <w:t>4</w:t>
      </w:r>
      <w:r>
        <w:t>. Por diligencia de ordenación de 15 de enero de 2016 se acordó dar traslado del recurso de súplica al demandante, para que en el plazo de tres días alegara lo que estimase pertinente, de conformidad con el art. 93.2 LOTC. Su representación procesal presentó el 27 de enero de 2016 escrito en el que se adhiere al recurso de súplica interpuesto por el Ministerio Fiscal.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El Ministerio Fiscal considera en su recurso de súplica que la Sección Cuarta de este Tribunal ha inadmitido indebidamente el recurso de amparo presentado por el actor. Según afirma, la providencia de 30 de noviembre de 2015 invocó a estos efectos la circunstancia prevista en los arts. 50.1 a) y 44.1 a) de la Ley Orgánica del Tribunal Constitucional (LOTC), entendiendo que el proceso judicial no había concluido a la fecha de interposición de la demanda de amparo. Entiende, en cambio, el Ministerio Fiscal que el proceso </w:t>
      </w:r>
      <w:r w:rsidRPr="0033382B">
        <w:rPr>
          <w:i/>
        </w:rPr>
        <w:t>a quo</w:t>
      </w:r>
      <w:r>
        <w:t xml:space="preserve"> sí había llegado a su fin en dicho momento, ya que la Sentencia de apelación impugnada no era susceptible de recurso alguno y era también de “dudosa procedencia” la promoción del incidente de nulidad de actuaciones.</w:t>
      </w:r>
    </w:p>
    <w:p w:rsidR="0033382B" w:rsidRDefault="0033382B" w:rsidP="0033382B">
      <w:pPr>
        <w:pStyle w:val="TextoNormal"/>
      </w:pPr>
    </w:p>
    <w:p w:rsidR="0033382B" w:rsidRDefault="0033382B" w:rsidP="0033382B">
      <w:pPr>
        <w:pStyle w:val="TextoNormal"/>
      </w:pPr>
      <w:r w:rsidRPr="0033382B">
        <w:rPr>
          <w:rStyle w:val="NumeroAFNegritaCaracter"/>
        </w:rPr>
        <w:t>2</w:t>
      </w:r>
      <w:r>
        <w:t>. Para resolver la impugnación efectuada por el Fiscal ante el Tribunal Constitucional debe tenerse en cuenta que el presente proceso de amparo se halla conectado con el recurso de amparo núm. 4176-2015, que fue presentado por el ahora recurrente en relación con las mismas resoluciones judiciales que son objeto del presente proceso constitucional (Sentencia del Juzgado Central de lo Contencioso-Administrativo núm. 3 de Madrid de 18 de junio de 2014, recaída en el procedimiento abreviado 533-2013, y Sentencia de la Sección Octava de la Sala de lo Contencioso-Administrativo de la Audiencia Nacional de 25 de febrero de 2015, recaída en el recurso de apelación núm. 82-2014). No obstante, en dicho recurso de amparo núm. 4176-2015 el recurrente puso de manifiesto una circunstancia que fue, en cambio, omitida en la demanda que ha dado lugar al presente proceso constitucional, pues el actor manifestó —aportando la pertinente justificación documental— que, una vez dictada la Sentencia de apelación de 25 de febrero de 2015, él mismo había promovido, en fecha 15 de abril de 2015, incidente de nulidad de actuaciones, que fue finalmente desestimado por la Sección Octava de la Sala de lo Contencioso-Administrativo de la Audiencia Nacional en Auto de 28 de mayo de 2015.</w:t>
      </w:r>
    </w:p>
    <w:p w:rsidR="0033382B" w:rsidRDefault="0033382B" w:rsidP="0033382B">
      <w:pPr>
        <w:pStyle w:val="TextoNormal"/>
      </w:pPr>
    </w:p>
    <w:p w:rsidR="0033382B" w:rsidRDefault="0033382B" w:rsidP="0033382B">
      <w:pPr>
        <w:pStyle w:val="TextoNormal"/>
      </w:pPr>
      <w:r>
        <w:t>Pues bien, consta en el Registro General de este Tribunal que el presente recurso de amparo fue interpuesto el 28 de abril de 2015, fecha en la que el recurrente ya había promovido el referido incidente de nulidad de actuaciones y en la que éste aún estaba pendiente de resolución. Esa fue la circunstancia que determinó que el presente recurso de amparo fuera reputado prematuro en la providencia ahora recurrida por el Ministerio Fiscal. La apreciación del óbice de procedibilidad no impidió, no obstante, que la Sección realizase un pronunciamiento liminar sobre el fondo del asunto con ocasión del aludido recurso de amparo núm. 4176-2015, que sí fue correctamente interpuesto una vez resuelto el incidente de nulidad de actuaciones. Así, en providencia de 19 de noviembre de 2015 se acordó la inadmisión de este segundo recurso por “manifiesta inexistencia de violación de un derecho fundamental tutelable en amparo”.</w:t>
      </w:r>
    </w:p>
    <w:p w:rsidR="0033382B" w:rsidRDefault="0033382B" w:rsidP="0033382B">
      <w:pPr>
        <w:pStyle w:val="TextoNormal"/>
      </w:pPr>
    </w:p>
    <w:p w:rsidR="0033382B" w:rsidRDefault="0033382B" w:rsidP="0033382B">
      <w:pPr>
        <w:pStyle w:val="TextoNormal"/>
      </w:pPr>
      <w:r>
        <w:t>De acuerdo con lo expuesto, la providencia de 30 de noviembre de 2015 ahora recurrida resulta perfectamente ajustada a Derecho, ya que, a la fecha de presentación de la demanda de amparo, aún no había recaído el Auto resolutorio del incidente de nulidad de actuaciones promovido por el recurrente ante la Sala de lo Contencioso-Administrativo de la Audiencia Nacional. El proceso judicial no había, pues, concluido, siendo, por ello, la demanda de amparo inadmisible de acuerdo con lo dispuesto en los arts. 44.1 a) y 50.1 a) LOTC.</w:t>
      </w:r>
    </w:p>
    <w:p w:rsidR="0033382B" w:rsidRDefault="0033382B" w:rsidP="0033382B">
      <w:pPr>
        <w:pStyle w:val="TextoNormal"/>
      </w:pPr>
    </w:p>
    <w:p w:rsidR="0033382B" w:rsidRDefault="0033382B" w:rsidP="0033382B">
      <w:pPr>
        <w:pStyle w:val="TextoNormal"/>
      </w:pPr>
      <w:r w:rsidRPr="0033382B">
        <w:rPr>
          <w:rStyle w:val="NumeroAFNegritaCaracter"/>
        </w:rPr>
        <w:t>3</w:t>
      </w:r>
      <w:r>
        <w:t>. Procede, pues, desestimar el recurso de súplica del Ministerio Fiscal.</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Desestimar el recurso de súplica interpuesto por el Ministerio Fiscal contra la providencia de 30 de noviembre de 2015.</w:t>
      </w:r>
    </w:p>
    <w:p w:rsidR="0033382B" w:rsidRDefault="0033382B" w:rsidP="0033382B">
      <w:pPr>
        <w:pStyle w:val="TextoNormal"/>
      </w:pPr>
    </w:p>
    <w:p w:rsidR="0033382B" w:rsidRDefault="0033382B" w:rsidP="0033382B">
      <w:pPr>
        <w:pStyle w:val="TextoNormal"/>
      </w:pPr>
      <w:r>
        <w:t>Madrid, a dieciocho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71" w:name="AUTO_2016_44"/>
      <w:r>
        <w:t>AUTO 44/2016, de 22 de febrero de 2016</w:t>
      </w:r>
    </w:p>
    <w:bookmarkEnd w:id="171"/>
    <w:p w:rsidR="0033382B" w:rsidRDefault="0033382B" w:rsidP="0033382B">
      <w:pPr>
        <w:pStyle w:val="TtuloResolucin"/>
      </w:pPr>
      <w:r>
        <w:t>Sección Segunda</w:t>
      </w:r>
    </w:p>
    <w:p w:rsidR="0033382B" w:rsidRDefault="0033382B" w:rsidP="0033382B">
      <w:pPr>
        <w:pStyle w:val="TextoNormalCentrado"/>
      </w:pPr>
      <w:r>
        <w:t>ECLI:ES:TC:2016:44A</w:t>
      </w:r>
    </w:p>
    <w:p w:rsidR="0033382B" w:rsidRDefault="0033382B" w:rsidP="0033382B">
      <w:pPr>
        <w:pStyle w:val="TextoNormalCentrado"/>
      </w:pPr>
    </w:p>
    <w:p w:rsidR="0033382B" w:rsidRDefault="0033382B" w:rsidP="0033382B">
      <w:pPr>
        <w:pStyle w:val="SntesisDescriptiva"/>
      </w:pPr>
      <w:r>
        <w:t>Excms. Srs. don Andrés Ollero Tassara y don Santiago Martínez-Vares García.</w:t>
      </w:r>
    </w:p>
    <w:p w:rsidR="0033382B" w:rsidRDefault="0033382B" w:rsidP="0033382B">
      <w:pPr>
        <w:pStyle w:val="SntesisDescriptiva"/>
      </w:pPr>
    </w:p>
    <w:p w:rsidR="0033382B" w:rsidRDefault="0033382B" w:rsidP="0033382B">
      <w:pPr>
        <w:pStyle w:val="SntesisDescriptiva"/>
      </w:pPr>
      <w:r>
        <w:t>Desestima el recurso de súplica del Ministerio Fiscal sobre inadmisión del recurso de amparo 1826-2015, promovido por don Hermenegildo Palacios Arribas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que tuvo entrada en el Registro General del Tribunal Constitucional el 27 de marzo de 2015, el Procurador de los Tribunales don Ramiro Reynolds Martínez, en nombre y representación de Hermenegildo Palacios Arribas, interpuso recurso de amparo contra la Sentencia de la Sala de lo Contencioso-Administrativo del Tribunal Superior de Justicia del País Vasco de 27 de noviembre de 2014, dictada en el recurso ordinario núm. 1082-2012, así como frente al Auto de 4 de febrero de 2015 que desestima el incidente de nulidad promovido contra aquella, por vulnerar el derecho a la tutela judicial efectiva (art. 24.1 CE) y por infringir el principio de igualdad (art. 14 CE).</w:t>
      </w:r>
    </w:p>
    <w:p w:rsidR="0033382B" w:rsidRDefault="0033382B" w:rsidP="0033382B">
      <w:pPr>
        <w:pStyle w:val="TextoNormal"/>
      </w:pPr>
    </w:p>
    <w:p w:rsidR="0033382B" w:rsidRDefault="0033382B" w:rsidP="0033382B">
      <w:pPr>
        <w:pStyle w:val="TextoNormal"/>
      </w:pPr>
      <w:r w:rsidRPr="0033382B">
        <w:rPr>
          <w:rStyle w:val="NumeroAFNegritaCaracter"/>
        </w:rPr>
        <w:t>2</w:t>
      </w:r>
      <w:r>
        <w:t>. La Sección Segunda del Tribunal Constitucional, mediante providencia de 14 de diciembre de 2015, acordó inadmitir a trámite el recurso de amparo, de conformidad con el art. 50.1 a) de la Ley Orgánica del Tribunal Constitucional (LOTC), dada la manifiesta inexistencia de violación de un derecho fundamental tutelable en amparo, que, de acuerdo con el art. 44.1 LOTC, es condición para que este Tribunal pueda ejercer su tutela.</w:t>
      </w:r>
    </w:p>
    <w:p w:rsidR="0033382B" w:rsidRDefault="0033382B" w:rsidP="0033382B">
      <w:pPr>
        <w:pStyle w:val="TextoNormal"/>
      </w:pPr>
    </w:p>
    <w:p w:rsidR="0033382B" w:rsidRDefault="0033382B" w:rsidP="0033382B">
      <w:pPr>
        <w:pStyle w:val="TextoNormal"/>
      </w:pPr>
      <w:r w:rsidRPr="0033382B">
        <w:rPr>
          <w:rStyle w:val="NumeroAFNegritaCaracter"/>
        </w:rPr>
        <w:t>3</w:t>
      </w:r>
      <w:r>
        <w:t>. Contra la referida providencia interpone recurso de súplica el Ministerio Fiscal, mediante escrito presentado el 28 de enero de 2016, alegando que la Sala Segunda de este Tribunal ha admitido a trámite el recurso de amparo núm. 1388-2014, de contenido sustancialmente igual al presente. Informado por el Ministerio Fiscal, que solicita el otorgamiento del amparo, procedería estimar el recurso de súplica dejando sin efecto la providencia de inadmisión recaída en el presente recurso de amparo, para evitar que se dicten resoluciones contradictorias, aun cuando el referido recurso de amparo núm. 1388-2014 ha sido ya desestimado por Sentencia de 18 de enero de 2016.</w:t>
      </w:r>
    </w:p>
    <w:p w:rsidR="0033382B" w:rsidRDefault="0033382B" w:rsidP="0033382B">
      <w:pPr>
        <w:pStyle w:val="TextoNormal"/>
      </w:pPr>
    </w:p>
    <w:p w:rsidR="0033382B" w:rsidRDefault="0033382B" w:rsidP="0033382B">
      <w:pPr>
        <w:pStyle w:val="TextoNormal"/>
      </w:pPr>
      <w:r w:rsidRPr="0033382B">
        <w:rPr>
          <w:rStyle w:val="NumeroAFNegritaCaracter"/>
        </w:rPr>
        <w:t>4</w:t>
      </w:r>
      <w:r>
        <w:t>. Por diligencia de ordenación del Secretario de Justicia de la Sala Primera de este Tribunal de 3 de febrero de 2016 se acordó dar traslado del recurso de súplica a la representación procesal del demandante de amparo para que, de conformidad con el art. 93.2 LOTC, alegara en el plazo de tres días lo que a su derecho conviniera.</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escrito presentado el 12 de de febrero de 2016 la representación procesal del demandante se adhiere al recurso de súplica interpuesto por el Ministerio Fiscal; solicita que se deje sin efecto la providencia de la Sección Segunda de este Tribunal de 14 de diciembre de 2015 y se admita a trámite el recurso de amparo.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Procede desestimar el recurso súplica interpuesto por el Ministerio Fiscal y confirmar la providencia de 14 de diciembre de 2015, de inadmisión del presente recurso de amparo, dada la manifiesta inexistencia de violación de un derecho fundamental tutelable en amparo [arts. 44.1 y 50.1 a) de la Ley Orgánica del Tribunal Constitucional: LOTC].</w:t>
      </w:r>
    </w:p>
    <w:p w:rsidR="0033382B" w:rsidRDefault="0033382B" w:rsidP="0033382B">
      <w:pPr>
        <w:pStyle w:val="TextoNormal"/>
      </w:pPr>
    </w:p>
    <w:p w:rsidR="0033382B" w:rsidRDefault="0033382B" w:rsidP="0033382B">
      <w:pPr>
        <w:pStyle w:val="TextoNormal"/>
      </w:pPr>
      <w:r>
        <w:t>El Ministerio Fiscal sustenta su recurso de súplica en la misma argumentación que mantuvo en el recurso interpuesto contra la providencia de inadmisión dictada por esta Sección el 16 de noviembre de 2015 en el recurso de amparo núm. 7093-2014, que guarda igualdad sustancial con el presente. Dicho recurso de súplica fue desestimado por Auto de 4 de febrero de 2016 y con fundamento en lo allí razonado debe desestimarse igualmente el que ahora nos ocupa.</w:t>
      </w:r>
    </w:p>
    <w:p w:rsidR="0033382B" w:rsidRDefault="0033382B" w:rsidP="0033382B">
      <w:pPr>
        <w:pStyle w:val="TextoNormal"/>
      </w:pPr>
    </w:p>
    <w:p w:rsidR="0033382B" w:rsidRDefault="0033382B" w:rsidP="0033382B">
      <w:pPr>
        <w:pStyle w:val="TextoNormal"/>
      </w:pPr>
      <w:r>
        <w:t>En efecto, al igual que acontece en el caso del recurso de amparo núm. 7093-2014, tampoco en el presente concurre la pretendida identidad sustancial con el recurso de amparo núm. 1388-2014, admitido a trámite por la Sala Segunda de este Tribunal (y desestimado por STC 3/2016, de 18 de enero). La supuesta identidad sustancial entre el presente recurso de amparo y el sustanciado ante la Sala Segunda es meramente aparente. La Sentencia de la Sala de lo Contencioso-Administrativo del País Vasco que se impugna en el presente recurso de amparo, a la que se atribuye la vulneración del derecho a la tutela judicial efectiva por no haber planteado cuestión de inconstitucionalidad —entiéndase, la cuestión prejudicial prevista en la disposición adicional quinta LOTC—, aborda la pretensión de la parte relativa a este extremo. Expone de forma suficientemente razonada por qué no procede plantear la cuestión prejudicial, al considerar que el art. 26.2 de la Norma Foral de Guipúzcoa 8/1998 y el art. 30.2 de la Norma Foral de Guipúzcoa 10/2006 no vulneran los principios de seguridad jurídica e interdicción de la arbitrariedad (art. 9.3 CE) ni el principio de igualdad y no discriminación (art. 14 CE).</w:t>
      </w:r>
    </w:p>
    <w:p w:rsidR="0033382B" w:rsidRDefault="0033382B" w:rsidP="0033382B">
      <w:pPr>
        <w:pStyle w:val="TextoNormal"/>
      </w:pPr>
    </w:p>
    <w:p w:rsidR="0033382B" w:rsidRDefault="0033382B" w:rsidP="0033382B">
      <w:pPr>
        <w:pStyle w:val="TextoNormal"/>
      </w:pPr>
      <w:r>
        <w:t>Dicho razonamiento satisface las exigencias derivadas del derecho a la tutela judicial efectiva (art. 24.1 CE). Como hemos recordado recientemente —con cita de anterior doctrina— en la STC 262/2015, de 14 de diciembre, FJ 2, la decisión sobre el planteamiento de una cuestión prejudicial sobre normas forales fiscales prevista en la disposición adicional quinta LOTC corresponde, de forma exclusiva e irrevisable, al órgano judicial que resuelve el litigio; “ninguna vulneración existe de los derechos garantizados por el art. 24.1 CE cuando el Juez o Tribunal no alberga dudas sobre la constitucionalidad de la Norma Foral fiscal aplicable al caso concreto y decide por ello, en contra de la opinión del justiciable, no plantear la cuestión al Tribunal Constitucional”. Por el contrario, en la Sentencia de la Sala de lo Contencioso-Administrativo del País Vasco de 12 de noviembre de 2013, que es objeto del recurso de amparo núm. 1388-2014, este órgano judicial se atribuye la facultad de enjuiciar la constitucionalidad de la Norma Foral impugnada (fundamento jurídico quinto).</w:t>
      </w:r>
    </w:p>
    <w:p w:rsidR="0033382B" w:rsidRDefault="0033382B" w:rsidP="0033382B">
      <w:pPr>
        <w:pStyle w:val="TextoNormal"/>
      </w:pPr>
    </w:p>
    <w:p w:rsidR="0033382B" w:rsidRDefault="0033382B" w:rsidP="0033382B">
      <w:pPr>
        <w:pStyle w:val="TextoNormal"/>
      </w:pPr>
      <w:r>
        <w:t>Como ya se dijo en nuestro Auto de 4 de febrero de 2016, que desestima el recurso de súplica del Ministerio Fiscal contra la providencia de inadmisión dictada en el recurso de amparo núm. 7093-2014, la falta de identidad sustancial de la Sentencia impugnada con la dictada por la misma Sala en el caso que dio lugar al recurso de amparo núm. 1388-2014 es patente; no solo se advierte en su argumentación, que concluye que no procede el planteamiento de la cuestión prejudicial, sino también en el resto del razonamiento por el que se desestima el recurso contencioso-administrativo. No puede compartirse el único motivo en el que se sustenta el recurso de súplica interpuesto por el Ministerio Fiscal contra la providencia de inadmisión recaída en el presente recurso de amparo.</w:t>
      </w:r>
    </w:p>
    <w:p w:rsidR="0033382B" w:rsidRDefault="0033382B" w:rsidP="0033382B">
      <w:pPr>
        <w:pStyle w:val="TextoNormal"/>
      </w:pPr>
    </w:p>
    <w:p w:rsidR="0033382B" w:rsidRDefault="0033382B" w:rsidP="0033382B">
      <w:pPr>
        <w:pStyle w:val="TextoNormal"/>
      </w:pPr>
      <w:r>
        <w:t>Sin perjuicio de lo anterior, debe añadirse que el recurso de amparo núm. 1388-2014, a cuya pretendida identidad sustancial con el presente se alude por el Ministerio Fiscal para fundamentar su recurso de súplica, ha sido desestimado, como ya se ha dicho, por la STC 3/2016, de 18 de enero; esta descarta que la Sentencia impugnada haya incurrido en las supuestas vulneraciones del derecho a la tutela judicial efectiva (art. 24.1 CE) y del principio de igualdad (art. 14 CE) alegadas también en aquel caso.</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Desestimar el recurso de súplica interpuesto por el Ministerio Fiscal y, en consecuencia, confirmar en su integridad la providencia de 14 de diciembre de 2015.</w:t>
      </w:r>
    </w:p>
    <w:p w:rsidR="0033382B" w:rsidRDefault="0033382B" w:rsidP="0033382B">
      <w:pPr>
        <w:pStyle w:val="TextoNormal"/>
      </w:pPr>
    </w:p>
    <w:p w:rsidR="0033382B" w:rsidRDefault="0033382B" w:rsidP="0033382B">
      <w:pPr>
        <w:pStyle w:val="TextoNormal"/>
      </w:pPr>
      <w:r>
        <w:t>Madrid, a veintidós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72" w:name="AUTO_2016_45"/>
      <w:r>
        <w:t>AUTO 45/2016, de 24 de febrero de 2016</w:t>
      </w:r>
    </w:p>
    <w:bookmarkEnd w:id="172"/>
    <w:p w:rsidR="0033382B" w:rsidRDefault="0033382B" w:rsidP="0033382B">
      <w:pPr>
        <w:pStyle w:val="TtuloResolucin"/>
      </w:pPr>
      <w:r>
        <w:t>Sección Primera</w:t>
      </w:r>
    </w:p>
    <w:p w:rsidR="0033382B" w:rsidRDefault="0033382B" w:rsidP="0033382B">
      <w:pPr>
        <w:pStyle w:val="TextoNormalCentrado"/>
      </w:pPr>
      <w:r>
        <w:t>ECLI:ES:TC:2016:45A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y don Juan Antonio Xiol Ríos.</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173" w:name="AUTO_2016_46"/>
      <w:r>
        <w:t>AUTO 46/2016, de 25 de febrero de 2016</w:t>
      </w:r>
    </w:p>
    <w:bookmarkEnd w:id="173"/>
    <w:p w:rsidR="0033382B" w:rsidRDefault="0033382B" w:rsidP="0033382B">
      <w:pPr>
        <w:pStyle w:val="TtuloResolucin"/>
      </w:pPr>
      <w:r>
        <w:t>Sala Segunda</w:t>
      </w:r>
    </w:p>
    <w:p w:rsidR="0033382B" w:rsidRDefault="0033382B" w:rsidP="0033382B">
      <w:pPr>
        <w:pStyle w:val="TextoNormalCentrado"/>
      </w:pPr>
      <w:r>
        <w:t>ECLI:ES:TC:2016:46A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Pedro José González-Trevijano Sánchez y don Ricardo Enríquez Sancho.</w:t>
      </w:r>
    </w:p>
    <w:p w:rsidR="0033382B" w:rsidRDefault="0033382B" w:rsidP="0033382B">
      <w:pPr>
        <w:pStyle w:val="SntesisDescriptiva"/>
      </w:pPr>
    </w:p>
    <w:p w:rsidR="0033382B" w:rsidRDefault="0033382B" w:rsidP="0033382B">
      <w:pPr>
        <w:pStyle w:val="SntesisDescriptiva"/>
      </w:pPr>
      <w:r>
        <w:t>Acepta una abstención en el recurso de amparo 4703-2012, promovido por don Pedro María Gragera de Torres y otras personas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t>Único. En el presente recurso de amparo se impugnan Autos de 30 de mayo de 2011 y 1 de junio de 2012 dictados por la Sección Séptima de la Sala de lo Contencioso-Administrativo del Tribunal Supremo en el recurso ordinario 153-2011.</w:t>
      </w:r>
    </w:p>
    <w:p w:rsidR="0033382B" w:rsidRDefault="0033382B" w:rsidP="0033382B">
      <w:pPr>
        <w:pStyle w:val="TextoNormal"/>
      </w:pPr>
    </w:p>
    <w:p w:rsidR="0033382B" w:rsidRDefault="0033382B" w:rsidP="0033382B">
      <w:pPr>
        <w:pStyle w:val="TextoNormal"/>
      </w:pPr>
      <w:r>
        <w:t>Mediante escrito fechado el 25 de febrero de 2016 el Magistrado don Antonio Narváez Rodríguez comunicó a los efectos oportunos que se abstenía de intervenir en el antes indicado recurso de amparo, de conformidad con el art. 80 de la Ley Orgánica del Tribunal Constitucional, por haber representado al Ministerio Fiscal en el recurso 153-2011 interpuesto ante el Tribunal Supremo, proceso del que trae causa el presente recurso de amparo núm. 4703-2012.</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Vista la comunicación efectuada por don Antonio Narváez Rodríguez, Magistrado de esta Sala del Tribunal Constitucional, la Sala, en virtud de lo previsto en el art. 219 apartados 13 y 16 de la Ley Orgánica del Poder Judicial, supletoria de la Ley Orgánica del Tribunal Constitucional: LOTC (art. 80), estima justificada la causa de abstención formulada, puesto que el mencionado Magistrado intervino en representación del Ministerio Fiscal en el recurso ordinario 153-2011 seguido en la Sección Séptima de la Sala de lo Contencioso-Administrativo del Tribunal Supremo que dictó los Autos de fechas 30 de mayo de 2011 y 1 de junio de 2012, resoluciones que han sido impugnadas en el presente recurso de amparo núm. 4703-2012.</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Estimar justificada la abstención formulada por el Magistrado don Antonio Narváez Rodríguez en el recurso de amparo núm. 4703-2012 apartándole definitivamente del conocimiento del referido recurso y de todas sus incidencias.</w:t>
      </w:r>
    </w:p>
    <w:p w:rsidR="0033382B" w:rsidRDefault="0033382B" w:rsidP="0033382B">
      <w:pPr>
        <w:pStyle w:val="TextoNormal"/>
      </w:pPr>
    </w:p>
    <w:p w:rsidR="0033382B" w:rsidRDefault="0033382B" w:rsidP="0033382B">
      <w:pPr>
        <w:pStyle w:val="TextoNormal"/>
      </w:pPr>
      <w:r>
        <w:t>Madrid, a veinticinco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74" w:name="AUTO_2016_47"/>
      <w:r>
        <w:t>AUTO 47/2016, de 29 de febrero de 2016</w:t>
      </w:r>
    </w:p>
    <w:bookmarkEnd w:id="174"/>
    <w:p w:rsidR="0033382B" w:rsidRDefault="0033382B" w:rsidP="0033382B">
      <w:pPr>
        <w:pStyle w:val="TtuloResolucin"/>
      </w:pPr>
      <w:r>
        <w:t>Sala Segunda</w:t>
      </w:r>
    </w:p>
    <w:p w:rsidR="0033382B" w:rsidRDefault="0033382B" w:rsidP="0033382B">
      <w:pPr>
        <w:pStyle w:val="TextoNormalCentrado"/>
      </w:pPr>
      <w:r>
        <w:t>ECLI:ES:TC:2016:47A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en el recurso de amparo 5646-2014, promovido por don Boujemaa Akabli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presentado en el Decanato de los Juzgados de Valencia el 11 de septiembre de 2014, y registrado en este Tribunal el día 19 siguiente, la Procuradora de los Tribunales doña Eugenia Merelo Fos, en nombre y representación de don Boujemaa Akabli, interpuso recurso de amparo contra la Sentencia de la Sección Primera de la Sala de lo Contencioso-Administrativo del Tribunal Superior de Justicia de la Comunidad Valenciana de 23 de julio de 2014, dictada en el recurso de apelación núm. 190-2013, interpuesto contra la Sentencia del Juzgado de lo Contencioso-Administrativo núm. 5 de Valencia de 4 de diciembre de 2012, recaída en el procedimiento abreviado núm. 723-2011.</w:t>
      </w:r>
    </w:p>
    <w:p w:rsidR="0033382B" w:rsidRDefault="0033382B" w:rsidP="0033382B">
      <w:pPr>
        <w:pStyle w:val="TextoNormal"/>
      </w:pPr>
    </w:p>
    <w:p w:rsidR="0033382B" w:rsidRDefault="0033382B" w:rsidP="0033382B">
      <w:pPr>
        <w:pStyle w:val="TextoNormal"/>
      </w:pPr>
      <w:r>
        <w:t>El recurso trae causa de la resolución de la Subdelegación del Gobierno en Valencia, de 11 de octubre de 2011, que impuso al actor la sanción de expulsión del territorio nacional, con la prohibición de entrada en el mismo por un período de cinco años, en aplicación del art. 57.2 de la Ley Orgánica 4/2000, de 11 de enero, sobre derechos y deberes de los extranjeros en España y su integración social (en adelante, LOEx). Dicha resolución fue anulada por el Juzgado de lo Contencioso-Administrativo núm. 5 de Valencia, en Sentencia de 4 de diciembre de 2012, contra la cual interpuso recurso de apelación el Abogado del Estado, que fue estimado por Sentencia de la Sección Primera de la Sala de lo Contencioso-Administrativo del Tribunal Superior de Justicia de la Comunidad Valenciana, de 23 de julio de 2014, que revocó la de instancia y ratificó la resolución administrativa impugnada.</w:t>
      </w:r>
    </w:p>
    <w:p w:rsidR="0033382B" w:rsidRDefault="0033382B" w:rsidP="0033382B">
      <w:pPr>
        <w:pStyle w:val="TextoNormal"/>
      </w:pPr>
    </w:p>
    <w:p w:rsidR="0033382B" w:rsidRDefault="0033382B" w:rsidP="0033382B">
      <w:pPr>
        <w:pStyle w:val="TextoNormal"/>
      </w:pPr>
      <w:r w:rsidRPr="0033382B">
        <w:rPr>
          <w:rStyle w:val="NumeroAFNegritaCaracter"/>
        </w:rPr>
        <w:t>2</w:t>
      </w:r>
      <w:r>
        <w:t>. El demandante de amparo se queja de la vulneración de su derecho a la tutela judicial efectiva y de su derecho de defensa por la falta de motivación y acreditación de la concurrencia de los presupuestos del art. 57.2 LOEx, por la falta de valoración de lo establecido en el art. 57.5 LOEx y por la falta de ponderación de las circunstancias personales y especiales del supuesto presente, en particular su arraigo familiar, su arraigo laboral, el tiempo de residencia en España, los vínculos creados aquí y la inexistencia de antecedentes penales en España. Asimismo denuncia la lesión del derecho a la intimidad familiar del artículo 18 CE, en relación con el artículo 39, al no haberse valorado las circunstancias de arraigo familiar que mantiene el actor en España, especialmente en cuanto a sus hijos. Finalmente, aduce la vulneración del derecho a la igualdad del art. 14 CE, porque en casos idénticos al que nos ocupa se están dictando resoluciones distintas por los Tribunales Superiores de Justicia, incluso por la misma Sala de lo Contencioso-Administrativo.</w:t>
      </w:r>
    </w:p>
    <w:p w:rsidR="0033382B" w:rsidRDefault="0033382B" w:rsidP="0033382B">
      <w:pPr>
        <w:pStyle w:val="TextoNormal"/>
      </w:pPr>
    </w:p>
    <w:p w:rsidR="0033382B" w:rsidRDefault="0033382B" w:rsidP="0033382B">
      <w:pPr>
        <w:pStyle w:val="TextoNormal"/>
      </w:pPr>
      <w:r>
        <w:t>Por medio de otrosí solicita la suspensión de la ejecución de la Sentencia de apelación, así como de la resolución administrativa de expulsión, cuya ejecución le produciría perjuicios de difícil reparación que privarían al amparo de efectividad en el caso de una eventual estimación, teniendo en cuenta su situación personal, pues se vería obligado a salir del territorio nacional y abandonar el que ha sido su hogar durante más de dieciséis años, dejar a su esposa y sus tres hijos, uno de ellos recién nacido, con apenas un mes de vida, y los otros dos escolarizados. No se trata sólo del problema de la separación de su familia, sino que, además, sus hijos se encontrarían sin su padre y sin sustento económico, dado que el actor es el que mantiene principalmente a la familia, sin que, por lo demás, la adopción de la medida cautelar cause perjuicio alguno a los intereses generales o de terceros, ni a intereses constitucionalmente protegidos, derechos fundamentales o libertades públicas. Alega también que ostenta un gran arraigo social, familiar, laboral y económico en España, como se acredita con los documentos aportados con la demanda, y que aporta certificado de antecedentes penales emitido por las autoridades belgas, que acredita que el recurrente carece de antecedentes penales en Bélgica.</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providencia de 2 de febrero de 2016 la Sección Tercera acordó admitir a trámite el recurso de amparo y dirigir atenta comunicación a la Sección Primera de la Sala de lo Contencioso-Administrativo del Tribunal Superior de Justicia de la Comunidad Valenciana a fin de que, en el plazo de diez días, remitiera certificación o fotocopia adverada de las actuaciones correspondientes al rollo de apelación núm. 190-2013. Igual comunicación se acordó dirigir al Juzgado de lo Contencioso-Administrativo núm. 5 de Valencia para que remitiera en el plazo de diez días certificación o copia adverada de las actuaciones correspondientes al procedimiento abreviado núm. 723-2011, y emplazara a quienes hubieran sido parte en el proceso del que trae causa el presente recurso de amparo, excepto la parte recurrente en amparo, para que pudieran comparecer en el procedimiento en el plazo de diez días.</w:t>
      </w:r>
    </w:p>
    <w:p w:rsidR="0033382B" w:rsidRDefault="0033382B" w:rsidP="0033382B">
      <w:pPr>
        <w:pStyle w:val="TextoNormal"/>
      </w:pPr>
    </w:p>
    <w:p w:rsidR="0033382B" w:rsidRDefault="0033382B" w:rsidP="0033382B">
      <w:pPr>
        <w:pStyle w:val="TextoNormal"/>
      </w:pPr>
      <w:r>
        <w:t>Por providencia de la misma fecha, la Sección Tercera acordó formar la oportuna pieza para la tramitación del incidente de suspensión y, conforme a lo dispuesto en el art. 56 de la Ley Orgánica del Tribunal Constitucional (LOTC), concedió un plazo común de tres días a la parte recurrente y al Ministerio Fiscal para que alegaran lo que estimaran pertinente sobre dicha suspensión.</w:t>
      </w:r>
    </w:p>
    <w:p w:rsidR="0033382B" w:rsidRDefault="0033382B" w:rsidP="0033382B">
      <w:pPr>
        <w:pStyle w:val="TextoNormal"/>
      </w:pPr>
    </w:p>
    <w:p w:rsidR="0033382B" w:rsidRDefault="0033382B" w:rsidP="0033382B">
      <w:pPr>
        <w:pStyle w:val="TextoNormal"/>
      </w:pPr>
      <w:r w:rsidRPr="0033382B">
        <w:rPr>
          <w:rStyle w:val="NumeroAFNegritaCaracter"/>
        </w:rPr>
        <w:t>4</w:t>
      </w:r>
      <w:r>
        <w:t>. El Fiscal, en escrito registrado el 11 de febrero de 2016, interesó que se otorgara la suspensión solicitada. Tras exponer la doctrina de este Tribunal en relación con el art. 56 LOTC, sostuvo que en los casos de expulsión de extranjeros la efectividad de las resoluciones judiciales por las que se declara procedente la expulsión del actor, con la consiguiente salida del territorio nacional, podría convertir en ilusoria una eventual concesión del amparo, pues una vez que el ciudadano expulsado se encontrase fuera de nuestras fronteras, un fallo estimatorio de este Tribunal carecería de eficacia práctica para preservar o restaurar los derechos fundamentales invocados, en la medida en que lo que se trata de evitar con el recurso —la expulsión— ya habría tenido lugar. Y aunque una eventual concesión del amparo pudiera tener como consecuencia la posibilidad de que el recurrente regresase a España, los perjuicios de carácter personal, económico y familiar serían de imposible resarcimiento. Por lo demás, entiende el Fiscal que no parece que de la suspensión se derive una perturbación grave del interés general o de los derechos fundamentales o libertades públicas de terceros.</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escrito presentado el 12 de febrero de 2016, la Procuradora doña Eugenia Merelo Fos, en representación del actor, formuló sus alegaciones, en las que, con exposición de los antecedentes del caso, reprodujo en síntesis lo alegado en la demanda acerca de la concurrencia del presupuesto de la existencia de perjuicios de difícil reparación para el recurrente en el caso de que no se accediera a la suspensión solicitada, con mención de sus circunstancias personales, familiares y laborales de arraigo, incluyendo asimismo una argumentación relativa a la apariencia de buen derecho que concurre en el presente supuesto. Concluye defendiendo que con las circunstancias acreditadas concurren, a su juicio, todos los presupuestos exigidos para la adopción de las medidas cautelares interesadas, sin que las mismas supongan un perjuicio para intereses generales o de terceros.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33382B" w:rsidRDefault="0033382B" w:rsidP="0033382B">
      <w:pPr>
        <w:pStyle w:val="TextoNormal"/>
      </w:pPr>
    </w:p>
    <w:p w:rsidR="0033382B" w:rsidRDefault="0033382B" w:rsidP="0033382B">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este Tribunal ha entendido por perjuicio irreparable aquel que provoque que el restablecimiento del recurrente en el derecho constitucional vulnerado sea tardío y convierta el amparo en meramente ilusorio y nominal (por todos AATC 274/2008, de 15 de septiembre; 26/2009, de 26 de enero, y 173/2009, de 1 de junio).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(por todos, AATC 44/2008, de 11 de febrero, FJ 1; 59/2008, de 20 de febrero, FJ 1; 67/2008, de 25 de febrero, FJ 1; 109/2008, de 14 de abril, FJ 1; 111/2008, de 14 de abril, FJ 1; 118/2008, de 28 de abril, FJ 1, y 172/2008, de 23 de junio, FJ 1).</w:t>
      </w:r>
    </w:p>
    <w:p w:rsidR="0033382B" w:rsidRDefault="0033382B" w:rsidP="0033382B">
      <w:pPr>
        <w:pStyle w:val="TextoNormal"/>
      </w:pPr>
    </w:p>
    <w:p w:rsidR="0033382B" w:rsidRDefault="0033382B" w:rsidP="0033382B">
      <w:pPr>
        <w:pStyle w:val="TextoNormal"/>
      </w:pPr>
      <w:r w:rsidRPr="0033382B">
        <w:rPr>
          <w:rStyle w:val="NumeroAFNegritaCaracter"/>
        </w:rPr>
        <w:t>2</w:t>
      </w:r>
      <w:r>
        <w:t>. En cuanto a la expulsión de extranjeros del territorio nacional, este Tribunal ha señalado con carácter general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 AATC 66/2012, de 16 de abril, FJ 2; 116/2013, de 20 de mayo, FJ 2; y 90/2015, de 25 de mayo, FJ 2, entre otros).</w:t>
      </w:r>
    </w:p>
    <w:p w:rsidR="0033382B" w:rsidRDefault="0033382B" w:rsidP="0033382B">
      <w:pPr>
        <w:pStyle w:val="TextoNormal"/>
      </w:pPr>
    </w:p>
    <w:p w:rsidR="0033382B" w:rsidRDefault="0033382B" w:rsidP="0033382B">
      <w:pPr>
        <w:pStyle w:val="TextoNormal"/>
      </w:pPr>
      <w:r>
        <w:t>La aplicación de la doctrina precedente al caso ahora examinado debe llevarnos, conforme solicita también el Ministerio Fiscal, a acordar la suspensión de la expulsión del territorio nacional del recurrente, atendiendo al conjunto de sus circunstancias personales, toda vez que tampoco cabe apreciar que dicha suspensión pueda originar una perturbación grave de los intereses generales ni de los derechos fundamentales o libertades públicas de un tercero.</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Suspender la ejecución de la resolución de la Subdelegación del Gobierno en Valencia de 11 de octubre de 2011, que impone al recurrente la sanción de expulsión del territorio nacional y prohibición de entrada durante cinco años, así como de la Sentencia de la Sección Primera de la Sala de lo Contencioso-Administrativo del Tribunal Superior de Justicia de la Comunidad Valenciana, de 23 de julio de 2014, que estima el recurso de apelación interpuesto por el Abogado del Estado contra la Sentencia del Juzgado de lo Contencioso-Administrativo núm. 5 de Valencia, de 4 de diciembre de 2012.</w:t>
      </w:r>
    </w:p>
    <w:p w:rsidR="0033382B" w:rsidRDefault="0033382B" w:rsidP="0033382B">
      <w:pPr>
        <w:pStyle w:val="TextoNormal"/>
      </w:pPr>
    </w:p>
    <w:p w:rsidR="0033382B" w:rsidRDefault="0033382B" w:rsidP="0033382B">
      <w:pPr>
        <w:pStyle w:val="TextoNormal"/>
      </w:pPr>
      <w:r>
        <w:t>Madrid, a veintinueve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75" w:name="AUTO_2016_48"/>
      <w:r>
        <w:t>AUTO 48/2016, de 29 de febrero de 2016</w:t>
      </w:r>
    </w:p>
    <w:bookmarkEnd w:id="175"/>
    <w:p w:rsidR="0033382B" w:rsidRDefault="0033382B" w:rsidP="0033382B">
      <w:pPr>
        <w:pStyle w:val="TtuloResolucin"/>
      </w:pPr>
      <w:r>
        <w:t>Sala Segunda</w:t>
      </w:r>
    </w:p>
    <w:p w:rsidR="0033382B" w:rsidRDefault="0033382B" w:rsidP="0033382B">
      <w:pPr>
        <w:pStyle w:val="TextoNormalCentrado"/>
      </w:pPr>
      <w:r>
        <w:t>ECLI:ES:TC:2016:48A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en el recurso de amparo 4960-2015, promovido por Sporafrik, S.L.,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7 de septiembre de 2015 tuvo entrada en el Registro General de este Tribunal escrito firmado por la Procuradora de los Tribunales doña Isabel Juliá Corujo, en nombre y representación de Sporafrik, S.L., en virtud del cual interponía recurso de amparo contra el Auto del Juzgado de Primera Instancia núm. 2 de Orihuela de 24 de junio de 2015, dictado en autos de ejecución hipotecaria núm. 175-2014, que desestimó la solicitud de nulidad de actuaciones promovida por la sociedad citada, así como contra todas las actuaciones posteriores a la admisión de la demanda de ejecución hipotecaria y notificación y emplazamiento de la ahora recurrente.</w:t>
      </w:r>
    </w:p>
    <w:p w:rsidR="0033382B" w:rsidRDefault="0033382B" w:rsidP="0033382B">
      <w:pPr>
        <w:pStyle w:val="TextoNormal"/>
      </w:pPr>
    </w:p>
    <w:p w:rsidR="0033382B" w:rsidRDefault="0033382B" w:rsidP="0033382B">
      <w:pPr>
        <w:pStyle w:val="TextoNormal"/>
      </w:pPr>
      <w:r>
        <w:t>Frente a la sociedad demandante de amparo se siguió un proceso de ejecución hipotecaria a instancias del Banco Popular, S.A. De conformidad con lo dispuesto en los arts. 225 y siguientes de la Ley de enjuiciamiento civil, Sporafrik, S.L., interesó la nulidad de actuaciones, aduciendo indefensión. Denunciaba que el emplazamiento se realizó por edictos en un domicilio distinto al inscrito en el Registro Mercantil, al haber sido objeto de modificación dicho domicilio por escritura autorizada el día 12 de marzo de 2009, inscrita en el Registro Mercantil de Alicante, y publicada en el “Boletín Oficial del Registro Mercantil” el día 5 de junio de 2009.</w:t>
      </w:r>
    </w:p>
    <w:p w:rsidR="0033382B" w:rsidRDefault="0033382B" w:rsidP="0033382B">
      <w:pPr>
        <w:pStyle w:val="TextoNormal"/>
      </w:pPr>
    </w:p>
    <w:p w:rsidR="0033382B" w:rsidRDefault="0033382B" w:rsidP="0033382B">
      <w:pPr>
        <w:pStyle w:val="TextoNormal"/>
      </w:pPr>
      <w:r>
        <w:t>El Auto de 24 de junio de 2015 desestimó la solicitud de nulidad considerando que no se había producido vulneración alguna del derecho del recurrente ni de la doctrina constitucional en la materia (extracta la STC 122/2013, de 20 de mayo), dado que “en nuestro caso, se fijó un domicilio a efectos de notificaciones en la escritura pública, sin que en el procedimiento hubiera constancia de ningún otro domicilio real distinto del demandado”. De hecho, añade a renglón seguido, “en la escritura de novación de hipoteca de fecha 29 de septiembre de 2010, objeto de autos, se indica por el ejecutado como domicilio a efectos de notificaciones calle … 43, bajo de Alicante, y dicha escritura es de fecha posterior al cambio social del domicilio que invoca la ejecutada que data del año 2009”.</w:t>
      </w:r>
    </w:p>
    <w:p w:rsidR="0033382B" w:rsidRDefault="0033382B" w:rsidP="0033382B">
      <w:pPr>
        <w:pStyle w:val="TextoNormal"/>
      </w:pPr>
    </w:p>
    <w:p w:rsidR="0033382B" w:rsidRDefault="0033382B" w:rsidP="0033382B">
      <w:pPr>
        <w:pStyle w:val="TextoNormal"/>
      </w:pPr>
      <w:r w:rsidRPr="0033382B">
        <w:rPr>
          <w:rStyle w:val="NumeroAFNegritaCaracter"/>
        </w:rPr>
        <w:t>2</w:t>
      </w:r>
      <w:r>
        <w:t>. La sociedad demandante de amparo denuncia en su recurso la vulneración del derecho a la tutela judicial efectiva sin indefensión (art. 24.1 CE). A su juicio, el razonamiento del Juzgado descarta la obligación del órgano judicial de averiguar el domicilio real y efectivo de la parte demandada, en contra de lo que dispusieron las SSTC 122/2013, de 20 de mayo, y 89/2015, de 11 de mayo.</w:t>
      </w:r>
    </w:p>
    <w:p w:rsidR="0033382B" w:rsidRDefault="0033382B" w:rsidP="0033382B">
      <w:pPr>
        <w:pStyle w:val="TextoNormal"/>
      </w:pPr>
    </w:p>
    <w:p w:rsidR="0033382B" w:rsidRDefault="0033382B" w:rsidP="0033382B">
      <w:pPr>
        <w:pStyle w:val="TextoNormal"/>
      </w:pPr>
      <w:r>
        <w:t>En la demanda se solicita por medio de otrosí la suspensión de los efectos del Auto recurrido, con el fin de que no se cause un daño irreparable con la adjudicación a la ejecutante de los inmuebles controvertidos.</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providencia de 1 de febrero de 2016, la Sección Cuarta de este Tribunal acordó admitir a trámite el recurso de amparo.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escrito presentado el 11 de febrero de 2016, la Procuradora doña Isabel Juliá Corujo, en nombre y representación de Sporafrik, S.L., formuló sus alegaciones, afirmando, en síntesis, que de no acordarse la suspensión se producirían perjuicios irreparables ya que los inmuebles de su propiedad podrían pasar al dominio de terceros de manera legalmente irreivindicable.</w:t>
      </w:r>
    </w:p>
    <w:p w:rsidR="0033382B" w:rsidRDefault="0033382B" w:rsidP="0033382B">
      <w:pPr>
        <w:pStyle w:val="TextoNormal"/>
      </w:pPr>
    </w:p>
    <w:p w:rsidR="0033382B" w:rsidRDefault="0033382B" w:rsidP="0033382B">
      <w:pPr>
        <w:pStyle w:val="TextoNormal"/>
      </w:pPr>
      <w:r w:rsidRPr="0033382B">
        <w:rPr>
          <w:rStyle w:val="NumeroAFNegritaCaracter"/>
        </w:rPr>
        <w:t>5</w:t>
      </w:r>
      <w:r>
        <w:t>. El Ministerio Fiscal, en escrito registrado el 15 de febrero de 2016, se opone a la suspensión solicitada. Tras exponer los antecedentes del caso, señala que nos encontramos ante una decisión de contenido patrimonial que afecta a propiedades inmobiliarias, por lo que podrían restaurarse los derechos afectados por la vía indemnizatoria en caso de que se llegara a culminar la adjudicación de los bienes. Por lo demás, añade, tratándose de un inmueble empresarial, no quedan afectados otros bienes de prevalencia en caso de conflicto, como ocurriría en el supuesto de que la hipoteca gravara una vivienda familiar.</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Conforme se ha expuesto en los antecedentes de esta resolución, la sociedad demandante de amparo ha denunciado la indefensión que dice haber sufrido al no habérsele notificado correctamente por el Juzgado de Primera Instancia núm. 2 de Orihuela el procedimiento de ejecución hipotecaria núm. 175-2014. Por este motivo ha solicitado la suspensión cautelar de los efectos del Auto de 24 de junio de 2015, ya que, según ha razonado, de no acordarse la suspensión de su ejecución y efectos aparejados a ella podrían producirse actos de adjudicación sobre bienes inmuebles de su propiedad y consolidarse una situación difícilmente reversible. El Ministerio Fiscal considera, en cambio, que no procede la concesión de la suspensión solicitada.</w:t>
      </w:r>
    </w:p>
    <w:p w:rsidR="0033382B" w:rsidRDefault="0033382B" w:rsidP="0033382B">
      <w:pPr>
        <w:pStyle w:val="TextoNormal"/>
      </w:pPr>
    </w:p>
    <w:p w:rsidR="0033382B" w:rsidRDefault="0033382B" w:rsidP="0033382B">
      <w:pPr>
        <w:pStyle w:val="TextoNormal"/>
      </w:pPr>
      <w:r w:rsidRPr="0033382B">
        <w:rPr>
          <w:rStyle w:val="NumeroAFNegritaCaracter"/>
        </w:rPr>
        <w:t>2</w:t>
      </w:r>
      <w:r>
        <w:t>. En una consolidada doctrina constitucional, de la que es buena muestra el ATC 74/2013, de 8 de abril, y las resoluciones que en él se citan, este Tribunal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33382B" w:rsidRDefault="0033382B" w:rsidP="0033382B">
      <w:pPr>
        <w:pStyle w:val="TextoNormal"/>
      </w:pPr>
    </w:p>
    <w:p w:rsidR="0033382B" w:rsidRDefault="0033382B" w:rsidP="0033382B">
      <w:pPr>
        <w:pStyle w:val="TextoNormal"/>
      </w:pPr>
      <w:r>
        <w:t>De conformidad con esta doctrina constitucional, y sin prejuzgar la decisión de fondo del recurso, procede acordar la suspensión solicitada, puesto que en otro caso se podría llegar a materializar la transmisión del dominio de los bienes inmuebles controvertidos, tanto por haberlo solicitado el ejecutante en escritos de 24 de febrero, 7 de mayo y 9 de julio de 2015, presentados al órgano judicial una vez celebrada subasta el 23 de febrero de 2015 sin que compareciera ningún licitador, como por el hecho de haber sido señalada una segunda subasta (folio 286 de las actuaciones).</w:t>
      </w:r>
    </w:p>
    <w:p w:rsidR="0033382B" w:rsidRDefault="0033382B" w:rsidP="0033382B">
      <w:pPr>
        <w:pStyle w:val="TextoNormal"/>
      </w:pPr>
    </w:p>
    <w:p w:rsidR="0033382B" w:rsidRDefault="0033382B" w:rsidP="0033382B">
      <w:pPr>
        <w:pStyle w:val="TextoNormal"/>
      </w:pPr>
      <w:r>
        <w:t>Podría crearse, en consecuencia, una situación difícilmente reversible que haría perder al recurso de amparo su finalidad. Por lo demás, no se advierte en este momento procesal, atendidas las circunstancias efectivamente acreditadas, que la suspensión de la ejecución pueda entrañar una perturbación grave a un interés constitucionalmente protegido o a los derechos fundamentales o libertades públicas de un tercero.</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Suspender la ejecución de la resolución recurrida y de toda actuación judicial sucesiva que pueda tener como efecto la adjudicación a terceros de los inmuebles controvertidos.</w:t>
      </w:r>
    </w:p>
    <w:p w:rsidR="0033382B" w:rsidRDefault="0033382B" w:rsidP="0033382B">
      <w:pPr>
        <w:pStyle w:val="TextoNormal"/>
      </w:pPr>
    </w:p>
    <w:p w:rsidR="0033382B" w:rsidRDefault="0033382B" w:rsidP="0033382B">
      <w:pPr>
        <w:pStyle w:val="TextoNormal"/>
      </w:pPr>
      <w:r>
        <w:t>Madrid, a veintinueve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76" w:name="AUTO_2016_49"/>
      <w:r>
        <w:t>AUTO 49/2016, de 29 de febrero de 2016</w:t>
      </w:r>
    </w:p>
    <w:bookmarkEnd w:id="176"/>
    <w:p w:rsidR="0033382B" w:rsidRDefault="0033382B" w:rsidP="0033382B">
      <w:pPr>
        <w:pStyle w:val="TtuloResolucin"/>
      </w:pPr>
      <w:r>
        <w:t>Sala Segunda</w:t>
      </w:r>
    </w:p>
    <w:p w:rsidR="0033382B" w:rsidRDefault="0033382B" w:rsidP="0033382B">
      <w:pPr>
        <w:pStyle w:val="TextoNormalCentrado"/>
      </w:pPr>
      <w:r>
        <w:t>ECLI:ES:TC:2016:49A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en el recurso de amparo 5046-2015, promovido por don Silvestre Cano Valero en causa penal.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11 de septiembre de 2015, la Procuradora de los Tribunales doña María Dolores Arcos Gómez, en nombre y representación de don Silvestre Cano Valero, interpuso recurso de amparo contra el Auto de 24 de julio de 2015 de la Sección Tercera de la Audiencia Provincial de Almería, desestimatorio del incidente de nulidad de actuaciones promovido contra la Sentencia de la Sección Tercera de la Audiencia Provincial de Almería de fecha 29 de abril de 2015, dictada en rollo de apelación 188-2015, en la que se desestimaba el recurso de apelación interpuesto contra la Sentencia de 18 de diciembre de 2013, dictada por el Juzgado de lo Penal núm. 5 de Almería, juicio oral 319-2014. En ella se condenó al demandante de amparo como autor de un delito de apropiación indebida de los arts. 252 y 249 del Código penal, con la circunstancia atenuante de dilaciones indebidas del art. 21.6 del Código penal, a la pena de un año de prisión, inhabilitación especial para ejercer el derecho de sufragio pasivo durante la condena, así como al pago de las costas procesales y a indemnizar en 13.500 € a don Enrique Ángel Romero Álvarez con los correspondientes intereses legales, cantidad de la que responderá subsidiariamente la mercantil Procava Antas, S.L.</w:t>
      </w:r>
    </w:p>
    <w:p w:rsidR="0033382B" w:rsidRDefault="0033382B" w:rsidP="0033382B">
      <w:pPr>
        <w:pStyle w:val="TextoNormal"/>
      </w:pPr>
    </w:p>
    <w:p w:rsidR="0033382B" w:rsidRDefault="0033382B" w:rsidP="0033382B">
      <w:pPr>
        <w:pStyle w:val="TextoNormal"/>
      </w:pPr>
      <w:r>
        <w:t xml:space="preserve">En la demanda de amparo se solicitaba por otrosí, </w:t>
      </w:r>
      <w:r w:rsidRPr="0033382B">
        <w:rPr>
          <w:i/>
        </w:rPr>
        <w:t>ex</w:t>
      </w:r>
      <w:r>
        <w:t xml:space="preserve"> art. 56 de la Ley Orgánica del Tribunal Constitucional, la suspensión de la ejecución de la pena de un año de prisión impuesta al demandante de amparo, por cuanto podría causar un perjuicio tal que haría perder la finalidad del presente recurso de amparo, sin que dicha suspensión ocasione perturbación grave a ningún derecho constitucionalmente protegido, y por concurrir una apariencia de buen derecho.</w:t>
      </w:r>
    </w:p>
    <w:p w:rsidR="0033382B" w:rsidRDefault="0033382B" w:rsidP="0033382B">
      <w:pPr>
        <w:pStyle w:val="TextoNormal"/>
      </w:pPr>
    </w:p>
    <w:p w:rsidR="0033382B" w:rsidRDefault="0033382B" w:rsidP="0033382B">
      <w:pPr>
        <w:pStyle w:val="TextoNormal"/>
      </w:pPr>
      <w:r w:rsidRPr="0033382B">
        <w:rPr>
          <w:rStyle w:val="NumeroAFNegritaCaracter"/>
        </w:rPr>
        <w:t>2</w:t>
      </w:r>
      <w:r>
        <w:t>. La Sección Tercera de este Tribunal, por providencia de 2 de febrero de 2016, y tras admitir el recurso por providencia fechada en el mismo día, acordó la formación de pieza separada para la tramitación del incidente sobre la suspensión solicitada y asimismo, conceder a la parte recurrente y al Ministerio Fiscal el plazo común de tres días para que alegasen lo que estimasen pertinente sobre dicha suspensión.</w:t>
      </w:r>
    </w:p>
    <w:p w:rsidR="0033382B" w:rsidRDefault="0033382B" w:rsidP="0033382B">
      <w:pPr>
        <w:pStyle w:val="TextoNormal"/>
      </w:pPr>
    </w:p>
    <w:p w:rsidR="0033382B" w:rsidRDefault="0033382B" w:rsidP="0033382B">
      <w:pPr>
        <w:pStyle w:val="TextoNormal"/>
      </w:pPr>
      <w:r w:rsidRPr="0033382B">
        <w:rPr>
          <w:rStyle w:val="NumeroAFNegritaCaracter"/>
        </w:rPr>
        <w:t>3</w:t>
      </w:r>
      <w:r>
        <w:t>. La representación de la parte recurrente presentó escrito de alegaciones con fecha 8 de febrero de 2016 en el que reitera la petición de suspensión con fundamento en que la pena impuesta es de un año de prisión, y que se perdería la finalidad del amparo.</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escrito registrado en este Tribunal el 10 de febrero de 2016, presentó alegaciones solicitando que se conceda la suspensión de la pena privativa de libertad, puesto que suspender la ejecución no ocasionaría una lesión específica y grave del interés general, más allá de la genérica que de por sí produce la no ejecución de un fallo judicial.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art. 56.2 de la Ley Orgánica del Tribunal Constitucional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33382B" w:rsidRDefault="0033382B" w:rsidP="0033382B">
      <w:pPr>
        <w:pStyle w:val="TextoNormal"/>
      </w:pPr>
    </w:p>
    <w:p w:rsidR="0033382B" w:rsidRDefault="0033382B" w:rsidP="0033382B">
      <w:pPr>
        <w:pStyle w:val="TextoNormal"/>
      </w:pPr>
      <w:r>
        <w:t>De acuerdo con la doctrina mantenida por este Tribunal, en relación a la suspensión de las penas de prisión, se ha venido utilizando como criterio de ponderación prioritario el de gravedad de la pena, aplicando de forma reiterada como directriz inicial la de que la pena se sitúe por encima o por debajo de la frontera de los cinco años de prisión (AATC 16/2009. de 26 de enero, 18/2011, de 28 de febrero, FJ 2, y 61/2013, de 27 de febrero, FJ 2), que es la que le sirve al legislador penal para diferenciar entre las penas graves y las menos graves, art. 33 del Código penal (ATC 44/2012, de 12 de marzo, FJ 2).</w:t>
      </w:r>
    </w:p>
    <w:p w:rsidR="0033382B" w:rsidRDefault="0033382B" w:rsidP="0033382B">
      <w:pPr>
        <w:pStyle w:val="TextoNormal"/>
      </w:pPr>
    </w:p>
    <w:p w:rsidR="0033382B" w:rsidRDefault="0033382B" w:rsidP="0033382B">
      <w:pPr>
        <w:pStyle w:val="TextoNormal"/>
      </w:pPr>
      <w:r>
        <w:t>Junto a este criterio, el Tribunal ha venido ponderando otras circunstancias relevantes, tales como,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33382B" w:rsidRDefault="0033382B" w:rsidP="0033382B">
      <w:pPr>
        <w:pStyle w:val="TextoNormal"/>
      </w:pPr>
    </w:p>
    <w:p w:rsidR="0033382B" w:rsidRDefault="0033382B" w:rsidP="0033382B">
      <w:pPr>
        <w:pStyle w:val="TextoNormal"/>
      </w:pPr>
      <w:r w:rsidRPr="0033382B">
        <w:rPr>
          <w:rStyle w:val="NumeroAFNegritaCaracter"/>
        </w:rPr>
        <w:t>2</w:t>
      </w:r>
      <w:r>
        <w:t>. En el presente caso, de acuerdo con las tesis del Ministerio Fiscal, concurren los requisitos que nuestra doctrina exige para otorgar la suspensión de la ejecución en cuanto a la pena privativa de libertad, por cuanto la duración de la pena impuesta —un año de prisión— permite afirmar que su ejecución puede ocasionar al demandante perjuicios irreparables que harían perder su finalidad al recurso de amparo.</w:t>
      </w:r>
    </w:p>
    <w:p w:rsidR="0033382B" w:rsidRDefault="0033382B" w:rsidP="0033382B">
      <w:pPr>
        <w:pStyle w:val="TextoNormal"/>
      </w:pPr>
    </w:p>
    <w:p w:rsidR="0033382B" w:rsidRDefault="0033382B" w:rsidP="0033382B">
      <w:pPr>
        <w:pStyle w:val="TextoNormal"/>
      </w:pPr>
      <w:r>
        <w:t xml:space="preserve">Resulta por ello procedente decretar la suspensión cautelar de la pena privativa de libertad impuesta en atención a su corta duración, tratando así de prevenir que la previsible duración de este amparo pudiera conllevar la inefectividad de un eventual pronunciamiento estimatorio de la demanda de amparo, y, conforme a la regla de </w:t>
      </w:r>
      <w:r w:rsidRPr="0033382B">
        <w:rPr>
          <w:i/>
        </w:rPr>
        <w:t>accesorium sequitur principale</w:t>
      </w:r>
      <w:r>
        <w:t>, igual suspensión deberá extenderse a la privación del derecho de sufragio pasivo (art. 44 del Código penal) aneja a la privativa de libertad suspensa (por todos ATC 291/2014, de 1 de diciembre).</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Suspender la ejecución de la pena privativa de libertad de un año de prisión, y accesoria de privación del derecho de sufragio pasivo durante el tiempo de la condena, impuesta al recurrente en Sentencia núm. 635/2013, de 18 de diciembre, del Juzgado de lo Penal núm. 5 de Almería, confirmada en apelación por la dictada por la Sección Tercera de la Audiencia Provincial de Almería, de 29 de abril de 2015.</w:t>
      </w:r>
    </w:p>
    <w:p w:rsidR="0033382B" w:rsidRDefault="0033382B" w:rsidP="0033382B">
      <w:pPr>
        <w:pStyle w:val="TextoNormal"/>
      </w:pPr>
    </w:p>
    <w:p w:rsidR="0033382B" w:rsidRDefault="0033382B" w:rsidP="0033382B">
      <w:pPr>
        <w:pStyle w:val="TextoNormal"/>
      </w:pPr>
      <w:r>
        <w:t>Madrid, a veintinueve de febrero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77" w:name="AUTO_2016_50"/>
      <w:r>
        <w:t>AUTO 50/2016, de 1 de marzo de 2016</w:t>
      </w:r>
    </w:p>
    <w:bookmarkEnd w:id="177"/>
    <w:p w:rsidR="0033382B" w:rsidRDefault="0033382B" w:rsidP="0033382B">
      <w:pPr>
        <w:pStyle w:val="TtuloResolucin"/>
      </w:pPr>
      <w:r>
        <w:t>Pleno</w:t>
      </w:r>
    </w:p>
    <w:p w:rsidR="0033382B" w:rsidRDefault="0033382B" w:rsidP="0033382B">
      <w:pPr>
        <w:pStyle w:val="TextoNormalCentrado"/>
      </w:pPr>
      <w:r>
        <w:t>ECLI:ES:TC:2016:50A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7602-2014, planteada por el Tribunal Superior de Justicia de Castilla-La Mancha en relación con los artículos 23.1 a) y 2 del Real Decreto Legislativo 2/2008, de 20 de junio, por el que se aprueba el texto refundido de la Ley de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17 de diciembre de 2014 tuvo entrada en el Registro General de este Tribunal un escrito de la Sección Segunda de la Sala de lo Contencioso-Administrativo del Tribunal Superior de Justicia de Castilla-La Mancha al que se acompaña, junto al testimonio del procedimiento ordinario núm. 119-2011, el Auto de 4 de noviembre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Una persona física, propietaria de varias fincas afectadas por el proyecto de expropiación derivado del “proyecto de singular interés Parque Industrial y Tecnológico de Illescas”, recurre en vía contencioso-administrativa la resolución del Jurado Regional de Valoraciones de la Junta de Comunidades de Castilla-La Mancha que fijó el justiprecio de las fincas, que se encontraban en situación de rústicas.</w:t>
      </w:r>
    </w:p>
    <w:p w:rsidR="0033382B" w:rsidRDefault="0033382B" w:rsidP="0033382B">
      <w:pPr>
        <w:pStyle w:val="TextoNormal"/>
      </w:pPr>
    </w:p>
    <w:p w:rsidR="0033382B" w:rsidRDefault="0033382B" w:rsidP="0033382B">
      <w:pPr>
        <w:pStyle w:val="TextoNormal"/>
      </w:pPr>
      <w:r>
        <w:t>b) Una vez concluso el procedimiento y señalada la fecha para votación y fallo del proceso el 13 de octubre de 2014, la Sección Segunda de la Sala de lo Contencioso-Administrativo del Tribunal Superior de Justicia de Castilla-La Mancha dictó providencia de la misma fecha,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 a la vista de la STC 141/2014, de 11 de septiembre. 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y el art. 14 CE en cuanto se permite al resto de los propietarios realizar su valor real.</w:t>
      </w:r>
    </w:p>
    <w:p w:rsidR="0033382B" w:rsidRDefault="0033382B" w:rsidP="0033382B">
      <w:pPr>
        <w:pStyle w:val="TextoNormal"/>
      </w:pPr>
    </w:p>
    <w:p w:rsidR="0033382B" w:rsidRDefault="0033382B" w:rsidP="0033382B">
      <w:pPr>
        <w:pStyle w:val="TextoNormal"/>
      </w:pPr>
      <w:r>
        <w:t xml:space="preserve">c) El Ministerio Fiscal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w:t>
      </w:r>
      <w:r w:rsidRPr="0033382B">
        <w:rPr>
          <w:i/>
        </w:rPr>
        <w:t>prima facie</w:t>
      </w:r>
      <w:r>
        <w:t>,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0033382B" w:rsidRDefault="0033382B" w:rsidP="0033382B">
      <w:pPr>
        <w:pStyle w:val="TextoNormal"/>
      </w:pPr>
    </w:p>
    <w:p w:rsidR="0033382B" w:rsidRDefault="0033382B" w:rsidP="0033382B">
      <w:pPr>
        <w:pStyle w:val="TextoNormal"/>
      </w:pPr>
      <w:r>
        <w:t>El Letrado de la Administración de la Junta de Comunidades de Castilla-La Mancha se opuso al planteamiento de la cuestión por lo que hace a los arts. 23.1 y 23.2 del Real Decreto Legislativo 2/2008, con el argumento de que la STC 141/2014 los había declarado constitucionales.</w:t>
      </w:r>
    </w:p>
    <w:p w:rsidR="0033382B" w:rsidRDefault="0033382B" w:rsidP="0033382B">
      <w:pPr>
        <w:pStyle w:val="TextoNormal"/>
      </w:pPr>
    </w:p>
    <w:p w:rsidR="0033382B" w:rsidRDefault="0033382B" w:rsidP="0033382B">
      <w:pPr>
        <w:pStyle w:val="TextoNormal"/>
      </w:pPr>
      <w:r>
        <w:t>La representación del actor consideró pertinente el planteamiento de la cuestión de inconstitucionalidad.</w:t>
      </w:r>
    </w:p>
    <w:p w:rsidR="0033382B" w:rsidRDefault="0033382B" w:rsidP="0033382B">
      <w:pPr>
        <w:pStyle w:val="TextoNormal"/>
      </w:pPr>
    </w:p>
    <w:p w:rsidR="0033382B" w:rsidRDefault="0033382B" w:rsidP="0033382B">
      <w:pPr>
        <w:pStyle w:val="TextoNormal"/>
      </w:pPr>
      <w:r>
        <w:t>d) La Sección Segunda de la Sala de lo Contencioso-Administrativo del Tribunal Superior de Justicia de Castilla-La Mancha dictó Auto de 4 de noviembre de 2014, por el que se acuerda plantear cuestión de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tras referirse a los antecedentes de hecho del caso y transcribir los preceptos cuestionados, aborda los requisitos de procedibilidad.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el Jurado Regional de Valoraciones tasó los bienes haciendo aplicación del art. 23 en sus apartados 1 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proyecto de singular interés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0033382B" w:rsidRDefault="0033382B" w:rsidP="0033382B">
      <w:pPr>
        <w:pStyle w:val="TextoNormal"/>
      </w:pPr>
    </w:p>
    <w:p w:rsidR="0033382B" w:rsidRDefault="0033382B" w:rsidP="0033382B">
      <w:pPr>
        <w:pStyle w:val="TextoNormal"/>
      </w:pPr>
      <w:r>
        <w:t>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actual legislación.</w:t>
      </w:r>
    </w:p>
    <w:p w:rsidR="0033382B" w:rsidRDefault="0033382B" w:rsidP="0033382B">
      <w:pPr>
        <w:pStyle w:val="TextoNormal"/>
      </w:pPr>
    </w:p>
    <w:p w:rsidR="0033382B" w:rsidRDefault="0033382B" w:rsidP="0033382B">
      <w:pPr>
        <w:pStyle w:val="TextoNormal"/>
      </w:pPr>
      <w:r>
        <w:t xml:space="preserve">A continuación, señala que, aunque nada hay de inconstitucional en que la ley pueda establecer unos métodos de valoración determinados u otros, “sí afirmamos que será difícilmente constitucional que de manera manifiesta impida dar con un valor real, valor que a nuestro juicio equivale a un valor que sea próximo al del mercado propio del bien de que se trate …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w:t>
      </w:r>
      <w:r w:rsidRPr="0033382B">
        <w:rPr>
          <w:i/>
        </w:rPr>
        <w:t>Lightgow y otros contra Reino Unido</w:t>
      </w:r>
      <w:r>
        <w:t xml:space="preserve">—, 9 de diciembre de 1994 —caso </w:t>
      </w:r>
      <w:r w:rsidRPr="0033382B">
        <w:rPr>
          <w:i/>
        </w:rPr>
        <w:t>de los Santos Monasterios Griegos contra Grecia</w:t>
      </w:r>
      <w:r>
        <w:t xml:space="preserve">—, 4 de agosto de 2009 —caso </w:t>
      </w:r>
      <w:r w:rsidRPr="0033382B">
        <w:rPr>
          <w:i/>
        </w:rPr>
        <w:t>Perdigao contra Portugal</w:t>
      </w:r>
      <w:r>
        <w:t>, 4 de noviembre de 2010, 9 de octubre de 2003 o 26 de abril de 2011).”</w:t>
      </w:r>
    </w:p>
    <w:p w:rsidR="0033382B" w:rsidRDefault="0033382B" w:rsidP="0033382B">
      <w:pPr>
        <w:pStyle w:val="TextoNormal"/>
      </w:pPr>
    </w:p>
    <w:p w:rsidR="0033382B" w:rsidRDefault="0033382B" w:rsidP="0033382B">
      <w:pPr>
        <w:pStyle w:val="TextoNormal"/>
      </w:pPr>
      <w:r>
        <w:t>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de autos”, lo que hace refiriéndose primero al art. 23 y luego al art. 25 del Real Decreto Legislativo 2/2008.</w:t>
      </w:r>
    </w:p>
    <w:p w:rsidR="0033382B" w:rsidRDefault="0033382B" w:rsidP="0033382B">
      <w:pPr>
        <w:pStyle w:val="TextoNormal"/>
      </w:pPr>
    </w:p>
    <w:p w:rsidR="0033382B" w:rsidRDefault="0033382B" w:rsidP="0033382B">
      <w:pPr>
        <w:pStyle w:val="TextoNormal"/>
      </w:pPr>
      <w:r>
        <w:t>Por lo que se refiere al art. 23 del Real Decreto Legislativo 2/2008, 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proyecto de singular interés que motiva la expropiación; y que el propio proyecto de singular interés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proyecto de singular interés declaraba. Esta es la prueba, a nuestro juicio, de que el sistema establecido por la Ley no es hábil para hallar el valor real del bien ni aun aproximadamente y que, por consiguiente, puede resultar inconstitucional”.</w:t>
      </w:r>
    </w:p>
    <w:p w:rsidR="0033382B" w:rsidRDefault="0033382B" w:rsidP="0033382B">
      <w:pPr>
        <w:pStyle w:val="TextoNormal"/>
      </w:pPr>
    </w:p>
    <w:p w:rsidR="0033382B" w:rsidRDefault="0033382B" w:rsidP="0033382B">
      <w:pPr>
        <w:pStyle w:val="TextoNormal"/>
      </w:pPr>
      <w:r>
        <w:t>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Las expectativas urbanísticas se basan en circunstancias actuales (</w:t>
      </w:r>
      <w:r w:rsidRPr="0033382B">
        <w:rPr>
          <w:i/>
        </w:rPr>
        <w:t>vgr</w:t>
      </w:r>
      <w:r>
        <w:t>.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0033382B" w:rsidRDefault="0033382B" w:rsidP="0033382B">
      <w:pPr>
        <w:pStyle w:val="TextoNormal"/>
      </w:pPr>
    </w:p>
    <w:p w:rsidR="0033382B" w:rsidRDefault="0033382B" w:rsidP="0033382B">
      <w:pPr>
        <w:pStyle w:val="TextoNormal"/>
      </w:pPr>
      <w:r>
        <w:t>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proyecto de singular interés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artículo 23 con el artículo 25, en los casos que previene este último precepto, depara un resultado satisfactorio para valorar el suelo, lo que pone de manifiesto la inadecuación de tales preceptos desde el punto de vista del art. 33.3 CE y el 14 CE”. Y sobre la constitucionalidad del régimen previsto en el artículo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0033382B" w:rsidRDefault="0033382B" w:rsidP="0033382B">
      <w:pPr>
        <w:pStyle w:val="TextoNormal"/>
      </w:pPr>
    </w:p>
    <w:p w:rsidR="0033382B" w:rsidRDefault="0033382B" w:rsidP="0033382B">
      <w:pPr>
        <w:pStyle w:val="TextoNormal"/>
      </w:pPr>
      <w:r>
        <w:t>El Auto incluye un epígrafe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 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 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artículo 25.1”.</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 de diciembre de 2015, la Sección Segunda del Tribunal Constitucional acordó oír al Fiscal General del Estado para que, en el plazo de diez días, y a los efectos que determina el art. 37.1 LOTC, alegase lo que considerase conveniente “en relación con la pérdida sobrevenida de objeto de la cuestión de inconstitucionalidad respecto del art. 25.2 a) del Real Decreto Legislativo 2/2008 y de su carácter notoriamente infundado (por efecto de lo resuelto en la STC 218/2015, de 22 de octubre) respecto a los otros preceptos cuestionados”.</w:t>
      </w:r>
    </w:p>
    <w:p w:rsidR="0033382B" w:rsidRDefault="0033382B" w:rsidP="0033382B">
      <w:pPr>
        <w:pStyle w:val="TextoNormal"/>
      </w:pPr>
    </w:p>
    <w:p w:rsidR="0033382B" w:rsidRDefault="0033382B" w:rsidP="0033382B">
      <w:pPr>
        <w:pStyle w:val="TextoNormal"/>
      </w:pPr>
      <w:r w:rsidRPr="0033382B">
        <w:rPr>
          <w:rStyle w:val="NumeroAFNegritaCaracter"/>
        </w:rPr>
        <w:t>5</w:t>
      </w:r>
      <w:r>
        <w:t xml:space="preserve">. La Fiscal General del Estado evacuó el trámite conferido mediante escrito registrado el 29 de enero de 2016, en el que, tras exponer que la presente cuestión supera los juicios de aplicabilidad y de relevancia </w:t>
      </w:r>
      <w:r w:rsidRPr="0033382B">
        <w:rPr>
          <w:i/>
        </w:rPr>
        <w:t>ex</w:t>
      </w:r>
      <w:r>
        <w:t xml:space="preserve"> art. 35.2 LOTC, desarrolla dos alegaciones distintas, partiendo en gran medida de las SSTC 141/2014 y 218/2015, que a su juicio ya han resuelto las cuestiones que en este proceso se plantean.</w:t>
      </w:r>
    </w:p>
    <w:p w:rsidR="0033382B" w:rsidRDefault="0033382B" w:rsidP="0033382B">
      <w:pPr>
        <w:pStyle w:val="TextoNormal"/>
      </w:pPr>
    </w:p>
    <w:p w:rsidR="0033382B" w:rsidRDefault="0033382B" w:rsidP="0033382B">
      <w:pPr>
        <w:pStyle w:val="TextoNormal"/>
      </w:pPr>
      <w:r>
        <w:t>De un lado, afirma que la presente cuestión de inconstitucionalidad debe ser resuelta siguiendo la dicción de los autos de 19 de enero de 2015, dictados en las cuestiones de inconstitucionalidad 6246, 7766, 7476, 7560, entre otros. Así, tal como se ha resuelto en los referidos autos, la declaración de inconstitucionalidad y nulidad del art. 25.2 a) del Real Decreto Legislativo 2/2008 por la STC 218/2015 supone la pérdida sobrevenida de objeto procesal en cuanto a este extremo, alegación que extiende al art. 23.1 a) del Real Decreto Legislativo 2/2008 en la medida que la STC 141/2014 declaró inconstitucional el inciso “hasta el máximo del doble”.</w:t>
      </w:r>
    </w:p>
    <w:p w:rsidR="0033382B" w:rsidRDefault="0033382B" w:rsidP="0033382B">
      <w:pPr>
        <w:pStyle w:val="TextoNormal"/>
      </w:pPr>
    </w:p>
    <w:p w:rsidR="0033382B" w:rsidRDefault="0033382B" w:rsidP="0033382B">
      <w:pPr>
        <w:pStyle w:val="TextoNormal"/>
      </w:pPr>
      <w:r>
        <w:t>De otro lado, sostiene, con citas de la STC 218/2015 (por lo que hace al art. 33.3 CE) y de la STC 141/2014 (por lo que respecta al art. 14 CE), que los arts. 12, 23.2 y 25.1 del Real Decreto Legislativo 2/2008 no contradicen los arts. 14 y 33.3 CE, por lo que la cuestión suscitada es en este punto manifiestamente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 xml:space="preserve">La Sala considera que el art. 23.1 a) del Real Decreto Legislativo 2/2008 establece un método de valoración para el suelo en situación básica de rural </w:t>
      </w:r>
      <w:r w:rsidRPr="0033382B">
        <w:rPr>
          <w:i/>
        </w:rPr>
        <w:t>ex</w:t>
      </w:r>
      <w:r>
        <w:t xml:space="preserve">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0033382B" w:rsidRDefault="0033382B" w:rsidP="0033382B">
      <w:pPr>
        <w:pStyle w:val="TextoNormal"/>
      </w:pPr>
    </w:p>
    <w:p w:rsidR="0033382B" w:rsidRDefault="0033382B" w:rsidP="0033382B">
      <w:pPr>
        <w:pStyle w:val="TextoNormal"/>
      </w:pPr>
      <w:r>
        <w:t>La Fiscal General del Estado, en el trámite previsto en el art. 37.1 de la Ley Orgánica del Tribunal Constitucional (LOTC), alega sucesivamente (a) la pérdida sobrevenida del objeto de la cuestión en cuanto 25.2 a) del Real Decreto Legislativo 2/2008 porque así ha se ha pronunciado el Tribunal en un supuesto idéntico en los AATC de 19 de enero de 2015 (cuestiones núm. 6246-2014, 7766-2014, 7476-2014, 7560-2014…), criterio que extiende al art. 23.1 a) del Real Decreto Legislativo 2/2008 en la medida que la STC 141/2014 declaró inconstitucional y nulo el inciso “hasta el máximo del doble”; y (b) el carácter notoriamente infundado de la duda de constitucionalidad en relación a los arts. 12, 23.2 y 25.1 del Real Decreto Legislativo 2/2008.</w:t>
      </w:r>
    </w:p>
    <w:p w:rsidR="0033382B" w:rsidRDefault="0033382B" w:rsidP="0033382B">
      <w:pPr>
        <w:pStyle w:val="TextoNormal"/>
      </w:pPr>
    </w:p>
    <w:p w:rsidR="0033382B" w:rsidRDefault="0033382B" w:rsidP="0033382B">
      <w:pPr>
        <w:pStyle w:val="TextoNormal"/>
      </w:pPr>
      <w:r w:rsidRPr="0033382B">
        <w:rPr>
          <w:rStyle w:val="NumeroAFNegritaCaracter"/>
        </w:rPr>
        <w:t>2</w:t>
      </w:r>
      <w:r>
        <w:t>.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33382B" w:rsidRDefault="0033382B" w:rsidP="0033382B">
      <w:pPr>
        <w:pStyle w:val="TextoNormal"/>
      </w:pPr>
    </w:p>
    <w:p w:rsidR="0033382B" w:rsidRDefault="0033382B" w:rsidP="0033382B">
      <w:pPr>
        <w:pStyle w:val="TextoNormal"/>
      </w:pPr>
      <w:r w:rsidRPr="0033382B">
        <w:rPr>
          <w:rStyle w:val="NumeroAFNegritaCaracter"/>
        </w:rPr>
        <w:t>4</w:t>
      </w:r>
      <w:r>
        <w:t>.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0033382B" w:rsidRDefault="0033382B" w:rsidP="0033382B">
      <w:pPr>
        <w:pStyle w:val="TextoNormal"/>
      </w:pPr>
    </w:p>
    <w:p w:rsidR="0033382B" w:rsidRDefault="0033382B" w:rsidP="0033382B">
      <w:pPr>
        <w:pStyle w:val="TextoNormal"/>
      </w:pPr>
      <w:r>
        <w:t>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0033382B" w:rsidRDefault="0033382B" w:rsidP="0033382B">
      <w:pPr>
        <w:pStyle w:val="TextoNormal"/>
      </w:pPr>
    </w:p>
    <w:p w:rsidR="0033382B" w:rsidRDefault="0033382B" w:rsidP="0033382B">
      <w:pPr>
        <w:pStyle w:val="TextoNormal"/>
      </w:pPr>
      <w:r w:rsidRPr="0033382B">
        <w:rPr>
          <w:rStyle w:val="NumeroAFNegritaCaracter"/>
        </w:rPr>
        <w:t>5</w:t>
      </w:r>
      <w:r>
        <w:t>.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0033382B" w:rsidRDefault="0033382B" w:rsidP="0033382B">
      <w:pPr>
        <w:pStyle w:val="TextoNormal"/>
      </w:pPr>
    </w:p>
    <w:p w:rsidR="0033382B" w:rsidRDefault="0033382B" w:rsidP="0033382B">
      <w:pPr>
        <w:pStyle w:val="TextoNormal"/>
      </w:pPr>
      <w:r>
        <w:t>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0033382B" w:rsidRDefault="0033382B" w:rsidP="0033382B">
      <w:pPr>
        <w:pStyle w:val="TextoNormal"/>
      </w:pPr>
    </w:p>
    <w:p w:rsidR="0033382B" w:rsidRDefault="0033382B" w:rsidP="0033382B">
      <w:pPr>
        <w:pStyle w:val="TextoNormal"/>
      </w:pPr>
      <w:r>
        <w:t>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0033382B" w:rsidRDefault="0033382B" w:rsidP="0033382B">
      <w:pPr>
        <w:pStyle w:val="TextoNormal"/>
      </w:pPr>
    </w:p>
    <w:p w:rsidR="0033382B" w:rsidRDefault="0033382B" w:rsidP="0033382B">
      <w:pPr>
        <w:pStyle w:val="TextoNormal"/>
      </w:pPr>
      <w:r>
        <w:t>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0033382B" w:rsidRDefault="0033382B" w:rsidP="0033382B">
      <w:pPr>
        <w:pStyle w:val="TextoNormal"/>
      </w:pPr>
    </w:p>
    <w:p w:rsidR="0033382B" w:rsidRDefault="0033382B" w:rsidP="0033382B">
      <w:pPr>
        <w:pStyle w:val="TextoNormal"/>
      </w:pPr>
      <w:r>
        <w:t>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0033382B" w:rsidRDefault="0033382B" w:rsidP="0033382B">
      <w:pPr>
        <w:pStyle w:val="TextoNormal"/>
      </w:pPr>
    </w:p>
    <w:p w:rsidR="0033382B" w:rsidRDefault="0033382B" w:rsidP="0033382B">
      <w:pPr>
        <w:pStyle w:val="TextoNormal"/>
      </w:pPr>
      <w:r>
        <w:t>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0033382B" w:rsidRDefault="0033382B" w:rsidP="0033382B">
      <w:pPr>
        <w:pStyle w:val="TextoNormal"/>
      </w:pPr>
    </w:p>
    <w:p w:rsidR="0033382B" w:rsidRDefault="0033382B" w:rsidP="0033382B">
      <w:pPr>
        <w:pStyle w:val="TextoNormal"/>
      </w:pPr>
      <w:r>
        <w:t>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0033382B" w:rsidRDefault="0033382B" w:rsidP="0033382B">
      <w:pPr>
        <w:pStyle w:val="TextoNormal"/>
      </w:pPr>
    </w:p>
    <w:p w:rsidR="0033382B" w:rsidRDefault="0033382B" w:rsidP="0033382B">
      <w:pPr>
        <w:pStyle w:val="TextoNormal"/>
      </w:pPr>
      <w:r>
        <w:t>Estas identidades conllevan que los argumentos indicados, con los que la STC 218/2015 desestimó la cuestión allí planteada, sean plenamente trasladables a ésta y, en consecuencia, determinen que esta cuestión de inconstitucionalidad, en cuanto a las dudas de constitucionalidad referidas a los preceptos legales impugnados no declarados nulos, deba ser inadmitida por ser notoriamente infundada.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uno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78" w:name="AUTO_2016_51"/>
      <w:r>
        <w:t>AUTO 51/2016, de 1 de marzo de 2016</w:t>
      </w:r>
    </w:p>
    <w:bookmarkEnd w:id="178"/>
    <w:p w:rsidR="0033382B" w:rsidRDefault="0033382B" w:rsidP="0033382B">
      <w:pPr>
        <w:pStyle w:val="TtuloResolucin"/>
      </w:pPr>
      <w:r>
        <w:t>Pleno</w:t>
      </w:r>
    </w:p>
    <w:p w:rsidR="0033382B" w:rsidRDefault="0033382B" w:rsidP="0033382B">
      <w:pPr>
        <w:pStyle w:val="TextoNormalCentrado"/>
      </w:pPr>
      <w:r>
        <w:t>ECLI:ES:TC:2016:51A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el desistimiento parcial en el recurso de inconstitucionalidad 264-2015, interpuesto por el Gobierno Vasco en relación con varios preceptos de la Ley 18/2014, de 15 de octubre, de aprobación de medidas urgentes para el crecimiento, la competitividad y la eficiencia.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presentado en el Registro General de este Tribunal el día 15 de enero de 2015, los Letrados de la Viceconsejería de Régimen Jurídico del Gobierno Vasco, en representación de éste, interpusieron recurso de inconstitucionalidad contra los arts. 4, 5, 7, 92, 98, 102 y 107, apartados 2, 6, 12 y 13, y anexo I de la Ley 18/2014, de 15 de octubre, de aprobación de medidas urgentes para el crecimiento, la competitividad y la eficiencia, y que ha sido admitido a trámite por providencia del Pleno de este Tribunal de 17 de febrero de 2015.</w:t>
      </w:r>
    </w:p>
    <w:p w:rsidR="0033382B" w:rsidRDefault="0033382B" w:rsidP="0033382B">
      <w:pPr>
        <w:pStyle w:val="TextoNormal"/>
      </w:pPr>
    </w:p>
    <w:p w:rsidR="0033382B" w:rsidRDefault="0033382B" w:rsidP="0033382B">
      <w:pPr>
        <w:pStyle w:val="TextoNormal"/>
      </w:pPr>
      <w:r w:rsidRPr="0033382B">
        <w:rPr>
          <w:rStyle w:val="NumeroAFNegritaCaracter"/>
        </w:rPr>
        <w:t>2</w:t>
      </w:r>
      <w:r>
        <w:t>. Por escrito registrado en este Tribunal el día 2 de diciembre de 2015, el Procurador de los Tribunales don Felipe Juanas Blanco, en representación de la Administración de la Comunidad Autónoma del País Vasco acreditada en el presente recurso de inconstitucionalidad, atendiendo a las órdenes recibidas de su mandante de acuerdo con el acuerdo del Consejo de Gobierno adoptado en sesión celebrada el 24 de noviembre de 2015, cuya certificación se acompaña al escrito, y actuando en virtud de poder especial para desistir que también se acompaña, solicita a este Tribunal que, previos los trámites legales, tenga por desistida parcialmente a la parte demandante en el presente recurso de inconstitucionalidad en relación con los arts. 92, 98, 102 y 107 de la Ley 18/2014, de 15 de octubre, de aprobación de medidas urgentes para el crecimiento, la competitividad y la eficiencia.</w:t>
      </w:r>
    </w:p>
    <w:p w:rsidR="0033382B" w:rsidRDefault="0033382B" w:rsidP="0033382B">
      <w:pPr>
        <w:pStyle w:val="TextoNormal"/>
      </w:pPr>
    </w:p>
    <w:p w:rsidR="0033382B" w:rsidRDefault="0033382B" w:rsidP="0033382B">
      <w:pPr>
        <w:pStyle w:val="TextoNormal"/>
      </w:pPr>
      <w:r>
        <w:t>La parte demandante hace constar que el desistimiento viene originado por el hecho de que en el seno de la Comisión Bilateral de Cooperación entre la Administración General del Estado y la Administración de la Comunidad Autónoma del País Vasco, reunida a los efectos del art. 33.2 de la Ley Orgánica del Tribunal Constitucional, con fecha 26 de octubre de 2015, se ha logrado el oportuno acuerdo en relación a la interpretación de los referidos artículos. El acuerdo ha sido publicado en el “Boletín Oficial del Estado” núm. 286, de 30 de noviembre de 2015, y en el “Boletín Oficial del País Vasco” núm. 228, de 30 de noviembre de 2015.</w:t>
      </w:r>
    </w:p>
    <w:p w:rsidR="0033382B" w:rsidRDefault="0033382B" w:rsidP="0033382B">
      <w:pPr>
        <w:pStyle w:val="TextoNormal"/>
      </w:pPr>
    </w:p>
    <w:p w:rsidR="0033382B" w:rsidRDefault="0033382B" w:rsidP="0033382B">
      <w:pPr>
        <w:pStyle w:val="TextoNormal"/>
      </w:pPr>
      <w:r w:rsidRPr="0033382B">
        <w:rPr>
          <w:rStyle w:val="NumeroAFNegritaCaracter"/>
        </w:rPr>
        <w:t>3</w:t>
      </w:r>
      <w:r>
        <w:t>. El Pleno, por providencia de 3 de diciembre de 2015, acordó incorporar a los autos el escrito que presenta el Procurador de los Tribunales don Felipe Juanas Blanco en representación del Gobierno Vasco, y oír al Abogado del Estado en relación con la solicitud de desistimiento parcial del presente procedimiento formulada en dicho escrito, otorgándole un plazo de diez días al efecto.</w:t>
      </w:r>
    </w:p>
    <w:p w:rsidR="0033382B" w:rsidRDefault="0033382B" w:rsidP="0033382B">
      <w:pPr>
        <w:pStyle w:val="TextoNormal"/>
      </w:pPr>
    </w:p>
    <w:p w:rsidR="0033382B" w:rsidRDefault="0033382B" w:rsidP="0033382B">
      <w:pPr>
        <w:pStyle w:val="TextoNormal"/>
      </w:pPr>
      <w:r w:rsidRPr="0033382B">
        <w:rPr>
          <w:rStyle w:val="NumeroAFNegritaCaracter"/>
        </w:rPr>
        <w:t>4</w:t>
      </w:r>
      <w:r>
        <w:t>. El Abogado del Estado, mediante escrito registrado el 14 de diciembre de 2015, manifestó que no se oponía al desistimiento parcial solicitado.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El desistimiento aparece contemplado como modo de terminación de los procesos constitucionales en el art. 86 de la Ley Orgánica del Tribunal Constitucional, cuyo art. 80 remite, a su vez, a la Ley de enjuiciamiento civil (LEC) para la regulación con carácter supletorio de este acto procesal (arts. 19.1 y 3 y 20.2 y 3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del proceso hasta su finalización por Sentencia (por todos, AATC 233/1993, de 26 de enero; 173/1997, de 20 de mayo; 278/2001, de 30 de octubre; 129/2002, de 16 de julio, y 43/2004, de 10 de febrero).</w:t>
      </w:r>
    </w:p>
    <w:p w:rsidR="0033382B" w:rsidRDefault="0033382B" w:rsidP="0033382B">
      <w:pPr>
        <w:pStyle w:val="TextoNormal"/>
      </w:pPr>
    </w:p>
    <w:p w:rsidR="0033382B" w:rsidRDefault="0033382B" w:rsidP="0033382B">
      <w:pPr>
        <w:pStyle w:val="TextoNormal"/>
      </w:pPr>
      <w:r>
        <w:t>El Procurador de los Tribunales don Felipe Juanas Blanco, debidamente autorizado según el poder especial conferido al efecto, y atendiendo a las órdenes recibidas de su mandante de conformidad con el acuerdo del Consejo de Gobierno adoptado en sesión celebrada el 24 de noviembre de 2015, pide que a la entidad recurrente se le tenga por desistida parcialmente del presente recurso de inconstitucionalidad en relación con los arts. 92, 98, 102 y 107 de la Ley 18/2014, de 15 de octubre. Trasladada al Abogado del Estado dicha solicitud, no se opone al desistimiento parcial, sin que se advierta interés constitucional que aconseje la prosecución del recurso en su integridad hasta su finalización por sentencia.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desistido parcialmente al Gobierno Vasco del recurso de inconstitucionalidad núm. 264-2015 por lo que se refiere a los arts. 92, 98, 102 y 107 de la Ley 18/2014, de 15 de octubre, de aprobación de medidas urgentes para el crecimiento, la competitividad y la eficiencia, manteniéndose el recurso en cuanto a la impugnación de los arts. 4, 5, 7 y el anexo I de la citada Ley.</w:t>
      </w:r>
    </w:p>
    <w:p w:rsidR="0033382B" w:rsidRDefault="0033382B" w:rsidP="0033382B">
      <w:pPr>
        <w:pStyle w:val="TextoNormal"/>
      </w:pPr>
    </w:p>
    <w:p w:rsidR="0033382B" w:rsidRDefault="0033382B" w:rsidP="0033382B">
      <w:pPr>
        <w:pStyle w:val="TextoNormal"/>
      </w:pPr>
      <w:r>
        <w:t>Madrid, a uno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79" w:name="AUTO_2016_52"/>
      <w:r>
        <w:t>AUTO 52/2016, de 1 de marzo de 2016</w:t>
      </w:r>
    </w:p>
    <w:bookmarkEnd w:id="179"/>
    <w:p w:rsidR="0033382B" w:rsidRDefault="0033382B" w:rsidP="0033382B">
      <w:pPr>
        <w:pStyle w:val="TtuloResolucin"/>
      </w:pPr>
      <w:r>
        <w:t>Pleno</w:t>
      </w:r>
    </w:p>
    <w:p w:rsidR="0033382B" w:rsidRDefault="0033382B" w:rsidP="0033382B">
      <w:pPr>
        <w:pStyle w:val="TextoNormalCentrado"/>
      </w:pPr>
      <w:r>
        <w:t>ECLI:ES:TC:2016:52A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725-2015, planteada por el Tribunal Superior de Justicia de Castilla-La Mancha en relación con los artículos 23.1 a) y 2 del Real Decreto Legislativo 2/2008, de 20 de junio, por el que se aprueba el texto refundido de la Ley de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6 de febrero de 2015 tuvo entrada en el Registro General de este Tribunal un oficio de la Sección Segunda de la Sala de lo Contencioso-Administrativo del Tribunal Superior de Justicia de Castilla-La Mancha, al que se acompaña, junto al testimonio del procedimiento ordinario núm. 123-2011, el Auto de 12 de enero de 2015,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Una persona física, propietaria de fincas afectadas por el proyecto de expropiación derivado del “proyecto de singular interés Parque Industrial y Tecnológico de Illescas”, recurre en vía contencioso-administrativa la resolución del Jurado regional de valoraciones de la Junta de Comunidades de Castilla-La Mancha que fijó el justiprecio de las fincas, que se encontraban en situación de rústicas.</w:t>
      </w:r>
    </w:p>
    <w:p w:rsidR="0033382B" w:rsidRDefault="0033382B" w:rsidP="0033382B">
      <w:pPr>
        <w:pStyle w:val="TextoNormal"/>
      </w:pPr>
    </w:p>
    <w:p w:rsidR="0033382B" w:rsidRDefault="0033382B" w:rsidP="0033382B">
      <w:pPr>
        <w:pStyle w:val="TextoNormal"/>
      </w:pPr>
      <w:r>
        <w:t>b) Una vez concluso el procedimiento, y antes de dictar sentencia, la Sección Segunda de la Sala de lo Contencioso-Administrativo del Tribunal Superior de Justicia de Castilla-La Mancha dictó providencia de 24 de noviembre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c) El Ministerio Fiscal consideró pertinente el planteamiento de la cuestión de inconstitucionalidad respecto de los arts. 23.2, en relación con el art. 12, y 25 del Real Decreto Legislativo 2/2008, por su aparente contradicción con el art. 33.3 CE.</w:t>
      </w:r>
    </w:p>
    <w:p w:rsidR="0033382B" w:rsidRDefault="0033382B" w:rsidP="0033382B">
      <w:pPr>
        <w:pStyle w:val="TextoNormal"/>
      </w:pPr>
    </w:p>
    <w:p w:rsidR="0033382B" w:rsidRDefault="0033382B" w:rsidP="0033382B">
      <w:pPr>
        <w:pStyle w:val="TextoNormal"/>
      </w:pPr>
      <w:r>
        <w:t>El Letrado de la Administración de la Junta de Comunidades de Castilla-La Mancha se opuso al planteamiento de la cuestión por lo que hace a los arts. 23.1 y 23.2 del Real Decreto Legislativo 2/2008, con el argumento de que la STC 141/2014, de 11 de septiembre, no los había declarado inconstitucionales.</w:t>
      </w:r>
    </w:p>
    <w:p w:rsidR="0033382B" w:rsidRDefault="0033382B" w:rsidP="0033382B">
      <w:pPr>
        <w:pStyle w:val="TextoNormal"/>
      </w:pPr>
    </w:p>
    <w:p w:rsidR="0033382B" w:rsidRDefault="0033382B" w:rsidP="0033382B">
      <w:pPr>
        <w:pStyle w:val="TextoNormal"/>
      </w:pPr>
      <w:r>
        <w:t>La representación del actor consideró pertinente el planteamiento de la cuestión de inconstitucionalidad.</w:t>
      </w:r>
    </w:p>
    <w:p w:rsidR="0033382B" w:rsidRDefault="0033382B" w:rsidP="0033382B">
      <w:pPr>
        <w:pStyle w:val="TextoNormal"/>
      </w:pPr>
    </w:p>
    <w:p w:rsidR="0033382B" w:rsidRDefault="0033382B" w:rsidP="0033382B">
      <w:pPr>
        <w:pStyle w:val="TextoNormal"/>
      </w:pPr>
      <w:r>
        <w:t>d) La Sección Segunda de la Sala de lo Contencioso-Administrativo del Tribunal Superior de Justicia de Castilla-La Mancha dictó Auto de 12 de enero de 2015, por el que se acuerda plantear cuestión de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luego de referirse a los antecedentes de hecho del caso y de transcribir los preceptos cuestionados, aborda los requisitos de procedimiento.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sobre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el Jurado Regional de Valoraciones tasó los bienes haciendo aplicación del art. 23 en sus apartados 1 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proyecto de singular interés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0033382B" w:rsidRDefault="0033382B" w:rsidP="0033382B">
      <w:pPr>
        <w:pStyle w:val="TextoNormal"/>
      </w:pPr>
    </w:p>
    <w:p w:rsidR="0033382B" w:rsidRDefault="0033382B" w:rsidP="0033382B">
      <w:pPr>
        <w:pStyle w:val="TextoNormal"/>
      </w:pPr>
      <w:r>
        <w:t>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limitados por las reglas que al efecto se contienen en la actual legislación.</w:t>
      </w:r>
    </w:p>
    <w:p w:rsidR="0033382B" w:rsidRDefault="0033382B" w:rsidP="0033382B">
      <w:pPr>
        <w:pStyle w:val="TextoNormal"/>
      </w:pPr>
    </w:p>
    <w:p w:rsidR="0033382B" w:rsidRDefault="0033382B" w:rsidP="0033382B">
      <w:pPr>
        <w:pStyle w:val="TextoNormal"/>
      </w:pPr>
      <w:r>
        <w:t xml:space="preserve">A continuación, señala que, aunque nada hay de inconstitucional en que la Ley pueda establecer unos métodos de valoración determinados u otros, “sí afirmamos que será difícilmente constitucional cualquier método que de manera manifiesta impida dar con un valor real, valor que a nuestro juicio equivale a un valor que sea próximo al del mercado propio del bien de que se trate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Solo en circunstancias excepcionales y justificadas, y que por tanto –añadimos nosotros- no pueden convertirse en la regla general para cualquier expropiación forzosa, cabría aceptar una reparación no íntegra del valor real del bien (SSTEDH de 8 de junio de 1986 —caso </w:t>
      </w:r>
      <w:r w:rsidRPr="0033382B">
        <w:rPr>
          <w:i/>
        </w:rPr>
        <w:t>Lightgow y otros contra Reino Unido</w:t>
      </w:r>
      <w:r>
        <w:t xml:space="preserve">—, 9 de diciembre de 1994 —caso </w:t>
      </w:r>
      <w:r w:rsidRPr="0033382B">
        <w:rPr>
          <w:i/>
        </w:rPr>
        <w:t>de los Santos Monasterios Griegos contra Grecia</w:t>
      </w:r>
      <w:r>
        <w:t xml:space="preserve">—, 4 de agosto de 2009 —caso </w:t>
      </w:r>
      <w:r w:rsidRPr="0033382B">
        <w:rPr>
          <w:i/>
        </w:rPr>
        <w:t>Perdigao contra Portugal</w:t>
      </w:r>
      <w:r>
        <w:t>—, 4 de noviembre de 2010, 9 de octubre de 2003 o 26 de abril de 2011).”</w:t>
      </w:r>
    </w:p>
    <w:p w:rsidR="0033382B" w:rsidRDefault="0033382B" w:rsidP="0033382B">
      <w:pPr>
        <w:pStyle w:val="TextoNormal"/>
      </w:pPr>
    </w:p>
    <w:p w:rsidR="0033382B" w:rsidRDefault="0033382B" w:rsidP="0033382B">
      <w:pPr>
        <w:pStyle w:val="TextoNormal"/>
      </w:pPr>
      <w:r>
        <w:t>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0033382B" w:rsidRDefault="0033382B" w:rsidP="0033382B">
      <w:pPr>
        <w:pStyle w:val="TextoNormal"/>
      </w:pPr>
    </w:p>
    <w:p w:rsidR="0033382B" w:rsidRDefault="0033382B" w:rsidP="0033382B">
      <w:pPr>
        <w:pStyle w:val="TextoNormal"/>
      </w:pPr>
      <w:r>
        <w:t>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proyecto de singular interés que motiva la expropiación; y que el propio proyecto de singular interés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proyecto de singular interés declaraba. Esta es la prueba, a nuestro juicio, de que el sistema establecido por la Ley no es hábil para hallar el valor real del bien ni aun aproximadamente y que, por consiguiente, puede resultar inconstitucional”.</w:t>
      </w:r>
    </w:p>
    <w:p w:rsidR="0033382B" w:rsidRDefault="0033382B" w:rsidP="0033382B">
      <w:pPr>
        <w:pStyle w:val="TextoNormal"/>
      </w:pPr>
    </w:p>
    <w:p w:rsidR="0033382B" w:rsidRDefault="0033382B" w:rsidP="0033382B">
      <w:pPr>
        <w:pStyle w:val="TextoNormal"/>
      </w:pPr>
      <w:r>
        <w:t>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Las expectativas urbanísticas se basan en circunstancias actuales (</w:t>
      </w:r>
      <w:r w:rsidRPr="0033382B">
        <w:rPr>
          <w:i/>
        </w:rPr>
        <w:t>vgr</w:t>
      </w:r>
      <w:r>
        <w:t>.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0033382B" w:rsidRDefault="0033382B" w:rsidP="0033382B">
      <w:pPr>
        <w:pStyle w:val="TextoNormal"/>
      </w:pPr>
    </w:p>
    <w:p w:rsidR="0033382B" w:rsidRDefault="0033382B" w:rsidP="0033382B">
      <w:pPr>
        <w:pStyle w:val="TextoNormal"/>
      </w:pPr>
      <w:r>
        <w:t>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proyecto de singular interés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 33.3 CE y el 14 CE”. Y sobre la constitucionalidad del régimen previsto en el artículo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0033382B" w:rsidRDefault="0033382B" w:rsidP="0033382B">
      <w:pPr>
        <w:pStyle w:val="TextoNormal"/>
      </w:pPr>
    </w:p>
    <w:p w:rsidR="0033382B" w:rsidRDefault="0033382B" w:rsidP="0033382B">
      <w:pPr>
        <w:pStyle w:val="TextoNormal"/>
      </w:pPr>
      <w:r>
        <w:t>El Auto incluye un epígrafe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 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 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 25.1”.</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 de diciembre de 2015, la Sección Segunda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la pérdida de objeto de la cuestión de inconstitucionalidad respecto al art. 25.2 a) del Real Decreto Legislativo 2/2008 y de su carácter notoriamente infundado (por efecto de lo resuelto en la STC 218/2015, de 22 de octubre) respecto a los otros preceptos cuestionados”.</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el 4 de febrero de 2016, en el que afirma que la presente cuestión de inconstitucionalidad debe ser resuelta siguiendo la dicción de los Autos de 19 de enero de 2016 dictados por este Tribunal en las cuestiones de inconstitucionalidad 6246-2014, 7766-2014, 7476-2014 y 7560-2014, entre otros, pues parten de los mismos presupuestos tanto respecto de los preceptos cuestionados del Real Decreto Legislativo 2/2008 como de los preceptos constitucionales con los que, en su caso, entrarían en contradicción, arts. 14 y 33.3 CE.</w:t>
      </w:r>
    </w:p>
    <w:p w:rsidR="0033382B" w:rsidRDefault="0033382B" w:rsidP="0033382B">
      <w:pPr>
        <w:pStyle w:val="TextoNormal"/>
      </w:pPr>
    </w:p>
    <w:p w:rsidR="0033382B" w:rsidRDefault="0033382B" w:rsidP="0033382B">
      <w:pPr>
        <w:pStyle w:val="TextoNormal"/>
      </w:pPr>
      <w:r>
        <w:t>Partiendo de lo afirmado en los mismos concluye que procede declarar la inadmisión de la presente cuestión de inconstitucionalidad por pérdida sobrevenida de objeto de la presente cuestión de inconstitucionalidad respecto de los arts. 23.1 a), en los términos de la STC 141/2014, y 25.2 a) del Real Decreto Legislativo 2/2008, y declarar manifiestamente infundada la presente cuestión de inconstitucionalidad respecto de los arts. 12, 23.2 y 25.1 del Real Decreto Legislativo 2/2008.</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 xml:space="preserve">La Sala que plantea la cuestión considera que el art. 23.1 a) del Real Decreto Legislativo 2/2008 establece un método de valoración para el suelo en situación básica de rural </w:t>
      </w:r>
      <w:r w:rsidRPr="0033382B">
        <w:rPr>
          <w:i/>
        </w:rPr>
        <w:t>ex</w:t>
      </w:r>
      <w:r>
        <w:t xml:space="preserve">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el Tribunal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0033382B" w:rsidRDefault="0033382B" w:rsidP="0033382B">
      <w:pPr>
        <w:pStyle w:val="TextoNormal"/>
      </w:pPr>
    </w:p>
    <w:p w:rsidR="0033382B" w:rsidRDefault="0033382B" w:rsidP="0033382B">
      <w:pPr>
        <w:pStyle w:val="TextoNormal"/>
      </w:pPr>
      <w:r>
        <w:t>La Fiscal General del Estado, en el trámite previsto en el art. 37.1 de la Ley Orgánica del Tribunal Constitucional (LOTC), partiendo de lo resuelto en los AATC 6/2016, 7/2016, 8/2016 y 10/2016, de 19 de enero, considera que procede declarar la inadmisión de la presente cuestión de inconstitucionalidad por pérdida sobrevenida de objeto respecto de los arts. 23.1 a), en los términos de la STC 141/2014, y 25.2 a) del Real Decreto Legislativo 2/2008, y declarar manifiestamente infundada la presente cuestión de inconstitucionalidad respecto de los arts. 12, 23.2 y 25.1 del Real Decreto Legislativo 2/2008.</w:t>
      </w:r>
    </w:p>
    <w:p w:rsidR="0033382B" w:rsidRDefault="0033382B" w:rsidP="0033382B">
      <w:pPr>
        <w:pStyle w:val="TextoNormal"/>
      </w:pPr>
    </w:p>
    <w:p w:rsidR="0033382B" w:rsidRDefault="0033382B" w:rsidP="0033382B">
      <w:pPr>
        <w:pStyle w:val="TextoNormal"/>
      </w:pPr>
      <w:r w:rsidRPr="0033382B">
        <w:rPr>
          <w:rStyle w:val="NumeroAFNegritaCaracter"/>
        </w:rPr>
        <w:t>2</w:t>
      </w:r>
      <w:r>
        <w:t>.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33382B" w:rsidRDefault="0033382B" w:rsidP="0033382B">
      <w:pPr>
        <w:pStyle w:val="TextoNormal"/>
      </w:pPr>
    </w:p>
    <w:p w:rsidR="0033382B" w:rsidRDefault="0033382B" w:rsidP="0033382B">
      <w:pPr>
        <w:pStyle w:val="TextoNormal"/>
      </w:pPr>
      <w:r w:rsidRPr="0033382B">
        <w:rPr>
          <w:rStyle w:val="NumeroAFNegritaCaracter"/>
        </w:rPr>
        <w:t>4</w:t>
      </w:r>
      <w:r>
        <w:t>. El art. 25.2 a) del Real Decreto Legislativo 2/2008 ha sido declarado inconstitucional y nulo por la STC 218/2015, de 22 de octubre. El art. 164 CE, y también el art. 38 LOTC, disponen que las Sentencias del Tribunal Constitucional que declaren la inconstitucionalidad de una ley tengan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0033382B" w:rsidRDefault="0033382B" w:rsidP="0033382B">
      <w:pPr>
        <w:pStyle w:val="TextoNormal"/>
      </w:pPr>
    </w:p>
    <w:p w:rsidR="0033382B" w:rsidRDefault="0033382B" w:rsidP="0033382B">
      <w:pPr>
        <w:pStyle w:val="TextoNormal"/>
      </w:pPr>
      <w:r>
        <w:t>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0033382B" w:rsidRDefault="0033382B" w:rsidP="0033382B">
      <w:pPr>
        <w:pStyle w:val="TextoNormal"/>
      </w:pPr>
    </w:p>
    <w:p w:rsidR="0033382B" w:rsidRDefault="0033382B" w:rsidP="0033382B">
      <w:pPr>
        <w:pStyle w:val="TextoNormal"/>
      </w:pPr>
      <w:r w:rsidRPr="0033382B">
        <w:rPr>
          <w:rStyle w:val="NumeroAFNegritaCaracter"/>
        </w:rPr>
        <w:t>5</w:t>
      </w:r>
      <w:r>
        <w:t>.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0033382B" w:rsidRDefault="0033382B" w:rsidP="0033382B">
      <w:pPr>
        <w:pStyle w:val="TextoNormal"/>
      </w:pPr>
    </w:p>
    <w:p w:rsidR="0033382B" w:rsidRDefault="0033382B" w:rsidP="0033382B">
      <w:pPr>
        <w:pStyle w:val="TextoNormal"/>
      </w:pPr>
      <w:r>
        <w:t>a) “cuestión distinta es el art. 25.2 b) del Real Decreto Legislativo 2/2008, que la Sala descarta implícitamente sea el que concurre en el supuesto que ha dado origen a esta cuestión, en el que el propietario del suelo valorado ha sido privado por completo de su propiedad, a causa de la expropiación en favor de la beneficiaria. De ahí que el art. 25.2.b) del Real Decreto Legislativo 2/2008 deba quedar al margen de nuestro pronunciamiento” (FJ 2).</w:t>
      </w:r>
    </w:p>
    <w:p w:rsidR="0033382B" w:rsidRDefault="0033382B" w:rsidP="0033382B">
      <w:pPr>
        <w:pStyle w:val="TextoNormal"/>
      </w:pPr>
    </w:p>
    <w:p w:rsidR="0033382B" w:rsidRDefault="0033382B" w:rsidP="0033382B">
      <w:pPr>
        <w:pStyle w:val="TextoNormal"/>
      </w:pPr>
      <w:r>
        <w:t>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0033382B" w:rsidRDefault="0033382B" w:rsidP="0033382B">
      <w:pPr>
        <w:pStyle w:val="TextoNormal"/>
      </w:pPr>
    </w:p>
    <w:p w:rsidR="0033382B" w:rsidRDefault="0033382B" w:rsidP="0033382B">
      <w:pPr>
        <w:pStyle w:val="TextoNormal"/>
      </w:pPr>
      <w:r>
        <w:t>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0033382B" w:rsidRDefault="0033382B" w:rsidP="0033382B">
      <w:pPr>
        <w:pStyle w:val="TextoNormal"/>
      </w:pPr>
    </w:p>
    <w:p w:rsidR="0033382B" w:rsidRDefault="0033382B" w:rsidP="0033382B">
      <w:pPr>
        <w:pStyle w:val="TextoNormal"/>
      </w:pPr>
      <w:r>
        <w:t>d)“si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0033382B" w:rsidRDefault="0033382B" w:rsidP="0033382B">
      <w:pPr>
        <w:pStyle w:val="TextoNormal"/>
      </w:pPr>
    </w:p>
    <w:p w:rsidR="0033382B" w:rsidRDefault="0033382B" w:rsidP="0033382B">
      <w:pPr>
        <w:pStyle w:val="TextoNormal"/>
      </w:pPr>
      <w:r>
        <w:t>e)“este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0033382B" w:rsidRDefault="0033382B" w:rsidP="0033382B">
      <w:pPr>
        <w:pStyle w:val="TextoNormal"/>
      </w:pPr>
    </w:p>
    <w:p w:rsidR="0033382B" w:rsidRDefault="0033382B" w:rsidP="0033382B">
      <w:pPr>
        <w:pStyle w:val="TextoNormal"/>
      </w:pPr>
      <w:r>
        <w:t>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0033382B" w:rsidRDefault="0033382B" w:rsidP="0033382B">
      <w:pPr>
        <w:pStyle w:val="TextoNormal"/>
      </w:pPr>
    </w:p>
    <w:p w:rsidR="0033382B" w:rsidRDefault="0033382B" w:rsidP="0033382B">
      <w:pPr>
        <w:pStyle w:val="TextoNormal"/>
      </w:pPr>
      <w:r>
        <w:t>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uno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80" w:name="AUTO_2016_53"/>
      <w:r>
        <w:t>AUTO 53/2016, de 1 de marzo de 2016</w:t>
      </w:r>
    </w:p>
    <w:bookmarkEnd w:id="180"/>
    <w:p w:rsidR="0033382B" w:rsidRDefault="0033382B" w:rsidP="0033382B">
      <w:pPr>
        <w:pStyle w:val="TtuloResolucin"/>
      </w:pPr>
      <w:r>
        <w:t>Sección Tercera</w:t>
      </w:r>
    </w:p>
    <w:p w:rsidR="0033382B" w:rsidRDefault="0033382B" w:rsidP="0033382B">
      <w:pPr>
        <w:pStyle w:val="TextoNormalCentrado"/>
      </w:pPr>
      <w:r>
        <w:t>ECLI:ES:TC:2016:53A</w:t>
      </w:r>
    </w:p>
    <w:p w:rsidR="0033382B" w:rsidRDefault="0033382B" w:rsidP="0033382B">
      <w:pPr>
        <w:pStyle w:val="TextoNormalCentrado"/>
      </w:pPr>
    </w:p>
    <w:p w:rsidR="0033382B" w:rsidRDefault="0033382B" w:rsidP="0033382B">
      <w:pPr>
        <w:pStyle w:val="SntesisDescriptiva"/>
      </w:pPr>
      <w:r>
        <w:t>Excms. Srs. doña Adela Asua Batarrita, don Juan José González Rivas y don Pedro José González-Trevijano Sánchez.</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181" w:name="AUTO_2016_54"/>
      <w:r>
        <w:t>AUTO 54/2016, de 1 de marzo de 2016</w:t>
      </w:r>
    </w:p>
    <w:bookmarkEnd w:id="181"/>
    <w:p w:rsidR="0033382B" w:rsidRDefault="0033382B" w:rsidP="0033382B">
      <w:pPr>
        <w:pStyle w:val="TtuloResolucin"/>
      </w:pPr>
      <w:r>
        <w:t>Pleno</w:t>
      </w:r>
    </w:p>
    <w:p w:rsidR="0033382B" w:rsidRDefault="0033382B" w:rsidP="0033382B">
      <w:pPr>
        <w:pStyle w:val="TextoNormalCentrado"/>
      </w:pPr>
      <w:r>
        <w:t>ECLI:ES:TC:2016:54A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Levanta la suspensión en el recurso de inconstitucionalidad 6022-2015, interpuesto por el Presidente del Gobierno en relación con el Decreto-ley del Consell de la Generalitat Valenciana 3/2015, de 24 de julio, por el que se regula el acceso universal a la atención sanitaria en la Comunidad Valenciana.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presentado en el Registro General de este Tribunal el 28 de octubre de 2015, el Abogado del Estado, en nombre del Presidente del Gobierno, interpuso recurso de inconstitucionalidad contra el Decreto-ley del Consell de la Generalitat Valenciana 3/2015, de 24 de julio, por el que se regula el acceso universal a la atención sanitaria en la Comunitat Valenciana, publicado en el “Diari Oficial de la Comunitat Valenciana” el 29 de julio de 2015.</w:t>
      </w:r>
    </w:p>
    <w:p w:rsidR="0033382B" w:rsidRDefault="0033382B" w:rsidP="0033382B">
      <w:pPr>
        <w:pStyle w:val="TextoNormal"/>
      </w:pPr>
    </w:p>
    <w:p w:rsidR="0033382B" w:rsidRDefault="0033382B" w:rsidP="0033382B">
      <w:pPr>
        <w:pStyle w:val="TextoNormal"/>
      </w:pPr>
      <w:r>
        <w:t>El Abogado del Estado invoca el art. 161.2 CE, a fin de que se acuerde la suspensión del precepto impugnado.</w:t>
      </w:r>
    </w:p>
    <w:p w:rsidR="0033382B" w:rsidRDefault="0033382B" w:rsidP="0033382B">
      <w:pPr>
        <w:pStyle w:val="TextoNormal"/>
      </w:pPr>
    </w:p>
    <w:p w:rsidR="0033382B" w:rsidRDefault="0033382B" w:rsidP="0033382B">
      <w:pPr>
        <w:pStyle w:val="TextoNormal"/>
      </w:pPr>
      <w:r w:rsidRPr="0033382B">
        <w:rPr>
          <w:rStyle w:val="NumeroAFNegritaCaracter"/>
        </w:rPr>
        <w:t>2</w:t>
      </w:r>
      <w:r>
        <w:t>. Por providencia de 3 de noviembre de 2015, el Pleno, a propuesta de la Sección Primera, acordó admitir a trámite el referido recurso de inconstitucionalidad y, dar traslado de la demanda y de los documentos presentados, conforme a lo dispuesto en el art. 34 de la Ley Orgánica del Tribunal Constitucional (LOTC), al Congreso de los Diputados, al Senado, a la Generalitat Valenciana y a las Cortes Valencianas, por conducto de sus Presidentes, al objeto de que, en el plazo de quince días, pudieran personarse en el proceso y formular las alegaciones que estimaran convenientes. Asimismo se acordó tener por invocado por el Presidente del Gobierno el art. 161.2 CE, lo que, a su tenor y conforme dispone el art. 30 LOTC, produce la suspensión de la vigencia y aplicación de los preceptos impugnados desde la fecha de interposición del recurso —28 de octubre de 2015— para las partes del proceso y desde el día en que aparece publicada la suspensión en el “Boletín Oficial del Estado” para los terceros, comunicándose así a los Presidentes de la Generalitat Valenciana y de las Cortes Valencianas. Se acordó, por último, publicar la incoación del recurso en el “Boletín Oficial del Estado” y en el “Diari Oficial de la Generalitat Valenciana".</w:t>
      </w:r>
    </w:p>
    <w:p w:rsidR="0033382B" w:rsidRDefault="0033382B" w:rsidP="0033382B">
      <w:pPr>
        <w:pStyle w:val="TextoNormal"/>
      </w:pPr>
    </w:p>
    <w:p w:rsidR="0033382B" w:rsidRDefault="0033382B" w:rsidP="0033382B">
      <w:pPr>
        <w:pStyle w:val="TextoNormal"/>
      </w:pPr>
      <w:r w:rsidRPr="0033382B">
        <w:rPr>
          <w:rStyle w:val="NumeroAFNegritaCaracter"/>
        </w:rPr>
        <w:t>3</w:t>
      </w:r>
      <w:r>
        <w:t>. Por sendos escritos registrados en este Tribunal el 11 y 12 de noviembre de 2015, el Presidente del Senado y el Presidente del Congreso comunicaron que por acuerdo de la Mesa de sus respectivas Cámara, se acordó darse por personadas en este proceso constitucional y ofrecer su colaboración a los efectos del art. 88.1 LOTC.</w:t>
      </w:r>
    </w:p>
    <w:p w:rsidR="0033382B" w:rsidRDefault="0033382B" w:rsidP="0033382B">
      <w:pPr>
        <w:pStyle w:val="TextoNormal"/>
      </w:pPr>
    </w:p>
    <w:p w:rsidR="0033382B" w:rsidRDefault="0033382B" w:rsidP="0033382B">
      <w:pPr>
        <w:pStyle w:val="TextoNormal"/>
      </w:pPr>
      <w:r w:rsidRPr="0033382B">
        <w:rPr>
          <w:rStyle w:val="NumeroAFNegritaCaracter"/>
        </w:rPr>
        <w:t>4</w:t>
      </w:r>
      <w:r>
        <w:t>. La Directora General de la Abogacía General de la Generalitat Valenciana, en la representación legal que de ésta ostenta, por escrito registrado en este Tribunal el 11 de noviembre de 2015, solicitó una prórroga del plazo concedido para personarse en este proceso constitucional por el máximo de tiempo legalmente posible. Según se sostiene, dada la complejidad de la cuestión planteada y las múltiples ocupaciones profesionales atribuidas a la representación de la Generalitat Valenciana, no resulta previsible que puedan formularse las alegaciones en el plazo concedido.</w:t>
      </w:r>
    </w:p>
    <w:p w:rsidR="0033382B" w:rsidRDefault="0033382B" w:rsidP="0033382B">
      <w:pPr>
        <w:pStyle w:val="TextoNormal"/>
      </w:pPr>
    </w:p>
    <w:p w:rsidR="0033382B" w:rsidRDefault="0033382B" w:rsidP="0033382B">
      <w:pPr>
        <w:pStyle w:val="TextoNormal"/>
      </w:pPr>
      <w:r w:rsidRPr="0033382B">
        <w:rPr>
          <w:rStyle w:val="NumeroAFNegritaCaracter"/>
        </w:rPr>
        <w:t>5</w:t>
      </w:r>
      <w:r>
        <w:t>. Por providencia de 16 de noviembre de 2015, el Pleno, acordó incorporar a las actuaciones el escrito presentado por la Directora General de la Generalitat Valenciana, en representación de ésta, y como se pide en el mismo, se prorrogó en ocho días más el plazo concedido por la providencia de 3 de noviembre de 2015, a contar desde el día siguiente al de expiración del ordinario.</w:t>
      </w:r>
    </w:p>
    <w:p w:rsidR="0033382B" w:rsidRDefault="0033382B" w:rsidP="0033382B">
      <w:pPr>
        <w:pStyle w:val="TextoNormal"/>
      </w:pPr>
    </w:p>
    <w:p w:rsidR="0033382B" w:rsidRDefault="0033382B" w:rsidP="0033382B">
      <w:pPr>
        <w:pStyle w:val="TextoNormal"/>
      </w:pPr>
      <w:r w:rsidRPr="0033382B">
        <w:rPr>
          <w:rStyle w:val="NumeroAFNegritaCaracter"/>
        </w:rPr>
        <w:t>6</w:t>
      </w:r>
      <w:r>
        <w:t>. Por escrito registrado en este Tribunal el 17 de noviembre de 2015, la Directora General de la Abogacía General de la Generalitat Valenciana, en la representación legal que de ésta ostenta, solicitó la incoación de incidente de levantamiento anticipado de la suspensión con la finalidad de conseguir el alzamiento de la suspensión del Decreto-ley 3/2015, impugnado en este proceso constitucional. Alega esta parte procesal que el acceso a una atención sanitaria integral, de calidad, en condiciones de equidad y universalidad es un derecho fundamental de toda persona. También se aduce que los poderes públicos tienen el deber de remover los obstáculos sobre los que se asienta la desigualdad social y que todas estas actuaciones quedan enmarcadas en la Ley 16/2003, de 28 de mayo, de cohesión y calidad del Sistema Nacional de Salud.</w:t>
      </w:r>
    </w:p>
    <w:p w:rsidR="0033382B" w:rsidRDefault="0033382B" w:rsidP="0033382B">
      <w:pPr>
        <w:pStyle w:val="TextoNormal"/>
      </w:pPr>
    </w:p>
    <w:p w:rsidR="0033382B" w:rsidRDefault="0033382B" w:rsidP="0033382B">
      <w:pPr>
        <w:pStyle w:val="TextoNormal"/>
      </w:pPr>
      <w:r>
        <w:t>Por otra parte se alega que en la Comunitat Valenciana son principios rectores de la actuación del sistema valenciano de salud, contemplados en la Ley 10/2014, de 29 de diciembre, de salud de la Comunitat Valenciana, entre otros: la universalización de la atención sanitaria, el respeto a la dignidad de la persona, la concepción integral de la salud y la política sanitaria global. Se sostiene, además, que también han de respetarse los principios de equidad, garantía de acceso, sostenibilidad económica, eficiencia en la prestación de servicios sanitarios y defensa de la sanidad pública.</w:t>
      </w:r>
    </w:p>
    <w:p w:rsidR="0033382B" w:rsidRDefault="0033382B" w:rsidP="0033382B">
      <w:pPr>
        <w:pStyle w:val="TextoNormal"/>
      </w:pPr>
    </w:p>
    <w:p w:rsidR="0033382B" w:rsidRDefault="0033382B" w:rsidP="0033382B">
      <w:pPr>
        <w:pStyle w:val="TextoNormal"/>
      </w:pPr>
      <w:r>
        <w:t>Se pone de manifiesto también que las personas que pueden acogerse a las condiciones de acceso al sistema valenciano de salud que establece el Decreto-ley impugnado no tienen por ello la condición de persona asegurada o beneficiaria del Sistema Nacional de Salud ni generan derecho a la cobertura de la asistencia sanitaria con cargo a la Generalitat fuera de la misma.</w:t>
      </w:r>
    </w:p>
    <w:p w:rsidR="0033382B" w:rsidRDefault="0033382B" w:rsidP="0033382B">
      <w:pPr>
        <w:pStyle w:val="TextoNormal"/>
      </w:pPr>
    </w:p>
    <w:p w:rsidR="0033382B" w:rsidRDefault="0033382B" w:rsidP="0033382B">
      <w:pPr>
        <w:pStyle w:val="TextoNormal"/>
      </w:pPr>
      <w:r>
        <w:t>Tras efectuar las anteriores consideraciones se alega, en relación con el levantamiento de la suspensión solicitado, que, de acuerdo con la jurisprudencia constitucional la suspensión prevista en el art. 161.2 CE se ha configurado como una potestad del Gobierno tasada a los supuestos expresamente previstos y de carácter excepcional, tanto por su carácter limitativo como por ser contraria al principio de legitimidad de la norma. La Generalitat solicita el levantamiento de la suspensión aunque no haya transcurrido el plazo de cinco meses desde que fue adoptada, pues considera que, tal y como ha admitido este Tribunal, ese plazo ha de entenderse como un plazo máximo y, por tanto, no impide dejar sin efecto la suspensión antes de que transcurra el mismo.</w:t>
      </w:r>
    </w:p>
    <w:p w:rsidR="0033382B" w:rsidRDefault="0033382B" w:rsidP="0033382B">
      <w:pPr>
        <w:pStyle w:val="TextoNormal"/>
      </w:pPr>
    </w:p>
    <w:p w:rsidR="0033382B" w:rsidRDefault="0033382B" w:rsidP="0033382B">
      <w:pPr>
        <w:pStyle w:val="TextoNormal"/>
      </w:pPr>
      <w:r>
        <w:t xml:space="preserve">Se aduce que para que proceda mantener la suspensión es preciso valorar, por una parte, los intereses implicados, tanto el general y el público, como el particular o privado de las personas afectadas, y, por otra, los perjuicios de imposible o difícil reparación que se irroguen por el mantenimiento o levantamiento de la suspensión; valoración que ha de efectuarse mediante el estricto examen de las situaciones de hecho creadas y al margen de la viabilidad de las pretensiones que se formulen en la demanda de amparo. Junto a ello se alega también que para que proceda mantener la suspensión es preciso que el Gobierno de la Nación, a quien se debe la iniciativa de la suspensión </w:t>
      </w:r>
      <w:r w:rsidRPr="0033382B">
        <w:rPr>
          <w:i/>
        </w:rPr>
        <w:t>ex</w:t>
      </w:r>
      <w:r>
        <w:t xml:space="preserve"> art. 161.2 CE, aporte y exponga los argumentos que justifiquen sus argumentos.</w:t>
      </w:r>
    </w:p>
    <w:p w:rsidR="0033382B" w:rsidRDefault="0033382B" w:rsidP="0033382B">
      <w:pPr>
        <w:pStyle w:val="TextoNormal"/>
      </w:pPr>
    </w:p>
    <w:p w:rsidR="0033382B" w:rsidRDefault="0033382B" w:rsidP="0033382B">
      <w:pPr>
        <w:pStyle w:val="TextoNormal"/>
      </w:pPr>
      <w:r>
        <w:t>Se alega también la presunción de constitucionalidad de las normas, poniendo de relieve, además, que en este caso el Decreto-ley impugnado ha sido convalidado por el legislador autonómico, que la aplicación de la norma impugnada redunda en la protección de la salud de las personas en el ámbito territorial de la Comunitat Valenciana y su eficacia no generará situaciones irreversibles ni comportará perjuicios de difícil o imposible reparación, sino todo lo contrario.</w:t>
      </w:r>
    </w:p>
    <w:p w:rsidR="0033382B" w:rsidRDefault="0033382B" w:rsidP="0033382B">
      <w:pPr>
        <w:pStyle w:val="TextoNormal"/>
      </w:pPr>
    </w:p>
    <w:p w:rsidR="0033382B" w:rsidRDefault="0033382B" w:rsidP="0033382B">
      <w:pPr>
        <w:pStyle w:val="TextoNormal"/>
      </w:pPr>
      <w:r>
        <w:t>Por otra parte se sostiene que el levantamiento de la suspensión no vulnerará la seguridad jurídica, que, de acuerdo con la jurisprudencia constitucional (STC 227/1988, FJ 10) no ampara la necesidad de preservar indefinidamente el régimen jurídico que se establece un momento histórico en relación con derechos o situaciones determinadas. Y también se afirma que nuestro modelo de Estado descansa en la concurrencia de sistemas normativos cuya ordenación ha de efectuarse atendiendo a sus respectivos ámbitos competenciales, sin que esa concurrencia pueda determinar la suspensión automática de la norma autonómica.</w:t>
      </w:r>
    </w:p>
    <w:p w:rsidR="0033382B" w:rsidRDefault="0033382B" w:rsidP="0033382B">
      <w:pPr>
        <w:pStyle w:val="TextoNormal"/>
      </w:pPr>
    </w:p>
    <w:p w:rsidR="0033382B" w:rsidRDefault="0033382B" w:rsidP="0033382B">
      <w:pPr>
        <w:pStyle w:val="TextoNormal"/>
      </w:pPr>
      <w:r>
        <w:t>La Generalitat Valenciana invoca como precedentes los AATC 239/2012, de 12 de diciembre, y 114/2014, de 8 de abril. En este último Auto el Tribunal acordó levantar la suspensión de la Ley Foral 8/2013, de 25 de febrero, por la que se reconoce a las personas residentes en Navarra el derecho de acceso a la asistencia sanitaria gratuita del sistema público sanitario de Navarra y en el ATC 239/2012, de 12 de diciembre, se acordó levantar la suspensión de los preceptos del Decreto 114/2012, de 26 de junio, sobre régimen de las prestaciones sanitarias del Sistema Nacional de Salud en el ámbito de la Comunidad Autónoma de Euskadi, de los preceptos impugnados que regulan el acceso a las prestaciones sanitarias de las personas excluidas del ámbito de aplicación de la asistencia sanitaria con cargo a fondos públicos a través del Sistema Nacional de Salud.</w:t>
      </w:r>
    </w:p>
    <w:p w:rsidR="0033382B" w:rsidRDefault="0033382B" w:rsidP="0033382B">
      <w:pPr>
        <w:pStyle w:val="TextoNormal"/>
      </w:pPr>
    </w:p>
    <w:p w:rsidR="0033382B" w:rsidRDefault="0033382B" w:rsidP="0033382B">
      <w:pPr>
        <w:pStyle w:val="TextoNormal"/>
      </w:pPr>
      <w:r>
        <w:t>Sostiene, asimismo, la Generalitat Valenciana que, como el Decreto-ley 16/2012, de 20 de abril privó a 127.000 ciudadanos del acceso reglado al sistema valenciano de salud, ha generado de hecho una situación contraria a lo establecido como principios rectores de la propia Ley 10/2014, de 29 de diciembre, de la Generalitat, de salud de la Comunitat Valenciana. Se pone de manifiesto, además, que la eficacia y eficiencia de la acción asistencial, de promoción y defensa de la salud pública del sistema valenciano de salud se ha visto comprometida por la presencia de un importante colectivo no incluido de forma sistemática y reglada en los procedimientos generales habilitados para estos fines. La Generalitat Valenciana considera que la falta de asignación de médico de familia, la no inclusión en programas de seguimiento de la cronicidad, en los programas de promoción y prevención de la salud pública, la ausencia de garantías de continuidad y mantenimiento de la atención comunitaria y de los tratamientos farmacológicos ha generado un impacto negativo en la salud de la población e incluso en los mecanismos organizativos, de gestión y planificación del propio sistema valenciano de salud, produciéndose la utilización innecesaria de recursos sanitarios que hacen menos eficiente la atención sanitaria global.</w:t>
      </w:r>
    </w:p>
    <w:p w:rsidR="0033382B" w:rsidRDefault="0033382B" w:rsidP="0033382B">
      <w:pPr>
        <w:pStyle w:val="TextoNormal"/>
      </w:pPr>
    </w:p>
    <w:p w:rsidR="0033382B" w:rsidRDefault="0033382B" w:rsidP="0033382B">
      <w:pPr>
        <w:pStyle w:val="TextoNormal"/>
      </w:pPr>
      <w:r>
        <w:t>Se aduce, además, que la posibilidad de propagación de enfermedades infectocontagiosas como el VIH, la tuberculosis, la meningitis tuberculosa y la hepatitis B, conlleva no solo un perjuicio para aquellos ciudadanos que han quedado desasistidos, sino para toda la población, pues genera un riesgo de contagio que ocasiona un problema de salud pública.</w:t>
      </w:r>
    </w:p>
    <w:p w:rsidR="0033382B" w:rsidRDefault="0033382B" w:rsidP="0033382B">
      <w:pPr>
        <w:pStyle w:val="TextoNormal"/>
      </w:pPr>
    </w:p>
    <w:p w:rsidR="0033382B" w:rsidRDefault="0033382B" w:rsidP="0033382B">
      <w:pPr>
        <w:pStyle w:val="TextoNormal"/>
      </w:pPr>
      <w:r>
        <w:t>Por ello se alega que el mantenimiento de la suspensión de la norma va a generar unos perjuicios que, en el caso de que se declarase la constitucionalidad del Decreto-ley impugnado, no podrían repararse.</w:t>
      </w:r>
    </w:p>
    <w:p w:rsidR="0033382B" w:rsidRDefault="0033382B" w:rsidP="0033382B">
      <w:pPr>
        <w:pStyle w:val="TextoNormal"/>
      </w:pPr>
    </w:p>
    <w:p w:rsidR="0033382B" w:rsidRDefault="0033382B" w:rsidP="0033382B">
      <w:pPr>
        <w:pStyle w:val="TextoNormal"/>
      </w:pPr>
      <w:r>
        <w:t>A la misma conclusión se llega en relación con las prestaciones farmacéuticas de estos pacientes. Se considera que debido a la disminución de la adherencia del tratamiento tiene más riesgo de sufrir complicaciones clínicas, lo que se traduce en un incremento de la utilización de servicios sanitarios (asistencia primaria y hospitalizaciones) y por tanto del gasto del sistema. Y también se afirma que el incremento en el copago farmacéutico afecta especialmente a pacientes crónicos, lo que tiene repercusiones directas en su salud.</w:t>
      </w:r>
    </w:p>
    <w:p w:rsidR="0033382B" w:rsidRDefault="0033382B" w:rsidP="0033382B">
      <w:pPr>
        <w:pStyle w:val="TextoNormal"/>
      </w:pPr>
    </w:p>
    <w:p w:rsidR="0033382B" w:rsidRDefault="0033382B" w:rsidP="0033382B">
      <w:pPr>
        <w:pStyle w:val="TextoNormal"/>
      </w:pPr>
      <w:r>
        <w:t>Se sostiene también que la mayoría de las Comunidades Autónomas han adoptado medidas para otorgar a toda la población una protección vinculada a la dignidad humana en el marco de un régimen de universalización sin que estas actuaciones interfieran con la regulación establecida en el Real Decreto 1192/2012, de 3 de noviembre, en la que se define la condición de asegurado y de beneficiario a efectos de la asistencia sanitaria en España a través del Sistema Nacional de Salud.</w:t>
      </w:r>
    </w:p>
    <w:p w:rsidR="0033382B" w:rsidRDefault="0033382B" w:rsidP="0033382B">
      <w:pPr>
        <w:pStyle w:val="TextoNormal"/>
      </w:pPr>
    </w:p>
    <w:p w:rsidR="0033382B" w:rsidRDefault="0033382B" w:rsidP="0033382B">
      <w:pPr>
        <w:pStyle w:val="TextoNormal"/>
      </w:pPr>
      <w:r>
        <w:t>La Generalitat Valenciana aporta el “Informe seguimiento acceso universal a la atención sanitaria (Decreto Ley 3/2015) -1-11-2015” en el que, según se alega, queda contrastada la eficacia de la norma impugnada.</w:t>
      </w:r>
    </w:p>
    <w:p w:rsidR="0033382B" w:rsidRDefault="0033382B" w:rsidP="0033382B">
      <w:pPr>
        <w:pStyle w:val="TextoNormal"/>
      </w:pPr>
    </w:p>
    <w:p w:rsidR="0033382B" w:rsidRDefault="0033382B" w:rsidP="0033382B">
      <w:pPr>
        <w:pStyle w:val="TextoNormal"/>
      </w:pPr>
      <w:r>
        <w:t>Por todo ello, solicita el levantamiento anticipado de la suspensión del Decreto-ley 3/2015, de 24 de julio, del Consell, por el que se regula el acceso universal a la atención sanitaria en la Comunitat Valenciana.</w:t>
      </w:r>
    </w:p>
    <w:p w:rsidR="0033382B" w:rsidRDefault="0033382B" w:rsidP="0033382B">
      <w:pPr>
        <w:pStyle w:val="TextoNormal"/>
      </w:pPr>
    </w:p>
    <w:p w:rsidR="0033382B" w:rsidRDefault="0033382B" w:rsidP="0033382B">
      <w:pPr>
        <w:pStyle w:val="TextoNormal"/>
      </w:pPr>
      <w:r w:rsidRPr="0033382B">
        <w:rPr>
          <w:rStyle w:val="NumeroAFNegritaCaracter"/>
        </w:rPr>
        <w:t>7</w:t>
      </w:r>
      <w:r>
        <w:t>. Por escrito registrado en este Tribunal el 3 de diciembre de 2015, el Letrado de las Cortes Valencianas, en la representación que ostenta, presentó su escrito de alegaciones por el que solicita el levantamiento de la suspensión del Decreto-ley 3/2015, de 24 de julio, y la desestimación del recurso de inconstitucionalidad interpuesto contra el mismo.</w:t>
      </w:r>
    </w:p>
    <w:p w:rsidR="0033382B" w:rsidRDefault="0033382B" w:rsidP="0033382B">
      <w:pPr>
        <w:pStyle w:val="TextoNormal"/>
      </w:pPr>
    </w:p>
    <w:p w:rsidR="0033382B" w:rsidRDefault="0033382B" w:rsidP="0033382B">
      <w:pPr>
        <w:pStyle w:val="TextoNormal"/>
      </w:pPr>
      <w:r>
        <w:t>En relación con la solicitud relativa al levantamiento de la suspensión, se afirma, citando jurisprudencia constitucional, que la suspensión prevista en el art. 161.2 CE se ha configurado como una potestad de Gobierno tasada a unos supuestos expresamente previstos y de carácter excepcional, tanto por su alcance limitativo, como por ser contraria al principio de legitimidad de toda norma. Asimismo, se pone de manifiesto que, de acuerdo también con la doctrina constitucional (ATC 114/2014, FJ 3, entre otros muchos) la resolución de este tipo de incidentes requiere ponderar, de un lado, los distintos intereses concernidos, tanto el general y público como, en su caso, el particular o privado de las personas afectadas, y, de otro, los perjuicios de imposible o difícil reparación que puedan derivarse del mantenimiento o levantamiento de la suspensión. Se aduce también que esta valoración debe efectuarse mediante el estricto examen de las situaciones de hecho creadas y al margen de la viabilidad de las pretensiones que se formulan en la demanda y que el mantenimiento de la suspensión requiere que el Gobierno, a quien se debe la iniciativa, no solo invoque la existencia de aquellos perjuicios, sino que también debe demostrar o, al menos, razonar consistentemente su procedencia y la imposible o difícil reparación de los mismos, ya que las normas o actos objeto de conflicto tienen, en principio, presunción de constitucionalidad.</w:t>
      </w:r>
    </w:p>
    <w:p w:rsidR="0033382B" w:rsidRDefault="0033382B" w:rsidP="0033382B">
      <w:pPr>
        <w:pStyle w:val="TextoNormal"/>
      </w:pPr>
    </w:p>
    <w:p w:rsidR="0033382B" w:rsidRDefault="0033382B" w:rsidP="0033382B">
      <w:pPr>
        <w:pStyle w:val="TextoNormal"/>
      </w:pPr>
      <w:r>
        <w:t>En relación con los perjuicios que ocasionaría el levantamiento de la suspensión del Decreto-ley impugnado, se alega que, en el escrito de demanda, la Abogacía del Estado no aporta argumento alguno que sirva para mantener la suspensión de la norma recurrida. Por lo que se refiere a la valoración de los intereses implicados, se aduce que nos encontramos ante un supuesto análogo al resuelto por el Tribunal en los AATC 239/2012, de 12 de diciembre, y 114/2014, de 8 de abril, y que, por tanto, ha de aplicarse la doctrina establecida en estas resoluciones.</w:t>
      </w:r>
    </w:p>
    <w:p w:rsidR="0033382B" w:rsidRDefault="0033382B" w:rsidP="0033382B">
      <w:pPr>
        <w:pStyle w:val="TextoNormal"/>
      </w:pPr>
    </w:p>
    <w:p w:rsidR="0033382B" w:rsidRDefault="0033382B" w:rsidP="0033382B">
      <w:pPr>
        <w:pStyle w:val="TextoNormal"/>
      </w:pPr>
      <w:r>
        <w:t>La aplicación de esta doctrina conlleva, según entiende el Letrado de las Cortes Valencianas, que no pueda considerarse que la eficacia de la norma ahora impugnada causa perjuicios ni al interés público ni a los intereses de terceros, pues se prevé la asistencia sanitaria a personas que han sido excluidas completamente del Sistema Nacional de Salud, pero sin incorporarlos, ya que no se les atribuye la condición de persona asegurada o beneficiaria del Sistema Nacional de Salud (art. 1.2). En relación con los perjuicios económicos se aduce, que de acuerdo con la doctrina establecida en los citados AATC 239/2012, de 12 de diciembre, FJ 6, y 114/2014, de 8 de abril, FJ 5, que “el derecho a la salud y el derecho a la integridad física de las personas afectadas por las medidas impugnadas, así como la conveniencia de evitar riesgos para la salud del conjunto de la sociedad, poseen una importancia singular en el marco constitucional, que no puede verse desvirtuada por la mera consideración de un eventual ahorro económico que no ha podido ser concretado”. Y respecto de los posibles impactos negativos sobre la salud pública se invoca también la doctrina establecida en el ATC 239/2012, de 12 de diciembre, FJ 5, y reiterada en el ATC 114/2014, de 8 de abril, FJ 8, en la que se afirmó que el mantenimiento de la suspensión “consagraría en el tiempo la limitación del acceso al derecho a la salud para determinados colectivos vulnerables por sus condiciones socioeconómicas y sociosanitarias”.</w:t>
      </w:r>
    </w:p>
    <w:p w:rsidR="0033382B" w:rsidRDefault="0033382B" w:rsidP="0033382B">
      <w:pPr>
        <w:pStyle w:val="TextoNormal"/>
      </w:pPr>
    </w:p>
    <w:p w:rsidR="0033382B" w:rsidRDefault="0033382B" w:rsidP="0033382B">
      <w:pPr>
        <w:pStyle w:val="TextoNormal"/>
      </w:pPr>
      <w:r>
        <w:t>Por todo ello se considera que, en este caso, al igual que ocurrió en los resueltos por los AATC 239/2012, de 12 de diciembre, y 114/2014, de 8 de abril, ha de acordarse el levantamiento de la suspensión.</w:t>
      </w:r>
    </w:p>
    <w:p w:rsidR="0033382B" w:rsidRDefault="0033382B" w:rsidP="0033382B">
      <w:pPr>
        <w:pStyle w:val="TextoNormal"/>
      </w:pPr>
    </w:p>
    <w:p w:rsidR="0033382B" w:rsidRDefault="0033382B" w:rsidP="0033382B">
      <w:pPr>
        <w:pStyle w:val="TextoNormal"/>
      </w:pPr>
      <w:r w:rsidRPr="0033382B">
        <w:rPr>
          <w:rStyle w:val="NumeroAFNegritaCaracter"/>
        </w:rPr>
        <w:t>8</w:t>
      </w:r>
      <w:r>
        <w:t>. El Pleno, por providencia de 4 de diciembre de 2015, acordó incorporar a los Autos los escritos presentados por la Directora General de la Generalitat Valenciana y el Letrado de las Cortes Valencianas, en representación, respectivamente, de su Gobierno y Cámara, y otorgar a las partes personadas un plazo de cinco días para que pudieran efectuar las alegaciones que estimaran convenientes en relación con las solicitudes formuladas respecto del mantenimiento de la suspensión del Decreto-ley objeto del recurso.</w:t>
      </w:r>
    </w:p>
    <w:p w:rsidR="0033382B" w:rsidRDefault="0033382B" w:rsidP="0033382B">
      <w:pPr>
        <w:pStyle w:val="TextoNormal"/>
      </w:pPr>
    </w:p>
    <w:p w:rsidR="0033382B" w:rsidRDefault="0033382B" w:rsidP="0033382B">
      <w:pPr>
        <w:pStyle w:val="TextoNormal"/>
      </w:pPr>
      <w:r w:rsidRPr="0033382B">
        <w:rPr>
          <w:rStyle w:val="NumeroAFNegritaCaracter"/>
        </w:rPr>
        <w:t>9</w:t>
      </w:r>
      <w:r>
        <w:t>. El Abogado del Estado, por escrito registrado en este Tribunal el 14 de diciembre de 2015, formuló alegaciones. Tras exponer la doctrina del Tribunal sobre la resolución de este tipo de incidentes de suspensión expuso los motivos por los que considera que, en este supuesto, ha de mantenerse la suspensión de la eficacia de la norma impugnada.</w:t>
      </w:r>
    </w:p>
    <w:p w:rsidR="0033382B" w:rsidRDefault="0033382B" w:rsidP="0033382B">
      <w:pPr>
        <w:pStyle w:val="TextoNormal"/>
      </w:pPr>
    </w:p>
    <w:p w:rsidR="0033382B" w:rsidRDefault="0033382B" w:rsidP="0033382B">
      <w:pPr>
        <w:pStyle w:val="TextoNormal"/>
      </w:pPr>
      <w:r>
        <w:t>El Abogado del Estado pone de manifiesto, en primer lugar, la analogía que guarda este recurso con el recurso de inconstitucionalidad núm. 7089-2013 interpuesto contra la Ley Foral 8/2013, de 25 de febrero, y del conflicto de competencia núm. 4540-2012 por el que se impugna el Decreto 114/2012, de 26 de junio, del Gobierno Vasco. También se pone de manifiesto que en el ámbito de la jurisdicción contencioso-administrativa, la Administración del Estado ha interpuesto recursos administrativos contra acuerdos adoptados por diversas Comunidades Autónomas que en el año 2015 ampliaron el ámbito subjetivo de la prestación sanitaria y farmacéutica a personas que, de acuerdo con la legislación del Estado, tienen un ámbito de atención sanitaria limitada.</w:t>
      </w:r>
    </w:p>
    <w:p w:rsidR="0033382B" w:rsidRDefault="0033382B" w:rsidP="0033382B">
      <w:pPr>
        <w:pStyle w:val="TextoNormal"/>
      </w:pPr>
    </w:p>
    <w:p w:rsidR="0033382B" w:rsidRDefault="0033382B" w:rsidP="0033382B">
      <w:pPr>
        <w:pStyle w:val="TextoNormal"/>
      </w:pPr>
      <w:r>
        <w:t>Se afirma también que para poder decidir sobre el mantenimiento de la suspensión, los perjuicios que para el interés general puede ocasionar la vigencia de la norma impugnada han de ponerse en relación con los causados a los intereses particulares, en este caso, el derecho a la salud, así como con la existencia de perjuicios de imposible o difícil reparación. A estos efectos, se acompaña al escrito de alegaciones los informes elaborados por el Director General de la Cartera Básica de Servicios del Sistema Nacional de Salud y Farmacia, de 30 de noviembre de 2015 y el informe de la Directora General de Salud Pública, Calidad e Innovación, acompañados de los anexos que en el informe se relacionan. Según se aduce, estos informes se han elaborado tomando en consideración las alegaciones formuladas por la Generalitat Valenciana y se realizan a la luz de los criterios utilizados por el Tribunal para resolver el Auto de 8 de abril de 2014 sobre el levantamiento de la Ley Foral 8/2013.</w:t>
      </w:r>
    </w:p>
    <w:p w:rsidR="0033382B" w:rsidRDefault="0033382B" w:rsidP="0033382B">
      <w:pPr>
        <w:pStyle w:val="TextoNormal"/>
      </w:pPr>
    </w:p>
    <w:p w:rsidR="0033382B" w:rsidRDefault="0033382B" w:rsidP="0033382B">
      <w:pPr>
        <w:pStyle w:val="TextoNormal"/>
      </w:pPr>
      <w:r>
        <w:t>El Abogado del Estado expone la gran trascendencia que suponen los cambios legislativos abordados por el Real Decreto-ley 16/2012, de 20 de abril, de medidas urgentes para garantizar la sostenibilidad del Sistema Nacional de Salud y mejorar la calidad y seguridad de sus prestaciones. Se afirma que el referido Real Decreto-ley universaliza efectivamente la sanidad, pues por primera vez tienen acceso a la asistencia sanitaria pública, colectivos que hasta entonces estaban excluidos, como son los profesionales con mutualidad alternativa a la Seguridad Social. Se alega también que la reforma introducida por el Real Decreto-ley 16/2012 garantiza la sostenibilidad y preserva la calidad del sistema sanitario público, asegurando el derecho de los ciudadanos a la protección de su salud y a una asistencia sanitaria pública, gratuita y universal.</w:t>
      </w:r>
    </w:p>
    <w:p w:rsidR="0033382B" w:rsidRDefault="0033382B" w:rsidP="0033382B">
      <w:pPr>
        <w:pStyle w:val="TextoNormal"/>
      </w:pPr>
    </w:p>
    <w:p w:rsidR="0033382B" w:rsidRDefault="0033382B" w:rsidP="0033382B">
      <w:pPr>
        <w:pStyle w:val="TextoNormal"/>
      </w:pPr>
      <w:r>
        <w:t>Por otra parte, el Abogado del Estado sostiene que aunque, el art. 3 del Real Decreto-ley 16/2012 dispone que los extranjeros que no dispongan de autorización para residir en España, no tienen la condición de asegurados, tienen, no obstante, garantizada sus necesidades sanitarias básicas (asistencia sanitaria de urgencia por enfermedad grave o accidente y asistencia en el embarazo, parto y postparto) y los extranjeros menores de 18 años tienen derecho a recibir asistencia sanitaria en las mismas condiciones que los españoles).</w:t>
      </w:r>
    </w:p>
    <w:p w:rsidR="0033382B" w:rsidRDefault="0033382B" w:rsidP="0033382B">
      <w:pPr>
        <w:pStyle w:val="TextoNormal"/>
      </w:pPr>
    </w:p>
    <w:p w:rsidR="0033382B" w:rsidRDefault="0033382B" w:rsidP="0033382B">
      <w:pPr>
        <w:pStyle w:val="TextoNormal"/>
      </w:pPr>
      <w:r>
        <w:t>Se pone de manifiesto, además, que el referido Real Decreto-ley se dicta en un contexto de fuerte crisis económica en el que era necesario tomar medidas que garantizasen la sostenibilidad del Sistema Nacional de Salud cuya deuda es insostenible. Entiende el Abogado del Estado que, en este contexto, el Decreto-ley impugnado en este proceso constitucional entra en contradicción con la normativa estatal y causa perjuicios tanto al interés general como al particular. Según se aduce, la ampliación de la cobertura sanitaria y de las prestaciones farmacéuticas incrementa el gasto público, pone en peligro la viabilidad del Sistema Nacional de Salud y el cumplimiento de las obligaciones de España con la Unión Europea y genera casos de discriminación entre los ciudadanos. Por otra parte, se afirma, que en contra de lo que sostiene la Generalitat Valenciana, cuando solicita el levantamiento de la suspensión, la suspensión de la eficacia de la norma impugnada no produce efectos nocivos ni a la salud pública, ni al resto de las personas afectadas por la suspensión de la norma, pues tales consecuencias no se han producido ni en la Comunidad Valenciana ni en el resto del territorio nacional. Aduce, además, que la generalización de la ampliación de las prestaciones sanitarias y farmacéuticas en un buen número de Comunidades Autónomas produce un efecto acumulativo que impide el correcto funcionamiento del sistema nacional de salud, bloquea de hecho las competencias estatales y es contrario a la seguridad jurídica.</w:t>
      </w:r>
    </w:p>
    <w:p w:rsidR="0033382B" w:rsidRDefault="0033382B" w:rsidP="0033382B">
      <w:pPr>
        <w:pStyle w:val="TextoNormal"/>
      </w:pPr>
    </w:p>
    <w:p w:rsidR="0033382B" w:rsidRDefault="0033382B" w:rsidP="0033382B">
      <w:pPr>
        <w:pStyle w:val="TextoNormal"/>
      </w:pPr>
      <w:r>
        <w:t>También se afirma que la aplicación de la norma impugnada pone en riesgo la posición de España ante la Unión Europea y, además, produce efectos discriminatorios entre los ciudadanos. Según se sostiene, aunque el Decreto-ley impugnado establezca que no genera derecho a la cobertura de asistencia sanitaria con cargo a la Comunidad Autónoma fuera de la misma, el Abogado del Estado considera que tal afirmación no es correcta, pues entiende que Europa no reconoce la diferencia entre normativa autonómica y nacional. Por ello sostiene, que, como se afirma en el informe elaborado por el Director General de Cartera Básica de Servicios del Sistema Nacional de Salud y Farmacia, de 30 de noviembre de 2015, si no se mantiene la suspensión de la norma impugnada, la Comunidad Autónoma de Valencia se convertirá en la posible puerta de entrada de todos los extranjeros, incumpliendo la normativa nacional y de la Unión Europea que regula la asistencia sanitaria.</w:t>
      </w:r>
    </w:p>
    <w:p w:rsidR="0033382B" w:rsidRDefault="0033382B" w:rsidP="0033382B">
      <w:pPr>
        <w:pStyle w:val="TextoNormal"/>
      </w:pPr>
    </w:p>
    <w:p w:rsidR="0033382B" w:rsidRDefault="0033382B" w:rsidP="0033382B">
      <w:pPr>
        <w:pStyle w:val="TextoNormal"/>
      </w:pPr>
      <w:r>
        <w:t>Entiende el Abogado del Estado que las alegaciones expuestas se refieren tanto a las prestaciones sanitarias como a las prestaciones farmacéuticas que establece el Decreto-ley impugnado. No obstante, considera que respecto de estas últimas y, a efectos de ponderar los intereses en juego y los perjuicios que puede causar el mantenimiento o levantamiento de la suspensión ha de tenerse en cuenta la doctrina establecida en los AATC 95/2011, FJ 5; 96/2011, FJ 5; 147/2012, FJ 6; 239/2012, FJ 6, y 88/2013 en los que este Tribunal ha tomado en consideración el contexto de crisis económica y financiera que actualmente afecta a nuestro país y ha otorgado una trascendencia fundamental a la efectividad de las medidas de contención y reducción del gasto farmacéutico para lograr la sostenibilidad del sistema sanitario público en los casos en los que ha tenido que pronunciarse sobre la suspensión de las resoluciones o normas impugnadas que afectaban a estas medidas.</w:t>
      </w:r>
    </w:p>
    <w:p w:rsidR="0033382B" w:rsidRDefault="0033382B" w:rsidP="0033382B">
      <w:pPr>
        <w:pStyle w:val="TextoNormal"/>
      </w:pPr>
    </w:p>
    <w:p w:rsidR="0033382B" w:rsidRDefault="0033382B" w:rsidP="0033382B">
      <w:pPr>
        <w:pStyle w:val="TextoNormal"/>
      </w:pPr>
      <w:r>
        <w:t>Sostiene el Abogado del Estado, por otra parte, que la vigencia de la Ley recurrida supondría que en el territorio de la Comunidad Autónoma de Valencia los nuevos beneficiarios del Sistema Nacional de Salud verían posibilitada la financiación pública de la prestación sanitaria y farmacéutica que necesitaran, con lo que se favorecería a los residentes en dicha Comunidad y surgiría un efecto discriminatorio inconstitucional. A su juicio, las consecuencias del distinto trato serían irreparables, pues se agotarían en el momento del desembolso extraordinario de cada beneficiario.</w:t>
      </w:r>
    </w:p>
    <w:p w:rsidR="0033382B" w:rsidRDefault="0033382B" w:rsidP="0033382B">
      <w:pPr>
        <w:pStyle w:val="TextoNormal"/>
      </w:pPr>
    </w:p>
    <w:p w:rsidR="0033382B" w:rsidRDefault="0033382B" w:rsidP="0033382B">
      <w:pPr>
        <w:pStyle w:val="TextoNormal"/>
      </w:pPr>
      <w:r>
        <w:t>Tampoco comparte el Abogado del Estado los argumentos esgrimidos por la Generalitat Valenciana sobre los efectos nocivos que el levantamiento de la suspensión tendría en el incremento de los riesgos para la salud pública y la protección de la salud de los extranjeros en situación irregular. Según se alega, de acuerdo con los datos de los que dispone el Ministerio de Sanidad, Servicios Sociales e Igualdad no han mostrado ningún impacto negativo relevante en la salud de la población en los dos últimos años. Se aduce, además que según el documento aprobado por el pleno del Consejo Interterritorial del Sistema Nacional de Salud el 18 de diciembre de 2013 denominado “intervenciones sanitarias en situaciones de riesgo para la salud pública” (adjunta a sus alegaciones copia del mismo) se pretenden evitar situaciones que puedan suponer un riesgo para la salud de la población, específicamente para aquellos que no ostentan la condición de asegurado o beneficiario de acuerdo con lo previsto en el Real Decreto-ley 16/20012. Asimismo se pone de manifiesto que en España las condiciones para vigilar, controlar y tratar las enfermedades transmisibles se establecen a través del Sistema Nacional de Salud, y el diagnóstico y tratamiento de enfermedades transmisibles se realiza de forma gratuita y pueden acceder a estas prestaciones cualquier ciudadano, incluidos los extranjeros indocumentados a los que se les facilita el acceso a todos los programas de salud pública y prevención de enfermedades, incluyendo los programas de vacunación.</w:t>
      </w:r>
    </w:p>
    <w:p w:rsidR="0033382B" w:rsidRDefault="0033382B" w:rsidP="0033382B">
      <w:pPr>
        <w:pStyle w:val="TextoNormal"/>
      </w:pPr>
    </w:p>
    <w:p w:rsidR="0033382B" w:rsidRDefault="0033382B" w:rsidP="0033382B">
      <w:pPr>
        <w:pStyle w:val="TextoNormal"/>
      </w:pPr>
      <w:r>
        <w:t>Se afirma también que la atención sanitaria de los extranjeros en situación irregular es mucho más amplia en España que en cualquiera de los países de nuestro entorno y una de las más completas de la Unión Europea.</w:t>
      </w:r>
    </w:p>
    <w:p w:rsidR="0033382B" w:rsidRDefault="0033382B" w:rsidP="0033382B">
      <w:pPr>
        <w:pStyle w:val="TextoNormal"/>
      </w:pPr>
    </w:p>
    <w:p w:rsidR="0033382B" w:rsidRDefault="0033382B" w:rsidP="0033382B">
      <w:pPr>
        <w:pStyle w:val="TextoNormal"/>
      </w:pPr>
      <w:r>
        <w:t>En otro orden de consideraciones, se sostiene que la generalización de la ampliación del ámbito subjetivo de las prestaciones sanitarias y farmacéuticas en todo el territorio nacional que están realizando muchas de las Comunidades Autónomas (Comunidad Foral de Navarra, País Vasco, Aragón, Cantabria, Cataluña e Illes Balears) en contra de lo que dispone la normativa estatal perjudica el adecuado funcionamiento del Sistema Nacional de Salud y conlleva un bloqueo de las competencias estatales.</w:t>
      </w:r>
    </w:p>
    <w:p w:rsidR="0033382B" w:rsidRDefault="0033382B" w:rsidP="0033382B">
      <w:pPr>
        <w:pStyle w:val="TextoNormal"/>
      </w:pPr>
    </w:p>
    <w:p w:rsidR="0033382B" w:rsidRDefault="0033382B" w:rsidP="0033382B">
      <w:pPr>
        <w:pStyle w:val="TextoNormal"/>
      </w:pPr>
      <w:r>
        <w:t>Por todo ello solicita que se mantenga la suspensión del Decreto-ley 3/2015, de 24 de julio, del Consell de la Generalitat Valenciana.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objeto de esta resolución consiste en determinar si, en aplicación del art. 161.2 CE, procede levantar o mantener la suspensión de la vigencia del Decreto-ley 3/2015, de 24 de julio, del Consell de la Generalitat Valenciana, por el que se regula el acceso universal a la atención sanitaria en la Comunitat Valenciana.</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la doctrina de este Tribunal, la solicitud de levantamiento de la suspensión antes de que transcurran los cinco meses previstos en el art. 161.2 CE, formulada por la Generalitat Valenciana, es viable procesalmente, pues el Tribunal tiene potestad para ratificar o levantar la suspensión dentro del plazo cinco meses a los que hace referencia el citado precepto constitucional como límite máximo inicialmente previsto para el mantenimiento de la suspensión (entre otros muchos, ATC 75/2010, de 30 de junio, FJ 2; 183/2011, de 14 de diciembre, FJ 2; 88/2013, de 23 de abril, FJ 2; 280/2013, de 3 de diciembre, y 196/2015, de 18 de noviembre, FJ 2).</w:t>
      </w:r>
    </w:p>
    <w:p w:rsidR="0033382B" w:rsidRDefault="0033382B" w:rsidP="0033382B">
      <w:pPr>
        <w:pStyle w:val="TextoNormal"/>
      </w:pPr>
    </w:p>
    <w:p w:rsidR="0033382B" w:rsidRDefault="0033382B" w:rsidP="0033382B">
      <w:pPr>
        <w:pStyle w:val="TextoNormal"/>
      </w:pPr>
      <w:r>
        <w:t>También es doctrina constitucional reiterada que la resolución de este incidente cautelar requiere ponderar, de un lado, los intereses que se encuentran concernidos, tanto el público y general como los privados, y, de otro, los perjuicios de imposible o difícil reparación que puedan derivarse del mantenimiento de la suspensión. Asimismo este Tribunal ha sostenido que el mantenimiento de la suspensión requiere que el Gobierno, a quien se debe la iniciativa, no solo invoque la existencia de aquellos perjuicios, sino que es igualmente necesario demostrar o, al menos, razonar consistentemente su procedencia y su imposible o difícil reparación, ya que debe partirse en principio de la existencia de una presunción de constitucionalidad a favor de las normas o actos objeto de conflicto (entre otros muchos, AATC, 147/2012, de 16 de julio; 157/2013, de 11 de julio, FJ 2, y 122/2015, FJ 2). Además, ha establecido que la resolución de este tipo de incidentes ha de efectuarse atendiendo a las situaciones de hecho creadas y al margen de la viabilidad de las pretensiones que se formulen en la demanda.</w:t>
      </w:r>
    </w:p>
    <w:p w:rsidR="0033382B" w:rsidRDefault="0033382B" w:rsidP="0033382B">
      <w:pPr>
        <w:pStyle w:val="TextoNormal"/>
      </w:pPr>
    </w:p>
    <w:p w:rsidR="0033382B" w:rsidRDefault="0033382B" w:rsidP="0033382B">
      <w:pPr>
        <w:pStyle w:val="TextoNormal"/>
      </w:pPr>
      <w:r>
        <w:t>Resulta, por tanto, que como ha sostenido este Tribunal (AATC 157/2013, de 11 de julio, FJ 2, y 205/2014, de 22 de julio, FJ 2, entre otros muchos) “lo que en este incidente se trata es de dilucidar si los perjuicios que han sido alegados por el Abogado del Estado, tienen la gravedad y consistencia necesarias como para prevalecer sobre la presunción de legitimidad de la Ley … y los intereses que se vinculan a su aplicación efectiva”. Por ello, como también ha afirmado reiteradamente este Tribunal, la finalidad de este incidente no es vindicar o defender la titularidad de la competencia discutida, sino alegar y acreditar los perjuicios irreparables o de difícil reparación que se producirían, en concreto, por la vigencia de los preceptos impugnados durante el tiempo que dure el proceso constitucional (ATC 75/2010, de 30 de junio, FJ 2; ATC 114/2014, de 8 de abril, FJ 2; 205/2014, de 22 de julio, FJ 2, y 185/2015, de 3 de noviembre, FJ 3).</w:t>
      </w:r>
    </w:p>
    <w:p w:rsidR="0033382B" w:rsidRDefault="0033382B" w:rsidP="0033382B">
      <w:pPr>
        <w:pStyle w:val="TextoNormal"/>
      </w:pPr>
    </w:p>
    <w:p w:rsidR="0033382B" w:rsidRDefault="0033382B" w:rsidP="0033382B">
      <w:pPr>
        <w:pStyle w:val="TextoNormal"/>
      </w:pPr>
      <w:r w:rsidRPr="0033382B">
        <w:rPr>
          <w:rStyle w:val="NumeroAFNegritaCaracter"/>
        </w:rPr>
        <w:t>3</w:t>
      </w:r>
      <w:r>
        <w:t>. Procede, por tanto, analizar si los perjuicios que ha alegado el Abogado del Estado tienen la gravedad y la consistencia necesarias como para prevalecer sobre la presunción de constitucionalidad del Decreto-ley impugnado.</w:t>
      </w:r>
    </w:p>
    <w:p w:rsidR="0033382B" w:rsidRDefault="0033382B" w:rsidP="0033382B">
      <w:pPr>
        <w:pStyle w:val="TextoNormal"/>
      </w:pPr>
    </w:p>
    <w:p w:rsidR="0033382B" w:rsidRDefault="0033382B" w:rsidP="0033382B">
      <w:pPr>
        <w:pStyle w:val="TextoNormal"/>
      </w:pPr>
      <w:r>
        <w:t>Como se ha indicado con más detalle en los antecedentes, el Abogado del Estado fundamenta su solicitud de mantenimiento de la suspensión en que la eficacia del Decreto-ley impugnado podría ocasionar graves perjuicios al interés general y particular. En concreto aduce que la ampliación de la cobertura sanitaria y de las prestaciones farmacéuticas que esta norma conlleva supondría un incremento del gasto público, lo que podría poner en peligro, por un lado, la viabilidad del Sistema Nacional de Salud y, por otro, que España cumpliera sus obligaciones con la Unión Europea. Sostiene también que la generalización de la ampliación de las prestaciones sanitarias y farmacéuticas produce un efecto acumulativo que impide el correcto funcionamiento del Sistema Nacional de Salud, bloquea de hecho las competencias estatales y es contrario a la seguridad jurídica. Junto a ello pone de manifiesto que el mantenimiento de la suspensión de la norma impugnada no produce efectos nocivos para la salud pública, pues tales perjuicios no se han producido hasta ahora ni en la Comunidad Autónoma de Valencia ni en el resto del territorio nacional.</w:t>
      </w:r>
    </w:p>
    <w:p w:rsidR="0033382B" w:rsidRDefault="0033382B" w:rsidP="0033382B">
      <w:pPr>
        <w:pStyle w:val="TextoNormal"/>
      </w:pPr>
    </w:p>
    <w:p w:rsidR="0033382B" w:rsidRDefault="0033382B" w:rsidP="0033382B">
      <w:pPr>
        <w:pStyle w:val="TextoNormal"/>
      </w:pPr>
      <w:r>
        <w:t>La Generalitat Valenciana y las Cortes Valencianas, por el contrario, consideran que el levantamiento de la suspensión no causa perjuicios ni al interés general ni a los intereses de tercero. Invocan la doctrina establecida en los AATC 239/2012, de 12 de diciembre, y 114/2014, de 8 de abril, en los que, en supuestos similares al ahora enjuiciado (en ambos casos la norma impugnada tenía como objeto regular el acceso a prestaciones sanitarias, a personas excluidas del ámbito de aplicación de la asistencia sanitaria con cargo a fondos públicos a través del Sistema Nacional de Salud por no tener la condición de asegurados ni de beneficiarios del mismo) se acordó el levantamiento de la suspensión al apreciar, entre otras cosas, que el eventual ahorro económico que pudiera conllevar el mantenimiento de la norma impugnada —ahorro que ni siquiera había sido concretado— no podía prevalecer sobre el derecho a la salud.</w:t>
      </w:r>
    </w:p>
    <w:p w:rsidR="0033382B" w:rsidRDefault="0033382B" w:rsidP="0033382B">
      <w:pPr>
        <w:pStyle w:val="TextoNormal"/>
      </w:pPr>
    </w:p>
    <w:p w:rsidR="0033382B" w:rsidRDefault="0033382B" w:rsidP="0033382B">
      <w:pPr>
        <w:pStyle w:val="TextoNormal"/>
      </w:pPr>
      <w:r w:rsidRPr="0033382B">
        <w:rPr>
          <w:rStyle w:val="NumeroAFNegritaCaracter"/>
        </w:rPr>
        <w:t>4</w:t>
      </w:r>
      <w:r>
        <w:t>. Como ponen de manifiesto la representación procesal de la Generalitat Valenciana y de las Cortes Valencianas, el Tribunal, en los AATC 239/2012, de 12 de diciembre, y 114/2014, de 8 de abril, resolvió sendos incidentes de suspensión en los que la norma objeto de los mismos establecía una regulación muy similar a la que ha sido impugnada en este proceso constitucional. En el ATC 239/2012, de 12 de diciembre, se examinó si procedía o no levantar la suspensión de los preceptos impugnados del Decreto 114/2012, de 26 de junio, sobre régimen de las prestaciones sanitarias del Sistema Nacional de Salud en el ámbito de la Comunidad Autónoma de Euskadi, objeto del conflicto de competencias núm. 4540-2012 promovido por el Gobierno de la Nación —que se halla pendiente de resolución—, y en el ATC 114/2014, de 8 de abril, se resolvió el incidente de suspensión que tenía por objeto la Ley Foral 8/2013, por la que se reconoce a las personas residentes en Navarra el derecho de acceso a la asistencia sanitaria gratuita del sistema público sanitario de Navarra, impugnada por el Presidente del Gobierno (recurso de inconstitucionalidad núm. 7089-2013). Este recurso también se encuentra pendiente de resolución. En ambos casos, las normas impugnadas en los citados procesos constitucionales amplían el ámbito subjetivo del derecho a acceder a la asistencia sanitaria pública y gratuita con respecto a lo establecido en la normativa estatal. Este es también el objeto del Decreto-ley impugnado en el presente proceso constitucional, pues, como dispone el artículo 1.1 de esta norma, “tiene por objeto establecer, en el ámbito del sistema sanitario público valenciano, los requisitos que garanticen el acceso a las prestaciones sanitarias, en igualdad de condiciones de acceso y calidad que el resto de la población asegurada, a aquellas personas extranjeras no registradas ni autorizadas como residentes en España y con residencia efectiva en la Comunitat Valenciana, que no tengan la condición de aseguradas ni de beneficiarias del Sistema Nacional de Salud, previsto en el art. 3.5 de la Ley 16/2003, de 28 de mayo, de cohesión y calidad del Sistema Nacional de Salud, y que no puedan exportar el derecho a cobertura sanitaria en el Sistema Nacional de Salud (SNS) desde sus países de origen, ni exista un tercero obligado a pago”.</w:t>
      </w:r>
    </w:p>
    <w:p w:rsidR="0033382B" w:rsidRDefault="0033382B" w:rsidP="0033382B">
      <w:pPr>
        <w:pStyle w:val="TextoNormal"/>
      </w:pPr>
    </w:p>
    <w:p w:rsidR="0033382B" w:rsidRDefault="0033382B" w:rsidP="0033382B">
      <w:pPr>
        <w:pStyle w:val="TextoNormal"/>
      </w:pPr>
      <w:r>
        <w:t>En consecuencia, dada la similitud existente entre el presente incidente de suspensión y los resueltos por los citados AATC 239/2012, de 12 de diciembre, y 114/2014, de 8 de abril, para analizar si procede o no el levantamiento de la suspensión ha de partirse de la ponderación de intereses que efectuaron estas resoluciones, sin perjuicio de que se tomen también en consideración los nuevos motivos que hayan alegados las partes.</w:t>
      </w:r>
    </w:p>
    <w:p w:rsidR="0033382B" w:rsidRDefault="0033382B" w:rsidP="0033382B">
      <w:pPr>
        <w:pStyle w:val="TextoNormal"/>
      </w:pPr>
    </w:p>
    <w:p w:rsidR="0033382B" w:rsidRDefault="0033382B" w:rsidP="0033382B">
      <w:pPr>
        <w:pStyle w:val="TextoNormal"/>
      </w:pPr>
      <w:r w:rsidRPr="0033382B">
        <w:rPr>
          <w:rStyle w:val="NumeroAFNegritaCaracter"/>
        </w:rPr>
        <w:t>5</w:t>
      </w:r>
      <w:r>
        <w:t>. Ninguno de los perjuicios alegados por el Abogado del Estado puede fundamentar el mantenimiento de la suspensión de la norma impugnada en este proceso constitucional. No cabe apreciar que el incremento de gasto que pueda conllevar las prestaciones que reconoce la norma impugnada y la incidencia que pueda tener en la sostenibilidad del Sistema Nacional de Salud o en las medidas de contención de déficit público justifiquen en este supuesto el mantenimiento de la suspensión. El Abogado del Estado se limita a alegar la posibilidad de que tal situación se produzca, pero no explica las razones en las que fundamenta esta conclusión. La genérica invocación de la situación de crisis económica no basta para fundamentar tales perjuicios, pues para ello habría que aportar datos concretos que pusieran de manifiesto la incidencia que tiene en la sostenibilidad del Sistema Nacional de Salud o en las medidas de contención de gasto; datos que el Abogado del Estado no aporta. En este caso, además, al ponderar los distintos intereses en conflicto ha de tomarse en consideración, que como se sostuvo en los AATC 239/2012, de 12 de diciembre, FJ 5, y 114/2014, de 8 de abril, FJ 8, “el derecho a la salud y el derecho a la integridad física de las personas afectadas por las medidas impugnadas, así como la conveniencia de evitar riesgos para la salud del conjunto de la sociedad, poseen una importancia singular en el marco constitucional, que no puede verse desvirtuada por la mera consideración de un eventual ahorro económico que no ha podido ser concretado”.</w:t>
      </w:r>
    </w:p>
    <w:p w:rsidR="0033382B" w:rsidRDefault="0033382B" w:rsidP="0033382B">
      <w:pPr>
        <w:pStyle w:val="TextoNormal"/>
      </w:pPr>
    </w:p>
    <w:p w:rsidR="0033382B" w:rsidRDefault="0033382B" w:rsidP="0033382B">
      <w:pPr>
        <w:pStyle w:val="TextoNormal"/>
      </w:pPr>
      <w:r>
        <w:t>A la misma conclusión ha de llegarse respecto de las prestaciones farmacéuticas que garantiza esta norma. Debe indicarse, en primer lugar, que tampoco en relación con este tipo de prestaciones el Abogado del Estado ha concretado el grave perjuicio económico que su reconocimiento podría ocasionar al interés general, pues ni siquiera ha argumentado sobre la incidencia efectiva que puede tener en las medidas de contención del déficit público el incremento del gasto farmacéutico que conllevaría la eficacia de este Decreto-ley.</w:t>
      </w:r>
    </w:p>
    <w:p w:rsidR="0033382B" w:rsidRDefault="0033382B" w:rsidP="0033382B">
      <w:pPr>
        <w:pStyle w:val="TextoNormal"/>
      </w:pPr>
    </w:p>
    <w:p w:rsidR="0033382B" w:rsidRDefault="0033382B" w:rsidP="0033382B">
      <w:pPr>
        <w:pStyle w:val="TextoNormal"/>
      </w:pPr>
      <w:r>
        <w:t>Por otra parte, debe tenerse en cuenta que, aunque este Tribunal ha sostenido que el establecimiento autonómico de “un régimen de financiación pública de las prestaciones farmacológicas distinto del que rige en el resto del territorio nacional podría ‘poner en peligro el conjunto de la política estatal de contención del gasto público, por cuanto se vería afectado un componente esencial del mismo como es el relativo al gasto farmacéutico’” (ATC 239/2012, de 12 de diciembre, FJ 6, que cita, a su vez, el ATC 270/1997, de 15 de julio FJ 3), esta doctrina solo ha determinado el mantenimiento de la suspensión de las normas que reconocen este tipo de prestaciones en los supuestos en los que las prestaciones farmacológicas reconocidas tienen como finalidad complementar o ampliar las prestaciones que otorga el Sistema Nacional de Salud a sus asegurados o beneficiarios.</w:t>
      </w:r>
    </w:p>
    <w:p w:rsidR="0033382B" w:rsidRDefault="0033382B" w:rsidP="0033382B">
      <w:pPr>
        <w:pStyle w:val="TextoNormal"/>
      </w:pPr>
    </w:p>
    <w:p w:rsidR="0033382B" w:rsidRDefault="0033382B" w:rsidP="0033382B">
      <w:pPr>
        <w:pStyle w:val="TextoNormal"/>
      </w:pPr>
      <w:r>
        <w:t>Por el contrario, en aquellos casos en los que este tipo de prestaciones tiene como destinatarios a quienes se encuentran excluidos del Sistema Nacional Salud y, en consecuencia, las prestaciones reconocidas no constituyen ampliación ni complemento de ninguna otra prestación farmacéutica de carácter público, este Tribunal ha acordado el levantamiento de la suspensión (ATC 239/2012, de 12 de diciembre, FJ 6). En este Auto se consideró que, como la “protección del derecho a la salud se instrumentaliza, entre otros servicios, a través de la ‘prestación farmacéutica’ (configurada tanto por los ‘medicamentos’ como por los ‘productos sanitarios’ necesarios para conservar o restablecer la salud de acuerdo con las concretas necesidades clínicas de los usuarios) (STC 98/2004, de 25 de mayo, FJ 5)” la ponderación de intereses en juego determina que, como sucede con la asistencia sanitaria, haya de considerarse prevalente el derecho a la salud y a la integridad física de las personas afectadas y el interés en evitar riesgos para la salud del conjunto de la sociedad, al eventual ahorro económico que podría suponer el mantenimiento de la suspensión de la eficacia de la norma que garantiza las prestaciones farmacológicas.</w:t>
      </w:r>
    </w:p>
    <w:p w:rsidR="0033382B" w:rsidRDefault="0033382B" w:rsidP="0033382B">
      <w:pPr>
        <w:pStyle w:val="TextoNormal"/>
      </w:pPr>
    </w:p>
    <w:p w:rsidR="0033382B" w:rsidRDefault="0033382B" w:rsidP="0033382B">
      <w:pPr>
        <w:pStyle w:val="TextoNormal"/>
      </w:pPr>
      <w:r>
        <w:t xml:space="preserve">Resulta, por tanto, que en el presente supuesto no resulta aplicable la doctrina que invoca el Abogado del Estado establecida, entre otros, por el ATC 88/2013, que se refiere a supuestos en los que las normas impugnadas complementan la cobertura farmacológica prestada por el Sistema Nacional de Salud, sino la establecida en el ATC 239/2012, de 12 de diciembre, FJ 6 </w:t>
      </w:r>
      <w:r w:rsidRPr="0033382B">
        <w:rPr>
          <w:i/>
        </w:rPr>
        <w:t>in fine</w:t>
      </w:r>
      <w:r>
        <w:t xml:space="preserve">, en relación con la prestación farmacéutica reconocida a quienes no tienen acceso a ningún otro sistema de protección sanitaria pública. Por ello, como se ha adelantado, también en relación con las prestaciones farmacéuticas que reconoce el Decreto-ley impugnado ha de levantarse la suspensión de la eficacia de la norma impugnada. No obstante, al igual que sostuvimos en el ATC 239/2012, de 12 de diciembre, FJ 6 </w:t>
      </w:r>
      <w:r w:rsidRPr="0033382B">
        <w:rPr>
          <w:i/>
        </w:rPr>
        <w:t>in fine</w:t>
      </w:r>
      <w:r>
        <w:t xml:space="preserve">, en un supuesto análogo, los nuevos beneficiarios de las prestaciones sanitarias del Sistema Nacional de Salud en la Comunidad valenciana </w:t>
      </w:r>
      <w:r w:rsidRPr="0033382B">
        <w:rPr>
          <w:i/>
        </w:rPr>
        <w:t>ex</w:t>
      </w:r>
      <w:r>
        <w:t xml:space="preserve"> arts. 1.1 y 6 del Decreto-ley 3/2015 lo serán también de la cobertura farmacéutica, en los mismos términos en que, mientras continúe suspendida la vigencia del art. 4.1 del Decreto-ley, se reconoce a los asegurados o beneficiarios del Sistema Nacional de Salud.</w:t>
      </w:r>
    </w:p>
    <w:p w:rsidR="0033382B" w:rsidRDefault="0033382B" w:rsidP="0033382B">
      <w:pPr>
        <w:pStyle w:val="TextoNormal"/>
      </w:pPr>
    </w:p>
    <w:p w:rsidR="0033382B" w:rsidRDefault="0033382B" w:rsidP="0033382B">
      <w:pPr>
        <w:pStyle w:val="TextoNormal"/>
      </w:pPr>
      <w:r w:rsidRPr="0033382B">
        <w:rPr>
          <w:rStyle w:val="NumeroAFNegritaCaracter"/>
        </w:rPr>
        <w:t>6</w:t>
      </w:r>
      <w:r>
        <w:t>. La conclusión alcanzada en el fundamento jurídico anterior no puede quedar enervada por las alegaciones del Abogado del Estado por las que se aduce que el levantamiento de la suspensión puede poner en riesgo la situación de España ante la Unión Europea ni la que sostiene que produce efectos discriminatorios. Ninguna de estas alegaciones se encuentra debidamente fundamentada. La circunstancia de que el Estado Español tuviera que abonar los gastos de la asistencia sanitaria de las personas a quienes la norma valenciana reconoce estas prestaciones durante su estancia temporal en otro Estado de la Unión Europea no afecta a la posición de España ante la Unión Europea, ni, cabe entender tampoco que el perjuicio económico que tales gastos pudieran ocasionar pueda conllevar ese riesgo, pues ni siquiera se exponen los perjuicios graves para el interés general que ese pago pudiera suponer.</w:t>
      </w:r>
    </w:p>
    <w:p w:rsidR="0033382B" w:rsidRDefault="0033382B" w:rsidP="0033382B">
      <w:pPr>
        <w:pStyle w:val="TextoNormal"/>
      </w:pPr>
    </w:p>
    <w:p w:rsidR="0033382B" w:rsidRDefault="0033382B" w:rsidP="0033382B">
      <w:pPr>
        <w:pStyle w:val="TextoNormal"/>
      </w:pPr>
      <w:r>
        <w:t>De igual modo, no cabe justificar el mantenimiento de la suspensión de la norma impugnada en que, como sostiene, el Abogado del Estado, la Comunidad Autónoma de Valencia se convertiría, de no mantenerse la suspensión, “en la posible puerta de entrada de todos los extranjeros, incumpliendo la normativa nacional o de la Unión Europea”, pues, además de no aportar datos concretos que puedan fundamentar tal conclusión, los perjuicios invocados son hipotéticos y, de acuerdo con la doctrina de este Tribunal, “la suspensión solamente procede en presencia de perjuicios ciertos y efectivos, en ausencia de los cuales ha de atenderse a la presunción de validez propia de las Leyes” (ATC 156/2008, de 12 de junio, FJ 3).</w:t>
      </w:r>
    </w:p>
    <w:p w:rsidR="0033382B" w:rsidRDefault="0033382B" w:rsidP="0033382B">
      <w:pPr>
        <w:pStyle w:val="TextoNormal"/>
      </w:pPr>
    </w:p>
    <w:p w:rsidR="0033382B" w:rsidRDefault="0033382B" w:rsidP="0033382B">
      <w:pPr>
        <w:pStyle w:val="TextoNormal"/>
      </w:pPr>
      <w:r>
        <w:t>A la misma conclusión ha de llegarse respecto a la alegación de una posible discriminación. Según se alega, la norma autonómica favorecería a los residentes en la Comunitat Valenciana y, en relación con los que no residen en esa Comunidad Autónoma, se produciría un trato distinto que les ocasionaría un perjuicio que sería irreparable, pues, según se afirma, se agotaría en el desembolso extraordinario de cada beneficiario. Sin embargo, tal perjuicio ni siquiera existe. Ningún perjuicio puede ocasionar a los extranjeros no registrados ni autorizados como residentes en España y que no tengan residencia efectiva en la Comunitat Valenciana que a los que sí tienen su residencia en esta Comunidad Autónoma puedan acceder al sistema sanitario público valenciano.</w:t>
      </w:r>
    </w:p>
    <w:p w:rsidR="0033382B" w:rsidRDefault="0033382B" w:rsidP="0033382B">
      <w:pPr>
        <w:pStyle w:val="TextoNormal"/>
      </w:pPr>
    </w:p>
    <w:p w:rsidR="0033382B" w:rsidRDefault="0033382B" w:rsidP="0033382B">
      <w:pPr>
        <w:pStyle w:val="TextoNormal"/>
      </w:pPr>
      <w:r w:rsidRPr="0033382B">
        <w:rPr>
          <w:rStyle w:val="NumeroAFNegritaCaracter"/>
        </w:rPr>
        <w:t>7</w:t>
      </w:r>
      <w:r>
        <w:t>. Por último, no puede apreciarse que en este caso nos encontremos ante un supuesto en el que, al haber ampliado muchas Comunidades Autónomas el ámbito subjetivo de las prestaciones sanitarias y farmacéuticas, se esté produciendo un bloqueo de las competencias estatales. Para que pueda acordarse el mantenimiento de la suspensión en virtud de este argumento es preciso, como han señalado, entre otros , los AATC 153/2014, de 27 de mayo, FJ 1, y 265/2014, de 4 de noviembre, FJ 4, que la controversia suscitada en el recurso que origina el incidente cautelar exceda de las situaciones normales de controversia competencial. La apreciación de esta situación de anormalidad no tiene que ver con la viabilidad de las pretensiones de la demanda o con su apariencia de buen derecho, sino que solo puede producirse “bien porque la competencia estatal afectada está palmariamente reconocida por el bloque de la constitucionalidad y no es discutida por las partes (ATC 336/2005, de 15 de septiembre, FJ 5); bien porque la norma autonómica impugnada reconoce expresamente que se ha dictado con la única finalidad de dejar en suspenso el ejercicio de una competencia estatal cuya legitimidad ésta discute (ATC 146/2013, de 5 de junio, FJ 4), bien, finalmente, porque concurren a la vez ambos requisitos: una competencia incontrovertida del Estado y una norma autonómica que se dicta con el propósito confesado de evitar que sea menoscabada por el ejercicio por el Estado de sus propias competencias (ATC 104/2010, de 28 de julio, FJ 5)”.</w:t>
      </w:r>
    </w:p>
    <w:p w:rsidR="0033382B" w:rsidRDefault="0033382B" w:rsidP="0033382B">
      <w:pPr>
        <w:pStyle w:val="TextoNormal"/>
      </w:pPr>
    </w:p>
    <w:p w:rsidR="0033382B" w:rsidRDefault="0033382B" w:rsidP="0033382B">
      <w:pPr>
        <w:pStyle w:val="TextoNormal"/>
      </w:pPr>
      <w:r>
        <w:t>Ninguna de estas circunstancias concurre en este caso, pues tanto la Generalitat Valenciana como las Cortes Valencianas se consideran competentes para adoptar la regulación impugnada y, además, la norma autonómica no se dicta con la finalidad de dejar en suspenso el ejercicio de una competencia estatal cuya legitimidad se discute.</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 xml:space="preserve">Levantar la suspensión del Decreto-ley 3/2015, de 24 de julio, del Consell de la Generalitat Valenciana, por el que se regula el acceso universal a la atención sanitaria en la Comunitat Valenciana, en su integridad, salvo lo dispuesto en relación con las prestaciones farmacéuticas en el art. 4.1, que se levantará en los términos expuestos en el fundamento jurídico 5 </w:t>
      </w:r>
      <w:r w:rsidRPr="0033382B">
        <w:rPr>
          <w:i/>
        </w:rPr>
        <w:t>in fine</w:t>
      </w:r>
      <w:r>
        <w:t>.</w:t>
      </w:r>
    </w:p>
    <w:p w:rsidR="0033382B" w:rsidRDefault="0033382B" w:rsidP="0033382B">
      <w:pPr>
        <w:pStyle w:val="TextoNormal"/>
      </w:pPr>
    </w:p>
    <w:p w:rsidR="0033382B" w:rsidRDefault="0033382B" w:rsidP="0033382B">
      <w:pPr>
        <w:pStyle w:val="TextoNormal"/>
      </w:pPr>
      <w:r>
        <w:t>Madrid, a uno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82" w:name="AUTO_2016_55"/>
      <w:r>
        <w:t>AUTO 55/2016, de 1 de marzo de 2016</w:t>
      </w:r>
    </w:p>
    <w:bookmarkEnd w:id="182"/>
    <w:p w:rsidR="0033382B" w:rsidRDefault="0033382B" w:rsidP="0033382B">
      <w:pPr>
        <w:pStyle w:val="TtuloResolucin"/>
      </w:pPr>
      <w:r>
        <w:t>Pleno</w:t>
      </w:r>
    </w:p>
    <w:p w:rsidR="0033382B" w:rsidRDefault="0033382B" w:rsidP="0033382B">
      <w:pPr>
        <w:pStyle w:val="TextoNormalCentrado"/>
      </w:pPr>
      <w:r>
        <w:t>ECLI:ES:TC:2016:55A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6600-2015, planteada por el Tribunal Superior de Justicia de las Illes Balears en relación con la disposición adicional decimoquinta de la Ley 15/2012, de 27 de diciembre, de presupuestos generales de la Comunidad Autónoma de las Illes Balears para 2013.</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día 24 de noviembre de 2015 tuvo entrada en el Registro General de este Tribunal un escrito de la Sala de lo Social del Tribunal Superior de Justicia de las Illes Balears al que se acompaña, junto al testimonio del correspondiente procedimiento, el Auto de 28 de septiembre de 2015 por el que se plantea cuestión de inconstitucionalidad en relación con la disposición adicional decimoquinta de la Ley 15/2012, de 27 de diciembre, de presupuestos generales de la Comunidad Autónoma de las Illes Balears para 2013, por vulneración de los arts. 37.1 y 149.1.7 CE, así como por incurrir en “inconstitucionalidad mediata o indirecta en relación a la legislación laboral básica contenida en los arts. 22.1, 26.3, 41 y 82 del Estatuto de los Trabajadores”.</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hechos relevantes para el examen de la cuestión son los siguientes:</w:t>
      </w:r>
    </w:p>
    <w:p w:rsidR="0033382B" w:rsidRDefault="0033382B" w:rsidP="0033382B">
      <w:pPr>
        <w:pStyle w:val="TextoNormal"/>
      </w:pPr>
    </w:p>
    <w:p w:rsidR="0033382B" w:rsidRDefault="0033382B" w:rsidP="0033382B">
      <w:pPr>
        <w:pStyle w:val="TextoNormal"/>
      </w:pPr>
      <w:r>
        <w:t>a) La Federación de servicios públicos del sindicato UGT formuló ante la Sala de lo Social del Tribunal Superior de Justicia de las Illes Balears demanda de conflicto colectivo contra la entidad pública empresarial (de la Comunidad Autónoma de las Illes Balears) “Serveis de Millora Agraria i Pesquera EPE”), contra el comité de empresa de dicha entidad y contra el sindicato Comisiones Obreras (CCOO), que dio lugar a los autos núm. 4-2015.</w:t>
      </w:r>
    </w:p>
    <w:p w:rsidR="0033382B" w:rsidRDefault="0033382B" w:rsidP="0033382B">
      <w:pPr>
        <w:pStyle w:val="TextoNormal"/>
      </w:pPr>
    </w:p>
    <w:p w:rsidR="0033382B" w:rsidRDefault="0033382B" w:rsidP="0033382B">
      <w:pPr>
        <w:pStyle w:val="TextoNormal"/>
      </w:pPr>
      <w:r>
        <w:t>b) Concluso el procedimiento y dentro del plazo para dictar sentencia, la Sala dictó providencia el 13 de mayo de 2015 acordando oír a las partes y al Ministerio Fiscal por plazo de diez días para que formulen alegaciones sobre la pertinencia de plantear cuestión de inconstitucionalidad sobre la disposición adicional decimoquinta de la Ley 15/2012, de 27 de diciembre, de presupuestos generales de la Comunidad Autónoma de las Illes Balears para 2013, por posible vulneración de los arts. 37.1 y 149.1.7 CE. El Abogado de la Comunidad Autónoma de las Illes Balears, actuando en representación y defensa de la entidad pública empresarial “Serveis de Millora Agraria i Pesquera EPE”, se opuso al planteamiento de la cuestión, por entender que no se cumple el juicio de relevancia, toda vez que en litigios anteriores la Sala había aplicado ya el precepto que ahora pretende cuestionar y porque considera que ese precepto no invade la competencia exclusiva estatal en materia de legislación laboral (art. 149.1.7 CE) ni afecta a la fuerza vinculante de los convenios colectivos (art. 37.1 CE). La representación procesal del sindicato UGT expresó su preferencia por la resolución del asunto sin plantear cuestión de inconstitucionalidad. El sindicato CCOO, el comité de empresa y el Ministerio Fiscal no formularon alegaciones.</w:t>
      </w:r>
    </w:p>
    <w:p w:rsidR="0033382B" w:rsidRDefault="0033382B" w:rsidP="0033382B">
      <w:pPr>
        <w:pStyle w:val="TextoNormal"/>
      </w:pPr>
    </w:p>
    <w:p w:rsidR="0033382B" w:rsidRDefault="0033382B" w:rsidP="0033382B">
      <w:pPr>
        <w:pStyle w:val="TextoNormal"/>
      </w:pPr>
      <w:r>
        <w:t>c) Por providencia de 14 de julio de 2015 la Sala acordó oír nuevamente a las partes y al Ministerio Fiscal por plazo de diez días para que formulasen alegaciones sobre la pertinencia de plantear cuestión de inconstitucionalidad sobre la disposición adicional decimoquinta de la Ley 15/2012, de 27 de diciembre, de presupuestos generales de la Comunidad Autónoma de las Illes Balears para 2013. El sindicato CCOO manifestó en esta ocasión su parecer favorable al planteamiento de la cuestión, mientras que el Abogado de la Comunidad Autónoma de las Illes Balears, en representación y defensa de la entidad pública empresarial “Serveis de Millora Agraria i Pesquera EPE”, se opuso de nuevo al planteamiento de la cuestión, remitiéndose a lo expuesto en el escrito evacuado en contestación a la primera providencia. El sindicato UGT no formuló en esta ocasión alegaciones; el comité de empresa y el Ministerio Fiscal tampoco.</w:t>
      </w:r>
    </w:p>
    <w:p w:rsidR="0033382B" w:rsidRDefault="0033382B" w:rsidP="0033382B">
      <w:pPr>
        <w:pStyle w:val="TextoNormal"/>
      </w:pPr>
    </w:p>
    <w:p w:rsidR="0033382B" w:rsidRDefault="0033382B" w:rsidP="0033382B">
      <w:pPr>
        <w:pStyle w:val="TextoNormal"/>
      </w:pPr>
      <w:r>
        <w:t>d) Por Auto de 28 de septiembre de 2015 la Sala acordó promover cuestión de inconstitucionalidad en relación con la disposición adicional decimoquinta de la Ley 15/2012, de 27 de diciembre, de presupuestos generales de la Comunidad Autónoma de las Illes Balears para 2013, por vulneración de los arts. 37.1 y 149.1.7 CE, así como por incurrir en “inconstitucionalidad mediata o indirecta en relación a la legislación laboral básica contenida en los arts. 22.1, 26.3, 41 y 82 del Estatuto de los Trabajadores”.</w:t>
      </w:r>
    </w:p>
    <w:p w:rsidR="0033382B" w:rsidRDefault="0033382B" w:rsidP="0033382B">
      <w:pPr>
        <w:pStyle w:val="TextoNormal"/>
      </w:pPr>
    </w:p>
    <w:p w:rsidR="0033382B" w:rsidRDefault="0033382B" w:rsidP="0033382B">
      <w:pPr>
        <w:pStyle w:val="TextoNormal"/>
      </w:pPr>
      <w:r w:rsidRPr="0033382B">
        <w:rPr>
          <w:rStyle w:val="NumeroAFNegritaCaracter"/>
        </w:rPr>
        <w:t>3</w:t>
      </w:r>
      <w:r>
        <w:t>. Del contenido del Auto de planteamiento interesa destacar lo siguiente.</w:t>
      </w:r>
    </w:p>
    <w:p w:rsidR="0033382B" w:rsidRDefault="0033382B" w:rsidP="0033382B">
      <w:pPr>
        <w:pStyle w:val="TextoNormal"/>
      </w:pPr>
    </w:p>
    <w:p w:rsidR="0033382B" w:rsidRDefault="0033382B" w:rsidP="0033382B">
      <w:pPr>
        <w:pStyle w:val="TextoNormal"/>
      </w:pPr>
      <w:r>
        <w:t xml:space="preserve">La Sala dedica su primer razonamiento jurídico al juicio de aplicabilidad y de relevancia de la disposición adicional decimoquinta, de la Ley 15/2012, de 27 de diciembre, de presupuestos generales de la Comunidad Autónoma de las Illes Balears para 2013. Tras detallar las pretensiones del sindicato demandante en el proceso </w:t>
      </w:r>
      <w:r w:rsidRPr="0033382B">
        <w:rPr>
          <w:i/>
        </w:rPr>
        <w:t>a quo</w:t>
      </w:r>
      <w:r>
        <w:t xml:space="preserve"> y reproducir el precepto cuestionado, señala la Sala que el hecho de que en anteriores litigios hubiera aplicado la referida disposición no impide que en este caso pueda plantear una cuestión de inconstitucionalidad sobre la misma.</w:t>
      </w:r>
    </w:p>
    <w:p w:rsidR="0033382B" w:rsidRDefault="0033382B" w:rsidP="0033382B">
      <w:pPr>
        <w:pStyle w:val="TextoNormal"/>
      </w:pPr>
    </w:p>
    <w:p w:rsidR="0033382B" w:rsidRDefault="0033382B" w:rsidP="0033382B">
      <w:pPr>
        <w:pStyle w:val="TextoNormal"/>
      </w:pPr>
      <w:r>
        <w:t xml:space="preserve">Razona asimismo que la citada disposición resulta indudablemente aplicable al caso. La estructura salarial del personal de la entidad pública demandada venía siendo la establecida en el convenio colectivo aplicable (y, en su caso, el pacto individual) hasta que, en aplicación de lo previsto en la disposición adicional decimoquinta de la Ley 15/2012, de presupuestos generales de la Comunidad Autónoma de las Illes Balears para 2013, dicha entidad pública implantó el nuevo régimen retributivo y la nueva clasificación profesional del personal laboral al servicio de los entes del sector público instrumental de la Comunidad Autónoma de las Illes Balears regulados en dicha norma, con inclusión del complemento personal y transitorio previsto en el apartado 3.2 de la misma. La pretensión principal del sindicato demandante en el proceso </w:t>
      </w:r>
      <w:r w:rsidRPr="0033382B">
        <w:rPr>
          <w:i/>
        </w:rPr>
        <w:t>a quo</w:t>
      </w:r>
      <w:r>
        <w:t xml:space="preserve"> consiste en solicitar que se excluya del complemento personal y transitorio el importe de la antigüedad que venía percibiendo cada trabajador hasta la aplicación del nuevo régimen retributivo (a partir de enero de 2014); pretensión que resulta incompatible con lo establecido en diversos apartados de la disposición cuestionada.</w:t>
      </w:r>
    </w:p>
    <w:p w:rsidR="0033382B" w:rsidRDefault="0033382B" w:rsidP="0033382B">
      <w:pPr>
        <w:pStyle w:val="TextoNormal"/>
      </w:pPr>
    </w:p>
    <w:p w:rsidR="0033382B" w:rsidRDefault="0033382B" w:rsidP="0033382B">
      <w:pPr>
        <w:pStyle w:val="TextoNormal"/>
      </w:pPr>
      <w:r>
        <w:t>Así, en concreto, resulta contraria a lo establecido en el apartado 3.1 de la disposición cuestionada, en cuanto determina que las retribuciones establecidas en esta Ley y las complementarias tienen que absorber la totalidad de las remuneraciones que viniera percibiendo cada trabajador en virtud de su régimen retributivo anterior “por cualquier concepto”; también es incompatible con lo previsto en el apartado 3.3, que textualmente señala que “el personal al servicio del sector público instrumental no puede ser retribuido por ninguno otro concepto que no esté previsto en esta disposición. Será nulo de pleno derecho cualquier convenio colectivo, acuerdo o pacto que se oponga a ello”. La pretensión subsidiaria —que se excluya del complemento personal y transitorio el importe de la antigüedad que venía percibiendo cada trabajador hasta la aplicación del nuevo régimen retributivo, a efectos de los mecanismos de absorción y/o eliminación— resulta incompatible con el apartado 3.2 d) de la disposición cuestionada, donde se establece que el complemento personal y transitorio que se reconozca “quedará absorbido por cualquier mejora retributiva que se pueda producir, incluidas las mejoras derivadas del cambio de puesto de trabajo”. Tanto la pretensión principal como la subsidiaria serían incompatibles con lo previsto en el apartado 3.3 (“el personal al servicio del sector público instrumental no puede ser retribuido por ninguno otro concepto que no esté previsto en esta disposición. Será nulo de pleno derecho cualquier convenio colectivo, acuerdo o pacto que se oponga a ello”) y en el apartado 5 (“una vez transcurrido el plazo de siete meses … sin que se hayan adoptado los acuerdos pertinentes para aplicar la nueva estructura profesional y el nuevo régimen retributivo, quedarán suspendidos los convenios colectivos, acuerdos y pactos ya firmados en el ámbito de las entidades que integran el sector público instrumental de la Comunidad Autónoma, en la medida estrictamente necesaria para la aplicación de lo que se establece en esta disposición”).</w:t>
      </w:r>
    </w:p>
    <w:p w:rsidR="0033382B" w:rsidRDefault="0033382B" w:rsidP="0033382B">
      <w:pPr>
        <w:pStyle w:val="TextoNormal"/>
      </w:pPr>
    </w:p>
    <w:p w:rsidR="0033382B" w:rsidRDefault="0033382B" w:rsidP="0033382B">
      <w:pPr>
        <w:pStyle w:val="TextoNormal"/>
      </w:pPr>
      <w:r>
        <w:t>Seguidamente razona la Sala que la disposición cuestionada podría incurrir en vulneración del art. 149.1.7 CE, por invadir la competencia exclusiva del Estado en materia de legislación laboral. A su juicio, el precepto cuestionado no es una norma de organización del personal laboral de la Comunidad Autónoma, ni tampoco una norma presupuestaria de contención de gastos de personal, sino una norma típicamente laboral; regula la estructura salarial y la clasificación profesional del personal laboral al servicio de los entes del sector público instrumental de la Comunidad Autónoma de las Illes Balears; modifica las condiciones de trabajo existentes, establece normas en materia de compensación y absorción de retribuciones; declara la nulidad absoluta de todo convenio colectivo o pacto que se oponga a lo establecido en ella y establece la suspensión de convenios colectivos, transcurridos siete meses, en todo cuanto se oponga a la aplicación de esta norma. En consecuencia, el legislador autonómico habría invadido la competencia estatal exclusiva en materia de legislación laboral, pues las Comunidades Autónomas carecen de capacidad normativa para regular la relación laboral del personal a su servicio.</w:t>
      </w:r>
    </w:p>
    <w:p w:rsidR="0033382B" w:rsidRDefault="0033382B" w:rsidP="0033382B">
      <w:pPr>
        <w:pStyle w:val="TextoNormal"/>
      </w:pPr>
    </w:p>
    <w:p w:rsidR="0033382B" w:rsidRDefault="0033382B" w:rsidP="0033382B">
      <w:pPr>
        <w:pStyle w:val="TextoNormal"/>
      </w:pPr>
      <w:r>
        <w:t>En segundo lugar considera la Sala que la disposición cuestionada podría incurrir en vulneración del art. 37.1 CE, que garantiza la fuerza vinculante de los convenios colectivos. Entiende que si la norma cuestionada la hubiera dictado el legislador estatal nada cabría reprocharle entonces en este sentido, dado el sometimiento del convenio colectivo a las leyes (SSTC 119/2014 y 8/2015, AATC 85/2011 y 104/2011), que han de entenderse como leyes estatales, en virtud del art. 149.1.7 CE. El legislador autonómico carece de competencia para emanar legislación laboral, por lo no puede declarar ni la nulidad de pleno derecho ni la suspensión de convenios colectivos que se opongan a la disposición que se cuestiona.</w:t>
      </w:r>
    </w:p>
    <w:p w:rsidR="0033382B" w:rsidRDefault="0033382B" w:rsidP="0033382B">
      <w:pPr>
        <w:pStyle w:val="TextoNormal"/>
      </w:pPr>
    </w:p>
    <w:p w:rsidR="0033382B" w:rsidRDefault="0033382B" w:rsidP="0033382B">
      <w:pPr>
        <w:pStyle w:val="TextoNormal"/>
      </w:pPr>
      <w:r>
        <w:t>Por último considera la Sala que la disposición cuestionada podría incurrir en inconstitucionalidad mediata o indirecta por contradicción con “la legislación laboral básica contenida en los arts. 22.1, 26.3, 41 y 82 del estatuto de los trabajadores”, en la medida en que dicha disposición establece la nueva estructura salarial y la nueva clasificación profesional del personal laboral al servicio de los entes del sector público instrumental de la Comunidad Autónoma de las Illes Balears sin respetar la negociación colectiva.</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19 de enero de 2016, este Tribunal acordó, a los efectos que determina el art. 37.1 de la Ley Orgánica del Tribunal Constitucional (LOTC), oír al Fiscal General del Estado para que, en el plazo de diez días, alegue lo que considere conveniente acerca de la admisibilidad de la presente cuestión de inconstitucionalidad,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presentó sus alegaciones el día 6 de noviembre de 2015 interesando la inadmisión de la cuestión por las siguientes razones.</w:t>
      </w:r>
    </w:p>
    <w:p w:rsidR="0033382B" w:rsidRDefault="0033382B" w:rsidP="0033382B">
      <w:pPr>
        <w:pStyle w:val="TextoNormal"/>
      </w:pPr>
    </w:p>
    <w:p w:rsidR="0033382B" w:rsidRDefault="0033382B" w:rsidP="0033382B">
      <w:pPr>
        <w:pStyle w:val="TextoNormal"/>
      </w:pPr>
      <w:r>
        <w:t xml:space="preserve">Tras describir los antecedentes del caso y las dudas de constitucionalidad planteadas por el órgano judicial, advierte que si bien este promueve la cuestión respecto de la extensa disposición adicional decimoquinta de la Ley 15/2012, de 27 de diciembre, de presupuestos generales de la Comunidad Autónoma de las Illes Balears para 2013, en su integridad, en realidad, como resulta del Auto de planteamiento, lo debatido en el proceso </w:t>
      </w:r>
      <w:r w:rsidRPr="0033382B">
        <w:rPr>
          <w:i/>
        </w:rPr>
        <w:t>a quo</w:t>
      </w:r>
      <w:r>
        <w:t xml:space="preserve"> es si se debe excluir del complemento personal y transitorio el importe de la antigüedad que cada trabajador venía percibiendo desde enero de 2014; subsidiariamente, la exclusión de dicho concepto e importe de antigüedad de los mecanismos de absorción o eliminación; extremos que aparecen regulados en los núms. 2.1, 2.4 y 3.2 d) y e) de dicha disposición adicional, a los que debe entenderse ceñida la cuestión.</w:t>
      </w:r>
    </w:p>
    <w:p w:rsidR="0033382B" w:rsidRDefault="0033382B" w:rsidP="0033382B">
      <w:pPr>
        <w:pStyle w:val="TextoNormal"/>
      </w:pPr>
    </w:p>
    <w:p w:rsidR="0033382B" w:rsidRDefault="0033382B" w:rsidP="0033382B">
      <w:pPr>
        <w:pStyle w:val="TextoNormal"/>
      </w:pPr>
      <w:r>
        <w:t>Recuerda a continuación la doctrina constitucional sobre la competencia exclusiva del Estado en materia de legislación laboral (art. 149.1.7 CE) y señala que la norma cuestionada tiene por objeto determinar cómo debe incluirse en la nómina el complemento de antigüedad del personal laboral de la Comunidad Autónoma de las Illes Balears. La norma tiene así un objetivo y fundamento económico y financiero, siendo una medida inserta en una ley de presupuestos que pretende racionalizar el régimen retributivo del personal laboral al servicio de los entes del sector público instrumental de la Administración autonómica. La disposición adicional cuestionada no incide sobre la legislación laboral en el sentido reconocido constitucionalmente, pues no afecta a la estructura básica y general de la normativa laboral ni a sus categorías fundamentales; está dirigida en exclusividad a algunos trabajadores que prestan servicios para su empleadora, la Comunidad Autónoma. Se trata, por tanto, de un supuesto igual al contemplado en el ATC 154/2014, de 27 de mayo, según la Fiscal General del Estado.</w:t>
      </w:r>
    </w:p>
    <w:p w:rsidR="0033382B" w:rsidRDefault="0033382B" w:rsidP="0033382B">
      <w:pPr>
        <w:pStyle w:val="TextoNormal"/>
      </w:pPr>
    </w:p>
    <w:p w:rsidR="0033382B" w:rsidRDefault="0033382B" w:rsidP="0033382B">
      <w:pPr>
        <w:pStyle w:val="TextoNormal"/>
      </w:pPr>
      <w:r>
        <w:t>En cuanto a la pretendida vulneración del art. 37.1 CE, que garantiza la fuerza vinculante de los convenios colectivos, advierte la Fiscal General del Estado que, conforme a reiterada doctrina constitucional, del art. 37.1 CE no deriva la supuesta intangibilidad o inalterabilidad del convenio colectivo frente a la norma legal, incluso si se trata de ley sobrevenida; en virtud del principio de jerarquía normativa es el convenio colectivo el que debe respetar y someterse no sólo a la ley en sentido formal, sino, más genéricamente, a las normas de mayor rango normativo y no al contrario. Por otra parte, esto es aplicable tanto a las leyes estatales como a las autonómicas (ATC 154/2014). Debe tenerse en cuenta que la controversia gira en torno a una Ley de presupuestos generales de la Comunidad Autónoma de las Illes Balears, siendo precisamente en las leyes de presupuestos donde se regulan las retribuciones del personal del sector público; en esta materia retributiva existe en la Ley del estatuto básico del empleado público un límite legal a la negociación colectiva, que resulta aplicable a las Comunidades Autónomas. La negociación colectiva de las retribuciones de los empleados públicos está restringida a las disponibilidades presupuestarias, sea cual sea la Administración pública empleadora.</w:t>
      </w:r>
    </w:p>
    <w:p w:rsidR="0033382B" w:rsidRDefault="0033382B" w:rsidP="0033382B">
      <w:pPr>
        <w:pStyle w:val="TextoNormal"/>
      </w:pPr>
    </w:p>
    <w:p w:rsidR="0033382B" w:rsidRDefault="0033382B" w:rsidP="0033382B">
      <w:pPr>
        <w:pStyle w:val="TextoNormal"/>
      </w:pPr>
      <w:r>
        <w:t xml:space="preserve">Por lo que se refiere a la posible inconstitucionalidad mediata o indirecta por contradicción de la disposición adicional decimoquinta de la Ley de presupuestos generales de la Comunidad Autónoma de las Illes Balears para 2013 con “la legislación laboral básica contenida en los arts. 22.1, 26.3, 41 y 82 del estatuto de los trabajadores”, a la que alude el Auto de planteamiento de la cuestión, la Fiscal General del Estado aduce que, dado el concreto objeto de la controversia en el proceso </w:t>
      </w:r>
      <w:r w:rsidRPr="0033382B">
        <w:rPr>
          <w:i/>
        </w:rPr>
        <w:t>a quo</w:t>
      </w:r>
      <w:r>
        <w:t xml:space="preserve"> (si se debe excluir del complemento personal y transitorio el importe de la antigüedad que cada trabajador venía percibiendo desde enero de 2014 y subsidiariamente la exclusión de dicho concepto e importe de antigüedad de los mecanismos de absorción o eliminación), no puede entenderse que el órgano judicial haya satisfecho en este punto el juicio de relevancia exigible (art. 35.2 LOTC).</w:t>
      </w:r>
    </w:p>
    <w:p w:rsidR="0033382B" w:rsidRDefault="0033382B" w:rsidP="0033382B">
      <w:pPr>
        <w:pStyle w:val="TextoNormal"/>
      </w:pPr>
    </w:p>
    <w:p w:rsidR="0033382B" w:rsidRDefault="0033382B" w:rsidP="0033382B">
      <w:pPr>
        <w:pStyle w:val="TextoNormal"/>
      </w:pPr>
      <w:r>
        <w:t>Por todo ello la Fiscal General del Estado solicita que se dicte Auto inadmitiendo la presente cuestión de inconstitucionalidad.</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Sala de lo Social del Tribunal Superior de Justicia de las Illes Balears promueve cuestión de inconstitucionalidad en relación con la disposición adicional decimoquinta de la Ley 15/2012, de 27 de diciembre, de presupuestos generales de la Comunidad Autónoma de las Illes Balears para 2013. Considera que el precepto autonómico cuestionado, que establece el régimen retributivo y la clasificación profesional del personal laboral al servicio de los entes del sector público instrumental de la Comunidad Autónoma de las Illes Balears, regula una materia típicamente laboral; vulneraría por ello el art. 149.1.7 CE, que reserva en exclusiva al Estado la competencia para legislar en materia laboral. Entiende asimismo que incurre en vulneración del art. 37.1 CE, porque, al carecer el legislador autonómico de competencia para emanar legislación laboral, no puede declarar ni la nulidad de pleno derecho ni la suspensión de convenios colectivos que se opongan a lo establecido en la disposición cuestionada. En fin, considera que esta disposición puede incurrir en inconstitucionalidad mediata o indirecta por contradicción con “la legislación laboral básica contenida en los arts. 22.1, 26.3, 41 y 82 del Estatuto de los Trabajadores”.</w:t>
      </w:r>
    </w:p>
    <w:p w:rsidR="0033382B" w:rsidRDefault="0033382B" w:rsidP="0033382B">
      <w:pPr>
        <w:pStyle w:val="TextoNormal"/>
      </w:pPr>
    </w:p>
    <w:p w:rsidR="0033382B" w:rsidRDefault="0033382B" w:rsidP="0033382B">
      <w:pPr>
        <w:pStyle w:val="TextoNormal"/>
      </w:pPr>
      <w:r>
        <w:t>La Fiscal General del Estado, por las razones expuestas en los antecedentes, ha interesado la inadmisión de la cuestión de inconstitucionalidad.</w:t>
      </w:r>
    </w:p>
    <w:p w:rsidR="0033382B" w:rsidRDefault="0033382B" w:rsidP="0033382B">
      <w:pPr>
        <w:pStyle w:val="TextoNormal"/>
      </w:pPr>
    </w:p>
    <w:p w:rsidR="0033382B" w:rsidRDefault="0033382B" w:rsidP="0033382B">
      <w:pPr>
        <w:pStyle w:val="TextoNormal"/>
      </w:pPr>
      <w:r>
        <w:t xml:space="preserve">En lo que aquí interesa (teniendo en cuenta lo razonado en el Auto de planteamiento de la cuestión y lo debatido en el proceso </w:t>
      </w:r>
      <w:r w:rsidRPr="0033382B">
        <w:rPr>
          <w:i/>
        </w:rPr>
        <w:t>a quo</w:t>
      </w:r>
      <w:r>
        <w:t>, esto es, si se debe excluir del complemento personal y transitorio el importe de la antigüedad que cada trabajador venía percibiendo desde enero de 2014 y subsidiariamente la exclusión de dicho concepto e importe de antigüedad de los mecanismos de absorción o eliminación), el precepto cuestionado dispone en su apartado 3.1 que “las retribuciones establecidas en esta ley y las complementarias que resulten de la aprobación de las relaciones de puestos de trabajo de cada ente tienen que absorber la totalidad de las remuneraciones que perciba actualmente cada trabajador en virtud de su régimen retributivo anterior, por cualquier concepto, tanto fijo como variable”.</w:t>
      </w:r>
    </w:p>
    <w:p w:rsidR="0033382B" w:rsidRDefault="0033382B" w:rsidP="0033382B">
      <w:pPr>
        <w:pStyle w:val="TextoNormal"/>
      </w:pPr>
    </w:p>
    <w:p w:rsidR="0033382B" w:rsidRDefault="0033382B" w:rsidP="0033382B">
      <w:pPr>
        <w:pStyle w:val="TextoNormal"/>
      </w:pPr>
      <w:r>
        <w:t>En su apartado 3.2 establece que “si como consecuencia de la aplicación del nuevo sistema retributivo se produjera una reducción en el cómputo anual de las retribuciones del trabajador, se podrá reconocer, en el seno de la negociación colectiva y de manera excepcional, un complemento personal y transitorio que abarque la diferencia, el cual se configurará y absorberá de acuerdo con los criterios siguientes”. Entre esos criterios la letra d) de este apartado establece que ese complemento personal y transitorio “quedará absorbido por cualquier mejora retributiva que se pueda producir, incluidas las mejoras derivadas del cambio de puesto de trabajo”.</w:t>
      </w:r>
    </w:p>
    <w:p w:rsidR="0033382B" w:rsidRDefault="0033382B" w:rsidP="0033382B">
      <w:pPr>
        <w:pStyle w:val="TextoNormal"/>
      </w:pPr>
    </w:p>
    <w:p w:rsidR="0033382B" w:rsidRDefault="0033382B" w:rsidP="0033382B">
      <w:pPr>
        <w:pStyle w:val="TextoNormal"/>
      </w:pPr>
      <w:r>
        <w:t>El apartado 3.3 dispone que “el personal al servicio del sector público instrumental no puede ser retribuido por ninguno otro concepto que no esté previsto en esta disposición. Será nulo de pleno derecho cualquier convenio colectivo, acuerdo o pacto que se oponga a ello”.</w:t>
      </w:r>
    </w:p>
    <w:p w:rsidR="0033382B" w:rsidRDefault="0033382B" w:rsidP="0033382B">
      <w:pPr>
        <w:pStyle w:val="TextoNormal"/>
      </w:pPr>
    </w:p>
    <w:p w:rsidR="0033382B" w:rsidRDefault="0033382B" w:rsidP="0033382B">
      <w:pPr>
        <w:pStyle w:val="TextoNormal"/>
      </w:pPr>
      <w:r>
        <w:t>En fin, el apartado 5 (bajo el epígrafe “suspensión de pactos y acuerdos”) dispone lo siguiente: “dada la necesidad de asegurar la estabilidad presupuestaria y la corrección del déficit público, excepcionalmente y por causa grave de interés público derivada de la alteración sustancial de las circunstancias económicas, una vez transcurrido el plazo de siete meses previsto en los apartados anteriores sin que se hayan adoptado los acuerdos pertinentes para aplicar la nueva estructura profesional y el nuevo régimen retributivo, quedarán suspendidos los convenios colectivos, acuerdos y pactos ya firmados en el ámbito de las entidades que integran el sector público instrumental de la Comunidad Autónoma, en la medida estrictamente necesaria para la aplicación de lo que se establece en esta disposición”.</w:t>
      </w:r>
    </w:p>
    <w:p w:rsidR="0033382B" w:rsidRDefault="0033382B" w:rsidP="0033382B">
      <w:pPr>
        <w:pStyle w:val="TextoNormal"/>
      </w:pPr>
    </w:p>
    <w:p w:rsidR="0033382B" w:rsidRDefault="0033382B" w:rsidP="0033382B">
      <w:pPr>
        <w:pStyle w:val="TextoNormal"/>
      </w:pPr>
      <w:r w:rsidRPr="0033382B">
        <w:rPr>
          <w:rStyle w:val="NumeroAFNegritaCaracter"/>
        </w:rPr>
        <w:t>2</w:t>
      </w:r>
      <w:r>
        <w:t xml:space="preserve">. De acuerdo con lo dispuesto en el art. 37.1 de la Ley Orgánica del Tribunal Constitucional, este Tribunal puede rechazar </w:t>
      </w:r>
      <w:r w:rsidRPr="0033382B">
        <w:rPr>
          <w:i/>
        </w:rPr>
        <w:t>a limine</w:t>
      </w:r>
      <w:r>
        <w:t xml:space="preserve"> las cuestiones de inconstitucionalidad, mediante Auto y sin otra audiencia que la del Fiscal General del Estado, si faltaren las condiciones procesales o fueran notoriamente infundadas.</w:t>
      </w:r>
    </w:p>
    <w:p w:rsidR="0033382B" w:rsidRDefault="0033382B" w:rsidP="0033382B">
      <w:pPr>
        <w:pStyle w:val="TextoNormal"/>
      </w:pPr>
    </w:p>
    <w:p w:rsidR="0033382B" w:rsidRDefault="0033382B" w:rsidP="0033382B">
      <w:pPr>
        <w:pStyle w:val="TextoNormal"/>
      </w:pPr>
      <w:r>
        <w:t>Conforme a las razones que seguidamente se expondrán, la presente cuestión de inconstitucionalidad ha de considerarse notoriamente infundada en el significado que a esta noción le viene dando la doctrina de este Tribunal (por todas, STC 301/2014, de 16 de diciembre, FJ 2; y, entre otros muchos, AATC 71/2008, de 26 de febrero, FJ 2; 32/2009, de 27 de enero, FJ 3; y 228/2015, de 15 de diciembre). Ello no implica un juicio peyorativo sobre la duda de constitucionalidad que plantea el órgano judicial; procesalmente otorga a este Tribunal un cierto margen de apreciación a la hora de controlar la solidez de la fundamentación de las cuestiones de inconstitucionalidad, realizando un examen preliminar de su viabilidad (ATC 43/2014, de 12 de febrero, FJ 3).</w:t>
      </w:r>
    </w:p>
    <w:p w:rsidR="0033382B" w:rsidRDefault="0033382B" w:rsidP="0033382B">
      <w:pPr>
        <w:pStyle w:val="TextoNormal"/>
      </w:pPr>
    </w:p>
    <w:p w:rsidR="0033382B" w:rsidRDefault="0033382B" w:rsidP="0033382B">
      <w:pPr>
        <w:pStyle w:val="TextoNormal"/>
      </w:pPr>
      <w:r w:rsidRPr="0033382B">
        <w:rPr>
          <w:rStyle w:val="NumeroAFNegritaCaracter"/>
        </w:rPr>
        <w:t>3</w:t>
      </w:r>
      <w:r>
        <w:t>. La cuestión debe considerarse notoriamente infundada respecto de la duda de constitucionalidad que plantea el órgano judicial sobre la disposición adicional decimoquinta de la Ley de presupuestos generales de la Comunidad Autónoma de las Illes Balears para 2013, en cuanto que esta disposición podría incurrir “en inconstitucionalidad mediata o indirecta en relación a la legislación laboral básica contenida en los arts. 22.1, 26.3, 41 y 82 del estatuto de los trabajadores”. En materia de legislación laboral la competencia estatal no es básica, sino exclusiva y plena, comprendiendo por ello tanto las leyes y normas con rango de ley como los reglamentos, de conformidad con el art. 149.1.7 CE; esto excluye absolutamente la intervención legislativa de las Comunidades Autónomas en esta materia (por todas, SSTC 18/1982, de 4 de mayo, FFJJ 2 y 5; 35/1982, de 14 de junio, FJ 2; 7/1985, de 25 de enero, FJ 2; 86/1991, de 25 de abril, FJ 3; 51/2006, de 16 de febrero, FJ 4; y 244/2012, de 18 de diciembre, FJ 4). Está fuera de lugar, por tanto, traer a colación en este caso el canon de la inconstitucionalidad mediata o indirecta por contradicción con la legislación básica.</w:t>
      </w:r>
    </w:p>
    <w:p w:rsidR="0033382B" w:rsidRDefault="0033382B" w:rsidP="0033382B">
      <w:pPr>
        <w:pStyle w:val="TextoNormal"/>
      </w:pPr>
    </w:p>
    <w:p w:rsidR="0033382B" w:rsidRDefault="0033382B" w:rsidP="0033382B">
      <w:pPr>
        <w:pStyle w:val="TextoNormal"/>
      </w:pPr>
      <w:r w:rsidRPr="0033382B">
        <w:rPr>
          <w:rStyle w:val="NumeroAFNegritaCaracter"/>
        </w:rPr>
        <w:t>4</w:t>
      </w:r>
      <w:r>
        <w:t>. Descartada esta duda de constitucionalidad, resulta que la Sala de lo Social del Tribunal Superior de Justicia de las Illes Balears aduce contra la validez del precepto autonómico cuestionado dos argumentos, planteados sucesivamente estrechamente relacionados entre sí.</w:t>
      </w:r>
    </w:p>
    <w:p w:rsidR="0033382B" w:rsidRDefault="0033382B" w:rsidP="0033382B">
      <w:pPr>
        <w:pStyle w:val="TextoNormal"/>
      </w:pPr>
    </w:p>
    <w:p w:rsidR="0033382B" w:rsidRDefault="0033382B" w:rsidP="0033382B">
      <w:pPr>
        <w:pStyle w:val="TextoNormal"/>
      </w:pPr>
      <w:r>
        <w:t xml:space="preserve">El primero es de carácter netamente competencial, al discutir el órgano judicial promotor de la cuestión que una Comunidad Autónoma —en el presente caso, Baleares— tenga competencia para aprobar una norma con el contenido de la cuestionada, pues considera que la regulación de la estructura salarial y de la clasificación profesional del personal laboral al servicio de los entes del sector público instrumental de la Comunidad Autónoma de las Illes Balears constituye </w:t>
      </w:r>
      <w:r w:rsidRPr="0033382B">
        <w:rPr>
          <w:i/>
        </w:rPr>
        <w:t>per se</w:t>
      </w:r>
      <w:r>
        <w:t xml:space="preserve"> legislación laboral; materia que pertenece exclusivamente a la competencia estatal (art. 149.1.7 CE). La disposición legal cuestionada no sería, según el órgano judicial, una norma de organización del personal de la Comunidad Autónoma, ni tampoco una norma presupuestaria de contención de gastos de personal, sino una norma típicamente laboral. En consecuencia, el legislador autonómico habría invadido la competencia estatal exclusiva </w:t>
      </w:r>
      <w:r w:rsidRPr="0033382B">
        <w:rPr>
          <w:i/>
        </w:rPr>
        <w:t>ex</w:t>
      </w:r>
      <w:r>
        <w:t xml:space="preserve"> art. 149.1.7 CE, pues las Comunidades Autónomas carecen de capacidad normativa para regular la relación laboral del personal a su servicio.</w:t>
      </w:r>
    </w:p>
    <w:p w:rsidR="0033382B" w:rsidRDefault="0033382B" w:rsidP="0033382B">
      <w:pPr>
        <w:pStyle w:val="TextoNormal"/>
      </w:pPr>
    </w:p>
    <w:p w:rsidR="0033382B" w:rsidRDefault="0033382B" w:rsidP="0033382B">
      <w:pPr>
        <w:pStyle w:val="TextoNormal"/>
      </w:pPr>
      <w:r>
        <w:t>Ligado a este argumento, la Sala promotora de la cuestión aduce también que la disposición adicional decimoquinta de la Ley de presupuestos generales de la Comunidad Autónoma de las Illes Balears para 2013 incurre en vulneración del art. 37.1 CE, porque la sumisión del convenio colectivo a las leyes, que proclama la doctrina constitucional (por todas, SSTC 119/2014, de 16 de julio, y 8/2015, de 22 de enero, AATC 85/2011, de 7 de junio, y 104/2011, de 5 de julio), ha de entenderse referida a las leyes estatales, en virtud del art. 149.1.7 CE. El legislador autonómico carece de competencia para emanar legislación laboral, por lo no puede declarar ni la nulidad de pleno derecho de convenios colectivos o pactos individuales ni la suspensión de cualesquiera aspectos incluidos en convenio colectivo, concluye la Sala.</w:t>
      </w:r>
    </w:p>
    <w:p w:rsidR="0033382B" w:rsidRDefault="0033382B" w:rsidP="0033382B">
      <w:pPr>
        <w:pStyle w:val="TextoNormal"/>
      </w:pPr>
    </w:p>
    <w:p w:rsidR="0033382B" w:rsidRDefault="0033382B" w:rsidP="0033382B">
      <w:pPr>
        <w:pStyle w:val="TextoNormal"/>
      </w:pPr>
      <w:r w:rsidRPr="0033382B">
        <w:rPr>
          <w:rStyle w:val="NumeroAFNegritaCaracter"/>
        </w:rPr>
        <w:t>5</w:t>
      </w:r>
      <w:r>
        <w:t xml:space="preserve">. Para descartar las dudas de constitucionalidad que plantea la Sala de lo Social del Tribunal Superior de Justicia de las Illes Balears en relación con la disposición adicional decimoquinta de la Ley de presupuestos generales de la Comunidad Autónoma de las Illes Balears para 2013 debe partirse de la premisa de que no cabe duda de que el art. 149.1.7 CE reserva al Estado la facultad exclusiva en cuanto a la producción de las normas (legales y reglamentarias) que disciplinan la materia laboral con carácter general, como ya quedó señalado. No obstante, el órgano judicial promotor de la cuestión obvia en su planteamiento que la norma autonómica cuestionada no pretende regular con carácter general el régimen de la negociación colectiva o la fuerza vinculante de los convenios, extremos propios de la legislación laboral reservada al Estado; tiene una finalidad más modesta, que podría calificarse de interna o doméstica, ligada a condiciones concretas reconocidas al personal laboral al servicio de la propia Comunidad Autónoma de las Illes Balears, en el marco de las competencias que su Estatuto de Autonomía le atribuye para la organización de su propio personal laboral y de la disciplina presupuestaria en relación con los gastos de personal, sin perjuicio de las competencias estatales </w:t>
      </w:r>
      <w:r w:rsidRPr="0033382B">
        <w:rPr>
          <w:i/>
        </w:rPr>
        <w:t>ex</w:t>
      </w:r>
      <w:r>
        <w:t xml:space="preserve"> art. 149.1 CE. En suma, como pone de manifiesto la Fiscal General del Estado, se trata, efectivamente, de una medida de gestión del personal propio que, en modo alguno, invade la legislación laboral estatal.</w:t>
      </w:r>
    </w:p>
    <w:p w:rsidR="0033382B" w:rsidRDefault="0033382B" w:rsidP="0033382B">
      <w:pPr>
        <w:pStyle w:val="TextoNormal"/>
      </w:pPr>
    </w:p>
    <w:p w:rsidR="0033382B" w:rsidRDefault="0033382B" w:rsidP="0033382B">
      <w:pPr>
        <w:pStyle w:val="TextoNormal"/>
      </w:pPr>
      <w:r>
        <w:t>Aceptar el planteamiento del órgano judicial promotor de la cuestión llevaría a un entendimiento prácticamente ilimitado e inasumible del concepto de “legislación laboral”. De acuerdo con ello, sólo el Estado podría modificar o suspender aspectos incluidos en los convenios colectivos suscritos por las Administraciones autonómicas y locales con su propio personal laboral. No parece lógico reconocer a la Comunidad Autónoma competencia para concluir convenios colectivos con su personal laboral y negársela para suspenderlos, cuando ello venga requerido por el interés general. La norma autonómica no incide sobre la materia “legislación laboral” en el sentido del art. 149.1.7 CE, ya que no se refiere a una regulación laboral general, sino a condiciones concretas de los empleados públicos de la propia Comunidad Autónoma, sin afectar a la estructura básica y general de la normativa social ni a sus categorías nucleares. Tampoco tiene por objeto fijar condiciones de trabajo que alteren los mínimos indisponibles establecidos por la legislación estatal (AATC 228/2015, de 15 de diciembre, FJ 3; y 229/2015, de 15 de diciembre, FJ 3).</w:t>
      </w:r>
    </w:p>
    <w:p w:rsidR="0033382B" w:rsidRDefault="0033382B" w:rsidP="0033382B">
      <w:pPr>
        <w:pStyle w:val="TextoNormal"/>
      </w:pPr>
    </w:p>
    <w:p w:rsidR="0033382B" w:rsidRDefault="0033382B" w:rsidP="0033382B">
      <w:pPr>
        <w:pStyle w:val="TextoNormal"/>
      </w:pPr>
      <w:r w:rsidRPr="0033382B">
        <w:rPr>
          <w:rStyle w:val="NumeroAFNegritaCaracter"/>
        </w:rPr>
        <w:t>6</w:t>
      </w:r>
      <w:r>
        <w:t>. Como también recuerda la Fiscal General del Estado, de la doctrina constitucional no se desprende que los convenios colectivos solo estén subordinados a normas estatales, o siquiera a normas de rango legal, sino más ampliamente a “normas de mayor rango jerárquico” (SSTC 177/1988, de 10 de octubre, FJ 4; 171/1989, de 19 de octubre, FJ 2; 92/1994, de 21 de marzo, FJ 2; 62/2001, de 1 de marzo, FJ 3; y 104/2015, de 28 de mayo, FJ 8, por todas; AATC 34/2005, de 31 de enero, FJ 5; 85/2011, de 7 de junio, FJ 8; y 104/2011, de 15 de julio, FJ 3; y 154/2014, de 27 de mayo, FJ 4, entre otros). Pueden ser desde luego tanto estatales como autonómicas (por todos, AATC 154/2014 y 228/2015), pues la competencia sobre legislación laboral (art. 149.1.7 CE) no es el único título jurídico que legitima para intervenir en esta materia.</w:t>
      </w:r>
    </w:p>
    <w:p w:rsidR="0033382B" w:rsidRDefault="0033382B" w:rsidP="0033382B">
      <w:pPr>
        <w:pStyle w:val="TextoNormal"/>
      </w:pPr>
    </w:p>
    <w:p w:rsidR="0033382B" w:rsidRDefault="0033382B" w:rsidP="0033382B">
      <w:pPr>
        <w:pStyle w:val="TextoNormal"/>
      </w:pPr>
      <w:r>
        <w:t>El régimen retributivo y la clasificación profesional del personal laboral al servicio de los entes del sector público instrumental de la Comunidad Autónoma de las Illes Balears, que establece la disposición cuestionada, debe entenderse como una regulación orientada a la organización del propio personal laboral de la Comunidad Autónoma, relacionada con la disciplina presupuestaria en materia de gastos de personal. Así lo corrobora la lectura de la exposición de motivos de la Ley 15/2012, de 27 de diciembre, de presupuestos generales de la Comunidad Autónoma de las Illes Balears para 2013: “los presupuestos generales de la Comunidad Autónoma de las Illes Balears para el año 2013 se orientan a cumplir los principios de prudencia financiera, de transparencia y de eficiencia en la gestión y asignación de recursos, en el marco de la estabilidad presupuestaria y la sostenibilidad financiera”.</w:t>
      </w:r>
    </w:p>
    <w:p w:rsidR="0033382B" w:rsidRDefault="0033382B" w:rsidP="0033382B">
      <w:pPr>
        <w:pStyle w:val="TextoNormal"/>
      </w:pPr>
    </w:p>
    <w:p w:rsidR="0033382B" w:rsidRDefault="0033382B" w:rsidP="0033382B">
      <w:pPr>
        <w:pStyle w:val="TextoNormal"/>
      </w:pPr>
      <w:r>
        <w:t>Para el logro de tales objetivos se destacan especialmente las medidas incluidas en la disposición adicional decimoquinta, señalándose al respecto que en la misma “se establecen las bases para la puesta en marcha del proceso de racionalización del régimen retributivo y de las categorías profesionales del personal de los entes del sector público instrumental de la Comunidad Autónoma de las Illes Balears, con objeto de dar una solución definitiva a la situación actual, caracterizada por la heterogeneidad de categorías profesionales, de estructuras salariales y de cuantías retributivas, por la ausencia de una regulación formal de muchos de los complementos retributivos que se abonan, por la desigualdad interna en el seno de los propios entes en cuanto a las retribuciones que percibe el personal, y sus cuantías, por el elevado peso relativo de las denominadas retribuciones variables, lo cual distorsiona las previsiones iniciales del presupuesto de gastos de personal respecto del gasto que finalmente se ejecuta, y, finalmente, por la diversidad, no suficientemente justificada, de los niveles retributivos medios entre los diferentes entes, todo ello en cumplimiento del que ya se previó en el art. 26.1 del Decreto-ley 5/2012, de 1 de junio, de medidas urgentes en materia de personal y administrativas para la reducción del déficit público del sector público de la Comunidad Autónoma de las Illes Balears y de otras instituciones autonómicas”.</w:t>
      </w:r>
    </w:p>
    <w:p w:rsidR="0033382B" w:rsidRDefault="0033382B" w:rsidP="0033382B">
      <w:pPr>
        <w:pStyle w:val="TextoNormal"/>
      </w:pPr>
    </w:p>
    <w:p w:rsidR="0033382B" w:rsidRDefault="0033382B" w:rsidP="0033382B">
      <w:pPr>
        <w:pStyle w:val="TextoNormal"/>
      </w:pPr>
      <w:r>
        <w:t>La doctrina del Tribunal Constitucional no encuadra las medidas legislativas estatales de contención del gasto de personal en la competencia estatal sobre legislación laboral (art. 149.1.7 CE), ni en la competencia estatal en materia de “funcionarios públicos” (art. 149.1.18 CE), sino en las bases y coordinación de la planificación general de la actividad económica del art. 149.1.13 CE (SSTC 96/1990, de 24 de mayo, FJ 3; y 139/2005, de 26 de mayo, FJ 7). Además, considera que este tipo de medidas de contención de gastos de personal encuentra cobertura competencial también en el principio de coordinación con la Hacienda estatal reconocido en el art. 156.1 CE, pues se relaciona con la responsabilidad del Estado de garantizar el equilibrio económico general (SSTC 171/1996, de 30 de octubre, FJ 2; 103/1997, de 22 de mayo, FJ 1, y 148/2006, de 11 de mayo, FJ 6, por todas).</w:t>
      </w:r>
    </w:p>
    <w:p w:rsidR="0033382B" w:rsidRDefault="0033382B" w:rsidP="0033382B">
      <w:pPr>
        <w:pStyle w:val="TextoNormal"/>
      </w:pPr>
    </w:p>
    <w:p w:rsidR="0033382B" w:rsidRDefault="0033382B" w:rsidP="0033382B">
      <w:pPr>
        <w:pStyle w:val="TextoNormal"/>
      </w:pPr>
      <w:r>
        <w:t>Tanto el art. 156.1 CE como el art. 149.1.13 CE presuponen la capacidad de las Comunidades Autónomas para definir sus gastos en los correspondientes presupuestos; esa capacidad se incardina precisamente dentro de la autonomía financiera que la Constitución reconoce a las Comunidades Autónomas (art. 156.1 CE). Las específicas medidas de disciplina presupuestaria del gasto público adoptadas por la Comunidad Autónoma de las Illes Balears se vinculan a su competencia normativa en materia de “ordenación de la hacienda de la Comunidad Autónoma” (art. 30.28 del Estatuto de Autonomía de las Illes Balears) y de “ordenación y planificación de la actividad económica” (art. 31.6 del Estatuto de Autonomía de las Illes Balears), en relación con las competencias ligadas a la organización y funcionamiento de la Administración autonómica (arts. 30.1, 79 y 80 del Estatuto de Autonomía de las Illes Balears).</w:t>
      </w:r>
    </w:p>
    <w:p w:rsidR="0033382B" w:rsidRDefault="0033382B" w:rsidP="0033382B">
      <w:pPr>
        <w:pStyle w:val="TextoNormal"/>
      </w:pPr>
    </w:p>
    <w:p w:rsidR="0033382B" w:rsidRDefault="0033382B" w:rsidP="0033382B">
      <w:pPr>
        <w:pStyle w:val="TextoNormal"/>
      </w:pPr>
      <w:r>
        <w:t xml:space="preserve">De conformidad con su autonomía financiera y su potestad organizativa, cada Comunidad Autónoma fija para el personal a su servicio la clasificación profesional y las retribuciones y estructura retributiva que considera oportunas, respetando los límites impuestos con carácter general por el Estado. La capacidad de las Comunidades Autónomas para definir sus gastos en los correspondientes presupuestos solo queda desplazada en la medida en que el Estado haya ejercido sus competencias </w:t>
      </w:r>
      <w:r w:rsidRPr="0033382B">
        <w:rPr>
          <w:i/>
        </w:rPr>
        <w:t>ex</w:t>
      </w:r>
      <w:r>
        <w:t xml:space="preserve"> art. 149.1.13 CE. Las Comunidades Autónomas están obligadas a respetar las medidas básicas en materia de gastos de personal establecidas por el Estado; respetando esas bases o no existiendo tales medidas básicas, la competencia autonómica en materia económica les faculta para llevar a cabo las medidas de disciplina presupuestaria relacionadas con los gastos de personal que estimen necesarias. No se ha aducido por el órgano judicial promotor de la cuestión que el legislador estatal haya ejercido sus competencias derivadas del art. 149.1.13 CE o de otro título competencial, para regular la concreta cuestión controvertida, impidiendo materialmente que la Comunidad Autónoma de las Illes Balears adopte una medida como la cuestionada.</w:t>
      </w:r>
    </w:p>
    <w:p w:rsidR="0033382B" w:rsidRDefault="0033382B" w:rsidP="0033382B">
      <w:pPr>
        <w:pStyle w:val="TextoNormal"/>
      </w:pPr>
    </w:p>
    <w:p w:rsidR="0033382B" w:rsidRDefault="0033382B" w:rsidP="0033382B">
      <w:pPr>
        <w:pStyle w:val="TextoNormal"/>
      </w:pPr>
      <w:r>
        <w:t>Finalmente, se observa que el tipo de norma utilizada en el presente supuesto (una norma de rango legal incluida en los presupuestos generales de la Comunidad Autónoma) resulta idónea para el fin perseguido. En el contexto económico previsto para el año 2013, tal fin estaba plenamente justificado en el interés general de alcanzar la estabilidad presupuestaria y la sostenibilidad financiera, como se razona cumplidamente en el apartado antes transcrito de la exposición de motivos de la Ley 15/2012, de 27 de diciembre, de presupuestos generales de la Comunidad Autónoma de las Illes Balears para 2013.</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uno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83" w:name="AUTO_2016_56"/>
      <w:r>
        <w:t>AUTO 56/2016, de 1 de marzo de 2016</w:t>
      </w:r>
    </w:p>
    <w:bookmarkEnd w:id="183"/>
    <w:p w:rsidR="0033382B" w:rsidRDefault="0033382B" w:rsidP="0033382B">
      <w:pPr>
        <w:pStyle w:val="TtuloResolucin"/>
      </w:pPr>
      <w:r>
        <w:t>Pleno</w:t>
      </w:r>
    </w:p>
    <w:p w:rsidR="0033382B" w:rsidRDefault="0033382B" w:rsidP="0033382B">
      <w:pPr>
        <w:pStyle w:val="TextoNormalCentrado"/>
      </w:pPr>
      <w:r>
        <w:t>ECLI:ES:TC:2016:56A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6988-2015, planteada por el Tribunal Superior de Justicia de Cantabria en relación con el artículo 65 bis.1 de la Ley del Parlamento de Cantabria 2/2001, de 25 de junio, de ordenación territorial y de régimen urbanístico del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Por escrito registrado en este Tribunal el 9 de diciembre de 2015, la Sala de lo Contencioso-Administrativo del Tribunal Superior de Justicia de Cantabria remitió testimonio del Auto de 4 de noviembre de 2015, por el que se acordó plantear cuestión de inconstitucionalidad en relación con el art. 65 </w:t>
      </w:r>
      <w:r w:rsidRPr="0033382B">
        <w:rPr>
          <w:i/>
        </w:rPr>
        <w:t>bis</w:t>
      </w:r>
      <w:r>
        <w:t>.1, en su inciso “órdenes de demolición judiciales”, de la Ley del Parlamento de Cantabria 2/2001, de 25 de junio, de ordenación territorial y de régimen urbanístico del suelo de Cantabria, introducido por la Ley 4/2013, de 20 de junio, por posible vulneración de los arts. 24.2, 117.3 y 149.1.6 CE. Junto a esta resolución se acompaña testimonio del procedimiento ordinario tramitado con el núm. 1715-1998.</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La asociación Arca interpuso recurso contencioso-administrativo contra las resoluciones del Ayuntamiento de Piélagos por las que se acordó conceder licencia municipal para la construcción de viviendas en la zona 5 y en la zona 2 de la unidad de ejecución L-01 de Liencresante.</w:t>
      </w:r>
    </w:p>
    <w:p w:rsidR="0033382B" w:rsidRDefault="0033382B" w:rsidP="0033382B">
      <w:pPr>
        <w:pStyle w:val="TextoNormal"/>
      </w:pPr>
    </w:p>
    <w:p w:rsidR="0033382B" w:rsidRDefault="0033382B" w:rsidP="0033382B">
      <w:pPr>
        <w:pStyle w:val="TextoNormal"/>
      </w:pPr>
      <w:r>
        <w:t>b) El recurso fue estimado por Sentencia de 2 de noviembre de 2000, que ordenó la demolición de lo indebidamente edificado. El Ayuntamiento interpuso recurso de casación que fue inadmitido por el Tribunal Supremo con fecha 23 de octubre de 2003.</w:t>
      </w:r>
    </w:p>
    <w:p w:rsidR="0033382B" w:rsidRDefault="0033382B" w:rsidP="0033382B">
      <w:pPr>
        <w:pStyle w:val="TextoNormal"/>
      </w:pPr>
    </w:p>
    <w:p w:rsidR="0033382B" w:rsidRDefault="0033382B" w:rsidP="0033382B">
      <w:pPr>
        <w:pStyle w:val="TextoNormal"/>
      </w:pPr>
      <w:r>
        <w:t>c) En el incidente de ejecución iniciado el 11 de junio de 2014, la representante procesal del Ayuntamiento de Piélagos presentó, con fecha 22 de junio de 2015, escrito por el que puso en conocimiento de la Sala la imposibilidad jurídica de ejecutar la Sentencia dictada en el procedimiento, en atención a lo establecido por el precepto cuestionado, introducido por la Ley del Parlamento de Cantabria 4/2013. Solicita que se acuerde incoar incidente de los previstos en el art. 109 de la Ley de la jurisdicción contencioso-administrativa y, previos los trámites pertinentes, se dicte Auto por el que se declare la inejecutabilidad de la Sentencia de 2 de noviembre de 2000, por causa legal.</w:t>
      </w:r>
    </w:p>
    <w:p w:rsidR="0033382B" w:rsidRDefault="0033382B" w:rsidP="0033382B">
      <w:pPr>
        <w:pStyle w:val="TextoNormal"/>
      </w:pPr>
    </w:p>
    <w:p w:rsidR="0033382B" w:rsidRDefault="0033382B" w:rsidP="0033382B">
      <w:pPr>
        <w:pStyle w:val="TextoNormal"/>
      </w:pPr>
      <w:r>
        <w:t xml:space="preserve">d) Por providencia de 30 de julio de 2015, se abrió el trámite de audiencia a las partes y al Ministerio Fiscal previsto en el art. 35.2 de la Ley Orgánica del Tribunal Constitucional (LOTC), para que alegaran sobre la pertinencia de plantear cuestión de inconstitucionalidad, por si el artículo 65 </w:t>
      </w:r>
      <w:r w:rsidRPr="0033382B">
        <w:rPr>
          <w:i/>
        </w:rPr>
        <w:t>bis</w:t>
      </w:r>
      <w:r>
        <w:t xml:space="preserve"> objeto de la presente cuestión, que introduce la posibilidad de que durante cuatro años los edificios tengan el régimen de fuera de ordenación y no se puedan demoler, a pesar de que estén afectados por una orden de derribo administrativa o judicial, pudiera adolecer de falta de competencia de la Comunidad Autónoma para alterar la legislación procesal en cuanto al procedimiento de ejecución judicial, introduciendo una causa de suspensión del mismo, cuya competencia es exclusiva del Estado conforme al art. 149.1.6 CE. O si puede ser inconstitucional por afectar al derecho a la tutela judicial efectiva, en su vertiente de derecho a la ejecución de las sentencias (art. 24.1 CE). O, por último, por si se vulnera lo previsto en el art. 117.3 CE, en cuanto a la competencia exclusiva de los Jueces y Tribunales para juzgar y hacer ejecutar lo juzgado.</w:t>
      </w:r>
    </w:p>
    <w:p w:rsidR="0033382B" w:rsidRDefault="0033382B" w:rsidP="0033382B">
      <w:pPr>
        <w:pStyle w:val="TextoNormal"/>
      </w:pPr>
    </w:p>
    <w:p w:rsidR="0033382B" w:rsidRDefault="0033382B" w:rsidP="0033382B">
      <w:pPr>
        <w:pStyle w:val="TextoNormal"/>
      </w:pPr>
      <w:r>
        <w:t>e) El Ayuntamiento de Piélagos y el Gobierno de Cantabria alegaron que no había lugar a la cuestión de inconstitucionalidad. La asociación Arca y el Ministerio Fiscal mostraron su conformidad con el planteamiento de la misma.</w:t>
      </w:r>
    </w:p>
    <w:p w:rsidR="0033382B" w:rsidRDefault="0033382B" w:rsidP="0033382B">
      <w:pPr>
        <w:pStyle w:val="TextoNormal"/>
      </w:pPr>
    </w:p>
    <w:p w:rsidR="0033382B" w:rsidRDefault="0033382B" w:rsidP="0033382B">
      <w:pPr>
        <w:pStyle w:val="TextoNormal"/>
      </w:pPr>
      <w:r>
        <w:t>f) Con fecha 4 de noviembre de 2015, la Sala de lo Contencioso-Administrativo del Tribunal Superior de Justicia de Cantabria dictó Auto por el que se acuerda el planteamiento de la presente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expone que se trata de un caso similar, aunque no idéntico, al suscitado en el procedimiento ordinario núm. 716-1992, que dio lugar a la elevación de cuestión de inconstitucionalidad por la misma Sala (admitida a trámite con el núm. 6860-2014). La duda de constitucionalidad se funda en que el precepto cuestionado, al introducir la posibilidad de que durante cuatro años los edificios afectados queden fuera de ordenación y no se puedan demoler, cuando pesa sobre ellos una orden judicial de derribo, trata de interferir en las sentencias pendientes de ejecución, incurriendo en la vulneración de: (i) el art. 149.1.6 CE, que atribuye al Estado competencia exclusiva en materia de legislación procesal; (ii) el derecho a la tutela judicial efectiva, en su vertiente del derecho a la ejecución (art. 24.1 CE) y (iii) la potestad jurisdiccional atribuida en exclusiva a Juzgados y Tribunales (art. 117.3 CE).</w:t>
      </w:r>
    </w:p>
    <w:p w:rsidR="0033382B" w:rsidRDefault="0033382B" w:rsidP="0033382B">
      <w:pPr>
        <w:pStyle w:val="TextoNormal"/>
      </w:pPr>
    </w:p>
    <w:p w:rsidR="0033382B" w:rsidRDefault="0033382B" w:rsidP="0033382B">
      <w:pPr>
        <w:pStyle w:val="TextoNormal"/>
      </w:pPr>
      <w:r>
        <w:t>Para el órgano promotor, la norma autonómica incide en la ejecución procesal al introducir, sin competencia para ello, una causa de suspensión no prevista en la Ley reguladora de la jurisdicción contencioso-administrativa (LJCA). Considera que el precepto cuestionado plantea un problema similar al resuelto por la STC 92/2013, de 22 de abril, que declaró la inconstitucionalidad y nulidad parcial de la disposición adicional sexta de la Ley 2/2001, de 25 de junio, de ordenación territorial y del régimen urbanístico del suelo de Cantabria, introducida por el art. 2 de la Ley 2/2011, de 4 de abril. Se invoca asimismo la STC 82/2014, de 28 de mayo, relativa al apartado 2 de la disposición adicional sexta de la Ley 8/2012, de 29 de junio, de vivienda de Galicia.</w:t>
      </w:r>
    </w:p>
    <w:p w:rsidR="0033382B" w:rsidRDefault="0033382B" w:rsidP="0033382B">
      <w:pPr>
        <w:pStyle w:val="TextoNormal"/>
      </w:pPr>
    </w:p>
    <w:p w:rsidR="0033382B" w:rsidRDefault="0033382B" w:rsidP="0033382B">
      <w:pPr>
        <w:pStyle w:val="TextoNormal"/>
      </w:pPr>
      <w:r>
        <w:t>Razona el Auto que la ejecutabilidad de las sentencias en sus propios términos es principio capital y esencial de todo el sistema judicial, por lo que las excepciones contempladas en el art. 105.2 LJCA han de ser siempre interpretadas y aplicadas con criterios restrictivos. El derecho del litigante favorecido por el fallo a obtener su ejecución es parte integrante del derecho a la tutela judicial efectiva, y se corresponde con el deber de cumplimiento de los poderes públicos. La autorización provisional regulada en el precepto cuestionado supone impedir la continuación de la actividad del incidente. No se trata de otorgar eficacia cautelar a un planeamiento en tramitación, sino de evitar, provisionalmente, una demolición debida a una orden judicial.</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19 de enero de 2016 el Pleno, a propuesta de la Sección Cuarta, acordó, a los efectos que determina el art. 37.1 LOTC, oír al Fiscal General del Estado para que, en el plazo de diez días, alegara lo que considerara conveniente acerca de la admisibilidad de la presente cuestión de inconstitucionalidad, por si hubiera perdido objeto de forma sobrevenida (STC 254/2015, de 30 de noviembre).</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escrito registrado con fecha 8 de febrero de 2016, la Fiscal General del Estado comparece e interesa que se dicte resolución por la que se declara la extinción de esta cuestión de inconstitucionalidad, por desaparición sobrevenida de su objeto. Alega al respecto, en síntesis, lo siguiente:</w:t>
      </w:r>
    </w:p>
    <w:p w:rsidR="0033382B" w:rsidRDefault="0033382B" w:rsidP="0033382B">
      <w:pPr>
        <w:pStyle w:val="TextoNormal"/>
      </w:pPr>
    </w:p>
    <w:p w:rsidR="0033382B" w:rsidRDefault="0033382B" w:rsidP="0033382B">
      <w:pPr>
        <w:pStyle w:val="TextoNormal"/>
      </w:pPr>
      <w:r>
        <w:t>La STC 254/2015, de 30 de noviembre, resolutoria de la cuestión de inconstitucionalidad núm. 6860-2014, ha declarado inconstitucional y nulo el precepto cuestionado, en cuanto se refiere a los procesos de ejecución de resoluciones judiciales.</w:t>
      </w:r>
    </w:p>
    <w:p w:rsidR="0033382B" w:rsidRDefault="0033382B" w:rsidP="0033382B">
      <w:pPr>
        <w:pStyle w:val="TextoNormal"/>
      </w:pPr>
    </w:p>
    <w:p w:rsidR="0033382B" w:rsidRDefault="0033382B" w:rsidP="0033382B">
      <w:pPr>
        <w:pStyle w:val="TextoNormal"/>
      </w:pPr>
      <w:r>
        <w:t>Dicha sentencia, publicada en el “BOE” de 12 de enero de 2016, posee el valor de cosa juzgada y plenos efectos frente a todos a partir del día siguiente al de su publicación (arts. 164.1 CE y 38.1 LOTC), con la consecuencia necesaria de que el precepto cuestionado ha sido definitivamente expulsado del ordenamiento.</w:t>
      </w:r>
    </w:p>
    <w:p w:rsidR="0033382B" w:rsidRDefault="0033382B" w:rsidP="0033382B">
      <w:pPr>
        <w:pStyle w:val="TextoNormal"/>
      </w:pPr>
    </w:p>
    <w:p w:rsidR="0033382B" w:rsidRDefault="0033382B" w:rsidP="0033382B">
      <w:pPr>
        <w:pStyle w:val="TextoNormal"/>
      </w:pPr>
      <w:r>
        <w:t>Ello impone apreciar ahora, conforme a reiterada jurisprudencia constitucional (SSTC 387/1993, de 23 de diciembre, 72/1997, de 10 de abril, 91/1997, de 8 de mayo, y AATC 271/2005, de 21 de junio, 77/2007, de 27 de febrero, 306/2007, de 19 de junio, 175/2010, de 23 de noviembre, y 176/2010, de 23 de noviembre), la desaparición sobrevenida del objeto de la presente cuestión, al haber quedado disipada la duda de constitucionalidad planteada por el órgano judicial.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 xml:space="preserve">Único. La presente cuestión de inconstitucionalidad ha sido promovida por la Sala de lo Contencioso-Administrativo del Tribunal Superior de Justicia de Cantabria en relación con el art. 65 </w:t>
      </w:r>
      <w:r w:rsidRPr="0033382B">
        <w:rPr>
          <w:i/>
        </w:rPr>
        <w:t>bis</w:t>
      </w:r>
      <w:r>
        <w:t>.1 de la Ley del Parlamento de Cantabria 2/2001, de 25 de junio, de ordenación territorial y de régimen urbanístico del suelo de Cantabria, introducido por la Ley 4/2013, de 20 de junio, en la parte del mismo que se refiere a las órdenes de demolición judiciales.</w:t>
      </w:r>
    </w:p>
    <w:p w:rsidR="0033382B" w:rsidRDefault="0033382B" w:rsidP="0033382B">
      <w:pPr>
        <w:pStyle w:val="TextoNormal"/>
      </w:pPr>
    </w:p>
    <w:p w:rsidR="0033382B" w:rsidRDefault="0033382B" w:rsidP="0033382B">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y, por tanto, también, su vertiente de derecho a la ejecución de sentencias, y la potestad exclusiva de Jueces y Tribunales para ejecutar lo juzgado.</w:t>
      </w:r>
    </w:p>
    <w:p w:rsidR="0033382B" w:rsidRDefault="0033382B" w:rsidP="0033382B">
      <w:pPr>
        <w:pStyle w:val="TextoNormal"/>
      </w:pPr>
    </w:p>
    <w:p w:rsidR="0033382B" w:rsidRDefault="0033382B" w:rsidP="0033382B">
      <w:pPr>
        <w:pStyle w:val="TextoNormal"/>
      </w:pPr>
      <w:r>
        <w:t xml:space="preserve">La STC 254/2015, de 30 de noviembre, estimatoria de la cuestión de inconstitucionalidad núm. 6860-2014, ha declarado inconstitucional y nulo el inciso “o judiciales” del art. 65 </w:t>
      </w:r>
      <w:r w:rsidRPr="0033382B">
        <w:rPr>
          <w:i/>
        </w:rPr>
        <w:t>bis</w:t>
      </w:r>
      <w:r>
        <w:t>.1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33382B" w:rsidRDefault="0033382B" w:rsidP="0033382B">
      <w:pPr>
        <w:pStyle w:val="TextoNormal"/>
      </w:pPr>
    </w:p>
    <w:p w:rsidR="0033382B" w:rsidRDefault="0033382B" w:rsidP="0033382B">
      <w:pPr>
        <w:pStyle w:val="TextoNormal"/>
      </w:pPr>
      <w:r>
        <w:t>Una vez que el referido inciso ha sido expulsado del ordenamiento, con apoyo en lo previsto en el art. 37.1 LOTC, procede acordar la inadmisión de esta cuestión de inconstitucionalidad, toda vez que la expresada circunstancia determina la pérdida sobrevenida de su objeto (AATC 277/2000, de 28 de noviembre, 203/2014, de 22 de julio, y 230/2014, de 23 de septiembre).</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cuestión de inconstitucionalidad núm. 6988-2015.</w:t>
      </w:r>
    </w:p>
    <w:p w:rsidR="0033382B" w:rsidRDefault="0033382B" w:rsidP="0033382B">
      <w:pPr>
        <w:pStyle w:val="TextoNormal"/>
      </w:pPr>
    </w:p>
    <w:p w:rsidR="0033382B" w:rsidRDefault="0033382B" w:rsidP="0033382B">
      <w:pPr>
        <w:pStyle w:val="TextoNormal"/>
      </w:pPr>
      <w:r>
        <w:t>Madrid, a uno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84" w:name="AUTO_2016_57"/>
      <w:r>
        <w:t>AUTO 57/2016, de 1 de marzo de 2016</w:t>
      </w:r>
    </w:p>
    <w:bookmarkEnd w:id="184"/>
    <w:p w:rsidR="0033382B" w:rsidRDefault="0033382B" w:rsidP="0033382B">
      <w:pPr>
        <w:pStyle w:val="TtuloResolucin"/>
      </w:pPr>
      <w:r>
        <w:t>Pleno</w:t>
      </w:r>
    </w:p>
    <w:p w:rsidR="0033382B" w:rsidRDefault="0033382B" w:rsidP="0033382B">
      <w:pPr>
        <w:pStyle w:val="TextoNormalCentrado"/>
      </w:pPr>
      <w:r>
        <w:t>ECLI:ES:TC:2016:57A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6989-2015, planteada por el Tribunal Superior de Justicia de Cantabria en relación con el artículo 65 bis.1 de la Ley del Parlamento de Cantabria 2/2001, de 25 de junio, de ordenación territorial y de régimen urbanístico del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Por escrito registrado en este Tribunal el 9 de diciembre de 2015, la Sala de lo Contencioso-Administrativo del Tribunal Superior de Justicia de Cantabria remitió testimonio del Auto de 9 de noviembre de 2015 por el que acordó plantear cuestión de inconstitucionalidad en relación con el art. 65 </w:t>
      </w:r>
      <w:r w:rsidRPr="0033382B">
        <w:rPr>
          <w:i/>
        </w:rPr>
        <w:t>bis</w:t>
      </w:r>
      <w:r>
        <w:t>.1 de la Ley 2/2001, de 25 de junio, de ordenación territorial y del régimen urbanístico del suelo de Cantabria, añadido por el art. 1 de la Ley 4/2013, de 20 de junio, en cuanto alude a “órdenes de demolición judiciales”, por posible vulneración de los arts. 24, 117.3 y 149.1.6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Por Sentencia de 14 de septiembre de 1998, la Sala de lo Contencioso-Administrativo del Tribunal Superior de Justicia de Cantabria estimó el recurso contencioso-administrativo núm. 1721-1996 y declaró la nulidad de la resolución recurrida y la obligación del Ayuntamiento de Piélagos de demoler 17 viviendas unifamiliares en la localidad de Liencres. Interpuesto recurso de casación, fue resuelto por Sentencia del Tribunal Supremo de 23 de octubre de 2002.</w:t>
      </w:r>
    </w:p>
    <w:p w:rsidR="0033382B" w:rsidRDefault="0033382B" w:rsidP="0033382B">
      <w:pPr>
        <w:pStyle w:val="TextoNormal"/>
      </w:pPr>
    </w:p>
    <w:p w:rsidR="0033382B" w:rsidRDefault="0033382B" w:rsidP="0033382B">
      <w:pPr>
        <w:pStyle w:val="TextoNormal"/>
      </w:pPr>
      <w:r>
        <w:t>b) La parte recurrente instó la ejecución de la referida Sentencia que decreta la demolición de lo edificado al amparo de la licencia municipal anulada.</w:t>
      </w:r>
    </w:p>
    <w:p w:rsidR="0033382B" w:rsidRDefault="0033382B" w:rsidP="0033382B">
      <w:pPr>
        <w:pStyle w:val="TextoNormal"/>
      </w:pPr>
    </w:p>
    <w:p w:rsidR="0033382B" w:rsidRDefault="0033382B" w:rsidP="0033382B">
      <w:pPr>
        <w:pStyle w:val="TextoNormal"/>
      </w:pPr>
      <w:r>
        <w:t xml:space="preserve">c) El Ayuntamiento de Piélagos promovió el 22 de junio de 2015 el incidente procesal previsto en el art. 105 de la Ley reguladora de la jurisdicción contencioso-administrativa, solicitando que la Sala acordara la inejecutabilidad de la Sentencia, en tanto se cumplan las condiciones del art. 65 </w:t>
      </w:r>
      <w:r w:rsidRPr="0033382B">
        <w:rPr>
          <w:i/>
        </w:rPr>
        <w:t>bis</w:t>
      </w:r>
      <w:r>
        <w:t>.1 de la Ley 2/2001, de 25 de junio, de ordenación territorial y del régimen urbanístico del suelo de Cantabria, añadido por el art. 1 de la Ley 4/2013, de 20 de junio.</w:t>
      </w:r>
    </w:p>
    <w:p w:rsidR="0033382B" w:rsidRDefault="0033382B" w:rsidP="0033382B">
      <w:pPr>
        <w:pStyle w:val="TextoNormal"/>
      </w:pPr>
    </w:p>
    <w:p w:rsidR="0033382B" w:rsidRDefault="0033382B" w:rsidP="0033382B">
      <w:pPr>
        <w:pStyle w:val="TextoNormal"/>
      </w:pPr>
      <w:r>
        <w:t xml:space="preserve">d) A la vista de lo solicitado por el Ayuntamiento de Piélagos, la Sala de lo Contencioso-Administrativo del Tribunal Superior de Justicia de Cantabria acordó mediante providencia de 30 de julio de 2015, en virtud del art. 35.2 de la Ley Orgánica del Tribunal Constitucional (LOTC), oír a las partes y al Ministerio Fiscal sobre la posible inconstitucionalidad del art. 65 </w:t>
      </w:r>
      <w:r w:rsidRPr="0033382B">
        <w:rPr>
          <w:i/>
        </w:rPr>
        <w:t>bis</w:t>
      </w:r>
      <w:r>
        <w:t>.1 de la Ley 2/2001, de 25 de junio, de ordenación territorial y del régimen urbanístico del suelo de Cantabria, añadido por el art. 1 de la Ley 4/2013, de 20 de junio, en lo que se refiere a las órdenes de demolición judicial. Entendía que este inciso del precepto legal pudiera ser contrario a los arts. 24, 117.3 y 149.1.6 CE.</w:t>
      </w:r>
    </w:p>
    <w:p w:rsidR="0033382B" w:rsidRDefault="0033382B" w:rsidP="0033382B">
      <w:pPr>
        <w:pStyle w:val="TextoNormal"/>
      </w:pPr>
    </w:p>
    <w:p w:rsidR="0033382B" w:rsidRDefault="0033382B" w:rsidP="0033382B">
      <w:pPr>
        <w:pStyle w:val="TextoNormal"/>
      </w:pPr>
      <w:r>
        <w:t>e) Oídas las partes y el Ministerio Fiscal, la Sala de lo Contencioso-Administrativo del Tribunal Superior de Justicia de Cantabria, mediante Auto de 9 de noviembre de 2015, acordó plantear cuestión de inconstitucionalidad sobre el precepto citado.</w:t>
      </w:r>
    </w:p>
    <w:p w:rsidR="0033382B" w:rsidRDefault="0033382B" w:rsidP="0033382B">
      <w:pPr>
        <w:pStyle w:val="TextoNormal"/>
      </w:pPr>
    </w:p>
    <w:p w:rsidR="0033382B" w:rsidRDefault="0033382B" w:rsidP="0033382B">
      <w:pPr>
        <w:pStyle w:val="TextoNormal"/>
      </w:pPr>
      <w:r w:rsidRPr="0033382B">
        <w:rPr>
          <w:rStyle w:val="NumeroAFNegritaCaracter"/>
        </w:rPr>
        <w:t>3</w:t>
      </w:r>
      <w:r>
        <w:t>. En cuanto al contenido del Auto de planteamiento importa destacar lo siguiente:</w:t>
      </w:r>
    </w:p>
    <w:p w:rsidR="0033382B" w:rsidRDefault="0033382B" w:rsidP="0033382B">
      <w:pPr>
        <w:pStyle w:val="TextoNormal"/>
      </w:pPr>
    </w:p>
    <w:p w:rsidR="0033382B" w:rsidRDefault="0033382B" w:rsidP="0033382B">
      <w:pPr>
        <w:pStyle w:val="TextoNormal"/>
      </w:pPr>
      <w:r>
        <w:t>Tras exponer que los hechos que han dado lugar al planteamiento de la cuestión y justificar que el precepto cuestionado, al ser la norma en la que se fundamenta el incidente por el que se solicita la suspensión de la ejecución de la Sentencia, es relevante para el fallo, la Sala entra a analizar las razones por las que duda de su constitucionalidad.</w:t>
      </w:r>
    </w:p>
    <w:p w:rsidR="0033382B" w:rsidRDefault="0033382B" w:rsidP="0033382B">
      <w:pPr>
        <w:pStyle w:val="TextoNormal"/>
      </w:pPr>
    </w:p>
    <w:p w:rsidR="0033382B" w:rsidRDefault="0033382B" w:rsidP="0033382B">
      <w:pPr>
        <w:pStyle w:val="TextoNormal"/>
      </w:pPr>
      <w:r>
        <w:t xml:space="preserve">Según se afirma en el Auto de planteamiento de la cuestión, el art. 65 </w:t>
      </w:r>
      <w:r w:rsidRPr="0033382B">
        <w:rPr>
          <w:i/>
        </w:rPr>
        <w:t>bis</w:t>
      </w:r>
      <w:r>
        <w:t>.1 de la Ley de ordenación territorial y del régimen urbanístico del suelo de Cantabria, en lo que se refiere a las ordenes de demolición judiciales, puede ser lesivo del art. 149.1.6 CE, al derecho a la ejecución de sentencias que garantiza el art. 24 CE y al art. 117.3 CE.</w:t>
      </w:r>
    </w:p>
    <w:p w:rsidR="0033382B" w:rsidRDefault="0033382B" w:rsidP="0033382B">
      <w:pPr>
        <w:pStyle w:val="TextoNormal"/>
      </w:pPr>
    </w:p>
    <w:p w:rsidR="0033382B" w:rsidRDefault="0033382B" w:rsidP="0033382B">
      <w:pPr>
        <w:pStyle w:val="TextoNormal"/>
      </w:pPr>
      <w:r>
        <w:t>La Sala sostiene que el referido precepto legal, al establecer que “durante el tiempo en el que estén vigentes las autorizaciones provisionales las edificaciones afectadas se mantendrán en la situación en la que se encuentren y les será de aplicación el régimen previsto para los edificios de fuera de ordenación”, introduce una causa de suspensión de la ejecución de las sentencias que vulnera la competencia que el art. 149.1.6 CE atribuye al Estado en materia de legislación procesal.</w:t>
      </w:r>
    </w:p>
    <w:p w:rsidR="0033382B" w:rsidRDefault="0033382B" w:rsidP="0033382B">
      <w:pPr>
        <w:pStyle w:val="TextoNormal"/>
      </w:pPr>
    </w:p>
    <w:p w:rsidR="0033382B" w:rsidRDefault="0033382B" w:rsidP="0033382B">
      <w:pPr>
        <w:pStyle w:val="TextoNormal"/>
      </w:pPr>
      <w:r>
        <w:t>También considera que la autorización provisional que establece el precepto cuestionado, al impedir la demolición acordada en la Sentencia, es contraria al derecho a la ejecución de sentencias, que forma parte del derecho fundamental a la tutela judicial efectiva (art. 24.1 CE). Puede lesionar asimismo el art 117.3 CE, ya que permite que la Administración pueda frustrar el cumplimiento del fallo de la Sentencia firme.</w:t>
      </w:r>
    </w:p>
    <w:p w:rsidR="0033382B" w:rsidRDefault="0033382B" w:rsidP="0033382B">
      <w:pPr>
        <w:pStyle w:val="TextoNormal"/>
      </w:pPr>
    </w:p>
    <w:p w:rsidR="0033382B" w:rsidRDefault="0033382B" w:rsidP="0033382B">
      <w:pPr>
        <w:pStyle w:val="TextoNormal"/>
      </w:pPr>
      <w:r>
        <w:t>La Sala invoca la doctrina sentada en la STC 82/2014, de 28 de mayo, en la que se considera contrario a la competencia estatal del art. 149.1.6 CE que el legislador autonómico establezca una causa de suspensión o aplazamiento de la ejecución de las sentencias que han de ejecutarse mediante el derribo de las edificaciones.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0033382B" w:rsidRDefault="0033382B" w:rsidP="0033382B">
      <w:pPr>
        <w:pStyle w:val="TextoNormal"/>
      </w:pPr>
    </w:p>
    <w:p w:rsidR="0033382B" w:rsidRDefault="0033382B" w:rsidP="0033382B">
      <w:pPr>
        <w:pStyle w:val="TextoNormal"/>
      </w:pPr>
      <w:r>
        <w:t xml:space="preserve">Las anteriores consideraciones llevan a la Sala a plantear cuestión de inconstitucionalidad en relación con el art. 65 </w:t>
      </w:r>
      <w:r w:rsidRPr="0033382B">
        <w:rPr>
          <w:i/>
        </w:rPr>
        <w:t>bis</w:t>
      </w:r>
      <w:r>
        <w:t>.1 de la Ley 2/2001, de 25 de junio, de ordenación territorial y régimen urbanístico, añadido por el art. 1 de la Ley 4/2013, en lo que se refiere a las órdenes de demolición judiciales, por ser contrario a los arts. 24, 117.3 y 149.1.6 CE.</w:t>
      </w:r>
    </w:p>
    <w:p w:rsidR="0033382B" w:rsidRDefault="0033382B" w:rsidP="0033382B">
      <w:pPr>
        <w:pStyle w:val="TextoNormal"/>
      </w:pPr>
    </w:p>
    <w:p w:rsidR="0033382B" w:rsidRDefault="0033382B" w:rsidP="0033382B">
      <w:pPr>
        <w:pStyle w:val="TextoNormal"/>
      </w:pPr>
      <w:r w:rsidRPr="0033382B">
        <w:rPr>
          <w:rStyle w:val="NumeroAFNegritaCaracter"/>
        </w:rPr>
        <w:t>4</w:t>
      </w:r>
      <w:r>
        <w:t>. El Pleno de este Tribunal, a propuesta de la Sección Segunda, acordó por providencia de 19 de enero de 2016 acordó oír al Fiscal General del Estado para que, en el plazo de diez días y a los efectos que determina el art. 37.1 LOTC, alegase lo que considerase conveniente acerca de la admisibilidad de la cuestión, por si hubiera perdido objeto de forma sobrevenida por efecto de lo resuelto en la STC 254/2015, de 30 de noviembre.</w:t>
      </w:r>
    </w:p>
    <w:p w:rsidR="0033382B" w:rsidRDefault="0033382B" w:rsidP="0033382B">
      <w:pPr>
        <w:pStyle w:val="TextoNormal"/>
      </w:pPr>
    </w:p>
    <w:p w:rsidR="0033382B" w:rsidRDefault="0033382B" w:rsidP="0033382B">
      <w:pPr>
        <w:pStyle w:val="TextoNormal"/>
      </w:pPr>
      <w:r w:rsidRPr="0033382B">
        <w:rPr>
          <w:rStyle w:val="NumeroAFNegritaCaracter"/>
        </w:rPr>
        <w:t>5</w:t>
      </w:r>
      <w:r>
        <w:t xml:space="preserve">. La Fiscal General del Estado evacuó el trámite conferido mediante escrito registrado en este Tribunal el 9 de febrero de 2016, interesando que se declare la extinción de la cuestión por pérdida sobrevenida de objeto, toda vez que la STC 254/2015, de 30 de noviembre, ha declarado inconstitucional y nulo el inciso “o judiciales” del art. 65 </w:t>
      </w:r>
      <w:r w:rsidRPr="0033382B">
        <w:rPr>
          <w:i/>
        </w:rPr>
        <w:t>bis</w:t>
      </w:r>
      <w:r>
        <w:t>.1 de la Ley 2/2001, de 25 de junio, de ordenación territorial y de régimen urbanístico del suelo de Cantabria, añadido por la Ley 4/2013, de 20 de junio, precepto que queda así expulsado del ordenamiento jurídico, una vez anulado por inconstitucional. La STC 254/2015 fue publicada en el “Boletín Oficial del Estado” de 12 de enero de 2106, por lo cual posee a partir del día siguiente el valor de cosa juzgada y despliega plenos efectos frente a todos (arts. 164.1 CE y 38.1 LOTC), lo que determina, conforme a reiterada doctrina constitucional, que deba declararse la pérdida sobrevenida de objeto de la cuestión, al haber quedado disipada la duda de constitucionalidad planteada por el órgano judicial.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 xml:space="preserve">Único. La Sala de lo Contencioso-Administrativo del Tribunal Superior de Justicia de Cantabria plantea cuestión de inconstitucionalidad en relación con el art. 65 </w:t>
      </w:r>
      <w:r w:rsidRPr="0033382B">
        <w:rPr>
          <w:i/>
        </w:rPr>
        <w:t>bis</w:t>
      </w:r>
      <w:r>
        <w:t>.1 de la Ley 2/2001, de 25 de junio, de ordenación territorial y del régimen urbanístico del suelo de Cantabria, introducido por la Ley del Parlamento de Cantabria 4/2013, de 20 de junio, en la parte del mismo que se refiere a las órdenes de demolición judiciales.</w:t>
      </w:r>
    </w:p>
    <w:p w:rsidR="0033382B" w:rsidRDefault="0033382B" w:rsidP="0033382B">
      <w:pPr>
        <w:pStyle w:val="TextoNormal"/>
      </w:pPr>
    </w:p>
    <w:p w:rsidR="0033382B" w:rsidRDefault="0033382B" w:rsidP="0033382B">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 y 117.3 CE que consagran, respectivamente, el derecho a la tutela judicial efectiva y, por tanto, también, su vertiente de derecho a la ejecución de sentencias y la potestad exclusiva de Jueces y Tribunales para ejecutar lo juzgado.</w:t>
      </w:r>
    </w:p>
    <w:p w:rsidR="0033382B" w:rsidRDefault="0033382B" w:rsidP="0033382B">
      <w:pPr>
        <w:pStyle w:val="TextoNormal"/>
      </w:pPr>
    </w:p>
    <w:p w:rsidR="0033382B" w:rsidRDefault="0033382B" w:rsidP="0033382B">
      <w:pPr>
        <w:pStyle w:val="TextoNormal"/>
      </w:pPr>
      <w:r>
        <w:t xml:space="preserve">Este Tribunal, en su STC 254/2015, de 30 de noviembre, resolutoria de la cuestión de inconstitucionalidad núm. 6860-2014, de idéntico contenido a la presente y planteada por el mismo órgano judicial, ha declarado inconstitucional y nulo el inciso “o judiciales” del art. 65 </w:t>
      </w:r>
      <w:r w:rsidRPr="0033382B">
        <w:rPr>
          <w:i/>
        </w:rPr>
        <w:t>bis</w:t>
      </w:r>
      <w:r>
        <w:t xml:space="preserve">.1 de la Ley 2/2001, de 25 de junio, de ordenación territorial y de régimen urbanístico del suelo de Cantabria, introducido por la Ley 4/2013, de 20 de junio. En la STC 254/2015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 La STC 254/2015 fue publicada en el “Boletín Oficial del Estado” núm. 10, de 12 de enero de 2106, por lo cual a partir del día siguiente a esa fecha de publicación posee el valor de cosa juzgada, vincula a todos los poderes públicos y despliega plenos efectos </w:t>
      </w:r>
      <w:r w:rsidRPr="0033382B">
        <w:rPr>
          <w:i/>
        </w:rPr>
        <w:t>erga omnes</w:t>
      </w:r>
      <w:r>
        <w:t xml:space="preserve"> (art. 164.1 CE y art. 38.1 de la Ley Orgánica del Tribunal Constitucional).</w:t>
      </w:r>
    </w:p>
    <w:p w:rsidR="0033382B" w:rsidRDefault="0033382B" w:rsidP="0033382B">
      <w:pPr>
        <w:pStyle w:val="TextoNormal"/>
      </w:pPr>
    </w:p>
    <w:p w:rsidR="0033382B" w:rsidRDefault="0033382B" w:rsidP="0033382B">
      <w:pPr>
        <w:pStyle w:val="TextoNormal"/>
      </w:pPr>
      <w:r>
        <w:t xml:space="preserve">Se sigue de ello, como señala la Fiscal General del Estado, que el referido inciso del art. 65 </w:t>
      </w:r>
      <w:r w:rsidRPr="0033382B">
        <w:rPr>
          <w:i/>
        </w:rPr>
        <w:t>bis</w:t>
      </w:r>
      <w:r>
        <w:t>.1 de la Ley 2/2001, de 25 de junio, de ordenación territorial y de régimen urbanístico del suelo de Cantabria, ha sido expulsado del ordenamiento, una vez anulado por inconstitucional, lo que conduce a declarar, conforme a reiterada doctrina de este Tribunal (por todos, AATC 271/2005, de 21 de junio, FJ único; 28/2015, de 16 de febrero, FJ único; y 6/2016, de 19 de enero, FJ 5), la inadmisión de la presente cuestión por pérdida sobrevenida de objeto, al haber quedado disipada la duda de constitucionalidad planteada por el órgano judicial.</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uno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85" w:name="AUTO_2016_58"/>
      <w:r>
        <w:t>AUTO 58/2016, de 2 de marzo de 2016</w:t>
      </w:r>
    </w:p>
    <w:bookmarkEnd w:id="185"/>
    <w:p w:rsidR="0033382B" w:rsidRDefault="0033382B" w:rsidP="0033382B">
      <w:pPr>
        <w:pStyle w:val="TtuloResolucin"/>
      </w:pPr>
      <w:r>
        <w:t>Sección Primera</w:t>
      </w:r>
    </w:p>
    <w:p w:rsidR="0033382B" w:rsidRDefault="0033382B" w:rsidP="0033382B">
      <w:pPr>
        <w:pStyle w:val="TextoNormalCentrado"/>
      </w:pPr>
      <w:r>
        <w:t>ECLI:ES:TC:2016:58A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y don Juan Antonio Xiol Ríos.</w:t>
      </w:r>
    </w:p>
    <w:p w:rsidR="0033382B" w:rsidRDefault="0033382B" w:rsidP="0033382B">
      <w:pPr>
        <w:pStyle w:val="SntesisDescriptiva"/>
      </w:pPr>
    </w:p>
    <w:p w:rsidR="0033382B" w:rsidRDefault="0033382B" w:rsidP="0033382B">
      <w:pPr>
        <w:pStyle w:val="SntesisDescriptiva"/>
      </w:pPr>
      <w:r>
        <w:t>Desestima el recurso de súplica del Ministerio Fiscal sobre inadmisión del recurso de amparo 7131-2014, promovido por don Eugenio Ares González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25 de noviembre de 2014, el Procurador de los Tribunales don Ramiro Reynolds Martínez, en nombre y representación de don Eugenio Ares González, y bajo la dirección de la Letrada doña María del Carmen Muñoz López, presentó demanda de amparo contra el Auto de la Sección Segunda de la Sala de lo Contencioso-Administrativo del Tribunal Superior de Justicia del País Vasco de 2 de octubre de 2014, por el que se desestima el incidente de nulidad de actuaciones formulado contra la Sentencia de 20 de junio de 2014 por la que se desestima el recurso contencioso-administrativo núm. 896-2012 interpuesto contra el acuerdo del Tribunal Económico Administrativo Foral de Gipuzkoa de 25 de julio de 2012 sobre reclamación contra liquidación provisional por el impuesto sobre la renta de las personas físicas correspondiente al ejercicio de 2006.</w:t>
      </w:r>
    </w:p>
    <w:p w:rsidR="0033382B" w:rsidRDefault="0033382B" w:rsidP="0033382B">
      <w:pPr>
        <w:pStyle w:val="TextoNormal"/>
      </w:pPr>
    </w:p>
    <w:p w:rsidR="0033382B" w:rsidRDefault="0033382B" w:rsidP="0033382B">
      <w:pPr>
        <w:pStyle w:val="TextoNormal"/>
      </w:pPr>
      <w:r w:rsidRPr="0033382B">
        <w:rPr>
          <w:rStyle w:val="NumeroAFNegritaCaracter"/>
        </w:rPr>
        <w:t>2</w:t>
      </w:r>
      <w:r>
        <w:t>. El demandante de amparo invoca el derecho a la tutela judicial efectiva (art. 24.1 CE), con fundamento en que se había denegado sin motivación válida los motivos de inconstitucionalidad alegados en relación con el art. 26.2 de la Norma Foral de Gipuzkoa 8/1998 y art. 30.2 de la Norma Foral de Gipuzkoa 10/2006; y el principio de igualdad en la aplicación de la ley (art. 14 CE), con fundamento en que la Administración tributaria está dispensando un tratamiento discriminatorio a algunos transportistas autónomos de mercancías por carretera a los que no se les permite acogerse al sistema de estimación objetiva.</w:t>
      </w:r>
    </w:p>
    <w:p w:rsidR="0033382B" w:rsidRDefault="0033382B" w:rsidP="0033382B">
      <w:pPr>
        <w:pStyle w:val="TextoNormal"/>
      </w:pPr>
    </w:p>
    <w:p w:rsidR="0033382B" w:rsidRDefault="0033382B" w:rsidP="0033382B">
      <w:pPr>
        <w:pStyle w:val="TextoNormal"/>
      </w:pPr>
      <w:r w:rsidRPr="0033382B">
        <w:rPr>
          <w:rStyle w:val="NumeroAFNegritaCaracter"/>
        </w:rPr>
        <w:t>3</w:t>
      </w:r>
      <w:r>
        <w:t>. La Sección Primera de este Tribunal, mediante providencia de 2 de diciembre de 2015, acordó no admitir el recurso a trámite, con arreglo a lo previsto en el art. 50.1 a) de la Ley Orgánica del Tribunal Constitucional (LOTC), dada la manifiesta inexistencia de violación de un derecho fundamental tutelable en amparo.</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escrito registrado el 14 de enero de 2016, interpuso recurso de súplica contra dicha providencia, alegando que por providencia de la Sala Segunda del Tribunal Constitucional se había admitido a trámite la demanda de amparo núm. 1388-2014 sustancialmente igual a la presente y que había sido informado por el Ministerio Fiscal solicitando el otorgamiento del amparo, por lo que procede estimar el recurso de súplica dejando sin efecto la providencia de inadmisión recaída, para que sea admitida a trámite.</w:t>
      </w:r>
    </w:p>
    <w:p w:rsidR="0033382B" w:rsidRDefault="0033382B" w:rsidP="0033382B">
      <w:pPr>
        <w:pStyle w:val="TextoNormal"/>
      </w:pPr>
    </w:p>
    <w:p w:rsidR="0033382B" w:rsidRDefault="0033382B" w:rsidP="0033382B">
      <w:pPr>
        <w:pStyle w:val="TextoNormal"/>
      </w:pPr>
      <w:r w:rsidRPr="0033382B">
        <w:rPr>
          <w:rStyle w:val="NumeroAFNegritaCaracter"/>
        </w:rPr>
        <w:t>5</w:t>
      </w:r>
      <w:r>
        <w:t>. La Secretaría de Justicia de la Sección Primera de este Tribunal, por diligencia de ordenación de 15 de enero de 2016, acordó dar traslado del recurso de súplica para alegaciones al demandante, quien, mediante escrito registrado el 25 de enero de 2016, se adhirió al recurso formulado, abundando en los argumentos por los que considera vulnerados los derechos invocados.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El Ministerio Fiscal sustenta su recurso de súplica en la identidad sustancial de la presente demanda, que ha sido inadmitida por la providencia recurrida, y la registrada con el núm. 1388-2014 que, sin embargo, ha sido admitida a trámite, emitiendo el Ministerio Fiscal en dicho proceso constitucional informe favorable a su estimación. Este mismo recurso de súplica ha sido formulado en relación con sendas providencias de inadmisión en los recursos de amparo 7093-2014, 1809-2015 y 1826-2015.</w:t>
      </w:r>
    </w:p>
    <w:p w:rsidR="0033382B" w:rsidRDefault="0033382B" w:rsidP="0033382B">
      <w:pPr>
        <w:pStyle w:val="TextoNormal"/>
      </w:pPr>
    </w:p>
    <w:p w:rsidR="0033382B" w:rsidRDefault="0033382B" w:rsidP="0033382B">
      <w:pPr>
        <w:pStyle w:val="TextoNormal"/>
      </w:pPr>
      <w:r>
        <w:t>El hecho de que el recurso de amparo núm. 1388-2014, a cuya pretendida identidad sustancial se aludía por el Ministerio Fiscal para fundamentar su recurso de súplica, haya sido íntegramente desestimado por la STC 3/2016, de 18 de enero, por no apreciarse la lesión de ninguno de los derechos invocados en aquella demanda, resulta suficiente, por la pérdida de cualquier efecto útil, para la desestimación de este recurso de súplica y la consiguiente confirmación de la decisión de inadmisión impugnada por la manifiesta inexistencia de violación de un derecho fundamental tutelable en amparo.</w:t>
      </w:r>
    </w:p>
    <w:p w:rsidR="0033382B" w:rsidRDefault="0033382B" w:rsidP="0033382B">
      <w:pPr>
        <w:pStyle w:val="TextoNormal"/>
      </w:pPr>
    </w:p>
    <w:p w:rsidR="0033382B" w:rsidRDefault="0033382B" w:rsidP="0033382B">
      <w:pPr>
        <w:pStyle w:val="TextoNormal"/>
      </w:pPr>
      <w:r>
        <w:t>Al margen de ello, una vez que la Sección Segunda de este Tribunal, mediante Auto de 4 de febrero de 2016, dictado en el recurso de amparo núm. 7093-2014, ya ha desestimado el recurso de súplica del Ministerio Fiscal interpuesto en aquel caso con idéntico fundamento que en el presente, también resulta necesario remitirse a los razonamientos expuestos en dicha resolución para negar la existencia de la identidad sustancial alegada. En ese Auto ya se señala la singularidad de los razonamientos judiciales sustentados en la resolución judicial que dio lugar al recurso de amparo núm. 1388-2014, frente a los que se mantenían en la resolución judicial que ha dado lugar al presente recurso, poniendo de manifiesto que en aquel caso el órgano judicial se atribuye la posibilidad de enjuiciar la constitucionalidad de la Norma Foral impugnada, indicando en su fundamento jurídico quinto: “la improcedencia de plantear cuestión de inconstitucionalidad, cuestión prejudicial ante el Tribunal Constitucional, como consecuencia de las reformas introducidas por la Ley Orgánica 1/2010, de 19 de febrero en la Ley Orgánica del Tribunal Constitucional, en la Ley Orgánica del Poder Judicial y en la Ley de la jurisdicción contencioso-administrativa, lo que lleva a ratificar que esta Sala mantiene la competencia para conocer la impugnación indirecta de la Norma Foral de IPRF (</w:t>
      </w:r>
      <w:r w:rsidRPr="0033382B">
        <w:rPr>
          <w:i/>
        </w:rPr>
        <w:t>sic</w:t>
      </w:r>
      <w:r>
        <w:t>) por estar ante un recurso no solo interpuesto con anterioridad a la entrada en vigor de la Ley Orgánica 1/2010, a los veinte días de su publicación, en el “Boletín Oficial del Estado” el 20 de febrero de 2010, sino también con anterioridad a la formalización de la demanda en la que se formalizó la impugnación indirecta ... por lo que ratificamos la competencia de la Sala para conocer la impugnación indirecta de la Norma Foral”'.</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Desestimar el recurso de súplica interpuesto por el Ministerio Fiscal contra la providencia de 2 de diciembre de 2015.</w:t>
      </w:r>
    </w:p>
    <w:p w:rsidR="0033382B" w:rsidRDefault="0033382B" w:rsidP="0033382B">
      <w:pPr>
        <w:pStyle w:val="TextoNormal"/>
      </w:pPr>
    </w:p>
    <w:p w:rsidR="0033382B" w:rsidRDefault="0033382B" w:rsidP="0033382B">
      <w:pPr>
        <w:pStyle w:val="TextoNormal"/>
      </w:pPr>
      <w:r>
        <w:t>Madrid, a dos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86" w:name="AUTO_2016_59"/>
      <w:r>
        <w:t>AUTO 59/2016, de 2 de marzo de 2016</w:t>
      </w:r>
    </w:p>
    <w:bookmarkEnd w:id="186"/>
    <w:p w:rsidR="0033382B" w:rsidRDefault="0033382B" w:rsidP="0033382B">
      <w:pPr>
        <w:pStyle w:val="TtuloResolucin"/>
      </w:pPr>
      <w:r>
        <w:t>Sección Primera</w:t>
      </w:r>
    </w:p>
    <w:p w:rsidR="0033382B" w:rsidRDefault="0033382B" w:rsidP="0033382B">
      <w:pPr>
        <w:pStyle w:val="TextoNormalCentrado"/>
      </w:pPr>
      <w:r>
        <w:t>ECLI:ES:TC:2016:59A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y don Juan Antonio Xiol Ríos.</w:t>
      </w:r>
    </w:p>
    <w:p w:rsidR="0033382B" w:rsidRDefault="0033382B" w:rsidP="0033382B">
      <w:pPr>
        <w:pStyle w:val="SntesisDescriptiva"/>
      </w:pPr>
    </w:p>
    <w:p w:rsidR="0033382B" w:rsidRDefault="0033382B" w:rsidP="0033382B">
      <w:pPr>
        <w:pStyle w:val="SntesisDescriptiva"/>
      </w:pPr>
      <w:r>
        <w:t>Desestima el recurso de súplica del Ministerio Fiscal sobre inadmisión del recurso de amparo 1809-2015, promovido por don José María Esnal Beldarrain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27 de marzo de 2015, el Procurador de los Tribunales don Ramiro Reynolds Martínez, en nombre y representación de don José María Esnal Beldarrain, y bajo la dirección del Letrado don José María Pérez de Uralde, presentó demanda de amparo contra el Auto de la Sala de lo Contencioso-Administrativo del Tribunal Superior de Justicia del País Vasco de 4 de febrero de 2015, por el que se desestima el incidente de nulidad de actuaciones interpuesto contra la Sentencia de 27 de noviembre de 2014 por la que se desestima el recurso contencioso-administrativo núm. 1091-2012 interpuesto contra la Orden foral 992/2012, de 14 de noviembre, de la Diputada Foral del Departamento de Hacienda y Finanzas de la Diputación Foral de Gipuzkoa sobre solicitud de nulidad de pleno de las liquidaciones tributarias por el impuesto sobre la renta de las personas físicas correspondientes a los ejercicios de 2001 a 2003.</w:t>
      </w:r>
    </w:p>
    <w:p w:rsidR="0033382B" w:rsidRDefault="0033382B" w:rsidP="0033382B">
      <w:pPr>
        <w:pStyle w:val="TextoNormal"/>
      </w:pPr>
    </w:p>
    <w:p w:rsidR="0033382B" w:rsidRDefault="0033382B" w:rsidP="0033382B">
      <w:pPr>
        <w:pStyle w:val="TextoNormal"/>
      </w:pPr>
      <w:r w:rsidRPr="0033382B">
        <w:rPr>
          <w:rStyle w:val="NumeroAFNegritaCaracter"/>
        </w:rPr>
        <w:t>2</w:t>
      </w:r>
      <w:r>
        <w:t>. El demandante de amparo invoca el derecho a la tutela judicial efectiva (art. 24.1 CE), con fundamento en que se había denegado sin motivación válida los motivos alegados en relación con el acto impugnado; y el principio de igualdad en la aplicación de la ley (art. 14 CE), con fundamento en que la administración tributaria está dispensando un tratamiento discriminatorio a algunos transportistas autónomos de mercancías por carretera a los que no se les permite acogerse al sistema de estimación objetiva.</w:t>
      </w:r>
    </w:p>
    <w:p w:rsidR="0033382B" w:rsidRDefault="0033382B" w:rsidP="0033382B">
      <w:pPr>
        <w:pStyle w:val="TextoNormal"/>
      </w:pPr>
    </w:p>
    <w:p w:rsidR="0033382B" w:rsidRDefault="0033382B" w:rsidP="0033382B">
      <w:pPr>
        <w:pStyle w:val="TextoNormal"/>
      </w:pPr>
      <w:r w:rsidRPr="0033382B">
        <w:rPr>
          <w:rStyle w:val="NumeroAFNegritaCaracter"/>
        </w:rPr>
        <w:t>3</w:t>
      </w:r>
      <w:r>
        <w:t>. La Sección Primera de este Tribunal, mediante providencia de 2 de diciembre de 2015, acordó no admitir el recurso a trámite, con arreglo a lo previsto en el art. 50.1 a) de la Ley Orgánica del Tribunal Constitucional, dada la manifiesta inexistencia de violación de un derecho fundamental tutelable en amparo.</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escrito registrado el 2 de diciembre de 2015, interpuso recurso de súplica contra dicha providencia, alegando que por providencia de la Sala Segunda del Tribunal Constitucional se había admitido a trámite la demanda de amparo núm. 1388-2014 sustancialmente igual a la presente y que había sido informado por el Ministerio Fiscal solicitando el otorgamiento del amparo, por lo que procede estimar el recurso de súplica dejando sin efecto la providencia de inadmisión recaída, para que sea admitida a trámite.</w:t>
      </w:r>
    </w:p>
    <w:p w:rsidR="0033382B" w:rsidRDefault="0033382B" w:rsidP="0033382B">
      <w:pPr>
        <w:pStyle w:val="TextoNormal"/>
      </w:pPr>
    </w:p>
    <w:p w:rsidR="0033382B" w:rsidRDefault="0033382B" w:rsidP="0033382B">
      <w:pPr>
        <w:pStyle w:val="TextoNormal"/>
      </w:pPr>
      <w:r w:rsidRPr="0033382B">
        <w:rPr>
          <w:rStyle w:val="NumeroAFNegritaCaracter"/>
        </w:rPr>
        <w:t>5</w:t>
      </w:r>
      <w:r>
        <w:t>. La Secretaría de Justicia de la Sección Primera de este Tribunal, por diligencia de ordenación de 15 de enero de 2016, acordó dar traslado del recurso de súplica para alegaciones al demandante, quien, mediante escrito registrado el 25 de enero de 2016, se adhirió al recurso formulado, abundando en los argumentos por los que considera vulnerados los derechos invocados.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El Ministerio Fiscal sustenta su recurso de súplica en la identidad sustancial de la presente demanda, que ha sido inadmitida por la providencia recurrida, y la registrada con el núm. 1388-2014 que, sin embargo, ha sido admitida a trámite, emitiendo el Ministerio Fiscal en dicho proceso constitucional informe favorable a su estimación. Este mismo recurso de súplica ha sido formulado en relación con sendas providencias de inadmisión en los recursos de amparo 7093-2014, 1826-2015 y 1809-2015.</w:t>
      </w:r>
    </w:p>
    <w:p w:rsidR="0033382B" w:rsidRDefault="0033382B" w:rsidP="0033382B">
      <w:pPr>
        <w:pStyle w:val="TextoNormal"/>
      </w:pPr>
    </w:p>
    <w:p w:rsidR="0033382B" w:rsidRDefault="0033382B" w:rsidP="0033382B">
      <w:pPr>
        <w:pStyle w:val="TextoNormal"/>
      </w:pPr>
      <w:r>
        <w:t>El hecho de que el recurso de amparo núm. 1388-2014, a cuya pretendida identidad sustancial se aludía por el Ministerio Fiscal para fundamentar su recurso de súplica, haya sido íntegramente desestimado por la STC 3/2016, de 18 de enero, por no apreciarse la lesión de ninguno de los derechos invocados en aquella demanda, resultaría suficiente, por la pérdida de cualquier efecto útil, para la desestimación de este recurso de súplica y la consiguiente confirmación de la decisión de inadmisión impugnada por la manifiesta inexistencia de violación de un derecho fundamental tutelable en amparo.</w:t>
      </w:r>
    </w:p>
    <w:p w:rsidR="0033382B" w:rsidRDefault="0033382B" w:rsidP="0033382B">
      <w:pPr>
        <w:pStyle w:val="TextoNormal"/>
      </w:pPr>
    </w:p>
    <w:p w:rsidR="0033382B" w:rsidRDefault="0033382B" w:rsidP="0033382B">
      <w:pPr>
        <w:pStyle w:val="TextoNormal"/>
      </w:pPr>
      <w:r>
        <w:t>Al margen de ello, una vez que la Sección Segunda de este Tribunal, mediante Auto de 4 de febrero de 2016, dictado en el recurso de amparo núm. 7093-2014, ya ha desestimado el recurso de súplica del Ministerio Fiscal interpuesto en aquel caso con idéntico fundamento que en el presente, también resulta necesario remitirse a los razonamientos expuestos en dicha resolución para negar la existencia de la identidad sustancial alegada. Singularmente, en el presente caso, se comprueba que, si bien existía una coincidencia en relación con la invocación del derecho a la igualdad (art. 14 CE), no sucedía lo mismo con la del derecho a la tutela judicial efectiva (art. 24.1 CE). En efecto, la lectura de la demanda de amparo planteada en el presente recurso pone de manifiesto que la invocación del derecho a la tutela judicial efectiva (art. 24.1 CE) no se vincula, como sucedía en el recurso de amparo que el Ministerio Fiscal aporta como elemento de contraste, al hecho de que no hubiera sido planteada la cuestión prejudicial, respecto del art. 26.2 de la Norma Foral de Gipuzkoa 8/1998, sino a la influencia que sobre el motivo referido al trato discriminatorio alegado que se imputaba a dicho artículo tenía su anulación por la Sentencia de la Sala Tercera del Tribunal Supremo de 23 de octubre de 2014. Por tanto, ante tal divergencia en los argumentos en que se sustentan sendas invocaciones del derecho a la tutela judicial efectiva en ambos recursos no cabe apreciar la sustancial identidad en que fundamentaba su recurso el Ministerio Fiscal.</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Desestimar el recurso de súplica interpuesto por el Ministerio Fiscal contra la providencia de 2 de diciembre de 2015.</w:t>
      </w:r>
    </w:p>
    <w:p w:rsidR="0033382B" w:rsidRDefault="0033382B" w:rsidP="0033382B">
      <w:pPr>
        <w:pStyle w:val="TextoNormal"/>
      </w:pPr>
    </w:p>
    <w:p w:rsidR="0033382B" w:rsidRDefault="0033382B" w:rsidP="0033382B">
      <w:pPr>
        <w:pStyle w:val="TextoNormal"/>
      </w:pPr>
      <w:r>
        <w:t>Madrid, a dos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87" w:name="AUTO_2016_60"/>
      <w:r>
        <w:t>AUTO 60/2016, de 2 de marzo de 2016</w:t>
      </w:r>
    </w:p>
    <w:bookmarkEnd w:id="187"/>
    <w:p w:rsidR="0033382B" w:rsidRDefault="0033382B" w:rsidP="0033382B">
      <w:pPr>
        <w:pStyle w:val="TtuloResolucin"/>
      </w:pPr>
      <w:r>
        <w:t>Sección Primera</w:t>
      </w:r>
    </w:p>
    <w:p w:rsidR="0033382B" w:rsidRDefault="0033382B" w:rsidP="0033382B">
      <w:pPr>
        <w:pStyle w:val="TextoNormalCentrado"/>
      </w:pPr>
      <w:r>
        <w:t>ECLI:ES:TC:2016:60A</w:t>
      </w:r>
    </w:p>
    <w:p w:rsidR="0033382B" w:rsidRDefault="0033382B" w:rsidP="0033382B">
      <w:pPr>
        <w:pStyle w:val="TextoNormalCentrado"/>
      </w:pPr>
    </w:p>
    <w:p w:rsidR="0033382B" w:rsidRDefault="0033382B" w:rsidP="0033382B">
      <w:pPr>
        <w:pStyle w:val="SntesisDescriptiva"/>
      </w:pPr>
      <w:r>
        <w:t>Excms. Srs. don Francisco Pérez de los Cobos Orihuel y doña Encarnación Roca Trías.</w:t>
      </w:r>
    </w:p>
    <w:p w:rsidR="0033382B" w:rsidRDefault="0033382B" w:rsidP="0033382B">
      <w:pPr>
        <w:pStyle w:val="SntesisDescriptiva"/>
      </w:pPr>
    </w:p>
    <w:p w:rsidR="0033382B" w:rsidRDefault="0033382B" w:rsidP="0033382B">
      <w:pPr>
        <w:pStyle w:val="SntesisDescriptiva"/>
      </w:pPr>
      <w:r>
        <w:t>Acepta una abstención en el recurso de amparo 3195-2015, promovido por Casebana, S.L.,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2 de junio de 2015, el Procurador de los Tribunales don David García Riquelme, en nombre y representación de Casebana, S.L., interpuso demanda de amparo contra la providencia de la Sala del art. 61 de la Ley Orgánica del Poder Judicial (LOPJ) de 20 de abril de 2015, por el que se inadmite el incidente de nulidad de actuaciones interpuesto contra la Sentencia de 8 de marzo de 2012 dictada en el procedimiento núm. 5-2011 sobre declaración de error judicial, dando lugar al presente recurso de amparo, sobre cuya admisibilidad debe conocer la Sección Primera de este Tribunal.</w:t>
      </w:r>
    </w:p>
    <w:p w:rsidR="0033382B" w:rsidRDefault="0033382B" w:rsidP="0033382B">
      <w:pPr>
        <w:pStyle w:val="TextoNormal"/>
      </w:pPr>
    </w:p>
    <w:p w:rsidR="0033382B" w:rsidRDefault="0033382B" w:rsidP="0033382B">
      <w:pPr>
        <w:pStyle w:val="TextoNormal"/>
      </w:pPr>
      <w:r w:rsidRPr="0033382B">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 1.2).</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escrito de 3 de febrero de 2016 el Magistrado don Juan Antonio Xiol Ríos comunicó su voluntad de abstenerse en el conocimiento del presente recurso de amparo por entender que concurría la causa 11 del art. 219 LOPJ, por haber formado parte, en su condición de Magistrado de la Sala del art. 61 LOPJ, del órgano judicial que acordó la resolución impugnada en el presente recurso de amparo.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11 del art. 219 LOPJ.</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Estimar justificada la abstención formulada por el Magistrado don Juan Antonio Xiol Ríos en el recurso de amparo núm. 3195-2015 y apartarle definitivamente del conocimiento del referido recurso y de todas sus incidencias.</w:t>
      </w:r>
    </w:p>
    <w:p w:rsidR="0033382B" w:rsidRDefault="0033382B" w:rsidP="0033382B">
      <w:pPr>
        <w:pStyle w:val="TextoNormal"/>
      </w:pPr>
    </w:p>
    <w:p w:rsidR="0033382B" w:rsidRDefault="0033382B" w:rsidP="0033382B">
      <w:pPr>
        <w:pStyle w:val="TextoNormal"/>
      </w:pPr>
      <w:r>
        <w:t>Madrid, a dos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88" w:name="AUTO_2016_61"/>
      <w:r>
        <w:t>AUTO 61/2016, de 9 de marzo de 2016</w:t>
      </w:r>
    </w:p>
    <w:bookmarkEnd w:id="188"/>
    <w:p w:rsidR="0033382B" w:rsidRDefault="0033382B" w:rsidP="0033382B">
      <w:pPr>
        <w:pStyle w:val="TtuloResolucin"/>
      </w:pPr>
      <w:r>
        <w:t>Sección Primera</w:t>
      </w:r>
    </w:p>
    <w:p w:rsidR="0033382B" w:rsidRDefault="0033382B" w:rsidP="0033382B">
      <w:pPr>
        <w:pStyle w:val="TextoNormalCentrado"/>
      </w:pPr>
      <w:r>
        <w:t>ECLI:ES:TC:2016:61A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y don Juan Antonio Xiol Ríos.</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189" w:name="AUTO_2016_62"/>
      <w:r>
        <w:t>AUTO 62/2016, de 15 de marzo de 2016</w:t>
      </w:r>
    </w:p>
    <w:bookmarkEnd w:id="189"/>
    <w:p w:rsidR="0033382B" w:rsidRDefault="0033382B" w:rsidP="0033382B">
      <w:pPr>
        <w:pStyle w:val="TtuloResolucin"/>
      </w:pPr>
      <w:r>
        <w:t>Sección Cuarta</w:t>
      </w:r>
    </w:p>
    <w:p w:rsidR="0033382B" w:rsidRDefault="0033382B" w:rsidP="0033382B">
      <w:pPr>
        <w:pStyle w:val="TextoNormalCentrado"/>
      </w:pPr>
      <w:r>
        <w:t>ECLI:ES:TC:2016:62A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en el recurso de amparo 3857-2015, promovido por Cap Deu, S.L., y Lasbolis 2001, S.L.,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que tuvo entrada en este Tribunal el día 30 de junio de 2015, la Procuradora de los Tribunales doña Concepción Delgado Azqueta, en nombre y representación de Cap Deu, S.L., y Lasbolis 2001, S.L., interpuso demanda de amparo contra el Auto de 14 de mayo de 2015 de la Sección Octava de la Audiencia Provincial de Sevilla, dictado en recurso de apelación núm. 7452-2014-A, confirmatorio del de 24 de abril de 2014 del Juzgado de Primera Instancia núm. 2 de Sevilla, en ejecución hipotecaria núm. 827-2012, que acordó el sobreseimiento de la oposición a la ejecución hipotecaria formulada por las sociedades recurrentes, teniéndolas por desistidas, al no comparecer a la vista con procurador (art. 560, párrafo cuarto, de la Ley de enjuiciamiento civil).</w:t>
      </w:r>
    </w:p>
    <w:p w:rsidR="0033382B" w:rsidRDefault="0033382B" w:rsidP="0033382B">
      <w:pPr>
        <w:pStyle w:val="TextoNormal"/>
      </w:pPr>
    </w:p>
    <w:p w:rsidR="0033382B" w:rsidRDefault="0033382B" w:rsidP="0033382B">
      <w:pPr>
        <w:pStyle w:val="TextoNormal"/>
      </w:pPr>
      <w:r w:rsidRPr="0033382B">
        <w:rPr>
          <w:rStyle w:val="NumeroAFNegritaCaracter"/>
        </w:rPr>
        <w:t>2</w:t>
      </w:r>
      <w:r>
        <w:t>. Las recurrentes en amparo denuncian en su demanda la vulneración del derecho a la tutela judicial efectiva sin indefensión (art. 24.1 CE). Subrayan que no desistieron de su demanda de oposición a la ejecución, ni de la vista ni del procedimiento, como probaría que su Letrado expresase su protesta en la comparecencia y de forma clara, en esa vista del incidente de oposición celebrada el día 23 de abril de 2014, su interés en continuar con la demanda de oposición. El retraso de unos pocos minutos de la Procuradora que tenía que representar a las recurrentes, por tanto, no podría calificarse como un acto de desistimiento. Las resoluciones impugnadas, además de contrarias a la jurisprudencia del Tribunal Supremo y del Tribunal Constitucional, carecen en consecuencia de motivación, no razonando su decisión a la vista de una regulación legal que, en el art. 560 de la Ley de enjuiciamiento civil, dispone la asistencia a la vista del ejecutado, como aquí ocurrió, sin señalar en cambio que el procurador esté obligado a acudir también a la misma. El sobreseimiento acordado, sin causa legal que lo ampare, sería por todo ello contrario al art. 24.1 CE.</w:t>
      </w:r>
    </w:p>
    <w:p w:rsidR="0033382B" w:rsidRDefault="0033382B" w:rsidP="0033382B">
      <w:pPr>
        <w:pStyle w:val="TextoNormal"/>
      </w:pPr>
    </w:p>
    <w:p w:rsidR="0033382B" w:rsidRDefault="0033382B" w:rsidP="0033382B">
      <w:pPr>
        <w:pStyle w:val="TextoNormal"/>
      </w:pPr>
      <w:r w:rsidRPr="0033382B">
        <w:rPr>
          <w:rStyle w:val="NumeroAFNegritaCaracter"/>
        </w:rPr>
        <w:t>3</w:t>
      </w:r>
      <w:r>
        <w:t>. La Sección Cuarta de la Sala Segunda de este Tribunal, por providencia de 29 de octubre de 2015, declaró la inadmisión del recurso de amparo por manifiesta inexistencia de violación de un derecho fundamental tutelable en amparo; violación que, de acuerdo con el art. 44.1 de la Ley Orgánica del Tribunal Constitucional (LOTC), es condición para que este Tribunal pueda ejercer dicha tutela.</w:t>
      </w:r>
    </w:p>
    <w:p w:rsidR="0033382B" w:rsidRDefault="0033382B" w:rsidP="0033382B">
      <w:pPr>
        <w:pStyle w:val="TextoNormal"/>
      </w:pPr>
    </w:p>
    <w:p w:rsidR="0033382B" w:rsidRDefault="0033382B" w:rsidP="0033382B">
      <w:pPr>
        <w:pStyle w:val="TextoNormal"/>
      </w:pPr>
      <w:r>
        <w:t>El Ministerio Fiscal, por escrito registrado el día 26 de noviembre de 2015, interpuso recurso de súplica contra la referida providencia de inadmisión, que fue estimado por Auto de 9 de febrero de 2016.</w:t>
      </w:r>
    </w:p>
    <w:p w:rsidR="0033382B" w:rsidRDefault="0033382B" w:rsidP="0033382B">
      <w:pPr>
        <w:pStyle w:val="TextoNormal"/>
      </w:pPr>
    </w:p>
    <w:p w:rsidR="0033382B" w:rsidRDefault="0033382B" w:rsidP="0033382B">
      <w:pPr>
        <w:pStyle w:val="TextoNormal"/>
      </w:pPr>
      <w:r w:rsidRPr="0033382B">
        <w:rPr>
          <w:rStyle w:val="NumeroAFNegritaCaracter"/>
        </w:rPr>
        <w:t>4</w:t>
      </w:r>
      <w:r>
        <w:t>. El día 1 de marzo de 2016 dictó la Sección Cuarta de la Sala Segunda de este Tribunal dos providencias, acordando, respectivamente, la admisión a trámite del recurso de amparo y la formación de la oportuna pieza para la tramitación del incidente de suspensión, concediéndose en esta última, conforme a lo dispuesto en el art. 56 LOTC, un plazo común de tres días a la parte recurrente y al Ministerio Fiscal para que alegaran lo que estimasen pertinente sobre dicha suspensión.</w:t>
      </w:r>
    </w:p>
    <w:p w:rsidR="0033382B" w:rsidRDefault="0033382B" w:rsidP="0033382B">
      <w:pPr>
        <w:pStyle w:val="TextoNormal"/>
      </w:pPr>
    </w:p>
    <w:p w:rsidR="0033382B" w:rsidRDefault="0033382B" w:rsidP="0033382B">
      <w:pPr>
        <w:pStyle w:val="TextoNormal"/>
      </w:pPr>
      <w:r w:rsidRPr="0033382B">
        <w:rPr>
          <w:rStyle w:val="NumeroAFNegritaCaracter"/>
        </w:rPr>
        <w:t>5</w:t>
      </w:r>
      <w:r>
        <w:t>. Evacuando dicho trámite, aducen las sociedades recurrentes que la ejecución de los Autos recurridos causaría perjuicios irreparables para sus intereses, pues conllevaría la adjudicación de la finca hipotecada a la entidad Ibercaja, al haberse celebrado ya la subasta, pudiendo ésta disponer sucesivamente de la misma a favor de terceros y resultando, en consecuencia, que la finca litigiosa dejaría de ser propiedad de quienes formalizan este recurso y que quedarían sin tutela los derechos aducidos. Por lo demás, añaden, la necesidad de que este Tribunal acuerde la suspensión se confirma una vez acreditado que el Juzgado de Primera Instancia núm. 2 de Sevilla ha desestimado, en providencia de 16 de septiembre de 2015, la petición formulada por las sociedades demandantes en orden a la suspensión del procedimiento hasta la decisión final sobre el recurso de amparo por parte de este Tribunal Constitucional.</w:t>
      </w:r>
    </w:p>
    <w:p w:rsidR="0033382B" w:rsidRDefault="0033382B" w:rsidP="0033382B">
      <w:pPr>
        <w:pStyle w:val="TextoNormal"/>
      </w:pPr>
    </w:p>
    <w:p w:rsidR="0033382B" w:rsidRDefault="0033382B" w:rsidP="0033382B">
      <w:pPr>
        <w:pStyle w:val="TextoNormal"/>
      </w:pPr>
      <w:r w:rsidRPr="0033382B">
        <w:rPr>
          <w:rStyle w:val="NumeroAFNegritaCaracter"/>
        </w:rPr>
        <w:t>6</w:t>
      </w:r>
      <w:r>
        <w:t>. En escrito registrado el día 10 de marzo de 2016, el Ministerio Fiscal interesa que se acuerde la suspensión solicitada. Tras exponer los antecedentes del caso y la doctrina de este Tribunal sobre la materia, concluye que la tramitación de la ejecución podría acarrear el perjuicio que aducen las recurrentes (la adjudicación a un tercero de la finca hipotecada), careciendo entonces una eventual y sucesiva concesión del amparo de efectividad para salvaguardar el derecho fundamental que se invoca (art. 24.1 CE).</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Conforme se ha expuesto en los antecedentes de esta resolución, las sociedades demandantes de amparo han solicitado la suspensión cautelar de los Autos recurridos: Auto de 14 de mayo de 2015 de la Sección Octava de la Audiencia Provincial de Sevilla, dictado en recurso de apelación núm. 7452-2014-A, y Auto de 24 de abril de 2014, del Juzgado de Primera Instancia núm. 2 de Sevilla, en el procedimiento de ejecución hipotecaria núm. 827-2012. Según su alegato, de no acordarse la suspensión de su ejecución podrían producirse actos de adjudicación de la finca controvertida en el proceso, que consolidarían una situación difícilmente reversible. El Ministerio Fiscal comparte la tesis indicada, interesando la concesión de la suspensión de la ejecución que se nos solicita.</w:t>
      </w:r>
    </w:p>
    <w:p w:rsidR="0033382B" w:rsidRDefault="0033382B" w:rsidP="0033382B">
      <w:pPr>
        <w:pStyle w:val="TextoNormal"/>
      </w:pPr>
    </w:p>
    <w:p w:rsidR="0033382B" w:rsidRDefault="0033382B" w:rsidP="0033382B">
      <w:pPr>
        <w:pStyle w:val="TextoNormal"/>
      </w:pPr>
      <w:r w:rsidRPr="0033382B">
        <w:rPr>
          <w:rStyle w:val="NumeroAFNegritaCaracter"/>
        </w:rPr>
        <w:t>2</w:t>
      </w:r>
      <w:r>
        <w:t>. En una consolidada doctrina constitucional de la que es buena muestra el ATC 74/2013, de 8 de abril, y las resoluciones que en él se citan, este Tribunal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0033382B" w:rsidRDefault="0033382B" w:rsidP="0033382B">
      <w:pPr>
        <w:pStyle w:val="TextoNormal"/>
      </w:pPr>
    </w:p>
    <w:p w:rsidR="0033382B" w:rsidRDefault="0033382B" w:rsidP="0033382B">
      <w:pPr>
        <w:pStyle w:val="TextoNormal"/>
      </w:pPr>
      <w:r>
        <w:t>De conformidad con esta doctrina constitucional, y sin prejuzgar la decisión de fondo del recurso, procede acordar la suspensión solicitada, pues en otro caso, de continuarse con la ejecución según se desprendería de la providencia de 16 de septiembre de 2015 del Juzgado de Primera Instancia núm. 2 de Sevilla, que ha desestimado la petición de suspensión de las sociedades recurrentes en amparo, se podría efectivamente materializar la transmisión del dominio del bien inmueble objeto del litigo, como aducen aquéllas y el Ministerio Fiscal. Podría crearse, en consecuencia, una situación difícilmente reversible que haría perder al recurso de amparo su finalidad. No se advierte en este momento procesal, por lo demás, que la suspensión de la ejecución pueda entrañar una perturbación grave a un interés constitucionalmente protegido o a los derechos fundamentales o libertades públicas de un tercero.</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Suspender la ejecución de las resoluciones recurridas, dictadas en el procedimiento de ejecución hipotecaria núm. 827-2012 y de toda actuación judicial sucesiva que pueda tener como efecto la adjudicación a terceros del inmueble objeto del litigio.</w:t>
      </w:r>
    </w:p>
    <w:p w:rsidR="0033382B" w:rsidRDefault="0033382B" w:rsidP="0033382B">
      <w:pPr>
        <w:pStyle w:val="TextoNormal"/>
      </w:pPr>
    </w:p>
    <w:p w:rsidR="0033382B" w:rsidRDefault="0033382B" w:rsidP="0033382B">
      <w:pPr>
        <w:pStyle w:val="TextoNormal"/>
      </w:pPr>
      <w:r>
        <w:t>Madrid, a quince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90" w:name="AUTO_2016_63"/>
      <w:r>
        <w:t>AUTO 63/2016, de 15 de marzo de 2016</w:t>
      </w:r>
    </w:p>
    <w:bookmarkEnd w:id="190"/>
    <w:p w:rsidR="0033382B" w:rsidRDefault="0033382B" w:rsidP="0033382B">
      <w:pPr>
        <w:pStyle w:val="TtuloResolucin"/>
      </w:pPr>
      <w:r>
        <w:t>Pleno</w:t>
      </w:r>
    </w:p>
    <w:p w:rsidR="0033382B" w:rsidRDefault="0033382B" w:rsidP="0033382B">
      <w:pPr>
        <w:pStyle w:val="TextoNormalCentrado"/>
      </w:pPr>
      <w:r>
        <w:t>ECLI:ES:TC:2016:63A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4487-2015, planteada por el Tribunal Superior de Justicia de Castilla-La Mancha en relación con los artículos 52.2 y 53.1 de la Ley 40/1994, de 30 de diciembre, de ordenación del sistema eléctrico nacional.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de 27 de julio de 2015 tuvo entrada en el Registro General de este Tribunal escrito del Tribunal Superior de Justicia de Castilla-La Mancha, Sala de lo Contencioso-Administrativo (Sección Segunda), al que se acompaña, además del testimonio del procedimiento tramitado con el núm. 874-2011, el Auto de 11 de junio de 2015 por el que se plantea cuestión de inconstitucionalidad en relación con los arts. 52.2 y 53.2 de la Ley 40/1994, de 30 de diciembre, de ordenación del sistema eléctrico nacional, y en relación con los arts. 53.2 y 54.1 de la Ley 54/1997, de 27 de noviembre, del sector eléctrico, por posible vulneración del artículo 105 c) de la Constitución.</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En el “Diario Oficial de Castilla-La Mancha” de 5 de diciembre de 1997 se publicó anuncio de la Delegación Provincial de Industria y Trabajo de Toledo de la Junta de Comunidades de Castilla-La Mancha titulado “Sobre Información Pública de Instalación Eléctrica. Referencia E-45211111433” en el que se sometía a información pública la petición de autorización administrativa de declaración de utilidad pública de la instalación pública de referencia a petición de Unión Fenosa. Se unía a este anuncio una relación concreta e individualizada de los bienes o derechos de necesaria expropiación. A continuación se recogía un cuadro con la relación de bienes y derechos, sus propietarios y los domicilios de éstos.</w:t>
      </w:r>
    </w:p>
    <w:p w:rsidR="0033382B" w:rsidRDefault="0033382B" w:rsidP="0033382B">
      <w:pPr>
        <w:pStyle w:val="TextoNormal"/>
      </w:pPr>
    </w:p>
    <w:p w:rsidR="0033382B" w:rsidRDefault="0033382B" w:rsidP="0033382B">
      <w:pPr>
        <w:pStyle w:val="TextoNormal"/>
      </w:pPr>
      <w:r>
        <w:t>b) Entre las fincas afectadas en el término municipal de Casarrubios del Monte, aparecían la finca número 292 y la finca número 295, figurando ambas como propiedad de Carlos Arroyo Díaz, con domicilio en Madrid.</w:t>
      </w:r>
    </w:p>
    <w:p w:rsidR="0033382B" w:rsidRDefault="0033382B" w:rsidP="0033382B">
      <w:pPr>
        <w:pStyle w:val="TextoNormal"/>
      </w:pPr>
    </w:p>
    <w:p w:rsidR="0033382B" w:rsidRDefault="0033382B" w:rsidP="0033382B">
      <w:pPr>
        <w:pStyle w:val="TextoNormal"/>
      </w:pPr>
      <w:r>
        <w:t>c) En el “Boletín Oficial del Estado” de 11 de agosto de 2003 se publicó la resolución de la Dirección General de Política Energética y Minas por la que se autoriza a Unión Fenosa Distribución Eléctrica una línea aérea de 45 Kv desde la subestación de Illescas II a la futura subestación de Casarrubios, en las provincias de Madrid y Toledo, y se declara, en concreto, la utilidad pública de la misma. Declaración de utilidad pública que de acuerdo con la Ley sectorial lleva implícita la necesidad de ocupación de los bienes o de adquisición de los derechos afectados.</w:t>
      </w:r>
    </w:p>
    <w:p w:rsidR="0033382B" w:rsidRDefault="0033382B" w:rsidP="0033382B">
      <w:pPr>
        <w:pStyle w:val="TextoNormal"/>
      </w:pPr>
    </w:p>
    <w:p w:rsidR="0033382B" w:rsidRDefault="0033382B" w:rsidP="0033382B">
      <w:pPr>
        <w:pStyle w:val="TextoNormal"/>
      </w:pPr>
      <w:r>
        <w:t>d) En el “Boletín Oficial del Estado” de 27 de abril de 2005 se publicó la resolución de la Delegación del Gobierno de Castilla-La Mancha por la que se convoca el levantamiento de actas previas a la ocupación de determinadas fincas afectadas por la construcción de la línea eléctrica desde la subestación de Illescas II a la futura subestación de Casarrubios. Asimismo, se produjo la citación personal con acuse de recibo al acto de levantamiento de las actas previas de ocupación.</w:t>
      </w:r>
    </w:p>
    <w:p w:rsidR="0033382B" w:rsidRDefault="0033382B" w:rsidP="0033382B">
      <w:pPr>
        <w:pStyle w:val="TextoNormal"/>
      </w:pPr>
    </w:p>
    <w:p w:rsidR="0033382B" w:rsidRDefault="0033382B" w:rsidP="0033382B">
      <w:pPr>
        <w:pStyle w:val="TextoNormal"/>
      </w:pPr>
      <w:r>
        <w:t>e) Por acuerdo de 20 de junio de 2011, expediente 379/2010, del Jurado Provincial de Expropiación Forzosa de Toledo, se determinó el justiprecio en relación con las fincas número 292 y número 295, de las que se expropiaron 1.736 m2 en régimen de servidumbre de paso de línea eléctrica y 534 m2 en régimen de ocupación temporal, siendo expropiante la Administración general del Estado y beneficiaria Unión Fenosa Distribución Eléctrica para la ejecución del proyecto “línea eléctrica a 45 Kv desde la subestación Illescas a la futura subestación Casarrubios”.</w:t>
      </w:r>
    </w:p>
    <w:p w:rsidR="0033382B" w:rsidRDefault="0033382B" w:rsidP="0033382B">
      <w:pPr>
        <w:pStyle w:val="TextoNormal"/>
      </w:pPr>
    </w:p>
    <w:p w:rsidR="0033382B" w:rsidRDefault="0033382B" w:rsidP="0033382B">
      <w:pPr>
        <w:pStyle w:val="TextoNormal"/>
      </w:pPr>
      <w:r>
        <w:t>f) Con fecha de 13 de diciembre de 2011 la representación procesal de Carlos Arroyo Díaz y de Ricardo Pinto Arroyo interpuso recurso contencioso-administrativo contra el acuerdo de 20 de junio de 2011. En el escrito de demanda se alegó que se les debió ofrecer mediante notificación personal, una audiencia previa a la declaración de necesidad de ocupación.</w:t>
      </w:r>
    </w:p>
    <w:p w:rsidR="0033382B" w:rsidRDefault="0033382B" w:rsidP="0033382B">
      <w:pPr>
        <w:pStyle w:val="TextoNormal"/>
      </w:pPr>
    </w:p>
    <w:p w:rsidR="0033382B" w:rsidRDefault="0033382B" w:rsidP="0033382B">
      <w:pPr>
        <w:pStyle w:val="TextoNormal"/>
      </w:pPr>
      <w:r>
        <w:t>g) Una vez tramitado por vía ordinario el mencionado recurso contencioso-administrativo, mediante providencia de 30 de abril de 2015 se dio traslado a las partes y al Ministerio Fiscal para que formulasen alegaciones sobre el posible planteamiento de cuestión de inconstitucionalidad en relación con los arts. 52 y 53 de la Ley 40/1994, de 30 de diciembre, de ordenación del sistema eléctrico nacional, y en relación con los arts. 53 y 54 de la Ley 54/1997, de 27 de noviembre del sector eléctrico, por su posible vulneración del art. 105 c) CE.</w:t>
      </w:r>
    </w:p>
    <w:p w:rsidR="0033382B" w:rsidRDefault="0033382B" w:rsidP="0033382B">
      <w:pPr>
        <w:pStyle w:val="TextoNormal"/>
      </w:pPr>
    </w:p>
    <w:p w:rsidR="0033382B" w:rsidRDefault="0033382B" w:rsidP="0033382B">
      <w:pPr>
        <w:pStyle w:val="TextoNormal"/>
      </w:pPr>
      <w:r>
        <w:t>h) En sus alegaciones, la parte demandante considera que, pese a concurrir la inconstitucionalidad, hay otros motivos de posible estimación del recurso que la hacen innecesaria, el Abogado del Estado se opone al planteamiento y el Ministerio Fiscal considera adecuado el planteamiento de la cuestión.</w:t>
      </w:r>
    </w:p>
    <w:p w:rsidR="0033382B" w:rsidRDefault="0033382B" w:rsidP="0033382B">
      <w:pPr>
        <w:pStyle w:val="TextoNormal"/>
      </w:pPr>
    </w:p>
    <w:p w:rsidR="0033382B" w:rsidRDefault="0033382B" w:rsidP="0033382B">
      <w:pPr>
        <w:pStyle w:val="TextoNormal"/>
      </w:pPr>
      <w:r>
        <w:t>i) Mediante Auto de 11 de junio de 2015, el órgano judicial acuerda plantear cuestión de inconstitucionalidad en relación con los arts. 52.2 y 53.2 de la Ley 40/1994, de 30 de diciembre, de ordenación del sistema eléctrico nacional, y en relación con los arts. 53.2 y 54.1 de la Ley 54/1997, de 27 de noviembre, del sector eléctrico, por posible vulneración del art. 105 c) de la Constitución.</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Auto de 11 de junio de 2015 la Sala de lo Contencioso-Administrativo del Tribunal Superior de Justicia de Castilla-La Mancha se refiere en primer lugar a los preceptos sobre los que se plantea cuestión de inconstitucionalidad. La Sala señala que el hecho de que en el expediente administrativo, que se prolongó a lo largo de varios años, se citen sucesivamente como aplicables tanto la Ley 40/1994, de 30 de diciembre, de ordenación del sistema eléctrico nacional, como la Ley 54/1997, de 27 de noviembre, del sector eléctrico, que sustituyó a la anterior, obliga a la Sala a plantear la duda de inconstitucionalidad sobre los preceptos semejantes (pues tienen idéntica redacción) de ambas leyes, pues ambas fueron objeto de aplicación y de invocación expresa por la Administración a lo largo del procedimiento que desembocó en la expropiación.</w:t>
      </w:r>
    </w:p>
    <w:p w:rsidR="0033382B" w:rsidRDefault="0033382B" w:rsidP="0033382B">
      <w:pPr>
        <w:pStyle w:val="TextoNormal"/>
      </w:pPr>
    </w:p>
    <w:p w:rsidR="0033382B" w:rsidRDefault="0033382B" w:rsidP="0033382B">
      <w:pPr>
        <w:pStyle w:val="TextoNormal"/>
      </w:pPr>
      <w:r>
        <w:t>La Sala igualmente señala que no se plantea la cuestión respecto de ningún precepto de la Ley de expropiación forzosa de 16 de diciembre de 1954, pues son las leyes especiales del sector eléctrico las aplicables directamente al caso.</w:t>
      </w:r>
    </w:p>
    <w:p w:rsidR="0033382B" w:rsidRDefault="0033382B" w:rsidP="0033382B">
      <w:pPr>
        <w:pStyle w:val="TextoNormal"/>
      </w:pPr>
    </w:p>
    <w:p w:rsidR="0033382B" w:rsidRDefault="0033382B" w:rsidP="0033382B">
      <w:pPr>
        <w:pStyle w:val="TextoNormal"/>
      </w:pPr>
      <w:r>
        <w:t>A continuación procede a realizar el juicio de aplicabilidad y relevancia, para lo cual considera que es claro que la respuesta a la vulneración denunciada del art. 105 c) CE exige el examen de la constitucionalidad del precepto cuestionado.</w:t>
      </w:r>
    </w:p>
    <w:p w:rsidR="0033382B" w:rsidRDefault="0033382B" w:rsidP="0033382B">
      <w:pPr>
        <w:pStyle w:val="TextoNormal"/>
      </w:pPr>
    </w:p>
    <w:p w:rsidR="0033382B" w:rsidRDefault="0033382B" w:rsidP="0033382B">
      <w:pPr>
        <w:pStyle w:val="TextoNormal"/>
      </w:pPr>
      <w:r>
        <w:t>La Sala considera que el art. 105 c) CE exigiría una notificación individual previa al trámite de declaración de necesidad de ocupación en la expropiación forzosa, no bastando, por tanto, para considerar respetado el precepto constitucional con la comunicación edictal prevista en los preceptos cuestionados. De acuerdo con el Auto de planteamiento de la cuestión, los preceptos impugnados al prever una información pública como única forma de dar audiencia en el trámite previo a la declaración de necesidad de ocupación vulneran la garantía de audiencia de los interesados prevista en el art. 105 c) CE.</w:t>
      </w:r>
    </w:p>
    <w:p w:rsidR="0033382B" w:rsidRDefault="0033382B" w:rsidP="0033382B">
      <w:pPr>
        <w:pStyle w:val="TextoNormal"/>
      </w:pPr>
    </w:p>
    <w:p w:rsidR="0033382B" w:rsidRDefault="0033382B" w:rsidP="0033382B">
      <w:pPr>
        <w:pStyle w:val="TextoNormal"/>
      </w:pPr>
      <w:r>
        <w:t>Ciertamente, reconoce la Sala proponente que el art. 105 c) no exige que la audiencia deba realizarse en todo caso mediante una notificación individual, pues lo que exige es que la Ley garantice la audiencia del interesado. Pero para la Sala tal exigencia de garantía de la audiencia se debe interpretar considerando que, salvo que haya razones en contra, la única forma de garantizar realmente la audiencia es la notificación personal e individual. Para la Sala la notificación edictal no es garantía bastante de conocimiento y por ello debe ser el último recurso.</w:t>
      </w:r>
    </w:p>
    <w:p w:rsidR="0033382B" w:rsidRDefault="0033382B" w:rsidP="0033382B">
      <w:pPr>
        <w:pStyle w:val="TextoNormal"/>
      </w:pPr>
    </w:p>
    <w:p w:rsidR="0033382B" w:rsidRDefault="0033382B" w:rsidP="0033382B">
      <w:pPr>
        <w:pStyle w:val="TextoNormal"/>
      </w:pPr>
      <w:r>
        <w:t>Se plantea la Sala proponente si existen razones que justifican una atenuación de la garantía de audiencia en materia expropiatoria y se refiere específicamente al principio de eficacia administrativa contenido en el art. 103 CE, a la vista de que en ocasiones, en particular en la ejecución de grandes infraestructuras, los expropiados son sumamente numerosos y podría pensarse que su localización individual y notificación personal retrasaría inaceptablemente la ejecución de tales infraestructuras.</w:t>
      </w:r>
    </w:p>
    <w:p w:rsidR="0033382B" w:rsidRDefault="0033382B" w:rsidP="0033382B">
      <w:pPr>
        <w:pStyle w:val="TextoNormal"/>
      </w:pPr>
    </w:p>
    <w:p w:rsidR="0033382B" w:rsidRDefault="0033382B" w:rsidP="0033382B">
      <w:pPr>
        <w:pStyle w:val="TextoNormal"/>
      </w:pPr>
      <w:r>
        <w:t>Sin embargo, rechaza que ello sea argumento suficiente para atenuar la garantía de audiencia, pues en el procedimiento expropiatorio vigente, la Administración tiene que localizar, en todo caso, a los afectados para citar a los interesados al levantamiento de las actas previas. De modo que el ahorro procesal es mínimo mientras que el daño al principio de audiencia es máximo. Asimismo considera que por mucho que desde el punto de vista de la Administración, el expediente pueda presentar una multiplicidad —aunque siempre determinada— de afectados, desde el punto de vista del expropiado la singularidad es máxima, y también la afección al ámbito de sus derechos patrimoniales, de modo que difícilmente podrá justificarse, bajo el principio de eficacia, una omisión de las garantías más comunes y ordinarias derivadas del art. 105 c) CE.</w:t>
      </w:r>
    </w:p>
    <w:p w:rsidR="0033382B" w:rsidRDefault="0033382B" w:rsidP="0033382B">
      <w:pPr>
        <w:pStyle w:val="TextoNormal"/>
      </w:pPr>
    </w:p>
    <w:p w:rsidR="0033382B" w:rsidRDefault="0033382B" w:rsidP="0033382B">
      <w:pPr>
        <w:pStyle w:val="TextoNormal"/>
      </w:pPr>
      <w:r>
        <w:t>En cuanto a la posibilidad de que la eventual indefensión quedara enmendada, subsanada y eliminada por el hecho de que posteriormente sí hubiese notificación personal cuando se cita al interesado a las actas previas a la ocupación, la Sala considera que la posibilidad de alegar antes de que se haya tomado la decisión, coadyuvando precisamente a la formación de la voluntad administrativa, no es equivalente a formular argumentaciones una vez que la Administración haya tomado ya la decisión. Así, para la Sala carecería de sentido la doctrina del Tribunal Supremo que declara la expropiación nula por falta de información pública, pues en tales casos siempre ha habido una ulterior citación a las actas previas. Asimismo, cuando se cita a las actas previas se ofrece al expropiado la posibilidad únicamente de corregir errores materiales.</w:t>
      </w:r>
    </w:p>
    <w:p w:rsidR="0033382B" w:rsidRDefault="0033382B" w:rsidP="0033382B">
      <w:pPr>
        <w:pStyle w:val="TextoNormal"/>
      </w:pPr>
    </w:p>
    <w:p w:rsidR="0033382B" w:rsidRDefault="0033382B" w:rsidP="0033382B">
      <w:pPr>
        <w:pStyle w:val="TextoNormal"/>
      </w:pPr>
      <w:r>
        <w:t>En lo que se refiere al juicio de relevancia, la Sala afirma que, en caso de que el Tribunal Constitucional confirmase la inconstitucionalidad de los preceptos impugnados, la expropiación de los bienes del actor podría ser nula de pleno derecho con consecuencias tales como la devolución del bien expropiado o, alternativa o subsidiariamente, la sustitución del justiprecio por una indemnización incrementada por razón de la ilegalidad del procedimiento.</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20 de octubre de 2015, la Sección Cuarta de este Tribunal acordó, a los efectos del art. 37.1 de la Ley Orgánica del Tribunal Constitucional (LOTC), conferir plazo de diez días al Fiscal General del Estado para que alegue lo que considere conveniente acerca de la admisibilidad de la presente cuestión de inconstitucionalidad, por si fuera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en este Tribunal el 13 de noviembre de 2015. En él, interesa la inadmisión de la presente cuestión por deficiencias en el cumplimiento de los requisitos procesales y por ser notoriamente infundada.</w:t>
      </w:r>
    </w:p>
    <w:p w:rsidR="0033382B" w:rsidRDefault="0033382B" w:rsidP="0033382B">
      <w:pPr>
        <w:pStyle w:val="TextoNormal"/>
      </w:pPr>
    </w:p>
    <w:p w:rsidR="0033382B" w:rsidRDefault="0033382B" w:rsidP="0033382B">
      <w:pPr>
        <w:pStyle w:val="TextoNormal"/>
      </w:pPr>
      <w:r>
        <w:t xml:space="preserve">Tras hacer una extensa exposición de los antecedentes del caso, el Ministerio público considera que la Sala de lo Contencioso-Administrativo del Tribunal Superior de Justicia de Castilla-La Mancha no se ha planteado dos extremos que parecen fundamentales y que podrían haber provocado que la Sala ni siquiera haya llegado a suscitar la cuestión. Así, destaca el escrito de la Fiscal General que no se ha planteado por el Tribunal </w:t>
      </w:r>
      <w:r w:rsidRPr="0033382B">
        <w:rPr>
          <w:i/>
        </w:rPr>
        <w:t>a quo</w:t>
      </w:r>
      <w:r>
        <w:t xml:space="preserve"> si los preceptos cuestionados llevan consigo una prohibición de notificación personal al interesado y tampoco si no podría en todo caso garantizarse la notificación personal mediante la aplicación de las previsiones establecidas en los arts. 58 y 59 de la Ley 30/1992, de 26 de noviembre, de régimen jurídico de las Administraciones públicas y del procedimiento administrativo común, o en el art. 21.3 de la Ley de 16 de diciembre de 1954, de expropiación forzosa, de aplicación supletoria conforme al art. 55 de la Ley 54/1997. Tales omisiones conducen a considerar que la Sala no ha contemplado el problema en su integridad sino parcialmente lo que ha de determinar que se debe entender indebidamente formulado el juicio de relevancia.</w:t>
      </w:r>
    </w:p>
    <w:p w:rsidR="0033382B" w:rsidRDefault="0033382B" w:rsidP="0033382B">
      <w:pPr>
        <w:pStyle w:val="TextoNormal"/>
      </w:pPr>
    </w:p>
    <w:p w:rsidR="0033382B" w:rsidRDefault="0033382B" w:rsidP="0033382B">
      <w:pPr>
        <w:pStyle w:val="TextoNormal"/>
      </w:pPr>
      <w:r>
        <w:t>La Fiscal General, luego de recordar la jurisprudencia de este Tribunal acerca del concepto de cuestión “notoriamente infundada” (art. 37.1 LOTC) y de referirse a aquellos pronunciamientos de este Tribunal en relación con el art. 105 CE, afirma que de los mismos se deriva que, a salvo de las especialidades propias del procedimiento administrativo sancionador, el art. 105 c) no eleva a rango constitucional una determinada manera de trasladar al administrado la existencia del procedimiento administrativo, sino que únicamente constitucionaliza que el interesado deba ser oído en el procedimiento administrativo y, esto no siempre, sino sólo “cuando proceda”. No se puede por tanto deducir del art. 105 c) CE la imposición de la notificación personal de los actos a los que la cuestión se refiere. Y, en este sentido, la Ley del sector eléctrico, al someter a información pública la solicitud de la empresa interesada relativa a la declaración de utilidad pública de determinadas instalaciones, no cercena el principio de audiencia, que es el que consagra el art. 105 c) CE. Para la Fiscal General la Sala parece confundir el principio de audiencia en el procedimiento administrativo, que sólo exige la posibilidad de ser oído, con las garantías derivadas del derecho de defensa de las que sí acarrearía la exigencia de notificación personal, pero que sólo son aplicables a los procedimientos administrativos sancionadores, a los que son trasladables las garantías del art. 24.2 CE.</w:t>
      </w:r>
    </w:p>
    <w:p w:rsidR="0033382B" w:rsidRDefault="0033382B" w:rsidP="0033382B">
      <w:pPr>
        <w:pStyle w:val="TextoNormal"/>
      </w:pPr>
    </w:p>
    <w:p w:rsidR="0033382B" w:rsidRDefault="0033382B" w:rsidP="0033382B">
      <w:pPr>
        <w:pStyle w:val="TextoNormal"/>
      </w:pPr>
      <w:r>
        <w:t>Ahora bien, prosigue la Fiscal señalando que si se considerara que la audiencia al interesado sólo pudiera satisfacerse en casos como el presente mediante la notificación personal, habría que plantearse si cabe interpretar que el silencio de la norma no es sinónimo de exclusión, pues la regulación legal que se cuestiona en nada obsta a la aplicación de las previsiones al respecto, contenidas en la regulación general en materia de procedimiento administrativo (STC 149/2011, de 28 de septiembre, FJ 4).</w:t>
      </w:r>
    </w:p>
    <w:p w:rsidR="0033382B" w:rsidRDefault="0033382B" w:rsidP="0033382B">
      <w:pPr>
        <w:pStyle w:val="TextoNormal"/>
      </w:pPr>
    </w:p>
    <w:p w:rsidR="0033382B" w:rsidRDefault="0033382B" w:rsidP="0033382B">
      <w:pPr>
        <w:pStyle w:val="TextoNormal"/>
      </w:pPr>
      <w:r>
        <w:t>En consecuencia, para la Fiscal General la cuestión de inconstitucionalidad es manifiestamente infundada. De una parte, porque el art. 105 c) CE en modo alguno constitucionaliza la notificación personal de los actos a los que se refiere la Sala en la presente cuestión. Y de otra parte, porque los preceptos cuestionados no impiden la aplicación de las previsiones al respecto, contenidas en la regulación general en materia de procedimiento administrativo.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Sala de lo Contencioso-Administrativo del Tribunal Superior de Justicia de Castilla-La Mancha plantea cuestión de inconstitucionalidad en relación con los arts. 52.2 y 53.2 de la Ley 40/1994, de 30 de diciembre, de ordenación del sistema eléctrico nacional, y en relación con los arts. 53.2 y 54.1 de la Ley 54/1997, de 27 de noviembre, del sector eléctrico.</w:t>
      </w:r>
    </w:p>
    <w:p w:rsidR="0033382B" w:rsidRDefault="0033382B" w:rsidP="0033382B">
      <w:pPr>
        <w:pStyle w:val="TextoNormal"/>
      </w:pPr>
    </w:p>
    <w:p w:rsidR="0033382B" w:rsidRDefault="0033382B" w:rsidP="0033382B">
      <w:pPr>
        <w:pStyle w:val="TextoNormal"/>
      </w:pPr>
      <w:r>
        <w:t>El órgano promotor de la cuestión considera que el art. 105 c) CE exigiría una notificación individual previa al trámite de declaración de necesidad de ocupación en la expropiación forzosa, no bastando, por tanto, para considerar respetado el precepto constitucional con una comunicación edictal, que sería la prevista en los preceptos cuestionados.</w:t>
      </w:r>
    </w:p>
    <w:p w:rsidR="0033382B" w:rsidRDefault="0033382B" w:rsidP="0033382B">
      <w:pPr>
        <w:pStyle w:val="TextoNormal"/>
      </w:pPr>
    </w:p>
    <w:p w:rsidR="0033382B" w:rsidRDefault="0033382B" w:rsidP="0033382B">
      <w:pPr>
        <w:pStyle w:val="TextoNormal"/>
      </w:pPr>
      <w:r w:rsidRPr="0033382B">
        <w:rPr>
          <w:rStyle w:val="NumeroAFNegritaCaracter"/>
        </w:rPr>
        <w:t>2</w:t>
      </w:r>
      <w:r>
        <w:t>. El art. 37.1 de la Ley Orgánica del Tribunal Constitucional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0033382B" w:rsidRDefault="0033382B" w:rsidP="0033382B">
      <w:pPr>
        <w:pStyle w:val="TextoNormal"/>
      </w:pPr>
    </w:p>
    <w:p w:rsidR="0033382B" w:rsidRDefault="0033382B" w:rsidP="0033382B">
      <w:pPr>
        <w:pStyle w:val="TextoNormal"/>
      </w:pPr>
      <w:r>
        <w:t>Es doctrina reiterada de este Tribunal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necesariamente, que carezca de forma total y absoluta de fundamentación o que ésta sea arbitraria, pudiendo resultar conveniente en tales casos resolver la cuestión en la primera fase procesal, máxime si su admisión pudiera provocar efectos no deseables, como la paralización de múltiples procesos en los que resulte aplicable la norma cuestionada” (así, entre los más recientes, ATC 121/2015, de 7 de julio, FJ 2).</w:t>
      </w:r>
    </w:p>
    <w:p w:rsidR="0033382B" w:rsidRDefault="0033382B" w:rsidP="0033382B">
      <w:pPr>
        <w:pStyle w:val="TextoNormal"/>
      </w:pPr>
    </w:p>
    <w:p w:rsidR="0033382B" w:rsidRDefault="0033382B" w:rsidP="0033382B">
      <w:pPr>
        <w:pStyle w:val="TextoNormal"/>
      </w:pPr>
      <w:r w:rsidRPr="0033382B">
        <w:rPr>
          <w:rStyle w:val="NumeroAFNegritaCaracter"/>
        </w:rPr>
        <w:t>3</w:t>
      </w:r>
      <w:r>
        <w:t>. En este caso, y por las razones que se exponen a continuación, puede apreciarse ya en este trámite liminar esa falta de viabilidad de la cuestión apuntada por nuestra comentada doctrina.</w:t>
      </w:r>
    </w:p>
    <w:p w:rsidR="0033382B" w:rsidRDefault="0033382B" w:rsidP="0033382B">
      <w:pPr>
        <w:pStyle w:val="TextoNormal"/>
      </w:pPr>
    </w:p>
    <w:p w:rsidR="0033382B" w:rsidRDefault="0033382B" w:rsidP="0033382B">
      <w:pPr>
        <w:pStyle w:val="TextoNormal"/>
      </w:pPr>
      <w:r>
        <w:t>Así, la normativa sectorial aplicable en el procedimiento de referencia ha establecido un trámite de información pública para el reconocimiento en concreto de la utilidad pública de las instalaciones eléctricas, debiendo las empresas interesadas incluir en su solicitud de tal reconocimiento “una relación concreta e individualizada de los bienes o derechos que consideren de necesaria expropiación”. Una vez concluido el trámite de información pública y a la vista de las alegaciones presentadas, le corresponde al Ministerio de Industria y Energía resolver sobre la declaración de utilidad pública, declaración que lleva implícita, en todo, caso la necesidad de ocupación de los bienes o de adquisición de los derechos afectados. Es el acuerdo de necesidad de ocupación el que debe ser notificado personalmente a los interesados. El expropiado recibe así la notificación personal de la citación para el levantamiento de las actas de pago y ocupación, pudiendo alegar y hacer valer en vía de recurso cualquier irregularidad previa.</w:t>
      </w:r>
    </w:p>
    <w:p w:rsidR="0033382B" w:rsidRDefault="0033382B" w:rsidP="0033382B">
      <w:pPr>
        <w:pStyle w:val="TextoNormal"/>
      </w:pPr>
    </w:p>
    <w:p w:rsidR="0033382B" w:rsidRDefault="0033382B" w:rsidP="0033382B">
      <w:pPr>
        <w:pStyle w:val="TextoNormal"/>
      </w:pPr>
      <w:r>
        <w:t>La normativa sectorial aplicable ha dispuesto, por tanto, que el procedimiento de audiencia se articule, en un primer momento, a través de un trámite de información pública, toda vez que en el mencionado trámite inicial, aun cuando vengan relacionadas de modo particularizado las fincas y propietarios que, de modo eventual, puedan quedar afectados por la iniciativa expropiatoria, ésta aún no se ha operado de modo efectivo ni recaído sobre aquellos inmuebles. De ahí que el legislador, en virtud de la libertad de configuración que le permite el art. 105 c) CE, haya entendido que el acto de comunicación relativo a dicho trámite tenga ese alcance.</w:t>
      </w:r>
    </w:p>
    <w:p w:rsidR="0033382B" w:rsidRDefault="0033382B" w:rsidP="0033382B">
      <w:pPr>
        <w:pStyle w:val="TextoNormal"/>
      </w:pPr>
    </w:p>
    <w:p w:rsidR="0033382B" w:rsidRDefault="0033382B" w:rsidP="0033382B">
      <w:pPr>
        <w:pStyle w:val="TextoNormal"/>
      </w:pPr>
      <w:r>
        <w:t>Como ha tenido ocasión de recordar este Tribunal, el art. 105 c) de la Constitución, sólo exige la audiencia, “cuando proceda”, interpretando que tal procedencia la determina, en buena medida, el legislador (SSTC 68/1985, de 27 de mayo, y 175/1987, de 4 de noviembre). No obstante lo anterior, la libertad del legislador para determinar la procedencia de la audiencia no puede ser en ningún caso absoluta, pues admitir lo contrario implicaría vaciar de contenido el mandato del citado precepto constitucional.</w:t>
      </w:r>
    </w:p>
    <w:p w:rsidR="0033382B" w:rsidRDefault="0033382B" w:rsidP="0033382B">
      <w:pPr>
        <w:pStyle w:val="TextoNormal"/>
      </w:pPr>
    </w:p>
    <w:p w:rsidR="0033382B" w:rsidRDefault="0033382B" w:rsidP="0033382B">
      <w:pPr>
        <w:pStyle w:val="TextoNormal"/>
      </w:pPr>
      <w:r>
        <w:t>Del tenor del art. 105 c) CE se desprende que el mismo constituye una reserva al legislador para la regulación del procedimiento y, dentro de él, del trámite de audiencia.</w:t>
      </w:r>
    </w:p>
    <w:p w:rsidR="0033382B" w:rsidRDefault="0033382B" w:rsidP="0033382B">
      <w:pPr>
        <w:pStyle w:val="TextoNormal"/>
      </w:pPr>
    </w:p>
    <w:p w:rsidR="0033382B" w:rsidRDefault="0033382B" w:rsidP="0033382B">
      <w:pPr>
        <w:pStyle w:val="TextoNormal"/>
      </w:pPr>
      <w:r>
        <w:t>En lo que se refiere a este trámite de audiencia, y dejando a salvo las especialidades propias del procedimiento administrativo sancionador en el que por exigencia del art. 24 CE sí que cabe exigir la notificación personal, no se puede deducir de la Constitución, y más concretamente del art. 105 c) CE la imposición de una exigencia de notificación personal para supuestos como el del cas</w:t>
      </w:r>
      <w:r w:rsidRPr="0033382B">
        <w:rPr>
          <w:i/>
        </w:rPr>
        <w:t>o a q</w:t>
      </w:r>
      <w:r>
        <w:t>uo.</w:t>
      </w:r>
    </w:p>
    <w:p w:rsidR="0033382B" w:rsidRDefault="0033382B" w:rsidP="0033382B">
      <w:pPr>
        <w:pStyle w:val="TextoNormal"/>
      </w:pPr>
    </w:p>
    <w:p w:rsidR="0033382B" w:rsidRDefault="0033382B" w:rsidP="0033382B">
      <w:pPr>
        <w:pStyle w:val="TextoNormal"/>
      </w:pPr>
      <w:r>
        <w:t>En efecto, en el presente supuesto, el legislador sectorial ha previsto la información pública como forma de dar audiencia a los interesados en el trámite previo a la declaración de necesidad de ocupación, sin que se pueda considerar que el hecho de que no haya previsto la notificación personal vulnere el art. 105 c) CE, pues este precepto no instituye una determinada manera de dar audiencia al interesado. Así, si bien el legislador no tiene una completa libertad para determinar la procedencia de la audiencia, sí tiene, sin embargo, un mayor margen de apreciación a la hora de establecer el modo en que ésta haya de tener lugar.</w:t>
      </w:r>
    </w:p>
    <w:p w:rsidR="0033382B" w:rsidRDefault="0033382B" w:rsidP="0033382B">
      <w:pPr>
        <w:pStyle w:val="TextoNormal"/>
      </w:pPr>
    </w:p>
    <w:p w:rsidR="0033382B" w:rsidRDefault="0033382B" w:rsidP="0033382B">
      <w:pPr>
        <w:pStyle w:val="TextoNormal"/>
      </w:pPr>
      <w:r>
        <w:t>Con fundamento, pues, en todas las consideraciones expuestas.</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cuestión de inconstitucionalidad núm. 4487-2015.</w:t>
      </w:r>
    </w:p>
    <w:p w:rsidR="0033382B" w:rsidRDefault="0033382B" w:rsidP="0033382B">
      <w:pPr>
        <w:pStyle w:val="TextoNormal"/>
      </w:pPr>
    </w:p>
    <w:p w:rsidR="0033382B" w:rsidRDefault="0033382B" w:rsidP="0033382B">
      <w:pPr>
        <w:pStyle w:val="TextoNormal"/>
      </w:pPr>
      <w:r>
        <w:t>Madrid, a quince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91" w:name="AUTO_2016_64"/>
      <w:r>
        <w:t>AUTO 64/2016, de 15 de marzo de 2016</w:t>
      </w:r>
    </w:p>
    <w:bookmarkEnd w:id="191"/>
    <w:p w:rsidR="0033382B" w:rsidRDefault="0033382B" w:rsidP="0033382B">
      <w:pPr>
        <w:pStyle w:val="TtuloResolucin"/>
      </w:pPr>
      <w:r>
        <w:t>Pleno</w:t>
      </w:r>
    </w:p>
    <w:p w:rsidR="0033382B" w:rsidRDefault="0033382B" w:rsidP="0033382B">
      <w:pPr>
        <w:pStyle w:val="TextoNormalCentrado"/>
      </w:pPr>
      <w:r>
        <w:t>ECLI:ES:TC:2016:64A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6393-2015, planteada por el Tribunal Superior de Justicia de Cantabria en relación con el artículo 65 bis.1 de la Ley del Parlamento de Cantabria 4/2013, de 20 de junio, de ordenación territorial y de régimen urbanístico del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Por escrito registrado en este Tribunal el 13 de noviembre de 2015, la Sala de lo Contencioso-Administrativo del Tribunal Superior de Justicia de Cantabria remitió testimonio del Auto de 1 de octubre de 2015 por el que se acordó plantear cuestión de inconstitucionalidad en relación con el art. 65 </w:t>
      </w:r>
      <w:r w:rsidRPr="0033382B">
        <w:rPr>
          <w:i/>
        </w:rPr>
        <w:t>bis</w:t>
      </w:r>
      <w:r>
        <w:t>.1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Por Sentencia de 19 de febrero de 2001, la Sala de lo Contencioso-Administrativo del Tribunal Superior de Justicia de Cantabria estimó el recurso interpuesto por la Asociación para la Defensa de los Recursos Naturales de Cantabria (ARCA) contra el acuerdo de la comisión de gobierno del Ayuntamiento de Argoños por el que se concedió licencia para la construcción de ocho viviendas en ese municipio. La Sentencia anula la licencia y ordena el derribo de lo indebidamente construido. Frente a la misma se interpuso recurso de casación, inadmitido por Auto del Tribunal Supremo de 19 de junio de 2003.</w:t>
      </w:r>
    </w:p>
    <w:p w:rsidR="0033382B" w:rsidRDefault="0033382B" w:rsidP="0033382B">
      <w:pPr>
        <w:pStyle w:val="TextoNormal"/>
      </w:pPr>
    </w:p>
    <w:p w:rsidR="0033382B" w:rsidRDefault="0033382B" w:rsidP="0033382B">
      <w:pPr>
        <w:pStyle w:val="TextoNormal"/>
      </w:pPr>
      <w:r>
        <w:t>b) Declarada firme la Sentencia e instada su ejecución por la recurrente, se ordenó la misma mediante Auto de 20 de diciembre de 2006. La representación del Ayuntamiento de Argoños se solicitó la suspensión, denegada por providencia de 4 de junio de 2008. Lo mismo sucedió con un incidente de imposibilidad material de ejecución, desestimado por Auto de 14 de septiembre de 2009 (conformado por otro de 1 de julio de 2013). Presentada propuesta de ejecución por el Ayuntamiento, se dictó Auto de 3 de noviembre de 2014 que designa al Gobierno de Cantabria para llevar a cabo la demolición.</w:t>
      </w:r>
    </w:p>
    <w:p w:rsidR="0033382B" w:rsidRDefault="0033382B" w:rsidP="0033382B">
      <w:pPr>
        <w:pStyle w:val="TextoNormal"/>
      </w:pPr>
    </w:p>
    <w:p w:rsidR="0033382B" w:rsidRDefault="0033382B" w:rsidP="0033382B">
      <w:pPr>
        <w:pStyle w:val="TextoNormal"/>
      </w:pPr>
      <w:r>
        <w:t xml:space="preserve">c) Tras diversas incidencias procesales, el Ayuntamiento de Argoños promovió el 26 de marzo de 2015 incidente de ejecución al amparo del art. 109 de la Ley reguladora de la jurisdicción contencioso-administrativa, interesando que se acuerde mantener las viviendas autorizadas por las licencias en su día otorgadas y sobre las que pesa la orden judicial de demolición, aplicándoles el régimen previsto para los edificios fuera de ordenación, en tanto se cumplan las condiciones previstas en el art. 65 </w:t>
      </w:r>
      <w:r w:rsidRPr="0033382B">
        <w:rPr>
          <w:i/>
        </w:rPr>
        <w:t>bis</w:t>
      </w:r>
      <w:r>
        <w:t xml:space="preserve"> de la Ley 2/2001, de 25 de junio, de ordenación territorial y régimen urbanístico del suelo en Cantabria, añadido por la Ley 4/2013, de 20 de junio.</w:t>
      </w:r>
    </w:p>
    <w:p w:rsidR="0033382B" w:rsidRDefault="0033382B" w:rsidP="0033382B">
      <w:pPr>
        <w:pStyle w:val="TextoNormal"/>
      </w:pPr>
    </w:p>
    <w:p w:rsidR="0033382B" w:rsidRDefault="0033382B" w:rsidP="0033382B">
      <w:pPr>
        <w:pStyle w:val="TextoNormal"/>
      </w:pPr>
      <w:r>
        <w:t xml:space="preserve">d) Por providencia de 20 de julio de 2015, la Sala de lo Contencioso-Administrativo del Tribunal Superior de Justicia de Cantabria, de conformidad con lo dispuesto en el art. 35.2 de la Ley Orgánica del Tribunal Constitucional (LOTC), acordó oír a las partes personadas y al Ministerio Fiscal, por el término común de diez días, sobre la pertinencia de plantear cuestión de inconstitucionalidad respecto del art. 65 </w:t>
      </w:r>
      <w:r w:rsidRPr="0033382B">
        <w:rPr>
          <w:i/>
        </w:rPr>
        <w:t>bis</w:t>
      </w:r>
      <w:r>
        <w:t xml:space="preserve"> de la Ley 2/2001, de 25 de junio, de ordenación territorial y del régimen urbanístico del suelo de Cantabria, añadido por la Ley 4/2013, de 20 de junio. En concreto, dudaba de la constitucionalidad del art. art. 65 </w:t>
      </w:r>
      <w:r w:rsidRPr="0033382B">
        <w:rPr>
          <w:i/>
        </w:rPr>
        <w:t>bis</w:t>
      </w:r>
      <w:r>
        <w:t>.1 de la Ley 2/2001, de 25 de junio, citada, añadido por el art. 1 de la Ley 4/2013, de 20 de junio, en la parte que se refiere a las órdenes de demolición judicial. Entendía que el inciso del precepto legal impugnado pudiera ser contrario a los arts. 24, 117.3 y 149.1.6 CE.</w:t>
      </w:r>
    </w:p>
    <w:p w:rsidR="0033382B" w:rsidRDefault="0033382B" w:rsidP="0033382B">
      <w:pPr>
        <w:pStyle w:val="TextoNormal"/>
      </w:pPr>
    </w:p>
    <w:p w:rsidR="0033382B" w:rsidRDefault="0033382B" w:rsidP="0033382B">
      <w:pPr>
        <w:pStyle w:val="TextoNormal"/>
      </w:pPr>
      <w:r>
        <w:t>e) Evacuado el trámite de audiencia del art. 35.2 LOTC con el resultado que consta en las actuaciones, por Auto de 1 de octubre de 2015 la Sala de lo Contencioso-Administrativo del Tribunal Superior de Justicia de Cantabria acordó plantear cuestión de inconstitucionalidad sobre el precepto antes citado.</w:t>
      </w:r>
    </w:p>
    <w:p w:rsidR="0033382B" w:rsidRDefault="0033382B" w:rsidP="0033382B">
      <w:pPr>
        <w:pStyle w:val="TextoNormal"/>
      </w:pPr>
    </w:p>
    <w:p w:rsidR="0033382B" w:rsidRDefault="0033382B" w:rsidP="0033382B">
      <w:pPr>
        <w:pStyle w:val="TextoNormal"/>
      </w:pPr>
      <w:r w:rsidRPr="0033382B">
        <w:rPr>
          <w:rStyle w:val="NumeroAFNegritaCaracter"/>
        </w:rPr>
        <w:t>3</w:t>
      </w:r>
      <w:r>
        <w:t>. Del contenido del Auto de planteamiento interesa destacar lo siguiente:</w:t>
      </w:r>
    </w:p>
    <w:p w:rsidR="0033382B" w:rsidRDefault="0033382B" w:rsidP="0033382B">
      <w:pPr>
        <w:pStyle w:val="TextoNormal"/>
      </w:pPr>
    </w:p>
    <w:p w:rsidR="0033382B" w:rsidRDefault="0033382B" w:rsidP="0033382B">
      <w:pPr>
        <w:pStyle w:val="TextoNormal"/>
      </w:pPr>
      <w:r>
        <w:t>Tras exponer que los hechos que han dado lugar al planteamiento de la cuestión y justificar que el precepto cuestionado, al ser la norma en la que se fundamenta el incidente por el que se solicita la suspensión de la ejecución de la Sentencia, es relevante para el fallo, entra a analizar las razones por las que duda de su constitucionalidad.</w:t>
      </w:r>
    </w:p>
    <w:p w:rsidR="0033382B" w:rsidRDefault="0033382B" w:rsidP="0033382B">
      <w:pPr>
        <w:pStyle w:val="TextoNormal"/>
      </w:pPr>
    </w:p>
    <w:p w:rsidR="0033382B" w:rsidRDefault="0033382B" w:rsidP="0033382B">
      <w:pPr>
        <w:pStyle w:val="TextoNormal"/>
      </w:pPr>
      <w:r>
        <w:t xml:space="preserve">Según se afirma en esta resolución, el art. 65 </w:t>
      </w:r>
      <w:r w:rsidRPr="0033382B">
        <w:rPr>
          <w:i/>
        </w:rPr>
        <w:t>bis</w:t>
      </w:r>
      <w:r>
        <w:t>.1 de la Ley de ordenación territorial y del régimen urbanístico del suelo de Cantabria, en la parte que se refiere a las órdenes de demolición judiciales, puede ser lesivo del art. 149.1.6 CE, al derecho a la ejecución de sentencias que garantiza el art. 24 CE y el art. 117.3 CE.</w:t>
      </w:r>
    </w:p>
    <w:p w:rsidR="0033382B" w:rsidRDefault="0033382B" w:rsidP="0033382B">
      <w:pPr>
        <w:pStyle w:val="TextoNormal"/>
      </w:pPr>
    </w:p>
    <w:p w:rsidR="0033382B" w:rsidRDefault="0033382B" w:rsidP="0033382B">
      <w:pPr>
        <w:pStyle w:val="TextoNormal"/>
      </w:pPr>
      <w:r>
        <w:t>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0033382B" w:rsidRDefault="0033382B" w:rsidP="0033382B">
      <w:pPr>
        <w:pStyle w:val="TextoNormal"/>
      </w:pPr>
    </w:p>
    <w:p w:rsidR="0033382B" w:rsidRDefault="0033382B" w:rsidP="0033382B">
      <w:pPr>
        <w:pStyle w:val="TextoNormal"/>
      </w:pPr>
      <w:r>
        <w:t>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w:t>
      </w:r>
    </w:p>
    <w:p w:rsidR="0033382B" w:rsidRDefault="0033382B" w:rsidP="0033382B">
      <w:pPr>
        <w:pStyle w:val="TextoNormal"/>
      </w:pPr>
    </w:p>
    <w:p w:rsidR="0033382B" w:rsidRDefault="0033382B" w:rsidP="0033382B">
      <w:pPr>
        <w:pStyle w:val="TextoNormal"/>
      </w:pPr>
      <w:r>
        <w:t>En el Auto de planteamiento se invoca la doctrina establecida en la STC 82/2014, de 28 de mayo, en la que se ha considerado contrario a la competencia estatal en materia de legislación procesal que el legislador autonómico establezca una causa de suspensión o aplazamiento de la ejecución de las sentencias que han de ejecutarse mediante el derribo de las edificaciones y ha apreciado también que, en la medida en que la efectividad de la demolición judicialmente acordada depende de que la Administración resuelva un procedimiento de responsabilidad patrimonial y, en su caso, abone la indemnización acordada al perjudicado, “la ejecución de la Sentencia termina por escapar del control judicial, único competente para hacer ejecutar lo juzgado a tenor de lo dispuesto en el art. 117.3 CE”.</w:t>
      </w:r>
    </w:p>
    <w:p w:rsidR="0033382B" w:rsidRDefault="0033382B" w:rsidP="0033382B">
      <w:pPr>
        <w:pStyle w:val="TextoNormal"/>
      </w:pPr>
    </w:p>
    <w:p w:rsidR="0033382B" w:rsidRDefault="0033382B" w:rsidP="0033382B">
      <w:pPr>
        <w:pStyle w:val="TextoNormal"/>
      </w:pPr>
      <w:r>
        <w:t xml:space="preserve">Las anteriores consideraciones llevan a la Sala a plantear cuestión de inconstitucionalidad en relación con el art. 65 </w:t>
      </w:r>
      <w:r w:rsidRPr="0033382B">
        <w:rPr>
          <w:i/>
        </w:rPr>
        <w:t>bis</w:t>
      </w:r>
      <w:r>
        <w:t>.1 de la Ley 2/2001, de 25 de junio, de ordenación territorial y régimen urbanístico, modificada por la Ley 4/2013, en la parte que se refiere a las órdenes de demolición judiciales.</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2 de febrero de 2016, el Pleno, a propuesta de la Sección Primera, acordó, a los efectos que determina el art. 37.1 LOTC, oír al Fiscal General del Estado para que, en el plazo de diez días, alegara lo que considerara conveniente acerca de la admisibilidad de la presente cuestión de inconstitucionalidad, por si hubiera perdido objeto de forma sobrevenida (STC 254/2015, de 30 de noviembre).</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escrito registrado con fecha 26 de febrero de 2016, la Fiscal General del Estado comparece e interesa que se dicte resolución por la que se declara la extinción de esta cuestión de inconstitucionalidad, por desaparición sobrevenida de su objeto. Alega al respecto, en síntesis, lo siguiente:</w:t>
      </w:r>
    </w:p>
    <w:p w:rsidR="0033382B" w:rsidRDefault="0033382B" w:rsidP="0033382B">
      <w:pPr>
        <w:pStyle w:val="TextoNormal"/>
      </w:pPr>
    </w:p>
    <w:p w:rsidR="0033382B" w:rsidRDefault="0033382B" w:rsidP="0033382B">
      <w:pPr>
        <w:pStyle w:val="TextoNormal"/>
      </w:pPr>
      <w:r>
        <w:t>La STC 254/2015, de 30 de noviembre, resolutoria de la cuestión de inconstitucionalidad núm. 6860-2014, ha declarado inconstitucional y nulo el precepto cuestionado, en cuanto se refiere a los procesos de ejecución de resoluciones judiciales.</w:t>
      </w:r>
    </w:p>
    <w:p w:rsidR="0033382B" w:rsidRDefault="0033382B" w:rsidP="0033382B">
      <w:pPr>
        <w:pStyle w:val="TextoNormal"/>
      </w:pPr>
    </w:p>
    <w:p w:rsidR="0033382B" w:rsidRDefault="0033382B" w:rsidP="0033382B">
      <w:pPr>
        <w:pStyle w:val="TextoNormal"/>
      </w:pPr>
      <w:r>
        <w:t>Dicha sentencia, publicada en el “BOE” de 12 de enero de 2016, posee el valor de cosa juzgada y plenos efectos frente a todos a partir del día siguiente al de su publicación (arts. 164.1 CE y 38.1 LOTC), con la consecuencia necesaria de que el precepto cuestionado ha sido definitivamente expulsado del ordenamiento.</w:t>
      </w:r>
    </w:p>
    <w:p w:rsidR="0033382B" w:rsidRDefault="0033382B" w:rsidP="0033382B">
      <w:pPr>
        <w:pStyle w:val="TextoNormal"/>
      </w:pPr>
    </w:p>
    <w:p w:rsidR="0033382B" w:rsidRDefault="0033382B" w:rsidP="0033382B">
      <w:pPr>
        <w:pStyle w:val="TextoNormal"/>
      </w:pPr>
      <w:r>
        <w:t>Ello impone apreciar ahora, conforme a reiterada jurisprudencia constitucional (SSTC 387/1993, de 23 de diciembre; 72/1997, de 10 de abril, y 91/1997, de 8 de mayo, y AATC 271/2005, de 21 de junio; 77/2007, de 27 de febrero; 306/2007, de 19 de junio; 175/2010, de 23 de noviembre, y 176/2010, de 23 de noviembre), la desaparición sobrevenida del objeto de la presente cuestión, al haber quedado disipada la duda de constitucionalidad planteada por el órgano judicial.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 xml:space="preserve">Único. La presente cuestión de inconstitucionalidad ha sido promovida por el Juzgado de lo Contencioso-Administrativo núm. 1 de Santander, en relación con el art. 65 </w:t>
      </w:r>
      <w:r w:rsidRPr="0033382B">
        <w:rPr>
          <w:i/>
        </w:rPr>
        <w:t>bis</w:t>
      </w:r>
      <w:r>
        <w:t>.1 de la Ley del Parlamento de Cantabria 2/2001, de 25 de junio, de ordenación territorial y de régimen urbanístico del suelo de Cantabria, introducido por la Ley 4/2013, de 20 de junio, en la parte del mismo que se refiere a las órdenes de demolición judiciales.</w:t>
      </w:r>
    </w:p>
    <w:p w:rsidR="0033382B" w:rsidRDefault="0033382B" w:rsidP="0033382B">
      <w:pPr>
        <w:pStyle w:val="TextoNormal"/>
      </w:pPr>
    </w:p>
    <w:p w:rsidR="0033382B" w:rsidRDefault="0033382B" w:rsidP="0033382B">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y, por tanto, también, su vertiente de derecho a la ejecución de sentencias, y la potestad exclusiva de Jueces y Tribunales para ejecutar lo juzgado.</w:t>
      </w:r>
    </w:p>
    <w:p w:rsidR="0033382B" w:rsidRDefault="0033382B" w:rsidP="0033382B">
      <w:pPr>
        <w:pStyle w:val="TextoNormal"/>
      </w:pPr>
    </w:p>
    <w:p w:rsidR="0033382B" w:rsidRDefault="0033382B" w:rsidP="0033382B">
      <w:pPr>
        <w:pStyle w:val="TextoNormal"/>
      </w:pPr>
      <w:r>
        <w:t xml:space="preserve">La STC 254/2015, de 30 de noviembre, estimatoria de la cuestión de inconstitucionalidad núm. 6860-2014, ha declarado inconstitucional y nulo el inciso “o judiciales” del art. 65 </w:t>
      </w:r>
      <w:r w:rsidRPr="0033382B">
        <w:rPr>
          <w:i/>
        </w:rPr>
        <w:t>bis</w:t>
      </w:r>
      <w:r>
        <w:t>.1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33382B" w:rsidRDefault="0033382B" w:rsidP="0033382B">
      <w:pPr>
        <w:pStyle w:val="TextoNormal"/>
      </w:pPr>
    </w:p>
    <w:p w:rsidR="0033382B" w:rsidRDefault="0033382B" w:rsidP="0033382B">
      <w:pPr>
        <w:pStyle w:val="TextoNormal"/>
      </w:pPr>
      <w:r>
        <w:t>Una vez que el referido inciso ha sido expulsado del ordenamiento, con apoyo en lo previsto en el art. 37.1 de la Ley Orgánica del Tribunal Constitucional, procede acordar la inadmisión de esta cuestión de inconstitucionalidad, toda vez que la expresada circunstancia determina la pérdida sobrevenida de su objeto (AATC 277/2000, de 28 de noviembre, 203/2014, de 22 de julio, y 230/2014, de 23 de septiembre).</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cuestión de inconstitucionalidad núm. 6393-2015.</w:t>
      </w:r>
    </w:p>
    <w:p w:rsidR="0033382B" w:rsidRDefault="0033382B" w:rsidP="0033382B">
      <w:pPr>
        <w:pStyle w:val="TextoNormal"/>
      </w:pPr>
    </w:p>
    <w:p w:rsidR="0033382B" w:rsidRDefault="0033382B" w:rsidP="0033382B">
      <w:pPr>
        <w:pStyle w:val="TextoNormal"/>
      </w:pPr>
      <w:r>
        <w:t>Madrid, a quince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92" w:name="AUTO_2016_65"/>
      <w:r>
        <w:t>AUTO 65/2016, de 15 de marzo de 2016</w:t>
      </w:r>
    </w:p>
    <w:bookmarkEnd w:id="192"/>
    <w:p w:rsidR="0033382B" w:rsidRDefault="0033382B" w:rsidP="0033382B">
      <w:pPr>
        <w:pStyle w:val="TtuloResolucin"/>
      </w:pPr>
      <w:r>
        <w:t>Pleno</w:t>
      </w:r>
    </w:p>
    <w:p w:rsidR="0033382B" w:rsidRDefault="0033382B" w:rsidP="0033382B">
      <w:pPr>
        <w:pStyle w:val="TextoNormalCentrado"/>
      </w:pPr>
      <w:r>
        <w:t>ECLI:ES:TC:2016:65A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7018-2015, planteada por el Juzgado de lo Contencioso-Administrativo de Santander en relación con el artículo 65 bis.1 de la Ley del Parlamento de Cantabria 4/2013, de 20 de junio, de ordenación territorial y de régimen urbanístico del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Por escrito registrado en este Tribunal el 10 de diciembre de 2015, el Juzgado de lo Contencioso-Administrativo núm. 1 de Santander remitió testimonio del Auto de 24 de noviembre de 2015 por el que se acordó plantear cuestión de inconstitucionalidad respecto al art. 65 </w:t>
      </w:r>
      <w:r w:rsidRPr="0033382B">
        <w:rPr>
          <w:i/>
        </w:rPr>
        <w:t>bis</w:t>
      </w:r>
      <w:r>
        <w:t>.1, inciso “o judiciales”, en relación con los efectos previstos en los apartados 2 y 3, de la Ley 2/2001, de 25 de junio, de ordenación territorial y del régimen urbanístico del suelo de Cantabria, añadido por el art. 1 de la Ley 4/2013, de 20 de junio. Se considera que el inciso del precepto legal impugnado es contrario a los arts. 24.2, 117.3 y 149.1.6 CE. Junto a esta resolución se acompaña copia testimoniada de las actuaciones.</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La Sala de lo Contencioso-Administrativo del Tribunal Superior de Justicia de Cantabria dictó sentencia estimando el recurso de apelación interpuesto contra la Sentencia del Juzgado de lo Contencioso-Administrativo núm. 1 de Santander y declarando la nulidad de la licencia de obras otorgada por el Ayuntamiento de Alfoz de Lloredo, ordenando la demolición del hotel ilegalmente edificado.</w:t>
      </w:r>
    </w:p>
    <w:p w:rsidR="0033382B" w:rsidRDefault="0033382B" w:rsidP="0033382B">
      <w:pPr>
        <w:pStyle w:val="TextoNormal"/>
      </w:pPr>
    </w:p>
    <w:p w:rsidR="0033382B" w:rsidRDefault="0033382B" w:rsidP="0033382B">
      <w:pPr>
        <w:pStyle w:val="TextoNormal"/>
      </w:pPr>
      <w:r>
        <w:t>b) Instada la ejecución de la Sentencia por los recurrentes, se ordenó la misma, planteándose incidentes de inejecución y causas de oposición, adoptándose medidas coercitivas de imposición del fallo, sin que hasta la fecha se haya dado cumplimiento al mismo.</w:t>
      </w:r>
    </w:p>
    <w:p w:rsidR="0033382B" w:rsidRDefault="0033382B" w:rsidP="0033382B">
      <w:pPr>
        <w:pStyle w:val="TextoNormal"/>
      </w:pPr>
    </w:p>
    <w:p w:rsidR="0033382B" w:rsidRDefault="0033382B" w:rsidP="0033382B">
      <w:pPr>
        <w:pStyle w:val="TextoNormal"/>
      </w:pPr>
      <w:r>
        <w:t xml:space="preserve">c) El Ayuntamiento solicitó al órgano judicial que acordase la suspensión de la ejecución de la Sentencia y el mantenimiento de la instalación, que debía ser demolida, en ejecución de la referida Sentencia por encontrarse en situación de fuera de ordenación y ello mientras estuviera vigente la autorización provisional. El ayuntamiento adujo que la edificación que en ejecución de Sentencia debía ser demolida, había sido provisionalmente autorizada en virtud de lo dispuesto en el art. 65 </w:t>
      </w:r>
      <w:r w:rsidRPr="0033382B">
        <w:rPr>
          <w:i/>
        </w:rPr>
        <w:t>bis</w:t>
      </w:r>
      <w:r>
        <w:t xml:space="preserve"> de la Ley de ordenación territorial y del régimen urbanístico del suelo de Cantabria, que establece que en el caso de que se esté modificando el planeamiento, las edificaciones o actuaciones que hubieran sido previamente declaradas ilegales y sobre las que hubiera recaído una orden de demolición pero que pudieran resultar conformes con la nueva ordenación, podrán ser autorizadas provisionalmente, lo que conlleva que durante este tiempo les resulte aplicable el régimen previsto para los edificios fuera de ordenación.</w:t>
      </w:r>
    </w:p>
    <w:p w:rsidR="0033382B" w:rsidRDefault="0033382B" w:rsidP="0033382B">
      <w:pPr>
        <w:pStyle w:val="TextoNormal"/>
      </w:pPr>
    </w:p>
    <w:p w:rsidR="0033382B" w:rsidRDefault="0033382B" w:rsidP="0033382B">
      <w:pPr>
        <w:pStyle w:val="TextoNormal"/>
      </w:pPr>
      <w:r>
        <w:t>d) Por providencia de 14 de octubre de 2015, el Juzgado de lo Contencioso-Administrativo núm. 1 de Santander acordó oír a las partes y al Ministerio Fiscal por el término común de diez días sobre la pertinencia de plantear cuestión de inconstitucionalidad sobre la Ley 4/2013, de 20 de junio, “por si pudiera adolecer dicha normativa de falta de competencia de la Comunidad Autónoma para introducir una causa de suspensión en el procedimiento de ejecución judicial no previsto por la normativa procesal, cuya competencia es exclusiva del Estado conforme al art. 149.1.6 de la Constitución, pudiera afectar al derecho a la tutela judicial efectiva del art. 24 CE y a la competencia exclusiva de jueces y tribunales para ejecutar lo juzgado, conforme al art. 117.1 CE. Todo ello en relación con los arts. 9.3, 24.1, 106.1, 117 y 118 del texto constitucional…”.</w:t>
      </w:r>
    </w:p>
    <w:p w:rsidR="0033382B" w:rsidRDefault="0033382B" w:rsidP="0033382B">
      <w:pPr>
        <w:pStyle w:val="TextoNormal"/>
      </w:pPr>
    </w:p>
    <w:p w:rsidR="0033382B" w:rsidRDefault="0033382B" w:rsidP="0033382B">
      <w:pPr>
        <w:pStyle w:val="TextoNormal"/>
      </w:pPr>
      <w:r>
        <w:t>e) Evacuado el referido trámite de alegaciones, el Fiscal no se opuso al planteamiento de la cuestión; los recurrentes la estimaron procedente y el ayuntamiento consideró que no procedía plantearla.</w:t>
      </w:r>
    </w:p>
    <w:p w:rsidR="0033382B" w:rsidRDefault="0033382B" w:rsidP="0033382B">
      <w:pPr>
        <w:pStyle w:val="TextoNormal"/>
      </w:pPr>
    </w:p>
    <w:p w:rsidR="0033382B" w:rsidRDefault="0033382B" w:rsidP="0033382B">
      <w:pPr>
        <w:pStyle w:val="TextoNormal"/>
      </w:pPr>
      <w:r>
        <w:t xml:space="preserve">f)) El órgano judicial dictó Auto de 24 de noviembre de 2015, planteando cuestión de inconstitucionalidad respecto al art. 65 </w:t>
      </w:r>
      <w:r w:rsidRPr="0033382B">
        <w:rPr>
          <w:i/>
        </w:rPr>
        <w:t>bis</w:t>
      </w:r>
      <w:r>
        <w:t>. 1, inciso “o judiciales”, en relación con los efectos previstos en el apartado 2 y 3, de la Ley 2/2001, de 25 de junio, de ordenación territorial y del régimen urbanístico del suelo de Cantabria, añadido por el art. 1 de la Ley 4/2013, de 20 de junio.</w:t>
      </w:r>
    </w:p>
    <w:p w:rsidR="0033382B" w:rsidRDefault="0033382B" w:rsidP="0033382B">
      <w:pPr>
        <w:pStyle w:val="TextoNormal"/>
      </w:pPr>
    </w:p>
    <w:p w:rsidR="0033382B" w:rsidRDefault="0033382B" w:rsidP="0033382B">
      <w:pPr>
        <w:pStyle w:val="TextoNormal"/>
      </w:pPr>
      <w:r w:rsidRPr="0033382B">
        <w:rPr>
          <w:rStyle w:val="NumeroAFNegritaCaracter"/>
        </w:rPr>
        <w:t>3</w:t>
      </w:r>
      <w:r>
        <w:t>. Del contenido del Auto de planteamiento interesa destacar lo siguiente:</w:t>
      </w:r>
    </w:p>
    <w:p w:rsidR="0033382B" w:rsidRDefault="0033382B" w:rsidP="0033382B">
      <w:pPr>
        <w:pStyle w:val="TextoNormal"/>
      </w:pPr>
    </w:p>
    <w:p w:rsidR="0033382B" w:rsidRDefault="0033382B" w:rsidP="0033382B">
      <w:pPr>
        <w:pStyle w:val="TextoNormal"/>
      </w:pPr>
      <w:r>
        <w:t>Tras exponer los antecedentes del caso, el Auto razona que el Ayuntamiento plantea causa de imposibilidad jurídica de ejecutar el fallo de la Sentencia por entrar en vigor la Ley 4/2013 que modifica la Ley 2/2001, de 25 de junio, que introduce la tramitación de un procedimiento administrativo para la obtención de una autorización provisional que afecte a las edificaciones que hayan sido declaradas ilegales y sobre las que hubiese recaído orden de demolición judicial por sentencia firme. Dicha norma es de aplicación preceptiva y determina el contenido de la resolución. Destaca que sobre esta norma se han planteado diversas cuestiones de inconstitucionalidad por la Sala de lo Contencioso-Administrativo del Tribunal Superior de Justicia y por el Juzgado de lo Contencioso-Administrativo núm. 1 de Santander, cuyos fundamentos expone y acoge por entenderlos plenamente aplicables al caso.</w:t>
      </w:r>
    </w:p>
    <w:p w:rsidR="0033382B" w:rsidRDefault="0033382B" w:rsidP="0033382B">
      <w:pPr>
        <w:pStyle w:val="TextoNormal"/>
      </w:pPr>
    </w:p>
    <w:p w:rsidR="0033382B" w:rsidRDefault="0033382B" w:rsidP="0033382B">
      <w:pPr>
        <w:pStyle w:val="TextoNormal"/>
      </w:pPr>
      <w:r>
        <w:t xml:space="preserve">A continuación, indica que la solicitud de inejecución que debe resolverse se apoya en el art. 65 </w:t>
      </w:r>
      <w:r w:rsidRPr="0033382B">
        <w:rPr>
          <w:i/>
        </w:rPr>
        <w:t>bis</w:t>
      </w:r>
      <w:r>
        <w:t xml:space="preserve"> de la Ley 2/2001, modificada por la Ley 4/2013. El precepto invierte los términos generales y tradicionales del derecho urbanístico pues, en lugar de suspender la concesión de licencias de construcción mientras se están tramitando nuevos planes de ordenación, lo que hace es suspender las ejecuciones judiciales mientras se tramitan estos planes, que parecen buscar la legalización de edificios que tienen sentencia de derribo, a veces, desde hace más de 15 años.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que atribuye al Estado la competencia exclusiva en materia de legislación procesal, sin perjuicio de las peculiaridades del derecho sustantivo de las Comunidades Autónomas, normativa estatal que, conforme a su artículo 105.1, no permite suspensión alguna en la ejecución de sentencias.</w:t>
      </w:r>
    </w:p>
    <w:p w:rsidR="0033382B" w:rsidRDefault="0033382B" w:rsidP="0033382B">
      <w:pPr>
        <w:pStyle w:val="TextoNormal"/>
      </w:pPr>
    </w:p>
    <w:p w:rsidR="0033382B" w:rsidRDefault="0033382B" w:rsidP="0033382B">
      <w:pPr>
        <w:pStyle w:val="TextoNormal"/>
      </w:pPr>
      <w:r>
        <w:t>Razona que la ejecución de las sentencia forma parte derecho a la tutela judicial efectiva en su vertiente de derecho a la ejecución (art. 24.1 CE), correspondiendo el ejercicio de esta potestad jurisdiccional en exclusiva a los Juzgados y Tribunales (art. 117.3 CE), siendo obligatorio cumplir las resoluciones firmes y prestar la colaboración requerida por los Jueces y Tribunales (art. 118 CE). Entiende que la efectividad de la Ley autonómica incide en la ejecución procesal, al introducir una causa de suspensión no prevista en la Ley estatal para la que carecen de competencias tanto el Gobierno Autonómico, como el ayuntamiento.</w:t>
      </w:r>
    </w:p>
    <w:p w:rsidR="0033382B" w:rsidRDefault="0033382B" w:rsidP="0033382B">
      <w:pPr>
        <w:pStyle w:val="TextoNormal"/>
      </w:pPr>
    </w:p>
    <w:p w:rsidR="0033382B" w:rsidRDefault="0033382B" w:rsidP="0033382B">
      <w:pPr>
        <w:pStyle w:val="TextoNormal"/>
      </w:pPr>
      <w:r>
        <w:t xml:space="preserve">Indica que este precepto recuerda al de la Ley 2/2001, de 25 de junio, que fue declarado inconstitucional por la STC 92/2013. La suspensión durante cuatro años hace que el ayuntamiento tenga en sus manos la posibilidad de frustrar la efectividad de la ejecución del fallo, entrando la disposición en conflicto con los arts. 117.3 CE y 105.1 de la Ley 29/1998. Descarta que pueda oponerse que la causa de la inejecución sea el acto administrativo, pues este se ampara en la norma cuestionada, dejando </w:t>
      </w:r>
      <w:r w:rsidRPr="0033382B">
        <w:rPr>
          <w:i/>
        </w:rPr>
        <w:t>sine díe</w:t>
      </w:r>
      <w:r>
        <w:t xml:space="preserve"> la ejecución de la sentencia firme, anticipando la eficacia de una norma que no es tal. Considera que tampoco se trata del otorgamiento de una nueva licencia, tras la anulada, sino de una licencia provisional cuyo encaje de legalidad se debe efectuar con un proyecto, cuyo control judicial no es posible al no tratarse de un acto definitivo; ello supone dejar en manos del ejecutado la ejecución de sentencias firmes.</w:t>
      </w:r>
    </w:p>
    <w:p w:rsidR="0033382B" w:rsidRDefault="0033382B" w:rsidP="0033382B">
      <w:pPr>
        <w:pStyle w:val="TextoNormal"/>
      </w:pPr>
    </w:p>
    <w:p w:rsidR="0033382B" w:rsidRDefault="0033382B" w:rsidP="0033382B">
      <w:pPr>
        <w:pStyle w:val="TextoNormal"/>
      </w:pPr>
      <w:r>
        <w:t>Alega, por último, que la resolución del incidente depende de la validez de la norma legal, al permitir dejar en situación provisional, inmuebles con sentencia firme de derribo, sine die, paralizando la ejecución judicial y evitando la demolición ordenada.</w:t>
      </w:r>
    </w:p>
    <w:p w:rsidR="0033382B" w:rsidRDefault="0033382B" w:rsidP="0033382B">
      <w:pPr>
        <w:pStyle w:val="TextoNormal"/>
      </w:pPr>
    </w:p>
    <w:p w:rsidR="0033382B" w:rsidRDefault="0033382B" w:rsidP="0033382B">
      <w:pPr>
        <w:pStyle w:val="TextoNormal"/>
      </w:pPr>
      <w:r>
        <w:t xml:space="preserve">Las anteriores consideraciones llevan a la Sala a plantear cuestión de inconstitucionalidad en relación con el art. 65 </w:t>
      </w:r>
      <w:r w:rsidRPr="0033382B">
        <w:rPr>
          <w:i/>
        </w:rPr>
        <w:t>bis</w:t>
      </w:r>
      <w:r>
        <w:t xml:space="preserve"> 1, de la Ley 2/2001, de 25 de junio, de ordenación territorial y régimen urbanístico modificada por la Ley 4/2013, en la parte que se refiere a las órdenes de demoliciones judiciales.</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2 de febrero de 2016, el Pleno, a propuesta de la Sección Primera, acordó, a los efectos que determina el art. 37.1 de la Ley Orgánica del Tribunal Constitucional (LOTC), oír al Fiscal General del Estado para que, en el plazo de diez días, alegara lo que considerara conveniente acerca de la admisibilidad de la presente cuestión de inconstitucionalidad, por si hubiera perdido objeto de forma sobrevenida (STC 254/2015, de 30 de noviembre).</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escrito registrado con fecha 19 de febrero de 2016, la Fiscal General del Estado comparece e interesa que se dicte resolución por la que se declara la extinción de esta cuestión de inconstitucionalidad, por desaparición sobrevenida de su objeto. Alega al respecto, en síntesis, lo siguiente:</w:t>
      </w:r>
    </w:p>
    <w:p w:rsidR="0033382B" w:rsidRDefault="0033382B" w:rsidP="0033382B">
      <w:pPr>
        <w:pStyle w:val="TextoNormal"/>
      </w:pPr>
    </w:p>
    <w:p w:rsidR="0033382B" w:rsidRDefault="0033382B" w:rsidP="0033382B">
      <w:pPr>
        <w:pStyle w:val="TextoNormal"/>
      </w:pPr>
      <w:r>
        <w:t>La STC 254/2015, de 30 de noviembre, resolutoria de la cuestión de inconstitucionalidad núm. 6860-2014, ha declarado inconstitucional y nulo el precepto cuestionado, en cuanto se refiere a los procesos de ejecución de resoluciones judiciales.</w:t>
      </w:r>
    </w:p>
    <w:p w:rsidR="0033382B" w:rsidRDefault="0033382B" w:rsidP="0033382B">
      <w:pPr>
        <w:pStyle w:val="TextoNormal"/>
      </w:pPr>
    </w:p>
    <w:p w:rsidR="0033382B" w:rsidRDefault="0033382B" w:rsidP="0033382B">
      <w:pPr>
        <w:pStyle w:val="TextoNormal"/>
      </w:pPr>
      <w:r>
        <w:t>Dicha Sentencia, publicada en el “BOE” de 12 de enero de 2016, posee el valor de cosa juzgada y plenos efectos frente a todos a partir del día siguiente al de su publicación (arts. 164.1 CE y 38.1 LOTC), con la consecuencia necesaria de que el precepto cuestionado ha sido definitivamente expulsado del ordenamiento.</w:t>
      </w:r>
    </w:p>
    <w:p w:rsidR="0033382B" w:rsidRDefault="0033382B" w:rsidP="0033382B">
      <w:pPr>
        <w:pStyle w:val="TextoNormal"/>
      </w:pPr>
    </w:p>
    <w:p w:rsidR="0033382B" w:rsidRDefault="0033382B" w:rsidP="0033382B">
      <w:pPr>
        <w:pStyle w:val="TextoNormal"/>
      </w:pPr>
      <w:r>
        <w:t>Ello impone apreciar ahora, conforme a reiterada jurisprudencia constitucional (SSTC 387/1993, de 23 de diciembre, 72/1997, de 10 de abril, 91/1997, de 8 de mayo, y AATC 271/2005, de 21 de junio, 77/2007, de 27 de febrero, 306/2007, de 19 de junio, 175/2010, de 23 de noviembre, y 176/2010, de 23 de noviembre), la desaparición sobrevenida del objeto de la presente cuestión, al haber quedado disipada la duda de constitucionalidad planteada por el órgano judicial.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 xml:space="preserve">Único. La presente cuestión de inconstitucionalidad ha sido promovida por el Juzgado de lo Contencioso-Administrativo núm. 1 de Santander en relación con el art. 65 </w:t>
      </w:r>
      <w:r w:rsidRPr="0033382B">
        <w:rPr>
          <w:i/>
        </w:rPr>
        <w:t>bis</w:t>
      </w:r>
      <w:r>
        <w:t>.1 de la Ley del Parlamento de Cantabria 2/2001, de 25 de junio, de ordenación territorial y de régimen urbanístico del suelo de Cantabria, introducido por la Ley 4/2013, de 20 de junio, en la parte del mismo que se refiere a las órdenes judiciales de demolición.</w:t>
      </w:r>
    </w:p>
    <w:p w:rsidR="0033382B" w:rsidRDefault="0033382B" w:rsidP="0033382B">
      <w:pPr>
        <w:pStyle w:val="TextoNormal"/>
      </w:pPr>
    </w:p>
    <w:p w:rsidR="0033382B" w:rsidRDefault="0033382B" w:rsidP="0033382B">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en su vertiente de derecho a la ejecución de sentencias, y la potestad exclusiva de Jueces y Tribunales para ejecutar lo juzgado.</w:t>
      </w:r>
    </w:p>
    <w:p w:rsidR="0033382B" w:rsidRDefault="0033382B" w:rsidP="0033382B">
      <w:pPr>
        <w:pStyle w:val="TextoNormal"/>
      </w:pPr>
    </w:p>
    <w:p w:rsidR="0033382B" w:rsidRDefault="0033382B" w:rsidP="0033382B">
      <w:pPr>
        <w:pStyle w:val="TextoNormal"/>
      </w:pPr>
      <w:r>
        <w:t xml:space="preserve">La STC 254/2015, de 30 de noviembre, estimatoria de la cuestión de inconstitucionalidad núm. 6860-2014, ha declarado inconstitucional y nulo el inciso “o judiciales” del art. 65 </w:t>
      </w:r>
      <w:r w:rsidRPr="0033382B">
        <w:rPr>
          <w:i/>
        </w:rPr>
        <w:t>bis</w:t>
      </w:r>
      <w:r>
        <w:t>.1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33382B" w:rsidRDefault="0033382B" w:rsidP="0033382B">
      <w:pPr>
        <w:pStyle w:val="TextoNormal"/>
      </w:pPr>
    </w:p>
    <w:p w:rsidR="0033382B" w:rsidRDefault="0033382B" w:rsidP="0033382B">
      <w:pPr>
        <w:pStyle w:val="TextoNormal"/>
      </w:pPr>
      <w:r>
        <w:t>Una vez que el referido inciso ha sido expulsado del ordenamiento, con apoyo en lo previsto en el art. 37.1 de la Ley Orgánica del Tribunal Constitucional, procede acordar la inadmisión de esta cuestión de inconstitucionalidad, porque la expresada circunstancia determina la pérdida sobrevenida de su objeto (AATC 277/2000, de 28 de noviembre; 203/2014, de 22 de julio, y 230/2014, de 23 de septiembre).</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cuestión de inconstitucionalidad núm. 7018-2015.</w:t>
      </w:r>
    </w:p>
    <w:p w:rsidR="0033382B" w:rsidRDefault="0033382B" w:rsidP="0033382B">
      <w:pPr>
        <w:pStyle w:val="TextoNormal"/>
      </w:pPr>
    </w:p>
    <w:p w:rsidR="0033382B" w:rsidRDefault="0033382B" w:rsidP="0033382B">
      <w:pPr>
        <w:pStyle w:val="TextoNormal"/>
      </w:pPr>
      <w:r>
        <w:t>Madrid, a quince de marzo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93" w:name="AUTO_2016_66"/>
      <w:r>
        <w:t>AUTO 66/2016, de 11 de abril de 2016</w:t>
      </w:r>
    </w:p>
    <w:bookmarkEnd w:id="193"/>
    <w:p w:rsidR="0033382B" w:rsidRDefault="0033382B" w:rsidP="0033382B">
      <w:pPr>
        <w:pStyle w:val="TtuloResolucin"/>
      </w:pPr>
      <w:r>
        <w:t>Sala Primera</w:t>
      </w:r>
    </w:p>
    <w:p w:rsidR="0033382B" w:rsidRDefault="0033382B" w:rsidP="0033382B">
      <w:pPr>
        <w:pStyle w:val="TextoNormalCentrado"/>
      </w:pPr>
      <w:r>
        <w:t>ECLI:ES:TC:2016:66A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don Andrés Ollero Tassara, don Santiago Martínez-Vares García y don Juan Antonio Xiol Ríos.</w:t>
      </w:r>
    </w:p>
    <w:p w:rsidR="0033382B" w:rsidRDefault="0033382B" w:rsidP="0033382B">
      <w:pPr>
        <w:pStyle w:val="SntesisDescriptiva"/>
      </w:pPr>
    </w:p>
    <w:p w:rsidR="0033382B" w:rsidRDefault="0033382B" w:rsidP="0033382B">
      <w:pPr>
        <w:pStyle w:val="SntesisDescriptiva"/>
      </w:pPr>
      <w:r>
        <w:t>Declara que no se ha producido funcionamiento anormal en la tramitación del recurso de amparo 6827-2014, promovido por don Mario Navarrete Espinazo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Procurador de los Tribunales don José Noguera Chaparro, en nombre y representación de don Mario Navarrete Espinazo, bajo la dirección del Letrado don Martín Jesús Urrea Salazar, solicitó que este Tribunal declarara su funcionamiento anormal en la tramitación del recurso de amparo núm. 6872-2014, mediante escrito registrado el 23 de diciembre de 2015.</w:t>
      </w:r>
    </w:p>
    <w:p w:rsidR="0033382B" w:rsidRDefault="0033382B" w:rsidP="0033382B">
      <w:pPr>
        <w:pStyle w:val="TextoNormal"/>
      </w:pPr>
    </w:p>
    <w:p w:rsidR="0033382B" w:rsidRDefault="0033382B" w:rsidP="0033382B">
      <w:pPr>
        <w:pStyle w:val="TextoNormal"/>
      </w:pPr>
      <w:r w:rsidRPr="0033382B">
        <w:rPr>
          <w:rStyle w:val="NumeroAFNegritaCaracter"/>
        </w:rPr>
        <w:t>2</w:t>
      </w:r>
      <w:r>
        <w:t>. Esta petición tiene su origen en los siguientes antecedentes:</w:t>
      </w:r>
    </w:p>
    <w:p w:rsidR="0033382B" w:rsidRDefault="0033382B" w:rsidP="0033382B">
      <w:pPr>
        <w:pStyle w:val="TextoNormal"/>
      </w:pPr>
    </w:p>
    <w:p w:rsidR="0033382B" w:rsidRDefault="0033382B" w:rsidP="0033382B">
      <w:pPr>
        <w:pStyle w:val="TextoNormal"/>
      </w:pPr>
      <w:r>
        <w:t>a) El 13 de noviembre de 2014 fue registrado en este Tribunal el escrito del Procurador de los Tribunales don Jacobo Borja Rayón y de la Letrada doña Lourdes Fuentes Carmona, designados por el turno de oficio para la defensa de don Mario Navarrete Espinazo, en el que se solicitaba que se tuviera por anunciado recurso de amparo contra la Sentencia de la Sección Primera de la Sala de lo Contencioso-Administrativo del Tribunal Supremo de 2 de septiembre de 2014, por la que se acordaba desestimar el recurso de revisión núm. 59-2012, “acordando la interrupción y suspensión del plazo para la interposición del mencionado recurso en tanto se resuelva la solicitud de que se declare insostenible la pretensión de don Mario Navarrete Espinazo de interponer recurso de amparo”.</w:t>
      </w:r>
    </w:p>
    <w:p w:rsidR="0033382B" w:rsidRDefault="0033382B" w:rsidP="0033382B">
      <w:pPr>
        <w:pStyle w:val="TextoNormal"/>
      </w:pPr>
    </w:p>
    <w:p w:rsidR="0033382B" w:rsidRDefault="0033382B" w:rsidP="0033382B">
      <w:pPr>
        <w:pStyle w:val="TextoNormal"/>
      </w:pPr>
      <w:r>
        <w:t>b) La Secretaría de Justicia de la Sección Primera de este Tribunal, mediante diligencia de ordenación de 9 de febrero de 2015, tuvo por recibido despacho de la Comisión de Asistencia Jurídica Gratuita y, siendo coincidentes los dictámenes del Colegio de Abogados de Madrid, del Ministerio Fiscal y del Letrado designado en turno de oficio sobre la insostenibilidad de la pretensión instada, concedió un plazo de diez días al recurrente para que compareciera ante este Tribunal, si le interesa, con Abogado y Procurador a su cargo, para formular en dicho plazo demanda de amparo.</w:t>
      </w:r>
    </w:p>
    <w:p w:rsidR="0033382B" w:rsidRDefault="0033382B" w:rsidP="0033382B">
      <w:pPr>
        <w:pStyle w:val="TextoNormal"/>
      </w:pPr>
    </w:p>
    <w:p w:rsidR="0033382B" w:rsidRDefault="0033382B" w:rsidP="0033382B">
      <w:pPr>
        <w:pStyle w:val="TextoNormal"/>
      </w:pPr>
      <w:r>
        <w:t>c) El Procurador de los Tribunales don José Noguera Chaparro, en nombre y representación de don Mario Navarrete Espinazo, bajo la dirección del Letrado don Martín Jesús Urrea Salazar, interpuso recurso de amparo por escrito registrado en este Tribunal el 4 de marzo de 2015.</w:t>
      </w:r>
    </w:p>
    <w:p w:rsidR="0033382B" w:rsidRDefault="0033382B" w:rsidP="0033382B">
      <w:pPr>
        <w:pStyle w:val="TextoNormal"/>
      </w:pPr>
    </w:p>
    <w:p w:rsidR="0033382B" w:rsidRDefault="0033382B" w:rsidP="0033382B">
      <w:pPr>
        <w:pStyle w:val="TextoNormal"/>
      </w:pPr>
      <w:r>
        <w:t>d) La Sección Primera de este Tribunal, mediante providencia de 23 de septiembre de 2015, acordó no admitir a trámite el recurso con arreglo a lo previsto en el art. 50.1 a) de la Ley Orgánica del Tribunal Constitucional (LOTC), en relación con su art. 44.1 a), toda vez que el recurrente no ha agotado debidamente los medios de impugnación dentro de la vía judicial al no haber interpuesto el incidente de nulidad de actuaciones previsto en el art. 241 de la Ley Orgánica del Poder Judicial.</w:t>
      </w:r>
    </w:p>
    <w:p w:rsidR="0033382B" w:rsidRDefault="0033382B" w:rsidP="0033382B">
      <w:pPr>
        <w:pStyle w:val="TextoNormal"/>
      </w:pPr>
    </w:p>
    <w:p w:rsidR="0033382B" w:rsidRDefault="0033382B" w:rsidP="0033382B">
      <w:pPr>
        <w:pStyle w:val="TextoNormal"/>
      </w:pPr>
      <w:r>
        <w:t>e) El recurrente, mediante escrito registrado en este Tribunal el 30 de septiembre de 2015, solicito que se aclararan “las condiciones de la inadmisión a trámite del recurso de amparo”, lo que fue denegado por providencia de la Sección Primera de este Tribunal de 18 de noviembre de 2015.</w:t>
      </w:r>
    </w:p>
    <w:p w:rsidR="0033382B" w:rsidRDefault="0033382B" w:rsidP="0033382B">
      <w:pPr>
        <w:pStyle w:val="TextoNormal"/>
      </w:pPr>
    </w:p>
    <w:p w:rsidR="0033382B" w:rsidRDefault="0033382B" w:rsidP="0033382B">
      <w:pPr>
        <w:pStyle w:val="TextoNormal"/>
      </w:pPr>
      <w:r w:rsidRPr="0033382B">
        <w:rPr>
          <w:rStyle w:val="NumeroAFNegritaCaracter"/>
        </w:rPr>
        <w:t>3</w:t>
      </w:r>
      <w:r>
        <w:t>. El solicitante fundamenta la petición de que se declare el funcionamiento anormal en la tramitación del presente recurso de amparo, conforme a lo previsto en el art. 139.5 de la Ley 30/1992, de 26 de noviembre, de régimen jurídico de las Administraciones públicas y del procedimiento administrativo común, argumentando que “si tenemos en cuenta que el plazo consumido desde que se notifica la sentencia, hasta que la letrada de oficio comunica la pretensión de insostenibilidad a la Comisión de Asistencia Jurídica Gratuita es de cinco días, y teniendo en cuenta que hasta la efectiva notificación el 21 de febrero de la diligencia de ordenación del Tribunal Constitucional no comienza a correr el plazo, a mi representado se le ha privado claramente de la posibilidad de recurrir en amparo en el plazo que legalmente le corresponde … De considerar que se han consumido cinco días del plazo legalmente establecido, por iniciarse el cómputo de la suspensión el día en que la letrada de oficio presentó su solicitud de insostenibilidad, aún restarían otros 25 días. Y no 10 días como se concedió a mi representado para presentar la demanda de amparo”.</w:t>
      </w:r>
    </w:p>
    <w:p w:rsidR="0033382B" w:rsidRDefault="0033382B" w:rsidP="0033382B">
      <w:pPr>
        <w:pStyle w:val="TextoNormal"/>
      </w:pPr>
    </w:p>
    <w:p w:rsidR="0033382B" w:rsidRDefault="0033382B" w:rsidP="0033382B">
      <w:pPr>
        <w:pStyle w:val="TextoNormal"/>
      </w:pPr>
      <w:r w:rsidRPr="0033382B">
        <w:rPr>
          <w:rStyle w:val="NumeroAFNegritaCaracter"/>
        </w:rPr>
        <w:t>4</w:t>
      </w:r>
      <w:r>
        <w:t>. La Sección Primera de este Tribunal, mediante providencia de 3 de febrero de 2016, acordó formar pieza separada jurisdiccional con esta solicitud, comunicar su incoación a la parte recurrente, al Ministerio Fiscal y al Abogado del Estado, concediendo un plazo de diez días para la presentación de alegaciones.</w:t>
      </w:r>
    </w:p>
    <w:p w:rsidR="0033382B" w:rsidRDefault="0033382B" w:rsidP="0033382B">
      <w:pPr>
        <w:pStyle w:val="TextoNormal"/>
      </w:pPr>
    </w:p>
    <w:p w:rsidR="0033382B" w:rsidRDefault="0033382B" w:rsidP="0033382B">
      <w:pPr>
        <w:pStyle w:val="TextoNormal"/>
      </w:pPr>
      <w:r w:rsidRPr="0033382B">
        <w:rPr>
          <w:rStyle w:val="NumeroAFNegritaCaracter"/>
        </w:rPr>
        <w:t>5</w:t>
      </w:r>
      <w:r>
        <w:t>. El Abogado del Estado, mediante escrito registrado el 17 de febrero de 2016, presentó sus alegaciones solicitando que se declare que no hubo funcionamiento anormal, argumentado, por un lado, que la petición del recurrente queda al margen del objeto de una declaración de funcionamiento anormal, ya que se limita a plantear una discrepancia interpretativa en relación con la imposición de un plazo que en su momento tampoco fue impugnado; y, por otro, que en todo caso no hay funcionamiento anormal, ya que el plazo de diez días concedido es el previsto legalmente en el art. 49.4 LOTC.</w:t>
      </w:r>
    </w:p>
    <w:p w:rsidR="0033382B" w:rsidRDefault="0033382B" w:rsidP="0033382B">
      <w:pPr>
        <w:pStyle w:val="TextoNormal"/>
      </w:pPr>
    </w:p>
    <w:p w:rsidR="0033382B" w:rsidRDefault="0033382B" w:rsidP="0033382B">
      <w:pPr>
        <w:pStyle w:val="TextoNormal"/>
      </w:pPr>
      <w:r w:rsidRPr="0033382B">
        <w:rPr>
          <w:rStyle w:val="NumeroAFNegritaCaracter"/>
        </w:rPr>
        <w:t>6</w:t>
      </w:r>
      <w:r>
        <w:t>. El Ministerio Fiscal, mediante escrito registrado el 29 de febrero de 2016, presentó sus alegaciones interesando que se declare que no hubo funcionamiento anormal, argumentando que lo solicitado desborda el ámbito aplicativo de una declaración de funcionamiento anormal, ya que se pretende una impugnación indirecta de la decisión de otorgar un plazo de diez días para la presentación del recurso de amparo, al margen de que no existe ninguna conexión entre la inadmisión del recurso y el plazo dado para la presentación de la demanda.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El objeto de esta resolución es determinar si procede declarar la existencia de un eventual funcionamiento anormal del Tribunal Constitucional en la tramitación del recurso de amparo núm. 6827-2014, por haberse concedido mediante diligencia de ordenación del Secretario Judicial de la Sección Primera de este Tribunal de 9 de febrero de 2015, tras declararse la insostenibilidad de la pretensión instada de interponer el presente recurso de amparo, un plazo de diez días al recurrente para que compareciera ante este Tribunal, si le interesa, con Abogado y Procurador a su cargo, para formular en dicho plazo demanda de amparo.</w:t>
      </w:r>
    </w:p>
    <w:p w:rsidR="0033382B" w:rsidRDefault="0033382B" w:rsidP="0033382B">
      <w:pPr>
        <w:pStyle w:val="TextoNormal"/>
      </w:pPr>
    </w:p>
    <w:p w:rsidR="0033382B" w:rsidRDefault="0033382B" w:rsidP="0033382B">
      <w:pPr>
        <w:pStyle w:val="TextoNormal"/>
      </w:pPr>
      <w:r>
        <w:t>El Tribunal tiene declarado que la declaración de funcionamiento anormal prevista en el art. 139.5 de la Ley 30/1992, de 26 de noviembre, de régimen jurídico de las Administraciones públicas y del procedimiento administrativo común, tiene un contenido material limitado a la existencia de eventuales deficiencias en el desarrollo de la tramitación de los recursos de amparo o de las cuestiones de inconstitucionalidad y que no puede servir para replantear las vulneraciones denunciadas ni provocar la revisión de decisiones del Tribunal Constitucional (ATC 109/2015, de 22 de junio, FJ 2).</w:t>
      </w:r>
    </w:p>
    <w:p w:rsidR="0033382B" w:rsidRDefault="0033382B" w:rsidP="0033382B">
      <w:pPr>
        <w:pStyle w:val="TextoNormal"/>
      </w:pPr>
    </w:p>
    <w:p w:rsidR="0033382B" w:rsidRDefault="0033382B" w:rsidP="0033382B">
      <w:pPr>
        <w:pStyle w:val="TextoNormal"/>
      </w:pPr>
      <w:r>
        <w:t>En el presente caso, tal como también sostienen el Abogado del Estado y el Ministerio Fiscal, se pone de manifiesto que la pretensión del solicitante queda al margen del ámbito propio de la declaración de funcionamiento anormal del Tribunal, toda vez que se sustenta en una discrepancia sobre la legalidad de la decisión del Tribunal de conceder un plazo de diez días para la designación de Procurador y Abogado a su cargo y la formulación del recurso de amparo, tras la declaración de insostenibilidad, lo que, en última instancia, no es sino una extemporánea solicitud de revisión de aquella decisión. Esta, por otra parte, no fue objetada por el recurrente antes de la inadmisión del presente recurso de amparo.</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Declarar que no se ha producido funcionamiento anormal en la tramitación del recurso de amparo núm. 6827-2014.</w:t>
      </w:r>
    </w:p>
    <w:p w:rsidR="0033382B" w:rsidRDefault="0033382B" w:rsidP="0033382B">
      <w:pPr>
        <w:pStyle w:val="TextoNormal"/>
      </w:pPr>
    </w:p>
    <w:p w:rsidR="0033382B" w:rsidRDefault="0033382B" w:rsidP="0033382B">
      <w:pPr>
        <w:pStyle w:val="TextoNormal"/>
      </w:pPr>
      <w:r>
        <w:t>Madrid, a once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94" w:name="AUTO_2016_67"/>
      <w:r>
        <w:t>AUTO 67/2016, de 11 de abril de 2016</w:t>
      </w:r>
    </w:p>
    <w:bookmarkEnd w:id="194"/>
    <w:p w:rsidR="0033382B" w:rsidRDefault="0033382B" w:rsidP="0033382B">
      <w:pPr>
        <w:pStyle w:val="TtuloResolucin"/>
      </w:pPr>
      <w:r>
        <w:t>Sala Segunda</w:t>
      </w:r>
    </w:p>
    <w:p w:rsidR="0033382B" w:rsidRDefault="0033382B" w:rsidP="0033382B">
      <w:pPr>
        <w:pStyle w:val="TextoNormalCentrado"/>
      </w:pPr>
      <w:r>
        <w:t>ECLI:ES:TC:2016:67A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Deniega la medida cautelar solicitada en el recurso de amparo 3136-2015, promovido por don Manuel Tena Gallench en causa penal.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registrado en este Tribunal el día 4 de noviembre de 2015, la Procuradora de los Tribunales doña Olga Romojaro Casado, en nombre y representación de don Manuel Tena Gallench, interpuso demanda de amparo contra el Auto de fecha 24 de marzo de 2015, dictado por el Juzgado de Instrucción núm. 20 de Madrid, declarando no haber lugar a la solicitud de nulidad de actuaciones promovida contra el Auto de 14 de octubre de 2014, dictado por el mismo órgano judicial en las diligencias indeterminadas núm. 590-2014 desestimando la impugnación efectuada contra la resolución de 7 de enero de 2014 de la Comisión de Asistencia Jurídica Gratuita de la Comunidad de Madrid, recaída en el expediente núm. 0-0222453-2013.</w:t>
      </w:r>
    </w:p>
    <w:p w:rsidR="0033382B" w:rsidRDefault="0033382B" w:rsidP="0033382B">
      <w:pPr>
        <w:pStyle w:val="TextoNormal"/>
      </w:pPr>
    </w:p>
    <w:p w:rsidR="0033382B" w:rsidRDefault="0033382B" w:rsidP="0033382B">
      <w:pPr>
        <w:pStyle w:val="TextoNormal"/>
      </w:pPr>
      <w:r w:rsidRPr="0033382B">
        <w:rPr>
          <w:rStyle w:val="NumeroAFNegritaCaracter"/>
        </w:rPr>
        <w:t>2</w:t>
      </w:r>
      <w:r>
        <w:t>. El recurso de amparo se funda en la vulneración del derecho a la tutela judicial efectiva (art. 24.1 CE), en su manifestación de derecho de acceso al proceso. Según el recurrente, las resoluciones impugnadas, al desestimar su petición de asistencia jurídica gratuita en atención al elevado número de solicitudes formuladas por el actor en otros procedimientos distintos, vulneran dicho derecho fundamental al suponer una denegación del derecho a la asistencia jurídica gratuita que no se funda en el incumplimiento de requisitos económicos. Para el actor “denegar a un solicitante de justicia gratuita este beneficio cuando cumple con los requisitos económicos para su concesión supone una vulneración de su derecho a la tutela judicial efectiva, en este caso, además, en una de sus vertientes más sensibles, como es la de acceso a la jurisdicción”.</w:t>
      </w:r>
    </w:p>
    <w:p w:rsidR="0033382B" w:rsidRDefault="0033382B" w:rsidP="0033382B">
      <w:pPr>
        <w:pStyle w:val="TextoNormal"/>
      </w:pPr>
    </w:p>
    <w:p w:rsidR="0033382B" w:rsidRDefault="0033382B" w:rsidP="0033382B">
      <w:pPr>
        <w:pStyle w:val="TextoNormal"/>
      </w:pPr>
      <w:r>
        <w:t>Mediante “otrosí digo”, el actor interesó asimismo en su demanda de amparo que se acordase “la medida cautelar de concesión provisional del derecho a la asistencia jurídica gratuita, dado que la solicitud formulada lo fue para la interposición de una querella y ya han transcurrido más de dos años y tres meses desde que se formuló la solicitud. Con la concesión provisional que se interesa se persigue evitar la prescripción del delito y, por tanto, que el recurso pierda su finalidad”.</w:t>
      </w:r>
    </w:p>
    <w:p w:rsidR="0033382B" w:rsidRDefault="0033382B" w:rsidP="0033382B">
      <w:pPr>
        <w:pStyle w:val="TextoNormal"/>
      </w:pPr>
    </w:p>
    <w:p w:rsidR="0033382B" w:rsidRDefault="0033382B" w:rsidP="0033382B">
      <w:pPr>
        <w:pStyle w:val="TextoNormal"/>
      </w:pPr>
      <w:r w:rsidRPr="0033382B">
        <w:rPr>
          <w:rStyle w:val="NumeroAFNegritaCaracter"/>
        </w:rPr>
        <w:t>3</w:t>
      </w:r>
      <w:r>
        <w:t>. La Sección Cuarta de la Sala Segunda de este Tribunal, por providencia de 1 de marzo de 2016 acordó la admisión a trámite de la demanda de amparo y la formación de pieza separada para la tramitación “de la medida cautelar de concesión provisional del derecho a la asistencia jurídica gratuita para la interposición de una querella”. En providencia de la misma fecha se formó la aludida pieza y se dio al recurrente y al Ministerio Fiscal un plazo común de tres días para que alegasen lo que estimasen pertinente sobre la medida cautelar interesada.</w:t>
      </w:r>
    </w:p>
    <w:p w:rsidR="0033382B" w:rsidRDefault="0033382B" w:rsidP="0033382B">
      <w:pPr>
        <w:pStyle w:val="TextoNormal"/>
      </w:pPr>
    </w:p>
    <w:p w:rsidR="0033382B" w:rsidRDefault="0033382B" w:rsidP="0033382B">
      <w:pPr>
        <w:pStyle w:val="TextoNormal"/>
      </w:pPr>
      <w:r w:rsidRPr="0033382B">
        <w:rPr>
          <w:rStyle w:val="NumeroAFNegritaCaracter"/>
        </w:rPr>
        <w:t>4</w:t>
      </w:r>
      <w:r>
        <w:t xml:space="preserve">. El 9 de marzo de 2016 el recurrente presentó en el Registro General de este Tribunal su escrito de alegaciones, en el que señala que la querella que pretende presentar versa sobre la posible comisión por parte de diversos funcionarios policiales de un delito del art. 542 del Código penal, infracción que, según afirma, tiene legalmente asignado un plazo de prescripción de cinco años. Habiendo ya transcurrido cuatro años desde la fecha que el actor considera que debe servir de </w:t>
      </w:r>
      <w:r w:rsidRPr="0033382B">
        <w:rPr>
          <w:i/>
        </w:rPr>
        <w:t>dies a quo</w:t>
      </w:r>
      <w:r>
        <w:t xml:space="preserve"> de dicho plazo “y dado el tiempo que puede transcurrir en el proceso de amparo”, el recurrente estima que “el recurso podría perder su finalidad de no adoptarse la medida cautelar de concesión provisional del derecho a la asistencia jurídica gratuita”.</w:t>
      </w:r>
    </w:p>
    <w:p w:rsidR="0033382B" w:rsidRDefault="0033382B" w:rsidP="0033382B">
      <w:pPr>
        <w:pStyle w:val="TextoNormal"/>
      </w:pPr>
    </w:p>
    <w:p w:rsidR="0033382B" w:rsidRDefault="0033382B" w:rsidP="0033382B">
      <w:pPr>
        <w:pStyle w:val="TextoNormal"/>
      </w:pPr>
      <w:r w:rsidRPr="0033382B">
        <w:rPr>
          <w:rStyle w:val="NumeroAFNegritaCaracter"/>
        </w:rPr>
        <w:t>5</w:t>
      </w:r>
      <w:r>
        <w:t>. Por escrito registrado en este Tribunal el día 10 de marzo de 2016, el Ministerio Fiscal presentó sus alegaciones, oponiéndose a la adopción de la medida cautelar solicitada. El Ministerio Fiscal argumenta que el actor no ha cumplido con la carga que le incumbe de acreditar la existencia de un perjuicio irreparable que sólo pueda evitarse a través de la medida cautelar interesada. Según señala, la interposición de querella “no es un requisito imprescindible para la incoación de causas criminales y para la consiguiente interrupción de la prescripción delictiva”. De otro lado, según resulta de la propia doctrina del Tribunal Constitucional, la mera interposición de la querella tampoco interrumpe por sí misma dicho plazo de prescripción. Finalmente, la Fiscal ante el Tribunal Constitucional afirma que el demandante no ha justificado en modo alguno el plazo de prescripción del delito, que es variable según la penalidad señalada a la infracción cometida.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facultad del Tribunal Constitucional de adoptar medidas cautelares en los procesos de amparo, reconocida en el art. 56 de la Ley Orgánica del Tribunal Constitucional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(ATC 50/2015, de 2 de marzo, FJ 1).</w:t>
      </w:r>
    </w:p>
    <w:p w:rsidR="0033382B" w:rsidRDefault="0033382B" w:rsidP="0033382B">
      <w:pPr>
        <w:pStyle w:val="TextoNormal"/>
      </w:pPr>
    </w:p>
    <w:p w:rsidR="0033382B" w:rsidRDefault="0033382B" w:rsidP="0033382B">
      <w:pPr>
        <w:pStyle w:val="TextoNormal"/>
      </w:pPr>
      <w:r>
        <w:t>En relación con la clase de medidas cautelares susceptibles de adoptarse en tales supuestos, junto a la suspensión del acto o resolución impugnados (art. 56.2 de la Ley Orgánica del Tribunal Constitucional: LOTC), se dispone en el art. 56.3 LOTC que “la Sala o la Sección podrá adoptar cualesquiera medidas cautelares y resoluciones provisionales previstas en el ordenamiento, que, por su naturaleza, puedan aplicarse en el proceso de amparo y tiendan a evitar que el recurso pierda su finalidad”.</w:t>
      </w:r>
    </w:p>
    <w:p w:rsidR="0033382B" w:rsidRDefault="0033382B" w:rsidP="0033382B">
      <w:pPr>
        <w:pStyle w:val="TextoNormal"/>
      </w:pPr>
    </w:p>
    <w:p w:rsidR="0033382B" w:rsidRDefault="0033382B" w:rsidP="0033382B">
      <w:pPr>
        <w:pStyle w:val="TextoNormal"/>
      </w:pPr>
      <w:r w:rsidRPr="0033382B">
        <w:rPr>
          <w:rStyle w:val="NumeroAFNegritaCaracter"/>
        </w:rPr>
        <w:t>2</w:t>
      </w:r>
      <w:r>
        <w:t>. En este caso, el actor solicita que se acuerde la concesión provisional del beneficio de justicia gratuita —cuya denegación constituye el objeto específico de este recurso— a efectos de que pueda presentar ante el órgano judicial la correspondiente querella criminal, interrumpiendo así el plazo de prescripción del delito, que, según señala el recurrente, habría de expirar con toda probabilidad durante la tramitación del presente proceso constitucional de amparo.</w:t>
      </w:r>
    </w:p>
    <w:p w:rsidR="0033382B" w:rsidRDefault="0033382B" w:rsidP="0033382B">
      <w:pPr>
        <w:pStyle w:val="TextoNormal"/>
      </w:pPr>
    </w:p>
    <w:p w:rsidR="0033382B" w:rsidRDefault="0033382B" w:rsidP="0033382B">
      <w:pPr>
        <w:pStyle w:val="TextoNormal"/>
      </w:pPr>
      <w:r>
        <w:t xml:space="preserve">Pues bien, la invocación del aludido peligro de prescripción es, por sí misma, insuficiente para acreditar la necesidad de que este Tribunal adopte la medida cautelar que se interesa. Salvo en el caso de los llamados delitos “privados” —injurias y calumnias cometidos contra particulares—, los órganos judiciales del orden penal pueden incoar cualquier proceso por delito sin necesidad de que medie una querella de la persona que pueda considerarse ofendida o perjudicada. Basta a estos efectos con la comunicación a dichos órganos de la llamada </w:t>
      </w:r>
      <w:r w:rsidRPr="0033382B">
        <w:rPr>
          <w:i/>
        </w:rPr>
        <w:t>notitia criminis</w:t>
      </w:r>
      <w:r>
        <w:t xml:space="preserve">. Para ello, cualquier particular puede presentar ante el órgano judicial la correspondiente denuncia, como acto de comunicación de la </w:t>
      </w:r>
      <w:r w:rsidRPr="0033382B">
        <w:rPr>
          <w:i/>
        </w:rPr>
        <w:t>notitia criminis</w:t>
      </w:r>
      <w:r>
        <w:t xml:space="preserve"> que, de resultar mínimamente verosímil, puede dar lugar a la incoación del proceso penal correspondiente.</w:t>
      </w:r>
    </w:p>
    <w:p w:rsidR="0033382B" w:rsidRDefault="0033382B" w:rsidP="0033382B">
      <w:pPr>
        <w:pStyle w:val="TextoNormal"/>
      </w:pPr>
    </w:p>
    <w:p w:rsidR="0033382B" w:rsidRDefault="0033382B" w:rsidP="0033382B">
      <w:pPr>
        <w:pStyle w:val="TextoNormal"/>
      </w:pPr>
      <w:r>
        <w:t>Frente a la denuncia, la querella no tiene más finalidad adicional que la de consignar, junto a esa declaración de conocimiento relativa a la existencia de un delito, la declaración de voluntad de quien se considera ofendido o perjudicado por el mismo —o, en su caso, del ciudadano que pretende actuar como acusador popular— de constituirse en parte acusadora. No es, por tanto, la incoación misma del proceso penal —y la eventual interrupción de la prescripción— la que está en juego en caso de denegación del beneficio de justicia gratuita a quien pretende presentar una querella —pues tal efecto puede alcanzarse igualmente por otros medios—. Lo que el recurrente solicita es otra cosa: la mera posibilidad de intervenir como acusador, ya que resulta imprescindible, a estos concretos efectos, la asistencia de abogado y procurador. De otro lado, como bien afirma el Ministerio Fiscal, la mera presentación de una querella no es, por sí misma, suficiente para producir el efecto interruptivo de la prescripción de un delito.</w:t>
      </w:r>
    </w:p>
    <w:p w:rsidR="0033382B" w:rsidRDefault="0033382B" w:rsidP="0033382B">
      <w:pPr>
        <w:pStyle w:val="TextoNormal"/>
      </w:pPr>
    </w:p>
    <w:p w:rsidR="0033382B" w:rsidRDefault="0033382B" w:rsidP="0033382B">
      <w:pPr>
        <w:pStyle w:val="TextoNormal"/>
      </w:pPr>
      <w:r>
        <w:t xml:space="preserve">En suma, el recurrente no ha justificado en modo alguno por qué motivo su intervención activa como parte acusadora es imprescindible para interrumpir el plazo de prescripción del delito, pues basta, según queda dicho, con la presentación de una denuncia para que el órgano judicial tenga la obligación de incoar un procedimiento penal para investigarlo en caso de que la </w:t>
      </w:r>
      <w:r w:rsidRPr="0033382B">
        <w:rPr>
          <w:i/>
        </w:rPr>
        <w:t>notitia criminis</w:t>
      </w:r>
      <w:r>
        <w:t xml:space="preserve"> resulte mínimamente verosímil.</w:t>
      </w:r>
    </w:p>
    <w:p w:rsidR="0033382B" w:rsidRDefault="0033382B" w:rsidP="0033382B">
      <w:pPr>
        <w:pStyle w:val="TextoNormal"/>
      </w:pPr>
    </w:p>
    <w:p w:rsidR="0033382B" w:rsidRDefault="0033382B" w:rsidP="0033382B">
      <w:pPr>
        <w:pStyle w:val="TextoNormal"/>
      </w:pPr>
      <w:r>
        <w:t>En estas circunstancias, no puede accederse a la medida cautelar solicitada puesto que lo que se alega es un perjuicio futuro o hipotético, en base a una mera previsión sobre la duración del presente proceso constitucional de amparo, que carece, además, según se ha expuesto, de una relación directa con la medida cautelar que el recurrente pretende obtener de este Tribunal.</w:t>
      </w:r>
    </w:p>
    <w:p w:rsidR="0033382B" w:rsidRDefault="0033382B" w:rsidP="0033382B">
      <w:pPr>
        <w:pStyle w:val="TextoNormal"/>
      </w:pPr>
    </w:p>
    <w:p w:rsidR="0033382B" w:rsidRDefault="0033382B" w:rsidP="0033382B">
      <w:pPr>
        <w:pStyle w:val="TextoNormal"/>
      </w:pPr>
      <w:r>
        <w:t>La petición efectuada por el actor ha de ser, por tanto, denegada.</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Denegar la medida cautelar solicitada.</w:t>
      </w:r>
    </w:p>
    <w:p w:rsidR="0033382B" w:rsidRDefault="0033382B" w:rsidP="0033382B">
      <w:pPr>
        <w:pStyle w:val="TextoNormal"/>
      </w:pPr>
    </w:p>
    <w:p w:rsidR="0033382B" w:rsidRDefault="0033382B" w:rsidP="0033382B">
      <w:pPr>
        <w:pStyle w:val="TextoNormal"/>
      </w:pPr>
      <w:r>
        <w:t>Madrid, a once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95" w:name="AUTO_2016_68"/>
      <w:r>
        <w:t>AUTO 68/2016, de 11 de abril de 2016</w:t>
      </w:r>
    </w:p>
    <w:bookmarkEnd w:id="195"/>
    <w:p w:rsidR="0033382B" w:rsidRDefault="0033382B" w:rsidP="0033382B">
      <w:pPr>
        <w:pStyle w:val="TtuloResolucin"/>
      </w:pPr>
      <w:r>
        <w:t>Sala Segunda</w:t>
      </w:r>
    </w:p>
    <w:p w:rsidR="0033382B" w:rsidRDefault="0033382B" w:rsidP="0033382B">
      <w:pPr>
        <w:pStyle w:val="TextoNormalCentrado"/>
      </w:pPr>
      <w:r>
        <w:t>ECLI:ES:TC:2016:68A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en el recurso de amparo 5532-2015, promovido por doña Elaine Patricia Waite y don Alan Waite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día 2 de octubre de 2015 tuvo entrada en el Registro General de este Tribunal Constitucional, un escrito de la Procuradora de los Tribunales doña Ana Llorens Pardo, actuando en nombre y representación del matrimonio formado por doña Elaine Patricia Waite y don Alan Waite, por el que se interpuso demanda de amparo contra el Auto dictado por el Juzgado de Primera Instancia núm. 5 de Cartagena el 20 de julio de 2015, desestimatorio de la solicitud de nulidad del procedimiento de ejecución hipotecaria de bien inmueble núm. 113-2012, seguida contra los recurrentes por la entidad Caixabank, S.A., por impago de crédito.</w:t>
      </w:r>
    </w:p>
    <w:p w:rsidR="0033382B" w:rsidRDefault="0033382B" w:rsidP="0033382B">
      <w:pPr>
        <w:pStyle w:val="TextoNormal"/>
      </w:pPr>
    </w:p>
    <w:p w:rsidR="0033382B" w:rsidRDefault="0033382B" w:rsidP="0033382B">
      <w:pPr>
        <w:pStyle w:val="TextoNormal"/>
      </w:pPr>
      <w:r w:rsidRPr="0033382B">
        <w:rPr>
          <w:rStyle w:val="NumeroAFNegritaCaracter"/>
        </w:rPr>
        <w:t>2</w:t>
      </w:r>
      <w:r>
        <w:t>. La demanda de amparo, en concordancia con lo defendido previamente en el escrito de nulidad de actuaciones, alega la vulneración del art. 24.1 CE en su vertiente de derecho a no padecer indefensión, por cuanto los recurrentes no fueron notificados personalmente del proceso ejecutivo seguido en su contra sino por edictos, al haber resultado infructuoso el intento de emplazamiento en el domicilio designado en la escritura de constitución de la hipoteca, que era el de la propia vivienda ejecutada (sita en la localidad de Los Belones, Murcia), ateniéndose el Juzgado a lo dispuesto literalmente en el art. 686.3 de la Ley de enjuiciamiento civil (LEC). Los recurrentes consideran no justificada en este caso la notificación por la vía excepcional de los edictos, teniendo en cuenta que no se trataba de su vivienda habitual y que en la propia escritura se hacía constar su domicilio real, situado en el condado de Kent (Inglaterra), en el Reino Unido, por lo que el Juzgado debió proveer a su notificación en este último conforme se deriva del art. 156 LEC, así como por la doctrina constitucional que exige al órgano judicial el agotamiento de las gestiones que permitan dicho emplazamiento personal.</w:t>
      </w:r>
    </w:p>
    <w:p w:rsidR="0033382B" w:rsidRDefault="0033382B" w:rsidP="0033382B">
      <w:pPr>
        <w:pStyle w:val="TextoNormal"/>
      </w:pPr>
    </w:p>
    <w:p w:rsidR="0033382B" w:rsidRDefault="0033382B" w:rsidP="0033382B">
      <w:pPr>
        <w:pStyle w:val="TextoNormal"/>
      </w:pPr>
      <w:r>
        <w:t>Tras el suplico de la demanda, por el que pidieron se otorgara el amparo con nulidad de las actuaciones y retroacción de las mismas al momento inmediatamente posterior al del dictado del Auto despachando ejecución, los recurrentes solicitaron por medio de otrosí digo la “suspensión de la subasta señalada para el día 15 de abril de 2016”, aportando diligencia de ordenación de la Secretaría del Juzgado, de 23 de septiembre de 2015 que así lo fija.</w:t>
      </w:r>
    </w:p>
    <w:p w:rsidR="0033382B" w:rsidRDefault="0033382B" w:rsidP="0033382B">
      <w:pPr>
        <w:pStyle w:val="TextoNormal"/>
      </w:pPr>
    </w:p>
    <w:p w:rsidR="0033382B" w:rsidRDefault="0033382B" w:rsidP="0033382B">
      <w:pPr>
        <w:pStyle w:val="TextoNormal"/>
      </w:pPr>
      <w:r>
        <w:t>En apoyo a su pretensión suspensiva, la demanda alega: “A juicio de esta parte, la no suspensión de la subasta podría hacer perder la finalidad al presente recurso puesto que culminaría el procedimiento judicial en el que mis representados han sido privados del derecho fundamental a la tutela judicial efectiva. Asimismo, entiende esta parte que la suspensión de la toma de posesión no ocasiona perturbación grave de un interés constitucionalmente protegido ni afecta a los derechos y libertades de otra persona. En cuanto a los posibles daños que el retraso en la celebración de la subasta, en el caso de que el procedimiento de ejecución hipotecaria terminara finalmente con la celebración de la misma, se verían compensados con los procedentes intereses en su caso correspondientes al tiempo transcurrido en la resolución de este recurso”.</w:t>
      </w:r>
    </w:p>
    <w:p w:rsidR="0033382B" w:rsidRDefault="0033382B" w:rsidP="0033382B">
      <w:pPr>
        <w:pStyle w:val="TextoNormal"/>
      </w:pPr>
    </w:p>
    <w:p w:rsidR="0033382B" w:rsidRDefault="0033382B" w:rsidP="0033382B">
      <w:pPr>
        <w:pStyle w:val="TextoNormal"/>
      </w:pPr>
      <w:r w:rsidRPr="0033382B">
        <w:rPr>
          <w:rStyle w:val="NumeroAFNegritaCaracter"/>
        </w:rPr>
        <w:t>3</w:t>
      </w:r>
      <w:r>
        <w:t>. La Secretaría de la Sección Cuarta, Sala Segunda, de este Tribunal Constitucional, dictó diligencia de ordenación de 20 de octubre de 2015 por la que se acordó requerir al representante procesal de los recurrentes para que acreditare fehacientemente la fecha de notificación de la resolución recurrida en amparo, lo que fue cumplimentado por escrito de dicho Procurador presentado el 3 de noviembre de 2015.</w:t>
      </w:r>
    </w:p>
    <w:p w:rsidR="0033382B" w:rsidRDefault="0033382B" w:rsidP="0033382B">
      <w:pPr>
        <w:pStyle w:val="TextoNormal"/>
      </w:pPr>
    </w:p>
    <w:p w:rsidR="0033382B" w:rsidRDefault="0033382B" w:rsidP="0033382B">
      <w:pPr>
        <w:pStyle w:val="TextoNormal"/>
      </w:pPr>
      <w:r>
        <w:t>Por nueva diligencia de ordenación de la Secretaría de Justicia de la Sección Cuarta de este Tribunal, de 4 de noviembre de 2015, se acordó dirigir atenta comunicación al Juzgado de Primera Instancia núm. 5 de Cartagena, a fin de que a la mayor brevedad posible se remitiera a la Sala Segunda de este Tribunal, certificación o fotocopia adverada de las actuaciones correspondientes al procedimiento de ejecución hipotecaria núm. 113-2012. El Letrado de la Administración de Justicia del Juzgado de referencia, remitió el testimonio solicitado mediante oficio de 12 de enero de 2016.</w:t>
      </w:r>
    </w:p>
    <w:p w:rsidR="0033382B" w:rsidRDefault="0033382B" w:rsidP="0033382B">
      <w:pPr>
        <w:pStyle w:val="TextoNormal"/>
      </w:pPr>
    </w:p>
    <w:p w:rsidR="0033382B" w:rsidRDefault="0033382B" w:rsidP="0033382B">
      <w:pPr>
        <w:pStyle w:val="TextoNormal"/>
      </w:pPr>
      <w:r w:rsidRPr="0033382B">
        <w:rPr>
          <w:rStyle w:val="NumeroAFNegritaCaracter"/>
        </w:rPr>
        <w:t>4</w:t>
      </w:r>
      <w:r>
        <w:t xml:space="preserve">. El 1 de marzo de 2016, la Sección Cuarta de este Tribunal dictó providencia por la que admitió a trámite el presente recurso de amparo, “apreciando que concurre en el mismo una especial trascendencia constitucional (art. 50.1 LOTC) como consecuencia de que el órgano judicial pudiera haber incurrido en una negativa manifiesta del deber de acatamiento de la doctrina de este Tribunal [STC 155/2009, FJ 2, f)]”. En consecuencia, y dado que ya se disponía de las actuaciones del procedimiento </w:t>
      </w:r>
      <w:r w:rsidRPr="0033382B">
        <w:rPr>
          <w:i/>
        </w:rPr>
        <w:t>a quo</w:t>
      </w:r>
      <w:r>
        <w:t>, se acordó en la misma providencia dirigir atenta comunicación al Juzgado de Primera Instancia al único objeto de que, con arreglo a lo dispuesto en el art. 51 de la Ley Orgánica del Tribunal Constitucional (LOTC), procediera al emplazamiento de quienes hubieran sido parte en la causa, excepto a los recurrentes en amparo, para poder comparecer si lo desearan en este recurso, en el plazo de diez días.</w:t>
      </w:r>
    </w:p>
    <w:p w:rsidR="0033382B" w:rsidRDefault="0033382B" w:rsidP="0033382B">
      <w:pPr>
        <w:pStyle w:val="TextoNormal"/>
      </w:pPr>
    </w:p>
    <w:p w:rsidR="0033382B" w:rsidRDefault="0033382B" w:rsidP="0033382B">
      <w:pPr>
        <w:pStyle w:val="TextoNormal"/>
      </w:pPr>
      <w:r w:rsidRPr="0033382B">
        <w:rPr>
          <w:rStyle w:val="NumeroAFNegritaCaracter"/>
        </w:rPr>
        <w:t>5</w:t>
      </w:r>
      <w:r>
        <w:t>. En la misma fecha, la Sección Cuarta de este Tribunal dictó providencia acordando formar la pieza para la tramitación del incidente sobre la suspensión solicitada y conceder, conforme determina el art. 56 LOTC, un plazo común de tres días a los recurrentes y al Ministerio Fiscal para alegar lo que consideren procedente dentro del mismo.</w:t>
      </w:r>
    </w:p>
    <w:p w:rsidR="0033382B" w:rsidRDefault="0033382B" w:rsidP="0033382B">
      <w:pPr>
        <w:pStyle w:val="TextoNormal"/>
      </w:pPr>
    </w:p>
    <w:p w:rsidR="0033382B" w:rsidRDefault="0033382B" w:rsidP="0033382B">
      <w:pPr>
        <w:pStyle w:val="TextoNormal"/>
      </w:pPr>
      <w:r>
        <w:t>En cumplimiento a este trámite, la representación procesal de la parte actora en amparo presentó escrito de alegaciones el 9 de marzo de 2016, reiterándose en su petición y en los argumentos vertidos en la demanda para fundarla. Cita en su apoyo el ATC 56/2013, de 25 de febrero, precisando que si bien en ese supuesto se trataba de la vivienda habitual del recurrente y aquí no lo es, ello no obsta a la aplicación del criterio favorable a la suspensión puesto que, si el bien referido se subasta, “pasará con toda probabilidad a ser propiedad de un tercero que, muy probablemente, podrá ser considerado tercero hipotecario de buena fe, deviniendo su situación inatacable desde el punto de vista del derecho de propiedad”. Más adelante insiste en que esa posibilidad de adquisición por tercero de buena fe, “vaciaría de sentido el recurso”.</w:t>
      </w:r>
    </w:p>
    <w:p w:rsidR="0033382B" w:rsidRDefault="0033382B" w:rsidP="0033382B">
      <w:pPr>
        <w:pStyle w:val="TextoNormal"/>
      </w:pPr>
    </w:p>
    <w:p w:rsidR="0033382B" w:rsidRDefault="0033382B" w:rsidP="0033382B">
      <w:pPr>
        <w:pStyle w:val="TextoNormal"/>
      </w:pPr>
      <w:r w:rsidRPr="0033382B">
        <w:rPr>
          <w:rStyle w:val="NumeroAFNegritaCaracter"/>
        </w:rPr>
        <w:t>6</w:t>
      </w:r>
      <w:r>
        <w:t>. El Fiscal ante este Tribunal Constitucional presentó su escrito de alegaciones el 10 de marzo de 2016, interesando acceder a la suspensión solicitada. Tras hacer cita de doctrina general de este Tribunal acerca de la posibilidad de acordar la suspensión de los efectos de resoluciones judiciales impugnadas en amparo, señala que la “aplicación al caso de la doctrina reseñada nos debe llevar a considerar que nos encontramos en uso de esos supuestos en que tratándose de un[a] resolución de carácter patrimonial, no obstante puede acabar afectando a derechos futuros de terceros adquirentes de buena fe, por lo que de acuerdo con la doctrina de este Tribunal, sería procedente la suspensión para evitar actuaciones cuya reversibilidad deviniera poco menos que imposible (Vid. ATC 74/2013)”.</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Ha declarado este Tribunal en su ATC 198/2014, de 21 de julio, FJ 1, citado a su vez por el más reciente ATC 95/2015, de 25 de mayo, FJ 1, que “como regla general, el apartado 1 del art. 56 de la Ley Orgánica del Tribunal Constitucional (en la redacción dada por la Ley Orgánica 6/2007, de 24 de mayo) determina que ‘la interposición del recurso de amparo no suspenderá los efectos del acto o sentencia impugnados’. Regla que se somete a excepción en el apartado 2 del mismo precepto, permitiendo la medida de suspensión total o parcial de los efectos del acto o sentencia impugnados, cuando uno u otra ‘produzca un perjuicio al recurrente que pudiera hacer perder al amparo su finalidad’, condicionado en todo caso a que ‘la suspensión no ocasione perturbación grave a un interés constitucionalmente protegido, ni a los derechos fundamentales o libertades de otra persona’. 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w:t>
      </w:r>
    </w:p>
    <w:p w:rsidR="0033382B" w:rsidRDefault="0033382B" w:rsidP="0033382B">
      <w:pPr>
        <w:pStyle w:val="TextoNormal"/>
      </w:pPr>
    </w:p>
    <w:p w:rsidR="0033382B" w:rsidRDefault="0033382B" w:rsidP="0033382B">
      <w:pPr>
        <w:pStyle w:val="TextoNormal"/>
      </w:pPr>
      <w:r w:rsidRPr="0033382B">
        <w:rPr>
          <w:rStyle w:val="NumeroAFNegritaCaracter"/>
        </w:rPr>
        <w:t>2</w:t>
      </w:r>
      <w:r>
        <w:t>. A su vez, respecto de la suspensión de resoluciones judiciales con contenido patrimonial, recordaba el indicado ATC 95/2015, FJ 2, que según criterio reiterado del Tribunal las mismas: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o 275/1990, de 2 de julio, FJ 2). Sí hemos accedido a la suspensión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o el lanzamiento de una vivienda o local (AATC 313/2005, de 18 de julio, y 435/2006, de 23 de noviembre). En efecto, en relación con resoluciones judiciales cuya ejecución conlleva el desalojo de una vivienda o local, hemos declarado en diversas ocasiones, AATC 225/2000, de 2 de octubre, FJ 2; 187/2001, de 2 de julio, FFJJ 2 y 3; 210/2001, de 16 de julio, FJ 3; o 111/2003, de 7 de abril, FJ 2) que, salvo supuestos excepcionales, la ejecución de estas resoluciones debe ser suspendida, toda vez que el lanzamiento o privación de la posesión de aquéllos puede ocasionar situaciones irreversibles o daños de muy difícil reparación en el caso de que posteriormente se otorgue el amparo, como acontece en el presente caso, por lo cual resulta procedente el mantenimiento de la medida cautelar de suspensión del lanzamiento de la demandante de amparo de la vivienda que ocupa... [ATC 18/2012, de 30 de enero, FJ 3; en el mismo sentido, AATC 81/2012; de 7 de mayo, FJ 2; 103/2012, de 21 de mayo, FJ 1; 287/2013, de 16 de diciembre, FJ 1; 175/2014, de 23 de junio, FJ 1, y 59/2015, de 16 de marzo, FJ 2]”.</w:t>
      </w:r>
    </w:p>
    <w:p w:rsidR="0033382B" w:rsidRDefault="0033382B" w:rsidP="0033382B">
      <w:pPr>
        <w:pStyle w:val="TextoNormal"/>
      </w:pPr>
    </w:p>
    <w:p w:rsidR="0033382B" w:rsidRDefault="0033382B" w:rsidP="0033382B">
      <w:pPr>
        <w:pStyle w:val="TextoNormal"/>
      </w:pPr>
      <w:r>
        <w:t>Esta doctrina que reconoce la irreversibilidad del daño que comportaría la posible transmisión a un tercero de buena fe del bien inmueble, no exige necesariamente —aunque esta sin duda constituya una circunstancia de refuerzo en apoyo a la suspensión— que se trate del domicilio de la parte ejecutada, siendo suficiente con que la resolución impugnada se haya dictado en un procedimiento de ejecución dirigido a la realización forzosa de la vivienda o local de su propiedad, en cuanto presupuesto para que se ocasione aquel daño y, con ello, se otorgue la suspensión [entre otros, AATC 64/2009, de 23 de febrero, antecedente 2 d) y FJ 3; 287/2013, de 16 de diciembre, antecedente 2 y FJ 2; 282/2014, de 17 de noviembre, antecedente 2 y FJ 4; y 48/2016, de 29 de febrero, antecedente 1 y FJ 2].</w:t>
      </w:r>
    </w:p>
    <w:p w:rsidR="0033382B" w:rsidRDefault="0033382B" w:rsidP="0033382B">
      <w:pPr>
        <w:pStyle w:val="TextoNormal"/>
      </w:pPr>
    </w:p>
    <w:p w:rsidR="0033382B" w:rsidRDefault="0033382B" w:rsidP="0033382B">
      <w:pPr>
        <w:pStyle w:val="TextoNormal"/>
      </w:pPr>
      <w:r w:rsidRPr="0033382B">
        <w:rPr>
          <w:rStyle w:val="NumeroAFNegritaCaracter"/>
        </w:rPr>
        <w:t>3</w:t>
      </w:r>
      <w:r>
        <w:t>. La aplicación de la anterior doctrina al presente caso permite acceder a lo solicitado. Se trata de un proceso ejecutivo hipotecario en el que se pretende la venta en subasta de la vivienda de los recurrentes, estando previsto dicho acto para el día 15 de este mes de abril, con la posibilidad de que el bien pueda ser transmitido en el futuro a un tercero y opere el principio de fe pública registral (art. 34 de la Ley hipotecaria), lo que lo haría irreivindicable, haciendo perder a este amparo su finalidad. No apreciándose tampoco que la medida de suspensión ocasione, como ya se señaló, “perturbación grave a un interés constitucionalmente protegido, ni a los derechos fundamentales o libertades de otra persona", debe acordarse la suspensión.</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Suspender la ejecución del Auto dictado por el Juzgado de Primera Instancia núm. 5 de Cartagena el 20 de julio de 2015, en el procedimiento de ejecución hipotecaria núm. 113-2012; con suspensión igualmente del acto de subasta previsto para el próximo día 15 de abril de 2016 y las demás actuaciones relativas a dicha ejecución.</w:t>
      </w:r>
    </w:p>
    <w:p w:rsidR="0033382B" w:rsidRDefault="0033382B" w:rsidP="0033382B">
      <w:pPr>
        <w:pStyle w:val="TextoNormal"/>
      </w:pPr>
    </w:p>
    <w:p w:rsidR="0033382B" w:rsidRDefault="0033382B" w:rsidP="0033382B">
      <w:pPr>
        <w:pStyle w:val="TextoNormal"/>
      </w:pPr>
      <w:r>
        <w:t>Madrid, a once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96" w:name="AUTO_2016_69"/>
      <w:r>
        <w:t>AUTO 69/2016, de 11 de abril de 2016</w:t>
      </w:r>
    </w:p>
    <w:bookmarkEnd w:id="196"/>
    <w:p w:rsidR="0033382B" w:rsidRDefault="0033382B" w:rsidP="0033382B">
      <w:pPr>
        <w:pStyle w:val="TtuloResolucin"/>
      </w:pPr>
      <w:r>
        <w:t>Sala Segunda</w:t>
      </w:r>
    </w:p>
    <w:p w:rsidR="0033382B" w:rsidRDefault="0033382B" w:rsidP="0033382B">
      <w:pPr>
        <w:pStyle w:val="TextoNormalCentrado"/>
      </w:pPr>
      <w:r>
        <w:t>ECLI:ES:TC:2016:69A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en el recurso de amparo 5956-2015, promovido por doña Elaine Patricia Waite y don Alan Waite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día 26 de octubre de 2015 tuvo entrada en el Registro General de este Tribunal Constitucional, un escrito de la Procuradora de los Tribunales doña Ana Llorens Pardo, actuando en nombre y representación del matrimonio formado por doña Elaine Patricia Waite y don Alan Waite, por el que se interpuso demanda de amparo contra el Auto dictado por el Juzgado de Primera Instancia núm. 5 de Cartagena el 10 de septiembre de 2015, desestimatorio de la solicitud de nulidad del procedimiento de ejecución hipotecaria de bien inmueble núm. 114-2012, seguida contra los recurrentes por la entidad Caixabank, S.A., por impago de crédito.</w:t>
      </w:r>
    </w:p>
    <w:p w:rsidR="0033382B" w:rsidRDefault="0033382B" w:rsidP="0033382B">
      <w:pPr>
        <w:pStyle w:val="TextoNormal"/>
      </w:pPr>
    </w:p>
    <w:p w:rsidR="0033382B" w:rsidRDefault="0033382B" w:rsidP="0033382B">
      <w:pPr>
        <w:pStyle w:val="TextoNormal"/>
      </w:pPr>
      <w:r w:rsidRPr="0033382B">
        <w:rPr>
          <w:rStyle w:val="NumeroAFNegritaCaracter"/>
        </w:rPr>
        <w:t>2</w:t>
      </w:r>
      <w:r>
        <w:t>. La demanda de amparo, en concordancia con lo defendido previamente en el escrito de nulidad de actuaciones, alega la vulneración del art. 24.1 CE en su vertiente de derecho a no padecer indefensión, por cuanto los recurrentes no fueron notificados personalmente del proceso ejecutivo seguido en su contra sino por edictos, al haber resultado infructuoso el intento de emplazamiento en el domicilio designado en la escritura de constitución de la hipoteca, que era el de la propia vivienda ejecutada (sita en la localidad de Atamaría, Murcia), ateniéndose el Juzgado a lo dispuesto literalmente en el art. 686.3 de la Ley de enjuiciamiento civil (LEC). Los recurrentes consideran no justificada en este caso la notificación por la vía excepcional de los edictos, teniendo en cuenta que no se trataba de su vivienda habitual y que en la propia escritura se hacía constar su domicilio real, situado en el condado de Kent (Inglaterra), en el Reino Unido, por lo que el Juzgado debió proveer a su notificación en este último conforme se deriva del art. 156 LEC, así como por la doctrina constitucional que exige al órgano judicial el agotamiento de las gestiones que permitan dicho emplazamiento personal.</w:t>
      </w:r>
    </w:p>
    <w:p w:rsidR="0033382B" w:rsidRDefault="0033382B" w:rsidP="0033382B">
      <w:pPr>
        <w:pStyle w:val="TextoNormal"/>
      </w:pPr>
    </w:p>
    <w:p w:rsidR="0033382B" w:rsidRDefault="0033382B" w:rsidP="0033382B">
      <w:pPr>
        <w:pStyle w:val="TextoNormal"/>
      </w:pPr>
      <w:r>
        <w:t>Tras el suplico de la demanda, por el que pidieron se otorgara el amparo con nulidad de las actuaciones y retroacción de las mismas al momento inmediatamente posterior al del dictado del Auto despachando ejecución, los recurrentes solicitaron por medio de otrosí digo la “suspensión de la toma de posesión aún no realizada ni acordada por el Juzgado”.</w:t>
      </w:r>
    </w:p>
    <w:p w:rsidR="0033382B" w:rsidRDefault="0033382B" w:rsidP="0033382B">
      <w:pPr>
        <w:pStyle w:val="TextoNormal"/>
      </w:pPr>
    </w:p>
    <w:p w:rsidR="0033382B" w:rsidRDefault="0033382B" w:rsidP="0033382B">
      <w:pPr>
        <w:pStyle w:val="TextoNormal"/>
      </w:pPr>
      <w:r>
        <w:t>En apoyo a su pretensión suspensiva, la demanda alega: “A juicio de esta parte, la no suspensión de dicho trámite podría hacer perder la finalidad al presente recurso puesto que culminaría el procedimiento judicial en el que mis representados han sido privados del derecho fundamental a la tutela judicial efectiva. Asimismo, entiende esta parte que la suspensión de la toma de posesión no ocasiona perturbación grave de un interés constitucionalmente protegido ni afecta a los derechos y libertades de otra persona. La mercantil Buildingcenter, como es de público conocimiento, constituye la rama inmobiliari[a] del grupo Caixabank, por lo que, no hay propiamente ningún tercero afectado. Únicamente, quedaría en suspenso dicha toma de posesión de la finca por parte de dicha entidad a la que se cedió el remate. Así, en el caso de que se estime el presente recurso y se retrotraigan las actuaciones al momento del dictado del Auto despachando ejecución como se solicita en el presente escrito, la adjudicación podría hacerse a otra persona en el caso de que la subasta no quedara desierta. Además de que, en su caso, de estimarse la oposición de fondo que esta parte pudiere alegar en el procedimiento de ejecución hipotecaria podría verse reducida la cuantía por la que se despachase ejecución … lo que podría beneficiar incluso a la misma entidad Buildingcenter”.</w:t>
      </w:r>
    </w:p>
    <w:p w:rsidR="0033382B" w:rsidRDefault="0033382B" w:rsidP="0033382B">
      <w:pPr>
        <w:pStyle w:val="TextoNormal"/>
      </w:pPr>
    </w:p>
    <w:p w:rsidR="0033382B" w:rsidRDefault="0033382B" w:rsidP="0033382B">
      <w:pPr>
        <w:pStyle w:val="TextoNormal"/>
      </w:pPr>
      <w:r w:rsidRPr="0033382B">
        <w:rPr>
          <w:rStyle w:val="NumeroAFNegritaCaracter"/>
        </w:rPr>
        <w:t>3</w:t>
      </w:r>
      <w:r>
        <w:t>. La Secretaría de la Sección Cuarta, Sala Segunda, de este Tribunal Constitucional, dictó diligencia de ordenación de 30 de octubre de 2015 por la que acordó dirigir atenta comunicación al Juzgado de Primera Instancia núm. 5 de Cartagena, a fin de que a la mayor brevedad posible se remitiera a la Sala Segunda de este Tribunal, certificación o fotocopia adverada de las actuaciones correspondientes al procedimiento de ejecución hipotecaria núm. 114-2012. Requerimiento que se reiteró por diligencia de constancia del 17 de diciembre de 2015.</w:t>
      </w:r>
    </w:p>
    <w:p w:rsidR="0033382B" w:rsidRDefault="0033382B" w:rsidP="0033382B">
      <w:pPr>
        <w:pStyle w:val="TextoNormal"/>
      </w:pPr>
    </w:p>
    <w:p w:rsidR="0033382B" w:rsidRDefault="0033382B" w:rsidP="0033382B">
      <w:pPr>
        <w:pStyle w:val="TextoNormal"/>
      </w:pPr>
      <w:r>
        <w:t>El Letrado de la Administración de Justicia del Juzgado de referencia, remitió finalmente el testimonio solicitado mediante oficio de 7 de enero de 2016.</w:t>
      </w:r>
    </w:p>
    <w:p w:rsidR="0033382B" w:rsidRDefault="0033382B" w:rsidP="0033382B">
      <w:pPr>
        <w:pStyle w:val="TextoNormal"/>
      </w:pPr>
    </w:p>
    <w:p w:rsidR="0033382B" w:rsidRDefault="0033382B" w:rsidP="0033382B">
      <w:pPr>
        <w:pStyle w:val="TextoNormal"/>
      </w:pPr>
      <w:r w:rsidRPr="0033382B">
        <w:rPr>
          <w:rStyle w:val="NumeroAFNegritaCaracter"/>
        </w:rPr>
        <w:t>4</w:t>
      </w:r>
      <w:r>
        <w:t xml:space="preserve">. El 1 de marzo de 2016, la Sección Cuarta de este Tribunal dictó providencia por la que admitió a trámite el presente recurso de amparo, “apreciando que concurre en el mismo una especial trascendencia constitucional (art. 50.1 LOTC) como consecuencia de que el órgano judicial pudiera haber incurrido en una negativa manifiesta del deber de acatamiento de la doctrina de este Tribunal [STC 155/2009, FJ 2, f)]”. En consecuencia, y dado que ya se disponía de las actuaciones del procedimiento </w:t>
      </w:r>
      <w:r w:rsidRPr="0033382B">
        <w:rPr>
          <w:i/>
        </w:rPr>
        <w:t>a quo</w:t>
      </w:r>
      <w:r>
        <w:t>, se acordó en la misma providencia dirigir atenta comunicación al Juzgado de Primera Instancia al único objeto de que, con arreglo a lo dispuesto en el art. 51 de la Ley Orgánica del Tribunal Constitucional (LOTC), procediera al emplazamiento de quienes hubieran sido parte en la causa, excepto a los recurrentes en amparo, para poder comparecer si lo desearan en este recurso, en el plazo de diez días.</w:t>
      </w:r>
    </w:p>
    <w:p w:rsidR="0033382B" w:rsidRDefault="0033382B" w:rsidP="0033382B">
      <w:pPr>
        <w:pStyle w:val="TextoNormal"/>
      </w:pPr>
    </w:p>
    <w:p w:rsidR="0033382B" w:rsidRDefault="0033382B" w:rsidP="0033382B">
      <w:pPr>
        <w:pStyle w:val="TextoNormal"/>
      </w:pPr>
      <w:r w:rsidRPr="0033382B">
        <w:rPr>
          <w:rStyle w:val="NumeroAFNegritaCaracter"/>
        </w:rPr>
        <w:t>5</w:t>
      </w:r>
      <w:r>
        <w:t>. En la misma fecha, la Sección Cuarta de este Tribunal dictó providencia acordando formar la pieza para la tramitación del incidente sobre la suspensión solicitada y conceder, conforme determina el art. 56 LOTC, un plazo común de tres días a los recurrentes y al Ministerio Fiscal para alegar lo que consideren procedente dentro del mismo.</w:t>
      </w:r>
    </w:p>
    <w:p w:rsidR="0033382B" w:rsidRDefault="0033382B" w:rsidP="0033382B">
      <w:pPr>
        <w:pStyle w:val="TextoNormal"/>
      </w:pPr>
    </w:p>
    <w:p w:rsidR="0033382B" w:rsidRDefault="0033382B" w:rsidP="0033382B">
      <w:pPr>
        <w:pStyle w:val="TextoNormal"/>
      </w:pPr>
      <w:r>
        <w:t>En cumplimiento a este trámite, la representación procesal de la parte actora en amparo presentó escrito de alegaciones el 9 de marzo de 2016, reiterándose en su petición y en los argumentos vertidos en la demanda para fundarla. Cita en su apoyo el ATC 56/2013, de 25 de febrero, precisando que si bien en ese supuesto se trataba de la vivienda habitual del recurrente y aquí no lo es, ello no obsta a la aplicación del criterio favorable a la suspensión puesto que, “si no se suspende la toma de posesión señalada hasta que se resuelva definitivamente el recurso de amparo en curso, la situación fáctica del inmueble cuando dicha resolución recaiga será imposible de cumplir porque habrá un tercero hipotecario de buena fe que será titular del inmueble privando completamente de sentido y finalidad al recurso que ahora se tramita”.</w:t>
      </w:r>
    </w:p>
    <w:p w:rsidR="0033382B" w:rsidRDefault="0033382B" w:rsidP="0033382B">
      <w:pPr>
        <w:pStyle w:val="TextoNormal"/>
      </w:pPr>
    </w:p>
    <w:p w:rsidR="0033382B" w:rsidRDefault="0033382B" w:rsidP="0033382B">
      <w:pPr>
        <w:pStyle w:val="TextoNormal"/>
      </w:pPr>
      <w:r>
        <w:t>El escrito precisa que el acto de toma de posesión de la vivienda por parte de la entidad adjudicatario está previsto para el día 28 de junio de 2016, según diligencia de ordenación dictada por la Secretaría del Juzgado el 18 de febrero y que adjunta con su escrito de alegaciones.</w:t>
      </w:r>
    </w:p>
    <w:p w:rsidR="0033382B" w:rsidRDefault="0033382B" w:rsidP="0033382B">
      <w:pPr>
        <w:pStyle w:val="TextoNormal"/>
      </w:pPr>
    </w:p>
    <w:p w:rsidR="0033382B" w:rsidRDefault="0033382B" w:rsidP="0033382B">
      <w:pPr>
        <w:pStyle w:val="TextoNormal"/>
      </w:pPr>
      <w:r w:rsidRPr="0033382B">
        <w:rPr>
          <w:rStyle w:val="NumeroAFNegritaCaracter"/>
        </w:rPr>
        <w:t>6</w:t>
      </w:r>
      <w:r>
        <w:t>. El Fiscal ante este Tribunal Constitucional presentó su escrito de alegaciones el 10 de marzo de 2016, interesando acceder a la suspensión solicitada. Tras hacer cita de doctrina general de este Tribunal acerca de la posibilidad de acordar la suspensión de los efectos de resoluciones judiciales impugnadas en amparo, señala que la “aplicación al caso de la doctrina reseñada nos debe llevar a considerar que nos encontramos en uso de esos supuestos en que tratándose de un[a] resolución de carácter patrimonial, no obstante puede acabar afectando a derechos futuros de terceros adquirentes de buena fe, por lo que de acuerdo con la doctrina de este Tribunal, sería procedente la suspensión para evitar actuaciones cuya reversibilidad deviniera poco menos que imposible (vid. ATC 74/2013)”.</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Ha declarado este Tribunal en su ATC 198/2014, de 21 de julio, FJ 1, citado a su vez por el más reciente ATC 95/2015, de 25 de mayo, FJ 1, que: “como regla general, el apartado 1 del art. 56 de la Ley Orgánica del Tribunal Constitucional (en la redacción dada por la Ley Orgánica 6/2007, de 24 de mayo) determina que ‘la interposición del recurso de amparo no suspenderá los efectos del acto o sentencia impugnados’. Regla que se somete a excepción en el apartado 2 del mismo precepto, permitiendo la medida de suspensión total o parcial de los efectos del acto o sentencia impugnados, cuando uno u otra ‘produzca un perjuicio al recurrente que pudiera hacer perder al amparo su finalidad’, condicionado en todo caso a que ‘la suspensión no ocasione perturbación grave a un interés constitucionalmente protegido, ni a los derechos fundamentales o libertades de otra persona’. Conforme a la aplicación conjunta de ambas disposiciones,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w:t>
      </w:r>
    </w:p>
    <w:p w:rsidR="0033382B" w:rsidRDefault="0033382B" w:rsidP="0033382B">
      <w:pPr>
        <w:pStyle w:val="TextoNormal"/>
      </w:pPr>
    </w:p>
    <w:p w:rsidR="0033382B" w:rsidRDefault="0033382B" w:rsidP="0033382B">
      <w:pPr>
        <w:pStyle w:val="TextoNormal"/>
      </w:pPr>
      <w:r w:rsidRPr="0033382B">
        <w:rPr>
          <w:rStyle w:val="NumeroAFNegritaCaracter"/>
        </w:rPr>
        <w:t>2</w:t>
      </w:r>
      <w:r>
        <w:t>. A su vez, respecto de la suspensión de resoluciones judiciales con contenido patrimonial, recordaba el indicado ATC 95/2015, FJ 2, que según criterio reiterado del Tribunal las mismas: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de 7 de agosto, FJ único; 574/1985, de 7 de agosto, FJ único; o 275/1990, de 2 de julio, FJ 2). Sí hemos accedido a la suspensión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de 2 de julio, FJ único; y 52/1989, de 30 de enero, FJ único) o el lanzamiento de una vivienda o local (AATC 313/2005, de 18 de julio, y 435/2006, de 23 de noviembre). En efecto, en relación con resoluciones judiciales cuya ejecución conlleva el desalojo de una vivienda o local, hemos declarado en diversas ocasiones, AATC 225/2000, de 2 de octubre, FJ 2; 187/2001, de 2 de julio, FFJJ 2 y 3; 210/2001, de 16 de julio, FJ 3; o 111/2003, de 7 de abril, FJ 2) que, salvo supuestos excepcionales, la ejecución de estas resoluciones debe ser suspendida, toda vez que el lanzamiento o privación de la posesión de aquéllos puede ocasionar situaciones irreversibles o daños de muy difícil reparación en el caso de que posteriormente se otorgue el amparo, como acontece en el presente caso, por lo cual resulta procedente el mantenimiento de la medida cautelar de suspensión del lanzamiento de la demandante de amparo de la vivienda que ocupa... [ATC 18/2012, de 30 de enero, FJ 3; en el mismo sentido, AATC 81/2012; de 7 de mayo, FJ 2; 103/2012, de 21 de mayo, FJ 1; 287/2013, de 16 de diciembre, FJ 1; 175/2014, de 23 de junio, FJ 1, y 59/2015, de 16 de marzo, FJ 2]”.</w:t>
      </w:r>
    </w:p>
    <w:p w:rsidR="0033382B" w:rsidRDefault="0033382B" w:rsidP="0033382B">
      <w:pPr>
        <w:pStyle w:val="TextoNormal"/>
      </w:pPr>
    </w:p>
    <w:p w:rsidR="0033382B" w:rsidRDefault="0033382B" w:rsidP="0033382B">
      <w:pPr>
        <w:pStyle w:val="TextoNormal"/>
      </w:pPr>
      <w:r>
        <w:t>Esta doctrina que reconoce la irreversibilidad del daño que comportaría la posible transmisión a un tercero de buena fe del bien inmueble, no exige necesariamente —aunque esta sin duda constituya una circunstancia de refuerzo en apoyo a la suspensión— que se trate del domicilio de la parte ejecutada, siendo suficiente con que la resolución impugnada se haya dictado en un procedimiento de ejecución dirigido a la realización forzosa de la vivienda o local de su propiedad, en cuanto presupuesto para que se ocasione aquel daño y, con ello, se otorgue la suspensión [entre otros, AATC 64/2009, de 23 de febrero, antecedente 2 d) y FJ 3; 287/2013, de 16 de diciembre, antecedente 2 y FJ 2; 282/2014, de 17 de noviembre, antecedente 2 y FJ 4; y 48/2016, de 29 de febrero, antecedente 1 y FJ 2].</w:t>
      </w:r>
    </w:p>
    <w:p w:rsidR="0033382B" w:rsidRDefault="0033382B" w:rsidP="0033382B">
      <w:pPr>
        <w:pStyle w:val="TextoNormal"/>
      </w:pPr>
    </w:p>
    <w:p w:rsidR="0033382B" w:rsidRDefault="0033382B" w:rsidP="0033382B">
      <w:pPr>
        <w:pStyle w:val="TextoNormal"/>
      </w:pPr>
      <w:r w:rsidRPr="0033382B">
        <w:rPr>
          <w:rStyle w:val="NumeroAFNegritaCaracter"/>
        </w:rPr>
        <w:t>3</w:t>
      </w:r>
      <w:r>
        <w:t xml:space="preserve">. La aplicación de la anterior doctrina al presente caso permite acceder a lo solicitado. Se trata de un proceso ejecutivo hipotecario en el que, de acuerdo con el examen de las actuaciones remitidas por el Juzgado </w:t>
      </w:r>
      <w:r w:rsidRPr="0033382B">
        <w:rPr>
          <w:i/>
        </w:rPr>
        <w:t>a quo</w:t>
      </w:r>
      <w:r>
        <w:t>, se constata que se celebró la subasta para la vivienda de los recurrentes el 6 de junio de 2014, quedando la misma desierta, lo que motivó que la representación procesal de la ejecutante Caixabank presentara escrito solicitando la adjudicación de la finca, “con facultad de ceder el remate a terceros”. La cesión se produjo a favor de la entidad Buildingcenter, S.A., aprobándose por la Secretaría del Juzgado mediante Decreto de 10 de julio de 2014.</w:t>
      </w:r>
    </w:p>
    <w:p w:rsidR="0033382B" w:rsidRDefault="0033382B" w:rsidP="0033382B">
      <w:pPr>
        <w:pStyle w:val="TextoNormal"/>
      </w:pPr>
    </w:p>
    <w:p w:rsidR="0033382B" w:rsidRDefault="0033382B" w:rsidP="0033382B">
      <w:pPr>
        <w:pStyle w:val="TextoNormal"/>
      </w:pPr>
      <w:r>
        <w:t xml:space="preserve">Al margen de los vínculos existentes entre la entidad cedente y la cesionaria a que se refieren los recurrentes, de no acordarse la suspensión del acto de toma de posesión del bien inmueble y la de los demás efectos del proceso ejecutivo, la vivienda podría ser transmitida en cualquier momento futuro a un tercero que quedaría protegido por la fe pública registral (art. 34 de la Ley hipotecaria) y a quien no alcanzaría el pronunciamiento de nulidad de la ejecución si se estimara el amparo, a diferencia de quienes sí han intervenido dentro del procedimiento </w:t>
      </w:r>
      <w:r w:rsidRPr="0033382B">
        <w:rPr>
          <w:i/>
        </w:rPr>
        <w:t>a quo</w:t>
      </w:r>
      <w:r>
        <w:t xml:space="preserve"> —incluyendo como cesionaria del remate, a la entidad Buildingcenter—. Por lo que, de producirse tal eventualidad —transmisión futura a un tercero— haría irreivindicable la finca, haciendo perder al presente recurso su finalidad. No apreciándose tampoco que la medida de suspensión ocasione, como ya se señaló, “perturbación grave a un interés constitucionalmente protegido, ni a los derechos fundamentales o libertades de otra persona”, debe acordarse la suspensión.</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Suspender la ejecución del Auto dictado por el Juzgado de Primera Instancia núm. 5 de Cartagena el 10 de septiembre de 2015, en el procedimiento de ejecución hipotecaria núm. 114-2012; con suspensión igualmente del acto de toma de posesión del bien inmueble ejecutado, previsto para el próximo día 28 de junio de 2016, y las demás actuaciones relativas a dicha ejecución.</w:t>
      </w:r>
    </w:p>
    <w:p w:rsidR="0033382B" w:rsidRDefault="0033382B" w:rsidP="0033382B">
      <w:pPr>
        <w:pStyle w:val="TextoNormal"/>
      </w:pPr>
    </w:p>
    <w:p w:rsidR="0033382B" w:rsidRDefault="0033382B" w:rsidP="0033382B">
      <w:pPr>
        <w:pStyle w:val="TextoNormal"/>
      </w:pPr>
      <w:r>
        <w:t>Madrid, a once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97" w:name="AUTO_2016_70"/>
      <w:r>
        <w:t>AUTO 70/2016, de 12 de abril de 2016</w:t>
      </w:r>
    </w:p>
    <w:bookmarkEnd w:id="197"/>
    <w:p w:rsidR="0033382B" w:rsidRDefault="0033382B" w:rsidP="0033382B">
      <w:pPr>
        <w:pStyle w:val="TtuloResolucin"/>
      </w:pPr>
      <w:r>
        <w:t>Pleno</w:t>
      </w:r>
    </w:p>
    <w:p w:rsidR="0033382B" w:rsidRDefault="0033382B" w:rsidP="0033382B">
      <w:pPr>
        <w:pStyle w:val="TextoNormalCentrado"/>
      </w:pPr>
      <w:r>
        <w:t>ECLI:ES:TC:2016:70A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7558-2014, planteada por el Tribunal Superior de Justicia de Castilla-La Mancha en relación con los artículos 23.1 a) y 2 del Real Decreto legislativo 2/2008, de 20 de junio, por el que se aprueba el texto refundido de la Ley de suelo.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16 de diciembre de 2014 tuvo entrada en el Registro General de este Tribunal un oficio de la Sección Segunda de la Sala de lo Contencioso-Administrativo del Tribunal Superior de Justicia de Castilla-La Mancha, al que se acompaña, junto al testimonio del procedimiento ordinario núm.118-2011, el Auto de 4 de noviembre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Uno de los afectados por el proyecto de expropiación derivado del “proyecto de singular interés Parque Industrial y Tecnológico de Illescas”, recurrió en vía contencioso-administrativa la resolución del Jurado Regional de Valoraciones de la Junta de Comunidades de Castilla-La Mancha que fijó el justiprecio de sus fincas, que se encontraban en situación de suelo rural.</w:t>
      </w:r>
    </w:p>
    <w:p w:rsidR="0033382B" w:rsidRDefault="0033382B" w:rsidP="0033382B">
      <w:pPr>
        <w:pStyle w:val="TextoNormal"/>
      </w:pPr>
    </w:p>
    <w:p w:rsidR="0033382B" w:rsidRDefault="0033382B" w:rsidP="0033382B">
      <w:pPr>
        <w:pStyle w:val="TextoNormal"/>
      </w:pPr>
      <w:r>
        <w:t>b) Una vez conclusas las actuaciones, mediante providencia de 26 de marzo de 2014, se señaló fecha y hora para la votación y fallo.</w:t>
      </w:r>
    </w:p>
    <w:p w:rsidR="0033382B" w:rsidRDefault="0033382B" w:rsidP="0033382B">
      <w:pPr>
        <w:pStyle w:val="TextoNormal"/>
      </w:pPr>
    </w:p>
    <w:p w:rsidR="0033382B" w:rsidRDefault="0033382B" w:rsidP="0033382B">
      <w:pPr>
        <w:pStyle w:val="TextoNormal"/>
      </w:pPr>
      <w:r>
        <w:t>c) Deliberado el asunto la Sala entendió que los preceptos en que se fundamenta la valoración del Jurado Regional de Valoraciones podrían ser inconstitucionales en cuanto que limitan el valor obtenido por capitalización de rentas, no permitiendo otro incremento sobre el valor básico así obtenido que hasta un máximo del doble, atendiendo a factores objetivos de localización y sin posibilidad de apreciar la existencia de expectativas urbanísticas.</w:t>
      </w:r>
    </w:p>
    <w:p w:rsidR="0033382B" w:rsidRDefault="0033382B" w:rsidP="0033382B">
      <w:pPr>
        <w:pStyle w:val="TextoNormal"/>
      </w:pPr>
    </w:p>
    <w:p w:rsidR="0033382B" w:rsidRDefault="0033382B" w:rsidP="0033382B">
      <w:pPr>
        <w:pStyle w:val="TextoNormal"/>
      </w:pPr>
      <w:r>
        <w:t>d) Antes de dictar sentencia, por providencia de 13 de octubre de 2014, la Sección Segunda de la Sala de lo Contencioso-Administrativo del Tribunal Superior de Justicia de Castilla-La Mancha,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y el art. 14 en cuando se permite al resto de los propietarios realizar su valor real (esta providencia es idéntica a la que se dictó en la cuestión de inconstitucionalidad 6059-2014).</w:t>
      </w:r>
    </w:p>
    <w:p w:rsidR="0033382B" w:rsidRDefault="0033382B" w:rsidP="0033382B">
      <w:pPr>
        <w:pStyle w:val="TextoNormal"/>
      </w:pPr>
    </w:p>
    <w:p w:rsidR="0033382B" w:rsidRDefault="0033382B" w:rsidP="0033382B">
      <w:pPr>
        <w:pStyle w:val="TextoNormal"/>
      </w:pPr>
      <w:r>
        <w:t>e) El Ministerio Fiscal, en escrito presentado el 17 de octubre de 2014, consideró pertinente el planteamiento de la cuestión de inconstitucionalidad por entender que el art. 23.2, en relación con los arts. 12 y 25 del Real Decreto Legislativo 2/2008, pudiera ser contrario al art. 33.3 CE. No llega a la misma conclusión, sin embargo, respecto a la posible vulneración. 14 CE.</w:t>
      </w:r>
    </w:p>
    <w:p w:rsidR="0033382B" w:rsidRDefault="0033382B" w:rsidP="0033382B">
      <w:pPr>
        <w:pStyle w:val="TextoNormal"/>
      </w:pPr>
    </w:p>
    <w:p w:rsidR="0033382B" w:rsidRDefault="0033382B" w:rsidP="0033382B">
      <w:pPr>
        <w:pStyle w:val="TextoNormal"/>
      </w:pPr>
      <w:r>
        <w:t>El Letrado de la Administración de la Junta de Comunidades de Castilla-La Mancha, en escrito de 15 de octubre de 2014, se opuso al planteamiento de la cuestión por lo que hace a los arts. 23.1 y 23.2 del Real Decreto Legislativo 2/2008, con el argumento de que la STC 141/2014 no los había declarado inconstitucionales.</w:t>
      </w:r>
    </w:p>
    <w:p w:rsidR="0033382B" w:rsidRDefault="0033382B" w:rsidP="0033382B">
      <w:pPr>
        <w:pStyle w:val="TextoNormal"/>
      </w:pPr>
    </w:p>
    <w:p w:rsidR="0033382B" w:rsidRDefault="0033382B" w:rsidP="0033382B">
      <w:pPr>
        <w:pStyle w:val="TextoNormal"/>
      </w:pPr>
      <w:r>
        <w:t>La representación del actor, que evacua el trámite mediante escrito de 27 octubre de 2014, considera pertinente el planteamiento de la cuestión de inconstitucionalidad.</w:t>
      </w:r>
    </w:p>
    <w:p w:rsidR="0033382B" w:rsidRDefault="0033382B" w:rsidP="0033382B">
      <w:pPr>
        <w:pStyle w:val="TextoNormal"/>
      </w:pPr>
    </w:p>
    <w:p w:rsidR="0033382B" w:rsidRDefault="0033382B" w:rsidP="0033382B">
      <w:pPr>
        <w:pStyle w:val="TextoNormal"/>
      </w:pPr>
      <w:r>
        <w:t>f) La Sección Segunda de la Sala de lo Contencioso-Administrativo del Tribunal Superior de Justicia de Castilla-La Mancha dictó Auto de 4 de noviembre de 2014, por el que se acuerda plantear cuestión de inconstitucionalidad respecto a los arts. 23.1 a) y 2 del Real Decreto Legislativo 2/2008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tras referirse a los antecedentes de hecho del caso y de transcribir los preceptos cuestionados, aborda los requisitos de procedibilidad. Expone que se ha dado traslado a las partes de la cuestión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[sic]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w:t>
      </w:r>
    </w:p>
    <w:p w:rsidR="0033382B" w:rsidRDefault="0033382B" w:rsidP="0033382B">
      <w:pPr>
        <w:pStyle w:val="TextoNormal"/>
      </w:pPr>
    </w:p>
    <w:p w:rsidR="0033382B" w:rsidRDefault="0033382B" w:rsidP="0033382B">
      <w:pPr>
        <w:pStyle w:val="TextoNormal"/>
      </w:pPr>
      <w:r>
        <w:t>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actual legislación.</w:t>
      </w:r>
    </w:p>
    <w:p w:rsidR="0033382B" w:rsidRDefault="0033382B" w:rsidP="0033382B">
      <w:pPr>
        <w:pStyle w:val="TextoNormal"/>
      </w:pPr>
    </w:p>
    <w:p w:rsidR="0033382B" w:rsidRDefault="0033382B" w:rsidP="0033382B">
      <w:pPr>
        <w:pStyle w:val="TextoNormal"/>
      </w:pPr>
      <w:r>
        <w:t xml:space="preserve">A continuación, señala que, aunque nada hay de inconstitucional en que la ley pueda establecer unos métodos de valoración determinados u otros, “sí afirmamos que será difícilmente constitucional que de manera manifiesta impida dar con un valor real, valor que a nuestro juicio equivale a un valor que sea próximo al del mercado propio del bien de que se trate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w:t>
      </w:r>
      <w:r w:rsidRPr="0033382B">
        <w:rPr>
          <w:i/>
        </w:rPr>
        <w:t>Lightgow y otros contra Reino Unido</w:t>
      </w:r>
      <w:r>
        <w:t xml:space="preserve">—, 9 de diciembre de 1994 —caso </w:t>
      </w:r>
      <w:r w:rsidRPr="0033382B">
        <w:rPr>
          <w:i/>
        </w:rPr>
        <w:t>de los Santos Monasterios Griegos contra Grecia</w:t>
      </w:r>
      <w:r>
        <w:t xml:space="preserve">—, 4 de agosto de 2009 —caso </w:t>
      </w:r>
      <w:r w:rsidRPr="0033382B">
        <w:rPr>
          <w:i/>
        </w:rPr>
        <w:t>Perdigao contra Portugal</w:t>
      </w:r>
      <w:r>
        <w:t>—, 4 de noviembre de 2010, 9 de octubre de 2003 o 26 de abril de 2011)”.</w:t>
      </w:r>
    </w:p>
    <w:p w:rsidR="0033382B" w:rsidRDefault="0033382B" w:rsidP="0033382B">
      <w:pPr>
        <w:pStyle w:val="TextoNormal"/>
      </w:pPr>
    </w:p>
    <w:p w:rsidR="0033382B" w:rsidRDefault="0033382B" w:rsidP="0033382B">
      <w:pPr>
        <w:pStyle w:val="TextoNormal"/>
      </w:pPr>
      <w:r>
        <w:t>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 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0033382B" w:rsidRDefault="0033382B" w:rsidP="0033382B">
      <w:pPr>
        <w:pStyle w:val="TextoNormal"/>
      </w:pPr>
    </w:p>
    <w:p w:rsidR="0033382B" w:rsidRDefault="0033382B" w:rsidP="0033382B">
      <w:pPr>
        <w:pStyle w:val="TextoNormal"/>
      </w:pPr>
      <w:r>
        <w:t>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PSI que motiva la expropiación; y que el propio PSI valoraba en 25 €/m2”.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PSI declaraba. Esta es la prueba, a nuestro juicio, de que el sistema establecido por la Ley no es hábil para hallar el valor real del bien ni aun aproximadamente y que, por consiguiente, puede resultar inconstitucional”.</w:t>
      </w:r>
    </w:p>
    <w:p w:rsidR="0033382B" w:rsidRDefault="0033382B" w:rsidP="0033382B">
      <w:pPr>
        <w:pStyle w:val="TextoNormal"/>
      </w:pPr>
    </w:p>
    <w:p w:rsidR="0033382B" w:rsidRDefault="0033382B" w:rsidP="0033382B">
      <w:pPr>
        <w:pStyle w:val="TextoNormal"/>
      </w:pPr>
      <w:r>
        <w:t>El Auto termina este epígrafe afirmando que cuando se refiere a las expectativas urbanísticas, “a fin de aclarar que no está defendiendo que se deban valorar puras hipótesis, valores no reales o perjuicios meramente inciertos o futuros… Las expectativas urbanísticas se basan en circunstancias actuales (vgr.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0033382B" w:rsidRDefault="0033382B" w:rsidP="0033382B">
      <w:pPr>
        <w:pStyle w:val="TextoNormal"/>
      </w:pPr>
    </w:p>
    <w:p w:rsidR="0033382B" w:rsidRDefault="0033382B" w:rsidP="0033382B">
      <w:pPr>
        <w:pStyle w:val="TextoNormal"/>
      </w:pPr>
      <w:r>
        <w:t>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arto 33.3 CE y el 14 CE”. Y sobre la constitucionalidad del régimen previsto en el artículo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0033382B" w:rsidRDefault="0033382B" w:rsidP="0033382B">
      <w:pPr>
        <w:pStyle w:val="TextoNormal"/>
      </w:pPr>
    </w:p>
    <w:p w:rsidR="0033382B" w:rsidRDefault="0033382B" w:rsidP="0033382B">
      <w:pPr>
        <w:pStyle w:val="TextoNormal"/>
      </w:pPr>
      <w:r>
        <w:t>El Auto de planteamiento se refiere también a la STC 141/2014, de 11 de septiembre, que declaró inconstitucional y nulo el inciso “hasta un máximo del doble” del art. 22 1 a), párrafo tercero, de la Ley 8/2007, de 28 de mayo, de suelo y del art. 23.1 a), párrafo tercero, del texto refundido de la Ley de suelo, aprobado por Real Decreto legislativo 2/2008, de 20 de junio. La Sala de lo Contencioso-Administrativo considera que la STC 149/2014, aun reconociendo su importante alcance, no agota el debate y que en el caso de autos concurren, según se sostiene, circunstancias específicas que lleva a la Sala de lo Contencioso-Administrativo a entender que los criterios legales de valoración lesionan los derechos constitucionales de los afectados. Junto a ello se sostiene que la referida Sentencia no se pronuncia sobre la constitucionalidad del art. 25.1 del Real Decreto Legislativo 2/2008, precepto que la Sala cuestiona expresamente al considerarlo inconstitucional.</w:t>
      </w:r>
    </w:p>
    <w:p w:rsidR="0033382B" w:rsidRDefault="0033382B" w:rsidP="0033382B">
      <w:pPr>
        <w:pStyle w:val="TextoNormal"/>
      </w:pPr>
    </w:p>
    <w:p w:rsidR="0033382B" w:rsidRDefault="0033382B" w:rsidP="0033382B">
      <w:pPr>
        <w:pStyle w:val="TextoNormal"/>
      </w:pPr>
      <w:r>
        <w:t>Las anteriores consideraciones llevan a la Sala a concluir que los preceptos cuestionados son contrarios al art. 33.3 y 14 CE.</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 de diciembre de 2015, la Sección Primera del Tribunal Constitucional acordó oír al Fiscal General del Estado para que, en el plazo de diez días, y a los efectos que determina el art. 37.1 de la Ley Orgánica del Tribunal Constitucional (LOTC), alegase lo que considerase conveniente “en relación con la pérdida de objeto de la cuestión de inconstitucionalidad respecto del art. 25.2 a) del Real Decreto Legislativo 2/2008 y de su carácter notoriamente infundado (por efecto de lo resuelto en la STC 218/2015, de 22 de octubre) respecto a los otros preceptos cuestionados”.</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el 25 de enero de 2016. A su juicio, la cuestión planteada no ha realizado debidamente el juicio de relevancia en cuanto a las dudas que se le plantean respecto de los arts. 23.1 y 25.1 del Real Decreto Legislativo 2/2008 a la luz de la STC 141/2015, que consideró inconstitucional el inciso del art. 23.1 a) “hasta el máximo del doble”. Asimismo se cita la STC 43/2015 y la STC 201/2015. Considera la Fiscal General que “el órgano judicial solo manifiesta una serie de causas inconcretas y faltas de argumentación sobre la posible inconstitucionalidad de dichos preceptos por motivos diferentes a los que fueron analizados en la STC 141/2015, que no concreta, por lo que no habría llevado a cabo un juicio de relevancia adecuado, ya que no explicita cuales son aquellas razones que harían a dichos preceptos legales, además del analizado en la sentencia constitucional, contrarios al art. 33.3 CE”. Según se alega, el órgano judicial no ha efectuado un adecuado juicio de relevancia sobre lo que la Sala denomina “otras circunstancias específicas” y por ello considera que la presente cuestión debería inadmitirse por un inadecuado o inexistente juicio de relevancia … respecto de la dudad de inconstitucionalidad que se plantea el órgano judicial respecto de los arts. 23.1 a) y 25.1 del Real Decreto Legislativo 2/2008 tras la STC 141/2015.</w:t>
      </w:r>
    </w:p>
    <w:p w:rsidR="0033382B" w:rsidRDefault="0033382B" w:rsidP="0033382B">
      <w:pPr>
        <w:pStyle w:val="TextoNormal"/>
      </w:pPr>
    </w:p>
    <w:p w:rsidR="0033382B" w:rsidRDefault="0033382B" w:rsidP="0033382B">
      <w:pPr>
        <w:pStyle w:val="TextoNormal"/>
      </w:pPr>
      <w:r>
        <w:t>Junto a ello se aduce que esta cuestión debería ser resuelta en los términos que han sido declarados por la STC 244/2015, de 30 de noviembre, que, a su vez se remite a las SSTC 141/2014 y 218/2015.</w:t>
      </w:r>
    </w:p>
    <w:p w:rsidR="0033382B" w:rsidRDefault="0033382B" w:rsidP="0033382B">
      <w:pPr>
        <w:pStyle w:val="TextoNormal"/>
      </w:pPr>
    </w:p>
    <w:p w:rsidR="0033382B" w:rsidRDefault="0033382B" w:rsidP="0033382B">
      <w:pPr>
        <w:pStyle w:val="TextoNormal"/>
      </w:pPr>
      <w:r>
        <w:t>Por todo ello considera que procede declarar la inadmisión de la presente cuestión en relación con el art. 23.1 a) y 25.1 del Real Decreto Legislativo 2/2008 respecto de las dudas de inconstitucionalidad planteadas por la Sala de lo Contencioso-Administrativo tras la STC 141/2015; declarar la pérdida sobrevenida de objeto en relación con los arts. 23.1 a) (en los términos de la STC 141/2014) y 25.2 a) del Real Decreto Legislativo 2/2008 (en los términos de la STC 218/2015) y declarar que la cuestión es manifiestamente infundada respecto de los arts. 12, 23.2 y 25.1 del Real Decreto Legislativo 2/2008.</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0033382B" w:rsidRDefault="0033382B" w:rsidP="0033382B">
      <w:pPr>
        <w:pStyle w:val="TextoNormal"/>
      </w:pPr>
    </w:p>
    <w:p w:rsidR="0033382B" w:rsidRDefault="0033382B" w:rsidP="0033382B">
      <w:pPr>
        <w:pStyle w:val="TextoNormal"/>
      </w:pPr>
      <w:r>
        <w:t>La Sala considera que el art. 23.1 a) del Real Decreto Legislativo 2/2008 establece un método de valoración para el suelo en situación básica de rural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0033382B" w:rsidRDefault="0033382B" w:rsidP="0033382B">
      <w:pPr>
        <w:pStyle w:val="TextoNormal"/>
      </w:pPr>
    </w:p>
    <w:p w:rsidR="0033382B" w:rsidRDefault="0033382B" w:rsidP="0033382B">
      <w:pPr>
        <w:pStyle w:val="TextoNormal"/>
      </w:pPr>
      <w:r>
        <w:t>La Fiscal General del Estado, en el trámite previsto en el art. 37.1 de la Ley Orgánica del Tribunal Constitucional (LOTC), alega sucesivamente (a) un deficiente juicio de relevancia por lo que hace a los arts. 23.1 a) y 25.1 del Real Decreto Legislativo 2/2008; (b) la pérdida sobrevenida del objeto de la cuestión en cuanto el art. 25.2 a) del Real Decreto Legislativo 2/2008 porque así ha se ha pronunciado el Tribunal en un supuesto idéntico en la STC 244/2015, de 30 de noviembre, criterio que extiende al art. 23.1 a) Real Decreto Legislativo 2/2008 en la medida que la STC 141/2014 declaró inconstitucional y nulo el inciso “hasta el máximo del doble”; y (c), en fin, el carácter notoriamente infundado de la duda de constitucionalidad en relación a los arts. 12, 23.2 y 25.1 del Real Decreto Legislativo 2/2008.</w:t>
      </w:r>
    </w:p>
    <w:p w:rsidR="0033382B" w:rsidRDefault="0033382B" w:rsidP="0033382B">
      <w:pPr>
        <w:pStyle w:val="TextoNormal"/>
      </w:pPr>
    </w:p>
    <w:p w:rsidR="0033382B" w:rsidRDefault="0033382B" w:rsidP="0033382B">
      <w:pPr>
        <w:pStyle w:val="TextoNormal"/>
      </w:pPr>
      <w:r w:rsidRPr="0033382B">
        <w:rPr>
          <w:rStyle w:val="NumeroAFNegritaCaracter"/>
        </w:rPr>
        <w:t>2</w:t>
      </w:r>
      <w:r>
        <w:t>. La derogación de esos preceptos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de la Ley Orgánica del Tribunal Constitucional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0033382B" w:rsidRDefault="0033382B" w:rsidP="0033382B">
      <w:pPr>
        <w:pStyle w:val="TextoNormal"/>
      </w:pPr>
    </w:p>
    <w:p w:rsidR="0033382B" w:rsidRDefault="0033382B" w:rsidP="0033382B">
      <w:pPr>
        <w:pStyle w:val="TextoNormal"/>
      </w:pPr>
      <w:r w:rsidRPr="0033382B">
        <w:rPr>
          <w:rStyle w:val="NumeroAFNegritaCaracter"/>
        </w:rPr>
        <w:t>4</w:t>
      </w:r>
      <w:r>
        <w:t>. La Fiscal General del Estado alega falta del adecuado juicio de relevancia sobre lo que la Sala denomina otras circunstancias específicas, de las que deriva una inconstitucionalidad del art. 23.1 a) del Real Decreto Legislativo 2/2008 añadida a la ya declarada en la STC 141/2014, déficit en el juicio de relevancia que invoca también respecto de la supuesta inconstitucionalidad del art. 25.1 del Real Decreto Legislativo 2/2008, pues, a su juicio, ningún razonamiento se aporta en el Auto de planteamiento que difiera de los que fueron expuestos en la cuestión de inconstitucionalidad que dio origen a la STC 141/2014.</w:t>
      </w:r>
    </w:p>
    <w:p w:rsidR="0033382B" w:rsidRDefault="0033382B" w:rsidP="0033382B">
      <w:pPr>
        <w:pStyle w:val="TextoNormal"/>
      </w:pPr>
    </w:p>
    <w:p w:rsidR="0033382B" w:rsidRDefault="0033382B" w:rsidP="0033382B">
      <w:pPr>
        <w:pStyle w:val="TextoNormal"/>
      </w:pPr>
      <w:r>
        <w:t>Aprecia este Tribunal, por el contrario, que el Auto de planteamiento afirma expresamente que la STC 141/2014 excluye de su pronunciamiento toda consideración del art. 25 del Real Decreto Legislativo 2/2008 y, por tanto, del sistema valorativo de conjunto que resulta de la combinación de los arts. 23 y 25 del Real Decreto Legislativo 2/2008, cuestión ésta que, según razona, adquiere especial relevancia dadas las circunstancias específicas de este caso, donde la expropiación afecta a suelo que está en situación básica de rústico (art. 23 del Real Decreto Legislativo 2/2008), pero respecto del que el propietario ha adquirido ya la facultad de participar en la urbanización (art. 25 del Real Decreto Legislativo 2/2008). Por todo ello, procede rechazar este primer óbice de procedibilidad.</w:t>
      </w:r>
    </w:p>
    <w:p w:rsidR="0033382B" w:rsidRDefault="0033382B" w:rsidP="0033382B">
      <w:pPr>
        <w:pStyle w:val="TextoNormal"/>
      </w:pPr>
    </w:p>
    <w:p w:rsidR="0033382B" w:rsidRDefault="0033382B" w:rsidP="0033382B">
      <w:pPr>
        <w:pStyle w:val="TextoNormal"/>
      </w:pPr>
      <w:r w:rsidRPr="0033382B">
        <w:rPr>
          <w:rStyle w:val="NumeroAFNegritaCaracter"/>
        </w:rPr>
        <w:t>5</w:t>
      </w:r>
      <w:r>
        <w:t>. El art. 25.2 a) del Real Decreto Legislativo 2/2008 ha sido declarado inconstitucional y nulo por la STC 218/2015, de 22 de octubre. El art. 164 CE, y también el art. 38 LOTC, disponen que las Sentencias del Tribunal Constitucional que declaren la inconstitucionalidad de una ley tengan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0033382B" w:rsidRDefault="0033382B" w:rsidP="0033382B">
      <w:pPr>
        <w:pStyle w:val="TextoNormal"/>
      </w:pPr>
    </w:p>
    <w:p w:rsidR="0033382B" w:rsidRDefault="0033382B" w:rsidP="0033382B">
      <w:pPr>
        <w:pStyle w:val="TextoNormal"/>
      </w:pPr>
      <w:r>
        <w:t>Como consecuencia procede acordar,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0033382B" w:rsidRDefault="0033382B" w:rsidP="0033382B">
      <w:pPr>
        <w:pStyle w:val="TextoNormal"/>
      </w:pPr>
    </w:p>
    <w:p w:rsidR="0033382B" w:rsidRDefault="0033382B" w:rsidP="0033382B">
      <w:pPr>
        <w:pStyle w:val="TextoNormal"/>
      </w:pPr>
      <w:r w:rsidRPr="0033382B">
        <w:rPr>
          <w:rStyle w:val="NumeroAFNegritaCaracter"/>
        </w:rPr>
        <w:t>6</w:t>
      </w:r>
      <w:r>
        <w:t>.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0033382B" w:rsidRDefault="0033382B" w:rsidP="0033382B">
      <w:pPr>
        <w:pStyle w:val="TextoNormal"/>
      </w:pPr>
    </w:p>
    <w:p w:rsidR="0033382B" w:rsidRDefault="0033382B" w:rsidP="0033382B">
      <w:pPr>
        <w:pStyle w:val="TextoNormal"/>
      </w:pPr>
      <w:r>
        <w:t>a) “Cuestión distinta es el art. 25.2 b) del texto refundido de la Ley de suelo,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texto refundido de la Ley de suelo deba quedar al margen de nuestro pronunciamiento.” (FJ 2).</w:t>
      </w:r>
    </w:p>
    <w:p w:rsidR="0033382B" w:rsidRDefault="0033382B" w:rsidP="0033382B">
      <w:pPr>
        <w:pStyle w:val="TextoNormal"/>
      </w:pPr>
    </w:p>
    <w:p w:rsidR="0033382B" w:rsidRDefault="0033382B" w:rsidP="0033382B">
      <w:pPr>
        <w:pStyle w:val="TextoNormal"/>
      </w:pPr>
      <w:r>
        <w:t>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0033382B" w:rsidRDefault="0033382B" w:rsidP="0033382B">
      <w:pPr>
        <w:pStyle w:val="TextoNormal"/>
      </w:pPr>
    </w:p>
    <w:p w:rsidR="0033382B" w:rsidRDefault="0033382B" w:rsidP="0033382B">
      <w:pPr>
        <w:pStyle w:val="TextoNormal"/>
      </w:pPr>
      <w:r>
        <w:t>c) “Por ello cabe afirmar, siguiendo la STC 141/2014, de 11 de septiembre. FJ 9 b), que la definición que realiza el art. 12 del texto refundido de la Ley de suelo de las situaciones en que se encuentra el suelo incluyendo en la situación de rural suelos con distinta clasificación urbanística, no es inconstitucional. No solo porque tiene carácter meramente instrumental para la definición de los derechos y deberes de las distintas propiedades del suelo y, aplicar conforme a éstos, un determinado método de valoración, sino porque, además, la clasificación del suelo, con ser un método posible no es el único que respeta el art. 33 CE. Por las mismas razones, no es inconstitucional que el art. 25.1 del texto refundido de la Ley de suelo establezca las condiciones para que nazca la facultad del propietario de participar en la actuación de urbanización y los requisitos que tienen que concurrir para que su privación sea indemnizada” (FJ 3).</w:t>
      </w:r>
    </w:p>
    <w:p w:rsidR="0033382B" w:rsidRDefault="0033382B" w:rsidP="0033382B">
      <w:pPr>
        <w:pStyle w:val="TextoNormal"/>
      </w:pPr>
    </w:p>
    <w:p w:rsidR="0033382B" w:rsidRDefault="0033382B" w:rsidP="0033382B">
      <w:pPr>
        <w:pStyle w:val="TextoNormal"/>
      </w:pPr>
      <w:r>
        <w:t>d) “Si ello es así, tampoco es inconstitucional el art. 23.2 del texto refundido de la Ley de suelo, que se limita a concretar la regla mencionada, descartando que se tengan en cuenta, en el método de capitalización de rentas, las que podrían derivar del destino de transformación urbanística que haya contemplado o pudiera otorgar en el futuro el planeamiento urbanístico o la ordenación territorial” (FJ 3).</w:t>
      </w:r>
    </w:p>
    <w:p w:rsidR="0033382B" w:rsidRDefault="0033382B" w:rsidP="0033382B">
      <w:pPr>
        <w:pStyle w:val="TextoNormal"/>
      </w:pPr>
    </w:p>
    <w:p w:rsidR="0033382B" w:rsidRDefault="0033382B" w:rsidP="0033382B">
      <w:pPr>
        <w:pStyle w:val="TextoNormal"/>
      </w:pPr>
      <w:r>
        <w:t>e) “[E] ste Tribunal afirmó en la STC 141/2014, de 11 de septiembre, FJ 9 b) y ha reiterado en la STC 43/2015, de 2 de marzo, FJ 5, en cuanto al método contemplado en el art. 23 del texto refundido de la Ley de suelo,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encuentran en situación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texto refundido de la Ley de suelo no es inconstitucional.” (FJ 4).</w:t>
      </w:r>
    </w:p>
    <w:p w:rsidR="0033382B" w:rsidRDefault="0033382B" w:rsidP="0033382B">
      <w:pPr>
        <w:pStyle w:val="TextoNormal"/>
      </w:pPr>
    </w:p>
    <w:p w:rsidR="0033382B" w:rsidRDefault="0033382B" w:rsidP="0033382B">
      <w:pPr>
        <w:pStyle w:val="TextoNormal"/>
      </w:pPr>
      <w:r>
        <w:t>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0033382B" w:rsidRDefault="0033382B" w:rsidP="0033382B">
      <w:pPr>
        <w:pStyle w:val="TextoNormal"/>
      </w:pPr>
    </w:p>
    <w:p w:rsidR="0033382B" w:rsidRDefault="0033382B" w:rsidP="0033382B">
      <w:pPr>
        <w:pStyle w:val="TextoNormal"/>
      </w:pPr>
      <w:r>
        <w:t>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doce de mayo de dos mil quince. a doce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98" w:name="AUTO_2016_71"/>
      <w:r>
        <w:t>AUTO 71/2016, de 12 de abril de 2016</w:t>
      </w:r>
    </w:p>
    <w:bookmarkEnd w:id="198"/>
    <w:p w:rsidR="0033382B" w:rsidRDefault="0033382B" w:rsidP="0033382B">
      <w:pPr>
        <w:pStyle w:val="TtuloResolucin"/>
      </w:pPr>
      <w:r>
        <w:t>Pleno</w:t>
      </w:r>
    </w:p>
    <w:p w:rsidR="0033382B" w:rsidRDefault="0033382B" w:rsidP="0033382B">
      <w:pPr>
        <w:pStyle w:val="TextoNormalCentrado"/>
      </w:pPr>
      <w:r>
        <w:t>ECLI:ES:TC:2016:71A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4992-2015, planteada por la Sala de lo Social del Tribunal Superior de Justicia de Murcia en relación con el artículo 2 de Real Decreto-ley 20/2012, de 13 de julio, de medidas para garantizar la estabilidad presupuestaria y de fomento de la competitividad y del artículo 2.1 de la Ley de la Asamblea Regional de Murcia 9/2012, de 8 de noviembre.</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día 9 de septiembre de 2015 tuvo entrada en el Registro General de este Tribunal un oficio de la Sala de lo Social del Tribunal Superior de Justicia de Murcia al que se acompaña, junto con el testimonio del procedimiento correspondiente (recurso de suplicación núm. 997-2014), el Auto de 25 de mayo de 2015, por el que se acuerda plantear cuestión de inconstitucionalidad respecto del art. 2 del Real Decreto-ley 20/2012, de 13 de julio, de medidas para garantizar la estabilidad presupuestaria y de fomento de la competitividad, y el art. 2.1 de la Ley autonómica 9/2012, de 8 de noviembre, por posible vulneración del art. 9.3 CE.</w:t>
      </w:r>
    </w:p>
    <w:p w:rsidR="0033382B" w:rsidRDefault="0033382B" w:rsidP="0033382B">
      <w:pPr>
        <w:pStyle w:val="TextoNormal"/>
      </w:pPr>
    </w:p>
    <w:p w:rsidR="0033382B" w:rsidRDefault="0033382B" w:rsidP="0033382B">
      <w:pPr>
        <w:pStyle w:val="TextoNormal"/>
      </w:pPr>
      <w:r>
        <w:t>El primer precepto cuestionado dispone, en lo que interesa, lo siguiente:</w:t>
      </w:r>
    </w:p>
    <w:p w:rsidR="0033382B" w:rsidRDefault="0033382B" w:rsidP="0033382B">
      <w:pPr>
        <w:pStyle w:val="TextoNormal"/>
      </w:pPr>
    </w:p>
    <w:p w:rsidR="0033382B" w:rsidRDefault="0033382B" w:rsidP="0033382B">
      <w:pPr>
        <w:pStyle w:val="TextoNormal"/>
      </w:pPr>
      <w:r>
        <w:t>“Artículo 2. Paga extraordinaria del mes de diciembre de 2012 del personal del sector público.</w:t>
      </w:r>
    </w:p>
    <w:p w:rsidR="0033382B" w:rsidRDefault="0033382B" w:rsidP="0033382B">
      <w:pPr>
        <w:pStyle w:val="TextoNormal"/>
      </w:pPr>
    </w:p>
    <w:p w:rsidR="0033382B" w:rsidRDefault="0033382B" w:rsidP="0033382B">
      <w:pPr>
        <w:pStyle w:val="TextoNormal"/>
      </w:pPr>
      <w:r>
        <w:t>1. En el año 2012 el personal del sector público definido en el artículo 22. Uno de la Ley 2/2012, de 29 de junio, de Presupuestos Generales del Estado,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33382B" w:rsidRDefault="0033382B" w:rsidP="0033382B">
      <w:pPr>
        <w:pStyle w:val="TextoNormal"/>
      </w:pPr>
    </w:p>
    <w:p w:rsidR="0033382B" w:rsidRDefault="0033382B" w:rsidP="0033382B">
      <w:pPr>
        <w:pStyle w:val="TextoNormal"/>
      </w:pPr>
      <w:r>
        <w:t>2. Para hacer efectivo lo dispuesto en el apartado anterior, se adoptarán las siguientes medidas:</w:t>
      </w:r>
    </w:p>
    <w:p w:rsidR="0033382B" w:rsidRDefault="0033382B" w:rsidP="0033382B">
      <w:pPr>
        <w:pStyle w:val="TextoNormal"/>
      </w:pPr>
    </w:p>
    <w:p w:rsidR="0033382B" w:rsidRDefault="0033382B" w:rsidP="0033382B">
      <w:pPr>
        <w:pStyle w:val="TextoNormal"/>
      </w:pPr>
      <w:r>
        <w:t>2.1 El personal funcionario no percibirá en el mes de diciembre las cantidades a que se refiere el artículo 22.Cinco.2 de la Ley 2/2012, de 29 de junio, de Presupuestos Generales del Estado para el año 2012 en concepto de sueldo y trienios.</w:t>
      </w:r>
    </w:p>
    <w:p w:rsidR="0033382B" w:rsidRDefault="0033382B" w:rsidP="0033382B">
      <w:pPr>
        <w:pStyle w:val="TextoNormal"/>
      </w:pPr>
    </w:p>
    <w:p w:rsidR="0033382B" w:rsidRDefault="0033382B" w:rsidP="0033382B">
      <w:pPr>
        <w:pStyle w:val="TextoNormal"/>
      </w:pPr>
      <w:r>
        <w:t>Tampoco se percibirá las cuantías correspondientes al resto de los conceptos retributivos que integran tanto la paga extraordinaria como la paga adicional de complemento específico o pagas adicionales equivalentes del mes de diciembre, pudiendo, en este caso, acordarse por cada Administración competente que dicha reducción se ejecute de forma prorrateada entre las nóminas pendientes de percibir en el presente ejercicio a partir de la entrada en vigor de este Real Decreto-ley.</w:t>
      </w:r>
    </w:p>
    <w:p w:rsidR="0033382B" w:rsidRDefault="0033382B" w:rsidP="0033382B">
      <w:pPr>
        <w:pStyle w:val="TextoNormal"/>
      </w:pPr>
    </w:p>
    <w:p w:rsidR="0033382B" w:rsidRDefault="0033382B" w:rsidP="0033382B">
      <w:pPr>
        <w:pStyle w:val="TextoNormal"/>
      </w:pPr>
      <w:r>
        <w:t>2.2 El personal laboral no percibirá las cantidades en concepto de gratificación extraordinaria con ocasión de las fiestas de Navidad o paga extraordinaria o equivalente del mes de diciembre del año 2012. Esta reducción comprenderá la de todos los conceptos retributivos que forman parte de dicha paga de acuerdo con los convenios colectivos que resulten de aplicación.</w:t>
      </w:r>
    </w:p>
    <w:p w:rsidR="0033382B" w:rsidRDefault="0033382B" w:rsidP="0033382B">
      <w:pPr>
        <w:pStyle w:val="TextoNormal"/>
      </w:pPr>
    </w:p>
    <w:p w:rsidR="0033382B" w:rsidRDefault="0033382B" w:rsidP="0033382B">
      <w:pPr>
        <w:pStyle w:val="TextoNormal"/>
      </w:pPr>
      <w:r>
        <w:t>La aplicación directa de esta medida se realizará en la nómina del mes de diciembre de 2012, sin perjuicio de que pueda alterarse la distribución definitiva de la reducción en los ámbitos correspondientes mediante la negociación colectiva, pudiendo, en este caso, acordarse que dicha reducción se ejecute de forma prorrateada entre las nóminas pendientes de percibir en el presente ejercicio a partir de la entrada en vigor de este Real Decreto-ley.</w:t>
      </w:r>
    </w:p>
    <w:p w:rsidR="0033382B" w:rsidRDefault="0033382B" w:rsidP="0033382B">
      <w:pPr>
        <w:pStyle w:val="TextoNormal"/>
      </w:pPr>
    </w:p>
    <w:p w:rsidR="0033382B" w:rsidRDefault="0033382B" w:rsidP="0033382B">
      <w:pPr>
        <w:pStyle w:val="TextoNormal"/>
      </w:pPr>
      <w:r>
        <w:t>La reducción retributiva establecida en el apartado 1 de este artículo será también de aplicación al personal laboral de alta dirección, al personal con contrato mercantil y al no acogido a convenio colectivo que no tenga la consideración de alto cargo.</w:t>
      </w:r>
    </w:p>
    <w:p w:rsidR="0033382B" w:rsidRDefault="0033382B" w:rsidP="0033382B">
      <w:pPr>
        <w:pStyle w:val="TextoNormal"/>
      </w:pPr>
    </w:p>
    <w:p w:rsidR="0033382B" w:rsidRDefault="0033382B" w:rsidP="0033382B">
      <w:pPr>
        <w:pStyle w:val="TextoNormal"/>
      </w:pPr>
      <w:r>
        <w:t>3. La reducción retributiva contenida en los apartados anteriores será de aplicación, asimismo, al personal de las fundaciones del sector público y de los consorcios participados mayoritariamente por las Administraciones que integran el sector público, así como al del Banco de España y personal directivo y resto de personal de las mutuas de accidentes de trabajo y enfermedades profesionales de la Seguridad Social y de sus entidades y centros mancomunados.</w:t>
      </w:r>
    </w:p>
    <w:p w:rsidR="0033382B" w:rsidRDefault="0033382B" w:rsidP="0033382B">
      <w:pPr>
        <w:pStyle w:val="TextoNormal"/>
      </w:pPr>
    </w:p>
    <w:p w:rsidR="0033382B" w:rsidRDefault="0033382B" w:rsidP="0033382B">
      <w:pPr>
        <w:pStyle w:val="TextoNormal"/>
      </w:pPr>
      <w:r>
        <w:t>4. Las cantidades derivadas de la supresión de la paga extraordinaria y de las pagas adicionales de complemento específico o pagas adicionales equivalentes de acuerdo con lo dispuesto en este artículo se destinarán en ejercicios futuros a realizar aportaciones a planes de pensiones o contratos de seguro colectivo que incluyan la cobertura de la contingencia de jubilación, con sujeción a lo establecido en la Ley Orgánica 2/2012, de Estabilidad Presupuestaria y Sostenibilidad Financiera y en los términos y con el alcance que se determine en las correspondientes leyes de presupuestos.</w:t>
      </w:r>
    </w:p>
    <w:p w:rsidR="0033382B" w:rsidRDefault="0033382B" w:rsidP="0033382B">
      <w:pPr>
        <w:pStyle w:val="TextoNormal"/>
      </w:pPr>
    </w:p>
    <w:p w:rsidR="0033382B" w:rsidRDefault="0033382B" w:rsidP="0033382B">
      <w:pPr>
        <w:pStyle w:val="TextoNormal"/>
      </w:pPr>
      <w:r>
        <w:t>5. En aquellos casos en que no se contemple expresamente en su régimen retributivo la percepción de pagas extraordinarias o se perciban más de dos al año se reducirá una catorceava parte de las retribuciones totales anuales excluidos incentivos al rendimiento. Dicha reducción se prorrateará entre las nóminas pendientes de percibir en el presente ejercicio a partir de la entrada en vigor de este Real Decreto-ley.</w:t>
      </w:r>
    </w:p>
    <w:p w:rsidR="0033382B" w:rsidRDefault="0033382B" w:rsidP="0033382B">
      <w:pPr>
        <w:pStyle w:val="TextoNormal"/>
      </w:pPr>
    </w:p>
    <w:p w:rsidR="0033382B" w:rsidRDefault="0033382B" w:rsidP="0033382B">
      <w:pPr>
        <w:pStyle w:val="TextoNormal"/>
      </w:pPr>
      <w:r>
        <w:t>6. Lo dispuesto en los apartados anteriores no será de aplicación a aquellos empleados públicos cuyas retribuciones por jornada completa, excluidos incentivos al rendimiento, no alcancen en cómputo anual 1,5 veces el salario mínimo interprofesional establecido en el Real Decreto 1888/2011, de 30 de diciembre.</w:t>
      </w:r>
    </w:p>
    <w:p w:rsidR="0033382B" w:rsidRDefault="0033382B" w:rsidP="0033382B">
      <w:pPr>
        <w:pStyle w:val="TextoNormal"/>
      </w:pPr>
    </w:p>
    <w:p w:rsidR="0033382B" w:rsidRDefault="0033382B" w:rsidP="0033382B">
      <w:pPr>
        <w:pStyle w:val="TextoNormal"/>
      </w:pPr>
      <w:r>
        <w:t>7. El presente artículo tiene carácter básico dictándose al amparo de lo dispuesto en los artículos 149.1.13 y 156.1 de la Constitución.”</w:t>
      </w:r>
    </w:p>
    <w:p w:rsidR="0033382B" w:rsidRDefault="0033382B" w:rsidP="0033382B">
      <w:pPr>
        <w:pStyle w:val="TextoNormal"/>
      </w:pPr>
    </w:p>
    <w:p w:rsidR="0033382B" w:rsidRDefault="0033382B" w:rsidP="0033382B">
      <w:pPr>
        <w:pStyle w:val="TextoNormal"/>
      </w:pPr>
      <w:r>
        <w:t>Por su parte, el apartado primero del precepto autonómico cuestionado dispone:</w:t>
      </w:r>
    </w:p>
    <w:p w:rsidR="0033382B" w:rsidRDefault="0033382B" w:rsidP="0033382B">
      <w:pPr>
        <w:pStyle w:val="TextoNormal"/>
      </w:pPr>
    </w:p>
    <w:p w:rsidR="0033382B" w:rsidRDefault="0033382B" w:rsidP="0033382B">
      <w:pPr>
        <w:pStyle w:val="TextoNormal"/>
      </w:pPr>
      <w:r>
        <w:t>“Artículo 2. Paga extraordinaria del mes de diciembre de 2012 del sector público regional.</w:t>
      </w:r>
    </w:p>
    <w:p w:rsidR="0033382B" w:rsidRDefault="0033382B" w:rsidP="0033382B">
      <w:pPr>
        <w:pStyle w:val="TextoNormal"/>
      </w:pPr>
    </w:p>
    <w:p w:rsidR="0033382B" w:rsidRDefault="0033382B" w:rsidP="0033382B">
      <w:pPr>
        <w:pStyle w:val="TextoNormal"/>
      </w:pPr>
      <w:r>
        <w:t>1. En el año 2012 el personal al servicio del sector público regional definido en el art. 22.1 de la Ley 6/2011, de 26 de diciembre, de presupuestos generales de la Comunidad Autónoma de la Región de Murcia para el ejercicio 2012, verá reducida sus retribuciones en las cuantías que corresponda percibir en el mes de diciembre, como consecuencia de la supresión tanto de la paga extraordinaria como de la paga adicional de complemento específico o pagas adicionales equivalentes de dicho mes.”</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La federación de servicios a la ciudadanía de Comisiones Obreras-Región de Murcia promovió demanda de conflicto colectivo que afecta a todo el personal laboral del Ayuntamiento de Yecla, reclamando el pago de la paga extraordinaria de Navidad de 2012 o, subsidiariamente, el de la parte proporcional de la misma devengada antes de la entrada en vigor del Real Decreto-ley 20/2012, de 13 de julio, de medidas para garantizar la estabilidad presupuestaria y de fomento de la competitividad (15 de julio de 2012), esto es, desde el 1 de junio hasta el 14 de julio de dicho año. El Juzgado de lo Social núm. 2 de Murcia desestimó la pretensión principal, pero estimó la subsidiaria.</w:t>
      </w:r>
    </w:p>
    <w:p w:rsidR="0033382B" w:rsidRDefault="0033382B" w:rsidP="0033382B">
      <w:pPr>
        <w:pStyle w:val="TextoNormal"/>
      </w:pPr>
    </w:p>
    <w:p w:rsidR="0033382B" w:rsidRDefault="0033382B" w:rsidP="0033382B">
      <w:pPr>
        <w:pStyle w:val="TextoNormal"/>
      </w:pPr>
      <w:r>
        <w:t>El sindicato recurrió en suplicación, en la medida que no había visto estimada la pretensión principal. Solicita en el suplico del recurso de suplicación que se declare “ajustado a derecho el percibo del abono de la paga extra de Navidad del 2012 en su integridad, condenando a la demandada a abonarlo”. La representación por el ayuntamiento se limitó a impugnar el recurso de suplicación, solicitando que se ratificase la Sentencia del Juzgado.</w:t>
      </w:r>
    </w:p>
    <w:p w:rsidR="0033382B" w:rsidRDefault="0033382B" w:rsidP="0033382B">
      <w:pPr>
        <w:pStyle w:val="TextoNormal"/>
      </w:pPr>
    </w:p>
    <w:p w:rsidR="0033382B" w:rsidRDefault="0033382B" w:rsidP="0033382B">
      <w:pPr>
        <w:pStyle w:val="TextoNormal"/>
      </w:pPr>
      <w:r>
        <w:t>b) Concluso el procedimiento y dentro del plazo para dictar sentencia, el órgano judicial dictó Auto (</w:t>
      </w:r>
      <w:r w:rsidRPr="0033382B">
        <w:rPr>
          <w:i/>
        </w:rPr>
        <w:t>sic</w:t>
      </w:r>
      <w:r>
        <w:t>) de 26 de enero de 2015, por el que se acuerda oír a las partes sobre la posibilidad de plantear cuestión de inconstitucionalidad respecto del art. 2 del Real Decreto-ley 20/2012, de 13 de julio, de medidas para garantizar la estabilidad presupuestaria y de fomento de la competitividad, por posible vulneración del art. 9.3 C.E. Y concluye diciendo que “a este efecto se concede a las partes y al Ministerio Fiscal un plazo común e improrrogable de diez días para que aleguen lo que a su derecho convenga”.</w:t>
      </w:r>
    </w:p>
    <w:p w:rsidR="0033382B" w:rsidRDefault="0033382B" w:rsidP="0033382B">
      <w:pPr>
        <w:pStyle w:val="TextoNormal"/>
      </w:pPr>
    </w:p>
    <w:p w:rsidR="0033382B" w:rsidRDefault="0033382B" w:rsidP="0033382B">
      <w:pPr>
        <w:pStyle w:val="TextoNormal"/>
      </w:pPr>
      <w:r>
        <w:t>c) El Ministerio Fiscal consideró procedente que se elevase al Tribunal Constitucional la cuestión planteada. La parte recurrida en suplicación se opuso a ello y la parte recurrente, a pesar de habérsele dado traslado de la resolución, no contestó.</w:t>
      </w:r>
    </w:p>
    <w:p w:rsidR="0033382B" w:rsidRDefault="0033382B" w:rsidP="0033382B">
      <w:pPr>
        <w:pStyle w:val="TextoNormal"/>
      </w:pPr>
    </w:p>
    <w:p w:rsidR="0033382B" w:rsidRDefault="0033382B" w:rsidP="0033382B">
      <w:pPr>
        <w:pStyle w:val="TextoNormal"/>
      </w:pPr>
      <w:r>
        <w:t>d) La Sala de lo Social del Tribunal Superior de Justicia de Murcia dictó el Auto de 25 de mayo de 2015, por el que se acuerda plantear cuestión de inconstitucionalidad respecto del art. 2 del Real Decreto-ley 20/2012, de 13 de julio, de medidas para garantizar la estabilidad presupuestaria y de fomento de la competitividad, y el art. 2.1 de la Ley autonómica 9/2012, por posible vulneración del art. 9.3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luego de dedicar los antecedentes a transcribir los arts. 2,3 y 6 del Real Decreto-ley 20/2012, así como extractos del art. 2 de la Ley autonómica 9/2012, consigna tres fundamentos de derecho. En el primero, destinado a razonar acerca del juicio de relevancia, afirma que “la sentencia recurrida resolvió reconocerle la parte devengada de la paga extraordinaria, pues no procedía descontar o detraer de la paga extraordinaria de diciembre de 2012 la parte proporcional de la misma ya devengada al momento de entrada en vigor de dicha norma con rango de ley, lo que ocurrió el 15 de julio de 2012”. Y a continuación subraya que esta Sala había estimado en procesos con objeto similar que la retroactividad de lo dispuesto en el art. 2 del Real Decreto-ley 20/2012 no era expresa, por lo que rechazó el planteamiento de la cuestión y condenó a la parte demandada a abonar la parte proporcional de la paga extraordinaria del 2012 ya devengada. Añade que desde que el Tribunal Constitucional ha admitido cuestiones de inconstitucionalidad contra este precepto legal y respecto de situaciones idénticas, entendiendo que aquel precepto legal sí suprimía la paga extraordinaria de todo 2012, incluida la parte ya devengada al momento de su entrada en vigor, la Sala adapta su criterio y ya no puede resolver el fondo sin plantear la oportuna cuestión de inconstitucionalidad.</w:t>
      </w:r>
    </w:p>
    <w:p w:rsidR="0033382B" w:rsidRDefault="0033382B" w:rsidP="0033382B">
      <w:pPr>
        <w:pStyle w:val="TextoNormal"/>
      </w:pPr>
    </w:p>
    <w:p w:rsidR="0033382B" w:rsidRDefault="0033382B" w:rsidP="0033382B">
      <w:pPr>
        <w:pStyle w:val="TextoNormal"/>
      </w:pPr>
      <w:r>
        <w:t>En el segundo fundamento de derecho afirma que es doctrina reiterada del Tribunal Supremo que la paga extra es un salario que se devenga día a día aun cuando se pague de un modo diferido en el tiempo. De ahí deriva que la eliminación del abono de la paga extra por lo que hace al mes de junio y los días de julio previos a la entrada en vigor del Real Decreto-ley 20/2012 es una disposición restrictiva de derechos que, por estar ya consolidados en el patrimonio del trabajador, tiene efectos retroactivos prohibidos por el art. 9.3 CE. El tercer fundamento es una alusión al art. 163 CE.</w:t>
      </w:r>
    </w:p>
    <w:p w:rsidR="0033382B" w:rsidRDefault="0033382B" w:rsidP="0033382B">
      <w:pPr>
        <w:pStyle w:val="TextoNormal"/>
      </w:pPr>
    </w:p>
    <w:p w:rsidR="0033382B" w:rsidRDefault="0033382B" w:rsidP="0033382B">
      <w:pPr>
        <w:pStyle w:val="TextoNormal"/>
      </w:pPr>
      <w:r>
        <w:t>La Sala acuerda, en consecuencia, “plantear ante el Tribunal Constitucional cuestión de inconstitucionalidad en relación con los arts. 2 Real Decreto-ley 20/2012, de 13 de julio, y 2.1 de la Ley autonómica 9/2012, por posible infracción de la prohibición de retroactividad de las normas restrictivas de derechos individuales que garantiza el art. 9.3 CE, en relación con el principio de seguridad jurídica del mismo precepto”.</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diligencia de ordenación de 10 de septiembre de 2015, la Secretaria de Justicia del Pleno interesó que se remita a este Tribunal copia completa del Auto de 26 de enero de 2015, petición que fue reiterada el 14 de octubre siguiente, ingresando tal copia en el Registro General del Tribunal el 6 de noviembre de 2015.</w:t>
      </w:r>
    </w:p>
    <w:p w:rsidR="0033382B" w:rsidRDefault="0033382B" w:rsidP="0033382B">
      <w:pPr>
        <w:pStyle w:val="TextoNormal"/>
      </w:pPr>
    </w:p>
    <w:p w:rsidR="0033382B" w:rsidRDefault="0033382B" w:rsidP="0033382B">
      <w:pPr>
        <w:pStyle w:val="TextoNormal"/>
      </w:pPr>
      <w:r>
        <w:t>Más tarde, mediante providencia de 18 de noviembre de 2015, el Pleno acordó, de conformidad con lo dispuesto en el art. 88 de la Ley Orgánica del Tribunal Constitucional (LOTC), dirigir atenta comunicación al Ayuntamiento de Yecla, a fin de que indicara si, en atención a lo previsto en la disposición adicional duodécima de la Ley 36/2014, de presupuestos generales del Estado para el año 2015, o por cualquier otra circunstancia, ha satisfecho al personal laboral de esa administración alguna cantidad en concepto de recuperación de la paga proporcional de la paga extraordinaria, de la paga adicional de complemento específico o de las pagas adicionales equivalentes, todas ellas correspondientes al mes de diciembre de 2012; especificando, en su caso, el número de días de la citada paga a los que corresponden las cuantías abonadas.</w:t>
      </w:r>
    </w:p>
    <w:p w:rsidR="0033382B" w:rsidRDefault="0033382B" w:rsidP="0033382B">
      <w:pPr>
        <w:pStyle w:val="TextoNormal"/>
      </w:pPr>
    </w:p>
    <w:p w:rsidR="0033382B" w:rsidRDefault="0033382B" w:rsidP="0033382B">
      <w:pPr>
        <w:pStyle w:val="TextoNormal"/>
      </w:pPr>
      <w:r>
        <w:t>Mediante escrito que tuvo entrada en el Registro General de este Tribunal el día 29 de diciembre de 2015, el Alcalde del Ayuntamiento de Yecla pone en conocimiento del Tribunal Constitucional “que, en cumplimiento de la sentencia núm. 158/2014 del Juzgado de lo Social núm. 2 de Murcia, el Pleno del Ayuntamiento, en sesión celebrada el día 3 de diciembre de 2015, acordó ‘declarar el derecho del personal laboral del Excmo. Ayuntamiento de Yecla a percibir las cantidades correspondientes a la parte proporcional de la paga extraordinaria del mes de diciembre de 2012, por los servicios prestados en el periodo comprendido entre el 1 de junio y el 14 de julio de 2012, y en su consecuencia abonar las cantidades que correspondan’, cantidades que en tal concepto fueron abonadas a dicho personal laboral en el mismo mes de diciembre de 2014 (</w:t>
      </w:r>
      <w:r w:rsidRPr="0033382B">
        <w:rPr>
          <w:i/>
        </w:rPr>
        <w:t>sic</w:t>
      </w:r>
      <w:r>
        <w:t>)”.</w:t>
      </w:r>
    </w:p>
    <w:p w:rsidR="0033382B" w:rsidRDefault="0033382B" w:rsidP="0033382B">
      <w:pPr>
        <w:pStyle w:val="TextoNormal"/>
      </w:pPr>
    </w:p>
    <w:p w:rsidR="0033382B" w:rsidRDefault="0033382B" w:rsidP="0033382B">
      <w:pPr>
        <w:pStyle w:val="TextoNormal"/>
      </w:pPr>
      <w:r w:rsidRPr="0033382B">
        <w:rPr>
          <w:rStyle w:val="NumeroAFNegritaCaracter"/>
        </w:rPr>
        <w:t>5</w:t>
      </w:r>
      <w:r>
        <w:t>. Por providencia de 2 de febrero de 2016, la Sección Tercera del Tribunal Constitucional acordó oír al Fiscal General del Estado para que, en el plazo de diez días, y a los efectos que determina el art. 37.1 LOTC, alegase lo que considerase conveniente acerca de la admisibilidad de la presente cuestión de inconstitucionalidad, en relación con el cumplimiento de los requisitos procesales (juicio de relevancia) y por si hubiera perdido objeto de forma sobrevenida.</w:t>
      </w:r>
    </w:p>
    <w:p w:rsidR="0033382B" w:rsidRDefault="0033382B" w:rsidP="0033382B">
      <w:pPr>
        <w:pStyle w:val="TextoNormal"/>
      </w:pPr>
    </w:p>
    <w:p w:rsidR="0033382B" w:rsidRDefault="0033382B" w:rsidP="0033382B">
      <w:pPr>
        <w:pStyle w:val="TextoNormal"/>
      </w:pPr>
      <w:r w:rsidRPr="0033382B">
        <w:rPr>
          <w:rStyle w:val="NumeroAFNegritaCaracter"/>
        </w:rPr>
        <w:t>6</w:t>
      </w:r>
      <w:r>
        <w:t>. El Fiscal General del Estado evacuó el trámite conferido mediante escrito registrado el 26 de febrero de 2016, en el que interesa la inadmisión de la presente cuestión de inconstitucionalidad.</w:t>
      </w:r>
    </w:p>
    <w:p w:rsidR="0033382B" w:rsidRDefault="0033382B" w:rsidP="0033382B">
      <w:pPr>
        <w:pStyle w:val="TextoNormal"/>
      </w:pPr>
    </w:p>
    <w:p w:rsidR="0033382B" w:rsidRDefault="0033382B" w:rsidP="0033382B">
      <w:pPr>
        <w:pStyle w:val="TextoNormal"/>
      </w:pPr>
      <w:r>
        <w:t xml:space="preserve">Primero acota el objeto de la cuestión. Señala, respecto del art. 2 del Real Decreto-ley 20/2012, que, como ocurría en la STC 224/2015, de 2 de noviembre, FJ 2, “no se cuestiona todo el precepto sino sólo en su aplicación al personal laboral del sector público” y tampoco “la medida de supresión de la paga extraordinaria de diciembre de 2012 en sí misma considerada (que es la pretensión principal que se deduce por los sindicatos demandantes en el proceso </w:t>
      </w:r>
      <w:r w:rsidRPr="0033382B">
        <w:rPr>
          <w:i/>
        </w:rPr>
        <w:t>a quo</w:t>
      </w:r>
      <w:r>
        <w:t>, como se ha dicho);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w:t>
      </w:r>
    </w:p>
    <w:p w:rsidR="0033382B" w:rsidRDefault="0033382B" w:rsidP="0033382B">
      <w:pPr>
        <w:pStyle w:val="TextoNormal"/>
      </w:pPr>
    </w:p>
    <w:p w:rsidR="0033382B" w:rsidRDefault="0033382B" w:rsidP="0033382B">
      <w:pPr>
        <w:pStyle w:val="TextoNormal"/>
      </w:pPr>
      <w:r>
        <w:t xml:space="preserve">El Fiscal argumenta, en segundo lugar, con cita del ATC 13/2016, de 19 de enero, FJ 2, que, al tratarse como en dicho Auto de personal laboral de una entidad local y concurriendo el mismo déficit en el trámite de audiencia </w:t>
      </w:r>
      <w:r w:rsidRPr="0033382B">
        <w:rPr>
          <w:i/>
        </w:rPr>
        <w:t>ex</w:t>
      </w:r>
      <w:r>
        <w:t xml:space="preserve"> art. 35.2 LOTC, “la cuestión no resulta admisible respecto del art. 2.1 de la Ley de Asamblea Regional de Murcia 9/2012. A lo ya señalado por el Fiscal General del Estado respecto de su omisión en el trámite de audiencia del art. 35.2 LOTC, procede añadir que no se puede considerar cumplido el juicio de aplicabilidad y relevancia, toda vez que este precepto es de aplicación únicamente al personal al servicio del sector público regional definido en el art. 22.1 de la Ley 6/2011, de 26 de diciembre, de presupuestos generales de la Comunidad Autónoma de la Región de Murcia para el ejercicio 2012, que no incluye al personal de las entidades locales”.</w:t>
      </w:r>
    </w:p>
    <w:p w:rsidR="0033382B" w:rsidRDefault="0033382B" w:rsidP="0033382B">
      <w:pPr>
        <w:pStyle w:val="TextoNormal"/>
      </w:pPr>
    </w:p>
    <w:p w:rsidR="0033382B" w:rsidRDefault="0033382B" w:rsidP="0033382B">
      <w:pPr>
        <w:pStyle w:val="TextoNormal"/>
      </w:pPr>
      <w:r>
        <w:t xml:space="preserve">En tercer lugar, aduce que lo declarado en el fundamento jurídico 2 b) del ATC 13/2016 (“el abono a los empleados públicos del Ayuntamiento de La Blanca, en concepto de parte proporcional de la paga extraordinaria de diciembre de 2012, de la cuantía devengada en el período de 1 de junio a 14 de julio de 1012 (44 días) … comporta el mismo efecto de satisfacción extraprocesal de la pretensión deducida en el proceso </w:t>
      </w:r>
      <w:r w:rsidRPr="0033382B">
        <w:rPr>
          <w:i/>
        </w:rPr>
        <w:t>a quo</w:t>
      </w:r>
      <w:r>
        <w:t xml:space="preserve"> y, por consiguiente, la carencia de objeto de esta cuestión de inconstitucionalidad”) es plenamente trasladable a este supuesto, en la medida que también se refiere a empleados laborales de una entidad local (Ayuntamiento de Yecla en este caso) a quienes se les ha abonado la parte proporcional de la paga extraordinaria de diciembre de 2012 relativa al período de 1 de junio a 14 de julio de 2012.</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Sala de lo Social del Tribunal Superior de Justicia de Murcia, en relación con los arts. 2 del Real Decreto-ley 20/2012, de 13 de julio, de medidas para garantizar la estabilidad presupuestaria y de fomento de la competitividad, y 2.1 de la Ley autonómica 9/2012, por posible vulneración del art. 9.3 CE.</w:t>
      </w:r>
    </w:p>
    <w:p w:rsidR="0033382B" w:rsidRDefault="0033382B" w:rsidP="0033382B">
      <w:pPr>
        <w:pStyle w:val="TextoNormal"/>
      </w:pPr>
    </w:p>
    <w:p w:rsidR="0033382B" w:rsidRDefault="0033382B" w:rsidP="0033382B">
      <w:pPr>
        <w:pStyle w:val="TextoNormal"/>
      </w:pPr>
      <w:r>
        <w:t>El órgano judicial considera que los preceptos impugnados, al suprimir la percepción de la paga extraordinaria del mes de diciembre del año 2012 para el personal laboral del sector público, incluida aquella parte que ya se había devengado al tiempo de entrada en vigor de la norma, podría considerarse contrario al art. 9.3 CE, que garantiza la irretroactividad de las disposiciones restrictivas de derechos individuales y el principio de seguridad jurídica.</w:t>
      </w:r>
    </w:p>
    <w:p w:rsidR="0033382B" w:rsidRDefault="0033382B" w:rsidP="0033382B">
      <w:pPr>
        <w:pStyle w:val="TextoNormal"/>
      </w:pPr>
    </w:p>
    <w:p w:rsidR="0033382B" w:rsidRDefault="0033382B" w:rsidP="0033382B">
      <w:pPr>
        <w:pStyle w:val="TextoNormal"/>
      </w:pPr>
      <w:r>
        <w:t xml:space="preserve">El Fiscal General del Estado, en el trámite previsto en el art. 37.1 de la Ley Orgánica del Tribunal Constitucional (LOTC), se ha opuesto a la admisión de la presente cuestión de inconstitucionalidad, en parte por no concurrir los requisitos procesales necesarios y, en todo caso, por la “satisfacción extraprocesal de la pretensión deducida en el proceso </w:t>
      </w:r>
      <w:r w:rsidRPr="0033382B">
        <w:rPr>
          <w:i/>
        </w:rPr>
        <w:t>a quo</w:t>
      </w:r>
      <w:r>
        <w:t xml:space="preserve"> y, por consiguiente, la carencia de objeto de esta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2</w:t>
      </w:r>
      <w:r>
        <w:t xml:space="preserve">. El art. 37.1 LOTC establece que este Tribunal puede rechazar, en trámite de admisión, mediante Auto y sin otra audiencia que la del Fiscal General del Estado, la cuestión de inconstitucionalidad cuando faltaren las condiciones procesales que se exigen para su viabilidad, entre ellas la conexión de relevancia entre la norma legal cuestionada y la pretensión deducida en el pleito </w:t>
      </w:r>
      <w:r w:rsidRPr="0033382B">
        <w:rPr>
          <w:i/>
        </w:rPr>
        <w:t>a quo</w:t>
      </w:r>
      <w:r>
        <w:t>, o cuando resultara notoriamente infundada en los términos que la doctrina constitucional atribuye a este concepto (por todos, ATC 43/2014, de 12 de febrero, FJ 3).</w:t>
      </w:r>
    </w:p>
    <w:p w:rsidR="0033382B" w:rsidRDefault="0033382B" w:rsidP="0033382B">
      <w:pPr>
        <w:pStyle w:val="TextoNormal"/>
      </w:pPr>
    </w:p>
    <w:p w:rsidR="0033382B" w:rsidRDefault="0033382B" w:rsidP="0033382B">
      <w:pPr>
        <w:pStyle w:val="TextoNormal"/>
      </w:pPr>
      <w:r w:rsidRPr="0033382B">
        <w:rPr>
          <w:rStyle w:val="NumeroAFNegritaCaracter"/>
        </w:rPr>
        <w:t>3</w:t>
      </w:r>
      <w:r>
        <w:t>. Procede, en primer lugar, como aduce el Fiscal, acotar los términos en que se plantea la presente cuestión de inconstitucionalidad.</w:t>
      </w:r>
    </w:p>
    <w:p w:rsidR="0033382B" w:rsidRDefault="0033382B" w:rsidP="0033382B">
      <w:pPr>
        <w:pStyle w:val="TextoNormal"/>
      </w:pPr>
    </w:p>
    <w:p w:rsidR="0033382B" w:rsidRDefault="0033382B" w:rsidP="0033382B">
      <w:pPr>
        <w:pStyle w:val="TextoNormal"/>
      </w:pPr>
      <w:r>
        <w:t>Respecto del art. 2 del Real Decreto-ley 20/2012, resulta claro, de un lado, que no se cuestiona todo el precepto sino sólo en su aplicación al personal laboral del sector público y, de otro, que tampoco se cuestiona la medida de supresión de la paga extraordinaria de diciembre de 2012 en sí misma considerada sino sólo en cuanto su aplicación haya podido suponer la infracción del principio de irretroactividad establecido en el 9.3 CE, al no contemplar excepción alguna respecto de las cuantías que se entienden ya devengadas de dicha paga extra a la fecha de entrada en vigor del Real Decreto-ley 20/2012 (que tuvo lugar el 15 de julio de 2012, conforme a su disposición final decimoquinta).</w:t>
      </w:r>
    </w:p>
    <w:p w:rsidR="0033382B" w:rsidRDefault="0033382B" w:rsidP="0033382B">
      <w:pPr>
        <w:pStyle w:val="TextoNormal"/>
      </w:pPr>
    </w:p>
    <w:p w:rsidR="0033382B" w:rsidRDefault="0033382B" w:rsidP="0033382B">
      <w:pPr>
        <w:pStyle w:val="TextoNormal"/>
      </w:pPr>
      <w:r>
        <w:t>En cuanto al art. 2.1 de la Ley autonómica 9/2012, aparte de no estar mencionado en el Auto (</w:t>
      </w:r>
      <w:r w:rsidRPr="0033382B">
        <w:rPr>
          <w:i/>
        </w:rPr>
        <w:t>sic</w:t>
      </w:r>
      <w:r>
        <w:t xml:space="preserve">) de 26 de enero de 2015, por el que se otorga al Fiscal y a las partes el trámite de audiencia </w:t>
      </w:r>
      <w:r w:rsidRPr="0033382B">
        <w:rPr>
          <w:i/>
        </w:rPr>
        <w:t>ex</w:t>
      </w:r>
      <w:r>
        <w:t xml:space="preserve"> art. 35.2 LOTC, es de aplicación únicamente al personal al servicio del sector público regional definido en el art. 22.1 de la Ley 6/2011, de 26 de diciembre, de presupuestos generales de la Comunidad Autónoma de la Región de Murcia para el ejercicio 2012, que no incluye al personal laboral del Ayuntamiento de Yecla, por tratarse éste de una entidad local.</w:t>
      </w:r>
    </w:p>
    <w:p w:rsidR="0033382B" w:rsidRDefault="0033382B" w:rsidP="0033382B">
      <w:pPr>
        <w:pStyle w:val="TextoNormal"/>
      </w:pPr>
    </w:p>
    <w:p w:rsidR="0033382B" w:rsidRDefault="0033382B" w:rsidP="0033382B">
      <w:pPr>
        <w:pStyle w:val="TextoNormal"/>
      </w:pPr>
      <w:r>
        <w:t>En suma, el objeto de la presente cuestión, por lo anteriormente razonado, comprende únicamente el art. 2 del Real Decreto-ley 20/2012 y solo en la parte del mismo indicada más arriba.</w:t>
      </w:r>
    </w:p>
    <w:p w:rsidR="0033382B" w:rsidRDefault="0033382B" w:rsidP="0033382B">
      <w:pPr>
        <w:pStyle w:val="TextoNormal"/>
      </w:pPr>
    </w:p>
    <w:p w:rsidR="0033382B" w:rsidRDefault="0033382B" w:rsidP="0033382B">
      <w:pPr>
        <w:pStyle w:val="TextoNormal"/>
      </w:pPr>
      <w:r w:rsidRPr="0033382B">
        <w:rPr>
          <w:rStyle w:val="NumeroAFNegritaCaracter"/>
        </w:rPr>
        <w:t>4</w:t>
      </w:r>
      <w:r>
        <w:t xml:space="preserve">. Así delimitado el ámbito de la presente cuestión, nos adentraremos en el examen de la concurrencia de los requisitos de procedibilidad </w:t>
      </w:r>
      <w:r w:rsidRPr="0033382B">
        <w:rPr>
          <w:i/>
        </w:rPr>
        <w:t>ex</w:t>
      </w:r>
      <w:r>
        <w:t xml:space="preserve"> art. 35.2 LOTC. Sobre los juicios de aplicabilidad y relevancia, la doctrina constitucional relevante, recapitulada en el ATC 10/2015, es la siguiente:</w:t>
      </w:r>
    </w:p>
    <w:p w:rsidR="0033382B" w:rsidRDefault="0033382B" w:rsidP="0033382B">
      <w:pPr>
        <w:pStyle w:val="TextoNormal"/>
      </w:pPr>
    </w:p>
    <w:p w:rsidR="0033382B" w:rsidRDefault="0033382B" w:rsidP="0033382B">
      <w:pPr>
        <w:pStyle w:val="TextoNormal"/>
      </w:pPr>
      <w:r>
        <w:t>“El art. 35.2 LOTC señala que el órgano judicial que promueve una cuestión de inconstitucionalidad ‘deberá … especificar o justificar en qué medida la decisión del proceso depende de la validez de la norma en cuestión’. El cumplimiento del requisito conocido como juicio de relevancia es una condición esencial de este proceso constitucional, en la medida en que por medio de él se garantiza que se establezca la relación necesaria entre el fallo del proceso judicial y la validez de la norma cuestionada (SSTC 254/2014 de 23 de diciembre, FJ 2; 47/2010, de 8 de septiembre, FJ 3; y 42/2013, de 14 de febrero, FJ 2 entre otras muchas). La cuestión de inconstitucionalidad no es un procedimiento dirigido a discutir en general y en abstracto normas con rango de ley en toda su extensión, función ésta que queda reservada por nuestra Constitución, principalmente, al recurso de inconstitucionalidad.</w:t>
      </w:r>
    </w:p>
    <w:p w:rsidR="0033382B" w:rsidRDefault="0033382B" w:rsidP="0033382B">
      <w:pPr>
        <w:pStyle w:val="TextoNormal"/>
      </w:pPr>
    </w:p>
    <w:p w:rsidR="0033382B" w:rsidRDefault="0033382B" w:rsidP="0033382B">
      <w:pPr>
        <w:pStyle w:val="TextoNormal"/>
      </w:pPr>
      <w:r>
        <w:t xml:space="preserve">La doctrina del Tribunal Constitucional reitera que ‘es a los Jueces y Tribunales ordinarios que plantean las cuestiones de inconstitucionalidad a quienes, en principio, corresponde comprobar y exteriorizar la existencia del llamado juicio de relevancia,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desprenda que no existe nexo causal entre la validez de los preceptos legales cuestionados y la decisión a adoptar en el proceso </w:t>
      </w:r>
      <w:r w:rsidRPr="0033382B">
        <w:rPr>
          <w:i/>
        </w:rPr>
        <w:t>a quo</w:t>
      </w:r>
      <w:r>
        <w:t>, ya que en tales casos sólo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STC 139/2005, de 26 de mayo, FJ 5). En el mismo sentido en el ATC 39/2012, de 28 de febrero, FJ 4, afirmamos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w:t>
      </w:r>
    </w:p>
    <w:p w:rsidR="0033382B" w:rsidRDefault="0033382B" w:rsidP="0033382B">
      <w:pPr>
        <w:pStyle w:val="TextoNormal"/>
      </w:pPr>
    </w:p>
    <w:p w:rsidR="0033382B" w:rsidRDefault="0033382B" w:rsidP="0033382B">
      <w:pPr>
        <w:pStyle w:val="TextoNormal"/>
      </w:pPr>
      <w:r>
        <w:t>Atendiendo a esta doctrina, el juicio de relevancia que expresa el Auto de planteamiento en su razonamiento jurídico primero resulta defectuoso. El objeto del recurso de suplicación no alcanzaba a la pretensión que ante el Juzgado de lo Social se había presentado como subsidiaria, que es la relativa a la parte proporcional de la paga extraordinaria que ya se había devengado a la entrada en vigor de la norma cuestionada. En efecto, el Juzgado de lo Social había estimado esta pretensión y la parte vencida —el Ayuntamiento de Yecla— no solo no la había recurrido sino que en el escrito de impugnación de la suplicación expresa su conformidad con ese pronunciamiento del Juzgado. Por lo tanto, ese aspecto del litigio es firme y, en lo que aquí interesa, no integra el objeto del recurso de suplicación, por lo que la Sala de lo Social del Tribunal Superior de Justicia de Murcia no se puede pronunciar sobre ello, de donde se sigue que el juicio de relevancia que formula, que se ciñe a este aspecto, es notoriamente inconsistente. Es más, en la medida que no considera que la parte vencida no ha recurrido este extremo, y por tanto nada razona sobre qué efecto tiene esto, podría decirse que no hay una verdadera argumentación expresa del juicio de relevancia.</w:t>
      </w:r>
    </w:p>
    <w:p w:rsidR="0033382B" w:rsidRDefault="0033382B" w:rsidP="0033382B">
      <w:pPr>
        <w:pStyle w:val="TextoNormal"/>
      </w:pPr>
    </w:p>
    <w:p w:rsidR="0033382B" w:rsidRDefault="0033382B" w:rsidP="0033382B">
      <w:pPr>
        <w:pStyle w:val="TextoNormal"/>
      </w:pPr>
      <w:r>
        <w:t xml:space="preserve">Apreciando, por las razones expuestas, que la norma legal cuestionada no es relevante para decidir la pretensión objeto del pleito </w:t>
      </w:r>
      <w:r w:rsidRPr="0033382B">
        <w:rPr>
          <w:i/>
        </w:rPr>
        <w:t>a quo</w:t>
      </w:r>
      <w:r>
        <w:t>, procede acordar la inadmisión de este proceso constitucional por faltar uno de los presupuestos procesales exigidos por el art. 35.2 LOTC.</w:t>
      </w:r>
    </w:p>
    <w:p w:rsidR="0033382B" w:rsidRDefault="0033382B" w:rsidP="0033382B">
      <w:pPr>
        <w:pStyle w:val="TextoNormal"/>
      </w:pPr>
    </w:p>
    <w:p w:rsidR="0033382B" w:rsidRDefault="0033382B" w:rsidP="0033382B">
      <w:pPr>
        <w:pStyle w:val="TextoNormal"/>
      </w:pPr>
      <w:r w:rsidRPr="0033382B">
        <w:rPr>
          <w:rStyle w:val="NumeroAFNegritaCaracter"/>
        </w:rPr>
        <w:t>5</w:t>
      </w:r>
      <w:r>
        <w:t xml:space="preserve">. A mayor abundamiento, aunque la norma cuestionada (art. 2 del Real Decreto-ley 20/2012 en tanto suprime la parte de la paga extra de diciembre de 2012 ya devengada a la fecha de entrada en vigor del Real Decreto-ley 20/2012) fuese relevante para resolver la pretensión constitutiva del objeto del proceso </w:t>
      </w:r>
      <w:r w:rsidRPr="0033382B">
        <w:rPr>
          <w:i/>
        </w:rPr>
        <w:t>a quo</w:t>
      </w:r>
      <w:r>
        <w:t>, habría que ponderar que, como consta en los antecedentes de esta resolución, en respuesta a la comunicación dirigida por este Tribunal de conformidad con lo dispuesto en el art. 88 LOTC al Ayuntamiento de Yecla, su Alcalde ha informado “que, en cumplimiento de la sentencia núm. 158/2014 del Juzgado de lo Social núm. 2 de Murcia, el Pleno del Ayuntamiento, en sesión celebrada el día 3 de diciembre de 2015, acordó ‘declarar el derecho del personal laboral del Excmo. Ayuntamiento de Yecla a percibir las cantidades correspondientes a la parte proporcional de la paga extraordinaria del mes de diciembre de 2012, por los servicios prestados en el periodo comprendido entre el 1 de junio y el 14 de julio de 2012, y en su consecuencia abonar las cantidades que correspondan’, cantidades que en tal concepto fueron abonadas a dicho personal laboral en el mismo mes de diciembre de 2014 (</w:t>
      </w:r>
      <w:r w:rsidRPr="0033382B">
        <w:rPr>
          <w:i/>
        </w:rPr>
        <w:t>sic</w:t>
      </w:r>
      <w:r>
        <w:t>)”.</w:t>
      </w:r>
    </w:p>
    <w:p w:rsidR="0033382B" w:rsidRDefault="0033382B" w:rsidP="0033382B">
      <w:pPr>
        <w:pStyle w:val="TextoNormal"/>
      </w:pPr>
    </w:p>
    <w:p w:rsidR="0033382B" w:rsidRDefault="0033382B" w:rsidP="0033382B">
      <w:pPr>
        <w:pStyle w:val="TextoNormal"/>
      </w:pPr>
      <w:r>
        <w:t>Es obligado recordar, como ya hizo el ATC 13/2016, de 19 de enero, FJ 2 b), que en la STC 83/2015, de 30 de abril, FJ 3, determinamos que “la recuperación por esos trabajadores de la parte proporcional correspondiente a los primeros 44 días de la paga extra de diciembre de 2012 …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0033382B" w:rsidRDefault="0033382B" w:rsidP="0033382B">
      <w:pPr>
        <w:pStyle w:val="TextoNormal"/>
      </w:pPr>
    </w:p>
    <w:p w:rsidR="0033382B" w:rsidRDefault="0033382B" w:rsidP="0033382B">
      <w:pPr>
        <w:pStyle w:val="TextoNormal"/>
      </w:pPr>
      <w:r>
        <w:t>En este caso, el abono a los empleados públicos del Ayuntamiento de Yecla, en concepto de parte proporcional de la paga extraordinaria de diciembre de 2012, de la cuantía devengada en el período de 1 de junio a 14 de julio de 1012 (44 días) comportaría, de entenderse que esta pretensión pende de resolución en el proceso a quo, su satisfacción extraprocesal y, por consiguiente, la carencia de objeto de una cuestión de inconstitucionalidad así configurada.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doce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199" w:name="AUTO_2016_72"/>
      <w:r>
        <w:t>AUTO 72/2016, de 12 de abril de 2016</w:t>
      </w:r>
    </w:p>
    <w:bookmarkEnd w:id="199"/>
    <w:p w:rsidR="0033382B" w:rsidRDefault="0033382B" w:rsidP="0033382B">
      <w:pPr>
        <w:pStyle w:val="TtuloResolucin"/>
      </w:pPr>
      <w:r>
        <w:t>Pleno</w:t>
      </w:r>
    </w:p>
    <w:p w:rsidR="0033382B" w:rsidRDefault="0033382B" w:rsidP="0033382B">
      <w:pPr>
        <w:pStyle w:val="TextoNormalCentrado"/>
      </w:pPr>
      <w:r>
        <w:t>ECLI:ES:TC:2016:72A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parcial en el recurso de inconstitucionalidad 5459-2015, interpuesto por el Presidente del Gobierno en relación con diversos preceptos de la Ley 20/2014, de 29 de diciembre, de modificación de la Ley 22/2010, de 20 de julio, del código de consumo de Cataluña. Voto particular.</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30 de septiembre de 2015 tuvo entrada en el Registro General de este Tribunal el recurso de inconstitucionalidad interpuesto por el Presidente del Gobierno, representado por el Abogado del Estado, contra los arts. 3 [por cuanto añade las letras v) y w) al art. 111.2 de la Ley 22/2010], 8 [por cuanto añade un nuevo apartado 3 al art. 132.4 de la Ley 22/2010], 13 [por cuanto añade un nuevo apartado 4 al art. 251.6 de la Ley 22/2010], 17 [por cuanto añade los apartados 7 y 8 al art. 252.4 de la Ley 22/2010 en lo referente al sector energético con la exclusión, por tanto, del suministro de agua], 18.2 [por cuanto modifica el apartado 6 del art. 252.5 de la Ley 22/2010, en lo que respecta exclusivamente a los servicios energéticos de trato continuado], 20 [por cuanto añade un nuevo apartado 2 al art. 262.6, un nuevo apartado 3 al art. 262.8, un nuevo 262.9 y un nuevo apartado 4 al art. 263.2 de la Ley 22/2010] y la disposición adicional primera de la Ley 20/2014, de 29 de diciembre, de modificación de la Ley 22/2010, de 20 de julio, del código de consumo de Cataluña, para la mejora de la protección de las personas consumidoras en materia de créditos y préstamos hipotecarios, vulnerabilidad económica y relaciones de consumo.</w:t>
      </w:r>
    </w:p>
    <w:p w:rsidR="0033382B" w:rsidRDefault="0033382B" w:rsidP="0033382B">
      <w:pPr>
        <w:pStyle w:val="TextoNormal"/>
      </w:pPr>
    </w:p>
    <w:p w:rsidR="0033382B" w:rsidRDefault="0033382B" w:rsidP="0033382B">
      <w:pPr>
        <w:pStyle w:val="TextoNormal"/>
      </w:pPr>
      <w:r>
        <w:t>El Abogado del Estado invocó los arts. 161.2 CE y 30 de la Ley Orgánica del Tribunal Constitucional (LOTC) a fin de que se acordase la suspensión de la aplicación de los preceptos recurridos.</w:t>
      </w:r>
    </w:p>
    <w:p w:rsidR="0033382B" w:rsidRDefault="0033382B" w:rsidP="0033382B">
      <w:pPr>
        <w:pStyle w:val="TextoNormal"/>
      </w:pPr>
    </w:p>
    <w:p w:rsidR="0033382B" w:rsidRDefault="0033382B" w:rsidP="0033382B">
      <w:pPr>
        <w:pStyle w:val="TextoNormal"/>
      </w:pPr>
      <w:r w:rsidRPr="0033382B">
        <w:rPr>
          <w:rStyle w:val="NumeroAFNegritaCaracter"/>
        </w:rPr>
        <w:t>2</w:t>
      </w:r>
      <w:r>
        <w:t>. Por providencia de 6 de octubre de 2015 el Pleno, a propuesta de la Sección Cuarta, acordó: admitir a trámite el recurso de inconstitucionalidad; dar traslado de la demanda y documentos presentados al Congreso de los Diputados, al Senado, al Gobierno de la Generalitat de Cataluña y al Parlamento de Cataluña, conforme a lo establecido por el art. 34 LOTC, al objeto de que en el plazo de quince días pudieran personarse en el proceso y formular las alegaciones que estimaren convenientes; tener por invocado por el Presidente del Gobierno el art. 161.2 CE, lo que, a su tenor y de conformidad con el art. 30 LOTC, produce la suspensión de la vigencia y aplicación de los preceptos recurridos; y publicar la incoación del recurso en el “Boletín Oficial del Estado” y el “Diari Oficial de la Generalitat de Catalunya”.</w:t>
      </w:r>
    </w:p>
    <w:p w:rsidR="0033382B" w:rsidRDefault="0033382B" w:rsidP="0033382B">
      <w:pPr>
        <w:pStyle w:val="TextoNormal"/>
      </w:pPr>
    </w:p>
    <w:p w:rsidR="0033382B" w:rsidRDefault="0033382B" w:rsidP="0033382B">
      <w:pPr>
        <w:pStyle w:val="TextoNormal"/>
      </w:pPr>
      <w:r w:rsidRPr="0033382B">
        <w:rPr>
          <w:rStyle w:val="NumeroAFNegritaCaracter"/>
        </w:rPr>
        <w:t>3</w:t>
      </w:r>
      <w:r>
        <w:t>. Por sendos escritos registrados en el Tribunal Constitucional los días 14 y 15 de octubre de 2015, los Presidentes del Senado y del Congreso de los Diputados comunicaron los acuerdos de las Mesas de sus respectivas Cámaras de personarse en este procedimiento y ofrecer su colaboración a los efectos del art. 88.1 LOTC.</w:t>
      </w:r>
    </w:p>
    <w:p w:rsidR="0033382B" w:rsidRDefault="0033382B" w:rsidP="0033382B">
      <w:pPr>
        <w:pStyle w:val="TextoNormal"/>
      </w:pPr>
    </w:p>
    <w:p w:rsidR="0033382B" w:rsidRDefault="0033382B" w:rsidP="0033382B">
      <w:pPr>
        <w:pStyle w:val="TextoNormal"/>
      </w:pPr>
      <w:r w:rsidRPr="0033382B">
        <w:rPr>
          <w:rStyle w:val="NumeroAFNegritaCaracter"/>
        </w:rPr>
        <w:t>4</w:t>
      </w:r>
      <w:r>
        <w:t>. Con fecha 3 de noviembre de 2015 tuvo entrada en el Registro General de este Tribunal escrito de la representación procesal del Gobierno de Cataluña, personándose en el proceso y formulando alegaciones. Mediante otrosí, solicita el levantamiento inmediato de la suspensión, en atención a las alegaciones que seguidamente se resumen.</w:t>
      </w:r>
    </w:p>
    <w:p w:rsidR="0033382B" w:rsidRDefault="0033382B" w:rsidP="0033382B">
      <w:pPr>
        <w:pStyle w:val="TextoNormal"/>
      </w:pPr>
    </w:p>
    <w:p w:rsidR="0033382B" w:rsidRDefault="0033382B" w:rsidP="0033382B">
      <w:pPr>
        <w:pStyle w:val="TextoNormal"/>
      </w:pPr>
      <w:r>
        <w:t>a) El primer bloque (parte impugnada de los arts. 3, 17 y disposición adicional primera de la Ley del Parlamento de Cataluña 20/2014) se refiere al mecanismo protector que resulta de la aplicación a los consumidores vulnerables económicamente, que consiste en impedir el corte del suministro de energía por falta de pago en los períodos críticos que se definirán reglamentariamente, y en permitir el aplazamiento del pago de la deuda acumulada de sus facturas, salvo acuerdo específico con la empresa comercializadora (art 252.4 de la Ley 22/2010). Para acceder a esta medida de protección, previamente deberán tener reconocida esta condición de persona en situación de vulnerabilidad económica. Esta medida va dirigida a personas que se hallan en una situación de integración precaria o de exclusión moderada, que probablemente, de mantener unas condiciones mínimas de confort en sus viviendas y poder pagar sus suministros de forma fraccionada durante todo el año, podrán continuar en dicha situación, y en el mejor de los casos, revertirla. Si no disponen de suministros en los meses de invierno, automáticamente quedan excluidos socialmente.</w:t>
      </w:r>
    </w:p>
    <w:p w:rsidR="0033382B" w:rsidRDefault="0033382B" w:rsidP="0033382B">
      <w:pPr>
        <w:pStyle w:val="TextoNormal"/>
      </w:pPr>
    </w:p>
    <w:p w:rsidR="0033382B" w:rsidRDefault="0033382B" w:rsidP="0033382B">
      <w:pPr>
        <w:pStyle w:val="TextoNormal"/>
      </w:pPr>
      <w:r>
        <w:t>El fondo de atención específico para subvenir los pagos de las facturas de los suministros de aquellos consumidores vulnerables que no podrán pagar ni tan siquiera con su fraccionamiento, se deberá desarrollar reglamentariamente, momento en que puede impugnarse en la correspondiente instancia. Si se mantiene la suspensión de la disposición adicional primera, las ayudas previstas a cargo del fondo no podrán ser otorgadas, con los correspondientes perjuicios para las personas vulnerables económicamente.</w:t>
      </w:r>
    </w:p>
    <w:p w:rsidR="0033382B" w:rsidRDefault="0033382B" w:rsidP="0033382B">
      <w:pPr>
        <w:pStyle w:val="TextoNormal"/>
      </w:pPr>
    </w:p>
    <w:p w:rsidR="0033382B" w:rsidRDefault="0033382B" w:rsidP="0033382B">
      <w:pPr>
        <w:pStyle w:val="TextoNormal"/>
      </w:pPr>
      <w:r>
        <w:t>Según datos del “VII Informe sobre exclusión y desarrollo social en España 2014” de la fundación Foessa (informe VII Foessa), la exclusión social se ha multiplicado entre los menores de 29 años y sobre todo en la infancia, con una tasa del 35 por 100 Esta circunstancia conlleva un problema de primer orden que condicionará el itinerario vital de estos menores en el futuro y que puede convertirse en un mecanismo perverso de reproducción ampliada de la exclusión social. La exclusión social en la infancia se traduce en privaciones en alimentación y calefacción y, probablemente, en el medio y largo plazo, en problemas de salud, deterioro del rendimiento educativo y, por ello, en dificultades para la integración social.</w:t>
      </w:r>
    </w:p>
    <w:p w:rsidR="0033382B" w:rsidRDefault="0033382B" w:rsidP="0033382B">
      <w:pPr>
        <w:pStyle w:val="TextoNormal"/>
      </w:pPr>
    </w:p>
    <w:p w:rsidR="0033382B" w:rsidRDefault="0033382B" w:rsidP="0033382B">
      <w:pPr>
        <w:pStyle w:val="TextoNormal"/>
      </w:pPr>
      <w:r>
        <w:t>Contrariamente, y según se reseña en el apartado 3.4.2 del VII informe Foessa, contar con ayudas puede resultar clave para prevenir y evitar escenarios de mayor dificultad. El procedimiento que impide cortar el suministro y aplaza y fracciona el pago de las facturas de energía puede prevenir impagos y privaciones básicas, coadyuvando a superar situaciones que, abordadas de golpe, son especialmente gravosas y complicadas. En el apartado 3.5.2.4 del VII informe Foessa se pone de relieve que la vulnerabilidad de los hogares se ha incrementado también a la hora de asegurar los suministros básicos de la vivienda. Las personas que han tenido avisos de corte de luz, agua o teléfono han pasado del 9,1 por 100 en 2007 al 13 por 100 en 2013. Ha de valorarse también el incremento de aquellos hogares que tratan de evitar tal situación límite a través de la reducción de los gastos fijos de la casa (que han pasado del 36,6 por 100 de los hogares en el 2007 al 51,5 por 100 en 2013), estrategia que el mismo informe asocia con situaciones cercanas a la exclusión social, vinculando el incremento del riesgo de perder los suministros básicos del hogar con el espacio de la exclusión severa. Al propio tiempo, pone de relieve que el ámbito de la integración experimenta un incremento en los últimos años, ligero pero muy significativo. La mejora de las situaciones de exclusión moderada hay que relacionarlas con la reducción de gastos en este aspecto. En concreto, especifica que los hogares que han adoptado esta estrategia de reducción de gasto han pasado del 42,3 por 100 al 53,5 por 100 en el ámbito de la integración precaria y del 57,4 por 100 al 58 por 100 en la exclusión moderada. Ello también demuestra que no es un problema de pobreza en general, sino que para las personas que están en una situación de frontera en la integración social, su situación de pobreza general se agrava por la falta de suministros de energía en sus viviendas.</w:t>
      </w:r>
    </w:p>
    <w:p w:rsidR="0033382B" w:rsidRDefault="0033382B" w:rsidP="0033382B">
      <w:pPr>
        <w:pStyle w:val="TextoNormal"/>
      </w:pPr>
    </w:p>
    <w:p w:rsidR="0033382B" w:rsidRDefault="0033382B" w:rsidP="0033382B">
      <w:pPr>
        <w:pStyle w:val="TextoNormal"/>
      </w:pPr>
      <w:r>
        <w:t>Los anteriores datos corroboran que las ayudas del fondo al pago de las facturas de suministro, así como el procedimiento diseñado por el art. 252.4.7 de la Ley 22/2010, contribuirán a resolver estas situaciones.</w:t>
      </w:r>
    </w:p>
    <w:p w:rsidR="0033382B" w:rsidRDefault="0033382B" w:rsidP="0033382B">
      <w:pPr>
        <w:pStyle w:val="TextoNormal"/>
      </w:pPr>
    </w:p>
    <w:p w:rsidR="0033382B" w:rsidRDefault="0033382B" w:rsidP="0033382B">
      <w:pPr>
        <w:pStyle w:val="TextoNormal"/>
      </w:pPr>
      <w:r>
        <w:t>Frente a ello, no cabe oponer el mantenimiento del régimen económico uniforme de los sistemas eléctrico y gasístico, puesto que el aplazamiento de algunos pagos de suministro dentro del año en curso no tiene incidencia en dicho régimen, ya que la compañía comercializadora percibirá de forma aplazada iguales ingresos. Del mismo modo que es aceptado que las comercializadoras, fruto de las lecturas estimadas, cobren por encima de lo consumido y después regularicen, sin que ello altere el régimen económico del sistema eléctrico, en sentido inverso se debe considerar que tampoco lo altera el pago aplazado de los suministros por los consumidores vulnerables dentro del año en curso.</w:t>
      </w:r>
    </w:p>
    <w:p w:rsidR="0033382B" w:rsidRDefault="0033382B" w:rsidP="0033382B">
      <w:pPr>
        <w:pStyle w:val="TextoNormal"/>
      </w:pPr>
    </w:p>
    <w:p w:rsidR="0033382B" w:rsidRDefault="0033382B" w:rsidP="0033382B">
      <w:pPr>
        <w:pStyle w:val="TextoNormal"/>
      </w:pPr>
      <w:r>
        <w:t>El interés general tampoco se ve afectado por el levantamiento de la suspensión, puesto que el régimen de aplazamiento de pagos redundará en la disminución del gasto público destinado a satisfacer directamente las facturas de los suministros.</w:t>
      </w:r>
    </w:p>
    <w:p w:rsidR="0033382B" w:rsidRDefault="0033382B" w:rsidP="0033382B">
      <w:pPr>
        <w:pStyle w:val="TextoNormal"/>
      </w:pPr>
    </w:p>
    <w:p w:rsidR="0033382B" w:rsidRDefault="0033382B" w:rsidP="0033382B">
      <w:pPr>
        <w:pStyle w:val="TextoNormal"/>
      </w:pPr>
      <w:r>
        <w:t>En cuanto al art. 18.2 de la Ley 20/2014, no puede provocar perjuicio alguno, pues su contenido no ha variado por mor de la reforma introducida por esta norma.</w:t>
      </w:r>
    </w:p>
    <w:p w:rsidR="0033382B" w:rsidRDefault="0033382B" w:rsidP="0033382B">
      <w:pPr>
        <w:pStyle w:val="TextoNormal"/>
      </w:pPr>
    </w:p>
    <w:p w:rsidR="0033382B" w:rsidRDefault="0033382B" w:rsidP="0033382B">
      <w:pPr>
        <w:pStyle w:val="TextoNormal"/>
      </w:pPr>
      <w:r>
        <w:t>b) En relación con el segundo bloque de preceptos (parte impugnada de los arts. 8, 13 y 20 de la Ley de Cataluña 20/2014), referidos al ámbito material de los préstamos hipotecarios, es notorio que en el periodo de vigencia que ha mediado desde el 1 de abril de 2015 hasta el 30 de septiembre de 2015, en que quedaron afectados por la invocación del art. 161.2 CE, no se han provocado perjuicios de ningún tipo. Por el contrario, han supuesto una mayor claridad y seguridad en la protección de los consumidores, lo que solo puede redundar en beneficio del interés general y del interés particular de aquéllos.</w:t>
      </w:r>
    </w:p>
    <w:p w:rsidR="0033382B" w:rsidRDefault="0033382B" w:rsidP="0033382B">
      <w:pPr>
        <w:pStyle w:val="TextoNormal"/>
      </w:pPr>
    </w:p>
    <w:p w:rsidR="0033382B" w:rsidRDefault="0033382B" w:rsidP="0033382B">
      <w:pPr>
        <w:pStyle w:val="TextoNormal"/>
      </w:pPr>
      <w:r>
        <w:t>La actuación de la Generalitat en este caso, de acuerdo con lo previsto en el art. 113 del Estatuto de Autonomía de Cataluña (EAC), sigue y aplica los criterios de la Directiva 2014/17/UE, del Parlamento Europeo y del Consejo, de 4 de febrero, sobre los contratos de crédito celebrados con los consumidores para bienes inmuebles de uso residencial, pendiente de transposición por el Estado, que tiene de plazo hasta el 21 de marzo de 2016. Al normal ejercicio y aplicación de la función transpositora por la instancia autonómica competente no puede oponerse la inactividad estatal al respecto, sin perjuicio de que, si en su momento se produjera el improbable resultado de que la regulación básica resultante de la transposición fuera incompatible con la autonómica, ésta quedaría desplazada en su aplicación. Mientras tanto, no ha lugar a presumir que el contenido de la regulación autonómica vulnere una regulación estatal pendiente de dictarse, de manera que deba impedirse su normal aplicación en tanto ésta se establezca. La impugnación es en este punto de carácter preventivo, planteamiento reiteradamente descartado por el Tribunal Constitucional.</w:t>
      </w:r>
    </w:p>
    <w:p w:rsidR="0033382B" w:rsidRDefault="0033382B" w:rsidP="0033382B">
      <w:pPr>
        <w:pStyle w:val="TextoNormal"/>
      </w:pPr>
    </w:p>
    <w:p w:rsidR="0033382B" w:rsidRDefault="0033382B" w:rsidP="0033382B">
      <w:pPr>
        <w:pStyle w:val="TextoNormal"/>
      </w:pPr>
      <w:r w:rsidRPr="0033382B">
        <w:rPr>
          <w:rStyle w:val="NumeroAFNegritaCaracter"/>
        </w:rPr>
        <w:t>5</w:t>
      </w:r>
      <w:r>
        <w:t>. La Letrada del Parlamento de Cataluña se personó en el proceso mediante escrito registrado el 20 de octubre de 2015, solicitando prórroga del plazo concedido para formular alegaciones, que le fue concedida mediante providencia del Pleno de 21 de octubre de 2015, por plazo de ocho días a contar desde la expiración del plazo ordinario. En el escrito de alegaciones, que tuvo entrada en el Registro General de este Tribunal el día 13 de noviembre de 2015, solicita mediante otrosí el levantamiento inmediato de la suspensión, por las razones que se sintetizan a continuación.</w:t>
      </w:r>
    </w:p>
    <w:p w:rsidR="0033382B" w:rsidRDefault="0033382B" w:rsidP="0033382B">
      <w:pPr>
        <w:pStyle w:val="TextoNormal"/>
      </w:pPr>
    </w:p>
    <w:p w:rsidR="0033382B" w:rsidRDefault="0033382B" w:rsidP="0033382B">
      <w:pPr>
        <w:pStyle w:val="TextoNormal"/>
      </w:pPr>
      <w:r>
        <w:t>a) El primer grupo de preceptos impugnados en materia de vulnerabilidad económica, pobreza energética y suministros básicos (parte impugnada de los arts. 3, 17, 18.2 y disposición adicional primera de la Ley de Cataluña 20/2014) regula los mecanismos necesarios para que las personas en situación de vulnerabilidad económica no vean interrumpido el suministro energético si solicitan un aplazamiento de pago. No suponen en ningún caso una obstrucción al ejercicio de las competencias estatales en materia de energía, y más concretamente, de las relativas a la regulación del sector eléctrico en el marco de la planificación económica. Tampoco afectan a la sostenibilidad económica y financiera del sistema eléctrico, toda vez que las empresas energéticas seguirán incrementando sus beneficios, ya que además de trasladar sus riesgos económicos al consumidor final, van incrementando de forma lineal los importes de los consumos a soportar y pagar por los consumidores.</w:t>
      </w:r>
    </w:p>
    <w:p w:rsidR="0033382B" w:rsidRDefault="0033382B" w:rsidP="0033382B">
      <w:pPr>
        <w:pStyle w:val="TextoNormal"/>
      </w:pPr>
    </w:p>
    <w:p w:rsidR="0033382B" w:rsidRDefault="0033382B" w:rsidP="0033382B">
      <w:pPr>
        <w:pStyle w:val="TextoNormal"/>
      </w:pPr>
      <w:r>
        <w:t>Por el contrario, el mantenimiento de la suspensión comportaría un grave efecto sobre las personas víctimas de la pobreza energética, cuyas condiciones de vida son precarias. Los documentos aportados justifican los intereses concernidos y los efectos de difícil o imposible reparación que produciría el mantenimiento de la suspensión.</w:t>
      </w:r>
    </w:p>
    <w:p w:rsidR="0033382B" w:rsidRDefault="0033382B" w:rsidP="0033382B">
      <w:pPr>
        <w:pStyle w:val="TextoNormal"/>
      </w:pPr>
    </w:p>
    <w:p w:rsidR="0033382B" w:rsidRDefault="0033382B" w:rsidP="0033382B">
      <w:pPr>
        <w:pStyle w:val="TextoNormal"/>
      </w:pPr>
      <w:r>
        <w:t>(i) El “informe sobre la pobreza energética en Cataluña” del año 2013, y el “informe sobre el derecho a los suministros básicos (electricidad, agua y gas)” del año 2014, emitidos por el Síndic de Greuges, (documentos núms. 1 y 2), han constatado el aumento en los últimos años de los precios de la electricidad, el gas, el petróleo y otros combustibles, situación agravada en el contexto de una crisis socioeconómica que afecta a un número creciente de personas. De ahí que la pobreza energética haya empeorado las condiciones de vida de muchas personas que ya vivían en el umbral de la pobreza. En Cataluña hay unos 193.000 hogares, un 6,9 por 100 del total, que no pueden asumir el gasto de mantener la vivienda a una temperatura adecuada, y la cifra podría elevarse hasta el 9,8 por 100.</w:t>
      </w:r>
    </w:p>
    <w:p w:rsidR="0033382B" w:rsidRDefault="0033382B" w:rsidP="0033382B">
      <w:pPr>
        <w:pStyle w:val="TextoNormal"/>
      </w:pPr>
    </w:p>
    <w:p w:rsidR="0033382B" w:rsidRDefault="0033382B" w:rsidP="0033382B">
      <w:pPr>
        <w:pStyle w:val="TextoNormal"/>
      </w:pPr>
      <w:r>
        <w:t>(ii) La Defensora del Pueblo, en su informe anual a las Cortes Generales correspondiente a 2013 (documento núm. 3), ha actuado de oficio ante el Gobierno y el regulador para trasladar su preocupación y solicitar información acerca de la pobreza energética y del alto número de cortes de suministro energético en los hogares. En el informe, denuncia además que “la subida de la factura de la luz y la caída del poder adquisitivo están aumentando de forma alarmante el impago de las facturas y las suspensiones del suministro eléctrico”, y afirma que casi el 18 por 100 de los hogares españoles no podrán mantener su vivienda suficientemente cálida en invierno, número que ha crecido un 4,3  por 100 desde 2007.</w:t>
      </w:r>
    </w:p>
    <w:p w:rsidR="0033382B" w:rsidRDefault="0033382B" w:rsidP="0033382B">
      <w:pPr>
        <w:pStyle w:val="TextoNormal"/>
      </w:pPr>
    </w:p>
    <w:p w:rsidR="0033382B" w:rsidRDefault="0033382B" w:rsidP="0033382B">
      <w:pPr>
        <w:pStyle w:val="TextoNormal"/>
      </w:pPr>
      <w:r>
        <w:t>(iii) En el ámbito europeo, destaca la resolución de 11 de junio de 2013, sobre la vivienda social en la Unión Europea [2012/2293 (INI)] (documento núm. 4), que muestra su preocupación por el avance de la pobreza y pide a la Comisión y a los Estados miembros la adopción de medidas de protección de las comunidades vulnerables, entre ellas la protección contra los cortes de suministro. También el Comité económico y social ha manifestado su preocupación por que los mercados energéticos se centren en los consumidores, en especial los considerados vulnerables, a pesar de que no todos los Estados (con referencia explícita a España) dispongan de una definición relativa a la pobreza energética. Se adjuntan como documentos núms. 5 y 6 sus dictámenes “Por una acción europea coordinada para prevenir y combatir la pobreza energética” (2013/C 341/05) y “La pobreza energética en el contexto de la liberalización y de la crisis económica” (2011/C 44/09).</w:t>
      </w:r>
    </w:p>
    <w:p w:rsidR="0033382B" w:rsidRDefault="0033382B" w:rsidP="0033382B">
      <w:pPr>
        <w:pStyle w:val="TextoNormal"/>
      </w:pPr>
    </w:p>
    <w:p w:rsidR="0033382B" w:rsidRDefault="0033382B" w:rsidP="0033382B">
      <w:pPr>
        <w:pStyle w:val="TextoNormal"/>
      </w:pPr>
      <w:r>
        <w:t>(iv) El Comisario para los Derechos Humanos del Consejo de Europa, en su documento temático “la protección de los derechos humanos en tiempos de crisis económica” (Comm/DH/IssuePaper (2013)2, documento núm. 7), manifiesta la necesidad de asegurar unos niveles mínimos de protección social para todos, destacando que la protección social es esencial para crear resiliencia económica, y reclamando la adopción de medidas positivas para poner fin a la discriminación de facto en el acceso a la protección social así como para prevenir los efectos a largo plazo de la crisis económica, sobre todo respecto a los grupos más vulnerables.</w:t>
      </w:r>
    </w:p>
    <w:p w:rsidR="0033382B" w:rsidRDefault="0033382B" w:rsidP="0033382B">
      <w:pPr>
        <w:pStyle w:val="TextoNormal"/>
      </w:pPr>
    </w:p>
    <w:p w:rsidR="0033382B" w:rsidRDefault="0033382B" w:rsidP="0033382B">
      <w:pPr>
        <w:pStyle w:val="TextoNormal"/>
      </w:pPr>
      <w:r>
        <w:t>(v) Según la ONU, la pobreza energética es la causa de 10.000 muertes en el Estado español, siendo el cuarto país de la Unión Europea en pobreza energética. (Se adjunta como documento núm. 8, el Documento de trabajo del IPCC —</w:t>
      </w:r>
      <w:r w:rsidRPr="0033382B">
        <w:rPr>
          <w:i/>
        </w:rPr>
        <w:t>Intergovernamental Panel on Climate Change—. Working group</w:t>
      </w:r>
      <w:r>
        <w:t xml:space="preserve"> III— </w:t>
      </w:r>
      <w:r w:rsidRPr="0033382B">
        <w:rPr>
          <w:i/>
        </w:rPr>
        <w:t>Mitigation of Climate•Change. —Chapter 9 Buildings</w:t>
      </w:r>
      <w:r>
        <w:t>).</w:t>
      </w:r>
    </w:p>
    <w:p w:rsidR="0033382B" w:rsidRDefault="0033382B" w:rsidP="0033382B">
      <w:pPr>
        <w:pStyle w:val="TextoNormal"/>
      </w:pPr>
    </w:p>
    <w:p w:rsidR="0033382B" w:rsidRDefault="0033382B" w:rsidP="0033382B">
      <w:pPr>
        <w:pStyle w:val="TextoNormal"/>
      </w:pPr>
      <w:r>
        <w:t>(vi) Las distintas entidades que analizan el impacto de la crisis sobre 105 colectivos en riesgo de exclusión social destacan cifras alarmantes sobre la intensificación de los procesos de exclusión social durante los últimos años, sobre todo, en relación con la pobreza energética. (Se adjunta como documento núm. 9 el VII informe sobre exclusión y desarrollo social en España. Fundación Foessa-Cáritas Española (Fomento de Estudios Sociales y Sociología Aplicada; Madrid 2014, capítulos 3 y 5). El “Estudio sobre la pobreza energética en España”, elaborado por la Asociación de ciencias ambientales (adjunto como documento núm. 10), evidencia una tasa media del pobreza energética superior al 10 por 100 de las viviendas españolas, lo que representa más de 4 millones de personas.</w:t>
      </w:r>
    </w:p>
    <w:p w:rsidR="0033382B" w:rsidRDefault="0033382B" w:rsidP="0033382B">
      <w:pPr>
        <w:pStyle w:val="TextoNormal"/>
      </w:pPr>
    </w:p>
    <w:p w:rsidR="0033382B" w:rsidRDefault="0033382B" w:rsidP="0033382B">
      <w:pPr>
        <w:pStyle w:val="TextoNormal"/>
      </w:pPr>
      <w:r>
        <w:t>Es significativo el hecho de que el recurso de inconstitucionalidad interpuesto por el Presidente del Gobierno contra el Decreto-ley de Cataluña 6/2013, de 23 de diciembre, antecedente de esta Ley, no impugnara la existencia del presupuesto habilitante, relativo a su extraordinaria y urgente necesidad, lo que comportaría su conformidad con la existencia de una conexión de sentido entre la grave situación de la pobreza energética existente, que constituye la situación de urgencia apreciada, y el uso de las medidas efectivamente instrumentadas primero en aquella norma de urgencia y ahora en la Ley de Cataluña 20/2014. La normativa trata de hacer frente a situaciones inaplazables en términos absolutos, siendo harto difícil negarle esta categoría a la problemática de la pobreza energética desde su vertiente humana y asistencial, máxime cuando desde todas las instancias europeas e internacionales se ha afirmado que la aparición de nuevas formas de pobreza que afectan a la clase media y trabajadora provocan serias dificultades para pagar las hipotecas, a lo que se debe añadir la circunstancia de que los elevados precios de la energía están generando pobreza energética y aumentando el número de desahucios y ejecuciones hipotecarias.</w:t>
      </w:r>
    </w:p>
    <w:p w:rsidR="0033382B" w:rsidRDefault="0033382B" w:rsidP="0033382B">
      <w:pPr>
        <w:pStyle w:val="TextoNormal"/>
      </w:pPr>
    </w:p>
    <w:p w:rsidR="0033382B" w:rsidRDefault="0033382B" w:rsidP="0033382B">
      <w:pPr>
        <w:pStyle w:val="TextoNormal"/>
      </w:pPr>
      <w:r>
        <w:t>b) En el segundo grupo de preceptos impugnados relativos a las medidas para incrementar las garantías en la contratación de créditos o préstamos hipotecarios (parte impugnada de los arts. 8, 13 y 20 de la Ley de Cataluña 20/2014), los intereses concernidos en presencia son, por un lado, la competencia del Estado en materia de ordenación del crédito y la banca, del que penden el sector financiero y crediticio y, por otro, la necesidad de proteger al cliente que debe suscribir un contrato de crédito o un préstamo hipotecario en las condiciones necesarias para evitar un procedimiento de desahucio, sin haberse podido defender de la imposición de cláusulas abusivas o de la falta de información.</w:t>
      </w:r>
    </w:p>
    <w:p w:rsidR="0033382B" w:rsidRDefault="0033382B" w:rsidP="0033382B">
      <w:pPr>
        <w:pStyle w:val="TextoNormal"/>
      </w:pPr>
    </w:p>
    <w:p w:rsidR="0033382B" w:rsidRDefault="0033382B" w:rsidP="0033382B">
      <w:pPr>
        <w:pStyle w:val="TextoNormal"/>
      </w:pPr>
      <w:r>
        <w:t>Tras una sentencia del Tribunal de Justicia de la Unión Europea del año 2013, se modificó la legislación estatal sobre ejecuciones hipotecarias. La Comisión Europea ha emitido distintos informes sobre las cláusulas abusivas, ha llevado a cabo una evaluación más amplia de la legislación española, y se encuentra actualmente negociando (en lo que se conoce como “diálogo estructurado”) con las autoridades españolas. La Comisión Europea ha aplaudido los cambios ya introducidos en España, que mejoran la protección de los consumidores, pero aún queda por determinar si la normativa española de procedimientos civiles, incluidas sus normas sobre los procedimientos de ejecución hipotecaria, son plenamente conformes con la Directiva europea.</w:t>
      </w:r>
    </w:p>
    <w:p w:rsidR="0033382B" w:rsidRDefault="0033382B" w:rsidP="0033382B">
      <w:pPr>
        <w:pStyle w:val="TextoNormal"/>
      </w:pPr>
    </w:p>
    <w:p w:rsidR="0033382B" w:rsidRDefault="0033382B" w:rsidP="0033382B">
      <w:pPr>
        <w:pStyle w:val="TextoNormal"/>
      </w:pPr>
      <w:r>
        <w:t>El gran número de peticiones recibidas ha puesto de manifiesto los miles de casos personales en los que los ciudadanos han sufrido la pérdida parcial o total de los ahorros de toda una vida, y pone de relieve los obstáculos que deben afrontar los consumidores para obtener información precisa y fundamental sobre los instrumentos financieros, como señala la resolución del Parlamento Europeo, de 8 de octubre de 2015, sobre la legislación hipotecaria y los instrumentos financieros de riesgo en España a la luz de las peticiones recibidas [2015/2740 (RSP)], que se adjunta como documento núm. 11.</w:t>
      </w:r>
    </w:p>
    <w:p w:rsidR="0033382B" w:rsidRDefault="0033382B" w:rsidP="0033382B">
      <w:pPr>
        <w:pStyle w:val="TextoNormal"/>
      </w:pPr>
    </w:p>
    <w:p w:rsidR="0033382B" w:rsidRDefault="0033382B" w:rsidP="0033382B">
      <w:pPr>
        <w:pStyle w:val="TextoNormal"/>
      </w:pPr>
      <w:r w:rsidRPr="0033382B">
        <w:rPr>
          <w:rStyle w:val="NumeroAFNegritaCaracter"/>
        </w:rPr>
        <w:t>6</w:t>
      </w:r>
      <w:r>
        <w:t>. Mediante providencia de 18 de noviembre de 2015, el Pleno acordó oír al Abogado del Estado para que, en el plazo de cinco días, expusiera lo que estimara procedente acerca del levantamiento de la suspensión solicitada por los representantes del Gobierno y el Parlamento de Cataluña.</w:t>
      </w:r>
    </w:p>
    <w:p w:rsidR="0033382B" w:rsidRDefault="0033382B" w:rsidP="0033382B">
      <w:pPr>
        <w:pStyle w:val="TextoNormal"/>
      </w:pPr>
    </w:p>
    <w:p w:rsidR="0033382B" w:rsidRDefault="0033382B" w:rsidP="0033382B">
      <w:pPr>
        <w:pStyle w:val="TextoNormal"/>
      </w:pPr>
      <w:r w:rsidRPr="0033382B">
        <w:rPr>
          <w:rStyle w:val="NumeroAFNegritaCaracter"/>
        </w:rPr>
        <w:t>7</w:t>
      </w:r>
      <w:r>
        <w:t>. El Abogado del Estado, mediante escrito registrado en este Tribunal el 25 de noviembre de 2015, interesó el mantenimiento de la suspensión de los preceptos impugnados con fundamento en las alegaciones que seguidamente se resumen.</w:t>
      </w:r>
    </w:p>
    <w:p w:rsidR="0033382B" w:rsidRDefault="0033382B" w:rsidP="0033382B">
      <w:pPr>
        <w:pStyle w:val="TextoNormal"/>
      </w:pPr>
    </w:p>
    <w:p w:rsidR="0033382B" w:rsidRDefault="0033382B" w:rsidP="0033382B">
      <w:pPr>
        <w:pStyle w:val="TextoNormal"/>
      </w:pPr>
      <w:r>
        <w:t>a) Con apoyo en el informe de la Dirección General de Política Energética y Minas del Ministerio de Industria, Energía y Turismo, que se aporta como documento núm. 1, se abordan separadamente los sectores eléctrico y gasístico en la exposición de las razones que avalan el mantenimiento de la suspensión del primer bloque del recurso, relativo a las medidas de protección de las personas que se encuentran en situación de pobreza energética (parte impugnada de los arts. 3, 17, 18.2, y disposición adicional primera de la Ley de Cataluña 20/2014).</w:t>
      </w:r>
    </w:p>
    <w:p w:rsidR="0033382B" w:rsidRDefault="0033382B" w:rsidP="0033382B">
      <w:pPr>
        <w:pStyle w:val="TextoNormal"/>
      </w:pPr>
    </w:p>
    <w:p w:rsidR="0033382B" w:rsidRDefault="0033382B" w:rsidP="0033382B">
      <w:pPr>
        <w:pStyle w:val="TextoNormal"/>
      </w:pPr>
      <w:r>
        <w:t>(i) En el sector eléctrico, las medidas contenidas en los preceptos impugnados tienen un coste económico directo para el conjunto del sistema, dado que suponen una alteración del esquema de ingresos destinados a cubrir los costes de las actividades de la cadena de suministro y, por tanto, impactan en diferentes sujetos de manera claramente negativa. No es tanto su repercusión económica en términos absolutos la que produce un daño al interés general y a las personas, consumidores y empresas, como su efecto disfuncional en el sistema.</w:t>
      </w:r>
    </w:p>
    <w:p w:rsidR="0033382B" w:rsidRDefault="0033382B" w:rsidP="0033382B">
      <w:pPr>
        <w:pStyle w:val="TextoNormal"/>
      </w:pPr>
    </w:p>
    <w:p w:rsidR="0033382B" w:rsidRDefault="0033382B" w:rsidP="0033382B">
      <w:pPr>
        <w:pStyle w:val="TextoNormal"/>
      </w:pPr>
      <w:r>
        <w:t>Las empresas comercializadoras, al facturar el suministro, recaudan ingresos que deben destinarse a las diferentes partidas de costes. No es correcta la afirmación de que no se altera el esquema económico porque las comercializadoras deben afrontar el pago de los precios y cargos (actualmente peajes de acceso y pagos por capacidad) independientemente de su cobro al consumidor final, según el art. 46.1 d) de la Ley 24/2013, de 26 de diciembre, del sector eléctrico (LSE). Este precepto no puede utilizarse para regular plazos de pago de los suministros diferentes a los que se derivan de la aplicación de la normativa sectorial básica.</w:t>
      </w:r>
    </w:p>
    <w:p w:rsidR="0033382B" w:rsidRDefault="0033382B" w:rsidP="0033382B">
      <w:pPr>
        <w:pStyle w:val="TextoNormal"/>
      </w:pPr>
    </w:p>
    <w:p w:rsidR="0033382B" w:rsidRDefault="0033382B" w:rsidP="0033382B">
      <w:pPr>
        <w:pStyle w:val="TextoNormal"/>
      </w:pPr>
      <w:r>
        <w:t>La medida de Cataluña podría dar lugar a dos situaciones: o bien las empresas que suministren en Cataluña se ven discriminadas por el aplazamiento del pago más allá de lo común en el resto de España, teniendo que afrontar el coste que eso supone, o bien dichas empresas podrían justificar el retraso en el pago de peajes y cargos debido a la medida regulada por Cataluña, con el consiguiente impacto en el sistema. Además, el resto de los importes facturados por las comercializadoras deben también destinarse a cubrir las partidas de costes para las que están previstos, principalmente a los productores de electricidad en el mercado libre.</w:t>
      </w:r>
    </w:p>
    <w:p w:rsidR="0033382B" w:rsidRDefault="0033382B" w:rsidP="0033382B">
      <w:pPr>
        <w:pStyle w:val="TextoNormal"/>
      </w:pPr>
    </w:p>
    <w:p w:rsidR="0033382B" w:rsidRDefault="0033382B" w:rsidP="0033382B">
      <w:pPr>
        <w:pStyle w:val="TextoNormal"/>
      </w:pPr>
      <w:r>
        <w:t>El citado informe expone los flujos económicos que relacionan ingresos con costes, tanto regulados como no regulados. El sistema descrito es general y único a nivel nacional, de forma que la facturación del suministro, la recaudación de los diferentes importes y la asignación de cada uno de ellos a las diferentes partidas a las que deben destinarse garantiza la sostenibilidad del sistema.</w:t>
      </w:r>
    </w:p>
    <w:p w:rsidR="0033382B" w:rsidRDefault="0033382B" w:rsidP="0033382B">
      <w:pPr>
        <w:pStyle w:val="TextoNormal"/>
      </w:pPr>
    </w:p>
    <w:p w:rsidR="0033382B" w:rsidRDefault="0033382B" w:rsidP="0033382B">
      <w:pPr>
        <w:pStyle w:val="TextoNormal"/>
      </w:pPr>
      <w:r>
        <w:t>Las desviaciones por periodificación entre ingresos y costes son cubiertas por un mecanismo que implica que aquellos sujetos que realizan actividades y deben percibir sus retribuciones soportan las desviaciones transitorias que se puedan dar. En el sistema de liquidaciones gestionado por el operador del mercado y el operador del sistema, las empresas deben cubrir con garantías sus operaciones, con el coste que ello conlleva. Si una empresa comercializadora debe afrontar sus compras soportando las cargas financieras y económicas, el hecho de que se afecte a su flujo de ingresos también supone un mayor coste para ella.</w:t>
      </w:r>
    </w:p>
    <w:p w:rsidR="0033382B" w:rsidRDefault="0033382B" w:rsidP="0033382B">
      <w:pPr>
        <w:pStyle w:val="TextoNormal"/>
      </w:pPr>
    </w:p>
    <w:p w:rsidR="0033382B" w:rsidRDefault="0033382B" w:rsidP="0033382B">
      <w:pPr>
        <w:pStyle w:val="TextoNormal"/>
      </w:pPr>
      <w:r>
        <w:t>El informe realiza un cálculo del coste que supondría para el conjunto del sistema las medidas adoptadas en la Ley impugnada, si todas las Comunidades Autónomas regularan un procedimiento como el establecido por Cataluña, y que ascendería a más de 430 millones de euros al año. Esta cantidad sería soportada por los diferentes sujetos que deberían percibir sus ingresos de las cantidades provenientes de estas facturaciones, por lo que el impacto sería directo.</w:t>
      </w:r>
    </w:p>
    <w:p w:rsidR="0033382B" w:rsidRDefault="0033382B" w:rsidP="0033382B">
      <w:pPr>
        <w:pStyle w:val="TextoNormal"/>
      </w:pPr>
    </w:p>
    <w:p w:rsidR="0033382B" w:rsidRDefault="0033382B" w:rsidP="0033382B">
      <w:pPr>
        <w:pStyle w:val="TextoNormal"/>
      </w:pPr>
      <w:r>
        <w:t>Se produce así una afectación clara al interés general que, además, produce discriminación entre los consumidores, puesto que solo afectaría a aquellos con residencia en Cataluña y, en los términos expuestos, a los comercializadores productores, transportistas y distribuidores, perjudicando también el interés particular de terceros.</w:t>
      </w:r>
    </w:p>
    <w:p w:rsidR="0033382B" w:rsidRDefault="0033382B" w:rsidP="0033382B">
      <w:pPr>
        <w:pStyle w:val="TextoNormal"/>
      </w:pPr>
    </w:p>
    <w:p w:rsidR="0033382B" w:rsidRDefault="0033382B" w:rsidP="0033382B">
      <w:pPr>
        <w:pStyle w:val="TextoNormal"/>
      </w:pPr>
      <w:r>
        <w:t>En la factura del suministro que paga un consumidor de electricidad tienen reflejo las diferentes actividades que se desarrollan en la cadena de suministro de energía eléctrica. Por tanto, el hecho de que no se pague o se pague con retraso de acuerdo a criterios discrecionales que no están establecidos en la normativa básica estatal conlleva una discriminación entre consumidores dentro de España y afecta a los sujetos que deben percibir su retribución a partir de los importes que paga un consumidor. La introducción del sistema objeto de impugnación se produce además con cargo, no a los recursos económicos de la Generalitat, sino de los diversos sujetos del sistema eléctrico en su conjunto. Por tanto, los comercializadores de referencia serán quienes suministren energía eléctrica al colectivo definido en la Ley recurrida y, derivado de ello, quienes deban asumir como mayor coste de su actividad el retraso en el pago. La financiación de la mora en el pago del suministro, si la norma es declarada inconstitucional, no podría ser recuperada sin causar un perjuicio adicional a sus destinatarios, personas con especial vulnerabilidad social, de manera que los beneficios sociales que pudiera producir serían neutralizados.</w:t>
      </w:r>
    </w:p>
    <w:p w:rsidR="0033382B" w:rsidRDefault="0033382B" w:rsidP="0033382B">
      <w:pPr>
        <w:pStyle w:val="TextoNormal"/>
      </w:pPr>
    </w:p>
    <w:p w:rsidR="0033382B" w:rsidRDefault="0033382B" w:rsidP="0033382B">
      <w:pPr>
        <w:pStyle w:val="TextoNormal"/>
      </w:pPr>
      <w:r>
        <w:t>La importancia del perjuicio grave, no solo al interés general sino al interés de los consumidores y sujetos del sistema eléctrico, no está en función en este caso de la cuantía, que en el ámbito de Cataluña puede resultar más o menos limitado en términos absolutos, sino de la ruptura del sistema por las previsiones de la Ley impugnada, y de la discriminación que introduce. El mantenimiento del suministro en caso de impago solo se contempla en la legislación estatal respecto de los servicios esenciales.</w:t>
      </w:r>
    </w:p>
    <w:p w:rsidR="0033382B" w:rsidRDefault="0033382B" w:rsidP="0033382B">
      <w:pPr>
        <w:pStyle w:val="TextoNormal"/>
      </w:pPr>
    </w:p>
    <w:p w:rsidR="0033382B" w:rsidRDefault="0033382B" w:rsidP="0033382B">
      <w:pPr>
        <w:pStyle w:val="TextoNormal"/>
      </w:pPr>
      <w:r>
        <w:t>En cuanto a los intereses de las personas beneficiadas por las medidas habilitadas por la norma impugnada, el sistema de regulación del sistema eléctrico establecido por el Estado ya tiene en cuenta la situación de vulnerabilidad de las personas con menores recursos, a través de la percepción del bono social o tarifa de último recurso regulado en el art. 16 del Real Decreto 216/2014, de 28 de marzo, por el que se establece la metodología de cálculo de los precios voluntarios para el pequeño consumidor de energía eléctrica y su régimen jurídico de contratación, y es aplicado por los comercializadores de referencia (art. 17.3 LSE y Real Decreto 216/2014). El colectivo de consumidores acogidos al bono social se beneficia de un descuento en su factura que es soportado por terceros. El bono social se financia en el año 2015 de acuerdo con lo previsto en la Orden IET/2182/2015, siendo las empresas que lo financian aquellas verticalmente integradas que realizan actividades de generación, distribución y comercialización. Existen unos 2,5 millones de consumidores a quienes resulta de aplicación el bono social, tal y como se refleja en el “Boletín de Indicadores Eléctricos y Económicos”, publicado por la Comisión Nacional de Mercados y Competencia, de septiembre de 2015.</w:t>
      </w:r>
    </w:p>
    <w:p w:rsidR="0033382B" w:rsidRDefault="0033382B" w:rsidP="0033382B">
      <w:pPr>
        <w:pStyle w:val="TextoNormal"/>
      </w:pPr>
    </w:p>
    <w:p w:rsidR="0033382B" w:rsidRDefault="0033382B" w:rsidP="0033382B">
      <w:pPr>
        <w:pStyle w:val="TextoNormal"/>
      </w:pPr>
      <w:r>
        <w:t>Existen en la normativa básica del sector eléctrico otros mecanismos que permiten adecuar la facturación del suministro a las necesidades de determinados consumidores, sin necesidad de acudir a medidas tan disfuncionales como las adoptadas por Cataluña. El Real Decreto 1718/2012, de 28 de diciembre, por el que se determina el procedimiento para realizar la lectura y facturación de los suministros de energía en baja tensión con potencia contratada no superior a 15 kw, regula la facturación con base en lecturas reales. Entre otras cuestiones, se contempla que, en los meses alternos en los que no haya lectura real, se facturará en función del procedimiento recogido en la normativa vigente en cada momento, y en las facturas se indicará “consumo estimado”. Asimismo, previo acuerdo expreso entre las partes, podrá facturarse una cuota fija mensual proporcional a los consumos históricos, y cuando no los haya, con una estimación de horas de utilización diaria, previamente acordada, más el término de potencia. En todo caso, se producirá una regularización como mínimo anual, con base en lecturas reales. En el art. 16 del Real Decreto 216/2014, en el que se definen las tarifas de último recurso aplicables a los consumidores vulnerables, se establece actualmente un 25 por 100 de descuento sobre el precio voluntario para el pequeño consumidor.</w:t>
      </w:r>
    </w:p>
    <w:p w:rsidR="0033382B" w:rsidRDefault="0033382B" w:rsidP="0033382B">
      <w:pPr>
        <w:pStyle w:val="TextoNormal"/>
      </w:pPr>
    </w:p>
    <w:p w:rsidR="0033382B" w:rsidRDefault="0033382B" w:rsidP="0033382B">
      <w:pPr>
        <w:pStyle w:val="TextoNormal"/>
      </w:pPr>
      <w:r>
        <w:t>(ii) En el ámbito del sector gasístico, al igual que sucede en el sector eléctrico, el sistema económico se configura como un régimen integrado, de forma que los peajes y cánones por el uso de las instalaciones son los ingresos del sistema que cubren los costes del mismo. Los comercializadores de gas natural deben abonar los peajes y cánones por el uso de las instalaciones en los plazos previstos, sin perjuicio de que hayan cobrado los mismos del consumidor. Las medidas incluidas en la Ley impugnada obligan al comercializador a financiar el gas, así como los peajes y cánones correspondientes a los consumidores en situación de vulnerabilidad económica. Este coste será repercutido al resto de los consumidores mediante el incremento del margen comercial para aquellos consumidores que no se acojan o no puedan acogerse a la tarifa de último recurso, dado el incremento de costes para la empresa. Los comercializadores de último recurso tienen la obligación de suministro a una tarifa determinada por el Gobierno, por lo que el margen de comercialización está limitado mediante orden ministerial.</w:t>
      </w:r>
    </w:p>
    <w:p w:rsidR="0033382B" w:rsidRDefault="0033382B" w:rsidP="0033382B">
      <w:pPr>
        <w:pStyle w:val="TextoNormal"/>
      </w:pPr>
    </w:p>
    <w:p w:rsidR="0033382B" w:rsidRDefault="0033382B" w:rsidP="0033382B">
      <w:pPr>
        <w:pStyle w:val="TextoNormal"/>
      </w:pPr>
      <w:r>
        <w:t>De la estimación de coste recogida en el informe adjunto, se deduce que la medida es desproporcionada e insostenible para las empresas del sector, especialmente para los comercializadores de último recurso, que necesariamente tendrán que incrementar sus márgenes a otros colectivos para poder financiarla.</w:t>
      </w:r>
    </w:p>
    <w:p w:rsidR="0033382B" w:rsidRDefault="0033382B" w:rsidP="0033382B">
      <w:pPr>
        <w:pStyle w:val="TextoNormal"/>
      </w:pPr>
    </w:p>
    <w:p w:rsidR="0033382B" w:rsidRDefault="0033382B" w:rsidP="0033382B">
      <w:pPr>
        <w:pStyle w:val="TextoNormal"/>
      </w:pPr>
      <w:r>
        <w:t>En definitiva, se alcanzan las mismas conclusiones que respecto del sector eléctrico, en cuanto a la modificación del esquema económico del sistema gasista, alterando los ingresos destinados a cubrir parte de los costes del sistema, y afectando a terceros que deben percibir sus retribuciones, y en cuanto a la discriminación entre consumidores dentro de España, y también respecto de otros consumidores situados en la misma Comunidad que utilicen otro combustible para la calefacción o el agua caliente, como el gasóleo o el gas licuado de petróleo.</w:t>
      </w:r>
    </w:p>
    <w:p w:rsidR="0033382B" w:rsidRDefault="0033382B" w:rsidP="0033382B">
      <w:pPr>
        <w:pStyle w:val="TextoNormal"/>
      </w:pPr>
    </w:p>
    <w:p w:rsidR="0033382B" w:rsidRDefault="0033382B" w:rsidP="0033382B">
      <w:pPr>
        <w:pStyle w:val="TextoNormal"/>
      </w:pPr>
      <w:r>
        <w:t>También en este caso, la financiación de la mora en el pago del suministro, si la norma es declarada inconstitucional, no podría ser recuperada sin causar un perjuicio adicional a sus destinatarios, personas con especial vulnerabilidad social, de manera que los beneficios sociales que pudiera producir serían neutralizados.</w:t>
      </w:r>
    </w:p>
    <w:p w:rsidR="0033382B" w:rsidRDefault="0033382B" w:rsidP="0033382B">
      <w:pPr>
        <w:pStyle w:val="TextoNormal"/>
      </w:pPr>
    </w:p>
    <w:p w:rsidR="0033382B" w:rsidRDefault="0033382B" w:rsidP="0033382B">
      <w:pPr>
        <w:pStyle w:val="TextoNormal"/>
      </w:pPr>
      <w:r>
        <w:t>La Ley 34/1998, de 7 de octubre, del sector de hidrocarburos (LSH), recoge medidas encaminadas a la protección de los consumidores en situación de vulnerabilidad, pero la excepción al corte de suministro por impago se contempla solo para los servicios esenciales. El artículo 57 regula la tarifa de último recurso para determinados consumidores, con un precio máximo revisado trimestralmente y que actualmente resulta muy ajustado en términos de mercado. Asimismo, prevé que el Ministro podrá establecer condiciones específicas de suministro para determinados colectivos que tengan la consideración de vulnerables. Las empresas comercializadoras pueden ofrecer a los consumidores planes flexibles de pago, y de hecho existen diversas ofertas en el mercado (de tarifa plana) con el fin de amortiguar la diferencia de las cantidades a abonar entre los meses de invierno y de verano.</w:t>
      </w:r>
    </w:p>
    <w:p w:rsidR="0033382B" w:rsidRDefault="0033382B" w:rsidP="0033382B">
      <w:pPr>
        <w:pStyle w:val="TextoNormal"/>
      </w:pPr>
    </w:p>
    <w:p w:rsidR="0033382B" w:rsidRDefault="0033382B" w:rsidP="0033382B">
      <w:pPr>
        <w:pStyle w:val="TextoNormal"/>
      </w:pPr>
      <w:r>
        <w:t>En todo caso, debe tenerse en consideración el carácter no universal del suministro de gas natural y la posibilidad del uso de combustibles alternativos que compiten con esta energía. La adopción de posibles medidas en relación a los clientes vulnerables debe ser considerada desde un punto de vista global, teniendo en cuenta diferentes factores entre los que se encuentran, además de la posibilidad de acceso a otras energías distintas al gas, las condiciones climatológicas y los factores socioeconómicos que deben ser objeto de análisis, permitiendo así mantener unos criterios homogéneos y equitativos en todo el territorio nacional.</w:t>
      </w:r>
    </w:p>
    <w:p w:rsidR="0033382B" w:rsidRDefault="0033382B" w:rsidP="0033382B">
      <w:pPr>
        <w:pStyle w:val="TextoNormal"/>
      </w:pPr>
    </w:p>
    <w:p w:rsidR="0033382B" w:rsidRDefault="0033382B" w:rsidP="0033382B">
      <w:pPr>
        <w:pStyle w:val="TextoNormal"/>
      </w:pPr>
      <w:r>
        <w:t>(iii) La creación del fondo de atención solidaria de suministros básicos previsto en la disposición adicional primera, en la medida en que impone la obligación de contribuir económicamente tanto a las empresas suministradoras como a las Administraciones públicas competentes, de entre las que no se excluye al Estado, constituye una medida con incidencia inmediata y directa en el régimen económico del sistema eléctrico y gasístico en su conjunto, y en los presupuestos del Estado, causando por ello un perjuicio de difícil reparación. Al prever que forman parte de sus aportaciones fondos procedentes de las empresas suministradoras, son extensibles las alegaciones formuladas respecto de los preceptos anteriores al afectar al régimen económico de los sistemas eléctrico y gasístico.</w:t>
      </w:r>
    </w:p>
    <w:p w:rsidR="0033382B" w:rsidRDefault="0033382B" w:rsidP="0033382B">
      <w:pPr>
        <w:pStyle w:val="TextoNormal"/>
      </w:pPr>
    </w:p>
    <w:p w:rsidR="0033382B" w:rsidRDefault="0033382B" w:rsidP="0033382B">
      <w:pPr>
        <w:pStyle w:val="TextoNormal"/>
      </w:pPr>
      <w:r>
        <w:t>Desde la perspectiva de este incidente de suspensión, no habría objeción a que el fondo se constituyera con cargo a los presupuestos de la Comunidad Autónoma. Pero la vinculación obligatoria de fondos de la Administración del Estado generaría un efecto discriminatorio respecto del resto de los usuarios de estos suministros en el resto del territorio nacional, con perjuicio grave al interés general.</w:t>
      </w:r>
    </w:p>
    <w:p w:rsidR="0033382B" w:rsidRDefault="0033382B" w:rsidP="0033382B">
      <w:pPr>
        <w:pStyle w:val="TextoNormal"/>
      </w:pPr>
    </w:p>
    <w:p w:rsidR="0033382B" w:rsidRDefault="0033382B" w:rsidP="0033382B">
      <w:pPr>
        <w:pStyle w:val="TextoNormal"/>
      </w:pPr>
      <w:r>
        <w:t>Si la intención de la norma catalana es que el coste ocasionado por dicha participación se impute al sector eléctrico, el coste económico directo para el sistema supone una alteración del esquema de ingresos destinados a cubrir los costes de las actividades de la cadena de suministro y, por tanto, impacta en diferentes sujetos y, en particular, en el conjunto de consumidores de energía eléctrica a nivel nacional.</w:t>
      </w:r>
    </w:p>
    <w:p w:rsidR="0033382B" w:rsidRDefault="0033382B" w:rsidP="0033382B">
      <w:pPr>
        <w:pStyle w:val="TextoNormal"/>
      </w:pPr>
    </w:p>
    <w:p w:rsidR="0033382B" w:rsidRDefault="0033382B" w:rsidP="0033382B">
      <w:pPr>
        <w:pStyle w:val="TextoNormal"/>
      </w:pPr>
      <w:r>
        <w:t>b) El segundo bloque del recurso se refiere a los preceptos que inciden en el ámbito material de los créditos y préstamos hipotecarios desde la perspectiva de la protección al consumidor (parte impugnada de los arts. 8, 13, y 20 de la Ley de Cataluña 20/2014).</w:t>
      </w:r>
    </w:p>
    <w:p w:rsidR="0033382B" w:rsidRDefault="0033382B" w:rsidP="0033382B">
      <w:pPr>
        <w:pStyle w:val="TextoNormal"/>
      </w:pPr>
    </w:p>
    <w:p w:rsidR="0033382B" w:rsidRDefault="0033382B" w:rsidP="0033382B">
      <w:pPr>
        <w:pStyle w:val="TextoNormal"/>
      </w:pPr>
      <w:r>
        <w:t>Es probable que cada una de las medidas impugnadas, si se consideran aisladamente, no produzca por sí sola un perjuicio de imposible o difícil reparación; pero lo cierto es que la suma de todas sí que afecta a la estabilidad del sistema financiero, en la medida en que incide en la actuación de las entidades de crédito y a los intereses de los particulares.</w:t>
      </w:r>
    </w:p>
    <w:p w:rsidR="0033382B" w:rsidRDefault="0033382B" w:rsidP="0033382B">
      <w:pPr>
        <w:pStyle w:val="TextoNormal"/>
      </w:pPr>
    </w:p>
    <w:p w:rsidR="0033382B" w:rsidRDefault="0033382B" w:rsidP="0033382B">
      <w:pPr>
        <w:pStyle w:val="TextoNormal"/>
      </w:pPr>
      <w:r>
        <w:t>Por ello, de levantarse la suspensión se ocasionarían necesariamente unos efectos de imposible o muy difícil reparación, especialmente por la asimetría del régimen jurídico aplicable en materia de concesión del crédito a Cataluña en relación con el resto de España, que afectaría al régimen de funcionamiento de las entidades de crédito. Como se afirma en el informe del Secretario General Técnico del Ministerio de Economía y Competitividad que se acompaña como documento núm. 2, la alteración de este mínimo común denominador para el conjunto del Estado, que se produciría con el levantamiento de la suspensión, puede generar una distorsión en el funcionamiento y estabilidad de los mercados financieros, especialmente en la Comunidad Autónoma de Cataluña, pero también en el conjunto de España.</w:t>
      </w:r>
    </w:p>
    <w:p w:rsidR="0033382B" w:rsidRDefault="0033382B" w:rsidP="0033382B">
      <w:pPr>
        <w:pStyle w:val="TextoNormal"/>
      </w:pPr>
    </w:p>
    <w:p w:rsidR="0033382B" w:rsidRDefault="0033382B" w:rsidP="0033382B">
      <w:pPr>
        <w:pStyle w:val="TextoNormal"/>
      </w:pPr>
      <w:r>
        <w:t>No se produciría, a la inversa, ningún perjuicio si se mantiene la suspensión, en la medida en que los consumidores de este tipo de productos crediticios en Cataluña ya se encuentran protegidos por la legislación del Estado, al igual que en el resto de Comunidades Autónomas. La propia Directiva 2014/17/UE, Considerandos 3, 4 y 19, proporciona la justificación de la importancia de un marco jurídico común aplicable a los contratos de préstamo o crédito garantizados mediante hipoteca u otro tipo de garantía, en relación con bienes inmuebles de uso residencial. Los preceptos impugnados, al introducir un régimen diferente al estatal en esta materia, ocasionan perjuicios a la transparencia de la actividad crediticia, a la seguridad de los clientes usuarios de estos productos y a las entidades financieras que actúan en este mercado, siendo de aplicación la doctrina sintetizada en el ATC 69/2014, de 10 de marzo, que se concreta seguidamente para cada uno de los preceptos impugnados.</w:t>
      </w:r>
    </w:p>
    <w:p w:rsidR="0033382B" w:rsidRDefault="0033382B" w:rsidP="0033382B">
      <w:pPr>
        <w:pStyle w:val="TextoNormal"/>
      </w:pPr>
    </w:p>
    <w:p w:rsidR="0033382B" w:rsidRDefault="0033382B" w:rsidP="0033382B">
      <w:pPr>
        <w:pStyle w:val="TextoNormal"/>
      </w:pPr>
      <w:r>
        <w:t>(i) El art. 8 añade un nuevo apartado 3 al art. 132.4 de la Ley 22/2010, que convierte la mediación en el presupuesto obligatorio de la interposición de una demanda judicial.</w:t>
      </w:r>
    </w:p>
    <w:p w:rsidR="0033382B" w:rsidRDefault="0033382B" w:rsidP="0033382B">
      <w:pPr>
        <w:pStyle w:val="TextoNormal"/>
      </w:pPr>
    </w:p>
    <w:p w:rsidR="0033382B" w:rsidRDefault="0033382B" w:rsidP="0033382B">
      <w:pPr>
        <w:pStyle w:val="TextoNormal"/>
      </w:pPr>
      <w:r>
        <w:t>Siendo la mediación en asuntos civiles y mercantiles voluntaria según el art. 6.1 de la Ley 5/2012, de 6 de junio, la norma impugnada introduce un requisito de procedibilidad que implica una carga procesal para los interesados. Como se afirma en el informe adjunto, se produce una limitación al acceso a la jurisdicción, demorando el ejercicio de este derecho durante tres meses, lo que puede acarrear perjuicios de difícil reparación, especialmente a las entidades de crédito, en cuanto destinatarias mayoritarias de este precepto, en la medida en que afecte a sus previsiones sobre la resolución de conflictos. No debe olvidarse que este tipo de procedimientos judiciales tiene por objeto el cumplimiento de determinadas obligaciones económicas y que toda dilación en su efectiva realización tiene impacto financiero para ambas partes, entidades de crédito reclamantes y consumidores.</w:t>
      </w:r>
    </w:p>
    <w:p w:rsidR="0033382B" w:rsidRDefault="0033382B" w:rsidP="0033382B">
      <w:pPr>
        <w:pStyle w:val="TextoNormal"/>
      </w:pPr>
    </w:p>
    <w:p w:rsidR="0033382B" w:rsidRDefault="0033382B" w:rsidP="0033382B">
      <w:pPr>
        <w:pStyle w:val="TextoNormal"/>
      </w:pPr>
      <w:r>
        <w:t>(ii) Los perjuicios al interés general que produciría el levantamiento de la suspensión del art. 13, que añade un nuevo apartado 4 al art. 251.6 de la Ley 22/2010, tienen que ver con el mandato dirigido al Juez de considerar abusivas en todo caso estas cláusulas, sin margen de decisión alguno. La aplicación de este precepto por una decisión judicial que declarase nulas estas cláusulas producirá el efecto de cosa juzgada, con lo que el perjuicio causado es irreversible, pues ya no existirá cauce para modificar dicha decisión.</w:t>
      </w:r>
    </w:p>
    <w:p w:rsidR="0033382B" w:rsidRDefault="0033382B" w:rsidP="0033382B">
      <w:pPr>
        <w:pStyle w:val="TextoNormal"/>
      </w:pPr>
    </w:p>
    <w:p w:rsidR="0033382B" w:rsidRDefault="0033382B" w:rsidP="0033382B">
      <w:pPr>
        <w:pStyle w:val="TextoNormal"/>
      </w:pPr>
      <w:r>
        <w:t>Sin embargo, de mantenerse la suspensión, el resultado del procedimiento judicial puede llegar a ser distinto al atribuirse al Juez en aplicación de la normativa vigente la libre apreciación del carácter abusivo o no de dichas cláusulas en concreto. La apreciación del carácter abusivo de una cláusula contractual implica su nulidad y dicha declaración genera una serie de obligaciones para la parte que la hubiera motivado que, cuanto mayor sea el número de pronunciamientos que se efectúen durante la vigencia provisional de la norma, tendrá un impacto superior. El perjuicio sería todavía mayor si se entendiera por los órganos jurisdiccionales que esta medida es de aplicación a los contratos ya vigentes, puesto que produciría un evidente perjuicio económico para todas aquellas entidades que tengan en sus contratos hipotecarios con consumidores este tipo de cláusulas caracterizadas como abusivas según la norma impugnada.</w:t>
      </w:r>
    </w:p>
    <w:p w:rsidR="0033382B" w:rsidRDefault="0033382B" w:rsidP="0033382B">
      <w:pPr>
        <w:pStyle w:val="TextoNormal"/>
      </w:pPr>
    </w:p>
    <w:p w:rsidR="0033382B" w:rsidRDefault="0033382B" w:rsidP="0033382B">
      <w:pPr>
        <w:pStyle w:val="TextoNormal"/>
      </w:pPr>
      <w:r>
        <w:t>(iii) El art. 20 añade un nuevo apartado 2 al art. 262.6, un nuevo apartado 3 al art. 262-8, y un nuevo art. 262.9, todos ellos de la Ley 22/2010.</w:t>
      </w:r>
    </w:p>
    <w:p w:rsidR="0033382B" w:rsidRDefault="0033382B" w:rsidP="0033382B">
      <w:pPr>
        <w:pStyle w:val="TextoNormal"/>
      </w:pPr>
    </w:p>
    <w:p w:rsidR="0033382B" w:rsidRDefault="0033382B" w:rsidP="0033382B">
      <w:pPr>
        <w:pStyle w:val="TextoNormal"/>
      </w:pPr>
      <w:r>
        <w:t>En los tres casos, además del perjuicio que causa singularmente el hecho de que el plazo de las ofertas vinculantes difiera en Cataluña respecto del resto de España, de que se prohíban los términos asesoramiento, asesor u otros parecidos en las comunicaciones comerciales y en la publicidad, y de que se autoricen unas determinadas prácticas vinculadas, obligando, como en el caso anterior, al Juez a adoptar una determinada decisión, que puede ser irreversible por la fuerza de la cosa juzgada, el perjuicio general deriva del hecho de que afectan en su conjunto a la regulación del mercado hipotecario, lo que se proyecta en el adecuado funcionamiento de las entidades bancarias.</w:t>
      </w:r>
    </w:p>
    <w:p w:rsidR="0033382B" w:rsidRDefault="0033382B" w:rsidP="0033382B">
      <w:pPr>
        <w:pStyle w:val="TextoNormal"/>
      </w:pPr>
    </w:p>
    <w:p w:rsidR="0033382B" w:rsidRDefault="0033382B" w:rsidP="0033382B">
      <w:pPr>
        <w:pStyle w:val="TextoNormal"/>
      </w:pPr>
      <w:r>
        <w:t>(iv) El nuevo art. 263-2.4 de la Ley 22/2010, introducido asimismo por el art. 20, regula la evaluación de la solvencia de la persona consumidora de una manera diferente a lo dispuesto en el art. 18 de la Orden EHA/2899/2011 sin que aporte, necesariamente, una protección mayor. El perjuicio en este caso se concreta en los efectos sobre las entidades prestamistas que se derivan de dicha evaluación. En la normativa estatal, las entidades prestamistas tendrán libertad para contratar, pudiendo conceder el préstamo aun en el caso de que la evaluación de la solvencia del consumidor no dé un resultado positivo.</w:t>
      </w:r>
    </w:p>
    <w:p w:rsidR="0033382B" w:rsidRDefault="0033382B" w:rsidP="0033382B">
      <w:pPr>
        <w:pStyle w:val="TextoNormal"/>
      </w:pPr>
    </w:p>
    <w:p w:rsidR="0033382B" w:rsidRDefault="0033382B" w:rsidP="0033382B">
      <w:pPr>
        <w:pStyle w:val="TextoNormal"/>
      </w:pPr>
      <w:r>
        <w:t>En cambio, de aplicarse el precepto impugnado el prestamista no puede conceder el crédito o préstamo hipotecario si el resultado de la evaluación de solvencia es negativo. Esta discrepancia radical puede producir perjuicios a los intereses particulares de los clientes puesto que las entidades bancarias no pueden otorgar préstamos si concurren estas circunstancias.</w:t>
      </w:r>
    </w:p>
    <w:p w:rsidR="0033382B" w:rsidRDefault="0033382B" w:rsidP="0033382B">
      <w:pPr>
        <w:pStyle w:val="TextoNormal"/>
      </w:pPr>
    </w:p>
    <w:p w:rsidR="0033382B" w:rsidRDefault="0033382B" w:rsidP="0033382B">
      <w:pPr>
        <w:pStyle w:val="TextoNormal"/>
      </w:pPr>
      <w:r>
        <w:t>(v) En general, la vigencia de los preceptos cuestionados en este bloque genera inseguridad jurídica, innecesaria complejidad y opacidad en la regulación de la protección de los clientes bancarios. Como se afirma en el informe que se adjunta, de no mantenerse la suspensión de la aplicación de la Ley, las entidades verán duplicadas sus cargas administrativas vinculadas a la transparencia y, en ocasiones, puede afectar a las políticas de riesgos de las entidades. Singularmente, los consumidores se verán sometidos a una duplicidad que se materializará en opacidad y confusión, el efecto último contrario al perseguido por la normativa de transparencia, cuyo objeto no es otro que generar un marco de protección para los clientes de servicios bancarios que, limitando los efectos de la asimetría de información, les permita adoptar sus decisiones económicas de la forma más conveniente.</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recurso de inconstitucionalidad contra diversos preceptos de la Ley 20/2014, de 29 de diciembre, de modificación de la Ley 22/2010, de 20 de julio, del código de consumo de Cataluña, para la mejora de la protección de las personas consumidoras en materia de créditos y préstamos hipotecarios, vulnerabilidad económica y relaciones de consumo se estructura en torno a dos bloques diferenciados.</w:t>
      </w:r>
    </w:p>
    <w:p w:rsidR="0033382B" w:rsidRDefault="0033382B" w:rsidP="0033382B">
      <w:pPr>
        <w:pStyle w:val="TextoNormal"/>
      </w:pPr>
    </w:p>
    <w:p w:rsidR="0033382B" w:rsidRDefault="0033382B" w:rsidP="0033382B">
      <w:pPr>
        <w:pStyle w:val="TextoNormal"/>
      </w:pPr>
      <w:r>
        <w:t>(i) De una parte, los arts. 3 [por cuanto añade las letras v) y w) al art. 111.2 de la Ley 22/2010], 17 [por cuanto añade los apartados 7 y 8 al art. 252.4 de la Ley 22/2010 en lo referente al sector energético con la exclusión, por tanto, del suministro de agua], 18.2 [por cuanto modifica el apartado 6 del art. 252.5 de la Ley 22/2010, en lo que respecta exclusivamente a los servicios energéticos de trato continuado], y la disposición adicional primera de la Ley del Parlamento de Cataluña 20/2014, que establecen medidas de protección de las personas que se encuentran en situación de “pobreza energética”.</w:t>
      </w:r>
    </w:p>
    <w:p w:rsidR="0033382B" w:rsidRDefault="0033382B" w:rsidP="0033382B">
      <w:pPr>
        <w:pStyle w:val="TextoNormal"/>
      </w:pPr>
    </w:p>
    <w:p w:rsidR="0033382B" w:rsidRDefault="0033382B" w:rsidP="0033382B">
      <w:pPr>
        <w:pStyle w:val="TextoNormal"/>
      </w:pPr>
      <w:r>
        <w:t>Según la demanda, estos preceptos vulneran las competencias estatales en las materias de “bases del régimen minero y energético” (art. 149.1.25 CE) y “bases y coordinación de la planificación general de la economía” (art. 149.1.13 CE), así como la legislación básica dictada en su desarrollo. Como las partes han puesto de relieve en sus alegaciones, esta regulación tiene como precedente el Decreto-ley de Cataluña 6/2013, de 23 de diciembre, norma que dio lugar al recurso de inconstitucionalidad núm. 5831-2014, resuelto mediante la STC 62/2016, de 17 de marzo.</w:t>
      </w:r>
    </w:p>
    <w:p w:rsidR="0033382B" w:rsidRDefault="0033382B" w:rsidP="0033382B">
      <w:pPr>
        <w:pStyle w:val="TextoNormal"/>
      </w:pPr>
    </w:p>
    <w:p w:rsidR="0033382B" w:rsidRDefault="0033382B" w:rsidP="0033382B">
      <w:pPr>
        <w:pStyle w:val="TextoNormal"/>
      </w:pPr>
      <w:r>
        <w:t>(ii) De otra parte, los arts. 8 [por cuanto añade un nuevo apartado 3 al art. 132.4 de la Ley 22/2010], 13 [por cuanto añade un nuevo apartado 4 al art. 251.6 de la Ley 22/2010], y 20 [por cuanto añade un nuevo apartado 2 al art. 262.6, un nuevo apartado 3 al art. 262.8, un nuevo art. 262.9 y un nuevo apartado 4 al art. 263.2 de la Ley 22/2010] de la Ley de Cataluña 20/2014, que regulan aspectos relativos a los créditos y préstamos hipotecarios.</w:t>
      </w:r>
    </w:p>
    <w:p w:rsidR="0033382B" w:rsidRDefault="0033382B" w:rsidP="0033382B">
      <w:pPr>
        <w:pStyle w:val="TextoNormal"/>
      </w:pPr>
    </w:p>
    <w:p w:rsidR="0033382B" w:rsidRDefault="0033382B" w:rsidP="0033382B">
      <w:pPr>
        <w:pStyle w:val="TextoNormal"/>
      </w:pPr>
      <w:r>
        <w:t xml:space="preserve">Estos preceptos se impugnan por vulneración de la legislación básica estatal dictada </w:t>
      </w:r>
      <w:r w:rsidRPr="0033382B">
        <w:rPr>
          <w:i/>
        </w:rPr>
        <w:t>ex</w:t>
      </w:r>
      <w:r>
        <w:t xml:space="preserve"> art. 149.1.11 y 13 CE. Adicionalmente, se alega que esta regulación afecta a títulos competenciales exclusivos del Estado como la legislación civil (art. 149.1.8 CE, con incidencia en la igualdad en el ejercicio de los derechos fundamentales, art. 149.1.1 CE) y la legislación procesal del Estado (art. 149.1.6 CE).</w:t>
      </w:r>
    </w:p>
    <w:p w:rsidR="0033382B" w:rsidRDefault="0033382B" w:rsidP="0033382B">
      <w:pPr>
        <w:pStyle w:val="TextoNormal"/>
      </w:pPr>
    </w:p>
    <w:p w:rsidR="0033382B" w:rsidRDefault="0033382B" w:rsidP="0033382B">
      <w:pPr>
        <w:pStyle w:val="TextoNormal"/>
      </w:pPr>
      <w:r>
        <w:t>Al objeto de determinar si procede levantar o mantener la suspensión de la vigencia y aplicación que afecta a los preceptos impugnados, examinaremos por separado los dos bloques que han quedado identificados.</w:t>
      </w:r>
    </w:p>
    <w:p w:rsidR="0033382B" w:rsidRDefault="0033382B" w:rsidP="0033382B">
      <w:pPr>
        <w:pStyle w:val="TextoNormal"/>
      </w:pPr>
    </w:p>
    <w:p w:rsidR="0033382B" w:rsidRDefault="0033382B" w:rsidP="0033382B">
      <w:pPr>
        <w:pStyle w:val="TextoNormal"/>
      </w:pPr>
      <w:r w:rsidRPr="0033382B">
        <w:rPr>
          <w:rStyle w:val="NumeroAFNegritaCaracter"/>
        </w:rPr>
        <w:t>2</w:t>
      </w:r>
      <w:r>
        <w:t xml:space="preserve">. Dentro del primer bloque, relativo a las medidas de protección de las personas que se encuentran en situación de “pobreza energética”, la primera consideración que hemos de hacer concierne a la anteriormente señalada conexión entre la normativa ahora impugnada y la que ha sido objeto de enjuiciamiento en la STC 62/2016, de 17 de marzo, en cuyo fundamento jurídico 2 ya se advierte la similitud entre ambas regulaciones. Esta circunstancia determina la concurrencia del presupuesto que, por excepción, permite resolver el incidente de suspensión en virtud del criterio del </w:t>
      </w:r>
      <w:r w:rsidRPr="0033382B">
        <w:rPr>
          <w:i/>
        </w:rPr>
        <w:t>fumus boni iuris</w:t>
      </w:r>
      <w:r>
        <w:t xml:space="preserve"> o apariencia de buen derecho que se deriva de la referida Sentencia, ante la que habrá de ceder, en caso de declaración de inconstitucionalidad y nulidad, la presunción de constitucionalidad de la Ley ahora impugnada (en el mismo sentido, ATC de 16 de febrero de 2016, FJ 4).</w:t>
      </w:r>
    </w:p>
    <w:p w:rsidR="0033382B" w:rsidRDefault="0033382B" w:rsidP="0033382B">
      <w:pPr>
        <w:pStyle w:val="TextoNormal"/>
      </w:pPr>
    </w:p>
    <w:p w:rsidR="0033382B" w:rsidRDefault="0033382B" w:rsidP="0033382B">
      <w:pPr>
        <w:pStyle w:val="TextoNormal"/>
      </w:pPr>
      <w:r>
        <w:t>a) Las razones expuestas en la STC 62/2016, FJ 3, determinan el levantamiento de la suspensión de los arts. 3, por cuanto añade las letras v) y w) al art. 111.2 de la Ley 22/2010, y 17, por cuanto añade al art. 252.4 de la Ley 22/2010 el apartado 7, párrafos primero, primer inciso (“las personas en situación de vulnerabilidad económica … en que solicitan su emisión”), y segundo.</w:t>
      </w:r>
    </w:p>
    <w:p w:rsidR="0033382B" w:rsidRDefault="0033382B" w:rsidP="0033382B">
      <w:pPr>
        <w:pStyle w:val="TextoNormal"/>
      </w:pPr>
    </w:p>
    <w:p w:rsidR="0033382B" w:rsidRDefault="0033382B" w:rsidP="0033382B">
      <w:pPr>
        <w:pStyle w:val="TextoNormal"/>
      </w:pPr>
      <w:r>
        <w:t>b) La STC 62/2016 ha declarado la inconstitucionalidad y nulidad del párrafo segundo del apartado 6 y del apartado 7 del art. 252.4 de la Ley 22/2010, introducidos por el art. 2 del Decreto-ley de Cataluña 6/2013, de 23 de diciembre, por cuanto queda argumentado en sus fundamentos jurídicos 4 a 11.</w:t>
      </w:r>
    </w:p>
    <w:p w:rsidR="0033382B" w:rsidRDefault="0033382B" w:rsidP="0033382B">
      <w:pPr>
        <w:pStyle w:val="TextoNormal"/>
      </w:pPr>
    </w:p>
    <w:p w:rsidR="0033382B" w:rsidRDefault="0033382B" w:rsidP="0033382B">
      <w:pPr>
        <w:pStyle w:val="TextoNormal"/>
      </w:pPr>
      <w:r>
        <w:t>Pese a las diferencias que pueden apreciarse en la redacción, el contenido de dicha regulación es prácticamente equivalente a lo posteriormente establecido en la Ley de Cataluña 20/2014, art. 17, por cuanto añade al art. 252.4 de la Ley 22/2010, apartado 7, párrafo primero, segundo inciso (“si no se ha presentado el informe … que se había solicitado”) y párrafo tercero, y apartado 8. Procede en consecuencia mantener la suspensión de esta parte del artículo 17.</w:t>
      </w:r>
    </w:p>
    <w:p w:rsidR="0033382B" w:rsidRDefault="0033382B" w:rsidP="0033382B">
      <w:pPr>
        <w:pStyle w:val="TextoNormal"/>
      </w:pPr>
    </w:p>
    <w:p w:rsidR="0033382B" w:rsidRDefault="0033382B" w:rsidP="0033382B">
      <w:pPr>
        <w:pStyle w:val="TextoNormal"/>
      </w:pPr>
      <w:r>
        <w:t>c) El art 18.2 de la Ley 20/2014 modifica el apartado 6 del art. 252-5 de la Ley 22/2010, fijando los requisitos para la interrupción por impago de los servicios de trato continuado, que se impugnan en lo que respecta exclusivamente a los servicios energéticos. Si bien esta regulación no figura en el precedente Decreto-ley de Cataluña 6/2013 objeto de la STC 62/2016, es evidente su conexión con la controversia allí resuelta. Esta circunstancia aconseja mantener la suspensión cautelar de este precepto, sin perjuicio de lo que resulte del análisis de constitucionalidad mediata, que no corresponde abordar en este momento procesal.</w:t>
      </w:r>
    </w:p>
    <w:p w:rsidR="0033382B" w:rsidRDefault="0033382B" w:rsidP="0033382B">
      <w:pPr>
        <w:pStyle w:val="TextoNormal"/>
      </w:pPr>
    </w:p>
    <w:p w:rsidR="0033382B" w:rsidRDefault="0033382B" w:rsidP="0033382B">
      <w:pPr>
        <w:pStyle w:val="TextoNormal"/>
      </w:pPr>
      <w:r>
        <w:t>d) Los reproches de inconstitucionalidad dirigidos a estos preceptos se centran exclusivamente en los sectores energéticos del gas y la electricidad, quedando al margen de los mismos la regulación impugnada en cuanto resulte aplicable al sector del agua. Por este motivo, la decisión de mantener la suspensión de la aplicación y vigencia de determinados preceptos, que ha quedado detallada en este fundamento jurídico, lógicamente no ha de afectar a dicho sector del agua, y así se precisará en el fallo.</w:t>
      </w:r>
    </w:p>
    <w:p w:rsidR="0033382B" w:rsidRDefault="0033382B" w:rsidP="0033382B">
      <w:pPr>
        <w:pStyle w:val="TextoNormal"/>
      </w:pPr>
    </w:p>
    <w:p w:rsidR="0033382B" w:rsidRDefault="0033382B" w:rsidP="0033382B">
      <w:pPr>
        <w:pStyle w:val="TextoNormal"/>
      </w:pPr>
      <w:r w:rsidRPr="0033382B">
        <w:rPr>
          <w:rStyle w:val="NumeroAFNegritaCaracter"/>
        </w:rPr>
        <w:t>3</w:t>
      </w:r>
      <w:r>
        <w:t>. La disposición adicional primera de la Ley de Cataluña 20/2014 crea el fondo de atención solidaria de suministros básicos, para dar instrumentos de apoyo económico a las unidades familiares que no pueden cumplir los compromisos de pago de los servicios de suministro de agua, electricidad o gas. El fondo de atención solidaria de suministros básicos se desarrollará por reglamento y debe nutrirse, entre otras aportaciones, de las que efectúen las empresas suministradoras y las administraciones públicas competentes en esta materia.</w:t>
      </w:r>
    </w:p>
    <w:p w:rsidR="0033382B" w:rsidRDefault="0033382B" w:rsidP="0033382B">
      <w:pPr>
        <w:pStyle w:val="TextoNormal"/>
      </w:pPr>
    </w:p>
    <w:p w:rsidR="0033382B" w:rsidRDefault="0033382B" w:rsidP="0033382B">
      <w:pPr>
        <w:pStyle w:val="TextoNormal"/>
      </w:pPr>
      <w:r>
        <w:t>Como el resto de la impugnación agrupada en este bloque, las alegaciones se refieren exclusivamente al sector energético, por lo que en primer lugar es claro que procede el levantamiento de la medida de suspensión en relación con los servicios de suministro de agua.</w:t>
      </w:r>
    </w:p>
    <w:p w:rsidR="0033382B" w:rsidRDefault="0033382B" w:rsidP="0033382B">
      <w:pPr>
        <w:pStyle w:val="TextoNormal"/>
      </w:pPr>
    </w:p>
    <w:p w:rsidR="0033382B" w:rsidRDefault="0033382B" w:rsidP="0033382B">
      <w:pPr>
        <w:pStyle w:val="TextoNormal"/>
      </w:pPr>
      <w:r>
        <w:t>Los perjuicios que, a juicio del Abogado del Estado, justificarían el mantenimiento de la suspensión, se basan en entender que la creación de este fondo constituye una medida con incidencia inmediata y directa en el régimen económico del sistema eléctrico y gasístico en su conjunto, por la obligación de contribuir económicamente, y en los presupuestos del Estado, en la medida en que no se excluye expresamente, a diferencia de otros preceptos de la norma autonómica.</w:t>
      </w:r>
    </w:p>
    <w:p w:rsidR="0033382B" w:rsidRDefault="0033382B" w:rsidP="0033382B">
      <w:pPr>
        <w:pStyle w:val="TextoNormal"/>
      </w:pPr>
    </w:p>
    <w:p w:rsidR="0033382B" w:rsidRDefault="0033382B" w:rsidP="0033382B">
      <w:pPr>
        <w:pStyle w:val="TextoNormal"/>
      </w:pPr>
      <w:r>
        <w:t>Sin embargo, el precepto no fija criterios cuantitativos que permitan un análisis del grado de afectación al régimen económico de los sistemas eléctrico y gasístico en su conjunto, ni su tenor permite deducir una ineludible vinculación obligatoria de fondos procedentes de los presupuestos estatales. Por ello, al no ser posible inferir de la lectura del precepto la incidencia inmediata y directa que causaría el perjuicio, resulta de aplicación el criterio consolidado de este Tribunal, según el cual el eventual perjuicio “no resulta inmediatamente de lo dispuesto en este precepto legal sino que precisa, para su materialización, de medidas que, yendo más allá de la simple aplicación de la norma, complementen desde una perspectiva general las previsiones legales” que, de obstruir el ejercicio por el Estado de sus competencias podría “ser sometido al juicio de este Tribunal Constitucional (en similares términos, ATC 79/2003, de 6 de marzo, FJ 7, y las resoluciones allí citadas)” [ATC 60/2013, de 26 de febrero, FJ 5, reiterado en el reciente ATC 227/2015, de 15 de diciembre, FFJJ 4 c) y 5 a)].</w:t>
      </w:r>
    </w:p>
    <w:p w:rsidR="0033382B" w:rsidRDefault="0033382B" w:rsidP="0033382B">
      <w:pPr>
        <w:pStyle w:val="TextoNormal"/>
      </w:pPr>
    </w:p>
    <w:p w:rsidR="0033382B" w:rsidRDefault="0033382B" w:rsidP="0033382B">
      <w:pPr>
        <w:pStyle w:val="TextoNormal"/>
      </w:pPr>
      <w:r>
        <w:t>Hay que reparar también en que la aplicación de los instrumentos de apoyo económico a través del fondo contribuiría en alguna medida a atenuar la incidencia económica asociada por el Abogado del Estado a las restantes medidas impugnadas en este bloque. Si, según sus alegaciones, para proteger a las personas en situación de vulnerabilidad económica, la Comunidad Autónoma debería articular un sistema de ayudas directas o de financiación de la deuda que no interfiriera con el sistema eléctrico o gasístico, parece razonable entender que el mantenimiento de la suspensión de esta disposición no contribuye a ese objetivo, sin perjuicio de lo que resulte del desarrollo reglamentario, según ha quedado dicho.</w:t>
      </w:r>
    </w:p>
    <w:p w:rsidR="0033382B" w:rsidRDefault="0033382B" w:rsidP="0033382B">
      <w:pPr>
        <w:pStyle w:val="TextoNormal"/>
      </w:pPr>
    </w:p>
    <w:p w:rsidR="0033382B" w:rsidRDefault="0033382B" w:rsidP="0033382B">
      <w:pPr>
        <w:pStyle w:val="TextoNormal"/>
      </w:pPr>
      <w:r>
        <w:t>Procede en consecuencia alzar la medida de suspensión de la disposición adicional primera de la Ley de Cataluña 20/2014.</w:t>
      </w:r>
    </w:p>
    <w:p w:rsidR="0033382B" w:rsidRDefault="0033382B" w:rsidP="0033382B">
      <w:pPr>
        <w:pStyle w:val="TextoNormal"/>
      </w:pPr>
    </w:p>
    <w:p w:rsidR="0033382B" w:rsidRDefault="0033382B" w:rsidP="0033382B">
      <w:pPr>
        <w:pStyle w:val="TextoNormal"/>
      </w:pPr>
      <w:r w:rsidRPr="0033382B">
        <w:rPr>
          <w:rStyle w:val="NumeroAFNegritaCaracter"/>
        </w:rPr>
        <w:t>4</w:t>
      </w:r>
      <w:r>
        <w:t>. Por regular cuestiones que inciden en el ámbito material de los créditos y préstamos hipotecarios han sido impugnados los arts. 8 [por cuanto añade un nuevo apartado 3 al art. 132.4 de la Ley 22/2010], 13 [por cuanto añade un nuevo apartado 4 al art. 251.6 de la Ley 22/2010], y 20 [por cuanto añade un nuevo apartado 2 al art. 262.6, un nuevo apartado 3 al art. 262.8, un nuevo 262.9 y un nuevo apartado 4 al art. 263.2 de la Ley 22/2010] de la Ley de Cataluña 20/2014.</w:t>
      </w:r>
    </w:p>
    <w:p w:rsidR="0033382B" w:rsidRDefault="0033382B" w:rsidP="0033382B">
      <w:pPr>
        <w:pStyle w:val="TextoNormal"/>
      </w:pPr>
    </w:p>
    <w:p w:rsidR="0033382B" w:rsidRDefault="0033382B" w:rsidP="0033382B">
      <w:pPr>
        <w:pStyle w:val="TextoNormal"/>
      </w:pPr>
      <w:r>
        <w:t>El Abogado del Estado, en sus alegaciones, parte del reconocimiento expreso de que es probable que cada una de las medidas impugnadas, si se consideran aisladamente, no produzcan por sí solas un perjuicio de imposible o difícil reparación, planteando que es la suma de todas ellas la que afecta a la estabilidad del sistema financiero, en la medida en que afecta a la actuación de las entidades de crédito y a los intereses de los particulares. Y por ello entiende que, de levantarse la suspensión se ocasionarían necesariamente unos efectos de imposible o muy difícil reparación especialmente por la asimetría del régimen jurídico aplicable en Cataluña en relación con el resto de España. Ahora bien, para que esta clase de perjuicio pueda ser tomado en consideración es necesario “que esa afirmación haya venido acompañada de una justificación concreta de los perjuicios de imposible o difícil reparación que habrían de producirse por la mera existencia de una diversidad regulatoria”, una diversidad que, por otra parte, “es consustancial con el carácter autonómico de nuestro Estado” [ATC 196/2015, de 18 de noviembre, FJ 3 c), con cita del ATC 80/2008, de 11 de marzo, FJ 6].</w:t>
      </w:r>
    </w:p>
    <w:p w:rsidR="0033382B" w:rsidRDefault="0033382B" w:rsidP="0033382B">
      <w:pPr>
        <w:pStyle w:val="TextoNormal"/>
      </w:pPr>
    </w:p>
    <w:p w:rsidR="0033382B" w:rsidRDefault="0033382B" w:rsidP="0033382B">
      <w:pPr>
        <w:pStyle w:val="TextoNormal"/>
      </w:pPr>
      <w:r>
        <w:t>El planteamiento expuesto implica que los perjuicios anudados al levantamiento de la suspensión serían la consecuencia agregada de los que para cada una de las medidas haya quedado razonado o acreditado, lo que impone su examen por separado.</w:t>
      </w:r>
    </w:p>
    <w:p w:rsidR="0033382B" w:rsidRDefault="0033382B" w:rsidP="0033382B">
      <w:pPr>
        <w:pStyle w:val="TextoNormal"/>
      </w:pPr>
    </w:p>
    <w:p w:rsidR="0033382B" w:rsidRDefault="0033382B" w:rsidP="0033382B">
      <w:pPr>
        <w:pStyle w:val="TextoNormal"/>
      </w:pPr>
      <w:r>
        <w:t>a) El art. 8 adiciona un nuevo apartado 3 al art. 132.4 de la Ley 22/2010, en cuya virtud en los casos de ejecución hipotecaria de la vivienda habitual como consecuencia del incumplimiento del deudor, las partes en conflicto, antes de interponer cualquier reclamación administrativa o demanda judicial, deben acudir a la mediación o pueden acordar someterse al arbitraje. El precepto añade que, transcurrido el plazo de tres meses a contar de la notificación del acuerdo de inicio de la mediación sin haber alcanzado un acuerdo satisfactorio, cualquiera de las partes puede acudir a la reclamación administrativa o a la demanda judicial.</w:t>
      </w:r>
    </w:p>
    <w:p w:rsidR="0033382B" w:rsidRDefault="0033382B" w:rsidP="0033382B">
      <w:pPr>
        <w:pStyle w:val="TextoNormal"/>
      </w:pPr>
    </w:p>
    <w:p w:rsidR="0033382B" w:rsidRDefault="0033382B" w:rsidP="0033382B">
      <w:pPr>
        <w:pStyle w:val="TextoNormal"/>
      </w:pPr>
      <w:r>
        <w:t>Para el Abogado del Estado, la demora de tres meses en el acceso a la jurisdicción puede acarrear perjuicios de difícil reparación, especialmente a las entidades de crédito, en la medida en que afecte a sus previsiones sobre la resolución de conflictos, sin olvidar que toda dilación en estos procedimientos judiciales tiene impacto financiero para ambas partes, también para los consumidores obligados a cumplirlas.</w:t>
      </w:r>
    </w:p>
    <w:p w:rsidR="0033382B" w:rsidRDefault="0033382B" w:rsidP="0033382B">
      <w:pPr>
        <w:pStyle w:val="TextoNormal"/>
      </w:pPr>
    </w:p>
    <w:p w:rsidR="0033382B" w:rsidRDefault="0033382B" w:rsidP="0033382B">
      <w:pPr>
        <w:pStyle w:val="TextoNormal"/>
      </w:pPr>
      <w:r>
        <w:t>Ni el perjuicio así enunciado, que resulta meramente hipotético, ni la dilación en el acceso a la jurisdicción que pueda implicar el plazo de tres meses, frente a la posibilidad de una más pronta solución del conflicto por vía extrajudicial, constituyen elementos que justifiquen el mantenimiento de la suspensión. Como señalara el ATC 103/1994, de 22 de marzo, “la eventual dilación producida en la tramitación de algún o algunos procesos no es un argumento que pueda determinar el mantenimiento de la suspensión de la vigencia de la Ley. En definitiva, el perjuicio que se alega no aparece, al presente, debidamente concretado y mucho menos acreditada la gravedad del mismo, por lo que no resulta suficiente su invocación para aconsejar el mantenimiento de la suspensión de la vigencia de una norma dotada, como producto de una Cámara Legislativa, de la presunción de constitucionalidad” (FJ 2).</w:t>
      </w:r>
    </w:p>
    <w:p w:rsidR="0033382B" w:rsidRDefault="0033382B" w:rsidP="0033382B">
      <w:pPr>
        <w:pStyle w:val="TextoNormal"/>
      </w:pPr>
    </w:p>
    <w:p w:rsidR="0033382B" w:rsidRDefault="0033382B" w:rsidP="0033382B">
      <w:pPr>
        <w:pStyle w:val="TextoNormal"/>
      </w:pPr>
      <w:r>
        <w:t>b) El art. 13 añade un nuevo apartado 4 al art. 251.6 de la Ley 22/2010, a fin de establecer qué cláusulas se considerarán abusivas en los contratos de créditos y préstamos hipotecarios.</w:t>
      </w:r>
    </w:p>
    <w:p w:rsidR="0033382B" w:rsidRDefault="0033382B" w:rsidP="0033382B">
      <w:pPr>
        <w:pStyle w:val="TextoNormal"/>
      </w:pPr>
    </w:p>
    <w:p w:rsidR="0033382B" w:rsidRDefault="0033382B" w:rsidP="0033382B">
      <w:pPr>
        <w:pStyle w:val="TextoNormal"/>
      </w:pPr>
      <w:r>
        <w:t>Los perjuicios alegados en relación con este precepto giran en torno al efecto de cosa juzgada que tendría su aplicación, pues de declararse nulas estas cláusulas por decisión judicial, los efectos serían de imposible o difícil reparación, al no existir cauce para modificar esta decisión.</w:t>
      </w:r>
    </w:p>
    <w:p w:rsidR="0033382B" w:rsidRDefault="0033382B" w:rsidP="0033382B">
      <w:pPr>
        <w:pStyle w:val="TextoNormal"/>
      </w:pPr>
    </w:p>
    <w:p w:rsidR="0033382B" w:rsidRDefault="0033382B" w:rsidP="0033382B">
      <w:pPr>
        <w:pStyle w:val="TextoNormal"/>
      </w:pPr>
      <w:r>
        <w:t xml:space="preserve">Ahora bien, es el propio art. 40.1 de la Ley Orgánica del Tribunal Constitucional el que dispone que las sentencias declaratorias de la inconstitucionalidad de leyes, disposiciones y actos con fuerza de ley no permitirán revisar procesos fenecidos con fuerza de cosa juzgada en los que se haya hecho aplicación de leyes, disposiciones o actos inconstitucionales, con excepciones que no afectan a lo que aquí se analiza. Importa resaltar que la cosa juzgada opera en todo caso, tanto si se mantiene como si se levanta la medida de suspensión, por lo que tanto valdría el argumento si se utilizara en sentido opuesto. Ello hace evidente que el efecto de cosa juzgada no puede </w:t>
      </w:r>
      <w:r w:rsidRPr="0033382B">
        <w:rPr>
          <w:i/>
        </w:rPr>
        <w:t>per se</w:t>
      </w:r>
      <w:r>
        <w:t xml:space="preserve"> contemplarse como un perjuicio, pues está vinculado al nuclear principio de seguridad jurídica (art. 9.3 CE), que reclama la intangibilidad de las situaciones jurídicas consolidadas (por todas, STC 272/2015, de 17 de diciembre, FJ 5). Es, por el contrario, la consecuencia normal y habitual de los procesos de control de constitucionalidad de las leyes, prevista en la Ley reguladora de este Tribunal, y por ello no puede erigirse en fundamento para mantener la suspensión de una ley sobre la que pende un pronunciamiento de inconstitucionalidad.</w:t>
      </w:r>
    </w:p>
    <w:p w:rsidR="0033382B" w:rsidRDefault="0033382B" w:rsidP="0033382B">
      <w:pPr>
        <w:pStyle w:val="TextoNormal"/>
      </w:pPr>
    </w:p>
    <w:p w:rsidR="0033382B" w:rsidRDefault="0033382B" w:rsidP="0033382B">
      <w:pPr>
        <w:pStyle w:val="TextoNormal"/>
      </w:pPr>
      <w:r>
        <w:t>c) Los arts. 262.6.2, 262.8.3 y 262.9 de la Ley 22/2010, incorporados por el art. 20 de la Ley impugnada, introducen respectivamente (i) la exigencia de oferta firmada por el representante del prestamista, con plazo general de validez no inferior a catorce días naturales desde la fecha de entrega; (ii) la prohibición de que prestamistas e intermediarios de crédito o sus representantes utilicen los términos asesoramiento, asesor o parecidos en sus comunicaciones comerciales y en la publicidad; y (iii) el régimen de prohibición de prácticas vinculadas, salvo en determinados supuestos.</w:t>
      </w:r>
    </w:p>
    <w:p w:rsidR="0033382B" w:rsidRDefault="0033382B" w:rsidP="0033382B">
      <w:pPr>
        <w:pStyle w:val="TextoNormal"/>
      </w:pPr>
    </w:p>
    <w:p w:rsidR="0033382B" w:rsidRDefault="0033382B" w:rsidP="0033382B">
      <w:pPr>
        <w:pStyle w:val="TextoNormal"/>
      </w:pPr>
      <w:r>
        <w:t>De los perjuicios que alega el Abogado del Estado para este conjunto de preceptos, ya hemos señalado previamente que ni la mera circunstancia de la diversidad regulatoria ni el efecto de cosa juzgada constituyen base para el mantenimiento de la suspensión. El perjuicio general que de ello se hace derivar, y que afectaría al conjunto del mercado hipotecario, se aduce por remisión al planteamiento general que enmarca esta parte de las alegaciones, y que ya hemos abordado al inicio de este fundamento jurídico.</w:t>
      </w:r>
    </w:p>
    <w:p w:rsidR="0033382B" w:rsidRDefault="0033382B" w:rsidP="0033382B">
      <w:pPr>
        <w:pStyle w:val="TextoNormal"/>
      </w:pPr>
    </w:p>
    <w:p w:rsidR="0033382B" w:rsidRDefault="0033382B" w:rsidP="0033382B">
      <w:pPr>
        <w:pStyle w:val="TextoNormal"/>
      </w:pPr>
      <w:r>
        <w:t>d) Según el nuevo apartado 4 del art. 263.2 de la Ley 22/2010, incorporado asimismo por el art. 20 de la Ley impugnada, el prestamista no podrá conceder el crédito o préstamo hipotecario si el resultado de la evaluación de solvencia de la persona consumidora es negativo, debiendo advertirle por escrito de la imposibilidad de concederle el crédito.</w:t>
      </w:r>
    </w:p>
    <w:p w:rsidR="0033382B" w:rsidRDefault="0033382B" w:rsidP="0033382B">
      <w:pPr>
        <w:pStyle w:val="TextoNormal"/>
      </w:pPr>
    </w:p>
    <w:p w:rsidR="0033382B" w:rsidRDefault="0033382B" w:rsidP="0033382B">
      <w:pPr>
        <w:pStyle w:val="TextoNormal"/>
      </w:pPr>
      <w:r>
        <w:t>El Abogado del Estado alega que esta prohibición de contratación, que difiere radicalmente de la libertad de contratar sancionada en la normativa estatal (art. 18.6 de la Orden EHA/2899/2011, que regula la evaluación de la solvencia sin perjuicio de la libertad de contratación), puede producir perjuicios a los intereses particulares tanto de las entidades prestamistas como de sus clientes, puesto que de aplicarse las entidades bancarias no pueden otorgar préstamos si concurren estas circunstancias.</w:t>
      </w:r>
    </w:p>
    <w:p w:rsidR="0033382B" w:rsidRDefault="0033382B" w:rsidP="0033382B">
      <w:pPr>
        <w:pStyle w:val="TextoNormal"/>
      </w:pPr>
    </w:p>
    <w:p w:rsidR="0033382B" w:rsidRDefault="0033382B" w:rsidP="0033382B">
      <w:pPr>
        <w:pStyle w:val="TextoNormal"/>
      </w:pPr>
      <w:r>
        <w:t>En otros supuestos hemos alzado una medida de suspensión por considerar, entre otros factores, que el endurecimiento de las condiciones de acceso al crédito de las empresas y economías domésticas no deriva necesaria y directamente de la vigencia de la norma (AATC 123/2013, de 21 de mayo, FJ 5; 153/2013, de 9 de julio, FJ 4; y 154/2013, de 9 de julio, FJ 5). En este caso, y pese a la generalidad con la que está formulada la alegación, hemos de apreciar que efectivamente de la aplicación de la norma impugnada derivaría una restricción directa e inmediata en el acceso al crédito susceptible de producir los perjuicios alegados, lo que aconseja en este caso el mantenimiento de la suspensión.</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1º Mantener la suspensión de los siguientes preceptos de la Ley 20/2014, de 29 de diciembre, de modificación de la Ley 22/2010, de 20 de julio, del código de consumo de Cataluña para la mejora de la protección de las personas consumidoras en materia de créditos y préstamos hipotecarios, vulnerabilidad económica y relaciones de consumo:</w:t>
      </w:r>
    </w:p>
    <w:p w:rsidR="0033382B" w:rsidRDefault="0033382B" w:rsidP="0033382B">
      <w:pPr>
        <w:pStyle w:val="TextoNormal"/>
      </w:pPr>
    </w:p>
    <w:p w:rsidR="0033382B" w:rsidRDefault="0033382B" w:rsidP="0033382B">
      <w:pPr>
        <w:pStyle w:val="TextoNormal"/>
      </w:pPr>
      <w:r>
        <w:t>a) En cuanto resultan aplicables a los sectores energéticos del gas y la electricidad, los arts. 17, por cuanto añade al art. 252.4 de la Ley 22/2010 el apartado 7, en sus párrafos primero, segundo inciso (“si no se ha presentado el informe … que se había solicitado”) y tercero, y el apartado 8 y 18.2, por cuanto modifica el apartado 6 del art. 252.5 de la Ley 22/2010.</w:t>
      </w:r>
    </w:p>
    <w:p w:rsidR="0033382B" w:rsidRDefault="0033382B" w:rsidP="0033382B">
      <w:pPr>
        <w:pStyle w:val="TextoNormal"/>
      </w:pPr>
    </w:p>
    <w:p w:rsidR="0033382B" w:rsidRDefault="0033382B" w:rsidP="0033382B">
      <w:pPr>
        <w:pStyle w:val="TextoNormal"/>
      </w:pPr>
      <w:r>
        <w:t>b) Art. 20, por cuanto añade un nuevo apartado 4 al art. 263.2 de la Ley 22/2010.</w:t>
      </w:r>
    </w:p>
    <w:p w:rsidR="0033382B" w:rsidRDefault="0033382B" w:rsidP="0033382B">
      <w:pPr>
        <w:pStyle w:val="TextoNormal"/>
      </w:pPr>
    </w:p>
    <w:p w:rsidR="0033382B" w:rsidRDefault="0033382B" w:rsidP="0033382B">
      <w:pPr>
        <w:pStyle w:val="TextoNormal"/>
      </w:pPr>
      <w:r>
        <w:t>2º Levantar la suspensión de los siguientes preceptos de la Ley 20/2014, de 29 de diciembre, de modificación de la Ley 22/2010, de 20 de julio, del código de consumo de Cataluña para la mejora de la protección de las personas consumidoras en materia de créditos y préstamos hipotecarios, vulnerabilidad económica y relaciones de consumo: arts. 3 [por cuanto añade las letras v) y w) al art. 111.2 de la Ley 22/2010], 8 [por cuanto añade un nuevo apartado 3 al art. 132.4 de la Ley 22/2010], 13 [por cuanto añade un nuevo apartado 4 al art. 251.6 de la Ley 22/2010], 17 [por cuanto añade al art. 252.4 de la Ley 22/2010 el apartado 7, párrafo primero, primer inciso (“las personas en situación de vulnerabilidad económica … en que solicitan su emisión”), y párrafo segundo], 20 [por cuanto añade un nuevo apartado 2 al art. 262.6, un nuevo apartado 3 al art. 262.8, y un nuevo art. 262.9 a la Ley 22/2010] y la disposición adicional primera.</w:t>
      </w:r>
    </w:p>
    <w:p w:rsidR="0033382B" w:rsidRDefault="0033382B" w:rsidP="0033382B">
      <w:pPr>
        <w:pStyle w:val="TextoNormal"/>
      </w:pPr>
    </w:p>
    <w:p w:rsidR="0033382B" w:rsidRDefault="0033382B" w:rsidP="0033382B">
      <w:pPr>
        <w:pStyle w:val="TextoNormal"/>
      </w:pPr>
      <w:r>
        <w:t>Madrid, a doce de abril de dos mil dieciséis.</w:t>
      </w:r>
    </w:p>
    <w:p w:rsidR="0033382B" w:rsidRDefault="0033382B" w:rsidP="0033382B">
      <w:pPr>
        <w:pStyle w:val="ParrafoNormal"/>
      </w:pPr>
    </w:p>
    <w:p w:rsidR="0033382B" w:rsidRDefault="0033382B" w:rsidP="0033382B">
      <w:pPr>
        <w:pStyle w:val="TextoNormalNegritaCentrado"/>
        <w:keepNext/>
      </w:pPr>
      <w:r>
        <w:t>Voto particular que formula el Magistrado don Juan Antonio Xiol Ríos al Auto dictado en el recurso de inconstitucionalidad núm. 5459-2015.</w:t>
      </w:r>
    </w:p>
    <w:p w:rsidR="0033382B" w:rsidRDefault="0033382B" w:rsidP="0033382B">
      <w:pPr>
        <w:pStyle w:val="TextoNormalNegritaCentrado"/>
        <w:keepNext/>
      </w:pPr>
    </w:p>
    <w:p w:rsidR="0033382B" w:rsidRDefault="0033382B" w:rsidP="0033382B">
      <w:pPr>
        <w:pStyle w:val="TextoNormal"/>
      </w:pPr>
      <w:r>
        <w:t>Con el máximo respeto a la opinión mayoritaria de mis compañeros de Pleno en la que se sustenta el Auto, manifiesto mi discrepancia con el apartado 1 a) del fallo y la fundamentación jurídica que justifica dicha decisión de mantenimiento de la suspensión.</w:t>
      </w:r>
    </w:p>
    <w:p w:rsidR="0033382B" w:rsidRDefault="0033382B" w:rsidP="0033382B">
      <w:pPr>
        <w:pStyle w:val="TextoNormal"/>
      </w:pPr>
    </w:p>
    <w:p w:rsidR="0033382B" w:rsidRDefault="0033382B" w:rsidP="0033382B">
      <w:pPr>
        <w:pStyle w:val="TextoNormal"/>
      </w:pPr>
      <w:r>
        <w:t xml:space="preserve">Se mantiene la suspensión de los arts. 17 —en cuanto añade al art. 252.4 de la Ley 22/2010 el apartado 7, párrafo primero, segundo inciso (“si no se ha presentado el informe 756 … que se había solicitado”) y tercero, y el apartado 8— y 18.2 —en cuanto modifica el apartado 6 del art. 252.5 de la Ley 22/2010—, en tanto resulten aplicables a los sectores energéticos del gas y la electricidad. La decisión de suspender se fundamenta en la aplicación del criterio del </w:t>
      </w:r>
      <w:r w:rsidRPr="0033382B">
        <w:rPr>
          <w:i/>
        </w:rPr>
        <w:t>fumus boni iuris</w:t>
      </w:r>
      <w:r>
        <w:t xml:space="preserve"> (apariencia de buen Derecho) en relación con lo resuelto en la Sentencia 62/2016, de 17 de marzo, dictada en el recurso de inconstitucionalidad núm. 5831-2014 sobre estas medidas para afrontar las situaciones de pobreza energética.</w:t>
      </w:r>
    </w:p>
    <w:p w:rsidR="0033382B" w:rsidRDefault="0033382B" w:rsidP="0033382B">
      <w:pPr>
        <w:pStyle w:val="TextoNormal"/>
      </w:pPr>
    </w:p>
    <w:p w:rsidR="0033382B" w:rsidRDefault="0033382B" w:rsidP="0033382B">
      <w:pPr>
        <w:pStyle w:val="TextoNormal"/>
      </w:pPr>
      <w:r>
        <w:t>Las razones que entonces me llevaron a discrepar de aquella decisión y que expuse en el Voto particular son las que ahora me llevan a considerar que también respecto de estos preceptos debería haberse levantado la suspensión, pues (más allá de elementales razones de coherencia) no puedo aceptar que haya apariencia de buen Derecho allí donde, a mi juicio, se adoptó una decisión incompatible con los postulados del Estado social proclamado en el art. 1 CE.</w:t>
      </w:r>
    </w:p>
    <w:p w:rsidR="0033382B" w:rsidRDefault="0033382B" w:rsidP="0033382B">
      <w:pPr>
        <w:pStyle w:val="TextoNormal"/>
      </w:pPr>
    </w:p>
    <w:p w:rsidR="0033382B" w:rsidRDefault="0033382B" w:rsidP="0033382B">
      <w:pPr>
        <w:pStyle w:val="TextoNormal"/>
      </w:pPr>
      <w:r>
        <w:t>Madrid, a doce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00" w:name="AUTO_2016_73"/>
      <w:r>
        <w:t>AUTO 73/2016, de 12 de abril de 2016</w:t>
      </w:r>
    </w:p>
    <w:bookmarkEnd w:id="200"/>
    <w:p w:rsidR="0033382B" w:rsidRDefault="0033382B" w:rsidP="0033382B">
      <w:pPr>
        <w:pStyle w:val="TtuloResolucin"/>
      </w:pPr>
      <w:r>
        <w:t>Pleno</w:t>
      </w:r>
    </w:p>
    <w:p w:rsidR="0033382B" w:rsidRDefault="0033382B" w:rsidP="0033382B">
      <w:pPr>
        <w:pStyle w:val="TextoNormalCentrado"/>
      </w:pPr>
      <w:r>
        <w:t>ECLI:ES:TC:2016:73A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5839-2015, planteada por el Juzgado de Primera Instancia núm. 7 de León en relación con el artículo 16.2 de la Ley 8/1997, de 8 de julio, de colegios profesionales de Castilla y León.</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Constitucional el día 20 de octubre de 2015, al que acompaña testimonio del correspondiente Auto de 28 de agosto de 2015, el Juzgado de Primera Instancia núm. 7 de León plantea cuestión de inconstitucionalidad en relación con el segundo inciso del art. 16.2 de la Ley 8/1997, de 8 de julio, de colegios profesionales de Castilla y León por posible vulneración de los arts. 36, 149.1.1 y 149.1.18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En nombre del Colegio Profesional de Fisioterapeutas de Castilla y León se presentó demanda de juicio monitorio contra E. B. G. F. en el ejercicio de acción de reclamación de cantidad por la falta de abono de las cuotas del Colegio. La demandada había sido dada de alta de oficio por parte del Colegio.</w:t>
      </w:r>
    </w:p>
    <w:p w:rsidR="0033382B" w:rsidRDefault="0033382B" w:rsidP="0033382B">
      <w:pPr>
        <w:pStyle w:val="TextoNormal"/>
      </w:pPr>
    </w:p>
    <w:p w:rsidR="0033382B" w:rsidRDefault="0033382B" w:rsidP="0033382B">
      <w:pPr>
        <w:pStyle w:val="TextoNormal"/>
      </w:pPr>
      <w:r>
        <w:t>b) Admitida a trámite la demanda, la demandada presentó escrito de oposición al proceso monitorio, donde alegó que prestaba sus servicios profesionales para la Junta de Castilla y León en calidad de funcionaria por lo que no venía obligada a causar alta en el Colegio Profesional de Fisioterapeutas de Castilla y León.</w:t>
      </w:r>
    </w:p>
    <w:p w:rsidR="0033382B" w:rsidRDefault="0033382B" w:rsidP="0033382B">
      <w:pPr>
        <w:pStyle w:val="TextoNormal"/>
      </w:pPr>
    </w:p>
    <w:p w:rsidR="0033382B" w:rsidRDefault="0033382B" w:rsidP="0033382B">
      <w:pPr>
        <w:pStyle w:val="TextoNormal"/>
      </w:pPr>
      <w:r>
        <w:t>c) Convocadas las partes a la celebración de la vista, la misma se celebró el 30 de junio de 2015, practicándose la prueba admitida y propuesta y quedando los autos vistos para sentencia. Por la parte demandante se presentó escrito e igualmente se puso de manifiesto en el acto de vista oral, proponiendo el planteamiento de una cuestión de inconstitucionalidad en relación con el segundo inciso del art. 16.2 de la Ley 8/1997, de 8 de julio, de colegios profesionales de Castilla y León por posible vulneración de los arts. 36 y 149.1.18 CE.</w:t>
      </w:r>
    </w:p>
    <w:p w:rsidR="0033382B" w:rsidRDefault="0033382B" w:rsidP="0033382B">
      <w:pPr>
        <w:pStyle w:val="TextoNormal"/>
      </w:pPr>
    </w:p>
    <w:p w:rsidR="0033382B" w:rsidRDefault="0033382B" w:rsidP="0033382B">
      <w:pPr>
        <w:pStyle w:val="TextoNormal"/>
      </w:pPr>
      <w:r>
        <w:t>d) Por providencia de 30 de junio de 2015 el Juzgado de Primera Instancia núm. 7 de León acordó oír a las partes y al Ministerio Fiscal, en el plazo de diez días, sobre la pertinencia de plantear la cuestión de inconstitucionalidad “planteado por la parte demandante”.</w:t>
      </w:r>
    </w:p>
    <w:p w:rsidR="0033382B" w:rsidRDefault="0033382B" w:rsidP="0033382B">
      <w:pPr>
        <w:pStyle w:val="TextoNormal"/>
      </w:pPr>
    </w:p>
    <w:p w:rsidR="0033382B" w:rsidRDefault="0033382B" w:rsidP="0033382B">
      <w:pPr>
        <w:pStyle w:val="TextoNormal"/>
      </w:pPr>
      <w:r>
        <w:t>e) Mediante escrito de 14 de julio de 2015, el Fiscal consideró que no procedía el planteamiento de la cuestión de inconstitucionalidad suscitada por la parte demandante, pues el órgano judicial había vulnerado el procedimiento recogido en el art. 35 de la Ley Orgánica del Tribunal Constitucional (LOTC), al no haber identificado con precisión la norma o normas cuestionadas ni el precepto o preceptos constitucionales que se consideraban vulnerados. Igualmente, no había exteriorizado el razonamiento que le había llevado a cuestionar la constitucionalidad de la norma aplicable ni había realizado tampoco el juicio de aplicabilidad y relevancia. Para el Fiscal no procedía que el Juez se remitiera a las dudas que sobre la constitucionalidad de una norma hubieran expresado las partes.</w:t>
      </w:r>
    </w:p>
    <w:p w:rsidR="0033382B" w:rsidRDefault="0033382B" w:rsidP="0033382B">
      <w:pPr>
        <w:pStyle w:val="TextoNormal"/>
      </w:pPr>
    </w:p>
    <w:p w:rsidR="0033382B" w:rsidRDefault="0033382B" w:rsidP="0033382B">
      <w:pPr>
        <w:pStyle w:val="TextoNormal"/>
      </w:pPr>
      <w:r>
        <w:t>Igualmente, considera que no procede el planteamiento de la cuestión pues la duda suscitada por la parte ya fue inadmitida por el Tribunal cuando se planteó en 2002 por lo que resulta notoriamente infundada.</w:t>
      </w:r>
    </w:p>
    <w:p w:rsidR="0033382B" w:rsidRDefault="0033382B" w:rsidP="0033382B">
      <w:pPr>
        <w:pStyle w:val="TextoNormal"/>
      </w:pPr>
    </w:p>
    <w:p w:rsidR="0033382B" w:rsidRDefault="0033382B" w:rsidP="0033382B">
      <w:pPr>
        <w:pStyle w:val="TextoNormal"/>
      </w:pPr>
      <w:r>
        <w:t>Argumenta, asimismo, el Fiscal que, de acuerdo con la doctrina del Tribunal Constitucional “es perfectamente admisible que las exigencias establecidas con carácter general, como es el requisito de la colegiación obligatoria, cedan o no sean de aplicación en casos ... de que quienes ejerzan la profesión colegiada lo hagan únicamente como funcionarios o en el ámbito exclusivo de la Administración pública, sin pretender ejercer privadamente la actividad profesional, con lo cual ‘viene a privarse de razón de ser al sometimiento a una organización colegial justificada en los demás casos (STC 69/1985, FJ 2)’; en tal supuesto, la Administración asumiría directamente la tutela de los fines públicos concurrentes en el ejercicio de las profesiones colegiadas que, con carácter general, se encomiendan a los colegios profesionales”.</w:t>
      </w:r>
    </w:p>
    <w:p w:rsidR="0033382B" w:rsidRDefault="0033382B" w:rsidP="0033382B">
      <w:pPr>
        <w:pStyle w:val="TextoNormal"/>
      </w:pPr>
    </w:p>
    <w:p w:rsidR="0033382B" w:rsidRDefault="0033382B" w:rsidP="0033382B">
      <w:pPr>
        <w:pStyle w:val="TextoNormal"/>
      </w:pPr>
      <w:r>
        <w:t>f) Asimismo, la parte demandada, mediante escrito de 15 de julio de 2015, se muestra en contra del planteamiento de la cuestión por considerarla notoriamente infundada. Recuerda, así, lo que el Tribunal Constitucional estableció en el ATC 268/2002, de 10 de diciembre, FJ 4, en relación con una cuestión de inconstitucionalidad frente al mismo art. 16.2 de la Ley 8/1997, de 8 de julio, de colegios profesionales de Castilla y León.</w:t>
      </w:r>
    </w:p>
    <w:p w:rsidR="0033382B" w:rsidRDefault="0033382B" w:rsidP="0033382B">
      <w:pPr>
        <w:pStyle w:val="TextoNormal"/>
      </w:pPr>
    </w:p>
    <w:p w:rsidR="0033382B" w:rsidRDefault="0033382B" w:rsidP="0033382B">
      <w:pPr>
        <w:pStyle w:val="TextoNormal"/>
      </w:pPr>
      <w:r>
        <w:t>g) El órgano judicial dictó Auto de 28 de agosto de 2015, planteando cuestión de inconstitucionalidad sobre el segundo inciso del art. 16.2 de la Ley 8/1997, de 8 de julio, de colegios profesionales de Castilla y León por posible vulneración de los arts. 36, 149.1.1 y 149.1.18 CE que se inadmitió por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3</w:t>
      </w:r>
      <w:r>
        <w:t>. Tras resumir los antecedentes y las posturas de las partes, el Auto de 28 de agosto de 2015 expone los presupuestos jurídicos para el planteamiento de la cuestión.</w:t>
      </w:r>
    </w:p>
    <w:p w:rsidR="0033382B" w:rsidRDefault="0033382B" w:rsidP="0033382B">
      <w:pPr>
        <w:pStyle w:val="TextoNormal"/>
      </w:pPr>
    </w:p>
    <w:p w:rsidR="0033382B" w:rsidRDefault="0033382B" w:rsidP="0033382B">
      <w:pPr>
        <w:pStyle w:val="TextoNormal"/>
      </w:pPr>
      <w:r>
        <w:t>Comienza, en primer lugar, señalando que la cuestión versa sobre una norma con fuerza de ley, la expresada en el segundo inciso del art. 16.2 de la Ley 8/1997, de 8 de julio, de colegios profesionales de Castilla y León. Aborda, a continuación, la justificación de que la decisión del proceso depende de la validez constitucional de la norma cuestionada. El Juzgado promotor señala que la demandada se opone a la reclamación del pago de las cuotas como miembro del colegio profesional de fisioterapeutas de Castilla y León argumentando que viene ejercitando su profesión por cuenta y orden de la Junta de Castilla y León, en calidad de funcionaria, y por ello, al ser funcionaria, no viene obligada a causar alta en el colegio profesional de fisioterapeutas de Castilla y León. La Sentencia que haya de ser dictada depende de manera absoluta de la constitucionalidad de la norma con rango de ley que se cuestiona.</w:t>
      </w:r>
    </w:p>
    <w:p w:rsidR="0033382B" w:rsidRDefault="0033382B" w:rsidP="0033382B">
      <w:pPr>
        <w:pStyle w:val="TextoNormal"/>
      </w:pPr>
    </w:p>
    <w:p w:rsidR="0033382B" w:rsidRDefault="0033382B" w:rsidP="0033382B">
      <w:pPr>
        <w:pStyle w:val="TextoNormal"/>
      </w:pPr>
      <w:r>
        <w:t>En segundo lugar, se refiere a los preceptos constitucionales que considera infringidos: los arts. 149.1.18, en relación con los arts. 149.1.1 y 36 CE, en cuanto que de ellos deriva la atribución al Estado de la competencia para establecer la colegiación obligatoria y las excepciones que puedan afectar a los empleados públicos. Y de manera mediata, el art. 3.2 de la Ley 2/1974, de 13 de febrero, de colegios profesionales, que establece que “será requisito indispensable para el ejercicio de las profesiones hallarse incorporado al Colegio Profesional correspondiente cuando así lo establezca una ley estatal”.</w:t>
      </w:r>
    </w:p>
    <w:p w:rsidR="0033382B" w:rsidRDefault="0033382B" w:rsidP="0033382B">
      <w:pPr>
        <w:pStyle w:val="TextoNormal"/>
      </w:pPr>
    </w:p>
    <w:p w:rsidR="0033382B" w:rsidRDefault="0033382B" w:rsidP="0033382B">
      <w:pPr>
        <w:pStyle w:val="TextoNormal"/>
      </w:pPr>
      <w:r>
        <w:t>En tercer lugar, justifica las dudas de constitucionalidad, refiriéndose a diferentes Sentencias del Tribunal Constitucional que resuelven cuestiones de inconstitucionalidad declarando la inconstitucionalidad y nulidad de normas que a semejanza de la Ley 8/1997, de Castilla y León, establecían la inexigibilidad de la colegiación obligatoria para los profesionales vinculados a la administración pública. Reproduce ampliamente lo afirmado por el Tribunal Constitucional en la STC 150/2014.</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19 de enero de 2016, la Sección Cuarta de este Tribunal acordó, a los efectos del art. 37.1 LOTC, conferir plazo de diez días al Fiscal General del Estado para que alegara lo que considerara conveniente en relación con el cumplimiento de los requisitos procesales (art. 35.2 LOTC) y por si hubiera perdido objeto de forma sobrevenida (STC 229/2015, de 2 de noviembre de 2015).</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en este Tribunal el 24 de febrero de 2016. En el mismo, interesa la inadmisión de la presente cuestión por deficiencias en el cumplimiento de los requisitos procesales y por pérdida sobrevenida de objeto.</w:t>
      </w:r>
    </w:p>
    <w:p w:rsidR="0033382B" w:rsidRDefault="0033382B" w:rsidP="0033382B">
      <w:pPr>
        <w:pStyle w:val="TextoNormal"/>
      </w:pPr>
    </w:p>
    <w:p w:rsidR="0033382B" w:rsidRDefault="0033382B" w:rsidP="0033382B">
      <w:pPr>
        <w:pStyle w:val="TextoNormal"/>
      </w:pPr>
      <w:r>
        <w:t>Tras hacer una exposición de los antecedentes del caso, el Ministerio público considera que no se han cumplido por parte del órgano judicial que plantea la cuestión de inconstitucionalidad, los trámites previstos en el art. 35.2 LOTC, pues la providencia de 30 de junio de 2015 del Juzgado de Primera Instancia núm. 7 de León se limita a trasladar a las partes y al Ministerio Fiscal la duda de inconstitucionalidad que la parte demandante formula sin especificar el precepto legal autonómico que podría ser inconstitucional y los preceptos constitucionales con los que entraría en contradicción, faltando así a lo preceptuado en el art. 35.2 LOTC que impone al órgano judicial, antes de promover cuestión de inconstitucionalidad, oír a las partes y al Ministerio Fiscal sobre “la norma legal cuya constitucionalidad se cuestiona y el precepto constitucional que se supone infringido”. Igualmente, el órgano judicial proponente omitió la audiencia de la parte que solicitaba el planteamiento de la cuestión. Al no haberse formulado el trámite de audiencia adecuadamente, se produce un óbice procesal que determinaría la inadmisión de la cuestión por faltar las condiciones procesales exigidas por el art. 35.2 LOTC.</w:t>
      </w:r>
    </w:p>
    <w:p w:rsidR="0033382B" w:rsidRDefault="0033382B" w:rsidP="0033382B">
      <w:pPr>
        <w:pStyle w:val="TextoNormal"/>
      </w:pPr>
    </w:p>
    <w:p w:rsidR="0033382B" w:rsidRDefault="0033382B" w:rsidP="0033382B">
      <w:pPr>
        <w:pStyle w:val="TextoNormal"/>
      </w:pPr>
      <w:r>
        <w:t>Asimismo, señala que la presente cuestión es sustancialmente igual que la que ha sido resuelta por la STC 229/2015, de 2 de noviembre, y, en consecuencia, procede acordar la inadmisión de la presente cuestión por perdida sobrevenida de objeto ya que el precepto cuestionado ha sido expulsado del ordenamiento jurídico.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Juzgado de Primera Instancia núm. 7 de León plantea cuestión de inconstitucionalidad en relación con el segundo inciso del art. 16.2 de la Ley 8/1997, de 8 de julio, de colegios profesionales de Castilla y León por posible vulneración de los arts. 36, 149.1.1 y 149.1.18 CE.</w:t>
      </w:r>
    </w:p>
    <w:p w:rsidR="0033382B" w:rsidRDefault="0033382B" w:rsidP="0033382B">
      <w:pPr>
        <w:pStyle w:val="TextoNormal"/>
      </w:pPr>
    </w:p>
    <w:p w:rsidR="0033382B" w:rsidRDefault="0033382B" w:rsidP="0033382B">
      <w:pPr>
        <w:pStyle w:val="TextoNormal"/>
      </w:pPr>
      <w:r>
        <w:t xml:space="preserve">Considera el Juzgado que la exigencia de la colegiación obligatoria para el ejercicio de una determinada profesión y, en consecuencia, sus excepciones, forman parte de la competencia estatal del art. 149.1.18 CE y constituye, además, la condición básica que garantiza la igualdad en el ejercicio de los derechos y deberes constitucionales </w:t>
      </w:r>
      <w:r w:rsidRPr="0033382B">
        <w:rPr>
          <w:i/>
        </w:rPr>
        <w:t>ex</w:t>
      </w:r>
      <w:r>
        <w:t xml:space="preserve"> art. 149.1.1 CE.</w:t>
      </w:r>
    </w:p>
    <w:p w:rsidR="0033382B" w:rsidRDefault="0033382B" w:rsidP="0033382B">
      <w:pPr>
        <w:pStyle w:val="TextoNormal"/>
      </w:pPr>
    </w:p>
    <w:p w:rsidR="0033382B" w:rsidRDefault="0033382B" w:rsidP="0033382B">
      <w:pPr>
        <w:pStyle w:val="TextoNormal"/>
      </w:pPr>
      <w:r>
        <w:t>La Fiscal General del Estado, como se ha dejado constancia en los antecedentes, se opone a la admisión a trámite de la cuestión de inconstitucionalidad por entender incumplidas las condiciones procesales requeridas para su planteamiento, así como por considerar que la cuestión planteada ha perdido objeto tras la STC 229/2015 de 2 de noviembre.</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el art. 37.1 de la Ley Orgánica del Tribunal Constitucional (LOTC), este Tribunal puede rechazar en trámite de admisión, mediante Auto y sin otra audiencia que la del Fiscal General del Estado, la cuestión de inconstitucionalidad cuando faltaren las condiciones procesales o fuere notoriamente infundada.</w:t>
      </w:r>
    </w:p>
    <w:p w:rsidR="0033382B" w:rsidRDefault="0033382B" w:rsidP="0033382B">
      <w:pPr>
        <w:pStyle w:val="TextoNormal"/>
      </w:pPr>
    </w:p>
    <w:p w:rsidR="0033382B" w:rsidRDefault="0033382B" w:rsidP="0033382B">
      <w:pPr>
        <w:pStyle w:val="TextoNormal"/>
      </w:pPr>
      <w:r>
        <w:t>El órgano judicial dictó providencia de 30 de junio de 2015, por el que acordó abrir a algunas de las partes y al Ministerio Fiscal el trámite previsto en el art. 35 LOTC. Pero lo otorgó afirmando “planteado por la parte demandante cuestión de inconstitucionalidad, dése traslado a las demás partes y al Ministerio Fiscal para que…manifiesten lo que a su derecho convenga sobre la pertinencia de la cuestión de inconstitucionalidad”. Esto es, sin mencionar los preceptos legales sobre cuya constitucionalidad albergaba dudas y sin identificar el precepto constitucional que se estima vulnerado.</w:t>
      </w:r>
    </w:p>
    <w:p w:rsidR="0033382B" w:rsidRDefault="0033382B" w:rsidP="0033382B">
      <w:pPr>
        <w:pStyle w:val="TextoNormal"/>
      </w:pPr>
    </w:p>
    <w:p w:rsidR="0033382B" w:rsidRDefault="0033382B" w:rsidP="0033382B">
      <w:pPr>
        <w:pStyle w:val="TextoNormal"/>
      </w:pPr>
      <w:r>
        <w:t>La doctrina constitucional (por todas, STC 95/2015, de 14 de mayo, FJ 2) subraya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En este sentido, hemos destacado también que el mismo no puede minimizarse, reduciéndolo a un simple trámite, carente de más transcendencia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(por todas, STC 222/2012, de 27 de noviembre, FJ 3)”. No hacerlo, como ocurre en este caso, donde la providencia del Juzgado de Primera Instancia núm. 7 de León que da traslado a las partes para que informen sobre la duda de constitucionalidad de la norma, ni identifica con precisión los preceptos legales sobre cuya constitucionalidad se albergan dudas, ni determina tampoco las normas de la Constitución que se consideren vulneradas, supondría, en aplicación de esta regla general, la inadmisión de la cuestión de inconstitucionalidad por falta de requisitos procesales.</w:t>
      </w:r>
    </w:p>
    <w:p w:rsidR="0033382B" w:rsidRDefault="0033382B" w:rsidP="0033382B">
      <w:pPr>
        <w:pStyle w:val="TextoNormal"/>
      </w:pPr>
    </w:p>
    <w:p w:rsidR="0033382B" w:rsidRDefault="0033382B" w:rsidP="0033382B">
      <w:pPr>
        <w:pStyle w:val="TextoNormal"/>
      </w:pPr>
      <w:r>
        <w:t>Además, esa omisión del órgano judicial no queda subsanada por su alusión a lo solicitado por la parte demandante al respecto. En tal sentido, este Tribunal ha venido rechazando que el trámite de audiencia pueda entenderse debidamente satisfecho cuando, en la resolución por la que se concede dicha audiencia, el órgano promotor no concreta los preceptos legales y constitucionales en contraste, sino que únicamente existe una mera remisión a escritos o alegaciones de las partes sobre el planteamiento de la cuestión de inconstitucionalidad, dado que es la opinión del órgano judicial “sobre la que se consulta a las partes, y la que debe quedar explícitamente formulada” (ATC 299/2005, de 5 de julio, FJ 3; o STC 166/2007, de 4 de julio, FJ 6; y AATC 456/2007, de 12 de diciembre, FJ 2; 184/2011, de 20 de diciembre, FJ 2; 128/2012, de 19 de junio, FJ 2; 35/2013, de 12 de febrero, FJ 4).</w:t>
      </w:r>
    </w:p>
    <w:p w:rsidR="0033382B" w:rsidRDefault="0033382B" w:rsidP="0033382B">
      <w:pPr>
        <w:pStyle w:val="TextoNormal"/>
      </w:pPr>
    </w:p>
    <w:p w:rsidR="0033382B" w:rsidRDefault="0033382B" w:rsidP="0033382B">
      <w:pPr>
        <w:pStyle w:val="TextoNormal"/>
      </w:pPr>
      <w:r>
        <w:t>En consecuencia, la traslación de la doctrina constitucional expuesta al presente procedimiento, en que, como se ha dicho, el órgano judicial no ha dado correctamente audiencia a las partes, lleva a concluir que no se han cumplido las exigencias establecidas por el art. 35.2 LOTC respecto al trámite de audiencia, en los términos exigidos por la jurisprudencia constitucional.</w:t>
      </w:r>
    </w:p>
    <w:p w:rsidR="0033382B" w:rsidRDefault="0033382B" w:rsidP="0033382B">
      <w:pPr>
        <w:pStyle w:val="TextoNormal"/>
      </w:pPr>
    </w:p>
    <w:p w:rsidR="0033382B" w:rsidRDefault="0033382B" w:rsidP="0033382B">
      <w:pPr>
        <w:pStyle w:val="TextoNormal"/>
      </w:pPr>
      <w:r w:rsidRPr="0033382B">
        <w:rPr>
          <w:rStyle w:val="NumeroAFNegritaCaracter"/>
        </w:rPr>
        <w:t>3</w:t>
      </w:r>
      <w:r>
        <w:t>. Además, las dudas de constitucionalidad que han llevado al Juzgado de Primera Instancia núm. 7 de León a plantear mediante Auto de 28 de agosto de 2015 la presente cuestión son prácticamente idénticas a las exteriorizadas en su día por la Sala de lo Contencioso-Administrativo del Tribunal Superior de Justicia de Castilla y León en la cuestión de inconstitucionalidad núm. 3215-2015 y que fueron resueltas por la STC 229/2015, de 2 de noviembre.</w:t>
      </w:r>
    </w:p>
    <w:p w:rsidR="0033382B" w:rsidRDefault="0033382B" w:rsidP="0033382B">
      <w:pPr>
        <w:pStyle w:val="TextoNormal"/>
      </w:pPr>
    </w:p>
    <w:p w:rsidR="0033382B" w:rsidRDefault="0033382B" w:rsidP="0033382B">
      <w:pPr>
        <w:pStyle w:val="TextoNormal"/>
      </w:pPr>
      <w:r>
        <w:t>En efecto, la STC 229/2015, de 2 de noviembre, ha declarado la inconstitucionalidad y nulidad del inciso “ni para la realización de actividades propias de una profesión por cuenta de aquéllas, cuando el destinatario inmediato de tales actividades sea la Administración” del art. 16.2 de la Ley 8/1997, de 8 de julio, de colegios profesionales de Castilla y León. El art. 164 CE, y también el art. 38 LOTC, disponen que las Sentencias del Tribunal Constitucional que declaren la inconstitucionalidad de una ley tienen efectos contra todos desde que se publiquen en el “BOE”. Dicha STC 229/2015 se publicó en el “BOE” núm. 296, de 11 de diciembre de 2015, por lo que a partir de ese momento el inciso “ni para la realización de actividades propias de una profesión por cuenta de aquéllas, cuando el destinatario inmediato de tales actividades sea la Administración” del art. 16.2 de la Ley 8/1997, de 8 de julio, de colegios profesionales de Castilla y León, no puede regir la resolución de ningún litigio, ni siquiera de aquellos que estén pendientes de sentencia. Por ello, una vez eliminado del ordenamiento jurídico el inciso anteriormente señalado, procede acordar, como consecuencia de ello, la inadmisión de la presente cuestión de inconstitucionalidad por pérdida sobrevenida de objeto.</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 núm. 5839-2015.</w:t>
      </w:r>
    </w:p>
    <w:p w:rsidR="0033382B" w:rsidRDefault="0033382B" w:rsidP="0033382B">
      <w:pPr>
        <w:pStyle w:val="TextoNormal"/>
      </w:pPr>
    </w:p>
    <w:p w:rsidR="0033382B" w:rsidRDefault="0033382B" w:rsidP="0033382B">
      <w:pPr>
        <w:pStyle w:val="TextoNormal"/>
      </w:pPr>
      <w:r>
        <w:t>Madrid, a doce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01" w:name="AUTO_2016_74"/>
      <w:r>
        <w:t>AUTO 74/2016, de 12 de abril de 2016</w:t>
      </w:r>
    </w:p>
    <w:bookmarkEnd w:id="201"/>
    <w:p w:rsidR="0033382B" w:rsidRDefault="0033382B" w:rsidP="0033382B">
      <w:pPr>
        <w:pStyle w:val="TtuloResolucin"/>
      </w:pPr>
      <w:r>
        <w:t>Pleno</w:t>
      </w:r>
    </w:p>
    <w:p w:rsidR="0033382B" w:rsidRDefault="0033382B" w:rsidP="0033382B">
      <w:pPr>
        <w:pStyle w:val="TextoNormalCentrado"/>
      </w:pPr>
      <w:r>
        <w:t>ECLI:ES:TC:2016:74A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6313-2015, planteada por el Juzgado de lo Contencioso-Administrativo núm. 1 de Santander en relación con el artículo 65 bis.1 de la Ley 2/2001, de 25 de junio, de ordenación territorial y del régimen urbanístico del suelo de Cantabria.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Mediante escrito registrado en este Tribunal Constitucional el 11 de noviembre de 2015, al que se acompaña, junto con el testimonio del procedimiento correspondiente (recurso ordinario 166-2014), el Auto de 20 de octubre de 2015, el Juzgado de lo Contencioso-Administrativo núm. 1 de Santander, acordó plantear cuestión de inconstitucionalidad respecto al art. 65 </w:t>
      </w:r>
      <w:r w:rsidRPr="0033382B">
        <w:rPr>
          <w:i/>
        </w:rPr>
        <w:t>bis</w:t>
      </w:r>
      <w:r>
        <w:t>.1 de la Ley 2/2001, de 25 de junio, de ordenación territorial y del régimen urbanístico del suelo de Cantabria, añadido por el art. 1 de la Ley 4/2013, de 20 de junio, en cuanto dice “órdenes de demolición judiciales”, por posible vulneración de los arts. 24, 117.3 y 149.1.6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 xml:space="preserve">a) La Asociación de Vecinos de Escalante deduce recurso contencioso-administrativo contra la resolución del Ayuntamiento de Escalante de 14 de abril de 2014, en la que se acuerda otorgar autorización provisional </w:t>
      </w:r>
      <w:r w:rsidRPr="0033382B">
        <w:rPr>
          <w:i/>
        </w:rPr>
        <w:t>ex</w:t>
      </w:r>
      <w:r>
        <w:t xml:space="preserve"> art. 65 </w:t>
      </w:r>
      <w:r w:rsidRPr="0033382B">
        <w:rPr>
          <w:i/>
        </w:rPr>
        <w:t>bis</w:t>
      </w:r>
      <w:r>
        <w:t>.1 de la Ley 2/2001 al edificio La Torres de Escalante, al ser conforme con las determinaciones del nuevo plan general de ordenación urbana en tramitación y aprobado inicialmente. Este recurso se tramita ante el Juzgado de lo Contencioso-Administrativo núm. 1 de Santander como recurso ordinario 166-2014.</w:t>
      </w:r>
    </w:p>
    <w:p w:rsidR="0033382B" w:rsidRDefault="0033382B" w:rsidP="0033382B">
      <w:pPr>
        <w:pStyle w:val="TextoNormal"/>
      </w:pPr>
    </w:p>
    <w:p w:rsidR="0033382B" w:rsidRDefault="0033382B" w:rsidP="0033382B">
      <w:pPr>
        <w:pStyle w:val="TextoNormal"/>
      </w:pPr>
      <w:r>
        <w:t xml:space="preserve">En relación a este edificio la Sentencia del Tribunal Superior de Justicia de Cantabria de 9 de diciembre de 1992 había ordenado su demolición. Dentro del procedimiento orientado a su ejecución forzosa se suscitó incidente de imposibilidad legal de ejecución al amparo de la autorización provisional que es objeto del presente recurso contencioso. La Sala acordó mediante Auto de 24 de octubre de 2014 plantear cuestión de inconstitucionalidad que ha sido estimada por la STC 254/2015, de 30 noviembre 2015, que en consecuencia declara nulo el art. 65 </w:t>
      </w:r>
      <w:r w:rsidRPr="0033382B">
        <w:rPr>
          <w:i/>
        </w:rPr>
        <w:t>bis</w:t>
      </w:r>
      <w:r>
        <w:t>.1 de la Ley 2/2001.</w:t>
      </w:r>
    </w:p>
    <w:p w:rsidR="0033382B" w:rsidRDefault="0033382B" w:rsidP="0033382B">
      <w:pPr>
        <w:pStyle w:val="TextoNormal"/>
      </w:pPr>
    </w:p>
    <w:p w:rsidR="0033382B" w:rsidRDefault="0033382B" w:rsidP="0033382B">
      <w:pPr>
        <w:pStyle w:val="TextoNormal"/>
      </w:pPr>
      <w:r>
        <w:t xml:space="preserve">b) Conclusa la tramitación del proceso a quo, el Juzgado de lo Contencioso-Administrativo núm. 1 de Santander dictó providencia de 28 de agosto de 2015, por la que, conforme al art. 35.2 de la Ley Orgánica del Tribunal Constitucional (LOTC), acuerda oír a las partes y al Ministerio Fiscal sobre la pertinencia de plantear cuestión de inconstitucionalidad respecto del art 65 </w:t>
      </w:r>
      <w:r w:rsidRPr="0033382B">
        <w:rPr>
          <w:i/>
        </w:rPr>
        <w:t>bis</w:t>
      </w:r>
      <w:r>
        <w:t>.1 de la de la Ley 2/2001, por posible vulneración de los arts. 24, 117.3 y 149.1.6 CE.</w:t>
      </w:r>
    </w:p>
    <w:p w:rsidR="0033382B" w:rsidRDefault="0033382B" w:rsidP="0033382B">
      <w:pPr>
        <w:pStyle w:val="TextoNormal"/>
      </w:pPr>
    </w:p>
    <w:p w:rsidR="0033382B" w:rsidRDefault="0033382B" w:rsidP="0033382B">
      <w:pPr>
        <w:pStyle w:val="TextoNormal"/>
      </w:pPr>
      <w:r>
        <w:t>El Fiscal, en escrito de 23 de septiembre de 2015, informa que procede el planteamiento de la cuestión. El representante del Ayuntamiento de Escalante, en escrito de 8 de septiembre, sostiene que concurre el juicio de relevancia y, sobre el fondo del asunto, se remite a lo afirmado en los escritos previos evacuados en el proceso y, además, puntualiza que en todo caso la cuestión se limitaría al aserto “o judiciales”.</w:t>
      </w:r>
    </w:p>
    <w:p w:rsidR="0033382B" w:rsidRDefault="0033382B" w:rsidP="0033382B">
      <w:pPr>
        <w:pStyle w:val="TextoNormal"/>
      </w:pPr>
    </w:p>
    <w:p w:rsidR="0033382B" w:rsidRDefault="0033382B" w:rsidP="0033382B">
      <w:pPr>
        <w:pStyle w:val="TextoNormal"/>
      </w:pPr>
      <w:r>
        <w:t xml:space="preserve">c) Por Auto de 20 de octubre de 2015 el Juzgado de lo Contencioso-Administrativo núm. 1 de Santander acordó plantear cuestión de inconstitucionalidad respecto al art. 65 </w:t>
      </w:r>
      <w:r w:rsidRPr="0033382B">
        <w:rPr>
          <w:i/>
        </w:rPr>
        <w:t>bis</w:t>
      </w:r>
      <w:r>
        <w:t>.1 de la Ley 2/2001, en cuanto dice “órdenes de demolición judiciales”, por posible vulneración de los arts. 24, 117.3 y 149.1.6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argumenta el juicio de aplicabilidad y relevancia diciendo que “el recurso contencioso que debe resolverse en este PO 166/2014 no puede decidir cuestiones referidas a la ejecución de esos fallos, ni analizar si el acto administrativo se dicta para eludirlos o si supone o no un intento de incumplimiento o una causa de inejecución, conforme a los arts. 104.4 y 5 105 LJ. Estas cuestiones solo pueden resolverse por el órgano con competencia funcional para la ejecución en los incidentes ejecutivos oportunos. Sin embargo, la existencia de este control paralelo en vía ejecutiva no impide un control de legalidad del acto administrativo desde el resto de parámetros ajenos al contenido de la ejecución de los preceptos indicados .... Es en relación a esta operación que se argumenta por el actor que la autorización no cumple las determinaciones del precepto legal, por cuanto el edificio en cuestión ni siquiera se ajusta a las determinaciones del nuevo PGOU en trámite, lo que de ser cierto llevaría a la estimación de la demanda con anulación del acto. No obstante, como se dice, existe una duda sobre la constitucionalidad de la norma de cobertura, sin la cual la administración no podría dictar el acto y que, de confirmarse, supondrá la nulidad de ese acto al carecer de sustento en una ley o norma”.</w:t>
      </w:r>
    </w:p>
    <w:p w:rsidR="0033382B" w:rsidRDefault="0033382B" w:rsidP="0033382B">
      <w:pPr>
        <w:pStyle w:val="TextoNormal"/>
      </w:pPr>
    </w:p>
    <w:p w:rsidR="0033382B" w:rsidRDefault="0033382B" w:rsidP="0033382B">
      <w:pPr>
        <w:pStyle w:val="TextoNormal"/>
      </w:pPr>
      <w:r>
        <w:t xml:space="preserve">Por lo que hace al fundamento de la duda de constitucionalidad, señala que en el procedimiento que se seguía para la ejecución de la STSJ Cantabria de 9 de diciembre de 1992, y en otros procedimientos de ejecución similares, se ha planteado cuestión de inconstitucionalidad respecto del art. 65 </w:t>
      </w:r>
      <w:r w:rsidRPr="0033382B">
        <w:rPr>
          <w:i/>
        </w:rPr>
        <w:t>bis</w:t>
      </w:r>
      <w:r>
        <w:t xml:space="preserve">.1 de la Ley 2/2001. Y añade que “las razones dadas en tales autos de planteamiento se comparten considerándose que existe la duda sobre la constitucionalidad de la regulación autonómica”. A continuación, en los razonamientos jurídicos segundo, tercero y cuarto se exponen tales razonamientos, que en esencia son que el art. 65 </w:t>
      </w:r>
      <w:r w:rsidRPr="0033382B">
        <w:rPr>
          <w:i/>
        </w:rPr>
        <w:t>bis</w:t>
      </w:r>
      <w:r>
        <w:t>.1 de la Ley 2/2001, en la parte que se refiere a las órdenes de demolición judiciales, puede ser lesivo del art. 149.1.6 CE, del derecho a la ejecución de sentencias que garantiza el art. 24 CE y del art. 117.3 CE.</w:t>
      </w:r>
    </w:p>
    <w:p w:rsidR="0033382B" w:rsidRDefault="0033382B" w:rsidP="0033382B">
      <w:pPr>
        <w:pStyle w:val="TextoNormal"/>
      </w:pPr>
    </w:p>
    <w:p w:rsidR="0033382B" w:rsidRDefault="0033382B" w:rsidP="0033382B">
      <w:pPr>
        <w:pStyle w:val="TextoNormal"/>
      </w:pPr>
      <w:r>
        <w:t>La Sala sostiene, en primer lugar, que el referido precepto, al establecer que “durante el tiempo en el que estén vigentes las autorizaciones provisionales las edificaciones afectadas se mantendrán en la situación en la que se encuentren y les será de aplicación el régimen previsto para los edificios de fuera de ordenación”, está introduciendo una causa de suspensión de la ejecución de las sentencias que vulnera las competencias que el art. 149.1.6 CE atribuye al Estado en materia de legislación procesal.</w:t>
      </w:r>
    </w:p>
    <w:p w:rsidR="0033382B" w:rsidRDefault="0033382B" w:rsidP="0033382B">
      <w:pPr>
        <w:pStyle w:val="TextoNormal"/>
      </w:pPr>
    </w:p>
    <w:p w:rsidR="0033382B" w:rsidRDefault="0033382B" w:rsidP="0033382B">
      <w:pPr>
        <w:pStyle w:val="TextoNormal"/>
      </w:pPr>
      <w:r>
        <w:t>También considera que la autorización provisional que establece el precepto cuestionado, al impedir la demolición acordada en la Sentencia, es contraria al derecho a la ejecución de sentencias, derecho que forma parte del derecho fundamental a la tutela judicial efectiva (art. 24.1 CE), y puede lesionar el art 117.3 CE, ya que permite que la Administración pueda frustrar el cumplimiento del fallo de la Sentencia, sustrayendo de este modo de los Jueces y Tribunales la facultad de hacer ejecutar lo juzgado.</w:t>
      </w:r>
    </w:p>
    <w:p w:rsidR="0033382B" w:rsidRDefault="0033382B" w:rsidP="0033382B">
      <w:pPr>
        <w:pStyle w:val="TextoNormal"/>
      </w:pPr>
    </w:p>
    <w:p w:rsidR="0033382B" w:rsidRDefault="0033382B" w:rsidP="0033382B">
      <w:pPr>
        <w:pStyle w:val="TextoNormal"/>
      </w:pPr>
      <w:r>
        <w:t>En el Auto de planteamiento se invoca la doctrina establecida en la STC 92/2013. Se arguye que “recuerda este precepto al de la Ley de Cantabria 2/2001, de 25 de junio, ya declarado inconstitucional por Sentencia del TC núm. 92/2013, de 22 de abril, normativa en la que también se regulaba una suspensión de los derribos, aunque en aquel caso no era limitada a cuatro años”.</w:t>
      </w:r>
    </w:p>
    <w:p w:rsidR="0033382B" w:rsidRDefault="0033382B" w:rsidP="0033382B">
      <w:pPr>
        <w:pStyle w:val="TextoNormal"/>
      </w:pPr>
    </w:p>
    <w:p w:rsidR="0033382B" w:rsidRDefault="0033382B" w:rsidP="0033382B">
      <w:pPr>
        <w:pStyle w:val="TextoNormal"/>
      </w:pPr>
      <w:r>
        <w:t xml:space="preserve">Las anteriores consideraciones llevan a la Sala a plantear cuestión de inconstitucionalidad en relación con el art. 65 </w:t>
      </w:r>
      <w:r w:rsidRPr="0033382B">
        <w:rPr>
          <w:i/>
        </w:rPr>
        <w:t>bis</w:t>
      </w:r>
      <w:r>
        <w:t>.1 de la Ley 2/2001, en la parte que se refiere a las órdenes de demolición judiciales, por posible vulneración de los arts. 24, 117.3 y 149.1.6 CE.</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2 de febrero de 2016, el Pleno, a propuesta de la Sección Primera, acordó, a los efectos que determina el art. 37.1 LOTC, oír al Fiscal General del Estado para que, en el plazo de diez días, alegara lo que considerara conveniente acerca de la admisibilidad de la presente cuestión de inconstitucionalidad, por si hubiera perdido objeto de forma sobrevenida (STC 254/2015, de 30 de noviembre).</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escrito registrado con fecha 26 de febrero de 2016, la Fiscal General del Estado comparece e interesa que se dicte resolución por la que se declara la extinción de esta cuestión de inconstitucionalidad, por desaparición sobrevenida de su objeto. Alega al respecto, en síntesis, lo siguiente:</w:t>
      </w:r>
    </w:p>
    <w:p w:rsidR="0033382B" w:rsidRDefault="0033382B" w:rsidP="0033382B">
      <w:pPr>
        <w:pStyle w:val="TextoNormal"/>
      </w:pPr>
    </w:p>
    <w:p w:rsidR="0033382B" w:rsidRDefault="0033382B" w:rsidP="0033382B">
      <w:pPr>
        <w:pStyle w:val="TextoNormal"/>
      </w:pPr>
      <w:r>
        <w:t>La STC 254/2015, de 30 de noviembre, resolutoria de la cuestión de inconstitucionalidad núm. 6860-2014, ha declarado inconstitucional y nulo el precepto cuestionado, en cuanto se refiere a los procesos de ejecución de resoluciones judiciales.</w:t>
      </w:r>
    </w:p>
    <w:p w:rsidR="0033382B" w:rsidRDefault="0033382B" w:rsidP="0033382B">
      <w:pPr>
        <w:pStyle w:val="TextoNormal"/>
      </w:pPr>
    </w:p>
    <w:p w:rsidR="0033382B" w:rsidRDefault="0033382B" w:rsidP="0033382B">
      <w:pPr>
        <w:pStyle w:val="TextoNormal"/>
      </w:pPr>
      <w:r>
        <w:t>Dicha Sentencia, publicada en el “BOE” de 12 de enero de 2016, posee el valor de cosa juzgada y plenos efectos frente a todos a partir del día siguiente al de su publicación (arts. 164.1 CE y 38.1 LOTC), con la consecuencia necesaria de que el precepto cuestionado ha sido definitivamente expulsado del ordenamiento.</w:t>
      </w:r>
    </w:p>
    <w:p w:rsidR="0033382B" w:rsidRDefault="0033382B" w:rsidP="0033382B">
      <w:pPr>
        <w:pStyle w:val="TextoNormal"/>
      </w:pPr>
    </w:p>
    <w:p w:rsidR="0033382B" w:rsidRDefault="0033382B" w:rsidP="0033382B">
      <w:pPr>
        <w:pStyle w:val="TextoNormal"/>
      </w:pPr>
      <w:r>
        <w:t>Ello impone apreciar ahora, conforme a reiterada jurisprudencia constitucional (SSTC 387/1993, de 23 de diciembre, 72/1997, de 10 de abril, 91/1997, de 8 de mayo, y AATC 271/2005, de 21 de junio, 77/2007, de 27 de febrero, 306/2007, de 19 de junio, 175/2010, de 23 de noviembre, y 176/2010, de 23 de noviembre), la desaparición sobrevenida del objeto de la presente cuestión, al haber quedado disipada la duda de constitucionalidad planteada por el órgano judicial.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 xml:space="preserve">Único. La presente cuestión de inconstitucionalidad ha sido promovida por el Juzgado de lo Contencioso-Administrativo núm. 1 de Santander en relación con el art. 65 </w:t>
      </w:r>
      <w:r w:rsidRPr="0033382B">
        <w:rPr>
          <w:i/>
        </w:rPr>
        <w:t>bis</w:t>
      </w:r>
      <w:r>
        <w:t>.1 de la Ley del Parlamento de Cantabria 2/2001, de 25 de junio, de ordenación territorial y de régimen urbanístico del suelo de Cantabria, introducido por la Ley 4/2013, de 20 de junio, en la parte del mismo que se refiere a las órdenes judiciales de demolición.</w:t>
      </w:r>
    </w:p>
    <w:p w:rsidR="0033382B" w:rsidRDefault="0033382B" w:rsidP="0033382B">
      <w:pPr>
        <w:pStyle w:val="TextoNormal"/>
      </w:pPr>
    </w:p>
    <w:p w:rsidR="0033382B" w:rsidRDefault="0033382B" w:rsidP="0033382B">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y 117.3 CE que consagran, respectivamente, el derecho a la tutela judicial efectiva en su vertiente de derecho a la ejecución de sentencias, y la potestad exclusiva de jueces y tribunales para ejecutar lo juzgado.</w:t>
      </w:r>
    </w:p>
    <w:p w:rsidR="0033382B" w:rsidRDefault="0033382B" w:rsidP="0033382B">
      <w:pPr>
        <w:pStyle w:val="TextoNormal"/>
      </w:pPr>
    </w:p>
    <w:p w:rsidR="0033382B" w:rsidRDefault="0033382B" w:rsidP="0033382B">
      <w:pPr>
        <w:pStyle w:val="TextoNormal"/>
      </w:pPr>
      <w:r>
        <w:t xml:space="preserve">La STC 254/2015, de 30 de noviembre, estimatoria de la cuestión de inconstitucionalidad núm. 6860-2014, ha declarado inconstitucional y nulo el inciso “o judiciales” del art. 65 </w:t>
      </w:r>
      <w:r w:rsidRPr="0033382B">
        <w:rPr>
          <w:i/>
        </w:rPr>
        <w:t>bis</w:t>
      </w:r>
      <w:r>
        <w:t>.1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33382B" w:rsidRDefault="0033382B" w:rsidP="0033382B">
      <w:pPr>
        <w:pStyle w:val="TextoNormal"/>
      </w:pPr>
    </w:p>
    <w:p w:rsidR="0033382B" w:rsidRDefault="0033382B" w:rsidP="0033382B">
      <w:pPr>
        <w:pStyle w:val="TextoNormal"/>
      </w:pPr>
      <w:r>
        <w:t>Una vez que el referido inciso ha sido expulsado del ordenamiento, con apoyo en lo previsto en el art. 37.1 de la Ley Orgánica del Tribunal Constitucional, procede acordar la inadmisión de esta cuestión de inconstitucionalidad, porque la expresada circunstancia determina la pérdida sobrevenida de su objeto (AATC 277/2000, de 28 de noviembre, 203/2014, de 22 de julio, y 230/2014, de 23 de septiembre).</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cuestión de inconstitucionalidad núm. 6313-2015.</w:t>
      </w:r>
    </w:p>
    <w:p w:rsidR="0033382B" w:rsidRDefault="0033382B" w:rsidP="0033382B">
      <w:pPr>
        <w:pStyle w:val="TextoNormal"/>
      </w:pPr>
    </w:p>
    <w:p w:rsidR="0033382B" w:rsidRDefault="0033382B" w:rsidP="0033382B">
      <w:pPr>
        <w:pStyle w:val="TextoNormal"/>
      </w:pPr>
      <w:r>
        <w:t>Madrid, a doce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02" w:name="AUTO_2016_75"/>
      <w:r>
        <w:t>AUTO 75/2016, de 12 de abril de 2016</w:t>
      </w:r>
    </w:p>
    <w:bookmarkEnd w:id="202"/>
    <w:p w:rsidR="0033382B" w:rsidRDefault="0033382B" w:rsidP="0033382B">
      <w:pPr>
        <w:pStyle w:val="TtuloResolucin"/>
      </w:pPr>
      <w:r>
        <w:t>Pleno</w:t>
      </w:r>
    </w:p>
    <w:p w:rsidR="0033382B" w:rsidRDefault="0033382B" w:rsidP="0033382B">
      <w:pPr>
        <w:pStyle w:val="TextoNormalCentrado"/>
      </w:pPr>
      <w:r>
        <w:t>ECLI:ES:TC:2016:75A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6314-2015, planteada por la Sección Segunda de la Audiencia Provincial de Ciudad Real en relación con diversos preceptos de la Ley 10/2012, de 20 de noviembre, de tasas en el ámbito de la Administración de justicia y del Instituto Nacional de Toxicología y Ciencias Forenses.</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día 11 de noviembre de 2015 tuvo entrada en el Registro General de este Tribunal un escrito de la Sección Segunda de la Audiencia Provincial de Ciudad Real al que se acompaña, junto con el testimonio del correspondiente procedimiento (procedimiento ordinario núm. 1295-2010), el Auto de 15 de septiembre de 2015, en el que se acuerda plantear cuestión de inconstitucionalidad en relación con la redacción originaria de los arts. 3.1, 4.2 a) y 7 de la Ley 10/2012, de 20 de noviembre, por la que se regulan determinadas tasas en el ámbito de la Administración de Justicia y del Instituto Nacional de Toxicología y Ciencias Forenses, por si dichos preceptos pudieran infringir el art. 24.1 CE en su vertiente de derecho de acceso a los recursos.</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la cuestión son los siguientes:</w:t>
      </w:r>
    </w:p>
    <w:p w:rsidR="0033382B" w:rsidRDefault="0033382B" w:rsidP="0033382B">
      <w:pPr>
        <w:pStyle w:val="TextoNormal"/>
      </w:pPr>
    </w:p>
    <w:p w:rsidR="0033382B" w:rsidRDefault="0033382B" w:rsidP="0033382B">
      <w:pPr>
        <w:pStyle w:val="TextoNormal"/>
      </w:pPr>
      <w:r>
        <w:t>a) Por el Juzgado de Primera Instancia e Instrucción núm. 2 de Ciudad Real se dictó Sentencia de 14 de enero de 2013 en el procedimiento de juicio ordinario núm. 1295-2010, por la que se desestimó la demanda interpuesta por Dª. M.A. A.G-V., contra la aseguradora Zurich Insurance, PLC, en reclamación de cantidad por responsabilidad extracontractual derivada de un accidente.</w:t>
      </w:r>
    </w:p>
    <w:p w:rsidR="0033382B" w:rsidRDefault="0033382B" w:rsidP="0033382B">
      <w:pPr>
        <w:pStyle w:val="TextoNormal"/>
      </w:pPr>
    </w:p>
    <w:p w:rsidR="0033382B" w:rsidRDefault="0033382B" w:rsidP="0033382B">
      <w:pPr>
        <w:pStyle w:val="TextoNormal"/>
      </w:pPr>
      <w:r>
        <w:t>b) El 13 de febrero de 2013 la parte actora interpuso recurso de apelación contra dicha Sentencia. Además de los motivos fácticos y jurídicos, por medio de otrosí interesaba del órgano judicial el planteamiento de cuestión de inconstitucionalidad en relación con la norma legal referida a las tasas judiciales en la apelación civil —concretamente, respecto de los arts. 4 y 7 de la Ley 10/2012—, considerando que esas previsiones constituían una infracción nítida del art. 24.1 CE, al obstaculizar el acceso a aquel grado jurisdiccional, toda vez que las personas físicas deberían haber continuado exentas del pago de la tasa, siendo absolutamente insuficiente la exención prevista en el artículo 4.2 a), teniendo un efecto disuasorio las cuotas resultantes del artículo 7 en el acceso al recurso y resultando en numerosos casos desproporcionadas en contraste con la cuantía litigiosa del pleito.</w:t>
      </w:r>
    </w:p>
    <w:p w:rsidR="0033382B" w:rsidRDefault="0033382B" w:rsidP="0033382B">
      <w:pPr>
        <w:pStyle w:val="TextoNormal"/>
      </w:pPr>
    </w:p>
    <w:p w:rsidR="0033382B" w:rsidRDefault="0033382B" w:rsidP="0033382B">
      <w:pPr>
        <w:pStyle w:val="TextoNormal"/>
      </w:pPr>
      <w:r>
        <w:t>En su escrito de oposición a la apelación, la aseguradora demandada en el proceso, antes de objetar los motivos de la impugnación, invocaba dos causas de inadmisibilidad del recurso: extemporaneidad del mismo e incumplimiento del deber de constitución del depósito para recurrir.</w:t>
      </w:r>
    </w:p>
    <w:p w:rsidR="0033382B" w:rsidRDefault="0033382B" w:rsidP="0033382B">
      <w:pPr>
        <w:pStyle w:val="TextoNormal"/>
      </w:pPr>
    </w:p>
    <w:p w:rsidR="0033382B" w:rsidRDefault="0033382B" w:rsidP="0033382B">
      <w:pPr>
        <w:pStyle w:val="TextoNormal"/>
      </w:pPr>
      <w:r>
        <w:t>c) Por providencia de 22 de abril de 2014, la Sección Segunda de la Audiencia Provincial de Ciudad Real dispuso que “visto que por el apelante en esta alzada se ha planteado cuestión de inconstitucionalidad, se concede traslado a la contraparte y al Ministerio Fiscal para alegaciones por plazo de diez días (art. 35.2 LOTC)”.</w:t>
      </w:r>
    </w:p>
    <w:p w:rsidR="0033382B" w:rsidRDefault="0033382B" w:rsidP="0033382B">
      <w:pPr>
        <w:pStyle w:val="TextoNormal"/>
      </w:pPr>
    </w:p>
    <w:p w:rsidR="0033382B" w:rsidRDefault="0033382B" w:rsidP="0033382B">
      <w:pPr>
        <w:pStyle w:val="TextoNormal"/>
      </w:pPr>
      <w:r>
        <w:t>En su escrito de alegaciones la aseguradora Zurich Insurance, PLC insistió en las objeciones de procedibilidad que ya había hecho constar en su impugnación de la apelación, concluyendo que debían estimarse “las cuestiones previas planteadas por esta parte en su escrito de oposición al Recurso de Apelación por lo que el mismo debería ser inadmitido” y, por tanto, “no tendría sentido tramitar la cuestión de inconstitucionalidad planteada por la parte apelante”.</w:t>
      </w:r>
    </w:p>
    <w:p w:rsidR="0033382B" w:rsidRDefault="0033382B" w:rsidP="0033382B">
      <w:pPr>
        <w:pStyle w:val="TextoNormal"/>
      </w:pPr>
    </w:p>
    <w:p w:rsidR="0033382B" w:rsidRDefault="0033382B" w:rsidP="0033382B">
      <w:pPr>
        <w:pStyle w:val="TextoNormal"/>
      </w:pPr>
      <w:r>
        <w:t>El Ministerio Fiscal, de su lado, interpuso recurso de reposición contra la citada providencia de 22 de abril de 2014, por no identificar el proveído ni la norma legal cuestionada ni el precepto constitucional con el que podría entrar en conflicto.</w:t>
      </w:r>
    </w:p>
    <w:p w:rsidR="0033382B" w:rsidRDefault="0033382B" w:rsidP="0033382B">
      <w:pPr>
        <w:pStyle w:val="TextoNormal"/>
      </w:pPr>
    </w:p>
    <w:p w:rsidR="0033382B" w:rsidRDefault="0033382B" w:rsidP="0033382B">
      <w:pPr>
        <w:pStyle w:val="TextoNormal"/>
      </w:pPr>
      <w:r>
        <w:t>Por Auto de 16 de julio de 2015, estimatorio del recurso de reposición, la Sección Segunda de la Audiencia Provincial de Ciudad Real acordó complementar con un nuevo plazo de diez días el traslado inicialmente acordado en la mencionada providencia, a fin de que las partes pudieran formular alegaciones con relación a “la solicitud de planteamiento de cuestión de inconstitucionalidad llevada a cabo por los apelantes respecto de la posible inconstitucionalidad de los arts. 3.1 y 4.2 a) de la Ley de Tasas 10/2012 respecto a la determinación del ámbito subjetivo de aplicación de la tasa, y del artículo 7 de la meritada Ley en cuanto a la determinación de la cuota tributaria de la tasa; todo ello por si dichos preceptos pudieran infringir el derecho a obtener la tutela judicial efectiva del artículo 24 CE”.</w:t>
      </w:r>
    </w:p>
    <w:p w:rsidR="0033382B" w:rsidRDefault="0033382B" w:rsidP="0033382B">
      <w:pPr>
        <w:pStyle w:val="TextoNormal"/>
      </w:pPr>
    </w:p>
    <w:p w:rsidR="0033382B" w:rsidRDefault="0033382B" w:rsidP="0033382B">
      <w:pPr>
        <w:pStyle w:val="TextoNormal"/>
      </w:pPr>
      <w:r>
        <w:t>Por diligencia del Letrado de la Administración de Justicia, a petición del Tribunal Constitucional, se da cuenta de la notificación a las partes y al Ministerio Fiscal de dicho Auto y de que ninguno de sus destinatarios formuló alegaciones.</w:t>
      </w:r>
    </w:p>
    <w:p w:rsidR="0033382B" w:rsidRDefault="0033382B" w:rsidP="0033382B">
      <w:pPr>
        <w:pStyle w:val="TextoNormal"/>
      </w:pPr>
    </w:p>
    <w:p w:rsidR="0033382B" w:rsidRDefault="0033382B" w:rsidP="0033382B">
      <w:pPr>
        <w:pStyle w:val="TextoNormal"/>
      </w:pPr>
      <w:r w:rsidRPr="0033382B">
        <w:rPr>
          <w:rStyle w:val="NumeroAFNegritaCaracter"/>
        </w:rPr>
        <w:t>3</w:t>
      </w:r>
      <w:r>
        <w:t>. El órgano judicial dictó Auto de 15 de septiembre de 2015 en el que acuerda plantear cuestión de inconstitucionalidad sobre “los artículos 3.1, 4.2 a) de la Ley de tasas 10/2012, de 20 de noviembre (‘redacción originaria’), en cuanto a la determinación del ámbito subjetivo de aplicación de la tasa, y del art. 7 de la meritada Ley respeto a la determinación de la cuota tributaria de la tasa; todo ello por si dichos preceptos pudieran infringir el derecho a obtener la tutela judicial efectiva del art. 24.1 CE en su específica manifestación de derecho de acceso a los recursos en el ámbito jurisdiccional civil [artículos 2 e) y 5.1 f) de la Ley 10/2012]”.</w:t>
      </w:r>
    </w:p>
    <w:p w:rsidR="0033382B" w:rsidRDefault="0033382B" w:rsidP="0033382B">
      <w:pPr>
        <w:pStyle w:val="TextoNormal"/>
      </w:pPr>
    </w:p>
    <w:p w:rsidR="0033382B" w:rsidRDefault="0033382B" w:rsidP="0033382B">
      <w:pPr>
        <w:pStyle w:val="TextoNormal"/>
      </w:pPr>
      <w:r>
        <w:t>El razonamiento jurídico primero del mismo se refiere a los requisitos procesales de la cuestión de inconstitucionalidad, precisando que el procedimiento se circunscribe al orden jurisdiccional civil y, dentro el mismo, al acceso al recurso de apelación.</w:t>
      </w:r>
    </w:p>
    <w:p w:rsidR="0033382B" w:rsidRDefault="0033382B" w:rsidP="0033382B">
      <w:pPr>
        <w:pStyle w:val="TextoNormal"/>
      </w:pPr>
    </w:p>
    <w:p w:rsidR="0033382B" w:rsidRDefault="0033382B" w:rsidP="0033382B">
      <w:pPr>
        <w:pStyle w:val="TextoNormal"/>
      </w:pPr>
      <w:r>
        <w:t xml:space="preserve">El razonamiento jurídico segundo, por su parte, se ocupa del debate sustantivo sobre la tasa. Pese a apreciar que las exenciones objetivas y subjetivas del art. 4 de la Ley “podrían </w:t>
      </w:r>
      <w:r w:rsidRPr="0033382B">
        <w:rPr>
          <w:i/>
        </w:rPr>
        <w:t>ab initio</w:t>
      </w:r>
      <w:r>
        <w:t xml:space="preserve"> entenderse proporcionales y ajustadas de cara a entender justificada la extensión, como sujetos pasivos de las tasa, a las personas físicas”, estima que el derecho fundamental quedaría potencialmente afectado “por cuanto resulta evidente que se declaran como sujetos pasivos de la tasa, de modo especial, a las personas físicas que no pudieran ostentar el derecho a la asistencia jurídica gratuita, lo que a efectos aproximativos y generales implicaría la no exención de personas físicas integradas en unidades familiares con ingresos superiores a 1.250 € mensuales. Ello implica que todos los razonamientos contenidos en la STC 20/2012 justificativos de la constitucionalidad de la tasa respecto a las grandes sociedades, podrían introducir a </w:t>
      </w:r>
      <w:r w:rsidRPr="0033382B">
        <w:rPr>
          <w:i/>
        </w:rPr>
        <w:t>sensu contrario</w:t>
      </w:r>
      <w:r>
        <w:t xml:space="preserve"> serios argumentos justificativos de las dudas de constitucionalidad que tal delimitación del ámbito subjetivo de la tasa aquí analizado pudiera provocar, aun teniendo en consideración que en aquella sentencia se trataba del derecho de acceso a la jurisdicción y aquí del derecho de acceso a los recursos”.</w:t>
      </w:r>
    </w:p>
    <w:p w:rsidR="0033382B" w:rsidRDefault="0033382B" w:rsidP="0033382B">
      <w:pPr>
        <w:pStyle w:val="TextoNormal"/>
      </w:pPr>
    </w:p>
    <w:p w:rsidR="0033382B" w:rsidRDefault="0033382B" w:rsidP="0033382B">
      <w:pPr>
        <w:pStyle w:val="TextoNormal"/>
      </w:pPr>
      <w:r>
        <w:t>Al tratar finalmente del art. 7 de la Ley, la Audiencia Provincial de Ciudad Real destaca que en la apelación civil se exige a la parte recurrente una cantidad fija, con total independencia de la capacidad económica del individuo (siempre que supere los límites de acceso a la justicia gratuita) y de la propia cuantía del procedimiento. A la vista de ello, el efecto combinado de la definición del ámbito subjetivo y la cuantía fija de la tasa, concluye el Auto, “nos pone en aviso del impedimento o irrazonable incremento de las dificultades de acceso al recurso”.</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la Sección Cuarta de este Tribunal, de 15 de diciembre de 2015, se acordó oír al Fiscal General del Estado a los efectos que determina el art. 37.1 de la Ley Orgánica del Tribunal Constitucional (LOTC), en relación con el cumplimiento de los requisitos procesales (art. 35.2 LOTC).</w:t>
      </w:r>
    </w:p>
    <w:p w:rsidR="0033382B" w:rsidRDefault="0033382B" w:rsidP="0033382B">
      <w:pPr>
        <w:pStyle w:val="TextoNormal"/>
      </w:pPr>
    </w:p>
    <w:p w:rsidR="0033382B" w:rsidRDefault="0033382B" w:rsidP="0033382B">
      <w:pPr>
        <w:pStyle w:val="TextoNormal"/>
      </w:pPr>
      <w:r>
        <w:t>En escrito presentado con fecha 7 de marzo de 2016, el Fiscal aprecia la concurrencia de distintas objeciones de admisibilidad. En primer lugar destaca la confusión existente en este procedimiento, a la vista de la documentación remitida, sobre el cumplimiento del necesario trámite de audiencia al Fiscal y a las partes del proceso. En segundo lugar, todavía en lo que atañe al trámite de audiencia del art. 35.2 LOTC, considera asimismo causa de inadmisión que el órgano judicial se remitiera al escrito de la parte apelante sin llegar a exteriorizar sus propias dudas de constitucionalidad. Finalmente, razona que el Auto de planteamiento de la cuestión no hace referencia al juicio de aplicabilidad y no satisface debidamente el de relevancia. Interesa, conforme a esas diversas aproximaciones, la inadmisión de la presente cuestión de inconstitucionalidad.</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Sección Segunda de la Audiencia Provincial de Ciudad Real plantea cuestión de inconstitucionalidad en relación con la redacción originaria de los arts. 3.1, 4.2 a) y 7 de la Ley 10/2012, de 20 de noviembre, por la que se regulan determinadas tasas en el ámbito de la Administración de Justicia y del Instituto Nacional de Toxicología y Ciencias Forenses, por si dichos preceptos pudieran infringir el art. 24.1 CE en su vertiente de derecho de acceso a los recursos.</w:t>
      </w:r>
    </w:p>
    <w:p w:rsidR="0033382B" w:rsidRDefault="0033382B" w:rsidP="0033382B">
      <w:pPr>
        <w:pStyle w:val="TextoNormal"/>
      </w:pPr>
    </w:p>
    <w:p w:rsidR="0033382B" w:rsidRDefault="0033382B" w:rsidP="0033382B">
      <w:pPr>
        <w:pStyle w:val="TextoNormal"/>
      </w:pPr>
      <w:r>
        <w:t>El Fiscal General del Estado ha apreciado el incumplimiento de los requisitos procesales para su promoción (art. 37.1 de la Ley Orgánica del Tribunal Constitucional: LOTC).</w:t>
      </w:r>
    </w:p>
    <w:p w:rsidR="0033382B" w:rsidRDefault="0033382B" w:rsidP="0033382B">
      <w:pPr>
        <w:pStyle w:val="TextoNormal"/>
      </w:pPr>
    </w:p>
    <w:p w:rsidR="0033382B" w:rsidRDefault="0033382B" w:rsidP="0033382B">
      <w:pPr>
        <w:pStyle w:val="TextoNormal"/>
      </w:pPr>
      <w:r w:rsidRPr="0033382B">
        <w:rPr>
          <w:rStyle w:val="NumeroAFNegritaCaracter"/>
        </w:rPr>
        <w:t>2</w:t>
      </w:r>
      <w:r>
        <w:t>. El art. 37.1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0033382B" w:rsidRDefault="0033382B" w:rsidP="0033382B">
      <w:pPr>
        <w:pStyle w:val="TextoNormal"/>
      </w:pPr>
    </w:p>
    <w:p w:rsidR="0033382B" w:rsidRDefault="0033382B" w:rsidP="0033382B">
      <w:pPr>
        <w:pStyle w:val="TextoNormal"/>
      </w:pPr>
      <w:r>
        <w:t>Sin necesidad de entrar en otro tipo de consideraciones, cabe compartir con el Ministerio Fiscal su apreciación sobre la insuficiencia de los juicios de aplicabilidad y relevancia (art. 35 LOTC). Por una causa, no obstante, anterior a la que él enuncia en su escrito de alegaciones, que nos permite insistir y reafirmar con ocasión de este procedimiento un criterio fijado en pronunciamientos todavía recientes de este Tribunal sobre la admisibilidad de las cuestiones de inconstitucionalidad.</w:t>
      </w:r>
    </w:p>
    <w:p w:rsidR="0033382B" w:rsidRDefault="0033382B" w:rsidP="0033382B">
      <w:pPr>
        <w:pStyle w:val="TextoNormal"/>
      </w:pPr>
    </w:p>
    <w:p w:rsidR="0033382B" w:rsidRDefault="0033382B" w:rsidP="0033382B">
      <w:pPr>
        <w:pStyle w:val="TextoNormal"/>
      </w:pPr>
      <w:r>
        <w:t xml:space="preserve">En efecto, dentro del análisis relativo a los juicios de aplicabilidad y relevancia nos hemos pronunciado en nuestros precedentes sobre situaciones asimilables a la que aquí se suscita. En la STC 84/2012, de 18 de abril, FJ 3, como también, entre otros, en el ATC 164/2014, de 10 de junio, FJ 3, dijimos lo que a continuación se transcribe respecto de las cuestiones u objeciones previas de legalidad procesal que pueden condicionar que la resolución del proceso judicial dependa real y efectivamente de la constitucionalidad de las normas cuestionadas: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w:t>
      </w:r>
      <w:r w:rsidRPr="0033382B">
        <w:rPr>
          <w:i/>
        </w:rPr>
        <w:t>a quo</w:t>
      </w:r>
      <w:r>
        <w:t xml:space="preserve">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w:t>
      </w:r>
    </w:p>
    <w:p w:rsidR="0033382B" w:rsidRDefault="0033382B" w:rsidP="0033382B">
      <w:pPr>
        <w:pStyle w:val="TextoNormal"/>
      </w:pPr>
    </w:p>
    <w:p w:rsidR="0033382B" w:rsidRDefault="0033382B" w:rsidP="0033382B">
      <w:pPr>
        <w:pStyle w:val="TextoNormal"/>
      </w:pPr>
      <w:r>
        <w:t>Esta exigencia, sin embargo, no se ha cumplido por el Tribunal que promueve la presente cuestión de inconstitucionalidad. Como señalamos en los antecedentes de la presente resolución, tanto en el escrito de oposición a la apelación como después y destacadamente en el que la aseguradora demandada registró para evacuar el trámite de alegaciones del art. 35.2 LOTC, puso de manifiesto la improcedencia de la cuestión de inconstitucionalidad porque debían “estimarse las cuestiones previas planteadas por esta parte en su escrito de oposición al Recurso de Apelación” y, en consecuencia, “no tendría sentido tramitar la cuestión de inconstitucionalidad”. Se refiere, ya se dijo, a las dos objeciones de admisibilidad formuladas al recurso de apelación: extemporaneidad e incumplimiento del deber de constitución del depósito para recurrir. El Auto de planteamiento, a pesar de la claridad de su formulación, no da respuesta alguna a las mismas.</w:t>
      </w:r>
    </w:p>
    <w:p w:rsidR="0033382B" w:rsidRDefault="0033382B" w:rsidP="0033382B">
      <w:pPr>
        <w:pStyle w:val="TextoNormal"/>
      </w:pPr>
    </w:p>
    <w:p w:rsidR="0033382B" w:rsidRDefault="0033382B" w:rsidP="0033382B">
      <w:pPr>
        <w:pStyle w:val="TextoNormal"/>
      </w:pPr>
      <w:r>
        <w:t>Resulta patente el paralelismo entre los déficits apreciados en los pronunciamientos del Tribunal Constitucional reseñados y los que se revelan en la cuestión de inconstitucionalidad ahora enjuiciada, puesto que también en esta ocasión, teniendo el órgano judicial conocimiento de dichas objeciones procesales previas y condicionantes, rehúye emitir un juicio sobre el particular. De este modo, el órgano promotor pospone la resolución de este aspecto controvertido a un momento posterior al planteamiento de la cuestión de inconstitucionalidad, y abre la posibilidad de que nos encontremos con el resultado de que el pronunciamiento del Tribunal Constitucional habría resultado innecesario o indiferente para la decisión del proceso.</w:t>
      </w:r>
    </w:p>
    <w:p w:rsidR="0033382B" w:rsidRDefault="0033382B" w:rsidP="0033382B">
      <w:pPr>
        <w:pStyle w:val="TextoNormal"/>
      </w:pPr>
    </w:p>
    <w:p w:rsidR="0033382B" w:rsidRDefault="0033382B" w:rsidP="0033382B">
      <w:pPr>
        <w:pStyle w:val="TextoNormal"/>
      </w:pPr>
      <w:r>
        <w:t>En definitiva, a la luz de la doctrina constitucional expuesta, se concluye que no se han satisfecho suficientemente los juicios de aplicabilidad y relevancia exigidos por el art. 35 LOTC.</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la presente cuestión de inconstitucionalidad.</w:t>
      </w:r>
    </w:p>
    <w:p w:rsidR="0033382B" w:rsidRDefault="0033382B" w:rsidP="0033382B">
      <w:pPr>
        <w:pStyle w:val="TextoNormal"/>
      </w:pPr>
    </w:p>
    <w:p w:rsidR="0033382B" w:rsidRDefault="0033382B" w:rsidP="0033382B">
      <w:pPr>
        <w:pStyle w:val="TextoNormal"/>
      </w:pPr>
      <w:r>
        <w:t>Madrid, a doce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03" w:name="AUTO_2016_76"/>
      <w:r>
        <w:t>AUTO 76/2016, de 12 de abril de 2016</w:t>
      </w:r>
    </w:p>
    <w:bookmarkEnd w:id="203"/>
    <w:p w:rsidR="0033382B" w:rsidRDefault="0033382B" w:rsidP="0033382B">
      <w:pPr>
        <w:pStyle w:val="TtuloResolucin"/>
      </w:pPr>
      <w:r>
        <w:t>Pleno</w:t>
      </w:r>
    </w:p>
    <w:p w:rsidR="0033382B" w:rsidRDefault="0033382B" w:rsidP="0033382B">
      <w:pPr>
        <w:pStyle w:val="TextoNormalCentrado"/>
      </w:pPr>
      <w:r>
        <w:t>ECLI:ES:TC:2016:76A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6539-2015, planteada por la Sala de lo Contencioso-Administrativo del Tribunal Superior de Justicia de Galicia en relación con el artículo 96 de la Ley del Parlamento de Galicia 9/2002, de 30 de diciembre, de ordenación urbanística y protección del medio rural de Galicia.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20 de noviembre de 2015 entró en el Registro General de este Tribunal un escrito de la Sección Segunda de la Sala de lo Contencioso-Administrativo del Tribunal Superior de Justicia de Galicia, al que se acompaña, junto al testimonio del recurso ordinario 4522-2011,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previsto en los núms.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 la cuestión son los siguientes:</w:t>
      </w:r>
    </w:p>
    <w:p w:rsidR="0033382B" w:rsidRDefault="0033382B" w:rsidP="0033382B">
      <w:pPr>
        <w:pStyle w:val="TextoNormal"/>
      </w:pPr>
    </w:p>
    <w:p w:rsidR="0033382B" w:rsidRDefault="0033382B" w:rsidP="0033382B">
      <w:pPr>
        <w:pStyle w:val="TextoNormal"/>
      </w:pPr>
      <w:r>
        <w:t>a) El plan general de ordenación municipal de Ourense aprobado por Orden de 29 de abril de 2003 de la Consellería de Política Territorial, Obras Públicas y Vivienda fue anulado, en firme, por STS de 9 de marzo de 2011. En consecuencia, resultaba vigente la ordenación del plan general de ordenación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0033382B" w:rsidRDefault="0033382B" w:rsidP="0033382B">
      <w:pPr>
        <w:pStyle w:val="TextoNormal"/>
      </w:pPr>
    </w:p>
    <w:p w:rsidR="0033382B" w:rsidRDefault="0033382B" w:rsidP="0033382B">
      <w:pPr>
        <w:pStyle w:val="TextoNormal"/>
      </w:pPr>
      <w:r>
        <w:t>Cinco personas físicas, ejercitando la acción pública urbanística prevista en la disposición adicional cuarta de la Ley 9/2002, impugnan dicho Decreto 187/2011. Después de exponer en el fundamento jurídico a) que, según la STSJ de Galicia de 12 de noviembre de 2009, el art. 96 de la Ley 9/2002 regula un mecanismo especial de revisión del planeamiento, que se caracteriza por ser provisional y no requerir trámite de información pública, en el fundamento jurídico c) argumentan que no se dan las circunstancias especiales para que ese mecanismo especial se pudiere aplicar, debiendo en consecuencia haberse seguido el trámite normal de revisión de la ordenación urbanística previsto en los arts. 93, 94 y 95 de la Ley 9/2002.</w:t>
      </w:r>
    </w:p>
    <w:p w:rsidR="0033382B" w:rsidRDefault="0033382B" w:rsidP="0033382B">
      <w:pPr>
        <w:pStyle w:val="TextoNormal"/>
      </w:pPr>
    </w:p>
    <w:p w:rsidR="0033382B" w:rsidRDefault="0033382B" w:rsidP="0033382B">
      <w:pPr>
        <w:pStyle w:val="TextoNormal"/>
      </w:pPr>
      <w:r>
        <w:t xml:space="preserve">b) Con posterioridad al inicio de este recurso ordinario 4522-2011 y después incluso de que se hubieran formulado los escritos de conclusiones, la STS de 5 de febrero de 2014 casó la STSJ de Galicia de 20 de enero de 2011, que había decidido un asunto muy similar al que ahora se planteaba. Dice la Sentencia del Tribunal Supremo, en su fundamento jurídico segundo </w:t>
      </w:r>
      <w:r w:rsidRPr="0033382B">
        <w:rPr>
          <w:i/>
        </w:rPr>
        <w:t>in fine</w:t>
      </w:r>
      <w:r>
        <w:t>,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 xml:space="preserve">La STS de 5 de febrero de 2014 fue aportada al recurso ordinario 4522-2011 por la actora. No consta tal aportación en el expediente enviado a este Tribunal, pero a ella se refiere el escrito de alegaciones que la recurrente evacuó con motivo del trámite de audiencia </w:t>
      </w:r>
      <w:r w:rsidRPr="0033382B">
        <w:rPr>
          <w:i/>
        </w:rPr>
        <w:t>ex</w:t>
      </w:r>
      <w:r>
        <w:t xml:space="preserve"> art. 35.2 de la Ley Orgánica del Tribunal Constitucional (LOTC), aparte de que el Auto de 3 de noviembre de 2015 reconoce en su antecedente de hecho único que tal aportación tuvo lugar.</w:t>
      </w:r>
    </w:p>
    <w:p w:rsidR="0033382B" w:rsidRDefault="0033382B" w:rsidP="0033382B">
      <w:pPr>
        <w:pStyle w:val="TextoNormal"/>
      </w:pPr>
    </w:p>
    <w:p w:rsidR="0033382B" w:rsidRDefault="0033382B" w:rsidP="0033382B">
      <w:pPr>
        <w:pStyle w:val="TextoNormal"/>
      </w:pPr>
      <w:r>
        <w:t>c) Conclusa la tramitación del proceso a quo, el órgano judicial dictó providencia de 17 de septiembre de 2015, por la que, conforme al art. 35.2 LOTC, “acuerda oir a las partes y al Ministerio Fiscal sobre la pertinencia de plantear cuestión de inconstitucionalidad respecto del art. 96 de la Ley 9/2002, en cuanto que omite un trámite de información pública, ante su posible inconstitucionalidad sobrevenida por infracción del art. 149.1.1, 13, 18 y 23 CE, al contradecir lo establecido en el art. art. 11.1 del texto refundido de la Ley del suelo”.</w:t>
      </w:r>
    </w:p>
    <w:p w:rsidR="0033382B" w:rsidRDefault="0033382B" w:rsidP="0033382B">
      <w:pPr>
        <w:pStyle w:val="TextoNormal"/>
      </w:pPr>
    </w:p>
    <w:p w:rsidR="0033382B" w:rsidRDefault="0033382B" w:rsidP="0033382B">
      <w:pPr>
        <w:pStyle w:val="TextoNormal"/>
      </w:pPr>
      <w:r>
        <w:t>d) El Fiscal, en escrito de 21 de septiembre de 2015, informa que procede el planteamiento de la cuestión porque el art. 96 de la Ley 9/2002 omite la exigencia de información pública en el proceso de aprobación de la normativa provisional, omisión que a tenor de la indicada STS 5.2.2014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0033382B" w:rsidRDefault="0033382B" w:rsidP="0033382B">
      <w:pPr>
        <w:pStyle w:val="TextoNormal"/>
      </w:pPr>
    </w:p>
    <w:p w:rsidR="0033382B" w:rsidRDefault="0033382B" w:rsidP="0033382B">
      <w:pPr>
        <w:pStyle w:val="TextoNormal"/>
      </w:pPr>
      <w:r>
        <w:t>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art.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0033382B" w:rsidRDefault="0033382B" w:rsidP="0033382B">
      <w:pPr>
        <w:pStyle w:val="TextoNormal"/>
      </w:pPr>
    </w:p>
    <w:p w:rsidR="0033382B" w:rsidRDefault="0033382B" w:rsidP="0033382B">
      <w:pPr>
        <w:pStyle w:val="TextoNormal"/>
      </w:pPr>
      <w:r>
        <w:t>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tratan:actuacions excepcionais, audiencia do Concello previa a suspensión, necesidad de implementar con celeridade una nova ordenación, carácter provisional e transitorio desa ordenación”.</w:t>
      </w:r>
    </w:p>
    <w:p w:rsidR="0033382B" w:rsidRDefault="0033382B" w:rsidP="0033382B">
      <w:pPr>
        <w:pStyle w:val="TextoNormal"/>
      </w:pPr>
    </w:p>
    <w:p w:rsidR="0033382B" w:rsidRDefault="0033382B" w:rsidP="0033382B">
      <w:pPr>
        <w:pStyle w:val="TextoNormal"/>
      </w:pPr>
      <w:r>
        <w:t>El representante de la entidad codemandada Desarrollos comerciales de ocio e inmobiliarios de Ourense, en escrito de 5 de octubre de 2015, sostiene que el art. 96 de la Ley 9/2002 no regula un instrumento de ordenación urbanística, pues su vocación no es ordenar el término municipal sino evitar los efectos perniciosos del planeamiento vigente mientras se elabora el nuevo. Es en la elaboración de dicho nuevo planeamiento cuando la Ley 9/2002 garantiza la participación mediante el trámite de información pública. Por estos motivos la ausencia de información pública prevista en el art. 96 de la Ley 9/2002 para los acuerdos de suspensión del planeamiento vigente y de ordenación provisional no vulneran los arts. 9.2 y 105 a) CE, ni contradicen el art. 11.1 del texto refundido de la Ley de suelo, que está previsto para un supuesto distinto, esto es, para los verdaderos procesos de ordenación urbanística.</w:t>
      </w:r>
    </w:p>
    <w:p w:rsidR="0033382B" w:rsidRDefault="0033382B" w:rsidP="0033382B">
      <w:pPr>
        <w:pStyle w:val="TextoNormal"/>
      </w:pPr>
    </w:p>
    <w:p w:rsidR="0033382B" w:rsidRDefault="0033382B" w:rsidP="0033382B">
      <w:pPr>
        <w:pStyle w:val="TextoNormal"/>
      </w:pPr>
      <w:r>
        <w:t>La parte recurrente, en escrito de 6 de octubre de 2015, insta igualmente el no planteamiento de la cuestión porque, a su juicio, la contradicción entre el art. 11.1 del texto refundido de la Ley de suelo y el art. 96 de la Ley 9/2002 no es efectiva e insalvable por vía interpretativa, eso sí por motivos opuestos a los indicados en los escritos de las partes demandadas. Razona que el art. 96 de la Ley 9/2002 “no contiene una regulación exhaustiva y completa del procedimiento de aprobación de la ordenación provisional tras la suspensión de un planeamiento”. Por ello, su no exigencia expresa de información pública para estos casos no se debe interpretar como una prohibición de exposición al público, de modo que ésta es posible en aplicación del art. 11.1 del texto refundido de la Ley de suelo y que sería posible, por ejemplo, coincidiendo en el tiempo con la audiencia al Ayuntamiento afectado. Añade, además, que “la sentencia que hemos aportado a Autos del Tribunal Supremo anulando las normas provisionales del municipio gallego de Barreiros fue dictada sin apreciar necesidad alguna de promover cuestión de inconstitucionalidad sobre el citado precepto”. Tal Sentencia es la STS de 5 de febrero de 2014, que no consta en el expediente remitido a este Tribunal, pero que la recurrente dice haberla aportado y el Auto de 3 de noviembre de 2015 reconoce que fue aportada por la parte actora.</w:t>
      </w:r>
    </w:p>
    <w:p w:rsidR="0033382B" w:rsidRDefault="0033382B" w:rsidP="0033382B">
      <w:pPr>
        <w:pStyle w:val="TextoNormal"/>
      </w:pPr>
    </w:p>
    <w:p w:rsidR="0033382B" w:rsidRDefault="0033382B" w:rsidP="0033382B">
      <w:pPr>
        <w:pStyle w:val="TextoNormal"/>
      </w:pPr>
      <w:r>
        <w:t>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previsto en los núms.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3</w:t>
      </w:r>
      <w:r>
        <w:t>. Dicho Auto señala, como antecedentes de hecho, que cuando el recurso estaba pendiente de deliberación y votación, la parte actora aportó a los Autos copia de la Sentencia del Tribunal Supremo de 5 de febrero de 2014, que anuló el Decreto 15/2007 de la Xunta de Galicia, de suspensión del plan general de ordenación de Ourense de Barreiros y aprobación de la ordenación urbanística provisional al amparo de lo previsto en el art. 96 de la Ley 9/2002, por haber sido omitido el trámite de información pública. Acordado el traslado a las demás partes del escrito de la parte actora, varias partes demandadas expusieron que, según la doctrina constitucional, resolver este pleito conforme a ese criterio requería cuestionar la constitucionalidad del art. 96 de la Ley 9/2002 ante el Tribunal Constitucional, por lo que, mediante providencia de 17 de septiembre de 2015, se confirió el trámite de audiencia   art. 35.2 LOTC, que fue evacuado por todos los intervinientes en los términos que se ha dejado ya constancia.</w:t>
      </w:r>
    </w:p>
    <w:p w:rsidR="0033382B" w:rsidRDefault="0033382B" w:rsidP="0033382B">
      <w:pPr>
        <w:pStyle w:val="TextoNormal"/>
      </w:pPr>
    </w:p>
    <w:p w:rsidR="0033382B" w:rsidRDefault="0033382B" w:rsidP="0033382B">
      <w:pPr>
        <w:pStyle w:val="TextoNormal"/>
      </w:pPr>
      <w:r>
        <w:t>En el primer fundamento jurídico describe el contenido normativo del art. 96 de la Ley 9/2002, poniendo de relieve que regula un procedimiento en el que no hay trámite de información pública, e indica que este precepto es similar al art. 52 de la anterior Ley del suelo de Galicia (Ley 1/1997) y al art. 130 del Real Decreto Legislativo 1/1992. A continuación transcribe el art. 11 del texto refundido de la Ley de suelo, del que conviene destacar que en su primer apartado dispone que “todos los instrumentos de ordenación territorial y de ordenación y ejecución urbanísticas … deben ser sometidos al trámite de información pública en los términos y por el plazo que establezca la legislación en la materia”. Y termina diciendo que “la disposición final primera, número 1, de dicho Real Decreto Legislativo incluye el citado art. 11 entre los que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dictadas en ejercicio de las competencias reservadas al legislador general en el art. 149.1.1, 13, 18 y 23 de la Constitución’”.</w:t>
      </w:r>
    </w:p>
    <w:p w:rsidR="0033382B" w:rsidRDefault="0033382B" w:rsidP="0033382B">
      <w:pPr>
        <w:pStyle w:val="TextoNormal"/>
      </w:pPr>
    </w:p>
    <w:p w:rsidR="0033382B" w:rsidRDefault="0033382B" w:rsidP="0033382B">
      <w:pPr>
        <w:pStyle w:val="TextoNormal"/>
      </w:pPr>
      <w:r>
        <w:t>En el segundo fundamento jurídico se refiere a las alegaciones de la parte actora y del Ayuntamiento de Ourense. Afirma que “en las alegaciones de la parte actora se argumenta que no es necesario el planteamiento de la cuestión de inconstitucionalidad … porque el art. 96 de la Ley 9/2002 ni prohíbe ni excluye un trámite de información pública”. Este argumento no puede ser compartido, sigue diciendo el Auto de planteamiento, “porque está claro que el legislador autonómico establece en dicho precepto un procedimiento especial, como puede hacer en materias de su competencia (SSTC 141/2014 y 227/1988), que persigue la máxima celeridad, dado el carácter excepcional de la intervención de la Administración autonómica, asimismo provisional y transitoria; y lo hace, como alega su representante procesal, atendiendo a la naturaleza de medida cautelar que habían reconocido a la suspensión del planeamiento las Sentencias del Tribunal Supremo anteriores a la de 5 de febrero de 2014, la cual supone, como en ella se expresa, un cambio del criterio seguido con anterioridad, y que hay que suponer que se mantendrá en las posteriores”. Respecto de las otras alegaciones, señala que “también utiliza el Ayuntamiento el argumento … de que la suspensión del planeamiento es una medida cautelar, respecto a lo cual hay que reiterar lo antes dicho, que no queda desvirtuado por lo declarado en la STC 36/1994 que invoca dicha parte, ya que si bien esta sentencia considera la suspensión del otorgamiento de licencias municipales una medida cautelar, lo hace en un supuesto en que su adopción se realizaba para ‘salvaguardar la eficacia de las competencias autonómicas de ordenación territorial regulando el régimen de adaptación de los instrumentos de planificación y urbanísticos municipales a las supraordenadas Directrices de Ordenación del Territorio’, y nada dice la sentencia sobre el procedimiento a seguir”.</w:t>
      </w:r>
    </w:p>
    <w:p w:rsidR="0033382B" w:rsidRDefault="0033382B" w:rsidP="0033382B">
      <w:pPr>
        <w:pStyle w:val="TextoNormal"/>
      </w:pPr>
    </w:p>
    <w:p w:rsidR="0033382B" w:rsidRDefault="0033382B" w:rsidP="0033382B">
      <w:pPr>
        <w:pStyle w:val="TextoNormal"/>
      </w:pPr>
      <w:r>
        <w:t xml:space="preserve">Destina el último fundamento de derecho a justificar que no es aplicable el art. 11.1 del texto refundido de la Ley de suelo como norma prevalente. Según las SSTC 187/2012 y 177/2013, un órgano judicial no puede fiscalizar las normas postconstitucionales con rango de ley, dado que el constituyente ha querido sustraer al Juez ordinario la posibilidad de inaplicar una ley postconstitucional ante un eventual juicio de incompatibilidad con la Constitución, puesto que la depuración del ordenamiento legal, vigente la Constitución, corresponde de forma exclusiva al Tribunal Constitucional, que tiene la competencia y la jurisdicción para declarar, con eficacia </w:t>
      </w:r>
      <w:r w:rsidRPr="0033382B">
        <w:rPr>
          <w:i/>
        </w:rPr>
        <w:t>erga omnes</w:t>
      </w:r>
      <w:r>
        <w:t>, la inconstitucionalidad de las leyes. Según la STC 159/2012 esta doctrina también es aplicable a las leyes que devienen disconformes con la Constitución por la modificación posterior de la legislación básica estatal, como ocurre en este caso que la contradicción deriva del 11.2 del texto refundido de la Ley de suelo, que ha venido a sustituir al art. 6.1 Ley 6/1998 vigente al tiempo que se dictó el art. 96 de la Ley 9/2002.</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16 de febrero de 2016 la Sección Tercera de este Tribunal acordó, a los efectos que determina el art. 37.1 de la Ley Orgánica del Tribunal Constitucional (LOTC), oír al Fiscal General del Estado para que en el plazo de diez días alegase acerca de la admisibilidad de la presente cuestión de inconstitucionalidad, por si faltasen requisitos de procedibilidad o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en escrito registrado el 14 de marzo de 2016, razona que no es adecuado el juicio de relevancia formulado por la Sala porque “no se ha planteado un extremo que a simple vista parece fundamental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9/2002, que previene expresamente el trámite de información pública en el procedimiento ordinario de aprobación de un plan general. … Omisiones estas que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0033382B" w:rsidRDefault="0033382B" w:rsidP="0033382B">
      <w:pPr>
        <w:pStyle w:val="TextoNormal"/>
      </w:pPr>
    </w:p>
    <w:p w:rsidR="0033382B" w:rsidRDefault="0033382B" w:rsidP="0033382B">
      <w:pPr>
        <w:pStyle w:val="TextoNormal"/>
      </w:pPr>
      <w:r>
        <w:t>Sostiene igualmente que la duda de constitucionalidad debe reputarse notoriamente infundada en el sentido que tiene esta expresión en la STC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 suelo, lo que determina que la presente cuestión deba considerarse notoriamente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9/2002, por ser incompatible con el art. 11 del texto refundido de la Ley de suelo (“todos los instrumentos de ordenación territorial y de ordenación y ejecución urbanísticas deben ser sometidos al trámite de información pública”), desconozca lo previsto en los núms. 1, 13, 18 y 23 del art. 149.1 CE.</w:t>
      </w:r>
    </w:p>
    <w:p w:rsidR="0033382B" w:rsidRDefault="0033382B" w:rsidP="0033382B">
      <w:pPr>
        <w:pStyle w:val="TextoNormal"/>
      </w:pPr>
    </w:p>
    <w:p w:rsidR="0033382B" w:rsidRDefault="0033382B" w:rsidP="0033382B">
      <w:pPr>
        <w:pStyle w:val="TextoNormal"/>
      </w:pPr>
      <w:r>
        <w:t>La Fiscal General del Estado sostiene que la Sala no ha formulado adecuadamente el juicio de relevancia porque “no se ha planteado un extremo que a simple vista parece fundamental y que, de haber sido contemplado, podría haber provocado que esa Sala ni siquiera hubiera llegado a plantear la presente cuestión”. Además, en virtud las razones detalladas en los antecedentes, entiende que la cuestión es notoriamente infundada, como ya se ha declarado en el ATC 23/2016, de 3 de febrero. Por todo ello, insta su inadmisión.</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el art. 37.1 LOTC, este Tribunal puede rechazar en trámite de admisión y mediante Auto, sin otra audiencia que la del Fiscal General del Estado, la cuestión de inconstitucionalidad cuando faltaren las condiciones procesales o fuere notoriamente infundada.</w:t>
      </w:r>
    </w:p>
    <w:p w:rsidR="0033382B" w:rsidRDefault="0033382B" w:rsidP="0033382B">
      <w:pPr>
        <w:pStyle w:val="TextoNormal"/>
      </w:pPr>
    </w:p>
    <w:p w:rsidR="0033382B" w:rsidRDefault="0033382B" w:rsidP="0033382B">
      <w:pPr>
        <w:pStyle w:val="TextoNormal"/>
      </w:pPr>
      <w:r>
        <w:t>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0033382B" w:rsidRDefault="0033382B" w:rsidP="0033382B">
      <w:pPr>
        <w:pStyle w:val="TextoNormal"/>
      </w:pPr>
    </w:p>
    <w:p w:rsidR="0033382B" w:rsidRDefault="0033382B" w:rsidP="0033382B">
      <w:pPr>
        <w:pStyle w:val="TextoNormal"/>
      </w:pPr>
      <w:r>
        <w:t xml:space="preserve">El Auto de 3 de noviembre de 2015, aunque en los escritos mediante los que las partes y el Fiscal evacuan el trámite de audiencia </w:t>
      </w:r>
      <w:r w:rsidRPr="0033382B">
        <w:rPr>
          <w:i/>
        </w:rPr>
        <w:t>ex</w:t>
      </w:r>
      <w:r>
        <w:t xml:space="preserve"> art. 35 LOTC, así como en la Sentencia del Tribunal Supremo de 5 de febrero de 2014 a la que alude en los antecedentes de hecho, constan muchas e importantes objeciones en relación a la cuestión de inconstitucionalidad que pretende plantear, no realiza “un pormenorizado análisis de las graves cuestiones que se suscitan”. En este mismo sentido se expresan las alegaciones de la Fiscal General del Estado, en las que se destaca que el órgano judicial omite la consideración de elementos fundamentales que inciden en su duda de constitucionalidad, pues “no se plantea si no podría garantizarse en todo caso la efectividad de ese trámite de información pública … mediante la aplicación de las previsiones establecidas en el art. 86 de la Ley 30/1992 … en el art. 11 [del texto refundido de la Ley de suelo] …. o, incluso, en el art. 85 de la Ley 9/2002”.</w:t>
      </w:r>
    </w:p>
    <w:p w:rsidR="0033382B" w:rsidRDefault="0033382B" w:rsidP="0033382B">
      <w:pPr>
        <w:pStyle w:val="TextoNormal"/>
      </w:pPr>
    </w:p>
    <w:p w:rsidR="0033382B" w:rsidRDefault="0033382B" w:rsidP="0033382B">
      <w:pPr>
        <w:pStyle w:val="TextoNormal"/>
      </w:pPr>
      <w:r>
        <w:t>En primer lugar, la citada Sentencia de la Sala de lo Contencioso-Administrativo del Tribunal Supremo de 5 de febrero de 2014, sin necesidad de acudir al criterio de prevalencia, consideró aplicable el art. 11.1 del texto refundido de la Ley de suelo. Entendió, por tanto, que el art. 96 de la Ley 9/2002 y el art. 11.1 del texto refundido de la Ley de suelo no se contradicen de un modo insalvable sino que, en realidad, son compatibles. En otras palabras, el silencio del primero sobre la necesidad de un expediente de información pública no excluiría, según el Tribunal Supremo, que la Administración deba practicar tal trámite en aplicación del segundo. Dicha Sentencia, además, puso de relieve que la Administración gallega, en un supuesto similar en relación a la suspensión del plan general de ordenación municipal de Ourense de O Grove, no había tenido problema en abrir un trámite de información pública, a pesar de la dicción del art. 52 de la Ley gallega 1/1997 (que el propio Auto de planteamiento dice que es el antecedente directo del art. 96 de la Ley 9/2002 y que es de contenido similar). La parte actora sostiene también, y con idéntica ratio a la Sentencia del Tribunal Supremo, la posibilidad de aplicar el art. 96 de la Ley 9/2002 y el art. 11 del texto refundido de la Ley de suelo a un mismo tiempo.</w:t>
      </w:r>
    </w:p>
    <w:p w:rsidR="0033382B" w:rsidRDefault="0033382B" w:rsidP="0033382B">
      <w:pPr>
        <w:pStyle w:val="TextoNormal"/>
      </w:pPr>
    </w:p>
    <w:p w:rsidR="0033382B" w:rsidRDefault="0033382B" w:rsidP="0033382B">
      <w:pPr>
        <w:pStyle w:val="TextoNormal"/>
      </w:pPr>
      <w:r>
        <w:t>Por su parte, el Concello de Ourense, la entidad codemandada Desarrollos comerciales de ocio e inmobiliarios de Ourense y el Letrado de la Xunta de Galicia mantienen que el art. 96 de la Ley 9/2002 es incompatible con el art. 11 del texto refundido de la Ley de suelo, pero que ello no supone la inconstitucionalidad del primero, porque no regula un disposición administrativa sino una medida cautelar, todo ello apoyado en las razones consignadas en los antecedentes de esta resolución.</w:t>
      </w:r>
    </w:p>
    <w:p w:rsidR="0033382B" w:rsidRDefault="0033382B" w:rsidP="0033382B">
      <w:pPr>
        <w:pStyle w:val="TextoNormal"/>
      </w:pPr>
    </w:p>
    <w:p w:rsidR="0033382B" w:rsidRDefault="0033382B" w:rsidP="0033382B">
      <w:pPr>
        <w:pStyle w:val="TextoNormal"/>
      </w:pPr>
      <w:r>
        <w:t>Frente a este conjunto de objeciones, el análisis que realiza el órgano judicial es insuficiente. La premisa de todo el razonamiento debería ser el carácter básico del art. 11.1 del texto refundido de la Ley de suelo. La Sala se limita a referirse al carácter básico formal, aludiendo a que el art. 11.1 está comprendido en el núm. 1 de la disposición final primera.</w:t>
      </w:r>
    </w:p>
    <w:p w:rsidR="0033382B" w:rsidRDefault="0033382B" w:rsidP="0033382B">
      <w:pPr>
        <w:pStyle w:val="TextoNormal"/>
      </w:pPr>
    </w:p>
    <w:p w:rsidR="0033382B" w:rsidRDefault="0033382B" w:rsidP="0033382B">
      <w:pPr>
        <w:pStyle w:val="TextoNormal"/>
      </w:pPr>
      <w:r>
        <w:t>Admitido que el art. 11.1 del texto refundido de la Ley de suelo resultase amparado por los títulos competenciales aludidos en el núm. 1 de la disposición final primera, sería necesario además para sostener la inconstitucionalidad del art. 96 de la Ley 9/2002 dos condiciones. La primera es que el art. 96 de la Ley 9/2002 excluyera al art. 11 del texto refundido de la Ley de suelo. A ello alude el Auto de planteamiento cuando dice que “está claro que el legislador autonómico establece en dicho precepto un procedimiento especial, como puede hacer en materias de su competencia (SSTC 141/2014 y 227/1988)”. Sin embargo, un análisis pormenorizado de la cuestión habría exigido, aparte de examinar el alcance de la competencia autonómica en materia de urbanismo, examinar el concreto contenido normativo del art. 96 de la Ley 9/2002 para verificar si realmente regula un procedimiento especial de elaboración de la ordenación urbanística provisional, sobre todo cuando, según se razona en el siguiente fundamento jurídico al examinar el carácter notoriamente infundado de la duda de constitucionalidad, parece obvio que no contiene ningún procedimiento especial de elaboración de la ordenación urbanística provisional.</w:t>
      </w:r>
    </w:p>
    <w:p w:rsidR="0033382B" w:rsidRDefault="0033382B" w:rsidP="0033382B">
      <w:pPr>
        <w:pStyle w:val="TextoNormal"/>
      </w:pPr>
    </w:p>
    <w:p w:rsidR="0033382B" w:rsidRDefault="0033382B" w:rsidP="0033382B">
      <w:pPr>
        <w:pStyle w:val="TextoNormal"/>
      </w:pPr>
      <w:r>
        <w:t>La segunda condición es que el art. 96 de la Ley 9/2002 regulase una disposición administrativa y no una medida cautelar, cuestión esta sobre la que no solo se pronuncia el Concello de Ourense, cuyas razones rechaza el Auto de planteamiento, sino también, y de un modo mucho más incisivo, la entidad codemandada Desarrollos comerciales de ocio e inmobiliarios de Ourense y el Letrado de la Xunta de Galicia, sobre cuyos argumentos el Auto de planteamiento no se pronuncia.</w:t>
      </w:r>
    </w:p>
    <w:p w:rsidR="0033382B" w:rsidRDefault="0033382B" w:rsidP="0033382B">
      <w:pPr>
        <w:pStyle w:val="TextoNormal"/>
      </w:pPr>
    </w:p>
    <w:p w:rsidR="0033382B" w:rsidRDefault="0033382B" w:rsidP="0033382B">
      <w:pPr>
        <w:pStyle w:val="TextoNormal"/>
      </w:pPr>
      <w:r>
        <w:t>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3</w:t>
      </w:r>
      <w:r>
        <w:t>.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resuelto en el Auto 23/2016, de 3 de febrero, FJ 3, en los términos que a continuación se reiteran en lo que resulta relevante.</w:t>
      </w:r>
    </w:p>
    <w:p w:rsidR="0033382B" w:rsidRDefault="0033382B" w:rsidP="0033382B">
      <w:pPr>
        <w:pStyle w:val="TextoNormal"/>
      </w:pPr>
    </w:p>
    <w:p w:rsidR="0033382B" w:rsidRDefault="0033382B" w:rsidP="0033382B">
      <w:pPr>
        <w:pStyle w:val="TextoNormal"/>
      </w:pPr>
      <w:r>
        <w:t>El Auto de planteamiento señala que el art. 96 de la Ley 9/2002 contradice el art. 11.1 del texto refundido de la Ley de suelo, por lo que vulnera los núms.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0033382B" w:rsidRDefault="0033382B" w:rsidP="0033382B">
      <w:pPr>
        <w:pStyle w:val="TextoNormal"/>
      </w:pPr>
    </w:p>
    <w:p w:rsidR="0033382B" w:rsidRDefault="0033382B" w:rsidP="0033382B">
      <w:pPr>
        <w:pStyle w:val="TextoNormal"/>
      </w:pPr>
      <w:r>
        <w:t>Asentada esta premisa, procede examinar si hay contradicción efectiva e insalvable por vía interpretativa entre el art. 96 de la Ley 9/2002 y el art. 11.1 del texto refundido de la Ley de suelo. Lo primero que interesa a este efecto es si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pues negar su conexión con el proceso de cambio de ordenación urbanística, pero tampoco su eficacia normativa durante todo ese periodo intermedio, que incluso no tiene límite temporal en la redacción del art. 96 de la Ley 9/2002, prolongándose en la práctica durante años.</w:t>
      </w:r>
    </w:p>
    <w:p w:rsidR="0033382B" w:rsidRDefault="0033382B" w:rsidP="0033382B">
      <w:pPr>
        <w:pStyle w:val="TextoNormal"/>
      </w:pPr>
    </w:p>
    <w:p w:rsidR="0033382B" w:rsidRDefault="0033382B" w:rsidP="0033382B">
      <w:pPr>
        <w:pStyle w:val="TextoNormal"/>
      </w:pPr>
      <w:r>
        <w:t>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En fin, conforme a este planteamiento, queda claro que no hay contradicción efectiva e insalvable por vía interpretativa entre el art. 96 de la Ley 9/2002 y el art. 11.1 del texto refundido de la Ley de suelo, lo que determina que la presente cuestión deba considerarse notoriamente infundada, según ha configurado este concepto la doctrina constitucional (ATC 121/2015, de 7 de julio, FJ 2).</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 núm. 6539-2015, planteada por la Sección Segunda de la Sala de lo Contencioso-Administrativo del Tribunal Superior de Justicia de Galicia.</w:t>
      </w:r>
    </w:p>
    <w:p w:rsidR="0033382B" w:rsidRDefault="0033382B" w:rsidP="0033382B">
      <w:pPr>
        <w:pStyle w:val="TextoNormal"/>
      </w:pPr>
    </w:p>
    <w:p w:rsidR="0033382B" w:rsidRDefault="0033382B" w:rsidP="0033382B">
      <w:pPr>
        <w:pStyle w:val="TextoNormal"/>
      </w:pPr>
      <w:r>
        <w:t>Madrid, a doce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04" w:name="AUTO_2016_77"/>
      <w:r>
        <w:t>AUTO 77/2016, de 12 de abril de 2016</w:t>
      </w:r>
    </w:p>
    <w:bookmarkEnd w:id="204"/>
    <w:p w:rsidR="0033382B" w:rsidRDefault="0033382B" w:rsidP="0033382B">
      <w:pPr>
        <w:pStyle w:val="TtuloResolucin"/>
      </w:pPr>
      <w:r>
        <w:t>Pleno</w:t>
      </w:r>
    </w:p>
    <w:p w:rsidR="0033382B" w:rsidRDefault="0033382B" w:rsidP="0033382B">
      <w:pPr>
        <w:pStyle w:val="TextoNormalCentrado"/>
      </w:pPr>
      <w:r>
        <w:t>ECLI:ES:TC:2016:77A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6540-2015, planteada por la Sala de lo Contencioso-Administrativo del Tribunal Superior de Justicia de Galicia en relación con el artículo 96 de la Ley del Parlamento de Galicia 9/2002, de 30 de diciembre, de ordenación urbanística y protección del medio rural de Galicia.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20 de noviembre de 2015 entró en el Registro General de este Tribunal un escrito de la Sección Segunda de la Sala de lo Contencioso-Administrativo del Tribunal Superior de Justicia de Galicia, al que se acompaña, junto al testimonio del recurso ordinario 4577-2011,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 la cuestión son los siguientes:</w:t>
      </w:r>
    </w:p>
    <w:p w:rsidR="0033382B" w:rsidRDefault="0033382B" w:rsidP="0033382B">
      <w:pPr>
        <w:pStyle w:val="TextoNormal"/>
      </w:pPr>
    </w:p>
    <w:p w:rsidR="0033382B" w:rsidRDefault="0033382B" w:rsidP="0033382B">
      <w:pPr>
        <w:pStyle w:val="TextoNormal"/>
      </w:pPr>
      <w:r>
        <w:t>a) El plan general de ordenación municipal de Ourense aprobado por Orden de 29 de abril de 2003 de la Consellería de Política Territorial, Obras Públicas y Vivienda fue anulado, en firme, por STS de 9 de marzo de 2011. En consecuencia, resultaba vigente la ordenación del plan general de ordenación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0033382B" w:rsidRDefault="0033382B" w:rsidP="0033382B">
      <w:pPr>
        <w:pStyle w:val="TextoNormal"/>
      </w:pPr>
    </w:p>
    <w:p w:rsidR="0033382B" w:rsidRDefault="0033382B" w:rsidP="0033382B">
      <w:pPr>
        <w:pStyle w:val="TextoNormal"/>
      </w:pPr>
      <w:r>
        <w:t>Copasa, invocando los arts. 18, 19 y 20 de la Ley reguladora de la jurisdicción contencioso-administrativa (LJCA), esto es, las reglas que atribuyen legitimación para recurrir a quien tiene un interés jurídico, impugnan dicho Decreto 187/2011 porque proyecta la suspensión del plan general de ordenación municipal de 1986 solo respecto de ciertas áreas, no incluyendo aquella en la que la recurrente tiene interés, que es la denominada APE-03-N TABARÉS del plan general de ordenación municipal de 2003. Se puede leer en la página 11 de su demanda, bajo la rúbrica “sobre el objeto del presente recurso”, que “el objeto de nuestro recurso es el Decreto 187/2011, de 29 de septiembre, por el que se suspende parcialmente la vigencia del plan general de ordenación municipal de Ourense 1986, así como aprobar una ordenación urbanística provisional hasta la entrada en vigor del nuevo planeamiento, y en particular la no inclusión dentro de los ámbitos para los cuales se suspenden las determinaciones del plan general de ordenación urbana de 1986 del APE-03-N TABARÉS [del plan general de ordenación municipal de 2003]”.</w:t>
      </w:r>
    </w:p>
    <w:p w:rsidR="0033382B" w:rsidRDefault="0033382B" w:rsidP="0033382B">
      <w:pPr>
        <w:pStyle w:val="TextoNormal"/>
      </w:pPr>
    </w:p>
    <w:p w:rsidR="0033382B" w:rsidRDefault="0033382B" w:rsidP="0033382B">
      <w:pPr>
        <w:pStyle w:val="TextoNormal"/>
      </w:pPr>
      <w:r>
        <w:t>Consecuentemente, los motivos de nulidad que hace valer nada tienen que ver con el procedimiento de elaboración de una disposición administrativa, sino con la ilegalidad que, a su juicio, supone la exclusión del acuerdo de suspensión del plan general de ordenación urbana de 1986 del área denominada APE-03-N Tabarés. En efecto, la demanda se funda en los siguientes motivos: a) que la recurrente, mediante el cumplimiento de las condiciones que señalaba el plan general de ordenación municipal de 2003, había ya adquirido derechos urbanísticos en esa área; b) que el área APE-03-N Tabarés presenta un especial interés general, en la misma medida que los dieciséis ámbitos sobre los que se proyecta la suspensión; c) y que el uso industrial previsto en el plan general de ordenación urbana de 1986 para el área APE-03-N Tabarés no es compatible con cómo ha evolucionado el entorno, que ahora está consolidado por la edificación.</w:t>
      </w:r>
    </w:p>
    <w:p w:rsidR="0033382B" w:rsidRDefault="0033382B" w:rsidP="0033382B">
      <w:pPr>
        <w:pStyle w:val="TextoNormal"/>
      </w:pPr>
    </w:p>
    <w:p w:rsidR="0033382B" w:rsidRDefault="0033382B" w:rsidP="0033382B">
      <w:pPr>
        <w:pStyle w:val="TextoNormal"/>
      </w:pPr>
      <w:r>
        <w:t xml:space="preserve">b) Con posterioridad al inicio de este recurso ordinario 4577-2011 y después incluso de que se hubieran formulado los escritos de conclusiones, la STS de 5 de febrero de 2014 casó la STSJ Galicia de 20 de enero de 2011, que había decidido un asunto muy similar al que ahora se planteaba. Dice la Sentencia del Tribunal Supremo, en su fundamento jurídico segundo </w:t>
      </w:r>
      <w:r w:rsidRPr="0033382B">
        <w:rPr>
          <w:i/>
        </w:rPr>
        <w:t>in fine</w:t>
      </w:r>
      <w:r>
        <w:t>,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Esta STS de 5 de febrero de 2014 fue aportada por la parte actora a los recursos ordinarios 4522-2011 y 4523-2011, que también se dirigían contra el Decreto 187/2011 y que han dado lugar a las cuestiones de inconstitucionalidad 6539-2015 y 6576-2015.</w:t>
      </w:r>
    </w:p>
    <w:p w:rsidR="0033382B" w:rsidRDefault="0033382B" w:rsidP="0033382B">
      <w:pPr>
        <w:pStyle w:val="TextoNormal"/>
      </w:pPr>
    </w:p>
    <w:p w:rsidR="0033382B" w:rsidRDefault="0033382B" w:rsidP="0033382B">
      <w:pPr>
        <w:pStyle w:val="TextoNormal"/>
      </w:pPr>
      <w:r>
        <w:t>c) Conclusa la tramitación del proceso a quo, el órgano judicial dictó providencia de 17 de septiembre de 2015, por la que, conforme al art. 35.2 de la Ley Orgánica del Tribunal Constitucional (LOTC), “acuerda oír a las partes y al Ministerio Fiscal sobre la pertinencia de plantear cuestión de inconstitucionalidad respecto del art. 96 de la Ley 9/2002, en cuanto que omite un trámite de información pública, ante su posible inconstitucionalidad sobrevenida por infracción del art. 149.1.1, 13, 18 y 23 CE, al contradecir lo establecido en el art. art. 11.1 del texto refundido de la Ley de suelo”.</w:t>
      </w:r>
    </w:p>
    <w:p w:rsidR="0033382B" w:rsidRDefault="0033382B" w:rsidP="0033382B">
      <w:pPr>
        <w:pStyle w:val="TextoNormal"/>
      </w:pPr>
    </w:p>
    <w:p w:rsidR="0033382B" w:rsidRDefault="0033382B" w:rsidP="0033382B">
      <w:pPr>
        <w:pStyle w:val="TextoNormal"/>
      </w:pPr>
      <w:r>
        <w:t>d) El Fiscal, en escrito de 21 de septiembre de 2015, informa que procede el planteamiento de la cuestión porque el art. 96 de la Ley 9/2002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0033382B" w:rsidRDefault="0033382B" w:rsidP="0033382B">
      <w:pPr>
        <w:pStyle w:val="TextoNormal"/>
      </w:pPr>
    </w:p>
    <w:p w:rsidR="0033382B" w:rsidRDefault="0033382B" w:rsidP="0033382B">
      <w:pPr>
        <w:pStyle w:val="TextoNormal"/>
      </w:pPr>
      <w:r>
        <w:t>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art.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0033382B" w:rsidRDefault="0033382B" w:rsidP="0033382B">
      <w:pPr>
        <w:pStyle w:val="TextoNormal"/>
      </w:pPr>
    </w:p>
    <w:p w:rsidR="0033382B" w:rsidRDefault="0033382B" w:rsidP="0033382B">
      <w:pPr>
        <w:pStyle w:val="TextoNormal"/>
      </w:pPr>
      <w:r>
        <w:t>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tratan:actuacions excepcionais, audiencia do Concello previa a suspensión, necesidad de implementar con celeridade una nova ordenación, carácter provisional e transitorio desa ordenación”.</w:t>
      </w:r>
    </w:p>
    <w:p w:rsidR="0033382B" w:rsidRDefault="0033382B" w:rsidP="0033382B">
      <w:pPr>
        <w:pStyle w:val="TextoNormal"/>
      </w:pPr>
    </w:p>
    <w:p w:rsidR="0033382B" w:rsidRDefault="0033382B" w:rsidP="0033382B">
      <w:pPr>
        <w:pStyle w:val="TextoNormal"/>
      </w:pPr>
      <w:r>
        <w:t>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3</w:t>
      </w:r>
      <w:r>
        <w:t xml:space="preserve">. Dicho Auto señala, como antecedentes de hecho, que el Tribunal Supremo, en su Sentencia de 5 de febrero de 2014, anuló el Decreto 15/2007 de la Xunta de Galicia, de suspensión del plan general de ordenación municipal de Barreiros y aprobación de la ordenación urbanística provisional al amparo de lo previsto en el art. 96 de la Ley 9/2002, por haber sido omitido el trámite de información pública. Señala en el mismo epígrafe que por providencia de 17 de septiembre de 2015 se confirió el trámite de audiencia </w:t>
      </w:r>
      <w:r w:rsidRPr="0033382B">
        <w:rPr>
          <w:i/>
        </w:rPr>
        <w:t>ex</w:t>
      </w:r>
      <w:r>
        <w:t xml:space="preserve"> art. 35.2 LOTC, que, salvo por lo que hace a la parte actora, fue evacuado por todos los intervinientes en los términos que se ha dejado ya constancia.</w:t>
      </w:r>
    </w:p>
    <w:p w:rsidR="0033382B" w:rsidRDefault="0033382B" w:rsidP="0033382B">
      <w:pPr>
        <w:pStyle w:val="TextoNormal"/>
      </w:pPr>
    </w:p>
    <w:p w:rsidR="0033382B" w:rsidRDefault="0033382B" w:rsidP="0033382B">
      <w:pPr>
        <w:pStyle w:val="TextoNormal"/>
      </w:pPr>
      <w:r>
        <w:t>En el primer fundamento jurídico describe el contenido normativo del art. 96 de la Ley 9/2002, poniendo de relieve que regula un procedimiento en el que no hay trámite de información pública, e indica que este precepto es similar al art. 52 de la anterior Ley del suelo de Galicia (Ley 1/997) y al art. 130 del Real Decreto Legislativo 1/1992. A continuación transcribe el art. 11 del texto refundido de la Ley del suelo, del que conviene destacar que en su primer apartado dispone que “todos los instrumentos de ordenación territorial y de ordenación y ejecución urbanísticas … deben ser sometidos al trámite de información pública en los términos y por el plazo que establezca la legislación en la materia”. Y termina diciendo que “la disposición final primera, número 1, de dicho Real Decreto Legislativo incluye el citado art. 11 entre los que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dictadas en ejercicio de las competencias reservadas al legislador general en el art. 149.1.1, 13, 18 y 23 de la Constitución’”.</w:t>
      </w:r>
    </w:p>
    <w:p w:rsidR="0033382B" w:rsidRDefault="0033382B" w:rsidP="0033382B">
      <w:pPr>
        <w:pStyle w:val="TextoNormal"/>
      </w:pPr>
    </w:p>
    <w:p w:rsidR="0033382B" w:rsidRDefault="0033382B" w:rsidP="0033382B">
      <w:pPr>
        <w:pStyle w:val="TextoNormal"/>
      </w:pPr>
      <w:r>
        <w:t>En el segundo fundamento jurídico se refiere a las alegaciones del Ayuntamiento de Ourense. Afirma que en ellas “se argumenta que no es necesario el planteamiento de la cuestión de inconstitucionalidad porque la legislación autonómica puede lícitamente no contemplar un trámite específico de información pública en un instrumento de carácter cautelar de vigencia muy limitada. Sin embargo, ni (</w:t>
      </w:r>
      <w:r w:rsidRPr="0033382B">
        <w:rPr>
          <w:i/>
        </w:rPr>
        <w:t>sic</w:t>
      </w:r>
      <w:r>
        <w:t>) está claro que el legislador autonómico establece en dicho precepto un procedimiento especial, como puede hacer en materias de su competencia (SSTC 141/2014 y 227/1988), que persigue la máxima celeridad, dado el carácter excepcional de la intervención de la Administración autonómica, asimismo provisional y transitoria; y lo hace, como alega su representante procesal, atendiendo a la naturaleza de medida cautelar que habían reconocido a la suspensión del planeamiento las Sentencias del Tribunal Supremo anteriores a la de 5 de febrero de 2014, la cual supone, como en ella se expresa, un cambio del criterio seguido con anterioridad, y que hay que suponer que se mantendrá en las posteriores”. Y más adelante señala que “también utiliza el Ayuntamiento el argumento … de que la suspensión del planeamiento es una medida cautelar, respecto a lo cual hay que reiterar lo antes dicho, que no queda desvirtuado por lo declarado en la STC 36/1994 que invoca dicha parte, ya que si bien esta sentencia considera la suspensión del otorgamiento de licencias municipales una medida cautelar, lo hace en un supuesto en que su adopción se realizaba para ‘salvaguardar la eficacia de las competencias autonómicas de ordenación territorial regulando el régimen de adaptación de los instrumentos de planificación y urbanísticos municipales a las supraordenadas Directrices de Ordenación del Territorio’, y nada dice la sentencia sobre el procedimiento a seguir”.</w:t>
      </w:r>
    </w:p>
    <w:p w:rsidR="0033382B" w:rsidRDefault="0033382B" w:rsidP="0033382B">
      <w:pPr>
        <w:pStyle w:val="TextoNormal"/>
      </w:pPr>
    </w:p>
    <w:p w:rsidR="0033382B" w:rsidRDefault="0033382B" w:rsidP="0033382B">
      <w:pPr>
        <w:pStyle w:val="TextoNormal"/>
      </w:pPr>
      <w:r>
        <w:t xml:space="preserve">Destina el último fundamento de derecho a justificar que no es aplicable el art. 11.1 del texto refundido de la Ley del sueo como norma prevalente. Según las SSTC 187/2012 y 177/2013, un órgano judicial no puede fiscalizar las normas postconstitucionales con rango de ley, dado que el constituyente ha querido sustraer al Juez ordinario la posibilidad de inaplicar una ley postconstitucional ante un eventual juicio de incompatibilidad con la Constitución, puesto que la depuración del ordenamiento legal, vigente la Constitución, corresponde de forma exclusiva al Tribunal Constitucional, que tiene la competencia y la jurisdicción para declarar, con eficacia </w:t>
      </w:r>
      <w:r w:rsidRPr="0033382B">
        <w:rPr>
          <w:i/>
        </w:rPr>
        <w:t>erga omnes</w:t>
      </w:r>
      <w:r>
        <w:t>, la inconstitucionalidad de las leyes. Según la STC 159/2012 esta doctrina también es aplicable a las leyes que devienen disconformes con la Constitución por la modificación posterior de la legislación básica estatal, como ocurre en este caso que la contradicción deriva del art. 11.2 del texto refundido de la Ley de suelo, que ha venido a sustituir al art. 6.1 de la Ley 6/1998 vigente al tiempo que se dictó el art. 96 de la Ley 9/2002.</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16 de febrero de 2016 la Sección Tercera de este Tribunal acordó, a los efectos que determina el art. 37.1 de la Ley Orgánica del Tribunal Constitucional, oír al Fiscal General del Estado para que en el plazo de diez días alegase acerca de la admisibilidad de la presente cuestión de inconstitucionalidad, por si faltasen requisitos de procedibilidad o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en escrito registrado el 18 de marzo de 2016, afirma que la Sala ha exteriorizado su juicio de aplicabilidad aduciendo que el Decreto 187/2011 podría ser anulado por falta de información pública en el procedimiento de elaboración y aprobación de la ordenación urbanística provisional, si bien para ello habría de ser inaplicado el art. 96 de la Ley 9/2002, ya que en dicho precepto optó por omitir la exigencia de información pública en dicho procedimiento. Ahora bien, sigue la Fiscal, esa causa de nulidad del Decreto 187/2011 no ha sido invocada en el procedimiento ordinario 4577-2011, sino que ha sido esgrimida en otros procesos dirigidos contra igual Decreto 187/2011, procesos estos otros de los que la Sala ha extraído tal causa de nulidad para plantear la presente cuestión de inconstitucionalidad. Lo que implica, concluye la Fiscal, que en el Auto de planteamiento no existe razonamiento alguno que acredite que el art. 96 de la Ley 9/2002, en cuanto omite el trámite de información pública, ha de ser necesariamente aplicado para resolver las pretensiones vertidas por las partes en el concreto proceso contencioso-administrativo de que se trata. Y añade: “piénsese a este propósito que en el presente caso lo que la parte recurrente pretende no es la nulidad o anulación del Decreto 187/2011 sino que, manteniéndose en lo sustancial la legalidad de tal disposición general, se condene a la Administración demandada, por un lado, a incluir entre los ámbitos respecto de los cuales se suspende la aplicación del plan general de ordenación municipal de 1986 el sector APE-03-N TABARÉS del plan general de ordenación municipal de 2003 y, por otro lado, a dotar a ese ámbito de una ordenación urbanística provisional congruente con el entorno residencial en el que se sitúa”.</w:t>
      </w:r>
    </w:p>
    <w:p w:rsidR="0033382B" w:rsidRDefault="0033382B" w:rsidP="0033382B">
      <w:pPr>
        <w:pStyle w:val="TextoNormal"/>
      </w:pPr>
    </w:p>
    <w:p w:rsidR="0033382B" w:rsidRDefault="0033382B" w:rsidP="0033382B">
      <w:pPr>
        <w:pStyle w:val="TextoNormal"/>
      </w:pPr>
      <w:r>
        <w:t>De otro lado, razona que no es adecuado el juicio de relevancia formulado por la Sala porque “no se ha planteado un extremo que a simple vista parecen fundamentales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9/2002, que previene expresamente el trámite de información pública en el procedimiento ordinario de aprobación de un plan general … Omisiones estas que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0033382B" w:rsidRDefault="0033382B" w:rsidP="0033382B">
      <w:pPr>
        <w:pStyle w:val="TextoNormal"/>
      </w:pPr>
    </w:p>
    <w:p w:rsidR="0033382B" w:rsidRDefault="0033382B" w:rsidP="0033382B">
      <w:pPr>
        <w:pStyle w:val="TextoNormal"/>
      </w:pPr>
      <w:r>
        <w:t>Sostiene, en tercer lugar, que la duda de constitucionalidad debe reputarse notoriamente infundada en el sentido que tiene esta expresión en el ATC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 suelo, lo que determina que la presente cuestión deba considerarse notoriamente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9/2002, por ser incompatible con el art. 11 del texto refundido de la Ley de suelo (“todos los instrumentos de ordenación territorial y de ordenación y ejecución urbanísticas deben ser sometidos al trámite de información pública”), desconozca lo previsto en los números 1, 13, 18 y 23 del art. 149.1 CE.</w:t>
      </w:r>
    </w:p>
    <w:p w:rsidR="0033382B" w:rsidRDefault="0033382B" w:rsidP="0033382B">
      <w:pPr>
        <w:pStyle w:val="TextoNormal"/>
      </w:pPr>
    </w:p>
    <w:p w:rsidR="0033382B" w:rsidRDefault="0033382B" w:rsidP="0033382B">
      <w:pPr>
        <w:pStyle w:val="TextoNormal"/>
      </w:pPr>
      <w:r>
        <w:t>La Fiscal General del Estado insta su inadmisión por tres motivos. Afirma que la Sala no ha formulado adecuadamente ni el juicio de aplicabilidad (pues la falta de información pública en el trámite de elaboración y aprobación de la ordenación urbanística provisional, que es la causa de nulidad del Decreto 187/2011 sobre la que construye la aplicabilidad del art. 96 de la Ley 9/2002, no ha sido invocada en el procedimiento ordinario 4577-2011 ni tiene relación con la delimitación que la actora hizo de dicho proceso) ni el juicio de relevancia (pues “no se ha planteado un extremo que a simple vista parece fundamental y que, de haber sido contemplado, podría haber provocado que esa Sala ni siquiera hubiera llegado a plantear la presente cuestión”). Además, en virtud las razones detalladas en los antecedentes, sostiene que la cuestión es notoriamente infundada, según ya se ha declarado en el ATC 23/2016, de 3 de febrero.</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3</w:t>
      </w:r>
      <w:r>
        <w:t xml:space="preserve">. En primer lugar, y como la Fiscal pone de relieve, la recurrente en el proceso </w:t>
      </w:r>
      <w:r w:rsidRPr="0033382B">
        <w:rPr>
          <w:i/>
        </w:rPr>
        <w:t>a quo</w:t>
      </w:r>
      <w:r>
        <w:t xml:space="preserve"> no pretende la anulación del Decreto 187/2011, sino que, manteniéndose en lo sustancial su legalidad, se declare que las circunstancias del caso exigen proyectar la suspensión del plan general de ordenación urbana de 1986 también respecto del sector APE-03-N Tabarés del plan general de ordenación urbana de 2003 y consecuentemente dotarlo de una ordenación urbanística provisional. Se corresponden con este modo de fijar el objeto del proceso </w:t>
      </w:r>
      <w:r w:rsidRPr="0033382B">
        <w:rPr>
          <w:i/>
        </w:rPr>
        <w:t>a quo</w:t>
      </w:r>
      <w:r>
        <w:t xml:space="preserve"> los motivos de impugnación que hace valer la parte actora, que han quedado expuestos en los antecedentes y entre los que no está la falta de información pública en el trámite de elaboración y aprobación de la ordenación urbanística provisional recogida en el Decreto 187/2011.</w:t>
      </w:r>
    </w:p>
    <w:p w:rsidR="0033382B" w:rsidRDefault="0033382B" w:rsidP="0033382B">
      <w:pPr>
        <w:pStyle w:val="TextoNormal"/>
      </w:pPr>
    </w:p>
    <w:p w:rsidR="0033382B" w:rsidRDefault="0033382B" w:rsidP="0033382B">
      <w:pPr>
        <w:pStyle w:val="TextoNormal"/>
      </w:pPr>
      <w:r>
        <w:t xml:space="preserve">En fin, dado que la causa de nulidad del Decreto 187/2011 sobre la que el Auto construye la relevancia del art. 96 de la Ley 9/2002 no ha sido invocada en el procedimiento ordinario 4577-2011, ni tampoco podría haber sido introducida por el órgano judicial a través del expediente previsto en el art. 33.2 de la Ley reguladora de la jurisdicción contencioso-administrativa u otro que pudiera evitar de un modo equivalente la indefensión de las partes- porque carece de conexión con el objeto del proceso </w:t>
      </w:r>
      <w:r w:rsidRPr="0033382B">
        <w:rPr>
          <w:i/>
        </w:rPr>
        <w:t>a quo</w:t>
      </w:r>
      <w:r>
        <w:t xml:space="preserve"> tal como ha sido delimitado por la parte actora, procede concluir, acogiendo la alegación de la Fiscal General del Estado, que en el Auto de planteamiento no existe razonamiento alguno que acredite que el art. 96 de la Ley 9/2002, en cuanto omite el trámite de información pública, ha de ser necesariamente aplicado para resolver las pretensiones vertidas por las partes en el concreto proceso contencioso-administrativo de que se trata. De este modo, no quedaría satisfecho el juicio de relevancia, que es imprescindible para garantizar el carácter concreto y no abstracto del juicio de constitucionalidad que se nos reclama (por todas, STC 6/2010, FJ 3, y 83/2015, FJ 3; y 4/2016, FJ 3).</w:t>
      </w:r>
    </w:p>
    <w:p w:rsidR="0033382B" w:rsidRDefault="0033382B" w:rsidP="0033382B">
      <w:pPr>
        <w:pStyle w:val="TextoNormal"/>
      </w:pPr>
    </w:p>
    <w:p w:rsidR="0033382B" w:rsidRDefault="0033382B" w:rsidP="0033382B">
      <w:pPr>
        <w:pStyle w:val="TextoNormal"/>
      </w:pPr>
      <w:r w:rsidRPr="0033382B">
        <w:rPr>
          <w:rStyle w:val="NumeroAFNegritaCaracter"/>
        </w:rPr>
        <w:t>4</w:t>
      </w:r>
      <w:r>
        <w:t>. En segundo lugar, 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0033382B" w:rsidRDefault="0033382B" w:rsidP="0033382B">
      <w:pPr>
        <w:pStyle w:val="TextoNormal"/>
      </w:pPr>
    </w:p>
    <w:p w:rsidR="0033382B" w:rsidRDefault="0033382B" w:rsidP="0033382B">
      <w:pPr>
        <w:pStyle w:val="TextoNormal"/>
      </w:pPr>
      <w:r>
        <w:t xml:space="preserve">El Auto de 3 de noviembre de 2015, aunque en los escritos mediante los que las partes y el Fiscal evacuan el trámite de audiencia </w:t>
      </w:r>
      <w:r w:rsidRPr="0033382B">
        <w:rPr>
          <w:i/>
        </w:rPr>
        <w:t>ex</w:t>
      </w:r>
      <w:r>
        <w:t xml:space="preserve"> art. 35 LOTC, así como en la Sentencia de la del Tribunal Supremo de 5 de febrero de 2014 a la que alude en los antecedentes de hecho, constan muchas e importantes objeciones en relación a la cuestión de inconstitucionalidad que pretende plantear, no realiza “un pormenorizado análisis de las graves cuestiones que se suscitan”. En este mismo sentido se expresan las alegaciones de la Fiscal General del Estado, en las que se destaca que el órgano judicial omite la consideración de elementos fundamentales que inciden en su duda de constitucionalidad, pues “no se plantea si no podría garantizarse en todo caso la efectividad de ese trámite de información pública … mediante la aplicación de las previsiones establecidas en el art. 86 de la Ley 30/1992, … en el art. 11 [del texto refundido de la Ley de suelo] … o, incluso, en el art. 85 de la Ley 9/2002”.</w:t>
      </w:r>
    </w:p>
    <w:p w:rsidR="0033382B" w:rsidRDefault="0033382B" w:rsidP="0033382B">
      <w:pPr>
        <w:pStyle w:val="TextoNormal"/>
      </w:pPr>
    </w:p>
    <w:p w:rsidR="0033382B" w:rsidRDefault="0033382B" w:rsidP="0033382B">
      <w:pPr>
        <w:pStyle w:val="TextoNormal"/>
      </w:pPr>
      <w:r>
        <w:t>En primer lugar, la citada Sentencia de la Sala de lo Contencioso-Administrativo del Tribunal Supremo de 5 de febrero de 2014, sin necesidad de acudir al criterio de prevalencia, consideró aplicable el art. 11.1 del texto refundido de la Ley de suelo. Entendió, por tanto, que el art. 96 de la Ley 9/2002 y el art. 11.1 del texto refundido de la Ley de suelo no se contradicen de un modo insalvable sino que, en realidad, son compatibles. En otras palabras, el silencio del primero sobre la necesidad de un expediente de información pública no excluiría, según el Tribunal Supremo, que la Administración deba practicar tal trámite en aplicación del segundo. Dicha Sentencia, además, puso de relieve que la Administración gallega, en un supuesto similar en relación a la suspensión del plan general de ordenación municipal de O Grove, no había tenido problema en abrir un trámite de información pública, a pesar de la dicción del art. 52 de la Ley gallega 1/1997 (que el propio auto de planteamiento dice que es el antecedente directo del art. 96 de la Ley 9/2002 y que es de contenido similar).</w:t>
      </w:r>
    </w:p>
    <w:p w:rsidR="0033382B" w:rsidRDefault="0033382B" w:rsidP="0033382B">
      <w:pPr>
        <w:pStyle w:val="TextoNormal"/>
      </w:pPr>
    </w:p>
    <w:p w:rsidR="0033382B" w:rsidRDefault="0033382B" w:rsidP="0033382B">
      <w:pPr>
        <w:pStyle w:val="TextoNormal"/>
      </w:pPr>
      <w:r>
        <w:t>Por su parte, el Concello de Ourense y el Letrado de la Xunta de Galicia mantienen que el art. 96 de la Ley 9/2002 es incompatible con el art. 11 del texto refundido de la Ley de suelo, pero que ello no supone la inconstitucionalidad del primero porque no regula un disposición administrativa sino una medida cautelar, todo ello apoyado en las razones consignadas en los antecedentes de esta resolución.</w:t>
      </w:r>
    </w:p>
    <w:p w:rsidR="0033382B" w:rsidRDefault="0033382B" w:rsidP="0033382B">
      <w:pPr>
        <w:pStyle w:val="TextoNormal"/>
      </w:pPr>
    </w:p>
    <w:p w:rsidR="0033382B" w:rsidRDefault="0033382B" w:rsidP="0033382B">
      <w:pPr>
        <w:pStyle w:val="TextoNormal"/>
      </w:pPr>
      <w:r>
        <w:t>Frente a este conjunto de objeciones, el análisis que realiza el órgano judicial es insuficiente. La premisa de todo el razonamiento debería ser el carácter básico del art. 11.1 del texto refundido de la Ley de suelo. La Sala se limita a referirse al carácter básico formal, aludiendo que el artículo 11.1 está comprendido en el número 1 de la disposición final primera. Ningún razonamiento destina a fundar el carácter básico en sentido material, lo que resultaría notablemente relevante para determinar la extensión de la competencia estatal en relación con la competencia autonómica en materia de urbanismo y, correlativamente, para dilucidar si el art. 96 de la Ley 9/2002 y el art. 11.1 del texto refundido de la Ley de suelo pueden convivir o se excluyen.</w:t>
      </w:r>
    </w:p>
    <w:p w:rsidR="0033382B" w:rsidRDefault="0033382B" w:rsidP="0033382B">
      <w:pPr>
        <w:pStyle w:val="TextoNormal"/>
      </w:pPr>
    </w:p>
    <w:p w:rsidR="0033382B" w:rsidRDefault="0033382B" w:rsidP="0033382B">
      <w:pPr>
        <w:pStyle w:val="TextoNormal"/>
      </w:pPr>
      <w:r>
        <w:t>Admitido que el art. 11.1 del texto refundido de la Ley de suelo resultase amparado por los títulos competenciales aludidos en el número 1 de la disposición final primera, sería necesario además para sostener la inconstitucionalidad del art. 96 de la Ley 9/2002 dos condiciones. La primera es que el art. 96 de la Ley 9/2002 excluyera al art. 11 del texto refundido de la Ley del sueo. A ello alude el auto de planteamiento cuando dice que “está claro que el legislador autonómico establece en dicho precepto un procedimiento especial, como puede hacer en materias de su competencia (SSTC 141/2014 y 227/1988)”. Sin embargo, un análisis pormenorizado de la cuestión habría exigido, aparte de examinar el alcance de la competencia autonómica en materia de urbanismo, analizar el concreto contenido normativo del art.96 de la Ley 9/2002 para verificar si realmente regula un procedimiento especial de elaboración de la ordenación urbanística provisional, sobre todo cuando, según se razona en el siguiente fundamento jurídico al examinar el carácter notoriamente infundado de la duda de constitucionalidad, parece obvio que no contiene ningún procedimiento especial de elaboración de la ordenación urbanística provisional.</w:t>
      </w:r>
    </w:p>
    <w:p w:rsidR="0033382B" w:rsidRDefault="0033382B" w:rsidP="0033382B">
      <w:pPr>
        <w:pStyle w:val="TextoNormal"/>
      </w:pPr>
    </w:p>
    <w:p w:rsidR="0033382B" w:rsidRDefault="0033382B" w:rsidP="0033382B">
      <w:pPr>
        <w:pStyle w:val="TextoNormal"/>
      </w:pPr>
      <w:r>
        <w:t>La segunda condición es que el art. 96 de la Ley 9/2002 regulase una disposición administrativa y no una medida cautelar, cuestión esta sobre la que no solo se pronuncia el Concello de Ourense, cuyas razones rechaza el auto de planteamiento, sino también, y de un modo mucho más incisivo, el Letrado de la Xunta de Galicia, sobre cuyos argumentos el Auto de planteamiento no se pronuncia.</w:t>
      </w:r>
    </w:p>
    <w:p w:rsidR="0033382B" w:rsidRDefault="0033382B" w:rsidP="0033382B">
      <w:pPr>
        <w:pStyle w:val="TextoNormal"/>
      </w:pPr>
    </w:p>
    <w:p w:rsidR="0033382B" w:rsidRDefault="0033382B" w:rsidP="0033382B">
      <w:pPr>
        <w:pStyle w:val="TextoNormal"/>
      </w:pPr>
      <w:r>
        <w:t>Dadas las circunstancias descritas, este Tribunal aprecia que el Auto de planteamiento no hace “un pormenorizado análisis de las graves cuestiones que se suscitan”, por lo que el órgano judicial no ha levantado la carga de colaborar con la justicia constitucional que se le exige cuando insta la depuración del ordenamiento jurídico, déficit que determina la inadmisión de la presente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en los términos reseñados en los antecedentes, expone por último que la duda de constitucionalidad que formula la Sala es notoriamente infundada en los términos que la doctrina constitucional atribuye a este concepto (por todos, ATC 43/2014, de 12 de febrero, FJ 3). Este aspecto de la duda de constitucionalidad ya ha sido resuelto en el Auto 23/2016, de 3 de febrero, FJ 3, en los términos que a continuación se reiteran en lo que resulta relevante.</w:t>
      </w:r>
    </w:p>
    <w:p w:rsidR="0033382B" w:rsidRDefault="0033382B" w:rsidP="0033382B">
      <w:pPr>
        <w:pStyle w:val="TextoNormal"/>
      </w:pPr>
    </w:p>
    <w:p w:rsidR="0033382B" w:rsidRDefault="0033382B" w:rsidP="0033382B">
      <w:pPr>
        <w:pStyle w:val="TextoNormal"/>
      </w:pPr>
      <w:r>
        <w:t>El Auto de planteamiento señala que el art. 96 de la Ley 9/2002 contradice el art. 11.1 del texto refundido de la Ley de suelo,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0033382B" w:rsidRDefault="0033382B" w:rsidP="0033382B">
      <w:pPr>
        <w:pStyle w:val="TextoNormal"/>
      </w:pPr>
    </w:p>
    <w:p w:rsidR="0033382B" w:rsidRDefault="0033382B" w:rsidP="0033382B">
      <w:pPr>
        <w:pStyle w:val="TextoNormal"/>
      </w:pPr>
      <w:r>
        <w:t>Asentada esta premisa, procede examinar si hay contradicción efectiva e insalvable por vía interpretativa entre el art. 96 de la Ley 9/2002 y el art. 11.1 del texto refundido de la Ley de suelo. Lo primero que interesa a este efecto es si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periodo intermedio, que incluso no tiene límite temporal en la redacción del art. 96 de la Ley 9/2002, prolongándose en la práctica durante años.</w:t>
      </w:r>
    </w:p>
    <w:p w:rsidR="0033382B" w:rsidRDefault="0033382B" w:rsidP="0033382B">
      <w:pPr>
        <w:pStyle w:val="TextoNormal"/>
      </w:pPr>
    </w:p>
    <w:p w:rsidR="0033382B" w:rsidRDefault="0033382B" w:rsidP="0033382B">
      <w:pPr>
        <w:pStyle w:val="TextoNormal"/>
      </w:pPr>
      <w:r>
        <w:t>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En fin, conforme a este planteamiento, queda claro que no hay contradicción efectiva e insalvable por vía interpretativa entre el art. 96 de la Ley 9/2002 y el art. 11.1 del texto refundido de la Ley de suelo, lo que determina que la presente cuestión deba considerarse notoriamente infundada, según ha configurado este concepto la doctrina constitucional (ATC 121/2015, de 7 de julio, FJ 2).</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 núm. 6540-2015, planteada por la Sección Segunda de la Sala de lo Contencioso-Administrativo del Tribunal Superior de Justicia de Galicia</w:t>
      </w:r>
    </w:p>
    <w:p w:rsidR="0033382B" w:rsidRDefault="0033382B" w:rsidP="0033382B">
      <w:pPr>
        <w:pStyle w:val="TextoNormal"/>
      </w:pPr>
    </w:p>
    <w:p w:rsidR="0033382B" w:rsidRDefault="0033382B" w:rsidP="0033382B">
      <w:pPr>
        <w:pStyle w:val="TextoNormal"/>
      </w:pPr>
      <w:r>
        <w:t>Madrid, a doce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05" w:name="AUTO_2016_78"/>
      <w:r>
        <w:t>AUTO 78/2016, de 12 de abril de 2016</w:t>
      </w:r>
    </w:p>
    <w:bookmarkEnd w:id="205"/>
    <w:p w:rsidR="0033382B" w:rsidRDefault="0033382B" w:rsidP="0033382B">
      <w:pPr>
        <w:pStyle w:val="TtuloResolucin"/>
      </w:pPr>
      <w:r>
        <w:t>Pleno</w:t>
      </w:r>
    </w:p>
    <w:p w:rsidR="0033382B" w:rsidRDefault="0033382B" w:rsidP="0033382B">
      <w:pPr>
        <w:pStyle w:val="TextoNormalCentrado"/>
      </w:pPr>
      <w:r>
        <w:t>ECLI:ES:TC:2016:78A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6714-2015, planteada por la Sala de lo Contencioso-Administrativo del Tribunal Superior de Justicia de Galicia en relación con el artículo 96 de la Ley del Parlamento de Galicia 9/2002, de 30 de diciembre, de ordenación urbanística y protección del medio rural de Galicia.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30 de noviembre de 2015 entró en el Registro General de este Tribunal un escrito de la Sección Segunda de la Sala de lo Contencioso-Administrativo del Tribunal Superior de Justicia de Galicia, al que se acompaña, junto al testimonio del recurso ordinario 4395-2011,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dispuesto en los arts. 9.2 y 105 a) CE, así como de lo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 la cuestión son los siguientes:</w:t>
      </w:r>
    </w:p>
    <w:p w:rsidR="0033382B" w:rsidRDefault="0033382B" w:rsidP="0033382B">
      <w:pPr>
        <w:pStyle w:val="TextoNormal"/>
      </w:pPr>
    </w:p>
    <w:p w:rsidR="0033382B" w:rsidRDefault="0033382B" w:rsidP="0033382B">
      <w:pPr>
        <w:pStyle w:val="TextoNormal"/>
      </w:pPr>
      <w:r>
        <w:t>a) El plan general de ordenación municipal de Ourense aprobado por Orden de 29 de abril de 2003 de la Consellería de Política Territorial, Obras Públicas y Vivienda fue anulado, en firme, por STS de 9 de marzo de 2011. En consecuencia, resultaba vigente la ordenación del plan general de ordenación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0033382B" w:rsidRDefault="0033382B" w:rsidP="0033382B">
      <w:pPr>
        <w:pStyle w:val="TextoNormal"/>
      </w:pPr>
    </w:p>
    <w:p w:rsidR="0033382B" w:rsidRDefault="0033382B" w:rsidP="0033382B">
      <w:pPr>
        <w:pStyle w:val="TextoNormal"/>
      </w:pPr>
      <w:r>
        <w:t>Don A.V.F, impugna dicho Decreto 187/2011 pretendiendo principalmente su anulación íntegra porque, según alega, lo aprobó el Presidente de la Xunta de Galicia después de la deliberación del Consello de la Xunta, en lugar de aprobarlo el Consello de la Xunta a propuesta del Conselleiro competente. Insta subsidiariamente la anulación del Decreto 187/2011 por haber incluido en la suspensión del plan general de ordenación municipal de Ourense 1986 y ordenación urbanística provisional el área de reparto AR-39-E.</w:t>
      </w:r>
    </w:p>
    <w:p w:rsidR="0033382B" w:rsidRDefault="0033382B" w:rsidP="0033382B">
      <w:pPr>
        <w:pStyle w:val="TextoNormal"/>
      </w:pPr>
    </w:p>
    <w:p w:rsidR="0033382B" w:rsidRDefault="0033382B" w:rsidP="0033382B">
      <w:pPr>
        <w:pStyle w:val="TextoNormal"/>
      </w:pPr>
      <w:r>
        <w:t xml:space="preserve">b) Con posterioridad al inicio de este recurso ordinario 4395-2011 y después incluso de que se hubieran formulado los escritos de conclusiones, la STS de 5 de febrero de 2014 casó la STSJ de Galicia de 20 de enero de 2011, que había decidido un asunto muy similar al que ahora se planteaba. Dice la Sentencia del Tribunal Supremo, en su fundamento jurídico segundo </w:t>
      </w:r>
      <w:r w:rsidRPr="0033382B">
        <w:rPr>
          <w:i/>
        </w:rPr>
        <w:t>in fine</w:t>
      </w:r>
      <w:r>
        <w:t>,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Esta STS de 5 de febrero de 2014 fue aportada por la parte actora a los recursos ordinarios 4522-2011 y 4523-2011, que también se dirigían contra el Decreto 187/2011 y que han dado lugar a las cuestiones de inconstitucionalidad 6539-2015 y 6576-2015.</w:t>
      </w:r>
    </w:p>
    <w:p w:rsidR="0033382B" w:rsidRDefault="0033382B" w:rsidP="0033382B">
      <w:pPr>
        <w:pStyle w:val="TextoNormal"/>
      </w:pPr>
    </w:p>
    <w:p w:rsidR="0033382B" w:rsidRDefault="0033382B" w:rsidP="0033382B">
      <w:pPr>
        <w:pStyle w:val="TextoNormal"/>
      </w:pPr>
      <w:r>
        <w:t xml:space="preserve">c) Conclusa la tramitación del proceso </w:t>
      </w:r>
      <w:r w:rsidRPr="0033382B">
        <w:rPr>
          <w:i/>
        </w:rPr>
        <w:t>a quo</w:t>
      </w:r>
      <w:r>
        <w:t>, el órgano judicial dictó providencia de 17 de septiembre de 2015, en la que afirma que “procede someter a la consideración de las partes y del Ministerio Fiscal, por un plazo común de 10 días, la posible concurrencia de motivo susceptible de fundar el planteamiento de cuestión de inconstitucionalidad respecto del art. 96 de la Ley 9/2002. El presente recurso contencioso administrativo se dirige contra el Decreto 184/2011 (</w:t>
      </w:r>
      <w:r w:rsidRPr="0033382B">
        <w:rPr>
          <w:i/>
        </w:rPr>
        <w:t>sic</w:t>
      </w:r>
      <w:r>
        <w:t>), de 29 de septiembre, de la Consellería de Medio Ambiente, Territorio e Infraestructuras, que acordó suspender parcialmente la vigencia del plan general de ordenación municipal de Ourense de 1986, así como aprobar una ordenación urbanística provisional hasta la entrada en vigor del nuevo planeamiento. Se plantea, como motivo impugnatorio del citado Decreto, la falta de información pública en el procedimiento de elaboración y aprobación de la ordenación provisional, alegación que en principio conecta con el criterio plasmado en la sentencia de la sección quinta de la Sala de los Contencioso-Administrativo del Tribunal Supremo, de cinco de febrero de 2014, estimatoria del recurso de casación interpuesto contra la sentencia de esta Sala de 20 de enero de 2011. Ahora bien, para que tal motivo pudiera prosperar habría de ser inaplicado el citado artículo de la Ley 9/2002, ya que en dicho precepto el legislador autonómico optó por omitir la exigencia de información pública en el procedimiento de aprobación de la normativa provisional, omisión que según la referida sentencia del Tribunal Supremo incurre en la infracción de los arts. 9.2 y 105 a) CE y si al mismo tiempo se considera que el mencionado art. 96 se dictó en el ejercicio de la competencia exclusiva de la Comunidad Autónoma en materia de urbanismo, no parece que el tema debatido pueda resolverse acudiendo a la cláusula de prevalencia del derecho estatal conforme al art. 149.3 CE. Así, como quiera que la prosperabilidad de la alegación de que se trata, con los correspondientes efectos anulatorios, depende de la no aplicación del citado precepto de la Ley 9/2002 en lo que respecta a la omisión del trámite asumida por la misma, cabría plantear la inconstitucionalidad de dicho art. 96 de la Ley 9/2002, por considerarlo contrario a los referidos preceptos constitucionales y a los arts. 149.1.1, 13, 18 y 23 CE en relación con el art. 11.1 del texto refundido de la Ley de suelo estatal”.</w:t>
      </w:r>
    </w:p>
    <w:p w:rsidR="0033382B" w:rsidRDefault="0033382B" w:rsidP="0033382B">
      <w:pPr>
        <w:pStyle w:val="TextoNormal"/>
      </w:pPr>
    </w:p>
    <w:p w:rsidR="0033382B" w:rsidRDefault="0033382B" w:rsidP="0033382B">
      <w:pPr>
        <w:pStyle w:val="TextoNormal"/>
      </w:pPr>
      <w:r>
        <w:t>d) El Fiscal, en escrito de 21 de septiembre de 2015, informa que procede el planteamiento de la cuestión porque el art. 96 de la Ley 9/2002 omite la exigencia de información pública en el proceso de aprobación de la normativa provisional, omisión que a tenor de la indicada STS 5.2.2014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0033382B" w:rsidRDefault="0033382B" w:rsidP="0033382B">
      <w:pPr>
        <w:pStyle w:val="TextoNormal"/>
      </w:pPr>
    </w:p>
    <w:p w:rsidR="0033382B" w:rsidRDefault="0033382B" w:rsidP="0033382B">
      <w:pPr>
        <w:pStyle w:val="TextoNormal"/>
      </w:pPr>
      <w:r>
        <w:t>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0033382B" w:rsidRDefault="0033382B" w:rsidP="0033382B">
      <w:pPr>
        <w:pStyle w:val="TextoNormal"/>
      </w:pPr>
    </w:p>
    <w:p w:rsidR="0033382B" w:rsidRDefault="0033382B" w:rsidP="0033382B">
      <w:pPr>
        <w:pStyle w:val="TextoNormal"/>
      </w:pPr>
      <w:r>
        <w:t>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tratan:actuacions excepcionais, audiencia do Concello previa a suspensión, necesidad de implementar con celeridade una nova ordenación, carácter provisional e transitorio desa ordenación”.</w:t>
      </w:r>
    </w:p>
    <w:p w:rsidR="0033382B" w:rsidRDefault="0033382B" w:rsidP="0033382B">
      <w:pPr>
        <w:pStyle w:val="TextoNormal"/>
      </w:pPr>
    </w:p>
    <w:p w:rsidR="0033382B" w:rsidRDefault="0033382B" w:rsidP="0033382B">
      <w:pPr>
        <w:pStyle w:val="TextoNormal"/>
      </w:pPr>
      <w:r>
        <w:t>El representante de la entidad codemandada Desarrollos comerciales de ocio e inmobiliarios de Ourense, en escrito de 5 de octubre de 2015, sostiene que el art. 96 de la Ley 9/2002 no regula un instrumento de ordenación urbanística, pues su vocación no es ordenar el término municipal sino evitar los efectos perniciosos del planeamiento vigente mientras se elabora el nuevo. Es en la elaboración de dicho nuevo planeamiento cuando la de la Ley 9/2002 garantiza la participación mediante el trámite de información pública. Por estos motivos la ausencia de información pública prevista en el art. 96 de la Ley 9/2002 para los acuerdos de suspensión del planeamiento vigente y de ordenación provisional no vulneran los arts. 9.2 y 105 a) CE, ni contradicen el art. 11.1 del texto refundido de la Ley de suelo, que está previsto para un supuesto distinto, para los verdaderos procesos de ordenación urbanística.</w:t>
      </w:r>
    </w:p>
    <w:p w:rsidR="0033382B" w:rsidRDefault="0033382B" w:rsidP="0033382B">
      <w:pPr>
        <w:pStyle w:val="TextoNormal"/>
      </w:pPr>
    </w:p>
    <w:p w:rsidR="0033382B" w:rsidRDefault="0033382B" w:rsidP="0033382B">
      <w:pPr>
        <w:pStyle w:val="TextoNormal"/>
      </w:pPr>
      <w:r>
        <w:t>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dispuesto en los arts. 9.2 y 105 a) CE, así como de lo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3</w:t>
      </w:r>
      <w:r>
        <w:t>. Su apartado “Fundamentos de Derecho” dice: “Único. Tal y como se apuntaba en la referida providencia, el presente recurso contencioso administrativo se dirige contra el Decreto 187/2011, de 29 de septiembre, de la Consellería de Medio Ambiente, Territorio e Infraestructuras, que acordó suspender parcialmente la vigencia del plan general de ordenación municipal Ourense 1986, así como aprobar una ordenación urbanística provisional hasta la entrada en vigor del nuevo planeamiento. Se plantea, como motivo impugnatorio del citado Decreto, la falta de información pública en el procedimiento de elaboración y aprobación de la ordenación provisional, alegación que en principio conecta con el criterio plasmado en la sentencia de la sección Quinta de la Sala de los Contencioso-Administrativo del Tribunal Supremo, de cinco de febrero de 2014, estimatoria del recurso de casación interpuesto contra la sentencia de esta Sala de 20 de enero de 2011. Ahora bien, para que tal motivo pudiera prosperar habría de ser inaplicado el citado artículo de la Ley 9/2002, ya que en dicho precepto el legislador autonómico optó por omitir la exigencia de información pública en el procedimiento de aprobación de la normativa provisional, omisión que según la referida sentencia del Tribunal Supremo incurre en la infracción de los arts. 9.2 y 105 a) CE y si al mismo tiempo se considera que el mencionado art. 96 se dictó en el ejercicio de la competencia exclusiva de la Comunidad Autónoma en materia de urbanismo, no parece que el tema debatido pueda resolverse acudiendo a la cláusula de prevalencia del derecho estatal conforme al art. 149.3 CE. Así, como quiera que la prosperabilidad de la alegación de que se trata, con los correspondientes efectos anulatorios, depende de la no aplicación del citado precepto de la Ley 9/2002 en lo que respecta a la omisión del trámite asumida por la misma, cabe plantear la inconstitucionalidad de dicho art. 96 de la Ley 9/2002, por considerarlo contrario a los referidos preceptos constitucionales y a los arts.149.1.1, 13, 18 y 23 CE en relación con el art. 11.1 del texto refundido de la Ley de suelo estatal”.</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16 de febrero de 2016 la Sección Cuarta de este Tribunal acordó, a los efectos que determina el art. 37.1 de la Ley Orgánica del Tribunal Constitucional (LOTC), oír al Fiscal General del Estado para que en el plazo de diez días alegase acerca de la admisibilidad de la presente cuestión de inconstitucionalidad, por si faltasen requisitos de procedibilidad o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en escrito registrado el 18 de marzo de 2016, razona que no es adecuado el juicio de relevancia formulado por la Sala porque “no se ha planteado un extremo que a simple vista parece fundamental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otros preceptos, como el art. 86 de la Ley 30/1992, 26 de noviembre, Régimen Jurídico de las Administraciones Públicas y del Procedimiento Administrativo Común, y en el art. 11.1 del Real Decreto Legislativo 2/2008, 20 de junio, por el que se aprueba el texto refundido [de] la Ley de suelo, o, incluso, en el art. 85 de la Ley 9/2002, que previene expresamente el trámite de información pública en el procedimiento ordinario de aprobación de un plan general.” … Concluye el Fiscal afirmando que “tales omisiones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0033382B" w:rsidRDefault="0033382B" w:rsidP="0033382B">
      <w:pPr>
        <w:pStyle w:val="TextoNormal"/>
      </w:pPr>
    </w:p>
    <w:p w:rsidR="0033382B" w:rsidRDefault="0033382B" w:rsidP="0033382B">
      <w:pPr>
        <w:pStyle w:val="TextoNormal"/>
      </w:pPr>
      <w:r>
        <w:t>Sostiene igualmente que la duda de constitucionalidad debe reputarse notoriamente infundada en el sentido que tiene esta expresión en el ATC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 suelo, lo que determina que la presente cuestión deba considerarse notoriamente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9/2002 vulnere lo dispuesto en los arts. 9.2 y 105 a) CE, así como que, por ser incompatible con el art. 11 del texto refundido de la Ley de suelo (“todos los instrumentos de ordenación territorial y de ordenación y ejecución urbanísticas deben ser sometidos al trámite de información pública”), desconozca lo previsto en los números 1, 13, 18 y 23 del art. 149.1 CE.</w:t>
      </w:r>
    </w:p>
    <w:p w:rsidR="0033382B" w:rsidRDefault="0033382B" w:rsidP="0033382B">
      <w:pPr>
        <w:pStyle w:val="TextoNormal"/>
      </w:pPr>
    </w:p>
    <w:p w:rsidR="0033382B" w:rsidRDefault="0033382B" w:rsidP="0033382B">
      <w:pPr>
        <w:pStyle w:val="TextoNormal"/>
      </w:pPr>
      <w:r>
        <w:t>La Fiscal General del Estado sostiene que la Sala no ha formulado adecuadamente el juicio de relevancia porque “no se ha planteado un extremo que a simple vista parece fundamental y que, de haber sido contemplado, podría haber provocado que esa Sala ni siquiera hubiera llegado a plantear la presente cuestión”. Además, en virtud de las razones detalladas en los antecedentes, entiende que la cuestión es notoriamente infundada, como ya se ha declarado en el ATC 23/2016, de 3 de febrero. Por todo ello, insta su inadmisión.</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0033382B" w:rsidRDefault="0033382B" w:rsidP="0033382B">
      <w:pPr>
        <w:pStyle w:val="TextoNormal"/>
      </w:pPr>
    </w:p>
    <w:p w:rsidR="0033382B" w:rsidRDefault="0033382B" w:rsidP="0033382B">
      <w:pPr>
        <w:pStyle w:val="TextoNormal"/>
      </w:pPr>
      <w:r>
        <w:t>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0033382B" w:rsidRDefault="0033382B" w:rsidP="0033382B">
      <w:pPr>
        <w:pStyle w:val="TextoNormal"/>
      </w:pPr>
    </w:p>
    <w:p w:rsidR="0033382B" w:rsidRDefault="0033382B" w:rsidP="0033382B">
      <w:pPr>
        <w:pStyle w:val="TextoNormal"/>
      </w:pPr>
      <w:r>
        <w:t>El Auto de 3 de noviembre de 2015, que ha quedado transcrito íntegramente en sus fundamentos de derecho, es sustancialmente idéntico al Auto del mismo órgano judicial y de la misma fecha por el que se elevó una cuestión de inconstitucionalidad relativa también al art. 96 de la Ley 9/2002, la cual ha sido inadmitida mediante ATC 23/2016, de 3 de febrero, FJ 2, porque, al no hacer un pormenorizado análisis de las graves cuestiones que se suscitan, el órgano judicial no ha levantado la carga de colaborar con la justicia constitucional que se le exige cuando insta la depuración del ordenamiento jurídico.</w:t>
      </w:r>
    </w:p>
    <w:p w:rsidR="0033382B" w:rsidRDefault="0033382B" w:rsidP="0033382B">
      <w:pPr>
        <w:pStyle w:val="TextoNormal"/>
      </w:pPr>
    </w:p>
    <w:p w:rsidR="0033382B" w:rsidRDefault="0033382B" w:rsidP="0033382B">
      <w:pPr>
        <w:pStyle w:val="TextoNormal"/>
      </w:pPr>
      <w:r>
        <w:t>Dicho Auto, como también sucedía en el proceso constitucional inadmitido por el ATC 23/2016, se limita a citar los preceptos constitucionales que se consideran infringidos por el precepto legal cuestionado, sin exteriorizar de ningún modo el razonamiento que le lleva a esa conclusión. En estas circunstancias queda claro que el órgano judicial no ha colaborado con la justicia del Tribunal mediante un pormenorizado análisis de las graves cuestiones que se suscitan, lo que resulta obligado cuando se trata de instar la depuración del ordenamiento jurídico y, por ello, justificaría la inadmisión de esta cuestión de inconstitucionalidad por falta de requisitos procesales.</w:t>
      </w:r>
    </w:p>
    <w:p w:rsidR="0033382B" w:rsidRDefault="0033382B" w:rsidP="0033382B">
      <w:pPr>
        <w:pStyle w:val="TextoNormal"/>
      </w:pPr>
    </w:p>
    <w:p w:rsidR="0033382B" w:rsidRDefault="0033382B" w:rsidP="0033382B">
      <w:pPr>
        <w:pStyle w:val="TextoNormal"/>
      </w:pPr>
      <w:r>
        <w:t>En efecto, el Auto se limita a afirmar que “el legislador autonómico optó por omitir la exigencia de información pública en el procedimiento de aprobación de la normativa provisional, omisión que según la referida sentencia del Tribunal Supremo incurre en la infracción de los arts. 9.2 y 105 a) CE”. El Auto no realiza, ni siquiera de modo esquemático o aproximativo, ningún análisis del contenido de los arts. 9.2 y 105 a) CE y mucho menos contrasta ese contenido con la regulación autonómica cuestionada. Se limita a decir que tal contradicción ha sido declarada por la Sentencia de la Sala de lo Contencioso-Administrativo del Tribunal Supremo de 5 de febrero de 2014. Es importante destacar que la duda de constitucionalidad que da lugar a que el Tribunal Constitucional se pronuncie en este cauce procesal ha de ser necesariamente del órgano judicial, explicitada por él y no por remisión a lo que digan las partes u otros órganos judiciales (ATC 95/2004, de 23 de marzo, FJ 2).</w:t>
      </w:r>
    </w:p>
    <w:p w:rsidR="0033382B" w:rsidRDefault="0033382B" w:rsidP="0033382B">
      <w:pPr>
        <w:pStyle w:val="TextoNormal"/>
      </w:pPr>
    </w:p>
    <w:p w:rsidR="0033382B" w:rsidRDefault="0033382B" w:rsidP="0033382B">
      <w:pPr>
        <w:pStyle w:val="TextoNormal"/>
      </w:pPr>
      <w:r>
        <w:t xml:space="preserve">El órgano judicial, por lo que hace a la otra duda de constitucionalidad, y en este sentido se expresan las alegaciones de la Fiscal General del Estado, omite la consideración de elementos fundamentales que inciden en su duda de constitucionalidad. Se limita a decir que “como quiera que la prosperabilidad de la alegación de que se trata, con los correspondientes efectos anulatorios, depende de la no aplicación del citado precepto de la Ley 9/2002 en lo que respecta a la omisión del trámite asumida por la misma, cabe plantear la inconstitucionalidad de dicho art. 96 de la Ley 9/2002, por considerarlo contrario a los referidos preceptos constitucionales y a los arts. 149.1.1, 13, 18 y 23 CE en relación con el art. 11.1 del texto refundido de la Ley de suelo estatal”. Como se ve, no desarrolla para nada cuál es el contenido y alcance de estos preceptos constitucionales, ni por tanto en qué medida el art. 11.1 del texto refundido de la Ley de suelo encuentra cobertura en ellos. Y, aun más importante, se limita a afirmar que el art. 96 de la Ley 9/2002 es contrario al art. 11.1 del texto refundido de la Ley de suelo, sin profundizar en por qué, lo que es especialmente grave a la luz de las alegaciones formuladas por las partes al evacuar el trámite de audiencia </w:t>
      </w:r>
      <w:r w:rsidRPr="0033382B">
        <w:rPr>
          <w:i/>
        </w:rPr>
        <w:t>ex</w:t>
      </w:r>
      <w:r>
        <w:t xml:space="preserve"> art. 35.2 LOTC, que razonan sobre si existe contradicción efectiva e insalvable por vía interpretativa entre dichos preceptos legales, resultando esta cuestión realmente controvertida. A pesar de esta rica argumentación vertida en dichos escritos de alegaciones, el órgano judicial se limita en el Auto de planteamiento a reiterar literalmente el contenido de la providencia por la que abrió el trámite de audiencia, sin desarrollar ningún esfuerzo argumental para levantar la carga de fundar la inconstitucionalidad que sostiene.</w:t>
      </w:r>
    </w:p>
    <w:p w:rsidR="0033382B" w:rsidRDefault="0033382B" w:rsidP="0033382B">
      <w:pPr>
        <w:pStyle w:val="TextoNormal"/>
      </w:pPr>
    </w:p>
    <w:p w:rsidR="0033382B" w:rsidRDefault="0033382B" w:rsidP="0033382B">
      <w:pPr>
        <w:pStyle w:val="TextoNormal"/>
      </w:pPr>
      <w:r>
        <w:t>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3</w:t>
      </w:r>
      <w:r>
        <w:t>.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resuelto en el Auto 23/2016, de 3 de febrero, FJ 3, en los términos que a continuación se reiteran en lo que resulta relevante.</w:t>
      </w:r>
    </w:p>
    <w:p w:rsidR="0033382B" w:rsidRDefault="0033382B" w:rsidP="0033382B">
      <w:pPr>
        <w:pStyle w:val="TextoNormal"/>
      </w:pPr>
    </w:p>
    <w:p w:rsidR="0033382B" w:rsidRDefault="0033382B" w:rsidP="0033382B">
      <w:pPr>
        <w:pStyle w:val="TextoNormal"/>
      </w:pPr>
      <w:r>
        <w:t>El Auto de planteamiento señala que el art. 96 de la Ley 9/2002 contradice el art. 11.1 del texto refundido de la Ley de suelo,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0033382B" w:rsidRDefault="0033382B" w:rsidP="0033382B">
      <w:pPr>
        <w:pStyle w:val="TextoNormal"/>
      </w:pPr>
    </w:p>
    <w:p w:rsidR="0033382B" w:rsidRDefault="0033382B" w:rsidP="0033382B">
      <w:pPr>
        <w:pStyle w:val="TextoNormal"/>
      </w:pPr>
      <w:r>
        <w:t>Asentada esta premisa, procede examinar si hay contradicción efectiva e insalvable por vía interpretativa entre el art. 96 de la Ley 9/2002 y el art. 11.1 del texto refundido de la Ley de suelo. Lo primero que interesa a este efecto es determinar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periodo intermedio, que incluso no tiene límite temporal en la redacción del art. 96 de la Ley 9/2002, prolongándose en la práctica durante años.</w:t>
      </w:r>
    </w:p>
    <w:p w:rsidR="0033382B" w:rsidRDefault="0033382B" w:rsidP="0033382B">
      <w:pPr>
        <w:pStyle w:val="TextoNormal"/>
      </w:pPr>
    </w:p>
    <w:p w:rsidR="0033382B" w:rsidRDefault="0033382B" w:rsidP="0033382B">
      <w:pPr>
        <w:pStyle w:val="TextoNormal"/>
      </w:pPr>
      <w:r>
        <w:t>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En fin, conforme a este planteamiento, queda claro que no hay contradicción efectiva e insalvable por vía interpretativa entre el art. 96 de la Ley 9/2002 y el art. 11.1 del texto refundido de la Ley de suelo, lo que determina que la presente cuestión deba considerarse notoriamente infundada, según ha configurado este concepto la doctrina constitucional (ATC 121/2015, de 7 de julio, FJ 2).</w:t>
      </w:r>
    </w:p>
    <w:p w:rsidR="0033382B" w:rsidRDefault="0033382B" w:rsidP="0033382B">
      <w:pPr>
        <w:pStyle w:val="TextoNormal"/>
      </w:pPr>
    </w:p>
    <w:p w:rsidR="0033382B" w:rsidRDefault="0033382B" w:rsidP="0033382B">
      <w:pPr>
        <w:pStyle w:val="TextoNormal"/>
      </w:pPr>
      <w:r>
        <w:t>Llegados a la conclusión de que el art. 96 de la Ley 9/2002 no impide que, en aplicación del art. 11.1 del texto refundido de la Ley de suelo, se confiera a los afectados por la ordenación provisional, durante la elaboración de ésta, un trámite de información pública, este precepto no resulta en absoluto contrario a los arts. 9.2 y 105 a) CE, por lo que esta segunda duda de constitucionalidad debe seguir la misma suerte que la anterior.</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 núm. 6714-2015, planteada por la Sección Segunda de la Sala de lo Contencioso-Administrativo del Tribunal Superior de Justicia de Galicia.</w:t>
      </w:r>
    </w:p>
    <w:p w:rsidR="0033382B" w:rsidRDefault="0033382B" w:rsidP="0033382B">
      <w:pPr>
        <w:pStyle w:val="TextoNormal"/>
      </w:pPr>
    </w:p>
    <w:p w:rsidR="0033382B" w:rsidRDefault="0033382B" w:rsidP="0033382B">
      <w:pPr>
        <w:pStyle w:val="TextoNormal"/>
      </w:pPr>
      <w:r>
        <w:t>Madrid, a doce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06" w:name="AUTO_2016_79"/>
      <w:r>
        <w:t>AUTO 79/2016, de 12 de abril de 2016</w:t>
      </w:r>
    </w:p>
    <w:bookmarkEnd w:id="206"/>
    <w:p w:rsidR="0033382B" w:rsidRDefault="0033382B" w:rsidP="0033382B">
      <w:pPr>
        <w:pStyle w:val="TtuloResolucin"/>
      </w:pPr>
      <w:r>
        <w:t>Pleno</w:t>
      </w:r>
    </w:p>
    <w:p w:rsidR="0033382B" w:rsidRDefault="0033382B" w:rsidP="0033382B">
      <w:pPr>
        <w:pStyle w:val="TextoNormalCentrado"/>
      </w:pPr>
      <w:r>
        <w:t>ECLI:ES:TC:2016:79A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7354-2015, planteada por el Juzgado de lo Contencioso-Administrativo núm. 2 de Santander en relación con el artículo 65 bis.1 de la Ley 2/2001, de 25 de junio, de ordenación territorial y del régimen urbanístico del suelo de Cantabria.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Mediante escrito registrado en este Tribunal Constitucional el 28 de diciembre de 2015, al que se acompaña, junto con el testimonio del procedimiento correspondiente (procedimiento de ejecución de títulos judiciales 72-2012), el Auto de 23 de noviembre de 2015, el Juzgado de lo Contencioso-Administrativo núm. 2 de Santander, acordó plantear cuestión de inconstitucionalidad respecto al art. 65 </w:t>
      </w:r>
      <w:r w:rsidRPr="0033382B">
        <w:rPr>
          <w:i/>
        </w:rPr>
        <w:t>bis</w:t>
      </w:r>
      <w:r>
        <w:t>.1 de la Ley del Parlamento de Cantabria 2/2001, de 25 de junio, de ordenación territorial y del régimen urbanístico del suelo de Cantabria, añadido por el art. 1 de la Ley 4/2013, de 20 de junio, en cuanto dice “o judiciales”, por posible vulneración de los arts. 24.2 (</w:t>
      </w:r>
      <w:r w:rsidRPr="0033382B">
        <w:rPr>
          <w:i/>
        </w:rPr>
        <w:t>sic</w:t>
      </w:r>
      <w:r>
        <w:t>), 117.3 y 149.1.6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Como consecuencia de la denuncia de don Eladio Somavilla Piñera, el Ayuntamiento de Alfoz de Lloredo, mediante resolución de 23 de noviembre de 1994 ordenó a don Carlos Seco García “la demolición de las obras realizadas excediéndose del contenido de la licencia”. Don Carlos Seco García impugnó esta resolución y la STSJ de 18 de mayo de 1996 la confirmó.</w:t>
      </w:r>
    </w:p>
    <w:p w:rsidR="0033382B" w:rsidRDefault="0033382B" w:rsidP="0033382B">
      <w:pPr>
        <w:pStyle w:val="TextoNormal"/>
      </w:pPr>
    </w:p>
    <w:p w:rsidR="0033382B" w:rsidRDefault="0033382B" w:rsidP="0033382B">
      <w:pPr>
        <w:pStyle w:val="TextoNormal"/>
      </w:pPr>
      <w:r>
        <w:t>b) Don Eladio Somavilla Piñera, ante la falta de ejecución de la resolución municipal de demolición confirmada, interpuso recurso contencioso-administrativo por inactividad contra el Ayuntamiento de Alfoz de Lloredo, recurso estimado por Sentencia del Juzgado de lo Contencioso-Administrativo núm. 2 de Santander de 1 de diciembre de 2011.</w:t>
      </w:r>
    </w:p>
    <w:p w:rsidR="0033382B" w:rsidRDefault="0033382B" w:rsidP="0033382B">
      <w:pPr>
        <w:pStyle w:val="TextoNormal"/>
      </w:pPr>
    </w:p>
    <w:p w:rsidR="0033382B" w:rsidRDefault="0033382B" w:rsidP="0033382B">
      <w:pPr>
        <w:pStyle w:val="TextoNormal"/>
      </w:pPr>
      <w:r>
        <w:t xml:space="preserve">c) Don Eladio Somavilla Piñera instó la ejecución de esta última Sentencia, solicitud que se sustanció mediante el procedimiento de ejecución de títulos judiciales 72-2012, dentro del cual se acordó la ejecución forzosa en Auto de 18 de febrero de 2015. Mediante resolución de 19 de mayo de 2015 el Ayuntamiento de Alfoz de Lloredo concedió una autorización provisional al amparo del art. 65 </w:t>
      </w:r>
      <w:r w:rsidRPr="0033382B">
        <w:rPr>
          <w:i/>
        </w:rPr>
        <w:t>bis</w:t>
      </w:r>
      <w:r>
        <w:t>.1 de la Ley 2/2001 a la vivienda afectada por la Sentencia de cuya ejecución se trata, solicitando al Juzgado que se declarase la imposibilidad de ejecutar la misma.</w:t>
      </w:r>
    </w:p>
    <w:p w:rsidR="0033382B" w:rsidRDefault="0033382B" w:rsidP="0033382B">
      <w:pPr>
        <w:pStyle w:val="TextoNormal"/>
      </w:pPr>
    </w:p>
    <w:p w:rsidR="0033382B" w:rsidRDefault="0033382B" w:rsidP="0033382B">
      <w:pPr>
        <w:pStyle w:val="TextoNormal"/>
      </w:pPr>
      <w:r>
        <w:t xml:space="preserve">d) Tramitado y concluso el correspondiente incidente, el Juzgado de lo Contencioso-Administrativo núm. 2 de Santander dictó providencia de 29 de septiembre de 2015, por la que, conforme al art. 35.2 de la Ley Orgánica del Tribunal Constitucional (LOTC), acuerda oír a las partes y al Fiscal sobre la pertinencia de plantear cuestión de inconstitucionalidad respecto del art 65 </w:t>
      </w:r>
      <w:r w:rsidRPr="0033382B">
        <w:rPr>
          <w:i/>
        </w:rPr>
        <w:t>bis</w:t>
      </w:r>
      <w:r>
        <w:t>.1 de la 2/2001, por posible vulneración de los arts. 24.2, 117.3 y 149.1.6 CE.</w:t>
      </w:r>
    </w:p>
    <w:p w:rsidR="0033382B" w:rsidRDefault="0033382B" w:rsidP="0033382B">
      <w:pPr>
        <w:pStyle w:val="TextoNormal"/>
      </w:pPr>
    </w:p>
    <w:p w:rsidR="0033382B" w:rsidRDefault="0033382B" w:rsidP="0033382B">
      <w:pPr>
        <w:pStyle w:val="TextoNormal"/>
      </w:pPr>
      <w:r>
        <w:t>El representante de don Carlos Seco García, en escrito de 14 de octubre 2015, se opone a que la cuestión sea elevada al Tribunal Constitucional. La representación de don Eladio Somavilla Piñera y el Fiscal, en sendos escritos de 27 de octubre y 10 de noviembre de 2015, informan que procede el planteamiento de la cuestión.</w:t>
      </w:r>
    </w:p>
    <w:p w:rsidR="0033382B" w:rsidRDefault="0033382B" w:rsidP="0033382B">
      <w:pPr>
        <w:pStyle w:val="TextoNormal"/>
      </w:pPr>
    </w:p>
    <w:p w:rsidR="0033382B" w:rsidRDefault="0033382B" w:rsidP="0033382B">
      <w:pPr>
        <w:pStyle w:val="TextoNormal"/>
      </w:pPr>
      <w:r>
        <w:t xml:space="preserve">e) Por Auto de 23 de noviembre de 2015, el Juzgado de lo Contencioso-Administrativo núm. 2 de Santander, acordó plantear cuestión de inconstitucionalidad respecto al art. 65 </w:t>
      </w:r>
      <w:r w:rsidRPr="0033382B">
        <w:rPr>
          <w:i/>
        </w:rPr>
        <w:t>bis</w:t>
      </w:r>
      <w:r>
        <w:t>.1 de la Ley 2/2001, añadido por el art. 1 de la Ley 4/2013, de 20 de junio, en cuanto dice “o judiciales”, por posible vulneración de los arts. 24.2, 117.3 y 149.1.6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luego de referirse a los hechos que enmarcan la cuestión, consigna cinco razonamientos jurídicos. En el primero apunta que una cuestión de inconstitucionalidad idéntica, suscitada en un incidente de ejecución seguido ante la Sala de lo Contencioso-Administrativo de Cantabria, ha sido “admitida a trámite por el Tribunal Constitucional en providencia de 20 de enero de 2015”.</w:t>
      </w:r>
    </w:p>
    <w:p w:rsidR="0033382B" w:rsidRDefault="0033382B" w:rsidP="0033382B">
      <w:pPr>
        <w:pStyle w:val="TextoNormal"/>
      </w:pPr>
    </w:p>
    <w:p w:rsidR="0033382B" w:rsidRDefault="0033382B" w:rsidP="0033382B">
      <w:pPr>
        <w:pStyle w:val="TextoNormal"/>
      </w:pPr>
      <w:r>
        <w:t xml:space="preserve">En el segundo resalta, a modo de juicio de relevancia, que “la solicitud que debe resolverse en este incidente se apoya en lo previsto en el art. 65 </w:t>
      </w:r>
      <w:r w:rsidRPr="0033382B">
        <w:rPr>
          <w:i/>
        </w:rPr>
        <w:t>bis</w:t>
      </w:r>
      <w:r>
        <w:t xml:space="preserve">.1 de la Ley 2/2001”. El razonamiento cuarto abunda en esta idea para desechar ciertas objeciones a la pertinencia de este precepto para resolver el proceso </w:t>
      </w:r>
      <w:r w:rsidRPr="0033382B">
        <w:rPr>
          <w:i/>
        </w:rPr>
        <w:t>a quo</w:t>
      </w:r>
      <w:r>
        <w:t xml:space="preserve">. Así, frente a la alegación de que la Sentencia que se trata de ejecutar ordena la demolición por incumplimientos de la Ley costas, recuerda el Juzgado que lo que en este momento importa es si la autorización provisional es motivo para paralizar la demolición y es claro que dicha autorización provisional se apoya en el art. 65 </w:t>
      </w:r>
      <w:r w:rsidRPr="0033382B">
        <w:rPr>
          <w:i/>
        </w:rPr>
        <w:t>bis</w:t>
      </w:r>
      <w:r>
        <w:t xml:space="preserve">.1 de la Ley 2/2001. En segundo término, frente a la alegación que el obstáculo a la orden de demolición no se hallaría en el art. 65 </w:t>
      </w:r>
      <w:r w:rsidRPr="0033382B">
        <w:rPr>
          <w:i/>
        </w:rPr>
        <w:t>bis</w:t>
      </w:r>
      <w:r>
        <w:t xml:space="preserve">.1 de la Ley 2/2001 sino en el acto que produce la autorización provisional, el Juzgado argumenta que los efectos de dicha autorización provisional, concretamente el efecto suspensivo, es el establecido en el art. 65 </w:t>
      </w:r>
      <w:r w:rsidRPr="0033382B">
        <w:rPr>
          <w:i/>
        </w:rPr>
        <w:t>bis</w:t>
      </w:r>
      <w:r>
        <w:t>.1 de la Ley 2/2001.</w:t>
      </w:r>
    </w:p>
    <w:p w:rsidR="0033382B" w:rsidRDefault="0033382B" w:rsidP="0033382B">
      <w:pPr>
        <w:pStyle w:val="TextoNormal"/>
      </w:pPr>
    </w:p>
    <w:p w:rsidR="0033382B" w:rsidRDefault="0033382B" w:rsidP="0033382B">
      <w:pPr>
        <w:pStyle w:val="TextoNormal"/>
      </w:pPr>
      <w:r>
        <w:t xml:space="preserve">En el razonamiento tercero recoge los motivos de inconstitucionalidad del art. 65 </w:t>
      </w:r>
      <w:r w:rsidRPr="0033382B">
        <w:rPr>
          <w:i/>
        </w:rPr>
        <w:t>bis</w:t>
      </w:r>
      <w:r>
        <w:t>.1 de la Ley 2/2001. Afirma que contradice el art. 149.1.6 CE, que confía la legislación procesal al Estado, pues establece una causa de suspensión de la ejecución de sentencias. Expone, por los mismos motivos, que desconoce que las sentencias conllevan que se ejecuten en sus propios términos, lo que integra el derecho a la tutela judicial efectiva consagrada por el art. 24.1 CE.</w:t>
      </w:r>
    </w:p>
    <w:p w:rsidR="0033382B" w:rsidRDefault="0033382B" w:rsidP="0033382B">
      <w:pPr>
        <w:pStyle w:val="TextoNormal"/>
      </w:pPr>
    </w:p>
    <w:p w:rsidR="0033382B" w:rsidRDefault="0033382B" w:rsidP="0033382B">
      <w:pPr>
        <w:pStyle w:val="TextoNormal"/>
      </w:pPr>
      <w:r>
        <w:t xml:space="preserve">En el quinto de los razonamientos razona que, dadas las circunstancias del caso y lo dispuesto en los arts. 163 CE y 35 de la Ley Orgánica del Tribunal Constitucional (LOTC), procede elevar cuestión de inconstitucionalidad respecto del art. 65 </w:t>
      </w:r>
      <w:r w:rsidRPr="0033382B">
        <w:rPr>
          <w:i/>
        </w:rPr>
        <w:t>bis</w:t>
      </w:r>
      <w:r>
        <w:t>.1 de la Ley 2/2001.</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2 de febrero de 2016, el Pleno, a propuesta de la Sección Primera, acordó, a los efectos que determina el art. 37.1 LOTC, oír al Fiscal General del Estado para que, en el plazo de diez días, alegara lo que considerara conveniente acerca de la admisibilidad de la presente cuestión de inconstitucionalidad, por si hubiera perdido objeto de forma sobrevenida (STC 254/2015, de 30 de noviembre).</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escrito registrado con fecha 26 de febrero de 2016, la Fiscal General del Estado comparece e interesa que se dicte resolución por la que se declara la extinción de esta cuestión de inconstitucionalidad, por desaparición sobrevenida de su objeto. Alega al respecto, en síntesis, lo siguiente:</w:t>
      </w:r>
    </w:p>
    <w:p w:rsidR="0033382B" w:rsidRDefault="0033382B" w:rsidP="0033382B">
      <w:pPr>
        <w:pStyle w:val="TextoNormal"/>
      </w:pPr>
    </w:p>
    <w:p w:rsidR="0033382B" w:rsidRDefault="0033382B" w:rsidP="0033382B">
      <w:pPr>
        <w:pStyle w:val="TextoNormal"/>
      </w:pPr>
      <w:r>
        <w:t>a) La STC 254/2015, de 30 de noviembre, resolutoria de la cuestión de inconstitucionalidad núm. 6860-2014, ha declarado inconstitucional y nulo el precepto cuestionado, en cuanto se refiere a los procesos de ejecución de resoluciones judiciales. Dicha sentencia, publicada en el “BOE” de 12 de enero de 2016, posee el valor de cosa juzgada y plenos efectos frente a todos a partir del día siguiente al de su publicación (arts. 164.1 CE y 38.1 LOTC), con la consecuencia necesaria de que el precepto cuestionado ha sido definitivamente expulsado del ordenamiento.</w:t>
      </w:r>
    </w:p>
    <w:p w:rsidR="0033382B" w:rsidRDefault="0033382B" w:rsidP="0033382B">
      <w:pPr>
        <w:pStyle w:val="TextoNormal"/>
      </w:pPr>
    </w:p>
    <w:p w:rsidR="0033382B" w:rsidRDefault="0033382B" w:rsidP="0033382B">
      <w:pPr>
        <w:pStyle w:val="TextoNormal"/>
      </w:pPr>
      <w:r>
        <w:t>b) Ello impone apreciar ahora, conforme a reiterada jurisprudencia constitucional (SSTC 387/1993, de 23 de diciembre, 72/1997, de 10 de abril, 91/1997, de 8 de mayo, y AATC 271/2005, de 21 de junio, 77/2007, de 27 de febrero, 306/2007, de 19 de junio, 175/2010, de 23 de noviembre, y 176/2010, de 23 de noviembre), la desaparición sobrevenida del objeto de la presente cuestión, al haber quedado disipada la duda de constitucionalidad planteada por el órgano judicial.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 xml:space="preserve">Único. La presente cuestión de inconstitucionalidad ha sido promovida por el Juzgado de lo Contencioso-Administrativo núm. 2 de Santander en relación con el art. 65 </w:t>
      </w:r>
      <w:r w:rsidRPr="0033382B">
        <w:rPr>
          <w:i/>
        </w:rPr>
        <w:t>bis</w:t>
      </w:r>
      <w:r>
        <w:t>.1 de la Ley del Parlamento de Cantabria 2/2001, de 25 de junio, de ordenación territorial y de régimen urbanístico del suelo de Cantabria, introducido por la Ley 4/2013, de 20 de junio, en la parte del mismo que se refiere a las órdenes judiciales de demolición.</w:t>
      </w:r>
    </w:p>
    <w:p w:rsidR="0033382B" w:rsidRDefault="0033382B" w:rsidP="0033382B">
      <w:pPr>
        <w:pStyle w:val="TextoNormal"/>
      </w:pPr>
    </w:p>
    <w:p w:rsidR="0033382B" w:rsidRDefault="0033382B" w:rsidP="0033382B">
      <w:pPr>
        <w:pStyle w:val="TextoNormal"/>
      </w:pPr>
      <w:r>
        <w:t>Entiende el órgano judicial que el precepto cuestionado suspende ejecuciones judiciales mientras se tramitan planes que tienen por objeto la legalización de edificios declarados ilegales en sentencias firmes cuya ejecución exige su derribo, vulnerándose de esta forma tanto el art. 149.1.6 CE, que atribuye al Estado la competencia exclusiva sobre legislación procesal, como los arts. 24.1 (en la parte dispositiva del Auto dice 24.2 CE, pero en la expositiva el razonamiento gira en torno al art. 24.1 CE) y 117.3 CE que consagran, respectivamente, el derecho a la tutela judicial efectiva en su vertiente de derecho a la ejecución de sentencias, y la potestad exclusiva de Jueces y Tribunales para ejecutar lo juzgado.</w:t>
      </w:r>
    </w:p>
    <w:p w:rsidR="0033382B" w:rsidRDefault="0033382B" w:rsidP="0033382B">
      <w:pPr>
        <w:pStyle w:val="TextoNormal"/>
      </w:pPr>
    </w:p>
    <w:p w:rsidR="0033382B" w:rsidRDefault="0033382B" w:rsidP="0033382B">
      <w:pPr>
        <w:pStyle w:val="TextoNormal"/>
      </w:pPr>
      <w:r>
        <w:t xml:space="preserve">La STC 254/2015, de 30 de noviembre, estimatoria de la cuestión de inconstitucionalidad núm. 6860-2014, ha declarado inconstitucional y nulo el inciso “o judiciales” del art. 65 </w:t>
      </w:r>
      <w:r w:rsidRPr="0033382B">
        <w:rPr>
          <w:i/>
        </w:rPr>
        <w:t>bis</w:t>
      </w:r>
      <w:r>
        <w:t>.1 de la Ley 2/2001, de 25 de junio, de ordenación territorial y de régimen urbanístico del suelo de Cantabria, introducido por la Ley del Parlamento de Cantabria 4/2013, de 20 de junio. En esa Sentencia se concluye que resulta incompatible con la reserva estatal en materia de legislación procesal del art. 149.1.6 CE que el legislador autonómico establezca una causa de suspensión o aplazamiento de la ejecución de las sentencias que implican el derribo de las edificaciones, de manera que la ejecución de la Sentencia escapa del control del órgano judicial, único competente para hacer ejecutar lo juzgado a tenor de lo dispuesto en el art. 117.3 CE.</w:t>
      </w:r>
    </w:p>
    <w:p w:rsidR="0033382B" w:rsidRDefault="0033382B" w:rsidP="0033382B">
      <w:pPr>
        <w:pStyle w:val="TextoNormal"/>
      </w:pPr>
    </w:p>
    <w:p w:rsidR="0033382B" w:rsidRDefault="0033382B" w:rsidP="0033382B">
      <w:pPr>
        <w:pStyle w:val="TextoNormal"/>
      </w:pPr>
      <w:r>
        <w:t>Una vez que el referido inciso ha sido expulsado del ordenamiento, con apoyo en lo previsto en el art. 37.1 de la Ley Orgánica del Tribunal Constitucional, procede acordar la inadmisión de esta cuestión de inconstitucionalidad, porque la expresada circunstancia determina la pérdida sobrevenida de su objeto (AATC 277/2000, de 28 de noviembre, 203/2014, de 22 de julio, y 230/2014, de 23 de septiembre).</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cuestión de inconstitucionalidad núm. 7354-2015</w:t>
      </w:r>
    </w:p>
    <w:p w:rsidR="0033382B" w:rsidRDefault="0033382B" w:rsidP="0033382B">
      <w:pPr>
        <w:pStyle w:val="TextoNormal"/>
      </w:pPr>
    </w:p>
    <w:p w:rsidR="0033382B" w:rsidRDefault="0033382B" w:rsidP="0033382B">
      <w:pPr>
        <w:pStyle w:val="TextoNormal"/>
      </w:pPr>
      <w:r>
        <w:t>Madrid, a doce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07" w:name="AUTO_2016_80"/>
      <w:r>
        <w:t>AUTO 80/2016, de 13 de abril de 2016</w:t>
      </w:r>
    </w:p>
    <w:bookmarkEnd w:id="207"/>
    <w:p w:rsidR="0033382B" w:rsidRDefault="0033382B" w:rsidP="0033382B">
      <w:pPr>
        <w:pStyle w:val="TtuloResolucin"/>
      </w:pPr>
      <w:r>
        <w:t>Sección Primera</w:t>
      </w:r>
    </w:p>
    <w:p w:rsidR="0033382B" w:rsidRDefault="0033382B" w:rsidP="0033382B">
      <w:pPr>
        <w:pStyle w:val="TextoNormalCentrado"/>
      </w:pPr>
      <w:r>
        <w:t>ECLI:ES:TC:2016:80A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y don Juan Antonio Xiol Ríos.</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208" w:name="AUTO_2016_81"/>
      <w:r>
        <w:t>AUTO 81/2016, de 20 de abril de 2016</w:t>
      </w:r>
    </w:p>
    <w:bookmarkEnd w:id="208"/>
    <w:p w:rsidR="0033382B" w:rsidRDefault="0033382B" w:rsidP="0033382B">
      <w:pPr>
        <w:pStyle w:val="TtuloResolucin"/>
      </w:pPr>
      <w:r>
        <w:t>Sección Primera</w:t>
      </w:r>
    </w:p>
    <w:p w:rsidR="0033382B" w:rsidRDefault="0033382B" w:rsidP="0033382B">
      <w:pPr>
        <w:pStyle w:val="TextoNormalCentrado"/>
      </w:pPr>
      <w:r>
        <w:t>ECLI:ES:TC:2016:81A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y don Juan Antonio Xiol Ríos.</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209" w:name="AUTO_2016_82"/>
      <w:r>
        <w:t>AUTO 82/2016, de 25 de abril de 2016</w:t>
      </w:r>
    </w:p>
    <w:bookmarkEnd w:id="209"/>
    <w:p w:rsidR="0033382B" w:rsidRDefault="0033382B" w:rsidP="0033382B">
      <w:pPr>
        <w:pStyle w:val="TtuloResolucin"/>
      </w:pPr>
      <w:r>
        <w:t>Sala Primera</w:t>
      </w:r>
    </w:p>
    <w:p w:rsidR="0033382B" w:rsidRDefault="0033382B" w:rsidP="0033382B">
      <w:pPr>
        <w:pStyle w:val="TextoNormalCentrado"/>
      </w:pPr>
      <w:r>
        <w:t>ECLI:ES:TC:2016:82A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don Andrés Ollero Tassara, don Santiago Martínez-Vares García y don Juan Antonio Xiol Ríos.</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210" w:name="AUTO_2016_83"/>
      <w:r>
        <w:t>AUTO 83/2016, de 26 de abril de 2016</w:t>
      </w:r>
    </w:p>
    <w:bookmarkEnd w:id="210"/>
    <w:p w:rsidR="0033382B" w:rsidRDefault="0033382B" w:rsidP="0033382B">
      <w:pPr>
        <w:pStyle w:val="TtuloResolucin"/>
      </w:pPr>
      <w:r>
        <w:t>Pleno</w:t>
      </w:r>
    </w:p>
    <w:p w:rsidR="0033382B" w:rsidRDefault="0033382B" w:rsidP="0033382B">
      <w:pPr>
        <w:pStyle w:val="TextoNormalCentrado"/>
      </w:pPr>
      <w:r>
        <w:t>ECLI:ES:TC:2016:83A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1338-2015, planteada por la Sala de lo Social del Tribunal Superior de Justicia de Murcia en relación con los artículos 2.2 y 5.1 de la Ley 4/2013, de 12 de junio, de medidas urgentes en materia de gastos de personal y organización administrativa de la Comunidad Autónoma de la Región de Murcia.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9 de marzo de 2015 tuvo entrada en el Registro General de este Tribunal oficio de la Sala de lo Social del Tribunal Superior de Justicia de Murcia, al que se acompaña, junto al testimonio del procedimiento sobre conflicto colectivo núm. 2-2014, el Auto de 19 de enero de 2015, por el que se acuerda plantear cuestión de inconstitucionalidad en relación con los arts. 2.2 y 5.1 de la Ley 4/2013, de 12 de junio, de medidas urgentes en materia de gastos de personal y organización administrativa de la Comunidad Autónoma de la Región de Murcia, que aplica reducciones salariales para el año 2013 al personal laboral equivalentes a las que experimentan los funcionarios, por posible vulneración de los arts. 149.1.7, 13, 14 y 18 CE y 10.11 y 12.10 del Estatuto de Autonomía de la Región de Murcia (EARM).</w:t>
      </w:r>
    </w:p>
    <w:p w:rsidR="0033382B" w:rsidRDefault="0033382B" w:rsidP="0033382B">
      <w:pPr>
        <w:pStyle w:val="TextoNormal"/>
      </w:pPr>
    </w:p>
    <w:p w:rsidR="0033382B" w:rsidRDefault="0033382B" w:rsidP="0033382B">
      <w:pPr>
        <w:pStyle w:val="TextoNormal"/>
      </w:pPr>
      <w:r>
        <w:t>Por diligencia de ordenación de 12 de marzo de 2015 de la Secretaria de Justicia se acuerda acusar recibo del testimonio de las actuaciones remitidas por la Sala de lo Social del Tribunal Superior de Justicia de Murcia interesando que se remita copia completa de los Autos de 24 de noviembre de 2014 y 19 de enero de 2015 y de los escritos de alegaciones de las partes y del Ministerio Fiscal en el trámite previsto en el art. 35.2 de la Ley Orgánica del Tribunal Constitucional (LOTC), conferido por Auto de 24 de noviembre de 2014, certificando, en su caso, si alguno de ellos no ha formulado alegaciones.</w:t>
      </w:r>
    </w:p>
    <w:p w:rsidR="0033382B" w:rsidRDefault="0033382B" w:rsidP="0033382B">
      <w:pPr>
        <w:pStyle w:val="TextoNormal"/>
      </w:pPr>
    </w:p>
    <w:p w:rsidR="0033382B" w:rsidRDefault="0033382B" w:rsidP="0033382B">
      <w:pPr>
        <w:pStyle w:val="TextoNormal"/>
      </w:pPr>
      <w:r>
        <w:t>Con fecha 27 de abril de 2015 se registró en este Tribunal el oficio de la Sala de lo Social del Tribunal Superior de Justicia de Murcia al que se adjuntaba copia de las resoluciones y escritos mencionados.</w:t>
      </w:r>
    </w:p>
    <w:p w:rsidR="0033382B" w:rsidRDefault="0033382B" w:rsidP="0033382B">
      <w:pPr>
        <w:pStyle w:val="TextoNormal"/>
      </w:pPr>
    </w:p>
    <w:p w:rsidR="0033382B" w:rsidRDefault="0033382B" w:rsidP="0033382B">
      <w:pPr>
        <w:pStyle w:val="TextoNormal"/>
      </w:pPr>
      <w:r w:rsidRPr="0033382B">
        <w:rPr>
          <w:rStyle w:val="NumeroAFNegritaCaracter"/>
        </w:rPr>
        <w:t>2</w:t>
      </w:r>
      <w:r>
        <w:t>. Los hechos que pueden ser relevantes en este proceso constitucional son, sucintamente expuestos, los siguientes:</w:t>
      </w:r>
    </w:p>
    <w:p w:rsidR="0033382B" w:rsidRDefault="0033382B" w:rsidP="0033382B">
      <w:pPr>
        <w:pStyle w:val="TextoNormal"/>
      </w:pPr>
    </w:p>
    <w:p w:rsidR="0033382B" w:rsidRDefault="0033382B" w:rsidP="0033382B">
      <w:pPr>
        <w:pStyle w:val="TextoNormal"/>
      </w:pPr>
      <w:r>
        <w:t>a) El delegado de la sección sindical de Comisiones Obreras en la empresa Onda Regional de Murcia planteó demanda de conflicto colectivo contra la empresa Radio Televisión Región de Murcia. En su demanda planteaba que la reducción salarial que han experimentado los trabajadores de la empresa entre el 1 de junio de 2013 y el 30 de junio de 2014 contraviene el convenio colectivo de Onda Regional de Murcia, el art. 31 de la Ley del estatuto de los trabajadores (LET) y excede a las competencias de la Comunidad Autónoma de la Región de Murcia, dado que conforme al art. 149.1.7 y 13 CE, tanto la competencia legislativa en materia laboral como las bases y coordinación de la planificación general de la actividad económica corresponden al Estado en exclusiva y no a la Comunidad Autónoma.</w:t>
      </w:r>
    </w:p>
    <w:p w:rsidR="0033382B" w:rsidRDefault="0033382B" w:rsidP="0033382B">
      <w:pPr>
        <w:pStyle w:val="TextoNormal"/>
      </w:pPr>
    </w:p>
    <w:p w:rsidR="0033382B" w:rsidRDefault="0033382B" w:rsidP="0033382B">
      <w:pPr>
        <w:pStyle w:val="TextoNormal"/>
      </w:pPr>
      <w:r>
        <w:t>b) Concluso el procedimiento y dentro del plazo para dictar sentencia, el órgano judicial dictó Auto de 24 de noviembre de 2014, cuya fundamentación jurídica es: “suscitándose la problemática de si los artículos 2.2 y 5.1 de la Ley 4/2013, de 12 de junio, de la Comunidad Autónoma de la Región de Murcia, que aplicarían la reducción de las retribuciones salariales en 2013 al personal laboral a su servicio, de forma equivalente a las que experimente el personal funcionario de la Administración Pública de la Región de Murcia, en los porcentajes establecidos en el art. 3.1 de dicha Ley autonómica ha incurrido en un exceso de competencia a la luz de los arts. 149.1.7, 13 y 14 CE y 10.11 del Estatuto de Autonomía de la Región de Murcia”. En consecuencia, la Sala acordó oír a las partes y al Ministerio Fiscal, por el plazo común e improrrogable de diez días, sobre la pertinencia de plantear cuestión de inconstitucionalidad.</w:t>
      </w:r>
    </w:p>
    <w:p w:rsidR="0033382B" w:rsidRDefault="0033382B" w:rsidP="0033382B">
      <w:pPr>
        <w:pStyle w:val="TextoNormal"/>
      </w:pPr>
    </w:p>
    <w:p w:rsidR="0033382B" w:rsidRDefault="0033382B" w:rsidP="0033382B">
      <w:pPr>
        <w:pStyle w:val="TextoNormal"/>
      </w:pPr>
      <w:r>
        <w:t>c) El Ministerio Fiscal y la parte demandante consideraron procedente el planteamiento de la cuestión. El Fiscal, por escrito presentado el 16 de diciembre de 2014, señaló que “de conformidad con lo expuesto en anteriores procesos, cuyo objeto era similar al presente, procede el planteamiento de la cuestión de inconstitucionalidad, pues la norma impugnada (art. 2 del Real Decreto-ley 20/2012, de 13 de julio, de medidas para garantizar la estabilidad presupuestaria y de fomento de la competitividad), es susceptible de vulnerar lo dispuesto en el art. 9.3 CE, que garantiza la irretroactividad de las normas sancionadoras o restrictivas de derechos individuales”. El Letrado de la sección sindical de Comisiones Obreras, por escrito presentado el 26 de noviembre de 2014, se reafirmó en lo planteado en la demanda.</w:t>
      </w:r>
    </w:p>
    <w:p w:rsidR="0033382B" w:rsidRDefault="0033382B" w:rsidP="0033382B">
      <w:pPr>
        <w:pStyle w:val="TextoNormal"/>
      </w:pPr>
    </w:p>
    <w:p w:rsidR="0033382B" w:rsidRDefault="0033382B" w:rsidP="0033382B">
      <w:pPr>
        <w:pStyle w:val="TextoNormal"/>
      </w:pPr>
      <w:r>
        <w:t>d) La Sala de lo Social del Tribunal Superior de Justicia de Murcia dictó el Auto de 19 de enero de 2015, por el que se acuerda plantear cuestión de inconstitucionalidad respecto de los arts. 2.2 y 5.1 de la Ley 4/2013 de la Comunidad Autónomas de la Región de Murcia, por posible vulneración de los arts. 149.1.7, 13, 14 y 18 CE, 10.11 y 12.10 del Estatuto de Autonomía de la Región de Murcia.</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reproduce en los antecedentes los arts. 2,3 y 6 del Real Decreto-ley 20/2012, así como extractos del art. 2 de la Ley autonómica 9/2012, para la adaptación de la normativa regional en materia de función pública al Real Decreto-ley 20/2012, de 13 de julio. En los fundamentos de Derecho de esta resolución se sostiene que la empresa pública regional Radio Televisión de la Región de Murcia está sometida en sus relaciones jurídicas externas, así como en el ámbito laboral, al derecho privado, y, que por Ley Regional 4/2013, de 12 de junio, de medidas urgentes en materia de gastos de personal y organización administrativa, se estableció que en el mes de diciembre de 2013, y para el personal laboral, no se iban a percibir “las cuantías correspondientes de los conceptos de paga adicional de complemento específico, ni productividad semestral, factores de complemento de destino y de complemento específico, que se perciben proporcionalmente al tiempo de servicios prestados en el semestre anterior a su devengo, en los mismos términos establecidos para las pagas extraordinarias en el ámbito de la Administración regional” (art. 2.2), y, asimismo que las entidades públicas empresariales “adoptarán para el personal laboral a su servicio las medidas necesarias en orden al cumplimiento de la reducción de las retribuciones salariales en 2013, de forma equivalente a las que experimente el personal funcionario de la Administración Pública de la Región de Murcia por aplicación de lo indicado en el art. 2 de esta Ley, en los porcentajes establecidos en el art. 3.1 de esta Ley” (art. 5.1).</w:t>
      </w:r>
    </w:p>
    <w:p w:rsidR="0033382B" w:rsidRDefault="0033382B" w:rsidP="0033382B">
      <w:pPr>
        <w:pStyle w:val="TextoNormal"/>
      </w:pPr>
    </w:p>
    <w:p w:rsidR="0033382B" w:rsidRDefault="0033382B" w:rsidP="0033382B">
      <w:pPr>
        <w:pStyle w:val="TextoNormal"/>
      </w:pPr>
      <w:r>
        <w:t>El Auto de planteamiento, tras transcribir los preceptos señalados, afirma que “se está ante una cuestión de índole constitucional, que debe decidirse por medio del planteamiento de una cuestión de inconstitucionalidad, dado que se está en presencia de un exceso de competencia por parte de la Comunidad Autónoma de la Región de Murcia, a la luz de los arts. 149.1. 7, 13, 14 y 18 CE y 10.11 del Estatuto de Autonomía de la Región de Murcia, al tratarse de una materia propia de la legislación laboral y de planificación económica”. Al final del auto de planteamiento se aduce también que el art. 12.10 EARM confirma su duda de constitucionalidad.</w:t>
      </w:r>
    </w:p>
    <w:p w:rsidR="0033382B" w:rsidRDefault="0033382B" w:rsidP="0033382B">
      <w:pPr>
        <w:pStyle w:val="TextoNormal"/>
      </w:pPr>
    </w:p>
    <w:p w:rsidR="0033382B" w:rsidRDefault="0033382B" w:rsidP="0033382B">
      <w:pPr>
        <w:pStyle w:val="TextoNormal"/>
      </w:pPr>
      <w:r>
        <w:t>Las anteriores consideraciones llevan a la Sala a entender que “se está ante un auténtico conflicto competencial que debe conllevar que una de las normas con rango de ley no produzca efectos y sobre tal consecuencia debe decidir el Tribunal Constitucional, pues se trata de normas de dicho rango. No se trata de establecer una preferencia aplicativa sino de decidir sobre la adecuación del art. 5.1 de la Ley Autonómica 1/2010 al orden competencial establecido en la Constitución.” Según se afirma, “el art. 149.1 CE se refiere a la competencia exclusiva del Estado y en el apartado 7, le atribuye la legislación laboral, que puede ser considerada desde un punto de vista puramente formal, sino que debe calificarse según el contenido material de la regulación jurídica concreta y, desde este punto de vista, no cabe duda de que se está en presencia de una regulación laboral en cuanto regula la reducción o no de los salarios, por lo que la competencia exclusiva puede corresponder al Estado y la Comunidad Autónoma puede haber incurrido en un exceso de competencia”. En ello abundan, a su juicio, desde otro punto de vista, las referencias 13, 14 y 18 del art. 149.1 CE, pues, según sostiene el órgano judicial, “la problemática incide, cuando menos parcialmente, en la gestión, alcance de la deuda pública y régimen de los funcionarios públicos, estando subordinada la competencia autonómica”.</w:t>
      </w:r>
    </w:p>
    <w:p w:rsidR="0033382B" w:rsidRDefault="0033382B" w:rsidP="0033382B">
      <w:pPr>
        <w:pStyle w:val="TextoNormal"/>
      </w:pPr>
    </w:p>
    <w:p w:rsidR="0033382B" w:rsidRDefault="0033382B" w:rsidP="0033382B">
      <w:pPr>
        <w:pStyle w:val="TextoNormal"/>
      </w:pPr>
      <w:r>
        <w:t>Por todo ello acuerda plantear cuestión de inconstitucionalidad en relación con los arts. 2.2 y 5.1 de la ley 4/2013 de la Comunidad Autónoma de la Región de Murcia al entender que podría haber incurrido en un exceso competencial y vulnerar por este motivo los arts. 149.1.7, 13, 14 y 18 CE y los arts. 10.11 y 12.10 EARM.</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6 de octubre de 2015, la Sección Primera de este Tribunal, a los efectos que determina el art. 37.1 LOTC, acordó oír al Fiscal General del Estado para que, en el plazo de diez días, alegase lo que considerara conveniente acerca de la admisibilidad de la presente cuestión de inconstitucionalidad, por si fuere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en este Tribunal el 27 de octubre de 2015. Aduce, en primer lugar, que aunque la providencia por la que se le otorgó trámite de audiencia se refiere únicamente a si la cuestión planteada pudiera ser notoriamente infundada, ello no impide que pueda efectuar alguna consideración en relación con el cumplimiento de los requisitos procesales. De ahí que, antes de alegar sobre el fondo de la cuestión plantada, realice una serie de consideraciones sobre el cumplimiento de los requisitos procesales, en concreto sobre el debido cumplimiento del trámite de audiencia a las partes y al Ministerio Fiscal que prevé el art. 35.2 LOTC y respecto del juicio de aplicabilidad y relevancia.</w:t>
      </w:r>
    </w:p>
    <w:p w:rsidR="0033382B" w:rsidRDefault="0033382B" w:rsidP="0033382B">
      <w:pPr>
        <w:pStyle w:val="TextoNormal"/>
      </w:pPr>
    </w:p>
    <w:p w:rsidR="0033382B" w:rsidRDefault="0033382B" w:rsidP="0033382B">
      <w:pPr>
        <w:pStyle w:val="TextoNormal"/>
      </w:pPr>
      <w:r>
        <w:t>Entiende la Fiscal General que la Sala de lo Social del Tribunal Superior de Justicia de Murcia no ha efectuado correctamente el trámite de audiencia previsto en el art. 35.2 LOTC, pues los motivos que el órgano judicial puso de manifiesto a las partes y al Ministerio Fiscal en el referido trámite no resultan plenamente coincidentes con los aducidos en el Auto de 19 de enero 2015 por el que se planteó la presente cuestión de inconstitucionalidad, al haber fundamentado la inconstitucionalidad de la norma cuestionada en más motivos de los manifestados a las partes y al Fiscal. Por ello entiende que la cuestión debería inadmitirse parcialmente y excluir de su análisis la vulneración de los arts. 149.18 CE y 12.10 EARM, que se alegan en el auto de planteamiento, ya que estas posibles infracciones constitucionales no se pusieron de manifiesto a las partes ni al Ministerio Fiscal en el trámite previsto en el art. 35.2 LOTC.</w:t>
      </w:r>
    </w:p>
    <w:p w:rsidR="0033382B" w:rsidRDefault="0033382B" w:rsidP="0033382B">
      <w:pPr>
        <w:pStyle w:val="TextoNormal"/>
      </w:pPr>
    </w:p>
    <w:p w:rsidR="0033382B" w:rsidRDefault="0033382B" w:rsidP="0033382B">
      <w:pPr>
        <w:pStyle w:val="TextoNormal"/>
      </w:pPr>
      <w:r>
        <w:t>Por otra parte la Fiscal General constata que en los antecedentes de hecho del Auto de planteamiento se contiene una transcripción literal de los arts. 2, 3 y 6 del Real Decreto-ley 20/2012, de 13 de julio y se cita además la Ley autonómica 9/2012 dictada para la aplicación de referido Real Decreto-ley, cuando tales normas son manifiestamente inaplicables al proceso subyacente, dado que la cuestión deducida en el proceso de conflicto colectivo versa sobre la aplicabilidad de la Ley autonómica 4/2013, de 12 junio. No obstante, entiende que la alusión a las referidas normas ha de tratarse de un mero error informático al reproducir un texto redactado en relación con otro asunto y que, en la medida en que los fundamentos de Derecho del auto de planteamiento, así como en su parte dispositiva, se hace referencia a los arts. 2.2 y 5.1 de la citada Ley autonómica 4/2013, el error en que incurre el Auto en los antecedentes no tiene relevancia.</w:t>
      </w:r>
    </w:p>
    <w:p w:rsidR="0033382B" w:rsidRDefault="0033382B" w:rsidP="0033382B">
      <w:pPr>
        <w:pStyle w:val="TextoNormal"/>
      </w:pPr>
    </w:p>
    <w:p w:rsidR="0033382B" w:rsidRDefault="0033382B" w:rsidP="0033382B">
      <w:pPr>
        <w:pStyle w:val="TextoNormal"/>
      </w:pPr>
      <w:r>
        <w:t>Por lo que se refiere al fondo del asunto, la Fiscal General del Estado considera que la cuestión plantada no puede considerarse notoriamente infundada. En su opinión, al no prever la Ley 17/2012, de 23 de diciembre, de presupuestos generales del Estado para el año 2013, ninguna reducción de las retribuciones para los empleados públicos, norma que considera básica, y haber establecido la norma autonómica cuestionada una reducción de las retribuciones correspondientes al mes de diciembre de 2013, esta previsión ha vulnerado la normativa básica estatal invadiendo las competencias que atribuye al Estado el art 149.1 13 CE. La Fiscal fundamenta esta consideración, por una parte, en que, de acuerdo con la doctrina constitucional, la cuantificación de los derechos económicos de los empleados públicos en la Ley de presupuestos generales del Estado “constituye una medida económica general de carácter presupuestario dirigida a contener la expansión relativa de uno de los componentes esenciales del gasto público”, y por ello ha considerado “su encuadramiento competencial adecuado es el título reservado al Estado por el art. 149.1.13 CE" (SSTC 63/1986, de 21 de mayo, FJ 2; 139/2005, de 26 de mayo, FJ 4, y 219/2013, de 19 de diciembre). Junto a ello invoca también la doctrina establecida en las SSTC 219/2013; 5/2014, de 16 de enero, y 207/2014, de 20 de enero. En estas Sentencias el Tribunal consideró inconstitucional que las leyes autonómicas aplicaran la reducción del 5 por 100 al personal laboral no directivo de las sociedades mercantiles públicas, pues, de acuerdo con lo establecido en la legislación básica estatal, este personal estaba excluido de la referida reducción, salvo que se acordara su aplicación por las partes mediante negociación colectiva, supuesto, este último, que no era el caso. Por ello, el Tribunal estimó que, la Ley autonómica, al aplicar la reducción retributiva al personal que, de acuerdo con lo establecido en la legislación básica estatal, estaba excepcionado de la misma, había vulnerado la Ley básica estatal.</w:t>
      </w:r>
    </w:p>
    <w:p w:rsidR="0033382B" w:rsidRDefault="0033382B" w:rsidP="0033382B">
      <w:pPr>
        <w:pStyle w:val="TextoNormal"/>
      </w:pPr>
    </w:p>
    <w:p w:rsidR="0033382B" w:rsidRDefault="0033382B" w:rsidP="0033382B">
      <w:pPr>
        <w:pStyle w:val="TextoNormal"/>
      </w:pPr>
      <w:r>
        <w:t>Por todo ello, la Fiscal General considera que la presente cuestión no puede considerarse notoriamente infundada y en consecuencia interesa su admisión a trámite.</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Sala de lo Social del Tribunal Superior de Justicia de la Región de Murcia en relación con los arts. 2.2 y 5.1 de la Ley de Murcia 4/2013 de 12 de junio, de medidas urgentes en materia de gastos de personal y organización administrativa. El art. 2.2 de esta Ley establece:</w:t>
      </w:r>
    </w:p>
    <w:p w:rsidR="0033382B" w:rsidRDefault="0033382B" w:rsidP="0033382B">
      <w:pPr>
        <w:pStyle w:val="TextoNormal"/>
      </w:pPr>
    </w:p>
    <w:p w:rsidR="0033382B" w:rsidRDefault="0033382B" w:rsidP="0033382B">
      <w:pPr>
        <w:pStyle w:val="TextoNormal"/>
      </w:pPr>
      <w:r>
        <w:t>“El personal laboral percibirá, en el mes de diciembre de 2013, las retribuciones ordinarias correspondientes y los conceptos retributivos incluidos en el artículo 36.1 del Convenio Colectivo de Trabajo para la Comunidad Autónoma de la Región de Murcia, salario base, complemento de antigüedad y, en igualdad de nivel, las cuantías que en concepto de complemento de destino percibe el personal funcionario, referidos a las pagas extraordinarias.</w:t>
      </w:r>
    </w:p>
    <w:p w:rsidR="0033382B" w:rsidRDefault="0033382B" w:rsidP="0033382B">
      <w:pPr>
        <w:pStyle w:val="TextoNormal"/>
      </w:pPr>
    </w:p>
    <w:p w:rsidR="0033382B" w:rsidRDefault="0033382B" w:rsidP="0033382B">
      <w:pPr>
        <w:pStyle w:val="TextoNormal"/>
      </w:pPr>
      <w:r>
        <w:t>No se percibirán en dicho mes y para el referido personal las cuantías correspondientes de los conceptos de paga adicional de complemento específico, ni productividad semestral, factores de complemento de destino y de complemento específico, que se perciben proporcionalmente al tiempo de servicios prestados en el semestre anterior a su devengo, en los mismos términos establecidos para las pagas extraordinarias en el ámbito de la Administración regional.”</w:t>
      </w:r>
    </w:p>
    <w:p w:rsidR="0033382B" w:rsidRDefault="0033382B" w:rsidP="0033382B">
      <w:pPr>
        <w:pStyle w:val="TextoNormal"/>
      </w:pPr>
    </w:p>
    <w:p w:rsidR="0033382B" w:rsidRDefault="0033382B" w:rsidP="0033382B">
      <w:pPr>
        <w:pStyle w:val="TextoNormal"/>
      </w:pPr>
      <w:r>
        <w:t>Y el art. 5.1 dispone:</w:t>
      </w:r>
    </w:p>
    <w:p w:rsidR="0033382B" w:rsidRDefault="0033382B" w:rsidP="0033382B">
      <w:pPr>
        <w:pStyle w:val="TextoNormal"/>
      </w:pPr>
    </w:p>
    <w:p w:rsidR="0033382B" w:rsidRDefault="0033382B" w:rsidP="0033382B">
      <w:pPr>
        <w:pStyle w:val="TextoNormal"/>
      </w:pPr>
      <w:r>
        <w:t>“Las entidades públicas empresariales, otras entidades de derecho público vinculadas o dependientes de la Administración general o sus organismos autónomos, las sociedades mercantiles regionales y fundaciones del sector público autonómico adoptarán para el personal laboral a su servicio las medidas necesarias en orden al cumplimiento de la reducción de las retribuciones salariales en 2013, de forma equivalente a las que experimente el personal funcionario de la Administración Pública de la Región de Murcia por aplicación de lo indicado en el artículo 2 de esta ley, en los porcentajes establecidos en el artículo 3.1 de esta ley.”</w:t>
      </w:r>
    </w:p>
    <w:p w:rsidR="0033382B" w:rsidRDefault="0033382B" w:rsidP="0033382B">
      <w:pPr>
        <w:pStyle w:val="TextoNormal"/>
      </w:pPr>
    </w:p>
    <w:p w:rsidR="0033382B" w:rsidRDefault="0033382B" w:rsidP="0033382B">
      <w:pPr>
        <w:pStyle w:val="TextoNormal"/>
      </w:pPr>
      <w:r>
        <w:t>Como se ha indicado en los antecedentes el órgano judicial considera que los referidos preceptos pueden vulnerar el orden constitucional de competencias, pues entiende que la norma cuestionada, al establecer una reducción salarial del personal laboral, está regulando una materia laboral y por ello entiende que ha vulnerado el art. 149.1.7 CE, que atribuye al Estado competencias exclusivas sobre legislación laboral. También sostiene que puede lesionar los apartados 13, 14 y 18 del art. 149.1 CE, al apreciar que los preceptos cuestionados pueden incidir, al menos parcialmente, en la gestión, alcance de la deuda pública y régimen de los funcionarios. Junto a ello se alega también la vulneración de los arts. 10.1. 11 y 12.1.10 del Estatuto de Autonomía para la Región de Murcia (EARM). La Fiscal General del Estado ha interesado la admisión de la cuestión de inconstitucionalidad, pues, a su juicio, no puede calificarse de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2</w:t>
      </w:r>
      <w:r>
        <w:t>. El art. 37.1 de la Ley Orgánica del Tribunal Constitucional (LOTC)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0033382B" w:rsidRDefault="0033382B" w:rsidP="0033382B">
      <w:pPr>
        <w:pStyle w:val="TextoNormal"/>
      </w:pPr>
    </w:p>
    <w:p w:rsidR="0033382B" w:rsidRDefault="0033382B" w:rsidP="0033382B">
      <w:pPr>
        <w:pStyle w:val="TextoNormal"/>
      </w:pPr>
      <w:r>
        <w:t>Como ha puesto de manifiesto la Fiscal General del Estado, algunos de los motivos en los que el Auto de planteamiento fundamenta la posible inconstitucionalidad de los preceptos cuestionados no fueron puestos de manifiesto a las partes ni al Ministerio Fiscal en el trámite de audiencia previsto en el art. 35. 2 LOTC. En efecto, en el Auto de 24 de noviembre de 2014 la Sala otorgó el referido trámite de audiencia en relación con la posible inconstitucionalidad de los preceptos ahora cuestionados por entender que podían incurrir “en un exceso de competencia a la luz de los arts. 149.1.7, 13 y 14 CE y 10.1.11 del Estatuto de Autonomía de la Región de Murcia” y en el Auto de planteamiento se fundamenta la inconstitucionalidad de los preceptos legales cuestionados en las vulneraciones constitucionales a las que se refiere la resolución judicial por la que se otorgó el trámite de audiencia y en dos motivos nuevos: la vulneración de art. 149.1.18 CE y del art. 12.1.10 EARM.</w:t>
      </w:r>
    </w:p>
    <w:p w:rsidR="0033382B" w:rsidRDefault="0033382B" w:rsidP="0033382B">
      <w:pPr>
        <w:pStyle w:val="TextoNormal"/>
      </w:pPr>
    </w:p>
    <w:p w:rsidR="0033382B" w:rsidRDefault="0033382B" w:rsidP="0033382B">
      <w:pPr>
        <w:pStyle w:val="TextoNormal"/>
      </w:pPr>
      <w:r>
        <w:t>De acuerdo con la doctrina del Tribunal, “no cabe que el Auto de planteamiento de la cuestión introduzca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 audiencia del art. 35.2 LOTC’” (STC 60/2010, de 7 de octubre, en el mismo sentido SSTC 166/1986, de 19 de diciembre, FJ 4; 126/1997, de 3 de julio, FJ 4 a); 120/2000, de 10 de mayo, 166/2007, de 4 de julio, FJ 6; 222/2012, de 27 de noviembre, FJ 3, y 50/2015, de 5 de marzo 2015, entre otras muchas).</w:t>
      </w:r>
    </w:p>
    <w:p w:rsidR="0033382B" w:rsidRDefault="0033382B" w:rsidP="0033382B">
      <w:pPr>
        <w:pStyle w:val="TextoNormal"/>
      </w:pPr>
    </w:p>
    <w:p w:rsidR="0033382B" w:rsidRDefault="0033382B" w:rsidP="0033382B">
      <w:pPr>
        <w:pStyle w:val="TextoNormal"/>
      </w:pPr>
      <w:r>
        <w:t>En el presente caso, como se ha indicado, la resolución por la que el órgano judicial, de acuerdo con lo previsto en el art. 35.2 LOTC, otorgó trámite de audiencia a las partes y al Ministerio Fiscal para que pudieran alegar lo que estimaren conveniente sobre la pertinencia de plantear cuestión de inconstitucionalidad no puso de manifiesto que tales preceptos podían ser contrarios ni al art. 149.1.18 CE ni al art. 12.1.10 EARM, pues ni se alude expresamente a estas posibles vulneraciones, ni estas infracciones pueden deducirse de la argumentación de la resolución por la que se otorgó este trámite —Auto de 24 de noviembre de 2014—. Por otra parte, debe indicarse también que en este caso no estamos ante un supuesto en que el órgano judicial alegue estos nuevos motivos por haber sido aducidos por las partes o por el Ministerio Fiscal en las alegaciones efectuadas en el referido trámite de audiencia. El Tribunal ha considerado que el órgano judicial “pued[e] delimitar la cuestión teniendo en cuenta las alegaciones formuladas” por las partes en el referido trámite (STC 67/1985, de 24 de mayo, FJ 1), pues “las propias alegaciones de las partes pueden contribuir, con toda normalidad, a perfilar o modular la duda de constitucionalidad que abriga el órgano judicial” y esto “puede conducir a modificar o a ampliar, en el Auto de planteamiento, el parámetro de constitucionalidad inicialmente propuesto por el órgano judicial” (STC 84/1993, de 8 de marzo, FJ 1, en el mismo sentido, entre otras muchas, 139/2008, de 28 de octubre, FJ 4; 28/2012, de 1 de marzo, FJ 2, y 149/2014, de 22 de septiembre). Sin embargo, como se acaba de indicar, no nos encontramos ante este supuesto.</w:t>
      </w:r>
    </w:p>
    <w:p w:rsidR="0033382B" w:rsidRDefault="0033382B" w:rsidP="0033382B">
      <w:pPr>
        <w:pStyle w:val="TextoNormal"/>
      </w:pPr>
    </w:p>
    <w:p w:rsidR="0033382B" w:rsidRDefault="0033382B" w:rsidP="0033382B">
      <w:pPr>
        <w:pStyle w:val="TextoNormal"/>
      </w:pPr>
      <w:r>
        <w:t>En consecuencia, la posible infracción del art. 149.1.18 CE y del art. 12.1.10 EARM que se aduce en el Auto de planteamiento para fundamentar la inconstitucionalidad de los preceptos cuestionados no puede ser examinada en el presente proceso constitucional, pues en relación con estos motivos de inconstitucionalidad, al no haberse puesto de manifiesto a las partes ni al Ministerio Fiscal en el trámite de audiencia que prevé el art. art. 35.2 LOTC, no puede considerarse debidamente cumplida esta exigencia procesal.</w:t>
      </w:r>
    </w:p>
    <w:p w:rsidR="0033382B" w:rsidRDefault="0033382B" w:rsidP="0033382B">
      <w:pPr>
        <w:pStyle w:val="TextoNormal"/>
      </w:pPr>
    </w:p>
    <w:p w:rsidR="0033382B" w:rsidRDefault="0033382B" w:rsidP="0033382B">
      <w:pPr>
        <w:pStyle w:val="TextoNormal"/>
      </w:pPr>
      <w:r>
        <w:t>Por lo que se refiere a las alusiones que se contienen en los antecedentes del Auto de planteamiento al Real Decreto-ley 20/2012, de 13 de julio, y a la Ley autonómica 9/2012, normas que no resultan aplicables al caso, ha de considerarse, como sostiene la Fiscal General del Estado, un mero error que, a los efectos de apreciar el cumplimiento de los requisitos procesales de la presente cuestión de inconstitucionalidad, carece de toda la relevancia. El órgano judicial en el fundamento de Derecho único del Auto de planteamiento ha efectuado debidamente el juicio de aplicabilidad y de relevancia de la de los arts. 2.2 y 5.1 de la Ley autonómica 4/2013, de 12 de junio, que es la norma cuestionada.</w:t>
      </w:r>
    </w:p>
    <w:p w:rsidR="0033382B" w:rsidRDefault="0033382B" w:rsidP="0033382B">
      <w:pPr>
        <w:pStyle w:val="TextoNormal"/>
      </w:pPr>
    </w:p>
    <w:p w:rsidR="0033382B" w:rsidRDefault="0033382B" w:rsidP="0033382B">
      <w:pPr>
        <w:pStyle w:val="TextoNormal"/>
      </w:pPr>
      <w:r w:rsidRPr="0033382B">
        <w:rPr>
          <w:rStyle w:val="NumeroAFNegritaCaracter"/>
        </w:rPr>
        <w:t>3</w:t>
      </w:r>
      <w:r>
        <w:t>. Como se ha indicado, el art. 37.1 LOTC permite rechazar las cuestiones de inconstitucionalidad en trámite de admisión, mediante Auto y sin otra audiencia que la del Fiscal General del Estado, no solo cuando faltaren las condiciones procesales sino también cuando fuere notoriamente infundada la cuestión planteada.</w:t>
      </w:r>
    </w:p>
    <w:p w:rsidR="0033382B" w:rsidRDefault="0033382B" w:rsidP="0033382B">
      <w:pPr>
        <w:pStyle w:val="TextoNormal"/>
      </w:pPr>
    </w:p>
    <w:p w:rsidR="0033382B" w:rsidRDefault="0033382B" w:rsidP="0033382B">
      <w:pPr>
        <w:pStyle w:val="TextoNormal"/>
      </w:pPr>
      <w:r>
        <w:t>El concepto de cuestión notoriamente infundada, como declaran, entre otros muchos, los AATC 37/2015, de 17 de febrero, FJ 2; y 112/2015, de 23 de junio, FJ 2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w:t>
      </w:r>
    </w:p>
    <w:p w:rsidR="0033382B" w:rsidRDefault="0033382B" w:rsidP="0033382B">
      <w:pPr>
        <w:pStyle w:val="TextoNormal"/>
      </w:pPr>
    </w:p>
    <w:p w:rsidR="0033382B" w:rsidRDefault="0033382B" w:rsidP="0033382B">
      <w:pPr>
        <w:pStyle w:val="TextoNormal"/>
      </w:pPr>
      <w:r>
        <w:t>En el presente caso, por las razones que se van a exponer a continuación, puede apreciarse en este trámite liminar que la cuestión planteada es notoriamente infundada.</w:t>
      </w:r>
    </w:p>
    <w:p w:rsidR="0033382B" w:rsidRDefault="0033382B" w:rsidP="0033382B">
      <w:pPr>
        <w:pStyle w:val="TextoNormal"/>
      </w:pPr>
    </w:p>
    <w:p w:rsidR="0033382B" w:rsidRDefault="0033382B" w:rsidP="0033382B">
      <w:pPr>
        <w:pStyle w:val="TextoNormal"/>
      </w:pPr>
      <w:r>
        <w:t>No cabe apreciar que los arts. 2.2 y 5.1 de Ley 4/2013, de 12 de junio, de medidas urgentes en materia de gastos de personal y organización administrativa, de la Región de Murcia, al establecer una reducción salarial para el personal laboral al servicio del sector público de esta Comunidad Autónoma equivalente a la establecida para los funcionarios públicos, hayan vulnerado el art. 149.1.7 CE. El Tribunal tiene establecido que el título competencial “legislación laboral” tiene “un sentido concreto y restringido, coincidente por lo demás con el uso habitual, como referido solo al trabajo por cuenta ajena, entendiendo por consiguiente como legislación laboral aquélla que regula directamente la relación laboral, es decir, para recoger los términos de la Ley 8/1980, de 10 de marzo, la relación que media entre los trabajadores que presten servicios retribuidos por cuenta ajena y los empresarios” (SSTC 35/1982, de 14 de junio FJ 2; y 95/2002, de 25 de abril, FJ 8, entre otras muchas y, en el mismo sentido, ATC 228/2015, de 15 de diciembre, FJ 4).</w:t>
      </w:r>
    </w:p>
    <w:p w:rsidR="0033382B" w:rsidRDefault="0033382B" w:rsidP="0033382B">
      <w:pPr>
        <w:pStyle w:val="TextoNormal"/>
      </w:pPr>
    </w:p>
    <w:p w:rsidR="0033382B" w:rsidRDefault="0033382B" w:rsidP="0033382B">
      <w:pPr>
        <w:pStyle w:val="TextoNormal"/>
      </w:pPr>
      <w:r>
        <w:t>Por otra parte, la STC 63/1986, de 21 de mayo, FJ 11, consideró que una “medida económica general de carácter presupuestario dirigida a contener la expansión relativa de uno de los componentes esenciales del gasto público” —el establecimiento de un límite al incremento de las retribuciones del personal no laboral del sector público— aunque “produzca un efecto directo sobre la cuantificación de los derechos económicos de los funcionarios, tiene un fundamento y una finalidad extraños a la relación de servicio”. Esta doctrina se estableció en relación a una medida económica que afectaba a los funcionarios, pero es aplicable también en un supuesto como el que ahora se enjuicia, que se refiere al personal laboral, pues las mismas razones llevan a considerar que la medida adoptada no tiene como finalidad regular la relación laboral.</w:t>
      </w:r>
    </w:p>
    <w:p w:rsidR="0033382B" w:rsidRDefault="0033382B" w:rsidP="0033382B">
      <w:pPr>
        <w:pStyle w:val="TextoNormal"/>
      </w:pPr>
    </w:p>
    <w:p w:rsidR="0033382B" w:rsidRDefault="0033382B" w:rsidP="0033382B">
      <w:pPr>
        <w:pStyle w:val="TextoNormal"/>
      </w:pPr>
      <w:r>
        <w:t>La aplicación de esta doctrina determina que no pueda apreciarse que los preceptos cuestionados infrinjan el art. 149.1.7 CE. Estos preceptos no regulan con carácter general un aspecto de la relación laboral (en este sentido, ATC 228/2015, de 15 de diciembre, FJ 4), pues no establecen una regulación general de las retribuciones de los trabajadores del sector público murciano o de algunos de sus conceptos retributivos, sino que lo que en ellos se prevé es una reducción de las retribuciones del mes de diciembre de 2013 de este personal laboral de esta Comunidad Autónoma con el fin de contener el gasto público en materia de personal. Por ello ha de considerarse que como la medida prevista en los mismos no tiene como objeto regular aspectos de la relación laboral, sino establecer una medida de contención del gasto público en materia de personal, no puede apreciarse que los preceptos cuestionados vulneren las competencias del Estado en materia de legislación laboral.</w:t>
      </w:r>
    </w:p>
    <w:p w:rsidR="0033382B" w:rsidRDefault="0033382B" w:rsidP="0033382B">
      <w:pPr>
        <w:pStyle w:val="TextoNormal"/>
      </w:pPr>
    </w:p>
    <w:p w:rsidR="0033382B" w:rsidRDefault="0033382B" w:rsidP="0033382B">
      <w:pPr>
        <w:pStyle w:val="TextoNormal"/>
      </w:pPr>
      <w:r w:rsidRPr="0033382B">
        <w:rPr>
          <w:rStyle w:val="NumeroAFNegritaCaracter"/>
        </w:rPr>
        <w:t>4</w:t>
      </w:r>
      <w:r>
        <w:t>. Tampoco puede considerarse que los arts. 2.2 y 5.1 de la Ley de la Región de Murcia 4/2013, de 12 de junio, infrinjan los arts. 149.1.13 y 14 CE. Las competencias que en materia de hacienda general atribuye al Estado el art. 149.1.14 no pueden entenderse vulneradas por los preceptos cuestionados. Como se declara, entre otras muchas, en la STC 130/2013, de 4 de junio, FJ 5, “el art. 149.1.14 CE ‘no es obstáculo para que deba admitirse que la Hacienda privativa de las Comunidades Autónomas es materia propia de dichas Comunidades’ (SSTC 14/1986, de 31 de enero, FJ 2; y 192/2000, de 13 de julio, FJ 6), pues la organización de la propia hacienda ‘es no tanto una competencia que se reconoce a las Comunidades Autónomas, cuanto una exigencia previa o paralela a la propia organización autonómica’ (STC 14/1986, FJ 2).” (STC 130/2013, de 4 de junio, FJ 5, entre otras muchas). De ahí que las Comunidades Autónomas, en ejercicio de su autonomía financiera (art. 156.1 CE) tengan capacidad para definir sus gastos en los correspondientes presupuestos. Por ello, los preceptos cuestionados, al conllevar una determinación de sus gastos en materia de personal no pueden considerarse lesivos de las competencias del Estado en materia de hacienda general (art. 149.1.14 CE).</w:t>
      </w:r>
    </w:p>
    <w:p w:rsidR="0033382B" w:rsidRDefault="0033382B" w:rsidP="0033382B">
      <w:pPr>
        <w:pStyle w:val="TextoNormal"/>
      </w:pPr>
    </w:p>
    <w:p w:rsidR="0033382B" w:rsidRDefault="0033382B" w:rsidP="0033382B">
      <w:pPr>
        <w:pStyle w:val="TextoNormal"/>
      </w:pPr>
      <w:r>
        <w:t>Ahora bien, como también ha declarado el Tribunal, las Comunidades Autónomas han de ejercer su autonomía financiera “con arreglo a los principios de coordinación con la Hacienda estatal” (art. 156.1 CE) y respetando las competencias que atribuye al Estado el art. 149.1.13 CE, pues la actividad financiera autonómica debe acomodarse a “las medidas oportunas que adopte el Estado tendentes a conseguir la estabilidad económica interna y externa, toda vez que a él corresponde la responsabilidad de garantizar el equilibrio económico general” (STC 171/1996, de 30 de octubre, FJ 2; 24/2002, de 31 de enero, FJ 5; 13/2007, de 18 de enero, FJ 7; 219/2013, de 19 de diciembre, FJ 4; 143/2015, de 22 de junio, FJ 3; 26/2016, de 18 de febrero, FJ 7). De ahí que el Tribunal haya considerado que el Estado puede establecer medidas de contención de gasto público que conlleven una limitación de la autonomía financiera de las Comunidades Autónomas (SSTC 96/1990, de 24 de mayo, FJ 3; y 139/2005, de 26 de mayo, FJ 7, entre otras muchas).</w:t>
      </w:r>
    </w:p>
    <w:p w:rsidR="0033382B" w:rsidRDefault="0033382B" w:rsidP="0033382B">
      <w:pPr>
        <w:pStyle w:val="TextoNormal"/>
      </w:pPr>
    </w:p>
    <w:p w:rsidR="0033382B" w:rsidRDefault="0033382B" w:rsidP="0033382B">
      <w:pPr>
        <w:pStyle w:val="TextoNormal"/>
      </w:pPr>
      <w:r>
        <w:t>En el presente caso, los preceptos cuestionados, al prever una reducción del salario del mes de diciembre de 2013 respecto del personal laboral al servicio del sector público de la Región de Murcia, establecen una medida de contención de gasto público. En virtud del principio de autonomía financiera de las Comunidades Autónomas (art. 156.1 CE) y de las competencias que le atribuye el art. 10.1.11 EARM en materia de “planificación de la actividad económica y fomento del desarrollo económico de la Comunidad dentro de los objetivos marcados por la política económica nacional”, la Comunidad Autónoma de la Región de Murcia puede adoptar este tipo de medidas siempre que las mismas no entren en contradicción con las medidas que el Estado pueda establecer con esta misma finalidad al amparo de las competencias que le atribuyen el art. 149.1.13 CE.</w:t>
      </w:r>
    </w:p>
    <w:p w:rsidR="0033382B" w:rsidRDefault="0033382B" w:rsidP="0033382B">
      <w:pPr>
        <w:pStyle w:val="TextoNormal"/>
      </w:pPr>
    </w:p>
    <w:p w:rsidR="0033382B" w:rsidRDefault="0033382B" w:rsidP="0033382B">
      <w:pPr>
        <w:pStyle w:val="TextoNormal"/>
      </w:pPr>
      <w:r w:rsidRPr="0033382B">
        <w:rPr>
          <w:rStyle w:val="NumeroAFNegritaCaracter"/>
        </w:rPr>
        <w:t>5</w:t>
      </w:r>
      <w:r>
        <w:t>. La Ley 17/2012, de 27 de diciembre, de presupuestos generales del Estado para el año 2013, establece en su artículo 22.2 que “[e]n el año 2013, las retribuciones del personal al servicio del sector público no podrán experimentar ningún incremento respecto a las vigentes a 31 de diciembre de 2012”. Esta norma ha de considerarse formal y materialmente básica. Según establece el apartado 10 del artículo 22 este artículo tiene carácter básico, por lo que al atribuirle expresamente este carácter una norma de rango de ley ha de considerarse que es una norma formalmente básica. Igualmente ha de considerarse básica en sentido material, pues “constituye una medida económica general de carácter presupuestario dirigida a contener la expansión relativa de uno de los componentes esenciales del gasto público” (STC 219/2013, de 19 de diciembre, FJ 4,) por lo que, como se ha indicado anteriormente, y afirma la Sentencia que acaba de citarse “su encuadramiento competencial adecuado es el título reservado al Estado por el art. 149.1.13 CE”.</w:t>
      </w:r>
    </w:p>
    <w:p w:rsidR="0033382B" w:rsidRDefault="0033382B" w:rsidP="0033382B">
      <w:pPr>
        <w:pStyle w:val="TextoNormal"/>
      </w:pPr>
    </w:p>
    <w:p w:rsidR="0033382B" w:rsidRDefault="0033382B" w:rsidP="0033382B">
      <w:pPr>
        <w:pStyle w:val="TextoNormal"/>
      </w:pPr>
      <w:r>
        <w:t>Una vez afirmado el carácter formal y materialmente básico de la norma estatal de contraste ha de analizarse si los preceptos cuestionados la contravienen. Como se ha indicado, esta normativa prohíbe que en el año 2013 se incrementen las retribuciones del personal del sector público. De ahí que no pueda apreciarse que los arts. 2.2 y 5.1 de la Ley 4/2013, de 12 de junio, de medidas urgentes en materia de gastos de personal y organización administrativa de la Comunidad Autónoma de la Región de Murcia sean contrarias a la legislación básica estatal, pues los preceptos cuestionados no incrementan las retribuciones de este personal (que es lo que prohíbe la legislación básica), sino que las reducen. Debe indicarse, por otra parte, que, en contra de lo que sostiene la Fiscal General del Estado, el problema constitucional que se suscita en este proceso no el mismo que el planteado en las SSTC 219/2013, de 19 de diciembre, 5/2014, de 16 de enero, y 207/2014, de 15 de diciembre. En los casos resueltos por estas Sentencias la norma autonómica aplicaba la reducción retributiva prevista con carácter general en la legislación básica estatal a empleados del sector público a quienes esta normativa expresamente excepcionaba de su aplicación (al personal laboral no directivo de las sociedades mercantiles públicas). En este caso, sin embargo, la norma básica estatal, no contiene ninguna previsión de la que pueda deducirse que las Comunidades Autónomas no pueden establecer, con carácter general, una reducción salarial del personal a su servicio ni tampoco, en lo que ahora interesa, impide que pueda adoptarse este tipo de medidas de contención del gasto público en relación con su personal laboral.</w:t>
      </w:r>
    </w:p>
    <w:p w:rsidR="0033382B" w:rsidRDefault="0033382B" w:rsidP="0033382B">
      <w:pPr>
        <w:pStyle w:val="TextoNormal"/>
      </w:pPr>
    </w:p>
    <w:p w:rsidR="0033382B" w:rsidRDefault="0033382B" w:rsidP="0033382B">
      <w:pPr>
        <w:pStyle w:val="TextoNormal"/>
      </w:pPr>
      <w:r>
        <w:t>Resulta, por tanto, que como la Comunidad Autónoma de la Región de Murcia en el ejercicio de su autonomía financiera (art. 156.1 CE) y de las competencias que le atribuye el art. 10.1.11 EARM en materia de “planificación de la actividad económica y fomento del desarrollo económico de la Comunidad dentro de los objetivos marcados por la política económica nacional” tiene competencias para adoptar las medidas de contención de gasto público que estimen necesarias sin otra limitación que las que impone el respeto a las adoptadas por el Estado con esta misma finalidad en virtud de las competencias que le otorga el art. 149.1.13 CE y, como la medida de reducción salarial que establecen los preceptos cuestionados no contradice la normativa básica estatal, que, como se acaba de indicar, no contiene ninguna determinación de la que se derive la imposibilidad de llevar a cabo una reducción de las retribuciones del personal laboral al servicio del sector público de esta Comunidad Autónoma, ha de llegarse a la conclusión de que los arts. 2.2 y 5.1 de la Ley 4/2013, de 12 de junio, de medidas urgentes en materia de gastos de personal y organización administrativa de la Comunidad Autónoma de la Región de Murcia no infringen los arts. 149.1. 7, 13 y 14 CE ni el art. 10.1.11 EARM.</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veintiséis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11" w:name="AUTO_2016_84"/>
      <w:r>
        <w:t>AUTO 84/2016, de 26 de abril de 2016</w:t>
      </w:r>
    </w:p>
    <w:bookmarkEnd w:id="211"/>
    <w:p w:rsidR="0033382B" w:rsidRDefault="0033382B" w:rsidP="0033382B">
      <w:pPr>
        <w:pStyle w:val="TtuloResolucin"/>
      </w:pPr>
      <w:r>
        <w:t>Pleno</w:t>
      </w:r>
    </w:p>
    <w:p w:rsidR="0033382B" w:rsidRDefault="0033382B" w:rsidP="0033382B">
      <w:pPr>
        <w:pStyle w:val="TtuloBOE"/>
      </w:pPr>
      <w:r>
        <w:t>(BOE núm. 147, de 18 de junio de 2016)</w:t>
      </w:r>
    </w:p>
    <w:p w:rsidR="0033382B" w:rsidRDefault="0033382B" w:rsidP="0033382B">
      <w:pPr>
        <w:pStyle w:val="TextoNormalCentrado"/>
      </w:pPr>
      <w:r>
        <w:t>ECLI:ES:TC:2016:84A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4184-2015, planteada por el Juzgado de lo Contencioso-Administrativo núm. 1 de Ourense en relación con la disposición adicional vigesimoprimera de la Ley 11/2013, de 26 de diciembre, de presupuestos generales de la Comunidad Autónoma de Galicia para el año 2014.</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registrado en este Tribunal el 14 de julio de 2015, el Juzgado de lo Contencioso-Administrativo núm. 1 de Orense remitió testimonio del Auto de 6 de julio de 2015 por el que se acordó plantear cuestión de inconstitucionalidad en relación con el apartado dos de la disposición adicional vigesimoprimera de la Ley 11/2013, de 26 de diciembre, de presupuestos generales de la Comunidad Autónoma de Galicia para 2014. Se considera que el apartado impugnado de la citada disposición adicional puede ser contrario a los arts. 9.3, 24.1, 103.1, 105, 106, 137, 140 y 149.1.18 CE y del art. 134.2 CE en relación con el art. 53.1 del Estatuto de Autonomía para Galicia (EAG).</w:t>
      </w:r>
    </w:p>
    <w:p w:rsidR="0033382B" w:rsidRDefault="0033382B" w:rsidP="0033382B">
      <w:pPr>
        <w:pStyle w:val="TextoNormal"/>
      </w:pPr>
    </w:p>
    <w:p w:rsidR="0033382B" w:rsidRDefault="0033382B" w:rsidP="0033382B">
      <w:pPr>
        <w:pStyle w:val="TextoNormal"/>
      </w:pPr>
      <w:r>
        <w:t>La disposición adicional vigésimo primera de la Ley 11/2013, de 26 de diciembre, de presupuestos generales de la Comunidad Autónoma de Galicia para 2014 regula la garantía de sostenibilidad financiera del sistema promovido por la Administración autonómica para la gestión institucional de los residuos domésticos y, en su apartado dos, que es el ahora cuestionado, establece:</w:t>
      </w:r>
    </w:p>
    <w:p w:rsidR="0033382B" w:rsidRDefault="0033382B" w:rsidP="0033382B">
      <w:pPr>
        <w:pStyle w:val="TextoNormal"/>
      </w:pPr>
    </w:p>
    <w:p w:rsidR="0033382B" w:rsidRDefault="0033382B" w:rsidP="0033382B">
      <w:pPr>
        <w:pStyle w:val="TextoNormal"/>
      </w:pPr>
      <w:r>
        <w:t>“Dos. A los efectos indicados en el apartado anterior y para garantizar la sostenibilidad financiera del sistema se fija un canon unitario de tratamiento por tonelada, expresado en el artículo 29.b)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0033382B" w:rsidRDefault="0033382B" w:rsidP="0033382B">
      <w:pPr>
        <w:pStyle w:val="TextoNormal"/>
      </w:pPr>
    </w:p>
    <w:p w:rsidR="0033382B" w:rsidRDefault="0033382B" w:rsidP="0033382B">
      <w:pPr>
        <w:pStyle w:val="TextoNormal"/>
      </w:pPr>
      <w:r>
        <w:t>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0033382B" w:rsidRDefault="0033382B" w:rsidP="0033382B">
      <w:pPr>
        <w:pStyle w:val="TextoNormal"/>
      </w:pPr>
    </w:p>
    <w:p w:rsidR="0033382B" w:rsidRDefault="0033382B" w:rsidP="0033382B">
      <w:pPr>
        <w:pStyle w:val="TextoNormal"/>
      </w:pPr>
      <w:r w:rsidRPr="0033382B">
        <w:rPr>
          <w:rStyle w:val="NumeroAFNegritaCaracter"/>
        </w:rPr>
        <w:t>2</w:t>
      </w:r>
      <w:r>
        <w:t>. Los hechos que pueden ser relevantes en este proceso constitucional son los siguientes:</w:t>
      </w:r>
    </w:p>
    <w:p w:rsidR="0033382B" w:rsidRDefault="0033382B" w:rsidP="0033382B">
      <w:pPr>
        <w:pStyle w:val="TextoNormal"/>
      </w:pPr>
    </w:p>
    <w:p w:rsidR="0033382B" w:rsidRDefault="0033382B" w:rsidP="0033382B">
      <w:pPr>
        <w:pStyle w:val="TextoNormal"/>
      </w:pPr>
      <w:r>
        <w:t>a) El 18 de diciembre de 2014 la “Sociedade Galega do Medio Ambiente, S.A.” (Sogama, S.A.), interpuso recurso contencioso-administrativo contra cuatro resoluciones del Ayuntamiento de Piñor de fecha 29 de octubre de 2014, que desestimaban, a su vez, sendos recursos de reposición. A través de estos recursos se impugnaban las reclamaciones de pago de cuatro facturas por importe total de 7.109, 39 € por la prestación del servicio de gestión de los residuos sólidos urbanos del término municipal entre los meses de mayo y agosto de 2014.</w:t>
      </w:r>
    </w:p>
    <w:p w:rsidR="0033382B" w:rsidRDefault="0033382B" w:rsidP="0033382B">
      <w:pPr>
        <w:pStyle w:val="TextoNormal"/>
      </w:pPr>
    </w:p>
    <w:p w:rsidR="0033382B" w:rsidRDefault="0033382B" w:rsidP="0033382B">
      <w:pPr>
        <w:pStyle w:val="TextoNormal"/>
      </w:pPr>
      <w:r>
        <w:t>En el suplico de la demanda se solicitó que la Sentencia, además de anular los actos impugnados, declarase que “el precio del contrato suscrito entre Sogama y el Ayuntamiento de Piñor, con fecha de 21 de diciembre de 2014 … asciende a la cantidad de setenta y seis euros con sesenta y cuatro céntimos (76,64 €) más el IVA correspondiente a cada tonelada de residuos, de acuerdo con lo dispuesto en el apartado segundo de la disposición adicional vigesimoprimera de la Ley de presupuestos generales de la Comunidad Autónoma de Galicia para 2014”.</w:t>
      </w:r>
    </w:p>
    <w:p w:rsidR="0033382B" w:rsidRDefault="0033382B" w:rsidP="0033382B">
      <w:pPr>
        <w:pStyle w:val="TextoNormal"/>
      </w:pPr>
    </w:p>
    <w:p w:rsidR="0033382B" w:rsidRDefault="0033382B" w:rsidP="0033382B">
      <w:pPr>
        <w:pStyle w:val="TextoNormal"/>
      </w:pPr>
      <w:r>
        <w:t>b) El día 10 de marzo de 2015 se celebró vista oral del juicio. En ella el Ayuntamiento de Piñor se opuso a la demanda y solicitó la desestimación íntegra del recurso, con imposición de costas a la demandante, por sostener su pretensión en la aplicación de una disposición autonómica que considera inconstitucional.</w:t>
      </w:r>
    </w:p>
    <w:p w:rsidR="0033382B" w:rsidRDefault="0033382B" w:rsidP="0033382B">
      <w:pPr>
        <w:pStyle w:val="TextoNormal"/>
      </w:pPr>
    </w:p>
    <w:p w:rsidR="0033382B" w:rsidRDefault="0033382B" w:rsidP="0033382B">
      <w:pPr>
        <w:pStyle w:val="TextoNormal"/>
      </w:pPr>
      <w:r>
        <w:t>Se recibió el proceso a prueba, practicándose prueba documental, se realizó el trámite de conclusiones y se declaró concluso.</w:t>
      </w:r>
    </w:p>
    <w:p w:rsidR="0033382B" w:rsidRDefault="0033382B" w:rsidP="0033382B">
      <w:pPr>
        <w:pStyle w:val="TextoNormal"/>
      </w:pPr>
    </w:p>
    <w:p w:rsidR="0033382B" w:rsidRDefault="0033382B" w:rsidP="0033382B">
      <w:pPr>
        <w:pStyle w:val="TextoNormal"/>
      </w:pPr>
      <w:r>
        <w:t>c) Por providencia de 25 de marzo de 2015, se dio audiencia a las partes por plazo común de diez días sobre la pertinencia de plantear cuestión de inconstitucionalidad al considerar que el apartado dos de la disposición adicional vigesimoprimera de la Ley de presupuestos generales de la Comunidad Autónoma de Galicia para 2014 podía ser contrario a los arts 9.3, 24.1, 103.1, 106, 134 , 137, 140 y 149.1.18 CE, así como a la legislación básica del Estado establecida en el Real Decreto legislativo 3/2011, de 14 de noviembre, aprobatorio del texto refundido de la Ley de contratos del sector público y en la disposición adicional octogésima octava de Ley 22/2013, de 23 de diciembre, de presupuestos generales del Estado para 2014.</w:t>
      </w:r>
    </w:p>
    <w:p w:rsidR="0033382B" w:rsidRDefault="0033382B" w:rsidP="0033382B">
      <w:pPr>
        <w:pStyle w:val="TextoNormal"/>
      </w:pPr>
    </w:p>
    <w:p w:rsidR="0033382B" w:rsidRDefault="0033382B" w:rsidP="0033382B">
      <w:pPr>
        <w:pStyle w:val="TextoNormal"/>
      </w:pPr>
      <w:r>
        <w:t>El 20 de mayo el Juzgado otorgó de nuevo audiencia a las partes y al Ministerio Fiscal por un plazo común de diez días al considerar que la norma aplicable al caso, además de vulnerar los preceptos constitucionales a los que se refería su anterior providencia de 25 de marzo, podía ser contraria a los arts. 105 a) y 105 c) CE, al haber privado a las Administraciones locales afectadas de su derecho a participar y presentar alegaciones en la toma de una decisión de contenido propiamente administrativo que les afecta directamente. También se considera que puede vulnerar el art. 9.3 CE, pues puede ser contrario a los principios de interdicción de la arbitrariedad y al art. 103.1 CE, que establece que la Administración debe servir con objetividad a los intereses generales con sometimiento pleno a la ley y al Derecho.</w:t>
      </w:r>
    </w:p>
    <w:p w:rsidR="0033382B" w:rsidRDefault="0033382B" w:rsidP="0033382B">
      <w:pPr>
        <w:pStyle w:val="TextoNormal"/>
      </w:pPr>
    </w:p>
    <w:p w:rsidR="0033382B" w:rsidRDefault="0033382B" w:rsidP="0033382B">
      <w:pPr>
        <w:pStyle w:val="TextoNormal"/>
      </w:pPr>
      <w:r>
        <w:t>El Ayuntamiento de Piñor formuló sus alegaciones por escritos de 14 de abril y 4 de junio de 2015, en los que se mostró conforme con el planteamiento de la cuestión de inconstitucionalidad. El Fiscal, presentó sus escritos de alegaciones el 13 de abril y el 25 de mayo de 2015, en los que pone de manifiesto que no se opone al planteamiento de la cuestión. Por el contrario, Sogama, S.A., por escritos de 15 de abril y 4 de junio de 2015, adujo que el apartado segundo de la disposición adicional vigesimoprimera de la Ley de presupuestos generales de la Comunidad Autónoma de Galicia para 2014 no contradecían la Constitución y por ello solicitó al órgano judicial que no plantease la cuestión de inconstitucionalidad.</w:t>
      </w:r>
    </w:p>
    <w:p w:rsidR="0033382B" w:rsidRDefault="0033382B" w:rsidP="0033382B">
      <w:pPr>
        <w:pStyle w:val="TextoNormal"/>
      </w:pPr>
    </w:p>
    <w:p w:rsidR="0033382B" w:rsidRDefault="0033382B" w:rsidP="0033382B">
      <w:pPr>
        <w:pStyle w:val="TextoNormal"/>
      </w:pPr>
      <w:r>
        <w:t>d) El Juzgado de lo Contencioso-Administrativo núm. 1 de Orense, por Auto de 6 de julio de 2015, planteó cuestión de inconstitucionalidad en relación con el apartado dos de la disposición adicional vigésimo primera de la Ley 11/2013, de 26 de diciembre, de presupuestos generales de la Comunidad Autónoma de Galicia para 2014.</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tras exponer los hechos de los que trae causa el proceso, pone de manifiesto que en este caso concurren todas las circunstancias para poder plantear cuestión de inconstitucionalidad ante este Tribunal, ya que la norma de cuya constitucionalidad se duda tiene rango legal (es el apartado dos de la disposición adicional vigésimo primera de la Ley 11/2013, de 26 de diciembre, de presupuestos generales de la Comunidad Autónoma de Galicia para 2014); se plantea una vez que el proceso ha quedado concluso y se encuentra únicamente pendiente de dictar sentencia; la decisión del proceso depende de la validez de la norma legal cuestionada (el pago que se reclama en vía contencioso-administrativa se fundamenta en la aplicación de la misma; pago que, el ayuntamiento demandado considera inconstitucional) y se acordó suscitarla después de haber dado trámite de audiencia a las partes sobre la pertinencia del su planteamiento.</w:t>
      </w:r>
    </w:p>
    <w:p w:rsidR="0033382B" w:rsidRDefault="0033382B" w:rsidP="0033382B">
      <w:pPr>
        <w:pStyle w:val="TextoNormal"/>
      </w:pPr>
    </w:p>
    <w:p w:rsidR="0033382B" w:rsidRDefault="0033382B" w:rsidP="0033382B">
      <w:pPr>
        <w:pStyle w:val="TextoNormal"/>
      </w:pPr>
      <w:r>
        <w:t>Después de fundamentar que se cumplen los requisitos procesales para plantear la cuestión de inconstitucionalidad, el Juzgado expone las razones por las que considera que la norma impugnada puede ser contraria a la Constitución. Para ello efectúa, con carácter preliminar, una serie de consideraciones en las que explica que, conforme a lo dispuesto en los arts. 25.2 l) y 86.3 de la Ley reguladora de las bases de régimen local, corresponde al municipio la competencia sobre el servicio público de gestión de los residuos sólidos urbanos, incluyendo la recogida y el tratamiento de los mismos; competencia que le reconoce el art. 12.5 a) de la Ley estatal 22/2011, de 28 de julio, de residuos y suelos contaminados. También se señala que en la Comunidad Autónoma de Galicia, la Ley 10/1997, de 22 de agosto, de residuos urbanos, establece la posibilidad de que las operaciones de gestión de residuos se lleven a cabo a través de la empresa pública Sociedade Galega do Medio Ambiente, S.A. (Sogama, S.A.), creada por Decreto de 11 de abril de 1992 y que muchos municipios gallegos optaron por esta posibilidad. Uno de estos municipios fue la corporación demandada en el proceso, a la que se le reclama el pago del precio establecido en el contrato que celebró con la referida empresa pública por la gestión de los residuos. En este contrato se dispuso que el precio que se debía pagar por la prestación de servicios sería el resultado de multiplicar el número de toneladas de residuos urbanos realmente introducidas en las instalaciones procedente de la recogida ordinaria de ese ayuntamiento por el precio de 47,09 €/tonelada más IVA (precio del año 2006). Junto a ello se estableció también que el referido precio se revisaría y actualizaría anualmente el día 1 de enero, según las variaciones experimentadas por el índice de precios al consumo en los 12 meses anteriores.</w:t>
      </w:r>
    </w:p>
    <w:p w:rsidR="0033382B" w:rsidRDefault="0033382B" w:rsidP="0033382B">
      <w:pPr>
        <w:pStyle w:val="TextoNormal"/>
      </w:pPr>
    </w:p>
    <w:p w:rsidR="0033382B" w:rsidRDefault="0033382B" w:rsidP="0033382B">
      <w:pPr>
        <w:pStyle w:val="TextoNormal"/>
      </w:pPr>
      <w:r>
        <w:t>El órgano judicial considera que el apartado de la disposición adicional cuestionado, al modificar el precio fijado en ese contrato elevándolo a la cantidad de 74,64 €/tonelada más IVA (el precio del contrato en el año 2013 era de 55,91 €/tonelada, por lo que el precepto cuestionado incrementa el precio del contrato en un 33,5 por 100), está adoptando una decisión materialmente administrativa. Por ello considera que la referida norma, al excepcionar el régimen general de la fijación de precios privados que han de fijarse por la Administración (art. 51 de la ley 6/2004) y establecer este precio a través de una ley “eleva el rango de una decisión puramente administrativa para hurtar de su control a la jurisdicción contencioso-administrativa”, lo que, a su juicio, puede ser contrario a los arts. 9.3, 24.1 CE 103.1 y 106.1 CE.</w:t>
      </w:r>
    </w:p>
    <w:p w:rsidR="0033382B" w:rsidRDefault="0033382B" w:rsidP="0033382B">
      <w:pPr>
        <w:pStyle w:val="TextoNormal"/>
      </w:pPr>
    </w:p>
    <w:p w:rsidR="0033382B" w:rsidRDefault="0033382B" w:rsidP="0033382B">
      <w:pPr>
        <w:pStyle w:val="TextoNormal"/>
      </w:pPr>
      <w:r>
        <w:t>El Juzgado fundamenta esta conclusión en que la exposición de motivos no explica que pueda haber razones excepcionales que justifiquen este precepto “singular”. Sostiene, asimismo, que aunque estas razones fueran el vencimiento de la deuda de Sogama, S.A., con la matriz de Gas Natural y con la propia Junta por un préstamo contraído tiempo atrás o la minoración de beneficios de Sogama, S.A., por la reducción de primas al régimen especial eléctrico, que fueron los motivos alegados en el debate parlamentario, no existiría una urgencia tal que impidiese tramitar el correspondiente procedimiento administrativo en el que se habría de discernir y acreditar tal justificación, con la correspondiente audiencia a los afectados y posibilidad de control jurisdicción. De ahí que considere que la norma cuestionada pueda ser contraria al principio de interdicción de la arbitrariedad y seguridad jurídica que consagra el art. 9.3 CE, al derecho a la tutela judicial efectiva (art. 24.1 CE) y a los arts. 103.1 y 106.1 CE que garantizan el pleno sometimiento a la ley y Derecho de la actividad administrativa y el control judicial de la misma. Entiende el Juzgado que esta conclusión encuentra apoyo en la doctrina establecida en las SSTC 129/2013 y 203/2013.</w:t>
      </w:r>
    </w:p>
    <w:p w:rsidR="0033382B" w:rsidRDefault="0033382B" w:rsidP="0033382B">
      <w:pPr>
        <w:pStyle w:val="TextoNormal"/>
      </w:pPr>
    </w:p>
    <w:p w:rsidR="0033382B" w:rsidRDefault="0033382B" w:rsidP="0033382B">
      <w:pPr>
        <w:pStyle w:val="TextoNormal"/>
      </w:pPr>
      <w:r>
        <w:t>Se considera también que la norma cuestionada es contraria a los arts. 105, 137 y 140 CE. Sostiene el Juzgado que la decisión adoptada en la Ley es, materialmente administrativa y que lo que en ella se dispone afecta directamente a los intereses de las Administraciones locales de Galicia. Por ello alega que, al haberse adoptado en virtud de una norma con rango de ley, ha privado a las Administraciones interesadas de participar en su procedimiento de elaboración, lo que conlleva, a su juicio, una vulneración de los arts. 105 a) y 105 c) CE y del principio de autonomía local que consagran los arts. 137 y 140 CE.</w:t>
      </w:r>
    </w:p>
    <w:p w:rsidR="0033382B" w:rsidRDefault="0033382B" w:rsidP="0033382B">
      <w:pPr>
        <w:pStyle w:val="TextoNormal"/>
      </w:pPr>
    </w:p>
    <w:p w:rsidR="0033382B" w:rsidRDefault="0033382B" w:rsidP="0033382B">
      <w:pPr>
        <w:pStyle w:val="TextoNormal"/>
      </w:pPr>
      <w:r>
        <w:t>Se aduce, además, que esta norma es también lesiva del art. 149.1.18 CE y de la normativa básica estatal. En opinión del órgano judicial la disposición que se cuestiona es contraria a lo dispuesto en los arts. 87.3, 89 y ss. del texto refundido de la Ley de contratos del sector público que regulan la revisión del precio de los contratos y a lo establecido en el art. 282 de texto refundido de la Ley de contratos del sector público, que regula la modificación y el equilibrio financiero de los contratos públicos, preceptos que tienen carácter básico, lo que conlleva la vulneración del citado art. 149.1.18 CE.</w:t>
      </w:r>
    </w:p>
    <w:p w:rsidR="0033382B" w:rsidRDefault="0033382B" w:rsidP="0033382B">
      <w:pPr>
        <w:pStyle w:val="TextoNormal"/>
      </w:pPr>
    </w:p>
    <w:p w:rsidR="0033382B" w:rsidRDefault="0033382B" w:rsidP="0033382B">
      <w:pPr>
        <w:pStyle w:val="TextoNormal"/>
      </w:pPr>
      <w:r>
        <w:t>Por último se alega la vulneración del art. 134.2 CE en relación con el art. 53.1 del Estatuto de Autonomía de Galicia al considerar que la regulación contenida en el precepto cuestionado no forma parte del contenido material de la Ley de presupuestos.</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 de diciembre de 2015, la Sección Primera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el 25 de enero de 2016. A juicio de la Fiscal General, la presente cuestión de constitucionalidad se ha formulado cumpliendo los requisitos procesales que establece el art. 35.2 LOTC. El órgano judicial otorgó trámite de audiencia a las partes y al Ministerio Fiscal sobre la pertinencia de plantear cuestión de inconstitucionalidad, identificando la norma legal sobre cuya constitucionalidad se duda y los preceptos constitucionales que la referida norma puede contravenir. También considera debidamente efectuados el juicio de aplicabilidad —el órgano judicial puso de manifiesto que es la norma aplicable a la controversia que tiene que resolver el órgano judicial— como el de relevancia —se indica que de la conformidad de esta norma cuestionada con la Constitución depende el fallo—.</w:t>
      </w:r>
    </w:p>
    <w:p w:rsidR="0033382B" w:rsidRDefault="0033382B" w:rsidP="0033382B">
      <w:pPr>
        <w:pStyle w:val="TextoNormal"/>
      </w:pPr>
    </w:p>
    <w:p w:rsidR="0033382B" w:rsidRDefault="0033382B" w:rsidP="0033382B">
      <w:pPr>
        <w:pStyle w:val="TextoNormal"/>
      </w:pPr>
      <w:r>
        <w:t>En cuanto al fondo, se señala, en primer lugar, que la Comunidad Autónoma de Galicia, en virtud de las competencias sobre medio ambiente que le atribuye el artículo 29 de su Estatuto de Autonomía, tiene competencias para dictar leyes que regulen los residuos sólidos urbanos y para adoptar las medidas de ejecución que considere adecuadas en el ejercicio de esta competencia.</w:t>
      </w:r>
    </w:p>
    <w:p w:rsidR="0033382B" w:rsidRDefault="0033382B" w:rsidP="0033382B">
      <w:pPr>
        <w:pStyle w:val="TextoNormal"/>
      </w:pPr>
    </w:p>
    <w:p w:rsidR="0033382B" w:rsidRDefault="0033382B" w:rsidP="0033382B">
      <w:pPr>
        <w:pStyle w:val="TextoNormal"/>
      </w:pPr>
      <w:r>
        <w:t>La Fiscal General considera que la norma cuestionada no se puede considerar contraria al art. 9.3 CE. En su opinión, nada excluye que sea el propio legislador el que pueda establecer el canon unitario que ahora se cuestiona. Entiende la Fiscal General que, de acuerdo con la doctrina de este Tribunal, ATC 193/2012, FJ 4, la norma cuestionada no pude considerarse arbitraria, pues esta norma no es discriminatoria, y, además, responde a una finalidad legítima y racional: procurar la viabilidad económica y sostenibilidad de un sistema institucionalizado de gestión de residuos urbanos a través de Sogama, S.A., mediante una gestión adecuada del medio ambiente de la Comunidad Gallega. Por otra parte considera que, como ha sostenido este Tribunal (STC 73/2000) “no cabe deducir de la Constitución la existencia de una reserva reglamentaria de manera que el legislador no tiene vedada la regulación de materias que no le están materialmente reservadas”.</w:t>
      </w:r>
    </w:p>
    <w:p w:rsidR="0033382B" w:rsidRDefault="0033382B" w:rsidP="0033382B">
      <w:pPr>
        <w:pStyle w:val="TextoNormal"/>
      </w:pPr>
    </w:p>
    <w:p w:rsidR="0033382B" w:rsidRDefault="0033382B" w:rsidP="0033382B">
      <w:pPr>
        <w:pStyle w:val="TextoNormal"/>
      </w:pPr>
      <w:r>
        <w:t>También descarta que el modo de proceder en la determinación del canon unitario conlleve una vulneración del principio de seguridad jurídica que consagra el art. 9.3 CE, pues la norma cuestionada proyecta sus efectos hacia el futuro y, además, solo resulta aplicable a los ayuntamientos que lo acepten voluntariamente, pues, si no están de acuerdo, pueden desistir del negocio jurídico celebrado en el plazo que establece la disposición cuestionada.</w:t>
      </w:r>
    </w:p>
    <w:p w:rsidR="0033382B" w:rsidRDefault="0033382B" w:rsidP="0033382B">
      <w:pPr>
        <w:pStyle w:val="TextoNormal"/>
      </w:pPr>
    </w:p>
    <w:p w:rsidR="0033382B" w:rsidRDefault="0033382B" w:rsidP="0033382B">
      <w:pPr>
        <w:pStyle w:val="TextoNormal"/>
      </w:pPr>
      <w:r>
        <w:t>Tampoco considera la Fiscal General que la disposición adicional vigesimoprimera de la Ley 11/2013, de 26 de diciembre, de presupuestos generales de la Comunidad Autónoma de Galicia para 2014 sea una ley singular que no respeta la doctrina establecida por este Tribunal en relación con este tipo de leyes y que, por este motivo, pueda lesionar el art. 24.1 CE, como plantea el órgano judicial. A su juicio, es dudoso que la norma cuestionada le resulte de aplicación la referida doctrina constitucional. Según se afirma, si es contenido de la Ley de presupuestos establecer las partidas relativas a la explotación y capital de las sociedades mercantiles autonómicas, como es Sogama, S.A., el establecimiento del canon cuestionado a través de este tipo de leyes no puede considerarse una materia ajena a las competencias del legislador. Tal consideración no impide, en opinión de la Fiscal General, que el propio legislador pueda deslegalizar esta materia, y establecer que la revisión del referido canon se efectuara a través del procedimiento administrativo que la propia norma establece. Por todo ello entiende que la norma legal no sustituye a ningún procedimiento administrativo de fijación de canon unitario (el establecimiento del anterior canon unitario se había efectuado también por ley, por la disposición adicional tercera de Ley 6/2002 de presupuestos generales de Galicia), por lo que no sustituye a ningún procedimiento administrativo de fijación de un nuevo canon unitario, por lo que no, al no regular un supuesto de hecho cuya normación corresponda a la Administración, no cumple uno de los requisitos para que pueda considerarse ley singular.</w:t>
      </w:r>
    </w:p>
    <w:p w:rsidR="0033382B" w:rsidRDefault="0033382B" w:rsidP="0033382B">
      <w:pPr>
        <w:pStyle w:val="TextoNormal"/>
      </w:pPr>
    </w:p>
    <w:p w:rsidR="0033382B" w:rsidRDefault="0033382B" w:rsidP="0033382B">
      <w:pPr>
        <w:pStyle w:val="TextoNormal"/>
      </w:pPr>
      <w:r>
        <w:t>No obstante, se considera también, que aunque se aceptara la naturaleza de ley singular de la norma cuestionada, tampoco ello determinaría su inconstitucionalidad, pues de acuerdo con la doctrina de este Tribunal, se cita la establecida en la STC 203/2013, en supuestos excepcionales, este tipo de leyes son admisibles si respetan los límites establecidos por este Tribunal. Según afirma la Fiscal General, la norma cuestionada se encontraría dentro de los excepcionales supuestos en los que este Tribunal ha admitido su constitucionalidad, pues, por una parte, concurre una justificada necesidad y urgencia en la adopción de la medida de modificación del canon unitario (la sostenibilidad económica del sistema de gestión de residuos sólidos urbanos) y esta medida no conlleva una vulneración del principio de igualdad, pues trata por igual a todos los destinatarios de la norma, los municipios de la Comunidad Autónoma de Galicia, pues a todos ellos se les aplica el mismo canon.</w:t>
      </w:r>
    </w:p>
    <w:p w:rsidR="0033382B" w:rsidRDefault="0033382B" w:rsidP="0033382B">
      <w:pPr>
        <w:pStyle w:val="TextoNormal"/>
      </w:pPr>
    </w:p>
    <w:p w:rsidR="0033382B" w:rsidRDefault="0033382B" w:rsidP="0033382B">
      <w:pPr>
        <w:pStyle w:val="TextoNormal"/>
      </w:pPr>
      <w:r>
        <w:t>Junto a ello se sostiene que como la adhesión al sistema de gestión institucionalizada de este servicio público que presta la Comunidad Autónoma a sus municipios es voluntaria. Ni es obligatorio adherirse a esta sistema de gestión de residuos ni los que se adhirieron están obligados a aceptar las nuevas condiciones que impone la norma cuestionada, al permitírseles desistir del negocio jurídico que suscribieron, no cabe apreciar que la norma cuestionada al establecer este nuevo canon puede infringir el art. 24.1 CE.</w:t>
      </w:r>
    </w:p>
    <w:p w:rsidR="0033382B" w:rsidRDefault="0033382B" w:rsidP="0033382B">
      <w:pPr>
        <w:pStyle w:val="TextoNormal"/>
      </w:pPr>
    </w:p>
    <w:p w:rsidR="0033382B" w:rsidRDefault="0033382B" w:rsidP="0033382B">
      <w:pPr>
        <w:pStyle w:val="TextoNormal"/>
      </w:pPr>
      <w:r>
        <w:t>Tampoco considera la Fiscal General del Estado que la norma cuestionada lesione el art. 106 CE por impedir controlar la actividad administrativa, ya que no estamos ante una actividad de la Administración sino ante una norma con rango de ley, respecto de la que no cabe más control que el de constitucionalidad. De igual modo entiende que debe decaer la impugnación que se fundamenta en la vulneración del artículo 105 CE en sus apartados a) y c), por prescindir del trámite de audiencia a los interesados y del procedimiento administrativo establecido para la revisión del canon, pues considera que ningún procedimiento administrativo estaba previsto para la fijación del nuevo canon unitario de gestión de recursos sólidos urbanos. Según se aduce, el que el apartado tercero de la disposición adicional vigesimoprimera establezca un procedimiento administrativo para revisar el canon legalmente establecido no significa que la ley no pudiera establecer el referido canon. Por otra parte, se afirma que, al encontrarnos ante un precio público, no es exigible seguir el procedimiento que establece la Ley 6/2003 de tasas, precios y exacciones de la Comunidad de Galicia, como sostiene el órgano judicial que plantea la presente cuestión.</w:t>
      </w:r>
    </w:p>
    <w:p w:rsidR="0033382B" w:rsidRDefault="0033382B" w:rsidP="0033382B">
      <w:pPr>
        <w:pStyle w:val="TextoNormal"/>
      </w:pPr>
    </w:p>
    <w:p w:rsidR="0033382B" w:rsidRDefault="0033382B" w:rsidP="0033382B">
      <w:pPr>
        <w:pStyle w:val="TextoNormal"/>
      </w:pPr>
      <w:r>
        <w:t>Se rechaza también que la materia regulada por esta norma exceda del contenido material de las leyes de presupuestos, pues esta norma tiene una naturaleza económica que puede afectar los recursos económicos de la Comunidad Autónoma, pues contribuye a la sostenibilidad económica del sistema autonómico de gestión de residuos sólidos urbanos.</w:t>
      </w:r>
    </w:p>
    <w:p w:rsidR="0033382B" w:rsidRDefault="0033382B" w:rsidP="0033382B">
      <w:pPr>
        <w:pStyle w:val="TextoNormal"/>
      </w:pPr>
    </w:p>
    <w:p w:rsidR="0033382B" w:rsidRDefault="0033382B" w:rsidP="0033382B">
      <w:pPr>
        <w:pStyle w:val="TextoNormal"/>
      </w:pPr>
      <w:r>
        <w:t>Se opone también a que la impugnación por la que se aduce la infracción del derecho a la autonomía local pueda prosperar. Se considera que la Comunidad Autónoma de Galicia, en ejercicio de sus competencias, ha establecido un sistema institucionalizado de gestión de residuos sólidos urbanos y ha aprobado las medidas necesarias para su viabilidad y sostenibilidad que ha ofertado a los distintos ayuntamientos de la Comunidad Autónoma, quienes pueden o no adherirse al sistema de manera voluntaria, pues la Ley ni obliga a adherirse al referido sistema ni impide a los municipios que se hubieran adherido al mismo con anterioridad a la entrada en vigor de esta norma que puedan desistir de los negocios jurídicos en los que se adhirieron al mismo.</w:t>
      </w:r>
    </w:p>
    <w:p w:rsidR="0033382B" w:rsidRDefault="0033382B" w:rsidP="0033382B">
      <w:pPr>
        <w:pStyle w:val="TextoNormal"/>
      </w:pPr>
    </w:p>
    <w:p w:rsidR="0033382B" w:rsidRDefault="0033382B" w:rsidP="0033382B">
      <w:pPr>
        <w:pStyle w:val="TextoNormal"/>
      </w:pPr>
      <w:r>
        <w:t>Y por último, se descarta asimismo que la norma cuestionada pueda vulnerar la legislación básica estatal sobre contratación pública, pues se considera que el legislador autonómico tiene competencias para establecer el canon unitario de gestión de los residuos sólidos urbanos, sin que esta regulación afecte a la legislación básica estatal en materia de contratos administrativos.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el Juzgado de lo Contencioso-Administrativo núm. 1 de Orense en relación con el apartado dos de la disposición adicional vigesimoprimera de la Ley 11/2013, de 26 de diciembre, de presupuestos generales de la Comunidad Autónoma de Galicia para 2014. Este apartado dispone:</w:t>
      </w:r>
    </w:p>
    <w:p w:rsidR="0033382B" w:rsidRDefault="0033382B" w:rsidP="0033382B">
      <w:pPr>
        <w:pStyle w:val="TextoNormal"/>
      </w:pPr>
    </w:p>
    <w:p w:rsidR="0033382B" w:rsidRDefault="0033382B" w:rsidP="0033382B">
      <w:pPr>
        <w:pStyle w:val="TextoNormal"/>
      </w:pPr>
      <w:r>
        <w:t>“Dos. A los efectos indicados en el apartado anterior y para garantizar la sostenibilidad financiera del sistema se fija un canon unitario de tratamiento por tonelada, expresado en el artículo 29.b)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0033382B" w:rsidRDefault="0033382B" w:rsidP="0033382B">
      <w:pPr>
        <w:pStyle w:val="TextoNormal"/>
      </w:pPr>
    </w:p>
    <w:p w:rsidR="0033382B" w:rsidRDefault="0033382B" w:rsidP="0033382B">
      <w:pPr>
        <w:pStyle w:val="TextoNormal"/>
      </w:pPr>
      <w:r>
        <w:t>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0033382B" w:rsidRDefault="0033382B" w:rsidP="0033382B">
      <w:pPr>
        <w:pStyle w:val="TextoNormal"/>
      </w:pPr>
    </w:p>
    <w:p w:rsidR="0033382B" w:rsidRDefault="0033382B" w:rsidP="0033382B">
      <w:pPr>
        <w:pStyle w:val="TextoNormal"/>
      </w:pPr>
      <w:r>
        <w:t>Como se ha expuesto en los antecedentes, el Juzgado considera que el apartado impugnado de la citada disposición adicional puede ser contrario a los arts. 9.3, 24.1, 103.1, 105, 106, 137, 140 y 149.1.18 CE y del art. 134.2 CE en relación con el art. 53.1 del  Estatuto de Autonomía para Galicia (EAG). Por el contrario, la Fiscal General del Estado ha interesado la inadmisión de la cuestión de inconstitucionalidad planteada al considerarla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2</w:t>
      </w:r>
      <w:r>
        <w:t xml:space="preserve">. Con carácter previo a abordar el fondo de la presente cuestión es preciso delimitar su objeto. Aunque el órgano judicial plantea esta cuestión de inconstitucionalidad respecto al apartado dos de la disposición adicional vigesimoprimera de la Ley 11/2013, de 26 de diciembre, de presupuestos generales de la Comunidad Autónoma de Galicia para 2014, en su totalidad, la norma cuestionada solo es aplicable y relevante para el fallo en su párrafo segundo, que es el que afecta a los contratos ya celebrados y, el que, por tanto, resulta determinante para resolver la controversia planteada en el proceso </w:t>
      </w:r>
      <w:r w:rsidRPr="0033382B">
        <w:rPr>
          <w:i/>
        </w:rPr>
        <w:t>a quo</w:t>
      </w:r>
      <w:r>
        <w:t>, en el que lo que se plantea es, precisamente, si esta norma determina la modificación del precio establecido en el contrato celebrado entre Sogama, S.A., y el Ayuntamiento demandado para el tratamiento de los residuos urbanos del municipio. Así, además, se pone de manifiesto por el órgano judicial cuando, en el Auto de planteamiento, justifica que la decisión del proceso depende de la validez de esta norma, ya que la pretensión planteada en el mismo es que el ayuntamiento demandado pague a Sogama, S.A., el precio por la prestación del servicio de gestión de los residuos urbanos de acuerdo con lo establecido en la norma cuestionada; pretensión a la que se opone el referido Ayuntamiento al considerar que esta norma, al establecer una revisión del precio del contrato celebrado, es inconstitucional.</w:t>
      </w:r>
    </w:p>
    <w:p w:rsidR="0033382B" w:rsidRDefault="0033382B" w:rsidP="0033382B">
      <w:pPr>
        <w:pStyle w:val="TextoNormal"/>
      </w:pPr>
    </w:p>
    <w:p w:rsidR="0033382B" w:rsidRDefault="0033382B" w:rsidP="0033382B">
      <w:pPr>
        <w:pStyle w:val="TextoNormal"/>
      </w:pPr>
      <w:r>
        <w:t>En consecuencia, el objeto de la presente cuestión debe ceñirse únicamente al párrafo segundo de esta norma, pues el párrafo primero del apartado dos esta disposición adicional, que es el que fija el canon unitario de tratamiento por tonelada y su forma de actualización en el futuro, al ser una regulación establecida para los nuevos contratos que vayan a suscribirse no es aplicable al caso, lo que conlleva, de acuerdo con lo previsto en el art. 35.1 de la Ley Orgánica del Tribunal Constitucional (LOTC), que no pueda ser enjuiciada en este proceso constitucional.</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de la Ley Orgánica del Tribunal Constitucional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0033382B" w:rsidRDefault="0033382B" w:rsidP="0033382B">
      <w:pPr>
        <w:pStyle w:val="TextoNormal"/>
      </w:pPr>
    </w:p>
    <w:p w:rsidR="0033382B" w:rsidRDefault="0033382B" w:rsidP="0033382B">
      <w:pPr>
        <w:pStyle w:val="TextoNormal"/>
      </w:pPr>
      <w:r>
        <w:t>El concepto de cuestión notoriamente infundada, como sostienen, entre otros muchos, los AATC 37/2015, de 17 de febrero, FJ 2, y 112/2015, de 23 de junio, FJ 2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w:t>
      </w:r>
    </w:p>
    <w:p w:rsidR="0033382B" w:rsidRDefault="0033382B" w:rsidP="0033382B">
      <w:pPr>
        <w:pStyle w:val="TextoNormal"/>
      </w:pPr>
    </w:p>
    <w:p w:rsidR="0033382B" w:rsidRDefault="0033382B" w:rsidP="0033382B">
      <w:pPr>
        <w:pStyle w:val="TextoNormal"/>
      </w:pPr>
      <w:r>
        <w:t>En el presente caso, por las razones que se van a exponer a continuación, puede apreciarse ya en este trámite liminar que la cuestión planteada es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4</w:t>
      </w:r>
      <w:r>
        <w:t>. El primero de los motivos en los que el órgano judicial fundamenta la inconstitucionalidad de la norma cuestionada es que, a su juicio, es una ley singular que no respeta los límites que la Constitución ha establecido en relación con este tipo de leyes. Como se ha indicado en los antecedentes, en el Auto de planteamiento se sostiene que la norma cuestionada, al modificar el precio establecido en determinados contratos —los suscritos por Sogama, S.A., y las entidades locales para la gestión de los residuos urbanos— está adoptando materialmente una decisión administrativa. Entiende el órgano judicial que la referida norma está excepcionando el régimen general de fijación de precios privados que regula el art. 51 de la Ley 6/2003, de 9 de diciembre, de tasas, precios y exacciones reguladoras de la Comunidad Autónoma de Galicia, en el que se establece que estos precios han de fijarse por la Administración, y está elevando “el rango de una decisión puramente administrativa para hurtar de su control a la jurisdicción contencioso-administrativa”. Junto a ello sostiene también que esta Ley no respeta los límites que, de acuerdo con la jurisprudencia de este Tribunal (SSTC 129/2013 y 203/2013), deben respetar las leyes singulares, pues, según se afirma en el auto de planteamiento, las razones en las que el legislador justifica la adopción de esta medida —la necesidad de “garantizar la sostenibilidad financiera del sistema”— no justifica que la medida adoptada sea razonable ni proporcionada. Por ello se considera que la norma cuestionada puede vulnerar el principio de interdicción de la arbitrariedad (el art. 9.3 CE), el derecho a la tutela judicial efectiva (art. 24.1 CE) y los arts. 103.1 y 106.1 CE.</w:t>
      </w:r>
    </w:p>
    <w:p w:rsidR="0033382B" w:rsidRDefault="0033382B" w:rsidP="0033382B">
      <w:pPr>
        <w:pStyle w:val="TextoNormal"/>
      </w:pPr>
    </w:p>
    <w:p w:rsidR="0033382B" w:rsidRDefault="0033382B" w:rsidP="0033382B">
      <w:pPr>
        <w:pStyle w:val="TextoNormal"/>
      </w:pPr>
      <w:r>
        <w:t>Como ha sostenido este Tribunal, dentro de la categoría de ley singular se encuentran incluidas diversos tipos de leyes (SSTC 203/2013, de 5 de diciembre, FJ 3; 50/2015, de 5 de marzo, FJ 3, entre otras), y entre las que se encuentran “aquéllas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SSTC48/2003, de 12 de marzo FJ 14; 136/2011, de 13 de septiembre, FJ 3, 121/2012, de 5 de junio, FJ 3; 51/2013, de 28 de febrero, FJ 8; STC 129/2013, de 4 de junio, FJ 4; 203/2013, de 5 de diciembre, FJ 3; 50/2015, de 5 de marzo, FJ 3, y 231/2015, de 5 de noviembre, FJ 3).</w:t>
      </w:r>
    </w:p>
    <w:p w:rsidR="0033382B" w:rsidRDefault="0033382B" w:rsidP="0033382B">
      <w:pPr>
        <w:pStyle w:val="TextoNormal"/>
      </w:pPr>
    </w:p>
    <w:p w:rsidR="0033382B" w:rsidRDefault="0033382B" w:rsidP="0033382B">
      <w:pPr>
        <w:pStyle w:val="TextoNormal"/>
      </w:pPr>
      <w:r>
        <w:t>El párrafo segundo del apartado dos de la disposición adicional vigesimoprimera de la Ley 11/2013, de 26 de diciembre, de presupuestos generales de la Comunidad Autónoma de Galicia para 2014, establece, como se ha indicado, que el canon unitario de tratamiento de residuos previsto en su párrafo primero resulta de aplicación a los contratos ya suscritos entre Sogama, S.A., y las entidades locales, salvo que en el plazo de dos meses desde la entrada en vigor de la norma las entidades locales desistan del negocio jurídico suscrito. Esta norma, por tanto, se ha dictado “en atención a un supuesto de hecho concreto y singular que agot[a] su contenido y eficacia en la adopción y ejecución de la medida tomada por el legislador ante ese supuesto de hecho” —modificar en el precio fijado en los referidos contratos—, por lo que dado su objeto puede afirmarse que, según la doctrina de este Tribunal más arriba expuesta, es una ley singular.</w:t>
      </w:r>
    </w:p>
    <w:p w:rsidR="0033382B" w:rsidRDefault="0033382B" w:rsidP="0033382B">
      <w:pPr>
        <w:pStyle w:val="TextoNormal"/>
      </w:pPr>
    </w:p>
    <w:p w:rsidR="0033382B" w:rsidRDefault="0033382B" w:rsidP="0033382B">
      <w:pPr>
        <w:pStyle w:val="TextoNormal"/>
      </w:pPr>
      <w:r>
        <w:t>En la STC 203/2013, de 5 de septiembre, FJ 4, que cita a su vez la STC 129/2013, de 4 de junio, FJ 4, este Tribunal estableció que para que las leyes singulares sean conformes con la Constitución han de cumplir los siguientes requisitos: en primer lugar “‘debe[n] responder a una situación excepcional igualmente singular’. ‘En segundo lugar, ‘la adopción de Leyes singulares debe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Finalmente no es posible condicionar o impedir por una ley singular el ejercicio de derechos fundamentales que son materia reservada a leyes generales (STC 166/1986, de 19 de diciembre, FJ 11)’. Y concluimos por ello que ‘el canon de constitucionalidad que debe utilizar este Tribunal al ejercer su función de control de este tipo de leyes es el de la razonabilidad, proporcionalidad y adecuación’ (STC 129/2013, de 4 de junio, FJ 4). Este es, en definitiva, el triple canon que habrá de superar cualquier ley singular para que pueda considerarse constitucional’” (STC 203/2013 de 5 de septiembre, FJ 4).</w:t>
      </w:r>
    </w:p>
    <w:p w:rsidR="0033382B" w:rsidRDefault="0033382B" w:rsidP="0033382B">
      <w:pPr>
        <w:pStyle w:val="TextoNormal"/>
      </w:pPr>
    </w:p>
    <w:p w:rsidR="0033382B" w:rsidRDefault="0033382B" w:rsidP="0033382B">
      <w:pPr>
        <w:pStyle w:val="TextoNormal"/>
      </w:pPr>
      <w:r>
        <w:t>La norma que ahora se enjuicia respeta las exigencias que impone la jurisprudencia constitucional que acaba de citarse. Esta norma responde a una situación excepcional, pues, según se establece en el párrafo primero del apartado dos de esta disposición adicional, se dicta con el fin de “garantizar la sostenibilidad financiera del sistema”, por lo que cumpliría la primera de las exigencias establecidas por este Tribunal.</w:t>
      </w:r>
    </w:p>
    <w:p w:rsidR="0033382B" w:rsidRDefault="0033382B" w:rsidP="0033382B">
      <w:pPr>
        <w:pStyle w:val="TextoNormal"/>
      </w:pPr>
    </w:p>
    <w:p w:rsidR="0033382B" w:rsidRDefault="0033382B" w:rsidP="0033382B">
      <w:pPr>
        <w:pStyle w:val="TextoNormal"/>
      </w:pPr>
      <w:r>
        <w:t>Se trata de una medida que no hubiera podido ser adoptada por la Administración. Debe tenerse en cuenta que en este caso la “singularidad” de la norma radica en que el canon establecido en la misma resulta de aplicación a los negocios jurídicos ya celebrados, y la Administración carece de potestades para alterar el régimen jurídico de los contratos suscritos por terceros y modificar el precio fijado en los mismos. Esta decisión solo puede ser adoptada por ley, pues solo una ley especial en la que se prevea esta consecuencia, puede excepcionar la aplicación la Ley general que establece la obligatoriedad de los contratos desde que se perfeccionan (art. 1258 del Código civil: CC). Esta regla, en el ámbito de la contratación pública, está consagrada específicamente en el art. 209 del texto refundido de la Ley de contratos del sector público en el que se dispone que “[l]os contratos deberán cumplirse a tenor de sus cláusulas sin perjuicio de las prerrogativas establecidas por la legislación en favor de las Administraciones Públicas”. Conviene señalar que en el presente caso estas prerrogativas no tienen ninguna incidencia, pues, tales prerrogativas son las que la legislación de contratos reconoce a la Administración contratante y en el supuesto que ahora se examina la Administración contratante es el ayuntamiento demandando, quien no solo no ha promovido la modificación del precio del contrato, sino que considera que la modificación del precio que efectúa la norma cuestionada es inconstitucional.</w:t>
      </w:r>
    </w:p>
    <w:p w:rsidR="0033382B" w:rsidRDefault="0033382B" w:rsidP="0033382B">
      <w:pPr>
        <w:pStyle w:val="TextoNormal"/>
      </w:pPr>
    </w:p>
    <w:p w:rsidR="0033382B" w:rsidRDefault="0033382B" w:rsidP="0033382B">
      <w:pPr>
        <w:pStyle w:val="TextoNormal"/>
      </w:pPr>
      <w:r>
        <w:t>La Administración autonómica, en cuanto promotora del sistema institucional de gestión de los residuos domésticos carece de potestades para incidir en los contratos celebrados por terceros y por ello la decisión de modificar el precio de los contratos que suscribió la sociedad pública autonómica Sogama, S.A, con las entidades locales para la gestión de los residuos urbanos municipales no puede adoptarla esta Administración. El único modo de excepcionar la regla general que establece la vinculatoriedad de los contratos en los términos que han sido pactados es a través de otra norma que tenga rango suficiente para poder considerarla de preferente aplicación frente a la norma general que establece tal consecuencia. Como la norma que obliga a cumplir los contratos “a tenor de sus cláusulas” tiene rango legal (art. 209 del texto refundido de la Ley de contratos del Estado o el art. 1258 CC) es preciso, por tanto, otra ley que establezca una norma especial que impida la aplicación de la Ley general. Resulta por tanto, que esta norma no modifica las normas generales que regulan la contratación pública, sino que, únicamente, contiene una medida singular —la modificación del precio de unos determinados contratos— que solo puede adoptarla el legislador.</w:t>
      </w:r>
    </w:p>
    <w:p w:rsidR="0033382B" w:rsidRDefault="0033382B" w:rsidP="0033382B">
      <w:pPr>
        <w:pStyle w:val="TextoNormal"/>
      </w:pPr>
    </w:p>
    <w:p w:rsidR="0033382B" w:rsidRDefault="0033382B" w:rsidP="0033382B">
      <w:pPr>
        <w:pStyle w:val="TextoNormal"/>
      </w:pPr>
      <w:r>
        <w:t>Por ello ha de concluirse que en este caso la medida establecida no podía adoptarse a través de “los instrumentos normales de que dispone la Administración” por lo se cumple el segundo de los requisitos establecidos en doctrina constitucional (SSTC 203/2013, de 5 de septiembre, FJ 4; y 129/2013, de 4 de junio, FJ 4).</w:t>
      </w:r>
    </w:p>
    <w:p w:rsidR="0033382B" w:rsidRDefault="0033382B" w:rsidP="0033382B">
      <w:pPr>
        <w:pStyle w:val="TextoNormal"/>
      </w:pPr>
    </w:p>
    <w:p w:rsidR="0033382B" w:rsidRDefault="0033382B" w:rsidP="0033382B">
      <w:pPr>
        <w:pStyle w:val="TextoNormal"/>
      </w:pPr>
      <w:r>
        <w:t>También se respeta el tercer requisito que, según ha establecido este Tribunal, debe cumplir una ley singular para que sea conforme con la Constitución: que no condicione o impida el ejercicio de derechos fundamentales, ya que esta materia que está reservada a leyes generales (SSTC 166/1986, de 19 de diciembre, FJ 11; 129/2013, de 4 de junio, FJ 4, y 203/2013, de 5 de septiembre, FJ 4.). El objeto de la ley cuestionada es modificar el precio establecido en determinados contratos, por lo que no regula ninguna medida que, en sí misma, impida o condicione el ejercicio de derechos fundamentales; cuestión distinta es que, dado el rango de esta norma, tal medida no pueda ser objeto de impugnación ante los Tribunales, pero este es un efecto que se deriva, no del objeto regulado, sino del rango de la norma que lo regula y en el caso examinado carece de efectos relevantes desde el punto de vista de la tutela de los derechos e intereses legítimos, habida cuenta de la posibilidad de impugnar los actos de aplicación de la norma que aquí se examina y de la facultad de los Tribunales ordinarios ante los que se formulen estas impugnaciones de plantear, en su caso, cuestión de inconstitucionalidad ante este Tribunal, como ha ocurrido en el supuesto objeto de enjuiciamiento.</w:t>
      </w:r>
    </w:p>
    <w:p w:rsidR="0033382B" w:rsidRDefault="0033382B" w:rsidP="0033382B">
      <w:pPr>
        <w:pStyle w:val="TextoNormal"/>
      </w:pPr>
    </w:p>
    <w:p w:rsidR="0033382B" w:rsidRDefault="0033382B" w:rsidP="0033382B">
      <w:pPr>
        <w:pStyle w:val="TextoNormal"/>
      </w:pPr>
      <w:r>
        <w:t>Y supera asimismo “el canon de la razonabilidad, proporcionalidad y adecuación” al que se refieren, entre otras, las STC 129/2013, de 4 de junio, FJ 4; y STC 203/2013, de 5 de diciembre, FJ 4. De acuerdo con la doctrina establecida en estas sentencias, la ley es razonable si tiene una justificación objetiva (STC 203/2013, de 5 de diciembre, FJ 5) y en este caso la tiene, pues según se afirma en la propia norma, esta medida se ha adoptado para garantizar la sostenibilidad financiera del sistema. Además es adecuada para conseguir el fin perseguido, pues el incremento del precio fijado en el contrato contribuye a alcanzar ese objetivo y es proporcionada, ya que, desde una perspectiva general, las ventajas que conlleva su imposición —garantizar la viabilidad económica de la empresa pública que gestiona el sistema institucional de residuos domésticos— son mayores que los perjuicios que puede ocasionar a los ayuntamientos que han contratado el servicio la elevación del precio establecido en los contrato. Ha de tenerse en cuenta, por una parte, que la ley otorga la posibilidad a las entidades locales que no estén de acuerdo con el nuevo precio legalmente establecido de desistir del contrato durante el plazo de dos meses desde su entrada en vigor; y, por otra, que si la empresa quebrara tampoco podría prestar el servicio, por lo que, si se diera tal circunstancia, las entidades locales tampoco podrían obtener su prestación. En tal caso, la quiebra de la empresa que gestiona el servicio afectaría, además, a todo el sistema de gestión institucional de los residuos promovido por la Administración autonómica, lo que determinaría que no pudieran alcanzarse los fines de interés general que a través de ese sistema pretenden conseguirse. De ahí que no pueda considerarse desproporcionada la medida adoptada por la norma cuestionada.</w:t>
      </w:r>
    </w:p>
    <w:p w:rsidR="0033382B" w:rsidRDefault="0033382B" w:rsidP="0033382B">
      <w:pPr>
        <w:pStyle w:val="TextoNormal"/>
      </w:pPr>
    </w:p>
    <w:p w:rsidR="0033382B" w:rsidRDefault="0033382B" w:rsidP="0033382B">
      <w:pPr>
        <w:pStyle w:val="TextoNormal"/>
      </w:pPr>
      <w:r>
        <w:t>Por todo ello debe declararse que el párrafo segundo del apartado dos de la disposición adicional cuestionada es una ley singular que respeta los límites que, según la jurisprudencia de este Tribunal, deben cumplir este tipo de leyes, por lo que no pude entenderse lesiva de los arts. 9.3, 24.1, 103 y 106 CE.</w:t>
      </w:r>
    </w:p>
    <w:p w:rsidR="0033382B" w:rsidRDefault="0033382B" w:rsidP="0033382B">
      <w:pPr>
        <w:pStyle w:val="TextoNormal"/>
      </w:pPr>
    </w:p>
    <w:p w:rsidR="0033382B" w:rsidRDefault="0033382B" w:rsidP="0033382B">
      <w:pPr>
        <w:pStyle w:val="TextoNormal"/>
      </w:pPr>
      <w:r w:rsidRPr="0033382B">
        <w:rPr>
          <w:rStyle w:val="NumeroAFNegritaCaracter"/>
        </w:rPr>
        <w:t>5</w:t>
      </w:r>
      <w:r>
        <w:t>. Tampoco puede apreciarse que la norma cuestionada sea contraria a los arts. 105 a) y c), 137 y 140 CE. Según se sostiene en el Auto de planteamiento, esta norma adopta una decisión “propiamente administrativa que afecta de manera muy relevante a las Administraciones locales”. Por ello se afirma que, al haberse adoptado por ley, ha privado a los entes locales de participar en el procedimiento administrativo en el que hubiera debido adoptarse, lo que, considera lesivo de los art. 105 a) y c) CE y del derecho a la autonomía local que reconocen los arts. 137 y 140 CE.</w:t>
      </w:r>
    </w:p>
    <w:p w:rsidR="0033382B" w:rsidRDefault="0033382B" w:rsidP="0033382B">
      <w:pPr>
        <w:pStyle w:val="TextoNormal"/>
      </w:pPr>
    </w:p>
    <w:p w:rsidR="0033382B" w:rsidRDefault="0033382B" w:rsidP="0033382B">
      <w:pPr>
        <w:pStyle w:val="TextoNormal"/>
      </w:pPr>
      <w:r>
        <w:t>Esta alegación no puede prosperar. Es doctrina constitucional reiterada que no cabe deducir de la Constitución la existencia de una reserva reglamentaria (SSTC 5/1981, de 13 de febrero de 1981, FJ 21; 251/2006, de 25 de julio, FJ 6; 73/2000, de 14 de marzo, FJ 15; 203/2013, de 5 de diciembre, FJ 3; 120/2014, de 17 de julio de 2014, FJ 8; 12/2015, de 5 de febrero FJ 5; 50/2015, de 5 de marzo, FJ 4, entre otras muchas). Por ello este Tribunal ha sostenido que, como el legislador no tiene vedada la regulación de materias que no le estén materialmente reservadas, “dentro del marco de la Constitución y respetando sus específicas limitaciones, la ley puede tener en nuestro ordenamiento cualquier contenido y en modo alguno le está vedada la regulación de materias antes atribuidas al poder reglamentario STC 73/2000, de 14 de marzo, FJ 15” (SSTC 203/2013, de 5 de diciembre, FJ 3, 120/2014, de 17 de julio de 2014, FJ 8, y 12/2015, de 5 de febrero FJ 5).</w:t>
      </w:r>
    </w:p>
    <w:p w:rsidR="0033382B" w:rsidRDefault="0033382B" w:rsidP="0033382B">
      <w:pPr>
        <w:pStyle w:val="TextoNormal"/>
      </w:pPr>
    </w:p>
    <w:p w:rsidR="0033382B" w:rsidRDefault="0033382B" w:rsidP="0033382B">
      <w:pPr>
        <w:pStyle w:val="TextoNormal"/>
      </w:pPr>
      <w:r>
        <w:t>De este modo, al no existir en la Constitución la denominada reserva reglamentaria, ninguna vulneración del art. 105 a) CE puede conllevar que una determinada materia sea regulada por una norma de rango de ley, pues ni el referido precepto constitucional ni ningún otro garantizan que determinadas materias hayan de ser reguladas por la Administración a través del procedimiento por el que debe ejercer su potestad reglamentaria. A la misma conclusión debe llegarse sobre la pretendida infracción del art. 105 c) CE. Como se ha indicado, la decisión adoptada por el legislador respeta las exigencias que este Tribunal ha establecido respecto de las leyes singulares, por lo que los afectados por esta resolución no pueden aducir ningún derecho a que la misma se hubiese adoptado a través de un procedimiento administrativo.</w:t>
      </w:r>
    </w:p>
    <w:p w:rsidR="0033382B" w:rsidRDefault="0033382B" w:rsidP="0033382B">
      <w:pPr>
        <w:pStyle w:val="TextoNormal"/>
      </w:pPr>
    </w:p>
    <w:p w:rsidR="0033382B" w:rsidRDefault="0033382B" w:rsidP="0033382B">
      <w:pPr>
        <w:pStyle w:val="TextoNormal"/>
      </w:pPr>
      <w:r>
        <w:t>Tampoco puede prosperar la alegación por la que se aduce que la norma cuestionada ha lesionado el derecho a la autonomía local, y que, por este motivo, haya infringido los arts. 137 y 140 CE. De acuerdo con la doctrina de este Tribunal, la autonomía local reconocida en los arts. 137, 140 y 141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(entre otras muchas STC 92/2015, FJ 4), y en este caso la norma cuestionada no infringe tales derechos, pues, al margen de otras consideraciones, son las entidades locales afectadas las que deben decidir si desisten del contrato suscrito, dadas las modificaciones que la aprobación de la ley conlleva en los mismos o, si por el contrario, se adhieren al sistema institucional de gestión de los residuos que esta norma promueve. Esta decisión no puede considerarse menoscabada, como alega el órgano judicial que plantea la cuestión, por tenerla que adoptar en el plazo de dos meses desde la aprobación de la ley, pues, este plazo es suficiente para que la Administración local que ha suscrito el contrato pueda analizar si le conviene desistir del contrato o aceptar la modificación del precio legalmente establecida.</w:t>
      </w:r>
    </w:p>
    <w:p w:rsidR="0033382B" w:rsidRDefault="0033382B" w:rsidP="0033382B">
      <w:pPr>
        <w:pStyle w:val="TextoNormal"/>
      </w:pPr>
    </w:p>
    <w:p w:rsidR="0033382B" w:rsidRDefault="0033382B" w:rsidP="0033382B">
      <w:pPr>
        <w:pStyle w:val="TextoNormal"/>
      </w:pPr>
      <w:r w:rsidRPr="0033382B">
        <w:rPr>
          <w:rStyle w:val="NumeroAFNegritaCaracter"/>
        </w:rPr>
        <w:t>6</w:t>
      </w:r>
      <w:r>
        <w:t>. El órgano judicial que ha planteado la cuestión sostiene también que la norma cuestionada vulnera el art. 149.1.18 CE, pues considera que el contrato celebrado por el Ayuntamiento de Piñor y Sogama, S.A., es un negocio jurídico administrativo sometido a lo dispuesto en la legislación básica estatal sobre contratos públicos. Por ello entiende que la revisión de precio del contrato llevado a cabo en la Ley cuestionada a favor de la sociedad anónima contratista vulneró la regulación básica estatal que regula la revisión de precios de los contratos públicos (arts. 87.3 y 89 y ss. del texto refundido de la Ley de contratos del sector público y la disposición adicional octogésima octava de la Ley 22/2013, de 23 de diciembre, de presupuestos generales del Estado para el año 2014) y la modificación y mantenimiento del equilibrio financiero en los contratos públicos (art. 282 del texto refundido de la Ley de contratos del sector público).</w:t>
      </w:r>
    </w:p>
    <w:p w:rsidR="0033382B" w:rsidRDefault="0033382B" w:rsidP="0033382B">
      <w:pPr>
        <w:pStyle w:val="TextoNormal"/>
      </w:pPr>
    </w:p>
    <w:p w:rsidR="0033382B" w:rsidRDefault="0033382B" w:rsidP="0033382B">
      <w:pPr>
        <w:pStyle w:val="TextoNormal"/>
      </w:pPr>
      <w:r>
        <w:t>La disposición legal cuestionada no incurre en la vulneración de la normativa básica estatal en materia de contratos administrativos. Esta norma no regula la revisión de precios de los contratos públicos, sino que, como se ha expuesto, en atención a una situación excepcional, establece una medida singular con el fin de garantizar la sostenibilidad financiera del sistema institucional de gestión de residuos promovido por la Administración autonómica. En consecuencia, la previsión contenida en la misma, no puede entenderse contraria a la normativa básica estatal en materia de contratos administrativos, pues no tiene como objeto regular esta materia, sino establecer una medida que dé respuesta a la situación excepcional que la fundamenta, sin alterar ni incidir en la legislación básica que rige la contratación pública.</w:t>
      </w:r>
    </w:p>
    <w:p w:rsidR="0033382B" w:rsidRDefault="0033382B" w:rsidP="0033382B">
      <w:pPr>
        <w:pStyle w:val="TextoNormal"/>
      </w:pPr>
    </w:p>
    <w:p w:rsidR="0033382B" w:rsidRDefault="0033382B" w:rsidP="0033382B">
      <w:pPr>
        <w:pStyle w:val="TextoNormal"/>
      </w:pPr>
      <w:r w:rsidRPr="0033382B">
        <w:rPr>
          <w:rStyle w:val="NumeroAFNegritaCaracter"/>
        </w:rPr>
        <w:t>7</w:t>
      </w:r>
      <w:r>
        <w:t>. Por último, se alega en el Auto de planteamiento que la norma cuestionada vulnera el art. 134.2 CE en relación con el art. 53.1 EAG, pues considera que no respeta el contenido material que debe tener una ley de presupuestos, al entender que no guarda una conexión directa e inmediata con los gastos e ingresos públicos y que su inclusión en la ley de presupuestos no “está justificada para facilitar una mayor inteligencia y más eficaz ejecución del presupuesto.”</w:t>
      </w:r>
    </w:p>
    <w:p w:rsidR="0033382B" w:rsidRDefault="0033382B" w:rsidP="0033382B">
      <w:pPr>
        <w:pStyle w:val="TextoNormal"/>
      </w:pPr>
    </w:p>
    <w:p w:rsidR="0033382B" w:rsidRDefault="0033382B" w:rsidP="0033382B">
      <w:pPr>
        <w:pStyle w:val="TextoNormal"/>
      </w:pPr>
      <w:r>
        <w:t>De acuerdo con la doctrina de este Tribunal, como tanto la Ley Orgánica 8/1980, de financiación de las Comunidades Autónomas (art. 21.1) como el Estatuto de Autonomía de Galicia (art. 53.1) contienen una cláusula similar al art. 134.2 CE puede deducirse “un principio general de que el contenido de la Ley de Presupuestos autonómica se adecúe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(SSTC 174/1998, de 23 de julio, FJ 6; 130/1999, de 1 de julio, FJ 5, y 108/2015, de 28 de mayo, FJ 3).</w:t>
      </w:r>
    </w:p>
    <w:p w:rsidR="0033382B" w:rsidRDefault="0033382B" w:rsidP="0033382B">
      <w:pPr>
        <w:pStyle w:val="TextoNormal"/>
      </w:pPr>
    </w:p>
    <w:p w:rsidR="0033382B" w:rsidRDefault="0033382B" w:rsidP="0033382B">
      <w:pPr>
        <w:pStyle w:val="TextoNormal"/>
      </w:pPr>
      <w:r>
        <w:t>En este caso no puede apreciarse que la regulación contenida en el párrafo segundo del apartado dos la disposición adicional vigesimoprimera de la Ley 11/2013, de 26 de diciembre, de presupuestos de la Comunidad Autónoma de Galicia para 2014 vulnere el referido principio. Esta previsión, al referirse al canon que debe cobrar una sociedad pública autonómica por la gestión de residuos urbanos municipales —canon que se ha establecido con el fin de garantizar su viabilidad económica— no puede considerarse que no guarde relación con el programa de ingresos y gastos objeto del presupuesto. Debe tenerse en cuenta que, según establece el art. 1 g) de la Ley 11/2013 de presupuestos generales de la Comunidad Autónoma de Galicia para el año 2014, integran el presupuesto de la Comunidad Autónoma “los presupuestos de explotación y capital de las sociedades mercantiles públicas autonómicas a que hace referencia el artículo 102 de la Ley 16/2010, de 17 de diciembre, de organización y funcionamiento de la Administración general y del sector público autonómico” y Sogama, S.A., como acaba de señalarse, es una de estas sociedades, por lo que la determinación de sus ingresos a través del establecimiento del canon al que se refiere el apartado dos de la disposición adicional y la expresa previsión de la aplicación de este canon a los negocios jurídicos ya suscritos, al incidir en la financiación de la referida empresa, ha de entenderse que es una materia que guarda relación directa con el contenido de la Ley de presupuestos.</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veintiséis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12" w:name="AUTO_2016_85"/>
      <w:r>
        <w:t>AUTO 85/2016, de 26 de abril de 2016</w:t>
      </w:r>
    </w:p>
    <w:bookmarkEnd w:id="212"/>
    <w:p w:rsidR="0033382B" w:rsidRDefault="0033382B" w:rsidP="0033382B">
      <w:pPr>
        <w:pStyle w:val="TtuloResolucin"/>
      </w:pPr>
      <w:r>
        <w:t>Pleno</w:t>
      </w:r>
    </w:p>
    <w:p w:rsidR="0033382B" w:rsidRDefault="0033382B" w:rsidP="0033382B">
      <w:pPr>
        <w:pStyle w:val="TextoNormalCentrado"/>
      </w:pPr>
      <w:r>
        <w:t>ECLI:ES:TC:2016:85A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6541-2015, planteada por la Sala de lo Contencioso-Administrativo del Tribunal Superior de Justicia de Galicia en relación con el artículo 96 de la Ley del Parlamento de Galicia 9/2002, de 30 de diciembre, de ordenación urbanística y protección del medio rural de Galicia.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20 de noviembre de 2015 entró en el Registro General de este Tribunal un escrito de la Sección Segunda de la Sala de lo Contencioso-Administrativo del Tribunal Superior de Justicia de Galicia, al que se acompaña, junto al testimonio del recurso ordinario 4490-2011,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dispuesto en los arts. 9.2 y 105 a) CE, así como de lo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 la cuestión son los siguientes:</w:t>
      </w:r>
    </w:p>
    <w:p w:rsidR="0033382B" w:rsidRDefault="0033382B" w:rsidP="0033382B">
      <w:pPr>
        <w:pStyle w:val="TextoNormal"/>
      </w:pPr>
    </w:p>
    <w:p w:rsidR="0033382B" w:rsidRDefault="0033382B" w:rsidP="0033382B">
      <w:pPr>
        <w:pStyle w:val="TextoNormal"/>
      </w:pPr>
      <w:r>
        <w:t>a) El plan general de ordenación municipal de Ourense aprobado por Orden de 29 de abril de 2003 de la Consellería de Política Territorial, Obras Públicas y Vivienda fue anulado, en firme, por STS 9 de marzo de 2011. En consecuencia, resultaba vigente la ordenación del plan general de ordenación municipal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0033382B" w:rsidRDefault="0033382B" w:rsidP="0033382B">
      <w:pPr>
        <w:pStyle w:val="TextoNormal"/>
      </w:pPr>
    </w:p>
    <w:p w:rsidR="0033382B" w:rsidRDefault="0033382B" w:rsidP="0033382B">
      <w:pPr>
        <w:pStyle w:val="TextoNormal"/>
      </w:pPr>
      <w:r>
        <w:t>D. J.V.G.C., ejercitando la acción pública urbanística prevista en la disposición adicional cuarta de la Ley 9/2002, impugna dicho Decreto 187/2011. Su argumento principal es que el Decreto impugnado persigue en realidad mantener la regulación urbanística del plan general de ordenación de 2003 recientemente anulado, para lo que no da cobertura normativa el art. 96 de la Ley 9/2002, aparte de que de este modo se estaría impidiendo la eficacia de los fallos judiciales.</w:t>
      </w:r>
    </w:p>
    <w:p w:rsidR="0033382B" w:rsidRDefault="0033382B" w:rsidP="0033382B">
      <w:pPr>
        <w:pStyle w:val="TextoNormal"/>
      </w:pPr>
    </w:p>
    <w:p w:rsidR="0033382B" w:rsidRDefault="0033382B" w:rsidP="0033382B">
      <w:pPr>
        <w:pStyle w:val="TextoNormal"/>
      </w:pPr>
      <w:r>
        <w:t xml:space="preserve">b) Con posterioridad al inicio de este recurso ordinario 4490-2011 y después incluso de que se hubieran formulado los escritos de conclusiones, la STS de 5 de febrero de 2014 casó la STSJ de Galicia de 20 de enero de 2011, que había decidido un asunto muy similar al que ahora se planteaba. Dice la Sentencia del Tribunal Supremo, en su fundamento jurídico segundo </w:t>
      </w:r>
      <w:r w:rsidRPr="0033382B">
        <w:rPr>
          <w:i/>
        </w:rPr>
        <w:t>in fine</w:t>
      </w:r>
      <w:r>
        <w:t>, que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Esta STS de 5 de febrero de 2014 fue aportada por la parte actora a los recursos ordinarios 4522-2011 y 4523-2011, que también se dirigían contra el Decreto 187/2011 y que han dado lugar a las cuestiones de inconstitucionalidad 6539-2015 y 6576-2015.</w:t>
      </w:r>
    </w:p>
    <w:p w:rsidR="0033382B" w:rsidRDefault="0033382B" w:rsidP="0033382B">
      <w:pPr>
        <w:pStyle w:val="TextoNormal"/>
      </w:pPr>
    </w:p>
    <w:p w:rsidR="0033382B" w:rsidRDefault="0033382B" w:rsidP="0033382B">
      <w:pPr>
        <w:pStyle w:val="TextoNormal"/>
      </w:pPr>
      <w:r>
        <w:t xml:space="preserve">c) Conclusa la tramitación del proceso </w:t>
      </w:r>
      <w:r w:rsidRPr="0033382B">
        <w:rPr>
          <w:i/>
        </w:rPr>
        <w:t>a quo</w:t>
      </w:r>
      <w:r>
        <w:t>, el órgano judicial dictó providencia de 17 de septiembre de 2015, en la que afirma que “procede someter a la consideración de las partes y del Ministerio Fiscal, por un plazo común de 10 días, la posible concurrencia de motivo susceptible de fundar el planteamiento de cuestión de inconstitucionalidad respecto del art. 96 de la Ley 9/2002. El presente recurso contencioso-administrativo se dirige contra el Decreto 184/2011 (</w:t>
      </w:r>
      <w:r w:rsidRPr="0033382B">
        <w:rPr>
          <w:i/>
        </w:rPr>
        <w:t>sic</w:t>
      </w:r>
      <w:r>
        <w:t>), de 29 de septiembre, de la Consellería de Medio Ambiente, Territorio e Infraestructuras, que acordó suspender parcialmente la vigencia del plan general de ordenación de Ourense de 1986, así como aprobar una ordenación urbanística provisional hasta la entrada en vigor del nuevo planeamiento. Se plantea, como motivo impugnatorio del citado Decreto, la falta de información pública en el procedimiento de elaboración y aprobación de la ordenación provisional, alegación que en principio conecta con el criterio plasmado en la sentencia de la sección quinta de la Sala de los Contencioso-Administrativo del Tribunal Supremo, de cinco de febrero de 2014, estimatoria del recurso de casación interpuesto contra la sentencia de esta Sala de 20 de enero de 2011. Ahora bien, para que tal motivo pudiera prosperar habría de ser inaplicado el citado artículo de la Ley 9/2002, ya que en dicho precepto el legislador autonómico optó por omitir la exigencia de información pública en el procedimiento de aprobación de la normativa provisional, omisión que según la referida sentencia del Tribunal Supremo incurre en la infracción de los arts. 9.2 y 105 a) CE y si al mismo tiempo se considera que el mencionado art. 96 se dictó en el ejercicio de la competencia exclusiva de la Comunidad Autónoma en materia de urbanismo, no parece que el tema debatido pueda resolverse acudiendo a la cláusula de prevalencia del derecho estatal conforme al art. 149.3 CE. Así, como quiera que la prosperabilidad de la alegación de que se trata, con los correspondientes efectos anulatorios, depende de la no aplicación del citado precepto de la Ley 9/2002 en lo que respecta a la omisión del trámite asumida por la misma, cabría plantear la inconstitucionalidad de dicho art. 96 de la Ley 9/2002, por considerarlo contrario a los referidos preceptos constitucionales y a los arts. 149.1.1, 13, 18 y 23 CE en relación con el art. 11.1 del texto refundido de la Ley de suelo estatal”.</w:t>
      </w:r>
    </w:p>
    <w:p w:rsidR="0033382B" w:rsidRDefault="0033382B" w:rsidP="0033382B">
      <w:pPr>
        <w:pStyle w:val="TextoNormal"/>
      </w:pPr>
    </w:p>
    <w:p w:rsidR="0033382B" w:rsidRDefault="0033382B" w:rsidP="0033382B">
      <w:pPr>
        <w:pStyle w:val="TextoNormal"/>
      </w:pPr>
      <w:r>
        <w:t>d) El Fiscal, en escrito de 21 de septiembre de 2015, informa que procede el planteamiento de la cuestión porque el art. 96 de la Ley 9/2002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0033382B" w:rsidRDefault="0033382B" w:rsidP="0033382B">
      <w:pPr>
        <w:pStyle w:val="TextoNormal"/>
      </w:pPr>
    </w:p>
    <w:p w:rsidR="0033382B" w:rsidRDefault="0033382B" w:rsidP="0033382B">
      <w:pPr>
        <w:pStyle w:val="TextoNormal"/>
      </w:pPr>
      <w:r>
        <w:t>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art.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0033382B" w:rsidRDefault="0033382B" w:rsidP="0033382B">
      <w:pPr>
        <w:pStyle w:val="TextoNormal"/>
      </w:pPr>
    </w:p>
    <w:p w:rsidR="0033382B" w:rsidRDefault="0033382B" w:rsidP="0033382B">
      <w:pPr>
        <w:pStyle w:val="TextoNormal"/>
      </w:pPr>
      <w:r>
        <w:t>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 actuacions excepcionais, audiencia do Concello previa a suspensión, necesidad de implementar con celeridade una nova ordenación, carácter provisional e transitorio desa ordenación”.</w:t>
      </w:r>
    </w:p>
    <w:p w:rsidR="0033382B" w:rsidRDefault="0033382B" w:rsidP="0033382B">
      <w:pPr>
        <w:pStyle w:val="TextoNormal"/>
      </w:pPr>
    </w:p>
    <w:p w:rsidR="0033382B" w:rsidRDefault="0033382B" w:rsidP="0033382B">
      <w:pPr>
        <w:pStyle w:val="TextoNormal"/>
      </w:pPr>
      <w:r>
        <w:t>El representante de la entidad codemandada Desarrollos comerciales de ocio e inmobiliarios de Ourense, en escrito de 5 de octubre de 2015, sostiene que el art. 96 de la Ley 9/2002 no regula un instrumento de ordenación urbanística, pues su vocación no es ordenar el término municipal sino evitar los efectos perniciosos del planeamiento vigente mientras se elabora el nuevo. Es en la elaboración de dicho nuevo planeamiento cuando la Ley 9/2002 garantiza la participación mediante el trámite de información pública. Por estos motivos la ausencia de información pública prevista en el art. 96 de la Ley 9/2002 para los acuerdos de suspensión del planeamiento vigente y de ordenación provisional no vulneran los arts. 9.2 y 105 a) CE, ni contradicen el art. 11.1 del texto refundido de la Ley de suelo, que está previsto para un supuesto distinto, para los verdaderos procesos de ordenación urbanística.</w:t>
      </w:r>
    </w:p>
    <w:p w:rsidR="0033382B" w:rsidRDefault="0033382B" w:rsidP="0033382B">
      <w:pPr>
        <w:pStyle w:val="TextoNormal"/>
      </w:pPr>
    </w:p>
    <w:p w:rsidR="0033382B" w:rsidRDefault="0033382B" w:rsidP="0033382B">
      <w:pPr>
        <w:pStyle w:val="TextoNormal"/>
      </w:pPr>
      <w:r>
        <w:t>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dispuesto en los arts. 9.2 y 105 a) CE, así como de lo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3</w:t>
      </w:r>
      <w:r>
        <w:t>. Su apartado “Fundamentos de Derecho” dice: “Único. Tal y como se apuntaba en la referida providencia, el presente recurso contencioso administrativo se dirige contra el Decreto 187/2011, de 29 de septiembre, de la Consellería de Medio Ambiente, Territorio e Infraestructuras, que acordó suspender parcialmente la vigencia del plan general de ordenación municipal de Ourense 1986, así como aprobar una ordenación urbanística provisional hasta la entrada en vigor del nuevo planeamiento. Se plantea, como motivo impugnatorio del citado Decreto, la falta de información pública en el procedimiento de elaboración y aprobación de la ordenación provisional, alegación que en principio conecta con el criterio plasmado en la Sentencia de la Sección Quinta de la Sala de lo Contencioso-Administrativo del Tribunal Supremo, de 5 de febrero de 2014, estimatoria del recurso de casación interpuesto contra la Sentencia de esta Sala de 20 de enero de 2011. Ahora bien, para que tal motivo pudiera prosperar habría de ser inaplicado el citado artículo de la Ley 9/2002, ya que en dicho precepto el legislador autonómico optó por omitir la exigencia de información pública en el procedimiento de aprobación de la normativa provisional, omisión que según la referida sentencia del Tribunal Supremo incurre en la infracción de los arts. 9.2 y 105 a) CE y si al mismo tiempo se considera que el mencionado artículo 96 se dictó en el ejercicio de la competencia exclusiva de la Comunidad Autónoma en materia de urbanismo, no parece que el tema debatido pueda resolverse acudiendo a la cláusula de prevalencia del derecho estatal conforme al art. 149.3 CE. Así, como quiera que la prosperabilidad de la alegación de que se trata, con los correspondientes efectos anulatorios, depende de la no aplicación del citado precepto de la Ley 9/2002 en lo que respecta a la omisión del trámite asumida por la misma, cabe plantear la inconstitucionalidad de dicho art. 96 de la Ley 9/2002, por considerarlo contrario a los referidos preceptos constitucionales y a los arts.149.1.1, 13, 18 y 23 CE en relación con el art. 11.1 del texto refundido de la Ley de suelo estatal”.</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16 de febrero de 2016 la Sección Tercera de este Tribunal acordó, a los efectos que determina el art. 37.1 de la Ley Orgánica del Tribunal Constitucional, oír al Fiscal General del Estado para que en el plazo de diez días alegase acerca de la admisibilidad de la presente cuestión de inconstitucionalidad, por si faltasen requisitos de procedibilidad o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El Fiscal General del Estado, en escrito registrado el 29 de marzo de 2016, razona que no es adecuado el juicio de relevancia formulado por la Sala porque “no se ha planteado un extremo que a simple vista parece fundamental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9/2002, que previene expresamente el trámite de información pública en el procedimiento ordinario de aprobación de un plan general. … Omisiones estas que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0033382B" w:rsidRDefault="0033382B" w:rsidP="0033382B">
      <w:pPr>
        <w:pStyle w:val="TextoNormal"/>
      </w:pPr>
    </w:p>
    <w:p w:rsidR="0033382B" w:rsidRDefault="0033382B" w:rsidP="0033382B">
      <w:pPr>
        <w:pStyle w:val="TextoNormal"/>
      </w:pPr>
      <w:r>
        <w:t>Sostiene igualmente que la duda de constitucionalidad debe reputarse notoriamente infundada en el sentido que tiene esta expresión en la STC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del suelo, lo que determina que la presente cuestión deba considerarse notoriamente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9/2002 vulnere lo dispuesto en los arts. 9.2 y 105 a) CE, así como que, por ser incompatible con el art. 11 del texto refundido de la Ley de suelo (“todos los instrumentos de ordenación territorial y de ordenación y ejecución urbanísticas deben ser sometidos al trámite de información pública”), desconozca lo previsto en los números 1, 13, 18 y 23 del art. 149.1 CE.</w:t>
      </w:r>
    </w:p>
    <w:p w:rsidR="0033382B" w:rsidRDefault="0033382B" w:rsidP="0033382B">
      <w:pPr>
        <w:pStyle w:val="TextoNormal"/>
      </w:pPr>
    </w:p>
    <w:p w:rsidR="0033382B" w:rsidRDefault="0033382B" w:rsidP="0033382B">
      <w:pPr>
        <w:pStyle w:val="TextoNormal"/>
      </w:pPr>
      <w:r>
        <w:t>La Fiscal General del Estado sostiene que la Sala no ha formulado adecuadamente el juicio de relevancia porque “no se ha planteado un extremo que a simple vista parece fundamental y que, de haber sido contemplado, podría haber provocado que esa Sala ni siquiera hubiera llegado a plantear la presente cuestión”. Además, en virtud de las razones detalladas en los antecedentes, entiende que la cuestión es notoriamente infundada, como ya se ha declarado en el ATC 23/2016, de 3 de febrero. Por todo ello, insta su inadmisión.</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0033382B" w:rsidRDefault="0033382B" w:rsidP="0033382B">
      <w:pPr>
        <w:pStyle w:val="TextoNormal"/>
      </w:pPr>
    </w:p>
    <w:p w:rsidR="0033382B" w:rsidRDefault="0033382B" w:rsidP="0033382B">
      <w:pPr>
        <w:pStyle w:val="TextoNormal"/>
      </w:pPr>
      <w:r>
        <w:t>Entre los requisitos que la doctrina constitucional viene exigiendo para la resolución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0033382B" w:rsidRDefault="0033382B" w:rsidP="0033382B">
      <w:pPr>
        <w:pStyle w:val="TextoNormal"/>
      </w:pPr>
    </w:p>
    <w:p w:rsidR="0033382B" w:rsidRDefault="0033382B" w:rsidP="0033382B">
      <w:pPr>
        <w:pStyle w:val="TextoNormal"/>
      </w:pPr>
      <w:r>
        <w:t>El Auto de 3 de noviembre de 2015, que ha quedado transcrito íntegramente en sus fundamentos de derecho, se limita a citar los preceptos constitucionales que se consideran infringidos por el precepto legal cuestionado, sin exteriorizar de ningún modo el razonamiento que le lleva a esa conclusión. En estas circunstancias queda claro que el órgano judicial no ha colaborado con la justicia del Tribunal mediante un pormenorizado análisis de las graves cuestiones que se suscitan, lo que resulta obligado cuando se trata de instar la depuración del ordenamiento jurídico y, por ello, justificaría la inadmisión de esta cuestión de inconstitucionalidad por falta de requisitos procesales.</w:t>
      </w:r>
    </w:p>
    <w:p w:rsidR="0033382B" w:rsidRDefault="0033382B" w:rsidP="0033382B">
      <w:pPr>
        <w:pStyle w:val="TextoNormal"/>
      </w:pPr>
    </w:p>
    <w:p w:rsidR="0033382B" w:rsidRDefault="0033382B" w:rsidP="0033382B">
      <w:pPr>
        <w:pStyle w:val="TextoNormal"/>
      </w:pPr>
      <w:r>
        <w:t>En efecto, el Auto se limita a afirmar que “el legislador autonómico optó por omitir la exigencia de información pública en el procedimiento de aprobación de la normativa provisional, omisión que según la referida sentencia del Tribunal Supremo incurre en la infracción de los arts. 9.2 y 105 a) CE”. El Auto no realiza, ni siquiera de modo esquemático o aproximativo, ningún análisis del contenido de los arts. 9.2 y 105 a) CE y mucho menos contrasta ese contenido con la regulación autonómica cuestionada. Se limita a decir que tal contradicción ha sido declarada por la Sentencia de la Sala de lo Contencioso-Administrativo del Tribunal Supremo de 5 de febrero de 2014. Es importante destacar que la duda de constitucionalidad que da lugar a que el Tribunal Constitucional se pronuncie en este cauce procesal ha de ser necesariamente del órgano judicial, explicitada por él y no por remisión a lo que digan las partes u otros órganos judiciales (ATC 95/2004, de 23 de marzo, FJ 2).</w:t>
      </w:r>
    </w:p>
    <w:p w:rsidR="0033382B" w:rsidRDefault="0033382B" w:rsidP="0033382B">
      <w:pPr>
        <w:pStyle w:val="TextoNormal"/>
      </w:pPr>
    </w:p>
    <w:p w:rsidR="0033382B" w:rsidRDefault="0033382B" w:rsidP="0033382B">
      <w:pPr>
        <w:pStyle w:val="TextoNormal"/>
      </w:pPr>
      <w:r>
        <w:t xml:space="preserve">El órgano judicial, por lo que hace a la otra duda de constitucionalidad, y en este sentido se expresan las alegaciones de la Fiscal General del Estado, omite la consideración de elementos fundamentales que inciden en su duda de constitucionalidad. Se limita a decir que “como quiera que la prosperabilidad de la alegación de que se trata, con los correspondientes efectos anulatorios, depende de la no aplicación del citado precepto de la Ley 9/2002 en lo que respecta a la omisión del trámite asumida por la misma, cabe plantear la inconstitucionalidad de dicho art. 96 de la Ley 9/2002, por considerarlo contrario a los referidos preceptos constitucionales y a los arts. 149.1.1, 13, 18 y 23 CE en relación con el art. 11.1 del texto refundido de la Ley de suelo estatal”. Como se ve, no desarrolla para nada cuál es el contenido y alcance de estos preceptos constitucionales, ni por tanto en qué medida el art. 11.1 del texto refundido de la Ley de suelo encuentra cobertura en ellos. Y, aun más importante, se limita a afirmar que el art. 96 de la Ley 9/2002 es contrario al art. 11.1 del texto refundido de la Ley de suelo, sin profundizar en por qué, lo que es especialmente grave a la luz de las alegaciones formuladas por las partes al evacuar el trámite de audiencia </w:t>
      </w:r>
      <w:r w:rsidRPr="0033382B">
        <w:rPr>
          <w:i/>
        </w:rPr>
        <w:t>ex</w:t>
      </w:r>
      <w:r>
        <w:t xml:space="preserve"> art. 35.2 LOTC, que razonan sobre si existe contradicción efectiva e insalvable por vía interpretativa entre dichos preceptos legales, resultando esta cuestión realmente controvertida. A pesar de la argumentación vertida en dichos escritos de alegaciones, el órgano judicial se limita en el Auto de planteamiento a reiterar literalmente el contenido de la providencia por la que abrió el trámite de audiencia, sin desarrollar ningún esfuerzo argumental para levantar la carga de fundar la inconstitucionalidad que sostiene.</w:t>
      </w:r>
    </w:p>
    <w:p w:rsidR="0033382B" w:rsidRDefault="0033382B" w:rsidP="0033382B">
      <w:pPr>
        <w:pStyle w:val="TextoNormal"/>
      </w:pPr>
    </w:p>
    <w:p w:rsidR="0033382B" w:rsidRDefault="0033382B" w:rsidP="0033382B">
      <w:pPr>
        <w:pStyle w:val="TextoNormal"/>
      </w:pPr>
      <w:r>
        <w:t>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3</w:t>
      </w:r>
      <w:r>
        <w:t>.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resuelto en el Auto 23/2016, de 3 de febrero, FJ 3, en los términos que a continuación se reiteran en lo que resulta relevante.</w:t>
      </w:r>
    </w:p>
    <w:p w:rsidR="0033382B" w:rsidRDefault="0033382B" w:rsidP="0033382B">
      <w:pPr>
        <w:pStyle w:val="TextoNormal"/>
      </w:pPr>
    </w:p>
    <w:p w:rsidR="0033382B" w:rsidRDefault="0033382B" w:rsidP="0033382B">
      <w:pPr>
        <w:pStyle w:val="TextoNormal"/>
      </w:pPr>
      <w:r>
        <w:t>El Auto de planteamiento señala que el art. 96 de la Ley 9/2002 contradice el art. 11.1 del texto refundido de la Ley del sueo,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0033382B" w:rsidRDefault="0033382B" w:rsidP="0033382B">
      <w:pPr>
        <w:pStyle w:val="TextoNormal"/>
      </w:pPr>
    </w:p>
    <w:p w:rsidR="0033382B" w:rsidRDefault="0033382B" w:rsidP="0033382B">
      <w:pPr>
        <w:pStyle w:val="TextoNormal"/>
      </w:pPr>
      <w:r>
        <w:t>Asentada esta premisa, procede examinar si hay contradicción efectiva e insalvable por vía interpretativa entre ambos preceptos. Lo primero que interesa a este efecto es si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periodo intermedio, que incluso no tiene límite temporal en la redacción del art. 96 de la Ley 9/2002, prolongándose en la práctica durante años.</w:t>
      </w:r>
    </w:p>
    <w:p w:rsidR="0033382B" w:rsidRDefault="0033382B" w:rsidP="0033382B">
      <w:pPr>
        <w:pStyle w:val="TextoNormal"/>
      </w:pPr>
    </w:p>
    <w:p w:rsidR="0033382B" w:rsidRDefault="0033382B" w:rsidP="0033382B">
      <w:pPr>
        <w:pStyle w:val="TextoNormal"/>
      </w:pPr>
      <w:r>
        <w:t>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Conforme a este planteamiento, queda claro que no hay contradicción efectiva e insalvable por vía interpretativa entre los preceptos estatal y autonómico indicados, lo que determina que la presente cuestión deba considerarse notoriamente infundada, según ha configurado este concepto la doctrina constitucional (ATC 121/2015, de 7 de julio, FJ 2), y expresamente indicamos en el ATC 23/2016, FJ 3.</w:t>
      </w:r>
    </w:p>
    <w:p w:rsidR="0033382B" w:rsidRDefault="0033382B" w:rsidP="0033382B">
      <w:pPr>
        <w:pStyle w:val="TextoNormal"/>
      </w:pPr>
    </w:p>
    <w:p w:rsidR="0033382B" w:rsidRDefault="0033382B" w:rsidP="0033382B">
      <w:pPr>
        <w:pStyle w:val="TextoNormal"/>
      </w:pPr>
      <w:r>
        <w:t>Llegados a la conclusión de que el art. 96 de la Ley 9/2002 no impide que, en aplicación de la disposición estatal básica reseñada, se confiera a los afectados por la ordenación provisional, durante la elaboración de ésta, un trámite de información pública, este precepto no resulta en absoluto contrario a los arts. 9.2 y 105 a) CE, por lo que esta segunda duda de constitucionalidad debe seguir la misma suerte que la anterior.</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 núm. 6541-2015, planteada por la Sección Segunda de la Sala de lo Contencioso-Administrativo del Tribunal Superior de Justicia de Galicia.</w:t>
      </w:r>
    </w:p>
    <w:p w:rsidR="0033382B" w:rsidRDefault="0033382B" w:rsidP="0033382B">
      <w:pPr>
        <w:pStyle w:val="TextoNormal"/>
      </w:pPr>
    </w:p>
    <w:p w:rsidR="0033382B" w:rsidRDefault="0033382B" w:rsidP="0033382B">
      <w:pPr>
        <w:pStyle w:val="TextoNormal"/>
      </w:pPr>
      <w:r>
        <w:t>Madrid, a veintiséis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13" w:name="AUTO_2016_86"/>
      <w:r>
        <w:t>AUTO 86/2016, de 26 de abril de 2016</w:t>
      </w:r>
    </w:p>
    <w:bookmarkEnd w:id="213"/>
    <w:p w:rsidR="0033382B" w:rsidRDefault="0033382B" w:rsidP="0033382B">
      <w:pPr>
        <w:pStyle w:val="TtuloResolucin"/>
      </w:pPr>
      <w:r>
        <w:t>Pleno</w:t>
      </w:r>
    </w:p>
    <w:p w:rsidR="0033382B" w:rsidRDefault="0033382B" w:rsidP="0033382B">
      <w:pPr>
        <w:pStyle w:val="TextoNormalCentrado"/>
      </w:pPr>
      <w:r>
        <w:t>ECLI:ES:TC:2016:86A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6712-2015, planteada por la Sala de lo Contencioso-Administrativo del Tribunal Superior de Justicia de Galicia en relación con el artículo 96 de la Ley del Parlamento de Galicia 9/2002, de 30 de diciembre, de ordenación urbanística y protección del medio rural de Galicia.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30 de noviembre de 2015 entró en el Registro General de este Tribunal un escrito de la Sección Segunda de la Sala de lo Contencioso-Administrativo del Tribunal Superior de Justicia de Galicia, al que se acompaña, junto al testimonio del recurso ordinario 4575-2011,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 la cuestión son los siguientes:</w:t>
      </w:r>
    </w:p>
    <w:p w:rsidR="0033382B" w:rsidRDefault="0033382B" w:rsidP="0033382B">
      <w:pPr>
        <w:pStyle w:val="TextoNormal"/>
      </w:pPr>
    </w:p>
    <w:p w:rsidR="0033382B" w:rsidRDefault="0033382B" w:rsidP="0033382B">
      <w:pPr>
        <w:pStyle w:val="TextoNormal"/>
      </w:pPr>
      <w:r>
        <w:t>a) El plan general de ordenación municipal de Ourense aprobado por Orden de 29 de abril de 2003 de la Consellería de Política Territorial, Obras Públicas y Vivienda fue anulado, en firme, por STS de 9 de marzo de 2011, lo que conlleva la vigencia de la ordenación del plan general de ordenación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0033382B" w:rsidRDefault="0033382B" w:rsidP="0033382B">
      <w:pPr>
        <w:pStyle w:val="TextoNormal"/>
      </w:pPr>
    </w:p>
    <w:p w:rsidR="0033382B" w:rsidRDefault="0033382B" w:rsidP="0033382B">
      <w:pPr>
        <w:pStyle w:val="TextoNormal"/>
      </w:pPr>
      <w:r>
        <w:t>La Junta de compensación del área de reparto AR 47-E, alegando su interés legítimo y no el ejercicio de la acción pública, impugna dicho Decreto 187/2011 porque proyecta la suspensión del plan general de ordenación municipal de 1986 solo respecto de ciertas áreas, no incluyendo aquella en la que la recurrente tiene interés, que es la denominada AR 47-E. Justifica su pretensión diciendo que “obviamente el interés público de la ejecución urbanística sería predicable de cualquier ámbito del PXOM y ello no puede conducir a aprobar una suspensión y una ordenación provisional global, sino circunscrita a aquellos ámbitos que presentan con especial intensidad ese interés en su desarrollo. A nuestro juicio es un criterio correcto considerar a este respecto el grado de ejecución del PXOM anulado, pues si está en avanzado estado de gestión en ciertos polígonos parece absolutamente racional permitir la continuidad de tales procesos, evitando discordancias manifiestas e insalvables ente el Plan en vigor (plan general de ordenación urbana de 1986) y actos administrativos firmes que han aprobado proyectos de compensación o reparcelación…”. En fin, dado que el área de reparto AR 47-E del plan general de ordenación urbana anulado tenía un avanzado estado de ejecución, entiende el recurrente que es ilegal no incluir este polígono en la ordenación urbanística provisional que desplaza a la del plan general de ordenación municipal de Ourense 1986.</w:t>
      </w:r>
    </w:p>
    <w:p w:rsidR="0033382B" w:rsidRDefault="0033382B" w:rsidP="0033382B">
      <w:pPr>
        <w:pStyle w:val="TextoNormal"/>
      </w:pPr>
    </w:p>
    <w:p w:rsidR="0033382B" w:rsidRDefault="0033382B" w:rsidP="0033382B">
      <w:pPr>
        <w:pStyle w:val="TextoNormal"/>
      </w:pPr>
      <w:r>
        <w:t xml:space="preserve">b) Con posterioridad al inicio de este recurso ordinario 4575-2011 y después incluso de que se hubieran formulado los escritos de conclusiones, la STS de 5 de febrero de 2014 casó la STSJ de Galicia de 20 de enero de 2011, que había decidido un asunto muy similar al que ahora se planteaba. Dice la Sentencia del Tribunal Supremo, en su fundamento jurídico segundo </w:t>
      </w:r>
      <w:r w:rsidRPr="0033382B">
        <w:rPr>
          <w:i/>
        </w:rPr>
        <w:t>in fine</w:t>
      </w:r>
      <w:r>
        <w:t>,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 Esta STS de 5 de febrero de 2014 fue aportada por la parte actora a los recursos ordinarios 4522-2011 y 4523-2011, que también se dirigían contra el Decreto 187/2011 y que han dado lugar a las cuestiones de inconstitucionalidad 6539-2015 y 6576-2015.</w:t>
      </w:r>
    </w:p>
    <w:p w:rsidR="0033382B" w:rsidRDefault="0033382B" w:rsidP="0033382B">
      <w:pPr>
        <w:pStyle w:val="TextoNormal"/>
      </w:pPr>
    </w:p>
    <w:p w:rsidR="0033382B" w:rsidRDefault="0033382B" w:rsidP="0033382B">
      <w:pPr>
        <w:pStyle w:val="TextoNormal"/>
      </w:pPr>
      <w:r>
        <w:t>c) Conclusa la tramitación del proceso a quo, el órgano judicial dictó providencia de 17 de septiembre de 2015, por la que, conforme al art. 35.2 de la Ley Orgánica del Tribunal Constitucional (LOTC), “acuerda oir a las partes y al Ministerio Fiscal sobre la pertinencia de plantear cuestión de inconstitucionalidad respecto del art. 96 de la Ley 9/2002, en cuanto que omite un trámite de información pública, ante su posible inconstitucionalidad sobrevenida por infracción del art. 149.1.1, 13, 18 y 23 CE, al contradecir lo establecido en el art. art. 11.1 del texto refundido de la Ley de suelo”.</w:t>
      </w:r>
    </w:p>
    <w:p w:rsidR="0033382B" w:rsidRDefault="0033382B" w:rsidP="0033382B">
      <w:pPr>
        <w:pStyle w:val="TextoNormal"/>
      </w:pPr>
    </w:p>
    <w:p w:rsidR="0033382B" w:rsidRDefault="0033382B" w:rsidP="0033382B">
      <w:pPr>
        <w:pStyle w:val="TextoNormal"/>
      </w:pPr>
      <w:r>
        <w:t>d) El Fiscal, en escrito de 21 de septiembre de 2015, informa que procede el planteamiento de la cuestión porque el art. 96 de la Ley 9/2002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0033382B" w:rsidRDefault="0033382B" w:rsidP="0033382B">
      <w:pPr>
        <w:pStyle w:val="TextoNormal"/>
      </w:pPr>
    </w:p>
    <w:p w:rsidR="0033382B" w:rsidRDefault="0033382B" w:rsidP="0033382B">
      <w:pPr>
        <w:pStyle w:val="TextoNormal"/>
      </w:pPr>
      <w:r>
        <w:t>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art.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0033382B" w:rsidRDefault="0033382B" w:rsidP="0033382B">
      <w:pPr>
        <w:pStyle w:val="TextoNormal"/>
      </w:pPr>
    </w:p>
    <w:p w:rsidR="0033382B" w:rsidRDefault="0033382B" w:rsidP="0033382B">
      <w:pPr>
        <w:pStyle w:val="TextoNormal"/>
      </w:pPr>
      <w:r>
        <w:t>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 actuacions excepcionais, audiencia do Concello previa a suspensión, necesidad de implementar con celeridade una nova ordenación, carácter provisional e transitorio desa ordenación”.</w:t>
      </w:r>
    </w:p>
    <w:p w:rsidR="0033382B" w:rsidRDefault="0033382B" w:rsidP="0033382B">
      <w:pPr>
        <w:pStyle w:val="TextoNormal"/>
      </w:pPr>
    </w:p>
    <w:p w:rsidR="0033382B" w:rsidRDefault="0033382B" w:rsidP="0033382B">
      <w:pPr>
        <w:pStyle w:val="TextoNormal"/>
      </w:pPr>
      <w:r>
        <w:t>La parte recurrente, en escrito de 5 de octubre de 2015, sostiene que la inconstitucionalidad del art, 96 de la Ley 9/2002 provendría en realidad de que se lesiona la autonomía local (arts. 137 y 140 CE). Niega explícitamente que el art. 96 de la Ley 9/2002 sea contrario al art. 11 del texto refundido de la Ley de suelo porque no regula, a su juicio, un instrumento de ordenación urbanística. Afirma que regula “una norma reglamentaria que no aprueba un instrumento de planeamiento, sino que en sí misma contiene una ordenación urbanística”.</w:t>
      </w:r>
    </w:p>
    <w:p w:rsidR="0033382B" w:rsidRDefault="0033382B" w:rsidP="0033382B">
      <w:pPr>
        <w:pStyle w:val="TextoNormal"/>
      </w:pPr>
    </w:p>
    <w:p w:rsidR="0033382B" w:rsidRDefault="0033382B" w:rsidP="0033382B">
      <w:pPr>
        <w:pStyle w:val="TextoNormal"/>
      </w:pPr>
      <w:r>
        <w:t>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dispuesto en los arts. 9.2 y 105 a) CE, así como de lo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3</w:t>
      </w:r>
      <w:r>
        <w:t xml:space="preserve">. Dicho Auto señala, como antecedentes de hecho, que cuando el recurso estaba pendiente de deliberación y votación, la parte actora aportó a los Autos copia de la Sentencia del Tribunal Supremo de 5 de febrero de 2014, que anuló el Decreto 15/2007 de la Xunta de Galicia, de suspensión del plan general de ordenación municipal de Barreiros y aprobación de la ordenación urbanística provisional al amparo de lo previsto en el art. 96 de la Ley 9/2002, por haber sido omitido el trámite de información pública. Acordado el traslado a las demás partes del escrito de la parte actora, varias partes demandadas expusieron que, según la doctrina constitucional, resolver este pleito conforme a ese criterio requería cuestionar la constitucionalidad del art. 96 de la Ley 9/2002 ante el Tribunal Constitucional, por lo que, mediante providencia de 17 de septiembre de 2015, se confirió el trámite de audiencia </w:t>
      </w:r>
      <w:r w:rsidRPr="0033382B">
        <w:rPr>
          <w:i/>
        </w:rPr>
        <w:t>ex</w:t>
      </w:r>
      <w:r>
        <w:t xml:space="preserve"> art. 35.2 LOTC, que fue evacuado por todos los intervinientes en los términos que se ha dejado ya constancia.</w:t>
      </w:r>
    </w:p>
    <w:p w:rsidR="0033382B" w:rsidRDefault="0033382B" w:rsidP="0033382B">
      <w:pPr>
        <w:pStyle w:val="TextoNormal"/>
      </w:pPr>
    </w:p>
    <w:p w:rsidR="0033382B" w:rsidRDefault="0033382B" w:rsidP="0033382B">
      <w:pPr>
        <w:pStyle w:val="TextoNormal"/>
      </w:pPr>
      <w:r>
        <w:t>En el primer fundamento jurídico describe el contenido normativo del art. 96 de la Ley 9/2002, poniendo de relieve que regula un procedimiento en el que no hay trámite de información pública, e indica que este precepto es similar al art. 52 de la anterior Ley del suelo de Galicia (Ley 1/997) y al art. 130 del Real Decreto Legislativo 1/1992. A continuación transcribe el art. 11 del texto refundido de la Ley de suelo, del que conviene destacar que en su primer apartado dispone que “todos los instrumentos de ordenación territorial y de ordenación y ejecución urbanísticas … deben ser sometidos al trámite de información pública en los términos y por el plazo que establezca la legislación en la materia”. Y termina diciendo que “la disposición final primera, número 1, de dicho Real Decreto Legislativo incluye el citado art. 11 entre los que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dictadas en ejercicio de las competencias reservadas al legislador general en el art. 149.1.1, 13, 18 y 23 de la Constitución’”.</w:t>
      </w:r>
    </w:p>
    <w:p w:rsidR="0033382B" w:rsidRDefault="0033382B" w:rsidP="0033382B">
      <w:pPr>
        <w:pStyle w:val="TextoNormal"/>
      </w:pPr>
    </w:p>
    <w:p w:rsidR="0033382B" w:rsidRDefault="0033382B" w:rsidP="0033382B">
      <w:pPr>
        <w:pStyle w:val="TextoNormal"/>
      </w:pPr>
      <w:r>
        <w:t>En el segundo fundamento jurídico se refiere a las alegaciones de la parte actora y del Ayuntamiento de Ourense. Afirma que “en las alegaciones de la parte actora se argumenta que no es necesario el planteamiento de la cuestión de inconstitucionalidad … porque el art. 96 de la Ley 9/2002 ni prohíbe ni excluye un trámite de información pública”. Este argumento no puede ser compartido, sigue diciendo el Auto de planteamiento, “porque está claro que el legislador autonómico establece en dicho precepto un procedimiento especial, como puede hacer en materias de su competencia (SSTC 141/2014 y 227/1988), que persigue la máxima celeridad, dado el carácter excepcional de la intervención de la Administración autonómica, asimismo provisional y transitoria; y lo hace, como alega su representante procesal, atendiendo a la naturaleza de medida cautelar que habían reconocido a la suspensión del planeamiento las sentencias del Tribunal Supremo anteriores a la de 5 de febrero de 2014, la cual supone, como en ella se expresa, un cambio del criterio seguido con anterioridad, y que hay que suponer que se mantendrá en las posteriores”. Respecto de las otras alegaciones, señala que “también utiliza el Ayuntamiento el argumento … de que la suspensión del planeamiento es una medida cautelar, respecto a lo cual hay que reiterar lo antes dicho, que no queda desvirtuado por lo declarado en la STC 36/1994 que invoca dicha parte, ya que si bien esta sentencia considera la suspensión del otorgamiento de licencias municipales una medida cautelar, lo hace en un supuesto en que su adopción se realizaba para ‘salvaguardar la eficacia de las competencias autonómicas de ordenación territorial regulando el régimen de adaptación de los instrumentos de planificación y urbanísticos municipales a las supraordenadas Directrices de Ordenación del Territorio’, y nada dice la sentencia sobre el procedimiento a seguir”.</w:t>
      </w:r>
    </w:p>
    <w:p w:rsidR="0033382B" w:rsidRDefault="0033382B" w:rsidP="0033382B">
      <w:pPr>
        <w:pStyle w:val="TextoNormal"/>
      </w:pPr>
    </w:p>
    <w:p w:rsidR="0033382B" w:rsidRDefault="0033382B" w:rsidP="0033382B">
      <w:pPr>
        <w:pStyle w:val="TextoNormal"/>
      </w:pPr>
      <w:r>
        <w:t xml:space="preserve">Destina el último fundamento de derecho a justificar que no es aplicable el art. 11.1 del texto refundido de la Ley de suelo como norma prevalente. Según las SSTC 187/2012 y 177/2013, un órgano judicial no puede fiscalizar las normas postconstitucionales con rango de ley, dado que el constituyente ha querido sustraer al Juez ordinario la posibilidad de inaplicar una ley postconstitucional ante un eventual juicio de incompatibilidad con la Constitución, puesto que la depuración del ordenamiento legal, vigente la Constitución, corresponde de forma exclusiva al Tribunal Constitucional, que tiene la competencia y la jurisdicción para declarar, con eficacia </w:t>
      </w:r>
      <w:r w:rsidRPr="0033382B">
        <w:rPr>
          <w:i/>
        </w:rPr>
        <w:t>erga omnes</w:t>
      </w:r>
      <w:r>
        <w:t>, la inconstitucionalidad de las leyes. Según la STC 159/2012, esta doctrina también es aplicable a las leyes que devienen disconformes con la Constitución por la modificación posterior de la legislación básica estatal, como ocurre en este caso que la contradicción deriva del 11.2 del texto refundido de la Ley de suelo, que ha venido a sustituir al art. 6.1 Ley 6/1998 vigente al tiempo que se dictó el art. 96 de la Ley 9/2002.</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16 de febrero de 2016, la Sección Tercera de este Tribunal acordó, a los efectos que determina el art. 37.1 de la Ley Orgánica del Tribunal Constitucional, oír al Fiscal General del Estado para que en el plazo de diez días alegase acerca de la admisibilidad de la presente cuestión de inconstitucionalidad, por si faltasen requisitos de procedibilidad o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en escrito registrado el 31 de marzo de 2016, afirma que la Sala ha exteriorizado su juicio de aplicabilidad aduciendo que el Decreto 187/2011 podría ser anulado por falta de información pública en el procedimiento de elaboración y aprobación de la ordenación urbanística provisional, si bien para ello habría de ser inaplicado el art. 96 de la Ley 9/2002, ya que dicho precepto optó por omitir la exigencia de información pública en dicho procedimiento. Ahora bien, sigue la Fiscal, esa causa de nulidad del Decreto 187/2011 no ha sido invocada en el procedimiento ordinario 4577-2011 (</w:t>
      </w:r>
      <w:r w:rsidRPr="0033382B">
        <w:rPr>
          <w:i/>
        </w:rPr>
        <w:t>sic; rectius</w:t>
      </w:r>
      <w:r>
        <w:t xml:space="preserve"> 4575-2011), sino que ha sido esgrimida en otros procesos dirigidos contra igual Decreto 187/2011, procesos estos otros de los que la Sala ha extraído tal causa de nulidad para plantear la presente cuestión de inconstitucionalidad. Lo que implica, concluye la Fiscal, que en el Auto de planteamiento no existe razonamiento alguno que acredite que el art. 96 de la Ley 9/2002, en cuanto omite el trámite de información pública, ha de ser necesariamente aplicado para resolver las pretensiones vertidas por las partes en el concreto proceso contencioso-administrativo de que se trata. Y añade: “piénsese a este propósito que en el presente caso lo que la parte recurrente pretende no es la nulidad o anulación del Decreto 187/2011 sino que, manteniéndose en lo sustancial la legalidad de tal disposición general, se condene a la Administración demandada, por un lado, a incluir entre los ámbitos respecto de los cuales se suspende la aplicación del plan general de ordenación municipal de 1986 el área de reparto 47-E del plan general de ordenación municipal de 2003 y, de otra parte, a incluir a éste en la ordenación urbanística provisional, estableciendo como ordenación la del plan general de ordenación municipal de de 2003”.</w:t>
      </w:r>
    </w:p>
    <w:p w:rsidR="0033382B" w:rsidRDefault="0033382B" w:rsidP="0033382B">
      <w:pPr>
        <w:pStyle w:val="TextoNormal"/>
      </w:pPr>
    </w:p>
    <w:p w:rsidR="0033382B" w:rsidRDefault="0033382B" w:rsidP="0033382B">
      <w:pPr>
        <w:pStyle w:val="TextoNormal"/>
      </w:pPr>
      <w:r>
        <w:t>De otro lado, razona que no es adecuado el juicio de relevancia formulado por la Sala porque “no se ha planteado un extremo que a simple vista parecen fundamentales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9/2002, que previene expresamente el trámite de información pública en el procedimiento ordinario de aprobación de un plan general … Omisiones estas que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0033382B" w:rsidRDefault="0033382B" w:rsidP="0033382B">
      <w:pPr>
        <w:pStyle w:val="TextoNormal"/>
      </w:pPr>
    </w:p>
    <w:p w:rsidR="0033382B" w:rsidRDefault="0033382B" w:rsidP="0033382B">
      <w:pPr>
        <w:pStyle w:val="TextoNormal"/>
      </w:pPr>
      <w:r>
        <w:t>Sostiene, en tercer lugar, que la duda de constitucionalidad debe reputarse notoriamente infundada en el sentido que tiene esta expresión en la ATC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del suelo, lo que determina que la presente cuestión deba considerarse notoriamente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9/2002, por ser incompatible con el art. 11 del texto refundido de la Ley de suelo (“todos los instrumentos de ordenación territorial y de ordenación y ejecución urbanísticas deben ser sometidos al trámite de información pública”), desconozca lo previsto en los números 1, 13, 18 y 23 del art. 149.1 CE.</w:t>
      </w:r>
    </w:p>
    <w:p w:rsidR="0033382B" w:rsidRDefault="0033382B" w:rsidP="0033382B">
      <w:pPr>
        <w:pStyle w:val="TextoNormal"/>
      </w:pPr>
    </w:p>
    <w:p w:rsidR="0033382B" w:rsidRDefault="0033382B" w:rsidP="0033382B">
      <w:pPr>
        <w:pStyle w:val="TextoNormal"/>
      </w:pPr>
      <w:r>
        <w:t>La Fiscal General del Estado insta su inadmisión por tres motivos. Afirma que la Sala no ha formulado adecuadamente ni el juicio de aplicabilidad (pues la falta de información pública en el trámite de elaboración y aprobación de la ordenación urbanística provisional, que es la causa de nulidad del Decreto 187/2011 sobre la que construye la aplicabilidad del art. 96 de la Ley 9/2002, no ha sido invocada en el procedimiento ordinario 4575-2011 ni tiene relación con la delimitación que la actora hizo de dicho proceso), ni el juicio de relevancia (pues “no se ha planteado un extremo que a simple vista parece fundamental y que, de haber sido contemplado, podría haber provocado que esa Sala ni siquiera hubiera llegado a plantear la presente cuestión”). Además, en virtud de las razones detalladas en los antecedentes, sostiene que la cuestión es notoriamente infundada, según ya se ha declarado en el ATC 23/2016, de 3 de febrero.</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3</w:t>
      </w:r>
      <w:r>
        <w:t xml:space="preserve">. En primer lugar, y como la Fiscal pone de relieve, la recurrente en el proceso </w:t>
      </w:r>
      <w:r w:rsidRPr="0033382B">
        <w:rPr>
          <w:i/>
        </w:rPr>
        <w:t>a quo</w:t>
      </w:r>
      <w:r>
        <w:t xml:space="preserve"> no pretende la anulación del Decreto 187/2011, sino que, manteniéndose en lo sustancial su legalidad, se declare que las circunstancias del caso exigen proyectar la suspensión del plan general de ordenación urbana 1986 también respecto del área de reparto 47-E del plan general de ordenación municipal de 2003 y consecuentemente, dotarlo de una ordenación urbanística provisional. Se corresponden con este modo de fijar el objeto del proceso </w:t>
      </w:r>
      <w:r w:rsidRPr="0033382B">
        <w:rPr>
          <w:i/>
        </w:rPr>
        <w:t>a quo</w:t>
      </w:r>
      <w:r>
        <w:t xml:space="preserve"> los motivos de impugnación que hace valer la parte actora, que han quedado expuestos en los antecedentes y entre los que no está la falta de información pública en el trámite de elaboración y aprobación de la ordenación urbanística provisional recogida en el Decreto 187/2011.</w:t>
      </w:r>
    </w:p>
    <w:p w:rsidR="0033382B" w:rsidRDefault="0033382B" w:rsidP="0033382B">
      <w:pPr>
        <w:pStyle w:val="TextoNormal"/>
      </w:pPr>
    </w:p>
    <w:p w:rsidR="0033382B" w:rsidRDefault="0033382B" w:rsidP="0033382B">
      <w:pPr>
        <w:pStyle w:val="TextoNormal"/>
      </w:pPr>
      <w:r>
        <w:t xml:space="preserve">Dado que la causa de nulidad del Decreto 187/2011 sobre la que el auto construye la relevancia del art. 96 de la Ley 9/2002 no ha sido invocada en el procedimiento ordinario 4575-2011, ni tampoco podría haber sido introducida por el órgano judicial —a través del expediente previsto en el art. 33.2 de la Ley reguladora de la jurisdicción contencioso-administrativa u otro que pudiera evitar de un modo equivalente la indefensión de las partes— porque carece de conexión con el objeto del proceso </w:t>
      </w:r>
      <w:r w:rsidRPr="0033382B">
        <w:rPr>
          <w:i/>
        </w:rPr>
        <w:t>a quo</w:t>
      </w:r>
      <w:r>
        <w:t xml:space="preserve"> tal como ha sido delimitado por la parte actora, procede concluir, acogiendo la alegación de la Fiscal General del Estado, que en el Auto de planteamiento no existe razonamiento alguno que acredite que el art. 96 de la Ley 9/2002, en cuanto omite el trámite de información pública, ha de ser necesariamente aplicado para resolver las pretensiones vertidas por las partes en el concreto proceso contencioso-administrativo de que se trata. De este modo, no quedaría satisfecho el juicio de relevancia, que es imprescindible para garantizar el carácter concreto y no abstracto del juicio de constitucionalidad que se nos reclama (por todas, STC 6/2010, FJ 3; y 83/2015, FJ 3; y 4/2016, FJ 3).</w:t>
      </w:r>
    </w:p>
    <w:p w:rsidR="0033382B" w:rsidRDefault="0033382B" w:rsidP="0033382B">
      <w:pPr>
        <w:pStyle w:val="TextoNormal"/>
      </w:pPr>
    </w:p>
    <w:p w:rsidR="0033382B" w:rsidRDefault="0033382B" w:rsidP="0033382B">
      <w:pPr>
        <w:pStyle w:val="TextoNormal"/>
      </w:pPr>
      <w:r w:rsidRPr="0033382B">
        <w:rPr>
          <w:rStyle w:val="NumeroAFNegritaCaracter"/>
        </w:rPr>
        <w:t>4</w:t>
      </w:r>
      <w:r>
        <w:t>. En segundo lugar, 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0033382B" w:rsidRDefault="0033382B" w:rsidP="0033382B">
      <w:pPr>
        <w:pStyle w:val="TextoNormal"/>
      </w:pPr>
    </w:p>
    <w:p w:rsidR="0033382B" w:rsidRDefault="0033382B" w:rsidP="0033382B">
      <w:pPr>
        <w:pStyle w:val="TextoNormal"/>
      </w:pPr>
      <w:r>
        <w:t xml:space="preserve">Aunque en los escritos mediante los que las partes evacuan el trámite de audiencia </w:t>
      </w:r>
      <w:r w:rsidRPr="0033382B">
        <w:rPr>
          <w:i/>
        </w:rPr>
        <w:t>ex</w:t>
      </w:r>
      <w:r>
        <w:t xml:space="preserve"> art. 35 LOTC, así como en la Sentencia de la del Tribunal Supremo de 5 de febrero de 2014 a la que se alude en los antecedentes de hecho, constan muchas e importantes objeciones en relación a la cuestión de inconstitucionalidad que se pretende plantear. El Auto de 3 de noviembre de 2015 no realiza “un pormenorizado análisis de las graves cuestiones que se suscitan”. En este mismo sentido se expresan las alegaciones de la Fiscal General del Estado, en las que se destaca que el órgano judicial omite la consideración de elementos fundamentales que inciden en su duda de constitucionalidad, pues “no se plantea si no podría garantizarse en todo caso la efectividad de ese trámite de información pública … mediante la aplicación de las previsiones establecidas en el art. 86 de la Ley 30/1992, …en el art. 11 [del texto refundido de la Ley de suelo] … o, incluso, en el art. 85 de la Ley 9/2002”.</w:t>
      </w:r>
    </w:p>
    <w:p w:rsidR="0033382B" w:rsidRDefault="0033382B" w:rsidP="0033382B">
      <w:pPr>
        <w:pStyle w:val="TextoNormal"/>
      </w:pPr>
    </w:p>
    <w:p w:rsidR="0033382B" w:rsidRDefault="0033382B" w:rsidP="0033382B">
      <w:pPr>
        <w:pStyle w:val="TextoNormal"/>
      </w:pPr>
      <w:r>
        <w:t>En primer lugar, la citada Sentencia de la Sala de lo Contencioso-Administrativo del Tribunal Supremo de 5 de febrero de 2014, sin necesidad de acudir al criterio de prevalencia, consideró aplicable el art. 11.1 del texto refundido de la Ley de suelo. Entendió, por tanto, que el art. 96 de la Ley 9/2002 y el art. 11.1 del texto refundido de la Ley de suelo no se contradicen de un modo insalvable, sino que, en realidad, son compatibles. En otras palabras, el silencio del primero sobre la necesidad de un expediente de información pública no excluiría, según el Tribunal Supremo, que la Administración deba practicar tal trámite en aplicación del segundo. Dicha Sentencia, además, puso de relieve que la Administración gallega, en un supuesto similar en relación a la suspensión del plan general de ordenación municipal de O Grove, no había tenido problema en abrir un trámite de información pública, a pesar de la dicción del art. 52 de la Ley gallega 1/1997 (que el propio Auto de planteamiento dice que es el antecedente directo del art. 96 de la Ley 9/2002 y que es de contenido similar).</w:t>
      </w:r>
    </w:p>
    <w:p w:rsidR="0033382B" w:rsidRDefault="0033382B" w:rsidP="0033382B">
      <w:pPr>
        <w:pStyle w:val="TextoNormal"/>
      </w:pPr>
    </w:p>
    <w:p w:rsidR="0033382B" w:rsidRDefault="0033382B" w:rsidP="0033382B">
      <w:pPr>
        <w:pStyle w:val="TextoNormal"/>
      </w:pPr>
      <w:r>
        <w:t>De otro lado, la parte actora, el Concello de Ourense y el Letrado de la Xunta de Galicia mantienen que el art. 96 de la Ley 9/2002 es incompatible con el art. 11 del texto refundido de la Ley de suelo, pero que ello no supone la inconstitucionalidad del primero porque no regula un disposición administrativa sino una medida cautelar, todo ello apoyado en las razones consignadas en los antecedentes de esta resolución.</w:t>
      </w:r>
    </w:p>
    <w:p w:rsidR="0033382B" w:rsidRDefault="0033382B" w:rsidP="0033382B">
      <w:pPr>
        <w:pStyle w:val="TextoNormal"/>
      </w:pPr>
    </w:p>
    <w:p w:rsidR="0033382B" w:rsidRDefault="0033382B" w:rsidP="0033382B">
      <w:pPr>
        <w:pStyle w:val="TextoNormal"/>
      </w:pPr>
      <w:r>
        <w:t>Frente a este conjunto de objeciones, el análisis que realiza el órgano judicial es insuficiente. La premisa de todo el razonamiento debería ser el carácter básico del art. 11.1 del texto refundido de la Ley de suelo. La Sala se limita a referirse al carácter básico formal, aludiendo que el artículo 11.1 está comprendido en el número 1 de la disposición final primera. Ningún razonamiento se destina a fundar el carácter básico en sentido material, lo que resultaría notablemente relevante para determinar la extensión de la competencia estatal en relación con la competencia autonómica en materia de urbanismo y, correlativamente, para dilucidar si el art. 96 de la Ley 9/2002 y el art. 11.1 del texto refundido de la Ley de suelo pueden convivir o se excluyen.</w:t>
      </w:r>
    </w:p>
    <w:p w:rsidR="0033382B" w:rsidRDefault="0033382B" w:rsidP="0033382B">
      <w:pPr>
        <w:pStyle w:val="TextoNormal"/>
      </w:pPr>
    </w:p>
    <w:p w:rsidR="0033382B" w:rsidRDefault="0033382B" w:rsidP="0033382B">
      <w:pPr>
        <w:pStyle w:val="TextoNormal"/>
      </w:pPr>
      <w:r>
        <w:t>Admitido que el art. 11.1 del texto refundido de la Ley de suelo resultase amparado por los títulos competenciales aludidos en el número 1 de la disposición final primera, para sostener la inconstitucionalidad del art. 96 de la Ley 9/2002 serían necesarias además dos condiciones. La primera, que el art. 96 de la Ley 9/2002 excluyera al art. 11 del texto refundido de la Ley de suelo. A ello alude el auto de planteamiento cuando dice que “está claro que el legislador autonómico establece en dicho precepto un procedimiento especial, como puede hacer en materias de su competencia (SSTC 141/2014 y 227/1988)”. Sin embargo, un análisis pormenorizado de la cuestión habría exigido, aparte de examinar el alcance de la competencia autonómica en materia de urbanismo, analizar el concreto contenido normativo del art.96 de la Ley 9/2002 para verificar si realmente regula un procedimiento especial de elaboración de la ordenación urbanística provisional, sobre todo cuando, según se razona en el siguiente fundamento jurídico al examinar el carácter notoriamente infundado de la duda de constitucionalidad, parece obvio que no contiene ningún procedimiento especial de elaboración de la ordenación urbanística provisional.</w:t>
      </w:r>
    </w:p>
    <w:p w:rsidR="0033382B" w:rsidRDefault="0033382B" w:rsidP="0033382B">
      <w:pPr>
        <w:pStyle w:val="TextoNormal"/>
      </w:pPr>
    </w:p>
    <w:p w:rsidR="0033382B" w:rsidRDefault="0033382B" w:rsidP="0033382B">
      <w:pPr>
        <w:pStyle w:val="TextoNormal"/>
      </w:pPr>
      <w:r>
        <w:t>La segunda condición es que el art. 96 de la Ley 9/2002 regulase una disposición administrativa y no una medida cautelar, cuestión esta sobre la que no solo se pronuncia el Concello de Ourense, cuyas razones rechaza el Auto de planteamiento, sino también, y de un modo mucho más incisivo, el Letrado de la Xunta de Galicia, sobre cuyos argumentos el Auto de planteamiento no se pronuncia.</w:t>
      </w:r>
    </w:p>
    <w:p w:rsidR="0033382B" w:rsidRDefault="0033382B" w:rsidP="0033382B">
      <w:pPr>
        <w:pStyle w:val="TextoNormal"/>
      </w:pPr>
    </w:p>
    <w:p w:rsidR="0033382B" w:rsidRDefault="0033382B" w:rsidP="0033382B">
      <w:pPr>
        <w:pStyle w:val="TextoNormal"/>
      </w:pPr>
      <w:r>
        <w:t>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resuelto en el Auto 23/2016, de 3 de febrero, FJ 3, en los términos que a continuación se reiteran en lo que resulta relevante.</w:t>
      </w:r>
    </w:p>
    <w:p w:rsidR="0033382B" w:rsidRDefault="0033382B" w:rsidP="0033382B">
      <w:pPr>
        <w:pStyle w:val="TextoNormal"/>
      </w:pPr>
    </w:p>
    <w:p w:rsidR="0033382B" w:rsidRDefault="0033382B" w:rsidP="0033382B">
      <w:pPr>
        <w:pStyle w:val="TextoNormal"/>
      </w:pPr>
      <w:r>
        <w:t>El Auto de planteamiento señala que el art. 96 de la Ley 9/2002 contradice el art. 11.1 del texto refundido de la Ley de suelo,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0033382B" w:rsidRDefault="0033382B" w:rsidP="0033382B">
      <w:pPr>
        <w:pStyle w:val="TextoNormal"/>
      </w:pPr>
    </w:p>
    <w:p w:rsidR="0033382B" w:rsidRDefault="0033382B" w:rsidP="0033382B">
      <w:pPr>
        <w:pStyle w:val="TextoNormal"/>
      </w:pPr>
      <w:r>
        <w:t>Asentada esta premisa, procede examinar si hay contradicción efectiva e insalvable por vía interpretativa entre ambos preceptos. Lo primero que interesa a este efecto es si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periodo intermedio, que incluso no tiene límite temporal en la redacción del art. 96 de la Ley 9/2002, prolongándose en la práctica durante años.</w:t>
      </w:r>
    </w:p>
    <w:p w:rsidR="0033382B" w:rsidRDefault="0033382B" w:rsidP="0033382B">
      <w:pPr>
        <w:pStyle w:val="TextoNormal"/>
      </w:pPr>
    </w:p>
    <w:p w:rsidR="0033382B" w:rsidRDefault="0033382B" w:rsidP="0033382B">
      <w:pPr>
        <w:pStyle w:val="TextoNormal"/>
      </w:pPr>
      <w:r>
        <w:t>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En fin, conforme a este planteamiento, queda claro que no hay contradicción efectiva e insalvable por vía interpretativa entre los preceptos estatal y autonómico indicados, lo que determina que la presente cuestión deba considerarse notoriamente infundada, según ha configurado este concepto la doctrina constitucional (ATC 121/2015, de 7 de julio, FJ 2).</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 núm. 6712-2015, planteada por la Sección Segunda de la Sala de lo Contencioso-Administrativo del Tribunal Superior de Justicia de Galicia.</w:t>
      </w:r>
    </w:p>
    <w:p w:rsidR="0033382B" w:rsidRDefault="0033382B" w:rsidP="0033382B">
      <w:pPr>
        <w:pStyle w:val="TextoNormal"/>
      </w:pPr>
    </w:p>
    <w:p w:rsidR="0033382B" w:rsidRDefault="0033382B" w:rsidP="0033382B">
      <w:pPr>
        <w:pStyle w:val="TextoNormal"/>
      </w:pPr>
      <w:r>
        <w:t>Madrid, a veintiséis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14" w:name="AUTO_2016_87"/>
      <w:r>
        <w:t>AUTO 87/2016, de 26 de abril de 2016</w:t>
      </w:r>
    </w:p>
    <w:bookmarkEnd w:id="214"/>
    <w:p w:rsidR="0033382B" w:rsidRDefault="0033382B" w:rsidP="0033382B">
      <w:pPr>
        <w:pStyle w:val="TtuloResolucin"/>
      </w:pPr>
      <w:r>
        <w:t>Pleno</w:t>
      </w:r>
    </w:p>
    <w:p w:rsidR="0033382B" w:rsidRDefault="0033382B" w:rsidP="0033382B">
      <w:pPr>
        <w:pStyle w:val="TextoNormalCentrado"/>
      </w:pPr>
      <w:r>
        <w:t>ECLI:ES:TC:2016:87A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6713-2015, planteada por la Sala de lo Contencioso-Administrativo del Tribunal Superior de Justicia de Galicia en relación con el artículo 96 de la Ley del Parlamento de Galicia 9/2002, de 30 de diciembre, de ordenación urbanística y protección del medio rural de Galicia.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30 de noviembre de 2015 entró en el Registro General de este Tribunal un escrito de la Sección Segunda de la Sala de lo Contencioso-Administrativo del Tribunal Superior de Justicia de Galicia, al que se acompaña, junto al testimonio del recurso ordinario 4576-2011,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previsto en los núms.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 la cuestión son los siguientes:</w:t>
      </w:r>
    </w:p>
    <w:p w:rsidR="0033382B" w:rsidRDefault="0033382B" w:rsidP="0033382B">
      <w:pPr>
        <w:pStyle w:val="TextoNormal"/>
      </w:pPr>
    </w:p>
    <w:p w:rsidR="0033382B" w:rsidRDefault="0033382B" w:rsidP="0033382B">
      <w:pPr>
        <w:pStyle w:val="TextoNormal"/>
      </w:pPr>
      <w:r>
        <w:t>a) El plan general de ordenación municipal de Ourense aprobado por Orden de 29 de abril de 2003 de la Consellería de Política Territorial, Obras Públicas y Vivienda fue anulado, en firme, por STS de 9 de marzo de 2011. En consecuencia, resultaba vigente la ordenación del plan general de ordenación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0033382B" w:rsidRDefault="0033382B" w:rsidP="0033382B">
      <w:pPr>
        <w:pStyle w:val="TextoNormal"/>
      </w:pPr>
    </w:p>
    <w:p w:rsidR="0033382B" w:rsidRDefault="0033382B" w:rsidP="0033382B">
      <w:pPr>
        <w:pStyle w:val="TextoNormal"/>
      </w:pPr>
      <w:r>
        <w:t>La entidad mercantil Xardin das Burgas, S.A., alegando su interés legítimo y no el ejercicio de la acción pública, impugna dicho Decreto 187/2011 porque incluye en la suspensión y ordenación provisional “el ámbito que el Concello identifica como ‘modificación puntual núm. 28 del PXOM de 2003’”.</w:t>
      </w:r>
    </w:p>
    <w:p w:rsidR="0033382B" w:rsidRDefault="0033382B" w:rsidP="0033382B">
      <w:pPr>
        <w:pStyle w:val="TextoNormal"/>
      </w:pPr>
    </w:p>
    <w:p w:rsidR="0033382B" w:rsidRDefault="0033382B" w:rsidP="0033382B">
      <w:pPr>
        <w:pStyle w:val="TextoNormal"/>
      </w:pPr>
      <w:r>
        <w:t xml:space="preserve">b) Con posterioridad al inicio de este recurso ordinario núm. 4576-2011 y después incluso de que se hubieran formulado los escritos de conclusiones, la STS de 5 de febrero de 2014 casó la STSJ de Galicia de 20 de enero de 2011, que había decidido un asunto muy similar al que ahora se planteaba. Dice la Sentencia del Tribunal Supremo, en su fundamento jurídico segundo </w:t>
      </w:r>
      <w:r w:rsidRPr="0033382B">
        <w:rPr>
          <w:i/>
        </w:rPr>
        <w:t>in fine</w:t>
      </w:r>
      <w:r>
        <w:t>, que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Esta STS de 5 de febrero de 2014 fue aportada por la parte actora a los recursos ordinarios núms. 4522-2011 y 4523-2011, que también se dirigían contra el Decreto 187/2011 y que han dado lugar a las cuestiones de inconstitucionalidad núms. 6539-2015 y 6576-2015.</w:t>
      </w:r>
    </w:p>
    <w:p w:rsidR="0033382B" w:rsidRDefault="0033382B" w:rsidP="0033382B">
      <w:pPr>
        <w:pStyle w:val="TextoNormal"/>
      </w:pPr>
    </w:p>
    <w:p w:rsidR="0033382B" w:rsidRDefault="0033382B" w:rsidP="0033382B">
      <w:pPr>
        <w:pStyle w:val="TextoNormal"/>
      </w:pPr>
      <w:r>
        <w:t xml:space="preserve">c) Conclusa la tramitación del proceso </w:t>
      </w:r>
      <w:r w:rsidRPr="0033382B">
        <w:rPr>
          <w:i/>
        </w:rPr>
        <w:t>a quo</w:t>
      </w:r>
      <w:r>
        <w:t>, el órgano judicial dictó providencia de 17 de septiembre de 2015, por la que, conforme al art. 35.2 de la Ley Orgánica del Tribunal Constitucional (LOTC), “acuerda oir a las partes y al Ministerio Fiscal sobre la pertinencia de plantear cuestión de inconstitucionalidad respecto del art. 96 de la Ley 9/2002, en cuanto que omite un trámite de información pública, ante su posible inconstitucionalidad sobrevenida por infracción del art. 149.1.1, 13, 18 y 23 CE, al contradecir lo establecido en el art. art. 11.1 del texto refundido de la Ley de suelo”.</w:t>
      </w:r>
    </w:p>
    <w:p w:rsidR="0033382B" w:rsidRDefault="0033382B" w:rsidP="0033382B">
      <w:pPr>
        <w:pStyle w:val="TextoNormal"/>
      </w:pPr>
    </w:p>
    <w:p w:rsidR="0033382B" w:rsidRDefault="0033382B" w:rsidP="0033382B">
      <w:pPr>
        <w:pStyle w:val="TextoNormal"/>
      </w:pPr>
      <w:r>
        <w:t>d) El Fiscal, en escrito de 21 de septiembre de 2015, informa que procede el planteamiento de la cuestión de inconstitucionalidad porque el art. 96 de la Ley 9/2002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0033382B" w:rsidRDefault="0033382B" w:rsidP="0033382B">
      <w:pPr>
        <w:pStyle w:val="TextoNormal"/>
      </w:pPr>
    </w:p>
    <w:p w:rsidR="0033382B" w:rsidRDefault="0033382B" w:rsidP="0033382B">
      <w:pPr>
        <w:pStyle w:val="TextoNormal"/>
      </w:pPr>
      <w:r>
        <w:t>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art.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0033382B" w:rsidRDefault="0033382B" w:rsidP="0033382B">
      <w:pPr>
        <w:pStyle w:val="TextoNormal"/>
      </w:pPr>
    </w:p>
    <w:p w:rsidR="0033382B" w:rsidRDefault="0033382B" w:rsidP="0033382B">
      <w:pPr>
        <w:pStyle w:val="TextoNormal"/>
      </w:pPr>
      <w:r>
        <w:t>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tratan:actuacions excepcionais, audiencia do Concello previa a suspensión, necesidad de implementar con celeridade una nova ordenación, carácter provisional e transitorio desa ordenación”.</w:t>
      </w:r>
    </w:p>
    <w:p w:rsidR="0033382B" w:rsidRDefault="0033382B" w:rsidP="0033382B">
      <w:pPr>
        <w:pStyle w:val="TextoNormal"/>
      </w:pPr>
    </w:p>
    <w:p w:rsidR="0033382B" w:rsidRDefault="0033382B" w:rsidP="0033382B">
      <w:pPr>
        <w:pStyle w:val="TextoNormal"/>
      </w:pPr>
      <w:r>
        <w:t>La parte recurrente, en escrito de 5 de octubre de 2015, apoya el planteamiento de la cuestión en los términos expuestos en la providencia por la que se le otorga esta audiencia.</w:t>
      </w:r>
    </w:p>
    <w:p w:rsidR="0033382B" w:rsidRDefault="0033382B" w:rsidP="0033382B">
      <w:pPr>
        <w:pStyle w:val="TextoNormal"/>
      </w:pPr>
    </w:p>
    <w:p w:rsidR="0033382B" w:rsidRDefault="0033382B" w:rsidP="0033382B">
      <w:pPr>
        <w:pStyle w:val="TextoNormal"/>
      </w:pPr>
      <w:r>
        <w:t>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3</w:t>
      </w:r>
      <w:r>
        <w:t>. Dicho Auto, que se desarrolla en un razonamiento jurídico único, comienza con la transcripción del art. 96 de la Ley 9/2002. Luego afirma que el art. 96 de la Ley 9/2002 no contiene un trámite de información pública y a continuación transcribe el art. 11 del texto refundido de la Ley de suelo (“todos los instrumentos de ordenación territorial y de ordenación y ejecución urbanísticas… deben ser sometidos al trámite de información pública en los términos y por el plazo que establezca la legislación en la materia”).</w:t>
      </w:r>
    </w:p>
    <w:p w:rsidR="0033382B" w:rsidRDefault="0033382B" w:rsidP="0033382B">
      <w:pPr>
        <w:pStyle w:val="TextoNormal"/>
      </w:pPr>
    </w:p>
    <w:p w:rsidR="0033382B" w:rsidRDefault="0033382B" w:rsidP="0033382B">
      <w:pPr>
        <w:pStyle w:val="TextoNormal"/>
      </w:pPr>
      <w:r>
        <w:t>El tercer párrafo dice: “la disposición final primera, número 1, de dicho Real Decreto Legislativo incluye el citado art. 11 entre los que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dictadas en ejercicio de las competencias reservadas al legislador general en el art. 149.1.1, 13, 18 y 23 de la Constitución’”.</w:t>
      </w:r>
    </w:p>
    <w:p w:rsidR="0033382B" w:rsidRDefault="0033382B" w:rsidP="0033382B">
      <w:pPr>
        <w:pStyle w:val="TextoNormal"/>
      </w:pPr>
    </w:p>
    <w:p w:rsidR="0033382B" w:rsidRDefault="0033382B" w:rsidP="0033382B">
      <w:pPr>
        <w:pStyle w:val="TextoNormal"/>
      </w:pPr>
      <w:r>
        <w:t>El cuarto párrafo comienza diciendo que “de la ausencia de dicho trámite pudiera deducirse una inconstitucionalidad sobrevenida, por infracción de lo establecido en el art. 149.1.1, 13, 18 y 23 CE”, preceptos que transcribe. Acto seguido dice que: “y ello como consecuencia de la naturaleza básica de la referida normativa estatal, pues ello en relación con el objeto del presente recurso, el Decreto 187/2011, por el que la Consellería de Consellería de Medio Ambiente, Territorio e Infraestructuras acordó las suspensión parcial de la vigencia del plan general de ordenación municipal de Ourense 1986, así como la ordenación urbanística provisional hasta la entrada en vigor del nuevo planeamiento, puesto que se interesa por la parte demandante la anulación de este decreto. Y partiendo del criterio contenido en la STS 5 de febrero de 2014, estimatoria del recurso de esta Sala y Sección de 20 de enero de 2011, al considerar que a pesar del carácter de la ordenación provisional, es preceptivo el trámite de la información pública por tratarse de una disposición general (arts. 9.2 y 105 CE, 6.1 de la Ley 6/1998 y 11 del texto refundido de la Ley de suelo)”.</w:t>
      </w:r>
    </w:p>
    <w:p w:rsidR="0033382B" w:rsidRDefault="0033382B" w:rsidP="0033382B">
      <w:pPr>
        <w:pStyle w:val="TextoNormal"/>
      </w:pPr>
    </w:p>
    <w:p w:rsidR="0033382B" w:rsidRDefault="0033382B" w:rsidP="0033382B">
      <w:pPr>
        <w:pStyle w:val="TextoNormal"/>
      </w:pPr>
      <w:r>
        <w:t>El párrafo quinto dice que “no cabe aceptar que no se aprecie que la contradicción sea efectiva e insalvable porque el legislador autonómico ha establecido a través de este precepto un procedimiento especial, como puede hacer en materias de su competencia”. Y dice también que “finalmente, y en relación a la naturaleza de medida cautelar de la suspensión del planeamiento, en la STC (</w:t>
      </w:r>
      <w:r w:rsidRPr="0033382B">
        <w:rPr>
          <w:i/>
        </w:rPr>
        <w:t>sic</w:t>
      </w:r>
      <w:r>
        <w:t>) así se considera, pero ello es en el supuesto en que su adopción se realizaba para salvaguardar la eficacia de las competencias autonómicas de ordenación territorial regulando el régimen de adaptación de los instrumentos de planificación y urbanísticos municipales a las supraordenadas Directrices de Ordenación del Territorio, pero nada dice la sentencia sobre el procedimiento a seguir”.</w:t>
      </w:r>
    </w:p>
    <w:p w:rsidR="0033382B" w:rsidRDefault="0033382B" w:rsidP="0033382B">
      <w:pPr>
        <w:pStyle w:val="TextoNormal"/>
      </w:pPr>
    </w:p>
    <w:p w:rsidR="0033382B" w:rsidRDefault="0033382B" w:rsidP="0033382B">
      <w:pPr>
        <w:pStyle w:val="TextoNormal"/>
      </w:pPr>
      <w:r>
        <w:t xml:space="preserve">Destina el último párrafo a justificar que no es aplicable el art. 11.1 del texto refundido de la Ley de suelo como norma prevalente. Según las SSTC 187/2012 y 177/2013, un órgano judicial no puede fiscalizar las normas postconstitucionales con rango de ley, dado que el constituyente ha querido sustraer al Juez ordinario la posibilidad de inaplicar una ley postconstitucional ante un eventual juicio de incompatibilidad con la Constitución, puesto que la depuración del ordenamiento legal, vigente la Constitución, corresponde de forma exclusiva al Tribunal Constitucional, que tiene la competencia y la jurisdicción para declarar, con eficacia </w:t>
      </w:r>
      <w:r w:rsidRPr="0033382B">
        <w:rPr>
          <w:i/>
        </w:rPr>
        <w:t>erga omnes</w:t>
      </w:r>
      <w:r>
        <w:t>, la inconstitucionalidad de las leyes. Según la STC 159/2012 esta doctrina también es aplicable a las leyes que devienen disconformes con la Constitución por la modificación posterior de la legislación básica estatal, como ocurre en este caso que la contradicción deriva del 11.2 del texto refundido de la Ley de suelo, que ha venido a sustituir al art. 6.1 Ley 6/1998 vigente al tiempo que se dictó el art. 96 de la Ley 9/2002.</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16 de febrero de 2016, la Sección Tercera de este Tribunal acordó, a los efectos que determina el art. 37.1 LOTC, oír al Fiscal General del Estado para que en el plazo de diez días alegase acerca de la admisibilidad de la presente cuestión de inconstitucionalidad, por si faltasen requisitos de procedibilidad o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en escrito registrado en este Tribunal el 31 de marzo de 2016, razona que no es adecuado el juicio de relevancia formulado por la Sala porque “no se ha planteado un extremo que a simple vista parece fundamental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9/2002, que previene expresamente el trámite de información pública en el procedimiento ordinario de aprobación de un plan general … Tales omisiones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0033382B" w:rsidRDefault="0033382B" w:rsidP="0033382B">
      <w:pPr>
        <w:pStyle w:val="TextoNormal"/>
      </w:pPr>
    </w:p>
    <w:p w:rsidR="0033382B" w:rsidRDefault="0033382B" w:rsidP="0033382B">
      <w:pPr>
        <w:pStyle w:val="TextoNormal"/>
      </w:pPr>
      <w:r>
        <w:t>Sostiene igualmente que la duda de constitucionalidad debe reputarse notoriamente infundada en el sentido que tiene esta expresión en el ATC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 suelo, lo que determina que la presente cuestión deba considerarse notoriamente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9/2002, por ser incompatible con el art. 11 del texto refundido de la Ley de suelo (“todos los instrumentos de ordenación territorial y de ordenación y ejecución urbanísticas deben ser sometidos al trámite de información pública”), desconozca lo previsto en los núms. 1, 13, 18 y 23 del art. 149.1 CE.</w:t>
      </w:r>
    </w:p>
    <w:p w:rsidR="0033382B" w:rsidRDefault="0033382B" w:rsidP="0033382B">
      <w:pPr>
        <w:pStyle w:val="TextoNormal"/>
      </w:pPr>
    </w:p>
    <w:p w:rsidR="0033382B" w:rsidRDefault="0033382B" w:rsidP="0033382B">
      <w:pPr>
        <w:pStyle w:val="TextoNormal"/>
      </w:pPr>
      <w:r>
        <w:t>La Fiscal General del Estado sostiene que la Sala no ha formulado adecuadamente el juicio de relevancia porque “no se ha planteado un extremo que a simple vista parece fundamental y que, de haber sido contemplado, podría haber provocado que esa Sala ni siquiera hubiera llegado a plantear la presente cuestión”. Además, en virtud las razones detalladas en los antecedentes, entiende que la cuestión es notoriamente infundada, como ya se ha declarado en el ATC 23/2016, de 3 de febrero. Por todo ello, insta su inadmisión.</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0033382B" w:rsidRDefault="0033382B" w:rsidP="0033382B">
      <w:pPr>
        <w:pStyle w:val="TextoNormal"/>
      </w:pPr>
    </w:p>
    <w:p w:rsidR="0033382B" w:rsidRDefault="0033382B" w:rsidP="0033382B">
      <w:pPr>
        <w:pStyle w:val="TextoNormal"/>
      </w:pPr>
      <w:r>
        <w:t>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0033382B" w:rsidRDefault="0033382B" w:rsidP="0033382B">
      <w:pPr>
        <w:pStyle w:val="TextoNormal"/>
      </w:pPr>
    </w:p>
    <w:p w:rsidR="0033382B" w:rsidRDefault="0033382B" w:rsidP="0033382B">
      <w:pPr>
        <w:pStyle w:val="TextoNormal"/>
      </w:pPr>
      <w:r>
        <w:t xml:space="preserve">El Auto de 3 de noviembre de 2015, aunque en los escritos mediante los que las partes evacuan el trámite de audiencia </w:t>
      </w:r>
      <w:r w:rsidRPr="0033382B">
        <w:rPr>
          <w:i/>
        </w:rPr>
        <w:t>ex</w:t>
      </w:r>
      <w:r>
        <w:t xml:space="preserve"> art. 35 LOTC, así como en la Sentencia del Tribunal Supremo de 5 de febrero de 2014 a la que alude en los antecedentes de hecho, constan muchas e importantes objeciones en relación a la cuestión de inconstitucionalidad que pretende plantear, no realiza “un pormenorizado análisis de las graves cuestiones que se suscitan”. En este mismo sentido se expresan las alegaciones de la Fiscal General del Estado, en las que se destaca que el órgano judicial omite la consideración de elementos fundamentales que inciden en su duda de constitucionalidad, pues “no se plantea si no podría garantizarse en todo caso la efectividad de ese trámite de información pública… mediante la aplicación de las previsiones establecidas en el art. 86 de la Ley 30/1992 … en el art. 11 [del texto refundido de la Ley de suelo]… o, incluso, en el art. 85 de la Ley 9/2002”.</w:t>
      </w:r>
    </w:p>
    <w:p w:rsidR="0033382B" w:rsidRDefault="0033382B" w:rsidP="0033382B">
      <w:pPr>
        <w:pStyle w:val="TextoNormal"/>
      </w:pPr>
    </w:p>
    <w:p w:rsidR="0033382B" w:rsidRDefault="0033382B" w:rsidP="0033382B">
      <w:pPr>
        <w:pStyle w:val="TextoNormal"/>
      </w:pPr>
      <w:r>
        <w:t>En primer lugar, la citada Sentencia de la Sala de lo Contencioso-Administrativo del Tribunal Supremo de 5 de febrero de 2014, sin necesidad de acudir al criterio de prevalencia, consideró aplicable el art. 11.1 del texto refundido de la Ley de suelo. Entendió, por tanto, que el art. 96 de la Ley 9/2002 y el art. 11.1 del texto refundido de la Ley de suelo no se contradicen de un modo insalvable sino que, en realidad, son compatibles. En otras palabras, el silencio del primero sobre la necesidad de un expediente de información pública no excluiría, según el Tribunal Supremo, que la Administración deba practicar tal trámite en aplicación del segundo. Dicha Sentencia, además, puso de relieve que la Administración gallega, en un supuesto similar en relación a la suspensión del plan general de ordenación municipal de O Grove, no había tenido problema en abrir un trámite de información pública, a pesar de la dicción del art. 52 de la ley gallega 1/1997 (que el propio Auto de planteamiento dice que es el antecedente directo del art. 96 de la Ley 9/2002 y que es de contenido similar).</w:t>
      </w:r>
    </w:p>
    <w:p w:rsidR="0033382B" w:rsidRDefault="0033382B" w:rsidP="0033382B">
      <w:pPr>
        <w:pStyle w:val="TextoNormal"/>
      </w:pPr>
    </w:p>
    <w:p w:rsidR="0033382B" w:rsidRDefault="0033382B" w:rsidP="0033382B">
      <w:pPr>
        <w:pStyle w:val="TextoNormal"/>
      </w:pPr>
      <w:r>
        <w:t>Por su parte, el Concello de Ourense y el Letrado de la Xunta de Galicia mantienen que el art. 96 de la Ley 9/2002 es incompatible con el art. 11 del texto refundido de la Ley de suelo, pero que ello no supone la inconstitucionalidad del primero porque no regula una disposición administrativa sino una medida cautelar, todo ello apoyado en las razones consignadas en los antecedentes de esta resolución.</w:t>
      </w:r>
    </w:p>
    <w:p w:rsidR="0033382B" w:rsidRDefault="0033382B" w:rsidP="0033382B">
      <w:pPr>
        <w:pStyle w:val="TextoNormal"/>
      </w:pPr>
    </w:p>
    <w:p w:rsidR="0033382B" w:rsidRDefault="0033382B" w:rsidP="0033382B">
      <w:pPr>
        <w:pStyle w:val="TextoNormal"/>
      </w:pPr>
      <w:r>
        <w:t>Frente a este conjunto de objeciones, el análisis que realiza el órgano judicial es insuficiente. La premisa de todo el razonamiento debería ser el carácter básico del art. 11.1 del texto refundido de la Ley de suelo. La Sala se limita a referirse al carácter básico formal, aludiendo que el artículo 11.1 está comprendido en el núm. 1 de la disposición final primera.</w:t>
      </w:r>
    </w:p>
    <w:p w:rsidR="0033382B" w:rsidRDefault="0033382B" w:rsidP="0033382B">
      <w:pPr>
        <w:pStyle w:val="TextoNormal"/>
      </w:pPr>
    </w:p>
    <w:p w:rsidR="0033382B" w:rsidRDefault="0033382B" w:rsidP="0033382B">
      <w:pPr>
        <w:pStyle w:val="TextoNormal"/>
      </w:pPr>
      <w:r>
        <w:t>Admitido que el art. 11.1 del texto refundido de la Ley de suelo resultase amparado por los títulos competenciales aludidos en el núm. 1 de la disposición final primera, sería necesario además para sostener la inconstitucionalidad del art. 96 de la Ley 9/2002 dos condiciones. La primera es que el art. 96 de la Ley 9/2002 excluyera al art. 11 del texto refundido de la Ley de suelo. A ello alude el Auto de planteamiento cuando dice que “no cabe aceptar que no se aprecie que la contradicción sea efectiva e insalvable porque el legislador autonómico ha establecido a través de este precepto un procedimiento especial, como puede hacer en materias de su competencia”. Sin embargo, un análisis pormenorizado de la cuestión habría exigido, aparte de examinar el alcance de la competencia autonómica en materia de urbanismo, analizar el concreto contenido normativo del art. 96 de la Ley 9/2002 para verificar si realmente regula un procedimiento especial de elaboración de la ordenación urbanística provisional, sobre todo cuando, según se razona en el siguiente fundamento jurídico al examinar el carácter notoriamente infundado de la duda de constitucionalidad, parece obvio que no contiene ningún procedimiento especial de elaboración de la ordenación urbanística provisional.</w:t>
      </w:r>
    </w:p>
    <w:p w:rsidR="0033382B" w:rsidRDefault="0033382B" w:rsidP="0033382B">
      <w:pPr>
        <w:pStyle w:val="TextoNormal"/>
      </w:pPr>
    </w:p>
    <w:p w:rsidR="0033382B" w:rsidRDefault="0033382B" w:rsidP="0033382B">
      <w:pPr>
        <w:pStyle w:val="TextoNormal"/>
      </w:pPr>
      <w:r>
        <w:t>La segunda condición es que el art. 96 de la Ley 9/2002 regulase una disposición administrativa y no una medida cautelar, cuestión esta sobre la que no solo se pronuncia el Concello de Ourense, cuyas razones rechaza el Auto de planteamiento, sino también, y de un modo mucho más incisivo, el Letrado de la Xunta de Galicia, sobre cuyos argumentos el Auto de planteamiento no se pronuncia.</w:t>
      </w:r>
    </w:p>
    <w:p w:rsidR="0033382B" w:rsidRDefault="0033382B" w:rsidP="0033382B">
      <w:pPr>
        <w:pStyle w:val="TextoNormal"/>
      </w:pPr>
    </w:p>
    <w:p w:rsidR="0033382B" w:rsidRDefault="0033382B" w:rsidP="0033382B">
      <w:pPr>
        <w:pStyle w:val="TextoNormal"/>
      </w:pPr>
      <w:r>
        <w:t>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3</w:t>
      </w:r>
      <w:r>
        <w:t>.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resuelto en el ATC 23/2016, de 3 de febrero, FJ 3, en los términos que a continuación se reiteran en lo que resulta relevante.</w:t>
      </w:r>
    </w:p>
    <w:p w:rsidR="0033382B" w:rsidRDefault="0033382B" w:rsidP="0033382B">
      <w:pPr>
        <w:pStyle w:val="TextoNormal"/>
      </w:pPr>
    </w:p>
    <w:p w:rsidR="0033382B" w:rsidRDefault="0033382B" w:rsidP="0033382B">
      <w:pPr>
        <w:pStyle w:val="TextoNormal"/>
      </w:pPr>
      <w:r>
        <w:t>El Auto de planteamiento señala que el art. 96 de la Ley 9/2002 contradice el art. 11.1 del texto refundido de la Ley de suelo, por lo que vulnera los núms. 1, 13, 18 y 23 del art. 149.1 CE. Examinar esta cuestión requiere partir de que el artículo 11.1,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227/1988 y 141/2014).</w:t>
      </w:r>
    </w:p>
    <w:p w:rsidR="0033382B" w:rsidRDefault="0033382B" w:rsidP="0033382B">
      <w:pPr>
        <w:pStyle w:val="TextoNormal"/>
      </w:pPr>
    </w:p>
    <w:p w:rsidR="0033382B" w:rsidRDefault="0033382B" w:rsidP="0033382B">
      <w:pPr>
        <w:pStyle w:val="TextoNormal"/>
      </w:pPr>
      <w:r>
        <w:t>Asentada esta premisa, procede examinar si hay contradicción efectiva e insalvable por vía interpretativa entre ambos preceptos. Lo primero que interesa a este efecto es si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período intermedio, que incluso no tiene límite temporal en la redacción del art. 96 de la Ley 9/2002, prolongándose en la práctica durante años.</w:t>
      </w:r>
    </w:p>
    <w:p w:rsidR="0033382B" w:rsidRDefault="0033382B" w:rsidP="0033382B">
      <w:pPr>
        <w:pStyle w:val="TextoNormal"/>
      </w:pPr>
    </w:p>
    <w:p w:rsidR="0033382B" w:rsidRDefault="0033382B" w:rsidP="0033382B">
      <w:pPr>
        <w:pStyle w:val="TextoNormal"/>
      </w:pPr>
      <w:r>
        <w:t>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En fin, conforme a este planteamiento, queda claro que no hay contradicción efectiva e insalvable por vía interpretativa entre los preceptos estatal y autonómico indicados, lo que determina que la presente cuestión deba considerarse notoriamente infundada, según ha configurado este concepto la doctrina constitucional (ATC 121/2015, de 7 de julio, FJ 2).</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 núm. 6713-2015, planteada por la Sección Segunda de la Sala de lo Contencioso-Administrativo del Tribunal Superior de Justicia de Galicia.</w:t>
      </w:r>
    </w:p>
    <w:p w:rsidR="0033382B" w:rsidRDefault="0033382B" w:rsidP="0033382B">
      <w:pPr>
        <w:pStyle w:val="TextoNormal"/>
      </w:pPr>
    </w:p>
    <w:p w:rsidR="0033382B" w:rsidRDefault="0033382B" w:rsidP="0033382B">
      <w:pPr>
        <w:pStyle w:val="TextoNormal"/>
      </w:pPr>
      <w:r>
        <w:t>Madrid, a veintiséis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15" w:name="AUTO_2016_88"/>
      <w:r>
        <w:t>AUTO 88/2016, de 26 de abril de 2016</w:t>
      </w:r>
    </w:p>
    <w:bookmarkEnd w:id="215"/>
    <w:p w:rsidR="0033382B" w:rsidRDefault="0033382B" w:rsidP="0033382B">
      <w:pPr>
        <w:pStyle w:val="TtuloResolucin"/>
      </w:pPr>
      <w:r>
        <w:t>Pleno</w:t>
      </w:r>
    </w:p>
    <w:p w:rsidR="0033382B" w:rsidRDefault="0033382B" w:rsidP="0033382B">
      <w:pPr>
        <w:pStyle w:val="TextoNormalCentrado"/>
      </w:pPr>
      <w:r>
        <w:t>ECLI:ES:TC:2016:88A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6758-2015, planteada por la Sala de lo Contencioso-Administrativo del Tribunal Superior de Justicia de Galicia en relación con el artículo 96 de la Ley del Parlamento de Galicia 9/2002, de 30 de diciembre, de ordenación urbanística y protección del medio rural de Galicia.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1 de diciembre de 2015 entró en el Registro General de este Tribunal un escrito de la Sección Segunda de la Sala de lo Contencioso-Administrativo del Tribunal Superior de Justicia de Galicia, al que se acompaña, junto al testimonio del recurso ordinario 4521-2011,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 la cuestión son los siguientes:</w:t>
      </w:r>
    </w:p>
    <w:p w:rsidR="0033382B" w:rsidRDefault="0033382B" w:rsidP="0033382B">
      <w:pPr>
        <w:pStyle w:val="TextoNormal"/>
      </w:pPr>
    </w:p>
    <w:p w:rsidR="0033382B" w:rsidRDefault="0033382B" w:rsidP="0033382B">
      <w:pPr>
        <w:pStyle w:val="TextoNormal"/>
      </w:pPr>
      <w:r>
        <w:t>a) El plan general de ordenación municipal de Ourense, aprobado por Orden de 29 de abril de 2003 de la Consellería de Política Territorial, Obras Públicas y Vivienda, fue anulado en firme por STS 9 de marzo de 2011. En consecuencia, resultaba vigente la ordenación del plan general de ordenación de Ourense de 1986. El Decreto 187/2011, de 29 de septiembre, de la Consellería de Medio Ambiente, Territorio e Infraestructuras, acordó, mediante el mecanismo especial del art. 96 de la Ley 9/2002, suspender parcialmente la vigencia del plan general de ordenación de Ourense de 1986, así como aprobar una ordenación urbanística provisional hasta la entrada en vigor del nuevo planeamiento, mediante la cual reestablecía la ordenación de 2003 anulada.</w:t>
      </w:r>
    </w:p>
    <w:p w:rsidR="0033382B" w:rsidRDefault="0033382B" w:rsidP="0033382B">
      <w:pPr>
        <w:pStyle w:val="TextoNormal"/>
      </w:pPr>
    </w:p>
    <w:p w:rsidR="0033382B" w:rsidRDefault="0033382B" w:rsidP="0033382B">
      <w:pPr>
        <w:pStyle w:val="TextoNormal"/>
      </w:pPr>
      <w:r>
        <w:t>La entidad mercantil Coper, S.A., alegando el ejercicio de la acción pública urbanística, impugna dicho Decreto 187/2011 por incluir en la suspensión y ordenación provisional el área de reparto AR-36-E. Después de exponer en el fundamento jurídico a) que, según la STSJ de Galicia de 12 de noviembre de 2009, el art. 96 de la Ley 9/2002 regula un mecanismo especial de revisión del planeamiento, que se caracteriza por ser provisional y no requerir trámite de información pública, en el fundamento jurídico b) argumenta que no se dan las circunstancias especiales para que ese mecanismo especial se pudiere aplicar, debiendo en consecuencia haberse seguido el trámite normal de revisión de la ordenación urbanística previsto en los arts. 93, 94 y 95 de la Ley 9/2002.</w:t>
      </w:r>
    </w:p>
    <w:p w:rsidR="0033382B" w:rsidRDefault="0033382B" w:rsidP="0033382B">
      <w:pPr>
        <w:pStyle w:val="TextoNormal"/>
      </w:pPr>
    </w:p>
    <w:p w:rsidR="0033382B" w:rsidRDefault="0033382B" w:rsidP="0033382B">
      <w:pPr>
        <w:pStyle w:val="TextoNormal"/>
      </w:pPr>
      <w:r>
        <w:t xml:space="preserve">b) Con posterioridad al inicio de este recurso ordinario 4521-2011 y después incluso de que se hubieran formulado los escritos de conclusiones, la STS de 5 de febrero de 2014 casó la STSJ de Galicia de 20 de enero de 2011, que había decidido un asunto muy similar al que ahora se planteaba. Dice la Sentencia del Tribunal Supremo, en su fundamento jurídico segundo </w:t>
      </w:r>
      <w:r w:rsidRPr="0033382B">
        <w:rPr>
          <w:i/>
        </w:rPr>
        <w:t>in fine</w:t>
      </w:r>
      <w:r>
        <w:t>,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 xml:space="preserve">La STS de 5 de febrero de 2014 fue aportada al recurso ordinario 4521-2011 por la actora. No consta tal aportación en el expediente enviado a este Tribunal, pero a ella se refiere el escrito de alegaciones que la recurrente evacuó con motivo del trámite de audiencia </w:t>
      </w:r>
      <w:r w:rsidRPr="0033382B">
        <w:rPr>
          <w:i/>
        </w:rPr>
        <w:t>ex</w:t>
      </w:r>
      <w:r>
        <w:t xml:space="preserve"> art. 35.2 de la Ley Orgánica del Tribunal Constitucional (LOTC).</w:t>
      </w:r>
    </w:p>
    <w:p w:rsidR="0033382B" w:rsidRDefault="0033382B" w:rsidP="0033382B">
      <w:pPr>
        <w:pStyle w:val="TextoNormal"/>
      </w:pPr>
    </w:p>
    <w:p w:rsidR="0033382B" w:rsidRDefault="0033382B" w:rsidP="0033382B">
      <w:pPr>
        <w:pStyle w:val="TextoNormal"/>
      </w:pPr>
      <w:r>
        <w:t>c) Conclusa la tramitación del proceso a quo, el órgano judicial dictó providencia de 17 de septiembre de 2015, por la que, conforme al art. 35.2 LOTC, “acuerda oir a las partes y al Ministerio Fiscal sobre la pertinencia de plantear cuestión de inconstitucionalidad respecto del art. 96 de la Ley 9/2002, en cuanto que omite un trámite de información pública, ante su posible inconstitucionalidad sobrevenida por infracción del art. 149.1.1, 13, 18 y 23 CE, al contradecir lo establecido en el art. art. 11.1 del texto refundido de la Ley de suelo”.</w:t>
      </w:r>
    </w:p>
    <w:p w:rsidR="0033382B" w:rsidRDefault="0033382B" w:rsidP="0033382B">
      <w:pPr>
        <w:pStyle w:val="TextoNormal"/>
      </w:pPr>
    </w:p>
    <w:p w:rsidR="0033382B" w:rsidRDefault="0033382B" w:rsidP="0033382B">
      <w:pPr>
        <w:pStyle w:val="TextoNormal"/>
      </w:pPr>
      <w:r>
        <w:t>d) El Fiscal, en escrito de 21 de septiembre de 2015, informa que procede el planteamiento de la cuestión porque el art. 96 de la Ley 9/2002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9/2002 fue dictado en ejercicio de la competencia exclusiva de la Comunidad Autónoma de Galicia en materia de urbanismo.</w:t>
      </w:r>
    </w:p>
    <w:p w:rsidR="0033382B" w:rsidRDefault="0033382B" w:rsidP="0033382B">
      <w:pPr>
        <w:pStyle w:val="TextoNormal"/>
      </w:pPr>
    </w:p>
    <w:p w:rsidR="0033382B" w:rsidRDefault="0033382B" w:rsidP="0033382B">
      <w:pPr>
        <w:pStyle w:val="TextoNormal"/>
      </w:pPr>
      <w:r>
        <w:t>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art. 96 de la Ley 9/2002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0033382B" w:rsidRDefault="0033382B" w:rsidP="0033382B">
      <w:pPr>
        <w:pStyle w:val="TextoNormal"/>
      </w:pPr>
    </w:p>
    <w:p w:rsidR="0033382B" w:rsidRDefault="0033382B" w:rsidP="0033382B">
      <w:pPr>
        <w:pStyle w:val="TextoNormal"/>
      </w:pPr>
      <w:r>
        <w:t>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tratan:actuacions excepcionais, audiencia do Concello previa a suspensión, necesidad de implementar con celeridade una nova ordenación, carácter provisional e transitorio desa ordenación”.</w:t>
      </w:r>
    </w:p>
    <w:p w:rsidR="0033382B" w:rsidRDefault="0033382B" w:rsidP="0033382B">
      <w:pPr>
        <w:pStyle w:val="TextoNormal"/>
      </w:pPr>
    </w:p>
    <w:p w:rsidR="0033382B" w:rsidRDefault="0033382B" w:rsidP="0033382B">
      <w:pPr>
        <w:pStyle w:val="TextoNormal"/>
      </w:pPr>
      <w:r>
        <w:t>El representante de la entidad codemandada Desarrollos comerciales de ocio e inmobiliarios de Ourense, en escrito de 5 de octubre de 2015, sostiene que el art. 96 de la Ley 9/2002 no regula un instrumento de ordenación urbanística, pues su vocación no es ordenar el término municipal sino evitar los efectos perniciosos del planeamiento vigente mientras se elabora el nuevo. Es en la elaboración de dicho nuevo planeamiento cuando la Ley 9/2002 garantiza la participación mediante el trámite de información pública. Por estos motivos la ausencia de información pública prevista en el art. 96 de la Ley 9/2002 para los acuerdos de suspensión del planeamiento vigente y de ordenación provisional no vulneran los arts. 9.2 y 105 a) CE, ni contradicen el art. 11.1 del texto refundido de la Ley de suelo, que está previsto para un supuesto distinto, para los verdaderos procesos de ordenación urbanística.</w:t>
      </w:r>
    </w:p>
    <w:p w:rsidR="0033382B" w:rsidRDefault="0033382B" w:rsidP="0033382B">
      <w:pPr>
        <w:pStyle w:val="TextoNormal"/>
      </w:pPr>
    </w:p>
    <w:p w:rsidR="0033382B" w:rsidRDefault="0033382B" w:rsidP="0033382B">
      <w:pPr>
        <w:pStyle w:val="TextoNormal"/>
      </w:pPr>
      <w:r>
        <w:t>La parte recurrente, en escrito de 6 de octubre de 2015, insta igualmente el no planteamiento de la cuestión porque, a su juicio, la contradicción entre el art. 11.1 del texto refundido de la Ley de suelo y el art. 96 de la Ley 9/2002 no es efectiva e insalvable por vía interpretativa, eso sí por motivos opuestos a los indicados en los escritos de las partes demandadas. Razona que el art. 96 de la Ley 9/2002 “no contiene una regulación exhaustiva y completa del procedimiento de aprobación de la ordenación provisional tras la suspensión de un planeamiento”. Por ello, su no exigencia expresa de información pública para estos casos no se debe interpretar como una prohibición de exposición al público, de modo que ésta es posible en aplicación del art. 11.1 del texto refundido de la Ley de suelo y que sería posible, por ejemplo, coincidiendo en el tiempo con la audiencia al ayuntamiento afectado. Añade, además, que “la sentencia que hemos aportado a Autos del Tribunal Supremo anulando las normas provisionales del municipio gallego de Barreiros fue dictada sin apreciar necesidad alguna de promover cuestión de inconstitucionalidad sobre el citado precepto”. Tal Sentencia es la STS de 5 de febrero de 2014, que no consta en el expediente remitido a este Tribunal, pero que la recurrente dice haberla aportado y el Auto de 3 de noviembre de 2015 reconoce que fue aportada por la parte actora.</w:t>
      </w:r>
    </w:p>
    <w:p w:rsidR="0033382B" w:rsidRDefault="0033382B" w:rsidP="0033382B">
      <w:pPr>
        <w:pStyle w:val="TextoNormal"/>
      </w:pPr>
    </w:p>
    <w:p w:rsidR="0033382B" w:rsidRDefault="0033382B" w:rsidP="0033382B">
      <w:pPr>
        <w:pStyle w:val="TextoNormal"/>
      </w:pPr>
      <w:r>
        <w:t>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3</w:t>
      </w:r>
      <w:r>
        <w:t>. Dicho auto, en un primer epígrafe rubricado “Hechos”, se ciñe a recordar que mediante providencia de 17 de septiembre de 2015 se otorgó el traslado requerido por el art. 35.2 LOTC. Luego desarrolla un razonamiento jurídico único, articulado en seis párrafos.</w:t>
      </w:r>
    </w:p>
    <w:p w:rsidR="0033382B" w:rsidRDefault="0033382B" w:rsidP="0033382B">
      <w:pPr>
        <w:pStyle w:val="TextoNormal"/>
      </w:pPr>
    </w:p>
    <w:p w:rsidR="0033382B" w:rsidRDefault="0033382B" w:rsidP="0033382B">
      <w:pPr>
        <w:pStyle w:val="TextoNormal"/>
      </w:pPr>
      <w:r>
        <w:t>Para empezar transcribe el art. 96 de la Ley 9/2002. Afirma, en el siguiente párrafo, que el art. 96 de la Ley 9/2002 no contiene un trámite de información pública y a continuación transcribe el art. 11 del texto refundido de la Ley de suelo (“todos los instrumentos de ordenación territorial y de ordenación y ejecución urbanísticas … deben ser sometidos al trámite de información pública en los términos y por el plazo que establezca la legislación en la materia”). Y en el tercer párrafo dice que “la disposición final primera, número 1, de dicho Real Decreto Legislativo incluye el citado art. 11 entre los que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dictadas en ejercicio de las competencias reservadas al legislador general en el art. 149.1.1, 13, 18 y 23 de la Constitución’”.</w:t>
      </w:r>
    </w:p>
    <w:p w:rsidR="0033382B" w:rsidRDefault="0033382B" w:rsidP="0033382B">
      <w:pPr>
        <w:pStyle w:val="TextoNormal"/>
      </w:pPr>
    </w:p>
    <w:p w:rsidR="0033382B" w:rsidRDefault="0033382B" w:rsidP="0033382B">
      <w:pPr>
        <w:pStyle w:val="TextoNormal"/>
      </w:pPr>
      <w:r>
        <w:t>El cuarto párrafo comienza diciendo que “de la ausencia de dicho trámite pudiera deducirse una inconstitucionalidad sobrevenida, por infracción de lo establecido en el art. 149.1.1, 13, 18 y 23 CE”, preceptos que transcribe. Acto seguido dice que: “y ello como consecuencia de la naturaleza básica de la referida normativa estatal, puesto ello en relación con el objeto del presente recurso, el Decreto 187/2011, por el que la Consellería de Consellería de Medio Ambiente, Territorio e Infraestructuras acordó la suspensión parcial de la vigencia del plan general de ordenación municipal de Ourense 1986, así como la ordenación urbanística provisional hasta la entrada en vigor del nuevo planeamiento, puesto que se interesa por la parte demandante la anulación de este decreto. Y partiendo del criterio contenido en la STS de 5 de febrero de 2014, estimatoria del recurso de esta Sala y Sección de 20 de enero de 2011, al considerar que a pesar del carácter de la ordenación provisional, es preceptivo el trámite de la información pública por tratarse de una disposición general (arts. 9.2 y 105 CE, 6.1 de la Ley 6/1998 y 11 del texto refundido de la Ley de suelo)”.</w:t>
      </w:r>
    </w:p>
    <w:p w:rsidR="0033382B" w:rsidRDefault="0033382B" w:rsidP="0033382B">
      <w:pPr>
        <w:pStyle w:val="TextoNormal"/>
      </w:pPr>
    </w:p>
    <w:p w:rsidR="0033382B" w:rsidRDefault="0033382B" w:rsidP="0033382B">
      <w:pPr>
        <w:pStyle w:val="TextoNormal"/>
      </w:pPr>
      <w:r>
        <w:t>El párrafo quinto dice que “no cabe aceptar que no se aprecie que la contradicción sea efectiva e insalvable porque el legislador autonómico ha establecido a través de este precepto un procedimiento especial, como puede hacer en materias de su competencia”. Y afirma también que “finalmente, y en relación a la naturaleza de medida cautelar de la suspensión del planeamiento, en la STC (</w:t>
      </w:r>
      <w:r w:rsidRPr="0033382B">
        <w:rPr>
          <w:i/>
        </w:rPr>
        <w:t>sic</w:t>
      </w:r>
      <w:r>
        <w:t>) así se considera, pero ello es en el supuesto en que su adopción se realizaba para salvaguardar la eficacia de las competencias autonómicas de ordenación territorial regulando el régimen de adaptación de los instrumentos de planificación y urbanísticos municipales a las supraordenadas Directrices de Ordenación del Territorio, pero nada dice la sentencia sobre el procedimiento a seguir”.</w:t>
      </w:r>
    </w:p>
    <w:p w:rsidR="0033382B" w:rsidRDefault="0033382B" w:rsidP="0033382B">
      <w:pPr>
        <w:pStyle w:val="TextoNormal"/>
      </w:pPr>
    </w:p>
    <w:p w:rsidR="0033382B" w:rsidRDefault="0033382B" w:rsidP="0033382B">
      <w:pPr>
        <w:pStyle w:val="TextoNormal"/>
      </w:pPr>
      <w:r>
        <w:t xml:space="preserve">Destina el último párrafo a justificar que no es aplicable el art. 11.1 del texto refundido de la Ley de suelo como norma prevalente. Según las SSTC 187/2012 y 177/2013, un órgano judicial no puede fiscalizar las normas postconstitucionales con rango de ley, dado que el constituyente ha querido sustraer al Juez ordinario la posibilidad de inaplicar una ley postconstitucional ante un eventual juicio de incompatibilidad con la Constitución, puesto que la depuración del ordenamiento legal, vigente la Constitución, corresponde de forma exclusiva al Tribunal Constitucional, que tiene la competencia y la jurisdicción para declarar, con eficacia </w:t>
      </w:r>
      <w:r w:rsidRPr="0033382B">
        <w:rPr>
          <w:i/>
        </w:rPr>
        <w:t>erga omnes</w:t>
      </w:r>
      <w:r>
        <w:t>, la inconstitucionalidad de las leyes. Según la STC 159/2012 esta doctrina también es aplicable a las leyes que devienen disconformes con la Constitución por la modificación posterior.</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16 de febrero de 2016 la Sección Tercera de este Tribunal acordó, a los efectos que determina el art. 37.1 de la Ley Orgánica del Tribunal Constitucional, oír al Fiscal General del Estado para que en el plazo de diez días alegase acerca de la admisibilidad de la presente cuestión de inconstitucionalidad, por si faltasen requisitos de procedibilidad o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El Fiscal General del Estado, en escrito registrado el 14 de marzo de 2016, razona que no es adecuado el juicio de relevancia formulado por la Sala porque “no se ha planteado un extremo que a simple vista parece fundamental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9/2002, que previene expresamente el trámite de información pública en el procedimiento ordinario de aprobación de un plan general. […] Omisiones estas que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0033382B" w:rsidRDefault="0033382B" w:rsidP="0033382B">
      <w:pPr>
        <w:pStyle w:val="TextoNormal"/>
      </w:pPr>
    </w:p>
    <w:p w:rsidR="0033382B" w:rsidRDefault="0033382B" w:rsidP="0033382B">
      <w:pPr>
        <w:pStyle w:val="TextoNormal"/>
      </w:pPr>
      <w:r>
        <w:t>Sostiene igualmente que la duda de constitucionalidad debe reputarse notoriamente infundada en el sentido que tiene esta expresión en la ATC 165/2001, FJ 2, tal y como se ha declarado “en el Auto recaído en la cuestión de inconstitucionalidad número 6576/2015 con fecha 3 de febrero de 2016, FJ 3”, según el cual en el art. 96 de la Ley 9/2002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9/2002; vii) que el art. 96 de la Ley 9/2002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9/2002 y el art. 11.1 del texto refundido de la Ley de suelo, lo que determina que la presente cuestión deba considerarse notoriamente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respecto del art. 96 de la Ley del Parlamento 9/2002, de 30 de diciembre, de ordenación urbanística y protección del medio rural de Galicia (en adelante, de la Ley 9/2002). Del modo consignado en los antecedentes, la Sala afirma que la no previsión de un trámite de información pública determina que el art. 96 de la Ley 9/2002, por ser incompatible con el art. 11 del texto refundido de la Ley de suelo (“todos los instrumentos de ordenación territorial y de ordenación y ejecución urbanísticas deben ser sometidos al trámite de información pública”), desconozca lo previsto en los números 1, 13, 18 y 23 del art. 149.1 CE.</w:t>
      </w:r>
    </w:p>
    <w:p w:rsidR="0033382B" w:rsidRDefault="0033382B" w:rsidP="0033382B">
      <w:pPr>
        <w:pStyle w:val="TextoNormal"/>
      </w:pPr>
    </w:p>
    <w:p w:rsidR="0033382B" w:rsidRDefault="0033382B" w:rsidP="0033382B">
      <w:pPr>
        <w:pStyle w:val="TextoNormal"/>
      </w:pPr>
      <w:r>
        <w:t>La Fiscal General del Estado sostiene que la Sala no ha formulado adecuadamente el juicio de relevancia porque “no se ha planteado un extremo que a simple vista parece fundamental y que, de haber sido contemplado, podría haber provocado que esa Sala ni siquiera hubiera llegado a plantear la presente cuestión”. Además, en virtud las razones detalladas en los antecedentes, entiende que la cuestión es notoriamente infundada, como ya se ha declarado en el ATC 23/2016, de 3 de febrero. Por todo ello, insta su inadmisión.</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0033382B" w:rsidRDefault="0033382B" w:rsidP="0033382B">
      <w:pPr>
        <w:pStyle w:val="TextoNormal"/>
      </w:pPr>
    </w:p>
    <w:p w:rsidR="0033382B" w:rsidRDefault="0033382B" w:rsidP="0033382B">
      <w:pPr>
        <w:pStyle w:val="TextoNormal"/>
      </w:pPr>
      <w:r>
        <w:t>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0033382B" w:rsidRDefault="0033382B" w:rsidP="0033382B">
      <w:pPr>
        <w:pStyle w:val="TextoNormal"/>
      </w:pPr>
    </w:p>
    <w:p w:rsidR="0033382B" w:rsidRDefault="0033382B" w:rsidP="0033382B">
      <w:pPr>
        <w:pStyle w:val="TextoNormal"/>
      </w:pPr>
      <w:r>
        <w:t xml:space="preserve">Aunque en los escritos mediante los que las partes y el Fiscal evacuan el trámite de audiencia </w:t>
      </w:r>
      <w:r w:rsidRPr="0033382B">
        <w:rPr>
          <w:i/>
        </w:rPr>
        <w:t>ex</w:t>
      </w:r>
      <w:r>
        <w:t xml:space="preserve"> art. 35 LOTC, así como en la Sentencia de la del Tribunal Supremo de 5 de febrero de 2014 a la que alude en los antecedentes de hecho, constan muchas e importantes objeciones en relación a la cuestión de inconstitucionalidad que pretende plantear, el Auto de 3 de noviembre de 2015 no realiza “un pormenorizado análisis de las graves cuestiones que se suscitan”. En este mismo sentido se expresan las alegaciones de la Fiscal General del Estado, en las que se destaca que el órgano judicial omite la consideración de elementos fundamentales que inciden en su duda de constitucionalidad, pues “no se plantea si no podría garantizarse en todo caso la efectividad de ese trámite de información pública … mediante la aplicación de las previsiones establecidas en el art. 86 de la Ley 30/1992, … en el art. 11 [del texto refundido de la Ley de suelo] … o, incluso, en el art. 85 de la Ley 9/2002”.</w:t>
      </w:r>
    </w:p>
    <w:p w:rsidR="0033382B" w:rsidRDefault="0033382B" w:rsidP="0033382B">
      <w:pPr>
        <w:pStyle w:val="TextoNormal"/>
      </w:pPr>
    </w:p>
    <w:p w:rsidR="0033382B" w:rsidRDefault="0033382B" w:rsidP="0033382B">
      <w:pPr>
        <w:pStyle w:val="TextoNormal"/>
      </w:pPr>
      <w:r>
        <w:t>En primer lugar, la citada Sentencia de la Sala de lo Contencioso-Administrativo del Tribunal Supremo de 5 de febrero de 2014, sin necesidad de acudir al criterio de prevalencia, consideró aplicable el art. 11.1 del texto refundido de la Ley de suelo. Entendió, por tanto, que el art. 96 de la Ley 9/2002 y el art. 11.1 del texto refundido de la Ley de suelo no se contradicen de un modo insalvable sino que, en realidad, son compatibles. En otras palabras, el silencio del primero sobre la necesidad de un expediente de información pública no excluiría, según el Tribunal Supremo, que la Administración deba practicar tal trámite en aplicación del segundo. Dicha Sentencia, además, puso de relieve que la Administración gallega, en un supuesto similar en relación a la suspensión del plan general de ordenación municipal de O Grove, no había tenido problema en abrir un trámite de información pública, a pesar de la dicción del art. 52 de la Ley gallega 1/1997 (que el propio Auto de planteamiento dice que es el antecedente directo del art. 96 de la Ley 9/2002 y que es de contenido similar). La parte actora sostiene también, y con idéntica ratio a la Sentencia del Tribunal Supremo, la posibilidad de aplicar el art. 96 de la Ley 9/2002 y el art. 11 del texto refundido de la Ley de suelo a un mismo tiempo.</w:t>
      </w:r>
    </w:p>
    <w:p w:rsidR="0033382B" w:rsidRDefault="0033382B" w:rsidP="0033382B">
      <w:pPr>
        <w:pStyle w:val="TextoNormal"/>
      </w:pPr>
    </w:p>
    <w:p w:rsidR="0033382B" w:rsidRDefault="0033382B" w:rsidP="0033382B">
      <w:pPr>
        <w:pStyle w:val="TextoNormal"/>
      </w:pPr>
      <w:r>
        <w:t>Por su parte, el Concello de Ourense, la entidad codemandada Desarrollos comerciales de ocio e inmobiliarios de Ourense y el Letrado de la Xunta de Galicia mantienen que el art. 96 de la Ley 9/2002 es incompatible con el art. 11 del texto refundido de la Ley de suelo, pero que ello no supone la inconstitucionalidad del primero porque no regula un disposición administrativa sino una medida cautelar, todo ello apoyado en las razones consignadas en los antecedentes de esta resolución.</w:t>
      </w:r>
    </w:p>
    <w:p w:rsidR="0033382B" w:rsidRDefault="0033382B" w:rsidP="0033382B">
      <w:pPr>
        <w:pStyle w:val="TextoNormal"/>
      </w:pPr>
    </w:p>
    <w:p w:rsidR="0033382B" w:rsidRDefault="0033382B" w:rsidP="0033382B">
      <w:pPr>
        <w:pStyle w:val="TextoNormal"/>
      </w:pPr>
      <w:r>
        <w:t>Frente a este conjunto de objeciones, el análisis que realiza el órgano judicial es insuficiente. Admitido que el art. 11.1 del texto refundido de la Ley de suelo resultase amparado por los títulos competenciales aludidos en el número 1 de la disposición final primera, sería necesario además para sostener la inconstitucionalidad del art. 96 de la Ley 9/2002 dos condiciones. La primera es que el art. 96 de la Ley 9/2002 excluyera al art. 11 del texto refundido de la Ley de suelo. A ello alude el Auto de planteamiento cuando dice que “el legislador autonómico ha establecido a través de este precepto un procedimiento especial, como puede hacer en materias de su competencia” Sin embargo, un análisis pormenorizado de la cuestión habría exigido, aparte de examinar el alcance de la competencia autonómica en materia de urbanismo, analizar el concreto contenido normativo del art.96 de la Ley 9/2002 para verificar si realmente regula un procedimiento especial de elaboración de la ordenación urbanística provisional, sobre todo cuando, según se razona en el siguiente fundamento jurídico al examinar el carácter notoriamente infundado de la duda de constitucionalidad, parece obvio que no contiene ningún procedimiento especial de elaboración de la ordenación urbanística provisional.</w:t>
      </w:r>
    </w:p>
    <w:p w:rsidR="0033382B" w:rsidRDefault="0033382B" w:rsidP="0033382B">
      <w:pPr>
        <w:pStyle w:val="TextoNormal"/>
      </w:pPr>
    </w:p>
    <w:p w:rsidR="0033382B" w:rsidRDefault="0033382B" w:rsidP="0033382B">
      <w:pPr>
        <w:pStyle w:val="TextoNormal"/>
      </w:pPr>
      <w:r>
        <w:t>La segunda condición es que el art. 96 de la Ley 9/2002 regulase una disposición administrativa y no una medida cautelar, cuestión esta sobre la que se limita a señalar que la STC 36/1994, esgrimida por el Concello de Ourense en apoyo de la calificación como medida cautelar, resolvió una asunto particular y, por ello, su doctrina no es aplicable a este caso. No se pronuncia, sin embargo, sobre los más incisivos argumentos que, para justificar la calificación como medida cautelar, exponen la entidad codemandada Desarrollos comerciales de ocio e inmobiliarios de Ourense y el Letrado de la Xunta de Galicia, ni tampoco sobre el resto de los que utilizó con ese objeto el Concello de Ourense.</w:t>
      </w:r>
    </w:p>
    <w:p w:rsidR="0033382B" w:rsidRDefault="0033382B" w:rsidP="0033382B">
      <w:pPr>
        <w:pStyle w:val="TextoNormal"/>
      </w:pPr>
    </w:p>
    <w:p w:rsidR="0033382B" w:rsidRDefault="0033382B" w:rsidP="0033382B">
      <w:pPr>
        <w:pStyle w:val="TextoNormal"/>
      </w:pPr>
      <w:r>
        <w:t>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3</w:t>
      </w:r>
      <w:r>
        <w:t>.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resuelto en el Auto 23/2016, de 3 de febrero, FJ 3, en los términos que a continuación se reiteran en lo que resulta relevante.</w:t>
      </w:r>
    </w:p>
    <w:p w:rsidR="0033382B" w:rsidRDefault="0033382B" w:rsidP="0033382B">
      <w:pPr>
        <w:pStyle w:val="TextoNormal"/>
      </w:pPr>
    </w:p>
    <w:p w:rsidR="0033382B" w:rsidRDefault="0033382B" w:rsidP="0033382B">
      <w:pPr>
        <w:pStyle w:val="TextoNormal"/>
      </w:pPr>
      <w:r>
        <w:t>El Auto de planteamiento señala que el art. 96 de la Ley 9/2002 contradice el art. 11.1 del texto refundido de la Ley de suelo,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0033382B" w:rsidRDefault="0033382B" w:rsidP="0033382B">
      <w:pPr>
        <w:pStyle w:val="TextoNormal"/>
      </w:pPr>
    </w:p>
    <w:p w:rsidR="0033382B" w:rsidRDefault="0033382B" w:rsidP="0033382B">
      <w:pPr>
        <w:pStyle w:val="TextoNormal"/>
      </w:pPr>
      <w:r>
        <w:t>Asentada esta premisa, procede examinar si hay contradicción efectiva e insalvable por vía interpretativa entre ambos preceptos. Lo primero que interesa a este efecto es si el art. 96 de la Ley 9/2002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su conexión con el proceso de cambio de ordenación urbanística, pero tampoco su eficacia normativa durante todo ese periodo intermedio, que incluso no tiene límite temporal en la redacción del art. 96 de la Ley 9/2002, prolongándose en la práctica durante años.</w:t>
      </w:r>
    </w:p>
    <w:p w:rsidR="0033382B" w:rsidRDefault="0033382B" w:rsidP="0033382B">
      <w:pPr>
        <w:pStyle w:val="TextoNormal"/>
      </w:pPr>
    </w:p>
    <w:p w:rsidR="0033382B" w:rsidRDefault="0033382B" w:rsidP="0033382B">
      <w:pPr>
        <w:pStyle w:val="TextoNormal"/>
      </w:pPr>
      <w:r>
        <w:t>Siguiendo con esta distinción, se aprecia que el art. 96 de la Ley 9/2002,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9/2002 no regula un procedimiento especial de elaboración de esta disposición normativa, de donde se deriva que, como resalta la referida sentencia de 5 de febrero de 2014,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En fin, conforme a este planteamiento, queda claro que no hay contradicción efectiva e insalvable por vía interpretativa entre los preceptos estatal y autonómico indicados, lo que determina que la presente cuestión deba considerarse notoriamente infundada, según ha configurado este concepto la doctrina constitucional (ATC 121/2015, de 7 de julio, FJ 2).</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 núm. 6758-2015, planteada por la Sección Segunda de la Sala de lo Contencioso-Administrativo del Tribunal Superior de Justicia de Galicia.</w:t>
      </w:r>
    </w:p>
    <w:p w:rsidR="0033382B" w:rsidRDefault="0033382B" w:rsidP="0033382B">
      <w:pPr>
        <w:pStyle w:val="TextoNormal"/>
      </w:pPr>
    </w:p>
    <w:p w:rsidR="0033382B" w:rsidRDefault="0033382B" w:rsidP="0033382B">
      <w:pPr>
        <w:pStyle w:val="TextoNormal"/>
      </w:pPr>
      <w:r>
        <w:t>Madrid, a veintiséis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16" w:name="AUTO_2016_89"/>
      <w:r>
        <w:t>AUTO 89/2016, de 26 de abril de 2016</w:t>
      </w:r>
    </w:p>
    <w:bookmarkEnd w:id="216"/>
    <w:p w:rsidR="0033382B" w:rsidRDefault="0033382B" w:rsidP="0033382B">
      <w:pPr>
        <w:pStyle w:val="TtuloResolucin"/>
      </w:pPr>
      <w:r>
        <w:t>Pleno</w:t>
      </w:r>
    </w:p>
    <w:p w:rsidR="0033382B" w:rsidRDefault="0033382B" w:rsidP="0033382B">
      <w:pPr>
        <w:pStyle w:val="TextoNormalCentrado"/>
      </w:pPr>
      <w:r>
        <w:t>ECLI:ES:TC:2016:89A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parcial en el recurso de inconstitucionalidad 6972-2015, interpuesto por el Presidente del Gobierno en relación con varios preceptos la Ley Foral 15/2015, de 10 de abril, por la que se modifica la Ley Foral 8/2007, de 23 de marzo, de las policías de Navarra.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Mediante escrito presentado en el Registro General de este Tribunal Constitucional el día 7 de diciembre de 2015, el Abogado del Estado, en nombre del Presidente del Gobierno, interpone recurso de inconstitucionalidad contra los siguientes apartados del artículo único de la Ley Foral 15/2015, de 10 de abril, por la que se modifica la Ley Foral 8/2007, de 23 de marzo, de las policías de Navarra: 3 [por cuanto respecta a los apartados 1 y 2 del nuevo artículo 5 </w:t>
      </w:r>
      <w:r w:rsidRPr="0033382B">
        <w:rPr>
          <w:i/>
        </w:rPr>
        <w:t>ter</w:t>
      </w:r>
      <w:r>
        <w:t xml:space="preserve"> incluido en la Ley Foral 8/2007], 20 [por cuanto modifica el artículo 34.1 de la Ley Foral 8/2007 en lo que respecta a la aplicación a los cuerpos de policía local de su inciso final “o que cuenten con más de cinco años de antigüedad en dicho empleo, aunque carezcan de titulación”], 21 [por cuanto modifica el artículo 35.1 de la Ley Foral 8/2007 en lo que respecta a la aplicación a los cuerpos de policía local de su inciso final “o que cuenten con más de cinco años de antigüedad en dicho empleo, aunque carezcan de titulación”] y 34 [por cuanto se refiere a la aplicación del artículo 57.1 a los cuerpos de policía local exclusivamente], así como contra la disposición adicional primera de la citada Ley Foral 15/2015, de 10 de abril. El Abogado del Estado invocó el art. 161.2 CE en relación con el art. 30 de la Ley Orgánica del Tribunal Constitucional (LOTC) a fin de que se produjera la suspensión de la aplicación de dichos preceptos.</w:t>
      </w:r>
    </w:p>
    <w:p w:rsidR="0033382B" w:rsidRDefault="0033382B" w:rsidP="0033382B">
      <w:pPr>
        <w:pStyle w:val="TextoNormal"/>
      </w:pPr>
    </w:p>
    <w:p w:rsidR="0033382B" w:rsidRDefault="0033382B" w:rsidP="0033382B">
      <w:pPr>
        <w:pStyle w:val="TextoNormal"/>
      </w:pPr>
      <w:r w:rsidRPr="0033382B">
        <w:rPr>
          <w:rStyle w:val="NumeroAFNegritaCaracter"/>
        </w:rPr>
        <w:t>2</w:t>
      </w:r>
      <w:r>
        <w:t>. El Pleno, por providencia de 15 de diciembre de 2015, acordó, a propuesta de la Sección Segunda, admitir a trámite el recurso de inconstitucionalidad y dar traslado de la demanda y documentos presentados, conforme establece el art. 34 de la Ley Orgánica del Tribunal Constitucional (LOTC), al Congreso de los Diputados, al Senado y al Gobierno y al Parlamento de Navarra, por conducto de sus Presidentes, al objeto de que, en el plazo de 15 días, pudieran personarse en el proceso y formular las alegaciones que estimaren convenientes; tener por invocado por el Presidente del Gobierno el art. 161.2 CE, lo que, a su tenor y conforme dispone el art. 30 LOTC, produce la suspensión de la vigencia y aplicación de la Ley impugnada, desde la fecha de interposición del recurso —7 de diciembre de 2015— para las partes del proceso y desde el día en que aparezca publicada la suspensión en el “Boletín Oficial del Estado” para los terceros, lo que se comunicó a los Presidentes del Gobierno y del Parlamento de Navarra y, finalmente, publicar la incoación del recurso en el “Boletín Oficial del Estado” y en el “Boletín Oficial de Navarra”.</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escrito registrado el día 22 de diciembre de 2015, se comunicó que la Presidencia del Senado, en ejercicio de la delegación conferida por la Mesa de la Diputación Permanente en su reunión de 28 de octubre de 2015, había acordado dar por personada a la Cámara en este procedimiento y por ofrecida su colaboración a los efectos del art. 88.1 LOTC. Lo mismo hizo el Presidente del Congreso de los Diputados por escrito registrado el 12 de enero de 2016, en el que comunicaba el acuerdo de la Mesa de la Diputación Permanente de 29 de diciembre de 2015.</w:t>
      </w:r>
    </w:p>
    <w:p w:rsidR="0033382B" w:rsidRDefault="0033382B" w:rsidP="0033382B">
      <w:pPr>
        <w:pStyle w:val="TextoNormal"/>
      </w:pPr>
    </w:p>
    <w:p w:rsidR="0033382B" w:rsidRDefault="0033382B" w:rsidP="0033382B">
      <w:pPr>
        <w:pStyle w:val="TextoNormal"/>
      </w:pPr>
      <w:r w:rsidRPr="0033382B">
        <w:rPr>
          <w:rStyle w:val="NumeroAFNegritaCaracter"/>
        </w:rPr>
        <w:t>4</w:t>
      </w:r>
      <w:r>
        <w:t>. El Parlamento de Navarra formuló sus alegaciones mediante escrito registrado el día 15 de enero de 2016, interesando la desestimación del recurso. Asimismo, solicitó que, transcurrido el plazo de cinco meses al que hacen referencia los arts. 161.2 CE y 30 LOTC, se diera audiencia al Parlamento de Navarra para la evacuación de trámite de levantamiento o ratificación de la suspensión.</w:t>
      </w:r>
    </w:p>
    <w:p w:rsidR="0033382B" w:rsidRDefault="0033382B" w:rsidP="0033382B">
      <w:pPr>
        <w:pStyle w:val="TextoNormal"/>
      </w:pPr>
    </w:p>
    <w:p w:rsidR="0033382B" w:rsidRDefault="0033382B" w:rsidP="0033382B">
      <w:pPr>
        <w:pStyle w:val="TextoNormal"/>
      </w:pPr>
      <w:r w:rsidRPr="0033382B">
        <w:rPr>
          <w:rStyle w:val="NumeroAFNegritaCaracter"/>
        </w:rPr>
        <w:t>5</w:t>
      </w:r>
      <w:r>
        <w:t>. El Gobierno de Navarra, por escrito registrado el día 18 de enero de 2016, solicita la desestimación del recurso y mediante otrosí solicita el levantamiento de la suspensión. Dejando a un lado, en este momento procesal, las alegaciones relativas a la oposición a la demanda que plantea el recurso de inconstitucionalidad, la representación procesal del Gobierno de Navarra pone de manifiesto la posibilidad de solicitar el levantamiento anticipado de la suspensión sin agotar el plazo de cinco meses (ATC 157/2008), citando la doctrina constitucional sobre los criterios a considerar para el levantamiento o mantenimiento de la suspensión. Considera que la aplicación de dichos criterios conlleva la procedencia de levantar la suspensión de la vigencia y la aplicación de los preceptos legales impugnados, en aras del interés público concernido que es el de la seguridad pública. A su juicio, la aplicación de los preceptos impugnados coadyuva a la realización del interés público, sin que en ningún caso resulte perjudicada ninguna competencia estatal ni el bien público, por lo que la ponderación de estos criterios conduce al levantamiento de la suspensión, por no derivarse ningún perjuicio o riesgo de la vigencia y aplicación de los preceptos impugnados y sí, en cambio, de su suspensión.</w:t>
      </w:r>
    </w:p>
    <w:p w:rsidR="0033382B" w:rsidRDefault="0033382B" w:rsidP="0033382B">
      <w:pPr>
        <w:pStyle w:val="TextoNormal"/>
      </w:pPr>
    </w:p>
    <w:p w:rsidR="0033382B" w:rsidRDefault="0033382B" w:rsidP="0033382B">
      <w:pPr>
        <w:pStyle w:val="TextoNormal"/>
      </w:pPr>
      <w:r w:rsidRPr="0033382B">
        <w:rPr>
          <w:rStyle w:val="NumeroAFNegritaCaracter"/>
        </w:rPr>
        <w:t>6</w:t>
      </w:r>
      <w:r>
        <w:t>. Por providencia de 19 de enero de 2016, el Pleno acordó incorporar a los Autos los escritos de alegaciones formulados por los Letrados del Parlamento de Navarra y de la Comunidad Foral de Navarra, en representación de dicho Parlamento y Gobierno, y en cuanto a la solicitud formulada por este último en otrosí sobre la suspensión de los preceptos objeto del recurso, oír a las partes personadas —Abogado del Estado, Parlamento de Navarra y Gobierno de Navarra— para que, en el plazo de cinco días, expusiesen lo que estimasen procedente sobre el levantamiento o mantenimiento de dicha suspensión.</w:t>
      </w:r>
    </w:p>
    <w:p w:rsidR="0033382B" w:rsidRDefault="0033382B" w:rsidP="0033382B">
      <w:pPr>
        <w:pStyle w:val="TextoNormal"/>
      </w:pPr>
    </w:p>
    <w:p w:rsidR="0033382B" w:rsidRDefault="0033382B" w:rsidP="0033382B">
      <w:pPr>
        <w:pStyle w:val="TextoNormal"/>
      </w:pPr>
      <w:r w:rsidRPr="0033382B">
        <w:rPr>
          <w:rStyle w:val="NumeroAFNegritaCaracter"/>
        </w:rPr>
        <w:t>7</w:t>
      </w:r>
      <w:r>
        <w:t>. El Abogado del Estado, por escrito registrado en este Tribunal el 27 de enero de 2016, formuló alegaciones solicitando el mantenimiento de la suspensión de los preceptos impugnados en el presente recurso de inconstitucionalidad, por los motivos que se exponen a continuación.</w:t>
      </w:r>
    </w:p>
    <w:p w:rsidR="0033382B" w:rsidRDefault="0033382B" w:rsidP="0033382B">
      <w:pPr>
        <w:pStyle w:val="TextoNormal"/>
      </w:pPr>
    </w:p>
    <w:p w:rsidR="0033382B" w:rsidRDefault="0033382B" w:rsidP="0033382B">
      <w:pPr>
        <w:pStyle w:val="TextoNormal"/>
      </w:pPr>
      <w:r>
        <w:t>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En fin, ha de procederse a considerar la gravedad de los perjuicios que originarían las situaciones de hecho que, previsiblemente, se producirían en caso de que se levantara o se mantuviera la suspensión.</w:t>
      </w:r>
    </w:p>
    <w:p w:rsidR="0033382B" w:rsidRDefault="0033382B" w:rsidP="0033382B">
      <w:pPr>
        <w:pStyle w:val="TextoNormal"/>
      </w:pPr>
    </w:p>
    <w:p w:rsidR="0033382B" w:rsidRDefault="0033382B" w:rsidP="0033382B">
      <w:pPr>
        <w:pStyle w:val="TextoNormal"/>
      </w:pPr>
      <w:r>
        <w:t>A continuación, el Abogado del Estado expone la doctrina de este Tribunal sobre suspensión en materia de seguridad pública (con cita de los AATC 309/1992, FJ 2; y 439/1990, FJ 4) y en materia de función pública (con cita de los AATC 161/2012, 87/2012, FJ 6; y 233/1997, FJ 3). Entiende el Abogado del Estado que “concurren en el presente caso, los supuestos de hecho que determinan la aplicación tanto de la doctrina referida a la función pública como la referida a los supuestos de gran relieve constitucional”.</w:t>
      </w:r>
    </w:p>
    <w:p w:rsidR="0033382B" w:rsidRDefault="0033382B" w:rsidP="0033382B">
      <w:pPr>
        <w:pStyle w:val="TextoNormal"/>
      </w:pPr>
    </w:p>
    <w:p w:rsidR="0033382B" w:rsidRDefault="0033382B" w:rsidP="0033382B">
      <w:pPr>
        <w:pStyle w:val="TextoNormal"/>
      </w:pPr>
      <w:r>
        <w:t>Entrando ya a abordar los concretos perjuicios que ocasionaría el levantamiento de la suspensión, el Abogado del Estado diferencia entre dos bloques de normas impugnadas:</w:t>
      </w:r>
    </w:p>
    <w:p w:rsidR="0033382B" w:rsidRDefault="0033382B" w:rsidP="0033382B">
      <w:pPr>
        <w:pStyle w:val="TextoNormal"/>
      </w:pPr>
    </w:p>
    <w:p w:rsidR="0033382B" w:rsidRDefault="0033382B" w:rsidP="0033382B">
      <w:pPr>
        <w:pStyle w:val="TextoNormal"/>
      </w:pPr>
      <w:r>
        <w:t xml:space="preserve">a) Un primer bloque, integrado por la impugnación del apartado tres del artículo único que introduce un nuevo artículo 5 </w:t>
      </w:r>
      <w:r w:rsidRPr="0033382B">
        <w:rPr>
          <w:i/>
        </w:rPr>
        <w:t>ter</w:t>
      </w:r>
      <w:r>
        <w:t xml:space="preserve"> en la Ley Foral 8/2007 que, al establecer a la policía foral como cauce único de comunicación y colaboración de la información y la investigación policial de la policía local a la policía foral, infringe la regulación contenida en la Ley Orgánica de las fuerzas y cuerpos de seguridad (LOFCS) respecto de las competencias de las juntas locales de seguridad previstas en su art. 54 y, en consecuencia, el art. 149.1.29 CE. La aplicación de dicha regulación, a su juicio, impide la comunicación directa de la policía local con las fuerzas y cuerpos de seguridad del Estado lo que puede producir distorsiones y disfunciones con un efecto directo sobre la seguridad ciudadana en detrimento de esta.</w:t>
      </w:r>
    </w:p>
    <w:p w:rsidR="0033382B" w:rsidRDefault="0033382B" w:rsidP="0033382B">
      <w:pPr>
        <w:pStyle w:val="TextoNormal"/>
      </w:pPr>
    </w:p>
    <w:p w:rsidR="0033382B" w:rsidRDefault="0033382B" w:rsidP="0033382B">
      <w:pPr>
        <w:pStyle w:val="TextoNormal"/>
      </w:pPr>
      <w:r>
        <w:t>El Abogado del Estado, con apoyo en un informe del Ministerio del Interior de 27 de enero de 2016, afirma que la Comunidad Foral de Navarra dispone de un sistema de seguridad pública singular conforme al cual la responsabilidad de la seguridad ciudadana se encuentra compartida entre las fuerzas y cuerpos de seguridad del Estado y la Policía Foral. En concreto, en diciembre de 2015 el montante de los recursos humanos que conforman los distintos cuerpos policiales del sistema de seguridad pública en la Comunidad Foral, aglutina un total de 3.281 agentes. De éstos 2.196 pertenecen a las fuerzas y cuerpos de seguridad del Estado y 1.085 a la Policía Foral, distribuidos territorialmente en 53 puestos de la Guardia Civil, 2 comisarías de la Policía Nacional y 7 comisarías de la Policía Foral de Navarra. El amplio despliegue de las fuerzas y cuerpos de seguridad del Estado en relación con el de la policía foral supone que la mayor parte de los municipios que disponen de policía local no cuenten con comisarías de la Policía Foral, por lo que es habitual y está consolidado el trabajo conjunto y coordinado de las policías locales con las fuerzas y cuerpos de seguridad del Estado.</w:t>
      </w:r>
    </w:p>
    <w:p w:rsidR="0033382B" w:rsidRDefault="0033382B" w:rsidP="0033382B">
      <w:pPr>
        <w:pStyle w:val="TextoNormal"/>
      </w:pPr>
    </w:p>
    <w:p w:rsidR="0033382B" w:rsidRDefault="0033382B" w:rsidP="0033382B">
      <w:pPr>
        <w:pStyle w:val="TextoNormal"/>
      </w:pPr>
      <w:r>
        <w:t>Atendiendo a dicha situación se considera que el establecimiento de la policía foral como cauce único de comunicación en el precepto impugnado distorsiona, limita y perjudica la actuación de las fuerzas y cuerpos de seguridad en su conjunto. En caso de levantarse la suspensión se producirían distorsiones, retrasos y falta de inmediatez en la prevención y persecución de los delitos y faltas, afectando no sólo al ámbito territorial de Navarra sino a los acuerdos celebrados por España con Francia en estas materias. Concretamente, se alega que el levantamiento de la suspensión provocaría:</w:t>
      </w:r>
    </w:p>
    <w:p w:rsidR="0033382B" w:rsidRDefault="0033382B" w:rsidP="0033382B">
      <w:pPr>
        <w:pStyle w:val="TextoNormal"/>
      </w:pPr>
    </w:p>
    <w:p w:rsidR="0033382B" w:rsidRDefault="0033382B" w:rsidP="0033382B">
      <w:pPr>
        <w:pStyle w:val="TextoNormal"/>
      </w:pPr>
      <w:r>
        <w:t>I. Inoperatividad del sistema de seguridad pública en la mayor parte de los municipios de Navarra por la fractura de la relación directa entre la policía local y los cuerpos y fuerzas de seguridad del Estado.</w:t>
      </w:r>
    </w:p>
    <w:p w:rsidR="0033382B" w:rsidRDefault="0033382B" w:rsidP="0033382B">
      <w:pPr>
        <w:pStyle w:val="TextoNormal"/>
      </w:pPr>
    </w:p>
    <w:p w:rsidR="0033382B" w:rsidRDefault="0033382B" w:rsidP="0033382B">
      <w:pPr>
        <w:pStyle w:val="TextoNormal"/>
      </w:pPr>
      <w:r>
        <w:t>II. Demora en las comunicaciones de información operativa perjudicando a la inmediatez de la actuación policial.</w:t>
      </w:r>
    </w:p>
    <w:p w:rsidR="0033382B" w:rsidRDefault="0033382B" w:rsidP="0033382B">
      <w:pPr>
        <w:pStyle w:val="TextoNormal"/>
      </w:pPr>
    </w:p>
    <w:p w:rsidR="0033382B" w:rsidRDefault="0033382B" w:rsidP="0033382B">
      <w:pPr>
        <w:pStyle w:val="TextoNormal"/>
      </w:pPr>
      <w:r>
        <w:t>III. Otorgamiento de un poder decisorio a la policía foral para circular o no una información, que no es de su competencia.</w:t>
      </w:r>
    </w:p>
    <w:p w:rsidR="0033382B" w:rsidRDefault="0033382B" w:rsidP="0033382B">
      <w:pPr>
        <w:pStyle w:val="TextoNormal"/>
      </w:pPr>
    </w:p>
    <w:p w:rsidR="0033382B" w:rsidRDefault="0033382B" w:rsidP="0033382B">
      <w:pPr>
        <w:pStyle w:val="TextoNormal"/>
      </w:pPr>
      <w:r>
        <w:t>IV. Traslados innecesarios de detenidos. Se entiende que es habitual en muchos casos, que los agentes de la policía local sorprendan delincuentes in fraganti, procedan a su detención e instruyan las primeras diligencias, que junto con el detenido son entregadas a las fuerzas y cuerpos de seguridad del Estado. El detenido queda ingresado en los calabozos de las fuerzas y cuerpos de seguridad del Estado, mientras estas continúan las diligencias policiales hasta su conclusión. Someter este proceso a la intermediación de la Policía Foral imposibilitaría este tipo de actuaciones, toda vez que dicho cuerpo no dispone de una red de instalaciones de custodia de detenidos equiparable a la de las fuerzas y cuerpos de seguridad del Estado, lo que obligaría a traslados innecesarios de detenidos, incluso fuera del partido judicial donde se produjo la detención.</w:t>
      </w:r>
    </w:p>
    <w:p w:rsidR="0033382B" w:rsidRDefault="0033382B" w:rsidP="0033382B">
      <w:pPr>
        <w:pStyle w:val="TextoNormal"/>
      </w:pPr>
    </w:p>
    <w:p w:rsidR="0033382B" w:rsidRDefault="0033382B" w:rsidP="0033382B">
      <w:pPr>
        <w:pStyle w:val="TextoNormal"/>
      </w:pPr>
      <w:r>
        <w:t>V. Alteración del normal funcionamiento de los servicios de información e inteligencia. “Canalizar la transmisión de la información a través de un cuerpo cuya competencia se limita a una sola provincia y que, por tanto, carece de elementos de juicio suficientes para valorar adecuadamente la importancia de la información, perjudicaría gravemente el desarrollo de las investigaciones, especialmente cuando se refieren a delincuencia organizada o terrorismo”.</w:t>
      </w:r>
    </w:p>
    <w:p w:rsidR="0033382B" w:rsidRDefault="0033382B" w:rsidP="0033382B">
      <w:pPr>
        <w:pStyle w:val="TextoNormal"/>
      </w:pPr>
    </w:p>
    <w:p w:rsidR="0033382B" w:rsidRDefault="0033382B" w:rsidP="0033382B">
      <w:pPr>
        <w:pStyle w:val="TextoNormal"/>
      </w:pPr>
      <w:r>
        <w:t>Ello podría tener, además, graves repercusiones en el ámbito internacional. Navarra es una Comunidad limítrofe con Francia, con quien España tiene firmado un convenio de cooperación transfronteriza en materia policial y aduanera. Este convenio establece que la colaboración con Francia se desarrollará en el ámbito policial a través de las fuerzas y cuerpos de seguridad del Estado, las cuales deben tener acceso directo a toda la información de interés policial de la zona fronteriza. La privación a las fuerzas y cuerpos de seguridad del Estado de esta información, o la demora en poder acceder a ella, podrían provocar que España incumpliese los compromisos adquiridos con Francia.</w:t>
      </w:r>
    </w:p>
    <w:p w:rsidR="0033382B" w:rsidRDefault="0033382B" w:rsidP="0033382B">
      <w:pPr>
        <w:pStyle w:val="TextoNormal"/>
      </w:pPr>
    </w:p>
    <w:p w:rsidR="0033382B" w:rsidRDefault="0033382B" w:rsidP="0033382B">
      <w:pPr>
        <w:pStyle w:val="TextoNormal"/>
      </w:pPr>
      <w:r>
        <w:t>VI. Interferencia en el desarrollo de las competencias de las fuerzas y cuerpos de seguridad del Estado en la Comunidad Foral de Navarra (por ejemplo, el control de armas y explosivos o el resguardo fiscal del Estado, en el caso de la Guardia Civil).</w:t>
      </w:r>
    </w:p>
    <w:p w:rsidR="0033382B" w:rsidRDefault="0033382B" w:rsidP="0033382B">
      <w:pPr>
        <w:pStyle w:val="TextoNormal"/>
      </w:pPr>
    </w:p>
    <w:p w:rsidR="0033382B" w:rsidRDefault="0033382B" w:rsidP="0033382B">
      <w:pPr>
        <w:pStyle w:val="TextoNormal"/>
      </w:pPr>
      <w:r>
        <w:t>b) En relación con el resto de los preceptos impugnados, el Abogado del Estado afirma que se trata de cuestiones referidas a la función pública. En este ámbito se considera de aplicación la doctrina del Tribunal Constitucional anteriormente reseñada. Además, aporta un informe del Ministerio de Hacienda y Administraciones Públicas de 23 de diciembre de 2015, en el que se pone de manifiesto que los arts. 34.1 y 35.1 de la Ley Foral 8/2007, que se entiende sustituyen la titulación por la antigüedad en el acceso a los empleos de subinspector e inspector, crearían perjuicios de imposible o difícil reparación, al crear expectativas entre los miembros del cuerpo y, en el supuesto de que se nombrara un funcionario para dichos puestos, “supondría un perjuicio para el nombrado al ser nulo su nombramiento”. Además, respecto al art. 57 de la Ley Foral 8/2007, afirma que “aparte de infringir la nueva redacción el artículo 52 de LOFCS, así como la Ley Orgánica 4/2010, de 20 de mayo, de Régimen Disciplinario del Cuerpo Nacional de Policía y el artículo 149.1.29 de la Constitución Española, legisla a favor de la Policía Local en materia disciplinaria, y superpone la normativa foral por encima de la normativa estatal. El cumplimiento de esta disposición puede suponer la creación de un caldo de cultivo de insubordinación, crear situaciones disciplinarias de difícil solución, podría crear graves disciplinarias (</w:t>
      </w:r>
      <w:r w:rsidRPr="0033382B">
        <w:rPr>
          <w:i/>
        </w:rPr>
        <w:t>sic</w:t>
      </w:r>
      <w:r>
        <w:t>) y conflictos constantes de competencias de la Administración General del Estado y la comunidad Foral”. En relación con la disposición adicional primera de la Ley Foral 15/2015 se señala que “implanta en el ámbito de la policía local pruebas restringidas e integraciones automáticas anuladas reiteradamente por la jurisprudencia del Tribunal Constitucional por infringir el artículo 149.1.18 de la Constitución Española y el artículo 23 de la misma. Crea un sistema que rompe el principio de igualdad de acceso al empleo público, les aplica unos requisitos de titulación no admitidos por la normativa básica y crea un sistema de selección injusto, inadecuado y de consecuencias de difícil reparación para los ciudadanos y por la propia condición y normalidad del propio Cuerpo de la Policía Local”.</w:t>
      </w:r>
    </w:p>
    <w:p w:rsidR="0033382B" w:rsidRDefault="0033382B" w:rsidP="0033382B">
      <w:pPr>
        <w:pStyle w:val="TextoNormal"/>
      </w:pPr>
    </w:p>
    <w:p w:rsidR="0033382B" w:rsidRDefault="0033382B" w:rsidP="0033382B">
      <w:pPr>
        <w:pStyle w:val="TextoNormal"/>
      </w:pPr>
      <w:r w:rsidRPr="0033382B">
        <w:rPr>
          <w:rStyle w:val="NumeroAFNegritaCaracter"/>
        </w:rPr>
        <w:t>8</w:t>
      </w:r>
      <w:r>
        <w:t>. La representante del Gobierno de Navarra, mediante escrito presentado en el Registro General de este Tribunal con fecha de 2 de febrero de 2016 evacuó el trámite conferido mediante providencia de 19 de enero, interesando el levantamiento de la suspensión. Tras poner de manifiesto la posibilidad de solicitar el levantamiento anticipado de la suspensión sin agotar el plazo de cinco meses (ATC 157/2008), se refiere a la doctrina constitucional sobre los criterios a considerar para el levantamiento o mantenimiento de la suspensión. A continuación, pone de manifiesto que nos encontramos ante una suspensión automática y que la petición de suspensión no se refiere exactamente a los preceptos impugnados, impugnación que en su mayor parte es parcial y sólo afecta a su aplicación a los cuerpos de policía local. Al respecto, y en la medida en que la demanda no cuestiona la aplicación de dichos preceptos a la Policía Foral no se justifican los perjuicios que pueden conllevar los mismos en su aplicación a los cuerpos de policía local.</w:t>
      </w:r>
    </w:p>
    <w:p w:rsidR="0033382B" w:rsidRDefault="0033382B" w:rsidP="0033382B">
      <w:pPr>
        <w:pStyle w:val="TextoNormal"/>
      </w:pPr>
    </w:p>
    <w:p w:rsidR="0033382B" w:rsidRDefault="0033382B" w:rsidP="0033382B">
      <w:pPr>
        <w:pStyle w:val="TextoNormal"/>
      </w:pPr>
      <w:r>
        <w:t>Atendiendo a la doctrina constitucional citada y a lo ya manifestado en el escrito inicial de alegaciones, considera que ha de levantarse la suspensión de los preceptos impugnados ya que la aplicación de los mismos coadyuva al mantenimiento de la seguridad pública sin que en ningún caso resulte perjudicada ninguna competencia estatal y menos aún el bien público. En cambio, del mantenimiento de la suspensión se derivarán graves perjuicios para la seguridad pública así como para terceros; impedirá que se dé prioridad al interés general de la cobertura de plazas de inspector y subinspector, imprescindible para garantizar que la Policía Foral y las policías locales puedan desarrollar las importantes funciones que tienen asignadas; y, por lo que respecta al régimen disciplinario, se crearán graves disfunciones cuyas consecuencias son difíciles de predecir en este momento temporal. Concretamente, los perjuicios aducidos son los siguientes:</w:t>
      </w:r>
    </w:p>
    <w:p w:rsidR="0033382B" w:rsidRDefault="0033382B" w:rsidP="0033382B">
      <w:pPr>
        <w:pStyle w:val="TextoNormal"/>
      </w:pPr>
    </w:p>
    <w:p w:rsidR="0033382B" w:rsidRDefault="0033382B" w:rsidP="0033382B">
      <w:pPr>
        <w:pStyle w:val="TextoNormal"/>
      </w:pPr>
      <w:r>
        <w:t xml:space="preserve">a) El mantenimiento de la suspensión del artículo 5 </w:t>
      </w:r>
      <w:r w:rsidRPr="0033382B">
        <w:rPr>
          <w:i/>
        </w:rPr>
        <w:t>ter</w:t>
      </w:r>
      <w:r>
        <w:t xml:space="preserve"> afectaría a las relaciones de cooperación que rigen las relaciones entre la Policía Foral y las policías locales, y en consecuencia, al servicio de seguridad pública que tienen encomendado, con el consiguiente perjuicio a los ciudadanos. Además, conforme al ordenamiento vigente no desaparece el cauce de colaboración de las fuerzas y cuerpos de seguridad a través de las juntas locales de seguridad (tampoco de la Junta de seguridad) y queda garantizado que los cuerpos estatales conozcan siempre la información de interés para la seguridad. Por otra parte, en la medida en que el motivo de inconstitucionalidad alegado en la demanda se concreta en la vulneración del art. 54 LOFCS y del Real Decreto 1087/2010, no se afecta a la apariencia de buen derecho ya que la constitución de las juntas locales de seguridad es potestativa, según el tenor literal del citado art. 54 LOFCS, y el Real Decreto 1087/2010 expresamente establece, en su disposición adicional única, que el mismo no es aplicable a las Comunidades Autónomas con cuerpo de policía propio, con competencia para la protección de las personas y bienes y para el mantenimiento del orden público, entre las que se encuentra la Comunidad Foral de Navarra.</w:t>
      </w:r>
    </w:p>
    <w:p w:rsidR="0033382B" w:rsidRDefault="0033382B" w:rsidP="0033382B">
      <w:pPr>
        <w:pStyle w:val="TextoNormal"/>
      </w:pPr>
    </w:p>
    <w:p w:rsidR="0033382B" w:rsidRDefault="0033382B" w:rsidP="0033382B">
      <w:pPr>
        <w:pStyle w:val="TextoNormal"/>
      </w:pPr>
      <w:r>
        <w:t>b) El mantenimiento de la suspensión de los apartados veinte y veintiuno del art. único de la Ley Foral 15/2015 conllevaría problemas de organización de los cuerpos de policía de Navarra, repercutiría muy gravemente en la seguridad pública y en el ejercicio de las funciones que desempeñan los cuerpos de policía de Navarra e impediría la promoción profesional de los mismos.</w:t>
      </w:r>
    </w:p>
    <w:p w:rsidR="0033382B" w:rsidRDefault="0033382B" w:rsidP="0033382B">
      <w:pPr>
        <w:pStyle w:val="TextoNormal"/>
      </w:pPr>
    </w:p>
    <w:p w:rsidR="0033382B" w:rsidRDefault="0033382B" w:rsidP="0033382B">
      <w:pPr>
        <w:pStyle w:val="TextoNormal"/>
      </w:pPr>
      <w:r>
        <w:t>c) El mantenimiento de la suspensión del apartado treinta y cuatro del art. único de la Ley Foral 15/2015 (art. 57 de la Ley Foral 8/2007) generaría una gran incertidumbre en la que podrían quedar impunes las infracciones cometidas por dicho personal, lo que sin duda alguna, afectaría de forma negativa a los cuerpos de policía de Navarra.</w:t>
      </w:r>
    </w:p>
    <w:p w:rsidR="0033382B" w:rsidRDefault="0033382B" w:rsidP="0033382B">
      <w:pPr>
        <w:pStyle w:val="TextoNormal"/>
      </w:pPr>
    </w:p>
    <w:p w:rsidR="0033382B" w:rsidRDefault="0033382B" w:rsidP="0033382B">
      <w:pPr>
        <w:pStyle w:val="TextoNormal"/>
      </w:pPr>
      <w:r>
        <w:t>d) Finalmente, en la medida en que la disposición adicional primera de la Ley Foral 15/2015 es igual a la disposición adicional segunda de la Ley de la Comunidad Autónoma de Galicia 4/2007, de 20 de abril de coordinación de policías locales y no consta que contra esta última se haya formulado recurso de inconstitucionalidad alguno, no se alcanza a “adivinar las consecuencias irreparables o de difícil reparación se seguirían de la vigencia y aplicación de la disposición adicional primera de la Ley Foral 15/2015”.</w:t>
      </w:r>
    </w:p>
    <w:p w:rsidR="0033382B" w:rsidRDefault="0033382B" w:rsidP="0033382B">
      <w:pPr>
        <w:pStyle w:val="TextoNormal"/>
      </w:pPr>
    </w:p>
    <w:p w:rsidR="0033382B" w:rsidRDefault="0033382B" w:rsidP="0033382B">
      <w:pPr>
        <w:pStyle w:val="TextoNormal"/>
      </w:pPr>
      <w:r w:rsidRPr="0033382B">
        <w:rPr>
          <w:rStyle w:val="NumeroAFNegritaCaracter"/>
        </w:rPr>
        <w:t>9</w:t>
      </w:r>
      <w:r>
        <w:t>. Por escrito registrado con fecha 5 de febrero de 2016, el Letrado del Parlamento de Navarra solicitó el levantamiento de la suspensión. Comienza recordando algunos aspectos de la doctrina constitucional sobre el mantenimiento o levantamiento de la suspensión inicialmente acordada en virtud del art. 161.2 CE. Señala que el Tribunal Constitucional ha reconocido que la suspensión, cuando se produce, “crea una situación que cabe definir como provisional y en buena medida excepcional, por lo que el efecto limitativo de la eficacia de una norma que dicho automatismo comporta no puede ser prolongado sin una justificación expresa y suficiente” (ATC 178/1986, de 20 de febrero, FJ 1). Recuerda que, según doctrina reiterada, el plazo de los cinco meses que enuncia el art. 161.2 CE es un límite máximo, que no impide el levantamiento anterior de la suspensión inicialmente acordada. Afirma que el mantenimiento o el levantamiento de la suspensión debe decidirse ponderando el alcance y consecuencias que de ambas medidas se pudiera derivar tanto para los intereses públicos como para los particulares afectados, siendo uno de los criterios especialmente relevantes el de irreparabilidad o dificultad de reparación de los perjuicios que pudieran generarse, y que la suspensión no puede prolongarse en el tiempo sin la existencia de una justificación expresa y suficiente (ATC 221/1995, FJ 3).</w:t>
      </w:r>
    </w:p>
    <w:p w:rsidR="0033382B" w:rsidRDefault="0033382B" w:rsidP="0033382B">
      <w:pPr>
        <w:pStyle w:val="TextoNormal"/>
      </w:pPr>
    </w:p>
    <w:p w:rsidR="0033382B" w:rsidRDefault="0033382B" w:rsidP="0033382B">
      <w:pPr>
        <w:pStyle w:val="TextoNormal"/>
      </w:pPr>
      <w:r>
        <w:t>Entrando en la ponderación de las circunstancias del caso a la luz de la doctrina constitucional, el Letrado del Parlamento de Navarra alega, en primer lugar, la falta de argumentación que justifique la suspensión de la Ley Foral en el escrito de interposición del recurso de inconstitucionalidad, que se limita a invocar el art. 161.2 CE. Afirma que la presunción de constitucionalidad de la norma autonómica es causa suficiente para levantar la suspensión, máxime en unos momentos en que la tramitación del recurso puede demorarse más allá de un plazo razonable de resolución. Además señala que en todo incidente de suspensión es carga de la parte recurrente justificar los perjuicios que el levantamiento se derivan y a quien corresponde detallar los argumentos que la justifiquen (ATC 157/2008, de 12 de junio), lo que no se ha cumplido en el presente caso.</w:t>
      </w:r>
    </w:p>
    <w:p w:rsidR="0033382B" w:rsidRDefault="0033382B" w:rsidP="0033382B">
      <w:pPr>
        <w:pStyle w:val="TextoNormal"/>
      </w:pPr>
    </w:p>
    <w:p w:rsidR="0033382B" w:rsidRDefault="0033382B" w:rsidP="0033382B">
      <w:pPr>
        <w:pStyle w:val="TextoNormal"/>
      </w:pPr>
      <w:r>
        <w:t>Asimismo, y antes de referirse a cada uno de los preceptos impugnados, el Letrado del Parlamento de Navarra afirma que no se aprecia ningún perjuicio que impida el levantamiento de la suspensión, con base en las siguientes consideraciones: los principales efectos de la Ley Foral se difieren a 1 de octubre de 2016, conforme a la Ley Foral 25/2015, de 28 de diciembre, de modificación de la Ley Foral 15/2015, de 10 de abril, por la que se modifica la Ley Foral 8/2007, de 23 de marzo, de las policías de Navarra; los perjuicios que pueden alegarse no son sino discrepancias en cuanto al fondo del asunto; y, finalmente, los perjuicios alegados en todo caso, tienen carácter preventivo.</w:t>
      </w:r>
    </w:p>
    <w:p w:rsidR="0033382B" w:rsidRDefault="0033382B" w:rsidP="0033382B">
      <w:pPr>
        <w:pStyle w:val="TextoNormal"/>
      </w:pPr>
    </w:p>
    <w:p w:rsidR="0033382B" w:rsidRDefault="0033382B" w:rsidP="0033382B">
      <w:pPr>
        <w:pStyle w:val="TextoNormal"/>
      </w:pPr>
      <w:r>
        <w:t>Finalmente, respecto a cada uno de los preceptos impugnados, el representante del Parlamento de Navarra alega lo que, resumidamente, se expone a continuación:</w:t>
      </w:r>
    </w:p>
    <w:p w:rsidR="0033382B" w:rsidRDefault="0033382B" w:rsidP="0033382B">
      <w:pPr>
        <w:pStyle w:val="TextoNormal"/>
      </w:pPr>
    </w:p>
    <w:p w:rsidR="0033382B" w:rsidRDefault="0033382B" w:rsidP="0033382B">
      <w:pPr>
        <w:pStyle w:val="TextoNormal"/>
      </w:pPr>
      <w:r>
        <w:t xml:space="preserve">a) El levantamiento de la suspensión del art. 5 </w:t>
      </w:r>
      <w:r w:rsidRPr="0033382B">
        <w:rPr>
          <w:i/>
        </w:rPr>
        <w:t>ter</w:t>
      </w:r>
      <w:r>
        <w:t xml:space="preserve"> de la Ley 8/2007, en la redacción dada por la Ley Foral 15/2015, no comporta ningún perjuicio irreparable porque la impugnación carece de base competencial.</w:t>
      </w:r>
    </w:p>
    <w:p w:rsidR="0033382B" w:rsidRDefault="0033382B" w:rsidP="0033382B">
      <w:pPr>
        <w:pStyle w:val="TextoNormal"/>
      </w:pPr>
    </w:p>
    <w:p w:rsidR="0033382B" w:rsidRDefault="0033382B" w:rsidP="0033382B">
      <w:pPr>
        <w:pStyle w:val="TextoNormal"/>
      </w:pPr>
      <w:r>
        <w:t xml:space="preserve">b) Ha de levantarse la suspensión de los apartados veinte y veintiuno del artículo único de la Ley Foral 15/2015, que dan nueva redacción a los arts. 34.1 y 35.1 de la Ley Foral 8/2007 ya que la impugnación carece de fundamento al concretarse en la vulneración de un precepto derogado como es el art. 22 de la Ley 30/1984. Además, existe un derecho reaccional </w:t>
      </w:r>
      <w:r w:rsidRPr="0033382B">
        <w:rPr>
          <w:i/>
        </w:rPr>
        <w:t>ex</w:t>
      </w:r>
      <w:r>
        <w:t xml:space="preserve"> art 23.2 CE, para todos aquellos aspirantes que vean perturbados sus derechos ante la jurisdicción ordinaria en el caso de que se convocaran las plazas, cosa que no ocurrirá a tenor del artículo único de la Ley Foral 25/2015, de 28 de diciembre, de modificación de la Ley Foral 15/2015, de 10 de abril, por la que se modifica la Ley Foral 8/2007, de 23 de marzo, de las policías de Navarra, que difiere la entrada en vigor de los aspectos económicos y organizativos de la Ley Foral 15/2015, hasta el 1 de octubre de 2016.</w:t>
      </w:r>
    </w:p>
    <w:p w:rsidR="0033382B" w:rsidRDefault="0033382B" w:rsidP="0033382B">
      <w:pPr>
        <w:pStyle w:val="TextoNormal"/>
      </w:pPr>
    </w:p>
    <w:p w:rsidR="0033382B" w:rsidRDefault="0033382B" w:rsidP="0033382B">
      <w:pPr>
        <w:pStyle w:val="TextoNormal"/>
      </w:pPr>
      <w:r>
        <w:t>c) El levantamiento de la suspensión del apartado treinta y cuatro de la Ley Foral 15/2015 (art. 57.1 de la Ley Foral 8/2007) no generaría perjuicio alguno por la inconsistencia de la propia impugnación de fondo. Por el contrario, el mantenimiento de la suspensión crearía inseguridad sobre la normativa disciplinaria a aplicar.</w:t>
      </w:r>
    </w:p>
    <w:p w:rsidR="0033382B" w:rsidRDefault="0033382B" w:rsidP="0033382B">
      <w:pPr>
        <w:pStyle w:val="TextoNormal"/>
      </w:pPr>
    </w:p>
    <w:p w:rsidR="0033382B" w:rsidRDefault="0033382B" w:rsidP="0033382B">
      <w:pPr>
        <w:pStyle w:val="TextoNormal"/>
      </w:pPr>
      <w:r>
        <w:t xml:space="preserve">d) Finalmente, se alega que dos razones justifican el levantamiento de la suspensión de la disposición adicional primera de la Ley Foral 15/2015. La primera se encuentra en la exposición de motivos de la Ley Foral 25/2015, que justifica la demora de la entrada en vigor de las disposiciones de contenido económico y organizativo de la Ley Foral 15/2015 al 1 de octubre de 2016. No hay, por tanto, </w:t>
      </w:r>
      <w:r w:rsidRPr="0033382B">
        <w:rPr>
          <w:i/>
        </w:rPr>
        <w:t>periculum in mora</w:t>
      </w:r>
      <w:r>
        <w:t xml:space="preserve"> alguno que tutelar. La segunda es el derecho reaccional </w:t>
      </w:r>
      <w:r w:rsidRPr="0033382B">
        <w:rPr>
          <w:i/>
        </w:rPr>
        <w:t>ex</w:t>
      </w:r>
      <w:r>
        <w:t xml:space="preserve"> art. 23.2 CE de todos los aspirantes para impugnar ante la jurisdicción ordinaria, si se diese el caso, la convocatoria de acuerdo con la disposición adicional primera de la mencionada Ley Foral.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El objeto de la presente resolución consiste en determinar si procede levantar o mantener la suspensión de la vigencia de los siguientes apartados del artículo único de la Ley Foral 15/2015, de 10 de abril, por la que se modifica la Ley Foral 8/2007, de 23 de marzo, de las policías de Navarra: 3 [por cuanto respecta a los apartados 1 y 2 del nuevo artículo 5 </w:t>
      </w:r>
      <w:r w:rsidRPr="0033382B">
        <w:rPr>
          <w:i/>
        </w:rPr>
        <w:t>ter</w:t>
      </w:r>
      <w:r>
        <w:t xml:space="preserve"> incluido en la Ley Foral 8/2007], 20 [por cuanto modifica el artículo 34.1 de la Ley Foral 8/2007 en lo que respecta a la aplicación a los cuerpos de policía local de su inciso final “o que cuenten con más de cinco años de antigüedad en dicho empleo, aunque carezcan de titulación”], 21 [por cuanto modifica el artículo 35.1 de la Ley Foral 8/2007 en lo que respecta a la aplicación a los cuerpos de policía local de su inciso final “o que cuenten con más de cinco años de antigüedad en dicho empleo, aunque carezcan de titulación”] y 34 [por cuanto se refiere a la aplicación del artículo 57.1 a los cuerpos de policía local exclusivamente], así como de la disposición adicional primera de la citada Ley Foral 15/2015, de 10 de abril, que se encuentran suspendidos en su aplicación, como consecuencia de la invocación del art. 161.2 CE y 30 de la Ley Orgánica del Tribunal Constitucional (LOTC), al promoverse el recurso de inconstitucionalidad contra dichos preceptos por el Presidente del Gobierno.</w:t>
      </w:r>
    </w:p>
    <w:p w:rsidR="0033382B" w:rsidRDefault="0033382B" w:rsidP="0033382B">
      <w:pPr>
        <w:pStyle w:val="TextoNormal"/>
      </w:pPr>
    </w:p>
    <w:p w:rsidR="0033382B" w:rsidRDefault="0033382B" w:rsidP="0033382B">
      <w:pPr>
        <w:pStyle w:val="TextoNormal"/>
      </w:pPr>
      <w:r>
        <w:t>Como ha quedado expuesto detalladamente en los antecedentes, el Abogado del Estado, con apoyo en informes del Ministerio del Interior y del Ministerio de Hacienda y Administraciones Públicas, solicita que el Tribunal acuerde el mantenimiento de la suspensión de los preceptos impugnados. Por su parte, tanto la representación del Gobierno de Navarra como la del Parlamento de Navarra han solicitado el levantamiento de la suspensión de los mismos.</w:t>
      </w:r>
    </w:p>
    <w:p w:rsidR="0033382B" w:rsidRDefault="0033382B" w:rsidP="0033382B">
      <w:pPr>
        <w:pStyle w:val="TextoNormal"/>
      </w:pPr>
    </w:p>
    <w:p w:rsidR="0033382B" w:rsidRDefault="0033382B" w:rsidP="0033382B">
      <w:pPr>
        <w:pStyle w:val="TextoNormal"/>
      </w:pPr>
      <w:r>
        <w:t>Este recurso de inconstitucionalidad se fundamenta, tal y como se expone en la demanda, en que los preceptos impugnados vulneran los arts. 149.1.18 y 29 CE, al no respetar determinadas previsiones de la Ley Orgánica 2/1986, de 13 de marzo, de fuerzas y cuerpos de seguridad, así como de la Ley 30/1984, de 2 de agosto, de medidas para la reforma de la Función pública. Asimismo, se aduce la vulneración del art. 23.2 CE por la disposición adicional primera de la Ley Foral recurrida.</w:t>
      </w:r>
    </w:p>
    <w:p w:rsidR="0033382B" w:rsidRDefault="0033382B" w:rsidP="0033382B">
      <w:pPr>
        <w:pStyle w:val="TextoNormal"/>
      </w:pPr>
    </w:p>
    <w:p w:rsidR="0033382B" w:rsidRDefault="0033382B" w:rsidP="0033382B">
      <w:pPr>
        <w:pStyle w:val="TextoNormal"/>
      </w:pPr>
      <w:r w:rsidRPr="0033382B">
        <w:rPr>
          <w:rStyle w:val="NumeroAFNegritaCaracter"/>
        </w:rPr>
        <w:t>2</w:t>
      </w:r>
      <w:r>
        <w:t>. Una vez expuestos los términos del recurso de inconstitucionalidad, cuyo contenido no compete resolver en este momento procesal, hemos de centrarnos ahora en la cuestión de si procede o no, levantar la suspensión de la vigencia de los preceptos impugnados.</w:t>
      </w:r>
    </w:p>
    <w:p w:rsidR="0033382B" w:rsidRDefault="0033382B" w:rsidP="0033382B">
      <w:pPr>
        <w:pStyle w:val="TextoNormal"/>
      </w:pPr>
    </w:p>
    <w:p w:rsidR="0033382B" w:rsidRDefault="0033382B" w:rsidP="0033382B">
      <w:pPr>
        <w:pStyle w:val="TextoNormal"/>
      </w:pPr>
      <w:r>
        <w:t>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(por todos, ATC 202/2015, de 1 de diciembre, FJ 2).</w:t>
      </w:r>
    </w:p>
    <w:p w:rsidR="0033382B" w:rsidRDefault="0033382B" w:rsidP="0033382B">
      <w:pPr>
        <w:pStyle w:val="TextoNormal"/>
      </w:pPr>
    </w:p>
    <w:p w:rsidR="0033382B" w:rsidRDefault="0033382B" w:rsidP="0033382B">
      <w:pPr>
        <w:pStyle w:val="TextoNormal"/>
      </w:pPr>
      <w:r>
        <w:t>Así pues, de lo que en este incidente se trata es de dilucidar si los perjuicios que han sido alegados por el Abogado del Estado, tienen la gravedad y consistencia necesarias como para prevalecer sobre la presunción de legitimidad de los preceptos impugnados de la Ley Foral 15/2015 y los intereses que se vinculan a su aplicación efectiva. A tal fin examinaremos la petición de mantenimiento de la suspensión atendiendo a la agrupación en dos bloques de preceptos que ha realizado el Abogado del Estado.</w:t>
      </w:r>
    </w:p>
    <w:p w:rsidR="0033382B" w:rsidRDefault="0033382B" w:rsidP="0033382B">
      <w:pPr>
        <w:pStyle w:val="TextoNormal"/>
      </w:pPr>
    </w:p>
    <w:p w:rsidR="0033382B" w:rsidRDefault="0033382B" w:rsidP="0033382B">
      <w:pPr>
        <w:pStyle w:val="TextoNormal"/>
      </w:pPr>
      <w:r>
        <w:t>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185/2015, de 3 de noviembre, FJ 3, entre otros).</w:t>
      </w:r>
    </w:p>
    <w:p w:rsidR="0033382B" w:rsidRDefault="0033382B" w:rsidP="0033382B">
      <w:pPr>
        <w:pStyle w:val="TextoNormal"/>
      </w:pPr>
    </w:p>
    <w:p w:rsidR="0033382B" w:rsidRDefault="0033382B" w:rsidP="0033382B">
      <w:pPr>
        <w:pStyle w:val="TextoNormal"/>
      </w:pPr>
      <w:r w:rsidRPr="0033382B">
        <w:rPr>
          <w:rStyle w:val="NumeroAFNegritaCaracter"/>
        </w:rPr>
        <w:t>3</w:t>
      </w:r>
      <w:r>
        <w:t xml:space="preserve">. Atendiendo a lo anteriormente expuesto, debemos examinar, en primer lugar, si procede levantar o mantener la suspensión de los apartados 1 y 2 del art. 5 </w:t>
      </w:r>
      <w:r w:rsidRPr="0033382B">
        <w:rPr>
          <w:i/>
        </w:rPr>
        <w:t>ter</w:t>
      </w:r>
      <w:r>
        <w:t xml:space="preserve"> de la Ley Foral 8/2007, en la redacción dada por el apartado tres del artículo único de la Ley Foral 15/2015, de 10 de abril. El precepto impugnado establece lo siguiente:</w:t>
      </w:r>
    </w:p>
    <w:p w:rsidR="0033382B" w:rsidRDefault="0033382B" w:rsidP="0033382B">
      <w:pPr>
        <w:pStyle w:val="TextoNormal"/>
      </w:pPr>
    </w:p>
    <w:p w:rsidR="0033382B" w:rsidRDefault="0033382B" w:rsidP="0033382B">
      <w:pPr>
        <w:pStyle w:val="TextoNormal"/>
      </w:pPr>
      <w:r>
        <w:t>“Artículo 5 ter. Relaciones entre las Policías de Navarra</w:t>
      </w:r>
    </w:p>
    <w:p w:rsidR="0033382B" w:rsidRDefault="0033382B" w:rsidP="0033382B">
      <w:pPr>
        <w:pStyle w:val="TextoNormal"/>
      </w:pPr>
    </w:p>
    <w:p w:rsidR="0033382B" w:rsidRDefault="0033382B" w:rsidP="0033382B">
      <w:pPr>
        <w:pStyle w:val="TextoNormal"/>
      </w:pPr>
      <w:r>
        <w:t>1. La Policía Foral centralizará toda la información policial tanto ascendente como descendente para las Policías Locales.</w:t>
      </w:r>
    </w:p>
    <w:p w:rsidR="0033382B" w:rsidRDefault="0033382B" w:rsidP="0033382B">
      <w:pPr>
        <w:pStyle w:val="TextoNormal"/>
      </w:pPr>
    </w:p>
    <w:p w:rsidR="0033382B" w:rsidRDefault="0033382B" w:rsidP="0033382B">
      <w:pPr>
        <w:pStyle w:val="TextoNormal"/>
      </w:pPr>
      <w:r>
        <w:t>La Policía Foral facilitará toda la información policial que disponga de cada municipio a su Policía Local.</w:t>
      </w:r>
    </w:p>
    <w:p w:rsidR="0033382B" w:rsidRDefault="0033382B" w:rsidP="0033382B">
      <w:pPr>
        <w:pStyle w:val="TextoNormal"/>
      </w:pPr>
    </w:p>
    <w:p w:rsidR="0033382B" w:rsidRDefault="0033382B" w:rsidP="0033382B">
      <w:pPr>
        <w:pStyle w:val="TextoNormal"/>
      </w:pPr>
      <w:r>
        <w:t>Los Policías Locales facilitarán toda la información policial de su municipio al sistema de información policial de la Policía Foral.</w:t>
      </w:r>
    </w:p>
    <w:p w:rsidR="0033382B" w:rsidRDefault="0033382B" w:rsidP="0033382B">
      <w:pPr>
        <w:pStyle w:val="TextoNormal"/>
      </w:pPr>
    </w:p>
    <w:p w:rsidR="0033382B" w:rsidRDefault="0033382B" w:rsidP="0033382B">
      <w:pPr>
        <w:pStyle w:val="TextoNormal"/>
      </w:pPr>
      <w:r>
        <w:t>2. Toda solicitud de apoyo de los Policías Locales de investigación policial, de información o de cualquier índole policial se efectuará siempre a la Policía Foral. La Policía Foral, si procede, canalizará dicha solicitud a las Fuerzas y Cuerpos de Seguridad del Estado.”</w:t>
      </w:r>
    </w:p>
    <w:p w:rsidR="0033382B" w:rsidRDefault="0033382B" w:rsidP="0033382B">
      <w:pPr>
        <w:pStyle w:val="TextoNormal"/>
      </w:pPr>
    </w:p>
    <w:p w:rsidR="0033382B" w:rsidRDefault="0033382B" w:rsidP="0033382B">
      <w:pPr>
        <w:pStyle w:val="TextoNormal"/>
      </w:pPr>
      <w:r>
        <w:t xml:space="preserve">Para la concreción de los perjuicios derivados del levantamiento de la suspensión del art. 5 </w:t>
      </w:r>
      <w:r w:rsidRPr="0033382B">
        <w:rPr>
          <w:i/>
        </w:rPr>
        <w:t>ter</w:t>
      </w:r>
      <w:r>
        <w:t>, el Abogado del Estado parte de la consideración de que dicho precepto establece a la policía foral como cauce único de comunicación y colaboración de la información e investigación policial de la policía local, lo que impide, a su juicio, la comunicación directa entre la policía local y las fuerzas y cuerpos de seguridad del Estado.</w:t>
      </w:r>
    </w:p>
    <w:p w:rsidR="0033382B" w:rsidRDefault="0033382B" w:rsidP="0033382B">
      <w:pPr>
        <w:pStyle w:val="TextoNormal"/>
      </w:pPr>
    </w:p>
    <w:p w:rsidR="0033382B" w:rsidRDefault="0033382B" w:rsidP="0033382B">
      <w:pPr>
        <w:pStyle w:val="TextoNormal"/>
      </w:pPr>
      <w:r>
        <w:t>Con apoyo en un informe del Ministerio del Interior de 27 de enero de 2016, afirma que la Comunidad Foral de Navarra dispone de un sistema de seguridad pública singular conforme al cual la responsabilidad de la seguridad ciudadana se encuentra compartida entre las fuerzas y cuerpos de seguridad del Estado y la Policía Foral. El Abogado del Estado se refiere, en los términos que se han expuesto en los antecedentes, a que el amplio despliegue de las fuerzas y cuerpos de seguridad del Estado en relación con el de la Policía Foral supone que la mayor parte de los municipios que disponen de Policía Local no cuenten con comisarías de la Policía Foral.</w:t>
      </w:r>
    </w:p>
    <w:p w:rsidR="0033382B" w:rsidRDefault="0033382B" w:rsidP="0033382B">
      <w:pPr>
        <w:pStyle w:val="TextoNormal"/>
      </w:pPr>
    </w:p>
    <w:p w:rsidR="0033382B" w:rsidRDefault="0033382B" w:rsidP="0033382B">
      <w:pPr>
        <w:pStyle w:val="TextoNormal"/>
      </w:pPr>
      <w:r>
        <w:t>Atendiendo a dichas circunstancias, considera el Abogado del Estado que el levantamiento de la suspensión del referido precepto distorsionaría, limitaría y perjudicaría la actuación de las fuerzas y cuerpos de seguridad en su conjunto, con un efecto directo sobre la seguridad ciudadana en detrimento de esta, y produciría distorsiones, retrasos y falta de inmediatez en la prevención y persecución de los delitos y faltas en Navarra afectando no sólo al ámbito territorial de Navarra sino a los acuerdos celebrados por España con Francia en estas materias.</w:t>
      </w:r>
    </w:p>
    <w:p w:rsidR="0033382B" w:rsidRDefault="0033382B" w:rsidP="0033382B">
      <w:pPr>
        <w:pStyle w:val="TextoNormal"/>
      </w:pPr>
    </w:p>
    <w:p w:rsidR="0033382B" w:rsidRDefault="0033382B" w:rsidP="0033382B">
      <w:pPr>
        <w:pStyle w:val="TextoNormal"/>
      </w:pPr>
      <w:r>
        <w:t>Dichos perjuicios los concreta el Abogado del Estado, entre otros, en la inoperatividad del sistema de seguridad pública en la mayor parte de los municipios de Navarra y en la demora en las comunicaciones de información operativa perjudicando la inmediatez de la actuación policial. A su vez, según la representación procesal del Estado, el levantamiento de la suspensión de dicho precepto conllevaría graves repercusiones en el ámbito internacional ya que Navarra es una Comunidad limítrofe con Francia, con quien España tiene firmado un convenio de cooperación transfronteriza en materia policial y aduanera que establece que la colaboración con Francia se desarrollará en el ámbito policial a través de las fuerzas y cuerpos de seguridad del Estado, las cuales deben tener acceso directo a toda la información de interés policial de la zona fronteriza. La privación a las mismas de esta información, o la demora en poder acceder a ella, podrían provocar que España incumpliese los compromisos adquiridos con Francia.</w:t>
      </w:r>
    </w:p>
    <w:p w:rsidR="0033382B" w:rsidRDefault="0033382B" w:rsidP="0033382B">
      <w:pPr>
        <w:pStyle w:val="TextoNormal"/>
      </w:pPr>
    </w:p>
    <w:p w:rsidR="0033382B" w:rsidRDefault="0033382B" w:rsidP="0033382B">
      <w:pPr>
        <w:pStyle w:val="TextoNormal"/>
      </w:pPr>
      <w:r>
        <w:t>Finalmente, afirma que el levantamiento de la suspensión del precepto impugnado afecta al desarrollo de las competencias de las fuerzas y cuerpos de seguridad del Estado en la Comunidad Foral de Navarra (por ejemplo, el control de armas y explosivos o el resguardo fiscal del Estado, en el caso de la guardia civil).</w:t>
      </w:r>
    </w:p>
    <w:p w:rsidR="0033382B" w:rsidRDefault="0033382B" w:rsidP="0033382B">
      <w:pPr>
        <w:pStyle w:val="TextoNormal"/>
      </w:pPr>
    </w:p>
    <w:p w:rsidR="0033382B" w:rsidRDefault="0033382B" w:rsidP="0033382B">
      <w:pPr>
        <w:pStyle w:val="TextoNormal"/>
      </w:pPr>
      <w:r>
        <w:t>Por su parte, la representante del Gobierno de Navarra alega que el mantenimiento de la suspensión afectaría a las relaciones de cooperación que rigen entre la Policía Foral y las policías locales y, en consecuencia, al servicio de seguridad pública que tienen encomendado, con el consiguiente perjuicio a los ciudadanos. Además, conforme al ordenamiento vigente no desaparece el cauce de colaboración de las fuerzas y cuerpos de seguridad a través de las juntas locales de seguridad y de la Junta de seguridad, y queda garantizado que los cuerpos estatales conozcan siempre la información de interés para la seguridad, y, en consecuencia, la colaboración entre todas las fuerzas y cuerpos de seguridad. Finalmente, expone, tal y como ha quedado recogido en los antecedentes, la falta de fundamento del motivo de inconstitucionalidad alegado en la demanda. En un sentido similar, el representante del Parlamento de Navarra aduce que el precepto no incurre en las vulneraciones alegadas por el Abogado del Estado.</w:t>
      </w:r>
    </w:p>
    <w:p w:rsidR="0033382B" w:rsidRDefault="0033382B" w:rsidP="0033382B">
      <w:pPr>
        <w:pStyle w:val="TextoNormal"/>
      </w:pPr>
    </w:p>
    <w:p w:rsidR="0033382B" w:rsidRDefault="0033382B" w:rsidP="0033382B">
      <w:pPr>
        <w:pStyle w:val="TextoNormal"/>
      </w:pPr>
      <w:r>
        <w:t xml:space="preserve">Hemos de valorar ahora si los perjuicios alegados por el Abogado del Estado comportarían, conforme a nuestra doctrina, el mantenimiento de la suspensión del artículo </w:t>
      </w:r>
      <w:r w:rsidRPr="0033382B">
        <w:rPr>
          <w:i/>
        </w:rPr>
        <w:t>5 t</w:t>
      </w:r>
      <w:r>
        <w:t>er.</w:t>
      </w:r>
    </w:p>
    <w:p w:rsidR="0033382B" w:rsidRDefault="0033382B" w:rsidP="0033382B">
      <w:pPr>
        <w:pStyle w:val="TextoNormal"/>
      </w:pPr>
    </w:p>
    <w:p w:rsidR="0033382B" w:rsidRDefault="0033382B" w:rsidP="0033382B">
      <w:pPr>
        <w:pStyle w:val="TextoNormal"/>
      </w:pPr>
      <w:r>
        <w:t>Para ello debemos descartar que la falta de consistencia de la impugnación de este precepto que alegan las representaciones del Gobierno de Navarra y del Parlamento de Navarra pueda ser tomada en consideración en este momento procesal ya que en la ponderación que ahora se nos exige, en este incidente cautelar, no procede valoración alguna sobre la alegada falta de consistencia de la impugnación de este precepto.</w:t>
      </w:r>
    </w:p>
    <w:p w:rsidR="0033382B" w:rsidRDefault="0033382B" w:rsidP="0033382B">
      <w:pPr>
        <w:pStyle w:val="TextoNormal"/>
      </w:pPr>
    </w:p>
    <w:p w:rsidR="0033382B" w:rsidRDefault="0033382B" w:rsidP="0033382B">
      <w:pPr>
        <w:pStyle w:val="TextoNormal"/>
      </w:pPr>
      <w:r>
        <w:t xml:space="preserve">Además, debemos de realizar una consideración inicial sobre los perjuicios que el Abogado del Estado anuda al levantamiento de la suspensión de los apartados 1 y 2 del nuevo art. 5 </w:t>
      </w:r>
      <w:r w:rsidRPr="0033382B">
        <w:rPr>
          <w:i/>
        </w:rPr>
        <w:t>ter</w:t>
      </w:r>
      <w:r>
        <w:t xml:space="preserve"> de la Ley Foral 8/2007. Dichos perjuicios derivan, según se infiere de las alegaciones del representante estatal, de que dicha regulación convierte a la Policía Foral en cauce único de comunicación y colaboración de la información e investigación policial de la policía local, lo que impide, a su juicio, la comunicación directa entre la policía local y las fuerzas y cuerpos de seguridad del Estado.</w:t>
      </w:r>
    </w:p>
    <w:p w:rsidR="0033382B" w:rsidRDefault="0033382B" w:rsidP="0033382B">
      <w:pPr>
        <w:pStyle w:val="TextoNormal"/>
      </w:pPr>
    </w:p>
    <w:p w:rsidR="0033382B" w:rsidRDefault="0033382B" w:rsidP="0033382B">
      <w:pPr>
        <w:pStyle w:val="TextoNormal"/>
      </w:pPr>
      <w:r>
        <w:t xml:space="preserve">Sin perjuicio de nuestro pronunciamiento sobre el fondo de este asunto, en principio se podría considerar que tanto el apartado 1 como el apartado 2 del nuevo art. 5 </w:t>
      </w:r>
      <w:r w:rsidRPr="0033382B">
        <w:rPr>
          <w:i/>
        </w:rPr>
        <w:t>ter</w:t>
      </w:r>
      <w:r>
        <w:t xml:space="preserve"> de la Ley Foral 8/2007 pueden interpretarse en el sentido alegado por el Abogado del Estado, en cuanto determinan, respectivamente, que la Policía Foral centralizará toda la información policial tanto ascendente como descendente para las policías locales, previendo para ello la correspondiente obligación de transmisión de información entre dichos cuerpos, y que toda solicitud de apoyo de los policías locales de investigación policial, de información o de cualquier índole policial se efectuará siempre a la Policía Foral, que asume, en su caso, la competencia de canalizarla a las fuerzas y cuerpos de seguridad del Estado.</w:t>
      </w:r>
    </w:p>
    <w:p w:rsidR="0033382B" w:rsidRDefault="0033382B" w:rsidP="0033382B">
      <w:pPr>
        <w:pStyle w:val="TextoNormal"/>
      </w:pPr>
    </w:p>
    <w:p w:rsidR="0033382B" w:rsidRDefault="0033382B" w:rsidP="0033382B">
      <w:pPr>
        <w:pStyle w:val="TextoNormal"/>
      </w:pPr>
      <w:r>
        <w:t xml:space="preserve">Realizada dicha consideración debemos de partir, en la ponderación de los perjuicios alegados, de que el art. 5 </w:t>
      </w:r>
      <w:r w:rsidRPr="0033382B">
        <w:rPr>
          <w:i/>
        </w:rPr>
        <w:t>ter</w:t>
      </w:r>
      <w:r>
        <w:t xml:space="preserve"> de la Ley Foral 8/2007, en la redacción dada por la Ley Foral 15/2015, regula relaciones entre la Policía Foral, las policías locales y las fuerzas y cuerpos de seguridad del Estado y, concretamente, la transmisión de información policial y solicitudes de apoyo entre dichos cuerpos de policía. Este precepto, </w:t>
      </w:r>
      <w:r w:rsidRPr="0033382B">
        <w:rPr>
          <w:i/>
        </w:rPr>
        <w:t>prima facie</w:t>
      </w:r>
      <w:r>
        <w:t>, incide en la materia seguridad pública al referirse a principios de actuación y coordinación entre diferentes cuerpos de policía, incluyendo las fuerzas y cuerpos de seguridad del Estado. En este sentido, los perjuicios que el Abogado del Estado anuda al levantamiento de la suspensión de este precepto son perjuicios para la seguridad pública, interés general y público constitucionalmente reconocido (ATC 170/2015, de 7 de octubre, FJ 5). De entre las varias dimensiones con las que nuestro ordenamiento constitucional contempla la seguridad pública, los perjuicios alegados por el Abogado del Estado se ciñen a las relativas a la prevención y persecución de aquellas conductas tipificadas como infracciones penales y a la actuación de los servicios policiales.</w:t>
      </w:r>
    </w:p>
    <w:p w:rsidR="0033382B" w:rsidRDefault="0033382B" w:rsidP="0033382B">
      <w:pPr>
        <w:pStyle w:val="TextoNormal"/>
      </w:pPr>
    </w:p>
    <w:p w:rsidR="0033382B" w:rsidRDefault="0033382B" w:rsidP="0033382B">
      <w:pPr>
        <w:pStyle w:val="TextoNormal"/>
      </w:pPr>
      <w:r>
        <w:t xml:space="preserve">Atendiendo a los perjuicios que el Abogado del Estado anuda al levantamiento de la suspensión de dicho precepto, que se concretan en la producción de distorsiones, retrasos y falta de inmediatez en la prevención y persecución de los delitos y faltas en Navarra, hemos de considerar que dichas disfunciones redundarían en un perjuicio de la seguridad pública y serían de difícil reparación en caso de que se declarasen inconstitucionales los apartados 1 y 2 del nuevo art. </w:t>
      </w:r>
      <w:r w:rsidRPr="0033382B">
        <w:rPr>
          <w:i/>
        </w:rPr>
        <w:t>5 t</w:t>
      </w:r>
      <w:r>
        <w:t>er de la Ley Foral 8/2007.</w:t>
      </w:r>
    </w:p>
    <w:p w:rsidR="0033382B" w:rsidRDefault="0033382B" w:rsidP="0033382B">
      <w:pPr>
        <w:pStyle w:val="TextoNormal"/>
      </w:pPr>
    </w:p>
    <w:p w:rsidR="0033382B" w:rsidRDefault="0033382B" w:rsidP="0033382B">
      <w:pPr>
        <w:pStyle w:val="TextoNormal"/>
      </w:pPr>
      <w:r>
        <w:t xml:space="preserve">Ello nos conduce, para evitar dichas disfunciones en la actividad policial y atendiendo a las repercusiones negativas que podrían producirse para los intereses públicos en cuestión tan delicada, a mantener la suspensión del apartado 3 del artículo único de la Ley Foral 15/2015 [por cuanto respecta a los apartados 1 y 2 del nuevo artículo 5 </w:t>
      </w:r>
      <w:r w:rsidRPr="0033382B">
        <w:rPr>
          <w:i/>
        </w:rPr>
        <w:t>ter</w:t>
      </w:r>
      <w:r>
        <w:t xml:space="preserve"> incluido en la Ley Foral 8/2007], durante la tramitación del presente recurso de inconstitucionalidad (en un sentido similar, AATC 464/1989, de 19 de septiembre, FJ 2; 27/1990, de 16 de enero, FJ 3; 439/1990, de 18 de diciembre, FJ 2: y 309/1992, de 20 de octubre, FJ 2).</w:t>
      </w:r>
    </w:p>
    <w:p w:rsidR="0033382B" w:rsidRDefault="0033382B" w:rsidP="0033382B">
      <w:pPr>
        <w:pStyle w:val="TextoNormal"/>
      </w:pPr>
    </w:p>
    <w:p w:rsidR="0033382B" w:rsidRDefault="0033382B" w:rsidP="0033382B">
      <w:pPr>
        <w:pStyle w:val="TextoNormal"/>
      </w:pPr>
      <w:r>
        <w:t>Por el contrario, el mantenimiento de la suspensión de dicha regulación no impide el ejercicio ordinario de las funciones de los cuerpos de policía local, ni de la Policía Foral ni la relación de colaboración entre dichos cuerpos ya que, como alegan los representantes del Parlamento y del Gobierno de Navarra, la propia Ley Foral 8/2007 y la Ley Foral 8/2006, específicamente en sus arts. 8, apartados 4 y 5, y 13, contienen previsiones de acuerdo con las cuales ha de desarrollarse las relaciones de los referidos cuerpos y fuerzas de seguridad.</w:t>
      </w:r>
    </w:p>
    <w:p w:rsidR="0033382B" w:rsidRDefault="0033382B" w:rsidP="0033382B">
      <w:pPr>
        <w:pStyle w:val="TextoNormal"/>
      </w:pPr>
    </w:p>
    <w:p w:rsidR="0033382B" w:rsidRDefault="0033382B" w:rsidP="0033382B">
      <w:pPr>
        <w:pStyle w:val="TextoNormal"/>
      </w:pPr>
      <w:r w:rsidRPr="0033382B">
        <w:rPr>
          <w:rStyle w:val="NumeroAFNegritaCaracter"/>
        </w:rPr>
        <w:t>4</w:t>
      </w:r>
      <w:r>
        <w:t>. En segundo lugar, hemos de examinar si procede el levantamiento o el mantenimiento de la suspensión del resto de los preceptos impugnados, que el Abogado del Estado incardina en materia de función pública y respecto a los que solicita el mantenimiento de la suspensión inicialmente acordada, apoyándose en un informe del Ministerio de Administraciones Públicas de 23 de diciembre de 2016 y apelando a la doctrina de este Tribunal contenida, entre otros, en el ATC 161/2012, de 13 de septiembre, sobre suspensión en materia de función pública. La representante del Gobierno de Navarra, con carácter general aduce que, en la medida en que la demanda no cuestiona la aplicación de los referidos preceptos a la Policía Foral, no se justifican los perjuicios que pueden conllevar los mismos en su aplicación a los cuerpos de la policía local.</w:t>
      </w:r>
    </w:p>
    <w:p w:rsidR="0033382B" w:rsidRDefault="0033382B" w:rsidP="0033382B">
      <w:pPr>
        <w:pStyle w:val="TextoNormal"/>
      </w:pPr>
    </w:p>
    <w:p w:rsidR="0033382B" w:rsidRDefault="0033382B" w:rsidP="0033382B">
      <w:pPr>
        <w:pStyle w:val="TextoNormal"/>
      </w:pPr>
      <w:r>
        <w:t>Dichos preceptos se refieren al acceso, mediante promoción interna, a los empleos de inspector y subinspector de los cuerpos de policía local; al régimen disciplinario de los policías locales de Navarra; y a la integración de los auxiliares de policía en los cuerpos de policía local.</w:t>
      </w:r>
    </w:p>
    <w:p w:rsidR="0033382B" w:rsidRDefault="0033382B" w:rsidP="0033382B">
      <w:pPr>
        <w:pStyle w:val="TextoNormal"/>
      </w:pPr>
    </w:p>
    <w:p w:rsidR="0033382B" w:rsidRDefault="0033382B" w:rsidP="0033382B">
      <w:pPr>
        <w:pStyle w:val="TextoNormal"/>
      </w:pPr>
      <w:r>
        <w:t>En todo caso, y antes de entrar en la ponderación de los perjuicios aducidos respecto de estos preceptos, debemos descartar las alegaciones realizadas por la representante del Gobierno de Navarra referidas a que si la demanda no cuestiona la aplicación de los referidos preceptos a la Policía Foral no se justifican los perjuicios que pueden conllevar los mismos en su aplicación a los cuerpos de la policía local. No podemos analizar ahora las diferencias que pudiera haber entre el régimen de distribución de competencias entre el Estado y la Comunidad Foral de Navarra en materia de policías locales y en relación con la Policía Foral, ya que atañe al fondo del asunto y no es este el momento procesal para abordarlo. Ahora bien, dejando a salvo nuestra decisión en este incidente cautelar, ha de tenerse en cuenta que los perjuicios que se anudan al levantamiento de la suspensión de la vigencia y aplicación de los preceptos impugnados que se incardinan, en principio, en materia de función pública, derivan precisamente de la dificultad de deshacer situaciones creadas en esta materia. El levantamiento de la suspensión podría dar lugar a la consolidación de situaciones jurídicas difíciles de reparar si dichos preceptos se declaran contrarios a la Constitución. Es por ello que, evidentemente, dichos perjuicios sólo pueden anudarse a la aplicación de los preceptos en los términos en los que han sido impugnados, esto es en su aplicación a los cuerpos de policía local y no en relación con la Policía Foral.</w:t>
      </w:r>
    </w:p>
    <w:p w:rsidR="0033382B" w:rsidRDefault="0033382B" w:rsidP="0033382B">
      <w:pPr>
        <w:pStyle w:val="TextoNormal"/>
      </w:pPr>
    </w:p>
    <w:p w:rsidR="0033382B" w:rsidRDefault="0033382B" w:rsidP="0033382B">
      <w:pPr>
        <w:pStyle w:val="TextoNormal"/>
      </w:pPr>
      <w:r w:rsidRPr="0033382B">
        <w:rPr>
          <w:rStyle w:val="NumeroAFNegritaCaracter"/>
        </w:rPr>
        <w:t>5</w:t>
      </w:r>
      <w:r>
        <w:t>. Los apartados veinte y veintiuno de la Ley Foral 15/2015 que, respectivamente, modifican los arts. 34.1 y 35. 1 de la Ley Foral 8/2007, se impugnan en lo que respecta a la aplicación a los cuerpos de policía local de sus incisos finales que establecen “o que cuenten con más de cinco años de antigüedad en dicho empleo, aunque carezcan de titulación”. Los referidos preceptos establecen, en su primer párrafo, que el acceso al empleo de subinspector y de inspector se efectuará, sobre las plazas vacantes convocadas, mediante promoción interna desde el empleo de cabo o de subinspector, respectivamente, por el procedimiento de concurso-oposición. Para participar en dicho concurso-oposición se exigirá una antigüedad mínima de tres años en el empleo de cabo o de subinspector, respectivamente, y la titulación de grado medio exigida, o que cuenten con más de cinco años de antigüedad en dicho empleo, aunque carezcan de titulación.</w:t>
      </w:r>
    </w:p>
    <w:p w:rsidR="0033382B" w:rsidRDefault="0033382B" w:rsidP="0033382B">
      <w:pPr>
        <w:pStyle w:val="TextoNormal"/>
      </w:pPr>
    </w:p>
    <w:p w:rsidR="0033382B" w:rsidRDefault="0033382B" w:rsidP="0033382B">
      <w:pPr>
        <w:pStyle w:val="TextoNormal"/>
      </w:pPr>
      <w:r>
        <w:t xml:space="preserve">Para determinar los perjuicios que produciría el levantamiento de la suspensión del referido precepto, además de referirse a la doctrina del Tribunal Constitucional sobre esta materia, se aporta un informe del Ministerio de Hacienda y Administraciones Públicas conforme al cual el levantamiento de la suspensión crearía perjuicios de imposible o difícil reparación, al crear expectativas entre los miembros del cuerpo y, en el supuesto de que se nombrara un funcionario para dichos puestos, “supondría un perjuicio para el nombrado al ser nulo su nombramiento”. Por su parte, la representante del Gobierno de Navarra afirma que el mantenimiento de la suspensión de dicho precepto conllevaría problemas de organización de los cuerpos de policía de Navarra, repercutiría muy gravemente en la seguridad pública y en el ejercicio de las funciones que desempeñan los cuerpos de policía de Navarra e impediría la promoción profesional de los mismos. A su vez, el representante del Parlamento de Navarra considera que no tiene fundamento el motivo de inconstitucionalidad, y que el levantamiento de la suspensión no produce perjuicios porque está diferida la aplicación de la Ley Foral 15/2015 por la Ley Foral 25/2015, así como porque cabe un derecho reaccional </w:t>
      </w:r>
      <w:r w:rsidRPr="0033382B">
        <w:rPr>
          <w:i/>
        </w:rPr>
        <w:t>ex</w:t>
      </w:r>
      <w:r>
        <w:t xml:space="preserve"> art 23.2 CE, para todos aquellos aspirantes que vean perturbados sus derechos ante la jurisdicción ordinaria en el caso de que se convocaran las plazas.</w:t>
      </w:r>
    </w:p>
    <w:p w:rsidR="0033382B" w:rsidRDefault="0033382B" w:rsidP="0033382B">
      <w:pPr>
        <w:pStyle w:val="TextoNormal"/>
      </w:pPr>
    </w:p>
    <w:p w:rsidR="0033382B" w:rsidRDefault="0033382B" w:rsidP="0033382B">
      <w:pPr>
        <w:pStyle w:val="TextoNormal"/>
      </w:pPr>
      <w:r>
        <w:t>La aplicación de la doctrina de este Tribunal para situaciones similares a las previstas en estos preceptos conduce al mantenimiento de la suspensión inicialmente acordada. No puede obviarse que si se iniciasen los procesos de provisión de plazas de inspector y subinspector por promoción interna serían notables los perjuicios derivados de la necesidad de remover las situaciones jurídicas de hecho y de derecho originadas si, en su momento, llegara a apreciarse la inconstitucionalidad de las correspondientes convocatorias (en este sentido, ATC 161/2012, FJ 3), por la consolidación de situaciones jurídicas difíciles de reparar.</w:t>
      </w:r>
    </w:p>
    <w:p w:rsidR="0033382B" w:rsidRDefault="0033382B" w:rsidP="0033382B">
      <w:pPr>
        <w:pStyle w:val="TextoNormal"/>
      </w:pPr>
    </w:p>
    <w:p w:rsidR="0033382B" w:rsidRDefault="0033382B" w:rsidP="0033382B">
      <w:pPr>
        <w:pStyle w:val="TextoNormal"/>
      </w:pPr>
      <w:r>
        <w:t xml:space="preserve">Concretamente, en materia de promoción interna, materia sobre la que versan los arts. 34.1 y 35.1 de la Ley Foral 8/2007, en la redacción dada por la Ley Foral 15/2015, nos hemos pronunciado considerando que en la valoración de los intereses en juego no puede desconocerse que la efectividad del precepto legal impugnado crearía una situación de inseguridad jurídica por su carácter eventualmente provisional desde el momento en que su validez está </w:t>
      </w:r>
      <w:r w:rsidRPr="0033382B">
        <w:rPr>
          <w:i/>
        </w:rPr>
        <w:t>sub iudice</w:t>
      </w:r>
      <w:r>
        <w:t xml:space="preserve">. La inclusión de los funcionarios afectados en grupos o su ascenso a niveles de los cuales habrían de ser luego degradados si el recurso de inconstitucionalidad tuviera éxito, originaría confusión en la propia estructura administrativa autonómica. Junto a este evidente interés público para el mantenimiento del </w:t>
      </w:r>
      <w:r w:rsidRPr="0033382B">
        <w:rPr>
          <w:i/>
        </w:rPr>
        <w:t>statu quo</w:t>
      </w:r>
      <w:r>
        <w:t xml:space="preserve"> actual hasta la Sentencia, se alinean los perjuicios que se causarían al personal cuya mejora de condición pudiera quedar sin efecto en la hipótesis de anularse la norma en cuestión, perjuicios que sin ser irreversibles por su naturaleza exclusivamente económica, resultan suficientemente importantes para ser tenidas en consideración aquí y ahora. Por contra, la suspensión —si el recurso no prosperase— afecta únicamente a las expectativas de promoción de los funcionarios carentes de titulación y que cuentan con los requisitos de antigüedad requeridos en los preceptos (AATC 243/1995, de 12 de septiembre, FJ 2; y 356/1993, de 1 de diciembre, FJ 2. En el mismo sentido, ATC 221/1995, de 18 de julio, FJ 4).</w:t>
      </w:r>
    </w:p>
    <w:p w:rsidR="0033382B" w:rsidRDefault="0033382B" w:rsidP="0033382B">
      <w:pPr>
        <w:pStyle w:val="TextoNormal"/>
      </w:pPr>
    </w:p>
    <w:p w:rsidR="0033382B" w:rsidRDefault="0033382B" w:rsidP="0033382B">
      <w:pPr>
        <w:pStyle w:val="TextoNormal"/>
      </w:pPr>
      <w:r w:rsidRPr="0033382B">
        <w:rPr>
          <w:rStyle w:val="NumeroAFNegritaCaracter"/>
        </w:rPr>
        <w:t>6</w:t>
      </w:r>
      <w:r>
        <w:t>. Asimismo, en este grupo de preceptos, se incluye el apartado treinta y cuatro del artículo único de la Ley Foral 15/2015, por cuanto se refiere a la aplicación del art. 57.1 de la Ley Foral 8/2007 a los cuerpos de policía local exclusivamente, y que establece que “el personal de los Cuerpos de Policía de Navarra sólo será sancionado por el incumplimiento de sus deberes cuando dicho incumplimiento sea constitutivo de falta disciplinaria conforme a esta ley foral”.</w:t>
      </w:r>
    </w:p>
    <w:p w:rsidR="0033382B" w:rsidRDefault="0033382B" w:rsidP="0033382B">
      <w:pPr>
        <w:pStyle w:val="TextoNormal"/>
      </w:pPr>
    </w:p>
    <w:p w:rsidR="0033382B" w:rsidRDefault="0033382B" w:rsidP="0033382B">
      <w:pPr>
        <w:pStyle w:val="TextoNormal"/>
      </w:pPr>
      <w:r>
        <w:t>Además de la doctrina constitucional sobre la suspensión en materia de función pública, como se ha puesto de relieve en los antecedentes, el informe del Ministerio de Hacienda y Administraciones Públicas hace referencia a la creación de situaciones disciplinarias de difícil solución. Por el contrario, los representantes del Gobierno de Navarra y del Parlamento de Navarra consideran que el mantenimiento de la suspensión generaría una gran incertidumbre e inseguridad respecto al régimen disciplinario de los cuerpos de policía local.</w:t>
      </w:r>
    </w:p>
    <w:p w:rsidR="0033382B" w:rsidRDefault="0033382B" w:rsidP="0033382B">
      <w:pPr>
        <w:pStyle w:val="TextoNormal"/>
      </w:pPr>
    </w:p>
    <w:p w:rsidR="0033382B" w:rsidRDefault="0033382B" w:rsidP="0033382B">
      <w:pPr>
        <w:pStyle w:val="TextoNormal"/>
      </w:pPr>
      <w:r>
        <w:t>Las alegaciones que respecto a este precepto se realizan por el representante estatal, y que se han recogido pormenorizadamente en los antecedentes, no ponen de manifiesto los concretos perjuicios que se anudan al levantamiento de la suspensión de este precepto. Por una parte, porque se alegan cuestiones de fondo que no son objeto de este incidente cautelar y, por otro, porque se alegan perjuicios de carácter genérico e indeterminado. En consecuencia, y teniendo en cuenta que “debe partirse de la existencia de una presunción de constitucionalidad a favor de las normas en conflicto, de manera que no basta con invocar la existencia de perjuicios, sino que es necesario demostrar o, al menos razonar consistentemente sobre su procedencia” (ATC 185/2015, de 3 de noviembre, FJ 6), procede levantar la suspensión del apartado treinta y cuatro del artículo único de la Ley Foral 15/2015, [por cuanto se refiere a la aplicación del artículo 57.1 a los cuerpos de policía local exclusivamente].</w:t>
      </w:r>
    </w:p>
    <w:p w:rsidR="0033382B" w:rsidRDefault="0033382B" w:rsidP="0033382B">
      <w:pPr>
        <w:pStyle w:val="TextoNormal"/>
      </w:pPr>
    </w:p>
    <w:p w:rsidR="0033382B" w:rsidRDefault="0033382B" w:rsidP="0033382B">
      <w:pPr>
        <w:pStyle w:val="TextoNormal"/>
      </w:pPr>
      <w:r w:rsidRPr="0033382B">
        <w:rPr>
          <w:rStyle w:val="NumeroAFNegritaCaracter"/>
        </w:rPr>
        <w:t>7</w:t>
      </w:r>
      <w:r>
        <w:t>. Finalmente, la disposición adicional primera de la Ley Foral 15/2015 bajo la rúbrica “integración de los auxiliares de policía en los Cuerpos de Policía Local” establece que “los auxiliares de policía, con una experiencia mínima en el puesto de trabajo de 3 años y que en el momento de la entrada en vigor de la presente ley foral están prestando servicios en el Ayuntamiento de que se trate o por futuras contrataciones y tras alcanzar dicha experiencia, se integrarán en el Cuerpo de Policía Local, de Alguaciles o de Agentes municipales ya existentes o en el que se cree, previa superación de un concurso oposición, en un plazo de dos años desde la entrada en vigor de la presente ley foral y por un máximo de dos convocatorias”.</w:t>
      </w:r>
    </w:p>
    <w:p w:rsidR="0033382B" w:rsidRDefault="0033382B" w:rsidP="0033382B">
      <w:pPr>
        <w:pStyle w:val="TextoNormal"/>
      </w:pPr>
    </w:p>
    <w:p w:rsidR="0033382B" w:rsidRDefault="0033382B" w:rsidP="0033382B">
      <w:pPr>
        <w:pStyle w:val="TextoNormal"/>
      </w:pPr>
      <w:r>
        <w:t xml:space="preserve">Conforme al citado informe del Ministerio de Hacienda y Administraciones Públicas, tal y como se ha recogido en los antecedentes, esta disposición adicional “implanta en el ámbito de la policía local pruebas restringidas e integraciones automáticas anuladas reiteradamente por la doctrina del Tribunal Constitucional por infringir el artículo 149.1.18 de la Constitución Española y el artículo 23 de la misma. Crea un sistema que rompe el principio de igualdad de acceso al empleo público, les aplica unos requisitos de titulación no admitidos por la normativa básica y crea un sistema de selección injusto, inadecuado y de consecuencias de difícil reparación para los ciudadanos y por la propia condición y normalidad del propio Cuerpo de la Policía Local”. Tanto la representante del Gobierno de Navarra como el del Parlamento de Navarra, en los términos expuestos en los antecedentes, niegan dichos perjuicios, respectivamente, por la existencia de regulaciones similares no impugnadas y porque está diferida la aplicación de la Ley Foral 17/2015 y cabe un derecho reaccional </w:t>
      </w:r>
      <w:r w:rsidRPr="0033382B">
        <w:rPr>
          <w:i/>
        </w:rPr>
        <w:t>ex</w:t>
      </w:r>
      <w:r>
        <w:t xml:space="preserve"> art 23.2 CE, para todos aquellos aspirantes que vean perturbados sus derechos ante la jurisdicción ordinaria.</w:t>
      </w:r>
    </w:p>
    <w:p w:rsidR="0033382B" w:rsidRDefault="0033382B" w:rsidP="0033382B">
      <w:pPr>
        <w:pStyle w:val="TextoNormal"/>
      </w:pPr>
    </w:p>
    <w:p w:rsidR="0033382B" w:rsidRDefault="0033382B" w:rsidP="0033382B">
      <w:pPr>
        <w:pStyle w:val="TextoNormal"/>
      </w:pPr>
      <w:r>
        <w:t>En este caso, asimismo, la aplicación de la doctrina de este Tribunal sobre la suspensión de normas relativas al acceso a la función pública conduce al mantenimiento de la suspensión inicialmente adoptada.</w:t>
      </w:r>
    </w:p>
    <w:p w:rsidR="0033382B" w:rsidRDefault="0033382B" w:rsidP="0033382B">
      <w:pPr>
        <w:pStyle w:val="TextoNormal"/>
      </w:pPr>
    </w:p>
    <w:p w:rsidR="0033382B" w:rsidRDefault="0033382B" w:rsidP="0033382B">
      <w:pPr>
        <w:pStyle w:val="TextoNormal"/>
      </w:pPr>
      <w:r>
        <w:t>Así, si se desarrollan la pruebas selectivas previstas en la disposición adicional primera de la Ley Foral 15/2015, serían notables los perjuicios derivados de la necesidad de remover las situaciones jurídicas de hecho y de derecho originadas, si, en su momento, llegara a apreciarse la inconstitucionalidad de su convocatoria. Por ello hemos apreciado en repetidas ocasiones la necesidad de suspender la eficacia de aquellas normas o actos cuya aplicación conllevase el inicio de procesos selectivos de acceso a la función pública, como en los AATC 1366/1987, de 9 de diciembre, 366/1988, de 22 de marzo, 376/1989, de 4 de julio, 329/1990, de 18 de septiembre, y 251/1996, de 17 de septiembre, en relación con la adquisición de la condición de funcionarios de carrera por parte de funcionarios interinos; en el ATC 231/1997, de 24 de junio, respecto a los procedimientos de funcionarización del personal laboral fijo; o en el ATC 233/1997, de 24 de junio, sobre procedimientos selectivos de incorporación de nuevo personal a la función pública autonómica (ATC 161/2012, de 13 de septiembre, FJ 3).</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 xml:space="preserve">1º Mantener la suspensión de los siguientes apartados del artículo único de la Ley Foral 15/2015, de 10 de abril, por la que se modifica la Ley Foral 8/2007, de 23 de marzo, de las policías de Navarra: 3 [por cuanto respecta a los apartados 1 y 2 del nuevo artículo 5 </w:t>
      </w:r>
      <w:r w:rsidRPr="0033382B">
        <w:rPr>
          <w:i/>
        </w:rPr>
        <w:t>ter</w:t>
      </w:r>
      <w:r>
        <w:t xml:space="preserve"> incluido en la Ley Foral 8/2007], 20 [por cuanto modifica el artículo 34.1 de la Ley Foral 8/2007 en lo que respecta a la aplicación a los cuerpos de policía local de su inciso final “o que cuenten con más de cinco años de antigüedad en dicho empleo, aunque carezcan de titulación”] y 21 [por cuanto modifica el artículo 35.1 de la Ley Foral 8/2007 en lo que respecta a la aplicación a los cuerpos de policía local de su inciso final “o que cuenten con más de cinco años de antigüedad en dicho empleo, aunque carezcan de titulación”], así como de la disposición adicional primera de la citada Ley Foral 15/2015, de 10 de abril.</w:t>
      </w:r>
    </w:p>
    <w:p w:rsidR="0033382B" w:rsidRDefault="0033382B" w:rsidP="0033382B">
      <w:pPr>
        <w:pStyle w:val="TextoNormal"/>
      </w:pPr>
    </w:p>
    <w:p w:rsidR="0033382B" w:rsidRDefault="0033382B" w:rsidP="0033382B">
      <w:pPr>
        <w:pStyle w:val="TextoNormal"/>
      </w:pPr>
      <w:r>
        <w:t>2º Levantar la suspensión del apartado treinta y cuatro del artículo único de la Ley Foral 15/2015, de 10 de abril, por la que se modifica la Ley Foral 8/2007, de 23 de marzo, de las policías de Navarra: 3 [por cuanto se refiere a la aplicación del artículo 57.1 a los cuerpos de policía local exclusivamente].</w:t>
      </w:r>
    </w:p>
    <w:p w:rsidR="0033382B" w:rsidRDefault="0033382B" w:rsidP="0033382B">
      <w:pPr>
        <w:pStyle w:val="TextoNormal"/>
      </w:pPr>
    </w:p>
    <w:p w:rsidR="0033382B" w:rsidRDefault="0033382B" w:rsidP="0033382B">
      <w:pPr>
        <w:pStyle w:val="TextoNormal"/>
      </w:pPr>
      <w:r>
        <w:t>Madrid, a veintiséis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17" w:name="AUTO_2016_90"/>
      <w:r>
        <w:t>AUTO 90/2016, de 26 de abril de 2016</w:t>
      </w:r>
    </w:p>
    <w:bookmarkEnd w:id="217"/>
    <w:p w:rsidR="0033382B" w:rsidRDefault="0033382B" w:rsidP="0033382B">
      <w:pPr>
        <w:pStyle w:val="TtuloResolucin"/>
      </w:pPr>
      <w:r>
        <w:t>Pleno</w:t>
      </w:r>
    </w:p>
    <w:p w:rsidR="0033382B" w:rsidRDefault="0033382B" w:rsidP="0033382B">
      <w:pPr>
        <w:pStyle w:val="TextoNormalCentrado"/>
      </w:pPr>
      <w:r>
        <w:t>ECLI:ES:TC:2016:90A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parcial en el recurso de inconstitucionalidad 37-2016, interpuesto por el Presidente del Gobierno en relación con la Ley Foral 16/2015, de 10 de abril, de reconocimiento y reparación de las víctimas por actos de motivación política provocados por grupos de extrema derecha o funcionarios públicos.</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5 de enero de 2016 tuvo entrada en el Registro General de este Tribunal el recurso de inconstitucionalidad interpuesto por el Abogado del Estado, en representación del Presidente del Gobierno, contra la Ley Foral 16/2015, de 10 de abril, de reconocimiento y reparación de las víctimas por actos de motivación política provocados por grupos de extrema derecha o funcionarios públicos. El Abogado del Estado invocó el art. 161.2 CE en relación con el 30 de la Ley Orgánica del Tribunal Constitucional (LOTC), a fin de que se acordase la suspensión de la vigencia y aplicación de la Ley Foral 16/2015.</w:t>
      </w:r>
    </w:p>
    <w:p w:rsidR="0033382B" w:rsidRDefault="0033382B" w:rsidP="0033382B">
      <w:pPr>
        <w:pStyle w:val="TextoNormal"/>
      </w:pPr>
    </w:p>
    <w:p w:rsidR="0033382B" w:rsidRDefault="0033382B" w:rsidP="0033382B">
      <w:pPr>
        <w:pStyle w:val="TextoNormal"/>
      </w:pPr>
      <w:r w:rsidRPr="0033382B">
        <w:rPr>
          <w:rStyle w:val="NumeroAFNegritaCaracter"/>
        </w:rPr>
        <w:t>2</w:t>
      </w:r>
      <w:r>
        <w:t>. Por providencia de 19 de enero de 2016, el Pleno, a propuesta de la Sección Primera, acordó: admitir a trámite el recurso de inconstitucionalidad; dar traslado de la demanda y documentos presentados al Congreso de los Diputados, al Senado, al Gobierno y al Parlamento de Navarra, al objeto de que en el plazo de quince días pudieran personarse en el proceso y formular las alegaciones que estimaren convenientes; tener por invocado por el Presidente del Gobierno el art. 161.2 CE, lo que, a su tenor y de conformidad con el art. 30 LOTC, produce la suspensión de la vigencia y aplicación de la ley impugnada y publicar la incoación del recurso en el “Boletín Oficial del Estado” y en el “Boletín Oficial de Navarra”.</w:t>
      </w:r>
    </w:p>
    <w:p w:rsidR="0033382B" w:rsidRDefault="0033382B" w:rsidP="0033382B">
      <w:pPr>
        <w:pStyle w:val="TextoNormal"/>
      </w:pPr>
    </w:p>
    <w:p w:rsidR="0033382B" w:rsidRDefault="0033382B" w:rsidP="0033382B">
      <w:pPr>
        <w:pStyle w:val="TextoNormal"/>
      </w:pPr>
      <w:r w:rsidRPr="0033382B">
        <w:rPr>
          <w:rStyle w:val="NumeroAFNegritaCaracter"/>
        </w:rPr>
        <w:t>3</w:t>
      </w:r>
      <w:r>
        <w:t>. Por sendos escritos registrados en el Tribunal Constitucional los días 29 de enero y 5 de febrero de 2016, los Presidentes del Senado y del Congreso de los Diputados comunicaron los acuerdos de las Mesas de sus respectivas Cámaras de personarse en este procedimiento y ofrecer su colaboración a los efectos del art. 88.1 LOTC.</w:t>
      </w:r>
    </w:p>
    <w:p w:rsidR="0033382B" w:rsidRDefault="0033382B" w:rsidP="0033382B">
      <w:pPr>
        <w:pStyle w:val="TextoNormal"/>
      </w:pPr>
    </w:p>
    <w:p w:rsidR="0033382B" w:rsidRDefault="0033382B" w:rsidP="0033382B">
      <w:pPr>
        <w:pStyle w:val="TextoNormal"/>
      </w:pPr>
      <w:r w:rsidRPr="0033382B">
        <w:rPr>
          <w:rStyle w:val="NumeroAFNegritaCaracter"/>
        </w:rPr>
        <w:t>4</w:t>
      </w:r>
      <w:r>
        <w:t>. Con fecha 16 de febrero de 2016 tuvo entrada en el Registro General de este Tribunal escrito de la representación procesal del Gobierno de Navarra, personándose en el proceso y formulando alegaciones. Mediante otrosí, solicita el levantamiento inmediato de la suspensión, en atención a las alegaciones que seguidamente se resumen.</w:t>
      </w:r>
    </w:p>
    <w:p w:rsidR="0033382B" w:rsidRDefault="0033382B" w:rsidP="0033382B">
      <w:pPr>
        <w:pStyle w:val="TextoNormal"/>
      </w:pPr>
    </w:p>
    <w:p w:rsidR="0033382B" w:rsidRDefault="0033382B" w:rsidP="0033382B">
      <w:pPr>
        <w:pStyle w:val="TextoNormal"/>
      </w:pPr>
      <w:r>
        <w:t>En primer lugar alude a la posibilidad de solicitar el levantamiento anticipado de la suspensión, así como a la necesidad de tener en cuenta la presunción de constitucionalidad de las leyes, ponderando los intereses afectados y los perjuicios de imposible o difícil reparación. Aduce al respecto que la Ley Foral impugnada goza de la presunción de constitucionalidad, lo que exige que los daños que se alegan derivados de su vigencia sean muy graves y ciertos, pues, en otro caso, ha de prevalecer el interés general que dimana de la Ley Foral, teniendo en cuenta que el interés que defiende es el de garantizar la protección integral de las víctimas por actos de motivación política provocados por grupos de extrema derecha o funcionarios públicos, cubriendo un vacío que existía en esta materia. Lo anterior determina que la aplicación de la Ley Foral 16/2015 coadyuve a la realización del interés público, sin que resulte afectada ninguna competencia estatal y, menos aún, el bien público.</w:t>
      </w:r>
    </w:p>
    <w:p w:rsidR="0033382B" w:rsidRDefault="0033382B" w:rsidP="0033382B">
      <w:pPr>
        <w:pStyle w:val="TextoNormal"/>
      </w:pPr>
    </w:p>
    <w:p w:rsidR="0033382B" w:rsidRDefault="0033382B" w:rsidP="0033382B">
      <w:pPr>
        <w:pStyle w:val="TextoNormal"/>
      </w:pPr>
      <w:r w:rsidRPr="0033382B">
        <w:rPr>
          <w:rStyle w:val="NumeroAFNegritaCaracter"/>
        </w:rPr>
        <w:t>5</w:t>
      </w:r>
      <w:r>
        <w:t>. El Letrado del Parlamento de Navarra se personó en el proceso mediante escrito registrado el 18 de febrero de 2016, solicitando el levantamiento inmediato de la suspensión, por las razones que se sintetizan a continuación.</w:t>
      </w:r>
    </w:p>
    <w:p w:rsidR="0033382B" w:rsidRDefault="0033382B" w:rsidP="0033382B">
      <w:pPr>
        <w:pStyle w:val="TextoNormal"/>
      </w:pPr>
    </w:p>
    <w:p w:rsidR="0033382B" w:rsidRDefault="0033382B" w:rsidP="0033382B">
      <w:pPr>
        <w:pStyle w:val="TextoNormal"/>
      </w:pPr>
      <w:r>
        <w:t>La Ley Foral 16/2015 ha estado vigente desde su entrada en vigor hasta el 5 de enero de 2016, sin que se haya producido ningún perjuicio ni tampoco se haya acreditado la existencia de tales perjuicios. Por tanto, atendiendo también al carácter excepcional que posee la suspensión en atención a razones de seguridad jurídica y a la presunción de constitucionalidad de la que gozan las leyes, lo procedente, en ausencia de perjuicios acreditados, es el levantamiento de la suspensión.</w:t>
      </w:r>
    </w:p>
    <w:p w:rsidR="0033382B" w:rsidRDefault="0033382B" w:rsidP="0033382B">
      <w:pPr>
        <w:pStyle w:val="TextoNormal"/>
      </w:pPr>
    </w:p>
    <w:p w:rsidR="0033382B" w:rsidRDefault="0033382B" w:rsidP="0033382B">
      <w:pPr>
        <w:pStyle w:val="TextoNormal"/>
      </w:pPr>
      <w:r w:rsidRPr="0033382B">
        <w:rPr>
          <w:rStyle w:val="NumeroAFNegritaCaracter"/>
        </w:rPr>
        <w:t>6</w:t>
      </w:r>
      <w:r>
        <w:t>. Mediante providencia de 18 de febrero de 2016, el Pleno acordó unir a las actuaciones los escritos presentados por las representaciones procesales del Gobierno y del Parlamento de Navarra y de conformidad con lo solicitado, oír a las partes personadas —Abogado del Estado, Gobierno de Navarra y Parlamento de Navarra— para que, en el plazo de cinco días, expusieran lo que estimaran procedente acerca del mantenimiento o levantamiento de la suspensión.</w:t>
      </w:r>
    </w:p>
    <w:p w:rsidR="0033382B" w:rsidRDefault="0033382B" w:rsidP="0033382B">
      <w:pPr>
        <w:pStyle w:val="TextoNormal"/>
      </w:pPr>
    </w:p>
    <w:p w:rsidR="0033382B" w:rsidRDefault="0033382B" w:rsidP="0033382B">
      <w:pPr>
        <w:pStyle w:val="TextoNormal"/>
      </w:pPr>
      <w:r w:rsidRPr="0033382B">
        <w:rPr>
          <w:rStyle w:val="NumeroAFNegritaCaracter"/>
        </w:rPr>
        <w:t>7</w:t>
      </w:r>
      <w:r>
        <w:t>. El Abogado del Estado, mediante escrito registrado en este Tribunal el 1 de marzo de 2016, interesó el mantenimiento de la suspensión con fundamento en las alegaciones que seguidamente se resumen.</w:t>
      </w:r>
    </w:p>
    <w:p w:rsidR="0033382B" w:rsidRDefault="0033382B" w:rsidP="0033382B">
      <w:pPr>
        <w:pStyle w:val="TextoNormal"/>
      </w:pPr>
    </w:p>
    <w:p w:rsidR="0033382B" w:rsidRDefault="0033382B" w:rsidP="0033382B">
      <w:pPr>
        <w:pStyle w:val="TextoNormal"/>
      </w:pPr>
      <w:r>
        <w:t>Alude, en primer término, a la doctrina del Tribunal Constitucional sobre este tipo de incidentes de suspensión así como al contenido de la norma impugnada y a las razones de su impugnación. En cuanto a los perjuicios derivados del levantamiento de la suspensión señala que tanto el Ministerio del Interior como el de Justicia han elaborado informes, que adjunta a su escrito, en los que se expresan los perjuicios que el eventual levantamiento de la suspensión de la Ley impugnada produciría para el funcionamiento del sistema judicial, las administraciones públicas afectadas y, principalmente, los derechos fundamentales de las personas que se verán directamente afectadas la norma. Del art. 6 de la Ley Foral 16/2015 deduce que esta tiene un plazo de vigencia de cinco años, lo que implicaría “que buena parte de los posibles perjuicios para los derechos fundamentales de las personas afectadas por las investigaciones de la comisión aquí expuestos se producirían probablemente con anterioridad a que se resolviera el recurso de inconstitucionalidad”.</w:t>
      </w:r>
    </w:p>
    <w:p w:rsidR="0033382B" w:rsidRDefault="0033382B" w:rsidP="0033382B">
      <w:pPr>
        <w:pStyle w:val="TextoNormal"/>
      </w:pPr>
    </w:p>
    <w:p w:rsidR="0033382B" w:rsidRDefault="0033382B" w:rsidP="0033382B">
      <w:pPr>
        <w:pStyle w:val="TextoNormal"/>
      </w:pPr>
      <w:r>
        <w:t>Tales perjuicios se califican por el Abogado del Estado como futuros y previsibles, sin que pueda tomarse en consideración el argumento de la vigencia de la norma durante ocho meses desde que entró en vigor, ya que, en ese tiempo, se aplicó el mecanismo del art. 33.2 LOTC, con la consecuencia de que la Ley Foral 16/2015 no estaba desplegando sus efectos. Señala además que la “interconexión de los preceptos que integran la mencionada norma foral hizo que la impugnación se extendiese a la ley en su integridad y justifican también en este momento procesal que se mantenga la suspensión en su totalidad”.</w:t>
      </w:r>
    </w:p>
    <w:p w:rsidR="0033382B" w:rsidRDefault="0033382B" w:rsidP="0033382B">
      <w:pPr>
        <w:pStyle w:val="TextoNormal"/>
      </w:pPr>
    </w:p>
    <w:p w:rsidR="0033382B" w:rsidRDefault="0033382B" w:rsidP="0033382B">
      <w:pPr>
        <w:pStyle w:val="TextoNormal"/>
      </w:pPr>
      <w:r>
        <w:t>En cuanto a la concreta delimitación de los perjuicios se centra en las funciones de la denominada Comisión de Reconocimiento y Reparación que, a su juicio, invade la reserva jurisdiccional, lo que es susceptible de crear confusión entre los ciudadanos y que, en cuanto se atribuye a la comisión la función de determinar la autoría de delitos, puede determinar la “afectación inmediata e irreparable del derecho al honor y a la propia imagen, a la tutela judicial efectiva y a la presunción de inocencia de las personas declaradas responsables de unos hechos constitutivos de delito por este peculiar órgano; afectación inevitable que se producirá tan pronto entre en funcionamiento la comisión”, pues es presupuesto de la aplicación de los beneficios contemplados en esta Ley que los responsables estuvieran integrados en grupos de extrema derecha o tuvieran la condición de funcionarios públicos. En consecuencia, el Abogado del Estado solicita el mantenimiento de la suspensión “para evitar que llegue a desplegarse este sistema de ‘justicia paralela’, absolutamente falto de garantías, y que genera una evidente distorsión en el sistema judicial de investigación de hechos delictivos. De no mantenerse dicha suspensión, la comisión podría iniciar sus investigaciones paralelas o al margen de la vía judicial, y emitir informes de ‘enjuiciamiento’ de situaciones de relevancia penal, lo que sin duda interferiría en posibles procedimientos judiciales penales y en el sistema de justicia en general”.</w:t>
      </w:r>
    </w:p>
    <w:p w:rsidR="0033382B" w:rsidRDefault="0033382B" w:rsidP="0033382B">
      <w:pPr>
        <w:pStyle w:val="TextoNormal"/>
      </w:pPr>
    </w:p>
    <w:p w:rsidR="0033382B" w:rsidRDefault="0033382B" w:rsidP="0033382B">
      <w:pPr>
        <w:pStyle w:val="TextoNormal"/>
      </w:pPr>
      <w:r>
        <w:t>El Abogado del Estado residencia los perjuicios para la personas investigadas en la vulneración del derecho al honor del art. 18 CE y de la tutela judicial efectiva y de la presunción de inocencia del art. 24 CE. En lo referente al artículo 24 de la Constitución, la citación de las personas ante la comisión se produce en el contexto de la investigación de hechos de naturaleza delictiva lo que posibilita la imputación de los mismos, conforme al art. 264 de la Ley de enjuiciamiento criminal. Es particularmente intenso el efecto que puede causar en el derecho a la presunción de inocencia que puede vulnerarse cuando una comisión, de carácter administrativo, determine algo más que una sombra de duda sobre la participación de personas en hechos delictivos, en ausencia de decisión judicial y sin posibilidad de defensa. Por lo que respecta a la vulneración del art. 18 CE, alega que la Ley Foral prevé la posibilidad de citación de personas en el marco de una investigación administrativa dirigida a determinar la realidad de hechos constitutivos de delito. Incluso si como resultado de su investigación las personas citadas no fueran presentadas como autoras de los hechos causantes de los daños que serán objeto de indemnización, sus identidades aparecerán vinculadas, a lo largo del procedimiento de investigación, a situaciones de hecho constitutivas de delitos muy graves, y por consiguiente, se habrá producido un menoscabo en su derecho al honor. Para el Abogado del Estado “es indudable que la mera declaración de la condición de víctima requiere de la previa imputación de un hecho causante, lo cual implica el enjuiciamiento de responsabilidades penales o administrativas de carácter sancionador, y el señalamiento de determinados grupos o personas como responsables de tales hechos”. De esta forma, la declaración de la autoría de los hechos constitutivos de delito —ilícitos que podrían no ser ya perseguibles penalmente—, imprescindible para obtener la compensación económica, comporta un perjuicio para el afectado de imposible o difícil reparación que puede extenderse en especial a “miembros de las Fuerzas y Cuerpos de Seguridad del Estado, además de funcionarios ya jubilados (policías), retirados (guardias civiles) o fallecidos, e incluso a titulares actuales de órganos que tienen encomendada la misión constitucional de proteger el libre ejercicio de los derechos y libertades y garantizar la seguridad ciudadana (artículo 104.1 CE)”.</w:t>
      </w:r>
    </w:p>
    <w:p w:rsidR="0033382B" w:rsidRDefault="0033382B" w:rsidP="0033382B">
      <w:pPr>
        <w:pStyle w:val="TextoNormal"/>
      </w:pPr>
    </w:p>
    <w:p w:rsidR="0033382B" w:rsidRDefault="0033382B" w:rsidP="0033382B">
      <w:pPr>
        <w:pStyle w:val="TextoNormal"/>
      </w:pPr>
      <w:r>
        <w:t>El Abogado del Estado alega también que la obligación legal de comparecer ante la comisión produce perjuicios a la Administración del Estado y a las fuerzas y cuerpos de seguridad, así como a los funcionarios dependientes de la Secretaría General de Instituciones Penitenciarias, y su incumplimiento podría fundamentar la pretensión de que los citados habrían incurrido en un delito de desobediencia.</w:t>
      </w:r>
    </w:p>
    <w:p w:rsidR="0033382B" w:rsidRDefault="0033382B" w:rsidP="0033382B">
      <w:pPr>
        <w:pStyle w:val="TextoNormal"/>
      </w:pPr>
    </w:p>
    <w:p w:rsidR="0033382B" w:rsidRDefault="0033382B" w:rsidP="0033382B">
      <w:pPr>
        <w:pStyle w:val="TextoNormal"/>
      </w:pPr>
      <w:r>
        <w:t>En todos los casos citados se producirían daños irreparables o de difícil reparación de los derechos fundamentales, que en ningún caso se remediarían con una compensación económica. Por ello el Abogado del Estado sostiene que los derechos fundamentales de los ciudadanos que pueden verse afectados por la ley foral controvertida deben prevalecer sobre su inmediata puesta en funcionamiento en ella en tanto se resuelve sobre su constitucionalidad, sin que por ello vaya a producirse un perjuicio irreparable en los beneficiarios del reconocimiento moral de la condición de víctimas y su derecho a percibir una compensación.</w:t>
      </w:r>
    </w:p>
    <w:p w:rsidR="0033382B" w:rsidRDefault="0033382B" w:rsidP="0033382B">
      <w:pPr>
        <w:pStyle w:val="TextoNormal"/>
      </w:pPr>
    </w:p>
    <w:p w:rsidR="0033382B" w:rsidRDefault="0033382B" w:rsidP="0033382B">
      <w:pPr>
        <w:pStyle w:val="TextoNormal"/>
      </w:pPr>
      <w:r>
        <w:t>Como conclusión el Abogado del Estado defiende que, frente a tales perjuicios, la suspensión de la aplicación de la Ley Foral 16/2015 no produce perjuicios de la misma entidad a las personas que hipotéticamente hayan sido víctimas de los delitos objeto de su ámbito de aplicación, ya que existen normas tanto estatales como forales destinadas a compensar económicamente a las víctimas de delitos violentos similares a los que constituyen el ámbito de aplicación de esta norma. Finalmente, la aplicación inmediata de la Ley Foral puede dar lugar a que se produzcan pronunciamientos de la Comisión de Reconocimiento y Reparación en los que se reconozca la condición de ‘víctimas’ con derecho a indemnización a determinadas personas o colectivos de personas, reconocimientos que serían nulos de pleno derecho, de declararse la inconstitucionalidad de la norma. Por ello entiende que “incluso desde la perspectiva de las víctimas que la Ley pretende reconocer y proteger, lo más adecuado bien para evitar un uso inconstitucional del ordenamiento jurídico (si se estima el recurso), bien para garantizar su aplicación incuestionable (si finalmente se desestima), es mantener la suspensión de la Ley Foral recurrida en tanto no haya un pronunciamiento del Tribunal sobre el fondo”.</w:t>
      </w:r>
    </w:p>
    <w:p w:rsidR="0033382B" w:rsidRDefault="0033382B" w:rsidP="0033382B">
      <w:pPr>
        <w:pStyle w:val="TextoNormal"/>
      </w:pPr>
    </w:p>
    <w:p w:rsidR="0033382B" w:rsidRDefault="0033382B" w:rsidP="0033382B">
      <w:pPr>
        <w:pStyle w:val="TextoNormal"/>
      </w:pPr>
      <w:r w:rsidRPr="0033382B">
        <w:rPr>
          <w:rStyle w:val="NumeroAFNegritaCaracter"/>
        </w:rPr>
        <w:t>8</w:t>
      </w:r>
      <w:r>
        <w:t>. La representación procesal del Gobierno de Navarra formuló sus alegaciones mediante escrito registrado el día 15 de marzo de 2016 interesando el levantamiento de la suspensión por las razones que, resumidamente, se exponen a continuación.</w:t>
      </w:r>
    </w:p>
    <w:p w:rsidR="0033382B" w:rsidRDefault="0033382B" w:rsidP="0033382B">
      <w:pPr>
        <w:pStyle w:val="TextoNormal"/>
      </w:pPr>
    </w:p>
    <w:p w:rsidR="0033382B" w:rsidRDefault="0033382B" w:rsidP="0033382B">
      <w:pPr>
        <w:pStyle w:val="TextoNormal"/>
      </w:pPr>
      <w:r>
        <w:t>Recuerda la doctrina constitucional sobre la resolución de este tipo de incidentes de suspensión, que, partiendo de la presunción de constitucionalidad de las leyes, subraya el carácter limitativo y excepcional de la suspensión, correspondiendo al Gobierno acreditar la irreversibilidad de la situación creada por la vigencia de la norma legal impugnada. En tal sentido, el mantenimiento de la suspensión sólo ha de acordarse cuando la eficacia de la ley impugnada produzca perjuicios irreparables o de difícil reparación en los intereses públicos o en los de los ciudadanos afectados por la norma en cuestión, debiendo tratarse de perjuicios ciertos y efectivos y no meramente hipotéticos.</w:t>
      </w:r>
    </w:p>
    <w:p w:rsidR="0033382B" w:rsidRDefault="0033382B" w:rsidP="0033382B">
      <w:pPr>
        <w:pStyle w:val="TextoNormal"/>
      </w:pPr>
    </w:p>
    <w:p w:rsidR="0033382B" w:rsidRDefault="0033382B" w:rsidP="0033382B">
      <w:pPr>
        <w:pStyle w:val="TextoNormal"/>
      </w:pPr>
      <w:r>
        <w:t xml:space="preserve">La Ley Foral 16/2015, ha estado vigente desde su entrada en vigor, el 16 de abril de 2015 hasta la fecha del recurso, 5 de enero de 2016, sin que se haya probado por la representación del Estado que dicha vigencia haya producido ningún perjuicio. Para la representación procesal del Gobierno de Navarra esto “acredita que de la aplicación de la Ley Foral recurrida no se sigue ningún daño, ni para el interés público ni para tercero”. Concluye, por tanto, que “ello pone de manifiesto </w:t>
      </w:r>
      <w:r w:rsidRPr="0033382B">
        <w:rPr>
          <w:i/>
        </w:rPr>
        <w:t>prima facie</w:t>
      </w:r>
      <w:r>
        <w:t xml:space="preserve"> y sin necesidad siquiera de entrar a ponderar los intereses en juego, que de la vigencia de la Ley Foral 16/2015 no se deriva ningún efecto desfavorable, ni para el interés público ni para los terceros, por lo que procede alzar la suspensión decretada”.</w:t>
      </w:r>
    </w:p>
    <w:p w:rsidR="0033382B" w:rsidRDefault="0033382B" w:rsidP="0033382B">
      <w:pPr>
        <w:pStyle w:val="TextoNormal"/>
      </w:pPr>
    </w:p>
    <w:p w:rsidR="0033382B" w:rsidRDefault="0033382B" w:rsidP="0033382B">
      <w:pPr>
        <w:pStyle w:val="TextoNormal"/>
      </w:pPr>
      <w:r>
        <w:t>Sostiene que el levantamiento de la suspensión es la solución más acorde con el interés general y de terceros —las víctimas—, y por el contrario, el mantenimiento de la suspensión conlleva graves perjuicios para las mismas, perjuicios que, además, resultan irreparables. Indica que, conforme a su artículo 1, el interés público que la norma defiende es la protección de las víctimas, para lo que resulta imprescindible la aplicación de la norma pues únicamente cuando dichas víctimas sean reconocidas como tales, podrán ser beneficiarias de los correspondientes derechos de reconocimiento y protección integral, lo que, a su juicio, es una exigencia de la configuración de España como un Estado social y democrático de Derecho, que propugna como valores superiores de su ordenamiento jurídico la libertad, la justicia, la igualdad (art. 1.1 CE), y en el que adquiere una importancia trascendental la protección de los derechos fundamentales, estando obligados a su tutela todos los poderes públicos, obligación que también se desprendería del derecho de la Unión Europea y del derecho internacional general.</w:t>
      </w:r>
    </w:p>
    <w:p w:rsidR="0033382B" w:rsidRDefault="0033382B" w:rsidP="0033382B">
      <w:pPr>
        <w:pStyle w:val="TextoNormal"/>
      </w:pPr>
    </w:p>
    <w:p w:rsidR="0033382B" w:rsidRDefault="0033382B" w:rsidP="0033382B">
      <w:pPr>
        <w:pStyle w:val="TextoNormal"/>
      </w:pPr>
      <w:r>
        <w:t>Aduce asimismo que las razones que en este caso concurren para el levantamiento de la suspensión se ven reforzadas por los argumentos esgrimidos en el escrito de interposición del recurso de inconstitucionalidad, que considera faltos de sustento alguno en cuanto que la Ley Foral 16/2015 no tendría naturaleza procesal o jurisdiccional ni se dirige a fijar hechos delictivos, pues, en la medida en que regula un procedimiento administrativo especial, tales cuestiones quedan fuera de su ámbito de aplicación, sin que la labor de la comisión se incardine en la función jurisdiccional. Indica además que, en el hipotético caso de que la comisión actuara ilegalmente y se excediera en sus funciones, los interesados siempre podrían defender sus derechos utilizando los mecanismos que para ello les brinda el ordenamiento jurídico.</w:t>
      </w:r>
    </w:p>
    <w:p w:rsidR="0033382B" w:rsidRDefault="0033382B" w:rsidP="0033382B">
      <w:pPr>
        <w:pStyle w:val="TextoNormal"/>
      </w:pPr>
    </w:p>
    <w:p w:rsidR="0033382B" w:rsidRDefault="0033382B" w:rsidP="0033382B">
      <w:pPr>
        <w:pStyle w:val="TextoNormal"/>
      </w:pPr>
      <w:r>
        <w:t>En conclusión, de lo que antecede se desprende que el mantenimiento de la suspensión de la Ley Foral 16/2015, produce perjuicios irreparables en los intereses públicos e impide la protección de las víctimas, lo que conlleva una vulneración de sus derechos fundamentales. En tanto que del alzamiento de la suspensión no se derivan perjuicios para la parte recurrente, ni para los terceros, ni para el servicio público. Todo lo cual, unido a que la regla general es el mantenimiento de la vigencia y aplicación de las leyes, dada la presunción de constitucionalidad de que gozan, y a que es la parte que promueve este recurso de inconstitucionalidad la que tiene la carga de justificar las razones que, en su caso, justificarían la suspensión sin que hasta este momento procesal nada haya acreditado a este respecto, debe conducir al levantamiento de la suspensión.</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objeto de esta resolución consiste en determinar si procede levantar o mantener la suspensión de la vigencia de la Ley Foral 16/2015, de 10 de abril, de reconocimiento y reparación de las víctimas por actos de motivación política provocados por grupos de extrema derecha o funcionarios públicos. Dicha Ley Foral 16/2015 se encuentran suspendida en su aplicación, como consecuencia de la invocación del art. 161.2 CE, al haberse interpuesto el recurso de inconstitucionalidad por el Presidente del Gobierno.</w:t>
      </w:r>
    </w:p>
    <w:p w:rsidR="0033382B" w:rsidRDefault="0033382B" w:rsidP="0033382B">
      <w:pPr>
        <w:pStyle w:val="TextoNormal"/>
      </w:pPr>
    </w:p>
    <w:p w:rsidR="0033382B" w:rsidRDefault="0033382B" w:rsidP="0033382B">
      <w:pPr>
        <w:pStyle w:val="TextoNormal"/>
      </w:pPr>
      <w:r>
        <w:t>El art. 1.1 de la Ley Foral 16/2015 identifica el objetivo de la Ley, que es el de establecer “los medios para que las víctimas de motivación política generadas por la acción violenta de grupos de extrema derecha o por parte de funcionarios públicos sean reconocidas como tales víctimas” y por tanto como beneficiarias de derechos de reparación integral. El ámbito de aplicación de la Ley se extiende, de conformidad con su artículo 2, a reparar el daño grave contra la vida o la integridad de las personas que haya dado lugar al fallecimiento o a la producción de lesiones graves o permanentes en el contexto de violencia de motivación política desde el 1 de enero de 1950. A tal fin, delimita los sujetos a los que podrá aplicarse y define los conceptos de agresiones, atentados o vulneraciones, tortura, malos tratos y tratos inhumanos o degradantes a efectos de la Ley. El articulo 3 crea una comisión de reconocimiento y reparación que estará compuesta por personas independientes, elegidas para un periodo de cinco años por el Pleno del Parlamento de Navarra y que tendrá competencia directa en cuanto a la fijación e investigación de los hechos con base en instrumentos internacionales homologados, determinando, caso de que no existiera una sentencia aclaratoria sobre la autoría de los hechos, “de forma veraz y coherente una interpretación que esclarezca lo sucedido”. Todas las entidades públicas y personas privadas relacionadas con el cumplimiento de los objetivos de la Comisión habrán de prestarle la colaboración que les sea requerida, incluyendo la obligación de comparecencia personal, caso de ser citado para ello. Conforme al artículo 4 las solicitudes de reconocimiento de la condición de víctima se dirigirán al departamento competente de la Administración de la Comunidad Foral y se remitirán a la Comisión para su examen y resolución en el plazo de un año. El apartado 3 del artículo 4 dispone que, una vez investigados los hechos, la Comisión elevará una propuesta de resolución vinculante, aceptando o desestimando la solicitud de reconocimiento de las víctimas al departamento competente, para que por éste se dicte la correspondiente resolución. Las personas que sean declaradas como víctimas tendrán reconocidas, de conformidad con el artículo 5, indemnizaciones económicas por los daños físicos o psicológicos, por los daños materiales en bienes, viviendas habituales o vehículos o en sedes de partidos políticos, organizaciones sociales o medios de comunicación, de conformidad con la Ley Foral 9/2010, de 28 de abril, de ayuda a las víctimas del terrorismo. El artículo 6 dispone que, a la finalización de su mandato, la Comisión elaborará dos informes globales de sus actuaciones, el primero referido al periodo comprendido desde el 2 de enero de 1950 hasta el 28 de diciembre de 1978 y el segundo desde esta última fecha hasta la actualidad, informes que tendrán el contenido mínimo que tal precepto señala y que se presentarán ante el Parlamento de Navarra para su debate y aprobación. Los artículos 7 y 8 establecen que los objetivos y principios de la Ley Foral se tendrán en cuenta en el marco del programa anual de educación para la paz y los derechos humanos, así como que el Gobierno de Navarra pondrá en marcha ciclos, cursos, seminarios y congresos para la información a la sociedad en general y de reflexión en torno a la gravedad e importancia de las violaciones de derechos humanos producidas en el contexto de la violencia de motivación política. Las disposiciones adicionales prevén que durante el primer año desde la entrada en vigor de la Ley Foral el Gobierno de Navarra realizará un acto de homenaje a las víctimas de motivación política producidas por grupos de extrema derecha o funcionarios públicos (primera); que el Gobierno de Navarra dictará las disposiciones necesarias para el desarrollo y aplicación de lo dispuesto en la Ley Foral y, en especial para la adecuación a sus objetivos de las indemnizaciones y ayudas previstas en la Ley Foral 9/2010, de ayuda a las víctimas del terrorismo (segunda); publicará y difundirá entre la ciudadanía los informes elaborados por la Comisión de Reconocimiento y Reparación (tercera) y financiará el funcionamiento de la Comisión de Reconocimiento y Reparación a través de una partida específica anual en los Presupuestos Generales de Navarra, además de cederle un espacio físico y medios materiales (cuarta). La disposición transitoria única prevé la constitución de la Comisión de Reconocimiento y Reparación antes del 31 de diciembre de 2015 y, a la finalización de su mandato y en el plazo de un año, el Gobierno de Navarra en colaboración con el Parlamento de Navarra, realizará un acto de homenaje a las víctimas.</w:t>
      </w:r>
    </w:p>
    <w:p w:rsidR="0033382B" w:rsidRDefault="0033382B" w:rsidP="0033382B">
      <w:pPr>
        <w:pStyle w:val="TextoNormal"/>
      </w:pPr>
    </w:p>
    <w:p w:rsidR="0033382B" w:rsidRDefault="0033382B" w:rsidP="0033382B">
      <w:pPr>
        <w:pStyle w:val="TextoNormal"/>
      </w:pPr>
      <w:r>
        <w:t>Los motivos de impugnación se refieren a la vulneración material y directa de la Constitución, fundamentalmente de su art. 117, y sus efectos sobre los derechos fundamentales, y la infracción de la distribución de competencias entre el Estado y la Comunidad Foral por la violación, entre otras, de la competencia exclusiva del Estado en materia de Administración de Justicia (art. 149.1.5 CE), legislación procesal (art. 149.1.6 CE) o procedimiento administrativo común (art. 149.1.18 CE).</w:t>
      </w:r>
    </w:p>
    <w:p w:rsidR="0033382B" w:rsidRDefault="0033382B" w:rsidP="0033382B">
      <w:pPr>
        <w:pStyle w:val="TextoNormal"/>
      </w:pPr>
    </w:p>
    <w:p w:rsidR="0033382B" w:rsidRDefault="0033382B" w:rsidP="0033382B">
      <w:pPr>
        <w:pStyle w:val="TextoNormal"/>
      </w:pPr>
      <w:r w:rsidRPr="0033382B">
        <w:rPr>
          <w:rStyle w:val="NumeroAFNegritaCaracter"/>
        </w:rPr>
        <w:t>2</w:t>
      </w:r>
      <w:r>
        <w:t>. Es doctrina constitucional reiterada que la resolución de este incidente cautelar requiere ponderar, de un lado, los intereses que se encuentran concernidos, tanto el público y general como los privados, y, de otro, los perjuicios de imposible o difícil reparación que puedan derivarse del mantenimiento de la suspensión. Asimismo, el Tribunal ha sostenido que el mantenimiento de la suspensión requiere que el Gobierno, a quien se debe la iniciativa, no solo invoque la existencia de aquellos perjuicios, sino que es igualmente necesario demostrar o, al menos, razonar consistentemente su procedencia y su imposible o difícil reparación, ya que debe partirse en principio de la existencia de una presunción de constitucionalidad a favor de las normas o actos objeto de conflicto (entre otros muchos, AATC, 147/2012, de 16 de julio, 157/2013, de 11 de julio, FJ 2; y 122/2015, FJ 2). Además, ha establecido que la resolución de este tipo de incidentes ha de efectuarse atendiendo a las situaciones de hecho creadas y al margen de la viabilidad de las pretensiones que se formulen en la demanda (por todos, ATC 41/2016, de 16 de febrero, FJ 2).</w:t>
      </w:r>
    </w:p>
    <w:p w:rsidR="0033382B" w:rsidRDefault="0033382B" w:rsidP="0033382B">
      <w:pPr>
        <w:pStyle w:val="TextoNormal"/>
      </w:pPr>
    </w:p>
    <w:p w:rsidR="0033382B" w:rsidRDefault="0033382B" w:rsidP="0033382B">
      <w:pPr>
        <w:pStyle w:val="TextoNormal"/>
      </w:pPr>
      <w:r>
        <w:t>Nuestro examen queda estrictamente ceñido a lo que resulta relevante para adoptar la decisión que constituye el único objeto de esta resolución, que “ha de ponderar, exclusivamente, los perjuicios que para los intereses generales o particulares puedan derivarse de una u otra medida y sin que pueda establecerse ninguna conexión entre la referida ponderación y la valoración de la legitimidad constitucional de los preceptos sometidos a debate en este proceso (ATC 226/2015, de 15 de diciembre, FJ 2, con cita del ATC 87/2011, de 8 de junio, FJ 3). Este criterio debe llevarnos a descartar en este momento, por su improcedencia para la resolución de este incidente, la alegación de la Letrada del Gobierno de Navarra que se relaciona con los motivos del recurso de inconstitucionalidad, pues lo que se entiende como falta de fundamento de uno de los motivos de inconstitucionalidad alegados en la demanda no puede tomarse en consideración en este momento procesal.”</w:t>
      </w:r>
    </w:p>
    <w:p w:rsidR="0033382B" w:rsidRDefault="0033382B" w:rsidP="0033382B">
      <w:pPr>
        <w:pStyle w:val="TextoNormal"/>
      </w:pPr>
    </w:p>
    <w:p w:rsidR="0033382B" w:rsidRDefault="0033382B" w:rsidP="0033382B">
      <w:pPr>
        <w:pStyle w:val="TextoNormal"/>
      </w:pPr>
      <w:r w:rsidRPr="0033382B">
        <w:rPr>
          <w:rStyle w:val="NumeroAFNegritaCaracter"/>
        </w:rPr>
        <w:t>3</w:t>
      </w:r>
      <w:r>
        <w:t>. Expuestas las alegaciones de las partes, antes de resolver el presente incidente cautelar debemos realizar otras dos consideraciones preliminares.</w:t>
      </w:r>
    </w:p>
    <w:p w:rsidR="0033382B" w:rsidRDefault="0033382B" w:rsidP="0033382B">
      <w:pPr>
        <w:pStyle w:val="TextoNormal"/>
      </w:pPr>
    </w:p>
    <w:p w:rsidR="0033382B" w:rsidRDefault="0033382B" w:rsidP="0033382B">
      <w:pPr>
        <w:pStyle w:val="TextoNormal"/>
      </w:pPr>
      <w:r>
        <w:t>Por un lado, del escrito del Abogado del Estado se desprende que ha considerado que los perjuicios que entiende determinantes del mantenimiento de la suspensión se residencian en la actuación de la denominada Comisión de Reconocimiento y Reparación prevista en el art. 3 de la Ley Foral 16/2015. De esta forma no realiza una valoración global de las consecuencias que tendría la efectiva aplicación del conjunto de la Ley Foral impugnada, sino que, implícitamente, se está refiriendo exclusivamente a los preceptos de la Ley Foral 16/2015 que, de una forma u otra, guardan relación con la actividad de la citada Comisión. Lo anterior determina que debemos constatar la ausencia de alegaciones específicas por parte del Abogado del Estado para fundamentar la suspensión de los arts. 1.1; 1.2, apartados b, e y f; 7; 8 y disposición adicional primera, pues los mismos no se refieren ni directa ni indirectamente a la actuación de la Comisión en la que el Abogado del Estado ha centrado los perjuicios que alega, por lo que resulta procedente el levantamiento de la suspensión que pesa sobre estos preceptos.</w:t>
      </w:r>
    </w:p>
    <w:p w:rsidR="0033382B" w:rsidRDefault="0033382B" w:rsidP="0033382B">
      <w:pPr>
        <w:pStyle w:val="TextoNormal"/>
      </w:pPr>
    </w:p>
    <w:p w:rsidR="0033382B" w:rsidRDefault="0033382B" w:rsidP="0033382B">
      <w:pPr>
        <w:pStyle w:val="TextoNormal"/>
      </w:pPr>
      <w:r>
        <w:t>Por otra parte, también hemos de descartar la alegación formulada por los Letrados del Gobierno y del Parlamento de Navarra relativa a que durante la vigencia de la norma desde su entrada en vigor, el 16 de abril de 2015, hasta la fecha de interposición, el 5 de enero de 2016, no se han producido perjuicios, pues tampoco ha quedado acreditado que en ese período haya comenzado a funcionar la Comisión de Reconocimiento y Reparación, extremo en el que el Abogado del Estado centra sus alegaciones.</w:t>
      </w:r>
    </w:p>
    <w:p w:rsidR="0033382B" w:rsidRDefault="0033382B" w:rsidP="0033382B">
      <w:pPr>
        <w:pStyle w:val="TextoNormal"/>
      </w:pPr>
    </w:p>
    <w:p w:rsidR="0033382B" w:rsidRDefault="0033382B" w:rsidP="0033382B">
      <w:pPr>
        <w:pStyle w:val="TextoNormal"/>
      </w:pPr>
      <w:r w:rsidRPr="0033382B">
        <w:rPr>
          <w:rStyle w:val="NumeroAFNegritaCaracter"/>
        </w:rPr>
        <w:t>4</w:t>
      </w:r>
      <w:r>
        <w:t>. Por tanto, de lo que se trata en este incidente es de dilucidar si los perjuicios que ha alegado el Abogado del Estado tienen la gravedad y la consistencia necesarias como para prevalecer sobre la presunción de constitucionalidad de la Ley Foral impugnada. De tal forma, en este incidente deberemos determinar los intereses que han de prevalecer, por ser menos resistentes al perjuicio o acreedores de una protección preferente, y cuáles deben ceder, por ser su lesión menos onerosa o de menor incidencia su sacrificio en caso de colisión. Para ello debemos tener cuenta, de una parte, la irreparabilidad o dificultad de reparación de las situaciones que pudieran generarse y, de otra, la trascendencia de los intereses subyacentes, generales y particulares.</w:t>
      </w:r>
    </w:p>
    <w:p w:rsidR="0033382B" w:rsidRDefault="0033382B" w:rsidP="0033382B">
      <w:pPr>
        <w:pStyle w:val="TextoNormal"/>
      </w:pPr>
    </w:p>
    <w:p w:rsidR="0033382B" w:rsidRDefault="0033382B" w:rsidP="0033382B">
      <w:pPr>
        <w:pStyle w:val="TextoNormal"/>
      </w:pPr>
      <w:r>
        <w:t>Los concretos perjuicios que se derivarían, según el Abogado del Estado, del levantamiento de la suspensión han quedado detallados en los antecedentes. Resumidamente alega, con apoyo en informes del Ministerio del Interior y del Ministerio de Justicia, que la aplicación de la Ley Foral 16/2015 podría interferir significativamente en los procedimientos judiciales penales y en el sistema de justicia en general, a lo que añade que la aplicación de la norma representaría un impacto relevante sobre los derechos fundamentales de los sometidos a investigación por la denominada Comisión de Reconocimiento y Reparación prevista en el art. 3 de la Ley Foral 16/2015. La Letrada del Gobierno de Navarra ha señalado que el interés público que la norma defiende, la protección de las víctimas, debe prevalecer sobre los alegados por el Abogado del Estado, extremo en el que coincide con el Letrado del Parlamento de Navarra.</w:t>
      </w:r>
    </w:p>
    <w:p w:rsidR="0033382B" w:rsidRDefault="0033382B" w:rsidP="0033382B">
      <w:pPr>
        <w:pStyle w:val="TextoNormal"/>
      </w:pPr>
    </w:p>
    <w:p w:rsidR="0033382B" w:rsidRDefault="0033382B" w:rsidP="0033382B">
      <w:pPr>
        <w:pStyle w:val="TextoNormal"/>
      </w:pPr>
      <w:r w:rsidRPr="0033382B">
        <w:rPr>
          <w:rStyle w:val="NumeroAFNegritaCaracter"/>
        </w:rPr>
        <w:t>5</w:t>
      </w:r>
      <w:r>
        <w:t>. La norma objeto del presente incidente guarda relación con determinadas disposiciones estatales, como la Ley 52/2007, de 26 de diciembre, por la que se reconocen y amplían derechos y se establecen medidas en favor de quienes padecieron persecución o violencia durante la guerra civil y la dictadura, y la Ley 29/2011, de 22 de septiembre, de reconocimiento y protección integral a las víctimas del terrorismo, y forales, como la Ley Foral 33/2013, de 26 de noviembre, de reconocimiento y reparación moral de las ciudadanas y ciudadanos navarros asesinados y víctimas de la represión a raíz del golpe militar de 1936, y la Ley Foral 9/2010, de 28 de abril, de ayuda a las víctimas del terrorismo.</w:t>
      </w:r>
    </w:p>
    <w:p w:rsidR="0033382B" w:rsidRDefault="0033382B" w:rsidP="0033382B">
      <w:pPr>
        <w:pStyle w:val="TextoNormal"/>
      </w:pPr>
    </w:p>
    <w:p w:rsidR="0033382B" w:rsidRDefault="0033382B" w:rsidP="0033382B">
      <w:pPr>
        <w:pStyle w:val="TextoNormal"/>
      </w:pPr>
      <w:r>
        <w:t>La Ley Foral 16/2015 se diferencia, sin embargo, de las anteriores en que atribuye a la Comisión que se crea, funciones de averiguación y fijación de hechos a los efectos de reconocer la condición de víctima y los efectos asociados a tal situación, extremo en el que el Abogado del Estado ha centrado los perjuicios que entiende determinantes para justificar el mantenimiento de la suspensión inicialmente acordada.</w:t>
      </w:r>
    </w:p>
    <w:p w:rsidR="0033382B" w:rsidRDefault="0033382B" w:rsidP="0033382B">
      <w:pPr>
        <w:pStyle w:val="TextoNormal"/>
      </w:pPr>
    </w:p>
    <w:p w:rsidR="0033382B" w:rsidRDefault="0033382B" w:rsidP="0033382B">
      <w:pPr>
        <w:pStyle w:val="TextoNormal"/>
      </w:pPr>
      <w:r>
        <w:t>En el art. 3 de la Ley Foral 16/2015 se erige a la Comisión de Reparación y Reconocimiento como organismo competente para averiguar, investigar y decidir acerca de determinados hechos presuntamente constitutivos de delitos a los efectos de concluir o no la procedencia de declarar la condición de víctima por actos de motivación política provocados por grupos de extrema derecha o funcionarios públicos. A los efectos del presente incidente, dicha atribución permite apreciar que la actividad de dicha Comisión pudiera guardar relación tanto con la calificación de un hecho como eventualmente delictivo, como con la posible fijación del grado de autoría o de participación en tales hechos, en cuanto que la norma se refiere específicamente a acciones violentas de determinadas personas o grupos (la Ley Foral 16/2015 hace referencia expresa a la producción de lesiones graves o permanentes y fallecimientos así como a agresiones, atentados o vulneraciones de los derechos humanos). Eso determina que, sin avanzar el juicio acerca de la cuestión de fondo discutida en el proceso, debamos en este momento mantener la suspensión ya acordada en relación con algunos de los preceptos de la Ley Foral 15/2015. Pese a que la norma afirma lo contrario en su art. 3.1, lo cierto es que la “determinación de forma veraz y coherente de una interpretación que esclarezca lo sucedido” se relaciona implícitamente, en el propio art. 3.1, con la atribución de la autoría de los hechos, pues esa labor de determinación se realizaría para el caso de que no existiera una sentencia aclaratoria sobre dicha autoría. Labor de investigación y acreditación de los hechos que la Comisión ha de realizar en los términos del art. 3, especialmente su apartado 6, que fija la obligación de colaborar con los objetivos de la Comisión, y a partir de la propia solicitud prevista en el art. 4. Todo ello es coherente con el art. 1.2, letras a), c) y d) que considera que, entre los objetivos de la norma, se encuentra que todas las instituciones de la Comunidad Foral de Navarra adopten las medidas precisas para “[E]sclarecer al máximo los hechos y documentar los casos existentes de una forma veraz y coherente, con el propósito de fijar la verdad de lo sucedido”, “[E]vitar, hasta donde sea posible, la sensación de impunidad y frustración penal” e “[I]mpulsar el reconocimiento del daño causado por parte de las personas, organizaciones o instituciones que protagonizaron los hechos violentos”. Asimismo los hechos cuya investigación y fijación se atribuye a la Comisión (según el artículo 2.3 se considerarán agresiones, atentados o vulneraciones graves de los derechos humanos aquellos que hayan tenido como consecuencia el fallecimiento de la persona afectada o la producción de lesiones graves o permanentes) están tipificados como delitos en el Código penal, aprobado por la Ley Orgánica 10/1995, de 23 de noviembre, en concreto en los arts. 147 y siguientes respecto de las lesiones y 138 y siguientes en relación con el homicidio. Tampoco la circunstancia de que la Ley Foral 16/2015 trate de circunscribir los efectos de la declaración de víctima al derecho de beneficiarse de ciertas compensaciones, previstas en la ya mencionada Ley Foral 9/2010, desvinculando tal calificación de las eventuales consecuencias penales, permite conjurar el riesgo de que, en determinados supuestos, se pudiera invadir la función jurisdiccional en los extremos antes señalados.</w:t>
      </w:r>
    </w:p>
    <w:p w:rsidR="0033382B" w:rsidRDefault="0033382B" w:rsidP="0033382B">
      <w:pPr>
        <w:pStyle w:val="TextoNormal"/>
      </w:pPr>
    </w:p>
    <w:p w:rsidR="0033382B" w:rsidRDefault="0033382B" w:rsidP="0033382B">
      <w:pPr>
        <w:pStyle w:val="TextoNormal"/>
      </w:pPr>
      <w:r>
        <w:t>Las anteriores consideraciones nos llevan a concluir que, en la perspectiva cautelar que ahora debemos adoptar y huyendo de cualquier pronunciamiento de fondo, la Ley Foral 16/2015 podría presentar, en este momento, un posible riesgo de interferencia con el enjuiciamiento penal, lo que aconseja, en esta fase de justicia cautelar, el mantenimiento de la suspensión de la norma.</w:t>
      </w:r>
    </w:p>
    <w:p w:rsidR="0033382B" w:rsidRDefault="0033382B" w:rsidP="0033382B">
      <w:pPr>
        <w:pStyle w:val="TextoNormal"/>
      </w:pPr>
    </w:p>
    <w:p w:rsidR="0033382B" w:rsidRDefault="0033382B" w:rsidP="0033382B">
      <w:pPr>
        <w:pStyle w:val="TextoNormal"/>
      </w:pPr>
      <w:r w:rsidRPr="0033382B">
        <w:rPr>
          <w:rStyle w:val="NumeroAFNegritaCaracter"/>
        </w:rPr>
        <w:t>6</w:t>
      </w:r>
      <w:r>
        <w:t>. Lo propio sucede desde la perspectiva de los derechos fundamentales de las personas afectadas por el funcionamiento de la Comisión que también se ha alegado por el Abogado del Estado. Resulta también procedente la suspensión con el fin de evitar, en una materia como ésta, situaciones de confusión y perjuicios de difícil reparación que podrían eventualmente surgir en relación con las medidas adoptadas o situaciones creadas al amparo de la vigencia recobrada de los preceptos de la Ley Foral 16/2015 relativos a la tan citada Comisión. Perjuicios especialmente acusados en el caso de que se aplicara y en su día mereciera un juicio de inconstitucionalidad y fuera, por tanto, objeto de una declaración de nulidad. Atendiendo a la esfera concreta de intereses en presencia y sin prejuzgar el fondo del asunto, el funcionamiento de la Comisión puede producir la afectación del derecho al honor y a la presunción de inocencia, por cuanto, conforme a su art. 3.6, por un lado, se impone a todas las entidades públicas y personas privadas relacionadas con el cumplimiento de los objetivos de la Comisión la obligación de colaboración con ésta, y, por otro, se trata de una obligación que se refiere a una actividad indagatoria sobre unos hechos que pueden entenderse, en principio, constitutivos de delito. Todo ello sin que la norma incluya garantía alguna relativa al derecho al honor o a la protección de datos de carácter personal de los afectados por el funcionamiento de la Comisión, pues se alude expresamente al suministro de todos los datos que sean requeridos, incluso mediante el recurso a la obligación de comparecencia, lo que determina la inevitabilidad de la producción de dichos efectos.</w:t>
      </w:r>
    </w:p>
    <w:p w:rsidR="0033382B" w:rsidRDefault="0033382B" w:rsidP="0033382B">
      <w:pPr>
        <w:pStyle w:val="TextoNormal"/>
      </w:pPr>
    </w:p>
    <w:p w:rsidR="0033382B" w:rsidRDefault="0033382B" w:rsidP="0033382B">
      <w:pPr>
        <w:pStyle w:val="TextoNormal"/>
      </w:pPr>
      <w:r>
        <w:t>Se introducen así, en la ponderación que debemos realizar, bienes jurídicos de carácter personal, cuya reparabilidad no es precisamente sencilla, lo cual justifica que este Tribunal deba atender a su tutela evitando su lesión irremediable.</w:t>
      </w:r>
    </w:p>
    <w:p w:rsidR="0033382B" w:rsidRDefault="0033382B" w:rsidP="0033382B">
      <w:pPr>
        <w:pStyle w:val="TextoNormal"/>
      </w:pPr>
    </w:p>
    <w:p w:rsidR="0033382B" w:rsidRDefault="0033382B" w:rsidP="0033382B">
      <w:pPr>
        <w:pStyle w:val="TextoNormal"/>
      </w:pPr>
      <w:r>
        <w:t>Este Tribunal ha considerado que la imposición, como tal, de penas o sanciones disciplinarias no vulnera el derecho al honor (STC 227/1992, 14 de diciembre, FJ 4) y que el honor no constituye ni puede constituir obstáculo alguno para que, a través de expedientes administrativos o procesos judiciales se pongan en cuestión las conductas sospechosas de haber incurrido en ilicitud (STC 50/1983, de 14 de junio, FJ 3), pues el daño que el honor de quien sigue tal conducta pueda sufrir no se origina en esos procedimientos, sino en su propia actividad y ni la Constitución ni la Ley pueden garantizar al individuo contra el deshonor que nazca de sus propios actos. Sin embargo, en el supuesto que ahora examinamos, el riesgo de la lesión que el derecho fundamental al honor pueda sufrir es el que debe prevalecer, por cuanto sin duda los trabajos de esta Comisión dirigidos a esclarecer los hechos podrían afectar al honor de las personas que comparecieran, sin que exista imputación, judicialmente ratificada, de culpabilidad, ni apertura de procedimiento disciplinario alguno, lo que convertiría el perjuicio sufrido en uno de muy difícil restitución. Lo mismo ocurre, desde otra perspectiva, si se considera que la actividad indagatoria de la Comisión respecto a las personas legalmente obligadas a comparecer en relación a unos hechos materialmente delictivos plantea la expresión de dudas sobre su posible culpabilidad o responsabilidad penal de manera directa o indirecta, lo que no puede entenderse en este momento compatible con la presunción de inocencia que consagra el art. 24.2 CE.</w:t>
      </w:r>
    </w:p>
    <w:p w:rsidR="0033382B" w:rsidRDefault="0033382B" w:rsidP="0033382B">
      <w:pPr>
        <w:pStyle w:val="TextoNormal"/>
      </w:pPr>
    </w:p>
    <w:p w:rsidR="0033382B" w:rsidRDefault="0033382B" w:rsidP="0033382B">
      <w:pPr>
        <w:pStyle w:val="TextoNormal"/>
      </w:pPr>
      <w:r>
        <w:t>Todo ello podría suponer que la citada Comisión asumiera funciones colindantes con las propias de la jurisdicción penal en la investigación de hechos que constituyen delitos penados en el Código Penal, con el riesgo de interferir en el ejercicio de esta función jurisdiccional (art. 117 CE), que solo corresponde a los jueces, así como de afectar de modo irreparable a derechos fundamentales, como los incluidos en los arts. 18 y 24 CE, intereses ambos que deben ser especialmente tutelados. Lo que, a su vez, muestra que el levantamiento de la suspensión podría producir perjuicios graves al interés general y a los sujetos afectados por el funcionamiento de la Comisión prevista en el art. 3 de la Ley Foral 15/2015.</w:t>
      </w:r>
    </w:p>
    <w:p w:rsidR="0033382B" w:rsidRDefault="0033382B" w:rsidP="0033382B">
      <w:pPr>
        <w:pStyle w:val="TextoNormal"/>
      </w:pPr>
    </w:p>
    <w:p w:rsidR="0033382B" w:rsidRDefault="0033382B" w:rsidP="0033382B">
      <w:pPr>
        <w:pStyle w:val="TextoNormal"/>
      </w:pPr>
      <w:r>
        <w:t>Consecuentemente, el carácter de las disposiciones impugnadas y los efectos jurídicos de las mismas, aconsejan como más conveniente para los intereses generales una vez ponderados todos los elementos en presencia, mantener la suspensión acordada en su día hasta tanto se resuelva de manera definitiva el problema planteado, pues la inmediata eficacia de algunos de los preceptos inicialmente suspendidos supondría unas consecuencias materiales, que dada su especial trascendencia para la administración de justicia y los derechos fundamentales de las afectados por el funcionamiento de la citada comisión, no deben producirse en una situación de interinidad. Por tanto, desde el punto de vista del juicio de proporcionalidad inherente a la ponderación sobre la procedencia del mantenimiento de una medida de suspensión acordada al amparo del art. 161.2 CE, ante la existencia de perjuicios irreparables e irreversibles para los intereses públicos y particulares no se puede calificar de excesivo o desproporcionado mantener la suspensión en los términos que posteriormente se exponen.</w:t>
      </w:r>
    </w:p>
    <w:p w:rsidR="0033382B" w:rsidRDefault="0033382B" w:rsidP="0033382B">
      <w:pPr>
        <w:pStyle w:val="TextoNormal"/>
      </w:pPr>
    </w:p>
    <w:p w:rsidR="0033382B" w:rsidRDefault="0033382B" w:rsidP="0033382B">
      <w:pPr>
        <w:pStyle w:val="TextoNormal"/>
      </w:pPr>
      <w:r>
        <w:t>A mayor abundamiento, si en virtud de lo dispuesto en esta Ley Foral, se acordase el pago de indemnizaciones a las declaradas víctimas con derecho a ello, podría producirse, como también ha señalado el Abogado del Estado, un perjuicio si la norma fuera declarada inconstitucional en cuanto que se habría creado una expectativa de reconocimiento y cobro de indemnizaciones para tales personas, sustentada en la aplicación de una ley posteriormente declarada inconstitucional y, por tanto, nula.</w:t>
      </w:r>
    </w:p>
    <w:p w:rsidR="0033382B" w:rsidRDefault="0033382B" w:rsidP="0033382B">
      <w:pPr>
        <w:pStyle w:val="TextoNormal"/>
      </w:pPr>
    </w:p>
    <w:p w:rsidR="0033382B" w:rsidRDefault="0033382B" w:rsidP="0033382B">
      <w:pPr>
        <w:pStyle w:val="TextoNormal"/>
      </w:pPr>
      <w:r>
        <w:t>En suma, la posible afectación a los intereses generales vinculados al funcionamiento de la Justicia así como la irreparabilidad de los perjuicios vinculados a derechos fundamentales, aconsejan, como menos lesivo para el conjunto de los intereses que deben ser valorados, el mantenimiento de la suspensión de la Ley Foral 16/2015, al menos en sus aspectos que, directa o indirectamente, se relacionan con el funcionamiento y atribuciones de dicha Comisión. Es lo que sucede con los arts. 1.2, apartados a, c y d; 2; 3; 4; 5; 6 y disposiciones adicionales segunda, tercera y cuarta y disposición transitoria única.</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1º Mantener la suspensión de los arts. 1.2, apartados a), c) y d); 2; 3; 4; 5; 6; disposiciones adicionales segunda tercera y cuarta y disposición transitoria única de la Ley Foral 16/2015, de 10 de abril, de reconocimiento y reparación de las víctimas por actos de motivación política provocados por grupos de extrema derecha o funcionarios públicos.</w:t>
      </w:r>
    </w:p>
    <w:p w:rsidR="0033382B" w:rsidRDefault="0033382B" w:rsidP="0033382B">
      <w:pPr>
        <w:pStyle w:val="TextoNormal"/>
      </w:pPr>
    </w:p>
    <w:p w:rsidR="0033382B" w:rsidRDefault="0033382B" w:rsidP="0033382B">
      <w:pPr>
        <w:pStyle w:val="TextoNormal"/>
      </w:pPr>
      <w:r>
        <w:t>2º Levantar la suspensión de los arts. 1.1; 1.2, apartados b), e) y f); 7, 8 y disposición adicional primera de la Ley Foral 16/2015, de 10 de abril, de reconocimiento y reparación de las víctimas por actos de motivación política provocados por grupos de extrema derecha o funcionarios públicos.</w:t>
      </w:r>
    </w:p>
    <w:p w:rsidR="0033382B" w:rsidRDefault="0033382B" w:rsidP="0033382B">
      <w:pPr>
        <w:pStyle w:val="TextoNormal"/>
      </w:pPr>
    </w:p>
    <w:p w:rsidR="0033382B" w:rsidRDefault="0033382B" w:rsidP="0033382B">
      <w:pPr>
        <w:pStyle w:val="TextoNormal"/>
      </w:pPr>
      <w:r>
        <w:t>Madrid, a veintiséis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18" w:name="AUTO_2016_91"/>
      <w:r>
        <w:t>AUTO 91/2016, de 27 de abril de 2016</w:t>
      </w:r>
    </w:p>
    <w:bookmarkEnd w:id="218"/>
    <w:p w:rsidR="0033382B" w:rsidRDefault="0033382B" w:rsidP="0033382B">
      <w:pPr>
        <w:pStyle w:val="TtuloResolucin"/>
      </w:pPr>
      <w:r>
        <w:t>Sala Primera</w:t>
      </w:r>
    </w:p>
    <w:p w:rsidR="0033382B" w:rsidRDefault="0033382B" w:rsidP="0033382B">
      <w:pPr>
        <w:pStyle w:val="TextoNormalCentrado"/>
      </w:pPr>
      <w:r>
        <w:t>ECLI:ES:TC:2016:91A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don Andrés Ollero Tassara, don Santiago Martínez-Vares García y don Juan Antonio Xiol Ríos.</w:t>
      </w:r>
    </w:p>
    <w:p w:rsidR="0033382B" w:rsidRDefault="0033382B" w:rsidP="0033382B">
      <w:pPr>
        <w:pStyle w:val="SntesisDescriptiva"/>
      </w:pPr>
    </w:p>
    <w:p w:rsidR="0033382B" w:rsidRDefault="0033382B" w:rsidP="0033382B">
      <w:pPr>
        <w:pStyle w:val="SntesisDescriptiva"/>
      </w:pPr>
      <w:r>
        <w:t>Acuerda la suspensión en el recurso de amparo 184-2016, promovido por don José de Jesús Aguirre Aguirre en causa penal.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14 de enero de 2016, el Procurador de los Tribunales don Pablo José Trujillo Castellano, en nombre y representación de don José de Jesús Aguirre Aguirre, bajo la dirección del Letrado don Juan Ramón Ayala Cabero, interpuso demanda de amparo contra el Auto del Pleno de la Sala de lo Penal de la Audiencia Nacional de 3 de diciembre de 2015, por el que se desestima el recurso de súplica núm. 55-2015 interpuesto contra el Auto de la Sección Segunda de la Sala de lo Penal de la Audiencia Nacional de 2 de noviembre de 2015, dictado en el rollo de sala núm. 24-2015, en el que se acuerda declarar procedente la extradición del recurrente a Colombia para el cumplimiento de una pena de prisión de 132 meses de privación de libertad y multa, impuesta por delitos de tráfico de drogas y concierto para delinquir con fines de narcotráfico. Igualmente, mediante otrosí, solicitó la suspensión de la ejecutividad de la entrega en extradición del recurrente.</w:t>
      </w:r>
    </w:p>
    <w:p w:rsidR="0033382B" w:rsidRDefault="0033382B" w:rsidP="0033382B">
      <w:pPr>
        <w:pStyle w:val="TextoNormal"/>
      </w:pPr>
    </w:p>
    <w:p w:rsidR="0033382B" w:rsidRDefault="0033382B" w:rsidP="0033382B">
      <w:pPr>
        <w:pStyle w:val="TextoNormal"/>
      </w:pPr>
      <w:r w:rsidRPr="0033382B">
        <w:rPr>
          <w:rStyle w:val="NumeroAFNegritaCaracter"/>
        </w:rPr>
        <w:t>2</w:t>
      </w:r>
      <w:r>
        <w:t>. La Sala Primera de este Tribunal, por sendas providencia de 11 de abril de 2016, acordó, en la primera de ellas, la admisión a trámite de la demanda de amparo y la formación de pieza separada para la tramitación del incidente sobre la suspensión solicitada y, en la segunda de ellas, conceder al recurrente y al Ministerio Fiscal el plazo común de tres días para que alegasen lo que estimasen pertinente sobre la suspensión.</w:t>
      </w:r>
    </w:p>
    <w:p w:rsidR="0033382B" w:rsidRDefault="0033382B" w:rsidP="0033382B">
      <w:pPr>
        <w:pStyle w:val="TextoNormal"/>
      </w:pPr>
    </w:p>
    <w:p w:rsidR="0033382B" w:rsidRDefault="0033382B" w:rsidP="0033382B">
      <w:pPr>
        <w:pStyle w:val="TextoNormal"/>
      </w:pPr>
      <w:r w:rsidRPr="0033382B">
        <w:rPr>
          <w:rStyle w:val="NumeroAFNegritaCaracter"/>
        </w:rPr>
        <w:t>3</w:t>
      </w:r>
      <w:r>
        <w:t>. El Ministerio Fiscal, por escrito registrado el 15 de abril de 2016, presentó alegaciones en las que, enunciando la jurisprudencia de este Tribunal sobre el particular, interesó la suspensión de la ejecución de las resoluciones impugnadas en amparo ya que la entrega en extradición del recurrente podría convertir en ilusoria una eventual concesión del amparo “y todo ello sin perjuicio de las resoluciones judiciales que el Tribunal competente pueda adoptar para que el recurrente en amparo permanezca a disposición de la Justicia”.</w:t>
      </w:r>
    </w:p>
    <w:p w:rsidR="0033382B" w:rsidRDefault="0033382B" w:rsidP="0033382B">
      <w:pPr>
        <w:pStyle w:val="TextoNormal"/>
      </w:pPr>
    </w:p>
    <w:p w:rsidR="0033382B" w:rsidRDefault="0033382B" w:rsidP="0033382B">
      <w:pPr>
        <w:pStyle w:val="TextoNormal"/>
      </w:pPr>
      <w:r w:rsidRPr="0033382B">
        <w:rPr>
          <w:rStyle w:val="NumeroAFNegritaCaracter"/>
        </w:rPr>
        <w:t>4</w:t>
      </w:r>
      <w:r>
        <w:t>. El recurrente, por escrito registrado el 19 de abril de 2016, presentó alegaciones poniendo de manifiesto la procedencia de la suspensión a fin de evitar los daños de imposible reparación que produciría su entrega en extradición.</w:t>
      </w:r>
    </w:p>
    <w:p w:rsidR="0033382B" w:rsidRDefault="0033382B" w:rsidP="0033382B">
      <w:pPr>
        <w:pStyle w:val="TextoNormal"/>
      </w:pPr>
    </w:p>
    <w:p w:rsidR="0033382B" w:rsidRDefault="0033382B" w:rsidP="0033382B">
      <w:pPr>
        <w:pStyle w:val="TextoNormal"/>
      </w:pPr>
      <w:r w:rsidRPr="0033382B">
        <w:rPr>
          <w:rStyle w:val="NumeroAFNegritaCaracter"/>
        </w:rPr>
        <w:t>5</w:t>
      </w:r>
      <w:r>
        <w:t>. El Ministerio de Justicia, mediante oficio registrado el 26 de abril de 2016, comunicó al Presidente de la Sección Segunda de la Sala de lo Penal de la Audiencia Nacional que el Consejo de Ministros en su reunión del día 22 de abril de 2016 había acordado la entrega en extradición del recurrente en virtud del Auto de 2 de noviembre de 2015.</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art. 56.1 de la Ley Orgánica del Tribunal Constitucional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En atención a esta previsión legal, el Tribunal ha declarado que cuando el amparo constitucional se solicita respecto de resoluciones judiciales firmes, la suspensión de su ejecución entraña siempre en sí misma una perturbación de la función jurisdiccional que comprende la potestad de hacer ejecutar lo juzgado (art. 117.3 CE), por lo que esta medida cautelar resulta pertinente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w:t>
      </w:r>
    </w:p>
    <w:p w:rsidR="0033382B" w:rsidRDefault="0033382B" w:rsidP="0033382B">
      <w:pPr>
        <w:pStyle w:val="TextoNormal"/>
      </w:pPr>
    </w:p>
    <w:p w:rsidR="0033382B" w:rsidRDefault="0033382B" w:rsidP="0033382B">
      <w:pPr>
        <w:pStyle w:val="TextoNormal"/>
      </w:pPr>
      <w:r w:rsidRPr="0033382B">
        <w:rPr>
          <w:rStyle w:val="NumeroAFNegritaCaracter"/>
        </w:rPr>
        <w:t>2</w:t>
      </w:r>
      <w:r>
        <w:t>. En los supuestos de extradición, es doctrina reiterada por este Tribunal que (i)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que, en definitiva, tiene por objeto impedir su extradición; y (ii) la suspensión cautelar queda circunscrita única y exclusivamente a la declaración de procedencia de la extradición acordada por los órganos judiciales y sin perjuicio de que el órgano judicial competente adopte las medidas oportunas para que el recurrente permanezca a disposición de la Justicia (por todos, ATC 218/2012, de 26 de noviembre, FJ 2).</w:t>
      </w:r>
    </w:p>
    <w:p w:rsidR="0033382B" w:rsidRDefault="0033382B" w:rsidP="0033382B">
      <w:pPr>
        <w:pStyle w:val="TextoNormal"/>
      </w:pPr>
    </w:p>
    <w:p w:rsidR="0033382B" w:rsidRDefault="0033382B" w:rsidP="0033382B">
      <w:pPr>
        <w:pStyle w:val="TextoNormal"/>
      </w:pPr>
      <w:r w:rsidRPr="0033382B">
        <w:rPr>
          <w:rStyle w:val="NumeroAFNegritaCaracter"/>
        </w:rPr>
        <w:t>3</w:t>
      </w:r>
      <w:r>
        <w:t>. En atención a lo expuesto, procede acordar la suspensión cautelar de los Autos impugnados en amparo, que se circunscribe única y exclusivamente a la declaración judicial de procedencia de la extradición, pues es claro que su ejecución, que conlleva la entrega del recurrente a las autoridades del Estado requirente, podría convertir en ilusoria una eventual concesión del amparo, sin que se aprecie que la suspensión pueda originar una perturbación grave de los intereses generales ni de los derechos fundamentales o libertades públicas de un tercero.</w:t>
      </w:r>
    </w:p>
    <w:p w:rsidR="0033382B" w:rsidRDefault="0033382B" w:rsidP="0033382B">
      <w:pPr>
        <w:pStyle w:val="TextoNormal"/>
      </w:pPr>
    </w:p>
    <w:p w:rsidR="0033382B" w:rsidRDefault="0033382B" w:rsidP="0033382B">
      <w:pPr>
        <w:pStyle w:val="TextoNormal"/>
      </w:pPr>
      <w:r>
        <w:t>La suspensión cautelar, por el contrario, no se extiende a las medidas cautelares relativas a la situación personal del recurrente, cuya adopción o mantenimiento corresponde decidir al Tribunal competente.</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Suspender la ejecución del Auto de la Sección Segunda de la Sala de lo Penal de la Audiencia Nacional de 2 de noviembre de 2015, dictado en el rollo de sala núm. 24-2015, en el que se acuerda declarar procedente la extradición del recurrente a Colombia, confirmado por el Auto del Pleno de la Sala de lo Penal de la Audiencia Nacional de 3 de diciembre de 2015, por el que se desestima el recurso de súplica núm. 55-2015 interpuesto contra el anterior.</w:t>
      </w:r>
    </w:p>
    <w:p w:rsidR="0033382B" w:rsidRDefault="0033382B" w:rsidP="0033382B">
      <w:pPr>
        <w:pStyle w:val="TextoNormal"/>
      </w:pPr>
    </w:p>
    <w:p w:rsidR="0033382B" w:rsidRDefault="0033382B" w:rsidP="0033382B">
      <w:pPr>
        <w:pStyle w:val="TextoNormal"/>
      </w:pPr>
      <w:r>
        <w:t>Madrid, a veintisiete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19" w:name="AUTO_2016_92"/>
      <w:r>
        <w:t>AUTO 92/2016, de 29 de abril de 2016</w:t>
      </w:r>
    </w:p>
    <w:bookmarkEnd w:id="219"/>
    <w:p w:rsidR="0033382B" w:rsidRDefault="0033382B" w:rsidP="0033382B">
      <w:pPr>
        <w:pStyle w:val="TtuloResolucin"/>
      </w:pPr>
      <w:r>
        <w:t>Sección Cuarta</w:t>
      </w:r>
    </w:p>
    <w:p w:rsidR="0033382B" w:rsidRDefault="0033382B" w:rsidP="0033382B">
      <w:pPr>
        <w:pStyle w:val="TextoNormalCentrado"/>
      </w:pPr>
      <w:r>
        <w:t>ECLI:ES:TC:2016:92A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el desistimiento en el recurso de amparo 5331-2015,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24 de septiembre de 2015 tiene entrada en el Registro General del Tribunal demanda interponiendo recurso de amparo contra sentencia núm. 200-2015 de 13 de julio de 2015 dictada por la Sección Tercera de la Audiencia Provincial de Castellón en recurso de apelación núm. 310-2015 interpuesto contra la Sentencia núm. 84/2015, de 23 de marzo de 2015, del Juzgado de Primera Instancia núm. 9 de Castellón dictada en el juicio verbal 26-2015.</w:t>
      </w:r>
    </w:p>
    <w:p w:rsidR="0033382B" w:rsidRDefault="0033382B" w:rsidP="0033382B">
      <w:pPr>
        <w:pStyle w:val="TextoNormal"/>
      </w:pPr>
    </w:p>
    <w:p w:rsidR="0033382B" w:rsidRDefault="0033382B" w:rsidP="0033382B">
      <w:pPr>
        <w:pStyle w:val="TextoNormal"/>
      </w:pPr>
      <w:r w:rsidRPr="0033382B">
        <w:rPr>
          <w:rStyle w:val="NumeroAFNegritaCaracter"/>
        </w:rPr>
        <w:t>2</w:t>
      </w:r>
      <w:r>
        <w:t>. Por escrito de fecha 6 de abril de 2016, presentado el día siguiente, el Procurador don Francisco José Abajo Abril, en nombre y representación de la parte recurrente Bankia, S.A., solicita se la tenga por desistida del presente recurso de amparo.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8 de abril de 2016 se dio traslado al Ministerio Fiscal a fin de que formulara alegaciones, lo que hizo por escrito presentado el 25 de abril de 2016 en el que manifiesta que es procedente acordar el desistimiento solicitado.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El desistimiento es una forma de terminación del procedimiento prevista en los arts. 80 y 86 de nuestra Ley Orgánica (LOTC), que se remite en el primero de dichos preceptos, en cuanto a requisitos y procedimiento, a lo establecido en la Ley Orgánica del Poder Judicial y en la Ley de enjuiciamiento civil. Cumplidos estos requisitos en el presente caso, el Ministerio Fiscal no ha opuesto objeción alguna a la voluntad de desistir manifestada por el recurrente, sin que, por otro lado se aprecie perjuicio de parte ni daño para el interés general o público. Por tanto, y dado el carácter rogado que, en principio, tiene la jurisdicción de amparo constitucional [arts. 161.1 b) CE y 41.3 LOTC], procede acceder al desistimiento solicitado.</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desistida del presente recurso de amparo a Bankia, S.A., y archivar las presentes actuaciones.</w:t>
      </w:r>
    </w:p>
    <w:p w:rsidR="0033382B" w:rsidRDefault="0033382B" w:rsidP="0033382B">
      <w:pPr>
        <w:pStyle w:val="TextoNormal"/>
      </w:pPr>
    </w:p>
    <w:p w:rsidR="0033382B" w:rsidRDefault="0033382B" w:rsidP="0033382B">
      <w:pPr>
        <w:pStyle w:val="TextoNormal"/>
      </w:pPr>
      <w:r>
        <w:t>Madrid, a veintinueve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20" w:name="AUTO_2016_93"/>
      <w:r>
        <w:t>AUTO 93/2016, de 29 de abril de 2016</w:t>
      </w:r>
    </w:p>
    <w:bookmarkEnd w:id="220"/>
    <w:p w:rsidR="0033382B" w:rsidRDefault="0033382B" w:rsidP="0033382B">
      <w:pPr>
        <w:pStyle w:val="TtuloResolucin"/>
      </w:pPr>
      <w:r>
        <w:t>Sección Primera</w:t>
      </w:r>
    </w:p>
    <w:p w:rsidR="0033382B" w:rsidRDefault="0033382B" w:rsidP="0033382B">
      <w:pPr>
        <w:pStyle w:val="TextoNormalCentrado"/>
      </w:pPr>
      <w:r>
        <w:t>ECLI:ES:TC:2016:93A</w:t>
      </w:r>
    </w:p>
    <w:p w:rsidR="0033382B" w:rsidRDefault="0033382B" w:rsidP="0033382B">
      <w:pPr>
        <w:pStyle w:val="TextoNormalCentrado"/>
      </w:pPr>
    </w:p>
    <w:p w:rsidR="0033382B" w:rsidRDefault="0033382B" w:rsidP="0033382B">
      <w:pPr>
        <w:pStyle w:val="SntesisDescriptiva"/>
      </w:pPr>
      <w:r>
        <w:t>Excms. Srs. don Francisco Pérez de los Cobos Orihuel, don Andrés Ollero Tassara y don Santiago Martínez-Vares García.</w:t>
      </w:r>
    </w:p>
    <w:p w:rsidR="0033382B" w:rsidRDefault="0033382B" w:rsidP="0033382B">
      <w:pPr>
        <w:pStyle w:val="SntesisDescriptiva"/>
      </w:pPr>
    </w:p>
    <w:p w:rsidR="0033382B" w:rsidRDefault="0033382B" w:rsidP="0033382B">
      <w:pPr>
        <w:pStyle w:val="SntesisDescriptiva"/>
      </w:pPr>
      <w:r>
        <w:t>Acepta dos abstenciones en el recurso de amparo 6344-2015, promovido por Estaser El Mareny, S.L.,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11 de noviembre de 2015, el Procurador de los Tribunales don David García Riquelme, en nombre y representación de Estaser El Mareny, S.L., interpuso demanda de amparo contra la providencia de la Sala de lo Civil del Tribunal Supremo de 16 de septiembre de 2015, por la que se inadmite el incidente de nulidad de actuaciones interpuesto contra la Sentencia de 11 de mayo de 2011 dictada en el recurso de casación núm. 1453-2011, sobre cuya admisibilidad debe conocer la Sección Primera de este Tribunal.</w:t>
      </w:r>
    </w:p>
    <w:p w:rsidR="0033382B" w:rsidRDefault="0033382B" w:rsidP="0033382B">
      <w:pPr>
        <w:pStyle w:val="TextoNormal"/>
      </w:pPr>
    </w:p>
    <w:p w:rsidR="0033382B" w:rsidRDefault="0033382B" w:rsidP="0033382B">
      <w:pPr>
        <w:pStyle w:val="TextoNormal"/>
      </w:pPr>
      <w:r w:rsidRPr="0033382B">
        <w:rPr>
          <w:rStyle w:val="NumeroAFNegritaCaracter"/>
        </w:rPr>
        <w:t>2</w:t>
      </w:r>
      <w:r>
        <w:t>. De conformidad con el acuerdo de 26 de junio de 2013, del Pleno del Tribunal Constitucional, por el que se dispone la composición de las Salas y Secciones del Tribunal Constitucional (“Boletín Oficial del Estado” de 27 de junio de 2013), a partir de la referida fecha la Sección Primera, presidida por el Presidente del Tribunal, está integrada por don Francisco Pérez de los Cobos Orihuel, doña Encarnación Roca Trías y don Juan Antonio Xiol Ríos (artículo 1.2).</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escritos de 25 de febrero de 2016 y de 5 de abril del mismo año los Magistrados don Juan Antonio Xiol Ríos y doña Encarnación Roca Trías comunicaron su voluntad de abstenerse en el conocimiento del presente recurso de amparo por entender que concurría la causa 11 del art. 219 de la Ley Orgánica del Poder Judicial, por haber formado parte, en su condición de Magistrados de la Sala de lo Civil del Tribunal Supremo, del órgano judicial que acordó la resolución impugnada en el presente Recurso de amparo.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Vista la comunicación efectuada por don Juan Antonio Xiol Ríos y doña Encarnación Roca Trías en virtud de lo previsto en los arts. 80 de la Ley Orgánica del Tribunal Constitucional y 221.4 de la Ley Orgánica del Poder Judicial (LOPJ), se estima justificada la causa de abstención formulada, puesto que los mencionados Magistrados, en atención a haber formado parte del órgano judicial que dictó la providencia impugnada en amparo, están incursos en la causa 11 del art. 219 LOPJ.</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Estimar justificada la abstención formulada por los Magistrados don Juan Antonio Xiol Ríos y doña Encarnación Roca Trías en el recurso de amparo núm. 6344-2015 y apartarlos definitivamente del conocimiento del referido recurso y de todas sus incidencias.</w:t>
      </w:r>
    </w:p>
    <w:p w:rsidR="0033382B" w:rsidRDefault="0033382B" w:rsidP="0033382B">
      <w:pPr>
        <w:pStyle w:val="TextoNormal"/>
      </w:pPr>
    </w:p>
    <w:p w:rsidR="0033382B" w:rsidRDefault="0033382B" w:rsidP="0033382B">
      <w:pPr>
        <w:pStyle w:val="TextoNormal"/>
      </w:pPr>
      <w:r>
        <w:t>Madrid, a veintinueve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21" w:name="AUTO_2016_94"/>
      <w:r>
        <w:t>AUTO 94/2016, de 29 de abril de 2016</w:t>
      </w:r>
    </w:p>
    <w:bookmarkEnd w:id="221"/>
    <w:p w:rsidR="0033382B" w:rsidRDefault="0033382B" w:rsidP="0033382B">
      <w:pPr>
        <w:pStyle w:val="TtuloResolucin"/>
      </w:pPr>
      <w:r>
        <w:t>Sección Cuarta</w:t>
      </w:r>
    </w:p>
    <w:p w:rsidR="0033382B" w:rsidRDefault="0033382B" w:rsidP="0033382B">
      <w:pPr>
        <w:pStyle w:val="TextoNormalCentrado"/>
      </w:pPr>
      <w:r>
        <w:t>ECLI:ES:TC:2016:94A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el desistimiento en el recurso de amparo 7353-2015,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23 de diciembre de 2015 tiene entrada en el Registro General del Tribunal demanda interponiendo recurso de amparo contra Sentencia núm. 208-2015, de 29 de octubre de 2015, dictada por la Sección Primera de la Audiencia Provincial de Segovia en recurso de apelación núm. 295-2015 interpuesto contra la Sentencia de 26 de junio de 2015 del Juzgado de Primera Instancia de Santa María La Real de Nieva en el juicio verbal 127-2015.</w:t>
      </w:r>
    </w:p>
    <w:p w:rsidR="0033382B" w:rsidRDefault="0033382B" w:rsidP="0033382B">
      <w:pPr>
        <w:pStyle w:val="TextoNormal"/>
      </w:pPr>
    </w:p>
    <w:p w:rsidR="0033382B" w:rsidRDefault="0033382B" w:rsidP="0033382B">
      <w:pPr>
        <w:pStyle w:val="TextoNormal"/>
      </w:pPr>
      <w:r w:rsidRPr="0033382B">
        <w:rPr>
          <w:rStyle w:val="NumeroAFNegritaCaracter"/>
        </w:rPr>
        <w:t>2</w:t>
      </w:r>
      <w:r>
        <w:t>. Por escrito de fecha 6 de abril de 2016, presentado el día siguiente, el Procurador don Francisco José Abajo Abril, en nombre y representación de la parte recurrente Bankia, S.A., solicita se la tenga por desistida del presente recurso de amparo.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8 de abril de 2016 se dio traslado al Ministerio Fiscal a fin de que formulara alegaciones, lo que hizo por escrito presentado el 25 de abril de 2016 en el que manifiesta que es procedente acordar el desistimiento solicitado.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El desistimiento es una forma de terminación del procedimiento prevista en los arts. 80 y 86 de nuestra Ley Orgánica (LOTC), que se remite en el primero de dichos preceptos, en cuanto a requisitos y procedimiento, a lo establecido en la Ley Orgánica del Poder Judicial y en la Ley de enjuiciamiento civil. Cumplidos estos requisitos en el presente caso, el Ministerio Fiscal no ha opuesto objeción alguna a la voluntad de desistir manifestada por el recurrente, sin que, por otro lado se aprecie perjuicio de parte ni daño para el interés general o público. Por tanto, y dado el carácter rogado que, en principio, tiene la jurisdicción de amparo constitucional [arts. 161.1 b) CE y 41.3 LOTC], procede acceder al desistimiento solicitado.</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desistida del presente recurso de amparo a Bankia, S.A., y archivar las presentes actuaciones.</w:t>
      </w:r>
    </w:p>
    <w:p w:rsidR="0033382B" w:rsidRDefault="0033382B" w:rsidP="0033382B">
      <w:pPr>
        <w:pStyle w:val="TextoNormal"/>
      </w:pPr>
    </w:p>
    <w:p w:rsidR="0033382B" w:rsidRDefault="0033382B" w:rsidP="0033382B">
      <w:pPr>
        <w:pStyle w:val="TextoNormal"/>
      </w:pPr>
      <w:r>
        <w:t>Madrid, a veintinueve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22" w:name="AUTO_2016_95"/>
      <w:r>
        <w:t>AUTO 95/2016, de 29 de abril de 2016</w:t>
      </w:r>
    </w:p>
    <w:bookmarkEnd w:id="222"/>
    <w:p w:rsidR="0033382B" w:rsidRDefault="0033382B" w:rsidP="0033382B">
      <w:pPr>
        <w:pStyle w:val="TtuloResolucin"/>
      </w:pPr>
      <w:r>
        <w:t>Sección Cuarta</w:t>
      </w:r>
    </w:p>
    <w:p w:rsidR="0033382B" w:rsidRDefault="0033382B" w:rsidP="0033382B">
      <w:pPr>
        <w:pStyle w:val="TextoNormalCentrado"/>
      </w:pPr>
      <w:r>
        <w:t>ECLI:ES:TC:2016:95A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el desistimiento en el recurso de amparo 7487-2015,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30 de diciembre de 2015 tiene entrada en el Registro General del Tribunal demanda interponiendo recurso de amparo contra la Sentencia núm. 243/2015, de 6 de noviembre de 2015, dictada por la Sección Primera de la Audiencia Provincial de Segovia en recurso de apelación núm. 296-2015 interpuesto contra la Sentencia núm. 97/15, de 22 de julio de 2015, del Juzgado de Primera Instancia de Santa María La Real de Nieva dictada en el juicio verbal 193-2015.</w:t>
      </w:r>
    </w:p>
    <w:p w:rsidR="0033382B" w:rsidRDefault="0033382B" w:rsidP="0033382B">
      <w:pPr>
        <w:pStyle w:val="TextoNormal"/>
      </w:pPr>
    </w:p>
    <w:p w:rsidR="0033382B" w:rsidRDefault="0033382B" w:rsidP="0033382B">
      <w:pPr>
        <w:pStyle w:val="TextoNormal"/>
      </w:pPr>
      <w:r w:rsidRPr="0033382B">
        <w:rPr>
          <w:rStyle w:val="NumeroAFNegritaCaracter"/>
        </w:rPr>
        <w:t>2</w:t>
      </w:r>
      <w:r>
        <w:t>. Por escrito de fecha 6 de abril de 2016, presentado el día siguiente, el Procurador don Francisco José Abajo Abril, en nombre y representación de la parte recurrente Bankia, S.A., solicita se la tenga por desistida del presente recurso de amparo.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8 de abril de 2016 se dio traslado al Ministerio Fiscal a fin de que formulara alegaciones, lo que hizo por escrito presentado el 25 de abril de 2016 en el que manifiesta que es procedente acordar el desistimiento solicitado.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El desistimiento es una forma de terminación del procedimiento prevista en los arts. 80 y 86 de nuestra Ley Orgánica (LOTC), que se remite en el primero de dichos preceptos, en cuanto a requisitos y procedimiento, a lo establecido en la Ley Orgánica del Poder Judicial y en la Ley de enjuiciamiento civil. Cumplidos estos requisitos en el presente caso, el Ministerio Fiscal no ha opuesto objeción alguna a la voluntad de desistir manifestada por el recurrente, sin que, por otro lado se aprecie perjuicio de parte ni daño para el interés general o público. Por tanto, y dado el carácter rogado que, en principio, tiene la jurisdicción de amparo constitucional [arts. 161.1 b) CE y 41.3 LOTC], procede acceder al desistimiento solicitado.</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desistida del presente recurso de amparo a Bankia, S.A., y archivar las presentes actuaciones.</w:t>
      </w:r>
    </w:p>
    <w:p w:rsidR="0033382B" w:rsidRDefault="0033382B" w:rsidP="0033382B">
      <w:pPr>
        <w:pStyle w:val="TextoNormal"/>
      </w:pPr>
    </w:p>
    <w:p w:rsidR="0033382B" w:rsidRDefault="0033382B" w:rsidP="0033382B">
      <w:pPr>
        <w:pStyle w:val="TextoNormal"/>
      </w:pPr>
      <w:r>
        <w:t>Madrid, a veintinueve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23" w:name="AUTO_2016_96"/>
      <w:r>
        <w:t>AUTO 96/2016, de 29 de abril de 2016</w:t>
      </w:r>
    </w:p>
    <w:bookmarkEnd w:id="223"/>
    <w:p w:rsidR="0033382B" w:rsidRDefault="0033382B" w:rsidP="0033382B">
      <w:pPr>
        <w:pStyle w:val="TtuloResolucin"/>
      </w:pPr>
      <w:r>
        <w:t>Sección Cuarta</w:t>
      </w:r>
    </w:p>
    <w:p w:rsidR="0033382B" w:rsidRDefault="0033382B" w:rsidP="0033382B">
      <w:pPr>
        <w:pStyle w:val="TextoNormalCentrado"/>
      </w:pPr>
      <w:r>
        <w:t>ECLI:ES:TC:2016:96A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el desistimiento en el recurso de amparo 45-2016,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5 de enero de 2016 tiene entrada en el Registro General del Tribunal demanda interponiendo recurso de amparo contra la Sentencia núm. 209/2015, de 29 de octubre de 2015, dictada por la Sección Primera de la Audiencia Provincial de Segovia en recurso de apelación núm. 292-2015 interpuesto contra la Sentencia de 26 de junio de 2015 del Juzgado de Primera Instancia de Santa María La Real de Nieva en el juicio verbal 169-2015.</w:t>
      </w:r>
    </w:p>
    <w:p w:rsidR="0033382B" w:rsidRDefault="0033382B" w:rsidP="0033382B">
      <w:pPr>
        <w:pStyle w:val="TextoNormal"/>
      </w:pPr>
    </w:p>
    <w:p w:rsidR="0033382B" w:rsidRDefault="0033382B" w:rsidP="0033382B">
      <w:pPr>
        <w:pStyle w:val="TextoNormal"/>
      </w:pPr>
      <w:r w:rsidRPr="0033382B">
        <w:rPr>
          <w:rStyle w:val="NumeroAFNegritaCaracter"/>
        </w:rPr>
        <w:t>2</w:t>
      </w:r>
      <w:r>
        <w:t>. Por escrito de fecha 6 de abril de 2016, presentado el día siguiente, el Procurador don Francisco José Abajo Abril, en nombre y representación de la parte recurrente Bankia, S.A., solicita se la tenga por desistida del presente recurso de amparo.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8 de abril de 2016 se dio traslado al Ministerio Fiscal a fin de que formulara alegaciones, lo que hizo por escrito presentado el 25 de abril de 2016 en el que manifiesta que es procedente acordar el desistimiento solicitado.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El desistimiento es una forma de terminación del procedimiento prevista en los arts. 80 y 86 de nuestra Ley Orgánica (LOTC), que se remite en el primero de dichos preceptos, en cuanto a requisitos y procedimiento, a lo establecido en la Ley Orgánica del Poder Judicial y en la Ley de enjuiciamiento civil. Cumplidos estos requisitos en el presente caso, el Ministerio Fiscal no ha opuesto objeción alguna a la voluntad de desistir manifestada por el recurrente, sin que, por otro lado se aprecie perjuicio de parte ni daño para el interés general o público. Por tanto, y dado el carácter rogado que, en principio, tiene la jurisdicción de amparo constitucional [arts. 161.1 b) CE y 41.3 LOTC], procede acceder al desistimiento solicitado.</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desistida del presente recurso de amparo a Bankia, S.A., y archivar las presentes actuaciones.</w:t>
      </w:r>
    </w:p>
    <w:p w:rsidR="0033382B" w:rsidRDefault="0033382B" w:rsidP="0033382B">
      <w:pPr>
        <w:pStyle w:val="TextoNormal"/>
      </w:pPr>
    </w:p>
    <w:p w:rsidR="0033382B" w:rsidRDefault="0033382B" w:rsidP="0033382B">
      <w:pPr>
        <w:pStyle w:val="TextoNormal"/>
      </w:pPr>
      <w:r>
        <w:t>Madrid, a veintinueve de abril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24" w:name="AUTO_2016_97"/>
      <w:r>
        <w:t>AUTO 97/2016, de 4 de mayo de 2016</w:t>
      </w:r>
    </w:p>
    <w:bookmarkEnd w:id="224"/>
    <w:p w:rsidR="0033382B" w:rsidRDefault="0033382B" w:rsidP="0033382B">
      <w:pPr>
        <w:pStyle w:val="TtuloResolucin"/>
      </w:pPr>
      <w:r>
        <w:t>Sala Segunda</w:t>
      </w:r>
    </w:p>
    <w:p w:rsidR="0033382B" w:rsidRDefault="0033382B" w:rsidP="0033382B">
      <w:pPr>
        <w:pStyle w:val="TextoNormalCentrado"/>
      </w:pPr>
      <w:r>
        <w:t>ECLI:ES:TC:2016:97A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y don Antonio Narváez Rodríguez.</w:t>
      </w:r>
    </w:p>
    <w:p w:rsidR="0033382B" w:rsidRDefault="0033382B" w:rsidP="0033382B">
      <w:pPr>
        <w:pStyle w:val="SntesisDescriptiva"/>
      </w:pPr>
    </w:p>
    <w:p w:rsidR="0033382B" w:rsidRDefault="0033382B" w:rsidP="0033382B">
      <w:pPr>
        <w:pStyle w:val="SntesisDescriptiva"/>
      </w:pPr>
      <w:r>
        <w:t>Acepta una abstención en el recurso de amparo 354-2014, promovido por Endesa, S.A.,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t>Único. En el presente recurso de amparo se impugna Sentencia dictada por el Pleno de la Sala Tercera del Tribunal Supremo de 18 de Noviembre de 2013, en recurso de casación 848-2013 interpuesto contra la Sentencia de 30 de enero de 2013 de la Sección Cuarta de la Sala de lo Contencioso-Administrativo de la Audiencia Nacional recaída en el procedimiento de derechos fundamentales núm. 9-2012. El presente recurso de amparo fue registrado con el núm. 354-2014.</w:t>
      </w:r>
    </w:p>
    <w:p w:rsidR="0033382B" w:rsidRDefault="0033382B" w:rsidP="0033382B">
      <w:pPr>
        <w:pStyle w:val="TextoNormal"/>
      </w:pPr>
    </w:p>
    <w:p w:rsidR="0033382B" w:rsidRDefault="0033382B" w:rsidP="0033382B">
      <w:pPr>
        <w:pStyle w:val="TextoNormal"/>
      </w:pPr>
      <w:r>
        <w:t>Mediante escrito fechado el 4 de mayo de 2016, el Magistrado don Ricardo Enríquez Sancho, comunicó a los efectos oportunos que se abstenía de intervenir en el antes indicado recurso de amparo, de conformidad con el art. 80 de la Ley Orgánica del Tribunal Constitucional, por haber formado parte del Pleno de la Sala Tercera del Tribunal Supremo que dictó el 18 de noviembre de 2013 en el recurso de casación 848-2013 la Sentencia impugnada en el presente recurso de amparo núm. 354-2014.</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Vista la comunicación efectuada por don Ricardo Enríquez Sancho, Magistrado de esta Sala del Tribunal Constitucional, la Sala en virtud de lo previsto en el art. 219 apartado 11 de la Ley Orgánica del Poder Judicial, supletoria de la Ley Orgánica del Tribunal Constitucional (art. 80), estima justificada la causa de abstención formulada, puesto que el mencionado Magistrado formó parte del Pleno de la Sala Tercera del Tribunal Supremo que dictó el 18 de noviembre de 2013 en el recurso de casación 848-2013 la Sentencia recurrida en el presente recurso de amparo 354-2014.</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Estimar justificada la abstención formulada por el Magistrado don Ricardo Enríquez Sancho en el recurso de amparo núm. 354-2014 apartándole definitivamente del conocimiento del referido recurso y de todas sus incidencias.</w:t>
      </w:r>
    </w:p>
    <w:p w:rsidR="0033382B" w:rsidRDefault="0033382B" w:rsidP="0033382B">
      <w:pPr>
        <w:pStyle w:val="TextoNormal"/>
      </w:pPr>
    </w:p>
    <w:p w:rsidR="0033382B" w:rsidRDefault="0033382B" w:rsidP="0033382B">
      <w:pPr>
        <w:pStyle w:val="TextoNormal"/>
      </w:pPr>
      <w:r>
        <w:t>Madrid, a cuatro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25" w:name="AUTO_2016_98"/>
      <w:r>
        <w:t>AUTO 98/2016, de 4 de mayo de 2016</w:t>
      </w:r>
    </w:p>
    <w:bookmarkEnd w:id="225"/>
    <w:p w:rsidR="0033382B" w:rsidRDefault="0033382B" w:rsidP="0033382B">
      <w:pPr>
        <w:pStyle w:val="TtuloResolucin"/>
      </w:pPr>
      <w:r>
        <w:t>Sección Segunda</w:t>
      </w:r>
    </w:p>
    <w:p w:rsidR="0033382B" w:rsidRDefault="0033382B" w:rsidP="0033382B">
      <w:pPr>
        <w:pStyle w:val="TextoNormalCentrado"/>
      </w:pPr>
      <w:r>
        <w:t>ECLI:ES:TC:2016:98A</w:t>
      </w:r>
    </w:p>
    <w:p w:rsidR="0033382B" w:rsidRDefault="0033382B" w:rsidP="0033382B">
      <w:pPr>
        <w:pStyle w:val="TextoNormalCentrado"/>
      </w:pPr>
    </w:p>
    <w:p w:rsidR="0033382B" w:rsidRDefault="0033382B" w:rsidP="0033382B">
      <w:pPr>
        <w:pStyle w:val="SntesisDescriptiva"/>
      </w:pPr>
      <w:r>
        <w:t>Excms. Srs. don Andrés Ollero Tassara y don Santiago Martínez-Vares García.</w:t>
      </w:r>
    </w:p>
    <w:p w:rsidR="0033382B" w:rsidRDefault="0033382B" w:rsidP="0033382B">
      <w:pPr>
        <w:pStyle w:val="SntesisDescriptiva"/>
      </w:pPr>
    </w:p>
    <w:p w:rsidR="0033382B" w:rsidRDefault="0033382B" w:rsidP="0033382B">
      <w:pPr>
        <w:pStyle w:val="SntesisDescriptiva"/>
      </w:pPr>
      <w:r>
        <w:t>Desestima el recurso de súplica del Ministerio Fiscal sobre inadmisión del recurso de amparo 4113-2015, promovido por don Francisco Javier Debón Latorre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presentado en el Registro General de este Tribunal el 9 de julio de 2015, don Francisco Javier Debón Latorre, interpuso recurso de amparo contra la Sentencia de la Sección Segunda de lo Contencioso-Administrativo del Tribunal Supremo de 25 de mayo de 2015, que desestimó el recurso de casación interpuesto contra la Sentencia de la Sección Cuarta de la Sala de lo Contencioso-Administrativo de la Audiencia Nacional de 21 de febrero de 2014, que asimismo desestimó el recurso contencioso-administrativo interpuesto contra la resolución del Tribunal Económico Administrativo Central de 30 de mayo de 2012, que a su vez había confirmado la reclamación económico-administrativo interpuesta contra el acuerdo de liquidación dictado el 23 de marzo de 2011 por la Delegación Especial de Andalucía, dependencia regional de inspección de la Agencia Estatal de la Administración Tributaria.</w:t>
      </w:r>
    </w:p>
    <w:p w:rsidR="0033382B" w:rsidRDefault="0033382B" w:rsidP="0033382B">
      <w:pPr>
        <w:pStyle w:val="TextoNormal"/>
      </w:pPr>
    </w:p>
    <w:p w:rsidR="0033382B" w:rsidRDefault="0033382B" w:rsidP="0033382B">
      <w:pPr>
        <w:pStyle w:val="TextoNormal"/>
      </w:pPr>
      <w:r w:rsidRPr="0033382B">
        <w:rPr>
          <w:rStyle w:val="NumeroAFNegritaCaracter"/>
        </w:rPr>
        <w:t>2</w:t>
      </w:r>
      <w:r>
        <w:t>. La representación del demandante, el 24 de septiembre de 2015, presentó escrito por el que, de una parte, se ponía en conocimiento que el 16 de julio de 2015 se había notificado la providencia de 7 de julio de 2015, por la que la Sección Segunda de la Sala de lo Contencioso-Administrativo del Tribunal Supremo resolvía inadmitir el incidente de nulidad de actuaciones promovido por el demandante, y por otra, se solicitaba que se tuviera por ampliado dicho recurso también contra la mencionada providencia.</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providencia de 14 de diciembre de 2015, la Sección Segunda del Tribunal Constitucional, acordó inadmitir a trámite el recurso de amparo por no haber concluido el proceso abierto en la vía judicial [arts. 44.1 a) y 50.1 a) de la Ley Orgánica del Tribunal Constitucional: LOTC].</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interpuso el 28 de enero de 2016, recurso de súplica frente a la providencia de inadmisión. Considera el Fiscal que el Tribunal Constitucional se ha pronunciado en supuestos como el presente en el que el recurrente había interpuesto recurso de amparo sin tener conocimiento de que el incidente de nulidad de actuaciones formulado de conformidad con el art. 241 de la Ley Orgánica del Poder Judicial contra la resolución definitiva hubiera sido resuelto, puesto que la resolución del mismo, que era anterior a la fecha en que se interpuso el recurso de amparo, se le había notificado con posterioridad a presentar la demanda de amparo.</w:t>
      </w:r>
    </w:p>
    <w:p w:rsidR="0033382B" w:rsidRDefault="0033382B" w:rsidP="0033382B">
      <w:pPr>
        <w:pStyle w:val="TextoNormal"/>
      </w:pPr>
    </w:p>
    <w:p w:rsidR="0033382B" w:rsidRDefault="0033382B" w:rsidP="0033382B">
      <w:pPr>
        <w:pStyle w:val="TextoNormal"/>
      </w:pPr>
      <w:r>
        <w:t>Cita en tal sentido las SSTC 61/2014 y 69/2014, de 5 de mayo, en las que se rechazó el óbice procesal que había sido invocado por el Fiscal, por simultanear la demanda de amparo con la vía judicial aún abierta, reproduciendo en su apoyo el fundamento jurídico 2 de la STC 61/2014, que considera aplicable al caso, por lo que concluye solicitando que se estime el recurso de súplica.</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diligencia de ordenación de 29 de enero de 2016, la Sección Segunda del Tribunal Constitucional tuvo por interpuesto recurso de súplica por el Ministerio Fiscal y, de conformidad con el art. 50.3 LOTC, acordó dar traslado al demandante de amparo por el plazo de tres días para que alegara lo que estimara pertinente. El recurrente, mediante escrito de 10 febrero de 2016, se adhirió al recurso de súplica interpuesto por el Ministerio Fiscal.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Como se ha expuesto en los antecedentes, el Ministerio Fiscal recurre en súplica la providencia dictada por esta misma Sección en fecha de 14 de diciembre de 2015, por la que se acordó inadmitir a trámite el recurso de amparo, al considerarlo prematuro por haber interpuesto el recurrente un incidente de nulidad contra la Sentencia que desestima el recurso de casación (circunstancia esta que fue silenciada en la demanda de amparo, mención a la que por lealtad procesal venía obligado). El Ministerio Fiscal considera que, conforme al criterio sentado en las SSTC 61/2014, FJ 2, y 69/2014, FJ 2, no puede apreciarse tampoco en este caso la concurrencia del motivo de inadmisión consistente en la falta de agotamiento de la vía judicial [arts. 44.1 a) y 50.1 a) de la Ley Orgánica del Tribunal Constitucional: LOTC], toda vez que el examen de las actuaciones revela que la vía judicial previa había sido objetivamente agotada a la fecha de interposición del recurso de amparo (el 9 de julio de 2015), pues el Tribunal Supremo había dictado ya una providencia de inadmisión (de fecha 7 de julio de 2015) del incidente de nulidad promovido contra la Sentencia, si bien el recurrente desconocía esta circunstancia en el momento de interposición del recurso de amparo, pues la providencia de inadmisión del incidente le fue notificada el 16 de julio de 2015.</w:t>
      </w:r>
    </w:p>
    <w:p w:rsidR="0033382B" w:rsidRDefault="0033382B" w:rsidP="0033382B">
      <w:pPr>
        <w:pStyle w:val="TextoNormal"/>
      </w:pPr>
    </w:p>
    <w:p w:rsidR="0033382B" w:rsidRDefault="0033382B" w:rsidP="0033382B">
      <w:pPr>
        <w:pStyle w:val="TextoNormal"/>
      </w:pPr>
      <w:r>
        <w:t>La cuestión ahora planteada fue abordada expresamente en el ATC 514/2005, de 19 de diciembre, en el que se inadmitía por prematuro un recurso de amparo que, como el actual, se dirigía frente a resoluciones administrativas y judiciales dictadas en el marco de la jurisdicción contencioso-administrativa. Se indicaba que, como resulta del propio relato que ofrece el recurrente, en la fecha en que interpuso el recurso de amparo el proceso judicial no había concluido, pues no se le había notificado la providencia por la que se rechazaba de plano el incidente de nulidad de actuaciones que había promovido frente a la Sentencia desestimatoria de su recurso de apelación. En tal sentido, para que nuestra función constitucional pueda ser ejercida es preciso que estén agotadas las vías judiciales (SSTC 82/2004, de 19 de marzo, FJ 3; 129/2000, de 16 de mayo, FJ 2; 225/2000, de 2 de octubre, FJ 3; 192/2001, de 1 de octubre, FJ 3; y 44/2002, de 25 de febrero, FJ 2). En consecuencia, cuando por su propia decisión el ciudadano ha intentado un remedio procesal o recurso contra la resolución judicial impugnada en amparo, el proceso constitucional no puede iniciarse hasta que la vía judicial, continuada a través de ese remedio o recurso, no se haya extinguido. Ello es así, porque el aseguramiento de su carácter subsidiario exige que el acceso al recurso de amparo no quede abierto en tanto no se hayan agotado los recursos utilizados en la vía ordinaria, siendo contraria a dicho carácter la coexistencia temporal con otro recurso seguido en la vía judicial ordinaria. Y finalizaba refiriendo que “esta anomalía acontece cuando se inicia el proceso de amparo antes de que se resuelvan los recursos interpuestos en la vía judicial ordinaria contra la resolución jurisdiccional que se recurre en amparo. También cuando, como acontece en este caso, el amparo se pide después de haber sido dictada la resolución judicial de inadmisión del remedio procesal intentado, pero no frente a vulneraciones imputables a esta resolución, aún no notificada, sino frente a la que era objeto de dicho remedio, pues, en este supuesto, se produce igualmente la coexistencia en el tiempo del remedio judicial ordinario y del recurso extraordinario que es el amparo constitucional, coexistencia que, como ha se ha dicho, es contraria e incompatible con el carácter subsidiario de éste.”</w:t>
      </w:r>
    </w:p>
    <w:p w:rsidR="0033382B" w:rsidRDefault="0033382B" w:rsidP="0033382B">
      <w:pPr>
        <w:pStyle w:val="TextoNormal"/>
      </w:pPr>
    </w:p>
    <w:p w:rsidR="0033382B" w:rsidRDefault="0033382B" w:rsidP="0033382B">
      <w:pPr>
        <w:pStyle w:val="TextoNormal"/>
      </w:pPr>
      <w:r>
        <w:t>Tampoco cabe intentar sustentar la conducta procesal del demandante en el supuesto carácter cautelar que la jurisprudencia de este Tribunal ha negado reiteradamente. El recurso de amparo, hemos dicho, no posee una función preventiva o cautelar, por lo que “únicamente es admisible ante la existencia real y concreta, efectiva y cierta de vulneraciones de derechos fundamentales y libertades públicas, siendo improcedente frente a lesiones meramente temidas, potenciales o futuras” (ATC 232/2004, de 8 de junio, FJ 4), como sucede en este caso, pues se interpone la demanda antes de tener conocimiento del resultado del incidente de nulidad planteado para reparar la eventual lesión. En definitiva, es necesario esperar a la conclusión de la vía judicial para acudir en amparo ante este Tribunal (STC 189/2002, de 14 de octubre, FJ 6, entre otras).</w:t>
      </w:r>
    </w:p>
    <w:p w:rsidR="0033382B" w:rsidRDefault="0033382B" w:rsidP="0033382B">
      <w:pPr>
        <w:pStyle w:val="TextoNormal"/>
      </w:pPr>
    </w:p>
    <w:p w:rsidR="0033382B" w:rsidRDefault="0033382B" w:rsidP="0033382B">
      <w:pPr>
        <w:pStyle w:val="TextoNormal"/>
      </w:pPr>
      <w:r>
        <w:t>Por otra parte, como no resulta posible ampliar el objeto del recurso de amparo a resoluciones judiciales no impugnadas en el escrito inicial, en el que ha de individualizarse el acto cuya nulidad se pretende (STC 13/2005, de 31 de enero, FJ 3), no cabe considerar que mediante el escrito presentado por el recurrente el 24 septiembre de 2015 se impugnaba, además de la Sentencia de la Sección Segunda de lo Contencioso-Administrativo del Tribunal Supremo de 25 de mayo de 2015, la posterior providencia de 7 de julio de 2015, resolución judicial ésta a la que ninguna referencia se contiene en la demanda de amparo. Tal consideración conllevaría la esterilidad de una eventual estimación de la demanda de amparo, que no podría alcanzar a la validez de la referida providencia ocasionando un dislate jurídico al mantenerse en el ordenamiento, como consecuencia del proceder del demandante, dos resoluciones de contenido inconciliable.</w:t>
      </w:r>
    </w:p>
    <w:p w:rsidR="0033382B" w:rsidRDefault="0033382B" w:rsidP="0033382B">
      <w:pPr>
        <w:pStyle w:val="TextoNormal"/>
      </w:pPr>
    </w:p>
    <w:p w:rsidR="0033382B" w:rsidRDefault="0033382B" w:rsidP="0033382B">
      <w:pPr>
        <w:pStyle w:val="TextoNormal"/>
      </w:pPr>
      <w:r>
        <w:t>Por ello debemos concluir que la interposición de una demanda de amparo antes de que sea notificada la providencia de inadmisión del incidente de nulidad de actuaciones o de cualquier remedio jurisdiccional utilizado para reparar la eventual vulneración traída en amparo, además de determinar la prematuridad de la demanda, afecta al racional funcionamiento de este Tribunal en fase de admisión (ATC 243/2003, de 14 de julio), pues emitirá un juicio de admisibilidad de la demanda desconociendo tanto la existencia, como el resultado, de un recurso interpuesto ante la jurisdicción ordinaria, que de modo hipotético puede llegar a reparar la eventual vulneración del derecho fundamental. Pero además, la ausencia de cualquier referencia a dicha providencia de inadmisión, así como la inadvertencia de la interposición del incidente de nulidad, tiene relevancia en el ámbito de la delimitación del objeto del proceso de amparo (STC 6/2001, de 15 de enero, FJ 1) y en la calificación de la conducta procesal del demandante desde el prisma de la lealtad procesal.</w:t>
      </w:r>
    </w:p>
    <w:p w:rsidR="0033382B" w:rsidRDefault="0033382B" w:rsidP="0033382B">
      <w:pPr>
        <w:pStyle w:val="TextoNormal"/>
      </w:pPr>
    </w:p>
    <w:p w:rsidR="0033382B" w:rsidRDefault="0033382B" w:rsidP="0033382B">
      <w:pPr>
        <w:pStyle w:val="TextoNormal"/>
      </w:pPr>
      <w:r>
        <w:t xml:space="preserve">Sin perjuicio de lo anterior, aunque hipotéticamente pudiera entenderse que, como sostiene el Ministerio Fiscal, nos encontramos en el presente caso ante una situación como la contemplada en las SSTC 61/2014 y 69/2014, ello no podría evitar a la postre, en ningún caso, la inadmisión del presente recurso de amparo, al concurrir inequívocamente otro óbice de admisibilidad, cual es la insuficiente justificación de la especial trascendencia constitucional del recurso (art. 49.1 LOTC). En tal sentido, quien solicite el amparo constitucional debe satisfacer necesariamente, de acuerdo con lo dispuesto en el art. 49.1 </w:t>
      </w:r>
      <w:r w:rsidRPr="0033382B">
        <w:rPr>
          <w:i/>
        </w:rPr>
        <w:t>in fine</w:t>
      </w:r>
      <w:r>
        <w:t xml:space="preserve"> LOTC, la carga de justificar en la demanda la especial trascendencia constitucional del recurso (STC 155/2009, de 25 de junio, FJ 2; y AATC 188/2008, de 21 de julio, y 289/2008 y 290/2008, de 22 de septiembre). En el presente caso, el demandante no trasciende en su razonamiento de la mera exposición de la supuesta lesión subjetiva denunciada del derecho a la tutela judicial efectiva, de modo que no justifica suficientemente la proyección objetiva del amparo solicitado en los términos exigidos por el art. 50.1 b) LOTC.</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Desestimar el recurso de súplica interpuesto por el Ministerio Fiscal contra la providencia de 14 de diciembre de 2015.</w:t>
      </w:r>
    </w:p>
    <w:p w:rsidR="0033382B" w:rsidRDefault="0033382B" w:rsidP="0033382B">
      <w:pPr>
        <w:pStyle w:val="TextoNormal"/>
      </w:pPr>
    </w:p>
    <w:p w:rsidR="0033382B" w:rsidRDefault="0033382B" w:rsidP="0033382B">
      <w:pPr>
        <w:pStyle w:val="TextoNormal"/>
      </w:pPr>
      <w:r>
        <w:t>Madrid, a cuatro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26" w:name="AUTO_2016_99"/>
      <w:r>
        <w:t>AUTO 99/2016, de 9 de mayo de 2016</w:t>
      </w:r>
    </w:p>
    <w:bookmarkEnd w:id="226"/>
    <w:p w:rsidR="0033382B" w:rsidRDefault="0033382B" w:rsidP="0033382B">
      <w:pPr>
        <w:pStyle w:val="TtuloResolucin"/>
      </w:pPr>
      <w:r>
        <w:t>Sala Primera</w:t>
      </w:r>
    </w:p>
    <w:p w:rsidR="0033382B" w:rsidRDefault="0033382B" w:rsidP="0033382B">
      <w:pPr>
        <w:pStyle w:val="TextoNormalCentrado"/>
      </w:pPr>
      <w:r>
        <w:t>ECLI:ES:TC:2016:99A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don Andrés Ollero Tassara, don Santiago Martínez-Vares García y don Juan Antonio Xiol Ríos.</w:t>
      </w:r>
    </w:p>
    <w:p w:rsidR="0033382B" w:rsidRDefault="0033382B" w:rsidP="0033382B">
      <w:pPr>
        <w:pStyle w:val="SntesisDescriptiva"/>
      </w:pPr>
    </w:p>
    <w:p w:rsidR="0033382B" w:rsidRDefault="0033382B" w:rsidP="0033382B">
      <w:pPr>
        <w:pStyle w:val="SntesisDescriptiva"/>
      </w:pPr>
      <w:r>
        <w:t>Deniega la suspensión en el recurso de amparo 299-2013, promovido por don Francisco de Asís Serrano Castro en causa penal.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17 de enero de 2013, el Procurador de los Tribunales don Jorge Deleito García, en nombre y representación de don Francisco de Asís Serrano Castro, y bajo la dirección del Letrado don Miguel García-Diéguez López, interpuso recurso de amparo contra el Auto de la Sala de lo Penal del Tribunal Supremo de 30 de octubre de 2012 —aclarado por Auto de 20 de noviembre de 2012—, por el que se acuerda no haber lugar a admitir a trámite la petición de nulidad de actuaciones interpuesta contra la Sentencia de 29 de junio de 2012 por la que se estima parcialmente el recurso de casación núm. 2172-2011 interpuesto contra la Sentencia de la Sala de lo Civil y lo Penal del Tribunal Superior de Justicia de Andalucía de 13 de octubre de 2011, dictada en el procedimiento abreviado núm. 1-2011, y se condena al recurrente como autor de un delito de prevaricación judicial a la pena de multa de doce meses con una cuota diaria de 6 € y la inhabilitación especial para el cargo de Juez o Magistrado durante diez años, con pérdida definitiva del cargo que ostenta y honores que le son anejos, así como la incapacidad para obtener durante el tiempo de la condena cualquier empleo o cargo con funciones jurisdiccionales o de gobierno dentro del poder judicial.</w:t>
      </w:r>
    </w:p>
    <w:p w:rsidR="0033382B" w:rsidRDefault="0033382B" w:rsidP="0033382B">
      <w:pPr>
        <w:pStyle w:val="TextoNormal"/>
      </w:pPr>
    </w:p>
    <w:p w:rsidR="0033382B" w:rsidRDefault="0033382B" w:rsidP="0033382B">
      <w:pPr>
        <w:pStyle w:val="TextoNormal"/>
      </w:pPr>
      <w:r w:rsidRPr="0033382B">
        <w:rPr>
          <w:rStyle w:val="NumeroAFNegritaCaracter"/>
        </w:rPr>
        <w:t>2</w:t>
      </w:r>
      <w:r>
        <w:t>. La Sala Primera de este Tribunal, por providencia de 22 de mayo de 2014, acordó la admisión a trámite de la demanda de amparo y el emplazamiento a quienes hubieran sido parte en la vía judicial previa para que pudieran comparecer en el presente recurso de amparo.</w:t>
      </w:r>
    </w:p>
    <w:p w:rsidR="0033382B" w:rsidRDefault="0033382B" w:rsidP="0033382B">
      <w:pPr>
        <w:pStyle w:val="TextoNormal"/>
      </w:pPr>
    </w:p>
    <w:p w:rsidR="0033382B" w:rsidRDefault="0033382B" w:rsidP="0033382B">
      <w:pPr>
        <w:pStyle w:val="TextoNormal"/>
      </w:pPr>
      <w:r w:rsidRPr="0033382B">
        <w:rPr>
          <w:rStyle w:val="NumeroAFNegritaCaracter"/>
        </w:rPr>
        <w:t>3</w:t>
      </w:r>
      <w:r>
        <w:t>. La Secretaria de Justicia de la Sala Primera de este Tribunal, por diligencia de ordenación de 1 de julio de 2014, tuvo por personado y parte al Procurador de los Tribunales. don Víctor García Montes, en nombre y representación de doña Rosario Isabel Hinojosa Picón. Por diligencia de ordenación de 16 de octubre de 2014 se tuvo por sustituido al citado Procurador por el Procurador de los Tribunales don Roberto Granizo Palomeque.</w:t>
      </w:r>
    </w:p>
    <w:p w:rsidR="0033382B" w:rsidRDefault="0033382B" w:rsidP="0033382B">
      <w:pPr>
        <w:pStyle w:val="TextoNormal"/>
      </w:pPr>
    </w:p>
    <w:p w:rsidR="0033382B" w:rsidRDefault="0033382B" w:rsidP="0033382B">
      <w:pPr>
        <w:pStyle w:val="TextoNormal"/>
      </w:pPr>
      <w:r w:rsidRPr="0033382B">
        <w:rPr>
          <w:rStyle w:val="NumeroAFNegritaCaracter"/>
        </w:rPr>
        <w:t>4</w:t>
      </w:r>
      <w:r>
        <w:t>. El recurrente, mediante escrito registrado el 16 de marzo de 2016, solicitó que se suspendiera su condena y que se acordara su reincorporación como Magistrado titular del Juzgado núm. 7 de Sevilla sin necesidad de prestar caución, alegando que “la presente situación le está conllevando un grave perjuicio no solo psíquico y emocional sino también económico y profesional…” y que de los diez años de inhabilitación impuesta ya lleva cumplidos más de cinco años. Por otro lado, alega que su reincorporación al ejercicio de sus funciones judiciales no conlleva ningún perjuicio para terceros.</w:t>
      </w:r>
    </w:p>
    <w:p w:rsidR="0033382B" w:rsidRDefault="0033382B" w:rsidP="0033382B">
      <w:pPr>
        <w:pStyle w:val="TextoNormal"/>
      </w:pPr>
    </w:p>
    <w:p w:rsidR="0033382B" w:rsidRDefault="0033382B" w:rsidP="0033382B">
      <w:pPr>
        <w:pStyle w:val="TextoNormal"/>
      </w:pPr>
      <w:r w:rsidRPr="0033382B">
        <w:rPr>
          <w:rStyle w:val="NumeroAFNegritaCaracter"/>
        </w:rPr>
        <w:t>5</w:t>
      </w:r>
      <w:r>
        <w:t>. La Sala Primera de este Tribunal, por providencia de 11 de abril de 2016, acordó formar pieza separada de suspensión y conceder al Ministerio Fiscal y demás partes personadas el plazo común de tres días para que alegasen lo que estimasen pertinente sobre la suspensión.</w:t>
      </w:r>
    </w:p>
    <w:p w:rsidR="0033382B" w:rsidRDefault="0033382B" w:rsidP="0033382B">
      <w:pPr>
        <w:pStyle w:val="TextoNormal"/>
      </w:pPr>
    </w:p>
    <w:p w:rsidR="0033382B" w:rsidRDefault="0033382B" w:rsidP="0033382B">
      <w:pPr>
        <w:pStyle w:val="TextoNormal"/>
      </w:pPr>
      <w:r w:rsidRPr="0033382B">
        <w:rPr>
          <w:rStyle w:val="NumeroAFNegritaCaracter"/>
        </w:rPr>
        <w:t>6</w:t>
      </w:r>
      <w:r>
        <w:t>. El Ministerio Fiscal, por escrito registrado el 18 de abril de 2016, presentó alegaciones en las que, enunciando la jurisprudencia de este Tribunal sobre el particular (AATC 167/2013, 247/2014 y 7/2015), interesó que se denegara la suspensión, argumentando que la pena de inhabilitación impuesta “es grave y tiene una duración superior al tiempo normal de tramitación de un recurso de amparo” y “no se desprende de lo actuado que concurra alguna circunstancia que aconseje no aplicar los criterios generales de gravedad y duración de la pena”. Igualmente, afirma que la pena ha sido impuesta por un delito cometido con ocasión del desempeño de su función judicial, con lo que “no puede descartarse la perturbación de los intereses generales” si se produce su reincorporación a su puesto judicial. Por último, se expone que en caso de otorgamiento del amparo se permitiría la reparación del perjuicio sufrido a través de la reposición en el cargo y demás efectos resarcitorios y que no se ha cumplido la carga de acreditar los daños y perjuicios que se alega que se están produciendo.</w:t>
      </w:r>
    </w:p>
    <w:p w:rsidR="0033382B" w:rsidRDefault="0033382B" w:rsidP="0033382B">
      <w:pPr>
        <w:pStyle w:val="TextoNormal"/>
      </w:pPr>
    </w:p>
    <w:p w:rsidR="0033382B" w:rsidRDefault="0033382B" w:rsidP="0033382B">
      <w:pPr>
        <w:pStyle w:val="TextoNormal"/>
      </w:pPr>
      <w:r w:rsidRPr="0033382B">
        <w:rPr>
          <w:rStyle w:val="NumeroAFNegritaCaracter"/>
        </w:rPr>
        <w:t>7</w:t>
      </w:r>
      <w:r>
        <w:t>. La parte comparecida, por escrito registrado el 19 de abril de 2016, presentó alegaciones oponiéndose a la suspensión de la ejecución de la pena de inhabilitación impuesta, argumentando que la solicitud es extemporánea por no efectuarse al presentarse el recurso de amparo; “tampoco existe una resolución expresa de este Tribunal, de admisión a trámite del mismo”; y el Tribunal Constitucional carece de competencia para conceder la reincorporación a la carrera judicial. Además se alega que no se ha cumplido con la carga de acreditar los daños y perjuicios que se dicen producidos; y que la pena tiene meros efectos patrimoniales que pueden ser resarcidos por el Estado en caso de estimarse el amparo, estando ejerciendo como abogados. Mediante otrosí, en relación con los Magistrados señores Ollero Tassara y Martínez-Vares García, se afirma que “interesa esta parte promover que acuerden su abstención de oficio (art. 217 de la Ley Orgánica del Poder Judicial: LOPJ) dada la necesaria ‘apariencia de imparcialidad’ y se ha publicado en la prensa ‘Diario de Sevilla’, una foto del Sr. Ollero Tassara en Sevilla, con el Abogado Moeckel Gil (que lo fue del Sr. Serrano) y la íntima amistad y relación del Periodista (hijo del Sr. Martínez-Vares) que fue ‘Jefe de Prensa del Alcalde de Sevilla y ExJuez Sr. Zoido’ el cual tiene una gran amistad con el Juez Serrano, por lo que interesamos que se les dé el oportuno trámite para que de oficio se abstengan”.</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Como cuestión previa, la parte comparecida ha solicitado, al amparo del art. 217 de la Ley Orgánica del Poder Judicial (LOPJ), que dos de los Magistrados de esta Sala “acuerden su abstención de oficio”. El art. 80 de la Ley Orgánica del Tribunal Constitucional (LOTC) establece que será de aplicación supletoria en los procesos constitucionales la Ley Orgánica del Poder Judicial en materia, entre otras, de recusación y abstención. En atención a dicha aplicación supletoria, es preciso poner de manifiesto que la institución que regula la pretensión de abstención de un Juez o Magistrado a petición de parte legitimada es, de conformidad con el art. 218 LOPJ, la recusación, a cuyo fin deben de cumplirse los requisitos establecidos en el art. 223 LOPJ, que en el presente caso no concurren, ya que formalmente no se cumplen las exigencias de postulación previstas en el art. 223.2 LOPJ. En cualquier caso, además, una eventual solicitud de recusación hubiera resultado también inadmisible de conformidad con el art. 223.1.1 LOPJ, toda vez que ha transcurrido ampliamente el plazo de diez días desde que la parte comparecida tuvo conocimiento de que la Sala competente para la resolución de este recurso era la Sala Primera de este Tribunal, siendo también de conocimiento público, por su publicación en el “Boletín Oficial del Estado”, que, de conformidad con lo establecido en el art. 1.1 del acuerdo de 26 de junio de 2013, del Pleno del Tribunal Constitucional, por el que se dispone la composición de las Salas y Secciones del Tribunal Constitucional, los dos Magistrados mencionados en el escrito forman parte de la citada Sala Primera.</w:t>
      </w:r>
    </w:p>
    <w:p w:rsidR="0033382B" w:rsidRDefault="0033382B" w:rsidP="0033382B">
      <w:pPr>
        <w:pStyle w:val="TextoNormal"/>
      </w:pPr>
    </w:p>
    <w:p w:rsidR="0033382B" w:rsidRDefault="0033382B" w:rsidP="0033382B">
      <w:pPr>
        <w:pStyle w:val="TextoNormal"/>
      </w:pPr>
      <w:r w:rsidRPr="0033382B">
        <w:rPr>
          <w:rStyle w:val="NumeroAFNegritaCaracter"/>
        </w:rPr>
        <w:t>2</w:t>
      </w:r>
      <w:r>
        <w:t>. El art. 56.1 LOTC dispone que la interposición de un recurso de amparo no suspenderá los efectos del acto o sentencia impugnados, concretando el art. 56.2 LOTC que podrá acordarse la suspensión cuando su ejecución “produzca un perjuicio al recurrente que pudiera hacer perder al amparo su finalidad”. Se establece como limitación a esa facultad que “la suspensión no ocasione perturbación grave a un interés constitucionalmente protegido, ni a los derechos fundamentales o libertades públicas de otra persona”. Por su parte, el artículo 56.4 establece que la suspensión “podrá pedirse en cualquier tiempo, antes de haberse pronunciado la sentencia o decidirse el amparo de otro modo”.</w:t>
      </w:r>
    </w:p>
    <w:p w:rsidR="0033382B" w:rsidRDefault="0033382B" w:rsidP="0033382B">
      <w:pPr>
        <w:pStyle w:val="TextoNormal"/>
      </w:pPr>
    </w:p>
    <w:p w:rsidR="0033382B" w:rsidRDefault="0033382B" w:rsidP="0033382B">
      <w:pPr>
        <w:pStyle w:val="TextoNormal"/>
      </w:pPr>
      <w:r>
        <w:t>En relación con la adopción de medidas cautelares en el procedimiento de amparo, este Tribunal ha declarado que la no ejecución de resoluciones judiciales firmes entraña siempre en sí misma una perturbación de la función jurisdiccional que comprende la potestad de hacer ejecutar lo juzgado (art. 117.3 CE), por lo que las medidas cautelares resultan pertinentes únicamente cuando la ejecución del fallo cause al solicitante de amparo un perjuicio irreparable, debiendo entenderse por tal aquel que provoque que el restablecimiento del recurrente en los derechos fundamentales cuya vulneración denuncia sea tardío e impida definitivamente que la restauración sea efectiva (ATC 124/2012, de 18 de junio, FJ 1). Igualmente, este Tribunal también ha dicho que la acreditación del perjuicio es carga del recurrente, quien debe precisar los concretos perjuicios que de la ejecución se deriven, así como justificar o argumentar razonadamente la irreparabilidad de los mismos; que el perjuicio irreparable debe ser real, sin que sea posible alegar un perjuicio futuro o hipotético o un simple temor; y que la pérdida de la finalidad del amparo no puede equipararse a la mayor o menor dificultad, molestia o incomodidad para el recurrente (ATC 81/2012, de 7 de mayo, FJ 3).</w:t>
      </w:r>
    </w:p>
    <w:p w:rsidR="0033382B" w:rsidRDefault="0033382B" w:rsidP="0033382B">
      <w:pPr>
        <w:pStyle w:val="TextoNormal"/>
      </w:pPr>
    </w:p>
    <w:p w:rsidR="0033382B" w:rsidRDefault="0033382B" w:rsidP="0033382B">
      <w:pPr>
        <w:pStyle w:val="TextoNormal"/>
      </w:pPr>
      <w:r>
        <w:t>En lo que se refiere a la ejecución de los pronunciamientos con efectos fundamentalmente patrimoniales o de contenido económico, el Tribunal ha declarado que, con carácter general, aquella no causa un perjuicio irreparable al obligado al pago ni puede hacer perder al amparo su finalidad, al ser posible la restitución íntegra de lo ejecutado. Solo se ha accedido a la suspensión en supuestos excepcionales en que la ejecución de las resoluciones recurridas en amparo acarrearía perjuicios económicos muy difícilmente reparables por su entidad o por la irreversibilidad de las situaciones jurídicas que puedan producirse (ATC 81/2012, de 7 de mayo, FJ 2).</w:t>
      </w:r>
    </w:p>
    <w:p w:rsidR="0033382B" w:rsidRDefault="0033382B" w:rsidP="0033382B">
      <w:pPr>
        <w:pStyle w:val="TextoNormal"/>
      </w:pPr>
    </w:p>
    <w:p w:rsidR="0033382B" w:rsidRDefault="0033382B" w:rsidP="0033382B">
      <w:pPr>
        <w:pStyle w:val="TextoNormal"/>
      </w:pPr>
      <w:r>
        <w:t>Por otra parte, en relación con la suspensión de penas principales de inhabilitación para el ejercicio de un cargo, este Tribunal ha afirmado que (i) las mismas consideraciones que con carácter general llevan a denegar la suspensión de la ejecución de las penas privativas de libertad cuando estas son de larga duración pueden llevar también a denegar la suspensión de las penas privativas de derechos si estas penas tienen una duración muy superior al tiempo normal de tramitación de un recurso de amparo; (ii) la ejecución de este tipo de penas permite un modo de reparación del perjuicio sufrido, cuando afecta a funcionarios públicos, a través de su reposición en el cargo anterior y demás efectos resarcitorios; y (iii) a los efectos de valorar la presencia de una perturbación grave para los intereses generales, ha de tenerse en cuenta que los hechos cuya comisión da lugar a su imposición derivan del ejercicio de funciones públicas, susceptibles de socavar, por tanto, la confianza de los ciudadanos en los funcionarios precisamente encargados de velar por su seguridad y libertad, al suponer la reincorporación del condenado al ejercicio de la función pública, siendo por consiguiente de temer el riesgo de que se provoque una grave perturbación de los intereses generales (así, STC 16772013, de 9 de septiembre, FJ 1).</w:t>
      </w:r>
    </w:p>
    <w:p w:rsidR="0033382B" w:rsidRDefault="0033382B" w:rsidP="0033382B">
      <w:pPr>
        <w:pStyle w:val="TextoNormal"/>
      </w:pPr>
    </w:p>
    <w:p w:rsidR="0033382B" w:rsidRDefault="0033382B" w:rsidP="0033382B">
      <w:pPr>
        <w:pStyle w:val="TextoNormal"/>
      </w:pPr>
      <w:r w:rsidRPr="0033382B">
        <w:rPr>
          <w:rStyle w:val="NumeroAFNegritaCaracter"/>
        </w:rPr>
        <w:t>3</w:t>
      </w:r>
      <w:r>
        <w:t>. En el presente caso, y frente a lo alegado por la parte comparecida, se pone de manifiesto que (i) ya ha recaído una resolución de avocación del conocimiento sobre la admisibilidad a la Sala y de admisión del presente recurso de amparo constituida por la providencia de 22 de mayo de 2014, de la que es indubitado su conocimiento por la parte comparecida al aparecer incluso citada en su escrito registrado el 27 de junio de 2014 por el que solicitó que se le tuviera como comparecido y parte en este procedimiento; (ii) que las solicitudes de suspensión, de conformidad con el art. 56.4 LOTC, pueden instarse “en cualquier tiempo, antes de haberse pronunciado la sentencia o decidirse el amparo de otro modo”; y (iii) que la competencia de este Tribunal para acordar la suspensión de los efectos de una resolución judicial impugnada en un recurso de amparo viene establecida en el art. 56.2 LOTC.</w:t>
      </w:r>
    </w:p>
    <w:p w:rsidR="0033382B" w:rsidRDefault="0033382B" w:rsidP="0033382B">
      <w:pPr>
        <w:pStyle w:val="TextoNormal"/>
      </w:pPr>
    </w:p>
    <w:p w:rsidR="0033382B" w:rsidRDefault="0033382B" w:rsidP="0033382B">
      <w:pPr>
        <w:pStyle w:val="TextoNormal"/>
      </w:pPr>
      <w:r>
        <w:t>Por otra parte, en relación con la cuestión de fondo de la suspensión instada por el recurrente respecto de la pena de inhabilitación especial para el cargo de Juez o Magistrado durante diez años, con pérdida definitiva del cargo que ostenta y honores que le son anejos, así como la incapacidad para obtener durante el tiempo de la condena cualquier empleo o cargo con funciones jurisdiccionales o de gobierno dentro del poder judicial, no procede acceder a lo solicitado, tal como también ha interesado el Ministerio Fiscal. En efecto, (i) la ejecución de este tipo de penas permite un modo de reparación del perjuicio sufrido a través de su reposición en el cargo anterior y demás efectos resarcitorios; y (ii) el recurrente no ha acreditado los daños y perjuicios alegados que la ejecución de esta pena privativa de derechos le está ocasionando.</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Denegar la suspensión solicitada.</w:t>
      </w:r>
    </w:p>
    <w:p w:rsidR="0033382B" w:rsidRDefault="0033382B" w:rsidP="0033382B">
      <w:pPr>
        <w:pStyle w:val="TextoNormal"/>
      </w:pPr>
    </w:p>
    <w:p w:rsidR="0033382B" w:rsidRDefault="0033382B" w:rsidP="0033382B">
      <w:pPr>
        <w:pStyle w:val="TextoNormal"/>
      </w:pPr>
      <w:r>
        <w:t>Madrid, a nueve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27" w:name="AUTO_2016_100"/>
      <w:r>
        <w:t>AUTO 100/2016, de 9 de mayo de 2016</w:t>
      </w:r>
    </w:p>
    <w:bookmarkEnd w:id="227"/>
    <w:p w:rsidR="0033382B" w:rsidRDefault="0033382B" w:rsidP="0033382B">
      <w:pPr>
        <w:pStyle w:val="TtuloResolucin"/>
      </w:pPr>
      <w:r>
        <w:t>Sala Segunda</w:t>
      </w:r>
    </w:p>
    <w:p w:rsidR="0033382B" w:rsidRDefault="0033382B" w:rsidP="0033382B">
      <w:pPr>
        <w:pStyle w:val="TextoNormalCentrado"/>
      </w:pPr>
      <w:r>
        <w:t>ECLI:ES:TC:2016:100A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y don Antonio Narváez Rodríguez.</w:t>
      </w:r>
    </w:p>
    <w:p w:rsidR="0033382B" w:rsidRDefault="0033382B" w:rsidP="0033382B">
      <w:pPr>
        <w:pStyle w:val="SntesisDescriptiva"/>
      </w:pPr>
    </w:p>
    <w:p w:rsidR="0033382B" w:rsidRDefault="0033382B" w:rsidP="0033382B">
      <w:pPr>
        <w:pStyle w:val="SntesisDescriptiva"/>
      </w:pPr>
      <w:r>
        <w:t>Declara que no se ha producido la pérdida de objeto en el recurso de amparo 354-2014, promovido por Endesa, S.A.,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entidad Endesa, S.A., interpuso el 20 de enero de 2014 un recurso de amparo (registrado con el núm. 354-2014) contra los siguientes actos: i) la resolución de la Comisión Nacional de la Energía, de 12 de abril de 2012, por la que se practicó la liquidación provisional núm. 2-2012 de las actividades reguladas del sistema eléctrico; ii) la Sentencia de la Sala de lo Contencioso-Administrativo de la Audiencia Nacional (Sección Cuarta), de 30 de enero de 2013, por la que se desestimó el recurso contencioso-administrativo núm. 9-2012 (procedimiento especial para la protección de los derechos fundamentales) interpuesto contra la citada resolución, confirmándola; iii) y la Sentencia de la Sala de lo Contencioso-Administrativo del Tribunal Supremo (Pleno), de 18 de noviembre de 2013, que desestimó el recurso de casación núm. 848-2013 presentado contra la Sentencia de instancia.</w:t>
      </w:r>
    </w:p>
    <w:p w:rsidR="0033382B" w:rsidRDefault="0033382B" w:rsidP="0033382B">
      <w:pPr>
        <w:pStyle w:val="TextoNormal"/>
      </w:pPr>
    </w:p>
    <w:p w:rsidR="0033382B" w:rsidRDefault="0033382B" w:rsidP="0033382B">
      <w:pPr>
        <w:pStyle w:val="TextoNormal"/>
      </w:pPr>
      <w:r w:rsidRPr="0033382B">
        <w:rPr>
          <w:rStyle w:val="NumeroAFNegritaCaracter"/>
        </w:rPr>
        <w:t>2</w:t>
      </w:r>
      <w:r>
        <w:t xml:space="preserve">. La demandante de amparo consideraba que la resolución de la Comisión Nacional de la Energía de 12 de abril de 2012, así como las resoluciones judiciales que la confirmaron, vulneraron el art. 14 CE cuando, con base en la disposición adicional vigésima primera, apartado 2, de la Ley 54/1997, de 27 de noviembre, del sector eléctrico (en adelante, Ley 54/1997), aplicable </w:t>
      </w:r>
      <w:r w:rsidRPr="0033382B">
        <w:rPr>
          <w:i/>
        </w:rPr>
        <w:t>ratione temporis</w:t>
      </w:r>
      <w:r>
        <w:t>, le exigieron (junto a otras cuatro compañías generadoras de energía eléctrica también designadas nominativamente) la financiación del déficit de tarifa en el porcentaje establecido en dicha Ley, mediante un préstamo forzoso al sistema eléctrico. Y solicitaba, en consecuencia, que este Tribunal declarase la inconstitucionalidad de la liquidación núm. 2-2012 de las actividades reguladas del sistema eléctrico y de las resoluciones judiciales confirmatorias de la misma (elevando, en su caso, la cuestión al Pleno, de conformidad con el art. 55.2 de la Ley Orgánica del Tribunal Constitucional: LOTC).</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providencia de 6 de noviembre de 2014 de la Sala Segunda (Sección Tercera) de este Tribunal, el recurso de amparo de la entidad Endesa, S.A., se admitió a trámite, dándose traslado del mismo para alegaciones, conforme dispone el art. 52 LOTC.</w:t>
      </w:r>
    </w:p>
    <w:p w:rsidR="0033382B" w:rsidRDefault="0033382B" w:rsidP="0033382B">
      <w:pPr>
        <w:pStyle w:val="TextoNormal"/>
      </w:pPr>
    </w:p>
    <w:p w:rsidR="0033382B" w:rsidRDefault="0033382B" w:rsidP="0033382B">
      <w:pPr>
        <w:pStyle w:val="TextoNormal"/>
      </w:pPr>
      <w:r w:rsidRPr="0033382B">
        <w:rPr>
          <w:rStyle w:val="NumeroAFNegritaCaracter"/>
        </w:rPr>
        <w:t>4</w:t>
      </w:r>
      <w:r>
        <w:t>. Por medio de un escrito presentado el 18 de diciembre de 2014, la entidad Gas Natural SDG, S.A., solicitó que se le tuviera por personada en el proceso, en concepto de codemandada en el proceso de origen. Asimismo, la entidad Hidroeléctrica del Cantábrico, S.A., solicitó igualmente su personación, mediante escrito de 19 de diciembre de 2014. A ambas entidades se las tuvo por personadas mediante diligencia de ordenación de 26 de diciembre de 2014.</w:t>
      </w:r>
    </w:p>
    <w:p w:rsidR="0033382B" w:rsidRDefault="0033382B" w:rsidP="0033382B">
      <w:pPr>
        <w:pStyle w:val="TextoNormal"/>
      </w:pPr>
    </w:p>
    <w:p w:rsidR="0033382B" w:rsidRDefault="0033382B" w:rsidP="0033382B">
      <w:pPr>
        <w:pStyle w:val="TextoNormal"/>
      </w:pPr>
      <w:r w:rsidRPr="0033382B">
        <w:rPr>
          <w:rStyle w:val="NumeroAFNegritaCaracter"/>
        </w:rPr>
        <w:t>5</w:t>
      </w:r>
      <w:r>
        <w:t>. El Abogado del Estado, en la representación que ostenta, presentó sus alegaciones con fecha 29 de enero de 2015, en las que interesaba la desestimación del recurso por considerar que la obligación de financiar el déficit de tarifa impuesta a determinadas entidades, entre ellas a la aquí recurrente, tenía una justificación objetiva y razonable desde el punto de vista de la igualdad, a la vista de que se trataba en todos los casos de sujetos cualificados del mercado eléctrico, que habían resultado perceptores de los costes de transición a la competencia. Asimismo, señalaba, invocando los informes de la Comisión Nacional de los Mercados y la Competencia (sucesora de la Comisión Nacional de Energía) que el préstamo forzoso exigido a Endesa, S.A., por medio de la resolución impugnada ya había sido recuperado por la entidad.</w:t>
      </w:r>
    </w:p>
    <w:p w:rsidR="0033382B" w:rsidRDefault="0033382B" w:rsidP="0033382B">
      <w:pPr>
        <w:pStyle w:val="TextoNormal"/>
      </w:pPr>
    </w:p>
    <w:p w:rsidR="0033382B" w:rsidRDefault="0033382B" w:rsidP="0033382B">
      <w:pPr>
        <w:pStyle w:val="TextoNormal"/>
      </w:pPr>
      <w:r w:rsidRPr="0033382B">
        <w:rPr>
          <w:rStyle w:val="NumeroAFNegritaCaracter"/>
        </w:rPr>
        <w:t>6</w:t>
      </w:r>
      <w:r>
        <w:t>. En la misma fecha de 29 de enero de 2015, la recurrente presentó un escrito por el que evacuaba el trámite de alegaciones conferido, ratificándose íntegramente en la demanda.</w:t>
      </w:r>
    </w:p>
    <w:p w:rsidR="0033382B" w:rsidRDefault="0033382B" w:rsidP="0033382B">
      <w:pPr>
        <w:pStyle w:val="TextoNormal"/>
      </w:pPr>
    </w:p>
    <w:p w:rsidR="0033382B" w:rsidRDefault="0033382B" w:rsidP="0033382B">
      <w:pPr>
        <w:pStyle w:val="TextoNormal"/>
      </w:pPr>
      <w:r w:rsidRPr="0033382B">
        <w:rPr>
          <w:rStyle w:val="NumeroAFNegritaCaracter"/>
        </w:rPr>
        <w:t>7</w:t>
      </w:r>
      <w:r>
        <w:t>. Por último, el Ministerio Fiscal, por medio de un escrito de 6 de febrero de 2015, interesó que se dictara sentencia desestimatoria del recurso de amparo, señalando, entre otras razones, que la recurrente no había aportado un término válido de comparación que justificara la desigualdad. Coincidía la Fiscal con la justificación razonable de la distinción aducida por la Abogacía del Estado, vinculándola con la percepción por Endesa, S.A., de los costes de transición a la competencia.</w:t>
      </w:r>
    </w:p>
    <w:p w:rsidR="0033382B" w:rsidRDefault="0033382B" w:rsidP="0033382B">
      <w:pPr>
        <w:pStyle w:val="TextoNormal"/>
      </w:pPr>
    </w:p>
    <w:p w:rsidR="0033382B" w:rsidRDefault="0033382B" w:rsidP="0033382B">
      <w:pPr>
        <w:pStyle w:val="TextoNormal"/>
      </w:pPr>
      <w:r w:rsidRPr="0033382B">
        <w:rPr>
          <w:rStyle w:val="NumeroAFNegritaCaracter"/>
        </w:rPr>
        <w:t>8</w:t>
      </w:r>
      <w:r>
        <w:t>. Por providencia de 29 de febrero de 2016, la Sala Segunda acordó conceder a las partes personadas y al Ministerio Fiscal un plazo de diez días, con arreglo al art. 84 LOTC, para que alegaran lo que consideraran pertinente acerca de la eventual pérdida de objeto del recurso de amparo.</w:t>
      </w:r>
    </w:p>
    <w:p w:rsidR="0033382B" w:rsidRDefault="0033382B" w:rsidP="0033382B">
      <w:pPr>
        <w:pStyle w:val="TextoNormal"/>
      </w:pPr>
    </w:p>
    <w:p w:rsidR="0033382B" w:rsidRDefault="0033382B" w:rsidP="0033382B">
      <w:pPr>
        <w:pStyle w:val="TextoNormal"/>
      </w:pPr>
      <w:r w:rsidRPr="0033382B">
        <w:rPr>
          <w:rStyle w:val="NumeroAFNegritaCaracter"/>
        </w:rPr>
        <w:t>9</w:t>
      </w:r>
      <w:r>
        <w:t>. Evacuando el trámite conferido, mediante escrito de 28 de marzo de 2016, el Abogado del Estado manifestó que coincidía con la pérdida de objeto del recurso, al haberse satisfecho la cantidad exigida a la recurrente, tal y como se acreditaba con la documentación aportada. De esta documentación se desprendía que la entidad recuperó las cantidades aportadas en el propio ejercicio 2012, por lo que no se devengaron intereses.</w:t>
      </w:r>
    </w:p>
    <w:p w:rsidR="0033382B" w:rsidRDefault="0033382B" w:rsidP="0033382B">
      <w:pPr>
        <w:pStyle w:val="TextoNormal"/>
      </w:pPr>
    </w:p>
    <w:p w:rsidR="0033382B" w:rsidRDefault="0033382B" w:rsidP="0033382B">
      <w:pPr>
        <w:pStyle w:val="TextoNormal"/>
      </w:pPr>
      <w:r w:rsidRPr="0033382B">
        <w:rPr>
          <w:rStyle w:val="NumeroAFNegritaCaracter"/>
        </w:rPr>
        <w:t>10</w:t>
      </w:r>
      <w:r>
        <w:t>. Por su parte, Endesa, S.A., se manifestó en contra de la pérdida de objeto, por medio de un escrito registrado el 29 de marzo de 2016, en el que argumentaba que, si bien había recuperado las cantidades anticipadas, no se había producido la reparación de los derechos vulnerados ni la satisfacción de los perjuicios soportados como consecuencia del préstamo exigido. La demandante de amparo razonaba que la recuperación de las cantidades anticipadas al sistema eléctrico no suponía la reparación de las vulneraciones producidas ni de los perjuicios ocasionados, sino que era una consecuencia de la naturaleza del préstamo forzoso y de las propias disposiciones legales al respecto que preveían dicha recuperación. Endesa, S.A., señalaba que su pretensión era que se declarase que la disposición adicional vigésima primera, apartado 2, de la Ley 54/1997 infringía el art. 14 CE y el Derecho de la Unión Europea; y, además, que había sufrido una serie de perjuicios financieros que no le habían sido indemnizados y que podría reclamar por la vía de la responsabilidad del Estado legislador, una vez que el Tribunal Constitucional le otorgase, en su caso, el amparo solicitado.</w:t>
      </w:r>
    </w:p>
    <w:p w:rsidR="0033382B" w:rsidRDefault="0033382B" w:rsidP="0033382B">
      <w:pPr>
        <w:pStyle w:val="TextoNormal"/>
      </w:pPr>
    </w:p>
    <w:p w:rsidR="0033382B" w:rsidRDefault="0033382B" w:rsidP="0033382B">
      <w:pPr>
        <w:pStyle w:val="TextoNormal"/>
      </w:pPr>
      <w:r w:rsidRPr="0033382B">
        <w:rPr>
          <w:rStyle w:val="NumeroAFNegritaCaracter"/>
        </w:rPr>
        <w:t>11</w:t>
      </w:r>
      <w:r>
        <w:t>. El Ministerio Fiscal, a través de un escrito presentado también el 29 de marzo, no formulaba alegaciones, solicitando en su lugar que se le indicara expresamente el supuesto que en el presente caso motivaría la posible apreciación de la pérdida de objeto. No obstante, se debe indicar que en el recurso de amparo núm. 6887-2014, interpuesto por la entidad Iberdrola, S.A., cuyo objeto y circunstancias coinciden con las del presente proceso, el Ministerio Fiscal sí presentó alegaciones, manifestando que no consideraba que la recuperación de las cantidades anticipadas debiera determinar la pérdida de objeto del proceso, por las mismos motivos esgrimidos por la entidad recurrente.</w:t>
      </w:r>
    </w:p>
    <w:p w:rsidR="0033382B" w:rsidRDefault="0033382B" w:rsidP="0033382B">
      <w:pPr>
        <w:pStyle w:val="TextoNormal"/>
      </w:pPr>
    </w:p>
    <w:p w:rsidR="0033382B" w:rsidRDefault="0033382B" w:rsidP="0033382B">
      <w:pPr>
        <w:pStyle w:val="TextoNormal"/>
      </w:pPr>
      <w:r w:rsidRPr="0033382B">
        <w:rPr>
          <w:rStyle w:val="NumeroAFNegritaCaracter"/>
        </w:rPr>
        <w:t>12</w:t>
      </w:r>
      <w:r>
        <w:t>. Finalmente, las entidades Gas Natural SDG, S.A., e Hidroeléctrica del Cantábrico, S.A., personadas en el proceso, no han presentado alegaciones.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Conforme a nuestra doctrina (AATC 43/1985, de 23 de enero, FJ 2; 243/2007, de 21 de mayo, FJ Único; 285/2008, de 22 de septiembre, FJ Único; 287/2008, de 22 de septiembre, FJ Único; 6/2013, de 14 de enero, FJ 1; y 144/2015, de 2 de septiembre, FJ 1), la desaparición sobrevenida del objeto es una de las formas de terminación del proceso constitucional iniciado por el recurso de amparo cuando las circunstancias acaecidas con posterioridad a la presentación de la demanda hacen innecesario un pronunciamiento del Tribunal Constitucional, al haberse modificado de manera sustancial la controversia.</w:t>
      </w:r>
    </w:p>
    <w:p w:rsidR="0033382B" w:rsidRDefault="0033382B" w:rsidP="0033382B">
      <w:pPr>
        <w:pStyle w:val="TextoNormal"/>
      </w:pPr>
    </w:p>
    <w:p w:rsidR="0033382B" w:rsidRDefault="0033382B" w:rsidP="0033382B">
      <w:pPr>
        <w:pStyle w:val="TextoNormal"/>
      </w:pPr>
      <w:r>
        <w:t>Así pues, aun cuando no está prevista expresamente en la Ley Orgánica del Tribunal Constitucional (LOTC), la desaparición sobrevenida del objeto ha sido admitida por este Tribunal como forma de terminación de este proceso constitucional con base en los arts. 80 y 86.1 de la citada Ley, en relación con el art. 22 de la Ley de enjuiciamiento civil, pues, como hemos declarado en reiteradas ocasiones, la función que cumple el recurso de amparo es la reparación de lesiones singulares y efectivas de los derechos fundamentales por lo que, cuando tal reparación se produce fuera del proceso de amparo, no cabe sino concluir que este carece desde ese momento de objeto.</w:t>
      </w:r>
    </w:p>
    <w:p w:rsidR="0033382B" w:rsidRDefault="0033382B" w:rsidP="0033382B">
      <w:pPr>
        <w:pStyle w:val="TextoNormal"/>
      </w:pPr>
    </w:p>
    <w:p w:rsidR="0033382B" w:rsidRDefault="0033382B" w:rsidP="0033382B">
      <w:pPr>
        <w:pStyle w:val="TextoNormal"/>
      </w:pPr>
      <w:r>
        <w:t>Ahora bien, también hemos afirmado que, a pesar de haber desaparecido formalmente el acto lesivo, deben tenerse en cuenta otros elementos de juicio que puedan continuar haciendo precisa nuestra respuesta (SSTC 84/2006, de 27 de mayo, FJ 2; 128/2006, de 24 de abril, FJ 2; 118/2007, de 21 de mayo, FJ 2, y 133/2007, de 4 de junio, FJ 2; y ATC 144/2015, FJ 1), debiéndose, por tanto, excluir todo automatismo y atender, por el contrario, a las circunstancias concurrentes en cada caso para valorar si el proceso ha perdido realmente su objeto.</w:t>
      </w:r>
    </w:p>
    <w:p w:rsidR="0033382B" w:rsidRDefault="0033382B" w:rsidP="0033382B">
      <w:pPr>
        <w:pStyle w:val="TextoNormal"/>
      </w:pPr>
    </w:p>
    <w:p w:rsidR="0033382B" w:rsidRDefault="0033382B" w:rsidP="0033382B">
      <w:pPr>
        <w:pStyle w:val="TextoNormal"/>
      </w:pPr>
      <w:r w:rsidRPr="0033382B">
        <w:rPr>
          <w:rStyle w:val="NumeroAFNegritaCaracter"/>
        </w:rPr>
        <w:t>2</w:t>
      </w:r>
      <w:r>
        <w:t>. Con arreglo a la doctrina indicada en el fundamento anterior, procede analizar cuál es el acto lesivo frente al que se impetra el amparo que motiva las presentes actuaciones, así como la pretensión formulada en relación con el mismo. De este examen se desprende que el acto lesivo en este caso es la resolución de la Comisión Nacional de la Energía por la que se establece la obligación a cargo de Endesa, S.A., de efectuar un préstamo al sistema eléctrico y la pretensión principal que se deduce es que se declare su nulidad, que sería imputable realmente a la disposición adicional vigésima primera de la Ley 54/1997, por supuesta infracción del art. 14 CE y del Derecho de la Unión Europea, como paso previo para exigir una indemnización de daños y perjuicios al Estado.</w:t>
      </w:r>
    </w:p>
    <w:p w:rsidR="0033382B" w:rsidRDefault="0033382B" w:rsidP="0033382B">
      <w:pPr>
        <w:pStyle w:val="TextoNormal"/>
      </w:pPr>
    </w:p>
    <w:p w:rsidR="0033382B" w:rsidRDefault="0033382B" w:rsidP="0033382B">
      <w:pPr>
        <w:pStyle w:val="TextoNormal"/>
      </w:pPr>
      <w:r>
        <w:t>De acuerdo con esto, la efectiva recuperación de las cantidades anticipadas al sistema eléctrico, que es uno de los efectos previstos en la resolución impugnada, con base en la norma que le da cobertura (la disposición adicional vigésima primera, apartado 2, de la Ley 54/1997), no permite concluir que el recurso de amparo haya perdido su objeto, puesto que lo solicitado por el recurrente es que se declare inconstitucional la obligación que se le impuso, no el reconocimiento de su derecho a recuperar el préstamo forzoso realizado, que es inherente a tal figura y que, por otra parte, no resulta aquí controvertido. Es decir, la resolución impugnada ha desplegado plenamente los efectos que le son propios (exigiendo primero un desembolso y permitiendo posteriormente la recuperación del mismo), pero lo solicitado por Endesa, S.A., es que el régimen de anticipos forzosos aplicado se declare radicalmente nulo por ser contrario al art. 14 CE y al Derecho de la Unión Europea.</w:t>
      </w:r>
    </w:p>
    <w:p w:rsidR="0033382B" w:rsidRDefault="0033382B" w:rsidP="0033382B">
      <w:pPr>
        <w:pStyle w:val="TextoNormal"/>
      </w:pPr>
    </w:p>
    <w:p w:rsidR="0033382B" w:rsidRDefault="0033382B" w:rsidP="0033382B">
      <w:pPr>
        <w:pStyle w:val="TextoNormal"/>
      </w:pPr>
      <w:r>
        <w:t>Además, lo anterior debe conectarse con la alegación de la entidad recurrente de que, como consecuencia del préstamo forzoso que le fue exigido, experimentó una serie de perjuicios que tendría derecho a reclamar por la vía de la responsabilidad del Estado legislador, una vez que el Tribunal Constitucional le otorgase, en su caso, el amparo solicitado. Esto significa que Endesa, S.A., mantiene un interés actual y vigente en que se declare que la resolución administrativa impugnada (y las sentencias que la confirmaron), así como la normativa en que se basan (disposición adicional vigésima primera de la Ley 54/1997), son nulas por vulnerar la Constitución, ya que esta declaración podría servir de base para una eventual solicitud de indemnización al Estado por la vía correspondiente, teniendo en cuenta que, en ningún caso el recurso de amparo es el cauce para acordar una indemnización de los posibles perjuicios, como hemos indicado, entre otras, en la STC 107/2000, de 5 de mayo, FJ 3. De este modo, podría considerarse que subsiste, al menos en parte, la lesión ocasionada, en la medida en que, según la entidad, los perjuicios que invoca no han sido totalmente reparados (por todas, STC 233/2007, de 5 de noviembre, FJ 3).</w:t>
      </w:r>
    </w:p>
    <w:p w:rsidR="0033382B" w:rsidRDefault="0033382B" w:rsidP="0033382B">
      <w:pPr>
        <w:pStyle w:val="TextoNormal"/>
      </w:pPr>
    </w:p>
    <w:p w:rsidR="0033382B" w:rsidRDefault="0033382B" w:rsidP="0033382B">
      <w:pPr>
        <w:pStyle w:val="TextoNormal"/>
      </w:pPr>
      <w:r>
        <w:t>La circunstancia de que en otros procesos de amparo sustancialmente iguales a este (iniciados por otros sujetos del sistema eléctrico a los que se había impuesto la misma obligación de financiar el déficit de tarifa) se haya producido el desistimiento del recurrente, por entender este que sí había quedado satisfecha su reclamación, no debe llevarnos a concluir que la recuperación de las cantidades anticipadas resuelve la pretensión de que se declare inconstitucional el sistema de préstamos forzosos objeto de examen, para solicitar después la indemnización de los perjuicios ocasionados.</w:t>
      </w:r>
    </w:p>
    <w:p w:rsidR="0033382B" w:rsidRDefault="0033382B" w:rsidP="0033382B">
      <w:pPr>
        <w:pStyle w:val="TextoNormal"/>
      </w:pPr>
    </w:p>
    <w:p w:rsidR="0033382B" w:rsidRDefault="0033382B" w:rsidP="0033382B">
      <w:pPr>
        <w:pStyle w:val="TextoNormal"/>
      </w:pPr>
      <w:r>
        <w:t>En consecuencia, no cabe apreciar la pérdida sobrevenida del objeto del recurso.</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Declarar que no se ha producido la pérdida de objeto del presente recurso de amparo, por lo que procede continuar con la sustanciación del procedimiento.</w:t>
      </w:r>
    </w:p>
    <w:p w:rsidR="0033382B" w:rsidRDefault="0033382B" w:rsidP="0033382B">
      <w:pPr>
        <w:pStyle w:val="TextoNormal"/>
      </w:pPr>
    </w:p>
    <w:p w:rsidR="0033382B" w:rsidRDefault="0033382B" w:rsidP="0033382B">
      <w:pPr>
        <w:pStyle w:val="TextoNormal"/>
      </w:pPr>
      <w:r>
        <w:t>Madrid, a nueve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28" w:name="AUTO_2016_101"/>
      <w:r>
        <w:t>AUTO 101/2016, de 10 de mayo de 2016</w:t>
      </w:r>
    </w:p>
    <w:bookmarkEnd w:id="228"/>
    <w:p w:rsidR="0033382B" w:rsidRDefault="0033382B" w:rsidP="0033382B">
      <w:pPr>
        <w:pStyle w:val="TtuloResolucin"/>
      </w:pPr>
      <w:r>
        <w:t>Pleno</w:t>
      </w:r>
    </w:p>
    <w:p w:rsidR="0033382B" w:rsidRDefault="0033382B" w:rsidP="0033382B">
      <w:pPr>
        <w:pStyle w:val="TextoNormalCentrado"/>
      </w:pPr>
      <w:r>
        <w:t>ECLI:ES:TC:2016:101A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4741-2015, planteada por el Juzgado de lo Contencioso-Administrativo núm. 1 de Ourense en relación con el apartado 2 de la disposición adicional vigesimoprimera de la Ley 11/2013, de 26 de diciembre, de presupuestos generales de la Comunidad Autónoma de Galicia para el año 2014.</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registrado en este Tribunal el 10 de agosto de 2015, el Juzgado de lo Contencioso-Administrativo núm. 1 de Orense remitió, junto con el testimonio del procedimiento abreviado 27-2015, Auto de 30 de julio de 2015 por el que se acordó plantear cuestión de inconstitucionalidad en relación con el apartado 2 de la disposición adicional vigesimoprimera de la Ley 11/2013, de 26 de diciembre, de presupuestos generales de la Comunidad Autónoma de Galicia para 2014. Se considera que dicho precepto puede ser contrario a los arts. 9.3, 24.1, 103.1, 105, 106, 137, 140 y 149.1.18 CE y al art. 134.2 CE en relación con el art. 53.1 del Estatuto de Autonomía para Galicia (EAG).</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El 20 de enero de 2015, la Sociedade Galega do Medio Ambiente, S.A. (Sogama) interpuso recurso contencioso-administrativo contra la resolución de 19 de noviembre de 2014 del Alcalde-Presidente del Ayuntamiento de Piñor, desestimatoria de la reclamación de pago de la factura núm. 2014-2696, por importe de 554,84 €, por la prestación del servicio de gestión de los residuos sólidos urbanos del término municipal, en el mes de septiembre de 2014.</w:t>
      </w:r>
    </w:p>
    <w:p w:rsidR="0033382B" w:rsidRDefault="0033382B" w:rsidP="0033382B">
      <w:pPr>
        <w:pStyle w:val="TextoNormal"/>
      </w:pPr>
    </w:p>
    <w:p w:rsidR="0033382B" w:rsidRDefault="0033382B" w:rsidP="0033382B">
      <w:pPr>
        <w:pStyle w:val="TextoNormal"/>
      </w:pPr>
      <w:r>
        <w:t>En el suplico de la demanda se solicitó que la Sentencia, además de anular el acto impugnado, declarase que “el precio del contrato suscrito entre Sogama, S.A. y el Ayuntamiento de Piñor con fecha 21 de diciembre de 2006, correspondiente al mes de septiembre de 2014 asciende a la cantidad de setenta y seis euros y con sesenta y cuatro céntimos (76,64 €) más el IVA correspondiente por cada tonelada de residuos, de acuerdo con lo dispuesto en el apartado segundo de la disposición adicional vigesimoprimera de la LGPCAG 2014”.</w:t>
      </w:r>
    </w:p>
    <w:p w:rsidR="0033382B" w:rsidRDefault="0033382B" w:rsidP="0033382B">
      <w:pPr>
        <w:pStyle w:val="TextoNormal"/>
      </w:pPr>
    </w:p>
    <w:p w:rsidR="0033382B" w:rsidRDefault="0033382B" w:rsidP="0033382B">
      <w:pPr>
        <w:pStyle w:val="TextoNormal"/>
      </w:pPr>
      <w:r>
        <w:t>b) El día 19 de mayo de 2015 se celebró la vista oral del juicio. En ella, el Ayuntamiento de Piñor se opuso a la demanda solicitando la desestimación íntegra del recurso, con imposición de costas a la demandante, por sostenerse la pretensión de la actora en la aplicación de una disposición autonómica que considera inconstitucional. Se recibió el proceso a prueba, practicándose documental y se realizó trámite de conclusiones, declarándose concluso el pleito.</w:t>
      </w:r>
    </w:p>
    <w:p w:rsidR="0033382B" w:rsidRDefault="0033382B" w:rsidP="0033382B">
      <w:pPr>
        <w:pStyle w:val="TextoNormal"/>
      </w:pPr>
    </w:p>
    <w:p w:rsidR="0033382B" w:rsidRDefault="0033382B" w:rsidP="0033382B">
      <w:pPr>
        <w:pStyle w:val="TextoNormal"/>
      </w:pPr>
      <w:r>
        <w:t>c) Por providencia de 8 de julio de 2015, el Juzgado dio audiencia a las partes y al Ministerio Fiscal por plazo común de diez días, para que formulasen alegaciones sobre la pertinencia de plantear la cuestión de inconstitucionalidad en relación con el apartado 2 de la disposición adicional vigesimoprimera de la Ley autonómica 11/2013, de 26 de diciembre, de presupuestos de la Comunidad Autónoma de Galicia para el año 2014. La providencia citada se limita a señalar que la posible cuestión de inconstitucionalidad se fundará en las mismas razones señaladas en el Auto de 6 de julio de 2015 (procedimiento abreviado núm. 1-2015), que se dan íntegramente por reproducidas, incorporando a dicha providencia el referido Auto, con traslado a las partes.</w:t>
      </w:r>
    </w:p>
    <w:p w:rsidR="0033382B" w:rsidRDefault="0033382B" w:rsidP="0033382B">
      <w:pPr>
        <w:pStyle w:val="TextoNormal"/>
      </w:pPr>
    </w:p>
    <w:p w:rsidR="0033382B" w:rsidRDefault="0033382B" w:rsidP="0033382B">
      <w:pPr>
        <w:pStyle w:val="TextoNormal"/>
      </w:pPr>
      <w:r>
        <w:t>El Fiscal presentó su escrito de alegaciones el 20 de julio de 2015, en el que no se opone al planteamiento de la cuestión. El Ayuntamiento de Piñor formuló alegaciones por escrito de 22 de julio de 2015, en el que se mostró conforme con el planteamiento de la cuestión de inconstitucionalidad. Por el contrario, Sogama, S. A., en escrito de 28 de julio de 2015, solicitó al órgano judicial que no se procediese al planteamiento de la cuestión de inconstitucionalidad.</w:t>
      </w:r>
    </w:p>
    <w:p w:rsidR="0033382B" w:rsidRDefault="0033382B" w:rsidP="0033382B">
      <w:pPr>
        <w:pStyle w:val="TextoNormal"/>
      </w:pPr>
    </w:p>
    <w:p w:rsidR="0033382B" w:rsidRDefault="0033382B" w:rsidP="0033382B">
      <w:pPr>
        <w:pStyle w:val="TextoNormal"/>
      </w:pPr>
      <w:r>
        <w:t>d) El Juzgado de lo Contencioso-Administrativo núm. 1 de Orense, por Auto de 30 de julio de 2015, acordó plantear cuestión de inconstitucionalidad en relación con el apartado 2 de la disposición adicional vigesimoprimera de la Ley 11/2013, de 26 de diciembre, de presupuestos generales de la Comunidad Autónoma de Galicia para 2014.</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de la cuestión de inconstitucionalidad se fundamenta en las consideraciones que seguidamente se indican.</w:t>
      </w:r>
    </w:p>
    <w:p w:rsidR="0033382B" w:rsidRDefault="0033382B" w:rsidP="0033382B">
      <w:pPr>
        <w:pStyle w:val="TextoNormal"/>
      </w:pPr>
    </w:p>
    <w:p w:rsidR="0033382B" w:rsidRDefault="0033382B" w:rsidP="0033382B">
      <w:pPr>
        <w:pStyle w:val="TextoNormal"/>
      </w:pPr>
      <w:r>
        <w:t>Tras exponer los hechos de los que trae causa el proceso y justificar que se cumplen los requisitos procesales para plantear la cuestión de inconstitucionalidad, se exponen las razones por las que considera que la norma impugnada puede ser contraria a la Constitución. Para ello el Auto efectúa, con carácter preliminar, una serie de consideraciones en las que explica que, conforme a lo dispuesto en los arts. 25.2 l) y 86.3 de la Ley reguladora de las bases de régimen local (LBRL), corresponde al municipio la competencia sobre el servicio público de gestión de los residuos sólidos urbanos, incluyendo la recogida y el tratamiento de los mismos; competencia que también le reconoce el art. 12. 5 a) de la Ley estatal 22/2011, de 28 de julio, de residuos y suelos contaminados. También se señala que en la Comunidad Autónoma de Galicia, la Ley 10/1997, de 22 de agosto, de residuos urbanos, establece la posibilidad de que las operaciones de gestión de residuos se lleven a cabo a través de la empresa pública Sociedade Galega do Medio Ambiente, S.A. (Sogama), creada por Decreto de 11 de abril de 1992 y que muchos municipios gallegos optaron por esta posibilidad. Uno de estos municipios fue la corporación demandada en el proceso, a la que se le reclama el pago del precio fijado en el contrato que celebró con la referida empresa pública por la gestión de los residuos. En este contrato se dispuso que el precio que se debía pagar por la prestación de servicios sería el resultado de multiplicar el número de toneladas de residuos urbanos realmente introducidas en las instalaciones procedente de la recogida ordinaria de ese Ayuntamiento por el precio de 47,09 €/tonelada más IVA (precio del año 2006). Junto a ello se acordó también que el referido precio se revisaría y actualizaría anualmente el día uno de enero de cada año, según las variaciones experimentadas por el índice de precios al consumo en los doce meses anteriores.</w:t>
      </w:r>
    </w:p>
    <w:p w:rsidR="0033382B" w:rsidRDefault="0033382B" w:rsidP="0033382B">
      <w:pPr>
        <w:pStyle w:val="TextoNormal"/>
      </w:pPr>
    </w:p>
    <w:p w:rsidR="0033382B" w:rsidRDefault="0033382B" w:rsidP="0033382B">
      <w:pPr>
        <w:pStyle w:val="TextoNormal"/>
      </w:pPr>
      <w:r>
        <w:t>El órgano judicial considera que el apartado 2 de la disposición adicional cuestionada, al modificar el precio fijado en ese contrato elevándolo a la cantidad de 74,64 €/tonelada más IVA (el precio del contrato en el año 2013 era de 55,91 €/tonelada, por lo que el precepto cuestionado incrementa el precio del contrato en un 33,5 por 100), está adoptando una decisión materialmente administrativa. Por ello considera que la referida norma, al excepcionar el régimen general de la fijación de precios privados, que han de fijarse por la Administración (art. 51 de la Ley 6/2003) y contemplar este precio a través de una ley “eleva el rango de una decisión puramente administrativa para hurtar de su control a la jurisdicción contencioso-administrativa”, lo que, a su juicio, puede ser contrario a los arts. 9.3, 24.1 CE 103.1 y 106.1 CE.</w:t>
      </w:r>
    </w:p>
    <w:p w:rsidR="0033382B" w:rsidRDefault="0033382B" w:rsidP="0033382B">
      <w:pPr>
        <w:pStyle w:val="TextoNormal"/>
      </w:pPr>
    </w:p>
    <w:p w:rsidR="0033382B" w:rsidRDefault="0033382B" w:rsidP="0033382B">
      <w:pPr>
        <w:pStyle w:val="TextoNormal"/>
      </w:pPr>
      <w:r>
        <w:t>El Juzgado fundamenta esta conclusión en que la exposición de motivos no explica que pueda haber razones excepcionales que justifiquen este precepto “singular”. Sostiene, asimismo, que aunque estas razones fueran el vencimiento de la deuda de la Sogama, S.A., con la matriz de Gas Natural y con la propia Junta por un préstamo contraído tiempo atrás o la minoración de beneficios de Sogama por la reducción de primas al régimen especial eléctrico, que fueron los motivos alegados en el debate parlamentario, no existiría una urgencia tal que impidiese tramitar el correspondiente procedimiento administrativo en el que se habría de discernir y acreditar tal justificación, con la correspondiente audiencia a los afectados y la posibilidad de control jurisdiccional. De ahí que considere que la norma cuestionada pueda ser contraria al principio de interdicción de la arbitrariedad y seguridad jurídica que consagra el art. 9.3 CE, al derecho a la tutela judicial efectiva (art. 24.1 CE) y a los arts. 103.1 y 106.1 CE que garantizan el pleno sometimiento a la ley y Derecho de la actividad administrativa y el control judicial de la misma. Entiende el Juzgado que esta conclusión encuentra apoyo en la doctrina establecida en las SSTC 129/2013 y 203/2013.</w:t>
      </w:r>
    </w:p>
    <w:p w:rsidR="0033382B" w:rsidRDefault="0033382B" w:rsidP="0033382B">
      <w:pPr>
        <w:pStyle w:val="TextoNormal"/>
      </w:pPr>
    </w:p>
    <w:p w:rsidR="0033382B" w:rsidRDefault="0033382B" w:rsidP="0033382B">
      <w:pPr>
        <w:pStyle w:val="TextoNormal"/>
      </w:pPr>
      <w:r>
        <w:t>Se considera también que la norma cuestionada es contraria a los arts. 105, 137 y 140 CE. Sostiene el Juzgado que la decisión adoptada en la Ley es materialmente administrativa, y que lo que en ella se dispone afecta directamente a los intereses de las Administraciones locales de Galicia. Por ello considera que, al haberse adoptado en virtud de una norma con rango de ley, ha privado a las Administraciones interesadas de participar en su procedimiento de elaboración, lo que conlleva, a su juicio, una vulneración del art. 105 a) y c) CE y del principio de autonomía local que consagran los arts. 137 y 140 CE.</w:t>
      </w:r>
    </w:p>
    <w:p w:rsidR="0033382B" w:rsidRDefault="0033382B" w:rsidP="0033382B">
      <w:pPr>
        <w:pStyle w:val="TextoNormal"/>
      </w:pPr>
    </w:p>
    <w:p w:rsidR="0033382B" w:rsidRDefault="0033382B" w:rsidP="0033382B">
      <w:pPr>
        <w:pStyle w:val="TextoNormal"/>
      </w:pPr>
      <w:r>
        <w:t>Se sostiene, además, que esta norma es también lesiva del art. 149.1.18 CE, en cuanto, en opinión del órgano judicial, la disposición que se cuestiona infringe lo dispuesto en los arts. 87.3, 89 y ss. del texto refundido de la Ley de contratos del sector público que regulan la revisión del precio de los contratos, y lo establecido en el art. 282 del texto refundido de la Ley de contratos del sector público, que regula la modificación y el equilibrio financiero de los contratos públicos, preceptos que tienen carácter básico, lo que conlleva la vulneración del citado art. 149.1.18 CE.</w:t>
      </w:r>
    </w:p>
    <w:p w:rsidR="0033382B" w:rsidRDefault="0033382B" w:rsidP="0033382B">
      <w:pPr>
        <w:pStyle w:val="TextoNormal"/>
      </w:pPr>
    </w:p>
    <w:p w:rsidR="0033382B" w:rsidRDefault="0033382B" w:rsidP="0033382B">
      <w:pPr>
        <w:pStyle w:val="TextoNormal"/>
      </w:pPr>
      <w:r>
        <w:t>Por último se alega la vulneración del art. 134.2 CE en relación con el art. 53.1 del Estatuto de Autonomía de Galicia, al considerar que la regulación contenida en el precepto cuestionado no forma parte del contenido material de la Ley de presupuestos.</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15 de diciembre de 2015,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y por si fuere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en este Tribunal el 8 de febrero de 2016, en el que interesa la inadmisión de la presente cuestión de inconstitucionalidad por ser la misma notoriamente infundada.</w:t>
      </w:r>
    </w:p>
    <w:p w:rsidR="0033382B" w:rsidRDefault="0033382B" w:rsidP="0033382B">
      <w:pPr>
        <w:pStyle w:val="TextoNormal"/>
      </w:pPr>
    </w:p>
    <w:p w:rsidR="0033382B" w:rsidRDefault="0033382B" w:rsidP="0033382B">
      <w:pPr>
        <w:pStyle w:val="TextoNormal"/>
      </w:pPr>
      <w:r>
        <w:t>Tras considerar que se han cumplido los requisitos procesales para la admisión a trámite, en lo que respecta al examen de fondo, el informe señala que el art. 29 EAG reconoce a la Comunidad Autónoma la competencia en materia de medio ambiente, y, a tal efecto, puede constituir empresas públicas como medio de ejecución de las funciones que sean de su competencia (art. 55 EAG). En uso de estas atribuciones se aprobó la Ley 10/1997, de 22 de agosto, de residuos sólidos urbanos de Galicia, sustituida por la Ley 10/2008, de 3 de noviembre, de residuos de Galicia, que reconoce competencia a los entes locales para la gestión de los residuos urbanos, y competencia a la Comunidad Autónoma para autorizar sistemas integrados de gestión de residuos en virtud de acuerdos voluntarios, señalando la obligación de que “las actividades de la gestión de los residuos se ejecuten con arreglo a los planes de residuos aprobados por las administraciones públicas competentes” (art. 16), planificación que persigue la coordinación entre las diferentes Administraciones públicas con competencias en este ámbito.</w:t>
      </w:r>
    </w:p>
    <w:p w:rsidR="0033382B" w:rsidRDefault="0033382B" w:rsidP="0033382B">
      <w:pPr>
        <w:pStyle w:val="TextoNormal"/>
      </w:pPr>
    </w:p>
    <w:p w:rsidR="0033382B" w:rsidRDefault="0033382B" w:rsidP="0033382B">
      <w:pPr>
        <w:pStyle w:val="TextoNormal"/>
      </w:pPr>
      <w:r>
        <w:t>En consecuencia, la Comunidad Autónoma está legitimada para diseñar políticas ambientales, en concreto, en relación con la recogida de residuos sólidos urbanos. El establecimiento de sistemas integrados de gestión de residuos, como es la gestión a través de Sogama, S.A., habrá de hacerse mediante acuerdos voluntarios con las demás Administraciones implicadas, esto es, con los entes locales, a quienes se atribuye competencia en esta materia, en los términos del art. 25 de la Ley de bases de régimen local y de la propia Ley autonómica mencionada. Por tanto la aplicación de este sistema a los distintos municipios es voluntaria para cada uno de ellos, y que se formaliza mediante un negocio jurídico entre los municipios que se adhieren al sistema y Sogama, pudiendo los primeros desistir del negocio jurídico —tras la entrada en vigor de la disposición adicional vigesimoprimera—, en el plazo de dos meses, considerándose por el contrario producida la aceptación tácita por los municipios del nuevo canon unitario que establece la citada disposición adicional, si no se ejerce dicha facultad de desistimiento en el mencionado plazo.</w:t>
      </w:r>
    </w:p>
    <w:p w:rsidR="0033382B" w:rsidRDefault="0033382B" w:rsidP="0033382B">
      <w:pPr>
        <w:pStyle w:val="TextoNormal"/>
      </w:pPr>
    </w:p>
    <w:p w:rsidR="0033382B" w:rsidRDefault="0033382B" w:rsidP="0033382B">
      <w:pPr>
        <w:pStyle w:val="TextoNormal"/>
      </w:pPr>
      <w:r>
        <w:t xml:space="preserve">Se rechaza en primer lugar la vulneración del artículo 9.3, por estimar que ninguna arbitrariedad cabe apreciar en el ejercicio de sus funciones por el legislador autonómico; el canon unitario es aplicable a todos los municipios de la Comunidad Autónoma que se adhieran al sistema o que decidan permanecer en el mismo; y la norma responde a una finalidad legítima y racional de procurar la viabilidad económica y sostenibilidad de un sistema institucionalizado de gestión de residuos sólidos urbanos, procurando una gestión adecuada del medio ambiente de la Comunidad gallega. Ninguna extralimitación lleva a cabo el Parlamento gallego en el ejercicio de sus funciones, pues justifica la medida en la propia disposición adicional vigesimoprimera, cuando declara en el apartado 2 cuestionado, que el </w:t>
      </w:r>
      <w:r w:rsidRPr="0033382B">
        <w:rPr>
          <w:i/>
        </w:rPr>
        <w:t>quantum</w:t>
      </w:r>
      <w:r>
        <w:t xml:space="preserve"> del importe de nuevo canon unitario que se fija tiene por finalidad garantizar la sostenibilidad financiera del sistema de acuerdo con el plan de viabilidad presentado por la sociedad pública y en función de los costes totales que genera el tratamiento de los residuos domésticos en el marco del sistema. Se descarta asimismo la vulneración del principio de seguridad jurídica previsto en el art. 9.3 CE, por cuanto la norma proyecta sus efectos hacia el futuro y, en todo caso, sus efectos son aplicables al ayuntamiento únicamente si éste acepta voluntariamente la gestión de los residuos sólidos urbanos en las condiciones señaladas, por lo que el municipio destinatario de la norma puede prever las consecuencias derivadas de la misma y acomodar su conducta en función de dichas consecuencias.</w:t>
      </w:r>
    </w:p>
    <w:p w:rsidR="0033382B" w:rsidRDefault="0033382B" w:rsidP="0033382B">
      <w:pPr>
        <w:pStyle w:val="TextoNormal"/>
      </w:pPr>
    </w:p>
    <w:p w:rsidR="0033382B" w:rsidRDefault="0033382B" w:rsidP="0033382B">
      <w:pPr>
        <w:pStyle w:val="TextoNormal"/>
      </w:pPr>
      <w:r>
        <w:t>El informe pone en duda asimismo que la disposición adicional vigesimoprimera tenga el carácter de ley singular, pues si la aprobación de los presupuestos generales es competencia del Parlamento de Galicia y una de sus partidas es la referida a la explotación y capital de las sociedades mercantiles autonómicas, como lo es Sogama, cae dentro de las competencias del órgano legislativo la aprobación del canon unitario de gestión de residuos sólidos urbanos de la Comunidad Autónoma, uno de los elementos de financiación de dicha sociedad, por lo que no cabe hablar de ley singular. Tal consideración no impide, en opinión de la Fiscal General, que el propio legislador pueda deslegalizar esta materia y establecer que la revisión del referido canon se efectúe a través del procedimiento administrativo que la propia norma contempla. Entiende que la norma legal no sustituye ni prescinde de ningún procedimiento administrativo de fijación de un nuevo canon unitario, por lo que, al no regular un supuesto de hecho cuya normación corresponda a la Administración, no se daría un de los requisitos de la ley singular.</w:t>
      </w:r>
    </w:p>
    <w:p w:rsidR="0033382B" w:rsidRDefault="0033382B" w:rsidP="0033382B">
      <w:pPr>
        <w:pStyle w:val="TextoNormal"/>
      </w:pPr>
    </w:p>
    <w:p w:rsidR="0033382B" w:rsidRDefault="0033382B" w:rsidP="0033382B">
      <w:pPr>
        <w:pStyle w:val="TextoNormal"/>
      </w:pPr>
      <w:r>
        <w:t>En todo caso, aún si se aceptara que estamos ante una ley singular, habría de rechazarse la posible vulneración del art. 24.1 CE, pues, con cita en la doctrina recogida en la STC 203/2013, considera que se respetan los límites previstos para este tipo de leyes; en primer lugar, no hay afectación a la igualdad, pues los destinatarios de la norma, los municipios de la Comunidad Autónoma, tienen un trato idéntico, esto es, se les aplica el mismo canon con independencia del coste real para la prestación del servicio, derivada de la necesidades de cada uno de ellos; en segundo lugar, la disposición adicional justifica el nuevo canon unitario en la sostenibilidad económica del sistema, su viabilidad y la disminución de costes, motivos que no pueden ser sino considerados como lógicos y razonables en la política medioambiental de la Comunidad; en tercer lugar, no puede desconocerse una justificada necesidad y urgencia en la medida de modificación de la cuantía del canon unitario, suficientemente especificada por el legislador autonómico. A ello se añade que la norma no es de destinatario único, sino que afecta a la colectividad de municipios que se integran en el ámbito territorial de la Comunidad Autónoma; además, la adhesión al sistema es voluntaria, y permite a los que ya figuran como adheridos, desistir del contrato, por lo que no puede aceptarse la presunta vulneración del art. 24.1 CE, pues no cabe demandar una tutela judicial cuando previamente se ha aceptado o no se han denunciado una de las condiciones del sistema de gestión de residuos que recibe el ayuntamiento.</w:t>
      </w:r>
    </w:p>
    <w:p w:rsidR="0033382B" w:rsidRDefault="0033382B" w:rsidP="0033382B">
      <w:pPr>
        <w:pStyle w:val="TextoNormal"/>
      </w:pPr>
    </w:p>
    <w:p w:rsidR="0033382B" w:rsidRDefault="0033382B" w:rsidP="0033382B">
      <w:pPr>
        <w:pStyle w:val="TextoNormal"/>
      </w:pPr>
      <w:r>
        <w:t>Tampoco estima el informe que la norma lesione el art. 106 CE por impedir controlar la actividad administrativa, ya que no estamos ante una actividad de la Administración sino ante una norma con rango de ley, respecto de la que no cabe más control que el de constitucionalidad. Debe decaer asimismo la pretendida vulneración del artículo 105, apartados 1 y 3, por prescindir del trámite de audiencia a los interesados y del procedimiento establecido para la revisión del canon, pues ningún procedimiento administrativo estaba previsto para la fijación del nuevo canon unitario de gestión de residuos sólidos urbanos; y que además, el apartado tercero de la norma prevea un mecanismo administrativo para su revisión, no significa que previamente a su fijación por la propia norma, deba seguirse el procedimiento administrativo que regula, pues la norma se proyecta hacia el futuro. Por otra parte, se afirma que al encontrarnos ante un precio público, no es exigible seguir el procedimiento que establece la Ley 6/2003, de tasas, precios y exacciones de la Comunidad de Galicia, como sostiene el órgano judicial que plantea la presente cuestión.</w:t>
      </w:r>
    </w:p>
    <w:p w:rsidR="0033382B" w:rsidRDefault="0033382B" w:rsidP="0033382B">
      <w:pPr>
        <w:pStyle w:val="TextoNormal"/>
      </w:pPr>
    </w:p>
    <w:p w:rsidR="0033382B" w:rsidRDefault="0033382B" w:rsidP="0033382B">
      <w:pPr>
        <w:pStyle w:val="TextoNormal"/>
      </w:pPr>
      <w:r>
        <w:t>Señala asimismo la Fiscal General que no puede prosperar la alegada infracción del derecho a la autonomía local, pues la Comunidad Autónoma de Galicia, en ejercicio de sus competencias ha previsto un sistema institucionalizado de gestión de residuos sólidos urbanos y ha aprobado las medidas necesarias para su viabilidad y sostenibilidad, que ha ofertado a distintos ayuntamientos, quienes pueden o no adherirse al sistema de manera voluntaria, sin que se impida a los municipios que se hubieran adherido con anterioridad a la entrada en vigor de la norma, que puedan desistir de los negocios jurídicos por los que se adhirieron al sistema. Finalmente, se descarta también que la norma pueda vulnerar la legislación básica estatal en materia de contratación pública, por entender que el legislador autonómico tiene competencia para establecer el canon unitario de gestión, sin que su contenido afecte a la citada legislación básica estatal.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1. La presente cuestión de inconstitucionalidad se plantea por el Juzgado de lo Contencioso-Administrativo núm. 1 de Ourense, en relación con el apartado 2 de la disposición adicional vigesimoprimera de la Ley 11/2013, de 26 de diciembre, de presupuestos generales de la Comunidad Autónoma de Galicia para 2014. El precepto cuestionado dispone literalmente lo siguiente:</w:t>
      </w:r>
    </w:p>
    <w:p w:rsidR="0033382B" w:rsidRDefault="0033382B" w:rsidP="0033382B">
      <w:pPr>
        <w:pStyle w:val="TextoNormal"/>
      </w:pPr>
    </w:p>
    <w:p w:rsidR="0033382B" w:rsidRDefault="0033382B" w:rsidP="0033382B">
      <w:pPr>
        <w:pStyle w:val="TextoNormal"/>
      </w:pPr>
      <w:r>
        <w:t>“Dos. A los efectos indicados en el apartado anterior y para garantizar la sostenibilidad financiera del sistema se fija un canon unitario de tratamiento por tonelada, expresado en el artículo 29 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0033382B" w:rsidRDefault="0033382B" w:rsidP="0033382B">
      <w:pPr>
        <w:pStyle w:val="TextoNormal"/>
      </w:pPr>
    </w:p>
    <w:p w:rsidR="0033382B" w:rsidRDefault="0033382B" w:rsidP="0033382B">
      <w:pPr>
        <w:pStyle w:val="TextoNormal"/>
      </w:pPr>
      <w:r>
        <w:t>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0033382B" w:rsidRDefault="0033382B" w:rsidP="0033382B">
      <w:pPr>
        <w:pStyle w:val="TextoNormal"/>
      </w:pPr>
    </w:p>
    <w:p w:rsidR="0033382B" w:rsidRDefault="0033382B" w:rsidP="0033382B">
      <w:pPr>
        <w:pStyle w:val="TextoNormal"/>
      </w:pPr>
      <w:r>
        <w:t>Como se ha expuesto en los antecedentes, el Juzgado considera que este precepto puede ser contrario a los arts. 9.3; 24.1; 103.1; 105; 106; 137; 140 y 149.1.18 CE y al art. 134.2 CE en relación con el art. 53.1 del Estatuto de Autonomía para Galicia (EAG). Por el contrario, la Fiscal General del Estado, en el trámite previsto en el art. 37.1 de la Ley Orgánica del Tribunal Constitucional (LOTC), interesa la inadmisión de la presente cuestión de inconstitucionalidad por considerarla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2</w:t>
      </w:r>
      <w:r>
        <w:t>. Con carácter previo al examen de fondo de la presente cuestión de inconstitucionalidad, resulta pertinente efectuar dos consideraciones preliminares.</w:t>
      </w:r>
    </w:p>
    <w:p w:rsidR="0033382B" w:rsidRDefault="0033382B" w:rsidP="0033382B">
      <w:pPr>
        <w:pStyle w:val="TextoNormal"/>
      </w:pPr>
    </w:p>
    <w:p w:rsidR="0033382B" w:rsidRDefault="0033382B" w:rsidP="0033382B">
      <w:pPr>
        <w:pStyle w:val="TextoNormal"/>
      </w:pPr>
      <w:r>
        <w:t>En primer lugar y en lo que respecta a la correcta realización del trámite de audiencia, debe ponerse de manifiesto que, pese al reproche formal que pudiera derivar del hecho de que dicho trámite se haya cumplimentado por mera remisión a otro Auto anterior, es decir, mediante la incorporación al procedimiento y el traslado a las partes del Auto de 6 de junio de 2015, en el que el órgano judicial planteó cuestión de inconstitucionalidad contra el mismo precepto y por idénticos motivos, ello no ha impedido, sin embargo, el cumplimiento del objetivo que preside la sustanciación de trámite de audiencia, pues las partes han podido identificar la duda de constitucionalidad planteada, situarla en sus exactos términos constitucionales y pronunciarse sobre ella, tal y como se desprende con claridad de las alegaciones realizadas. Por lo tanto, y siguiendo lo señalado en la STC 183/2013, FJ 2, aunque la remisión no sea la forma más adecuada de proceder, los defectos detectados en el trámite de audiencia no son determinantes de la inadmisión de la cuestión, en la medida en que, pese a los mismos, es posible apreciar que se ha cumplido la finalidad que a dicho trámite atribuye el art. 35.2 LOTC.</w:t>
      </w:r>
    </w:p>
    <w:p w:rsidR="0033382B" w:rsidRDefault="0033382B" w:rsidP="0033382B">
      <w:pPr>
        <w:pStyle w:val="TextoNormal"/>
      </w:pPr>
    </w:p>
    <w:p w:rsidR="0033382B" w:rsidRDefault="0033382B" w:rsidP="0033382B">
      <w:pPr>
        <w:pStyle w:val="TextoNormal"/>
      </w:pPr>
      <w:r>
        <w:t xml:space="preserve">En segundo término, y en cuanto al objeto de la presente cuestión de inconstitucionalidad, éste ha de delimitarse de conformidad con lo ya señalado en el ATC 84/2016, FJ 2 [cuestión de inconstitucionalidad 4184-2015], debiendo, en consecuencia, ceñirse la cuestión planteada únicamente al párrafo segundo del apartado 2 de la disposición adicional vigésimo primera de la Ley 11/2013, de 26 de diciembre, de presupuestos generales de la Comunidad Autónoma de Galicia para 2014, que es el que afecta a los contratos ya celebrados y el que, por tanto, resulta determinante para resolver la controversia planteada en el proceso </w:t>
      </w:r>
      <w:r w:rsidRPr="0033382B">
        <w:rPr>
          <w:i/>
        </w:rPr>
        <w:t>a quo</w:t>
      </w:r>
      <w:r>
        <w:t>, en donde lo que se suscita es, precisamente, si el nuevo canon determina la modificación del precio establecido en el contrato celebrado entre Sogama, S.A., y el ayuntamiento demandado, para el tratamiento de los residuos en el municipio. El párrafo primero del apartado 2, que fija el canon unitario de tratamiento por tonelada y su forma de actualización en el futuro, al ser una regulación prevista para los nuevos contratos que vayan a suscribirse, no es aplicable al caso, lo que conlleva de acuerdo con lo previsto en el art. 35.1 LOTC, que dicho apartado no pueda ser enjuiciado en este proceso constitucional.</w:t>
      </w:r>
    </w:p>
    <w:p w:rsidR="0033382B" w:rsidRDefault="0033382B" w:rsidP="0033382B">
      <w:pPr>
        <w:pStyle w:val="TextoNormal"/>
      </w:pPr>
    </w:p>
    <w:p w:rsidR="0033382B" w:rsidRDefault="0033382B" w:rsidP="0033382B">
      <w:pPr>
        <w:pStyle w:val="TextoNormal"/>
      </w:pPr>
      <w:r w:rsidRPr="0033382B">
        <w:rPr>
          <w:rStyle w:val="NumeroAFNegritaCaracter"/>
        </w:rPr>
        <w:t>3</w:t>
      </w:r>
      <w:r>
        <w:t>. En lo que respecta al examen de fondo, las dudas de constitucionalidad que han llevado al Juzgado promotor a plantear la presente cuestión de constitucionalidad, son idénticas a las que determinaron el planteamiento por este mismo órgano judicial de la cuestión de inconstitucionalidad 4184-2015, que ha dado lugar al ATC 84/2016, de 26 de abril, en el que se ha acordado la inadmisión a trámite. Los argumentos esgrimidos en el citado Auto son pues directamente trasladables al supuesto que ahora se examina, siendo suficiente la remisión al mismo, sin perjuicio de efectuar una exposición sintética de lo allí acordado.</w:t>
      </w:r>
    </w:p>
    <w:p w:rsidR="0033382B" w:rsidRDefault="0033382B" w:rsidP="0033382B">
      <w:pPr>
        <w:pStyle w:val="TextoNormal"/>
      </w:pPr>
    </w:p>
    <w:p w:rsidR="0033382B" w:rsidRDefault="0033382B" w:rsidP="0033382B">
      <w:pPr>
        <w:pStyle w:val="TextoNormal"/>
      </w:pPr>
      <w:r>
        <w:t>El párrafo segundo del apartado 2 de la disposición adicional vigesimoprimera de la Ley 11/2013, de 26 de diciembre, de presupuestos generales de la Comunidad Autónoma de Galicia para 2014, dispone que el canon unitario de tratamiento de residuos previsto en su párrafo primero, resulta de aplicación a los contratos ya suscritos entre Sogama, S.A., y las entidades locales, salvo que en el plazo de dos meses desde la entrada en vigor de la norma, las entidades locales desistan del negocio jurídico suscrito. Esta norma se ha dictado, por tanto, en atención a un supuesto de hecho concreto y singular que agota su contenido y eficacia en la adopción y ejecución de la medida tomada por el legislador ante ese supuesto de hecho —modificar el precio fijado en los referidos contratos— por lo que, dado su objeto, puede afirmarse que, según la doctrina de este Tribunal, es una ley singular. Y aplicando el triple canon de constitucionalidad previsto para las leyes singulares, se concluye en el fundamento jurídico 4 del ATC 84/2016 que la norma enjuiciada respeta las exigencias que impone jurisprudencia constitucional a este tipo de leyes.</w:t>
      </w:r>
    </w:p>
    <w:p w:rsidR="0033382B" w:rsidRDefault="0033382B" w:rsidP="0033382B">
      <w:pPr>
        <w:pStyle w:val="TextoNormal"/>
      </w:pPr>
    </w:p>
    <w:p w:rsidR="0033382B" w:rsidRDefault="0033382B" w:rsidP="0033382B">
      <w:pPr>
        <w:pStyle w:val="TextoNormal"/>
      </w:pPr>
      <w:r>
        <w:t>Así, en primer lugar esta norma “responde a una situación excepcional, pues según se establece en el párrafo primero del apartado dos de esta disposición adicional, se dicta con el fin de garantizar la sostenibilidad financiera del sistema, por lo que cumpliría la primera de las exigencias establecidas por este Tribunal”.</w:t>
      </w:r>
    </w:p>
    <w:p w:rsidR="0033382B" w:rsidRDefault="0033382B" w:rsidP="0033382B">
      <w:pPr>
        <w:pStyle w:val="TextoNormal"/>
      </w:pPr>
    </w:p>
    <w:p w:rsidR="0033382B" w:rsidRDefault="0033382B" w:rsidP="0033382B">
      <w:pPr>
        <w:pStyle w:val="TextoNormal"/>
      </w:pPr>
      <w:r>
        <w:t>Se trata además, de una medida que no hubiera podido ser adoptada por la Administración, pues “en este caso la singularidad de la norma radica en que el canon establecido en la misma resulta de aplicación a los negocios jurídicos ya celebrados, y la Administración carece de potestades para alterar el régimen jurídico de los contratos suscritos por terceros y modificar el precio fijado en los mismos. Esta decisión solo puede ser adoptada por ley, pues solo una ley especial en la que se prevea esta consecuencia, puede excepcionar la aplicación la ley general que establece la obligatoriedad de los contratos desde que se perfeccionan (art. 1258 del Código civil: CC).</w:t>
      </w:r>
    </w:p>
    <w:p w:rsidR="0033382B" w:rsidRDefault="0033382B" w:rsidP="0033382B">
      <w:pPr>
        <w:pStyle w:val="TextoNormal"/>
      </w:pPr>
    </w:p>
    <w:p w:rsidR="0033382B" w:rsidRDefault="0033382B" w:rsidP="0033382B">
      <w:pPr>
        <w:pStyle w:val="TextoNormal"/>
      </w:pPr>
      <w:r>
        <w:t>La Administración autonómica, en cuanto promotora del sistema institucional de gestión de los residuos domésticos carece de potestades para incidir en los contratos celebrados por terceros, y por ello la decisión de modificar el precio de los contratos suscritos por la sociedad pública autonómica Sogama, S.A., con las entidades locales para la gestión de los residuos urbanos municipales no puede adoptarla esta Administración. El único modo de excepcionar la regla general que establece la vinculatoriedad de los contratos en los términos que han sido pactados es a través de una norma que tenga rango suficiente para poder considerarla de preferente aplicación frente a la norma general que establece tal consecuencia. Como la norma que obliga a cumplir los contratos ‘a tenor de sus cláusulas’ tiene rango legal (art. 209 del texto refundido de la Ley de contratos del Estado o el art. 1258 CC) es preciso, por tanto, otra ley que establezca una norma especial que impida la aplicación de la ley general. Resulta por tanto, que esta norma no modifica las normas generales que regulan la contratación pública, sino que, únicamente, contiene una medida singular –la modificación del precio de determinados contratos- que solo puede adoptar el legislador.</w:t>
      </w:r>
    </w:p>
    <w:p w:rsidR="0033382B" w:rsidRDefault="0033382B" w:rsidP="0033382B">
      <w:pPr>
        <w:pStyle w:val="TextoNormal"/>
      </w:pPr>
    </w:p>
    <w:p w:rsidR="0033382B" w:rsidRDefault="0033382B" w:rsidP="0033382B">
      <w:pPr>
        <w:pStyle w:val="TextoNormal"/>
      </w:pPr>
      <w:r>
        <w:t>Por ello, ha de concluirse que la medida establecida no podía adoptarse a través de los instrumentos normales de que dispone la Administración por lo se cumple el segundo de los requisitos establecidos en doctrina constitucional (SSTC 203/2013, de 5 de septiembre, FJ 4; y 129/2013, de 4 de junio, FJ 4)”.</w:t>
      </w:r>
    </w:p>
    <w:p w:rsidR="0033382B" w:rsidRDefault="0033382B" w:rsidP="0033382B">
      <w:pPr>
        <w:pStyle w:val="TextoNormal"/>
      </w:pPr>
    </w:p>
    <w:p w:rsidR="0033382B" w:rsidRDefault="0033382B" w:rsidP="0033382B">
      <w:pPr>
        <w:pStyle w:val="TextoNormal"/>
      </w:pPr>
      <w:r>
        <w:t>Se respeta también el tercer requisito que ha venido exigiendo este Tribunal para que una ley singular sea conforme con la Constitución: que no condicione o impida el ejercicio de derechos fundamentales, ya que esta materia está reservada a las leyes generales. En el presente supuesto, “el objeto de la ley cuestionada es modificar el precio establecido en determinados contratos, por lo que no regula ninguna medida que, en sí misma, impida o condicione el ejercicio de derechos fundamentales; cuestión distinta es que, dado el rango de esta norma, tal medida no pueda ser objeto de impugnación ante los Tribunales, pero este es un efecto que se deriva, no del objeto regulado, sino del rango de la norma que lo regula y en el caso examinado carece de efectos relevantes desde el punto de vista de la tutela de los derechos e intereses legítimos, habida cuenta de la posibilidad de impugnar los actos de aplicación de la norma que aquí se examina y de la facultad de los tribunales ordinarios ante los que se formulen estas impugnaciones de plantear, en su caso, cuestión de inconstitucionalidad ante este Tribunal, como ha ocurrido en el supuesto objeto de enjuiciamiento”.</w:t>
      </w:r>
    </w:p>
    <w:p w:rsidR="0033382B" w:rsidRDefault="0033382B" w:rsidP="0033382B">
      <w:pPr>
        <w:pStyle w:val="TextoNormal"/>
      </w:pPr>
    </w:p>
    <w:p w:rsidR="0033382B" w:rsidRDefault="0033382B" w:rsidP="0033382B">
      <w:pPr>
        <w:pStyle w:val="TextoNormal"/>
      </w:pPr>
      <w:r>
        <w:t>Finalmente, la norma que se examina, supera asimismo el canon de “razonabilidad, proporcionalidad y adecuación”, que exige la jurisprudencia constitucional a las leyes singulares, dado que es razonable y tiene una justificación objetiva, en cuanto se ha adoptado para garantizar la sostenibilidad financiera del sistema; es adecuada para conseguir dicho fin, en cuanto el incremento del precio fijado en el contrato contribuye a alcanzar este objetivo; y es proporcionada ya que, desde una perspectiva general, las ventajas que conlleva su imposición —garantizar la viabilidad económica de la empresa pública que gestiona el sistema institucional de residuos domésticos— son mayores que los perjuicios que pueda ocasionar a los ayuntamientos la elevación del precio del contrato, teniendo en cuenta además, que la ley otorga la posibilidad a las entidades locales que no estén de acuerdo con el nuevo precio legalmente previsto, de desistir del contrato durante el plazo de dos meses desde su entrada en vigor; y que si la empresa quebrara tampoco podría prestar el servicio, por lo que, si se diera tal circunstancia, las entidades locales tampoco podrían obtener su prestación. Por todo ello, se estima que estamos ante una ley singular que no puede entenderse lesiva de los arts. 9.3, 24.1 103 y 106 CE.</w:t>
      </w:r>
    </w:p>
    <w:p w:rsidR="0033382B" w:rsidRDefault="0033382B" w:rsidP="0033382B">
      <w:pPr>
        <w:pStyle w:val="TextoNormal"/>
      </w:pPr>
    </w:p>
    <w:p w:rsidR="0033382B" w:rsidRDefault="0033382B" w:rsidP="0033382B">
      <w:pPr>
        <w:pStyle w:val="TextoNormal"/>
      </w:pPr>
      <w:r w:rsidRPr="0033382B">
        <w:rPr>
          <w:rStyle w:val="NumeroAFNegritaCaracter"/>
        </w:rPr>
        <w:t>4</w:t>
      </w:r>
      <w:r>
        <w:t>. No puede apreciarse tampoco que la norma cuestionada sea contraria al art. 105.a) y c) CE, pues al no existir en la Constitución la denominada reserva reglamentaria, ninguna vulneración puede conllevar que una determinada materia sea regulada por una norma con rango de ley; y la decisión adoptada por el legislador respeta las exigencias que este Tribunal ha establecido respecto de las leyes singulares, por lo que los afectados por esta resolución no pueden aducir ningún derecho a que la misma se hubiese adoptado a través de un procedimiento administrativo. Tampoco puede prosperar la alegada infracción del derecho a la autonomía local (arts. 137 y 140 CE), pues corresponde a las propias entidades locales afectadas la decisión de desistir del contrato suscrito o adherirse al sistema institucional de gestión de residuos que la norma promueve, y el plazo de dos meses previsto para la adopción de esta decisión se reputa suficiente para que la Administración local que ha suscrito el contrato pueda analizar si le conviene desistir del mismo o aceptar la modificación del precio legalmente establecida (ATC 84/2016, FJ 5).</w:t>
      </w:r>
    </w:p>
    <w:p w:rsidR="0033382B" w:rsidRDefault="0033382B" w:rsidP="0033382B">
      <w:pPr>
        <w:pStyle w:val="TextoNormal"/>
      </w:pPr>
    </w:p>
    <w:p w:rsidR="0033382B" w:rsidRDefault="0033382B" w:rsidP="0033382B">
      <w:pPr>
        <w:pStyle w:val="TextoNormal"/>
      </w:pPr>
      <w:r>
        <w:t>Se rechaza también la vulneración de la normativa básica estatal en materia de contratos administrativos (art. 149.1.18 CE), por cuanto la norma “no regula la revisión de precios de los contratos públicos, sino que, como se ha expuesto, en atención a una situación excepcional, establece una medida singular con el fin de garantizar la sostenibilidad financiera del sistema institucional de gestión de residuos promovido por la Administración autonómica”, es decir, viene a “establecer una medida que dé respuesta a la situación excepcional que la fundamenta, sin alterar ni incidir en la legislación básica que rige la contratación pública (ATC 84/2016 FJ 6)”.</w:t>
      </w:r>
    </w:p>
    <w:p w:rsidR="0033382B" w:rsidRDefault="0033382B" w:rsidP="0033382B">
      <w:pPr>
        <w:pStyle w:val="TextoNormal"/>
      </w:pPr>
    </w:p>
    <w:p w:rsidR="0033382B" w:rsidRDefault="0033382B" w:rsidP="0033382B">
      <w:pPr>
        <w:pStyle w:val="TextoNormal"/>
      </w:pPr>
      <w:r>
        <w:t>Finalmente, y respecto de la alegada vulneración del art. 134.2 CE en relación con el art. 53.1 EAG, se concluye que la determinación de los ingresos de Sogama, S.A., a través del establecimiento del canon al que se refiere el apartado dos de la disposición adicional y la expresa previsión de la aplicación de este canon a los negocios jurídicos ya suscritos, al incidir en la financiación de la referida empresa pública autonómica, guarda relación directa con lo dispuesto en el art. 1 g) de la Ley 11/2013, de presupuestos generales de la Comunidad Autónoma de Galicia para el año 2014, lo que permite excluir también la vulneración alegada (ATC 84/2016, FJ 7).</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diez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29" w:name="AUTO_2016_102"/>
      <w:r>
        <w:t>AUTO 102/2016, de 10 de mayo de 2016</w:t>
      </w:r>
    </w:p>
    <w:bookmarkEnd w:id="229"/>
    <w:p w:rsidR="0033382B" w:rsidRDefault="0033382B" w:rsidP="0033382B">
      <w:pPr>
        <w:pStyle w:val="TtuloResolucin"/>
      </w:pPr>
      <w:r>
        <w:t>Pleno</w:t>
      </w:r>
    </w:p>
    <w:p w:rsidR="0033382B" w:rsidRDefault="0033382B" w:rsidP="0033382B">
      <w:pPr>
        <w:pStyle w:val="TextoNormalCentrado"/>
      </w:pPr>
      <w:r>
        <w:t>ECLI:ES:TC:2016:102A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5152-2015, planteada por el Juzgado de lo Contencioso-Administrativo núm. 1 de Ourense en relación con el apartado 2 de la disposición adicional vigesimoprimera de la Ley 11/2013, de 26 de diciembre, de presupuestos generales de la Comunidad Autónoma de Galicia para el año 2014.</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registrado en este Tribunal el 17 de septiembre de 2015, el Juzgado de lo Contencioso-Administrativo núm. 1 de Orense remitió testimonio del Auto de 27 de julio de 2015 por el que se acordó plantear cuestión de inconstitucionalidad en relación con el apartado 2 de la disposición adicional vigesimoprimera de la Ley 11/2013, de 26 de diciembre, de presupuestos generales de la Comunidad Autónoma de Galicia para 2014. Se considera que el apartado impugnado de la citada disposición adicional puede ser contrario a los arts. 9.3, 24.1, 103.1, 105, 106, 137, 140 y 149.1.18 CE y del art. 134.2 CE en relación con el art.53.1 del Estatuto de Autonomía para Galicia (EAG).</w:t>
      </w:r>
    </w:p>
    <w:p w:rsidR="0033382B" w:rsidRDefault="0033382B" w:rsidP="0033382B">
      <w:pPr>
        <w:pStyle w:val="TextoNormal"/>
      </w:pPr>
    </w:p>
    <w:p w:rsidR="0033382B" w:rsidRDefault="0033382B" w:rsidP="0033382B">
      <w:pPr>
        <w:pStyle w:val="TextoNormal"/>
      </w:pPr>
      <w:r>
        <w:t>La disposición adicional vigesimoprimera de la Ley 11/2013, de 26 de diciembre, de presupuestos generales de la Comunidad Autónoma de Galicia para 2014 regula la garantía de sostenibilidad financiera del sistema promovido por la Administración autonómica para la gestión institucional de los residuos domésticos y, en su apartado dos, que es el ahora cuestionado, establece:</w:t>
      </w:r>
    </w:p>
    <w:p w:rsidR="0033382B" w:rsidRDefault="0033382B" w:rsidP="0033382B">
      <w:pPr>
        <w:pStyle w:val="TextoNormal"/>
      </w:pPr>
    </w:p>
    <w:p w:rsidR="0033382B" w:rsidRDefault="0033382B" w:rsidP="0033382B">
      <w:pPr>
        <w:pStyle w:val="TextoNormal"/>
      </w:pPr>
      <w:r>
        <w:t>“Dos. A los efectos indicados en el apartado anterior y para garantizar la sostenibilidad financiera del sistema se fija un canon unitario de tratamiento por tonelada, expresado en el artículo 29 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0033382B" w:rsidRDefault="0033382B" w:rsidP="0033382B">
      <w:pPr>
        <w:pStyle w:val="TextoNormal"/>
      </w:pPr>
    </w:p>
    <w:p w:rsidR="0033382B" w:rsidRDefault="0033382B" w:rsidP="0033382B">
      <w:pPr>
        <w:pStyle w:val="TextoNormal"/>
      </w:pPr>
      <w:r>
        <w:t>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del planteamiento de la presente cuestión de inconstitucionalidad son, sucintamente expuestos, los siguientes:</w:t>
      </w:r>
    </w:p>
    <w:p w:rsidR="0033382B" w:rsidRDefault="0033382B" w:rsidP="0033382B">
      <w:pPr>
        <w:pStyle w:val="TextoNormal"/>
      </w:pPr>
    </w:p>
    <w:p w:rsidR="0033382B" w:rsidRDefault="0033382B" w:rsidP="0033382B">
      <w:pPr>
        <w:pStyle w:val="TextoNormal"/>
      </w:pPr>
      <w:r>
        <w:t>a) La Sociedade Galega do Medio Ambiente, S.A. (Sogama) interpuso recurso contencioso-administrativo contra sendas resoluciones del Ayuntamiento de Piñor de fecha 22 de septiembre de 2014, que desestimaban, a su vez, sendos recursos de reposición. A través de estos recursos se impugnaban las reclamaciones de pago de unas facturas por importe total de 3.161,01 € por la prestación del servicio de gestión de los residuos sólidos urbanos del término municipal entre los meses de marzo y abril de 2014.</w:t>
      </w:r>
    </w:p>
    <w:p w:rsidR="0033382B" w:rsidRDefault="0033382B" w:rsidP="0033382B">
      <w:pPr>
        <w:pStyle w:val="TextoNormal"/>
      </w:pPr>
    </w:p>
    <w:p w:rsidR="0033382B" w:rsidRDefault="0033382B" w:rsidP="0033382B">
      <w:pPr>
        <w:pStyle w:val="TextoNormal"/>
      </w:pPr>
      <w:r>
        <w:t>En el suplico de la demanda se solicitó que la Sentencia, además de anular los actos impugnados, declarase que “el precio del contrato suscrito entre Sogama y el Ayuntamiento de Piñor, con fecha de 21 de diciembre de 2014, asciende al a la cantidad de setenta y seis euros con sesenta y cuatro céntimos (76,64 €) más el IVA correspondiente a cada tonelada de residuos, de acuerdo con lo dispuesto en el apartado segundo de la Disposición Adicional Vigésimo primera de la Ley 11/2013 2014”.</w:t>
      </w:r>
    </w:p>
    <w:p w:rsidR="0033382B" w:rsidRDefault="0033382B" w:rsidP="0033382B">
      <w:pPr>
        <w:pStyle w:val="TextoNormal"/>
      </w:pPr>
    </w:p>
    <w:p w:rsidR="0033382B" w:rsidRDefault="0033382B" w:rsidP="0033382B">
      <w:pPr>
        <w:pStyle w:val="TextoNormal"/>
      </w:pPr>
      <w:r>
        <w:t>b) El día 7 de abril de 2015 se celebró vista oral del proceso. En ella el Ayuntamiento de Piñor se opuso a la demanda y solicitó la desestimación íntegra del recurso, con imposición de costas a la demandante, por sostener su pretensión en la aplicación de una disposición autonómica que consideraba inconstitucional. Se recibió el proceso a prueba, practicándose documental y se realizó trámite de conclusiones, declarándose concluso para sentencia.</w:t>
      </w:r>
    </w:p>
    <w:p w:rsidR="0033382B" w:rsidRDefault="0033382B" w:rsidP="0033382B">
      <w:pPr>
        <w:pStyle w:val="TextoNormal"/>
      </w:pPr>
    </w:p>
    <w:p w:rsidR="0033382B" w:rsidRDefault="0033382B" w:rsidP="0033382B">
      <w:pPr>
        <w:pStyle w:val="TextoNormal"/>
      </w:pPr>
      <w:r>
        <w:t>c) Sin embargo, antes del pronunciamiento, por medio de providencia de 14 de abril de 2015 se dio audiencia a las partes por plazo común de diez días sobre la pertinencia de plantear cuestión de inconstitucionalidad al considerar que el apartado 2 de la disposición adicional vigesimoprimera de la Ley 11/2013 podía ser contrario a los arts. 9.3, 24.1, 103.1, 106, 134, 137, 140 y 149.1.18 CE, así como a la legislación básica del Estado establecida en el Real Decreto Legislativo 3/2011, de 14 de noviembre, aprobatorio del texto refundido de la Ley de contratos del sector público y en la disposición adicional octogésima octava de la Ley 22/2013, de 23 de diciembre, de presupuestos generales del Estado para 2014.</w:t>
      </w:r>
    </w:p>
    <w:p w:rsidR="0033382B" w:rsidRDefault="0033382B" w:rsidP="0033382B">
      <w:pPr>
        <w:pStyle w:val="TextoNormal"/>
      </w:pPr>
    </w:p>
    <w:p w:rsidR="0033382B" w:rsidRDefault="0033382B" w:rsidP="0033382B">
      <w:pPr>
        <w:pStyle w:val="TextoNormal"/>
      </w:pPr>
      <w:r>
        <w:t>El día 26 de mayo el Juzgado concedió nuevo trámite de audiencia a las partes y al Ministerio Fiscal por plazo común de diez días al considerar que la norma aplicable al caso, además de vulnerar los preceptos constitucionales a los que se refería su anterior providencia de 14 de abril, podía ser contraria a los arts. 105 a) y 105 c) CE, al haber privado a las Administraciones locales afectadas de su derecho a participar y presentar alegaciones en la toma de una decisión de contenido propiamente administrativo que les afectaba directamente.</w:t>
      </w:r>
    </w:p>
    <w:p w:rsidR="0033382B" w:rsidRDefault="0033382B" w:rsidP="0033382B">
      <w:pPr>
        <w:pStyle w:val="TextoNormal"/>
      </w:pPr>
    </w:p>
    <w:p w:rsidR="0033382B" w:rsidRDefault="0033382B" w:rsidP="0033382B">
      <w:pPr>
        <w:pStyle w:val="TextoNormal"/>
      </w:pPr>
      <w:r>
        <w:t>El Ayuntamiento de Piñor formuló sus alegaciones en las que se mostró conforme con el planteamiento de la cuestión de inconstitucionalidad. El Ministerio Fiscal presentó sus escritos de alegaciones en los que ponía de manifiesto que no se oponía al planteamiento de la cuestión. Por el contrario, Sogama, S.A., adujo que el apartado segundo de la disposición adicional vigesimoprimera de la Ley 11/2013 no contradecía la Constitución y por ello solicitó al órgano judicial que no plantease la cuestión de inconstitucionalidad.</w:t>
      </w:r>
    </w:p>
    <w:p w:rsidR="0033382B" w:rsidRDefault="0033382B" w:rsidP="0033382B">
      <w:pPr>
        <w:pStyle w:val="TextoNormal"/>
      </w:pPr>
    </w:p>
    <w:p w:rsidR="0033382B" w:rsidRDefault="0033382B" w:rsidP="0033382B">
      <w:pPr>
        <w:pStyle w:val="TextoNormal"/>
      </w:pPr>
      <w:r>
        <w:t>d) Finalmente, el Juzgado de lo Contencioso-Administrativo núm. 1 de Orense, por Auto de 27 de julio de 2015, decidió plantear cuestión de inconstitucionalidad en relación con el apartado dos de la disposición adicional vigesimoprimera de la Ley 11/2013, de 26 de diciembre, de presupuestos generales de la Comunidad Autónoma de Galicia para 2014.</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tras exponer los hechos de los que trae causa el proceso, pone de manifiesto que en este caso concurren todas las circunstancias para poder promover cuestión de inconstitucionalidad ante este Tribunal, ya que la norma de cuya constitucionalidad se duda tiene rango legal (es el apartado 2 de la disposición adicional vigesimoprimera de la Ley 11/2013, de 26 de diciembre, de presupuestos generales de la Comunidad Autónoma de Galicia para 2014); se plantea una vez que el proceso ha quedado concluso y se encuentra únicamente pendiente de dictar sentencia; además, según refiere, la decisión del proceso depende de la validez de la norma legal cuestionada (el pago que se reclama en vía contencioso-administrativa se fundamenta en la aplicación de la misma; pago que, el ayuntamiento demandado considera inconstitucional) y se ha acordado suscitarla después de haber dado trámite de audiencia a las partes sobre la pertinencia de su planteamiento.</w:t>
      </w:r>
    </w:p>
    <w:p w:rsidR="0033382B" w:rsidRDefault="0033382B" w:rsidP="0033382B">
      <w:pPr>
        <w:pStyle w:val="TextoNormal"/>
      </w:pPr>
    </w:p>
    <w:p w:rsidR="0033382B" w:rsidRDefault="0033382B" w:rsidP="0033382B">
      <w:pPr>
        <w:pStyle w:val="TextoNormal"/>
      </w:pPr>
      <w:r>
        <w:t>Después de fundamentar que se cumplen los requisitos procesales para plantear la cuestión de inconstitucionalidad, el Juzgado expone las razones por las que considera que la norma impugnada puede ser contraria a la Constitución. Para ello efectúa, con carácter preliminar, una serie de consideraciones en las que explica que, conforme a lo dispuesto en los arts. 25.2 l) y 86.3 de la Ley reguladora de las bases de régimen local, corresponde al municipio la competencia sobre el servicio público de gestión de los residuos sólidos urbanos, incluyendo la recogida y el tratamiento de los mismos; competencia que también le reconoce el art. 12. 5 a) de la Ley estatal 22/2011, de 28 de julio, de residuos y suelos contaminados. También se señala que, en la Comunidad Autónoma de Galicia, la Ley 10/1997, de 22 de agosto, de residuos urbanos, establece la posibilidad de que las operaciones de gestión de residuos se lleven a cabo a través de la empresa pública Sociedade Galega do Medio Ambiente, S.A. (Sogama), creada por Decreto de 11 de abril de 1992 y que muchos municipios gallegos han optado por esta posibilidad. Uno de estos municipios ha sido la corporación demandada en el proceso, a la que se le reclama el pago del precio establecido en el contrato que celebró con la referida empresa pública por la gestión de los residuos.</w:t>
      </w:r>
    </w:p>
    <w:p w:rsidR="0033382B" w:rsidRDefault="0033382B" w:rsidP="0033382B">
      <w:pPr>
        <w:pStyle w:val="TextoNormal"/>
      </w:pPr>
    </w:p>
    <w:p w:rsidR="0033382B" w:rsidRDefault="0033382B" w:rsidP="0033382B">
      <w:pPr>
        <w:pStyle w:val="TextoNormal"/>
      </w:pPr>
      <w:r>
        <w:t>En este contrato se dispuso que el precio que se debía pagar por la prestación de servicios sería el resultado de multiplicar el número de toneladas de residuos urbanos realmente introducidas en las instalaciones, que procediera de la recogida ordinaria de ese ayuntamiento, al precio de 47,09 €/tonelada más IVA (precio del año 2006). Junto a ello se estableció también que el referido precio se revisaría y actualizaría anualmente el día uno de enero de cada año, según las variaciones experimentadas por el índice de precios al consumo en los doce meses anteriores.</w:t>
      </w:r>
    </w:p>
    <w:p w:rsidR="0033382B" w:rsidRDefault="0033382B" w:rsidP="0033382B">
      <w:pPr>
        <w:pStyle w:val="TextoNormal"/>
      </w:pPr>
    </w:p>
    <w:p w:rsidR="0033382B" w:rsidRDefault="0033382B" w:rsidP="0033382B">
      <w:pPr>
        <w:pStyle w:val="TextoNormal"/>
      </w:pPr>
      <w:r>
        <w:t>El órgano judicial considera que el apartado de la disposición adicional cuestionado, al modificar el precio fijado en ese contrato elevándolo a la cantidad de 74,64 €/tonelada más IVA (el precio del contrato en el año 2013 era de 55,91 €/tonelada, por lo que el precepto cuestionado incrementa el precio del contrato en un 33,5 por 100), está adoptando una decisión materialmente administrativa. Por ello, considera que la referida norma, al excepcionar el régimen general de la fijación de precios privados que ha de ser establecido por la Administración (art. 51 de la Ley 6/2003) y determinar ese precio a través de una ley “eleva el rango de una decisión puramente administrativa para hurtar de su control a la jurisdicción contencioso-administrativa”, lo que, a su juicio, puede ser contrario a los arts. 9.3, 24.1, 103.1 y 106.1 CE.</w:t>
      </w:r>
    </w:p>
    <w:p w:rsidR="0033382B" w:rsidRDefault="0033382B" w:rsidP="0033382B">
      <w:pPr>
        <w:pStyle w:val="TextoNormal"/>
      </w:pPr>
    </w:p>
    <w:p w:rsidR="0033382B" w:rsidRDefault="0033382B" w:rsidP="0033382B">
      <w:pPr>
        <w:pStyle w:val="TextoNormal"/>
      </w:pPr>
      <w:r>
        <w:t>El Juzgado fundamenta esta conclusión en que la exposición de motivos no explica que pueda haber razones excepcionales que justifiquen este precepto “singular”. Sostiene, asimismo, que, aunque esas razones fueran el vencimiento de la deuda de Sogama con la matriz de Gas Natural y con la propia Junta por un préstamo contraído tiempo atrás, o la minoración de beneficios de Sogama por la reducción de primas al régimen especial eléctrico, que fueron los motivos alegados en el debate parlamentario, no existiría una urgencia tal que impidiese tramitar el correspondiente procedimiento administrativo, en el que se hubiera de discernir y acreditar tal justificación, con la correspondiente audiencia a los afectados y posibilidad de control jurisdicción. De ahí que el órgano judicial considere que la norma cuestionada pueda ser contraria al principio de interdicción de la arbitrariedad y seguridad jurídica que consagra el art. 9.3 CE, al derecho a la tutela judicial efectiva (art. 24.1 CE) y a los arts. 103.1 y 106.1 CE, que garantizan el pleno sometimiento de la actividad administrativa a la ley y al derecho, así como al control judicial de la misma. Entiende el Juzgado que esta conclusión encuentra apoyo en la doctrina establecida en las SSTC 129/2013 y 203/2013.</w:t>
      </w:r>
    </w:p>
    <w:p w:rsidR="0033382B" w:rsidRDefault="0033382B" w:rsidP="0033382B">
      <w:pPr>
        <w:pStyle w:val="TextoNormal"/>
      </w:pPr>
    </w:p>
    <w:p w:rsidR="0033382B" w:rsidRDefault="0033382B" w:rsidP="0033382B">
      <w:pPr>
        <w:pStyle w:val="TextoNormal"/>
      </w:pPr>
      <w:r>
        <w:t>Se considera, también, que la norma cuestionada es contraria a los arts. 105, 137 y 140 CE. Sostiene el Juzgado que la decisión adoptada en la Ley es materialmente administrativa y que lo que, en ella se dispone, afecta directamente a los intereses de las Administraciones locales de Galicia. Por ello, considera que, al haberse adoptado en virtud de una norma con rango de ley, ha privado a las Administraciones interesadas de participar en su procedimiento de elaboración, lo que conlleva, a su juicio, una vulneración del art. 105 a) y c) CE y del principio de autonomía local que consagran los arts. 137 y 140 CE.</w:t>
      </w:r>
    </w:p>
    <w:p w:rsidR="0033382B" w:rsidRDefault="0033382B" w:rsidP="0033382B">
      <w:pPr>
        <w:pStyle w:val="TextoNormal"/>
      </w:pPr>
    </w:p>
    <w:p w:rsidR="0033382B" w:rsidRDefault="0033382B" w:rsidP="0033382B">
      <w:pPr>
        <w:pStyle w:val="TextoNormal"/>
      </w:pPr>
      <w:r>
        <w:t>Se sostiene, además, que esta norma es también lesiva del art. 149.1.18 CE y de la normativa básica estatal. En opinión del órgano judicial la disposición que se cuestiona es contraria a lo dispuesto en los arts. 87.3, 89 y ss del texto refundido de la Ley de contratos del sector público, que regulan la revisión del precio de los contratos y a lo establecido en el art. 282 del texto refundido de la Ley de contratos del sector público, que regula la modificación y el equilibrio financiero de los contratos públicos, preceptos que tienen carácter básico, lo que conlleva la vulneración del citado art. 149.1.18 CE.</w:t>
      </w:r>
    </w:p>
    <w:p w:rsidR="0033382B" w:rsidRDefault="0033382B" w:rsidP="0033382B">
      <w:pPr>
        <w:pStyle w:val="TextoNormal"/>
      </w:pPr>
    </w:p>
    <w:p w:rsidR="0033382B" w:rsidRDefault="0033382B" w:rsidP="0033382B">
      <w:pPr>
        <w:pStyle w:val="TextoNormal"/>
      </w:pPr>
      <w:r>
        <w:t>Por último se alega la vulneración del art. 134.2 CE, en relación con el art. 53.1 del Estatuto de Autonomía de Galicia, al considerar que la normativa que recoge el precepto cuestionado no forma parte del contenido material de la Ley de presupuestos.</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19 de enero de 2016, la Sección Cuarta del Tribunal Constitucional acordó oír a la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el 8 de febrero de 2016. A su juicio, la presente cuestión de constitucionalidad se ha formulado cumpliendo los requisitos procesales que establece el art. 35.2 LOTC. El órgano judicial concedió trámite de audiencia a las partes y al Ministerio Fiscal sobre la pertinencia de plantear cuestión de inconstitucionalidad, identificando la norma legal sobre cuya constitucionalidad se duda y los preceptos constitucionales que la referida norma puede contravenir. También, considera debidamente efectuados el juicio de aplicabilidad —el órgano judicial puso de manifiesto que es la norma aplicable a la controversia que tiene que resolver el órgano judicial— como el de relevancia —se indica que de la conformidad de esta norma cuestionada con la Constitución depende el fallo—.</w:t>
      </w:r>
    </w:p>
    <w:p w:rsidR="0033382B" w:rsidRDefault="0033382B" w:rsidP="0033382B">
      <w:pPr>
        <w:pStyle w:val="TextoNormal"/>
      </w:pPr>
    </w:p>
    <w:p w:rsidR="0033382B" w:rsidRDefault="0033382B" w:rsidP="0033382B">
      <w:pPr>
        <w:pStyle w:val="TextoNormal"/>
      </w:pPr>
      <w:r>
        <w:t>En cuanto al fondo, se señala, en primer lugar, que la Comunidad Autónoma de Galicia, en virtud del título competencial sobre medio ambiente que le atribuye el art. 29 de su Estatuto de Autonomía, tiene competencias para dictar leyes que regulen los residuos sólidos urbanos y para adoptar las medidas de ejecución que considere adecuadas en el ejercicio de esta competencia.</w:t>
      </w:r>
    </w:p>
    <w:p w:rsidR="0033382B" w:rsidRDefault="0033382B" w:rsidP="0033382B">
      <w:pPr>
        <w:pStyle w:val="TextoNormal"/>
      </w:pPr>
    </w:p>
    <w:p w:rsidR="0033382B" w:rsidRDefault="0033382B" w:rsidP="0033382B">
      <w:pPr>
        <w:pStyle w:val="TextoNormal"/>
      </w:pPr>
      <w:r>
        <w:t>La Fiscal General considera que la norma cuestionada no se puede considerar contraria al art. 9.3 C. En su opinión, nada excluye que sea el propio legislador el que pueda establecer el canon unitario que ahora se cuestiona. Al respecto, entiende que, de acuerdo con la doctrina de este Tribunal, recogida en el ATC 193/2012, FJ 4, la norma cuestionada no puede considerarse arbitraria, pues esta norma no es discriminatoria, y, además, responde a una finalidad legítima y racional: procurar la viabilidad económica y sostenibilidad de un sistema institucionalizado de gestión de residuos urbanos a través de Sogama, S.A., mediante una gestión adecuada del medio ambiente de la Comunidad Gallega. Por otra parte, considera que, como ha sostenido este Tribunal (STC 73/2000), “no cabe deducir de la Constitución la existencia de una reserva reglamentaria de manera que el legislador no tiene vedada la regulación de materias que no le están materialmente reservadas”.</w:t>
      </w:r>
    </w:p>
    <w:p w:rsidR="0033382B" w:rsidRDefault="0033382B" w:rsidP="0033382B">
      <w:pPr>
        <w:pStyle w:val="TextoNormal"/>
      </w:pPr>
    </w:p>
    <w:p w:rsidR="0033382B" w:rsidRDefault="0033382B" w:rsidP="0033382B">
      <w:pPr>
        <w:pStyle w:val="TextoNormal"/>
      </w:pPr>
      <w:r>
        <w:t>También, descarta que el modo de proceder en la determinación del canon unitario, conlleve una vulneración del principio de seguridad jurídica que consagra el art. 9.3 CE, pues la norma cuestionada proyecta sus efectos hacia el futuro y, además, sólo resulta aplicable a los ayuntamientos que lo acepten voluntariamente, pues, si no están de acuerdo, pueden desistir del negocio jurídico celebrado en el plazo que establece la disposición cuestionada.</w:t>
      </w:r>
    </w:p>
    <w:p w:rsidR="0033382B" w:rsidRDefault="0033382B" w:rsidP="0033382B">
      <w:pPr>
        <w:pStyle w:val="TextoNormal"/>
      </w:pPr>
    </w:p>
    <w:p w:rsidR="0033382B" w:rsidRDefault="0033382B" w:rsidP="0033382B">
      <w:pPr>
        <w:pStyle w:val="TextoNormal"/>
      </w:pPr>
      <w:r>
        <w:t>Tampoco considera la Fiscal General que la disposición adicional vigesimoprimera de la Ley 11/2013, de 26 de diciembre, de presupuestos generales de la Comunidad Autónoma de Galicia para 2014 sea una ley singular que no respete la doctrina establecida por este Tribunal en relación con este tipo de leyes y que, por este motivo, pueda lesionar el art. 24.1 CE, como plantea el órgano judicial. A su juicio, es dudoso que a la norma cuestionada le resulte de aplicación la referida doctrina constitucional. Según se afirma, si forma parte del contenido de la Ley de presupuestos establecer las partidas relativas a la explotación y capital de las sociedades mercantiles autonómicas, como es Sogama, S.A., el establecimiento del canon cuestionado a través de este tipo de leyes no puede considerarse una materia ajena a las competencias del legislador. Tal consideración no impide, en opinión de la Fiscal General, que el propio legislador pueda deslegalizar esta materia y establecer que la revisión del referido canon se efectúe a través del procedimiento administrativo que la propia norma establece.</w:t>
      </w:r>
    </w:p>
    <w:p w:rsidR="0033382B" w:rsidRDefault="0033382B" w:rsidP="0033382B">
      <w:pPr>
        <w:pStyle w:val="TextoNormal"/>
      </w:pPr>
    </w:p>
    <w:p w:rsidR="0033382B" w:rsidRDefault="0033382B" w:rsidP="0033382B">
      <w:pPr>
        <w:pStyle w:val="TextoNormal"/>
      </w:pPr>
      <w:r>
        <w:t>Por todo ello, entiende que la norma legal no sustituye a ningún procedimiento administrativo de fijación de canon unitario (el establecimiento del anterior canon unitario se había efectuado también por ley, por la disposición adicional tercera de la Ley 6/2002 de presupuestos generales de Galicia), por lo que no sustituye a ningún procedimiento administrativo de fijación de un nuevo canon unitario, lo que conduce a que, al no regular un supuesto de hecho cuya normación corresponda a la Administración, no cumple uno de los requisitos para que pueda considerarse ley singular.</w:t>
      </w:r>
    </w:p>
    <w:p w:rsidR="0033382B" w:rsidRDefault="0033382B" w:rsidP="0033382B">
      <w:pPr>
        <w:pStyle w:val="TextoNormal"/>
      </w:pPr>
    </w:p>
    <w:p w:rsidR="0033382B" w:rsidRDefault="0033382B" w:rsidP="0033382B">
      <w:pPr>
        <w:pStyle w:val="TextoNormal"/>
      </w:pPr>
      <w:r>
        <w:t>No obstante, se considera, también, que, aunque se aceptara la naturaleza de ley singular de la norma cuestionada, tampoco ello determinaría su inconstitucionalidad, pues, de acuerdo con la doctrina de este Tribunal (se cita la establecida en la STC 203/2013), en supuestos excepcionales, este tipo de leyes son admisibles si respetan los límites establecidos por este Tribunal. Según afirma la Fiscal General, la norma cuestionada se encontraría dentro de los excepcionales supuestos en los que este Tribunal ha admitido su constitucionalidad, pues, por una parte, concurre una justificada necesidad y urgencia en la adopción de la medida de modificación del canon unitario (la sostenibilidad económica del sistema de gestión de residuos sólidos urbanos) y esta medida no conlleva una vulneración del principio de igualdad, al tratar por igual a todos los destinatarios de la norma, los municipios de la Comunidad Autónoma de Galicia, pues a todos ellos se les aplica el mismo canon.</w:t>
      </w:r>
    </w:p>
    <w:p w:rsidR="0033382B" w:rsidRDefault="0033382B" w:rsidP="0033382B">
      <w:pPr>
        <w:pStyle w:val="TextoNormal"/>
      </w:pPr>
    </w:p>
    <w:p w:rsidR="0033382B" w:rsidRDefault="0033382B" w:rsidP="0033382B">
      <w:pPr>
        <w:pStyle w:val="TextoNormal"/>
      </w:pPr>
      <w:r>
        <w:t>Junto a ello, se sostiene que, como la adhesión al sistema de gestión institucionalizada de este servicio público que presta la Comunidad Autónoma a sus municipios es voluntaria, ni es obligatorio adherirse a este sistema de gestión de residuos, ni los que se han adherido al mismo están obligados a aceptar las nuevas condiciones que impone la norma cuestionada, al permitírseles desistir del negocio jurídico que suscribieron, por lo que no cabe apreciar que la norma cuestionada pueda infringir el art. 24.1 CE, al establecer este nuevo canon.</w:t>
      </w:r>
    </w:p>
    <w:p w:rsidR="0033382B" w:rsidRDefault="0033382B" w:rsidP="0033382B">
      <w:pPr>
        <w:pStyle w:val="TextoNormal"/>
      </w:pPr>
    </w:p>
    <w:p w:rsidR="0033382B" w:rsidRDefault="0033382B" w:rsidP="0033382B">
      <w:pPr>
        <w:pStyle w:val="TextoNormal"/>
      </w:pPr>
      <w:r>
        <w:t>Tampoco considera la Fiscal General del Estado que la norma cuestionada lesione el art. 106 CE por impedir controlar la actividad administrativa, ya que no estamos ante una actividad de la Administración, sino ante una norma con rango de ley, respecto de la que no cabe más control que el de constitucionalidad. De igual modo, entiende aquélla que debe decaer la impugnación que se fundamenta en la vulneración del art. 105 en sus apartados a) y c) CE, por prescindir del trámite de audiencia a los interesados y del procedimiento administrativo establecido para la revisión del canon, pues considera que ningún procedimiento administrativo estaba previsto para la fijación del nuevo canon unitario de gestión de recursos sólidos urbanos. Según se aduce, el que el apartado 3 de la disposición adicional vigesimoprimera establezca un procedimiento administrativo para revisar el canon legalmente establecido no significa que la ley no pueda establecer el referido canon. Por otra parte, se afirma que, al encontrarnos ante un precio público, no es exigible seguir el procedimiento que establece la ley 6/2003 de tasas, precios y exacciones de la Comunidad de Galicia, como sostiene el órgano judicial que plantea la presente cuestión.</w:t>
      </w:r>
    </w:p>
    <w:p w:rsidR="0033382B" w:rsidRDefault="0033382B" w:rsidP="0033382B">
      <w:pPr>
        <w:pStyle w:val="TextoNormal"/>
      </w:pPr>
    </w:p>
    <w:p w:rsidR="0033382B" w:rsidRDefault="0033382B" w:rsidP="0033382B">
      <w:pPr>
        <w:pStyle w:val="TextoNormal"/>
      </w:pPr>
      <w:r>
        <w:t>Se rechaza, también, que la materia regulada por esta norma exceda del contenido material de las leyes de presupuestos, pues tiene ésta una naturaleza económica que puede afectar a los recursos económicos de la Comunidad Autónoma, al contribuir a la sostenibilidad económica del sistema autonómico de gestión de residuos sólidos urbanos.</w:t>
      </w:r>
    </w:p>
    <w:p w:rsidR="0033382B" w:rsidRDefault="0033382B" w:rsidP="0033382B">
      <w:pPr>
        <w:pStyle w:val="TextoNormal"/>
      </w:pPr>
    </w:p>
    <w:p w:rsidR="0033382B" w:rsidRDefault="0033382B" w:rsidP="0033382B">
      <w:pPr>
        <w:pStyle w:val="TextoNormal"/>
      </w:pPr>
      <w:r>
        <w:t>Se opone, también, a que la impugnación por la que se aduce la infracción del derecho a la autonomía local pueda prosperar. Se considera que la Comunidad Autónoma de Galicia, en ejercicio de sus competencias, ha establecido un sistema institucionalizado de gestión de residuos sólidos urbanos y ha aprobado las medidas necesarias para su viabilidad y sostenibilidad, que ha ofertado a los distintos ayuntamientos de la Comunidad Autónoma, que pueden o no adherirse al sistema de manera voluntaria, pues la Ley, ni obliga a adherirse al referido sistema, ni impide tampoco a los municipios que se hubieran adherido al mismo con anterioridad a la entrada en vigor de esta norma que puedan desistir de los negocios jurídicos que así formalizaron por aquella adhesión.</w:t>
      </w:r>
    </w:p>
    <w:p w:rsidR="0033382B" w:rsidRDefault="0033382B" w:rsidP="0033382B">
      <w:pPr>
        <w:pStyle w:val="TextoNormal"/>
      </w:pPr>
    </w:p>
    <w:p w:rsidR="0033382B" w:rsidRDefault="0033382B" w:rsidP="0033382B">
      <w:pPr>
        <w:pStyle w:val="TextoNormal"/>
      </w:pPr>
      <w:r>
        <w:t>Y, por último, se descarta que la norma cuestionada pueda vulnerar la legislación básica estatal sobre contratación pública, pues se considera que el legislador autonómico tiene competencias para establecer el canon unitario de gestión de los residuos sólidos urbanos, sin que esta regulación afecte a la legislación básica estatal en materia de contratos administrativos.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el Juzgado de lo Contencioso-Administrativo núm. 1 de Orense en relación con el apartado 2 de la disposición adicional vigesimoprimera de la Ley 11/2013, de 26 de diciembre, de presupuestos generales de la Comunidad Autónoma de Galicia para 2014. Este apartado dispone:</w:t>
      </w:r>
    </w:p>
    <w:p w:rsidR="0033382B" w:rsidRDefault="0033382B" w:rsidP="0033382B">
      <w:pPr>
        <w:pStyle w:val="TextoNormal"/>
      </w:pPr>
    </w:p>
    <w:p w:rsidR="0033382B" w:rsidRDefault="0033382B" w:rsidP="0033382B">
      <w:pPr>
        <w:pStyle w:val="TextoNormal"/>
      </w:pPr>
      <w:r>
        <w:t>“Dos. A los efectos indicados en el apartado anterior y para garantizar la sostenibilidad financiera del sistema se fija un canon unitario de tratamiento por tonelada, expresado en el artículo 29 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0033382B" w:rsidRDefault="0033382B" w:rsidP="0033382B">
      <w:pPr>
        <w:pStyle w:val="TextoNormal"/>
      </w:pPr>
    </w:p>
    <w:p w:rsidR="0033382B" w:rsidRDefault="0033382B" w:rsidP="0033382B">
      <w:pPr>
        <w:pStyle w:val="TextoNormal"/>
      </w:pPr>
      <w:r>
        <w:t>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0033382B" w:rsidRDefault="0033382B" w:rsidP="0033382B">
      <w:pPr>
        <w:pStyle w:val="TextoNormal"/>
      </w:pPr>
    </w:p>
    <w:p w:rsidR="0033382B" w:rsidRDefault="0033382B" w:rsidP="0033382B">
      <w:pPr>
        <w:pStyle w:val="TextoNormal"/>
      </w:pPr>
      <w:r>
        <w:t>Como se ha expuesto en los antecedentes, el Juzgado considera que el apartado impugnado de la citada disposición adicional puede ser contrario a los arts. 9.3, 24.1, 103.1, 105, 106, 137, 140 y 149.1.18 CE y del art. 134.2 CE, en relación con el art.53.1 del Estatuto de Autonomía para Galicia (EAG). Por el contrario, la Fiscal General del Estado ha interesado la inadmisión de la cuestión de inconstitucionalidad planteada al considerarla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2</w:t>
      </w:r>
      <w:r>
        <w:t xml:space="preserve">. Con carácter previo a abordar el fondo de la presente cuestión es preciso delimitar su objeto. Aunque el órgano judicial plantea esta cuestión de inconstitucionalidad respecto al apartado dos de la disposición adicional vigesimoprimera de la Ley 11/2013, de 26 de diciembre, de presupuestos generales de la Comunidad Autónoma de Galicia para 2014, en su totalidad, la norma cuestionada sólo es aplicable y relevante para el fallo en su párrafo segundo, que es el que afecta a los contratos ya celebrados y, el que, por tanto, resulta determinante para resolver la controversia planteada en el proceso </w:t>
      </w:r>
      <w:r w:rsidRPr="0033382B">
        <w:rPr>
          <w:i/>
        </w:rPr>
        <w:t>a quo</w:t>
      </w:r>
      <w:r>
        <w:t>, en el que lo que se suscita es, precisamente, si esta norma determina la modificación del precio establecido en el contrato celebrado entre Sogama, S.A., y el ayuntamiento demandado para el tratamiento de los residuos urbanos del municipio. Así, además, se pone de manifiesto por el órgano judicial cuando, en el Auto de planteamiento, justifica que la decisión del proceso depende de la validez de esta norma, ya que la pretensión planteada en el mismo es que el ayuntamiento demandado pague a Sogama, S.A., el precio por la prestación del servicio de gestión de los residuos urbanos, de acuerdo con lo establecido en la norma cuestionada; pretensión a la que se opone el referido ayuntamiento al considerar que esta norma, al establecer una revisión del precio del contrato celebrado, es inconstitucional.</w:t>
      </w:r>
    </w:p>
    <w:p w:rsidR="0033382B" w:rsidRDefault="0033382B" w:rsidP="0033382B">
      <w:pPr>
        <w:pStyle w:val="TextoNormal"/>
      </w:pPr>
    </w:p>
    <w:p w:rsidR="0033382B" w:rsidRDefault="0033382B" w:rsidP="0033382B">
      <w:pPr>
        <w:pStyle w:val="TextoNormal"/>
      </w:pPr>
      <w:r>
        <w:t>En consecuencia, el objeto de la presente cuestión debe ceñirse únicamente al párrafo segundo de esta norma, pues el párrafo primero del apartado 2 de esta disposición adicional, que es el que fija el canon unitario de tratamiento por tonelada y su forma de actualización en el futuro, al ser una regulación establecida para los nuevos contratos que vayan a suscribirse, no es aplicable al caso, lo que conlleva, de acuerdo con lo previsto en el art. 35.1 Ley Orgánica del Tribunal Constitucional (LOTC), que no pueda ser enjuiciado en este proceso constitucional.</w:t>
      </w:r>
    </w:p>
    <w:p w:rsidR="0033382B" w:rsidRDefault="0033382B" w:rsidP="0033382B">
      <w:pPr>
        <w:pStyle w:val="TextoNormal"/>
      </w:pPr>
    </w:p>
    <w:p w:rsidR="0033382B" w:rsidRDefault="0033382B" w:rsidP="0033382B">
      <w:pPr>
        <w:pStyle w:val="TextoNormal"/>
      </w:pPr>
      <w:r w:rsidRPr="0033382B">
        <w:rPr>
          <w:rStyle w:val="NumeroAFNegritaCaracter"/>
        </w:rPr>
        <w:t>3</w:t>
      </w:r>
      <w:r>
        <w:t>. En lo que respecta al examen de fondo, las dudas de constitucionalidad que han llevado al Juzgado promotor a plantear la presente cuestión de constitucionalidad, son idénticas a las que determinaron el planteamiento por este mismo órgano judicial de la cuestión de inconstitucionalidad 4184-2015, que ha dado lugar al ATC 84/2016, de 26 de abril, en el que se ha acordado la inadmisión a trámite. Los argumentos esgrimidos en el citado Auto son, pues, directamente trasladables al supuesto que ahora se examina, siendo suficiente la remisión al mismo, sin perjuicio de efectuar una exposición sintética de lo allí acordado.</w:t>
      </w:r>
    </w:p>
    <w:p w:rsidR="0033382B" w:rsidRDefault="0033382B" w:rsidP="0033382B">
      <w:pPr>
        <w:pStyle w:val="TextoNormal"/>
      </w:pPr>
    </w:p>
    <w:p w:rsidR="0033382B" w:rsidRDefault="0033382B" w:rsidP="0033382B">
      <w:pPr>
        <w:pStyle w:val="TextoNormal"/>
      </w:pPr>
      <w:r>
        <w:t>El párrafo segundo del apartado 2 de la disposición adicional Vigesimoprimera de la Ley 11/2013, de 26 de diciembre, de presupuestos generales de la Comunidad Autónoma de Galicia para 2014, establece que el canon unitario de tratamiento de residuos previsto en su párrafo primero, resulta de aplicación a los contratos ya suscritos entre Sogama, S.A., y las entidades locales, salvo que, en el plazo de dos meses desde la entrada en vigor de la norma, las entidades locales desistan del negocio jurídico suscrito. Esta norma se ha dictado, por tanto, en atención a un supuesto de hecho concreto y singular que agota su contenido y eficacia en la adopción y ejecución de la medida tomada por el legislador ante ese supuesto de hecho —modificar el precio fijado en los referidos contratos— por lo que, dado su objeto, puede afirmarse que es una ley singular y el canon de constitucionalidad que debe utilizar este Tribunal al ejercer su función de control es el de la razonabilidad, proporcionalidad y adecuación (SSTC 129/2013, de 4 de junio, y 203/2013, de 5 de septiembre). Aplicando el citado canon, se concluye en el fundamento jurídico 4 del ATC 84/2016 que la norma enjuiciada respeta las exigencias que impone la jurisprudencia constitucional a las leyes singulares.</w:t>
      </w:r>
    </w:p>
    <w:p w:rsidR="0033382B" w:rsidRDefault="0033382B" w:rsidP="0033382B">
      <w:pPr>
        <w:pStyle w:val="TextoNormal"/>
      </w:pPr>
    </w:p>
    <w:p w:rsidR="0033382B" w:rsidRDefault="0033382B" w:rsidP="0033382B">
      <w:pPr>
        <w:pStyle w:val="TextoNormal"/>
      </w:pPr>
      <w:r>
        <w:t>Así, esta norma “responde a una situación excepcional, pues según se establece en el párrafo primero del apartado dos de esta disposición adicional, se dicta con el fin de garantizar la sostenibilidad financiera del sistema, por lo que cumpliría la primera de las exigencias establecidas por este Tribunal”.</w:t>
      </w:r>
    </w:p>
    <w:p w:rsidR="0033382B" w:rsidRDefault="0033382B" w:rsidP="0033382B">
      <w:pPr>
        <w:pStyle w:val="TextoNormal"/>
      </w:pPr>
    </w:p>
    <w:p w:rsidR="0033382B" w:rsidRDefault="0033382B" w:rsidP="0033382B">
      <w:pPr>
        <w:pStyle w:val="TextoNormal"/>
      </w:pPr>
      <w:r>
        <w:t>Se trata de una medida que no hubiera podido ser adoptada por la Administración, pues “en este caso la singularidad de la norma radica en que el canon establecido en la misma resulta de aplicación a los negocios jurídicos ya celebrados, y la Administración carece de potestades para alterar el régimen jurídico de los contratos suscritos por terceros y modificar el precio fijado en los mismos. Esta decisión solo puede ser adoptada por ley, pues solo una ley especial en la que se prevea esta consecuencia, puede excepcionar la aplicación la ley general que establece la obligatoriedad de los contratos desde que se perfeccionan (art. 1258 del Código civil: CC).</w:t>
      </w:r>
    </w:p>
    <w:p w:rsidR="0033382B" w:rsidRDefault="0033382B" w:rsidP="0033382B">
      <w:pPr>
        <w:pStyle w:val="TextoNormal"/>
      </w:pPr>
    </w:p>
    <w:p w:rsidR="0033382B" w:rsidRDefault="0033382B" w:rsidP="0033382B">
      <w:pPr>
        <w:pStyle w:val="TextoNormal"/>
      </w:pPr>
      <w:r>
        <w:t>La Administración autonómica, en cuanto promotora del sistema institucional de gestión de los residuos domésticos carece de potestades para incidir en los contratos celebrados por terceros, y por ello la decisión de modificar el precio de los contratos suscritos por la sociedad pública autonómica Sogama, S.A., con las entidades locales para la gestión de los residuos urbanos municipales no puede adoptarla esta Administración. El único modo de excepcionar la regla general que establece la vinculatoriedad de los contratos en los términos que han sido pactados es a través de una norma que tenga rango suficiente para poder considerarla de preferente aplicación frente a la norma general que establece tal consecuencia. Como la norma que obliga a cumplir los contratos ‘a tenor de sus cláusulas’ tiene rango legal (art. 209 del texto refundido de la Ley de contratos del Estado o el art. 1258 CC) es preciso, por tanto, otra ley que establezca una norma especial que impida la aplicación de la ley general. Resulta por tanto, que esta norma no modifica las normas generales que regulan la contratación pública, sino que, únicamente, contiene una medida singular –la modificación del precio de determinados contratos− que solo puede adoptar el legislador.</w:t>
      </w:r>
    </w:p>
    <w:p w:rsidR="0033382B" w:rsidRDefault="0033382B" w:rsidP="0033382B">
      <w:pPr>
        <w:pStyle w:val="TextoNormal"/>
      </w:pPr>
    </w:p>
    <w:p w:rsidR="0033382B" w:rsidRDefault="0033382B" w:rsidP="0033382B">
      <w:pPr>
        <w:pStyle w:val="TextoNormal"/>
      </w:pPr>
      <w:r>
        <w:t>Por ello, ha de concluirse que la medida establecida no podía adoptarse a través de los instrumentos normales de que dispone la Administración por lo se cumple el segundo de los requisitos establecidos en doctrina constitucional (SSTC 203/2013, de 5 de septiembre, FJ 4; y 129/2013, de 4 de junio, FJ 4)”.</w:t>
      </w:r>
    </w:p>
    <w:p w:rsidR="0033382B" w:rsidRDefault="0033382B" w:rsidP="0033382B">
      <w:pPr>
        <w:pStyle w:val="TextoNormal"/>
      </w:pPr>
    </w:p>
    <w:p w:rsidR="0033382B" w:rsidRDefault="0033382B" w:rsidP="0033382B">
      <w:pPr>
        <w:pStyle w:val="TextoNormal"/>
      </w:pPr>
      <w:r>
        <w:t>Se respeta, también, el tercer requisito que ha establecido este Tribunal para que una ley singular sea conforme con la Constitución: que no condicione o impida el ejercicio de derechos fundamentales, ya que esta materia está reservada a las leyes generales. En el presente supuesto, “el objeto de la ley cuestionada es modificar el precio establecido en determinados contratos, por lo que no regula ninguna medida que, en sí misma, impida o condicione el ejercicio de derechos fundamentales; cuestión distinta es que, dado el rango de esta norma, tal medida no pueda ser objeto de impugnación ante los Tribunales, pero este es un efecto que se deriva, no del objeto regulado, sino del rango de la norma que lo regula y en el caso examinado carece de efectos relevantes desde el punto de vista de la tutela de los derechos e intereses legítimos, habida cuenta de la posibilidad de impugnar los actos de aplicación de la norma que aquí se examina y de la facultad de los tribunales ordinarios ante los que se formulen estas impugnaciones de plantear, en su caso, cuestión de inconstitucionalidad ante este Tribunal, como ha ocurrido en el supuesto objeto de enjuiciamiento”.</w:t>
      </w:r>
    </w:p>
    <w:p w:rsidR="0033382B" w:rsidRDefault="0033382B" w:rsidP="0033382B">
      <w:pPr>
        <w:pStyle w:val="TextoNormal"/>
      </w:pPr>
    </w:p>
    <w:p w:rsidR="0033382B" w:rsidRDefault="0033382B" w:rsidP="0033382B">
      <w:pPr>
        <w:pStyle w:val="TextoNormal"/>
      </w:pPr>
      <w:r>
        <w:t>La norma que se examina supera, asimismo, el canon de “razonabilidad, proporcionalidad y adecuación”, que exige la jurisprudencia constitucional a las leyes singulares, dado que es razonable y tiene una justificación objetiva, en cuanto se ha adoptado para garantizar la sostenibilidad financiera del sistema; es adecuada para conseguir dicho fin, en cuanto el incremento del precio fijado en el contrato contribuye a alcanzar este objetivo; y es proporcionada ya que, desde una perspectiva general, las ventajas que conlleva su imposición —garantizar la viabilidad económica de la empresa pública que gestiona el sistema institucional de residuos domésticos— son mayores que los perjuicios que pueda ocasionar a los ayuntamientos la elevación del precio del contrato, teniendo en cuenta además, que la ley otorga la posibilidad a las entidades locales que no estén de acuerdo con el nuevo precio legalmente establecido de desistir del contrato durante el plazo de dos meses desde su entrada en vigor; y que si la empresa quebrara tampoco podría prestar el servicio, por lo que, si se diera tal circunstancia, las entidades locales tampoco podrían obtener su prestación . Por todo ello, se estima que estamos ante una ley singular que no puede entenderse lesiva de los arts. 9.3, 24.1, 103 y 106 CE.</w:t>
      </w:r>
    </w:p>
    <w:p w:rsidR="0033382B" w:rsidRDefault="0033382B" w:rsidP="0033382B">
      <w:pPr>
        <w:pStyle w:val="TextoNormal"/>
      </w:pPr>
    </w:p>
    <w:p w:rsidR="0033382B" w:rsidRDefault="0033382B" w:rsidP="0033382B">
      <w:pPr>
        <w:pStyle w:val="TextoNormal"/>
      </w:pPr>
      <w:r w:rsidRPr="0033382B">
        <w:rPr>
          <w:rStyle w:val="NumeroAFNegritaCaracter"/>
        </w:rPr>
        <w:t>4</w:t>
      </w:r>
      <w:r>
        <w:t>. No puede apreciarse tampoco que la norma cuestionada sea contraria al art. 105 a) y c) CE, pues, al no existir en la Constitución la denominada reserva reglamentaria, ninguna vulneración puede conllevar que una determinada materia sea regulada por una norma con rango de ley. Además, la decisión adoptada por el legislador respeta las exigencias que este Tribunal ha establecido respecto de las leyes singulares, por lo que los afectados por esta resolución no pueden aducir ningún derecho a que la misma se hubiese adoptado a través de un procedimiento administrativo.</w:t>
      </w:r>
    </w:p>
    <w:p w:rsidR="0033382B" w:rsidRDefault="0033382B" w:rsidP="0033382B">
      <w:pPr>
        <w:pStyle w:val="TextoNormal"/>
      </w:pPr>
    </w:p>
    <w:p w:rsidR="0033382B" w:rsidRDefault="0033382B" w:rsidP="0033382B">
      <w:pPr>
        <w:pStyle w:val="TextoNormal"/>
      </w:pPr>
      <w:r>
        <w:t>Tampoco puede prosperar la alegada infracción del derecho a la autonomía local (arts. 137 y 140 CE), pues corresponde a las propias entidades locales afectadas la decisión de desistir del contrato suscrito o adherirse al sistema institucional de gestión de residuos que la norma promueve, y el plazo de dos meses previsto para la adopción de esta decisión se reputa suficiente para que la Administración local que ha suscrito el contrato pueda analizar si le conviene desistir del mismo o aceptar la modificación del precio legalmente establecida (ATC 84/2016, FJ 5).</w:t>
      </w:r>
    </w:p>
    <w:p w:rsidR="0033382B" w:rsidRDefault="0033382B" w:rsidP="0033382B">
      <w:pPr>
        <w:pStyle w:val="TextoNormal"/>
      </w:pPr>
    </w:p>
    <w:p w:rsidR="0033382B" w:rsidRDefault="0033382B" w:rsidP="0033382B">
      <w:pPr>
        <w:pStyle w:val="TextoNormal"/>
      </w:pPr>
      <w:r>
        <w:t>Se rechaza, también, la vulneración de la normativa básica estatal en materia de contratos administrativos (art. 149.1.18 CE), por cuanto la norma “no regula la revisión de precios de los contratos públicos, sino que, como se ha expuesto, en atención a una situación excepcional, establece una medida singular con el fin de garantizar la sostenibilidad financiera del sistema institucional de gestión de residuos promovido por la Administración autonómica”, es decir, viene a “establecer una medida que dé respuesta a la situación excepcional que la fundamenta, sin alterar ni incidir en la legislación básica que rige la contratación pública” (ATC 84/2016, FJ 6).</w:t>
      </w:r>
    </w:p>
    <w:p w:rsidR="0033382B" w:rsidRDefault="0033382B" w:rsidP="0033382B">
      <w:pPr>
        <w:pStyle w:val="TextoNormal"/>
      </w:pPr>
    </w:p>
    <w:p w:rsidR="0033382B" w:rsidRDefault="0033382B" w:rsidP="0033382B">
      <w:pPr>
        <w:pStyle w:val="TextoNormal"/>
      </w:pPr>
      <w:r>
        <w:t>Finalmente, respecto de la alegada vulneración del art. 134.2 CE en relación con el art. 53.1 EAG, se concluye que la determinación de los ingresos de Sogama, S.A., a través del establecimiento del canon al que se refiere el apartado 2 de la disposición adicional y la expresa previsión de la aplicación de este canon a los negocios jurídicos ya suscritos, al incidir en la financiación de la referida empresa pública autonómica, guarda relación directa con lo dispuesto en el art. 1 g) de la Ley 11/2013, de presupuestos generales de la Comunidad Autónoma de Galicia para el año 2014, lo que permite excluir también la vulneración alegada (ATC 84/2016, FJ 7).</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 núm. 5152-2015.</w:t>
      </w:r>
    </w:p>
    <w:p w:rsidR="0033382B" w:rsidRDefault="0033382B" w:rsidP="0033382B">
      <w:pPr>
        <w:pStyle w:val="TextoNormal"/>
      </w:pPr>
    </w:p>
    <w:p w:rsidR="0033382B" w:rsidRDefault="0033382B" w:rsidP="0033382B">
      <w:pPr>
        <w:pStyle w:val="TextoNormal"/>
      </w:pPr>
      <w:r>
        <w:t>Madrid, a diez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30" w:name="AUTO_2016_103"/>
      <w:r>
        <w:t>AUTO 103/2016, de 10 de mayo de 2016</w:t>
      </w:r>
    </w:p>
    <w:bookmarkEnd w:id="230"/>
    <w:p w:rsidR="0033382B" w:rsidRDefault="0033382B" w:rsidP="0033382B">
      <w:pPr>
        <w:pStyle w:val="TtuloResolucin"/>
      </w:pPr>
      <w:r>
        <w:t>Pleno</w:t>
      </w:r>
    </w:p>
    <w:p w:rsidR="0033382B" w:rsidRDefault="0033382B" w:rsidP="0033382B">
      <w:pPr>
        <w:pStyle w:val="TextoNormalCentrado"/>
      </w:pPr>
      <w:r>
        <w:t>ECLI:ES:TC:2016:103A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5818-2015, planteada por el Juzgado de lo Contencioso-Administrativo núm. 2 de Ourense en relación con el apartado 2 de la disposición adicional vigesimoprimera de la Ley 11/2013, de 26 de diciembre, de presupuestos generales de la Comunidad Autónoma de Galicia para el año 2014.</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registrado en este Tribunal el 19 de octubre de 2015, el Juzgado de lo Contencioso-Administrativo núm. 2 de Ourense remitió testimonio del Auto de 17 de septiembre de 2015 por el que se acordó plantear cuestión de inconstitucionalidad en relación con el apartado 2 de la disposición adicional vigesimoprimera de la Ley 11/2013, de 26 de diciembre, de presupuestos generales de la Comunidad Autónoma de Galicia para 2014. Se considera que el citado apartado puede ser contrario a los arts. 9.3, 24.1, 103.1, 105, 106, 137, 140 y 149.1.18 CE y del art. 134.2 CE en relación con el art. 53.1 del Estatuto de Autonomía para Galicia (EAG).</w:t>
      </w:r>
    </w:p>
    <w:p w:rsidR="0033382B" w:rsidRDefault="0033382B" w:rsidP="0033382B">
      <w:pPr>
        <w:pStyle w:val="TextoNormal"/>
      </w:pPr>
    </w:p>
    <w:p w:rsidR="0033382B" w:rsidRDefault="0033382B" w:rsidP="0033382B">
      <w:pPr>
        <w:pStyle w:val="TextoNormal"/>
      </w:pPr>
      <w:r w:rsidRPr="0033382B">
        <w:rPr>
          <w:rStyle w:val="NumeroAFNegritaCaracter"/>
        </w:rPr>
        <w:t>2</w:t>
      </w:r>
      <w:r>
        <w:t>. Los hechos que pueden ser relevantes en este proceso constitucional son los siguientes:</w:t>
      </w:r>
    </w:p>
    <w:p w:rsidR="0033382B" w:rsidRDefault="0033382B" w:rsidP="0033382B">
      <w:pPr>
        <w:pStyle w:val="TextoNormal"/>
      </w:pPr>
    </w:p>
    <w:p w:rsidR="0033382B" w:rsidRDefault="0033382B" w:rsidP="0033382B">
      <w:pPr>
        <w:pStyle w:val="TextoNormal"/>
      </w:pPr>
      <w:r>
        <w:t>a) El 26 de febrero de 2015 la Sociedade Galega do Medio Ambiente, S.A. (Sogama, S.A.), interpuso recurso contencioso-administrativo contra una resolución del Ayuntamiento de Piñor de fecha 22 de diciembre de 2014, que desestimaba un recurso de reposición contra una resolución de 17 de noviembre del mismo año. A través de ese recurso se solicitaba, además de la anulación de los actos impugnados, el reconocimiento del derecho al cobro del importe por la prestación del servicio de gestión de los residuos sólidos urbanos del término municipal en el mes de octubre de 2014, reclamando el pago del importe pendiente de pago, que ascendía a 479,02 €.</w:t>
      </w:r>
    </w:p>
    <w:p w:rsidR="0033382B" w:rsidRDefault="0033382B" w:rsidP="0033382B">
      <w:pPr>
        <w:pStyle w:val="TextoNormal"/>
      </w:pPr>
    </w:p>
    <w:p w:rsidR="0033382B" w:rsidRDefault="0033382B" w:rsidP="0033382B">
      <w:pPr>
        <w:pStyle w:val="TextoNormal"/>
      </w:pPr>
      <w:r>
        <w:t>En el suplico de la demanda se solicitaba también que la Sentencia declarase que “el precio del contrato suscrito entre Sogama y el Ayuntamiento de Piñor con fecha de 21 de diciembre de 2014 … asciende a la cantidad de setenta y seis euros con sesenta y cuatro céntimos (76,64 €) más el IVA correspondiente por cada tonelada de residuos, de acuerdo con lo dispuesto en el apartado segundo de la disposición adicional vigesimoprimera de la LGPCAG 2014”.</w:t>
      </w:r>
    </w:p>
    <w:p w:rsidR="0033382B" w:rsidRDefault="0033382B" w:rsidP="0033382B">
      <w:pPr>
        <w:pStyle w:val="TextoNormal"/>
      </w:pPr>
    </w:p>
    <w:p w:rsidR="0033382B" w:rsidRDefault="0033382B" w:rsidP="0033382B">
      <w:pPr>
        <w:pStyle w:val="TextoNormal"/>
      </w:pPr>
      <w:r>
        <w:t>b) Por Auto de 6 de mayo de 2015, el titular del Juzgado de lo Contencioso-Administrativo núm. 2 de Ourense, a la vista de los litigios que las partes mantienen entre sí (procedimientos abreviados 345-2014 y 1-2015), en uno de los cuales el Juzgado de lo Contencioso-Administrativo núm. 1 de Ourense pretende promover cuestión de constitucionalidad en relación con la disposición adicional vigesimoprimera de la Ley 11/2013, de 26 de diciembre, de presupuestos de la Comunidad Autónoma de Galicia para 2014, decidió suspender la tramitación del procedimiento hasta que se resolviera dicha cuestión de inconstitucionalidad, razón por la cual dio previo traslado a las partes para que realizaran las alegaciones que estimen por conveniente.</w:t>
      </w:r>
    </w:p>
    <w:p w:rsidR="0033382B" w:rsidRDefault="0033382B" w:rsidP="0033382B">
      <w:pPr>
        <w:pStyle w:val="TextoNormal"/>
      </w:pPr>
    </w:p>
    <w:p w:rsidR="0033382B" w:rsidRDefault="0033382B" w:rsidP="0033382B">
      <w:pPr>
        <w:pStyle w:val="TextoNormal"/>
      </w:pPr>
      <w:r>
        <w:t>c) Contra el Auto de 6 de mayo de 2015 Sogama, S.A., interpuso recurso de reposición alegando la improcedencia de acordar la suspensión del curso de las actuaciones del recurso contencioso-administrativo, como consecuencia de la cuestión de inconstitucionalidad formulada por otro Juzgado en el marco de los procedimientos abreviados 345-2014 y 1-2015.</w:t>
      </w:r>
    </w:p>
    <w:p w:rsidR="0033382B" w:rsidRDefault="0033382B" w:rsidP="0033382B">
      <w:pPr>
        <w:pStyle w:val="TextoNormal"/>
      </w:pPr>
    </w:p>
    <w:p w:rsidR="0033382B" w:rsidRDefault="0033382B" w:rsidP="0033382B">
      <w:pPr>
        <w:pStyle w:val="TextoNormal"/>
      </w:pPr>
      <w:r>
        <w:t>El Ayuntamiento de Piñor se opuso a la estimación del recurso de reposición. No obstante, por escrito de 15 de julio de 2015 la representación procesal del Ayuntamiento comunicó que el Juzgado de lo Contencioso-Administrativo núm. 1 de Ourense había planteado cuestión de constitucionalidad en relación con la disposición adicional vigesimoprimera de la Ley 11/2013, de 26 de diciembre, de presupuestos de la Comunidad Autónoma de Galicia para 2014, en el marco del procedimiento abreviado 1/2015 seguido a instancia de Sogama, S.A., contra el Ayuntamiento de Piñor.</w:t>
      </w:r>
    </w:p>
    <w:p w:rsidR="0033382B" w:rsidRDefault="0033382B" w:rsidP="0033382B">
      <w:pPr>
        <w:pStyle w:val="TextoNormal"/>
      </w:pPr>
    </w:p>
    <w:p w:rsidR="0033382B" w:rsidRDefault="0033382B" w:rsidP="0033382B">
      <w:pPr>
        <w:pStyle w:val="TextoNormal"/>
      </w:pPr>
      <w:r>
        <w:t>d) Por Auto de 20 de julio de 2015 el Juzgado de lo Contencioso-Administrativo núm. 2 de Ourense estimó el recurso de reposición interpuesto contra el Auto de 6 de mayo y dejó sin efecto el mismo.</w:t>
      </w:r>
    </w:p>
    <w:p w:rsidR="0033382B" w:rsidRDefault="0033382B" w:rsidP="0033382B">
      <w:pPr>
        <w:pStyle w:val="TextoNormal"/>
      </w:pPr>
    </w:p>
    <w:p w:rsidR="0033382B" w:rsidRDefault="0033382B" w:rsidP="0033382B">
      <w:pPr>
        <w:pStyle w:val="TextoNormal"/>
      </w:pPr>
      <w:r>
        <w:t>e) Por providencia de 23 de julio de 2015, se dio audiencia a las partes por plazo común de diez días sobre la pertinencia de plantear cuestión de inconstitucionalidad al considerar que el apartado 2 de la disposición adicional vigesimoprimera de la Ley 11/2013, de 26 de diciembre, de presupuestos de la Comunidad Autónoma de Galicia para 2014 podía ser contrario a los arts. 9.3, 24.1, 103.1, 105, 106.1, 134, 137, 140 y 149.1.18 CE, así como a la legislación básica del Estado establecida en el Real Decreto Legislativo 3/2011, de 14 de noviembre, aprobatorio del texto refundido de la Ley de contratos del sector público y en la disposición adicional octogésima octava de la Ley 22/2013, de 23 de diciembre, de presupuestos generales del Estado para 2014.</w:t>
      </w:r>
    </w:p>
    <w:p w:rsidR="0033382B" w:rsidRDefault="0033382B" w:rsidP="0033382B">
      <w:pPr>
        <w:pStyle w:val="TextoNormal"/>
      </w:pPr>
    </w:p>
    <w:p w:rsidR="0033382B" w:rsidRDefault="0033382B" w:rsidP="0033382B">
      <w:pPr>
        <w:pStyle w:val="TextoNormal"/>
      </w:pPr>
      <w:r>
        <w:t>El Ayuntamiento de Piñor formuló sus alegaciones por escrito de 7 de septiembre de 2015, en el que se mostró conforme con el planteamiento de la cuestión de inconstitucionalidad. El Fiscal presentó su escrito de alegaciones el 8 de septiembre de 2015, manifestando que no se opone al planteamiento de la cuestión y afirmando que la norma vulnera la Ley de bases de régimen local y la Ley de contratos del sector público. Por el contrario, Sogama, S.A., por escrito de 9 de septiembre de 2015, se opuso al planteamiento de la cuestión de inconstitucionalidad.</w:t>
      </w:r>
    </w:p>
    <w:p w:rsidR="0033382B" w:rsidRDefault="0033382B" w:rsidP="0033382B">
      <w:pPr>
        <w:pStyle w:val="TextoNormal"/>
      </w:pPr>
    </w:p>
    <w:p w:rsidR="0033382B" w:rsidRDefault="0033382B" w:rsidP="0033382B">
      <w:pPr>
        <w:pStyle w:val="TextoNormal"/>
      </w:pPr>
      <w:r>
        <w:t>f) El Juzgado de lo Contencioso-Administrativo núm. 2 de Ourense, por Auto de 17 de septiembre de 2015, planteó cuestión de inconstitucionalidad en relación con el apartado 2 de la disposición adicional vigesimoprimera de la Ley 11/2013, de 26 de diciembre, de presupuestos generales de la Comunidad Autónoma de Galicia para 2014.</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tras exponer los hechos de los que trae causa el proceso, pone de manifiesto que en este caso concurren todas las circunstancias para poder plantear cuestión de inconstitucionalidad ante este Tribunal, ya que la norma de cuya constitucionalidad se duda tiene rango legal (es el apartado segundo de la disposición adicional vigesimoprimera de la Ley 11/2013, de 26 de diciembre, de presupuestos generales de la Comunidad Autónoma de Galicia para 2014); se plantea una vez que el proceso ha quedado concluso y se encuentra únicamente pendiente de dictar sentencia; la decisión del proceso depende de la validez de la norma legal cuestionada (el pago que se reclama en vía contencioso-administrativa se fundamenta en la aplicación de la misma; pago que el Ayuntamiento demandado considera inconstitucional) y se acordó suscitarla después de haber dado trámite de audiencia a las partes sobre la pertinencia del su planteamiento.</w:t>
      </w:r>
    </w:p>
    <w:p w:rsidR="0033382B" w:rsidRDefault="0033382B" w:rsidP="0033382B">
      <w:pPr>
        <w:pStyle w:val="TextoNormal"/>
      </w:pPr>
    </w:p>
    <w:p w:rsidR="0033382B" w:rsidRDefault="0033382B" w:rsidP="0033382B">
      <w:pPr>
        <w:pStyle w:val="TextoNormal"/>
      </w:pPr>
      <w:r>
        <w:t>Después de fundamentar que se cumplen los requisitos procesales para plantear la cuestión de inconstitucionalidad, el Juzgado expone las razones por las que considera que la norma impugnada puede ser contraria a la Constitución. Para ello efectúa, con carácter preliminar, una serie de consideraciones en las que explica que, conforme a lo dispuesto en los arts. 25.2 l) y 86.3 de la Ley reguladora de las bases de régimen local, corresponde al municipio la competencia sobre el servicio público de gestión de los residuos sólidos urbanos, incluyendo la recogida y el tratamiento de los mismos; competencia que le reconoce el art. 12.5 a) de la Ley estatal 22/2011, de 28 de julio, de residuos y suelos contaminados. También se señala que, en la Comunidad Autónoma de Galicia, la Ley 10/1997, de 22 de agosto, de residuos urbanos, establece la posibilidad de que las operaciones de gestión de residuos se lleven a cabo a través de la empresa pública Sogama, S.A., creada por Decreto de 11 de abril de 1992, y que muchos municipios gallegos optaron por esta posibilidad. Uno de estos municipios fue la corporación demandada en el proceso, a la que se le reclama el pago del precio establecido en el contrato que celebró con la referida empresa pública por la gestión de los residuos. En este contrato se dispuso que el precio que se debía pagar por la prestación de servicios sería el resultado de multiplicar el número de toneladas de residuos urbanos realmente introducidas en las instalaciones procedente de la recogida ordinaria de ese Ayuntamiento por el precio de 47,09 €/tonelada más IVA (precio del año 2006). Junto a ello se estableció también que el referido precio se revisaría y actualizaría anualmente el día uno de enero, según las variaciones experimentadas por el índice de precios al consumo en los doce meses anteriores.</w:t>
      </w:r>
    </w:p>
    <w:p w:rsidR="0033382B" w:rsidRDefault="0033382B" w:rsidP="0033382B">
      <w:pPr>
        <w:pStyle w:val="TextoNormal"/>
      </w:pPr>
    </w:p>
    <w:p w:rsidR="0033382B" w:rsidRDefault="0033382B" w:rsidP="0033382B">
      <w:pPr>
        <w:pStyle w:val="TextoNormal"/>
      </w:pPr>
      <w:r>
        <w:t>El órgano judicial considera que el apartado cuestionado, al modificar el precio fijado en ese contrato elevándolo a la cantidad de 74,64 €/tonelada más IVA (el precio del contrato en el año 2013 era de 55,91 €/tonelada, incrementa el precio del contrato en un 33,5 por 100), está adoptando una decisión materialmente administrativa. Por ello considera que la referida norma, al excepcionar el régimen general de la fijación de precios privados que han de fijarse por la Administración (art. 51 de la Ley 6/2003, de 3 de noviembre, de tasas, precios y exacciones de Galicia) y establecer este precio a través de una ley singular, los municipios afectados no pueden impugnar en la jurisdicción contencioso-administrativa ese incremento sorpresivo. De ahí que considere que la norma cuestionada pueda ser contraria al principio de interdicción de la arbitrariedad y seguridad jurídica que consagra el art. 9.3 CE, al derecho a la tutela judicial efectiva (art. 24.1 CE) y a los arts. 103.1 y 106.1 CE que garantizan el pleno sometimiento a la ley y Derecho de la actividad administrativa y el control judicial de la misma. Entiende el Juzgado que esta conclusión encuentra apoyo en la doctrina establecida en las SSTC 129/2013 y 203/2013.</w:t>
      </w:r>
    </w:p>
    <w:p w:rsidR="0033382B" w:rsidRDefault="0033382B" w:rsidP="0033382B">
      <w:pPr>
        <w:pStyle w:val="TextoNormal"/>
      </w:pPr>
    </w:p>
    <w:p w:rsidR="0033382B" w:rsidRDefault="0033382B" w:rsidP="0033382B">
      <w:pPr>
        <w:pStyle w:val="TextoNormal"/>
      </w:pPr>
      <w:r>
        <w:t>Se considera también que la norma cuestionada es contraria a los arts. 105, 137 y 140 CE. Se arguye que el precepto legal cuestionado afectó al contenido esencial de un servicio público de titularidad municipal y que se adoptó con forma de ley una decisión propiamente administrativa, privando a los entes locales de su derecho a participar en el procedimiento de adopción de la decisión administrativa consagrado en el art. 105 a) y c) CE. Además, se les concedió únicamente un plazo de dos meses para poder desistir del contrato, plazo insuficiente para que un ayuntamiento con los medios del de Piñor (apenas 1.300 habitantes) consiguiera por sí solo un sistema alternativo de gestión y tratamiento de los residuos con los requisitos y garantías medioambientales legalmente exigibles.</w:t>
      </w:r>
    </w:p>
    <w:p w:rsidR="0033382B" w:rsidRDefault="0033382B" w:rsidP="0033382B">
      <w:pPr>
        <w:pStyle w:val="TextoNormal"/>
      </w:pPr>
    </w:p>
    <w:p w:rsidR="0033382B" w:rsidRDefault="0033382B" w:rsidP="0033382B">
      <w:pPr>
        <w:pStyle w:val="TextoNormal"/>
      </w:pPr>
      <w:r>
        <w:t>Asimismo, se argumenta la vulneración del art. 149.1.18 CE, por cuanto que la revisión del precio del contrato llevado a cabo en la disposición legal en cuestión, de manera unilateral a favor de la sociedad anónima y sin conceder previamente un trámite de audiencia a la Administración contratante, vulneró lo dispuesto en la legislación estatal sobre revisión de precios (arts. 87.3, 89 y sigs. del texto refundido de la Ley de constratos del sector público), sobre modificación y mantenimiento del equilibrio financiero en los contratos públicos (art. 282 del texto refundido de la Ley de constratos del sector público) y sobre revisión de los contratos (disposición adicional octogésima octava octogésima octava de la Ley 22/2013, de 23 de diciembre), normativa básica estatal que vincula al legislador autonómico.</w:t>
      </w:r>
    </w:p>
    <w:p w:rsidR="0033382B" w:rsidRDefault="0033382B" w:rsidP="0033382B">
      <w:pPr>
        <w:pStyle w:val="TextoNormal"/>
      </w:pPr>
    </w:p>
    <w:p w:rsidR="0033382B" w:rsidRDefault="0033382B" w:rsidP="0033382B">
      <w:pPr>
        <w:pStyle w:val="TextoNormal"/>
      </w:pPr>
      <w:r>
        <w:t>Por último, se aduce la vulneración del art. 134.2 CE en relación con el art. 53.1 EAG, en cuanto que Sogama, S.A., no es en puridad una sociedad pública, pues pertenece en un 49 por 100 a una entidad privada, por lo que su inclusión en una ley de presupuestos podría considerarse anómala e irregular con arreglo a la doctrina constitucional sentada en la STC 206/2013, de 5 de diciembre, pues no guarda una conexión directa e inmediata con los gastos e ingresos públicos ni su inclusión en la ley de presupuestos está justificada en facilitar una mayor inteligencia y más eficaz ejecución del presupuesto.</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15 de diciembre de 2015, la Sección Tercera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el 8 de febrero de 2016. A juicio de la Fiscal General, la presente cuestión de constitucionalidad se ha formulado cumpliendo los requisitos procesales que establece el art. 35.2 LOTC. El órgano judicial otorgó trámite de audiencia a las partes y al Ministerio Fiscal sobre la pertinencia de plantear cuestión de inconstitucionalidad, identificando la norma legal sobre cuya constitucionalidad se duda y los preceptos constitucionales que la referida norma puede contravenir. También considera debidamente efectuados el juicio de aplicabilidad —el órgano judicial puso de manifiesto que es la norma aplicable a la controversia que tiene que resolver el órgano judicial— como el de relevancia —se indica que de la conformidad de esta norma cuestionada con la Constitución depende el fallo—.</w:t>
      </w:r>
    </w:p>
    <w:p w:rsidR="0033382B" w:rsidRDefault="0033382B" w:rsidP="0033382B">
      <w:pPr>
        <w:pStyle w:val="TextoNormal"/>
      </w:pPr>
    </w:p>
    <w:p w:rsidR="0033382B" w:rsidRDefault="0033382B" w:rsidP="0033382B">
      <w:pPr>
        <w:pStyle w:val="TextoNormal"/>
      </w:pPr>
      <w:r>
        <w:t>En cuanto al fondo, se señala, en primer lugar, que la Comunidad Autónoma de Galicia, en virtud de las competencias sobre medio ambiente que le atribuye el art. 29 de su Estatuto de Autonomía, tiene competencias para dictar leyes que regulen los residuos sólidos urbanos y para adoptar las medidas de ejecución que considere adecuadas en el ejercicio de esta competencia.</w:t>
      </w:r>
    </w:p>
    <w:p w:rsidR="0033382B" w:rsidRDefault="0033382B" w:rsidP="0033382B">
      <w:pPr>
        <w:pStyle w:val="TextoNormal"/>
      </w:pPr>
    </w:p>
    <w:p w:rsidR="0033382B" w:rsidRDefault="0033382B" w:rsidP="0033382B">
      <w:pPr>
        <w:pStyle w:val="TextoNormal"/>
      </w:pPr>
      <w:r>
        <w:t>La Fiscal General considera que la norma cuestionada no se puede considerar contraria al art. 9.3 CE, pues, en su opinión, nada excluye que sea el propio legislador el que pueda establecer el canon unitario que ahora se cuestiona. Entiende que, de acuerdo con la doctrina de este Tribunal (ATC 193/2012, FJ 4), la norma cuestionada no pude considerarse arbitraria, pues no es discriminatoria y, además, responde a una finalidad legítima y racional: procurar la viabilidad económica y sostenibilidad de un sistema institucionalizado de gestión de residuos urbanos a través de Sogama, S.A., mediante una gestión adecuada del medio ambiente de la Comunidad Autónoma de Galicia. Por otra parte, considera que, como ha sostenido este Tribunal (STC 73/2000), “no cabe deducir de la Constitución la existencia de una reserva reglamentaria de manera que el legislador no tiene vedada la regulación de materias que no le están materialmente reservadas”.</w:t>
      </w:r>
    </w:p>
    <w:p w:rsidR="0033382B" w:rsidRDefault="0033382B" w:rsidP="0033382B">
      <w:pPr>
        <w:pStyle w:val="TextoNormal"/>
      </w:pPr>
    </w:p>
    <w:p w:rsidR="0033382B" w:rsidRDefault="0033382B" w:rsidP="0033382B">
      <w:pPr>
        <w:pStyle w:val="TextoNormal"/>
      </w:pPr>
      <w:r>
        <w:t>También descarta que el modo de proceder en la determinación del canon unitario conlleve una vulneración del principio de seguridad jurídica que consagra el art. 9.3 CE, pues la norma cuestionada proyecta sus efectos hacia el futuro y, además, solo resulta aplicable a los Ayuntamientos que lo acepten voluntariamente, pues, si no están de acuerdo, pueden desistir del negocio jurídico celebrado en el plazo que establece la disposición cuestionada.</w:t>
      </w:r>
    </w:p>
    <w:p w:rsidR="0033382B" w:rsidRDefault="0033382B" w:rsidP="0033382B">
      <w:pPr>
        <w:pStyle w:val="TextoNormal"/>
      </w:pPr>
    </w:p>
    <w:p w:rsidR="0033382B" w:rsidRDefault="0033382B" w:rsidP="0033382B">
      <w:pPr>
        <w:pStyle w:val="TextoNormal"/>
      </w:pPr>
      <w:r>
        <w:t>Igualmente rechaza que la disposición adicional vigesimoprimera de la Ley 11/2013, de 26 de diciembre, de presupuestos generales de la Comunidad Autónoma de Galicia para 2014 sea una ley singular que no respeta la doctrina establecida por este Tribunal en relación con este tipo de leyes y que, por este motivo, pueda lesionar el art. 24.1 CE, como plantea el órgano judicial. A su juicio, es dudoso que la norma cuestionada le resulte de aplicación la referida doctrina constitucional. Según se afirma, si es contenido de la Ley de presupuestos establecer las partidas relativas a la explotación y capital de las sociedades mercantiles autonómicas, como es Sogama, S.A., el establecimiento del canon cuestionado a través de este tipo de leyes no puede considerarse una materia ajena a las competencias del legislador. Tal consideración no impide, en opinión de la Fiscal General, que el propio legislador pueda deslegalizar esta materia, y establecer que la revisión del referido canon se efectuara a través del procedimiento administrativo que la propia norma establece. Por todo ello entiende que la norma legal no sustituye a ningún procedimiento administrativo de fijación de canon unitario (el establecimiento del anterior canon unitario se había efectuado también por ley, por la disposición adicional tercera de Ley 6/2002 de presupuestos generales de Galicia), por lo que no sustituye a ningún procedimiento administrativo de fijación de un nuevo canon unitario, por lo que, al no regular un supuesto de hecho cuya normación corresponda a la Administración, no cumple uno de los requisitos para que pueda considerarse ley singular.</w:t>
      </w:r>
    </w:p>
    <w:p w:rsidR="0033382B" w:rsidRDefault="0033382B" w:rsidP="0033382B">
      <w:pPr>
        <w:pStyle w:val="TextoNormal"/>
      </w:pPr>
    </w:p>
    <w:p w:rsidR="0033382B" w:rsidRDefault="0033382B" w:rsidP="0033382B">
      <w:pPr>
        <w:pStyle w:val="TextoNormal"/>
      </w:pPr>
      <w:r>
        <w:t>No obstante, se considera también, que aunque se aceptara la naturaleza de ley singular de la norma cuestionada, tampoco ello determinaría su inconstitucionalidad, pues de acuerdo con la doctrina de este Tribunal (STC 203/2013), en supuestos excepcionales, este tipo de leyes son admisibles si respetan los límites establecidos por este Tribunal. Según afirma la Fiscal General, la norma cuestionada se encontraría dentro de los excepcionales supuestos en los que este Tribunal ha admitido su constitucionalidad, pues, por una parte, concurre una justificada necesidad y urgencia en la adopción de la medida de modificación del canon unitario (la sostenibilidad económica del sistema de gestión de residuos sólidos urbanos) y esta medida no conlleva una vulneración del principio de igualdad, pues trata por igual a todos los destinatarios de la norma, los municipios de la Comunidad Autónoma de Galicia, pues a todos ellos se les aplica el mismo canon.</w:t>
      </w:r>
    </w:p>
    <w:p w:rsidR="0033382B" w:rsidRDefault="0033382B" w:rsidP="0033382B">
      <w:pPr>
        <w:pStyle w:val="TextoNormal"/>
      </w:pPr>
    </w:p>
    <w:p w:rsidR="0033382B" w:rsidRDefault="0033382B" w:rsidP="0033382B">
      <w:pPr>
        <w:pStyle w:val="TextoNormal"/>
      </w:pPr>
      <w:r>
        <w:t>Junto a ello se sostiene que como la adhesión al sistema de gestión institucionalizada de este servicio público que presta la Comunidad Autónoma a sus municipios es voluntaria. Ni es obligatorio adherirse a esta sistema de gestión de residuos ni los que se adhirieron están obligados a aceptar las nuevas condiciones que impone la norma cuestionada, al permitírseles desistir del negocio jurídico que suscribieron, no cabe apreciar que la norma cuestionada al establecer este nuevo canon puede infringir el art. 24.1 CE.</w:t>
      </w:r>
    </w:p>
    <w:p w:rsidR="0033382B" w:rsidRDefault="0033382B" w:rsidP="0033382B">
      <w:pPr>
        <w:pStyle w:val="TextoNormal"/>
      </w:pPr>
    </w:p>
    <w:p w:rsidR="0033382B" w:rsidRDefault="0033382B" w:rsidP="0033382B">
      <w:pPr>
        <w:pStyle w:val="TextoNormal"/>
      </w:pPr>
      <w:r>
        <w:t>Tampoco considera la Fiscal General del Estado que la norma cuestionada lesione el art. 106 CE por impedir controlar la actividad administrativa, ya que no estamos ante una actividad de la Administración sino ante una norma con rango de ley, respecto de la que no cabe más control que el de constitucionalidad. De igual modo entiende que debe decaer la impugnación que se fundamenta en la vulneración del artículo 105, apartados a) y c), CE por prescindir del trámite de audiencia a los interesados y del procedimiento administrativo establecido para la revisión del canon, pues considera que ningún procedimiento administrativo estaba previsto para la fijación del nuevo canon unitario de gestión de recursos sólidos urbanos. Según se aduce, el que el apartado tercero de la disposición adicional vigesimoprimera establezca un procedimiento administrativo para revisar el canon legalmente establecido no significa que la Ley no pudiera establecer el referido canon. Por otra parte, se afirma que, al encontrarnos ante un precio público, no es exigible seguir el procedimiento que establece la Ley 6/2003 de tasas, precios y exacciones de la Comunidad de Galicia, como sostiene el órgano judicial que plantea la presente cuestión.</w:t>
      </w:r>
    </w:p>
    <w:p w:rsidR="0033382B" w:rsidRDefault="0033382B" w:rsidP="0033382B">
      <w:pPr>
        <w:pStyle w:val="TextoNormal"/>
      </w:pPr>
    </w:p>
    <w:p w:rsidR="0033382B" w:rsidRDefault="0033382B" w:rsidP="0033382B">
      <w:pPr>
        <w:pStyle w:val="TextoNormal"/>
      </w:pPr>
      <w:r>
        <w:t>Se rechaza también que la materia regulada por esta norma exceda del contenido material de las leyes de presupuestos, pues esta norma tiene una naturaleza económica que puede afectar a los recursos económicos de la Comunidad Autónoma, pues contribuye a la sostenibilidad económica del sistema autonómico de gestión de residuos sólidos urbanos.</w:t>
      </w:r>
    </w:p>
    <w:p w:rsidR="0033382B" w:rsidRDefault="0033382B" w:rsidP="0033382B">
      <w:pPr>
        <w:pStyle w:val="TextoNormal"/>
      </w:pPr>
    </w:p>
    <w:p w:rsidR="0033382B" w:rsidRDefault="0033382B" w:rsidP="0033382B">
      <w:pPr>
        <w:pStyle w:val="TextoNormal"/>
      </w:pPr>
      <w:r>
        <w:t>Se opone también a que la impugnación por la que se aduce la infracción del derecho a la autonomía local pueda prosperar. Se considera que la Comunidad Autónoma de Galicia, en ejercicio de sus competencias, ha establecido un sistema institucionalizado de gestión de residuos sólidos urbanos y ha aprobado las medidas necesarias para su viabilidad y sostenibilidad que ha ofertado a los distintos Ayuntamientos de la Comunidad Autónoma, quienes pueden o no adherirse al sistema de manera voluntaria, pues la ley ni obliga a adherirse al referido sistema ni impide a los municipios que se hubieran adherido al mismo con anterioridad a la entrada en vigor de esta norma que puedan desistir de los negocios jurídicos en los que se adhirieron al mismo.</w:t>
      </w:r>
    </w:p>
    <w:p w:rsidR="0033382B" w:rsidRDefault="0033382B" w:rsidP="0033382B">
      <w:pPr>
        <w:pStyle w:val="TextoNormal"/>
      </w:pPr>
    </w:p>
    <w:p w:rsidR="0033382B" w:rsidRDefault="0033382B" w:rsidP="0033382B">
      <w:pPr>
        <w:pStyle w:val="TextoNormal"/>
      </w:pPr>
      <w:r>
        <w:t>Por último, se descarta asimismo que la norma cuestionada pueda vulnerar la legislación básica estatal sobre contratación pública, pues se considera que el legislador autonómico tiene competencias para establecer el canon unitario de gestión de los residuos sólidos urbanos, sin que esta regulación afecte a la legislación básica estatal en materia de contratos administrativos.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el Juzgado de lo Contencioso-Administrativo núm. 2 de Ourense en relación con el apartado segundo de la disposición adicional vigesimoprimera de la Ley 11/2013, de 26 de diciembre, de presupuestos generales de la Comunidad Autónoma de Galicia para 2014.</w:t>
      </w:r>
    </w:p>
    <w:p w:rsidR="0033382B" w:rsidRDefault="0033382B" w:rsidP="0033382B">
      <w:pPr>
        <w:pStyle w:val="TextoNormal"/>
      </w:pPr>
    </w:p>
    <w:p w:rsidR="0033382B" w:rsidRDefault="0033382B" w:rsidP="0033382B">
      <w:pPr>
        <w:pStyle w:val="TextoNormal"/>
      </w:pPr>
      <w:r>
        <w:t>Dicha disposición adicional vigesimoprimera regula la garantía de sostenibilidad financiera del sistema promovido por la Administración autonómica para la gestión institucional de los residuos domésticos. Su apartado dos dispone lo siguiente:</w:t>
      </w:r>
    </w:p>
    <w:p w:rsidR="0033382B" w:rsidRDefault="0033382B" w:rsidP="0033382B">
      <w:pPr>
        <w:pStyle w:val="TextoNormal"/>
      </w:pPr>
    </w:p>
    <w:p w:rsidR="0033382B" w:rsidRDefault="0033382B" w:rsidP="0033382B">
      <w:pPr>
        <w:pStyle w:val="TextoNormal"/>
      </w:pPr>
      <w:r>
        <w:t>“A los efectos indicados en el apartado anterior y para garantizar la sostenibilidad financiera del sistema se fija un canon unitario de tratamiento por tonelada, expresado en el artículo 29 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0033382B" w:rsidRDefault="0033382B" w:rsidP="0033382B">
      <w:pPr>
        <w:pStyle w:val="TextoNormal"/>
      </w:pPr>
    </w:p>
    <w:p w:rsidR="0033382B" w:rsidRDefault="0033382B" w:rsidP="0033382B">
      <w:pPr>
        <w:pStyle w:val="TextoNormal"/>
      </w:pPr>
      <w:r>
        <w:t>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0033382B" w:rsidRDefault="0033382B" w:rsidP="0033382B">
      <w:pPr>
        <w:pStyle w:val="TextoNormal"/>
      </w:pPr>
    </w:p>
    <w:p w:rsidR="0033382B" w:rsidRDefault="0033382B" w:rsidP="0033382B">
      <w:pPr>
        <w:pStyle w:val="TextoNormal"/>
      </w:pPr>
      <w:r>
        <w:t>Como se ha expuesto en los antecedentes, el Juzgado promotor de la cuestión considera que ese apartado segundo puede ser contrario a los arts. 9.3, 24.1, 103.1, 105, 106, 137, 140 y 149.1.18 CE y del art. 134.2 CE en relación con el art. 53.1 del Estatuto de Autonomía para Galicia (EAG). Por el contrario, la Fiscal General del Estado ha interesado la inadmisión de la cuestión de inconstitucionalidad planteada al considerarla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2</w:t>
      </w:r>
      <w:r>
        <w:t xml:space="preserve">. Con carácter previo a abordar el fondo de la presente cuestión es preciso delimitar su objeto. Aunque el órgano judicial plantea esta cuestión de inconstitucionalidad respecto al apartado segundo de la disposición adicional vigesimoprimera de la Ley 11/2013, de 26 de diciembre, de presupuestos generales de la Comunidad Autónoma de Galicia para 2014, en su totalidad, la norma cuestionada solo es aplicable y relevante para el fallo en su párrafo segundo, que es el que afecta a los contratos ya celebrados y el que, por tanto, resulta determinante para resolver la controversia planteada en el proceso </w:t>
      </w:r>
      <w:r w:rsidRPr="0033382B">
        <w:rPr>
          <w:i/>
        </w:rPr>
        <w:t>a quo</w:t>
      </w:r>
      <w:r>
        <w:t>, en el que lo que se plantea es, precisamente, si esta norma determina la modificación del precio establecido en el contrato celebrado entre Sogama, S.A., y el Ayuntamiento demandado para el tratamiento de los residuos urbanos del municipio. Así, además, se pone de manifiesto por el órgano judicial cuando, en el Auto de planteamiento, justifica que la decisión del proceso depende de la validez de esta norma, ya que la pretensión planteada en el mismo es que el Ayuntamiento demandado pague a Sogama, S.A., el precio por la prestación del servicio de gestión de los residuos urbanos de acuerdo con lo establecido en la norma cuestionada; pretensión a la que se opone el referido Ayuntamiento al considerar que esta norma, al establecer una revisión del precio del contrato celebrado, es inconstitucional.</w:t>
      </w:r>
    </w:p>
    <w:p w:rsidR="0033382B" w:rsidRDefault="0033382B" w:rsidP="0033382B">
      <w:pPr>
        <w:pStyle w:val="TextoNormal"/>
      </w:pPr>
    </w:p>
    <w:p w:rsidR="0033382B" w:rsidRDefault="0033382B" w:rsidP="0033382B">
      <w:pPr>
        <w:pStyle w:val="TextoNormal"/>
      </w:pPr>
      <w:r>
        <w:t>En consecuencia, el objeto de la presente cuestión debe ceñirse únicamente al párrafo segundo de esta norma, pues el párrafo primero del apartado segundo de la disposición adicional, que es el que fija el canon unitario de tratamiento por tonelada y su forma de actualización en el futuro, al ser una regulación establecida para los nuevos contratos que vayan a suscribirse no es aplicable al caso, lo que conlleva, de acuerdo con lo previsto en el art. 35.1 de la Ley Orgánica del Tribunal Constitucional (LOTC), que no pueda ser enjuiciada en este proceso constitucional.</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LOTC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0033382B" w:rsidRDefault="0033382B" w:rsidP="0033382B">
      <w:pPr>
        <w:pStyle w:val="TextoNormal"/>
      </w:pPr>
    </w:p>
    <w:p w:rsidR="0033382B" w:rsidRDefault="0033382B" w:rsidP="0033382B">
      <w:pPr>
        <w:pStyle w:val="TextoNormal"/>
      </w:pPr>
      <w:r>
        <w:t>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y 112/2015, de 23 de junio, FJ 2).</w:t>
      </w:r>
    </w:p>
    <w:p w:rsidR="0033382B" w:rsidRDefault="0033382B" w:rsidP="0033382B">
      <w:pPr>
        <w:pStyle w:val="TextoNormal"/>
      </w:pPr>
    </w:p>
    <w:p w:rsidR="0033382B" w:rsidRDefault="0033382B" w:rsidP="0033382B">
      <w:pPr>
        <w:pStyle w:val="TextoNormal"/>
      </w:pPr>
      <w:r>
        <w:t>En el presente caso, por las razones que se van a exponer a continuación, puede apreciarse ya en este trámite liminar que la cuestión planteada es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4</w:t>
      </w:r>
      <w:r>
        <w:t>. El primero de los motivos en los que el órgano judicial fundamenta la inconstitucionalidad de la norma cuestionada es que, a su juicio, es una ley singular que no respeta los límites que la Constitución ha establecido en relación con este tipo de leyes.</w:t>
      </w:r>
    </w:p>
    <w:p w:rsidR="0033382B" w:rsidRDefault="0033382B" w:rsidP="0033382B">
      <w:pPr>
        <w:pStyle w:val="TextoNormal"/>
      </w:pPr>
    </w:p>
    <w:p w:rsidR="0033382B" w:rsidRDefault="0033382B" w:rsidP="0033382B">
      <w:pPr>
        <w:pStyle w:val="TextoNormal"/>
      </w:pPr>
      <w:r>
        <w:t>Dentro de la categoría de ley singular se encuentran incluidas diversos tipos de leyes. Entre ellas se encuentran “aquéllas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SSTC 48/2003, de 12 de marzo, FJ 14; 136/2011, de 13 de septiembre, FJ 3, 121/2012, de 5 de junio, FJ 3; 51/2013, de 28 de febrero, FJ 8; 129/2013, de 4 de junio, FJ 4; 203/2013, de 5 de diciembre, FJ 3; 50/2015, de 5 de marzo, FJ 3, y 231/2015, de 5 de noviembre, FJ 3).</w:t>
      </w:r>
    </w:p>
    <w:p w:rsidR="0033382B" w:rsidRDefault="0033382B" w:rsidP="0033382B">
      <w:pPr>
        <w:pStyle w:val="TextoNormal"/>
      </w:pPr>
    </w:p>
    <w:p w:rsidR="0033382B" w:rsidRDefault="0033382B" w:rsidP="0033382B">
      <w:pPr>
        <w:pStyle w:val="TextoNormal"/>
      </w:pPr>
      <w:r>
        <w:t>El párrafo segundo del apartado segundo de la disposición adicional vigesimoprimera de la Ley 11/2013, de 26 de diciembre, de presupuestos generales de la Comunidad Autónoma de Galicia para 2014, establece, como se ha indicado, que el canon unitario de tratamiento de residuos previsto en su párrafo primero resulta de aplicación a los contratos ya suscritos entre Sogama, S.A., y las entidades locales, salvo que en el plazo de dos meses desde la entrada en vigor de la norma las entidades locales desistan del negocio jurídico suscrito. Esta norma, por tanto, se ha dictado “en atención a un supuesto de hecho concreto y singular que agot[a] su contenido y eficacia en la adopción y ejecución de la medida tomada por el legislador ante ese supuesto de hecho” —modificar en el precio fijado en los referidos contratos—, por lo que dado su objeto puede afirmarse que, según la doctrina de este Tribunal más arriba expuesta, es una ley singular.</w:t>
      </w:r>
    </w:p>
    <w:p w:rsidR="0033382B" w:rsidRDefault="0033382B" w:rsidP="0033382B">
      <w:pPr>
        <w:pStyle w:val="TextoNormal"/>
      </w:pPr>
    </w:p>
    <w:p w:rsidR="0033382B" w:rsidRDefault="0033382B" w:rsidP="0033382B">
      <w:pPr>
        <w:pStyle w:val="TextoNormal"/>
      </w:pPr>
      <w:r>
        <w:t>En la STC 203/2013, de 5 de septiembre, FJ 4 (citando a su vez las SSTC 166/1986, de 19 de diciembre, FJ 11, y 129/2013, de 4 de junio, FJ 4), este Tribunal estableció que para que las leyes singulares sean conformes con la Constitución han de superar tres requisitos: en primer lugar, deben responder a una situación excepcional igualmente singular; en segundo lugar, deben circunscribirse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en tercer lugar, no pueden condicionar o impedir el ejercicio de derechos fundamentales que son materia reservada a leyes generales. Y concluimos, por ello, que “el canon de constitucionalidad que debe utilizar este Tribunal al ejercer su función de control de este tipo de leyes es el de la razonabilidad, proporcionalidad y adecuación”.</w:t>
      </w:r>
    </w:p>
    <w:p w:rsidR="0033382B" w:rsidRDefault="0033382B" w:rsidP="0033382B">
      <w:pPr>
        <w:pStyle w:val="TextoNormal"/>
      </w:pPr>
    </w:p>
    <w:p w:rsidR="0033382B" w:rsidRDefault="0033382B" w:rsidP="0033382B">
      <w:pPr>
        <w:pStyle w:val="TextoNormal"/>
      </w:pPr>
      <w:r>
        <w:t>La norma que ahora se enjuicia respeta las exigencias que impone la jurisprudencia constitucional que acaba de citarse:</w:t>
      </w:r>
    </w:p>
    <w:p w:rsidR="0033382B" w:rsidRDefault="0033382B" w:rsidP="0033382B">
      <w:pPr>
        <w:pStyle w:val="TextoNormal"/>
      </w:pPr>
    </w:p>
    <w:p w:rsidR="0033382B" w:rsidRDefault="0033382B" w:rsidP="0033382B">
      <w:pPr>
        <w:pStyle w:val="TextoNormal"/>
      </w:pPr>
      <w:r>
        <w:t>a) La norma responde a una situación excepcional, pues, según se establece en el párrafo primero del apartado segundo de esta disposición adicional, se dicta con el fin de “garantizar la sostenibilidad financiera del sistema”, por lo que cumpliría la primera de las exigencias establecidas por este Tribunal.</w:t>
      </w:r>
    </w:p>
    <w:p w:rsidR="0033382B" w:rsidRDefault="0033382B" w:rsidP="0033382B">
      <w:pPr>
        <w:pStyle w:val="TextoNormal"/>
      </w:pPr>
    </w:p>
    <w:p w:rsidR="0033382B" w:rsidRDefault="0033382B" w:rsidP="0033382B">
      <w:pPr>
        <w:pStyle w:val="TextoNormal"/>
      </w:pPr>
      <w:r>
        <w:t>b) Se trata de una medida que no hubiera podido ser adoptada por la Administración. En este caso la “singularidad” de la norma radica en que el canon allí establecido resulta de aplicación a los negocios jurídicos ya celebrados, y en que la Administración carece de potestades para alterar el régimen jurídico de los contratos suscritos por terceros y modificar el precio fijado en los mismos. Esta decisión solo puede ser adoptada por ley, pues solo una ley especial en la que se prevea esta consecuencia, puede excepcionar la aplicación la ley general que establece la obligatoriedad de los contratos desde que se perfeccionan (art. 1258 del Código civil: CC). En el ámbito de la contratación pública, esta regla está consagrada específicamente en el art. 209 del texto refundido de la Ley de contratos del servicio público, según el cual “[l]os contratos deberán cumplirse a tenor de sus cláusulas sin perjuicio de las prerrogativas establecidas por la legislación en favor de las Administraciones Públicas”. En el presente caso tales prerrogativas no tienen ninguna incidencia, pues son las que la legislación de contratos reconoce a la Administración contratante y en el supuesto que ahora se examina la Administración contratante es el ayuntamiento demandado, quien no solo no ha promovido la modificación del precio del contrato, sino que considera que la modificación del precio que efectúa la norma cuestionada es inconstitucional.</w:t>
      </w:r>
    </w:p>
    <w:p w:rsidR="0033382B" w:rsidRDefault="0033382B" w:rsidP="0033382B">
      <w:pPr>
        <w:pStyle w:val="TextoNormal"/>
      </w:pPr>
    </w:p>
    <w:p w:rsidR="0033382B" w:rsidRDefault="0033382B" w:rsidP="0033382B">
      <w:pPr>
        <w:pStyle w:val="TextoNormal"/>
      </w:pPr>
      <w:r>
        <w:t>La Administración autonómica, en cuanto promotora del sistema institucional de gestión de los residuos domésticos, carece de potestades para incidir en los contratos celebrados por terceros, por ello, la decisión de modificar el precio de los contratos que suscribió la sociedad pública autonómica Sogama, S.A, con las entidades locales para la gestión de los residuos urbanos municipales no puede adoptarla esta Administración. El único modo de excepcionar la regla general que establece la vinculatoriedad de los contratos en los términos que han sido pactados es a través de otra norma que tenga rango suficiente para poder considerarla de preferente aplicación frente a la norma general que establece tal consecuencia. Como la norma que obliga a cumplir los contratos “a tenor de sus cláusulas” tiene rango legal (art. 209 del texto refundido de la Ley de contratos del Estado o el art. 1258 CC) es preciso, por tanto, otra ley que establezca una norma especial que impida la aplicación de la ley general. Resulta, por tanto, que esta norma no modifica las normas generales que regulan la contratación pública, sino que, únicamente, contiene una medida singular —la modificación del precio de unos determinados contratos— que solo puede adoptarla el legislador.</w:t>
      </w:r>
    </w:p>
    <w:p w:rsidR="0033382B" w:rsidRDefault="0033382B" w:rsidP="0033382B">
      <w:pPr>
        <w:pStyle w:val="TextoNormal"/>
      </w:pPr>
    </w:p>
    <w:p w:rsidR="0033382B" w:rsidRDefault="0033382B" w:rsidP="0033382B">
      <w:pPr>
        <w:pStyle w:val="TextoNormal"/>
      </w:pPr>
      <w:r>
        <w:t>En suma, la medida establecida no podía adoptarse a través de “los instrumentos normales de que dispone la Administración”, por lo que se cumple el segundo de los requisitos establecidos en doctrina constitucional.</w:t>
      </w:r>
    </w:p>
    <w:p w:rsidR="0033382B" w:rsidRDefault="0033382B" w:rsidP="0033382B">
      <w:pPr>
        <w:pStyle w:val="TextoNormal"/>
      </w:pPr>
    </w:p>
    <w:p w:rsidR="0033382B" w:rsidRDefault="0033382B" w:rsidP="0033382B">
      <w:pPr>
        <w:pStyle w:val="TextoNormal"/>
      </w:pPr>
      <w:r>
        <w:t>c) También se respeta el tercer requisito, antes aludido, de no condicionar o impedir el ejercicio de derechos fundamentales, ya que esta materia que está reservada a leyes generales. El objeto de la Ley cuestionada es modificar el precio establecido en determinados contratos, por lo que no regula ninguna medida que, en sí misma, impida o condicione el ejercicio de derechos fundamentales; cuestión distinta es que, dado el rango de esta norma, tal medida no pueda ser objeto de impugnación ante los Tribunales, pero este es un efecto que se deriva, no del objeto regulado, sino del rango de la norma que lo regula y en el caso examinado carece de efectos relevantes desde el punto de vista de la tutela de los derechos e intereses legítimos, habida cuenta de la posibilidad de impugnar los actos de aplicación de la norma que aquí se examina y de la facultad de los tribunales ordinarios ante los que se formulen estas impugnaciones de plantear, en su caso, cuestión de inconstitucionalidad ante este Tribunal, como ha ocurrido en el supuesto objeto de enjuiciamiento.</w:t>
      </w:r>
    </w:p>
    <w:p w:rsidR="0033382B" w:rsidRDefault="0033382B" w:rsidP="0033382B">
      <w:pPr>
        <w:pStyle w:val="TextoNormal"/>
      </w:pPr>
    </w:p>
    <w:p w:rsidR="0033382B" w:rsidRDefault="0033382B" w:rsidP="0033382B">
      <w:pPr>
        <w:pStyle w:val="TextoNormal"/>
      </w:pPr>
      <w:r>
        <w:t>Finalmente, también se supera “el canon de la razonabilidad, proporcionalidad y adecuación” al que se refieren, entre otras, las STC 129/2013, de 4 de junio, FJ 4, y STC 203/2013, de 5 de diciembre, FJ 4. De acuerdo con nuestra doctrina, la Ley es razonable si tiene una justificación objetiva (STC 203/2013, de 5 de diciembre, FJ 5). En este caso la tiene, pues según se afirma en la propia norma, esta medida se ha adoptado para garantizar la sostenibilidad financiera del sistema. Además, es adecuada para conseguir el fin perseguido, pues el incremento del precio fijado en el contrato contribuye a alcanzar ese objetivo y es proporcionada, ya que, desde una perspectiva general, las ventajas que conlleva su imposición —garantizar la viabilidad económica de la empresa pública que gestiona el sistema institucional de residuos domésticos— son mayores que los perjuicios que puede ocasionar a los ayuntamientos que han contratado el servicio la elevación del precio establecido en los contrato. Ha de tenerse en cuenta, por una parte, que la Ley otorga la posibilidad a las entidades locales que no estén de acuerdo con el nuevo precio legalmente establecido de desistir del contrato durante el plazo de dos meses desde su entrada en vigor; y, por otra, que, si la empresa quebrara, tampoco podría prestar el servicio y las entidades locales tampoco podrían obtener su prestación. En tal caso, la quiebra de la empresa que gestiona el servicio afectaría, además, a todo el sistema de gestión institucional de los residuos promovido por la Administración autonómica, lo que determinaría que no pudieran alcanzarse los fines de interés general que a través de ese sistema pretenden conseguirse. De ahí que no pueda considerarse desproporcionada la medida adoptada por la norma cuestionada.</w:t>
      </w:r>
    </w:p>
    <w:p w:rsidR="0033382B" w:rsidRDefault="0033382B" w:rsidP="0033382B">
      <w:pPr>
        <w:pStyle w:val="TextoNormal"/>
      </w:pPr>
    </w:p>
    <w:p w:rsidR="0033382B" w:rsidRDefault="0033382B" w:rsidP="0033382B">
      <w:pPr>
        <w:pStyle w:val="TextoNormal"/>
      </w:pPr>
      <w:r>
        <w:t>Por todo ello, debe declararse que el párrafo segundo del apartado 2 de la disposición adicional cuestionada es una ley singular que respeta los límites que, según la jurisprudencia de este Tribunal, deben cumplir este tipo de leyes, por lo que no puede entenderse lesiva de los arts. 9.3, 24.1, 103 y 106 CE.</w:t>
      </w:r>
    </w:p>
    <w:p w:rsidR="0033382B" w:rsidRDefault="0033382B" w:rsidP="0033382B">
      <w:pPr>
        <w:pStyle w:val="TextoNormal"/>
      </w:pPr>
    </w:p>
    <w:p w:rsidR="0033382B" w:rsidRDefault="0033382B" w:rsidP="0033382B">
      <w:pPr>
        <w:pStyle w:val="TextoNormal"/>
      </w:pPr>
      <w:r w:rsidRPr="0033382B">
        <w:rPr>
          <w:rStyle w:val="NumeroAFNegritaCaracter"/>
        </w:rPr>
        <w:t>5</w:t>
      </w:r>
      <w:r>
        <w:t>. Tampoco puede apreciarse que la norma cuestionada sea contraria a los arts. 105, apartados a) y c), 137 y 140 CE.</w:t>
      </w:r>
    </w:p>
    <w:p w:rsidR="0033382B" w:rsidRDefault="0033382B" w:rsidP="0033382B">
      <w:pPr>
        <w:pStyle w:val="TextoNormal"/>
      </w:pPr>
    </w:p>
    <w:p w:rsidR="0033382B" w:rsidRDefault="0033382B" w:rsidP="0033382B">
      <w:pPr>
        <w:pStyle w:val="TextoNormal"/>
      </w:pPr>
      <w:r>
        <w:t>Es doctrina constitucional reiterada que de la Constitución no se deduce la existencia de una reserva reglamentaria (SSTC 5/1981, de 13 de febrero, FJ 21; 251/2006, de 25 de julio, FJ 6; 73/2000, de 14 de marzo, FJ 15; 203/2013, de 5 de diciembre, FJ 3; 120/2014, de 17 de julio de 2014, FJ 8; 12/2015, de 5 de febrero FJ 5; y 50/2015, de 5 de marzo, FJ 4, entre otras muchas). Por ello, este Tribunal ha sostenido que, como el legislador no tiene vedada la regulación de materias que no le estén materialmente reservadas, “dentro del marco de la Constitución y respetando sus específicas limitaciones, la ley puede tener en nuestro ordenamiento cualquier contenido y en modo alguno le está vedada la regulación de materias antes atribuidas al poder reglamentario” (SSTC 73/2000, de 14 de marzo, FJ 15; 203/2013, de 5 de diciembre, FJ 3; 120/2014, de 17 de julio de 2014, FJ 8; y 12/2015, de 5 de febrero, FJ 5).</w:t>
      </w:r>
    </w:p>
    <w:p w:rsidR="0033382B" w:rsidRDefault="0033382B" w:rsidP="0033382B">
      <w:pPr>
        <w:pStyle w:val="TextoNormal"/>
      </w:pPr>
    </w:p>
    <w:p w:rsidR="0033382B" w:rsidRDefault="0033382B" w:rsidP="0033382B">
      <w:pPr>
        <w:pStyle w:val="TextoNormal"/>
      </w:pPr>
      <w:r>
        <w:t>De este modo, al no existir en la Constitución la denominada reserva reglamentaria, ninguna vulneración del art. 105 a) CE puede conllevar que una determinada materia sea regulada por una norma de rango de ley, pues ni el referido precepto constitucional ni ningún otro garantizan que determinadas materias hayan de ser reguladas por la Administración a través del procedimiento por el que debe ejercer su potestad reglamentaria. A la misma conclusión debe llegarse sobre la pretendida infracción del art. 105 c) CE. Como se ha indicado, la decisión adoptada por el legislador respeta las exigencias que este Tribunal ha establecido respecto de las leyes singulares, por lo que los afectados por esta resolución no pueden aducir ningún derecho a que la misma se hubiese adoptado a través de un procedimiento administrativo.</w:t>
      </w:r>
    </w:p>
    <w:p w:rsidR="0033382B" w:rsidRDefault="0033382B" w:rsidP="0033382B">
      <w:pPr>
        <w:pStyle w:val="TextoNormal"/>
      </w:pPr>
    </w:p>
    <w:p w:rsidR="0033382B" w:rsidRDefault="0033382B" w:rsidP="0033382B">
      <w:pPr>
        <w:pStyle w:val="TextoNormal"/>
      </w:pPr>
      <w:r>
        <w:t>Tampoco puede prosperar la alegación por la que se aduce que la norma cuestionada ha lesionado el derecho a la autonomía local y que, por este motivo, haya infringido los arts. 137 y 140 CE. De acuerdo con la doctrina de este Tribunal, la autonomía local reconocida en los arts. 137, 140 y 141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(entre otras muchas, STC 92/2015, FJ 4), y en este caso la norma cuestionada no infringe tales derechos, pues, al margen de otras consideraciones, son las entidades locales afectadas las que deben decidir si desisten del contrato suscrito, dadas las modificaciones que la aprobación de la ley conlleva en los mismos o si, por el contrario, se adhieren al sistema institucional de gestión de los residuos que esta norma promueve. Esta decisión no puede considerarse menoscabada, como alega el órgano judicial que plantea la cuestión, por tenerla que adoptar en el plazo de dos meses desde la aprobación de la ley, pues este plazo es suficiente para que la Administración local que ha suscrito el contrato pueda analizar si le conviene desistir del contrato o aceptar la modificación del precio legalmente establecida.</w:t>
      </w:r>
    </w:p>
    <w:p w:rsidR="0033382B" w:rsidRDefault="0033382B" w:rsidP="0033382B">
      <w:pPr>
        <w:pStyle w:val="TextoNormal"/>
      </w:pPr>
    </w:p>
    <w:p w:rsidR="0033382B" w:rsidRDefault="0033382B" w:rsidP="0033382B">
      <w:pPr>
        <w:pStyle w:val="TextoNormal"/>
      </w:pPr>
      <w:r w:rsidRPr="0033382B">
        <w:rPr>
          <w:rStyle w:val="NumeroAFNegritaCaracter"/>
        </w:rPr>
        <w:t>6</w:t>
      </w:r>
      <w:r>
        <w:t>. La disposición legal cuestionada tampoco incurre en la vulneración de la normativa básica estatal en materia de contratos administrativos ni, por ende, en inconstitucionalidad mediata por contravención del art. 149.1.18 CE. La norma legal no regula la revisión de precios de los contratos públicos, sino que, como se ha expuesto, en atención a una situación excepcional, establece una medida singular con el fin de garantizar la sostenibilidad financiera del sistema institucional de gestión de residuos promovido por la Administración autonómica. En consecuencia, la previsión contenida en la misma, no puede entenderse contraria a la normativa básica estatal en materia de contratos administrativos, pues no tiene como objeto regular esta materia, sino establecer una medida que dé respuesta a la situación excepcional que la fundamenta, sin alterar ni incidir en la legislación básica que rige la contratación pública.</w:t>
      </w:r>
    </w:p>
    <w:p w:rsidR="0033382B" w:rsidRDefault="0033382B" w:rsidP="0033382B">
      <w:pPr>
        <w:pStyle w:val="TextoNormal"/>
      </w:pPr>
    </w:p>
    <w:p w:rsidR="0033382B" w:rsidRDefault="0033382B" w:rsidP="0033382B">
      <w:pPr>
        <w:pStyle w:val="TextoNormal"/>
      </w:pPr>
      <w:r w:rsidRPr="0033382B">
        <w:rPr>
          <w:rStyle w:val="NumeroAFNegritaCaracter"/>
        </w:rPr>
        <w:t>7</w:t>
      </w:r>
      <w:r>
        <w:t>. Por último, la norma cuestionada tampoco vulnera el art. 134.2 CE en relación con el art. 53.1 EAG.</w:t>
      </w:r>
    </w:p>
    <w:p w:rsidR="0033382B" w:rsidRDefault="0033382B" w:rsidP="0033382B">
      <w:pPr>
        <w:pStyle w:val="TextoNormal"/>
      </w:pPr>
    </w:p>
    <w:p w:rsidR="0033382B" w:rsidRDefault="0033382B" w:rsidP="0033382B">
      <w:pPr>
        <w:pStyle w:val="TextoNormal"/>
      </w:pPr>
      <w:r>
        <w:t>De acuerdo con la doctrina de este Tribunal, como tanto la Ley Orgánica 8/1980, de financiación de las Comunidades Autónomas (art. 21.1) como el Estatuto de Autonomía de Galicia (art. 53.1) contienen una cláusula similar al art. 134.2 CE, puede deducirse “un principio general de que el contenido de la Ley de Presupuestos autonómica se adecúe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(SSTC 174/1998, de 23 de julio, FJ 6; 130/1999, de 1 de julio, FJ 5, y 108/2015, de 28 de mayo, FJ 3).</w:t>
      </w:r>
    </w:p>
    <w:p w:rsidR="0033382B" w:rsidRDefault="0033382B" w:rsidP="0033382B">
      <w:pPr>
        <w:pStyle w:val="TextoNormal"/>
      </w:pPr>
    </w:p>
    <w:p w:rsidR="0033382B" w:rsidRDefault="0033382B" w:rsidP="0033382B">
      <w:pPr>
        <w:pStyle w:val="TextoNormal"/>
      </w:pPr>
      <w:r>
        <w:t>En este caso no puede apreciarse que la regulación contenida en el párrafo segundo del apartado segundo de la disposición adicional vigesimoprimera de la Ley 11/2013, de 26 de diciembre, de presupuestos de la Comunidad Autónoma de Galicia para 2014 vulnere el referido principio. Esta previsión, al referirse al canon que debe cobrar una sociedad pública autonómica por la gestión de residuos urbanos municipales —canon que se ha establecido con el fin de garantizar su viabilidad económica— no puede considerarse que no guarde relación con el programa de ingresos y gastos objeto del presupuesto. Según establece el art. 1 g) de la Ley 11/2013, el presupuesto de la Comunidad Autónoma está integrado por “los presupuestos de explotación y capital de las sociedades mercantiles públicas autonómicas a que hace referencia el artículo 102 de la Ley 16/2010, de 17 de diciembre, de organización y funcionamiento de la Administración general y del sector público autonómico”. Pues bien, Sogama, S.A., como acaba de señalarse, es una de estas sociedades, por lo que la determinación de sus ingresos a través del establecimiento del canon al que se refiere el apartado segundo de la disposición adicional y la expresa previsión de la aplicación de este canon a los negocios jurídicos ya suscritos, al incidir en la financiación de la referida empresa, ha de entenderse que es una materia que guarda relación directa con el contenido de la Ley de presupuestos.</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diez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31" w:name="AUTO_2016_104"/>
      <w:r>
        <w:t>AUTO 104/2016, de 10 de mayo de 2016</w:t>
      </w:r>
    </w:p>
    <w:bookmarkEnd w:id="231"/>
    <w:p w:rsidR="0033382B" w:rsidRDefault="0033382B" w:rsidP="0033382B">
      <w:pPr>
        <w:pStyle w:val="TtuloResolucin"/>
      </w:pPr>
      <w:r>
        <w:t>Pleno</w:t>
      </w:r>
    </w:p>
    <w:p w:rsidR="0033382B" w:rsidRDefault="0033382B" w:rsidP="0033382B">
      <w:pPr>
        <w:pStyle w:val="TextoNormalCentrado"/>
      </w:pPr>
      <w:r>
        <w:t>ECLI:ES:TC:2016:104A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6759-2015, planteada por el Tribunal Superior de Justicia de Galicia en relación con el artículo 96 de la Ley del Parlamento de Galicia 9/2002, de 30 de diciembre, de ordenación urbanística y protección del medio rural de Galicia.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1 de diciembre de 2015 se recibió en el Registro General de este Tribunal un escrito de la Sección Segunda de la Sala de lo Contencioso-Administrativo del Tribunal Superior de Justicia de Galicia, al que se acompaña, junto al testimonio del recurso ordinario 4578-2011, el Auto de 3 de noviembre de 2015, en el que se acuerda plantear cuestión de inconstitucionalidad respecto del art. 96 de la Ley del Parlamento de Galicia 9/2002, de 30 de diciembre, de ordenación urbanística y protección del medio rural de Galicia, por posible vulneración de lo previsto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2</w:t>
      </w:r>
      <w:r>
        <w:t>. Los antecedentes de hecho de la cuestión son los siguientes:</w:t>
      </w:r>
    </w:p>
    <w:p w:rsidR="0033382B" w:rsidRDefault="0033382B" w:rsidP="0033382B">
      <w:pPr>
        <w:pStyle w:val="TextoNormal"/>
      </w:pPr>
    </w:p>
    <w:p w:rsidR="0033382B" w:rsidRDefault="0033382B" w:rsidP="0033382B">
      <w:pPr>
        <w:pStyle w:val="TextoNormal"/>
      </w:pPr>
      <w:r>
        <w:t>a) El plan general de ordenación municipal de Ourense aprobado por Orden de 29 de abril de 2003 de la Consellería de Política Territorial, Obras Públicas y Vivienda fue anulado, en firme, por Sentencia del Tribunal Supremo de 9 de marzo de 2011. En consecuencia, resultaba vigente la ordenación del plan general de ordenación municipal de Ourense de 1986. El Decreto 187/2011, de 29 de septiembre, de la Consellería de Medio Ambiente, Territorio e Infraestructuras, acordó, mediante el mecanismo especial del art. 96 de la Ley de ordenación urbanística y protección del medio rural de Galicia, suspender parcialmente la vigencia del plan general de ordenación municipal de Ourense de 1986, así como aprobar una ordenación urbanística provisional hasta la entrada en vigor del nuevo planeamiento, mediante la cual reestablecía la ordenación de 2003 anulada.</w:t>
      </w:r>
    </w:p>
    <w:p w:rsidR="0033382B" w:rsidRDefault="0033382B" w:rsidP="0033382B">
      <w:pPr>
        <w:pStyle w:val="TextoNormal"/>
      </w:pPr>
    </w:p>
    <w:p w:rsidR="0033382B" w:rsidRDefault="0033382B" w:rsidP="0033382B">
      <w:pPr>
        <w:pStyle w:val="TextoNormal"/>
      </w:pPr>
      <w:r>
        <w:t>La asociación de propietarios de fincas urbanas de Ourense impugna dicho Decreto 187/2011. Sostiene que el mecanismo especial del art. 96 de la Ley de ordenación urbanística y protección del medio rural de Galicia solo es aplicable cuando hay un interés público que atender, de modo que el Decreto 187/2011 es nulo en la medida que incluye las 15 áreas de reparto que señala en la demanda, pues en ellas no concurren más que intereses privados.</w:t>
      </w:r>
    </w:p>
    <w:p w:rsidR="0033382B" w:rsidRDefault="0033382B" w:rsidP="0033382B">
      <w:pPr>
        <w:pStyle w:val="TextoNormal"/>
      </w:pPr>
    </w:p>
    <w:p w:rsidR="0033382B" w:rsidRDefault="0033382B" w:rsidP="0033382B">
      <w:pPr>
        <w:pStyle w:val="TextoNormal"/>
      </w:pPr>
      <w:r>
        <w:t xml:space="preserve">b) Con posterioridad al inicio de este recurso ordinario 4578-2011 y después incluso de que se hubieran formulado los escritos de conclusiones, la STS de 5 de febrero de 2014 casó la Sentencia del Tribunal Superior de Justicia de Galicia de 20 de enero de 2011, que había decidido un asunto muy similar al que ahora se planteaba. Dice la Sentencia del Tribunal Supremo, en su fundamento jurídico segundo </w:t>
      </w:r>
      <w:r w:rsidRPr="0033382B">
        <w:rPr>
          <w:i/>
        </w:rPr>
        <w:t>in fine</w:t>
      </w:r>
      <w:r>
        <w:t>, que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artículos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Esta Sentencia del Tribunal Supremo de 5 de febrero de 2014 fue aportada por la parte actora a los recursos ordinarios 4522-2011 y 4523-2011, que también se dirigían contra el Decreto 187/2011 y que han dado lugar a las cuestiones de inconstitucionalidad 6539-2015 y 6576-2015.</w:t>
      </w:r>
    </w:p>
    <w:p w:rsidR="0033382B" w:rsidRDefault="0033382B" w:rsidP="0033382B">
      <w:pPr>
        <w:pStyle w:val="TextoNormal"/>
      </w:pPr>
    </w:p>
    <w:p w:rsidR="0033382B" w:rsidRDefault="0033382B" w:rsidP="0033382B">
      <w:pPr>
        <w:pStyle w:val="TextoNormal"/>
      </w:pPr>
      <w:r>
        <w:t>c) Conclusa la tramitación del proceso a quo, el órgano judicial dictó providencia de 17 de septiembre de 2015, por la que, conforme al art. 35.2 de la Ley Orgánica del Tribunal Constitucional (LOTC), “acuerda oír a las partes y al Ministerio Fiscal sobre la pertinencia de plantear cuestión de inconstitucionalidad respecto del art. 96 de la Ley de ordenación urbanística y protección del medio rural de Galicia, en cuanto que omite un trámite de información pública, ante su posible inconstitucionalidad sobrevenida por infracción del art. 149.1.1, 13, 18 y 23 CE, al contradecir lo establecido en el art. art. 11.1 TRLS”.</w:t>
      </w:r>
    </w:p>
    <w:p w:rsidR="0033382B" w:rsidRDefault="0033382B" w:rsidP="0033382B">
      <w:pPr>
        <w:pStyle w:val="TextoNormal"/>
      </w:pPr>
    </w:p>
    <w:p w:rsidR="0033382B" w:rsidRDefault="0033382B" w:rsidP="0033382B">
      <w:pPr>
        <w:pStyle w:val="TextoNormal"/>
      </w:pPr>
      <w:r>
        <w:t>d) El Fiscal, en escrito de 21 de septiembre de 2015, informa que procede el planteamiento de la cuestión porque el art. 96 de la Ley de ordenación urbanística y protección del medio rural de Galicia omite la exigencia de información pública en el proceso de aprobación de la normativa provisional, omisión que a tenor de la indicada STS de 5 de febrero de 2014 incurre en infracción de los arts. 9.2 y 105 a) CE, además de entrar en contradicción con el art. 11.1 del texto refundido de la Ley de suelo, sin que quepa acudir a la cláusula de prevalencia del derecho estatal sobre el autonómico, ya que el art. 96 de la Ley de ordenación urbanística y protección del medio rural de Galicia fue dictado en ejercicio de la competencia exclusiva de la Comunidad Autónoma de Galicia en materia de urbanismo.</w:t>
      </w:r>
    </w:p>
    <w:p w:rsidR="0033382B" w:rsidRDefault="0033382B" w:rsidP="0033382B">
      <w:pPr>
        <w:pStyle w:val="TextoNormal"/>
      </w:pPr>
    </w:p>
    <w:p w:rsidR="0033382B" w:rsidRDefault="0033382B" w:rsidP="0033382B">
      <w:pPr>
        <w:pStyle w:val="TextoNormal"/>
      </w:pPr>
      <w:r>
        <w:t>El representante del codemandado Concello de Ourense, en escrito de 29 de septiembre de 2015, insta el no planteamiento de la cuestión. A su juicio, la oposición entre el art. 11.1 del texto refundido de la Ley de suelo (que impone la información pública previa a la aprobación de cualquier instrumento urbanístico) y el 96 de la Ley de ordenación urbanística y protección del medio rural de Galicia (que impone previamente la sola audiencia del Ayuntamiento afectado) no es efectiva e insalvable por vía interpretativa. Afirma que el art. 11.1 del texto refundido de la Ley de suelo halla amparo en la competencia del Estado para dictar normas de procedimiento administrativo común (art. 149.1.18 CE), entre las que se cuentan aquellas garantías procedimentales que hayan de respetarse para la formulación de las disposiciones administrativas que afecten a los ciudadanos. Pero añade que “tal garantía básica de información no resulta necesario reconocerla en los supuestos en que se trata de una ordenación provisional aprobada por la Comunidad Autónoma ante la suspensión del planeamiento municipal por razones de interés general. La suspensión y la correspondiente ordenación provisional, con una vocación de vigencia muy limitada, debe configurarse indudablemente como una medida cautelar, en los términos fijados por la STC 36/1994 para la suspensión del otorgamiento de licencias”.</w:t>
      </w:r>
    </w:p>
    <w:p w:rsidR="0033382B" w:rsidRDefault="0033382B" w:rsidP="0033382B">
      <w:pPr>
        <w:pStyle w:val="TextoNormal"/>
      </w:pPr>
    </w:p>
    <w:p w:rsidR="0033382B" w:rsidRDefault="0033382B" w:rsidP="0033382B">
      <w:pPr>
        <w:pStyle w:val="TextoNormal"/>
      </w:pPr>
      <w:r>
        <w:t>El Letrado de la Xunta de Galicia (demandada), en escrito de 30 de septiembre de 2015, afirma que “non se pode reputar como contrario ao bloque de constitucionalidade que o artigo 96 LOUGA no dispoña, para o que estamos a tratar (suspensión do planeamento e ordenación provisional), do trámite de información pública, tendo en conta os perfiles dos instrumentos de que se tratan:actuacions excepcionais, audiencia do Concello previa a suspensión, necesidad de implementar con celeridade una nova ordenación, carácter provisional e transitorio desa ordenación”.</w:t>
      </w:r>
    </w:p>
    <w:p w:rsidR="0033382B" w:rsidRDefault="0033382B" w:rsidP="0033382B">
      <w:pPr>
        <w:pStyle w:val="TextoNormal"/>
      </w:pPr>
    </w:p>
    <w:p w:rsidR="0033382B" w:rsidRDefault="0033382B" w:rsidP="0033382B">
      <w:pPr>
        <w:pStyle w:val="TextoNormal"/>
      </w:pPr>
      <w:r>
        <w:t>La parte recurrente, en escrito de 9 de octubre de 2015, argumenta que el art. 96 de la Ley de ordenación urbanística y protección del medio rural de Galicia es un mecanismo excepcional utilizable exclusivamente cuando el interés público exige, mientras se cambia el planeamiento de una cierta área, suspender el que estaba vigente y hacer una ordenación urbanística provisional. Entendido al servicio de un interés público, no plantea problema de constitucionalidad que no incluya una audiencia pública, por lo que insta que no se eleve la cuestión. Subsidiariamente, si se admite que este mecanismo puede servir para atender intereses privados, dicha omisión de información pública sí sería inconstitucional y procedería, por tanto, plantear la cuestión.</w:t>
      </w:r>
    </w:p>
    <w:p w:rsidR="0033382B" w:rsidRDefault="0033382B" w:rsidP="0033382B">
      <w:pPr>
        <w:pStyle w:val="TextoNormal"/>
      </w:pPr>
    </w:p>
    <w:p w:rsidR="0033382B" w:rsidRDefault="0033382B" w:rsidP="0033382B">
      <w:pPr>
        <w:pStyle w:val="TextoNormal"/>
      </w:pPr>
      <w:r>
        <w:t>e) Por Auto de 3 de noviembre de 2015 la Sección Segunda de la Sala de lo Contencioso-Administrativo del Tribunal Superior de Justicia de Galicia, acordó plantear cuestión de inconstitucionalidad respecto del art. 96 de la Ley del Parlamento de Galicia 9/2002, de 30 de diciembre, de ordenación urbanística y protección del medio rural de Galicia, por posible vulneración de lo dispuesto en los números 1, 13, 18 y 23 del art. 149.1 CE.</w:t>
      </w:r>
    </w:p>
    <w:p w:rsidR="0033382B" w:rsidRDefault="0033382B" w:rsidP="0033382B">
      <w:pPr>
        <w:pStyle w:val="TextoNormal"/>
      </w:pPr>
    </w:p>
    <w:p w:rsidR="0033382B" w:rsidRDefault="0033382B" w:rsidP="0033382B">
      <w:pPr>
        <w:pStyle w:val="TextoNormal"/>
      </w:pPr>
      <w:r w:rsidRPr="0033382B">
        <w:rPr>
          <w:rStyle w:val="NumeroAFNegritaCaracter"/>
        </w:rPr>
        <w:t>3</w:t>
      </w:r>
      <w:r>
        <w:t xml:space="preserve">. Dicho Auto señala, como antecedentes de hecho, que cuando el recurso estaba pendiente de deliberación y votación, la parte actora aportó a los Autos copia de la Sentencia del Tribunal Supremo de 5 de febrero de 2014, que anuló el Decreto 15/2007 de la Xunta de Galicia, de suspensión del plan general de ordenación municipal de Barreiros y aprobación de la ordenación urbanística provisional al amparo de lo previsto en el art. 96 de la Ley 9/2002, por haber sido omitido el trámite de información pública. Acordado el traslado a las demás partes del escrito de la parte actora, varias partes demandadas expusieron que, según la doctrina constitucional, resolver este pleito conforme a ese criterio requería cuestionar la constitucionalidad del art. 96 de la Ley de ordenación urbanística y protección del medio rural de Galicia ante el Tribunal Constitucional, por lo que, mediante providencia de 17 de septiembre de 2015, se confirió el trámite de audiencia </w:t>
      </w:r>
      <w:r w:rsidRPr="0033382B">
        <w:rPr>
          <w:i/>
        </w:rPr>
        <w:t>ex</w:t>
      </w:r>
      <w:r>
        <w:t xml:space="preserve"> art. 35.2 LOTC, que fue evacuado por todos los intervinientes en los términos que se ha dejado ya constancia.</w:t>
      </w:r>
    </w:p>
    <w:p w:rsidR="0033382B" w:rsidRDefault="0033382B" w:rsidP="0033382B">
      <w:pPr>
        <w:pStyle w:val="TextoNormal"/>
      </w:pPr>
    </w:p>
    <w:p w:rsidR="0033382B" w:rsidRDefault="0033382B" w:rsidP="0033382B">
      <w:pPr>
        <w:pStyle w:val="TextoNormal"/>
      </w:pPr>
      <w:r>
        <w:t>En el primer fundamento jurídico describe el contenido normativo del art. 96 de la Ley de ordenación urbanística y protección del medio rural de Galicia , poniendo de relieve que regula un procedimiento en el que no hay trámite de información pública, e indica que este precepto es similar al art. 52 de la anterior Ley del Suelo de Galicia (Ley 1/997) y al art. 130 del Real Decreto Legislativo 1/1992. A continuación transcribe el art. 11 del texto refundido de la Ley de suelo, del que conviene destacar que en su primer apartado dispone que “todos los instrumentos de ordenación territorial y de ordenación y ejecución urbanísticas … deben ser sometidos al trámite de información pública en los términos y por el plazo que establezca la legislación en la materia”. Y termina diciendo que “la disposición final primera, número 1, de dicho Real Decreto Legislativo incluye el citado art. 11 entre los que ‘Tienen el carácter de condiciones básicas de la igualdad en el ejercicio de los derechos y el cumplimiento de los correspondientes deberes constitucionales y, en su caso, de bases del régimen de las Administraciones Públicas, de la planificación general de la actividad económica y de protección del medio ambiente, dictadas en ejercicio de las competencias reservadas al legislador general en el art. 149.1.1, 13, 18 y 23 de la Constitución’”.</w:t>
      </w:r>
    </w:p>
    <w:p w:rsidR="0033382B" w:rsidRDefault="0033382B" w:rsidP="0033382B">
      <w:pPr>
        <w:pStyle w:val="TextoNormal"/>
      </w:pPr>
    </w:p>
    <w:p w:rsidR="0033382B" w:rsidRDefault="0033382B" w:rsidP="0033382B">
      <w:pPr>
        <w:pStyle w:val="TextoNormal"/>
      </w:pPr>
      <w:r>
        <w:t>En el segundo fundamento jurídico se refiere a las alegaciones del Ayuntamiento de Ourense. Afirma que “utiliza el Ayuntamiento el argumento de que no es necesario el planteamiento de la cuestión de inconstitucionalidad … porque no concurre el requisito de que la contradicción entre la norma autonómica y la estatal sea efectiva e insalvable por vía interpretativa, pero no explica cómo puede realizarse esa interpretación. Si se alegase que el art. 96 de la Ley de ordenación urbanística y protección del medio rural de Galicia ni prohíbe ni excluye un trámite de información pública este argumento no puede ser compartido porque está claro que el legislador autonómico establece en dicho precepto un procedimiento especial, como puede hacer en materias de su competencia (SSTC 141/2014 y 227/1988), que persigue la máxima celeridad, dado el carácter excepcional de la intervención de la Administración autonómica, asimismo provisional y transitoria; y lo hace, como alega su representante procesal, atendiendo a la naturaleza de medida cautelar que habían reconocido a la suspensión del planeamiento las sentencias del Tribunal Supremo anteriores a la de 5-2-2014, la cual supone, como en ella se expresa, un cambio del criterio seguido con anterioridad, y que hay que suponer que se mantendrá en las posteriores”. Respecto de las otras alegaciones, señala que “asimismo alega el Ayuntamiento el argumento … de que la suspensión del planeamiento es una medida cautelar, respecto a lo cual hay que reiterar lo antes dicho, que no queda desvirtuado por lo declarado en la STC 36/1994 que invoca dicha parte, ya que si bien esta sentencia considera la suspensión del otorgamiento de licencias municipales una medida cautelar, lo hace en un supuesto en que su adopción se realizaba para ‘salvaguardar la eficacia de las competencias autonómicas de ordenación territorial regulando el régimen de adaptación de los instrumentos de planificación y urbanísticos municipales a las supraordenadas Directrices de Ordenación del Territorio’, y nada dice la sentencia sobre el procedimiento a seguir”.</w:t>
      </w:r>
    </w:p>
    <w:p w:rsidR="0033382B" w:rsidRDefault="0033382B" w:rsidP="0033382B">
      <w:pPr>
        <w:pStyle w:val="TextoNormal"/>
      </w:pPr>
    </w:p>
    <w:p w:rsidR="0033382B" w:rsidRDefault="0033382B" w:rsidP="0033382B">
      <w:pPr>
        <w:pStyle w:val="TextoNormal"/>
      </w:pPr>
      <w:r>
        <w:t xml:space="preserve">Destina el último fundamento de derecho a justificar que no es aplicable el art. 11.1 del texto refundido de la Ley de suelo como norma prevalente. Según las SSTC 187/2012 y 177/2013, un órgano judicial no puede fiscalizar las normas postconstitucionales con rango de ley, dado que el constituyente ha querido sustraer al Juez ordinario la posibilidad de inaplicar una ley postconstitucional ante un eventual juicio de incompatibilidad con la Constitución, puesto que la depuración del ordenamiento legal, vigente la Constitución, corresponde de forma exclusiva al Tribunal Constitucional, que tiene la competencia y la jurisdicción para declarar, con eficacia </w:t>
      </w:r>
      <w:r w:rsidRPr="0033382B">
        <w:rPr>
          <w:i/>
        </w:rPr>
        <w:t>erga omnes</w:t>
      </w:r>
      <w:r>
        <w:t>, la inconstitucionalidad de las leyes. Según la STC 159/2012 esta doctrina también es aplicable a las leyes que devienen disconformes con la Constitución por la modificación posterior de la legislación básica estatal, como ocurre en este caso que la contradicción deriva del 11.2 del texto refundido de la Ley de suelo, que ha venido a sustituir al art. 6.1 Ley 6/1998 vigente al tiempo que se dictó el art. 96 de la Ley de ordenación urbanística y protección del medio rural de Galicia.</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16 de febrero de 2016 la Sección Tercera de este Tribunal acordó, a los efectos que determina el art. 37.1 de la Ley Orgánica del Tribunal Constitucional, oír al Fiscal General del Estado para que en el plazo de diez días alegase acerca de la admisibilidad de la presente cuestión de inconstitucionalidad, por si faltasen requisitos de procedibilidad o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en escrito registrado el 31 de marzo de 2016, razona que no es adecuado el juicio de relevancia formulado por la Sala porque “no se ha planteado un extremo que a simple vista parece fundamental y que, de haber sido contemplado, podría haber provocado que esa Sala ni siquiera hubiera llegado a plantear la presente cuestión”. En concreto, la Sala “no se plantea adecuadamente si no podría garantizarse en todo caso la efectividad de ese trámite de información pública que en el auto planteamiento se defiende mediante la aplicación de las previsiones establecidas en el art. 86 de la Ley 30/1992, 26 de noviembre, Régimen Jurídico de las Administraciones Públicas y del Procedimiento Administrativo Común, y en el art. 11 del Real Decreto Legislativo 2/2008, 20 de junio, por el que se aprueba el texto refundido la Ley de suelo, o, incluso, en el art. 85 de la Ley de ordenación urbanística y protección del medio rural de Galicia, que previene expresamente el trámite de información pública en el procedimiento ordinario de aprobación de un plan general. … Tales omisiones han de conducir en este momento a considerar que la Sala no ha contemplado el problema en su integridad sino parcialmente, lo que ha de determinar a su vez que se entienda indebidamente formulado el juicio de relevancia, con la consecuencia necesaria de que la cuestión de inconstitucionalidad deba ser inadmitida conforme a lo establecido en el art. 37.1 LOTC”.</w:t>
      </w:r>
    </w:p>
    <w:p w:rsidR="0033382B" w:rsidRDefault="0033382B" w:rsidP="0033382B">
      <w:pPr>
        <w:pStyle w:val="TextoNormal"/>
      </w:pPr>
    </w:p>
    <w:p w:rsidR="0033382B" w:rsidRDefault="0033382B" w:rsidP="0033382B">
      <w:pPr>
        <w:pStyle w:val="TextoNormal"/>
      </w:pPr>
      <w:r>
        <w:t>Sostiene igualmente que la duda de constitucionalidad debe reputarse notoriamente infundada en el sentido que tiene esta expresión en la STC 165/2001, FJ 2, tal y como se ha declarado “en el Auto recaído en la cuestión de inconstitucionalidad número 6576/2015 con fecha 3 de febrero de 2016, FJ 3”, según el cual en el art. 96 de la Ley de ordenación urbanística y protección del medio rural de Galicia “ iv) … se disciplinan dos figuras. De un lado, la suspensión de la ordenación urbanística cuando ésta se pretende cambiar y, de otro, una ordenación urbanística provisional en tanto que la nueva ordenación se aprueba y entra en vigor; v) la primera de ellas, esto es, la suspensión de la ordenación vigente, no persigue ordenar el término municipal sino evitar los efectos perniciosos del planeamiento vigente mientras se elabora el nuevo, por lo que tendría la naturaleza de medida; vi) que la segunda de ellas, esto es, la ordenación urbanística provisional sí es una verdadera disposición normativa, pues establece una reglamentación urbanística de determinadas áreas territoriales, por lo que no se puede negar su conexión con el proceso de cambio de ordenación urbanística, pero tampoco su eficacia normativa durante todo ese periodo intermedio, que incluso no tiene límite temporal en la redacción del art. 96 de la Ley de ordenación urbanística y protección del medio rural de Galicia; vii) que el art. 96 de la Ley de ordenación urbanística y protección del medio rural de Galicia regula, en sus tres apartados, el procedimiento del acuerdo de suspensión, pero no el de la ordenación provisional, por lo que pudiera parecer que no regula un procedimiento especial de elaboración de esta disposición normativa, de donde se deriva que, como resalta la referida sentencia del Tribunal Supremo de 5 de febrero de 2014, en sede de legalidad ordinaria, ‘el que una Ley, en este caso la Ley autonómica gallega 9/2002, de 30 de diciembre,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 viii) que, conforme a este planteamiento, no hay contradicción efectiva e insalvable por vía interpretativa entre el art. 96 de la Ley de ordenación urbanística y protección del medio rural de Galicia y el art. 11.1 del texto refundido de la Ley de suelo, lo que determina que la presente cuestión deba considerarse notoriamente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respecto del art. 96 de la Ley del Parlamento de Galicia 9/2002, de 30 de diciembre, de ordenación urbanística y protección del medio rural de Galicia. Del modo consignado en los antecedentes, la Sala afirma que la no previsión de un trámite de información pública determina que el art. 96 de la Ley de ordenación urbanística y protección del medio rural de Galicia, por ser incompatible con el art. 11 del texto refundido de la Ley de suelo (“todos los instrumentos de ordenación territorial y de ordenación y ejecución urbanísticas deben ser sometidos al trámite de información pública”), desconoce lo previsto en los números 1, 13, 18 y 23 del art. 149.1 CE.</w:t>
      </w:r>
    </w:p>
    <w:p w:rsidR="0033382B" w:rsidRDefault="0033382B" w:rsidP="0033382B">
      <w:pPr>
        <w:pStyle w:val="TextoNormal"/>
      </w:pPr>
    </w:p>
    <w:p w:rsidR="0033382B" w:rsidRDefault="0033382B" w:rsidP="0033382B">
      <w:pPr>
        <w:pStyle w:val="TextoNormal"/>
      </w:pPr>
      <w:r>
        <w:t>La Fiscal General del Estado sostiene que la Sala no ha formulado adecuadamente el juicio de relevancia porque “no se ha planteado un extremo que a simple vista parece fundamental y que, de haber sido contemplado, podría haber provocado que esa Sala ni siquiera hubiera llegado a plantear la presente cuestión”. Además, en virtud las razones detalladas en los antecedentes, entiende que la cuestión es notoriamente infundada, como ya se ha declarado en el ATC 23/2016, de 3 de febrero. Por todo ello, insta su inadmisión.</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el art. 37.1 de la Ley Orgánica del Tribunal Constitucional (LOTC), este Tribunal puede rechazar en trámite de admisión y mediante Auto, sin otra audiencia que la del Fiscal General del Estado, la cuestión de inconstitucionalidad cuando faltaren las condiciones procesales o fuere notoriamente infundada.</w:t>
      </w:r>
    </w:p>
    <w:p w:rsidR="0033382B" w:rsidRDefault="0033382B" w:rsidP="0033382B">
      <w:pPr>
        <w:pStyle w:val="TextoNormal"/>
      </w:pPr>
    </w:p>
    <w:p w:rsidR="0033382B" w:rsidRDefault="0033382B" w:rsidP="0033382B">
      <w:pPr>
        <w:pStyle w:val="TextoNormal"/>
      </w:pPr>
      <w:r>
        <w:t>Entre los requisitos que la doctrina constitucional viene exigiendo para la procedibilidad de un proceso constitucional de esta clase está el de que la carga de alegar suficientemente la inconstitucionalidad del precepto legal incumbe al órgano judicial que eleva la cuestión. El Tribunal ha dicho reiteradamente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y 60/2013, de 13 de marzo, FJ 2)”. (STC 110/2015, de 28 de mayo, FJ 11). Ha dicho también, en la misma línea, que “el deber de concretar los preceptos constitucionales que han resultado infringidos a juicio del órgano judicial promotor, y que le impone el art. 35.2 LOTC, no supone tan sólo que el Auto en que se plantee la cuestión contenga la cita de tales preceptos, sino que es preciso también que el órgano judicial exteriorice el razonamiento que le ha llevado a cuestionar la constitucionalidad de la norma” (ATC 255/2013, de 5 de noviembre).</w:t>
      </w:r>
    </w:p>
    <w:p w:rsidR="0033382B" w:rsidRDefault="0033382B" w:rsidP="0033382B">
      <w:pPr>
        <w:pStyle w:val="TextoNormal"/>
      </w:pPr>
    </w:p>
    <w:p w:rsidR="0033382B" w:rsidRDefault="0033382B" w:rsidP="0033382B">
      <w:pPr>
        <w:pStyle w:val="TextoNormal"/>
      </w:pPr>
      <w:r>
        <w:t xml:space="preserve">El Auto de 3 de noviembre de 2015, aunque en los escritos mediante los que las partes evacuan el trámite de audiencia </w:t>
      </w:r>
      <w:r w:rsidRPr="0033382B">
        <w:rPr>
          <w:i/>
        </w:rPr>
        <w:t>ex</w:t>
      </w:r>
      <w:r>
        <w:t xml:space="preserve"> art. 35 LOTC, así como en la Sentencia de la del Tribunal Supremo de 5 de febrero de 2014 a la que alude en los antecedentes de hecho, constan muchas e importantes objeciones en relación a la cuestión de inconstitucionalidad que pretende plantear, no realiza “un pormenorizado análisis de las graves cuestiones que se suscitan”. En este mismo sentido se expresan las alegaciones de la Fiscal General del Estado, en las que se destaca que el órgano judicial omite la consideración de elementos fundamentales que inciden en su duda de constitucionalidad, pues “no se plantea si no podría garantizarse en todo caso la efectividad de ese trámite de información pública …. mediante la aplicación de las previsiones establecidas en el art. 86 de la Ley 30/1992, … en el art. 11 [TRLS] …. o, incluso, en el art. 85 LOUGA”.</w:t>
      </w:r>
    </w:p>
    <w:p w:rsidR="0033382B" w:rsidRDefault="0033382B" w:rsidP="0033382B">
      <w:pPr>
        <w:pStyle w:val="TextoNormal"/>
      </w:pPr>
    </w:p>
    <w:p w:rsidR="0033382B" w:rsidRDefault="0033382B" w:rsidP="0033382B">
      <w:pPr>
        <w:pStyle w:val="TextoNormal"/>
      </w:pPr>
      <w:r>
        <w:t>En primer lugar, la citada Sentencia de la Sala de lo Contencioso-Administrativo del Tribunal Supremo de 5 de febrero de 2014, sin necesidad de acudir al criterio de prevalencia, consideró aplicable el art. 11.1 del texto refundido de la Ley de suelo. Entendió, por tanto, que el art. 96 de la Ley de ordenación urbanística y protección del medio rural de Galicia y el art. 11.1 del texto refundido de la Ley de suelo no se contradicen de un modo insalvable sino que, en realidad, son compatibles. En otras palabras, el silencio del primero sobre la necesidad de un expediente de información pública no excluiría, según el Tribunal Supremo, que la Administración deba practicar tal trámite en aplicación del segundo. Dicha Sentencia, además, puso de relieve que la Administración gallega, en un supuesto similar en relación a la suspensión del plan general de ordenación municipal de O Grove, no había tenido problema en abrir un trámite de información pública, a pesar de la dicción del art. 52 de la Ley gallega 1/1997 (que el propio Auto de planteamiento dice que es el antecedente directo del art. 96 de la Ley de ordenación urbanística y protección del medio rural de Galicia y que es de contenido similar).</w:t>
      </w:r>
    </w:p>
    <w:p w:rsidR="0033382B" w:rsidRDefault="0033382B" w:rsidP="0033382B">
      <w:pPr>
        <w:pStyle w:val="TextoNormal"/>
      </w:pPr>
    </w:p>
    <w:p w:rsidR="0033382B" w:rsidRDefault="0033382B" w:rsidP="0033382B">
      <w:pPr>
        <w:pStyle w:val="TextoNormal"/>
      </w:pPr>
      <w:r>
        <w:t>Por su parte, el Letrado de la Xunta de Galicia y los representantes del Concello de Ourense y de la entidad codemandada Desarrollos comerciales de ocio e inmobiliarios de Ourense, mantienen que el art. 96 de la Ley de ordenación urbanística y protección del medio rural de Galicia es incompatible con el art. 11 del texto refundido de la Ley de suelo, pero que ello no supone la inconstitucionalidad del primero, porque no regula un disposición administrativa sino una medida cautelar, todo ello apoyado en las razones consignadas en los antecedentes de esta resolución.</w:t>
      </w:r>
    </w:p>
    <w:p w:rsidR="0033382B" w:rsidRDefault="0033382B" w:rsidP="0033382B">
      <w:pPr>
        <w:pStyle w:val="TextoNormal"/>
      </w:pPr>
    </w:p>
    <w:p w:rsidR="0033382B" w:rsidRDefault="0033382B" w:rsidP="0033382B">
      <w:pPr>
        <w:pStyle w:val="TextoNormal"/>
      </w:pPr>
      <w:r>
        <w:t>Frente a este conjunto de objeciones, el análisis que realiza el órgano judicial es insuficiente. Admitido que el art. 11.1 del texto refundido de la Ley de suelo resultase amparado por los títulos competenciales aludidos en el número 1 de la disposición final primera, sería necesario además para sostener la inconstitucionalidad del art. 96 de la Ley de ordenación urbanística y protección del medio rural de Galicia dos condiciones. La primera es que el art. 96 de la Ley de ordenación urbanística y protección del medio rural de Galicia excluyera al art. 11 del texto refundido de la Ley de suelo. A ello alude el Auto de planteamiento cuando dice que “si se alegase que el art. 96 LOUGA ni prohíbe ni excluye un trámite de información pública”, este argumento no puede ser compartido porque está claro que el legislador autonómico establece en dicho precepto un procedimiento especial, como puede hacer en materias de su competencia (SSTC 141/2014 y 227/1988). Sin embargo, un análisis pormenorizado de la cuestión habría exigido, aparte de examinar el alcance de la competencia autonómica en materia de urbanismo, analizar el concreto contenido normativo del art. 96 de la Ley de ordenación urbanística y protección del medio rural de Galicia para verificar si realmente regula un procedimiento especial de elaboración de la ordenación urbanística provisional, sobre todo cuando, según se razona en el siguiente fundamento jurídico al examinar el carácter notoriamente infundado de la duda de constitucionalidad, parece obvio que no contiene ningún procedimiento especial de elaboración de la ordenación urbanística provisional.</w:t>
      </w:r>
    </w:p>
    <w:p w:rsidR="0033382B" w:rsidRDefault="0033382B" w:rsidP="0033382B">
      <w:pPr>
        <w:pStyle w:val="TextoNormal"/>
      </w:pPr>
    </w:p>
    <w:p w:rsidR="0033382B" w:rsidRDefault="0033382B" w:rsidP="0033382B">
      <w:pPr>
        <w:pStyle w:val="TextoNormal"/>
      </w:pPr>
      <w:r>
        <w:t>La segunda condición es que el art. 96 de la Ley de ordenación urbanística y protección del medio rural de Galicia regulase una disposición administrativa y no una medida cautelar, cuestión esta sobre la que no solo se pronuncia el Concello de Ourense, cuyas razones rechaza el auto de planteamiento, sino también, y de un modo mucho más incisivo, el Letrado de la Xunta de Galicia y la entidad codemandada Desarrollos comerciales de ocio e inmobiliarios de Ourense, sobre cuyos argumentos el Auto de planteamiento no se pronuncia.</w:t>
      </w:r>
    </w:p>
    <w:p w:rsidR="0033382B" w:rsidRDefault="0033382B" w:rsidP="0033382B">
      <w:pPr>
        <w:pStyle w:val="TextoNormal"/>
      </w:pPr>
    </w:p>
    <w:p w:rsidR="0033382B" w:rsidRDefault="0033382B" w:rsidP="0033382B">
      <w:pPr>
        <w:pStyle w:val="TextoNormal"/>
      </w:pPr>
      <w:r>
        <w:t>Dadas las circunstancias descritas, este Tribunal aprecia que el Auto de planteamiento no hace “un pormenorizado análisis de las graves cuestiones que se suscitan”, por lo que el órgano judicial no ha levantado la carga de colaborar con la justicia del Tribunal que se le exige cuando insta la depuración del ordenamiento jurídico, déficit que determina la inadmisión de la presente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3</w:t>
      </w:r>
      <w:r>
        <w:t>.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 Este aspecto de la duda de constitucionalidad ya ha sido, asimismo, resuelto en el Auto 23/2016, de 3 de febrero, FJ 3, en los términos que a continuación se reiteran en lo que resulta relevante.</w:t>
      </w:r>
    </w:p>
    <w:p w:rsidR="0033382B" w:rsidRDefault="0033382B" w:rsidP="0033382B">
      <w:pPr>
        <w:pStyle w:val="TextoNormal"/>
      </w:pPr>
    </w:p>
    <w:p w:rsidR="0033382B" w:rsidRDefault="0033382B" w:rsidP="0033382B">
      <w:pPr>
        <w:pStyle w:val="TextoNormal"/>
      </w:pPr>
      <w:r>
        <w:t>El Auto de planteamiento señala que el art. 96 de la Ley de ordenación urbanística y protección del medio rural de Galicia contradice el art. 11.1 del texto refundido de la Ley de suelo, por lo que vulnera los números 1, 13, 18 y 23 del art. 149.1 CE. Examinar esta cuestión requiere partir de que el art. 11.1 del texto refundido de la Ley de suelo, al prever que “todos los instrumentos de ordenación territorial y de ordenación y ejecución urbanísticas deben ser sometidos al trámite de información pública”, es una norma que encuentra amparo en una o varias de las competencias estatales invocadas por el órgano judicial (SSTC 141/2014 y 227/1988).</w:t>
      </w:r>
    </w:p>
    <w:p w:rsidR="0033382B" w:rsidRDefault="0033382B" w:rsidP="0033382B">
      <w:pPr>
        <w:pStyle w:val="TextoNormal"/>
      </w:pPr>
    </w:p>
    <w:p w:rsidR="0033382B" w:rsidRDefault="0033382B" w:rsidP="0033382B">
      <w:pPr>
        <w:pStyle w:val="TextoNormal"/>
      </w:pPr>
      <w:r>
        <w:t>Asentada esta premisa, procede examinar si hay contradicción efectiva e insalvable por vía interpretativa entre ambos preceptos. Lo primero que interesa a este efecto es si el art. 96 de la Ley de ordenación urbanística y protección del medio rural de Galicia regula una medida cautelar o una disposición normativa. Solo en este segundo caso podría haber contradicción. De su lectura se desprende que en él se disciplinan dos figuras. De un lado, la suspensión de la ordenación urbanística cuando ésta se pretende cambiar y, de otro, una ordenación urbanística provisional en tanto que la nueva ordenación se aprueba y entra en vigor. La primera de ellas —la suspensión de la ordenación vigente— no persigue ordenar el término municipal, sino evitar los efectos perniciosos del planeamiento vigente mientras se elabora el nuevo, por lo que tendría la naturaleza de medida cautelar. Por el contrario, y en este sentido se manifiesta la citada Sentencia de la Sala de lo Contencioso-Administrativo del Tribunal Supremo de 5 de febrero de 2014, la ordenación urbanística provisional sí es una verdadera disposición normativa, pues establece una reglamentación urbanística de determinadas áreas territoriales. No se puede negar pues su conexión con el proceso de cambio de ordenación urbanística, pero tampoco su eficacia normativa durante todo ese periodo intermedio, que incluso no tiene límite temporal en la redacción del art. 96 de la Ley de ordenación urbanística y protección del medio rural de Galicia, prolongándose en la práctica durante años.</w:t>
      </w:r>
    </w:p>
    <w:p w:rsidR="0033382B" w:rsidRDefault="0033382B" w:rsidP="0033382B">
      <w:pPr>
        <w:pStyle w:val="TextoNormal"/>
      </w:pPr>
    </w:p>
    <w:p w:rsidR="0033382B" w:rsidRDefault="0033382B" w:rsidP="0033382B">
      <w:pPr>
        <w:pStyle w:val="TextoNormal"/>
      </w:pPr>
      <w:r>
        <w:t>Siguiendo con esta distinción, se aprecia que el art. 96 de la Ley de ordenación urbanística y protección del medio rural de Galicia, en sus tres apartados, regula el procedimiento del acuerdo de suspensión, pero no el de la ordenación provisional, respecto de la que se limita a decir que “con el acuerdo de suspensión … se aprobará la ordenación provisional, que se publicará en el ‘Diario Oficial de Galicia’ y estará vigente con carácter transitorio hasta la entrada en vigor del nuevo planeamiento”. Silencia, por tanto, toda previsión sobre su procedimiento. Por ello, pareciera que el art. 96 de la Ley de ordenación urbanística y protección del medio rural de Galicia no regula un procedimiento especial de elaboración de esta disposición normativa, de donde se deriva que, como resalta la referida Sentencia de 5 de febrero de 2014, “el que una Ley, en este caso la Ley autonómica gallega 9/2002, de 30 de diciembre , no establezca expresamente el trámite de información pública, no es razón para no exigirlo inexcusablemente al venir impuesto por otras disposiciones con rango de Ley, que lo hacen obligatorio para una mejor protección de los intereses generales, constitucionalmente amparados en los arts. 9.2 y 105 a) CE, 3.5 y 86 de la Ley 30/1992, de 26 de noviembre, y 24.1 c) de la Ley 50/1997, del Gobierno”.</w:t>
      </w:r>
    </w:p>
    <w:p w:rsidR="0033382B" w:rsidRDefault="0033382B" w:rsidP="0033382B">
      <w:pPr>
        <w:pStyle w:val="TextoNormal"/>
      </w:pPr>
    </w:p>
    <w:p w:rsidR="0033382B" w:rsidRDefault="0033382B" w:rsidP="0033382B">
      <w:pPr>
        <w:pStyle w:val="TextoNormal"/>
      </w:pPr>
      <w:r>
        <w:t>En fin, conforme a este planteamiento, queda claro que no hay contradicción efectiva e insalvable por vía interpretativa entre los preceptos estatal y autonómico indicados, lo que determina que la presente cuestión deba considerarse notoriamente infundada, según ha configurado este concepto la doctrina constitucional (ATC 121/2015, de 7 de julio, FJ 2).</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 núm. 6759-2015, planteada por la Sección Segunda de la Sala de lo Contencioso-Administrativo del Tribunal Superior de Justicia de Galicia.</w:t>
      </w:r>
    </w:p>
    <w:p w:rsidR="0033382B" w:rsidRDefault="0033382B" w:rsidP="0033382B">
      <w:pPr>
        <w:pStyle w:val="TextoNormal"/>
      </w:pPr>
    </w:p>
    <w:p w:rsidR="0033382B" w:rsidRDefault="0033382B" w:rsidP="0033382B">
      <w:pPr>
        <w:pStyle w:val="TextoNormal"/>
      </w:pPr>
      <w:r>
        <w:t>Madrid, a diez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32" w:name="AUTO_2016_105"/>
      <w:r>
        <w:t>AUTO 105/2016, de 10 de mayo de 2016</w:t>
      </w:r>
    </w:p>
    <w:bookmarkEnd w:id="232"/>
    <w:p w:rsidR="0033382B" w:rsidRDefault="0033382B" w:rsidP="0033382B">
      <w:pPr>
        <w:pStyle w:val="TtuloResolucin"/>
      </w:pPr>
      <w:r>
        <w:t>Pleno</w:t>
      </w:r>
    </w:p>
    <w:p w:rsidR="0033382B" w:rsidRDefault="0033382B" w:rsidP="0033382B">
      <w:pPr>
        <w:pStyle w:val="TextoNormalCentrado"/>
      </w:pPr>
      <w:r>
        <w:t>ECLI:ES:TC:2016:105A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Levanta la suspensión en el recurso de inconstitucionalidad 36-2016, interpuesto por el Presidente del Gobierno en relación con el apartado 12 del artículo único de la Ley 11/2015, de 30 de marzo, de modificación de la Ley 10/2006, de 21 de diciembre, de energías renovables y ahorro y eficiencia energética de la Región de Murcia.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Mediante escrito presentado en el Registro General de este Tribunal el 5 de enero de 2016, el Abogado del Estado, en nombre del Presidente del Gobierno, interpuso recurso de inconstitucionalidad contra el apartado 12 del artículo único de la Ley 11/2015, de 30 de marzo, que adiciona un art. 20 </w:t>
      </w:r>
      <w:r w:rsidRPr="0033382B">
        <w:rPr>
          <w:i/>
        </w:rPr>
        <w:t>bis</w:t>
      </w:r>
      <w:r>
        <w:t xml:space="preserve"> a la Ley 10/2006, de 21 de diciembre, de energías renovables y ahorro y eficiencia energética de la Región de Murcia. El Abogado del Estado invocó el art. 161.2 CE y el art. 30 de la Ley Orgánica del Tribunal Constitucional (LOTC) a fin de que se produjese la suspensión del precepto legal impugnado.</w:t>
      </w:r>
    </w:p>
    <w:p w:rsidR="0033382B" w:rsidRDefault="0033382B" w:rsidP="0033382B">
      <w:pPr>
        <w:pStyle w:val="TextoNormal"/>
      </w:pPr>
    </w:p>
    <w:p w:rsidR="0033382B" w:rsidRDefault="0033382B" w:rsidP="0033382B">
      <w:pPr>
        <w:pStyle w:val="TextoNormal"/>
      </w:pPr>
      <w:r w:rsidRPr="0033382B">
        <w:rPr>
          <w:rStyle w:val="NumeroAFNegritaCaracter"/>
        </w:rPr>
        <w:t>2</w:t>
      </w:r>
      <w:r>
        <w:t>. Por providencia de 19 de enero de 2016 el Pleno del Tribunal acordó admitir a trámite el recurso de inconstitucionalidad, dar traslado de la demanda y documentos presentados, conforme establece el art. 34 LOTC, al Congreso de los Diputados y al Senado, así como al Gobierno y a la Asamblea Regional de Murcia, al objeto de que en el plazo de quince días pudieran personarse en el proceso y formular las alegaciones que estimaren convenientes. Asimismo, se acordó tener por invocado el art. 161.2 CE, lo que, conforme dispone el art. 30 LOTC, produce la suspensión de la vigencia y aplicación de los preceptos legales impugnados desde la fecha de interposición del recurso para las partes del proceso y desde el día en que aparezca publicada la suspensión en el “Boletín Oficial del Estado” para los terceros. Por último, también se ordenó publicar la incoación del recurso en el “Boletín Oficial del Estado” y en el “Boletín Oficial de la Región de Murcia”.</w:t>
      </w:r>
    </w:p>
    <w:p w:rsidR="0033382B" w:rsidRDefault="0033382B" w:rsidP="0033382B">
      <w:pPr>
        <w:pStyle w:val="TextoNormal"/>
      </w:pPr>
    </w:p>
    <w:p w:rsidR="0033382B" w:rsidRDefault="0033382B" w:rsidP="0033382B">
      <w:pPr>
        <w:pStyle w:val="TextoNormal"/>
      </w:pPr>
      <w:r w:rsidRPr="0033382B">
        <w:rPr>
          <w:rStyle w:val="NumeroAFNegritaCaracter"/>
        </w:rPr>
        <w:t>3</w:t>
      </w:r>
      <w:r>
        <w:t>. Por escrito registrado en este Tribunal el 26 de enero de 2016, el Letrado de la Comunidad Autónoma de la Región de Murcia, en la representación que legalmente ostenta del Gobierno de Murcia, comparece en el proceso y solicita que se le conceda prórroga del plazo para formular alegaciones por ocho días más, petición a la que accedió el Pleno del Tribunal mediante providencia de 27 de enero de 2016.</w:t>
      </w:r>
    </w:p>
    <w:p w:rsidR="0033382B" w:rsidRDefault="0033382B" w:rsidP="0033382B">
      <w:pPr>
        <w:pStyle w:val="TextoNormal"/>
      </w:pPr>
    </w:p>
    <w:p w:rsidR="0033382B" w:rsidRDefault="0033382B" w:rsidP="0033382B">
      <w:pPr>
        <w:pStyle w:val="TextoNormal"/>
      </w:pPr>
      <w:r w:rsidRPr="0033382B">
        <w:rPr>
          <w:rStyle w:val="NumeroAFNegritaCaracter"/>
        </w:rPr>
        <w:t>4</w:t>
      </w:r>
      <w:r>
        <w:t>. Por escritos registrados en el Tribunal Constitucional el 29 de enero y el 5 de febrero de 2016, respectivamente, los Presidentes del Senado y del Congreso de los Diputados comunican el acuerdo de la Mesa de sus respectivas Cámaras de personarse en el proceso, ofreciendo su colaboración a los efectos del art. 88.1 LOTC. Idéntica manifestación efectuó la Presidenta de la Asamblea Regional de Murcia, mediante escrito que tuvo entrada en este Tribunal el 5 de febrero de 2016.</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escrito registrado en el Tribunal Constitucional el 18 de febrero de 2016, el Letrado de la Comunidad Autónoma de la Región de Murcia procedió a formular alegaciones en el presente recurso de inconstitucionalidad, interesando la desestimación del mismo.</w:t>
      </w:r>
    </w:p>
    <w:p w:rsidR="0033382B" w:rsidRDefault="0033382B" w:rsidP="0033382B">
      <w:pPr>
        <w:pStyle w:val="TextoNormal"/>
      </w:pPr>
    </w:p>
    <w:p w:rsidR="0033382B" w:rsidRDefault="0033382B" w:rsidP="0033382B">
      <w:pPr>
        <w:pStyle w:val="TextoNormal"/>
      </w:pPr>
      <w:r w:rsidRPr="0033382B">
        <w:rPr>
          <w:rStyle w:val="NumeroAFNegritaCaracter"/>
        </w:rPr>
        <w:t>6</w:t>
      </w:r>
      <w:r>
        <w:t>. Por providencia de 3 de marzo de 2016 el Pleno del Tribunal, por estar próximo a finalizar el plazo de cinco meses que señala el art. 161.2 CE desde que se produjo la suspensión del precepto impugnado en este recurso de inconstitucionalidad, acordó oír a las partes personadas para que, en el plazo de cinco días, expusieran lo que considerasen conveniente acerca del mantenimiento o levantamiento de dicha suspensión.</w:t>
      </w:r>
    </w:p>
    <w:p w:rsidR="0033382B" w:rsidRDefault="0033382B" w:rsidP="0033382B">
      <w:pPr>
        <w:pStyle w:val="TextoNormal"/>
      </w:pPr>
    </w:p>
    <w:p w:rsidR="0033382B" w:rsidRDefault="0033382B" w:rsidP="0033382B">
      <w:pPr>
        <w:pStyle w:val="TextoNormal"/>
      </w:pPr>
      <w:r w:rsidRPr="0033382B">
        <w:rPr>
          <w:rStyle w:val="NumeroAFNegritaCaracter"/>
        </w:rPr>
        <w:t>7</w:t>
      </w:r>
      <w:r>
        <w:t>. El Abogado del Estado, mediante escrito registrado en este Tribunal el 11 de marzo de 2016, interesó el mantenimiento de la suspensión de los preceptos impugnados con fundamento en las alegaciones siguientes.</w:t>
      </w:r>
    </w:p>
    <w:p w:rsidR="0033382B" w:rsidRDefault="0033382B" w:rsidP="0033382B">
      <w:pPr>
        <w:pStyle w:val="TextoNormal"/>
      </w:pPr>
    </w:p>
    <w:p w:rsidR="0033382B" w:rsidRDefault="0033382B" w:rsidP="0033382B">
      <w:pPr>
        <w:pStyle w:val="TextoNormal"/>
      </w:pPr>
      <w:r>
        <w:t xml:space="preserve">Tras recordar la doctrina constitucional relativa a los incidentes de suspensión de leyes autonómicas, afirma que existen supuestos en los que de forma excepcional el Tribunal Constitucional ha venido a admitir la aplicación del criterio del </w:t>
      </w:r>
      <w:r w:rsidRPr="0033382B">
        <w:rPr>
          <w:i/>
        </w:rPr>
        <w:t>fumus boni iuris</w:t>
      </w:r>
      <w:r>
        <w:t xml:space="preserve"> para mantener la suspensión de la Ley autonómica impugnada en recursos de inconstitucionalidad en los que se ventilan controversias competenciales entre el Estado y las Comunidades Autónomas. Tal podría ser el presente caso, por cuanto la aplicación de la norma autonómica provocaría un quebranto para el interés general, al suponer la fragmentación en un ámbito tan sensible como es el régimen técnico y económico de las instalaciones de energía eléctrica, así como para las condiciones de mercado, explotación e inversiones en el sector eléctrico, especialmente necesitado de un funcionamiento común, por razones tanto económicas (unidad de mercado), como de seguridad de las instalaciones y de la conducción de la electricidad.</w:t>
      </w:r>
    </w:p>
    <w:p w:rsidR="0033382B" w:rsidRDefault="0033382B" w:rsidP="0033382B">
      <w:pPr>
        <w:pStyle w:val="TextoNormal"/>
      </w:pPr>
    </w:p>
    <w:p w:rsidR="0033382B" w:rsidRDefault="0033382B" w:rsidP="0033382B">
      <w:pPr>
        <w:pStyle w:val="TextoNormal"/>
      </w:pPr>
      <w:r>
        <w:t>A partir de estas consideraciones y siguiendo el informe elaborado por el Ministerio de Industria, Energía y Turismo que adjunta a su escrito de alegaciones, el Abogado del Estado pasa a concretar los perjuicios que a su parecer provocaría el levantamiento de la suspensión del precepto impugnado. Resalta la situación de duplicidad normativa que se generaría, al aplicarse en la Región de Murcia una regulación distinta (más restrictiva) a la del resto del territorio nacional en materia de energías renovables, con importante trascendencia para las inversiones en este sector.</w:t>
      </w:r>
    </w:p>
    <w:p w:rsidR="0033382B" w:rsidRDefault="0033382B" w:rsidP="0033382B">
      <w:pPr>
        <w:pStyle w:val="TextoNormal"/>
      </w:pPr>
    </w:p>
    <w:p w:rsidR="0033382B" w:rsidRDefault="0033382B" w:rsidP="0033382B">
      <w:pPr>
        <w:pStyle w:val="TextoNormal"/>
      </w:pPr>
      <w:r>
        <w:t xml:space="preserve">Se razona así que, mientras que el precepto impugnado (art. 20 </w:t>
      </w:r>
      <w:r w:rsidRPr="0033382B">
        <w:rPr>
          <w:i/>
        </w:rPr>
        <w:t>bis</w:t>
      </w:r>
      <w:r>
        <w:t xml:space="preserve"> de la Ley 10/2006, de energías renovables y ahorro y eficiencia energética de la Región de Murcia, añadido por el apartado 12 del artículo único de la Ley 11/2015) considera instalación aislada para el aprovechamiento de fuentes de energía renovables aquella que, sin tener aislamiento físico, utilice medios técnicos que produzcan un efecto equivalente, la normativa básica estatal (Real Decreto 900/2015, de 9 de octubre, dictado en desarrollo del art. 9 de la Ley 24/2013, del sector eléctrico) determina expresamente que estas instalaciones no se considerarán aisladas. Es decir, que este tipo de instalaciones definidas en la norma autonómica se considerarán aisladas o no en función de la normativa —estatal o autonómica— que se aplique.</w:t>
      </w:r>
    </w:p>
    <w:p w:rsidR="0033382B" w:rsidRDefault="0033382B" w:rsidP="0033382B">
      <w:pPr>
        <w:pStyle w:val="TextoNormal"/>
      </w:pPr>
    </w:p>
    <w:p w:rsidR="0033382B" w:rsidRDefault="0033382B" w:rsidP="0033382B">
      <w:pPr>
        <w:pStyle w:val="TextoNormal"/>
      </w:pPr>
      <w:r>
        <w:t>Por otra parte, el precepto impugnado determina que esas instalaciones generadoras de energía eléctrica a partir de fuentes de energía renovables (en particular las de tecnología solar fotovoltaica de pequeña potencia), previstas para el consumo instantáneo o diferido en las modalidades de autoconsumo reguladas en la Ley 24/2013, del sector eléctrico, podrán considerarse como instalaciones de intercambio de energía; a la vez que la cesión de energía producida por estas instalaciones al sistema eléctrico no llevará aparejada contraprestación económica alguna. Por tanto, mientras que esas instalaciones, en el territorio de Murcia, no tienen obligación de realizar ninguna contraprestación económica al sistema por la cesión de energía producida, en el resto del territorio los sujetos del sector eléctrico no podrían aplicar modalidades de autoconsumo que no cumplan las condiciones y requisitos técnicos y económicos regulados con carácter básico en el Real Decreto 900/2015, de 9 de octubre.</w:t>
      </w:r>
    </w:p>
    <w:p w:rsidR="0033382B" w:rsidRDefault="0033382B" w:rsidP="0033382B">
      <w:pPr>
        <w:pStyle w:val="TextoNormal"/>
      </w:pPr>
    </w:p>
    <w:p w:rsidR="0033382B" w:rsidRDefault="0033382B" w:rsidP="0033382B">
      <w:pPr>
        <w:pStyle w:val="TextoNormal"/>
      </w:pPr>
      <w:r>
        <w:t>La descrita situación material y jurídica de desigualdad de tratamiento por razón de la diversa aplicación territorial de las normas ocasionará graves perjuicios económicos para el interés general y los intereses de terceros, según la Abogacía del Estado.</w:t>
      </w:r>
    </w:p>
    <w:p w:rsidR="0033382B" w:rsidRDefault="0033382B" w:rsidP="0033382B">
      <w:pPr>
        <w:pStyle w:val="TextoNormal"/>
      </w:pPr>
    </w:p>
    <w:p w:rsidR="0033382B" w:rsidRDefault="0033382B" w:rsidP="0033382B">
      <w:pPr>
        <w:pStyle w:val="TextoNormal"/>
      </w:pPr>
      <w:r>
        <w:t>Si tras levantarse la suspensión finalmente se estimara el recurso de inconstitucionalidad, a partir de ese momento, una vez declarado inconstitucional y nulo el precepto impugnado, la normativa estatal se aplicaría también al territorio de la Región de Murcia. Como consecuencia, las instalaciones generadoras de energía eléctrica a partir de fuentes de energía renovables situadas en territorio autonómico habrían de adaptarse desde ese momento a la normativa estatal aplicable o a restituir las cosas o reponerlas a su estado natural anterior al inicio de la vigencia de la Ley autonómica anulada, en su caso. Si no se avinieran los inversores (los titulares de esas instalaciones) a esa adaptación, podrían eventualmente ser sancionados conforme a lo previsto en la Ley 24/2013, del sector eléctrico.</w:t>
      </w:r>
    </w:p>
    <w:p w:rsidR="0033382B" w:rsidRDefault="0033382B" w:rsidP="0033382B">
      <w:pPr>
        <w:pStyle w:val="TextoNormal"/>
      </w:pPr>
    </w:p>
    <w:p w:rsidR="0033382B" w:rsidRDefault="0033382B" w:rsidP="0033382B">
      <w:pPr>
        <w:pStyle w:val="TextoNormal"/>
      </w:pPr>
      <w:r>
        <w:t>La aplicación de la Ley murciana en tanto se resuelve el recurso de inconstitucionalidad podría desincentivar la inversión en instalaciones para el aprovechamiento de fuentes de energía renovables, por la inseguridad jurídica existente. Los promotores que decidieran invertir en esas instalaciones en el territorio de la Región de Murcia al amparo de la Ley recurrida correrían el riesgo de, si la norma es anulada posteriormente por este Tribunal, verse obligados a modificar técnicamente sus instalaciones para adaptarlas a la normativa estatal. El régimen económico resultante de esa modificación no se correspondería con el previsto al realizar la inversión inicial (al tener que contribuir a los costes y servicios del sistema por la energía autoconsumida). Todo ello implicaría un importante perjuicio económico al inversionista. Sin embargo, pese al alto grado de incertidumbre o inseguridad jurídica al respecto, existe —continúa el Abogado del Estado, con apoyo en el informe adjunto del Ministerio de Industria, Energía y Turismo— riesgo de elevada implantación en un corto periodo de tiempo de esas instalaciones (especialmente las de tecnología solar fotovoltaica de pequeña potencia) en el territorio de la Región de Murcia, por sus condiciones climatológicas (abundancia de energía solar); pese a representar una superficie inferior al 3 por 100 del territorio español, cerca del 10 por 100 de las instalaciones fotovoltaicas se encuentran actualmente ubicadas en esa Comunidad Autónoma.</w:t>
      </w:r>
    </w:p>
    <w:p w:rsidR="0033382B" w:rsidRDefault="0033382B" w:rsidP="0033382B">
      <w:pPr>
        <w:pStyle w:val="TextoNormal"/>
      </w:pPr>
    </w:p>
    <w:p w:rsidR="0033382B" w:rsidRDefault="0033382B" w:rsidP="0033382B">
      <w:pPr>
        <w:pStyle w:val="TextoNormal"/>
      </w:pPr>
      <w:r>
        <w:t>En este sentido afirma el Abogado del Estado, con apoyo en el referido informe técnico, que si hipotéticamente se repitiera una situación análoga a la que ya ocurrió en el pasado de alta implantación de instalaciones en un corto periodo de tiempo, y se instalaran en Murcia 50 MW de tecnología solar fotovoltaica al año (menos de un 25 por 100 de la potencia instalada en el año 2008), ello supondría la realización de inversiones anuales por valor de 82 millones de euros. Este desembolso se habría realizado por los inversores partiendo de unos presupuestos que podrían verse radicalmente alterados en el caso en que la norma recurrida fuese anulada, con los posibles perjuicios económicos para los promotores que hubieran realizado esa inversión.</w:t>
      </w:r>
    </w:p>
    <w:p w:rsidR="0033382B" w:rsidRDefault="0033382B" w:rsidP="0033382B">
      <w:pPr>
        <w:pStyle w:val="TextoNormal"/>
      </w:pPr>
    </w:p>
    <w:p w:rsidR="0033382B" w:rsidRDefault="0033382B" w:rsidP="0033382B">
      <w:pPr>
        <w:pStyle w:val="TextoNormal"/>
      </w:pPr>
      <w:r>
        <w:t>En cuanto al impacto en los ingresos del sistema eléctrico, el levantamiento de la suspensión de la vigencia del precepto impugnado daría lugar a la existencia, por razón del territorio, de una situación de disparidad: por un lado, los titulares de instalaciones que, de acuerdo con la normativa estatal, estarían obligados a contribuir a los costes y servicios del sistema eléctrico por la energía autoconsumida; por otro, los titulares de instalaciones situadas en la Región de Murcia que, en aplicación de la normativa autonómica impugnada, estarían exentos de esas obligaciones. El hecho de que estos últimos no abonaran las cuantías previstas en la normativa estatal supondría que los ingresos del sistema eléctrico se verían minorados en una cantidad equivalente, lo que tiene un traslado directo al sistema de liquidaciones del sector eléctrico, pues en la factura del suministro que paga un consumidor de electricidad tienen reflejo las diferentes actividades que se desarrollan en la cadena de suministro de energía eléctrica. Ello supondría una discriminación entre consumidores de energía eléctrica, pues los de otras Comunidades Autónomas estarían soportando el coste evitado por aquellos ubicados en Murcia a los que aplicara el precepto impugnado. Afectaría a los sujetos que realizan actividades por las que deben percibir su retribución conforme al sistema de liquidaciones gestionado por la Comisión Nacional de los Mercados y la Competencia y que soportan cualquier desviación en los ingresos del sistema: transportista, distribuidores y productores de tecnologías renovables, cogeneración y residuos con régimen retributivo específico. Estos verían minorada su retribución en las cantidades no aportadas por aquellos a los que resultara de aplicación la Ley murciana impugnada.</w:t>
      </w:r>
    </w:p>
    <w:p w:rsidR="0033382B" w:rsidRDefault="0033382B" w:rsidP="0033382B">
      <w:pPr>
        <w:pStyle w:val="TextoNormal"/>
      </w:pPr>
    </w:p>
    <w:p w:rsidR="0033382B" w:rsidRDefault="0033382B" w:rsidP="0033382B">
      <w:pPr>
        <w:pStyle w:val="TextoNormal"/>
      </w:pPr>
      <w:r>
        <w:t>Ha de tenerse en cuenta que la integración de la energía eléctrica producida o la adquisición de la misma se realiza por medio de mecanismos de mercado, de manera que se da un valor económico a la electricidad en el mercado diario de producción que gestiona el operador de este a nivel peninsular. Este mercado diario se complementa con los procesos necesarios para asegurar la entrega de la electricidad, de los que se encarga el operador del sistema (Red Eléctrica de España, S.A.). El hecho de que en el precepto impugnado se prevea un régimen diferente del fijado por la normativa básica estatal para la gestión de la energía podría generar distorsiones en el mercado según sea su implementación, dado que podría dejar exenta a la energía generada —y vertida en las redes— de su valoración económica de acuerdo con criterios de mercado. De este modo se plantearía con seguridad la dificultad de fijar qué condiciones económicas debieran aplicar las comercializadoras que suministren a los consumidores ubicados en Murcia y cómo deberían estimar sus compras en el mercado. Sin embargo, esa energía, con una valoración económica particular, sí podría inyectarse físicamente en la red, lo que implicaría que deberían activarse los mecanismos de mercado oportunos para que la operación del sistema eléctrico en su conjunto no se viera afectada. Estos mecanismos de mercado supondrían un coste al que no contribuirían los consumidores ubicados en la Región de Murcia.</w:t>
      </w:r>
    </w:p>
    <w:p w:rsidR="0033382B" w:rsidRDefault="0033382B" w:rsidP="0033382B">
      <w:pPr>
        <w:pStyle w:val="TextoNormal"/>
      </w:pPr>
    </w:p>
    <w:p w:rsidR="0033382B" w:rsidRDefault="0033382B" w:rsidP="0033382B">
      <w:pPr>
        <w:pStyle w:val="TextoNormal"/>
      </w:pPr>
      <w:r>
        <w:t>En fin, el levantamiento de la suspensión del precepto impugnado daría lugar a otra disfunción, generadora de perjuicios de muy difícil reparación por razón de la mecánica misma del propio sistema, pues en la ley autonómica se introduce un concepto de consumo “diferido”, que no encaja en las previsiones derivadas de la normativa básica estatal.</w:t>
      </w:r>
    </w:p>
    <w:p w:rsidR="0033382B" w:rsidRDefault="0033382B" w:rsidP="0033382B">
      <w:pPr>
        <w:pStyle w:val="TextoNormal"/>
      </w:pPr>
    </w:p>
    <w:p w:rsidR="0033382B" w:rsidRDefault="0033382B" w:rsidP="0033382B">
      <w:pPr>
        <w:pStyle w:val="TextoNormal"/>
      </w:pPr>
      <w:r>
        <w:t>En concreto, el marco que regula el autoconsumo conforme a esa normativa básica permite el saldo horario entre la energía generada y el consumo en la instalación con autoconsumo, dado que es en una hora el periodo en el que se negocia la energía en el mercado de producción; no puede haber un consumo diferido más allá de un periodo horario. Si un consumidor tiene excedentes en un instante y consume en otro, ambos dentro de la misma hora, la energía de ambos (excedente y consumo) se saldaría en dicha hora, de manera que se estaría valorando todo al mismo precio. Sin embargo, si se difiere el cómputo de energía generada en un periodo para su utilización en otro periodo posterior, más allá de una hora, se estaría alterando el valor de la energía; desde un punto de vista económico se estaría “almacenando” virtualmente energía generada en un momento para otro momento. Sin embargo, la energía física sí que estaría inyectándose en el sistema eléctrico con el consiguiente impacto en la operación del sistema y en los restantes sujetos. Este hecho, además de no ser reversible (pues la operación del sistema conlleva la búsqueda del equilibrio entre la generación de electricidad y la demanda en tiempo real), no es acorde con el principio previsto en la normativa estatal y generaría una distorsión en el sistema. Así, los consumidores acogidos al precio voluntario para el pequeño consumidor no podrían acogerse a este régimen, dado que el mecanismo de cálculo de dicho precio de acuerdo con el Real Decreto 216/2014, de 28 de marzo, que establece la metodología de cálculo de los precios voluntarios para el pequeño consumidor de energía eléctrica y su régimen jurídico de contratación, contempla la aplicación del precio en cada hora.</w:t>
      </w:r>
    </w:p>
    <w:p w:rsidR="0033382B" w:rsidRDefault="0033382B" w:rsidP="0033382B">
      <w:pPr>
        <w:pStyle w:val="TextoNormal"/>
      </w:pPr>
    </w:p>
    <w:p w:rsidR="0033382B" w:rsidRDefault="0033382B" w:rsidP="0033382B">
      <w:pPr>
        <w:pStyle w:val="TextoNormal"/>
      </w:pPr>
      <w:r w:rsidRPr="0033382B">
        <w:rPr>
          <w:rStyle w:val="NumeroAFNegritaCaracter"/>
        </w:rPr>
        <w:t>8</w:t>
      </w:r>
      <w:r>
        <w:t>. El Letrado de la Comunidad Autónoma de la Región de Murcia formuló sus alegaciones mediante escrito registrado en este Tribunal el 14 de marzo de 2016, interesando por las razones siguientes el levantamiento de la suspensión del precepto impugnado.</w:t>
      </w:r>
    </w:p>
    <w:p w:rsidR="0033382B" w:rsidRDefault="0033382B" w:rsidP="0033382B">
      <w:pPr>
        <w:pStyle w:val="TextoNormal"/>
      </w:pPr>
    </w:p>
    <w:p w:rsidR="0033382B" w:rsidRDefault="0033382B" w:rsidP="0033382B">
      <w:pPr>
        <w:pStyle w:val="TextoNormal"/>
      </w:pPr>
      <w:r>
        <w:t>Se refiere en primer lugar a la conocida doctrina conforme a la cual la decisión del Tribunal Constitucional sobre la ratificación o el levantamiento de la suspensión de la Ley autonómica impugnada debe atender a la presunción de legitimidad de las leyes y a la ponderación de los intereses perjudicados por la suspensión. Recuerda la carga que pesa sobre el Abogado del Estado de acreditar o, como mínimo, razonar consistentemente la concurrencia de graves perjuicios de imposible o muy difícil reparación invocados, para mantener la suspensión de la Ley impugnada.</w:t>
      </w:r>
    </w:p>
    <w:p w:rsidR="0033382B" w:rsidRDefault="0033382B" w:rsidP="0033382B">
      <w:pPr>
        <w:pStyle w:val="TextoNormal"/>
      </w:pPr>
    </w:p>
    <w:p w:rsidR="0033382B" w:rsidRDefault="0033382B" w:rsidP="0033382B">
      <w:pPr>
        <w:pStyle w:val="TextoNormal"/>
      </w:pPr>
      <w:r>
        <w:t>Conforme a dicha doctrina constitucional, considera el Letrado autonómico que no existen razones fundadas para el mantenimiento de la suspensión del precepto impugnado, pues no se aprecia que su aplicación pueda provocar ningún perjuicio de imposible o difícil reparación; esto bastaría para justificar que el Tribunal Constitucional, en aplicación de su doctrina, levante de inmediato la suspensión.</w:t>
      </w:r>
    </w:p>
    <w:p w:rsidR="0033382B" w:rsidRDefault="0033382B" w:rsidP="0033382B">
      <w:pPr>
        <w:pStyle w:val="TextoNormal"/>
      </w:pPr>
    </w:p>
    <w:p w:rsidR="0033382B" w:rsidRDefault="0033382B" w:rsidP="0033382B">
      <w:pPr>
        <w:pStyle w:val="TextoNormal"/>
      </w:pPr>
      <w:r>
        <w:t>Sostiene que no se alcanza a entender qué daño podría acarrear al interés general la aplicación del precepto legal impugnado, si se tiene en cuenta que el autoconsumo regulado en la Ley 24/2013, del sector eléctrico, afecta básicamente a la demanda de energía, por lo que su repercusión económica es reducida: el autoconsumo no llega al 1,5 por 100 de la energía eléctrica consumida en el Estado, según el Ministerio de Industria, Energía y Turismo. Para que pueda operar válidamente el título competencial art. l49.1.13 CE, invocado por el Estado en defensa de su competencia, es necesario que la medida adoptada sea objetivamente económica (al margen de su finalidad) y que tenga relevancia para la economía general. Ninguno de estos requisitos concurre en este caso, por lo que no cabe negar la competencia autonómica discutida.</w:t>
      </w:r>
    </w:p>
    <w:p w:rsidR="0033382B" w:rsidRDefault="0033382B" w:rsidP="0033382B">
      <w:pPr>
        <w:pStyle w:val="TextoNormal"/>
      </w:pPr>
    </w:p>
    <w:p w:rsidR="0033382B" w:rsidRDefault="0033382B" w:rsidP="0033382B">
      <w:pPr>
        <w:pStyle w:val="TextoNormal"/>
      </w:pPr>
      <w:r>
        <w:t xml:space="preserve">Es necesario, por tanto, que el precepto legal impugnado (que goza de presunción de legitimidad) recupere su efectividad y aplicación, porque es el mantenimiento de su suspensión el que está causando perjuicios de imposible o muy difícil reparación. Imposibilita que el Consejo de Gobierno de la Región de Murcia proceda al desarrollo reglamentario de las previsiones contenidas en el art. 20 </w:t>
      </w:r>
      <w:r w:rsidRPr="0033382B">
        <w:rPr>
          <w:i/>
        </w:rPr>
        <w:t>bis</w:t>
      </w:r>
      <w:r>
        <w:t xml:space="preserve"> de la Ley 10/2006, de energías renovables y ahorro y eficiencia energética de la Región de Murcia (redactado por el apartado 12 del artículo único de la Ley 11/2015). Esto significa, en última instancia, vaciar de contenido la competencia de esta Comunidad Autónoma en materia de energía (art. 10.1.28 del Estatuto de Autonomía), cuando la regulación autonómica, ahora en suspenso, se refiere a la energía producida y consumida en la propia instalación del consumidor, esto es, íntegramente en el territorio de la Comunidad Autónoma; elemento territorial que determina la competencia autonómica, cercenada precisamente con la suspensión del precepto impugnado.</w:t>
      </w:r>
    </w:p>
    <w:p w:rsidR="0033382B" w:rsidRDefault="0033382B" w:rsidP="0033382B">
      <w:pPr>
        <w:pStyle w:val="TextoNormal"/>
      </w:pPr>
    </w:p>
    <w:p w:rsidR="0033382B" w:rsidRDefault="0033382B" w:rsidP="0033382B">
      <w:pPr>
        <w:pStyle w:val="TextoNormal"/>
      </w:pPr>
      <w:r>
        <w:t>A ello deben añadirse los daños irreparables que el mantenimiento de la suspensión del precepto impugnado está infligiendo a un sector industrial clave en la economía regional y nacional, como es el de las energías renovables, sobre todo la fotovoltaica, en el ámbito de la microgeneración. Al dejar en suspenso las previsiones de la Ley autonómica y con ello la consideración de qué ha de entenderse por instalación aislada, se está desincentivando el desarrollo de ese sector estratégico, al tiempo que se atenta contra los principios de eficacia, eficiencia y ahorro energéticos proclamados en la propia normativa básica estatal. A ello también contribuye la imposición en la normativa estatal de una serie de peajes bajo el pretexto del respaldo que el sistema presta al pequeño productor con autoconsumo, con el resultado de hacer inviable esta modalidad de consumo de energía eléctrica.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El objeto de esta resolución es determinar si, de conformidad con lo previsto en el art. 161.2 CE, procede mantener o levantar la suspensión de la vigencia del art. 20 </w:t>
      </w:r>
      <w:r w:rsidRPr="0033382B">
        <w:rPr>
          <w:i/>
        </w:rPr>
        <w:t>bis</w:t>
      </w:r>
      <w:r>
        <w:t xml:space="preserve"> de la Ley 10/2006, de 21 de diciembre, de energías renovables y ahorro y eficiencia energética de la Región de Murcia, añadido por el apartado 12 del artículo único de la Ley 11/2015, de 30 de marzo.</w:t>
      </w:r>
    </w:p>
    <w:p w:rsidR="0033382B" w:rsidRDefault="0033382B" w:rsidP="0033382B">
      <w:pPr>
        <w:pStyle w:val="TextoNormal"/>
      </w:pPr>
    </w:p>
    <w:p w:rsidR="0033382B" w:rsidRDefault="0033382B" w:rsidP="0033382B">
      <w:pPr>
        <w:pStyle w:val="TextoNormal"/>
      </w:pPr>
      <w:r w:rsidRPr="0033382B">
        <w:rPr>
          <w:rStyle w:val="NumeroAFNegritaCaracter"/>
        </w:rPr>
        <w:t>2</w:t>
      </w:r>
      <w:r>
        <w:t>. Sobre este tipo de incidentes de suspensión existe una consolidada doctrina constitucional. Para decidir si procede o no ratificar dentro del plazo de cinco meses que establece el art.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w:t>
      </w:r>
    </w:p>
    <w:p w:rsidR="0033382B" w:rsidRDefault="0033382B" w:rsidP="0033382B">
      <w:pPr>
        <w:pStyle w:val="TextoNormal"/>
      </w:pPr>
    </w:p>
    <w:p w:rsidR="0033382B" w:rsidRDefault="0033382B" w:rsidP="0033382B">
      <w:pPr>
        <w:pStyle w:val="TextoNormal"/>
      </w:pPr>
      <w:r>
        <w:t>Igualmente se ha destacado en dicha doctrina que esta valoración ha de efectuarse mediante el estricto examen de las situaciones de hecho creadas y al margen de la viabilidad de las pretensiones que se formulen en la demanda. El mantenimiento de la suspensión requiere que el Gobierno de la Nación, a quien se debe la iniciativa (arts. 161.2 CE y 30 de la Ley Orgánica del Tribunal Constitucional), no sólo invoque la existencia de aquellos perjuicios, sino que demuestre o, al menos, razone consistentemente su procedencia y la imposible o difícil reparación de los mismos, pues debe partirse en principio de la presunción de constitucionalidad de las normas objeto de recurso (por todos, AATC 355/2007, de 24 de julio, FJ 2; 225/2009, de 10 de diciembre, FJ 2; 44/2011, de 12 de abril, FJ 2; 86/2012, de 8 de mayo, FJ 2, y 122/2015, de 7 de julio, FJ 2).</w:t>
      </w:r>
    </w:p>
    <w:p w:rsidR="0033382B" w:rsidRDefault="0033382B" w:rsidP="0033382B">
      <w:pPr>
        <w:pStyle w:val="TextoNormal"/>
      </w:pPr>
    </w:p>
    <w:p w:rsidR="0033382B" w:rsidRDefault="0033382B" w:rsidP="0033382B">
      <w:pPr>
        <w:pStyle w:val="TextoNormal"/>
      </w:pPr>
      <w:r w:rsidRPr="0033382B">
        <w:rPr>
          <w:rStyle w:val="NumeroAFNegritaCaracter"/>
        </w:rPr>
        <w:t>3</w:t>
      </w:r>
      <w:r>
        <w:t xml:space="preserve">. Antes de abordar el examen de las alegaciones formuladas por la Abogacía del Estado en pro de mantener la suspensión de la vigencia del art. 20 </w:t>
      </w:r>
      <w:r w:rsidRPr="0033382B">
        <w:rPr>
          <w:i/>
        </w:rPr>
        <w:t>bis</w:t>
      </w:r>
      <w:r>
        <w:t xml:space="preserve"> de la Ley de energías renovables y ahorro y eficiencia energética de la Región de Murcia, así como las del Letrado de la Comunidad Autónoma de la Región de Murcia a favor del levantamiento de la suspensión, es oportuno referirse al contenido del precepto impugnado (por motivos competenciales), que lleva por título “instalaciones para aprovechamiento y consumo directo de fuentes de energía renovables. Instalaciones de intercambio de energía”.</w:t>
      </w:r>
    </w:p>
    <w:p w:rsidR="0033382B" w:rsidRDefault="0033382B" w:rsidP="0033382B">
      <w:pPr>
        <w:pStyle w:val="TextoNormal"/>
      </w:pPr>
    </w:p>
    <w:p w:rsidR="0033382B" w:rsidRDefault="0033382B" w:rsidP="0033382B">
      <w:pPr>
        <w:pStyle w:val="TextoNormal"/>
      </w:pPr>
      <w:r>
        <w:t xml:space="preserve">En su apartado 1, el art. 20 </w:t>
      </w:r>
      <w:r w:rsidRPr="0033382B">
        <w:rPr>
          <w:i/>
        </w:rPr>
        <w:t>bis</w:t>
      </w:r>
      <w:r>
        <w:t xml:space="preserve"> de la Ley de energías renovables y ahorro y eficiencia energética de la Región de Murcia permite considerar como “instalaciones aisladas del sistema eléctrico” a las de autoconsumo (“instalaciones previstas para el aprovechamiento de fuentes de energía renovables cuya finalidad sea la producción de energía eléctrica, sobre las que quede acreditado el consumo de la totalidad de la energía producida, así como la ausencia de conexión eléctrica con la red del sistema eléctrico”).</w:t>
      </w:r>
    </w:p>
    <w:p w:rsidR="0033382B" w:rsidRDefault="0033382B" w:rsidP="0033382B">
      <w:pPr>
        <w:pStyle w:val="TextoNormal"/>
      </w:pPr>
    </w:p>
    <w:p w:rsidR="0033382B" w:rsidRDefault="0033382B" w:rsidP="0033382B">
      <w:pPr>
        <w:pStyle w:val="TextoNormal"/>
      </w:pPr>
      <w:r>
        <w:t xml:space="preserve">En su apartado 2, el referido art. 20 </w:t>
      </w:r>
      <w:r w:rsidRPr="0033382B">
        <w:rPr>
          <w:i/>
        </w:rPr>
        <w:t>bis</w:t>
      </w:r>
      <w:r>
        <w:t xml:space="preserve"> contempla la nueva figura de las “instalaciones de intercambio de energía”, considerando como tales las instalaciones generadoras de energía eléctrica a partir de fuentes de energía renovables (en particular las de tecnología solar fotovoltaica de pequeña potencia), “previstas para el consumo instantáneo o diferido en las modalidades de autoconsumo reguladas en la Ley 24/2013, de 26 de diciembre, del sector eléctrico”. Determina asimismo que la cesión de energía producida por estas instalaciones al sistema eléctrico no llevará aparejada contraprestación económica alguna.</w:t>
      </w:r>
    </w:p>
    <w:p w:rsidR="0033382B" w:rsidRDefault="0033382B" w:rsidP="0033382B">
      <w:pPr>
        <w:pStyle w:val="TextoNormal"/>
      </w:pPr>
    </w:p>
    <w:p w:rsidR="0033382B" w:rsidRDefault="0033382B" w:rsidP="0033382B">
      <w:pPr>
        <w:pStyle w:val="TextoNormal"/>
      </w:pPr>
      <w:r>
        <w:t xml:space="preserve">Finalmente, el apartado 3 del artículo 20 </w:t>
      </w:r>
      <w:r w:rsidRPr="0033382B">
        <w:rPr>
          <w:i/>
        </w:rPr>
        <w:t>bis</w:t>
      </w:r>
      <w:r>
        <w:t xml:space="preserve"> remite a una orden de la Consejería competente del Gobierno murciano la definición de las condiciones técnicas y administrativas que deben cumplir las instalaciones para ser consideradas como “aisladas del sistema eléctrico” o “de intercambio de energía”.</w:t>
      </w:r>
    </w:p>
    <w:p w:rsidR="0033382B" w:rsidRDefault="0033382B" w:rsidP="0033382B">
      <w:pPr>
        <w:pStyle w:val="TextoNormal"/>
      </w:pPr>
    </w:p>
    <w:p w:rsidR="0033382B" w:rsidRDefault="0033382B" w:rsidP="0033382B">
      <w:pPr>
        <w:pStyle w:val="TextoNormal"/>
      </w:pPr>
      <w:r w:rsidRPr="0033382B">
        <w:rPr>
          <w:rStyle w:val="NumeroAFNegritaCaracter"/>
        </w:rPr>
        <w:t>4</w:t>
      </w:r>
      <w:r>
        <w:t xml:space="preserve">. Como ha quedado expuesto en los antecedentes de esta resolución, el Abogado del Estado solicita que se ratifique la suspensión del precepto impugnado, sugiriendo, en primer término, que en el presente caso bien pudiéramos estar ante uno de aquellos supuestos en los que, de forma excepcional, el Tribunal Constitucional ha venido a admitir la aplicación del criterio del </w:t>
      </w:r>
      <w:r w:rsidRPr="0033382B">
        <w:rPr>
          <w:i/>
        </w:rPr>
        <w:t>fumus boni iuris</w:t>
      </w:r>
      <w:r>
        <w:t xml:space="preserve"> para mantener la suspensión de la Ley autonómica impugnada. La aplicación del art. 20 </w:t>
      </w:r>
      <w:r w:rsidRPr="0033382B">
        <w:rPr>
          <w:i/>
        </w:rPr>
        <w:t>bis</w:t>
      </w:r>
      <w:r>
        <w:t xml:space="preserve"> de la Ley de energías renovables y ahorro y eficiencia energética de la Región de Murcia podría provocar un quebranto para el interés general, al suponer la fragmentación en un ámbito tan sensible como es el régimen técnico y económico de las instalaciones de energía eléctrica, así como para las condiciones de mercado, explotación e inversiones en el sector eléctrico.</w:t>
      </w:r>
    </w:p>
    <w:p w:rsidR="0033382B" w:rsidRDefault="0033382B" w:rsidP="0033382B">
      <w:pPr>
        <w:pStyle w:val="TextoNormal"/>
      </w:pPr>
    </w:p>
    <w:p w:rsidR="0033382B" w:rsidRDefault="0033382B" w:rsidP="0033382B">
      <w:pPr>
        <w:pStyle w:val="TextoNormal"/>
      </w:pPr>
      <w:r>
        <w:t xml:space="preserve">Este argumento ha de ser rechazado. Ciertamente, hemos admitido excepcionalmente que pueda tenerse en consideración el criterio del </w:t>
      </w:r>
      <w:r w:rsidRPr="0033382B">
        <w:rPr>
          <w:i/>
        </w:rPr>
        <w:t>fumus boni iuris</w:t>
      </w:r>
      <w:r>
        <w:t xml:space="preserve"> para resolver este tipo de incidentes, como ocurre señaladamente cuando los preceptos impugnados sobre los que versa el incidente de suspensión contienen previsiones muy similares (una “similitud intensa o coincidencia literal”) con otras normas ya declaradas inconstitucionales y nulas por Sentencia de este Tribunal (así, AATC 78/1987, de 22 de enero, FJ 2; 183/2011, de 14 de diciembre, FJ 4; 182/2015, de 3 de noviembre de 2015, FJ 6, y 41/2016, de 16 de febrero, FFJJ 2 y 3). Este criterio —similitud intensa o coincidencia literal con normas declarada inconstitucionales y nulas por el Tribunal Constitucional— es un supuesto cualificado de apariencia de buen derecho que se aparta de lo que es regla general y por tanto es fundamento suficiente para mantener la suspensión establecida en el art. 161.2 CE. No concurre, sin embargo, lo mismo en el caso que nos ocupa; este Tribunal no ha declarado la inconstitucionalidad y nulidad de ninguna norma autonómica que contenga previsiones idénticas o de intensa similitud a las previstas en el art. 20 </w:t>
      </w:r>
      <w:r w:rsidRPr="0033382B">
        <w:rPr>
          <w:i/>
        </w:rPr>
        <w:t>bis</w:t>
      </w:r>
      <w:r>
        <w:t xml:space="preserve"> de la Ley de energías renovables y ahorro y eficiencia energética de la Región de Murcia, objeto del recurso de inconstitucionalidad en el que se suscita este incidente.</w:t>
      </w:r>
    </w:p>
    <w:p w:rsidR="0033382B" w:rsidRDefault="0033382B" w:rsidP="0033382B">
      <w:pPr>
        <w:pStyle w:val="TextoNormal"/>
      </w:pPr>
    </w:p>
    <w:p w:rsidR="0033382B" w:rsidRDefault="0033382B" w:rsidP="0033382B">
      <w:pPr>
        <w:pStyle w:val="TextoNormal"/>
      </w:pPr>
      <w:r w:rsidRPr="0033382B">
        <w:rPr>
          <w:rStyle w:val="NumeroAFNegritaCaracter"/>
        </w:rPr>
        <w:t>5</w:t>
      </w:r>
      <w:r>
        <w:t>. Conforme ha quedado expuesto, la decisión que aquí hemos de adoptar no puede apoyarse en la apariencia de buen derecho de la pretensión impugnatoria; tampoco en la idea de que es preciso evitar la pluralidad de regímenes normativos allí donde hasta el momento sólo haya habido una disciplina unitaria. Lo primero supondría anticipar un pronunciamiento que sólo es posible en el marco del proceso principal; lo segundo, olvidar que la esencia misma de nuestro modelo de Estado descansa, precisamente, en la concurrencia de sistemas normativos, cuya convivencia ha de buscarse exclusivamente en la ordenación de sus respectivos ámbitos competenciales. Por esta razón debemos descartar igualmente el segundo argumento que aduce el Abogado del Estado, basado en los supuestos perjuicios que se producirían como consecuencia de la situación de duplicidad normativa que generaría el levantamiento de la suspensión del precepto impugnado, al aplicarse en la Región de Murcia una regulación distinta (más restrictiva) a la del resto del territorio nacional en materia de energías renovables.</w:t>
      </w:r>
    </w:p>
    <w:p w:rsidR="0033382B" w:rsidRDefault="0033382B" w:rsidP="0033382B">
      <w:pPr>
        <w:pStyle w:val="TextoNormal"/>
      </w:pPr>
    </w:p>
    <w:p w:rsidR="0033382B" w:rsidRDefault="0033382B" w:rsidP="0033382B">
      <w:pPr>
        <w:pStyle w:val="TextoNormal"/>
      </w:pPr>
      <w:r>
        <w:t>Como ya hemos señalado reiteradamente, la existencia de dos legislaciones diferentes no puede convertirse en los procesos constitucionales en los que se dirimen controversias competenciales en principio determinante del mantenimiento de la suspensión de la disposición legal recurrida. Si esa argumentación se aceptara la suspensión de las normas autonómicas impugnadas por motivos competenciales sería siempre necesaria, puesto que en todo conflicto de dicha naturaleza se produce una duplicidad de normativas, la estatal y la autonómica (por todos, AATC 46/1999, de 25 de febrero, FJ 2; 174/2002, de 1 de octubre, FJ 4; 3/2003, de 14 de enero, FJ 5, y 205/2014, de 22 de julio, FJ 2).</w:t>
      </w:r>
    </w:p>
    <w:p w:rsidR="0033382B" w:rsidRDefault="0033382B" w:rsidP="0033382B">
      <w:pPr>
        <w:pStyle w:val="TextoNormal"/>
      </w:pPr>
    </w:p>
    <w:p w:rsidR="0033382B" w:rsidRDefault="0033382B" w:rsidP="0033382B">
      <w:pPr>
        <w:pStyle w:val="TextoNormal"/>
      </w:pPr>
      <w:r>
        <w:t>Los daños que pudieran ocasionarse a la seguridad jurídica por esa situación de duplicidad normativa son una consecuencia inherente a toda situación de pendencia de un recurso de inconstitucionalidad y consustanciales, por tanto, al funcionamiento de un Estado compuesto como el nuestro y a la coexistencia del ordenamiento estatal con los ordenamientos autonómicos. Desde este simple ángulo de enfoque, la suspensión de las normas impugnadas por motivos competenciales, como es el presente caso, sería siempre necesaria en la medida en que en los conflictos de dicha naturaleza concurra una duplicidad de normas. Pero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(por todos, AATC 60/2013, de 26 de febrero, FJ 5, y 153/2014, de 27 de julio, FJ 3).</w:t>
      </w:r>
    </w:p>
    <w:p w:rsidR="0033382B" w:rsidRDefault="0033382B" w:rsidP="0033382B">
      <w:pPr>
        <w:pStyle w:val="TextoNormal"/>
      </w:pPr>
    </w:p>
    <w:p w:rsidR="0033382B" w:rsidRDefault="0033382B" w:rsidP="0033382B">
      <w:pPr>
        <w:pStyle w:val="TextoNormal"/>
      </w:pPr>
      <w:r>
        <w:t>Tampoco cabe apreciar que nos encontremos ante el caso excepcional de mantenimiento de la suspensión por el perjuicio actual y directo al interés general que resulta del bloqueo de las competencias estatales, no alegado en todo caso por el Abogado del Estado. Se produciría, según la doctrina de este Tribunal, bien porque la competencia estatal afectada está palmariamente reconocida por el bloque de la constitucionalidad y no es discutida por las partes; bien porque la norma autonómica impugnada reconoce expresamente que se ha dictado con única finalidad de dejar en suspenso el ejercicio de una competencia estatal cuya legitimidad se discute; bien, finalmente, porque concurren a la vez ambos requisitos: una competencia estatal incontrovertida y una norma autonómica que se dicta con el propósito confesado de evitar que sea menoscabada por el ejercicio por el Estado de sus propias competencias (AATC 336/2005, de 15 de septiembre, FJ 5; 104/2010, de 28 de julio, FJ 5; 146/2013, de 5 de junio, FJ 4; 153/2014, de 27 de mayo, FJ 1; 265/2014, de 14 de noviembre, FJ 4, y 54/2016, de 1 de marzo, FJ 7).</w:t>
      </w:r>
    </w:p>
    <w:p w:rsidR="0033382B" w:rsidRDefault="0033382B" w:rsidP="0033382B">
      <w:pPr>
        <w:pStyle w:val="TextoNormal"/>
      </w:pPr>
    </w:p>
    <w:p w:rsidR="0033382B" w:rsidRDefault="0033382B" w:rsidP="0033382B">
      <w:pPr>
        <w:pStyle w:val="TextoNormal"/>
      </w:pPr>
      <w:r>
        <w:t>Ninguna de estas circunstancias concurre en el presente caso, que no excede de los límites normales de cualquier controversia competencial. La Comunidad Autónoma de la Región de Murcia se considera competente para aprobar la regulación impugnada y, además, la norma autonómica no se dicta con la finalidad de dejar en suspenso el ejercicio de una competencia estatal cuya legitimidad se discute, por lo que la resolución que se adopte en el presente incidente sólo puede depender, como ya hemos afirmado, de la ponderación de los intereses públicos y privados afectados por la suspensión y de los perjuicios de imposible reparación que se irroguen del mantenimiento o levantamiento de la suspensión, para lo que habrá de estarse a las situaciones de hecho creadas y al margen de la viabilidad de las pretensiones formuladas en el recurso de inconstitucionalidad.</w:t>
      </w:r>
    </w:p>
    <w:p w:rsidR="0033382B" w:rsidRDefault="0033382B" w:rsidP="0033382B">
      <w:pPr>
        <w:pStyle w:val="TextoNormal"/>
      </w:pPr>
    </w:p>
    <w:p w:rsidR="0033382B" w:rsidRDefault="0033382B" w:rsidP="0033382B">
      <w:pPr>
        <w:pStyle w:val="TextoNormal"/>
      </w:pPr>
      <w:r>
        <w:t>Así pues, debemos centrar nuestro análisis en la ponderación de los graves perjuicios económicos para el interés general y los intereses de terceros que, según el Abogado del Estado, habrían de producirse si se decretase el alzamiento de la suspensión del precepto impugnado.</w:t>
      </w:r>
    </w:p>
    <w:p w:rsidR="0033382B" w:rsidRDefault="0033382B" w:rsidP="0033382B">
      <w:pPr>
        <w:pStyle w:val="TextoNormal"/>
      </w:pPr>
    </w:p>
    <w:p w:rsidR="0033382B" w:rsidRDefault="0033382B" w:rsidP="0033382B">
      <w:pPr>
        <w:pStyle w:val="TextoNormal"/>
      </w:pPr>
      <w:r w:rsidRPr="0033382B">
        <w:rPr>
          <w:rStyle w:val="NumeroAFNegritaCaracter"/>
        </w:rPr>
        <w:t>6</w:t>
      </w:r>
      <w:r>
        <w:t>. Sostiene el Abogado del Estado, con apoyo en el informe elaborado por el Ministerio de Industria, Energía y Turismo (Dirección General de Política Energética y Minas) que adjunta a su escrito de alegaciones, que el levantamiento de la suspensión del precepto impugnado ocasionaría graves perjuicios económicos para el interés general y los intereses de los inversores en instalaciones de aprovechamiento de fuentes de energías renovables, especialmente la fotovoltaica.</w:t>
      </w:r>
    </w:p>
    <w:p w:rsidR="0033382B" w:rsidRDefault="0033382B" w:rsidP="0033382B">
      <w:pPr>
        <w:pStyle w:val="TextoNormal"/>
      </w:pPr>
    </w:p>
    <w:p w:rsidR="0033382B" w:rsidRDefault="0033382B" w:rsidP="0033382B">
      <w:pPr>
        <w:pStyle w:val="TextoNormal"/>
      </w:pPr>
      <w:r>
        <w:t xml:space="preserve">Esos perjuicios económicos que podría provocar la aplicación del precepto legal impugnado si se alzase la suspensión que pesa sobre el mismo se concretarían, en primer lugar, en el riesgo de que los interesados que se hayan acogido a las previsiones del art. 20 </w:t>
      </w:r>
      <w:r w:rsidRPr="0033382B">
        <w:rPr>
          <w:i/>
        </w:rPr>
        <w:t>bis</w:t>
      </w:r>
      <w:r>
        <w:t xml:space="preserve"> de la Ley de energías renovables y ahorro y eficiencia energética de la Región de Murcia puedan resultar a la postre sancionados conforme a lo previsto en la legislación estatal. Si este Tribunal declarase inconstitucional y nulo el precepto impugnado, desde ese momento las instalaciones generadoras de energía eléctrica a partir de fuentes de energía renovables sitas en la Región de Murcia habrían de adaptarse a la normativa estatal aplicable o, en su caso, restituir las cosas o reponerlas a su estado natural anterior al inicio de la vigencia del precepto legal autonómico anulado. De no hacerlo así, los titulares de esas instalaciones, podrían llegar a ser sancionados con multas de elevada cuantía de acuerdo con lo establecido en la Ley 24/2013, del sector eléctrico.</w:t>
      </w:r>
    </w:p>
    <w:p w:rsidR="0033382B" w:rsidRDefault="0033382B" w:rsidP="0033382B">
      <w:pPr>
        <w:pStyle w:val="TextoNormal"/>
      </w:pPr>
    </w:p>
    <w:p w:rsidR="0033382B" w:rsidRDefault="0033382B" w:rsidP="0033382B">
      <w:pPr>
        <w:pStyle w:val="TextoNormal"/>
      </w:pPr>
      <w:r>
        <w:t>Los perjuicios aducidos presentan un marcado carácter hipotético, lo que es razón suficiente para su rechazo. La decisión sobre el levantamiento o mantenimiento de la suspensión del precepto impugnado ha de adoptarse mediante el estricto examen de las situaciones de hecho creadas y al margen de la viabilidad de las pretensiones que se formulen en la demanda. Ni siquiera la eventual estimación íntegra por este Tribunal del recurso de inconstitucionalidad tendría necesariamente que deparar a los titulares de instalaciones acogidas a la normativa autonómica, las consecuencias económicas negativas que se apuntan por vía sancionadora; entre otras razones, porque no hay motivos para presumir que los interesados vayan a negarse a cumplir los requisitos administrativos, técnicos y económicos de las modalidades de suministro de energía eléctrica con autoconsumo y de producción con autoconsumo establecidos en la normativa estatal.</w:t>
      </w:r>
    </w:p>
    <w:p w:rsidR="0033382B" w:rsidRDefault="0033382B" w:rsidP="0033382B">
      <w:pPr>
        <w:pStyle w:val="TextoNormal"/>
      </w:pPr>
    </w:p>
    <w:p w:rsidR="0033382B" w:rsidRDefault="0033382B" w:rsidP="0033382B">
      <w:pPr>
        <w:pStyle w:val="TextoNormal"/>
      </w:pPr>
      <w:r>
        <w:t>Aduce también el Abogado del Estado que el levantamiento de la suspensión del precepto impugnado podría desincentivar en la Región de Murcia las inversiones en instalaciones para el aprovechamiento de fuentes de energía renovables, por la inseguridad jurídica derivada de la pendencia del recurso de inconstitucionalidad. Los potenciales interesados en esas instalaciones podrían desistir de su propósito inversor, pues corren el riesgo de que, si la norma murciana a la que se han acogido es anulada finalmente por el Tribunal Constitucional, vendrían obligados a modificar técnicamente sus instalaciones para adaptarlas a la normativa estatal y el régimen económico resultante de esa modificación no se corresponderá con el previsto al realizar la inversión inicial (al tener que contribuir a los costes del sistema por la energía autoconsumida). De nuevo se formulan perjuicios de modo hipotético, basados en meras especulaciones y conjeturas, lo que ha de conducir a descartar que este alegato sea idóneo para justificar el mantenimiento de la suspensión del precepto impugnado.</w:t>
      </w:r>
    </w:p>
    <w:p w:rsidR="0033382B" w:rsidRDefault="0033382B" w:rsidP="0033382B">
      <w:pPr>
        <w:pStyle w:val="TextoNormal"/>
      </w:pPr>
    </w:p>
    <w:p w:rsidR="0033382B" w:rsidRDefault="0033382B" w:rsidP="0033382B">
      <w:pPr>
        <w:pStyle w:val="TextoNormal"/>
      </w:pPr>
      <w:r>
        <w:t xml:space="preserve">Cabe advertir que la alegación de esos supuestos perjuicios se presenta de manera un tanto contradictoria. Por una parte se aduce el efecto desincentivador para las inversiones en instalaciones para el aprovechamiento de fuentes de energía renovables en Murcia, por el alto grado de incertidumbre sobre cuál sea finalmente el régimen jurídico aplicable, dada la pendencia del recurso de inconstitucionalidad contra el art. 20 </w:t>
      </w:r>
      <w:r w:rsidRPr="0033382B">
        <w:rPr>
          <w:i/>
        </w:rPr>
        <w:t>bis</w:t>
      </w:r>
      <w:r>
        <w:t xml:space="preserve"> de la Ley de energías renovables y ahorro y eficiencia energética de la Región de Murcia. Por otro lado, se apunta también por el Abogado del Estado —con apoyo en el referido informe adjunto del Ministerio de Industria, Energía y Turismo— que existe riesgo de elevada implantación en un corto periodo de tiempo de esas instalaciones (especialmente las de tecnología solar fotovoltaica de pequeña potencia) en el territorio murciano, si se tiene en cuenta la situación precedente: pese a representar una superficie inferior al 3 por 100 del territorio español, cerca del 10 por 100 de las instalaciones fotovoltaicas se encuentran ubicadas en esa Comunidad Autónoma. En este sentido el Abogado del Estado, con apoyo en el referido informe técnico, aduce que si hipotéticamente se repitiera una situación análoga a la que ya ocurrió en el pasado, de alta implantación de instalaciones en un corto periodo de tiempo, y se instalaran en Murcia 50 MW de tecnología solar fotovoltaica al año (lo que equivale a menos del 25 por 100 de la potencia instalada en 2008), ello supondría la realización de inversiones anuales por valor de 82 millones de euros. Ese desembolso se habría realizado por los inversores partiendo de unas premisas que podrían verse radicalmente alteradas en el caso en que la norma autonómica recurrida fuese anulada por este Tribunal. Con todo, no deja de advertirse en el citado informe técnico que la previsión sobre las instalaciones de autoconsumo que podrían implantarse en la Región de Murcia durante la pendencia del recurso de inconstitucionalidad es un ejercicio altamente complejo, por influir en él numerosas variables de difícil estimación.</w:t>
      </w:r>
    </w:p>
    <w:p w:rsidR="0033382B" w:rsidRDefault="0033382B" w:rsidP="0033382B">
      <w:pPr>
        <w:pStyle w:val="TextoNormal"/>
      </w:pPr>
    </w:p>
    <w:p w:rsidR="0033382B" w:rsidRDefault="0033382B" w:rsidP="0033382B">
      <w:pPr>
        <w:pStyle w:val="TextoNormal"/>
      </w:pPr>
      <w:r>
        <w:t>Estamos pues, en cualquier caso, ante meras conjeturas sobre hipotéticos perjuicios económicos, lo que determina el rechazo del alegato de la Abogacía del Estado, pues de acuerdo con la doctrina de este Tribunal, “la suspensión solamente procede en presencia de perjuicios ciertos y efectivos, en ausencia de los cuales ha de atenderse a la presunción de validez propia de las Leyes” (AATC 156/2008, de 12 de junio, FJ 3, y 54/2016, de 1 de marzo, FJ 6).</w:t>
      </w:r>
    </w:p>
    <w:p w:rsidR="0033382B" w:rsidRDefault="0033382B" w:rsidP="0033382B">
      <w:pPr>
        <w:pStyle w:val="TextoNormal"/>
      </w:pPr>
    </w:p>
    <w:p w:rsidR="0033382B" w:rsidRDefault="0033382B" w:rsidP="0033382B">
      <w:pPr>
        <w:pStyle w:val="TextoNormal"/>
      </w:pPr>
      <w:r w:rsidRPr="0033382B">
        <w:rPr>
          <w:rStyle w:val="NumeroAFNegritaCaracter"/>
        </w:rPr>
        <w:t>7</w:t>
      </w:r>
      <w:r>
        <w:t>. Alega asimismo el Abogado del Estado que el levantamiento de la suspensión de la vigencia del precepto impugnado provocaría graves perjuicios económicos para el interés general por el impacto que produciría la aplicación de la norma autonómica en los ingresos del sistema eléctrico. Sostiene que el alzamiento de la suspensión daría lugar a la existencia de una situación de disparidad: por un lado estarían los titulares de instalaciones que, de acuerdo con la normativa estatal, quedan obligados a contribuir a los costes y servicios del sistema eléctrico por la energía autoconsumida; por otro, estarían los titulares de instalaciones de autoconsumo sitas en la Región de Murcia que, por aplicación de la normativa autonómica impugnada, estarían exentos de esas obligaciones. El hecho de que estos últimos no abonen las cuantías previstas en la normativa estatal supondría un impacto en los ingresos del sistema eléctrico, que se verían minorados en una cantidad equivalente, lo que repercutiría negativamente en los sujetos que perciben ingresos por medio del sistema de liquidaciones del sector eléctrico gestionado por la Comisión Nacional de los Mercados y la Competencia.</w:t>
      </w:r>
    </w:p>
    <w:p w:rsidR="0033382B" w:rsidRDefault="0033382B" w:rsidP="0033382B">
      <w:pPr>
        <w:pStyle w:val="TextoNormal"/>
      </w:pPr>
    </w:p>
    <w:p w:rsidR="0033382B" w:rsidRDefault="0033382B" w:rsidP="0033382B">
      <w:pPr>
        <w:pStyle w:val="TextoNormal"/>
      </w:pPr>
      <w:r>
        <w:t xml:space="preserve">Aun admitiendo que la aplicación de la normativa autonómica impugnada pudiera dar lugar a la situación de disparidad de regímenes jurídicos que se indica, con impacto en los ingresos del sistema eléctrico, ello no puede erigirse en razón suficiente para acordar el mantenimiento de la suspensión de la vigencia y aplicación del art. 20 </w:t>
      </w:r>
      <w:r w:rsidRPr="0033382B">
        <w:rPr>
          <w:i/>
        </w:rPr>
        <w:t>bis</w:t>
      </w:r>
      <w:r>
        <w:t xml:space="preserve"> de la Ley 10/2006, de 21 de diciembre, de energías renovables y ahorro y eficiencia energética de la Región de Murcia. No se ha cuantificado por la Abogacía del Estado siquiera de forma estimativa (tampoco lo hace el informe adjunto del Ministerio de Industria, Energía y Turismo) el impacto económico para el sistema eléctrico que esa dualidad de regímenes en cuanto a las instalaciones de autoconsumo pudiera provocar; esto resultaba necesario para que este Tribunal ponderase con elementos de juicio suficientes los perjuicios que se producirían en caso de levantarse la suspensión del precepto impugnado. Máxime teniendo en cuenta que, según manifiesta el Letrado de la Comunidad Autónoma de la Región de Murcia en su escrito de alegaciones a favor del alzamiento de la suspensión, el autoconsumo no alcanza al 1,5 por 100 del total de la energía eléctrica consumida en el conjunto del Estado español.</w:t>
      </w:r>
    </w:p>
    <w:p w:rsidR="0033382B" w:rsidRDefault="0033382B" w:rsidP="0033382B">
      <w:pPr>
        <w:pStyle w:val="TextoNormal"/>
      </w:pPr>
    </w:p>
    <w:p w:rsidR="0033382B" w:rsidRDefault="0033382B" w:rsidP="0033382B">
      <w:pPr>
        <w:pStyle w:val="TextoNormal"/>
      </w:pPr>
      <w:r>
        <w:t>Parecida respuesta cabe dar a los perjuicios que, según el Abogado del Estado, se producirían si se levantase la suspensión, por la distorsión o disfunción que ello generaría en el sistema eléctrico, en cuanto que la norma autonómica impugnada introduce un concepto de consumo “diferido” que no se adecua a las previsiones derivadas de la normativa básica estatal, conforme a la cual no puede haber un consumo diferido más allá de un periodo horario. De suerte que si un consumidor tiene excedente en un instante y consume en otro, ambos dentro de la misma hora, la energía de ambos (excedente y consumo) se salda en esa hora, valorando todo al mismo precio. En cambio, si se difiere el cómputo de energía generada en un periodo para su utilización en otro periodo posterior más allá de una hora (como permite la norma impugnada), se estaría alterando el precio de la energía, con el consiguiente impacto en la operación del sistema y en los restantes sujetos.</w:t>
      </w:r>
    </w:p>
    <w:p w:rsidR="0033382B" w:rsidRDefault="0033382B" w:rsidP="0033382B">
      <w:pPr>
        <w:pStyle w:val="TextoNormal"/>
      </w:pPr>
    </w:p>
    <w:p w:rsidR="0033382B" w:rsidRDefault="0033382B" w:rsidP="0033382B">
      <w:pPr>
        <w:pStyle w:val="TextoNormal"/>
      </w:pPr>
      <w:r>
        <w:t xml:space="preserve">Tampoco en este punto se ha acreditado, ni siquiera de forma estimativa o aproximativa, el alcance del impacto económico que para el sistema eléctrico o los consumidores pudiera tener la referida distorsión o disfunción como consecuencia del consumo “diferido” en las instalaciones de autoconsumo previsto en el art. 20 </w:t>
      </w:r>
      <w:r w:rsidRPr="0033382B">
        <w:rPr>
          <w:i/>
        </w:rPr>
        <w:t>bis</w:t>
      </w:r>
      <w:r>
        <w:t xml:space="preserve"> de la Ley 10/2006, de 21 de diciembre, de energías renovables y ahorro y eficiencia energética de la Región de Murcia. No cabe, por tanto, estimar que el Gobierno, a quien compete la carga, haya razonado consistentemente la existencia de los perjuicios que alega y la imposibilidad o grave dificultad de reparación de los mismos.</w:t>
      </w:r>
    </w:p>
    <w:p w:rsidR="0033382B" w:rsidRDefault="0033382B" w:rsidP="0033382B">
      <w:pPr>
        <w:pStyle w:val="TextoNormal"/>
      </w:pPr>
    </w:p>
    <w:p w:rsidR="0033382B" w:rsidRDefault="0033382B" w:rsidP="0033382B">
      <w:pPr>
        <w:pStyle w:val="TextoNormal"/>
      </w:pPr>
      <w:r w:rsidRPr="0033382B">
        <w:rPr>
          <w:rStyle w:val="NumeroAFNegritaCaracter"/>
        </w:rPr>
        <w:t>8</w:t>
      </w:r>
      <w:r>
        <w:t>. No se ha acreditado en este incidente que las diferencias señaladas entre la norma estatal y la autonómica sean lo suficientemente sustanciales como para generar graves alteraciones tarifarias (incremento de costes trasladables a la tarifa que pagan los consumidores). Tampoco se ha justificado consistentemente, siquiera de forma estimativa o aproximativa, el impacto que esas diferencias normativas —entre la Ley estatal y la autonómica— puedan ocasionar al sistema eléctrico y a los distintos sujetos que perciben sus retribuciones por medio de liquidaciones del sector eléctrico; perjuicios estos que, por otra parte, por su dimensión económica siempre pueden ser resarcidos si finalmente este Tribunal declarase la inconstitucionalidad y nulidad de la norma recurrida. No se aprecia pues que existan perjuicios de imposible o difícil reparación que puedan prevalecer sobre la presunción de legitimidad del precepto autonómico impugnado, por lo que procede levantar la suspensión del mismo.</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 xml:space="preserve">Levantar la suspensión del art. 20 </w:t>
      </w:r>
      <w:r w:rsidRPr="0033382B">
        <w:rPr>
          <w:i/>
        </w:rPr>
        <w:t>bis</w:t>
      </w:r>
      <w:r>
        <w:t xml:space="preserve"> de la Ley 10/2006, de 21 de diciembre, de energías renovables y ahorro y eficiencia energética de la Región de Murcia, redactado por el apartado 12 del artículo único de la Ley 11/2015, de 30 de marzo.</w:t>
      </w:r>
    </w:p>
    <w:p w:rsidR="0033382B" w:rsidRDefault="0033382B" w:rsidP="0033382B">
      <w:pPr>
        <w:pStyle w:val="TextoNormal"/>
      </w:pPr>
    </w:p>
    <w:p w:rsidR="0033382B" w:rsidRDefault="0033382B" w:rsidP="0033382B">
      <w:pPr>
        <w:pStyle w:val="TextoNormal"/>
      </w:pPr>
      <w:r>
        <w:t>Madrid, a diez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33" w:name="AUTO_2016_106"/>
      <w:r>
        <w:t>AUTO 106/2016, de 11 de mayo de 2016</w:t>
      </w:r>
    </w:p>
    <w:bookmarkEnd w:id="233"/>
    <w:p w:rsidR="0033382B" w:rsidRDefault="0033382B" w:rsidP="0033382B">
      <w:pPr>
        <w:pStyle w:val="TtuloResolucin"/>
      </w:pPr>
      <w:r>
        <w:t>Sala Segunda</w:t>
      </w:r>
    </w:p>
    <w:p w:rsidR="0033382B" w:rsidRDefault="0033382B" w:rsidP="0033382B">
      <w:pPr>
        <w:pStyle w:val="TextoNormalCentrado"/>
      </w:pPr>
      <w:r>
        <w:t>ECLI:ES:TC:2016:106A</w:t>
      </w:r>
    </w:p>
    <w:p w:rsidR="0033382B" w:rsidRDefault="0033382B" w:rsidP="0033382B">
      <w:pPr>
        <w:pStyle w:val="TextoNormalCentrado"/>
      </w:pPr>
    </w:p>
    <w:p w:rsidR="0033382B" w:rsidRDefault="0033382B" w:rsidP="0033382B">
      <w:pPr>
        <w:pStyle w:val="SntesisDescriptiva"/>
      </w:pPr>
      <w:r>
        <w:t>Excms. Srs. doña Adela Asua Batarrita, don Fernando Valdés Dal-Ré, don Juan José González Rivas, don Pedro José González-Trevijano Sánchez y don Antonio Narváez Rodríguez.</w:t>
      </w:r>
    </w:p>
    <w:p w:rsidR="0033382B" w:rsidRDefault="0033382B" w:rsidP="0033382B">
      <w:pPr>
        <w:pStyle w:val="SntesisDescriptiva"/>
      </w:pPr>
    </w:p>
    <w:p w:rsidR="0033382B" w:rsidRDefault="0033382B" w:rsidP="0033382B">
      <w:pPr>
        <w:pStyle w:val="SntesisDescriptiva"/>
      </w:pPr>
      <w:r>
        <w:t>Acepta una abstención en el recurso de amparo 6887-2014, promovido por Iberdrola, S.A.,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t>Único. En el presente recurso de amparo se impugna Auto de 25 de septiembre de 2014 y Sentencia de 28 de marzo de 2014 dictados por la Sección Séptima de la Sala de lo Contencioso-Administrativo del Tribunal Supremo en el recurso de casación 292-2013 interpuesto contra la Sentencia de 19 de diciembre de 2012 de la Sección Cuarta de la Sala de lo Contencioso-Administrativo de la Audiencia Nacional recaída en el procedimiento de derechos fundamentales núm. 1-2012. El presente recurso de amparo fue registrado con el núm. 6887-2014.</w:t>
      </w:r>
    </w:p>
    <w:p w:rsidR="0033382B" w:rsidRDefault="0033382B" w:rsidP="0033382B">
      <w:pPr>
        <w:pStyle w:val="TextoNormal"/>
      </w:pPr>
    </w:p>
    <w:p w:rsidR="0033382B" w:rsidRDefault="0033382B" w:rsidP="0033382B">
      <w:pPr>
        <w:pStyle w:val="TextoNormal"/>
      </w:pPr>
      <w:r>
        <w:t>Mediante escrito fechado el 11 de mayo de 2016 el Magistrado don Ricardo Enríquez Sancho comunicó a los efectos oportunos que se abstenía de intervenir en el antes indicado recurso de amparo, de conformidad con el art. 80 de la Ley Orgánica del Tribunal Constitucional, por haber formado parte del Pleno de la Sala Tercera del Tribunal Supremo que dictó, el 18 de noviembre de 2013, en los recursos de casación 843-2013 y 848-2013, las Sentencias cuyos argumentos se recogen íntegramente en la Sentencia de la Sección Séptima de la Sala de lo Contencioso-Administrativo del Tribunal Supremo de 28 de marzo de 2014, recurrida en el presente recurso de amparo 6887-2014.</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Vista la comunicación efectuada por don Ricardo Enríquez Sancho, Magistrado de esta Sala del Tribunal Constitucional, la Sala, en virtud de lo previsto en el art. 219. Apartado 11 de la Ley Orgánica del Poder Judicial, supletoria de la Ley Orgánica del Tribunal Constitucional (art. 80), estima justificada la causa de abstención formulada, puesto que el mencionado Magistrado formó parte del Pleno de la Sala Tercera del Tribunal Supremo que dictó el 18 de noviembre de 2013 en los recursos de casación 843-2013 y 848-2013, las Sentencias, cuyos argumentos se recogen íntegramente en la Sentencia de 28 de marzo de 2014 dictada por la Sección Séptima de la Sala de lo Contencioso-Administrativo del Tribunal Supremo, recurrida en el presente recurso de amparo 6887-2014.</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Estimar justificada la abstención formulada por el Magistrado don Ricardo Enríquez Sancho en el recurso de amparo núm. 6887-2014 apartándole definitivamente del conocimiento del referido recurso y de todas sus incidencias.</w:t>
      </w:r>
    </w:p>
    <w:p w:rsidR="0033382B" w:rsidRDefault="0033382B" w:rsidP="0033382B">
      <w:pPr>
        <w:pStyle w:val="TextoNormal"/>
      </w:pPr>
    </w:p>
    <w:p w:rsidR="0033382B" w:rsidRDefault="0033382B" w:rsidP="0033382B">
      <w:pPr>
        <w:pStyle w:val="TextoNormal"/>
      </w:pPr>
      <w:r>
        <w:t>Madrid, a once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34" w:name="AUTO_2016_107"/>
      <w:r>
        <w:t>AUTO 107/2016, de 12 de mayo de 2016</w:t>
      </w:r>
    </w:p>
    <w:bookmarkEnd w:id="234"/>
    <w:p w:rsidR="0033382B" w:rsidRDefault="0033382B" w:rsidP="0033382B">
      <w:pPr>
        <w:pStyle w:val="TtuloResolucin"/>
      </w:pPr>
      <w:r>
        <w:t>Sección Segunda</w:t>
      </w:r>
    </w:p>
    <w:p w:rsidR="0033382B" w:rsidRDefault="0033382B" w:rsidP="0033382B">
      <w:pPr>
        <w:pStyle w:val="TextoNormalCentrado"/>
      </w:pPr>
      <w:r>
        <w:t>ECLI:ES:TC:2016:107A</w:t>
      </w:r>
    </w:p>
    <w:p w:rsidR="0033382B" w:rsidRDefault="0033382B" w:rsidP="0033382B">
      <w:pPr>
        <w:pStyle w:val="TextoNormalCentrado"/>
      </w:pPr>
    </w:p>
    <w:p w:rsidR="0033382B" w:rsidRDefault="0033382B" w:rsidP="0033382B">
      <w:pPr>
        <w:pStyle w:val="SntesisDescriptiva"/>
      </w:pPr>
      <w:r>
        <w:t>Excms. Srs. don Andrés Ollero Tassara y don Santiago Martínez-Vares García.</w:t>
      </w:r>
    </w:p>
    <w:p w:rsidR="0033382B" w:rsidRDefault="0033382B" w:rsidP="0033382B">
      <w:pPr>
        <w:pStyle w:val="SntesisDescriptiva"/>
      </w:pPr>
    </w:p>
    <w:p w:rsidR="0033382B" w:rsidRDefault="0033382B" w:rsidP="0033382B">
      <w:pPr>
        <w:pStyle w:val="SntesisDescriptiva"/>
      </w:pPr>
      <w:r>
        <w:t>Desestima el recurso de súplica del Ministerio Fiscal sobre inadmisión del recurso de amparo 3868-2013, promovido bajo la dirección letrada de don Jesús Feliu Daviu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presentado en el Registro General de este Tribunal el 21 de junio de 2013 la Procuradora de los Tribunales doña Esperanza Azpeitia Calvin, en representación de los demandantes de amparo, bajo la dirección letrada de don Jesús Feliu Daviu, presentó demanda de amparo contra el Auto de 28 de mayo de 2013, dictado por el Juzgado de Primera Instancia núm. 2 de Denia, en el procedimiento de ejecución hipotecaria núm. 610-2012, que declaró no haber lugar al incidente de nulidad de actuaciones planteado por los demandantes.</w:t>
      </w:r>
    </w:p>
    <w:p w:rsidR="0033382B" w:rsidRDefault="0033382B" w:rsidP="0033382B">
      <w:pPr>
        <w:pStyle w:val="TextoNormal"/>
      </w:pPr>
    </w:p>
    <w:p w:rsidR="0033382B" w:rsidRDefault="0033382B" w:rsidP="0033382B">
      <w:pPr>
        <w:pStyle w:val="TextoNormal"/>
      </w:pPr>
      <w:r w:rsidRPr="0033382B">
        <w:rPr>
          <w:rStyle w:val="NumeroAFNegritaCaracter"/>
        </w:rPr>
        <w:t>2</w:t>
      </w:r>
      <w:r>
        <w:t>. En la demanda se alegaba que el órgano judicial incumplió la doctrina constitucional sobre emplazamientos y notificaciones, al acudir al emplazamiento por edictos sin agotar las posibilidades que tenía a su alcance para conseguir la notificación personal en el domicilio real. Los recurrentes afirman que el órgano judicial se limitó a intentar el emplazamiento de los ejecutados en el domicilio que constaba de modo incompleto en la escritura de constitución de la hipoteca, y sin realizar ningún tipo de averiguación —pese a que en la demanda de ejecución hipotecaria constaba otro domicilio en Alemania—, procedió a la notificación edictal. Refieren los ejecutados que conocieron la existencia del procedimiento cuando se procedió a notificarles de forma personal el Auto de adjudicación de la vivienda subastada. Consideran que dicho proceder ha vulnerado el derecho a la tutela judicial efectiva (art. 24.1 CE), a un proceso con todas las garantías y el derecho de defensa (art. 24.2 CE).</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providencia de 2 de febrero de 2015, la Sección Segunda del Tribunal Constitucional, acordó inadmitir a trámite el recurso de amparo por no apreciar en el mismo la especial trascendencia constitucional que, como condición para su admisión, requiere el art. 50.1.b) de la Ley Orgánica del Tribunal Constitucional (LOTC).</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escrito de 5 de marzo de 2015, el Ministerio Fiscal presentó recurso de súplica frente a la providencia de inadmisión. Tras sintetizar la demanda de amparo, expone que los demandantes han justificado la especial trascendencia constitucional.</w:t>
      </w:r>
    </w:p>
    <w:p w:rsidR="0033382B" w:rsidRDefault="0033382B" w:rsidP="0033382B">
      <w:pPr>
        <w:pStyle w:val="TextoNormal"/>
      </w:pPr>
    </w:p>
    <w:p w:rsidR="0033382B" w:rsidRDefault="0033382B" w:rsidP="0033382B">
      <w:pPr>
        <w:pStyle w:val="TextoNormal"/>
      </w:pPr>
      <w:r>
        <w:t>A continuación, en relación con la causa de inadmisión apreciada en la providencia recurrida, indica que la especial trascendencia constitucional derivaría del nuevo marco normativo surgido con la aprobación de la Ley 13/2009, de 3 de noviembre, y la Ley 4/2013, de 4 de junio, que dieron una nueva redacción a los arts. 156.4, 164 y 686.3 de la Ley de enjuiciamiento civil, siendo este nuevo marco normativo el que dota de especial trascendencia al amparo. A tal efecto, trae a colación la STC 122/2013, que abordó, desde la óptica constitucional, el examen de la referida Ley 13/2009. Añade que la práctica judicial pone de manifiesto la existencia de una interpretación y aplicación de los nuevos preceptos legales de modo contrario a la tradicional doctrina sobre los emplazamientos edictales, indicando que se viene denunciando dicho incumplimiento en los recursos de amparo núms. 200-2014, 6009-2014 y 6076-2014. Afirma que es este nuevo marco normativo el que dota de especial trascendencia constitucional al recurso, tal y como reitera la reciente resolución de admisión del recurso de amparo núm. 6076-2014, de la Sección Tercera de este Tribunal, de fecha 18 de febrero de 2015. Considera que además la especial trascendencia constitucional derivaría de la repercusión social y económica que han adquirido en los últimos tiempos las ejecuciones hipotecarias y los desahucios como consecuencia de la crisis económica y la necesidad de reforzar la protección jurídica efectiva de los ejecutados en este tipo de procedimientos “dada la situación de inferioridad en que se encuentran, como se viene reclamando desde las instancias europeas”, situación esta que permitiría incluir el recurso de amparo en el supuesto g) del fundamento jurídico 2 de la STC 155/2009.</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diligencia de ordenación de 9 de marzo de 2015, la Sección Segunda del Tribunal Constitucional tuvo por interpuesto el recurso de súplica del Ministerio Fiscal y, de conformidad con el art. 93.2 LOTC, acordó dar traslado al recurrente por el plazo de tres días para que alegara lo que estimara pertinente. El recurrente, mediante escrito de 18 de marzo de 2015, se adhirió al recurso de súplica interpuesto por el Ministerio Fiscal.</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Ministerio Fiscal ha recurrido en súplica la providencia de 2 de febrero de 2015 de la Sección Segunda de este Tribunal, que acordó inadmitir el recurso de amparo núm. 3868-2013 por no apreciar en el mismo la especial trascendencia constitucional que, como condición para la admisión del recurso de amparo, requiere el art. 50.1 b) de la Ley Orgánica del Tribunal Constitucional (LOTC).</w:t>
      </w:r>
    </w:p>
    <w:p w:rsidR="0033382B" w:rsidRDefault="0033382B" w:rsidP="0033382B">
      <w:pPr>
        <w:pStyle w:val="TextoNormal"/>
      </w:pPr>
    </w:p>
    <w:p w:rsidR="0033382B" w:rsidRDefault="0033382B" w:rsidP="0033382B">
      <w:pPr>
        <w:pStyle w:val="TextoNormal"/>
      </w:pPr>
      <w:r>
        <w:t>El Fiscal fundamenta la especial trascendencia constitucional del recurso en un doble criterio; por un lado, el nuevo marco normativo (Leyes 13/2009, de 3 de noviembre, de reforma de la legislación procesal para la implantación de la oficina judicial, y 4/2013, de 4 de junio, de medidas de flexibilización y fomento del mercado de alquiler de viviendas) sobre el que ha de proyectarse ahora la doctrina constitucional acerca del art. 24.1 CE en relación con los emplazamientos y notificaciones edictales; por otro, la repercusión social y económica que en los últimos tiempos han adquirido las ejecuciones hipotecarias.</w:t>
      </w:r>
    </w:p>
    <w:p w:rsidR="0033382B" w:rsidRDefault="0033382B" w:rsidP="0033382B">
      <w:pPr>
        <w:pStyle w:val="TextoNormal"/>
      </w:pPr>
    </w:p>
    <w:p w:rsidR="0033382B" w:rsidRDefault="0033382B" w:rsidP="0033382B">
      <w:pPr>
        <w:pStyle w:val="TextoNormal"/>
      </w:pPr>
      <w:r w:rsidRPr="0033382B">
        <w:rPr>
          <w:rStyle w:val="NumeroAFNegritaCaracter"/>
        </w:rPr>
        <w:t>2</w:t>
      </w:r>
      <w:r>
        <w:t>. Al resolver otro recurso de súplica planteado en términos similares al actual, el ATC 128/2015, de 20 de julio, FJ 2, señaló: “El Tribunal Constitucional ha dispuesto recientemente de varias ocasiones para fijar doctrina sobre el art. 24.1 CE en relación con problemas de emplazamiento y notificaciones edictales (SSTC 122/2013, de 20 de mayo, 30/2014, de 24 de febrero, 169/2014, de 22 de octubre, y 137/2014, de 8 de septiembre), sin que entreveamos en este caso circunstancias justificativas de una resolución de fondo en razón de su especial trascendencia constitucional”.</w:t>
      </w:r>
    </w:p>
    <w:p w:rsidR="0033382B" w:rsidRDefault="0033382B" w:rsidP="0033382B">
      <w:pPr>
        <w:pStyle w:val="TextoNormal"/>
      </w:pPr>
    </w:p>
    <w:p w:rsidR="0033382B" w:rsidRDefault="0033382B" w:rsidP="0033382B">
      <w:pPr>
        <w:pStyle w:val="TextoNormal"/>
      </w:pPr>
      <w:r>
        <w:t>Tal declaración vale igualmente para este asunto, si bien “es preciso recordar una vez más que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(AATC 173/2010, de 17 de noviembre, FJ 2; 29/2011, de 17 de marzo, FJ 2; 46/2011, de 28 de abril, FJ 2; en el mismo sentido, AATC 61/2010, de 31 de mayo, FJ 2; 201/2010, de 21 de diciembre, FJ 2; y 173/2010, de 17 de noviembre, FJ 2).</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Desestimar el recurso de súplica interpuesto por el Ministerio Fiscal y, en consecuencia, confirmar en su integridad la providencia de 2 de febrero de 2015 en el recurso de amparo núm. 3868-2013.</w:t>
      </w:r>
    </w:p>
    <w:p w:rsidR="0033382B" w:rsidRDefault="0033382B" w:rsidP="0033382B">
      <w:pPr>
        <w:pStyle w:val="TextoNormal"/>
      </w:pPr>
    </w:p>
    <w:p w:rsidR="0033382B" w:rsidRDefault="0033382B" w:rsidP="0033382B">
      <w:pPr>
        <w:pStyle w:val="TextoNormal"/>
      </w:pPr>
      <w:r>
        <w:t>Madrid, a doce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35" w:name="AUTO_2016_108"/>
      <w:r>
        <w:t>AUTO 108/2016, de 13 de mayo de 2016</w:t>
      </w:r>
    </w:p>
    <w:bookmarkEnd w:id="235"/>
    <w:p w:rsidR="0033382B" w:rsidRDefault="0033382B" w:rsidP="0033382B">
      <w:pPr>
        <w:pStyle w:val="TtuloResolucin"/>
      </w:pPr>
      <w:r>
        <w:t>Sección Cuarta</w:t>
      </w:r>
    </w:p>
    <w:p w:rsidR="0033382B" w:rsidRDefault="0033382B" w:rsidP="0033382B">
      <w:pPr>
        <w:pStyle w:val="TextoNormalCentrado"/>
      </w:pPr>
      <w:r>
        <w:t>ECLI:ES:TC:2016:108A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SntesisDescriptiva"/>
      </w:pPr>
      <w:r>
        <w:t>Estima el recurso de súplica del Ministerio Fiscal sobre inadmisión del recurso de amparo 4763-2015, promovido por doña Begoña Dacal Borrajo en litigio social.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día 10 de julio de 2015, la Procuradora de los Tribunales doña Belén San Román López, en nombre y representación de doña Begoña Dacal Borrajo, interpuso demanda de amparo contra la providencia de 25 de junio de 2015 del Juzgado de lo Social núm. 4 de Ourense, dictada en autos núm. 331-2015, que inadmitió a trámite el incidente de nulidad de actuaciones instado contra la Sentencia de 25 de mayo de 2015, desestimatoria de su demanda en materia de conciliación de la vida personal, familiar y laboral.</w:t>
      </w:r>
    </w:p>
    <w:p w:rsidR="0033382B" w:rsidRDefault="0033382B" w:rsidP="0033382B">
      <w:pPr>
        <w:pStyle w:val="TextoNormal"/>
      </w:pPr>
    </w:p>
    <w:p w:rsidR="0033382B" w:rsidRDefault="0033382B" w:rsidP="0033382B">
      <w:pPr>
        <w:pStyle w:val="TextoNormal"/>
      </w:pPr>
      <w:r w:rsidRPr="0033382B">
        <w:rPr>
          <w:rStyle w:val="NumeroAFNegritaCaracter"/>
        </w:rPr>
        <w:t>2</w:t>
      </w:r>
      <w:r>
        <w:t>. Aunque la primera página del recurso diga extender la impugnación también contra la Sentencia mencionada, posteriormente, cuando detiene la reproducción de escritos del proceso e inicia la formulación de las pretensiones, tanto al especificar las quejas como al justificar la especial trascendencia constitucional, al concretar el suplico o al sintetizar el objeto del recurso (pág. 25 de la demanda), enuncia una única y exclusiva denuncia: la vulneración del art. 24.1 CE, en su vertiente de derecho de acceso al recurso, por falta de motivación de la inadmisión del incidente de nulidad de actuaciones acordada por la providencia de 25 de junio de 2015. A su parecer, la respuesta judicial, que declaró que “resulta del texto de la sentencia y del propio escrito incidental por la trabajadora, que la vulneración de derechos fundamentales invocada por la trabajadora en su demanda ha sido objeto de enjuiciamiento en la sentencia”, inadmitiendo por esa causa el remedio procesal citado, no contiene una motivación suficiente que satisfaga y sea respetuosa con aquella vertiente del art. 24.1 CE (derecho de acceso al recurso). Solicita por ello que declaramos vulnerado el derecho fundamental consagrado en esa previsión constitucional, que anulemos la providencia impugnada en amparo y acordemos la correspondiente retroacción de las actuaciones.</w:t>
      </w:r>
    </w:p>
    <w:p w:rsidR="0033382B" w:rsidRDefault="0033382B" w:rsidP="0033382B">
      <w:pPr>
        <w:pStyle w:val="TextoNormal"/>
      </w:pPr>
    </w:p>
    <w:p w:rsidR="0033382B" w:rsidRDefault="0033382B" w:rsidP="0033382B">
      <w:pPr>
        <w:pStyle w:val="TextoNormal"/>
      </w:pPr>
      <w:r w:rsidRPr="0033382B">
        <w:rPr>
          <w:rStyle w:val="NumeroAFNegritaCaracter"/>
        </w:rPr>
        <w:t>3</w:t>
      </w:r>
      <w:r>
        <w:t>. La Sección cuarta de la Sala Segunda de este Tribunal, por providencia de 7 de marzo de 2016, acordó la inadmisión del recurso de amparo por extemporaneidad, al haberse prolongado de modo manifiestamente improcedente la vía judicial previa [art. 50.1 a) en relación con art. 44.2 de la Ley Orgánica del Tribunal Constitucional: LOTC].</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en escrito registrado el día 4 de abril de 2016, interpuso recurso de súplica contra la referida providencia de inadmisión. Subraya que la vulneración que se denuncia se habría producido, a juicio de la recurrente, en la resolución que cerró el proceso, de suerte que la formulación del incidente de nulidad de actuaciones contra la providencia de 25 de junio de 2015 se convertía en una condición necesaria para poder considerar cumplido el requisito del agotamiento de la vía judicial previa del art. 44.1 a) LOTC. Más todavía cuando según la reciente doctrina constitucional, concluye el escrito del recurso, la inadmisión del incidente en esta tipología de casos puede entrañar en sí misma una vulneración del derecho a la tutela judicial efectiva (art. 24.1 CE).</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diligencia de ordenación de 5 de abril de 2016, la Secretaría de Justicia de la Sala Segunda dio traslado del escrito del Ministerio Fiscal a la representación procesal de la demandante de amparo, a fin de que en el plazo de tres días pudiera alegar lo que estimase pertinente en relación con el recurso de súplica formulado.</w:t>
      </w:r>
    </w:p>
    <w:p w:rsidR="0033382B" w:rsidRDefault="0033382B" w:rsidP="0033382B">
      <w:pPr>
        <w:pStyle w:val="TextoNormal"/>
      </w:pPr>
    </w:p>
    <w:p w:rsidR="0033382B" w:rsidRDefault="0033382B" w:rsidP="0033382B">
      <w:pPr>
        <w:pStyle w:val="TextoNormal"/>
      </w:pPr>
      <w:r w:rsidRPr="0033382B">
        <w:rPr>
          <w:rStyle w:val="NumeroAFNegritaCaracter"/>
        </w:rPr>
        <w:t>6</w:t>
      </w:r>
      <w:r>
        <w:t>. El día 13 de abril de 2016 la representación procesal de la recurrente evacuó dicho trámite, adhiriéndose a las alegaciones del Ministerio Fiscal e interesando la estimación del recurso de súplica interpuesto.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Defiende el Ministerio Fiscal que la vía judicial previa no fue prolongada de modo manifiestamente improcedente, determinando la extemporaneidad del amparo, contrariamente a lo que indica la providencia de inadmisión recurrida, de 7 de marzo de 2016 [art. 50.1 a) en relación con el art. 44.2 de la Ley Orgánica del Tribunal Constitucional: LOTC].</w:t>
      </w:r>
    </w:p>
    <w:p w:rsidR="0033382B" w:rsidRDefault="0033382B" w:rsidP="0033382B">
      <w:pPr>
        <w:pStyle w:val="TextoNormal"/>
      </w:pPr>
    </w:p>
    <w:p w:rsidR="0033382B" w:rsidRDefault="0033382B" w:rsidP="0033382B">
      <w:pPr>
        <w:pStyle w:val="TextoNormal"/>
      </w:pPr>
      <w:r>
        <w:t>La calificación de un incidente de nulidad de actuaciones como “manifiestamente improcedente”, con la eventual consecuencia de acarrear la extemporaneidad del recurso de amparo, solo procede cuando se aprecia por este Tribunal que el recurrente ha actuado con la intención de prolongar artificialmente la vía judicial previa, o cuando la improcedencia del incidente de nulidad, atendiendo a las circunstancias concurrentes en el caso, derive de manera terminante, clara e inequívoca del propio texto legal, sin dudas que hayan de resolverse con criterios interpretativos de alguna dificultad (por todas, STC 145/2015, de 25 de junio, FJ 2). En el presente caso, como postula el Fiscal, no nos hallamos en ninguno de estos supuestos, lo que debe conducir a la estimación del recurso interpuesto.</w:t>
      </w:r>
    </w:p>
    <w:p w:rsidR="0033382B" w:rsidRDefault="0033382B" w:rsidP="0033382B">
      <w:pPr>
        <w:pStyle w:val="TextoNormal"/>
      </w:pPr>
    </w:p>
    <w:p w:rsidR="0033382B" w:rsidRDefault="0033382B" w:rsidP="0033382B">
      <w:pPr>
        <w:pStyle w:val="TextoNormal"/>
      </w:pPr>
      <w:r>
        <w:t>En efecto, el recurso de amparo únicamente denuncia lesiones cometidas por la resolución que cerró la vía judicial, esto es, la providencia de 25 de junio de 2015 del Juzgado de lo Social núm. 4 de Ourense, que inadmitió a trámite el incidente de nulidad de actuaciones de referencia. Contra la misma, como es sabido, no cabía recurso alguno (art. 241 de la Ley Orgánica del Poder Judicial: LOPJ), y así lo indicaba la propia providencia en la instrucción de recursos. Dicha circunstancia conduce a revocar la providencia que recurre el Fiscal, de 7 de marzo de 2016, pues el incidente de nulidad de actuaciones era condición de agotamiento de la vía previa, en lo que abunda la reciente doctrina constitucional que contempla, como se nos recuerda, la posibilidad de apreciar lesiones autónomas en una resolución de inadmisión inmotivada del remedio procesal del art. 241 LOPJ (por todas, STC 98/2015, de 25 de mayo).</w:t>
      </w:r>
    </w:p>
    <w:p w:rsidR="0033382B" w:rsidRDefault="0033382B" w:rsidP="0033382B">
      <w:pPr>
        <w:pStyle w:val="TextoNormal"/>
      </w:pPr>
    </w:p>
    <w:p w:rsidR="0033382B" w:rsidRDefault="0033382B" w:rsidP="0033382B">
      <w:pPr>
        <w:pStyle w:val="TextoNormal"/>
      </w:pPr>
      <w:r>
        <w:t>En razón de ello, se acuerda reponer las actuaciones al momento anterior al del dictado de la providencia de 25 de junio de 2015, para decidir nuevamente sobre la admisión a trámite de la demanda.</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Estimar el recurso de súplica interpuesto por el Ministerio Fiscal, dejando sin efecto la providencia de 7 de marzo de 2016 por la que se acuerda no admitir a trámite el recurso de amparo núm. 4763-2015.</w:t>
      </w:r>
    </w:p>
    <w:p w:rsidR="0033382B" w:rsidRDefault="0033382B" w:rsidP="0033382B">
      <w:pPr>
        <w:pStyle w:val="TextoNormal"/>
      </w:pPr>
    </w:p>
    <w:p w:rsidR="0033382B" w:rsidRDefault="0033382B" w:rsidP="0033382B">
      <w:pPr>
        <w:pStyle w:val="TextoNormal"/>
      </w:pPr>
      <w:r>
        <w:t>Madrid, a trece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36" w:name="AUTO_2016_109"/>
      <w:r>
        <w:t>AUTO 109/2016, de 17 de mayo de 2016</w:t>
      </w:r>
    </w:p>
    <w:bookmarkEnd w:id="236"/>
    <w:p w:rsidR="0033382B" w:rsidRDefault="0033382B" w:rsidP="0033382B">
      <w:pPr>
        <w:pStyle w:val="TtuloResolucin"/>
      </w:pPr>
      <w:r>
        <w:t>Sección Cuarta</w:t>
      </w:r>
    </w:p>
    <w:p w:rsidR="0033382B" w:rsidRDefault="0033382B" w:rsidP="0033382B">
      <w:pPr>
        <w:pStyle w:val="TextoNormalCentrado"/>
      </w:pPr>
      <w:r>
        <w:t>ECLI:ES:TC:2016:109A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SntesisDescriptiva"/>
      </w:pPr>
      <w:r>
        <w:t>Desestima el recurso de súplica del Ministerio Fiscal sobre inadmisión del recurso de amparo 6298-2015, promovido por don Jordi Mensa Rovira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que tuvo entrada en el Registro General de este Tribunal el día 10 de noviembre de 2015, el Procurador de los Tribunales don Ignacio Aguilar Fernández, en nombre y representación de don Jordi Mensa Rovira, interpuso recurso de amparo contra el Auto del Juzgado de Primera Instancia núm. 3 de Igualada (Barcelona) de fecha 25 de septiembre de 2015, desestimatorio del incidente de nulidad de actuaciones promovido frente al anterior Auto de 31 de marzo de 2015, dictado por el mismo órgano judicial y recaído en el procedimiento de ejecución hipotecaria núm. 646-2014.</w:t>
      </w:r>
    </w:p>
    <w:p w:rsidR="0033382B" w:rsidRDefault="0033382B" w:rsidP="0033382B">
      <w:pPr>
        <w:pStyle w:val="TextoNormal"/>
      </w:pPr>
    </w:p>
    <w:p w:rsidR="0033382B" w:rsidRDefault="0033382B" w:rsidP="0033382B">
      <w:pPr>
        <w:pStyle w:val="TextoNormal"/>
      </w:pPr>
      <w:r w:rsidRPr="0033382B">
        <w:rPr>
          <w:rStyle w:val="NumeroAFNegritaCaracter"/>
        </w:rPr>
        <w:t>2</w:t>
      </w:r>
      <w:r>
        <w:t>. En su demanda de amparo, el actor alega una doble vulneración de su derecho a la tutela judicial efectiva (art. 24.1 CE):</w:t>
      </w:r>
    </w:p>
    <w:p w:rsidR="0033382B" w:rsidRDefault="0033382B" w:rsidP="0033382B">
      <w:pPr>
        <w:pStyle w:val="TextoNormal"/>
      </w:pPr>
    </w:p>
    <w:p w:rsidR="0033382B" w:rsidRDefault="0033382B" w:rsidP="0033382B">
      <w:pPr>
        <w:pStyle w:val="TextoNormal"/>
      </w:pPr>
      <w:r>
        <w:t>(i) En primer lugar, considera que el Auto de 31 de marzo de 2015, que desestimó su oposición a la ejecución hipotecaria, vulnera el aludido derecho fundamental en su dimensión del “derecho a obtener una resolución motivada sobre el fondo, no incursa en error patente, arbitrariedad o irracionalidad”. Señala al respecto que aportó al procedimiento una escritura pública de dación en pago y de cesión del crédito hipotecario en concepto de aportación a la ampliación de capital de la entidad Lot Badis, S.L., de la que el ejecutante era administrador único. Entiende el actor que, en virtud de dicho documento, había quedado acreditado que el ejecutante había cedido su crédito a la sociedad aludida, lo que suponía su falta de legitimación activa en el procedimiento de ejecución hipotecaria, pues la sociedad a la que había cedido su crédito pasaba a ser la nueva acreedora y que la deuda misma no existía, ya que se había producido una extinción por dación en pago.</w:t>
      </w:r>
    </w:p>
    <w:p w:rsidR="0033382B" w:rsidRDefault="0033382B" w:rsidP="0033382B">
      <w:pPr>
        <w:pStyle w:val="TextoNormal"/>
      </w:pPr>
    </w:p>
    <w:p w:rsidR="0033382B" w:rsidRDefault="0033382B" w:rsidP="0033382B">
      <w:pPr>
        <w:pStyle w:val="TextoNormal"/>
      </w:pPr>
      <w:r>
        <w:t>A pesar de esto, la resolución recurrida desestimó la oposición formulada basándose para ello en un documento privado de fecha posterior en el que se dejaba sin efecto la dación en pago y la ampliación de capital de la sociedad Lot Badis. Este documento privado estaba firmado por el ejecutante, sin que constara expresamente que, como administrador único, hubiera actuado en nombre y representación de la aludida entidad. La resolución, al entender que el citado documento restauraba al ejecutante en su calidad de deudor hipotecario y que dejaba sin efecto la dación en pago, habría incurrido, en opinión del demandante de amparo, en un error patente, ya que sólo la propia entidad cesionaria podía proceder a la novación extintiva de la cesión del crédito.</w:t>
      </w:r>
    </w:p>
    <w:p w:rsidR="0033382B" w:rsidRDefault="0033382B" w:rsidP="0033382B">
      <w:pPr>
        <w:pStyle w:val="TextoNormal"/>
      </w:pPr>
    </w:p>
    <w:p w:rsidR="0033382B" w:rsidRDefault="0033382B" w:rsidP="0033382B">
      <w:pPr>
        <w:pStyle w:val="TextoNormal"/>
      </w:pPr>
      <w:r>
        <w:t>Asimismo, estima el recurrente que son ilógicas e irrazonables las consideraciones que en la resolución dictada se realizan acerca de la falta de inscripción en el Registro Mercantil de la escritura pública de cesión de crédito —que llevan al juzgador a entender que la ampliación de capital a la que estaba asociada no llegó nunca a producirse— y sobre la documentación acreditativa de la falta de modificación efectiva del capital de la sociedad Lot Badis. Según el recurrente, semejante argumentación ignora que la escritura pública ya producía efectos por sí misma, pues la inscripción en el Registro Mercantil carece de toda eficacia constitutiva.</w:t>
      </w:r>
    </w:p>
    <w:p w:rsidR="0033382B" w:rsidRDefault="0033382B" w:rsidP="0033382B">
      <w:pPr>
        <w:pStyle w:val="TextoNormal"/>
      </w:pPr>
    </w:p>
    <w:p w:rsidR="0033382B" w:rsidRDefault="0033382B" w:rsidP="0033382B">
      <w:pPr>
        <w:pStyle w:val="TextoNormal"/>
      </w:pPr>
      <w:r>
        <w:t>(ii) Y, en segundo término, entiende el recurrente que el Auto de 25 de septiembre de 2015, al desestimar el incidente de nulidad de actuaciones por entender que frente a la resolución de fondo podía haberse intentado recurso de apelación, también habría incurrido en una violación del derecho a la tutela judicial efectiva (art. 24.1 CE) derivada de un error patente, ya que el referido medio de impugnación no estaba previsto en la legislación aplicable.</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providencia de 16 de marzo de 2016, la Sección Cuarta de este Tribunal acordó inadmitir a trámite la demanda de amparo, de conformidad con el art. 50.1 a) en relación con el art. 44.1, ambos de la Ley Orgánica del Tribunal Constitucional (LOTC), “dada la manifiesta inexistencia de violación de un derecho fundamental tutelable en amparo”.</w:t>
      </w:r>
    </w:p>
    <w:p w:rsidR="0033382B" w:rsidRDefault="0033382B" w:rsidP="0033382B">
      <w:pPr>
        <w:pStyle w:val="TextoNormal"/>
      </w:pPr>
    </w:p>
    <w:p w:rsidR="0033382B" w:rsidRDefault="0033382B" w:rsidP="0033382B">
      <w:pPr>
        <w:pStyle w:val="TextoNormal"/>
      </w:pPr>
      <w:r w:rsidRPr="0033382B">
        <w:rPr>
          <w:rStyle w:val="NumeroAFNegritaCaracter"/>
        </w:rPr>
        <w:t>4</w:t>
      </w:r>
      <w:r>
        <w:t xml:space="preserve">. Mediante escrito presentado el día 21 de abril de 2016, el Ministerio Fiscal interpuso recurso de súplica contra la referida providencia, alegando que: (i) no puede descartarse la vulneración del derecho a la tutela judicial efectiva (art. 24.1 CE) en su modalidad de derecho a obtener una resolución motivada, ya que la resolución que desestimó el incidente de ejecución, al fundar esta decisión en un documento firmado por quien ya no era deudor hipotecario, vulneró “el principio general del derecho contenido en los artículos 1125 y 1227 del Código civil, conforme al cual </w:t>
      </w:r>
      <w:r w:rsidRPr="0033382B">
        <w:rPr>
          <w:i/>
        </w:rPr>
        <w:t>res inter alios acta nec nocet nec prodest</w:t>
      </w:r>
      <w:r>
        <w:t>”, y (ii) tampoco puede descartarse que la resolución que desestimó el incidente de nulidad de actuaciones haya incurrido en la lesión de ese mismo derecho fundamental, ya que “el recurrente para agotar debidamente la vía judicial debió promover, como lo hizo, el incidente de nulidad de actuaciones, en el que, por lo demás, no pidió la revisión de la cuestión de fondo, sino que se pusiera remedio a la vulneración sufrida por su derecho a la tutela judicial efectiva por haber sido desestimada arbitrariamente su pretensión”.</w:t>
      </w:r>
    </w:p>
    <w:p w:rsidR="0033382B" w:rsidRDefault="0033382B" w:rsidP="0033382B">
      <w:pPr>
        <w:pStyle w:val="TextoNormal"/>
      </w:pPr>
    </w:p>
    <w:p w:rsidR="0033382B" w:rsidRDefault="0033382B" w:rsidP="0033382B">
      <w:pPr>
        <w:pStyle w:val="TextoNormal"/>
      </w:pPr>
      <w:r>
        <w:t>Interesa, en consecuencia, el Ministerio Fiscal que se deje sin efecto la providencia de inadmisión y que se proceda, en su lugar, a “acordar la admisión a trámite de la demanda sin perjuicio de lo que pueda resultar del análisis del cumplimiento de los demás requisitos a los que se subordina dicha decisión”.</w:t>
      </w:r>
    </w:p>
    <w:p w:rsidR="0033382B" w:rsidRDefault="0033382B" w:rsidP="0033382B">
      <w:pPr>
        <w:pStyle w:val="TextoNormal"/>
      </w:pPr>
    </w:p>
    <w:p w:rsidR="0033382B" w:rsidRDefault="0033382B" w:rsidP="0033382B">
      <w:pPr>
        <w:pStyle w:val="TextoNormal"/>
      </w:pPr>
      <w:r w:rsidRPr="0033382B">
        <w:rPr>
          <w:rStyle w:val="NumeroAFNegritaCaracter"/>
        </w:rPr>
        <w:t>5</w:t>
      </w:r>
      <w:r>
        <w:t>. Por diligencia de ordenación de 22 de abril de 2016 se acordó dar traslado del recurso de súplica al demandante, para que, en el plazo de tres días, alegara lo que estimase pertinente, de conformidad con el art. 93.2 LOTC, trámite que fue cumplimentado por la representación procesal del actor el 6 de mayo de 2016, fecha en la que presentó en el Registro General de este Tribunal un escrito en el que se adhiere al recurso de súplica interpuesto por el Ministerio Fiscal reiterando los argumentos ya consignados en la propia demanda de amparo.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Ministerio Fiscal considera en su recurso de súplica que la Sección Cuarta de este Tribunal ha inadmitido indebidamente el recurso de amparo presentado por el actor, ya que la ausencia de lesión de los derechos fundamentales invocados no es, a su juicio, manifiesta. Para justificar este parecer, el Fiscal ante el Tribunal Constitucional utiliza los argumentos que han quedado consignados en los antecedentes de esta resolución, argumentos a los que, como también se ha señalado, se ha adherido el demandante de amparo al formular alegaciones.</w:t>
      </w:r>
    </w:p>
    <w:p w:rsidR="0033382B" w:rsidRDefault="0033382B" w:rsidP="0033382B">
      <w:pPr>
        <w:pStyle w:val="TextoNormal"/>
      </w:pPr>
    </w:p>
    <w:p w:rsidR="0033382B" w:rsidRDefault="0033382B" w:rsidP="0033382B">
      <w:pPr>
        <w:pStyle w:val="TextoNormal"/>
      </w:pPr>
      <w:r>
        <w:t>Sin embargo, el recurso no puede ser acogido por los razonamientos que, a continuación, se exponen.</w:t>
      </w:r>
    </w:p>
    <w:p w:rsidR="0033382B" w:rsidRDefault="0033382B" w:rsidP="0033382B">
      <w:pPr>
        <w:pStyle w:val="TextoNormal"/>
      </w:pPr>
    </w:p>
    <w:p w:rsidR="0033382B" w:rsidRDefault="0033382B" w:rsidP="0033382B">
      <w:pPr>
        <w:pStyle w:val="TextoNormal"/>
      </w:pPr>
      <w:r w:rsidRPr="0033382B">
        <w:rPr>
          <w:rStyle w:val="NumeroAFNegritaCaracter"/>
        </w:rPr>
        <w:t>2</w:t>
      </w:r>
      <w:r>
        <w:t>. De un lado, en cuanto a la vulneración del derecho a la tutela judicial efectiva que es imputado al Auto de 31 de marzo de 2015,la lectura de dicha resolución, desestimatoria del incidente de oposición a la ejecución hipotecaria, permite constatar que el recurrente alega como “error patente” —esto es, un error “de hecho” manifiesto, evidente y notorio, inmediatamente verificable de forma clara e incontrovertible a partir de las actuaciones judiciales (vid. por todas SSTC 162/1995, de 7 de noviembre, FJ 3; 169/2009, de 26 de junio, FJ 2; y 167/2014, de 22 de octubre, FJ 3)— lo que constituye, más bien, una discrepancia sobre la valoración de la prueba efectuada en la aludida resolución. El órgano judicial no funda su decisión desestimatoria en bases fácticas que sean patentemente erróneas, dado que no afirma que el documento privado que dejaba sin efecto la cesión del crédito hipotecario estuviera suscrito formalmente por el ejecutante en nombre de la entidad cesionaria (de la que, por otra parte, era administrador único). Al contrario, considera en la resolución aludida que, aun no habiéndose indicado expresamente que la intervención del ejecutante en dicho documento privado se hubo realizado en su condición de administrador único de tal sociedad, el precitado documento podía tener, en cualquier caso, plenos efectos extintivos de la cesión del crédito antecedente, ya que tal cesión no había llegado a materializarse de un modo efectivo, pues no se había producido la ampliación del capital a la que estaba asociada.</w:t>
      </w:r>
    </w:p>
    <w:p w:rsidR="0033382B" w:rsidRDefault="0033382B" w:rsidP="0033382B">
      <w:pPr>
        <w:pStyle w:val="TextoNormal"/>
      </w:pPr>
    </w:p>
    <w:p w:rsidR="0033382B" w:rsidRDefault="0033382B" w:rsidP="0033382B">
      <w:pPr>
        <w:pStyle w:val="TextoNormal"/>
      </w:pPr>
      <w:r>
        <w:t>Advertido que el razonamiento judicial no parte de un manifiesto error en la determinación de las bases fácticas, el plano en el que se han enjuiciado los hechos pertenece al ámbito propio de la aplicación de la legalidad ordinaria; la valoración judicial de la significación jurídica que, en el seno de una relación negocial manifiestamente compleja, pueda tener el aludido documento privado, pertenece, también, a ese mismo ámbito infraconstitucional de aplicación del Derecho, pues se ha centrado en la fijación de las consecuencias jurídicas que han de atribuirse a los documentos relativos a la ausencia de inscripción en el Registro Mercantil de la escritura pública de cesión del crédito, así como a la falta de materialización de la ampliación del capital a que estaba ligada.</w:t>
      </w:r>
    </w:p>
    <w:p w:rsidR="0033382B" w:rsidRDefault="0033382B" w:rsidP="0033382B">
      <w:pPr>
        <w:pStyle w:val="TextoNormal"/>
      </w:pPr>
    </w:p>
    <w:p w:rsidR="0033382B" w:rsidRDefault="0033382B" w:rsidP="0033382B">
      <w:pPr>
        <w:pStyle w:val="TextoNormal"/>
      </w:pPr>
      <w:r>
        <w:t>Así pues, las conclusiones a que ha llegado el juzgador acerca de la prueba practicada y su incidencia en la novación del crédito hipotecario inicial, desde la perspectiva de la mera interpretación de las normas legales concretamente aplicables al caso, podrán ser o no acertadas, pero, desde el escrutinio externo que es propio del derecho fundamental a la motivación del art. 24.1 CE (</w:t>
      </w:r>
      <w:r w:rsidRPr="0033382B">
        <w:rPr>
          <w:i/>
        </w:rPr>
        <w:t>vid, ex multis</w:t>
      </w:r>
      <w:r>
        <w:t xml:space="preserve"> STC 64/2010, de 18 de octubre, FJ 3), estamos ante un razonamiento que exterioriza suficientemente los motivos que fundamentan la decisión adoptada y en el que no se aprecian quiebras lógicas que puedan ser calificadas como manifiestamente irracionales, arbitrarias o incursas en error patente, que son los únicos presupuestos que apoyarían la vulneración del derecho fundamental denunciado.</w:t>
      </w:r>
    </w:p>
    <w:p w:rsidR="0033382B" w:rsidRDefault="0033382B" w:rsidP="0033382B">
      <w:pPr>
        <w:pStyle w:val="TextoNormal"/>
      </w:pPr>
    </w:p>
    <w:p w:rsidR="0033382B" w:rsidRDefault="0033382B" w:rsidP="0033382B">
      <w:pPr>
        <w:pStyle w:val="TextoNormal"/>
      </w:pPr>
      <w:r>
        <w:t>En definitiva, cualquiera que sea el acierto o desacierto de esos razonamientos del órgano judicial, no corresponde a este Tribunal afrontar el enjuiciamiento y valoración de una problemática que no rebasa los límites de la interpretación y aplicación de la legalidad ordinaria. Desde la óptica constitucional que nos corresponde adoptar, que se agota en un control externo del razonamiento lógico empleado, la resolución impugnada está suficientemente motivada.</w:t>
      </w:r>
    </w:p>
    <w:p w:rsidR="0033382B" w:rsidRDefault="0033382B" w:rsidP="0033382B">
      <w:pPr>
        <w:pStyle w:val="TextoNormal"/>
      </w:pPr>
    </w:p>
    <w:p w:rsidR="0033382B" w:rsidRDefault="0033382B" w:rsidP="0033382B">
      <w:pPr>
        <w:pStyle w:val="TextoNormal"/>
      </w:pPr>
      <w:r w:rsidRPr="0033382B">
        <w:rPr>
          <w:rStyle w:val="NumeroAFNegritaCaracter"/>
        </w:rPr>
        <w:t>3</w:t>
      </w:r>
      <w:r>
        <w:t>. En lo relativo a la lesión imputada al Auto de 25 de septiembre de 2015, lo cierto es que, más allá de la carencia manifiesta de efecto útil que tiene el examen de este motivo de amparo una vez que se ha constatado la inexistencia de la lesión que pretendía ser reparada a través del incidente de nulidad de actuaciones, hay que señalar, también, que la lectura de la resolución impugnada permite advertir que la decisión desestimatoria —que no de inadmisión a trámite— no se fundó únicamente en la supuesta procedencia de otro medio de impugnación, pues la resolución también afirma que el recurrente plantea, en cualquier caso, una mera discrepancia con la valoración de la prueba practicada, perspectiva que, como acabamos de ver, coincide plenamente con la que lleva a este mismo Tribunal a excluir la previa lesión del derecho fundamental que fue denunciada en el incidente de nulidad. En consecuencia, tampoco se aprecia vulneración alguna del derecho a la tutela judicial efectiva.</w:t>
      </w:r>
    </w:p>
    <w:p w:rsidR="0033382B" w:rsidRDefault="0033382B" w:rsidP="0033382B">
      <w:pPr>
        <w:pStyle w:val="TextoNormal"/>
      </w:pPr>
    </w:p>
    <w:p w:rsidR="0033382B" w:rsidRDefault="0033382B" w:rsidP="0033382B">
      <w:pPr>
        <w:pStyle w:val="TextoNormal"/>
      </w:pPr>
      <w:r>
        <w:t>A la vista, pues, de los razonamientos expresados, resulta procedente la desestimación del recurso de súplica interpuesto por el Ministerio Fiscal y, por ello, la Sección.</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Desestimar el recurso de súplica interpuesto por el Ministerio Fiscal contra la providencia de 16 de marzo de 2016.</w:t>
      </w:r>
    </w:p>
    <w:p w:rsidR="0033382B" w:rsidRDefault="0033382B" w:rsidP="0033382B">
      <w:pPr>
        <w:pStyle w:val="TextoNormal"/>
      </w:pPr>
    </w:p>
    <w:p w:rsidR="0033382B" w:rsidRDefault="0033382B" w:rsidP="0033382B">
      <w:pPr>
        <w:pStyle w:val="TextoNormal"/>
      </w:pPr>
      <w:r>
        <w:t>Madrid, a diecisiete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37" w:name="AUTO_2016_110"/>
      <w:r>
        <w:t>AUTO 110/2016, de 23 de mayo de 2016</w:t>
      </w:r>
    </w:p>
    <w:bookmarkEnd w:id="237"/>
    <w:p w:rsidR="0033382B" w:rsidRDefault="0033382B" w:rsidP="0033382B">
      <w:pPr>
        <w:pStyle w:val="TtuloResolucin"/>
      </w:pPr>
      <w:r>
        <w:t>Sala Primera</w:t>
      </w:r>
    </w:p>
    <w:p w:rsidR="0033382B" w:rsidRDefault="0033382B" w:rsidP="0033382B">
      <w:pPr>
        <w:pStyle w:val="TextoNormalCentrado"/>
      </w:pPr>
      <w:r>
        <w:t>ECLI:ES:TC:2016:110A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don Andrés Ollero Tassara, don Santiago Martínez-Vares García y don Juan Antonio Xiol Ríos.</w:t>
      </w:r>
    </w:p>
    <w:p w:rsidR="0033382B" w:rsidRDefault="0033382B" w:rsidP="0033382B">
      <w:pPr>
        <w:pStyle w:val="SntesisDescriptiva"/>
      </w:pPr>
    </w:p>
    <w:p w:rsidR="0033382B" w:rsidRDefault="0033382B" w:rsidP="0033382B">
      <w:pPr>
        <w:pStyle w:val="SntesisDescriptiva"/>
      </w:pPr>
      <w:r>
        <w:t>Ordena la cancelación de la anotación preventiva en el Registro de la Propiedad de la demanda de amparo núm. 1196-2013.</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que tuvo entrada en el Registro General de este Tribunal el 1 de marzo de 2013, don Miguel Ángel Gómez Sáenz de Ormijana interpuso recurso de amparo contra el Auto de 15 enero de 2013 del Juzgado de Primera Instancia e Instrucción núm. 3 de Mahón, que desestimó incidente de nulidad de actuaciones formulado por el recurrente, en el que este denunciaba la vulneración de su derecho a la tutela judicial efectiva sin indefensión (art. 24.1 CE) por el incumplimiento de los requisitos procesales legalmente establecidos en lo que se refiere a la notificación del emplazamiento en el procedimiento ejecutivo hipotecario núm. 359-2011 seguido contra él en dicho Juzgado a instancia del Banco Pastor, S.A. (entidad absorbida por el Banco Popular Español, S.A.).</w:t>
      </w:r>
    </w:p>
    <w:p w:rsidR="0033382B" w:rsidRDefault="0033382B" w:rsidP="0033382B">
      <w:pPr>
        <w:pStyle w:val="TextoNormal"/>
      </w:pPr>
    </w:p>
    <w:p w:rsidR="0033382B" w:rsidRDefault="0033382B" w:rsidP="0033382B">
      <w:pPr>
        <w:pStyle w:val="TextoNormal"/>
      </w:pPr>
      <w:r>
        <w:t>Por otrosí, se solicitó en la demanda de amparo la suspensión de la ejecución de las resoluciones judiciales que originan la presentación del recurso de amparo, especialmente del Auto de adjudicación del inmueble sobre el que se traba la ejecución hipotecaria, al objeto de impedir la entrega de la posesión del mismo a la entidad bancaria ejecutante. En un segundo otrosí el recurrente solicitó la anotación preventiva de la demanda de amparo en el Registro de la Propiedad correspondiente respecto del inmueble subastado, para evitar que una posible transmisión por el Banco Pastor, S.A. (hoy Banco Popular Español, S.A.), pudiera estar amparada por el art. 34 de la Ley hipotecaria.</w:t>
      </w:r>
    </w:p>
    <w:p w:rsidR="0033382B" w:rsidRDefault="0033382B" w:rsidP="0033382B">
      <w:pPr>
        <w:pStyle w:val="TextoNormal"/>
      </w:pPr>
    </w:p>
    <w:p w:rsidR="0033382B" w:rsidRDefault="0033382B" w:rsidP="0033382B">
      <w:pPr>
        <w:pStyle w:val="TextoNormal"/>
      </w:pPr>
      <w:r w:rsidRPr="0033382B">
        <w:rPr>
          <w:rStyle w:val="NumeroAFNegritaCaracter"/>
        </w:rPr>
        <w:t>2</w:t>
      </w:r>
      <w:r>
        <w:t>. Por providencia de 4 noviembre 2013, la Sala Primera de este Tribunal acordó la admisión a trámite de la demanda de amparo y asimismo acordó, mediante providencia de la misma fecha, la formación de la correspondiente pieza separada para la tramitación del incidente de suspensión y anotación preventiva solicitada, concediendo un plazo común de tres días a las partes y al Ministerio Fiscal para formular alegaciones sobre el particular (art. 56 de la Ley Orgánica del Tribunal Constitucional). Evacuado dicho trámite, se constata que la entrega de la posesión del inmueble ya se ha realizado, pues tuvo lugar el 8 de octubre de 2013. Esto determina que la suspensión de la ejecución del Auto de adjudicación carezca de contenido, como advierte el propio recurrente. Mediante ATC 276/2013, de 2 de diciembre, se ordenó la anotación preventiva de la demanda de amparo en el Registro de la Propiedad, a cuyo efecto el Juzgado de Primera Instancia e Instrucción núm. 3 de Mahón habría de expedir el mandamiento oportuno, para que pudiera practicarse la misma en relación con el inmueble a que se refieren las presentes actuaciones.</w:t>
      </w:r>
    </w:p>
    <w:p w:rsidR="0033382B" w:rsidRDefault="0033382B" w:rsidP="0033382B">
      <w:pPr>
        <w:pStyle w:val="TextoNormal"/>
      </w:pPr>
    </w:p>
    <w:p w:rsidR="0033382B" w:rsidRDefault="0033382B" w:rsidP="0033382B">
      <w:pPr>
        <w:pStyle w:val="TextoNormal"/>
      </w:pPr>
      <w:r w:rsidRPr="0033382B">
        <w:rPr>
          <w:rStyle w:val="NumeroAFNegritaCaracter"/>
        </w:rPr>
        <w:t>3</w:t>
      </w:r>
      <w:r>
        <w:t>. Por STC 131/2014, de 21 de julio, se estimó el recurso de amparo interpuesto por don Miguel Ángel Gómez Sáenz de Ormijana, declarando la lesión de su derecho a la tutela judicial efectiva sin indefensión (art. 24.1 CE) y la nulidad del Auto impugnado, y ordenando retrotraer las actuaciones al momento inmediatamente anterior al requerimiento de pago al recurrente en amparo, para que se le comunicase por el Juzgado el despacho de ejecución en legal forma.</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escrito registrado en este Tribunal el 9 de febrero de 2016, la Procuradora de los Tribunales doña Isabel Alfonso Rodríguez, en representación de la entidad Banco Popular Español, S.A., y bajo la dirección letrada de doña María Isabel Vázquez Tavares, solicita de este Tribunal que proceda a ordenar la cancelación registral de la anotación preventiva de la demanda de amparo acordada por ATC 276/2013, de 2 de diciembre. Dictado este en la pieza separada de suspensión abierta en el citado recurso de amparo, habiendo recaído Sentencia en el mismo (STC 131/2014, de 21 de julio), procede dejar sin efecto la señalada anotación preventiva de la demanda de amparo y ordenar su cancelación registral.</w:t>
      </w:r>
    </w:p>
    <w:p w:rsidR="0033382B" w:rsidRDefault="0033382B" w:rsidP="0033382B">
      <w:pPr>
        <w:pStyle w:val="TextoNormal"/>
      </w:pPr>
    </w:p>
    <w:p w:rsidR="0033382B" w:rsidRDefault="0033382B" w:rsidP="0033382B">
      <w:pPr>
        <w:pStyle w:val="TextoNormal"/>
      </w:pPr>
      <w:r w:rsidRPr="0033382B">
        <w:rPr>
          <w:rStyle w:val="NumeroAFNegritaCaracter"/>
        </w:rPr>
        <w:t>5</w:t>
      </w:r>
      <w:r>
        <w:t>. Por diligencia de ordenación de 11 de febrero de 2016 del Secretario de Justicia de la Sala Primera de este Tribunal se dio traslado del escrito presentado por la representación procesal de la entidad Banco Popular Español, S.A., al Ministerio Fiscal y a la representación procesal del recurrente en amparo, para que en el plazo de cinco días alegasen lo que a su derecho conviniese sobre la solicitud que en dicho escrito se formula.</w:t>
      </w:r>
    </w:p>
    <w:p w:rsidR="0033382B" w:rsidRDefault="0033382B" w:rsidP="0033382B">
      <w:pPr>
        <w:pStyle w:val="TextoNormal"/>
      </w:pPr>
    </w:p>
    <w:p w:rsidR="0033382B" w:rsidRDefault="0033382B" w:rsidP="0033382B">
      <w:pPr>
        <w:pStyle w:val="TextoNormal"/>
      </w:pPr>
      <w:r w:rsidRPr="0033382B">
        <w:rPr>
          <w:rStyle w:val="NumeroAFNegritaCaracter"/>
        </w:rPr>
        <w:t>6</w:t>
      </w:r>
      <w:r>
        <w:t>. Mediante escrito registrado en este Tribunal el 25 de febrero de 2016, el Ministerio Fiscal manifiesta que se ignora si el Banco Popular Español, S.A., a quien le fue adjudicado el bien inmueble objeto de la ejecución hipotecaria, ostenta o no la titularidad registral del mismo. Se ignora asimismo si la STC 131/2014, de 21 de julio, que estima el recurso de amparo, ha sido ejecutada y, en su caso, en qué forma lo ha sido, así como también se desconoce cuál sea el interés de la entidad bancaria en que se cancele la anotación preventiva de la demanda de amparo en su día acordada por este Tribunal. Por tanto, considera el Fiscal que no procede acceder a la cancelación de la anotación preventiva mientras no resulte acreditado el interés de la entidad bancaria al respecto y se desconozca el estado en que se encuentra la ejecución de la STC 131/2014, de 21 de julio.</w:t>
      </w:r>
    </w:p>
    <w:p w:rsidR="0033382B" w:rsidRDefault="0033382B" w:rsidP="0033382B">
      <w:pPr>
        <w:pStyle w:val="TextoNormal"/>
      </w:pPr>
    </w:p>
    <w:p w:rsidR="0033382B" w:rsidRDefault="0033382B" w:rsidP="0033382B">
      <w:pPr>
        <w:pStyle w:val="TextoNormal"/>
      </w:pPr>
      <w:r w:rsidRPr="0033382B">
        <w:rPr>
          <w:rStyle w:val="NumeroAFNegritaCaracter"/>
        </w:rPr>
        <w:t>7</w:t>
      </w:r>
      <w:r>
        <w:t>. El recurrente en amparo no presentó alegaciones.</w:t>
      </w:r>
    </w:p>
    <w:p w:rsidR="0033382B" w:rsidRDefault="0033382B" w:rsidP="0033382B">
      <w:pPr>
        <w:pStyle w:val="TextoNormal"/>
      </w:pPr>
    </w:p>
    <w:p w:rsidR="0033382B" w:rsidRDefault="0033382B" w:rsidP="0033382B">
      <w:pPr>
        <w:pStyle w:val="TextoNormal"/>
      </w:pPr>
      <w:r w:rsidRPr="0033382B">
        <w:rPr>
          <w:rStyle w:val="NumeroAFNegritaCaracter"/>
        </w:rPr>
        <w:t>8</w:t>
      </w:r>
      <w:r>
        <w:t>. Por diligencia de ordenación de 16 de marzo de 2016 del Secretario de Justicia de la Sala Primera de este Tribunal se acordó requerir al Banco Popular Español, S.A., a fin de que en el término de diez días acredite su interés en la petición que formula sobre la cancelación de la anotación de la demanda de amparo en su día practicada en el Registro de la Propiedad de Mahón. Asimismo se acordó oficiar al Juzgado de Primera Instancia e Instrucción núm. 3 de Mahón, para que informe sobre el estado en que se encuentra la ejecución de la STC 131/2014, de 21 de julio, estimatoria del recurso de amparo núm. 1196-2013.</w:t>
      </w:r>
    </w:p>
    <w:p w:rsidR="0033382B" w:rsidRDefault="0033382B" w:rsidP="0033382B">
      <w:pPr>
        <w:pStyle w:val="TextoNormal"/>
      </w:pPr>
    </w:p>
    <w:p w:rsidR="0033382B" w:rsidRDefault="0033382B" w:rsidP="0033382B">
      <w:pPr>
        <w:pStyle w:val="TextoNormal"/>
      </w:pPr>
      <w:r w:rsidRPr="0033382B">
        <w:rPr>
          <w:rStyle w:val="NumeroAFNegritaCaracter"/>
        </w:rPr>
        <w:t>9</w:t>
      </w:r>
      <w:r>
        <w:t>. Mediante escrito registrado en este Tribunal el 31 de marzo de 2016, la Procuradora de los Tribunales doña Isabel Alfonso Rodríguez, en representación de la entidad Banco Popular Español, S.A., formuló alegaciones, manifestando que por el Juzgado de Primera Instancia e Instrucción núm. 3 de Mahón se ha dado cumplimiento a lo ordenado en el fallo de la STC 131/2014, de 21 de julio. Se ha procedido a practicar la diligencia de notificación y requerimiento de pago al ejecutado en el domicilio designado por este, así como de los posteriores trámites del procedimiento ejecutivo hipotecario, que concluyó de nuevo con la adjudicación del inmueble a la entidad bancaria ejecutante, por Decreto de 30 de septiembre de 2015 (acompaña copia de las resoluciones del Juzgado). Fue entonces cuando, al presentar el testimonio de este Decreto ante el Registro de la Propiedad de Mahón para proceder a la inscripción de la titularidad registral del inmueble, el Registro acordó suspender la práctica de la inscripción por cuanto consta en relación con el inmueble en cuestión la anotación preventiva de la demanda de amparo acordada en su día por este Tribunal en su ATC 276/2013, de 2 de diciembre.</w:t>
      </w:r>
    </w:p>
    <w:p w:rsidR="0033382B" w:rsidRDefault="0033382B" w:rsidP="0033382B">
      <w:pPr>
        <w:pStyle w:val="TextoNormal"/>
      </w:pPr>
    </w:p>
    <w:p w:rsidR="0033382B" w:rsidRDefault="0033382B" w:rsidP="0033382B">
      <w:pPr>
        <w:pStyle w:val="TextoNormal"/>
      </w:pPr>
      <w:r>
        <w:t>En consecuencia, considera la representación del Banco Popular Español, S.A., que la STC 131/2014, de 21 de julio, ha sido ya ejecutada en sus propios términos por el Juzgado de Primera Instancia e Instrucción núm. 3 de Mahón, por lo que ya no se mantienen las circunstancias que en su momento dieron lugar a que este Tribunal acordase la medida cautelar de anotación preventiva de la demanda de amparo por ATC 276/2013, de 2 de diciembre. Resulta evidente cuál es el interés de esta entidad bancaria en la cancelación de esa anotación preventiva; es pues necesario que esta se deje sin efecto para que el Banco Popular Español, S.A., pueda inscribir en el Registro de la Propiedad de Mahón su titularidad sobre el inmueble adjudicado.</w:t>
      </w:r>
    </w:p>
    <w:p w:rsidR="0033382B" w:rsidRDefault="0033382B" w:rsidP="0033382B">
      <w:pPr>
        <w:pStyle w:val="TextoNormal"/>
      </w:pPr>
    </w:p>
    <w:p w:rsidR="0033382B" w:rsidRDefault="0033382B" w:rsidP="0033382B">
      <w:pPr>
        <w:pStyle w:val="TextoNormal"/>
      </w:pPr>
      <w:r>
        <w:t>Por todo ello, la representación del Banco Popular Español, S.A., interesa de nuevo que se ordene la cancelación registral de la anotación preventiva de la demanda de amparo acordada por ATC 276/2013, de 2 de diciembre.</w:t>
      </w:r>
    </w:p>
    <w:p w:rsidR="0033382B" w:rsidRDefault="0033382B" w:rsidP="0033382B">
      <w:pPr>
        <w:pStyle w:val="TextoNormal"/>
      </w:pPr>
    </w:p>
    <w:p w:rsidR="0033382B" w:rsidRDefault="0033382B" w:rsidP="0033382B">
      <w:pPr>
        <w:pStyle w:val="TextoNormal"/>
      </w:pPr>
      <w:r w:rsidRPr="0033382B">
        <w:rPr>
          <w:rStyle w:val="NumeroAFNegritaCaracter"/>
        </w:rPr>
        <w:t>10</w:t>
      </w:r>
      <w:r>
        <w:t>. Con fecha 18 de abril de 2016 tuvo entrada en el Registro General de este Tribunal oficio del Juzgado de Primera Instancia e Instrucción núm. 3 de Mahón, en virtud del cual se informa que este Juzgado ha procedido a dar debido cumplimiento a la STC 131/2014, de 21 de julio, practicando la diligencia de notificación y requerimiento de pago al ejecutado en el domicilio por este designado. Se ha dictado decreto el 30 de septiembre de 2015 por el que se adjudica el inmueble a la entidad bancaria ejecutante y está pendiente el trámite de inscripción de la adjudicación a favor de esta en el Registro de la Propiedad de Mahón.</w:t>
      </w:r>
    </w:p>
    <w:p w:rsidR="0033382B" w:rsidRDefault="0033382B" w:rsidP="0033382B">
      <w:pPr>
        <w:pStyle w:val="TextoNormal"/>
      </w:pPr>
    </w:p>
    <w:p w:rsidR="0033382B" w:rsidRDefault="0033382B" w:rsidP="0033382B">
      <w:pPr>
        <w:pStyle w:val="TextoNormal"/>
      </w:pPr>
      <w:r w:rsidRPr="0033382B">
        <w:rPr>
          <w:rStyle w:val="NumeroAFNegritaCaracter"/>
        </w:rPr>
        <w:t>11</w:t>
      </w:r>
      <w:r>
        <w:t>. La Secretaría de Justicia de la Sala Primera de este Tribunal, por diligencia de ordenación de 20 de abril de 2016, acordó dar traslado al Ministerio Fiscal del escrito de alegaciones del Banco Popular Español, S.A., así como del oficio del Juzgado de Primera Instancia e Instrucción número 3 de Mahón,  para que en el plazo de diez días alegase lo que estimare pertinente en relación con la petición sobre la cancelación de la anotación de la demanda de amparo formulado por dicha entidad bancaria.</w:t>
      </w:r>
    </w:p>
    <w:p w:rsidR="0033382B" w:rsidRDefault="0033382B" w:rsidP="0033382B">
      <w:pPr>
        <w:pStyle w:val="TextoNormal"/>
      </w:pPr>
    </w:p>
    <w:p w:rsidR="0033382B" w:rsidRDefault="0033382B" w:rsidP="0033382B">
      <w:pPr>
        <w:pStyle w:val="TextoNormal"/>
      </w:pPr>
      <w:r w:rsidRPr="0033382B">
        <w:rPr>
          <w:rStyle w:val="NumeroAFNegritaCaracter"/>
        </w:rPr>
        <w:t>12</w:t>
      </w:r>
      <w:r>
        <w:t>. Mediante escrito registrado en este Tribunal el 3 de mayo de 2016, el Ministerio Fiscal considera que debe accederse a lo solicitado por la entidad Banco Popular Español, S.A. Concluido el proceso en vía constitucional y ordinaria, y estando cumplida la STC 131/2014, de 21 de julio, carecería de sentido mantener la anotación preventiva de la demanda de amparo en el Registro de la Propiedad acordada en su día por ATC 276/2013, de 2 de diciembre, cuya vigencia está impidiendo que el legítimo titular del dominio sobre el inmueble pueda obtener la inscripción de la titularidad registral del mismo.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La medida cautelar de la anotación preventiva de la demanda de amparo, como tiene declarado este Tribunal, “no exige ni presupone la suspensión de la efectividad de la resolución recurrida y, simplemente, anuncia registralmente frente a terceros, la pendencia del proceso constitucional con sus eventuales consecuencias sobre los derechos inscritos” (AATC 164/1996, de 24 de junio, FJ único, y 357/2007, de 10 de septiembre, FJ único).</w:t>
      </w:r>
    </w:p>
    <w:p w:rsidR="0033382B" w:rsidRDefault="0033382B" w:rsidP="0033382B">
      <w:pPr>
        <w:pStyle w:val="TextoNormal"/>
      </w:pPr>
    </w:p>
    <w:p w:rsidR="0033382B" w:rsidRDefault="0033382B" w:rsidP="0033382B">
      <w:pPr>
        <w:pStyle w:val="TextoNormal"/>
      </w:pPr>
      <w:r>
        <w:t>Por tanto, concluido definitivamente el presente recurso de amparo por STC 131/2014, de 21 de julio, y habiéndose dado cumplimiento por el Juzgado de Primera Instancia e Instrucción número 3 de Mahón a lo ordenado en esta, no es necesario —como bien señala el Ministerio Fiscal— el mantenimiento de la anotación preventiva de la demanda de amparo acordada por este Tribunal durante la pendencia del proceso constitucional de amparo, quedando cumplida la finalidad para la que fue adoptada. Procede, por consiguiente, acceder a la petición formulada por la entidad Banco Popular Español, S.A., y, en consecuencia, ordenar la cancelación registral de la anotación preventiva de la demanda de amparo acordada por ATC 276/2013, de 2 de diciembre.</w:t>
      </w:r>
    </w:p>
    <w:p w:rsidR="0033382B" w:rsidRDefault="0033382B" w:rsidP="0033382B">
      <w:pPr>
        <w:pStyle w:val="TextoNormal"/>
      </w:pPr>
    </w:p>
    <w:p w:rsidR="0033382B" w:rsidRDefault="0033382B" w:rsidP="0033382B">
      <w:pPr>
        <w:pStyle w:val="TextoNormal"/>
      </w:pPr>
      <w:r>
        <w:t>Por todo lo expuesto, la Sala</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Ordenar la cancelación de la anotación preventiva de la demanda de amparo núm. 1196-2013 en el Registro de la Propiedad de Mahón, a cuyo efecto se librará el correspondiente oficio al Juzgado de Primera Instancia e Instrucción número 3 de Mahón para que adopte las medidas necesarias a fin de que se proceda a practicar la referida cancelación registral.</w:t>
      </w:r>
    </w:p>
    <w:p w:rsidR="0033382B" w:rsidRDefault="0033382B" w:rsidP="0033382B">
      <w:pPr>
        <w:pStyle w:val="TextoNormal"/>
      </w:pPr>
    </w:p>
    <w:p w:rsidR="0033382B" w:rsidRDefault="0033382B" w:rsidP="0033382B">
      <w:pPr>
        <w:pStyle w:val="TextoNormal"/>
      </w:pPr>
      <w:r>
        <w:t>Madrid, a veintitrés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38" w:name="AUTO_2016_111"/>
      <w:r>
        <w:t>AUTO 111/2016, de 24 de mayo de 2016</w:t>
      </w:r>
    </w:p>
    <w:bookmarkEnd w:id="238"/>
    <w:p w:rsidR="0033382B" w:rsidRDefault="0033382B" w:rsidP="0033382B">
      <w:pPr>
        <w:pStyle w:val="TtuloResolucin"/>
      </w:pPr>
      <w:r>
        <w:t>Pleno</w:t>
      </w:r>
    </w:p>
    <w:p w:rsidR="0033382B" w:rsidRDefault="0033382B" w:rsidP="0033382B">
      <w:pPr>
        <w:pStyle w:val="TextoNormalCentrado"/>
      </w:pPr>
      <w:r>
        <w:t>ECLI:ES:TC:2016:111A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don Andrés Ollero Tassara, don Fernando Valdés Dal-Ré, don Juan José González Rivas, don Santiago Martínez-Vares García,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Acepta una abstención en el recurso de amparo 6237-2011, promovido por doña Susana Pérez-Alonso García-Scheredre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17 de noviembre de 2011, la Procuradora de los Tribunales, doña Isabel Juliá Corujo, en nombre y representación de doña Susana Pérez-Alonso García-Scheredre, interpuso demanda de amparo contra la Sentencia de la Sala de lo Civil del Tribunal Supremo, dictada en el recurso de casación 805-2008.</w:t>
      </w:r>
    </w:p>
    <w:p w:rsidR="0033382B" w:rsidRDefault="0033382B" w:rsidP="0033382B">
      <w:pPr>
        <w:pStyle w:val="TextoNormal"/>
      </w:pPr>
    </w:p>
    <w:p w:rsidR="0033382B" w:rsidRDefault="0033382B" w:rsidP="0033382B">
      <w:pPr>
        <w:pStyle w:val="TextoNormal"/>
      </w:pPr>
      <w:r w:rsidRPr="0033382B">
        <w:rPr>
          <w:rStyle w:val="NumeroAFNegritaCaracter"/>
        </w:rPr>
        <w:t>2</w:t>
      </w:r>
      <w:r>
        <w:t>. Mediante escrito de 10 de mayo de 2016 el Magistrado don Juan Antonio Xiol Ríos comunicó su voluntad de abstenerse en el conocimiento del presente recurso de amparo por entender que concurría la causa undécima del art. 219 de la Ley Orgánica del Poder Judicial, por haber formado parte, en su condición de Magistrado de la Sala de lo Civil del Tribunal Supremo, del órgano judicial que acordó la resolución impugnada en el presente recurso de amparo.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Vista la comunicación efectuada por don Juan Antonio Xiol Ríos,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undécima del art. 219 LOPJ.</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Estimar justificada la abstención formulada por el Magistrado don Juan Antonio Xiol Ríos en el recurso de amparo núm. 6237-2011 y apartarle definitivamente del conocimiento del referido recurso y de todas sus incidencias.</w:t>
      </w:r>
    </w:p>
    <w:p w:rsidR="0033382B" w:rsidRDefault="0033382B" w:rsidP="0033382B">
      <w:pPr>
        <w:pStyle w:val="TextoNormal"/>
      </w:pPr>
    </w:p>
    <w:p w:rsidR="0033382B" w:rsidRDefault="0033382B" w:rsidP="0033382B">
      <w:pPr>
        <w:pStyle w:val="TextoNormal"/>
      </w:pPr>
      <w:r>
        <w:t>Madrid, a veinticuatro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39" w:name="AUTO_2016_112"/>
      <w:r>
        <w:t>AUTO 112/2016, de 24 de mayo de 2016</w:t>
      </w:r>
    </w:p>
    <w:bookmarkEnd w:id="239"/>
    <w:p w:rsidR="0033382B" w:rsidRDefault="0033382B" w:rsidP="0033382B">
      <w:pPr>
        <w:pStyle w:val="TtuloResolucin"/>
      </w:pPr>
      <w:r>
        <w:t>Sección Primera</w:t>
      </w:r>
    </w:p>
    <w:p w:rsidR="0033382B" w:rsidRDefault="0033382B" w:rsidP="0033382B">
      <w:pPr>
        <w:pStyle w:val="TextoNormalCentrado"/>
      </w:pPr>
      <w:r>
        <w:t>ECLI:ES:TC:2016:112A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y don Juan Antonio Xiol Ríos.</w:t>
      </w:r>
    </w:p>
    <w:p w:rsidR="0033382B" w:rsidRDefault="0033382B" w:rsidP="0033382B">
      <w:pPr>
        <w:pStyle w:val="SntesisDescriptiva"/>
      </w:pPr>
    </w:p>
    <w:p w:rsidR="0033382B" w:rsidRDefault="0033382B" w:rsidP="0033382B">
      <w:pPr>
        <w:pStyle w:val="SntesisDescriptiva"/>
      </w:pPr>
      <w:r>
        <w:t>Desestima el recurso de súplica del Ministerio Fiscal sobre inadmisión del recurso de amparo 6382-2015, promovido por doña Yuanfang Wei en causa penal. Voto particular.</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12 de noviembre de 2015, el Procurador de los Tribunales don David García Riquelme, en nombre y representación de doña Yuanfang Wei, y bajo la dirección del Letrado don Carlos Castresana Fernández, presentó demanda de amparo contra el Auto del Pleno de la Sala de lo Penal de la Audiencia Nacional de 23 de octubre de 2015, por el que se desestima el incidente de nulidad de actuaciones interpuesto contra el Auto de 22 de septiembre de 2015, por el que se desestima el recurso de súplica núm. 43-2015 interpuesto contra el Auto de la Sección Cuarta de la Sala de lo Penal de la Audiencia Nacional de 14 de julio de 2015, dictado en el rollo de sala núm. 10-2015, acordando acceder en vía jurisdiccional a la entrega extradicional de la recurrente a la República Popular China.</w:t>
      </w:r>
    </w:p>
    <w:p w:rsidR="0033382B" w:rsidRDefault="0033382B" w:rsidP="0033382B">
      <w:pPr>
        <w:pStyle w:val="TextoNormal"/>
      </w:pPr>
    </w:p>
    <w:p w:rsidR="0033382B" w:rsidRDefault="0033382B" w:rsidP="0033382B">
      <w:pPr>
        <w:pStyle w:val="TextoNormal"/>
      </w:pPr>
      <w:r w:rsidRPr="0033382B">
        <w:rPr>
          <w:rStyle w:val="NumeroAFNegritaCaracter"/>
        </w:rPr>
        <w:t>2</w:t>
      </w:r>
      <w:r>
        <w:t>. La recurrente aduce en su demanda de amparo que las decisiones judiciales impugnadas han vulnerado (i) el derecho al Juez ordinario predeterminado por la ley (art. 24.2 CE), argumentando que el delito que se le imputa es la compra en China de productos falsificados para su importación y venta en España, por lo que, en su caso, la conducta típica se habrá producido en España siendo los órganos judiciales de este país los competentes para su enjuiciamiento y no los de China; (ii) el derecho a la legalidad sancionadora (art. 25.1 CE), argumentando que, a los efectos de la doble incriminación, se ha interpretado de manera extensiva el art. 214 del Código penal de la República Popular China que establece como conducta típica la de vender y no la de comerciar en general; y (iii) el derecho a la tutela judicial efectiva (art. 24.1 CE), argumentando que el sistema judicial de China no cuenta con las suficientes garantías para ser sometido a un proceso con las debidas garantías, los testimonios en que se basan la imputación son de coimputados y no estas corroborados, la pena que se puede imponer en China es desproporcionada en relación con la prevista en la legislación española y no se ha tomado en consideración el arraigo social de la recurrente que vive en España desde hace veinticinco años a donde llegó siendo menor de edad y tiene dos hijos de diez años cuyo sustento depende exclusivamente de ella.</w:t>
      </w:r>
    </w:p>
    <w:p w:rsidR="0033382B" w:rsidRDefault="0033382B" w:rsidP="0033382B">
      <w:pPr>
        <w:pStyle w:val="TextoNormal"/>
      </w:pPr>
    </w:p>
    <w:p w:rsidR="0033382B" w:rsidRDefault="0033382B" w:rsidP="0033382B">
      <w:pPr>
        <w:pStyle w:val="TextoNormal"/>
      </w:pPr>
      <w:r w:rsidRPr="0033382B">
        <w:rPr>
          <w:rStyle w:val="NumeroAFNegritaCaracter"/>
        </w:rPr>
        <w:t>3</w:t>
      </w:r>
      <w:r>
        <w:t>. La Sección Primera de este Tribunal, mediante providencia de 19 de noviembre de 2015, acordó no admitir el recurso a trámite, con arreglo a lo previsto en el art. 50.1 a) de la Ley Orgánica del Tribunal Constitucional (LOTC), dada la manifiesta inexistencia de violación de un derecho fundamental tutelable en amparo.</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escrito registrado el 16 de diciembre de 2015, interpuso recurso de súplica contra dicha providencia, solicitando que fuera dejada sin efecto y se repusieran las actuaciones para que se decidiera nuevamente sobre la admisión de la demanda de amparo. El Ministerio Fiscal argumenta que “[e]l examen de las resoluciones judiciales impugnadas no permite descartar, en esta fase de admisión, la apariencia de lesión constitucional”, poniendo de manifiesto que el art. 214 del Código penal de la República Popular de China solo sanciona las conductas de venta por lo que no cabría entender subsumida en la misma la conducta de la recurrente consistente en la comparar en China de mercancía falsificada para su posterior importación, distribución y venta en España, que, por el contrario, sí está tipificada en el art. 274 del Código penal español. En atención a ello expone que, con arreglo a la doctrina constitucional (STC 162/2000, FJ 6), la exigencia de doble incriminación se enmarca en el derecho a la legalidad sancionadora (art. 25.1 CE) y que en este caso no puede descartarse que se haya producido su vulneración al haber concluido las resoluciones judiciales impugnadas el cumplimiento de este requisito de doble incriminación a partir de una interpretación imprevisible y ajena a los términos de la norma aplicada en tanto que se sustenta que el concepto vender es equivalente al de comerciar en general o a cualquier actividad de compra de productos falsificados.</w:t>
      </w:r>
    </w:p>
    <w:p w:rsidR="0033382B" w:rsidRDefault="0033382B" w:rsidP="0033382B">
      <w:pPr>
        <w:pStyle w:val="TextoNormal"/>
      </w:pPr>
    </w:p>
    <w:p w:rsidR="0033382B" w:rsidRDefault="0033382B" w:rsidP="0033382B">
      <w:pPr>
        <w:pStyle w:val="TextoNormal"/>
      </w:pPr>
      <w:r w:rsidRPr="0033382B">
        <w:rPr>
          <w:rStyle w:val="NumeroAFNegritaCaracter"/>
        </w:rPr>
        <w:t>5</w:t>
      </w:r>
      <w:r>
        <w:t>. El Ministerio Fiscal solicitó mediante otrosí que se acordara la suspensión de las resoluciones judiciales impugnadas en amparo mientras se tramitaba y resolvía el recurso de súplica, a lo que se accedió mediante providencia de la Sección primera de este Tribunal de 17 de diciembre de 2015.</w:t>
      </w:r>
    </w:p>
    <w:p w:rsidR="0033382B" w:rsidRDefault="0033382B" w:rsidP="0033382B">
      <w:pPr>
        <w:pStyle w:val="TextoNormal"/>
      </w:pPr>
    </w:p>
    <w:p w:rsidR="0033382B" w:rsidRDefault="0033382B" w:rsidP="0033382B">
      <w:pPr>
        <w:pStyle w:val="TextoNormal"/>
      </w:pPr>
      <w:r w:rsidRPr="0033382B">
        <w:rPr>
          <w:rStyle w:val="NumeroAFNegritaCaracter"/>
        </w:rPr>
        <w:t>6</w:t>
      </w:r>
      <w:r>
        <w:t>. La Secretaría de Justicia de la Sección Primera de este Tribunal, por diligencia de ordenación de 16 de diciembre de 2015, acordó dar traslado del recurso de súplica para alegaciones a la demandante, quien por escrito registrado el 23 de diciembre de 2015 se adhirió en todos sus términos a los argumentos esgrimidos en dicho recurso, ratificándose en las alegaciones formuladas en la demanda de amparo respecto de las vulneraciones de los derechos fundamentales en que considera han incurrido las resoluciones judiciales impugnadas.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objeto de esta resolución es determinar si, en los términos expuestos por el Ministerio Fiscal en su recurso de súplica, no puede descartarse que, tal como se estableció en la providencia de inadmisión ahora impugnada, sea manifiestamente inexistente la concreta vulneración aducida por la recurrente en relación con la interpretación que se ha hecho en las resoluciones impugnadas del concepto venta del art. 214 del Código penal de la República Popular de China para considerar acreditado el requisito de la doble incriminación.</w:t>
      </w:r>
    </w:p>
    <w:p w:rsidR="0033382B" w:rsidRDefault="0033382B" w:rsidP="0033382B">
      <w:pPr>
        <w:pStyle w:val="TextoNormal"/>
      </w:pPr>
    </w:p>
    <w:p w:rsidR="0033382B" w:rsidRDefault="0033382B" w:rsidP="0033382B">
      <w:pPr>
        <w:pStyle w:val="TextoNormal"/>
      </w:pPr>
      <w:r w:rsidRPr="0033382B">
        <w:rPr>
          <w:rStyle w:val="NumeroAFNegritaCaracter"/>
        </w:rPr>
        <w:t>2</w:t>
      </w:r>
      <w:r>
        <w:t>. Este Tribunal ha establecido que la exigencia de doble incriminación en el marco de los procedimientos de extradición forma parte, en los casos en que dicha exigencia aparezca expresamente establecida en el instrumento normativo que resulte de aplicación, del derecho a la legalidad sancionadora (así, STC 11/1983, de 21 de febrero, FJ 7, reiterado en las SSTC 102/1997, de 20 de mayo, FJ 6; 162/2000, de 12 de junio, FJ 6; 82/2006, de 13 de marzo, FJ 10, o STC 191/2009, de 28 de septiembre, FJ 3).</w:t>
      </w:r>
    </w:p>
    <w:p w:rsidR="0033382B" w:rsidRDefault="0033382B" w:rsidP="0033382B">
      <w:pPr>
        <w:pStyle w:val="TextoNormal"/>
      </w:pPr>
    </w:p>
    <w:p w:rsidR="0033382B" w:rsidRDefault="0033382B" w:rsidP="0033382B">
      <w:pPr>
        <w:pStyle w:val="TextoNormal"/>
      </w:pPr>
      <w:r>
        <w:t>Más en concreto, la STC 162/2000 afirma que, “[a]unque la extradición pasiva constituye ‘un proceso sobre otro proceso penal previamente iniciado e incluso concluido sólo que a falta de ejecución en otro Estado’ (STC 141/1998, de 29 de junio, FJ 3), nuestro Ordenamiento establece algunas exigencias de carácter material en el procedimiento extraditorio, como esta de la doble incriminación, que, a los efectos que ahora interesan, implica que el hecho sea delictivo y sancionado con determinada penalidad en las legislaciones penales del Estado requirente y del Estado requerido. El órgano competente del Estado reclamante debe considerar que un hecho ya objeto de condena es delictivo según su legislación penal (lo que resulta obvio, porque en caso contrario no habría impuesto la condena), pero, además, como garantía adicional en el procedimiento de extradición se exige que el mismo hecho por el que se solicita la entrega sea constitutivo de delito según la legislación penal del Estado requerido, lo que representa una concesión o reconocimiento de la soberanía de éste (en sentido similar, AATC 23/1997, de 27 de enero, FJ 2; y 95/1999, de 14 de abril, FJ 3)” (STC 162/2000, FJ 6).</w:t>
      </w:r>
    </w:p>
    <w:p w:rsidR="0033382B" w:rsidRDefault="0033382B" w:rsidP="0033382B">
      <w:pPr>
        <w:pStyle w:val="TextoNormal"/>
      </w:pPr>
    </w:p>
    <w:p w:rsidR="0033382B" w:rsidRDefault="0033382B" w:rsidP="0033382B">
      <w:pPr>
        <w:pStyle w:val="TextoNormal"/>
      </w:pPr>
      <w:r>
        <w:t xml:space="preserve">Por su parte, la STC 191/2009 afirma que “[c]iertamente no puede excluirse totalmente la posibilidad de que en un procedimiento extradicional pueda verse lesionado el derecho a la legalidad penal; por el contrario, en resoluciones anteriores de este Tribunal atinentes al procedimiento de extradición hemos atendido bajo tal </w:t>
      </w:r>
      <w:r w:rsidRPr="0033382B">
        <w:rPr>
          <w:i/>
        </w:rPr>
        <w:t>nomen iuris</w:t>
      </w:r>
      <w:r>
        <w:t xml:space="preserve"> diversos motivos de amparo, habiendo, en algunos de esos casos, otorgado el amparo por vulneración del citado derecho. No obstante ello habrá de tener lugar únicamente cuando los requisitos legales habilitantes de la entrega e indebidamente aplicados por el órgano judicial guarden una directa relación con el haz de garantías que contempla el derecho fundamental recogido en el art. 25.1 CE, tal como acontece en el caso paradigmático de la exigencia de doble incriminación (STC 162/2000, de 12 de junio, FJ 6; 82/2006, de 13 de marzo, FJ 10)”. (STC 191/2009, FJ 3).</w:t>
      </w:r>
    </w:p>
    <w:p w:rsidR="0033382B" w:rsidRDefault="0033382B" w:rsidP="0033382B">
      <w:pPr>
        <w:pStyle w:val="TextoNormal"/>
      </w:pPr>
    </w:p>
    <w:p w:rsidR="0033382B" w:rsidRDefault="0033382B" w:rsidP="0033382B">
      <w:pPr>
        <w:pStyle w:val="TextoNormal"/>
      </w:pPr>
      <w:r>
        <w:t>Por lo que se refiere al contenido de la exigencia de doble incriminación, en su concreta dimensión de que el hecho sea típico de conformidad con las dos legislaciones, la STC 102/1997 afirma que “no significa tanto identidad de las normas penales de los Estados concernidos como ‘que el hecho sea delictivo y con una determinada penalidad (mínima) en las legislaciones penales del Estado requirente y del Estado requerido’ (como últimamente afirmamos en el ATC 23/1997, fundamento jurídico 2, recogiendo doctrina muy consolidada: AATC 753/1985 y 499/1988, por ejemplo)” (FJ 6).</w:t>
      </w:r>
    </w:p>
    <w:p w:rsidR="0033382B" w:rsidRDefault="0033382B" w:rsidP="0033382B">
      <w:pPr>
        <w:pStyle w:val="TextoNormal"/>
      </w:pPr>
    </w:p>
    <w:p w:rsidR="0033382B" w:rsidRDefault="0033382B" w:rsidP="0033382B">
      <w:pPr>
        <w:pStyle w:val="TextoNormal"/>
      </w:pPr>
      <w:r>
        <w:t>Específicamente, por lo que se refiere a la garantía de la legalidad (art. 25.1 CE), en relación con la interpretación de la normativa sancionadora, el Tribunal ha afirmado que la constitucionalidad de la interpretación de las normas sancionadoras depende tanto del respeto al tenor literal del enunciado normativo, como de su previsibilidad, que debe ser analizada desde las pautas axiológicas que informan nuestro texto constitucional y conforme a modelos de argumentación aceptados por la propia comunidad jurídica. Por ello, no solo vulneran el derecho fundamental a la legalidad sancionadora aquellas aplicaciones de la norma sancionadora que se sustenten en una subsunción de los hechos ajena al significado posible de los términos de la norma aplicada, sino que son constitucionalmente rechazables aquellas que conduzcan a soluciones esencialmente opuestas a la orientación material de la norma y, por ello, imprevisibles para sus destinatarios (así, STC 150/2015, de 6 de julio, FJ 2).</w:t>
      </w:r>
    </w:p>
    <w:p w:rsidR="0033382B" w:rsidRDefault="0033382B" w:rsidP="0033382B">
      <w:pPr>
        <w:pStyle w:val="TextoNormal"/>
      </w:pPr>
    </w:p>
    <w:p w:rsidR="0033382B" w:rsidRDefault="0033382B" w:rsidP="0033382B">
      <w:pPr>
        <w:pStyle w:val="TextoNormal"/>
      </w:pPr>
      <w:r w:rsidRPr="0033382B">
        <w:rPr>
          <w:rStyle w:val="NumeroAFNegritaCaracter"/>
        </w:rPr>
        <w:t>3</w:t>
      </w:r>
      <w:r>
        <w:t xml:space="preserve">. En el presente caso, como queda acreditado en las actuaciones, se pone de manifiesto que el Auto de la Sección Cuarta de la Sala de lo Penal de la Audiencia Nacional de 14 de julio de 2015 establece que los hechos en virtud de los cuales las autoridades chinas reclaman la extradición de la recurrente para su enjuiciamiento son que, en su condición de gerente de una sociedad mercantil constituida en España, encargó a terceras personas con residencia en China la compra de artículos cosméticos y perfumes con marcas falsificadas, para que fueran trasladados a España para su posterior venta en este país (antecedente de hecho sexto). En el fundamento jurídico 3, y a los efectos de acreditar la exigencia de doble incriminación, se afirma que los hechos por los que se reclama a la recurrente “constituyen un delito de mercancías falsificadas de marcas registradas conforme al artículo 214 del Código Penal de la República Popular China, y se encuentran tipificados en el artículo 237 del Código Penal español que castiga el delito contra la propiedad industrial”. Por su parte, en el fundamento jurídico quinto, y en relación con los requisitos de naturaleza procesal, se afirma que concurre la “extensión de la jurisdicción del estado requirente para el conocimiento del delito por el que se pide la extradición, pues el mismo se ha cometido en su territorio”. En virtud de la alegación de la recurrente de que la conducta típica del art. 214 Código penal de China se circunscribe a la de venta de mercancías falsificadas, por lo que es atípica la conducta concretamente desarrollada en China de la compra de dichas mercancías, ya que la conducta punible se ha desarrollado en España, siendo sus Tribunales los competentes para enjuiciar los hechos, en el fundamento jurídico séptimo se afirma que “el Tribunal no comparte ese criterio. Del relato de hechos probados que nos proporciona las autoridades de la República China se infiere que, la conducta de la reclamada se enmarca en una actividad empresarial de compraventa de productos de alta gama falsificados, actividad que de forma sistemática, esta, o a través de terceros, despliega en China, constituyendo los hechos presuntamente perpetrados en este país parte fundamental del </w:t>
      </w:r>
      <w:r w:rsidRPr="0033382B">
        <w:rPr>
          <w:i/>
        </w:rPr>
        <w:t>iter criminis</w:t>
      </w:r>
      <w:r>
        <w:t xml:space="preserve"> del delito que se le atribuye, siendo sus autoridades judiciales las competentes para su persecución y enjuiciamiento”.</w:t>
      </w:r>
    </w:p>
    <w:p w:rsidR="0033382B" w:rsidRDefault="0033382B" w:rsidP="0033382B">
      <w:pPr>
        <w:pStyle w:val="TextoNormal"/>
      </w:pPr>
    </w:p>
    <w:p w:rsidR="0033382B" w:rsidRDefault="0033382B" w:rsidP="0033382B">
      <w:pPr>
        <w:pStyle w:val="TextoNormal"/>
      </w:pPr>
      <w:r>
        <w:t>Por su parte, el Auto del Pleno de la Sala de lo Penal de la Audiencia Nacional de 22 de septiembre de 2015, recaído en el recurso de súplica núm. 43-2015, ante la insistencia de la recurrente en negar la concurrencia de la doble incriminación, afirma, en relación con los argumentos expuestos en la resolución de instancia, en el apartado 2 del fundamento jurídico único, que “el Pleno de la Sala de lo Penal comparte esta opinión, debiéndose entender la expresión de vender mercancías como la de comerciar en general, no suponiendo ello una interpretación extensiva del tipo, sino una interpretación coherente con el bien jurídico protegido, que por que [sic] lo contrario sería reducir al absurdo el tipo penal. Por ello se entiende que el delito se ha cometido en China, sin perjuicio de los hechos cometidos en España, los cuales no han sido objeto de acusación por parte de nadie”.</w:t>
      </w:r>
    </w:p>
    <w:p w:rsidR="0033382B" w:rsidRDefault="0033382B" w:rsidP="0033382B">
      <w:pPr>
        <w:pStyle w:val="TextoNormal"/>
      </w:pPr>
    </w:p>
    <w:p w:rsidR="0033382B" w:rsidRDefault="0033382B" w:rsidP="0033382B">
      <w:pPr>
        <w:pStyle w:val="TextoNormal"/>
      </w:pPr>
      <w:r w:rsidRPr="0033382B">
        <w:rPr>
          <w:rStyle w:val="NumeroAFNegritaCaracter"/>
        </w:rPr>
        <w:t>4</w:t>
      </w:r>
      <w:r>
        <w:t>. En atención a lo expuesto, debe confirmarse el criterio ya expuesto en la providencia de inadmisión ahora recurrida en súplica de que también la concreta invocación del art. 25.1 CE carece del mínimo contenido constitucional. La interpretación realizada en las resoluciones judiciales impugnadas en amparo del contenido del art. 214 Código penal de China, en el sentido de identificar el concepto vender con el de comerciar en general, que ha sido apoyada de manera unánime por la totalidad de los dieciséis Magistrados que componen la Sala de lo Penal de la Audiencia Nacional, no puede ser calificada como imprevisible o ajena a los modelos de argumentación aceptados por la propia comunidad jurídica en relación con una conducta, como la que ha dado lugar a la solicitud de extradición de la recurrente, consistente en la compra de grandes cantidades de productos falsificados en China para su exportación a España donde eran puestos a la venta.</w:t>
      </w:r>
    </w:p>
    <w:p w:rsidR="0033382B" w:rsidRDefault="0033382B" w:rsidP="0033382B">
      <w:pPr>
        <w:pStyle w:val="TextoNormal"/>
      </w:pPr>
    </w:p>
    <w:p w:rsidR="0033382B" w:rsidRDefault="0033382B" w:rsidP="0033382B">
      <w:pPr>
        <w:pStyle w:val="TextoNormal"/>
      </w:pPr>
      <w:r w:rsidRPr="0033382B">
        <w:rPr>
          <w:rStyle w:val="NumeroAFNegritaCaracter"/>
        </w:rPr>
        <w:t>5</w:t>
      </w:r>
      <w:r>
        <w:t>. La Sección Primera de este Tribunal, mediante providencia de 17 de diciembre de 2015, acordó la suspensión de la ejecución de las resoluciones impugnadas en este recurso de amparo, mientras se resolvía el recurso de súplica formulado por el Ministerio Fiscal contra la decisión de inadmisión. Una vez desestimado el recurso de súplica y, por tanto, siendo firme la decisión de inadmisión de este recurso deben alzarse las medidas cautelares acordadas en la citada providencia de 17 de diciembre de 2015.</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Desestimar el recurso de súplica interpuesto por el Ministerio Fiscal contra la providencia de 19 de noviembre de 2015 y alzar las medidas cautelares acordadas mediante providencia de 17 de diciembre de 2015.</w:t>
      </w:r>
    </w:p>
    <w:p w:rsidR="0033382B" w:rsidRDefault="0033382B" w:rsidP="0033382B">
      <w:pPr>
        <w:pStyle w:val="TextoNormal"/>
      </w:pPr>
    </w:p>
    <w:p w:rsidR="0033382B" w:rsidRDefault="0033382B" w:rsidP="0033382B">
      <w:pPr>
        <w:pStyle w:val="TextoNormal"/>
      </w:pPr>
      <w:r>
        <w:t>Madrid, a veinticuatro de mayo de dos mil dieciséis.</w:t>
      </w:r>
    </w:p>
    <w:p w:rsidR="0033382B" w:rsidRDefault="0033382B" w:rsidP="0033382B">
      <w:pPr>
        <w:pStyle w:val="ParrafoNormal"/>
      </w:pPr>
    </w:p>
    <w:p w:rsidR="0033382B" w:rsidRDefault="0033382B" w:rsidP="0033382B">
      <w:pPr>
        <w:pStyle w:val="TextoNormalNegritaCentrado"/>
        <w:keepNext/>
      </w:pPr>
      <w:r>
        <w:t>Voto particular que formula el Magistrado don Juan Antonio Xiol Ríos al Auto dictado en el recurso de amparo núm. 6382-2015.</w:t>
      </w:r>
    </w:p>
    <w:p w:rsidR="0033382B" w:rsidRDefault="0033382B" w:rsidP="0033382B">
      <w:pPr>
        <w:pStyle w:val="TextoNormalNegritaCentrado"/>
        <w:keepNext/>
      </w:pPr>
    </w:p>
    <w:p w:rsidR="0033382B" w:rsidRDefault="0033382B" w:rsidP="0033382B">
      <w:pPr>
        <w:pStyle w:val="TextoNormal"/>
      </w:pPr>
      <w:r>
        <w:t>Con el máximo respeto a la opinión mayoritaria de mis compañeros de Sección en la que se sustenta el Auto, manifiesto mi discrepancia con la fundamentación jurídica y el fallo de este. Considero que hubiera debido ser estimado el recurso de súplica interpuesto por el Ministerio Fiscal contra la providencia de inadmisión de 19 de noviembre de 2015.</w:t>
      </w:r>
    </w:p>
    <w:p w:rsidR="0033382B" w:rsidRDefault="0033382B" w:rsidP="0033382B">
      <w:pPr>
        <w:pStyle w:val="TextoNormal"/>
      </w:pPr>
    </w:p>
    <w:p w:rsidR="0033382B" w:rsidRDefault="0033382B" w:rsidP="0033382B">
      <w:pPr>
        <w:pStyle w:val="TextoNormal"/>
      </w:pPr>
      <w:r>
        <w:t>1. La opinión mayoritaria en la que se sustenta el Auto considera que es manifiesta la inexistencia de violación del derecho a la legalidad sancionadora (art. 25.1 CE). Se argumenta que la interpretación realizada en las resoluciones judiciales impugnadas del contenido del art. 214 de Código penal de la República Popular China, en el sentido de identificar el concepto vender con el de comerciar en general, no puede ser calificada como imprevisible o ajena a los modelos de argumentación aceptados por la propia comunidad jurídica, en relación con la conducta por la que es investigada en China la recurrente, consistente en la compra de grandes cantidades de productos falsificados en China para su exportación a España donde eran puestos a la venta.</w:t>
      </w:r>
    </w:p>
    <w:p w:rsidR="0033382B" w:rsidRDefault="0033382B" w:rsidP="0033382B">
      <w:pPr>
        <w:pStyle w:val="TextoNormal"/>
      </w:pPr>
    </w:p>
    <w:p w:rsidR="0033382B" w:rsidRDefault="0033382B" w:rsidP="0033382B">
      <w:pPr>
        <w:pStyle w:val="TextoNormal"/>
      </w:pPr>
      <w:r>
        <w:t>No comparto esa opinión. Tal como señala el Ministerio Fiscal en su recurso de súplica, creo que en este trámite de admisibilidad no resulta debidamente fundamentado el afirmar que la invocación del art. 25.1 CE es “manifiestamente” inexistente, ya que (i) creo que la aplicación del parámetro de control constitucional del art. 25.1 CE, en lo que respecta a la interpretación y aplicación del derecho extranjero, no puede hacerse con el automatismo pretendido por la opinión mayoritaria en la que se sustenta el Auto; y (ii), en su caso, y aunque se hiciera una aplicación estricta y automática de ese parámetro de control constitucional, no creo que puede excluirse en este momento procesal que la interpretación hecha del art. 214 del Código penal de la República Popular China resulte imprevisible.</w:t>
      </w:r>
    </w:p>
    <w:p w:rsidR="0033382B" w:rsidRDefault="0033382B" w:rsidP="0033382B">
      <w:pPr>
        <w:pStyle w:val="TextoNormal"/>
      </w:pPr>
    </w:p>
    <w:p w:rsidR="0033382B" w:rsidRDefault="0033382B" w:rsidP="0033382B">
      <w:pPr>
        <w:pStyle w:val="TextoNormal"/>
      </w:pPr>
      <w:r>
        <w:t>2. La jurisprudencia constitucional ha establecido que forma parte del derecho a la legalidad sancionadora (art. 25.1 CE) la comprobación de la concurrencia de la doble incriminación en la aplicación de determinadas instituciones de cooperación jurídica internacional y, singularmente, en la extradición. Conforme a ello, y cuando así aparezca normativamente exigido, la labor del órgano judicial consistente en verificar que el hecho sea típico de conformidad con las dos legislaciones queda sometida a las estrictas exigencias de que en la interpretación de las normas penales de ambos Estados se respete la previsibilidad.</w:t>
      </w:r>
    </w:p>
    <w:p w:rsidR="0033382B" w:rsidRDefault="0033382B" w:rsidP="0033382B">
      <w:pPr>
        <w:pStyle w:val="TextoNormal"/>
      </w:pPr>
    </w:p>
    <w:p w:rsidR="0033382B" w:rsidRDefault="0033382B" w:rsidP="0033382B">
      <w:pPr>
        <w:pStyle w:val="TextoNormal"/>
      </w:pPr>
      <w:r>
        <w:t>En cuanto a la interpretación del Derecho penal español para comprobar el requisito de doble incriminación en los procesos de extradición las exigencias de previsibilidad son similares a las requeridas para la aplicación del mismo precepto sustantivo en un proceso penal. Ahora bien, por lo que se refiere a la labor interpretativa de una norma que no forma parte del ordenamiento jurídico español, como es en este caso el art. 214 del Código penal de la República Popular China, el control de constitucionalidad que impone el art. 25.1 CE requiere (i) la determinación del concreto contenido semántico del precepto; y (ii) su ámbito de aplicación.</w:t>
      </w:r>
    </w:p>
    <w:p w:rsidR="0033382B" w:rsidRDefault="0033382B" w:rsidP="0033382B">
      <w:pPr>
        <w:pStyle w:val="TextoNormal"/>
      </w:pPr>
    </w:p>
    <w:p w:rsidR="0033382B" w:rsidRDefault="0033382B" w:rsidP="0033382B">
      <w:pPr>
        <w:pStyle w:val="TextoNormal"/>
      </w:pPr>
      <w:r>
        <w:t>(i) Para la traducción o determinación del significado de la norma extranjera, en el presente caso ni siquiera resulta preciso acudir, como hace el Ministerio Fiscal en su recurso de súplica, a la versión inglesa del Código penal chino. Ha sido la representación de la propia República Popular China la que, dando cumplimiento a la obligatoriedad de la entrega de la documentación extradicional debidamente traducida, hace constar que el art. 214 del Código penal de la República Popular China lo que tipifica es la conducta de “vender”. En concreto, la traducción al castellano del precepto penal que se alega infringido por la recurrente que ha aportado el estado requirente es esta: “aquellos que vendieren las mercancías a conciencia de que fuesen de marcas registradas falsificadas, si implicaren una cuantía relativamente grande del monto de la venta, serán sentenciados a una prisión temporal…”. Esto es, el verbo utilizado en el art. 214 del Código penal chino es “vender”.</w:t>
      </w:r>
    </w:p>
    <w:p w:rsidR="0033382B" w:rsidRDefault="0033382B" w:rsidP="0033382B">
      <w:pPr>
        <w:pStyle w:val="TextoNormal"/>
      </w:pPr>
    </w:p>
    <w:p w:rsidR="0033382B" w:rsidRDefault="0033382B" w:rsidP="0033382B">
      <w:pPr>
        <w:pStyle w:val="TextoNormal"/>
      </w:pPr>
      <w:r>
        <w:t>(ii) Una cuestión distinta es la conclusión interpretativa sustentada en las resoluciones judiciales impugnadas en lo referente a considerar que el concepto “vender” se identifica en ese concreto precepto del Código Penal chino con “comerciar”. La opinión mayoritaria en la que se sustenta el auto considera que lo que queda concernido es la constitucionalidad de una mera labor de interpretación judicial que, aun tratándose de Derecho extranjero, pueden legítimamente desarrollar los órganos judiciales españoles con las mismas limitaciones constitucionales que respecto de la interpretación de cualquier otra norma de Derecho nacional.</w:t>
      </w:r>
    </w:p>
    <w:p w:rsidR="0033382B" w:rsidRDefault="0033382B" w:rsidP="0033382B">
      <w:pPr>
        <w:pStyle w:val="TextoNormal"/>
      </w:pPr>
    </w:p>
    <w:p w:rsidR="0033382B" w:rsidRDefault="0033382B" w:rsidP="0033382B">
      <w:pPr>
        <w:pStyle w:val="TextoNormal"/>
      </w:pPr>
      <w:r>
        <w:t>No comparto esta opinión. De conformidad con el art. 281.2 de la Ley de enjuiciamiento civil la vigencia y el contenido del Derecho extranjero son objeto de prueba y, por tanto, son labores excluidas de la mera capacidad interpretativa del órgano judicial. A partir de ello, si se identifica que el contenido no solo es la literalidad de la norma sino también la interpretación y aplicación que de la misma se hace por parte de los órganos judiciales competentes, entonces el problema constitucional sería diferente y se vincularía no a una mera comprobación de que se ha cumplido con el deber constitucional de motivación en la interpretación y aplicación del Derecho extranjero, sino a la comprobación de cuál es la actividad probatoria desarrollada y la valoración que sobre la misma se ha establecido para permitir al órgano judicial llegar a esa conclusión interpretativa. Lo que queda acreditado en las actuaciones es que, a pesar de las dudas que pueden subsistir sobre la corrección de la interpretación de identificar “vender” con “comerciar”, en el proceso extradicional no se ha desarrollado ninguna actividad probatoria para verificar si esa idea defendida por las resoluciones impugnadas de que en el contexto de este concreto precepto vender significa comerciar es la interpretación sustentada por los órganos judiciales chinos. Esto es, ni a petición de la representación del Estado requirente ni del Ministerio Fiscal ni de oficio se ha desarrollado no la más mínima labor probatoria para acreditar que conforme a la jurisprudencia de ese país el art. 214 del Código penal de la República Popular China se interpreta en el sentido asumido por las resoluciones judiciales ahora impugnadas en amparo.</w:t>
      </w:r>
    </w:p>
    <w:p w:rsidR="0033382B" w:rsidRDefault="0033382B" w:rsidP="0033382B">
      <w:pPr>
        <w:pStyle w:val="TextoNormal"/>
      </w:pPr>
    </w:p>
    <w:p w:rsidR="0033382B" w:rsidRDefault="0033382B" w:rsidP="0033382B">
      <w:pPr>
        <w:pStyle w:val="TextoNormal"/>
      </w:pPr>
      <w:r>
        <w:t>Por tanto, desde esta perspectiva, que considero la más correcta y respetuosa tanto con la jurisprudencia como con la doctrina sobre la interpretación y la aplicación del Derecho extranjero en el marco de los procesos judiciales españoles, en este trámite de admisibilidad no puede excluirse el suficiente contenido constitucional de esta invocación.</w:t>
      </w:r>
    </w:p>
    <w:p w:rsidR="0033382B" w:rsidRDefault="0033382B" w:rsidP="0033382B">
      <w:pPr>
        <w:pStyle w:val="TextoNormal"/>
      </w:pPr>
    </w:p>
    <w:p w:rsidR="0033382B" w:rsidRDefault="0033382B" w:rsidP="0033382B">
      <w:pPr>
        <w:pStyle w:val="TextoNormal"/>
      </w:pPr>
      <w:r>
        <w:t>3. Al margen de lo anterior y con independencia de que se trate de la interpretación de Derecho penal extranjero, tampoco desde la perspectiva asumida por la opinión mayoritaria en la que se sustenta el auto puede afirmarse que la invocación del art. 25.1 CE carezca del necesario contenido constitucional. La conclusión de que el concepto “vender” es asimilado al de “comerciar en general” y, por tanto, que la conducta de la recurrente consistente en la compra de estos productos falsificados para su envío a España con el fin de su posterior venta queda subsumida en el tipo penal del art. 241 del Código penal de la República Popular China, que sanciona el vender mercancías de marcas registradas falsificadas, supone una interpretación que, desde cualquier parámetro interpretativo al uso, no puede excluirse —en este trámite de admisibilidad— que pudiera resultar imprevisible para los destinatarios de las normas.</w:t>
      </w:r>
    </w:p>
    <w:p w:rsidR="0033382B" w:rsidRDefault="0033382B" w:rsidP="0033382B">
      <w:pPr>
        <w:pStyle w:val="TextoNormal"/>
      </w:pPr>
    </w:p>
    <w:p w:rsidR="0033382B" w:rsidRDefault="0033382B" w:rsidP="0033382B">
      <w:pPr>
        <w:pStyle w:val="TextoNormal"/>
      </w:pPr>
      <w:r>
        <w:t>En efecto, desde una perspectiva estrictamente lingüística, el diccionario de la Real Academia Española establece, en la primera acepción del verbo “vender”, que es “traspasar a alguien por el precio convenido la propiedad de lo que se posee”; y, en su segunda acepción, “exponer u ofrecer al público los géneros o mercancías para quien las quiera comprar”. En cualquiera de ambas acepciones que, además, se corresponden con el uso de este verbo en el lenguaje común, no puede afirmarse que la conducta de la recurrente consistente en pagar para que se le traspase la propiedad o aceptar la oferta de mercancías mediante su compra, sea una conducta de venta o el comportamiento propio de una vendedora. Del mismo modo, desde una perspectiva jurídica, el contrato de compraventa se define en el art. 1445 del Código civil como el acto por el que uno de los contratantes se obliga a entregar una cosa determinada —acto de venta realizado por el vendedor— y el otro a pagar por ella un precio cierto, en dinero o signo que lo represente —acto de compra realizado por el comprador—; de modo tal que, sin infringir elementales reglas de comprensión jurídica, no puede defenderse que ejecuta acciones de venta aquel que lo que hace es pagar el dinero para que le sea entregada una cosa determinada. Igualmente, desde una perspectiva sistemática, también es concluyente que el Código penal español diferencia en muchos de sus ilícitos penales entre las conductas de venta y compra, sancionando solo las primeras, de modo tal que para incluir conductas de compra con fines de comercialización o exportación utiliza junto con la expresión “vender” otras referidas a la comercialización, como son importar, exportar, distribuir, difundir, etc.</w:t>
      </w:r>
    </w:p>
    <w:p w:rsidR="0033382B" w:rsidRDefault="0033382B" w:rsidP="0033382B">
      <w:pPr>
        <w:pStyle w:val="TextoNormal"/>
      </w:pPr>
    </w:p>
    <w:p w:rsidR="0033382B" w:rsidRDefault="0033382B" w:rsidP="0033382B">
      <w:pPr>
        <w:pStyle w:val="TextoNormal"/>
      </w:pPr>
      <w:r>
        <w:t>Por tanto, también desde esta perspectiva no podría excluirse en este trámite de admisibilidad el suficiente contenido constitucional de esta invocación del art. 25.1 CE.</w:t>
      </w:r>
    </w:p>
    <w:p w:rsidR="0033382B" w:rsidRDefault="0033382B" w:rsidP="0033382B">
      <w:pPr>
        <w:pStyle w:val="TextoNormal"/>
      </w:pPr>
    </w:p>
    <w:p w:rsidR="0033382B" w:rsidRDefault="0033382B" w:rsidP="0033382B">
      <w:pPr>
        <w:pStyle w:val="TextoNormal"/>
      </w:pPr>
      <w:r>
        <w:t>4. A la apreciación de que no cabe excluir el necesario contenido constitucional en esta vulneración —bien porque la labor interpretativa se haya desarrollado de manera voluntarista, imprevisible y ajena a los términos de la norma aplicable en China; bien porque sea una conclusión que se ha alcanzado sin desarrollar ningún esfuerzo de verificación de cual sea la interpretación jurisprudencial en China respecto de este precepto—, se une en este caso la existencia de una especial trascendencia constitucional de la demanda. Esta circunstancia radicaría en que es un supuesto que plantea un problema o una faceta de un derecho fundamental susceptible de amparo sobre el que no hay doctrina del Tribunal Constitucional o que, al menos, daría la oportunidad de aclarar y perfilar su doctrina respecto del principio a la legalidad sancionadora en el marco de los procedimientos de extradición [STC 155/2009, FJ 2, supuestos a) y b)].</w:t>
      </w:r>
    </w:p>
    <w:p w:rsidR="0033382B" w:rsidRDefault="0033382B" w:rsidP="0033382B">
      <w:pPr>
        <w:pStyle w:val="TextoNormal"/>
      </w:pPr>
    </w:p>
    <w:p w:rsidR="0033382B" w:rsidRDefault="0033382B" w:rsidP="0033382B">
      <w:pPr>
        <w:pStyle w:val="TextoNormal"/>
      </w:pPr>
      <w:r>
        <w:t xml:space="preserve">En efecto, la cuestión sobre si las decisiones sobre la interpretación del Derecho extranjero, a los efectos de la doble incriminación, implican una labor hermenéutica de una norma jurídica, sometida al parámetro constitucional de motivación y aplicación de las normas; o, por el contrario, implican una labor de valoración probatoria en relación con el contenido del Derecho extranjero, sometida al parámetro constitucional sobre motivación de los hechos, resulta polémica para la doctrina que ha llegado a considerar que la prueba del Derecho extranjero es un </w:t>
      </w:r>
      <w:r w:rsidRPr="0033382B">
        <w:rPr>
          <w:i/>
        </w:rPr>
        <w:t>tertium genus</w:t>
      </w:r>
      <w:r>
        <w:t xml:space="preserve"> entre una eventual naturaleza fáctica y otra normativa, y no está todavía resuelta en la jurisprudencia constitucional. Es cierto que el Tribunal ha establecido que en este tipo de supuestos de extradición los órganos judiciales españoles e incluso el propio Tribunal Constitucional no pueden sustituir a los órganos de interpretación de los países de referencia. En concreto, este Tribunal ha afirmado que “como es obvio, ni los órganos judiciales de la extradición, ni este Tribunal Constitucional, pueden suplir en este caso al Tribunal Constitucional de la República del Perú en la interpretación de la legislación penal peruana, que no cabe tildar, a la vista de los textos legales concernidos, de irrazonada o arbitraria” (STC 82/2006, de 13 de marzo, FJ 9).</w:t>
      </w:r>
    </w:p>
    <w:p w:rsidR="0033382B" w:rsidRDefault="0033382B" w:rsidP="0033382B">
      <w:pPr>
        <w:pStyle w:val="TextoNormal"/>
      </w:pPr>
    </w:p>
    <w:p w:rsidR="0033382B" w:rsidRDefault="0033382B" w:rsidP="0033382B">
      <w:pPr>
        <w:pStyle w:val="TextoNormal"/>
      </w:pPr>
      <w:r>
        <w:t>Ahora bien, ese pronunciamiento no establece una doctrina constitucional indubitada respecto de este particular, por lo que esta demanda daría la oportunidad a este Tribunal, dentro de su cometido más estricto, de fijar una regla constitucional de conducta para los órganos judiciales en relación con los supuestos en que exista una controversia interpretativa respecto del ámbito de aplicación de una norma penal extranjera que afecte al cumplimiento de la exigencia de doble incriminación. Especialmente importante sería aclarar por el alcance general que tiene para la globalidad de los procedimientos de extradición (i) si la determinación del ámbito de aplicación de una norma penal extranjera es una labor de interpretación normativa o de valoración probatoria; (ii) si, asumiendo que sea una cuestión de interpretación normativa, el parámetro aplicable es el más estricto de la legalidad penal (art. 25.1 CE) o el ordinario del art. 24.1 CE; (iii) en cualquiera de los dos casos y tomando en consideración la necesidad, como sucede en este supuesto, en que deban interpretarse normas de países por completo ajenos a nuestra cultura, si los parámetros de previsibilidad o razonabilidad lo deben ser en relación con las reglas interpretativas imperantes en España, en el país solicitante o conforme a reglas mínimas propias de la comunidad jurídica internacional; y (iv) si, asumiendo que sea una cuestión de valoración probatoria, la carga probatoria corresponde a las autoridades del país solicitante, a las defensa o cabe también ser iniciada de oficio por el órgano judicial.</w:t>
      </w:r>
    </w:p>
    <w:p w:rsidR="0033382B" w:rsidRDefault="0033382B" w:rsidP="0033382B">
      <w:pPr>
        <w:pStyle w:val="TextoNormal"/>
      </w:pPr>
    </w:p>
    <w:p w:rsidR="0033382B" w:rsidRDefault="0033382B" w:rsidP="0033382B">
      <w:pPr>
        <w:pStyle w:val="TextoNormal"/>
      </w:pPr>
      <w:r>
        <w:t>Por tanto, considero que el recurso de súplica formulado por el Ministerio Fiscal debía haber sido estimado por no ser manifiesta la inexistencia de las lesiones constitucionales aducidas en la demanda de amparo y, además, debía haberse acordado su admisión a trámite habida cuenta de que se cumplen el resto de los requisitos necesarios, singularmente, su especial trascendencia constitucional.</w:t>
      </w:r>
    </w:p>
    <w:p w:rsidR="0033382B" w:rsidRDefault="0033382B" w:rsidP="0033382B">
      <w:pPr>
        <w:pStyle w:val="TextoNormal"/>
      </w:pPr>
    </w:p>
    <w:p w:rsidR="0033382B" w:rsidRDefault="0033382B" w:rsidP="0033382B">
      <w:pPr>
        <w:pStyle w:val="TextoNormal"/>
      </w:pPr>
      <w:r>
        <w:t>Madrid, a veinticuatro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40" w:name="AUTO_2016_113"/>
      <w:r>
        <w:t>AUTO 113/2016, de 24 de mayo de 2016</w:t>
      </w:r>
    </w:p>
    <w:bookmarkEnd w:id="240"/>
    <w:p w:rsidR="0033382B" w:rsidRDefault="0033382B" w:rsidP="0033382B">
      <w:pPr>
        <w:pStyle w:val="TtuloResolucin"/>
      </w:pPr>
      <w:r>
        <w:t>Pleno</w:t>
      </w:r>
    </w:p>
    <w:p w:rsidR="0033382B" w:rsidRDefault="0033382B" w:rsidP="0033382B">
      <w:pPr>
        <w:pStyle w:val="TextoNormalCentrado"/>
      </w:pPr>
      <w:r>
        <w:t>ECLI:ES:TC:2016:113A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826-2016, planteada por el Juzgado de lo Contencioso-Administrativo núm. 1 de Santiago de Compostela en relación con la disposición adicional vigesimoprimera de la Ley 11/2013, de 26 de diciembre, de presupuestos generales de la Comunidad Autónoma de Galicia para el año 2014.</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Con fecha 19 de febrero de 2016 tuvo entrada en el Registro General del Tribunal Constitucional escrito del Juzgado de lo Contencioso-Administrativo núm. 1 de Santiago de Compostela, remitiendo testimonio del Auto, de 3 de febrero de 2016, por el que se acuerda plantear cuestión de inconstitucionalidad en relación con la disposición adicional vigesimoprimera de la Ley 11/2013, de 26 de diciembre, de presupuestos generales de la Comunidad Autónoma de Galicia para 2014. Se aporta asimismo testimonio del procedimiento ordinario tramitado con el núm. 202-2015.</w:t>
      </w:r>
    </w:p>
    <w:p w:rsidR="0033382B" w:rsidRDefault="0033382B" w:rsidP="0033382B">
      <w:pPr>
        <w:pStyle w:val="TextoNormal"/>
      </w:pPr>
    </w:p>
    <w:p w:rsidR="0033382B" w:rsidRDefault="0033382B" w:rsidP="0033382B">
      <w:pPr>
        <w:pStyle w:val="TextoNormal"/>
      </w:pPr>
      <w:r>
        <w:t>La disposición cuestionada es del siguiente tenor:</w:t>
      </w:r>
    </w:p>
    <w:p w:rsidR="0033382B" w:rsidRDefault="0033382B" w:rsidP="0033382B">
      <w:pPr>
        <w:pStyle w:val="TextoNormal"/>
      </w:pPr>
    </w:p>
    <w:p w:rsidR="0033382B" w:rsidRDefault="0033382B" w:rsidP="0033382B">
      <w:pPr>
        <w:pStyle w:val="TextoNormal"/>
      </w:pPr>
      <w:r>
        <w:t>“Disposición adicional vigésimo primera. Garantía de sostenibilidad financiera del sistema promovido por la Administración autonómica para la gestión institucional de los residuos domésticos.</w:t>
      </w:r>
    </w:p>
    <w:p w:rsidR="0033382B" w:rsidRDefault="0033382B" w:rsidP="0033382B">
      <w:pPr>
        <w:pStyle w:val="TextoNormal"/>
      </w:pPr>
    </w:p>
    <w:p w:rsidR="0033382B" w:rsidRDefault="0033382B" w:rsidP="0033382B">
      <w:pPr>
        <w:pStyle w:val="TextoNormal"/>
      </w:pPr>
      <w:r>
        <w:t>Uno. El sistema promovido por la Administración autonómica para la gestión institucional de los residuos domésticos, gestionado de acuerdo con lo dispuesto en la Ley 10/2008, de 3 de noviembre, de residuos de Galicia, por la sociedad del sector público autonómico Sociedad Gallega del Medio Ambiente, se configura como un modo de gestión colectiva de los residuos municipales cuya finalidad de interés general es la de conseguir en cooperación con las entidades locales adheridas al sistema el mejor resultado ambiental global en el tratamiento de los residuos domésticos procurando la máxima eficiencia en el uso de los recursos públicos.</w:t>
      </w:r>
    </w:p>
    <w:p w:rsidR="0033382B" w:rsidRDefault="0033382B" w:rsidP="0033382B">
      <w:pPr>
        <w:pStyle w:val="TextoNormal"/>
      </w:pPr>
    </w:p>
    <w:p w:rsidR="0033382B" w:rsidRDefault="0033382B" w:rsidP="0033382B">
      <w:pPr>
        <w:pStyle w:val="TextoNormal"/>
      </w:pPr>
      <w:r>
        <w:t>El sistema deberá asegurar, mediante la valorización energética y material de los residuos domésticos y la eliminación en vertedero controlado de la fracción de dichos residuos para los cuales no quepa ningún otro tratamiento contemplado por la legislación vigente, que la gestión integrada de los residuos se efectúa garantizando el cumplimiento de todos los objetivos establecidos en los correspondientes planes de residuos, con unos niveles máximos de protección ambiental, buscando un coste homogéneo y el más reducido posible para todas las entidades locales adheridas a este sistema.</w:t>
      </w:r>
    </w:p>
    <w:p w:rsidR="0033382B" w:rsidRDefault="0033382B" w:rsidP="0033382B">
      <w:pPr>
        <w:pStyle w:val="TextoNormal"/>
      </w:pPr>
    </w:p>
    <w:p w:rsidR="0033382B" w:rsidRDefault="0033382B" w:rsidP="0033382B">
      <w:pPr>
        <w:pStyle w:val="TextoNormal"/>
      </w:pPr>
      <w:r>
        <w:t>Dos. A los efectos indicados en el apartado anterior y para garantizar la sostenibilidad financiera del sistema se fija un canon unitario de tratamiento por tonelada, expresado en el artículo 29 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0033382B" w:rsidRDefault="0033382B" w:rsidP="0033382B">
      <w:pPr>
        <w:pStyle w:val="TextoNormal"/>
      </w:pPr>
    </w:p>
    <w:p w:rsidR="0033382B" w:rsidRDefault="0033382B" w:rsidP="0033382B">
      <w:pPr>
        <w:pStyle w:val="TextoNormal"/>
      </w:pPr>
      <w:r>
        <w:t>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0033382B" w:rsidRDefault="0033382B" w:rsidP="0033382B">
      <w:pPr>
        <w:pStyle w:val="TextoNormal"/>
      </w:pPr>
    </w:p>
    <w:p w:rsidR="0033382B" w:rsidRDefault="0033382B" w:rsidP="0033382B">
      <w:pPr>
        <w:pStyle w:val="TextoNormal"/>
      </w:pPr>
      <w:r>
        <w:t>Tres. Cuando por circunstancias extraordinarias de alteración de la sostenibilidad económica del sistema fuera necesario revisar la cuantía del canon unitario por tonelada de residuos domésticos para su tratamiento en el marco del sistema, el mismo será establecido por la consejería competente en materia de residuos previo informe favorable de la Consejería de Hacienda, de tal forma que no exceda de los costes totales que genere el tratamiento de los residuos domésticos en el marco del sistema.</w:t>
      </w:r>
    </w:p>
    <w:p w:rsidR="0033382B" w:rsidRDefault="0033382B" w:rsidP="0033382B">
      <w:pPr>
        <w:pStyle w:val="TextoNormal"/>
      </w:pPr>
    </w:p>
    <w:p w:rsidR="0033382B" w:rsidRDefault="0033382B" w:rsidP="0033382B">
      <w:pPr>
        <w:pStyle w:val="TextoNormal"/>
      </w:pPr>
      <w:r>
        <w:t>A estos efectos, por el órgano de administración de la Sociedad Gallega del Medio Ambiente, S.A., tras los estudios pertinentes en que se justifiquen los costes asociados a las operaciones de tratamiento y el desarrollo de una fase de consultas con la entidad asociativa más representativa de las entidades locales a fin de que pueda efectuar las alegaciones oportunas en la defensa de los intereses locales, se procederá a la aprobación de una propuesta de canon unitario y sus mecanismos objetivos de revisión, que se remitirá para su aprobación a la consejería. La aprobación de la cuantía del canon unitario por tonelada así como su revisión se publicarán en el ‘Diario Oficial de Galicia’.</w:t>
      </w:r>
    </w:p>
    <w:p w:rsidR="0033382B" w:rsidRDefault="0033382B" w:rsidP="0033382B">
      <w:pPr>
        <w:pStyle w:val="TextoNormal"/>
      </w:pPr>
    </w:p>
    <w:p w:rsidR="0033382B" w:rsidRDefault="0033382B" w:rsidP="0033382B">
      <w:pPr>
        <w:pStyle w:val="TextoNormal"/>
      </w:pPr>
      <w:r>
        <w:t>Cuatro. La gestión, liquidación y cobro del canon unitario corresponderá a la Sociedad Gallega de Medio Ambiente, S.A., que deberá expedir mensualmente las facturas correspondientes a las entidades locales, y estas deberán abonarlas en los términos previstos en la Ley 3/2004, de 29 de diciembre, por la que se establecen medidas de lucha contra la morosidad en las operaciones comerciales.</w:t>
      </w:r>
    </w:p>
    <w:p w:rsidR="0033382B" w:rsidRDefault="0033382B" w:rsidP="0033382B">
      <w:pPr>
        <w:pStyle w:val="TextoNormal"/>
      </w:pPr>
    </w:p>
    <w:p w:rsidR="0033382B" w:rsidRDefault="0033382B" w:rsidP="0033382B">
      <w:pPr>
        <w:pStyle w:val="TextoNormal"/>
      </w:pPr>
      <w:r>
        <w:t>Cinco. La adhesión al sistema de gestión institucional de residuos domésticos será voluntaria para las entidades locales en el marco de lo dispuesto en la legislación de residuos y en el Plan de gestión de residuos urbanos, y se efectuará mediante negocio jurídico administrativo, que será formalizado entre la entidad local y la Sociedad Gallega de Medio Ambiente, S.A., como gestora del sistema. La consejería competente en materia de residuos, para asegurar el funcionamiento del sistema, previa propuesta de la sociedad pública, fijará las condiciones de adhesión de las entidades locales al sistema y aprobará el modelo para la formalización de la adhesión. Después de haberse publicado las condiciones para la adhesión en el Diario Oficial de Galicia, los negocios jurídicos que en este momento estuvieran suscritos por las entidades locales con la Sociedad Gallega de Medio Ambiente, S.A., para la gestión de los residuos urbanos municipales se entenderán modificados y adaptados a las condiciones aprobadas una vez que haya transcurrido el plazo de dos meses desde la indicada publicación, salvo que dentro de dicho plazo las entidades locales remitieran el acuerdo adoptado por el órgano competente de la entidad local por el cual se desiste del negocio jurídico suscrito.</w:t>
      </w:r>
    </w:p>
    <w:p w:rsidR="0033382B" w:rsidRDefault="0033382B" w:rsidP="0033382B">
      <w:pPr>
        <w:pStyle w:val="TextoNormal"/>
      </w:pPr>
    </w:p>
    <w:p w:rsidR="0033382B" w:rsidRDefault="0033382B" w:rsidP="0033382B">
      <w:pPr>
        <w:pStyle w:val="TextoNormal"/>
      </w:pPr>
      <w:r>
        <w:t>Seis. En garantía de la sostenibilidad financiera del sistema, entre las condiciones para la adhesión figurará la de un tiempo mínimo de adhesión que permita realizar las previsiones oportunas en cuanto al volumen de residuos a tratar y la de que en caso de impago de las cantidades que corresponda abonar a las entidades locales en concepto de canon unitario estas tendrán la consideración de vencidas, líquidas y exigibles a efectos de su abono con cargo a las cantidades que correspondan a cada municipio como participación en el Fondo de Cooperación Local, a instancia de la sociedad pública, mediante acuerdo de retención dictado por el órgano encargado de la gestión del Fondo de Cooperación Local de acuerdo con lo establecido en la regulación del mismo. Las cantidades retenidas serán objeto de entrega a la sociedad pública.</w:t>
      </w:r>
    </w:p>
    <w:p w:rsidR="0033382B" w:rsidRDefault="0033382B" w:rsidP="0033382B">
      <w:pPr>
        <w:pStyle w:val="TextoNormal"/>
      </w:pPr>
    </w:p>
    <w:p w:rsidR="0033382B" w:rsidRDefault="0033382B" w:rsidP="0033382B">
      <w:pPr>
        <w:pStyle w:val="TextoNormal"/>
      </w:pPr>
      <w:r>
        <w:t>Cuando el obligado al pago fuese una mancomunidad de municipios los ayuntamientos integrantes serán responsables solidarios, en la parte que corresponda según su porcentaje de participación en la correspondiente mancomunidad, de las deudas generadas al gestor institucional del sistema por el impago del canon unitario.”</w:t>
      </w:r>
    </w:p>
    <w:p w:rsidR="0033382B" w:rsidRDefault="0033382B" w:rsidP="0033382B">
      <w:pPr>
        <w:pStyle w:val="TextoNormal"/>
      </w:pPr>
    </w:p>
    <w:p w:rsidR="0033382B" w:rsidRDefault="0033382B" w:rsidP="0033382B">
      <w:pPr>
        <w:pStyle w:val="TextoNormal"/>
      </w:pPr>
      <w:r w:rsidRPr="0033382B">
        <w:rPr>
          <w:rStyle w:val="NumeroAFNegritaCaracter"/>
        </w:rPr>
        <w:t>2</w:t>
      </w:r>
      <w:r>
        <w:t>. Los hechos que pueden ser relevantes en este proceso constitucional son los siguientes:</w:t>
      </w:r>
    </w:p>
    <w:p w:rsidR="0033382B" w:rsidRDefault="0033382B" w:rsidP="0033382B">
      <w:pPr>
        <w:pStyle w:val="TextoNormal"/>
      </w:pPr>
    </w:p>
    <w:p w:rsidR="0033382B" w:rsidRDefault="0033382B" w:rsidP="0033382B">
      <w:pPr>
        <w:pStyle w:val="TextoNormal"/>
      </w:pPr>
      <w:r>
        <w:t>a) La Sociedade Galega do Medio Ambiente, S.A. (Sogama), suscribió el 18 de mayo de 1999 un contrato con el Ayuntamiento de Teo para la gestión de los residuos municipales.</w:t>
      </w:r>
    </w:p>
    <w:p w:rsidR="0033382B" w:rsidRDefault="0033382B" w:rsidP="0033382B">
      <w:pPr>
        <w:pStyle w:val="TextoNormal"/>
      </w:pPr>
    </w:p>
    <w:p w:rsidR="0033382B" w:rsidRDefault="0033382B" w:rsidP="0033382B">
      <w:pPr>
        <w:pStyle w:val="TextoNormal"/>
      </w:pPr>
      <w:r>
        <w:t>b) En aplicación del canon unitario de tratamiento por tonelada establecido para el año 2014 por el apartado 2 de la disposición cuestionada (74,64 €/t más el impuesto sobre el valor añadido), Sogama remitió al Ayuntamiento de Teo facturas en concepto de tratamiento de los residuos municipales correspondientes a los meses de marzo a diciembre de 2014, que fueron abonadas parcialmente. El 24 de marzo de 2015, Sogama reclamó al Ayuntamiento de Teo el abono de 275.558,45 €, por la parte no percibida en el antedicho concepto.</w:t>
      </w:r>
    </w:p>
    <w:p w:rsidR="0033382B" w:rsidRDefault="0033382B" w:rsidP="0033382B">
      <w:pPr>
        <w:pStyle w:val="TextoNormal"/>
      </w:pPr>
    </w:p>
    <w:p w:rsidR="0033382B" w:rsidRDefault="0033382B" w:rsidP="0033382B">
      <w:pPr>
        <w:pStyle w:val="TextoNormal"/>
      </w:pPr>
      <w:r>
        <w:t>c) Ante la resolución presunta desestimatoria, Sogama interpuso recurso contencioso-administrativo y, en la contestación a la demanda, el Ayuntamiento de Teo solicitó el planteamiento de cuestión de inconstitucionalidad en relación con la disposición adicional vigesimoprimera de la Ley de Galicia 11/2013.</w:t>
      </w:r>
    </w:p>
    <w:p w:rsidR="0033382B" w:rsidRDefault="0033382B" w:rsidP="0033382B">
      <w:pPr>
        <w:pStyle w:val="TextoNormal"/>
      </w:pPr>
    </w:p>
    <w:p w:rsidR="0033382B" w:rsidRDefault="0033382B" w:rsidP="0033382B">
      <w:pPr>
        <w:pStyle w:val="TextoNormal"/>
      </w:pPr>
      <w:r>
        <w:t>d) Finalizada la tramitación del recurso, mediante providencia de 28 de diciembre de 2015 el órgano promotor acordó, al amparo del art. 35.2 de la Ley Orgánica del Tribunal Constitucional (LOTC), otorgar a las partes y al Ministerio Fiscal un plazo común de diez días para alegar en relación con el planteamiento de cuestión de inconstitucionalidad “frente al apartado vigésimo primero de la Ley 11/2013, de 26 de diciembre, de presupuestos de la Comunidad Autónoma de Galicia para el año 2014, fundada en la posible vulneración del artículo 134.2 de la Constitución, en cuanto que allí se regulan ingresos de derecho privado de una entidad instrumental que no forma parte del sector público autonómico, según la interpretación que a las sociedades mercantiles le da la STC 8/2015, de 22 de enero, en relación con los artículos 102, 103 y 106 de la Ley 16/2010, de 17 de diciembre, de organización y funcionamiento de la Administración general y del sector público autonómico de Galicia”.</w:t>
      </w:r>
    </w:p>
    <w:p w:rsidR="0033382B" w:rsidRDefault="0033382B" w:rsidP="0033382B">
      <w:pPr>
        <w:pStyle w:val="TextoNormal"/>
      </w:pPr>
    </w:p>
    <w:p w:rsidR="0033382B" w:rsidRDefault="0033382B" w:rsidP="0033382B">
      <w:pPr>
        <w:pStyle w:val="TextoNormal"/>
      </w:pPr>
      <w:r>
        <w:t>e) En la evacuación de ese trámite, Sogama se manifestó contraria al planteamiento de la cuestión de inconstitucionalidad, mientras que el Ayuntamiento de Teo ratificó su posición favorable a dicho planteamiento. Por su parte, el Ministerio Fiscal apreció la existencia de dudas acerca del apartado 2 de la disposición adicional vigesimoprimera de la Ley de Galicia 11/2013, que justificarían el planteamiento de la cuestión de inconstitucionalidad.</w:t>
      </w:r>
    </w:p>
    <w:p w:rsidR="0033382B" w:rsidRDefault="0033382B" w:rsidP="0033382B">
      <w:pPr>
        <w:pStyle w:val="TextoNormal"/>
      </w:pPr>
    </w:p>
    <w:p w:rsidR="0033382B" w:rsidRDefault="0033382B" w:rsidP="0033382B">
      <w:pPr>
        <w:pStyle w:val="TextoNormal"/>
      </w:pPr>
      <w:r>
        <w:t>f) Mediante Auto de 3 de febrero de 2016, el órgano judicial acordó elevar la cuestión de inconstitucionalidad en relación con la disposición adicional vigesimoprimera de la Ley 11/2013, de 26 de diciembre, de presupuestos generales de la Comunidad Autónoma de Galicia para 2014.</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tras resumir los antecedentes de la reclamación, sostiene que la disposición cuestionada vulnera el art. 134.2 CE que, al referirse a los presupuestos generales del Estado (aplicable también a los autonómicos), ordena que en ellos se incluyan “la totalidad de los gastos e ingresos del sector público estatal”.</w:t>
      </w:r>
    </w:p>
    <w:p w:rsidR="0033382B" w:rsidRDefault="0033382B" w:rsidP="0033382B">
      <w:pPr>
        <w:pStyle w:val="TextoNormal"/>
      </w:pPr>
    </w:p>
    <w:p w:rsidR="0033382B" w:rsidRDefault="0033382B" w:rsidP="0033382B">
      <w:pPr>
        <w:pStyle w:val="TextoNormal"/>
      </w:pPr>
      <w:r>
        <w:t>Con referencia a la doctrina sobre sociedades mercantiles recogida en la STC 8/2015, de 22 de enero, el órgano promotor expone que Sogama tiene naturaleza de sociedad mercantil pública de la Administración autonómica de Galicia, y se sujeta al ordenamiento jurídico privado, así como al presupuestario autonómico, de conformidad con los arts. 102, 103 y 106 de la Ley 16/2010, de 17 de diciembre, de organización y funcionamiento de la Administración general y del sector público autonómico de Galicia. Como sociedad instrumental del sector público autonómico gallego, la totalidad de sus gastos e ingresos se tienen que incluir en las leyes de presupuestos autonómicos anuales.</w:t>
      </w:r>
    </w:p>
    <w:p w:rsidR="0033382B" w:rsidRDefault="0033382B" w:rsidP="0033382B">
      <w:pPr>
        <w:pStyle w:val="TextoNormal"/>
      </w:pPr>
    </w:p>
    <w:p w:rsidR="0033382B" w:rsidRDefault="0033382B" w:rsidP="0033382B">
      <w:pPr>
        <w:pStyle w:val="TextoNormal"/>
      </w:pPr>
      <w:r>
        <w:t xml:space="preserve">Por esta razón, aunque el canon fijado en la disposición cuestionada sea un ingreso de derecho privado, nada impide que, </w:t>
      </w:r>
      <w:r w:rsidRPr="0033382B">
        <w:rPr>
          <w:i/>
        </w:rPr>
        <w:t>ex</w:t>
      </w:r>
      <w:r>
        <w:t xml:space="preserve"> art. 134.2 CE, forme parte de la totalidad de los ingresos incluidos en el presupuesto de explotación y capital, con el detalle de las estimaciones de ingresos a liquidar.</w:t>
      </w:r>
    </w:p>
    <w:p w:rsidR="0033382B" w:rsidRDefault="0033382B" w:rsidP="0033382B">
      <w:pPr>
        <w:pStyle w:val="TextoNormal"/>
      </w:pPr>
    </w:p>
    <w:p w:rsidR="0033382B" w:rsidRDefault="0033382B" w:rsidP="0033382B">
      <w:pPr>
        <w:pStyle w:val="TextoNormal"/>
      </w:pPr>
      <w:r>
        <w:t>Ahora bien, para el órgano judicial ello no faculta al legislador gallego para fijar en la ley de presupuestos el importe del canon, como tampoco puede hacerlo respecto del importe singular de cada uno de los ingresos de derecho público, salvo que esté facultado por una ley especial. De ahí deriva para el Auto de planteamiento la vulneración del art. 134.2 CE.</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15 de marzo de 2016, la Sección Cuarta del Tribunal Constitucional acordó oír al Fiscal General del Estado para que, en el plazo de diez días, y a los efectos que determina el art. 37.1 LOTC, alegase lo que considerase conveniente “acerca de la admisibilidad de la presente cuestión de inconstitucionalidad,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Evacuando el trámite conferido mediante escrito registrado el 22 de abril de 2016, la Fiscal General del Estado considera que procede la inadmisión de esta cuestión de inconstitucionalidad, por ser notoriamente infundada, en atención a las razones que seguidamente se resumen.</w:t>
      </w:r>
    </w:p>
    <w:p w:rsidR="0033382B" w:rsidRDefault="0033382B" w:rsidP="0033382B">
      <w:pPr>
        <w:pStyle w:val="TextoNormal"/>
      </w:pPr>
    </w:p>
    <w:p w:rsidR="0033382B" w:rsidRDefault="0033382B" w:rsidP="0033382B">
      <w:pPr>
        <w:pStyle w:val="TextoNormal"/>
      </w:pPr>
      <w:r>
        <w:t xml:space="preserve">De acuerdo con la legislación presupuestaria de la Comunidad Autónoma [arts. 46.1 c), 48, 1 d) y 2 d), y 82 </w:t>
      </w:r>
      <w:r w:rsidRPr="0033382B">
        <w:rPr>
          <w:i/>
        </w:rPr>
        <w:t>bis</w:t>
      </w:r>
      <w:r>
        <w:t xml:space="preserve"> del texto refundido de la Ley de régimen financiero y presupuestario de Galicia, aprobado por Decreto Legislativo 1/1999, de 7 de octubre], una de las partidas presupuestarias que debe incluirse en el presupuesto autonómico anual es la referida a la explotación y capital de sociedades como Sogama, participada en un 51 por 100 con capital de la Comunidad Autónoma. Ello haría innecesaria cualquier otra argumentación sobre la conformidad de la disposición cuestionada con el art. 134.2 CE, circunstancia que no parece ser la discutida por el órgano judicial. No se advierte en el razonamiento de inconstitucionalidad del órgano judicial cuál es la verdadera causa que exigiría una ley especial para que el Parlamento Gallego pueda aprobar el canon cuestionado, salvo el razonamiento de que la sociedad pública se deba regir por el ordenamiento jurídico privado, lo que afectaría al modo de fijación del canon por las partes del contrato.</w:t>
      </w:r>
    </w:p>
    <w:p w:rsidR="0033382B" w:rsidRDefault="0033382B" w:rsidP="0033382B">
      <w:pPr>
        <w:pStyle w:val="TextoNormal"/>
      </w:pPr>
    </w:p>
    <w:p w:rsidR="0033382B" w:rsidRDefault="0033382B" w:rsidP="0033382B">
      <w:pPr>
        <w:pStyle w:val="TextoNormal"/>
      </w:pPr>
      <w:r>
        <w:t>Uno de los conceptos que debe definir la sociedad mercantil pública es su financiación anual, y uno de los elementos básicos para su explotación es el precio que cobra por sus servicios a los ayuntamientos, esto es, el canon aplicable al sistema de gestión institucional de residuos domésticos de la Comunidad Autónoma, pues, como se ha dicho, los presupuestos de explotación y capital se integran en los presupuestos generales de la Comunidad Autónoma. En consecuencia, la aprobación del canon por el Parlamento de Galicia no es sino una consecuencia de la aprobación del Presupuesto de la Comunidad Autónoma de Galicia.</w:t>
      </w:r>
    </w:p>
    <w:p w:rsidR="0033382B" w:rsidRDefault="0033382B" w:rsidP="0033382B">
      <w:pPr>
        <w:pStyle w:val="TextoNormal"/>
      </w:pPr>
    </w:p>
    <w:p w:rsidR="0033382B" w:rsidRDefault="0033382B" w:rsidP="0033382B">
      <w:pPr>
        <w:pStyle w:val="TextoNormal"/>
      </w:pPr>
      <w:r>
        <w:t>El legislador gallego, en el ejercicio de su potestad legislativa, goza, dentro de los límites establecidos en la Constitución, de un amplio margen de libertad que deriva de su posición constitucional y, en última instancia, de su específica legitimidad democrática (ATC 395/2004, de 19 de octubre), sin que pueda decirse que la fijación del importe del canon para el tratamiento de los residuos de la Comunidad Autónoma de Galicia por la sociedad Sogama sea un contenido ajeno al presupuestario, dada la repercusión económica que sobre las cuentas de la Comunidad Autónoma supone que la gestión del servicio público se haga con un necesario equilibrio presupuestario de la sociedad (STC 38/2014, de 11 de marzo, FJ 5). El Parlamento de Galicia, al aprobar la cuantía del canon unitario para el tratamiento de los residuos sólidos de la Comunidad Autónoma de Galicia, se ha limitado a legislar sobre una materia de su entera competencia, como es la de los presupuestos generales de la Comunidad Autónoma, una de cuyas partidas presupuestarias es el presupuesto de las sociedades mercantiles que integran el sector público de la Comunidad Autónoma. La aprobación del canon unitario por tonelada para el tratamiento de residuos sólidos generados por los municipios de la Comunidad Autónoma gallega no incurre en ninguna extralimitación de sus potestades legislativas, pues lo que ha hecho ha sido proceder a aprobar los presupuestos de la sociedad Sogama de “acuerdo con el plan de viabilidad presentado por la sociedad pública y en función de los costes totales que genera el tratamiento de los residuos domésticos en el marco del sistema”, en términos de la disposición adicional vigesimoprimera que se cuestiona por el órgano judicial. Es una decisión que corresponde al ámbito de libre disposición del legislador, y que no requiere de una ley especial que le habilite a tal efecto.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el Juzgado de lo Contencioso-Administrativo núm. 1 de Santiago de Compostela en relación con la disposición adicional vigesimoprimera de la Ley 11/2013, de 26 de diciembre, de presupuestos generales de la Comunidad Autónoma de Galicia para 2014.</w:t>
      </w:r>
    </w:p>
    <w:p w:rsidR="0033382B" w:rsidRDefault="0033382B" w:rsidP="0033382B">
      <w:pPr>
        <w:pStyle w:val="TextoNormal"/>
      </w:pPr>
    </w:p>
    <w:p w:rsidR="0033382B" w:rsidRDefault="0033382B" w:rsidP="0033382B">
      <w:pPr>
        <w:pStyle w:val="TextoNormal"/>
      </w:pPr>
      <w:r>
        <w:t>Como se ha expuesto en los antecedentes, el Juzgado promotor de la cuestión considera que esta disposición puede ser contraria al art. 134.2 CE, en tanto que la Fiscal General del Estado ha interesado la inadmisión de la cuestión de inconstitucionalidad planteada, al considerarla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2</w:t>
      </w:r>
      <w:r>
        <w:t xml:space="preserve">. Con carácter previo a abordar el fondo de la presente cuestión, es preciso delimitar su objeto. Aunque el órgano judicial plantea esta cuestión de inconstitucionalidad respecto de la disposición adicional vigesimoprimera de la Ley de Galicia 11/2013 en su totalidad, la norma cuestionada solo es aplicable y relevante para el fallo en su apartado 2, que es el que fija el importe del canon unitario de tratamiento de residuos y, dentro del mismo, de su párrafo segundo, que es el que afecta a los contratos ya celebrados y el que, por tanto, resulta determinante para resolver la controversia planteada en el proceso </w:t>
      </w:r>
      <w:r w:rsidRPr="0033382B">
        <w:rPr>
          <w:i/>
        </w:rPr>
        <w:t>a quo</w:t>
      </w:r>
      <w:r>
        <w:t>, en el que lo que se plantea es, precisamente, si esta norma determina la modificación del precio establecido en el contrato celebrado entre Sogama, S.A., y el Ayuntamiento demandado para el tratamiento de los residuos urbanos del municipio.</w:t>
      </w:r>
    </w:p>
    <w:p w:rsidR="0033382B" w:rsidRDefault="0033382B" w:rsidP="0033382B">
      <w:pPr>
        <w:pStyle w:val="TextoNormal"/>
      </w:pPr>
    </w:p>
    <w:p w:rsidR="0033382B" w:rsidRDefault="0033382B" w:rsidP="0033382B">
      <w:pPr>
        <w:pStyle w:val="TextoNormal"/>
      </w:pPr>
      <w:r w:rsidRPr="0033382B">
        <w:rPr>
          <w:rStyle w:val="NumeroAFNegritaCaracter"/>
        </w:rPr>
        <w:t>3</w:t>
      </w:r>
      <w:r>
        <w:t>. El art. 37.1 de la Ley Orgánica del Tribunal Constitucional (LOTC)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0033382B" w:rsidRDefault="0033382B" w:rsidP="0033382B">
      <w:pPr>
        <w:pStyle w:val="TextoNormal"/>
      </w:pPr>
    </w:p>
    <w:p w:rsidR="0033382B" w:rsidRDefault="0033382B" w:rsidP="0033382B">
      <w:pPr>
        <w:pStyle w:val="TextoNormal"/>
      </w:pPr>
      <w:r>
        <w:t>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y 112/2015, de 23 de junio, FJ 2).</w:t>
      </w:r>
    </w:p>
    <w:p w:rsidR="0033382B" w:rsidRDefault="0033382B" w:rsidP="0033382B">
      <w:pPr>
        <w:pStyle w:val="TextoNormal"/>
      </w:pPr>
    </w:p>
    <w:p w:rsidR="0033382B" w:rsidRDefault="0033382B" w:rsidP="0033382B">
      <w:pPr>
        <w:pStyle w:val="TextoNormal"/>
      </w:pPr>
      <w:r w:rsidRPr="0033382B">
        <w:rPr>
          <w:rStyle w:val="NumeroAFNegritaCaracter"/>
        </w:rPr>
        <w:t>4</w:t>
      </w:r>
      <w:r>
        <w:t>. Centrada la duda en la vulneración del art. 134.2 CE, puede apreciarse ya en este trámite liminar que la cuestión planteada es notoriamente infundada, por las razones que quedaron expuestas en el ATC 84/2016, de 26 de abril, FJ 7, y que se dan aquí por reproducidas.</w:t>
      </w:r>
    </w:p>
    <w:p w:rsidR="0033382B" w:rsidRDefault="0033382B" w:rsidP="0033382B">
      <w:pPr>
        <w:pStyle w:val="TextoNormal"/>
      </w:pPr>
    </w:p>
    <w:p w:rsidR="0033382B" w:rsidRDefault="0033382B" w:rsidP="0033382B">
      <w:pPr>
        <w:pStyle w:val="TextoNormal"/>
      </w:pPr>
      <w:r>
        <w:t xml:space="preserve">Cabe añadir que, en este proceso, el propio órgano judicial admite que, aunque el canon fijado en la disposición cuestionada sea un ingreso de derecho privado, nada impide que, </w:t>
      </w:r>
      <w:r w:rsidRPr="0033382B">
        <w:rPr>
          <w:i/>
        </w:rPr>
        <w:t>ex</w:t>
      </w:r>
      <w:r>
        <w:t xml:space="preserve"> art. 134.2 CE, forme parte de la totalidad de los ingresos incluidos en el presupuesto de explotación y capital, con el detalle de las estimaciones de ingresos a liquidar. Ahora bien, como advierte la Fiscal General del Estado, no se advierte en el razonamiento de inconstitucionalidad del órgano judicial cuál es la verdadera causa que exigiría una ley especial, a fin de no incurrir en la vulneración del precepto constitucional en el que el Auto de planteamiento ha centrado la duda de constitucionalidad. Por ello, resulta pertinente recordar la doctrina recogida en la STC 100/2012, de 8 de mayo: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la carga no se atiende, existe una falta de diligencia procesalmente exigible (por todas, STC 90/2009, de 20 de abril, FJ 6). Es por tanto necesario ‘que el razonamiento que cuestiona la constitucionalidad haya de exteriorizarse, proporcionando los elementos que lleven al mismo’ (STC 17/1981, de 1 de junio, FJ 1), de tal manera que ‘las cuestiones sólo pueden considerarse correctamente planteadas en relación con aquellos preceptos cuya vulneración resulte mínimamente fundada’ (SSTC 126/1987, de 16 de julio, FJ 3; y 245/2004, de 16 de diciembre, FJ 3)” (FJ 2).</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veinticuatro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41" w:name="AUTO_2016_114"/>
      <w:r>
        <w:t>AUTO 114/2016, de 26 de mayo de 2016</w:t>
      </w:r>
    </w:p>
    <w:bookmarkEnd w:id="241"/>
    <w:p w:rsidR="0033382B" w:rsidRDefault="0033382B" w:rsidP="0033382B">
      <w:pPr>
        <w:pStyle w:val="TtuloResolucin"/>
      </w:pPr>
      <w:r>
        <w:t>Sección Cuarta</w:t>
      </w:r>
    </w:p>
    <w:p w:rsidR="0033382B" w:rsidRDefault="0033382B" w:rsidP="0033382B">
      <w:pPr>
        <w:pStyle w:val="TextoNormalCentrado"/>
      </w:pPr>
      <w:r>
        <w:t>ECLI:ES:TC:2016:114A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en el recurso de amparo 1920-2015, promovido por don Luis Enrique Lamadriz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presentado en el Registro General de este Tribunal el 6 de abril de 2015, don Luis Enrique Lamadriz Torres, representado por el Procurador de los Tribunales don Luis Fernando Pozas Osset y asistido por el Letrado don Lucas Boloix Torralba, interpuso recurso de amparo contra la Sentencia de la Sección Primera de la Sala de lo Contencioso-Administrativo del Tribunal Superior de Justicia de la Comunidad Valenciana, de 10 de febrero de 2015, dictada en el rollo de apelación núm. 95-2013, que confirmó la dictada por el Juzgado de lo Contencioso-Administrativo núm. 2 de Castellón, de 4 de octubre de 2012, en el procedimiento abreviado núm. 193-2012.</w:t>
      </w:r>
    </w:p>
    <w:p w:rsidR="0033382B" w:rsidRDefault="0033382B" w:rsidP="0033382B">
      <w:pPr>
        <w:pStyle w:val="TextoNormal"/>
      </w:pPr>
    </w:p>
    <w:p w:rsidR="0033382B" w:rsidRDefault="0033382B" w:rsidP="0033382B">
      <w:pPr>
        <w:pStyle w:val="TextoNormal"/>
      </w:pPr>
      <w:r w:rsidRPr="0033382B">
        <w:rPr>
          <w:rStyle w:val="NumeroAFNegritaCaracter"/>
        </w:rPr>
        <w:t>2</w:t>
      </w:r>
      <w:r>
        <w:t>. Sucintamente expuestos, los hechos relevantes para resolver la pretensión suspensiva son los siguientes:</w:t>
      </w:r>
    </w:p>
    <w:p w:rsidR="0033382B" w:rsidRDefault="0033382B" w:rsidP="0033382B">
      <w:pPr>
        <w:pStyle w:val="TextoNormal"/>
      </w:pPr>
    </w:p>
    <w:p w:rsidR="0033382B" w:rsidRDefault="0033382B" w:rsidP="0033382B">
      <w:pPr>
        <w:pStyle w:val="TextoNormal"/>
      </w:pPr>
      <w:r>
        <w:t>Por resolución de 2 de febrero de 2012 se decretó la expulsión del territorio nacional del recurrente, con prohibición de entrada durante cinco años, al amparo de lo dispuesto en el art. 57.2 de la Ley Orgánica 4/2000, de 11 de enero, sobre derechos y libertades de los extranjeros en España y su integración social, tras resultar acreditado que había sido condenado en sentencia firme a un año de prisión. Interpuso recurso contencioso-administrativo, dictándose las Sentencias citadas en el encabezamiento.</w:t>
      </w:r>
    </w:p>
    <w:p w:rsidR="0033382B" w:rsidRDefault="0033382B" w:rsidP="0033382B">
      <w:pPr>
        <w:pStyle w:val="TextoNormal"/>
      </w:pPr>
    </w:p>
    <w:p w:rsidR="0033382B" w:rsidRDefault="0033382B" w:rsidP="0033382B">
      <w:pPr>
        <w:pStyle w:val="TextoNormal"/>
      </w:pPr>
      <w:r>
        <w:t>La queja principal del recurrente es la falta de proporcionalidad y motivación de la decisión administrativa, que no tuvo en cuenta su arraigo en España y sus singulares circunstancias personales. Extiende el reproche a las resoluciones judiciales, con invocación del art. 24.1 CE en su vertiente de derecho a la motivación. Mediante otrosí, en la demanda de amparo y conforme al art. 56.2 de la Ley Orgánica del Tribunal Constitucional (LOTC), solicita la suspensión de las resoluciones impugnadas y, consiguientemente, de la expulsión del territorio nacional.</w:t>
      </w:r>
    </w:p>
    <w:p w:rsidR="0033382B" w:rsidRDefault="0033382B" w:rsidP="0033382B">
      <w:pPr>
        <w:pStyle w:val="TextoNormal"/>
      </w:pPr>
    </w:p>
    <w:p w:rsidR="0033382B" w:rsidRDefault="0033382B" w:rsidP="0033382B">
      <w:pPr>
        <w:pStyle w:val="TextoNormal"/>
      </w:pPr>
      <w:r w:rsidRPr="0033382B">
        <w:rPr>
          <w:rStyle w:val="NumeroAFNegritaCaracter"/>
        </w:rPr>
        <w:t>3</w:t>
      </w:r>
      <w:r>
        <w:t>. Una vez admitida a trámite la demanda de amparo, la Sección Cuarta del Tribunal Constitucional, mediante providencia de 9 de mayo de 2016, acordó la apertura de la presente pieza separada de suspensión y, a tenor del art. 56 LOTC, concedió un plazo común de tres días a la parte recurrente y al Ministerio Fiscal para que alegasen lo que estimaran oportuno.</w:t>
      </w:r>
    </w:p>
    <w:p w:rsidR="0033382B" w:rsidRDefault="0033382B" w:rsidP="0033382B">
      <w:pPr>
        <w:pStyle w:val="TextoNormal"/>
      </w:pPr>
    </w:p>
    <w:p w:rsidR="0033382B" w:rsidRDefault="0033382B" w:rsidP="0033382B">
      <w:pPr>
        <w:pStyle w:val="TextoNormal"/>
      </w:pPr>
      <w:r w:rsidRPr="0033382B">
        <w:rPr>
          <w:rStyle w:val="NumeroAFNegritaCaracter"/>
        </w:rPr>
        <w:t>4</w:t>
      </w:r>
      <w:r>
        <w:t>. El recurrente, mediante escrito que tuvo entrada en este Tribunal el 19 de mayo de 2016, reiteró su petición de suspensión con base en los argumentos ya esgrimidos en la demanda de amparo, señaladamente por la frustración de la finalidad perseguida en el recurso caso de rechazarse la solicitud, pues podría determinar la ejecución de la orden de expulsión con los efectos que acarrea para quien, como él, tiene arraigo en España y viene residiendo en nuestro país desde hace muchos años, careciendo en cambio de arraigo en su país de origen en el que fue víctima en su momento de un desastre natural. Ampara su petición en los elementos indicados y en la jurisprudencia constitucional que cita (AATC 82/1999, de 12 de abril, 356/2008, de 10 de noviembre, o 156/2010, de 15 de noviembre).</w:t>
      </w:r>
    </w:p>
    <w:p w:rsidR="0033382B" w:rsidRDefault="0033382B" w:rsidP="0033382B">
      <w:pPr>
        <w:pStyle w:val="TextoNormal"/>
      </w:pPr>
    </w:p>
    <w:p w:rsidR="0033382B" w:rsidRDefault="0033382B" w:rsidP="0033382B">
      <w:pPr>
        <w:pStyle w:val="TextoNormal"/>
      </w:pPr>
      <w:r w:rsidRPr="0033382B">
        <w:rPr>
          <w:rStyle w:val="NumeroAFNegritaCaracter"/>
        </w:rPr>
        <w:t>5</w:t>
      </w:r>
      <w:r>
        <w:t>. Comparte el mismo criterio el Ministerio Fiscal, según alega en escrito que tuvo entrada en el Tribunal el día 23 de mayo de 2016. A su parecer, con invocación de los mismos Autos a los que alude la parte recurrente, procede la concesión de la suspensión para evitar que la efectividad de las resoluciones judiciales recurridas pueda provocar la salida del territorio nacional del demandante, convirtiendo en ilusoria la eventual reparación sucesiva de la lesión que se aduce.</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facultad de este Tribunal Constitucional de adoptar medidas cautelares en los procesos de amparo, reconocida en el art. 56 de la Ley Orgánica del Tribunal Constitucional,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doctrina que se ha reiterado recientemente, entre tantos otros, por ejemplo, en el ATC 90/2015, de 25 de mayo.</w:t>
      </w:r>
    </w:p>
    <w:p w:rsidR="0033382B" w:rsidRDefault="0033382B" w:rsidP="0033382B">
      <w:pPr>
        <w:pStyle w:val="TextoNormal"/>
      </w:pPr>
    </w:p>
    <w:p w:rsidR="0033382B" w:rsidRDefault="0033382B" w:rsidP="0033382B">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lo cual significa que se ha de apreciar la pérdida de la finalidad del recurso de amparo para que aquélla deba adoptarse. Por ello, la regla general es la improcedencia de la suspensión, salvo en los casos en los que se acredite de forma fehaciente tanto el carácter irreparable del perjuicio para los derechos fundamentales, como la pérdida de la finalidad del amparo en caso de mantenerse la ejecución de la resolución recurrida (por todos, ATC 47/2016, de 29 de febrero, FJ 1).</w:t>
      </w:r>
    </w:p>
    <w:p w:rsidR="0033382B" w:rsidRDefault="0033382B" w:rsidP="0033382B">
      <w:pPr>
        <w:pStyle w:val="TextoNormal"/>
      </w:pPr>
    </w:p>
    <w:p w:rsidR="0033382B" w:rsidRDefault="0033382B" w:rsidP="0033382B">
      <w:pPr>
        <w:pStyle w:val="TextoNormal"/>
      </w:pPr>
      <w:r w:rsidRPr="0033382B">
        <w:rPr>
          <w:rStyle w:val="NumeroAFNegritaCaracter"/>
        </w:rPr>
        <w:t>2</w:t>
      </w:r>
      <w:r>
        <w:t>. En cuanto a la expulsión de extranjeros del territorio nacional, este Tribunal ha señalado con carácter general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como señalan los dos Autos citados en el fundamento jurídico anterior, entre tantos otros.</w:t>
      </w:r>
    </w:p>
    <w:p w:rsidR="0033382B" w:rsidRDefault="0033382B" w:rsidP="0033382B">
      <w:pPr>
        <w:pStyle w:val="TextoNormal"/>
      </w:pPr>
    </w:p>
    <w:p w:rsidR="0033382B" w:rsidRDefault="0033382B" w:rsidP="0033382B">
      <w:pPr>
        <w:pStyle w:val="TextoNormal"/>
      </w:pPr>
      <w:r w:rsidRPr="0033382B">
        <w:rPr>
          <w:rStyle w:val="NumeroAFNegritaCaracter"/>
        </w:rPr>
        <w:t>3</w:t>
      </w:r>
      <w:r>
        <w:t>. En el presente caso, en aplicación de lo expuesto, y conforme también solicita el Ministerio Fiscal, resulta procedente acordar la suspensión de la expulsión del territorio nacional del recurrente, atendiendo al conjunto de circunstancias concurrentes, toda vez que tampoco se aprecia que dicha suspensión pueda originar una perturbación grave de los intereses generales ni de los derechos fundamentales o libertades públicas de un tercero.</w:t>
      </w:r>
    </w:p>
    <w:p w:rsidR="0033382B" w:rsidRDefault="0033382B" w:rsidP="0033382B">
      <w:pPr>
        <w:pStyle w:val="TextoNormal"/>
      </w:pPr>
    </w:p>
    <w:p w:rsidR="0033382B" w:rsidRDefault="0033382B" w:rsidP="0033382B">
      <w:pPr>
        <w:pStyle w:val="TextoNormal"/>
      </w:pPr>
      <w:r w:rsidRPr="0033382B">
        <w:rPr>
          <w:rStyle w:val="NumeroAFNegritaCaracter"/>
        </w:rPr>
        <w:t>4</w:t>
      </w:r>
      <w:r>
        <w:t>. Los razonamientos expuestos, y sin que ello suponga prejuzgar la cuestión de fondo planteada, conducen a conceder la suspensión interesada.</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Conceder la suspensión de las resoluciones judiciales impugnadas y de la resolución que decreta la expulsión del recurrente en amparo.</w:t>
      </w:r>
    </w:p>
    <w:p w:rsidR="0033382B" w:rsidRDefault="0033382B" w:rsidP="0033382B">
      <w:pPr>
        <w:pStyle w:val="TextoNormal"/>
      </w:pPr>
    </w:p>
    <w:p w:rsidR="0033382B" w:rsidRDefault="0033382B" w:rsidP="0033382B">
      <w:pPr>
        <w:pStyle w:val="TextoNormal"/>
      </w:pPr>
      <w:r>
        <w:t>Madrid, a veintiséis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42" w:name="AUTO_2016_115"/>
      <w:r>
        <w:t>AUTO 115/2016, de 26 de mayo de 2016</w:t>
      </w:r>
    </w:p>
    <w:bookmarkEnd w:id="242"/>
    <w:p w:rsidR="0033382B" w:rsidRDefault="0033382B" w:rsidP="0033382B">
      <w:pPr>
        <w:pStyle w:val="TtuloResolucin"/>
      </w:pPr>
      <w:r>
        <w:t>Sección Primera</w:t>
      </w:r>
    </w:p>
    <w:p w:rsidR="0033382B" w:rsidRDefault="0033382B" w:rsidP="0033382B">
      <w:pPr>
        <w:pStyle w:val="TextoNormalCentrado"/>
      </w:pPr>
      <w:r>
        <w:t>ECLI:ES:TC:2016:115A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y don Juan Antonio Xiol Ríos.</w:t>
      </w:r>
    </w:p>
    <w:p w:rsidR="0033382B" w:rsidRDefault="0033382B" w:rsidP="0033382B">
      <w:pPr>
        <w:pStyle w:val="SntesisDescriptiva"/>
      </w:pPr>
    </w:p>
    <w:p w:rsidR="0033382B" w:rsidRDefault="0033382B" w:rsidP="0033382B">
      <w:pPr>
        <w:pStyle w:val="SntesisDescriptiva"/>
      </w:pPr>
      <w:r>
        <w:t>Acuerda el desistimiento en el recurso de amparo 7352-2015,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que tuvo entrada en el Registro General de este Tribunal el día 23 de diciembre de 2015, el Procuradora de los Tribunales don Francisco José Abajo Abril, en representación de Bankia, S.A., interpuso recurso de amparo contra la Sentencia 211/2015 de 29 de octubre de 2015, de la Sección Primera de la Audiencia Provincial de Segovia resolviendo recurso de apelación interpuesto contra la Sentencia núm. 100/2015, de 11 de junio de 2015, del Juzgado de Primera Instancia núm. 5 de Segovia.</w:t>
      </w:r>
    </w:p>
    <w:p w:rsidR="0033382B" w:rsidRDefault="0033382B" w:rsidP="0033382B">
      <w:pPr>
        <w:pStyle w:val="TextoNormal"/>
      </w:pPr>
    </w:p>
    <w:p w:rsidR="0033382B" w:rsidRDefault="0033382B" w:rsidP="0033382B">
      <w:pPr>
        <w:pStyle w:val="TextoNormal"/>
      </w:pPr>
      <w:r w:rsidRPr="0033382B">
        <w:rPr>
          <w:rStyle w:val="NumeroAFNegritaCaracter"/>
        </w:rPr>
        <w:t>2</w:t>
      </w:r>
      <w:r>
        <w:t>. El Procurador Sr. Abajo Abril, por escrito presentado en este Tribunal el 7 de abril de 2016 y suscrito por Letrado, manifiesta su voluntad de desistir de la continuación del recurso.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8 de abril de 2016, se dio traslado al Ministerio Fiscal para que alegara lo que estimara oportuno en relación con el desistimiento formulado.</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dictamen que tuvo entrada en el Tribunal el 21 de abril de 2016, manifiesta que no se opone a la aprobación del desistimiento.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Entre las formas de terminación del recurso de amparo figura la del desistimiento, prevista en el art. 86.1 de la Ley Orgánica del Tribunal Constitucional (LOTC), y a la que es de aplicación supletoria la legislación procesal ordinaria (art. 80 LOTC), que la recoge en los arts. 19.1 y 20.2 y 3 de la Ley de enjuiciamiento civil (LEC).</w:t>
      </w:r>
    </w:p>
    <w:p w:rsidR="0033382B" w:rsidRDefault="0033382B" w:rsidP="0033382B">
      <w:pPr>
        <w:pStyle w:val="TextoNormal"/>
      </w:pPr>
    </w:p>
    <w:p w:rsidR="0033382B" w:rsidRDefault="0033382B" w:rsidP="0033382B">
      <w:pPr>
        <w:pStyle w:val="TextoNormal"/>
      </w:pPr>
      <w:r>
        <w:t>Esta fórmula y decisión de la parte aparece revestida de los requisitos legales, al constar en el poder conferido por la recurrente el otorgamiento con carácter especial de las facultades de desistir, tal y como exige el art. 25.2.1 LEC, además de que no se aprecia perjuicio de parte ni daño para el interés general o público. Es procedente, pues, sancionar afirmativamente esa voluntad de desistir.</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desistido del presente recurso de amparo a la entidad Bankia, S.A., y archivar las presentes actuaciones.</w:t>
      </w:r>
    </w:p>
    <w:p w:rsidR="0033382B" w:rsidRDefault="0033382B" w:rsidP="0033382B">
      <w:pPr>
        <w:pStyle w:val="TextoNormal"/>
      </w:pPr>
    </w:p>
    <w:p w:rsidR="0033382B" w:rsidRDefault="0033382B" w:rsidP="0033382B">
      <w:pPr>
        <w:pStyle w:val="TextoNormal"/>
      </w:pPr>
      <w:r>
        <w:t>Madrid, a veintiséis de mayo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43" w:name="AUTO_2016_116"/>
      <w:r>
        <w:t>AUTO 116/2016, de 1 de junio de 2016</w:t>
      </w:r>
    </w:p>
    <w:bookmarkEnd w:id="243"/>
    <w:p w:rsidR="0033382B" w:rsidRDefault="0033382B" w:rsidP="0033382B">
      <w:pPr>
        <w:pStyle w:val="TtuloResolucin"/>
      </w:pPr>
      <w:r>
        <w:t>Sección Primera</w:t>
      </w:r>
    </w:p>
    <w:p w:rsidR="0033382B" w:rsidRDefault="0033382B" w:rsidP="0033382B">
      <w:pPr>
        <w:pStyle w:val="TextoNormalCentrado"/>
      </w:pPr>
      <w:r>
        <w:t>ECLI:ES:TC:2016:116A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y don Juan Antonio Xiol Ríos.</w:t>
      </w:r>
    </w:p>
    <w:p w:rsidR="0033382B" w:rsidRDefault="0033382B" w:rsidP="0033382B">
      <w:pPr>
        <w:pStyle w:val="SntesisDescriptiva"/>
      </w:pPr>
    </w:p>
    <w:p w:rsidR="0033382B" w:rsidRDefault="0033382B" w:rsidP="0033382B">
      <w:pPr>
        <w:pStyle w:val="SntesisDescriptiva"/>
      </w:pPr>
      <w:r>
        <w:t>Acuerda el desistimiento en el recurso de amparo 7350-2015,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que tuvo entrada en el Registro General de este Tribunal el día 23 de diciembre de 2015, el Procurador de los Tribunales don Francisco José Abajo Abril, en representación de Bankia, S.A., interpuso recurso de amparo contra la Sentencia 207/2015 de 29 de octubre de 2015 de la Sección Primera de la Audiencia Provincial de Segovia resolviendo recurso de apelación interpuesto contra la Sentencia núm. 158/2015, de 15 de julio de 2015 del Juzgado de Primera Instancia núm. 5 de Segovia.</w:t>
      </w:r>
    </w:p>
    <w:p w:rsidR="0033382B" w:rsidRDefault="0033382B" w:rsidP="0033382B">
      <w:pPr>
        <w:pStyle w:val="TextoNormal"/>
      </w:pPr>
    </w:p>
    <w:p w:rsidR="0033382B" w:rsidRDefault="0033382B" w:rsidP="0033382B">
      <w:pPr>
        <w:pStyle w:val="TextoNormal"/>
      </w:pPr>
      <w:r w:rsidRPr="0033382B">
        <w:rPr>
          <w:rStyle w:val="NumeroAFNegritaCaracter"/>
        </w:rPr>
        <w:t>2</w:t>
      </w:r>
      <w:r>
        <w:t>. El Procurador Sr Abajo Abril, por escrito presentado en este Tribunal el 7 de abril de 2016 y suscrito por Letrado, manifiesta su voluntad de desistir de la continuación del recurso.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8 de abril de 2016, se dio traslado al Ministerio Fiscal para que alegara lo que estimara oportuno en relación con el desistimiento formulado.</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dictamen que tuvo entrada en el Tribunal el 21 de abril de 2016, manifiesta que no se opone a la aprobación del desistimiento.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Entre las formas de terminación del recurso de amparo figura la del desistimiento, prevista en el art. 86.1 de la Ley Orgánica del Tribunal Constitucional (LOTC), y a la que es de aplicación supletoria la legislación procesal ordinaria (art. 80 LOTC), que la recoge en los arts. 19.1 y 20.2 y 3 de la Ley de enjuiciamiento civil (LEC).</w:t>
      </w:r>
    </w:p>
    <w:p w:rsidR="0033382B" w:rsidRDefault="0033382B" w:rsidP="0033382B">
      <w:pPr>
        <w:pStyle w:val="TextoNormal"/>
      </w:pPr>
    </w:p>
    <w:p w:rsidR="0033382B" w:rsidRDefault="0033382B" w:rsidP="0033382B">
      <w:pPr>
        <w:pStyle w:val="TextoNormal"/>
      </w:pPr>
      <w:r>
        <w:t>Esta fórmula y decisión de la parte aparece revestida de los requisitos legales, al constar en el poder conferido por la recurrente el otorgamiento con carácter especial de las facultades de desistir, tal y como exige el art. 25.2.1 LEC, además de que no se aprecia perjuicio de parte ni daño para el interés general o público. Es procedente, pues, sancionar afirmativamente esa voluntad de desistir.</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desistido del presente recurso de amparo a la entidad Bankia, S.A., y archivar las presentes actuaciones.</w:t>
      </w:r>
    </w:p>
    <w:p w:rsidR="0033382B" w:rsidRDefault="0033382B" w:rsidP="0033382B">
      <w:pPr>
        <w:pStyle w:val="TextoNormal"/>
      </w:pPr>
    </w:p>
    <w:p w:rsidR="0033382B" w:rsidRDefault="0033382B" w:rsidP="0033382B">
      <w:pPr>
        <w:pStyle w:val="TextoNormal"/>
      </w:pPr>
      <w:r>
        <w:t>Madrid, a uno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44" w:name="AUTO_2016_117"/>
      <w:r>
        <w:t>AUTO 117/2016, de 1 de junio de 2016</w:t>
      </w:r>
    </w:p>
    <w:bookmarkEnd w:id="244"/>
    <w:p w:rsidR="0033382B" w:rsidRDefault="0033382B" w:rsidP="0033382B">
      <w:pPr>
        <w:pStyle w:val="TtuloResolucin"/>
      </w:pPr>
      <w:r>
        <w:t>Sección Tercera</w:t>
      </w:r>
    </w:p>
    <w:p w:rsidR="0033382B" w:rsidRDefault="0033382B" w:rsidP="0033382B">
      <w:pPr>
        <w:pStyle w:val="TextoNormalCentrado"/>
      </w:pPr>
      <w:r>
        <w:t>ECLI:ES:TC:2016:117A</w:t>
      </w:r>
    </w:p>
    <w:p w:rsidR="0033382B" w:rsidRDefault="0033382B" w:rsidP="0033382B">
      <w:pPr>
        <w:pStyle w:val="TextoNormalCentrado"/>
      </w:pPr>
    </w:p>
    <w:p w:rsidR="0033382B" w:rsidRDefault="0033382B" w:rsidP="0033382B">
      <w:pPr>
        <w:pStyle w:val="SntesisDescriptiva"/>
      </w:pPr>
      <w:r>
        <w:t>Excms. Srs. doña Adela Asua Batarrita, don Juan José González Rivas y don Pedro José González-Trevijano Sánchez.</w:t>
      </w:r>
    </w:p>
    <w:p w:rsidR="0033382B" w:rsidRDefault="0033382B" w:rsidP="0033382B">
      <w:pPr>
        <w:pStyle w:val="SntesisDescriptiva"/>
      </w:pPr>
    </w:p>
    <w:p w:rsidR="0033382B" w:rsidRDefault="0033382B" w:rsidP="0033382B">
      <w:pPr>
        <w:pStyle w:val="SntesisDescriptiva"/>
      </w:pPr>
      <w:r>
        <w:t>Acuerda el desistimiento en el recurso de amparo 7351-2015,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el Procurador de los Tribunales don Francisco José Abajo Abril en nombre de Bankia, S.A., se presentó recurso de amparo el día 23 de diciembre de 2015.</w:t>
      </w:r>
    </w:p>
    <w:p w:rsidR="0033382B" w:rsidRDefault="0033382B" w:rsidP="0033382B">
      <w:pPr>
        <w:pStyle w:val="TextoNormal"/>
      </w:pPr>
    </w:p>
    <w:p w:rsidR="0033382B" w:rsidRDefault="0033382B" w:rsidP="0033382B">
      <w:pPr>
        <w:pStyle w:val="TextoNormal"/>
      </w:pPr>
      <w:r w:rsidRPr="0033382B">
        <w:rPr>
          <w:rStyle w:val="NumeroAFNegritaCaracter"/>
        </w:rPr>
        <w:t>2</w:t>
      </w:r>
      <w:r>
        <w:t>. El día 7 de abril de 2016, por el mismo Procurador Sr. Abajo Abril, se presentó escrito desistiendo del recurso planteado.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fecha ocho de abril siguiente, se acordó dar traslado al Ministerio Fiscal para formular alegaciones sobre el desistimiento pretendido, lo que hizo por escrito de 29 de abril último, en el sentido de no oponerse al desistimiento.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El desistimiento es una forma de terminación del procedimiento previsto en los arts. 80 y 86 de nuestra Ley Orgánica (LOTC), que se remite en el primero de dichos preceptos, en cuanto a requisitos y procedimiento, a lo establecido en la Ley Orgánica del Poder Judicial y en la Ley de enjuiciamiento civil. En el presente caso se han cumplido los requisitos legalmente exigidos, el Ministerio Fiscal no ha opuesto objeción alguna a la voluntad de desistir manifestada por el recurrente y, por otro lado, no se aprecia perjuicio de parte ni daño para el interés general o público. Por tanto, dado el carácter rogado que, en principio, tiene la jurisdicción de amparo constitucional [arts. 161.1 b) CE y 41.3 LOTC], procede acceder al desistimiento solicitado.</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desistido del recurso de amparo a Bankia, S.A., y archivar las presentes actuaciones.</w:t>
      </w:r>
    </w:p>
    <w:p w:rsidR="0033382B" w:rsidRDefault="0033382B" w:rsidP="0033382B">
      <w:pPr>
        <w:pStyle w:val="TextoNormal"/>
      </w:pPr>
    </w:p>
    <w:p w:rsidR="0033382B" w:rsidRDefault="0033382B" w:rsidP="0033382B">
      <w:pPr>
        <w:pStyle w:val="TextoNormal"/>
      </w:pPr>
      <w:r>
        <w:t>Madrid, a uno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45" w:name="AUTO_2016_118"/>
      <w:r>
        <w:t>AUTO 118/2016, de 1 de junio de 2016</w:t>
      </w:r>
    </w:p>
    <w:bookmarkEnd w:id="245"/>
    <w:p w:rsidR="0033382B" w:rsidRDefault="0033382B" w:rsidP="0033382B">
      <w:pPr>
        <w:pStyle w:val="TtuloResolucin"/>
      </w:pPr>
      <w:r>
        <w:t>Sección Primera</w:t>
      </w:r>
    </w:p>
    <w:p w:rsidR="0033382B" w:rsidRDefault="0033382B" w:rsidP="0033382B">
      <w:pPr>
        <w:pStyle w:val="TextoNormalCentrado"/>
      </w:pPr>
      <w:r>
        <w:t>ECLI:ES:TC:2016:118A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y don Juan Antonio Xiol Ríos.</w:t>
      </w:r>
    </w:p>
    <w:p w:rsidR="0033382B" w:rsidRDefault="0033382B" w:rsidP="0033382B">
      <w:pPr>
        <w:pStyle w:val="SntesisDescriptiva"/>
      </w:pPr>
    </w:p>
    <w:p w:rsidR="0033382B" w:rsidRDefault="0033382B" w:rsidP="0033382B">
      <w:pPr>
        <w:pStyle w:val="SntesisDescriptiva"/>
      </w:pPr>
      <w:r>
        <w:t>Acuerda el desistimiento en el recurso de amparo 46-2016,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que tuvo entrada en el Registro General de este Tribunal el día 5 de enero de 2016, el Procurador de los Tribunales don Francisco José Abajo Abril, en representación de Bankia, S.A., interpuso recurso de amparo contra la Sentencia 287/2015 de 18 de noviembre de 2015 de la Sección Primera de la Audiencia Provincial de León resolviendo recurso de apelación interpuesto contra la Sentencia núm. 227/2015, de 30 de julio de 2015 del Juzgado de Primera Instancia núm. 2 de León.</w:t>
      </w:r>
    </w:p>
    <w:p w:rsidR="0033382B" w:rsidRDefault="0033382B" w:rsidP="0033382B">
      <w:pPr>
        <w:pStyle w:val="TextoNormal"/>
      </w:pPr>
    </w:p>
    <w:p w:rsidR="0033382B" w:rsidRDefault="0033382B" w:rsidP="0033382B">
      <w:pPr>
        <w:pStyle w:val="TextoNormal"/>
      </w:pPr>
      <w:r w:rsidRPr="0033382B">
        <w:rPr>
          <w:rStyle w:val="NumeroAFNegritaCaracter"/>
        </w:rPr>
        <w:t>2</w:t>
      </w:r>
      <w:r>
        <w:t>. El Procurador Sr. Abajo Abril, por escrito presentado en este Tribunal el 7 de abril de 2016 y suscrito por Letrado, manifiesta su voluntad de desistir de la continuación del recurso.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8 de abril de 2016, se dio traslado al Ministerio Fiscal para que alegara lo que estimara oportuno en relación con el desistimiento formulado.</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dictamen que tuvo entrada en el Tribunal el 18 de abril de 2016, manifiesta que no se opone a la aprobación del desistimiento.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Entre las formas de terminación del recurso de amparo figura la del desistimiento, prevista en el art. 86.1 de la Ley Orgánica del Tribunal Constitucional (LOTC), y a la que es de aplicación supletoria la legislación procesal ordinaria (art. 80 LOTC), que la recoge en los arts. 19.1 y 20.2 y 3 de la Ley de enjuiciamiento civil (LEC).</w:t>
      </w:r>
    </w:p>
    <w:p w:rsidR="0033382B" w:rsidRDefault="0033382B" w:rsidP="0033382B">
      <w:pPr>
        <w:pStyle w:val="TextoNormal"/>
      </w:pPr>
    </w:p>
    <w:p w:rsidR="0033382B" w:rsidRDefault="0033382B" w:rsidP="0033382B">
      <w:pPr>
        <w:pStyle w:val="TextoNormal"/>
      </w:pPr>
      <w:r>
        <w:t>Esta fórmula y decisión de la parte aparece revestida de los requisitos legales, al constar en el poder conferido por la recurrente el otorgamiento con carácter especial de las facultades de desistir, tal y como exige el art. 25.2.1 LEC, además de que no se aprecia perjuicio de parte ni daño para el interés general o público. Es procedente, pues, sancionar afirmativamente esa voluntad de desistir.</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desistido del presente recurso de amparo a la entidad Bankia, S.A., y archivar las presentes actuaciones.</w:t>
      </w:r>
    </w:p>
    <w:p w:rsidR="0033382B" w:rsidRDefault="0033382B" w:rsidP="0033382B">
      <w:pPr>
        <w:pStyle w:val="TextoNormal"/>
      </w:pPr>
    </w:p>
    <w:p w:rsidR="0033382B" w:rsidRDefault="0033382B" w:rsidP="0033382B">
      <w:pPr>
        <w:pStyle w:val="TextoNormal"/>
      </w:pPr>
      <w:r>
        <w:t>Madrid, a uno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46" w:name="AUTO_2016_119"/>
      <w:r>
        <w:t>AUTO 119/2016, de 1 de junio de 2016</w:t>
      </w:r>
    </w:p>
    <w:bookmarkEnd w:id="246"/>
    <w:p w:rsidR="0033382B" w:rsidRDefault="0033382B" w:rsidP="0033382B">
      <w:pPr>
        <w:pStyle w:val="TtuloResolucin"/>
      </w:pPr>
      <w:r>
        <w:t>Sección Tercera</w:t>
      </w:r>
    </w:p>
    <w:p w:rsidR="0033382B" w:rsidRDefault="0033382B" w:rsidP="0033382B">
      <w:pPr>
        <w:pStyle w:val="TextoNormalCentrado"/>
      </w:pPr>
      <w:r>
        <w:t>ECLI:ES:TC:2016:119A</w:t>
      </w:r>
    </w:p>
    <w:p w:rsidR="0033382B" w:rsidRDefault="0033382B" w:rsidP="0033382B">
      <w:pPr>
        <w:pStyle w:val="TextoNormalCentrado"/>
      </w:pPr>
    </w:p>
    <w:p w:rsidR="0033382B" w:rsidRDefault="0033382B" w:rsidP="0033382B">
      <w:pPr>
        <w:pStyle w:val="SntesisDescriptiva"/>
      </w:pPr>
      <w:r>
        <w:t>Excms. Srs. doña Adela Asua Batarrita, don Juan José González Rivas y don Pedro José González-Trevijano Sánchez.</w:t>
      </w:r>
    </w:p>
    <w:p w:rsidR="0033382B" w:rsidRDefault="0033382B" w:rsidP="0033382B">
      <w:pPr>
        <w:pStyle w:val="SntesisDescriptiva"/>
      </w:pPr>
    </w:p>
    <w:p w:rsidR="0033382B" w:rsidRDefault="0033382B" w:rsidP="0033382B">
      <w:pPr>
        <w:pStyle w:val="SntesisDescriptiva"/>
      </w:pPr>
      <w:r>
        <w:t>Acuerda el desistimiento en el recurso de amparo 47-2016,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el Procurador de los Tribunales don Francisco José Abajo Abril en nombre de Bankia, S.A., se presentó recurso de amparo el día 5 de enero de 2016.</w:t>
      </w:r>
    </w:p>
    <w:p w:rsidR="0033382B" w:rsidRDefault="0033382B" w:rsidP="0033382B">
      <w:pPr>
        <w:pStyle w:val="TextoNormal"/>
      </w:pPr>
    </w:p>
    <w:p w:rsidR="0033382B" w:rsidRDefault="0033382B" w:rsidP="0033382B">
      <w:pPr>
        <w:pStyle w:val="TextoNormal"/>
      </w:pPr>
      <w:r w:rsidRPr="0033382B">
        <w:rPr>
          <w:rStyle w:val="NumeroAFNegritaCaracter"/>
        </w:rPr>
        <w:t>2</w:t>
      </w:r>
      <w:r>
        <w:t>. El día 7 de abril de 2016, por el mismo Procurador Sr. Abajo Abril, se presentó escrito desistiendo del recurso planteado.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fecha 8 de abril siguiente, se acordó dar traslado al Ministerio Fiscal para formular alegaciones sobre el desistimiento pretendido, lo que hizo por escrito de 3 de mayo último, en el sentido de no oponerse al desistimiento.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El desistimiento es una forma de terminación del procedimiento previsto en los arts. 80 y 86 de nuestra Ley Orgánica (LOTC), que se remite en el primero de dichos preceptos, en cuanto a requisitos y procedimiento, a lo establecido en la Ley Orgánica del Poder Judicial y en la Ley de enjuiciamiento civil. En el presente caso se han cumplido los requisitos legalmente exigidos, el Ministerio Fiscal no ha opuesto objeción alguna a la voluntad de desistir manifestada por el recurrente y, por otro lado, no se aprecia perjuicio de parte ni daño para el interés general o público. Por tanto, dado el carácter rogado que, en principio, tiene la jurisdicción de amparo constitucional [arts. 161.1 b) CE y 41.3 LOTC], procede acceder al desistimiento solicitado.</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desistido del recurso de amparo a Bankia, S.A., y archivar las presentes actuaciones.</w:t>
      </w:r>
    </w:p>
    <w:p w:rsidR="0033382B" w:rsidRDefault="0033382B" w:rsidP="0033382B">
      <w:pPr>
        <w:pStyle w:val="TextoNormal"/>
      </w:pPr>
    </w:p>
    <w:p w:rsidR="0033382B" w:rsidRDefault="0033382B" w:rsidP="0033382B">
      <w:pPr>
        <w:pStyle w:val="TextoNormal"/>
      </w:pPr>
      <w:r>
        <w:t>Madrid, a uno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47" w:name="AUTO_2016_120"/>
      <w:r>
        <w:t>AUTO 120/2016, de 6 de junio de 2016</w:t>
      </w:r>
    </w:p>
    <w:bookmarkEnd w:id="247"/>
    <w:p w:rsidR="0033382B" w:rsidRDefault="0033382B" w:rsidP="0033382B">
      <w:pPr>
        <w:pStyle w:val="TtuloResolucin"/>
      </w:pPr>
      <w:r>
        <w:t>Sección Segunda</w:t>
      </w:r>
    </w:p>
    <w:p w:rsidR="0033382B" w:rsidRDefault="0033382B" w:rsidP="0033382B">
      <w:pPr>
        <w:pStyle w:val="TextoNormalCentrado"/>
      </w:pPr>
      <w:r>
        <w:t>ECLI:ES:TC:2016:120A</w:t>
      </w:r>
    </w:p>
    <w:p w:rsidR="0033382B" w:rsidRDefault="0033382B" w:rsidP="0033382B">
      <w:pPr>
        <w:pStyle w:val="TextoNormalCentrado"/>
      </w:pPr>
    </w:p>
    <w:p w:rsidR="0033382B" w:rsidRDefault="0033382B" w:rsidP="0033382B">
      <w:pPr>
        <w:pStyle w:val="SntesisDescriptiva"/>
      </w:pPr>
      <w:r>
        <w:t>Excms. Srs. don Andrés Ollero Tassara y don Santiago Martínez-Vares García.</w:t>
      </w:r>
    </w:p>
    <w:p w:rsidR="0033382B" w:rsidRDefault="0033382B" w:rsidP="0033382B">
      <w:pPr>
        <w:pStyle w:val="SntesisDescriptiva"/>
      </w:pPr>
    </w:p>
    <w:p w:rsidR="0033382B" w:rsidRDefault="0033382B" w:rsidP="0033382B">
      <w:pPr>
        <w:pStyle w:val="SntesisDescriptiva"/>
      </w:pPr>
      <w:r>
        <w:t>Acuerda el desistimiento en el recurso de amparo 7486-2015,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presentado en el Registro General de este Tribunal el día 30 de diciembre de 2015, Bankia representado por el Procurador de los Tribunales don Francisco José Abajo Abril, interpuso recurso de amparo contra Sentencia de la Sección Primera de la Audiencia Provincial de Segovia en recurso de apelación 287-2015 contra la dictada por el Juzgado de Primera Instancia núm. 5 de Segovia en juicio verbal 395-2015.</w:t>
      </w:r>
    </w:p>
    <w:p w:rsidR="0033382B" w:rsidRDefault="0033382B" w:rsidP="0033382B">
      <w:pPr>
        <w:pStyle w:val="TextoNormal"/>
      </w:pPr>
    </w:p>
    <w:p w:rsidR="0033382B" w:rsidRDefault="0033382B" w:rsidP="0033382B">
      <w:pPr>
        <w:pStyle w:val="TextoNormal"/>
      </w:pPr>
      <w:r w:rsidRPr="0033382B">
        <w:rPr>
          <w:rStyle w:val="NumeroAFNegritaCaracter"/>
        </w:rPr>
        <w:t>2</w:t>
      </w:r>
      <w:r>
        <w:t>. El Procurador Sr. Abajo Abril, por escrito presentado el 7 de abril de 2016, estando el amparo pendiente de resolver sobre su admisión o inadmisión, manifiesta que desiste del recurso planteado.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11 de abril de 2016 se dio traslado al Ministerio Fiscal para que alegara lo que estimara oportuno en relación con el desistimiento formulado.</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dictamen que tuvo entrada en el Tribunal el 25 de abril de 2016, no se opuso a la aprobación del desistimiento.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Entre las formas de terminación del recurso de amparo figura la del desistimiento, prevista en el art. 86.1 de la Ley Orgánica de este Tribunal (LOTC), y a la que es de aplicación supletoria la legislación procesal ordinaria (art. 80 LOTC), que la recoge en los arts. 19.1 y 20.2 y 3 de la Ley de enjuiciamiento civil.</w:t>
      </w:r>
    </w:p>
    <w:p w:rsidR="0033382B" w:rsidRDefault="0033382B" w:rsidP="0033382B">
      <w:pPr>
        <w:pStyle w:val="TextoNormal"/>
      </w:pPr>
    </w:p>
    <w:p w:rsidR="0033382B" w:rsidRDefault="0033382B" w:rsidP="0033382B">
      <w:pPr>
        <w:pStyle w:val="TextoNormal"/>
      </w:pPr>
      <w:r>
        <w:t>Esta fórmula y decisión de la parte recurrente aparece revestida de los requisitos legales. Por otro lado, no se aprecia perjuicio de parte ni daño para el interés general o público. Es procedente, pues, sancionar afirmativamente esa voluntad de desistir.</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desistido del recurso de amparo a Bankia, S.A., y archivar las presentes actuaciones.</w:t>
      </w:r>
    </w:p>
    <w:p w:rsidR="0033382B" w:rsidRDefault="0033382B" w:rsidP="0033382B">
      <w:pPr>
        <w:pStyle w:val="TextoNormal"/>
      </w:pPr>
    </w:p>
    <w:p w:rsidR="0033382B" w:rsidRDefault="0033382B" w:rsidP="0033382B">
      <w:pPr>
        <w:pStyle w:val="TextoNormal"/>
      </w:pPr>
      <w:r>
        <w:t>Madrid, a seis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48" w:name="AUTO_2016_121"/>
      <w:r>
        <w:t>AUTO 121/2016, de 7 de junio de 2016</w:t>
      </w:r>
    </w:p>
    <w:bookmarkEnd w:id="248"/>
    <w:p w:rsidR="0033382B" w:rsidRDefault="0033382B" w:rsidP="0033382B">
      <w:pPr>
        <w:pStyle w:val="TtuloResolucin"/>
      </w:pPr>
      <w:r>
        <w:t>Pleno</w:t>
      </w:r>
    </w:p>
    <w:p w:rsidR="0033382B" w:rsidRDefault="0033382B" w:rsidP="0033382B">
      <w:pPr>
        <w:pStyle w:val="TextoNormalCentrado"/>
      </w:pPr>
      <w:r>
        <w:t>ECLI:ES:TC:2016:121A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extinción, por desaparición sobrevenida de objeto, del recurso de inconstitucionalidad 1883-2013, interpuesto por más de cincuenta Senadores del Grupo Parlamentario Socialista respecto de diversos preceptos de la Ley de la Asamblea de Madrid 5/2012 , de 20 de diciembre, de viviendas rurales sostenibles.</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día 27 de marzo 2013, promovió recurso de inconstitucionalidad por más de cincuenta senadores del Grupo Parlamentario Socialista contra los arts. 1, 2, 4, 5 y 7 de la Ley de la Asamblea de Madrid 5/2012, de 20 de diciembre, de viviendas rurales sostenibles, por vulneración de las competencias estatales del art. 149.1.1 y 18 CE.</w:t>
      </w:r>
    </w:p>
    <w:p w:rsidR="0033382B" w:rsidRDefault="0033382B" w:rsidP="0033382B">
      <w:pPr>
        <w:pStyle w:val="TextoNormal"/>
      </w:pPr>
    </w:p>
    <w:p w:rsidR="0033382B" w:rsidRDefault="0033382B" w:rsidP="0033382B">
      <w:pPr>
        <w:pStyle w:val="TextoNormal"/>
      </w:pPr>
      <w:r>
        <w:t>Dicho recurso fue admitido a trámite por providencia del Pleno, a propuesta de la Sección Tercera, de fecha 23 de abril de 2013, acordándose el traslado de la demanda, conforme establece el art. 34 de la Ley Orgánica del Tribunal Constitucional (LOTC), para que los legitimados para ello pudieran personarse y formular las correspondientes alegaciones.</w:t>
      </w:r>
    </w:p>
    <w:p w:rsidR="0033382B" w:rsidRDefault="0033382B" w:rsidP="0033382B">
      <w:pPr>
        <w:pStyle w:val="TextoNormal"/>
      </w:pPr>
    </w:p>
    <w:p w:rsidR="0033382B" w:rsidRDefault="0033382B" w:rsidP="0033382B">
      <w:pPr>
        <w:pStyle w:val="TextoNormal"/>
      </w:pPr>
      <w:r w:rsidRPr="0033382B">
        <w:rPr>
          <w:rStyle w:val="NumeroAFNegritaCaracter"/>
        </w:rPr>
        <w:t>2</w:t>
      </w:r>
      <w:r>
        <w:t>. Por escrito registrado el 10 de mayo de 2013 el Abogado del Estado se personó en nombre del Gobierno exclusivamente a los efectos de que se le notifiquen las resoluciones que en su día se dicten. Mediante escrito registrado con fecha 16 de mayo de 2013 el Presidente del Senado comunicó el acuerdo de la Mesa de la Cámara de personarse en el procedimiento y ofrecer su colaboración a los efectos del art. 88.1 LOTC. Lo mismo hizo el Presidente del Congreso de los Diputados por escrito que tuvo entrada en el Registro General de este Tribunal Constitucional el día 17 de mayo de 2013.</w:t>
      </w:r>
    </w:p>
    <w:p w:rsidR="0033382B" w:rsidRDefault="0033382B" w:rsidP="0033382B">
      <w:pPr>
        <w:pStyle w:val="TextoNormal"/>
      </w:pPr>
    </w:p>
    <w:p w:rsidR="0033382B" w:rsidRDefault="0033382B" w:rsidP="0033382B">
      <w:pPr>
        <w:pStyle w:val="TextoNormal"/>
      </w:pPr>
      <w:r w:rsidRPr="0033382B">
        <w:rPr>
          <w:rStyle w:val="NumeroAFNegritaCaracter"/>
        </w:rPr>
        <w:t>3</w:t>
      </w:r>
      <w:r>
        <w:t>. La Letrada de la Comunidad de Madrid, en representación del Gobierno de esa Comunidad Autónoma, interesó la desestimación del recurso en su escrito registrado en este Tribunal el día 28 de mayo de 2013. El Letrado de la Asamblea de Madrid cumplimentó el trámite de alegaciones por escrito registrado el día 29 de mayo de 2013, en el que también solicita la desestimación del recurso.</w:t>
      </w:r>
    </w:p>
    <w:p w:rsidR="0033382B" w:rsidRDefault="0033382B" w:rsidP="0033382B">
      <w:pPr>
        <w:pStyle w:val="TextoNormal"/>
      </w:pPr>
    </w:p>
    <w:p w:rsidR="0033382B" w:rsidRDefault="0033382B" w:rsidP="0033382B">
      <w:pPr>
        <w:pStyle w:val="TextoNormal"/>
      </w:pPr>
      <w:r w:rsidRPr="0033382B">
        <w:rPr>
          <w:rStyle w:val="NumeroAFNegritaCaracter"/>
        </w:rPr>
        <w:t>4</w:t>
      </w:r>
      <w:r>
        <w:t>. La Ley 1/2016, de 29 de marzo derogó la Ley de viviendas rurales sostenibles de la Comunidad de Madrid (“BOCM” de 15 de abril de 2016) de la que trae causa el presente recurso. Mediante providencia de 26 de abril de 2016 el Pleno dio traslado a las partes personadas para que pudieran alegar sobre la pérdida de objeto del presente recurso, de conformidad con lo previsto en el art. 84 LOTC y en el plazo común de diez días.</w:t>
      </w:r>
    </w:p>
    <w:p w:rsidR="0033382B" w:rsidRDefault="0033382B" w:rsidP="0033382B">
      <w:pPr>
        <w:pStyle w:val="TextoNormal"/>
      </w:pPr>
    </w:p>
    <w:p w:rsidR="0033382B" w:rsidRDefault="0033382B" w:rsidP="0033382B">
      <w:pPr>
        <w:pStyle w:val="TextoNormal"/>
      </w:pPr>
      <w:r w:rsidRPr="0033382B">
        <w:rPr>
          <w:rStyle w:val="NumeroAFNegritaCaracter"/>
        </w:rPr>
        <w:t>5</w:t>
      </w:r>
      <w:r>
        <w:t>. El Abogado del Estado, por escrito registrado el día 11 de mayo de 2016, manifiesta que no formula alegaciones. El Letrado de la Asamblea de Madrid estima en su escrito de fecha 17 de mayo de 2016 que procede declarar la pérdida sobrevenida del objeto del presente recurso. La Letrada de la Comunidad de Madrid formuló sus alegaciones por escrito registrado el mismo día 17 de mayo, apreciando que el recurso había perdido su objeto. La representación procesal de los recurrentes no formuló alegaciones.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art. 84 de la Ley Orgánica del Tribunal Constitucional (LOTC) faculta a este Tribunal para que, en cualquier tiempo anterior a la decisión, pueda comunicar a los comparecidos en el proceso constitucional la eventual existencia de otros motivos distintos de los alegados con relevancia para acordar lo procedente sobre la admisión o inadmisión y, en su caso, sobre la estimación o desestimación de la pretensión constitucional.</w:t>
      </w:r>
    </w:p>
    <w:p w:rsidR="0033382B" w:rsidRDefault="0033382B" w:rsidP="0033382B">
      <w:pPr>
        <w:pStyle w:val="TextoNormal"/>
      </w:pPr>
    </w:p>
    <w:p w:rsidR="0033382B" w:rsidRDefault="0033382B" w:rsidP="0033382B">
      <w:pPr>
        <w:pStyle w:val="TextoNormal"/>
      </w:pPr>
      <w:r>
        <w:t>En cuanto a la desaparición sobrevenida de objeto, este Tribunal ya ha reiterado que, aunque no esté contemplada en el art. 86.1 LOTC como una de las causas de terminación extraordinaria de los distintos procesos constitucionales, y en particular de los recursos de inconstitucionalidad, es posible, no obstante, que tal cosa pueda suceder, provocando la conclusión del proceso constitucional sin que sea necesario un pronunciamiento sobre el reproche de inconstitucionalidad que se haya alegado (por todos, ATC 244/2000, de 17 de octubre, FJ 1).</w:t>
      </w:r>
    </w:p>
    <w:p w:rsidR="0033382B" w:rsidRDefault="0033382B" w:rsidP="0033382B">
      <w:pPr>
        <w:pStyle w:val="TextoNormal"/>
      </w:pPr>
    </w:p>
    <w:p w:rsidR="0033382B" w:rsidRDefault="0033382B" w:rsidP="0033382B">
      <w:pPr>
        <w:pStyle w:val="TextoNormal"/>
      </w:pPr>
      <w:r w:rsidRPr="0033382B">
        <w:rPr>
          <w:rStyle w:val="NumeroAFNegritaCaracter"/>
        </w:rPr>
        <w:t>2</w:t>
      </w:r>
      <w:r>
        <w:t>. En el presente caso, como han señalado todas las partes que han formulado alegaciones en el trámite del art. 84 LOTC, es posible concluir que el proceso constitucional ha perdido sobrevenidamente su objeto ya que los preceptos impugnados de la Ley 5/2012, de 20 de diciembre, de viviendas rurales sostenibles de la Comunidad de Madrid, han perdido enteramente su vigencia tras la aprobación de la Ley 1/2016, de 29 de marzo, por la que se deroga la mencionada Ley 5/2012. Es claro que no existe ultraactividad de la norma derogada que agotó sus efectos al desaparecer del ordenamiento jurídico como consecuencia de la entrada en vigor de la norma posterior, tal como confirma la disposición transitoria única de la Ley 1/2016, relativa a la paralización de las licencias que, al amparo de la derogada Ley 5/2012, estén presentadas o en tramitación.</w:t>
      </w:r>
    </w:p>
    <w:p w:rsidR="0033382B" w:rsidRDefault="0033382B" w:rsidP="0033382B">
      <w:pPr>
        <w:pStyle w:val="TextoNormal"/>
      </w:pPr>
    </w:p>
    <w:p w:rsidR="0033382B" w:rsidRDefault="0033382B" w:rsidP="0033382B">
      <w:pPr>
        <w:pStyle w:val="TextoNormal"/>
      </w:pPr>
      <w:r>
        <w:t>A la vista de la incidencia que la modificación legal ha conllevado, y como quiera que ninguna de las partes personadas demanda una decisión jurisdiccional de este Tribunal Constitucional constatando si concurrió o no la extralimitación competencial en su momento denunciada, hemos de concluir que ha desaparecido el objeto de este proceso al haber sido derogados los preceptos legales impugnados, sin que se requiera un examen de los problemas de fondo planteados en el recurso de inconstitucionalidad. En consecuencia, no concurriendo tampoco circunstancia alguna de interés general que aconseje la prosecución del proceso hasta su finalización por Sentencia, procede declarar extinguido este recurso de inconstitucionalidad.</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Declarar la extinción del recurso de inconstitucionalidad núm. 1883-2013 por desaparición sobrevenida de su objeto.</w:t>
      </w:r>
    </w:p>
    <w:p w:rsidR="0033382B" w:rsidRDefault="0033382B" w:rsidP="0033382B">
      <w:pPr>
        <w:pStyle w:val="TextoNormal"/>
      </w:pPr>
    </w:p>
    <w:p w:rsidR="0033382B" w:rsidRDefault="0033382B" w:rsidP="0033382B">
      <w:pPr>
        <w:pStyle w:val="TextoNormal"/>
      </w:pPr>
      <w:r>
        <w:t>Madrid, a siete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49" w:name="AUTO_2016_122"/>
      <w:r>
        <w:t>AUTO 122/2016, de 7 de junio de 2016</w:t>
      </w:r>
    </w:p>
    <w:bookmarkEnd w:id="249"/>
    <w:p w:rsidR="0033382B" w:rsidRDefault="0033382B" w:rsidP="0033382B">
      <w:pPr>
        <w:pStyle w:val="TtuloResolucin"/>
      </w:pPr>
      <w:r>
        <w:t>Pleno</w:t>
      </w:r>
    </w:p>
    <w:p w:rsidR="0033382B" w:rsidRDefault="0033382B" w:rsidP="0033382B">
      <w:pPr>
        <w:pStyle w:val="TtuloBOE"/>
      </w:pPr>
      <w:r>
        <w:t>(BOE núm. 170, de 15 de julio de 2016)</w:t>
      </w:r>
    </w:p>
    <w:p w:rsidR="0033382B" w:rsidRDefault="0033382B" w:rsidP="0033382B">
      <w:pPr>
        <w:pStyle w:val="TextoNormalCentrado"/>
      </w:pPr>
      <w:r>
        <w:t>ECLI:ES:TC:2016:122A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7265-2015, planteada por la Audiencia Provincial de Málaga en relación con diversos preceptos de la Ley 11/2003, de 21 de mayo, reguladora de los equipos conjuntos de investigación penal en el ámbito de la Unión Europea.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registrado en este Tribunal el día 21 de diciembre de 2015, la Sección Novena de la Audiencia Provincial de Málaga remitió testimonio del Auto de 18 de noviembre de 2015, por el que se acordó plantear cuestión de inconstitucionalidad en relación con los arts. 3, párrafo segundo, y 9, apartado 1, de la Ley 11/2003, de 21 de mayo, de equipos conjuntos de investigación penal en el ámbito de la Unión Europea, por posible vulneración del art. 117 CE.</w:t>
      </w:r>
    </w:p>
    <w:p w:rsidR="0033382B" w:rsidRDefault="0033382B" w:rsidP="0033382B">
      <w:pPr>
        <w:pStyle w:val="TextoNormal"/>
      </w:pPr>
    </w:p>
    <w:p w:rsidR="0033382B" w:rsidRDefault="0033382B" w:rsidP="0033382B">
      <w:pPr>
        <w:pStyle w:val="TextoNormal"/>
      </w:pPr>
      <w:r w:rsidRPr="0033382B">
        <w:rPr>
          <w:rStyle w:val="NumeroAFNegritaCaracter"/>
        </w:rPr>
        <w:t>2</w:t>
      </w:r>
      <w:r>
        <w:t>. Los hechos que pueden ser relevantes en este proceso constitucional son los siguientes:</w:t>
      </w:r>
    </w:p>
    <w:p w:rsidR="0033382B" w:rsidRDefault="0033382B" w:rsidP="0033382B">
      <w:pPr>
        <w:pStyle w:val="TextoNormal"/>
      </w:pPr>
    </w:p>
    <w:p w:rsidR="0033382B" w:rsidRDefault="0033382B" w:rsidP="0033382B">
      <w:pPr>
        <w:pStyle w:val="TextoNormal"/>
      </w:pPr>
      <w:r>
        <w:t>a) Como consecuencia de una operación policial relacionada con el tráfico de drogas llevada a cabo en España en colaboración con las autoridades danesas, se constituyó un equipo conjunto de investigación, mediante acuerdo entre ambos Estados, autorizado por el Ministerio de Justicia el 11 de noviembre de 2014, en relación con las diligencias de investigación núm. 314-2014, de acuerdo con la Ley 11/2003, de 21 de mayo, de equipos conjuntos de investigación penal en el ámbito de la Unión Europea.</w:t>
      </w:r>
    </w:p>
    <w:p w:rsidR="0033382B" w:rsidRDefault="0033382B" w:rsidP="0033382B">
      <w:pPr>
        <w:pStyle w:val="TextoNormal"/>
      </w:pPr>
    </w:p>
    <w:p w:rsidR="0033382B" w:rsidRDefault="0033382B" w:rsidP="0033382B">
      <w:pPr>
        <w:pStyle w:val="TextoNormal"/>
      </w:pPr>
      <w:r>
        <w:t>b) Concluida la fase preprocesal el 9 de febrero de 2015, se presentó denuncia y se incoaron diligencias previas núm. 658-2015 por el Juzgado de Instrucción núm. 1 de Marbella. El Juez instructor firmó acuerdo de ampliación del equipo conjunto de investigación autorizado en relación con las diligencias de investigación núm. 314-2014, a fin de que fuera incluido como colíder en el mismo, habiendo sido líderes hasta entonces por parte española dos miembros del Ministerio Fiscal. Con fecha de 20 de abril de 2015, esta ampliación se remitió, para su aprobación, al Director General de Cooperación Jurídica Internacional del Ministerio de Justicia.</w:t>
      </w:r>
    </w:p>
    <w:p w:rsidR="0033382B" w:rsidRDefault="0033382B" w:rsidP="0033382B">
      <w:pPr>
        <w:pStyle w:val="TextoNormal"/>
      </w:pPr>
    </w:p>
    <w:p w:rsidR="0033382B" w:rsidRDefault="0033382B" w:rsidP="0033382B">
      <w:pPr>
        <w:pStyle w:val="TextoNormal"/>
      </w:pPr>
      <w:r>
        <w:t xml:space="preserve">c) El 29 de abril de 2015 el Director General de Cooperación Jurídica Internacional, en lugar de aprobar la ampliación solicitada, acordó disolver el equipo conjunto de investigación y constituir uno nuevo. Su resolución se fundamentó en que la modificación propuesta iba más allá de las posibilidades de ampliación o modificación que permite la Ley 11/2003, por cuanto no se trataba de una extensión a nuevos hechos ni de una modificación del periodo de vigencia, sino de un nuevo procedimiento que, a juicio del citado órgano administrativo, precisaba de la adopción de un nuevo acuerdo con arreglo al art. 9.2 CE. La judicialización del procedimiento con la apertura de las diligencias previas implicaba el cese de las diligencias de investigación objeto del procedimiento que motivó la autorización del equipo conjunto de investigación inicial, por exigirlo el art. 773 </w:t>
      </w:r>
      <w:r w:rsidRPr="0033382B">
        <w:rPr>
          <w:i/>
        </w:rPr>
        <w:t>in fine</w:t>
      </w:r>
      <w:r>
        <w:t xml:space="preserve"> de la Ley de enjuiciamiento criminal, que dispone el cese del Fiscal en sus diligencias tan pronto como tenga conocimiento de la existencia de un procedimiento judicial sobre los mismos hechos.</w:t>
      </w:r>
    </w:p>
    <w:p w:rsidR="0033382B" w:rsidRDefault="0033382B" w:rsidP="0033382B">
      <w:pPr>
        <w:pStyle w:val="TextoNormal"/>
      </w:pPr>
    </w:p>
    <w:p w:rsidR="0033382B" w:rsidRDefault="0033382B" w:rsidP="0033382B">
      <w:pPr>
        <w:pStyle w:val="TextoNormal"/>
      </w:pPr>
      <w:r>
        <w:t>d) Con fecha de 13 de mayo de 2015, el Juez instructor dictó Auto en el que se constituye un nuevo equipo de investigación con referencia expresa al procedimiento judicial iniciado, siguiendo las indicaciones de la citada resolución del Ministerio de Justicia y de acuerdo con la Ley 11/2003, de 21 de mayo, de equipos conjuntos de investigación penal: en él están presentes el propio Juez instructor y un Fiscal por el lado español, y dos fiscales por el lado danés. En el mismo Auto se solicita la preceptiva autorización al Ministerio de Justicia al amparo de la Ley 11/2003. El mismo día el Director General de Cooperación Jurídica Internacional autorizó la constitución del nuevo equipo conjunto de investigación.</w:t>
      </w:r>
    </w:p>
    <w:p w:rsidR="0033382B" w:rsidRDefault="0033382B" w:rsidP="0033382B">
      <w:pPr>
        <w:pStyle w:val="TextoNormal"/>
      </w:pPr>
    </w:p>
    <w:p w:rsidR="0033382B" w:rsidRDefault="0033382B" w:rsidP="0033382B">
      <w:pPr>
        <w:pStyle w:val="TextoNormal"/>
      </w:pPr>
      <w:r>
        <w:t>e) El 5 de junio de 2015 el Ministerio Fiscal interpuso ante la Audiencia Provincial de Málaga recurso de apelación contra el Auto de 13 de mayo de 2015 tramitado con el núm. 560-2015, solicitando que se dejara sin efecto dicho Auto y se diera por válido el acuerdo de ampliación del equipo conjunto inicial que constaba en las actuaciones, pues se había constituido válidamente sin necesidad de nueva aprobación por el Ministerio de Justicia; y, para el caso de que se estimara necesaria esa aprobación por aplicación de lo dispuesto en los arts. 3 y 9 de la Ley 11/2013 y de que se considerara que la redacción de dichos preceptos o la de otros de la misma Ley pudieran ser contrarios a los arts. 117 y 124 CE, se procediera a plantear la cuestión de inconstitucionalidad.</w:t>
      </w:r>
    </w:p>
    <w:p w:rsidR="0033382B" w:rsidRDefault="0033382B" w:rsidP="0033382B">
      <w:pPr>
        <w:pStyle w:val="TextoNormal"/>
      </w:pPr>
    </w:p>
    <w:p w:rsidR="0033382B" w:rsidRDefault="0033382B" w:rsidP="0033382B">
      <w:pPr>
        <w:pStyle w:val="TextoNormal"/>
      </w:pPr>
      <w:r>
        <w:t>f) Por providencia de 21 de septiembre de 2015, se dio audiencia al Ministerio Fiscal por plazo de diez días sobre la pertinencia de plantear cuestión de inconstitucionalidad, por considerar que el art. 3 de la Ley de equipos conjuntos de investigación de 21 de mayo de 2003 pudiera ser contrario al art. 117, apartados 1 y 3, CE, en cuanto que, fuera del ámbito de la Audiencia Nacional, establece que un órgano administrativo pueda decidir sobre la constitución de dichos equipos y, por tanto, sobre el ámbito de la investigación, componentes, duración, etc.</w:t>
      </w:r>
    </w:p>
    <w:p w:rsidR="0033382B" w:rsidRDefault="0033382B" w:rsidP="0033382B">
      <w:pPr>
        <w:pStyle w:val="TextoNormal"/>
      </w:pPr>
    </w:p>
    <w:p w:rsidR="0033382B" w:rsidRDefault="0033382B" w:rsidP="0033382B">
      <w:pPr>
        <w:pStyle w:val="TextoNormal"/>
      </w:pPr>
      <w:r>
        <w:t>g) Contra la providencia de 21 de septiembre de 2015 el Ministerio Fiscal interpuso recurso de súplica, dado que identificaba únicamente el art. 3 de la Ley 11/2003, de 21 de mayo, reguladora de los equipos conjuntos de investigación como precepto contrario al art. 117, apartados 1 y 3, CE, sin referirse al art. 9, apartados 1 y 2, de la misma Ley, lo que a su juicio devenía imprescindible a fin de posibilitar el llamado “juicio de relevancia”, al entender que la norma aplicada en la resolución del Ministerio de Justicia de 29 de abril de 2015 no es directamente el art. 3 sino el mencionado art. 9, apartados 1 y 2, de la Ley 11/2003, en conexión con el anterior. El recurso de súplica afirma que tiene exclusivamente por objeto adecuar la resolución judicial a la doctrina del Tribunal Constitucional con relación al trámite de audiencia previsto en el art. 35.2 (de la Ley Orgánica del Tribunal Constitucional: LOTC; citando extractos del ATC 30/2010, FJ 2; y de la STC 57/2014, FJ 3).</w:t>
      </w:r>
    </w:p>
    <w:p w:rsidR="0033382B" w:rsidRDefault="0033382B" w:rsidP="0033382B">
      <w:pPr>
        <w:pStyle w:val="TextoNormal"/>
      </w:pPr>
    </w:p>
    <w:p w:rsidR="0033382B" w:rsidRDefault="0033382B" w:rsidP="0033382B">
      <w:pPr>
        <w:pStyle w:val="TextoNormal"/>
      </w:pPr>
      <w:r>
        <w:t>h) Por providencia de 5 de octubre de 2015, la Sección Novena de la Audiencia Provincial de Málaga accedió a lo solicitado por el Ministerio Fiscal, y procedió a identificar de nuevo los preceptos de la Ley 11/2003 que presentan a juicio del órgano sospechas de inconstitucionalidad: artículo 3, en cuanto que establece que, cuando la investigación recaiga sobre los delitos para cuyo enjuiciamiento no resulte competente la Audiencia Nacional y participen en el equipo miembros de la carrera judicial o fiscal, la autoridad competente será el Ministerio de Justicia y no la autoridad judicial; y artículo 9, apartados 1 y 2, sobre ampliación del ámbito de actuación, en relación con el citado artículo 3. La providencia considera que dichos preceptos pueden ser contrarios al artículo 117, apartados 1 y 3, CE, y dispone que se oiga al Ministerio Fiscal para que en el plazo de diez días alegue lo que estime oportuno sobre la procedencia de plantear cuestión de inconstitucionalidad con relación a los preceptos expresados.</w:t>
      </w:r>
    </w:p>
    <w:p w:rsidR="0033382B" w:rsidRDefault="0033382B" w:rsidP="0033382B">
      <w:pPr>
        <w:pStyle w:val="TextoNormal"/>
      </w:pPr>
    </w:p>
    <w:p w:rsidR="0033382B" w:rsidRDefault="0033382B" w:rsidP="0033382B">
      <w:pPr>
        <w:pStyle w:val="TextoNormal"/>
      </w:pPr>
      <w:r>
        <w:t>i) Evacuando el trámite conferido, el Ministerio Fiscal consideró subsanados los defectos procesales para el correcto planteamiento de la cuestión de inconstitucionalidad y que se cumplían los juicios de aplicabilidad y relevancia, por lo que no se opuso al planteamiento de la cuestión de inconstitucionalidad, sin perjuicio del informe que, en su día, pudiera emitirse por la Fiscalía General del Estado. Y por otrosí solicitó el traslado simultáneo al resto de las partes personadas de la providencia de 5 de octubre de 2015. Considera que, al afectar la cuestión a un incidente relacionado exclusivamente con la válida constitución o no de un medio de investigación como son los equipos conjuntos, en ningún caso la pendencia del presente incidente debe ser motivo de paralización del curso del procedimiento principal, en la medida que se trata de actos de instrucción y de ordenación del proceso que no guardan relación con la validez de la norma que se cuestiona (AATC 186/2009, de 18 de junio, y 201/2006, de 20 de junio).</w:t>
      </w:r>
    </w:p>
    <w:p w:rsidR="0033382B" w:rsidRDefault="0033382B" w:rsidP="0033382B">
      <w:pPr>
        <w:pStyle w:val="TextoNormal"/>
      </w:pPr>
    </w:p>
    <w:p w:rsidR="0033382B" w:rsidRDefault="0033382B" w:rsidP="0033382B">
      <w:pPr>
        <w:pStyle w:val="TextoNormal"/>
      </w:pPr>
      <w:r>
        <w:t>j) Por providencia de 20 de octubre de 2015, y de conformidad con lo solicitado por el Ministerio Fiscal, pese a señalar que no son parte en el rollo de apelación, se ordenó dar traslado de la providencia de 5 de octubre de 2015 a la representación procesal de los imputados S. B. A. y P. M. E., por término de diez días a los fines que en ella se expresan. La representación procesal de los imputados no realizó alegaciones.</w:t>
      </w:r>
    </w:p>
    <w:p w:rsidR="0033382B" w:rsidRDefault="0033382B" w:rsidP="0033382B">
      <w:pPr>
        <w:pStyle w:val="TextoNormal"/>
      </w:pPr>
    </w:p>
    <w:p w:rsidR="0033382B" w:rsidRDefault="0033382B" w:rsidP="0033382B">
      <w:pPr>
        <w:pStyle w:val="TextoNormal"/>
      </w:pPr>
      <w:r>
        <w:t>k) La Sala, por Auto de 18 de noviembre de 2015, planteó cuestión de inconstitucionalidad en relación con los arts. 3, párrafo segundo, y 9, párrafo primero, de la Ley 11/2003, de 21 de mayo, reguladora de los equipos conjuntos de investigación penal en el ámbito de la Unión Europea.</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tras resumir los antecedentes, señala que se eleva cuestión de inconstitucionalidad en relación con los arts. 3, párrafo segundo, y 9, apartado primero, de la Ley de equipos conjuntos de investigación, conforme a lo dispuesto en el art. 35.2 LOTC, en base a la posible vulneración por estos preceptos de lo dispuesto en el art. 117 CE, en la medida en que se deja en manos de un órgano no jurisdiccional la dirección y control de la investigación penal, si la investigación no se lleva a cabo por la Audiencia Nacional, supuesto en el que sí se contempla que la dirección de los equipos de investigación corresponda a la autoridad judicial.</w:t>
      </w:r>
    </w:p>
    <w:p w:rsidR="0033382B" w:rsidRDefault="0033382B" w:rsidP="0033382B">
      <w:pPr>
        <w:pStyle w:val="TextoNormal"/>
      </w:pPr>
    </w:p>
    <w:p w:rsidR="0033382B" w:rsidRDefault="0033382B" w:rsidP="0033382B">
      <w:pPr>
        <w:pStyle w:val="TextoNormal"/>
      </w:pPr>
      <w:r>
        <w:t>En concreto se duda de la constitucionalidad del artículo 3, en su párrafo segundo, relativo a los procedimientos por delitos cuyo conocimiento no corresponda a la Audiencia Nacional, y el artículo 9, en su apartado primero, por atribuir la posibilidad de ampliación de la investigación a la autoridad administrativa en los mismos términos. La autoridad en los equipos conjuntos de investigación, cuando sus miembros sean Jueces y Fiscales, es el Ministerio de Justicia, ejerciendo actualmente esa función el Director General de Cooperación Jurídica Internacional. Se señala que “es absolutamente relevante el conocimiento de la legalidad constitucional de los artículos mencionados, toda vez que sólo con tal conocimiento podrá resolverse en el recurso contra el auto del juez de instrucción que dio por buena la disolución del equipo conjunto de investigación que hasta entonces venía trabajando en la investigación del delito de tráfico de drogas, paralizando completamente las actuaciones, al tener que cesar en sus funciones tanto los policías españoles como los daneses”.</w:t>
      </w:r>
    </w:p>
    <w:p w:rsidR="0033382B" w:rsidRDefault="0033382B" w:rsidP="0033382B">
      <w:pPr>
        <w:pStyle w:val="TextoNormal"/>
      </w:pPr>
    </w:p>
    <w:p w:rsidR="0033382B" w:rsidRDefault="0033382B" w:rsidP="0033382B">
      <w:pPr>
        <w:pStyle w:val="TextoNormal"/>
      </w:pPr>
      <w:r>
        <w:t>Se afirma que el procedimiento se encuentra acabado, “ya que el Juez instructor al aquietarse a la resolución administrativa continuó las diligencias (que hoy siguen su curso) con el nuevo equipo constituido por el Ministerio de Justicia”.</w:t>
      </w:r>
    </w:p>
    <w:p w:rsidR="0033382B" w:rsidRDefault="0033382B" w:rsidP="0033382B">
      <w:pPr>
        <w:pStyle w:val="TextoNormal"/>
      </w:pPr>
    </w:p>
    <w:p w:rsidR="0033382B" w:rsidRDefault="0033382B" w:rsidP="0033382B">
      <w:pPr>
        <w:pStyle w:val="TextoNormal"/>
      </w:pPr>
      <w:r>
        <w:t>Se señala que la denuncia de la posible inconstitucionalidad de estos artículos se ha hecho ver en ocasiones por la Fiscalía, habiéndose realizado informe por el Consejo Fiscal de 23 de julio de 2014; y que también se recogieron dudas en el informe realizado por el Consejo General del Poder Judicial al anteproyecto de ley de equipos conjuntos de investigación, en el que se resalta el carácter penal de la legislación, y se alude a la preocupación manifestada en las enmiendas presentadas en el Congreso por el enfoque administrativo dado a la dirección de los equipos conjuntos de investigación.</w:t>
      </w:r>
    </w:p>
    <w:p w:rsidR="0033382B" w:rsidRDefault="0033382B" w:rsidP="0033382B">
      <w:pPr>
        <w:pStyle w:val="TextoNormal"/>
      </w:pPr>
    </w:p>
    <w:p w:rsidR="0033382B" w:rsidRDefault="0033382B" w:rsidP="0033382B">
      <w:pPr>
        <w:pStyle w:val="TextoNormal"/>
      </w:pPr>
      <w:r>
        <w:t>Se añade que la situación puede llegar a extremos absurdos, y “podría darse el supuesto de que investigando un Tribunal Superior de Justicia a un aforado, se constituyera un equipo conjunto de investigación entre la policía española, y pongamos por caso la suiza, pues bien, la dirección del equipo de investigación y sobre todo la capacidad sobre su composición, pudiera llegar a recaer en un miembro de la misma formación política que el investigado”.</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16 de febrero de 2016, la Sección Tercera del Tribunal Constitucional acordó oír al Fiscal General del Estado para que, en el plazo de diez días, y a los efectos que determina el art. 37.1 LOTC, alegase lo que considerase conveniente “acerca de la admisibilidad de la presente cuestión de inconstitucionalidad,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el 14 de abril de 2016.</w:t>
      </w:r>
    </w:p>
    <w:p w:rsidR="0033382B" w:rsidRDefault="0033382B" w:rsidP="0033382B">
      <w:pPr>
        <w:pStyle w:val="TextoNormal"/>
      </w:pPr>
    </w:p>
    <w:p w:rsidR="0033382B" w:rsidRDefault="0033382B" w:rsidP="0033382B">
      <w:pPr>
        <w:pStyle w:val="TextoNormal"/>
      </w:pPr>
      <w:r>
        <w:t>A juicio de la Fiscal General, en la tramitación de la presente cuestión de constitucionalidad no se observó debidamente el trámite de audiencia del art. 35.2 LOTC, que exige que el traslado para alegaciones a las partes en el proceso y al Fiscal sea simultáneo, pues tanto en la providencia de 21 de septiembre como en la de 5 de octubre el traslado se hizo únicamente al Fiscal, y solo se dio traslado a las partes una vez que el Fiscal había realizado sus alegaciones y pedido que se les diera también traslado a ellas.</w:t>
      </w:r>
    </w:p>
    <w:p w:rsidR="0033382B" w:rsidRDefault="0033382B" w:rsidP="0033382B">
      <w:pPr>
        <w:pStyle w:val="TextoNormal"/>
      </w:pPr>
    </w:p>
    <w:p w:rsidR="0033382B" w:rsidRDefault="0033382B" w:rsidP="0033382B">
      <w:pPr>
        <w:pStyle w:val="TextoNormal"/>
      </w:pPr>
      <w:r>
        <w:t>Antes de entrar en el fondo, realiza varias consideraciones preliminares. En primer lugar, señala que la falta de identificación del apartado 2 del art. 9 en el Auto de planteamiento constituye una omisión material, porque se incluía en la providencia de 5 de octubre de 2015, acogiendo lo expuesto en el recurso de súplica del Fiscal, así como en el Auto de 13 de mayo de 2015 del Juez instructor objeto del recurso de apelación, y porque no se ha expresado razón alguna por la que la Sala hubiera descartado identificar el citado apartado como precepto legal cuestionado. En segundo lugar, afirma que no corresponde a la jurisdicción constitucional, en el marco de la presente cuestión de inconstitucionalidad, enjuiciar el acierto o desacierto de la interpretación que, del supuesto de ampliación y modificación de los equipos conjuntos que establece el art. 9 de la Ley 11/2003, fue realizada por la Dirección General de Cooperación Jurídica Internacional y asumida por el Juez de instrucción en su Auto de 13 de mayo de 2015, al ser una cuestión de legalidad ordinaria. En tercer lugar, también queda en el ámbito de la competencia de la jurisdicción ordinaria la cuestión relativa a la necesidad de interpretar la Ley 11/2003 de acuerdo con el espíritu y finalidad de la decisión marco 2002/465/JAI, de 13 de junio de 2002, de la que es transposición, ya que la correcta aplicación del derecho de la Unión Europea es competencia de los jueces ordinarios. En cuarto lugar, el enjuiciamiento de constitucionalidad de las disposiciones cuestionadas ha de quedar limitado a la posible infracción del art. 117, apartados 1 y 3, CE por las facultades otorgadas a la autoridad administrativa en el art. 9, apartados 1 y 2, en relación con el art. 3, párrafo 2, de la Ley 11/2003.</w:t>
      </w:r>
    </w:p>
    <w:p w:rsidR="0033382B" w:rsidRDefault="0033382B" w:rsidP="0033382B">
      <w:pPr>
        <w:pStyle w:val="TextoNormal"/>
      </w:pPr>
    </w:p>
    <w:p w:rsidR="0033382B" w:rsidRDefault="0033382B" w:rsidP="0033382B">
      <w:pPr>
        <w:pStyle w:val="TextoNormal"/>
      </w:pPr>
      <w:r>
        <w:t>Una vez precisado el objeto de enjuiciamiento, desgrana las razones por las que, a su juicio, no resultan fundadas las dudas de la Audiencia Provincial de Málaga sobre la validez constitucional de los preceptos cuestionados de la Ley 11/2003:</w:t>
      </w:r>
    </w:p>
    <w:p w:rsidR="0033382B" w:rsidRDefault="0033382B" w:rsidP="0033382B">
      <w:pPr>
        <w:pStyle w:val="TextoNormal"/>
      </w:pPr>
    </w:p>
    <w:p w:rsidR="0033382B" w:rsidRDefault="0033382B" w:rsidP="0033382B">
      <w:pPr>
        <w:pStyle w:val="TextoNormal"/>
      </w:pPr>
      <w:r>
        <w:t>— No es posible apreciar que constituya una intromisión inconstitucional en la potestad jurisdiccional el ejercicio de las facultades asignadas a la autoridad nacional competente, que el art. 3.2 de la Ley 11/2003 identifica con el Ministerio de Justicia, en el caso de que el equipo esté formado por jueces y fiscales cuyas funciones no se correspondan con el ámbito de competencias de la Audiencia Nacional, en relación con la ampliación o modificación del equipo conjunto (artículo 9, apartados 1 y 2).</w:t>
      </w:r>
    </w:p>
    <w:p w:rsidR="0033382B" w:rsidRDefault="0033382B" w:rsidP="0033382B">
      <w:pPr>
        <w:pStyle w:val="TextoNormal"/>
      </w:pPr>
    </w:p>
    <w:p w:rsidR="0033382B" w:rsidRDefault="0033382B" w:rsidP="0033382B">
      <w:pPr>
        <w:pStyle w:val="TextoNormal"/>
      </w:pPr>
      <w:r>
        <w:t>— No forma parte del contenido de la potestad jurisdiccional de juzgar y hacer ejecutar lo juzgado, como potestad exclusiva de los jueces y magistrados que integran el Poder Judicial, las funciones de investigación de los delitos y de sus responsables, pues las funciones de investigación penal en nuestro ordenamiento legal no son exclusivas de los órganos judiciales y también se ejercen por otras autoridades, como es el caso de los funcionarios policiales y del Ministerio Fiscal (en virtud —en este último caso— del art. 5 de su Estatuto Orgánico y del art. 773.2 de la Ley de enjuiciamiento criminal).</w:t>
      </w:r>
    </w:p>
    <w:p w:rsidR="0033382B" w:rsidRDefault="0033382B" w:rsidP="0033382B">
      <w:pPr>
        <w:pStyle w:val="TextoNormal"/>
      </w:pPr>
    </w:p>
    <w:p w:rsidR="0033382B" w:rsidRDefault="0033382B" w:rsidP="0033382B">
      <w:pPr>
        <w:pStyle w:val="TextoNormal"/>
      </w:pPr>
      <w:r>
        <w:t>— Las facultades asignadas al Ministerio de Justicia por la Ley 11/2003 como “autoridad nacional competente” no constituyen funciones de decisión o dirección de las investigaciones judiciales que se realicen en el marco de actuación del equipo conjunto. Se trata de una función de autorización y validación del acuerdo de constitución del equipo conjunto, cuyo contenido es negociado por las autoridades judiciales y fiscales que han decidido la necesidad de acudir a este instrumento de cooperación judicial.</w:t>
      </w:r>
    </w:p>
    <w:p w:rsidR="0033382B" w:rsidRDefault="0033382B" w:rsidP="0033382B">
      <w:pPr>
        <w:pStyle w:val="TextoNormal"/>
      </w:pPr>
    </w:p>
    <w:p w:rsidR="0033382B" w:rsidRDefault="0033382B" w:rsidP="0033382B">
      <w:pPr>
        <w:pStyle w:val="TextoNormal"/>
      </w:pPr>
      <w:r>
        <w:t>— En relación con las concretas circunstancias del proceso subyacente, la Dirección General de Cooperación Jurídica Internacional, en aplicación de lo dispuesto en el art. 9, apartados 1 y 2, de la Ley 11/2003, comunicó al Juez de instrucción núm. 1 de Marbella que había solicitado la autorización del acuerdo de ampliación del equipo conjunto, que lo solicitado excedía del ámbito de ampliación que contempla el artículo 9 y que era procedente constituir un nuevo equipo que tuviera como marco de referencia las diligencias previas núm. 658-2015, quedando pendiente de que se le remitiera el nuevo acuerdo entre las autoridades implicadas para su valoración y aprobación, como así se hizo en la resolución de 13 de mayo de 2015 que autorizó el nuevo equipo.</w:t>
      </w:r>
    </w:p>
    <w:p w:rsidR="0033382B" w:rsidRDefault="0033382B" w:rsidP="0033382B">
      <w:pPr>
        <w:pStyle w:val="TextoNormal"/>
      </w:pPr>
    </w:p>
    <w:p w:rsidR="0033382B" w:rsidRDefault="0033382B" w:rsidP="0033382B">
      <w:pPr>
        <w:pStyle w:val="TextoNormal"/>
      </w:pPr>
      <w:r>
        <w:t>— No es posible establecer en los términos en los que la cuestión de inconstitucionalidad ha sido planteada que la Ley 11/2003, y en particular el art. 9, apartados 1 y 2, en relación con el art. 3.2, atribuyan a la autoridad administrativa funciones jurisdiccionales o la facultad de obstaculizar o condicionar las investigaciones que se realizan por las autoridades judiciales en el marco del equipo conjunto.</w:t>
      </w:r>
    </w:p>
    <w:p w:rsidR="0033382B" w:rsidRDefault="0033382B" w:rsidP="0033382B">
      <w:pPr>
        <w:pStyle w:val="TextoNormal"/>
      </w:pPr>
    </w:p>
    <w:p w:rsidR="0033382B" w:rsidRDefault="0033382B" w:rsidP="0033382B">
      <w:pPr>
        <w:pStyle w:val="TextoNormal"/>
      </w:pPr>
      <w:r>
        <w:t>La Fiscal General también rechaza las consideraciones realizadas por el Fiscal en su recurso de apelación interpuesto frente al Auto de 13 de mayo de 2015, relativas a la falta de acomodación de la decisión marco sobre equipos conjuntos a las particularidades del sistema procesal español y la defectuosa técnica de designar como autoridad nacional competente en el art. 3 de la Ley tanto a la Audiencia Nacional como al Ministerio de Justicia.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Sección Novena de la Audiencia Provincial de Málaga en relación en relación con los arts. 3, párrafo segundo, y 9, apartado 1, de la Ley 11/2003, de 21 de mayo, de equipos conjuntos de investigación penal en el ámbito de la Unión Europea.</w:t>
      </w:r>
    </w:p>
    <w:p w:rsidR="0033382B" w:rsidRDefault="0033382B" w:rsidP="0033382B">
      <w:pPr>
        <w:pStyle w:val="TextoNormal"/>
      </w:pPr>
    </w:p>
    <w:p w:rsidR="0033382B" w:rsidRDefault="0033382B" w:rsidP="0033382B">
      <w:pPr>
        <w:pStyle w:val="TextoNormal"/>
      </w:pPr>
      <w:r>
        <w:t>Los mencionados preceptos establecen lo siguiente en los aspectos cuestionados:</w:t>
      </w:r>
    </w:p>
    <w:p w:rsidR="0033382B" w:rsidRDefault="0033382B" w:rsidP="0033382B">
      <w:pPr>
        <w:pStyle w:val="TextoNormal"/>
      </w:pPr>
    </w:p>
    <w:p w:rsidR="0033382B" w:rsidRDefault="0033382B" w:rsidP="0033382B">
      <w:pPr>
        <w:pStyle w:val="TextoNormal"/>
      </w:pPr>
      <w:r>
        <w:t>“Artículo 3. Autoridad competente española.</w:t>
      </w:r>
    </w:p>
    <w:p w:rsidR="0033382B" w:rsidRDefault="0033382B" w:rsidP="0033382B">
      <w:pPr>
        <w:pStyle w:val="TextoNormal"/>
      </w:pPr>
    </w:p>
    <w:p w:rsidR="0033382B" w:rsidRDefault="0033382B" w:rsidP="0033382B">
      <w:pPr>
        <w:pStyle w:val="TextoNormal"/>
      </w:pPr>
      <w:r>
        <w:t>Las referencias a la autoridad competente española se entenderán hechas a:</w:t>
      </w:r>
    </w:p>
    <w:p w:rsidR="0033382B" w:rsidRDefault="0033382B" w:rsidP="0033382B">
      <w:pPr>
        <w:pStyle w:val="TextoNormal"/>
      </w:pPr>
    </w:p>
    <w:p w:rsidR="0033382B" w:rsidRDefault="0033382B" w:rsidP="0033382B">
      <w:pPr>
        <w:pStyle w:val="TextoNormal"/>
      </w:pPr>
      <w:r>
        <w:t>… El Ministerio de Justicia, cuando la investigación recaiga sobre los delitos para cuyo enjuiciamiento no resulte competente la Audiencia Nacional y participen en el equipo miembros de las carreras judicial o fiscal.</w:t>
      </w:r>
    </w:p>
    <w:p w:rsidR="0033382B" w:rsidRDefault="0033382B" w:rsidP="0033382B">
      <w:pPr>
        <w:pStyle w:val="TextoNormal"/>
      </w:pPr>
    </w:p>
    <w:p w:rsidR="0033382B" w:rsidRDefault="0033382B" w:rsidP="0033382B">
      <w:pPr>
        <w:pStyle w:val="TextoNormal"/>
      </w:pPr>
      <w:r>
        <w:t>…”</w:t>
      </w:r>
    </w:p>
    <w:p w:rsidR="0033382B" w:rsidRDefault="0033382B" w:rsidP="0033382B">
      <w:pPr>
        <w:pStyle w:val="TextoNormal"/>
      </w:pPr>
    </w:p>
    <w:p w:rsidR="0033382B" w:rsidRDefault="0033382B" w:rsidP="0033382B">
      <w:pPr>
        <w:pStyle w:val="TextoNormal"/>
      </w:pPr>
      <w:r>
        <w:t>“Artículo 9. Ampliación del ámbito de actuación.</w:t>
      </w:r>
    </w:p>
    <w:p w:rsidR="0033382B" w:rsidRDefault="0033382B" w:rsidP="0033382B">
      <w:pPr>
        <w:pStyle w:val="TextoNormal"/>
      </w:pPr>
    </w:p>
    <w:p w:rsidR="0033382B" w:rsidRDefault="0033382B" w:rsidP="0033382B">
      <w:pPr>
        <w:pStyle w:val="TextoNormal"/>
      </w:pPr>
      <w:r>
        <w:t>1. En el caso de que varíen las circunstancias que motivaron la investigación para la que se creó el equipo, aquélla podrá extenderse a hechos que guarden conexión directa con el objeto del acuerdo, o ampliarse el período por el cual fue inicialmente acordada, con el consentimiento de todos los Estados que constituyeron el equipo, sin necesidad de otro acuerdo expreso.”</w:t>
      </w:r>
    </w:p>
    <w:p w:rsidR="0033382B" w:rsidRDefault="0033382B" w:rsidP="0033382B">
      <w:pPr>
        <w:pStyle w:val="TextoNormal"/>
      </w:pPr>
    </w:p>
    <w:p w:rsidR="0033382B" w:rsidRDefault="0033382B" w:rsidP="0033382B">
      <w:pPr>
        <w:pStyle w:val="TextoNormal"/>
      </w:pPr>
      <w:r>
        <w:t>Como se ha expuesto en los antecedentes, el órgano judicial promotor de la cuestión considera que los aspectos cuestionados de los arts. 3 y 9 de la Ley 11/2003 pueden ser contrarios al art. 117 CE, en la medida en que otorgan a una autoridad administrativa competencias importantes dentro del procedimiento penal. Por el contrario, la Fiscal General del Estado ha interesado la inadmisión de la cuestión de inconstitucionalidad planteada por un doble motivo, el incumplimiento de los requisitos procesales y su carácter notoriamente infundado.</w:t>
      </w:r>
    </w:p>
    <w:p w:rsidR="0033382B" w:rsidRDefault="0033382B" w:rsidP="0033382B">
      <w:pPr>
        <w:pStyle w:val="TextoNormal"/>
      </w:pPr>
    </w:p>
    <w:p w:rsidR="0033382B" w:rsidRDefault="0033382B" w:rsidP="0033382B">
      <w:pPr>
        <w:pStyle w:val="TextoNormal"/>
      </w:pPr>
      <w:r w:rsidRPr="0033382B">
        <w:rPr>
          <w:rStyle w:val="NumeroAFNegritaCaracter"/>
        </w:rPr>
        <w:t>2</w:t>
      </w:r>
      <w:r>
        <w:t xml:space="preserve">. Con carácter previo a abordar el fondo de la presente cuestión es preciso delimitar su objeto. Aunque el órgano judicial plantea esta cuestión de inconstitucionalidad simultáneamente respecto al párrafo segundo del art. 3 y al apartado primero del art. 9 de la Ley 11/2003, solo el párrafo segundo del art. 3 es aplicable y relevante para el fallo y el precepto que, por tanto, resulta determinante para resolver la controversia planteada en el proceso </w:t>
      </w:r>
      <w:r w:rsidRPr="0033382B">
        <w:rPr>
          <w:i/>
        </w:rPr>
        <w:t>a quo</w:t>
      </w:r>
      <w:r>
        <w:t xml:space="preserve">, en el que, para el caso de que no se estimase que la ampliación del equipo conjunto de investigación no requiere de nueva aprobación por el Ministerio de Justicia, se plantea subsidiariamente si la intervención de ese órgano administrativo en la ampliación de los equipos conjuntos de investigación es compatible con las funciones jurisdiccionales atribuidas en exclusividad a jueces y tribunales por el art. 117 de la Constitución. En efecto, en el recurso de apelación interpuesto frente al Auto de 13 de mayo de 2015 el Ministerio Fiscal no discute el régimen de autorización que rige para la constitución o la ampliación de los equipos conjuntos de investigación, sino la naturaleza administrativa del órgano autorizante en los supuestos, como el que subyace al proceso </w:t>
      </w:r>
      <w:r w:rsidRPr="0033382B">
        <w:rPr>
          <w:i/>
        </w:rPr>
        <w:t>a quo</w:t>
      </w:r>
      <w:r>
        <w:t xml:space="preserve">, en los que la investigación recae sobre los delitos para cuyo enjuiciamiento no resulte competente la Audiencia Nacional y participen en el equipo miembros de las carreras judicial o fiscal. Por tanto, la constitucionalidad o inconstitucionalidad del apartado 1 del art. 9 de la Ley 11/2003, que se refiere a la posibilidad de ampliar un equipo conjunto de investigación sin necesidad de nueva autorización, no resulta relevante para el fallo que debe adoptarse, pues aquella facultad es independiente de la naturaleza jurisdiccional o administrativa de la autoridad competente para ello. Además, el Auto del Juez de instrucción objeto de impugnación en el proceso </w:t>
      </w:r>
      <w:r w:rsidRPr="0033382B">
        <w:rPr>
          <w:i/>
        </w:rPr>
        <w:t>a quo</w:t>
      </w:r>
      <w:r>
        <w:t xml:space="preserve"> no amplía el plazo o los hechos investigados por un equipo conjunto de investigación ya existente, sino que procede a constituir uno nuevo.</w:t>
      </w:r>
    </w:p>
    <w:p w:rsidR="0033382B" w:rsidRDefault="0033382B" w:rsidP="0033382B">
      <w:pPr>
        <w:pStyle w:val="TextoNormal"/>
      </w:pPr>
    </w:p>
    <w:p w:rsidR="0033382B" w:rsidRDefault="0033382B" w:rsidP="0033382B">
      <w:pPr>
        <w:pStyle w:val="TextoNormal"/>
      </w:pPr>
      <w:r>
        <w:t xml:space="preserve">En consecuencia, el objeto de la presente cuestión debe ceñirse únicamente al párrafo segundo del art. 3, pues el apartado 1 del art. 9 de la Ley 11/2003 establece un supuesto de ampliación del equipo conjunto de investigación inicial que no está sujeto a autorización alguna y que no ha sido aplicado en el proceso </w:t>
      </w:r>
      <w:r w:rsidRPr="0033382B">
        <w:rPr>
          <w:i/>
        </w:rPr>
        <w:t>a quo</w:t>
      </w:r>
      <w:r>
        <w:t>.</w:t>
      </w:r>
    </w:p>
    <w:p w:rsidR="0033382B" w:rsidRDefault="0033382B" w:rsidP="0033382B">
      <w:pPr>
        <w:pStyle w:val="TextoNormal"/>
      </w:pPr>
    </w:p>
    <w:p w:rsidR="0033382B" w:rsidRDefault="0033382B" w:rsidP="0033382B">
      <w:pPr>
        <w:pStyle w:val="TextoNormal"/>
      </w:pPr>
      <w:r>
        <w:t>Por la misma razón debe excluirse también el apartado segundo del art. 9, con independencia de que constituya o no una omisión material, como sostiene la Fiscal General del Estado, aspecto sobre el que, por tanto, no necesitamos pronunciarnos.</w:t>
      </w:r>
    </w:p>
    <w:p w:rsidR="0033382B" w:rsidRDefault="0033382B" w:rsidP="0033382B">
      <w:pPr>
        <w:pStyle w:val="TextoNormal"/>
      </w:pPr>
    </w:p>
    <w:p w:rsidR="0033382B" w:rsidRDefault="0033382B" w:rsidP="0033382B">
      <w:pPr>
        <w:pStyle w:val="TextoNormal"/>
      </w:pPr>
      <w:r w:rsidRPr="0033382B">
        <w:rPr>
          <w:rStyle w:val="NumeroAFNegritaCaracter"/>
        </w:rPr>
        <w:t>3</w:t>
      </w:r>
      <w:r>
        <w:t>. Conforme a lo dispuesto en el art. 37.1 de la Ley Orgánica del Tribunal Constitucional (LOTC)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0033382B" w:rsidRDefault="0033382B" w:rsidP="0033382B">
      <w:pPr>
        <w:pStyle w:val="TextoNormal"/>
      </w:pPr>
    </w:p>
    <w:p w:rsidR="0033382B" w:rsidRDefault="0033382B" w:rsidP="0033382B">
      <w:pPr>
        <w:pStyle w:val="TextoNormal"/>
      </w:pPr>
      <w:r>
        <w:t>La Fiscal General del Estado alega que en la presente cuestión de inconstitucionalidad concurren los dos motivos de inadmisión. Por lo que respecta al primero, señala que el trámite de audiencia a las partes y al Ministerio Fiscal, previsto en el art. 35.2 LOTC, no se ha desarrollado correctamente, por cuanto que el traslado a las partes y al Ministerio Fiscal no se ha realizado de forma simultánea, sino sucesiva. Tanto la primera providencia como la segunda, corregida tras el recurso de súplica interpuesto por el Ministerio Fiscal, fueron notificadas exclusivamente a este, mientras que a las partes imputadas en el proceso principal no se les dio traslado sino mediante una tercera providencia.</w:t>
      </w:r>
    </w:p>
    <w:p w:rsidR="0033382B" w:rsidRDefault="0033382B" w:rsidP="0033382B">
      <w:pPr>
        <w:pStyle w:val="TextoNormal"/>
      </w:pPr>
    </w:p>
    <w:p w:rsidR="0033382B" w:rsidRDefault="0033382B" w:rsidP="0033382B">
      <w:pPr>
        <w:pStyle w:val="TextoNormal"/>
      </w:pPr>
      <w:r>
        <w:t xml:space="preserve">Antes que nada debemos señalar que fue correcta la apreciación del órgano judicial promotor de la cuestión de inconstitucionalidad de que el traslado también era necesario con respecto a las partes del proceso principal. De acuerdo con nuestra doctrina, la audiencia a las partes prevista en el art. 35.2 LOTC, no es una secuencia del proceso </w:t>
      </w:r>
      <w:r w:rsidRPr="0033382B">
        <w:rPr>
          <w:i/>
        </w:rPr>
        <w:t>a quo</w:t>
      </w:r>
      <w:r>
        <w:t xml:space="preserve"> sino una pieza preliminar del posterior proceso constitucional. Así, “quien no comparece en el proceso o deja de atender los llamamientos judiciales lo hace en orden a las pretensiones y posiciones de las demás partes que se ventilan en ese mismo proceso, pero no respecto de aquellas cuestiones que, estrictamente hablando, no forman parte del mismo como es el eventual planteamiento de una cuestión de inconstitucionalidad. En rigor, dicho trámite de audiencia constituye así el momento inicial del procedimiento dado que lo que se ventila no es sino la posibilidad de alegar lo que al derecho de las partes convenga sobre la pertinencia de plantear la cuestión” (AATC 167/2015, de 6 de octubre, FJ 2, y 35/2016, de 16 de febrero, FJ 2).</w:t>
      </w:r>
    </w:p>
    <w:p w:rsidR="0033382B" w:rsidRDefault="0033382B" w:rsidP="0033382B">
      <w:pPr>
        <w:pStyle w:val="TextoNormal"/>
      </w:pPr>
    </w:p>
    <w:p w:rsidR="0033382B" w:rsidRDefault="0033382B" w:rsidP="0033382B">
      <w:pPr>
        <w:pStyle w:val="TextoNormal"/>
      </w:pPr>
      <w:r>
        <w:t>La Fiscal General del Estado sostiene que el trámite de audiencia a las partes y al Ministerio Fiscal, previsto en el art. 35.2 LOTC, no se ha desarrollado correctamente, pues la exigencia de un “plazo común e improrrogable” de alegaciones previsto en dicho precepto presupondría en todo caso un traslado simultáneo, lo que no se cumplió en el presente caso.</w:t>
      </w:r>
    </w:p>
    <w:p w:rsidR="0033382B" w:rsidRDefault="0033382B" w:rsidP="0033382B">
      <w:pPr>
        <w:pStyle w:val="TextoNormal"/>
      </w:pPr>
    </w:p>
    <w:p w:rsidR="0033382B" w:rsidRDefault="0033382B" w:rsidP="0033382B">
      <w:pPr>
        <w:pStyle w:val="TextoNormal"/>
      </w:pPr>
      <w:r>
        <w:t>De nuestra jurisprudencia se deduce que la forma correcta de cumplir con el mencionado requisito procesal es la notificación simultánea a las partes y al Ministerio Fiscal de la providencia que da apertura al trámite de audiencia (ATC 35/2016, de 16 de febrero, FJ 2). Por ello, este Tribunal considera que el cumplimiento sucesivo del trámite de audiencia constituye una irregularidad que, por afectar a un trámite procesal esencial, determina la inadmisión de la cuestión de inconstitucionalidad (AATC 174/2007, de 27 de febrero, FJ 2; 127/2008, de 22 de mayo, FJ 3, y 220/2012, de 27 de noviembre, FJ 4).</w:t>
      </w:r>
    </w:p>
    <w:p w:rsidR="0033382B" w:rsidRDefault="0033382B" w:rsidP="0033382B">
      <w:pPr>
        <w:pStyle w:val="TextoNormal"/>
      </w:pPr>
    </w:p>
    <w:p w:rsidR="0033382B" w:rsidRDefault="0033382B" w:rsidP="0033382B">
      <w:pPr>
        <w:pStyle w:val="TextoNormal"/>
      </w:pPr>
      <w:r>
        <w:t>Como señalamos en el ATC 299/2005, de 5 de julio, FJ 3, y reiteramos en el ATC 127/2008, FJ 3, el cumplimiento sucesivo del trámite de audiencia “no es la manera de actuar prevista en el art. 35.2 LOTC, que dispone claramente que el plazo para que aleguen las partes será ‘común’, en una previsión que tiene el sentido de que éstas respondan, sin conocer las argumentaciones de las otras, a las opiniones que sobre el planteamiento de la cuestión de inconstitucionalidad les someta el órgano judicial”.</w:t>
      </w:r>
    </w:p>
    <w:p w:rsidR="0033382B" w:rsidRDefault="0033382B" w:rsidP="0033382B">
      <w:pPr>
        <w:pStyle w:val="TextoNormal"/>
      </w:pPr>
    </w:p>
    <w:p w:rsidR="0033382B" w:rsidRDefault="0033382B" w:rsidP="0033382B">
      <w:pPr>
        <w:pStyle w:val="TextoNormal"/>
      </w:pPr>
      <w:r>
        <w:t>En definitiva, puesto que en este caso el órgano judicial no ha tenido en consideración estas exigencias y la audiencia de las partes y del Ministerio Fiscal no se ha realizado en los términos que reclama el art. 35.2 LOTC, debemos concluir que no se han cumplido los presupuestos procesales exigidos por el art. 37.1 LOTC para que proceda la admisión a trámite de la cuestión.</w:t>
      </w:r>
    </w:p>
    <w:p w:rsidR="0033382B" w:rsidRDefault="0033382B" w:rsidP="0033382B">
      <w:pPr>
        <w:pStyle w:val="TextoNormal"/>
      </w:pPr>
    </w:p>
    <w:p w:rsidR="0033382B" w:rsidRDefault="0033382B" w:rsidP="0033382B">
      <w:pPr>
        <w:pStyle w:val="TextoNormal"/>
      </w:pPr>
      <w:r w:rsidRPr="0033382B">
        <w:rPr>
          <w:rStyle w:val="NumeroAFNegritaCaracter"/>
        </w:rPr>
        <w:t>4</w:t>
      </w:r>
      <w:r>
        <w:t>. Al margen de lo anterior, entendemos que la cuestión de inconstitucionalidad planteada por la Sección Novena de la Audiencia Provincial de Málaga tampoco puede ser admitida a trámite porque resulta notoriamente infundada (art. 37.1 LOTC).</w:t>
      </w:r>
    </w:p>
    <w:p w:rsidR="0033382B" w:rsidRDefault="0033382B" w:rsidP="0033382B">
      <w:pPr>
        <w:pStyle w:val="TextoNormal"/>
      </w:pPr>
    </w:p>
    <w:p w:rsidR="0033382B" w:rsidRDefault="0033382B" w:rsidP="0033382B">
      <w:pPr>
        <w:pStyle w:val="TextoNormal"/>
      </w:pPr>
      <w:r>
        <w:t>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y 112/2015, de 23 de junio, FJ 2).</w:t>
      </w:r>
    </w:p>
    <w:p w:rsidR="0033382B" w:rsidRDefault="0033382B" w:rsidP="0033382B">
      <w:pPr>
        <w:pStyle w:val="TextoNormal"/>
      </w:pPr>
    </w:p>
    <w:p w:rsidR="0033382B" w:rsidRDefault="0033382B" w:rsidP="0033382B">
      <w:pPr>
        <w:pStyle w:val="TextoNormal"/>
      </w:pPr>
      <w:r>
        <w:t>En el presente caso, por las razones que se van a exponer a continuación, puede apreciarse ya en este trámite liminar que la cuestión planteada es notoriamente infundada.</w:t>
      </w:r>
    </w:p>
    <w:p w:rsidR="0033382B" w:rsidRDefault="0033382B" w:rsidP="0033382B">
      <w:pPr>
        <w:pStyle w:val="TextoNormal"/>
      </w:pPr>
    </w:p>
    <w:p w:rsidR="0033382B" w:rsidRDefault="0033382B" w:rsidP="0033382B">
      <w:pPr>
        <w:pStyle w:val="TextoNormal"/>
      </w:pPr>
      <w:r>
        <w:t>El órgano judicial fundamenta la inconstitucionalidad de la norma cuestionada en un único motivo: a su juicio, la facultad de autorización de los equipos conjuntos de investigación atribuida al Ministerio de Justicia en el párrafo segundo del art. 3 de la Ley 11/2003 es contrario al carácter exclusivo del ejercicio de la facultad jurisdiccional que la Constitución reconoce a jueces y tribunales en el art. 117, apartados 1 y 3, CE, en cuanto que la dirección y control de la investigación penal se deja en manos de un órgano no jurisdiccional.</w:t>
      </w:r>
    </w:p>
    <w:p w:rsidR="0033382B" w:rsidRDefault="0033382B" w:rsidP="0033382B">
      <w:pPr>
        <w:pStyle w:val="TextoNormal"/>
      </w:pPr>
    </w:p>
    <w:p w:rsidR="0033382B" w:rsidRDefault="0033382B" w:rsidP="0033382B">
      <w:pPr>
        <w:pStyle w:val="TextoNormal"/>
      </w:pPr>
      <w:r>
        <w:t>Debemos subrayar que las concretas dudas de inconstitucionalidad que alberga el órgano judicial se proyectan exclusivamente sobre el artículo 3 —una vez que el artículo 9 ha quedado excluido por las razones expuestas anteriormente en el fundamento jurídico 2— precepto que se limita a identificar a la autoridad competente española, y no sobre otros preceptos que tal vez pudieran presentar mayor relación con el contenido de dichas dudas. Por tanto, el enjuiciamiento que se nos demanda se centrará únicamente en rechazar las razones aducidas en relación con el concreto precepto legal objeto de la presente cuestión, más precisamente el párrafo 2 del mencionado artículo 3.</w:t>
      </w:r>
    </w:p>
    <w:p w:rsidR="0033382B" w:rsidRDefault="0033382B" w:rsidP="0033382B">
      <w:pPr>
        <w:pStyle w:val="TextoNormal"/>
      </w:pPr>
    </w:p>
    <w:p w:rsidR="0033382B" w:rsidRDefault="0033382B" w:rsidP="0033382B">
      <w:pPr>
        <w:pStyle w:val="TextoNormal"/>
      </w:pPr>
      <w:r>
        <w:t>El instrumento de los equipos conjuntos de investigación está previsto en el Derecho primario de la Unión Europea [art. 88.2 b) TUE] y fue regulado por la Decisión marco del Consejo de 13 de junio de 2002 sobre equipos conjuntos de investigación. La Ley 11/2003, de 21 de mayo, de equipos conjuntos de investigación penal en el ámbito de la Unión Europea introduce en el ordenamiento jurídico español las disposiciones legales necesarias para utilizar dicho instrumento y desarrollar las actuaciones coordinadas en el territorio de dos o más Estados: regula la creación y la actuación de los equipos en los que España participe, principalmente dentro del territorio español, pues fuera de él se seguirá la legislación del Estado correspondiente.</w:t>
      </w:r>
    </w:p>
    <w:p w:rsidR="0033382B" w:rsidRDefault="0033382B" w:rsidP="0033382B">
      <w:pPr>
        <w:pStyle w:val="TextoNormal"/>
      </w:pPr>
    </w:p>
    <w:p w:rsidR="0033382B" w:rsidRDefault="0033382B" w:rsidP="0033382B">
      <w:pPr>
        <w:pStyle w:val="TextoNormal"/>
      </w:pPr>
      <w:r>
        <w:t>La Ley 11/2003 atribuye importantes facultades de decisión a la “autoridad competente española”. La determinación de la “autoridad competente española” depende, básicamente, de dos criterios: del tipo de delito objeto de la investigación conjunta y de la naturaleza de las autoridades o funcionarios españoles que se integran en el equipo. En función de tales criterios, la “autoridad competente española” puede ser la Audiencia Nacional, el Ministerio de Justicia o el Ministerio del Interior. A dicha autoridad le corresponde “valorar y adoptar, en su caso, los acuerdos de constitución de equipos conjuntos de investigación que vayan a actuar en España” (artículo 4.1), así como “solicitar la creación de un equipo conjunto de investigación o decidir sobre la participación española en equipos que vayan a crearse a instancias de otros Estados” (artículo 12.1). También le corresponde designar al jefe del equipo conjunto de investigación que vaya a actuar en España y “adoptar las disposiciones organizativas necesarias para que el equipo pueda actuar” (artículo 6).</w:t>
      </w:r>
    </w:p>
    <w:p w:rsidR="0033382B" w:rsidRDefault="0033382B" w:rsidP="0033382B">
      <w:pPr>
        <w:pStyle w:val="TextoNormal"/>
      </w:pPr>
    </w:p>
    <w:p w:rsidR="0033382B" w:rsidRDefault="0033382B" w:rsidP="0033382B">
      <w:pPr>
        <w:pStyle w:val="TextoNormal"/>
      </w:pPr>
      <w:r>
        <w:t>Entrando ya en el análisis del motivo de inadmisión, en primer lugar conviene subrayar que la constitución de los equipos conjuntos de investigación incluye un elemento jurídico-internacional. La creación de un equipo conjunto de investigación está supeditada, además de a la necesidad de una investigación conjunta, a la existencia efectiva de un “acuerdo” entre dos o más Estados miembros de la Unión Europea. La creación de un equipo conjunto de investigación es una facultad de los Estados, no un deber. Aun existiendo una posibilidad e incluso necesidad objetiva de investigación conjunta, el Estado que se niega a la creación de un equipo conjunto de investigación no incurre en responsabilidad internacional o derivada del derecho de la Unión Europea. Ese elemento jurídico-internacional está latente en la regulación prevista en la Ley 11/2003 (en particular en el artículo 4.1), y debe tenerse presente en el análisis de su constitucionalidad. En suma, con la decisión de autorizar la creación de un equipo conjunto de investigación, la autoridad española que resulte competente en cada caso por decisión del legislador declara la voluntad del Estado de participar en ese instrumento de cooperación y, con ello, compromete al propio Estado.</w:t>
      </w:r>
    </w:p>
    <w:p w:rsidR="0033382B" w:rsidRDefault="0033382B" w:rsidP="0033382B">
      <w:pPr>
        <w:pStyle w:val="TextoNormal"/>
      </w:pPr>
    </w:p>
    <w:p w:rsidR="0033382B" w:rsidRDefault="0033382B" w:rsidP="0033382B">
      <w:pPr>
        <w:pStyle w:val="TextoNormal"/>
      </w:pPr>
      <w:r>
        <w:t>Así pues, la autorización de la constitución de un equipo conjunto de investigación no implica ejercicio de una potestad jurisdiccional, reservada constitucionalmente a jueces y magistrados. Desde una perspectiva político-legislativa puede criticarse quizás la regulación prevista por el legislador; y sin duda pueden concebirse fórmulas más flexibles y directas para los supuestos de equipos conjuntos de investigación que no actúan en el ámbito de los delitos que competen a la Audiencia Nacional. Sin embargo, desde la perspectiva estricta del control de constitucionalidad que se nos reclama lo determinante es que la decisión del legislador de atribuir a un órgano administrativo la facultad de formalizar la voluntad del Estado en trance de constituir un equipo conjunto de investigación no es incompatible con los apartados 1 y 3 del art. 117 CE.</w:t>
      </w:r>
    </w:p>
    <w:p w:rsidR="0033382B" w:rsidRDefault="0033382B" w:rsidP="0033382B">
      <w:pPr>
        <w:pStyle w:val="TextoNormal"/>
      </w:pPr>
    </w:p>
    <w:p w:rsidR="0033382B" w:rsidRDefault="0033382B" w:rsidP="0033382B">
      <w:pPr>
        <w:pStyle w:val="TextoNormal"/>
      </w:pPr>
      <w:r>
        <w:t>En segundo lugar, puede distinguirse perfectamente entre la facultad de autorizar los acuerdos de constitución o ampliación de los equipos conjuntos de investigación, por un lado, y la dirección de las investigaciones que se realizan en el marco de los equipos conjuntos, por otro. Como señala la Fiscal General del Estado, las facultades asignadas al Ministerio de Justicia por la Ley 11/2003 como “autoridad nacional competente” para la creación de equipos conjuntos de investigación en determinados supuestos no constituyen funciones de decisión o dirección de las investigaciones judiciales.</w:t>
      </w:r>
    </w:p>
    <w:p w:rsidR="0033382B" w:rsidRDefault="0033382B" w:rsidP="0033382B">
      <w:pPr>
        <w:pStyle w:val="TextoNormal"/>
      </w:pPr>
    </w:p>
    <w:p w:rsidR="0033382B" w:rsidRDefault="0033382B" w:rsidP="0033382B">
      <w:pPr>
        <w:pStyle w:val="TextoNormal"/>
      </w:pPr>
      <w:r>
        <w:t>Son las autoridades judiciales y fiscales quienes deciden utilizar dicho instrumento de cooperación con las autoridades de otros Estados miembros de la Unión Europea y quienes establecen los términos del equipo conjunto de investigación, pues son quienes conocen la conveniencia de una investigación conjunta. La Ley 11/2003 exige, ciertamente, que dichos acuerdos, cuando se refieren a delitos cuya investigación y persecución no corresponden a la Audiencia Nacional, se sometan a la autorización del Ministerio de Justicia con el propósito antes mencionado. Pero la regulación legal no permite contemplar la decisión de autorización de los equipos conjuntos de investigación como una intervención en la dirección y control de la investigación penal o en la dirección y composición del equipo de investigación, como aduce el órgano promotor de la cuestión. Ni en el sistema de la Ley 11/2003, ni en el concreto precepto cuestionado en este proceso se halla facultad alguna de injerencia o intromisión en la dirección y contenido de las investigaciones. El órgano administrativo no interviene en la investigación penal como tal, sino en un momento anterior, el de la formalización del correspondiente equipo conjunto de investigación. La investigación posterior se realiza bajo la dirección de un fiscal o de un juez, o bajo el liderazgo de ambos. Una vez constituido el equipo, este funciona con total independencia y autonomía, con sujeción a las normas procesales que resulten aplicables.</w:t>
      </w:r>
    </w:p>
    <w:p w:rsidR="0033382B" w:rsidRDefault="0033382B" w:rsidP="0033382B">
      <w:pPr>
        <w:pStyle w:val="TextoNormal"/>
      </w:pPr>
    </w:p>
    <w:p w:rsidR="0033382B" w:rsidRDefault="0033382B" w:rsidP="0033382B">
      <w:pPr>
        <w:pStyle w:val="TextoNormal"/>
      </w:pPr>
      <w:r>
        <w:t>Así pues, la dirección de la investigación está en manos del juez o fiscal designado como jefe del equipo de investigación, como es norma y práctica en el ámbito penal. El órgano administrativo no participa en la realización de la investigación y su única intervención se produce en el supuesto de que se le solicite una prórroga de la vigencia del equipo o una ampliación de los hechos objeto de investigación, a los efectos de renovar la declaración de voluntad estatal de participar o mantener la participación en el equipo conjunto de investigación.</w:t>
      </w:r>
    </w:p>
    <w:p w:rsidR="0033382B" w:rsidRDefault="0033382B" w:rsidP="0033382B">
      <w:pPr>
        <w:pStyle w:val="TextoNormal"/>
      </w:pPr>
    </w:p>
    <w:p w:rsidR="0033382B" w:rsidRDefault="0033382B" w:rsidP="0033382B">
      <w:pPr>
        <w:pStyle w:val="TextoNormal"/>
      </w:pPr>
      <w:r>
        <w:t>Por último, como indica la Fiscal General, tampoco desde la perspectiva de las circunstancias concretas desarrolladas en el presente caso ante la instancia administrativa competente para autorizar los acuerdos de constitución de los equipos conjuntos de investigación y ante el Juzgado de Instrucción núm. 1 de Marbella se puede apreciar intromisión, menoscabo o injerencia alguna en el ámbito jurisdiccional reservado a jueces y tribunales. El rechazo a la ampliación solicitada del equipo de investigación se fundamentó en una interpretación posible de la legalidad ordinaria, cuya pertinencia, en todo caso, no le corresponde valorar a este Tribunal. Lo relevante es que, expuestas debidamente las razones de la denegación y la forma de acomodarse a las previsiones legales por el órgano administrativo competente, el Juez de instrucción modificó y elevó la propuesta de constitución del nuevo equipo de investigación y esa propuesta fue inmediatamente autorizada por el órgano administrativo competente en los mismos términos solicitados.</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Publíquese este Auto en el “Boletín Oficial del Estado”.</w:t>
      </w:r>
    </w:p>
    <w:p w:rsidR="0033382B" w:rsidRDefault="0033382B" w:rsidP="0033382B">
      <w:pPr>
        <w:pStyle w:val="TextoNormal"/>
      </w:pPr>
    </w:p>
    <w:p w:rsidR="0033382B" w:rsidRDefault="0033382B" w:rsidP="0033382B">
      <w:pPr>
        <w:pStyle w:val="TextoNormal"/>
      </w:pPr>
      <w:r>
        <w:t>Madrid, a siete de junio de dos mil dieciséis.</w:t>
      </w:r>
    </w:p>
    <w:p w:rsidR="0033382B" w:rsidRDefault="0033382B" w:rsidP="0033382B">
      <w:pPr>
        <w:pStyle w:val="TextoNormal"/>
      </w:pPr>
    </w:p>
    <w:p w:rsidR="0033382B" w:rsidRDefault="0033382B" w:rsidP="0033382B">
      <w:pPr>
        <w:pStyle w:val="TextoNormal"/>
      </w:pPr>
      <w:r>
        <w:t>Madrid, a siete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50" w:name="AUTO_2016_123"/>
      <w:r>
        <w:t>AUTO 123/2016, de 9 de junio de 2016</w:t>
      </w:r>
    </w:p>
    <w:bookmarkEnd w:id="250"/>
    <w:p w:rsidR="0033382B" w:rsidRDefault="0033382B" w:rsidP="0033382B">
      <w:pPr>
        <w:pStyle w:val="TtuloResolucin"/>
      </w:pPr>
      <w:r>
        <w:t>Sección Tercera</w:t>
      </w:r>
    </w:p>
    <w:p w:rsidR="0033382B" w:rsidRDefault="0033382B" w:rsidP="0033382B">
      <w:pPr>
        <w:pStyle w:val="TextoNormalCentrado"/>
      </w:pPr>
      <w:r>
        <w:t>ECLI:ES:TC:2016:123A</w:t>
      </w:r>
    </w:p>
    <w:p w:rsidR="0033382B" w:rsidRDefault="0033382B" w:rsidP="0033382B">
      <w:pPr>
        <w:pStyle w:val="TextoNormalCentrado"/>
      </w:pPr>
    </w:p>
    <w:p w:rsidR="0033382B" w:rsidRDefault="0033382B" w:rsidP="0033382B">
      <w:pPr>
        <w:pStyle w:val="SntesisDescriptiva"/>
      </w:pPr>
      <w:r>
        <w:t>Excms. Srs. doña Adela Asua Batarrita, don Juan José González Rivas y don Pedro José González-Trevijano Sánchez.</w:t>
      </w:r>
    </w:p>
    <w:p w:rsidR="0033382B" w:rsidRDefault="0033382B" w:rsidP="0033382B">
      <w:pPr>
        <w:pStyle w:val="SntesisDescriptiva"/>
      </w:pPr>
    </w:p>
    <w:p w:rsidR="0033382B" w:rsidRDefault="0033382B" w:rsidP="0033382B">
      <w:pPr>
        <w:pStyle w:val="SntesisDescriptiva"/>
      </w:pPr>
      <w:r>
        <w:t>Desestima el recurso de súplica planteado en relación con la denegación de asistencia jurídica gratuita en el recurso de amparo 3448-2014, promovido por don José Martínez Rodríguez en causa penal.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2 de junio de 2014, el departamento de turno de oficio del Ilustre Colegio de Abogados de Madrid informó que don José Martínez Rodríguez había formulado solicitud de asistencia jurídica gratuita para interponer recurso de amparo contra el Auto del Juzgado de Instrucción núm. 19 de Barcelona de fecha 28 de abril de 2014 dictado en las diligencias indeterminadas núm. 268-2013. En dicho Auto se inadmitió a trámite la impugnación formulada por don José Martínez Rodríguez contra la decisión de la comisión de asistencia jurídica gratuita que le denegó el beneficio de asistencia jurídica gratuita por insostenibilidad de la pretensión consistente en interponer incidente de nulidad frente al Auto de 7 de noviembre de 2006, rectificado el 13 de diciembre de 2006, dictado por el Juzgado de Primera Instancia núm. 46 de Barcelona en los autos de jurisdicción voluntaria sobre aceptación/repudiación de herencia y formación de inventario núm. 1029-2005.</w:t>
      </w:r>
    </w:p>
    <w:p w:rsidR="0033382B" w:rsidRDefault="0033382B" w:rsidP="0033382B">
      <w:pPr>
        <w:pStyle w:val="TextoNormal"/>
      </w:pPr>
    </w:p>
    <w:p w:rsidR="0033382B" w:rsidRDefault="0033382B" w:rsidP="0033382B">
      <w:pPr>
        <w:pStyle w:val="TextoNormal"/>
      </w:pPr>
      <w:r w:rsidRPr="0033382B">
        <w:rPr>
          <w:rStyle w:val="NumeroAFNegritaCaracter"/>
        </w:rPr>
        <w:t>2</w:t>
      </w:r>
      <w:r>
        <w:t>. Por diligencia de ordenación de la Secretaría de Justicia de la Sección Tercera de este Tribunal Constitucional de fecha 5 de junio de 2014, se acordó dirigir atenta comunicación al Ilustre Colegio de Abogados de Madrid para que, conforme a lo dispuesto en la Ley 1/1996 y el acuerdo del Pleno de este Tribunal de 18 de julio de 1996, sobre asistencia jurídica gratuita en los procesos de amparo constitucional, se designase, si procedía, Abogado y Procurador del turno de oficio, que defienda y represente respectivamente al recurrente en amparo, acompañándose a dicha comunicación los documentos remitidos por el interesado.</w:t>
      </w:r>
    </w:p>
    <w:p w:rsidR="0033382B" w:rsidRDefault="0033382B" w:rsidP="0033382B">
      <w:pPr>
        <w:pStyle w:val="TextoNormal"/>
      </w:pPr>
    </w:p>
    <w:p w:rsidR="0033382B" w:rsidRDefault="0033382B" w:rsidP="0033382B">
      <w:pPr>
        <w:pStyle w:val="TextoNormal"/>
      </w:pPr>
      <w:r w:rsidRPr="0033382B">
        <w:rPr>
          <w:rStyle w:val="NumeroAFNegritaCaracter"/>
        </w:rPr>
        <w:t>3</w:t>
      </w:r>
      <w:r>
        <w:t>. La Comisión Central de Asistencia Jurídica Gratuita, en fecha de fecha 14 de julio de 2014, dictó resolución denegando al recurrente el derecho de asistencia jurídica gratuita solicitada al considerar la pretensión manifiestamente insostenible, tras haberse seguido el procedimiento regulado en los arts. 32 y 33 de la Ley 1/1996, de 10 de enero, de asistencia jurídica gratuita. El interesado impugnó la resolución denegatoria del beneficio. La Comisión Central de Asistencia Jurídica Gratuita puso ese hecho en conocimiento de este Tribunal Constitucional a través de oficio registrado el día 15 de julio de 2014, en el que señalaba que daba traslado de la impugnación y del expediente al Decanato de los Juzgados de Primera Instancia e Instrucción de Madrid para su resolución. El recurrente presentó escrito, registrado del 28 de julio de 2014, en el que terminaba suplicando que se acuerde oficiar a los Colegios de Abogados y Procuradores para la designación de profesionales del turno de oficio, con prohibición de instar el procedimiento regulado en los arts. 32 a 35 de la Ley de asistencia jurídica gratuita.</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8 de septiembre de 2014, la Sección Tercera de este Tribunal acordó incorporar a las actuaciones el escrito del recurrente, así como la resolución de la Comisión Central de Asistencia Jurídica Gratuita por la que se deniega al mismo el derecho a la asistencia jurídica gratuita y, constando que había sido impugnada, el archivo provisional de las actuaciones hasta tanto se resuelva la impugnación, quedando obligado el recurrente a aportar la resolución definitiva que en su día recayese en la referida impugnación.</w:t>
      </w:r>
    </w:p>
    <w:p w:rsidR="0033382B" w:rsidRDefault="0033382B" w:rsidP="0033382B">
      <w:pPr>
        <w:pStyle w:val="TextoNormal"/>
      </w:pPr>
    </w:p>
    <w:p w:rsidR="0033382B" w:rsidRDefault="0033382B" w:rsidP="0033382B">
      <w:pPr>
        <w:pStyle w:val="TextoNormal"/>
      </w:pPr>
      <w:r w:rsidRPr="0033382B">
        <w:rPr>
          <w:rStyle w:val="NumeroAFNegritaCaracter"/>
        </w:rPr>
        <w:t>5</w:t>
      </w:r>
      <w:r>
        <w:t>. Las vicisitudes de tal impugnación fueron, en síntesis, las siguientes:</w:t>
      </w:r>
    </w:p>
    <w:p w:rsidR="0033382B" w:rsidRDefault="0033382B" w:rsidP="0033382B">
      <w:pPr>
        <w:pStyle w:val="TextoNormal"/>
      </w:pPr>
    </w:p>
    <w:p w:rsidR="0033382B" w:rsidRDefault="0033382B" w:rsidP="0033382B">
      <w:pPr>
        <w:pStyle w:val="TextoNormal"/>
      </w:pPr>
      <w:r>
        <w:t>a) Turnada al Juzgado de Instrucción núm. 45 de Madrid, mediante Decreto de 23 de junio de 2015 de la Secretaria Judicial se tuvo por apartado a don José Martínez Rodríguez del procedimiento de impugnación por no haber asistido a la comparecencia prevista en el art. 20.2 de la Ley 1/1996, de 10 de enero, de asistencia jurídica gratuita.</w:t>
      </w:r>
    </w:p>
    <w:p w:rsidR="0033382B" w:rsidRDefault="0033382B" w:rsidP="0033382B">
      <w:pPr>
        <w:pStyle w:val="TextoNormal"/>
      </w:pPr>
    </w:p>
    <w:p w:rsidR="0033382B" w:rsidRDefault="0033382B" w:rsidP="0033382B">
      <w:pPr>
        <w:pStyle w:val="TextoNormal"/>
      </w:pPr>
      <w:r>
        <w:t>b) Contra dicho Decreto, don José Martínez Rodríguez interpuso recurso de revisión solicitando su revocación, que fue estimado mediante Auto del citado Juzgado de fecha 14 de enero de 2016.</w:t>
      </w:r>
    </w:p>
    <w:p w:rsidR="0033382B" w:rsidRDefault="0033382B" w:rsidP="0033382B">
      <w:pPr>
        <w:pStyle w:val="TextoNormal"/>
      </w:pPr>
    </w:p>
    <w:p w:rsidR="0033382B" w:rsidRDefault="0033382B" w:rsidP="0033382B">
      <w:pPr>
        <w:pStyle w:val="TextoNormal"/>
      </w:pPr>
      <w:r>
        <w:t>c) Mediante Auto de la misma fecha, el órgano judicial resolvió devolver el expediente a la Comisión de Asistencia Jurídica Gratuita para que procediera a su remisión al Tribunal Constitucional.</w:t>
      </w:r>
    </w:p>
    <w:p w:rsidR="0033382B" w:rsidRDefault="0033382B" w:rsidP="0033382B">
      <w:pPr>
        <w:pStyle w:val="TextoNormal"/>
      </w:pPr>
    </w:p>
    <w:p w:rsidR="0033382B" w:rsidRDefault="0033382B" w:rsidP="0033382B">
      <w:pPr>
        <w:pStyle w:val="TextoNormal"/>
      </w:pPr>
      <w:r>
        <w:t>Los razonamientos jurídicos en los que se fundó tal decisión fueron, literalmente, los siguientes:</w:t>
      </w:r>
    </w:p>
    <w:p w:rsidR="0033382B" w:rsidRDefault="0033382B" w:rsidP="0033382B">
      <w:pPr>
        <w:pStyle w:val="TextoNormal"/>
      </w:pPr>
    </w:p>
    <w:p w:rsidR="0033382B" w:rsidRDefault="0033382B" w:rsidP="0033382B">
      <w:pPr>
        <w:pStyle w:val="TextoNormal"/>
      </w:pPr>
      <w:r>
        <w:t>“Primero. La Comisión de Asistencia Jurídica Gratuita remite la decisión sobre la resolución de la impugnación del beneficio a los Juzgados de Madrid, con cita del artículo 20 de la Ley 1/1996 y el artículo 2.3 párrafo último del acuerdo de Pleno del Tribunal Constitucional de 18 de junio de 1996.</w:t>
      </w:r>
    </w:p>
    <w:p w:rsidR="0033382B" w:rsidRDefault="0033382B" w:rsidP="0033382B">
      <w:pPr>
        <w:pStyle w:val="TextoNormal"/>
      </w:pPr>
    </w:p>
    <w:p w:rsidR="0033382B" w:rsidRDefault="0033382B" w:rsidP="0033382B">
      <w:pPr>
        <w:pStyle w:val="TextoNormal"/>
      </w:pPr>
      <w:r>
        <w:t>El citado acuerdo y el artículo que se cita, no hace mención alguna a la competencia de los Jueces de Madrid para resolver este tipo de impugnación.</w:t>
      </w:r>
    </w:p>
    <w:p w:rsidR="0033382B" w:rsidRDefault="0033382B" w:rsidP="0033382B">
      <w:pPr>
        <w:pStyle w:val="TextoNormal"/>
      </w:pPr>
    </w:p>
    <w:p w:rsidR="0033382B" w:rsidRDefault="0033382B" w:rsidP="0033382B">
      <w:pPr>
        <w:pStyle w:val="TextoNormal"/>
      </w:pPr>
      <w:r>
        <w:t>El artículo 20.2 de la Ley de Justicia Gratuita, declara que el conocimiento de la impugnación corresponde al Tribunal o Juzgado que conoce del asunto, y si la causa no se ha iniciado, se procederá a su reparto por el Decano.</w:t>
      </w:r>
    </w:p>
    <w:p w:rsidR="0033382B" w:rsidRDefault="0033382B" w:rsidP="0033382B">
      <w:pPr>
        <w:pStyle w:val="TextoNormal"/>
      </w:pPr>
    </w:p>
    <w:p w:rsidR="0033382B" w:rsidRDefault="0033382B" w:rsidP="0033382B">
      <w:pPr>
        <w:pStyle w:val="TextoNormal"/>
      </w:pPr>
      <w:r>
        <w:t>De acuerdo con la interpretación dada a este precepto por la Comisión, presentando escrito expresando voluntad de interponer recurso de amparo, con los documentos precisos relativos al acto o resolución frente a que se dirige, la suspensión de los plazos para su interposición en forma, por la tramitación del procedimiento de impugnación, constituye un procedimiento de amparo no iniciado, y por ello debe ser resuelto por un Juez ordinario de la ciudad de Madrid.</w:t>
      </w:r>
    </w:p>
    <w:p w:rsidR="0033382B" w:rsidRDefault="0033382B" w:rsidP="0033382B">
      <w:pPr>
        <w:pStyle w:val="TextoNormal"/>
      </w:pPr>
    </w:p>
    <w:p w:rsidR="0033382B" w:rsidRDefault="0033382B" w:rsidP="0033382B">
      <w:pPr>
        <w:pStyle w:val="TextoNormal"/>
      </w:pPr>
      <w:r>
        <w:t>Esa interpretación obvia que la desestimación del derecho de beneficio a justicia gratuita se funda en la insostenibilidad de la pretensión, no en la suficiencia de recursos.</w:t>
      </w:r>
    </w:p>
    <w:p w:rsidR="0033382B" w:rsidRDefault="0033382B" w:rsidP="0033382B">
      <w:pPr>
        <w:pStyle w:val="TextoNormal"/>
      </w:pPr>
    </w:p>
    <w:p w:rsidR="0033382B" w:rsidRDefault="0033382B" w:rsidP="0033382B">
      <w:pPr>
        <w:pStyle w:val="TextoNormal"/>
      </w:pPr>
      <w:r>
        <w:t>Segundo. El artículo 5 del Acuerdo del Pleno citado de 18 de junio de 1996 expresa que, como es el caso, cuando ‘el Abogado designado de oficio oponga reparos a la sostenibilidad del recurso de amparo en los términos previstos en los artículos 32 a 35 de la Ley de Asistencia Jurídica Gratuita, el plazo para interponerlo se computará desde el día en que se notifique al interesado la decisión de la Comisión de Asistencia Jurídica Gratuita, si fuere desestimatoria, desde el día en que se produzca la designación del segundo Abogado de oficio’ es decir, la declaración de insostenibilidad de la pretensión, no impide la interposición del recurso de amparo y ello es así, porque de conformidad con su Disposición Adicional Primera, Punto cuarto, hecho el requerimiento por el Tribunal Constitucional, como así ha sucedido, a los respectivos colegios para la designación de abogado y procurador de oficio, ‘el Abogado así designado no podrá instar el procedimiento regulado en los artículos 32 a 35 de la Ley de Asistencia Jurídica Gratuita.’ Todo ello sin perjuicio de lo que se dispone en el apartado quinto respecto del derecho de estos profesionales a percibir sus honorarios si el recurso de amparo fuese inadmitido o desestimado. Se cita asimismo el reciente Auto del Tribunal Constitucional de 28 de enero de 2015, Sección 4.</w:t>
      </w:r>
    </w:p>
    <w:p w:rsidR="0033382B" w:rsidRDefault="0033382B" w:rsidP="0033382B">
      <w:pPr>
        <w:pStyle w:val="TextoNormal"/>
      </w:pPr>
    </w:p>
    <w:p w:rsidR="0033382B" w:rsidRDefault="0033382B" w:rsidP="0033382B">
      <w:pPr>
        <w:pStyle w:val="TextoNormal"/>
      </w:pPr>
      <w:r>
        <w:t>Tercero. En conclusión, la Comisión de Asistencia Jurídica Gratuita no debió remitir a este Juzgado el expediente, sino actuar de conformidad con las normas descritas más arriba, debiendo devolver el expediente a la Comisión de Justicia Gratuita para que proceda a su remisión al Tribunal Constitucional, previo testimonio que permanecerá en el juzgado y testimonio de esta resolución que será remitido al Tribunal Constitucional y respecto de su número de expediente, recurso 3448-2014C.”</w:t>
      </w:r>
    </w:p>
    <w:p w:rsidR="0033382B" w:rsidRDefault="0033382B" w:rsidP="0033382B">
      <w:pPr>
        <w:pStyle w:val="TextoNormal"/>
      </w:pPr>
    </w:p>
    <w:p w:rsidR="0033382B" w:rsidRDefault="0033382B" w:rsidP="0033382B">
      <w:pPr>
        <w:pStyle w:val="TextoNormal"/>
      </w:pPr>
      <w:r w:rsidRPr="0033382B">
        <w:rPr>
          <w:rStyle w:val="NumeroAFNegritaCaracter"/>
        </w:rPr>
        <w:t>6</w:t>
      </w:r>
      <w:r>
        <w:t>. Mediante oficio registrado el 4 de noviembre de 2015, la Comisión Central de Asistencia Jurídica Gratuita se dirigió a este Tribunal haciendo constar que adjuntaba “copia de la resolución dictada en fecha 23 de junio de 2015 por el Juzgado de Instrucción núm. 45 de Madrid por la que se acuerda confirmar la decisión adoptada por esta Comisión Central”.</w:t>
      </w:r>
    </w:p>
    <w:p w:rsidR="0033382B" w:rsidRDefault="0033382B" w:rsidP="0033382B">
      <w:pPr>
        <w:pStyle w:val="TextoNormal"/>
      </w:pPr>
    </w:p>
    <w:p w:rsidR="0033382B" w:rsidRDefault="0033382B" w:rsidP="0033382B">
      <w:pPr>
        <w:pStyle w:val="TextoNormal"/>
      </w:pPr>
      <w:r w:rsidRPr="0033382B">
        <w:rPr>
          <w:rStyle w:val="NumeroAFNegritaCaracter"/>
        </w:rPr>
        <w:t>7</w:t>
      </w:r>
      <w:r>
        <w:t>. Por escrito de fecha 14 de marzo de 2016 don José Martínez Rodríguez solicitó de este Tribunal Constitucional que fuesen requeridas, con arreglo a lo dispuesto en la disposición adicional primera del acuerdo del Pleno de 18 de junio de 1996, las designaciones definitivas del turno de oficio a los respectivos Colegios de Abogados y Procuradores de Madrid a fin de interponer el recurso de amparo.</w:t>
      </w:r>
    </w:p>
    <w:p w:rsidR="0033382B" w:rsidRDefault="0033382B" w:rsidP="0033382B">
      <w:pPr>
        <w:pStyle w:val="TextoNormal"/>
      </w:pPr>
    </w:p>
    <w:p w:rsidR="0033382B" w:rsidRDefault="0033382B" w:rsidP="0033382B">
      <w:pPr>
        <w:pStyle w:val="TextoNormal"/>
      </w:pPr>
      <w:r w:rsidRPr="0033382B">
        <w:rPr>
          <w:rStyle w:val="NumeroAFNegritaCaracter"/>
        </w:rPr>
        <w:t>8</w:t>
      </w:r>
      <w:r>
        <w:t>. Por providencia de 5 de abril de 2016, la Sección Tercera de este Tribunal acordó unir el escrito del recurrente, concediéndole un plazo de diez días para que pudiera comparecer en forma por medio de Procurador y asistido de Abogado, ambos de su libre designación, notificándosele dicho proveído con apercibimiento de que de no comparecer con tal carácter y dentro del plazo antes citado se declararía terminado el procedimiento, archivándose las actuaciones por insostenibilidad del amparo solicitado.</w:t>
      </w:r>
    </w:p>
    <w:p w:rsidR="0033382B" w:rsidRDefault="0033382B" w:rsidP="0033382B">
      <w:pPr>
        <w:pStyle w:val="TextoNormal"/>
      </w:pPr>
    </w:p>
    <w:p w:rsidR="0033382B" w:rsidRDefault="0033382B" w:rsidP="0033382B">
      <w:pPr>
        <w:pStyle w:val="TextoNormal"/>
      </w:pPr>
      <w:r w:rsidRPr="0033382B">
        <w:rPr>
          <w:rStyle w:val="NumeroAFNegritaCaracter"/>
        </w:rPr>
        <w:t>9</w:t>
      </w:r>
      <w:r>
        <w:t>. Contra la anterior providencia, don José Martínez Rodríguez interpuso recurso de súplica interesando se requiera a los Colegios de Abogados y Procuradores para la designación del turno de oficio a fin de interponer recurso de amparo con apercibimiento de que el Abogado así designado no podrá instar el procedimiento regulado en los arts. 32 a 35 de la Ley de asistencia jurídica gratuita.</w:t>
      </w:r>
    </w:p>
    <w:p w:rsidR="0033382B" w:rsidRDefault="0033382B" w:rsidP="0033382B">
      <w:pPr>
        <w:pStyle w:val="TextoNormal"/>
      </w:pPr>
    </w:p>
    <w:p w:rsidR="0033382B" w:rsidRDefault="0033382B" w:rsidP="0033382B">
      <w:pPr>
        <w:pStyle w:val="TextoNormal"/>
      </w:pPr>
      <w:r w:rsidRPr="0033382B">
        <w:rPr>
          <w:rStyle w:val="NumeroAFNegritaCaracter"/>
        </w:rPr>
        <w:t>10</w:t>
      </w:r>
      <w:r>
        <w:t>. Mediante providencia de fecha 9 de mayo de 2016, la Sección Tercera de este Tribunal Constitucional acordó abrir el trámite de audiencia previsto en el art. 93.2 LOTC. El Ministerio Fiscal, en escrito de 25 de mayo 2015, ha informado en el sentido de que procede confirmar la providencia impugnada.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Como ha quedado reflejado con mayor detalle en los antecedentes, don José Martínez Rodríguez manifestó su intención de promover recurso de amparo contra las resoluciones que denegaron la concesión del beneficio de justicia gratuita por insostenibilidad de la pretensión (art. 32 de la Ley 1/1996, de 10 de enero, de asistencia jurídica gratuita). Para ello, pidió la designación de Abogado y Procurador de oficio para su defensa y representación en este amparo, solicitud a la que se proveyó requiriendo al Ilustre Colegio de Abogados de Madrid el nombramiento de profesionales. Este último, sin embargo, rechazó designarlos al considerar la pretensión manifiestamente insostenible, tras haberse seguido el procedimiento regulado en los arts. 32 y 33 de la Ley 1/1996, de 10 de enero, de asistencia jurídica gratuita, decisión que fue confirmada por la Comisión Central de Asistencia Jurídica Gratuita. Una vez formulada y rechazada la impugnación de esta última decisión por el Juzgado de Instrucción núm. 45 de Madrid, según ha quedado expuesto, don José Martínez Rodríguez impugna la providencia de este Tribunal que le confiere plazo para comparecer con Abogado y Procurador libremente designados.</w:t>
      </w:r>
    </w:p>
    <w:p w:rsidR="0033382B" w:rsidRDefault="0033382B" w:rsidP="0033382B">
      <w:pPr>
        <w:pStyle w:val="TextoNormal"/>
      </w:pPr>
    </w:p>
    <w:p w:rsidR="0033382B" w:rsidRDefault="0033382B" w:rsidP="0033382B">
      <w:pPr>
        <w:pStyle w:val="TextoNormal"/>
      </w:pPr>
      <w:r>
        <w:t>El interesado, apoyándose en los términos del Auto dictado por el Juzgado de Instrucción núm. 45 de Madrid en fecha de 14 de enero de 2016, propugna la competencia del Tribunal Constitucional para resolver sobre la impugnación de la decisión de la Comisión Central de Asistencia Jurídica Gratuita que le denegó el beneficio, y considera que debe aplicarse al caso la disposición adicional primera del acuerdo del Pleno del Tribunal Constitucional, de 18 de junio de 1996, sobre asistencia jurídica gratuita en los procesos de amparo constitucional, cuyo apartado 4 descarta que el Abogado designado pueda instar el procedimiento regulado en los arts. 32 a 35 de la Ley 1/1996, de 10 de enero, de asistencia jurídica gratuita.</w:t>
      </w:r>
    </w:p>
    <w:p w:rsidR="0033382B" w:rsidRDefault="0033382B" w:rsidP="0033382B">
      <w:pPr>
        <w:pStyle w:val="TextoNormal"/>
      </w:pPr>
    </w:p>
    <w:p w:rsidR="0033382B" w:rsidRDefault="0033382B" w:rsidP="0033382B">
      <w:pPr>
        <w:pStyle w:val="TextoNormal"/>
      </w:pPr>
      <w:r w:rsidRPr="0033382B">
        <w:rPr>
          <w:rStyle w:val="NumeroAFNegritaCaracter"/>
        </w:rPr>
        <w:t>2</w:t>
      </w:r>
      <w:r>
        <w:t>. El ATC 252/2013, de 4 de noviembre, que resolvió un incidente similar al que ahora nos ocupa, recordaba, siguiendo la STC 7/2008, de 21 de enero, que, de acuerdo con la doctrina de este Tribunal, “la denegación del beneficio de asistencia jurídica gratuita por insostenibilidad de la pretensión, conforme al procedimiento establecido en la Ley 1/1996, de 10 de enero, de asistencia jurídica gratuita, no supone per se infracción alguna del derecho a la tutela judicial efectiva del justiciable … pues, como hemos señalado en la STC 12/1998, de 15 de enero, FJ 4 a), la denegación de dicho beneficio ‘tiende, ante todo, a asegurar que el esfuerzo social colectivo y solidario que requiere el disfrute de tal beneficio por parte de los ciudadanos más desfavorecidos económicamente no vaya a parar a la defensa de pretensiones que, por absurdas o descabelladas, no resulten merecedoras de ser sufragadas con dinero público; persiguiendo, además, la finalidad de evitar el ejercicio abusivo o temerario del derecho de acceso a la jurisdicción en defensa de pretensiones manifiestamente abocadas al fracaso, designio éste que, como ya declaramos en la STC 206/1987, se encuentra entre los que legítimamente puede perseguir el legislador a la hora de limitar el libre ejercicio del derecho de acceso a los órganos jurisdiccionales’. Por otra parte, como también señalamos en la STC 12/1998, FJ 4 b), ‘el hecho de que no sea un órgano judicial el que, en último término, se pronuncie sobre la sostenibilidad o no de la pretensión a los efectos de la pérdida del beneficio de asistencia jurídica gratuita, tampoco puede ser tenido por contrario al art. 24.1 CE, por cuanto el simple examen acerca de si el ejercicio de una pretensión procesal es o no jurídicamente viable no puede, en modo alguno, equipararse al enjuiciamiento sobre el fondo de aquella’; a lo que se añade que ‘la obtención de una decisión sobre la sostenibilidad de la pretensión por parte de un órgano totalmente ajeno a los intereses particulares del beneficiario de la asistencia jurídica gratuita... también se encuentra perfectamente asegurada con el sistema que residencia dicha decisión en los Colegios de Abogados y en el Ministerio Fiscal, órganos que se hallan en una posición de imparcialidad y objetividad, dado que carecen de interés propio alguno sobre la pretensión del beneficiario de la asistencia jurídica gratuita cuya sostenibilidad o no han de dictaminar, y, además, son órganos que cuentan con la adecuada cualificación técnica ... lo que les capacita específicamente para llevar a cabo la función de dictaminar si una determinada pretensión merece o no ser enjuiciada, por esta vía de la gratuidad, por los Juzgados y Tribunales del Poder Judicial’.” (STC 7/2008, de 21 de enero, FJ 2).</w:t>
      </w:r>
    </w:p>
    <w:p w:rsidR="0033382B" w:rsidRDefault="0033382B" w:rsidP="0033382B">
      <w:pPr>
        <w:pStyle w:val="TextoNormal"/>
      </w:pPr>
    </w:p>
    <w:p w:rsidR="0033382B" w:rsidRDefault="0033382B" w:rsidP="0033382B">
      <w:pPr>
        <w:pStyle w:val="TextoNormal"/>
      </w:pPr>
      <w:r>
        <w:t>En coherencia con ello, la disposición adicional primera del acuerdo del Pleno de este Tribunal Constitucional, de 18 de junio de 1996, sobre asistencia jurídica gratuita en los procesos de amparo constitucional, que invoca el interesado, resulta aplicable, tal y como se establece en su apartado 1, a “quienes pretenden interponer recurso de amparo contra las resoluciones judiciales desestimatorias de la impugnación a que se refiere el artículo 20 de la Ley de Asistencia Jurídica Gratuita”, es decir, por razón de recursos económicos, lo que, como hemos visto, no es el caso.</w:t>
      </w:r>
    </w:p>
    <w:p w:rsidR="0033382B" w:rsidRDefault="0033382B" w:rsidP="0033382B">
      <w:pPr>
        <w:pStyle w:val="TextoNormal"/>
      </w:pPr>
    </w:p>
    <w:p w:rsidR="0033382B" w:rsidRDefault="0033382B" w:rsidP="0033382B">
      <w:pPr>
        <w:pStyle w:val="TextoNormal"/>
      </w:pPr>
      <w:r w:rsidRPr="0033382B">
        <w:rPr>
          <w:rStyle w:val="NumeroAFNegritaCaracter"/>
        </w:rPr>
        <w:t>3</w:t>
      </w:r>
      <w:r>
        <w:t>. De cuanto llevamos expuesto se desprende que, de acuerdo con lo informado por el Ministerio Fiscal, no resulta de aplicación al supuesto examinado el apartado 4 de la mencionada disposición adicional primera del acuerdo del Pleno de este Tribunal Constitucional de 18 de junio de 1996, de lo que se sigue que la decisión tomada por este Tribunal ante la resolución denegatoria del beneficio de asistencia jurídica gratuita por insostenibilidad de la pretensión, adoptada por el órgano competente y de acuerdo con el procedimiento establecido en la Ley de asistencia jurídica gratuita, es conforme a Derecho.</w:t>
      </w:r>
    </w:p>
    <w:p w:rsidR="0033382B" w:rsidRDefault="0033382B" w:rsidP="0033382B">
      <w:pPr>
        <w:pStyle w:val="TextoNormal"/>
      </w:pPr>
    </w:p>
    <w:p w:rsidR="0033382B" w:rsidRDefault="0033382B" w:rsidP="0033382B">
      <w:pPr>
        <w:pStyle w:val="TextoNormal"/>
      </w:pPr>
      <w:r>
        <w:t>Tal providencia, acorde con la decisión adoptada en el ATC 13/2015, de 28 de enero, es respetuosa con el derecho de acceso al recurso y ha sido convenientemente motivada, conociendo el recurrente la razón por la que habría de personarse en el plazo indicado con Abogado y Procurador de libre designación, coherente ésta con el contenido de la doctrina constitucional antes transcrita.</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Desestimar el recurso de súplica interpuesto por don José Martínez Rodríguez y, en consecuencia, confirmar la providencia de 5 de abril de 2016.</w:t>
      </w:r>
    </w:p>
    <w:p w:rsidR="0033382B" w:rsidRDefault="0033382B" w:rsidP="0033382B">
      <w:pPr>
        <w:pStyle w:val="TextoNormal"/>
      </w:pPr>
    </w:p>
    <w:p w:rsidR="0033382B" w:rsidRDefault="0033382B" w:rsidP="0033382B">
      <w:pPr>
        <w:pStyle w:val="TextoNormal"/>
      </w:pPr>
      <w:r>
        <w:t>Madrid, a nueve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51" w:name="AUTO_2016_124"/>
      <w:r>
        <w:t>AUTO 124/2016, de 15 de junio de 2016</w:t>
      </w:r>
    </w:p>
    <w:bookmarkEnd w:id="251"/>
    <w:p w:rsidR="0033382B" w:rsidRDefault="0033382B" w:rsidP="0033382B">
      <w:pPr>
        <w:pStyle w:val="TtuloResolucin"/>
      </w:pPr>
      <w:r>
        <w:t>Sección Primera</w:t>
      </w:r>
    </w:p>
    <w:p w:rsidR="0033382B" w:rsidRDefault="0033382B" w:rsidP="0033382B">
      <w:pPr>
        <w:pStyle w:val="TextoNormalCentrado"/>
      </w:pPr>
      <w:r>
        <w:t>ECLI:ES:TC:2016:124A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y don Juan Antonio Xiol Ríos.</w:t>
      </w:r>
    </w:p>
    <w:p w:rsidR="0033382B" w:rsidRDefault="0033382B" w:rsidP="0033382B">
      <w:pPr>
        <w:pStyle w:val="SntesisDescriptiva"/>
      </w:pPr>
    </w:p>
    <w:p w:rsidR="0033382B" w:rsidRDefault="0033382B" w:rsidP="0033382B">
      <w:pPr>
        <w:pStyle w:val="SntesisDescriptiva"/>
      </w:pPr>
      <w:r>
        <w:t>Acuerda el desistimiento en el recurso de amparo 6702-2015,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que tuvo entrada en el Registro General de este Tribunal el día 27 de noviembre de 2015, el Procurador de los Tribunales don Francisco José Abajo Abril , en representación de Bankia, S.A., interpuso recurso de amparo contra la Sentencia 335/2015 de 14 de octubre de 2015 de la Sección Novena de la Audiencia Provincial de Valencia, resolviendo recurso de apelación interpuesto contra la Sentencia núm. 13/2015, de 20 de enero de 2015 del Juzgado de Primera Instancia núm. 1 de Valencia.</w:t>
      </w:r>
    </w:p>
    <w:p w:rsidR="0033382B" w:rsidRDefault="0033382B" w:rsidP="0033382B">
      <w:pPr>
        <w:pStyle w:val="TextoNormal"/>
      </w:pPr>
    </w:p>
    <w:p w:rsidR="0033382B" w:rsidRDefault="0033382B" w:rsidP="0033382B">
      <w:pPr>
        <w:pStyle w:val="TextoNormal"/>
      </w:pPr>
      <w:r w:rsidRPr="0033382B">
        <w:rPr>
          <w:rStyle w:val="NumeroAFNegritaCaracter"/>
        </w:rPr>
        <w:t>2</w:t>
      </w:r>
      <w:r>
        <w:t>. El Procurador Sr. Abajo Abril , por escrito presentado en este Tribunal el 7 de abril de 2016 y suscrito por Letrado, manifiesta su voluntad de desistir de la continuación del recurso.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11 de abril de 2016, se dio traslado al Ministerio Fiscal para que alegara lo que estimara oportuno en relación con el desistimiento formulado.</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dictamen que tuvo entrada en el Tribunal el 25 de abril de 2016, manifiesta que no se opone a la aprobación del desistimiento.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Entre las formas de terminación del recurso de amparo figura la del desistimiento, prevista en el art. 86.1 de la Ley Orgánica del Tribunal Constitucional (LOTC), y a la que es de aplicación supletoria la legislación procesal ordinaria (art. 80 LOTC), que la recoge en los arts. 19.1 y 20.2 y 3 de la Ley de enjuiciamiento civil (LEC).</w:t>
      </w:r>
    </w:p>
    <w:p w:rsidR="0033382B" w:rsidRDefault="0033382B" w:rsidP="0033382B">
      <w:pPr>
        <w:pStyle w:val="TextoNormal"/>
      </w:pPr>
    </w:p>
    <w:p w:rsidR="0033382B" w:rsidRDefault="0033382B" w:rsidP="0033382B">
      <w:pPr>
        <w:pStyle w:val="TextoNormal"/>
      </w:pPr>
      <w:r>
        <w:t>Esta fórmula y decisión de la parte aparece revestida de los requisitos legales, al constar en el poder conferido por la recurrente el otorgamiento con carácter especial de las facultades de desistir, tal y como exige el art. 25.2.1 LEC, además de que no se aprecia perjuicio de parte ni daño para el interés general o público. Es procedente, pues, sancionar afirmativamente esa voluntad de desistir.</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desistido del presente recurso de amparo a la entidad Bankia, S.A., y archivar las presentes actuaciones.</w:t>
      </w:r>
    </w:p>
    <w:p w:rsidR="0033382B" w:rsidRDefault="0033382B" w:rsidP="0033382B">
      <w:pPr>
        <w:pStyle w:val="TextoNormal"/>
      </w:pPr>
    </w:p>
    <w:p w:rsidR="0033382B" w:rsidRDefault="0033382B" w:rsidP="0033382B">
      <w:pPr>
        <w:pStyle w:val="TextoNormal"/>
      </w:pPr>
      <w:r>
        <w:t>Madrid, a quince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52" w:name="AUTO_2016_125"/>
      <w:r>
        <w:t>AUTO 125/2016, de 15 de junio de 2016</w:t>
      </w:r>
    </w:p>
    <w:bookmarkEnd w:id="252"/>
    <w:p w:rsidR="0033382B" w:rsidRDefault="0033382B" w:rsidP="0033382B">
      <w:pPr>
        <w:pStyle w:val="TtuloResolucin"/>
      </w:pPr>
      <w:r>
        <w:t>Sección Primera</w:t>
      </w:r>
    </w:p>
    <w:p w:rsidR="0033382B" w:rsidRDefault="0033382B" w:rsidP="0033382B">
      <w:pPr>
        <w:pStyle w:val="TextoNormalCentrado"/>
      </w:pPr>
      <w:r>
        <w:t>ECLI:ES:TC:2016:125A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y don Juan Antonio Xiol Ríos.</w:t>
      </w:r>
    </w:p>
    <w:p w:rsidR="0033382B" w:rsidRDefault="0033382B" w:rsidP="0033382B">
      <w:pPr>
        <w:pStyle w:val="SntesisDescriptiva"/>
      </w:pPr>
    </w:p>
    <w:p w:rsidR="0033382B" w:rsidRDefault="0033382B" w:rsidP="0033382B">
      <w:pPr>
        <w:pStyle w:val="SntesisDescriptiva"/>
      </w:pPr>
      <w:r>
        <w:t>Acuerda el desistimiento en el recurso de amparo 44-2016,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que tuvo entrada en el Registro General de este Tribunal el día 5 de enero de 2016, el Procurador de los Tribunales don Francisco José Abajo Abril, en representación de Bankia, S.A., interpuso recurso de amparo contra la Sentencia 216/2015 de 29 de octubre de 2015 de la Sección Primera de la Audiencia Provincial de Segovia resolviendo recurso de apelación interpuesto contra la Sentencia núm. 111/2015, de 19 de junio de 2015 del Juzgado de Primera Instancia núm. 5 de Segovia.</w:t>
      </w:r>
    </w:p>
    <w:p w:rsidR="0033382B" w:rsidRDefault="0033382B" w:rsidP="0033382B">
      <w:pPr>
        <w:pStyle w:val="TextoNormal"/>
      </w:pPr>
    </w:p>
    <w:p w:rsidR="0033382B" w:rsidRDefault="0033382B" w:rsidP="0033382B">
      <w:pPr>
        <w:pStyle w:val="TextoNormal"/>
      </w:pPr>
      <w:r w:rsidRPr="0033382B">
        <w:rPr>
          <w:rStyle w:val="NumeroAFNegritaCaracter"/>
        </w:rPr>
        <w:t>2</w:t>
      </w:r>
      <w:r>
        <w:t>. El Procurador Sr. Abajo Abril, por escrito presentado en este Tribunal el 7 de abril de 2016 y suscrito por Letrado, manifiesta su voluntad de desistir de la continuación del recurso.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11 de abril de 2016, se dio traslado al Ministerio Fiscal para que alegara lo que estimara oportuno en relación con el desistimiento formulado.</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dictamen que tuvo entrada en el Tribunal el 27 de abril de 2016, manifiesta que no se opone a la aprobación del desistimiento.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Entre las formas de terminación del recurso de amparo figura la del desistimiento, prevista en el art. 86.1 de la Ley Orgánica del Tribunal Constitucional (LOTC), y a la que es de aplicación supletoria la legislación procesal ordinaria (art. 80 LOTC), que la recoge en los arts. 19.1 y 20.2 y 3 de la Ley de enjuiciamiento civil (LEC).</w:t>
      </w:r>
    </w:p>
    <w:p w:rsidR="0033382B" w:rsidRDefault="0033382B" w:rsidP="0033382B">
      <w:pPr>
        <w:pStyle w:val="TextoNormal"/>
      </w:pPr>
    </w:p>
    <w:p w:rsidR="0033382B" w:rsidRDefault="0033382B" w:rsidP="0033382B">
      <w:pPr>
        <w:pStyle w:val="TextoNormal"/>
      </w:pPr>
      <w:r>
        <w:t>Esta fórmula y decisión de la parte aparece revestida de los requisitos legales, al constar en el poder conferido por la recurrente el otorgamiento con carácter especial de las facultades de desistir, tal y como exige el art. 25.2.1 LEC, además de que no se aprecia perjuicio de parte ni daño para el interés general o público. Es procedente, pues, sancionar afirmativamente esa voluntad de desistir.</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desistido del presente recurso de amparo a la entidad Bankia, S.A., y archivar las presentes actuaciones.</w:t>
      </w:r>
    </w:p>
    <w:p w:rsidR="0033382B" w:rsidRDefault="0033382B" w:rsidP="0033382B">
      <w:pPr>
        <w:pStyle w:val="TextoNormal"/>
      </w:pPr>
    </w:p>
    <w:p w:rsidR="0033382B" w:rsidRDefault="0033382B" w:rsidP="0033382B">
      <w:pPr>
        <w:pStyle w:val="TextoNormal"/>
      </w:pPr>
      <w:r>
        <w:t>Madrid, a quince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53" w:name="AUTO_2016_126"/>
      <w:r>
        <w:t>AUTO 126/2016, de 20 de junio de 2016</w:t>
      </w:r>
    </w:p>
    <w:bookmarkEnd w:id="253"/>
    <w:p w:rsidR="0033382B" w:rsidRDefault="0033382B" w:rsidP="0033382B">
      <w:pPr>
        <w:pStyle w:val="TtuloResolucin"/>
      </w:pPr>
      <w:r>
        <w:t>Sala Primera</w:t>
      </w:r>
    </w:p>
    <w:p w:rsidR="0033382B" w:rsidRDefault="0033382B" w:rsidP="0033382B">
      <w:pPr>
        <w:pStyle w:val="TextoNormalCentrado"/>
      </w:pPr>
      <w:r>
        <w:t>ECLI:ES:TC:2016:126A</w:t>
      </w:r>
    </w:p>
    <w:p w:rsidR="0033382B" w:rsidRDefault="0033382B" w:rsidP="0033382B">
      <w:pPr>
        <w:pStyle w:val="TextoNormalCentrado"/>
      </w:pPr>
    </w:p>
    <w:p w:rsidR="0033382B" w:rsidRDefault="0033382B" w:rsidP="0033382B">
      <w:pPr>
        <w:pStyle w:val="SntesisDescriptiva"/>
      </w:pPr>
      <w:r>
        <w:t>Excms. Srs. don Francisco Pérez de los Cobos Orihuel, doña Encarnación Roca Trías, don Andrés Ollero Tassara, don Santiago Martínez-Vares García y don Juan Antonio Xiol Ríos.</w:t>
      </w:r>
    </w:p>
    <w:p w:rsidR="0033382B" w:rsidRDefault="0033382B" w:rsidP="0033382B">
      <w:pPr>
        <w:pStyle w:val="SntesisDescriptiva"/>
      </w:pPr>
    </w:p>
    <w:p w:rsidR="0033382B" w:rsidRDefault="0033382B" w:rsidP="0033382B">
      <w:pPr>
        <w:pStyle w:val="TtuloResolucin"/>
      </w:pPr>
      <w:r>
        <w:t>*Este auto no incorpora doctrina constitucional.</w:t>
      </w:r>
    </w:p>
    <w:p w:rsidR="0033382B" w:rsidRDefault="0033382B">
      <w:pPr>
        <w:spacing w:after="160" w:line="259" w:lineRule="auto"/>
        <w:rPr>
          <w:rFonts w:ascii="Times New Roman" w:eastAsia="Times New Roman" w:hAnsi="Times New Roman" w:cs="Times New Roman"/>
          <w:b/>
          <w:sz w:val="24"/>
          <w:szCs w:val="24"/>
          <w:lang w:eastAsia="es-ES"/>
        </w:rPr>
      </w:pPr>
      <w:r>
        <w:br w:type="page"/>
      </w:r>
    </w:p>
    <w:p w:rsidR="0033382B" w:rsidRDefault="0033382B" w:rsidP="0033382B">
      <w:pPr>
        <w:pStyle w:val="TtuloResolucin"/>
      </w:pPr>
      <w:bookmarkStart w:id="254" w:name="AUTO_2016_127"/>
      <w:r>
        <w:t>AUTO 127/2016, de 20 de junio de 2016</w:t>
      </w:r>
    </w:p>
    <w:bookmarkEnd w:id="254"/>
    <w:p w:rsidR="0033382B" w:rsidRDefault="0033382B" w:rsidP="0033382B">
      <w:pPr>
        <w:pStyle w:val="TtuloResolucin"/>
      </w:pPr>
      <w:r>
        <w:t>Sección Segunda</w:t>
      </w:r>
    </w:p>
    <w:p w:rsidR="0033382B" w:rsidRDefault="0033382B" w:rsidP="0033382B">
      <w:pPr>
        <w:pStyle w:val="TextoNormalCentrado"/>
      </w:pPr>
      <w:r>
        <w:t>ECLI:ES:TC:2016:127A</w:t>
      </w:r>
    </w:p>
    <w:p w:rsidR="0033382B" w:rsidRDefault="0033382B" w:rsidP="0033382B">
      <w:pPr>
        <w:pStyle w:val="TextoNormalCentrado"/>
      </w:pPr>
    </w:p>
    <w:p w:rsidR="0033382B" w:rsidRDefault="0033382B" w:rsidP="0033382B">
      <w:pPr>
        <w:pStyle w:val="SntesisDescriptiva"/>
      </w:pPr>
      <w:r>
        <w:t>Excms. Srs. don Andrés Ollero Tassara y don Santiago Martínez-Vares García.</w:t>
      </w:r>
    </w:p>
    <w:p w:rsidR="0033382B" w:rsidRDefault="0033382B" w:rsidP="0033382B">
      <w:pPr>
        <w:pStyle w:val="SntesisDescriptiva"/>
      </w:pPr>
    </w:p>
    <w:p w:rsidR="0033382B" w:rsidRDefault="0033382B" w:rsidP="0033382B">
      <w:pPr>
        <w:pStyle w:val="SntesisDescriptiva"/>
      </w:pPr>
      <w:r>
        <w:t>Acuerda el desistimiento en el recurso de amparo 7488-2015, promovido en pleito civil.</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presentado en el Registro General de este Tribunal el día 30 de diciembre de 2015, Bankia, S.A., representado por el Procurador de los Tribunales don Francisco José Abajo Abril, interpuso recurso de amparo contra Sentencia de la Sección Primera de la Audiencia Provincial de Segovia en recurso de apelación 297-2015 contra la dictada por el Juzgado de Primera Instancia núm. 1 de Santa María la Real de Nieva en juicio verbal 167-2015.</w:t>
      </w:r>
    </w:p>
    <w:p w:rsidR="0033382B" w:rsidRDefault="0033382B" w:rsidP="0033382B">
      <w:pPr>
        <w:pStyle w:val="TextoNormal"/>
      </w:pPr>
    </w:p>
    <w:p w:rsidR="0033382B" w:rsidRDefault="0033382B" w:rsidP="0033382B">
      <w:pPr>
        <w:pStyle w:val="TextoNormal"/>
      </w:pPr>
      <w:r w:rsidRPr="0033382B">
        <w:rPr>
          <w:rStyle w:val="NumeroAFNegritaCaracter"/>
        </w:rPr>
        <w:t>2</w:t>
      </w:r>
      <w:r>
        <w:t>. El Procurador Sr. Abajo Abril, por escrito presentado el 7 de abril de 2016, estando el amparo pendiente de resolver sobre su admisión o inadmisión, manifiesta que desiste del recurso planteado.</w:t>
      </w:r>
    </w:p>
    <w:p w:rsidR="0033382B" w:rsidRDefault="0033382B" w:rsidP="0033382B">
      <w:pPr>
        <w:pStyle w:val="TextoNormal"/>
      </w:pPr>
    </w:p>
    <w:p w:rsidR="0033382B" w:rsidRDefault="0033382B" w:rsidP="0033382B">
      <w:pPr>
        <w:pStyle w:val="TextoNormal"/>
      </w:pPr>
      <w:r w:rsidRPr="0033382B">
        <w:rPr>
          <w:rStyle w:val="NumeroAFNegritaCaracter"/>
        </w:rPr>
        <w:t>3</w:t>
      </w:r>
      <w:r>
        <w:t>. Por diligencia de ordenación de 11 de abril de 2016 se dio traslado al Ministerio Fiscal para que alegara lo que estimara oportuno en relación con el desistimiento formulado.</w:t>
      </w:r>
    </w:p>
    <w:p w:rsidR="0033382B" w:rsidRDefault="0033382B" w:rsidP="0033382B">
      <w:pPr>
        <w:pStyle w:val="TextoNormal"/>
      </w:pPr>
    </w:p>
    <w:p w:rsidR="0033382B" w:rsidRDefault="0033382B" w:rsidP="0033382B">
      <w:pPr>
        <w:pStyle w:val="TextoNormal"/>
      </w:pPr>
      <w:r w:rsidRPr="0033382B">
        <w:rPr>
          <w:rStyle w:val="NumeroAFNegritaCaracter"/>
        </w:rPr>
        <w:t>4</w:t>
      </w:r>
      <w:r>
        <w:t>. El Ministerio Fiscal, por dictamen que tuvo entrada en el Tribunal el 25 de abril de 2016, no se opuso a la aprobación del desistimiento.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t>Único. Entre las formas de terminación del recurso de amparo figura la del desistimiento, prevista en el art. 86.1 de la Ley Orgánica de este Tribunal (LOTC), y a la que es de aplicación supletoria la legislación procesal ordinaria (art. 80 LOTC), que la recoge en los arts. 19.1 y 20.2 y 3 de la Ley de enjuiciamiento civil.</w:t>
      </w:r>
    </w:p>
    <w:p w:rsidR="0033382B" w:rsidRDefault="0033382B" w:rsidP="0033382B">
      <w:pPr>
        <w:pStyle w:val="TextoNormal"/>
      </w:pPr>
    </w:p>
    <w:p w:rsidR="0033382B" w:rsidRDefault="0033382B" w:rsidP="0033382B">
      <w:pPr>
        <w:pStyle w:val="TextoNormal"/>
      </w:pPr>
      <w:r>
        <w:t>Esta fórmula y decisión de la parte recurrente aparece revestida de los requisitos legales. Por otro lado, no se aprecia perjuicio de parte ni daño para el interés general o público. Es procedente, pues, sancionar afirmativamente esa voluntad de desistir.</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Tener por desistido del recurso de amparo a Bankia, S.A., y archivar las presentes actuaciones.</w:t>
      </w:r>
    </w:p>
    <w:p w:rsidR="0033382B" w:rsidRDefault="0033382B" w:rsidP="0033382B">
      <w:pPr>
        <w:pStyle w:val="TextoNormal"/>
      </w:pPr>
    </w:p>
    <w:p w:rsidR="0033382B" w:rsidRDefault="0033382B" w:rsidP="0033382B">
      <w:pPr>
        <w:pStyle w:val="TextoNormal"/>
      </w:pPr>
      <w:r>
        <w:t>Madrid, a veinte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55" w:name="AUTO_2016_128"/>
      <w:r>
        <w:t>AUTO 128/2016, de 21 de junio de 2016</w:t>
      </w:r>
    </w:p>
    <w:bookmarkEnd w:id="255"/>
    <w:p w:rsidR="0033382B" w:rsidRDefault="0033382B" w:rsidP="0033382B">
      <w:pPr>
        <w:pStyle w:val="TtuloResolucin"/>
      </w:pPr>
      <w:r>
        <w:t>Pleno</w:t>
      </w:r>
    </w:p>
    <w:p w:rsidR="0033382B" w:rsidRDefault="0033382B" w:rsidP="0033382B">
      <w:pPr>
        <w:pStyle w:val="TextoNormalCentrado"/>
      </w:pPr>
      <w:r>
        <w:t>ECLI:ES:TC:2016:128A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no haber lugar al incidente de ejecución de la STC 6/2012, de 18 de enero de 2012, dictada en el conflicto positivo de competencia 2799-1998, planteado por el Gobierno de la Generalitat de Cataluña.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22 de junio de 1998, el Gobierno de la Generalitat de Cataluña formalizó conflicto positivo de competencia frente al Gobierno de Aragón en relación con el ejercicio del derecho de retracto que se inició mediante la orden del Consejero de Educación y Cultura de la Diputación General de Aragón de 8 de agosto de 1997 y que posteriormente se concretó mediante la orden del mismo Consejero de 10 de febrero de 1998, respecto de los bienes que se relacionan en el anexo de esta última, procedentes del Monasterio de Sigena y adquiridos por la Generalitat de Cataluña. Esta solicitaba que se dictase sentencia en la que se declarase que la competencia controvertida corresponde a la Generalitat de Cataluña, con la consiguiente declaración de nulidad de las órdenes referidas.</w:t>
      </w:r>
    </w:p>
    <w:p w:rsidR="0033382B" w:rsidRDefault="0033382B" w:rsidP="0033382B">
      <w:pPr>
        <w:pStyle w:val="TextoNormal"/>
      </w:pPr>
    </w:p>
    <w:p w:rsidR="0033382B" w:rsidRDefault="0033382B" w:rsidP="0033382B">
      <w:pPr>
        <w:pStyle w:val="TextoNormal"/>
      </w:pPr>
      <w:r w:rsidRPr="0033382B">
        <w:rPr>
          <w:rStyle w:val="NumeroAFNegritaCaracter"/>
        </w:rPr>
        <w:t>2</w:t>
      </w:r>
      <w:r>
        <w:t>. El conflicto positivo de competencia, tramitado bajo el núm. 2799-1998, fue estimado por STC 6/2012, de 18 de enero (publicada en el “Boletín Oficial del Estado” de 11 de febrero de 2012), que declaró la inconstitucionalidad y nulidad de las referidas órdenes del Consejero de Educación y Cultura de la Diputación General de Aragón.</w:t>
      </w:r>
    </w:p>
    <w:p w:rsidR="0033382B" w:rsidRDefault="0033382B" w:rsidP="0033382B">
      <w:pPr>
        <w:pStyle w:val="TextoNormal"/>
      </w:pPr>
    </w:p>
    <w:p w:rsidR="0033382B" w:rsidRDefault="0033382B" w:rsidP="0033382B">
      <w:pPr>
        <w:pStyle w:val="TextoNormal"/>
      </w:pPr>
      <w:r w:rsidRPr="0033382B">
        <w:rPr>
          <w:rStyle w:val="NumeroAFNegritaCaracter"/>
        </w:rPr>
        <w:t>3</w:t>
      </w:r>
      <w:r>
        <w:t>. Ante el Juzgado de Primera Instancia e Instrucción núm. 1 de Huesca se sigue el procedimiento ordinario núm. 160-2012, en virtud de demandas de la Comunidad Autónoma de Aragón y del Ayuntamiento de Villanueva de Sigena contra la Generalitat de Cataluña, el Museo Nacional de Arte de Cataluña, las reverendas sanjuanistas del Monasterio de Sigena, las reverendas sanjuanistas del Monasterio de Valldoreix y la orden de San Juan de Jerusalén (orden religiosa sanjuanista), sobre nulidad de pleno derecho de las compraventas perfeccionadas entre la Generalitat de Cataluña (en 1983 y 1992) y las monjas sanjuanistas del Real Monasterio de Sigena, y entre estas mismas y el Museo Nacional de Arte de Cataluña (en 1994), respecto de determinados bienes procedentes de ese Monasterio.</w:t>
      </w:r>
    </w:p>
    <w:p w:rsidR="0033382B" w:rsidRDefault="0033382B" w:rsidP="0033382B">
      <w:pPr>
        <w:pStyle w:val="TextoNormal"/>
      </w:pPr>
    </w:p>
    <w:p w:rsidR="0033382B" w:rsidRDefault="0033382B" w:rsidP="0033382B">
      <w:pPr>
        <w:pStyle w:val="TextoNormal"/>
      </w:pPr>
      <w:r>
        <w:t>Por Sentencia del referido Juzgado de 8 de abril de 2015 fueron estimadas la demandas, declarando la nulidad de pleno derecho de las referidas compraventas y que la propiedad de los bienes en cuestión es de la orden sanjuanista del Real Monasterio de Sigena, por lo que se ordena reintegrar a su propietario la posesión material, para lo cual deberá procederse al traslado material de esos bienes (que se relacionan en el anexo de la Sentencia) a dicho Monasterio, sito en el término municipal de Villanueva de Sigena.</w:t>
      </w:r>
    </w:p>
    <w:p w:rsidR="0033382B" w:rsidRDefault="0033382B" w:rsidP="0033382B">
      <w:pPr>
        <w:pStyle w:val="TextoNormal"/>
      </w:pPr>
    </w:p>
    <w:p w:rsidR="0033382B" w:rsidRDefault="0033382B" w:rsidP="0033382B">
      <w:pPr>
        <w:pStyle w:val="TextoNormal"/>
      </w:pPr>
      <w:r>
        <w:t>Habiendo sido interpuesto recurso de apelación por la Generalitat de Cataluña contra dicha Sentencia, que se sustancia ante la Audiencia Provincial de Huesca, el Juzgado de Primera Instancia e Instrucción núm. 1 de Huesca dictó, a instancias de la Comunidad Autónoma de Aragón y del Ayuntamiento de Villanueva de Sigena, el Auto de 11 de junio de 2015, ordenando la ejecución provisional de la Sentencia (procedimiento de ejecución provisional núm. 87-2015) contra la Generalitat de Cataluña, el Museo Nacional de Arte de Cataluña, las reverendas sanjuanistas del Monasterio de Sigena, las reverendas sanjuanistas del Monasterio de Valldoreix y la orden de San Juan de Jerusalén (orden religiosa sanjuanista) y requiriendo a los ejecutados para que procedan el 25 de septiembre de 2015 a trasladar al Monasterio de Sigena los bienes a los que se refiere la Sentencia, con las habituales medidas de seguridad para los casos de traslado de bienes entre museos.</w:t>
      </w:r>
    </w:p>
    <w:p w:rsidR="0033382B" w:rsidRDefault="0033382B" w:rsidP="0033382B">
      <w:pPr>
        <w:pStyle w:val="TextoNormal"/>
      </w:pPr>
    </w:p>
    <w:p w:rsidR="0033382B" w:rsidRDefault="0033382B" w:rsidP="0033382B">
      <w:pPr>
        <w:pStyle w:val="TextoNormal"/>
      </w:pPr>
      <w:r>
        <w:t>Notificado que le fue el Auto referido, la Generalitat de Cataluña, invocando la STC 6/2012, de 18 de enero, suscitó un conflicto ante el Tribunal de Conflictos de Jurisdicción (art. 38 de la Ley Orgánica del Poder Judicial: LOPJ), procediéndose por el Juzgado mediante providencia de 22 de junio de 2015 a suspender el procedimiento de ejecución provisional hasta que se resolviese por la Sala de conflictos de jurisdicción el conflicto. Este conflicto fue desestimado por Sentencia de 16 de diciembre de 2015 (publicada en el “Boletín Oficial del Estado” de 12 de febrero de 2016), declarando que corresponde al Juzgado de Primera Instancia e Instrucción núm. 1 de Huesca la competencia para conocer de la acción promovida y de la ejecución de la Sentencia dictada. El Tribunal de conflictos de jurisdicción razona, entre otros extremos, que “la STC 6/2012 en la que se apoya el conflicto jurisdiccional planteado no es aplicable al caso, ya que la misma resuelve un conflicto positivo de competencia entre las Comunidades Autónomas de Cataluña y Aragón en materia de cultura y patrimonio cultural, mientras que en el proceso judicial se ha discutido la titularidad de la propiedad de los bienes por posibles vicios en su enajenación, cuestión … que la propia STC 6/2012 atribuye a la jurisdicción ordinaria”.</w:t>
      </w:r>
    </w:p>
    <w:p w:rsidR="0033382B" w:rsidRDefault="0033382B" w:rsidP="0033382B">
      <w:pPr>
        <w:pStyle w:val="TextoNormal"/>
      </w:pPr>
    </w:p>
    <w:p w:rsidR="0033382B" w:rsidRDefault="0033382B" w:rsidP="0033382B">
      <w:pPr>
        <w:pStyle w:val="TextoNormal"/>
      </w:pPr>
      <w:r>
        <w:t>Recibida la Sentencia del Tribunal de Conflictos de Jurisdicción en el Juzgado de Primera Instancia e Instrucción núm. 1 de Huesca, este, por Auto de 25 de enero de 2016, acordó alzar la suspensión del procedimiento de ejecución provisional y continuar su tramitación.</w:t>
      </w:r>
    </w:p>
    <w:p w:rsidR="0033382B" w:rsidRDefault="0033382B" w:rsidP="0033382B">
      <w:pPr>
        <w:pStyle w:val="TextoNormal"/>
      </w:pPr>
    </w:p>
    <w:p w:rsidR="0033382B" w:rsidRDefault="0033382B" w:rsidP="0033382B">
      <w:pPr>
        <w:pStyle w:val="TextoNormal"/>
      </w:pPr>
      <w:r w:rsidRPr="0033382B">
        <w:rPr>
          <w:rStyle w:val="NumeroAFNegritaCaracter"/>
        </w:rPr>
        <w:t>4</w:t>
      </w:r>
      <w:r>
        <w:t>. Por escrito registrado en este Tribunal el 10 de febrero de 2016, los Abogados de la Generalitat de Cataluña, en representación del Gobierno de la Generalitat y al amparo de los arts. 4 y 92.1, 2 y 3 de la Ley Orgánica del Tribunal Constitucional (LOTC), plantean incidente de ejecución de la STC 6/2012, de 18 de enero, respecto de la Sentencia de 8 de abril de 2015 del Juzgado de Primera Instancia e Instrucción núm. 1 de Huesca, dictada en procedimiento ordinario núm. 160-2012, y del Auto del mismo Juzgado de 11 de junio de 2015, dictado en procedimiento de ejecución provisional núm. 87-2015.</w:t>
      </w:r>
    </w:p>
    <w:p w:rsidR="0033382B" w:rsidRDefault="0033382B" w:rsidP="0033382B">
      <w:pPr>
        <w:pStyle w:val="TextoNormal"/>
      </w:pPr>
    </w:p>
    <w:p w:rsidR="0033382B" w:rsidRDefault="0033382B" w:rsidP="0033382B">
      <w:pPr>
        <w:pStyle w:val="TextoNormal"/>
      </w:pPr>
      <w:r>
        <w:t>Tras referirse a los antecedentes del caso, sostienen los Abogados de la Generalitat de Cataluña que la ejecución provisional de la Sentencia del Juzgado de 8 de abril de 2015, que el Auto de 25 de enero de 2016 ordena continuar, con la entrega de los bienes y su traslado al Monasterio de Sigena, va directamente en contra de lo decidido por el Tribunal Constitucional en la STC 6/2012. En ella se resuelve —afirman— que dichos bienes “permanezcan en la Comunidad Autónoma en la que se encuentran” (STC 6/2012, FJ 8 in fine) por lo que debe declararse la nulidad de las resoluciones judiciales contra las que se promueve el incidente de ejecución, “de modo que se respete la permanencia de los bienes a los que aquellas se refieren en los Museos de Cataluña, en donde ya se encuentran debidamente protegidos”.</w:t>
      </w:r>
    </w:p>
    <w:p w:rsidR="0033382B" w:rsidRDefault="0033382B" w:rsidP="0033382B">
      <w:pPr>
        <w:pStyle w:val="TextoNormal"/>
      </w:pPr>
    </w:p>
    <w:p w:rsidR="0033382B" w:rsidRDefault="0033382B" w:rsidP="0033382B">
      <w:pPr>
        <w:pStyle w:val="TextoNormal"/>
      </w:pPr>
      <w:r>
        <w:t>Los Abogados de la Generalitat solicitan a este Tribunal que tenga por planteado el incidente de ejecución de la STC 6/2012, respecto de la Sentencia de 8 de abril de 2015 del Juzgado de Primera Instancia e Instrucción núm. 1 de Huesca, dictada en procedimiento ordinario núm. 160-2012, en cuanto al inciso del fallo que dispone “reintegrándose de este modo al propietario la posesión material y, por lo tanto, el traslado de los bienes que constan en el documento número 5, anexo de esta sentencia, al Monasterio de Sigena, sito en el término municipal de Villanueva de Sigena”. También del apartado 2 de la parte dispositiva del Auto del mismo Juzgado de 11 de junio de 2015, que acuerda la ejecución provisional de dicha Sentencia y que, previos los trámites oportunos, declare la nulidad de ambas resoluciones judiciales.</w:t>
      </w:r>
    </w:p>
    <w:p w:rsidR="0033382B" w:rsidRDefault="0033382B" w:rsidP="0033382B">
      <w:pPr>
        <w:pStyle w:val="TextoNormal"/>
      </w:pPr>
    </w:p>
    <w:p w:rsidR="0033382B" w:rsidRDefault="0033382B" w:rsidP="0033382B">
      <w:pPr>
        <w:pStyle w:val="TextoNormal"/>
      </w:pPr>
      <w:r>
        <w:t xml:space="preserve">Por otrosí solicitan asimismo que, en tanto no se resuelva el presente incidente de ejecución de la STC 6/2012, adopte este Tribunal la medida cautelar de suspender la ejecución del referido inciso del fallo de la Sentencia de 8 de abril de 2015 del Juzgado de Primera Instancia e Instrucción núm. 1 de Huesca, para evitar que la prosecución de la ejecución provisional acordada por dicho Juzgado en el Auto de 11 de junio de 2015 y confirmada en el Auto de 25 de enero de 2016, prive de virtualidad al presente incidente y cercene la eficacia de la situación jurídica declarada </w:t>
      </w:r>
      <w:r w:rsidRPr="0033382B">
        <w:rPr>
          <w:i/>
        </w:rPr>
        <w:t>erga omnes</w:t>
      </w:r>
      <w:r>
        <w:t>en la STC 6/2012.</w:t>
      </w:r>
    </w:p>
    <w:p w:rsidR="0033382B" w:rsidRDefault="0033382B" w:rsidP="0033382B">
      <w:pPr>
        <w:pStyle w:val="TextoNormal"/>
      </w:pPr>
    </w:p>
    <w:p w:rsidR="0033382B" w:rsidRDefault="0033382B" w:rsidP="0033382B">
      <w:pPr>
        <w:pStyle w:val="TextoNormal"/>
      </w:pPr>
      <w:r w:rsidRPr="0033382B">
        <w:rPr>
          <w:rStyle w:val="NumeroAFNegritaCaracter"/>
        </w:rPr>
        <w:t>5</w:t>
      </w:r>
      <w:r>
        <w:t>. Fundamentan los Abogados de la Generalitat su pretensión en el incidente de ejecución de la STC 6/2012 que promueven en los razonamientos que siguen.</w:t>
      </w:r>
    </w:p>
    <w:p w:rsidR="0033382B" w:rsidRDefault="0033382B" w:rsidP="0033382B">
      <w:pPr>
        <w:pStyle w:val="TextoNormal"/>
      </w:pPr>
    </w:p>
    <w:p w:rsidR="0033382B" w:rsidRDefault="0033382B" w:rsidP="0033382B">
      <w:pPr>
        <w:pStyle w:val="TextoNormal"/>
      </w:pPr>
      <w:r>
        <w:t>a) Comienzan refiriéndose a los fundamentos jurídicos de orden procesal que sirven de apoyo para la formulación del presente incidente de ejecución de sentencia, citando al efecto expresamente los arts. 4 y 92.1, 2 y 3 LOTC (redactado este precepto por el artículo único de la Ley Orgánica 15/2015, de 16 de octubre, de reforma de la Ley Orgánica 2/1979, de 3 de octubre, del Tribunal Constitucional, para la ejecución de las resoluciones del Tribunal Constitucional como garantía del Estado de Derecho), así como la doctrina constitucional al respecto (citan los AATC 177/2012, de 2 de octubre, FJ 2, y 157/2014, de 28 de mayo, FJ 2). Conforme a esta doctrina, el derecho a la ejecución de las sentencias firmes en sus propios términos y el acatamiento de esa firmeza y de la intangibilidad de las situaciones jurídicas en ellas declaradas, son atributos no sólo de las resoluciones que dictan los órganos judiciales, sino también de las dictadas por el Tribunal Constitucional, de manera que no puede admitirse que se dicten resoluciones que contravengan lo dispuesto en una sentencia de este Tribunal o que impidan la eficacia jurídica de lo en ella declarado. Señalan también los Abogados de la Generalitat que el incidente de ejecución del art. 92 LOTC no se sujeta a plazo alguno, en atención a que lo que se halla en juego es la propia jurisdicción constitucional y la vinculación de todos los poderes públicos a sus pronunciamientos.</w:t>
      </w:r>
    </w:p>
    <w:p w:rsidR="0033382B" w:rsidRDefault="0033382B" w:rsidP="0033382B">
      <w:pPr>
        <w:pStyle w:val="TextoNormal"/>
      </w:pPr>
    </w:p>
    <w:p w:rsidR="0033382B" w:rsidRDefault="0033382B" w:rsidP="0033382B">
      <w:pPr>
        <w:pStyle w:val="TextoNormal"/>
      </w:pPr>
      <w:r>
        <w:t>b) Por lo que se refiere a los fundamentos jurídicos de orden material, razonan los Abogados de la Generalitat que la Sentencia de 8 de abril de 2015 del Juzgado de Primera Instancia e Instrucción núm. 1 de Huesca y el Auto del mismo Juzgado de 11 de junio de 2015, que ordena la ejecución provisional de dicha Sentencia (ejecución continuada en virtud del posterior Auto de 25 de enero de 2016), contradicen y vacían de contenido lo decidido en la STC 6/2012, en la que se habría resuelto que los bienes que el Juzgado ordena entregar a la orden sanjuanista del Monasterio de Sigena, con el consiguiente traslado de los mismos a dicho Monasterio, “permanezcan en la Comunidad Autónoma en la que se encuentran” (STC 6/2012, FJ 8 in fine), esto es, en Cataluña.</w:t>
      </w:r>
    </w:p>
    <w:p w:rsidR="0033382B" w:rsidRDefault="0033382B" w:rsidP="0033382B">
      <w:pPr>
        <w:pStyle w:val="TextoNormal"/>
      </w:pPr>
    </w:p>
    <w:p w:rsidR="0033382B" w:rsidRDefault="0033382B" w:rsidP="0033382B">
      <w:pPr>
        <w:pStyle w:val="TextoNormal"/>
      </w:pPr>
      <w:r>
        <w:t>Señalan que lo que se plantean en el incidente de ejecución no se refiere a la anulación de los contratos de compraventa de los bienes en cuestión, sino a lo que dispone la Sentencia del Juzgado en cuanto a la posesión y consecuente traslado de los bienes al Monasterio de Sigena. Consideran que la verdadera pretensión en el pleito civil (pendiente de apelación) del Gobierno de Aragón y del Ayuntamiento de Villanueva de Sigena es conseguir el traslado de esos bienes a territorio aragonés, por lo que vendría a tratarse “en el fondo” de la misma pretensión que, en su día, se intentó conseguir mediante las dos órdenes del Consejero de Educación y Cultura que en 1997 y 1998 ejercieron el derecho de retracto respecto de los mismos bienes procedentes del Monasterio de Sigena y adquiridos por la Generalitat de Cataluña, lo que dio lugar al conflicto de competencia núm. 2799-1998, resuelto en la STC 6/2012 a favor de la Comunidad Autónoma de Cataluña. Tras resumir la fundamentación de la STC 6/2012 y reproducir literalmente el último párrafo del fundamento jurídico 8 de la misma, concluyen los Abogados de la Generalitat que “podrá estarse más o menos de acuerdo con la citada argumentación, como lo muestra la existencia de dos votos particulares formulados a la Sentencia, pero lo que resulta innegable es que en la STC 6/2012 el Tribunal ‘resolvió sobre el destino concreto de los bienes’, como se afirma al final del voto particular formulado por el Magistrado don José Hernando Santiago, al que se adhiere el Magistrado don Francisco Pérez de los Cobos Orihuel”.</w:t>
      </w:r>
    </w:p>
    <w:p w:rsidR="0033382B" w:rsidRDefault="0033382B" w:rsidP="0033382B">
      <w:pPr>
        <w:pStyle w:val="TextoNormal"/>
      </w:pPr>
    </w:p>
    <w:p w:rsidR="0033382B" w:rsidRDefault="0033382B" w:rsidP="0033382B">
      <w:pPr>
        <w:pStyle w:val="TextoNormal"/>
      </w:pPr>
      <w:r>
        <w:t>Según los Abogados de la Generalitat, la STC 6/2012 deviene totalmente ineficaz por lo decidido en el inciso del fallo de la Sentencia de 8 de abril de 2015 del Juzgado de Primera Instancia e Instrucción núm. 1 de Huesca, que dispone literalmente “reintegrándose de este modo al propietario la posesión material y, por lo tanto, el traslado de los bienes que constan en el documento número 5, anexo de esta sentencia, al Monasterio de Sigena”, y en el Auto del mismo Juzgado de 11 de junio de 2015, en cuanto ordena la ejecución provisional de lo anterior. En consecuencia, consideran que procede la anulación de ambas resoluciones judiciales, de manera que los bienes controvertidos “permanezcan en la Comunidad Autónoma en la que se encuentran”, sin perjuicio de que quede abierta la vía de las técnicas de colaboración entre las Comunidades Autónomas afectadas en orden a articular mecanismos voluntarios que permitan alcanzar soluciones satisfactorias para la mejor aplicación de sus respectivas competencias en materia de protección del patrimonio histórico y cultural.</w:t>
      </w:r>
    </w:p>
    <w:p w:rsidR="0033382B" w:rsidRDefault="0033382B" w:rsidP="0033382B">
      <w:pPr>
        <w:pStyle w:val="TextoNormal"/>
      </w:pPr>
    </w:p>
    <w:p w:rsidR="0033382B" w:rsidRDefault="0033382B" w:rsidP="0033382B">
      <w:pPr>
        <w:pStyle w:val="TextoNormal"/>
      </w:pPr>
      <w:r w:rsidRPr="0033382B">
        <w:rPr>
          <w:rStyle w:val="NumeroAFNegritaCaracter"/>
        </w:rPr>
        <w:t>6</w:t>
      </w:r>
      <w:r>
        <w:t>. Por providencia de 1 de marzo de 2016, el Pleno del Tribunal Constitucional acordó tener por recibido el escrito presentado el 10 de febrero de 2016 por los Abogados de la Generalitat de Cataluña y dar traslado de copia del mismo al Ministerio Fiscal, a la representación legal de la Diputación General de Aragón y al Juzgado de Primera Instancia e Instrucción núm. 1 de Huesca, concediéndoles un plazo de diez días para que formulen las alegaciones que estimen oportunas.</w:t>
      </w:r>
    </w:p>
    <w:p w:rsidR="0033382B" w:rsidRDefault="0033382B" w:rsidP="0033382B">
      <w:pPr>
        <w:pStyle w:val="TextoNormal"/>
      </w:pPr>
    </w:p>
    <w:p w:rsidR="0033382B" w:rsidRDefault="0033382B" w:rsidP="0033382B">
      <w:pPr>
        <w:pStyle w:val="TextoNormal"/>
      </w:pPr>
      <w:r w:rsidRPr="0033382B">
        <w:rPr>
          <w:rStyle w:val="NumeroAFNegritaCaracter"/>
        </w:rPr>
        <w:t>7</w:t>
      </w:r>
      <w:r>
        <w:t>. Por oficio que tuvo entrada en este Tribunal el 15 de marzo de 2016, la Magistrada-Juez titular del Juzgado de Primera Instancia e Instrucción núm. 1 de Huesca informó al respecto en el sentido de adjuntar testimonio de la Sentencia de 8 de abril de 2015, dictada en procedimiento ordinario núm. 160-2012 (a la que expresamente se remite), del Auto de 11 de junio de 2015, por el que se acuerda la ejecución provisional (procedimiento de ejecución provisional núm. 87-2015), de la providencia de 22 de junio de 2015, por la que se suspende esa ejecución en tanto se resuelve el conflicto de jurisdicción planteado (resuelto por Sentencia del Tribunal de conflictos de jurisdicción de 16 de diciembre de 2005), y del Auto de 25 de enero de 2016 por el que se alza la suspensión acordada, precisándose que se encuentra pendiente de resolución la oposición a la ejecución de la Generalitat de Cataluña y el Museo Nacional de Arte de Cataluña.</w:t>
      </w:r>
    </w:p>
    <w:p w:rsidR="0033382B" w:rsidRDefault="0033382B" w:rsidP="0033382B">
      <w:pPr>
        <w:pStyle w:val="TextoNormal"/>
      </w:pPr>
    </w:p>
    <w:p w:rsidR="0033382B" w:rsidRDefault="0033382B" w:rsidP="0033382B">
      <w:pPr>
        <w:pStyle w:val="TextoNormal"/>
      </w:pPr>
      <w:r w:rsidRPr="0033382B">
        <w:rPr>
          <w:rStyle w:val="NumeroAFNegritaCaracter"/>
        </w:rPr>
        <w:t>8</w:t>
      </w:r>
      <w:r>
        <w:t>. El Letrado de la Comunidad Autónoma de Aragón, en la representación de esta que legalmente ostenta, mediante escrito registrado en este Tribunal el 23 de marzo de 2016, compareció en el presente incidente de ejecución y formuló las alegaciones que seguidamente se resumen.</w:t>
      </w:r>
    </w:p>
    <w:p w:rsidR="0033382B" w:rsidRDefault="0033382B" w:rsidP="0033382B">
      <w:pPr>
        <w:pStyle w:val="TextoNormal"/>
      </w:pPr>
    </w:p>
    <w:p w:rsidR="0033382B" w:rsidRDefault="0033382B" w:rsidP="0033382B">
      <w:pPr>
        <w:pStyle w:val="TextoNormal"/>
      </w:pPr>
      <w:r>
        <w:t>Se opone al incidente planteado por la Generalitat de Cataluña recordando, en primer lugar, que la STC 6/2012 no se pronuncia sobre las cuestiones de legalidad ordinaria resueltas en la Sentencia de 8 de abril de 2015 del Juzgado de Primera Instancia e Instrucción núm. 1 de Huesca, que declaró la nulidad civil de las compraventas de 1983, 1992 y 1994, respecto de determinados bienes procedentes del Monasterio de Sigena y adquiridos por la Generalitat de Cataluña y el Museo Nacional de Arte de Cataluña, ordenando el reintegro y traslado material de esos bienes a dicho Monasterio. La STC 6/2012 resolvió el conflicto positivo de competencia planteado por la Generalitat de Cataluña frente al Gobierno de Aragón en relación con el ejercicio del derecho de retracto que este pretendió llevar respecto de esos mismos bienes, declarando prevalente la competencia de la Generalitat de Cataluña en materia de protección del patrimonio histórico y artístico para la conservación de esos bienes, pero no se pronunció sobre la titularidad de los mismos, su calificación definitiva o la validez de las compraventas. Precisó al respecto (fundamento jurídico 2) que “todas estas cuestiones deben excluirse del conflicto constitucional, dado su carácter fáctico o de legalidad ordinaria, pues ciertamente atienden a la calificación de los bienes y a eventuales vicios de legalidad en el proceso de enajenación. La verificación de dichos requisitos corresponde en exclusiva a los Tribunales ordinarios”. Este ha sido, justamente, el objeto del proceso civil sustanciado ante el Juzgado de Primera Instancia e Instrucción núm. 1 de Huesca (procedimiento ordinario núm. 160-2012) y resuelto por la citada Sentencia de 8 de abril de 2015. No existe, pues, incumplimiento de la STC 6/2012.</w:t>
      </w:r>
    </w:p>
    <w:p w:rsidR="0033382B" w:rsidRDefault="0033382B" w:rsidP="0033382B">
      <w:pPr>
        <w:pStyle w:val="TextoNormal"/>
      </w:pPr>
    </w:p>
    <w:p w:rsidR="0033382B" w:rsidRDefault="0033382B" w:rsidP="0033382B">
      <w:pPr>
        <w:pStyle w:val="TextoNormal"/>
      </w:pPr>
      <w:r>
        <w:t>Tampoco puede, por tanto, vulnerar la STC 6/2012 el Auto del mismo Juzgado de 11 de junio de 2015, que ordena la ejecución provisional de su Sentencia de 8 de abril de 2015 (procedimiento de ejecución provisional núm. 87-2015), recurrida en apelación por la Generalitat de Cataluña. Recuerda el Letrado de la Comunidad Autónoma de Aragón que el Tribunal de Conflictos de Jurisdicción, por Sentencia de 16 de diciembre de 2015, rechazó el promovido por la Generalitat de Cataluña, declarando que corresponde al Juzgado de Primera Instancia e Instrucción núm. 1 de Huesca la competencia para conocer de la acción de nulidad promovida y de la ejecución de la Sentencia dictada en el proceso; en esa Sentencia el Tribunal de conflictos advirtió expresamente que “la STC 6/2012 en la que se apoya el conflicto jurisdiccional planteado no es aplicable al caso, ya que la misma resuelve un conflicto positivo de competencia entre las Comunidades Autónomas de Cataluña y Aragón en materia de cultura y patrimonio cultural, mientras que en el proceso judicial se ha discutido la titularidad de la propiedad de los bienes por posibles vicios en su enajenación, cuestión sobre la que la propia STC 6/2012 atribuye a la jurisdicción ordinaria” (sic).</w:t>
      </w:r>
    </w:p>
    <w:p w:rsidR="0033382B" w:rsidRDefault="0033382B" w:rsidP="0033382B">
      <w:pPr>
        <w:pStyle w:val="TextoNormal"/>
      </w:pPr>
    </w:p>
    <w:p w:rsidR="0033382B" w:rsidRDefault="0033382B" w:rsidP="0033382B">
      <w:pPr>
        <w:pStyle w:val="TextoNormal"/>
      </w:pPr>
      <w:r>
        <w:t>Entiende en consecuencia el Letrado de la Comunidad Autónoma de Aragón que las previsiones del incidente de ejecución contenidas en el art. 92 LOTC, recientemente reformado por la Ley Orgánica 15/2015, de 16 de octubre, que invocan los Abogados de la Generalitat de Cataluña, no son aplicables al presente caso. Lo que pretende la Generalitat de Cataluña, como ya hiciera al suscitar el conflicto de jurisdicción, no es sino paralizar la ejecución de la Sentencia dictada por el Juzgado de Primera Instancia e Instrucción núm. 1 de Huesca en el proceso sobre la nulidad de las compraventas respecto de los bienes procedentes del Monasterio de Sigena. Las cuestiones que se ventilan en ese proceso ordinario son ajenas al conflicto positivo de competencia resuelto por la STC 6/2012, como esta misma ya precisaba. No estamos pues ante un supuesto de inejecución o incumplimiento de la STC 6/2012, que es por otra parte meramente declarativa (de la titularidad de la competencia controvertida en aquel conflicto constitucional), con arreglo a lo dispuesto en el art. 66 LOTC.</w:t>
      </w:r>
    </w:p>
    <w:p w:rsidR="0033382B" w:rsidRDefault="0033382B" w:rsidP="0033382B">
      <w:pPr>
        <w:pStyle w:val="TextoNormal"/>
      </w:pPr>
    </w:p>
    <w:p w:rsidR="0033382B" w:rsidRDefault="0033382B" w:rsidP="0033382B">
      <w:pPr>
        <w:pStyle w:val="TextoNormal"/>
      </w:pPr>
      <w:r>
        <w:t>Por todo ello solicita la inadmisión o, subsidiariamente, la desestimación del incidente de ejecución promovido por la Generalitat de Cataluña en relación con la STC 6/2012.</w:t>
      </w:r>
    </w:p>
    <w:p w:rsidR="0033382B" w:rsidRDefault="0033382B" w:rsidP="0033382B">
      <w:pPr>
        <w:pStyle w:val="TextoNormal"/>
      </w:pPr>
    </w:p>
    <w:p w:rsidR="0033382B" w:rsidRDefault="0033382B" w:rsidP="0033382B">
      <w:pPr>
        <w:pStyle w:val="TextoNormal"/>
      </w:pPr>
      <w:r w:rsidRPr="0033382B">
        <w:rPr>
          <w:rStyle w:val="NumeroAFNegritaCaracter"/>
        </w:rPr>
        <w:t>9</w:t>
      </w:r>
      <w:r>
        <w:t>. El Ministerio Fiscal presentó su escrito de alegaciones el 11 de abril de 2016, en el que considera que no procede atender la pretensión formulada por la Generalitat de Cataluña.</w:t>
      </w:r>
    </w:p>
    <w:p w:rsidR="0033382B" w:rsidRDefault="0033382B" w:rsidP="0033382B">
      <w:pPr>
        <w:pStyle w:val="TextoNormal"/>
      </w:pPr>
    </w:p>
    <w:p w:rsidR="0033382B" w:rsidRDefault="0033382B" w:rsidP="0033382B">
      <w:pPr>
        <w:pStyle w:val="TextoNormal"/>
      </w:pPr>
      <w:r>
        <w:t>El Ministerio Fiscal trae a colación la reiterada doctrina de este Tribunal en relación con el incidente de ejecución de sentencias del art. 92 LOTC; sentada en su mayor parte en recursos de amparo. Recuerda en particular que, conforme a dicha doctrina constitucional, la cuestión a dilucidar en este ámbito se circunscribe exclusivamente a determinar si la Sentencia del Tribunal Constitucional ha sido correctamente ejecutada, sin que en modo alguno pueda extenderse a cualesquiera otras pretensiones mantenidas por la parte ante la jurisdicción ordinaria (en este sentido, AATC 52/2004, de 23 de febrero, FJ 1; 323/2008, de 20 de octubre, FJ 2; 120/2010, de 4 de octubre, FJ 1, y 139/2010, de 18 de octubre, FJ 2).</w:t>
      </w:r>
    </w:p>
    <w:p w:rsidR="0033382B" w:rsidRDefault="0033382B" w:rsidP="0033382B">
      <w:pPr>
        <w:pStyle w:val="TextoNormal"/>
      </w:pPr>
    </w:p>
    <w:p w:rsidR="0033382B" w:rsidRDefault="0033382B" w:rsidP="0033382B">
      <w:pPr>
        <w:pStyle w:val="TextoNormal"/>
      </w:pPr>
      <w:r>
        <w:t>En este supuesto conviene advertir que no se trata de un asunto en el que las resoluciones judiciales controvertidas hayan sido dictadas en ejecución de una sentencia constitucional. El conflicto positivo de competencia resuelto en la STC 6/2012 se circunscribió a anular las resoluciones de la Comunidad Autónoma de Aragón referidas al ejercicio del derecho de retracto sobre un conjunto de bienes procedentes del Monasterio de Sigena adquiridos por la Generalitat de Cataluña, al entender prevalente la competencia de protección del patrimonio histórico y artístico de esta Comunidad Autónoma sobre la competencia equivalente (e igualmente legítima) de la Comunidad Autónoma de Aragón, por razón de la ubicación territorial efectiva de los bienes al tiempo de la decisión del conflicto por el Tribunal Constitucional.</w:t>
      </w:r>
    </w:p>
    <w:p w:rsidR="0033382B" w:rsidRDefault="0033382B" w:rsidP="0033382B">
      <w:pPr>
        <w:pStyle w:val="TextoNormal"/>
      </w:pPr>
    </w:p>
    <w:p w:rsidR="0033382B" w:rsidRDefault="0033382B" w:rsidP="0033382B">
      <w:pPr>
        <w:pStyle w:val="TextoNormal"/>
      </w:pPr>
      <w:r>
        <w:t>En todo caso es obligado precisar que ese conflicto constitucional se dirimió excluyendo del mismo (STC 6/2012, FJ 2) la controversia sobre la naturaleza o calificación de los bienes y la regularidad de la enajenación de los mismos, sobre los que se pretendían ejercer facultades y competencias de protección por ambas Comunidades Autónomas. Dichas cuestiones fueron expresamente apartadas de su decisión por el Tribunal Constitucional y explícitamente declaradas como objeto de verificación exclusiva por parte de la jurisdicción ordinaria, en consideración a su carácter fáctico y pertenencia al ámbito de la legalidad ordinaria, siendo justamente estas cuestiones las que fueron enjuiciadas por el Juzgado de Primera Instancia e Instrucción núm. 1 de Huesca en la Sentencia de 8 de abril de 2015, dictada en el procedimiento ordinario núm. 160-2012.</w:t>
      </w:r>
    </w:p>
    <w:p w:rsidR="0033382B" w:rsidRDefault="0033382B" w:rsidP="0033382B">
      <w:pPr>
        <w:pStyle w:val="TextoNormal"/>
      </w:pPr>
    </w:p>
    <w:p w:rsidR="0033382B" w:rsidRDefault="0033382B" w:rsidP="0033382B">
      <w:pPr>
        <w:pStyle w:val="TextoNormal"/>
      </w:pPr>
      <w:r>
        <w:t>En esa Sentencia se estima las demandas de la Comunidad Autónoma de Aragón y del Ayuntamiento de Sigena, en las que se ejercía una acción de nulidad civil, siendo la cuestión controvertida (como precisa el fundamento de derecho 4 de aquella Sentencia) “la validez jurídica de las enajenaciones que se llevaron a cabo a favor de la Generalitat mediante escrituras de 1983 y en 1992 y con el Museo de Arte de Cataluña de fecha 1994 de bienes del Monasterio de Sigena”; en ningún caso el litigio versa sobre el ejercicio de un derecho de retracto por parte de la Administración autonómica aragonesa ni sobre la legitimidad o ejercicio de una competencia autonómica de protección que lo ampare (a diferencia de lo que sucedía en el conflicto resuelto por la STC 6/2012). El examen de la Sentencia desvela que han sido examinadas cuestiones de competencia territorial por planteamiento de declinatoria (antecedente de hecho 2); de legitimación y competencia de las Administraciones actoras, así como la naturaleza, calificación y régimen jurídico de los bienes (fundamentos de Derecho 1 y 2). También se ha delimitado con detalle el objeto de la controversia, en torno a la validez y regularidad de las enajenaciones (fundamento de Derecho 4), tras descartar explícitamente el Juzgado que la cuestión litigiosa fuera resuelta por la STC 6/2012 (fundamento de Derecho 3). La fundamentación jurídica de la Sentencia aborda el examen de los bienes objeto de los contratos de compraventa, la historia y valor artístico-cultural del Monasterio de Sigena y su contenido (fundamento de Derecho 4); el objeto de la acción ejercitada (fundamento de Derecho 5); la naturaleza de esa acción (fundamento de Derecho 6); la normativa de aplicación vulnerada en los actos de enajenación de los bienes (fundamento de Derecho 7) y la conclusión: existencia de vicio de nulidad absoluta de pleno derecho por ilicitud de la causa y objeto de las compraventas, con la consecuencia de reintegro de la posesión material de los bienes al propietario legítimo de los mismos, sin perjuicio de las “reintegraciones económicas que procedan” (fundamento de Derecho 8). El fallo de la Sentencia, que incorpora a la parte dispositiva el efecto jurídico de la conclusión alcanzada, es consecuente con esta.</w:t>
      </w:r>
    </w:p>
    <w:p w:rsidR="0033382B" w:rsidRDefault="0033382B" w:rsidP="0033382B">
      <w:pPr>
        <w:pStyle w:val="TextoNormal"/>
      </w:pPr>
    </w:p>
    <w:p w:rsidR="0033382B" w:rsidRDefault="0033382B" w:rsidP="0033382B">
      <w:pPr>
        <w:pStyle w:val="TextoNormal"/>
      </w:pPr>
      <w:r>
        <w:t>El análisis del contenido de la Sentencia del Juzgado de Primera Instancia e Instrucción núm. 1 de Huesca revela que no cabe hallar en la misma (ni tampoco en los Autos que acuerdan la ejecución provisional y su continuación, que se limitan a llevar adelante el fallo de aquella) prescripciones contrarias a la STC 6/2012 ni intento de menoscabar la eficacia jurídica o material de lo decidido en esta por el Tribunal Constitucional; lo resuelto por el Juzgado no excede del ámbito de legalidad ordinaria sobre calificación de los bienes procedentes del Monasterio de Sigena y vicios de legalidad en la enajenación de los mismos, extremos estos que de manera expresa fueron excluidos por la propia STC 6/2012 del objeto del conflicto constitucional por esta dirimido.</w:t>
      </w:r>
    </w:p>
    <w:p w:rsidR="0033382B" w:rsidRDefault="0033382B" w:rsidP="0033382B">
      <w:pPr>
        <w:pStyle w:val="TextoNormal"/>
      </w:pPr>
    </w:p>
    <w:p w:rsidR="0033382B" w:rsidRDefault="0033382B" w:rsidP="0033382B">
      <w:pPr>
        <w:pStyle w:val="TextoNormal"/>
      </w:pPr>
      <w:r>
        <w:t>La consecuencia natural de la apreciación por la jurisdicción civil de la nulidad de las enajenaciones de los bienes en cuestión aboca a su devolución a su legítimo titular; este no es sino el efecto consustancial a dicha apreciación judicial y se ubica fuera del ámbito de lo decidido en la STC 6/2012. Esta acordó la permanencia de los bienes en Cataluña en los estrictos términos de lo que constituyó el objeto del conflicto competencial allí resuelto: la confluencia de competencias legítimas de dos Comunidades Autónomas en materia de protección del patrimonio histórico y artístico, a raíz del intento de ejercitar un derecho de retracto sobre los bienes por parte de una de ellas (Aragón) y la ubicación territorial efectiva de los bienes en la otra (Cataluña) en el momento del planteamiento del conflicto y de la resolución del mismo por el Tribunal Constitucional, que obligó a este a determinar qué competencia debía prevalecer y por qué motivo (la de Cataluña, en razón a que los bienes en cuestión se encontraban en su territorio). Decisión tomada, según se desprende de la propia STC 6/2012, FJ 2, al margen de lo que proceda resolver por la jurisdicción ordinaria sobre los reseñados aspectos de la naturaleza de los bienes, su calificación y la regularidad de las enajenaciones de los mismos.</w:t>
      </w:r>
    </w:p>
    <w:p w:rsidR="0033382B" w:rsidRDefault="0033382B" w:rsidP="0033382B">
      <w:pPr>
        <w:pStyle w:val="TextoNormal"/>
      </w:pPr>
    </w:p>
    <w:p w:rsidR="0033382B" w:rsidRDefault="0033382B" w:rsidP="0033382B">
      <w:pPr>
        <w:pStyle w:val="TextoNormal"/>
      </w:pPr>
      <w:r>
        <w:t>El examen de las actuaciones pone de manifiesto —concluye el Fiscal— que lo que se ha procurado realmente por la Generalitat de Cataluña por el cauce del art. 92 LOTC se asemeja más a un intento de impugnación de las resoluciones de ejecución provisional dictadas por el Juzgado de Primera Instancia e Instrucción núm. 1 de Huesca (en tanto se resuelve el recurso de apelación ante la Audiencia Provincial de Huesca que pende sobre la Sentencia), que a la promoción de una ejecución de una resolución constitucional. Por todo ello el incidente de ejecución debería ser rechazado por improcedente.</w:t>
      </w:r>
    </w:p>
    <w:p w:rsidR="0033382B" w:rsidRDefault="0033382B" w:rsidP="0033382B">
      <w:pPr>
        <w:pStyle w:val="TextoNormal"/>
      </w:pPr>
    </w:p>
    <w:p w:rsidR="0033382B" w:rsidRDefault="0033382B" w:rsidP="0033382B">
      <w:pPr>
        <w:pStyle w:val="TextoNormal"/>
      </w:pPr>
      <w:r w:rsidRPr="0033382B">
        <w:rPr>
          <w:rStyle w:val="NumeroAFNegritaCaracter"/>
        </w:rPr>
        <w:t>10</w:t>
      </w:r>
      <w:r>
        <w:t>. Con fecha 30 de mayo de 2016 tuvo entrada en el Registro General de este Tribunal escrito de los Abogados de la Generalitat de Cataluña, al que se acompaña el Decreto del Juzgado de Primera Instancia e Instrucción núm. 1 de Huesca de 24 de mayo de 2016 por el que se acuerda continuar con la ejecución provisional de la Sentencia dictada en el procedimiento ordinario núm. 160-2012 y requerir a la Generalitat de Cataluña y al Museo Nacional de Arte de Cataluña para que procedan el 25 de julio de 2016 a trasladar al Monasterio de Sigena los bienes a los que se refiere la Sentencia, con las habituales medidas de seguridad para los casos de traslado de bienes entre museos; todo ello por cuanto mediante Auto del mismo Juzgado de 23 de mayo de 2016 se desestimó la oposición a la ejecución provisional.</w:t>
      </w:r>
    </w:p>
    <w:p w:rsidR="0033382B" w:rsidRDefault="0033382B" w:rsidP="0033382B">
      <w:pPr>
        <w:pStyle w:val="TextoNormal"/>
      </w:pPr>
    </w:p>
    <w:p w:rsidR="0033382B" w:rsidRDefault="0033382B" w:rsidP="0033382B">
      <w:pPr>
        <w:pStyle w:val="TextoNormal"/>
      </w:pPr>
      <w:r>
        <w:t>En su escrito los Abogados de la Generalitat de Cataluña solicitan que este Tribunal resuelva a la mayor brevedad posible sobre la medida cautelar solicitada por otrosí en el escrito por el que se plantea incidente de ejecución de la STC 6/2012, extendiendo sus efectos al Decreto del Juzgado de Primera Instancia e Instrucción núm. 1 de Huesca de 24 de mayo de 2016; así evitar que la prosecución de la ejecución provisional acordada por dicho Juzgado prive de virtualidad al incidente de ejecución y cercene la eficacia de la situación jurídica declarada erga omnes en aquella Sentencia constitucional. Todo ello si con anterioridad este Tribunal no ha resuelto sobre el fondo del incidente de ejecución planteado.</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Según se ha expuesto con más detalle en los antecedentes, los Abogados de la Generalitat de Cataluña, en representación del Gobierno de la Generalitat, han promovido un incidente de ejecución de la STC 6/2012, de 18 de enero, dictada en el conflicto positivo de competencia núm. 2799-1998 (publicada en el “Boletín Oficial del Estado” de 11 de febrero de 2012), que declaró la inconstitucionalidad y nulidad de sendas órdenes del Consejero de Educación y Cultura de la Diputación General de Aragón, relativas al ejercicio del derecho de retracto respecto de determinados bienes procedentes del Monasterio de Sigena, sobre las que versaba dicho conflicto.</w:t>
      </w:r>
    </w:p>
    <w:p w:rsidR="0033382B" w:rsidRDefault="0033382B" w:rsidP="0033382B">
      <w:pPr>
        <w:pStyle w:val="TextoNormal"/>
      </w:pPr>
    </w:p>
    <w:p w:rsidR="0033382B" w:rsidRDefault="0033382B" w:rsidP="0033382B">
      <w:pPr>
        <w:pStyle w:val="TextoNormal"/>
      </w:pPr>
      <w:r>
        <w:t>Invocan los Abogados de la Generalitat de Cataluña lo dispuesto en los arts. 4 y 92 (apartados 1, 2 y 3) de la Ley Orgánica del Tribunal Constitucional (LOTC), reformado este por la Ley Orgánica 15/2015, de 16 de octubre, para la ejecución de las resoluciones del Tribunal Constitucional como garantía del Estado de Derecho. A su amparo interesan que declaremos, respecto de la Sentencia de 8 de abril de 2015 del Juzgado de Primera Instancia e Instrucción núm. 1 de Huesca (procedimiento ordinario núm. 160-2012), la nulidad del inciso del fallo que dispone “reintegrándose de este modo al propietario la posesión material y, por lo tanto, el traslado de los bienes que constan en el documento número 5, anexo de esta sentencia, al Monasterio de Sigena, sito en el término municipal de Villanueva de Sigena”. Respecto del Auto del mismo Juzgado de 11 de junio de 2015 (procedimiento de ejecución provisional núm. 87-2015), se plantea la nulidad del apartado 2 de la parte dispositiva, que acuerda la ejecución provisional de dicha Sentencia, en los términos que han quedado reflejados en el relato de antecedentes de la presente resolución.</w:t>
      </w:r>
    </w:p>
    <w:p w:rsidR="0033382B" w:rsidRDefault="0033382B" w:rsidP="0033382B">
      <w:pPr>
        <w:pStyle w:val="TextoNormal"/>
      </w:pPr>
    </w:p>
    <w:p w:rsidR="0033382B" w:rsidRDefault="0033382B" w:rsidP="0033382B">
      <w:pPr>
        <w:pStyle w:val="TextoNormal"/>
      </w:pPr>
      <w:r>
        <w:t>Los Abogados de la Generalitat consideran, en síntesis, que la ejecución provisional de la Sentencia del Juzgado de Primera Instancia e Instrucción núm. 1 de Huesca de 8 de abril de 2015, que el Auto de 25 de enero de 2016 ordena continuar, con la entrega de los bienes y su traslado al Monasterio de Sigena, contraviene lo decidido por el Tribunal Constitucional en la STC 6/2012. En ella se resuelve que dichos bienes “permanezcan en la Comunidad Autónoma en la que se encuentran” (STC 6/2012, FJ 8 in fine), esto es, en Cataluña, por lo que debe declararse la nulidad de los referidos incisos de las resoluciones judiciales contra las que se promueve el incidente de ejecución, “de modo que se respete la permanencia de los bienes a los que aquellas se refieren en los Museos de Cataluña, en donde ya se encuentran debidamente protegidos”. Ello sin perjuicio de eventual aplicación de las técnicas de colaboración entre las Comunidades Autónomas afectadas, en orden a articular mecanismos voluntarios que permitan alcanzar soluciones satisfactorias para la mejor aplicación de sus respectivas competencias en materia de protección del patrimonio histórico y cultural.</w:t>
      </w:r>
    </w:p>
    <w:p w:rsidR="0033382B" w:rsidRDefault="0033382B" w:rsidP="0033382B">
      <w:pPr>
        <w:pStyle w:val="TextoNormal"/>
      </w:pPr>
    </w:p>
    <w:p w:rsidR="0033382B" w:rsidRDefault="0033382B" w:rsidP="0033382B">
      <w:pPr>
        <w:pStyle w:val="TextoNormal"/>
      </w:pPr>
      <w:r>
        <w:t>La Magistrada-Juez titular del Juzgado de Primera Instancia e Instrucción núm. 1 de Huesca informó en el sentido de remitirse a lo decidido en su Sentencia de 8 de abril de 2015, de la que adjunta testimonio, así como de los Autos de 11 de junio de 2015 y 25 de enero de 2016, dictados en el procedimiento de ejecución provisional de dicha Sentencia, precisando que se encuentra pendiente de resolución la oposición a la ejecución de la Generalitat de Cataluña y del Museo Nacional de Arte Cataluña.</w:t>
      </w:r>
    </w:p>
    <w:p w:rsidR="0033382B" w:rsidRDefault="0033382B" w:rsidP="0033382B">
      <w:pPr>
        <w:pStyle w:val="TextoNormal"/>
      </w:pPr>
    </w:p>
    <w:p w:rsidR="0033382B" w:rsidRDefault="0033382B" w:rsidP="0033382B">
      <w:pPr>
        <w:pStyle w:val="TextoNormal"/>
      </w:pPr>
      <w:r>
        <w:t>El Letrado de la Comunidad Autónoma de Aragón se opone a la pretensión formulada por los Abogados de la Generalitat de Cataluña e interesa, conforme a lo razonado en su escrito de alegaciones, que se inadmita el incidente de ejecución o, subsidiariamente, se desestime. Entiende que las cuestiones de legalidad ordinaria que se ventilan en el proceso civil resuelto por la Sentencia del Juzgado de Primera Instancia e Instrucción núm. 1 de Huesca de 8 de abril de 2015 (titularidad y naturaleza de los bienes y validez de las enajenaciones de los mismos), son por completo ajenas al conflicto positivo de competencia resuelto por la STC 6/2012, como esta misma ya precisó (FJ 2). En consecuencia, las previsiones del incidente de ejecución contenidas en el art. 92 LOTC no resultan de aplicación al presente caso, pues las resoluciones judiciales contra las que se promueve el incidente no incumplen la STC 6/2012 ni contradicen de modo alguno lo decidido en ella.</w:t>
      </w:r>
    </w:p>
    <w:p w:rsidR="0033382B" w:rsidRDefault="0033382B" w:rsidP="0033382B">
      <w:pPr>
        <w:pStyle w:val="TextoNormal"/>
      </w:pPr>
    </w:p>
    <w:p w:rsidR="0033382B" w:rsidRDefault="0033382B" w:rsidP="0033382B">
      <w:pPr>
        <w:pStyle w:val="TextoNormal"/>
      </w:pPr>
      <w:r>
        <w:t>El Ministerio Fiscal considera también que el incidente de ejecución de la STC 6/2012 formulado por los Abogados de la Generalitat de Cataluña debe ser rechazado por improcedente. El examen de la Sentencia del Juzgado de Primera Instancia e Instrucción núm. 1 de Huesca evidencia que no cabe hallar en la misma (ni tampoco en los Autos que acuerdan la ejecución provisional y su continuación, que se limitan a llevar adelante el fallo de aquella) prescripciones contrarias a la STC 6/2012 ni intento de menoscabar la eficacia jurídica o material de lo decidido en esta; lo resuelto por el Juzgado no excede del ámbito de legalidad ordinaria sobre la calificación de los bienes procedentes del Monasterio de Sigena y los vicios de legalidad en la enajenación de los mismos, extremos estos que de manera expresa fueron excluidos por la propia STC 6/2012, FJ 2, del objeto del conflicto constitucional por ella resuelto.</w:t>
      </w:r>
    </w:p>
    <w:p w:rsidR="0033382B" w:rsidRDefault="0033382B" w:rsidP="0033382B">
      <w:pPr>
        <w:pStyle w:val="TextoNormal"/>
      </w:pPr>
    </w:p>
    <w:p w:rsidR="0033382B" w:rsidRDefault="0033382B" w:rsidP="0033382B">
      <w:pPr>
        <w:pStyle w:val="TextoNormal"/>
      </w:pPr>
      <w:r w:rsidRPr="0033382B">
        <w:rPr>
          <w:rStyle w:val="NumeroAFNegritaCaracter"/>
        </w:rPr>
        <w:t>2</w:t>
      </w:r>
      <w:r>
        <w:t>. Con arreglo a lo expuesto resulta que, dado lo interesado por los Abogados de la Generalitat de Cataluña, el objeto de la presente resolución se contrae exclusivamente a determinar si lo decidido en la referida Sentencia del Juzgado de Primera Instancia e Instrucción núm. 1 de Huesca, en cuanto ordena la devolución de los bienes en cuestión al Monasterio de Sigena, contradice o menoscaba de algún modo lo resuelto por este Tribunal en la STC 6/2012. Tal cuestión deberemos resolverla aplicando los criterios sentados en nuestra doctrina en cuanto al art. 92 LOTC.</w:t>
      </w:r>
    </w:p>
    <w:p w:rsidR="0033382B" w:rsidRDefault="0033382B" w:rsidP="0033382B">
      <w:pPr>
        <w:pStyle w:val="TextoNormal"/>
      </w:pPr>
    </w:p>
    <w:p w:rsidR="0033382B" w:rsidRDefault="0033382B" w:rsidP="0033382B">
      <w:pPr>
        <w:pStyle w:val="TextoNormal"/>
      </w:pPr>
      <w:r>
        <w:t>Cumple advertir al respecto que la pendencia de sendos recursos de inconstitucionalidad planteados contra la reciente Ley Orgánica 15/2015, de 16 de octubre, de reforma de la Ley Orgánica del Tribunal Constitucional para la ejecución de las resoluciones del Tribunal Constitucional como garantía del Estado de Derecho, no va a afectar a la resolución del presente incidente de ejecución, que en modo alguno prejuzga lo que deba resolverse sobre ellos. Al margen del principio de presunción de constitucionalidad de las leyes, es claro que, antes y después de la reforma del marco legal resultante de los arts. 87 y 92 LOTC por la citada Ley Orgánica 15/2015, todos los poderes públicos estaban y están obligados al cumplimiento de lo que resuelva el Tribunal Constitucional; este se hallaba y se halla plenamente facultado para resolver las incidencias de ejecución de sus sentencias y demás resoluciones, pudiendo declarar la nulidad de cualesquiera resoluciones que contravengan las dictadas en el ejercicio de su jurisdicción, con ocasión de la ejecución de estas.</w:t>
      </w:r>
    </w:p>
    <w:p w:rsidR="0033382B" w:rsidRDefault="0033382B" w:rsidP="0033382B">
      <w:pPr>
        <w:pStyle w:val="TextoNormal"/>
      </w:pPr>
    </w:p>
    <w:p w:rsidR="0033382B" w:rsidRDefault="0033382B" w:rsidP="0033382B">
      <w:pPr>
        <w:pStyle w:val="TextoNormal"/>
      </w:pPr>
      <w:r>
        <w:t>Asimismo cabe advertir que, como ha quedado anteriormente indicado, la Sentencia de 8 de abril de 2015 del Juzgado de Primera Instancia e Instrucción núm. 1 de Huesca ha sido recurrida en apelación por la Generalitat de Cataluña, estando dicho recurso pendiente de resolución ante la Audiencia Provincial de Huesca a la fecha en que se plantea el incidente de ejecución de la STC 6/2012 ante este Tribunal. De igual modo resulta que entonces se hallaba pendiente de resolución ante el Juzgado la oposición de la Generalitat de Cataluña y el Museo Nacional de Arte de Cataluña a la ejecución provisional de la Sentencia. Esta oposición fue finalmente desestimada por Auto de 23 de mayo de 2016, lo que ha dado lugar a que se continúe la ejecución provisional, con nuevo requerimiento a los ejecutados para que procedan el 25 de julio de 2016 a trasladar al Monasterio de Sigena los bienes a los que se refiere la Sentencia, conforme ordena el decreto del Juzgado de 24 de mayo de 2016, contra el que cabe recurso de revisión. No obstante, dada la dicción literal de los arts. 4, 87 y 92 LOTC y teniendo en cuenta que este incidente no se plantea en relación con la ejecución de una sentencia de este Tribunal dictada en un recurso de amparo (AATC 205/2007, de 16 de abril, FJ único; 65/2015, de 13 de abril, FFJJ 2 y 3, y 197/2015, de 30 de noviembre, FJ único), no cabe atribuir trascendencia alguna a esa falta de agotamiento de la vía jurisdiccional en relación con las referidas resoluciones judiciales (en similar sentido, ATC 107/2009, de 24 de marzo, FJ 3), en cuanto a la admisión y resolución del presente incidente de ejecución.</w:t>
      </w:r>
    </w:p>
    <w:p w:rsidR="0033382B" w:rsidRDefault="0033382B" w:rsidP="0033382B">
      <w:pPr>
        <w:pStyle w:val="TextoNormal"/>
      </w:pPr>
    </w:p>
    <w:p w:rsidR="0033382B" w:rsidRDefault="0033382B" w:rsidP="0033382B">
      <w:pPr>
        <w:pStyle w:val="TextoNormal"/>
      </w:pPr>
      <w:r w:rsidRPr="0033382B">
        <w:rPr>
          <w:rStyle w:val="NumeroAFNegritaCaracter"/>
        </w:rPr>
        <w:t>3</w:t>
      </w:r>
      <w:r>
        <w:t>. Conforme a nuestra doctrina los arts. 4 y 92 LOTC, invocados por los Abogados de la Generalitat de Cataluña, “tienen por finalidad la defensa de la posición institucional del Tribunal Constitucional, protegiendo su ámbito jurisdiccional frente a cualquier intromisión ulterior, pues establecen la posibilidad de anular cualquier acto que pudiera menoscabar dicho ámbito, ofreciendo al mismo tiempo las suficientes garantías a los órganos autores de las resoluciones concernidas, toda vez que, junto a la necesaria motivación de la decisión del Tribunal, se exige la previa audiencia del Ministerio Fiscal, así como la del órgano al que sea imputable el acto o resolución controvertido” (AATC 107/2009, de 24 de marzo, FJ 2, y 177/2012, de 2 de octubre, FJ 2).</w:t>
      </w:r>
    </w:p>
    <w:p w:rsidR="0033382B" w:rsidRDefault="0033382B" w:rsidP="0033382B">
      <w:pPr>
        <w:pStyle w:val="TextoNormal"/>
      </w:pPr>
    </w:p>
    <w:p w:rsidR="0033382B" w:rsidRDefault="0033382B" w:rsidP="0033382B">
      <w:pPr>
        <w:pStyle w:val="TextoNormal"/>
      </w:pPr>
      <w:r>
        <w:t>El incidente de ejecución regulado por el art. 92 LOTC atiende al propósito de garantizar la defensa de la posición institucional de este Tribunal y la efectividad de sus sentencias y resoluciones, protegiendo su ámbito jurisdiccional frente a cualquier intromisión ulterior de un poder público que pudiera menoscabarla. El art. 87.1 LOTC determina que todos los poderes públicos están obligados al cumplimiento de lo que el Tribunal Constitucional resuelva y el art. 92 LOTC establece la facultad de este Tribunal de anular cualquier acto o resolución que incumpla, menoscabe o contravenga las resoluciones dictadas en el ejercicio de su jurisdicción (art. 92.1 LOTC). Ofrece al mismo tiempo las suficientes garantías a los órganos autores de los actos o resoluciones susceptibles de ser anuladas; junto a la necesaria motivación de la decisión del Tribunal, en forma de Auto, susceptible de recurso de súplica (art. 93.2 LOTC), se exige la previa audiencia del Ministerio Fiscal y la del órgano al que sea imputable el acto o resolución controvertido (así como la de quienes intervinieron en el proceso constitucional correspondiente, en su caso).</w:t>
      </w:r>
    </w:p>
    <w:p w:rsidR="0033382B" w:rsidRDefault="0033382B" w:rsidP="0033382B">
      <w:pPr>
        <w:pStyle w:val="TextoNormal"/>
      </w:pPr>
    </w:p>
    <w:p w:rsidR="0033382B" w:rsidRDefault="0033382B" w:rsidP="0033382B">
      <w:pPr>
        <w:pStyle w:val="TextoNormal"/>
      </w:pPr>
      <w:r>
        <w:t>Siguiendo la doctrina establecida en relación con los incidentes de ejecución de sentencias y resoluciones de este Tribunal (por todos, ATC 107/2009, FJ 4), lo que ha de examinarse en el presente incidente, al cotejar el contenido de la STC 6/2012 con la Sentencia de 8 de abril de 2015 del Juzgado de Primera Instancia e Instrucción núm. 1 de Huesca (en el inciso controvertido del fallo, relativo al mandato de reintegrar la posesión material de los bienes litigiosos a su propietario y, en consecuencia, de trasladar dichos bienes al Monasterio de Sigena), es si esta resolución judicial (así como las que ordenan la ejecución provisional de la misma y su continuación una vez que el Tribunal de conflictos de jurisdicción ha confirmado la competencia del Juzgado), incurren o no en alguna de las dos situaciones proscritas por nuestra jurisprudencia. Tal ocurriría de contener un pronunciamiento contrario a la STC 6/2012 o suponer un intento de menoscabar la eficacia —jurídica o material— de lo que se resolvió en esta. La vinculación de todos los poderes públicos al cumplimiento de lo que el Tribunal Constitucional resuelva (art. 87.1 LOTC) se extiende tanto al fallo como a la fundamentación jurídica de sus sentencias y demás resoluciones (SSTC 158/2004, de 21 de septiembre, FJ 4, y 302/2005, de 21 de noviembre, FJ 6; AATC 273/2006, de 17 de julio, FJ 4, y 120/2010, de 4 de octubre, FJ 1, por todos).</w:t>
      </w:r>
    </w:p>
    <w:p w:rsidR="0033382B" w:rsidRDefault="0033382B" w:rsidP="0033382B">
      <w:pPr>
        <w:pStyle w:val="TextoNormal"/>
      </w:pPr>
    </w:p>
    <w:p w:rsidR="0033382B" w:rsidRDefault="0033382B" w:rsidP="0033382B">
      <w:pPr>
        <w:pStyle w:val="TextoNormal"/>
      </w:pPr>
      <w:r w:rsidRPr="0033382B">
        <w:rPr>
          <w:rStyle w:val="NumeroAFNegritaCaracter"/>
        </w:rPr>
        <w:t>4</w:t>
      </w:r>
      <w:r>
        <w:t>. Debe recordarse que la STC 6/2012 estimó el conflicto positivo de competencia núm. 2799-1998, planteado por el Gobierno de la Generalitat de Cataluña frente al Gobierno de Aragón, y declaró la inconstitucionalidad y nulidad de las órdenes del Consejero de Educación y Cultura de la Diputación General de Aragón de 8 de agosto de 1997 y 10 de febrero de 1998, relativas al ejercicio del derecho de retracto respecto de determinados bienes provenientes del tesoro artístico del Monasterio de Sigena y adquiridos en su momento por la Generalitat de Cataluña (los mismos a los que se refiere la Sentencia del Juzgado de Primera Instancia e Instrucción núm. 1 de Huesca).</w:t>
      </w:r>
    </w:p>
    <w:p w:rsidR="0033382B" w:rsidRDefault="0033382B" w:rsidP="0033382B">
      <w:pPr>
        <w:pStyle w:val="TextoNormal"/>
      </w:pPr>
    </w:p>
    <w:p w:rsidR="0033382B" w:rsidRDefault="0033382B" w:rsidP="0033382B">
      <w:pPr>
        <w:pStyle w:val="TextoNormal"/>
      </w:pPr>
      <w:r>
        <w:t>En la STC 6/2012, FJ 2, se advierte que el asunto sometido a la decisión del Tribunal Constitucional “contiene una controversia sobre la naturaleza del derecho de retracto en tanto que instrumento reconocido a la Administración pública para la protección del patrimonio cultural y sobre los límites a su ejercicio”; de ahí que los argumentos ajenos a esta controversia competencial “deben excluirse del objeto del conflicto constitucional, dado su carácter fáctico o de legalidad ordinaria, pues ciertamente atienden a la calificación de los bienes y a eventuales vicios de legalidad en el proceso de enajenación. La verificación de dichos requisitos corresponde en exclusiva a los Tribunales ordinarios, a los que ya ha acudido la entidad promotora del conflicto”.</w:t>
      </w:r>
    </w:p>
    <w:p w:rsidR="0033382B" w:rsidRDefault="0033382B" w:rsidP="0033382B">
      <w:pPr>
        <w:pStyle w:val="TextoNormal"/>
      </w:pPr>
    </w:p>
    <w:p w:rsidR="0033382B" w:rsidRDefault="0033382B" w:rsidP="0033382B">
      <w:pPr>
        <w:pStyle w:val="TextoNormal"/>
      </w:pPr>
      <w:r>
        <w:t>Asimismo precisa la STC 6/2012, FJ 3, que la petición formulada al Tribunal Constitucional por la Generalitat de Cataluña “no es la determinación de la titularidad de dichos bienes sino la declaración de que la potestad administrativa de tutela sobre patrimonio histórico corresponde a la Generalitat, como efectivamente se hace en el petitum de la demanda … Esta especifica que en el conflicto se plantea únicamente que corresponde a la Generalitat la competencia para proteger los bienes controvertidos y que Aragón ha excedido los límites de sus competencias en materia de patrimonio histórico y cultural [art. 36.1 g) del Estatuto de Autonomía de Aragón (EAAr), posteriormente art. 35.1.33 EAAr], con invasión de sus propias competencias en esa materia, asumidas en el Estatuto de Autonomía (arts. 9.5 y 9.6 del Estatuto de Autonomía de Cataluña: EAC)”.</w:t>
      </w:r>
    </w:p>
    <w:p w:rsidR="0033382B" w:rsidRDefault="0033382B" w:rsidP="0033382B">
      <w:pPr>
        <w:pStyle w:val="TextoNormal"/>
      </w:pPr>
    </w:p>
    <w:p w:rsidR="0033382B" w:rsidRDefault="0033382B" w:rsidP="0033382B">
      <w:pPr>
        <w:pStyle w:val="TextoNormal"/>
      </w:pPr>
      <w:r>
        <w:t>En el mismo sentido se insiste en el fundamento jurídico 4 de la STC 6/2012. Señala que “el exceso de los límites competenciales se habría producido al pretender ejercitar el Gobierno de Aragón, mediante las citadas órdenes del Consejero de Educación y Cultura de la Diputación General de Aragón, el derecho de retracto sobre unos bienes eclesiásticos procedentes del Monasterio de Sigena que fueron adquiridos en 1983 y 1992 por la Generalitat de Cataluña, y en los que no concurrían los requisitos legales y fácticos que permiten ejercer tal derecho. La petición formulada a este Tribunal no es la determinación de la titularidad de dichos bienes, sino la declaración de que la potestad administrativa de tutela sobre patrimonio histórico corresponde a la Generalitat en virtud de su Estatuto de Autonomía, como efectivamente se hace en el petitum de la demanda, en el que se solicita la consiguiente nulidad de las órdenes impugnadas por estimar que vulneran el orden competencial”.</w:t>
      </w:r>
    </w:p>
    <w:p w:rsidR="0033382B" w:rsidRDefault="0033382B" w:rsidP="0033382B">
      <w:pPr>
        <w:pStyle w:val="TextoNormal"/>
      </w:pPr>
    </w:p>
    <w:p w:rsidR="0033382B" w:rsidRDefault="0033382B" w:rsidP="0033382B">
      <w:pPr>
        <w:pStyle w:val="TextoNormal"/>
      </w:pPr>
      <w:r>
        <w:t>Todo ello llevó a este Tribunal en la STC 6/2012, FJ 4, a entender que lo que se planteaba por el Gobierno de la Generalitat de Cataluña era un verdadero conflicto positivo de competencia, rechazando así el óbice de falta de jurisdicción opuesto por la Diputación General de Aragón. La STC 6/2012 lo resuelve, tras afirmar que tanto la Comunidad Autónoma de Cataluña como la Comunidad Autónoma de Aragón poseen competencia en materia de protección de patrimonio histórico y cultural y que ambas Comunidades Autónomas ejercen dicha competencia respecto de unos mismos bienes integrantes del patrimonio histórico (STC 6/2012, FFJJ 5 y 6), procedentes del Monasterio de Sigena, que habían sido adquiridos en su momento por la Generalitat de Cataluña y trasladados al territorio de esta Comunidad Autónoma, donde se encontraban tanto en el momento de plantearse el conflicto competencial como en el momento de su resolución por el Tribunal Constitucional.</w:t>
      </w:r>
    </w:p>
    <w:p w:rsidR="0033382B" w:rsidRDefault="0033382B" w:rsidP="0033382B">
      <w:pPr>
        <w:pStyle w:val="TextoNormal"/>
      </w:pPr>
    </w:p>
    <w:p w:rsidR="0033382B" w:rsidRDefault="0033382B" w:rsidP="0033382B">
      <w:pPr>
        <w:pStyle w:val="TextoNormal"/>
      </w:pPr>
      <w:r>
        <w:t>Fundamenta este Tribunal su decisión estimatoria del conflicto planteado por la Generalitat de Cataluña en la apreciación de que “la función que cumple el retracto en la legislación del patrimonio histórico es garantizar la protección de los bienes de esta naturaleza desde el entendimiento de que en determinadas ocasiones esta protección se va a realizar mejor en manos de la Administración. He aquí la finalidad de la atribución a las Comunidades Autónomas de la facultad de retracto; facultad que, de darse las circunstancias que precisaran de la actuación de preservación y protección del patrimonio, podrán, sin duda, ejercitarla frente a los particulares y frente a otras Administraciones públicas” (STC 6/2012, FJ 7). Ocurre, sin embargo, que “en el presente caso el recurso al derecho de retracto como instrumento de la política de recuperación del patrimonio cultural ubicado fuera del territorio de Aragón —que se realiza en ejercicio de la competencia exclusiva sobre patrimonio histórico y cultural— choca con la competencia autonómica catalana en materia de preservación del patrimonio, que ha de entenderse que se extiende a aquel que está en su territorio, independientemente de su origen (art. 127 EAC)” (STC 6/2012, FJ 8).</w:t>
      </w:r>
    </w:p>
    <w:p w:rsidR="0033382B" w:rsidRDefault="0033382B" w:rsidP="0033382B">
      <w:pPr>
        <w:pStyle w:val="TextoNormal"/>
      </w:pPr>
    </w:p>
    <w:p w:rsidR="0033382B" w:rsidRDefault="0033382B" w:rsidP="0033382B">
      <w:pPr>
        <w:pStyle w:val="TextoNormal"/>
      </w:pPr>
      <w:r>
        <w:t>Descartada la solución del conflicto competencial por la vía de instrumentos de cooperación entre Comunidades Autónomas, el Tribunal Constitucional ha de dirimir “qué competencia ha de prevalecer y en razón de qué causa”. El Tribunal concluye “que en el presente caso prevalece la competencia que corresponde a Cataluña, a cuyo cuidado —y como resultado de las más diversas circunstancias— se hallan los bienes relacionados en las órdenes dictadas por el Consejero de Educación y Cultura de la Diputación General de Aragón. Ciertamente, al ejercer su competencia sobre patrimonio histórico sobre los bienes que se hallan en su territorio —con independencia de cuál sea el origen de los mismos—, Cataluña viene cumpliendo la señalada función de preservación del patrimonio histórico y artístico de España, y resulta constitucionalmente congruente desde esta perspectiva, toda vez que los bienes sobre los que versa la controversia están en adecuadas condiciones de conservación en Cataluña, que los mismos permanezcan en la Comunidad Autónoma en la que se encuentran” (STC 6/2012, FJ 8).</w:t>
      </w:r>
    </w:p>
    <w:p w:rsidR="0033382B" w:rsidRDefault="0033382B" w:rsidP="0033382B">
      <w:pPr>
        <w:pStyle w:val="TextoNormal"/>
      </w:pPr>
    </w:p>
    <w:p w:rsidR="0033382B" w:rsidRDefault="0033382B" w:rsidP="0033382B">
      <w:pPr>
        <w:pStyle w:val="TextoNormal"/>
      </w:pPr>
      <w:r>
        <w:t>Es suma, la STC 6/2012 resolvió el conflicto positivo de competencia planteado por el Gobierno de la Generalitat de Cataluña en los términos que quedan expuestos: prevalencia de la competencia de la Comunidad Autónoma de Cataluña en materia de protección de patrimonio histórico, para conservar los bienes procedentes del Monasterio de Sigena, por hallarse en el territorio de Cataluña. El pronunciamiento del Tribunal Constitucional no se extiende en modo alguno a la determinación de la titularidad de esos bienes, su calificación, la legalidad de las enajenaciones de los mismos y a otras cuestiones de legalidad ordinaria que pudieran afectarles, que corresponde dilucidar a la jurisdicción ordinaria (art. 117.3 CE); la propia STC 6/2012, FJ 2, se cuidó expresamente de precisarlo y así lo recuerdan en sus alegaciones en este incidente tanto el Ministerio Fiscal como el Letrado de la Comunidad Autónoma de Aragón.</w:t>
      </w:r>
    </w:p>
    <w:p w:rsidR="0033382B" w:rsidRDefault="0033382B" w:rsidP="0033382B">
      <w:pPr>
        <w:pStyle w:val="TextoNormal"/>
      </w:pPr>
    </w:p>
    <w:p w:rsidR="0033382B" w:rsidRDefault="0033382B" w:rsidP="0033382B">
      <w:pPr>
        <w:pStyle w:val="TextoNormal"/>
      </w:pPr>
      <w:r w:rsidRPr="0033382B">
        <w:rPr>
          <w:rStyle w:val="NumeroAFNegritaCaracter"/>
        </w:rPr>
        <w:t>5</w:t>
      </w:r>
      <w:r>
        <w:t>. Fácilmente se colige de lo expuesto que la Sentencia del Juzgado de Primera Instancia e Instrucción núm. 1 de Huesca de 8 de abril de 2015 y los Autos del mismo Juzgado que acuerdan la ejecución provisional y su continuación, resoluciones respecto de las cuales la Generalitat de Cataluña promueve el incidente de ejecución del art. 92 LOTC, no suscitan controversia alguna relacionada con el orden constitucional de distribución de competencias que tenga que ver con lo discutido en el conflicto positivo tramitado con el núm. 2799-1998 y resuelto en la STC 6/2012, por lo que no procede atender a lo solicitado por los Abogados de la Generalitat de Cataluña.</w:t>
      </w:r>
    </w:p>
    <w:p w:rsidR="0033382B" w:rsidRDefault="0033382B" w:rsidP="0033382B">
      <w:pPr>
        <w:pStyle w:val="TextoNormal"/>
      </w:pPr>
    </w:p>
    <w:p w:rsidR="0033382B" w:rsidRDefault="0033382B" w:rsidP="0033382B">
      <w:pPr>
        <w:pStyle w:val="TextoNormal"/>
      </w:pPr>
      <w:r>
        <w:t>Como bien advierte el Ministerio Fiscal en sus alegaciones, el propio Juzgado de Primera Instancia e Instrucción núm. 1 de Huesca abordó de manera expresa en su Sentencia, para descartarla (fundamento de derecho quinto), la alegación de la Generalitat de Cataluña relativa a que la acción ejercitada en el proceso civil por la Comunidad Autónoma de Aragón y el Ayuntamiento de Villanueva de Sigena ya fue resuelta por la STC 6/2012. Señaló al respecto el Juzgado que el conflicto positivo de competencia dilucidado por el Tribunal Constitucional atañe exclusivamente a la solución de una controversia sobre el ejercicio del instrumento reconocido a la Administración pública para la protección del patrimonio histórico y cultural (retracto), de suerte que las cuestiones de carácter fáctico o de legalidad ordinaria, que atienden a la naturaleza y calificación de los bienes procedentes del Monasterio de Sigena y a eventuales vicios de legalidad en la enajenación de los mismos, resultan ajenas a esa controversia competencial y por tanto “deben excluirse del objeto del conflicto constitucional”, pues su conocimiento “corresponde en exclusiva a los Tribunales ordinarios”, como así lo declaró la misma STC 6/2012, FJ 2.</w:t>
      </w:r>
    </w:p>
    <w:p w:rsidR="0033382B" w:rsidRDefault="0033382B" w:rsidP="0033382B">
      <w:pPr>
        <w:pStyle w:val="TextoNormal"/>
      </w:pPr>
    </w:p>
    <w:p w:rsidR="0033382B" w:rsidRDefault="0033382B" w:rsidP="0033382B">
      <w:pPr>
        <w:pStyle w:val="TextoNormal"/>
      </w:pPr>
      <w:r>
        <w:t>Conforme también quedó expuesto, el Tribunal de Conflictos de Jurisdicción, en su Sentencia de 16 de diciembre de 2015 (fundamento de derecho sexto), que desestima el conflicto de jurisdicción planteado por la Generalitat de Cataluña y confirma la competencia del Juzgado de Primera Instancia e Instrucción núm. 1 de Huesca, razona que la STC 6/2012 no puede servir de fundamento para la pretensión de la Generalitat, “ya que la misma resuelve un conflicto positivo de competencia entre las Comunidades Autónomas de Cataluña y Aragón en materia de cultura y patrimonio cultural, mientras que en el proceso judicial se ha discutido la titularidad de la propiedad de los bienes por posibles vicios en su enajenación, cuestión … que la propia STC 6/2012 atribuye a la jurisdicción ordinaria”.</w:t>
      </w:r>
    </w:p>
    <w:p w:rsidR="0033382B" w:rsidRDefault="0033382B" w:rsidP="0033382B">
      <w:pPr>
        <w:pStyle w:val="TextoNormal"/>
      </w:pPr>
    </w:p>
    <w:p w:rsidR="0033382B" w:rsidRDefault="0033382B" w:rsidP="0033382B">
      <w:pPr>
        <w:pStyle w:val="TextoNormal"/>
      </w:pPr>
      <w:r>
        <w:t>En efecto, la controversia trabada ante la jurisdicción civil sobre la naturaleza y calificación de los bienes procedentes del Monasterio de Sigena y la regularidad de la enajenación de los mismos, resulta ser distinta de la entablada en el conflicto competencial promovido en su día por la Generalitat de Cataluña ante este Tribunal con ocasión del ejercicio del derecho de retracto respecto de esos bienes por parte de la Comunidad Autónoma de Aragón, que fue dilucidado por la STC 6/2012.</w:t>
      </w:r>
    </w:p>
    <w:p w:rsidR="0033382B" w:rsidRDefault="0033382B" w:rsidP="0033382B">
      <w:pPr>
        <w:pStyle w:val="TextoNormal"/>
      </w:pPr>
    </w:p>
    <w:p w:rsidR="0033382B" w:rsidRDefault="0033382B" w:rsidP="0033382B">
      <w:pPr>
        <w:pStyle w:val="TextoNormal"/>
      </w:pPr>
      <w:r>
        <w:t>Resulta notorio que la STC 6/2012 resolvió el conflicto positivo de competencia en los términos ya expuestos (prevalencia de la competencia de la Comunidad Autónoma de Cataluña en materia de protección de patrimonio histórico para proteger los bienes procedentes del Monasterio de Sigena, por hallarse en el territorio de Cataluña), sin que el pronunciamiento del Tribunal Constitucional se extienda en modo alguno a la determinación de la titularidad de esos bienes, su calificación, la legalidad de las compraventas de los mismos y a otras cuestiones de legalidad ordinaria que afecten a los mismos, cuestiones que corresponde dilucidar a la jurisdicción ordinaria (art. 117.3 CE).</w:t>
      </w:r>
    </w:p>
    <w:p w:rsidR="0033382B" w:rsidRDefault="0033382B" w:rsidP="0033382B">
      <w:pPr>
        <w:pStyle w:val="TextoNormal"/>
      </w:pPr>
    </w:p>
    <w:p w:rsidR="0033382B" w:rsidRDefault="0033382B" w:rsidP="0033382B">
      <w:pPr>
        <w:pStyle w:val="TextoNormal"/>
      </w:pPr>
      <w:r>
        <w:t>El incidente de ejecución planteado por los Abogados de la Generalitat de Cataluña parte de la errónea premisa de entender que la STC 6/2012 impone que los bienes procedentes del Monasterio de Sigena a los que se refiere el conflicto positivo de competencia allí resuelto permanezcan a todo trance en la Comunidad Autónoma en que encuentran actualmente (esto es, en Cataluña). Es obvio que tal permanencia se declara en la STC 6/2012, FJ 8, a los solos efectos del conflicto positivo de competencia que resuelve, esto es, de la prevalencia de la competencia de la Comunidad Autónoma de Cataluña en materia de protección de patrimonio histórico y cultural para preservar los bienes procedentes del Monasterio de Sigena, por hallarse estos en el territorio de Cataluña, sobre la competencia de la Comunidad Autónoma de Aragón en la misma materia que esta Comunidad Autónoma pretendía ejercer mediante el retracto sobre dichos bienes. Ello no significa en modo alguno que este Tribunal haya determinado que tales bienes hayan de permanecer para siempre en Cataluña o, por emplear los términos utilizados por los Abogados de la Generalitat de Cataluña en su escrito de interposición del incidente de ejecución (partiendo de una interpretación sui generis de uno de los votos particulares a la STC 6/2012), que este Tribunal ya “resolvió sobre el destino concreto de los bienes” en dicha Sentencia. Por el contrario, la ubicación definitiva de los bienes procedentes del Monasterio de Sigena dependerá de lo que decida la jurisdicción civil, al resolver los litigios que se le planteen sobre la calificación y titularidad de esos bienes y sobre los eventuales vicios de legalidad en la enajenación de los mismos, como así se cuida de precisarlo expresamente la propia STC 6/2012, FFJJ 2 a 4.</w:t>
      </w:r>
    </w:p>
    <w:p w:rsidR="0033382B" w:rsidRDefault="0033382B" w:rsidP="0033382B">
      <w:pPr>
        <w:pStyle w:val="TextoNormal"/>
      </w:pPr>
    </w:p>
    <w:p w:rsidR="0033382B" w:rsidRDefault="0033382B" w:rsidP="0033382B">
      <w:pPr>
        <w:pStyle w:val="TextoNormal"/>
      </w:pPr>
      <w:r w:rsidRPr="0033382B">
        <w:rPr>
          <w:rStyle w:val="NumeroAFNegritaCaracter"/>
        </w:rPr>
        <w:t>6</w:t>
      </w:r>
      <w:r>
        <w:t>. En definitiva, como acertadamente ha puesto de relieve el Ministerio Fiscal, el examen del contenido de la Sentencia del Juzgado de Primera Instancia e Instrucción núm. 1 de Huesca de 8 de abril de 2015 (procedimiento ordinario núm. 160-2012), que declara la nulidad de las compraventas de los bienes procedentes del Monasterio de Sigena y ordena el reintegro de la posesión material de los mismos a su propietario y, por ello, el traslado de esos bienes al referido Monasterio, permite concluir que no se aprecia en el fallo ni en la fundamentación jurídica de la misma (como tampoco en los Autos que acuerdan la ejecución provisional y su continuación) ningún pronunciamiento contrario a la STC 6/2012 o que suponga de algún modo un intento de menoscabar la eficacia jurídica o material de lo decidido en esta. Lo resuelto por el Juzgado, en el ejercicio de su potestad jurisdiccional (art. 117.3 CE), no excede del ámbito de la legalidad ordinaria sobre la naturaleza y la calificación de los bienes procedentes del Monasterio de Sigena y sobre los vicios de legalidad en la enajenación de los mismos en sucesivos momentos a la Generalitat de Cataluña, extremos todos ellos que de manera expresa fueron excluidos en la propia STC 6/2012, FJ 2, del objeto del conflicto positivo de competencias por ella dirimido, por corresponder su conocimiento a la jurisdicción ordinaria.</w:t>
      </w:r>
    </w:p>
    <w:p w:rsidR="0033382B" w:rsidRDefault="0033382B" w:rsidP="0033382B">
      <w:pPr>
        <w:pStyle w:val="TextoNormal"/>
      </w:pPr>
    </w:p>
    <w:p w:rsidR="0033382B" w:rsidRDefault="0033382B" w:rsidP="0033382B">
      <w:pPr>
        <w:pStyle w:val="TextoNormal"/>
      </w:pPr>
      <w:r>
        <w:t>En consecuencia, ha de rechazarse la pretensión, formulada por la Generalitat de Cataluña en su escrito planteando incidente de ejecución de la STC 6/2012, de que declaremos la nulidad de la Sentencia del Juzgado de Primera Instancia e Instrucción núm. 1 de Huesca de 8 de abril de 2015 (procedimiento ordinario núm. 160-2012), lo que hace innecesario pronunciarse sobre la medida cautelar que se interesa mediante otrosí en dicho escrito.</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No haber lugar al incidente de ejecución de la STC 6/2012, de 18 de enero, promovido por el Gobierno de la Generalitat de Cataluña.</w:t>
      </w:r>
    </w:p>
    <w:p w:rsidR="0033382B" w:rsidRDefault="0033382B" w:rsidP="0033382B">
      <w:pPr>
        <w:pStyle w:val="TextoNormal"/>
      </w:pPr>
    </w:p>
    <w:p w:rsidR="0033382B" w:rsidRDefault="0033382B" w:rsidP="0033382B">
      <w:pPr>
        <w:pStyle w:val="TextoNormal"/>
      </w:pPr>
      <w:r>
        <w:t>Madrid, a veintiuno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56" w:name="AUTO_2016_129"/>
      <w:r>
        <w:t>AUTO 129/2016, de 21 de junio de 2016</w:t>
      </w:r>
    </w:p>
    <w:bookmarkEnd w:id="256"/>
    <w:p w:rsidR="0033382B" w:rsidRDefault="0033382B" w:rsidP="0033382B">
      <w:pPr>
        <w:pStyle w:val="TtuloResolucin"/>
      </w:pPr>
      <w:r>
        <w:t>Pleno</w:t>
      </w:r>
    </w:p>
    <w:p w:rsidR="0033382B" w:rsidRDefault="0033382B" w:rsidP="0033382B">
      <w:pPr>
        <w:pStyle w:val="TtuloBOE"/>
      </w:pPr>
      <w:r>
        <w:t>(BOE núm. 181, de 28 de julio de 2016)</w:t>
      </w:r>
    </w:p>
    <w:p w:rsidR="0033382B" w:rsidRDefault="0033382B" w:rsidP="0033382B">
      <w:pPr>
        <w:pStyle w:val="TextoNormalCentrado"/>
      </w:pPr>
      <w:r>
        <w:t>ECLI:ES:TC:2016:129A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3789-2015, planteada por la Sala de lo Contencioso-Administrativo del Tribunal Supremo en relación con el artículo 20.2 de la Ley 29/1987, de 18 de diciembre, del impuesto sobre sucesiones y donaciones. Voto particular.</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El día 26 de junio de 2015 tuvo entrada en el Registro General del Tribunal Constitucional un escrito de la Sección Segunda de la Sala de lo Contencioso-Administrativo del Tribunal Supremo al que se acompaña, junto al testimonio del correspondiente procedimiento, el Auto de 21 de mayo de 2015 por el que se acuerda plantear una cuestión de inconstitucionalidad en relación con el art. 20.2 a) de la Ley 29/1987, de 18 de diciembre, del impuesto sobre sucesiones y donaciones (LISD), cuando se trata de aplicarlo a las parejas homosexuales que convivían </w:t>
      </w:r>
      <w:r w:rsidRPr="0033382B">
        <w:rPr>
          <w:i/>
        </w:rPr>
        <w:t>more uxorio</w:t>
      </w:r>
      <w:r>
        <w:t xml:space="preserve"> sin poder contraer legalmente matrimonio, en tanto circunscribe a los “cónyuges” la aplicación del régimen regulado para el grupo II, por su posible vulneración de los arts. 14 y 31.1 CE.</w:t>
      </w:r>
    </w:p>
    <w:p w:rsidR="0033382B" w:rsidRDefault="0033382B" w:rsidP="0033382B">
      <w:pPr>
        <w:pStyle w:val="TextoNormal"/>
      </w:pPr>
    </w:p>
    <w:p w:rsidR="0033382B" w:rsidRDefault="0033382B" w:rsidP="0033382B">
      <w:pPr>
        <w:pStyle w:val="TextoNormal"/>
      </w:pPr>
      <w:r w:rsidRPr="0033382B">
        <w:rPr>
          <w:rStyle w:val="NumeroAFNegritaCaracter"/>
        </w:rPr>
        <w:t>2</w:t>
      </w:r>
      <w:r>
        <w:t>. Los hechos de los que trae causa la cuestión de inconstitucionalidad planteada son, en síntesis, los siguientes:</w:t>
      </w:r>
    </w:p>
    <w:p w:rsidR="0033382B" w:rsidRDefault="0033382B" w:rsidP="0033382B">
      <w:pPr>
        <w:pStyle w:val="TextoNormal"/>
      </w:pPr>
    </w:p>
    <w:p w:rsidR="0033382B" w:rsidRDefault="0033382B" w:rsidP="0033382B">
      <w:pPr>
        <w:pStyle w:val="TextoNormal"/>
      </w:pPr>
      <w:r>
        <w:t xml:space="preserve">a) Doña I.C.R.G. fallece el 11 de agosto de 2001 habiendo instituido como heredera única y universal a doña G.A.V., con la que mantenía una convivencia </w:t>
      </w:r>
      <w:r w:rsidRPr="0033382B">
        <w:rPr>
          <w:i/>
        </w:rPr>
        <w:t>more uxorio</w:t>
      </w:r>
      <w:r>
        <w:t xml:space="preserve"> de muchos años. Tras el pago de una primera liquidación provisional por el impuesto sobre sucesiones dictada por la oficina liquidadora de Avilés el 21 de julio de 2002, doña G.A.V. (la contribuyente) es objeto, por un lado, de un procedimiento inspector posterior en el que el 15 de marzo de 2004 se acuerda una liquidación definitiva por el impuesto sobre sucesiones con una deuda a ingresar de 1.109.518,94 €; y, de otro, de un consiguiente procedimiento sancionador en el que se acuerda el 9 de diciembre de 2004 una sanción de 5.524,96 €.</w:t>
      </w:r>
    </w:p>
    <w:p w:rsidR="0033382B" w:rsidRDefault="0033382B" w:rsidP="0033382B">
      <w:pPr>
        <w:pStyle w:val="TextoNormal"/>
      </w:pPr>
    </w:p>
    <w:p w:rsidR="0033382B" w:rsidRDefault="0033382B" w:rsidP="0033382B">
      <w:pPr>
        <w:pStyle w:val="TextoNormal"/>
      </w:pPr>
      <w:r>
        <w:t xml:space="preserve">b) Tanto la liquidación como la sanción fueron confirmadas en vía económico-administrativa. Primero, por el Tribunal Económico-Administrativo Regional (TEAR) del Principado de Asturias (en resolución de 6 de septiembre de 2007); y, posteriormente, por el Tribunal Económico-Administrativo Regional en alzada por resolución de 28 de abril de 2010. Por lo que aquí interesa, una de las pretensiones de la recurrente era la improcedencia de la aplicación, a efectos de la reducción de la base imponible del impuesto sobre sucesiones </w:t>
      </w:r>
      <w:r w:rsidRPr="0033382B">
        <w:rPr>
          <w:i/>
        </w:rPr>
        <w:t>ex</w:t>
      </w:r>
      <w:r>
        <w:t xml:space="preserve"> art. 20.2 a) LISD, del grupo de parentesco correspondiente a extraños (grupo IV). A juicio de la recurrente, debía aplicársele la reducción de base imponible correspondiente al grupo II “cónyuges”. Y ello debido a que el art. 13 de la Ley 15/2002, de 27 de diciembre, del Principado de Asturias, de acompañamiento a los presupuestos generales de 2003, introduce una mejora en las reducciones de la base imponible del impuesto sobre sucesiones y donaciones establecida al amparo de lo dispuesto en el art. 40.1 a) de la Ley 21/2001, de 27 de diciembre, “por la que se regulan las medidas fiscales y administrativas del nuevo sistema de financiación de las Comunidades Autónomas de régimen común y ciudades con Estatuto de Autonomía” y en el art. 2 de la Ley 20/2002, de 1 de julio, “del régimen de cesión de tributos del Estado al Principado de Asturias”, disponiendo que a los efectos de las reducciones de base imponible previstas en el art. 20 LISD se establece la mejora consistente en las equiparaciones siguientes: a) “las parejas estables definidas en los términos de la Ley de Asturias 4/2002, de 23 de mayo, de parejas estables, se equipararán a los cónyuges”.</w:t>
      </w:r>
    </w:p>
    <w:p w:rsidR="0033382B" w:rsidRDefault="0033382B" w:rsidP="0033382B">
      <w:pPr>
        <w:pStyle w:val="TextoNormal"/>
      </w:pPr>
    </w:p>
    <w:p w:rsidR="0033382B" w:rsidRDefault="0033382B" w:rsidP="0033382B">
      <w:pPr>
        <w:pStyle w:val="TextoNormal"/>
      </w:pPr>
      <w:r>
        <w:t xml:space="preserve">El Tribunal Económico-Administrativo Central, en el fundamento jurídico 8, rechaza tal pretensión. Como debe estarse a la ley vigente a la fecha del devengo del impuesto sobre sucesiones, no cabe la aplicación de tal precepto al entrar en vigor el 1 de enero de 2003, una vez fallecida la causante. Adicionalmente, tampoco cabe la aplicación analógica de la reducción legal correspondiente a los cónyuges [art. 20.2 a) II LISD] a las uniones de hecho, puesto que la analogía está prohibida en Derecho tributario </w:t>
      </w:r>
      <w:r w:rsidRPr="0033382B">
        <w:rPr>
          <w:i/>
        </w:rPr>
        <w:t>ex</w:t>
      </w:r>
      <w:r>
        <w:t xml:space="preserve"> art. 14 de la Ley 58/2003, de 17 de diciembre, general tributaria (LGT).</w:t>
      </w:r>
    </w:p>
    <w:p w:rsidR="0033382B" w:rsidRDefault="0033382B" w:rsidP="0033382B">
      <w:pPr>
        <w:pStyle w:val="TextoNormal"/>
      </w:pPr>
    </w:p>
    <w:p w:rsidR="0033382B" w:rsidRDefault="0033382B" w:rsidP="0033382B">
      <w:pPr>
        <w:pStyle w:val="TextoNormal"/>
      </w:pPr>
      <w:r>
        <w:t xml:space="preserve">c) Contra la resolución del Tribunal Económico-Administrativo Central de 28 de abril de 2010, la contribuyente interpone el recurso contencioso-administrativo núm. 748-2010 ante la Sala de lo Contencioso-Administrativo del Tribunal Superior de Justicia de Asturias por entender, entre otras cosas, que la negativa de la Administración tributaria a aplicar al miembro supérstite de una unión de hecho la reducción legal correspondiente al cónyuge viudo constituye una discriminación prohibida por el art. 14 CE, basando su pretensión en tres argumentos subsidiarios. En primer lugar, es preceptiva la aplicación retroactiva de las Leyes asturianas 4/2002 (de parejas estables) y 15/2002 (que equipara matrimonio y unión de hecho a efectos de las reducciones del art. 20 LISD), e incluso de la Ley estatal 13/2005 del matrimonio homosexual, so pena de incurrir en una discriminación prohibida por el art. 14 CE. Como tales leyes expresan en su exposición de motivos que se promulgaron con el fin de erradicar una discriminación latente, la retroactividad es inherente a las mismas, teniendo efectos </w:t>
      </w:r>
      <w:r w:rsidRPr="0033382B">
        <w:rPr>
          <w:i/>
        </w:rPr>
        <w:t>ex tunc</w:t>
      </w:r>
      <w:r>
        <w:t xml:space="preserve"> sobre el art. 20.2 a) LISD. En segundo lugar, el término “cónyuges” del art. 20.2 a) LISD debe interpretarse de acuerdo con la realidad social y jurídica vigente en el año del fallecimiento de la causante (2001) y no de acuerdo con la realidad vigente en el año de su promulgación (1987), incluyendo en tal concepto (cónyuges) a los miembros de parejas estables que por razón de su orientación sexual no podían adquirir la condición tradicional de cónyuges; siguiendo así la estela de la STC 9/2010 en relación con los “hijos legítimos” o la STEDH de 13 de julio de 2004 (caso </w:t>
      </w:r>
      <w:r w:rsidRPr="0033382B">
        <w:rPr>
          <w:i/>
        </w:rPr>
        <w:t>Pla y Puncernau c. Andorra</w:t>
      </w:r>
      <w:r>
        <w:t>) o el Convenio europeo para la protección de los derechos humanos y de las libertades fundamentales (CEDH) o los arts. 9 y 21 de la Carta de derechos fundamentales de la Unión Europea. Y, finalmente, una interpretación literal del término “cónyuges” del art. 20.2 a) LISD produce una discriminación indirecta dada la situación de “limbo jurídico” en la que se encontraban las parejas homosexuales hasta las Leyes 4/2002 (de parejas estables asturiana) y 13/2005 (del matrimonio homosexual estatal).</w:t>
      </w:r>
    </w:p>
    <w:p w:rsidR="0033382B" w:rsidRDefault="0033382B" w:rsidP="0033382B">
      <w:pPr>
        <w:pStyle w:val="TextoNormal"/>
      </w:pPr>
    </w:p>
    <w:p w:rsidR="0033382B" w:rsidRDefault="0033382B" w:rsidP="0033382B">
      <w:pPr>
        <w:pStyle w:val="TextoNormal"/>
      </w:pPr>
      <w:r>
        <w:t xml:space="preserve">El Tribunal Superior de Justicia de Asturias, en la Sentencia parcialmente estimatoria 571/2012, de 14 de mayo, desestima la pretensión de aplicar a un miembro de una pareja de hecho homosexual la reducción de base imponible del impuesto sobre sucesiones y donaciones prevista legalmente para los cónyuges con fundamento en el art. 14 CE. Primero, porque el propio Tribunal Constitucional en las Sentencias 184/1990 y 66/1994 exige vínculo matrimonial; segundo, porque en el momento del devengo del impuesto sobre sucesiones y donaciones las parejas de hecho no eran una institución jurídicamente regulada, ni tampoco existe un derecho constitucional a establecer el matrimonio homosexual como sí existe entre el hombre y la mujer </w:t>
      </w:r>
      <w:r w:rsidRPr="0033382B">
        <w:rPr>
          <w:i/>
        </w:rPr>
        <w:t>ex</w:t>
      </w:r>
      <w:r>
        <w:t xml:space="preserve"> art. 32.1 CE. Incluso, alega el Tribunal Superior de Justicia, que el Tribunal Europeo de Derechos Humanos ha declarado que el no permitir el matrimonio entre personas de igual sexo no viola el art. 12 CEDH. Así, la normativa aplicable es la vigente a la fecha del devengo; normativa que, de un lado, no contempla la situación de la pareja de hecho ni su equiparación al matrimonio; y, de otro, tampoco puede ser aplicada analógicamente.</w:t>
      </w:r>
    </w:p>
    <w:p w:rsidR="0033382B" w:rsidRDefault="0033382B" w:rsidP="0033382B">
      <w:pPr>
        <w:pStyle w:val="TextoNormal"/>
      </w:pPr>
    </w:p>
    <w:p w:rsidR="0033382B" w:rsidRDefault="0033382B" w:rsidP="0033382B">
      <w:pPr>
        <w:pStyle w:val="TextoNormal"/>
      </w:pPr>
      <w:r>
        <w:t xml:space="preserve">Adicionalmente, el Tribunal Superior de Justicia no aprecia una discriminación de las parejas de hecho en general (y homosexuales en particular) que el legislador haya venido a corregir con la nueva legalidad ordinaria de las Leyes del Principado 4/2002 y 15/2002 y la Ley estatal 13/2005. Primero, porque “no existe derecho a un tratamiento igualatorio, en las distintas esferas jurídicas, entre el matrimonio y las uniones </w:t>
      </w:r>
      <w:r w:rsidRPr="0033382B">
        <w:rPr>
          <w:i/>
        </w:rPr>
        <w:t>more uxorio</w:t>
      </w:r>
      <w:r>
        <w:t>”; segundo, porque “no puede hablarse de igualdad jurídica esencial entre ambas situaciones en tanto en un caso existe matrimonio y en otro no”; tercero, porque el principio de igualdad en materia tributaria se predica de las personas físicas y no respecto a parejas o grupos de personas; y, cuarto, porque “no es posible concluir que el trato más favorable a la unión familiar pueda considerarse sin más discriminatorio o arbitrario con el art. 14 CE”.</w:t>
      </w:r>
    </w:p>
    <w:p w:rsidR="0033382B" w:rsidRDefault="0033382B" w:rsidP="0033382B">
      <w:pPr>
        <w:pStyle w:val="TextoNormal"/>
      </w:pPr>
    </w:p>
    <w:p w:rsidR="0033382B" w:rsidRDefault="0033382B" w:rsidP="0033382B">
      <w:pPr>
        <w:pStyle w:val="TextoNormal"/>
      </w:pPr>
      <w:r>
        <w:t xml:space="preserve">d) Frente a la referida Sentencia del Tribunal Superior de Justicia de Asturias 571/2014, de 14 de mayo, la recurrente interpone el recurso de casación núm. 2487-2012 ante la Sala de lo Contencioso-Administrativo del Tribunal Supremo, articulando tres motivos </w:t>
      </w:r>
      <w:r w:rsidRPr="0033382B">
        <w:rPr>
          <w:i/>
        </w:rPr>
        <w:t>ex</w:t>
      </w:r>
      <w:r>
        <w:t xml:space="preserve"> art. 88.1 d) de la Ley reguladora de la jurisdicción contencioso-administrativa (LJCA): En el primero esgrime una violación de los arts. 1.1, 9.2, 10.1 y 14 CE en relación con el art. 20.2 LISD; en el segundo motivo alega una vulneración de esos mismos preceptos constitucionales (arts. 1.1, 9.2, 10.1 y 14 CE), más el art. 2.3 del Código civil (CC) y la Ley 13/2005, de 1 de julio, sobre el matrimonio homosexual; y, el tercer motivo se basa en la violación del art. 3.1 CC, de los arts. 20.2 a) y 24 LISD, de la Ley 13/2005 y los arts. 9 y 21 de la Carta de derechos fundamentales de la Unión Europea. En ellos se reproducen los mismos tres argumentos en los que funda el recurso contencioso-administrativo del que este recurso de casación trae causa.</w:t>
      </w:r>
    </w:p>
    <w:p w:rsidR="0033382B" w:rsidRDefault="0033382B" w:rsidP="0033382B">
      <w:pPr>
        <w:pStyle w:val="TextoNormal"/>
      </w:pPr>
    </w:p>
    <w:p w:rsidR="0033382B" w:rsidRDefault="0033382B" w:rsidP="0033382B">
      <w:pPr>
        <w:pStyle w:val="TextoNormal"/>
      </w:pPr>
      <w:r>
        <w:t>e) Concluido el procedimiento, el día 4 de febrero de 2015 el órgano judicial dicta providencia por la que deja sin efecto el señalamiento para votación y fallo y acuerda oír a las partes personadas y al Ministerio Fiscal, en el plazo de diez días, acerca de la pertinencia de plantear la cuestión de inconstitucionalidad respecto del art. 20.2 a) II LISD por cuanto que circunscribe a los cónyuges la reducción de base imponible que establece.</w:t>
      </w:r>
    </w:p>
    <w:p w:rsidR="0033382B" w:rsidRDefault="0033382B" w:rsidP="0033382B">
      <w:pPr>
        <w:pStyle w:val="TextoNormal"/>
      </w:pPr>
    </w:p>
    <w:p w:rsidR="0033382B" w:rsidRDefault="0033382B" w:rsidP="0033382B">
      <w:pPr>
        <w:pStyle w:val="TextoNormal"/>
      </w:pPr>
      <w:r>
        <w:t xml:space="preserve">f) En sus alegaciones sobre el planteamiento de la cuestión, registradas el 24 de marzo de 2015, la recurrente considera pertinente su planteamiento basándose en los argumentos ya alegados en instancia. Por el contrario, el Abogado del Estado, en escrito registrado el 18 de marzo de 2015 —al que se adhiere la Letrada del Servicio Jurídico del Principado de Asturias en escrito registrado el mismo día—, suplica a la Sala que declare la improcedencia de su planteamiento. En esta misma línea, el Ministerio Fiscal, en escrito registrado el 30 de marzo de 2015, entiende asimismo que no es necesario el planteamiento de esta cuestión porque la duda de constitucionalidad que aquí se suscita ha sido recientemente solventada en sentido negativo por el Tribunal Constitucional en las SSTC 92/2014, 157/2014 y 262/2014. Así, según el Ministerio Fiscal, debido a lo reciente de esta doctrina constitucional y a que no existen alteraciones sustanciales en la composición de este Alto Tribunal, no parece razonable contemplar un eventual </w:t>
      </w:r>
      <w:r w:rsidRPr="0033382B">
        <w:rPr>
          <w:i/>
        </w:rPr>
        <w:t>overruling</w:t>
      </w:r>
      <w:r>
        <w:t xml:space="preserve"> que justifique el planteamiento de la presente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3</w:t>
      </w:r>
      <w:r>
        <w:t>. La Sección Segunda de la Sala de lo Contencioso-Administrativo del Tribunal Supremo dicta Auto de 21 de mayo de 2015, por el que se acuerda plantear cuestión de inconstitucionalidad en relación con el art. 20.2 a) LISD por posible vulneración de los arts. 14 y 31.1CE.</w:t>
      </w:r>
    </w:p>
    <w:p w:rsidR="0033382B" w:rsidRDefault="0033382B" w:rsidP="0033382B">
      <w:pPr>
        <w:pStyle w:val="TextoNormal"/>
      </w:pPr>
    </w:p>
    <w:p w:rsidR="0033382B" w:rsidRDefault="0033382B" w:rsidP="0033382B">
      <w:pPr>
        <w:pStyle w:val="TextoNormal"/>
      </w:pPr>
      <w:r>
        <w:t xml:space="preserve">a) Tras referirse a los antecedentes del caso y transcribir el precepto legal cuestionado, el Auto de planteamiento declara, respecto al juicio de relevancia, que resulta patente que la solución que haya de darse al recurso de casación depende de la constitucionalidad del art. 20.2 a) LISD, cuando se trata de aplicarlo a las parejas homosexuales que convivían </w:t>
      </w:r>
      <w:r w:rsidRPr="0033382B">
        <w:rPr>
          <w:i/>
        </w:rPr>
        <w:t>more uxorio</w:t>
      </w:r>
      <w:r>
        <w:t xml:space="preserve"> sin poder contraer legalmente matrimonio, en tanto circunscribe a los “cónyuges” la aplicación del régimen regulado para el “grupo II”. Así, si tal norma se declara constitucional conllevará la desestimación del recurso de casación, mientras que en caso contrario habrá que reconocer el derecho a la recurrente de integrar el grupo II a los efectos de la reducción de la base imponible del impuesto sobre sucesiones (y de los coeficientes multiplicadores) estimando el mismo. En este sentido, la Sala repite literalmente el argumento ofrecido en la providencia de 4 de febrero de 2015 al apuntar que aunque se considerara dar a la expresión “cónyuges” una interpretación conforme a la realidad social hoy existente, pese a no ser esta exégesis la procedente a la fecha del devengo del impuesto, “no se resolvería el problema que se nos ha planteado, pues la condición de ‘cónyuges’ también entonces, y conforme al tenor literal del precepto, no exigía la mera convivencia sino que requería matrimonio”. Por ello, la Sala reconoce que para estimar la pretensión de la actora debe reconocerse que el hecho de no poder contraer legalmente matrimonio con su pareja de hecho del mismo sexo durante su convivencia </w:t>
      </w:r>
      <w:r w:rsidRPr="0033382B">
        <w:rPr>
          <w:i/>
        </w:rPr>
        <w:t>more uxorio</w:t>
      </w:r>
      <w:r>
        <w:t xml:space="preserve"> provoca una discriminación contraria al art. 14 CE, que exigiría que el término “cónyuges” de la Ley de impuesto sobre sucesiones y donaciones fuese entendido de manera compatible con la Constitución; interpretación que corresponde en su caso efectuar al Tribunal Constitucional.</w:t>
      </w:r>
    </w:p>
    <w:p w:rsidR="0033382B" w:rsidRDefault="0033382B" w:rsidP="0033382B">
      <w:pPr>
        <w:pStyle w:val="TextoNormal"/>
      </w:pPr>
    </w:p>
    <w:p w:rsidR="0033382B" w:rsidRDefault="0033382B" w:rsidP="0033382B">
      <w:pPr>
        <w:pStyle w:val="TextoNormal"/>
      </w:pPr>
      <w:r>
        <w:t xml:space="preserve">b) En cuanto a la duda de constitucionalidad, la Sala manifiesta que el hecho de que este Alto Tribunal haya declarado constitucional la exclusión legal tácita de los convivientes de hecho homosexuales de las pensiones de viudedad de la Seguridad Social en la STC 92/2014, de 10 de junio, “no exige que se anude idéntica conclusión” a la negativa legal implícita de cuantificar el impuesto sobre sucesiones y donaciones como “cónyuges” a los convivientes supérstites cuando queda acreditado que no pudieron contraer matrimonio antes del fallecimiento de su pareja. Según la Sala, como “constitucionalmente no es igual la protección social dispensada por una pensión de viudedad al cónyuge supérstite que la adecuación del gravamen establecido en el Impuesto de Sucesiones y Donaciones a la capacidad económica manifestada en su condición de viudo”, el legislador en materia de pensiones de viudedad no tiene el mismo margen de configuración que el legislador del impuesto sobre sucesiones y donaciones. Y ello porque en el primer caso el legislador “simplemente se limita a cumplir” con dos principios rectores de la política social y económica (arts. 41 y 50 CE); mientras que en este último da contenido al deber de contribuir del art. 31.1 CE con la finalidad, según la exposición de motivos de la LISD, de cerrar con el impuesto sobre sucesiones y donaciones el marco de la imposición directa, complementar al impuesto sobre la renta de las personas físicas y contribuir a la redistribución de la riqueza </w:t>
      </w:r>
      <w:r w:rsidRPr="0033382B">
        <w:rPr>
          <w:i/>
        </w:rPr>
        <w:t>ex</w:t>
      </w:r>
      <w:r>
        <w:t xml:space="preserve"> art. 40.1 CE. Y precisamente para dar cumplimiento al art. 31 CE, continúa dicha exposición de motivos, se prevé la liquidación del impuesto, por un lado, con unas reducciones de base imponible (en función del grupo en el que se integre el contribuyente según su grado de parentesco con el causante) configuradas legalmente como mínimos exentos; y, por otro, con unos coeficientes multiplicadores sobre la cuota íntegra en función del patrimonio preexistente y del grupo en el que se integre para “acentuar la progresividad del tributo”.</w:t>
      </w:r>
    </w:p>
    <w:p w:rsidR="0033382B" w:rsidRDefault="0033382B" w:rsidP="0033382B">
      <w:pPr>
        <w:pStyle w:val="TextoNormal"/>
      </w:pPr>
    </w:p>
    <w:p w:rsidR="0033382B" w:rsidRDefault="0033382B" w:rsidP="0033382B">
      <w:pPr>
        <w:pStyle w:val="TextoNormal"/>
      </w:pPr>
      <w:r>
        <w:t xml:space="preserve">Así, partiendo de estas premisas, y siendo para la Sala situaciones homologables a la hora de cuantificar el impuesto sobre sucesiones y donaciones la del cónyuge supérstite y la del conviviente supérstite que no pudo legalmente contraer matrimonio con la finada, plantea dos interrogantes a este Tribunal siguiendo la doctrina constitucional sobre el principio de igualdad ante la ley del art. 14 CE —que en materia tributaria se encuentra vinculado a lo exigido por el art. 31.1 CE—: “¿Es razonable considerar extraño al supérstite de una pareja homosexual que convivió </w:t>
      </w:r>
      <w:r w:rsidRPr="0033382B">
        <w:rPr>
          <w:i/>
        </w:rPr>
        <w:t>more uxorio</w:t>
      </w:r>
      <w:r>
        <w:t xml:space="preserve"> con el finado sin poder legalmente contraer matrimonio a los efectos de cuantificar el impuesto sobre sucesiones y donaciones? ¿Resulta proporcionado que, siendo idéntica la capacidad económica gravada en este Impuesto, la LISD permita que la carga tributaria de este conviviente supérstite acabe siendo más del doble de la que le hubiera correspondido a un cónyuge supérstite en las mismas circunstancias?”.</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providencia de 15 de abril de 2016 el Pleno de este Tribunal acuerda, a los efectos que determina el art. 37.1 de la Ley Orgánica del Tribunal Constitucional (LOTC), oír al Fiscal General del Estado para que, en el plazo de diez días, alegue lo que considere conveniente acerca de la admisibilidad de la presente cuestión de inconstitucionalidad, en relación con los requisitos procesales (art. 35.2 LOTC), y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El Fiscal General del Estado evacuó el trámite conferido mediante escrito registrado el 10 de mayo de 2016, en el que considera que la cuestión de inconstitucionalidad es inadmisible por infracción de los presupuestos procesales del art. 35 LOTC respecto al art. 31.1 CE y por ser notoriamente infundada.</w:t>
      </w:r>
    </w:p>
    <w:p w:rsidR="0033382B" w:rsidRDefault="0033382B" w:rsidP="0033382B">
      <w:pPr>
        <w:pStyle w:val="TextoNormal"/>
      </w:pPr>
    </w:p>
    <w:p w:rsidR="0033382B" w:rsidRDefault="0033382B" w:rsidP="0033382B">
      <w:pPr>
        <w:pStyle w:val="TextoNormal"/>
      </w:pPr>
      <w:r>
        <w:t>a) Por lo que se refiere al cumplimiento de los requisitos procesales, considera que procede la inadmisión de la presente cuestión de inconstitucionalidad en lo que respecta al art. 31.1 CE por defectos en el trámite de audiencia del art. 35.2 LOTC. Alega el Fiscal General del Estado que el Tribunal Supremo, en el Auto de planteamiento de la presente cuestión, amplía su duda de inconstitucionalidad al art. 31.1 CE y, a tal efecto, cuestiona la libertad del legislador para configurar el régimen de cuantificación del tributo, el deber de contribuir y la capacidad económica del contribuyente; cuestiones, todas ellas, ausentes en la Providencia de audiencia y en los escritos de alegaciones de las partes.</w:t>
      </w:r>
    </w:p>
    <w:p w:rsidR="0033382B" w:rsidRDefault="0033382B" w:rsidP="0033382B">
      <w:pPr>
        <w:pStyle w:val="TextoNormal"/>
      </w:pPr>
    </w:p>
    <w:p w:rsidR="0033382B" w:rsidRDefault="0033382B" w:rsidP="0033382B">
      <w:pPr>
        <w:pStyle w:val="TextoNormal"/>
      </w:pPr>
      <w:r>
        <w:t>b) Por lo que se refiere al carácter notoriamente infundado, el Fiscal, tras recordar los hechos y la doctrina vertida en la cuestión interna de inconstitucionalidad resuelta en la STC 92/2014, de 10 de junio, en materia de pensiones de viudedad de la Seguridad Social, expone que la presente cuestión debe resolverse en atención a la doctrina allí establecida. Y ello dadas las similitudes e identidades existentes, de un lado, entre los supuestos de hecho subyacentes —miembro supérstite de una pareja homosexual que sufre un trato diferenciado en una ley no civil respecto del cónyuge viudo, existiendo imposibilidad jurídica de contraer matrimonio—; y, de otro, en los motivos del juicio de relevancia en ambas cuestiones; esto es, la eventual existencia de una discriminación por orientación sexual ex segundo inciso del art. 14 CE.</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xml:space="preserve">. La Sección Segunda de la Sala de lo Contencioso-Administrativo del Tribunal Supremo plantea cuestión de inconstitucionalidad respecto del art. 20.2 a) de la Ley 29/1987, de 18 de diciembre, del impuesto sobre sucesiones y donaciones (LISD), en relación con su aplicación a las parejas homosexuales que convivían </w:t>
      </w:r>
      <w:r w:rsidRPr="0033382B">
        <w:rPr>
          <w:i/>
        </w:rPr>
        <w:t>more uxorio</w:t>
      </w:r>
      <w:r>
        <w:t xml:space="preserve"> sin poder contraer legalmente matrimonio, en tanto circunscribe a los “cónyuges” la aplicación del régimen regulado para el“grupo II” , por su posible vulneración de los arts. 14 y 31.1 CE. Este régimen consiste en la aplicación de una reducción en base imponible del Impuesto sobre Sucesiones en función del parentesco con el causante. Esta reducción es inexistente para el grupo IV “Extraños” en el que implícitamente se integra el conviviente supérstite. La duda de constitucionalidad de la atribución legal de ventajas fiscales al cónyuge viudo, excluyendo tácitamente a los convivientes supérstites, se fundamenta por el órgano promotor en los argumentos ya expuestos en los antecedentes.</w:t>
      </w:r>
    </w:p>
    <w:p w:rsidR="0033382B" w:rsidRDefault="0033382B" w:rsidP="0033382B">
      <w:pPr>
        <w:pStyle w:val="TextoNormal"/>
      </w:pPr>
    </w:p>
    <w:p w:rsidR="0033382B" w:rsidRDefault="0033382B" w:rsidP="0033382B">
      <w:pPr>
        <w:pStyle w:val="TextoNormal"/>
      </w:pPr>
      <w:r>
        <w:t>El Fiscal General del Estado aprecia que no se habría cumplimentado el trámite de audiencia en relación con el art. 31.1 CE (art. 35.2 de la Ley Orgánica del Tribunal Constitucional: LOTC), y se opone a la admisión a trámite de la cuestión de inconstitucionalidad, en lo que respecta a la eventual discriminación en virtud del art. 14 CE, por estimarla notoriamente infundada (art. 37.1. LOTC). Considera que se trata de una duda de constitucionalidad ya resuelta, en relación con un precepto legal análogo, en la STC 92/2014, de 10 de junio, y que es, por tanto, aplicable la doctrina en ella establecida.</w:t>
      </w:r>
    </w:p>
    <w:p w:rsidR="0033382B" w:rsidRDefault="0033382B" w:rsidP="0033382B">
      <w:pPr>
        <w:pStyle w:val="TextoNormal"/>
      </w:pPr>
    </w:p>
    <w:p w:rsidR="0033382B" w:rsidRDefault="0033382B" w:rsidP="0033382B">
      <w:pPr>
        <w:pStyle w:val="TextoNormal"/>
      </w:pPr>
      <w:r w:rsidRPr="0033382B">
        <w:rPr>
          <w:rStyle w:val="NumeroAFNegritaCaracter"/>
        </w:rPr>
        <w:t>2</w:t>
      </w:r>
      <w:r>
        <w:t>. De acuerdo con el citado art. 37.1 LOTC, el Tribunal puede rechazar en trámite de admisión mediante Auto, sin otra audiencia que la del Fiscal General del Estado, la cuestión de inconstitucionalidad cuando falten las condiciones procesales.</w:t>
      </w:r>
    </w:p>
    <w:p w:rsidR="0033382B" w:rsidRDefault="0033382B" w:rsidP="0033382B">
      <w:pPr>
        <w:pStyle w:val="TextoNormal"/>
      </w:pPr>
    </w:p>
    <w:p w:rsidR="0033382B" w:rsidRDefault="0033382B" w:rsidP="0033382B">
      <w:pPr>
        <w:pStyle w:val="TextoNormal"/>
      </w:pPr>
      <w:r>
        <w:t>a) Procede hacer las siguientes observaciones sobre el juicio de aplicabilidad.</w:t>
      </w:r>
    </w:p>
    <w:p w:rsidR="0033382B" w:rsidRDefault="0033382B" w:rsidP="0033382B">
      <w:pPr>
        <w:pStyle w:val="TextoNormal"/>
      </w:pPr>
    </w:p>
    <w:p w:rsidR="0033382B" w:rsidRDefault="0033382B" w:rsidP="0033382B">
      <w:pPr>
        <w:pStyle w:val="TextoNormal"/>
      </w:pPr>
      <w:r>
        <w:t>(i) La norma legal impugnada [art. 20.2 a) II LISD] se ha modificado antes de la interposición de la presente cuestión de inconstitucionalidad ampliando su ámbito subjetivo de aplicación. De un lado, directamente, a partir del 1 de enero de 2003, por el art. 13.2 a) de la Ley 15/2002, de 27 de diciembre, del Principado de Asturias, de acompañamiento a los presupuestos generales para el ejercicio 2003, estableciendo que “las parejas estables definidas en los términos de la Ley del Principado de Asturias 4/2002, de 23 de mayo, de parejas estables, se equipararán a los cónyuges” y que “(l)as mencionadas equiparaciones regirán también para la aplicación de los coeficientes multiplicadores a que se refiere el artículo 22 de la Ley del impuesto sobre sucesiones y donaciones”. Y, de otro lado, indirectamente, con la entrada en vigor el 3 de julio de 2005 de la reforma del art. 44 del Código civil (CC) operada por la Ley 13/2005, de 1 de julio, que regula el matrimonio entre personas del mismo sexo.</w:t>
      </w:r>
    </w:p>
    <w:p w:rsidR="0033382B" w:rsidRDefault="0033382B" w:rsidP="0033382B">
      <w:pPr>
        <w:pStyle w:val="TextoNormal"/>
      </w:pPr>
    </w:p>
    <w:p w:rsidR="0033382B" w:rsidRDefault="0033382B" w:rsidP="0033382B">
      <w:pPr>
        <w:pStyle w:val="TextoNormal"/>
      </w:pPr>
      <w:r>
        <w:t xml:space="preserve">En este punto, como ha declarado el Tribunal, “para las cuestiones de inconstitucionalidad, los efectos extintivos del objeto del proceso como consecuencia de la derogación o modificación de la norma cuestionada vienen determinados por el hecho de que la norma cuestionada, tras su derogación o modificación, no solo resulte aplicable en el proceso </w:t>
      </w:r>
      <w:r w:rsidRPr="0033382B">
        <w:rPr>
          <w:i/>
        </w:rPr>
        <w:t>a quo</w:t>
      </w:r>
      <w:r>
        <w:t xml:space="preserve"> sino también que de su validez dependa la decisión a adoptar en el mismo” (SSTC 87/2012, de 18 de abril, FJ 3; 92/2014, de 10 de junio, FJ 3; 93/2014, 29 de mayo, FJ 1, y 60/2015, de 18 de marzo, FJ 1). En el presente caso la norma aplicable, en lo que se refiere al impuesto sobre sucesiones, se determina por la fecha del devengo del impuesto, que es el día del fallecimiento de la causante el 11 de agosto de 2001 (art. 24 LISD). Y en esa fecha, el vínculo matrimonial era exigido como requisito por el art. 20.2 a) LISD para la aplicación de la reducción de base imponible del impuesto sobre sucesiones por razón de parentesco del grupo II. Así, superados los juicios de aplicabilidad y de relevancia —puesto que de la validez del art. 20.2 a) II LISD, en su redacción a fecha de devengo, depende el fallo del proceso </w:t>
      </w:r>
      <w:r w:rsidRPr="0033382B">
        <w:rPr>
          <w:i/>
        </w:rPr>
        <w:t>a quo</w:t>
      </w:r>
      <w:r>
        <w:t>—, no cabe afirmar que esta cuestión haya perdido su objeto.</w:t>
      </w:r>
    </w:p>
    <w:p w:rsidR="0033382B" w:rsidRDefault="0033382B" w:rsidP="0033382B">
      <w:pPr>
        <w:pStyle w:val="TextoNormal"/>
      </w:pPr>
    </w:p>
    <w:p w:rsidR="0033382B" w:rsidRDefault="0033382B" w:rsidP="0033382B">
      <w:pPr>
        <w:pStyle w:val="TextoNormal"/>
      </w:pPr>
      <w:r>
        <w:t xml:space="preserve">(ii) Una de las pretensiones de la recurrente en el proceso </w:t>
      </w:r>
      <w:r w:rsidRPr="0033382B">
        <w:rPr>
          <w:i/>
        </w:rPr>
        <w:t>a quo</w:t>
      </w:r>
      <w:r>
        <w:t xml:space="preserve"> consiste en la aplicación retroactiva, al caso de autos, del ámbito subjetivo de aplicación del art. 20.2 a) II LISD que resulta de la Ley asturiana 15/2002 y de la Ley estatal 13/2005. Teniendo en cuenta que el órgano judicial no se pronuncia, previa y provisionalmente, ni en la providencia ni en el Auto, sobre esta concreta pretensión para despejar una posible indeterminación acerca del ámbito de aplicación temporal de la norma controvertida, tal indeterminación podría provocar la inadmisión de la presente cuestión por no satisfacer el juicio de aplicabilidad y relevancia (STC 18/2014, de 30 de enero, FJ 5). Sin embargo, en el presente caso, el Tribunal entiende que no cabe inadmitir la presente cuestión de inconstitucionalidad por este motivo. En efecto, no existe indeterminación sobre qué redacción del art. 20.2 a) II LISD sea aplicable al caso concreto. El impuesto controvertido se devenga el 11 de agosto de 2001 y las leyes 15/2002 y 13/2005 entran en vigor sin efectos retroactivos el 1 de enero de 2003 y el 3 de julio de 2005, respectivamente. Por tanto, el órgano promotor de la presente cuestión duda de la constitucionalidad del art. 20.2 a) II LISD vigente a fecha de devengo del impuesto, pero no duda de su aplicabilidad al caso de autos.</w:t>
      </w:r>
    </w:p>
    <w:p w:rsidR="0033382B" w:rsidRDefault="0033382B" w:rsidP="0033382B">
      <w:pPr>
        <w:pStyle w:val="TextoNormal"/>
      </w:pPr>
    </w:p>
    <w:p w:rsidR="0033382B" w:rsidRDefault="0033382B" w:rsidP="0033382B">
      <w:pPr>
        <w:pStyle w:val="TextoNormal"/>
      </w:pPr>
      <w:r>
        <w:t>b) En cuanto al trámite de audiencia previsto en el art. 35.2 LOTC, el Fiscal General del Estado denuncia una deficiencia en la providencia de apertura de dicho trámite. La Sala declara en la misma que la eventual discriminación contraria al principio de igualdad sufrida por la actora en materia de reducciones de base imponible [art. 20.2 a) II LISD] se ubica exclusivamente en el art. 14 CE. En cambio, en el Auto de planteamiento de la presente cuestión se amplía la duda de constitucionalidad al art. 31.1 CE.</w:t>
      </w:r>
    </w:p>
    <w:p w:rsidR="0033382B" w:rsidRDefault="0033382B" w:rsidP="0033382B">
      <w:pPr>
        <w:pStyle w:val="TextoNormal"/>
      </w:pPr>
    </w:p>
    <w:p w:rsidR="0033382B" w:rsidRDefault="0033382B" w:rsidP="0033382B">
      <w:pPr>
        <w:pStyle w:val="TextoNormal"/>
      </w:pPr>
      <w:r>
        <w:t>Según la STC 166/2012, de 1 de octubre, FJ 3, “para cumplir adecuadamente con el trámite previsto en el artículo 35.2 LOTC, el juez no está obligado a detallar cada uno de los extremos de la cuestión de inconstitucionalidad sobre cuya conveniencia pueden pronunciarse las partes”. El Tribunal ha venido interpretando el art. 35.2 LOTC de forma flexible, no exigiendo que el órgano judicial haga mención específica en el trámite de audiencia de los preceptos constitucionales vulnerados, “siempre que esta indeterminación sea solo relativa, en el sentido de que las partes hayan podido conocer el planteamiento de la inconstitucionalidad realizado por el juez y, atendidas las circunstancias del caso, situarlo en sus exactos términos constitucionales y pronunciarse sobre él” (SSTC 42/1990, de 15 de marzo FJ 1, y 166/2012, de 1 de octubre FJ 3). A falta de una cita concreta de los preceptos constitucionales supuestamente vulnerados, “basta con que la duda de constitucionalidad quede mínimamente identificada ante quienes han de ser oídos” [ATC 18/1983, de 18 de enero, FJ 1; SSTC 188/1998, de 28 de septiembre, FJ 2; 41/1990, de 15 de marzo, FJ 3; 106/1990, de 6 de junio, FJ 3; 166/2007, de 7 de julio, FJ 6, y 50/2015, de 5 de marzo, FJ 2 b)].</w:t>
      </w:r>
    </w:p>
    <w:p w:rsidR="0033382B" w:rsidRDefault="0033382B" w:rsidP="0033382B">
      <w:pPr>
        <w:pStyle w:val="TextoNormal"/>
      </w:pPr>
    </w:p>
    <w:p w:rsidR="0033382B" w:rsidRDefault="0033382B" w:rsidP="0033382B">
      <w:pPr>
        <w:pStyle w:val="TextoNormal"/>
      </w:pPr>
      <w:r>
        <w:t>En el caso de autos, como la providencia de apertura del trámite de audiencia imputa expresamente una “discriminación prohibida por el principio de igualdad” a una ley tributaria, cabe entender que las partes han identificado perfectamente la controversia. Se trata de enjuiciar una posible vulneración del principio de igualdad en materia tributaria; principio ubicado no solo en el art. 14 CE sino también en el art. 31.1 CE. De ahí que el Auto de planteamiento de la presente cuestión declare que la disparidad de trato del art. 14 CE que aquí nos ocupa no se puede decidir sin atender a lo preceptuado en el art. 31.1 CE. Por lo tanto, como declara la STC 120/2000, de 10 de mayo (FJ 2), “si la providencia contiene una referencia, aunque sea implícita, a la posible vulneración del precepto solo recogido en el Auto de planteamiento, deberá entenderse que materialmente se ha cumplido el trámite de audiencia”. Y tal referencia implícita está contenida en la providencia, en el caso de autos, al exponer que el beneficio fiscal (reducción de base imponible) contenido en el art. 20.2 a) II LISD, aplicable únicamente al cónyuge viudo, produce un diferente tratamiento en una ley tributaria (con respecto al conviviente de hecho supérstite que no pudo legalmente contraer matrimonio) que puede provocar una discriminación contraria al principio de igualdad.</w:t>
      </w:r>
    </w:p>
    <w:p w:rsidR="0033382B" w:rsidRDefault="0033382B" w:rsidP="0033382B">
      <w:pPr>
        <w:pStyle w:val="TextoNormal"/>
      </w:pPr>
    </w:p>
    <w:p w:rsidR="0033382B" w:rsidRDefault="0033382B" w:rsidP="0033382B">
      <w:pPr>
        <w:pStyle w:val="TextoNormal"/>
      </w:pPr>
      <w:r>
        <w:t>De esta forma, al cuestionarse el Auto de planteamiento la libertad del legislador para configurar el régimen de cuantificación del tributo y la capacidad económica del contribuyente, lejos de ampliar la duda de constitucionalidad, como arguye el Ministerio Fiscal, la reconduce a sus justos términos. El Tribunal declara desde sus inicios que la igualdad se proyecta sobre la materia que se enjuicia. Así, “[l]a igualdad, sin embargo, ha de valorarse, en cada caso, teniendo en cuenta el régimen jurídico sustantivo del ámbito de relaciones en que se proyecte, y en la materia tributaria es la propia Constitución la que ha concretado y modulado el alcance de su art. 14 en un precepto (art. 31.1) cuyas determinaciones no pueden dejar de ser tenidas aquí en cuenta” (SSTC 27/1981, de 20 de julio, FJ 4; 19/1987, de 17 de febrero, FJ 3; 209/1988, de 10 de noviembre, FJ 6; 45/1989, de 20 de febrero, FJ 4; 54/1993, de 15 de febrero, FJ 1; 134/1996, de 22 de julio, FJ 5; 46/2000, de 17 de febrero, FJ 4; 96 /2002, de 25 de abril, FJ 7; 193/2004, de 4 de noviembre, FJ 3; 255/2004, de 23 de diciembre, FJ 4; 10/2005, de 10 de enero, FJ 5, y 295/2006, de 11 de octubre, FJ 5).</w:t>
      </w:r>
    </w:p>
    <w:p w:rsidR="0033382B" w:rsidRDefault="0033382B" w:rsidP="0033382B">
      <w:pPr>
        <w:pStyle w:val="TextoNormal"/>
      </w:pPr>
    </w:p>
    <w:p w:rsidR="0033382B" w:rsidRDefault="0033382B" w:rsidP="0033382B">
      <w:pPr>
        <w:pStyle w:val="TextoNormal"/>
      </w:pPr>
      <w:r>
        <w:t>Aunque las alusiones de la Sala a la adecuación a la capacidad económica del cónyuge viudo y a la progresividad del impuesto sobre sucesiones y donaciones únicamente se contienen en el Auto, la duda de constitucionalidad no se amplía de manera extravagante a la eventual colisión del art. 20.2 a) II LISD al invocar aquellos principios (capacidad económica y progresividad), los cuales, según el art. 31.1 CE, deben informar un sistema tributario justo. En efecto, la única duda que plantea la Sala a este Tribunal es si el art. 20.2 a) II LISD, al excluir tácitamente a los convivientes supérstites que no pudieron legalmente contraer matrimonio antes del fallecimiento de su pareja del mismo sexo, resiste los juicios de razonabilidad y proporcionalidad inherentes a todo enjuiciamiento sobre el principio de igualdad. Para ello se basa en la jurisprudencia constitucional sobre igualdad en materia tributaria, en la que se alude a los arts. 14 y 31.1 CE indistintamente (SSTC 214/1994, de 14 de julio, FJ 8; 46/1999, de 22de marzo, FJ 2; 200/2001, de 4 de octubre, FJ 4; 39/2002, de 14 de febrero, FJ 4; 96/2002, de 25 de abril; FJ 7; 19/2012, de 15 de febrero, FJ 5, y 60/2015, de 18 de marzo, FJ 4).</w:t>
      </w:r>
    </w:p>
    <w:p w:rsidR="0033382B" w:rsidRDefault="0033382B" w:rsidP="0033382B">
      <w:pPr>
        <w:pStyle w:val="TextoNormal"/>
      </w:pPr>
    </w:p>
    <w:p w:rsidR="0033382B" w:rsidRDefault="0033382B" w:rsidP="0033382B">
      <w:pPr>
        <w:pStyle w:val="TextoNormal"/>
      </w:pPr>
      <w:r>
        <w:t>Debemos concluir que el trámite de audiencia queda cumplido en relación con el art. 31.1 CE, y que este precepto puede servir asimismo de parámetro de enjuiciamiento en la presente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3</w:t>
      </w:r>
      <w:r>
        <w:t>. Igualmente, el art. 37.1 LOTC habilita a este Tribunal a rechazar la cuestión de inconstitucionalidad, en trámite de admisión, cuando fuera notoriamente infundada. De acuerdo con la jurisprudencia, “el concepto de “cuestión notoriamente infundada” no es concebido como un juicio peyorativo sobre la duda de constitucionalidad que traslada el órgano judicial, sino que esta expresión legal encierra un cierto grado de indefinición que se traduce procesalmente en otorgar a este Tribunal un margen de apreciación a la hora de controlar la solidez de la fundamentación de las cuestiones de inconstitucionalidad (ATC 389/1990, de 29 de octubre, FJ 1). Así, existen supuestos en los que un examen preliminar de las cuestiones de inconstitucionalidad permite apreciar la falta de viabilidad de la cuestión suscitada, sin que ello signifique, necesariamente, que carezca de forma total y absoluta de fundamentación o que esta resulte arbitraria, pudiendo resultar conveniente en tales casos resolver la cuestión en la primera fase procesal, máxime si su admisión pudiera provocar efectos no deseables como la paralización de múltiples procesos en los que resulte aplicable la norma cuestionada (entre otros, AATC 180/2011, de 13 de diciembre, FJ 5; 119/2012, de 5 de junio, FJ 3; 162/2012, de 3 de septiembre, FJ 2; 237/2012, de 11 de diciembre, FJ 2)” (AATC 43/2014, de 12 de febrero, FJ 3; 177/2014, de 24 de junio, FJ 5, y 180/2015, de 3 de noviembre, FJ 4). La falta notoria de fundamento concurre “cuando resulte evidente que la norma legal cuestionada … es manifiestamente constitucional” (STC 27/1991, de 14 de febrero, FJ 3; AATC 206/2009, de 30 de junio; 250/2014, de 21 de octubre; 60/2015, de 17 de marzo, y 180/2015, de 5 de noviembre, entre otros muchos).</w:t>
      </w:r>
    </w:p>
    <w:p w:rsidR="0033382B" w:rsidRDefault="0033382B" w:rsidP="0033382B">
      <w:pPr>
        <w:pStyle w:val="TextoNormal"/>
      </w:pPr>
    </w:p>
    <w:p w:rsidR="0033382B" w:rsidRDefault="0033382B" w:rsidP="0033382B">
      <w:pPr>
        <w:pStyle w:val="TextoNormal"/>
      </w:pPr>
      <w:r>
        <w:t>Pues bien, como se argumentará a continuación, el presente caso es uno de esos supuestos en que es posible concluir que la duda de constitucionalidad que es objeto de esta cuestión resulta manifiestamente infundada. De ahí que, de acuerdo con la opinión de la Fiscal General del Estado, proceda su inadmisión a trámite.</w:t>
      </w:r>
    </w:p>
    <w:p w:rsidR="0033382B" w:rsidRDefault="0033382B" w:rsidP="0033382B">
      <w:pPr>
        <w:pStyle w:val="TextoNormal"/>
      </w:pPr>
    </w:p>
    <w:p w:rsidR="0033382B" w:rsidRDefault="0033382B" w:rsidP="0033382B">
      <w:pPr>
        <w:pStyle w:val="TextoNormal"/>
      </w:pPr>
      <w:r w:rsidRPr="0033382B">
        <w:rPr>
          <w:rStyle w:val="NumeroAFNegritaCaracter"/>
        </w:rPr>
        <w:t>4</w:t>
      </w:r>
      <w:r>
        <w:t xml:space="preserve">. En este sentido, como asevera la Fiscal General del Estado, la presente cuestión de inconstitucionalidad debe ser resuelta en atención a la doctrina sentada por la STC 92/2014, de 10 de junio, dadas las similitudes existentes entre la cuestión allí resuelta y la que nos corresponde ahora resolver, tanto en cuanto a los supuestos de hecho del proceso </w:t>
      </w:r>
      <w:r w:rsidRPr="0033382B">
        <w:rPr>
          <w:i/>
        </w:rPr>
        <w:t>a quo</w:t>
      </w:r>
      <w:r>
        <w:t>, como en cuanto a los preceptos legales cuestionados y las dudas de constitucionalidad.</w:t>
      </w:r>
    </w:p>
    <w:p w:rsidR="0033382B" w:rsidRDefault="0033382B" w:rsidP="0033382B">
      <w:pPr>
        <w:pStyle w:val="TextoNormal"/>
      </w:pPr>
    </w:p>
    <w:p w:rsidR="0033382B" w:rsidRDefault="0033382B" w:rsidP="0033382B">
      <w:pPr>
        <w:pStyle w:val="TextoNormal"/>
      </w:pPr>
      <w:r>
        <w:t>La STC 92/2014, de 10 de junio, resuelve la cuestión interna de inconstitucionalidad núm. 693-2013 sobre el art. 174.1 de la Ley general de la Seguridad Social (LGSS), aprobada por el Real Decreto Legislativo 1/1994, de 20 de junio, en la redacción dada por el art. 32.1 de la ley 50/1998, de medidas fiscales, administrativas y de orden social (en adelante, art. 174.1 LGSS de 1994, en su redacción de 1998), por posible vulneración del segundo inciso del art. 14 CE.</w:t>
      </w:r>
    </w:p>
    <w:p w:rsidR="0033382B" w:rsidRDefault="0033382B" w:rsidP="0033382B">
      <w:pPr>
        <w:pStyle w:val="TextoNormal"/>
      </w:pPr>
    </w:p>
    <w:p w:rsidR="0033382B" w:rsidRDefault="0033382B" w:rsidP="0033382B">
      <w:pPr>
        <w:pStyle w:val="TextoNormal"/>
      </w:pPr>
      <w:r>
        <w:t>El art. 174.1 LGSS de 1994, en su redacción de 1998, y el art. 20.2 a) II LISD, aquí controvertido, establecen ventajas —pensión de viudedad y reducción de base imponible, respectivamente— para los cónyuges viudos, excluyendo tácitamente a los convivientes supérstites. Se trata, pues, de normas cuyo presupuesto de hecho exige vínculo matrimonial a pesar de quedar extramuros de la regulación del régimen jurídico civil específico de cada una de estas instituciones: matrimonio y unión de hecho. Prueba de ello es la pertenencia de ambas disposiciones a otros sectores del ordenamiento jurídico; esto es, al Derecho de la Seguridad Social y al Derecho tributario, respectivamente. Además, ambos preceptos legales ampliaron su ámbito subjetivo de aplicación con posterioridad a la fecha del fallecimiento del causante. De forma indirecta, a los cónyuges viudos de matrimonios homosexuales, a partir de la entrada en vigor de la Ley 13/2005, de 1 de julio, de modificación del Código civil en materia del derecho a contraer matrimonio, y de forma directa, equiparando matrimonio y uniones de hecho, heterosexuales y homosexuales, a efectos de pensión de viudedad de la Seguridad Social a través de la Ley 40/2007, de 4 de diciembre, y a efectos del impuesto sobre sucesiones en el Principado de Asturias (aquí cuestionado) a través de la Ley 15/2002, de 27 de diciembre. Adicionalmente, conviene señalar que estas modificaciones legislativas carecen de efectos retroactivos (Ley 13/2005, de 1 de julio, y Ley asturiana 15/2002, de 27 de diciembre) o bien carecen de efectos retroactivos aplicables al caso enjuiciado (Ley 40/2007, de 4 de diciembre).</w:t>
      </w:r>
    </w:p>
    <w:p w:rsidR="0033382B" w:rsidRDefault="0033382B" w:rsidP="0033382B">
      <w:pPr>
        <w:pStyle w:val="TextoNormal"/>
      </w:pPr>
    </w:p>
    <w:p w:rsidR="0033382B" w:rsidRDefault="0033382B" w:rsidP="0033382B">
      <w:pPr>
        <w:pStyle w:val="TextoNormal"/>
      </w:pPr>
      <w:r>
        <w:t xml:space="preserve">En cuanto al supuesto de hecho del proceso </w:t>
      </w:r>
      <w:r w:rsidRPr="0033382B">
        <w:rPr>
          <w:i/>
        </w:rPr>
        <w:t>a quo</w:t>
      </w:r>
      <w:r>
        <w:t xml:space="preserve">, la similitud en ambos casos queda patente en que (i) los demandantes mantenían incontrovertidamente una relación de convivencia </w:t>
      </w:r>
      <w:r w:rsidRPr="0033382B">
        <w:rPr>
          <w:i/>
        </w:rPr>
        <w:t>more uxorio</w:t>
      </w:r>
      <w:r>
        <w:t xml:space="preserve"> de carácter homosexual de muchos años; y en que (ii) los convivientes de los demandantes fallecieron con anterioridad a la entrada en vigor de la Ley 13/2005 sobre matrimonio entre personas del mismo sexo. Debido a la prohibición del art. 44 CC entonces vigente, los demandantes no pudieron contraer matrimonio durante la convivencia </w:t>
      </w:r>
      <w:r w:rsidRPr="0033382B">
        <w:rPr>
          <w:i/>
        </w:rPr>
        <w:t>more uxorio</w:t>
      </w:r>
      <w:r>
        <w:t xml:space="preserve"> con el/la finado/a y, por tanto, cumplir el requisito subjetivo de tener la condición de cónyuge, impuesto por los preceptos legales aquí comparados [art. 174.1 LGSS de 1994, en su redacción de 1998, y art. 20.2 a) II LISD], para acceder a la pensión de viudedad y a la reducción de base imponible del impuesto sobre sucesiones, respectivamente.</w:t>
      </w:r>
    </w:p>
    <w:p w:rsidR="0033382B" w:rsidRDefault="0033382B" w:rsidP="0033382B">
      <w:pPr>
        <w:pStyle w:val="TextoNormal"/>
      </w:pPr>
    </w:p>
    <w:p w:rsidR="0033382B" w:rsidRDefault="0033382B" w:rsidP="0033382B">
      <w:pPr>
        <w:pStyle w:val="TextoNormal"/>
      </w:pPr>
      <w:r>
        <w:t xml:space="preserve">Por lo que a la duda de constitucionalidad se refiere, el órgano promotor de la presente cuestión se plantea si el art. 20.2 a) II LISD —en tanto que solo reconoce al cónyuge viudo la reducción de base imponible del impuesto sobre sucesiones— puede suponer una desigualdad de trato hacia el miembro supérstite de una pareja de hecho homosexual, al no existir posibilidad legal de contraer matrimonio durante su convivencia </w:t>
      </w:r>
      <w:r w:rsidRPr="0033382B">
        <w:rPr>
          <w:i/>
        </w:rPr>
        <w:t>more uxorio</w:t>
      </w:r>
      <w:r>
        <w:t xml:space="preserve"> con la finada. Se alega, por tanto, una discriminación por razón de orientación sexual contenida implícitamente en “cualquier otra condición o circunstancia personal o social” del segundo inciso del art. 14 CE (SSTC 41/2006, de 13 de febrero, FJ 3; 41/2013, de 14 de febrero; FJ 6; 92/2014, de 10 de junio, FJ 4). En efecto, atendiendo al factor de orientación sexual, el precepto tributario aquí cuestionado tiene como destinatarios exclusivos a los contribuyentes heterosexuales. Se argumenta, en suma, que, dada la prohibición legal general de contraer matrimonio entre personas del mismo sexo antes de la entrada en vigor de la Ley 13/2005, los convivientes </w:t>
      </w:r>
      <w:r w:rsidRPr="0033382B">
        <w:rPr>
          <w:i/>
        </w:rPr>
        <w:t>more uxorio</w:t>
      </w:r>
      <w:r>
        <w:t xml:space="preserve"> homosexuales no podían adquirir la condición de cónyuges y obtener la aplicación en virtud del art. 20.2 a) II LISD de la reducción de base imponible del impuesto sobre sucesiones en los supuestos de adquisición </w:t>
      </w:r>
      <w:r w:rsidRPr="0033382B">
        <w:rPr>
          <w:i/>
        </w:rPr>
        <w:t>mortis causa</w:t>
      </w:r>
      <w:r>
        <w:t xml:space="preserve"> proveniente de su pareja de hecho del mismo sexo.</w:t>
      </w:r>
    </w:p>
    <w:p w:rsidR="0033382B" w:rsidRDefault="0033382B" w:rsidP="0033382B">
      <w:pPr>
        <w:pStyle w:val="TextoNormal"/>
      </w:pPr>
    </w:p>
    <w:p w:rsidR="0033382B" w:rsidRDefault="0033382B" w:rsidP="0033382B">
      <w:pPr>
        <w:pStyle w:val="TextoNormal"/>
      </w:pPr>
      <w:r>
        <w:t>Esta es precisamente la duda de inconstitucionalidad resuelta en las recientes Sentencias en materia de pensiones de viudedad de la Seguridad Social, en las que se plantea, como hemos expuesto anteriormente, una vulneración del derecho a la no discriminación por orientación sexual en virtud del art. 14 CE (segundo inciso) provocada por el art. 174.1 LGSS de 1994, en su redacción de 1998, al reconocer la pensión de viudedad exclusivamente al cónyuge supérstite, dada la imposibilidad legal de contraer matrimonio homosexual con anterioridad a la Ley 13/2005, de 1 de julio [SSTC 92/2014, de 10 de junio, FFJJ 5 y 6; 93/2014, de 12 de junio, FFJJ 2 y 3; 98/2014, de 23 de junio, FFJJ 2 y 3; 115/2014, de 8 de julio, FFJJ 2 y 3; 116/2014, de 8 de julio, FFJJ 3 y 4; 124/2014, de 21 de julio, FFJJ 3 y 4; 157/2014, de 6 de octubre, FJ 2]. En todas ellas el Tribunal declara que no existe contradicción entre el precepto sometido a nuestro enjuiciamiento y el derecho a la no discriminación por razón de orientación sexual que proscribe el segundo inciso del artículo 14 CE, fundándose en los siguientes argumentos:</w:t>
      </w:r>
    </w:p>
    <w:p w:rsidR="0033382B" w:rsidRDefault="0033382B" w:rsidP="0033382B">
      <w:pPr>
        <w:pStyle w:val="TextoNormal"/>
      </w:pPr>
    </w:p>
    <w:p w:rsidR="0033382B" w:rsidRDefault="0033382B" w:rsidP="0033382B">
      <w:pPr>
        <w:pStyle w:val="TextoNormal"/>
      </w:pPr>
      <w:r>
        <w:t xml:space="preserve">a) No toda imposibilidad de cumplir los requisitos legales para contraer matrimonio permite concluir que quienes se ven así impedidos tienen, solo por ello, los mismos derechos y deberes que quienes conviven matrimonialmente. Para que esto sea así la causa que limita la libertad de casarse debe ser una causa que pugne con los principios y reglas constitucionales. En estas circunstancias, al no darse las condiciones de libertad para contraer matrimonio o no hacerlo debido a causas constitucionalmente proscritas, debe presumirse que quienes convivieron </w:t>
      </w:r>
      <w:r w:rsidRPr="0033382B">
        <w:rPr>
          <w:i/>
        </w:rPr>
        <w:t>more uxorio</w:t>
      </w:r>
      <w:r>
        <w:t xml:space="preserve"> lo hicieron así porque no gozaron de la libertad efectiva para contraer matrimonio y, en consecuencia, debe reconocérseles los mismos derechos que hubieran tenido de haber formado una convivencia matrimonial (STC 92/2014, de 10 de junio, FJ 5, extrayendo la conclusión de la doctrina sentada en la STC 180/2001, de 17 de septiembre, FJ 3).</w:t>
      </w:r>
    </w:p>
    <w:p w:rsidR="0033382B" w:rsidRDefault="0033382B" w:rsidP="0033382B">
      <w:pPr>
        <w:pStyle w:val="TextoNormal"/>
      </w:pPr>
    </w:p>
    <w:p w:rsidR="0033382B" w:rsidRDefault="0033382B" w:rsidP="0033382B">
      <w:pPr>
        <w:pStyle w:val="TextoNormal"/>
      </w:pPr>
      <w:r>
        <w:t>b) Aplicando esta doctrina al caso concreto, citando la STC 198/2012, el Tribunal concluye que la configuración del matrimonio como unión exclusiva entre personas de distinto sexo es una opción del legislador constitucionalmente legítima, aunque no la única (STC 92/2014, de 10 de julio, FJ 6 y siguientes). Predicada así la constitucionalidad del carácter heterosexual del matrimonio, “la exigencia del vínculo matrimonial como presupuesto para acceder a la pensión de viudedad establecida dentro del sistema de Seguridad Social no pugna con el art. 14 CE, ni tampoco las medidas de los poderes públicos que otorguen un trato distinto y más favorable a la unidad familiar basada en el matrimonio que a otras unidades convencionales” (SSTC 184/1990 y 66/1994, y ATC 222/1994), dado el amplio margen de apreciación y configuración del legislador en cuanto al régimen de prestaciones económicas de la Seguridad Social y las situaciones que han de considerarse merecedoras de protección. Por tanto, “ha de ser el legislador —en modo alguno este Tribunal actuando de legislador positivo retrospectivo y comprometiendo desembolsos económicos del erario público— el que, en su caso, decida, al hilo de los cambios sociales, cuál es el momento en que procede extender la pensión de viudedad a otros supuestos y con qué alcance. Así lo ha hecho el legislador con posterioridad, tanto con la regulación del matrimonio homosexual en la Ley 13/2005, de 1 de julio, por la que se modifica el Código civil en materia de derecho a contraer matrimonio, lo que permite a los cónyuges supervivientes de matrimonios homosexuales solicitar la correspondiente pensión de viudedad, como con la Ley 40/2007, de 4 de diciembre, que extiende este beneficio, con ciertas limitaciones y requisitos, a todas las parejas de hecho estables, tanto heterosexuales como homosexuales, previendo, además, en su disposición adicional tercera, su aplicación a situaciones acaecidas con anterioridad a su entrada en vigor. Una decisión de política legislativa ciertamente legítima (STC 41/2013, FJ 3), como también lo era, no obstante, la anterior, que ninguna tacha ofrecía, por las razones ya expuestas, desde la perspectiva del art. 14 CE” [STC 92/2014, de 10 de junio, FJ 6].</w:t>
      </w:r>
    </w:p>
    <w:p w:rsidR="0033382B" w:rsidRDefault="0033382B" w:rsidP="0033382B">
      <w:pPr>
        <w:pStyle w:val="TextoNormal"/>
      </w:pPr>
    </w:p>
    <w:p w:rsidR="0033382B" w:rsidRDefault="0033382B" w:rsidP="0033382B">
      <w:pPr>
        <w:pStyle w:val="TextoNormal"/>
      </w:pPr>
      <w:r>
        <w:t xml:space="preserve">c) En un sentido parecido se ha pronunciado, en materia de pensiones de viudedad, el Tribunal Europeo de Derechos Humanos en la reciente Sentencia de 14 de junio de 2016 (caso </w:t>
      </w:r>
      <w:r w:rsidRPr="0033382B">
        <w:rPr>
          <w:i/>
        </w:rPr>
        <w:t>Aldeguer Tomás c. España</w:t>
      </w:r>
      <w:r>
        <w:t>). Según el Tribunal Europeo de Derechos Humanos, la no aplicación retroactiva de la Ley 13/2005, de 1 de julio, para ampliar el ámbito subjetivo de la pensión de viudedad reconocida exclusivamente al cónyuge viudo en el art. 174.1 LGSS de 1994, no constituye una discriminación por orientación sexual proscrita en el art. 14 del Convenio europeo para la protección de los derechos humanos y de las libertades fundamentales (CEDH), en relación con el art. 8 CEDH y el art. 1 del protocolo núm. 1 CEDH, respecto al conviviente supérstite de una unión de hecho homosexual impedido legalmente a contraer matrimonio con otra persona del mismo sexo con anterioridad a la Ley 13/2005, de 1 de julio. Concluye el Tribunal Europeo de Derechos Humanos que en el ámbito de los derechos en evolución donde no hay un consenso establecido, los Estados contratantes gozan de un amplio margen de apreciación en cuanto al momento de introducir las modificaciones legislativas sobre el reconocimiento legal de las parejas del mismo sexo y el concreto estatus que se les confiere (párrafo 90). Por lo tanto, ni el reconocimiento legal posterior del matrimonio entre personas del mismo sexo en 2005, ni la extensión posterior en 2007 del ámbito legal subjetivo de la pensión de viudedad a las parejas de hecho en ciertas condiciones, puede ser tomado como una admisión por parte de los poderes públicos nacionales de que el no reconocimiento del matrimonio entre personas del mismo sexo o la exclusión de las parejas del mismo sexo de algunos de los derechos y beneficios previstos para las parejas casadas fuera, en el momento de autos, incompatible con el Convenio (párrafo 89).</w:t>
      </w:r>
    </w:p>
    <w:p w:rsidR="0033382B" w:rsidRDefault="0033382B" w:rsidP="0033382B">
      <w:pPr>
        <w:pStyle w:val="TextoNormal"/>
      </w:pPr>
    </w:p>
    <w:p w:rsidR="0033382B" w:rsidRDefault="0033382B" w:rsidP="0033382B">
      <w:pPr>
        <w:pStyle w:val="TextoNormal"/>
      </w:pPr>
      <w:r w:rsidRPr="0033382B">
        <w:rPr>
          <w:rStyle w:val="NumeroAFNegritaCaracter"/>
        </w:rPr>
        <w:t>5</w:t>
      </w:r>
      <w:r>
        <w:t>. En definitiva, a pesar de que el órgano promotor sostenga que el legislador en materia de pensiones de viudedad no tiene el mismo margen de configuración que el legislador tributario al tratarse de materias recogidas en preceptos constitucionales distintos (arts. 41 y 50 CE, y arts. 31.1 y 40.1 CE, respectivamente), a la vista de la clara analogía que presentan la presente cuestión y la ya resuelta en la STC 92/2014 tras el análisis comparativo realizado en el fundamento jurídico anterior, puede concluirse, aplicando la jurisprudencia consolidada en la STC 92/2014, que el art. 20.2 a) II LISD no provoca discriminación por orientación sexual. En consecuencia, tanto porque la duda de constitucionalidad aquí planteada ya había quedado solventada en la STC 92/2014, como porque el Tribunal no alberga dudas sobre la constitucionalidad del precepto legal aquí impugnado, procede declarar la inadmisión a trámite de esta cuestión de inconstitucionalidad al carecer de viabilidad suficiente. Debe considerarse pues, notoriamente infundada a los efectos del art. 37.1 LOTC.</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Publíquese este Auto en el “Boletín Oficial del Estado”</w:t>
      </w:r>
    </w:p>
    <w:p w:rsidR="0033382B" w:rsidRDefault="0033382B" w:rsidP="0033382B">
      <w:pPr>
        <w:pStyle w:val="TextoNormal"/>
      </w:pPr>
    </w:p>
    <w:p w:rsidR="0033382B" w:rsidRDefault="0033382B" w:rsidP="0033382B">
      <w:pPr>
        <w:pStyle w:val="TextoNormal"/>
      </w:pPr>
      <w:r>
        <w:t>Madrid, a veintiuno de junio de dos mil dieciséis</w:t>
      </w:r>
    </w:p>
    <w:p w:rsidR="0033382B" w:rsidRDefault="0033382B" w:rsidP="0033382B">
      <w:pPr>
        <w:pStyle w:val="TextoNormal"/>
      </w:pPr>
    </w:p>
    <w:p w:rsidR="0033382B" w:rsidRDefault="0033382B" w:rsidP="0033382B">
      <w:pPr>
        <w:pStyle w:val="TextoNormal"/>
      </w:pPr>
      <w:r>
        <w:t>Madrid, a veintiuno de junio de dos mil dieciséis.</w:t>
      </w:r>
    </w:p>
    <w:p w:rsidR="0033382B" w:rsidRDefault="0033382B" w:rsidP="0033382B">
      <w:pPr>
        <w:pStyle w:val="ParrafoNormal"/>
      </w:pPr>
    </w:p>
    <w:p w:rsidR="0033382B" w:rsidRDefault="0033382B" w:rsidP="0033382B">
      <w:pPr>
        <w:pStyle w:val="TextoNormalNegritaCentrado"/>
        <w:keepNext/>
      </w:pPr>
      <w:r>
        <w:t>Voto particular que formula el Magistrado don Juan Antonio Xiol Ríos al Auto dictado en la cuestión de inconstitucionalidad núm. 3789-2015, al que se adhieren la Magistrada doña Adela Asua Batarrita y el Magistrado don Fernando Valdés Dal-Ré.</w:t>
      </w:r>
    </w:p>
    <w:p w:rsidR="0033382B" w:rsidRDefault="0033382B" w:rsidP="0033382B">
      <w:pPr>
        <w:pStyle w:val="TextoNormalNegritaCentrado"/>
        <w:keepNext/>
      </w:pPr>
    </w:p>
    <w:p w:rsidR="0033382B" w:rsidRDefault="0033382B" w:rsidP="0033382B">
      <w:pPr>
        <w:pStyle w:val="TextoNormal"/>
      </w:pPr>
      <w:r>
        <w:t>Con respeto a la opinión mayoritaria de mis compañeros en la que se sustenta el auto discrepo de la fundamentación jurídica y del pronunciamiento por el que no se admite una cuestión de inconstitucionalidad sobre el artículo 20.2 a) de la Ley 29/1987, de 18 de diciembre, del impuesto sobre sucesiones y donaciones (LISD).</w:t>
      </w:r>
    </w:p>
    <w:p w:rsidR="0033382B" w:rsidRDefault="0033382B" w:rsidP="0033382B">
      <w:pPr>
        <w:pStyle w:val="TextoNormal"/>
      </w:pPr>
    </w:p>
    <w:p w:rsidR="0033382B" w:rsidRDefault="0033382B" w:rsidP="0033382B">
      <w:pPr>
        <w:pStyle w:val="TextoNormal"/>
      </w:pPr>
      <w:r>
        <w:t>1. Planteamiento.</w:t>
      </w:r>
    </w:p>
    <w:p w:rsidR="0033382B" w:rsidRDefault="0033382B" w:rsidP="0033382B">
      <w:pPr>
        <w:pStyle w:val="TextoNormal"/>
      </w:pPr>
    </w:p>
    <w:p w:rsidR="0033382B" w:rsidRDefault="0033382B" w:rsidP="0033382B">
      <w:pPr>
        <w:pStyle w:val="TextoNormal"/>
      </w:pPr>
      <w:r>
        <w:t xml:space="preserve">El órgano judicial duda que el artículo 20.2 a) LISD resulte conforme con los artículos 14 y 31.1 CE, por vulneración del principio de igualdad, ya que al establecer una reducción en la base imponible del impuesto de sucesiones aplicable al cónyuge viudo excluye tácitamente al conviviente supérstite en una unión de hecho </w:t>
      </w:r>
      <w:r w:rsidRPr="0033382B">
        <w:rPr>
          <w:i/>
        </w:rPr>
        <w:t>more uxorio</w:t>
      </w:r>
      <w:r>
        <w:t>.</w:t>
      </w:r>
    </w:p>
    <w:p w:rsidR="0033382B" w:rsidRDefault="0033382B" w:rsidP="0033382B">
      <w:pPr>
        <w:pStyle w:val="TextoNormal"/>
      </w:pPr>
    </w:p>
    <w:p w:rsidR="0033382B" w:rsidRDefault="0033382B" w:rsidP="0033382B">
      <w:pPr>
        <w:pStyle w:val="TextoNormal"/>
      </w:pPr>
      <w:r>
        <w:t xml:space="preserve">Los dos argumentos en los que se basa la opinión mayoritaria en la que que se sustenta el auto de inadmisión son (i) que se trata de una cuestión ya resuelta en la STC 92/2014, de 10 de junio —y en la STEDH de 14 de junio de 2016, caso </w:t>
      </w:r>
      <w:r w:rsidRPr="0033382B">
        <w:rPr>
          <w:i/>
        </w:rPr>
        <w:t>Aldeguer Tomás c. España</w:t>
      </w:r>
      <w:r>
        <w:t>—; y (ii) que el precepto legal impugnado no ofrece dudas de constitucionalidad.</w:t>
      </w:r>
    </w:p>
    <w:p w:rsidR="0033382B" w:rsidRDefault="0033382B" w:rsidP="0033382B">
      <w:pPr>
        <w:pStyle w:val="TextoNormal"/>
      </w:pPr>
    </w:p>
    <w:p w:rsidR="0033382B" w:rsidRDefault="0033382B" w:rsidP="0033382B">
      <w:pPr>
        <w:pStyle w:val="TextoNormal"/>
      </w:pPr>
      <w:r>
        <w:t>No comparto ninguno de estos dos argumentos.</w:t>
      </w:r>
    </w:p>
    <w:p w:rsidR="0033382B" w:rsidRDefault="0033382B" w:rsidP="0033382B">
      <w:pPr>
        <w:pStyle w:val="TextoNormal"/>
      </w:pPr>
    </w:p>
    <w:p w:rsidR="0033382B" w:rsidRDefault="0033382B" w:rsidP="0033382B">
      <w:pPr>
        <w:pStyle w:val="TextoNormal"/>
      </w:pPr>
      <w:r>
        <w:t xml:space="preserve">2. No es cierta la supuesta identidad de esta cuestión con la resuelta en la STC 92/2014 y en la STEDH de 14 de junio de 2016, caso </w:t>
      </w:r>
      <w:r w:rsidRPr="0033382B">
        <w:rPr>
          <w:i/>
        </w:rPr>
        <w:t>Aldeguer Tomás c. España</w:t>
      </w:r>
      <w:r>
        <w:t>. La cuestión debió ser admitida.</w:t>
      </w:r>
    </w:p>
    <w:p w:rsidR="0033382B" w:rsidRDefault="0033382B" w:rsidP="0033382B">
      <w:pPr>
        <w:pStyle w:val="TextoNormal"/>
      </w:pPr>
    </w:p>
    <w:p w:rsidR="0033382B" w:rsidRDefault="0033382B" w:rsidP="0033382B">
      <w:pPr>
        <w:pStyle w:val="TextoNormal"/>
      </w:pPr>
      <w:r>
        <w:t xml:space="preserve">La cuestión enjuiciada plantea una controversia constitucional a la que no puede aplicarse sin más (so pena de incurrir, a mi juicio, en una falacia retórica de proporciones notables) la jurisprudencia sentada en la STC 92/2014 sobre la imposibilidad de reconocer pensiones de viudedad en las parejas del mismo sexo que no tenían la posibilidad legal de conformar una unión matrimonial (cuestión sobre la que versa también la STEDH de 14 de junio de 2016, caso </w:t>
      </w:r>
      <w:r w:rsidRPr="0033382B">
        <w:rPr>
          <w:i/>
        </w:rPr>
        <w:t>Aldeguer Tomás c. España</w:t>
      </w:r>
      <w:r>
        <w:t>).</w:t>
      </w:r>
    </w:p>
    <w:p w:rsidR="0033382B" w:rsidRDefault="0033382B" w:rsidP="0033382B">
      <w:pPr>
        <w:pStyle w:val="TextoNormal"/>
      </w:pPr>
    </w:p>
    <w:p w:rsidR="0033382B" w:rsidRDefault="0033382B" w:rsidP="0033382B">
      <w:pPr>
        <w:pStyle w:val="TextoNormal"/>
      </w:pPr>
      <w:r>
        <w:t>En la argumentación del auto de planteamiento de la presente cuestión se afirma que “la posibilidad declarada constitucional de negarle el derecho a una pensión de viudedad al supérstite de una pareja homosexual, no exige que se anude idéntica conclusión a la cuantificación del Impuesto sobre Sucesiones y Donaciones”. En efecto, son materias constitucionalmente distintas, ya que (i) tienen un diferente anclaje constitucional: la protección social dispensada legalmente mediante una pensión de viudedad al cónyuge supérstite deriva de los arts. 41 y 50 CE; el establecimiento de reducciones de base imponible para el cónyuge viudo en el impuesto de sucesiones deriva del art. 31.1 CE; y (ii) en una y otra materia el legislador dispone de un diferente margen de configuración, como reconoce la STC 134/1996, de 22 de julio, FJ 5, al distinguir entre la protección social de los ciudadanos, donde el art. 14 CE juega limitadamente y con matices en los supuestos de diferente nivel de protección —con lo que el margen del legislador para establecer diferentes regímenes jurídicos es más amplio—, y la concesión de beneficios fiscales que, al suponer una quiebra del deber constitucional de contribuir que el art. 31.1 CE impone a todos, queda supeditada al cumplimiento de los principios de justicia tributaria, entre los que se encuentra el principio de igualdad.</w:t>
      </w:r>
    </w:p>
    <w:p w:rsidR="0033382B" w:rsidRDefault="0033382B" w:rsidP="0033382B">
      <w:pPr>
        <w:pStyle w:val="TextoNormal"/>
      </w:pPr>
    </w:p>
    <w:p w:rsidR="0033382B" w:rsidRDefault="0033382B" w:rsidP="0033382B">
      <w:pPr>
        <w:pStyle w:val="TextoNormal"/>
      </w:pPr>
      <w:r>
        <w:t>Ante la inexistencia de doctrina constitucional en el ámbito tributario sobre la controversia ahora planteada —discriminación de los contribuyentes unidos de hecho ante la concesión legal de beneficios fiscales por razón de matrimonio—, ha de convenirse, cuando menos, en que la cuestión examinada no puede considerarse como notoriamente infundada.</w:t>
      </w:r>
    </w:p>
    <w:p w:rsidR="0033382B" w:rsidRDefault="0033382B" w:rsidP="0033382B">
      <w:pPr>
        <w:pStyle w:val="TextoNormal"/>
      </w:pPr>
    </w:p>
    <w:p w:rsidR="0033382B" w:rsidRDefault="0033382B" w:rsidP="0033382B">
      <w:pPr>
        <w:pStyle w:val="TextoNormal"/>
      </w:pPr>
      <w:r>
        <w:t xml:space="preserve">El Tribunal ha enjuiciado la constitucionalidad de la exigencia de vínculo matrimonial como condición legal para la concesión de ventajas jurídicas, en detrimento de los unidos de hecho, en dos temas fundamentales, de manera aparentemente opuesta. La exclusión legal tácita de las parejas de hecho ha sido declarada constitucionalmente legítima en el ámbito de las pensiones de viudedad de la Seguridad Social, por ser tal exclusión fruto del amplio margen de configuración del legislador ante realidades constitucionalmente no equivalentes (SSTC 184/1990; 29/1991, 30/1991, 31/1991, 35/1991, 38/1991 y 77/1991; 29/1992, 66/1994, 180/2001; y actualmente, las SSTC 92/2014, 93/2014, 98/2014, 115/2014, 116/2014, 124/2014 y 157/2014). En cambio, esta misma exclusión legal tácita del conviviente supérstite en el ámbito de la subrogación </w:t>
      </w:r>
      <w:r w:rsidRPr="0033382B">
        <w:rPr>
          <w:i/>
        </w:rPr>
        <w:t>mortis causa</w:t>
      </w:r>
      <w:r>
        <w:t xml:space="preserve"> en contratos de arrendamiento urbano ha sido declarada inconstitucional por discriminatoria (SSTC 222/1992, de 11 de diciembre; 6/1993, de 18 de enero; y 47/1993, de 8 de febrero). Así, aunque la doctrina consolidada sobre pensiones de viudedad haya sido reactivada últimamente tras la resolución de la cuestión interna de inconstitucionalidad en la STC 92/2014, de 10 de junio (la última es la STC 157/2014, de 6 de octubre), no pueden considerarse despejadas las dudas en cuanto a convivencia </w:t>
      </w:r>
      <w:r w:rsidRPr="0033382B">
        <w:rPr>
          <w:i/>
        </w:rPr>
        <w:t>more uxorio</w:t>
      </w:r>
      <w:r>
        <w:t xml:space="preserve"> se refiere, pues no existen pronunciamientos recientes sobre arrendamientos urbanos que permitan afirmarlo así.</w:t>
      </w:r>
    </w:p>
    <w:p w:rsidR="0033382B" w:rsidRDefault="0033382B" w:rsidP="0033382B">
      <w:pPr>
        <w:pStyle w:val="TextoNormal"/>
      </w:pPr>
    </w:p>
    <w:p w:rsidR="0033382B" w:rsidRDefault="0033382B" w:rsidP="0033382B">
      <w:pPr>
        <w:pStyle w:val="TextoNormal"/>
      </w:pPr>
      <w:r>
        <w:t>En conclusión, la presente cuestión debería haberse admitido.</w:t>
      </w:r>
    </w:p>
    <w:p w:rsidR="0033382B" w:rsidRDefault="0033382B" w:rsidP="0033382B">
      <w:pPr>
        <w:pStyle w:val="TextoNormal"/>
      </w:pPr>
    </w:p>
    <w:p w:rsidR="0033382B" w:rsidRDefault="0033382B" w:rsidP="0033382B">
      <w:pPr>
        <w:pStyle w:val="TextoNormal"/>
      </w:pPr>
      <w:r>
        <w:t>3. La cuestión de inconstitucionalidad no es notoriamente infundada en relación con la posible vulneración del principio de igualdad en el ámbito tributario, pues denuncia una discriminación que debió ser estimada.</w:t>
      </w:r>
    </w:p>
    <w:p w:rsidR="0033382B" w:rsidRDefault="0033382B" w:rsidP="0033382B">
      <w:pPr>
        <w:pStyle w:val="TextoNormal"/>
      </w:pPr>
    </w:p>
    <w:p w:rsidR="0033382B" w:rsidRDefault="0033382B" w:rsidP="0033382B">
      <w:pPr>
        <w:pStyle w:val="TextoNormal"/>
      </w:pPr>
      <w:r>
        <w:t>También discrepo de la opinión mayoritaria en la que se sustenta el auto en el sentido de que sea notoriamente infundado que el artículo 20.2 a) LISD suponga una lesión del principio de igualdad del artículo 14, en relación con el artículo 31.1 CE.</w:t>
      </w:r>
    </w:p>
    <w:p w:rsidR="0033382B" w:rsidRDefault="0033382B" w:rsidP="0033382B">
      <w:pPr>
        <w:pStyle w:val="TextoNormal"/>
      </w:pPr>
    </w:p>
    <w:p w:rsidR="0033382B" w:rsidRDefault="0033382B" w:rsidP="0033382B">
      <w:pPr>
        <w:pStyle w:val="TextoNormal"/>
      </w:pPr>
      <w:r>
        <w:t>A mi juicio, el Tribunal debería haber tomado como criterio de interpretación del precepto legal impugnado el criterio de igualación entre uniones de hecho y matrimonio a efectos de reducciones del impuesto sobre sucesiones y donaciones establecido en la Ley asturiana 15/2002 (a imagen y semejanza de otros preceptos legislativos en la misma línea en diferentes materias), no aplicable directamente al caso de autos por razones temporales. Una vieja jurisprudencia constitucional, frecuentemente olvidada, ordena tener en cuenta los criterios de igualación establecidos por el legislador al ponderar la existencia de una discriminación (SSTC 5/1983, FJ 3, y 71/2016, FJ 5).</w:t>
      </w:r>
    </w:p>
    <w:p w:rsidR="0033382B" w:rsidRDefault="0033382B" w:rsidP="0033382B">
      <w:pPr>
        <w:pStyle w:val="TextoNormal"/>
      </w:pPr>
    </w:p>
    <w:p w:rsidR="0033382B" w:rsidRDefault="0033382B" w:rsidP="0033382B">
      <w:pPr>
        <w:pStyle w:val="TextoNormal"/>
      </w:pPr>
      <w:r>
        <w:t xml:space="preserve">En este punto, no considero decisiva la STEDH de 14 de junio de 2016, caso </w:t>
      </w:r>
      <w:r w:rsidRPr="0033382B">
        <w:rPr>
          <w:i/>
        </w:rPr>
        <w:t>Aldeguer Tomás c. España</w:t>
      </w:r>
      <w:r>
        <w:t>, pues el pronunciamiento se funda en un argumento —la intranscendencia de la legislación española sobre igualación en materia de pensiones entre el matrimonio y las uniones de hecho desde el punto de vista del convenio europeo— que sin duda puede merecer una consideración distinta desde la perspectiva de la aplicación de la Constitución, dado que el Tribunal Europeo reconoce en esta materia un amplio margen al poder de configuración de los Estados, por tratarse de derechos en evolución sin un consenso europeo establecido (90: “</w:t>
      </w:r>
      <w:r w:rsidRPr="0033382B">
        <w:rPr>
          <w:i/>
        </w:rPr>
        <w:t>In this connection, the Court recalls that it held in 2010 in its case of Schalk and Kopf that States enjoyed a margin of appreciation as regards the timing of the introduction of legislative changes in the field of legal recognition of same-sex couples and the exact status conferred on them, an area which was regarded as one of evolving rights with no established consensu</w:t>
      </w:r>
      <w:r>
        <w:t xml:space="preserve"> …”).</w:t>
      </w:r>
    </w:p>
    <w:p w:rsidR="0033382B" w:rsidRDefault="0033382B" w:rsidP="0033382B">
      <w:pPr>
        <w:pStyle w:val="TextoNormal"/>
      </w:pPr>
    </w:p>
    <w:p w:rsidR="0033382B" w:rsidRDefault="0033382B" w:rsidP="0033382B">
      <w:pPr>
        <w:pStyle w:val="TextoNormal"/>
      </w:pPr>
      <w:r>
        <w:t>La opinión mayoritaria en la que se sustenta el auto se adscribe a la jurisprudencia que arranca de la referida STC 184/1990, reavivada en la STC 92/2014, que basa la legitimidad constitucional de la concesión legal de ventajas exclusivas a los cónyuges en que matrimonio y unión de hecho no son realidades equivalentes en la Constitución, dado el reconocimiento expreso del derecho a contraer matrimonio del artículo 32 CE.</w:t>
      </w:r>
    </w:p>
    <w:p w:rsidR="0033382B" w:rsidRDefault="0033382B" w:rsidP="0033382B">
      <w:pPr>
        <w:pStyle w:val="TextoNormal"/>
      </w:pPr>
    </w:p>
    <w:p w:rsidR="0033382B" w:rsidRDefault="0033382B" w:rsidP="0033382B">
      <w:pPr>
        <w:pStyle w:val="TextoNormal"/>
      </w:pPr>
      <w:r>
        <w:t>Por mi parte, comparto la argumentación expuesta en el Voto particular que formuló a la citada STC 184/1990 el Magistrado don Luis López Guerra sobre pensiones de viudedad, que fue posteriormente asumida como la razón de decidir en la STC 222/1992, de 11 de diciembre, relativa a arrendamientos urbanos. Así, el artículo 32 CE habilita al legislador a establecer un régimen propio del matrimonio distinto del aplicable a las uniones de hecho (SSTC 198/2012, de 6 de noviembre, FJ 10, y 93/2013, de 23 de abril, FJ 7). Sin embargo, más allá de los efectos jurídico-civiles de la institución matrimonial, el legislador debe buscar otro criterio diferenciador objetivo y razonable que justifique las diferencias de tratamiento, favorable o desfavorable, que establezca en relación con las parejas de hecho. Para ello es necesario analizar la finalidad de la norma que tome como presupuesto de hecho a los cónyuges para extraer la situación jurídica protegida y determinar si esa misma situación se da igualmente en los conviviente</w:t>
      </w:r>
      <w:r w:rsidRPr="0033382B">
        <w:rPr>
          <w:i/>
        </w:rPr>
        <w:t>s more uxor</w:t>
      </w:r>
      <w:r>
        <w:t>io.</w:t>
      </w:r>
    </w:p>
    <w:p w:rsidR="0033382B" w:rsidRDefault="0033382B" w:rsidP="0033382B">
      <w:pPr>
        <w:pStyle w:val="TextoNormal"/>
      </w:pPr>
    </w:p>
    <w:p w:rsidR="0033382B" w:rsidRDefault="0033382B" w:rsidP="0033382B">
      <w:pPr>
        <w:pStyle w:val="TextoNormal"/>
      </w:pPr>
      <w:r>
        <w:t>Según la STC 92/2014 es constitucional la exclusión legal tácita de los supérstites de las uniones de hecho homosexuales de las pensiones de viudedad —y en este caso de las reducciones de base imponible en el Impuesto de sucesiones— porque establecer como causa limitativa de acceso al matrimonio su carácter heterosexual también lo es. La STC 92/2014 dice extraer tal conclusión aplicando la doctrina consolidada en las SSTC 155/1998, de 13 de julio, FJ 4, y 180/2001, de 17 de septiembre, FJ 3; pero lo cierto es que, a mi juicio, se extraen conclusiones que distan mucho de ser las que pueden fundarse en tales pronunciamientos.</w:t>
      </w:r>
    </w:p>
    <w:p w:rsidR="0033382B" w:rsidRDefault="0033382B" w:rsidP="0033382B">
      <w:pPr>
        <w:pStyle w:val="TextoNormal"/>
      </w:pPr>
    </w:p>
    <w:p w:rsidR="0033382B" w:rsidRDefault="0033382B" w:rsidP="0033382B">
      <w:pPr>
        <w:pStyle w:val="TextoNormal"/>
      </w:pPr>
      <w:r>
        <w:t xml:space="preserve">La STC 180/2001, recogiendo la doctrina de la STC 155/1998, FJ 4, estableció que si la causa que limita la libertad de casarse pugna con los principios y reglas constitucionales, “al no darse las condiciones de libertad para contraer matrimonio o no hacerlo debido a causas constitucionalmente proscritas, debe presumirse que quienes convivieron </w:t>
      </w:r>
      <w:r w:rsidRPr="0033382B">
        <w:rPr>
          <w:i/>
        </w:rPr>
        <w:t>more uxorio</w:t>
      </w:r>
      <w:r>
        <w:t xml:space="preserve"> lo hicieron así porque no gozaron de la libertad efectiva para contraer matrimonio y, en consecuencia, debe reconocérseles los mismos derechos que hubieran tenido de haber formado una convivencia matrimonial” (FJ 3). Esto supone, como reconoce la STC 92/2014, que los impedimentos legales para contraer matrimonio que sean constitucionales, como en este caso, no convierten incondicionalmente la concesión legal de ventajas jurídicas al matrimonio en constitucionalmente legítima y basada en el artículo 10.1 CE.</w:t>
      </w:r>
    </w:p>
    <w:p w:rsidR="0033382B" w:rsidRDefault="0033382B" w:rsidP="0033382B">
      <w:pPr>
        <w:pStyle w:val="TextoNormal"/>
      </w:pPr>
    </w:p>
    <w:p w:rsidR="0033382B" w:rsidRDefault="0033382B" w:rsidP="0033382B">
      <w:pPr>
        <w:pStyle w:val="TextoNormal"/>
      </w:pPr>
      <w:r>
        <w:t xml:space="preserve">Descartado, en el caso presente, que los artículos 31 y 39 CE justifiquen la razonabilidad del diferente tratamiento legal cuestionado, hay que preguntarse si es aplicable el argumento de que la libertad para contraer matrimonio es un factor que, según el Tribunal, permite justificar, adicionalmente —no por sí solo—, la concesión de ventajas legales al matrimonio (SSTC 184/1990, FJ 3; 92/2014, FJ 5). La respuesta es negativa, pues en el caso examinado el hecho de no contraerlo no es fruto de una decisión libremente adoptada, sino de la imposibilidad legal de hacerlo durante su convivencia </w:t>
      </w:r>
      <w:r w:rsidRPr="0033382B">
        <w:rPr>
          <w:i/>
        </w:rPr>
        <w:t>more uxorio</w:t>
      </w:r>
      <w:r>
        <w:t xml:space="preserve"> con el causante antes de la entrada en vigor de la Ley 13/2005, de 1 de julio.</w:t>
      </w:r>
    </w:p>
    <w:p w:rsidR="0033382B" w:rsidRDefault="0033382B" w:rsidP="0033382B">
      <w:pPr>
        <w:pStyle w:val="TextoNormal"/>
      </w:pPr>
    </w:p>
    <w:p w:rsidR="0033382B" w:rsidRDefault="0033382B" w:rsidP="0033382B">
      <w:pPr>
        <w:pStyle w:val="TextoNormal"/>
      </w:pPr>
      <w:r>
        <w:t xml:space="preserve">Como se argumenta en el Voto particular a la STC 92/2014 en relación con el artículo 174.1 de la Ley general de la Seguridad Social, el hecho de que una condición jurídica —el vínculo matrimonial— fuera de imposible cumplimiento para los convivientes de hecho del mismo sexo debería haber bastado para declarar inconstitucional en este caso el artículo 20.2 a) LISD por discriminatorio, al no haber justificación objetiva y razonable para el trato legal desigual. Si alguien lo duda, debería recordar que ha bastado para una declaración de inconstitucionalidad similar a la que propugno la imposibilidad de cumplimiento de una condición biológica y jurídica para los convivientes de hecho del mismo sexo —tener hijos en común— en los recientes pronunciamientos sobre el precepto legal que regula el acceso a las pensiones de viudedad en las convivencias </w:t>
      </w:r>
      <w:r w:rsidRPr="0033382B">
        <w:rPr>
          <w:i/>
        </w:rPr>
        <w:t>more uxorio</w:t>
      </w:r>
      <w:r>
        <w:t xml:space="preserve"> (SSTC 41/2013, 55/2013 y 77/2013).</w:t>
      </w:r>
    </w:p>
    <w:p w:rsidR="0033382B" w:rsidRDefault="0033382B" w:rsidP="0033382B">
      <w:pPr>
        <w:pStyle w:val="TextoNormal"/>
      </w:pPr>
    </w:p>
    <w:p w:rsidR="0033382B" w:rsidRDefault="0033382B" w:rsidP="0033382B">
      <w:pPr>
        <w:pStyle w:val="TextoNormal"/>
      </w:pPr>
      <w:r>
        <w:t>Respecto de los supuestos “desembolsos económicos del erario público” a los que comprometería la declaración de inconstitucionalidad del precepto impugnado, basta señalar que frente a la imprescriptibilidad de las pensiones de viudedad (art. 178 Real Decreto Legislativo 1/1994, de 20 de junio, y actual art. 230 Real Decreto Legislativo 8/2015, de 20 de octubre), las deudas tributarias prescriben a los cuatro años (arts. 59.1 y 66 Ley 58/2003, de 17 de diciembre, general tributaria): una razón más para entender que la opinión mayoritaria equipara lo que no es equiparable.</w:t>
      </w:r>
    </w:p>
    <w:p w:rsidR="0033382B" w:rsidRDefault="0033382B" w:rsidP="0033382B">
      <w:pPr>
        <w:pStyle w:val="TextoNormal"/>
      </w:pPr>
    </w:p>
    <w:p w:rsidR="0033382B" w:rsidRDefault="0033382B" w:rsidP="0033382B">
      <w:pPr>
        <w:pStyle w:val="TextoNormal"/>
      </w:pPr>
      <w:r>
        <w:t>4. Conclusión.</w:t>
      </w:r>
    </w:p>
    <w:p w:rsidR="0033382B" w:rsidRDefault="0033382B" w:rsidP="0033382B">
      <w:pPr>
        <w:pStyle w:val="TextoNormal"/>
      </w:pPr>
    </w:p>
    <w:p w:rsidR="0033382B" w:rsidRDefault="0033382B" w:rsidP="0033382B">
      <w:pPr>
        <w:pStyle w:val="TextoNormal"/>
      </w:pPr>
      <w:r>
        <w:t>El artículo 20.2 a) LISD provoca una discriminación por orientación sexual prohibida en el segundo inciso del artículo 14 CE, en relación con el artículo 31.1 CE en los contribuyentes supérstites de una unión de hecho del mismo sexo impedidos jurídicamente para contraer matrimonio antes de la entrada en vigor de la Ley 13/2005. Por consiguiente, la cuestión de inconstitucionalidad planteada debió ser admitida.</w:t>
      </w:r>
    </w:p>
    <w:p w:rsidR="0033382B" w:rsidRDefault="0033382B" w:rsidP="0033382B">
      <w:pPr>
        <w:pStyle w:val="TextoNormal"/>
      </w:pPr>
    </w:p>
    <w:p w:rsidR="0033382B" w:rsidRDefault="0033382B" w:rsidP="0033382B">
      <w:pPr>
        <w:pStyle w:val="TextoNormal"/>
      </w:pPr>
      <w:r>
        <w:t>Me ratifico en la idea expuesta en el Voto particular formulado a la STC 92/2014 por el recordado Magistrado don Luis Ortega Álvarez, al que me adherí junto con otros Magistrados, sobre la necesidad de una interpretación evolutiva del texto constitucional que tenga en consideración la utilización de los criterios de igualación establecidos en leyes contemporáneas o posteriores como criterio de interpretación de este Tribunal e insisto aquí en que la consideración de los criterios legales de igualación en la ponderación de la existencia de posibles discriminaciones viene recabada por una vieja jurisprudencia del Tribunal frecuentemente olvidada (p. ej., STC 5/1983, FJ 3), cuya más intensa aplicación, a mi juicio, ayudaría a interpretar la Constitución de manera más acorde con la realidad social del tiempo en que se aplica: hay que tener en cuenta no solo el texto de la Constitución, sino las glosas que la vida ha escrito sobre ella (Felix Frankfurter). En mi opinión, resoluciones como la ahora dictada no contribuyen a reforzar la impresión de que el Tribunal esté avanzando en este insoslayable camino.</w:t>
      </w:r>
    </w:p>
    <w:p w:rsidR="0033382B" w:rsidRDefault="0033382B" w:rsidP="0033382B">
      <w:pPr>
        <w:pStyle w:val="TextoNormal"/>
      </w:pPr>
    </w:p>
    <w:p w:rsidR="0033382B" w:rsidRDefault="0033382B" w:rsidP="0033382B">
      <w:pPr>
        <w:pStyle w:val="TextoNormal"/>
      </w:pPr>
      <w:r>
        <w:t>Madrid, a veintiuno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57" w:name="AUTO_2016_130"/>
      <w:r>
        <w:t>AUTO 130/2016, de 21 de junio de 2016</w:t>
      </w:r>
    </w:p>
    <w:bookmarkEnd w:id="257"/>
    <w:p w:rsidR="0033382B" w:rsidRDefault="0033382B" w:rsidP="0033382B">
      <w:pPr>
        <w:pStyle w:val="TtuloResolucin"/>
      </w:pPr>
      <w:r>
        <w:t>Pleno</w:t>
      </w:r>
    </w:p>
    <w:p w:rsidR="0033382B" w:rsidRDefault="0033382B" w:rsidP="0033382B">
      <w:pPr>
        <w:pStyle w:val="TextoNormalCentrado"/>
      </w:pPr>
      <w:r>
        <w:t>ECLI:ES:TC:2016:130A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parcial en el conflicto positivo de competencia 672-2016, interpuesto por el Presidente del Gobierno en relación con varios artículos del Decreto de la Generalitat de Cataluña 2/2016, de 13 de enero, de creación, denominación y determinación del ámbito de competencia de los departamentos de la Administración de Cataluña.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registrado en el Tribunal Constitucional el 9 de febrero de 2016, el Abogado del Estado, en la representación que ostenta, promueve conflicto positivo de competencia contra los arts. 1.1 y 3.3, apartados 1 y 2, del Decreto de la Generalitat de Cataluña 2/2016, de 13 de enero, de creación, denominación y determinación del ámbito de competencia de los Departamentos de la Administración de la Generalitat de Cataluña, de creación del Departamento de Asuntos Exteriores, Relaciones Institucionales y Transparencia (en el art. 1.1, en cuanto al inciso relativo a Asuntos Exteriores) y contra los artículos 1.1 b) y 20 del Decreto de la Generalitat de Cataluña 45/2016, de 19 de enero, de estructuración del Departamento de Asuntos Exteriores, Relaciones Institucionales y Transparencia (publicados respectivamente en el “Diario Oficial de la Generalitat de Cataluña” núm. 7037, de 14 de enero de 2016 y núm. 7041, de 20 de enero de 2016).</w:t>
      </w:r>
    </w:p>
    <w:p w:rsidR="0033382B" w:rsidRDefault="0033382B" w:rsidP="0033382B">
      <w:pPr>
        <w:pStyle w:val="TextoNormal"/>
      </w:pPr>
    </w:p>
    <w:p w:rsidR="0033382B" w:rsidRDefault="0033382B" w:rsidP="0033382B">
      <w:pPr>
        <w:pStyle w:val="TextoNormal"/>
      </w:pPr>
      <w:r>
        <w:t>El Abogado del Estado invoca el art. 161.2 CE y el art. 64.2 de la Ley Orgánica del Tribunal Constitucional (LOTC) a fin de que se produzca la suspensión de la aplicación de los preceptos impugnados.</w:t>
      </w:r>
    </w:p>
    <w:p w:rsidR="0033382B" w:rsidRDefault="0033382B" w:rsidP="0033382B">
      <w:pPr>
        <w:pStyle w:val="TextoNormal"/>
      </w:pPr>
    </w:p>
    <w:p w:rsidR="0033382B" w:rsidRDefault="0033382B" w:rsidP="0033382B">
      <w:pPr>
        <w:pStyle w:val="TextoNormal"/>
      </w:pPr>
      <w:r w:rsidRPr="0033382B">
        <w:rPr>
          <w:rStyle w:val="NumeroAFNegritaCaracter"/>
        </w:rPr>
        <w:t>2</w:t>
      </w:r>
      <w:r>
        <w:t>. Por providencia de 16 de febrero de 2016, el Pleno del Tribunal Constitucional, a propuesta de la Sección Segunda, acordó admitir a trámite el conflicto positivo de competencia y dar traslado de la demanda y documentos presentados al Gobierno de la Generalitat de Cataluña, por conducto de su Presidente, al objeto de que, en el plazo de veinte días aportase cuantos documentos y alegaciones considerase convenientes. Asimismo, se tuvo por invocado por el Gobierno el art. 161.2 CE, lo que, a su tenor y conforme dispone el art. 64.2 LOTC, produce la suspensión de la vigencia y aplicación de los preceptos impugnados desde el día 9 de febrero de 2016, fecha de interposición del conflicto, lo que se comunicó al Presidente del Gobierno de la Generalitat de Cataluña. Igualmente, se acordó comunicar la interposición del presente conflicto a la Sala de lo Contencioso-Administrativo del Tribunal Superior de Justicia de Cataluña por si ante la misma estuviere impugnado o se impugnasen los citados preceptos, en cuyo caso se suspenderá el curso del proceso hasta la decisión del conflicto, según dispone el art. 61.2 LOTC, así como publicar la incoación del conflicto en el “Boletín Oficial del Estado” y en el “Diari Oficial de la Generalitat de Cataluña”.</w:t>
      </w:r>
    </w:p>
    <w:p w:rsidR="0033382B" w:rsidRDefault="0033382B" w:rsidP="0033382B">
      <w:pPr>
        <w:pStyle w:val="TextoNormal"/>
      </w:pPr>
    </w:p>
    <w:p w:rsidR="0033382B" w:rsidRDefault="0033382B" w:rsidP="0033382B">
      <w:pPr>
        <w:pStyle w:val="TextoNormal"/>
      </w:pPr>
      <w:r w:rsidRPr="0033382B">
        <w:rPr>
          <w:rStyle w:val="NumeroAFNegritaCaracter"/>
        </w:rPr>
        <w:t>3</w:t>
      </w:r>
      <w:r>
        <w:t>. Con fecha de 26 de febrero de 2016, el Abogado del Estado presenta escrito al que acompaña la publicación del “Diario de Sesiones del Parlamento de Cataluña” XI Legislatura, segundo período, serie C, número 34, Comisión de Acción Exterior y Cooperación, Relaciones Institucionales y Transparencia, de la sesión informativa del Consejero de Asuntos Exteriores, Relaciones Institucionales y Transparencia sobre los objetivos y actuaciones del departamento, celebrada el martes 9 de febrero de 2016. Se adjunta al mismo su traducción al castellano.</w:t>
      </w:r>
    </w:p>
    <w:p w:rsidR="0033382B" w:rsidRDefault="0033382B" w:rsidP="0033382B">
      <w:pPr>
        <w:pStyle w:val="TextoNormal"/>
      </w:pPr>
    </w:p>
    <w:p w:rsidR="0033382B" w:rsidRDefault="0033382B" w:rsidP="0033382B">
      <w:pPr>
        <w:pStyle w:val="TextoNormal"/>
      </w:pPr>
      <w:r w:rsidRPr="0033382B">
        <w:rPr>
          <w:rStyle w:val="NumeroAFNegritaCaracter"/>
        </w:rPr>
        <w:t>4</w:t>
      </w:r>
      <w:r>
        <w:t>. Mediante escrito registrado el 1 de marzo de 2016, la Abogada de la Generalitat de Cataluña, en nombre y representación del Gobierno de la Generalitat, presenta sus alegaciones frente a la demanda que plantea el conflicto positivo de competencia solicitando se dicte Sentencia en la que se desestime el mismo y se declare que la competencia controvertida corresponde a la Generalitat de Cataluña y, mediante otrosí, solicita el levantamiento inmediato de la suspensión de vigencia de las disposiciones y actuaciones impugnadas.</w:t>
      </w:r>
    </w:p>
    <w:p w:rsidR="0033382B" w:rsidRDefault="0033382B" w:rsidP="0033382B">
      <w:pPr>
        <w:pStyle w:val="TextoNormal"/>
      </w:pPr>
    </w:p>
    <w:p w:rsidR="0033382B" w:rsidRDefault="0033382B" w:rsidP="0033382B">
      <w:pPr>
        <w:pStyle w:val="TextoNormal"/>
      </w:pPr>
      <w:r>
        <w:t>Dejando a un lado, en este momento procesal, las alegaciones relativas a la oposición a la demanda que plantea el conflicto de competencia, la Abogada de la Generalitat de Cataluña recuerda la consolidada doctrina constitucional tanto sobre la posibilidad de levantamiento anticipado de la suspensión, como sobre los criterios a considerar para levantar o mantener la misma. Considera que las alegaciones del planteamiento del conflicto de competencia no se fundamentan propiamente en la vulneración de la competencia estatal en materia de relaciones internacionales sino en el uso por los preceptos impugnados de determinadas expresiones para definir órganos del Gobierno y de la Administración de la Generalitat y para determinar actuaciones, actividades, iniciativas y políticas que tienen en común configurarse como instrumentos de la acción exterior de la Generalitat. De manera que parece derivarse del conflicto la voluntad de obtener de ese Tribunal Constitucional una sentencia que de nuevo interprete cuál es el contenido de la competencia estatal en materia de relaciones internacionales y cuáles los límites de las actuaciones con proyección exterior de las comunidades autónomas.</w:t>
      </w:r>
    </w:p>
    <w:p w:rsidR="0033382B" w:rsidRDefault="0033382B" w:rsidP="0033382B">
      <w:pPr>
        <w:pStyle w:val="TextoNormal"/>
      </w:pPr>
    </w:p>
    <w:p w:rsidR="0033382B" w:rsidRDefault="0033382B" w:rsidP="0033382B">
      <w:pPr>
        <w:pStyle w:val="TextoNormal"/>
      </w:pPr>
      <w:r>
        <w:t>Puesto que tales son los fundamentos de la impugnación no parece posible atribuir a la creación de un departamento cuya denominación incorpore la expresión “asuntos exteriores” un perjuicio concreto y directo del interés público o privado, ni atribuir a la aplicación de los preceptos impugnados la producción de perjuicios de imposible o difícil reparación. Esto bastaría- afirma la Abogada de la Generalitat para justificar que el Tribunal Constitucional, en aplicación de su doctrina, levantara de inmediato la suspensión. Sin embargo, con objeto de reafirmar que los preceptos impugnados no ocasionan perjuicio alguno, la Abogada de la Generalitat se refiere a continuación de forma específica a los distintos preceptos impugnados aduciendo las razones que justificarían la decisión de alzar la suspensión y que, someramente, se exponen a continuación.</w:t>
      </w:r>
    </w:p>
    <w:p w:rsidR="0033382B" w:rsidRDefault="0033382B" w:rsidP="0033382B">
      <w:pPr>
        <w:pStyle w:val="TextoNormal"/>
      </w:pPr>
    </w:p>
    <w:p w:rsidR="0033382B" w:rsidRDefault="0033382B" w:rsidP="0033382B">
      <w:pPr>
        <w:pStyle w:val="TextoNormal"/>
      </w:pPr>
      <w:r>
        <w:t>Afirma la Abogada de la Generalitat que el escrito de interposición del conflicto omite que la propia norma impugnada, cuando define la estructura departamental de la acción exterior de la Generalitat y determina sus ámbitos de actuación, dispone que éstos se limitan al ejercicio de las atribuciones propias de la Administración de la Generalitat, como expresamente indica el primer párrafo del artículo 3 del Decreto 2/2016. Puesto que este decreto reconoce expresamente dicha delimitación del contenido de la acción exterior de la Generalitat, no puede afirmarse que los términos en que el mismo artículo 3 define ámbitos de competencia del nuevo departamento pueda producir un perjuicio directo y concreto a la política exterior que corresponde ejercer al Estado.</w:t>
      </w:r>
    </w:p>
    <w:p w:rsidR="0033382B" w:rsidRDefault="0033382B" w:rsidP="0033382B">
      <w:pPr>
        <w:pStyle w:val="TextoNormal"/>
      </w:pPr>
    </w:p>
    <w:p w:rsidR="0033382B" w:rsidRDefault="0033382B" w:rsidP="0033382B">
      <w:pPr>
        <w:pStyle w:val="TextoNormal"/>
      </w:pPr>
      <w:r>
        <w:t>El pretendido perjuicio a la política exterior del Estado tampoco se puede fundamentar en el hecho de que los preceptos impugnados, cuando definen y determinan las finalidades de la acción exterior de la Generalitat, no se refieran expresamente a las competencias estatales de coordinación y a los principios rectores de la acción exterior del Estado recogidos en la Ley 2/2014, de 25 de marzo, de la acción y del servicio exterior del Estado, ya que la ausencia de una referencia a esa función de coordinación y a esos principios no produce ningún perjuicio o menoscabo a la competencia estatal.</w:t>
      </w:r>
    </w:p>
    <w:p w:rsidR="0033382B" w:rsidRDefault="0033382B" w:rsidP="0033382B">
      <w:pPr>
        <w:pStyle w:val="TextoNormal"/>
      </w:pPr>
    </w:p>
    <w:p w:rsidR="0033382B" w:rsidRDefault="0033382B" w:rsidP="0033382B">
      <w:pPr>
        <w:pStyle w:val="TextoNormal"/>
      </w:pPr>
      <w:r>
        <w:t>Tampoco puede afirmarse que la simple adscripción al departamento en cuestión de la Secretaria de Acción Exterior y de Relaciones con la Unión Europea, que establecen los preceptos impugnados del Decreto 45/2016, pueda producir un perjuicio directo a las competencias estatales, puesto que dicha Secretaría mantiene la estructura y funciones que ya poseía.</w:t>
      </w:r>
    </w:p>
    <w:p w:rsidR="0033382B" w:rsidRDefault="0033382B" w:rsidP="0033382B">
      <w:pPr>
        <w:pStyle w:val="TextoNormal"/>
      </w:pPr>
    </w:p>
    <w:p w:rsidR="0033382B" w:rsidRDefault="0033382B" w:rsidP="0033382B">
      <w:pPr>
        <w:pStyle w:val="TextoNormal"/>
      </w:pPr>
      <w:r>
        <w:t>Entiende la Abogada de la Generalitat que, en la medida en que la literalidad de los preceptos impugnados no conlleva ningún perjuicio irreparable para el interés público o privado, los únicos perjuicios al interés general podrían ser los que apreció el Tribunal Constitucional en el ATC de 7 de julio de 2015. Sin embargo, en dicho Auto se levantó la suspensión de la mayor parte de los preceptos de Ley del Parlamento de Cataluña 16/2014, de 4 de diciembre, de acción exterior y de relaciones con la Unión Europea, por estimar que los mismos no eran sino la plasmación de los ámbitos de actuación de que disponen las comunidades autónomas en relación con la proyección exterior de sus competencias e intereses, y que de la mera previsión de esos ámbitos de actuación no podía derivarse perjuicio alguno para el Estado. Puesto que los preceptos impugnados en el presente conflicto no son, a su vez, sino la plasmación en la estructura del Gobierno y de la Administración catalana de las finalidades, actuaciones y estructuras organizativas previstas en la Ley 16/2014, la conclusión a la que llegó el Auto citado debe aplicarse también a la regulación ahora impugnada.</w:t>
      </w:r>
    </w:p>
    <w:p w:rsidR="0033382B" w:rsidRDefault="0033382B" w:rsidP="0033382B">
      <w:pPr>
        <w:pStyle w:val="TextoNormal"/>
      </w:pPr>
    </w:p>
    <w:p w:rsidR="0033382B" w:rsidRDefault="0033382B" w:rsidP="0033382B">
      <w:pPr>
        <w:pStyle w:val="TextoNormal"/>
      </w:pPr>
      <w:r>
        <w:t>Como conclusión, aduce la Abogada de la Generalitat que mantener la suspensión de los preceptos impugnados supondría impedir a la Generalitat de Cataluña el correcto y necesario ejercicio de sus competencias, mediante las estructuras organizativas que la Generalitat ha considerado más adecuadas para el ejercicio de sus competencias. Tal suspensión no puede basarse en la mera posibilidad fundamentada en una interpretación nada literal de los preceptos afectados de que pudiera supuestamente producirse, en algún caso, una injerencia en las competencias del Estado en materia de relaciones internacionales. No hay que olvidar que, en el eventual caso de que llegara a producirse efectivamente una concreta injerencia o menoscabo en el ejercicio por el Estado de la dirección y ejecución de la política exterior, éste dispone de sólidos instrumentos jurídicos para evitarla. En tanto ese supuesto hipotético no llegara producirse, es evidente que del tenor de los preceptos impugnados no resulta ningún perjuicio para la política exterior del Estado.</w:t>
      </w:r>
    </w:p>
    <w:p w:rsidR="0033382B" w:rsidRDefault="0033382B" w:rsidP="0033382B">
      <w:pPr>
        <w:pStyle w:val="TextoNormal"/>
      </w:pPr>
    </w:p>
    <w:p w:rsidR="0033382B" w:rsidRDefault="0033382B" w:rsidP="0033382B">
      <w:pPr>
        <w:pStyle w:val="TextoNormal"/>
      </w:pPr>
      <w:r w:rsidRPr="0033382B">
        <w:rPr>
          <w:rStyle w:val="NumeroAFNegritaCaracter"/>
        </w:rPr>
        <w:t>5</w:t>
      </w:r>
      <w:r>
        <w:t>. Por providencia de 2 de marzo de 2016, el Pleno del Tribunal acordó incorporar a los autos el escrito del Abogado del Estado, presentado el 26 de febrero de 2016, y hacer entrega de copia del mismo al Gobierno de Cataluña.</w:t>
      </w:r>
    </w:p>
    <w:p w:rsidR="0033382B" w:rsidRDefault="0033382B" w:rsidP="0033382B">
      <w:pPr>
        <w:pStyle w:val="TextoNormal"/>
      </w:pPr>
    </w:p>
    <w:p w:rsidR="0033382B" w:rsidRDefault="0033382B" w:rsidP="0033382B">
      <w:pPr>
        <w:pStyle w:val="TextoNormal"/>
      </w:pPr>
      <w:r w:rsidRPr="0033382B">
        <w:rPr>
          <w:rStyle w:val="NumeroAFNegritaCaracter"/>
        </w:rPr>
        <w:t>6</w:t>
      </w:r>
      <w:r>
        <w:t>. Asimismo, por providencia de 2 de marzo de 2016, el Pleno del Tribunal acordó incorporar a los autos el escrito de alegaciones que formula la Abogada de la Generalitat de Cataluña, en representación de su Gobierno, y en cuanto a la solicitud que formula en el primer otrosí sobre el levantamiento de la suspensión de los preceptos objeto del conflicto, oír al Abogado del Estado, para que, en el plazo de cinco días, exponga lo que estime procedente al respecto.</w:t>
      </w:r>
    </w:p>
    <w:p w:rsidR="0033382B" w:rsidRDefault="0033382B" w:rsidP="0033382B">
      <w:pPr>
        <w:pStyle w:val="TextoNormal"/>
      </w:pPr>
    </w:p>
    <w:p w:rsidR="0033382B" w:rsidRDefault="0033382B" w:rsidP="0033382B">
      <w:pPr>
        <w:pStyle w:val="TextoNormal"/>
      </w:pPr>
      <w:r w:rsidRPr="0033382B">
        <w:rPr>
          <w:rStyle w:val="NumeroAFNegritaCaracter"/>
        </w:rPr>
        <w:t>7</w:t>
      </w:r>
      <w:r>
        <w:t>. El Abogado del Estado, mediante escrito registrado en este Tribunal el 11 de marzo de 2016, formuló sus alegaciones interesando el mantenimiento de la suspensión de las disposiciones impugnadas, por los motivos que, resumidamente, se exponen a continuación. Comienza el Abogado del Estado recordando la doctrina constitucional sobre la resolución de este tipo de incidentes, así como la doctrina de este Tribunal en la que se ha utilizado el criterio de la “especial trascendencia constitucional” para decidir la ratificación de la suspensión acordada. Esta doctrina hace referencia al alcance o dimensión que para la integridad del régimen constitucional y para la aplicación de la Constitución pueda suponer las normas o disposiciones de una Comunidad Autónoma impugnadas (cita los AATC 156/2013, de 11 de julio, y 182/2015 y 186/2015, ambos de 3 de noviembre).</w:t>
      </w:r>
    </w:p>
    <w:p w:rsidR="0033382B" w:rsidRDefault="0033382B" w:rsidP="0033382B">
      <w:pPr>
        <w:pStyle w:val="TextoNormal"/>
      </w:pPr>
    </w:p>
    <w:p w:rsidR="0033382B" w:rsidRDefault="0033382B" w:rsidP="0033382B">
      <w:pPr>
        <w:pStyle w:val="TextoNormal"/>
      </w:pPr>
      <w:r>
        <w:t>Atendiendo a dicha doctrina, expone el Abogado del Estado que se alegan como motivos para el mantenimiento de la suspensión de las disposiciones impugnadas, tanto su relevancia constitucional, en el sentido de que la creación de la Consejería de Asuntos Exteriores se identifica con una estructura de Estado en el contexto del denominado proceso de transición nacional de Cataluña, como los graves perjuicios a la política exterior de España que la actividad de dicho Departamento ha producido y es susceptible de generar en el futuro. A dichas alegaciones se acompaña, a los efectos de acreditar la relevancia constitucional de la cuestión y la entidad de los perjuicios que concurren, Informe del Ministerio de Asuntos Exteriores y Cooperación que adjunta, complementado con la documentación en la que se apoya.</w:t>
      </w:r>
    </w:p>
    <w:p w:rsidR="0033382B" w:rsidRDefault="0033382B" w:rsidP="0033382B">
      <w:pPr>
        <w:pStyle w:val="TextoNormal"/>
      </w:pPr>
    </w:p>
    <w:p w:rsidR="0033382B" w:rsidRDefault="0033382B" w:rsidP="0033382B">
      <w:pPr>
        <w:pStyle w:val="TextoNormal"/>
      </w:pPr>
      <w:r>
        <w:t>a) En primer lugar, parte el Abogado del Estado, atendiendo al contenido de los preceptos impugnados, y en el contexto político en el que se aprueban las disposiciones, de que el término “relaciones exteriores” y el uso de su denominación en documentos y actuaciones de la Consejería, están vinculados a la proyección internacional del proceso de transición nacional o secesionista, de Cataluña y que tiene en este ámbito exterior uno de sus elementos más importantes, en orden al reconocimiento de la constitución de un Estado Catalán, como se acredita en el informe del Ministerio de Asuntos Exteriores y Cooperación.</w:t>
      </w:r>
    </w:p>
    <w:p w:rsidR="0033382B" w:rsidRDefault="0033382B" w:rsidP="0033382B">
      <w:pPr>
        <w:pStyle w:val="TextoNormal"/>
      </w:pPr>
    </w:p>
    <w:p w:rsidR="0033382B" w:rsidRDefault="0033382B" w:rsidP="0033382B">
      <w:pPr>
        <w:pStyle w:val="TextoNormal"/>
      </w:pPr>
      <w:r>
        <w:t>Considera el Abogado del Estado que la decisión sobre el mantenimiento de la suspensión, no puede, en este caso, limitarse al mero análisis formal o literal de las disposiciones impugnadas, sino que debe encuadrarse en el contexto de las actuaciones que ha venido desarrollando, primero, la Secretaría de Asuntos Exteriores y de la Unión Europea y ahora la denominada Consejería (sic) de Asuntos Exteriores, Relaciones Institucionales y Transparencia (solo en lo que se refiere al ámbito de Asuntos Exteriores), teniendo en cuenta, además, que dichas actuaciones suponen un incumplimiento de las medidas de ratificación de la suspensión que se adoptaron en el ATC 122/2015, ya que los Decretos impugnados son un impulso y concreción, en lo organizativo, de los principios impugnados de la Ley 16/2014, objeto del referido Auto.</w:t>
      </w:r>
    </w:p>
    <w:p w:rsidR="0033382B" w:rsidRDefault="0033382B" w:rsidP="0033382B">
      <w:pPr>
        <w:pStyle w:val="TextoNormal"/>
      </w:pPr>
    </w:p>
    <w:p w:rsidR="0033382B" w:rsidRDefault="0033382B" w:rsidP="0033382B">
      <w:pPr>
        <w:pStyle w:val="TextoNormal"/>
      </w:pPr>
      <w:r>
        <w:t>Hace referencia el representante estatal a que se han aprobado los Decretos 212/2016 y 213/2016 en los que respectivamente se modifica la denominación del Departamento de Asuntos Exteriores, Relaciones Institucionales y Transparencia por la de Asuntos y Relaciones Institucionales y Exteriores y Transparencia, se determinan las funciones que le corresponden y se adscribe a dicho Departamento la Secretaría de Asuntos Exteriores y de la Unión Europea. A juicio del Abogado del Estado, la aprobación de dichas disposiciones no es óbice para que el Tribunal se pronuncie sobre la ratificación de la suspensión de las disposiciones objeto del presente conflicto. Expone que se ha formulado simultáneamente a estas alegaciones, un incidente de ejecución, al amparo del art. 92 LOTC solicitando la nulidad del Decreto 212/2016, y del Decreto 213/2016, por contravenir la providencia de 16 de febrero de 2016, de suspensión acordada en este mismo procedimiento, por estimar que es el cauce procesal oportuno para su anulación, sin perjuicio de que, el Tribunal pueda acordar, de oficio, al amparo del art. 92.1 y 92.4 LOTC su suspensión o nulidad.</w:t>
      </w:r>
    </w:p>
    <w:p w:rsidR="0033382B" w:rsidRDefault="0033382B" w:rsidP="0033382B">
      <w:pPr>
        <w:pStyle w:val="TextoNormal"/>
      </w:pPr>
    </w:p>
    <w:p w:rsidR="0033382B" w:rsidRDefault="0033382B" w:rsidP="0033382B">
      <w:pPr>
        <w:pStyle w:val="TextoNormal"/>
      </w:pPr>
      <w:r>
        <w:t>Seguidamente, el Abogado del Estado expone los motivos por los que considera ha de ratificarse el mantenimiento de la suspensión de los preceptos impugnados por su indudable trascendencia o relevancia constitucional en la medida en que la Consejería y su actuación se configuran para un fin inconstitucional como es la creación de una “estructura de estado”, al servicio de un proyecto de transición nacional de carácter secesionista inconstitucional, con grave perjuicio, además, para la política exterior de España. Esta conclusión se deduce no solo de la denominación de la Consejería de “asuntos exteriores”, sino del contexto en que se crea y diseña, cuyo análisis se estima imprescindible. Entre los elementos que integran el contexto se citan los siguientes: conclusiones del apartado 2.2.2 del Libro Blanco para la transición Nacional de Cataluña en el que se pone de relieve la necesidad de contar con las estructuras administrativas necesarias para implementar las políticas de la Unión Europea y, en cuyo apartado f) relativo a las relaciones exteriores, se hace referencia a la necesidad de reforzar las estructuras administrativas del departamento de asuntos exteriores; “informe sobre la internacionalización de la consulta y del proceso de autodeterminación de Cataluña” (elaborado por el Consejo Asesor para la Transición Nacional); punto noveno de la resolución del Parlamento de Cataluña 1/XI, de 9 de noviembre de 2015, anulada por el Tribunal Constitucional, en la STC 259/2015, que declaraba la “voluntad de iniciar las negociaciones para hacer efectivo el mandato democrático de creación de un estado catalán independiente en forma de república y, así mismo, lo pone en conocimiento del Estado español, de la Unión Europea y del conjunto de la Comunidad Internacional”; comparecencia del Sr. Presidente de la Generalitat para dar cuenta de la estructura y composición del Gobierno en el que se afirma que “[e]l Departamento de Asuntos Exteriores, Relaciones Institucionales y Transparencia se crea —se crea—, es de nueva creación, para dar un impulso mayor a dos ámbitos fundamentales: uno, el de asuntos exteriores, con el fin de proyectar Catalunya al mundo y explicar, en la línea de lo que ya dije en mi toma de posesión, la necesidad de explicar -como más mejor y a cuanta más gente mejor- el proceso que está viviendo nuestro país”; la calificación como “estructuras de Estado” de la nueva Consejería que se afirma en la primera comparecencia de su titular, ante la comisión de acción exterior, relaciones internacionales y transparencia del Parlamento catalán, para explicar su programa de trabajo y en la que se pone de relieve, entre otras consideraciones, que “el Departamento de Asuntos Exteriores, Relaciones Institucionales y Transparencia se plantea, por consiguiente, como una estructura de Estado principal, consultiva y debate. Tanto es así que, de hecho, es la primera estructura de Estado que ha creado este Gobierno y evidencia de manera inequívoca la voluntad de convertirse en Estado” (pág. 3 párrafo 4 ), en la página 6, párrafo 4 en adelante, afirma que “la acción exterior de Cataluña pivotará en torno a tres grandes ejes: impulsar las relaciones bilaterales, multilaterales y de cooperación guiadas por un principio básico: impulsar lazos de complicidad y cooperación con nuestros socios europeo, internacionales y en el ámbito multilateral; relaciones con la UE: ... tenernos interés en influir tanto como se pueda, sin intermediarios, en estos (de la UE) debates, en los procesos legislativos y en la toma de decisiones de la Unión. Tenemos todo el derecho, y además, haremos de esto nuestro deber” (página 12, párrafo 2).</w:t>
      </w:r>
    </w:p>
    <w:p w:rsidR="0033382B" w:rsidRDefault="0033382B" w:rsidP="0033382B">
      <w:pPr>
        <w:pStyle w:val="TextoNormal"/>
      </w:pPr>
    </w:p>
    <w:p w:rsidR="0033382B" w:rsidRDefault="0033382B" w:rsidP="0033382B">
      <w:pPr>
        <w:pStyle w:val="TextoNormal"/>
      </w:pPr>
      <w:r>
        <w:t>De dichos elementos infiere el Abogado del Estado que el diseño, la finalidad y la actuación de la creación del nuevo Departamento y de la atribución de sus competencias, plantea todo un desafío al orden constitucional por lo que se cumplen los requisitos para considerar que la ratificación de la suspensión, para que no puedan desempeñarse estos fines, es esencial y alcanza gran relieve constitucional. En este sentido, se alega que no puede aislarse la creación del nuevo Departamento con competencias en “asuntos exteriores” del contexto en el que las autoridades competentes del Gobierno de la Generalitat, esto es, de su Presidente y del titular del Departamento, han fijado sus objetivos. Es evidente, para el representante estatal, que el Departamento que se ha creado trasciende las competencias que corresponden a la Comunidad Autónoma de Cataluña y tiene por finalidad la asunción de un estatuto para dicha Comunidad Autónoma que se equipara al de un sujeto de Derecho internacional, que se relaciona bilateralmente con Estados y con una finalidad muy precisa, que es la utilización de su estructura administrativa para difundir el proceso soberanista o secesionista en el ámbito internacional, incluido el ámbito de la Unión Europea, en claro incumplimiento de la STC 259/2015, y con claro perjuicio para la política exterior de España. No puede negarse que la expresión “asuntos exteriores”, que coincide con la denominación de un Departamento del Gobierno de la Nación, sugiere una bilateralidad que dota a los intervinientes de una apariencia de subjetividad internacional que no concurre en ningún caso en Cataluña y que colisiona con las competencias del Estado en materia de relaciones exteriores. La definición de funciones del nuevo Departamento debe ponerse en relación, también, con las prioridades políticas que justifican la nueva configuración del Gobierno establecida y que se han puesto de manifiesto en el debate de investidura, y en las comparecencias parlamentarias citadas: la internacionalización del proceso soberanista tiene, como finalidad última, obtener el reconocimiento internacional de una Cataluña independiente; las disposiciones adoptadas posibilitan que por la Generalitat de Cataluña se adopten previsiones para el caso de una separación del Estado español y, en consecuencia, estas actuaciones se dirigen precisamente a asumir funciones que corresponden al Estado en el ámbito internacional.</w:t>
      </w:r>
    </w:p>
    <w:p w:rsidR="0033382B" w:rsidRDefault="0033382B" w:rsidP="0033382B">
      <w:pPr>
        <w:pStyle w:val="TextoNormal"/>
      </w:pPr>
    </w:p>
    <w:p w:rsidR="0033382B" w:rsidRDefault="0033382B" w:rsidP="0033382B">
      <w:pPr>
        <w:pStyle w:val="TextoNormal"/>
      </w:pPr>
      <w:r>
        <w:t>Concluye al respecto el Abogado del Estado que estamos ante una situación de transcendencia constitucional que justifica la aplicación de la doctrina constitucional, en orden al mantenimiento de la suspensión de las disposiciones impugnadas, en base a la trascendencia del objeto de la impugnación, que afectaba a una cuestión de gran relieve constitucional.</w:t>
      </w:r>
    </w:p>
    <w:p w:rsidR="0033382B" w:rsidRDefault="0033382B" w:rsidP="0033382B">
      <w:pPr>
        <w:pStyle w:val="TextoNormal"/>
      </w:pPr>
    </w:p>
    <w:p w:rsidR="0033382B" w:rsidRDefault="0033382B" w:rsidP="0033382B">
      <w:pPr>
        <w:pStyle w:val="TextoNormal"/>
      </w:pPr>
      <w:r>
        <w:t>b) En segundo lugar, el Abogado del Estado expone los perjuicios de imposible o difícil reparación al interés general, concretados en la política exterior de España poniendo de relieve que, en el informe del Ministerio de Asuntos Exteriores y Cooperación, que adjunta, se constata el perjuicio claro que, para la política exterior de España, está produciendo y puede producir la actuación de la Generalitat de Cataluña en los “asuntos exteriores”, cuando las instituciones y los servicios administrativos se ponen a disposición de un proyecto secesionista en el que la Generalitat de Cataluña configura a dicha Comunidad Autónoma como un sujeto internacional. Entiende que las repercusiones en la proyección de España como Estado en el contexto internacional son claras y evidentes. En dicho informe, entre otras consideraciones, se señala, resumidamente expuesto, lo siguiente.</w:t>
      </w:r>
    </w:p>
    <w:p w:rsidR="0033382B" w:rsidRDefault="0033382B" w:rsidP="0033382B">
      <w:pPr>
        <w:pStyle w:val="TextoNormal"/>
      </w:pPr>
    </w:p>
    <w:p w:rsidR="0033382B" w:rsidRDefault="0033382B" w:rsidP="0033382B">
      <w:pPr>
        <w:pStyle w:val="TextoNormal"/>
      </w:pPr>
      <w:r>
        <w:t>La acción exterior catalana se ha ido convirtiendo en un instrumento al servicio del proceso independentista. Cataluña —a través, entre otros, del Departamento de Asuntos y Relaciones Institucionales y Exteriores y Transparencia— se presenta hoy en el extranjero como un actor internacional separado y distinto a España mediante acciones de aparente política exterior propia, independiente de la española.</w:t>
      </w:r>
    </w:p>
    <w:p w:rsidR="0033382B" w:rsidRDefault="0033382B" w:rsidP="0033382B">
      <w:pPr>
        <w:pStyle w:val="TextoNormal"/>
      </w:pPr>
    </w:p>
    <w:p w:rsidR="0033382B" w:rsidRDefault="0033382B" w:rsidP="0033382B">
      <w:pPr>
        <w:pStyle w:val="TextoNormal"/>
      </w:pPr>
      <w:r>
        <w:t>La internacionalización del proceso soberanista tiene como finalidad última obtener el reconocimiento internacional de una Cataluña independiente. Con esta finalidad las autoridades catalanas despliegan actividades propias de una política exterior catalana separada de la española que persigue relacionarse con Estados soberanos de igual a igual. Esta apariencia de Estado soberano se apoya, igualmente y entre otros, en el uso distinto al legal de instrumentos de la acción exterior catalana legítima (i.e., delegaciones como embajadas) y en la utilización de instrumentos diplomáticos propios de Estados soberanos (i.e., notas verbales, servicio exterior catalán, etc.). Además, el Ministerio constata que la “mediación internacional” es uno de los fines perseguidos por las autoridades proindependentistas catalanas en sus múltiples contactos con autoridades, Parlamentos y mundo académico extranjeros, con objeto de que éstos presionen al Estado español en sentido favorable a las tesis independentistas. Las delegaciones y las oficinas sectoriales catalanas en el exterior, y el consorcio público privado Diplocat han revelado ser instrumentos de primordial importancia en la tarea de internacionalizar el proceso soberanista, así como en la de crear y reforzar la imagen de una Cataluña independiente. La “desconexión” de España se ha iniciado ya en el ámbito de la cooperación al desarrollo en el que las oficinas catalanas abandonan el ámbito de la Agencia Española de Cooperación Internacional para el Desarrollo para integrarse en otras oficinas de Cataluña en el exterior.</w:t>
      </w:r>
    </w:p>
    <w:p w:rsidR="0033382B" w:rsidRDefault="0033382B" w:rsidP="0033382B">
      <w:pPr>
        <w:pStyle w:val="TextoNormal"/>
      </w:pPr>
    </w:p>
    <w:p w:rsidR="0033382B" w:rsidRDefault="0033382B" w:rsidP="0033382B">
      <w:pPr>
        <w:pStyle w:val="TextoNormal"/>
      </w:pPr>
      <w:r>
        <w:t>El Ministerio constata la grave confusión generada entre las autoridades extranjeras como consecuencia de los medios utilizados y acciones desarrolladas de internacionalización del proceso independentista catalán, entre los que cabe resaltar: la utilización de la denominación Minister y Ministry o sus equivalentes en otros idiomas extranjeros; la actividad pretendidamente “diplomática” desarrollada por las delegaciones catalanas en el extranjero de forma totalmente independiente de España; el intento de participar como un país independiente con posiciones propias en debates y mesas redondas relacionadas con temas de política internacional que forman parte estrictamente de la política exterior española; y los numerosos viajes y reuniones con autoridades extranjeras realizados en ocasiones con desconocimiento de las autoridades españolas para informar de la situación política catalana y recabar su apoyo a dicho proceso. Consecuentemente, este Ministerio, así como el Servicio Exterior español han explicado, con frecuencia a petición de las propias autoridades extranjeras, la legislación vigente sobre la acción exterior de las comunidades autónomas y los medios y cauces previstos en la Constitución para cambiarla —entre otros a propuesta de los Parlamentos regionales— si así se acuerda entre las fuerzas políticas.</w:t>
      </w:r>
    </w:p>
    <w:p w:rsidR="0033382B" w:rsidRDefault="0033382B" w:rsidP="0033382B">
      <w:pPr>
        <w:pStyle w:val="TextoNormal"/>
      </w:pPr>
    </w:p>
    <w:p w:rsidR="0033382B" w:rsidRDefault="0033382B" w:rsidP="0033382B">
      <w:pPr>
        <w:pStyle w:val="TextoNormal"/>
      </w:pPr>
      <w:r>
        <w:t>Dicho Ministerio constata, igualmente, el grave menoscabo que para la imagen y los intereses de España en el extranjero suponen las actuaciones exteriores de Cataluña que traspasan sus competencias en esta materia, en particular la vulneración que suponen de la imagen de un país respetuoso con el Estado de Derecho y valedor de la seguridad jurídica, con los consecuentes perjuicios de carácter económico (inversiones extranjeras) y comercial.</w:t>
      </w:r>
    </w:p>
    <w:p w:rsidR="0033382B" w:rsidRDefault="0033382B" w:rsidP="0033382B">
      <w:pPr>
        <w:pStyle w:val="TextoNormal"/>
      </w:pPr>
    </w:p>
    <w:p w:rsidR="0033382B" w:rsidRDefault="0033382B" w:rsidP="0033382B">
      <w:pPr>
        <w:pStyle w:val="TextoNormal"/>
      </w:pPr>
      <w:r>
        <w:t>Este Ministerio confirma que, en sus contactos en el extranjero, las autoridades y representantes catalanas proindependentistas promueven de forma desleal una imagen de España, del Estado y del Gobierno español distorsionada y negativa. En definitiva, han puesto en marcha una verdadera “campaña anti-imagen” de España con efectos negativos.</w:t>
      </w:r>
    </w:p>
    <w:p w:rsidR="0033382B" w:rsidRDefault="0033382B" w:rsidP="0033382B">
      <w:pPr>
        <w:pStyle w:val="TextoNormal"/>
      </w:pPr>
    </w:p>
    <w:p w:rsidR="0033382B" w:rsidRDefault="0033382B" w:rsidP="0033382B">
      <w:pPr>
        <w:pStyle w:val="TextoNormal"/>
      </w:pPr>
      <w:r>
        <w:t>Se concluye en el informe que reproduce en sus alegaciones el Abogado del Estado que dicho Ministerio mantiene serias dudas de que la actividad exterior catalana de los próximos meses vaya a respetar el marco legal en la que se inscribe según la legislación vigente en la materia. Todo apunta a que el fin principal es, y seguirá siendo, la internacionalización del proceso independentista y para ello se utilizarán, presumiblemente los instrumentos de acción exterior a disposición de esta Comunidad Autónoma con fines contrarios a los previstos en dicha normativa. Dicho Ministerio entiende que la Consejería de Asuntos Exteriores, Relaciones Institucionales y Transparencia se apresta a ser el verdadero motor de una aparente política exterior catalana en la que se entremezclarán actividades que responden a la acción exterior legítima, con otras que no encuentran cobijo en la normativa española vigente.</w:t>
      </w:r>
    </w:p>
    <w:p w:rsidR="0033382B" w:rsidRDefault="0033382B" w:rsidP="0033382B">
      <w:pPr>
        <w:pStyle w:val="TextoNormal"/>
      </w:pPr>
    </w:p>
    <w:p w:rsidR="0033382B" w:rsidRDefault="0033382B" w:rsidP="0033382B">
      <w:pPr>
        <w:pStyle w:val="TextoNormal"/>
      </w:pPr>
      <w:r>
        <w:t>A todo ello añade el Abogado del Estado que con dichas actuaciones se está incumpliendo el ATC 122/2015.</w:t>
      </w:r>
    </w:p>
    <w:p w:rsidR="0033382B" w:rsidRDefault="0033382B" w:rsidP="0033382B">
      <w:pPr>
        <w:pStyle w:val="TextoNormal"/>
      </w:pPr>
    </w:p>
    <w:p w:rsidR="0033382B" w:rsidRDefault="0033382B" w:rsidP="0033382B">
      <w:pPr>
        <w:pStyle w:val="TextoNormal"/>
      </w:pPr>
      <w:r>
        <w:t>Por otra parte, se solicita que la ratificación de la suspensión se extienda no solo a la creación denominación y funciones impugnadas del Decreto 2/2016 sino a toda la organización administrativa incluida la Secretaría de Asuntos Exteriores y de la Unión Europea prevista en el artículo l. l b) y 20.1 del Decreto 45/2016, y a sus funciones y estructura establecidas en el Decreto 170/2014, 23 de diciembre, al que se remite expresamente el citado Decreto 45/2016 y al artículo 20.2 en la medida en que persiguen los fines que causan el grave perjuicio que se ha acreditado en estas alegaciones. El hecho de que el Decreto 170/2014 no fuera impugnado en su momento no es óbice para plantear esta solicitud en la medida en que la creación del nuevo Departamento con la asignaciones de estos fines inconstitucionales actualiza la invasión competencial. Además, en un conflicto competencial, a diferencia de los recursos de inconstitucionalidad en los que se planteen lesiones materiales de la Constitución, lo esencial es la actualidad de la reivindicación y vulneración competencial, lo que se ha acreditado, tanto en la demanda como en estas alegaciones.</w:t>
      </w:r>
    </w:p>
    <w:p w:rsidR="0033382B" w:rsidRDefault="0033382B" w:rsidP="0033382B">
      <w:pPr>
        <w:pStyle w:val="TextoNormal"/>
      </w:pPr>
    </w:p>
    <w:p w:rsidR="0033382B" w:rsidRDefault="0033382B" w:rsidP="0033382B">
      <w:pPr>
        <w:pStyle w:val="TextoNormal"/>
      </w:pPr>
      <w:r>
        <w:t>Finalmente, las medidas que el Abogado del Estado solicita a este Tribunal son el mantenimiento de la suspensión de las disposiciones impugnadas y, en consecuencia, de la actividad de la Consejería de “Asuntos Exteriores” (sea en la versión inicial de los preceptos impugnados de los Decretos 2/2016 y 45/2016, como en su redacción modificada por el Decreto 212/2016, que sigue haciendo referencia a los Asuntos Exteriores y que no supone sino un intento de incumplir la providencia de suspensión del Tribunal), y de las funciones impugnadas de la organización administrativa subordinada al titular del Departamento. Esta ratificación es necesaria por la especial trascendencia constitucional del caso, vinculado al proceso soberanista de secesión de España de Cataluña, con la creación de estructuras de estado, y para que no se siga avanzando en la consolidación de perjuicios de imposible o difícil reparación para la eficacia de las resoluciones del Tribunal y la política exterior de España.</w:t>
      </w:r>
    </w:p>
    <w:p w:rsidR="0033382B" w:rsidRDefault="0033382B" w:rsidP="0033382B">
      <w:pPr>
        <w:pStyle w:val="TextoNormal"/>
      </w:pPr>
    </w:p>
    <w:p w:rsidR="0033382B" w:rsidRDefault="0033382B" w:rsidP="0033382B">
      <w:pPr>
        <w:pStyle w:val="TextoNormal"/>
      </w:pPr>
      <w:r w:rsidRPr="0033382B">
        <w:rPr>
          <w:rStyle w:val="NumeroAFNegritaCaracter"/>
        </w:rPr>
        <w:t>8</w:t>
      </w:r>
      <w:r>
        <w:t>. El 11 de marzo de 2016, el Abogado del Estado plantea incidente de ejecución de la providencia de 16 de febrero de 2016 que admitió a trámite y declaró la suspensión de la aplicación y vigencia de los preceptos impugnados, en relación con el Decreto 212/2016, de 1 de marzo, “por el que se añade una disposición transitoria en el Decreto 2/2016, de 13 de enero, de creación, denominación y determinación del ámbito de competencia de los departamentos de la Administración de la Generalitat de Cataluña” y contra el Decreto 213/2016, de 8 de marzo, por el que se determina la adscripción de la Secretaría de Asuntos Exteriores y de la Unión Europea.</w:t>
      </w:r>
    </w:p>
    <w:p w:rsidR="0033382B" w:rsidRDefault="0033382B" w:rsidP="0033382B">
      <w:pPr>
        <w:pStyle w:val="TextoNormal"/>
      </w:pPr>
    </w:p>
    <w:p w:rsidR="0033382B" w:rsidRDefault="0033382B" w:rsidP="0033382B">
      <w:pPr>
        <w:pStyle w:val="TextoNormal"/>
      </w:pPr>
      <w:r w:rsidRPr="0033382B">
        <w:rPr>
          <w:rStyle w:val="NumeroAFNegritaCaracter"/>
        </w:rPr>
        <w:t>9</w:t>
      </w:r>
      <w:r>
        <w:t>. Por providencia de 16 de marzo de 2016, el Pleno acuerda tener por recibido el escrito de 11 de marzo de 2016 del Abogado del Estado y dar traslado de la copia del mismo al Ministerio Fiscal y a la representación legal de la Generalitat de Cataluña, concediéndole un plazo de diez días para que formule las alegaciones que estimen oportunas. La Abogada de la Generalitat formula alegaciones en escrito presentado el 5 de abril de 2016. Por su parte, el Fiscal ante el Tribunal Constitucional formula alegaciones mediante escrito registrado con fecha de 14 de abril de 2016.</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objeto de la presente resolución consiste en determinar si procede levantar o mantener la suspensión de la vigencia de los arts. 1.1 y 3.3, apartados 1 y 2, del Decreto de la Generalitat de Cataluña 2/2016, de 13 de enero, de creación, denominación y determinación del ámbito de competencia de los departamentos de la Administración de la Generalitat de Cataluña, de creación del Departamento de Asuntos Exteriores, Relaciones Institucionales y Transparencia (en el art. 1.1, en cuanto al inciso relativo a Asuntos Exteriores), y de los artículos 1.1 b) y 20 del Decreto de la Generalitat de Cataluña 45/2016, de 19 de enero, de estructuración del Departamento de Asuntos Exteriores, Relaciones Institucionales y Transparencia. La aplicación de dichos preceptos fue suspendida como consecuencia de la invocación del art. 161.2 CE y 64.2 de la Ley Orgánica del Tribunal Constitucional (LOTC), al promoverse el conflicto de competencia contra los mismos por el Gobierno de la Nación. La impugnación tiene un fundamento predominantemente competencial, por cuanto entiende el recurrente que los citados preceptos vulneran la competencia exclusiva estatal en materia de relaciones internacionales, reconocida por el art. 149.1.3 CE.</w:t>
      </w:r>
    </w:p>
    <w:p w:rsidR="0033382B" w:rsidRDefault="0033382B" w:rsidP="0033382B">
      <w:pPr>
        <w:pStyle w:val="TextoNormal"/>
      </w:pPr>
    </w:p>
    <w:p w:rsidR="0033382B" w:rsidRDefault="0033382B" w:rsidP="0033382B">
      <w:pPr>
        <w:pStyle w:val="TextoNormal"/>
      </w:pPr>
      <w:r w:rsidRPr="0033382B">
        <w:rPr>
          <w:rStyle w:val="NumeroAFNegritaCaracter"/>
        </w:rPr>
        <w:t>2</w:t>
      </w:r>
      <w:r>
        <w:t>. Como ha quedado recogido pormenorizadamente en los antecedentes, la representación de la Generalitat de Cataluña ha solicitado el levantamiento de la suspensión de los preceptos impugnados fundamentándose sus alegaciones en que no parece posible atribuir a la creación de un departamento cuya denominación incorpore la expresión “asuntos exteriores” un perjuicio concreto y directo del interés público o privado, ni el perjuicio a la política exterior del Estado puede fundamentarse en el hecho de que los preceptos impugnados, cuando definen y determinan las finalidades de la acción exterior de la Generalitat, no se refieran expresamente a las competencias estatales de coordinación y a los principios rectores de la acción exterior del Estado. Además, la simple adscripción al departamento en cuestión de la Secretaría de Acción Exterior y de Relaciones con la Unión Europea, que establecen los preceptos impugnados del Decreto 45/2016, no puede producir un perjuicio directo a las competencias estatales, puesto que dicha Secretaría mantiene la estructura y funciones que ya poseía.</w:t>
      </w:r>
    </w:p>
    <w:p w:rsidR="0033382B" w:rsidRDefault="0033382B" w:rsidP="0033382B">
      <w:pPr>
        <w:pStyle w:val="TextoNormal"/>
      </w:pPr>
    </w:p>
    <w:p w:rsidR="0033382B" w:rsidRDefault="0033382B" w:rsidP="0033382B">
      <w:pPr>
        <w:pStyle w:val="TextoNormal"/>
      </w:pPr>
      <w:r>
        <w:t>Puesto que los preceptos impugnados en el presente conflicto no son, a su vez, sino la plasmación en la estructura del Gobierno y de la Administración catalana de las finalidades, actuaciones y estructuras organizativas previstas en la Ley 16/2014, de 4 de diciembre, de acción exterior y de relaciones con la Unión Europea, se considera que la solución a la que llegó el ATC 122/2015, de 7 de julio, debe aplicarse también a la regulación ahora impugnada.</w:t>
      </w:r>
    </w:p>
    <w:p w:rsidR="0033382B" w:rsidRDefault="0033382B" w:rsidP="0033382B">
      <w:pPr>
        <w:pStyle w:val="TextoNormal"/>
      </w:pPr>
    </w:p>
    <w:p w:rsidR="0033382B" w:rsidRDefault="0033382B" w:rsidP="0033382B">
      <w:pPr>
        <w:pStyle w:val="TextoNormal"/>
      </w:pPr>
      <w:r>
        <w:t>Por su parte, el Abogado del Estado, con apoyo en el informe elaborado por el Ministerio de Asuntos Exteriores y de Cooperación que adjunta, ha interesado el mantenimiento de la suspensión diferenciando, como se ha dado cuenta en los antecedentes, las alegaciones sobre la especial trascendencia constitucional del caso, vinculado al proceso de transición nacional de Cataluña, con la creación de estructuras de Estado (con cita de los AATC 156/2013, de 11 de julio, y los AATC 182/2015, y 186/2015, ambos de 3 de noviembre) y, por otra parte, alegando los perjuicios de imposible o difícil reparación que el alzamiento de la suspensión ocasionaría a los intereses de la política exterior de España; se trataría de daños fundamentalmente futuros y previsibles, si bien algunos de ellos ya se han producido por actos adoptados por la Generalitat de Cataluña, según los ejemplos que cita. Esos perjuicios para el interés general que provocaría la aplicación de los preceptos impugnados si se alzase la suspensión que pesa sobre los mismos se concretarían, de acuerdo con el referido informe, principalmente en la internacionalización del proceso independentista, así como en la creación de interferencias y distorsiones en la puesta en práctica de la política exterior del Estado español; en la confusión que se generaría en la comunidad internacional; en el perjuicio para la imagen exterior de España. Todo ello permitiría a la Generalitat de Cataluña seguir avanzando en la construcción de estructuras estatales con el objetivo de constituir un futuro Estado propio. Hace referencia, asimismo, el Abogado del Estado, al ATC 122/2015, pero para afirmar el incumplimiento del mismo por la regulación impugnada.</w:t>
      </w:r>
    </w:p>
    <w:p w:rsidR="0033382B" w:rsidRDefault="0033382B" w:rsidP="0033382B">
      <w:pPr>
        <w:pStyle w:val="TextoNormal"/>
      </w:pPr>
    </w:p>
    <w:p w:rsidR="0033382B" w:rsidRDefault="0033382B" w:rsidP="0033382B">
      <w:pPr>
        <w:pStyle w:val="TextoNormal"/>
      </w:pPr>
      <w:r w:rsidRPr="0033382B">
        <w:rPr>
          <w:rStyle w:val="NumeroAFNegritaCaracter"/>
        </w:rPr>
        <w:t>3</w:t>
      </w:r>
      <w:r>
        <w:t>. Antes de resolver el presente incidente cautelar debemos realizar algunas consideraciones preliminares.</w:t>
      </w:r>
    </w:p>
    <w:p w:rsidR="0033382B" w:rsidRDefault="0033382B" w:rsidP="0033382B">
      <w:pPr>
        <w:pStyle w:val="TextoNormal"/>
      </w:pPr>
    </w:p>
    <w:p w:rsidR="0033382B" w:rsidRDefault="0033382B" w:rsidP="0033382B">
      <w:pPr>
        <w:pStyle w:val="TextoNormal"/>
      </w:pPr>
      <w:r>
        <w:t>En primer lugar, y tal y como pone de manifiesto el Abogado del Estado, la aprobación del Decreto 212/2016, de 1 de marzo, por el que se añade una disposición transitoria en el Decreto 2/2016, de 13 de enero, de creación, denominación y determinación del ámbito de competencia de los departamentos de la Administración de la Generalitat de Cataluña y del Decreto 213/2016, de 8 de marzo, por el que se determina la adscripción de la Secretaría de Asuntos Exteriores y de la Unión Europea, no comporta la pérdida de objeto del presente incidente cautelar. El Decreto 212/2016 se aprueba como consecuencia de la suspensión de los preceptos impugnados en el presente proceso, según se expone en la introducción al mismo, y añade una disposición transitoria cuarta en el Decreto 2/2016 que limita la vigencia de su regulación al período en que el Tribunal Constitucional mantenga la suspensión de los preceptos impugnados de dicho Decreto. Concretamente, el Decreto 212/2016 ha modificado la denominación del Departamento de Asuntos Exteriores, Relaciones Institucionales y Transparencia por el de Departamento de Asuntos y Relaciones Institucionales y Exteriores y Transparencia y las funciones del mismo. Por su parte, como consecuencia de lo establecido en el citado Decreto 212/2016, el Decreto 213/2016 se limita a adscribir la Secretaría de Asuntos Exteriores y de la Unión Europea a dicho Departamento.</w:t>
      </w:r>
    </w:p>
    <w:p w:rsidR="0033382B" w:rsidRDefault="0033382B" w:rsidP="0033382B">
      <w:pPr>
        <w:pStyle w:val="TextoNormal"/>
      </w:pPr>
    </w:p>
    <w:p w:rsidR="0033382B" w:rsidRDefault="0033382B" w:rsidP="0033382B">
      <w:pPr>
        <w:pStyle w:val="TextoNormal"/>
      </w:pPr>
      <w:r>
        <w:t>En todo caso, dicha regulación nacida con vocación transitoria y vinculada precisamente a la solución que adoptemos en el presente incidente cautelar, no puede entenderse que haya derogado la regulación impugnada y, por lo tanto, haya hecho perder objeto a este incidente.</w:t>
      </w:r>
    </w:p>
    <w:p w:rsidR="0033382B" w:rsidRDefault="0033382B" w:rsidP="0033382B">
      <w:pPr>
        <w:pStyle w:val="TextoNormal"/>
      </w:pPr>
    </w:p>
    <w:p w:rsidR="0033382B" w:rsidRDefault="0033382B" w:rsidP="0033382B">
      <w:pPr>
        <w:pStyle w:val="TextoNormal"/>
      </w:pPr>
      <w:r>
        <w:t>En segundo lugar, respecto a las medidas que solicita el Abogado del Estado que adoptemos en este incidente cautelar y de las que se ha dado cuenta cumplidamente en los antecedentes de esta resolución, es preciso dejar sentado que el objeto de este incidente es, exclusivamente y tal y como se establece en la providencia del Pleno de este Tribunal Constitucional de 2 de marzo de 2016, por el que se da audiencia al Abogado del Estado para que alegue sobre la solicitud de levantamiento de la suspensión de los preceptos objeto del conflicto formulada por la Abogada de la Generalitat, pronunciarnos acerca del levantamiento de la suspensión inicialmente acordada de los preceptos objeto del presente conflicto positivo de competencia (en el mismo sentido, ATC 114/2014, de 8 de abril, FJ 2). Por lo tanto, nuestra decisión ha de limitarse, conforme al art. 161.2 CE, a mantener o levantar la suspensión de los preceptos impugnados en el presente conflicto positivo de competencia.</w:t>
      </w:r>
    </w:p>
    <w:p w:rsidR="0033382B" w:rsidRDefault="0033382B" w:rsidP="0033382B">
      <w:pPr>
        <w:pStyle w:val="TextoNormal"/>
      </w:pPr>
    </w:p>
    <w:p w:rsidR="0033382B" w:rsidRDefault="0033382B" w:rsidP="0033382B">
      <w:pPr>
        <w:pStyle w:val="TextoNormal"/>
      </w:pPr>
      <w:r w:rsidRPr="0033382B">
        <w:rPr>
          <w:rStyle w:val="NumeroAFNegritaCaracter"/>
        </w:rPr>
        <w:t>4</w:t>
      </w:r>
      <w:r>
        <w:t>. En otro orden de consideraciones, hemos de recordar que, en alguna ocasión, este Tribunal ha declarado el mantenimiento de la suspensión de determinadas disposiciones porque se suscitaban cuestiones de gran relieve constitucional, sin entrar a examinar la concurrencia de daños acreditados de imposible o difícil reparación derivados del levantamiento. Lo ha hecho muy excepcionalmente cuando la controversia suscitada en el proceso que origina el incidente cautelar excede de las situaciones normales de controversia competencial. Así, en ATC 156/2013, de 11 de julio, en el que resolvimos sobre el levantamiento o mantenimiento de la suspensión de la resolución 5/X, de 23 de enero, del Parlamento de Cataluña, por la que se aprueba la declaración de soberanía y del derecho a decidir el pueblo de Cataluña, al encontrarnos ante una cuestión de gran relieve constitucional, afirmamos que dicho hecho era suficiente para inclinar el juicio de ponderación que, según reiterada jurisprudencia, debe realizarse en estos casos, en favor de la ratificación de la suspensión acordada durante el tiempo indispensable para la resolución de la impugnación interpuesta. Por su parte, en los AATC 182/2015 y 186/2015, de 3 de noviembre, al apreciar respectivamente que “no cabe descartar que el conjunto de las disposiciones adicionales ahora impugnadas puedan formar parte del denominado proceso de transición nacional” (FJ 4) y que “ambas partes reconocen que ese proceso de transición nacional existe y que se han adoptado distintos tipos de actuaciones para lograr su consecución, entre las que se encuentran, como admiten ambas partes, la creación del Comisionado al que se refiere el Decreto y los planes publicados en la página web de la Generalitat que constituyen el objeto del presente conflicto de competencia” (FJ 3) afirmamos que una “controversia de este género suscita, en cuanto a la decisión sobre la suspensión, consideraciones que escapan a la habitual ponderación sobre los efectos que se seguirían ya de mantenerla ya de alzarla, consideraciones que aconsejan, atendida la relevancia de lo aquí en discusión, mantener la suspensión de la disposición y actuaciones objeto del presente conflicto de competencia”.</w:t>
      </w:r>
    </w:p>
    <w:p w:rsidR="0033382B" w:rsidRDefault="0033382B" w:rsidP="0033382B">
      <w:pPr>
        <w:pStyle w:val="TextoNormal"/>
      </w:pPr>
    </w:p>
    <w:p w:rsidR="0033382B" w:rsidRDefault="0033382B" w:rsidP="0033382B">
      <w:pPr>
        <w:pStyle w:val="TextoNormal"/>
      </w:pPr>
      <w:r>
        <w:t>Ahora bien, en el presente caso, aunque del contexto político pudiera derivarse la conclusión a la que llega el Abogado del Estado, no así de la literalidad de los preceptos impugnados. Sin perjuicio de la decisión que ahora adoptemos respecto al mantenimiento o levantamiento de la suspensión, y de la respuesta de fondo que corresponda dar en su momento, lo cierto es que, de la regulación impugnada no puede inferirse que nos encontramos, de forma meridiana, ante un supuesto igual a los que resolvimos en los citados autos, de forma que podamos llegar a ratificar la suspensión acordada sin recorrer el cauce ordinario, que empieza por comprobar que el Abogado del Estado ha acreditado suficientemente perjuicios de imposible o difícil reparación para el interés general o de terceros vinculados al levantamiento. En los casos resueltos por los AATC citados, el hecho de que nos encontrásemos ante una cuestión de gran relieve constitucional se infería tanto de las disposiciones impugnadas como de las alegaciones de ambas partes, lo cual no concurre en este caso.</w:t>
      </w:r>
    </w:p>
    <w:p w:rsidR="0033382B" w:rsidRDefault="0033382B" w:rsidP="0033382B">
      <w:pPr>
        <w:pStyle w:val="TextoNormal"/>
      </w:pPr>
    </w:p>
    <w:p w:rsidR="0033382B" w:rsidRDefault="0033382B" w:rsidP="0033382B">
      <w:pPr>
        <w:pStyle w:val="TextoNormal"/>
      </w:pPr>
      <w:r w:rsidRPr="0033382B">
        <w:rPr>
          <w:rStyle w:val="NumeroAFNegritaCaracter"/>
        </w:rPr>
        <w:t>5</w:t>
      </w:r>
      <w:r>
        <w:t>. Descartada así la aplicación de la doctrina sentada en los Autos citados en el fundamento jurídico anterior, debemos realizar ahora la ponderación propia de este incidente cautelar, partiendo de que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hemos destacado que esta valoración debe efectuarse mediante el estricto examen de las situaciones de hecho creadas y al margen de la viabilidad de las pretensiones que se formulan en la demanda. Asimismo, este Tribunal ha precisado que el mantenimiento de la suspensión requiere que el Gobierno,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(por todos, ATC 89/2016, de 29 de abril, FJ 2).</w:t>
      </w:r>
    </w:p>
    <w:p w:rsidR="0033382B" w:rsidRDefault="0033382B" w:rsidP="0033382B">
      <w:pPr>
        <w:pStyle w:val="TextoNormal"/>
      </w:pPr>
    </w:p>
    <w:p w:rsidR="0033382B" w:rsidRDefault="0033382B" w:rsidP="0033382B">
      <w:pPr>
        <w:pStyle w:val="TextoNormal"/>
      </w:pPr>
      <w:r>
        <w:t>Además,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185/2015, de 3 de noviembre, FJ 3, entre otros).</w:t>
      </w:r>
    </w:p>
    <w:p w:rsidR="0033382B" w:rsidRDefault="0033382B" w:rsidP="0033382B">
      <w:pPr>
        <w:pStyle w:val="TextoNormal"/>
      </w:pPr>
    </w:p>
    <w:p w:rsidR="0033382B" w:rsidRDefault="0033382B" w:rsidP="0033382B">
      <w:pPr>
        <w:pStyle w:val="TextoNormal"/>
      </w:pPr>
      <w:r w:rsidRPr="0033382B">
        <w:rPr>
          <w:rStyle w:val="NumeroAFNegritaCaracter"/>
        </w:rPr>
        <w:t>6</w:t>
      </w:r>
      <w:r>
        <w:t>. Como hemos señalado en los antecedentes de esta resolución, en lo que en ambas partes coinciden, aunque con distinto resultado, es en la aplicación del ATC 122/2015, de 7 de julio, para la resolución del presente incidente cautelar. Dicha resolución resolvió sobre el mantenimiento o levantamiento de la suspensión de los preceptos impugnados de la Ley del Parlamento de Cataluña 16/2014, de 4 de diciembre, de acción exterior y de relaciones con la Unión Europea, norma que regula la acción exterior de Cataluña y las relaciones con la Unión Europea, dos de cuyos actores son el Gobierno y la Administración de la Generalitat. Precisamente, el objeto del presente conflicto positivo de competencia se concreta en la denominación, funciones y estructura de un Departamento de la Administración de la Generalitat de Cataluña al que corresponde el ejercicio de las funciones previstas en la citada Ley 16/2014.</w:t>
      </w:r>
    </w:p>
    <w:p w:rsidR="0033382B" w:rsidRDefault="0033382B" w:rsidP="0033382B">
      <w:pPr>
        <w:pStyle w:val="TextoNormal"/>
      </w:pPr>
    </w:p>
    <w:p w:rsidR="0033382B" w:rsidRDefault="0033382B" w:rsidP="0033382B">
      <w:pPr>
        <w:pStyle w:val="TextoNormal"/>
      </w:pPr>
      <w:r>
        <w:t>En efecto, y como se ha indicado, el objeto del presente proceso constitucional lo integran, por una parte, los arts. 1.1 y 3.3, apartados 1 y 2, del Decreto de la Generalitat de Cataluña 2/2016, de 13 de enero, de creación, denominación y determinación del ámbito de competencia de los departamentos de la Administración de la Generalitat de Cataluña, de creación del Departamento de Asuntos Exteriores, Relaciones Institucionales y Transparencia (en el art. 1.1, en cuanto al inciso relativo a Asuntos Exteriores) y, de otra, los artículos 1.1 b) y 20 del Decreto de la Generalitat de Cataluña 45/2016, de 19 de enero, de estructuración del Departamento de Asuntos Exteriores, Relaciones Institucionales y Transparencia.</w:t>
      </w:r>
    </w:p>
    <w:p w:rsidR="0033382B" w:rsidRDefault="0033382B" w:rsidP="0033382B">
      <w:pPr>
        <w:pStyle w:val="TextoNormal"/>
      </w:pPr>
    </w:p>
    <w:p w:rsidR="0033382B" w:rsidRDefault="0033382B" w:rsidP="0033382B">
      <w:pPr>
        <w:pStyle w:val="TextoNormal"/>
      </w:pPr>
      <w:r>
        <w:t>Del citado art. 1.1 del Decreto 2/2016 que establece que “se crea el Departamento de Asuntos Exteriores, Relaciones Institucionales y Transparencia”, se impugna, solamente, el inciso “Asuntos Exteriores”. Del art. 3.3, que establece las funciones de dicho Departamento se impugnan las previstas en sus apartados 1 y 2 y que son las de “coordinación de la acción exterior” y la de “las relaciones exteriores y actuación de la Generalitat ante las instituciones de la Unión Europea”. Por su parte, del Decreto de la Generalitat de Cataluña 45/2016, de 19 de enero, de estructuración del Departamento de Asuntos Exteriores, Relaciones Institucionales y Transparencia son objeto del presente conflicto los artículos 1.1 b) y 20. El art. 1.1 b) incluye dentro de la estructura de dicho Departamento a la Secretaría de Asuntos Exteriores y de la Unión Europea, a la que se atribuyen, conforme al art. 20.1 también impugnado, las funciones previstas en el Decreto 170/2014, de 23 de diciembre, de estructura de la Secretaría de Asuntos Exteriores y de la Unión Europea. Por su parte, el apartado 2 crea el Servicio de gestión y seguimiento de las relaciones exteriores.</w:t>
      </w:r>
    </w:p>
    <w:p w:rsidR="0033382B" w:rsidRDefault="0033382B" w:rsidP="0033382B">
      <w:pPr>
        <w:pStyle w:val="TextoNormal"/>
      </w:pPr>
    </w:p>
    <w:p w:rsidR="0033382B" w:rsidRDefault="0033382B" w:rsidP="0033382B">
      <w:pPr>
        <w:pStyle w:val="TextoNormal"/>
      </w:pPr>
      <w:r>
        <w:t>En consecuencia, coincidimos con las partes en este proceso constitucional en que en el presente incidente cautelar hemos de aplicar lo afirmado en el citado ATC 122/2015. En dicha resolución partimos de que el perjuicio al interés general, entendido como el de la política exterior de España se podía producir porque “la puesta en práctica de una política de acción exterior propia de la Generalitat de Cataluña afecta gravemente a las relaciones internacionales del Estado español, al generar interferencias en la política exterior del Estado que pueden perturbar su contenido e incidir negativamente incluso en ámbitos particularmente sensibles, como la política económica o la de seguridad; consecuencias gravemente dañosas para el interés general que serían difícilmente reversibles si posteriormente se declarase la inconstitucionalidad de los preceptos impugnados de la Ley 16/2014 que dieron lugar a tales perjuicios. Además, también la posición de España se vería inevitablemente dañada en sus relaciones con otros Estados, con la Unión Europea y con otros sujetos de Derecho internacional si la Comunidad Autónoma de Cataluña actuase de facto en el exterior como un sujeto distinto del Estado español … podría generar confusión en terceros Estados y organizaciones internacionales sobre el alcance de esa acción exterior de Cataluña en relación con la representación exterior que corresponde al Estado (ius legationis). Suscita el riesgo de que, en caso de estimarse el recurso de inconstitucionalidad, los daños que se hubieran producido como consecuencia de la merma de la confianza ocasionada en las relaciones internacionales por la actuación exterior de la Generalitat de Cataluña al margen de la política exterior del Estado español, serían difíciles de reparar. Como este Tribunal ha tenido ocasión de señalar, ‘las ‘relaciones internacionales’ objeto de la reserva contenida en el art. 149.1.3 CE son relaciones entre sujetos internacionales y regidas por el Derecho internacional’, lo que ‘excluye, necesariamente, que los entes territoriales dotados de autonomía política, por no ser sujetos internacionales, puedan participar en las ‘relaciones internacionales’ (STC 165/1994, de 26 de mayo, FJ 5)” (ATC 122/2015, FJ 4).</w:t>
      </w:r>
    </w:p>
    <w:p w:rsidR="0033382B" w:rsidRDefault="0033382B" w:rsidP="0033382B">
      <w:pPr>
        <w:pStyle w:val="TextoNormal"/>
      </w:pPr>
    </w:p>
    <w:p w:rsidR="0033382B" w:rsidRDefault="0033382B" w:rsidP="0033382B">
      <w:pPr>
        <w:pStyle w:val="TextoNormal"/>
      </w:pPr>
      <w:r w:rsidRPr="0033382B">
        <w:rPr>
          <w:rStyle w:val="NumeroAFNegritaCaracter"/>
        </w:rPr>
        <w:t>7</w:t>
      </w:r>
      <w:r>
        <w:t>. Atendiendo a los criterios expuestos, y sin perjuicio de la respuesta de fondo que corresponda dar en su momento a la impugnación, procede mantener la suspensión del art. 1.1 del Decreto 2/2016, solo en cuanto a su inciso “Asuntos Exteriores” ya que, aunque se trate de una simple denominación, coincide con la denominación de un Departamento Ministerial del Gobierno de la Nación que ejerce las competencias del Estado ex art. 149.1.3 CE, tal y como aduce el Abogado del Estado. Es por ello que dicha denominación puede conferir al Departamento que crea el art. 1.1 del Decreto 2/2016, la apariencia de ser actor internacional y de ostentar competencias que en este ámbito sólo corresponden al Estado, y en consecuencia, pudiera perseguir el objetivo de dotar a la Generalitat de Catalunya de competencias que exceden de las que le corresponden conforme a su Estatuto de Autonomía obviando que los entes territoriales dotados de autonomía política no son sujetos internacionales y no pueden, en consecuencia, participar en las relaciones internacionales (SSTC 165/1994, FJ 5, y 31/2010, FJ 127). Por consiguiente, “más allá de la respuesta de fondo que deba darse a esta cuestión en el momento procedente, perjudica gravemente el interés general de la política exterior de España y sus relaciones internacionales, al generar confusión a terceros Estados y organizaciones internacionales o intergubernamentales sobre el verdadero contenido y alcance de esas actividades exteriores de la Generalitat, en relación con la política exterior del Estado español” (ATC 122/2015, FJ 5). En cuanto se reitera la denominación del Departamento, debemos mantener la suspensión, a su vez, del inciso “Asuntos Exteriores” del art. 3.3 del Decreto 2/2016 y del art. 1.1 del Decreto 45/2016.</w:t>
      </w:r>
    </w:p>
    <w:p w:rsidR="0033382B" w:rsidRDefault="0033382B" w:rsidP="0033382B">
      <w:pPr>
        <w:pStyle w:val="TextoNormal"/>
      </w:pPr>
    </w:p>
    <w:p w:rsidR="0033382B" w:rsidRDefault="0033382B" w:rsidP="0033382B">
      <w:pPr>
        <w:pStyle w:val="TextoNormal"/>
      </w:pPr>
      <w:r>
        <w:t>Asimismo, y por las mismas razones, en cuanto a la denominación de otros órganos de dicho Departamento, debemos mantener la suspensión de los incisos “Asuntos Exteriores” de los arts. 1.1 b) y 20.1 del Decreto 45/2016.</w:t>
      </w:r>
    </w:p>
    <w:p w:rsidR="0033382B" w:rsidRDefault="0033382B" w:rsidP="0033382B">
      <w:pPr>
        <w:pStyle w:val="TextoNormal"/>
      </w:pPr>
    </w:p>
    <w:p w:rsidR="0033382B" w:rsidRDefault="0033382B" w:rsidP="0033382B">
      <w:pPr>
        <w:pStyle w:val="TextoNormal"/>
      </w:pPr>
      <w:r>
        <w:t>En todo caso, el mantenimiento de la suspensión de dichos incisos de los preceptos señalados no perjudica el legítimo ejercicio de la acción exterior de la Generalitat de Cataluña, pues nada le impide llevar a cabo actividades con proyección exterior que se deriven directamente de sus competencias para promover sus intereses propios en el ámbito internacional (art. 193 del Estatuto de Autonomía de Cataluña), respetando siempre la competencia exclusiva del Estado en materia de relaciones internacionales (art. 149.1.3 CE) (ATC 122/2015, FJ 5).</w:t>
      </w:r>
    </w:p>
    <w:p w:rsidR="0033382B" w:rsidRDefault="0033382B" w:rsidP="0033382B">
      <w:pPr>
        <w:pStyle w:val="TextoNormal"/>
      </w:pPr>
    </w:p>
    <w:p w:rsidR="0033382B" w:rsidRDefault="0033382B" w:rsidP="0033382B">
      <w:pPr>
        <w:pStyle w:val="TextoNormal"/>
      </w:pPr>
      <w:r w:rsidRPr="0033382B">
        <w:rPr>
          <w:rStyle w:val="NumeroAFNegritaCaracter"/>
        </w:rPr>
        <w:t>8</w:t>
      </w:r>
      <w:r>
        <w:t>. El art. 3.3 del Decreto 2/2016, en sus apartados 1 y 2, atribuye al Departamento de Asuntos Exteriores, Relaciones Institucionales y Transparencia: la coordinación de la acción exterior y las relaciones exteriores y actuación de la Generalitat ante las instituciones de la Unión Europea. Como aduce la Abogada de la Generalitat, el artículo 3 delimita las funciones que corresponden a los departamentos de la Generalitat a las atribuciones propias de la Administración de la Generalitat.</w:t>
      </w:r>
    </w:p>
    <w:p w:rsidR="0033382B" w:rsidRDefault="0033382B" w:rsidP="0033382B">
      <w:pPr>
        <w:pStyle w:val="TextoNormal"/>
      </w:pPr>
    </w:p>
    <w:p w:rsidR="0033382B" w:rsidRDefault="0033382B" w:rsidP="0033382B">
      <w:pPr>
        <w:pStyle w:val="TextoNormal"/>
      </w:pPr>
      <w:r>
        <w:t>La atribución de dichas funciones en abstracto, y en los términos en los que se ha realizado, no es susceptible de generar perjuicio alguno. En ese sentido, ha de tenerse en cuenta que los perjuicios que alega la Abogacía del Estado no son imputables a la redacción de los preceptos impugnados, sino que tienen su fundamento en la actuación que está desarrollando el Departamento que, en su caso, podrá ser objeto de impugnación ante este Tribunal o ante la jurisdicción competente.</w:t>
      </w:r>
    </w:p>
    <w:p w:rsidR="0033382B" w:rsidRDefault="0033382B" w:rsidP="0033382B">
      <w:pPr>
        <w:pStyle w:val="TextoNormal"/>
      </w:pPr>
    </w:p>
    <w:p w:rsidR="0033382B" w:rsidRDefault="0033382B" w:rsidP="0033382B">
      <w:pPr>
        <w:pStyle w:val="TextoNormal"/>
      </w:pPr>
      <w:r>
        <w:t>En consecuencia, en este caso, no procede mantener la suspensión de dicho precepto, por las mismas razones que entendimos en el ATC 122/2015, FJ 5, no procedía mantener la suspensión del art. 1 de la Ley del Parlamento de Cataluña 16/2014 (salvo en un extremo) en el que se determina que el objeto de la ley es regular “la acción exterior de Cataluña y las relaciones de la Generalitat con la Unión Europea”, con la finalidad de alcanzar los objetivos de proyección exterior de Cataluña que el precepto señala.</w:t>
      </w:r>
    </w:p>
    <w:p w:rsidR="0033382B" w:rsidRDefault="0033382B" w:rsidP="0033382B">
      <w:pPr>
        <w:pStyle w:val="TextoNormal"/>
      </w:pPr>
    </w:p>
    <w:p w:rsidR="0033382B" w:rsidRDefault="0033382B" w:rsidP="0033382B">
      <w:pPr>
        <w:pStyle w:val="TextoNormal"/>
      </w:pPr>
      <w:r>
        <w:t>En efecto, como ya dijimos en el ATC 122/2015, FJ 5 “sin perjuicio de la respuesta de fondo que corresponda dar en su momento a la impugnación de estos preceptos, bastará a los efectos del presente incidente con recordar que ‘las Comunidades Autónomas, como parte del ejercicio de sus competencias, pueden llevar a cabo actividades con proyección exterior, si bien con el límite de las reservas que la Constitución efectúa a favor del Estado y, en particular, de la reserva prevista en el art. 149.1.3 CE, que le confiere competencia exclusiva en materia de relaciones internacionales’ (SSTC 31/2010, FJ 125; y 46/2015, FJ 4). En tal sentido el capítulo III del título V del Estatuto de Autonomía de Cataluña (EAC) se refiere a la ‘acción exterior de la Generalitat’, facultando en su artículo 193.1 a la Generalitat para ‘impulsar la proyección de Cataluña en el exterior y promover sus intereses en este ámbito respetando la competencia del Estado en materia de relaciones exteriores’, en tanto que el art. 193.2 precisa que ‘la Generalitat tiene capacidad para llevar a cabo acciones con proyección exterior que se deriven directamente de sus competencias, bien de forma directa o a través de los órganos de la Administración General del Estado’. De este modo las previsiones contenidas en la Ley del Parlamento de Cataluña 16/2014, y en particular en sus artículos 1 a 4, sobre el objeto y la finalidad de la acción exterior de Cataluña, han de ser entendidas dentro del marco constitucional y estatutario, de tal suerte que esa acción exterior no puede significar en ningún caso la consideración de Cataluña como un sujeto de Derecho internacional, sino, tal como se establece en el art. 193 EAC y confirma nuestra reiterada doctrina, que la acción exterior de la Generalitat de Cataluña, con el objetivo de promover sus intereses en ese ámbito, ha de estar directamente relacionada con el ejercicio de sus competencias propias y ejercerse siempre con respeto a la competencia del Estado en materia de relaciones exteriores (art. 149.1.3 CE).”</w:t>
      </w:r>
    </w:p>
    <w:p w:rsidR="0033382B" w:rsidRDefault="0033382B" w:rsidP="0033382B">
      <w:pPr>
        <w:pStyle w:val="TextoNormal"/>
      </w:pPr>
    </w:p>
    <w:p w:rsidR="0033382B" w:rsidRDefault="0033382B" w:rsidP="0033382B">
      <w:pPr>
        <w:pStyle w:val="TextoNormal"/>
      </w:pPr>
      <w:r>
        <w:t>Esta delimitación de los términos en que han de ejercerse las funciones por parte del Departamento de la Generalitat de Cataluña en materia de acción exterior se ve completada con la decisión que alcanzamos en el reiteradamente citado ATC 122/2015, en el que ya adoptamos la resolución de mantener la suspensión de aquellas funciones contempladas en la Ley 16/2014 que estimamos ocasionaban un perjuicio grave e irreparable al interés de la política exterior de España y sus relaciones internacionales.</w:t>
      </w:r>
    </w:p>
    <w:p w:rsidR="0033382B" w:rsidRDefault="0033382B" w:rsidP="0033382B">
      <w:pPr>
        <w:pStyle w:val="TextoNormal"/>
      </w:pPr>
    </w:p>
    <w:p w:rsidR="0033382B" w:rsidRDefault="0033382B" w:rsidP="0033382B">
      <w:pPr>
        <w:pStyle w:val="TextoNormal"/>
      </w:pPr>
      <w:r>
        <w:t>Conforme a lo expuesto y con la perspectiva cautelar de este incidente, no cabe apreciar perjuicio para el interés general, entendido como el interés de la política exterior de España y sus relaciones internacionales, en las previsiones del art. 3.3.1 y 2 del Decreto 2/2016, lo que conduce a levantar la suspensión que sobre este precepto pesa.</w:t>
      </w:r>
    </w:p>
    <w:p w:rsidR="0033382B" w:rsidRDefault="0033382B" w:rsidP="0033382B">
      <w:pPr>
        <w:pStyle w:val="TextoNormal"/>
      </w:pPr>
    </w:p>
    <w:p w:rsidR="0033382B" w:rsidRDefault="0033382B" w:rsidP="0033382B">
      <w:pPr>
        <w:pStyle w:val="TextoNormal"/>
      </w:pPr>
      <w:r w:rsidRPr="0033382B">
        <w:rPr>
          <w:rStyle w:val="NumeroAFNegritaCaracter"/>
        </w:rPr>
        <w:t>9</w:t>
      </w:r>
      <w:r>
        <w:t>. En cuanto a los preceptos impugnados del Decreto 45/2016, ya nos hemos pronunciado sobre los arts. 1.1 b) y 20.1 respecto a los que mantenemos la suspensión del inciso “Asuntos Exteriores”.</w:t>
      </w:r>
    </w:p>
    <w:p w:rsidR="0033382B" w:rsidRDefault="0033382B" w:rsidP="0033382B">
      <w:pPr>
        <w:pStyle w:val="TextoNormal"/>
      </w:pPr>
    </w:p>
    <w:p w:rsidR="0033382B" w:rsidRDefault="0033382B" w:rsidP="0033382B">
      <w:pPr>
        <w:pStyle w:val="TextoNormal"/>
      </w:pPr>
      <w:r>
        <w:t>No podemos adoptar la misma solución respecto al artículo 20, salvo en el referido inciso, en relación con el que la Abogacía del Estado se ha limitado a extender las alegaciones sobre los perjuicios al interés general que ha realizado respecto al Decreto 2/2016. Sin perjuicio de nuestro pronunciamiento cuando abordemos el fondo del asunto, hemos de tener en cuenta que el Abogado del Estado no realiza alegaciones concretas sobre los perjuicios de imposible o difícil reparación que puede ocasionar ya que se limita a solicitar la extensión de la suspensión a toda la organización administrativa incluida la Secretaría de Asuntos Exteriores y de la Unión Europea prevista en el artículo l. l b) y 20.1 del Decreto 45/2016, y a sus funciones y estructura establecidas en el Decreto 170/2014, 23 de diciembre, al que se remite expresamente el citado Decreto 45/2016, que no ha sido modificado, y al artículo 20.2 (del servicio de gestión y seguimiento de las relaciones exteriores adscrito a la Dirección General de Relaciones Exteriores, por su carácter instrumental respecto de los fines de la citada Secretaría).</w:t>
      </w:r>
    </w:p>
    <w:p w:rsidR="0033382B" w:rsidRDefault="0033382B" w:rsidP="0033382B">
      <w:pPr>
        <w:pStyle w:val="TextoNormal"/>
      </w:pPr>
    </w:p>
    <w:p w:rsidR="0033382B" w:rsidRDefault="0033382B" w:rsidP="0033382B">
      <w:pPr>
        <w:pStyle w:val="TextoNormal"/>
      </w:pPr>
      <w:r>
        <w:t>Dicha falta de alegaciones concretas por parte del Abogado del Estado, unido a los motivos que nos han llevado al levantamiento de la suspensión del art. 3.3, apartados 1 y 2, del Decreto 2/2016, nos ha de llevar también ahora al levantamiento de la suspensión de los arts. l. l b) y 20 del Decreto 45/2016, salvo en los incisos anteriormente mencionados. Al respecto ha de reiterarse que “las Comunidades Autónomas, como parte del ejercicio de sus competencias, pueden llevar a cabo actividades con proyección exterior, si bien con el límite de las reservas que la Constitución efectúa a favor del Estado y, en particular, de la reserva prevista en el art. 149.1.3 CE, que le confiere competencia exclusiva en materia de relaciones internacionales” (SSTC 31/2010, FJ 125; 46/2015, FJ 4 y 85/2016, FJ 3).</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1º Mantener la suspensión de los incisos “Asuntos Exteriores” de los arts. 1.1 y 3.3 del Decreto de la Generalitat de Cataluña 2/2016, de 13 de enero, de creación, denominación y determinación del ámbito de competencia de los departamentos de la Administración de la Generalitat de Cataluña y de los incisos “Asuntos Exteriores” de los arts. 1.1 b) y 20.1 del Decreto 45/2016, de 19 de enero, de estructuración del Departamento de Asuntos Exteriores, Relaciones Institucionales y Transparencia.</w:t>
      </w:r>
    </w:p>
    <w:p w:rsidR="0033382B" w:rsidRDefault="0033382B" w:rsidP="0033382B">
      <w:pPr>
        <w:pStyle w:val="TextoNormal"/>
      </w:pPr>
    </w:p>
    <w:p w:rsidR="0033382B" w:rsidRDefault="0033382B" w:rsidP="0033382B">
      <w:pPr>
        <w:pStyle w:val="TextoNormal"/>
      </w:pPr>
      <w:r>
        <w:t>2º Levantar la suspensión del art. 3.3.1 y 3.3.2 del Decreto de la Generalitat de Cataluña 2/2016, de 13 de enero, de creación, denominación y determinación del ámbito de competencia de los departamentos de la Administración de la Generalitat de Cataluña y de los arts. 1.1 b) —salvo en los incisos “Asuntos Exteriores”— y 20 del Decreto 45/2016, salvo en los incisos “Asuntos Exteriores”.</w:t>
      </w:r>
    </w:p>
    <w:p w:rsidR="0033382B" w:rsidRDefault="0033382B" w:rsidP="0033382B">
      <w:pPr>
        <w:pStyle w:val="TextoNormal"/>
      </w:pPr>
    </w:p>
    <w:p w:rsidR="0033382B" w:rsidRDefault="0033382B" w:rsidP="0033382B">
      <w:pPr>
        <w:pStyle w:val="TextoNormal"/>
      </w:pPr>
      <w:r>
        <w:t>Madrid, a veintiuno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58" w:name="AUTO_2016_131"/>
      <w:r>
        <w:t>AUTO 131/2016, de 21 de junio de 2016</w:t>
      </w:r>
    </w:p>
    <w:bookmarkEnd w:id="258"/>
    <w:p w:rsidR="0033382B" w:rsidRDefault="0033382B" w:rsidP="0033382B">
      <w:pPr>
        <w:pStyle w:val="TtuloResolucin"/>
      </w:pPr>
      <w:r>
        <w:t>Pleno</w:t>
      </w:r>
    </w:p>
    <w:p w:rsidR="0033382B" w:rsidRDefault="0033382B" w:rsidP="0033382B">
      <w:pPr>
        <w:pStyle w:val="TextoNormalCentrado"/>
      </w:pPr>
      <w:r>
        <w:t>ECLI:ES:TC:2016:131A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741-2016, planteada por el Tribunal Superior de Justicia de Murcia en relación con el artículo 2.2 de la Ley 4/2013, de 12 de junio, de medidas urgentes en materia de gastos de personal y organización administrativa de la Comunidad Autónoma de la Región de Murcia.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día 15 de febrero de 2016 tuvo entrada en el Registro General de este Tribunal escrito del Tribunal Superior de Justicia de la Región de Murcia, Sala de lo Social, al que se acompaña, además del testimonio del procedimiento de conflicto colectivo 2-2015, Auto de 7 de septiembre de 2015 por el que se plantea cuestión de inconstitucionalidad en relación con el art. 2.2 de la Ley 4/2013, de 12 de junio, de la Comunidad Autónoma de Murcia, de medidas urgentes en materia de gastos de personal y organización administrativa, que suprime determinados complementos salariales de carácter semestral que deberían percibirse en el mes de diciembre de 2013, por posible vulneración de los arts. 149.1.7, 14 y 9.3 CE.</w:t>
      </w:r>
    </w:p>
    <w:p w:rsidR="0033382B" w:rsidRDefault="0033382B" w:rsidP="0033382B">
      <w:pPr>
        <w:pStyle w:val="TextoNormal"/>
      </w:pPr>
    </w:p>
    <w:p w:rsidR="0033382B" w:rsidRDefault="0033382B" w:rsidP="0033382B">
      <w:pPr>
        <w:pStyle w:val="TextoNormal"/>
      </w:pPr>
      <w:r w:rsidRPr="0033382B">
        <w:rPr>
          <w:rStyle w:val="NumeroAFNegritaCaracter"/>
        </w:rPr>
        <w:t>2</w:t>
      </w:r>
      <w:r>
        <w:t>. Los hechos que pueden ser relevantes en este proceso constitucional son, sucintamente expuestos, los siguientes:</w:t>
      </w:r>
    </w:p>
    <w:p w:rsidR="0033382B" w:rsidRDefault="0033382B" w:rsidP="0033382B">
      <w:pPr>
        <w:pStyle w:val="TextoNormal"/>
      </w:pPr>
    </w:p>
    <w:p w:rsidR="0033382B" w:rsidRDefault="0033382B" w:rsidP="0033382B">
      <w:pPr>
        <w:pStyle w:val="TextoNormal"/>
      </w:pPr>
      <w:r>
        <w:t>a) El presente procedimiento deriva de demanda de conflicto colectivo interpuesta por el sindicato CSI-CSIF contra la Consejería de Educación y Cultura y Universidades de la Comunidad Autónoma de la Región de Murcia, por la supresión al personal laboral docente, del abono de parte de los que consideran complementos de la paga extraordinaria de diciembre de 2013. El sindicato demandante solicitaba el abono íntegro de los complementos no abonados, y subsidiariamente que se declare el derecho de los afectados por el conflicto a percibir la parte proporcional de la paga extraordinaria de diciembre de 2013, que corresponde a los 14 días transcurridos entre el 1 de junio y el 14 de junio de 2013.</w:t>
      </w:r>
    </w:p>
    <w:p w:rsidR="0033382B" w:rsidRDefault="0033382B" w:rsidP="0033382B">
      <w:pPr>
        <w:pStyle w:val="TextoNormal"/>
      </w:pPr>
    </w:p>
    <w:p w:rsidR="0033382B" w:rsidRDefault="0033382B" w:rsidP="0033382B">
      <w:pPr>
        <w:pStyle w:val="TextoNormal"/>
      </w:pPr>
      <w:r>
        <w:t>b) Por Decreto del Secretario Judicial de la Sala de lo Social del Tribunal Superior de Justicia de Murcia de 24 de febrero de 2015 se admitió a trámite la demanda.</w:t>
      </w:r>
    </w:p>
    <w:p w:rsidR="0033382B" w:rsidRDefault="0033382B" w:rsidP="0033382B">
      <w:pPr>
        <w:pStyle w:val="TextoNormal"/>
      </w:pPr>
    </w:p>
    <w:p w:rsidR="0033382B" w:rsidRDefault="0033382B" w:rsidP="0033382B">
      <w:pPr>
        <w:pStyle w:val="TextoNormal"/>
      </w:pPr>
      <w:r>
        <w:t>c) El Letrado de la Comunidad Autónoma de Murcia en su escrito de alegaciones, planteó, entre otras cuestiones, la prescripción de la acción interpuesta. Afirma que la demanda fue presentada el 30 de diciembre de 2014 y la paga extraordinaria de Navidad se devenga el 1 de diciembre de cada año. Además, la paga extraordinaria de Navidad de 2013 se abonó el día 23 de diciembre de 2013. Por tanto, de acuerdo con lo dispuesto en el art. 59.1 de la Ley del estatuto de los trabajadores (LET), cuando se presenta la demanda el 30 de diciembre de 2014 había prescrito el derecho a reclamar los conceptos retributivos no abonados al personal laboral de la Comunidad Autónoma de la Región de Murcia en la paga extraordinaria de diciembre de 2013.</w:t>
      </w:r>
    </w:p>
    <w:p w:rsidR="0033382B" w:rsidRDefault="0033382B" w:rsidP="0033382B">
      <w:pPr>
        <w:pStyle w:val="TextoNormal"/>
      </w:pPr>
    </w:p>
    <w:p w:rsidR="0033382B" w:rsidRDefault="0033382B" w:rsidP="0033382B">
      <w:pPr>
        <w:pStyle w:val="TextoNormal"/>
      </w:pPr>
      <w:r>
        <w:t>d) Por Auto de 31 de marzo de 2015, la Sala de lo Social del Tribunal Superior de Justicia de Murcia acordó oír a las partes y al Ministerio Fiscal para que en un plazo común e improrrogable de diez días, con suspensión del plazo para dictar sentencia, aleguen lo que a su derecho convenga sobre si el art. 2.2 de la Ley autonómica 4/2013 puede ser inconstitucional por violación de los arts. 149.1.7, 14 y 9.3 CE. Además, añade que “cabe entender que el hecho de que se haya opuesto prescripción no impediría el planteamiento de la cuestión de inconstitucionalidad, pues, de un lado, para apreciar o no prescripción, en puridad, habría que establecer previamente si el derecho existe o no; de otro lado, se trataría de una cuestión no necesariamente pacífica y susceptible de ser revisada en vía de recurso; y, finalmente, se ofrece como la solución más razonable por metodología y funcionalidad, a la luz del art. 24 CE”.</w:t>
      </w:r>
    </w:p>
    <w:p w:rsidR="0033382B" w:rsidRDefault="0033382B" w:rsidP="0033382B">
      <w:pPr>
        <w:pStyle w:val="TextoNormal"/>
      </w:pPr>
    </w:p>
    <w:p w:rsidR="0033382B" w:rsidRDefault="0033382B" w:rsidP="0033382B">
      <w:pPr>
        <w:pStyle w:val="TextoNormal"/>
      </w:pPr>
      <w:r>
        <w:t>e) El sindicato CSIF y el Ministerio Fiscal interesaron el planteamiento de la cuestión.</w:t>
      </w:r>
    </w:p>
    <w:p w:rsidR="0033382B" w:rsidRDefault="0033382B" w:rsidP="0033382B">
      <w:pPr>
        <w:pStyle w:val="TextoNormal"/>
      </w:pPr>
    </w:p>
    <w:p w:rsidR="0033382B" w:rsidRDefault="0033382B" w:rsidP="0033382B">
      <w:pPr>
        <w:pStyle w:val="TextoNormal"/>
      </w:pPr>
      <w:r>
        <w:t>El Letrado de la Comunidad Autónoma de la Región de Murcia manifestó su oposición al planteamiento de la cuestión de inconstitucionalidad, por escrito de 6 de abril de 2015. Considera que el art. 2 de la Ley autonómica 4/2013 no ha violado el art. 149.1.7 CE, por cuanto la legislación laboral básica del Estado no fija la cuantía de las gratificaciones extraordinarias, siendo los convenios colectivos los que tienen competencia para hacerlo. En cuanto a la vulneración del art. 14 CE entiende que tampoco se ha vulnerado dicho precepto constitucional por cuanto el punto de comparación no debe ser “el resto de los trabajadores de las demás Comunidades Autónomas”, sino el resto del personal integrante de la Comunidad Autónoma de la Región de Murcia Y, por lo que respecta al art. 9.3 CE, entiende igualmente que no se ha vulnerado el citado precepto constitucional, ya que el art. 31 LET establece que serán los convenios colectivos lo que fijen la cuantía de las gratificaciones extraordinarias, y en función de la situación existente el primer día hábil de los meses de junio y diciembre.</w:t>
      </w:r>
    </w:p>
    <w:p w:rsidR="0033382B" w:rsidRDefault="0033382B" w:rsidP="0033382B">
      <w:pPr>
        <w:pStyle w:val="TextoNormal"/>
      </w:pPr>
    </w:p>
    <w:p w:rsidR="0033382B" w:rsidRDefault="0033382B" w:rsidP="0033382B">
      <w:pPr>
        <w:pStyle w:val="TextoNormal"/>
      </w:pPr>
      <w:r>
        <w:t>f) Por Auto de la Sala de lo Social del Tribunal Superior de Justicia de la Región de Murcia de 7 de septiembre de 2015 acordó promover cuestión de inconstitucionalidad contra el art. 2.2 de la Ley 4/2013, de 12 de junio, de la Comunidad Autónoma de Murcia, de medidas urgentes en materia de gastos de personal y organización administrativa, por violación de los arts. 149.1.7, 14 y 9.3 CE.</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comienza afirmando que dada la similitud con el supuesto resuelto por sentencia del Tribunal Constitucional de 15 de diciembre de 2014, surge la duda sobre si se ha vulnerado el art. 149.1.7 CE, ya que se habría producido un exceso competencial por parte de la Comunidad Autónoma de la Región de Murcia, dado que la legislación laboral incluye la regulación salarial y la supresión de parte de la paga extraordinaria de diciembre de 2013, con carácter particular en ese entorno laboral en esta Comunidad, rebasaría su competencia. Además, implícitamente se podía estar vulnerando el art. 14 CE al introducir una diferencia irrazonable y sin justificación con el resto de los trabajadores de las demás Comunidades Autónomas, que conservarían tal derecho.</w:t>
      </w:r>
    </w:p>
    <w:p w:rsidR="0033382B" w:rsidRDefault="0033382B" w:rsidP="0033382B">
      <w:pPr>
        <w:pStyle w:val="TextoNormal"/>
      </w:pPr>
    </w:p>
    <w:p w:rsidR="0033382B" w:rsidRDefault="0033382B" w:rsidP="0033382B">
      <w:pPr>
        <w:pStyle w:val="TextoNormal"/>
      </w:pPr>
      <w:r>
        <w:t>Afirma que no puede suprimirse un devengo salarial por una norma no estatal. Por vía autonómica se podría estar desvirtuando el carácter de legislador básico del Estado, dando lugar a la aparición de ordenamientos jurídico-laborales, al margen del estatal, en el ámbito salarial, cosa que se muestra incompatible con el art. 149.1.7 CE, ya que la norma cuestionada no excluye de su aplicación al personal equiparado salarialmente al funcionarial. Ello daría lugar, asimismo, a unas desigualdades incompatibles con la naturaleza de norma básica, que, por su propia naturaleza, tiene como finalidad otorgar un trato igual en todo el territorio nacional o del Estado.</w:t>
      </w:r>
    </w:p>
    <w:p w:rsidR="0033382B" w:rsidRDefault="0033382B" w:rsidP="0033382B">
      <w:pPr>
        <w:pStyle w:val="TextoNormal"/>
      </w:pPr>
    </w:p>
    <w:p w:rsidR="0033382B" w:rsidRDefault="0033382B" w:rsidP="0033382B">
      <w:pPr>
        <w:pStyle w:val="TextoNormal"/>
      </w:pPr>
      <w:r>
        <w:t>En cuanto a la petición subsidiaria, referente a la parte de la paga extraordinaria devengada del 1 al 14 de junio de 2013, señala el Auto que, existe un consenso jurídico a considerar que las pagas extraordinarias se van generando día a día, de enero a junio y de julio a diciembre de cada año, de tal manera que progresivamente se van incorporando o conformando como un derecho adquirido, dejando de ser una pura expectativa. Prueba de ello es que, mutatis mutandi, la jurisprudencia del Tribunal Supremo, en Sentencias tales como las de 6 de mayo de 1999 y 30 de enero de 2012, así lo considera en esencia. Es más, tal es la práctica empresarial general, a manera de un uso, cuando se liquida o finiquita la relación laboral. Por tanto, afirma, la denegación de pago de las cantidades devengadas, podría ir contra el art. 9.3 CE, tratándose de una norma retroactiva restrictiva de derechos.</w:t>
      </w:r>
    </w:p>
    <w:p w:rsidR="0033382B" w:rsidRDefault="0033382B" w:rsidP="0033382B">
      <w:pPr>
        <w:pStyle w:val="TextoNormal"/>
      </w:pPr>
    </w:p>
    <w:p w:rsidR="0033382B" w:rsidRDefault="0033382B" w:rsidP="0033382B">
      <w:pPr>
        <w:pStyle w:val="TextoNormal"/>
      </w:pPr>
      <w:r>
        <w:t>Finalmente señala que el hecho de que se haya opuesto por el Letrado de la Comunidad Autónoma de la Región de Murcia prescripción de la acción interpuesta, no impide el planteamiento de la cuestión de inconstitucionalidad, pues, de un lado, para apreciar o no prescripción, en puridad, habría que establecer previamente si el derecho existió y si sigue existiendo o no; de otro lado, se trataría de una cuestión no necesariamente pacífica y susceptible de ser revisada en vía de recurso; y, finalmente, se ofrece como la solución más razonable por metodología y funcionalidad, a la luz del art. 24 CE.</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10 de mayo de 2016, la Sección Tercera de este Tribunal, a los efectos que determina el art. 37.1 de la Ley Orgánica del Tribunal Constitucional (LOTC), acordó oír al Fiscal General del Estado para que, en el plazo de diez días, alegase lo que considerara conveniente acerca de la admisibilidad de la presente cuestión de inconstitucionalidad, por si fuera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en este Tribunal el 30 de mayo de 2016. Aduce, en primer lugar, que en el Auto de 7 de septiembre de 2015, en su razonamiento jurídico tercero, la Sala de lo Social del Tribunal Superior de Justicia de Murcia hizo constar: “finalmente, cabe entender que el hecho de que se haya opuesto prescripción no impediría el planteamiento de la cuestión de inconstitucionalidad, pues, de un lado, para apreciar o no prescripción, en puridad, habría que establecer previamente si el derecho existe o no; de otro lado, se trataría de una cuestión no necesariamente pacífica y susceptible de ser revisada en vía de recurso y, finalmente, se ofrece como la solución más razonable por metodología y funcionalidad, a la luz del art. 24 CE”.</w:t>
      </w:r>
    </w:p>
    <w:p w:rsidR="0033382B" w:rsidRDefault="0033382B" w:rsidP="0033382B">
      <w:pPr>
        <w:pStyle w:val="TextoNormal"/>
      </w:pPr>
    </w:p>
    <w:p w:rsidR="0033382B" w:rsidRDefault="0033382B" w:rsidP="0033382B">
      <w:pPr>
        <w:pStyle w:val="TextoNormal"/>
      </w:pPr>
      <w:r>
        <w:t>A juicio de la Fiscal General del Estado, la Sala de lo Social no ha exteriorizado de modo suficiente el juicio de relevancia, pues, frente a lo por ella afirmado en el Auto que abrió el trámite de audiencia y en el Auto de planteamiento, la decisión acerca de la prescripción de la acción ejercitada era prioritaria al cuestionamiento de la constitucionalidad de la norma. El extremo de que la decisión sobre la prescripción fuera susceptible de ser revisable en vía de recurso en nada afecta a lo expuesto, pues es claro que, si la decisión estimatoria de la prescripción se confirmare, la constitucionalidad del precepto devendría irrelevante y, en caso contrario, la decisión sobre el planteamiento o no de la cuestión ya no correspondería a la Sala proponente. Por todo ello, señala, la Sala de lo Social debió decidir con carácter previo sobre la prescripción opuesta, cuestión de prioritario extremo y apreciable de oficio, pues de tal decisión dependía de modo inexcusable la aplicabilidad o no de la norma cuestionada.</w:t>
      </w:r>
    </w:p>
    <w:p w:rsidR="0033382B" w:rsidRDefault="0033382B" w:rsidP="0033382B">
      <w:pPr>
        <w:pStyle w:val="TextoNormal"/>
      </w:pPr>
    </w:p>
    <w:p w:rsidR="0033382B" w:rsidRDefault="0033382B" w:rsidP="0033382B">
      <w:pPr>
        <w:pStyle w:val="TextoNormal"/>
      </w:pPr>
      <w:r>
        <w:t>A continuación señala, en relación con la vulneración del art. 149.1.7 CE, que el ATC 83/2016, ha examinado una cuestión de inconstitucionalidad planteada por el mismo órgano judicial, sobre la misma norma y con idéntica duda de constitucionalidad, rechazándose por notoriamente infundada y reproduce el fundamento jurídico 3 de dicho Auto.</w:t>
      </w:r>
    </w:p>
    <w:p w:rsidR="0033382B" w:rsidRDefault="0033382B" w:rsidP="0033382B">
      <w:pPr>
        <w:pStyle w:val="TextoNormal"/>
      </w:pPr>
    </w:p>
    <w:p w:rsidR="0033382B" w:rsidRDefault="0033382B" w:rsidP="0033382B">
      <w:pPr>
        <w:pStyle w:val="TextoNormal"/>
      </w:pPr>
      <w:r>
        <w:t>Por lo que se refiere a la vulneración del art. 14 CE, señala que la Sala promotora afirma que la norma introduce una diferencia razonable y sin justificación con el resto de los trabajadores de las demás Comunidades Autónomas. Este planteamiento, a su juicio, no puede ser asumido pues para ello debería estar acreditado que todos los trabajadores que se pretenden comparar se encuentran en la misma situación, esto es, que se rigen por el mismo convenio colectivo, y que perciben los mismos conceptos retributivos lo que de modo palmario no consta, por lo que no cabe hablar de situaciones jurídica iguales. Por otra parte tampoco consta que la situación económica de las demás administraciones empleadoras sea la misma. Por ello, considera que esta duda debe también ser inadmitida.</w:t>
      </w:r>
    </w:p>
    <w:p w:rsidR="0033382B" w:rsidRDefault="0033382B" w:rsidP="0033382B">
      <w:pPr>
        <w:pStyle w:val="TextoNormal"/>
      </w:pPr>
    </w:p>
    <w:p w:rsidR="0033382B" w:rsidRDefault="0033382B" w:rsidP="0033382B">
      <w:pPr>
        <w:pStyle w:val="TextoNormal"/>
      </w:pPr>
      <w:r>
        <w:t>Por último, en relación con la vulneración del art. 9.3 CE por tratarse de una norma retroactiva restrictiva de derechos, recuerda que la norma cuestionada no suprimió la totalidad de la paga extraordinaria de diciembre de 2013, del personal laboral de la Comunidad Autónoma de Murcia, sino tan solo ciertas cuantías referidas a determinados conceptos.</w:t>
      </w:r>
    </w:p>
    <w:p w:rsidR="0033382B" w:rsidRDefault="0033382B" w:rsidP="0033382B">
      <w:pPr>
        <w:pStyle w:val="TextoNormal"/>
      </w:pPr>
    </w:p>
    <w:p w:rsidR="0033382B" w:rsidRDefault="0033382B" w:rsidP="0033382B">
      <w:pPr>
        <w:pStyle w:val="TextoNormal"/>
      </w:pPr>
      <w:r>
        <w:t>Señala que para la Sala estaríamos en presencia de una retroactividad auténtica que desplegaría sus efectos sobre derechos adquiridos, pero su argumentación no es fácilmente entendible, pues afirma que las pagas extraordinarias se generan día a día de enero a junio y de julio a diciembre, pero el período que se toma en cuenta por la Sala es el comprendido entre los días 1 y 14 de junio de 2013, que según su propio razonamiento se trata de un período que no integraría la paga de diciembre de 2013, sino la de junio que no experimenta ninguna alteración por la norma cuestionada, que no se refiere a dicha paga.</w:t>
      </w:r>
    </w:p>
    <w:p w:rsidR="0033382B" w:rsidRDefault="0033382B" w:rsidP="0033382B">
      <w:pPr>
        <w:pStyle w:val="TextoNormal"/>
      </w:pPr>
    </w:p>
    <w:p w:rsidR="0033382B" w:rsidRDefault="0033382B" w:rsidP="0033382B">
      <w:pPr>
        <w:pStyle w:val="TextoNormal"/>
      </w:pPr>
      <w:r>
        <w:t>Por ello, a su juicio, tampoco ésta duda se puede entender fundada.</w:t>
      </w:r>
    </w:p>
    <w:p w:rsidR="0033382B" w:rsidRDefault="0033382B" w:rsidP="0033382B">
      <w:pPr>
        <w:pStyle w:val="TextoNormal"/>
      </w:pPr>
    </w:p>
    <w:p w:rsidR="0033382B" w:rsidRDefault="0033382B" w:rsidP="0033382B">
      <w:pPr>
        <w:pStyle w:val="TextoNormal"/>
      </w:pPr>
      <w:r>
        <w:t>Por lo expuesto, la Fiscal General solicita que se dicte Auto inadmitiendo la presente cuestión de inconstitucionalidad.</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Sala de lo Social del Tribunal Superior de Justicia de la Región de Murcia en relación con el art. 2.2 de la Ley de la Región de Murcia 4/2013, de 12 de junio, de medidas urgentes en materia de gastos de personal y organización administrativa. El art. 2.2 de esta Ley establece:</w:t>
      </w:r>
    </w:p>
    <w:p w:rsidR="0033382B" w:rsidRDefault="0033382B" w:rsidP="0033382B">
      <w:pPr>
        <w:pStyle w:val="TextoNormal"/>
      </w:pPr>
    </w:p>
    <w:p w:rsidR="0033382B" w:rsidRDefault="0033382B" w:rsidP="0033382B">
      <w:pPr>
        <w:pStyle w:val="TextoNormal"/>
      </w:pPr>
      <w:r>
        <w:t>“El personal laboral percibirá, en el mes de diciembre de 2013, las retribuciones ordinarias correspondientes y los conceptos retributivos incluidos en el artículo 36.1 del Convenio Colectivo de Trabajo para la Comunidad Autónoma de la Región de Murcia, salario base, complemento de antigüedad y, en igualdad de nivel, las cuantías que en concepto de complemento de destino percibe el personal funcionario, referidos a las pagas extraordinarias.</w:t>
      </w:r>
    </w:p>
    <w:p w:rsidR="0033382B" w:rsidRDefault="0033382B" w:rsidP="0033382B">
      <w:pPr>
        <w:pStyle w:val="TextoNormal"/>
      </w:pPr>
    </w:p>
    <w:p w:rsidR="0033382B" w:rsidRDefault="0033382B" w:rsidP="0033382B">
      <w:pPr>
        <w:pStyle w:val="TextoNormal"/>
      </w:pPr>
      <w:r>
        <w:t>No se percibirán en dicho mes y para el referido personal las cuantías correspondientes de los conceptos de paga adicional de complemento específico, ni productividad semestral, factores de complemento de destino y de complemento específico, que se perciben proporcionalmente al tiempo de servicios prestados en el semestre anterior a su devengo, en los mismos términos establecidos para las pagas extraordinarias en el ámbito de la Administración regional.”</w:t>
      </w:r>
    </w:p>
    <w:p w:rsidR="0033382B" w:rsidRDefault="0033382B" w:rsidP="0033382B">
      <w:pPr>
        <w:pStyle w:val="TextoNormal"/>
      </w:pPr>
    </w:p>
    <w:p w:rsidR="0033382B" w:rsidRDefault="0033382B" w:rsidP="0033382B">
      <w:pPr>
        <w:pStyle w:val="TextoNormal"/>
      </w:pPr>
      <w:r>
        <w:t>Como se ha indicado en los antecedentes el órgano judicial considera que el referido precepto puede vulnerar el orden constitucional de competencias, pues entiende que la norma cuestionada, al establecer una reducción salarial del personal laboral, está regulando una materia laboral lo que vulnera el art. 149.1.7 CE, que atribuye al Estado competencias exclusivas sobre legislación laboral. También sostiene que dicho precepto vulnera el art. 14 CE, al introducir una diferencia irrazonable y sin justificación con el resto de los trabajadores de las demás Comunidades Autónomas, y el art. 9.3 CE, al considerar devengada la paga extraordinaria del 1 al 14 de junio de 2013.</w:t>
      </w:r>
    </w:p>
    <w:p w:rsidR="0033382B" w:rsidRDefault="0033382B" w:rsidP="0033382B">
      <w:pPr>
        <w:pStyle w:val="TextoNormal"/>
      </w:pPr>
    </w:p>
    <w:p w:rsidR="0033382B" w:rsidRDefault="0033382B" w:rsidP="0033382B">
      <w:pPr>
        <w:pStyle w:val="TextoNormal"/>
      </w:pPr>
      <w:r>
        <w:t>La Fiscal General del Estado ha interesado la inadmisión de la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2</w:t>
      </w:r>
      <w:r>
        <w:t>. El art. 37.1 de la Ley Orgánica del Tribunal Constitucional (LOTC) establece que este Tribunal puede rechazar las cuestiones de inconstitucionalidad en trámite de admisión, mediante Auto y sin otra audiencia que la del Fiscal General del Estado, cuando faltaren las condiciones procesales o fuera notoriamente infundada la cuestión suscitada.</w:t>
      </w:r>
    </w:p>
    <w:p w:rsidR="0033382B" w:rsidRDefault="0033382B" w:rsidP="0033382B">
      <w:pPr>
        <w:pStyle w:val="TextoNormal"/>
      </w:pPr>
    </w:p>
    <w:p w:rsidR="0033382B" w:rsidRDefault="0033382B" w:rsidP="0033382B">
      <w:pPr>
        <w:pStyle w:val="TextoNormal"/>
      </w:pPr>
      <w:r>
        <w:t>Es doctrina reiterada de este Tribunal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 (STC 201/2015, de 24 de septiembre, FJ 2).</w:t>
      </w:r>
    </w:p>
    <w:p w:rsidR="0033382B" w:rsidRDefault="0033382B" w:rsidP="0033382B">
      <w:pPr>
        <w:pStyle w:val="TextoNormal"/>
      </w:pPr>
    </w:p>
    <w:p w:rsidR="0033382B" w:rsidRDefault="0033382B" w:rsidP="0033382B">
      <w:pPr>
        <w:pStyle w:val="TextoNormal"/>
      </w:pPr>
      <w:r>
        <w:t>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33382B" w:rsidRDefault="0033382B" w:rsidP="0033382B">
      <w:pPr>
        <w:pStyle w:val="TextoNormal"/>
      </w:pPr>
    </w:p>
    <w:p w:rsidR="0033382B" w:rsidRDefault="0033382B" w:rsidP="0033382B">
      <w:pPr>
        <w:pStyle w:val="TextoNormal"/>
      </w:pPr>
      <w:r w:rsidRPr="0033382B">
        <w:rPr>
          <w:rStyle w:val="NumeroAFNegritaCaracter"/>
        </w:rPr>
        <w:t>3</w:t>
      </w:r>
      <w:r>
        <w:t>. Como ha puesto de manifiesto la Fiscal General del Estado, la Sala de lo Social del Tribunal Superior de Justicia de Murcia no se ha pronunciado sobre la prescripción de la acción planteada por el Letrado de la Comunidad Autónoma de la Región de Murcia en su escrito de oposición a la demanda de conflicto colectivo. El Letrado de la Comunidad Autónoma de la Región de Murcia alegó en dicho escrito prescripción de la acción porque a su juicio ha transcurrido el plazo de un año para reclamar la paga extraordinaria de 2013 (la demanda se plantea el 30 de diciembre de 2014 y la paga extraordinaria de diciembre de 2013 se devengó el 1 de diciembre de 2013 y se abonó el 23 de diciembre de 2013). De este modo, señala la Fiscal General del Estado, la Sala de lo Social del Tribunal Superior de Justicia de Murcia no ha exteriorizado de modo suficiente el juicio de relevancia pues la decisión acerca de la prescripción de la acción ejercitada era prioritaria al cuestionamiento de la constitucionalidad de la norma.</w:t>
      </w:r>
    </w:p>
    <w:p w:rsidR="0033382B" w:rsidRDefault="0033382B" w:rsidP="0033382B">
      <w:pPr>
        <w:pStyle w:val="TextoNormal"/>
      </w:pPr>
    </w:p>
    <w:p w:rsidR="0033382B" w:rsidRDefault="0033382B" w:rsidP="0033382B">
      <w:pPr>
        <w:pStyle w:val="TextoNormal"/>
      </w:pPr>
      <w:r>
        <w:t>En efecto, conforme ha señalado la STC 84/2012, de 18 de abril, FJ 3, “el control del juicio de relevancia que corresponde efectuar a este Tribunal debe centrarse en el análisis de la argumentación contenida en el Auto de planteamiento de la cuestión para justificar que la decisión del proceso depende de la validez de la norma cuestionada, sin que dicho análisis pueda extenderse al examen del proceso mismo en que la cuestión se plantea ni de los presupuestos procesales que le sirven de base, pues, por esa vía indirecta, estaría resolviendo el Tribunal un problema de legalidad ordinaria —en este caso, la admisión o inadmisión a trámite del recurso de suplicación en cuyo seno se plantea la cuestión— para lo que, obviamente, carece de jurisdicción y de competencia [SSTC 196/1987, de 11 de diciembre, FJ 2; 186/1990, de 15 de noviembre, FJ 2, y 110/1993, de 25 de marzo, FJ 2 a)].</w:t>
      </w:r>
    </w:p>
    <w:p w:rsidR="0033382B" w:rsidRDefault="0033382B" w:rsidP="0033382B">
      <w:pPr>
        <w:pStyle w:val="TextoNormal"/>
      </w:pPr>
    </w:p>
    <w:p w:rsidR="0033382B" w:rsidRDefault="0033382B" w:rsidP="0033382B">
      <w:pPr>
        <w:pStyle w:val="TextoNormal"/>
      </w:pPr>
      <w:r>
        <w:t>Ahora bien,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a quo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w:t>
      </w:r>
    </w:p>
    <w:p w:rsidR="0033382B" w:rsidRDefault="0033382B" w:rsidP="0033382B">
      <w:pPr>
        <w:pStyle w:val="TextoNormal"/>
      </w:pPr>
    </w:p>
    <w:p w:rsidR="0033382B" w:rsidRDefault="0033382B" w:rsidP="0033382B">
      <w:pPr>
        <w:pStyle w:val="TextoNormal"/>
      </w:pPr>
      <w:r>
        <w:t>En el Auto por el que se acuerda oír a las partes y al Ministerio Fiscal la Sala se limitó a señalar que, “el hecho de que se haya opuesto prescripción no impediría el planteamiento de la cuestión de inconstitucionalidad, pues, de un lado, para apreciar o no prescripción, en puridad, habría que establecer previamente si el derecho existió y sigue existiendo o no; de otro lado, se trataría de una cuestión no necesariamente pacífica y susceptible de ser revisada en vía de recurso; y, finalmente, se ofrece como la solución más razonable por metodología y funcionalidad, a la luz del art. 24 CE”. Y en el Auto de planteamiento de la cuestión de inconstitucionalidad reproduce de nuevo el mismo razonamiento.</w:t>
      </w:r>
    </w:p>
    <w:p w:rsidR="0033382B" w:rsidRDefault="0033382B" w:rsidP="0033382B">
      <w:pPr>
        <w:pStyle w:val="TextoNormal"/>
      </w:pPr>
    </w:p>
    <w:p w:rsidR="0033382B" w:rsidRDefault="0033382B" w:rsidP="0033382B">
      <w:pPr>
        <w:pStyle w:val="TextoNormal"/>
      </w:pPr>
      <w:r>
        <w:t>Pues bien, estas afirmaciones no pueden considerarse suficientes para justificar la relevancia de la cuestión, teniendo en cuenta las alegaciones formuladas en el proceso. Como señala la citada STC 84/2012, de 18 de abril, FJ 3, “puede pensarse, sin duda, que al plantear la cuestión la Sala está de hecho rechazando, implícitamente, las objeciones procesales de la parte recurrida; pero no es a través de justificaciones implícitas como este Tribunal puede controlar la razonabilidad, suficiencia y coherencia del juicio de relevancia, en orden a garantizar que la cuestión de inconstitucionalidad no se utilice para obtener pronunciamientos innecesarios o indiferentes para el proceso a quo, con la consiguiente perturbación inútil del litigio y, desde la perspectiva del proceso constitucional, con un uso del mismo no acomodado a su naturaleza (SSTC 17/1981, de 1 de junio, FJ 1; 141/2008, de 30 de octubre, FJ 6, y 115/2009, de 30 de mayo, FJ 2)”.</w:t>
      </w:r>
    </w:p>
    <w:p w:rsidR="0033382B" w:rsidRDefault="0033382B" w:rsidP="0033382B">
      <w:pPr>
        <w:pStyle w:val="TextoNormal"/>
      </w:pPr>
    </w:p>
    <w:p w:rsidR="0033382B" w:rsidRDefault="0033382B" w:rsidP="0033382B">
      <w:pPr>
        <w:pStyle w:val="TextoNormal"/>
      </w:pPr>
      <w:r>
        <w:t>Así pues, alegada prescripción de la acción en el proceso de conflicto colectivo origen de la presente cuestión de inconstitucionalidad, la inexistencia de un razonamiento de la Sala que permitiera entender que no existe tal prescripción nos conduce a concluir que no se ha satisfecho el juicio de relevancia exigido por el art. 35 LOTC, lo que hace procedente el pronunciamiento de inadmisión de la cuestión planteada.</w:t>
      </w:r>
    </w:p>
    <w:p w:rsidR="0033382B" w:rsidRDefault="0033382B" w:rsidP="0033382B">
      <w:pPr>
        <w:pStyle w:val="TextoNormal"/>
      </w:pPr>
    </w:p>
    <w:p w:rsidR="0033382B" w:rsidRDefault="0033382B" w:rsidP="0033382B">
      <w:pPr>
        <w:pStyle w:val="TextoNormal"/>
      </w:pPr>
      <w:r w:rsidRPr="0033382B">
        <w:rPr>
          <w:rStyle w:val="NumeroAFNegritaCaracter"/>
        </w:rPr>
        <w:t>4</w:t>
      </w:r>
      <w:r>
        <w:t>.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w:t>
      </w:r>
    </w:p>
    <w:p w:rsidR="0033382B" w:rsidRDefault="0033382B" w:rsidP="0033382B">
      <w:pPr>
        <w:pStyle w:val="TextoNormal"/>
      </w:pPr>
    </w:p>
    <w:p w:rsidR="0033382B" w:rsidRDefault="0033382B" w:rsidP="0033382B">
      <w:pPr>
        <w:pStyle w:val="TextoNormal"/>
      </w:pPr>
      <w:r>
        <w:t>Efectivamente, la cuestión planteada ha de considerarse notoriamente infundada en el significado que a esta noción le viene dando la doctrina de este Tribunal (por todos, AATC 71/2008, de 26 de febrero, FJ 2, y 32/2009, de 27 de enero, FJ 3),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prosperabilidad de las mismas (ATC 43/2014, de 12 de febrero, FJ 3).</w:t>
      </w:r>
    </w:p>
    <w:p w:rsidR="0033382B" w:rsidRDefault="0033382B" w:rsidP="0033382B">
      <w:pPr>
        <w:pStyle w:val="TextoNormal"/>
      </w:pPr>
    </w:p>
    <w:p w:rsidR="0033382B" w:rsidRDefault="0033382B" w:rsidP="0033382B">
      <w:pPr>
        <w:pStyle w:val="TextoNormal"/>
      </w:pPr>
      <w:r>
        <w:t>Así, por lo que se refiere, en primer lugar, a la vulneración del art. 149.1.7 CE por la Comunidad Autónoma de la Región de Murcia al suprimir determinados complementos salariales de carácter semestral en diciembre de 2013, hay que tener en cuenta, como recuerda la Fiscal General del Estado en su informe, que en el ATC 83/2016, de 26 de abril, este Tribunal ha examinado una cuestión planteada por el mismo órgano judicial, sobre la misma norma y con idéntica duda de constitucionalidad. La cuestión ha sido rechazada por notoriamente infundada. Afirma el citado Auto que el art. 2.2 de la Ley de la Región de Murcia 4/2013 “no regula con carácter general un aspecto de la relación laboral (en este sentido, ATC 228/2015, de 15 de diciembre, FJ 4), pues no establece una regulación general de las retribuciones de los trabajadores del sector público murciano o de algunos de sus conceptos retributivos, sino que lo que ... se prevé es una reducción de las retribuciones del mes de diciembre de 2013 de este personal laboral de esta Comunidad Autónoma con el fin de contener el gasto público en materia de personal. Por ello ha de considerarse que como la medida prevista ... no tiene como objeto regular aspectos de la relación laboral, sino establecer una medida de contención del gasto público en materia de personal, no puede apreciarse que los preceptos cuestionados vulneren las competencias del Estado en materia de legislación laboral”.</w:t>
      </w:r>
    </w:p>
    <w:p w:rsidR="0033382B" w:rsidRDefault="0033382B" w:rsidP="0033382B">
      <w:pPr>
        <w:pStyle w:val="TextoNormal"/>
      </w:pPr>
    </w:p>
    <w:p w:rsidR="0033382B" w:rsidRDefault="0033382B" w:rsidP="0033382B">
      <w:pPr>
        <w:pStyle w:val="TextoNormal"/>
      </w:pPr>
      <w:r w:rsidRPr="0033382B">
        <w:rPr>
          <w:rStyle w:val="NumeroAFNegritaCaracter"/>
        </w:rPr>
        <w:t>5</w:t>
      </w:r>
      <w:r>
        <w:t>. Por lo que se refiere, en segundo lugar, a la vulneración del art. 14 CE, señala el Auto que dicho precepto se está vulnerando “al introducir una diferencia irrazonable y sin justificación con el resto de los trabajadores de las demás Comunidades Autónomas, que conservarían tal derecho”.</w:t>
      </w:r>
    </w:p>
    <w:p w:rsidR="0033382B" w:rsidRDefault="0033382B" w:rsidP="0033382B">
      <w:pPr>
        <w:pStyle w:val="TextoNormal"/>
      </w:pPr>
    </w:p>
    <w:p w:rsidR="0033382B" w:rsidRDefault="0033382B" w:rsidP="0033382B">
      <w:pPr>
        <w:pStyle w:val="TextoNormal"/>
      </w:pPr>
      <w:r>
        <w:t>Esta vulneración debe ser rechazada al no existir un término de comparación válido. Para apreciar una vulneración del derecho a la igualdad ante la ley debe partirse de la homogeneidad o identidad del término de comparación utilizado, identidad que no concurre en este caso.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0033382B" w:rsidRDefault="0033382B" w:rsidP="0033382B">
      <w:pPr>
        <w:pStyle w:val="TextoNormal"/>
      </w:pPr>
    </w:p>
    <w:p w:rsidR="0033382B" w:rsidRDefault="0033382B" w:rsidP="0033382B">
      <w:pPr>
        <w:pStyle w:val="TextoNormal"/>
      </w:pPr>
      <w:r>
        <w:t>Pues bien, en este caso, se compara a los trabajadores que prestan sus servicios para la Comunidad Autónoma de la Región de Murcia con los trabajadores que prestan servicios en el resto de Comunidades Autónomas sin acreditar que todos los trabajadores que se pretenden comparar se encuentran en la misma situación, esto es, se rigen por el mismo convenio colectivo y perciben los mismos complementos salariales. El órgano judicial no apoya su alegación en documento alguno que la sostenga, ni indica supuestos concretos de los que se deriven la diferencia de trato alegada, por lo que no cabe hablar de situaciones subjetivas homogéneas o equiparables.</w:t>
      </w:r>
    </w:p>
    <w:p w:rsidR="0033382B" w:rsidRDefault="0033382B" w:rsidP="0033382B">
      <w:pPr>
        <w:pStyle w:val="TextoNormal"/>
      </w:pPr>
    </w:p>
    <w:p w:rsidR="0033382B" w:rsidRDefault="0033382B" w:rsidP="0033382B">
      <w:pPr>
        <w:pStyle w:val="TextoNormal"/>
      </w:pPr>
      <w:r w:rsidRPr="0033382B">
        <w:rPr>
          <w:rStyle w:val="NumeroAFNegritaCaracter"/>
        </w:rPr>
        <w:t>6</w:t>
      </w:r>
      <w:r>
        <w:t>. Por último, la alegada vulneración del art. 9.3 CE por tratarse de una norma retroactiva restrictiva de derechos individuales debe ser también rechazada.</w:t>
      </w:r>
    </w:p>
    <w:p w:rsidR="0033382B" w:rsidRDefault="0033382B" w:rsidP="0033382B">
      <w:pPr>
        <w:pStyle w:val="TextoNormal"/>
      </w:pPr>
    </w:p>
    <w:p w:rsidR="0033382B" w:rsidRDefault="0033382B" w:rsidP="0033382B">
      <w:pPr>
        <w:pStyle w:val="TextoNormal"/>
      </w:pPr>
      <w:r>
        <w:t>El órgano judicial reproduce la doctrina del Tribunal Supremo acerca del devengo de las pagas extraordinarias día a día, y partiendo de esa doctrina considera que en este caso ya se habría devengado la parte proporcional —del 1 al 14 de junio, fecha de entrada en vigor de la norma— de los conceptos retributivos que son suprimidos por la norma autonómica. De este modo, la Sala de lo Social del Tribunal Superior de Justicia de Murcia aplica la doctrina del Tribunal Supremo sobre el devengo diario de las pagas extraordinarias a la supresión, por la Ley de la Asamblea Regional de Murcia 4/2013, de determinados complementos salariales de devengo semestral que no forman parte de las pagas extraordinarias.</w:t>
      </w:r>
    </w:p>
    <w:p w:rsidR="0033382B" w:rsidRDefault="0033382B" w:rsidP="0033382B">
      <w:pPr>
        <w:pStyle w:val="TextoNormal"/>
      </w:pPr>
    </w:p>
    <w:p w:rsidR="0033382B" w:rsidRDefault="0033382B" w:rsidP="0033382B">
      <w:pPr>
        <w:pStyle w:val="TextoNormal"/>
      </w:pPr>
      <w:r>
        <w:t>En efecto, el convenio colectivo de trabajo para el personal laboral al servicio de la Administración pública de la Región de Murcia (“BORM” núm. 125, de 1 de junio de 2007), en su art. 33 señala que las retribuciones básicas de los trabajadores incluidos en el ámbito de aplicación de este convenio son el salario base, el complemento de antigüedad y las pagas extraordinarias; y las retribuciones complementarias son el plus de destino, el complemento específico, la productividad (fija y semestral) y las gratificaciones por servicios extraordinarios (complemento de festividad, complemento de nocturnidad, complemento de turnicidad, complemento de atención continuada y horas extraordinarias). Por su parte, el art. 36.1 del convenio colectivo, relativo específicamente a las pagas extraordinarias, señala que “los trabajadores comprendidos en el ámbito de aplicación de este Convenio percibirán el importe de dos pagas extraordinarias equivalentes, cada una de ellas, a una mensualidad de salario base, complemento de antigüedad y la parte de retribuciones complementarias a incorporar a cada paga extraordinaria que permita incluir con carácter básico la Administración del Estado y las Leyes de Presupuestos Generales del Estado y de la Comunidad Autónoma de la Región de Murcia”.</w:t>
      </w:r>
    </w:p>
    <w:p w:rsidR="0033382B" w:rsidRDefault="0033382B" w:rsidP="0033382B">
      <w:pPr>
        <w:pStyle w:val="TextoNormal"/>
      </w:pPr>
    </w:p>
    <w:p w:rsidR="0033382B" w:rsidRDefault="0033382B" w:rsidP="0033382B">
      <w:pPr>
        <w:pStyle w:val="TextoNormal"/>
      </w:pPr>
      <w:r>
        <w:t>Así, la resolución de 29 de enero de 2013, del Secretario General de la Consejería de Economía y Hacienda, por la que se dispone la publicación en el “Boletín Oficial de la Región de Murcia” del acuerdo del Consejo de Gobierno de fecha 25 de enero de 2013, sobre retribuciones del personal al servicio de la Administración general de la Comunidad Autónoma de la Región de Murcia, sus organismos autónomos y altos cargos de esta Administración regional, para el año 2013, en el artículo 18 señala que “en aplicación de lo establecido en el artículo 36.1 del vigente Convenio Colectivo, en las pagas extraordinarias el personal laboral percibirá, a igualdad de nivel, las cuantías que en concepto de complemento de destino se incluyen para el personal funcionario en el Anexo II”. De este modo, las pagas extraordinarias estarán integradas en el año 2013 por las cuantías de sueldo y trienios más la cuantía mensual del complemento de destino.</w:t>
      </w:r>
    </w:p>
    <w:p w:rsidR="0033382B" w:rsidRDefault="0033382B" w:rsidP="0033382B">
      <w:pPr>
        <w:pStyle w:val="TextoNormal"/>
      </w:pPr>
    </w:p>
    <w:p w:rsidR="0033382B" w:rsidRDefault="0033382B" w:rsidP="0033382B">
      <w:pPr>
        <w:pStyle w:val="TextoNormal"/>
      </w:pPr>
      <w:r>
        <w:t>En consecuencia, el art. 2.2 de la Ley 4/2013 de la Comunidad Autónoma de la Región de Murcia, en este proceso cuestionado, no suprime la paga extraordinaria de 2013 para el personal al servicio de la Administración general de la Comunidad Autónoma de la Región de Murcia, ni tampoco reduce su cuantía al eliminar determinados conceptos que forman parte de dicha paga como parece entender la Sala de lo Social cuestionante siguiendo en este punto lo afirmado por el sindicato demandante. Lo que hace el artículo 2.2 es suprimir en la nómina del mes de diciembre de 2013 determinadas retribuciones complementarias de vencimiento superior al mes. En concreto, no se percibirán en dicho mes por el personal laboral las cuantías correspondientes de los siguientes conceptos: paga adicional de complemento específico, productividad semestral, factores de complemento de destino y de complemento específico, que se perciben proporcionalmente al tiempo de servicios prestados en el semestre anterior a su devengo. Estos conceptos salariales no forman parte de la paga extraordinaria independientemente de que los mismos se perciban, como señala el propio artículo 2.2 cuestionado, “en los mismos términos establecidos para las pagas extraordinarias en el ámbito de la Administración regional”.</w:t>
      </w:r>
    </w:p>
    <w:p w:rsidR="0033382B" w:rsidRDefault="0033382B" w:rsidP="0033382B">
      <w:pPr>
        <w:pStyle w:val="TextoNormal"/>
      </w:pPr>
    </w:p>
    <w:p w:rsidR="0033382B" w:rsidRDefault="0033382B" w:rsidP="0033382B">
      <w:pPr>
        <w:pStyle w:val="TextoNormal"/>
      </w:pPr>
      <w:r>
        <w:t>Por tanto, al no formar parte los complementos salariales suprimidos de la paga extraordinaria no se puede fundamentar la vulneración del art. 9.3 CE en una interpretación jurisprudencial del devengo de las pagas extraordinarias que no es aplicable al caso.</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veintiuno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59" w:name="AUTO_2016_132"/>
      <w:r>
        <w:t>AUTO 132/2016, de 21 de junio de 2016</w:t>
      </w:r>
    </w:p>
    <w:bookmarkEnd w:id="259"/>
    <w:p w:rsidR="0033382B" w:rsidRDefault="0033382B" w:rsidP="0033382B">
      <w:pPr>
        <w:pStyle w:val="TtuloResolucin"/>
      </w:pPr>
      <w:r>
        <w:t>Pleno</w:t>
      </w:r>
    </w:p>
    <w:p w:rsidR="0033382B" w:rsidRDefault="0033382B" w:rsidP="0033382B">
      <w:pPr>
        <w:pStyle w:val="TextoNormalCentrado"/>
      </w:pPr>
      <w:r>
        <w:t>ECLI:ES:TC:2016:132A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1059-2016, planteada por el Juzgado de lo Contencioso-Administrativo núm. 2 de Lugo en relación con el apartado segundo de la disposición adicional vigesimoprimera de la Ley 11/2013, de 26 de diciembre, de presupuestos generales de la Comunidad Autónoma de Galicia para el año 2014.</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Por escrito registrado en este Tribunal el 2 de marzo de 2016, el Juzgado de lo Contencioso-Administrativo núm. 2 de Lugo remitió testimonio del Auto de 11 de noviembre de 2015 por el que se acordó plantear cuestión de inconstitucionalidad en relación con el apartado 2 de la disposición adicional vigesimoprimera de la Ley 11/2013, de 26 de diciembre, de presupuestos generales de la Comunidad Autónoma de Galicia para 2014. Se considera que el citado apartado puede ser contrario a los arts. 9.3, 106.1, 134, 140 y 149.1.18 CE.</w:t>
      </w:r>
    </w:p>
    <w:p w:rsidR="0033382B" w:rsidRDefault="0033382B" w:rsidP="0033382B">
      <w:pPr>
        <w:pStyle w:val="TextoNormal"/>
      </w:pPr>
    </w:p>
    <w:p w:rsidR="0033382B" w:rsidRDefault="0033382B" w:rsidP="0033382B">
      <w:pPr>
        <w:pStyle w:val="TextoNormal"/>
      </w:pPr>
      <w:r w:rsidRPr="0033382B">
        <w:rPr>
          <w:rStyle w:val="NumeroAFNegritaCaracter"/>
        </w:rPr>
        <w:t>2</w:t>
      </w:r>
      <w:r>
        <w:t>. Los hechos que pueden ser relevantes en este proceso constitucional son los siguientes:</w:t>
      </w:r>
    </w:p>
    <w:p w:rsidR="0033382B" w:rsidRDefault="0033382B" w:rsidP="0033382B">
      <w:pPr>
        <w:pStyle w:val="TextoNormal"/>
      </w:pPr>
    </w:p>
    <w:p w:rsidR="0033382B" w:rsidRDefault="0033382B" w:rsidP="0033382B">
      <w:pPr>
        <w:pStyle w:val="TextoNormal"/>
      </w:pPr>
      <w:r>
        <w:t>a) La Sociedad Gallega del Medio Ambiente, S.A. (SOGAMA), y el Ayuntamiento de Castroverde (Lugo) suscribieron en noviembre de 2006 un contrato para el tratamiento de residuos urbanos procedentes de dicho municipio. El Ayuntamiento se adhirió voluntariamente al plan de SOGAMA para la gestión de residuos sólidos urbanos de los municipios de la Comunidad Autónoma de Galicia.</w:t>
      </w:r>
    </w:p>
    <w:p w:rsidR="0033382B" w:rsidRDefault="0033382B" w:rsidP="0033382B">
      <w:pPr>
        <w:pStyle w:val="TextoNormal"/>
      </w:pPr>
    </w:p>
    <w:p w:rsidR="0033382B" w:rsidRDefault="0033382B" w:rsidP="0033382B">
      <w:pPr>
        <w:pStyle w:val="TextoNormal"/>
      </w:pPr>
      <w:r>
        <w:t>b) Con fecha de 31 de diciembre de 2013 se publicó en el “Diario Oficial de Galicia” núm. 249 la Ley 11/2013, de 26 de diciembre, de presupuestos de la Comunidad Autónoma de Galicia para 2014, cuya disposición adicional vigesimoprimera fija un canon unitario de tratamiento por tonelada de residuos urbanos a 74,64 €/t, más IVA (apartado 2). La gestión, liquidación y cobro del canon unitario corresponde a SOGAMA (apartado 4). El canon es de aplicación a los negocios jurídicos ya suscritos por las entidades locales con SOGAMA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 (apartado 2).</w:t>
      </w:r>
    </w:p>
    <w:p w:rsidR="0033382B" w:rsidRDefault="0033382B" w:rsidP="0033382B">
      <w:pPr>
        <w:pStyle w:val="TextoNormal"/>
      </w:pPr>
    </w:p>
    <w:p w:rsidR="0033382B" w:rsidRDefault="0033382B" w:rsidP="0033382B">
      <w:pPr>
        <w:pStyle w:val="TextoNormal"/>
      </w:pPr>
      <w:r>
        <w:t>c) De acuerdo con lo previsto en la referida disposición adicional SOGAMA continuó prestando el servicio contratado por el Ayuntamiento de Castroverde y con fecha 16 de abril y 13 de mayo de 2014 le expidió las facturas correspondientes a los meses de marzo y abril de 2014, respectivamente.</w:t>
      </w:r>
    </w:p>
    <w:p w:rsidR="0033382B" w:rsidRDefault="0033382B" w:rsidP="0033382B">
      <w:pPr>
        <w:pStyle w:val="TextoNormal"/>
      </w:pPr>
    </w:p>
    <w:p w:rsidR="0033382B" w:rsidRDefault="0033382B" w:rsidP="0033382B">
      <w:pPr>
        <w:pStyle w:val="TextoNormal"/>
      </w:pPr>
      <w:r>
        <w:t>d) El 2 de febrero de 2015 la SOGAMA interpuso recurso contencioso-administrativo contra la desestimación presunta de dos recursos de reposición deducidos frente a dos acuerdos de la Junta de gobierno local del Ayuntamiento de Castroverde, adoptados en sesión de 14 de mayo de 2015, de no conformar sendas facturas remitidas por SOGAMA y de aprobar una liquidación diferente.</w:t>
      </w:r>
    </w:p>
    <w:p w:rsidR="0033382B" w:rsidRDefault="0033382B" w:rsidP="0033382B">
      <w:pPr>
        <w:pStyle w:val="TextoNormal"/>
      </w:pPr>
    </w:p>
    <w:p w:rsidR="0033382B" w:rsidRDefault="0033382B" w:rsidP="0033382B">
      <w:pPr>
        <w:pStyle w:val="TextoNormal"/>
      </w:pPr>
      <w:r>
        <w:t>A través de ese recurso se solicitaba, además de la anulación de los actos impugnados, el reconocimiento del derecho al cobro del importe por la prestación del servicio de gestión de los residuos sólidos urbanos del término municipal en los meses de marzo y abril de 2014, reclamando el pago del importe pendiente de abono, que ascendía a las cantidades de 4.065,82 € y 4.491,01 €, respectivamente.</w:t>
      </w:r>
    </w:p>
    <w:p w:rsidR="0033382B" w:rsidRDefault="0033382B" w:rsidP="0033382B">
      <w:pPr>
        <w:pStyle w:val="TextoNormal"/>
      </w:pPr>
    </w:p>
    <w:p w:rsidR="0033382B" w:rsidRDefault="0033382B" w:rsidP="0033382B">
      <w:pPr>
        <w:pStyle w:val="TextoNormal"/>
      </w:pPr>
      <w:r>
        <w:t>En el suplico de la demanda se solicitaba también que la sentencia declarase que “el precio del contrato suscrito entre SOGAMA y el Ayuntamiento de Castroverde con fecha 17 de noviembre de 2006, correspondiente a los meses de marzo y abril asciende a 5.983,74 y 5.417,23 €, respectivamente, de acuerdo con lo dispuesto en el apartado segundo de la Disposición adicional vigesimoprimera de la LGPCAG 2014”.</w:t>
      </w:r>
    </w:p>
    <w:p w:rsidR="0033382B" w:rsidRDefault="0033382B" w:rsidP="0033382B">
      <w:pPr>
        <w:pStyle w:val="TextoNormal"/>
      </w:pPr>
    </w:p>
    <w:p w:rsidR="0033382B" w:rsidRDefault="0033382B" w:rsidP="0033382B">
      <w:pPr>
        <w:pStyle w:val="TextoNormal"/>
      </w:pPr>
      <w:r>
        <w:t>e) Por providencia de 20 de octubre de 2015, el titular del Juzgado de lo Contencioso-Administrativo núm. 2 de Lugo dio traslado a las partes y al Ministerio Fiscal para que en el plazo común de diez días alegaran sobre la pertinencia de plantear cuestión de inconstitucionalidad o sobre el fondo de ésta. El órgano judicial señaló que la cuestión se suscitaba en torno a la adecuación constitucional de la disposición adicional vigesimoprimera de la Ley 11/2013 y que la dudas que se planteaban eran: i) posible invasión de competencias municipales por parte del legislador autonómico, en cuanto a la recogida, transporte y eliminación de los residuos urbanos, en la medida en que tales operaciones de gestión no han sido declaradas formal o legalmente competencia de titularidad autonómica; en definitiva, el menoscabo de la autonomía local garantizada en el art. 140 CE; ii) posible invasión de competencias estatales por parte del legislador autonómico, en cuanto a la eventual modificación de la naturaleza del contrato de litis y la de su precios, debido al carácter exclusivo de la competencia estatal para la determinación de las bases de la contratación administrativa prevista en el art. 149.1.18 CE; iii) eventual inobservancia de los mandatos establecidos en los arts. 9.3 y 106.1 CE, desde la perspectiva de las necesidades de seguridad jurídica, la interdicción de la arbitrariedad de la actuación de la Administración, su sometimiento a la propia Constitución y a las leyes y el control de su actuación por los órganos jurisdiccionales; iv) posible quebranto de lo dispuesto en el art. 134 CE en cuanto al contenido de la Ley presupuestaria y las excepciones jurisprudencialmente admitidas, en torno a la inclusión de otros contenidos accesorios y la prohibición de crear tributos.</w:t>
      </w:r>
    </w:p>
    <w:p w:rsidR="0033382B" w:rsidRDefault="0033382B" w:rsidP="0033382B">
      <w:pPr>
        <w:pStyle w:val="TextoNormal"/>
      </w:pPr>
    </w:p>
    <w:p w:rsidR="0033382B" w:rsidRDefault="0033382B" w:rsidP="0033382B">
      <w:pPr>
        <w:pStyle w:val="TextoNormal"/>
      </w:pPr>
      <w:r>
        <w:t>Mediante escrito de 3 de noviembre de 2015, el Fiscal no se opuso al planteamiento de la cuestión. En sendos escritos fechados a 5 de noviembre de 2015, la parte recurrida se mostró a favor del planteamiento de la cuestión de inconstitucionalidad y la parte recurrente se opuso al planteamiento.</w:t>
      </w:r>
    </w:p>
    <w:p w:rsidR="0033382B" w:rsidRDefault="0033382B" w:rsidP="0033382B">
      <w:pPr>
        <w:pStyle w:val="TextoNormal"/>
      </w:pPr>
    </w:p>
    <w:p w:rsidR="0033382B" w:rsidRDefault="0033382B" w:rsidP="0033382B">
      <w:pPr>
        <w:pStyle w:val="TextoNormal"/>
      </w:pPr>
      <w:r>
        <w:t>f) El Juzgado de lo Contencioso-Administrativo núm. 2 de Lugo, por Auto de 11 de noviembre de 2015, planteó cuestión de inconstitucionalidad en relación con el apartado segundo de la disposición adicional vigesimoprimera de la Ley 11/2013, de 26 de diciembre, de presupuestos generales de la Comunidad Autónoma de Galicia para 2014.</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tras resumir los antecedentes y las posturas de las partes, expone la concurrencia de los presupuestos jurídicos para el planteamiento de la cuestión, y arguye que dicho planteamiento resulta inevitable, pues la sentencia que se dicte, debido a la cuantía del procedimiento, devendrá firme.</w:t>
      </w:r>
    </w:p>
    <w:p w:rsidR="0033382B" w:rsidRDefault="0033382B" w:rsidP="0033382B">
      <w:pPr>
        <w:pStyle w:val="TextoNormal"/>
      </w:pPr>
    </w:p>
    <w:p w:rsidR="0033382B" w:rsidRDefault="0033382B" w:rsidP="0033382B">
      <w:pPr>
        <w:pStyle w:val="TextoNormal"/>
      </w:pPr>
      <w:r>
        <w:t>El Auto sostiene que el punto de partida para la apreciación de la posible inconstitucionalidad de la norma legal cuestionada es la celebración de un contrato administrativo entre las dos partes, recurrente y recurrida, cuyas estipulaciones expone; y, tras recordar la doctrina constitucional sobre la pervivencia del proceso, con independencia de la vigencia limitada de las leyes presupuestarias (STC 152/2014, de 25 de septiembre), analiza los posibles “puntos de inconstitucionalidad”.</w:t>
      </w:r>
    </w:p>
    <w:p w:rsidR="0033382B" w:rsidRDefault="0033382B" w:rsidP="0033382B">
      <w:pPr>
        <w:pStyle w:val="TextoNormal"/>
      </w:pPr>
    </w:p>
    <w:p w:rsidR="0033382B" w:rsidRDefault="0033382B" w:rsidP="0033382B">
      <w:pPr>
        <w:pStyle w:val="TextoNormal"/>
      </w:pPr>
      <w:r>
        <w:t>Según el órgano judicial, la duda que le afecta recae sobre si el legislador autonómico tiene la posibilidad de modificar un contrato administrativo en el que no es parte, en un elemento esencial del mismo, con el establecimiento de un canon unitario, en lugar del precio originariamente convenido entre las partes, bajo la justificación de la necesidad de garantizar la sostenibilidad financiera del sistema. Entiende que el legislador autonómico carece de competencias sobre la determinación de las bases de la contratación administrativa y sobre la recogida, el transporte y el tratamiento de los residuos domésticos, y que el instrumento elegido para la introducción de la novedad contractual ha sido una disposición adicional de una ley presupuestaria, sin la previa intervención de órganos consultivos, ni la audiencia de una de las partes contratantes, las entidades locales. Todo ello podría suponer, según el órgano judicial: a) el desplazamiento de la legislación contractual que rige el negocio jurídico concertado entre las partes, por la normativa de una Administración, la autonómica, que carece de competencias en una materia cuya legislación básica es competencia estatal; b) la sustitución de un precio privado de un contrato, tal como se prevé en el art. 29 b) de la Ley 10/2008, de 3 de noviembre, de residuos de Galicia; c) la creación de un sistema para la gestión institucional autonómica de los residuos domésticos urbanos, configurado como un mecanismo de gestión colectiva de esos residuos municipales.</w:t>
      </w:r>
    </w:p>
    <w:p w:rsidR="0033382B" w:rsidRDefault="0033382B" w:rsidP="0033382B">
      <w:pPr>
        <w:pStyle w:val="TextoNormal"/>
      </w:pPr>
    </w:p>
    <w:p w:rsidR="0033382B" w:rsidRDefault="0033382B" w:rsidP="0033382B">
      <w:pPr>
        <w:pStyle w:val="TextoNormal"/>
      </w:pPr>
      <w:r>
        <w:t>El órgano judicial considera que, para que no se suscitaran dudas sobre la adecuación constitucional de la norma, el legislador autonómico con carácter previo a la promulgación de la norma que se cuestiona, debió haber acudido a la posibilidad contemplada en el art. 7 g) de la Ley 10/2008 de residuos de Galicia: “declarar como servicio público, de titularidad autonómica o municipal, todas o algunas de las operaciones de gestión de determinados residuos”. Solo la asunción autonómica de la titularidad del servicio público de gestión de residuos sólidos urbanos hubiera constituido una habilitación bastante para que el legislador autonómico incidiese sobre aspectos esenciales de un contrato como el que subyace al litigio, alterando su precio en cuanto a su naturaleza y cuantía, por razones de sostenibilidad financiera del sistema. Como esto no se haya hecho, en virtud del art. 5 de la Ley 10/2008 es competencia municipal la prestación de los servicios derivados de la gestión de los residuos urbanos (en el mismo sentido, art. 12 de la Ley 22/2011, de 29 de julio, de residuos y suelos contaminados). Por tanto, la modificación normativa puede representar una injerencia inconstitucional en la autonomía local, en cuanto que los municipios son las entidades titulares de la competencia para la recogida, transporte y eliminación de los residuos urbanos, y en las competencia exclusivas del Estado para la determinación de las bases de la contratación administrativa, prevista en el art. 149.1.18 CE, debido a la modificación de la naturaleza del contrato de litis, y la de su precio, al margen de los procedimientos dispuestos en los arts. 87 y 89 del texto refundido de la Ley de contratos de las Administraciones públicas, aprobado por el Real Decreto Legislativo 2/2000.</w:t>
      </w:r>
    </w:p>
    <w:p w:rsidR="0033382B" w:rsidRDefault="0033382B" w:rsidP="0033382B">
      <w:pPr>
        <w:pStyle w:val="TextoNormal"/>
      </w:pPr>
    </w:p>
    <w:p w:rsidR="0033382B" w:rsidRDefault="0033382B" w:rsidP="0033382B">
      <w:pPr>
        <w:pStyle w:val="TextoNormal"/>
      </w:pPr>
      <w:r>
        <w:t>A continuación el Auto expone otros puntos de posible inconstitucionalidad (arts. 9.3, 106.1 y 134 CE). El órgano judicial manifiesta tener dudas también sobre el instrumento formal utilizado, una ley de presupuestos. Considera que la norma cuestionada no puede integrar el “contenido propio” de la Ley presupuestaria, puesto que no integra el presupuesto propiamente dicho, ni estima ingresos ni autoriza gastos. También tiene dudas en cuanto a la integración dentro del contenido no necesario o eventual de la Ley presupuestaria, en la medida en que el canon unitario supone el medio de financiación de un sistema que se dice “institucional”, que busca la cooperación entre las administraciones locales adheridas e incide notablemente en sus propias previsiones presupuestarias. Además, el contenido de la disposición cuestionada sobrepasa los aspectos meramente económicos e incorpora modificaciones en los contratos administrativos ya concertados con repercusiones competenciales y relativas a la propia naturaleza de los negocios jurídicos existentes entre SOGAMA y las entidades locales.</w:t>
      </w:r>
    </w:p>
    <w:p w:rsidR="0033382B" w:rsidRDefault="0033382B" w:rsidP="0033382B">
      <w:pPr>
        <w:pStyle w:val="TextoNormal"/>
      </w:pPr>
    </w:p>
    <w:p w:rsidR="0033382B" w:rsidRDefault="0033382B" w:rsidP="0033382B">
      <w:pPr>
        <w:pStyle w:val="TextoNormal"/>
      </w:pPr>
      <w:r>
        <w:t>La previsión legal cuestionada contrasta notablemente con el mecanismo de revisión de precios del canon unitario que se establece en el siguiente apartado, el tercero, de la misma disposición, y supone una novedad exorbitante en la ejecución del contrato, a la vez que una elevación y congelación del rango de un acto administrativo. El órgano judicial considera que la disposición adicional vigesimoprimera constituye una ley singular autoaplicativa, de las contempladas en la STC 203/2013, que no se ajusta al triple canon allí establecido (razonabilidad, proporcionalidad y adecuación) y que impide su control jurisdiccional ordinario. En particular señala que las razones de sostenibilidad financiera no son justificación de una situación excepcional que solo pueda remediarse mediante el ejercicio de la potestad legislativa, sobre todo porque para sucesivos ejercicios arbitra un mecanismo que se adecua a los instrumentos normales de que dispone la Administración. Por todo ello, el órgano judicial concluye que, desde esta perspectiva, el contenido del apartado 2 de la disposición adicional vigesimoprimera de la Ley 11/2013 pudiera suponer un triple quebranto constitucional: el de la prohibición de la arbitrariedad de los poderes públicos, en cuanto que su decisión no fuese debidamente motivada y proporcionada en sus formas; el del principio de seguridad jurídica al establecer, súbitamente, sin audiencia y contradicción de las partes, un nuevo marco jurídico en las relaciones contractuales ya concertadas por las entidades locales con SOGAMA; y, finalmente, el del principio de sometimiento de la Administración a la propia Constitución y a las leyes y del control de su actuación por los órganos jurisdiccionales, al utilizar para ello una norma de rango legal.</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15 de diciembre de 2015, la Sección Tercera del Tribunal Constitucional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fuese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el 27 de mayo de 2016. A juicio de la Fiscal General, la presente cuestión de constitucionalidad se ha formulado cumpliendo los requisitos procesales que establece el art. 35.2 LOTC. El órgano judicial otorgó trámite de audiencia a las partes y al Ministerio Fiscal sobre la pertinencia de plantear cuestión de inconstitucionalidad, identificando la norma legal sobre cuya constitucionalidad se duda y los preceptos constitucionales que la referida norma puede contravenir. También considera debidamente efectuados el juicio de aplicabilidad —el órgano judicial puso de manifiesto los motivos por los cuales considera aplicable el precepto cuestionado— como el de relevancia —se indica en qué medida de la conformidad con la Constitución de la norma cuestionada depende el fallo—.</w:t>
      </w:r>
    </w:p>
    <w:p w:rsidR="0033382B" w:rsidRDefault="0033382B" w:rsidP="0033382B">
      <w:pPr>
        <w:pStyle w:val="TextoNormal"/>
      </w:pPr>
    </w:p>
    <w:p w:rsidR="0033382B" w:rsidRDefault="0033382B" w:rsidP="0033382B">
      <w:pPr>
        <w:pStyle w:val="TextoNormal"/>
      </w:pPr>
      <w:r>
        <w:t>La Fiscal General señala que la presente cuestión debe resolverse de conformidad con lo resuelto por el Tribunal Constitucional en el ATC 84/2016, de 26 de abril, y posteriores Autos de 10 de mayo de 2016, en relación con las cuestiones de inconstitucionalidad núm. 5818-2015 y 4741-2015, que se pronuncian sobre las mismas dudas de constitucionalidad y por motivos idénticos al planteamiento que el órgano judicial hace de la cuestión, siendo la causa de pedir del proceso subyacente igualmente la misma, la reclamación de cantidad por la gestión de los residuos de SOGAMA a los ayuntamientos de la Comunidad Autónoma fundada en la aplicabilidad de la disposición adicional vigesimoprimera de la Ley 11/2013, de 23 de diciembre, por la que se aprueban los presupuestos generales de la Comunidad Autónoma de Galicia para el año 2014.</w:t>
      </w:r>
    </w:p>
    <w:p w:rsidR="0033382B" w:rsidRDefault="0033382B" w:rsidP="0033382B">
      <w:pPr>
        <w:pStyle w:val="TextoNormal"/>
      </w:pPr>
    </w:p>
    <w:p w:rsidR="0033382B" w:rsidRDefault="0033382B" w:rsidP="0033382B">
      <w:pPr>
        <w:pStyle w:val="TextoNormal"/>
      </w:pPr>
      <w:r>
        <w:t>En consecuencia, la Fiscal General rechaza las diversas dudas de inconstitucionalidad suscitadas por el órgano judicial reproduciendo los pasajes pertinentes del referido ATC 84/2016, y concluye solicitando la inadmisión de la cuestión por ser notoriamente infundada.</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el Juzgado de lo Contencioso-Administrativo núm. 2 de Lugo en relación con el apartado 2 de la disposición adicional vigesimoprimera de la Ley 11/2013, de 26 de diciembre, de presupuestos generales de la Comunidad Autónoma de Galicia para 2014.</w:t>
      </w:r>
    </w:p>
    <w:p w:rsidR="0033382B" w:rsidRDefault="0033382B" w:rsidP="0033382B">
      <w:pPr>
        <w:pStyle w:val="TextoNormal"/>
      </w:pPr>
    </w:p>
    <w:p w:rsidR="0033382B" w:rsidRDefault="0033382B" w:rsidP="0033382B">
      <w:pPr>
        <w:pStyle w:val="TextoNormal"/>
      </w:pPr>
      <w:r>
        <w:t>Dicha disposición adicional vigesimoprimera regula la garantía de sostenibilidad financiera del sistema promovido por la Administración autonómica para la gestión institucional de los residuos domésticos. Su apartado segundo dispone lo siguiente:</w:t>
      </w:r>
    </w:p>
    <w:p w:rsidR="0033382B" w:rsidRDefault="0033382B" w:rsidP="0033382B">
      <w:pPr>
        <w:pStyle w:val="TextoNormal"/>
      </w:pPr>
    </w:p>
    <w:p w:rsidR="0033382B" w:rsidRDefault="0033382B" w:rsidP="0033382B">
      <w:pPr>
        <w:pStyle w:val="TextoNormal"/>
      </w:pPr>
      <w:r>
        <w:t>“A los efectos indicados en el apartado anterior y para garantizar la sostenibilidad financiera del sistema se fija un canon unitario de tratamiento por tonelada, expresado en el artículo 29 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0033382B" w:rsidRDefault="0033382B" w:rsidP="0033382B">
      <w:pPr>
        <w:pStyle w:val="TextoNormal"/>
      </w:pPr>
    </w:p>
    <w:p w:rsidR="0033382B" w:rsidRDefault="0033382B" w:rsidP="0033382B">
      <w:pPr>
        <w:pStyle w:val="TextoNormal"/>
      </w:pPr>
      <w:r>
        <w:t>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0033382B" w:rsidRDefault="0033382B" w:rsidP="0033382B">
      <w:pPr>
        <w:pStyle w:val="TextoNormal"/>
      </w:pPr>
    </w:p>
    <w:p w:rsidR="0033382B" w:rsidRDefault="0033382B" w:rsidP="0033382B">
      <w:pPr>
        <w:pStyle w:val="TextoNormal"/>
      </w:pPr>
      <w:r>
        <w:t>Como se ha expuesto en los antecedentes, el Juzgado promotor de la cuestión considera que ese apartado 2 puede ser contrario a los arts. 9.3, 106.1, 134, 140 y 149.1.18 CE. Por el contrario, la Fiscal General del Estado ha interesado la inadmisión de la cuestión de inconstitucionalidad planteada al considerarla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2</w:t>
      </w:r>
      <w:r>
        <w:t>. Con carácter previo a abordar el fondo de la presente cuestión es preciso delimitar su objeto. Aunque el órgano judicial plantea esta cuestión de inconstitucionalidad respecto al apartado 2 de la disposición adicional vigesimoprimera de la Ley 11/2013, de 26 de diciembre, de presupuestos generales de la Comunidad Autónoma de Galicia para 2014, en su totalidad, la norma cuestionada solo es aplicable y relevante para el fallo en su párrafo segundo, que es el que afecta a los contratos ya celebrados y el que, por tanto, resulta determinante para resolver la controversia planteada en el proceso a quo, en el que lo que se plantea es, precisamente, si esta norma determina la modificación del precio establecido en el contrato celebrado entre la Sociedad gallega del medio ambiente, S.A. (SOGAMA), y el ayuntamiento demandado para el tratamiento de los residuos urbanos del municipio. Así, además, se pone de manifiesto por el órgano judicial cuando, en el Auto de planteamiento, justifica que la decisión del proceso depende de la validez de esta norma, ya que la pretensión planteada en el mismo es que el ayuntamiento demandado pague SOGAMA el precio por la prestación del servicio de gestión de los residuos urbanos de acuerdo con lo establecido en la norma cuestionada; pretensión a la que se opone el referido ayuntamiento al considerar que esta norma, al establecer una revisión del precio del contrato celebrado, es inconstitucional.</w:t>
      </w:r>
    </w:p>
    <w:p w:rsidR="0033382B" w:rsidRDefault="0033382B" w:rsidP="0033382B">
      <w:pPr>
        <w:pStyle w:val="TextoNormal"/>
      </w:pPr>
    </w:p>
    <w:p w:rsidR="0033382B" w:rsidRDefault="0033382B" w:rsidP="0033382B">
      <w:pPr>
        <w:pStyle w:val="TextoNormal"/>
      </w:pPr>
      <w:r>
        <w:t>En consecuencia, el objeto de la presente cuestión debe ceñirse únicamente al párrafo segundo de esta norma, pues el párrafo primero del apartado 2 de la disposición adicional, que es el que fija el canon unitario de tratamiento por tonelada y su forma de actualización en el futuro, al ser una regulación establecida para los nuevos contratos que vayan a suscribirse no es aplicable al caso, lo que conlleva, de acuerdo con lo previsto en el art. 35.1 de la Ley Orgánica del Tribunal Constitucional (LOTC), que no pueda ser enjuiciada en este proceso constitucional.</w:t>
      </w:r>
    </w:p>
    <w:p w:rsidR="0033382B" w:rsidRDefault="0033382B" w:rsidP="0033382B">
      <w:pPr>
        <w:pStyle w:val="TextoNormal"/>
      </w:pPr>
    </w:p>
    <w:p w:rsidR="0033382B" w:rsidRDefault="0033382B" w:rsidP="0033382B">
      <w:pPr>
        <w:pStyle w:val="TextoNormal"/>
      </w:pPr>
      <w:r w:rsidRPr="0033382B">
        <w:rPr>
          <w:rStyle w:val="NumeroAFNegritaCaracter"/>
        </w:rPr>
        <w:t>3</w:t>
      </w:r>
      <w:r>
        <w:t>. Como alega la Fiscal General del Estado, la presente cuestión debe resolverse de conformidad con lo resuelto por el Tribunal Constitucional en los AATC 84/2016, de 26 de abril, y en los Autos del Pleno de 10 de mayo de 2016 que resuelven, respectivamente, las cuestiones de inconstitucionalidad núms. 4741-2015 y 5818-2015, que se pronuncian sobre las mismas dudas de constitucionalidad y por motivos idénticos al planteamiento que el órgano judicial hace de la cuestión, siendo la causa de pedir del proceso subyacente igualmente la misma, la reclamación de cantidad por la gestión de los residuos de SOGAMA a los ayuntamientos de la Comunidad Autónoma fundada en la aplicabilidad de la disposición adicional vigésimo primera de la Ley 11/2013, de 23 de diciembre, por la que se aprueban los presupuestos generales de la Comunidad Autónoma de Galicia para el año 2014.</w:t>
      </w:r>
    </w:p>
    <w:p w:rsidR="0033382B" w:rsidRDefault="0033382B" w:rsidP="0033382B">
      <w:pPr>
        <w:pStyle w:val="TextoNormal"/>
      </w:pPr>
    </w:p>
    <w:p w:rsidR="0033382B" w:rsidRDefault="0033382B" w:rsidP="0033382B">
      <w:pPr>
        <w:pStyle w:val="TextoNormal"/>
      </w:pPr>
      <w:r w:rsidRPr="0033382B">
        <w:rPr>
          <w:rStyle w:val="NumeroAFNegritaCaracter"/>
        </w:rPr>
        <w:t>4</w:t>
      </w:r>
      <w:r>
        <w:t>. El art. 37.1 LOTC establece que este Tribunal puede rechazar las cuestiones de inconstitucionalidad en trámite de admisión, mediante Auto y sin otra audiencia que la del Fiscal General del Estado, cuando faltaren las condiciones procesales o fuere notoriamente infundada la cuestión suscitada.</w:t>
      </w:r>
    </w:p>
    <w:p w:rsidR="0033382B" w:rsidRDefault="0033382B" w:rsidP="0033382B">
      <w:pPr>
        <w:pStyle w:val="TextoNormal"/>
      </w:pPr>
    </w:p>
    <w:p w:rsidR="0033382B" w:rsidRDefault="0033382B" w:rsidP="0033382B">
      <w:pPr>
        <w:pStyle w:val="TextoNormal"/>
      </w:pPr>
      <w:r>
        <w:t>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(entre otros muchos, AATC 37/2015, de 17 de febrero, FJ 2, y 112/2015, de 23 de junio, FJ 2).</w:t>
      </w:r>
    </w:p>
    <w:p w:rsidR="0033382B" w:rsidRDefault="0033382B" w:rsidP="0033382B">
      <w:pPr>
        <w:pStyle w:val="TextoNormal"/>
      </w:pPr>
    </w:p>
    <w:p w:rsidR="0033382B" w:rsidRDefault="0033382B" w:rsidP="0033382B">
      <w:pPr>
        <w:pStyle w:val="TextoNormal"/>
      </w:pPr>
      <w:r>
        <w:t>En el presente caso, por las razones que se van a exponer a continuación —que coinciden con las que ya apreciamos para inadmitir recientemente otras cuestiones de inconstitucionalidad promovidas sobre el mismo precepto de la Ley gallega 11/2013—, puede apreciarse ya en este trámite liminar que la cuestión planteada es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El primero de los motivos en los que el órgano judicial fundamenta la inconstitucionalidad de la norma cuestionada es que, a su juicio, es una ley singular que no respeta los límites que la Constitución ha establecido en relación con este tipo de leyes.</w:t>
      </w:r>
    </w:p>
    <w:p w:rsidR="0033382B" w:rsidRDefault="0033382B" w:rsidP="0033382B">
      <w:pPr>
        <w:pStyle w:val="TextoNormal"/>
      </w:pPr>
    </w:p>
    <w:p w:rsidR="0033382B" w:rsidRDefault="0033382B" w:rsidP="0033382B">
      <w:pPr>
        <w:pStyle w:val="TextoNormal"/>
      </w:pPr>
      <w:r>
        <w:t>Dentro de la categoría de ley singular se encuentran incluidas diversos tipos de leyes. Entre ellas se encuentran “aquéllas dictadas en atención a un supuesto de hecho concreto y singular que agotan su contenido y eficacia en la adopción y ejecución de la medida tomada por el legislador ante ese supuesto de hecho, aislado en la Ley singular y no comunicable con ningún otro” (STC 166/1986, de 19 de diciembre, FJ 10; en el mismo sentido, SSTC 48/2003, de 12 de marzo, FJ 14; 136/2011, de 13 de septiembre, FJ 3; 121/2012, de 5 de junio, FJ 3; 51/2013, de 28 de febrero, FJ 8; 129/2013, de 4 de junio, FJ 4; 203/2013, de 5 de diciembre, FJ 3; 50/2015, de 5 de marzo, FJ 3, y 231/2015, de 5 de noviembre, FJ 3).</w:t>
      </w:r>
    </w:p>
    <w:p w:rsidR="0033382B" w:rsidRDefault="0033382B" w:rsidP="0033382B">
      <w:pPr>
        <w:pStyle w:val="TextoNormal"/>
      </w:pPr>
    </w:p>
    <w:p w:rsidR="0033382B" w:rsidRDefault="0033382B" w:rsidP="0033382B">
      <w:pPr>
        <w:pStyle w:val="TextoNormal"/>
      </w:pPr>
      <w:r>
        <w:t>El párrafo segundo del apartado 2 de la disposición adicional vigesimoprimera de la Ley 11/2013, de 26 de diciembre, de presupuestos generales de la Comunidad Autónoma de Galicia para 2014, establece, como se ha indicado, que el canon unitario de tratamiento de residuos previsto en su párrafo primero resulta de aplicación a los contratos ya suscritos entre SOGAMA y las entidades locales, salvo que en el plazo de dos meses desde la entrada en vigor de la norma las entidades locales desistan del negocio jurídico suscrito. Esta norma, por tanto, se ha dictado “en atención a un supuesto de hecho concreto y singular que agot[a] su contenido y eficacia en la adopción y ejecución de la medida tomada por el legislador ante ese supuesto de hecho” —modificar en el precio fijado en los referidos contratos—, por lo que dado su objeto puede afirmarse que, según la doctrina de este Tribunal más arriba expuesta, es una ley singular.</w:t>
      </w:r>
    </w:p>
    <w:p w:rsidR="0033382B" w:rsidRDefault="0033382B" w:rsidP="0033382B">
      <w:pPr>
        <w:pStyle w:val="TextoNormal"/>
      </w:pPr>
    </w:p>
    <w:p w:rsidR="0033382B" w:rsidRDefault="0033382B" w:rsidP="0033382B">
      <w:pPr>
        <w:pStyle w:val="TextoNormal"/>
      </w:pPr>
      <w:r>
        <w:t>En la STC 203/2013, de 5 de septiembre, FJ 4 (citando a su vez las SSTC 166/1986, de 19 de diciembre, FJ 11, y 129/2013, de 4 de junio, FJ 4), este Tribunal estableció que para que las leyes singulares sean conformes con la Constitución han de superar tres requisitos: en primer lugar, deben responder a una situación excepcional igualmente singular; en segundo lugar, deben circunscribirse a “aquellos casos excepcionales que, por su extraordinaria trascendencia y complejidad, no son remediables por los instrumentos normales de que dispone la Administración, constreñida a actuar con sujeción al principio de legalidad, ni por los instrumentos normativos ordinarios, haciéndose por ello necesario que el legislador intervenga singularmente, al objeto exclusivo de arbitrar solución adecuada, a una situación singular”; en tercer lugar, no pueden condicionar o impedir el ejercicio de derechos fundamentales que son materia reservada a leyes generales. Y concluimos, por ello, que “el canon de constitucionalidad que debe utilizar este Tribunal al ejercer su función de control de este tipo de leyes es el de la razonabilidad, proporcionalidad y adecuación”.</w:t>
      </w:r>
    </w:p>
    <w:p w:rsidR="0033382B" w:rsidRDefault="0033382B" w:rsidP="0033382B">
      <w:pPr>
        <w:pStyle w:val="TextoNormal"/>
      </w:pPr>
    </w:p>
    <w:p w:rsidR="0033382B" w:rsidRDefault="0033382B" w:rsidP="0033382B">
      <w:pPr>
        <w:pStyle w:val="TextoNormal"/>
      </w:pPr>
      <w:r>
        <w:t>La norma que ahora se enjuicia respeta las exigencias que impone la jurisprudencia constitucional que acaba de citarse:</w:t>
      </w:r>
    </w:p>
    <w:p w:rsidR="0033382B" w:rsidRDefault="0033382B" w:rsidP="0033382B">
      <w:pPr>
        <w:pStyle w:val="TextoNormal"/>
      </w:pPr>
    </w:p>
    <w:p w:rsidR="0033382B" w:rsidRDefault="0033382B" w:rsidP="0033382B">
      <w:pPr>
        <w:pStyle w:val="TextoNormal"/>
      </w:pPr>
      <w:r>
        <w:t>a) La norma responde a una situación excepcional, pues, según se establece en el párrafo primero del apartado 2 de esta disposición adicional, se dicta con el fin de “garantizar la sostenibilidad financiera del sistema”, por lo que cumpliría la primera de las exigencias establecidas por este Tribunal.</w:t>
      </w:r>
    </w:p>
    <w:p w:rsidR="0033382B" w:rsidRDefault="0033382B" w:rsidP="0033382B">
      <w:pPr>
        <w:pStyle w:val="TextoNormal"/>
      </w:pPr>
    </w:p>
    <w:p w:rsidR="0033382B" w:rsidRDefault="0033382B" w:rsidP="0033382B">
      <w:pPr>
        <w:pStyle w:val="TextoNormal"/>
      </w:pPr>
      <w:r>
        <w:t>b) Se trata de una medida que no hubiera podido ser adoptada por la Administración. En este caso la “singularidad” de la norma radica en que el canon allí establecido resulta de aplicación a los negocios jurídicos ya celebrados, y en que la Administración carece de potestades para alterar el régimen jurídico de los contratos suscritos por terceros y modificar el precio fijado en los mismos. Esta decisión solo puede ser adoptada por ley, pues solo una ley especial en la que se prevea esta consecuencia, puede excepcionar la aplicación la ley general que establece la obligatoriedad de los contratos desde que se perfeccionan (art. 1258 del Código civil: CC). En el ámbito de la contratación pública, esta regla está consagrada específicamente en el art. 209 del texto refundido de la Ley de contratos del sector público, según el cual “[l]os contratos deberán cumplirse a tenor de sus cláusulas sin perjuicio de las prerrogativas establecidas por la legislación en favor de las Administraciones Públicas”. En el presente caso tales prerrogativas no tienen ninguna incidencia, pues son las que la legislación de contratos reconoce a la Administración contratante y en el supuesto que ahora se examina la Administración contratante es el ayuntamiento demandado, quien no solo no ha promovido la modificación del precio del contrato, sino que considera que la modificación del precio que efectúa la norma cuestionada es inconstitucional.</w:t>
      </w:r>
    </w:p>
    <w:p w:rsidR="0033382B" w:rsidRDefault="0033382B" w:rsidP="0033382B">
      <w:pPr>
        <w:pStyle w:val="TextoNormal"/>
      </w:pPr>
    </w:p>
    <w:p w:rsidR="0033382B" w:rsidRDefault="0033382B" w:rsidP="0033382B">
      <w:pPr>
        <w:pStyle w:val="TextoNormal"/>
      </w:pPr>
      <w:r>
        <w:t>La Administración autonómica, en cuanto promotora del sistema institucional de gestión de los residuos domésticos, carece de potestades para incidir en los contratos celebrados por terceros, por ello, la decisión de modificar el precio de los contratos que suscribió la sociedad pública autonómica SOGAMA, con las entidades locales para la gestión de los residuos urbanos municipales no puede adoptarla esta Administración. El único modo de excepcionar la regla general que establece la vinculatoriedad de los contratos en los términos que han sido pactados es a través de otra norma que tenga rango suficiente para poder considerarla de preferente aplicación frente a la norma general que establece tal consecuencia. Como la norma que obliga a cumplir los contratos “a tenor de sus cláusulas” tiene rango legal (art. 209 del texto refundido de la Ley de contratos del sector público o el art. 1258 CC) es preciso, por tanto, otra ley que establezca una norma especial que impida la aplicación de la Ley general. Resulta, por tanto, que esta norma no modifica las normas generales que regulan la contratación pública, sino que, únicamente, contiene una medida singular —la modificación del precio de unos determinados contratos— que solo puede adoptarla el legislador.</w:t>
      </w:r>
    </w:p>
    <w:p w:rsidR="0033382B" w:rsidRDefault="0033382B" w:rsidP="0033382B">
      <w:pPr>
        <w:pStyle w:val="TextoNormal"/>
      </w:pPr>
    </w:p>
    <w:p w:rsidR="0033382B" w:rsidRDefault="0033382B" w:rsidP="0033382B">
      <w:pPr>
        <w:pStyle w:val="TextoNormal"/>
      </w:pPr>
      <w:r>
        <w:t>En suma, la medida establecida no podía adoptarse a través de “los instrumentos normales de que dispone la Administración”, por lo que se cumple el segundo de los requisitos establecidos en doctrina constitucional.</w:t>
      </w:r>
    </w:p>
    <w:p w:rsidR="0033382B" w:rsidRDefault="0033382B" w:rsidP="0033382B">
      <w:pPr>
        <w:pStyle w:val="TextoNormal"/>
      </w:pPr>
    </w:p>
    <w:p w:rsidR="0033382B" w:rsidRDefault="0033382B" w:rsidP="0033382B">
      <w:pPr>
        <w:pStyle w:val="TextoNormal"/>
      </w:pPr>
      <w:r>
        <w:t>c) También se respeta el tercer requisito, antes aludido, de no condicionar o impedir el ejercicio de derechos fundamentales, ya que esta materia que está reservada a leyes generales. El objeto de la Ley cuestionada es modificar el precio establecido en determinados contratos, por lo que no regula ninguna medida que, en sí misma, impida o condicione el ejercicio de derechos fundamentales; cuestión distinta es que, dado el rango de esta norma, tal medida no pueda ser objeto de impugnación ante los Tribunales, pero este es un efecto que se deriva, no del objeto regulado, sino del rango de la norma que lo regula y en el caso examinado carece de efectos relevantes desde el punto de vista de la tutela de los derechos e intereses legítimos, habida cuenta de la posibilidad de impugnar los actos de aplicación de la norma que aquí se examina y de la facultad de los tribunales ordinarios ante los que se formulen estas impugnaciones de plantear, en su caso, cuestión de inconstitucionalidad ante este Tribunal, como ha ocurrido en el supuesto objeto de enjuiciamiento.</w:t>
      </w:r>
    </w:p>
    <w:p w:rsidR="0033382B" w:rsidRDefault="0033382B" w:rsidP="0033382B">
      <w:pPr>
        <w:pStyle w:val="TextoNormal"/>
      </w:pPr>
    </w:p>
    <w:p w:rsidR="0033382B" w:rsidRDefault="0033382B" w:rsidP="0033382B">
      <w:pPr>
        <w:pStyle w:val="TextoNormal"/>
      </w:pPr>
      <w:r>
        <w:t>Finalmente, también se supera “el canon de la razonabilidad, proporcionalidad y adecuación” al que se refieren, entre otras, las STC 129/2013, de 4 de junio, FJ 4; y STC 203/2013, de 5 de diciembre, FJ 4. De acuerdo con nuestra doctrina, la ley es razonable si tiene una justificación objetiva (STC 203/2013, de 5 de diciembre, FJ 5). En este caso la tiene, pues según se afirma en la propia norma, esta medida se ha adoptado para garantizar la sostenibilidad financiera del sistema. Además, es adecuada para conseguir el fin perseguido, pues el incremento del precio fijado en el contrato contribuye a alcanzar ese objetivo y es proporcionada, ya que, desde una perspectiva general, las ventajas que conlleva su imposición —garantizar la viabilidad económica de la empresa pública que gestiona el sistema institucional de residuos domésticos— son mayores que los perjuicios que puede ocasionar a los ayuntamientos que han contratado el servicio la elevación del precio establecido en los contrato. Ha de tenerse en cuenta, por una parte, que la Ley otorga la posibilidad a las entidades locales que no estén de acuerdo con el nuevo precio legalmente establecido de desistir del contrato durante el plazo de dos meses desde su entrada en vigor; y, por otra, que, si la empresa quebrara, tampoco podría prestar el servicio y las entidades locales tampoco podrían obtener su prestación. En tal caso, la quiebra de la empresa que gestiona el servicio afectaría, además, a todo el sistema de gestión institucional de los residuos promovido por la Administración autonómica, lo que determinaría que no pudieran alcanzarse los fines de interés general que a través de ese sistema pretenden conseguirse. De ahí que no pueda considerarse desproporcionada la medida adoptada por la norma cuestionada.</w:t>
      </w:r>
    </w:p>
    <w:p w:rsidR="0033382B" w:rsidRDefault="0033382B" w:rsidP="0033382B">
      <w:pPr>
        <w:pStyle w:val="TextoNormal"/>
      </w:pPr>
    </w:p>
    <w:p w:rsidR="0033382B" w:rsidRDefault="0033382B" w:rsidP="0033382B">
      <w:pPr>
        <w:pStyle w:val="TextoNormal"/>
      </w:pPr>
      <w:r>
        <w:t>Por todo ello, debe declararse que el párrafo segundo del apartado segundo de la disposición adicional cuestionada es una ley singular que respeta los límites que, según la jurisprudencia de este Tribunal, deben cumplir este tipo de leyes, por lo que no puede entenderse lesiva de los arts. 9.3 y 106.1 CE.</w:t>
      </w:r>
    </w:p>
    <w:p w:rsidR="0033382B" w:rsidRDefault="0033382B" w:rsidP="0033382B">
      <w:pPr>
        <w:pStyle w:val="TextoNormal"/>
      </w:pPr>
    </w:p>
    <w:p w:rsidR="0033382B" w:rsidRDefault="0033382B" w:rsidP="0033382B">
      <w:pPr>
        <w:pStyle w:val="TextoNormal"/>
      </w:pPr>
      <w:r w:rsidRPr="0033382B">
        <w:rPr>
          <w:rStyle w:val="NumeroAFNegritaCaracter"/>
        </w:rPr>
        <w:t>6</w:t>
      </w:r>
      <w:r>
        <w:t>. Tampoco puede prosperar la alegación por la que se aduce que la norma cuestionada ha lesionado el derecho a la autonomía local y que, por este motivo, haya infringido el art. 140 CE. De acuerdo con la doctrina de este Tribunal, la autonomía local reconocida en los arts. 137, 140 y 141 CE, “se configura como una garantía institucional con un contenido mínimo que el legislador debe respetar y que se concreta, básicamente, en el derecho de la comunidad local a participar a través de órganos propios en el gobierno y administración de cuantos asuntos le atañen, graduándose la intensidad de esta participación en función de la relación existente entre los intereses locales y supralocales dentro de tales asuntos o materias” (entre otras muchas, STC 92/2015, FJ 4), y en este caso la norma cuestionada no infringe tales derechos, pues, al margen de otras consideraciones, son las entidades locales afectadas las que deben decidir si desisten del contrato suscrito, dadas las modificaciones que la aprobación de la ley conlleva en los mismos o si, por el contrario, se adhieren al sistema institucional de gestión de los residuos que esta norma promueve. Esta decisión no puede considerarse menoscabada, como alega el órgano judicial que plantea la cuestión, por tenerla que adoptar en el plazo de dos meses desde la aprobación de la Ley, pues este plazo es suficiente para que la Administración local que ha suscrito el contrato pueda analizar si le conviene desistir del contrato o aceptar la modificación del precio legalmente establecida.</w:t>
      </w:r>
    </w:p>
    <w:p w:rsidR="0033382B" w:rsidRDefault="0033382B" w:rsidP="0033382B">
      <w:pPr>
        <w:pStyle w:val="TextoNormal"/>
      </w:pPr>
    </w:p>
    <w:p w:rsidR="0033382B" w:rsidRDefault="0033382B" w:rsidP="0033382B">
      <w:pPr>
        <w:pStyle w:val="TextoNormal"/>
      </w:pPr>
      <w:r w:rsidRPr="0033382B">
        <w:rPr>
          <w:rStyle w:val="NumeroAFNegritaCaracter"/>
        </w:rPr>
        <w:t>7</w:t>
      </w:r>
      <w:r>
        <w:t>. La disposición legal cuestionada tampoco incurre en la vulneración de la normativa básica estatal en materia de contratos administrativos ni, por ende, en inconstitucionalidad mediata por contravención del art. 149.1.18 CE. La norma legal no regula la revisión de precios de los contratos públicos, sino que, como se ha expuesto, en atención a una situación excepcional, establece una medida singular con el fin de garantizar la sostenibilidad financiera del sistema institucional de gestión de residuos promovido por la Administración autonómica. En consecuencia, la previsión contenida en la misma, no puede entenderse contraria a la normativa básica estatal en materia de contratos administrativos, pues no tiene como objeto regular esta materia, sino establecer una medida que dé respuesta a la situación excepcional que la fundamenta, sin alterar ni incidir en la legislación básica que rige la contratación pública.</w:t>
      </w:r>
    </w:p>
    <w:p w:rsidR="0033382B" w:rsidRDefault="0033382B" w:rsidP="0033382B">
      <w:pPr>
        <w:pStyle w:val="TextoNormal"/>
      </w:pPr>
    </w:p>
    <w:p w:rsidR="0033382B" w:rsidRDefault="0033382B" w:rsidP="0033382B">
      <w:pPr>
        <w:pStyle w:val="TextoNormal"/>
      </w:pPr>
      <w:r w:rsidRPr="0033382B">
        <w:rPr>
          <w:rStyle w:val="NumeroAFNegritaCaracter"/>
        </w:rPr>
        <w:t>8</w:t>
      </w:r>
      <w:r>
        <w:t>. Por último, la norma cuestionada tampoco vulnera el art. 134 CE, por constituir un contenido ajeno al contenido propio de una ley de presupuestos.</w:t>
      </w:r>
    </w:p>
    <w:p w:rsidR="0033382B" w:rsidRDefault="0033382B" w:rsidP="0033382B">
      <w:pPr>
        <w:pStyle w:val="TextoNormal"/>
      </w:pPr>
    </w:p>
    <w:p w:rsidR="0033382B" w:rsidRDefault="0033382B" w:rsidP="0033382B">
      <w:pPr>
        <w:pStyle w:val="TextoNormal"/>
      </w:pPr>
      <w:r>
        <w:t>De acuerdo con la doctrina de este Tribunal, como tanto la Ley Orgánica 8/1980, de financiación de las Comunidades Autónomas (art. 21.1) como el Estatuto de Autonomía de Galicia (art. 53.1) contienen una cláusula similar al art. 134.2 CE, puede deducirse “un principio general de que el contenido de la Ley de Presupuestos autonómica se adecúe a la función institucional que le es propia, sin que puedan incluirse en ella normas que no guarden relación directa con el programa de ingresos y de gastos o con los criterios de la política económica en que se sustentan, o que no sean un complemento necesario para la mayor inteligencia y para la mejor y más eficaz ejecución del Presupuesto” (SSTC 174/1998, de 23 de julio, FJ 6; 130/1999, de 1 de julio, FJ 5; y 108/2015, de 28 de mayo, FJ 3).</w:t>
      </w:r>
    </w:p>
    <w:p w:rsidR="0033382B" w:rsidRDefault="0033382B" w:rsidP="0033382B">
      <w:pPr>
        <w:pStyle w:val="TextoNormal"/>
      </w:pPr>
    </w:p>
    <w:p w:rsidR="0033382B" w:rsidRDefault="0033382B" w:rsidP="0033382B">
      <w:pPr>
        <w:pStyle w:val="TextoNormal"/>
      </w:pPr>
      <w:r>
        <w:t>En este caso no puede apreciarse que la regulación contenida en el párrafo segundo del apartado segundo de la disposición adicional vigesimoprimera de la Ley 11/2013, de 26 de diciembre, de presupuestos de la Comunidad Autónoma de Galicia para 2014 vulnere el referido principio. Esta previsión, al referirse al canon que debe cobrar una sociedad pública autonómica por la gestión de residuos urbanos municipales —canon que se ha establecido con el fin de garantizar su viabilidad económica— no puede considerarse que no guarde relación con el programa de ingresos y gastos objeto del presupuesto. Según establece el art. 1 g) de la Ley 11/2013, el presupuesto de la Comunidad Autónoma está integrado por “los presupuestos de explotación y capital de las sociedades mercantiles públicas autonómicas a que hace referencia el artículo 102 de la Ley 16/2010, de 17 de diciembre, de organización y funcionamiento de la Administración general y del sector público autonómico”. Pues bien, SOGAMA, como acaba de señalarse, es una de estas sociedades, por lo que la determinación de sus ingresos a través del establecimiento del canon al que se refiere el apartado 2 de la disposición adicional y la expresa previsión de la aplicación de este canon a los negocios jurídicos ya suscritos, al incidir en la financiación de la referida empresa, ha de entenderse que es una materia que guarda relación directa con el contenido de la ley de presupuestos.</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33382B">
      <w:pPr>
        <w:pStyle w:val="TextoNormal"/>
      </w:pPr>
      <w:r>
        <w:t>Madrid, a veintiuno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60" w:name="AUTO_2016_133"/>
      <w:r>
        <w:t>AUTO 133/2016, de 22 de junio de 2016</w:t>
      </w:r>
    </w:p>
    <w:bookmarkEnd w:id="260"/>
    <w:p w:rsidR="0033382B" w:rsidRDefault="0033382B" w:rsidP="0033382B">
      <w:pPr>
        <w:pStyle w:val="TtuloResolucin"/>
      </w:pPr>
      <w:r>
        <w:t>Sección Cuarta</w:t>
      </w:r>
    </w:p>
    <w:p w:rsidR="0033382B" w:rsidRDefault="0033382B" w:rsidP="0033382B">
      <w:pPr>
        <w:pStyle w:val="TextoNormalCentrado"/>
      </w:pPr>
      <w:r>
        <w:t>ECLI:ES:TC:2016:133A</w:t>
      </w:r>
    </w:p>
    <w:p w:rsidR="0033382B" w:rsidRDefault="0033382B" w:rsidP="0033382B">
      <w:pPr>
        <w:pStyle w:val="TextoNormalCentrado"/>
      </w:pPr>
    </w:p>
    <w:p w:rsidR="0033382B" w:rsidRDefault="0033382B" w:rsidP="0033382B">
      <w:pPr>
        <w:pStyle w:val="SntesisDescriptiva"/>
      </w:pPr>
      <w:r>
        <w:t>Excms. Srs. don Fernando Valdés Dal-Ré, don Ricardo Enríquez Sancho y don Antonio Narváez Rodríguez.</w:t>
      </w:r>
    </w:p>
    <w:p w:rsidR="0033382B" w:rsidRDefault="0033382B" w:rsidP="0033382B">
      <w:pPr>
        <w:pStyle w:val="SntesisDescriptiva"/>
      </w:pPr>
    </w:p>
    <w:p w:rsidR="0033382B" w:rsidRDefault="0033382B" w:rsidP="0033382B">
      <w:pPr>
        <w:pStyle w:val="SntesisDescriptiva"/>
      </w:pPr>
      <w:r>
        <w:t>Acuerda la suspensión en el recurso de amparo 201-2016, promovido por don Abdelmajid Bilal en proceso contencioso-administrativo.</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Mediante escrito registrado en este Tribunal el día 14 de enero de 2016, la Procuradora de los Tribunales doña Raquel Gracia Moneva, en nombre y representación de don Abdelmajil Bilal, en su calidad de tutor legal de don Z. B., interpuso recurso de amparo contra la Sentencia de la Sala de lo Contencioso-Administrativo (Sección Segunda) del Tribunal Superior de Justicia de Cataluña de 11 de diciembre de 2015, dictada en el recurso de apelación núm. 168-2015, desestimatoria del recurso interpuesto contra la Sentencia del Juzgado de lo Contencioso-Administrativo núm. 8 de Barcelona de 24 de noviembre de 2014, recaída en el procedimiento abreviado núm. 516-2013, desestimatoria del recurso contencioso-administrativo presentado contra la resolución de la Subdelegación del Gobierno en Cataluña, de 15 de abril de 2014, ésta a su vez desestimatoria del recurso de reposición formalizado, en el expediente administrativo núm. 080220130004729 contra la resolución del mismo órgano de 8 de noviembre de 2013, que acordó, en aplicación del art. 57.2 de la Ley Orgánica 4/2000, de 11 de enero, sobre derechos y deberes de los extranjeros en España y su integración social (en adelante, LOEx), la expulsión del actor del territorio nacional, con prohibición de entrada en el mismo por un período de cinco años.</w:t>
      </w:r>
    </w:p>
    <w:p w:rsidR="0033382B" w:rsidRDefault="0033382B" w:rsidP="0033382B">
      <w:pPr>
        <w:pStyle w:val="TextoNormal"/>
      </w:pPr>
    </w:p>
    <w:p w:rsidR="0033382B" w:rsidRDefault="0033382B" w:rsidP="0033382B">
      <w:pPr>
        <w:pStyle w:val="TextoNormal"/>
      </w:pPr>
      <w:r w:rsidRPr="0033382B">
        <w:rPr>
          <w:rStyle w:val="NumeroAFNegritaCaracter"/>
        </w:rPr>
        <w:t>2</w:t>
      </w:r>
      <w:r>
        <w:t>. El demandante de amparo (persona incapacitada que actúa a través de su representante legal) se queja de una vulneración de su derecho a la tutela judicial efectiva determinante de indefensión (art. 24.1 CE) derivada de la falta de concreción, en las resoluciones administrativas y judiciales impugnadas, de la amenaza que representa para el orden público y la seguridad nacional, determinante de la medida de expulsión y de la ausencia de toda ponderación de las circunstancias personales concurrentes, ya que el actor no sólo es un residente de larga duración sino que, además, es una persona sometida a tutela al haber sido civilmente incapacitado por carecer de las capacidades intelectivas y volitivas necesarias para valerse por sí mismo. Asimismo, denuncia el demandante la lesión del derecho “a una vida digna” y a la “integridad” ambos “en relación [con] la dignidad de la persona (art. 15 en relación [con] los arts. 19 y 49 CE)”, así como del derecho a la intimidad familiar del art. 18 CE, en relación con “la protección social y económica de la familia” (arts. 39 y 49 CE), al no haberse valorado “que se expulsaba a un residente de larga duración incapacitado”, al que la medida impuesta suponía “una situación de auténtica desprotección”.</w:t>
      </w:r>
    </w:p>
    <w:p w:rsidR="0033382B" w:rsidRDefault="0033382B" w:rsidP="0033382B">
      <w:pPr>
        <w:pStyle w:val="TextoNormal"/>
      </w:pPr>
    </w:p>
    <w:p w:rsidR="0033382B" w:rsidRDefault="0033382B" w:rsidP="0033382B">
      <w:pPr>
        <w:pStyle w:val="TextoNormal"/>
      </w:pPr>
      <w:r>
        <w:t>Por medio de otrosí la representación del actor solicita en su demanda la suspensión de la ejecución de la medida de expulsión, cuya ejecución le produciría perjuicios de difícil reparación que privarían al amparo de efectividad en el caso de una eventual estimación, teniendo en cuenta su situación personal, pues se vería obligado a salir del territorio nacional, lo que supondría, de facto, dejarle en una “auténtica situación de desamparo”, al no poder contar con la protección tutelar establecida en vía civil. Añade la demanda que la medida cautelar que se solicita no genera ningún peligro para el interés general, pues el actor es “un enfermo, que se encuentra bajo supervisión y tutela establecida judicialmente y cuyo delito se remonta hace ya 13 años”.</w:t>
      </w:r>
    </w:p>
    <w:p w:rsidR="0033382B" w:rsidRDefault="0033382B" w:rsidP="0033382B">
      <w:pPr>
        <w:pStyle w:val="TextoNormal"/>
      </w:pPr>
    </w:p>
    <w:p w:rsidR="0033382B" w:rsidRDefault="0033382B" w:rsidP="0033382B">
      <w:pPr>
        <w:pStyle w:val="TextoNormal"/>
      </w:pPr>
      <w:r w:rsidRPr="0033382B">
        <w:rPr>
          <w:rStyle w:val="NumeroAFNegritaCaracter"/>
        </w:rPr>
        <w:t>3</w:t>
      </w:r>
      <w:r>
        <w:t>. Mediante providencia de 7 de junio de 2016 la Sección Cuarta de la Sala Segunda de este Tribunal acordó admitir a trámite el recurso de amparo y dirigir atenta comunicación al Juzgado de lo Contencioso-Administrativo de Barcelona a fin de que, en el plazo de diez días, emplazara a quienes hubieran sido parte en el proceso del que trae causa el presente recurso de amparo, excepto la parte recurrente, para que pudieran comparecer en el procedimiento en el plazo de diez días. En la misma resolución se acordó formar la oportuna pieza para la tramitación del incidente de suspensión.</w:t>
      </w:r>
    </w:p>
    <w:p w:rsidR="0033382B" w:rsidRDefault="0033382B" w:rsidP="0033382B">
      <w:pPr>
        <w:pStyle w:val="TextoNormal"/>
      </w:pPr>
    </w:p>
    <w:p w:rsidR="0033382B" w:rsidRDefault="0033382B" w:rsidP="0033382B">
      <w:pPr>
        <w:pStyle w:val="TextoNormal"/>
      </w:pPr>
      <w:r>
        <w:t>Mediante providencia de 7 de junio de 2016, la Sala Segunda incoó la pieza de tramitación del incidente de suspensión y, conforme a lo dispuesto en el art. 56 de la Ley Orgánica del Tribunal Constitucional (LOTC), concedió un plazo común de tres días a la parte recurrente y al Ministerio Fiscal para que alegaran lo que estimaran pertinente sobre dicha suspensión.</w:t>
      </w:r>
    </w:p>
    <w:p w:rsidR="0033382B" w:rsidRDefault="0033382B" w:rsidP="0033382B">
      <w:pPr>
        <w:pStyle w:val="TextoNormal"/>
      </w:pPr>
    </w:p>
    <w:p w:rsidR="0033382B" w:rsidRDefault="0033382B" w:rsidP="0033382B">
      <w:pPr>
        <w:pStyle w:val="TextoNormal"/>
      </w:pPr>
      <w:r w:rsidRPr="0033382B">
        <w:rPr>
          <w:rStyle w:val="NumeroAFNegritaCaracter"/>
        </w:rPr>
        <w:t>4</w:t>
      </w:r>
      <w:r>
        <w:t>. En virtud de escrito presentado el 14 de junio de 2016, el actor formuló sus alegaciones, limitándose a reproducir literalmente el otrosí ya incorporado a la demanda relativa a este concreto extremo.</w:t>
      </w:r>
    </w:p>
    <w:p w:rsidR="0033382B" w:rsidRDefault="0033382B" w:rsidP="0033382B">
      <w:pPr>
        <w:pStyle w:val="TextoNormal"/>
      </w:pPr>
    </w:p>
    <w:p w:rsidR="0033382B" w:rsidRDefault="0033382B" w:rsidP="0033382B">
      <w:pPr>
        <w:pStyle w:val="TextoNormal"/>
      </w:pPr>
      <w:r w:rsidRPr="0033382B">
        <w:rPr>
          <w:rStyle w:val="NumeroAFNegritaCaracter"/>
        </w:rPr>
        <w:t>5</w:t>
      </w:r>
      <w:r>
        <w:t>. Mediante escrito registrado el 17 de junio de 2016, el Ministerio Fiscal interesó que se otorgara la suspensión solicitada. Tras exponer la doctrina de este Tribunal en relación con el art. 56 LOTC, el Fiscal ante el Tribunal Constitucional sostiene que, en los casos de expulsión de extranjeros, la ejecución de las resoluciones judiciales por las que se declara procedente la expulsión del actor, con la consiguiente salida del territorio nacional, puede convertir en ilusoria una eventual concesión del amparo, pues una vez que el ciudadano expulsado se encuentra fuera de nuestras fronteras, un fallo estimatorio de este Tribunal carecería de eficacia práctica para preservar o restaurar los derechos fundamentales invocados, en la medida en que lo que se trata de evitar con el recurso —la expulsión— ya ha tenido lugar. Aunque una eventual concesión del amparo pueda tener como consecuencia la posibilidad de que el recurrente regrese a España, los perjuicios de carácter personal, económico y familiar que se le ocasionarían con la expulsión serían, en opinión del Ministerio Fiscal, de imposible resarcimiento. Por lo demás, entiende el Fiscal que no parece que, de la suspensión, se derive una perturbación grave del interés general o de los derechos fundamentales o libertades públicas de terceros.</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33382B" w:rsidRDefault="0033382B" w:rsidP="0033382B">
      <w:pPr>
        <w:pStyle w:val="TextoNormal"/>
      </w:pPr>
    </w:p>
    <w:p w:rsidR="0033382B" w:rsidRDefault="0033382B" w:rsidP="0033382B">
      <w:pPr>
        <w:pStyle w:val="TextoNormal"/>
      </w:pPr>
      <w:r>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este Tribunal ha entendido por perjuicio irreparable aquel que provoque que el restablecimiento del recurrente en el derecho constitucional vulnerado sea tardío y convierta el amparo en meramente ilusorio y nominal (por todos AATC 274/2008, de 15 de septiembre; 26/2009, de 26 de enero, y 173/2009, de 1 de junio).</w:t>
      </w:r>
    </w:p>
    <w:p w:rsidR="0033382B" w:rsidRDefault="0033382B" w:rsidP="0033382B">
      <w:pPr>
        <w:pStyle w:val="TextoNormal"/>
      </w:pPr>
    </w:p>
    <w:p w:rsidR="0033382B" w:rsidRDefault="0033382B" w:rsidP="0033382B">
      <w:pPr>
        <w:pStyle w:val="TextoNormal"/>
      </w:pPr>
      <w:r>
        <w:t>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(por todos, AATC 44/2008, de 11 de febrero, FJ 1; 59/2008, de 20 de febrero, FJ 1; 67/2008, de 25 de febrero, FJ 1; 109/2008, de 14 de abril, FJ 1; 111/2008, de 14 de abril, FJ 1; 118/2008, de 28 de abril, FJ 1, y 172/2008, de 23 de junio, FJ 1).</w:t>
      </w:r>
    </w:p>
    <w:p w:rsidR="0033382B" w:rsidRDefault="0033382B" w:rsidP="0033382B">
      <w:pPr>
        <w:pStyle w:val="TextoNormal"/>
      </w:pPr>
    </w:p>
    <w:p w:rsidR="0033382B" w:rsidRDefault="0033382B" w:rsidP="0033382B">
      <w:pPr>
        <w:pStyle w:val="TextoNormal"/>
      </w:pPr>
      <w:r w:rsidRPr="0033382B">
        <w:rPr>
          <w:rStyle w:val="NumeroAFNegritaCaracter"/>
        </w:rPr>
        <w:t>2</w:t>
      </w:r>
      <w:r>
        <w:t>. En cuanto a la expulsión de extranjeros del territorio nacional, este Tribunal ha señalado, con carácter general,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 AATC 66/2012, de 16 de abril, FJ 2; 116/2013, de 20 de mayo, FJ 2, y 90/2015, de 25 de mayo, FJ 2, entre otros).</w:t>
      </w:r>
    </w:p>
    <w:p w:rsidR="0033382B" w:rsidRDefault="0033382B" w:rsidP="0033382B">
      <w:pPr>
        <w:pStyle w:val="TextoNormal"/>
      </w:pPr>
    </w:p>
    <w:p w:rsidR="0033382B" w:rsidRDefault="0033382B" w:rsidP="0033382B">
      <w:pPr>
        <w:pStyle w:val="TextoNormal"/>
      </w:pPr>
      <w:r>
        <w:t>La aplicación de la doctrina precedente al caso ahora examinado debe llevarnos, conforme interesa también el Ministerio Fiscal, a acordar la suspensión de la expulsión del territorio nacional de la persona tutelada por el recurrente, atendiendo al conjunto de las circunstancias personales de aquél, toda vez que tampoco cabe apreciar que dicha suspensión pueda originar una perturbación grave de los intereses generales ni de los derechos fundamentales o libertades públicas de un tercero.</w:t>
      </w:r>
    </w:p>
    <w:p w:rsidR="0033382B" w:rsidRDefault="0033382B" w:rsidP="0033382B">
      <w:pPr>
        <w:pStyle w:val="TextoNormal"/>
      </w:pPr>
    </w:p>
    <w:p w:rsidR="0033382B" w:rsidRDefault="0033382B" w:rsidP="0033382B">
      <w:pPr>
        <w:pStyle w:val="TextoNormal"/>
      </w:pPr>
      <w:r>
        <w:t>Por todo lo expuesto, la Sección</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Suspender la ejecución de la medida de expulsión del territorio nacional y prohibición de entrada durante cinco años impuesta al actor en la resolución de la Subdelegación del Gobierno en Barcelona de 8 de noviembre de 2013 y confirmada en la resolución del mismo órgano de 15 de abril de 2014 y en las Sentencias dictadas por la Sala de lo Contencioso-Administrativo (Sección Segunda) del Tribunal Superior de Justicia de Cataluña el 11 de diciembre de 2015 y por el Juzgado de lo Contencioso-Administrativo núm. 8 de Barcelona el 24 de noviembre de 2014.</w:t>
      </w:r>
    </w:p>
    <w:p w:rsidR="0033382B" w:rsidRDefault="0033382B" w:rsidP="0033382B">
      <w:pPr>
        <w:pStyle w:val="TextoNormal"/>
      </w:pPr>
    </w:p>
    <w:p w:rsidR="0033382B" w:rsidRDefault="0033382B" w:rsidP="0033382B">
      <w:pPr>
        <w:pStyle w:val="TextoNormal"/>
      </w:pPr>
      <w:r>
        <w:t>Madrid, a veintidós de junio de dos mil dieciséis.</w:t>
      </w:r>
    </w:p>
    <w:p w:rsidR="0033382B" w:rsidRDefault="0033382B">
      <w:pPr>
        <w:spacing w:after="160" w:line="259" w:lineRule="auto"/>
        <w:rPr>
          <w:rFonts w:ascii="Times New Roman" w:eastAsia="Times New Roman" w:hAnsi="Times New Roman" w:cs="Times New Roman"/>
          <w:sz w:val="24"/>
          <w:szCs w:val="24"/>
          <w:lang w:eastAsia="es-ES"/>
        </w:rPr>
      </w:pPr>
      <w:r>
        <w:br w:type="page"/>
      </w:r>
    </w:p>
    <w:p w:rsidR="0033382B" w:rsidRDefault="0033382B" w:rsidP="0033382B">
      <w:pPr>
        <w:pStyle w:val="TtuloResolucin"/>
      </w:pPr>
      <w:bookmarkStart w:id="261" w:name="AUTO_2016_134"/>
      <w:r>
        <w:t>AUTO 134/2016, de 23 de junio de 2016</w:t>
      </w:r>
    </w:p>
    <w:bookmarkEnd w:id="261"/>
    <w:p w:rsidR="0033382B" w:rsidRDefault="0033382B" w:rsidP="0033382B">
      <w:pPr>
        <w:pStyle w:val="TtuloResolucin"/>
      </w:pPr>
      <w:r>
        <w:t>Pleno</w:t>
      </w:r>
    </w:p>
    <w:p w:rsidR="0033382B" w:rsidRDefault="0033382B" w:rsidP="0033382B">
      <w:pPr>
        <w:pStyle w:val="TextoNormalCentrado"/>
      </w:pPr>
      <w:r>
        <w:t>ECLI:ES:TC:2016:134A</w:t>
      </w:r>
    </w:p>
    <w:p w:rsidR="0033382B" w:rsidRDefault="0033382B" w:rsidP="0033382B">
      <w:pPr>
        <w:pStyle w:val="TextoNormalCentrado"/>
      </w:pPr>
    </w:p>
    <w:p w:rsidR="0033382B" w:rsidRDefault="0033382B" w:rsidP="0033382B">
      <w:pPr>
        <w:pStyle w:val="SntesisDescriptiva"/>
      </w:pPr>
      <w:r>
        <w:t>Excms. Srs. don Francisco Pérez de los Cobos Orihuel,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w:t>
      </w:r>
    </w:p>
    <w:p w:rsidR="0033382B" w:rsidRDefault="0033382B" w:rsidP="0033382B">
      <w:pPr>
        <w:pStyle w:val="SntesisDescriptiva"/>
      </w:pPr>
    </w:p>
    <w:p w:rsidR="0033382B" w:rsidRDefault="0033382B" w:rsidP="0033382B">
      <w:pPr>
        <w:pStyle w:val="SntesisDescriptiva"/>
      </w:pPr>
      <w:r>
        <w:t>Inadmite a trámite la cuestión de inconstitucionalidad 7321-2015, planteada por el Tribunal Superior de Justicia de Murcia en relación con el artículo 2.2 de la Ley 4/2013, de 12 de junio, de medidas urgentes en materia de gastos de personal y organización administrativa de la Comunidad Autónoma de la Región de Murcia.</w:t>
      </w:r>
    </w:p>
    <w:p w:rsidR="0033382B" w:rsidRDefault="0033382B" w:rsidP="0033382B">
      <w:pPr>
        <w:pStyle w:val="SntesisDescriptiva"/>
      </w:pPr>
    </w:p>
    <w:p w:rsidR="0033382B" w:rsidRDefault="0033382B" w:rsidP="0033382B">
      <w:pPr>
        <w:pStyle w:val="SntesisDescriptiva"/>
      </w:pPr>
    </w:p>
    <w:p w:rsidR="0033382B" w:rsidRDefault="0033382B" w:rsidP="0033382B">
      <w:pPr>
        <w:pStyle w:val="SntesisDescriptiva"/>
      </w:pPr>
    </w:p>
    <w:p w:rsidR="0033382B" w:rsidRDefault="0033382B" w:rsidP="0033382B">
      <w:pPr>
        <w:pStyle w:val="TextoNormalNegritaCentrado"/>
      </w:pPr>
      <w:r>
        <w:t>AUTO</w:t>
      </w:r>
    </w:p>
    <w:p w:rsidR="0033382B" w:rsidRDefault="0033382B" w:rsidP="0033382B">
      <w:pPr>
        <w:pStyle w:val="TextoNormalNegritaCentrado"/>
      </w:pPr>
    </w:p>
    <w:p w:rsidR="0033382B" w:rsidRDefault="0033382B" w:rsidP="0033382B">
      <w:pPr>
        <w:pStyle w:val="TextoNormalNegritaCentrado"/>
        <w:keepNext/>
      </w:pPr>
      <w:r>
        <w:t>I. Antecedentes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El día 23 de diciembre de 2015 tuvo entrada en el Registro General de este Tribunal escrito del Tribunal Superior de Justicia de la Región de Murcia, Sala de lo Social, al que se acompaña, además del testimonio del procedimiento sobre conflicto colectivo núm. 3-2015, Auto de 29 de junio de 2015 por el que se plantea cuestión de inconstitucionalidad en relación con el art. 2.2 de la Ley 4/2013, de 12 de junio, de la Comunidad Autónoma de Murcia, de medidas urgentes en materia de gastos de personal y organización administrativa, que suprime determinados complementos salariales de carácter semestral que debían percibirse en el mes de diciembre de 2013, por posible vulneración de los arts. 149.1.7, 14 y 9.3 CE.</w:t>
      </w:r>
    </w:p>
    <w:p w:rsidR="0033382B" w:rsidRDefault="0033382B" w:rsidP="0033382B">
      <w:pPr>
        <w:pStyle w:val="TextoNormal"/>
      </w:pPr>
    </w:p>
    <w:p w:rsidR="0033382B" w:rsidRDefault="0033382B" w:rsidP="0033382B">
      <w:pPr>
        <w:pStyle w:val="TextoNormal"/>
      </w:pPr>
      <w:r w:rsidRPr="0033382B">
        <w:rPr>
          <w:rStyle w:val="NumeroAFNegritaCaracter"/>
        </w:rPr>
        <w:t>2</w:t>
      </w:r>
      <w:r>
        <w:t>. Los hechos que pueden ser relevantes en este proceso constitucional son, sucintamente expuestos, los siguientes:</w:t>
      </w:r>
    </w:p>
    <w:p w:rsidR="0033382B" w:rsidRDefault="0033382B" w:rsidP="0033382B">
      <w:pPr>
        <w:pStyle w:val="TextoNormal"/>
      </w:pPr>
    </w:p>
    <w:p w:rsidR="0033382B" w:rsidRDefault="0033382B" w:rsidP="0033382B">
      <w:pPr>
        <w:pStyle w:val="TextoNormal"/>
      </w:pPr>
      <w:r>
        <w:t>a) El presente procedimiento deriva de demanda de conflicto colectivo interpuesta por el sindicato CSI-CSIF contra la Comunidad Autónoma de la Región de Murcia, por la supresión al personal laboral docente, del abono de parte de los complementos de la paga extraordinaria de diciembre de 2013. El sindicato demandante solicitaba el abono íntegro de los complementos no abonados, y subsidiariamente que se declare el derecho de los afectados por el conflicto a percibir la parte proporcional de la paga extraordinaria de diciembre de 2013, que corresponde a los 14 días transcurridos entre el 1 de junio y el 14 de junio de 2013.</w:t>
      </w:r>
    </w:p>
    <w:p w:rsidR="0033382B" w:rsidRDefault="0033382B" w:rsidP="0033382B">
      <w:pPr>
        <w:pStyle w:val="TextoNormal"/>
      </w:pPr>
    </w:p>
    <w:p w:rsidR="0033382B" w:rsidRDefault="0033382B" w:rsidP="0033382B">
      <w:pPr>
        <w:pStyle w:val="TextoNormal"/>
      </w:pPr>
      <w:r>
        <w:t>b) Por diligencia de ordenación de 4 de febrero de 2015 se requiere al Sindicato demandante para que en el plazo de cuatro días aporte el “BORM” donde conste la publicación de la suspensión de la medida que se impugna y aclare la demanda indicando frente a qué concreto órgano de la Comunidad Autónoma pretende demandar teniendo en cuenta además que en el segundo párrafo del escrito inicial hace referencia al personal docente; identificando numéricamente los trabajadores afectados y acreditando el agotamiento de la vía previa administrativa o justificando su no exigencia.</w:t>
      </w:r>
    </w:p>
    <w:p w:rsidR="0033382B" w:rsidRDefault="0033382B" w:rsidP="0033382B">
      <w:pPr>
        <w:pStyle w:val="TextoNormal"/>
      </w:pPr>
    </w:p>
    <w:p w:rsidR="0033382B" w:rsidRDefault="0033382B" w:rsidP="0033382B">
      <w:pPr>
        <w:pStyle w:val="TextoNormal"/>
      </w:pPr>
      <w:r>
        <w:t>c) Por escrito registrado el 10 de febrero de 2015 el sindicato CSI-CSIF presentó el “BORM” solicitado, informó que el número aproximado de trabajadores afectados por dicho conflicto es de 174 trabajadores, que el órgano de la Comunidad Autónoma que se demanda es el Consejo de Gobierno de la Comunidad Autónoma de la Región de Murcia, que por error se hizo constar en el segundo párrafo de la demanda “personal docente” donde debe decir personal laboral de la Administración y servicios de la Comunidad Autónoma de la Región de Murcia y que el presente procedimiento está exento de la presentación de reclamación previa.</w:t>
      </w:r>
    </w:p>
    <w:p w:rsidR="0033382B" w:rsidRDefault="0033382B" w:rsidP="0033382B">
      <w:pPr>
        <w:pStyle w:val="TextoNormal"/>
      </w:pPr>
    </w:p>
    <w:p w:rsidR="0033382B" w:rsidRDefault="0033382B" w:rsidP="0033382B">
      <w:pPr>
        <w:pStyle w:val="TextoNormal"/>
      </w:pPr>
      <w:r>
        <w:t>d) Por Decreto del Secretario Judicial de la Sala de lo Social del Tribunal Superior de Justicia de Murcia de 25 de febrero de 2015 se admitió a trámite la demanda.</w:t>
      </w:r>
    </w:p>
    <w:p w:rsidR="0033382B" w:rsidRDefault="0033382B" w:rsidP="0033382B">
      <w:pPr>
        <w:pStyle w:val="TextoNormal"/>
      </w:pPr>
    </w:p>
    <w:p w:rsidR="0033382B" w:rsidRDefault="0033382B" w:rsidP="0033382B">
      <w:pPr>
        <w:pStyle w:val="TextoNormal"/>
      </w:pPr>
      <w:r>
        <w:t>e) El Letrado de la Comunidad Autónoma de Murcia en su escrito de alegaciones, planteó, entre otras cuestiones, la prescripción de la acción interpuesta. Afirma que la demanda fue presentada el 30 de diciembre de 2014 y la paga extraordinaria de Navidad se devenga el 1 de diciembre de cada año. Además, la paga extraordinaria de Navidad de 2013 se abonó el día 23 de diciembre de 2013. Por tanto, de acuerdo con lo dispuesto en el art. 59.1 de la Ley del estatuto de los trabajadores (LET), cuando se presenta la demanda el 30 de diciembre de 2014 había prescrito el derecho a reclamar los conceptos retributivos no abonados al personal laboral de la Comunidad Autónoma de la Región de Murcia en la paga extraordinaria de diciembre de 2013.</w:t>
      </w:r>
    </w:p>
    <w:p w:rsidR="0033382B" w:rsidRDefault="0033382B" w:rsidP="0033382B">
      <w:pPr>
        <w:pStyle w:val="TextoNormal"/>
      </w:pPr>
    </w:p>
    <w:p w:rsidR="0033382B" w:rsidRDefault="0033382B" w:rsidP="0033382B">
      <w:pPr>
        <w:pStyle w:val="TextoNormal"/>
      </w:pPr>
      <w:r>
        <w:t>f) Por Auto de 27 de abril de 2015, la Sala de lo Social del Tribunal Superior de Justicia de Murcia acordó oír a las partes y al Ministerio Fiscal para que en un plazo común e improrrogable de diez días, con suspensión del plazo para dictar sentencia, aleguen lo que a su derecho convenga sobre si el art. 2.2 de la Ley autonómica 4/2013 puede ser inconstitucional por violación de los arts. 149.1.7, 14 y 9.3 CE. Además, añade que “cabe entender que el hecho de que se haya opuesto prescripción no impediría el planteamiento de la cuestión de inconstitucionalidad, pues, de un lado, para apreciar o no prescripción, en puridad, habría que establecer previamente si el derecho existe o no; de otro lado, se trataría de una cuestión no necesariamente pacífica y susceptible de ser revisada en vía de recurso; y, finalmente, se ofrece como la solución más razonable por metodología y funcionalidad, a la luz del art. 24 CE”.</w:t>
      </w:r>
    </w:p>
    <w:p w:rsidR="0033382B" w:rsidRDefault="0033382B" w:rsidP="0033382B">
      <w:pPr>
        <w:pStyle w:val="TextoNormal"/>
      </w:pPr>
    </w:p>
    <w:p w:rsidR="0033382B" w:rsidRDefault="0033382B" w:rsidP="0033382B">
      <w:pPr>
        <w:pStyle w:val="TextoNormal"/>
      </w:pPr>
      <w:r>
        <w:t>g) El Letrado de la Comunidad Autónoma de la Región de Murcia manifestó su oposición al planteamiento de la cuestión de inconstitucionalidad, por escrito de 11 de mayo de 2015. Considera que el art. 2 de la Ley autonómica 4/2013 no ha violado el art. 149.1.7 CE, por cuanto la legislación laboral básica del Estado no fija la cuantía de las gratificaciones extraordinarias, siendo los convenios colectivos los que tienen competencia para hacerlo. En cuanto a la vulneración del art. 14 CE entiende que tampoco se ha vulnerado dicho precepto constitucional por cuanto el punto de comparación no debe ser “el resto de los trabajadores de las demás Comunidades Autónomas”, sino el resto del personal integrante de la Comunidad Autónoma de la Región de Murcia. Y, por lo que respecta al art. 9.3 CE, entiende igualmente que no se ha vulnerado el citado precepto constitucional, ya que el art. 31 LET establece que serán los convenios colectivos lo que fijen la cuantía de las gratificaciones extraordinarias, y en función de la situación existente el primer día hábil de los meses de junio y diciembre.</w:t>
      </w:r>
    </w:p>
    <w:p w:rsidR="0033382B" w:rsidRDefault="0033382B" w:rsidP="0033382B">
      <w:pPr>
        <w:pStyle w:val="TextoNormal"/>
      </w:pPr>
    </w:p>
    <w:p w:rsidR="0033382B" w:rsidRDefault="0033382B" w:rsidP="0033382B">
      <w:pPr>
        <w:pStyle w:val="TextoNormal"/>
      </w:pPr>
      <w:r>
        <w:t>El resto de las partes no formularon alegaciones.</w:t>
      </w:r>
    </w:p>
    <w:p w:rsidR="0033382B" w:rsidRDefault="0033382B" w:rsidP="0033382B">
      <w:pPr>
        <w:pStyle w:val="TextoNormal"/>
      </w:pPr>
    </w:p>
    <w:p w:rsidR="0033382B" w:rsidRDefault="0033382B" w:rsidP="0033382B">
      <w:pPr>
        <w:pStyle w:val="TextoNormal"/>
      </w:pPr>
      <w:r>
        <w:t>h) Por Auto de la Sala de lo Social del Tribunal Superior de Justicia de la Región de Murcia de 29 de junio de 2015 acordó promover cuestión de inconstitucionalidad contra el art. 2.2 de la Ley 4/2013, de 12 de junio, de la Comunidad Autónoma de Murcia, de medidas urgentes en materia de gastos de personal y organización administrativa, “por violación del art. 149.1.7 en la medida que se puede haber producido un exceso competencial, en una materia cuya regulación correspondería al Estado, con violación del art. 14 CE. Asimismo, podría haberse vulnerado el art. 9.3 al no haber respetado el principio de irretroactividad de las normas restrictivas de derecho, en la medida que suprime parte de la paga extraordinaria ya devengada”.</w:t>
      </w:r>
    </w:p>
    <w:p w:rsidR="0033382B" w:rsidRDefault="0033382B" w:rsidP="0033382B">
      <w:pPr>
        <w:pStyle w:val="TextoNormal"/>
      </w:pPr>
    </w:p>
    <w:p w:rsidR="0033382B" w:rsidRDefault="0033382B" w:rsidP="0033382B">
      <w:pPr>
        <w:pStyle w:val="TextoNormal"/>
      </w:pPr>
      <w:r w:rsidRPr="0033382B">
        <w:rPr>
          <w:rStyle w:val="NumeroAFNegritaCaracter"/>
        </w:rPr>
        <w:t>3</w:t>
      </w:r>
      <w:r>
        <w:t>. El Auto de planteamiento afirma que dada la similitud con el supuesto resuelto por Sentencia del Tribunal Constitucional de 15 de diciembre de 2014, surge la duda sobre si se ha vulnerado el art. 149.1.7 CE, ya que se habría producido un exceso competencial por parte de la Comunidad Autónoma de la Región de Murcia, dado que la legislación laboral incluye la regulación salarial y la supresión de parte de la paga extraordinaria de diciembre de 2013, con carácter particular en ese entorno laboral en esta Comunidad Autónoma, rebasaría su competencia. Además, implícitamente se podía estar vulnerando el art. 14 CE al introducir una diferencia irrazonable y sin justificación con el resto de los trabajadores de las demás Comunidades Autónomas, que conservarían tal derecho.</w:t>
      </w:r>
    </w:p>
    <w:p w:rsidR="0033382B" w:rsidRDefault="0033382B" w:rsidP="0033382B">
      <w:pPr>
        <w:pStyle w:val="TextoNormal"/>
      </w:pPr>
    </w:p>
    <w:p w:rsidR="0033382B" w:rsidRDefault="0033382B" w:rsidP="0033382B">
      <w:pPr>
        <w:pStyle w:val="TextoNormal"/>
      </w:pPr>
      <w:r>
        <w:t>En cuanto a la petición subsidiaria, referente a la parte de la paga extraordinaria devengada del 1 al 14 de junio de 2013, señala el Auto que, existe un consenso jurídico a considerar que las pagas extraordinarias se van generando día a día, de enero a junio y de julio a diciembre de cada año, de tal manera que progresivamente se van incorporando o conformando como un derecho adquirido, dejando de ser una pura expectativa. Prueba de ello es que, mutatis mutandi, la jurisprudencia del Tribunal Supremo, en Sentencias tales como las de 6 de mayo de 1999 y 30 de enero de 2012, así lo considera en esencia. Es más, tal es la práctica empresarial general, a manera de un uso, cuando se liquida o finiquita la relación laboral. Por tanto, afirma, la denegación de pago de las cantidades devengadas, podría ir contra el art. 9.3 CE, tratándose de una norma retroactiva restrictiva de derechos.</w:t>
      </w:r>
    </w:p>
    <w:p w:rsidR="0033382B" w:rsidRDefault="0033382B" w:rsidP="0033382B">
      <w:pPr>
        <w:pStyle w:val="TextoNormal"/>
      </w:pPr>
    </w:p>
    <w:p w:rsidR="0033382B" w:rsidRDefault="0033382B" w:rsidP="0033382B">
      <w:pPr>
        <w:pStyle w:val="TextoNormal"/>
      </w:pPr>
      <w:r>
        <w:t>Finalmente, afirma que, “no se aprecia óbice alguno pues se ofrece como la solución más razonable por metodología y funcionalidad, a la luz del art. 24 CE”.</w:t>
      </w:r>
    </w:p>
    <w:p w:rsidR="0033382B" w:rsidRDefault="0033382B" w:rsidP="0033382B">
      <w:pPr>
        <w:pStyle w:val="TextoNormal"/>
      </w:pPr>
    </w:p>
    <w:p w:rsidR="0033382B" w:rsidRDefault="0033382B" w:rsidP="0033382B">
      <w:pPr>
        <w:pStyle w:val="TextoNormal"/>
      </w:pPr>
      <w:r w:rsidRPr="0033382B">
        <w:rPr>
          <w:rStyle w:val="NumeroAFNegritaCaracter"/>
        </w:rPr>
        <w:t>4</w:t>
      </w:r>
      <w:r>
        <w:t>. Por providencia de 10 de mayo de 2016, la Sección Tercera de este Tribunal, a los efectos que determina el art. 37.1 de la Ley Orgánica del Tribunal Constitucional (LOTC), acordó oír al Fiscal General del Estado para que, en el plazo de diez días, alegase lo que considerara conveniente acerca de la admisibilidad de la presente cuestión de inconstitucionalidad, por si fuera notoriamente infundada.</w:t>
      </w:r>
    </w:p>
    <w:p w:rsidR="0033382B" w:rsidRDefault="0033382B" w:rsidP="0033382B">
      <w:pPr>
        <w:pStyle w:val="TextoNormal"/>
      </w:pPr>
    </w:p>
    <w:p w:rsidR="0033382B" w:rsidRDefault="0033382B" w:rsidP="0033382B">
      <w:pPr>
        <w:pStyle w:val="TextoNormal"/>
      </w:pPr>
      <w:r w:rsidRPr="0033382B">
        <w:rPr>
          <w:rStyle w:val="NumeroAFNegritaCaracter"/>
        </w:rPr>
        <w:t>5</w:t>
      </w:r>
      <w:r>
        <w:t>. La Fiscal General del Estado evacuó el trámite conferido mediante escrito registrado en este Tribunal el 30 de mayo de 2016. Aduce, en primer lugar, que en el Auto de 27 de abril de 2015, por el que se abrió el trámite de audiencia previsto en el art. 35 LOTC, en su razonamiento jurídico único in fine, la Sala de lo Social del Tribunal Superior de Justicia de Murcia hizo constar: “finalmente, cabe entender que el hecho de que se haya opuesto prescripción no impediría el planteamiento de la cuestión de inconstitucionalidad, pues, de un lado, para apreciar o no prescripción, en puridad, habría que establecer previamente si el derecho existe o no; de otro lado, se trataría de una cuestión no necesariamente pacífica y susceptible de ser revisada en vía de recurso y, finalmente, se ofrece como la solución más razonable por metodología y funcionalidad, a la luz del art. 24 CE”. El Auto de planteamiento de 29 de junio de 2015, reprodujo la fundamentación jurídica del Auto de apertura del trámite de audiencia, salvo en lo referente a su párrafo final que lo dejó reducido a lo siguiente: “Finalmente, no se aprecia óbice alguno pues se ofrece como la solución más razonable por metodología y funcionalidad, a la luz del art. 24 CE”.</w:t>
      </w:r>
    </w:p>
    <w:p w:rsidR="0033382B" w:rsidRDefault="0033382B" w:rsidP="0033382B">
      <w:pPr>
        <w:pStyle w:val="TextoNormal"/>
      </w:pPr>
    </w:p>
    <w:p w:rsidR="0033382B" w:rsidRDefault="0033382B" w:rsidP="0033382B">
      <w:pPr>
        <w:pStyle w:val="TextoNormal"/>
      </w:pPr>
      <w:r>
        <w:t>A juicio de la Fiscal General del Estado, la Sala de lo Social no ha exteriorizado de modo suficiente el juicio de relevancia, pues, frente a lo por ella afirmado en el Auto que abrió el trámite de audiencia, la decisión acerca de la prescripción de la acción ejercitada era prioritaria al cuestionamiento de la constitucionalidad de la norma. El extremo de que la decisión sobre la prescripción fuera susceptible de ser revisable en vía de recurso en nada afecta a lo expuesto, pues es claro que, si la decisión estimatoria de la prescripción se confirmare, la constitucionalidad del precepto devendría irrelevante y, en caso contrario, la decisión sobre el planteamiento o no de la cuestión ya no correspondería a la Sala proponente. Por todo ello, señala, la Sala de lo Social debió decidir con carácter previo sobre la prescripción opuesta, cuestión de prioritario extremo y apreciable de oficio, pues de tal decisión dependía de modo inexcusable la aplicabilidad o no de la norma cuestionada.</w:t>
      </w:r>
    </w:p>
    <w:p w:rsidR="0033382B" w:rsidRDefault="0033382B" w:rsidP="0033382B">
      <w:pPr>
        <w:pStyle w:val="TextoNormal"/>
      </w:pPr>
    </w:p>
    <w:p w:rsidR="0033382B" w:rsidRDefault="0033382B" w:rsidP="0033382B">
      <w:pPr>
        <w:pStyle w:val="TextoNormal"/>
      </w:pPr>
      <w:r>
        <w:t>A continuación señala, en relación con la vulneración del art. 149.1.7 CE, que el ATC 83/2016, ha examinado una cuestión de inconstitucionalidad planteada por el mismo órgano judicial, sobre la misma norma y con idéntica duda de constitucionalidad, rechazándose por notoriamente infundada y reproduce el fundamento jurídico 3 de dicho Auto.</w:t>
      </w:r>
    </w:p>
    <w:p w:rsidR="0033382B" w:rsidRDefault="0033382B" w:rsidP="0033382B">
      <w:pPr>
        <w:pStyle w:val="TextoNormal"/>
      </w:pPr>
    </w:p>
    <w:p w:rsidR="0033382B" w:rsidRDefault="0033382B" w:rsidP="0033382B">
      <w:pPr>
        <w:pStyle w:val="TextoNormal"/>
      </w:pPr>
      <w:r>
        <w:t>Por lo que se refiere a la vulneración del art. 14 CE, señala que la Sala promovente afirma que la norma introduce una diferencia razonable y sin justificación con el resto de los trabajadores de las demás Comunidades Autónomas. Este planteamiento, a su juicio, no puede ser asumido pues para ello debería estar acreditado que todos los trabajadores que se pretenden comparar se encuentran en la misma situación, esto es, que se rigen por el mismo convenio colectivo, y que perciben los mismos conceptos retributivos lo que de modo palmario no consta, por lo que no cabe hablar de situaciones jurídica iguales. Por otra parte tampoco consta que la situación económica de las demás administraciones empleadoras sea la misma. Por ello, considera que esta duda debe también ser inadmitida.</w:t>
      </w:r>
    </w:p>
    <w:p w:rsidR="0033382B" w:rsidRDefault="0033382B" w:rsidP="0033382B">
      <w:pPr>
        <w:pStyle w:val="TextoNormal"/>
      </w:pPr>
    </w:p>
    <w:p w:rsidR="0033382B" w:rsidRDefault="0033382B" w:rsidP="0033382B">
      <w:pPr>
        <w:pStyle w:val="TextoNormal"/>
      </w:pPr>
      <w:r>
        <w:t>Por último, en relación con la vulneración del art. 9.3 CE por tratarse de una norma retroactiva restrictiva de derechos, recuerda que la norma cuestionada no suprimió la totalidad de la paga extraordinaria de diciembre de 2013, del personal laboral de la Comunidad Autónoma de Murcia, sino tan solo ciertas cuantías referidas a determinados conceptos.</w:t>
      </w:r>
    </w:p>
    <w:p w:rsidR="0033382B" w:rsidRDefault="0033382B" w:rsidP="0033382B">
      <w:pPr>
        <w:pStyle w:val="TextoNormal"/>
      </w:pPr>
    </w:p>
    <w:p w:rsidR="0033382B" w:rsidRDefault="0033382B" w:rsidP="0033382B">
      <w:pPr>
        <w:pStyle w:val="TextoNormal"/>
      </w:pPr>
      <w:r>
        <w:t>Señala que para la Sala estaríamos en presencia de una retroactividad auténtica que desplegaría sus efectos sobre derechos adquiridos, pero su argumentación no es fácilmente entendible, pues afirma que las pagas extraordinarias se generan día a día de enero a junio y de julio a diciembre, pero el período que se toma en cuenta por la Sala es el comprendido entre los días 1 y 14 de junio de 2013, que según su propio razonamiento se trata de un período que no integraría la paga de diciembre de 2013, sino la de junio que no experimenta ninguna alteración por la norma cuestionada, que no se refiere a dicha paga.</w:t>
      </w:r>
    </w:p>
    <w:p w:rsidR="0033382B" w:rsidRDefault="0033382B" w:rsidP="0033382B">
      <w:pPr>
        <w:pStyle w:val="TextoNormal"/>
      </w:pPr>
    </w:p>
    <w:p w:rsidR="0033382B" w:rsidRDefault="0033382B" w:rsidP="0033382B">
      <w:pPr>
        <w:pStyle w:val="TextoNormal"/>
      </w:pPr>
      <w:r>
        <w:t>Por ello, a su juicio, tampoco ésta duda se puede entender fundada.</w:t>
      </w:r>
    </w:p>
    <w:p w:rsidR="0033382B" w:rsidRDefault="0033382B" w:rsidP="0033382B">
      <w:pPr>
        <w:pStyle w:val="TextoNormal"/>
      </w:pPr>
    </w:p>
    <w:p w:rsidR="0033382B" w:rsidRDefault="0033382B" w:rsidP="0033382B">
      <w:pPr>
        <w:pStyle w:val="TextoNormal"/>
      </w:pPr>
      <w:r>
        <w:t>Por lo expuesto, la Fiscal General solicita que se dicte Auto inadmitiendo la presente cuestión de inconstitucionalidad.</w:t>
      </w:r>
    </w:p>
    <w:p w:rsidR="0033382B" w:rsidRDefault="0033382B" w:rsidP="0033382B">
      <w:pPr>
        <w:pStyle w:val="TextoNormal"/>
      </w:pPr>
    </w:p>
    <w:p w:rsidR="0033382B" w:rsidRDefault="0033382B" w:rsidP="0033382B">
      <w:pPr>
        <w:pStyle w:val="TextoNormalNegritaCentrado"/>
        <w:keepNext/>
      </w:pPr>
      <w:r>
        <w:t>II. Fundamentos jurídicos</w:t>
      </w:r>
    </w:p>
    <w:p w:rsidR="0033382B" w:rsidRDefault="0033382B" w:rsidP="0033382B">
      <w:pPr>
        <w:pStyle w:val="TextoNormalNegritaCentrado"/>
        <w:keepNext/>
      </w:pPr>
    </w:p>
    <w:p w:rsidR="0033382B" w:rsidRDefault="0033382B" w:rsidP="0033382B">
      <w:pPr>
        <w:pStyle w:val="TextoNormal"/>
      </w:pPr>
      <w:r w:rsidRPr="0033382B">
        <w:rPr>
          <w:rStyle w:val="NumeroAFNegritaCaracter"/>
        </w:rPr>
        <w:t>1</w:t>
      </w:r>
      <w:r>
        <w:t>. La presente cuestión de inconstitucionalidad se plantea por la Sala de lo Social del Tribunal Superior de Justicia de la Región de Murcia en relación con el art. 2.2 de la Ley de la Región de Murcia 4/2013, de 12 de junio, de medidas urgentes en materia de gastos de personal y organización administrativa. El art. 2.2 de esta Ley establece:</w:t>
      </w:r>
    </w:p>
    <w:p w:rsidR="0033382B" w:rsidRDefault="0033382B" w:rsidP="0033382B">
      <w:pPr>
        <w:pStyle w:val="TextoNormal"/>
      </w:pPr>
    </w:p>
    <w:p w:rsidR="0033382B" w:rsidRDefault="0033382B" w:rsidP="0033382B">
      <w:pPr>
        <w:pStyle w:val="TextoNormal"/>
      </w:pPr>
      <w:r>
        <w:t>“El personal laboral percibirá, en el mes de diciembre de 2013, las retribuciones ordinarias correspondientes y los conceptos retributivos incluidos en el artículo 36.1 del Convenio Colectivo de Trabajo para la Comunidad Autónoma de la Región de Murcia, salario base, complemento de antigüedad y, en igualdad de nivel, las cuantías que en concepto de complemento de destino percibe el personal funcionario, referidos a las pagas extraordinarias.</w:t>
      </w:r>
    </w:p>
    <w:p w:rsidR="0033382B" w:rsidRDefault="0033382B" w:rsidP="0033382B">
      <w:pPr>
        <w:pStyle w:val="TextoNormal"/>
      </w:pPr>
    </w:p>
    <w:p w:rsidR="0033382B" w:rsidRDefault="0033382B" w:rsidP="0033382B">
      <w:pPr>
        <w:pStyle w:val="TextoNormal"/>
      </w:pPr>
      <w:r>
        <w:t>No se percibirán en dicho mes y para el referido personal las cuantías correspondientes de los conceptos de paga adicional de complemento específico, ni productividad semestral, factores de complemento de destino y de complemento específico, que se perciben proporcionalmente al tiempo de servicios prestados en el semestre anterior a su devengo, en los mismos términos establecidos para las pagas extraordinarias en el ámbito de la Administración regional.”</w:t>
      </w:r>
    </w:p>
    <w:p w:rsidR="0033382B" w:rsidRDefault="0033382B" w:rsidP="0033382B">
      <w:pPr>
        <w:pStyle w:val="TextoNormal"/>
      </w:pPr>
    </w:p>
    <w:p w:rsidR="0033382B" w:rsidRDefault="0033382B" w:rsidP="0033382B">
      <w:pPr>
        <w:pStyle w:val="TextoNormal"/>
      </w:pPr>
      <w:r>
        <w:t>Como se ha indicado en los antecedentes el órgano judicial considera que el referido precepto puede vulnerar el orden constitucional de competencias, pues entiende que la norma cuestionada, al establecer una reducción salarial del personal laboral, está regulando una materia laboral lo que vulnera el art. 149.1.7 CE, que atribuye al Estado competencias exclusivas sobre legislación laboral. También sostiene que dicho precepto vulnera el art. 14 CE, al introducir una diferencia irrazonable y sin justificación con el resto de los trabajadores de las demás Comunidades Autónomas, y el art. 9.3 CE, al considerar devengada la paga extraordinaria del 1 al 14 de junio de 2013.</w:t>
      </w:r>
    </w:p>
    <w:p w:rsidR="0033382B" w:rsidRDefault="0033382B" w:rsidP="0033382B">
      <w:pPr>
        <w:pStyle w:val="TextoNormal"/>
      </w:pPr>
    </w:p>
    <w:p w:rsidR="0033382B" w:rsidRDefault="0033382B" w:rsidP="0033382B">
      <w:pPr>
        <w:pStyle w:val="TextoNormal"/>
      </w:pPr>
      <w:r>
        <w:t>La Fiscal General del Estado ha interesado la inadmisión de la cuestión de inconstitucionalidad.</w:t>
      </w:r>
    </w:p>
    <w:p w:rsidR="0033382B" w:rsidRDefault="0033382B" w:rsidP="0033382B">
      <w:pPr>
        <w:pStyle w:val="TextoNormal"/>
      </w:pPr>
    </w:p>
    <w:p w:rsidR="0033382B" w:rsidRDefault="0033382B" w:rsidP="0033382B">
      <w:pPr>
        <w:pStyle w:val="TextoNormal"/>
      </w:pPr>
      <w:r w:rsidRPr="0033382B">
        <w:rPr>
          <w:rStyle w:val="NumeroAFNegritaCaracter"/>
        </w:rPr>
        <w:t>2</w:t>
      </w:r>
      <w:r>
        <w:t>. El art. 37.1 de la Ley Orgánica del Tribunal Constitucional (LOTC) establece que este Tribunal puede rechazar las cuestiones de inconstitucionalidad en trámite de admisión, mediante Auto y sin otra audiencia que la del Fiscal General del Estado, cuando faltaren las condiciones procesales o fuera notoriamente infundada la cuestión suscitada.</w:t>
      </w:r>
    </w:p>
    <w:p w:rsidR="0033382B" w:rsidRDefault="0033382B" w:rsidP="0033382B">
      <w:pPr>
        <w:pStyle w:val="TextoNormal"/>
      </w:pPr>
    </w:p>
    <w:p w:rsidR="0033382B" w:rsidRDefault="0033382B" w:rsidP="0033382B">
      <w:pPr>
        <w:pStyle w:val="TextoNormal"/>
      </w:pPr>
      <w:r>
        <w:t>Es doctrina reiterada de este Tribunal que “los apartados 1 y 2 del art. 35 LOTC exigen, respectivamente, que la norma con rango de ley de la que tenga dudas un Juez o Tribunal resulte ‘aplicable al caso y de cuya validez dependa el fallo’ y que el órgano judicial deberá especificar o justificar en el Auto de planteamiento de la cuestión en qué medida la decisión del proceso depende de la validez de la norma de que se trate.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 De ahí que este Tribunal haya estimado que debe darse una verdadera ‘dependencia’ (STC 189/1991, de 3 de octubre, FJ 2), o un ‘nexo de subordinación’, entre el fallo del proceso y la validez de la norma cuestionada (STC 157/1990, de 18 de octubre, FJ 1). Así, no basta con que el Tribunal ordinario considere que la norma es aplicable al caso, sino que también ha de satisfacerse el requisito de la relevancia; si bien la aplicabilidad de la norma es condición necesaria para que el fallo dependa de su validez, no es, en modo alguno, condición suficiente (SSTC 17/1981, de 1 de junio, FJ 4, y 156/2014, FJ 2)” (STC 201/2015, de 24 de septiembre, FJ 2).</w:t>
      </w:r>
    </w:p>
    <w:p w:rsidR="0033382B" w:rsidRDefault="0033382B" w:rsidP="0033382B">
      <w:pPr>
        <w:pStyle w:val="TextoNormal"/>
      </w:pPr>
    </w:p>
    <w:p w:rsidR="0033382B" w:rsidRDefault="0033382B" w:rsidP="0033382B">
      <w:pPr>
        <w:pStyle w:val="TextoNormal"/>
      </w:pPr>
      <w:r>
        <w:t>Asimismo, hemos mantenido que es a los jueces y tribunales ordinarios que plantean las cuestiones de inconstitucionalidad a los que corresponde comprobar y exteriorizar dicho juicio de relevancia, sin que este Tribunal pueda “sustituir, rectificar o integrar el criterio de los órganos judiciales proponentes” (por todas, STC 166/2012, de 1 de octubre, FJ 2).</w:t>
      </w:r>
    </w:p>
    <w:p w:rsidR="0033382B" w:rsidRDefault="0033382B" w:rsidP="0033382B">
      <w:pPr>
        <w:pStyle w:val="TextoNormal"/>
      </w:pPr>
    </w:p>
    <w:p w:rsidR="0033382B" w:rsidRDefault="0033382B" w:rsidP="0033382B">
      <w:pPr>
        <w:pStyle w:val="TextoNormal"/>
      </w:pPr>
      <w:r w:rsidRPr="0033382B">
        <w:rPr>
          <w:rStyle w:val="NumeroAFNegritaCaracter"/>
        </w:rPr>
        <w:t>3</w:t>
      </w:r>
      <w:r>
        <w:t>. Como ha puesto de manifiesto la Fiscal General del Estado, la Sala de lo Social del Tribunal Superior de Justicia de Murcia no se ha pronunciado sobre la prescripción de la acción planteada por el Letrado de la Comunidad Autónoma de Murcia en su escrito de oposición a la demanda de conflicto colectivo. El Letrado de la Comunidad Autónoma de la Región de Murcia alegó en dicho escrito prescripción de la acción porque a su juicio ha transcurrido el plazo de un año para reclamar la paga extraordinaria de 2013 (la demanda se plantea el 30 de diciembre de 2014 y la paga extraordinaria de diciembre de 2013 se devengó el 1 de diciembre de 2013 y se abonó el 23 de diciembre de 2013). De este modo, señala la Fiscal General del Estado, la Sala de lo Social del Tribunal Superior de Justicia de Murcia no ha exteriorizado de modo suficiente el juicio de relevancia pues la decisión acerca de la prescripción de la acción ejercitada era prioritaria al cuestionamiento de la constitucionalidad de la norma.</w:t>
      </w:r>
    </w:p>
    <w:p w:rsidR="0033382B" w:rsidRDefault="0033382B" w:rsidP="0033382B">
      <w:pPr>
        <w:pStyle w:val="TextoNormal"/>
      </w:pPr>
    </w:p>
    <w:p w:rsidR="0033382B" w:rsidRDefault="0033382B" w:rsidP="0033382B">
      <w:pPr>
        <w:pStyle w:val="TextoNormal"/>
      </w:pPr>
      <w:r>
        <w:t>En efecto, conforme ha señalado la STC 84/2012, de 18 de abril, FJ 3, “el control del juicio de relevancia que corresponde efectuar a este Tribunal debe centrarse en el análisis de la argumentación contenida en el Auto de planteamiento de la cuestión para justificar que la decisión del proceso depende de la validez de la norma cuestionada, sin que dicho análisis pueda extenderse al examen del proceso mismo en que la cuestión se plantea ni de los presupuestos procesales que le sirven de base, pues, por esa vía indirecta, estaría resolviendo el Tribunal un problema de legalidad ordinaria —en este caso, la admisión o inadmisión a trámite del recurso de suplicación en cuyo seno se plantea la cuestión— para lo que, obviamente, carece de jurisdicción y de competencia [SSTC 196/1987, de 11 de diciembre, FJ 2; 186/1990, de 15 de noviembre, FJ 2, y 110/1993, de 25 de marzo, FJ 2 a)].</w:t>
      </w:r>
    </w:p>
    <w:p w:rsidR="0033382B" w:rsidRDefault="0033382B" w:rsidP="0033382B">
      <w:pPr>
        <w:pStyle w:val="TextoNormal"/>
      </w:pPr>
    </w:p>
    <w:p w:rsidR="0033382B" w:rsidRDefault="0033382B" w:rsidP="0033382B">
      <w:pPr>
        <w:pStyle w:val="TextoNormal"/>
      </w:pPr>
      <w:r>
        <w:t>Ahora bien, en relación con las cuestiones previas de legalidad procesal, si bien no puede pretenderse que las mismas sean resueltas en el Auto de planteamiento de la cuestión por el órgano judicial proponente —pues esta resolución habrá de recaer en el curso del proceso y en el momento procesal oportuno—, no por ello puede quedar desatendida la necesidad de garantizar que el proceso a quo no tenga otra resolución para el propio órgano judicial que la que derive del juicio de constitucionalidad, ni el consiguiente control al respecto por parte de este Tribunal. Por ello, resulta necesario que en el Auto de planteamiento se incluya un pronunciamiento específico en este sentido, teniendo en cuenta las alegaciones formuladas por las partes en el proceso y, en particular, en el propio trámite de audiencia del art. 35.2 LOTC”.</w:t>
      </w:r>
    </w:p>
    <w:p w:rsidR="0033382B" w:rsidRDefault="0033382B" w:rsidP="0033382B">
      <w:pPr>
        <w:pStyle w:val="TextoNormal"/>
      </w:pPr>
    </w:p>
    <w:p w:rsidR="0033382B" w:rsidRDefault="0033382B" w:rsidP="0033382B">
      <w:pPr>
        <w:pStyle w:val="TextoNormal"/>
      </w:pPr>
      <w:r>
        <w:t>En el presente caso la Sala proponente no efectúa consideración alguna que permita a este Tribunal llevar a cabo su necesario control sobre el juicio de relevancia desde la perspectiva que se acaba de mencionar, en orden a garantizar que la resolución del proceso judicial dependa realmente de la validez de la norma cuestionada. En el Auto por el que se acuerda oír a las partes y al Ministerio Fiscal la Sala se limitó a señalar que, “el hecho de que se haya opuesto prescripción no impediría el planteamiento de la cuestión de inconstitucionalidad, pues, de un lado, para apreciar o no prescripción, en puridad, habría que establecer previamente si el derecho existió y sigue existiendo o no; de otro lado, se trataría de una cuestión no necesariamente pacífica y susceptible de ser revisada en vía de recurso; y, finalmente, se ofrece como la solución más razonable por metodología y funcionalidad, a la luz del art. 24 CE”. Y en el Auto de planteamiento de la cuestión de inconstitucionalidad simplemente afirma que “no se aprecia óbice alguno pues se ofrece como la solución más razonable por metodología y funcionalidad, a la luz del art. 24 CE”.</w:t>
      </w:r>
    </w:p>
    <w:p w:rsidR="0033382B" w:rsidRDefault="0033382B" w:rsidP="0033382B">
      <w:pPr>
        <w:pStyle w:val="TextoNormal"/>
      </w:pPr>
    </w:p>
    <w:p w:rsidR="0033382B" w:rsidRDefault="0033382B" w:rsidP="0033382B">
      <w:pPr>
        <w:pStyle w:val="TextoNormal"/>
      </w:pPr>
      <w:r>
        <w:t>Estas afirmaciones no pueden considerarse suficientes para justificar la relevancia de la cuestión, teniendo en cuenta las alegaciones formuladas en el proceso. Como señala la citada STC 84/2012, de 18 de abril, FJ 3, “puede pensarse, sin duda, que al plantear la cuestión la Sala está de hecho rechazando, implícitamente, las objeciones procesales de la parte recurrida; pero no es a través de justificaciones implícitas como este Tribunal puede controlar la razonabilidad, suficiencia y coherencia del juicio de relevancia, en orden a garantizar que la cuestión de inconstitucionalidad no se utilice para obtener pronunciamientos innecesarios o indiferentes para el proceso a quo, con la consiguiente perturbación inútil del litigio y, desde la perspectiva del proceso constitucional, con un uso del mismo no acomodado a su naturaleza (SSTC 17/1981, de 1 de junio, FJ 1; 141/2008, de 30 de octubre, FJ 6; y 115/2009, de 30 de mayo, FJ 2)”.</w:t>
      </w:r>
    </w:p>
    <w:p w:rsidR="0033382B" w:rsidRDefault="0033382B" w:rsidP="0033382B">
      <w:pPr>
        <w:pStyle w:val="TextoNormal"/>
      </w:pPr>
    </w:p>
    <w:p w:rsidR="0033382B" w:rsidRDefault="0033382B" w:rsidP="0033382B">
      <w:pPr>
        <w:pStyle w:val="TextoNormal"/>
      </w:pPr>
      <w:r>
        <w:t>Así pues, alegada prescripción de la acción en el proceso de conflicto colectivo origen de la presente cuestión de inconstitucionalidad, la inexistencia de un razonamiento de la Sala que permitiera entender que no existe tal prescripción nos conduce a concluir que no se ha satisfecho el juicio de relevancia exigido por el art. 35 LOTC, lo que hace procedente el pronunciamiento de inadmisión de la cuestión planteada.</w:t>
      </w:r>
    </w:p>
    <w:p w:rsidR="0033382B" w:rsidRDefault="0033382B" w:rsidP="0033382B">
      <w:pPr>
        <w:pStyle w:val="TextoNormal"/>
      </w:pPr>
    </w:p>
    <w:p w:rsidR="0033382B" w:rsidRDefault="0033382B" w:rsidP="0033382B">
      <w:pPr>
        <w:pStyle w:val="TextoNormal"/>
      </w:pPr>
      <w:r w:rsidRPr="0033382B">
        <w:rPr>
          <w:rStyle w:val="NumeroAFNegritaCaracter"/>
        </w:rPr>
        <w:t>4</w:t>
      </w:r>
      <w:r>
        <w:t>. La Fiscal General del Estado, en los términos reseñados en los antecedentes, también alega que la duda de constitucionalidad que formula la Sala es notoriamente infundada en los términos que la doctrina constitucional atribuye a este concepto (por todos, ATC 43/2014, de 12 de febrero, FJ 3).</w:t>
      </w:r>
    </w:p>
    <w:p w:rsidR="0033382B" w:rsidRDefault="0033382B" w:rsidP="0033382B">
      <w:pPr>
        <w:pStyle w:val="TextoNormal"/>
      </w:pPr>
    </w:p>
    <w:p w:rsidR="0033382B" w:rsidRDefault="0033382B" w:rsidP="0033382B">
      <w:pPr>
        <w:pStyle w:val="TextoNormal"/>
      </w:pPr>
      <w:r>
        <w:t>Efectivamente, la cuestión planteada ha de considerarse notoriamente infundada en el significado que a esta noción le viene dando la doctrina de este Tribunal (por todos, AATC 71/2008, de 26 de febrero, FJ 2, y 32/2009, de 27 de enero, FJ 3),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prosperabilidad de las mismas (ATC 43/2014, de 12 de febrero, FJ 3).</w:t>
      </w:r>
    </w:p>
    <w:p w:rsidR="0033382B" w:rsidRDefault="0033382B" w:rsidP="0033382B">
      <w:pPr>
        <w:pStyle w:val="TextoNormal"/>
      </w:pPr>
    </w:p>
    <w:p w:rsidR="0033382B" w:rsidRDefault="0033382B" w:rsidP="0033382B">
      <w:pPr>
        <w:pStyle w:val="TextoNormal"/>
      </w:pPr>
      <w:r>
        <w:t>Así, por lo que se refiere, en primer lugar, a la vulneración del art. 149.1.7 CE por la Comunidad Autónoma de la Región de Murcia al suprimir determinados complementos salariales de carácter semestral en diciembre de 2013, hay que tener en cuenta, como recuerda la Fiscal General del Estado en su informe, que en el ATC 83/2016, de 26 de abril, este Tribunal ha examinado una cuestión planteada por el mismo órgano judicial, sobre la misma norma y con idéntica duda de constitucionalidad. La cuestión ha sido rechazada por notoriamente infundada. Afirma el citado Auto que el art. 2.2 de la Ley de la Región de Murcia 4/2013 “no regula con carácter general un aspecto de la relación laboral (en este sentido, ATC 228/2015, de 15 de diciembre, FJ 4), pues no establece una regulación general de las retribuciones de los trabajadores del sector público murciano o de algunos de sus conceptos retributivos, sino que lo que ... se prevé es una reducción de las retribuciones del mes de diciembre de 2013 de este personal laboral de esta Comunidad Autónoma con el fin de contener el gasto público en materia de personal. Por ello ha de considerarse que como la medida prevista ... no tiene como objeto regular aspectos de la relación laboral, sino establecer una medida de contención del gasto público en materia de personal, no puede apreciarse que los preceptos cuestionados vulneren las competencias del Estado en materia de legislación laboral”.</w:t>
      </w:r>
    </w:p>
    <w:p w:rsidR="0033382B" w:rsidRDefault="0033382B" w:rsidP="0033382B">
      <w:pPr>
        <w:pStyle w:val="TextoNormal"/>
      </w:pPr>
    </w:p>
    <w:p w:rsidR="0033382B" w:rsidRDefault="0033382B" w:rsidP="0033382B">
      <w:pPr>
        <w:pStyle w:val="TextoNormal"/>
      </w:pPr>
      <w:r w:rsidRPr="0033382B">
        <w:rPr>
          <w:rStyle w:val="NumeroAFNegritaCaracter"/>
        </w:rPr>
        <w:t>5</w:t>
      </w:r>
      <w:r>
        <w:t>. Por lo que se refiere, en segundo lugar, a la vulneración del art. 14 CE, señala el Auto que dicho precepto se está vulnerando “al introducir una diferencia irrazonable y sin justificación con el resto de los trabajadores de las demás Comunidades Autónomas, que conservarían tal derecho”.</w:t>
      </w:r>
    </w:p>
    <w:p w:rsidR="0033382B" w:rsidRDefault="0033382B" w:rsidP="0033382B">
      <w:pPr>
        <w:pStyle w:val="TextoNormal"/>
      </w:pPr>
    </w:p>
    <w:p w:rsidR="0033382B" w:rsidRDefault="0033382B" w:rsidP="0033382B">
      <w:pPr>
        <w:pStyle w:val="TextoNormal"/>
      </w:pPr>
      <w:r>
        <w:t>Esta vulneración debe ser rechazada al no existir un término de comparación válido. Para apreciar una vulneración del derecho a la igualdad ante la ley debe partirse de la homogeneidad o identidad del término de comparación utilizado, identidad que no concurre en este caso. Lo propio del juicio de igualdad, es “su carácter relacional conforme al cual se requiere como presupuestos obligados, de un lado, que, como consecuencia de la medida normativa cuestionada, se haya introducido directa o indirectamente una diferencia de trato entre grupos o categorías de personas” y, de otro, que “las situaciones subjetivas que quieran traerse a la comparación sean, efectivamente, homogéneas o equiparables, es decir, que el término de comparación no resulte arbitrario o caprichoso”. Sólo una vez verificado uno y otro presupuesto resulta procedente entrar a determinar la licitud constitucional o no de la diferencia contenida en la norma (SSTC 205/2011, de 15 de diciembre, FJ 3, y 160/2012, de 20 de septiembre, FJ 7).</w:t>
      </w:r>
    </w:p>
    <w:p w:rsidR="0033382B" w:rsidRDefault="0033382B" w:rsidP="0033382B">
      <w:pPr>
        <w:pStyle w:val="TextoNormal"/>
      </w:pPr>
    </w:p>
    <w:p w:rsidR="0033382B" w:rsidRDefault="0033382B" w:rsidP="0033382B">
      <w:pPr>
        <w:pStyle w:val="TextoNormal"/>
      </w:pPr>
      <w:r>
        <w:t>Pues bien, en este caso, se compara a los trabajadores que prestan sus servicios para la Comunidad Autónoma de la Región de Murcia con los trabajadores que prestan servicios en el resto de Comunidades Autónomas sin acreditar que todos los trabajadores que se pretenden comparar se encuentran en la misma situación, esto es, se rigen por el mismo convenio colectivo y perciben los mismos complementos salariales. El órgano judicial no apoya su alegación en documento alguno que la sostenga, ni indica supuestos concretos de los que se deriven la diferencia de trato alegada, por lo que no cabe hablar de situaciones subjetivas homogéneas o equiparables.</w:t>
      </w:r>
    </w:p>
    <w:p w:rsidR="0033382B" w:rsidRDefault="0033382B" w:rsidP="0033382B">
      <w:pPr>
        <w:pStyle w:val="TextoNormal"/>
      </w:pPr>
    </w:p>
    <w:p w:rsidR="0033382B" w:rsidRDefault="0033382B" w:rsidP="0033382B">
      <w:pPr>
        <w:pStyle w:val="TextoNormal"/>
      </w:pPr>
      <w:r w:rsidRPr="0033382B">
        <w:rPr>
          <w:rStyle w:val="NumeroAFNegritaCaracter"/>
        </w:rPr>
        <w:t>6</w:t>
      </w:r>
      <w:r>
        <w:t>. Por último, la alegada vulneración del art. 9.3 CE por tratarse de una norma retroactiva restrictiva de derechos individuales debe ser también rechazada.</w:t>
      </w:r>
    </w:p>
    <w:p w:rsidR="0033382B" w:rsidRDefault="0033382B" w:rsidP="0033382B">
      <w:pPr>
        <w:pStyle w:val="TextoNormal"/>
      </w:pPr>
    </w:p>
    <w:p w:rsidR="0033382B" w:rsidRDefault="0033382B" w:rsidP="0033382B">
      <w:pPr>
        <w:pStyle w:val="TextoNormal"/>
      </w:pPr>
      <w:r>
        <w:t>El órgano judicial reproduce la doctrina del Tribunal Supremo acerca del devengo de las pagas extraordinarias día a día, y partiendo de esa doctrina considera que en este caso ya se habría devengado la parte proporcional —del 1 al 14 de junio, fecha de entrada en vigor de la norma— de los conceptos retributivos que son suprimidos por la norma autonómica. De este modo, la Sala de lo Social del Tribunal Superior de Justicia de Murcia aplica la doctrina del Tribunal Supremo sobre el devengo diario de las pagas extraordinarias a la supresión, por la Ley de la Asamblea Regional de Murcia 4/2013, de determinados complementos salariales de devengo semestral que no forman parte de las pagas extraordinarias.</w:t>
      </w:r>
    </w:p>
    <w:p w:rsidR="0033382B" w:rsidRDefault="0033382B" w:rsidP="0033382B">
      <w:pPr>
        <w:pStyle w:val="TextoNormal"/>
      </w:pPr>
    </w:p>
    <w:p w:rsidR="0033382B" w:rsidRDefault="0033382B" w:rsidP="0033382B">
      <w:pPr>
        <w:pStyle w:val="TextoNormal"/>
      </w:pPr>
      <w:r>
        <w:t>En efecto, el convenio colectivo de trabajo para el personal laboral al servicio de la Administración pública de la Región de Murcia (“BORM” núm. 125, de 1 de junio de 2007), en su art. 33 señala que las retribuciones básicas de los trabajadores incluidos en el ámbito de aplicación de este convenio son el salario base, el complemento de antigüedad y las pagas extraordinarias; y las retribuciones complementarias son el plus de destino, el complemento específico, la productividad (fija y semestral) y las gratificaciones por servicios extraordinarios (complemento de festividad, complemento de nocturnidad, complemento de turnicidad, complemento de atención continuada y horas extraordinarias). Por su parte, el art. 36.1 del convenio colectivo, relativo específicamente a las pagas extraordinarias, señala que “los trabajadores comprendidos en el ámbito de aplicación de este Convenio percibirán el importe de dos pagas extraordinarias equivalentes, cada una de ellas, a una mensualidad de salario base, complemento de antigüedad y la parte de retribuciones complementarias a incorporar a cada paga extraordinaria que permita incluir con carácter básico la Administración del Estado y las Leyes de Presupuestos Generales del Estado y de la Comunidad Autónoma de la Región de Murcia”.</w:t>
      </w:r>
    </w:p>
    <w:p w:rsidR="0033382B" w:rsidRDefault="0033382B" w:rsidP="0033382B">
      <w:pPr>
        <w:pStyle w:val="TextoNormal"/>
      </w:pPr>
    </w:p>
    <w:p w:rsidR="0033382B" w:rsidRDefault="0033382B" w:rsidP="0033382B">
      <w:pPr>
        <w:pStyle w:val="TextoNormal"/>
      </w:pPr>
      <w:r>
        <w:t>Así, la resolución de 29 de enero de 2013, del Secretario General de la Consejería de Economía y Hacienda, por la que se dispone la publicación en el “Boletín Oficial de la Región de Murcia” del acuerdo del Consejo de Gobierno de fecha 25 de enero de 2013, sobre retribuciones del personal al servicio de la Administración general de la Comunidad Autónoma de la Región de Murcia, sus organismos autónomos y altos cargos de esta Administración regional, para el año 2013, en el artículo decimoctavo señala que “en aplicación de lo establecido en el artículo 36.1 del vigente Convenio Colectivo, en las pagas extraordinarias el personal laboral percibirá, a igualdad de nivel, las cuantías que en concepto de complemento de destino se incluyen para el personal funcionario en el Anexo II”. De este modo, las pagas extraordinarias estarán integradas en el año 2013 por las cuantías de sueldo y trienios más la cuantía mensual del complemento de destino.</w:t>
      </w:r>
    </w:p>
    <w:p w:rsidR="0033382B" w:rsidRDefault="0033382B" w:rsidP="0033382B">
      <w:pPr>
        <w:pStyle w:val="TextoNormal"/>
      </w:pPr>
    </w:p>
    <w:p w:rsidR="0033382B" w:rsidRDefault="0033382B" w:rsidP="0033382B">
      <w:pPr>
        <w:pStyle w:val="TextoNormal"/>
      </w:pPr>
      <w:r>
        <w:t>En consecuencia, el art. 2.2 de la Ley 4/2013 de la Comunidad Autónoma de la Región de Murcia, en este proceso cuestionado, no suprime la paga extraordinaria de 2013 para el personal al servicio de la Administración general de la Comunidad Autónoma de la Región de Murcia, ni tampoco reduce su cuantía al eliminar determinados conceptos que forman parte de dicha paga como parece entender la Sala de lo Social cuestionante siguiendo en este punto lo afirmado por el sindicato demandante. Lo que hace el artículo 2.2 es suprimir en la nómina del mes de diciembre de 2013 determinadas retribuciones complementarias de vencimiento superior al mes. En concreto, no se percibirán en dicho mes por el personal laboral las cuantías correspondientes de los siguientes conceptos: paga adicional de complemento específico, productividad semestral, factores de complemento de destino y de complemento específico, que se perciben proporcionalmente al tiempo de servicios prestados en el semestre anterior a su devengo. Estos conceptos salariales no forman parte de la paga extraordinaria independientemente de que los mismos se perciban, como señala el propio artículo 2.2 cuestionado, “en los mismos términos establecidos para las pagas extraordinarias en el ámbito de la Administración regional”.</w:t>
      </w:r>
    </w:p>
    <w:p w:rsidR="0033382B" w:rsidRDefault="0033382B" w:rsidP="0033382B">
      <w:pPr>
        <w:pStyle w:val="TextoNormal"/>
      </w:pPr>
    </w:p>
    <w:p w:rsidR="0033382B" w:rsidRDefault="0033382B" w:rsidP="0033382B">
      <w:pPr>
        <w:pStyle w:val="TextoNormal"/>
      </w:pPr>
      <w:r>
        <w:t>Por tanto, al no formar parte los complementos salariales suprimidos de la paga extraordinaria no se puede fundamentar la vulneración del art. 9.3 CE en una interpretación jurisprudencial del devengo de las pagas extraordinarias que no es aplicable al caso.</w:t>
      </w:r>
    </w:p>
    <w:p w:rsidR="0033382B" w:rsidRDefault="0033382B" w:rsidP="0033382B">
      <w:pPr>
        <w:pStyle w:val="TextoNormal"/>
      </w:pPr>
    </w:p>
    <w:p w:rsidR="0033382B" w:rsidRDefault="0033382B" w:rsidP="0033382B">
      <w:pPr>
        <w:pStyle w:val="TextoNormal"/>
      </w:pPr>
      <w:r>
        <w:t>Por todo lo expuesto, el Pleno</w:t>
      </w:r>
    </w:p>
    <w:p w:rsidR="0033382B" w:rsidRDefault="0033382B" w:rsidP="0033382B">
      <w:pPr>
        <w:pStyle w:val="TextoNormal"/>
      </w:pPr>
    </w:p>
    <w:p w:rsidR="0033382B" w:rsidRDefault="0033382B" w:rsidP="0033382B">
      <w:pPr>
        <w:pStyle w:val="TextoNormalCentrado"/>
      </w:pPr>
      <w:r>
        <w:t>ACUERDA</w:t>
      </w:r>
    </w:p>
    <w:p w:rsidR="0033382B" w:rsidRDefault="0033382B" w:rsidP="0033382B">
      <w:pPr>
        <w:pStyle w:val="TextoNormalCentrado"/>
      </w:pPr>
    </w:p>
    <w:p w:rsidR="0033382B" w:rsidRDefault="0033382B" w:rsidP="0033382B">
      <w:pPr>
        <w:pStyle w:val="TextoNormal"/>
      </w:pPr>
      <w:r>
        <w:t>Inadmitir a trámite la presente cuestión de inconstitucionalidad.</w:t>
      </w:r>
    </w:p>
    <w:p w:rsidR="0033382B" w:rsidRDefault="0033382B" w:rsidP="0033382B">
      <w:pPr>
        <w:pStyle w:val="TextoNormal"/>
      </w:pPr>
    </w:p>
    <w:p w:rsidR="0033382B" w:rsidRDefault="0033382B" w:rsidP="0057104C">
      <w:pPr>
        <w:pStyle w:val="TextoNormal"/>
      </w:pPr>
      <w:r>
        <w:t>Madrid, a veintitrés de junio de dos mil dieciséis.</w:t>
      </w:r>
    </w:p>
    <w:p w:rsidR="0057104C" w:rsidRDefault="0057104C">
      <w:pPr>
        <w:spacing w:after="160" w:line="259" w:lineRule="auto"/>
        <w:rPr>
          <w:rFonts w:ascii="Times New Roman" w:eastAsia="Times New Roman" w:hAnsi="Times New Roman" w:cs="Times New Roman"/>
          <w:sz w:val="24"/>
          <w:szCs w:val="24"/>
          <w:lang w:eastAsia="es-ES"/>
        </w:rPr>
      </w:pPr>
      <w:r>
        <w:br w:type="page"/>
      </w:r>
    </w:p>
    <w:p w:rsidR="0057104C" w:rsidRDefault="0057104C" w:rsidP="0033382B">
      <w:pPr>
        <w:pStyle w:val="ParrafoNormal"/>
      </w:pPr>
    </w:p>
    <w:p w:rsidR="0057104C" w:rsidRDefault="0057104C" w:rsidP="0057104C">
      <w:pPr>
        <w:pStyle w:val="TextoNormal"/>
      </w:pPr>
    </w:p>
    <w:p w:rsidR="0057104C" w:rsidRDefault="0057104C" w:rsidP="0057104C">
      <w:pPr>
        <w:pStyle w:val="TextoNormal"/>
      </w:pPr>
    </w:p>
    <w:p w:rsidR="0057104C" w:rsidRDefault="0057104C" w:rsidP="0057104C">
      <w:pPr>
        <w:pStyle w:val="TextoNormal"/>
      </w:pPr>
    </w:p>
    <w:p w:rsidR="0057104C" w:rsidRDefault="0057104C" w:rsidP="0057104C">
      <w:pPr>
        <w:pStyle w:val="Ttulondice"/>
        <w:suppressAutoHyphens/>
      </w:pPr>
      <w:r>
        <w:t>3. ÍNDICE DE DISPOSICIONES CON FUERZA DE LEY IMPUGNADAS</w:t>
      </w: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pPr>
    </w:p>
    <w:p w:rsidR="0057104C" w:rsidRDefault="0057104C" w:rsidP="0057104C">
      <w:pPr>
        <w:pStyle w:val="TextoNormal"/>
      </w:pPr>
      <w:bookmarkStart w:id="262" w:name="INDICE22802"/>
      <w:bookmarkEnd w:id="262"/>
    </w:p>
    <w:p w:rsidR="0057104C" w:rsidRDefault="0057104C" w:rsidP="0057104C">
      <w:pPr>
        <w:pStyle w:val="TextoIndiceNivel2"/>
        <w:suppressAutoHyphens/>
      </w:pPr>
      <w:r>
        <w:t>A) Disposiciones con fuerza de ley del Estado</w:t>
      </w:r>
    </w:p>
    <w:p w:rsidR="0057104C" w:rsidRDefault="0057104C" w:rsidP="0057104C">
      <w:pPr>
        <w:pStyle w:val="TextoIndiceNivel2"/>
      </w:pPr>
    </w:p>
    <w:p w:rsidR="0057104C" w:rsidRDefault="0057104C" w:rsidP="0057104C">
      <w:pPr>
        <w:pStyle w:val="TextoNormalNegritaCursivandice"/>
      </w:pPr>
      <w:r>
        <w:t>Ley 7/1985, de 2 de abril. Reguladora de bases del régimen local</w:t>
      </w:r>
    </w:p>
    <w:p w:rsidR="0057104C" w:rsidRDefault="0057104C" w:rsidP="0057104C">
      <w:pPr>
        <w:pStyle w:val="SangriaFrancesaArticulo"/>
      </w:pPr>
      <w:r w:rsidRPr="0057104C">
        <w:rPr>
          <w:rStyle w:val="TextoNormalNegritaCaracter"/>
        </w:rPr>
        <w:t>Artículo 26.2</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xml:space="preserve"> (anula).</w:t>
      </w:r>
    </w:p>
    <w:p w:rsidR="0057104C" w:rsidRDefault="0057104C" w:rsidP="0057104C">
      <w:pPr>
        <w:pStyle w:val="SangriaFrancesaArticulo"/>
      </w:pPr>
      <w:r w:rsidRPr="0057104C">
        <w:rPr>
          <w:rStyle w:val="TextoNormalNegritaCaracter"/>
        </w:rPr>
        <w:t>Artículo 36.1 g)</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Artículo 36.2 a), párrafo 2.</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Artículo 57 bis</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Disposición adicional decimosexta</w:t>
      </w:r>
      <w:r>
        <w:t xml:space="preserve"> (redactada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xml:space="preserve"> (anula).</w:t>
      </w:r>
    </w:p>
    <w:p w:rsidR="0057104C" w:rsidRDefault="0057104C" w:rsidP="0057104C">
      <w:pPr>
        <w:pStyle w:val="SangriaFrancesaArticulo"/>
      </w:pPr>
    </w:p>
    <w:p w:rsidR="0057104C" w:rsidRDefault="0057104C" w:rsidP="0057104C">
      <w:pPr>
        <w:pStyle w:val="TextoNormalNegritaCursivandice"/>
      </w:pPr>
      <w:r>
        <w:t>Real Decreto Legislativo 781/1986, de 18 de abril. Texto refundido de las disposiciones legales vigentes en materia de régimen local</w:t>
      </w:r>
    </w:p>
    <w:p w:rsidR="0057104C" w:rsidRDefault="0057104C" w:rsidP="0057104C">
      <w:pPr>
        <w:pStyle w:val="SangriaFrancesaArticulo"/>
      </w:pPr>
      <w:r w:rsidRPr="0057104C">
        <w:rPr>
          <w:rStyle w:val="TextoNormalNegritaCaracter"/>
        </w:rPr>
        <w:t xml:space="preserve">Artículo 97, párrafo 2 </w:t>
      </w:r>
      <w:r w:rsidRPr="0057104C">
        <w:rPr>
          <w:rStyle w:val="TextoNormalNegritaCursivaCaracter"/>
        </w:rPr>
        <w:t>in fine</w:t>
      </w:r>
      <w:r>
        <w:t xml:space="preserve"> </w:t>
      </w:r>
      <w:r w:rsidRPr="0057104C">
        <w:rPr>
          <w:rStyle w:val="TextoNormalCaracter"/>
        </w:rPr>
        <w:t>(redactado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p>
    <w:p w:rsidR="0057104C" w:rsidRDefault="0057104C" w:rsidP="0057104C">
      <w:pPr>
        <w:pStyle w:val="TextoNormalNegritaCursivandice"/>
      </w:pPr>
      <w:r>
        <w:t>Real Decreto Legislativo 670/1987, de 30 de abril. Texto refundido de la Ley de clases pasivas del Estado</w:t>
      </w:r>
    </w:p>
    <w:p w:rsidR="0057104C" w:rsidRDefault="0057104C" w:rsidP="0057104C">
      <w:pPr>
        <w:pStyle w:val="SangriaFrancesaArticulo"/>
      </w:pPr>
      <w:r w:rsidRPr="0057104C">
        <w:rPr>
          <w:rStyle w:val="TextoNormalNegritaCaracter"/>
        </w:rPr>
        <w:t>Artículo 38.4, último párrafo.</w:t>
      </w:r>
      <w:r w:rsidRPr="0057104C">
        <w:rPr>
          <w:rStyle w:val="TextoNormalCaracter"/>
        </w:rPr>
        <w:t>-</w:t>
      </w:r>
      <w:r>
        <w:t xml:space="preserve"> Auto </w:t>
      </w:r>
      <w:hyperlink w:anchor="AUTO_2016_11" w:history="1">
        <w:r w:rsidRPr="0057104C">
          <w:rPr>
            <w:rStyle w:val="TextoNormalCaracter"/>
          </w:rPr>
          <w:t>11/2016</w:t>
        </w:r>
      </w:hyperlink>
      <w:r>
        <w:t>.</w:t>
      </w:r>
    </w:p>
    <w:p w:rsidR="0057104C" w:rsidRDefault="0057104C" w:rsidP="0057104C">
      <w:pPr>
        <w:pStyle w:val="SangriaFrancesaArticulo"/>
      </w:pPr>
    </w:p>
    <w:p w:rsidR="0057104C" w:rsidRDefault="0057104C" w:rsidP="0057104C">
      <w:pPr>
        <w:pStyle w:val="TextoNormalNegritaCursivandice"/>
      </w:pPr>
      <w:r>
        <w:t>Ley 29/1987, de 18 de diciembre. Impuesto sobre sucesiones y donaciones</w:t>
      </w:r>
    </w:p>
    <w:p w:rsidR="0057104C" w:rsidRDefault="0057104C" w:rsidP="0057104C">
      <w:pPr>
        <w:pStyle w:val="SangriaFrancesaArticulo"/>
      </w:pPr>
      <w:r w:rsidRPr="0057104C">
        <w:rPr>
          <w:rStyle w:val="TextoNormalNegritaCaracter"/>
        </w:rPr>
        <w:t>Artículo 20.2 a).</w:t>
      </w:r>
      <w:r w:rsidRPr="0057104C">
        <w:rPr>
          <w:rStyle w:val="TextoNormalCaracter"/>
        </w:rPr>
        <w:t>-</w:t>
      </w:r>
      <w:r>
        <w:t xml:space="preserve"> Auto </w:t>
      </w:r>
      <w:hyperlink w:anchor="AUTO_2016_129" w:history="1">
        <w:r w:rsidRPr="0057104C">
          <w:rPr>
            <w:rStyle w:val="TextoNormalCaracter"/>
          </w:rPr>
          <w:t>129/2016</w:t>
        </w:r>
      </w:hyperlink>
      <w:r>
        <w:t>.</w:t>
      </w:r>
    </w:p>
    <w:p w:rsidR="0057104C" w:rsidRDefault="0057104C" w:rsidP="0057104C">
      <w:pPr>
        <w:pStyle w:val="SangriaFrancesaArticulo"/>
      </w:pPr>
    </w:p>
    <w:p w:rsidR="0057104C" w:rsidRDefault="0057104C" w:rsidP="0057104C">
      <w:pPr>
        <w:pStyle w:val="TextoNormalNegritaCursivandice"/>
      </w:pPr>
      <w:r>
        <w:t>Ley 22/1988, de 28 de julio. Costas</w:t>
      </w:r>
    </w:p>
    <w:p w:rsidR="0057104C" w:rsidRDefault="0057104C" w:rsidP="0057104C">
      <w:pPr>
        <w:pStyle w:val="SangriaFrancesaArticulo"/>
      </w:pPr>
      <w:r w:rsidRPr="0057104C">
        <w:rPr>
          <w:rStyle w:val="TextoNormalNegritaCaracter"/>
        </w:rPr>
        <w:t>Disposición transitoria primera, apartado 5</w:t>
      </w:r>
      <w:r>
        <w:t xml:space="preserve"> (redactada por la Ley 2/2013, de 29 de mayo)</w:t>
      </w:r>
      <w:r w:rsidRPr="0057104C">
        <w:rPr>
          <w:rStyle w:val="TextoNormalNegritaCaracter"/>
        </w:rPr>
        <w:t>.</w:t>
      </w:r>
      <w:r w:rsidRPr="0057104C">
        <w:rPr>
          <w:rStyle w:val="TextoNormalCaracter"/>
        </w:rPr>
        <w:t>-</w:t>
      </w:r>
      <w:r>
        <w:t xml:space="preserve"> Sentencia </w:t>
      </w:r>
      <w:hyperlink w:anchor="SENTENCIA_2016_100" w:history="1">
        <w:r w:rsidRPr="0057104C">
          <w:rPr>
            <w:rStyle w:val="TextoNormalCaracter"/>
          </w:rPr>
          <w:t>100/2016</w:t>
        </w:r>
      </w:hyperlink>
      <w:r>
        <w:t>.</w:t>
      </w:r>
    </w:p>
    <w:p w:rsidR="0057104C" w:rsidRDefault="0057104C" w:rsidP="0057104C">
      <w:pPr>
        <w:pStyle w:val="SangriaFrancesaArticulo"/>
      </w:pPr>
    </w:p>
    <w:p w:rsidR="0057104C" w:rsidRDefault="0057104C" w:rsidP="0057104C">
      <w:pPr>
        <w:pStyle w:val="TextoNormalNegritaCursivandice"/>
      </w:pPr>
      <w:r>
        <w:t>Real Decreto Legislativo 1/1994, de 20 de junio. Texto refundido de la Ley general de la Seguridad Social</w:t>
      </w:r>
    </w:p>
    <w:p w:rsidR="0057104C" w:rsidRDefault="0057104C" w:rsidP="0057104C">
      <w:pPr>
        <w:pStyle w:val="SangriaFrancesaArticulo"/>
      </w:pPr>
      <w:r w:rsidRPr="0057104C">
        <w:rPr>
          <w:rStyle w:val="TextoNormalNegritaCaracter"/>
        </w:rPr>
        <w:t>Disposición adicional sexagésima sexta, apartado 1.</w:t>
      </w:r>
      <w:r w:rsidRPr="0057104C">
        <w:rPr>
          <w:rStyle w:val="TextoNormalCaracter"/>
        </w:rPr>
        <w:t>-</w:t>
      </w:r>
      <w:r>
        <w:t xml:space="preserve"> Sentencia </w:t>
      </w:r>
      <w:hyperlink w:anchor="SENTENCIA_2016_123" w:history="1">
        <w:r w:rsidRPr="0057104C">
          <w:rPr>
            <w:rStyle w:val="TextoNormalCaracter"/>
          </w:rPr>
          <w:t>123/2016</w:t>
        </w:r>
      </w:hyperlink>
      <w:r>
        <w:t xml:space="preserve"> (anula).</w:t>
      </w:r>
    </w:p>
    <w:p w:rsidR="0057104C" w:rsidRDefault="0057104C" w:rsidP="0057104C">
      <w:pPr>
        <w:pStyle w:val="SangriaFrancesaArticulo"/>
      </w:pPr>
    </w:p>
    <w:p w:rsidR="0057104C" w:rsidRDefault="0057104C" w:rsidP="0057104C">
      <w:pPr>
        <w:pStyle w:val="TextoNormalNegritaCursivandice"/>
      </w:pPr>
      <w:r>
        <w:t>Ley 25/1994, de 12 de julio. Incorporación al ordenamiento jurídico español de la Directiva 89/552/CEE sobre la coordinación de disposiciones legales, reglamentarias y administrativas de los Estados miembros relativas al ejercicio de actividades de radiodifusión televisiva</w:t>
      </w:r>
    </w:p>
    <w:p w:rsidR="0057104C" w:rsidRDefault="0057104C" w:rsidP="0057104C">
      <w:pPr>
        <w:pStyle w:val="SangriaFrancesaArticulo"/>
      </w:pPr>
      <w:r w:rsidRPr="0057104C">
        <w:rPr>
          <w:rStyle w:val="TextoNormalNegritaCaracter"/>
        </w:rPr>
        <w:t>Artículo 5.1, párrafo 2.</w:t>
      </w:r>
      <w:r w:rsidRPr="0057104C">
        <w:rPr>
          <w:rStyle w:val="TextoNormalCaracter"/>
        </w:rPr>
        <w:t>-</w:t>
      </w:r>
      <w:r>
        <w:t xml:space="preserve"> Sentencia </w:t>
      </w:r>
      <w:hyperlink w:anchor="SENTENCIA_2016_35" w:history="1">
        <w:r w:rsidRPr="0057104C">
          <w:rPr>
            <w:rStyle w:val="TextoNormalCaracter"/>
          </w:rPr>
          <w:t>35/2016</w:t>
        </w:r>
      </w:hyperlink>
      <w:r>
        <w:t>.</w:t>
      </w:r>
    </w:p>
    <w:p w:rsidR="0057104C" w:rsidRDefault="0057104C" w:rsidP="0057104C">
      <w:pPr>
        <w:pStyle w:val="SangriaFrancesaArticulo"/>
      </w:pPr>
    </w:p>
    <w:p w:rsidR="0057104C" w:rsidRDefault="0057104C" w:rsidP="0057104C">
      <w:pPr>
        <w:pStyle w:val="TextoNormalNegritaCursivandice"/>
      </w:pPr>
      <w:r>
        <w:t>Ley 40/1994, de 30 de diciembre. Ordenación del sistema eléctrico nacional</w:t>
      </w:r>
    </w:p>
    <w:p w:rsidR="0057104C" w:rsidRDefault="0057104C" w:rsidP="0057104C">
      <w:pPr>
        <w:pStyle w:val="SangriaFrancesaArticulo"/>
      </w:pPr>
      <w:r w:rsidRPr="0057104C">
        <w:rPr>
          <w:rStyle w:val="TextoNormalNegritaCaracter"/>
        </w:rPr>
        <w:t>Artículo 52.2.</w:t>
      </w:r>
      <w:r w:rsidRPr="0057104C">
        <w:rPr>
          <w:rStyle w:val="TextoNormalCaracter"/>
        </w:rPr>
        <w:t>-</w:t>
      </w:r>
      <w:r>
        <w:t xml:space="preserve"> Auto </w:t>
      </w:r>
      <w:hyperlink w:anchor="AUTO_2016_63" w:history="1">
        <w:r w:rsidRPr="0057104C">
          <w:rPr>
            <w:rStyle w:val="TextoNormalCaracter"/>
          </w:rPr>
          <w:t>63/2016</w:t>
        </w:r>
      </w:hyperlink>
      <w:r>
        <w:t>.</w:t>
      </w:r>
    </w:p>
    <w:p w:rsidR="0057104C" w:rsidRDefault="0057104C" w:rsidP="0057104C">
      <w:pPr>
        <w:pStyle w:val="SangriaFrancesaArticulo"/>
      </w:pPr>
      <w:r w:rsidRPr="0057104C">
        <w:rPr>
          <w:rStyle w:val="TextoNormalNegritaCaracter"/>
        </w:rPr>
        <w:t>Artículo 53.1.</w:t>
      </w:r>
      <w:r w:rsidRPr="0057104C">
        <w:rPr>
          <w:rStyle w:val="TextoNormalCaracter"/>
        </w:rPr>
        <w:t>-</w:t>
      </w:r>
      <w:r>
        <w:t xml:space="preserve"> Auto </w:t>
      </w:r>
      <w:hyperlink w:anchor="AUTO_2016_63" w:history="1">
        <w:r w:rsidRPr="0057104C">
          <w:rPr>
            <w:rStyle w:val="TextoNormalCaracter"/>
          </w:rPr>
          <w:t>63/2016</w:t>
        </w:r>
      </w:hyperlink>
      <w:r>
        <w:t>.</w:t>
      </w:r>
    </w:p>
    <w:p w:rsidR="0057104C" w:rsidRDefault="0057104C" w:rsidP="0057104C">
      <w:pPr>
        <w:pStyle w:val="SangriaFrancesaArticulo"/>
      </w:pPr>
    </w:p>
    <w:p w:rsidR="0057104C" w:rsidRDefault="0057104C" w:rsidP="0057104C">
      <w:pPr>
        <w:pStyle w:val="TextoNormalNegritaCursivandice"/>
      </w:pPr>
      <w:r>
        <w:t>Ley 54/1997, de 27 de noviembre. Sector eléctrico</w:t>
      </w:r>
    </w:p>
    <w:p w:rsidR="0057104C" w:rsidRDefault="0057104C" w:rsidP="0057104C">
      <w:pPr>
        <w:pStyle w:val="SangriaFrancesaArticulo"/>
      </w:pPr>
      <w:r w:rsidRPr="0057104C">
        <w:rPr>
          <w:rStyle w:val="TextoNormalNegritaCaracter"/>
        </w:rPr>
        <w:t>Artículo 53.2.</w:t>
      </w:r>
      <w:r w:rsidRPr="0057104C">
        <w:rPr>
          <w:rStyle w:val="TextoNormalCaracter"/>
        </w:rPr>
        <w:t>-</w:t>
      </w:r>
      <w:r>
        <w:t xml:space="preserve"> Auto </w:t>
      </w:r>
      <w:hyperlink w:anchor="AUTO_2016_63" w:history="1">
        <w:r w:rsidRPr="0057104C">
          <w:rPr>
            <w:rStyle w:val="TextoNormalCaracter"/>
          </w:rPr>
          <w:t>63/2016</w:t>
        </w:r>
      </w:hyperlink>
      <w:r>
        <w:t>.</w:t>
      </w:r>
    </w:p>
    <w:p w:rsidR="0057104C" w:rsidRDefault="0057104C" w:rsidP="0057104C">
      <w:pPr>
        <w:pStyle w:val="SangriaFrancesaArticulo"/>
      </w:pPr>
      <w:r w:rsidRPr="0057104C">
        <w:rPr>
          <w:rStyle w:val="TextoNormalNegritaCaracter"/>
        </w:rPr>
        <w:t>Artículo 54.1.</w:t>
      </w:r>
      <w:r w:rsidRPr="0057104C">
        <w:rPr>
          <w:rStyle w:val="TextoNormalCaracter"/>
        </w:rPr>
        <w:t>-</w:t>
      </w:r>
      <w:r>
        <w:t xml:space="preserve"> Auto </w:t>
      </w:r>
      <w:hyperlink w:anchor="AUTO_2016_63" w:history="1">
        <w:r w:rsidRPr="0057104C">
          <w:rPr>
            <w:rStyle w:val="TextoNormalCaracter"/>
          </w:rPr>
          <w:t>63/2016</w:t>
        </w:r>
      </w:hyperlink>
      <w:r>
        <w:t>.</w:t>
      </w:r>
    </w:p>
    <w:p w:rsidR="0057104C" w:rsidRDefault="0057104C" w:rsidP="0057104C">
      <w:pPr>
        <w:pStyle w:val="SangriaFrancesaArticulo"/>
      </w:pPr>
    </w:p>
    <w:p w:rsidR="0057104C" w:rsidRDefault="0057104C" w:rsidP="0057104C">
      <w:pPr>
        <w:pStyle w:val="TextoNormalNegritaCursivandice"/>
      </w:pPr>
      <w:r>
        <w:t>Ley 29/1998, de 13 de julio. Jurisdicción contencioso-administrativa</w:t>
      </w:r>
    </w:p>
    <w:p w:rsidR="0057104C" w:rsidRDefault="0057104C" w:rsidP="0057104C">
      <w:pPr>
        <w:pStyle w:val="SangriaFrancesaArticulo"/>
      </w:pPr>
      <w:r w:rsidRPr="0057104C">
        <w:rPr>
          <w:rStyle w:val="TextoNormalNegritaCaracter"/>
        </w:rPr>
        <w:t>Artículo 102 bis, apartado 2</w:t>
      </w:r>
      <w:r>
        <w:t xml:space="preserve"> (redactado por la Ley 13/2009, de 3 de noviembre)</w:t>
      </w:r>
      <w:r w:rsidRPr="0057104C">
        <w:rPr>
          <w:rStyle w:val="TextoNormalNegritaCaracter"/>
        </w:rPr>
        <w:t>.</w:t>
      </w:r>
      <w:r w:rsidRPr="0057104C">
        <w:rPr>
          <w:rStyle w:val="TextoNormalCaracter"/>
        </w:rPr>
        <w:t>-</w:t>
      </w:r>
      <w:r>
        <w:t xml:space="preserve"> Sentencia </w:t>
      </w:r>
      <w:hyperlink w:anchor="SENTENCIA_2016_58" w:history="1">
        <w:r w:rsidRPr="0057104C">
          <w:rPr>
            <w:rStyle w:val="TextoNormalCaracter"/>
          </w:rPr>
          <w:t>58/2016</w:t>
        </w:r>
      </w:hyperlink>
      <w:r>
        <w:t xml:space="preserve"> (anula parcialmente).</w:t>
      </w:r>
    </w:p>
    <w:p w:rsidR="0057104C" w:rsidRDefault="0057104C" w:rsidP="0057104C">
      <w:pPr>
        <w:pStyle w:val="SangriaFrancesaArticulo"/>
      </w:pPr>
      <w:r w:rsidRPr="0057104C">
        <w:rPr>
          <w:rStyle w:val="TextoNormalNegritaCaracter"/>
        </w:rPr>
        <w:t>Artículo 102 bis, apartado 2 párrafo 1</w:t>
      </w:r>
      <w:r>
        <w:t xml:space="preserve"> (redactado por la Ley 13/2009, de 3 de noviembre)</w:t>
      </w:r>
      <w:r w:rsidRPr="0057104C">
        <w:rPr>
          <w:rStyle w:val="TextoNormalNegritaCaracter"/>
        </w:rPr>
        <w:t>.</w:t>
      </w:r>
      <w:r w:rsidRPr="0057104C">
        <w:rPr>
          <w:rStyle w:val="TextoNormalCaracter"/>
        </w:rPr>
        <w:t>-</w:t>
      </w:r>
      <w:r>
        <w:t xml:space="preserve"> Sentencia </w:t>
      </w:r>
      <w:hyperlink w:anchor="SENTENCIA_2016_58" w:history="1">
        <w:r w:rsidRPr="0057104C">
          <w:rPr>
            <w:rStyle w:val="TextoNormalCaracter"/>
          </w:rPr>
          <w:t>58/2016</w:t>
        </w:r>
      </w:hyperlink>
      <w:r>
        <w:t xml:space="preserve"> (anula).</w:t>
      </w:r>
    </w:p>
    <w:p w:rsidR="0057104C" w:rsidRDefault="0057104C" w:rsidP="0057104C">
      <w:pPr>
        <w:pStyle w:val="SangriaFrancesaArticulo"/>
      </w:pPr>
    </w:p>
    <w:p w:rsidR="0057104C" w:rsidRDefault="0057104C" w:rsidP="0057104C">
      <w:pPr>
        <w:pStyle w:val="TextoNormalNegritaCursivandice"/>
      </w:pPr>
      <w:r>
        <w:t>Ley 11/2003, de 21 de mayo. Equipos conjuntos de investigación penal en el ámbito de la Unión Europea</w:t>
      </w:r>
    </w:p>
    <w:p w:rsidR="0057104C" w:rsidRDefault="0057104C" w:rsidP="0057104C">
      <w:pPr>
        <w:pStyle w:val="SangriaFrancesaArticulo"/>
      </w:pPr>
      <w:r w:rsidRPr="0057104C">
        <w:rPr>
          <w:rStyle w:val="TextoNormalNegritaCaracter"/>
        </w:rPr>
        <w:t>Artículo 3, párrafo 2.</w:t>
      </w:r>
      <w:r w:rsidRPr="0057104C">
        <w:rPr>
          <w:rStyle w:val="TextoNormalCaracter"/>
        </w:rPr>
        <w:t>-</w:t>
      </w:r>
      <w:r>
        <w:t xml:space="preserve"> Auto </w:t>
      </w:r>
      <w:hyperlink w:anchor="AUTO_2016_122" w:history="1">
        <w:r w:rsidRPr="0057104C">
          <w:rPr>
            <w:rStyle w:val="TextoNormalCaracter"/>
          </w:rPr>
          <w:t>122/2016</w:t>
        </w:r>
      </w:hyperlink>
      <w:r>
        <w:t>.</w:t>
      </w:r>
    </w:p>
    <w:p w:rsidR="0057104C" w:rsidRDefault="0057104C" w:rsidP="0057104C">
      <w:pPr>
        <w:pStyle w:val="SangriaFrancesaArticulo"/>
      </w:pPr>
      <w:r w:rsidRPr="0057104C">
        <w:rPr>
          <w:rStyle w:val="TextoNormalNegritaCaracter"/>
        </w:rPr>
        <w:t>Artículo 9.1.</w:t>
      </w:r>
      <w:r w:rsidRPr="0057104C">
        <w:rPr>
          <w:rStyle w:val="TextoNormalCaracter"/>
        </w:rPr>
        <w:t>-</w:t>
      </w:r>
      <w:r>
        <w:t xml:space="preserve"> Auto </w:t>
      </w:r>
      <w:hyperlink w:anchor="AUTO_2016_122" w:history="1">
        <w:r w:rsidRPr="0057104C">
          <w:rPr>
            <w:rStyle w:val="TextoNormalCaracter"/>
          </w:rPr>
          <w:t>122/2016</w:t>
        </w:r>
      </w:hyperlink>
      <w:r>
        <w:t>.</w:t>
      </w:r>
    </w:p>
    <w:p w:rsidR="0057104C" w:rsidRDefault="0057104C" w:rsidP="0057104C">
      <w:pPr>
        <w:pStyle w:val="SangriaFrancesaArticulo"/>
      </w:pPr>
    </w:p>
    <w:p w:rsidR="0057104C" w:rsidRDefault="0057104C" w:rsidP="0057104C">
      <w:pPr>
        <w:pStyle w:val="TextoNormalNegritaCursivandice"/>
      </w:pPr>
      <w:r>
        <w:t>Ley 22/2003, de 9 de julio. Concursal</w:t>
      </w:r>
    </w:p>
    <w:p w:rsidR="0057104C" w:rsidRDefault="0057104C" w:rsidP="0057104C">
      <w:pPr>
        <w:pStyle w:val="SangriaFrancesaArticulo"/>
      </w:pPr>
      <w:r w:rsidRPr="0057104C">
        <w:rPr>
          <w:rStyle w:val="TextoNormalNegritaCaracter"/>
        </w:rPr>
        <w:t>Artículo 168.1</w:t>
      </w:r>
      <w:r>
        <w:t xml:space="preserve"> (redactado por el Real Decreto-ley 3/2009, de 27 de marzo)</w:t>
      </w:r>
      <w:r w:rsidRPr="0057104C">
        <w:rPr>
          <w:rStyle w:val="TextoNormalNegritaCaracter"/>
        </w:rPr>
        <w:t>.</w:t>
      </w:r>
      <w:r w:rsidRPr="0057104C">
        <w:rPr>
          <w:rStyle w:val="TextoNormalCaracter"/>
        </w:rPr>
        <w:t>-</w:t>
      </w:r>
      <w:r>
        <w:t xml:space="preserve"> Autos </w:t>
      </w:r>
      <w:hyperlink w:anchor="AUTO_2016_35" w:history="1">
        <w:r w:rsidRPr="0057104C">
          <w:rPr>
            <w:rStyle w:val="TextoNormalCaracter"/>
          </w:rPr>
          <w:t>35/2016</w:t>
        </w:r>
      </w:hyperlink>
      <w:r>
        <w:t xml:space="preserve">; </w:t>
      </w:r>
      <w:hyperlink w:anchor="AUTO_2016_36" w:history="1">
        <w:r w:rsidRPr="0057104C">
          <w:rPr>
            <w:rStyle w:val="TextoNormalCaracter"/>
          </w:rPr>
          <w:t>36/2016</w:t>
        </w:r>
      </w:hyperlink>
      <w:r>
        <w:t>.</w:t>
      </w:r>
    </w:p>
    <w:p w:rsidR="0057104C" w:rsidRDefault="0057104C" w:rsidP="0057104C">
      <w:pPr>
        <w:pStyle w:val="SangriaFrancesaArticulo"/>
      </w:pPr>
      <w:r w:rsidRPr="0057104C">
        <w:rPr>
          <w:rStyle w:val="TextoNormalNegritaCaracter"/>
        </w:rPr>
        <w:t>Artículo 170.1.</w:t>
      </w:r>
      <w:r w:rsidRPr="0057104C">
        <w:rPr>
          <w:rStyle w:val="TextoNormalCaracter"/>
        </w:rPr>
        <w:t>-</w:t>
      </w:r>
      <w:r>
        <w:t xml:space="preserve"> Autos </w:t>
      </w:r>
      <w:hyperlink w:anchor="AUTO_2016_35" w:history="1">
        <w:r w:rsidRPr="0057104C">
          <w:rPr>
            <w:rStyle w:val="TextoNormalCaracter"/>
          </w:rPr>
          <w:t>35/2016</w:t>
        </w:r>
      </w:hyperlink>
      <w:r>
        <w:t xml:space="preserve">; </w:t>
      </w:r>
      <w:hyperlink w:anchor="AUTO_2016_36" w:history="1">
        <w:r w:rsidRPr="0057104C">
          <w:rPr>
            <w:rStyle w:val="TextoNormalCaracter"/>
          </w:rPr>
          <w:t>36/2016</w:t>
        </w:r>
      </w:hyperlink>
      <w:r>
        <w:t>.</w:t>
      </w:r>
    </w:p>
    <w:p w:rsidR="0057104C" w:rsidRDefault="0057104C" w:rsidP="0057104C">
      <w:pPr>
        <w:pStyle w:val="SangriaFrancesaArticulo"/>
      </w:pPr>
    </w:p>
    <w:p w:rsidR="0057104C" w:rsidRDefault="0057104C" w:rsidP="0057104C">
      <w:pPr>
        <w:pStyle w:val="TextoNormalNegritaCursivandice"/>
      </w:pPr>
      <w:r>
        <w:t>Ley 35/2006, de 28 de noviembre. Impuesto sobre la renta de las personas físicas y modificación parcial de las leyes de los impuestos sobre sociedades, sobre la renta de no residentes y sobre el patrimonio</w:t>
      </w:r>
    </w:p>
    <w:p w:rsidR="0057104C" w:rsidRDefault="0057104C" w:rsidP="0057104C">
      <w:pPr>
        <w:pStyle w:val="SangriaFrancesaArticulo"/>
      </w:pPr>
      <w:r w:rsidRPr="0057104C">
        <w:rPr>
          <w:rStyle w:val="TextoNormalNegritaCaracter"/>
        </w:rPr>
        <w:t>Disposición adicional trigésima primera "que se imputen en un período impositivo que finalice con posterioridad a 4 de agosto de 2004"</w:t>
      </w:r>
      <w:r>
        <w:t xml:space="preserve"> (redactada por la Ley 2/2011, de 4 de marzo)</w:t>
      </w:r>
      <w:r w:rsidRPr="0057104C">
        <w:rPr>
          <w:rStyle w:val="TextoNormalNegritaCaracter"/>
        </w:rPr>
        <w:t>.</w:t>
      </w:r>
      <w:r w:rsidRPr="0057104C">
        <w:rPr>
          <w:rStyle w:val="TextoNormalCaracter"/>
        </w:rPr>
        <w:t>-</w:t>
      </w:r>
      <w:r>
        <w:t xml:space="preserve"> Sentencia </w:t>
      </w:r>
      <w:hyperlink w:anchor="SENTENCIA_2016_121" w:history="1">
        <w:r w:rsidRPr="0057104C">
          <w:rPr>
            <w:rStyle w:val="TextoNormalCaracter"/>
          </w:rPr>
          <w:t>121/2016</w:t>
        </w:r>
      </w:hyperlink>
      <w:r>
        <w:t xml:space="preserve"> (anula).</w:t>
      </w:r>
    </w:p>
    <w:p w:rsidR="0057104C" w:rsidRDefault="0057104C" w:rsidP="0057104C">
      <w:pPr>
        <w:pStyle w:val="SangriaFrancesaArticulo"/>
      </w:pPr>
    </w:p>
    <w:p w:rsidR="0057104C" w:rsidRDefault="0057104C" w:rsidP="0057104C">
      <w:pPr>
        <w:pStyle w:val="TextoNormalNegritaCursivandice"/>
      </w:pPr>
      <w:r>
        <w:t>Ley 7/2007, de 12 de abril. Estatuto básico del empleado público</w:t>
      </w:r>
    </w:p>
    <w:p w:rsidR="0057104C" w:rsidRDefault="0057104C" w:rsidP="0057104C">
      <w:pPr>
        <w:pStyle w:val="SangriaFrancesaArticulo"/>
      </w:pPr>
      <w:r w:rsidRPr="0057104C">
        <w:rPr>
          <w:rStyle w:val="TextoNormalNegritaCaracter"/>
        </w:rPr>
        <w:t>Artículo 48 f).</w:t>
      </w:r>
      <w:r w:rsidRPr="0057104C">
        <w:rPr>
          <w:rStyle w:val="TextoNormalCaracter"/>
        </w:rPr>
        <w:t>-</w:t>
      </w:r>
      <w:r>
        <w:t xml:space="preserve"> Auto </w:t>
      </w:r>
      <w:hyperlink w:anchor="AUTO_2016_14" w:history="1">
        <w:r w:rsidRPr="0057104C">
          <w:rPr>
            <w:rStyle w:val="TextoNormalCaracter"/>
          </w:rPr>
          <w:t>14/2016</w:t>
        </w:r>
      </w:hyperlink>
      <w:r>
        <w:t>.</w:t>
      </w:r>
    </w:p>
    <w:p w:rsidR="0057104C" w:rsidRDefault="0057104C" w:rsidP="0057104C">
      <w:pPr>
        <w:pStyle w:val="SangriaFrancesaArticulo"/>
      </w:pPr>
      <w:r w:rsidRPr="0057104C">
        <w:rPr>
          <w:rStyle w:val="TextoNormalNegritaCaracter"/>
        </w:rPr>
        <w:t>Artículo 48 k)</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9" w:history="1">
        <w:r w:rsidRPr="0057104C">
          <w:rPr>
            <w:rStyle w:val="TextoNormalCaracter"/>
          </w:rPr>
          <w:t>9/2016</w:t>
        </w:r>
      </w:hyperlink>
      <w:r>
        <w:t>.</w:t>
      </w:r>
    </w:p>
    <w:p w:rsidR="0057104C" w:rsidRDefault="0057104C" w:rsidP="0057104C">
      <w:pPr>
        <w:pStyle w:val="SangriaFrancesaArticulo"/>
      </w:pPr>
    </w:p>
    <w:p w:rsidR="0057104C" w:rsidRDefault="0057104C" w:rsidP="0057104C">
      <w:pPr>
        <w:pStyle w:val="TextoNormalNegritaCursivandice"/>
      </w:pPr>
      <w:r>
        <w:t>Ley 51/2007, de 26 de diciembre. Presupuestos generales del Estado para 2008</w:t>
      </w:r>
    </w:p>
    <w:p w:rsidR="0057104C" w:rsidRDefault="0057104C" w:rsidP="0057104C">
      <w:pPr>
        <w:pStyle w:val="SangriaFrancesaArticulo"/>
      </w:pPr>
      <w:r w:rsidRPr="0057104C">
        <w:rPr>
          <w:rStyle w:val="TextoNormalNegritaCaracter"/>
        </w:rPr>
        <w:t>Disposición adicional decimoquinta, apartado c).</w:t>
      </w:r>
      <w:r w:rsidRPr="0057104C">
        <w:rPr>
          <w:rStyle w:val="TextoNormalCaracter"/>
        </w:rPr>
        <w:t>-</w:t>
      </w:r>
      <w:r>
        <w:t xml:space="preserve"> Sentencia </w:t>
      </w:r>
      <w:hyperlink w:anchor="SENTENCIA_2016_81" w:history="1">
        <w:r w:rsidRPr="0057104C">
          <w:rPr>
            <w:rStyle w:val="TextoNormalCaracter"/>
          </w:rPr>
          <w:t>81/2016</w:t>
        </w:r>
      </w:hyperlink>
      <w:r>
        <w:t xml:space="preserve"> (anula).</w:t>
      </w:r>
    </w:p>
    <w:p w:rsidR="0057104C" w:rsidRDefault="0057104C" w:rsidP="0057104C">
      <w:pPr>
        <w:pStyle w:val="SangriaFrancesaArticulo"/>
      </w:pPr>
    </w:p>
    <w:p w:rsidR="0057104C" w:rsidRDefault="0057104C" w:rsidP="0057104C">
      <w:pPr>
        <w:pStyle w:val="TextoNormalNegritaCursivandice"/>
      </w:pPr>
      <w:r>
        <w:t>Real Decreto Legislativo 2/2008, de 20 de junio. Texto refundido de la Ley de suelo</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Autos </w:t>
      </w:r>
      <w:hyperlink w:anchor="AUTO_2016_6" w:history="1">
        <w:r w:rsidRPr="0057104C">
          <w:rPr>
            <w:rStyle w:val="TextoNormalCaracter"/>
          </w:rPr>
          <w:t>6/2016</w:t>
        </w:r>
      </w:hyperlink>
      <w:r>
        <w:t xml:space="preserve">; </w:t>
      </w:r>
      <w:hyperlink w:anchor="AUTO_2016_7" w:history="1">
        <w:r w:rsidRPr="0057104C">
          <w:rPr>
            <w:rStyle w:val="TextoNormalCaracter"/>
          </w:rPr>
          <w:t>7/2016</w:t>
        </w:r>
      </w:hyperlink>
      <w:r>
        <w:t xml:space="preserve">; </w:t>
      </w:r>
      <w:hyperlink w:anchor="AUTO_2016_8" w:history="1">
        <w:r w:rsidRPr="0057104C">
          <w:rPr>
            <w:rStyle w:val="TextoNormalCaracter"/>
          </w:rPr>
          <w:t>8/2016</w:t>
        </w:r>
      </w:hyperlink>
      <w:r>
        <w:t xml:space="preserve">; </w:t>
      </w:r>
      <w:hyperlink w:anchor="AUTO_2016_10" w:history="1">
        <w:r w:rsidRPr="0057104C">
          <w:rPr>
            <w:rStyle w:val="TextoNormalCaracter"/>
          </w:rPr>
          <w:t>10/2016</w:t>
        </w:r>
      </w:hyperlink>
      <w:r>
        <w:t xml:space="preserve">; </w:t>
      </w:r>
      <w:hyperlink w:anchor="AUTO_2016_21" w:history="1">
        <w:r w:rsidRPr="0057104C">
          <w:rPr>
            <w:rStyle w:val="TextoNormalCaracter"/>
          </w:rPr>
          <w:t>21/2016</w:t>
        </w:r>
      </w:hyperlink>
      <w:r>
        <w:t xml:space="preserve">; </w:t>
      </w:r>
      <w:hyperlink w:anchor="AUTO_2016_22" w:history="1">
        <w:r w:rsidRPr="0057104C">
          <w:rPr>
            <w:rStyle w:val="TextoNormalCaracter"/>
          </w:rPr>
          <w:t>22/2016</w:t>
        </w:r>
      </w:hyperlink>
      <w:r>
        <w:t xml:space="preserve">; </w:t>
      </w:r>
      <w:hyperlink w:anchor="AUTO_2016_37" w:history="1">
        <w:r w:rsidRPr="0057104C">
          <w:rPr>
            <w:rStyle w:val="TextoNormalCaracter"/>
          </w:rPr>
          <w:t>37/2016</w:t>
        </w:r>
      </w:hyperlink>
      <w:r>
        <w:t xml:space="preserve">; </w:t>
      </w:r>
      <w:hyperlink w:anchor="AUTO_2016_38" w:history="1">
        <w:r w:rsidRPr="0057104C">
          <w:rPr>
            <w:rStyle w:val="TextoNormalCaracter"/>
          </w:rPr>
          <w:t>38/2016</w:t>
        </w:r>
      </w:hyperlink>
      <w:r>
        <w:t xml:space="preserve">; </w:t>
      </w:r>
      <w:hyperlink w:anchor="AUTO_2016_70" w:history="1">
        <w:r w:rsidRPr="0057104C">
          <w:rPr>
            <w:rStyle w:val="TextoNormalCaracter"/>
          </w:rPr>
          <w:t>70/2016</w:t>
        </w:r>
      </w:hyperlink>
      <w:r>
        <w:t>.</w:t>
      </w:r>
    </w:p>
    <w:p w:rsidR="0057104C" w:rsidRDefault="0057104C" w:rsidP="0057104C">
      <w:pPr>
        <w:pStyle w:val="SangriaFrancesaArticulo"/>
      </w:pPr>
      <w:r w:rsidRPr="0057104C">
        <w:rPr>
          <w:rStyle w:val="TextoNormalNegritaCaracter"/>
        </w:rPr>
        <w:t>Artículo 23.1 a).</w:t>
      </w:r>
      <w:r w:rsidRPr="0057104C">
        <w:rPr>
          <w:rStyle w:val="TextoNormalCaracter"/>
        </w:rPr>
        <w:t>-</w:t>
      </w:r>
      <w:r>
        <w:t xml:space="preserve"> Autos </w:t>
      </w:r>
      <w:hyperlink w:anchor="AUTO_2016_6" w:history="1">
        <w:r w:rsidRPr="0057104C">
          <w:rPr>
            <w:rStyle w:val="TextoNormalCaracter"/>
          </w:rPr>
          <w:t>6/2016</w:t>
        </w:r>
      </w:hyperlink>
      <w:r>
        <w:t xml:space="preserve">; </w:t>
      </w:r>
      <w:hyperlink w:anchor="AUTO_2016_7" w:history="1">
        <w:r w:rsidRPr="0057104C">
          <w:rPr>
            <w:rStyle w:val="TextoNormalCaracter"/>
          </w:rPr>
          <w:t>7/2016</w:t>
        </w:r>
      </w:hyperlink>
      <w:r>
        <w:t xml:space="preserve">; </w:t>
      </w:r>
      <w:hyperlink w:anchor="AUTO_2016_8" w:history="1">
        <w:r w:rsidRPr="0057104C">
          <w:rPr>
            <w:rStyle w:val="TextoNormalCaracter"/>
          </w:rPr>
          <w:t>8/2016</w:t>
        </w:r>
      </w:hyperlink>
      <w:r>
        <w:t xml:space="preserve">; </w:t>
      </w:r>
      <w:hyperlink w:anchor="AUTO_2016_10" w:history="1">
        <w:r w:rsidRPr="0057104C">
          <w:rPr>
            <w:rStyle w:val="TextoNormalCaracter"/>
          </w:rPr>
          <w:t>10/2016</w:t>
        </w:r>
      </w:hyperlink>
      <w:r>
        <w:t xml:space="preserve">; </w:t>
      </w:r>
      <w:hyperlink w:anchor="AUTO_2016_21" w:history="1">
        <w:r w:rsidRPr="0057104C">
          <w:rPr>
            <w:rStyle w:val="TextoNormalCaracter"/>
          </w:rPr>
          <w:t>21/2016</w:t>
        </w:r>
      </w:hyperlink>
      <w:r>
        <w:t xml:space="preserve">; </w:t>
      </w:r>
      <w:hyperlink w:anchor="AUTO_2016_22" w:history="1">
        <w:r w:rsidRPr="0057104C">
          <w:rPr>
            <w:rStyle w:val="TextoNormalCaracter"/>
          </w:rPr>
          <w:t>22/2016</w:t>
        </w:r>
      </w:hyperlink>
      <w:r>
        <w:t xml:space="preserve">; </w:t>
      </w:r>
      <w:hyperlink w:anchor="AUTO_2016_37" w:history="1">
        <w:r w:rsidRPr="0057104C">
          <w:rPr>
            <w:rStyle w:val="TextoNormalCaracter"/>
          </w:rPr>
          <w:t>37/2016</w:t>
        </w:r>
      </w:hyperlink>
      <w:r>
        <w:t xml:space="preserve">; </w:t>
      </w:r>
      <w:hyperlink w:anchor="AUTO_2016_38" w:history="1">
        <w:r w:rsidRPr="0057104C">
          <w:rPr>
            <w:rStyle w:val="TextoNormalCaracter"/>
          </w:rPr>
          <w:t>38/2016</w:t>
        </w:r>
      </w:hyperlink>
      <w:r>
        <w:t xml:space="preserve">; </w:t>
      </w:r>
      <w:hyperlink w:anchor="AUTO_2016_50" w:history="1">
        <w:r w:rsidRPr="0057104C">
          <w:rPr>
            <w:rStyle w:val="TextoNormalCaracter"/>
          </w:rPr>
          <w:t>50/2016</w:t>
        </w:r>
      </w:hyperlink>
      <w:r>
        <w:t xml:space="preserve">; </w:t>
      </w:r>
      <w:hyperlink w:anchor="AUTO_2016_52" w:history="1">
        <w:r w:rsidRPr="0057104C">
          <w:rPr>
            <w:rStyle w:val="TextoNormalCaracter"/>
          </w:rPr>
          <w:t>52/2016</w:t>
        </w:r>
      </w:hyperlink>
      <w:r>
        <w:t xml:space="preserve">; </w:t>
      </w:r>
      <w:hyperlink w:anchor="AUTO_2016_70" w:history="1">
        <w:r w:rsidRPr="0057104C">
          <w:rPr>
            <w:rStyle w:val="TextoNormalCaracter"/>
          </w:rPr>
          <w:t>70/2016</w:t>
        </w:r>
      </w:hyperlink>
      <w:r>
        <w:t>.</w:t>
      </w:r>
    </w:p>
    <w:p w:rsidR="0057104C" w:rsidRDefault="0057104C" w:rsidP="0057104C">
      <w:pPr>
        <w:pStyle w:val="SangriaFrancesaArticulo"/>
      </w:pPr>
      <w:r w:rsidRPr="0057104C">
        <w:rPr>
          <w:rStyle w:val="TextoNormalNegritaCaracter"/>
        </w:rPr>
        <w:t>Artículo 23.2.</w:t>
      </w:r>
      <w:r w:rsidRPr="0057104C">
        <w:rPr>
          <w:rStyle w:val="TextoNormalCaracter"/>
        </w:rPr>
        <w:t>-</w:t>
      </w:r>
      <w:r>
        <w:t xml:space="preserve"> Autos </w:t>
      </w:r>
      <w:hyperlink w:anchor="AUTO_2016_6" w:history="1">
        <w:r w:rsidRPr="0057104C">
          <w:rPr>
            <w:rStyle w:val="TextoNormalCaracter"/>
          </w:rPr>
          <w:t>6/2016</w:t>
        </w:r>
      </w:hyperlink>
      <w:r>
        <w:t xml:space="preserve">; </w:t>
      </w:r>
      <w:hyperlink w:anchor="AUTO_2016_7" w:history="1">
        <w:r w:rsidRPr="0057104C">
          <w:rPr>
            <w:rStyle w:val="TextoNormalCaracter"/>
          </w:rPr>
          <w:t>7/2016</w:t>
        </w:r>
      </w:hyperlink>
      <w:r>
        <w:t xml:space="preserve">; </w:t>
      </w:r>
      <w:hyperlink w:anchor="AUTO_2016_8" w:history="1">
        <w:r w:rsidRPr="0057104C">
          <w:rPr>
            <w:rStyle w:val="TextoNormalCaracter"/>
          </w:rPr>
          <w:t>8/2016</w:t>
        </w:r>
      </w:hyperlink>
      <w:r>
        <w:t xml:space="preserve">; </w:t>
      </w:r>
      <w:hyperlink w:anchor="AUTO_2016_10" w:history="1">
        <w:r w:rsidRPr="0057104C">
          <w:rPr>
            <w:rStyle w:val="TextoNormalCaracter"/>
          </w:rPr>
          <w:t>10/2016</w:t>
        </w:r>
      </w:hyperlink>
      <w:r>
        <w:t xml:space="preserve">; </w:t>
      </w:r>
      <w:hyperlink w:anchor="AUTO_2016_21" w:history="1">
        <w:r w:rsidRPr="0057104C">
          <w:rPr>
            <w:rStyle w:val="TextoNormalCaracter"/>
          </w:rPr>
          <w:t>21/2016</w:t>
        </w:r>
      </w:hyperlink>
      <w:r>
        <w:t xml:space="preserve">; </w:t>
      </w:r>
      <w:hyperlink w:anchor="AUTO_2016_22" w:history="1">
        <w:r w:rsidRPr="0057104C">
          <w:rPr>
            <w:rStyle w:val="TextoNormalCaracter"/>
          </w:rPr>
          <w:t>22/2016</w:t>
        </w:r>
      </w:hyperlink>
      <w:r>
        <w:t xml:space="preserve">; </w:t>
      </w:r>
      <w:hyperlink w:anchor="AUTO_2016_37" w:history="1">
        <w:r w:rsidRPr="0057104C">
          <w:rPr>
            <w:rStyle w:val="TextoNormalCaracter"/>
          </w:rPr>
          <w:t>37/2016</w:t>
        </w:r>
      </w:hyperlink>
      <w:r>
        <w:t xml:space="preserve">; </w:t>
      </w:r>
      <w:hyperlink w:anchor="AUTO_2016_38" w:history="1">
        <w:r w:rsidRPr="0057104C">
          <w:rPr>
            <w:rStyle w:val="TextoNormalCaracter"/>
          </w:rPr>
          <w:t>38/2016</w:t>
        </w:r>
      </w:hyperlink>
      <w:r>
        <w:t xml:space="preserve">; </w:t>
      </w:r>
      <w:hyperlink w:anchor="AUTO_2016_50" w:history="1">
        <w:r w:rsidRPr="0057104C">
          <w:rPr>
            <w:rStyle w:val="TextoNormalCaracter"/>
          </w:rPr>
          <w:t>50/2016</w:t>
        </w:r>
      </w:hyperlink>
      <w:r>
        <w:t xml:space="preserve">; </w:t>
      </w:r>
      <w:hyperlink w:anchor="AUTO_2016_52" w:history="1">
        <w:r w:rsidRPr="0057104C">
          <w:rPr>
            <w:rStyle w:val="TextoNormalCaracter"/>
          </w:rPr>
          <w:t>52/2016</w:t>
        </w:r>
      </w:hyperlink>
      <w:r>
        <w:t xml:space="preserve">; </w:t>
      </w:r>
      <w:hyperlink w:anchor="AUTO_2016_70" w:history="1">
        <w:r w:rsidRPr="0057104C">
          <w:rPr>
            <w:rStyle w:val="TextoNormalCaracter"/>
          </w:rPr>
          <w:t>70/2016</w:t>
        </w:r>
      </w:hyperlink>
      <w:r>
        <w:t>.</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Autos </w:t>
      </w:r>
      <w:hyperlink w:anchor="AUTO_2016_6" w:history="1">
        <w:r w:rsidRPr="0057104C">
          <w:rPr>
            <w:rStyle w:val="TextoNormalCaracter"/>
          </w:rPr>
          <w:t>6/2016</w:t>
        </w:r>
      </w:hyperlink>
      <w:r>
        <w:t xml:space="preserve">; </w:t>
      </w:r>
      <w:hyperlink w:anchor="AUTO_2016_7" w:history="1">
        <w:r w:rsidRPr="0057104C">
          <w:rPr>
            <w:rStyle w:val="TextoNormalCaracter"/>
          </w:rPr>
          <w:t>7/2016</w:t>
        </w:r>
      </w:hyperlink>
      <w:r>
        <w:t xml:space="preserve">; </w:t>
      </w:r>
      <w:hyperlink w:anchor="AUTO_2016_8" w:history="1">
        <w:r w:rsidRPr="0057104C">
          <w:rPr>
            <w:rStyle w:val="TextoNormalCaracter"/>
          </w:rPr>
          <w:t>8/2016</w:t>
        </w:r>
      </w:hyperlink>
      <w:r>
        <w:t xml:space="preserve">; </w:t>
      </w:r>
      <w:hyperlink w:anchor="AUTO_2016_10" w:history="1">
        <w:r w:rsidRPr="0057104C">
          <w:rPr>
            <w:rStyle w:val="TextoNormalCaracter"/>
          </w:rPr>
          <w:t>10/2016</w:t>
        </w:r>
      </w:hyperlink>
      <w:r>
        <w:t xml:space="preserve">; </w:t>
      </w:r>
      <w:hyperlink w:anchor="AUTO_2016_21" w:history="1">
        <w:r w:rsidRPr="0057104C">
          <w:rPr>
            <w:rStyle w:val="TextoNormalCaracter"/>
          </w:rPr>
          <w:t>21/2016</w:t>
        </w:r>
      </w:hyperlink>
      <w:r>
        <w:t xml:space="preserve">; </w:t>
      </w:r>
      <w:hyperlink w:anchor="AUTO_2016_22" w:history="1">
        <w:r w:rsidRPr="0057104C">
          <w:rPr>
            <w:rStyle w:val="TextoNormalCaracter"/>
          </w:rPr>
          <w:t>22/2016</w:t>
        </w:r>
      </w:hyperlink>
      <w:r>
        <w:t xml:space="preserve">; </w:t>
      </w:r>
      <w:hyperlink w:anchor="AUTO_2016_37" w:history="1">
        <w:r w:rsidRPr="0057104C">
          <w:rPr>
            <w:rStyle w:val="TextoNormalCaracter"/>
          </w:rPr>
          <w:t>37/2016</w:t>
        </w:r>
      </w:hyperlink>
      <w:r>
        <w:t xml:space="preserve">; </w:t>
      </w:r>
      <w:hyperlink w:anchor="AUTO_2016_38" w:history="1">
        <w:r w:rsidRPr="0057104C">
          <w:rPr>
            <w:rStyle w:val="TextoNormalCaracter"/>
          </w:rPr>
          <w:t>38/2016</w:t>
        </w:r>
      </w:hyperlink>
      <w:r>
        <w:t xml:space="preserve">; </w:t>
      </w:r>
      <w:hyperlink w:anchor="AUTO_2016_70" w:history="1">
        <w:r w:rsidRPr="0057104C">
          <w:rPr>
            <w:rStyle w:val="TextoNormalCaracter"/>
          </w:rPr>
          <w:t>70/2016</w:t>
        </w:r>
      </w:hyperlink>
      <w:r>
        <w:t>.</w:t>
      </w:r>
    </w:p>
    <w:p w:rsidR="0057104C" w:rsidRDefault="0057104C" w:rsidP="0057104C">
      <w:pPr>
        <w:pStyle w:val="SangriaFrancesaArticulo"/>
      </w:pPr>
    </w:p>
    <w:p w:rsidR="0057104C" w:rsidRDefault="0057104C" w:rsidP="0057104C">
      <w:pPr>
        <w:pStyle w:val="TextoNormalNegritaCursivandice"/>
      </w:pPr>
      <w:r>
        <w:t>Real Decreto-ley 9/2008, de 28 de noviembre. Crea un fondo estatal de inversión local y un fondo especial del Estado para la dinamización de la economía y el empleo y se aprueban créditos extraordinarios para atender a su financiación</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Auto </w:t>
      </w:r>
      <w:hyperlink w:anchor="AUTO_2016_12" w:history="1">
        <w:r w:rsidRPr="0057104C">
          <w:rPr>
            <w:rStyle w:val="TextoNormalCaracter"/>
          </w:rPr>
          <w:t>12/2016</w:t>
        </w:r>
      </w:hyperlink>
      <w:r>
        <w:t>.</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Auto </w:t>
      </w:r>
      <w:hyperlink w:anchor="AUTO_2016_12" w:history="1">
        <w:r w:rsidRPr="0057104C">
          <w:rPr>
            <w:rStyle w:val="TextoNormalCaracter"/>
          </w:rPr>
          <w:t>12/2016</w:t>
        </w:r>
      </w:hyperlink>
      <w:r>
        <w:t>.</w:t>
      </w:r>
    </w:p>
    <w:p w:rsidR="0057104C" w:rsidRDefault="0057104C" w:rsidP="0057104C">
      <w:pPr>
        <w:pStyle w:val="SangriaFrancesaArticulo"/>
      </w:pPr>
    </w:p>
    <w:p w:rsidR="0057104C" w:rsidRDefault="0057104C" w:rsidP="0057104C">
      <w:pPr>
        <w:pStyle w:val="TextoNormalNegritaCursivandice"/>
      </w:pPr>
      <w:r>
        <w:t>Ley Orgánica 1/2010, de 19 de febrero. Modifica las leyes orgánicas del Tribunal Constitucional y del Poder Judicial</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118" w:history="1">
        <w:r w:rsidRPr="0057104C">
          <w:rPr>
            <w:rStyle w:val="TextoNormalCaracter"/>
          </w:rPr>
          <w:t>118/2016</w:t>
        </w:r>
      </w:hyperlink>
      <w:r>
        <w:t>.</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118" w:history="1">
        <w:r w:rsidRPr="0057104C">
          <w:rPr>
            <w:rStyle w:val="TextoNormalCaracter"/>
          </w:rPr>
          <w:t>118/2016</w:t>
        </w:r>
      </w:hyperlink>
      <w:r>
        <w:t>.</w:t>
      </w:r>
    </w:p>
    <w:p w:rsidR="0057104C" w:rsidRDefault="0057104C" w:rsidP="0057104C">
      <w:pPr>
        <w:pStyle w:val="SangriaFrancesaArticulo"/>
      </w:pPr>
      <w:r w:rsidRPr="0057104C">
        <w:rPr>
          <w:rStyle w:val="TextoNormalNegritaCaracter"/>
        </w:rPr>
        <w:t>Disposición adicional única.</w:t>
      </w:r>
      <w:r w:rsidRPr="0057104C">
        <w:rPr>
          <w:rStyle w:val="TextoNormalCaracter"/>
        </w:rPr>
        <w:t>-</w:t>
      </w:r>
      <w:r>
        <w:t xml:space="preserve"> Sentencia </w:t>
      </w:r>
      <w:hyperlink w:anchor="SENTENCIA_2016_118" w:history="1">
        <w:r w:rsidRPr="0057104C">
          <w:rPr>
            <w:rStyle w:val="TextoNormalCaracter"/>
          </w:rPr>
          <w:t>118/2016</w:t>
        </w:r>
      </w:hyperlink>
      <w:r>
        <w:t>.</w:t>
      </w:r>
    </w:p>
    <w:p w:rsidR="0057104C" w:rsidRDefault="0057104C" w:rsidP="0057104C">
      <w:pPr>
        <w:pStyle w:val="SangriaFrancesaArticulo"/>
      </w:pPr>
    </w:p>
    <w:p w:rsidR="0057104C" w:rsidRDefault="0057104C" w:rsidP="0057104C">
      <w:pPr>
        <w:pStyle w:val="TextoNormalNegritaCursivandice"/>
      </w:pPr>
      <w:r>
        <w:t>Real Decreto-ley 8/2011, de 1 de julio. Medidas de apoyo a deudores hipotecarios, control del gasto público y cancelación de deudas de entidades locales, fomento de la actividad empresarial y simplificación administrativa</w:t>
      </w:r>
    </w:p>
    <w:p w:rsidR="0057104C" w:rsidRDefault="0057104C" w:rsidP="0057104C">
      <w:pPr>
        <w:pStyle w:val="SangriaFrancesaArticulo"/>
      </w:pPr>
      <w:r w:rsidRPr="0057104C">
        <w:rPr>
          <w:rStyle w:val="TextoNormalNegritaCaracter"/>
        </w:rPr>
        <w:t>Artículo 17.1 c).</w:t>
      </w:r>
      <w:r w:rsidRPr="0057104C">
        <w:rPr>
          <w:rStyle w:val="TextoNormalCaracter"/>
        </w:rPr>
        <w:t>-</w:t>
      </w:r>
      <w:r>
        <w:t xml:space="preserve"> Sentencia </w:t>
      </w:r>
      <w:hyperlink w:anchor="SENTENCIA_2016_5" w:history="1">
        <w:r w:rsidRPr="0057104C">
          <w:rPr>
            <w:rStyle w:val="TextoNormalCaracter"/>
          </w:rPr>
          <w:t>5/2016</w:t>
        </w:r>
      </w:hyperlink>
      <w:r>
        <w:t>.</w:t>
      </w:r>
    </w:p>
    <w:p w:rsidR="0057104C" w:rsidRDefault="0057104C" w:rsidP="0057104C">
      <w:pPr>
        <w:pStyle w:val="SangriaFrancesaArticulo"/>
      </w:pPr>
      <w:r w:rsidRPr="0057104C">
        <w:rPr>
          <w:rStyle w:val="TextoNormalNegritaCaracter"/>
        </w:rPr>
        <w:t>Artículo 18.1.</w:t>
      </w:r>
      <w:r w:rsidRPr="0057104C">
        <w:rPr>
          <w:rStyle w:val="TextoNormalCaracter"/>
        </w:rPr>
        <w:t>-</w:t>
      </w:r>
      <w:r>
        <w:t xml:space="preserve"> Sentencia </w:t>
      </w:r>
      <w:hyperlink w:anchor="SENTENCIA_2016_5" w:history="1">
        <w:r w:rsidRPr="0057104C">
          <w:rPr>
            <w:rStyle w:val="TextoNormalCaracter"/>
          </w:rPr>
          <w:t>5/2016</w:t>
        </w:r>
      </w:hyperlink>
      <w:r>
        <w:t>.</w:t>
      </w:r>
    </w:p>
    <w:p w:rsidR="0057104C" w:rsidRDefault="0057104C" w:rsidP="0057104C">
      <w:pPr>
        <w:pStyle w:val="SangriaFrancesaArticulo"/>
      </w:pPr>
      <w:r w:rsidRPr="0057104C">
        <w:rPr>
          <w:rStyle w:val="TextoNormalNegritaCaracter"/>
        </w:rPr>
        <w:t>Artículo 19.2.</w:t>
      </w:r>
      <w:r w:rsidRPr="0057104C">
        <w:rPr>
          <w:rStyle w:val="TextoNormalCaracter"/>
        </w:rPr>
        <w:t>-</w:t>
      </w:r>
      <w:r>
        <w:t xml:space="preserve"> Sentencia </w:t>
      </w:r>
      <w:hyperlink w:anchor="SENTENCIA_2016_5" w:history="1">
        <w:r w:rsidRPr="0057104C">
          <w:rPr>
            <w:rStyle w:val="TextoNormalCaracter"/>
          </w:rPr>
          <w:t>5/2016</w:t>
        </w:r>
      </w:hyperlink>
      <w:r>
        <w:t>.</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5" w:history="1">
        <w:r w:rsidRPr="0057104C">
          <w:rPr>
            <w:rStyle w:val="TextoNormalCaracter"/>
          </w:rPr>
          <w:t>5/2016</w:t>
        </w:r>
      </w:hyperlink>
      <w:r>
        <w:t>.</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5" w:history="1">
        <w:r w:rsidRPr="0057104C">
          <w:rPr>
            <w:rStyle w:val="TextoNormalCaracter"/>
          </w:rPr>
          <w:t>5/2016</w:t>
        </w:r>
      </w:hyperlink>
      <w:r>
        <w:t>.</w:t>
      </w:r>
    </w:p>
    <w:p w:rsidR="0057104C" w:rsidRDefault="0057104C" w:rsidP="0057104C">
      <w:pPr>
        <w:pStyle w:val="SangriaFrancesaArticulo"/>
      </w:pPr>
      <w:r w:rsidRPr="0057104C">
        <w:rPr>
          <w:rStyle w:val="TextoNormalNegritaCaracter"/>
        </w:rPr>
        <w:t>Artículo 23.</w:t>
      </w:r>
      <w:r w:rsidRPr="0057104C">
        <w:rPr>
          <w:rStyle w:val="TextoNormalCaracter"/>
        </w:rPr>
        <w:t>-</w:t>
      </w:r>
      <w:r>
        <w:t xml:space="preserve"> Sentencia </w:t>
      </w:r>
      <w:hyperlink w:anchor="SENTENCIA_2016_5" w:history="1">
        <w:r w:rsidRPr="0057104C">
          <w:rPr>
            <w:rStyle w:val="TextoNormalCaracter"/>
          </w:rPr>
          <w:t>5/2016</w:t>
        </w:r>
      </w:hyperlink>
      <w:r>
        <w:t>.</w:t>
      </w:r>
    </w:p>
    <w:p w:rsidR="0057104C" w:rsidRDefault="0057104C" w:rsidP="0057104C">
      <w:pPr>
        <w:pStyle w:val="SangriaFrancesaArticulo"/>
      </w:pPr>
      <w:r w:rsidRPr="0057104C">
        <w:rPr>
          <w:rStyle w:val="TextoNormalNegritaCaracter"/>
        </w:rPr>
        <w:t>Disposición adicional tercera.</w:t>
      </w:r>
      <w:r w:rsidRPr="0057104C">
        <w:rPr>
          <w:rStyle w:val="TextoNormalCaracter"/>
        </w:rPr>
        <w:t>-</w:t>
      </w:r>
      <w:r>
        <w:t xml:space="preserve"> Sentencia </w:t>
      </w:r>
      <w:hyperlink w:anchor="SENTENCIA_2016_5" w:history="1">
        <w:r w:rsidRPr="0057104C">
          <w:rPr>
            <w:rStyle w:val="TextoNormalCaracter"/>
          </w:rPr>
          <w:t>5/2016</w:t>
        </w:r>
      </w:hyperlink>
      <w:r>
        <w:t>.</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5" w:history="1">
        <w:r w:rsidRPr="0057104C">
          <w:rPr>
            <w:rStyle w:val="TextoNormalCaracter"/>
          </w:rPr>
          <w:t>5/2016</w:t>
        </w:r>
      </w:hyperlink>
      <w:r>
        <w:t>.</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 </w:t>
      </w:r>
      <w:hyperlink w:anchor="SENTENCIA_2016_5" w:history="1">
        <w:r w:rsidRPr="0057104C">
          <w:rPr>
            <w:rStyle w:val="TextoNormalCaracter"/>
          </w:rPr>
          <w:t>5/2016</w:t>
        </w:r>
      </w:hyperlink>
      <w:r>
        <w:t>.</w:t>
      </w:r>
    </w:p>
    <w:p w:rsidR="0057104C" w:rsidRDefault="0057104C" w:rsidP="0057104C">
      <w:pPr>
        <w:pStyle w:val="SangriaFrancesaArticulo"/>
      </w:pPr>
      <w:r w:rsidRPr="0057104C">
        <w:rPr>
          <w:rStyle w:val="TextoNormalNegritaCaracter"/>
        </w:rPr>
        <w:t>Disposición final.</w:t>
      </w:r>
      <w:r w:rsidRPr="0057104C">
        <w:rPr>
          <w:rStyle w:val="TextoNormalCaracter"/>
        </w:rPr>
        <w:t>-</w:t>
      </w:r>
      <w:r>
        <w:t xml:space="preserve"> Sentencia </w:t>
      </w:r>
      <w:hyperlink w:anchor="SENTENCIA_2016_5" w:history="1">
        <w:r w:rsidRPr="0057104C">
          <w:rPr>
            <w:rStyle w:val="TextoNormalCaracter"/>
          </w:rPr>
          <w:t>5/2016</w:t>
        </w:r>
      </w:hyperlink>
      <w:r>
        <w:t>.</w:t>
      </w:r>
    </w:p>
    <w:p w:rsidR="0057104C" w:rsidRDefault="0057104C" w:rsidP="0057104C">
      <w:pPr>
        <w:pStyle w:val="SangriaFrancesaArticulo"/>
      </w:pPr>
    </w:p>
    <w:p w:rsidR="0057104C" w:rsidRDefault="0057104C" w:rsidP="0057104C">
      <w:pPr>
        <w:pStyle w:val="TextoNormalNegritaCursivandice"/>
      </w:pPr>
      <w:r>
        <w:t>Real Decreto-ley 14/2012, de 20 de abril. Medidas urgentes de racionalización del gasto público en el ámbito educativo</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26" w:history="1">
        <w:r w:rsidRPr="0057104C">
          <w:rPr>
            <w:rStyle w:val="TextoNormalCaracter"/>
          </w:rPr>
          <w:t>26/2016</w:t>
        </w:r>
      </w:hyperlink>
      <w:r>
        <w:t>.</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Sentencias </w:t>
      </w:r>
      <w:hyperlink w:anchor="SENTENCIA_2016_26" w:history="1">
        <w:r w:rsidRPr="0057104C">
          <w:rPr>
            <w:rStyle w:val="TextoNormalCaracter"/>
          </w:rPr>
          <w:t>26/2016</w:t>
        </w:r>
      </w:hyperlink>
      <w:r>
        <w:t xml:space="preserve">; </w:t>
      </w:r>
      <w:hyperlink w:anchor="SENTENCIA_2016_54" w:history="1">
        <w:r w:rsidRPr="0057104C">
          <w:rPr>
            <w:rStyle w:val="TextoNormalCaracter"/>
          </w:rPr>
          <w:t>54/2016</w:t>
        </w:r>
      </w:hyperlink>
      <w:r>
        <w:t xml:space="preserve">; </w:t>
      </w:r>
      <w:hyperlink w:anchor="SENTENCIA_2016_66" w:history="1">
        <w:r w:rsidRPr="0057104C">
          <w:rPr>
            <w:rStyle w:val="TextoNormalCaracter"/>
          </w:rPr>
          <w:t>66/2016</w:t>
        </w:r>
      </w:hyperlink>
      <w:r>
        <w:t xml:space="preserve">; </w:t>
      </w:r>
      <w:hyperlink w:anchor="SENTENCIA_2016_67" w:history="1">
        <w:r w:rsidRPr="0057104C">
          <w:rPr>
            <w:rStyle w:val="TextoNormalCaracter"/>
          </w:rPr>
          <w:t>67/2016</w:t>
        </w:r>
      </w:hyperlink>
      <w:r>
        <w:t xml:space="preserve">; </w:t>
      </w:r>
      <w:hyperlink w:anchor="SENTENCIA_2016_68" w:history="1">
        <w:r w:rsidRPr="0057104C">
          <w:rPr>
            <w:rStyle w:val="TextoNormalCaracter"/>
          </w:rPr>
          <w:t>68/2016</w:t>
        </w:r>
      </w:hyperlink>
      <w:r>
        <w:t xml:space="preserve">; </w:t>
      </w:r>
      <w:hyperlink w:anchor="SENTENCIA_2016_84" w:history="1">
        <w:r w:rsidRPr="0057104C">
          <w:rPr>
            <w:rStyle w:val="TextoNormalCaracter"/>
          </w:rPr>
          <w:t>84/2016</w:t>
        </w:r>
      </w:hyperlink>
      <w:r>
        <w:t>.</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Sentencias </w:t>
      </w:r>
      <w:hyperlink w:anchor="SENTENCIA_2016_26" w:history="1">
        <w:r w:rsidRPr="0057104C">
          <w:rPr>
            <w:rStyle w:val="TextoNormalCaracter"/>
          </w:rPr>
          <w:t>26/2016</w:t>
        </w:r>
      </w:hyperlink>
      <w:r>
        <w:t xml:space="preserve">; </w:t>
      </w:r>
      <w:hyperlink w:anchor="SENTENCIA_2016_54" w:history="1">
        <w:r w:rsidRPr="0057104C">
          <w:rPr>
            <w:rStyle w:val="TextoNormalCaracter"/>
          </w:rPr>
          <w:t>54/2016</w:t>
        </w:r>
      </w:hyperlink>
      <w:r>
        <w:t xml:space="preserve">; </w:t>
      </w:r>
      <w:hyperlink w:anchor="SENTENCIA_2016_66" w:history="1">
        <w:r w:rsidRPr="0057104C">
          <w:rPr>
            <w:rStyle w:val="TextoNormalCaracter"/>
          </w:rPr>
          <w:t>66/2016</w:t>
        </w:r>
      </w:hyperlink>
      <w:r>
        <w:t xml:space="preserve">; </w:t>
      </w:r>
      <w:hyperlink w:anchor="SENTENCIA_2016_67" w:history="1">
        <w:r w:rsidRPr="0057104C">
          <w:rPr>
            <w:rStyle w:val="TextoNormalCaracter"/>
          </w:rPr>
          <w:t>67/2016</w:t>
        </w:r>
      </w:hyperlink>
      <w:r>
        <w:t xml:space="preserve">; </w:t>
      </w:r>
      <w:hyperlink w:anchor="SENTENCIA_2016_68" w:history="1">
        <w:r w:rsidRPr="0057104C">
          <w:rPr>
            <w:rStyle w:val="TextoNormalCaracter"/>
          </w:rPr>
          <w:t>68/2016</w:t>
        </w:r>
      </w:hyperlink>
      <w:r>
        <w:t xml:space="preserve">; </w:t>
      </w:r>
      <w:hyperlink w:anchor="SENTENCIA_2016_84" w:history="1">
        <w:r w:rsidRPr="0057104C">
          <w:rPr>
            <w:rStyle w:val="TextoNormalCaracter"/>
          </w:rPr>
          <w:t>84/2016</w:t>
        </w:r>
      </w:hyperlink>
      <w:r>
        <w:t>.</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26" w:history="1">
        <w:r w:rsidRPr="0057104C">
          <w:rPr>
            <w:rStyle w:val="TextoNormalCaracter"/>
          </w:rPr>
          <w:t>26/2016</w:t>
        </w:r>
      </w:hyperlink>
      <w:r>
        <w:t>.</w:t>
      </w:r>
    </w:p>
    <w:p w:rsidR="0057104C" w:rsidRDefault="0057104C" w:rsidP="0057104C">
      <w:pPr>
        <w:pStyle w:val="SangriaFrancesaArticulo"/>
      </w:pPr>
      <w:r w:rsidRPr="0057104C">
        <w:rPr>
          <w:rStyle w:val="TextoNormalNegritaCaracter"/>
        </w:rPr>
        <w:t>Artículo 6.1.</w:t>
      </w:r>
      <w:r w:rsidRPr="0057104C">
        <w:rPr>
          <w:rStyle w:val="TextoNormalCaracter"/>
        </w:rPr>
        <w:t>-</w:t>
      </w:r>
      <w:r>
        <w:t xml:space="preserve"> Sentencia </w:t>
      </w:r>
      <w:hyperlink w:anchor="SENTENCIA_2016_26" w:history="1">
        <w:r w:rsidRPr="0057104C">
          <w:rPr>
            <w:rStyle w:val="TextoNormalCaracter"/>
          </w:rPr>
          <w:t>26/2016</w:t>
        </w:r>
      </w:hyperlink>
      <w:r>
        <w:t xml:space="preserve"> (anula).</w:t>
      </w:r>
    </w:p>
    <w:p w:rsidR="0057104C" w:rsidRDefault="0057104C" w:rsidP="0057104C">
      <w:pPr>
        <w:pStyle w:val="SangriaFrancesaArticulo"/>
      </w:pPr>
      <w:r w:rsidRPr="0057104C">
        <w:rPr>
          <w:rStyle w:val="TextoNormalNegritaCaracter"/>
        </w:rPr>
        <w:t>Artículo 6.1.</w:t>
      </w:r>
      <w:r w:rsidRPr="0057104C">
        <w:rPr>
          <w:rStyle w:val="TextoNormalCaracter"/>
        </w:rPr>
        <w:t>-</w:t>
      </w:r>
      <w:r>
        <w:t xml:space="preserve"> Sentencia </w:t>
      </w:r>
      <w:hyperlink w:anchor="SENTENCIA_2016_84" w:history="1">
        <w:r w:rsidRPr="0057104C">
          <w:rPr>
            <w:rStyle w:val="TextoNormalCaracter"/>
          </w:rPr>
          <w:t>84/2016</w:t>
        </w:r>
      </w:hyperlink>
      <w:r>
        <w:t>.</w:t>
      </w:r>
    </w:p>
    <w:p w:rsidR="0057104C" w:rsidRDefault="0057104C" w:rsidP="0057104C">
      <w:pPr>
        <w:pStyle w:val="SangriaFrancesaArticulo"/>
      </w:pPr>
      <w:r w:rsidRPr="0057104C">
        <w:rPr>
          <w:rStyle w:val="TextoNormalNegritaCaracter"/>
        </w:rPr>
        <w:t>Artículo 6.2.</w:t>
      </w:r>
      <w:r w:rsidRPr="0057104C">
        <w:rPr>
          <w:rStyle w:val="TextoNormalCaracter"/>
        </w:rPr>
        <w:t>-</w:t>
      </w:r>
      <w:r>
        <w:t xml:space="preserve"> Sentencia </w:t>
      </w:r>
      <w:hyperlink w:anchor="SENTENCIA_2016_26" w:history="1">
        <w:r w:rsidRPr="0057104C">
          <w:rPr>
            <w:rStyle w:val="TextoNormalCaracter"/>
          </w:rPr>
          <w:t>26/2016</w:t>
        </w:r>
      </w:hyperlink>
      <w:r>
        <w:t xml:space="preserve"> (anula).</w:t>
      </w:r>
    </w:p>
    <w:p w:rsidR="0057104C" w:rsidRDefault="0057104C" w:rsidP="0057104C">
      <w:pPr>
        <w:pStyle w:val="SangriaFrancesaArticulo"/>
      </w:pPr>
      <w:r w:rsidRPr="0057104C">
        <w:rPr>
          <w:rStyle w:val="TextoNormalNegritaCaracter"/>
        </w:rPr>
        <w:t>Artículo 6.3.</w:t>
      </w:r>
      <w:r w:rsidRPr="0057104C">
        <w:rPr>
          <w:rStyle w:val="TextoNormalCaracter"/>
        </w:rPr>
        <w:t>-</w:t>
      </w:r>
      <w:r>
        <w:t xml:space="preserve"> Sentencia </w:t>
      </w:r>
      <w:hyperlink w:anchor="SENTENCIA_2016_26" w:history="1">
        <w:r w:rsidRPr="0057104C">
          <w:rPr>
            <w:rStyle w:val="TextoNormalCaracter"/>
          </w:rPr>
          <w:t>26/2016</w:t>
        </w:r>
      </w:hyperlink>
      <w:r>
        <w:t xml:space="preserve"> (anula).</w:t>
      </w:r>
    </w:p>
    <w:p w:rsidR="0057104C" w:rsidRDefault="0057104C" w:rsidP="0057104C">
      <w:pPr>
        <w:pStyle w:val="SangriaFrancesaArticulo"/>
      </w:pPr>
      <w:r w:rsidRPr="0057104C">
        <w:rPr>
          <w:rStyle w:val="TextoNormalNegritaCaracter"/>
        </w:rPr>
        <w:t>Artículo 6.3.</w:t>
      </w:r>
      <w:r w:rsidRPr="0057104C">
        <w:rPr>
          <w:rStyle w:val="TextoNormalCaracter"/>
        </w:rPr>
        <w:t>-</w:t>
      </w:r>
      <w:r>
        <w:t xml:space="preserve"> Sentencia </w:t>
      </w:r>
      <w:hyperlink w:anchor="SENTENCIA_2016_84" w:history="1">
        <w:r w:rsidRPr="0057104C">
          <w:rPr>
            <w:rStyle w:val="TextoNormalCaracter"/>
          </w:rPr>
          <w:t>84/2016</w:t>
        </w:r>
      </w:hyperlink>
      <w:r>
        <w:t>.</w:t>
      </w:r>
    </w:p>
    <w:p w:rsidR="0057104C" w:rsidRDefault="0057104C" w:rsidP="0057104C">
      <w:pPr>
        <w:pStyle w:val="SangriaFrancesaArticulo"/>
      </w:pPr>
      <w:r w:rsidRPr="0057104C">
        <w:rPr>
          <w:rStyle w:val="TextoNormalNegritaCaracter"/>
        </w:rPr>
        <w:t>Artículo 6.4.</w:t>
      </w:r>
      <w:r w:rsidRPr="0057104C">
        <w:rPr>
          <w:rStyle w:val="TextoNormalCaracter"/>
        </w:rPr>
        <w:t>-</w:t>
      </w:r>
      <w:r>
        <w:t xml:space="preserve"> Sentencias </w:t>
      </w:r>
      <w:hyperlink w:anchor="SENTENCIA_2016_26" w:history="1">
        <w:r w:rsidRPr="0057104C">
          <w:rPr>
            <w:rStyle w:val="TextoNormalCaracter"/>
          </w:rPr>
          <w:t>26/2016</w:t>
        </w:r>
      </w:hyperlink>
      <w:r>
        <w:t xml:space="preserve">; </w:t>
      </w:r>
      <w:hyperlink w:anchor="SENTENCIA_2016_84" w:history="1">
        <w:r w:rsidRPr="0057104C">
          <w:rPr>
            <w:rStyle w:val="TextoNormalCaracter"/>
          </w:rPr>
          <w:t>84/2016</w:t>
        </w:r>
      </w:hyperlink>
      <w:r>
        <w:t>.</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Sentencias </w:t>
      </w:r>
      <w:hyperlink w:anchor="SENTENCIA_2016_26" w:history="1">
        <w:r w:rsidRPr="0057104C">
          <w:rPr>
            <w:rStyle w:val="TextoNormalCaracter"/>
          </w:rPr>
          <w:t>26/2016</w:t>
        </w:r>
      </w:hyperlink>
      <w:r>
        <w:t xml:space="preserve">; </w:t>
      </w:r>
      <w:hyperlink w:anchor="SENTENCIA_2016_84" w:history="1">
        <w:r w:rsidRPr="0057104C">
          <w:rPr>
            <w:rStyle w:val="TextoNormalCaracter"/>
          </w:rPr>
          <w:t>84/2016</w:t>
        </w:r>
      </w:hyperlink>
      <w:r>
        <w:t>.</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Sentencias </w:t>
      </w:r>
      <w:hyperlink w:anchor="SENTENCIA_2016_26" w:history="1">
        <w:r w:rsidRPr="0057104C">
          <w:rPr>
            <w:rStyle w:val="TextoNormalCaracter"/>
          </w:rPr>
          <w:t>26/2016</w:t>
        </w:r>
      </w:hyperlink>
      <w:r>
        <w:t xml:space="preserve">; </w:t>
      </w:r>
      <w:hyperlink w:anchor="SENTENCIA_2016_54" w:history="1">
        <w:r w:rsidRPr="0057104C">
          <w:rPr>
            <w:rStyle w:val="TextoNormalCaracter"/>
          </w:rPr>
          <w:t>54/2016</w:t>
        </w:r>
      </w:hyperlink>
      <w:r>
        <w:t>.</w:t>
      </w:r>
    </w:p>
    <w:p w:rsidR="0057104C" w:rsidRDefault="0057104C" w:rsidP="0057104C">
      <w:pPr>
        <w:pStyle w:val="SangriaFrancesaArticulo"/>
      </w:pPr>
    </w:p>
    <w:p w:rsidR="0057104C" w:rsidRDefault="0057104C" w:rsidP="0057104C">
      <w:pPr>
        <w:pStyle w:val="TextoNormalNegritaCursivandice"/>
      </w:pPr>
      <w:r>
        <w:t>Ley 2/2012, de 29 de junio. Presupuestos Generales del Estado para el año 2012</w:t>
      </w:r>
    </w:p>
    <w:p w:rsidR="0057104C" w:rsidRDefault="0057104C" w:rsidP="0057104C">
      <w:pPr>
        <w:pStyle w:val="SangriaFrancesaArticulo"/>
      </w:pPr>
      <w:r w:rsidRPr="0057104C">
        <w:rPr>
          <w:rStyle w:val="TextoNormalNegritaCaracter"/>
        </w:rPr>
        <w:t>Disposición adicional septuagésimo primera.</w:t>
      </w:r>
      <w:r w:rsidRPr="0057104C">
        <w:rPr>
          <w:rStyle w:val="TextoNormalCaracter"/>
        </w:rPr>
        <w:t>-</w:t>
      </w:r>
      <w:r>
        <w:t xml:space="preserve"> Sentencia </w:t>
      </w:r>
      <w:hyperlink w:anchor="SENTENCIA_2016_99" w:history="1">
        <w:r w:rsidRPr="0057104C">
          <w:rPr>
            <w:rStyle w:val="TextoNormalCaracter"/>
          </w:rPr>
          <w:t>99/2016</w:t>
        </w:r>
      </w:hyperlink>
      <w:r>
        <w:t>.</w:t>
      </w:r>
    </w:p>
    <w:p w:rsidR="0057104C" w:rsidRDefault="0057104C" w:rsidP="0057104C">
      <w:pPr>
        <w:pStyle w:val="SangriaFrancesaArticulo"/>
      </w:pPr>
      <w:r w:rsidRPr="0057104C">
        <w:rPr>
          <w:rStyle w:val="TextoNormalNegritaCaracter"/>
        </w:rPr>
        <w:t>Disposición adicional octava.</w:t>
      </w:r>
      <w:r w:rsidRPr="0057104C">
        <w:rPr>
          <w:rStyle w:val="TextoNormalCaracter"/>
        </w:rPr>
        <w:t>-</w:t>
      </w:r>
      <w:r>
        <w:t xml:space="preserve"> Sentencia </w:t>
      </w:r>
      <w:hyperlink w:anchor="SENTENCIA_2016_99" w:history="1">
        <w:r w:rsidRPr="0057104C">
          <w:rPr>
            <w:rStyle w:val="TextoNormalCaracter"/>
          </w:rPr>
          <w:t>99/2016</w:t>
        </w:r>
      </w:hyperlink>
      <w:r>
        <w:t>.</w:t>
      </w:r>
    </w:p>
    <w:p w:rsidR="0057104C" w:rsidRDefault="0057104C" w:rsidP="0057104C">
      <w:pPr>
        <w:pStyle w:val="SangriaFrancesaArticulo"/>
      </w:pPr>
      <w:r w:rsidRPr="0057104C">
        <w:rPr>
          <w:rStyle w:val="TextoNormalNegritaCaracter"/>
        </w:rPr>
        <w:t>Disposición adicional cuadragésima.</w:t>
      </w:r>
      <w:r w:rsidRPr="0057104C">
        <w:rPr>
          <w:rStyle w:val="TextoNormalCaracter"/>
        </w:rPr>
        <w:t>-</w:t>
      </w:r>
      <w:r>
        <w:t xml:space="preserve"> Sentencia </w:t>
      </w:r>
      <w:hyperlink w:anchor="SENTENCIA_2016_99" w:history="1">
        <w:r w:rsidRPr="0057104C">
          <w:rPr>
            <w:rStyle w:val="TextoNormalCaracter"/>
          </w:rPr>
          <w:t>99/2016</w:t>
        </w:r>
      </w:hyperlink>
      <w:r>
        <w:t>.</w:t>
      </w:r>
    </w:p>
    <w:p w:rsidR="0057104C" w:rsidRDefault="0057104C" w:rsidP="0057104C">
      <w:pPr>
        <w:pStyle w:val="SangriaFrancesaArticulo"/>
      </w:pPr>
    </w:p>
    <w:p w:rsidR="0057104C" w:rsidRDefault="0057104C" w:rsidP="0057104C">
      <w:pPr>
        <w:pStyle w:val="TextoNormalNegritaCursivandice"/>
      </w:pPr>
      <w:r>
        <w:t>Real Decreto-ley 20/2012, de 13 de julio. Medidas para garantizar la estabilidad presupuestaria y de fomento de la competitividad</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Sentencias </w:t>
      </w:r>
      <w:hyperlink w:anchor="SENTENCIA_2016_1" w:history="1">
        <w:r w:rsidRPr="0057104C">
          <w:rPr>
            <w:rStyle w:val="TextoNormalCaracter"/>
          </w:rPr>
          <w:t>1/2016</w:t>
        </w:r>
      </w:hyperlink>
      <w:r>
        <w:t xml:space="preserve">; </w:t>
      </w:r>
      <w:hyperlink w:anchor="SENTENCIA_2016_2" w:history="1">
        <w:r w:rsidRPr="0057104C">
          <w:rPr>
            <w:rStyle w:val="TextoNormalCaracter"/>
          </w:rPr>
          <w:t>2/2016</w:t>
        </w:r>
      </w:hyperlink>
      <w:r>
        <w:t xml:space="preserve">; </w:t>
      </w:r>
      <w:hyperlink w:anchor="SENTENCIA_2016_4" w:history="1">
        <w:r w:rsidRPr="0057104C">
          <w:rPr>
            <w:rStyle w:val="TextoNormalCaracter"/>
          </w:rPr>
          <w:t>4/2016</w:t>
        </w:r>
      </w:hyperlink>
      <w:r>
        <w:t xml:space="preserve">; </w:t>
      </w:r>
      <w:hyperlink w:anchor="SENTENCIA_2016_18" w:history="1">
        <w:r w:rsidRPr="0057104C">
          <w:rPr>
            <w:rStyle w:val="TextoNormalCaracter"/>
          </w:rPr>
          <w:t>18/2016</w:t>
        </w:r>
      </w:hyperlink>
      <w:r>
        <w:t xml:space="preserve">; </w:t>
      </w:r>
      <w:hyperlink w:anchor="SENTENCIA_2016_46" w:history="1">
        <w:r w:rsidRPr="0057104C">
          <w:rPr>
            <w:rStyle w:val="TextoNormalCaracter"/>
          </w:rPr>
          <w:t>46/2016</w:t>
        </w:r>
      </w:hyperlink>
      <w:r>
        <w:t xml:space="preserve">; </w:t>
      </w:r>
      <w:hyperlink w:anchor="SENTENCIA_2016_47" w:history="1">
        <w:r w:rsidRPr="0057104C">
          <w:rPr>
            <w:rStyle w:val="TextoNormalCaracter"/>
          </w:rPr>
          <w:t>47/2016</w:t>
        </w:r>
      </w:hyperlink>
      <w:r>
        <w:t xml:space="preserve">; </w:t>
      </w:r>
      <w:hyperlink w:anchor="SENTENCIA_2016_90" w:history="1">
        <w:r w:rsidRPr="0057104C">
          <w:rPr>
            <w:rStyle w:val="TextoNormalCaracter"/>
          </w:rPr>
          <w:t>90/2016</w:t>
        </w:r>
      </w:hyperlink>
      <w:r>
        <w:t xml:space="preserve">; </w:t>
      </w:r>
      <w:hyperlink w:anchor="SENTENCIA_2016_104" w:history="1">
        <w:r w:rsidRPr="0057104C">
          <w:rPr>
            <w:rStyle w:val="TextoNormalCaracter"/>
          </w:rPr>
          <w:t>104/2016</w:t>
        </w:r>
      </w:hyperlink>
      <w:r>
        <w:t xml:space="preserve">; </w:t>
      </w:r>
      <w:hyperlink w:anchor="SENTENCIA_2016_106" w:history="1">
        <w:r w:rsidRPr="0057104C">
          <w:rPr>
            <w:rStyle w:val="TextoNormalCaracter"/>
          </w:rPr>
          <w:t>106/2016</w:t>
        </w:r>
      </w:hyperlink>
      <w:r>
        <w:t xml:space="preserve">; </w:t>
      </w:r>
      <w:hyperlink w:anchor="SENTENCIA_2016_119" w:history="1">
        <w:r w:rsidRPr="0057104C">
          <w:rPr>
            <w:rStyle w:val="TextoNormalCaracter"/>
          </w:rPr>
          <w:t>119/2016</w:t>
        </w:r>
      </w:hyperlink>
      <w:r>
        <w:t>.</w:t>
      </w:r>
    </w:p>
    <w:p w:rsidR="0057104C" w:rsidRDefault="0057104C" w:rsidP="0057104C">
      <w:pPr>
        <w:pStyle w:val="SangriaIzquierdaArticulo"/>
      </w:pPr>
      <w:r>
        <w:t xml:space="preserve">Autos </w:t>
      </w:r>
      <w:hyperlink w:anchor="AUTO_2016_13" w:history="1">
        <w:r w:rsidRPr="0057104C">
          <w:rPr>
            <w:rStyle w:val="TextoNormalCaracter"/>
          </w:rPr>
          <w:t>13/2016</w:t>
        </w:r>
      </w:hyperlink>
      <w:r>
        <w:t xml:space="preserve">; </w:t>
      </w:r>
      <w:hyperlink w:anchor="AUTO_2016_71" w:history="1">
        <w:r w:rsidRPr="0057104C">
          <w:rPr>
            <w:rStyle w:val="TextoNormalCaracter"/>
          </w:rPr>
          <w:t>71/2016</w:t>
        </w:r>
      </w:hyperlink>
      <w:r>
        <w:t>.</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Sentencias </w:t>
      </w:r>
      <w:hyperlink w:anchor="SENTENCIA_2016_43" w:history="1">
        <w:r w:rsidRPr="0057104C">
          <w:rPr>
            <w:rStyle w:val="TextoNormalCaracter"/>
          </w:rPr>
          <w:t>43/2016</w:t>
        </w:r>
      </w:hyperlink>
      <w:r>
        <w:t xml:space="preserve">; </w:t>
      </w:r>
      <w:hyperlink w:anchor="SENTENCIA_2016_52" w:history="1">
        <w:r w:rsidRPr="0057104C">
          <w:rPr>
            <w:rStyle w:val="TextoNormalCaracter"/>
          </w:rPr>
          <w:t>52/2016</w:t>
        </w:r>
      </w:hyperlink>
      <w:r>
        <w:t xml:space="preserve">; </w:t>
      </w:r>
      <w:hyperlink w:anchor="SENTENCIA_2016_79" w:history="1">
        <w:r w:rsidRPr="0057104C">
          <w:rPr>
            <w:rStyle w:val="TextoNormalCaracter"/>
          </w:rPr>
          <w:t>79/2016</w:t>
        </w:r>
      </w:hyperlink>
      <w:r>
        <w:t>.</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Sentencias </w:t>
      </w:r>
      <w:hyperlink w:anchor="SENTENCIA_2016_80" w:history="1">
        <w:r w:rsidRPr="0057104C">
          <w:rPr>
            <w:rStyle w:val="TextoNormalCaracter"/>
          </w:rPr>
          <w:t>80/2016</w:t>
        </w:r>
      </w:hyperlink>
      <w:r>
        <w:t xml:space="preserve">; </w:t>
      </w:r>
      <w:hyperlink w:anchor="SENTENCIA_2016_97" w:history="1">
        <w:r w:rsidRPr="0057104C">
          <w:rPr>
            <w:rStyle w:val="TextoNormalCaracter"/>
          </w:rPr>
          <w:t>97/2016</w:t>
        </w:r>
      </w:hyperlink>
      <w:r>
        <w:t>.</w:t>
      </w:r>
    </w:p>
    <w:p w:rsidR="0057104C" w:rsidRDefault="0057104C" w:rsidP="0057104C">
      <w:pPr>
        <w:pStyle w:val="SangriaFrancesaArticulo"/>
      </w:pPr>
      <w:r w:rsidRPr="0057104C">
        <w:rPr>
          <w:rStyle w:val="TextoNormalNegritaCaracter"/>
        </w:rPr>
        <w:t>Artículo 2.2.2.</w:t>
      </w:r>
      <w:r w:rsidRPr="0057104C">
        <w:rPr>
          <w:rStyle w:val="TextoNormalCaracter"/>
        </w:rPr>
        <w:t>-</w:t>
      </w:r>
      <w:r>
        <w:t xml:space="preserve"> Sentencia </w:t>
      </w:r>
      <w:hyperlink w:anchor="SENTENCIA_2016_79" w:history="1">
        <w:r w:rsidRPr="0057104C">
          <w:rPr>
            <w:rStyle w:val="TextoNormalCaracter"/>
          </w:rPr>
          <w:t>79/2016</w:t>
        </w:r>
      </w:hyperlink>
      <w:r>
        <w:t>.</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Sentencias </w:t>
      </w:r>
      <w:hyperlink w:anchor="SENTENCIA_2016_80" w:history="1">
        <w:r w:rsidRPr="0057104C">
          <w:rPr>
            <w:rStyle w:val="TextoNormalCaracter"/>
          </w:rPr>
          <w:t>80/2016</w:t>
        </w:r>
      </w:hyperlink>
      <w:r>
        <w:t xml:space="preserve">; </w:t>
      </w:r>
      <w:hyperlink w:anchor="SENTENCIA_2016_97" w:history="1">
        <w:r w:rsidRPr="0057104C">
          <w:rPr>
            <w:rStyle w:val="TextoNormalCaracter"/>
          </w:rPr>
          <w:t>97/2016</w:t>
        </w:r>
      </w:hyperlink>
      <w:r>
        <w:t>.</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Sentencias </w:t>
      </w:r>
      <w:hyperlink w:anchor="SENTENCIA_2016_18" w:history="1">
        <w:r w:rsidRPr="0057104C">
          <w:rPr>
            <w:rStyle w:val="TextoNormalCaracter"/>
          </w:rPr>
          <w:t>18/2016</w:t>
        </w:r>
      </w:hyperlink>
      <w:r>
        <w:t xml:space="preserve">; </w:t>
      </w:r>
      <w:hyperlink w:anchor="SENTENCIA_2016_119" w:history="1">
        <w:r w:rsidRPr="0057104C">
          <w:rPr>
            <w:rStyle w:val="TextoNormalCaracter"/>
          </w:rPr>
          <w:t>119/2016</w:t>
        </w:r>
      </w:hyperlink>
      <w:r>
        <w:t>.</w:t>
      </w:r>
    </w:p>
    <w:p w:rsidR="0057104C" w:rsidRDefault="0057104C" w:rsidP="0057104C">
      <w:pPr>
        <w:pStyle w:val="SangriaFrancesaArticulo"/>
      </w:pPr>
      <w:r w:rsidRPr="0057104C">
        <w:rPr>
          <w:rStyle w:val="TextoNormalNegritaCaracter"/>
        </w:rPr>
        <w:t>Artículo 8.1.</w:t>
      </w:r>
      <w:r w:rsidRPr="0057104C">
        <w:rPr>
          <w:rStyle w:val="TextoNormalCaracter"/>
        </w:rPr>
        <w:t>-</w:t>
      </w:r>
      <w:r>
        <w:t xml:space="preserve"> Sentencia </w:t>
      </w:r>
      <w:hyperlink w:anchor="SENTENCIA_2016_9" w:history="1">
        <w:r w:rsidRPr="0057104C">
          <w:rPr>
            <w:rStyle w:val="TextoNormalCaracter"/>
          </w:rPr>
          <w:t>9/2016</w:t>
        </w:r>
      </w:hyperlink>
      <w:r>
        <w:t>.</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119" w:history="1">
        <w:r w:rsidRPr="0057104C">
          <w:rPr>
            <w:rStyle w:val="TextoNormalCaracter"/>
          </w:rPr>
          <w:t>119/2016</w:t>
        </w:r>
      </w:hyperlink>
      <w:r>
        <w:t>.</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Artículo 22.8.</w:t>
      </w:r>
      <w:r w:rsidRPr="0057104C">
        <w:rPr>
          <w:rStyle w:val="TextoNormalCaracter"/>
        </w:rPr>
        <w:t>-</w:t>
      </w:r>
      <w:r>
        <w:t xml:space="preserve"> Sentencia </w:t>
      </w:r>
      <w:hyperlink w:anchor="SENTENCIA_2016_36" w:history="1">
        <w:r w:rsidRPr="0057104C">
          <w:rPr>
            <w:rStyle w:val="TextoNormalCaracter"/>
          </w:rPr>
          <w:t>36/2016</w:t>
        </w:r>
      </w:hyperlink>
      <w:r>
        <w:t>.</w:t>
      </w:r>
    </w:p>
    <w:p w:rsidR="0057104C" w:rsidRDefault="0057104C" w:rsidP="0057104C">
      <w:pPr>
        <w:pStyle w:val="SangriaFrancesaArticulo"/>
      </w:pPr>
      <w:r w:rsidRPr="0057104C">
        <w:rPr>
          <w:rStyle w:val="TextoNormalNegritaCaracter"/>
        </w:rPr>
        <w:t>Artículo 22.9.</w:t>
      </w:r>
      <w:r w:rsidRPr="0057104C">
        <w:rPr>
          <w:rStyle w:val="TextoNormalCaracter"/>
        </w:rPr>
        <w:t>-</w:t>
      </w:r>
      <w:r>
        <w:t xml:space="preserve"> Sentencia </w:t>
      </w:r>
      <w:hyperlink w:anchor="SENTENCIA_2016_36" w:history="1">
        <w:r w:rsidRPr="0057104C">
          <w:rPr>
            <w:rStyle w:val="TextoNormalCaracter"/>
          </w:rPr>
          <w:t>36/2016</w:t>
        </w:r>
      </w:hyperlink>
      <w:r>
        <w:t>.</w:t>
      </w:r>
    </w:p>
    <w:p w:rsidR="0057104C" w:rsidRDefault="0057104C" w:rsidP="0057104C">
      <w:pPr>
        <w:pStyle w:val="SangriaFrancesaArticulo"/>
      </w:pPr>
      <w:r w:rsidRPr="0057104C">
        <w:rPr>
          <w:rStyle w:val="TextoNormalNegritaCaracter"/>
        </w:rPr>
        <w:t>Artículo 27.</w:t>
      </w:r>
      <w:r w:rsidRPr="0057104C">
        <w:rPr>
          <w:rStyle w:val="TextoNormalCaracter"/>
        </w:rPr>
        <w:t>-</w:t>
      </w:r>
      <w:r>
        <w:t xml:space="preserve"> Sentencias </w:t>
      </w:r>
      <w:hyperlink w:anchor="SENTENCIA_2016_18" w:history="1">
        <w:r w:rsidRPr="0057104C">
          <w:rPr>
            <w:rStyle w:val="TextoNormalCaracter"/>
          </w:rPr>
          <w:t>18/2016</w:t>
        </w:r>
      </w:hyperlink>
      <w:r>
        <w:t xml:space="preserve">; </w:t>
      </w:r>
      <w:hyperlink w:anchor="SENTENCIA_2016_37" w:history="1">
        <w:r w:rsidRPr="0057104C">
          <w:rPr>
            <w:rStyle w:val="TextoNormalCaracter"/>
          </w:rPr>
          <w:t>37/2016</w:t>
        </w:r>
      </w:hyperlink>
      <w:r>
        <w:t xml:space="preserve">; </w:t>
      </w:r>
      <w:hyperlink w:anchor="SENTENCIA_2016_55" w:history="1">
        <w:r w:rsidRPr="0057104C">
          <w:rPr>
            <w:rStyle w:val="TextoNormalCaracter"/>
          </w:rPr>
          <w:t>55/2016</w:t>
        </w:r>
      </w:hyperlink>
      <w:r>
        <w:t xml:space="preserve">; </w:t>
      </w:r>
      <w:hyperlink w:anchor="SENTENCIA_2016_119" w:history="1">
        <w:r w:rsidRPr="0057104C">
          <w:rPr>
            <w:rStyle w:val="TextoNormalCaracter"/>
          </w:rPr>
          <w:t>119/2016</w:t>
        </w:r>
      </w:hyperlink>
      <w:r>
        <w:t>.</w:t>
      </w:r>
    </w:p>
    <w:p w:rsidR="0057104C" w:rsidRDefault="0057104C" w:rsidP="0057104C">
      <w:pPr>
        <w:pStyle w:val="SangriaFrancesaArticulo"/>
      </w:pPr>
      <w:r w:rsidRPr="0057104C">
        <w:rPr>
          <w:rStyle w:val="TextoNormalNegritaCaracter"/>
        </w:rPr>
        <w:t>Artículo 28.</w:t>
      </w:r>
      <w:r w:rsidRPr="0057104C">
        <w:rPr>
          <w:rStyle w:val="TextoNormalCaracter"/>
        </w:rPr>
        <w:t>-</w:t>
      </w:r>
      <w:r>
        <w:t xml:space="preserve"> Sentencias </w:t>
      </w:r>
      <w:hyperlink w:anchor="SENTENCIA_2016_18" w:history="1">
        <w:r w:rsidRPr="0057104C">
          <w:rPr>
            <w:rStyle w:val="TextoNormalCaracter"/>
          </w:rPr>
          <w:t>18/2016</w:t>
        </w:r>
      </w:hyperlink>
      <w:r>
        <w:t xml:space="preserve">; </w:t>
      </w:r>
      <w:hyperlink w:anchor="SENTENCIA_2016_37" w:history="1">
        <w:r w:rsidRPr="0057104C">
          <w:rPr>
            <w:rStyle w:val="TextoNormalCaracter"/>
          </w:rPr>
          <w:t>37/2016</w:t>
        </w:r>
      </w:hyperlink>
      <w:r>
        <w:t xml:space="preserve">; </w:t>
      </w:r>
      <w:hyperlink w:anchor="SENTENCIA_2016_119" w:history="1">
        <w:r w:rsidRPr="0057104C">
          <w:rPr>
            <w:rStyle w:val="TextoNormalCaracter"/>
          </w:rPr>
          <w:t>119/2016</w:t>
        </w:r>
      </w:hyperlink>
      <w:r>
        <w:t>.</w:t>
      </w:r>
    </w:p>
    <w:p w:rsidR="0057104C" w:rsidRDefault="0057104C" w:rsidP="0057104C">
      <w:pPr>
        <w:pStyle w:val="SangriaFrancesaArticulo"/>
      </w:pPr>
      <w:r w:rsidRPr="0057104C">
        <w:rPr>
          <w:rStyle w:val="TextoNormalNegritaCaracter"/>
        </w:rPr>
        <w:t>Artículo 38.</w:t>
      </w:r>
      <w:r w:rsidRPr="0057104C">
        <w:rPr>
          <w:rStyle w:val="TextoNormalCaracter"/>
        </w:rPr>
        <w:t>-</w:t>
      </w:r>
      <w:r>
        <w:t xml:space="preserve"> Sentencia </w:t>
      </w:r>
      <w:hyperlink w:anchor="SENTENCIA_2016_55" w:history="1">
        <w:r w:rsidRPr="0057104C">
          <w:rPr>
            <w:rStyle w:val="TextoNormalCaracter"/>
          </w:rPr>
          <w:t>55/2016</w:t>
        </w:r>
      </w:hyperlink>
      <w:r>
        <w:t>.</w:t>
      </w:r>
    </w:p>
    <w:p w:rsidR="0057104C" w:rsidRDefault="0057104C" w:rsidP="0057104C">
      <w:pPr>
        <w:pStyle w:val="SangriaFrancesaArticulo"/>
      </w:pPr>
      <w:r w:rsidRPr="0057104C">
        <w:rPr>
          <w:rStyle w:val="TextoNormalNegritaCaracter"/>
        </w:rPr>
        <w:t>Disposición adicional séptima.</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Disposición adicional novena.</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Disposición adicional undécima.</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Disposición transitoria octava.</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Disposición transitoria novena.</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Disposición transitoria décima.</w:t>
      </w:r>
      <w:r w:rsidRPr="0057104C">
        <w:rPr>
          <w:rStyle w:val="TextoNormalCaracter"/>
        </w:rPr>
        <w:t>-</w:t>
      </w:r>
      <w:r>
        <w:t xml:space="preserve"> Sentencias </w:t>
      </w:r>
      <w:hyperlink w:anchor="SENTENCIA_2016_18" w:history="1">
        <w:r w:rsidRPr="0057104C">
          <w:rPr>
            <w:rStyle w:val="TextoNormalCaracter"/>
          </w:rPr>
          <w:t>18/2016</w:t>
        </w:r>
      </w:hyperlink>
      <w:r>
        <w:t xml:space="preserve">; </w:t>
      </w:r>
      <w:hyperlink w:anchor="SENTENCIA_2016_36" w:history="1">
        <w:r w:rsidRPr="0057104C">
          <w:rPr>
            <w:rStyle w:val="TextoNormalCaracter"/>
          </w:rPr>
          <w:t>36/2016</w:t>
        </w:r>
      </w:hyperlink>
      <w:r>
        <w:t>.</w:t>
      </w:r>
    </w:p>
    <w:p w:rsidR="0057104C" w:rsidRDefault="0057104C" w:rsidP="0057104C">
      <w:pPr>
        <w:pStyle w:val="SangriaFrancesaArticulo"/>
      </w:pPr>
      <w:r w:rsidRPr="0057104C">
        <w:rPr>
          <w:rStyle w:val="TextoNormalNegritaCaracter"/>
        </w:rPr>
        <w:t>Disposición transitoria undécima.</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Disposición transitoria duodécima.</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Disposición transitoria duodécima, párrafo 1.</w:t>
      </w:r>
      <w:r w:rsidRPr="0057104C">
        <w:rPr>
          <w:rStyle w:val="TextoNormalCaracter"/>
        </w:rPr>
        <w:t>-</w:t>
      </w:r>
      <w:r>
        <w:t xml:space="preserve"> Sentencia </w:t>
      </w:r>
      <w:hyperlink w:anchor="SENTENCIA_2016_36" w:history="1">
        <w:r w:rsidRPr="0057104C">
          <w:rPr>
            <w:rStyle w:val="TextoNormalCaracter"/>
          </w:rPr>
          <w:t>36/2016</w:t>
        </w:r>
      </w:hyperlink>
      <w:r>
        <w:t>.</w:t>
      </w:r>
    </w:p>
    <w:p w:rsidR="0057104C" w:rsidRDefault="0057104C" w:rsidP="0057104C">
      <w:pPr>
        <w:pStyle w:val="SangriaFrancesaArticulo"/>
      </w:pPr>
      <w:r w:rsidRPr="0057104C">
        <w:rPr>
          <w:rStyle w:val="TextoNormalNegritaCaracter"/>
        </w:rPr>
        <w:t>Disposición transitoria decimocuarta.</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Disposición final tercera.</w:t>
      </w:r>
      <w:r w:rsidRPr="0057104C">
        <w:rPr>
          <w:rStyle w:val="TextoNormalCaracter"/>
        </w:rPr>
        <w:t>-</w:t>
      </w:r>
      <w:r>
        <w:t xml:space="preserve"> Sentencias </w:t>
      </w:r>
      <w:hyperlink w:anchor="SENTENCIA_2016_18" w:history="1">
        <w:r w:rsidRPr="0057104C">
          <w:rPr>
            <w:rStyle w:val="TextoNormalCaracter"/>
          </w:rPr>
          <w:t>18/2016</w:t>
        </w:r>
      </w:hyperlink>
      <w:r>
        <w:t xml:space="preserve">; </w:t>
      </w:r>
      <w:hyperlink w:anchor="SENTENCIA_2016_119" w:history="1">
        <w:r w:rsidRPr="0057104C">
          <w:rPr>
            <w:rStyle w:val="TextoNormalCaracter"/>
          </w:rPr>
          <w:t>119/2016</w:t>
        </w:r>
      </w:hyperlink>
      <w:r>
        <w:t>.</w:t>
      </w:r>
    </w:p>
    <w:p w:rsidR="0057104C" w:rsidRDefault="0057104C" w:rsidP="0057104C">
      <w:pPr>
        <w:pStyle w:val="SangriaFrancesaArticulo"/>
      </w:pPr>
      <w:r w:rsidRPr="0057104C">
        <w:rPr>
          <w:rStyle w:val="TextoNormalNegritaCaracter"/>
        </w:rPr>
        <w:t>Disposición final cuarta.</w:t>
      </w:r>
      <w:r w:rsidRPr="0057104C">
        <w:rPr>
          <w:rStyle w:val="TextoNormalCaracter"/>
        </w:rPr>
        <w:t>-</w:t>
      </w:r>
      <w:r>
        <w:t xml:space="preserve"> Sentencia </w:t>
      </w:r>
      <w:hyperlink w:anchor="SENTENCIA_2016_18" w:history="1">
        <w:r w:rsidRPr="0057104C">
          <w:rPr>
            <w:rStyle w:val="TextoNormalCaracter"/>
          </w:rPr>
          <w:t>18/2016</w:t>
        </w:r>
      </w:hyperlink>
      <w:r>
        <w:t>.</w:t>
      </w:r>
    </w:p>
    <w:p w:rsidR="0057104C" w:rsidRDefault="0057104C" w:rsidP="0057104C">
      <w:pPr>
        <w:pStyle w:val="SangriaFrancesaArticulo"/>
      </w:pPr>
      <w:r w:rsidRPr="0057104C">
        <w:rPr>
          <w:rStyle w:val="TextoNormalNegritaCaracter"/>
        </w:rPr>
        <w:t>Disposición final cuarta, párrafo 3.</w:t>
      </w:r>
      <w:r w:rsidRPr="0057104C">
        <w:rPr>
          <w:rStyle w:val="TextoNormalCaracter"/>
        </w:rPr>
        <w:t>-</w:t>
      </w:r>
      <w:r>
        <w:t xml:space="preserve"> Sentencia </w:t>
      </w:r>
      <w:hyperlink w:anchor="SENTENCIA_2016_36" w:history="1">
        <w:r w:rsidRPr="0057104C">
          <w:rPr>
            <w:rStyle w:val="TextoNormalCaracter"/>
          </w:rPr>
          <w:t>36/2016</w:t>
        </w:r>
      </w:hyperlink>
      <w:r>
        <w:t>.</w:t>
      </w:r>
    </w:p>
    <w:p w:rsidR="0057104C" w:rsidRDefault="0057104C" w:rsidP="0057104C">
      <w:pPr>
        <w:pStyle w:val="SangriaFrancesaArticulo"/>
      </w:pPr>
    </w:p>
    <w:p w:rsidR="0057104C" w:rsidRDefault="0057104C" w:rsidP="0057104C">
      <w:pPr>
        <w:pStyle w:val="TextoNormalNegritaCursivandice"/>
      </w:pPr>
      <w:r>
        <w:t>Ley 10/2012, de 20 de noviembre. Se regulan determinadas tasas en el ámbito de la Administración de justicia y del Instituto Nacional de Toxicología y Ciencias Forenses</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Auto </w:t>
      </w:r>
      <w:hyperlink w:anchor="AUTO_2016_75" w:history="1">
        <w:r w:rsidRPr="0057104C">
          <w:rPr>
            <w:rStyle w:val="TextoNormalCaracter"/>
          </w:rPr>
          <w:t>75/2016</w:t>
        </w:r>
      </w:hyperlink>
      <w:r>
        <w:t>.</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Auto </w:t>
      </w:r>
      <w:hyperlink w:anchor="AUTO_2016_75" w:history="1">
        <w:r w:rsidRPr="0057104C">
          <w:rPr>
            <w:rStyle w:val="TextoNormalCaracter"/>
          </w:rPr>
          <w:t>75/2016</w:t>
        </w:r>
      </w:hyperlink>
      <w:r>
        <w:t>.</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Auto </w:t>
      </w:r>
      <w:hyperlink w:anchor="AUTO_2016_75" w:history="1">
        <w:r w:rsidRPr="0057104C">
          <w:rPr>
            <w:rStyle w:val="TextoNormalCaracter"/>
          </w:rPr>
          <w:t>75/2016</w:t>
        </w:r>
      </w:hyperlink>
      <w:r>
        <w:t>.</w:t>
      </w:r>
    </w:p>
    <w:p w:rsidR="0057104C" w:rsidRDefault="0057104C" w:rsidP="0057104C">
      <w:pPr>
        <w:pStyle w:val="SangriaFrancesaArticulo"/>
      </w:pPr>
    </w:p>
    <w:p w:rsidR="0057104C" w:rsidRDefault="0057104C" w:rsidP="0057104C">
      <w:pPr>
        <w:pStyle w:val="TextoNormalNegritaCursivandice"/>
      </w:pPr>
      <w:r>
        <w:t>Ley 17/2012, de 27 de diciembre. Presupuestos Generales del Estado para el año 2013</w:t>
      </w:r>
    </w:p>
    <w:p w:rsidR="0057104C" w:rsidRDefault="0057104C" w:rsidP="0057104C">
      <w:pPr>
        <w:pStyle w:val="SangriaFrancesaArticulo"/>
      </w:pPr>
      <w:r w:rsidRPr="0057104C">
        <w:rPr>
          <w:rStyle w:val="TextoNormalNegritaCaracter"/>
        </w:rPr>
        <w:t>Artículo 17.8.</w:t>
      </w:r>
      <w:r w:rsidRPr="0057104C">
        <w:rPr>
          <w:rStyle w:val="TextoNormalCaracter"/>
        </w:rPr>
        <w:t>-</w:t>
      </w:r>
      <w:r>
        <w:t xml:space="preserve"> Autos </w:t>
      </w:r>
      <w:hyperlink w:anchor="AUTO_2016_9" w:history="1">
        <w:r w:rsidRPr="0057104C">
          <w:rPr>
            <w:rStyle w:val="TextoNormalCaracter"/>
          </w:rPr>
          <w:t>9/2016</w:t>
        </w:r>
      </w:hyperlink>
      <w:r>
        <w:t xml:space="preserve">; </w:t>
      </w:r>
      <w:hyperlink w:anchor="AUTO_2016_39" w:history="1">
        <w:r w:rsidRPr="0057104C">
          <w:rPr>
            <w:rStyle w:val="TextoNormalCaracter"/>
          </w:rPr>
          <w:t>39/2016</w:t>
        </w:r>
      </w:hyperlink>
      <w:r>
        <w:t xml:space="preserve">; </w:t>
      </w:r>
      <w:hyperlink w:anchor="AUTO_2016_40" w:history="1">
        <w:r w:rsidRPr="0057104C">
          <w:rPr>
            <w:rStyle w:val="TextoNormalCaracter"/>
          </w:rPr>
          <w:t>40/2016</w:t>
        </w:r>
      </w:hyperlink>
      <w:r>
        <w:t>.</w:t>
      </w:r>
    </w:p>
    <w:p w:rsidR="0057104C" w:rsidRDefault="0057104C" w:rsidP="0057104C">
      <w:pPr>
        <w:pStyle w:val="SangriaFrancesaArticulo"/>
      </w:pPr>
    </w:p>
    <w:p w:rsidR="0057104C" w:rsidRDefault="0057104C" w:rsidP="0057104C">
      <w:pPr>
        <w:pStyle w:val="TextoNormalNegritaCursivandice"/>
      </w:pPr>
      <w:r>
        <w:t>Ley 1/2013, de 14 de mayo. Medidas para reforzar la protección a los deudores hipotecarios, reestructuración de deuda y alquiler social</w:t>
      </w:r>
    </w:p>
    <w:p w:rsidR="0057104C" w:rsidRDefault="0057104C" w:rsidP="0057104C">
      <w:pPr>
        <w:pStyle w:val="SangriaFrancesaArticulo"/>
      </w:pPr>
      <w:r w:rsidRPr="0057104C">
        <w:rPr>
          <w:rStyle w:val="TextoNormalNegritaCaracter"/>
        </w:rPr>
        <w:t>Disposición transitoria cuarta.</w:t>
      </w:r>
      <w:r w:rsidRPr="0057104C">
        <w:rPr>
          <w:rStyle w:val="TextoNormalCaracter"/>
        </w:rPr>
        <w:t>-</w:t>
      </w:r>
      <w:r>
        <w:t xml:space="preserve"> Auto </w:t>
      </w:r>
      <w:hyperlink w:anchor="AUTO_2016_42" w:history="1">
        <w:r w:rsidRPr="0057104C">
          <w:rPr>
            <w:rStyle w:val="TextoNormalCaracter"/>
          </w:rPr>
          <w:t>42/2016</w:t>
        </w:r>
      </w:hyperlink>
      <w:r>
        <w:t>.</w:t>
      </w:r>
    </w:p>
    <w:p w:rsidR="0057104C" w:rsidRDefault="0057104C" w:rsidP="0057104C">
      <w:pPr>
        <w:pStyle w:val="SangriaFrancesaArticulo"/>
      </w:pPr>
    </w:p>
    <w:p w:rsidR="0057104C" w:rsidRDefault="0057104C" w:rsidP="0057104C">
      <w:pPr>
        <w:pStyle w:val="TextoNormalNegritaCursivandice"/>
      </w:pPr>
      <w:r>
        <w:t>Ley 2/2013, de 29 de mayo. Protección y uso sostenible del litoral y de modificación de la Ley 22/1988, de 28 de julio, de Costas</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Sentencias </w:t>
      </w:r>
      <w:hyperlink w:anchor="SENTENCIA_2016_6" w:history="1">
        <w:r w:rsidRPr="0057104C">
          <w:rPr>
            <w:rStyle w:val="TextoNormalCaracter"/>
          </w:rPr>
          <w:t>6/2016</w:t>
        </w:r>
      </w:hyperlink>
      <w:r>
        <w:t xml:space="preserve">; </w:t>
      </w:r>
      <w:hyperlink w:anchor="SENTENCIA_2016_57" w:history="1">
        <w:r w:rsidRPr="0057104C">
          <w:rPr>
            <w:rStyle w:val="TextoNormalCaracter"/>
          </w:rPr>
          <w:t>57/2016</w:t>
        </w:r>
      </w:hyperlink>
      <w:r>
        <w:t>.</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57" w:history="1">
        <w:r w:rsidRPr="0057104C">
          <w:rPr>
            <w:rStyle w:val="TextoNormalCaracter"/>
          </w:rPr>
          <w:t>57/2016</w:t>
        </w:r>
      </w:hyperlink>
      <w:r>
        <w:t>.</w:t>
      </w:r>
    </w:p>
    <w:p w:rsidR="0057104C" w:rsidRDefault="0057104C" w:rsidP="0057104C">
      <w:pPr>
        <w:pStyle w:val="SangriaFrancesaArticulo"/>
      </w:pPr>
      <w:r w:rsidRPr="0057104C">
        <w:rPr>
          <w:rStyle w:val="TextoNormalNegritaCaracter"/>
        </w:rPr>
        <w:t>Artículo 1.8.3.</w:t>
      </w:r>
      <w:r w:rsidRPr="0057104C">
        <w:rPr>
          <w:rStyle w:val="TextoNormalCaracter"/>
        </w:rPr>
        <w:t>-</w:t>
      </w:r>
      <w:r>
        <w:t xml:space="preserve"> Sentencia </w:t>
      </w:r>
      <w:hyperlink w:anchor="SENTENCIA_2016_100" w:history="1">
        <w:r w:rsidRPr="0057104C">
          <w:rPr>
            <w:rStyle w:val="TextoNormalCaracter"/>
          </w:rPr>
          <w:t>100/2016</w:t>
        </w:r>
      </w:hyperlink>
      <w:r>
        <w:t>.</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Sentencia </w:t>
      </w:r>
      <w:hyperlink w:anchor="SENTENCIA_2016_6" w:history="1">
        <w:r w:rsidRPr="0057104C">
          <w:rPr>
            <w:rStyle w:val="TextoNormalCaracter"/>
          </w:rPr>
          <w:t>6/2016</w:t>
        </w:r>
      </w:hyperlink>
      <w:r>
        <w:t>.</w:t>
      </w:r>
    </w:p>
    <w:p w:rsidR="0057104C" w:rsidRDefault="0057104C" w:rsidP="0057104C">
      <w:pPr>
        <w:pStyle w:val="SangriaFrancesaArticulo"/>
      </w:pPr>
      <w:r w:rsidRPr="0057104C">
        <w:rPr>
          <w:rStyle w:val="TextoNormalNegritaCaracter"/>
        </w:rPr>
        <w:t>Artículo 1.12.</w:t>
      </w:r>
      <w:r w:rsidRPr="0057104C">
        <w:rPr>
          <w:rStyle w:val="TextoNormalCaracter"/>
        </w:rPr>
        <w:t>-</w:t>
      </w:r>
      <w:r>
        <w:t xml:space="preserve"> Sentencias </w:t>
      </w:r>
      <w:hyperlink w:anchor="SENTENCIA_2016_6" w:history="1">
        <w:r w:rsidRPr="0057104C">
          <w:rPr>
            <w:rStyle w:val="TextoNormalCaracter"/>
          </w:rPr>
          <w:t>6/2016</w:t>
        </w:r>
      </w:hyperlink>
      <w:r>
        <w:t xml:space="preserve">; </w:t>
      </w:r>
      <w:hyperlink w:anchor="SENTENCIA_2016_28" w:history="1">
        <w:r w:rsidRPr="0057104C">
          <w:rPr>
            <w:rStyle w:val="TextoNormalCaracter"/>
          </w:rPr>
          <w:t>28/2016</w:t>
        </w:r>
      </w:hyperlink>
      <w:r>
        <w:t xml:space="preserve">; </w:t>
      </w:r>
      <w:hyperlink w:anchor="SENTENCIA_2016_57" w:history="1">
        <w:r w:rsidRPr="0057104C">
          <w:rPr>
            <w:rStyle w:val="TextoNormalCaracter"/>
          </w:rPr>
          <w:t>57/2016</w:t>
        </w:r>
      </w:hyperlink>
      <w:r>
        <w:t>.</w:t>
      </w:r>
    </w:p>
    <w:p w:rsidR="0057104C" w:rsidRDefault="0057104C" w:rsidP="0057104C">
      <w:pPr>
        <w:pStyle w:val="SangriaFrancesaArticulo"/>
      </w:pPr>
      <w:r w:rsidRPr="0057104C">
        <w:rPr>
          <w:rStyle w:val="TextoNormalNegritaCaracter"/>
        </w:rPr>
        <w:t>Artículo 1.16.</w:t>
      </w:r>
      <w:r w:rsidRPr="0057104C">
        <w:rPr>
          <w:rStyle w:val="TextoNormalCaracter"/>
        </w:rPr>
        <w:t>-</w:t>
      </w:r>
      <w:r>
        <w:t xml:space="preserve"> Sentencias </w:t>
      </w:r>
      <w:hyperlink w:anchor="SENTENCIA_2016_28" w:history="1">
        <w:r w:rsidRPr="0057104C">
          <w:rPr>
            <w:rStyle w:val="TextoNormalCaracter"/>
          </w:rPr>
          <w:t>28/2016</w:t>
        </w:r>
      </w:hyperlink>
      <w:r>
        <w:t xml:space="preserve">; </w:t>
      </w:r>
      <w:hyperlink w:anchor="SENTENCIA_2016_57" w:history="1">
        <w:r w:rsidRPr="0057104C">
          <w:rPr>
            <w:rStyle w:val="TextoNormalCaracter"/>
          </w:rPr>
          <w:t>57/2016</w:t>
        </w:r>
      </w:hyperlink>
      <w:r>
        <w:t>.</w:t>
      </w:r>
    </w:p>
    <w:p w:rsidR="0057104C" w:rsidRDefault="0057104C" w:rsidP="0057104C">
      <w:pPr>
        <w:pStyle w:val="SangriaFrancesaArticulo"/>
      </w:pPr>
      <w:r w:rsidRPr="0057104C">
        <w:rPr>
          <w:rStyle w:val="TextoNormalNegritaCaracter"/>
        </w:rPr>
        <w:t>Artículo 1.18.</w:t>
      </w:r>
      <w:r w:rsidRPr="0057104C">
        <w:rPr>
          <w:rStyle w:val="TextoNormalCaracter"/>
        </w:rPr>
        <w:t>-</w:t>
      </w:r>
      <w:r>
        <w:t xml:space="preserve"> Sentencia </w:t>
      </w:r>
      <w:hyperlink w:anchor="SENTENCIA_2016_6" w:history="1">
        <w:r w:rsidRPr="0057104C">
          <w:rPr>
            <w:rStyle w:val="TextoNormalCaracter"/>
          </w:rPr>
          <w:t>6/2016</w:t>
        </w:r>
      </w:hyperlink>
      <w:r>
        <w:t>.</w:t>
      </w:r>
    </w:p>
    <w:p w:rsidR="0057104C" w:rsidRDefault="0057104C" w:rsidP="0057104C">
      <w:pPr>
        <w:pStyle w:val="SangriaFrancesaArticulo"/>
      </w:pPr>
      <w:r w:rsidRPr="0057104C">
        <w:rPr>
          <w:rStyle w:val="TextoNormalNegritaCaracter"/>
        </w:rPr>
        <w:t>Artículo 1.38.</w:t>
      </w:r>
      <w:r w:rsidRPr="0057104C">
        <w:rPr>
          <w:rStyle w:val="TextoNormalCaracter"/>
        </w:rPr>
        <w:t>-</w:t>
      </w:r>
      <w:r>
        <w:t xml:space="preserve"> Sentencias </w:t>
      </w:r>
      <w:hyperlink w:anchor="SENTENCIA_2016_6" w:history="1">
        <w:r w:rsidRPr="0057104C">
          <w:rPr>
            <w:rStyle w:val="TextoNormalCaracter"/>
          </w:rPr>
          <w:t>6/2016</w:t>
        </w:r>
      </w:hyperlink>
      <w:r>
        <w:t xml:space="preserve">; </w:t>
      </w:r>
      <w:hyperlink w:anchor="SENTENCIA_2016_28" w:history="1">
        <w:r w:rsidRPr="0057104C">
          <w:rPr>
            <w:rStyle w:val="TextoNormalCaracter"/>
          </w:rPr>
          <w:t>28/2016</w:t>
        </w:r>
      </w:hyperlink>
      <w:r>
        <w:t xml:space="preserve">; </w:t>
      </w:r>
      <w:hyperlink w:anchor="SENTENCIA_2016_57" w:history="1">
        <w:r w:rsidRPr="0057104C">
          <w:rPr>
            <w:rStyle w:val="TextoNormalCaracter"/>
          </w:rPr>
          <w:t>57/2016</w:t>
        </w:r>
      </w:hyperlink>
      <w:r>
        <w:t>.</w:t>
      </w:r>
    </w:p>
    <w:p w:rsidR="0057104C" w:rsidRDefault="0057104C" w:rsidP="0057104C">
      <w:pPr>
        <w:pStyle w:val="SangriaFrancesaArticulo"/>
      </w:pPr>
      <w:r w:rsidRPr="0057104C">
        <w:rPr>
          <w:rStyle w:val="TextoNormalNegritaCaracter"/>
        </w:rPr>
        <w:t>Artículo 1.39.5.</w:t>
      </w:r>
      <w:r w:rsidRPr="0057104C">
        <w:rPr>
          <w:rStyle w:val="TextoNormalCaracter"/>
        </w:rPr>
        <w:t>-</w:t>
      </w:r>
      <w:r>
        <w:t xml:space="preserve"> Sentencia </w:t>
      </w:r>
      <w:hyperlink w:anchor="SENTENCIA_2016_100" w:history="1">
        <w:r w:rsidRPr="0057104C">
          <w:rPr>
            <w:rStyle w:val="TextoNormalCaracter"/>
          </w:rPr>
          <w:t>100/2016</w:t>
        </w:r>
      </w:hyperlink>
      <w:r>
        <w:t>.</w:t>
      </w:r>
    </w:p>
    <w:p w:rsidR="0057104C" w:rsidRDefault="0057104C" w:rsidP="0057104C">
      <w:pPr>
        <w:pStyle w:val="SangriaFrancesaArticulo"/>
      </w:pPr>
      <w:r w:rsidRPr="0057104C">
        <w:rPr>
          <w:rStyle w:val="TextoNormalNegritaCaracter"/>
        </w:rPr>
        <w:t>Artículo 1.40.</w:t>
      </w:r>
      <w:r w:rsidRPr="0057104C">
        <w:rPr>
          <w:rStyle w:val="TextoNormalCaracter"/>
        </w:rPr>
        <w:t>-</w:t>
      </w:r>
      <w:r>
        <w:t xml:space="preserve"> Sentencia </w:t>
      </w:r>
      <w:hyperlink w:anchor="SENTENCIA_2016_57" w:history="1">
        <w:r w:rsidRPr="0057104C">
          <w:rPr>
            <w:rStyle w:val="TextoNormalCaracter"/>
          </w:rPr>
          <w:t>57/2016</w:t>
        </w:r>
      </w:hyperlink>
      <w:r>
        <w:t>.</w:t>
      </w:r>
    </w:p>
    <w:p w:rsidR="0057104C" w:rsidRDefault="0057104C" w:rsidP="0057104C">
      <w:pPr>
        <w:pStyle w:val="SangriaFrancesaArticulo"/>
      </w:pPr>
      <w:r w:rsidRPr="0057104C">
        <w:rPr>
          <w:rStyle w:val="TextoNormalNegritaCaracter"/>
        </w:rPr>
        <w:t>Artículo 1.40.3.</w:t>
      </w:r>
      <w:r w:rsidRPr="0057104C">
        <w:rPr>
          <w:rStyle w:val="TextoNormalCaracter"/>
        </w:rPr>
        <w:t>-</w:t>
      </w:r>
      <w:r>
        <w:t xml:space="preserve"> Sentencia </w:t>
      </w:r>
      <w:hyperlink w:anchor="SENTENCIA_2016_100" w:history="1">
        <w:r w:rsidRPr="0057104C">
          <w:rPr>
            <w:rStyle w:val="TextoNormalCaracter"/>
          </w:rPr>
          <w:t>100/2016</w:t>
        </w:r>
      </w:hyperlink>
      <w:r>
        <w:t>.</w:t>
      </w:r>
    </w:p>
    <w:p w:rsidR="0057104C" w:rsidRDefault="0057104C" w:rsidP="0057104C">
      <w:pPr>
        <w:pStyle w:val="SangriaFrancesaArticulo"/>
      </w:pPr>
      <w:r w:rsidRPr="0057104C">
        <w:rPr>
          <w:rStyle w:val="TextoNormalNegritaCaracter"/>
        </w:rPr>
        <w:t>Artículo 1.41.</w:t>
      </w:r>
      <w:r w:rsidRPr="0057104C">
        <w:rPr>
          <w:rStyle w:val="TextoNormalCaracter"/>
        </w:rPr>
        <w:t>-</w:t>
      </w:r>
      <w:r>
        <w:t xml:space="preserve"> Sentencias </w:t>
      </w:r>
      <w:hyperlink w:anchor="SENTENCIA_2016_28" w:history="1">
        <w:r w:rsidRPr="0057104C">
          <w:rPr>
            <w:rStyle w:val="TextoNormalCaracter"/>
          </w:rPr>
          <w:t>28/2016</w:t>
        </w:r>
      </w:hyperlink>
      <w:r>
        <w:t xml:space="preserve">; </w:t>
      </w:r>
      <w:hyperlink w:anchor="SENTENCIA_2016_100" w:history="1">
        <w:r w:rsidRPr="0057104C">
          <w:rPr>
            <w:rStyle w:val="TextoNormalCaracter"/>
          </w:rPr>
          <w:t>100/2016</w:t>
        </w:r>
      </w:hyperlink>
      <w:r>
        <w:t>.</w:t>
      </w:r>
    </w:p>
    <w:p w:rsidR="0057104C" w:rsidRDefault="0057104C" w:rsidP="0057104C">
      <w:pPr>
        <w:pStyle w:val="SangriaFrancesaArticulo"/>
      </w:pPr>
      <w:r w:rsidRPr="0057104C">
        <w:rPr>
          <w:rStyle w:val="TextoNormalNegritaCaracter"/>
        </w:rPr>
        <w:t>Disposición adicional cuarta.</w:t>
      </w:r>
      <w:r w:rsidRPr="0057104C">
        <w:rPr>
          <w:rStyle w:val="TextoNormalCaracter"/>
        </w:rPr>
        <w:t>-</w:t>
      </w:r>
      <w:r>
        <w:t xml:space="preserve"> Sentencia </w:t>
      </w:r>
      <w:hyperlink w:anchor="SENTENCIA_2016_57" w:history="1">
        <w:r w:rsidRPr="0057104C">
          <w:rPr>
            <w:rStyle w:val="TextoNormalCaracter"/>
          </w:rPr>
          <w:t>57/2016</w:t>
        </w:r>
      </w:hyperlink>
      <w:r>
        <w:t xml:space="preserve"> (anula).</w:t>
      </w:r>
    </w:p>
    <w:p w:rsidR="0057104C" w:rsidRDefault="0057104C" w:rsidP="0057104C">
      <w:pPr>
        <w:pStyle w:val="SangriaFrancesaArticulo"/>
      </w:pPr>
      <w:r w:rsidRPr="0057104C">
        <w:rPr>
          <w:rStyle w:val="TextoNormalNegritaCaracter"/>
        </w:rPr>
        <w:t>Disposición adicional séptima.</w:t>
      </w:r>
      <w:r w:rsidRPr="0057104C">
        <w:rPr>
          <w:rStyle w:val="TextoNormalCaracter"/>
        </w:rPr>
        <w:t>-</w:t>
      </w:r>
      <w:r>
        <w:t xml:space="preserve"> Sentencia </w:t>
      </w:r>
      <w:hyperlink w:anchor="SENTENCIA_2016_57" w:history="1">
        <w:r w:rsidRPr="0057104C">
          <w:rPr>
            <w:rStyle w:val="TextoNormalCaracter"/>
          </w:rPr>
          <w:t>57/2016</w:t>
        </w:r>
      </w:hyperlink>
      <w:r>
        <w:t>.</w:t>
      </w:r>
    </w:p>
    <w:p w:rsidR="0057104C" w:rsidRDefault="0057104C" w:rsidP="0057104C">
      <w:pPr>
        <w:pStyle w:val="SangriaFrancesaArticulo"/>
      </w:pPr>
      <w:r w:rsidRPr="0057104C">
        <w:rPr>
          <w:rStyle w:val="TextoNormalNegritaCaracter"/>
        </w:rPr>
        <w:t>Disposición adicional octava, apartado 2.</w:t>
      </w:r>
      <w:r w:rsidRPr="0057104C">
        <w:rPr>
          <w:rStyle w:val="TextoNormalCaracter"/>
        </w:rPr>
        <w:t>-</w:t>
      </w:r>
      <w:r>
        <w:t xml:space="preserve"> Sentencias </w:t>
      </w:r>
      <w:hyperlink w:anchor="SENTENCIA_2016_28" w:history="1">
        <w:r w:rsidRPr="0057104C">
          <w:rPr>
            <w:rStyle w:val="TextoNormalCaracter"/>
          </w:rPr>
          <w:t>28/2016</w:t>
        </w:r>
      </w:hyperlink>
      <w:r>
        <w:t xml:space="preserve"> (interpreta); </w:t>
      </w:r>
      <w:hyperlink w:anchor="SENTENCIA_2016_57" w:history="1">
        <w:r w:rsidRPr="0057104C">
          <w:rPr>
            <w:rStyle w:val="TextoNormalCaracter"/>
          </w:rPr>
          <w:t>57/2016</w:t>
        </w:r>
      </w:hyperlink>
      <w:r>
        <w:t xml:space="preserve"> (interpreta).</w:t>
      </w:r>
    </w:p>
    <w:p w:rsidR="0057104C" w:rsidRDefault="0057104C" w:rsidP="0057104C">
      <w:pPr>
        <w:pStyle w:val="SangriaFrancesaArticulo"/>
      </w:pPr>
      <w:r w:rsidRPr="0057104C">
        <w:rPr>
          <w:rStyle w:val="TextoNormalNegritaCaracter"/>
        </w:rPr>
        <w:t>Disposición adicional novena.</w:t>
      </w:r>
      <w:r w:rsidRPr="0057104C">
        <w:rPr>
          <w:rStyle w:val="TextoNormalCaracter"/>
        </w:rPr>
        <w:t>-</w:t>
      </w:r>
      <w:r>
        <w:t xml:space="preserve"> Sentencia </w:t>
      </w:r>
      <w:hyperlink w:anchor="SENTENCIA_2016_57" w:history="1">
        <w:r w:rsidRPr="0057104C">
          <w:rPr>
            <w:rStyle w:val="TextoNormalCaracter"/>
          </w:rPr>
          <w:t>57/2016</w:t>
        </w:r>
      </w:hyperlink>
      <w:r>
        <w:t xml:space="preserve"> (anula).</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Sentencias </w:t>
      </w:r>
      <w:hyperlink w:anchor="SENTENCIA_2016_6" w:history="1">
        <w:r w:rsidRPr="0057104C">
          <w:rPr>
            <w:rStyle w:val="TextoNormalCaracter"/>
          </w:rPr>
          <w:t>6/2016</w:t>
        </w:r>
      </w:hyperlink>
      <w:r>
        <w:t xml:space="preserve">; </w:t>
      </w:r>
      <w:hyperlink w:anchor="SENTENCIA_2016_57" w:history="1">
        <w:r w:rsidRPr="0057104C">
          <w:rPr>
            <w:rStyle w:val="TextoNormalCaracter"/>
          </w:rPr>
          <w:t>57/2016</w:t>
        </w:r>
      </w:hyperlink>
      <w:r>
        <w:t>.</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57" w:history="1">
        <w:r w:rsidRPr="0057104C">
          <w:rPr>
            <w:rStyle w:val="TextoNormalCaracter"/>
          </w:rPr>
          <w:t>57/2016</w:t>
        </w:r>
      </w:hyperlink>
      <w:r>
        <w:t>.</w:t>
      </w:r>
    </w:p>
    <w:p w:rsidR="0057104C" w:rsidRDefault="0057104C" w:rsidP="0057104C">
      <w:pPr>
        <w:pStyle w:val="SangriaFrancesaArticulo"/>
      </w:pPr>
      <w:r w:rsidRPr="0057104C">
        <w:rPr>
          <w:rStyle w:val="TextoNormalNegritaCaracter"/>
        </w:rPr>
        <w:t>Anexo.</w:t>
      </w:r>
      <w:r w:rsidRPr="0057104C">
        <w:rPr>
          <w:rStyle w:val="TextoNormalCaracter"/>
        </w:rPr>
        <w:t>-</w:t>
      </w:r>
      <w:r>
        <w:t xml:space="preserve"> Sentencia </w:t>
      </w:r>
      <w:hyperlink w:anchor="SENTENCIA_2016_57" w:history="1">
        <w:r w:rsidRPr="0057104C">
          <w:rPr>
            <w:rStyle w:val="TextoNormalCaracter"/>
          </w:rPr>
          <w:t>57/2016</w:t>
        </w:r>
      </w:hyperlink>
      <w:r>
        <w:t>.</w:t>
      </w:r>
    </w:p>
    <w:p w:rsidR="0057104C" w:rsidRDefault="0057104C" w:rsidP="0057104C">
      <w:pPr>
        <w:pStyle w:val="SangriaFrancesaArticulo"/>
      </w:pPr>
    </w:p>
    <w:p w:rsidR="0057104C" w:rsidRDefault="0057104C" w:rsidP="0057104C">
      <w:pPr>
        <w:pStyle w:val="TextoNormalNegritaCursivandice"/>
      </w:pPr>
      <w:r>
        <w:t>Real Decreto-ley 7/2013, de 28 de junio. Medidas urgentes de naturaleza tributaria, presupuestaria y de fomento de la investigación, el desarrollo y la innovación</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70" w:history="1">
        <w:r w:rsidRPr="0057104C">
          <w:rPr>
            <w:rStyle w:val="TextoNormalCaracter"/>
          </w:rPr>
          <w:t>70/2016</w:t>
        </w:r>
      </w:hyperlink>
      <w:r>
        <w:t xml:space="preserve"> (anula).</w:t>
      </w:r>
    </w:p>
    <w:p w:rsidR="0057104C" w:rsidRDefault="0057104C" w:rsidP="0057104C">
      <w:pPr>
        <w:pStyle w:val="SangriaFrancesaArticulo"/>
      </w:pPr>
    </w:p>
    <w:p w:rsidR="0057104C" w:rsidRDefault="0057104C" w:rsidP="0057104C">
      <w:pPr>
        <w:pStyle w:val="TextoNormalNegritaCursivandice"/>
      </w:pPr>
      <w:r>
        <w:t>Real Decreto-ley 9/2013, de 12 de julio. Adopta medidas urgentes para garantizar la estabilidad financiera del sistema eléctrico</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Sentencias </w:t>
      </w:r>
      <w:hyperlink w:anchor="SENTENCIA_2016_19" w:history="1">
        <w:r w:rsidRPr="0057104C">
          <w:rPr>
            <w:rStyle w:val="TextoNormalCaracter"/>
          </w:rPr>
          <w:t>19/2016</w:t>
        </w:r>
      </w:hyperlink>
      <w:r>
        <w:t xml:space="preserve">; </w:t>
      </w:r>
      <w:hyperlink w:anchor="SENTENCIA_2016_29" w:history="1">
        <w:r w:rsidRPr="0057104C">
          <w:rPr>
            <w:rStyle w:val="TextoNormalCaracter"/>
          </w:rPr>
          <w:t>29/2016</w:t>
        </w:r>
      </w:hyperlink>
      <w:r>
        <w:t xml:space="preserve">; </w:t>
      </w:r>
      <w:hyperlink w:anchor="SENTENCIA_2016_30" w:history="1">
        <w:r w:rsidRPr="0057104C">
          <w:rPr>
            <w:rStyle w:val="TextoNormalCaracter"/>
          </w:rPr>
          <w:t>30/2016</w:t>
        </w:r>
      </w:hyperlink>
      <w:r>
        <w:t xml:space="preserve">; </w:t>
      </w:r>
      <w:hyperlink w:anchor="SENTENCIA_2016_61" w:history="1">
        <w:r w:rsidRPr="0057104C">
          <w:rPr>
            <w:rStyle w:val="TextoNormalCaracter"/>
          </w:rPr>
          <w:t>61/2016</w:t>
        </w:r>
      </w:hyperlink>
      <w:r>
        <w:t>.</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Sentencias </w:t>
      </w:r>
      <w:hyperlink w:anchor="SENTENCIA_2016_29" w:history="1">
        <w:r w:rsidRPr="0057104C">
          <w:rPr>
            <w:rStyle w:val="TextoNormalCaracter"/>
          </w:rPr>
          <w:t>29/2016</w:t>
        </w:r>
      </w:hyperlink>
      <w:r>
        <w:t xml:space="preserve">; </w:t>
      </w:r>
      <w:hyperlink w:anchor="SENTENCIA_2016_30" w:history="1">
        <w:r w:rsidRPr="0057104C">
          <w:rPr>
            <w:rStyle w:val="TextoNormalCaracter"/>
          </w:rPr>
          <w:t>30/2016</w:t>
        </w:r>
      </w:hyperlink>
      <w:r>
        <w:t xml:space="preserve">; </w:t>
      </w:r>
      <w:hyperlink w:anchor="SENTENCIA_2016_61" w:history="1">
        <w:r w:rsidRPr="0057104C">
          <w:rPr>
            <w:rStyle w:val="TextoNormalCaracter"/>
          </w:rPr>
          <w:t>61/2016</w:t>
        </w:r>
      </w:hyperlink>
      <w:r>
        <w:t>.</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Sentencias </w:t>
      </w:r>
      <w:hyperlink w:anchor="SENTENCIA_2016_19" w:history="1">
        <w:r w:rsidRPr="0057104C">
          <w:rPr>
            <w:rStyle w:val="TextoNormalCaracter"/>
          </w:rPr>
          <w:t>19/2016</w:t>
        </w:r>
      </w:hyperlink>
      <w:r>
        <w:t xml:space="preserve">; </w:t>
      </w:r>
      <w:hyperlink w:anchor="SENTENCIA_2016_29" w:history="1">
        <w:r w:rsidRPr="0057104C">
          <w:rPr>
            <w:rStyle w:val="TextoNormalCaracter"/>
          </w:rPr>
          <w:t>29/2016</w:t>
        </w:r>
      </w:hyperlink>
      <w:r>
        <w:t xml:space="preserve">; </w:t>
      </w:r>
      <w:hyperlink w:anchor="SENTENCIA_2016_30" w:history="1">
        <w:r w:rsidRPr="0057104C">
          <w:rPr>
            <w:rStyle w:val="TextoNormalCaracter"/>
          </w:rPr>
          <w:t>30/2016</w:t>
        </w:r>
      </w:hyperlink>
      <w:r>
        <w:t xml:space="preserve">; </w:t>
      </w:r>
      <w:hyperlink w:anchor="SENTENCIA_2016_61" w:history="1">
        <w:r w:rsidRPr="0057104C">
          <w:rPr>
            <w:rStyle w:val="TextoNormalCaracter"/>
          </w:rPr>
          <w:t>61/2016</w:t>
        </w:r>
      </w:hyperlink>
      <w:r>
        <w:t>.</w:t>
      </w:r>
    </w:p>
    <w:p w:rsidR="0057104C" w:rsidRDefault="0057104C" w:rsidP="0057104C">
      <w:pPr>
        <w:pStyle w:val="SangriaFrancesaArticulo"/>
      </w:pPr>
      <w:r w:rsidRPr="0057104C">
        <w:rPr>
          <w:rStyle w:val="TextoNormalNegritaCaracter"/>
        </w:rPr>
        <w:t>Disposición transitoria tercera.</w:t>
      </w:r>
      <w:r w:rsidRPr="0057104C">
        <w:rPr>
          <w:rStyle w:val="TextoNormalCaracter"/>
        </w:rPr>
        <w:t>-</w:t>
      </w:r>
      <w:r>
        <w:t xml:space="preserve"> Sentencias </w:t>
      </w:r>
      <w:hyperlink w:anchor="SENTENCIA_2016_19" w:history="1">
        <w:r w:rsidRPr="0057104C">
          <w:rPr>
            <w:rStyle w:val="TextoNormalCaracter"/>
          </w:rPr>
          <w:t>19/2016</w:t>
        </w:r>
      </w:hyperlink>
      <w:r>
        <w:t xml:space="preserve">; </w:t>
      </w:r>
      <w:hyperlink w:anchor="SENTENCIA_2016_29" w:history="1">
        <w:r w:rsidRPr="0057104C">
          <w:rPr>
            <w:rStyle w:val="TextoNormalCaracter"/>
          </w:rPr>
          <w:t>29/2016</w:t>
        </w:r>
      </w:hyperlink>
      <w:r>
        <w:t xml:space="preserve">; </w:t>
      </w:r>
      <w:hyperlink w:anchor="SENTENCIA_2016_30" w:history="1">
        <w:r w:rsidRPr="0057104C">
          <w:rPr>
            <w:rStyle w:val="TextoNormalCaracter"/>
          </w:rPr>
          <w:t>30/2016</w:t>
        </w:r>
      </w:hyperlink>
      <w:r>
        <w:t xml:space="preserve">; </w:t>
      </w:r>
      <w:hyperlink w:anchor="SENTENCIA_2016_42" w:history="1">
        <w:r w:rsidRPr="0057104C">
          <w:rPr>
            <w:rStyle w:val="TextoNormalCaracter"/>
          </w:rPr>
          <w:t>42/2016</w:t>
        </w:r>
      </w:hyperlink>
      <w:r>
        <w:t xml:space="preserve">; </w:t>
      </w:r>
      <w:hyperlink w:anchor="SENTENCIA_2016_61" w:history="1">
        <w:r w:rsidRPr="0057104C">
          <w:rPr>
            <w:rStyle w:val="TextoNormalCaracter"/>
          </w:rPr>
          <w:t>61/2016</w:t>
        </w:r>
      </w:hyperlink>
      <w:r>
        <w:t>.</w:t>
      </w:r>
    </w:p>
    <w:p w:rsidR="0057104C" w:rsidRDefault="0057104C" w:rsidP="0057104C">
      <w:pPr>
        <w:pStyle w:val="SangriaFrancesaArticulo"/>
      </w:pPr>
      <w:r w:rsidRPr="0057104C">
        <w:rPr>
          <w:rStyle w:val="TextoNormalNegritaCaracter"/>
        </w:rPr>
        <w:t>Disposición derogatoria única.</w:t>
      </w:r>
      <w:r w:rsidRPr="0057104C">
        <w:rPr>
          <w:rStyle w:val="TextoNormalCaracter"/>
        </w:rPr>
        <w:t>-</w:t>
      </w:r>
      <w:r>
        <w:t xml:space="preserve"> Sentencia </w:t>
      </w:r>
      <w:hyperlink w:anchor="SENTENCIA_2016_61" w:history="1">
        <w:r w:rsidRPr="0057104C">
          <w:rPr>
            <w:rStyle w:val="TextoNormalCaracter"/>
          </w:rPr>
          <w:t>61/2016</w:t>
        </w:r>
      </w:hyperlink>
      <w:r>
        <w:t>.</w:t>
      </w:r>
    </w:p>
    <w:p w:rsidR="0057104C" w:rsidRDefault="0057104C" w:rsidP="0057104C">
      <w:pPr>
        <w:pStyle w:val="SangriaFrancesaArticulo"/>
      </w:pPr>
      <w:r w:rsidRPr="0057104C">
        <w:rPr>
          <w:rStyle w:val="TextoNormalNegritaCaracter"/>
        </w:rPr>
        <w:t>Disposición derogatoria única, apartado 2.</w:t>
      </w:r>
      <w:r w:rsidRPr="0057104C">
        <w:rPr>
          <w:rStyle w:val="TextoNormalCaracter"/>
        </w:rPr>
        <w:t>-</w:t>
      </w:r>
      <w:r>
        <w:t xml:space="preserve"> Sentencia </w:t>
      </w:r>
      <w:hyperlink w:anchor="SENTENCIA_2016_30" w:history="1">
        <w:r w:rsidRPr="0057104C">
          <w:rPr>
            <w:rStyle w:val="TextoNormalCaracter"/>
          </w:rPr>
          <w:t>30/2016</w:t>
        </w:r>
      </w:hyperlink>
      <w:r>
        <w:t>.</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Sentencias </w:t>
      </w:r>
      <w:hyperlink w:anchor="SENTENCIA_2016_19" w:history="1">
        <w:r w:rsidRPr="0057104C">
          <w:rPr>
            <w:rStyle w:val="TextoNormalCaracter"/>
          </w:rPr>
          <w:t>19/2016</w:t>
        </w:r>
      </w:hyperlink>
      <w:r>
        <w:t xml:space="preserve">; </w:t>
      </w:r>
      <w:hyperlink w:anchor="SENTENCIA_2016_29" w:history="1">
        <w:r w:rsidRPr="0057104C">
          <w:rPr>
            <w:rStyle w:val="TextoNormalCaracter"/>
          </w:rPr>
          <w:t>29/2016</w:t>
        </w:r>
      </w:hyperlink>
      <w:r>
        <w:t xml:space="preserve">; </w:t>
      </w:r>
      <w:hyperlink w:anchor="SENTENCIA_2016_30" w:history="1">
        <w:r w:rsidRPr="0057104C">
          <w:rPr>
            <w:rStyle w:val="TextoNormalCaracter"/>
          </w:rPr>
          <w:t>30/2016</w:t>
        </w:r>
      </w:hyperlink>
      <w:r>
        <w:t xml:space="preserve">; </w:t>
      </w:r>
      <w:hyperlink w:anchor="SENTENCIA_2016_42" w:history="1">
        <w:r w:rsidRPr="0057104C">
          <w:rPr>
            <w:rStyle w:val="TextoNormalCaracter"/>
          </w:rPr>
          <w:t>42/2016</w:t>
        </w:r>
      </w:hyperlink>
      <w:r>
        <w:t xml:space="preserve">; </w:t>
      </w:r>
      <w:hyperlink w:anchor="SENTENCIA_2016_61" w:history="1">
        <w:r w:rsidRPr="0057104C">
          <w:rPr>
            <w:rStyle w:val="TextoNormalCaracter"/>
          </w:rPr>
          <w:t>61/2016</w:t>
        </w:r>
      </w:hyperlink>
      <w:r>
        <w:t>.</w:t>
      </w:r>
    </w:p>
    <w:p w:rsidR="0057104C" w:rsidRDefault="0057104C" w:rsidP="0057104C">
      <w:pPr>
        <w:pStyle w:val="SangriaFrancesaArticulo"/>
      </w:pPr>
      <w:r w:rsidRPr="0057104C">
        <w:rPr>
          <w:rStyle w:val="TextoNormalNegritaCaracter"/>
        </w:rPr>
        <w:t>Disposición final octava.</w:t>
      </w:r>
      <w:r w:rsidRPr="0057104C">
        <w:rPr>
          <w:rStyle w:val="TextoNormalCaracter"/>
        </w:rPr>
        <w:t>-</w:t>
      </w:r>
      <w:r>
        <w:t xml:space="preserve"> Sentencia </w:t>
      </w:r>
      <w:hyperlink w:anchor="SENTENCIA_2016_61" w:history="1">
        <w:r w:rsidRPr="0057104C">
          <w:rPr>
            <w:rStyle w:val="TextoNormalCaracter"/>
          </w:rPr>
          <w:t>61/2016</w:t>
        </w:r>
      </w:hyperlink>
      <w:r>
        <w:t>.</w:t>
      </w:r>
    </w:p>
    <w:p w:rsidR="0057104C" w:rsidRDefault="0057104C" w:rsidP="0057104C">
      <w:pPr>
        <w:pStyle w:val="SangriaFrancesaArticulo"/>
      </w:pPr>
    </w:p>
    <w:p w:rsidR="0057104C" w:rsidRDefault="0057104C" w:rsidP="0057104C">
      <w:pPr>
        <w:pStyle w:val="TextoNormalNegritaCursivandice"/>
      </w:pPr>
      <w:r>
        <w:t>Real Decreto-ley 14/2013, de 29 de noviembre. Medidas urgentes para la adaptación del derecho español a la normativa de la Unión Europea en materia de supervisión y solvencia de entidades financieras</w:t>
      </w:r>
    </w:p>
    <w:p w:rsidR="0057104C" w:rsidRDefault="0057104C" w:rsidP="0057104C">
      <w:pPr>
        <w:pStyle w:val="SangriaFrancesaArticulo"/>
      </w:pPr>
      <w:r w:rsidRPr="0057104C">
        <w:rPr>
          <w:rStyle w:val="TextoNormalNegritaCaracter"/>
        </w:rPr>
        <w:t>Disposición adicional tercera, apartado 2.</w:t>
      </w:r>
      <w:r w:rsidRPr="0057104C">
        <w:rPr>
          <w:rStyle w:val="TextoNormalCaracter"/>
        </w:rPr>
        <w:t>-</w:t>
      </w:r>
      <w:r>
        <w:t xml:space="preserve"> Sentencia </w:t>
      </w:r>
      <w:hyperlink w:anchor="SENTENCIA_2016_40" w:history="1">
        <w:r w:rsidRPr="0057104C">
          <w:rPr>
            <w:rStyle w:val="TextoNormalCaracter"/>
          </w:rPr>
          <w:t>40/2016</w:t>
        </w:r>
      </w:hyperlink>
      <w:r>
        <w:t>.</w:t>
      </w:r>
    </w:p>
    <w:p w:rsidR="0057104C" w:rsidRDefault="0057104C" w:rsidP="0057104C">
      <w:pPr>
        <w:pStyle w:val="SangriaFrancesaArticulo"/>
      </w:pPr>
      <w:r w:rsidRPr="0057104C">
        <w:rPr>
          <w:rStyle w:val="TextoNormalNegritaCaracter"/>
        </w:rPr>
        <w:t>Disposición adicional tercera, apartado 3.</w:t>
      </w:r>
      <w:r w:rsidRPr="0057104C">
        <w:rPr>
          <w:rStyle w:val="TextoNormalCaracter"/>
        </w:rPr>
        <w:t>-</w:t>
      </w:r>
      <w:r>
        <w:t xml:space="preserve"> Sentencia </w:t>
      </w:r>
      <w:hyperlink w:anchor="SENTENCIA_2016_40" w:history="1">
        <w:r w:rsidRPr="0057104C">
          <w:rPr>
            <w:rStyle w:val="TextoNormalCaracter"/>
          </w:rPr>
          <w:t>40/2016</w:t>
        </w:r>
      </w:hyperlink>
      <w:r>
        <w:t>.</w:t>
      </w:r>
    </w:p>
    <w:p w:rsidR="0057104C" w:rsidRDefault="0057104C" w:rsidP="0057104C">
      <w:pPr>
        <w:pStyle w:val="SangriaFrancesaArticulo"/>
      </w:pPr>
    </w:p>
    <w:p w:rsidR="0057104C" w:rsidRDefault="0057104C" w:rsidP="0057104C">
      <w:pPr>
        <w:pStyle w:val="TextoNormalNegritaCursivandice"/>
      </w:pPr>
      <w:r>
        <w:t>Ley Orgánica 9/2013, de 20 de diciembre. Control de la deuda comercial en el sector público</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101" w:history="1">
        <w:r w:rsidRPr="0057104C">
          <w:rPr>
            <w:rStyle w:val="TextoNormalCaracter"/>
          </w:rPr>
          <w:t>101/2016</w:t>
        </w:r>
      </w:hyperlink>
      <w:r>
        <w:t>.</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101" w:history="1">
        <w:r w:rsidRPr="0057104C">
          <w:rPr>
            <w:rStyle w:val="TextoNormalCaracter"/>
          </w:rPr>
          <w:t>101/2016</w:t>
        </w:r>
      </w:hyperlink>
      <w:r>
        <w:t>.</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101" w:history="1">
        <w:r w:rsidRPr="0057104C">
          <w:rPr>
            <w:rStyle w:val="TextoNormalCaracter"/>
          </w:rPr>
          <w:t>101/2016</w:t>
        </w:r>
      </w:hyperlink>
      <w:r>
        <w:t>.</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101" w:history="1">
        <w:r w:rsidRPr="0057104C">
          <w:rPr>
            <w:rStyle w:val="TextoNormalCaracter"/>
          </w:rPr>
          <w:t>101/2016</w:t>
        </w:r>
      </w:hyperlink>
      <w:r>
        <w:t>.</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101" w:history="1">
        <w:r w:rsidRPr="0057104C">
          <w:rPr>
            <w:rStyle w:val="TextoNormalCaracter"/>
          </w:rPr>
          <w:t>101/2016</w:t>
        </w:r>
      </w:hyperlink>
      <w:r>
        <w:t>.</w:t>
      </w:r>
    </w:p>
    <w:p w:rsidR="0057104C" w:rsidRDefault="0057104C" w:rsidP="0057104C">
      <w:pPr>
        <w:pStyle w:val="SangriaFrancesaArticulo"/>
      </w:pPr>
      <w:r w:rsidRPr="0057104C">
        <w:rPr>
          <w:rStyle w:val="TextoNormalNegritaCaracter"/>
        </w:rPr>
        <w:t>Artículo 1.12.</w:t>
      </w:r>
      <w:r w:rsidRPr="0057104C">
        <w:rPr>
          <w:rStyle w:val="TextoNormalCaracter"/>
        </w:rPr>
        <w:t>-</w:t>
      </w:r>
      <w:r>
        <w:t xml:space="preserve"> Sentencia </w:t>
      </w:r>
      <w:hyperlink w:anchor="SENTENCIA_2016_101" w:history="1">
        <w:r w:rsidRPr="0057104C">
          <w:rPr>
            <w:rStyle w:val="TextoNormalCaracter"/>
          </w:rPr>
          <w:t>101/2016</w:t>
        </w:r>
      </w:hyperlink>
      <w:r>
        <w:t>.</w:t>
      </w:r>
    </w:p>
    <w:p w:rsidR="0057104C" w:rsidRDefault="0057104C" w:rsidP="0057104C">
      <w:pPr>
        <w:pStyle w:val="SangriaFrancesaArticulo"/>
      </w:pPr>
      <w:r w:rsidRPr="0057104C">
        <w:rPr>
          <w:rStyle w:val="TextoNormalNegritaCaracter"/>
        </w:rPr>
        <w:t>Artículo 1.14.</w:t>
      </w:r>
      <w:r w:rsidRPr="0057104C">
        <w:rPr>
          <w:rStyle w:val="TextoNormalCaracter"/>
        </w:rPr>
        <w:t>-</w:t>
      </w:r>
      <w:r>
        <w:t xml:space="preserve"> Sentencia </w:t>
      </w:r>
      <w:hyperlink w:anchor="SENTENCIA_2016_101" w:history="1">
        <w:r w:rsidRPr="0057104C">
          <w:rPr>
            <w:rStyle w:val="TextoNormalCaracter"/>
          </w:rPr>
          <w:t>101/2016</w:t>
        </w:r>
      </w:hyperlink>
      <w:r>
        <w:t>.</w:t>
      </w:r>
    </w:p>
    <w:p w:rsidR="0057104C" w:rsidRDefault="0057104C" w:rsidP="0057104C">
      <w:pPr>
        <w:pStyle w:val="SangriaFrancesaArticulo"/>
      </w:pPr>
      <w:r w:rsidRPr="0057104C">
        <w:rPr>
          <w:rStyle w:val="TextoNormalNegritaCaracter"/>
        </w:rPr>
        <w:t>Artículo 1.15.</w:t>
      </w:r>
      <w:r w:rsidRPr="0057104C">
        <w:rPr>
          <w:rStyle w:val="TextoNormalCaracter"/>
        </w:rPr>
        <w:t>-</w:t>
      </w:r>
      <w:r>
        <w:t xml:space="preserve"> Sentencia </w:t>
      </w:r>
      <w:hyperlink w:anchor="SENTENCIA_2016_101" w:history="1">
        <w:r w:rsidRPr="0057104C">
          <w:rPr>
            <w:rStyle w:val="TextoNormalCaracter"/>
          </w:rPr>
          <w:t>101/2016</w:t>
        </w:r>
      </w:hyperlink>
      <w:r>
        <w:t>.</w:t>
      </w:r>
    </w:p>
    <w:p w:rsidR="0057104C" w:rsidRDefault="0057104C" w:rsidP="0057104C">
      <w:pPr>
        <w:pStyle w:val="SangriaFrancesaArticulo"/>
      </w:pPr>
      <w:r w:rsidRPr="0057104C">
        <w:rPr>
          <w:rStyle w:val="TextoNormalNegritaCaracter"/>
        </w:rPr>
        <w:t>Artículo 1.16.</w:t>
      </w:r>
      <w:r w:rsidRPr="0057104C">
        <w:rPr>
          <w:rStyle w:val="TextoNormalCaracter"/>
        </w:rPr>
        <w:t>-</w:t>
      </w:r>
      <w:r>
        <w:t xml:space="preserve"> Sentencia </w:t>
      </w:r>
      <w:hyperlink w:anchor="SENTENCIA_2016_101" w:history="1">
        <w:r w:rsidRPr="0057104C">
          <w:rPr>
            <w:rStyle w:val="TextoNormalCaracter"/>
          </w:rPr>
          <w:t>101/2016</w:t>
        </w:r>
      </w:hyperlink>
      <w:r>
        <w:t>.</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101" w:history="1">
        <w:r w:rsidRPr="0057104C">
          <w:rPr>
            <w:rStyle w:val="TextoNormalCaracter"/>
          </w:rPr>
          <w:t>101/2016</w:t>
        </w:r>
      </w:hyperlink>
      <w:r>
        <w:t>.</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 </w:t>
      </w:r>
      <w:hyperlink w:anchor="SENTENCIA_2016_101" w:history="1">
        <w:r w:rsidRPr="0057104C">
          <w:rPr>
            <w:rStyle w:val="TextoNormalCaracter"/>
          </w:rPr>
          <w:t>101/2016</w:t>
        </w:r>
      </w:hyperlink>
      <w:r>
        <w:t>.</w:t>
      </w:r>
    </w:p>
    <w:p w:rsidR="0057104C" w:rsidRDefault="0057104C" w:rsidP="0057104C">
      <w:pPr>
        <w:pStyle w:val="SangriaFrancesaArticulo"/>
      </w:pPr>
    </w:p>
    <w:p w:rsidR="0057104C" w:rsidRDefault="0057104C" w:rsidP="0057104C">
      <w:pPr>
        <w:pStyle w:val="TextoNormalNegritaCursivandice"/>
      </w:pPr>
      <w:r>
        <w:t>Ley 22/2013, de 23 de diciembre. Presupuestos generales del Estado para el año 2014</w:t>
      </w:r>
    </w:p>
    <w:p w:rsidR="0057104C" w:rsidRDefault="0057104C" w:rsidP="0057104C">
      <w:pPr>
        <w:pStyle w:val="SangriaFrancesaArticulo"/>
      </w:pPr>
      <w:r w:rsidRPr="0057104C">
        <w:rPr>
          <w:rStyle w:val="TextoNormalNegritaCaracter"/>
        </w:rPr>
        <w:t>Disposición final cuarta, apartado 8.</w:t>
      </w:r>
      <w:r w:rsidRPr="0057104C">
        <w:rPr>
          <w:rStyle w:val="TextoNormalCaracter"/>
        </w:rPr>
        <w:t>-</w:t>
      </w:r>
      <w:r>
        <w:t xml:space="preserve"> Sentencia </w:t>
      </w:r>
      <w:hyperlink w:anchor="SENTENCIA_2016_123" w:history="1">
        <w:r w:rsidRPr="0057104C">
          <w:rPr>
            <w:rStyle w:val="TextoNormalCaracter"/>
          </w:rPr>
          <w:t>123/2016</w:t>
        </w:r>
      </w:hyperlink>
      <w:r>
        <w:t xml:space="preserve"> (anula).</w:t>
      </w:r>
    </w:p>
    <w:p w:rsidR="0057104C" w:rsidRDefault="0057104C" w:rsidP="0057104C">
      <w:pPr>
        <w:pStyle w:val="SangriaFrancesaArticulo"/>
      </w:pPr>
    </w:p>
    <w:p w:rsidR="0057104C" w:rsidRDefault="0057104C" w:rsidP="0057104C">
      <w:pPr>
        <w:pStyle w:val="TextoNormalNegritaCursivandice"/>
      </w:pPr>
      <w:r>
        <w:t>Ley 24/2013, de 26 de diciembre. Sector eléctrico</w:t>
      </w:r>
    </w:p>
    <w:p w:rsidR="0057104C" w:rsidRDefault="0057104C" w:rsidP="0057104C">
      <w:pPr>
        <w:pStyle w:val="SangriaFrancesaArticulo"/>
      </w:pPr>
      <w:r w:rsidRPr="0057104C">
        <w:rPr>
          <w:rStyle w:val="TextoNormalNegritaCaracter"/>
        </w:rPr>
        <w:t>Artículo 3.13 a).</w:t>
      </w:r>
      <w:r w:rsidRPr="0057104C">
        <w:rPr>
          <w:rStyle w:val="TextoNormalCaracter"/>
        </w:rPr>
        <w:t>-</w:t>
      </w:r>
      <w:r>
        <w:t xml:space="preserve"> Sentencia </w:t>
      </w:r>
      <w:hyperlink w:anchor="SENTENCIA_2016_32" w:history="1">
        <w:r w:rsidRPr="0057104C">
          <w:rPr>
            <w:rStyle w:val="TextoNormalCaracter"/>
          </w:rPr>
          <w:t>32/2016</w:t>
        </w:r>
      </w:hyperlink>
      <w:r>
        <w:t xml:space="preserve"> (interpreta).</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Sentencias </w:t>
      </w:r>
      <w:hyperlink w:anchor="SENTENCIA_2016_32" w:history="1">
        <w:r w:rsidRPr="0057104C">
          <w:rPr>
            <w:rStyle w:val="TextoNormalCaracter"/>
          </w:rPr>
          <w:t>32/2016</w:t>
        </w:r>
      </w:hyperlink>
      <w:r>
        <w:t xml:space="preserve">; </w:t>
      </w:r>
      <w:hyperlink w:anchor="SENTENCIA_2016_60" w:history="1">
        <w:r w:rsidRPr="0057104C">
          <w:rPr>
            <w:rStyle w:val="TextoNormalCaracter"/>
          </w:rPr>
          <w:t>60/2016</w:t>
        </w:r>
      </w:hyperlink>
      <w:r>
        <w:t xml:space="preserve">; </w:t>
      </w:r>
      <w:hyperlink w:anchor="SENTENCIA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32" w:history="1">
        <w:r w:rsidRPr="0057104C">
          <w:rPr>
            <w:rStyle w:val="TextoNormalCaracter"/>
          </w:rPr>
          <w:t>32/2016</w:t>
        </w:r>
      </w:hyperlink>
      <w:r>
        <w:t>.</w:t>
      </w:r>
    </w:p>
    <w:p w:rsidR="0057104C" w:rsidRDefault="0057104C" w:rsidP="0057104C">
      <w:pPr>
        <w:pStyle w:val="SangriaFrancesaArticulo"/>
      </w:pPr>
      <w:r w:rsidRPr="0057104C">
        <w:rPr>
          <w:rStyle w:val="TextoNormalNegritaCaracter"/>
        </w:rPr>
        <w:t>Artículo 33.5.</w:t>
      </w:r>
      <w:r w:rsidRPr="0057104C">
        <w:rPr>
          <w:rStyle w:val="TextoNormalCaracter"/>
        </w:rPr>
        <w:t>-</w:t>
      </w:r>
      <w:r>
        <w:t xml:space="preserve"> Sentencia </w:t>
      </w:r>
      <w:hyperlink w:anchor="SENTENCIA_2016_32" w:history="1">
        <w:r w:rsidRPr="0057104C">
          <w:rPr>
            <w:rStyle w:val="TextoNormalCaracter"/>
          </w:rPr>
          <w:t>32/2016</w:t>
        </w:r>
      </w:hyperlink>
      <w:r>
        <w:t>.</w:t>
      </w:r>
    </w:p>
    <w:p w:rsidR="0057104C" w:rsidRDefault="0057104C" w:rsidP="0057104C">
      <w:pPr>
        <w:pStyle w:val="SangriaFrancesaArticulo"/>
      </w:pPr>
      <w:r w:rsidRPr="0057104C">
        <w:rPr>
          <w:rStyle w:val="TextoNormalNegritaCaracter"/>
        </w:rPr>
        <w:t>Artículo 38.8.</w:t>
      </w:r>
      <w:r w:rsidRPr="0057104C">
        <w:rPr>
          <w:rStyle w:val="TextoNormalCaracter"/>
        </w:rPr>
        <w:t>-</w:t>
      </w:r>
      <w:r>
        <w:t xml:space="preserve"> Sentencia </w:t>
      </w:r>
      <w:hyperlink w:anchor="SENTENCIA_2016_32" w:history="1">
        <w:r w:rsidRPr="0057104C">
          <w:rPr>
            <w:rStyle w:val="TextoNormalCaracter"/>
          </w:rPr>
          <w:t>32/2016</w:t>
        </w:r>
      </w:hyperlink>
      <w:r>
        <w:t>.</w:t>
      </w:r>
    </w:p>
    <w:p w:rsidR="0057104C" w:rsidRDefault="0057104C" w:rsidP="0057104C">
      <w:pPr>
        <w:pStyle w:val="SangriaFrancesaArticulo"/>
      </w:pPr>
      <w:r w:rsidRPr="0057104C">
        <w:rPr>
          <w:rStyle w:val="TextoNormalNegritaCaracter"/>
        </w:rPr>
        <w:t>Artículo 40.</w:t>
      </w:r>
      <w:r w:rsidRPr="0057104C">
        <w:rPr>
          <w:rStyle w:val="TextoNormalCaracter"/>
        </w:rPr>
        <w:t>-</w:t>
      </w:r>
      <w:r>
        <w:t xml:space="preserve"> Sentencias </w:t>
      </w:r>
      <w:hyperlink w:anchor="SENTENCIA_2016_32" w:history="1">
        <w:r w:rsidRPr="0057104C">
          <w:rPr>
            <w:rStyle w:val="TextoNormalCaracter"/>
          </w:rPr>
          <w:t>32/2016</w:t>
        </w:r>
      </w:hyperlink>
      <w:r>
        <w:t xml:space="preserve">; </w:t>
      </w:r>
      <w:hyperlink w:anchor="SENTENCIA_2016_60" w:history="1">
        <w:r w:rsidRPr="0057104C">
          <w:rPr>
            <w:rStyle w:val="TextoNormalCaracter"/>
          </w:rPr>
          <w:t>60/2016</w:t>
        </w:r>
      </w:hyperlink>
      <w:r>
        <w:t>.</w:t>
      </w:r>
    </w:p>
    <w:p w:rsidR="0057104C" w:rsidRDefault="0057104C" w:rsidP="0057104C">
      <w:pPr>
        <w:pStyle w:val="SangriaFrancesaArticulo"/>
      </w:pPr>
      <w:r w:rsidRPr="0057104C">
        <w:rPr>
          <w:rStyle w:val="TextoNormalNegritaCaracter"/>
        </w:rPr>
        <w:t>Artículo 43.5.</w:t>
      </w:r>
      <w:r w:rsidRPr="0057104C">
        <w:rPr>
          <w:rStyle w:val="TextoNormalCaracter"/>
        </w:rPr>
        <w:t>-</w:t>
      </w:r>
      <w:r>
        <w:t xml:space="preserve"> Sentencias </w:t>
      </w:r>
      <w:hyperlink w:anchor="SENTENCIA_2016_32" w:history="1">
        <w:r w:rsidRPr="0057104C">
          <w:rPr>
            <w:rStyle w:val="TextoNormalCaracter"/>
          </w:rPr>
          <w:t>32/2016</w:t>
        </w:r>
      </w:hyperlink>
      <w:r>
        <w:t xml:space="preserve"> (interpreta); </w:t>
      </w:r>
      <w:hyperlink w:anchor="SENTENCIA_2016_60" w:history="1">
        <w:r w:rsidRPr="0057104C">
          <w:rPr>
            <w:rStyle w:val="TextoNormalCaracter"/>
          </w:rPr>
          <w:t>60/2016</w:t>
        </w:r>
      </w:hyperlink>
      <w:r>
        <w:t xml:space="preserve"> (interpreta).</w:t>
      </w:r>
    </w:p>
    <w:p w:rsidR="0057104C" w:rsidRDefault="0057104C" w:rsidP="0057104C">
      <w:pPr>
        <w:pStyle w:val="SangriaFrancesaArticulo"/>
      </w:pPr>
      <w:r w:rsidRPr="0057104C">
        <w:rPr>
          <w:rStyle w:val="TextoNormalNegritaCaracter"/>
        </w:rPr>
        <w:t>Artículo 46.</w:t>
      </w:r>
      <w:r w:rsidRPr="0057104C">
        <w:rPr>
          <w:rStyle w:val="TextoNormalCaracter"/>
        </w:rPr>
        <w:t>-</w:t>
      </w:r>
      <w:r>
        <w:t xml:space="preserve"> Sentencias </w:t>
      </w:r>
      <w:hyperlink w:anchor="SENTENCIA_2016_32" w:history="1">
        <w:r w:rsidRPr="0057104C">
          <w:rPr>
            <w:rStyle w:val="TextoNormalCaracter"/>
          </w:rPr>
          <w:t>32/2016</w:t>
        </w:r>
      </w:hyperlink>
      <w:r>
        <w:t xml:space="preserve">; </w:t>
      </w:r>
      <w:hyperlink w:anchor="SENTENCIA_2016_60" w:history="1">
        <w:r w:rsidRPr="0057104C">
          <w:rPr>
            <w:rStyle w:val="TextoNormalCaracter"/>
          </w:rPr>
          <w:t>60/2016</w:t>
        </w:r>
      </w:hyperlink>
      <w:r>
        <w:t>.</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Sentencias </w:t>
      </w:r>
      <w:hyperlink w:anchor="SENTENCIA_2016_32" w:history="1">
        <w:r w:rsidRPr="0057104C">
          <w:rPr>
            <w:rStyle w:val="TextoNormalCaracter"/>
          </w:rPr>
          <w:t>32/2016</w:t>
        </w:r>
      </w:hyperlink>
      <w:r>
        <w:t xml:space="preserve">; </w:t>
      </w:r>
      <w:hyperlink w:anchor="SENTENCIA_2016_60" w:history="1">
        <w:r w:rsidRPr="0057104C">
          <w:rPr>
            <w:rStyle w:val="TextoNormalCaracter"/>
          </w:rPr>
          <w:t>60/2016</w:t>
        </w:r>
      </w:hyperlink>
      <w:r>
        <w:t>.</w:t>
      </w:r>
    </w:p>
    <w:p w:rsidR="0057104C" w:rsidRDefault="0057104C" w:rsidP="0057104C">
      <w:pPr>
        <w:pStyle w:val="SangriaFrancesaArticulo"/>
      </w:pPr>
      <w:r w:rsidRPr="0057104C">
        <w:rPr>
          <w:rStyle w:val="TextoNormalNegritaCaracter"/>
        </w:rPr>
        <w:t>Artículo 52.4.</w:t>
      </w:r>
      <w:r w:rsidRPr="0057104C">
        <w:rPr>
          <w:rStyle w:val="TextoNormalCaracter"/>
        </w:rPr>
        <w:t>-</w:t>
      </w:r>
      <w:r>
        <w:t xml:space="preserve"> Sentencias </w:t>
      </w:r>
      <w:hyperlink w:anchor="SENTENCIA_2016_32" w:history="1">
        <w:r w:rsidRPr="0057104C">
          <w:rPr>
            <w:rStyle w:val="TextoNormalCaracter"/>
          </w:rPr>
          <w:t>32/2016</w:t>
        </w:r>
      </w:hyperlink>
      <w:r>
        <w:t xml:space="preserve">; </w:t>
      </w:r>
      <w:hyperlink w:anchor="SENTENCIA_2016_60" w:history="1">
        <w:r w:rsidRPr="0057104C">
          <w:rPr>
            <w:rStyle w:val="TextoNormalCaracter"/>
          </w:rPr>
          <w:t>60/2016</w:t>
        </w:r>
      </w:hyperlink>
      <w:r>
        <w:t>.</w:t>
      </w:r>
    </w:p>
    <w:p w:rsidR="0057104C" w:rsidRDefault="0057104C" w:rsidP="0057104C">
      <w:pPr>
        <w:pStyle w:val="SangriaFrancesaArticulo"/>
      </w:pPr>
      <w:r w:rsidRPr="0057104C">
        <w:rPr>
          <w:rStyle w:val="TextoNormalNegritaCaracter"/>
        </w:rPr>
        <w:t>Artículo 64.43.</w:t>
      </w:r>
      <w:r w:rsidRPr="0057104C">
        <w:rPr>
          <w:rStyle w:val="TextoNormalCaracter"/>
        </w:rPr>
        <w:t>-</w:t>
      </w:r>
      <w:r>
        <w:t xml:space="preserve"> Sentencia </w:t>
      </w:r>
      <w:hyperlink w:anchor="SENTENCIA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65.35.</w:t>
      </w:r>
      <w:r w:rsidRPr="0057104C">
        <w:rPr>
          <w:rStyle w:val="TextoNormalCaracter"/>
        </w:rPr>
        <w:t>-</w:t>
      </w:r>
      <w:r>
        <w:t xml:space="preserve"> Sentencia </w:t>
      </w:r>
      <w:hyperlink w:anchor="SENTENCIA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Sentencias </w:t>
      </w:r>
      <w:hyperlink w:anchor="SENTENCIA_2016_32" w:history="1">
        <w:r w:rsidRPr="0057104C">
          <w:rPr>
            <w:rStyle w:val="TextoNormalCaracter"/>
          </w:rPr>
          <w:t>32/2016</w:t>
        </w:r>
      </w:hyperlink>
      <w:r>
        <w:t xml:space="preserve">; </w:t>
      </w:r>
      <w:hyperlink w:anchor="SENTENCIA_2016_60" w:history="1">
        <w:r w:rsidRPr="0057104C">
          <w:rPr>
            <w:rStyle w:val="TextoNormalCaracter"/>
          </w:rPr>
          <w:t>60/2016</w:t>
        </w:r>
      </w:hyperlink>
      <w:r>
        <w:t xml:space="preserve">; </w:t>
      </w:r>
      <w:hyperlink w:anchor="SENTENCIA_2016_72" w:history="1">
        <w:r w:rsidRPr="0057104C">
          <w:rPr>
            <w:rStyle w:val="TextoNormalCaracter"/>
          </w:rPr>
          <w:t>72/2016</w:t>
        </w:r>
      </w:hyperlink>
      <w:r>
        <w:t>.</w:t>
      </w:r>
    </w:p>
    <w:p w:rsidR="0057104C" w:rsidRDefault="0057104C" w:rsidP="0057104C">
      <w:pPr>
        <w:pStyle w:val="SangriaFrancesaArticulo"/>
      </w:pPr>
    </w:p>
    <w:p w:rsidR="0057104C" w:rsidRDefault="0057104C" w:rsidP="0057104C">
      <w:pPr>
        <w:pStyle w:val="TextoNormalNegritaCursivandice"/>
      </w:pPr>
      <w:r>
        <w:t>Ley 27/2013, de 27 de diciembre. Racionalización y sostenibilidad de la Administración local</w:t>
      </w:r>
    </w:p>
    <w:p w:rsidR="0057104C" w:rsidRDefault="0057104C" w:rsidP="0057104C">
      <w:pPr>
        <w:pStyle w:val="SangriaFrancesaArticulo"/>
      </w:pPr>
      <w:r w:rsidRPr="0057104C">
        <w:rPr>
          <w:rStyle w:val="TextoNormalNegritaCaracter"/>
        </w:rPr>
        <w:t>Articulo 1.2.</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Articulo 1.3.</w:t>
      </w:r>
      <w:r w:rsidRPr="0057104C">
        <w:rPr>
          <w:rStyle w:val="TextoNormalCaracter"/>
        </w:rPr>
        <w:t>-</w:t>
      </w:r>
      <w:r>
        <w:t xml:space="preserve"> Sentencias </w:t>
      </w:r>
      <w:hyperlink w:anchor="SENTENCIA_2016_41" w:history="1">
        <w:r w:rsidRPr="0057104C">
          <w:rPr>
            <w:rStyle w:val="TextoNormalCaracter"/>
          </w:rPr>
          <w:t>41/2016</w:t>
        </w:r>
      </w:hyperlink>
      <w:r>
        <w:t xml:space="preserve">;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Sentencias </w:t>
      </w:r>
      <w:hyperlink w:anchor="SENTENCIA_2016_41" w:history="1">
        <w:r w:rsidRPr="0057104C">
          <w:rPr>
            <w:rStyle w:val="TextoNormalCaracter"/>
          </w:rPr>
          <w:t>41/2016</w:t>
        </w:r>
      </w:hyperlink>
      <w:r>
        <w:t xml:space="preserve">;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Sentencias </w:t>
      </w:r>
      <w:hyperlink w:anchor="SENTENCIA_2016_41" w:history="1">
        <w:r w:rsidRPr="0057104C">
          <w:rPr>
            <w:rStyle w:val="TextoNormalCaracter"/>
          </w:rPr>
          <w:t>41/2016</w:t>
        </w:r>
      </w:hyperlink>
      <w:r>
        <w:t xml:space="preserve">;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Sentencias </w:t>
      </w:r>
      <w:hyperlink w:anchor="SENTENCIA_2016_41" w:history="1">
        <w:r w:rsidRPr="0057104C">
          <w:rPr>
            <w:rStyle w:val="TextoNormalCaracter"/>
          </w:rPr>
          <w:t>41/2016</w:t>
        </w:r>
      </w:hyperlink>
      <w:r>
        <w:t xml:space="preserve">;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Artículo 1.9.</w:t>
      </w:r>
      <w:r w:rsidRPr="0057104C">
        <w:rPr>
          <w:rStyle w:val="TextoNormalCaracter"/>
        </w:rPr>
        <w:t>-</w:t>
      </w:r>
      <w:r>
        <w:t xml:space="preserve"> Sentencia </w:t>
      </w:r>
      <w:hyperlink w:anchor="SENTENCIA_2016_111" w:history="1">
        <w:r w:rsidRPr="0057104C">
          <w:rPr>
            <w:rStyle w:val="TextoNormalCaracter"/>
          </w:rPr>
          <w:t>111/2016</w:t>
        </w:r>
      </w:hyperlink>
      <w:r>
        <w:t xml:space="preserve"> (anula).</w:t>
      </w:r>
    </w:p>
    <w:p w:rsidR="0057104C" w:rsidRDefault="0057104C" w:rsidP="0057104C">
      <w:pPr>
        <w:pStyle w:val="SangriaFrancesaArticulo"/>
      </w:pPr>
      <w:r w:rsidRPr="0057104C">
        <w:rPr>
          <w:rStyle w:val="TextoNormalNegritaCaracter"/>
        </w:rPr>
        <w:t>Artículo 1.10.</w:t>
      </w:r>
      <w:r w:rsidRPr="0057104C">
        <w:rPr>
          <w:rStyle w:val="TextoNormalCaracter"/>
        </w:rPr>
        <w:t>-</w:t>
      </w:r>
      <w:r>
        <w:t xml:space="preserve"> Sentencia </w:t>
      </w:r>
      <w:hyperlink w:anchor="SENTENCIA_2016_41" w:history="1">
        <w:r w:rsidRPr="0057104C">
          <w:rPr>
            <w:rStyle w:val="TextoNormalCaracter"/>
          </w:rPr>
          <w:t>41/2016</w:t>
        </w:r>
      </w:hyperlink>
      <w:r>
        <w:t>.</w:t>
      </w:r>
    </w:p>
    <w:p w:rsidR="0057104C" w:rsidRDefault="0057104C" w:rsidP="0057104C">
      <w:pPr>
        <w:pStyle w:val="SangriaFrancesaArticulo"/>
      </w:pPr>
      <w:r w:rsidRPr="0057104C">
        <w:rPr>
          <w:rStyle w:val="TextoNormalNegritaCaracter"/>
        </w:rPr>
        <w:t>Articulo 1.13.</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Articulo 1.16.</w:t>
      </w:r>
      <w:r w:rsidRPr="0057104C">
        <w:rPr>
          <w:rStyle w:val="TextoNormalCaracter"/>
        </w:rPr>
        <w:t>-</w:t>
      </w:r>
      <w:r>
        <w:t xml:space="preserve"> Sentencia </w:t>
      </w:r>
      <w:hyperlink w:anchor="SENTENCIA_2016_41" w:history="1">
        <w:r w:rsidRPr="0057104C">
          <w:rPr>
            <w:rStyle w:val="TextoNormalCaracter"/>
          </w:rPr>
          <w:t>41/2016</w:t>
        </w:r>
      </w:hyperlink>
      <w:r>
        <w:t>.</w:t>
      </w:r>
    </w:p>
    <w:p w:rsidR="0057104C" w:rsidRDefault="0057104C" w:rsidP="0057104C">
      <w:pPr>
        <w:pStyle w:val="SangriaFrancesaArticulo"/>
      </w:pPr>
      <w:r w:rsidRPr="0057104C">
        <w:rPr>
          <w:rStyle w:val="TextoNormalNegritaCaracter"/>
        </w:rPr>
        <w:t>Articulo 1.17.</w:t>
      </w:r>
      <w:r w:rsidRPr="0057104C">
        <w:rPr>
          <w:rStyle w:val="TextoNormalCaracter"/>
        </w:rPr>
        <w:t>-</w:t>
      </w:r>
      <w:r>
        <w:t xml:space="preserve"> Sentencia </w:t>
      </w:r>
      <w:hyperlink w:anchor="SENTENCIA_2016_41" w:history="1">
        <w:r w:rsidRPr="0057104C">
          <w:rPr>
            <w:rStyle w:val="TextoNormalCaracter"/>
          </w:rPr>
          <w:t>41/2016</w:t>
        </w:r>
      </w:hyperlink>
      <w:r>
        <w:t xml:space="preserve"> (anula).</w:t>
      </w:r>
    </w:p>
    <w:p w:rsidR="0057104C" w:rsidRDefault="0057104C" w:rsidP="0057104C">
      <w:pPr>
        <w:pStyle w:val="SangriaFrancesaArticulo"/>
      </w:pPr>
      <w:r w:rsidRPr="0057104C">
        <w:rPr>
          <w:rStyle w:val="TextoNormalNegritaCaracter"/>
        </w:rPr>
        <w:t>Articulo 1.17.</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Articulo 1.18.</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Articulo 1.19.</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Artículo 1.21.</w:t>
      </w:r>
      <w:r w:rsidRPr="0057104C">
        <w:rPr>
          <w:rStyle w:val="TextoNormalCaracter"/>
        </w:rPr>
        <w:t>-</w:t>
      </w:r>
      <w:r>
        <w:t xml:space="preserve"> Sentencias </w:t>
      </w:r>
      <w:hyperlink w:anchor="SENTENCIA_2016_41" w:history="1">
        <w:r w:rsidRPr="0057104C">
          <w:rPr>
            <w:rStyle w:val="TextoNormalCaracter"/>
          </w:rPr>
          <w:t>41/2016</w:t>
        </w:r>
      </w:hyperlink>
      <w:r>
        <w:t xml:space="preserve">;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Articulo 1.30.</w:t>
      </w:r>
      <w:r w:rsidRPr="0057104C">
        <w:rPr>
          <w:rStyle w:val="TextoNormalCaracter"/>
        </w:rPr>
        <w:t>-</w:t>
      </w:r>
      <w:r>
        <w:t xml:space="preserve"> Sentencias </w:t>
      </w:r>
      <w:hyperlink w:anchor="SENTENCIA_2016_41" w:history="1">
        <w:r w:rsidRPr="0057104C">
          <w:rPr>
            <w:rStyle w:val="TextoNormalCaracter"/>
          </w:rPr>
          <w:t>41/2016</w:t>
        </w:r>
      </w:hyperlink>
      <w:r>
        <w:t xml:space="preserve">;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Artículo 1.31.</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Articulo 1.36.</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Artículo 1.38.</w:t>
      </w:r>
      <w:r w:rsidRPr="0057104C">
        <w:rPr>
          <w:rStyle w:val="TextoNormalCaracter"/>
        </w:rPr>
        <w:t>-</w:t>
      </w:r>
      <w:r>
        <w:t xml:space="preserve"> Sentencia </w:t>
      </w:r>
      <w:hyperlink w:anchor="SENTENCIA_2016_111" w:history="1">
        <w:r w:rsidRPr="0057104C">
          <w:rPr>
            <w:rStyle w:val="TextoNormalCaracter"/>
          </w:rPr>
          <w:t>111/2016</w:t>
        </w:r>
      </w:hyperlink>
      <w:r>
        <w:t xml:space="preserve"> (anula).</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Disposición adicional octava.</w:t>
      </w:r>
      <w:r w:rsidRPr="0057104C">
        <w:rPr>
          <w:rStyle w:val="TextoNormalCaracter"/>
        </w:rPr>
        <w:t>-</w:t>
      </w:r>
      <w:r>
        <w:t xml:space="preserve"> Sentencias </w:t>
      </w:r>
      <w:hyperlink w:anchor="SENTENCIA_2016_41" w:history="1">
        <w:r w:rsidRPr="0057104C">
          <w:rPr>
            <w:rStyle w:val="TextoNormalCaracter"/>
          </w:rPr>
          <w:t>41/2016</w:t>
        </w:r>
      </w:hyperlink>
      <w:r>
        <w:t xml:space="preserve">;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Disposición adicional novena.</w:t>
      </w:r>
      <w:r w:rsidRPr="0057104C">
        <w:rPr>
          <w:rStyle w:val="TextoNormalCaracter"/>
        </w:rPr>
        <w:t>-</w:t>
      </w:r>
      <w:r>
        <w:t xml:space="preserve"> Sentencia </w:t>
      </w:r>
      <w:hyperlink w:anchor="SENTENCIA_2016_41" w:history="1">
        <w:r w:rsidRPr="0057104C">
          <w:rPr>
            <w:rStyle w:val="TextoNormalCaracter"/>
          </w:rPr>
          <w:t>41/2016</w:t>
        </w:r>
      </w:hyperlink>
      <w:r>
        <w:t>.</w:t>
      </w:r>
    </w:p>
    <w:p w:rsidR="0057104C" w:rsidRDefault="0057104C" w:rsidP="0057104C">
      <w:pPr>
        <w:pStyle w:val="SangriaFrancesaArticulo"/>
      </w:pPr>
      <w:r w:rsidRPr="0057104C">
        <w:rPr>
          <w:rStyle w:val="TextoNormalNegritaCaracter"/>
        </w:rPr>
        <w:t>Disposición adicional undécima.</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Disposicional adicional undécima.</w:t>
      </w:r>
      <w:r w:rsidRPr="0057104C">
        <w:rPr>
          <w:rStyle w:val="TextoNormalCaracter"/>
        </w:rPr>
        <w:t>-</w:t>
      </w:r>
      <w:r>
        <w:t xml:space="preserve"> Sentencia </w:t>
      </w:r>
      <w:hyperlink w:anchor="SENTENCIA_2016_41" w:history="1">
        <w:r w:rsidRPr="0057104C">
          <w:rPr>
            <w:rStyle w:val="TextoNormalCaracter"/>
          </w:rPr>
          <w:t>41/2016</w:t>
        </w:r>
      </w:hyperlink>
      <w:r>
        <w:t xml:space="preserve"> (anula).</w:t>
      </w:r>
    </w:p>
    <w:p w:rsidR="0057104C" w:rsidRDefault="0057104C" w:rsidP="0057104C">
      <w:pPr>
        <w:pStyle w:val="SangriaFrancesaArticulo"/>
      </w:pPr>
      <w:r w:rsidRPr="0057104C">
        <w:rPr>
          <w:rStyle w:val="TextoNormalNegritaCaracter"/>
        </w:rPr>
        <w:t>Disposición adicional decimoquinta.</w:t>
      </w:r>
      <w:r w:rsidRPr="0057104C">
        <w:rPr>
          <w:rStyle w:val="TextoNormalCaracter"/>
        </w:rPr>
        <w:t>-</w:t>
      </w:r>
      <w:r>
        <w:t xml:space="preserve"> Sentencia </w:t>
      </w:r>
      <w:hyperlink w:anchor="SENTENCIA_2016_41" w:history="1">
        <w:r w:rsidRPr="0057104C">
          <w:rPr>
            <w:rStyle w:val="TextoNormalCaracter"/>
          </w:rPr>
          <w:t>41/2016</w:t>
        </w:r>
      </w:hyperlink>
      <w:r>
        <w:t xml:space="preserve"> (interpreta).</w:t>
      </w:r>
    </w:p>
    <w:p w:rsidR="0057104C" w:rsidRDefault="0057104C" w:rsidP="0057104C">
      <w:pPr>
        <w:pStyle w:val="SangriaFrancesaArticulo"/>
      </w:pPr>
      <w:r w:rsidRPr="0057104C">
        <w:rPr>
          <w:rStyle w:val="TextoNormalNegritaCaracter"/>
        </w:rPr>
        <w:t>Disposición adicional decimoquinta.</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41" w:history="1">
        <w:r w:rsidRPr="0057104C">
          <w:rPr>
            <w:rStyle w:val="TextoNormalCaracter"/>
          </w:rPr>
          <w:t>41/2016</w:t>
        </w:r>
      </w:hyperlink>
      <w:r>
        <w:t xml:space="preserve"> (anula).</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 </w:t>
      </w:r>
      <w:hyperlink w:anchor="SENTENCIA_2016_41" w:history="1">
        <w:r w:rsidRPr="0057104C">
          <w:rPr>
            <w:rStyle w:val="TextoNormalCaracter"/>
          </w:rPr>
          <w:t>41/2016</w:t>
        </w:r>
      </w:hyperlink>
      <w:r>
        <w:t xml:space="preserve"> (anula).</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Disposición transitoria tercera.</w:t>
      </w:r>
      <w:r w:rsidRPr="0057104C">
        <w:rPr>
          <w:rStyle w:val="TextoNormalCaracter"/>
        </w:rPr>
        <w:t>-</w:t>
      </w:r>
      <w:r>
        <w:t xml:space="preserve"> Sentencia </w:t>
      </w:r>
      <w:hyperlink w:anchor="SENTENCIA_2016_41" w:history="1">
        <w:r w:rsidRPr="0057104C">
          <w:rPr>
            <w:rStyle w:val="TextoNormalCaracter"/>
          </w:rPr>
          <w:t>41/2016</w:t>
        </w:r>
      </w:hyperlink>
      <w:r>
        <w:t xml:space="preserve"> (anula).</w:t>
      </w:r>
    </w:p>
    <w:p w:rsidR="0057104C" w:rsidRDefault="0057104C" w:rsidP="0057104C">
      <w:pPr>
        <w:pStyle w:val="SangriaFrancesaArticulo"/>
      </w:pPr>
      <w:r w:rsidRPr="0057104C">
        <w:rPr>
          <w:rStyle w:val="TextoNormalNegritaCaracter"/>
        </w:rPr>
        <w:t>Disposición transitoria tercera.</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Disposición transitoria cuarta.</w:t>
      </w:r>
      <w:r w:rsidRPr="0057104C">
        <w:rPr>
          <w:rStyle w:val="TextoNormalCaracter"/>
        </w:rPr>
        <w:t>-</w:t>
      </w:r>
      <w:r>
        <w:t xml:space="preserve"> Sentencia </w:t>
      </w:r>
      <w:hyperlink w:anchor="SENTENCIA_2016_111" w:history="1">
        <w:r w:rsidRPr="0057104C">
          <w:rPr>
            <w:rStyle w:val="TextoNormalCaracter"/>
          </w:rPr>
          <w:t>111/2016</w:t>
        </w:r>
      </w:hyperlink>
      <w:r>
        <w:t>.</w:t>
      </w:r>
    </w:p>
    <w:p w:rsidR="0057104C" w:rsidRDefault="0057104C" w:rsidP="0057104C">
      <w:pPr>
        <w:pStyle w:val="SangriaFrancesaArticulo"/>
      </w:pPr>
      <w:r w:rsidRPr="0057104C">
        <w:rPr>
          <w:rStyle w:val="TextoNormalNegritaCaracter"/>
        </w:rPr>
        <w:t>Disposición transitoria cuarta, apartado 3.</w:t>
      </w:r>
      <w:r w:rsidRPr="0057104C">
        <w:rPr>
          <w:rStyle w:val="TextoNormalCaracter"/>
        </w:rPr>
        <w:t>-</w:t>
      </w:r>
      <w:r>
        <w:t xml:space="preserve"> Sentencia </w:t>
      </w:r>
      <w:hyperlink w:anchor="SENTENCIA_2016_41" w:history="1">
        <w:r w:rsidRPr="0057104C">
          <w:rPr>
            <w:rStyle w:val="TextoNormalCaracter"/>
          </w:rPr>
          <w:t>41/2016</w:t>
        </w:r>
      </w:hyperlink>
      <w:r>
        <w:t xml:space="preserve"> (anula).</w:t>
      </w:r>
    </w:p>
    <w:p w:rsidR="0057104C" w:rsidRDefault="0057104C" w:rsidP="0057104C">
      <w:pPr>
        <w:pStyle w:val="SangriaFrancesaArticulo"/>
      </w:pPr>
      <w:r w:rsidRPr="0057104C">
        <w:rPr>
          <w:rStyle w:val="TextoNormalNegritaCaracter"/>
        </w:rPr>
        <w:t>Disposición transitoria undécima, párrafo tercero.</w:t>
      </w:r>
      <w:r w:rsidRPr="0057104C">
        <w:rPr>
          <w:rStyle w:val="TextoNormalCaracter"/>
        </w:rPr>
        <w:t>-</w:t>
      </w:r>
      <w:r>
        <w:t xml:space="preserve"> Sentencia </w:t>
      </w:r>
      <w:hyperlink w:anchor="SENTENCIA_2016_41" w:history="1">
        <w:r w:rsidRPr="0057104C">
          <w:rPr>
            <w:rStyle w:val="TextoNormalCaracter"/>
          </w:rPr>
          <w:t>41/2016</w:t>
        </w:r>
      </w:hyperlink>
      <w:r>
        <w:t xml:space="preserve"> (anula).</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111" w:history="1">
        <w:r w:rsidRPr="0057104C">
          <w:rPr>
            <w:rStyle w:val="TextoNormalCaracter"/>
          </w:rPr>
          <w:t>111/2016</w:t>
        </w:r>
      </w:hyperlink>
      <w:r>
        <w:t xml:space="preserve"> (anula).</w:t>
      </w:r>
    </w:p>
    <w:p w:rsidR="0057104C" w:rsidRDefault="0057104C" w:rsidP="0057104C">
      <w:pPr>
        <w:pStyle w:val="SangriaFrancesaArticulo"/>
      </w:pPr>
    </w:p>
    <w:p w:rsidR="0057104C" w:rsidRDefault="0057104C" w:rsidP="0057104C">
      <w:pPr>
        <w:pStyle w:val="TextoNormalNegritaCursivandice"/>
      </w:pPr>
      <w:r>
        <w:t>Ley 2/2014, de 25 de marzo. Acción y del servicio exterior del Estado</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85" w:history="1">
        <w:r w:rsidRPr="0057104C">
          <w:rPr>
            <w:rStyle w:val="TextoNormalCaracter"/>
          </w:rPr>
          <w:t>85/2016</w:t>
        </w:r>
      </w:hyperlink>
      <w:r>
        <w:t>.</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85" w:history="1">
        <w:r w:rsidRPr="0057104C">
          <w:rPr>
            <w:rStyle w:val="TextoNormalCaracter"/>
          </w:rPr>
          <w:t>85/2016</w:t>
        </w:r>
      </w:hyperlink>
      <w:r>
        <w:t>.</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85" w:history="1">
        <w:r w:rsidRPr="0057104C">
          <w:rPr>
            <w:rStyle w:val="TextoNormalCaracter"/>
          </w:rPr>
          <w:t>85/2016</w:t>
        </w:r>
      </w:hyperlink>
      <w:r>
        <w:t>.</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85" w:history="1">
        <w:r w:rsidRPr="0057104C">
          <w:rPr>
            <w:rStyle w:val="TextoNormalCaracter"/>
          </w:rPr>
          <w:t>85/2016</w:t>
        </w:r>
      </w:hyperlink>
      <w:r>
        <w:t>.</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85" w:history="1">
        <w:r w:rsidRPr="0057104C">
          <w:rPr>
            <w:rStyle w:val="TextoNormalCaracter"/>
          </w:rPr>
          <w:t>85/2016</w:t>
        </w:r>
      </w:hyperlink>
      <w:r>
        <w:t>.</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85" w:history="1">
        <w:r w:rsidRPr="0057104C">
          <w:rPr>
            <w:rStyle w:val="TextoNormalCaracter"/>
          </w:rPr>
          <w:t>85/2016</w:t>
        </w:r>
      </w:hyperlink>
      <w:r>
        <w:t>.</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85" w:history="1">
        <w:r w:rsidRPr="0057104C">
          <w:rPr>
            <w:rStyle w:val="TextoNormalCaracter"/>
          </w:rPr>
          <w:t>85/2016</w:t>
        </w:r>
      </w:hyperlink>
      <w:r>
        <w:t>.</w:t>
      </w:r>
    </w:p>
    <w:p w:rsidR="0057104C" w:rsidRDefault="0057104C" w:rsidP="0057104C">
      <w:pPr>
        <w:pStyle w:val="SangriaFrancesaArticulo"/>
      </w:pPr>
      <w:r w:rsidRPr="0057104C">
        <w:rPr>
          <w:rStyle w:val="TextoNormalNegritaCaracter"/>
        </w:rPr>
        <w:t>Artículos 17 a 33.</w:t>
      </w:r>
      <w:r w:rsidRPr="0057104C">
        <w:rPr>
          <w:rStyle w:val="TextoNormalCaracter"/>
        </w:rPr>
        <w:t>-</w:t>
      </w:r>
      <w:r>
        <w:t xml:space="preserve"> Sentencia </w:t>
      </w:r>
      <w:hyperlink w:anchor="SENTENCIA_2016_85" w:history="1">
        <w:r w:rsidRPr="0057104C">
          <w:rPr>
            <w:rStyle w:val="TextoNormalCaracter"/>
          </w:rPr>
          <w:t>85/2016</w:t>
        </w:r>
      </w:hyperlink>
      <w:r>
        <w:t>.</w:t>
      </w:r>
    </w:p>
    <w:p w:rsidR="0057104C" w:rsidRDefault="0057104C" w:rsidP="0057104C">
      <w:pPr>
        <w:pStyle w:val="SangriaFrancesaArticulo"/>
      </w:pPr>
      <w:r w:rsidRPr="0057104C">
        <w:rPr>
          <w:rStyle w:val="TextoNormalNegritaCaracter"/>
        </w:rPr>
        <w:t>Artículo 34.</w:t>
      </w:r>
      <w:r w:rsidRPr="0057104C">
        <w:rPr>
          <w:rStyle w:val="TextoNormalCaracter"/>
        </w:rPr>
        <w:t>-</w:t>
      </w:r>
      <w:r>
        <w:t xml:space="preserve"> Sentencia </w:t>
      </w:r>
      <w:hyperlink w:anchor="SENTENCIA_2016_85" w:history="1">
        <w:r w:rsidRPr="0057104C">
          <w:rPr>
            <w:rStyle w:val="TextoNormalCaracter"/>
          </w:rPr>
          <w:t>85/2016</w:t>
        </w:r>
      </w:hyperlink>
      <w:r>
        <w:t>.</w:t>
      </w:r>
    </w:p>
    <w:p w:rsidR="0057104C" w:rsidRDefault="0057104C" w:rsidP="0057104C">
      <w:pPr>
        <w:pStyle w:val="SangriaFrancesaArticulo"/>
      </w:pPr>
      <w:r w:rsidRPr="0057104C">
        <w:rPr>
          <w:rStyle w:val="TextoNormalNegritaCaracter"/>
        </w:rPr>
        <w:t>Artículo 35.</w:t>
      </w:r>
      <w:r w:rsidRPr="0057104C">
        <w:rPr>
          <w:rStyle w:val="TextoNormalCaracter"/>
        </w:rPr>
        <w:t>-</w:t>
      </w:r>
      <w:r>
        <w:t xml:space="preserve"> Sentencia </w:t>
      </w:r>
      <w:hyperlink w:anchor="SENTENCIA_2016_85" w:history="1">
        <w:r w:rsidRPr="0057104C">
          <w:rPr>
            <w:rStyle w:val="TextoNormalCaracter"/>
          </w:rPr>
          <w:t>85/2016</w:t>
        </w:r>
      </w:hyperlink>
      <w:r>
        <w:t>.</w:t>
      </w:r>
    </w:p>
    <w:p w:rsidR="0057104C" w:rsidRDefault="0057104C" w:rsidP="0057104C">
      <w:pPr>
        <w:pStyle w:val="SangriaFrancesaArticulo"/>
      </w:pPr>
      <w:r w:rsidRPr="0057104C">
        <w:rPr>
          <w:rStyle w:val="TextoNormalNegritaCaracter"/>
        </w:rPr>
        <w:t>Artículo 37.</w:t>
      </w:r>
      <w:r w:rsidRPr="0057104C">
        <w:rPr>
          <w:rStyle w:val="TextoNormalCaracter"/>
        </w:rPr>
        <w:t>-</w:t>
      </w:r>
      <w:r>
        <w:t xml:space="preserve"> Sentencia </w:t>
      </w:r>
      <w:hyperlink w:anchor="SENTENCIA_2016_85" w:history="1">
        <w:r w:rsidRPr="0057104C">
          <w:rPr>
            <w:rStyle w:val="TextoNormalCaracter"/>
          </w:rPr>
          <w:t>85/2016</w:t>
        </w:r>
      </w:hyperlink>
      <w:r>
        <w:t>.</w:t>
      </w:r>
    </w:p>
    <w:p w:rsidR="0057104C" w:rsidRDefault="0057104C" w:rsidP="0057104C">
      <w:pPr>
        <w:pStyle w:val="SangriaFrancesaArticulo"/>
      </w:pPr>
    </w:p>
    <w:p w:rsidR="0057104C" w:rsidRDefault="0057104C" w:rsidP="0057104C">
      <w:pPr>
        <w:pStyle w:val="TextoNormalNegritaCursivandice"/>
      </w:pPr>
      <w:r>
        <w:t>Ley 9/2014, de 9 de mayo. General de Telecomunicaciones</w:t>
      </w:r>
    </w:p>
    <w:p w:rsidR="0057104C" w:rsidRDefault="0057104C" w:rsidP="0057104C">
      <w:pPr>
        <w:pStyle w:val="SangriaFrancesaArticulo"/>
      </w:pPr>
      <w:r w:rsidRPr="0057104C">
        <w:rPr>
          <w:rStyle w:val="TextoNormalNegritaCaracter"/>
        </w:rPr>
        <w:t>Artículo 34.3.</w:t>
      </w:r>
      <w:r w:rsidRPr="0057104C">
        <w:rPr>
          <w:rStyle w:val="TextoNormalCaracter"/>
        </w:rPr>
        <w:t>-</w:t>
      </w:r>
      <w:r>
        <w:t xml:space="preserve"> Sentencia </w:t>
      </w:r>
      <w:hyperlink w:anchor="SENTENCIA_2016_20" w:history="1">
        <w:r w:rsidRPr="0057104C">
          <w:rPr>
            <w:rStyle w:val="TextoNormalCaracter"/>
          </w:rPr>
          <w:t>20/2016</w:t>
        </w:r>
      </w:hyperlink>
      <w:r>
        <w:t>.</w:t>
      </w:r>
    </w:p>
    <w:p w:rsidR="0057104C" w:rsidRDefault="0057104C" w:rsidP="0057104C">
      <w:pPr>
        <w:pStyle w:val="SangriaFrancesaArticulo"/>
      </w:pPr>
      <w:r w:rsidRPr="0057104C">
        <w:rPr>
          <w:rStyle w:val="TextoNormalNegritaCaracter"/>
        </w:rPr>
        <w:t>Artículo 34.5.</w:t>
      </w:r>
      <w:r w:rsidRPr="0057104C">
        <w:rPr>
          <w:rStyle w:val="TextoNormalCaracter"/>
        </w:rPr>
        <w:t>-</w:t>
      </w:r>
      <w:r>
        <w:t xml:space="preserve"> Sentencia </w:t>
      </w:r>
      <w:hyperlink w:anchor="SENTENCIA_2016_20" w:history="1">
        <w:r w:rsidRPr="0057104C">
          <w:rPr>
            <w:rStyle w:val="TextoNormalCaracter"/>
          </w:rPr>
          <w:t>20/2016</w:t>
        </w:r>
      </w:hyperlink>
      <w:r>
        <w:t>.</w:t>
      </w:r>
    </w:p>
    <w:p w:rsidR="0057104C" w:rsidRDefault="0057104C" w:rsidP="0057104C">
      <w:pPr>
        <w:pStyle w:val="SangriaFrancesaArticulo"/>
      </w:pPr>
      <w:r w:rsidRPr="0057104C">
        <w:rPr>
          <w:rStyle w:val="TextoNormalNegritaCaracter"/>
        </w:rPr>
        <w:t>Artículo 34.6.</w:t>
      </w:r>
      <w:r w:rsidRPr="0057104C">
        <w:rPr>
          <w:rStyle w:val="TextoNormalCaracter"/>
        </w:rPr>
        <w:t>-</w:t>
      </w:r>
      <w:r>
        <w:t xml:space="preserve"> Sentencia </w:t>
      </w:r>
      <w:hyperlink w:anchor="SENTENCIA_2016_20" w:history="1">
        <w:r w:rsidRPr="0057104C">
          <w:rPr>
            <w:rStyle w:val="TextoNormalCaracter"/>
          </w:rPr>
          <w:t>20/2016</w:t>
        </w:r>
      </w:hyperlink>
      <w:r>
        <w:t xml:space="preserve"> (anula).</w:t>
      </w:r>
    </w:p>
    <w:p w:rsidR="0057104C" w:rsidRDefault="0057104C" w:rsidP="0057104C">
      <w:pPr>
        <w:pStyle w:val="SangriaFrancesaArticulo"/>
      </w:pPr>
      <w:r w:rsidRPr="0057104C">
        <w:rPr>
          <w:rStyle w:val="TextoNormalNegritaCaracter"/>
        </w:rPr>
        <w:t>Artículo 35.4.</w:t>
      </w:r>
      <w:r w:rsidRPr="0057104C">
        <w:rPr>
          <w:rStyle w:val="TextoNormalCaracter"/>
        </w:rPr>
        <w:t>-</w:t>
      </w:r>
      <w:r>
        <w:t xml:space="preserve"> Sentencia </w:t>
      </w:r>
      <w:hyperlink w:anchor="SENTENCIA_2016_20" w:history="1">
        <w:r w:rsidRPr="0057104C">
          <w:rPr>
            <w:rStyle w:val="TextoNormalCaracter"/>
          </w:rPr>
          <w:t>20/2016</w:t>
        </w:r>
      </w:hyperlink>
      <w:r>
        <w:t>.</w:t>
      </w:r>
    </w:p>
    <w:p w:rsidR="0057104C" w:rsidRDefault="0057104C" w:rsidP="0057104C">
      <w:pPr>
        <w:pStyle w:val="SangriaFrancesaArticulo"/>
      </w:pPr>
      <w:r w:rsidRPr="0057104C">
        <w:rPr>
          <w:rStyle w:val="TextoNormalNegritaCaracter"/>
        </w:rPr>
        <w:t>Artículo 35.7.</w:t>
      </w:r>
      <w:r w:rsidRPr="0057104C">
        <w:rPr>
          <w:rStyle w:val="TextoNormalCaracter"/>
        </w:rPr>
        <w:t>-</w:t>
      </w:r>
      <w:r>
        <w:t xml:space="preserve"> Sentencia </w:t>
      </w:r>
      <w:hyperlink w:anchor="SENTENCIA_2016_20" w:history="1">
        <w:r w:rsidRPr="0057104C">
          <w:rPr>
            <w:rStyle w:val="TextoNormalCaracter"/>
          </w:rPr>
          <w:t>20/2016</w:t>
        </w:r>
      </w:hyperlink>
      <w:r>
        <w:t>.</w:t>
      </w:r>
    </w:p>
    <w:p w:rsidR="0057104C" w:rsidRDefault="0057104C" w:rsidP="0057104C">
      <w:pPr>
        <w:pStyle w:val="SangriaFrancesaArticulo"/>
      </w:pPr>
      <w:r w:rsidRPr="0057104C">
        <w:rPr>
          <w:rStyle w:val="TextoNormalNegritaCaracter"/>
        </w:rPr>
        <w:t>Artículo 45.4.</w:t>
      </w:r>
      <w:r w:rsidRPr="0057104C">
        <w:rPr>
          <w:rStyle w:val="TextoNormalCaracter"/>
        </w:rPr>
        <w:t>-</w:t>
      </w:r>
      <w:r>
        <w:t xml:space="preserve"> Sentencia </w:t>
      </w:r>
      <w:hyperlink w:anchor="SENTENCIA_2016_20" w:history="1">
        <w:r w:rsidRPr="0057104C">
          <w:rPr>
            <w:rStyle w:val="TextoNormalCaracter"/>
          </w:rPr>
          <w:t>20/2016</w:t>
        </w:r>
      </w:hyperlink>
      <w:r>
        <w:t>.</w:t>
      </w:r>
    </w:p>
    <w:p w:rsidR="0057104C" w:rsidRDefault="0057104C" w:rsidP="0057104C">
      <w:pPr>
        <w:pStyle w:val="SangriaFrancesaArticulo"/>
      </w:pPr>
      <w:r w:rsidRPr="0057104C">
        <w:rPr>
          <w:rStyle w:val="TextoNormalNegritaCaracter"/>
        </w:rPr>
        <w:t>Artículo 65.</w:t>
      </w:r>
      <w:r w:rsidRPr="0057104C">
        <w:rPr>
          <w:rStyle w:val="TextoNormalCaracter"/>
        </w:rPr>
        <w:t>-</w:t>
      </w:r>
      <w:r>
        <w:t xml:space="preserve"> Sentencia </w:t>
      </w:r>
      <w:hyperlink w:anchor="SENTENCIA_2016_20" w:history="1">
        <w:r w:rsidRPr="0057104C">
          <w:rPr>
            <w:rStyle w:val="TextoNormalCaracter"/>
          </w:rPr>
          <w:t>20/2016</w:t>
        </w:r>
      </w:hyperlink>
      <w:r>
        <w:t>.</w:t>
      </w:r>
    </w:p>
    <w:p w:rsidR="0057104C" w:rsidRDefault="0057104C" w:rsidP="0057104C">
      <w:pPr>
        <w:pStyle w:val="SangriaFrancesaArticulo"/>
      </w:pPr>
      <w:r w:rsidRPr="0057104C">
        <w:rPr>
          <w:rStyle w:val="TextoNormalNegritaCaracter"/>
        </w:rPr>
        <w:t>Artículo 69 j), apartado 6.</w:t>
      </w:r>
      <w:r w:rsidRPr="0057104C">
        <w:rPr>
          <w:rStyle w:val="TextoNormalCaracter"/>
        </w:rPr>
        <w:t>-</w:t>
      </w:r>
      <w:r>
        <w:t xml:space="preserve"> Sentencia </w:t>
      </w:r>
      <w:hyperlink w:anchor="SENTENCIA_2016_20" w:history="1">
        <w:r w:rsidRPr="0057104C">
          <w:rPr>
            <w:rStyle w:val="TextoNormalCaracter"/>
          </w:rPr>
          <w:t>20/2016</w:t>
        </w:r>
      </w:hyperlink>
      <w:r>
        <w:t>.</w:t>
      </w:r>
    </w:p>
    <w:p w:rsidR="0057104C" w:rsidRDefault="0057104C" w:rsidP="0057104C">
      <w:pPr>
        <w:pStyle w:val="SangriaFrancesaArticulo"/>
      </w:pPr>
      <w:r w:rsidRPr="0057104C">
        <w:rPr>
          <w:rStyle w:val="TextoNormalNegritaCaracter"/>
        </w:rPr>
        <w:t>Artículo 73.</w:t>
      </w:r>
      <w:r w:rsidRPr="0057104C">
        <w:rPr>
          <w:rStyle w:val="TextoNormalCaracter"/>
        </w:rPr>
        <w:t>-</w:t>
      </w:r>
      <w:r>
        <w:t xml:space="preserve"> Sentencia </w:t>
      </w:r>
      <w:hyperlink w:anchor="SENTENCIA_2016_20" w:history="1">
        <w:r w:rsidRPr="0057104C">
          <w:rPr>
            <w:rStyle w:val="TextoNormalCaracter"/>
          </w:rPr>
          <w:t>20/2016</w:t>
        </w:r>
      </w:hyperlink>
      <w:r>
        <w:t>.</w:t>
      </w:r>
    </w:p>
    <w:p w:rsidR="0057104C" w:rsidRDefault="0057104C" w:rsidP="0057104C">
      <w:pPr>
        <w:pStyle w:val="SangriaFrancesaArticulo"/>
      </w:pPr>
      <w:r w:rsidRPr="0057104C">
        <w:rPr>
          <w:rStyle w:val="TextoNormalNegritaCaracter"/>
        </w:rPr>
        <w:t>Artículo 74.</w:t>
      </w:r>
      <w:r w:rsidRPr="0057104C">
        <w:rPr>
          <w:rStyle w:val="TextoNormalCaracter"/>
        </w:rPr>
        <w:t>-</w:t>
      </w:r>
      <w:r>
        <w:t xml:space="preserve"> Sentencia </w:t>
      </w:r>
      <w:hyperlink w:anchor="SENTENCIA_2016_20" w:history="1">
        <w:r w:rsidRPr="0057104C">
          <w:rPr>
            <w:rStyle w:val="TextoNormalCaracter"/>
          </w:rPr>
          <w:t>20/2016</w:t>
        </w:r>
      </w:hyperlink>
      <w:r>
        <w:t>.</w:t>
      </w:r>
    </w:p>
    <w:p w:rsidR="0057104C" w:rsidRDefault="0057104C" w:rsidP="0057104C">
      <w:pPr>
        <w:pStyle w:val="SangriaFrancesaArticulo"/>
      </w:pPr>
    </w:p>
    <w:p w:rsidR="0057104C" w:rsidRDefault="0057104C" w:rsidP="0057104C">
      <w:pPr>
        <w:pStyle w:val="TextoNormalNegritaCursivandice"/>
      </w:pPr>
      <w:r>
        <w:t>Ley 18/2014, de 15 de octubre. Aprobación de medidas urgentes para el crecimiento, la competitividad y la eficiencia</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Auto </w:t>
      </w:r>
      <w:hyperlink w:anchor="AUTO_2016_51" w:history="1">
        <w:r w:rsidRPr="0057104C">
          <w:rPr>
            <w:rStyle w:val="TextoNormalCaracter"/>
          </w:rPr>
          <w:t>51/2016</w:t>
        </w:r>
      </w:hyperlink>
      <w:r>
        <w:t>.</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Auto </w:t>
      </w:r>
      <w:hyperlink w:anchor="AUTO_2016_51" w:history="1">
        <w:r w:rsidRPr="0057104C">
          <w:rPr>
            <w:rStyle w:val="TextoNormalCaracter"/>
          </w:rPr>
          <w:t>51/2016</w:t>
        </w:r>
      </w:hyperlink>
      <w:r>
        <w:t>.</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Auto </w:t>
      </w:r>
      <w:hyperlink w:anchor="AUTO_2016_51" w:history="1">
        <w:r w:rsidRPr="0057104C">
          <w:rPr>
            <w:rStyle w:val="TextoNormalCaracter"/>
          </w:rPr>
          <w:t>51/2016</w:t>
        </w:r>
      </w:hyperlink>
      <w:r>
        <w:t>.</w:t>
      </w:r>
    </w:p>
    <w:p w:rsidR="0057104C" w:rsidRDefault="0057104C" w:rsidP="0057104C">
      <w:pPr>
        <w:pStyle w:val="SangriaFrancesaArticulo"/>
      </w:pPr>
      <w:r w:rsidRPr="0057104C">
        <w:rPr>
          <w:rStyle w:val="TextoNormalNegritaCaracter"/>
        </w:rPr>
        <w:t>Artículo 92.</w:t>
      </w:r>
      <w:r w:rsidRPr="0057104C">
        <w:rPr>
          <w:rStyle w:val="TextoNormalCaracter"/>
        </w:rPr>
        <w:t>-</w:t>
      </w:r>
      <w:r>
        <w:t xml:space="preserve"> Auto </w:t>
      </w:r>
      <w:hyperlink w:anchor="AUTO_2016_51" w:history="1">
        <w:r w:rsidRPr="0057104C">
          <w:rPr>
            <w:rStyle w:val="TextoNormalCaracter"/>
          </w:rPr>
          <w:t>51/2016</w:t>
        </w:r>
      </w:hyperlink>
      <w:r>
        <w:t>.</w:t>
      </w:r>
    </w:p>
    <w:p w:rsidR="0057104C" w:rsidRDefault="0057104C" w:rsidP="0057104C">
      <w:pPr>
        <w:pStyle w:val="SangriaFrancesaArticulo"/>
      </w:pPr>
      <w:r w:rsidRPr="0057104C">
        <w:rPr>
          <w:rStyle w:val="TextoNormalNegritaCaracter"/>
        </w:rPr>
        <w:t>Artículo 98.</w:t>
      </w:r>
      <w:r w:rsidRPr="0057104C">
        <w:rPr>
          <w:rStyle w:val="TextoNormalCaracter"/>
        </w:rPr>
        <w:t>-</w:t>
      </w:r>
      <w:r>
        <w:t xml:space="preserve"> Auto </w:t>
      </w:r>
      <w:hyperlink w:anchor="AUTO_2016_51" w:history="1">
        <w:r w:rsidRPr="0057104C">
          <w:rPr>
            <w:rStyle w:val="TextoNormalCaracter"/>
          </w:rPr>
          <w:t>51/2016</w:t>
        </w:r>
      </w:hyperlink>
      <w:r>
        <w:t>.</w:t>
      </w:r>
    </w:p>
    <w:p w:rsidR="0057104C" w:rsidRDefault="0057104C" w:rsidP="0057104C">
      <w:pPr>
        <w:pStyle w:val="SangriaFrancesaArticulo"/>
      </w:pPr>
      <w:r w:rsidRPr="0057104C">
        <w:rPr>
          <w:rStyle w:val="TextoNormalNegritaCaracter"/>
        </w:rPr>
        <w:t>Artículo 102.</w:t>
      </w:r>
      <w:r w:rsidRPr="0057104C">
        <w:rPr>
          <w:rStyle w:val="TextoNormalCaracter"/>
        </w:rPr>
        <w:t>-</w:t>
      </w:r>
      <w:r>
        <w:t xml:space="preserve"> Auto </w:t>
      </w:r>
      <w:hyperlink w:anchor="AUTO_2016_51" w:history="1">
        <w:r w:rsidRPr="0057104C">
          <w:rPr>
            <w:rStyle w:val="TextoNormalCaracter"/>
          </w:rPr>
          <w:t>51/2016</w:t>
        </w:r>
      </w:hyperlink>
      <w:r>
        <w:t>.</w:t>
      </w:r>
    </w:p>
    <w:p w:rsidR="0057104C" w:rsidRDefault="0057104C" w:rsidP="0057104C">
      <w:pPr>
        <w:pStyle w:val="SangriaFrancesaArticulo"/>
      </w:pPr>
      <w:r w:rsidRPr="0057104C">
        <w:rPr>
          <w:rStyle w:val="TextoNormalNegritaCaracter"/>
        </w:rPr>
        <w:t>Artículo 107.</w:t>
      </w:r>
      <w:r w:rsidRPr="0057104C">
        <w:rPr>
          <w:rStyle w:val="TextoNormalCaracter"/>
        </w:rPr>
        <w:t>-</w:t>
      </w:r>
      <w:r>
        <w:t xml:space="preserve"> Auto </w:t>
      </w:r>
      <w:hyperlink w:anchor="AUTO_2016_51" w:history="1">
        <w:r w:rsidRPr="0057104C">
          <w:rPr>
            <w:rStyle w:val="TextoNormalCaracter"/>
          </w:rPr>
          <w:t>51/2016</w:t>
        </w:r>
      </w:hyperlink>
      <w:r>
        <w:t>.</w:t>
      </w:r>
    </w:p>
    <w:p w:rsidR="0057104C" w:rsidRDefault="0057104C" w:rsidP="0057104C">
      <w:pPr>
        <w:pStyle w:val="SangriaFrancesaArticulo"/>
      </w:pPr>
      <w:r w:rsidRPr="0057104C">
        <w:rPr>
          <w:rStyle w:val="TextoNormalNegritaCaracter"/>
        </w:rPr>
        <w:t>Artículo 107.2.</w:t>
      </w:r>
      <w:r w:rsidRPr="0057104C">
        <w:rPr>
          <w:rStyle w:val="TextoNormalCaracter"/>
        </w:rPr>
        <w:t>-</w:t>
      </w:r>
      <w:r>
        <w:t xml:space="preserve"> Auto </w:t>
      </w:r>
      <w:hyperlink w:anchor="AUTO_2016_51" w:history="1">
        <w:r w:rsidRPr="0057104C">
          <w:rPr>
            <w:rStyle w:val="TextoNormalCaracter"/>
          </w:rPr>
          <w:t>51/2016</w:t>
        </w:r>
      </w:hyperlink>
      <w:r>
        <w:t>.</w:t>
      </w:r>
    </w:p>
    <w:p w:rsidR="0057104C" w:rsidRDefault="0057104C" w:rsidP="0057104C">
      <w:pPr>
        <w:pStyle w:val="SangriaFrancesaArticulo"/>
      </w:pPr>
      <w:r w:rsidRPr="0057104C">
        <w:rPr>
          <w:rStyle w:val="TextoNormalNegritaCaracter"/>
        </w:rPr>
        <w:t>Artículo 107.6.</w:t>
      </w:r>
      <w:r w:rsidRPr="0057104C">
        <w:rPr>
          <w:rStyle w:val="TextoNormalCaracter"/>
        </w:rPr>
        <w:t>-</w:t>
      </w:r>
      <w:r>
        <w:t xml:space="preserve"> Auto </w:t>
      </w:r>
      <w:hyperlink w:anchor="AUTO_2016_51" w:history="1">
        <w:r w:rsidRPr="0057104C">
          <w:rPr>
            <w:rStyle w:val="TextoNormalCaracter"/>
          </w:rPr>
          <w:t>51/2016</w:t>
        </w:r>
      </w:hyperlink>
      <w:r>
        <w:t>.</w:t>
      </w:r>
    </w:p>
    <w:p w:rsidR="0057104C" w:rsidRDefault="0057104C" w:rsidP="0057104C">
      <w:pPr>
        <w:pStyle w:val="SangriaFrancesaArticulo"/>
      </w:pPr>
      <w:r w:rsidRPr="0057104C">
        <w:rPr>
          <w:rStyle w:val="TextoNormalNegritaCaracter"/>
        </w:rPr>
        <w:t>Artículo 107.12.</w:t>
      </w:r>
      <w:r w:rsidRPr="0057104C">
        <w:rPr>
          <w:rStyle w:val="TextoNormalCaracter"/>
        </w:rPr>
        <w:t>-</w:t>
      </w:r>
      <w:r>
        <w:t xml:space="preserve"> Auto </w:t>
      </w:r>
      <w:hyperlink w:anchor="AUTO_2016_51" w:history="1">
        <w:r w:rsidRPr="0057104C">
          <w:rPr>
            <w:rStyle w:val="TextoNormalCaracter"/>
          </w:rPr>
          <w:t>51/2016</w:t>
        </w:r>
      </w:hyperlink>
      <w:r>
        <w:t>.</w:t>
      </w:r>
    </w:p>
    <w:p w:rsidR="0057104C" w:rsidRDefault="0057104C" w:rsidP="0057104C">
      <w:pPr>
        <w:pStyle w:val="SangriaFrancesaArticulo"/>
      </w:pPr>
      <w:r w:rsidRPr="0057104C">
        <w:rPr>
          <w:rStyle w:val="TextoNormalNegritaCaracter"/>
        </w:rPr>
        <w:t>Artículo 107.13.</w:t>
      </w:r>
      <w:r w:rsidRPr="0057104C">
        <w:rPr>
          <w:rStyle w:val="TextoNormalCaracter"/>
        </w:rPr>
        <w:t>-</w:t>
      </w:r>
      <w:r>
        <w:t xml:space="preserve"> Auto </w:t>
      </w:r>
      <w:hyperlink w:anchor="AUTO_2016_51" w:history="1">
        <w:r w:rsidRPr="0057104C">
          <w:rPr>
            <w:rStyle w:val="TextoNormalCaracter"/>
          </w:rPr>
          <w:t>51/2016</w:t>
        </w:r>
      </w:hyperlink>
      <w:r>
        <w:t>.</w:t>
      </w:r>
    </w:p>
    <w:p w:rsidR="0057104C" w:rsidRDefault="0057104C" w:rsidP="0057104C">
      <w:pPr>
        <w:pStyle w:val="SangriaFrancesaArticulo"/>
      </w:pPr>
      <w:r w:rsidRPr="0057104C">
        <w:rPr>
          <w:rStyle w:val="TextoNormalNegritaCaracter"/>
        </w:rPr>
        <w:t>Anexo I.</w:t>
      </w:r>
      <w:r w:rsidRPr="0057104C">
        <w:rPr>
          <w:rStyle w:val="TextoNormalCaracter"/>
        </w:rPr>
        <w:t>-</w:t>
      </w:r>
      <w:r>
        <w:t xml:space="preserve"> Auto </w:t>
      </w:r>
      <w:hyperlink w:anchor="AUTO_2016_51" w:history="1">
        <w:r w:rsidRPr="0057104C">
          <w:rPr>
            <w:rStyle w:val="TextoNormalCaracter"/>
          </w:rPr>
          <w:t>51/2016</w:t>
        </w:r>
      </w:hyperlink>
      <w:r>
        <w:t>.</w:t>
      </w:r>
    </w:p>
    <w:p w:rsidR="0057104C" w:rsidRDefault="0057104C" w:rsidP="0057104C">
      <w:pPr>
        <w:pStyle w:val="SangriaFrancesaArticulo"/>
      </w:pPr>
    </w:p>
    <w:p w:rsidR="0057104C" w:rsidRDefault="0057104C" w:rsidP="0057104C">
      <w:pPr>
        <w:pStyle w:val="TextoNormalNegritaCursivandice"/>
      </w:pPr>
      <w:r>
        <w:t>Ley 23/2015, de 21 de julio. Ordenadora del sistema de inspección de trabajo y seguridad social</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 </w:t>
      </w:r>
      <w:hyperlink w:anchor="SENTENCIA_2016_21" w:history="1">
        <w:r w:rsidRPr="0057104C">
          <w:rPr>
            <w:rStyle w:val="TextoNormalCaracter"/>
          </w:rPr>
          <w:t>21/2016</w:t>
        </w:r>
      </w:hyperlink>
      <w:r>
        <w:t>.</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21" w:history="1">
        <w:r w:rsidRPr="0057104C">
          <w:rPr>
            <w:rStyle w:val="TextoNormalCaracter"/>
          </w:rPr>
          <w:t>21/2016</w:t>
        </w:r>
      </w:hyperlink>
      <w:r>
        <w:t>.</w:t>
      </w:r>
    </w:p>
    <w:p w:rsidR="0057104C" w:rsidRDefault="0057104C" w:rsidP="0057104C">
      <w:pPr>
        <w:pStyle w:val="SangriaFrancesaArticulo"/>
      </w:pPr>
    </w:p>
    <w:p w:rsidR="0057104C" w:rsidRDefault="0057104C" w:rsidP="0057104C">
      <w:pPr>
        <w:pStyle w:val="TextoNormalNegritaCursivandice"/>
      </w:pPr>
      <w:r>
        <w:t>Ley 48/2015, de 29 de octubre. Presupuestos Generales del Estado para el año 2016</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Sentencia </w:t>
      </w:r>
      <w:hyperlink w:anchor="SENTENCIA_2016_96" w:history="1">
        <w:r w:rsidRPr="0057104C">
          <w:rPr>
            <w:rStyle w:val="TextoNormalCaracter"/>
          </w:rPr>
          <w:t>96/2016</w:t>
        </w:r>
      </w:hyperlink>
      <w:r>
        <w:t>.</w:t>
      </w:r>
    </w:p>
    <w:p w:rsidR="0057104C" w:rsidRDefault="0057104C" w:rsidP="0057104C">
      <w:pPr>
        <w:pStyle w:val="SangriaFrancesaArticulo"/>
      </w:pPr>
      <w:r w:rsidRPr="0057104C">
        <w:rPr>
          <w:rStyle w:val="TextoNormalNegritaCaracter"/>
        </w:rPr>
        <w:t>Artículo 112.</w:t>
      </w:r>
      <w:r w:rsidRPr="0057104C">
        <w:rPr>
          <w:rStyle w:val="TextoNormalCaracter"/>
        </w:rPr>
        <w:t>-</w:t>
      </w:r>
      <w:r>
        <w:t xml:space="preserve"> Sentencia </w:t>
      </w:r>
      <w:hyperlink w:anchor="SENTENCIA_2016_96" w:history="1">
        <w:r w:rsidRPr="0057104C">
          <w:rPr>
            <w:rStyle w:val="TextoNormalCaracter"/>
          </w:rPr>
          <w:t>96/2016</w:t>
        </w:r>
      </w:hyperlink>
      <w:r>
        <w:t>.</w:t>
      </w:r>
    </w:p>
    <w:p w:rsidR="0057104C" w:rsidRDefault="0057104C" w:rsidP="0057104C">
      <w:pPr>
        <w:pStyle w:val="TextoNormal"/>
      </w:pPr>
    </w:p>
    <w:p w:rsidR="0057104C" w:rsidRDefault="0057104C" w:rsidP="0057104C">
      <w:pPr>
        <w:pStyle w:val="SangriaFrancesaArticulo"/>
      </w:pPr>
      <w:bookmarkStart w:id="263" w:name="INDICE22806"/>
    </w:p>
    <w:bookmarkEnd w:id="263"/>
    <w:p w:rsidR="0057104C" w:rsidRDefault="0057104C" w:rsidP="0057104C">
      <w:pPr>
        <w:pStyle w:val="TextoIndiceNivel2"/>
        <w:suppressAutoHyphens/>
      </w:pPr>
      <w:r>
        <w:t>B) Disposiciones con fuerza de ley de las Comunidades Autónomas</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B.1) Andalucía</w:t>
      </w:r>
    </w:p>
    <w:p w:rsidR="0057104C" w:rsidRDefault="0057104C" w:rsidP="0057104C">
      <w:pPr>
        <w:pStyle w:val="TextoNormalNegritaCentrado"/>
      </w:pPr>
    </w:p>
    <w:p w:rsidR="0057104C" w:rsidRDefault="0057104C" w:rsidP="0057104C">
      <w:pPr>
        <w:pStyle w:val="TextoNormalNegritaCursivandice"/>
      </w:pPr>
      <w:r>
        <w:t>Decreto-ley de la Junta de Andalucía 3/2012, de 21 de septiembre. Medidas fiscales, administrativas, laborales y en materia de hacienda pública para el reequilibrio económico-financiero de la Junta de Andalucía</w:t>
      </w:r>
    </w:p>
    <w:p w:rsidR="0057104C" w:rsidRDefault="0057104C" w:rsidP="0057104C">
      <w:pPr>
        <w:pStyle w:val="SangriaFrancesaArticulo"/>
      </w:pPr>
      <w:r w:rsidRPr="0057104C">
        <w:rPr>
          <w:rStyle w:val="TextoNormalNegritaCaracter"/>
        </w:rPr>
        <w:t>artículo único.3.</w:t>
      </w:r>
      <w:r w:rsidRPr="0057104C">
        <w:rPr>
          <w:rStyle w:val="TextoNormalCaracter"/>
        </w:rPr>
        <w:t>-</w:t>
      </w:r>
      <w:r>
        <w:t xml:space="preserve"> Sentencia </w:t>
      </w:r>
      <w:hyperlink w:anchor="SENTENCIA_2016_46" w:history="1">
        <w:r w:rsidRPr="0057104C">
          <w:rPr>
            <w:rStyle w:val="TextoNormalCaracter"/>
          </w:rPr>
          <w:t>46/2016</w:t>
        </w:r>
      </w:hyperlink>
      <w:r>
        <w:t>.</w:t>
      </w:r>
    </w:p>
    <w:p w:rsidR="0057104C" w:rsidRDefault="0057104C" w:rsidP="0057104C">
      <w:pPr>
        <w:pStyle w:val="SangriaFrancesaArticulo"/>
      </w:pPr>
    </w:p>
    <w:p w:rsidR="0057104C" w:rsidRDefault="0057104C" w:rsidP="0057104C">
      <w:pPr>
        <w:pStyle w:val="TextoNormalNegritaCursivandice"/>
      </w:pPr>
      <w:r>
        <w:t>Decreto-ley de la Junta de Andalucía 5/2012, de 27 de noviembre. Medidas urgentes en materia urbanística y para la protección del litoral de Andalucía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27" w:history="1">
        <w:r w:rsidRPr="0057104C">
          <w:rPr>
            <w:rStyle w:val="TextoNormalCaracter"/>
          </w:rPr>
          <w:t>27/2016</w:t>
        </w:r>
      </w:hyperlink>
      <w:r>
        <w:t>.</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B.2) Aragón</w:t>
      </w:r>
    </w:p>
    <w:p w:rsidR="0057104C" w:rsidRDefault="0057104C" w:rsidP="0057104C">
      <w:pPr>
        <w:pStyle w:val="TextoNormalNegritaCentrado"/>
      </w:pPr>
    </w:p>
    <w:p w:rsidR="0057104C" w:rsidRDefault="0057104C" w:rsidP="0057104C">
      <w:pPr>
        <w:pStyle w:val="TextoNormalNegritaCursivandice"/>
      </w:pPr>
      <w:r>
        <w:t>Ley de las Cortes de Aragón 3/2013, de 9 de mayo, de uso, protección y promoción de las lenguas y modalidades lingüísticas propias de Aragón</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56" w:history="1">
        <w:r w:rsidRPr="0057104C">
          <w:rPr>
            <w:rStyle w:val="TextoNormalCaracter"/>
          </w:rPr>
          <w:t>56/2016</w:t>
        </w:r>
      </w:hyperlink>
      <w:r>
        <w:t>.</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56" w:history="1">
        <w:r w:rsidRPr="0057104C">
          <w:rPr>
            <w:rStyle w:val="TextoNormalCaracter"/>
          </w:rPr>
          <w:t>56/2016</w:t>
        </w:r>
      </w:hyperlink>
      <w:r>
        <w:t>.</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56" w:history="1">
        <w:r w:rsidRPr="0057104C">
          <w:rPr>
            <w:rStyle w:val="TextoNormalCaracter"/>
          </w:rPr>
          <w:t>56/2016</w:t>
        </w:r>
      </w:hyperlink>
      <w:r>
        <w:t>.</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56" w:history="1">
        <w:r w:rsidRPr="0057104C">
          <w:rPr>
            <w:rStyle w:val="TextoNormalCaracter"/>
          </w:rPr>
          <w:t>56/2016</w:t>
        </w:r>
      </w:hyperlink>
      <w:r>
        <w:t>.</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56" w:history="1">
        <w:r w:rsidRPr="0057104C">
          <w:rPr>
            <w:rStyle w:val="TextoNormalCaracter"/>
          </w:rPr>
          <w:t>56/2016</w:t>
        </w:r>
      </w:hyperlink>
      <w:r>
        <w:t>.</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56" w:history="1">
        <w:r w:rsidRPr="0057104C">
          <w:rPr>
            <w:rStyle w:val="TextoNormalCaracter"/>
          </w:rPr>
          <w:t>56/2016</w:t>
        </w:r>
      </w:hyperlink>
      <w:r>
        <w:t>.</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B.3) Baleares</w:t>
      </w:r>
    </w:p>
    <w:p w:rsidR="0057104C" w:rsidRDefault="0057104C" w:rsidP="0057104C">
      <w:pPr>
        <w:pStyle w:val="TextoNormalNegritaCentrado"/>
      </w:pPr>
    </w:p>
    <w:p w:rsidR="0057104C" w:rsidRDefault="0057104C" w:rsidP="0057104C">
      <w:pPr>
        <w:pStyle w:val="TextoNormalNegritaCursivandice"/>
      </w:pPr>
      <w:r>
        <w:t>Ley del Parlamento de las Illes Balears 8/2004, de 23 de diciembre. Medidas tributarias, administrativas y de función pública</w:t>
      </w:r>
    </w:p>
    <w:p w:rsidR="0057104C" w:rsidRDefault="0057104C" w:rsidP="0057104C">
      <w:pPr>
        <w:pStyle w:val="SangriaFrancesaArticulo"/>
      </w:pPr>
      <w:r w:rsidRPr="0057104C">
        <w:rPr>
          <w:rStyle w:val="TextoNormalNegritaCaracter"/>
        </w:rPr>
        <w:t>Disposición adicional decimonovena.</w:t>
      </w:r>
      <w:r w:rsidRPr="0057104C">
        <w:rPr>
          <w:rStyle w:val="TextoNormalCaracter"/>
        </w:rPr>
        <w:t>-</w:t>
      </w:r>
      <w:r>
        <w:t xml:space="preserve"> Sentencia </w:t>
      </w:r>
      <w:hyperlink w:anchor="SENTENCIA_2016_122" w:history="1">
        <w:r w:rsidRPr="0057104C">
          <w:rPr>
            <w:rStyle w:val="TextoNormalCaracter"/>
          </w:rPr>
          <w:t>122/2016</w:t>
        </w:r>
      </w:hyperlink>
      <w:r>
        <w:t xml:space="preserve"> (anula).</w:t>
      </w:r>
    </w:p>
    <w:p w:rsidR="0057104C" w:rsidRDefault="0057104C" w:rsidP="0057104C">
      <w:pPr>
        <w:pStyle w:val="SangriaFrancesaArticulo"/>
      </w:pPr>
    </w:p>
    <w:p w:rsidR="0057104C" w:rsidRDefault="0057104C" w:rsidP="0057104C">
      <w:pPr>
        <w:pStyle w:val="TextoNormalNegritaCursivandice"/>
      </w:pPr>
      <w:r>
        <w:t>Ley 15/2012 del Parlamento de las Illes Balears, de 27 de diciembre. Presupuestos Generales de la Comunidad Autónoma de las Illes Balears para el año 2013</w:t>
      </w:r>
    </w:p>
    <w:p w:rsidR="0057104C" w:rsidRDefault="0057104C" w:rsidP="0057104C">
      <w:pPr>
        <w:pStyle w:val="SangriaFrancesaArticulo"/>
      </w:pPr>
      <w:r w:rsidRPr="0057104C">
        <w:rPr>
          <w:rStyle w:val="TextoNormalNegritaCaracter"/>
        </w:rPr>
        <w:t>Disposición adicional decimoquinta.</w:t>
      </w:r>
      <w:r w:rsidRPr="0057104C">
        <w:rPr>
          <w:rStyle w:val="TextoNormalCaracter"/>
        </w:rPr>
        <w:t>-</w:t>
      </w:r>
      <w:r>
        <w:t xml:space="preserve"> Auto </w:t>
      </w:r>
      <w:hyperlink w:anchor="AUTO_2016_55" w:history="1">
        <w:r w:rsidRPr="0057104C">
          <w:rPr>
            <w:rStyle w:val="TextoNormalCaracter"/>
          </w:rPr>
          <w:t>55/2016</w:t>
        </w:r>
      </w:hyperlink>
      <w:r>
        <w:t>.</w:t>
      </w:r>
    </w:p>
    <w:p w:rsidR="0057104C" w:rsidRDefault="0057104C" w:rsidP="0057104C">
      <w:pPr>
        <w:pStyle w:val="SangriaFrancesaArticulo"/>
      </w:pPr>
    </w:p>
    <w:p w:rsidR="0057104C" w:rsidRDefault="0057104C" w:rsidP="0057104C">
      <w:pPr>
        <w:pStyle w:val="TextoNormalNegritaCursivandice"/>
      </w:pPr>
      <w:r>
        <w:t>Decreto-ley del Gobierno de las Illes Balears 5/2013, de 6 de septiembre. Medidas urgentes en relación con la implantación, para el curso 2013-2014, del sistema de tratamiento integrado de las lenguas en los centros docentes no universitarios de las Illes Balears</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38" w:history="1">
        <w:r w:rsidRPr="0057104C">
          <w:rPr>
            <w:rStyle w:val="TextoNormalCaracter"/>
          </w:rPr>
          <w:t>38/2016</w:t>
        </w:r>
      </w:hyperlink>
      <w:r>
        <w:t xml:space="preserve"> (anula).</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38" w:history="1">
        <w:r w:rsidRPr="0057104C">
          <w:rPr>
            <w:rStyle w:val="TextoNormalCaracter"/>
          </w:rPr>
          <w:t>38/2016</w:t>
        </w:r>
      </w:hyperlink>
      <w:r>
        <w:t xml:space="preserve"> (anula).</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38" w:history="1">
        <w:r w:rsidRPr="0057104C">
          <w:rPr>
            <w:rStyle w:val="TextoNormalCaracter"/>
          </w:rPr>
          <w:t>38/2016</w:t>
        </w:r>
      </w:hyperlink>
      <w:r>
        <w:t xml:space="preserve"> (anula).</w:t>
      </w:r>
    </w:p>
    <w:p w:rsidR="0057104C" w:rsidRDefault="0057104C" w:rsidP="0057104C">
      <w:pPr>
        <w:pStyle w:val="SangriaFrancesaArticulo"/>
      </w:pPr>
      <w:r w:rsidRPr="0057104C">
        <w:rPr>
          <w:rStyle w:val="TextoNormalNegritaCaracter"/>
        </w:rPr>
        <w:t>Disposición adicional única.</w:t>
      </w:r>
      <w:r w:rsidRPr="0057104C">
        <w:rPr>
          <w:rStyle w:val="TextoNormalCaracter"/>
        </w:rPr>
        <w:t>-</w:t>
      </w:r>
      <w:r>
        <w:t xml:space="preserve"> Sentencia </w:t>
      </w:r>
      <w:hyperlink w:anchor="SENTENCIA_2016_38" w:history="1">
        <w:r w:rsidRPr="0057104C">
          <w:rPr>
            <w:rStyle w:val="TextoNormalCaracter"/>
          </w:rPr>
          <w:t>38/2016</w:t>
        </w:r>
      </w:hyperlink>
      <w:r>
        <w:t xml:space="preserve"> (anula).</w:t>
      </w:r>
    </w:p>
    <w:p w:rsidR="0057104C" w:rsidRDefault="0057104C" w:rsidP="0057104C">
      <w:pPr>
        <w:pStyle w:val="SangriaFrancesaArticulo"/>
      </w:pPr>
      <w:r w:rsidRPr="0057104C">
        <w:rPr>
          <w:rStyle w:val="TextoNormalNegritaCaracter"/>
        </w:rPr>
        <w:t>Disposición derogatoria única, apartado que deroga el artículo 20.</w:t>
      </w:r>
      <w:r w:rsidRPr="0057104C">
        <w:rPr>
          <w:rStyle w:val="TextoNormalCaracter"/>
        </w:rPr>
        <w:t>-</w:t>
      </w:r>
      <w:r>
        <w:t xml:space="preserve"> Sentencia </w:t>
      </w:r>
      <w:hyperlink w:anchor="SENTENCIA_2016_38" w:history="1">
        <w:r w:rsidRPr="0057104C">
          <w:rPr>
            <w:rStyle w:val="TextoNormalCaracter"/>
          </w:rPr>
          <w:t>38/2016</w:t>
        </w:r>
      </w:hyperlink>
      <w:r>
        <w:t xml:space="preserve"> (anula).</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B.4) Canarias</w:t>
      </w:r>
    </w:p>
    <w:p w:rsidR="0057104C" w:rsidRDefault="0057104C" w:rsidP="0057104C">
      <w:pPr>
        <w:pStyle w:val="TextoNormalNegritaCentrado"/>
      </w:pPr>
    </w:p>
    <w:p w:rsidR="0057104C" w:rsidRDefault="0057104C" w:rsidP="0057104C">
      <w:pPr>
        <w:pStyle w:val="TextoNormalNegritaCursivandice"/>
      </w:pPr>
      <w:r>
        <w:t>Ley del Parlamento de Canarias 10/2012, de 29 de diciembre. Presupuestos generales de la Comunidad Autónoma de Canarias para 2013</w:t>
      </w:r>
    </w:p>
    <w:p w:rsidR="0057104C" w:rsidRDefault="0057104C" w:rsidP="0057104C">
      <w:pPr>
        <w:pStyle w:val="SangriaFrancesaArticulo"/>
      </w:pPr>
      <w:r w:rsidRPr="0057104C">
        <w:rPr>
          <w:rStyle w:val="TextoNormalNegritaCaracter"/>
        </w:rPr>
        <w:t>Disposición adicional quinquagésima séptima.</w:t>
      </w:r>
      <w:r w:rsidRPr="0057104C">
        <w:rPr>
          <w:rStyle w:val="TextoNormalCaracter"/>
        </w:rPr>
        <w:t>-</w:t>
      </w:r>
      <w:r>
        <w:t xml:space="preserve"> Sentencia </w:t>
      </w:r>
      <w:hyperlink w:anchor="SENTENCIA_2016_71" w:history="1">
        <w:r w:rsidRPr="0057104C">
          <w:rPr>
            <w:rStyle w:val="TextoNormalCaracter"/>
          </w:rPr>
          <w:t>71/2016</w:t>
        </w:r>
      </w:hyperlink>
      <w:r>
        <w:t xml:space="preserve"> (anula).</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B.5) Cantabria</w:t>
      </w:r>
    </w:p>
    <w:p w:rsidR="0057104C" w:rsidRDefault="0057104C" w:rsidP="0057104C">
      <w:pPr>
        <w:pStyle w:val="TextoNormalNegritaCentrado"/>
      </w:pPr>
    </w:p>
    <w:p w:rsidR="0057104C" w:rsidRDefault="0057104C" w:rsidP="0057104C">
      <w:pPr>
        <w:pStyle w:val="TextoNormalNegritaCursivandice"/>
      </w:pPr>
      <w:r>
        <w:t>Ley del Parlamento de Cantabria 2/2001, de 25 de junio. Ordenación territorial y régimen urbanístico del suelo de Cantabria</w:t>
      </w:r>
    </w:p>
    <w:p w:rsidR="0057104C" w:rsidRDefault="0057104C" w:rsidP="0057104C">
      <w:pPr>
        <w:pStyle w:val="SangriaFrancesaArticulo"/>
      </w:pPr>
      <w:r w:rsidRPr="0057104C">
        <w:rPr>
          <w:rStyle w:val="TextoNormalNegritaCaracter"/>
        </w:rPr>
        <w:t>Artículo 65 bis 1</w:t>
      </w:r>
      <w:r>
        <w:t xml:space="preserve"> (redactado por la Ley del Parlamento de Cantabria 4/2013, de 20 de junio)</w:t>
      </w:r>
      <w:r w:rsidRPr="0057104C">
        <w:rPr>
          <w:rStyle w:val="TextoNormalNegritaCaracter"/>
        </w:rPr>
        <w:t>.</w:t>
      </w:r>
      <w:r w:rsidRPr="0057104C">
        <w:rPr>
          <w:rStyle w:val="TextoNormalCaracter"/>
        </w:rPr>
        <w:t>-</w:t>
      </w:r>
      <w:r>
        <w:t xml:space="preserve"> Autos </w:t>
      </w:r>
      <w:hyperlink w:anchor="AUTO_2016_5" w:history="1">
        <w:r w:rsidRPr="0057104C">
          <w:rPr>
            <w:rStyle w:val="TextoNormalCaracter"/>
          </w:rPr>
          <w:t>5/2016</w:t>
        </w:r>
      </w:hyperlink>
      <w:r>
        <w:t xml:space="preserve">; </w:t>
      </w:r>
      <w:hyperlink w:anchor="AUTO_2016_74" w:history="1">
        <w:r w:rsidRPr="0057104C">
          <w:rPr>
            <w:rStyle w:val="TextoNormalCaracter"/>
          </w:rPr>
          <w:t>74/2016</w:t>
        </w:r>
      </w:hyperlink>
      <w:r>
        <w:t xml:space="preserve">; </w:t>
      </w:r>
      <w:hyperlink w:anchor="AUTO_2016_79" w:history="1">
        <w:r w:rsidRPr="0057104C">
          <w:rPr>
            <w:rStyle w:val="TextoNormalCaracter"/>
          </w:rPr>
          <w:t>79/2016</w:t>
        </w:r>
      </w:hyperlink>
      <w:r>
        <w:t>.</w:t>
      </w:r>
    </w:p>
    <w:p w:rsidR="0057104C" w:rsidRDefault="0057104C" w:rsidP="0057104C">
      <w:pPr>
        <w:pStyle w:val="SangriaFrancesaArticulo"/>
      </w:pPr>
      <w:r w:rsidRPr="0057104C">
        <w:rPr>
          <w:rStyle w:val="TextoNormalNegritaCaracter"/>
        </w:rPr>
        <w:t>Artículo 65 bis 1 expresión "órdenes de demolición judiciales"</w:t>
      </w:r>
      <w:r>
        <w:t xml:space="preserve"> (redactado por la Ley del Parlamento de Cantabria 4/2013, de 20 de junio)</w:t>
      </w:r>
      <w:r w:rsidRPr="0057104C">
        <w:rPr>
          <w:rStyle w:val="TextoNormalNegritaCaracter"/>
        </w:rPr>
        <w:t>.</w:t>
      </w:r>
      <w:r w:rsidRPr="0057104C">
        <w:rPr>
          <w:rStyle w:val="TextoNormalCaracter"/>
        </w:rPr>
        <w:t>-</w:t>
      </w:r>
      <w:r>
        <w:t xml:space="preserve"> Autos </w:t>
      </w:r>
      <w:hyperlink w:anchor="AUTO_2016_56" w:history="1">
        <w:r w:rsidRPr="0057104C">
          <w:rPr>
            <w:rStyle w:val="TextoNormalCaracter"/>
          </w:rPr>
          <w:t>56/2016</w:t>
        </w:r>
      </w:hyperlink>
      <w:r>
        <w:t xml:space="preserve">; </w:t>
      </w:r>
      <w:hyperlink w:anchor="AUTO_2016_57" w:history="1">
        <w:r w:rsidRPr="0057104C">
          <w:rPr>
            <w:rStyle w:val="TextoNormalCaracter"/>
          </w:rPr>
          <w:t>57/2016</w:t>
        </w:r>
      </w:hyperlink>
      <w:r>
        <w:t xml:space="preserve">; </w:t>
      </w:r>
      <w:hyperlink w:anchor="AUTO_2016_64" w:history="1">
        <w:r w:rsidRPr="0057104C">
          <w:rPr>
            <w:rStyle w:val="TextoNormalCaracter"/>
          </w:rPr>
          <w:t>64/2016</w:t>
        </w:r>
      </w:hyperlink>
      <w:r>
        <w:t xml:space="preserve">; </w:t>
      </w:r>
      <w:hyperlink w:anchor="AUTO_2016_65" w:history="1">
        <w:r w:rsidRPr="0057104C">
          <w:rPr>
            <w:rStyle w:val="TextoNormalCaracter"/>
          </w:rPr>
          <w:t>65/2016</w:t>
        </w:r>
      </w:hyperlink>
      <w:r>
        <w:t>.</w:t>
      </w:r>
    </w:p>
    <w:p w:rsidR="0057104C" w:rsidRDefault="0057104C" w:rsidP="0057104C">
      <w:pPr>
        <w:pStyle w:val="SangriaFrancesaArticulo"/>
      </w:pPr>
    </w:p>
    <w:p w:rsidR="0057104C" w:rsidRDefault="0057104C" w:rsidP="0057104C">
      <w:pPr>
        <w:pStyle w:val="TextoNormalNegritaCursivandice"/>
      </w:pPr>
      <w:r>
        <w:t>Ley del Parlamento de Cantabria 4/2013, de 20 de junio. Régimen jurídico de las autorizaciones provisionales de edificaciones o actuaciones preexistentes, así como de adopción de distintas medidas para la agilización de los instrumentos de planeamiento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Autos </w:t>
      </w:r>
      <w:hyperlink w:anchor="AUTO_2016_56" w:history="1">
        <w:r w:rsidRPr="0057104C">
          <w:rPr>
            <w:rStyle w:val="TextoNormalCaracter"/>
          </w:rPr>
          <w:t>56/2016</w:t>
        </w:r>
      </w:hyperlink>
      <w:r>
        <w:t xml:space="preserve">; </w:t>
      </w:r>
      <w:hyperlink w:anchor="AUTO_2016_57" w:history="1">
        <w:r w:rsidRPr="0057104C">
          <w:rPr>
            <w:rStyle w:val="TextoNormalCaracter"/>
          </w:rPr>
          <w:t>57/2016</w:t>
        </w:r>
      </w:hyperlink>
      <w:r>
        <w:t xml:space="preserve">; </w:t>
      </w:r>
      <w:hyperlink w:anchor="AUTO_2016_64" w:history="1">
        <w:r w:rsidRPr="0057104C">
          <w:rPr>
            <w:rStyle w:val="TextoNormalCaracter"/>
          </w:rPr>
          <w:t>64/2016</w:t>
        </w:r>
      </w:hyperlink>
      <w:r>
        <w:t xml:space="preserve">; </w:t>
      </w:r>
      <w:hyperlink w:anchor="AUTO_2016_65" w:history="1">
        <w:r w:rsidRPr="0057104C">
          <w:rPr>
            <w:rStyle w:val="TextoNormalCaracter"/>
          </w:rPr>
          <w:t>65/2016</w:t>
        </w:r>
      </w:hyperlink>
      <w:r>
        <w:t>.</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Autos </w:t>
      </w:r>
      <w:hyperlink w:anchor="AUTO_2016_5" w:history="1">
        <w:r w:rsidRPr="0057104C">
          <w:rPr>
            <w:rStyle w:val="TextoNormalCaracter"/>
          </w:rPr>
          <w:t>5/2016</w:t>
        </w:r>
      </w:hyperlink>
      <w:r>
        <w:t xml:space="preserve">; </w:t>
      </w:r>
      <w:hyperlink w:anchor="AUTO_2016_74" w:history="1">
        <w:r w:rsidRPr="0057104C">
          <w:rPr>
            <w:rStyle w:val="TextoNormalCaracter"/>
          </w:rPr>
          <w:t>74/2016</w:t>
        </w:r>
      </w:hyperlink>
      <w:r>
        <w:t xml:space="preserve">; </w:t>
      </w:r>
      <w:hyperlink w:anchor="AUTO_2016_79" w:history="1">
        <w:r w:rsidRPr="0057104C">
          <w:rPr>
            <w:rStyle w:val="TextoNormalCaracter"/>
          </w:rPr>
          <w:t>79/2016</w:t>
        </w:r>
      </w:hyperlink>
      <w:r>
        <w:t>.</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B.6) Castilla y León</w:t>
      </w:r>
    </w:p>
    <w:p w:rsidR="0057104C" w:rsidRDefault="0057104C" w:rsidP="0057104C">
      <w:pPr>
        <w:pStyle w:val="TextoNormalNegritaCentrado"/>
      </w:pPr>
    </w:p>
    <w:p w:rsidR="0057104C" w:rsidRDefault="0057104C" w:rsidP="0057104C">
      <w:pPr>
        <w:pStyle w:val="TextoNormalNegritaCursivandice"/>
      </w:pPr>
      <w:r>
        <w:t>Ley de las Cortes de Castilla y León 8/1997, de 8 de julio.  Normas reguladoras de colegios profesionales</w:t>
      </w:r>
    </w:p>
    <w:p w:rsidR="0057104C" w:rsidRDefault="0057104C" w:rsidP="0057104C">
      <w:pPr>
        <w:pStyle w:val="SangriaFrancesaArticulo"/>
      </w:pPr>
      <w:r w:rsidRPr="0057104C">
        <w:rPr>
          <w:rStyle w:val="TextoNormalNegritaCaracter"/>
        </w:rPr>
        <w:t>Artículo 16.2.</w:t>
      </w:r>
      <w:r w:rsidRPr="0057104C">
        <w:rPr>
          <w:rStyle w:val="TextoNormalCaracter"/>
        </w:rPr>
        <w:t>-</w:t>
      </w:r>
      <w:r>
        <w:t xml:space="preserve"> Auto </w:t>
      </w:r>
      <w:hyperlink w:anchor="AUTO_2016_73" w:history="1">
        <w:r w:rsidRPr="0057104C">
          <w:rPr>
            <w:rStyle w:val="TextoNormalCaracter"/>
          </w:rPr>
          <w:t>73/2016</w:t>
        </w:r>
      </w:hyperlink>
      <w:r>
        <w:t>.</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B.7) Cataluña</w:t>
      </w:r>
    </w:p>
    <w:p w:rsidR="0057104C" w:rsidRDefault="0057104C" w:rsidP="0057104C">
      <w:pPr>
        <w:pStyle w:val="TextoNormalNegritaCentrado"/>
      </w:pPr>
    </w:p>
    <w:p w:rsidR="0057104C" w:rsidRDefault="0057104C" w:rsidP="0057104C">
      <w:pPr>
        <w:pStyle w:val="TextoNormalNegritaCursivandice"/>
      </w:pPr>
      <w:r>
        <w:t>Ley del Parlamento de Cataluña 7/2003, de 25 de abril. Protección de la Salud</w:t>
      </w:r>
    </w:p>
    <w:p w:rsidR="0057104C" w:rsidRDefault="0057104C" w:rsidP="0057104C">
      <w:pPr>
        <w:pStyle w:val="SangriaFrancesaArticulo"/>
      </w:pPr>
      <w:r w:rsidRPr="0057104C">
        <w:rPr>
          <w:rStyle w:val="TextoNormalNegritaCaracter"/>
        </w:rPr>
        <w:t>Disposición transitoria novena, apartado 2 b)</w:t>
      </w:r>
      <w:r>
        <w:t xml:space="preserve"> (redactada por la Ley 8/2007, de 30 de julio)</w:t>
      </w:r>
      <w:r w:rsidRPr="0057104C">
        <w:rPr>
          <w:rStyle w:val="TextoNormalNegritaCaracter"/>
        </w:rPr>
        <w:t>.</w:t>
      </w:r>
      <w:r w:rsidRPr="0057104C">
        <w:rPr>
          <w:rStyle w:val="TextoNormalCaracter"/>
        </w:rPr>
        <w:t>-</w:t>
      </w:r>
      <w:r>
        <w:t xml:space="preserve"> Sentencia </w:t>
      </w:r>
      <w:hyperlink w:anchor="SENTENCIA_2016_86" w:history="1">
        <w:r w:rsidRPr="0057104C">
          <w:rPr>
            <w:rStyle w:val="TextoNormalCaracter"/>
          </w:rPr>
          <w:t>86/2016</w:t>
        </w:r>
      </w:hyperlink>
      <w:r>
        <w:t xml:space="preserve"> (anula).</w:t>
      </w:r>
    </w:p>
    <w:p w:rsidR="0057104C" w:rsidRDefault="0057104C" w:rsidP="0057104C">
      <w:pPr>
        <w:pStyle w:val="SangriaFrancesaArticulo"/>
      </w:pPr>
      <w:r w:rsidRPr="0057104C">
        <w:rPr>
          <w:rStyle w:val="TextoNormalNegritaCaracter"/>
        </w:rPr>
        <w:t>Disposición transitoria novena, apartado 3</w:t>
      </w:r>
      <w:r>
        <w:t xml:space="preserve"> (redactada por la Ley 8/2007, de 30 de julio)</w:t>
      </w:r>
      <w:r w:rsidRPr="0057104C">
        <w:rPr>
          <w:rStyle w:val="TextoNormalNegritaCaracter"/>
        </w:rPr>
        <w:t>.</w:t>
      </w:r>
      <w:r w:rsidRPr="0057104C">
        <w:rPr>
          <w:rStyle w:val="TextoNormalCaracter"/>
        </w:rPr>
        <w:t>-</w:t>
      </w:r>
      <w:r>
        <w:t xml:space="preserve"> Sentencia </w:t>
      </w:r>
      <w:hyperlink w:anchor="SENTENCIA_2016_86" w:history="1">
        <w:r w:rsidRPr="0057104C">
          <w:rPr>
            <w:rStyle w:val="TextoNormalCaracter"/>
          </w:rPr>
          <w:t>86/2016</w:t>
        </w:r>
      </w:hyperlink>
      <w:r>
        <w:t xml:space="preserve"> (anula).</w:t>
      </w:r>
    </w:p>
    <w:p w:rsidR="0057104C" w:rsidRDefault="0057104C" w:rsidP="0057104C">
      <w:pPr>
        <w:pStyle w:val="SangriaFrancesaArticulo"/>
      </w:pPr>
    </w:p>
    <w:p w:rsidR="0057104C" w:rsidRDefault="0057104C" w:rsidP="0057104C">
      <w:pPr>
        <w:pStyle w:val="TextoNormalNegritaCursivandice"/>
      </w:pPr>
      <w:r>
        <w:t>Ley del Parlamento de Cataluña 8/2007, de 30 de julio. Instituto Catalán de la Salud</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86" w:history="1">
        <w:r w:rsidRPr="0057104C">
          <w:rPr>
            <w:rStyle w:val="TextoNormalCaracter"/>
          </w:rPr>
          <w:t>86/2016</w:t>
        </w:r>
      </w:hyperlink>
      <w:r>
        <w:t xml:space="preserve"> (anula).</w:t>
      </w:r>
    </w:p>
    <w:p w:rsidR="0057104C" w:rsidRDefault="0057104C" w:rsidP="0057104C">
      <w:pPr>
        <w:pStyle w:val="SangriaFrancesaArticulo"/>
      </w:pPr>
    </w:p>
    <w:p w:rsidR="0057104C" w:rsidRDefault="0057104C" w:rsidP="0057104C">
      <w:pPr>
        <w:pStyle w:val="TextoNormalNegritaCursivandice"/>
      </w:pPr>
      <w:r>
        <w:t>Ley del Parlamento de Cataluña 22/2010, de 20 de julio. Código de consumo de Cataluña</w:t>
      </w:r>
    </w:p>
    <w:p w:rsidR="0057104C" w:rsidRDefault="0057104C" w:rsidP="0057104C">
      <w:pPr>
        <w:pStyle w:val="SangriaFrancesaArticulo"/>
      </w:pPr>
      <w:r w:rsidRPr="0057104C">
        <w:rPr>
          <w:rStyle w:val="TextoNormalNegritaCaracter"/>
        </w:rPr>
        <w:t>Artículo 111.2 v)</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111.2 w)</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132.4 apartado 3</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251.6 apartado 4</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252.4.6 párrafo 2</w:t>
      </w:r>
      <w:r>
        <w:t xml:space="preserve"> (redactado por el Decreto-ley de la Generalidad de Cataluña 6/2013, de 23 de diciembre)</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xml:space="preserve"> (declara inconstitucional).</w:t>
      </w:r>
    </w:p>
    <w:p w:rsidR="0057104C" w:rsidRDefault="0057104C" w:rsidP="0057104C">
      <w:pPr>
        <w:pStyle w:val="SangriaFrancesaArticulo"/>
      </w:pPr>
      <w:r w:rsidRPr="0057104C">
        <w:rPr>
          <w:rStyle w:val="TextoNormalNegritaCaracter"/>
        </w:rPr>
        <w:t>Artículo 252.4.7</w:t>
      </w:r>
      <w:r>
        <w:t xml:space="preserve"> (redactado por el Decreto-ley de la Generalidad de Cataluña 6/2013, de 23 de diciembre)</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xml:space="preserve"> (declara inconstitucional).</w:t>
      </w:r>
    </w:p>
    <w:p w:rsidR="0057104C" w:rsidRDefault="0057104C" w:rsidP="0057104C">
      <w:pPr>
        <w:pStyle w:val="SangriaFrancesaArticulo"/>
      </w:pPr>
      <w:r w:rsidRPr="0057104C">
        <w:rPr>
          <w:rStyle w:val="TextoNormalNegritaCaracter"/>
        </w:rPr>
        <w:t>Artículo 252.4.7</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252.4.8</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252.5.6</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262.6.2</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262.8 apartado 3</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262.9</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263.2.4</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p>
    <w:p w:rsidR="0057104C" w:rsidRDefault="0057104C" w:rsidP="0057104C">
      <w:pPr>
        <w:pStyle w:val="TextoNormalNegritaCursivandice"/>
      </w:pPr>
      <w:r>
        <w:t>Decreto Legislativo de la Generalidad de Cataluña 1/2010, de 3 de agosto. Texto refundido de la Ley de urbanismo de Cataluña 2010</w:t>
      </w:r>
    </w:p>
    <w:p w:rsidR="0057104C" w:rsidRDefault="0057104C" w:rsidP="0057104C">
      <w:pPr>
        <w:pStyle w:val="SangriaFrancesaArticulo"/>
      </w:pPr>
      <w:r w:rsidRPr="0057104C">
        <w:rPr>
          <w:rStyle w:val="TextoNormalNegritaCaracter"/>
        </w:rPr>
        <w:t>Artículo 47.10</w:t>
      </w:r>
      <w:r>
        <w:t xml:space="preserve"> (redactado por la Ley del Parlamento de Cataluña 2/2014, de 27 de enero)</w:t>
      </w:r>
      <w:r w:rsidRPr="0057104C">
        <w:rPr>
          <w:rStyle w:val="TextoNormalNegritaCaracter"/>
        </w:rPr>
        <w:t>.</w:t>
      </w:r>
      <w:r w:rsidRPr="0057104C">
        <w:rPr>
          <w:rStyle w:val="TextoNormalCaracter"/>
        </w:rPr>
        <w:t>-</w:t>
      </w:r>
      <w:r>
        <w:t xml:space="preserve"> Sentencia </w:t>
      </w:r>
      <w:hyperlink w:anchor="SENTENCIA_2016_73" w:history="1">
        <w:r w:rsidRPr="0057104C">
          <w:rPr>
            <w:rStyle w:val="TextoNormalCaracter"/>
          </w:rPr>
          <w:t>73/2016</w:t>
        </w:r>
      </w:hyperlink>
      <w:r>
        <w:t xml:space="preserve"> (anula).</w:t>
      </w:r>
    </w:p>
    <w:p w:rsidR="0057104C" w:rsidRDefault="0057104C" w:rsidP="0057104C">
      <w:pPr>
        <w:pStyle w:val="SangriaFrancesaArticulo"/>
      </w:pPr>
    </w:p>
    <w:p w:rsidR="0057104C" w:rsidRDefault="0057104C" w:rsidP="0057104C">
      <w:pPr>
        <w:pStyle w:val="TextoNormalNegritaCursivandice"/>
      </w:pPr>
      <w:r>
        <w:t>Ley del Parlamento de Cataluña 3/2012, de 22 de febrero. Modifica el texto refundido de la Ley de urbanismo, aprobado por el Decreto Legislativo 1/2010, de 3 de agosto</w:t>
      </w:r>
    </w:p>
    <w:p w:rsidR="0057104C" w:rsidRDefault="0057104C" w:rsidP="0057104C">
      <w:pPr>
        <w:pStyle w:val="SangriaFrancesaArticulo"/>
      </w:pPr>
      <w:r w:rsidRPr="0057104C">
        <w:rPr>
          <w:rStyle w:val="TextoNormalNegritaCaracter"/>
        </w:rPr>
        <w:t>Artículo 59.</w:t>
      </w:r>
      <w:r w:rsidRPr="0057104C">
        <w:rPr>
          <w:rStyle w:val="TextoNormalCaracter"/>
        </w:rPr>
        <w:t>-</w:t>
      </w:r>
      <w:r>
        <w:t xml:space="preserve"> Sentencia </w:t>
      </w:r>
      <w:hyperlink w:anchor="SENTENCIA_2016_17" w:history="1">
        <w:r w:rsidRPr="0057104C">
          <w:rPr>
            <w:rStyle w:val="TextoNormalCaracter"/>
          </w:rPr>
          <w:t>17/2016</w:t>
        </w:r>
      </w:hyperlink>
      <w:r>
        <w:t xml:space="preserve"> (interpreta).</w:t>
      </w:r>
    </w:p>
    <w:p w:rsidR="0057104C" w:rsidRDefault="0057104C" w:rsidP="0057104C">
      <w:pPr>
        <w:pStyle w:val="SangriaFrancesaArticulo"/>
      </w:pPr>
      <w:r w:rsidRPr="0057104C">
        <w:rPr>
          <w:rStyle w:val="TextoNormalNegritaCaracter"/>
        </w:rPr>
        <w:t>Artículo 64.4.</w:t>
      </w:r>
      <w:r w:rsidRPr="0057104C">
        <w:rPr>
          <w:rStyle w:val="TextoNormalCaracter"/>
        </w:rPr>
        <w:t>-</w:t>
      </w:r>
      <w:r>
        <w:t xml:space="preserve"> Sentencia </w:t>
      </w:r>
      <w:hyperlink w:anchor="SENTENCIA_2016_17" w:history="1">
        <w:r w:rsidRPr="0057104C">
          <w:rPr>
            <w:rStyle w:val="TextoNormalCaracter"/>
          </w:rPr>
          <w:t>17/2016</w:t>
        </w:r>
      </w:hyperlink>
      <w:r>
        <w:t>.</w:t>
      </w:r>
    </w:p>
    <w:p w:rsidR="0057104C" w:rsidRDefault="0057104C" w:rsidP="0057104C">
      <w:pPr>
        <w:pStyle w:val="SangriaFrancesaArticulo"/>
      </w:pPr>
      <w:r w:rsidRPr="0057104C">
        <w:rPr>
          <w:rStyle w:val="TextoNormalNegritaCaracter"/>
        </w:rPr>
        <w:t>Disposición adicional sexta, apartado 7.</w:t>
      </w:r>
      <w:r w:rsidRPr="0057104C">
        <w:rPr>
          <w:rStyle w:val="TextoNormalCaracter"/>
        </w:rPr>
        <w:t>-</w:t>
      </w:r>
      <w:r>
        <w:t xml:space="preserve"> Sentencia </w:t>
      </w:r>
      <w:hyperlink w:anchor="SENTENCIA_2016_17" w:history="1">
        <w:r w:rsidRPr="0057104C">
          <w:rPr>
            <w:rStyle w:val="TextoNormalCaracter"/>
          </w:rPr>
          <w:t>17/2016</w:t>
        </w:r>
      </w:hyperlink>
      <w:r>
        <w:t>.</w:t>
      </w:r>
    </w:p>
    <w:p w:rsidR="0057104C" w:rsidRDefault="0057104C" w:rsidP="0057104C">
      <w:pPr>
        <w:pStyle w:val="SangriaFrancesaArticulo"/>
      </w:pPr>
    </w:p>
    <w:p w:rsidR="0057104C" w:rsidRDefault="0057104C" w:rsidP="0057104C">
      <w:pPr>
        <w:pStyle w:val="TextoNormalNegritaCursivandice"/>
      </w:pPr>
      <w:r>
        <w:t>Decreto-ley de la Generalitat de Cataluña 6/2013, de 23 de diciembre. Modifica la Ley 22/2010, de 20 de julio, del Código de consumo de Cataluña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2" w:history="1">
        <w:r w:rsidRPr="0057104C">
          <w:rPr>
            <w:rStyle w:val="TextoNormalCaracter"/>
          </w:rPr>
          <w:t>62/2016</w:t>
        </w:r>
      </w:hyperlink>
      <w:r>
        <w:t>.</w:t>
      </w:r>
    </w:p>
    <w:p w:rsidR="0057104C" w:rsidRDefault="0057104C" w:rsidP="0057104C">
      <w:pPr>
        <w:pStyle w:val="SangriaFrancesaArticulo"/>
      </w:pPr>
    </w:p>
    <w:p w:rsidR="0057104C" w:rsidRDefault="0057104C" w:rsidP="0057104C">
      <w:pPr>
        <w:pStyle w:val="TextoNormalNegritaCursivandice"/>
      </w:pPr>
      <w:r>
        <w:t>Ley del Parlamento de Cataluña 2/2014, de 27 de enero. Medidas fiscales, administrativas, financieras y del sector público</w:t>
      </w:r>
    </w:p>
    <w:p w:rsidR="0057104C" w:rsidRDefault="0057104C" w:rsidP="0057104C">
      <w:pPr>
        <w:pStyle w:val="SangriaFrancesaArticulo"/>
      </w:pPr>
      <w:r w:rsidRPr="0057104C">
        <w:rPr>
          <w:rStyle w:val="TextoNormalNegritaCaracter"/>
        </w:rPr>
        <w:t>Artículo 167.1.</w:t>
      </w:r>
      <w:r w:rsidRPr="0057104C">
        <w:rPr>
          <w:rStyle w:val="TextoNormalCaracter"/>
        </w:rPr>
        <w:t>-</w:t>
      </w:r>
      <w:r>
        <w:t xml:space="preserve"> Sentencia </w:t>
      </w:r>
      <w:hyperlink w:anchor="SENTENCIA_2016_73" w:history="1">
        <w:r w:rsidRPr="0057104C">
          <w:rPr>
            <w:rStyle w:val="TextoNormalCaracter"/>
          </w:rPr>
          <w:t>73/2016</w:t>
        </w:r>
      </w:hyperlink>
      <w:r>
        <w:t xml:space="preserve"> (anula).</w:t>
      </w:r>
    </w:p>
    <w:p w:rsidR="0057104C" w:rsidRDefault="0057104C" w:rsidP="0057104C">
      <w:pPr>
        <w:pStyle w:val="SangriaFrancesaArticulo"/>
      </w:pPr>
      <w:r w:rsidRPr="0057104C">
        <w:rPr>
          <w:rStyle w:val="TextoNormalNegritaCaracter"/>
        </w:rPr>
        <w:t>Disposición transitoria quinta.</w:t>
      </w:r>
      <w:r w:rsidRPr="0057104C">
        <w:rPr>
          <w:rStyle w:val="TextoNormalCaracter"/>
        </w:rPr>
        <w:t>-</w:t>
      </w:r>
      <w:r>
        <w:t xml:space="preserve"> Sentencia </w:t>
      </w:r>
      <w:hyperlink w:anchor="SENTENCIA_2016_73" w:history="1">
        <w:r w:rsidRPr="0057104C">
          <w:rPr>
            <w:rStyle w:val="TextoNormalCaracter"/>
          </w:rPr>
          <w:t>73/2016</w:t>
        </w:r>
      </w:hyperlink>
      <w:r>
        <w:t>.</w:t>
      </w:r>
    </w:p>
    <w:p w:rsidR="0057104C" w:rsidRDefault="0057104C" w:rsidP="0057104C">
      <w:pPr>
        <w:pStyle w:val="SangriaFrancesaArticulo"/>
      </w:pPr>
      <w:r w:rsidRPr="0057104C">
        <w:rPr>
          <w:rStyle w:val="TextoNormalNegritaCaracter"/>
        </w:rPr>
        <w:t>Disposición transitoria octava.</w:t>
      </w:r>
      <w:r w:rsidRPr="0057104C">
        <w:rPr>
          <w:rStyle w:val="TextoNormalCaracter"/>
        </w:rPr>
        <w:t>-</w:t>
      </w:r>
      <w:r>
        <w:t xml:space="preserve"> Sentencia </w:t>
      </w:r>
      <w:hyperlink w:anchor="SENTENCIA_2016_73" w:history="1">
        <w:r w:rsidRPr="0057104C">
          <w:rPr>
            <w:rStyle w:val="TextoNormalCaracter"/>
          </w:rPr>
          <w:t>73/2016</w:t>
        </w:r>
      </w:hyperlink>
      <w:r>
        <w:t xml:space="preserve"> (anula).</w:t>
      </w:r>
    </w:p>
    <w:p w:rsidR="0057104C" w:rsidRDefault="0057104C" w:rsidP="0057104C">
      <w:pPr>
        <w:pStyle w:val="SangriaFrancesaArticulo"/>
      </w:pPr>
    </w:p>
    <w:p w:rsidR="0057104C" w:rsidRDefault="0057104C" w:rsidP="0057104C">
      <w:pPr>
        <w:pStyle w:val="TextoNormalNegritaCursivandice"/>
      </w:pPr>
      <w:r>
        <w:t>Ley del Parlamento de Cataluña 12/2014, de 10 de octubre.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0057104C" w:rsidRDefault="0057104C" w:rsidP="0057104C">
      <w:pPr>
        <w:pStyle w:val="SangriaFrancesaArticulo"/>
      </w:pPr>
      <w:r w:rsidRPr="0057104C">
        <w:rPr>
          <w:rStyle w:val="TextoNormalNegritaCaracter"/>
        </w:rPr>
        <w:t>Artículo 1.1 c).</w:t>
      </w:r>
      <w:r w:rsidRPr="0057104C">
        <w:rPr>
          <w:rStyle w:val="TextoNormalCaracter"/>
        </w:rPr>
        <w:t>-</w:t>
      </w:r>
      <w:r>
        <w:t xml:space="preserve"> Sentencia </w:t>
      </w:r>
      <w:hyperlink w:anchor="SENTENCIA_2016_74" w:history="1">
        <w:r w:rsidRPr="0057104C">
          <w:rPr>
            <w:rStyle w:val="TextoNormalCaracter"/>
          </w:rPr>
          <w:t>74/2016</w:t>
        </w:r>
      </w:hyperlink>
      <w:r>
        <w:t xml:space="preserve"> (anula).</w:t>
      </w:r>
    </w:p>
    <w:p w:rsidR="0057104C" w:rsidRDefault="0057104C" w:rsidP="0057104C">
      <w:pPr>
        <w:pStyle w:val="SangriaFrancesaArticulo"/>
      </w:pPr>
      <w:r w:rsidRPr="0057104C">
        <w:rPr>
          <w:rStyle w:val="TextoNormalNegritaCaracter"/>
        </w:rPr>
        <w:t>Artículos 21 a 30.</w:t>
      </w:r>
      <w:r w:rsidRPr="0057104C">
        <w:rPr>
          <w:rStyle w:val="TextoNormalCaracter"/>
        </w:rPr>
        <w:t>-</w:t>
      </w:r>
      <w:r>
        <w:t xml:space="preserve"> Sentencia </w:t>
      </w:r>
      <w:hyperlink w:anchor="SENTENCIA_2016_74" w:history="1">
        <w:r w:rsidRPr="0057104C">
          <w:rPr>
            <w:rStyle w:val="TextoNormalCaracter"/>
          </w:rPr>
          <w:t>74/2016</w:t>
        </w:r>
      </w:hyperlink>
      <w:r>
        <w:t xml:space="preserve"> (anula).</w:t>
      </w:r>
    </w:p>
    <w:p w:rsidR="0057104C" w:rsidRDefault="0057104C" w:rsidP="0057104C">
      <w:pPr>
        <w:pStyle w:val="SangriaFrancesaArticulo"/>
      </w:pPr>
    </w:p>
    <w:p w:rsidR="0057104C" w:rsidRDefault="0057104C" w:rsidP="0057104C">
      <w:pPr>
        <w:pStyle w:val="TextoNormalNegritaCursivandice"/>
      </w:pPr>
      <w:r>
        <w:t>Decreto-ley de la Generalitat de Cataluña 7/2014, de 23 de diciembre. Deroga la letra b) del apartado 3 y el segundo párrafo del apartado 4 del artículo 9 del Decreto ley 1/2009, de 22 de diciembre, de ordenación de los equipamientos comerciales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41" w:history="1">
        <w:r w:rsidRPr="0057104C">
          <w:rPr>
            <w:rStyle w:val="TextoNormalCaracter"/>
          </w:rPr>
          <w:t>41/2016</w:t>
        </w:r>
      </w:hyperlink>
      <w:r>
        <w:t>.</w:t>
      </w:r>
    </w:p>
    <w:p w:rsidR="0057104C" w:rsidRDefault="0057104C" w:rsidP="0057104C">
      <w:pPr>
        <w:pStyle w:val="SangriaFrancesaArticulo"/>
      </w:pPr>
    </w:p>
    <w:p w:rsidR="0057104C" w:rsidRDefault="0057104C" w:rsidP="0057104C">
      <w:pPr>
        <w:pStyle w:val="TextoNormalNegritaCursivandice"/>
      </w:pPr>
      <w:r>
        <w:t>Ley del Parlamento de Cataluña 20/2014, de 29 de diciembre. Modifica la Ley 22/2010, de 20 de julio, del Código de consumo de Cataluña, para la mejora de la protección de las personas consumidoras en materia de créditos y préstamos hipotecarios, vulnerabilidad económica y relaciones de consumo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18.2.</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Auto </w:t>
      </w:r>
      <w:hyperlink w:anchor="AUTO_2016_72" w:history="1">
        <w:r w:rsidRPr="0057104C">
          <w:rPr>
            <w:rStyle w:val="TextoNormalCaracter"/>
          </w:rPr>
          <w:t>72/2016</w:t>
        </w:r>
      </w:hyperlink>
      <w:r>
        <w:t>.</w:t>
      </w:r>
    </w:p>
    <w:p w:rsidR="0057104C" w:rsidRDefault="0057104C" w:rsidP="0057104C">
      <w:pPr>
        <w:pStyle w:val="SangriaFrancesaArticulo"/>
      </w:pPr>
    </w:p>
    <w:p w:rsidR="0057104C" w:rsidRDefault="0057104C" w:rsidP="0057104C">
      <w:pPr>
        <w:pStyle w:val="TextoNormalNegritaCursivandice"/>
      </w:pPr>
      <w:r>
        <w:t>Ley del Parlamento de Cataluña 2/2015, de 11 de marzo. Presupuestos de la Generalidad de Cataluña para 2015</w:t>
      </w:r>
    </w:p>
    <w:p w:rsidR="0057104C" w:rsidRDefault="0057104C" w:rsidP="0057104C">
      <w:pPr>
        <w:pStyle w:val="SangriaFrancesaArticulo"/>
      </w:pPr>
      <w:r w:rsidRPr="0057104C">
        <w:rPr>
          <w:rStyle w:val="TextoNormalNegritaCaracter"/>
        </w:rPr>
        <w:t>Artículo 34, último inciso.</w:t>
      </w:r>
      <w:r w:rsidRPr="0057104C">
        <w:rPr>
          <w:rStyle w:val="TextoNormalCaracter"/>
        </w:rPr>
        <w:t>-</w:t>
      </w:r>
      <w:r>
        <w:t xml:space="preserve"> Sentencia </w:t>
      </w:r>
      <w:hyperlink w:anchor="SENTENCIA_2016_88" w:history="1">
        <w:r w:rsidRPr="0057104C">
          <w:rPr>
            <w:rStyle w:val="TextoNormalCaracter"/>
          </w:rPr>
          <w:t>88/2016</w:t>
        </w:r>
      </w:hyperlink>
      <w:r>
        <w:t xml:space="preserve"> (anula).</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B.8) Galicia</w:t>
      </w:r>
    </w:p>
    <w:p w:rsidR="0057104C" w:rsidRDefault="0057104C" w:rsidP="0057104C">
      <w:pPr>
        <w:pStyle w:val="TextoNormalNegritaCentrado"/>
      </w:pPr>
    </w:p>
    <w:p w:rsidR="0057104C" w:rsidRDefault="0057104C" w:rsidP="0057104C">
      <w:pPr>
        <w:pStyle w:val="TextoNormalNegritaCursivandice"/>
      </w:pPr>
      <w:r>
        <w:t>Ley del Parlamento de Galicia 5/1997, de 22 de julio. Administración local</w:t>
      </w:r>
    </w:p>
    <w:p w:rsidR="0057104C" w:rsidRDefault="0057104C" w:rsidP="0057104C">
      <w:pPr>
        <w:pStyle w:val="SangriaFrancesaArticulo"/>
      </w:pPr>
      <w:r w:rsidRPr="0057104C">
        <w:rPr>
          <w:rStyle w:val="TextoNormalNegritaCaracter"/>
        </w:rPr>
        <w:t>Artículo 32.1.</w:t>
      </w:r>
      <w:r w:rsidRPr="0057104C">
        <w:rPr>
          <w:rStyle w:val="TextoNormalCaracter"/>
        </w:rPr>
        <w:t>-</w:t>
      </w:r>
      <w:r>
        <w:t xml:space="preserve"> Sentencias </w:t>
      </w:r>
      <w:hyperlink w:anchor="SENTENCIA_2016_102" w:history="1">
        <w:r w:rsidRPr="0057104C">
          <w:rPr>
            <w:rStyle w:val="TextoNormalCaracter"/>
          </w:rPr>
          <w:t>102/2016</w:t>
        </w:r>
      </w:hyperlink>
      <w:r>
        <w:t xml:space="preserve">; </w:t>
      </w:r>
      <w:hyperlink w:anchor="SENTENCIA_2016_116" w:history="1">
        <w:r w:rsidRPr="0057104C">
          <w:rPr>
            <w:rStyle w:val="TextoNormalCaracter"/>
          </w:rPr>
          <w:t>116/2016</w:t>
        </w:r>
      </w:hyperlink>
      <w:r>
        <w:t>.</w:t>
      </w:r>
    </w:p>
    <w:p w:rsidR="0057104C" w:rsidRDefault="0057104C" w:rsidP="0057104C">
      <w:pPr>
        <w:pStyle w:val="SangriaFrancesaArticulo"/>
      </w:pPr>
    </w:p>
    <w:p w:rsidR="0057104C" w:rsidRDefault="0057104C" w:rsidP="0057104C">
      <w:pPr>
        <w:pStyle w:val="TextoNormalNegritaCursivandice"/>
      </w:pPr>
      <w:r>
        <w:t>Ley del Parlamento de Galicia 9/2002, de 30 de diciembre. Ordenación urbanística y protección del medio rural de Galicia</w:t>
      </w:r>
    </w:p>
    <w:p w:rsidR="0057104C" w:rsidRDefault="0057104C" w:rsidP="0057104C">
      <w:pPr>
        <w:pStyle w:val="SangriaFrancesaArticulo"/>
      </w:pPr>
      <w:r w:rsidRPr="0057104C">
        <w:rPr>
          <w:rStyle w:val="TextoNormalNegritaCaracter"/>
        </w:rPr>
        <w:t>Artículo 96.</w:t>
      </w:r>
      <w:r w:rsidRPr="0057104C">
        <w:rPr>
          <w:rStyle w:val="TextoNormalCaracter"/>
        </w:rPr>
        <w:t>-</w:t>
      </w:r>
      <w:r>
        <w:t xml:space="preserve"> Autos </w:t>
      </w:r>
      <w:hyperlink w:anchor="AUTO_2016_23" w:history="1">
        <w:r w:rsidRPr="0057104C">
          <w:rPr>
            <w:rStyle w:val="TextoNormalCaracter"/>
          </w:rPr>
          <w:t>23/2016</w:t>
        </w:r>
      </w:hyperlink>
      <w:r>
        <w:t xml:space="preserve">; </w:t>
      </w:r>
      <w:hyperlink w:anchor="AUTO_2016_76" w:history="1">
        <w:r w:rsidRPr="0057104C">
          <w:rPr>
            <w:rStyle w:val="TextoNormalCaracter"/>
          </w:rPr>
          <w:t>76/2016</w:t>
        </w:r>
      </w:hyperlink>
      <w:r>
        <w:t xml:space="preserve">; </w:t>
      </w:r>
      <w:hyperlink w:anchor="AUTO_2016_77" w:history="1">
        <w:r w:rsidRPr="0057104C">
          <w:rPr>
            <w:rStyle w:val="TextoNormalCaracter"/>
          </w:rPr>
          <w:t>77/2016</w:t>
        </w:r>
      </w:hyperlink>
      <w:r>
        <w:t xml:space="preserve">; </w:t>
      </w:r>
      <w:hyperlink w:anchor="AUTO_2016_78" w:history="1">
        <w:r w:rsidRPr="0057104C">
          <w:rPr>
            <w:rStyle w:val="TextoNormalCaracter"/>
          </w:rPr>
          <w:t>78/2016</w:t>
        </w:r>
      </w:hyperlink>
      <w:r>
        <w:t xml:space="preserve">; </w:t>
      </w:r>
      <w:hyperlink w:anchor="AUTO_2016_85" w:history="1">
        <w:r w:rsidRPr="0057104C">
          <w:rPr>
            <w:rStyle w:val="TextoNormalCaracter"/>
          </w:rPr>
          <w:t>85/2016</w:t>
        </w:r>
      </w:hyperlink>
      <w:r>
        <w:t xml:space="preserve">; </w:t>
      </w:r>
      <w:hyperlink w:anchor="AUTO_2016_86" w:history="1">
        <w:r w:rsidRPr="0057104C">
          <w:rPr>
            <w:rStyle w:val="TextoNormalCaracter"/>
          </w:rPr>
          <w:t>86/2016</w:t>
        </w:r>
      </w:hyperlink>
      <w:r>
        <w:t xml:space="preserve">; </w:t>
      </w:r>
      <w:hyperlink w:anchor="AUTO_2016_87" w:history="1">
        <w:r w:rsidRPr="0057104C">
          <w:rPr>
            <w:rStyle w:val="TextoNormalCaracter"/>
          </w:rPr>
          <w:t>87/2016</w:t>
        </w:r>
      </w:hyperlink>
      <w:r>
        <w:t xml:space="preserve">; </w:t>
      </w:r>
      <w:hyperlink w:anchor="AUTO_2016_88" w:history="1">
        <w:r w:rsidRPr="0057104C">
          <w:rPr>
            <w:rStyle w:val="TextoNormalCaracter"/>
          </w:rPr>
          <w:t>88/2016</w:t>
        </w:r>
      </w:hyperlink>
      <w:r>
        <w:t xml:space="preserve">; </w:t>
      </w:r>
      <w:hyperlink w:anchor="AUTO_2016_104" w:history="1">
        <w:r w:rsidRPr="0057104C">
          <w:rPr>
            <w:rStyle w:val="TextoNormalCaracter"/>
          </w:rPr>
          <w:t>104/2016</w:t>
        </w:r>
      </w:hyperlink>
      <w:r>
        <w:t>.</w:t>
      </w:r>
    </w:p>
    <w:p w:rsidR="0057104C" w:rsidRDefault="0057104C" w:rsidP="0057104C">
      <w:pPr>
        <w:pStyle w:val="SangriaFrancesaArticulo"/>
      </w:pPr>
    </w:p>
    <w:p w:rsidR="0057104C" w:rsidRDefault="0057104C" w:rsidP="0057104C">
      <w:pPr>
        <w:pStyle w:val="TextoNormalNegritaCursivandice"/>
      </w:pPr>
      <w:r>
        <w:t>Decreto Legislativo de la Junta de Galicia 1/2011, de 28 de julio. Aprueba el texto refundido de las disposiciones legales de la Comunidad Autónoma de Galicia en materia de tributos cedidos por el Estado</w:t>
      </w:r>
    </w:p>
    <w:p w:rsidR="0057104C" w:rsidRDefault="0057104C" w:rsidP="0057104C">
      <w:pPr>
        <w:pStyle w:val="SangriaFrancesaArticulo"/>
      </w:pPr>
      <w:r w:rsidRPr="0057104C">
        <w:rPr>
          <w:rStyle w:val="TextoNormalNegritaCaracter"/>
        </w:rPr>
        <w:t>Artículo 27.5</w:t>
      </w:r>
      <w:r>
        <w:t xml:space="preserve"> (redactado por la Ley del Parlamento de Galicia 12/2014, de 22 de diciembre)</w:t>
      </w:r>
      <w:r w:rsidRPr="0057104C">
        <w:rPr>
          <w:rStyle w:val="TextoNormalNegritaCaracter"/>
        </w:rPr>
        <w:t>.</w:t>
      </w:r>
      <w:r w:rsidRPr="0057104C">
        <w:rPr>
          <w:rStyle w:val="TextoNormalCaracter"/>
        </w:rPr>
        <w:t>-</w:t>
      </w:r>
      <w:r>
        <w:t xml:space="preserve"> Sentencia </w:t>
      </w:r>
      <w:hyperlink w:anchor="SENTENCIA_2016_33" w:history="1">
        <w:r w:rsidRPr="0057104C">
          <w:rPr>
            <w:rStyle w:val="TextoNormalCaracter"/>
          </w:rPr>
          <w:t>33/2016</w:t>
        </w:r>
      </w:hyperlink>
      <w:r>
        <w:t xml:space="preserve"> (anula).</w:t>
      </w:r>
    </w:p>
    <w:p w:rsidR="0057104C" w:rsidRDefault="0057104C" w:rsidP="0057104C">
      <w:pPr>
        <w:pStyle w:val="SangriaFrancesaArticulo"/>
      </w:pPr>
    </w:p>
    <w:p w:rsidR="0057104C" w:rsidRDefault="0057104C" w:rsidP="0057104C">
      <w:pPr>
        <w:pStyle w:val="TextoNormalNegritaCursivandice"/>
      </w:pPr>
      <w:r>
        <w:t>Ley del Parlamento de Galicia 3/2013, de 20 de mayo. Impulso y ordenación de las infraestructuras de telecomunicaciones de Galicia</w:t>
      </w:r>
    </w:p>
    <w:p w:rsidR="0057104C" w:rsidRDefault="0057104C" w:rsidP="0057104C">
      <w:pPr>
        <w:pStyle w:val="SangriaFrancesaArticulo"/>
      </w:pPr>
      <w:r w:rsidRPr="0057104C">
        <w:rPr>
          <w:rStyle w:val="TextoNormalNegritaCaracter"/>
        </w:rPr>
        <w:t>Título V.</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2.2 b).</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2.2 c).</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2.2 d).</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5.3</w:t>
      </w:r>
      <w:r>
        <w:t xml:space="preserve"> (excepto el primer inciso)</w:t>
      </w:r>
      <w:r w:rsidRPr="0057104C">
        <w:rPr>
          <w:rStyle w:val="TextoNormalNegritaCaracter"/>
        </w:rPr>
        <w:t>.</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5.5.</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5.6.</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5.7.</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6.2.</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7.2.</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8.1</w:t>
      </w:r>
      <w:r>
        <w:t xml:space="preserve"> (segundo inciso)</w:t>
      </w:r>
      <w:r w:rsidRPr="0057104C">
        <w:rPr>
          <w:rStyle w:val="TextoNormalNegritaCaracter"/>
        </w:rPr>
        <w:t>.</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8" w:history="1">
        <w:r w:rsidRPr="0057104C">
          <w:rPr>
            <w:rStyle w:val="TextoNormalCaracter"/>
          </w:rPr>
          <w:t>8/2016</w:t>
        </w:r>
      </w:hyperlink>
      <w:r>
        <w:t xml:space="preserve"> (interpreta).</w:t>
      </w:r>
    </w:p>
    <w:p w:rsidR="0057104C" w:rsidRDefault="0057104C" w:rsidP="0057104C">
      <w:pPr>
        <w:pStyle w:val="SangriaFrancesaArticulo"/>
      </w:pPr>
      <w:r w:rsidRPr="0057104C">
        <w:rPr>
          <w:rStyle w:val="TextoNormalNegritaCaracter"/>
        </w:rPr>
        <w:t>Artículo 12.2.</w:t>
      </w:r>
      <w:r w:rsidRPr="0057104C">
        <w:rPr>
          <w:rStyle w:val="TextoNormalCaracter"/>
        </w:rPr>
        <w:t>-</w:t>
      </w:r>
      <w:r>
        <w:t xml:space="preserve"> Sentencia </w:t>
      </w:r>
      <w:hyperlink w:anchor="SENTENCIA_2016_8" w:history="1">
        <w:r w:rsidRPr="0057104C">
          <w:rPr>
            <w:rStyle w:val="TextoNormalCaracter"/>
          </w:rPr>
          <w:t>8/2016</w:t>
        </w:r>
      </w:hyperlink>
      <w:r>
        <w:t xml:space="preserve"> (interpreta).</w:t>
      </w:r>
    </w:p>
    <w:p w:rsidR="0057104C" w:rsidRDefault="0057104C" w:rsidP="0057104C">
      <w:pPr>
        <w:pStyle w:val="SangriaFrancesaArticulo"/>
      </w:pPr>
      <w:r w:rsidRPr="0057104C">
        <w:rPr>
          <w:rStyle w:val="TextoNormalNegritaCaracter"/>
        </w:rPr>
        <w:t>Artículo 12.3.</w:t>
      </w:r>
      <w:r w:rsidRPr="0057104C">
        <w:rPr>
          <w:rStyle w:val="TextoNormalCaracter"/>
        </w:rPr>
        <w:t>-</w:t>
      </w:r>
      <w:r>
        <w:t xml:space="preserve"> Sentencia </w:t>
      </w:r>
      <w:hyperlink w:anchor="SENTENCIA_2016_8" w:history="1">
        <w:r w:rsidRPr="0057104C">
          <w:rPr>
            <w:rStyle w:val="TextoNormalCaracter"/>
          </w:rPr>
          <w:t>8/2016</w:t>
        </w:r>
      </w:hyperlink>
      <w:r>
        <w:t xml:space="preserve"> (interpreta).</w:t>
      </w:r>
    </w:p>
    <w:p w:rsidR="0057104C" w:rsidRDefault="0057104C" w:rsidP="0057104C">
      <w:pPr>
        <w:pStyle w:val="SangriaFrancesaArticulo"/>
      </w:pPr>
      <w:r w:rsidRPr="0057104C">
        <w:rPr>
          <w:rStyle w:val="TextoNormalNegritaCaracter"/>
        </w:rPr>
        <w:t>Artículo 12.4.</w:t>
      </w:r>
      <w:r w:rsidRPr="0057104C">
        <w:rPr>
          <w:rStyle w:val="TextoNormalCaracter"/>
        </w:rPr>
        <w:t>-</w:t>
      </w:r>
      <w:r>
        <w:t xml:space="preserve"> Sentencia </w:t>
      </w:r>
      <w:hyperlink w:anchor="SENTENCIA_2016_8" w:history="1">
        <w:r w:rsidRPr="0057104C">
          <w:rPr>
            <w:rStyle w:val="TextoNormalCaracter"/>
          </w:rPr>
          <w:t>8/2016</w:t>
        </w:r>
      </w:hyperlink>
      <w:r>
        <w:t xml:space="preserve"> (interpreta).</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13.1.</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14.1 a).</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14.1 b).</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14.1 c).</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14.2.</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15.2 a).</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15.2 b).</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15.2 d).</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15.2 f).</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15.2 g).</w:t>
      </w:r>
      <w:r w:rsidRPr="0057104C">
        <w:rPr>
          <w:rStyle w:val="TextoNormalCaracter"/>
        </w:rPr>
        <w:t>-</w:t>
      </w:r>
      <w:r>
        <w:t xml:space="preserve"> Sentencia </w:t>
      </w:r>
      <w:hyperlink w:anchor="SENTENCIA_2016_8" w:history="1">
        <w:r w:rsidRPr="0057104C">
          <w:rPr>
            <w:rStyle w:val="TextoNormalCaracter"/>
          </w:rPr>
          <w:t>8/2016</w:t>
        </w:r>
      </w:hyperlink>
      <w:r>
        <w:t xml:space="preserve"> (interpreta).</w:t>
      </w:r>
    </w:p>
    <w:p w:rsidR="0057104C" w:rsidRDefault="0057104C" w:rsidP="0057104C">
      <w:pPr>
        <w:pStyle w:val="SangriaFrancesaArticulo"/>
      </w:pPr>
      <w:r w:rsidRPr="0057104C">
        <w:rPr>
          <w:rStyle w:val="TextoNormalNegritaCaracter"/>
        </w:rPr>
        <w:t>Artículo 15.2 h).</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15.3.</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17.1.</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17.1 a).</w:t>
      </w:r>
      <w:r w:rsidRPr="0057104C">
        <w:rPr>
          <w:rStyle w:val="TextoNormalCaracter"/>
        </w:rPr>
        <w:t>-</w:t>
      </w:r>
      <w:r>
        <w:t xml:space="preserve"> Sentencia </w:t>
      </w:r>
      <w:hyperlink w:anchor="SENTENCIA_2016_8" w:history="1">
        <w:r w:rsidRPr="0057104C">
          <w:rPr>
            <w:rStyle w:val="TextoNormalCaracter"/>
          </w:rPr>
          <w:t>8/2016</w:t>
        </w:r>
      </w:hyperlink>
      <w:r>
        <w:t xml:space="preserve"> (interpreta).</w:t>
      </w:r>
    </w:p>
    <w:p w:rsidR="0057104C" w:rsidRDefault="0057104C" w:rsidP="0057104C">
      <w:pPr>
        <w:pStyle w:val="SangriaFrancesaArticulo"/>
      </w:pPr>
      <w:r w:rsidRPr="0057104C">
        <w:rPr>
          <w:rStyle w:val="TextoNormalNegritaCaracter"/>
        </w:rPr>
        <w:t>Artículo 17.1 c).</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17.2.</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17.2 b).</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17.2 c).</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18.1.</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19 c).</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19.2 a).</w:t>
      </w:r>
      <w:r w:rsidRPr="0057104C">
        <w:rPr>
          <w:rStyle w:val="TextoNormalCaracter"/>
        </w:rPr>
        <w:t>-</w:t>
      </w:r>
      <w:r>
        <w:t xml:space="preserve"> Sentencia </w:t>
      </w:r>
      <w:hyperlink w:anchor="SENTENCIA_2016_8" w:history="1">
        <w:r w:rsidRPr="0057104C">
          <w:rPr>
            <w:rStyle w:val="TextoNormalCaracter"/>
          </w:rPr>
          <w:t>8/2016</w:t>
        </w:r>
      </w:hyperlink>
      <w:r>
        <w:t xml:space="preserve"> (anula).</w:t>
      </w:r>
    </w:p>
    <w:p w:rsidR="0057104C" w:rsidRDefault="0057104C" w:rsidP="0057104C">
      <w:pPr>
        <w:pStyle w:val="SangriaFrancesaArticulo"/>
      </w:pPr>
      <w:r w:rsidRPr="0057104C">
        <w:rPr>
          <w:rStyle w:val="TextoNormalNegritaCaracter"/>
        </w:rPr>
        <w:t>Artículo 23.3 c).</w:t>
      </w:r>
      <w:r w:rsidRPr="0057104C">
        <w:rPr>
          <w:rStyle w:val="TextoNormalCaracter"/>
        </w:rPr>
        <w:t>-</w:t>
      </w:r>
      <w:r>
        <w:t xml:space="preserve"> Sentencia </w:t>
      </w:r>
      <w:hyperlink w:anchor="SENTENCIA_2016_8" w:history="1">
        <w:r w:rsidRPr="0057104C">
          <w:rPr>
            <w:rStyle w:val="TextoNormalCaracter"/>
          </w:rPr>
          <w:t>8/2016</w:t>
        </w:r>
      </w:hyperlink>
      <w:r>
        <w:t xml:space="preserve"> (interpreta).</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p>
    <w:p w:rsidR="0057104C" w:rsidRDefault="0057104C" w:rsidP="0057104C">
      <w:pPr>
        <w:pStyle w:val="TextoNormalNegritaCursivandice"/>
      </w:pPr>
      <w:r>
        <w:t>Ley del Parlamento de Galicia 12/2014, de 22 de diciembre. Medidas fiscales y administrativas</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33" w:history="1">
        <w:r w:rsidRPr="0057104C">
          <w:rPr>
            <w:rStyle w:val="TextoNormalCaracter"/>
          </w:rPr>
          <w:t>33/2016</w:t>
        </w:r>
      </w:hyperlink>
      <w:r>
        <w:t>.</w:t>
      </w:r>
    </w:p>
    <w:p w:rsidR="0057104C" w:rsidRDefault="0057104C" w:rsidP="0057104C">
      <w:pPr>
        <w:pStyle w:val="SangriaFrancesaArticulo"/>
      </w:pPr>
      <w:r w:rsidRPr="0057104C">
        <w:rPr>
          <w:rStyle w:val="TextoNormalNegritaCaracter"/>
        </w:rPr>
        <w:t>Artículo 84.</w:t>
      </w:r>
      <w:r w:rsidRPr="0057104C">
        <w:rPr>
          <w:rStyle w:val="TextoNormalCaracter"/>
        </w:rPr>
        <w:t>-</w:t>
      </w:r>
      <w:r>
        <w:t xml:space="preserve"> Sentencia </w:t>
      </w:r>
      <w:hyperlink w:anchor="SENTENCIA_2016_33" w:history="1">
        <w:r w:rsidRPr="0057104C">
          <w:rPr>
            <w:rStyle w:val="TextoNormalCaracter"/>
          </w:rPr>
          <w:t>33/2016</w:t>
        </w:r>
      </w:hyperlink>
      <w:r>
        <w:t>.</w:t>
      </w:r>
    </w:p>
    <w:p w:rsidR="0057104C" w:rsidRDefault="0057104C" w:rsidP="0057104C">
      <w:pPr>
        <w:pStyle w:val="SangriaFrancesaArticulo"/>
      </w:pPr>
    </w:p>
    <w:p w:rsidR="0057104C" w:rsidRDefault="0057104C" w:rsidP="0057104C">
      <w:pPr>
        <w:pStyle w:val="TextoNormalNegritaCursivandice"/>
      </w:pPr>
      <w:r>
        <w:t>Ley del Parlamento de Galicia 11/2013, de 26 de diciembre. Presupuestos generales de la Comunidad Autónoma de Galicia para el año 2014</w:t>
      </w:r>
    </w:p>
    <w:p w:rsidR="0057104C" w:rsidRDefault="0057104C" w:rsidP="0057104C">
      <w:pPr>
        <w:pStyle w:val="SangriaFrancesaArticulo"/>
      </w:pPr>
      <w:r w:rsidRPr="0057104C">
        <w:rPr>
          <w:rStyle w:val="TextoNormalNegritaCaracter"/>
        </w:rPr>
        <w:t>Disposición adicional vigésima primera, apartado 2.</w:t>
      </w:r>
      <w:r w:rsidRPr="0057104C">
        <w:rPr>
          <w:rStyle w:val="TextoNormalCaracter"/>
        </w:rPr>
        <w:t>-</w:t>
      </w:r>
      <w:r>
        <w:t xml:space="preserve"> Autos </w:t>
      </w:r>
      <w:hyperlink w:anchor="AUTO_2016_101" w:history="1">
        <w:r w:rsidRPr="0057104C">
          <w:rPr>
            <w:rStyle w:val="TextoNormalCaracter"/>
          </w:rPr>
          <w:t>101/2016</w:t>
        </w:r>
      </w:hyperlink>
      <w:r>
        <w:t xml:space="preserve">; </w:t>
      </w:r>
      <w:hyperlink w:anchor="AUTO_2016_102" w:history="1">
        <w:r w:rsidRPr="0057104C">
          <w:rPr>
            <w:rStyle w:val="TextoNormalCaracter"/>
          </w:rPr>
          <w:t>102/2016</w:t>
        </w:r>
      </w:hyperlink>
      <w:r>
        <w:t xml:space="preserve">; </w:t>
      </w:r>
      <w:hyperlink w:anchor="AUTO_2016_103" w:history="1">
        <w:r w:rsidRPr="0057104C">
          <w:rPr>
            <w:rStyle w:val="TextoNormalCaracter"/>
          </w:rPr>
          <w:t>103/2016</w:t>
        </w:r>
      </w:hyperlink>
      <w:r>
        <w:t xml:space="preserve">; </w:t>
      </w:r>
      <w:hyperlink w:anchor="AUTO_2016_113" w:history="1">
        <w:r w:rsidRPr="0057104C">
          <w:rPr>
            <w:rStyle w:val="TextoNormalCaracter"/>
          </w:rPr>
          <w:t>113/2016</w:t>
        </w:r>
      </w:hyperlink>
      <w:r>
        <w:t>.</w:t>
      </w:r>
    </w:p>
    <w:p w:rsidR="0057104C" w:rsidRDefault="0057104C" w:rsidP="0057104C">
      <w:pPr>
        <w:pStyle w:val="SangriaFrancesaArticulo"/>
      </w:pPr>
      <w:r w:rsidRPr="0057104C">
        <w:rPr>
          <w:rStyle w:val="TextoNormalNegritaCaracter"/>
        </w:rPr>
        <w:t>Disposición adicional vigesimoprimera, apartado 2.</w:t>
      </w:r>
      <w:r w:rsidRPr="0057104C">
        <w:rPr>
          <w:rStyle w:val="TextoNormalCaracter"/>
        </w:rPr>
        <w:t>-</w:t>
      </w:r>
      <w:r>
        <w:t xml:space="preserve"> Auto </w:t>
      </w:r>
      <w:hyperlink w:anchor="AUTO_2016_84" w:history="1">
        <w:r w:rsidRPr="0057104C">
          <w:rPr>
            <w:rStyle w:val="TextoNormalCaracter"/>
          </w:rPr>
          <w:t>84/2016</w:t>
        </w:r>
      </w:hyperlink>
      <w:r>
        <w:t>.</w:t>
      </w:r>
    </w:p>
    <w:p w:rsidR="0057104C" w:rsidRDefault="0057104C" w:rsidP="0057104C">
      <w:pPr>
        <w:pStyle w:val="SangriaFrancesaArticulo"/>
      </w:pPr>
      <w:r w:rsidRPr="0057104C">
        <w:rPr>
          <w:rStyle w:val="TextoNormalNegritaCaracter"/>
        </w:rPr>
        <w:t>Disposición adiconal vigesimoprimera, apartado 2.</w:t>
      </w:r>
      <w:r w:rsidRPr="0057104C">
        <w:rPr>
          <w:rStyle w:val="TextoNormalCaracter"/>
        </w:rPr>
        <w:t>-</w:t>
      </w:r>
      <w:r>
        <w:t xml:space="preserve"> Auto </w:t>
      </w:r>
      <w:hyperlink w:anchor="AUTO_2016_132" w:history="1">
        <w:r w:rsidRPr="0057104C">
          <w:rPr>
            <w:rStyle w:val="TextoNormalCaracter"/>
          </w:rPr>
          <w:t>132/2016</w:t>
        </w:r>
      </w:hyperlink>
      <w:r>
        <w:t>.</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B.9) Madrid</w:t>
      </w:r>
    </w:p>
    <w:p w:rsidR="0057104C" w:rsidRDefault="0057104C" w:rsidP="0057104C">
      <w:pPr>
        <w:pStyle w:val="TextoNormalNegritaCentrado"/>
      </w:pPr>
    </w:p>
    <w:p w:rsidR="0057104C" w:rsidRDefault="0057104C" w:rsidP="0057104C">
      <w:pPr>
        <w:pStyle w:val="TextoNormalNegritaCursivandice"/>
      </w:pPr>
      <w:r>
        <w:t>Ley de la Asamblea de Madrid 5/2012, de 20 de diciembre. Viviendas rurales sostenibles</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Auto </w:t>
      </w:r>
      <w:hyperlink w:anchor="AUTO_2016_121" w:history="1">
        <w:r w:rsidRPr="0057104C">
          <w:rPr>
            <w:rStyle w:val="TextoNormalCaracter"/>
          </w:rPr>
          <w:t>121/2016</w:t>
        </w:r>
      </w:hyperlink>
      <w:r>
        <w:t>.</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Auto </w:t>
      </w:r>
      <w:hyperlink w:anchor="AUTO_2016_121" w:history="1">
        <w:r w:rsidRPr="0057104C">
          <w:rPr>
            <w:rStyle w:val="TextoNormalCaracter"/>
          </w:rPr>
          <w:t>121/2016</w:t>
        </w:r>
      </w:hyperlink>
      <w:r>
        <w:t>.</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Auto </w:t>
      </w:r>
      <w:hyperlink w:anchor="AUTO_2016_121" w:history="1">
        <w:r w:rsidRPr="0057104C">
          <w:rPr>
            <w:rStyle w:val="TextoNormalCaracter"/>
          </w:rPr>
          <w:t>121/2016</w:t>
        </w:r>
      </w:hyperlink>
      <w:r>
        <w:t>.</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Auto </w:t>
      </w:r>
      <w:hyperlink w:anchor="AUTO_2016_121" w:history="1">
        <w:r w:rsidRPr="0057104C">
          <w:rPr>
            <w:rStyle w:val="TextoNormalCaracter"/>
          </w:rPr>
          <w:t>121/2016</w:t>
        </w:r>
      </w:hyperlink>
      <w:r>
        <w:t>.</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Auto </w:t>
      </w:r>
      <w:hyperlink w:anchor="AUTO_2016_121" w:history="1">
        <w:r w:rsidRPr="0057104C">
          <w:rPr>
            <w:rStyle w:val="TextoNormalCaracter"/>
          </w:rPr>
          <w:t>121/2016</w:t>
        </w:r>
      </w:hyperlink>
      <w:r>
        <w:t>.</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B.10) Murcia</w:t>
      </w:r>
    </w:p>
    <w:p w:rsidR="0057104C" w:rsidRDefault="0057104C" w:rsidP="0057104C">
      <w:pPr>
        <w:pStyle w:val="TextoNormalNegritaCentrado"/>
      </w:pPr>
    </w:p>
    <w:p w:rsidR="0057104C" w:rsidRDefault="0057104C" w:rsidP="0057104C">
      <w:pPr>
        <w:pStyle w:val="TextoNormalNegritaCursivandice"/>
      </w:pPr>
      <w:r>
        <w:t>Ley de la Asamblea Regional de Murcia 15/2002, de 23 de diciembre. Medidas tributarias en materia de tributos cedidos y tasas regionales</w:t>
      </w:r>
    </w:p>
    <w:p w:rsidR="0057104C" w:rsidRDefault="0057104C" w:rsidP="0057104C">
      <w:pPr>
        <w:pStyle w:val="SangriaFrancesaArticulo"/>
      </w:pPr>
      <w:r w:rsidRPr="0057104C">
        <w:rPr>
          <w:rStyle w:val="TextoNormalNegritaCaracter"/>
        </w:rPr>
        <w:t>Artículo 6.uno.1.c).</w:t>
      </w:r>
      <w:r w:rsidRPr="0057104C">
        <w:rPr>
          <w:rStyle w:val="TextoNormalCaracter"/>
        </w:rPr>
        <w:t>-</w:t>
      </w:r>
      <w:r>
        <w:t xml:space="preserve"> Sentencia </w:t>
      </w:r>
      <w:hyperlink w:anchor="SENTENCIA_2016_25" w:history="1">
        <w:r w:rsidRPr="0057104C">
          <w:rPr>
            <w:rStyle w:val="TextoNormalCaracter"/>
          </w:rPr>
          <w:t>25/2016</w:t>
        </w:r>
      </w:hyperlink>
      <w:r>
        <w:t>.</w:t>
      </w:r>
    </w:p>
    <w:p w:rsidR="0057104C" w:rsidRDefault="0057104C" w:rsidP="0057104C">
      <w:pPr>
        <w:pStyle w:val="SangriaFrancesaArticulo"/>
      </w:pPr>
    </w:p>
    <w:p w:rsidR="0057104C" w:rsidRDefault="0057104C" w:rsidP="0057104C">
      <w:pPr>
        <w:pStyle w:val="TextoNormalNegritaCursivandice"/>
      </w:pPr>
      <w:r>
        <w:t>Ley de la Asamblea Regional de Murcia 9/2012, de 8 de noviembre. Adaptación de la normativa regional en materia de función pública al Real Decreto-ley 20/2012, de 13 de julio, de medidas para garantizar la estabilidad presupuestaria y de fomento de la competitividad</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Autos </w:t>
      </w:r>
      <w:hyperlink w:anchor="AUTO_2016_13" w:history="1">
        <w:r w:rsidRPr="0057104C">
          <w:rPr>
            <w:rStyle w:val="TextoNormalCaracter"/>
          </w:rPr>
          <w:t>13/2016</w:t>
        </w:r>
      </w:hyperlink>
      <w:r>
        <w:t xml:space="preserve">; </w:t>
      </w:r>
      <w:hyperlink w:anchor="AUTO_2016_71" w:history="1">
        <w:r w:rsidRPr="0057104C">
          <w:rPr>
            <w:rStyle w:val="TextoNormalCaracter"/>
          </w:rPr>
          <w:t>71/2016</w:t>
        </w:r>
      </w:hyperlink>
      <w:r>
        <w:t>.</w:t>
      </w:r>
    </w:p>
    <w:p w:rsidR="0057104C" w:rsidRDefault="0057104C" w:rsidP="0057104C">
      <w:pPr>
        <w:pStyle w:val="SangriaFrancesaArticulo"/>
      </w:pPr>
    </w:p>
    <w:p w:rsidR="0057104C" w:rsidRDefault="0057104C" w:rsidP="0057104C">
      <w:pPr>
        <w:pStyle w:val="TextoNormalNegritaCursivandice"/>
      </w:pPr>
      <w:r>
        <w:t>Ley de la Asamblea Regional de Murcia 4/2013, de 12 de junio. Medidas urgentes en materia de gastos de personal y organización administrativa</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Autos </w:t>
      </w:r>
      <w:hyperlink w:anchor="AUTO_2016_83" w:history="1">
        <w:r w:rsidRPr="0057104C">
          <w:rPr>
            <w:rStyle w:val="TextoNormalCaracter"/>
          </w:rPr>
          <w:t>83/2016</w:t>
        </w:r>
      </w:hyperlink>
      <w:r>
        <w:t xml:space="preserve">; </w:t>
      </w:r>
      <w:hyperlink w:anchor="AUTO_2016_131" w:history="1">
        <w:r w:rsidRPr="0057104C">
          <w:rPr>
            <w:rStyle w:val="TextoNormalCaracter"/>
          </w:rPr>
          <w:t>131/2016</w:t>
        </w:r>
      </w:hyperlink>
      <w:r>
        <w:t xml:space="preserve">; </w:t>
      </w:r>
      <w:hyperlink w:anchor="AUTO_2016_134" w:history="1">
        <w:r w:rsidRPr="0057104C">
          <w:rPr>
            <w:rStyle w:val="TextoNormalCaracter"/>
          </w:rPr>
          <w:t>134/2016</w:t>
        </w:r>
      </w:hyperlink>
      <w:r>
        <w:t>.</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Auto </w:t>
      </w:r>
      <w:hyperlink w:anchor="AUTO_2016_83" w:history="1">
        <w:r w:rsidRPr="0057104C">
          <w:rPr>
            <w:rStyle w:val="TextoNormalCaracter"/>
          </w:rPr>
          <w:t>83/2016</w:t>
        </w:r>
      </w:hyperlink>
      <w:r>
        <w:t>.</w:t>
      </w:r>
    </w:p>
    <w:p w:rsidR="0057104C" w:rsidRDefault="0057104C" w:rsidP="0057104C">
      <w:pPr>
        <w:pStyle w:val="SangriaFrancesaArticulo"/>
      </w:pPr>
    </w:p>
    <w:p w:rsidR="0057104C" w:rsidRDefault="0057104C" w:rsidP="0057104C">
      <w:pPr>
        <w:pStyle w:val="TextoNormalNegritaCursivandice"/>
      </w:pPr>
      <w:r>
        <w:t>Ley 11/2015, de 30 de marzo, de modificación de la Ley 10/2006, de 21 de diciembre. Energías Renovables y Ahorro y Eficiencia Energética de la Región de Murcia</w:t>
      </w:r>
    </w:p>
    <w:p w:rsidR="0057104C" w:rsidRDefault="0057104C" w:rsidP="0057104C">
      <w:pPr>
        <w:pStyle w:val="SangriaFrancesaArticulo"/>
      </w:pPr>
      <w:r w:rsidRPr="0057104C">
        <w:rPr>
          <w:rStyle w:val="TextoNormalNegritaCaracter"/>
        </w:rPr>
        <w:t>Artículo único, apartado 12.</w:t>
      </w:r>
      <w:r w:rsidRPr="0057104C">
        <w:rPr>
          <w:rStyle w:val="TextoNormalCaracter"/>
        </w:rPr>
        <w:t>-</w:t>
      </w:r>
      <w:r>
        <w:t xml:space="preserve"> Auto </w:t>
      </w:r>
      <w:hyperlink w:anchor="AUTO_2016_105" w:history="1">
        <w:r w:rsidRPr="0057104C">
          <w:rPr>
            <w:rStyle w:val="TextoNormalCaracter"/>
          </w:rPr>
          <w:t>105/2016</w:t>
        </w:r>
      </w:hyperlink>
      <w:r>
        <w:t>.</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B.11) Navarra</w:t>
      </w:r>
    </w:p>
    <w:p w:rsidR="0057104C" w:rsidRDefault="0057104C" w:rsidP="0057104C">
      <w:pPr>
        <w:pStyle w:val="TextoNormalNegritaCentrado"/>
      </w:pPr>
    </w:p>
    <w:p w:rsidR="0057104C" w:rsidRDefault="0057104C" w:rsidP="0057104C">
      <w:pPr>
        <w:pStyle w:val="TextoNormalNegritaCursivandice"/>
      </w:pPr>
      <w:r>
        <w:t>Ley Foral 17/2001, de 12 de julio. Regulación del comercio en Navarra</w:t>
      </w:r>
    </w:p>
    <w:p w:rsidR="0057104C" w:rsidRDefault="0057104C" w:rsidP="0057104C">
      <w:pPr>
        <w:pStyle w:val="SangriaFrancesaArticulo"/>
      </w:pPr>
      <w:r w:rsidRPr="0057104C">
        <w:rPr>
          <w:rStyle w:val="TextoNormalNegritaCaracter"/>
        </w:rPr>
        <w:t>Artículo 33.2</w:t>
      </w:r>
      <w:r>
        <w:t xml:space="preserve"> (redactado por la Ley Foral del Parlamento de Navarra 15/2013, de 17 de abril)</w:t>
      </w:r>
      <w:r w:rsidRPr="0057104C">
        <w:rPr>
          <w:rStyle w:val="TextoNormalNegritaCaracter"/>
        </w:rPr>
        <w:t>.</w:t>
      </w:r>
      <w:r w:rsidRPr="0057104C">
        <w:rPr>
          <w:rStyle w:val="TextoNormalCaracter"/>
        </w:rPr>
        <w:t>-</w:t>
      </w:r>
      <w:r>
        <w:t xml:space="preserve"> Sentencia </w:t>
      </w:r>
      <w:hyperlink w:anchor="SENTENCIA_2016_59" w:history="1">
        <w:r w:rsidRPr="0057104C">
          <w:rPr>
            <w:rStyle w:val="TextoNormalCaracter"/>
          </w:rPr>
          <w:t>59/2016</w:t>
        </w:r>
      </w:hyperlink>
      <w:r>
        <w:t>.</w:t>
      </w:r>
    </w:p>
    <w:p w:rsidR="0057104C" w:rsidRDefault="0057104C" w:rsidP="0057104C">
      <w:pPr>
        <w:pStyle w:val="SangriaFrancesaArticulo"/>
      </w:pPr>
      <w:r w:rsidRPr="0057104C">
        <w:rPr>
          <w:rStyle w:val="TextoNormalNegritaCaracter"/>
        </w:rPr>
        <w:t>Artículo 46.2</w:t>
      </w:r>
      <w:r>
        <w:t xml:space="preserve"> (redactado por la Ley Foral del Parlamento de Navarra 15/2013, de 17 de abril)</w:t>
      </w:r>
      <w:r w:rsidRPr="0057104C">
        <w:rPr>
          <w:rStyle w:val="TextoNormalNegritaCaracter"/>
        </w:rPr>
        <w:t>.</w:t>
      </w:r>
      <w:r w:rsidRPr="0057104C">
        <w:rPr>
          <w:rStyle w:val="TextoNormalCaracter"/>
        </w:rPr>
        <w:t>-</w:t>
      </w:r>
      <w:r>
        <w:t xml:space="preserve"> Sentencia </w:t>
      </w:r>
      <w:hyperlink w:anchor="SENTENCIA_2016_59" w:history="1">
        <w:r w:rsidRPr="0057104C">
          <w:rPr>
            <w:rStyle w:val="TextoNormalCaracter"/>
          </w:rPr>
          <w:t>59/2016</w:t>
        </w:r>
      </w:hyperlink>
      <w:r>
        <w:t xml:space="preserve"> (anula).</w:t>
      </w:r>
    </w:p>
    <w:p w:rsidR="0057104C" w:rsidRDefault="0057104C" w:rsidP="0057104C">
      <w:pPr>
        <w:pStyle w:val="SangriaFrancesaArticulo"/>
      </w:pPr>
    </w:p>
    <w:p w:rsidR="0057104C" w:rsidRDefault="0057104C" w:rsidP="0057104C">
      <w:pPr>
        <w:pStyle w:val="TextoNormalNegritaCursivandice"/>
      </w:pPr>
      <w:r>
        <w:t>Ley Foral 15/2013, de 17 de abril. Modificación de determinados artículos de la Ley Foral 17/2001, de 12 de julio, reguladora del comercio en Navarra</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59" w:history="1">
        <w:r w:rsidRPr="0057104C">
          <w:rPr>
            <w:rStyle w:val="TextoNormalCaracter"/>
          </w:rPr>
          <w:t>59/2016</w:t>
        </w:r>
      </w:hyperlink>
      <w:r>
        <w:t>.</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59" w:history="1">
        <w:r w:rsidRPr="0057104C">
          <w:rPr>
            <w:rStyle w:val="TextoNormalCaracter"/>
          </w:rPr>
          <w:t>59/2016</w:t>
        </w:r>
      </w:hyperlink>
      <w:r>
        <w:t>.</w:t>
      </w:r>
    </w:p>
    <w:p w:rsidR="0057104C" w:rsidRDefault="0057104C" w:rsidP="0057104C">
      <w:pPr>
        <w:pStyle w:val="SangriaFrancesaArticulo"/>
      </w:pPr>
    </w:p>
    <w:p w:rsidR="0057104C" w:rsidRDefault="0057104C" w:rsidP="0057104C">
      <w:pPr>
        <w:pStyle w:val="TextoNormalNegritaCursivandice"/>
      </w:pPr>
      <w:r>
        <w:t>Ley Foral 15/2015, de 10 de abril. Modifica la Ley Foral 8/2007, de 23 de marzo, de las policías de Navarra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89" w:history="1">
        <w:r w:rsidRPr="0057104C">
          <w:rPr>
            <w:rStyle w:val="TextoNormalCaracter"/>
          </w:rPr>
          <w:t>89/2016</w:t>
        </w:r>
      </w:hyperlink>
      <w:r>
        <w:t>.</w:t>
      </w:r>
    </w:p>
    <w:p w:rsidR="0057104C" w:rsidRDefault="0057104C" w:rsidP="0057104C">
      <w:pPr>
        <w:pStyle w:val="SangriaFrancesaArticulo"/>
      </w:pPr>
    </w:p>
    <w:p w:rsidR="0057104C" w:rsidRDefault="0057104C" w:rsidP="0057104C">
      <w:pPr>
        <w:pStyle w:val="TextoNormalNegritaCursivandice"/>
      </w:pPr>
      <w:r>
        <w:t>Ley Foral del Parlamento de Navarra 16/2015, de 10 de abril. Reconocimiento y reparación de las víctimas por actos de motivación política provocados por grupos de extrema derecha o funcionarios públicos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90" w:history="1">
        <w:r w:rsidRPr="0057104C">
          <w:rPr>
            <w:rStyle w:val="TextoNormalCaracter"/>
          </w:rPr>
          <w:t>90/2016</w:t>
        </w:r>
      </w:hyperlink>
      <w:r>
        <w:t>.</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B.12) Valencia</w:t>
      </w:r>
    </w:p>
    <w:p w:rsidR="0057104C" w:rsidRDefault="0057104C" w:rsidP="0057104C">
      <w:pPr>
        <w:pStyle w:val="TextoNormalNegritaCentrado"/>
      </w:pPr>
    </w:p>
    <w:p w:rsidR="0057104C" w:rsidRDefault="0057104C" w:rsidP="0057104C">
      <w:pPr>
        <w:pStyle w:val="TextoNormalNegritaCursivandice"/>
      </w:pPr>
      <w:r>
        <w:t>Ley de las Cortes Valencianas 10/2007, de 20 de marzo. Régimen económico matrimonial valenciano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2" w:history="1">
        <w:r w:rsidRPr="0057104C">
          <w:rPr>
            <w:rStyle w:val="TextoNormalCaracter"/>
          </w:rPr>
          <w:t>82/2016</w:t>
        </w:r>
      </w:hyperlink>
      <w:r>
        <w:t xml:space="preserve"> (anula).</w:t>
      </w:r>
    </w:p>
    <w:p w:rsidR="0057104C" w:rsidRDefault="0057104C" w:rsidP="0057104C">
      <w:pPr>
        <w:pStyle w:val="SangriaFrancesaArticulo"/>
      </w:pPr>
    </w:p>
    <w:p w:rsidR="0057104C" w:rsidRDefault="0057104C" w:rsidP="0057104C">
      <w:pPr>
        <w:pStyle w:val="TextoNormalNegritaCursivandice"/>
      </w:pPr>
      <w:r>
        <w:t>Ley de las Cortes Valencianas 5/2012, de 15 de octubre. Uniones de hecho formalizadas de la Comunidad Valenciana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0" w:history="1">
        <w:r w:rsidRPr="0057104C">
          <w:rPr>
            <w:rStyle w:val="TextoNormalCaracter"/>
          </w:rPr>
          <w:t>110/2016</w:t>
        </w:r>
      </w:hyperlink>
      <w:r>
        <w:t>.</w:t>
      </w:r>
    </w:p>
    <w:p w:rsidR="0057104C" w:rsidRDefault="0057104C" w:rsidP="0057104C">
      <w:pPr>
        <w:pStyle w:val="SangriaFrancesaArticulo"/>
      </w:pPr>
      <w:r w:rsidRPr="0057104C">
        <w:rPr>
          <w:rStyle w:val="TextoNormalNegritaCaracter"/>
        </w:rPr>
        <w:t>Artículo 1.1 expresión "los derechos y deberes de quienes son miembros".</w:t>
      </w:r>
      <w:r w:rsidRPr="0057104C">
        <w:rPr>
          <w:rStyle w:val="TextoNormalCaracter"/>
        </w:rPr>
        <w:t>-</w:t>
      </w:r>
      <w:r>
        <w:t xml:space="preserve"> Sentencia </w:t>
      </w:r>
      <w:hyperlink w:anchor="SENTENCIA_2016_110" w:history="1">
        <w:r w:rsidRPr="0057104C">
          <w:rPr>
            <w:rStyle w:val="TextoNormalCaracter"/>
          </w:rPr>
          <w:t>110/2016</w:t>
        </w:r>
      </w:hyperlink>
      <w:r>
        <w:t xml:space="preserve"> (anula).</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110" w:history="1">
        <w:r w:rsidRPr="0057104C">
          <w:rPr>
            <w:rStyle w:val="TextoNormalCaracter"/>
          </w:rPr>
          <w:t>110/2016</w:t>
        </w:r>
      </w:hyperlink>
      <w:r>
        <w:t xml:space="preserve"> (anula).</w:t>
      </w:r>
    </w:p>
    <w:p w:rsidR="0057104C" w:rsidRDefault="0057104C" w:rsidP="0057104C">
      <w:pPr>
        <w:pStyle w:val="SangriaFrancesaArticulo"/>
      </w:pPr>
      <w:r w:rsidRPr="0057104C">
        <w:rPr>
          <w:rStyle w:val="TextoNormalNegritaCaracter"/>
        </w:rPr>
        <w:t>Artículos 6 a 14.</w:t>
      </w:r>
      <w:r w:rsidRPr="0057104C">
        <w:rPr>
          <w:rStyle w:val="TextoNormalCaracter"/>
        </w:rPr>
        <w:t>-</w:t>
      </w:r>
      <w:r>
        <w:t xml:space="preserve"> Sentencia </w:t>
      </w:r>
      <w:hyperlink w:anchor="SENTENCIA_2016_110" w:history="1">
        <w:r w:rsidRPr="0057104C">
          <w:rPr>
            <w:rStyle w:val="TextoNormalCaracter"/>
          </w:rPr>
          <w:t>110/2016</w:t>
        </w:r>
      </w:hyperlink>
      <w:r>
        <w:t xml:space="preserve"> (anula).</w:t>
      </w:r>
    </w:p>
    <w:p w:rsidR="0057104C" w:rsidRDefault="0057104C" w:rsidP="0057104C">
      <w:pPr>
        <w:pStyle w:val="SangriaFrancesaArticulo"/>
      </w:pPr>
    </w:p>
    <w:p w:rsidR="0057104C" w:rsidRDefault="0057104C" w:rsidP="0057104C">
      <w:pPr>
        <w:pStyle w:val="TextoNormalNegritaCursivandice"/>
      </w:pPr>
      <w:r>
        <w:t>Decreto-ley de la Generalitat Valenciana 3/2015, de 24 de julio. Regula el acceso universal a la atención sanitaria en la Comunidad Valenciana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54" w:history="1">
        <w:r w:rsidRPr="0057104C">
          <w:rPr>
            <w:rStyle w:val="TextoNormalCaracter"/>
          </w:rPr>
          <w:t>54/2016</w:t>
        </w:r>
      </w:hyperlink>
      <w:r>
        <w:t>.</w:t>
      </w:r>
    </w:p>
    <w:p w:rsidR="0057104C" w:rsidRDefault="0057104C">
      <w:pPr>
        <w:spacing w:after="160" w:line="259" w:lineRule="auto"/>
        <w:rPr>
          <w:rFonts w:ascii="Times New Roman" w:eastAsia="Times New Roman" w:hAnsi="Times New Roman" w:cs="Times New Roman"/>
          <w:sz w:val="24"/>
          <w:szCs w:val="24"/>
          <w:lang w:eastAsia="es-ES"/>
        </w:rPr>
      </w:pPr>
      <w:r>
        <w:br w:type="page"/>
      </w:r>
    </w:p>
    <w:p w:rsidR="0057104C" w:rsidRDefault="0057104C" w:rsidP="0057104C">
      <w:pPr>
        <w:pStyle w:val="SangriaFrancesaArticulo"/>
      </w:pPr>
    </w:p>
    <w:p w:rsidR="0057104C" w:rsidRDefault="0057104C" w:rsidP="0057104C">
      <w:pPr>
        <w:pStyle w:val="TextoNormal"/>
      </w:pPr>
    </w:p>
    <w:p w:rsidR="0057104C" w:rsidRDefault="0057104C" w:rsidP="0057104C">
      <w:pPr>
        <w:pStyle w:val="TextoNormal"/>
      </w:pPr>
    </w:p>
    <w:p w:rsidR="0057104C" w:rsidRDefault="0057104C" w:rsidP="0057104C">
      <w:pPr>
        <w:pStyle w:val="TextoNormal"/>
      </w:pPr>
    </w:p>
    <w:p w:rsidR="0057104C" w:rsidRDefault="0057104C" w:rsidP="0057104C">
      <w:pPr>
        <w:pStyle w:val="Ttulondice"/>
        <w:suppressAutoHyphens/>
      </w:pPr>
      <w:r>
        <w:t>4. ÍNDICE DE DISPOSICIONES GENERALES IMPUGNADAS</w:t>
      </w: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pPr>
    </w:p>
    <w:p w:rsidR="0057104C" w:rsidRDefault="0057104C" w:rsidP="0057104C">
      <w:pPr>
        <w:pStyle w:val="TextoNormal"/>
      </w:pPr>
      <w:bookmarkStart w:id="264" w:name="INDICE22803"/>
      <w:bookmarkEnd w:id="264"/>
    </w:p>
    <w:p w:rsidR="0057104C" w:rsidRDefault="0057104C" w:rsidP="0057104C">
      <w:pPr>
        <w:pStyle w:val="TextoIndiceNivel2"/>
        <w:suppressAutoHyphens/>
      </w:pPr>
      <w:r>
        <w:t>A) Disposiciones del Estado</w:t>
      </w:r>
    </w:p>
    <w:p w:rsidR="0057104C" w:rsidRDefault="0057104C" w:rsidP="0057104C">
      <w:pPr>
        <w:pStyle w:val="TextoIndiceNivel2"/>
      </w:pPr>
    </w:p>
    <w:p w:rsidR="0057104C" w:rsidRDefault="0057104C" w:rsidP="0057104C">
      <w:pPr>
        <w:pStyle w:val="TextoNormalNegritaCursivandice"/>
      </w:pPr>
      <w:r>
        <w:t>Real Decreto 102/2011, de 28 de enero. Mejora de la calidad del aire</w:t>
      </w:r>
    </w:p>
    <w:p w:rsidR="0057104C" w:rsidRDefault="0057104C" w:rsidP="0057104C">
      <w:pPr>
        <w:pStyle w:val="SangriaFrancesaArticulo"/>
      </w:pPr>
      <w:r w:rsidRPr="0057104C">
        <w:rPr>
          <w:rStyle w:val="TextoNormalNegritaCaracter"/>
        </w:rPr>
        <w:t>Artículo 3.1, último párrafo.</w:t>
      </w:r>
      <w:r w:rsidRPr="0057104C">
        <w:rPr>
          <w:rStyle w:val="TextoNormalCaracter"/>
        </w:rPr>
        <w:t>-</w:t>
      </w:r>
      <w:r>
        <w:t xml:space="preserve"> Sentencia </w:t>
      </w:r>
      <w:hyperlink w:anchor="SENTENCIA_2016_53" w:history="1">
        <w:r w:rsidRPr="0057104C">
          <w:rPr>
            <w:rStyle w:val="TextoNormalCaracter"/>
          </w:rPr>
          <w:t>53/2016</w:t>
        </w:r>
      </w:hyperlink>
      <w:r>
        <w:t>.</w:t>
      </w:r>
    </w:p>
    <w:p w:rsidR="0057104C" w:rsidRDefault="0057104C" w:rsidP="0057104C">
      <w:pPr>
        <w:pStyle w:val="SangriaFrancesaArticulo"/>
      </w:pPr>
      <w:r w:rsidRPr="0057104C">
        <w:rPr>
          <w:rStyle w:val="TextoNormalNegritaCaracter"/>
        </w:rPr>
        <w:t>Artículo 3.3 e).</w:t>
      </w:r>
      <w:r w:rsidRPr="0057104C">
        <w:rPr>
          <w:rStyle w:val="TextoNormalCaracter"/>
        </w:rPr>
        <w:t>-</w:t>
      </w:r>
      <w:r>
        <w:t xml:space="preserve"> Sentencia </w:t>
      </w:r>
      <w:hyperlink w:anchor="SENTENCIA_2016_53" w:history="1">
        <w:r w:rsidRPr="0057104C">
          <w:rPr>
            <w:rStyle w:val="TextoNormalCaracter"/>
          </w:rPr>
          <w:t>53/2016</w:t>
        </w:r>
      </w:hyperlink>
      <w:r>
        <w:t>.</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53" w:history="1">
        <w:r w:rsidRPr="0057104C">
          <w:rPr>
            <w:rStyle w:val="TextoNormalCaracter"/>
          </w:rPr>
          <w:t>53/2016</w:t>
        </w:r>
      </w:hyperlink>
      <w:r>
        <w:t>.</w:t>
      </w:r>
    </w:p>
    <w:p w:rsidR="0057104C" w:rsidRDefault="0057104C" w:rsidP="0057104C">
      <w:pPr>
        <w:pStyle w:val="SangriaFrancesaArticulo"/>
      </w:pPr>
      <w:r w:rsidRPr="0057104C">
        <w:rPr>
          <w:rStyle w:val="TextoNormalNegritaCaracter"/>
        </w:rPr>
        <w:t>Artículo 9.2.</w:t>
      </w:r>
      <w:r w:rsidRPr="0057104C">
        <w:rPr>
          <w:rStyle w:val="TextoNormalCaracter"/>
        </w:rPr>
        <w:t>-</w:t>
      </w:r>
      <w:r>
        <w:t xml:space="preserve"> Sentencia </w:t>
      </w:r>
      <w:hyperlink w:anchor="SENTENCIA_2016_53" w:history="1">
        <w:r w:rsidRPr="0057104C">
          <w:rPr>
            <w:rStyle w:val="TextoNormalCaracter"/>
          </w:rPr>
          <w:t>53/2016</w:t>
        </w:r>
      </w:hyperlink>
      <w:r>
        <w:t>.</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53" w:history="1">
        <w:r w:rsidRPr="0057104C">
          <w:rPr>
            <w:rStyle w:val="TextoNormalCaracter"/>
          </w:rPr>
          <w:t>53/2016</w:t>
        </w:r>
      </w:hyperlink>
      <w:r>
        <w:t>.</w:t>
      </w:r>
    </w:p>
    <w:p w:rsidR="0057104C" w:rsidRDefault="0057104C" w:rsidP="0057104C">
      <w:pPr>
        <w:pStyle w:val="SangriaFrancesaArticulo"/>
      </w:pPr>
      <w:r w:rsidRPr="0057104C">
        <w:rPr>
          <w:rStyle w:val="TextoNormalNegritaCaracter"/>
        </w:rPr>
        <w:t>Artículo 24.4.</w:t>
      </w:r>
      <w:r w:rsidRPr="0057104C">
        <w:rPr>
          <w:rStyle w:val="TextoNormalCaracter"/>
        </w:rPr>
        <w:t>-</w:t>
      </w:r>
      <w:r>
        <w:t xml:space="preserve"> Sentencia </w:t>
      </w:r>
      <w:hyperlink w:anchor="SENTENCIA_2016_53" w:history="1">
        <w:r w:rsidRPr="0057104C">
          <w:rPr>
            <w:rStyle w:val="TextoNormalCaracter"/>
          </w:rPr>
          <w:t>53/2016</w:t>
        </w:r>
      </w:hyperlink>
      <w:r>
        <w:t>.</w:t>
      </w:r>
    </w:p>
    <w:p w:rsidR="0057104C" w:rsidRDefault="0057104C" w:rsidP="0057104C">
      <w:pPr>
        <w:pStyle w:val="SangriaFrancesaArticulo"/>
      </w:pPr>
    </w:p>
    <w:p w:rsidR="0057104C" w:rsidRDefault="0057104C" w:rsidP="0057104C">
      <w:pPr>
        <w:pStyle w:val="TextoNormalNegritaCursivandice"/>
      </w:pPr>
      <w:r>
        <w:t>Real Decreto 515/2013, de 5 de julio. Regula los criterios y el procedimiento para determinar y repercutir las responsabilidades por incumplimiento del Derecho de la Unión Europea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1" w:history="1">
        <w:r w:rsidRPr="0057104C">
          <w:rPr>
            <w:rStyle w:val="TextoNormalCaracter"/>
          </w:rPr>
          <w:t>31/2016</w:t>
        </w:r>
      </w:hyperlink>
      <w:r>
        <w:t>.</w:t>
      </w:r>
    </w:p>
    <w:p w:rsidR="0057104C" w:rsidRDefault="0057104C" w:rsidP="0057104C">
      <w:pPr>
        <w:pStyle w:val="SangriaFrancesaArticulo"/>
      </w:pPr>
    </w:p>
    <w:p w:rsidR="0057104C" w:rsidRDefault="0057104C" w:rsidP="0057104C">
      <w:pPr>
        <w:pStyle w:val="TextoNormalNegritaCursivandice"/>
      </w:pPr>
      <w:r>
        <w:t>Real Decreto 609/2013, de 2 de agosto. Establece los umbrales de renta y patrimonio familiar y las cuantías de las becas y ayudas al estudio para el curso 2013-2014, y modifica parcialmente el Real Decreto 1721/2007, de 21 de diciembre, por el que se establece el régimen de las becas y ayudas al estudio personalizadas</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 </w:t>
      </w:r>
      <w:hyperlink w:anchor="SENTENCIA_2016_95" w:history="1">
        <w:r w:rsidRPr="0057104C">
          <w:rPr>
            <w:rStyle w:val="TextoNormalCaracter"/>
          </w:rPr>
          <w:t>95/2016</w:t>
        </w:r>
      </w:hyperlink>
      <w:r>
        <w:t>.</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95" w:history="1">
        <w:r w:rsidRPr="0057104C">
          <w:rPr>
            <w:rStyle w:val="TextoNormalCaracter"/>
          </w:rPr>
          <w:t>95/2016</w:t>
        </w:r>
      </w:hyperlink>
      <w:r>
        <w:t xml:space="preserve"> (declara vulnerado el orden competencial).</w:t>
      </w:r>
    </w:p>
    <w:p w:rsidR="0057104C" w:rsidRDefault="0057104C" w:rsidP="0057104C">
      <w:pPr>
        <w:pStyle w:val="SangriaFrancesaArticulo"/>
      </w:pPr>
      <w:r w:rsidRPr="0057104C">
        <w:rPr>
          <w:rStyle w:val="TextoNormalNegritaCaracter"/>
        </w:rPr>
        <w:t>Disposición adicional tercera, apartado 5.</w:t>
      </w:r>
      <w:r w:rsidRPr="0057104C">
        <w:rPr>
          <w:rStyle w:val="TextoNormalCaracter"/>
        </w:rPr>
        <w:t>-</w:t>
      </w:r>
      <w:r>
        <w:t xml:space="preserve"> Sentencia </w:t>
      </w:r>
      <w:hyperlink w:anchor="SENTENCIA_2016_95" w:history="1">
        <w:r w:rsidRPr="0057104C">
          <w:rPr>
            <w:rStyle w:val="TextoNormalCaracter"/>
          </w:rPr>
          <w:t>95/2016</w:t>
        </w:r>
      </w:hyperlink>
      <w:r>
        <w:t>.</w:t>
      </w:r>
    </w:p>
    <w:p w:rsidR="0057104C" w:rsidRDefault="0057104C" w:rsidP="0057104C">
      <w:pPr>
        <w:pStyle w:val="SangriaFrancesaArticulo"/>
      </w:pPr>
      <w:r w:rsidRPr="0057104C">
        <w:rPr>
          <w:rStyle w:val="TextoNormalNegritaCaracter"/>
        </w:rPr>
        <w:t>Disposición final primera, inciso 1.</w:t>
      </w:r>
      <w:r w:rsidRPr="0057104C">
        <w:rPr>
          <w:rStyle w:val="TextoNormalCaracter"/>
        </w:rPr>
        <w:t>-</w:t>
      </w:r>
      <w:r>
        <w:t xml:space="preserve"> Sentencia </w:t>
      </w:r>
      <w:hyperlink w:anchor="SENTENCIA_2016_95" w:history="1">
        <w:r w:rsidRPr="0057104C">
          <w:rPr>
            <w:rStyle w:val="TextoNormalCaracter"/>
          </w:rPr>
          <w:t>95/2016</w:t>
        </w:r>
      </w:hyperlink>
      <w:r>
        <w:t xml:space="preserve"> (anula).</w:t>
      </w:r>
    </w:p>
    <w:p w:rsidR="0057104C" w:rsidRDefault="0057104C" w:rsidP="0057104C">
      <w:pPr>
        <w:pStyle w:val="SangriaFrancesaArticulo"/>
      </w:pPr>
      <w:r w:rsidRPr="0057104C">
        <w:rPr>
          <w:rStyle w:val="TextoNormalNegritaCaracter"/>
        </w:rPr>
        <w:t>Disposición final segunda, apartado 18.</w:t>
      </w:r>
      <w:r w:rsidRPr="0057104C">
        <w:rPr>
          <w:rStyle w:val="TextoNormalCaracter"/>
        </w:rPr>
        <w:t>-</w:t>
      </w:r>
      <w:r>
        <w:t xml:space="preserve"> Sentencia </w:t>
      </w:r>
      <w:hyperlink w:anchor="SENTENCIA_2016_95" w:history="1">
        <w:r w:rsidRPr="0057104C">
          <w:rPr>
            <w:rStyle w:val="TextoNormalCaracter"/>
          </w:rPr>
          <w:t>95/2016</w:t>
        </w:r>
      </w:hyperlink>
      <w:r>
        <w:t xml:space="preserve"> (anula).</w:t>
      </w:r>
    </w:p>
    <w:p w:rsidR="0057104C" w:rsidRDefault="0057104C" w:rsidP="0057104C">
      <w:pPr>
        <w:pStyle w:val="SangriaFrancesaArticulo"/>
      </w:pPr>
      <w:r w:rsidRPr="0057104C">
        <w:rPr>
          <w:rStyle w:val="TextoNormalNegritaCaracter"/>
        </w:rPr>
        <w:t>Disposición final segunda, apartado 3.</w:t>
      </w:r>
      <w:r w:rsidRPr="0057104C">
        <w:rPr>
          <w:rStyle w:val="TextoNormalCaracter"/>
        </w:rPr>
        <w:t>-</w:t>
      </w:r>
      <w:r>
        <w:t xml:space="preserve"> Sentencia </w:t>
      </w:r>
      <w:hyperlink w:anchor="SENTENCIA_2016_95" w:history="1">
        <w:r w:rsidRPr="0057104C">
          <w:rPr>
            <w:rStyle w:val="TextoNormalCaracter"/>
          </w:rPr>
          <w:t>95/2016</w:t>
        </w:r>
      </w:hyperlink>
      <w:r>
        <w:t>.</w:t>
      </w:r>
    </w:p>
    <w:p w:rsidR="0057104C" w:rsidRDefault="0057104C" w:rsidP="0057104C">
      <w:pPr>
        <w:pStyle w:val="SangriaFrancesaArticulo"/>
      </w:pPr>
    </w:p>
    <w:p w:rsidR="0057104C" w:rsidRDefault="0057104C" w:rsidP="0057104C">
      <w:pPr>
        <w:pStyle w:val="TextoNormalNegritaCursivandice"/>
      </w:pPr>
      <w:r>
        <w:t>Resolución de 13 de agosto de 2013, de la Secretaría de Estado de Educación, Formación Profesional y Universidades. Convocatoria de ayudas para alumnado con necesidad específica de apoyo educativo para el curso académico 2013-2014</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95" w:history="1">
        <w:r w:rsidRPr="0057104C">
          <w:rPr>
            <w:rStyle w:val="TextoNormalCaracter"/>
          </w:rPr>
          <w:t>95/2016</w:t>
        </w:r>
      </w:hyperlink>
      <w:r>
        <w:t xml:space="preserve"> (declara vulnerado el orden competencial).</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Sentencia </w:t>
      </w:r>
      <w:hyperlink w:anchor="SENTENCIA_2016_95" w:history="1">
        <w:r w:rsidRPr="0057104C">
          <w:rPr>
            <w:rStyle w:val="TextoNormalCaracter"/>
          </w:rPr>
          <w:t>95/2016</w:t>
        </w:r>
      </w:hyperlink>
      <w:r>
        <w:t xml:space="preserve"> (declara vulnerado el orden competencial).</w:t>
      </w:r>
    </w:p>
    <w:p w:rsidR="0057104C" w:rsidRDefault="0057104C" w:rsidP="0057104C">
      <w:pPr>
        <w:pStyle w:val="SangriaFrancesaArticulo"/>
      </w:pPr>
      <w:r w:rsidRPr="0057104C">
        <w:rPr>
          <w:rStyle w:val="TextoNormalNegritaCaracter"/>
        </w:rPr>
        <w:t>Artículo 50.6.</w:t>
      </w:r>
      <w:r w:rsidRPr="0057104C">
        <w:rPr>
          <w:rStyle w:val="TextoNormalCaracter"/>
        </w:rPr>
        <w:t>-</w:t>
      </w:r>
      <w:r>
        <w:t xml:space="preserve"> Sentencia </w:t>
      </w:r>
      <w:hyperlink w:anchor="SENTENCIA_2016_95" w:history="1">
        <w:r w:rsidRPr="0057104C">
          <w:rPr>
            <w:rStyle w:val="TextoNormalCaracter"/>
          </w:rPr>
          <w:t>95/2016</w:t>
        </w:r>
      </w:hyperlink>
      <w:r>
        <w:t xml:space="preserve"> (declara vulnerado el orden competencial).</w:t>
      </w:r>
    </w:p>
    <w:p w:rsidR="0057104C" w:rsidRDefault="0057104C" w:rsidP="0057104C">
      <w:pPr>
        <w:pStyle w:val="SangriaFrancesaArticulo"/>
      </w:pPr>
      <w:r w:rsidRPr="0057104C">
        <w:rPr>
          <w:rStyle w:val="TextoNormalNegritaCaracter"/>
        </w:rPr>
        <w:t>Artículo 50.7.</w:t>
      </w:r>
      <w:r w:rsidRPr="0057104C">
        <w:rPr>
          <w:rStyle w:val="TextoNormalCaracter"/>
        </w:rPr>
        <w:t>-</w:t>
      </w:r>
      <w:r>
        <w:t xml:space="preserve"> Sentencia </w:t>
      </w:r>
      <w:hyperlink w:anchor="SENTENCIA_2016_95" w:history="1">
        <w:r w:rsidRPr="0057104C">
          <w:rPr>
            <w:rStyle w:val="TextoNormalCaracter"/>
          </w:rPr>
          <w:t>95/2016</w:t>
        </w:r>
      </w:hyperlink>
      <w:r>
        <w:t xml:space="preserve"> (declara vulnerado el orden competencial).</w:t>
      </w:r>
    </w:p>
    <w:p w:rsidR="0057104C" w:rsidRDefault="0057104C" w:rsidP="0057104C">
      <w:pPr>
        <w:pStyle w:val="SangriaFrancesaArticulo"/>
      </w:pPr>
      <w:r w:rsidRPr="0057104C">
        <w:rPr>
          <w:rStyle w:val="TextoNormalNegritaCaracter"/>
        </w:rPr>
        <w:t>Disposición transitoria primera, apartado 2.</w:t>
      </w:r>
      <w:r w:rsidRPr="0057104C">
        <w:rPr>
          <w:rStyle w:val="TextoNormalCaracter"/>
        </w:rPr>
        <w:t>-</w:t>
      </w:r>
      <w:r>
        <w:t xml:space="preserve"> Sentencia </w:t>
      </w:r>
      <w:hyperlink w:anchor="SENTENCIA_2016_95" w:history="1">
        <w:r w:rsidRPr="0057104C">
          <w:rPr>
            <w:rStyle w:val="TextoNormalCaracter"/>
          </w:rPr>
          <w:t>95/2016</w:t>
        </w:r>
      </w:hyperlink>
      <w:r>
        <w:t>.</w:t>
      </w:r>
    </w:p>
    <w:p w:rsidR="0057104C" w:rsidRDefault="0057104C" w:rsidP="0057104C">
      <w:pPr>
        <w:pStyle w:val="SangriaFrancesaArticulo"/>
      </w:pPr>
    </w:p>
    <w:p w:rsidR="0057104C" w:rsidRDefault="0057104C" w:rsidP="0057104C">
      <w:pPr>
        <w:pStyle w:val="TextoNormalNegritaCursivandice"/>
      </w:pPr>
      <w:r>
        <w:t>Real Decreto 1048/2013, de 27 de diciembre. Establece la metodología para el cálculo de la retribución de la actividad de distribución de energía eléctrica</w:t>
      </w:r>
    </w:p>
    <w:p w:rsidR="0057104C" w:rsidRDefault="0057104C" w:rsidP="0057104C">
      <w:pPr>
        <w:pStyle w:val="SangriaFrancesaArticulo"/>
      </w:pPr>
      <w:r w:rsidRPr="0057104C">
        <w:rPr>
          <w:rStyle w:val="TextoNormalNegritaCaracter"/>
        </w:rPr>
        <w:t>Artículo 8.4.</w:t>
      </w:r>
      <w:r w:rsidRPr="0057104C">
        <w:rPr>
          <w:rStyle w:val="TextoNormalCaracter"/>
        </w:rPr>
        <w:t>-</w:t>
      </w:r>
      <w:r>
        <w:t xml:space="preserve"> Sentencia </w:t>
      </w:r>
      <w:hyperlink w:anchor="SENTENCIA_2016_120" w:history="1">
        <w:r w:rsidRPr="0057104C">
          <w:rPr>
            <w:rStyle w:val="TextoNormalCaracter"/>
          </w:rPr>
          <w:t>120/2016</w:t>
        </w:r>
      </w:hyperlink>
      <w:r>
        <w:t>.</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120" w:history="1">
        <w:r w:rsidRPr="0057104C">
          <w:rPr>
            <w:rStyle w:val="TextoNormalCaracter"/>
          </w:rPr>
          <w:t>120/2016</w:t>
        </w:r>
      </w:hyperlink>
      <w:r>
        <w:t>.</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20" w:history="1">
        <w:r w:rsidRPr="0057104C">
          <w:rPr>
            <w:rStyle w:val="TextoNormalCaracter"/>
          </w:rPr>
          <w:t>120/2016</w:t>
        </w:r>
      </w:hyperlink>
      <w:r>
        <w:t>.</w:t>
      </w:r>
    </w:p>
    <w:p w:rsidR="0057104C" w:rsidRDefault="0057104C" w:rsidP="0057104C">
      <w:pPr>
        <w:pStyle w:val="SangriaFrancesaArticulo"/>
      </w:pPr>
      <w:r w:rsidRPr="0057104C">
        <w:rPr>
          <w:rStyle w:val="TextoNormalNegritaCaracter"/>
        </w:rPr>
        <w:t>Artículo 22.1 e inciso "que se establecera....".</w:t>
      </w:r>
      <w:r w:rsidRPr="0057104C">
        <w:rPr>
          <w:rStyle w:val="TextoNormalCaracter"/>
        </w:rPr>
        <w:t>-</w:t>
      </w:r>
      <w:r>
        <w:t xml:space="preserve"> Sentencia </w:t>
      </w:r>
      <w:hyperlink w:anchor="SENTENCIA_2016_120" w:history="1">
        <w:r w:rsidRPr="0057104C">
          <w:rPr>
            <w:rStyle w:val="TextoNormalCaracter"/>
          </w:rPr>
          <w:t>120/2016</w:t>
        </w:r>
      </w:hyperlink>
      <w:r>
        <w:t xml:space="preserve"> (anula).</w:t>
      </w:r>
    </w:p>
    <w:p w:rsidR="0057104C" w:rsidRDefault="0057104C" w:rsidP="0057104C">
      <w:pPr>
        <w:pStyle w:val="SangriaFrancesaArticulo"/>
      </w:pPr>
      <w:r w:rsidRPr="0057104C">
        <w:rPr>
          <w:rStyle w:val="TextoNormalNegritaCaracter"/>
        </w:rPr>
        <w:t>Artículo 25.3.</w:t>
      </w:r>
      <w:r w:rsidRPr="0057104C">
        <w:rPr>
          <w:rStyle w:val="TextoNormalCaracter"/>
        </w:rPr>
        <w:t>-</w:t>
      </w:r>
      <w:r>
        <w:t xml:space="preserve"> Sentencia </w:t>
      </w:r>
      <w:hyperlink w:anchor="SENTENCIA_2016_120" w:history="1">
        <w:r w:rsidRPr="0057104C">
          <w:rPr>
            <w:rStyle w:val="TextoNormalCaracter"/>
          </w:rPr>
          <w:t>120/2016</w:t>
        </w:r>
      </w:hyperlink>
      <w:r>
        <w:t>.</w:t>
      </w:r>
    </w:p>
    <w:p w:rsidR="0057104C" w:rsidRDefault="0057104C" w:rsidP="0057104C">
      <w:pPr>
        <w:pStyle w:val="SangriaFrancesaArticulo"/>
      </w:pPr>
      <w:r w:rsidRPr="0057104C">
        <w:rPr>
          <w:rStyle w:val="TextoNormalNegritaCaracter"/>
        </w:rPr>
        <w:t>Artículo 25.4.</w:t>
      </w:r>
      <w:r w:rsidRPr="0057104C">
        <w:rPr>
          <w:rStyle w:val="TextoNormalCaracter"/>
        </w:rPr>
        <w:t>-</w:t>
      </w:r>
      <w:r>
        <w:t xml:space="preserve"> Sentencia </w:t>
      </w:r>
      <w:hyperlink w:anchor="SENTENCIA_2016_120" w:history="1">
        <w:r w:rsidRPr="0057104C">
          <w:rPr>
            <w:rStyle w:val="TextoNormalCaracter"/>
          </w:rPr>
          <w:t>120/2016</w:t>
        </w:r>
      </w:hyperlink>
      <w:r>
        <w:t>.</w:t>
      </w:r>
    </w:p>
    <w:p w:rsidR="0057104C" w:rsidRDefault="0057104C" w:rsidP="0057104C">
      <w:pPr>
        <w:pStyle w:val="SangriaFrancesaArticulo"/>
      </w:pPr>
      <w:r w:rsidRPr="0057104C">
        <w:rPr>
          <w:rStyle w:val="TextoNormalNegritaCaracter"/>
        </w:rPr>
        <w:t>Artículo 25.5 párrafo 1.</w:t>
      </w:r>
      <w:r w:rsidRPr="0057104C">
        <w:rPr>
          <w:rStyle w:val="TextoNormalCaracter"/>
        </w:rPr>
        <w:t>-</w:t>
      </w:r>
      <w:r>
        <w:t xml:space="preserve"> Sentencia </w:t>
      </w:r>
      <w:hyperlink w:anchor="SENTENCIA_2016_120" w:history="1">
        <w:r w:rsidRPr="0057104C">
          <w:rPr>
            <w:rStyle w:val="TextoNormalCaracter"/>
          </w:rPr>
          <w:t>120/2016</w:t>
        </w:r>
      </w:hyperlink>
      <w:r>
        <w:t>.</w:t>
      </w:r>
    </w:p>
    <w:p w:rsidR="0057104C" w:rsidRDefault="0057104C" w:rsidP="0057104C">
      <w:pPr>
        <w:pStyle w:val="SangriaFrancesaArticulo"/>
      </w:pPr>
      <w:r w:rsidRPr="0057104C">
        <w:rPr>
          <w:rStyle w:val="TextoNormalNegritaCaracter"/>
        </w:rPr>
        <w:t>Artículo 25.5 párrafo 2.</w:t>
      </w:r>
      <w:r w:rsidRPr="0057104C">
        <w:rPr>
          <w:rStyle w:val="TextoNormalCaracter"/>
        </w:rPr>
        <w:t>-</w:t>
      </w:r>
      <w:r>
        <w:t xml:space="preserve"> Sentencia </w:t>
      </w:r>
      <w:hyperlink w:anchor="SENTENCIA_2016_120" w:history="1">
        <w:r w:rsidRPr="0057104C">
          <w:rPr>
            <w:rStyle w:val="TextoNormalCaracter"/>
          </w:rPr>
          <w:t>120/2016</w:t>
        </w:r>
      </w:hyperlink>
      <w:r>
        <w:t>.</w:t>
      </w:r>
    </w:p>
    <w:p w:rsidR="0057104C" w:rsidRDefault="0057104C" w:rsidP="0057104C">
      <w:pPr>
        <w:pStyle w:val="SangriaFrancesaArticulo"/>
      </w:pPr>
      <w:r w:rsidRPr="0057104C">
        <w:rPr>
          <w:rStyle w:val="TextoNormalNegritaCaracter"/>
        </w:rPr>
        <w:t>Artículo 25.7.</w:t>
      </w:r>
      <w:r w:rsidRPr="0057104C">
        <w:rPr>
          <w:rStyle w:val="TextoNormalCaracter"/>
        </w:rPr>
        <w:t>-</w:t>
      </w:r>
      <w:r>
        <w:t xml:space="preserve"> Sentencia </w:t>
      </w:r>
      <w:hyperlink w:anchor="SENTENCIA_2016_120" w:history="1">
        <w:r w:rsidRPr="0057104C">
          <w:rPr>
            <w:rStyle w:val="TextoNormalCaracter"/>
          </w:rPr>
          <w:t>120/2016</w:t>
        </w:r>
      </w:hyperlink>
      <w:r>
        <w:t>.</w:t>
      </w:r>
    </w:p>
    <w:p w:rsidR="0057104C" w:rsidRDefault="0057104C" w:rsidP="0057104C">
      <w:pPr>
        <w:pStyle w:val="SangriaFrancesaArticulo"/>
      </w:pPr>
      <w:r w:rsidRPr="0057104C">
        <w:rPr>
          <w:rStyle w:val="TextoNormalNegritaCaracter"/>
        </w:rPr>
        <w:t>Artículo 26.3.</w:t>
      </w:r>
      <w:r w:rsidRPr="0057104C">
        <w:rPr>
          <w:rStyle w:val="TextoNormalCaracter"/>
        </w:rPr>
        <w:t>-</w:t>
      </w:r>
      <w:r>
        <w:t xml:space="preserve"> Sentencia </w:t>
      </w:r>
      <w:hyperlink w:anchor="SENTENCIA_2016_120" w:history="1">
        <w:r w:rsidRPr="0057104C">
          <w:rPr>
            <w:rStyle w:val="TextoNormalCaracter"/>
          </w:rPr>
          <w:t>120/2016</w:t>
        </w:r>
      </w:hyperlink>
      <w:r>
        <w:t>.</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Sentencia </w:t>
      </w:r>
      <w:hyperlink w:anchor="SENTENCIA_2016_120" w:history="1">
        <w:r w:rsidRPr="0057104C">
          <w:rPr>
            <w:rStyle w:val="TextoNormalCaracter"/>
          </w:rPr>
          <w:t>120/2016</w:t>
        </w:r>
      </w:hyperlink>
      <w:r>
        <w:t>.</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120" w:history="1">
        <w:r w:rsidRPr="0057104C">
          <w:rPr>
            <w:rStyle w:val="TextoNormalCaracter"/>
          </w:rPr>
          <w:t>120/2016</w:t>
        </w:r>
      </w:hyperlink>
      <w:r>
        <w:t>.</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120" w:history="1">
        <w:r w:rsidRPr="0057104C">
          <w:rPr>
            <w:rStyle w:val="TextoNormalCaracter"/>
          </w:rPr>
          <w:t>120/2016</w:t>
        </w:r>
      </w:hyperlink>
      <w:r>
        <w:t>.</w:t>
      </w:r>
    </w:p>
    <w:p w:rsidR="0057104C" w:rsidRDefault="0057104C" w:rsidP="0057104C">
      <w:pPr>
        <w:pStyle w:val="SangriaFrancesaArticulo"/>
      </w:pPr>
    </w:p>
    <w:p w:rsidR="0057104C" w:rsidRDefault="0057104C" w:rsidP="0057104C">
      <w:pPr>
        <w:pStyle w:val="TextoNormalNegritaCursivandice"/>
      </w:pPr>
      <w:r>
        <w:t>Resolución de 13 de mayo de 2013, de la Secretaría de Estado de la Seguridad Social. Se establece el Plan general de actividades preventivas de la Seguridad Social, a aplicar por las mutuas de accidentes de trabajo y enfermedades profesionales de la Seguridad Social en la planificación de sus actividades para el año 2013</w:t>
      </w:r>
    </w:p>
    <w:p w:rsidR="0057104C" w:rsidRDefault="0057104C" w:rsidP="0057104C">
      <w:pPr>
        <w:pStyle w:val="SangriaFrancesaArticulo"/>
      </w:pPr>
      <w:r w:rsidRPr="0057104C">
        <w:rPr>
          <w:rStyle w:val="TextoNormalNegritaCaracter"/>
        </w:rPr>
        <w:t>Apartado Noveno.</w:t>
      </w:r>
      <w:r w:rsidRPr="0057104C">
        <w:rPr>
          <w:rStyle w:val="TextoNormalCaracter"/>
        </w:rPr>
        <w:t>-</w:t>
      </w:r>
      <w:r>
        <w:t xml:space="preserve"> Sentencia </w:t>
      </w:r>
      <w:hyperlink w:anchor="SENTENCIA_2016_7" w:history="1">
        <w:r w:rsidRPr="0057104C">
          <w:rPr>
            <w:rStyle w:val="TextoNormalCaracter"/>
          </w:rPr>
          <w:t>7/2016</w:t>
        </w:r>
      </w:hyperlink>
      <w:r>
        <w:t>.</w:t>
      </w:r>
    </w:p>
    <w:p w:rsidR="0057104C" w:rsidRDefault="0057104C" w:rsidP="0057104C">
      <w:pPr>
        <w:pStyle w:val="SangriaFrancesaArticulo"/>
      </w:pPr>
    </w:p>
    <w:p w:rsidR="0057104C" w:rsidRDefault="0057104C" w:rsidP="0057104C">
      <w:pPr>
        <w:pStyle w:val="TextoNormalNegritaCursivandice"/>
      </w:pPr>
      <w:r>
        <w:t>Orden HAP/196/2015, de 21 de enero. Aprueba las bases reguladoras de las subvenciones que tengan por finalidad la ejecución de obras de reparación o restitución de: infraestructuras, equipamientos e instalaciones y servicios de titularidad municipal y de las mancomunidades, consecuencia de catástrofes naturales, así como redes viarias de las diputaciones provinciales, cabildos, consejos insulares y comunidades autónomas uniprovinciales</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87" w:history="1">
        <w:r w:rsidRPr="0057104C">
          <w:rPr>
            <w:rStyle w:val="TextoNormalCaracter"/>
          </w:rPr>
          <w:t>87/2016</w:t>
        </w:r>
      </w:hyperlink>
      <w:r>
        <w:t>.</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87" w:history="1">
        <w:r w:rsidRPr="0057104C">
          <w:rPr>
            <w:rStyle w:val="TextoNormalCaracter"/>
          </w:rPr>
          <w:t>87/2016</w:t>
        </w:r>
      </w:hyperlink>
      <w:r>
        <w:t xml:space="preserve"> (declara vulnerado el orden competencial).</w:t>
      </w:r>
    </w:p>
    <w:p w:rsidR="0057104C" w:rsidRDefault="0057104C" w:rsidP="0057104C">
      <w:pPr>
        <w:pStyle w:val="SangriaFrancesaArticulo"/>
      </w:pPr>
      <w:r w:rsidRPr="0057104C">
        <w:rPr>
          <w:rStyle w:val="TextoNormalNegritaCaracter"/>
        </w:rPr>
        <w:t>Artículo 6 apartados 1, 2, 5.</w:t>
      </w:r>
      <w:r w:rsidRPr="0057104C">
        <w:rPr>
          <w:rStyle w:val="TextoNormalCaracter"/>
        </w:rPr>
        <w:t>-</w:t>
      </w:r>
      <w:r>
        <w:t xml:space="preserve"> Sentencia </w:t>
      </w:r>
      <w:hyperlink w:anchor="SENTENCIA_2016_87" w:history="1">
        <w:r w:rsidRPr="0057104C">
          <w:rPr>
            <w:rStyle w:val="TextoNormalCaracter"/>
          </w:rPr>
          <w:t>87/2016</w:t>
        </w:r>
      </w:hyperlink>
      <w:r>
        <w:t xml:space="preserve"> (declara vulnerado el orden competencial).</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87" w:history="1">
        <w:r w:rsidRPr="0057104C">
          <w:rPr>
            <w:rStyle w:val="TextoNormalCaracter"/>
          </w:rPr>
          <w:t>87/2016</w:t>
        </w:r>
      </w:hyperlink>
      <w:r>
        <w:t xml:space="preserve"> (declara vulnerado el orden competencial).</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87" w:history="1">
        <w:r w:rsidRPr="0057104C">
          <w:rPr>
            <w:rStyle w:val="TextoNormalCaracter"/>
          </w:rPr>
          <w:t>87/2016</w:t>
        </w:r>
      </w:hyperlink>
      <w:r>
        <w:t xml:space="preserve"> (declara vulnerado el orden competencial).</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87" w:history="1">
        <w:r w:rsidRPr="0057104C">
          <w:rPr>
            <w:rStyle w:val="TextoNormalCaracter"/>
          </w:rPr>
          <w:t>87/2016</w:t>
        </w:r>
      </w:hyperlink>
      <w:r>
        <w:t xml:space="preserve"> (declara vulnerado el orden competencial).</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87" w:history="1">
        <w:r w:rsidRPr="0057104C">
          <w:rPr>
            <w:rStyle w:val="TextoNormalCaracter"/>
          </w:rPr>
          <w:t>87/2016</w:t>
        </w:r>
      </w:hyperlink>
      <w:r>
        <w:t xml:space="preserve"> (declara vulnerado el orden competencial).</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87" w:history="1">
        <w:r w:rsidRPr="0057104C">
          <w:rPr>
            <w:rStyle w:val="TextoNormalCaracter"/>
          </w:rPr>
          <w:t>87/2016</w:t>
        </w:r>
      </w:hyperlink>
      <w:r>
        <w:t>.</w:t>
      </w:r>
    </w:p>
    <w:p w:rsidR="0057104C" w:rsidRDefault="0057104C" w:rsidP="0057104C">
      <w:pPr>
        <w:pStyle w:val="SangriaFrancesaArticulo"/>
      </w:pPr>
    </w:p>
    <w:p w:rsidR="0057104C" w:rsidRDefault="0057104C" w:rsidP="0057104C">
      <w:pPr>
        <w:pStyle w:val="TextoNormalNegritaCursivandice"/>
      </w:pPr>
      <w:r>
        <w:t>Orden FOM/710/2015, de 30 de enero. Aprobación del Catálogo de líneas y tramos de la Red Ferroviaria de Interés General</w:t>
      </w:r>
    </w:p>
    <w:p w:rsidR="0057104C" w:rsidRDefault="0057104C" w:rsidP="0057104C">
      <w:pPr>
        <w:pStyle w:val="SangriaFrancesaArticulo"/>
      </w:pPr>
      <w:r w:rsidRPr="0057104C">
        <w:rPr>
          <w:rStyle w:val="TextoNormalNegritaCaracter"/>
        </w:rPr>
        <w:t>Anexo.</w:t>
      </w:r>
      <w:r w:rsidRPr="0057104C">
        <w:rPr>
          <w:rStyle w:val="TextoNormalCaracter"/>
        </w:rPr>
        <w:t>-</w:t>
      </w:r>
      <w:r>
        <w:t xml:space="preserve"> Sentencia </w:t>
      </w:r>
      <w:hyperlink w:anchor="SENTENCIA_2016_124" w:history="1">
        <w:r w:rsidRPr="0057104C">
          <w:rPr>
            <w:rStyle w:val="TextoNormalCaracter"/>
          </w:rPr>
          <w:t>124/2016</w:t>
        </w:r>
      </w:hyperlink>
      <w:r>
        <w:t xml:space="preserve"> (anula).</w:t>
      </w:r>
    </w:p>
    <w:p w:rsidR="0057104C" w:rsidRDefault="0057104C" w:rsidP="0057104C">
      <w:pPr>
        <w:pStyle w:val="TextoNormal"/>
      </w:pPr>
    </w:p>
    <w:p w:rsidR="0057104C" w:rsidRDefault="0057104C" w:rsidP="0057104C">
      <w:pPr>
        <w:pStyle w:val="SangriaFrancesaArticulo"/>
      </w:pPr>
      <w:bookmarkStart w:id="265" w:name="INDICE22824"/>
    </w:p>
    <w:bookmarkEnd w:id="265"/>
    <w:p w:rsidR="0057104C" w:rsidRDefault="0057104C" w:rsidP="0057104C">
      <w:pPr>
        <w:pStyle w:val="TextoIndiceNivel2"/>
        <w:suppressAutoHyphens/>
      </w:pPr>
      <w:r>
        <w:t>B) Disposiciones de las Comunidades y Ciudades Autónomas</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B.1) Cataluña</w:t>
      </w:r>
    </w:p>
    <w:p w:rsidR="0057104C" w:rsidRDefault="0057104C" w:rsidP="0057104C">
      <w:pPr>
        <w:pStyle w:val="TextoNormalNegritaCentrado"/>
      </w:pPr>
    </w:p>
    <w:p w:rsidR="0057104C" w:rsidRDefault="0057104C" w:rsidP="0057104C">
      <w:pPr>
        <w:pStyle w:val="TextoNormalNegritaCursivandice"/>
      </w:pPr>
      <w:r>
        <w:t>Decreto de la Generalitat de Cataluña 2/2016, de 13 de enero. Creación, denominación y determinación del ámbito de competencia de los departamentos de la Administración de la Generalitat de Cataluña</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Auto </w:t>
      </w:r>
      <w:hyperlink w:anchor="AUTO_2016_130" w:history="1">
        <w:r w:rsidRPr="0057104C">
          <w:rPr>
            <w:rStyle w:val="TextoNormalCaracter"/>
          </w:rPr>
          <w:t>130/2016</w:t>
        </w:r>
      </w:hyperlink>
      <w:r>
        <w:t>.</w:t>
      </w:r>
    </w:p>
    <w:p w:rsidR="0057104C" w:rsidRDefault="0057104C" w:rsidP="0057104C">
      <w:pPr>
        <w:pStyle w:val="SangriaFrancesaArticulo"/>
      </w:pPr>
      <w:r w:rsidRPr="0057104C">
        <w:rPr>
          <w:rStyle w:val="TextoNormalNegritaCaracter"/>
        </w:rPr>
        <w:t>Artículo 1.1 expresión "Asuntos Exteriores".</w:t>
      </w:r>
      <w:r w:rsidRPr="0057104C">
        <w:rPr>
          <w:rStyle w:val="TextoNormalCaracter"/>
        </w:rPr>
        <w:t>-</w:t>
      </w:r>
      <w:r>
        <w:t xml:space="preserve"> Auto </w:t>
      </w:r>
      <w:hyperlink w:anchor="AUTO_2016_130" w:history="1">
        <w:r w:rsidRPr="0057104C">
          <w:rPr>
            <w:rStyle w:val="TextoNormalCaracter"/>
          </w:rPr>
          <w:t>130/2016</w:t>
        </w:r>
      </w:hyperlink>
      <w:r>
        <w:t>.</w:t>
      </w:r>
    </w:p>
    <w:p w:rsidR="0057104C" w:rsidRDefault="0057104C" w:rsidP="0057104C">
      <w:pPr>
        <w:pStyle w:val="SangriaFrancesaArticulo"/>
      </w:pPr>
      <w:r w:rsidRPr="0057104C">
        <w:rPr>
          <w:rStyle w:val="TextoNormalNegritaCaracter"/>
        </w:rPr>
        <w:t>Artículo 3.3.1.</w:t>
      </w:r>
      <w:r w:rsidRPr="0057104C">
        <w:rPr>
          <w:rStyle w:val="TextoNormalCaracter"/>
        </w:rPr>
        <w:t>-</w:t>
      </w:r>
      <w:r>
        <w:t xml:space="preserve"> Auto </w:t>
      </w:r>
      <w:hyperlink w:anchor="AUTO_2016_130" w:history="1">
        <w:r w:rsidRPr="0057104C">
          <w:rPr>
            <w:rStyle w:val="TextoNormalCaracter"/>
          </w:rPr>
          <w:t>130/2016</w:t>
        </w:r>
      </w:hyperlink>
      <w:r>
        <w:t>.</w:t>
      </w:r>
    </w:p>
    <w:p w:rsidR="0057104C" w:rsidRDefault="0057104C" w:rsidP="0057104C">
      <w:pPr>
        <w:pStyle w:val="SangriaFrancesaArticulo"/>
      </w:pPr>
      <w:r w:rsidRPr="0057104C">
        <w:rPr>
          <w:rStyle w:val="TextoNormalNegritaCaracter"/>
        </w:rPr>
        <w:t>Artículo 3.3.2.</w:t>
      </w:r>
      <w:r w:rsidRPr="0057104C">
        <w:rPr>
          <w:rStyle w:val="TextoNormalCaracter"/>
        </w:rPr>
        <w:t>-</w:t>
      </w:r>
      <w:r>
        <w:t xml:space="preserve"> Auto </w:t>
      </w:r>
      <w:hyperlink w:anchor="AUTO_2016_130" w:history="1">
        <w:r w:rsidRPr="0057104C">
          <w:rPr>
            <w:rStyle w:val="TextoNormalCaracter"/>
          </w:rPr>
          <w:t>130/2016</w:t>
        </w:r>
      </w:hyperlink>
      <w:r>
        <w:t>.</w:t>
      </w:r>
    </w:p>
    <w:p w:rsidR="0057104C" w:rsidRDefault="0057104C" w:rsidP="0057104C">
      <w:pPr>
        <w:pStyle w:val="SangriaFrancesaArticulo"/>
      </w:pPr>
    </w:p>
    <w:p w:rsidR="0057104C" w:rsidRDefault="0057104C" w:rsidP="0057104C">
      <w:pPr>
        <w:pStyle w:val="TextoNormalNegritaCursivandice"/>
      </w:pPr>
      <w:r>
        <w:t>Decreto de la Generalitat de Cataluña 45/2016, de 19 de enero. Estructuración del departamento de asuntos exteriores, relaciones institucionales y transparencia</w:t>
      </w:r>
    </w:p>
    <w:p w:rsidR="0057104C" w:rsidRDefault="0057104C" w:rsidP="0057104C">
      <w:pPr>
        <w:pStyle w:val="SangriaFrancesaArticulo"/>
      </w:pPr>
      <w:r w:rsidRPr="0057104C">
        <w:rPr>
          <w:rStyle w:val="TextoNormalNegritaCaracter"/>
        </w:rPr>
        <w:t>Artículo 1.1 b).</w:t>
      </w:r>
      <w:r w:rsidRPr="0057104C">
        <w:rPr>
          <w:rStyle w:val="TextoNormalCaracter"/>
        </w:rPr>
        <w:t>-</w:t>
      </w:r>
      <w:r>
        <w:t xml:space="preserve"> Auto </w:t>
      </w:r>
      <w:hyperlink w:anchor="AUTO_2016_130" w:history="1">
        <w:r w:rsidRPr="0057104C">
          <w:rPr>
            <w:rStyle w:val="TextoNormalCaracter"/>
          </w:rPr>
          <w:t>130/2016</w:t>
        </w:r>
      </w:hyperlink>
      <w:r>
        <w:t>.</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Auto </w:t>
      </w:r>
      <w:hyperlink w:anchor="AUTO_2016_130" w:history="1">
        <w:r w:rsidRPr="0057104C">
          <w:rPr>
            <w:rStyle w:val="TextoNormalCaracter"/>
          </w:rPr>
          <w:t>130/2016</w:t>
        </w:r>
      </w:hyperlink>
      <w:r>
        <w:t>.</w:t>
      </w:r>
    </w:p>
    <w:p w:rsidR="0057104C" w:rsidRDefault="0057104C">
      <w:pPr>
        <w:spacing w:after="160" w:line="259" w:lineRule="auto"/>
        <w:rPr>
          <w:rFonts w:ascii="Times New Roman" w:eastAsia="Times New Roman" w:hAnsi="Times New Roman" w:cs="Times New Roman"/>
          <w:sz w:val="24"/>
          <w:szCs w:val="24"/>
          <w:lang w:eastAsia="es-ES"/>
        </w:rPr>
      </w:pPr>
      <w:r>
        <w:br w:type="page"/>
      </w:r>
    </w:p>
    <w:p w:rsidR="0057104C" w:rsidRDefault="0057104C" w:rsidP="0057104C">
      <w:pPr>
        <w:pStyle w:val="SangriaFrancesaArticulo"/>
      </w:pPr>
    </w:p>
    <w:p w:rsidR="0057104C" w:rsidRDefault="0057104C" w:rsidP="0057104C">
      <w:pPr>
        <w:pStyle w:val="TextoNormal"/>
      </w:pPr>
    </w:p>
    <w:p w:rsidR="0057104C" w:rsidRDefault="0057104C" w:rsidP="0057104C">
      <w:pPr>
        <w:pStyle w:val="TextoNormal"/>
      </w:pPr>
    </w:p>
    <w:p w:rsidR="0057104C" w:rsidRDefault="0057104C" w:rsidP="0057104C">
      <w:pPr>
        <w:pStyle w:val="TextoNormal"/>
      </w:pPr>
    </w:p>
    <w:p w:rsidR="0057104C" w:rsidRDefault="0057104C" w:rsidP="0057104C">
      <w:pPr>
        <w:pStyle w:val="Ttulondice"/>
        <w:suppressAutoHyphens/>
      </w:pPr>
      <w:r>
        <w:t>5. ÍNDICE DE DISPOSICIONES CITADAS</w:t>
      </w: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pPr>
    </w:p>
    <w:p w:rsidR="0057104C" w:rsidRDefault="0057104C" w:rsidP="0057104C">
      <w:pPr>
        <w:pStyle w:val="TextoNormal"/>
      </w:pPr>
      <w:bookmarkStart w:id="266" w:name="INDICE22804"/>
      <w:bookmarkEnd w:id="266"/>
    </w:p>
    <w:p w:rsidR="0057104C" w:rsidRDefault="0057104C" w:rsidP="0057104C">
      <w:pPr>
        <w:pStyle w:val="TextoIndiceNivel2"/>
        <w:suppressAutoHyphens/>
      </w:pPr>
      <w:r>
        <w:t>A) Constitución</w:t>
      </w:r>
    </w:p>
    <w:p w:rsidR="0057104C" w:rsidRDefault="0057104C" w:rsidP="0057104C">
      <w:pPr>
        <w:pStyle w:val="TextoIndiceNivel2"/>
      </w:pPr>
    </w:p>
    <w:p w:rsidR="0057104C" w:rsidRDefault="0057104C" w:rsidP="0057104C">
      <w:pPr>
        <w:pStyle w:val="TextoNormalNegritaCursivandice"/>
      </w:pPr>
      <w:r>
        <w:t>Constitución española, de 27 de diciembre de 1978</w:t>
      </w:r>
    </w:p>
    <w:p w:rsidR="0057104C" w:rsidRDefault="0057104C" w:rsidP="0057104C">
      <w:pPr>
        <w:pStyle w:val="SangriaFrancesaArticulo"/>
      </w:pPr>
      <w:r w:rsidRPr="0057104C">
        <w:rPr>
          <w:rStyle w:val="TextoNormalNegritaCaracter"/>
        </w:rPr>
        <w:t>Título VIII.</w:t>
      </w:r>
      <w:r w:rsidRPr="0057104C">
        <w:rPr>
          <w:rStyle w:val="TextoNormalCaracter"/>
        </w:rPr>
        <w:t>-</w:t>
      </w:r>
      <w:r>
        <w:t xml:space="preserve"> Sentencias </w:t>
      </w:r>
      <w:hyperlink w:anchor="SENTENCIA_2016_18" w:history="1">
        <w:r w:rsidRPr="0057104C">
          <w:rPr>
            <w:rStyle w:val="TextoNormalCaracter"/>
          </w:rPr>
          <w:t>18/2016</w:t>
        </w:r>
      </w:hyperlink>
      <w:r>
        <w:t xml:space="preserve">, f. 5; </w:t>
      </w:r>
      <w:hyperlink w:anchor="SENTENCIA_2016_74" w:history="1">
        <w:r w:rsidRPr="0057104C">
          <w:rPr>
            <w:rStyle w:val="TextoNormalCaracter"/>
          </w:rPr>
          <w:t>74/2016</w:t>
        </w:r>
      </w:hyperlink>
      <w:r>
        <w:t>, VP.</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Sentencias </w:t>
      </w:r>
      <w:hyperlink w:anchor="SENTENCIA_2016_34" w:history="1">
        <w:r w:rsidRPr="0057104C">
          <w:rPr>
            <w:rStyle w:val="TextoNormalCaracter"/>
          </w:rPr>
          <w:t>34/2016</w:t>
        </w:r>
      </w:hyperlink>
      <w:r>
        <w:t xml:space="preserve">, f. 5; </w:t>
      </w:r>
      <w:hyperlink w:anchor="SENTENCIA_2016_41" w:history="1">
        <w:r w:rsidRPr="0057104C">
          <w:rPr>
            <w:rStyle w:val="TextoNormalCaracter"/>
          </w:rPr>
          <w:t>41/2016</w:t>
        </w:r>
      </w:hyperlink>
      <w:r>
        <w:t xml:space="preserve">, f. 3; </w:t>
      </w:r>
      <w:hyperlink w:anchor="SENTENCIA_2016_62" w:history="1">
        <w:r w:rsidRPr="0057104C">
          <w:rPr>
            <w:rStyle w:val="TextoNormalCaracter"/>
          </w:rPr>
          <w:t>62/2016</w:t>
        </w:r>
      </w:hyperlink>
      <w:r>
        <w:t>, VPI.</w:t>
      </w:r>
    </w:p>
    <w:p w:rsidR="0057104C" w:rsidRDefault="0057104C" w:rsidP="0057104C">
      <w:pPr>
        <w:pStyle w:val="SangriaIzquierdaArticulo"/>
      </w:pPr>
      <w:r>
        <w:t xml:space="preserve">Auto </w:t>
      </w:r>
      <w:hyperlink w:anchor="AUTO_2016_104" w:history="1">
        <w:r w:rsidRPr="0057104C">
          <w:rPr>
            <w:rStyle w:val="TextoNormalCaracter"/>
          </w:rPr>
          <w:t>104/2016</w:t>
        </w:r>
      </w:hyperlink>
      <w:r>
        <w:t>, ff. 1, 3.</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Sentencias </w:t>
      </w:r>
      <w:hyperlink w:anchor="SENTENCIA_2016_38" w:history="1">
        <w:r w:rsidRPr="0057104C">
          <w:rPr>
            <w:rStyle w:val="TextoNormalCaracter"/>
          </w:rPr>
          <w:t>38/2016</w:t>
        </w:r>
      </w:hyperlink>
      <w:r>
        <w:t xml:space="preserve">, f. 2; </w:t>
      </w:r>
      <w:hyperlink w:anchor="SENTENCIA_2016_39" w:history="1">
        <w:r w:rsidRPr="0057104C">
          <w:rPr>
            <w:rStyle w:val="TextoNormalCaracter"/>
          </w:rPr>
          <w:t>39/2016</w:t>
        </w:r>
      </w:hyperlink>
      <w:r>
        <w:t xml:space="preserve">, VPI; </w:t>
      </w:r>
      <w:hyperlink w:anchor="SENTENCIA_2016_40" w:history="1">
        <w:r w:rsidRPr="0057104C">
          <w:rPr>
            <w:rStyle w:val="TextoNormalCaracter"/>
          </w:rPr>
          <w:t>40/2016</w:t>
        </w:r>
      </w:hyperlink>
      <w:r>
        <w:t xml:space="preserve">, ff. 1, 4; </w:t>
      </w:r>
      <w:hyperlink w:anchor="SENTENCIA_2016_62" w:history="1">
        <w:r w:rsidRPr="0057104C">
          <w:rPr>
            <w:rStyle w:val="TextoNormalCaracter"/>
          </w:rPr>
          <w:t>62/2016</w:t>
        </w:r>
      </w:hyperlink>
      <w:r>
        <w:t xml:space="preserve">, VPII; </w:t>
      </w:r>
      <w:hyperlink w:anchor="SENTENCIA_2016_74" w:history="1">
        <w:r w:rsidRPr="0057104C">
          <w:rPr>
            <w:rStyle w:val="TextoNormalCaracter"/>
          </w:rPr>
          <w:t>74/2016</w:t>
        </w:r>
      </w:hyperlink>
      <w:r>
        <w:t xml:space="preserve">, VP; </w:t>
      </w:r>
      <w:hyperlink w:anchor="SENTENCIA_2016_111" w:history="1">
        <w:r w:rsidRPr="0057104C">
          <w:rPr>
            <w:rStyle w:val="TextoNormalCaracter"/>
          </w:rPr>
          <w:t>111/2016</w:t>
        </w:r>
      </w:hyperlink>
      <w:r>
        <w:t>, ff. 1, 8.</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Sentencias </w:t>
      </w:r>
      <w:hyperlink w:anchor="SENTENCIA_2016_74" w:history="1">
        <w:r w:rsidRPr="0057104C">
          <w:rPr>
            <w:rStyle w:val="TextoNormalCaracter"/>
          </w:rPr>
          <w:t>74/2016</w:t>
        </w:r>
      </w:hyperlink>
      <w:r>
        <w:t xml:space="preserve">, VP; </w:t>
      </w:r>
      <w:hyperlink w:anchor="SENTENCIA_2016_82" w:history="1">
        <w:r w:rsidRPr="0057104C">
          <w:rPr>
            <w:rStyle w:val="TextoNormalCaracter"/>
          </w:rPr>
          <w:t>82/2016</w:t>
        </w:r>
      </w:hyperlink>
      <w:r>
        <w:t xml:space="preserve">, VP; </w:t>
      </w:r>
      <w:hyperlink w:anchor="SENTENCIA_2016_96" w:history="1">
        <w:r w:rsidRPr="0057104C">
          <w:rPr>
            <w:rStyle w:val="TextoNormalCaracter"/>
          </w:rPr>
          <w:t>96/2016</w:t>
        </w:r>
      </w:hyperlink>
      <w:r>
        <w:t xml:space="preserve">, f. 4; </w:t>
      </w:r>
      <w:hyperlink w:anchor="SENTENCIA_2016_110" w:history="1">
        <w:r w:rsidRPr="0057104C">
          <w:rPr>
            <w:rStyle w:val="TextoNormalCaracter"/>
          </w:rPr>
          <w:t>110/2016</w:t>
        </w:r>
      </w:hyperlink>
      <w:r>
        <w:t xml:space="preserve">, VP; </w:t>
      </w:r>
      <w:hyperlink w:anchor="SENTENCIA_2016_118" w:history="1">
        <w:r w:rsidRPr="0057104C">
          <w:rPr>
            <w:rStyle w:val="TextoNormalCaracter"/>
          </w:rPr>
          <w:t>118/2016</w:t>
        </w:r>
      </w:hyperlink>
      <w:r>
        <w:t>, ff. 2, 3.</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56" w:history="1">
        <w:r w:rsidRPr="0057104C">
          <w:rPr>
            <w:rStyle w:val="TextoNormalCaracter"/>
          </w:rPr>
          <w:t>56/2016</w:t>
        </w:r>
      </w:hyperlink>
      <w:r>
        <w:t>, f. 3.</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56" w:history="1">
        <w:r w:rsidRPr="0057104C">
          <w:rPr>
            <w:rStyle w:val="TextoNormalCaracter"/>
          </w:rPr>
          <w:t>56/2016</w:t>
        </w:r>
      </w:hyperlink>
      <w:r>
        <w:t>, ff. 1, 2.</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Sentencia </w:t>
      </w:r>
      <w:hyperlink w:anchor="SENTENCIA_2016_56" w:history="1">
        <w:r w:rsidRPr="0057104C">
          <w:rPr>
            <w:rStyle w:val="TextoNormalCaracter"/>
          </w:rPr>
          <w:t>56/2016</w:t>
        </w:r>
      </w:hyperlink>
      <w:r>
        <w:t>, ff. 1, 2.</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64" w:history="1">
        <w:r w:rsidRPr="0057104C">
          <w:rPr>
            <w:rStyle w:val="TextoNormalCaracter"/>
          </w:rPr>
          <w:t>64/2016</w:t>
        </w:r>
      </w:hyperlink>
      <w:r>
        <w:t>, f. 4.</w:t>
      </w:r>
    </w:p>
    <w:p w:rsidR="0057104C" w:rsidRDefault="0057104C" w:rsidP="0057104C">
      <w:pPr>
        <w:pStyle w:val="SangriaFrancesaArticulo"/>
      </w:pPr>
      <w:r w:rsidRPr="0057104C">
        <w:rPr>
          <w:rStyle w:val="TextoNormalNegritaCaracter"/>
        </w:rPr>
        <w:t>Artículo 9.1.</w:t>
      </w:r>
      <w:r w:rsidRPr="0057104C">
        <w:rPr>
          <w:rStyle w:val="TextoNormalCaracter"/>
        </w:rPr>
        <w:t>-</w:t>
      </w:r>
      <w:r>
        <w:t xml:space="preserve"> Sentencias </w:t>
      </w:r>
      <w:hyperlink w:anchor="SENTENCIA_2016_38" w:history="1">
        <w:r w:rsidRPr="0057104C">
          <w:rPr>
            <w:rStyle w:val="TextoNormalCaracter"/>
          </w:rPr>
          <w:t>38/2016</w:t>
        </w:r>
      </w:hyperlink>
      <w:r>
        <w:t xml:space="preserve">, f. 7; </w:t>
      </w:r>
      <w:hyperlink w:anchor="SENTENCIA_2016_41" w:history="1">
        <w:r w:rsidRPr="0057104C">
          <w:rPr>
            <w:rStyle w:val="TextoNormalCaracter"/>
          </w:rPr>
          <w:t>41/2016</w:t>
        </w:r>
      </w:hyperlink>
      <w:r>
        <w:t xml:space="preserve">, ff. 7, 8, 11; </w:t>
      </w:r>
      <w:hyperlink w:anchor="SENTENCIA_2016_61" w:history="1">
        <w:r w:rsidRPr="0057104C">
          <w:rPr>
            <w:rStyle w:val="TextoNormalCaracter"/>
          </w:rPr>
          <w:t>61/2016</w:t>
        </w:r>
      </w:hyperlink>
      <w:r>
        <w:t xml:space="preserve">, ff. 1, 6; </w:t>
      </w:r>
      <w:hyperlink w:anchor="SENTENCIA_2016_122" w:history="1">
        <w:r w:rsidRPr="0057104C">
          <w:rPr>
            <w:rStyle w:val="TextoNormalCaracter"/>
          </w:rPr>
          <w:t>122/2016</w:t>
        </w:r>
      </w:hyperlink>
      <w:r>
        <w:t>, ff. 4, 6.</w:t>
      </w:r>
    </w:p>
    <w:p w:rsidR="0057104C" w:rsidRDefault="0057104C" w:rsidP="0057104C">
      <w:pPr>
        <w:pStyle w:val="SangriaFrancesaArticulo"/>
      </w:pPr>
      <w:r w:rsidRPr="0057104C">
        <w:rPr>
          <w:rStyle w:val="TextoNormalNegritaCaracter"/>
        </w:rPr>
        <w:t>Artículo 9.2.</w:t>
      </w:r>
      <w:r w:rsidRPr="0057104C">
        <w:rPr>
          <w:rStyle w:val="TextoNormalCaracter"/>
        </w:rPr>
        <w:t>-</w:t>
      </w:r>
      <w:r>
        <w:t xml:space="preserve"> Sentencias </w:t>
      </w:r>
      <w:hyperlink w:anchor="SENTENCIA_2016_44" w:history="1">
        <w:r w:rsidRPr="0057104C">
          <w:rPr>
            <w:rStyle w:val="TextoNormalCaracter"/>
          </w:rPr>
          <w:t>44/2016</w:t>
        </w:r>
      </w:hyperlink>
      <w:r>
        <w:t xml:space="preserve">, f. 5; </w:t>
      </w:r>
      <w:hyperlink w:anchor="SENTENCIA_2016_62" w:history="1">
        <w:r w:rsidRPr="0057104C">
          <w:rPr>
            <w:rStyle w:val="TextoNormalCaracter"/>
          </w:rPr>
          <w:t>62/2016</w:t>
        </w:r>
      </w:hyperlink>
      <w:r>
        <w:t xml:space="preserve">, VPI; </w:t>
      </w:r>
      <w:hyperlink w:anchor="SENTENCIA_2016_81" w:history="1">
        <w:r w:rsidRPr="0057104C">
          <w:rPr>
            <w:rStyle w:val="TextoNormalCaracter"/>
          </w:rPr>
          <w:t>81/2016</w:t>
        </w:r>
      </w:hyperlink>
      <w:r>
        <w:t xml:space="preserve">, f. 1; </w:t>
      </w:r>
      <w:hyperlink w:anchor="SENTENCIA_2016_111" w:history="1">
        <w:r w:rsidRPr="0057104C">
          <w:rPr>
            <w:rStyle w:val="TextoNormalCaracter"/>
          </w:rPr>
          <w:t>111/2016</w:t>
        </w:r>
      </w:hyperlink>
      <w:r>
        <w:t xml:space="preserve">, f. 1;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Autos </w:t>
      </w:r>
      <w:hyperlink w:anchor="AUTO_2016_23" w:history="1">
        <w:r w:rsidRPr="0057104C">
          <w:rPr>
            <w:rStyle w:val="TextoNormalCaracter"/>
          </w:rPr>
          <w:t>23/2016</w:t>
        </w:r>
      </w:hyperlink>
      <w:r>
        <w:t xml:space="preserve">, ff. 1 a 3; </w:t>
      </w:r>
      <w:hyperlink w:anchor="AUTO_2016_76" w:history="1">
        <w:r w:rsidRPr="0057104C">
          <w:rPr>
            <w:rStyle w:val="TextoNormalCaracter"/>
          </w:rPr>
          <w:t>76/2016</w:t>
        </w:r>
      </w:hyperlink>
      <w:r>
        <w:t xml:space="preserve">, f. 3; </w:t>
      </w:r>
      <w:hyperlink w:anchor="AUTO_2016_77" w:history="1">
        <w:r w:rsidRPr="0057104C">
          <w:rPr>
            <w:rStyle w:val="TextoNormalCaracter"/>
          </w:rPr>
          <w:t>77/2016</w:t>
        </w:r>
      </w:hyperlink>
      <w:r>
        <w:t xml:space="preserve">, f. 5; </w:t>
      </w:r>
      <w:hyperlink w:anchor="AUTO_2016_78" w:history="1">
        <w:r w:rsidRPr="0057104C">
          <w:rPr>
            <w:rStyle w:val="TextoNormalCaracter"/>
          </w:rPr>
          <w:t>78/2016</w:t>
        </w:r>
      </w:hyperlink>
      <w:r>
        <w:t xml:space="preserve">, ff. 1 a 3; </w:t>
      </w:r>
      <w:hyperlink w:anchor="AUTO_2016_85" w:history="1">
        <w:r w:rsidRPr="0057104C">
          <w:rPr>
            <w:rStyle w:val="TextoNormalCaracter"/>
          </w:rPr>
          <w:t>85/2016</w:t>
        </w:r>
      </w:hyperlink>
      <w:r>
        <w:t xml:space="preserve">, ff. 1 a 3; </w:t>
      </w:r>
      <w:hyperlink w:anchor="AUTO_2016_86" w:history="1">
        <w:r w:rsidRPr="0057104C">
          <w:rPr>
            <w:rStyle w:val="TextoNormalCaracter"/>
          </w:rPr>
          <w:t>86/2016</w:t>
        </w:r>
      </w:hyperlink>
      <w:r>
        <w:t xml:space="preserve">, f. 5; </w:t>
      </w:r>
      <w:hyperlink w:anchor="AUTO_2016_87" w:history="1">
        <w:r w:rsidRPr="0057104C">
          <w:rPr>
            <w:rStyle w:val="TextoNormalCaracter"/>
          </w:rPr>
          <w:t>87/2016</w:t>
        </w:r>
      </w:hyperlink>
      <w:r>
        <w:t xml:space="preserve">, f. 3; </w:t>
      </w:r>
      <w:hyperlink w:anchor="AUTO_2016_88" w:history="1">
        <w:r w:rsidRPr="0057104C">
          <w:rPr>
            <w:rStyle w:val="TextoNormalCaracter"/>
          </w:rPr>
          <w:t>88/2016</w:t>
        </w:r>
      </w:hyperlink>
      <w:r>
        <w:t xml:space="preserve">, f. 3; </w:t>
      </w:r>
      <w:hyperlink w:anchor="AUTO_2016_104" w:history="1">
        <w:r w:rsidRPr="0057104C">
          <w:rPr>
            <w:rStyle w:val="TextoNormalCaracter"/>
          </w:rPr>
          <w:t>104/2016</w:t>
        </w:r>
      </w:hyperlink>
      <w:r>
        <w:t>, f. 3.</w:t>
      </w:r>
    </w:p>
    <w:p w:rsidR="0057104C" w:rsidRDefault="0057104C" w:rsidP="0057104C">
      <w:pPr>
        <w:pStyle w:val="SangriaFrancesaArticulo"/>
      </w:pPr>
      <w:r w:rsidRPr="0057104C">
        <w:rPr>
          <w:rStyle w:val="TextoNormalNegritaCaracter"/>
        </w:rPr>
        <w:t>Artículo 9.3.</w:t>
      </w:r>
      <w:r w:rsidRPr="0057104C">
        <w:rPr>
          <w:rStyle w:val="TextoNormalCaracter"/>
        </w:rPr>
        <w:t>-</w:t>
      </w:r>
      <w:r>
        <w:t xml:space="preserve"> Sentencias </w:t>
      </w:r>
      <w:hyperlink w:anchor="SENTENCIA_2016_1" w:history="1">
        <w:r w:rsidRPr="0057104C">
          <w:rPr>
            <w:rStyle w:val="TextoNormalCaracter"/>
          </w:rPr>
          <w:t>1/2016</w:t>
        </w:r>
      </w:hyperlink>
      <w:r>
        <w:t xml:space="preserve">, ff. 1, 3; </w:t>
      </w:r>
      <w:hyperlink w:anchor="SENTENCIA_2016_2" w:history="1">
        <w:r w:rsidRPr="0057104C">
          <w:rPr>
            <w:rStyle w:val="TextoNormalCaracter"/>
          </w:rPr>
          <w:t>2/2016</w:t>
        </w:r>
      </w:hyperlink>
      <w:r>
        <w:t xml:space="preserve">, ff. 1 a 3; </w:t>
      </w:r>
      <w:hyperlink w:anchor="SENTENCIA_2016_3" w:history="1">
        <w:r w:rsidRPr="0057104C">
          <w:rPr>
            <w:rStyle w:val="TextoNormalCaracter"/>
          </w:rPr>
          <w:t>3/2016</w:t>
        </w:r>
      </w:hyperlink>
      <w:r>
        <w:t xml:space="preserve">, ff. 2, 4; </w:t>
      </w:r>
      <w:hyperlink w:anchor="SENTENCIA_2016_4" w:history="1">
        <w:r w:rsidRPr="0057104C">
          <w:rPr>
            <w:rStyle w:val="TextoNormalCaracter"/>
          </w:rPr>
          <w:t>4/2016</w:t>
        </w:r>
      </w:hyperlink>
      <w:r>
        <w:t xml:space="preserve">, ff. 1 a 3; </w:t>
      </w:r>
      <w:hyperlink w:anchor="SENTENCIA_2016_16" w:history="1">
        <w:r w:rsidRPr="0057104C">
          <w:rPr>
            <w:rStyle w:val="TextoNormalCaracter"/>
          </w:rPr>
          <w:t>16/2016</w:t>
        </w:r>
      </w:hyperlink>
      <w:r>
        <w:t xml:space="preserve">, f. 1; </w:t>
      </w:r>
      <w:hyperlink w:anchor="SENTENCIA_2016_19" w:history="1">
        <w:r w:rsidRPr="0057104C">
          <w:rPr>
            <w:rStyle w:val="TextoNormalCaracter"/>
          </w:rPr>
          <w:t>19/2016</w:t>
        </w:r>
      </w:hyperlink>
      <w:r>
        <w:t xml:space="preserve">, ff. 1, 4, 5; </w:t>
      </w:r>
      <w:hyperlink w:anchor="SENTENCIA_2016_26" w:history="1">
        <w:r w:rsidRPr="0057104C">
          <w:rPr>
            <w:rStyle w:val="TextoNormalCaracter"/>
          </w:rPr>
          <w:t>26/2016</w:t>
        </w:r>
      </w:hyperlink>
      <w:r>
        <w:t xml:space="preserve">, ff. 1, 9, 10; </w:t>
      </w:r>
      <w:hyperlink w:anchor="SENTENCIA_2016_28" w:history="1">
        <w:r w:rsidRPr="0057104C">
          <w:rPr>
            <w:rStyle w:val="TextoNormalCaracter"/>
          </w:rPr>
          <w:t>28/2016</w:t>
        </w:r>
      </w:hyperlink>
      <w:r>
        <w:t xml:space="preserve">, f. 3; </w:t>
      </w:r>
      <w:hyperlink w:anchor="SENTENCIA_2016_29" w:history="1">
        <w:r w:rsidRPr="0057104C">
          <w:rPr>
            <w:rStyle w:val="TextoNormalCaracter"/>
          </w:rPr>
          <w:t>29/2016</w:t>
        </w:r>
      </w:hyperlink>
      <w:r>
        <w:t xml:space="preserve">, ff. 1, 4 a 6; </w:t>
      </w:r>
      <w:hyperlink w:anchor="SENTENCIA_2016_30" w:history="1">
        <w:r w:rsidRPr="0057104C">
          <w:rPr>
            <w:rStyle w:val="TextoNormalCaracter"/>
          </w:rPr>
          <w:t>30/2016</w:t>
        </w:r>
      </w:hyperlink>
      <w:r>
        <w:t xml:space="preserve">, ff. 1, 4, 5; </w:t>
      </w:r>
      <w:hyperlink w:anchor="SENTENCIA_2016_32" w:history="1">
        <w:r w:rsidRPr="0057104C">
          <w:rPr>
            <w:rStyle w:val="TextoNormalCaracter"/>
          </w:rPr>
          <w:t>32/2016</w:t>
        </w:r>
      </w:hyperlink>
      <w:r>
        <w:t xml:space="preserve">; </w:t>
      </w:r>
      <w:hyperlink w:anchor="SENTENCIA_2016_38" w:history="1">
        <w:r w:rsidRPr="0057104C">
          <w:rPr>
            <w:rStyle w:val="TextoNormalCaracter"/>
          </w:rPr>
          <w:t>38/2016</w:t>
        </w:r>
      </w:hyperlink>
      <w:r>
        <w:t xml:space="preserve">, ff. 1, 7, 8; </w:t>
      </w:r>
      <w:hyperlink w:anchor="SENTENCIA_2016_41" w:history="1">
        <w:r w:rsidRPr="0057104C">
          <w:rPr>
            <w:rStyle w:val="TextoNormalCaracter"/>
          </w:rPr>
          <w:t>41/2016</w:t>
        </w:r>
      </w:hyperlink>
      <w:r>
        <w:t xml:space="preserve">, ff. 7, 8, 11; </w:t>
      </w:r>
      <w:hyperlink w:anchor="SENTENCIA_2016_43" w:history="1">
        <w:r w:rsidRPr="0057104C">
          <w:rPr>
            <w:rStyle w:val="TextoNormalCaracter"/>
          </w:rPr>
          <w:t>43/2016</w:t>
        </w:r>
      </w:hyperlink>
      <w:r>
        <w:t xml:space="preserve">, ff. 1, 3; </w:t>
      </w:r>
      <w:hyperlink w:anchor="SENTENCIA_2016_46" w:history="1">
        <w:r w:rsidRPr="0057104C">
          <w:rPr>
            <w:rStyle w:val="TextoNormalCaracter"/>
          </w:rPr>
          <w:t>46/2016</w:t>
        </w:r>
      </w:hyperlink>
      <w:r>
        <w:t xml:space="preserve">, ff. 1 a 3; </w:t>
      </w:r>
      <w:hyperlink w:anchor="SENTENCIA_2016_47" w:history="1">
        <w:r w:rsidRPr="0057104C">
          <w:rPr>
            <w:rStyle w:val="TextoNormalCaracter"/>
          </w:rPr>
          <w:t>47/2016</w:t>
        </w:r>
      </w:hyperlink>
      <w:r>
        <w:t xml:space="preserve">, ff. 1, 2, 4; </w:t>
      </w:r>
      <w:hyperlink w:anchor="SENTENCIA_2016_52" w:history="1">
        <w:r w:rsidRPr="0057104C">
          <w:rPr>
            <w:rStyle w:val="TextoNormalCaracter"/>
          </w:rPr>
          <w:t>52/2016</w:t>
        </w:r>
      </w:hyperlink>
      <w:r>
        <w:t xml:space="preserve">, ff. 1, 3; </w:t>
      </w:r>
      <w:hyperlink w:anchor="SENTENCIA_2016_56" w:history="1">
        <w:r w:rsidRPr="0057104C">
          <w:rPr>
            <w:rStyle w:val="TextoNormalCaracter"/>
          </w:rPr>
          <w:t>56/2016</w:t>
        </w:r>
      </w:hyperlink>
      <w:r>
        <w:t xml:space="preserve">, ff. 1, 3, 4; </w:t>
      </w:r>
      <w:hyperlink w:anchor="SENTENCIA_2016_57" w:history="1">
        <w:r w:rsidRPr="0057104C">
          <w:rPr>
            <w:rStyle w:val="TextoNormalCaracter"/>
          </w:rPr>
          <w:t>57/2016</w:t>
        </w:r>
      </w:hyperlink>
      <w:r>
        <w:t xml:space="preserve">, ff. 5, 9, 11; </w:t>
      </w:r>
      <w:hyperlink w:anchor="SENTENCIA_2016_61" w:history="1">
        <w:r w:rsidRPr="0057104C">
          <w:rPr>
            <w:rStyle w:val="TextoNormalCaracter"/>
          </w:rPr>
          <w:t>61/2016</w:t>
        </w:r>
      </w:hyperlink>
      <w:r>
        <w:t xml:space="preserve">, ff. 1, 4, 5; </w:t>
      </w:r>
      <w:hyperlink w:anchor="SENTENCIA_2016_79" w:history="1">
        <w:r w:rsidRPr="0057104C">
          <w:rPr>
            <w:rStyle w:val="TextoNormalCaracter"/>
          </w:rPr>
          <w:t>79/2016</w:t>
        </w:r>
      </w:hyperlink>
      <w:r>
        <w:t xml:space="preserve">, f. 1; </w:t>
      </w:r>
      <w:hyperlink w:anchor="SENTENCIA_2016_80" w:history="1">
        <w:r w:rsidRPr="0057104C">
          <w:rPr>
            <w:rStyle w:val="TextoNormalCaracter"/>
          </w:rPr>
          <w:t>80/2016</w:t>
        </w:r>
      </w:hyperlink>
      <w:r>
        <w:t xml:space="preserve">, ff. 1, 2; </w:t>
      </w:r>
      <w:hyperlink w:anchor="SENTENCIA_2016_90" w:history="1">
        <w:r w:rsidRPr="0057104C">
          <w:rPr>
            <w:rStyle w:val="TextoNormalCaracter"/>
          </w:rPr>
          <w:t>90/2016</w:t>
        </w:r>
      </w:hyperlink>
      <w:r>
        <w:t xml:space="preserve">, ff. 1 a 3; </w:t>
      </w:r>
      <w:hyperlink w:anchor="SENTENCIA_2016_96" w:history="1">
        <w:r w:rsidRPr="0057104C">
          <w:rPr>
            <w:rStyle w:val="TextoNormalCaracter"/>
          </w:rPr>
          <w:t>96/2016</w:t>
        </w:r>
      </w:hyperlink>
      <w:r>
        <w:t xml:space="preserve">, ff. 4, 6; </w:t>
      </w:r>
      <w:hyperlink w:anchor="SENTENCIA_2016_97" w:history="1">
        <w:r w:rsidRPr="0057104C">
          <w:rPr>
            <w:rStyle w:val="TextoNormalCaracter"/>
          </w:rPr>
          <w:t>97/2016</w:t>
        </w:r>
      </w:hyperlink>
      <w:r>
        <w:t xml:space="preserve">, f. 1; </w:t>
      </w:r>
      <w:hyperlink w:anchor="SENTENCIA_2016_99" w:history="1">
        <w:r w:rsidRPr="0057104C">
          <w:rPr>
            <w:rStyle w:val="TextoNormalCaracter"/>
          </w:rPr>
          <w:t>99/2016</w:t>
        </w:r>
      </w:hyperlink>
      <w:r>
        <w:t xml:space="preserve">, VP; </w:t>
      </w:r>
      <w:hyperlink w:anchor="SENTENCIA_2016_104" w:history="1">
        <w:r w:rsidRPr="0057104C">
          <w:rPr>
            <w:rStyle w:val="TextoNormalCaracter"/>
          </w:rPr>
          <w:t>104/2016</w:t>
        </w:r>
      </w:hyperlink>
      <w:r>
        <w:t xml:space="preserve">, f. 1; </w:t>
      </w:r>
      <w:hyperlink w:anchor="SENTENCIA_2016_106" w:history="1">
        <w:r w:rsidRPr="0057104C">
          <w:rPr>
            <w:rStyle w:val="TextoNormalCaracter"/>
          </w:rPr>
          <w:t>106/2016</w:t>
        </w:r>
      </w:hyperlink>
      <w:r>
        <w:t xml:space="preserve">, f. 1; </w:t>
      </w:r>
      <w:hyperlink w:anchor="SENTENCIA_2016_111" w:history="1">
        <w:r w:rsidRPr="0057104C">
          <w:rPr>
            <w:rStyle w:val="TextoNormalCaracter"/>
          </w:rPr>
          <w:t>111/2016</w:t>
        </w:r>
      </w:hyperlink>
      <w:r>
        <w:t xml:space="preserve">, f. 8; </w:t>
      </w:r>
      <w:hyperlink w:anchor="SENTENCIA_2016_118" w:history="1">
        <w:r w:rsidRPr="0057104C">
          <w:rPr>
            <w:rStyle w:val="TextoNormalCaracter"/>
          </w:rPr>
          <w:t>118/2016</w:t>
        </w:r>
      </w:hyperlink>
      <w:r>
        <w:t xml:space="preserve">, ff. 3, 4; </w:t>
      </w:r>
      <w:hyperlink w:anchor="SENTENCIA_2016_119" w:history="1">
        <w:r w:rsidRPr="0057104C">
          <w:rPr>
            <w:rStyle w:val="TextoNormalCaracter"/>
          </w:rPr>
          <w:t>119/2016</w:t>
        </w:r>
      </w:hyperlink>
      <w:r>
        <w:t xml:space="preserve">, f. 6; </w:t>
      </w:r>
      <w:hyperlink w:anchor="SENTENCIA_2016_122" w:history="1">
        <w:r w:rsidRPr="0057104C">
          <w:rPr>
            <w:rStyle w:val="TextoNormalCaracter"/>
          </w:rPr>
          <w:t>122/2016</w:t>
        </w:r>
      </w:hyperlink>
      <w:r>
        <w:t xml:space="preserve">, ff. 1, 2, 6; </w:t>
      </w:r>
      <w:hyperlink w:anchor="SENTENCIA_2016_123" w:history="1">
        <w:r w:rsidRPr="0057104C">
          <w:rPr>
            <w:rStyle w:val="TextoNormalCaracter"/>
          </w:rPr>
          <w:t>123/2016</w:t>
        </w:r>
      </w:hyperlink>
      <w:r>
        <w:t>, f. 1.</w:t>
      </w:r>
    </w:p>
    <w:p w:rsidR="0057104C" w:rsidRDefault="0057104C" w:rsidP="0057104C">
      <w:pPr>
        <w:pStyle w:val="SangriaIzquierdaArticulo"/>
      </w:pPr>
      <w:r>
        <w:t xml:space="preserve">Autos </w:t>
      </w:r>
      <w:hyperlink w:anchor="AUTO_2016_13" w:history="1">
        <w:r w:rsidRPr="0057104C">
          <w:rPr>
            <w:rStyle w:val="TextoNormalCaracter"/>
          </w:rPr>
          <w:t>13/2016</w:t>
        </w:r>
      </w:hyperlink>
      <w:r>
        <w:t xml:space="preserve">, f. 1; </w:t>
      </w:r>
      <w:hyperlink w:anchor="AUTO_2016_71" w:history="1">
        <w:r w:rsidRPr="0057104C">
          <w:rPr>
            <w:rStyle w:val="TextoNormalCaracter"/>
          </w:rPr>
          <w:t>71/2016</w:t>
        </w:r>
      </w:hyperlink>
      <w:r>
        <w:t xml:space="preserve">, f. 1; </w:t>
      </w:r>
      <w:hyperlink w:anchor="AUTO_2016_84" w:history="1">
        <w:r w:rsidRPr="0057104C">
          <w:rPr>
            <w:rStyle w:val="TextoNormalCaracter"/>
          </w:rPr>
          <w:t>84/2016</w:t>
        </w:r>
      </w:hyperlink>
      <w:r>
        <w:t xml:space="preserve">, ff. 1, 4; </w:t>
      </w:r>
      <w:hyperlink w:anchor="AUTO_2016_101" w:history="1">
        <w:r w:rsidRPr="0057104C">
          <w:rPr>
            <w:rStyle w:val="TextoNormalCaracter"/>
          </w:rPr>
          <w:t>101/2016</w:t>
        </w:r>
      </w:hyperlink>
      <w:r>
        <w:t xml:space="preserve">, ff. 1, 3; </w:t>
      </w:r>
      <w:hyperlink w:anchor="AUTO_2016_102" w:history="1">
        <w:r w:rsidRPr="0057104C">
          <w:rPr>
            <w:rStyle w:val="TextoNormalCaracter"/>
          </w:rPr>
          <w:t>102/2016</w:t>
        </w:r>
      </w:hyperlink>
      <w:r>
        <w:t xml:space="preserve">, ff. 1, 3; </w:t>
      </w:r>
      <w:hyperlink w:anchor="AUTO_2016_103" w:history="1">
        <w:r w:rsidRPr="0057104C">
          <w:rPr>
            <w:rStyle w:val="TextoNormalCaracter"/>
          </w:rPr>
          <w:t>103/2016</w:t>
        </w:r>
      </w:hyperlink>
      <w:r>
        <w:t xml:space="preserve">, ff. 1, 4; </w:t>
      </w:r>
      <w:hyperlink w:anchor="AUTO_2016_131" w:history="1">
        <w:r w:rsidRPr="0057104C">
          <w:rPr>
            <w:rStyle w:val="TextoNormalCaracter"/>
          </w:rPr>
          <w:t>131/2016</w:t>
        </w:r>
      </w:hyperlink>
      <w:r>
        <w:t xml:space="preserve">, ff. 1, 6; </w:t>
      </w:r>
      <w:hyperlink w:anchor="AUTO_2016_132" w:history="1">
        <w:r w:rsidRPr="0057104C">
          <w:rPr>
            <w:rStyle w:val="TextoNormalCaracter"/>
          </w:rPr>
          <w:t>132/2016</w:t>
        </w:r>
      </w:hyperlink>
      <w:r>
        <w:t xml:space="preserve">, ff. 1, 5; </w:t>
      </w:r>
      <w:hyperlink w:anchor="AUTO_2016_134" w:history="1">
        <w:r w:rsidRPr="0057104C">
          <w:rPr>
            <w:rStyle w:val="TextoNormalCaracter"/>
          </w:rPr>
          <w:t>134/2016</w:t>
        </w:r>
      </w:hyperlink>
      <w:r>
        <w:t>, ff. 1, 6.</w:t>
      </w:r>
    </w:p>
    <w:p w:rsidR="0057104C" w:rsidRDefault="0057104C" w:rsidP="0057104C">
      <w:pPr>
        <w:pStyle w:val="SangriaFrancesaArticulo"/>
      </w:pPr>
      <w:r w:rsidRPr="0057104C">
        <w:rPr>
          <w:rStyle w:val="TextoNormalNegritaCaracter"/>
        </w:rPr>
        <w:t>Artículo 9.3</w:t>
      </w:r>
      <w:r>
        <w:t xml:space="preserve"> (interdicción de la arbitrariedad de los poderes públicos)</w:t>
      </w:r>
      <w:r w:rsidRPr="0057104C">
        <w:rPr>
          <w:rStyle w:val="TextoNormalNegritaCaracter"/>
        </w:rPr>
        <w:t>.</w:t>
      </w:r>
      <w:r w:rsidRPr="0057104C">
        <w:rPr>
          <w:rStyle w:val="TextoNormalCaracter"/>
        </w:rPr>
        <w:t>-</w:t>
      </w:r>
      <w:r>
        <w:t xml:space="preserve"> Sentencia </w:t>
      </w:r>
      <w:hyperlink w:anchor="SENTENCIA_2016_121" w:history="1">
        <w:r w:rsidRPr="0057104C">
          <w:rPr>
            <w:rStyle w:val="TextoNormalCaracter"/>
          </w:rPr>
          <w:t>121/2016</w:t>
        </w:r>
      </w:hyperlink>
      <w:r>
        <w:t>, f. 4.</w:t>
      </w:r>
    </w:p>
    <w:p w:rsidR="0057104C" w:rsidRDefault="0057104C" w:rsidP="0057104C">
      <w:pPr>
        <w:pStyle w:val="SangriaIzquierdaArticulo"/>
      </w:pPr>
      <w:r>
        <w:t xml:space="preserve">Autos </w:t>
      </w:r>
      <w:hyperlink w:anchor="AUTO_2016_24" w:history="1">
        <w:r w:rsidRPr="0057104C">
          <w:rPr>
            <w:rStyle w:val="TextoNormalCaracter"/>
          </w:rPr>
          <w:t>24/2016</w:t>
        </w:r>
      </w:hyperlink>
      <w:r>
        <w:t xml:space="preserve">, f. 2; </w:t>
      </w:r>
      <w:hyperlink w:anchor="AUTO_2016_44" w:history="1">
        <w:r w:rsidRPr="0057104C">
          <w:rPr>
            <w:rStyle w:val="TextoNormalCaracter"/>
          </w:rPr>
          <w:t>44/2016</w:t>
        </w:r>
      </w:hyperlink>
      <w:r>
        <w:t xml:space="preserve">, f. único; </w:t>
      </w:r>
      <w:hyperlink w:anchor="AUTO_2016_84" w:history="1">
        <w:r w:rsidRPr="0057104C">
          <w:rPr>
            <w:rStyle w:val="TextoNormalCaracter"/>
          </w:rPr>
          <w:t>84/2016</w:t>
        </w:r>
      </w:hyperlink>
      <w:r>
        <w:t>, f. 4.</w:t>
      </w:r>
    </w:p>
    <w:p w:rsidR="0057104C" w:rsidRDefault="0057104C" w:rsidP="0057104C">
      <w:pPr>
        <w:pStyle w:val="SangriaFrancesaArticulo"/>
      </w:pPr>
      <w:r w:rsidRPr="0057104C">
        <w:rPr>
          <w:rStyle w:val="TextoNormalNegritaCaracter"/>
        </w:rPr>
        <w:t>Artículo 9.3</w:t>
      </w:r>
      <w:r>
        <w:t xml:space="preserve"> (irretroactividad)</w:t>
      </w:r>
      <w:r w:rsidRPr="0057104C">
        <w:rPr>
          <w:rStyle w:val="TextoNormalNegritaCaracter"/>
        </w:rPr>
        <w:t>.</w:t>
      </w:r>
      <w:r w:rsidRPr="0057104C">
        <w:rPr>
          <w:rStyle w:val="TextoNormalCaracter"/>
        </w:rPr>
        <w:t>-</w:t>
      </w:r>
      <w:r>
        <w:t xml:space="preserve"> Autos </w:t>
      </w:r>
      <w:hyperlink w:anchor="AUTO_2016_71" w:history="1">
        <w:r w:rsidRPr="0057104C">
          <w:rPr>
            <w:rStyle w:val="TextoNormalCaracter"/>
          </w:rPr>
          <w:t>71/2016</w:t>
        </w:r>
      </w:hyperlink>
      <w:r>
        <w:t xml:space="preserve">, ff. 1, 3; </w:t>
      </w:r>
      <w:hyperlink w:anchor="AUTO_2016_131" w:history="1">
        <w:r w:rsidRPr="0057104C">
          <w:rPr>
            <w:rStyle w:val="TextoNormalCaracter"/>
          </w:rPr>
          <w:t>131/2016</w:t>
        </w:r>
      </w:hyperlink>
      <w:r>
        <w:t xml:space="preserve">, f. 6; </w:t>
      </w:r>
      <w:hyperlink w:anchor="AUTO_2016_134" w:history="1">
        <w:r w:rsidRPr="0057104C">
          <w:rPr>
            <w:rStyle w:val="TextoNormalCaracter"/>
          </w:rPr>
          <w:t>134/2016</w:t>
        </w:r>
      </w:hyperlink>
      <w:r>
        <w:t>, f. 6.</w:t>
      </w:r>
    </w:p>
    <w:p w:rsidR="0057104C" w:rsidRDefault="0057104C" w:rsidP="0057104C">
      <w:pPr>
        <w:pStyle w:val="SangriaFrancesaArticulo"/>
      </w:pPr>
      <w:r w:rsidRPr="0057104C">
        <w:rPr>
          <w:rStyle w:val="TextoNormalNegritaCaracter"/>
        </w:rPr>
        <w:t>Artículo 9.3</w:t>
      </w:r>
      <w:r>
        <w:t xml:space="preserve"> (seguridad jurídica)</w:t>
      </w:r>
      <w:r w:rsidRPr="0057104C">
        <w:rPr>
          <w:rStyle w:val="TextoNormalNegritaCaracter"/>
        </w:rPr>
        <w:t>.</w:t>
      </w:r>
      <w:r w:rsidRPr="0057104C">
        <w:rPr>
          <w:rStyle w:val="TextoNormalCaracter"/>
        </w:rPr>
        <w:t>-</w:t>
      </w:r>
      <w:r>
        <w:t xml:space="preserve"> Sentencias </w:t>
      </w:r>
      <w:hyperlink w:anchor="SENTENCIA_2016_42" w:history="1">
        <w:r w:rsidRPr="0057104C">
          <w:rPr>
            <w:rStyle w:val="TextoNormalCaracter"/>
          </w:rPr>
          <w:t>42/2016</w:t>
        </w:r>
      </w:hyperlink>
      <w:r>
        <w:t xml:space="preserve">, ff. 1, 4; </w:t>
      </w:r>
      <w:hyperlink w:anchor="SENTENCIA_2016_110" w:history="1">
        <w:r w:rsidRPr="0057104C">
          <w:rPr>
            <w:rStyle w:val="TextoNormalCaracter"/>
          </w:rPr>
          <w:t>110/2016</w:t>
        </w:r>
      </w:hyperlink>
      <w:r>
        <w:t xml:space="preserve">, f. 10; </w:t>
      </w:r>
      <w:hyperlink w:anchor="SENTENCIA_2016_121" w:history="1">
        <w:r w:rsidRPr="0057104C">
          <w:rPr>
            <w:rStyle w:val="TextoNormalCaracter"/>
          </w:rPr>
          <w:t>121/2016</w:t>
        </w:r>
      </w:hyperlink>
      <w:r>
        <w:t xml:space="preserve">, ff. 1, 4 a 6; </w:t>
      </w:r>
      <w:hyperlink w:anchor="SENTENCIA_2016_123" w:history="1">
        <w:r w:rsidRPr="0057104C">
          <w:rPr>
            <w:rStyle w:val="TextoNormalCaracter"/>
          </w:rPr>
          <w:t>123/2016</w:t>
        </w:r>
      </w:hyperlink>
      <w:r>
        <w:t>, ff. 2, 3.</w:t>
      </w:r>
    </w:p>
    <w:p w:rsidR="0057104C" w:rsidRDefault="0057104C" w:rsidP="0057104C">
      <w:pPr>
        <w:pStyle w:val="SangriaIzquierdaArticulo"/>
      </w:pPr>
      <w:r>
        <w:t xml:space="preserve">Autos </w:t>
      </w:r>
      <w:hyperlink w:anchor="AUTO_2016_71" w:history="1">
        <w:r w:rsidRPr="0057104C">
          <w:rPr>
            <w:rStyle w:val="TextoNormalCaracter"/>
          </w:rPr>
          <w:t>71/2016</w:t>
        </w:r>
      </w:hyperlink>
      <w:r>
        <w:t xml:space="preserve">, f. 1; </w:t>
      </w:r>
      <w:hyperlink w:anchor="AUTO_2016_72" w:history="1">
        <w:r w:rsidRPr="0057104C">
          <w:rPr>
            <w:rStyle w:val="TextoNormalCaracter"/>
          </w:rPr>
          <w:t>72/2016</w:t>
        </w:r>
      </w:hyperlink>
      <w:r>
        <w:t>, f. 4.</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11" w:history="1">
        <w:r w:rsidRPr="0057104C">
          <w:rPr>
            <w:rStyle w:val="TextoNormalCaracter"/>
          </w:rPr>
          <w:t>11/2016</w:t>
        </w:r>
      </w:hyperlink>
      <w:r>
        <w:t>, VPIII.</w:t>
      </w:r>
    </w:p>
    <w:p w:rsidR="0057104C" w:rsidRDefault="0057104C" w:rsidP="0057104C">
      <w:pPr>
        <w:pStyle w:val="SangriaFrancesaArticulo"/>
      </w:pPr>
      <w:r w:rsidRPr="0057104C">
        <w:rPr>
          <w:rStyle w:val="TextoNormalNegritaCaracter"/>
        </w:rPr>
        <w:t>Artículo 10.1.</w:t>
      </w:r>
      <w:r w:rsidRPr="0057104C">
        <w:rPr>
          <w:rStyle w:val="TextoNormalCaracter"/>
        </w:rPr>
        <w:t>-</w:t>
      </w:r>
      <w:r>
        <w:t xml:space="preserve"> Sentencias </w:t>
      </w:r>
      <w:hyperlink w:anchor="SENTENCIA_2016_11" w:history="1">
        <w:r w:rsidRPr="0057104C">
          <w:rPr>
            <w:rStyle w:val="TextoNormalCaracter"/>
          </w:rPr>
          <w:t>11/2016</w:t>
        </w:r>
      </w:hyperlink>
      <w:r>
        <w:t xml:space="preserve">, VPIII; </w:t>
      </w:r>
      <w:hyperlink w:anchor="SENTENCIA_2016_34" w:history="1">
        <w:r w:rsidRPr="0057104C">
          <w:rPr>
            <w:rStyle w:val="TextoNormalCaracter"/>
          </w:rPr>
          <w:t>34/2016</w:t>
        </w:r>
      </w:hyperlink>
      <w:r>
        <w:t xml:space="preserve">, f. 4; </w:t>
      </w:r>
      <w:hyperlink w:anchor="SENTENCIA_2016_69" w:history="1">
        <w:r w:rsidRPr="0057104C">
          <w:rPr>
            <w:rStyle w:val="TextoNormalCaracter"/>
          </w:rPr>
          <w:t>69/2016</w:t>
        </w:r>
      </w:hyperlink>
      <w:r>
        <w:t xml:space="preserve">, ff. 2, 4, VP II; </w:t>
      </w:r>
      <w:hyperlink w:anchor="SENTENCIA_2016_110" w:history="1">
        <w:r w:rsidRPr="0057104C">
          <w:rPr>
            <w:rStyle w:val="TextoNormalCaracter"/>
          </w:rPr>
          <w:t>110/2016</w:t>
        </w:r>
      </w:hyperlink>
      <w:r>
        <w:t>, f. 1.</w:t>
      </w:r>
    </w:p>
    <w:p w:rsidR="0057104C" w:rsidRDefault="0057104C" w:rsidP="0057104C">
      <w:pPr>
        <w:pStyle w:val="SangriaIzquierdaArticulo"/>
      </w:pPr>
      <w:r>
        <w:t xml:space="preserve">Auto </w:t>
      </w:r>
      <w:hyperlink w:anchor="AUTO_2016_129" w:history="1">
        <w:r w:rsidRPr="0057104C">
          <w:rPr>
            <w:rStyle w:val="TextoNormalCaracter"/>
          </w:rPr>
          <w:t>129/2016</w:t>
        </w:r>
      </w:hyperlink>
      <w:r>
        <w:t>, VP.</w:t>
      </w:r>
    </w:p>
    <w:p w:rsidR="0057104C" w:rsidRDefault="0057104C" w:rsidP="0057104C">
      <w:pPr>
        <w:pStyle w:val="SangriaFrancesaArticulo"/>
      </w:pPr>
      <w:r w:rsidRPr="0057104C">
        <w:rPr>
          <w:rStyle w:val="TextoNormalNegritaCaracter"/>
        </w:rPr>
        <w:t>Artículo 10.2.</w:t>
      </w:r>
      <w:r w:rsidRPr="0057104C">
        <w:rPr>
          <w:rStyle w:val="TextoNormalCaracter"/>
        </w:rPr>
        <w:t>-</w:t>
      </w:r>
      <w:r>
        <w:t xml:space="preserve"> Sentencias </w:t>
      </w:r>
      <w:hyperlink w:anchor="SENTENCIA_2016_11" w:history="1">
        <w:r w:rsidRPr="0057104C">
          <w:rPr>
            <w:rStyle w:val="TextoNormalCaracter"/>
          </w:rPr>
          <w:t>11/2016</w:t>
        </w:r>
      </w:hyperlink>
      <w:r>
        <w:t xml:space="preserve">, f. 3, VPI, VPII, VPIII; </w:t>
      </w:r>
      <w:hyperlink w:anchor="SENTENCIA_2016_56" w:history="1">
        <w:r w:rsidRPr="0057104C">
          <w:rPr>
            <w:rStyle w:val="TextoNormalCaracter"/>
          </w:rPr>
          <w:t>56/2016</w:t>
        </w:r>
      </w:hyperlink>
      <w:r>
        <w:t xml:space="preserve">, f. 5; </w:t>
      </w:r>
      <w:hyperlink w:anchor="SENTENCIA_2016_58" w:history="1">
        <w:r w:rsidRPr="0057104C">
          <w:rPr>
            <w:rStyle w:val="TextoNormalCaracter"/>
          </w:rPr>
          <w:t>58/2016</w:t>
        </w:r>
      </w:hyperlink>
      <w:r>
        <w:t xml:space="preserve">, f. 4; </w:t>
      </w:r>
      <w:hyperlink w:anchor="SENTENCIA_2016_64" w:history="1">
        <w:r w:rsidRPr="0057104C">
          <w:rPr>
            <w:rStyle w:val="TextoNormalCaracter"/>
          </w:rPr>
          <w:t>64/2016</w:t>
        </w:r>
      </w:hyperlink>
      <w:r>
        <w:t xml:space="preserve">, f. 4; </w:t>
      </w:r>
      <w:hyperlink w:anchor="SENTENCIA_2016_65" w:history="1">
        <w:r w:rsidRPr="0057104C">
          <w:rPr>
            <w:rStyle w:val="TextoNormalCaracter"/>
          </w:rPr>
          <w:t>65/2016</w:t>
        </w:r>
      </w:hyperlink>
      <w:r>
        <w:t>, f. 1.</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Auto </w:t>
      </w:r>
      <w:hyperlink w:anchor="AUTO_2016_104" w:history="1">
        <w:r w:rsidRPr="0057104C">
          <w:rPr>
            <w:rStyle w:val="TextoNormalCaracter"/>
          </w:rPr>
          <w:t>104/2016</w:t>
        </w:r>
      </w:hyperlink>
      <w:r>
        <w:t>, ff. 1, 3.</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Sentencias </w:t>
      </w:r>
      <w:hyperlink w:anchor="SENTENCIA_2016_3" w:history="1">
        <w:r w:rsidRPr="0057104C">
          <w:rPr>
            <w:rStyle w:val="TextoNormalCaracter"/>
          </w:rPr>
          <w:t>3/2016</w:t>
        </w:r>
      </w:hyperlink>
      <w:r>
        <w:t xml:space="preserve">, ff. 3, 4; </w:t>
      </w:r>
      <w:hyperlink w:anchor="SENTENCIA_2016_11" w:history="1">
        <w:r w:rsidRPr="0057104C">
          <w:rPr>
            <w:rStyle w:val="TextoNormalCaracter"/>
          </w:rPr>
          <w:t>11/2016</w:t>
        </w:r>
      </w:hyperlink>
      <w:r>
        <w:t xml:space="preserve">, ff. 1, 6, VPI, VPII, VPIII; </w:t>
      </w:r>
      <w:hyperlink w:anchor="SENTENCIA_2016_13" w:history="1">
        <w:r w:rsidRPr="0057104C">
          <w:rPr>
            <w:rStyle w:val="TextoNormalCaracter"/>
          </w:rPr>
          <w:t>13/2016</w:t>
        </w:r>
      </w:hyperlink>
      <w:r>
        <w:t xml:space="preserve">, f. 1; </w:t>
      </w:r>
      <w:hyperlink w:anchor="SENTENCIA_2016_24" w:history="1">
        <w:r w:rsidRPr="0057104C">
          <w:rPr>
            <w:rStyle w:val="TextoNormalCaracter"/>
          </w:rPr>
          <w:t>24/2016</w:t>
        </w:r>
      </w:hyperlink>
      <w:r>
        <w:t xml:space="preserve">, f. único; </w:t>
      </w:r>
      <w:hyperlink w:anchor="SENTENCIA_2016_39" w:history="1">
        <w:r w:rsidRPr="0057104C">
          <w:rPr>
            <w:rStyle w:val="TextoNormalCaracter"/>
          </w:rPr>
          <w:t>39/2016</w:t>
        </w:r>
      </w:hyperlink>
      <w:r>
        <w:t xml:space="preserve">, ff. 1, 2; </w:t>
      </w:r>
      <w:hyperlink w:anchor="SENTENCIA_2016_56" w:history="1">
        <w:r w:rsidRPr="0057104C">
          <w:rPr>
            <w:rStyle w:val="TextoNormalCaracter"/>
          </w:rPr>
          <w:t>56/2016</w:t>
        </w:r>
      </w:hyperlink>
      <w:r>
        <w:t xml:space="preserve">, ff. 1, 5; </w:t>
      </w:r>
      <w:hyperlink w:anchor="SENTENCIA_2016_57" w:history="1">
        <w:r w:rsidRPr="0057104C">
          <w:rPr>
            <w:rStyle w:val="TextoNormalCaracter"/>
          </w:rPr>
          <w:t>57/2016</w:t>
        </w:r>
      </w:hyperlink>
      <w:r>
        <w:t xml:space="preserve">, f. 9, VP; </w:t>
      </w:r>
      <w:hyperlink w:anchor="SENTENCIA_2016_62" w:history="1">
        <w:r w:rsidRPr="0057104C">
          <w:rPr>
            <w:rStyle w:val="TextoNormalCaracter"/>
          </w:rPr>
          <w:t>62/2016</w:t>
        </w:r>
      </w:hyperlink>
      <w:r>
        <w:t xml:space="preserve">, VPI; </w:t>
      </w:r>
      <w:hyperlink w:anchor="SENTENCIA_2016_71" w:history="1">
        <w:r w:rsidRPr="0057104C">
          <w:rPr>
            <w:rStyle w:val="TextoNormalCaracter"/>
          </w:rPr>
          <w:t>71/2016</w:t>
        </w:r>
      </w:hyperlink>
      <w:r>
        <w:t xml:space="preserve">, ff. 1, 3, 4, 6; </w:t>
      </w:r>
      <w:hyperlink w:anchor="SENTENCIA_2016_78" w:history="1">
        <w:r w:rsidRPr="0057104C">
          <w:rPr>
            <w:rStyle w:val="TextoNormalCaracter"/>
          </w:rPr>
          <w:t>78/2016</w:t>
        </w:r>
      </w:hyperlink>
      <w:r>
        <w:t xml:space="preserve">, f. 2; </w:t>
      </w:r>
      <w:hyperlink w:anchor="SENTENCIA_2016_81" w:history="1">
        <w:r w:rsidRPr="0057104C">
          <w:rPr>
            <w:rStyle w:val="TextoNormalCaracter"/>
          </w:rPr>
          <w:t>81/2016</w:t>
        </w:r>
      </w:hyperlink>
      <w:r>
        <w:t xml:space="preserve">, f. 2; </w:t>
      </w:r>
      <w:hyperlink w:anchor="SENTENCIA_2016_81" w:history="1">
        <w:r w:rsidRPr="0057104C">
          <w:rPr>
            <w:rStyle w:val="TextoNormalCaracter"/>
          </w:rPr>
          <w:t>81/2016</w:t>
        </w:r>
      </w:hyperlink>
      <w:r>
        <w:t xml:space="preserve">, ff. 1 a 3; </w:t>
      </w:r>
      <w:hyperlink w:anchor="SENTENCIA_2016_82" w:history="1">
        <w:r w:rsidRPr="0057104C">
          <w:rPr>
            <w:rStyle w:val="TextoNormalCaracter"/>
          </w:rPr>
          <w:t>82/2016</w:t>
        </w:r>
      </w:hyperlink>
      <w:r>
        <w:t xml:space="preserve">, f. 4; </w:t>
      </w:r>
      <w:hyperlink w:anchor="SENTENCIA_2016_86" w:history="1">
        <w:r w:rsidRPr="0057104C">
          <w:rPr>
            <w:rStyle w:val="TextoNormalCaracter"/>
          </w:rPr>
          <w:t>86/2016</w:t>
        </w:r>
      </w:hyperlink>
      <w:r>
        <w:t xml:space="preserve">, ff. 1, 4; </w:t>
      </w:r>
      <w:hyperlink w:anchor="SENTENCIA_2016_91" w:history="1">
        <w:r w:rsidRPr="0057104C">
          <w:rPr>
            <w:rStyle w:val="TextoNormalCaracter"/>
          </w:rPr>
          <w:t>91/2016</w:t>
        </w:r>
      </w:hyperlink>
      <w:r>
        <w:t xml:space="preserve">, f. 4; </w:t>
      </w:r>
      <w:hyperlink w:anchor="SENTENCIA_2016_110" w:history="1">
        <w:r w:rsidRPr="0057104C">
          <w:rPr>
            <w:rStyle w:val="TextoNormalCaracter"/>
          </w:rPr>
          <w:t>110/2016</w:t>
        </w:r>
      </w:hyperlink>
      <w:r>
        <w:t xml:space="preserve">, ff. 5, 7; </w:t>
      </w:r>
      <w:hyperlink w:anchor="SENTENCIA_2016_118" w:history="1">
        <w:r w:rsidRPr="0057104C">
          <w:rPr>
            <w:rStyle w:val="TextoNormalCaracter"/>
          </w:rPr>
          <w:t>118/2016</w:t>
        </w:r>
      </w:hyperlink>
      <w:r>
        <w:t xml:space="preserve">, ff. 3, 4; </w:t>
      </w:r>
      <w:hyperlink w:anchor="SENTENCIA_2016_122" w:history="1">
        <w:r w:rsidRPr="0057104C">
          <w:rPr>
            <w:rStyle w:val="TextoNormalCaracter"/>
          </w:rPr>
          <w:t>122/2016</w:t>
        </w:r>
      </w:hyperlink>
      <w:r>
        <w:t xml:space="preserve">, ff. 1, 2, 6; </w:t>
      </w:r>
      <w:hyperlink w:anchor="SENTENCIA_2016_123" w:history="1">
        <w:r w:rsidRPr="0057104C">
          <w:rPr>
            <w:rStyle w:val="TextoNormalCaracter"/>
          </w:rPr>
          <w:t>123/2016</w:t>
        </w:r>
      </w:hyperlink>
      <w:r>
        <w:t>, f. 1.</w:t>
      </w:r>
    </w:p>
    <w:p w:rsidR="0057104C" w:rsidRDefault="0057104C" w:rsidP="0057104C">
      <w:pPr>
        <w:pStyle w:val="SangriaIzquierdaArticulo"/>
      </w:pPr>
      <w:r>
        <w:t xml:space="preserve">Autos </w:t>
      </w:r>
      <w:hyperlink w:anchor="AUTO_2016_6" w:history="1">
        <w:r w:rsidRPr="0057104C">
          <w:rPr>
            <w:rStyle w:val="TextoNormalCaracter"/>
          </w:rPr>
          <w:t>6/2016</w:t>
        </w:r>
      </w:hyperlink>
      <w:r>
        <w:t xml:space="preserve">, f. 1; </w:t>
      </w:r>
      <w:hyperlink w:anchor="AUTO_2016_7" w:history="1">
        <w:r w:rsidRPr="0057104C">
          <w:rPr>
            <w:rStyle w:val="TextoNormalCaracter"/>
          </w:rPr>
          <w:t>7/2016</w:t>
        </w:r>
      </w:hyperlink>
      <w:r>
        <w:t xml:space="preserve">, ff. 1, 6; </w:t>
      </w:r>
      <w:hyperlink w:anchor="AUTO_2016_8" w:history="1">
        <w:r w:rsidRPr="0057104C">
          <w:rPr>
            <w:rStyle w:val="TextoNormalCaracter"/>
          </w:rPr>
          <w:t>8/2016</w:t>
        </w:r>
      </w:hyperlink>
      <w:r>
        <w:t xml:space="preserve">, ff. 1, 6; </w:t>
      </w:r>
      <w:hyperlink w:anchor="AUTO_2016_10" w:history="1">
        <w:r w:rsidRPr="0057104C">
          <w:rPr>
            <w:rStyle w:val="TextoNormalCaracter"/>
          </w:rPr>
          <w:t>10/2016</w:t>
        </w:r>
      </w:hyperlink>
      <w:r>
        <w:t xml:space="preserve">, ff. 1, 6; </w:t>
      </w:r>
      <w:hyperlink w:anchor="AUTO_2016_11" w:history="1">
        <w:r w:rsidRPr="0057104C">
          <w:rPr>
            <w:rStyle w:val="TextoNormalCaracter"/>
          </w:rPr>
          <w:t>11/2016</w:t>
        </w:r>
      </w:hyperlink>
      <w:r>
        <w:t xml:space="preserve">, ff. 1, 3; </w:t>
      </w:r>
      <w:hyperlink w:anchor="AUTO_2016_14" w:history="1">
        <w:r w:rsidRPr="0057104C">
          <w:rPr>
            <w:rStyle w:val="TextoNormalCaracter"/>
          </w:rPr>
          <w:t>14/2016</w:t>
        </w:r>
      </w:hyperlink>
      <w:r>
        <w:t xml:space="preserve">, ff. 1, 3, 6, 8; </w:t>
      </w:r>
      <w:hyperlink w:anchor="AUTO_2016_21" w:history="1">
        <w:r w:rsidRPr="0057104C">
          <w:rPr>
            <w:rStyle w:val="TextoNormalCaracter"/>
          </w:rPr>
          <w:t>21/2016</w:t>
        </w:r>
      </w:hyperlink>
      <w:r>
        <w:t xml:space="preserve">, ff. 1, 6; </w:t>
      </w:r>
      <w:hyperlink w:anchor="AUTO_2016_22" w:history="1">
        <w:r w:rsidRPr="0057104C">
          <w:rPr>
            <w:rStyle w:val="TextoNormalCaracter"/>
          </w:rPr>
          <w:t>22/2016</w:t>
        </w:r>
      </w:hyperlink>
      <w:r>
        <w:t xml:space="preserve">, ff. 1, 6; </w:t>
      </w:r>
      <w:hyperlink w:anchor="AUTO_2016_37" w:history="1">
        <w:r w:rsidRPr="0057104C">
          <w:rPr>
            <w:rStyle w:val="TextoNormalCaracter"/>
          </w:rPr>
          <w:t>37/2016</w:t>
        </w:r>
      </w:hyperlink>
      <w:r>
        <w:t xml:space="preserve">, ff. 1, 5; </w:t>
      </w:r>
      <w:hyperlink w:anchor="AUTO_2016_38" w:history="1">
        <w:r w:rsidRPr="0057104C">
          <w:rPr>
            <w:rStyle w:val="TextoNormalCaracter"/>
          </w:rPr>
          <w:t>38/2016</w:t>
        </w:r>
      </w:hyperlink>
      <w:r>
        <w:t xml:space="preserve">, ff. 1, 5; </w:t>
      </w:r>
      <w:hyperlink w:anchor="AUTO_2016_50" w:history="1">
        <w:r w:rsidRPr="0057104C">
          <w:rPr>
            <w:rStyle w:val="TextoNormalCaracter"/>
          </w:rPr>
          <w:t>50/2016</w:t>
        </w:r>
      </w:hyperlink>
      <w:r>
        <w:t xml:space="preserve">, ff. 1, 5; </w:t>
      </w:r>
      <w:hyperlink w:anchor="AUTO_2016_52" w:history="1">
        <w:r w:rsidRPr="0057104C">
          <w:rPr>
            <w:rStyle w:val="TextoNormalCaracter"/>
          </w:rPr>
          <w:t>52/2016</w:t>
        </w:r>
      </w:hyperlink>
      <w:r>
        <w:t xml:space="preserve">, ff. 1, 5; </w:t>
      </w:r>
      <w:hyperlink w:anchor="AUTO_2016_59" w:history="1">
        <w:r w:rsidRPr="0057104C">
          <w:rPr>
            <w:rStyle w:val="TextoNormalCaracter"/>
          </w:rPr>
          <w:t>59/2016</w:t>
        </w:r>
      </w:hyperlink>
      <w:r>
        <w:t xml:space="preserve">, f. único; </w:t>
      </w:r>
      <w:hyperlink w:anchor="AUTO_2016_70" w:history="1">
        <w:r w:rsidRPr="0057104C">
          <w:rPr>
            <w:rStyle w:val="TextoNormalCaracter"/>
          </w:rPr>
          <w:t>70/2016</w:t>
        </w:r>
      </w:hyperlink>
      <w:r>
        <w:t xml:space="preserve">, ff. 1, 6; </w:t>
      </w:r>
      <w:hyperlink w:anchor="AUTO_2016_100" w:history="1">
        <w:r w:rsidRPr="0057104C">
          <w:rPr>
            <w:rStyle w:val="TextoNormalCaracter"/>
          </w:rPr>
          <w:t>100/2016</w:t>
        </w:r>
      </w:hyperlink>
      <w:r>
        <w:t xml:space="preserve">, f. 2; </w:t>
      </w:r>
      <w:hyperlink w:anchor="AUTO_2016_129" w:history="1">
        <w:r w:rsidRPr="0057104C">
          <w:rPr>
            <w:rStyle w:val="TextoNormalCaracter"/>
          </w:rPr>
          <w:t>129/2016</w:t>
        </w:r>
      </w:hyperlink>
      <w:r>
        <w:t xml:space="preserve">, ff. 1, 2, 4, VP; </w:t>
      </w:r>
      <w:hyperlink w:anchor="AUTO_2016_131" w:history="1">
        <w:r w:rsidRPr="0057104C">
          <w:rPr>
            <w:rStyle w:val="TextoNormalCaracter"/>
          </w:rPr>
          <w:t>131/2016</w:t>
        </w:r>
      </w:hyperlink>
      <w:r>
        <w:t xml:space="preserve">, ff. 1, 5; </w:t>
      </w:r>
      <w:hyperlink w:anchor="AUTO_2016_134" w:history="1">
        <w:r w:rsidRPr="0057104C">
          <w:rPr>
            <w:rStyle w:val="TextoNormalCaracter"/>
          </w:rPr>
          <w:t>134/2016</w:t>
        </w:r>
      </w:hyperlink>
      <w:r>
        <w:t>, ff. 1, 5.</w:t>
      </w:r>
    </w:p>
    <w:p w:rsidR="0057104C" w:rsidRDefault="0057104C" w:rsidP="0057104C">
      <w:pPr>
        <w:pStyle w:val="SangriaFrancesaArticulo"/>
      </w:pPr>
      <w:r w:rsidRPr="0057104C">
        <w:rPr>
          <w:rStyle w:val="TextoNormalNegritaCaracter"/>
        </w:rPr>
        <w:t>Artículo 14</w:t>
      </w:r>
      <w:r>
        <w:t xml:space="preserve"> (igualdad en la ley)</w:t>
      </w:r>
      <w:r w:rsidRPr="0057104C">
        <w:rPr>
          <w:rStyle w:val="TextoNormalNegritaCaracter"/>
        </w:rPr>
        <w:t>.</w:t>
      </w:r>
      <w:r w:rsidRPr="0057104C">
        <w:rPr>
          <w:rStyle w:val="TextoNormalCaracter"/>
        </w:rPr>
        <w:t>-</w:t>
      </w:r>
      <w:r>
        <w:t xml:space="preserve"> Sentencia </w:t>
      </w:r>
      <w:hyperlink w:anchor="SENTENCIA_2016_123" w:history="1">
        <w:r w:rsidRPr="0057104C">
          <w:rPr>
            <w:rStyle w:val="TextoNormalCaracter"/>
          </w:rPr>
          <w:t>123/2016</w:t>
        </w:r>
      </w:hyperlink>
      <w:r>
        <w:t>, f. 2.</w:t>
      </w:r>
    </w:p>
    <w:p w:rsidR="0057104C" w:rsidRDefault="0057104C" w:rsidP="0057104C">
      <w:pPr>
        <w:pStyle w:val="SangriaIzquierdaArticulo"/>
      </w:pPr>
      <w:r>
        <w:t xml:space="preserve">Autos </w:t>
      </w:r>
      <w:hyperlink w:anchor="AUTO_2016_24" w:history="1">
        <w:r w:rsidRPr="0057104C">
          <w:rPr>
            <w:rStyle w:val="TextoNormalCaracter"/>
          </w:rPr>
          <w:t>24/2016</w:t>
        </w:r>
      </w:hyperlink>
      <w:r>
        <w:t xml:space="preserve">, f. 2; </w:t>
      </w:r>
      <w:hyperlink w:anchor="AUTO_2016_44" w:history="1">
        <w:r w:rsidRPr="0057104C">
          <w:rPr>
            <w:rStyle w:val="TextoNormalCaracter"/>
          </w:rPr>
          <w:t>44/2016</w:t>
        </w:r>
      </w:hyperlink>
      <w:r>
        <w:t>, f. único.</w:t>
      </w:r>
    </w:p>
    <w:p w:rsidR="0057104C" w:rsidRDefault="0057104C" w:rsidP="0057104C">
      <w:pPr>
        <w:pStyle w:val="SangriaFrancesaArticulo"/>
      </w:pPr>
      <w:r w:rsidRPr="0057104C">
        <w:rPr>
          <w:rStyle w:val="TextoNormalNegritaCaracter"/>
        </w:rPr>
        <w:t>Artículos 14 a 29 y 30.2.</w:t>
      </w:r>
      <w:r w:rsidRPr="0057104C">
        <w:rPr>
          <w:rStyle w:val="TextoNormalCaracter"/>
        </w:rPr>
        <w:t>-</w:t>
      </w:r>
      <w:r>
        <w:t xml:space="preserve"> Sentencia </w:t>
      </w:r>
      <w:hyperlink w:anchor="SENTENCIA_2016_3" w:history="1">
        <w:r w:rsidRPr="0057104C">
          <w:rPr>
            <w:rStyle w:val="TextoNormalCaracter"/>
          </w:rPr>
          <w:t>3/2016</w:t>
        </w:r>
      </w:hyperlink>
      <w:r>
        <w:t>, f. 2.</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Sentencias </w:t>
      </w:r>
      <w:hyperlink w:anchor="SENTENCIA_2016_39" w:history="1">
        <w:r w:rsidRPr="0057104C">
          <w:rPr>
            <w:rStyle w:val="TextoNormalCaracter"/>
          </w:rPr>
          <w:t>39/2016</w:t>
        </w:r>
      </w:hyperlink>
      <w:r>
        <w:t xml:space="preserve">, ff. 1, 2; </w:t>
      </w:r>
      <w:hyperlink w:anchor="SENTENCIA_2016_65" w:history="1">
        <w:r w:rsidRPr="0057104C">
          <w:rPr>
            <w:rStyle w:val="TextoNormalCaracter"/>
          </w:rPr>
          <w:t>65/2016</w:t>
        </w:r>
      </w:hyperlink>
      <w:r>
        <w:t xml:space="preserve">, ff. 1, 7; </w:t>
      </w:r>
      <w:hyperlink w:anchor="SENTENCIA_2016_69" w:history="1">
        <w:r w:rsidRPr="0057104C">
          <w:rPr>
            <w:rStyle w:val="TextoNormalCaracter"/>
          </w:rPr>
          <w:t>69/2016</w:t>
        </w:r>
      </w:hyperlink>
      <w:r>
        <w:t>, ff. 2 a 4, VP II.</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112" w:history="1">
        <w:r w:rsidRPr="0057104C">
          <w:rPr>
            <w:rStyle w:val="TextoNormalCaracter"/>
          </w:rPr>
          <w:t>112/2016</w:t>
        </w:r>
      </w:hyperlink>
      <w:r>
        <w:t>, f. 3.</w:t>
      </w:r>
    </w:p>
    <w:p w:rsidR="0057104C" w:rsidRDefault="0057104C" w:rsidP="0057104C">
      <w:pPr>
        <w:pStyle w:val="SangriaFrancesaArticulo"/>
      </w:pPr>
      <w:r w:rsidRPr="0057104C">
        <w:rPr>
          <w:rStyle w:val="TextoNormalNegritaCaracter"/>
        </w:rPr>
        <w:t>Artículo 16.1.</w:t>
      </w:r>
      <w:r w:rsidRPr="0057104C">
        <w:rPr>
          <w:rStyle w:val="TextoNormalCaracter"/>
        </w:rPr>
        <w:t>-</w:t>
      </w:r>
      <w:r>
        <w:t xml:space="preserve"> Sentencias </w:t>
      </w:r>
      <w:hyperlink w:anchor="SENTENCIA_2016_11" w:history="1">
        <w:r w:rsidRPr="0057104C">
          <w:rPr>
            <w:rStyle w:val="TextoNormalCaracter"/>
          </w:rPr>
          <w:t>11/2016</w:t>
        </w:r>
      </w:hyperlink>
      <w:r>
        <w:t xml:space="preserve">, ff. 1, 6, VPI, VPII, VPIII; </w:t>
      </w:r>
      <w:hyperlink w:anchor="SENTENCIA_2016_112" w:history="1">
        <w:r w:rsidRPr="0057104C">
          <w:rPr>
            <w:rStyle w:val="TextoNormalCaracter"/>
          </w:rPr>
          <w:t>112/2016</w:t>
        </w:r>
      </w:hyperlink>
      <w:r>
        <w:t>, f. 1.</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 </w:t>
      </w:r>
      <w:hyperlink w:anchor="SENTENCIA_2016_18" w:history="1">
        <w:r w:rsidRPr="0057104C">
          <w:rPr>
            <w:rStyle w:val="TextoNormalCaracter"/>
          </w:rPr>
          <w:t>18/2016</w:t>
        </w:r>
      </w:hyperlink>
      <w:r>
        <w:t>, f. 7.</w:t>
      </w:r>
    </w:p>
    <w:p w:rsidR="0057104C" w:rsidRDefault="0057104C" w:rsidP="0057104C">
      <w:pPr>
        <w:pStyle w:val="SangriaFrancesaArticulo"/>
      </w:pPr>
      <w:r w:rsidRPr="0057104C">
        <w:rPr>
          <w:rStyle w:val="TextoNormalNegritaCaracter"/>
        </w:rPr>
        <w:t>Artículo 17.1.</w:t>
      </w:r>
      <w:r w:rsidRPr="0057104C">
        <w:rPr>
          <w:rStyle w:val="TextoNormalCaracter"/>
        </w:rPr>
        <w:t>-</w:t>
      </w:r>
      <w:r>
        <w:t xml:space="preserve"> Sentencias </w:t>
      </w:r>
      <w:hyperlink w:anchor="SENTENCIA_2016_12" w:history="1">
        <w:r w:rsidRPr="0057104C">
          <w:rPr>
            <w:rStyle w:val="TextoNormalCaracter"/>
          </w:rPr>
          <w:t>12/2016</w:t>
        </w:r>
      </w:hyperlink>
      <w:r>
        <w:t xml:space="preserve">, ff. 1, 3, 5, 6; </w:t>
      </w:r>
      <w:hyperlink w:anchor="SENTENCIA_2016_13" w:history="1">
        <w:r w:rsidRPr="0057104C">
          <w:rPr>
            <w:rStyle w:val="TextoNormalCaracter"/>
          </w:rPr>
          <w:t>13/2016</w:t>
        </w:r>
      </w:hyperlink>
      <w:r>
        <w:t xml:space="preserve">, ff. 1, 3 a 5; </w:t>
      </w:r>
      <w:hyperlink w:anchor="SENTENCIA_2016_14" w:history="1">
        <w:r w:rsidRPr="0057104C">
          <w:rPr>
            <w:rStyle w:val="TextoNormalCaracter"/>
          </w:rPr>
          <w:t>14/2016</w:t>
        </w:r>
      </w:hyperlink>
      <w:r>
        <w:t xml:space="preserve">, ff. 1, 2, 4, 5; </w:t>
      </w:r>
      <w:hyperlink w:anchor="SENTENCIA_2016_22" w:history="1">
        <w:r w:rsidRPr="0057104C">
          <w:rPr>
            <w:rStyle w:val="TextoNormalCaracter"/>
          </w:rPr>
          <w:t>22/2016</w:t>
        </w:r>
      </w:hyperlink>
      <w:r>
        <w:t xml:space="preserve">, ff. 1, 4 a 6; </w:t>
      </w:r>
      <w:hyperlink w:anchor="SENTENCIA_2016_34" w:history="1">
        <w:r w:rsidRPr="0057104C">
          <w:rPr>
            <w:rStyle w:val="TextoNormalCaracter"/>
          </w:rPr>
          <w:t>34/2016</w:t>
        </w:r>
      </w:hyperlink>
      <w:r>
        <w:t xml:space="preserve">, ff. 1, 3 a 5, 7; </w:t>
      </w:r>
      <w:hyperlink w:anchor="SENTENCIA_2016_48" w:history="1">
        <w:r w:rsidRPr="0057104C">
          <w:rPr>
            <w:rStyle w:val="TextoNormalCaracter"/>
          </w:rPr>
          <w:t>48/2016</w:t>
        </w:r>
      </w:hyperlink>
      <w:r>
        <w:t xml:space="preserve">, ff. 1 a 4; </w:t>
      </w:r>
      <w:hyperlink w:anchor="SENTENCIA_2016_50" w:history="1">
        <w:r w:rsidRPr="0057104C">
          <w:rPr>
            <w:rStyle w:val="TextoNormalCaracter"/>
          </w:rPr>
          <w:t>50/2016</w:t>
        </w:r>
      </w:hyperlink>
      <w:r>
        <w:t xml:space="preserve">, ff. 1, 4, 6; </w:t>
      </w:r>
      <w:hyperlink w:anchor="SENTENCIA_2016_51" w:history="1">
        <w:r w:rsidRPr="0057104C">
          <w:rPr>
            <w:rStyle w:val="TextoNormalCaracter"/>
          </w:rPr>
          <w:t>51/2016</w:t>
        </w:r>
      </w:hyperlink>
      <w:r>
        <w:t>, ff. 1, 2.</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39" w:history="1">
        <w:r w:rsidRPr="0057104C">
          <w:rPr>
            <w:rStyle w:val="TextoNormalCaracter"/>
          </w:rPr>
          <w:t>39/2016</w:t>
        </w:r>
      </w:hyperlink>
      <w:r>
        <w:t>, f. 2, VPI.</w:t>
      </w:r>
    </w:p>
    <w:p w:rsidR="0057104C" w:rsidRDefault="0057104C" w:rsidP="0057104C">
      <w:pPr>
        <w:pStyle w:val="SangriaIzquierdaArticulo"/>
      </w:pPr>
      <w:r>
        <w:t xml:space="preserve">Autos </w:t>
      </w:r>
      <w:hyperlink w:anchor="AUTO_2016_90" w:history="1">
        <w:r w:rsidRPr="0057104C">
          <w:rPr>
            <w:rStyle w:val="TextoNormalCaracter"/>
          </w:rPr>
          <w:t>90/2016</w:t>
        </w:r>
      </w:hyperlink>
      <w:r>
        <w:t xml:space="preserve">, f. 6; </w:t>
      </w:r>
      <w:hyperlink w:anchor="AUTO_2016_104" w:history="1">
        <w:r w:rsidRPr="0057104C">
          <w:rPr>
            <w:rStyle w:val="TextoNormalCaracter"/>
          </w:rPr>
          <w:t>104/2016</w:t>
        </w:r>
      </w:hyperlink>
      <w:r>
        <w:t>, ff. 1, 3.</w:t>
      </w:r>
    </w:p>
    <w:p w:rsidR="0057104C" w:rsidRDefault="0057104C" w:rsidP="0057104C">
      <w:pPr>
        <w:pStyle w:val="SangriaFrancesaArticulo"/>
      </w:pPr>
      <w:r w:rsidRPr="0057104C">
        <w:rPr>
          <w:rStyle w:val="TextoNormalNegritaCaracter"/>
        </w:rPr>
        <w:t>Artículo 18.1.</w:t>
      </w:r>
      <w:r w:rsidRPr="0057104C">
        <w:rPr>
          <w:rStyle w:val="TextoNormalCaracter"/>
        </w:rPr>
        <w:t>-</w:t>
      </w:r>
      <w:r>
        <w:t xml:space="preserve"> Sentencias </w:t>
      </w:r>
      <w:hyperlink w:anchor="SENTENCIA_2016_11" w:history="1">
        <w:r w:rsidRPr="0057104C">
          <w:rPr>
            <w:rStyle w:val="TextoNormalCaracter"/>
          </w:rPr>
          <w:t>11/2016</w:t>
        </w:r>
      </w:hyperlink>
      <w:r>
        <w:t xml:space="preserve">, ff. 1, 3 a 6, VPI, VPII, VPIII; </w:t>
      </w:r>
      <w:hyperlink w:anchor="SENTENCIA_2016_39" w:history="1">
        <w:r w:rsidRPr="0057104C">
          <w:rPr>
            <w:rStyle w:val="TextoNormalCaracter"/>
          </w:rPr>
          <w:t>39/2016</w:t>
        </w:r>
      </w:hyperlink>
      <w:r>
        <w:t>, ff. 1, 2, 5, VPI.</w:t>
      </w:r>
    </w:p>
    <w:p w:rsidR="0057104C" w:rsidRDefault="0057104C" w:rsidP="0057104C">
      <w:pPr>
        <w:pStyle w:val="SangriaFrancesaArticulo"/>
      </w:pPr>
      <w:r w:rsidRPr="0057104C">
        <w:rPr>
          <w:rStyle w:val="TextoNormalNegritaCaracter"/>
        </w:rPr>
        <w:t>Artículo 18.4.</w:t>
      </w:r>
      <w:r w:rsidRPr="0057104C">
        <w:rPr>
          <w:rStyle w:val="TextoNormalCaracter"/>
        </w:rPr>
        <w:t>-</w:t>
      </w:r>
      <w:r>
        <w:t xml:space="preserve"> Sentencia </w:t>
      </w:r>
      <w:hyperlink w:anchor="SENTENCIA_2016_39" w:history="1">
        <w:r w:rsidRPr="0057104C">
          <w:rPr>
            <w:rStyle w:val="TextoNormalCaracter"/>
          </w:rPr>
          <w:t>39/2016</w:t>
        </w:r>
      </w:hyperlink>
      <w:r>
        <w:t>, ff. 1 a 4, VPI.</w:t>
      </w:r>
    </w:p>
    <w:p w:rsidR="0057104C" w:rsidRDefault="0057104C" w:rsidP="0057104C">
      <w:pPr>
        <w:pStyle w:val="SangriaFrancesaArticulo"/>
      </w:pPr>
      <w:r w:rsidRPr="0057104C">
        <w:rPr>
          <w:rStyle w:val="TextoNormalNegritaCaracter"/>
        </w:rPr>
        <w:t>Artículo 19.</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Sentencias </w:t>
      </w:r>
      <w:hyperlink w:anchor="SENTENCIA_2016_8" w:history="1">
        <w:r w:rsidRPr="0057104C">
          <w:rPr>
            <w:rStyle w:val="TextoNormalCaracter"/>
          </w:rPr>
          <w:t>8/2016</w:t>
        </w:r>
      </w:hyperlink>
      <w:r>
        <w:t xml:space="preserve">, f. 3; </w:t>
      </w:r>
      <w:hyperlink w:anchor="SENTENCIA_2016_20" w:history="1">
        <w:r w:rsidRPr="0057104C">
          <w:rPr>
            <w:rStyle w:val="TextoNormalCaracter"/>
          </w:rPr>
          <w:t>20/2016</w:t>
        </w:r>
      </w:hyperlink>
      <w:r>
        <w:t xml:space="preserve">, f. 3; </w:t>
      </w:r>
      <w:hyperlink w:anchor="SENTENCIA_2016_112" w:history="1">
        <w:r w:rsidRPr="0057104C">
          <w:rPr>
            <w:rStyle w:val="TextoNormalCaracter"/>
          </w:rPr>
          <w:t>112/2016</w:t>
        </w:r>
      </w:hyperlink>
      <w:r>
        <w:t>, f. 3.</w:t>
      </w:r>
    </w:p>
    <w:p w:rsidR="0057104C" w:rsidRDefault="0057104C" w:rsidP="0057104C">
      <w:pPr>
        <w:pStyle w:val="SangriaFrancesaArticulo"/>
      </w:pPr>
      <w:r w:rsidRPr="0057104C">
        <w:rPr>
          <w:rStyle w:val="TextoNormalNegritaCaracter"/>
        </w:rPr>
        <w:t>Artículo 20.1 a).</w:t>
      </w:r>
      <w:r w:rsidRPr="0057104C">
        <w:rPr>
          <w:rStyle w:val="TextoNormalCaracter"/>
        </w:rPr>
        <w:t>-</w:t>
      </w:r>
      <w:r>
        <w:t xml:space="preserve"> Sentencias </w:t>
      </w:r>
      <w:hyperlink w:anchor="SENTENCIA_2016_8" w:history="1">
        <w:r w:rsidRPr="0057104C">
          <w:rPr>
            <w:rStyle w:val="TextoNormalCaracter"/>
          </w:rPr>
          <w:t>8/2016</w:t>
        </w:r>
      </w:hyperlink>
      <w:r>
        <w:t xml:space="preserve">, f. 3; </w:t>
      </w:r>
      <w:hyperlink w:anchor="SENTENCIA_2016_78" w:history="1">
        <w:r w:rsidRPr="0057104C">
          <w:rPr>
            <w:rStyle w:val="TextoNormalCaracter"/>
          </w:rPr>
          <w:t>78/2016</w:t>
        </w:r>
      </w:hyperlink>
      <w:r>
        <w:t xml:space="preserve">, f. 1; </w:t>
      </w:r>
      <w:hyperlink w:anchor="SENTENCIA_2016_112" w:history="1">
        <w:r w:rsidRPr="0057104C">
          <w:rPr>
            <w:rStyle w:val="TextoNormalCaracter"/>
          </w:rPr>
          <w:t>112/2016</w:t>
        </w:r>
      </w:hyperlink>
      <w:r>
        <w:t>, ff. 1, 4, 6, VP.</w:t>
      </w:r>
    </w:p>
    <w:p w:rsidR="0057104C" w:rsidRDefault="0057104C" w:rsidP="0057104C">
      <w:pPr>
        <w:pStyle w:val="SangriaFrancesaArticulo"/>
      </w:pPr>
      <w:r w:rsidRPr="0057104C">
        <w:rPr>
          <w:rStyle w:val="TextoNormalNegritaCaracter"/>
        </w:rPr>
        <w:t>Artículo 20.1 c).</w:t>
      </w:r>
      <w:r w:rsidRPr="0057104C">
        <w:rPr>
          <w:rStyle w:val="TextoNormalCaracter"/>
        </w:rPr>
        <w:t>-</w:t>
      </w:r>
      <w:r>
        <w:t xml:space="preserve"> Sentencia </w:t>
      </w:r>
      <w:hyperlink w:anchor="SENTENCIA_2016_44" w:history="1">
        <w:r w:rsidRPr="0057104C">
          <w:rPr>
            <w:rStyle w:val="TextoNormalCaracter"/>
          </w:rPr>
          <w:t>44/2016</w:t>
        </w:r>
      </w:hyperlink>
      <w:r>
        <w:t>, f. 4.</w:t>
      </w:r>
    </w:p>
    <w:p w:rsidR="0057104C" w:rsidRDefault="0057104C" w:rsidP="0057104C">
      <w:pPr>
        <w:pStyle w:val="SangriaFrancesaArticulo"/>
      </w:pPr>
      <w:r w:rsidRPr="0057104C">
        <w:rPr>
          <w:rStyle w:val="TextoNormalNegritaCaracter"/>
        </w:rPr>
        <w:t>Artículo 20.1 d).</w:t>
      </w:r>
      <w:r w:rsidRPr="0057104C">
        <w:rPr>
          <w:rStyle w:val="TextoNormalCaracter"/>
        </w:rPr>
        <w:t>-</w:t>
      </w:r>
      <w:r>
        <w:t xml:space="preserve"> Sentencia </w:t>
      </w:r>
      <w:hyperlink w:anchor="SENTENCIA_2016_8" w:history="1">
        <w:r w:rsidRPr="0057104C">
          <w:rPr>
            <w:rStyle w:val="TextoNormalCaracter"/>
          </w:rPr>
          <w:t>8/2016</w:t>
        </w:r>
      </w:hyperlink>
      <w:r>
        <w:t>, f. 3.</w:t>
      </w:r>
    </w:p>
    <w:p w:rsidR="0057104C" w:rsidRDefault="0057104C" w:rsidP="0057104C">
      <w:pPr>
        <w:pStyle w:val="SangriaFrancesaArticulo"/>
      </w:pPr>
      <w:r w:rsidRPr="0057104C">
        <w:rPr>
          <w:rStyle w:val="TextoNormalNegritaCaracter"/>
        </w:rPr>
        <w:t>Artículo 20.3.</w:t>
      </w:r>
      <w:r w:rsidRPr="0057104C">
        <w:rPr>
          <w:rStyle w:val="TextoNormalCaracter"/>
        </w:rPr>
        <w:t>-</w:t>
      </w:r>
      <w:r>
        <w:t xml:space="preserve"> Sentencia </w:t>
      </w:r>
      <w:hyperlink w:anchor="SENTENCIA_2016_35" w:history="1">
        <w:r w:rsidRPr="0057104C">
          <w:rPr>
            <w:rStyle w:val="TextoNormalCaracter"/>
          </w:rPr>
          <w:t>35/2016</w:t>
        </w:r>
      </w:hyperlink>
      <w:r>
        <w:t>, f. 5.</w:t>
      </w:r>
    </w:p>
    <w:p w:rsidR="0057104C" w:rsidRDefault="0057104C" w:rsidP="0057104C">
      <w:pPr>
        <w:pStyle w:val="SangriaFrancesaArticulo"/>
      </w:pPr>
      <w:r w:rsidRPr="0057104C">
        <w:rPr>
          <w:rStyle w:val="TextoNormalNegritaCaracter"/>
        </w:rPr>
        <w:t>Artículo 23.</w:t>
      </w:r>
      <w:r w:rsidRPr="0057104C">
        <w:rPr>
          <w:rStyle w:val="TextoNormalCaracter"/>
        </w:rPr>
        <w:t>-</w:t>
      </w:r>
      <w:r>
        <w:t xml:space="preserve"> Sentencias </w:t>
      </w:r>
      <w:hyperlink w:anchor="SENTENCIA_2016_40" w:history="1">
        <w:r w:rsidRPr="0057104C">
          <w:rPr>
            <w:rStyle w:val="TextoNormalCaracter"/>
          </w:rPr>
          <w:t>40/2016</w:t>
        </w:r>
      </w:hyperlink>
      <w:r>
        <w:t xml:space="preserve">, ff. 1, 4; </w:t>
      </w:r>
      <w:hyperlink w:anchor="SENTENCIA_2016_44" w:history="1">
        <w:r w:rsidRPr="0057104C">
          <w:rPr>
            <w:rStyle w:val="TextoNormalCaracter"/>
          </w:rPr>
          <w:t>44/2016</w:t>
        </w:r>
      </w:hyperlink>
      <w:r>
        <w:t xml:space="preserve">, f. 4; </w:t>
      </w:r>
      <w:hyperlink w:anchor="SENTENCIA_2016_78" w:history="1">
        <w:r w:rsidRPr="0057104C">
          <w:rPr>
            <w:rStyle w:val="TextoNormalCaracter"/>
          </w:rPr>
          <w:t>78/2016</w:t>
        </w:r>
      </w:hyperlink>
      <w:r>
        <w:t xml:space="preserve">, ff. 2, 7; </w:t>
      </w:r>
      <w:hyperlink w:anchor="SENTENCIA_2016_107" w:history="1">
        <w:r w:rsidRPr="0057104C">
          <w:rPr>
            <w:rStyle w:val="TextoNormalCaracter"/>
          </w:rPr>
          <w:t>107/2016</w:t>
        </w:r>
      </w:hyperlink>
      <w:r>
        <w:t xml:space="preserve">, ff. 1 a 3; </w:t>
      </w:r>
      <w:hyperlink w:anchor="SENTENCIA_2016_108" w:history="1">
        <w:r w:rsidRPr="0057104C">
          <w:rPr>
            <w:rStyle w:val="TextoNormalCaracter"/>
          </w:rPr>
          <w:t>108/2016</w:t>
        </w:r>
      </w:hyperlink>
      <w:r>
        <w:t xml:space="preserve">, f. 2; </w:t>
      </w:r>
      <w:hyperlink w:anchor="SENTENCIA_2016_109" w:history="1">
        <w:r w:rsidRPr="0057104C">
          <w:rPr>
            <w:rStyle w:val="TextoNormalCaracter"/>
          </w:rPr>
          <w:t>109/2016</w:t>
        </w:r>
      </w:hyperlink>
      <w:r>
        <w:t xml:space="preserve">, ff. 1 a 3, 5, 6; </w:t>
      </w:r>
      <w:hyperlink w:anchor="SENTENCIA_2016_111" w:history="1">
        <w:r w:rsidRPr="0057104C">
          <w:rPr>
            <w:rStyle w:val="TextoNormalCaracter"/>
          </w:rPr>
          <w:t>111/2016</w:t>
        </w:r>
      </w:hyperlink>
      <w:r>
        <w:t>, ff. 1, 6.</w:t>
      </w:r>
    </w:p>
    <w:p w:rsidR="0057104C" w:rsidRDefault="0057104C" w:rsidP="0057104C">
      <w:pPr>
        <w:pStyle w:val="SangriaIzquierdaArticulo"/>
      </w:pPr>
      <w:r>
        <w:t xml:space="preserve">Autos </w:t>
      </w:r>
      <w:hyperlink w:anchor="AUTO_2016_89" w:history="1">
        <w:r w:rsidRPr="0057104C">
          <w:rPr>
            <w:rStyle w:val="TextoNormalCaracter"/>
          </w:rPr>
          <w:t>89/2016</w:t>
        </w:r>
      </w:hyperlink>
      <w:r>
        <w:t xml:space="preserve">, f. 7; </w:t>
      </w:r>
      <w:hyperlink w:anchor="AUTO_2016_104" w:history="1">
        <w:r w:rsidRPr="0057104C">
          <w:rPr>
            <w:rStyle w:val="TextoNormalCaracter"/>
          </w:rPr>
          <w:t>104/2016</w:t>
        </w:r>
      </w:hyperlink>
      <w:r>
        <w:t>, ff. 1, 3.</w:t>
      </w:r>
    </w:p>
    <w:p w:rsidR="0057104C" w:rsidRDefault="0057104C" w:rsidP="0057104C">
      <w:pPr>
        <w:pStyle w:val="SangriaFrancesaArticulo"/>
      </w:pPr>
      <w:r w:rsidRPr="0057104C">
        <w:rPr>
          <w:rStyle w:val="TextoNormalNegritaCaracter"/>
        </w:rPr>
        <w:t>Artículo 23.1.</w:t>
      </w:r>
      <w:r w:rsidRPr="0057104C">
        <w:rPr>
          <w:rStyle w:val="TextoNormalCaracter"/>
        </w:rPr>
        <w:t>-</w:t>
      </w:r>
      <w:r>
        <w:t xml:space="preserve"> Sentencias </w:t>
      </w:r>
      <w:hyperlink w:anchor="SENTENCIA_2016_10" w:history="1">
        <w:r w:rsidRPr="0057104C">
          <w:rPr>
            <w:rStyle w:val="TextoNormalCaracter"/>
          </w:rPr>
          <w:t>10/2016</w:t>
        </w:r>
      </w:hyperlink>
      <w:r>
        <w:t xml:space="preserve">, ff. 1, 3, 4; </w:t>
      </w:r>
      <w:hyperlink w:anchor="SENTENCIA_2016_78" w:history="1">
        <w:r w:rsidRPr="0057104C">
          <w:rPr>
            <w:rStyle w:val="TextoNormalCaracter"/>
          </w:rPr>
          <w:t>78/2016</w:t>
        </w:r>
      </w:hyperlink>
      <w:r>
        <w:t xml:space="preserve">, ff. 1, 2, 6; </w:t>
      </w:r>
      <w:hyperlink w:anchor="SENTENCIA_2016_107" w:history="1">
        <w:r w:rsidRPr="0057104C">
          <w:rPr>
            <w:rStyle w:val="TextoNormalCaracter"/>
          </w:rPr>
          <w:t>107/2016</w:t>
        </w:r>
      </w:hyperlink>
      <w:r>
        <w:t xml:space="preserve">, ff. 3, 4; </w:t>
      </w:r>
      <w:hyperlink w:anchor="SENTENCIA_2016_108" w:history="1">
        <w:r w:rsidRPr="0057104C">
          <w:rPr>
            <w:rStyle w:val="TextoNormalCaracter"/>
          </w:rPr>
          <w:t>108/2016</w:t>
        </w:r>
      </w:hyperlink>
      <w:r>
        <w:t xml:space="preserve">, ff. 1, 4; </w:t>
      </w:r>
      <w:hyperlink w:anchor="SENTENCIA_2016_109" w:history="1">
        <w:r w:rsidRPr="0057104C">
          <w:rPr>
            <w:rStyle w:val="TextoNormalCaracter"/>
          </w:rPr>
          <w:t>109/2016</w:t>
        </w:r>
      </w:hyperlink>
      <w:r>
        <w:t xml:space="preserve">, f. 5;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23.2.</w:t>
      </w:r>
      <w:r w:rsidRPr="0057104C">
        <w:rPr>
          <w:rStyle w:val="TextoNormalCaracter"/>
        </w:rPr>
        <w:t>-</w:t>
      </w:r>
      <w:r>
        <w:t xml:space="preserve"> Sentencias </w:t>
      </w:r>
      <w:hyperlink w:anchor="SENTENCIA_2016_10" w:history="1">
        <w:r w:rsidRPr="0057104C">
          <w:rPr>
            <w:rStyle w:val="TextoNormalCaracter"/>
          </w:rPr>
          <w:t>10/2016</w:t>
        </w:r>
      </w:hyperlink>
      <w:r>
        <w:t xml:space="preserve">, ff. 1, 3 a 6; </w:t>
      </w:r>
      <w:hyperlink w:anchor="SENTENCIA_2016_44" w:history="1">
        <w:r w:rsidRPr="0057104C">
          <w:rPr>
            <w:rStyle w:val="TextoNormalCaracter"/>
          </w:rPr>
          <w:t>44/2016</w:t>
        </w:r>
      </w:hyperlink>
      <w:r>
        <w:t xml:space="preserve">, f. 1; </w:t>
      </w:r>
      <w:hyperlink w:anchor="SENTENCIA_2016_78" w:history="1">
        <w:r w:rsidRPr="0057104C">
          <w:rPr>
            <w:rStyle w:val="TextoNormalCaracter"/>
          </w:rPr>
          <w:t>78/2016</w:t>
        </w:r>
      </w:hyperlink>
      <w:r>
        <w:t xml:space="preserve">, ff. 1, 2, 6; </w:t>
      </w:r>
      <w:hyperlink w:anchor="SENTENCIA_2016_86" w:history="1">
        <w:r w:rsidRPr="0057104C">
          <w:rPr>
            <w:rStyle w:val="TextoNormalCaracter"/>
          </w:rPr>
          <w:t>86/2016</w:t>
        </w:r>
      </w:hyperlink>
      <w:r>
        <w:t xml:space="preserve">, ff. 1, 4 a 6; </w:t>
      </w:r>
      <w:hyperlink w:anchor="SENTENCIA_2016_107" w:history="1">
        <w:r w:rsidRPr="0057104C">
          <w:rPr>
            <w:rStyle w:val="TextoNormalCaracter"/>
          </w:rPr>
          <w:t>107/2016</w:t>
        </w:r>
      </w:hyperlink>
      <w:r>
        <w:t xml:space="preserve">, ff. 3, 4; </w:t>
      </w:r>
      <w:hyperlink w:anchor="SENTENCIA_2016_108" w:history="1">
        <w:r w:rsidRPr="0057104C">
          <w:rPr>
            <w:rStyle w:val="TextoNormalCaracter"/>
          </w:rPr>
          <w:t>108/2016</w:t>
        </w:r>
      </w:hyperlink>
      <w:r>
        <w:t xml:space="preserve">, ff. 1, 3, 4; </w:t>
      </w:r>
      <w:hyperlink w:anchor="SENTENCIA_2016_109" w:history="1">
        <w:r w:rsidRPr="0057104C">
          <w:rPr>
            <w:rStyle w:val="TextoNormalCaracter"/>
          </w:rPr>
          <w:t>109/2016</w:t>
        </w:r>
      </w:hyperlink>
      <w:r>
        <w:t xml:space="preserve">, ff. 3 a 6; </w:t>
      </w:r>
      <w:hyperlink w:anchor="SENTENCIA_2016_111" w:history="1">
        <w:r w:rsidRPr="0057104C">
          <w:rPr>
            <w:rStyle w:val="TextoNormalCaracter"/>
          </w:rPr>
          <w:t>111/2016</w:t>
        </w:r>
      </w:hyperlink>
      <w:r>
        <w:t>, f. 6.</w:t>
      </w:r>
    </w:p>
    <w:p w:rsidR="0057104C" w:rsidRDefault="0057104C" w:rsidP="0057104C">
      <w:pPr>
        <w:pStyle w:val="SangriaIzquierdaArticulo"/>
      </w:pPr>
      <w:r>
        <w:t xml:space="preserve">Autos </w:t>
      </w:r>
      <w:hyperlink w:anchor="AUTO_2016_14" w:history="1">
        <w:r w:rsidRPr="0057104C">
          <w:rPr>
            <w:rStyle w:val="TextoNormalCaracter"/>
          </w:rPr>
          <w:t>14/2016</w:t>
        </w:r>
      </w:hyperlink>
      <w:r>
        <w:t xml:space="preserve">, f. 1; </w:t>
      </w:r>
      <w:hyperlink w:anchor="AUTO_2016_89" w:history="1">
        <w:r w:rsidRPr="0057104C">
          <w:rPr>
            <w:rStyle w:val="TextoNormalCaracter"/>
          </w:rPr>
          <w:t>89/2016</w:t>
        </w:r>
      </w:hyperlink>
      <w:r>
        <w:t>, ff. 1, 5, 7.</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Sentencias </w:t>
      </w:r>
      <w:hyperlink w:anchor="SENTENCIA_2016_16" w:history="1">
        <w:r w:rsidRPr="0057104C">
          <w:rPr>
            <w:rStyle w:val="TextoNormalCaracter"/>
          </w:rPr>
          <w:t>16/2016</w:t>
        </w:r>
      </w:hyperlink>
      <w:r>
        <w:t xml:space="preserve">, ff. 4, 10; </w:t>
      </w:r>
      <w:hyperlink w:anchor="SENTENCIA_2016_38" w:history="1">
        <w:r w:rsidRPr="0057104C">
          <w:rPr>
            <w:rStyle w:val="TextoNormalCaracter"/>
          </w:rPr>
          <w:t>38/2016</w:t>
        </w:r>
      </w:hyperlink>
      <w:r>
        <w:t xml:space="preserve">, f. 7; </w:t>
      </w:r>
      <w:hyperlink w:anchor="SENTENCIA_2016_39" w:history="1">
        <w:r w:rsidRPr="0057104C">
          <w:rPr>
            <w:rStyle w:val="TextoNormalCaracter"/>
          </w:rPr>
          <w:t>39/2016</w:t>
        </w:r>
      </w:hyperlink>
      <w:r>
        <w:t xml:space="preserve">, f. 1; </w:t>
      </w:r>
      <w:hyperlink w:anchor="SENTENCIA_2016_69" w:history="1">
        <w:r w:rsidRPr="0057104C">
          <w:rPr>
            <w:rStyle w:val="TextoNormalCaracter"/>
          </w:rPr>
          <w:t>69/2016</w:t>
        </w:r>
      </w:hyperlink>
      <w:r>
        <w:t xml:space="preserve">, VP II; </w:t>
      </w:r>
      <w:hyperlink w:anchor="SENTENCIA_2016_83" w:history="1">
        <w:r w:rsidRPr="0057104C">
          <w:rPr>
            <w:rStyle w:val="TextoNormalCaracter"/>
          </w:rPr>
          <w:t>83/2016</w:t>
        </w:r>
      </w:hyperlink>
      <w:r>
        <w:t xml:space="preserve">, f. 5; </w:t>
      </w:r>
      <w:hyperlink w:anchor="SENTENCIA_2016_102" w:history="1">
        <w:r w:rsidRPr="0057104C">
          <w:rPr>
            <w:rStyle w:val="TextoNormalCaracter"/>
          </w:rPr>
          <w:t>102/2016</w:t>
        </w:r>
      </w:hyperlink>
      <w:r>
        <w:t xml:space="preserve">, VP;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Autos </w:t>
      </w:r>
      <w:hyperlink w:anchor="AUTO_2016_5" w:history="1">
        <w:r w:rsidRPr="0057104C">
          <w:rPr>
            <w:rStyle w:val="TextoNormalCaracter"/>
          </w:rPr>
          <w:t>5/2016</w:t>
        </w:r>
      </w:hyperlink>
      <w:r>
        <w:t xml:space="preserve">, f. único; </w:t>
      </w:r>
      <w:hyperlink w:anchor="AUTO_2016_27" w:history="1">
        <w:r w:rsidRPr="0057104C">
          <w:rPr>
            <w:rStyle w:val="TextoNormalCaracter"/>
          </w:rPr>
          <w:t>27/2016</w:t>
        </w:r>
      </w:hyperlink>
      <w:r>
        <w:t xml:space="preserve">, ff. 2, 3; </w:t>
      </w:r>
      <w:hyperlink w:anchor="AUTO_2016_90" w:history="1">
        <w:r w:rsidRPr="0057104C">
          <w:rPr>
            <w:rStyle w:val="TextoNormalCaracter"/>
          </w:rPr>
          <w:t>90/2016</w:t>
        </w:r>
      </w:hyperlink>
      <w:r>
        <w:t xml:space="preserve">, f. 6; </w:t>
      </w:r>
      <w:hyperlink w:anchor="AUTO_2016_131" w:history="1">
        <w:r w:rsidRPr="0057104C">
          <w:rPr>
            <w:rStyle w:val="TextoNormalCaracter"/>
          </w:rPr>
          <w:t>131/2016</w:t>
        </w:r>
      </w:hyperlink>
      <w:r>
        <w:t xml:space="preserve">, f. 3; </w:t>
      </w:r>
      <w:hyperlink w:anchor="AUTO_2016_134" w:history="1">
        <w:r w:rsidRPr="0057104C">
          <w:rPr>
            <w:rStyle w:val="TextoNormalCaracter"/>
          </w:rPr>
          <w:t>134/2016</w:t>
        </w:r>
      </w:hyperlink>
      <w:r>
        <w:t>, f. 3.</w:t>
      </w:r>
    </w:p>
    <w:p w:rsidR="0057104C" w:rsidRDefault="0057104C" w:rsidP="0057104C">
      <w:pPr>
        <w:pStyle w:val="SangriaFrancesaArticulo"/>
      </w:pPr>
      <w:r w:rsidRPr="0057104C">
        <w:rPr>
          <w:rStyle w:val="TextoNormalNegritaCaracter"/>
        </w:rPr>
        <w:t>Artículo 24.1.</w:t>
      </w:r>
      <w:r w:rsidRPr="0057104C">
        <w:rPr>
          <w:rStyle w:val="TextoNormalCaracter"/>
        </w:rPr>
        <w:t>-</w:t>
      </w:r>
      <w:r>
        <w:t xml:space="preserve"> Sentencias </w:t>
      </w:r>
      <w:hyperlink w:anchor="SENTENCIA_2016_3" w:history="1">
        <w:r w:rsidRPr="0057104C">
          <w:rPr>
            <w:rStyle w:val="TextoNormalCaracter"/>
          </w:rPr>
          <w:t>3/2016</w:t>
        </w:r>
      </w:hyperlink>
      <w:r>
        <w:t xml:space="preserve">, ff. 1, 3 a 6; </w:t>
      </w:r>
      <w:hyperlink w:anchor="SENTENCIA_2016_11" w:history="1">
        <w:r w:rsidRPr="0057104C">
          <w:rPr>
            <w:rStyle w:val="TextoNormalCaracter"/>
          </w:rPr>
          <w:t>11/2016</w:t>
        </w:r>
      </w:hyperlink>
      <w:r>
        <w:t xml:space="preserve">, VPIII; </w:t>
      </w:r>
      <w:hyperlink w:anchor="SENTENCIA_2016_12" w:history="1">
        <w:r w:rsidRPr="0057104C">
          <w:rPr>
            <w:rStyle w:val="TextoNormalCaracter"/>
          </w:rPr>
          <w:t>12/2016</w:t>
        </w:r>
      </w:hyperlink>
      <w:r>
        <w:t xml:space="preserve">, ff. 1, 3, 5, 6; </w:t>
      </w:r>
      <w:hyperlink w:anchor="SENTENCIA_2016_13" w:history="1">
        <w:r w:rsidRPr="0057104C">
          <w:rPr>
            <w:rStyle w:val="TextoNormalCaracter"/>
          </w:rPr>
          <w:t>13/2016</w:t>
        </w:r>
      </w:hyperlink>
      <w:r>
        <w:t xml:space="preserve">, ff. 1, 3; </w:t>
      </w:r>
      <w:hyperlink w:anchor="SENTENCIA_2016_14" w:history="1">
        <w:r w:rsidRPr="0057104C">
          <w:rPr>
            <w:rStyle w:val="TextoNormalCaracter"/>
          </w:rPr>
          <w:t>14/2016</w:t>
        </w:r>
      </w:hyperlink>
      <w:r>
        <w:t xml:space="preserve">, ff. 1, 4, 5; </w:t>
      </w:r>
      <w:hyperlink w:anchor="SENTENCIA_2016_15" w:history="1">
        <w:r w:rsidRPr="0057104C">
          <w:rPr>
            <w:rStyle w:val="TextoNormalCaracter"/>
          </w:rPr>
          <w:t>15/2016</w:t>
        </w:r>
      </w:hyperlink>
      <w:r>
        <w:t xml:space="preserve">, ff. 1, 2; </w:t>
      </w:r>
      <w:hyperlink w:anchor="SENTENCIA_2016_16" w:history="1">
        <w:r w:rsidRPr="0057104C">
          <w:rPr>
            <w:rStyle w:val="TextoNormalCaracter"/>
          </w:rPr>
          <w:t>16/2016</w:t>
        </w:r>
      </w:hyperlink>
      <w:r>
        <w:t xml:space="preserve">, ff. 1, 3 a 5, 7, 10, 11; </w:t>
      </w:r>
      <w:hyperlink w:anchor="SENTENCIA_2016_22" w:history="1">
        <w:r w:rsidRPr="0057104C">
          <w:rPr>
            <w:rStyle w:val="TextoNormalCaracter"/>
          </w:rPr>
          <w:t>22/2016</w:t>
        </w:r>
      </w:hyperlink>
      <w:r>
        <w:t xml:space="preserve">, f. 2; </w:t>
      </w:r>
      <w:hyperlink w:anchor="SENTENCIA_2016_23" w:history="1">
        <w:r w:rsidRPr="0057104C">
          <w:rPr>
            <w:rStyle w:val="TextoNormalCaracter"/>
          </w:rPr>
          <w:t>23/2016</w:t>
        </w:r>
      </w:hyperlink>
      <w:r>
        <w:t xml:space="preserve">, ff. 1, 2, 5; </w:t>
      </w:r>
      <w:hyperlink w:anchor="SENTENCIA_2016_38" w:history="1">
        <w:r w:rsidRPr="0057104C">
          <w:rPr>
            <w:rStyle w:val="TextoNormalCaracter"/>
          </w:rPr>
          <w:t>38/2016</w:t>
        </w:r>
      </w:hyperlink>
      <w:r>
        <w:t xml:space="preserve">, ff. 1, 7; </w:t>
      </w:r>
      <w:hyperlink w:anchor="SENTENCIA_2016_39" w:history="1">
        <w:r w:rsidRPr="0057104C">
          <w:rPr>
            <w:rStyle w:val="TextoNormalCaracter"/>
          </w:rPr>
          <w:t>39/2016</w:t>
        </w:r>
      </w:hyperlink>
      <w:r>
        <w:t xml:space="preserve">, f. 2; </w:t>
      </w:r>
      <w:hyperlink w:anchor="SENTENCIA_2016_44" w:history="1">
        <w:r w:rsidRPr="0057104C">
          <w:rPr>
            <w:rStyle w:val="TextoNormalCaracter"/>
          </w:rPr>
          <w:t>44/2016</w:t>
        </w:r>
      </w:hyperlink>
      <w:r>
        <w:t xml:space="preserve">, ff. 1, 3; </w:t>
      </w:r>
      <w:hyperlink w:anchor="SENTENCIA_2016_49" w:history="1">
        <w:r w:rsidRPr="0057104C">
          <w:rPr>
            <w:rStyle w:val="TextoNormalCaracter"/>
          </w:rPr>
          <w:t>49/2016</w:t>
        </w:r>
      </w:hyperlink>
      <w:r>
        <w:t xml:space="preserve">, ff. 3 a 5; </w:t>
      </w:r>
      <w:hyperlink w:anchor="SENTENCIA_2016_50" w:history="1">
        <w:r w:rsidRPr="0057104C">
          <w:rPr>
            <w:rStyle w:val="TextoNormalCaracter"/>
          </w:rPr>
          <w:t>50/2016</w:t>
        </w:r>
      </w:hyperlink>
      <w:r>
        <w:t xml:space="preserve">, f. 2; </w:t>
      </w:r>
      <w:hyperlink w:anchor="SENTENCIA_2016_51" w:history="1">
        <w:r w:rsidRPr="0057104C">
          <w:rPr>
            <w:rStyle w:val="TextoNormalCaracter"/>
          </w:rPr>
          <w:t>51/2016</w:t>
        </w:r>
      </w:hyperlink>
      <w:r>
        <w:t xml:space="preserve">, ff. 1 a 3; </w:t>
      </w:r>
      <w:hyperlink w:anchor="SENTENCIA_2016_57" w:history="1">
        <w:r w:rsidRPr="0057104C">
          <w:rPr>
            <w:rStyle w:val="TextoNormalCaracter"/>
          </w:rPr>
          <w:t>57/2016</w:t>
        </w:r>
      </w:hyperlink>
      <w:r>
        <w:t xml:space="preserve">, VP; </w:t>
      </w:r>
      <w:hyperlink w:anchor="SENTENCIA_2016_58" w:history="1">
        <w:r w:rsidRPr="0057104C">
          <w:rPr>
            <w:rStyle w:val="TextoNormalCaracter"/>
          </w:rPr>
          <w:t>58/2016</w:t>
        </w:r>
      </w:hyperlink>
      <w:r>
        <w:t xml:space="preserve">, ff. 1 a 5, 7; </w:t>
      </w:r>
      <w:hyperlink w:anchor="SENTENCIA_2016_61" w:history="1">
        <w:r w:rsidRPr="0057104C">
          <w:rPr>
            <w:rStyle w:val="TextoNormalCaracter"/>
          </w:rPr>
          <w:t>61/2016</w:t>
        </w:r>
      </w:hyperlink>
      <w:r>
        <w:t xml:space="preserve">, f. 1; </w:t>
      </w:r>
      <w:hyperlink w:anchor="SENTENCIA_2016_63" w:history="1">
        <w:r w:rsidRPr="0057104C">
          <w:rPr>
            <w:rStyle w:val="TextoNormalCaracter"/>
          </w:rPr>
          <w:t>63/2016</w:t>
        </w:r>
      </w:hyperlink>
      <w:r>
        <w:t xml:space="preserve">, f. 3; </w:t>
      </w:r>
      <w:hyperlink w:anchor="SENTENCIA_2016_65" w:history="1">
        <w:r w:rsidRPr="0057104C">
          <w:rPr>
            <w:rStyle w:val="TextoNormalCaracter"/>
          </w:rPr>
          <w:t>65/2016</w:t>
        </w:r>
      </w:hyperlink>
      <w:r>
        <w:t xml:space="preserve">, ff. 1, 4 a 7; </w:t>
      </w:r>
      <w:hyperlink w:anchor="SENTENCIA_2016_75" w:history="1">
        <w:r w:rsidRPr="0057104C">
          <w:rPr>
            <w:rStyle w:val="TextoNormalCaracter"/>
          </w:rPr>
          <w:t>75/2016</w:t>
        </w:r>
      </w:hyperlink>
      <w:r>
        <w:t xml:space="preserve">, ff. 1, 3; </w:t>
      </w:r>
      <w:hyperlink w:anchor="SENTENCIA_2016_77" w:history="1">
        <w:r w:rsidRPr="0057104C">
          <w:rPr>
            <w:rStyle w:val="TextoNormalCaracter"/>
          </w:rPr>
          <w:t>77/2016</w:t>
        </w:r>
      </w:hyperlink>
      <w:r>
        <w:t xml:space="preserve">, f. 3; </w:t>
      </w:r>
      <w:hyperlink w:anchor="SENTENCIA_2016_83" w:history="1">
        <w:r w:rsidRPr="0057104C">
          <w:rPr>
            <w:rStyle w:val="TextoNormalCaracter"/>
          </w:rPr>
          <w:t>83/2016</w:t>
        </w:r>
      </w:hyperlink>
      <w:r>
        <w:t xml:space="preserve">, ff. 1 a 6, 11, 12; </w:t>
      </w:r>
      <w:hyperlink w:anchor="SENTENCIA_2016_89" w:history="1">
        <w:r w:rsidRPr="0057104C">
          <w:rPr>
            <w:rStyle w:val="TextoNormalCaracter"/>
          </w:rPr>
          <w:t>89/2016</w:t>
        </w:r>
      </w:hyperlink>
      <w:r>
        <w:t xml:space="preserve">, f. 3; </w:t>
      </w:r>
      <w:hyperlink w:anchor="SENTENCIA_2016_91" w:history="1">
        <w:r w:rsidRPr="0057104C">
          <w:rPr>
            <w:rStyle w:val="TextoNormalCaracter"/>
          </w:rPr>
          <w:t>91/2016</w:t>
        </w:r>
      </w:hyperlink>
      <w:r>
        <w:t xml:space="preserve">, ff. 1, 3, 5; </w:t>
      </w:r>
      <w:hyperlink w:anchor="SENTENCIA_2016_92" w:history="1">
        <w:r w:rsidRPr="0057104C">
          <w:rPr>
            <w:rStyle w:val="TextoNormalCaracter"/>
          </w:rPr>
          <w:t>92/2016</w:t>
        </w:r>
      </w:hyperlink>
      <w:r>
        <w:t xml:space="preserve">, ff. 1 a 3; </w:t>
      </w:r>
      <w:hyperlink w:anchor="SENTENCIA_2016_93" w:history="1">
        <w:r w:rsidRPr="0057104C">
          <w:rPr>
            <w:rStyle w:val="TextoNormalCaracter"/>
          </w:rPr>
          <w:t>93/2016</w:t>
        </w:r>
      </w:hyperlink>
      <w:r>
        <w:t xml:space="preserve">, ff. 1 a 3; </w:t>
      </w:r>
      <w:hyperlink w:anchor="SENTENCIA_2016_94" w:history="1">
        <w:r w:rsidRPr="0057104C">
          <w:rPr>
            <w:rStyle w:val="TextoNormalCaracter"/>
          </w:rPr>
          <w:t>94/2016</w:t>
        </w:r>
      </w:hyperlink>
      <w:r>
        <w:t xml:space="preserve">, f. 2; </w:t>
      </w:r>
      <w:hyperlink w:anchor="SENTENCIA_2016_98" w:history="1">
        <w:r w:rsidRPr="0057104C">
          <w:rPr>
            <w:rStyle w:val="TextoNormalCaracter"/>
          </w:rPr>
          <w:t>98/2016</w:t>
        </w:r>
      </w:hyperlink>
      <w:r>
        <w:t xml:space="preserve">, ff. 1 a 3; </w:t>
      </w:r>
      <w:hyperlink w:anchor="SENTENCIA_2016_103" w:history="1">
        <w:r w:rsidRPr="0057104C">
          <w:rPr>
            <w:rStyle w:val="TextoNormalCaracter"/>
          </w:rPr>
          <w:t>103/2016</w:t>
        </w:r>
      </w:hyperlink>
      <w:r>
        <w:t xml:space="preserve">, f. 3; </w:t>
      </w:r>
      <w:hyperlink w:anchor="SENTENCIA_2016_105" w:history="1">
        <w:r w:rsidRPr="0057104C">
          <w:rPr>
            <w:rStyle w:val="TextoNormalCaracter"/>
          </w:rPr>
          <w:t>105/2016</w:t>
        </w:r>
      </w:hyperlink>
      <w:r>
        <w:t xml:space="preserve">, f. 1; </w:t>
      </w:r>
      <w:hyperlink w:anchor="SENTENCIA_2016_113" w:history="1">
        <w:r w:rsidRPr="0057104C">
          <w:rPr>
            <w:rStyle w:val="TextoNormalCaracter"/>
          </w:rPr>
          <w:t>113/2016</w:t>
        </w:r>
      </w:hyperlink>
      <w:r>
        <w:t xml:space="preserve">, ff. 1, 2; </w:t>
      </w:r>
      <w:hyperlink w:anchor="SENTENCIA_2016_114" w:history="1">
        <w:r w:rsidRPr="0057104C">
          <w:rPr>
            <w:rStyle w:val="TextoNormalCaracter"/>
          </w:rPr>
          <w:t>114/2016</w:t>
        </w:r>
      </w:hyperlink>
      <w:r>
        <w:t xml:space="preserve">, ff. 1 a 4; </w:t>
      </w:r>
      <w:hyperlink w:anchor="SENTENCIA_2016_115" w:history="1">
        <w:r w:rsidRPr="0057104C">
          <w:rPr>
            <w:rStyle w:val="TextoNormalCaracter"/>
          </w:rPr>
          <w:t>115/2016</w:t>
        </w:r>
      </w:hyperlink>
      <w:r>
        <w:t xml:space="preserve">, ff. 1 a 4; </w:t>
      </w:r>
      <w:hyperlink w:anchor="SENTENCIA_2016_117" w:history="1">
        <w:r w:rsidRPr="0057104C">
          <w:rPr>
            <w:rStyle w:val="TextoNormalCaracter"/>
          </w:rPr>
          <w:t>117/2016</w:t>
        </w:r>
      </w:hyperlink>
      <w:r>
        <w:t xml:space="preserve">, f. 1; </w:t>
      </w:r>
      <w:hyperlink w:anchor="SENTENCIA_2016_118" w:history="1">
        <w:r w:rsidRPr="0057104C">
          <w:rPr>
            <w:rStyle w:val="TextoNormalCaracter"/>
          </w:rPr>
          <w:t>118/2016</w:t>
        </w:r>
      </w:hyperlink>
      <w:r>
        <w:t xml:space="preserve">, ff. 3, 4; </w:t>
      </w:r>
      <w:hyperlink w:anchor="SENTENCIA_2016_122" w:history="1">
        <w:r w:rsidRPr="0057104C">
          <w:rPr>
            <w:rStyle w:val="TextoNormalCaracter"/>
          </w:rPr>
          <w:t>122/2016</w:t>
        </w:r>
      </w:hyperlink>
      <w:r>
        <w:t xml:space="preserve">, f. 6; </w:t>
      </w:r>
      <w:hyperlink w:anchor="SENTENCIA_2016_123" w:history="1">
        <w:r w:rsidRPr="0057104C">
          <w:rPr>
            <w:rStyle w:val="TextoNormalCaracter"/>
          </w:rPr>
          <w:t>123/2016</w:t>
        </w:r>
      </w:hyperlink>
      <w:r>
        <w:t>, ff. 1, 2.</w:t>
      </w:r>
    </w:p>
    <w:p w:rsidR="0057104C" w:rsidRDefault="0057104C" w:rsidP="0057104C">
      <w:pPr>
        <w:pStyle w:val="SangriaIzquierdaArticulo"/>
      </w:pPr>
      <w:r>
        <w:t xml:space="preserve">Autos </w:t>
      </w:r>
      <w:hyperlink w:anchor="AUTO_2016_4" w:history="1">
        <w:r w:rsidRPr="0057104C">
          <w:rPr>
            <w:rStyle w:val="TextoNormalCaracter"/>
          </w:rPr>
          <w:t>4/2016</w:t>
        </w:r>
      </w:hyperlink>
      <w:r>
        <w:t xml:space="preserve">, f. único; </w:t>
      </w:r>
      <w:hyperlink w:anchor="AUTO_2016_24" w:history="1">
        <w:r w:rsidRPr="0057104C">
          <w:rPr>
            <w:rStyle w:val="TextoNormalCaracter"/>
          </w:rPr>
          <w:t>24/2016</w:t>
        </w:r>
      </w:hyperlink>
      <w:r>
        <w:t xml:space="preserve">, f. 2; </w:t>
      </w:r>
      <w:hyperlink w:anchor="AUTO_2016_27" w:history="1">
        <w:r w:rsidRPr="0057104C">
          <w:rPr>
            <w:rStyle w:val="TextoNormalCaracter"/>
          </w:rPr>
          <w:t>27/2016</w:t>
        </w:r>
      </w:hyperlink>
      <w:r>
        <w:t xml:space="preserve">, f. 2; </w:t>
      </w:r>
      <w:hyperlink w:anchor="AUTO_2016_35" w:history="1">
        <w:r w:rsidRPr="0057104C">
          <w:rPr>
            <w:rStyle w:val="TextoNormalCaracter"/>
          </w:rPr>
          <w:t>35/2016</w:t>
        </w:r>
      </w:hyperlink>
      <w:r>
        <w:t xml:space="preserve">, ff.1, 3, 4; </w:t>
      </w:r>
      <w:hyperlink w:anchor="AUTO_2016_36" w:history="1">
        <w:r w:rsidRPr="0057104C">
          <w:rPr>
            <w:rStyle w:val="TextoNormalCaracter"/>
          </w:rPr>
          <w:t>36/2016</w:t>
        </w:r>
      </w:hyperlink>
      <w:r>
        <w:t xml:space="preserve">, ff. 1, 3, 4; </w:t>
      </w:r>
      <w:hyperlink w:anchor="AUTO_2016_42" w:history="1">
        <w:r w:rsidRPr="0057104C">
          <w:rPr>
            <w:rStyle w:val="TextoNormalCaracter"/>
          </w:rPr>
          <w:t>42/2016</w:t>
        </w:r>
      </w:hyperlink>
      <w:r>
        <w:t xml:space="preserve">, f. 1; </w:t>
      </w:r>
      <w:hyperlink w:anchor="AUTO_2016_44" w:history="1">
        <w:r w:rsidRPr="0057104C">
          <w:rPr>
            <w:rStyle w:val="TextoNormalCaracter"/>
          </w:rPr>
          <w:t>44/2016</w:t>
        </w:r>
      </w:hyperlink>
      <w:r>
        <w:t xml:space="preserve">, f. único; </w:t>
      </w:r>
      <w:hyperlink w:anchor="AUTO_2016_56" w:history="1">
        <w:r w:rsidRPr="0057104C">
          <w:rPr>
            <w:rStyle w:val="TextoNormalCaracter"/>
          </w:rPr>
          <w:t>56/2016</w:t>
        </w:r>
      </w:hyperlink>
      <w:r>
        <w:t xml:space="preserve">, f. único; </w:t>
      </w:r>
      <w:hyperlink w:anchor="AUTO_2016_57" w:history="1">
        <w:r w:rsidRPr="0057104C">
          <w:rPr>
            <w:rStyle w:val="TextoNormalCaracter"/>
          </w:rPr>
          <w:t>57/2016</w:t>
        </w:r>
      </w:hyperlink>
      <w:r>
        <w:t xml:space="preserve">, f. único; </w:t>
      </w:r>
      <w:hyperlink w:anchor="AUTO_2016_59" w:history="1">
        <w:r w:rsidRPr="0057104C">
          <w:rPr>
            <w:rStyle w:val="TextoNormalCaracter"/>
          </w:rPr>
          <w:t>59/2016</w:t>
        </w:r>
      </w:hyperlink>
      <w:r>
        <w:t xml:space="preserve">, f. único; </w:t>
      </w:r>
      <w:hyperlink w:anchor="AUTO_2016_64" w:history="1">
        <w:r w:rsidRPr="0057104C">
          <w:rPr>
            <w:rStyle w:val="TextoNormalCaracter"/>
          </w:rPr>
          <w:t>64/2016</w:t>
        </w:r>
      </w:hyperlink>
      <w:r>
        <w:t xml:space="preserve">, f. único; </w:t>
      </w:r>
      <w:hyperlink w:anchor="AUTO_2016_65" w:history="1">
        <w:r w:rsidRPr="0057104C">
          <w:rPr>
            <w:rStyle w:val="TextoNormalCaracter"/>
          </w:rPr>
          <w:t>65/2016</w:t>
        </w:r>
      </w:hyperlink>
      <w:r>
        <w:t xml:space="preserve">, f. único; </w:t>
      </w:r>
      <w:hyperlink w:anchor="AUTO_2016_74" w:history="1">
        <w:r w:rsidRPr="0057104C">
          <w:rPr>
            <w:rStyle w:val="TextoNormalCaracter"/>
          </w:rPr>
          <w:t>74/2016</w:t>
        </w:r>
      </w:hyperlink>
      <w:r>
        <w:t xml:space="preserve">, f. único; </w:t>
      </w:r>
      <w:hyperlink w:anchor="AUTO_2016_75" w:history="1">
        <w:r w:rsidRPr="0057104C">
          <w:rPr>
            <w:rStyle w:val="TextoNormalCaracter"/>
          </w:rPr>
          <w:t>75/2016</w:t>
        </w:r>
      </w:hyperlink>
      <w:r>
        <w:t xml:space="preserve">, f. 1; </w:t>
      </w:r>
      <w:hyperlink w:anchor="AUTO_2016_79" w:history="1">
        <w:r w:rsidRPr="0057104C">
          <w:rPr>
            <w:rStyle w:val="TextoNormalCaracter"/>
          </w:rPr>
          <w:t>79/2016</w:t>
        </w:r>
      </w:hyperlink>
      <w:r>
        <w:t xml:space="preserve">, f. único; </w:t>
      </w:r>
      <w:hyperlink w:anchor="AUTO_2016_84" w:history="1">
        <w:r w:rsidRPr="0057104C">
          <w:rPr>
            <w:rStyle w:val="TextoNormalCaracter"/>
          </w:rPr>
          <w:t>84/2016</w:t>
        </w:r>
      </w:hyperlink>
      <w:r>
        <w:t xml:space="preserve">, ff. 1, 4; </w:t>
      </w:r>
      <w:hyperlink w:anchor="AUTO_2016_101" w:history="1">
        <w:r w:rsidRPr="0057104C">
          <w:rPr>
            <w:rStyle w:val="TextoNormalCaracter"/>
          </w:rPr>
          <w:t>101/2016</w:t>
        </w:r>
      </w:hyperlink>
      <w:r>
        <w:t xml:space="preserve">, ff. 1, 3; </w:t>
      </w:r>
      <w:hyperlink w:anchor="AUTO_2016_102" w:history="1">
        <w:r w:rsidRPr="0057104C">
          <w:rPr>
            <w:rStyle w:val="TextoNormalCaracter"/>
          </w:rPr>
          <w:t>102/2016</w:t>
        </w:r>
      </w:hyperlink>
      <w:r>
        <w:t xml:space="preserve">, ff. 1, 3; </w:t>
      </w:r>
      <w:hyperlink w:anchor="AUTO_2016_103" w:history="1">
        <w:r w:rsidRPr="0057104C">
          <w:rPr>
            <w:rStyle w:val="TextoNormalCaracter"/>
          </w:rPr>
          <w:t>103/2016</w:t>
        </w:r>
      </w:hyperlink>
      <w:r>
        <w:t xml:space="preserve">, ff. 1, 4; </w:t>
      </w:r>
      <w:hyperlink w:anchor="AUTO_2016_107" w:history="1">
        <w:r w:rsidRPr="0057104C">
          <w:rPr>
            <w:rStyle w:val="TextoNormalCaracter"/>
          </w:rPr>
          <w:t>107/2016</w:t>
        </w:r>
      </w:hyperlink>
      <w:r>
        <w:t xml:space="preserve">, ff. 1, 2; </w:t>
      </w:r>
      <w:hyperlink w:anchor="AUTO_2016_109" w:history="1">
        <w:r w:rsidRPr="0057104C">
          <w:rPr>
            <w:rStyle w:val="TextoNormalCaracter"/>
          </w:rPr>
          <w:t>109/2016</w:t>
        </w:r>
      </w:hyperlink>
      <w:r>
        <w:t xml:space="preserve">, f. 2; </w:t>
      </w:r>
      <w:hyperlink w:anchor="AUTO_2016_112" w:history="1">
        <w:r w:rsidRPr="0057104C">
          <w:rPr>
            <w:rStyle w:val="TextoNormalCaracter"/>
          </w:rPr>
          <w:t>112/2016</w:t>
        </w:r>
      </w:hyperlink>
      <w:r>
        <w:t xml:space="preserve">, VP; </w:t>
      </w:r>
      <w:hyperlink w:anchor="AUTO_2016_123" w:history="1">
        <w:r w:rsidRPr="0057104C">
          <w:rPr>
            <w:rStyle w:val="TextoNormalCaracter"/>
          </w:rPr>
          <w:t>123/2016</w:t>
        </w:r>
      </w:hyperlink>
      <w:r>
        <w:t>, f. 2.</w:t>
      </w:r>
    </w:p>
    <w:p w:rsidR="0057104C" w:rsidRDefault="0057104C" w:rsidP="0057104C">
      <w:pPr>
        <w:pStyle w:val="SangriaFrancesaArticulo"/>
      </w:pPr>
      <w:r w:rsidRPr="0057104C">
        <w:rPr>
          <w:rStyle w:val="TextoNormalNegritaCaracter"/>
        </w:rPr>
        <w:t>Artículo 24.2.</w:t>
      </w:r>
      <w:r w:rsidRPr="0057104C">
        <w:rPr>
          <w:rStyle w:val="TextoNormalCaracter"/>
        </w:rPr>
        <w:t>-</w:t>
      </w:r>
      <w:r>
        <w:t xml:space="preserve"> Sentencias </w:t>
      </w:r>
      <w:hyperlink w:anchor="SENTENCIA_2016_16" w:history="1">
        <w:r w:rsidRPr="0057104C">
          <w:rPr>
            <w:rStyle w:val="TextoNormalCaracter"/>
          </w:rPr>
          <w:t>16/2016</w:t>
        </w:r>
      </w:hyperlink>
      <w:r>
        <w:t xml:space="preserve">, ff. 1, 4; </w:t>
      </w:r>
      <w:hyperlink w:anchor="SENTENCIA_2016_22" w:history="1">
        <w:r w:rsidRPr="0057104C">
          <w:rPr>
            <w:rStyle w:val="TextoNormalCaracter"/>
          </w:rPr>
          <w:t>22/2016</w:t>
        </w:r>
      </w:hyperlink>
      <w:r>
        <w:t xml:space="preserve">, f. 1; </w:t>
      </w:r>
      <w:hyperlink w:anchor="SENTENCIA_2016_50" w:history="1">
        <w:r w:rsidRPr="0057104C">
          <w:rPr>
            <w:rStyle w:val="TextoNormalCaracter"/>
          </w:rPr>
          <w:t>50/2016</w:t>
        </w:r>
      </w:hyperlink>
      <w:r>
        <w:t xml:space="preserve">, f. 1; </w:t>
      </w:r>
      <w:hyperlink w:anchor="SENTENCIA_2016_58" w:history="1">
        <w:r w:rsidRPr="0057104C">
          <w:rPr>
            <w:rStyle w:val="TextoNormalCaracter"/>
          </w:rPr>
          <w:t>58/2016</w:t>
        </w:r>
      </w:hyperlink>
      <w:r>
        <w:t xml:space="preserve">, ff. 1, 5, 6; </w:t>
      </w:r>
      <w:hyperlink w:anchor="SENTENCIA_2016_63" w:history="1">
        <w:r w:rsidRPr="0057104C">
          <w:rPr>
            <w:rStyle w:val="TextoNormalCaracter"/>
          </w:rPr>
          <w:t>63/2016</w:t>
        </w:r>
      </w:hyperlink>
      <w:r>
        <w:t xml:space="preserve">, ff. 1, 4, 7; </w:t>
      </w:r>
      <w:hyperlink w:anchor="SENTENCIA_2016_75" w:history="1">
        <w:r w:rsidRPr="0057104C">
          <w:rPr>
            <w:rStyle w:val="TextoNormalCaracter"/>
          </w:rPr>
          <w:t>75/2016</w:t>
        </w:r>
      </w:hyperlink>
      <w:r>
        <w:t xml:space="preserve">, ff. 1, 3, 4, 6; </w:t>
      </w:r>
      <w:hyperlink w:anchor="SENTENCIA_2016_92" w:history="1">
        <w:r w:rsidRPr="0057104C">
          <w:rPr>
            <w:rStyle w:val="TextoNormalCaracter"/>
          </w:rPr>
          <w:t>92/2016</w:t>
        </w:r>
      </w:hyperlink>
      <w:r>
        <w:t xml:space="preserve">, ff. 1 a 3; </w:t>
      </w:r>
      <w:hyperlink w:anchor="SENTENCIA_2016_93" w:history="1">
        <w:r w:rsidRPr="0057104C">
          <w:rPr>
            <w:rStyle w:val="TextoNormalCaracter"/>
          </w:rPr>
          <w:t>93/2016</w:t>
        </w:r>
      </w:hyperlink>
      <w:r>
        <w:t xml:space="preserve">, ff. 1 a 3; </w:t>
      </w:r>
      <w:hyperlink w:anchor="SENTENCIA_2016_103" w:history="1">
        <w:r w:rsidRPr="0057104C">
          <w:rPr>
            <w:rStyle w:val="TextoNormalCaracter"/>
          </w:rPr>
          <w:t>103/2016</w:t>
        </w:r>
      </w:hyperlink>
      <w:r>
        <w:t xml:space="preserve">, ff. 1, 4, 7; </w:t>
      </w:r>
      <w:hyperlink w:anchor="SENTENCIA_2016_117" w:history="1">
        <w:r w:rsidRPr="0057104C">
          <w:rPr>
            <w:rStyle w:val="TextoNormalCaracter"/>
          </w:rPr>
          <w:t>117/2016</w:t>
        </w:r>
      </w:hyperlink>
      <w:r>
        <w:t>, ff. 4, 6.</w:t>
      </w:r>
    </w:p>
    <w:p w:rsidR="0057104C" w:rsidRDefault="0057104C" w:rsidP="0057104C">
      <w:pPr>
        <w:pStyle w:val="SangriaIzquierdaArticulo"/>
      </w:pPr>
      <w:r>
        <w:t xml:space="preserve">Autos </w:t>
      </w:r>
      <w:hyperlink w:anchor="AUTO_2016_27" w:history="1">
        <w:r w:rsidRPr="0057104C">
          <w:rPr>
            <w:rStyle w:val="TextoNormalCaracter"/>
          </w:rPr>
          <w:t>27/2016</w:t>
        </w:r>
      </w:hyperlink>
      <w:r>
        <w:t xml:space="preserve">, f. 2; </w:t>
      </w:r>
      <w:hyperlink w:anchor="AUTO_2016_79" w:history="1">
        <w:r w:rsidRPr="0057104C">
          <w:rPr>
            <w:rStyle w:val="TextoNormalCaracter"/>
          </w:rPr>
          <w:t>79/2016</w:t>
        </w:r>
      </w:hyperlink>
      <w:r>
        <w:t>, f. único.</w:t>
      </w:r>
    </w:p>
    <w:p w:rsidR="0057104C" w:rsidRDefault="0057104C" w:rsidP="0057104C">
      <w:pPr>
        <w:pStyle w:val="SangriaFrancesaArticulo"/>
      </w:pPr>
      <w:r w:rsidRPr="0057104C">
        <w:rPr>
          <w:rStyle w:val="TextoNormalNegritaCaracter"/>
        </w:rPr>
        <w:t>Artículo 24.2</w:t>
      </w:r>
      <w:r>
        <w:t xml:space="preserve"> (derecho a la defensa)</w:t>
      </w:r>
      <w:r w:rsidRPr="0057104C">
        <w:rPr>
          <w:rStyle w:val="TextoNormalNegritaCaracter"/>
        </w:rPr>
        <w:t>.</w:t>
      </w:r>
      <w:r w:rsidRPr="0057104C">
        <w:rPr>
          <w:rStyle w:val="TextoNormalCaracter"/>
        </w:rPr>
        <w:t>-</w:t>
      </w:r>
      <w:r>
        <w:t xml:space="preserve"> Sentencias </w:t>
      </w:r>
      <w:hyperlink w:anchor="SENTENCIA_2016_105" w:history="1">
        <w:r w:rsidRPr="0057104C">
          <w:rPr>
            <w:rStyle w:val="TextoNormalCaracter"/>
          </w:rPr>
          <w:t>105/2016</w:t>
        </w:r>
      </w:hyperlink>
      <w:r>
        <w:t xml:space="preserve">, ff. 1, 5; </w:t>
      </w:r>
      <w:hyperlink w:anchor="SENTENCIA_2016_117" w:history="1">
        <w:r w:rsidRPr="0057104C">
          <w:rPr>
            <w:rStyle w:val="TextoNormalCaracter"/>
          </w:rPr>
          <w:t>117/2016</w:t>
        </w:r>
      </w:hyperlink>
      <w:r>
        <w:t>, f. 1.</w:t>
      </w:r>
    </w:p>
    <w:p w:rsidR="0057104C" w:rsidRDefault="0057104C" w:rsidP="0057104C">
      <w:pPr>
        <w:pStyle w:val="SangriaFrancesaArticulo"/>
      </w:pPr>
      <w:r w:rsidRPr="0057104C">
        <w:rPr>
          <w:rStyle w:val="TextoNormalNegritaCaracter"/>
        </w:rPr>
        <w:t>Artículo 24.2</w:t>
      </w:r>
      <w:r>
        <w:t xml:space="preserve"> (derecho a la presunción de inocencia)</w:t>
      </w:r>
      <w:r w:rsidRPr="0057104C">
        <w:rPr>
          <w:rStyle w:val="TextoNormalNegritaCaracter"/>
        </w:rPr>
        <w:t>.</w:t>
      </w:r>
      <w:r w:rsidRPr="0057104C">
        <w:rPr>
          <w:rStyle w:val="TextoNormalCaracter"/>
        </w:rPr>
        <w:t>-</w:t>
      </w:r>
      <w:r>
        <w:t xml:space="preserve"> Sentencias </w:t>
      </w:r>
      <w:hyperlink w:anchor="SENTENCIA_2016_105" w:history="1">
        <w:r w:rsidRPr="0057104C">
          <w:rPr>
            <w:rStyle w:val="TextoNormalCaracter"/>
          </w:rPr>
          <w:t>105/2016</w:t>
        </w:r>
      </w:hyperlink>
      <w:r>
        <w:t xml:space="preserve">, ff. 1, 3, 8; </w:t>
      </w:r>
      <w:hyperlink w:anchor="SENTENCIA_2016_117" w:history="1">
        <w:r w:rsidRPr="0057104C">
          <w:rPr>
            <w:rStyle w:val="TextoNormalCaracter"/>
          </w:rPr>
          <w:t>117/2016</w:t>
        </w:r>
      </w:hyperlink>
      <w:r>
        <w:t>, ff. 1, 3, 4.</w:t>
      </w:r>
    </w:p>
    <w:p w:rsidR="0057104C" w:rsidRDefault="0057104C" w:rsidP="0057104C">
      <w:pPr>
        <w:pStyle w:val="SangriaIzquierdaArticulo"/>
      </w:pPr>
      <w:r>
        <w:t xml:space="preserve">Auto </w:t>
      </w:r>
      <w:hyperlink w:anchor="AUTO_2016_90" w:history="1">
        <w:r w:rsidRPr="0057104C">
          <w:rPr>
            <w:rStyle w:val="TextoNormalCaracter"/>
          </w:rPr>
          <w:t>90/2016</w:t>
        </w:r>
      </w:hyperlink>
      <w:r>
        <w:t>, f. 6.</w:t>
      </w:r>
    </w:p>
    <w:p w:rsidR="0057104C" w:rsidRDefault="0057104C" w:rsidP="0057104C">
      <w:pPr>
        <w:pStyle w:val="SangriaFrancesaArticulo"/>
      </w:pPr>
      <w:r w:rsidRPr="0057104C">
        <w:rPr>
          <w:rStyle w:val="TextoNormalNegritaCaracter"/>
        </w:rPr>
        <w:t>Artículo 24.2</w:t>
      </w:r>
      <w:r>
        <w:t xml:space="preserve"> (derecho a la prueba)</w:t>
      </w:r>
      <w:r w:rsidRPr="0057104C">
        <w:rPr>
          <w:rStyle w:val="TextoNormalNegritaCaracter"/>
        </w:rPr>
        <w:t>.</w:t>
      </w:r>
      <w:r w:rsidRPr="0057104C">
        <w:rPr>
          <w:rStyle w:val="TextoNormalCaracter"/>
        </w:rPr>
        <w:t>-</w:t>
      </w:r>
      <w:r>
        <w:t xml:space="preserve"> Sentencias </w:t>
      </w:r>
      <w:hyperlink w:anchor="SENTENCIA_2016_105" w:history="1">
        <w:r w:rsidRPr="0057104C">
          <w:rPr>
            <w:rStyle w:val="TextoNormalCaracter"/>
          </w:rPr>
          <w:t>105/2016</w:t>
        </w:r>
      </w:hyperlink>
      <w:r>
        <w:t xml:space="preserve">, f. 1; </w:t>
      </w:r>
      <w:hyperlink w:anchor="SENTENCIA_2016_117" w:history="1">
        <w:r w:rsidRPr="0057104C">
          <w:rPr>
            <w:rStyle w:val="TextoNormalCaracter"/>
          </w:rPr>
          <w:t>117/2016</w:t>
        </w:r>
      </w:hyperlink>
      <w:r>
        <w:t>, f.1.</w:t>
      </w:r>
    </w:p>
    <w:p w:rsidR="0057104C" w:rsidRDefault="0057104C" w:rsidP="0057104C">
      <w:pPr>
        <w:pStyle w:val="SangriaFrancesaArticulo"/>
      </w:pPr>
      <w:r w:rsidRPr="0057104C">
        <w:rPr>
          <w:rStyle w:val="TextoNormalNegritaCaracter"/>
        </w:rPr>
        <w:t>Artículo 24.2</w:t>
      </w:r>
      <w:r>
        <w:t xml:space="preserve"> (derecho a un proceso con todas las garantías)</w:t>
      </w:r>
      <w:r w:rsidRPr="0057104C">
        <w:rPr>
          <w:rStyle w:val="TextoNormalNegritaCaracter"/>
        </w:rPr>
        <w:t>.</w:t>
      </w:r>
      <w:r w:rsidRPr="0057104C">
        <w:rPr>
          <w:rStyle w:val="TextoNormalCaracter"/>
        </w:rPr>
        <w:t>-</w:t>
      </w:r>
      <w:r>
        <w:t xml:space="preserve"> Sentencias </w:t>
      </w:r>
      <w:hyperlink w:anchor="SENTENCIA_2016_65" w:history="1">
        <w:r w:rsidRPr="0057104C">
          <w:rPr>
            <w:rStyle w:val="TextoNormalCaracter"/>
          </w:rPr>
          <w:t>65/2016</w:t>
        </w:r>
      </w:hyperlink>
      <w:r>
        <w:t xml:space="preserve">, f. 1; </w:t>
      </w:r>
      <w:hyperlink w:anchor="SENTENCIA_2016_98" w:history="1">
        <w:r w:rsidRPr="0057104C">
          <w:rPr>
            <w:rStyle w:val="TextoNormalCaracter"/>
          </w:rPr>
          <w:t>98/2016</w:t>
        </w:r>
      </w:hyperlink>
      <w:r>
        <w:t xml:space="preserve">, ff. 1 a 3; </w:t>
      </w:r>
      <w:hyperlink w:anchor="SENTENCIA_2016_105" w:history="1">
        <w:r w:rsidRPr="0057104C">
          <w:rPr>
            <w:rStyle w:val="TextoNormalCaracter"/>
          </w:rPr>
          <w:t>105/2016</w:t>
        </w:r>
      </w:hyperlink>
      <w:r>
        <w:t xml:space="preserve">, ff. 1, 3, 5, 7; </w:t>
      </w:r>
      <w:hyperlink w:anchor="SENTENCIA_2016_113" w:history="1">
        <w:r w:rsidRPr="0057104C">
          <w:rPr>
            <w:rStyle w:val="TextoNormalCaracter"/>
          </w:rPr>
          <w:t>113/2016</w:t>
        </w:r>
      </w:hyperlink>
      <w:r>
        <w:t xml:space="preserve">, ff. 1, 2; </w:t>
      </w:r>
      <w:hyperlink w:anchor="SENTENCIA_2016_114" w:history="1">
        <w:r w:rsidRPr="0057104C">
          <w:rPr>
            <w:rStyle w:val="TextoNormalCaracter"/>
          </w:rPr>
          <w:t>114/2016</w:t>
        </w:r>
      </w:hyperlink>
      <w:r>
        <w:t xml:space="preserve">, ff. 1, 3, 4; </w:t>
      </w:r>
      <w:hyperlink w:anchor="SENTENCIA_2016_115" w:history="1">
        <w:r w:rsidRPr="0057104C">
          <w:rPr>
            <w:rStyle w:val="TextoNormalCaracter"/>
          </w:rPr>
          <w:t>115/2016</w:t>
        </w:r>
      </w:hyperlink>
      <w:r>
        <w:t>, ff. 1, 3, 4.</w:t>
      </w:r>
    </w:p>
    <w:p w:rsidR="0057104C" w:rsidRDefault="0057104C" w:rsidP="0057104C">
      <w:pPr>
        <w:pStyle w:val="SangriaFrancesaArticulo"/>
      </w:pPr>
      <w:r w:rsidRPr="0057104C">
        <w:rPr>
          <w:rStyle w:val="TextoNormalNegritaCaracter"/>
        </w:rPr>
        <w:t>Artículo 24.2</w:t>
      </w:r>
      <w:r>
        <w:t xml:space="preserve"> (derecho a un proceso sin dilaciones)</w:t>
      </w:r>
      <w:r w:rsidRPr="0057104C">
        <w:rPr>
          <w:rStyle w:val="TextoNormalNegritaCaracter"/>
        </w:rPr>
        <w:t>.</w:t>
      </w:r>
      <w:r w:rsidRPr="0057104C">
        <w:rPr>
          <w:rStyle w:val="TextoNormalCaracter"/>
        </w:rPr>
        <w:t>-</w:t>
      </w:r>
      <w:r>
        <w:t xml:space="preserve"> Sentencias </w:t>
      </w:r>
      <w:hyperlink w:anchor="SENTENCIA_2016_76" w:history="1">
        <w:r w:rsidRPr="0057104C">
          <w:rPr>
            <w:rStyle w:val="TextoNormalCaracter"/>
          </w:rPr>
          <w:t>76/2016</w:t>
        </w:r>
      </w:hyperlink>
      <w:r>
        <w:t xml:space="preserve">, ff. 1, 5; </w:t>
      </w:r>
      <w:hyperlink w:anchor="SENTENCIA_2016_77" w:history="1">
        <w:r w:rsidRPr="0057104C">
          <w:rPr>
            <w:rStyle w:val="TextoNormalCaracter"/>
          </w:rPr>
          <w:t>77/2016</w:t>
        </w:r>
      </w:hyperlink>
      <w:r>
        <w:t xml:space="preserve">, ff. 1, 4, 7; </w:t>
      </w:r>
      <w:hyperlink w:anchor="SENTENCIA_2016_89" w:history="1">
        <w:r w:rsidRPr="0057104C">
          <w:rPr>
            <w:rStyle w:val="TextoNormalCaracter"/>
          </w:rPr>
          <w:t>89/2016</w:t>
        </w:r>
      </w:hyperlink>
      <w:r>
        <w:t>, ff. 1, 4, 7.</w:t>
      </w:r>
    </w:p>
    <w:p w:rsidR="0057104C" w:rsidRDefault="0057104C" w:rsidP="0057104C">
      <w:pPr>
        <w:pStyle w:val="SangriaFrancesaArticulo"/>
      </w:pPr>
      <w:r w:rsidRPr="0057104C">
        <w:rPr>
          <w:rStyle w:val="TextoNormalNegritaCaracter"/>
        </w:rPr>
        <w:t>Artículo 24.2</w:t>
      </w:r>
      <w:r>
        <w:t xml:space="preserve"> (derecho al juez ordinario predeterminado por la ley)</w:t>
      </w:r>
      <w:r w:rsidRPr="0057104C">
        <w:rPr>
          <w:rStyle w:val="TextoNormalNegritaCaracter"/>
        </w:rPr>
        <w:t>.</w:t>
      </w:r>
      <w:r w:rsidRPr="0057104C">
        <w:rPr>
          <w:rStyle w:val="TextoNormalCaracter"/>
        </w:rPr>
        <w:t>-</w:t>
      </w:r>
      <w:r>
        <w:t xml:space="preserve"> Sentencia </w:t>
      </w:r>
      <w:hyperlink w:anchor="SENTENCIA_2016_105" w:history="1">
        <w:r w:rsidRPr="0057104C">
          <w:rPr>
            <w:rStyle w:val="TextoNormalCaracter"/>
          </w:rPr>
          <w:t>105/2016</w:t>
        </w:r>
      </w:hyperlink>
      <w:r>
        <w:t>, ff. 1, 3, 4.</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Sentencias </w:t>
      </w:r>
      <w:hyperlink w:anchor="SENTENCIA_2016_23" w:history="1">
        <w:r w:rsidRPr="0057104C">
          <w:rPr>
            <w:rStyle w:val="TextoNormalCaracter"/>
          </w:rPr>
          <w:t>23/2016</w:t>
        </w:r>
      </w:hyperlink>
      <w:r>
        <w:t xml:space="preserve">, f. 5; </w:t>
      </w:r>
      <w:hyperlink w:anchor="SENTENCIA_2016_78" w:history="1">
        <w:r w:rsidRPr="0057104C">
          <w:rPr>
            <w:rStyle w:val="TextoNormalCaracter"/>
          </w:rPr>
          <w:t>78/2016</w:t>
        </w:r>
      </w:hyperlink>
      <w:r>
        <w:t>, f. 1.</w:t>
      </w:r>
    </w:p>
    <w:p w:rsidR="0057104C" w:rsidRDefault="0057104C" w:rsidP="0057104C">
      <w:pPr>
        <w:pStyle w:val="SangriaFrancesaArticulo"/>
      </w:pPr>
      <w:r w:rsidRPr="0057104C">
        <w:rPr>
          <w:rStyle w:val="TextoNormalNegritaCaracter"/>
        </w:rPr>
        <w:t>Artículo 25.1.</w:t>
      </w:r>
      <w:r w:rsidRPr="0057104C">
        <w:rPr>
          <w:rStyle w:val="TextoNormalCaracter"/>
        </w:rPr>
        <w:t>-</w:t>
      </w:r>
      <w:r>
        <w:t xml:space="preserve"> Sentencias </w:t>
      </w:r>
      <w:hyperlink w:anchor="SENTENCIA_2016_12" w:history="1">
        <w:r w:rsidRPr="0057104C">
          <w:rPr>
            <w:rStyle w:val="TextoNormalCaracter"/>
          </w:rPr>
          <w:t>12/2016</w:t>
        </w:r>
      </w:hyperlink>
      <w:r>
        <w:t xml:space="preserve">, ff. 1, 3, 5; </w:t>
      </w:r>
      <w:hyperlink w:anchor="SENTENCIA_2016_14" w:history="1">
        <w:r w:rsidRPr="0057104C">
          <w:rPr>
            <w:rStyle w:val="TextoNormalCaracter"/>
          </w:rPr>
          <w:t>14/2016</w:t>
        </w:r>
      </w:hyperlink>
      <w:r>
        <w:t xml:space="preserve">, ff. 1, 2, 4, 5; </w:t>
      </w:r>
      <w:hyperlink w:anchor="SENTENCIA_2016_69" w:history="1">
        <w:r w:rsidRPr="0057104C">
          <w:rPr>
            <w:rStyle w:val="TextoNormalCaracter"/>
          </w:rPr>
          <w:t>69/2016</w:t>
        </w:r>
      </w:hyperlink>
      <w:r>
        <w:t xml:space="preserve">, f. 3; </w:t>
      </w:r>
      <w:hyperlink w:anchor="SENTENCIA_2016_78" w:history="1">
        <w:r w:rsidRPr="0057104C">
          <w:rPr>
            <w:rStyle w:val="TextoNormalCaracter"/>
          </w:rPr>
          <w:t>78/2016</w:t>
        </w:r>
      </w:hyperlink>
      <w:r>
        <w:t xml:space="preserve">, ff. 2 a 7; </w:t>
      </w:r>
      <w:hyperlink w:anchor="SENTENCIA_2016_111" w:history="1">
        <w:r w:rsidRPr="0057104C">
          <w:rPr>
            <w:rStyle w:val="TextoNormalCaracter"/>
          </w:rPr>
          <w:t>111/2016</w:t>
        </w:r>
      </w:hyperlink>
      <w:r>
        <w:t xml:space="preserve">, f. 8; </w:t>
      </w:r>
      <w:hyperlink w:anchor="SENTENCIA_2016_112" w:history="1">
        <w:r w:rsidRPr="0057104C">
          <w:rPr>
            <w:rStyle w:val="TextoNormalCaracter"/>
          </w:rPr>
          <w:t>112/2016</w:t>
        </w:r>
      </w:hyperlink>
      <w:r>
        <w:t xml:space="preserve">, f. 6; </w:t>
      </w:r>
      <w:hyperlink w:anchor="SENTENCIA_2016_117" w:history="1">
        <w:r w:rsidRPr="0057104C">
          <w:rPr>
            <w:rStyle w:val="TextoNormalCaracter"/>
          </w:rPr>
          <w:t>117/2016</w:t>
        </w:r>
      </w:hyperlink>
      <w:r>
        <w:t xml:space="preserve">, ff. 1, 3; </w:t>
      </w:r>
      <w:hyperlink w:anchor="SENTENCIA_2016_123" w:history="1">
        <w:r w:rsidRPr="0057104C">
          <w:rPr>
            <w:rStyle w:val="TextoNormalCaracter"/>
          </w:rPr>
          <w:t>123/2016</w:t>
        </w:r>
      </w:hyperlink>
      <w:r>
        <w:t>, ff. 1, 2.</w:t>
      </w:r>
    </w:p>
    <w:p w:rsidR="0057104C" w:rsidRDefault="0057104C" w:rsidP="0057104C">
      <w:pPr>
        <w:pStyle w:val="SangriaIzquierdaArticulo"/>
      </w:pPr>
      <w:r>
        <w:t xml:space="preserve">Auto </w:t>
      </w:r>
      <w:hyperlink w:anchor="AUTO_2016_112" w:history="1">
        <w:r w:rsidRPr="0057104C">
          <w:rPr>
            <w:rStyle w:val="TextoNormalCaracter"/>
          </w:rPr>
          <w:t>112/2016</w:t>
        </w:r>
      </w:hyperlink>
      <w:r>
        <w:t>, f. 2, VP.</w:t>
      </w:r>
    </w:p>
    <w:p w:rsidR="0057104C" w:rsidRDefault="0057104C" w:rsidP="0057104C">
      <w:pPr>
        <w:pStyle w:val="SangriaFrancesaArticulo"/>
      </w:pPr>
      <w:r w:rsidRPr="0057104C">
        <w:rPr>
          <w:rStyle w:val="TextoNormalNegritaCaracter"/>
        </w:rPr>
        <w:t>Artículo 25.2.</w:t>
      </w:r>
      <w:r w:rsidRPr="0057104C">
        <w:rPr>
          <w:rStyle w:val="TextoNormalCaracter"/>
        </w:rPr>
        <w:t>-</w:t>
      </w:r>
      <w:r>
        <w:t xml:space="preserve"> Sentencia </w:t>
      </w:r>
      <w:hyperlink w:anchor="SENTENCIA_2016_123" w:history="1">
        <w:r w:rsidRPr="0057104C">
          <w:rPr>
            <w:rStyle w:val="TextoNormalCaracter"/>
          </w:rPr>
          <w:t>123/2016</w:t>
        </w:r>
      </w:hyperlink>
      <w:r>
        <w:t>, ff. 1, 2.</w:t>
      </w:r>
    </w:p>
    <w:p w:rsidR="0057104C" w:rsidRDefault="0057104C" w:rsidP="0057104C">
      <w:pPr>
        <w:pStyle w:val="SangriaFrancesaArticulo"/>
      </w:pPr>
      <w:r w:rsidRPr="0057104C">
        <w:rPr>
          <w:rStyle w:val="TextoNormalNegritaCaracter"/>
        </w:rPr>
        <w:t>Artículo 27.</w:t>
      </w:r>
      <w:r w:rsidRPr="0057104C">
        <w:rPr>
          <w:rStyle w:val="TextoNormalCaracter"/>
        </w:rPr>
        <w:t>-</w:t>
      </w:r>
      <w:r>
        <w:t xml:space="preserve"> Sentencias </w:t>
      </w:r>
      <w:hyperlink w:anchor="SENTENCIA_2016_26" w:history="1">
        <w:r w:rsidRPr="0057104C">
          <w:rPr>
            <w:rStyle w:val="TextoNormalCaracter"/>
          </w:rPr>
          <w:t>26/2016</w:t>
        </w:r>
      </w:hyperlink>
      <w:r>
        <w:t xml:space="preserve">, f. 6; </w:t>
      </w:r>
      <w:hyperlink w:anchor="SENTENCIA_2016_38" w:history="1">
        <w:r w:rsidRPr="0057104C">
          <w:rPr>
            <w:rStyle w:val="TextoNormalCaracter"/>
          </w:rPr>
          <w:t>38/2016</w:t>
        </w:r>
      </w:hyperlink>
      <w:r>
        <w:t xml:space="preserve">, f. 1; </w:t>
      </w:r>
      <w:hyperlink w:anchor="SENTENCIA_2016_66" w:history="1">
        <w:r w:rsidRPr="0057104C">
          <w:rPr>
            <w:rStyle w:val="TextoNormalCaracter"/>
          </w:rPr>
          <w:t>66/2016</w:t>
        </w:r>
      </w:hyperlink>
      <w:r>
        <w:t xml:space="preserve">, f. 4; </w:t>
      </w:r>
      <w:hyperlink w:anchor="SENTENCIA_2016_67" w:history="1">
        <w:r w:rsidRPr="0057104C">
          <w:rPr>
            <w:rStyle w:val="TextoNormalCaracter"/>
          </w:rPr>
          <w:t>67/2016</w:t>
        </w:r>
      </w:hyperlink>
      <w:r>
        <w:t xml:space="preserve">, ff. 3, 5; </w:t>
      </w:r>
      <w:hyperlink w:anchor="SENTENCIA_2016_68" w:history="1">
        <w:r w:rsidRPr="0057104C">
          <w:rPr>
            <w:rStyle w:val="TextoNormalCaracter"/>
          </w:rPr>
          <w:t>68/2016</w:t>
        </w:r>
      </w:hyperlink>
      <w:r>
        <w:t xml:space="preserve">, ff. 3, 5; </w:t>
      </w:r>
      <w:hyperlink w:anchor="SENTENCIA_2016_95" w:history="1">
        <w:r w:rsidRPr="0057104C">
          <w:rPr>
            <w:rStyle w:val="TextoNormalCaracter"/>
          </w:rPr>
          <w:t>95/2016</w:t>
        </w:r>
      </w:hyperlink>
      <w:r>
        <w:t>, ff. 3 a 5.</w:t>
      </w:r>
    </w:p>
    <w:p w:rsidR="0057104C" w:rsidRDefault="0057104C" w:rsidP="0057104C">
      <w:pPr>
        <w:pStyle w:val="SangriaFrancesaArticulo"/>
      </w:pPr>
      <w:r w:rsidRPr="0057104C">
        <w:rPr>
          <w:rStyle w:val="TextoNormalNegritaCaracter"/>
        </w:rPr>
        <w:t>Artículo 27.5.</w:t>
      </w:r>
      <w:r w:rsidRPr="0057104C">
        <w:rPr>
          <w:rStyle w:val="TextoNormalCaracter"/>
        </w:rPr>
        <w:t>-</w:t>
      </w:r>
      <w:r>
        <w:t xml:space="preserve"> Sentencia </w:t>
      </w:r>
      <w:hyperlink w:anchor="SENTENCIA_2016_38" w:history="1">
        <w:r w:rsidRPr="0057104C">
          <w:rPr>
            <w:rStyle w:val="TextoNormalCaracter"/>
          </w:rPr>
          <w:t>38/2016</w:t>
        </w:r>
      </w:hyperlink>
      <w:r>
        <w:t>, f. 6.</w:t>
      </w:r>
    </w:p>
    <w:p w:rsidR="0057104C" w:rsidRDefault="0057104C" w:rsidP="0057104C">
      <w:pPr>
        <w:pStyle w:val="SangriaFrancesaArticulo"/>
      </w:pPr>
      <w:r w:rsidRPr="0057104C">
        <w:rPr>
          <w:rStyle w:val="TextoNormalNegritaCaracter"/>
        </w:rPr>
        <w:t>Artículo 27.10.</w:t>
      </w:r>
      <w:r w:rsidRPr="0057104C">
        <w:rPr>
          <w:rStyle w:val="TextoNormalCaracter"/>
        </w:rPr>
        <w:t>-</w:t>
      </w:r>
      <w:r>
        <w:t xml:space="preserve"> Sentencias </w:t>
      </w:r>
      <w:hyperlink w:anchor="SENTENCIA_2016_26" w:history="1">
        <w:r w:rsidRPr="0057104C">
          <w:rPr>
            <w:rStyle w:val="TextoNormalCaracter"/>
          </w:rPr>
          <w:t>26/2016</w:t>
        </w:r>
      </w:hyperlink>
      <w:r>
        <w:t xml:space="preserve">, ff. 1, 6, 8, VP; </w:t>
      </w:r>
      <w:hyperlink w:anchor="SENTENCIA_2016_44" w:history="1">
        <w:r w:rsidRPr="0057104C">
          <w:rPr>
            <w:rStyle w:val="TextoNormalCaracter"/>
          </w:rPr>
          <w:t>44/2016</w:t>
        </w:r>
      </w:hyperlink>
      <w:r>
        <w:t xml:space="preserve">, ff. 1, 3 a 5; </w:t>
      </w:r>
      <w:hyperlink w:anchor="SENTENCIA_2016_84" w:history="1">
        <w:r w:rsidRPr="0057104C">
          <w:rPr>
            <w:rStyle w:val="TextoNormalCaracter"/>
          </w:rPr>
          <w:t>84/2016</w:t>
        </w:r>
      </w:hyperlink>
      <w:r>
        <w:t>, VP.</w:t>
      </w:r>
    </w:p>
    <w:p w:rsidR="0057104C" w:rsidRDefault="0057104C" w:rsidP="0057104C">
      <w:pPr>
        <w:pStyle w:val="SangriaFrancesaArticulo"/>
      </w:pPr>
      <w:r w:rsidRPr="0057104C">
        <w:rPr>
          <w:rStyle w:val="TextoNormalNegritaCaracter"/>
        </w:rPr>
        <w:t>Artículo 28.</w:t>
      </w:r>
      <w:r w:rsidRPr="0057104C">
        <w:rPr>
          <w:rStyle w:val="TextoNormalCaracter"/>
        </w:rPr>
        <w:t>-</w:t>
      </w:r>
      <w:r>
        <w:t xml:space="preserve"> Sentencias </w:t>
      </w:r>
      <w:hyperlink w:anchor="SENTENCIA_2016_64" w:history="1">
        <w:r w:rsidRPr="0057104C">
          <w:rPr>
            <w:rStyle w:val="TextoNormalCaracter"/>
          </w:rPr>
          <w:t>64/2016</w:t>
        </w:r>
      </w:hyperlink>
      <w:r>
        <w:t xml:space="preserve">, f. 4; </w:t>
      </w:r>
      <w:hyperlink w:anchor="SENTENCIA_2016_69" w:history="1">
        <w:r w:rsidRPr="0057104C">
          <w:rPr>
            <w:rStyle w:val="TextoNormalCaracter"/>
          </w:rPr>
          <w:t>69/2016</w:t>
        </w:r>
      </w:hyperlink>
      <w:r>
        <w:t>, f. 3.</w:t>
      </w:r>
    </w:p>
    <w:p w:rsidR="0057104C" w:rsidRDefault="0057104C" w:rsidP="0057104C">
      <w:pPr>
        <w:pStyle w:val="SangriaFrancesaArticulo"/>
      </w:pPr>
      <w:r w:rsidRPr="0057104C">
        <w:rPr>
          <w:rStyle w:val="TextoNormalNegritaCaracter"/>
        </w:rPr>
        <w:t>Artículo 28.1.</w:t>
      </w:r>
      <w:r w:rsidRPr="0057104C">
        <w:rPr>
          <w:rStyle w:val="TextoNormalCaracter"/>
        </w:rPr>
        <w:t>-</w:t>
      </w:r>
      <w:r>
        <w:t xml:space="preserve"> Sentencias </w:t>
      </w:r>
      <w:hyperlink w:anchor="SENTENCIA_2016_64" w:history="1">
        <w:r w:rsidRPr="0057104C">
          <w:rPr>
            <w:rStyle w:val="TextoNormalCaracter"/>
          </w:rPr>
          <w:t>64/2016</w:t>
        </w:r>
      </w:hyperlink>
      <w:r>
        <w:t xml:space="preserve">, ff. 1 a 5, VP; </w:t>
      </w:r>
      <w:hyperlink w:anchor="SENTENCIA_2016_119" w:history="1">
        <w:r w:rsidRPr="0057104C">
          <w:rPr>
            <w:rStyle w:val="TextoNormalCaracter"/>
          </w:rPr>
          <w:t>119/2016</w:t>
        </w:r>
      </w:hyperlink>
      <w:r>
        <w:t>, f. 4.</w:t>
      </w:r>
    </w:p>
    <w:p w:rsidR="0057104C" w:rsidRDefault="0057104C" w:rsidP="0057104C">
      <w:pPr>
        <w:pStyle w:val="SangriaFrancesaArticulo"/>
      </w:pPr>
      <w:r w:rsidRPr="0057104C">
        <w:rPr>
          <w:rStyle w:val="TextoNormalNegritaCaracter"/>
        </w:rPr>
        <w:t>Artículo 28.2.</w:t>
      </w:r>
      <w:r w:rsidRPr="0057104C">
        <w:rPr>
          <w:rStyle w:val="TextoNormalCaracter"/>
        </w:rPr>
        <w:t>-</w:t>
      </w:r>
      <w:r>
        <w:t xml:space="preserve"> Sentencias </w:t>
      </w:r>
      <w:hyperlink w:anchor="SENTENCIA_2016_45" w:history="1">
        <w:r w:rsidRPr="0057104C">
          <w:rPr>
            <w:rStyle w:val="TextoNormalCaracter"/>
          </w:rPr>
          <w:t>45/2016</w:t>
        </w:r>
      </w:hyperlink>
      <w:r>
        <w:t xml:space="preserve">, ff. 1 a 6; </w:t>
      </w:r>
      <w:hyperlink w:anchor="SENTENCIA_2016_69" w:history="1">
        <w:r w:rsidRPr="0057104C">
          <w:rPr>
            <w:rStyle w:val="TextoNormalCaracter"/>
          </w:rPr>
          <w:t>69/2016</w:t>
        </w:r>
      </w:hyperlink>
      <w:r>
        <w:t xml:space="preserve">, ff. 1 a 5, VP I, VP II; </w:t>
      </w:r>
      <w:hyperlink w:anchor="SENTENCIA_2016_83" w:history="1">
        <w:r w:rsidRPr="0057104C">
          <w:rPr>
            <w:rStyle w:val="TextoNormalCaracter"/>
          </w:rPr>
          <w:t>83/2016</w:t>
        </w:r>
      </w:hyperlink>
      <w:r>
        <w:t>, f. 8.</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Sentencia </w:t>
      </w:r>
      <w:hyperlink w:anchor="SENTENCIA_2016_121" w:history="1">
        <w:r w:rsidRPr="0057104C">
          <w:rPr>
            <w:rStyle w:val="TextoNormalCaracter"/>
          </w:rPr>
          <w:t>121/2016</w:t>
        </w:r>
      </w:hyperlink>
      <w:r>
        <w:t>, f. 1.</w:t>
      </w:r>
    </w:p>
    <w:p w:rsidR="0057104C" w:rsidRDefault="0057104C" w:rsidP="0057104C">
      <w:pPr>
        <w:pStyle w:val="SangriaIzquierdaArticulo"/>
      </w:pPr>
      <w:r>
        <w:t xml:space="preserve">Auto </w:t>
      </w:r>
      <w:hyperlink w:anchor="AUTO_2016_129" w:history="1">
        <w:r w:rsidRPr="0057104C">
          <w:rPr>
            <w:rStyle w:val="TextoNormalCaracter"/>
          </w:rPr>
          <w:t>129/2016</w:t>
        </w:r>
      </w:hyperlink>
      <w:r>
        <w:t>, VP.</w:t>
      </w:r>
    </w:p>
    <w:p w:rsidR="0057104C" w:rsidRDefault="0057104C" w:rsidP="0057104C">
      <w:pPr>
        <w:pStyle w:val="SangriaFrancesaArticulo"/>
      </w:pPr>
      <w:r w:rsidRPr="0057104C">
        <w:rPr>
          <w:rStyle w:val="TextoNormalNegritaCaracter"/>
        </w:rPr>
        <w:t>Artículo 31.1.</w:t>
      </w:r>
      <w:r w:rsidRPr="0057104C">
        <w:rPr>
          <w:rStyle w:val="TextoNormalCaracter"/>
        </w:rPr>
        <w:t>-</w:t>
      </w:r>
      <w:r>
        <w:t xml:space="preserve"> Sentencias </w:t>
      </w:r>
      <w:hyperlink w:anchor="SENTENCIA_2016_3" w:history="1">
        <w:r w:rsidRPr="0057104C">
          <w:rPr>
            <w:rStyle w:val="TextoNormalCaracter"/>
          </w:rPr>
          <w:t>3/2016</w:t>
        </w:r>
      </w:hyperlink>
      <w:r>
        <w:t xml:space="preserve">, ff. 3, 4; </w:t>
      </w:r>
      <w:hyperlink w:anchor="SENTENCIA_2016_74" w:history="1">
        <w:r w:rsidRPr="0057104C">
          <w:rPr>
            <w:rStyle w:val="TextoNormalCaracter"/>
          </w:rPr>
          <w:t>74/2016</w:t>
        </w:r>
      </w:hyperlink>
      <w:r>
        <w:t xml:space="preserve">, f. 2, VP; </w:t>
      </w:r>
      <w:hyperlink w:anchor="SENTENCIA_2016_118" w:history="1">
        <w:r w:rsidRPr="0057104C">
          <w:rPr>
            <w:rStyle w:val="TextoNormalCaracter"/>
          </w:rPr>
          <w:t>118/2016</w:t>
        </w:r>
      </w:hyperlink>
      <w:r>
        <w:t xml:space="preserve">, ff. 2,3; </w:t>
      </w:r>
      <w:hyperlink w:anchor="SENTENCIA_2016_121" w:history="1">
        <w:r w:rsidRPr="0057104C">
          <w:rPr>
            <w:rStyle w:val="TextoNormalCaracter"/>
          </w:rPr>
          <w:t>121/2016</w:t>
        </w:r>
      </w:hyperlink>
      <w:r>
        <w:t>, f. 5.</w:t>
      </w:r>
    </w:p>
    <w:p w:rsidR="0057104C" w:rsidRDefault="0057104C" w:rsidP="0057104C">
      <w:pPr>
        <w:pStyle w:val="SangriaIzquierdaArticulo"/>
      </w:pPr>
      <w:r>
        <w:t xml:space="preserve">Auto </w:t>
      </w:r>
      <w:hyperlink w:anchor="AUTO_2016_129" w:history="1">
        <w:r w:rsidRPr="0057104C">
          <w:rPr>
            <w:rStyle w:val="TextoNormalCaracter"/>
          </w:rPr>
          <w:t>129/2016</w:t>
        </w:r>
      </w:hyperlink>
      <w:r>
        <w:t>, ff. 1, 2, 5, VP.</w:t>
      </w:r>
    </w:p>
    <w:p w:rsidR="0057104C" w:rsidRDefault="0057104C" w:rsidP="0057104C">
      <w:pPr>
        <w:pStyle w:val="SangriaFrancesaArticulo"/>
      </w:pPr>
      <w:r w:rsidRPr="0057104C">
        <w:rPr>
          <w:rStyle w:val="TextoNormalNegritaCaracter"/>
        </w:rPr>
        <w:t>Artículo 31.2.</w:t>
      </w:r>
      <w:r w:rsidRPr="0057104C">
        <w:rPr>
          <w:rStyle w:val="TextoNormalCaracter"/>
        </w:rPr>
        <w:t>-</w:t>
      </w:r>
      <w:r>
        <w:t xml:space="preserve"> Sentencias </w:t>
      </w:r>
      <w:hyperlink w:anchor="SENTENCIA_2016_41" w:history="1">
        <w:r w:rsidRPr="0057104C">
          <w:rPr>
            <w:rStyle w:val="TextoNormalCaracter"/>
          </w:rPr>
          <w:t>41/2016</w:t>
        </w:r>
      </w:hyperlink>
      <w:r>
        <w:t xml:space="preserve">, ff. 3, 4, 6 a 9, 11 a 14; </w:t>
      </w:r>
      <w:hyperlink w:anchor="SENTENCIA_2016_96" w:history="1">
        <w:r w:rsidRPr="0057104C">
          <w:rPr>
            <w:rStyle w:val="TextoNormalCaracter"/>
          </w:rPr>
          <w:t>96/2016</w:t>
        </w:r>
      </w:hyperlink>
      <w:r>
        <w:t xml:space="preserve">, ff. 4, 8; </w:t>
      </w:r>
      <w:hyperlink w:anchor="SENTENCIA_2016_111" w:history="1">
        <w:r w:rsidRPr="0057104C">
          <w:rPr>
            <w:rStyle w:val="TextoNormalCaracter"/>
          </w:rPr>
          <w:t>111/2016</w:t>
        </w:r>
      </w:hyperlink>
      <w:r>
        <w:t>, ff. 4 a 6, 12.</w:t>
      </w:r>
    </w:p>
    <w:p w:rsidR="0057104C" w:rsidRDefault="0057104C" w:rsidP="0057104C">
      <w:pPr>
        <w:pStyle w:val="SangriaFrancesaArticulo"/>
      </w:pPr>
      <w:r w:rsidRPr="0057104C">
        <w:rPr>
          <w:rStyle w:val="TextoNormalNegritaCaracter"/>
        </w:rPr>
        <w:t>Artículo 31.3.</w:t>
      </w:r>
      <w:r w:rsidRPr="0057104C">
        <w:rPr>
          <w:rStyle w:val="TextoNormalCaracter"/>
        </w:rPr>
        <w:t>-</w:t>
      </w:r>
      <w:r>
        <w:t xml:space="preserve"> Sentencias </w:t>
      </w:r>
      <w:hyperlink w:anchor="SENTENCIA_2016_3" w:history="1">
        <w:r w:rsidRPr="0057104C">
          <w:rPr>
            <w:rStyle w:val="TextoNormalCaracter"/>
          </w:rPr>
          <w:t>3/2016</w:t>
        </w:r>
      </w:hyperlink>
      <w:r>
        <w:t xml:space="preserve">, f. 4; </w:t>
      </w:r>
      <w:hyperlink w:anchor="SENTENCIA_2016_118" w:history="1">
        <w:r w:rsidRPr="0057104C">
          <w:rPr>
            <w:rStyle w:val="TextoNormalCaracter"/>
          </w:rPr>
          <w:t>118/2016</w:t>
        </w:r>
      </w:hyperlink>
      <w:r>
        <w:t xml:space="preserve">, f. 2; </w:t>
      </w:r>
      <w:hyperlink w:anchor="SENTENCIA_2016_121" w:history="1">
        <w:r w:rsidRPr="0057104C">
          <w:rPr>
            <w:rStyle w:val="TextoNormalCaracter"/>
          </w:rPr>
          <w:t>121/2016</w:t>
        </w:r>
      </w:hyperlink>
      <w:r>
        <w:t>, f. 4.</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Auto </w:t>
      </w:r>
      <w:hyperlink w:anchor="AUTO_2016_129" w:history="1">
        <w:r w:rsidRPr="0057104C">
          <w:rPr>
            <w:rStyle w:val="TextoNormalCaracter"/>
          </w:rPr>
          <w:t>129/2016</w:t>
        </w:r>
      </w:hyperlink>
      <w:r>
        <w:t>, VP.</w:t>
      </w:r>
    </w:p>
    <w:p w:rsidR="0057104C" w:rsidRDefault="0057104C" w:rsidP="0057104C">
      <w:pPr>
        <w:pStyle w:val="SangriaFrancesaArticulo"/>
      </w:pPr>
      <w:r w:rsidRPr="0057104C">
        <w:rPr>
          <w:rStyle w:val="TextoNormalNegritaCaracter"/>
        </w:rPr>
        <w:t>Artículo 32.1.</w:t>
      </w:r>
      <w:r w:rsidRPr="0057104C">
        <w:rPr>
          <w:rStyle w:val="TextoNormalCaracter"/>
        </w:rPr>
        <w:t>-</w:t>
      </w:r>
      <w:r>
        <w:t xml:space="preserve"> Sentencia </w:t>
      </w:r>
      <w:hyperlink w:anchor="SENTENCIA_2016_41" w:history="1">
        <w:r w:rsidRPr="0057104C">
          <w:rPr>
            <w:rStyle w:val="TextoNormalCaracter"/>
          </w:rPr>
          <w:t>41/2016</w:t>
        </w:r>
      </w:hyperlink>
      <w:r>
        <w:t>, f. 3.</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Sentencias </w:t>
      </w:r>
      <w:hyperlink w:anchor="SENTENCIA_2016_39" w:history="1">
        <w:r w:rsidRPr="0057104C">
          <w:rPr>
            <w:rStyle w:val="TextoNormalCaracter"/>
          </w:rPr>
          <w:t>39/2016</w:t>
        </w:r>
      </w:hyperlink>
      <w:r>
        <w:t xml:space="preserve">, f. 4, VPI; </w:t>
      </w:r>
      <w:hyperlink w:anchor="SENTENCIA_2016_69" w:history="1">
        <w:r w:rsidRPr="0057104C">
          <w:rPr>
            <w:rStyle w:val="TextoNormalCaracter"/>
          </w:rPr>
          <w:t>69/2016</w:t>
        </w:r>
      </w:hyperlink>
      <w:r>
        <w:t>, VP II.</w:t>
      </w:r>
    </w:p>
    <w:p w:rsidR="0057104C" w:rsidRDefault="0057104C" w:rsidP="0057104C">
      <w:pPr>
        <w:pStyle w:val="SangriaIzquierdaArticulo"/>
      </w:pPr>
      <w:r>
        <w:t xml:space="preserve">Autos </w:t>
      </w:r>
      <w:hyperlink w:anchor="AUTO_2016_6" w:history="1">
        <w:r w:rsidRPr="0057104C">
          <w:rPr>
            <w:rStyle w:val="TextoNormalCaracter"/>
          </w:rPr>
          <w:t>6/2016</w:t>
        </w:r>
      </w:hyperlink>
      <w:r>
        <w:t xml:space="preserve">, f. 6; </w:t>
      </w:r>
      <w:hyperlink w:anchor="AUTO_2016_7" w:history="1">
        <w:r w:rsidRPr="0057104C">
          <w:rPr>
            <w:rStyle w:val="TextoNormalCaracter"/>
          </w:rPr>
          <w:t>7/2016</w:t>
        </w:r>
      </w:hyperlink>
      <w:r>
        <w:t xml:space="preserve">, f. 6; </w:t>
      </w:r>
      <w:hyperlink w:anchor="AUTO_2016_8" w:history="1">
        <w:r w:rsidRPr="0057104C">
          <w:rPr>
            <w:rStyle w:val="TextoNormalCaracter"/>
          </w:rPr>
          <w:t>8/2016</w:t>
        </w:r>
      </w:hyperlink>
      <w:r>
        <w:t xml:space="preserve">, f. 6; </w:t>
      </w:r>
      <w:hyperlink w:anchor="AUTO_2016_10" w:history="1">
        <w:r w:rsidRPr="0057104C">
          <w:rPr>
            <w:rStyle w:val="TextoNormalCaracter"/>
          </w:rPr>
          <w:t>10/2016</w:t>
        </w:r>
      </w:hyperlink>
      <w:r>
        <w:t xml:space="preserve">, f. 6; </w:t>
      </w:r>
      <w:hyperlink w:anchor="AUTO_2016_21" w:history="1">
        <w:r w:rsidRPr="0057104C">
          <w:rPr>
            <w:rStyle w:val="TextoNormalCaracter"/>
          </w:rPr>
          <w:t>21/2016</w:t>
        </w:r>
      </w:hyperlink>
      <w:r>
        <w:t xml:space="preserve">, f. 6; </w:t>
      </w:r>
      <w:hyperlink w:anchor="AUTO_2016_22" w:history="1">
        <w:r w:rsidRPr="0057104C">
          <w:rPr>
            <w:rStyle w:val="TextoNormalCaracter"/>
          </w:rPr>
          <w:t>22/2016</w:t>
        </w:r>
      </w:hyperlink>
      <w:r>
        <w:t xml:space="preserve">, f. 6; </w:t>
      </w:r>
      <w:hyperlink w:anchor="AUTO_2016_37" w:history="1">
        <w:r w:rsidRPr="0057104C">
          <w:rPr>
            <w:rStyle w:val="TextoNormalCaracter"/>
          </w:rPr>
          <w:t>37/2016</w:t>
        </w:r>
      </w:hyperlink>
      <w:r>
        <w:t xml:space="preserve">, f. 5; </w:t>
      </w:r>
      <w:hyperlink w:anchor="AUTO_2016_38" w:history="1">
        <w:r w:rsidRPr="0057104C">
          <w:rPr>
            <w:rStyle w:val="TextoNormalCaracter"/>
          </w:rPr>
          <w:t>38/2016</w:t>
        </w:r>
      </w:hyperlink>
      <w:r>
        <w:t xml:space="preserve">, f. 5; </w:t>
      </w:r>
      <w:hyperlink w:anchor="AUTO_2016_50" w:history="1">
        <w:r w:rsidRPr="0057104C">
          <w:rPr>
            <w:rStyle w:val="TextoNormalCaracter"/>
          </w:rPr>
          <w:t>50/2016</w:t>
        </w:r>
      </w:hyperlink>
      <w:r>
        <w:t xml:space="preserve">, f. 5; </w:t>
      </w:r>
      <w:hyperlink w:anchor="AUTO_2016_52" w:history="1">
        <w:r w:rsidRPr="0057104C">
          <w:rPr>
            <w:rStyle w:val="TextoNormalCaracter"/>
          </w:rPr>
          <w:t>52/2016</w:t>
        </w:r>
      </w:hyperlink>
      <w:r>
        <w:t xml:space="preserve">, f. 5; </w:t>
      </w:r>
      <w:hyperlink w:anchor="AUTO_2016_70" w:history="1">
        <w:r w:rsidRPr="0057104C">
          <w:rPr>
            <w:rStyle w:val="TextoNormalCaracter"/>
          </w:rPr>
          <w:t>70/2016</w:t>
        </w:r>
      </w:hyperlink>
      <w:r>
        <w:t>, f. 6.</w:t>
      </w:r>
    </w:p>
    <w:p w:rsidR="0057104C" w:rsidRDefault="0057104C" w:rsidP="0057104C">
      <w:pPr>
        <w:pStyle w:val="SangriaFrancesaArticulo"/>
      </w:pPr>
      <w:r w:rsidRPr="0057104C">
        <w:rPr>
          <w:rStyle w:val="TextoNormalNegritaCaracter"/>
        </w:rPr>
        <w:t>Artículo 33.3.</w:t>
      </w:r>
      <w:r w:rsidRPr="0057104C">
        <w:rPr>
          <w:rStyle w:val="TextoNormalCaracter"/>
        </w:rPr>
        <w:t>-</w:t>
      </w:r>
      <w:r>
        <w:t xml:space="preserve"> Sentencias </w:t>
      </w:r>
      <w:hyperlink w:anchor="SENTENCIA_2016_2" w:history="1">
        <w:r w:rsidRPr="0057104C">
          <w:rPr>
            <w:rStyle w:val="TextoNormalCaracter"/>
          </w:rPr>
          <w:t>2/2016</w:t>
        </w:r>
      </w:hyperlink>
      <w:r>
        <w:t xml:space="preserve">, ff. 1, 2; </w:t>
      </w:r>
      <w:hyperlink w:anchor="SENTENCIA_2016_106" w:history="1">
        <w:r w:rsidRPr="0057104C">
          <w:rPr>
            <w:rStyle w:val="TextoNormalCaracter"/>
          </w:rPr>
          <w:t>106/2016</w:t>
        </w:r>
      </w:hyperlink>
      <w:r>
        <w:t xml:space="preserve">, f. 1; </w:t>
      </w:r>
      <w:hyperlink w:anchor="SENTENCIA_2016_122" w:history="1">
        <w:r w:rsidRPr="0057104C">
          <w:rPr>
            <w:rStyle w:val="TextoNormalCaracter"/>
          </w:rPr>
          <w:t>122/2016</w:t>
        </w:r>
      </w:hyperlink>
      <w:r>
        <w:t>, f. 1.</w:t>
      </w:r>
    </w:p>
    <w:p w:rsidR="0057104C" w:rsidRDefault="0057104C" w:rsidP="0057104C">
      <w:pPr>
        <w:pStyle w:val="SangriaIzquierdaArticulo"/>
      </w:pPr>
      <w:r>
        <w:t xml:space="preserve">Autos </w:t>
      </w:r>
      <w:hyperlink w:anchor="AUTO_2016_6" w:history="1">
        <w:r w:rsidRPr="0057104C">
          <w:rPr>
            <w:rStyle w:val="TextoNormalCaracter"/>
          </w:rPr>
          <w:t>6/2016</w:t>
        </w:r>
      </w:hyperlink>
      <w:r>
        <w:t xml:space="preserve">, ff. 1, 6; </w:t>
      </w:r>
      <w:hyperlink w:anchor="AUTO_2016_7" w:history="1">
        <w:r w:rsidRPr="0057104C">
          <w:rPr>
            <w:rStyle w:val="TextoNormalCaracter"/>
          </w:rPr>
          <w:t>7/2016</w:t>
        </w:r>
      </w:hyperlink>
      <w:r>
        <w:t xml:space="preserve">, ff. 1, 6; </w:t>
      </w:r>
      <w:hyperlink w:anchor="AUTO_2016_8" w:history="1">
        <w:r w:rsidRPr="0057104C">
          <w:rPr>
            <w:rStyle w:val="TextoNormalCaracter"/>
          </w:rPr>
          <w:t>8/2016</w:t>
        </w:r>
      </w:hyperlink>
      <w:r>
        <w:t xml:space="preserve">, ff. 1, 6; </w:t>
      </w:r>
      <w:hyperlink w:anchor="AUTO_2016_10" w:history="1">
        <w:r w:rsidRPr="0057104C">
          <w:rPr>
            <w:rStyle w:val="TextoNormalCaracter"/>
          </w:rPr>
          <w:t>10/2016</w:t>
        </w:r>
      </w:hyperlink>
      <w:r>
        <w:t xml:space="preserve">, ff. 1, 6; </w:t>
      </w:r>
      <w:hyperlink w:anchor="AUTO_2016_21" w:history="1">
        <w:r w:rsidRPr="0057104C">
          <w:rPr>
            <w:rStyle w:val="TextoNormalCaracter"/>
          </w:rPr>
          <w:t>21/2016</w:t>
        </w:r>
      </w:hyperlink>
      <w:r>
        <w:t xml:space="preserve">, ff. 1, 6; </w:t>
      </w:r>
      <w:hyperlink w:anchor="AUTO_2016_22" w:history="1">
        <w:r w:rsidRPr="0057104C">
          <w:rPr>
            <w:rStyle w:val="TextoNormalCaracter"/>
          </w:rPr>
          <w:t>22/2016</w:t>
        </w:r>
      </w:hyperlink>
      <w:r>
        <w:t xml:space="preserve">, ff. 1, 6; </w:t>
      </w:r>
      <w:hyperlink w:anchor="AUTO_2016_37" w:history="1">
        <w:r w:rsidRPr="0057104C">
          <w:rPr>
            <w:rStyle w:val="TextoNormalCaracter"/>
          </w:rPr>
          <w:t>37/2016</w:t>
        </w:r>
      </w:hyperlink>
      <w:r>
        <w:t xml:space="preserve">, ff. 1, 5; </w:t>
      </w:r>
      <w:hyperlink w:anchor="AUTO_2016_38" w:history="1">
        <w:r w:rsidRPr="0057104C">
          <w:rPr>
            <w:rStyle w:val="TextoNormalCaracter"/>
          </w:rPr>
          <w:t>38/2016</w:t>
        </w:r>
      </w:hyperlink>
      <w:r>
        <w:t xml:space="preserve">, ff. 1, 5; </w:t>
      </w:r>
      <w:hyperlink w:anchor="AUTO_2016_50" w:history="1">
        <w:r w:rsidRPr="0057104C">
          <w:rPr>
            <w:rStyle w:val="TextoNormalCaracter"/>
          </w:rPr>
          <w:t>50/2016</w:t>
        </w:r>
      </w:hyperlink>
      <w:r>
        <w:t xml:space="preserve">, ff. 1, 5; </w:t>
      </w:r>
      <w:hyperlink w:anchor="AUTO_2016_52" w:history="1">
        <w:r w:rsidRPr="0057104C">
          <w:rPr>
            <w:rStyle w:val="TextoNormalCaracter"/>
          </w:rPr>
          <w:t>52/2016</w:t>
        </w:r>
      </w:hyperlink>
      <w:r>
        <w:t xml:space="preserve">, ff. 1, 5; </w:t>
      </w:r>
      <w:hyperlink w:anchor="AUTO_2016_70" w:history="1">
        <w:r w:rsidRPr="0057104C">
          <w:rPr>
            <w:rStyle w:val="TextoNormalCaracter"/>
          </w:rPr>
          <w:t>70/2016</w:t>
        </w:r>
      </w:hyperlink>
      <w:r>
        <w:t>, ff. 1, 6.</w:t>
      </w:r>
    </w:p>
    <w:p w:rsidR="0057104C" w:rsidRDefault="0057104C" w:rsidP="0057104C">
      <w:pPr>
        <w:pStyle w:val="SangriaFrancesaArticulo"/>
      </w:pPr>
      <w:r w:rsidRPr="0057104C">
        <w:rPr>
          <w:rStyle w:val="TextoNormalNegritaCaracter"/>
        </w:rPr>
        <w:t>Artículo 35.</w:t>
      </w:r>
      <w:r w:rsidRPr="0057104C">
        <w:rPr>
          <w:rStyle w:val="TextoNormalCaracter"/>
        </w:rPr>
        <w:t>-</w:t>
      </w:r>
      <w:r>
        <w:t xml:space="preserve"> Sentencia </w:t>
      </w:r>
      <w:hyperlink w:anchor="SENTENCIA_2016_69" w:history="1">
        <w:r w:rsidRPr="0057104C">
          <w:rPr>
            <w:rStyle w:val="TextoNormalCaracter"/>
          </w:rPr>
          <w:t>69/2016</w:t>
        </w:r>
      </w:hyperlink>
      <w:r>
        <w:t>, VP II.</w:t>
      </w:r>
    </w:p>
    <w:p w:rsidR="0057104C" w:rsidRDefault="0057104C" w:rsidP="0057104C">
      <w:pPr>
        <w:pStyle w:val="SangriaFrancesaArticulo"/>
      </w:pPr>
      <w:r w:rsidRPr="0057104C">
        <w:rPr>
          <w:rStyle w:val="TextoNormalNegritaCaracter"/>
        </w:rPr>
        <w:t>Artículo 35.1.</w:t>
      </w:r>
      <w:r w:rsidRPr="0057104C">
        <w:rPr>
          <w:rStyle w:val="TextoNormalCaracter"/>
        </w:rPr>
        <w:t>-</w:t>
      </w:r>
      <w:r>
        <w:t xml:space="preserve"> Sentencias </w:t>
      </w:r>
      <w:hyperlink w:anchor="SENTENCIA_2016_44" w:history="1">
        <w:r w:rsidRPr="0057104C">
          <w:rPr>
            <w:rStyle w:val="TextoNormalCaracter"/>
          </w:rPr>
          <w:t>44/2016</w:t>
        </w:r>
      </w:hyperlink>
      <w:r>
        <w:t xml:space="preserve">, f. 5; </w:t>
      </w:r>
      <w:hyperlink w:anchor="SENTENCIA_2016_69" w:history="1">
        <w:r w:rsidRPr="0057104C">
          <w:rPr>
            <w:rStyle w:val="TextoNormalCaracter"/>
          </w:rPr>
          <w:t>69/2016</w:t>
        </w:r>
      </w:hyperlink>
      <w:r>
        <w:t>, f. 3.</w:t>
      </w:r>
    </w:p>
    <w:p w:rsidR="0057104C" w:rsidRDefault="0057104C" w:rsidP="0057104C">
      <w:pPr>
        <w:pStyle w:val="SangriaFrancesaArticulo"/>
      </w:pPr>
      <w:r w:rsidRPr="0057104C">
        <w:rPr>
          <w:rStyle w:val="TextoNormalNegritaCaracter"/>
        </w:rPr>
        <w:t>Artículo 36.</w:t>
      </w:r>
      <w:r w:rsidRPr="0057104C">
        <w:rPr>
          <w:rStyle w:val="TextoNormalCaracter"/>
        </w:rPr>
        <w:t>-</w:t>
      </w:r>
      <w:r>
        <w:t xml:space="preserve"> Auto </w:t>
      </w:r>
      <w:hyperlink w:anchor="AUTO_2016_73" w:history="1">
        <w:r w:rsidRPr="0057104C">
          <w:rPr>
            <w:rStyle w:val="TextoNormalCaracter"/>
          </w:rPr>
          <w:t>73/2016</w:t>
        </w:r>
      </w:hyperlink>
      <w:r>
        <w:t>, f. 1.</w:t>
      </w:r>
    </w:p>
    <w:p w:rsidR="0057104C" w:rsidRDefault="0057104C" w:rsidP="0057104C">
      <w:pPr>
        <w:pStyle w:val="SangriaFrancesaArticulo"/>
      </w:pPr>
      <w:r w:rsidRPr="0057104C">
        <w:rPr>
          <w:rStyle w:val="TextoNormalNegritaCaracter"/>
        </w:rPr>
        <w:t>Artículo 37.1.</w:t>
      </w:r>
      <w:r w:rsidRPr="0057104C">
        <w:rPr>
          <w:rStyle w:val="TextoNormalCaracter"/>
        </w:rPr>
        <w:t>-</w:t>
      </w:r>
      <w:r>
        <w:t xml:space="preserve"> Auto </w:t>
      </w:r>
      <w:hyperlink w:anchor="AUTO_2016_55" w:history="1">
        <w:r w:rsidRPr="0057104C">
          <w:rPr>
            <w:rStyle w:val="TextoNormalCaracter"/>
          </w:rPr>
          <w:t>55/2016</w:t>
        </w:r>
      </w:hyperlink>
      <w:r>
        <w:t>, ff. 1, 2, 4.</w:t>
      </w:r>
    </w:p>
    <w:p w:rsidR="0057104C" w:rsidRDefault="0057104C" w:rsidP="0057104C">
      <w:pPr>
        <w:pStyle w:val="SangriaFrancesaArticulo"/>
      </w:pPr>
      <w:r w:rsidRPr="0057104C">
        <w:rPr>
          <w:rStyle w:val="TextoNormalNegritaCaracter"/>
        </w:rPr>
        <w:t>Artículo 37.2.</w:t>
      </w:r>
      <w:r w:rsidRPr="0057104C">
        <w:rPr>
          <w:rStyle w:val="TextoNormalCaracter"/>
        </w:rPr>
        <w:t>-</w:t>
      </w:r>
      <w:r>
        <w:t xml:space="preserve"> Sentencia </w:t>
      </w:r>
      <w:hyperlink w:anchor="SENTENCIA_2016_83" w:history="1">
        <w:r w:rsidRPr="0057104C">
          <w:rPr>
            <w:rStyle w:val="TextoNormalCaracter"/>
          </w:rPr>
          <w:t>83/2016</w:t>
        </w:r>
      </w:hyperlink>
      <w:r>
        <w:t>, f. 8.</w:t>
      </w:r>
    </w:p>
    <w:p w:rsidR="0057104C" w:rsidRDefault="0057104C" w:rsidP="0057104C">
      <w:pPr>
        <w:pStyle w:val="SangriaFrancesaArticulo"/>
      </w:pPr>
      <w:r w:rsidRPr="0057104C">
        <w:rPr>
          <w:rStyle w:val="TextoNormalNegritaCaracter"/>
        </w:rPr>
        <w:t>Artículo 38.</w:t>
      </w:r>
      <w:r w:rsidRPr="0057104C">
        <w:rPr>
          <w:rStyle w:val="TextoNormalCaracter"/>
        </w:rPr>
        <w:t>-</w:t>
      </w:r>
      <w:r>
        <w:t xml:space="preserve"> Sentencias </w:t>
      </w:r>
      <w:hyperlink w:anchor="SENTENCIA_2016_30" w:history="1">
        <w:r w:rsidRPr="0057104C">
          <w:rPr>
            <w:rStyle w:val="TextoNormalCaracter"/>
          </w:rPr>
          <w:t>30/2016</w:t>
        </w:r>
      </w:hyperlink>
      <w:r>
        <w:t xml:space="preserve">, f. 6; </w:t>
      </w:r>
      <w:hyperlink w:anchor="SENTENCIA_2016_35" w:history="1">
        <w:r w:rsidRPr="0057104C">
          <w:rPr>
            <w:rStyle w:val="TextoNormalCaracter"/>
          </w:rPr>
          <w:t>35/2016</w:t>
        </w:r>
      </w:hyperlink>
      <w:r>
        <w:t xml:space="preserve">, ff. 1, 3, 4, 6; </w:t>
      </w:r>
      <w:hyperlink w:anchor="SENTENCIA_2016_39" w:history="1">
        <w:r w:rsidRPr="0057104C">
          <w:rPr>
            <w:rStyle w:val="TextoNormalCaracter"/>
          </w:rPr>
          <w:t>39/2016</w:t>
        </w:r>
      </w:hyperlink>
      <w:r>
        <w:t xml:space="preserve">, f. 4, VPI; </w:t>
      </w:r>
      <w:hyperlink w:anchor="SENTENCIA_2016_69" w:history="1">
        <w:r w:rsidRPr="0057104C">
          <w:rPr>
            <w:rStyle w:val="TextoNormalCaracter"/>
          </w:rPr>
          <w:t>69/2016</w:t>
        </w:r>
      </w:hyperlink>
      <w:r>
        <w:t xml:space="preserve">, f. 3;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39.</w:t>
      </w:r>
      <w:r w:rsidRPr="0057104C">
        <w:rPr>
          <w:rStyle w:val="TextoNormalCaracter"/>
        </w:rPr>
        <w:t>-</w:t>
      </w:r>
      <w:r>
        <w:t xml:space="preserve"> Sentencia </w:t>
      </w:r>
      <w:hyperlink w:anchor="SENTENCIA_2016_16" w:history="1">
        <w:r w:rsidRPr="0057104C">
          <w:rPr>
            <w:rStyle w:val="TextoNormalCaracter"/>
          </w:rPr>
          <w:t>16/2016</w:t>
        </w:r>
      </w:hyperlink>
      <w:r>
        <w:t>, f. 4.</w:t>
      </w:r>
    </w:p>
    <w:p w:rsidR="0057104C" w:rsidRDefault="0057104C" w:rsidP="0057104C">
      <w:pPr>
        <w:pStyle w:val="SangriaIzquierdaArticulo"/>
      </w:pPr>
      <w:r>
        <w:t xml:space="preserve">Autos </w:t>
      </w:r>
      <w:hyperlink w:anchor="AUTO_2016_11" w:history="1">
        <w:r w:rsidRPr="0057104C">
          <w:rPr>
            <w:rStyle w:val="TextoNormalCaracter"/>
          </w:rPr>
          <w:t>11/2016</w:t>
        </w:r>
      </w:hyperlink>
      <w:r>
        <w:t xml:space="preserve">, ff. 1, 3; </w:t>
      </w:r>
      <w:hyperlink w:anchor="AUTO_2016_129" w:history="1">
        <w:r w:rsidRPr="0057104C">
          <w:rPr>
            <w:rStyle w:val="TextoNormalCaracter"/>
          </w:rPr>
          <w:t>129/2016</w:t>
        </w:r>
      </w:hyperlink>
      <w:r>
        <w:t>, VP.</w:t>
      </w:r>
    </w:p>
    <w:p w:rsidR="0057104C" w:rsidRDefault="0057104C" w:rsidP="0057104C">
      <w:pPr>
        <w:pStyle w:val="SangriaFrancesaArticulo"/>
      </w:pPr>
      <w:r w:rsidRPr="0057104C">
        <w:rPr>
          <w:rStyle w:val="TextoNormalNegritaCaracter"/>
        </w:rPr>
        <w:t>Artículo 40.1.</w:t>
      </w:r>
      <w:r w:rsidRPr="0057104C">
        <w:rPr>
          <w:rStyle w:val="TextoNormalCaracter"/>
        </w:rPr>
        <w:t>-</w:t>
      </w:r>
      <w:r>
        <w:t xml:space="preserve"> Sentencias </w:t>
      </w:r>
      <w:hyperlink w:anchor="SENTENCIA_2016_96" w:history="1">
        <w:r w:rsidRPr="0057104C">
          <w:rPr>
            <w:rStyle w:val="TextoNormalCaracter"/>
          </w:rPr>
          <w:t>96/2016</w:t>
        </w:r>
      </w:hyperlink>
      <w:r>
        <w:t xml:space="preserve">, ff. 4, 8;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 </w:t>
      </w:r>
      <w:hyperlink w:anchor="AUTO_2016_129" w:history="1">
        <w:r w:rsidRPr="0057104C">
          <w:rPr>
            <w:rStyle w:val="TextoNormalCaracter"/>
          </w:rPr>
          <w:t>129/2016</w:t>
        </w:r>
      </w:hyperlink>
      <w:r>
        <w:t>, f. 5.</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7" w:history="1">
        <w:r w:rsidRPr="0057104C">
          <w:rPr>
            <w:rStyle w:val="TextoNormalCaracter"/>
          </w:rPr>
          <w:t>7/2016</w:t>
        </w:r>
      </w:hyperlink>
      <w:r>
        <w:t>, f. 4.</w:t>
      </w:r>
    </w:p>
    <w:p w:rsidR="0057104C" w:rsidRDefault="0057104C" w:rsidP="0057104C">
      <w:pPr>
        <w:pStyle w:val="SangriaIzquierdaArticulo"/>
      </w:pPr>
      <w:r>
        <w:t xml:space="preserve">Auto </w:t>
      </w:r>
      <w:hyperlink w:anchor="AUTO_2016_129" w:history="1">
        <w:r w:rsidRPr="0057104C">
          <w:rPr>
            <w:rStyle w:val="TextoNormalCaracter"/>
          </w:rPr>
          <w:t>129/2016</w:t>
        </w:r>
      </w:hyperlink>
      <w:r>
        <w:t>, f. 5, VP.</w:t>
      </w:r>
    </w:p>
    <w:p w:rsidR="0057104C" w:rsidRDefault="0057104C" w:rsidP="0057104C">
      <w:pPr>
        <w:pStyle w:val="SangriaFrancesaArticulo"/>
      </w:pPr>
      <w:r w:rsidRPr="0057104C">
        <w:rPr>
          <w:rStyle w:val="TextoNormalNegritaCaracter"/>
        </w:rPr>
        <w:t>Artículo 44.</w:t>
      </w:r>
      <w:r w:rsidRPr="0057104C">
        <w:rPr>
          <w:rStyle w:val="TextoNormalCaracter"/>
        </w:rPr>
        <w:t>-</w:t>
      </w:r>
      <w:r>
        <w:t xml:space="preserve"> Sentencia </w:t>
      </w:r>
      <w:hyperlink w:anchor="SENTENCIA_2016_35" w:history="1">
        <w:r w:rsidRPr="0057104C">
          <w:rPr>
            <w:rStyle w:val="TextoNormalCaracter"/>
          </w:rPr>
          <w:t>35/2016</w:t>
        </w:r>
      </w:hyperlink>
      <w:r>
        <w:t>, f. 5.</w:t>
      </w:r>
    </w:p>
    <w:p w:rsidR="0057104C" w:rsidRDefault="0057104C" w:rsidP="0057104C">
      <w:pPr>
        <w:pStyle w:val="SangriaFrancesaArticulo"/>
      </w:pPr>
      <w:r w:rsidRPr="0057104C">
        <w:rPr>
          <w:rStyle w:val="TextoNormalNegritaCaracter"/>
        </w:rPr>
        <w:t>Artículo 45.</w:t>
      </w:r>
      <w:r w:rsidRPr="0057104C">
        <w:rPr>
          <w:rStyle w:val="TextoNormalCaracter"/>
        </w:rPr>
        <w:t>-</w:t>
      </w:r>
      <w:r>
        <w:t xml:space="preserve"> Sentencias </w:t>
      </w:r>
      <w:hyperlink w:anchor="SENTENCIA_2016_6" w:history="1">
        <w:r w:rsidRPr="0057104C">
          <w:rPr>
            <w:rStyle w:val="TextoNormalCaracter"/>
          </w:rPr>
          <w:t>6/2016</w:t>
        </w:r>
      </w:hyperlink>
      <w:r>
        <w:t xml:space="preserve">, ff. 1, 3, 4; </w:t>
      </w:r>
      <w:hyperlink w:anchor="SENTENCIA_2016_53" w:history="1">
        <w:r w:rsidRPr="0057104C">
          <w:rPr>
            <w:rStyle w:val="TextoNormalCaracter"/>
          </w:rPr>
          <w:t>53/2016</w:t>
        </w:r>
      </w:hyperlink>
      <w:r>
        <w:t xml:space="preserve">, VPII; </w:t>
      </w:r>
      <w:hyperlink w:anchor="SENTENCIA_2016_57" w:history="1">
        <w:r w:rsidRPr="0057104C">
          <w:rPr>
            <w:rStyle w:val="TextoNormalCaracter"/>
          </w:rPr>
          <w:t>57/2016</w:t>
        </w:r>
      </w:hyperlink>
      <w:r>
        <w:t xml:space="preserve">, ff. 2, 3; </w:t>
      </w:r>
      <w:hyperlink w:anchor="SENTENCIA_2016_74" w:history="1">
        <w:r w:rsidRPr="0057104C">
          <w:rPr>
            <w:rStyle w:val="TextoNormalCaracter"/>
          </w:rPr>
          <w:t>74/2016</w:t>
        </w:r>
      </w:hyperlink>
      <w:r>
        <w:t xml:space="preserve">, VP; </w:t>
      </w:r>
      <w:hyperlink w:anchor="SENTENCIA_2016_100" w:history="1">
        <w:r w:rsidRPr="0057104C">
          <w:rPr>
            <w:rStyle w:val="TextoNormalCaracter"/>
          </w:rPr>
          <w:t>100/2016</w:t>
        </w:r>
      </w:hyperlink>
      <w:r>
        <w:t>, f. 2.</w:t>
      </w:r>
    </w:p>
    <w:p w:rsidR="0057104C" w:rsidRDefault="0057104C" w:rsidP="0057104C">
      <w:pPr>
        <w:pStyle w:val="SangriaFrancesaArticulo"/>
      </w:pPr>
      <w:r w:rsidRPr="0057104C">
        <w:rPr>
          <w:rStyle w:val="TextoNormalNegritaCaracter"/>
        </w:rPr>
        <w:t>Artículo 45.2.</w:t>
      </w:r>
      <w:r w:rsidRPr="0057104C">
        <w:rPr>
          <w:rStyle w:val="TextoNormalCaracter"/>
        </w:rPr>
        <w:t>-</w:t>
      </w:r>
      <w:r>
        <w:t xml:space="preserve"> Sentencia </w:t>
      </w:r>
      <w:hyperlink w:anchor="SENTENCIA_2016_53" w:history="1">
        <w:r w:rsidRPr="0057104C">
          <w:rPr>
            <w:rStyle w:val="TextoNormalCaracter"/>
          </w:rPr>
          <w:t>53/2016</w:t>
        </w:r>
      </w:hyperlink>
      <w:r>
        <w:t>, VPII.</w:t>
      </w:r>
    </w:p>
    <w:p w:rsidR="0057104C" w:rsidRDefault="0057104C" w:rsidP="0057104C">
      <w:pPr>
        <w:pStyle w:val="SangriaFrancesaArticulo"/>
      </w:pPr>
      <w:r w:rsidRPr="0057104C">
        <w:rPr>
          <w:rStyle w:val="TextoNormalNegritaCaracter"/>
        </w:rPr>
        <w:t>Artículo 45.3.</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r w:rsidRPr="0057104C">
        <w:rPr>
          <w:rStyle w:val="TextoNormalNegritaCaracter"/>
        </w:rPr>
        <w:t>Artículo 46.</w:t>
      </w:r>
      <w:r w:rsidRPr="0057104C">
        <w:rPr>
          <w:rStyle w:val="TextoNormalCaracter"/>
        </w:rPr>
        <w:t>-</w:t>
      </w:r>
      <w:r>
        <w:t xml:space="preserve"> Sentencia </w:t>
      </w:r>
      <w:hyperlink w:anchor="SENTENCIA_2016_35" w:history="1">
        <w:r w:rsidRPr="0057104C">
          <w:rPr>
            <w:rStyle w:val="TextoNormalCaracter"/>
          </w:rPr>
          <w:t>35/2016</w:t>
        </w:r>
      </w:hyperlink>
      <w:r>
        <w:t>, f. 5.</w:t>
      </w:r>
    </w:p>
    <w:p w:rsidR="0057104C" w:rsidRDefault="0057104C" w:rsidP="0057104C">
      <w:pPr>
        <w:pStyle w:val="SangriaFrancesaArticulo"/>
      </w:pPr>
      <w:r w:rsidRPr="0057104C">
        <w:rPr>
          <w:rStyle w:val="TextoNormalNegritaCaracter"/>
        </w:rPr>
        <w:t>Artículo 49.</w:t>
      </w:r>
      <w:r w:rsidRPr="0057104C">
        <w:rPr>
          <w:rStyle w:val="TextoNormalCaracter"/>
        </w:rPr>
        <w:t>-</w:t>
      </w:r>
      <w:r>
        <w:t xml:space="preserve"> Sentencias </w:t>
      </w:r>
      <w:hyperlink w:anchor="SENTENCIA_2016_18" w:history="1">
        <w:r w:rsidRPr="0057104C">
          <w:rPr>
            <w:rStyle w:val="TextoNormalCaracter"/>
          </w:rPr>
          <w:t>18/2016</w:t>
        </w:r>
      </w:hyperlink>
      <w:r>
        <w:t xml:space="preserve">, f. 7; </w:t>
      </w:r>
      <w:hyperlink w:anchor="SENTENCIA_2016_34" w:history="1">
        <w:r w:rsidRPr="0057104C">
          <w:rPr>
            <w:rStyle w:val="TextoNormalCaracter"/>
          </w:rPr>
          <w:t>34/2016</w:t>
        </w:r>
      </w:hyperlink>
      <w:r>
        <w:t>, f. 5.</w:t>
      </w:r>
    </w:p>
    <w:p w:rsidR="0057104C" w:rsidRDefault="0057104C" w:rsidP="0057104C">
      <w:pPr>
        <w:pStyle w:val="SangriaFrancesaArticulo"/>
      </w:pPr>
      <w:r w:rsidRPr="0057104C">
        <w:rPr>
          <w:rStyle w:val="TextoNormalNegritaCaracter"/>
        </w:rPr>
        <w:t>Artículo 50.</w:t>
      </w:r>
      <w:r w:rsidRPr="0057104C">
        <w:rPr>
          <w:rStyle w:val="TextoNormalCaracter"/>
        </w:rPr>
        <w:t>-</w:t>
      </w:r>
      <w:r>
        <w:t xml:space="preserve"> Sentencia </w:t>
      </w:r>
      <w:hyperlink w:anchor="SENTENCIA_2016_18" w:history="1">
        <w:r w:rsidRPr="0057104C">
          <w:rPr>
            <w:rStyle w:val="TextoNormalCaracter"/>
          </w:rPr>
          <w:t>18/2016</w:t>
        </w:r>
      </w:hyperlink>
      <w:r>
        <w:t>, f. 7.</w:t>
      </w:r>
    </w:p>
    <w:p w:rsidR="0057104C" w:rsidRDefault="0057104C" w:rsidP="0057104C">
      <w:pPr>
        <w:pStyle w:val="SangriaIzquierdaArticulo"/>
      </w:pPr>
      <w:r>
        <w:t xml:space="preserve">Auto </w:t>
      </w:r>
      <w:hyperlink w:anchor="AUTO_2016_129" w:history="1">
        <w:r w:rsidRPr="0057104C">
          <w:rPr>
            <w:rStyle w:val="TextoNormalCaracter"/>
          </w:rPr>
          <w:t>129/2016</w:t>
        </w:r>
      </w:hyperlink>
      <w:r>
        <w:t>, f. 5, VP.</w:t>
      </w:r>
    </w:p>
    <w:p w:rsidR="0057104C" w:rsidRDefault="0057104C" w:rsidP="0057104C">
      <w:pPr>
        <w:pStyle w:val="SangriaFrancesaArticulo"/>
      </w:pPr>
      <w:r w:rsidRPr="0057104C">
        <w:rPr>
          <w:rStyle w:val="TextoNormalNegritaCaracter"/>
        </w:rPr>
        <w:t>Artículo 51.1.</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53.</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53.1.</w:t>
      </w:r>
      <w:r w:rsidRPr="0057104C">
        <w:rPr>
          <w:rStyle w:val="TextoNormalCaracter"/>
        </w:rPr>
        <w:t>-</w:t>
      </w:r>
      <w:r>
        <w:t xml:space="preserve"> Sentencias </w:t>
      </w:r>
      <w:hyperlink w:anchor="SENTENCIA_2016_30" w:history="1">
        <w:r w:rsidRPr="0057104C">
          <w:rPr>
            <w:rStyle w:val="TextoNormalCaracter"/>
          </w:rPr>
          <w:t>30/2016</w:t>
        </w:r>
      </w:hyperlink>
      <w:r>
        <w:t xml:space="preserve">, ff. 1, 6; </w:t>
      </w:r>
      <w:hyperlink w:anchor="SENTENCIA_2016_39" w:history="1">
        <w:r w:rsidRPr="0057104C">
          <w:rPr>
            <w:rStyle w:val="TextoNormalCaracter"/>
          </w:rPr>
          <w:t>39/2016</w:t>
        </w:r>
      </w:hyperlink>
      <w:r>
        <w:t xml:space="preserve">, VPI; </w:t>
      </w:r>
      <w:hyperlink w:anchor="SENTENCIA_2016_44" w:history="1">
        <w:r w:rsidRPr="0057104C">
          <w:rPr>
            <w:rStyle w:val="TextoNormalCaracter"/>
          </w:rPr>
          <w:t>44/2016</w:t>
        </w:r>
      </w:hyperlink>
      <w:r>
        <w:t xml:space="preserve">, f. 4;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 </w:t>
      </w:r>
      <w:hyperlink w:anchor="AUTO_2016_36" w:history="1">
        <w:r w:rsidRPr="0057104C">
          <w:rPr>
            <w:rStyle w:val="TextoNormalCaracter"/>
          </w:rPr>
          <w:t>36/2016</w:t>
        </w:r>
      </w:hyperlink>
      <w:r>
        <w:t>, f. 4.</w:t>
      </w:r>
    </w:p>
    <w:p w:rsidR="0057104C" w:rsidRDefault="0057104C" w:rsidP="0057104C">
      <w:pPr>
        <w:pStyle w:val="SangriaFrancesaArticulo"/>
      </w:pPr>
      <w:r w:rsidRPr="0057104C">
        <w:rPr>
          <w:rStyle w:val="TextoNormalNegritaCaracter"/>
        </w:rPr>
        <w:t>Artículo 53.2.</w:t>
      </w:r>
      <w:r w:rsidRPr="0057104C">
        <w:rPr>
          <w:rStyle w:val="TextoNormalCaracter"/>
        </w:rPr>
        <w:t>-</w:t>
      </w:r>
      <w:r>
        <w:t xml:space="preserve"> Sentencias </w:t>
      </w:r>
      <w:hyperlink w:anchor="SENTENCIA_2016_3" w:history="1">
        <w:r w:rsidRPr="0057104C">
          <w:rPr>
            <w:rStyle w:val="TextoNormalCaracter"/>
          </w:rPr>
          <w:t>3/2016</w:t>
        </w:r>
      </w:hyperlink>
      <w:r>
        <w:t xml:space="preserve">, ff. 2, 3; </w:t>
      </w:r>
      <w:hyperlink w:anchor="SENTENCIA_2016_39" w:history="1">
        <w:r w:rsidRPr="0057104C">
          <w:rPr>
            <w:rStyle w:val="TextoNormalCaracter"/>
          </w:rPr>
          <w:t>39/2016</w:t>
        </w:r>
      </w:hyperlink>
      <w:r>
        <w:t xml:space="preserve">, f. 2; </w:t>
      </w:r>
      <w:hyperlink w:anchor="SENTENCIA_2016_58" w:history="1">
        <w:r w:rsidRPr="0057104C">
          <w:rPr>
            <w:rStyle w:val="TextoNormalCaracter"/>
          </w:rPr>
          <w:t>58/2016</w:t>
        </w:r>
      </w:hyperlink>
      <w:r>
        <w:t xml:space="preserve">, ff. 5, 6; </w:t>
      </w:r>
      <w:hyperlink w:anchor="SENTENCIA_2016_63" w:history="1">
        <w:r w:rsidRPr="0057104C">
          <w:rPr>
            <w:rStyle w:val="TextoNormalCaracter"/>
          </w:rPr>
          <w:t>63/2016</w:t>
        </w:r>
      </w:hyperlink>
      <w:r>
        <w:t xml:space="preserve">, f. 3; </w:t>
      </w:r>
      <w:hyperlink w:anchor="SENTENCIA_2016_65" w:history="1">
        <w:r w:rsidRPr="0057104C">
          <w:rPr>
            <w:rStyle w:val="TextoNormalCaracter"/>
          </w:rPr>
          <w:t>65/2016</w:t>
        </w:r>
      </w:hyperlink>
      <w:r>
        <w:t xml:space="preserve">, f. 5; </w:t>
      </w:r>
      <w:hyperlink w:anchor="SENTENCIA_2016_76" w:history="1">
        <w:r w:rsidRPr="0057104C">
          <w:rPr>
            <w:rStyle w:val="TextoNormalCaracter"/>
          </w:rPr>
          <w:t>76/2016</w:t>
        </w:r>
      </w:hyperlink>
      <w:r>
        <w:t xml:space="preserve">, ff. 1, 3; </w:t>
      </w:r>
      <w:hyperlink w:anchor="SENTENCIA_2016_77" w:history="1">
        <w:r w:rsidRPr="0057104C">
          <w:rPr>
            <w:rStyle w:val="TextoNormalCaracter"/>
          </w:rPr>
          <w:t>77/2016</w:t>
        </w:r>
      </w:hyperlink>
      <w:r>
        <w:t>, f. 3.</w:t>
      </w:r>
    </w:p>
    <w:p w:rsidR="0057104C" w:rsidRDefault="0057104C" w:rsidP="0057104C">
      <w:pPr>
        <w:pStyle w:val="SangriaFrancesaArticulo"/>
      </w:pPr>
      <w:r w:rsidRPr="0057104C">
        <w:rPr>
          <w:rStyle w:val="TextoNormalNegritaCaracter"/>
        </w:rPr>
        <w:t>Artículo 55.1.</w:t>
      </w:r>
      <w:r w:rsidRPr="0057104C">
        <w:rPr>
          <w:rStyle w:val="TextoNormalCaracter"/>
        </w:rPr>
        <w:t>-</w:t>
      </w:r>
      <w:r>
        <w:t xml:space="preserve"> Sentencia </w:t>
      </w:r>
      <w:hyperlink w:anchor="SENTENCIA_2016_83" w:history="1">
        <w:r w:rsidRPr="0057104C">
          <w:rPr>
            <w:rStyle w:val="TextoNormalCaracter"/>
          </w:rPr>
          <w:t>83/2016</w:t>
        </w:r>
      </w:hyperlink>
      <w:r>
        <w:t>, ff. 7, 8.</w:t>
      </w:r>
    </w:p>
    <w:p w:rsidR="0057104C" w:rsidRDefault="0057104C" w:rsidP="0057104C">
      <w:pPr>
        <w:pStyle w:val="SangriaFrancesaArticulo"/>
      </w:pPr>
      <w:r w:rsidRPr="0057104C">
        <w:rPr>
          <w:rStyle w:val="TextoNormalNegritaCaracter"/>
        </w:rPr>
        <w:t>Artículo 66.2.</w:t>
      </w:r>
      <w:r w:rsidRPr="0057104C">
        <w:rPr>
          <w:rStyle w:val="TextoNormalCaracter"/>
        </w:rPr>
        <w:t>-</w:t>
      </w:r>
      <w:r>
        <w:t xml:space="preserve"> Sentencias </w:t>
      </w:r>
      <w:hyperlink w:anchor="SENTENCIA_2016_99" w:history="1">
        <w:r w:rsidRPr="0057104C">
          <w:rPr>
            <w:rStyle w:val="TextoNormalCaracter"/>
          </w:rPr>
          <w:t>99/2016</w:t>
        </w:r>
      </w:hyperlink>
      <w:r>
        <w:t xml:space="preserve">, f. 5; </w:t>
      </w:r>
      <w:hyperlink w:anchor="SENTENCIA_2016_123" w:history="1">
        <w:r w:rsidRPr="0057104C">
          <w:rPr>
            <w:rStyle w:val="TextoNormalCaracter"/>
          </w:rPr>
          <w:t>123/2016</w:t>
        </w:r>
      </w:hyperlink>
      <w:r>
        <w:t>, f. 3.</w:t>
      </w:r>
    </w:p>
    <w:p w:rsidR="0057104C" w:rsidRDefault="0057104C" w:rsidP="0057104C">
      <w:pPr>
        <w:pStyle w:val="SangriaFrancesaArticulo"/>
      </w:pPr>
      <w:r w:rsidRPr="0057104C">
        <w:rPr>
          <w:rStyle w:val="TextoNormalNegritaCaracter"/>
        </w:rPr>
        <w:t>Artículo 67.3.</w:t>
      </w:r>
      <w:r w:rsidRPr="0057104C">
        <w:rPr>
          <w:rStyle w:val="TextoNormalCaracter"/>
        </w:rPr>
        <w:t>-</w:t>
      </w:r>
      <w:r>
        <w:t xml:space="preserve"> Sentencias </w:t>
      </w:r>
      <w:hyperlink w:anchor="SENTENCIA_2016_107" w:history="1">
        <w:r w:rsidRPr="0057104C">
          <w:rPr>
            <w:rStyle w:val="TextoNormalCaracter"/>
          </w:rPr>
          <w:t>107/2016</w:t>
        </w:r>
      </w:hyperlink>
      <w:r>
        <w:t xml:space="preserve">, f. 4; </w:t>
      </w:r>
      <w:hyperlink w:anchor="SENTENCIA_2016_109" w:history="1">
        <w:r w:rsidRPr="0057104C">
          <w:rPr>
            <w:rStyle w:val="TextoNormalCaracter"/>
          </w:rPr>
          <w:t>109/2016</w:t>
        </w:r>
      </w:hyperlink>
      <w:r>
        <w:t>, f. 5.</w:t>
      </w:r>
    </w:p>
    <w:p w:rsidR="0057104C" w:rsidRDefault="0057104C" w:rsidP="0057104C">
      <w:pPr>
        <w:pStyle w:val="SangriaFrancesaArticulo"/>
      </w:pPr>
      <w:r w:rsidRPr="0057104C">
        <w:rPr>
          <w:rStyle w:val="TextoNormalNegritaCaracter"/>
        </w:rPr>
        <w:t>Artículo 80.</w:t>
      </w:r>
      <w:r w:rsidRPr="0057104C">
        <w:rPr>
          <w:rStyle w:val="TextoNormalCaracter"/>
        </w:rPr>
        <w:t>-</w:t>
      </w:r>
      <w:r>
        <w:t xml:space="preserve"> Auto </w:t>
      </w:r>
      <w:hyperlink w:anchor="AUTO_2016_100" w:history="1">
        <w:r w:rsidRPr="0057104C">
          <w:rPr>
            <w:rStyle w:val="TextoNormalCaracter"/>
          </w:rPr>
          <w:t>100/2016</w:t>
        </w:r>
      </w:hyperlink>
      <w:r>
        <w:t>, f. 1.</w:t>
      </w:r>
    </w:p>
    <w:p w:rsidR="0057104C" w:rsidRDefault="0057104C" w:rsidP="0057104C">
      <w:pPr>
        <w:pStyle w:val="SangriaFrancesaArticulo"/>
      </w:pPr>
      <w:r w:rsidRPr="0057104C">
        <w:rPr>
          <w:rStyle w:val="TextoNormalNegritaCaracter"/>
        </w:rPr>
        <w:t>Artículo 81.</w:t>
      </w:r>
      <w:r w:rsidRPr="0057104C">
        <w:rPr>
          <w:rStyle w:val="TextoNormalCaracter"/>
        </w:rPr>
        <w:t>-</w:t>
      </w:r>
      <w:r>
        <w:t xml:space="preserve"> Sentencia </w:t>
      </w:r>
      <w:hyperlink w:anchor="SENTENCIA_2016_70" w:history="1">
        <w:r w:rsidRPr="0057104C">
          <w:rPr>
            <w:rStyle w:val="TextoNormalCaracter"/>
          </w:rPr>
          <w:t>70/2016</w:t>
        </w:r>
      </w:hyperlink>
      <w:r>
        <w:t>, f. 1.</w:t>
      </w:r>
    </w:p>
    <w:p w:rsidR="0057104C" w:rsidRDefault="0057104C" w:rsidP="0057104C">
      <w:pPr>
        <w:pStyle w:val="SangriaFrancesaArticulo"/>
      </w:pPr>
      <w:r w:rsidRPr="0057104C">
        <w:rPr>
          <w:rStyle w:val="TextoNormalNegritaCaracter"/>
        </w:rPr>
        <w:t>Artículo 81.1.</w:t>
      </w:r>
      <w:r w:rsidRPr="0057104C">
        <w:rPr>
          <w:rStyle w:val="TextoNormalCaracter"/>
        </w:rPr>
        <w:t>-</w:t>
      </w:r>
      <w:r>
        <w:t xml:space="preserve"> Sentencias </w:t>
      </w:r>
      <w:hyperlink w:anchor="SENTENCIA_2016_101" w:history="1">
        <w:r w:rsidRPr="0057104C">
          <w:rPr>
            <w:rStyle w:val="TextoNormalCaracter"/>
          </w:rPr>
          <w:t>101/2016</w:t>
        </w:r>
      </w:hyperlink>
      <w:r>
        <w:t xml:space="preserve">, ff. 1, 2;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Autos </w:t>
      </w:r>
      <w:hyperlink w:anchor="AUTO_2016_9" w:history="1">
        <w:r w:rsidRPr="0057104C">
          <w:rPr>
            <w:rStyle w:val="TextoNormalCaracter"/>
          </w:rPr>
          <w:t>9/2016</w:t>
        </w:r>
      </w:hyperlink>
      <w:r>
        <w:t xml:space="preserve">, f. 1; </w:t>
      </w:r>
      <w:hyperlink w:anchor="AUTO_2016_39" w:history="1">
        <w:r w:rsidRPr="0057104C">
          <w:rPr>
            <w:rStyle w:val="TextoNormalCaracter"/>
          </w:rPr>
          <w:t>39/2016</w:t>
        </w:r>
      </w:hyperlink>
      <w:r>
        <w:t xml:space="preserve">, f. 1; </w:t>
      </w:r>
      <w:hyperlink w:anchor="AUTO_2016_40" w:history="1">
        <w:r w:rsidRPr="0057104C">
          <w:rPr>
            <w:rStyle w:val="TextoNormalCaracter"/>
          </w:rPr>
          <w:t>40/2016</w:t>
        </w:r>
      </w:hyperlink>
      <w:r>
        <w:t>, f. 1.</w:t>
      </w:r>
    </w:p>
    <w:p w:rsidR="0057104C" w:rsidRDefault="0057104C" w:rsidP="0057104C">
      <w:pPr>
        <w:pStyle w:val="SangriaFrancesaArticulo"/>
      </w:pPr>
      <w:r w:rsidRPr="0057104C">
        <w:rPr>
          <w:rStyle w:val="TextoNormalNegritaCaracter"/>
        </w:rPr>
        <w:t>Artículo 82.6.</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86.</w:t>
      </w:r>
      <w:r w:rsidRPr="0057104C">
        <w:rPr>
          <w:rStyle w:val="TextoNormalCaracter"/>
        </w:rPr>
        <w:t>-</w:t>
      </w:r>
      <w:r>
        <w:t xml:space="preserve"> Sentencias </w:t>
      </w:r>
      <w:hyperlink w:anchor="SENTENCIA_2016_26" w:history="1">
        <w:r w:rsidRPr="0057104C">
          <w:rPr>
            <w:rStyle w:val="TextoNormalCaracter"/>
          </w:rPr>
          <w:t>26/2016</w:t>
        </w:r>
      </w:hyperlink>
      <w:r>
        <w:t xml:space="preserve">, f. 3; </w:t>
      </w:r>
      <w:hyperlink w:anchor="SENTENCIA_2016_38" w:history="1">
        <w:r w:rsidRPr="0057104C">
          <w:rPr>
            <w:rStyle w:val="TextoNormalCaracter"/>
          </w:rPr>
          <w:t>38/2016</w:t>
        </w:r>
      </w:hyperlink>
      <w:r>
        <w:t xml:space="preserve">, ff. 1 a 3, 7; </w:t>
      </w:r>
      <w:hyperlink w:anchor="SENTENCIA_2016_70" w:history="1">
        <w:r w:rsidRPr="0057104C">
          <w:rPr>
            <w:rStyle w:val="TextoNormalCaracter"/>
          </w:rPr>
          <w:t>70/2016</w:t>
        </w:r>
      </w:hyperlink>
      <w:r>
        <w:t>, f. 5.</w:t>
      </w:r>
    </w:p>
    <w:p w:rsidR="0057104C" w:rsidRDefault="0057104C" w:rsidP="0057104C">
      <w:pPr>
        <w:pStyle w:val="SangriaFrancesaArticulo"/>
      </w:pPr>
      <w:r w:rsidRPr="0057104C">
        <w:rPr>
          <w:rStyle w:val="TextoNormalNegritaCaracter"/>
        </w:rPr>
        <w:t>Artículo 86.1.</w:t>
      </w:r>
      <w:r w:rsidRPr="0057104C">
        <w:rPr>
          <w:rStyle w:val="TextoNormalCaracter"/>
        </w:rPr>
        <w:t>-</w:t>
      </w:r>
      <w:r>
        <w:t xml:space="preserve"> Sentencias </w:t>
      </w:r>
      <w:hyperlink w:anchor="SENTENCIA_2016_17" w:history="1">
        <w:r w:rsidRPr="0057104C">
          <w:rPr>
            <w:rStyle w:val="TextoNormalCaracter"/>
          </w:rPr>
          <w:t>17/2016</w:t>
        </w:r>
      </w:hyperlink>
      <w:r>
        <w:t xml:space="preserve">, f. 5; </w:t>
      </w:r>
      <w:hyperlink w:anchor="SENTENCIA_2016_18" w:history="1">
        <w:r w:rsidRPr="0057104C">
          <w:rPr>
            <w:rStyle w:val="TextoNormalCaracter"/>
          </w:rPr>
          <w:t>18/2016</w:t>
        </w:r>
      </w:hyperlink>
      <w:r>
        <w:t xml:space="preserve">, ff. 1 a 6; </w:t>
      </w:r>
      <w:hyperlink w:anchor="SENTENCIA_2016_19" w:history="1">
        <w:r w:rsidRPr="0057104C">
          <w:rPr>
            <w:rStyle w:val="TextoNormalCaracter"/>
          </w:rPr>
          <w:t>19/2016</w:t>
        </w:r>
      </w:hyperlink>
      <w:r>
        <w:t xml:space="preserve">, ff. 1, 3, 4; </w:t>
      </w:r>
      <w:hyperlink w:anchor="SENTENCIA_2016_26" w:history="1">
        <w:r w:rsidRPr="0057104C">
          <w:rPr>
            <w:rStyle w:val="TextoNormalCaracter"/>
          </w:rPr>
          <w:t>26/2016</w:t>
        </w:r>
      </w:hyperlink>
      <w:r>
        <w:t xml:space="preserve">, ff. 1, 2, 5; </w:t>
      </w:r>
      <w:hyperlink w:anchor="SENTENCIA_2016_27" w:history="1">
        <w:r w:rsidRPr="0057104C">
          <w:rPr>
            <w:rStyle w:val="TextoNormalCaracter"/>
          </w:rPr>
          <w:t>27/2016</w:t>
        </w:r>
      </w:hyperlink>
      <w:r>
        <w:t xml:space="preserve">, f. 1; </w:t>
      </w:r>
      <w:hyperlink w:anchor="SENTENCIA_2016_29" w:history="1">
        <w:r w:rsidRPr="0057104C">
          <w:rPr>
            <w:rStyle w:val="TextoNormalCaracter"/>
          </w:rPr>
          <w:t>29/2016</w:t>
        </w:r>
      </w:hyperlink>
      <w:r>
        <w:t xml:space="preserve">, ff. 1, 3, 4; </w:t>
      </w:r>
      <w:hyperlink w:anchor="SENTENCIA_2016_30" w:history="1">
        <w:r w:rsidRPr="0057104C">
          <w:rPr>
            <w:rStyle w:val="TextoNormalCaracter"/>
          </w:rPr>
          <w:t>30/2016</w:t>
        </w:r>
      </w:hyperlink>
      <w:r>
        <w:t xml:space="preserve">, ff. 1 a 4; </w:t>
      </w:r>
      <w:hyperlink w:anchor="SENTENCIA_2016_32" w:history="1">
        <w:r w:rsidRPr="0057104C">
          <w:rPr>
            <w:rStyle w:val="TextoNormalCaracter"/>
          </w:rPr>
          <w:t>32/2016</w:t>
        </w:r>
      </w:hyperlink>
      <w:r>
        <w:t xml:space="preserve">; </w:t>
      </w:r>
      <w:hyperlink w:anchor="SENTENCIA_2016_37" w:history="1">
        <w:r w:rsidRPr="0057104C">
          <w:rPr>
            <w:rStyle w:val="TextoNormalCaracter"/>
          </w:rPr>
          <w:t>37/2016</w:t>
        </w:r>
      </w:hyperlink>
      <w:r>
        <w:t xml:space="preserve">, ff. 1, 3; </w:t>
      </w:r>
      <w:hyperlink w:anchor="SENTENCIA_2016_38" w:history="1">
        <w:r w:rsidRPr="0057104C">
          <w:rPr>
            <w:rStyle w:val="TextoNormalCaracter"/>
          </w:rPr>
          <w:t>38/2016</w:t>
        </w:r>
      </w:hyperlink>
      <w:r>
        <w:t xml:space="preserve">, ff. 1 a 3, 6, 7; </w:t>
      </w:r>
      <w:hyperlink w:anchor="SENTENCIA_2016_40" w:history="1">
        <w:r w:rsidRPr="0057104C">
          <w:rPr>
            <w:rStyle w:val="TextoNormalCaracter"/>
          </w:rPr>
          <w:t>40/2016</w:t>
        </w:r>
      </w:hyperlink>
      <w:r>
        <w:t xml:space="preserve">, f. 3; </w:t>
      </w:r>
      <w:hyperlink w:anchor="SENTENCIA_2016_42" w:history="1">
        <w:r w:rsidRPr="0057104C">
          <w:rPr>
            <w:rStyle w:val="TextoNormalCaracter"/>
          </w:rPr>
          <w:t>42/2016</w:t>
        </w:r>
      </w:hyperlink>
      <w:r>
        <w:t xml:space="preserve">, ff. 1, 3, 4; </w:t>
      </w:r>
      <w:hyperlink w:anchor="SENTENCIA_2016_55" w:history="1">
        <w:r w:rsidRPr="0057104C">
          <w:rPr>
            <w:rStyle w:val="TextoNormalCaracter"/>
          </w:rPr>
          <w:t>55/2016</w:t>
        </w:r>
      </w:hyperlink>
      <w:r>
        <w:t xml:space="preserve">, f. 3; </w:t>
      </w:r>
      <w:hyperlink w:anchor="SENTENCIA_2016_61" w:history="1">
        <w:r w:rsidRPr="0057104C">
          <w:rPr>
            <w:rStyle w:val="TextoNormalCaracter"/>
          </w:rPr>
          <w:t>61/2016</w:t>
        </w:r>
      </w:hyperlink>
      <w:r>
        <w:t xml:space="preserve">, ff. 1, 3, 4; </w:t>
      </w:r>
      <w:hyperlink w:anchor="SENTENCIA_2016_67" w:history="1">
        <w:r w:rsidRPr="0057104C">
          <w:rPr>
            <w:rStyle w:val="TextoNormalCaracter"/>
          </w:rPr>
          <w:t>67/2016</w:t>
        </w:r>
      </w:hyperlink>
      <w:r>
        <w:t xml:space="preserve">, ff. 1, 3; </w:t>
      </w:r>
      <w:hyperlink w:anchor="SENTENCIA_2016_68" w:history="1">
        <w:r w:rsidRPr="0057104C">
          <w:rPr>
            <w:rStyle w:val="TextoNormalCaracter"/>
          </w:rPr>
          <w:t>68/2016</w:t>
        </w:r>
      </w:hyperlink>
      <w:r>
        <w:t xml:space="preserve">, ff. 1, 3; </w:t>
      </w:r>
      <w:hyperlink w:anchor="SENTENCIA_2016_70" w:history="1">
        <w:r w:rsidRPr="0057104C">
          <w:rPr>
            <w:rStyle w:val="TextoNormalCaracter"/>
          </w:rPr>
          <w:t>70/2016</w:t>
        </w:r>
      </w:hyperlink>
      <w:r>
        <w:t xml:space="preserve">, ff. 1, 3 a 5, 7, 8; </w:t>
      </w:r>
      <w:hyperlink w:anchor="SENTENCIA_2016_84" w:history="1">
        <w:r w:rsidRPr="0057104C">
          <w:rPr>
            <w:rStyle w:val="TextoNormalCaracter"/>
          </w:rPr>
          <w:t>84/2016</w:t>
        </w:r>
      </w:hyperlink>
      <w:r>
        <w:t xml:space="preserve">, ff. 1, 3; </w:t>
      </w:r>
      <w:hyperlink w:anchor="SENTENCIA_2016_119" w:history="1">
        <w:r w:rsidRPr="0057104C">
          <w:rPr>
            <w:rStyle w:val="TextoNormalCaracter"/>
          </w:rPr>
          <w:t>119/2016</w:t>
        </w:r>
      </w:hyperlink>
      <w:r>
        <w:t xml:space="preserve">, f. 2; </w:t>
      </w:r>
      <w:hyperlink w:anchor="SENTENCIA_2016_124" w:history="1">
        <w:r w:rsidRPr="0057104C">
          <w:rPr>
            <w:rStyle w:val="TextoNormalCaracter"/>
          </w:rPr>
          <w:t>124/2016</w:t>
        </w:r>
      </w:hyperlink>
      <w:r>
        <w:t>, f. 2.</w:t>
      </w:r>
    </w:p>
    <w:p w:rsidR="0057104C" w:rsidRDefault="0057104C" w:rsidP="0057104C">
      <w:pPr>
        <w:pStyle w:val="SangriaIzquierdaArticulo"/>
      </w:pPr>
      <w:r>
        <w:t xml:space="preserve">Auto </w:t>
      </w:r>
      <w:hyperlink w:anchor="AUTO_2016_100" w:history="1">
        <w:r w:rsidRPr="0057104C">
          <w:rPr>
            <w:rStyle w:val="TextoNormalCaracter"/>
          </w:rPr>
          <w:t>100/2016</w:t>
        </w:r>
      </w:hyperlink>
      <w:r>
        <w:t>, f. 1.</w:t>
      </w:r>
    </w:p>
    <w:p w:rsidR="0057104C" w:rsidRDefault="0057104C" w:rsidP="0057104C">
      <w:pPr>
        <w:pStyle w:val="SangriaFrancesaArticulo"/>
      </w:pPr>
      <w:r w:rsidRPr="0057104C">
        <w:rPr>
          <w:rStyle w:val="TextoNormalNegritaCaracter"/>
        </w:rPr>
        <w:t>Artículo 86.2.</w:t>
      </w:r>
      <w:r w:rsidRPr="0057104C">
        <w:rPr>
          <w:rStyle w:val="TextoNormalCaracter"/>
        </w:rPr>
        <w:t>-</w:t>
      </w:r>
      <w:r>
        <w:t xml:space="preserve"> Sentencia </w:t>
      </w:r>
      <w:hyperlink w:anchor="SENTENCIA_2016_70" w:history="1">
        <w:r w:rsidRPr="0057104C">
          <w:rPr>
            <w:rStyle w:val="TextoNormalCaracter"/>
          </w:rPr>
          <w:t>70/2016</w:t>
        </w:r>
      </w:hyperlink>
      <w:r>
        <w:t>, f. 4.</w:t>
      </w:r>
    </w:p>
    <w:p w:rsidR="0057104C" w:rsidRDefault="0057104C" w:rsidP="0057104C">
      <w:pPr>
        <w:pStyle w:val="SangriaFrancesaArticulo"/>
      </w:pPr>
      <w:r w:rsidRPr="0057104C">
        <w:rPr>
          <w:rStyle w:val="TextoNormalNegritaCaracter"/>
        </w:rPr>
        <w:t>Artículo 87.3.</w:t>
      </w:r>
      <w:r w:rsidRPr="0057104C">
        <w:rPr>
          <w:rStyle w:val="TextoNormalCaracter"/>
        </w:rPr>
        <w:t>-</w:t>
      </w:r>
      <w:r>
        <w:t xml:space="preserve"> Sentencia </w:t>
      </w:r>
      <w:hyperlink w:anchor="SENTENCIA_2016_10" w:history="1">
        <w:r w:rsidRPr="0057104C">
          <w:rPr>
            <w:rStyle w:val="TextoNormalCaracter"/>
          </w:rPr>
          <w:t>10/2016</w:t>
        </w:r>
      </w:hyperlink>
      <w:r>
        <w:t>, f. 4.</w:t>
      </w:r>
    </w:p>
    <w:p w:rsidR="0057104C" w:rsidRDefault="0057104C" w:rsidP="0057104C">
      <w:pPr>
        <w:pStyle w:val="SangriaFrancesaArticulo"/>
      </w:pPr>
      <w:r w:rsidRPr="0057104C">
        <w:rPr>
          <w:rStyle w:val="TextoNormalNegritaCaracter"/>
        </w:rPr>
        <w:t>Artículo 93.</w:t>
      </w:r>
      <w:r w:rsidRPr="0057104C">
        <w:rPr>
          <w:rStyle w:val="TextoNormalCaracter"/>
        </w:rPr>
        <w:t>-</w:t>
      </w:r>
      <w:r>
        <w:t xml:space="preserve"> Sentencias </w:t>
      </w:r>
      <w:hyperlink w:anchor="SENTENCIA_2016_85" w:history="1">
        <w:r w:rsidRPr="0057104C">
          <w:rPr>
            <w:rStyle w:val="TextoNormalCaracter"/>
          </w:rPr>
          <w:t>85/2016</w:t>
        </w:r>
      </w:hyperlink>
      <w:r>
        <w:t xml:space="preserve">, f. 3;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94.</w:t>
      </w:r>
      <w:r w:rsidRPr="0057104C">
        <w:rPr>
          <w:rStyle w:val="TextoNormalCaracter"/>
        </w:rPr>
        <w:t>-</w:t>
      </w:r>
      <w:r>
        <w:t xml:space="preserve"> Sentencia </w:t>
      </w:r>
      <w:hyperlink w:anchor="SENTENCIA_2016_85" w:history="1">
        <w:r w:rsidRPr="0057104C">
          <w:rPr>
            <w:rStyle w:val="TextoNormalCaracter"/>
          </w:rPr>
          <w:t>85/2016</w:t>
        </w:r>
      </w:hyperlink>
      <w:r>
        <w:t>, f. 3.</w:t>
      </w:r>
    </w:p>
    <w:p w:rsidR="0057104C" w:rsidRDefault="0057104C" w:rsidP="0057104C">
      <w:pPr>
        <w:pStyle w:val="SangriaFrancesaArticulo"/>
      </w:pPr>
      <w:r w:rsidRPr="0057104C">
        <w:rPr>
          <w:rStyle w:val="TextoNormalNegritaCaracter"/>
        </w:rPr>
        <w:t>Artículo 96.</w:t>
      </w:r>
      <w:r w:rsidRPr="0057104C">
        <w:rPr>
          <w:rStyle w:val="TextoNormalCaracter"/>
        </w:rPr>
        <w:t>-</w:t>
      </w:r>
      <w:r>
        <w:t xml:space="preserve"> Sentencias </w:t>
      </w:r>
      <w:hyperlink w:anchor="SENTENCIA_2016_61" w:history="1">
        <w:r w:rsidRPr="0057104C">
          <w:rPr>
            <w:rStyle w:val="TextoNormalCaracter"/>
          </w:rPr>
          <w:t>61/2016</w:t>
        </w:r>
      </w:hyperlink>
      <w:r>
        <w:t xml:space="preserve">, f. 6; </w:t>
      </w:r>
      <w:hyperlink w:anchor="SENTENCIA_2016_65" w:history="1">
        <w:r w:rsidRPr="0057104C">
          <w:rPr>
            <w:rStyle w:val="TextoNormalCaracter"/>
          </w:rPr>
          <w:t>65/2016</w:t>
        </w:r>
      </w:hyperlink>
      <w:r>
        <w:t>, f. 4.</w:t>
      </w:r>
    </w:p>
    <w:p w:rsidR="0057104C" w:rsidRDefault="0057104C" w:rsidP="0057104C">
      <w:pPr>
        <w:pStyle w:val="SangriaFrancesaArticulo"/>
      </w:pPr>
      <w:r w:rsidRPr="0057104C">
        <w:rPr>
          <w:rStyle w:val="TextoNormalNegritaCaracter"/>
        </w:rPr>
        <w:t>Artículo 96.1.</w:t>
      </w:r>
      <w:r w:rsidRPr="0057104C">
        <w:rPr>
          <w:rStyle w:val="TextoNormalCaracter"/>
        </w:rPr>
        <w:t>-</w:t>
      </w:r>
      <w:r>
        <w:t xml:space="preserve"> Sentencia </w:t>
      </w:r>
      <w:hyperlink w:anchor="SENTENCIA_2016_56" w:history="1">
        <w:r w:rsidRPr="0057104C">
          <w:rPr>
            <w:rStyle w:val="TextoNormalCaracter"/>
          </w:rPr>
          <w:t>56/2016</w:t>
        </w:r>
      </w:hyperlink>
      <w:r>
        <w:t>, f. 5.</w:t>
      </w:r>
    </w:p>
    <w:p w:rsidR="0057104C" w:rsidRDefault="0057104C" w:rsidP="0057104C">
      <w:pPr>
        <w:pStyle w:val="SangriaFrancesaArticulo"/>
      </w:pPr>
      <w:r w:rsidRPr="0057104C">
        <w:rPr>
          <w:rStyle w:val="TextoNormalNegritaCaracter"/>
        </w:rPr>
        <w:t>Artículo 97.</w:t>
      </w:r>
      <w:r w:rsidRPr="0057104C">
        <w:rPr>
          <w:rStyle w:val="TextoNormalCaracter"/>
        </w:rPr>
        <w:t>-</w:t>
      </w:r>
      <w:r>
        <w:t xml:space="preserve"> Sentencias </w:t>
      </w:r>
      <w:hyperlink w:anchor="SENTENCIA_2016_83" w:history="1">
        <w:r w:rsidRPr="0057104C">
          <w:rPr>
            <w:rStyle w:val="TextoNormalCaracter"/>
          </w:rPr>
          <w:t>83/2016</w:t>
        </w:r>
      </w:hyperlink>
      <w:r>
        <w:t xml:space="preserve">, ff. 10, 12; </w:t>
      </w:r>
      <w:hyperlink w:anchor="SENTENCIA_2016_85" w:history="1">
        <w:r w:rsidRPr="0057104C">
          <w:rPr>
            <w:rStyle w:val="TextoNormalCaracter"/>
          </w:rPr>
          <w:t>85/2016</w:t>
        </w:r>
      </w:hyperlink>
      <w:r>
        <w:t xml:space="preserve">, ff. 1, 3, 8;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98.</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103.</w:t>
      </w:r>
      <w:r w:rsidRPr="0057104C">
        <w:rPr>
          <w:rStyle w:val="TextoNormalCaracter"/>
        </w:rPr>
        <w:t>-</w:t>
      </w:r>
      <w:r>
        <w:t xml:space="preserve"> Sentencias </w:t>
      </w:r>
      <w:hyperlink w:anchor="SENTENCIA_2016_99" w:history="1">
        <w:r w:rsidRPr="0057104C">
          <w:rPr>
            <w:rStyle w:val="TextoNormalCaracter"/>
          </w:rPr>
          <w:t>99/2016</w:t>
        </w:r>
      </w:hyperlink>
      <w:r>
        <w:t xml:space="preserve">, f. 7; </w:t>
      </w:r>
      <w:hyperlink w:anchor="SENTENCIA_2016_102" w:history="1">
        <w:r w:rsidRPr="0057104C">
          <w:rPr>
            <w:rStyle w:val="TextoNormalCaracter"/>
          </w:rPr>
          <w:t>102/2016</w:t>
        </w:r>
      </w:hyperlink>
      <w:r>
        <w:t>, VP.</w:t>
      </w:r>
    </w:p>
    <w:p w:rsidR="0057104C" w:rsidRDefault="0057104C" w:rsidP="0057104C">
      <w:pPr>
        <w:pStyle w:val="SangriaIzquierdaArticulo"/>
      </w:pPr>
      <w:r>
        <w:t xml:space="preserve">Autos </w:t>
      </w:r>
      <w:hyperlink w:anchor="AUTO_2016_84" w:history="1">
        <w:r w:rsidRPr="0057104C">
          <w:rPr>
            <w:rStyle w:val="TextoNormalCaracter"/>
          </w:rPr>
          <w:t>84/2016</w:t>
        </w:r>
      </w:hyperlink>
      <w:r>
        <w:t xml:space="preserve">, f. 4; </w:t>
      </w:r>
      <w:hyperlink w:anchor="AUTO_2016_101" w:history="1">
        <w:r w:rsidRPr="0057104C">
          <w:rPr>
            <w:rStyle w:val="TextoNormalCaracter"/>
          </w:rPr>
          <w:t>101/2016</w:t>
        </w:r>
      </w:hyperlink>
      <w:r>
        <w:t xml:space="preserve">, f. 3; </w:t>
      </w:r>
      <w:hyperlink w:anchor="AUTO_2016_102" w:history="1">
        <w:r w:rsidRPr="0057104C">
          <w:rPr>
            <w:rStyle w:val="TextoNormalCaracter"/>
          </w:rPr>
          <w:t>102/2016</w:t>
        </w:r>
      </w:hyperlink>
      <w:r>
        <w:t xml:space="preserve">, f. 3; </w:t>
      </w:r>
      <w:hyperlink w:anchor="AUTO_2016_103" w:history="1">
        <w:r w:rsidRPr="0057104C">
          <w:rPr>
            <w:rStyle w:val="TextoNormalCaracter"/>
          </w:rPr>
          <w:t>103/2016</w:t>
        </w:r>
      </w:hyperlink>
      <w:r>
        <w:t>, f. 4.</w:t>
      </w:r>
    </w:p>
    <w:p w:rsidR="0057104C" w:rsidRDefault="0057104C" w:rsidP="0057104C">
      <w:pPr>
        <w:pStyle w:val="SangriaFrancesaArticulo"/>
      </w:pPr>
      <w:r w:rsidRPr="0057104C">
        <w:rPr>
          <w:rStyle w:val="TextoNormalNegritaCaracter"/>
        </w:rPr>
        <w:t>Artículo 103.1.</w:t>
      </w:r>
      <w:r w:rsidRPr="0057104C">
        <w:rPr>
          <w:rStyle w:val="TextoNormalCaracter"/>
        </w:rPr>
        <w:t>-</w:t>
      </w:r>
      <w:r>
        <w:t xml:space="preserve"> Sentencias </w:t>
      </w:r>
      <w:hyperlink w:anchor="SENTENCIA_2016_32" w:history="1">
        <w:r w:rsidRPr="0057104C">
          <w:rPr>
            <w:rStyle w:val="TextoNormalCaracter"/>
          </w:rPr>
          <w:t>32/2016</w:t>
        </w:r>
      </w:hyperlink>
      <w:r>
        <w:t xml:space="preserve">, VPI; </w:t>
      </w:r>
      <w:hyperlink w:anchor="SENTENCIA_2016_41" w:history="1">
        <w:r w:rsidRPr="0057104C">
          <w:rPr>
            <w:rStyle w:val="TextoNormalCaracter"/>
          </w:rPr>
          <w:t>41/2016</w:t>
        </w:r>
      </w:hyperlink>
      <w:r>
        <w:t xml:space="preserve">, ff. 1, 3, 4, 7 a 9, 11 a 14; </w:t>
      </w:r>
      <w:hyperlink w:anchor="SENTENCIA_2016_99" w:history="1">
        <w:r w:rsidRPr="0057104C">
          <w:rPr>
            <w:rStyle w:val="TextoNormalCaracter"/>
          </w:rPr>
          <w:t>99/2016</w:t>
        </w:r>
      </w:hyperlink>
      <w:r>
        <w:t xml:space="preserve">, f. 7; </w:t>
      </w:r>
      <w:hyperlink w:anchor="SENTENCIA_2016_111" w:history="1">
        <w:r w:rsidRPr="0057104C">
          <w:rPr>
            <w:rStyle w:val="TextoNormalCaracter"/>
          </w:rPr>
          <w:t>111/2016</w:t>
        </w:r>
      </w:hyperlink>
      <w:r>
        <w:t xml:space="preserve">, f. 4; </w:t>
      </w:r>
      <w:hyperlink w:anchor="SENTENCIA_2016_122" w:history="1">
        <w:r w:rsidRPr="0057104C">
          <w:rPr>
            <w:rStyle w:val="TextoNormalCaracter"/>
          </w:rPr>
          <w:t>122/2016</w:t>
        </w:r>
      </w:hyperlink>
      <w:r>
        <w:t>, f. 6.</w:t>
      </w:r>
    </w:p>
    <w:p w:rsidR="0057104C" w:rsidRDefault="0057104C" w:rsidP="0057104C">
      <w:pPr>
        <w:pStyle w:val="SangriaIzquierdaArticulo"/>
      </w:pPr>
      <w:r>
        <w:t xml:space="preserve">Autos </w:t>
      </w:r>
      <w:hyperlink w:anchor="AUTO_2016_84" w:history="1">
        <w:r w:rsidRPr="0057104C">
          <w:rPr>
            <w:rStyle w:val="TextoNormalCaracter"/>
          </w:rPr>
          <w:t>84/2016</w:t>
        </w:r>
      </w:hyperlink>
      <w:r>
        <w:t xml:space="preserve">, ff. 1, 4; </w:t>
      </w:r>
      <w:hyperlink w:anchor="AUTO_2016_101" w:history="1">
        <w:r w:rsidRPr="0057104C">
          <w:rPr>
            <w:rStyle w:val="TextoNormalCaracter"/>
          </w:rPr>
          <w:t>101/2016</w:t>
        </w:r>
      </w:hyperlink>
      <w:r>
        <w:t xml:space="preserve">, f. 1; </w:t>
      </w:r>
      <w:hyperlink w:anchor="AUTO_2016_102" w:history="1">
        <w:r w:rsidRPr="0057104C">
          <w:rPr>
            <w:rStyle w:val="TextoNormalCaracter"/>
          </w:rPr>
          <w:t>102/2016</w:t>
        </w:r>
      </w:hyperlink>
      <w:r>
        <w:t xml:space="preserve">, f. 1; </w:t>
      </w:r>
      <w:hyperlink w:anchor="AUTO_2016_103" w:history="1">
        <w:r w:rsidRPr="0057104C">
          <w:rPr>
            <w:rStyle w:val="TextoNormalCaracter"/>
          </w:rPr>
          <w:t>103/2016</w:t>
        </w:r>
      </w:hyperlink>
      <w:r>
        <w:t>, f. 1.</w:t>
      </w:r>
    </w:p>
    <w:p w:rsidR="0057104C" w:rsidRDefault="0057104C" w:rsidP="0057104C">
      <w:pPr>
        <w:pStyle w:val="SangriaFrancesaArticulo"/>
      </w:pPr>
      <w:r w:rsidRPr="0057104C">
        <w:rPr>
          <w:rStyle w:val="TextoNormalNegritaCaracter"/>
        </w:rPr>
        <w:t>Artículo 105.</w:t>
      </w:r>
      <w:r w:rsidRPr="0057104C">
        <w:rPr>
          <w:rStyle w:val="TextoNormalCaracter"/>
        </w:rPr>
        <w:t>-</w:t>
      </w:r>
      <w:r>
        <w:t xml:space="preserve"> Autos </w:t>
      </w:r>
      <w:hyperlink w:anchor="AUTO_2016_84" w:history="1">
        <w:r w:rsidRPr="0057104C">
          <w:rPr>
            <w:rStyle w:val="TextoNormalCaracter"/>
          </w:rPr>
          <w:t>84/2016</w:t>
        </w:r>
      </w:hyperlink>
      <w:r>
        <w:t xml:space="preserve">, f. 1; </w:t>
      </w:r>
      <w:hyperlink w:anchor="AUTO_2016_101" w:history="1">
        <w:r w:rsidRPr="0057104C">
          <w:rPr>
            <w:rStyle w:val="TextoNormalCaracter"/>
          </w:rPr>
          <w:t>101/2016</w:t>
        </w:r>
      </w:hyperlink>
      <w:r>
        <w:t xml:space="preserve">, ff. 1, 4; </w:t>
      </w:r>
      <w:hyperlink w:anchor="AUTO_2016_102" w:history="1">
        <w:r w:rsidRPr="0057104C">
          <w:rPr>
            <w:rStyle w:val="TextoNormalCaracter"/>
          </w:rPr>
          <w:t>102/2016</w:t>
        </w:r>
      </w:hyperlink>
      <w:r>
        <w:t xml:space="preserve">, ff. 1, 4; </w:t>
      </w:r>
      <w:hyperlink w:anchor="AUTO_2016_103" w:history="1">
        <w:r w:rsidRPr="0057104C">
          <w:rPr>
            <w:rStyle w:val="TextoNormalCaracter"/>
          </w:rPr>
          <w:t>103/2016</w:t>
        </w:r>
      </w:hyperlink>
      <w:r>
        <w:t>, ff. 1, 5.</w:t>
      </w:r>
    </w:p>
    <w:p w:rsidR="0057104C" w:rsidRDefault="0057104C" w:rsidP="0057104C">
      <w:pPr>
        <w:pStyle w:val="SangriaFrancesaArticulo"/>
      </w:pPr>
      <w:r w:rsidRPr="0057104C">
        <w:rPr>
          <w:rStyle w:val="TextoNormalNegritaCaracter"/>
        </w:rPr>
        <w:t>Artículo 105 a).</w:t>
      </w:r>
      <w:r w:rsidRPr="0057104C">
        <w:rPr>
          <w:rStyle w:val="TextoNormalCaracter"/>
        </w:rPr>
        <w:t>-</w:t>
      </w:r>
      <w:r>
        <w:t xml:space="preserve"> Autos </w:t>
      </w:r>
      <w:hyperlink w:anchor="AUTO_2016_23" w:history="1">
        <w:r w:rsidRPr="0057104C">
          <w:rPr>
            <w:rStyle w:val="TextoNormalCaracter"/>
          </w:rPr>
          <w:t>23/2016</w:t>
        </w:r>
      </w:hyperlink>
      <w:r>
        <w:t xml:space="preserve">, ff. 1 a 3; </w:t>
      </w:r>
      <w:hyperlink w:anchor="AUTO_2016_76" w:history="1">
        <w:r w:rsidRPr="0057104C">
          <w:rPr>
            <w:rStyle w:val="TextoNormalCaracter"/>
          </w:rPr>
          <w:t>76/2016</w:t>
        </w:r>
      </w:hyperlink>
      <w:r>
        <w:t xml:space="preserve">, f. 3; </w:t>
      </w:r>
      <w:hyperlink w:anchor="AUTO_2016_77" w:history="1">
        <w:r w:rsidRPr="0057104C">
          <w:rPr>
            <w:rStyle w:val="TextoNormalCaracter"/>
          </w:rPr>
          <w:t>77/2016</w:t>
        </w:r>
      </w:hyperlink>
      <w:r>
        <w:t xml:space="preserve">, f. 5; </w:t>
      </w:r>
      <w:hyperlink w:anchor="AUTO_2016_78" w:history="1">
        <w:r w:rsidRPr="0057104C">
          <w:rPr>
            <w:rStyle w:val="TextoNormalCaracter"/>
          </w:rPr>
          <w:t>78/2016</w:t>
        </w:r>
      </w:hyperlink>
      <w:r>
        <w:t xml:space="preserve">, ff. 1 a 3; </w:t>
      </w:r>
      <w:hyperlink w:anchor="AUTO_2016_84" w:history="1">
        <w:r w:rsidRPr="0057104C">
          <w:rPr>
            <w:rStyle w:val="TextoNormalCaracter"/>
          </w:rPr>
          <w:t>84/2016</w:t>
        </w:r>
      </w:hyperlink>
      <w:r>
        <w:t xml:space="preserve">, f. 5; </w:t>
      </w:r>
      <w:hyperlink w:anchor="AUTO_2016_85" w:history="1">
        <w:r w:rsidRPr="0057104C">
          <w:rPr>
            <w:rStyle w:val="TextoNormalCaracter"/>
          </w:rPr>
          <w:t>85/2016</w:t>
        </w:r>
      </w:hyperlink>
      <w:r>
        <w:t xml:space="preserve">, ff. 1 a 3; </w:t>
      </w:r>
      <w:hyperlink w:anchor="AUTO_2016_86" w:history="1">
        <w:r w:rsidRPr="0057104C">
          <w:rPr>
            <w:rStyle w:val="TextoNormalCaracter"/>
          </w:rPr>
          <w:t>86/2016</w:t>
        </w:r>
      </w:hyperlink>
      <w:r>
        <w:t xml:space="preserve">, f. 5; </w:t>
      </w:r>
      <w:hyperlink w:anchor="AUTO_2016_87" w:history="1">
        <w:r w:rsidRPr="0057104C">
          <w:rPr>
            <w:rStyle w:val="TextoNormalCaracter"/>
          </w:rPr>
          <w:t>87/2016</w:t>
        </w:r>
      </w:hyperlink>
      <w:r>
        <w:t xml:space="preserve">, f. 3; </w:t>
      </w:r>
      <w:hyperlink w:anchor="AUTO_2016_88" w:history="1">
        <w:r w:rsidRPr="0057104C">
          <w:rPr>
            <w:rStyle w:val="TextoNormalCaracter"/>
          </w:rPr>
          <w:t>88/2016</w:t>
        </w:r>
      </w:hyperlink>
      <w:r>
        <w:t xml:space="preserve">, f. 3; </w:t>
      </w:r>
      <w:hyperlink w:anchor="AUTO_2016_101" w:history="1">
        <w:r w:rsidRPr="0057104C">
          <w:rPr>
            <w:rStyle w:val="TextoNormalCaracter"/>
          </w:rPr>
          <w:t>101/2016</w:t>
        </w:r>
      </w:hyperlink>
      <w:r>
        <w:t xml:space="preserve">, f. 4; </w:t>
      </w:r>
      <w:hyperlink w:anchor="AUTO_2016_102" w:history="1">
        <w:r w:rsidRPr="0057104C">
          <w:rPr>
            <w:rStyle w:val="TextoNormalCaracter"/>
          </w:rPr>
          <w:t>102/2016</w:t>
        </w:r>
      </w:hyperlink>
      <w:r>
        <w:t xml:space="preserve">, f. 4; </w:t>
      </w:r>
      <w:hyperlink w:anchor="AUTO_2016_103" w:history="1">
        <w:r w:rsidRPr="0057104C">
          <w:rPr>
            <w:rStyle w:val="TextoNormalCaracter"/>
          </w:rPr>
          <w:t>103/2016</w:t>
        </w:r>
      </w:hyperlink>
      <w:r>
        <w:t xml:space="preserve">, f. 5; </w:t>
      </w:r>
      <w:hyperlink w:anchor="AUTO_2016_104" w:history="1">
        <w:r w:rsidRPr="0057104C">
          <w:rPr>
            <w:rStyle w:val="TextoNormalCaracter"/>
          </w:rPr>
          <w:t>104/2016</w:t>
        </w:r>
      </w:hyperlink>
      <w:r>
        <w:t>, f. 3.</w:t>
      </w:r>
    </w:p>
    <w:p w:rsidR="0057104C" w:rsidRDefault="0057104C" w:rsidP="0057104C">
      <w:pPr>
        <w:pStyle w:val="SangriaFrancesaArticulo"/>
      </w:pPr>
      <w:r w:rsidRPr="0057104C">
        <w:rPr>
          <w:rStyle w:val="TextoNormalNegritaCaracter"/>
        </w:rPr>
        <w:t>Artículo 105 b).</w:t>
      </w:r>
      <w:r w:rsidRPr="0057104C">
        <w:rPr>
          <w:rStyle w:val="TextoNormalCaracter"/>
        </w:rPr>
        <w:t>-</w:t>
      </w:r>
      <w:r>
        <w:t xml:space="preserve"> Auto </w:t>
      </w:r>
      <w:hyperlink w:anchor="AUTO_2016_84" w:history="1">
        <w:r w:rsidRPr="0057104C">
          <w:rPr>
            <w:rStyle w:val="TextoNormalCaracter"/>
          </w:rPr>
          <w:t>84/2016</w:t>
        </w:r>
      </w:hyperlink>
      <w:r>
        <w:t>, f. 5.</w:t>
      </w:r>
    </w:p>
    <w:p w:rsidR="0057104C" w:rsidRDefault="0057104C" w:rsidP="0057104C">
      <w:pPr>
        <w:pStyle w:val="SangriaFrancesaArticulo"/>
      </w:pPr>
      <w:r w:rsidRPr="0057104C">
        <w:rPr>
          <w:rStyle w:val="TextoNormalNegritaCaracter"/>
        </w:rPr>
        <w:t>Artículo 105 c).</w:t>
      </w:r>
      <w:r w:rsidRPr="0057104C">
        <w:rPr>
          <w:rStyle w:val="TextoNormalCaracter"/>
        </w:rPr>
        <w:t>-</w:t>
      </w:r>
      <w:r>
        <w:t xml:space="preserve"> Autos </w:t>
      </w:r>
      <w:hyperlink w:anchor="AUTO_2016_63" w:history="1">
        <w:r w:rsidRPr="0057104C">
          <w:rPr>
            <w:rStyle w:val="TextoNormalCaracter"/>
          </w:rPr>
          <w:t>63/2016</w:t>
        </w:r>
      </w:hyperlink>
      <w:r>
        <w:t xml:space="preserve">, ff. 1, 3; </w:t>
      </w:r>
      <w:hyperlink w:anchor="AUTO_2016_101" w:history="1">
        <w:r w:rsidRPr="0057104C">
          <w:rPr>
            <w:rStyle w:val="TextoNormalCaracter"/>
          </w:rPr>
          <w:t>101/2016</w:t>
        </w:r>
      </w:hyperlink>
      <w:r>
        <w:t xml:space="preserve">, f. 4; </w:t>
      </w:r>
      <w:hyperlink w:anchor="AUTO_2016_102" w:history="1">
        <w:r w:rsidRPr="0057104C">
          <w:rPr>
            <w:rStyle w:val="TextoNormalCaracter"/>
          </w:rPr>
          <w:t>102/2016</w:t>
        </w:r>
      </w:hyperlink>
      <w:r>
        <w:t xml:space="preserve">, f. 4; </w:t>
      </w:r>
      <w:hyperlink w:anchor="AUTO_2016_103" w:history="1">
        <w:r w:rsidRPr="0057104C">
          <w:rPr>
            <w:rStyle w:val="TextoNormalCaracter"/>
          </w:rPr>
          <w:t>103/2016</w:t>
        </w:r>
      </w:hyperlink>
      <w:r>
        <w:t>, f. 5.</w:t>
      </w:r>
    </w:p>
    <w:p w:rsidR="0057104C" w:rsidRDefault="0057104C" w:rsidP="0057104C">
      <w:pPr>
        <w:pStyle w:val="SangriaFrancesaArticulo"/>
      </w:pPr>
      <w:r w:rsidRPr="0057104C">
        <w:rPr>
          <w:rStyle w:val="TextoNormalNegritaCaracter"/>
        </w:rPr>
        <w:t>Artículo 106.</w:t>
      </w:r>
      <w:r w:rsidRPr="0057104C">
        <w:rPr>
          <w:rStyle w:val="TextoNormalCaracter"/>
        </w:rPr>
        <w:t>-</w:t>
      </w:r>
      <w:r>
        <w:t xml:space="preserve"> Sentencia </w:t>
      </w:r>
      <w:hyperlink w:anchor="SENTENCIA_2016_83" w:history="1">
        <w:r w:rsidRPr="0057104C">
          <w:rPr>
            <w:rStyle w:val="TextoNormalCaracter"/>
          </w:rPr>
          <w:t>83/2016</w:t>
        </w:r>
      </w:hyperlink>
      <w:r>
        <w:t>, ff. 1, 5, 6, 11.</w:t>
      </w:r>
    </w:p>
    <w:p w:rsidR="0057104C" w:rsidRDefault="0057104C" w:rsidP="0057104C">
      <w:pPr>
        <w:pStyle w:val="SangriaIzquierdaArticulo"/>
      </w:pPr>
      <w:r>
        <w:t xml:space="preserve">Autos </w:t>
      </w:r>
      <w:hyperlink w:anchor="AUTO_2016_84" w:history="1">
        <w:r w:rsidRPr="0057104C">
          <w:rPr>
            <w:rStyle w:val="TextoNormalCaracter"/>
          </w:rPr>
          <w:t>84/2016</w:t>
        </w:r>
      </w:hyperlink>
      <w:r>
        <w:t xml:space="preserve">, ff. 1, 4; </w:t>
      </w:r>
      <w:hyperlink w:anchor="AUTO_2016_101" w:history="1">
        <w:r w:rsidRPr="0057104C">
          <w:rPr>
            <w:rStyle w:val="TextoNormalCaracter"/>
          </w:rPr>
          <w:t>101/2016</w:t>
        </w:r>
      </w:hyperlink>
      <w:r>
        <w:t xml:space="preserve">, ff. 1, 3; </w:t>
      </w:r>
      <w:hyperlink w:anchor="AUTO_2016_102" w:history="1">
        <w:r w:rsidRPr="0057104C">
          <w:rPr>
            <w:rStyle w:val="TextoNormalCaracter"/>
          </w:rPr>
          <w:t>102/2016</w:t>
        </w:r>
      </w:hyperlink>
      <w:r>
        <w:t xml:space="preserve">, ff. 1, 3; </w:t>
      </w:r>
      <w:hyperlink w:anchor="AUTO_2016_103" w:history="1">
        <w:r w:rsidRPr="0057104C">
          <w:rPr>
            <w:rStyle w:val="TextoNormalCaracter"/>
          </w:rPr>
          <w:t>103/2016</w:t>
        </w:r>
      </w:hyperlink>
      <w:r>
        <w:t>, ff. 1, 4.</w:t>
      </w:r>
    </w:p>
    <w:p w:rsidR="0057104C" w:rsidRDefault="0057104C" w:rsidP="0057104C">
      <w:pPr>
        <w:pStyle w:val="SangriaFrancesaArticulo"/>
      </w:pPr>
      <w:r w:rsidRPr="0057104C">
        <w:rPr>
          <w:rStyle w:val="TextoNormalNegritaCaracter"/>
        </w:rPr>
        <w:t>Artículo 106.1.</w:t>
      </w:r>
      <w:r w:rsidRPr="0057104C">
        <w:rPr>
          <w:rStyle w:val="TextoNormalCaracter"/>
        </w:rPr>
        <w:t>-</w:t>
      </w:r>
      <w:r>
        <w:t xml:space="preserve"> Sentencias </w:t>
      </w:r>
      <w:hyperlink w:anchor="SENTENCIA_2016_35" w:history="1">
        <w:r w:rsidRPr="0057104C">
          <w:rPr>
            <w:rStyle w:val="TextoNormalCaracter"/>
          </w:rPr>
          <w:t>35/2016</w:t>
        </w:r>
      </w:hyperlink>
      <w:r>
        <w:t xml:space="preserve">, f. 2; </w:t>
      </w:r>
      <w:hyperlink w:anchor="SENTENCIA_2016_57" w:history="1">
        <w:r w:rsidRPr="0057104C">
          <w:rPr>
            <w:rStyle w:val="TextoNormalCaracter"/>
          </w:rPr>
          <w:t>57/2016</w:t>
        </w:r>
      </w:hyperlink>
      <w:r>
        <w:t xml:space="preserve">, f. 9; </w:t>
      </w:r>
      <w:hyperlink w:anchor="SENTENCIA_2016_83" w:history="1">
        <w:r w:rsidRPr="0057104C">
          <w:rPr>
            <w:rStyle w:val="TextoNormalCaracter"/>
          </w:rPr>
          <w:t>83/2016</w:t>
        </w:r>
      </w:hyperlink>
      <w:r>
        <w:t xml:space="preserve">, f. 12; </w:t>
      </w:r>
      <w:hyperlink w:anchor="SENTENCIA_2016_102" w:history="1">
        <w:r w:rsidRPr="0057104C">
          <w:rPr>
            <w:rStyle w:val="TextoNormalCaracter"/>
          </w:rPr>
          <w:t>102/2016</w:t>
        </w:r>
      </w:hyperlink>
      <w:r>
        <w:t xml:space="preserve">, VP; </w:t>
      </w:r>
      <w:hyperlink w:anchor="SENTENCIA_2016_118" w:history="1">
        <w:r w:rsidRPr="0057104C">
          <w:rPr>
            <w:rStyle w:val="TextoNormalCaracter"/>
          </w:rPr>
          <w:t>118/2016</w:t>
        </w:r>
      </w:hyperlink>
      <w:r>
        <w:t xml:space="preserve">, f. 3; </w:t>
      </w:r>
      <w:hyperlink w:anchor="SENTENCIA_2016_122" w:history="1">
        <w:r w:rsidRPr="0057104C">
          <w:rPr>
            <w:rStyle w:val="TextoNormalCaracter"/>
          </w:rPr>
          <w:t>122/2016</w:t>
        </w:r>
      </w:hyperlink>
      <w:r>
        <w:t>, f. 6.</w:t>
      </w:r>
    </w:p>
    <w:p w:rsidR="0057104C" w:rsidRDefault="0057104C" w:rsidP="0057104C">
      <w:pPr>
        <w:pStyle w:val="SangriaIzquierdaArticulo"/>
      </w:pPr>
      <w:r>
        <w:t xml:space="preserve">Autos </w:t>
      </w:r>
      <w:hyperlink w:anchor="AUTO_2016_84" w:history="1">
        <w:r w:rsidRPr="0057104C">
          <w:rPr>
            <w:rStyle w:val="TextoNormalCaracter"/>
          </w:rPr>
          <w:t>84/2016</w:t>
        </w:r>
      </w:hyperlink>
      <w:r>
        <w:t xml:space="preserve">, f. 4; </w:t>
      </w:r>
      <w:hyperlink w:anchor="AUTO_2016_132" w:history="1">
        <w:r w:rsidRPr="0057104C">
          <w:rPr>
            <w:rStyle w:val="TextoNormalCaracter"/>
          </w:rPr>
          <w:t>132/2016</w:t>
        </w:r>
      </w:hyperlink>
      <w:r>
        <w:t>, ff. 1, 5.</w:t>
      </w:r>
    </w:p>
    <w:p w:rsidR="0057104C" w:rsidRDefault="0057104C" w:rsidP="0057104C">
      <w:pPr>
        <w:pStyle w:val="SangriaFrancesaArticulo"/>
      </w:pPr>
      <w:r w:rsidRPr="0057104C">
        <w:rPr>
          <w:rStyle w:val="TextoNormalNegritaCaracter"/>
        </w:rPr>
        <w:t>Artículo 106.2.</w:t>
      </w:r>
      <w:r w:rsidRPr="0057104C">
        <w:rPr>
          <w:rStyle w:val="TextoNormalCaracter"/>
        </w:rPr>
        <w:t>-</w:t>
      </w:r>
      <w:r>
        <w:t xml:space="preserve"> Sentencia </w:t>
      </w:r>
      <w:hyperlink w:anchor="SENTENCIA_2016_15" w:history="1">
        <w:r w:rsidRPr="0057104C">
          <w:rPr>
            <w:rStyle w:val="TextoNormalCaracter"/>
          </w:rPr>
          <w:t>15/2016</w:t>
        </w:r>
      </w:hyperlink>
      <w:r>
        <w:t>, f. 3.</w:t>
      </w:r>
    </w:p>
    <w:p w:rsidR="0057104C" w:rsidRDefault="0057104C" w:rsidP="0057104C">
      <w:pPr>
        <w:pStyle w:val="SangriaFrancesaArticulo"/>
      </w:pPr>
      <w:r w:rsidRPr="0057104C">
        <w:rPr>
          <w:rStyle w:val="TextoNormalNegritaCaracter"/>
        </w:rPr>
        <w:t>Artículo 116.</w:t>
      </w:r>
      <w:r w:rsidRPr="0057104C">
        <w:rPr>
          <w:rStyle w:val="TextoNormalCaracter"/>
        </w:rPr>
        <w:t>-</w:t>
      </w:r>
      <w:r>
        <w:t xml:space="preserve"> Sentencia </w:t>
      </w:r>
      <w:hyperlink w:anchor="SENTENCIA_2016_83" w:history="1">
        <w:r w:rsidRPr="0057104C">
          <w:rPr>
            <w:rStyle w:val="TextoNormalCaracter"/>
          </w:rPr>
          <w:t>83/2016</w:t>
        </w:r>
      </w:hyperlink>
      <w:r>
        <w:t>, ff. 5 a 9, 11.</w:t>
      </w:r>
    </w:p>
    <w:p w:rsidR="0057104C" w:rsidRDefault="0057104C" w:rsidP="0057104C">
      <w:pPr>
        <w:pStyle w:val="SangriaFrancesaArticulo"/>
      </w:pPr>
      <w:r w:rsidRPr="0057104C">
        <w:rPr>
          <w:rStyle w:val="TextoNormalNegritaCaracter"/>
        </w:rPr>
        <w:t>Artículo 116.1.</w:t>
      </w:r>
      <w:r w:rsidRPr="0057104C">
        <w:rPr>
          <w:rStyle w:val="TextoNormalCaracter"/>
        </w:rPr>
        <w:t>-</w:t>
      </w:r>
      <w:r>
        <w:t xml:space="preserve"> Sentencia </w:t>
      </w:r>
      <w:hyperlink w:anchor="SENTENCIA_2016_83" w:history="1">
        <w:r w:rsidRPr="0057104C">
          <w:rPr>
            <w:rStyle w:val="TextoNormalCaracter"/>
          </w:rPr>
          <w:t>83/2016</w:t>
        </w:r>
      </w:hyperlink>
      <w:r>
        <w:t>, ff. 7, 10.</w:t>
      </w:r>
    </w:p>
    <w:p w:rsidR="0057104C" w:rsidRDefault="0057104C" w:rsidP="0057104C">
      <w:pPr>
        <w:pStyle w:val="SangriaFrancesaArticulo"/>
      </w:pPr>
      <w:r w:rsidRPr="0057104C">
        <w:rPr>
          <w:rStyle w:val="TextoNormalNegritaCaracter"/>
        </w:rPr>
        <w:t>Artículo 116.2.</w:t>
      </w:r>
      <w:r w:rsidRPr="0057104C">
        <w:rPr>
          <w:rStyle w:val="TextoNormalCaracter"/>
        </w:rPr>
        <w:t>-</w:t>
      </w:r>
      <w:r>
        <w:t xml:space="preserve"> Sentencia </w:t>
      </w:r>
      <w:hyperlink w:anchor="SENTENCIA_2016_83" w:history="1">
        <w:r w:rsidRPr="0057104C">
          <w:rPr>
            <w:rStyle w:val="TextoNormalCaracter"/>
          </w:rPr>
          <w:t>83/2016</w:t>
        </w:r>
      </w:hyperlink>
      <w:r>
        <w:t>, ff. 7, 8, 10.</w:t>
      </w:r>
    </w:p>
    <w:p w:rsidR="0057104C" w:rsidRDefault="0057104C" w:rsidP="0057104C">
      <w:pPr>
        <w:pStyle w:val="SangriaFrancesaArticulo"/>
      </w:pPr>
      <w:r w:rsidRPr="0057104C">
        <w:rPr>
          <w:rStyle w:val="TextoNormalNegritaCaracter"/>
        </w:rPr>
        <w:t>Artículo 116.3.</w:t>
      </w:r>
      <w:r w:rsidRPr="0057104C">
        <w:rPr>
          <w:rStyle w:val="TextoNormalCaracter"/>
        </w:rPr>
        <w:t>-</w:t>
      </w:r>
      <w:r>
        <w:t xml:space="preserve"> Sentencia </w:t>
      </w:r>
      <w:hyperlink w:anchor="SENTENCIA_2016_83" w:history="1">
        <w:r w:rsidRPr="0057104C">
          <w:rPr>
            <w:rStyle w:val="TextoNormalCaracter"/>
          </w:rPr>
          <w:t>83/2016</w:t>
        </w:r>
      </w:hyperlink>
      <w:r>
        <w:t>, f. 7.</w:t>
      </w:r>
    </w:p>
    <w:p w:rsidR="0057104C" w:rsidRDefault="0057104C" w:rsidP="0057104C">
      <w:pPr>
        <w:pStyle w:val="SangriaFrancesaArticulo"/>
      </w:pPr>
      <w:r w:rsidRPr="0057104C">
        <w:rPr>
          <w:rStyle w:val="TextoNormalNegritaCaracter"/>
        </w:rPr>
        <w:t>Artículo 116.4.</w:t>
      </w:r>
      <w:r w:rsidRPr="0057104C">
        <w:rPr>
          <w:rStyle w:val="TextoNormalCaracter"/>
        </w:rPr>
        <w:t>-</w:t>
      </w:r>
      <w:r>
        <w:t xml:space="preserve"> Sentencia </w:t>
      </w:r>
      <w:hyperlink w:anchor="SENTENCIA_2016_83" w:history="1">
        <w:r w:rsidRPr="0057104C">
          <w:rPr>
            <w:rStyle w:val="TextoNormalCaracter"/>
          </w:rPr>
          <w:t>83/2016</w:t>
        </w:r>
      </w:hyperlink>
      <w:r>
        <w:t>, f. 7.</w:t>
      </w:r>
    </w:p>
    <w:p w:rsidR="0057104C" w:rsidRDefault="0057104C" w:rsidP="0057104C">
      <w:pPr>
        <w:pStyle w:val="SangriaFrancesaArticulo"/>
      </w:pPr>
      <w:r w:rsidRPr="0057104C">
        <w:rPr>
          <w:rStyle w:val="TextoNormalNegritaCaracter"/>
        </w:rPr>
        <w:t>Artículo 116.5.</w:t>
      </w:r>
      <w:r w:rsidRPr="0057104C">
        <w:rPr>
          <w:rStyle w:val="TextoNormalCaracter"/>
        </w:rPr>
        <w:t>-</w:t>
      </w:r>
      <w:r>
        <w:t xml:space="preserve"> Sentencia </w:t>
      </w:r>
      <w:hyperlink w:anchor="SENTENCIA_2016_83" w:history="1">
        <w:r w:rsidRPr="0057104C">
          <w:rPr>
            <w:rStyle w:val="TextoNormalCaracter"/>
          </w:rPr>
          <w:t>83/2016</w:t>
        </w:r>
      </w:hyperlink>
      <w:r>
        <w:t>, f. 7.</w:t>
      </w:r>
    </w:p>
    <w:p w:rsidR="0057104C" w:rsidRDefault="0057104C" w:rsidP="0057104C">
      <w:pPr>
        <w:pStyle w:val="SangriaFrancesaArticulo"/>
      </w:pPr>
      <w:r w:rsidRPr="0057104C">
        <w:rPr>
          <w:rStyle w:val="TextoNormalNegritaCaracter"/>
        </w:rPr>
        <w:t>Artículo 117.</w:t>
      </w:r>
      <w:r w:rsidRPr="0057104C">
        <w:rPr>
          <w:rStyle w:val="TextoNormalCaracter"/>
        </w:rPr>
        <w:t>-</w:t>
      </w:r>
      <w:r>
        <w:t xml:space="preserve"> Sentencias </w:t>
      </w:r>
      <w:hyperlink w:anchor="SENTENCIA_2016_38" w:history="1">
        <w:r w:rsidRPr="0057104C">
          <w:rPr>
            <w:rStyle w:val="TextoNormalCaracter"/>
          </w:rPr>
          <w:t>38/2016</w:t>
        </w:r>
      </w:hyperlink>
      <w:r>
        <w:t xml:space="preserve">, f. 7; </w:t>
      </w:r>
      <w:hyperlink w:anchor="SENTENCIA_2016_58" w:history="1">
        <w:r w:rsidRPr="0057104C">
          <w:rPr>
            <w:rStyle w:val="TextoNormalCaracter"/>
          </w:rPr>
          <w:t>58/2016</w:t>
        </w:r>
      </w:hyperlink>
      <w:r>
        <w:t>, ff. 2, 3.</w:t>
      </w:r>
    </w:p>
    <w:p w:rsidR="0057104C" w:rsidRDefault="0057104C" w:rsidP="0057104C">
      <w:pPr>
        <w:pStyle w:val="SangriaIzquierdaArticulo"/>
      </w:pPr>
      <w:r>
        <w:t xml:space="preserve">Autos </w:t>
      </w:r>
      <w:hyperlink w:anchor="AUTO_2016_90" w:history="1">
        <w:r w:rsidRPr="0057104C">
          <w:rPr>
            <w:rStyle w:val="TextoNormalCaracter"/>
          </w:rPr>
          <w:t>90/2016</w:t>
        </w:r>
      </w:hyperlink>
      <w:r>
        <w:t xml:space="preserve">, ff. 1, 6; </w:t>
      </w:r>
      <w:hyperlink w:anchor="AUTO_2016_122" w:history="1">
        <w:r w:rsidRPr="0057104C">
          <w:rPr>
            <w:rStyle w:val="TextoNormalCaracter"/>
          </w:rPr>
          <w:t>122/2016</w:t>
        </w:r>
      </w:hyperlink>
      <w:r>
        <w:t>, ff. 1, 2.</w:t>
      </w:r>
    </w:p>
    <w:p w:rsidR="0057104C" w:rsidRDefault="0057104C" w:rsidP="0057104C">
      <w:pPr>
        <w:pStyle w:val="SangriaFrancesaArticulo"/>
      </w:pPr>
      <w:r w:rsidRPr="0057104C">
        <w:rPr>
          <w:rStyle w:val="TextoNormalNegritaCaracter"/>
        </w:rPr>
        <w:t>Artículo 117.1.</w:t>
      </w:r>
      <w:r w:rsidRPr="0057104C">
        <w:rPr>
          <w:rStyle w:val="TextoNormalCaracter"/>
        </w:rPr>
        <w:t>-</w:t>
      </w:r>
      <w:r>
        <w:t xml:space="preserve"> Sentencias </w:t>
      </w:r>
      <w:hyperlink w:anchor="SENTENCIA_2016_9" w:history="1">
        <w:r w:rsidRPr="0057104C">
          <w:rPr>
            <w:rStyle w:val="TextoNormalCaracter"/>
          </w:rPr>
          <w:t>9/2016</w:t>
        </w:r>
      </w:hyperlink>
      <w:r>
        <w:t xml:space="preserve">, f. 2; </w:t>
      </w:r>
      <w:hyperlink w:anchor="SENTENCIA_2016_58" w:history="1">
        <w:r w:rsidRPr="0057104C">
          <w:rPr>
            <w:rStyle w:val="TextoNormalCaracter"/>
          </w:rPr>
          <w:t>58/2016</w:t>
        </w:r>
      </w:hyperlink>
      <w:r>
        <w:t xml:space="preserve">, f. 4; </w:t>
      </w:r>
      <w:hyperlink w:anchor="SENTENCIA_2016_102" w:history="1">
        <w:r w:rsidRPr="0057104C">
          <w:rPr>
            <w:rStyle w:val="TextoNormalCaracter"/>
          </w:rPr>
          <w:t>102/2016</w:t>
        </w:r>
      </w:hyperlink>
      <w:r>
        <w:t xml:space="preserve">, f. 2, VP; </w:t>
      </w:r>
      <w:hyperlink w:anchor="SENTENCIA_2016_116" w:history="1">
        <w:r w:rsidRPr="0057104C">
          <w:rPr>
            <w:rStyle w:val="TextoNormalCaracter"/>
          </w:rPr>
          <w:t>116/2016</w:t>
        </w:r>
      </w:hyperlink>
      <w:r>
        <w:t>, f. 2.</w:t>
      </w:r>
    </w:p>
    <w:p w:rsidR="0057104C" w:rsidRDefault="0057104C" w:rsidP="0057104C">
      <w:pPr>
        <w:pStyle w:val="SangriaIzquierdaArticulo"/>
      </w:pPr>
      <w:r>
        <w:t xml:space="preserve">Auto </w:t>
      </w:r>
      <w:hyperlink w:anchor="AUTO_2016_122" w:history="1">
        <w:r w:rsidRPr="0057104C">
          <w:rPr>
            <w:rStyle w:val="TextoNormalCaracter"/>
          </w:rPr>
          <w:t>122/2016</w:t>
        </w:r>
      </w:hyperlink>
      <w:r>
        <w:t>, f. 4.</w:t>
      </w:r>
    </w:p>
    <w:p w:rsidR="0057104C" w:rsidRDefault="0057104C" w:rsidP="0057104C">
      <w:pPr>
        <w:pStyle w:val="SangriaFrancesaArticulo"/>
      </w:pPr>
      <w:r w:rsidRPr="0057104C">
        <w:rPr>
          <w:rStyle w:val="TextoNormalNegritaCaracter"/>
        </w:rPr>
        <w:t>Artículo 117.3.</w:t>
      </w:r>
      <w:r w:rsidRPr="0057104C">
        <w:rPr>
          <w:rStyle w:val="TextoNormalCaracter"/>
        </w:rPr>
        <w:t>-</w:t>
      </w:r>
      <w:r>
        <w:t xml:space="preserve"> Sentencias </w:t>
      </w:r>
      <w:hyperlink w:anchor="SENTENCIA_2016_3" w:history="1">
        <w:r w:rsidRPr="0057104C">
          <w:rPr>
            <w:rStyle w:val="TextoNormalCaracter"/>
          </w:rPr>
          <w:t>3/2016</w:t>
        </w:r>
      </w:hyperlink>
      <w:r>
        <w:t xml:space="preserve">, f. 5; </w:t>
      </w:r>
      <w:hyperlink w:anchor="SENTENCIA_2016_16" w:history="1">
        <w:r w:rsidRPr="0057104C">
          <w:rPr>
            <w:rStyle w:val="TextoNormalCaracter"/>
          </w:rPr>
          <w:t>16/2016</w:t>
        </w:r>
      </w:hyperlink>
      <w:r>
        <w:t xml:space="preserve">, f. 5; </w:t>
      </w:r>
      <w:hyperlink w:anchor="SENTENCIA_2016_35" w:history="1">
        <w:r w:rsidRPr="0057104C">
          <w:rPr>
            <w:rStyle w:val="TextoNormalCaracter"/>
          </w:rPr>
          <w:t>35/2016</w:t>
        </w:r>
      </w:hyperlink>
      <w:r>
        <w:t xml:space="preserve">, f. 2; </w:t>
      </w:r>
      <w:hyperlink w:anchor="SENTENCIA_2016_38" w:history="1">
        <w:r w:rsidRPr="0057104C">
          <w:rPr>
            <w:rStyle w:val="TextoNormalCaracter"/>
          </w:rPr>
          <w:t>38/2016</w:t>
        </w:r>
      </w:hyperlink>
      <w:r>
        <w:t xml:space="preserve">, f. 7; </w:t>
      </w:r>
      <w:hyperlink w:anchor="SENTENCIA_2016_58" w:history="1">
        <w:r w:rsidRPr="0057104C">
          <w:rPr>
            <w:rStyle w:val="TextoNormalCaracter"/>
          </w:rPr>
          <w:t>58/2016</w:t>
        </w:r>
      </w:hyperlink>
      <w:r>
        <w:t xml:space="preserve">, ff. 3 a 5, 7; </w:t>
      </w:r>
      <w:hyperlink w:anchor="SENTENCIA_2016_63" w:history="1">
        <w:r w:rsidRPr="0057104C">
          <w:rPr>
            <w:rStyle w:val="TextoNormalCaracter"/>
          </w:rPr>
          <w:t>63/2016</w:t>
        </w:r>
      </w:hyperlink>
      <w:r>
        <w:t xml:space="preserve">, f. 3; </w:t>
      </w:r>
      <w:hyperlink w:anchor="SENTENCIA_2016_69" w:history="1">
        <w:r w:rsidRPr="0057104C">
          <w:rPr>
            <w:rStyle w:val="TextoNormalCaracter"/>
          </w:rPr>
          <w:t>69/2016</w:t>
        </w:r>
      </w:hyperlink>
      <w:r>
        <w:t xml:space="preserve">, f. 3; </w:t>
      </w:r>
      <w:hyperlink w:anchor="SENTENCIA_2016_75" w:history="1">
        <w:r w:rsidRPr="0057104C">
          <w:rPr>
            <w:rStyle w:val="TextoNormalCaracter"/>
          </w:rPr>
          <w:t>75/2016</w:t>
        </w:r>
      </w:hyperlink>
      <w:r>
        <w:t xml:space="preserve">, f. 3; </w:t>
      </w:r>
      <w:hyperlink w:anchor="SENTENCIA_2016_76" w:history="1">
        <w:r w:rsidRPr="0057104C">
          <w:rPr>
            <w:rStyle w:val="TextoNormalCaracter"/>
          </w:rPr>
          <w:t>76/2016</w:t>
        </w:r>
      </w:hyperlink>
      <w:r>
        <w:t xml:space="preserve">, f. 1; </w:t>
      </w:r>
      <w:hyperlink w:anchor="SENTENCIA_2016_77" w:history="1">
        <w:r w:rsidRPr="0057104C">
          <w:rPr>
            <w:rStyle w:val="TextoNormalCaracter"/>
          </w:rPr>
          <w:t>77/2016</w:t>
        </w:r>
      </w:hyperlink>
      <w:r>
        <w:t xml:space="preserve">, f. 3; </w:t>
      </w:r>
      <w:hyperlink w:anchor="SENTENCIA_2016_83" w:history="1">
        <w:r w:rsidRPr="0057104C">
          <w:rPr>
            <w:rStyle w:val="TextoNormalCaracter"/>
          </w:rPr>
          <w:t>83/2016</w:t>
        </w:r>
      </w:hyperlink>
      <w:r>
        <w:t xml:space="preserve">, f. 5; </w:t>
      </w:r>
      <w:hyperlink w:anchor="SENTENCIA_2016_89" w:history="1">
        <w:r w:rsidRPr="0057104C">
          <w:rPr>
            <w:rStyle w:val="TextoNormalCaracter"/>
          </w:rPr>
          <w:t>89/2016</w:t>
        </w:r>
      </w:hyperlink>
      <w:r>
        <w:t xml:space="preserve">, f. 3; </w:t>
      </w:r>
      <w:hyperlink w:anchor="SENTENCIA_2016_102" w:history="1">
        <w:r w:rsidRPr="0057104C">
          <w:rPr>
            <w:rStyle w:val="TextoNormalCaracter"/>
          </w:rPr>
          <w:t>102/2016</w:t>
        </w:r>
      </w:hyperlink>
      <w:r>
        <w:t xml:space="preserve">, VP; </w:t>
      </w:r>
      <w:hyperlink w:anchor="SENTENCIA_2016_103" w:history="1">
        <w:r w:rsidRPr="0057104C">
          <w:rPr>
            <w:rStyle w:val="TextoNormalCaracter"/>
          </w:rPr>
          <w:t>103/2016</w:t>
        </w:r>
      </w:hyperlink>
      <w:r>
        <w:t xml:space="preserve">, f. 3; </w:t>
      </w:r>
      <w:hyperlink w:anchor="SENTENCIA_2016_118" w:history="1">
        <w:r w:rsidRPr="0057104C">
          <w:rPr>
            <w:rStyle w:val="TextoNormalCaracter"/>
          </w:rPr>
          <w:t>118/2016</w:t>
        </w:r>
      </w:hyperlink>
      <w:r>
        <w:t>, ff. 1, 3.</w:t>
      </w:r>
    </w:p>
    <w:p w:rsidR="0057104C" w:rsidRDefault="0057104C" w:rsidP="0057104C">
      <w:pPr>
        <w:pStyle w:val="SangriaIzquierdaArticulo"/>
      </w:pPr>
      <w:r>
        <w:t xml:space="preserve">Autos </w:t>
      </w:r>
      <w:hyperlink w:anchor="AUTO_2016_3" w:history="1">
        <w:r w:rsidRPr="0057104C">
          <w:rPr>
            <w:rStyle w:val="TextoNormalCaracter"/>
          </w:rPr>
          <w:t>3/2016</w:t>
        </w:r>
      </w:hyperlink>
      <w:r>
        <w:t xml:space="preserve">, f. 1; </w:t>
      </w:r>
      <w:hyperlink w:anchor="AUTO_2016_5" w:history="1">
        <w:r w:rsidRPr="0057104C">
          <w:rPr>
            <w:rStyle w:val="TextoNormalCaracter"/>
          </w:rPr>
          <w:t>5/2016</w:t>
        </w:r>
      </w:hyperlink>
      <w:r>
        <w:t xml:space="preserve">, f. único; </w:t>
      </w:r>
      <w:hyperlink w:anchor="AUTO_2016_17" w:history="1">
        <w:r w:rsidRPr="0057104C">
          <w:rPr>
            <w:rStyle w:val="TextoNormalCaracter"/>
          </w:rPr>
          <w:t>17/2016</w:t>
        </w:r>
      </w:hyperlink>
      <w:r>
        <w:t xml:space="preserve">, f. 1; </w:t>
      </w:r>
      <w:hyperlink w:anchor="AUTO_2016_19" w:history="1">
        <w:r w:rsidRPr="0057104C">
          <w:rPr>
            <w:rStyle w:val="TextoNormalCaracter"/>
          </w:rPr>
          <w:t>19/2016</w:t>
        </w:r>
      </w:hyperlink>
      <w:r>
        <w:t xml:space="preserve">, f. 1; </w:t>
      </w:r>
      <w:hyperlink w:anchor="AUTO_2016_47" w:history="1">
        <w:r w:rsidRPr="0057104C">
          <w:rPr>
            <w:rStyle w:val="TextoNormalCaracter"/>
          </w:rPr>
          <w:t>47/2016</w:t>
        </w:r>
      </w:hyperlink>
      <w:r>
        <w:t xml:space="preserve">, f. 1; </w:t>
      </w:r>
      <w:hyperlink w:anchor="AUTO_2016_56" w:history="1">
        <w:r w:rsidRPr="0057104C">
          <w:rPr>
            <w:rStyle w:val="TextoNormalCaracter"/>
          </w:rPr>
          <w:t>56/2016</w:t>
        </w:r>
      </w:hyperlink>
      <w:r>
        <w:t xml:space="preserve">, f. único; </w:t>
      </w:r>
      <w:hyperlink w:anchor="AUTO_2016_57" w:history="1">
        <w:r w:rsidRPr="0057104C">
          <w:rPr>
            <w:rStyle w:val="TextoNormalCaracter"/>
          </w:rPr>
          <w:t>57/2016</w:t>
        </w:r>
      </w:hyperlink>
      <w:r>
        <w:t xml:space="preserve">, f. único; </w:t>
      </w:r>
      <w:hyperlink w:anchor="AUTO_2016_64" w:history="1">
        <w:r w:rsidRPr="0057104C">
          <w:rPr>
            <w:rStyle w:val="TextoNormalCaracter"/>
          </w:rPr>
          <w:t>64/2016</w:t>
        </w:r>
      </w:hyperlink>
      <w:r>
        <w:t xml:space="preserve">, f. único; </w:t>
      </w:r>
      <w:hyperlink w:anchor="AUTO_2016_65" w:history="1">
        <w:r w:rsidRPr="0057104C">
          <w:rPr>
            <w:rStyle w:val="TextoNormalCaracter"/>
          </w:rPr>
          <w:t>65/2016</w:t>
        </w:r>
      </w:hyperlink>
      <w:r>
        <w:t xml:space="preserve">, f. único; </w:t>
      </w:r>
      <w:hyperlink w:anchor="AUTO_2016_74" w:history="1">
        <w:r w:rsidRPr="0057104C">
          <w:rPr>
            <w:rStyle w:val="TextoNormalCaracter"/>
          </w:rPr>
          <w:t>74/2016</w:t>
        </w:r>
      </w:hyperlink>
      <w:r>
        <w:t xml:space="preserve">, f. único; </w:t>
      </w:r>
      <w:hyperlink w:anchor="AUTO_2016_79" w:history="1">
        <w:r w:rsidRPr="0057104C">
          <w:rPr>
            <w:rStyle w:val="TextoNormalCaracter"/>
          </w:rPr>
          <w:t>79/2016</w:t>
        </w:r>
      </w:hyperlink>
      <w:r>
        <w:t xml:space="preserve">, f. único; </w:t>
      </w:r>
      <w:hyperlink w:anchor="AUTO_2016_91" w:history="1">
        <w:r w:rsidRPr="0057104C">
          <w:rPr>
            <w:rStyle w:val="TextoNormalCaracter"/>
          </w:rPr>
          <w:t>91/2016</w:t>
        </w:r>
      </w:hyperlink>
      <w:r>
        <w:t xml:space="preserve">, f. 1; </w:t>
      </w:r>
      <w:hyperlink w:anchor="AUTO_2016_99" w:history="1">
        <w:r w:rsidRPr="0057104C">
          <w:rPr>
            <w:rStyle w:val="TextoNormalCaracter"/>
          </w:rPr>
          <w:t>99/2016</w:t>
        </w:r>
      </w:hyperlink>
      <w:r>
        <w:t xml:space="preserve">, f. 2; </w:t>
      </w:r>
      <w:hyperlink w:anchor="AUTO_2016_122" w:history="1">
        <w:r w:rsidRPr="0057104C">
          <w:rPr>
            <w:rStyle w:val="TextoNormalCaracter"/>
          </w:rPr>
          <w:t>122/2016</w:t>
        </w:r>
      </w:hyperlink>
      <w:r>
        <w:t xml:space="preserve">, f. 4; </w:t>
      </w:r>
      <w:hyperlink w:anchor="AUTO_2016_128" w:history="1">
        <w:r w:rsidRPr="0057104C">
          <w:rPr>
            <w:rStyle w:val="TextoNormalCaracter"/>
          </w:rPr>
          <w:t>128/2016</w:t>
        </w:r>
      </w:hyperlink>
      <w:r>
        <w:t xml:space="preserve">, ff. 4 a 6; </w:t>
      </w:r>
      <w:hyperlink w:anchor="AUTO_2016_133" w:history="1">
        <w:r w:rsidRPr="0057104C">
          <w:rPr>
            <w:rStyle w:val="TextoNormalCaracter"/>
          </w:rPr>
          <w:t>133/2016</w:t>
        </w:r>
      </w:hyperlink>
      <w:r>
        <w:t>, f. 1.</w:t>
      </w:r>
    </w:p>
    <w:p w:rsidR="0057104C" w:rsidRDefault="0057104C" w:rsidP="0057104C">
      <w:pPr>
        <w:pStyle w:val="SangriaFrancesaArticulo"/>
      </w:pPr>
      <w:r w:rsidRPr="0057104C">
        <w:rPr>
          <w:rStyle w:val="TextoNormalNegritaCaracter"/>
        </w:rPr>
        <w:t>Artículo 117.5.</w:t>
      </w:r>
      <w:r w:rsidRPr="0057104C">
        <w:rPr>
          <w:rStyle w:val="TextoNormalCaracter"/>
        </w:rPr>
        <w:t>-</w:t>
      </w:r>
      <w:r>
        <w:t xml:space="preserve"> Sentencia </w:t>
      </w:r>
      <w:hyperlink w:anchor="SENTENCIA_2016_83" w:history="1">
        <w:r w:rsidRPr="0057104C">
          <w:rPr>
            <w:rStyle w:val="TextoNormalCaracter"/>
          </w:rPr>
          <w:t>83/2016</w:t>
        </w:r>
      </w:hyperlink>
      <w:r>
        <w:t>, f. 7.</w:t>
      </w:r>
    </w:p>
    <w:p w:rsidR="0057104C" w:rsidRDefault="0057104C" w:rsidP="0057104C">
      <w:pPr>
        <w:pStyle w:val="SangriaFrancesaArticulo"/>
      </w:pPr>
      <w:r w:rsidRPr="0057104C">
        <w:rPr>
          <w:rStyle w:val="TextoNormalNegritaCaracter"/>
        </w:rPr>
        <w:t>Artículo 118.</w:t>
      </w:r>
      <w:r w:rsidRPr="0057104C">
        <w:rPr>
          <w:rStyle w:val="TextoNormalCaracter"/>
        </w:rPr>
        <w:t>-</w:t>
      </w:r>
      <w:r>
        <w:t xml:space="preserve"> Sentencia </w:t>
      </w:r>
      <w:hyperlink w:anchor="SENTENCIA_2016_38" w:history="1">
        <w:r w:rsidRPr="0057104C">
          <w:rPr>
            <w:rStyle w:val="TextoNormalCaracter"/>
          </w:rPr>
          <w:t>38/2016</w:t>
        </w:r>
      </w:hyperlink>
      <w:r>
        <w:t>, ff. 1, 7.</w:t>
      </w:r>
    </w:p>
    <w:p w:rsidR="0057104C" w:rsidRDefault="0057104C" w:rsidP="0057104C">
      <w:pPr>
        <w:pStyle w:val="SangriaFrancesaArticulo"/>
      </w:pPr>
      <w:r w:rsidRPr="0057104C">
        <w:rPr>
          <w:rStyle w:val="TextoNormalNegritaCaracter"/>
        </w:rPr>
        <w:t>Artículo 120.</w:t>
      </w:r>
      <w:r w:rsidRPr="0057104C">
        <w:rPr>
          <w:rStyle w:val="TextoNormalCaracter"/>
        </w:rPr>
        <w:t>-</w:t>
      </w:r>
      <w:r>
        <w:t xml:space="preserve"> Sentencia </w:t>
      </w:r>
      <w:hyperlink w:anchor="SENTENCIA_2016_3" w:history="1">
        <w:r w:rsidRPr="0057104C">
          <w:rPr>
            <w:rStyle w:val="TextoNormalCaracter"/>
          </w:rPr>
          <w:t>3/2016</w:t>
        </w:r>
      </w:hyperlink>
      <w:r>
        <w:t>, f. 5.</w:t>
      </w:r>
    </w:p>
    <w:p w:rsidR="0057104C" w:rsidRDefault="0057104C" w:rsidP="0057104C">
      <w:pPr>
        <w:pStyle w:val="SangriaIzquierdaArticulo"/>
      </w:pPr>
      <w:r>
        <w:t xml:space="preserve">Auto </w:t>
      </w:r>
      <w:hyperlink w:anchor="AUTO_2016_24" w:history="1">
        <w:r w:rsidRPr="0057104C">
          <w:rPr>
            <w:rStyle w:val="TextoNormalCaracter"/>
          </w:rPr>
          <w:t>24/2016</w:t>
        </w:r>
      </w:hyperlink>
      <w:r>
        <w:t>, f. 2.</w:t>
      </w:r>
    </w:p>
    <w:p w:rsidR="0057104C" w:rsidRDefault="0057104C" w:rsidP="0057104C">
      <w:pPr>
        <w:pStyle w:val="SangriaFrancesaArticulo"/>
      </w:pPr>
      <w:r w:rsidRPr="0057104C">
        <w:rPr>
          <w:rStyle w:val="TextoNormalNegritaCaracter"/>
        </w:rPr>
        <w:t>Artículo 122.1.</w:t>
      </w:r>
      <w:r w:rsidRPr="0057104C">
        <w:rPr>
          <w:rStyle w:val="TextoNormalCaracter"/>
        </w:rPr>
        <w:t>-</w:t>
      </w:r>
      <w:r>
        <w:t xml:space="preserve"> Sentencia </w:t>
      </w:r>
      <w:hyperlink w:anchor="SENTENCIA_2016_118" w:history="1">
        <w:r w:rsidRPr="0057104C">
          <w:rPr>
            <w:rStyle w:val="TextoNormalCaracter"/>
          </w:rPr>
          <w:t>118/2016</w:t>
        </w:r>
      </w:hyperlink>
      <w:r>
        <w:t>, ff. 1, 3.</w:t>
      </w:r>
    </w:p>
    <w:p w:rsidR="0057104C" w:rsidRDefault="0057104C" w:rsidP="0057104C">
      <w:pPr>
        <w:pStyle w:val="SangriaFrancesaArticulo"/>
      </w:pPr>
      <w:r w:rsidRPr="0057104C">
        <w:rPr>
          <w:rStyle w:val="TextoNormalNegritaCaracter"/>
        </w:rPr>
        <w:t>Artículo 123.</w:t>
      </w:r>
      <w:r w:rsidRPr="0057104C">
        <w:rPr>
          <w:rStyle w:val="TextoNormalCaracter"/>
        </w:rPr>
        <w:t>-</w:t>
      </w:r>
      <w:r>
        <w:t xml:space="preserve"> Sentencia </w:t>
      </w:r>
      <w:hyperlink w:anchor="SENTENCIA_2016_83" w:history="1">
        <w:r w:rsidRPr="0057104C">
          <w:rPr>
            <w:rStyle w:val="TextoNormalCaracter"/>
          </w:rPr>
          <w:t>83/2016</w:t>
        </w:r>
      </w:hyperlink>
      <w:r>
        <w:t>, f. 3.</w:t>
      </w:r>
    </w:p>
    <w:p w:rsidR="0057104C" w:rsidRDefault="0057104C" w:rsidP="0057104C">
      <w:pPr>
        <w:pStyle w:val="SangriaFrancesaArticulo"/>
      </w:pPr>
      <w:r w:rsidRPr="0057104C">
        <w:rPr>
          <w:rStyle w:val="TextoNormalNegritaCaracter"/>
        </w:rPr>
        <w:t>Artículo 123.1.</w:t>
      </w:r>
      <w:r w:rsidRPr="0057104C">
        <w:rPr>
          <w:rStyle w:val="TextoNormalCaracter"/>
        </w:rPr>
        <w:t>-</w:t>
      </w:r>
      <w:r>
        <w:t xml:space="preserve"> Sentencia </w:t>
      </w:r>
      <w:hyperlink w:anchor="SENTENCIA_2016_83" w:history="1">
        <w:r w:rsidRPr="0057104C">
          <w:rPr>
            <w:rStyle w:val="TextoNormalCaracter"/>
          </w:rPr>
          <w:t>83/2016</w:t>
        </w:r>
      </w:hyperlink>
      <w:r>
        <w:t>, f. 5.</w:t>
      </w:r>
    </w:p>
    <w:p w:rsidR="0057104C" w:rsidRDefault="0057104C" w:rsidP="0057104C">
      <w:pPr>
        <w:pStyle w:val="SangriaFrancesaArticulo"/>
      </w:pPr>
      <w:r w:rsidRPr="0057104C">
        <w:rPr>
          <w:rStyle w:val="TextoNormalNegritaCaracter"/>
        </w:rPr>
        <w:t>Artículo 124.1.</w:t>
      </w:r>
      <w:r w:rsidRPr="0057104C">
        <w:rPr>
          <w:rStyle w:val="TextoNormalCaracter"/>
        </w:rPr>
        <w:t>-</w:t>
      </w:r>
      <w:r>
        <w:t xml:space="preserve"> Sentencias </w:t>
      </w:r>
      <w:hyperlink w:anchor="SENTENCIA_2016_22" w:history="1">
        <w:r w:rsidRPr="0057104C">
          <w:rPr>
            <w:rStyle w:val="TextoNormalCaracter"/>
          </w:rPr>
          <w:t>22/2016</w:t>
        </w:r>
      </w:hyperlink>
      <w:r>
        <w:t xml:space="preserve">, f. 2; </w:t>
      </w:r>
      <w:hyperlink w:anchor="SENTENCIA_2016_50" w:history="1">
        <w:r w:rsidRPr="0057104C">
          <w:rPr>
            <w:rStyle w:val="TextoNormalCaracter"/>
          </w:rPr>
          <w:t>50/2016</w:t>
        </w:r>
      </w:hyperlink>
      <w:r>
        <w:t>, f. 2.</w:t>
      </w:r>
    </w:p>
    <w:p w:rsidR="0057104C" w:rsidRDefault="0057104C" w:rsidP="0057104C">
      <w:pPr>
        <w:pStyle w:val="SangriaFrancesaArticulo"/>
      </w:pPr>
      <w:r w:rsidRPr="0057104C">
        <w:rPr>
          <w:rStyle w:val="TextoNormalNegritaCaracter"/>
        </w:rPr>
        <w:t>Artículo 128.1.</w:t>
      </w:r>
      <w:r w:rsidRPr="0057104C">
        <w:rPr>
          <w:rStyle w:val="TextoNormalCaracter"/>
        </w:rPr>
        <w:t>-</w:t>
      </w:r>
      <w:r>
        <w:t xml:space="preserve"> Sentencias </w:t>
      </w:r>
      <w:hyperlink w:anchor="SENTENCIA_2016_18" w:history="1">
        <w:r w:rsidRPr="0057104C">
          <w:rPr>
            <w:rStyle w:val="TextoNormalCaracter"/>
          </w:rPr>
          <w:t>18/2016</w:t>
        </w:r>
      </w:hyperlink>
      <w:r>
        <w:t xml:space="preserve">, f. 6; </w:t>
      </w:r>
      <w:hyperlink w:anchor="SENTENCIA_2016_41" w:history="1">
        <w:r w:rsidRPr="0057104C">
          <w:rPr>
            <w:rStyle w:val="TextoNormalCaracter"/>
          </w:rPr>
          <w:t>41/2016</w:t>
        </w:r>
      </w:hyperlink>
      <w:r>
        <w:t xml:space="preserve">, f. 3; </w:t>
      </w:r>
      <w:hyperlink w:anchor="SENTENCIA_2016_62" w:history="1">
        <w:r w:rsidRPr="0057104C">
          <w:rPr>
            <w:rStyle w:val="TextoNormalCaracter"/>
          </w:rPr>
          <w:t>62/2016</w:t>
        </w:r>
      </w:hyperlink>
      <w:r>
        <w:t xml:space="preserve">, VPII; </w:t>
      </w:r>
      <w:hyperlink w:anchor="SENTENCIA_2016_111" w:history="1">
        <w:r w:rsidRPr="0057104C">
          <w:rPr>
            <w:rStyle w:val="TextoNormalCaracter"/>
          </w:rPr>
          <w:t>111/2016</w:t>
        </w:r>
      </w:hyperlink>
      <w:r>
        <w:t>, f. 5.</w:t>
      </w:r>
    </w:p>
    <w:p w:rsidR="0057104C" w:rsidRDefault="0057104C" w:rsidP="0057104C">
      <w:pPr>
        <w:pStyle w:val="SangriaFrancesaArticulo"/>
      </w:pPr>
      <w:r w:rsidRPr="0057104C">
        <w:rPr>
          <w:rStyle w:val="TextoNormalNegritaCaracter"/>
        </w:rPr>
        <w:t>Artículo 130.1.</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131.</w:t>
      </w:r>
      <w:r w:rsidRPr="0057104C">
        <w:rPr>
          <w:rStyle w:val="TextoNormalCaracter"/>
        </w:rPr>
        <w:t>-</w:t>
      </w:r>
      <w:r>
        <w:t xml:space="preserve"> Sentencias </w:t>
      </w:r>
      <w:hyperlink w:anchor="SENTENCIA_2016_101" w:history="1">
        <w:r w:rsidRPr="0057104C">
          <w:rPr>
            <w:rStyle w:val="TextoNormalCaracter"/>
          </w:rPr>
          <w:t>101/2016</w:t>
        </w:r>
      </w:hyperlink>
      <w:r>
        <w:t xml:space="preserve">, f. 6;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131.1.</w:t>
      </w:r>
      <w:r w:rsidRPr="0057104C">
        <w:rPr>
          <w:rStyle w:val="TextoNormalCaracter"/>
        </w:rPr>
        <w:t>-</w:t>
      </w:r>
      <w:r>
        <w:t xml:space="preserve"> Sentencia </w:t>
      </w:r>
      <w:hyperlink w:anchor="SENTENCIA_2016_18" w:history="1">
        <w:r w:rsidRPr="0057104C">
          <w:rPr>
            <w:rStyle w:val="TextoNormalCaracter"/>
          </w:rPr>
          <w:t>18/2016</w:t>
        </w:r>
      </w:hyperlink>
      <w:r>
        <w:t>, f. 6.</w:t>
      </w:r>
    </w:p>
    <w:p w:rsidR="0057104C" w:rsidRDefault="0057104C" w:rsidP="0057104C">
      <w:pPr>
        <w:pStyle w:val="SangriaFrancesaArticulo"/>
      </w:pPr>
      <w:r w:rsidRPr="0057104C">
        <w:rPr>
          <w:rStyle w:val="TextoNormalNegritaCaracter"/>
        </w:rPr>
        <w:t>Artículo 131.2.</w:t>
      </w:r>
      <w:r w:rsidRPr="0057104C">
        <w:rPr>
          <w:rStyle w:val="TextoNormalCaracter"/>
        </w:rPr>
        <w:t>-</w:t>
      </w:r>
      <w:r>
        <w:t xml:space="preserve"> Sentencia </w:t>
      </w:r>
      <w:hyperlink w:anchor="SENTENCIA_2016_18" w:history="1">
        <w:r w:rsidRPr="0057104C">
          <w:rPr>
            <w:rStyle w:val="TextoNormalCaracter"/>
          </w:rPr>
          <w:t>18/2016</w:t>
        </w:r>
      </w:hyperlink>
      <w:r>
        <w:t>, f. 6.</w:t>
      </w:r>
    </w:p>
    <w:p w:rsidR="0057104C" w:rsidRDefault="0057104C" w:rsidP="0057104C">
      <w:pPr>
        <w:pStyle w:val="SangriaFrancesaArticulo"/>
      </w:pPr>
      <w:r w:rsidRPr="0057104C">
        <w:rPr>
          <w:rStyle w:val="TextoNormalNegritaCaracter"/>
        </w:rPr>
        <w:t>Artículo 132.</w:t>
      </w:r>
      <w:r w:rsidRPr="0057104C">
        <w:rPr>
          <w:rStyle w:val="TextoNormalCaracter"/>
        </w:rPr>
        <w:t>-</w:t>
      </w:r>
      <w:r>
        <w:t xml:space="preserve"> Sentencias </w:t>
      </w:r>
      <w:hyperlink w:anchor="SENTENCIA_2016_6" w:history="1">
        <w:r w:rsidRPr="0057104C">
          <w:rPr>
            <w:rStyle w:val="TextoNormalCaracter"/>
          </w:rPr>
          <w:t>6/2016</w:t>
        </w:r>
      </w:hyperlink>
      <w:r>
        <w:t xml:space="preserve">, ff. 1, 3; </w:t>
      </w:r>
      <w:hyperlink w:anchor="SENTENCIA_2016_57" w:history="1">
        <w:r w:rsidRPr="0057104C">
          <w:rPr>
            <w:rStyle w:val="TextoNormalCaracter"/>
          </w:rPr>
          <w:t>57/2016</w:t>
        </w:r>
      </w:hyperlink>
      <w:r>
        <w:t xml:space="preserve">, f. 2; </w:t>
      </w:r>
      <w:hyperlink w:anchor="SENTENCIA_2016_100" w:history="1">
        <w:r w:rsidRPr="0057104C">
          <w:rPr>
            <w:rStyle w:val="TextoNormalCaracter"/>
          </w:rPr>
          <w:t>100/2016</w:t>
        </w:r>
      </w:hyperlink>
      <w:r>
        <w:t>, ff. 1, 2.</w:t>
      </w:r>
    </w:p>
    <w:p w:rsidR="0057104C" w:rsidRDefault="0057104C" w:rsidP="0057104C">
      <w:pPr>
        <w:pStyle w:val="SangriaFrancesaArticulo"/>
      </w:pPr>
      <w:r w:rsidRPr="0057104C">
        <w:rPr>
          <w:rStyle w:val="TextoNormalNegritaCaracter"/>
        </w:rPr>
        <w:t>Artículo 132.1.</w:t>
      </w:r>
      <w:r w:rsidRPr="0057104C">
        <w:rPr>
          <w:rStyle w:val="TextoNormalCaracter"/>
        </w:rPr>
        <w:t>-</w:t>
      </w:r>
      <w:r>
        <w:t xml:space="preserve"> Sentencia </w:t>
      </w:r>
      <w:hyperlink w:anchor="SENTENCIA_2016_100" w:history="1">
        <w:r w:rsidRPr="0057104C">
          <w:rPr>
            <w:rStyle w:val="TextoNormalCaracter"/>
          </w:rPr>
          <w:t>100/2016</w:t>
        </w:r>
      </w:hyperlink>
      <w:r>
        <w:t>, ff. 3, 5.</w:t>
      </w:r>
    </w:p>
    <w:p w:rsidR="0057104C" w:rsidRDefault="0057104C" w:rsidP="0057104C">
      <w:pPr>
        <w:pStyle w:val="SangriaFrancesaArticulo"/>
      </w:pPr>
      <w:r w:rsidRPr="0057104C">
        <w:rPr>
          <w:rStyle w:val="TextoNormalNegritaCaracter"/>
        </w:rPr>
        <w:t>Artículo 132.2.</w:t>
      </w:r>
      <w:r w:rsidRPr="0057104C">
        <w:rPr>
          <w:rStyle w:val="TextoNormalCaracter"/>
        </w:rPr>
        <w:t>-</w:t>
      </w:r>
      <w:r>
        <w:t xml:space="preserve"> Sentencias </w:t>
      </w:r>
      <w:hyperlink w:anchor="SENTENCIA_2016_6" w:history="1">
        <w:r w:rsidRPr="0057104C">
          <w:rPr>
            <w:rStyle w:val="TextoNormalCaracter"/>
          </w:rPr>
          <w:t>6/2016</w:t>
        </w:r>
      </w:hyperlink>
      <w:r>
        <w:t xml:space="preserve">, f. 4; </w:t>
      </w:r>
      <w:hyperlink w:anchor="SENTENCIA_2016_28" w:history="1">
        <w:r w:rsidRPr="0057104C">
          <w:rPr>
            <w:rStyle w:val="TextoNormalCaracter"/>
          </w:rPr>
          <w:t>28/2016</w:t>
        </w:r>
      </w:hyperlink>
      <w:r>
        <w:t xml:space="preserve">, ff. 3, 4; </w:t>
      </w:r>
      <w:hyperlink w:anchor="SENTENCIA_2016_57" w:history="1">
        <w:r w:rsidRPr="0057104C">
          <w:rPr>
            <w:rStyle w:val="TextoNormalCaracter"/>
          </w:rPr>
          <w:t>57/2016</w:t>
        </w:r>
      </w:hyperlink>
      <w:r>
        <w:t xml:space="preserve">, ff. 2, 3, 5, 6, 9; </w:t>
      </w:r>
      <w:hyperlink w:anchor="SENTENCIA_2016_100" w:history="1">
        <w:r w:rsidRPr="0057104C">
          <w:rPr>
            <w:rStyle w:val="TextoNormalCaracter"/>
          </w:rPr>
          <w:t>100/2016</w:t>
        </w:r>
      </w:hyperlink>
      <w:r>
        <w:t>, f. 5.</w:t>
      </w:r>
    </w:p>
    <w:p w:rsidR="0057104C" w:rsidRDefault="0057104C" w:rsidP="0057104C">
      <w:pPr>
        <w:pStyle w:val="SangriaFrancesaArticulo"/>
      </w:pPr>
      <w:r w:rsidRPr="0057104C">
        <w:rPr>
          <w:rStyle w:val="TextoNormalNegritaCaracter"/>
        </w:rPr>
        <w:t>Artículo 133.</w:t>
      </w:r>
      <w:r w:rsidRPr="0057104C">
        <w:rPr>
          <w:rStyle w:val="TextoNormalCaracter"/>
        </w:rPr>
        <w:t>-</w:t>
      </w:r>
      <w:r>
        <w:t xml:space="preserve"> Sentencias </w:t>
      </w:r>
      <w:hyperlink w:anchor="SENTENCIA_2016_3" w:history="1">
        <w:r w:rsidRPr="0057104C">
          <w:rPr>
            <w:rStyle w:val="TextoNormalCaracter"/>
          </w:rPr>
          <w:t>3/2016</w:t>
        </w:r>
      </w:hyperlink>
      <w:r>
        <w:t xml:space="preserve">, f. 4;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133.1.</w:t>
      </w:r>
      <w:r w:rsidRPr="0057104C">
        <w:rPr>
          <w:rStyle w:val="TextoNormalCaracter"/>
        </w:rPr>
        <w:t>-</w:t>
      </w:r>
      <w:r>
        <w:t xml:space="preserve"> Sentencias </w:t>
      </w:r>
      <w:hyperlink w:anchor="SENTENCIA_2016_25" w:history="1">
        <w:r w:rsidRPr="0057104C">
          <w:rPr>
            <w:rStyle w:val="TextoNormalCaracter"/>
          </w:rPr>
          <w:t>25/2016</w:t>
        </w:r>
      </w:hyperlink>
      <w:r>
        <w:t xml:space="preserve">, ff. 1, 2, 5; </w:t>
      </w:r>
      <w:hyperlink w:anchor="SENTENCIA_2016_33" w:history="1">
        <w:r w:rsidRPr="0057104C">
          <w:rPr>
            <w:rStyle w:val="TextoNormalCaracter"/>
          </w:rPr>
          <w:t>33/2016</w:t>
        </w:r>
      </w:hyperlink>
      <w:r>
        <w:t xml:space="preserve">, ff. 4, 5;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133.2.</w:t>
      </w:r>
      <w:r w:rsidRPr="0057104C">
        <w:rPr>
          <w:rStyle w:val="TextoNormalCaracter"/>
        </w:rPr>
        <w:t>-</w:t>
      </w:r>
      <w:r>
        <w:t xml:space="preserve"> Sentencia </w:t>
      </w:r>
      <w:hyperlink w:anchor="SENTENCIA_2016_74" w:history="1">
        <w:r w:rsidRPr="0057104C">
          <w:rPr>
            <w:rStyle w:val="TextoNormalCaracter"/>
          </w:rPr>
          <w:t>74/2016</w:t>
        </w:r>
      </w:hyperlink>
      <w:r>
        <w:t>, f. 4.</w:t>
      </w:r>
    </w:p>
    <w:p w:rsidR="0057104C" w:rsidRDefault="0057104C" w:rsidP="0057104C">
      <w:pPr>
        <w:pStyle w:val="SangriaFrancesaArticulo"/>
      </w:pPr>
      <w:r w:rsidRPr="0057104C">
        <w:rPr>
          <w:rStyle w:val="TextoNormalNegritaCaracter"/>
        </w:rPr>
        <w:t>Artículo 133.4.</w:t>
      </w:r>
      <w:r w:rsidRPr="0057104C">
        <w:rPr>
          <w:rStyle w:val="TextoNormalCaracter"/>
        </w:rPr>
        <w:t>-</w:t>
      </w:r>
      <w:r>
        <w:t xml:space="preserve"> Sentencias </w:t>
      </w:r>
      <w:hyperlink w:anchor="SENTENCIA_2016_41" w:history="1">
        <w:r w:rsidRPr="0057104C">
          <w:rPr>
            <w:rStyle w:val="TextoNormalCaracter"/>
          </w:rPr>
          <w:t>41/2016</w:t>
        </w:r>
      </w:hyperlink>
      <w:r>
        <w:t xml:space="preserve">, f. 3; </w:t>
      </w:r>
      <w:hyperlink w:anchor="SENTENCIA_2016_111" w:history="1">
        <w:r w:rsidRPr="0057104C">
          <w:rPr>
            <w:rStyle w:val="TextoNormalCaracter"/>
          </w:rPr>
          <w:t>111/2016</w:t>
        </w:r>
      </w:hyperlink>
      <w:r>
        <w:t>, f. 5.</w:t>
      </w:r>
    </w:p>
    <w:p w:rsidR="0057104C" w:rsidRDefault="0057104C" w:rsidP="0057104C">
      <w:pPr>
        <w:pStyle w:val="SangriaFrancesaArticulo"/>
      </w:pPr>
      <w:r w:rsidRPr="0057104C">
        <w:rPr>
          <w:rStyle w:val="TextoNormalNegritaCaracter"/>
        </w:rPr>
        <w:t>Artículo 134.</w:t>
      </w:r>
      <w:r w:rsidRPr="0057104C">
        <w:rPr>
          <w:rStyle w:val="TextoNormalCaracter"/>
        </w:rPr>
        <w:t>-</w:t>
      </w:r>
      <w:r>
        <w:t xml:space="preserve"> Sentencias </w:t>
      </w:r>
      <w:hyperlink w:anchor="SENTENCIA_2016_111" w:history="1">
        <w:r w:rsidRPr="0057104C">
          <w:rPr>
            <w:rStyle w:val="TextoNormalCaracter"/>
          </w:rPr>
          <w:t>111/2016</w:t>
        </w:r>
      </w:hyperlink>
      <w:r>
        <w:t xml:space="preserve">, f. 8; </w:t>
      </w:r>
      <w:hyperlink w:anchor="SENTENCIA_2016_123" w:history="1">
        <w:r w:rsidRPr="0057104C">
          <w:rPr>
            <w:rStyle w:val="TextoNormalCaracter"/>
          </w:rPr>
          <w:t>123/2016</w:t>
        </w:r>
      </w:hyperlink>
      <w:r>
        <w:t>, ff. 2, 3.</w:t>
      </w:r>
    </w:p>
    <w:p w:rsidR="0057104C" w:rsidRDefault="0057104C" w:rsidP="0057104C">
      <w:pPr>
        <w:pStyle w:val="SangriaIzquierdaArticulo"/>
      </w:pPr>
      <w:r>
        <w:t xml:space="preserve">Auto </w:t>
      </w:r>
      <w:hyperlink w:anchor="AUTO_2016_132" w:history="1">
        <w:r w:rsidRPr="0057104C">
          <w:rPr>
            <w:rStyle w:val="TextoNormalCaracter"/>
          </w:rPr>
          <w:t>132/2016</w:t>
        </w:r>
      </w:hyperlink>
      <w:r>
        <w:t>, ff. 1, 8.</w:t>
      </w:r>
    </w:p>
    <w:p w:rsidR="0057104C" w:rsidRDefault="0057104C" w:rsidP="0057104C">
      <w:pPr>
        <w:pStyle w:val="SangriaFrancesaArticulo"/>
      </w:pPr>
      <w:r w:rsidRPr="0057104C">
        <w:rPr>
          <w:rStyle w:val="TextoNormalNegritaCaracter"/>
        </w:rPr>
        <w:t>Artículo 134.1.</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134.2.</w:t>
      </w:r>
      <w:r w:rsidRPr="0057104C">
        <w:rPr>
          <w:rStyle w:val="TextoNormalCaracter"/>
        </w:rPr>
        <w:t>-</w:t>
      </w:r>
      <w:r>
        <w:t xml:space="preserve"> Sentencias </w:t>
      </w:r>
      <w:hyperlink w:anchor="SENTENCIA_2016_95" w:history="1">
        <w:r w:rsidRPr="0057104C">
          <w:rPr>
            <w:rStyle w:val="TextoNormalCaracter"/>
          </w:rPr>
          <w:t>95/2016</w:t>
        </w:r>
      </w:hyperlink>
      <w:r>
        <w:t xml:space="preserve">, f. 4; </w:t>
      </w:r>
      <w:hyperlink w:anchor="SENTENCIA_2016_99" w:history="1">
        <w:r w:rsidRPr="0057104C">
          <w:rPr>
            <w:rStyle w:val="TextoNormalCaracter"/>
          </w:rPr>
          <w:t>99/2016</w:t>
        </w:r>
      </w:hyperlink>
      <w:r>
        <w:t xml:space="preserve">, ff. 1, 7, 8, VP; </w:t>
      </w:r>
      <w:hyperlink w:anchor="SENTENCIA_2016_123" w:history="1">
        <w:r w:rsidRPr="0057104C">
          <w:rPr>
            <w:rStyle w:val="TextoNormalCaracter"/>
          </w:rPr>
          <w:t>123/2016</w:t>
        </w:r>
      </w:hyperlink>
      <w:r>
        <w:t>, ff. 3, 4.</w:t>
      </w:r>
    </w:p>
    <w:p w:rsidR="0057104C" w:rsidRDefault="0057104C" w:rsidP="0057104C">
      <w:pPr>
        <w:pStyle w:val="SangriaIzquierdaArticulo"/>
      </w:pPr>
      <w:r>
        <w:t xml:space="preserve">Autos </w:t>
      </w:r>
      <w:hyperlink w:anchor="AUTO_2016_9" w:history="1">
        <w:r w:rsidRPr="0057104C">
          <w:rPr>
            <w:rStyle w:val="TextoNormalCaracter"/>
          </w:rPr>
          <w:t>9/2016</w:t>
        </w:r>
      </w:hyperlink>
      <w:r>
        <w:t xml:space="preserve">, f. 2; </w:t>
      </w:r>
      <w:hyperlink w:anchor="AUTO_2016_39" w:history="1">
        <w:r w:rsidRPr="0057104C">
          <w:rPr>
            <w:rStyle w:val="TextoNormalCaracter"/>
          </w:rPr>
          <w:t>39/2016</w:t>
        </w:r>
      </w:hyperlink>
      <w:r>
        <w:t xml:space="preserve">, f. 1; </w:t>
      </w:r>
      <w:hyperlink w:anchor="AUTO_2016_40" w:history="1">
        <w:r w:rsidRPr="0057104C">
          <w:rPr>
            <w:rStyle w:val="TextoNormalCaracter"/>
          </w:rPr>
          <w:t>40/2016</w:t>
        </w:r>
      </w:hyperlink>
      <w:r>
        <w:t xml:space="preserve">, f. 1; </w:t>
      </w:r>
      <w:hyperlink w:anchor="AUTO_2016_84" w:history="1">
        <w:r w:rsidRPr="0057104C">
          <w:rPr>
            <w:rStyle w:val="TextoNormalCaracter"/>
          </w:rPr>
          <w:t>84/2016</w:t>
        </w:r>
      </w:hyperlink>
      <w:r>
        <w:t xml:space="preserve">, ff. 1, 7; </w:t>
      </w:r>
      <w:hyperlink w:anchor="AUTO_2016_101" w:history="1">
        <w:r w:rsidRPr="0057104C">
          <w:rPr>
            <w:rStyle w:val="TextoNormalCaracter"/>
          </w:rPr>
          <w:t>101/2016</w:t>
        </w:r>
      </w:hyperlink>
      <w:r>
        <w:t xml:space="preserve">, ff. 1, 4; </w:t>
      </w:r>
      <w:hyperlink w:anchor="AUTO_2016_102" w:history="1">
        <w:r w:rsidRPr="0057104C">
          <w:rPr>
            <w:rStyle w:val="TextoNormalCaracter"/>
          </w:rPr>
          <w:t>102/2016</w:t>
        </w:r>
      </w:hyperlink>
      <w:r>
        <w:t xml:space="preserve">, ff. 1, 4; </w:t>
      </w:r>
      <w:hyperlink w:anchor="AUTO_2016_103" w:history="1">
        <w:r w:rsidRPr="0057104C">
          <w:rPr>
            <w:rStyle w:val="TextoNormalCaracter"/>
          </w:rPr>
          <w:t>103/2016</w:t>
        </w:r>
      </w:hyperlink>
      <w:r>
        <w:t xml:space="preserve">, ff. 1, 7; </w:t>
      </w:r>
      <w:hyperlink w:anchor="AUTO_2016_113" w:history="1">
        <w:r w:rsidRPr="0057104C">
          <w:rPr>
            <w:rStyle w:val="TextoNormalCaracter"/>
          </w:rPr>
          <w:t>113/2016</w:t>
        </w:r>
      </w:hyperlink>
      <w:r>
        <w:t xml:space="preserve">, ff. 1, 4; </w:t>
      </w:r>
      <w:hyperlink w:anchor="AUTO_2016_132" w:history="1">
        <w:r w:rsidRPr="0057104C">
          <w:rPr>
            <w:rStyle w:val="TextoNormalCaracter"/>
          </w:rPr>
          <w:t>132/2016</w:t>
        </w:r>
      </w:hyperlink>
      <w:r>
        <w:t>, f. 8.</w:t>
      </w:r>
    </w:p>
    <w:p w:rsidR="0057104C" w:rsidRDefault="0057104C" w:rsidP="0057104C">
      <w:pPr>
        <w:pStyle w:val="SangriaFrancesaArticulo"/>
      </w:pPr>
      <w:r w:rsidRPr="0057104C">
        <w:rPr>
          <w:rStyle w:val="TextoNormalNegritaCaracter"/>
        </w:rPr>
        <w:t>Artículo 135.</w:t>
      </w:r>
      <w:r w:rsidRPr="0057104C">
        <w:rPr>
          <w:rStyle w:val="TextoNormalCaracter"/>
        </w:rPr>
        <w:t>-</w:t>
      </w:r>
      <w:r>
        <w:t xml:space="preserve"> Sentencias </w:t>
      </w:r>
      <w:hyperlink w:anchor="SENTENCIA_2016_31" w:history="1">
        <w:r w:rsidRPr="0057104C">
          <w:rPr>
            <w:rStyle w:val="TextoNormalCaracter"/>
          </w:rPr>
          <w:t>31/2016</w:t>
        </w:r>
      </w:hyperlink>
      <w:r>
        <w:t xml:space="preserve">, f. 4; </w:t>
      </w:r>
      <w:hyperlink w:anchor="SENTENCIA_2016_41" w:history="1">
        <w:r w:rsidRPr="0057104C">
          <w:rPr>
            <w:rStyle w:val="TextoNormalCaracter"/>
          </w:rPr>
          <w:t>41/2016</w:t>
        </w:r>
      </w:hyperlink>
      <w:r>
        <w:t xml:space="preserve">, ff. 2, 3, 4, 6 a 9, 11 a 14; </w:t>
      </w:r>
      <w:hyperlink w:anchor="SENTENCIA_2016_70" w:history="1">
        <w:r w:rsidRPr="0057104C">
          <w:rPr>
            <w:rStyle w:val="TextoNormalCaracter"/>
          </w:rPr>
          <w:t>70/2016</w:t>
        </w:r>
      </w:hyperlink>
      <w:r>
        <w:t xml:space="preserve">, f. 1; </w:t>
      </w:r>
      <w:hyperlink w:anchor="SENTENCIA_2016_101" w:history="1">
        <w:r w:rsidRPr="0057104C">
          <w:rPr>
            <w:rStyle w:val="TextoNormalCaracter"/>
          </w:rPr>
          <w:t>101/2016</w:t>
        </w:r>
      </w:hyperlink>
      <w:r>
        <w:t xml:space="preserve">, f. 5, VP I, VP II; </w:t>
      </w:r>
      <w:hyperlink w:anchor="SENTENCIA_2016_111" w:history="1">
        <w:r w:rsidRPr="0057104C">
          <w:rPr>
            <w:rStyle w:val="TextoNormalCaracter"/>
          </w:rPr>
          <w:t>111/2016</w:t>
        </w:r>
      </w:hyperlink>
      <w:r>
        <w:t>, ff. 4 a 6, 8, 12, VP.</w:t>
      </w:r>
    </w:p>
    <w:p w:rsidR="0057104C" w:rsidRDefault="0057104C" w:rsidP="0057104C">
      <w:pPr>
        <w:pStyle w:val="SangriaFrancesaArticulo"/>
      </w:pPr>
      <w:r w:rsidRPr="0057104C">
        <w:rPr>
          <w:rStyle w:val="TextoNormalNegritaCaracter"/>
        </w:rPr>
        <w:t>Artículo 135.1.</w:t>
      </w:r>
      <w:r w:rsidRPr="0057104C">
        <w:rPr>
          <w:rStyle w:val="TextoNormalCaracter"/>
        </w:rPr>
        <w:t>-</w:t>
      </w:r>
      <w:r>
        <w:t xml:space="preserve"> Sentencias </w:t>
      </w:r>
      <w:hyperlink w:anchor="SENTENCIA_2016_18" w:history="1">
        <w:r w:rsidRPr="0057104C">
          <w:rPr>
            <w:rStyle w:val="TextoNormalCaracter"/>
          </w:rPr>
          <w:t>18/2016</w:t>
        </w:r>
      </w:hyperlink>
      <w:r>
        <w:t xml:space="preserve">, f. 6; </w:t>
      </w:r>
      <w:hyperlink w:anchor="SENTENCIA_2016_101" w:history="1">
        <w:r w:rsidRPr="0057104C">
          <w:rPr>
            <w:rStyle w:val="TextoNormalCaracter"/>
          </w:rPr>
          <w:t>101/2016</w:t>
        </w:r>
      </w:hyperlink>
      <w:r>
        <w:t>, f. 3.</w:t>
      </w:r>
    </w:p>
    <w:p w:rsidR="0057104C" w:rsidRDefault="0057104C" w:rsidP="0057104C">
      <w:pPr>
        <w:pStyle w:val="SangriaFrancesaArticulo"/>
      </w:pPr>
      <w:r w:rsidRPr="0057104C">
        <w:rPr>
          <w:rStyle w:val="TextoNormalNegritaCaracter"/>
        </w:rPr>
        <w:t>Artículo 135.2.</w:t>
      </w:r>
      <w:r w:rsidRPr="0057104C">
        <w:rPr>
          <w:rStyle w:val="TextoNormalCaracter"/>
        </w:rPr>
        <w:t>-</w:t>
      </w:r>
      <w:r>
        <w:t xml:space="preserve"> Sentencias </w:t>
      </w:r>
      <w:hyperlink w:anchor="SENTENCIA_2016_41" w:history="1">
        <w:r w:rsidRPr="0057104C">
          <w:rPr>
            <w:rStyle w:val="TextoNormalCaracter"/>
          </w:rPr>
          <w:t>41/2016</w:t>
        </w:r>
      </w:hyperlink>
      <w:r>
        <w:t xml:space="preserve">, f. 3; </w:t>
      </w:r>
      <w:hyperlink w:anchor="SENTENCIA_2016_111" w:history="1">
        <w:r w:rsidRPr="0057104C">
          <w:rPr>
            <w:rStyle w:val="TextoNormalCaracter"/>
          </w:rPr>
          <w:t>111/2016</w:t>
        </w:r>
      </w:hyperlink>
      <w:r>
        <w:t>, ff. 8, 12.</w:t>
      </w:r>
    </w:p>
    <w:p w:rsidR="0057104C" w:rsidRDefault="0057104C" w:rsidP="0057104C">
      <w:pPr>
        <w:pStyle w:val="SangriaFrancesaArticulo"/>
      </w:pPr>
      <w:r w:rsidRPr="0057104C">
        <w:rPr>
          <w:rStyle w:val="TextoNormalNegritaCaracter"/>
        </w:rPr>
        <w:t>Artículo 135.3.</w:t>
      </w:r>
      <w:r w:rsidRPr="0057104C">
        <w:rPr>
          <w:rStyle w:val="TextoNormalCaracter"/>
        </w:rPr>
        <w:t>-</w:t>
      </w:r>
      <w:r>
        <w:t xml:space="preserve"> Sentencia </w:t>
      </w:r>
      <w:hyperlink w:anchor="SENTENCIA_2016_101" w:history="1">
        <w:r w:rsidRPr="0057104C">
          <w:rPr>
            <w:rStyle w:val="TextoNormalCaracter"/>
          </w:rPr>
          <w:t>101/2016</w:t>
        </w:r>
      </w:hyperlink>
      <w:r>
        <w:t>, f. 12.</w:t>
      </w:r>
    </w:p>
    <w:p w:rsidR="0057104C" w:rsidRDefault="0057104C" w:rsidP="0057104C">
      <w:pPr>
        <w:pStyle w:val="SangriaFrancesaArticulo"/>
      </w:pPr>
      <w:r w:rsidRPr="0057104C">
        <w:rPr>
          <w:rStyle w:val="TextoNormalNegritaCaracter"/>
        </w:rPr>
        <w:t>Artículo 135.5.</w:t>
      </w:r>
      <w:r w:rsidRPr="0057104C">
        <w:rPr>
          <w:rStyle w:val="TextoNormalCaracter"/>
        </w:rPr>
        <w:t>-</w:t>
      </w:r>
      <w:r>
        <w:t xml:space="preserve"> Sentencias </w:t>
      </w:r>
      <w:hyperlink w:anchor="SENTENCIA_2016_41" w:history="1">
        <w:r w:rsidRPr="0057104C">
          <w:rPr>
            <w:rStyle w:val="TextoNormalCaracter"/>
          </w:rPr>
          <w:t>41/2016</w:t>
        </w:r>
      </w:hyperlink>
      <w:r>
        <w:t xml:space="preserve">, ff. 3, 15; </w:t>
      </w:r>
      <w:hyperlink w:anchor="SENTENCIA_2016_101" w:history="1">
        <w:r w:rsidRPr="0057104C">
          <w:rPr>
            <w:rStyle w:val="TextoNormalCaracter"/>
          </w:rPr>
          <w:t>101/2016</w:t>
        </w:r>
      </w:hyperlink>
      <w:r>
        <w:t xml:space="preserve">, ff. 1, 2, 10, VP II; </w:t>
      </w:r>
      <w:hyperlink w:anchor="SENTENCIA_2016_111" w:history="1">
        <w:r w:rsidRPr="0057104C">
          <w:rPr>
            <w:rStyle w:val="TextoNormalCaracter"/>
          </w:rPr>
          <w:t>111/2016</w:t>
        </w:r>
      </w:hyperlink>
      <w:r>
        <w:t>, ff. 1, 2, 4.</w:t>
      </w:r>
    </w:p>
    <w:p w:rsidR="0057104C" w:rsidRDefault="0057104C" w:rsidP="0057104C">
      <w:pPr>
        <w:pStyle w:val="SangriaFrancesaArticulo"/>
      </w:pPr>
      <w:r w:rsidRPr="0057104C">
        <w:rPr>
          <w:rStyle w:val="TextoNormalNegritaCaracter"/>
        </w:rPr>
        <w:t>Artículo 135.5 c).</w:t>
      </w:r>
      <w:r w:rsidRPr="0057104C">
        <w:rPr>
          <w:rStyle w:val="TextoNormalCaracter"/>
        </w:rPr>
        <w:t>-</w:t>
      </w:r>
      <w:r>
        <w:t xml:space="preserve"> Sentencia </w:t>
      </w:r>
      <w:hyperlink w:anchor="SENTENCIA_2016_101" w:history="1">
        <w:r w:rsidRPr="0057104C">
          <w:rPr>
            <w:rStyle w:val="TextoNormalCaracter"/>
          </w:rPr>
          <w:t>101/2016</w:t>
        </w:r>
      </w:hyperlink>
      <w:r>
        <w:t>, VP I.</w:t>
      </w:r>
    </w:p>
    <w:p w:rsidR="0057104C" w:rsidRDefault="0057104C" w:rsidP="0057104C">
      <w:pPr>
        <w:pStyle w:val="SangriaFrancesaArticulo"/>
      </w:pPr>
      <w:r w:rsidRPr="0057104C">
        <w:rPr>
          <w:rStyle w:val="TextoNormalNegritaCaracter"/>
        </w:rPr>
        <w:t>Artículo 135.6.</w:t>
      </w:r>
      <w:r w:rsidRPr="0057104C">
        <w:rPr>
          <w:rStyle w:val="TextoNormalCaracter"/>
        </w:rPr>
        <w:t>-</w:t>
      </w:r>
      <w:r>
        <w:t xml:space="preserve"> Sentencia </w:t>
      </w:r>
      <w:hyperlink w:anchor="SENTENCIA_2016_101" w:history="1">
        <w:r w:rsidRPr="0057104C">
          <w:rPr>
            <w:rStyle w:val="TextoNormalCaracter"/>
          </w:rPr>
          <w:t>101/2016</w:t>
        </w:r>
      </w:hyperlink>
      <w:r>
        <w:t>, ff. 5, 6.</w:t>
      </w:r>
    </w:p>
    <w:p w:rsidR="0057104C" w:rsidRDefault="0057104C" w:rsidP="0057104C">
      <w:pPr>
        <w:pStyle w:val="SangriaFrancesaArticulo"/>
      </w:pPr>
      <w:r w:rsidRPr="0057104C">
        <w:rPr>
          <w:rStyle w:val="TextoNormalNegritaCaracter"/>
        </w:rPr>
        <w:t>Artículo 136.</w:t>
      </w:r>
      <w:r w:rsidRPr="0057104C">
        <w:rPr>
          <w:rStyle w:val="TextoNormalCaracter"/>
        </w:rPr>
        <w:t>-</w:t>
      </w:r>
      <w:r>
        <w:t xml:space="preserve"> Sentencias </w:t>
      </w:r>
      <w:hyperlink w:anchor="SENTENCIA_2016_41" w:history="1">
        <w:r w:rsidRPr="0057104C">
          <w:rPr>
            <w:rStyle w:val="TextoNormalCaracter"/>
          </w:rPr>
          <w:t>41/2016</w:t>
        </w:r>
      </w:hyperlink>
      <w:r>
        <w:t xml:space="preserve">, f. 3; </w:t>
      </w:r>
      <w:hyperlink w:anchor="SENTENCIA_2016_111" w:history="1">
        <w:r w:rsidRPr="0057104C">
          <w:rPr>
            <w:rStyle w:val="TextoNormalCaracter"/>
          </w:rPr>
          <w:t>111/2016</w:t>
        </w:r>
      </w:hyperlink>
      <w:r>
        <w:t>, f. 5.</w:t>
      </w:r>
    </w:p>
    <w:p w:rsidR="0057104C" w:rsidRDefault="0057104C" w:rsidP="0057104C">
      <w:pPr>
        <w:pStyle w:val="SangriaFrancesaArticulo"/>
      </w:pPr>
      <w:r w:rsidRPr="0057104C">
        <w:rPr>
          <w:rStyle w:val="TextoNormalNegritaCaracter"/>
        </w:rPr>
        <w:t>Artículo 137.</w:t>
      </w:r>
      <w:r w:rsidRPr="0057104C">
        <w:rPr>
          <w:rStyle w:val="TextoNormalCaracter"/>
        </w:rPr>
        <w:t>-</w:t>
      </w:r>
      <w:r>
        <w:t xml:space="preserve"> Sentencias </w:t>
      </w:r>
      <w:hyperlink w:anchor="SENTENCIA_2016_6" w:history="1">
        <w:r w:rsidRPr="0057104C">
          <w:rPr>
            <w:rStyle w:val="TextoNormalCaracter"/>
          </w:rPr>
          <w:t>6/2016</w:t>
        </w:r>
      </w:hyperlink>
      <w:r>
        <w:t xml:space="preserve">, ff. 1, 4; </w:t>
      </w:r>
      <w:hyperlink w:anchor="SENTENCIA_2016_28" w:history="1">
        <w:r w:rsidRPr="0057104C">
          <w:rPr>
            <w:rStyle w:val="TextoNormalCaracter"/>
          </w:rPr>
          <w:t>28/2016</w:t>
        </w:r>
      </w:hyperlink>
      <w:r>
        <w:t xml:space="preserve">, f.1; </w:t>
      </w:r>
      <w:hyperlink w:anchor="SENTENCIA_2016_31" w:history="1">
        <w:r w:rsidRPr="0057104C">
          <w:rPr>
            <w:rStyle w:val="TextoNormalCaracter"/>
          </w:rPr>
          <w:t>31/2016</w:t>
        </w:r>
      </w:hyperlink>
      <w:r>
        <w:t xml:space="preserve">, f. 4; </w:t>
      </w:r>
      <w:hyperlink w:anchor="SENTENCIA_2016_40" w:history="1">
        <w:r w:rsidRPr="0057104C">
          <w:rPr>
            <w:rStyle w:val="TextoNormalCaracter"/>
          </w:rPr>
          <w:t>40/2016</w:t>
        </w:r>
      </w:hyperlink>
      <w:r>
        <w:t xml:space="preserve">, ff. 1, 4; </w:t>
      </w:r>
      <w:hyperlink w:anchor="SENTENCIA_2016_41" w:history="1">
        <w:r w:rsidRPr="0057104C">
          <w:rPr>
            <w:rStyle w:val="TextoNormalCaracter"/>
          </w:rPr>
          <w:t>41/2016</w:t>
        </w:r>
      </w:hyperlink>
      <w:r>
        <w:t xml:space="preserve">, ff. 1, 3 a 13; </w:t>
      </w:r>
      <w:hyperlink w:anchor="SENTENCIA_2016_74" w:history="1">
        <w:r w:rsidRPr="0057104C">
          <w:rPr>
            <w:rStyle w:val="TextoNormalCaracter"/>
          </w:rPr>
          <w:t>74/2016</w:t>
        </w:r>
      </w:hyperlink>
      <w:r>
        <w:t xml:space="preserve">, VP; </w:t>
      </w:r>
      <w:hyperlink w:anchor="SENTENCIA_2016_96" w:history="1">
        <w:r w:rsidRPr="0057104C">
          <w:rPr>
            <w:rStyle w:val="TextoNormalCaracter"/>
          </w:rPr>
          <w:t>96/2016</w:t>
        </w:r>
      </w:hyperlink>
      <w:r>
        <w:t xml:space="preserve">, f. 4; </w:t>
      </w:r>
      <w:hyperlink w:anchor="SENTENCIA_2016_101" w:history="1">
        <w:r w:rsidRPr="0057104C">
          <w:rPr>
            <w:rStyle w:val="TextoNormalCaracter"/>
          </w:rPr>
          <w:t>101/2016</w:t>
        </w:r>
      </w:hyperlink>
      <w:r>
        <w:t xml:space="preserve">, ff. 1, 4, 6, 8, VP III; </w:t>
      </w:r>
      <w:hyperlink w:anchor="SENTENCIA_2016_111" w:history="1">
        <w:r w:rsidRPr="0057104C">
          <w:rPr>
            <w:rStyle w:val="TextoNormalCaracter"/>
          </w:rPr>
          <w:t>111/2016</w:t>
        </w:r>
      </w:hyperlink>
      <w:r>
        <w:t xml:space="preserve">, ff. 1, 2, 5, 8 a 12; </w:t>
      </w:r>
      <w:hyperlink w:anchor="SENTENCIA_2016_118" w:history="1">
        <w:r w:rsidRPr="0057104C">
          <w:rPr>
            <w:rStyle w:val="TextoNormalCaracter"/>
          </w:rPr>
          <w:t>118/2016</w:t>
        </w:r>
      </w:hyperlink>
      <w:r>
        <w:t>, ff. 2 a 4.</w:t>
      </w:r>
    </w:p>
    <w:p w:rsidR="0057104C" w:rsidRDefault="0057104C" w:rsidP="0057104C">
      <w:pPr>
        <w:pStyle w:val="SangriaIzquierdaArticulo"/>
      </w:pPr>
      <w:r>
        <w:t xml:space="preserve">Autos </w:t>
      </w:r>
      <w:hyperlink w:anchor="AUTO_2016_84" w:history="1">
        <w:r w:rsidRPr="0057104C">
          <w:rPr>
            <w:rStyle w:val="TextoNormalCaracter"/>
          </w:rPr>
          <w:t>84/2016</w:t>
        </w:r>
      </w:hyperlink>
      <w:r>
        <w:t xml:space="preserve">, ff. 1, 5; </w:t>
      </w:r>
      <w:hyperlink w:anchor="AUTO_2016_101" w:history="1">
        <w:r w:rsidRPr="0057104C">
          <w:rPr>
            <w:rStyle w:val="TextoNormalCaracter"/>
          </w:rPr>
          <w:t>101/2016</w:t>
        </w:r>
      </w:hyperlink>
      <w:r>
        <w:t xml:space="preserve">, ff. 1, 4; </w:t>
      </w:r>
      <w:hyperlink w:anchor="AUTO_2016_102" w:history="1">
        <w:r w:rsidRPr="0057104C">
          <w:rPr>
            <w:rStyle w:val="TextoNormalCaracter"/>
          </w:rPr>
          <w:t>102/2016</w:t>
        </w:r>
      </w:hyperlink>
      <w:r>
        <w:t xml:space="preserve">, ff. 1, 4; </w:t>
      </w:r>
      <w:hyperlink w:anchor="AUTO_2016_103" w:history="1">
        <w:r w:rsidRPr="0057104C">
          <w:rPr>
            <w:rStyle w:val="TextoNormalCaracter"/>
          </w:rPr>
          <w:t>103/2016</w:t>
        </w:r>
      </w:hyperlink>
      <w:r>
        <w:t xml:space="preserve">, ff. 1, 5; </w:t>
      </w:r>
      <w:hyperlink w:anchor="AUTO_2016_132" w:history="1">
        <w:r w:rsidRPr="0057104C">
          <w:rPr>
            <w:rStyle w:val="TextoNormalCaracter"/>
          </w:rPr>
          <w:t>132/2016</w:t>
        </w:r>
      </w:hyperlink>
      <w:r>
        <w:t>, f. 6.</w:t>
      </w:r>
    </w:p>
    <w:p w:rsidR="0057104C" w:rsidRDefault="0057104C" w:rsidP="0057104C">
      <w:pPr>
        <w:pStyle w:val="SangriaFrancesaArticulo"/>
      </w:pPr>
      <w:r w:rsidRPr="0057104C">
        <w:rPr>
          <w:rStyle w:val="TextoNormalNegritaCaracter"/>
        </w:rPr>
        <w:t>Artículo 138.</w:t>
      </w:r>
      <w:r w:rsidRPr="0057104C">
        <w:rPr>
          <w:rStyle w:val="TextoNormalCaracter"/>
        </w:rPr>
        <w:t>-</w:t>
      </w:r>
      <w:r>
        <w:t xml:space="preserve"> Sentencias </w:t>
      </w:r>
      <w:hyperlink w:anchor="SENTENCIA_2016_96" w:history="1">
        <w:r w:rsidRPr="0057104C">
          <w:rPr>
            <w:rStyle w:val="TextoNormalCaracter"/>
          </w:rPr>
          <w:t>96/2016</w:t>
        </w:r>
      </w:hyperlink>
      <w:r>
        <w:t xml:space="preserve">, f. 4; </w:t>
      </w:r>
      <w:hyperlink w:anchor="SENTENCIA_2016_101" w:history="1">
        <w:r w:rsidRPr="0057104C">
          <w:rPr>
            <w:rStyle w:val="TextoNormalCaracter"/>
          </w:rPr>
          <w:t>101/2016</w:t>
        </w:r>
      </w:hyperlink>
      <w:r>
        <w:t>, f. 6.</w:t>
      </w:r>
    </w:p>
    <w:p w:rsidR="0057104C" w:rsidRDefault="0057104C" w:rsidP="0057104C">
      <w:pPr>
        <w:pStyle w:val="SangriaFrancesaArticulo"/>
      </w:pPr>
      <w:r w:rsidRPr="0057104C">
        <w:rPr>
          <w:rStyle w:val="TextoNormalNegritaCaracter"/>
        </w:rPr>
        <w:t>Artículo 138.1.</w:t>
      </w:r>
      <w:r w:rsidRPr="0057104C">
        <w:rPr>
          <w:rStyle w:val="TextoNormalCaracter"/>
        </w:rPr>
        <w:t>-</w:t>
      </w:r>
      <w:r>
        <w:t xml:space="preserve"> Sentencias </w:t>
      </w:r>
      <w:hyperlink w:anchor="SENTENCIA_2016_18" w:history="1">
        <w:r w:rsidRPr="0057104C">
          <w:rPr>
            <w:rStyle w:val="TextoNormalCaracter"/>
          </w:rPr>
          <w:t>18/2016</w:t>
        </w:r>
      </w:hyperlink>
      <w:r>
        <w:t xml:space="preserve">, f. 6;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138.2.</w:t>
      </w:r>
      <w:r w:rsidRPr="0057104C">
        <w:rPr>
          <w:rStyle w:val="TextoNormalCaracter"/>
        </w:rPr>
        <w:t>-</w:t>
      </w:r>
      <w:r>
        <w:t xml:space="preserve"> Sentencia </w:t>
      </w:r>
      <w:hyperlink w:anchor="SENTENCIA_2016_118" w:history="1">
        <w:r w:rsidRPr="0057104C">
          <w:rPr>
            <w:rStyle w:val="TextoNormalCaracter"/>
          </w:rPr>
          <w:t>118/2016</w:t>
        </w:r>
      </w:hyperlink>
      <w:r>
        <w:t>, ff. 3, 4.</w:t>
      </w:r>
    </w:p>
    <w:p w:rsidR="0057104C" w:rsidRDefault="0057104C" w:rsidP="0057104C">
      <w:pPr>
        <w:pStyle w:val="SangriaFrancesaArticulo"/>
      </w:pPr>
      <w:r w:rsidRPr="0057104C">
        <w:rPr>
          <w:rStyle w:val="TextoNormalNegritaCaracter"/>
        </w:rPr>
        <w:t>Artículo 139.1.</w:t>
      </w:r>
      <w:r w:rsidRPr="0057104C">
        <w:rPr>
          <w:rStyle w:val="TextoNormalCaracter"/>
        </w:rPr>
        <w:t>-</w:t>
      </w:r>
      <w:r>
        <w:t xml:space="preserve"> Sentencias </w:t>
      </w:r>
      <w:hyperlink w:anchor="SENTENCIA_2016_62" w:history="1">
        <w:r w:rsidRPr="0057104C">
          <w:rPr>
            <w:rStyle w:val="TextoNormalCaracter"/>
          </w:rPr>
          <w:t>62/2016</w:t>
        </w:r>
      </w:hyperlink>
      <w:r>
        <w:t xml:space="preserve">, VPI; </w:t>
      </w:r>
      <w:hyperlink w:anchor="SENTENCIA_2016_82" w:history="1">
        <w:r w:rsidRPr="0057104C">
          <w:rPr>
            <w:rStyle w:val="TextoNormalCaracter"/>
          </w:rPr>
          <w:t>82/2016</w:t>
        </w:r>
      </w:hyperlink>
      <w:r>
        <w:t xml:space="preserve">, f. 4; </w:t>
      </w:r>
      <w:hyperlink w:anchor="SENTENCIA_2016_110" w:history="1">
        <w:r w:rsidRPr="0057104C">
          <w:rPr>
            <w:rStyle w:val="TextoNormalCaracter"/>
          </w:rPr>
          <w:t>110/2016</w:t>
        </w:r>
      </w:hyperlink>
      <w:r>
        <w:t xml:space="preserve">, f. 5; </w:t>
      </w:r>
      <w:hyperlink w:anchor="SENTENCIA_2016_118" w:history="1">
        <w:r w:rsidRPr="0057104C">
          <w:rPr>
            <w:rStyle w:val="TextoNormalCaracter"/>
          </w:rPr>
          <w:t>118/2016</w:t>
        </w:r>
      </w:hyperlink>
      <w:r>
        <w:t>, ff. 2, 3, 4.</w:t>
      </w:r>
    </w:p>
    <w:p w:rsidR="0057104C" w:rsidRDefault="0057104C" w:rsidP="0057104C">
      <w:pPr>
        <w:pStyle w:val="SangriaFrancesaArticulo"/>
      </w:pPr>
      <w:r w:rsidRPr="0057104C">
        <w:rPr>
          <w:rStyle w:val="TextoNormalNegritaCaracter"/>
        </w:rPr>
        <w:t>Artículo 139.2.</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140.</w:t>
      </w:r>
      <w:r w:rsidRPr="0057104C">
        <w:rPr>
          <w:rStyle w:val="TextoNormalCaracter"/>
        </w:rPr>
        <w:t>-</w:t>
      </w:r>
      <w:r>
        <w:t xml:space="preserve"> Sentencias </w:t>
      </w:r>
      <w:hyperlink w:anchor="SENTENCIA_2016_6" w:history="1">
        <w:r w:rsidRPr="0057104C">
          <w:rPr>
            <w:rStyle w:val="TextoNormalCaracter"/>
          </w:rPr>
          <w:t>6/2016</w:t>
        </w:r>
      </w:hyperlink>
      <w:r>
        <w:t xml:space="preserve">, ff. 1, 4; </w:t>
      </w:r>
      <w:hyperlink w:anchor="SENTENCIA_2016_28" w:history="1">
        <w:r w:rsidRPr="0057104C">
          <w:rPr>
            <w:rStyle w:val="TextoNormalCaracter"/>
          </w:rPr>
          <w:t>28/2016</w:t>
        </w:r>
      </w:hyperlink>
      <w:r>
        <w:t xml:space="preserve">, f. 1; </w:t>
      </w:r>
      <w:hyperlink w:anchor="SENTENCIA_2016_40" w:history="1">
        <w:r w:rsidRPr="0057104C">
          <w:rPr>
            <w:rStyle w:val="TextoNormalCaracter"/>
          </w:rPr>
          <w:t>40/2016</w:t>
        </w:r>
      </w:hyperlink>
      <w:r>
        <w:t xml:space="preserve">, ff. 1, 4; </w:t>
      </w:r>
      <w:hyperlink w:anchor="SENTENCIA_2016_41" w:history="1">
        <w:r w:rsidRPr="0057104C">
          <w:rPr>
            <w:rStyle w:val="TextoNormalCaracter"/>
          </w:rPr>
          <w:t>41/2016</w:t>
        </w:r>
      </w:hyperlink>
      <w:r>
        <w:t xml:space="preserve">, ff. 3 a 5, 7 a 13; </w:t>
      </w:r>
      <w:hyperlink w:anchor="SENTENCIA_2016_111" w:history="1">
        <w:r w:rsidRPr="0057104C">
          <w:rPr>
            <w:rStyle w:val="TextoNormalCaracter"/>
          </w:rPr>
          <w:t>111/2016</w:t>
        </w:r>
      </w:hyperlink>
      <w:r>
        <w:t xml:space="preserve">, ff. 1, 2, 5, 8 a 12; </w:t>
      </w:r>
      <w:hyperlink w:anchor="SENTENCIA_2016_118" w:history="1">
        <w:r w:rsidRPr="0057104C">
          <w:rPr>
            <w:rStyle w:val="TextoNormalCaracter"/>
          </w:rPr>
          <w:t>118/2016</w:t>
        </w:r>
      </w:hyperlink>
      <w:r>
        <w:t>, f. 4.</w:t>
      </w:r>
    </w:p>
    <w:p w:rsidR="0057104C" w:rsidRDefault="0057104C" w:rsidP="0057104C">
      <w:pPr>
        <w:pStyle w:val="SangriaIzquierdaArticulo"/>
      </w:pPr>
      <w:r>
        <w:t xml:space="preserve">Autos </w:t>
      </w:r>
      <w:hyperlink w:anchor="AUTO_2016_84" w:history="1">
        <w:r w:rsidRPr="0057104C">
          <w:rPr>
            <w:rStyle w:val="TextoNormalCaracter"/>
          </w:rPr>
          <w:t>84/2016</w:t>
        </w:r>
      </w:hyperlink>
      <w:r>
        <w:t xml:space="preserve">, ff. 1, 5; </w:t>
      </w:r>
      <w:hyperlink w:anchor="AUTO_2016_101" w:history="1">
        <w:r w:rsidRPr="0057104C">
          <w:rPr>
            <w:rStyle w:val="TextoNormalCaracter"/>
          </w:rPr>
          <w:t>101/2016</w:t>
        </w:r>
      </w:hyperlink>
      <w:r>
        <w:t xml:space="preserve">, ff. 1, 4; </w:t>
      </w:r>
      <w:hyperlink w:anchor="AUTO_2016_102" w:history="1">
        <w:r w:rsidRPr="0057104C">
          <w:rPr>
            <w:rStyle w:val="TextoNormalCaracter"/>
          </w:rPr>
          <w:t>102/2016</w:t>
        </w:r>
      </w:hyperlink>
      <w:r>
        <w:t xml:space="preserve">, ff. 1, 4; </w:t>
      </w:r>
      <w:hyperlink w:anchor="AUTO_2016_103" w:history="1">
        <w:r w:rsidRPr="0057104C">
          <w:rPr>
            <w:rStyle w:val="TextoNormalCaracter"/>
          </w:rPr>
          <w:t>103/2016</w:t>
        </w:r>
      </w:hyperlink>
      <w:r>
        <w:t xml:space="preserve">, ff. 1, 5; </w:t>
      </w:r>
      <w:hyperlink w:anchor="AUTO_2016_132" w:history="1">
        <w:r w:rsidRPr="0057104C">
          <w:rPr>
            <w:rStyle w:val="TextoNormalCaracter"/>
          </w:rPr>
          <w:t>132/2016</w:t>
        </w:r>
      </w:hyperlink>
      <w:r>
        <w:t>, ff. 1, 6.</w:t>
      </w:r>
    </w:p>
    <w:p w:rsidR="0057104C" w:rsidRDefault="0057104C" w:rsidP="0057104C">
      <w:pPr>
        <w:pStyle w:val="SangriaFrancesaArticulo"/>
      </w:pPr>
      <w:r w:rsidRPr="0057104C">
        <w:rPr>
          <w:rStyle w:val="TextoNormalNegritaCaracter"/>
        </w:rPr>
        <w:t>Artículo 141.</w:t>
      </w:r>
      <w:r w:rsidRPr="0057104C">
        <w:rPr>
          <w:rStyle w:val="TextoNormalCaracter"/>
        </w:rPr>
        <w:t>-</w:t>
      </w:r>
      <w:r>
        <w:t xml:space="preserve"> Sentencias </w:t>
      </w:r>
      <w:hyperlink w:anchor="SENTENCIA_2016_41" w:history="1">
        <w:r w:rsidRPr="0057104C">
          <w:rPr>
            <w:rStyle w:val="TextoNormalCaracter"/>
          </w:rPr>
          <w:t>41/2016</w:t>
        </w:r>
      </w:hyperlink>
      <w:r>
        <w:t xml:space="preserve">, ff. 3, 4, 9, 11 a 13; </w:t>
      </w:r>
      <w:hyperlink w:anchor="SENTENCIA_2016_111" w:history="1">
        <w:r w:rsidRPr="0057104C">
          <w:rPr>
            <w:rStyle w:val="TextoNormalCaracter"/>
          </w:rPr>
          <w:t>111/2016</w:t>
        </w:r>
      </w:hyperlink>
      <w:r>
        <w:t>, ff. 1, 2, 5, 8, 9, 12.</w:t>
      </w:r>
    </w:p>
    <w:p w:rsidR="0057104C" w:rsidRDefault="0057104C" w:rsidP="0057104C">
      <w:pPr>
        <w:pStyle w:val="SangriaIzquierdaArticulo"/>
      </w:pPr>
      <w:r>
        <w:t xml:space="preserve">Autos </w:t>
      </w:r>
      <w:hyperlink w:anchor="AUTO_2016_84" w:history="1">
        <w:r w:rsidRPr="0057104C">
          <w:rPr>
            <w:rStyle w:val="TextoNormalCaracter"/>
          </w:rPr>
          <w:t>84/2016</w:t>
        </w:r>
      </w:hyperlink>
      <w:r>
        <w:t xml:space="preserve">, f. 5; </w:t>
      </w:r>
      <w:hyperlink w:anchor="AUTO_2016_103" w:history="1">
        <w:r w:rsidRPr="0057104C">
          <w:rPr>
            <w:rStyle w:val="TextoNormalCaracter"/>
          </w:rPr>
          <w:t>103/2016</w:t>
        </w:r>
      </w:hyperlink>
      <w:r>
        <w:t xml:space="preserve">, f. 5; </w:t>
      </w:r>
      <w:hyperlink w:anchor="AUTO_2016_132" w:history="1">
        <w:r w:rsidRPr="0057104C">
          <w:rPr>
            <w:rStyle w:val="TextoNormalCaracter"/>
          </w:rPr>
          <w:t>132/2016</w:t>
        </w:r>
      </w:hyperlink>
      <w:r>
        <w:t>, f. 6.</w:t>
      </w:r>
    </w:p>
    <w:p w:rsidR="0057104C" w:rsidRDefault="0057104C" w:rsidP="0057104C">
      <w:pPr>
        <w:pStyle w:val="SangriaFrancesaArticulo"/>
      </w:pPr>
      <w:r w:rsidRPr="0057104C">
        <w:rPr>
          <w:rStyle w:val="TextoNormalNegritaCaracter"/>
        </w:rPr>
        <w:t>Artículo 141.1.</w:t>
      </w:r>
      <w:r w:rsidRPr="0057104C">
        <w:rPr>
          <w:rStyle w:val="TextoNormalCaracter"/>
        </w:rPr>
        <w:t>-</w:t>
      </w:r>
      <w:r>
        <w:t xml:space="preserve"> Sentencias </w:t>
      </w:r>
      <w:hyperlink w:anchor="SENTENCIA_2016_41" w:history="1">
        <w:r w:rsidRPr="0057104C">
          <w:rPr>
            <w:rStyle w:val="TextoNormalCaracter"/>
          </w:rPr>
          <w:t>41/2016</w:t>
        </w:r>
      </w:hyperlink>
      <w:r>
        <w:t xml:space="preserve">, f. 5; </w:t>
      </w:r>
      <w:hyperlink w:anchor="SENTENCIA_2016_87" w:history="1">
        <w:r w:rsidRPr="0057104C">
          <w:rPr>
            <w:rStyle w:val="TextoNormalCaracter"/>
          </w:rPr>
          <w:t>87/2016</w:t>
        </w:r>
      </w:hyperlink>
      <w:r>
        <w:t xml:space="preserve">, f. 7; </w:t>
      </w:r>
      <w:hyperlink w:anchor="SENTENCIA_2016_111" w:history="1">
        <w:r w:rsidRPr="0057104C">
          <w:rPr>
            <w:rStyle w:val="TextoNormalCaracter"/>
          </w:rPr>
          <w:t>111/2016</w:t>
        </w:r>
      </w:hyperlink>
      <w:r>
        <w:t xml:space="preserve">, ff. 8, 9, 11, 12; </w:t>
      </w:r>
      <w:hyperlink w:anchor="SENTENCIA_2016_118" w:history="1">
        <w:r w:rsidRPr="0057104C">
          <w:rPr>
            <w:rStyle w:val="TextoNormalCaracter"/>
          </w:rPr>
          <w:t>118/2016</w:t>
        </w:r>
      </w:hyperlink>
      <w:r>
        <w:t>, ff. 2, 4.</w:t>
      </w:r>
    </w:p>
    <w:p w:rsidR="0057104C" w:rsidRDefault="0057104C" w:rsidP="0057104C">
      <w:pPr>
        <w:pStyle w:val="SangriaFrancesaArticulo"/>
      </w:pPr>
      <w:r w:rsidRPr="0057104C">
        <w:rPr>
          <w:rStyle w:val="TextoNormalNegritaCaracter"/>
        </w:rPr>
        <w:t>Artículo 141.2.</w:t>
      </w:r>
      <w:r w:rsidRPr="0057104C">
        <w:rPr>
          <w:rStyle w:val="TextoNormalCaracter"/>
        </w:rPr>
        <w:t>-</w:t>
      </w:r>
      <w:r>
        <w:t xml:space="preserve"> Sentencias </w:t>
      </w:r>
      <w:hyperlink w:anchor="SENTENCIA_2016_6" w:history="1">
        <w:r w:rsidRPr="0057104C">
          <w:rPr>
            <w:rStyle w:val="TextoNormalCaracter"/>
          </w:rPr>
          <w:t>6/2016</w:t>
        </w:r>
      </w:hyperlink>
      <w:r>
        <w:t xml:space="preserve">, f. 4; </w:t>
      </w:r>
      <w:hyperlink w:anchor="SENTENCIA_2016_41" w:history="1">
        <w:r w:rsidRPr="0057104C">
          <w:rPr>
            <w:rStyle w:val="TextoNormalCaracter"/>
          </w:rPr>
          <w:t>41/2016</w:t>
        </w:r>
      </w:hyperlink>
      <w:r>
        <w:t xml:space="preserve">, ff. 3, 5; </w:t>
      </w:r>
      <w:hyperlink w:anchor="SENTENCIA_2016_111" w:history="1">
        <w:r w:rsidRPr="0057104C">
          <w:rPr>
            <w:rStyle w:val="TextoNormalCaracter"/>
          </w:rPr>
          <w:t>111/2016</w:t>
        </w:r>
      </w:hyperlink>
      <w:r>
        <w:t>, ff. 8, 9.</w:t>
      </w:r>
    </w:p>
    <w:p w:rsidR="0057104C" w:rsidRDefault="0057104C" w:rsidP="0057104C">
      <w:pPr>
        <w:pStyle w:val="SangriaFrancesaArticulo"/>
      </w:pPr>
      <w:r w:rsidRPr="0057104C">
        <w:rPr>
          <w:rStyle w:val="TextoNormalNegritaCaracter"/>
        </w:rPr>
        <w:t>Artículo 141.4.</w:t>
      </w:r>
      <w:r w:rsidRPr="0057104C">
        <w:rPr>
          <w:rStyle w:val="TextoNormalCaracter"/>
        </w:rPr>
        <w:t>-</w:t>
      </w:r>
      <w:r>
        <w:t xml:space="preserve"> Sentencia </w:t>
      </w:r>
      <w:hyperlink w:anchor="SENTENCIA_2016_41" w:history="1">
        <w:r w:rsidRPr="0057104C">
          <w:rPr>
            <w:rStyle w:val="TextoNormalCaracter"/>
          </w:rPr>
          <w:t>41/2016</w:t>
        </w:r>
      </w:hyperlink>
      <w:r>
        <w:t>, ff. 3, 5.</w:t>
      </w:r>
    </w:p>
    <w:p w:rsidR="0057104C" w:rsidRDefault="0057104C" w:rsidP="0057104C">
      <w:pPr>
        <w:pStyle w:val="SangriaFrancesaArticulo"/>
      </w:pPr>
      <w:r w:rsidRPr="0057104C">
        <w:rPr>
          <w:rStyle w:val="TextoNormalNegritaCaracter"/>
        </w:rPr>
        <w:t>Artículo 142.</w:t>
      </w:r>
      <w:r w:rsidRPr="0057104C">
        <w:rPr>
          <w:rStyle w:val="TextoNormalCaracter"/>
        </w:rPr>
        <w:t>-</w:t>
      </w:r>
      <w:r>
        <w:t xml:space="preserve"> Sentencias </w:t>
      </w:r>
      <w:hyperlink w:anchor="SENTENCIA_2016_41" w:history="1">
        <w:r w:rsidRPr="0057104C">
          <w:rPr>
            <w:rStyle w:val="TextoNormalCaracter"/>
          </w:rPr>
          <w:t>41/2016</w:t>
        </w:r>
      </w:hyperlink>
      <w:r>
        <w:t xml:space="preserve">, ff. 3, 6, 11, 16;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143.</w:t>
      </w:r>
      <w:r w:rsidRPr="0057104C">
        <w:rPr>
          <w:rStyle w:val="TextoNormalCaracter"/>
        </w:rPr>
        <w:t>-</w:t>
      </w:r>
      <w:r>
        <w:t xml:space="preserve"> Sentencia </w:t>
      </w:r>
      <w:hyperlink w:anchor="SENTENCIA_2016_82" w:history="1">
        <w:r w:rsidRPr="0057104C">
          <w:rPr>
            <w:rStyle w:val="TextoNormalCaracter"/>
          </w:rPr>
          <w:t>82/2016</w:t>
        </w:r>
      </w:hyperlink>
      <w:r>
        <w:t>, f. 3.</w:t>
      </w:r>
    </w:p>
    <w:p w:rsidR="0057104C" w:rsidRDefault="0057104C" w:rsidP="0057104C">
      <w:pPr>
        <w:pStyle w:val="SangriaFrancesaArticulo"/>
      </w:pPr>
      <w:r w:rsidRPr="0057104C">
        <w:rPr>
          <w:rStyle w:val="TextoNormalNegritaCaracter"/>
        </w:rPr>
        <w:t>Artículo 143.1.</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r w:rsidRPr="0057104C">
        <w:rPr>
          <w:rStyle w:val="TextoNormalNegritaCaracter"/>
        </w:rPr>
        <w:t>Artículo 147.</w:t>
      </w:r>
      <w:r w:rsidRPr="0057104C">
        <w:rPr>
          <w:rStyle w:val="TextoNormalCaracter"/>
        </w:rPr>
        <w:t>-</w:t>
      </w:r>
      <w:r>
        <w:t xml:space="preserve"> Sentencia </w:t>
      </w:r>
      <w:hyperlink w:anchor="SENTENCIA_2016_38" w:history="1">
        <w:r w:rsidRPr="0057104C">
          <w:rPr>
            <w:rStyle w:val="TextoNormalCaracter"/>
          </w:rPr>
          <w:t>38/2016</w:t>
        </w:r>
      </w:hyperlink>
      <w:r>
        <w:t>, f. 2.</w:t>
      </w:r>
    </w:p>
    <w:p w:rsidR="0057104C" w:rsidRDefault="0057104C" w:rsidP="0057104C">
      <w:pPr>
        <w:pStyle w:val="SangriaFrancesaArticulo"/>
      </w:pPr>
      <w:r w:rsidRPr="0057104C">
        <w:rPr>
          <w:rStyle w:val="TextoNormalNegritaCaracter"/>
        </w:rPr>
        <w:t>Artículo 147.1.</w:t>
      </w:r>
      <w:r w:rsidRPr="0057104C">
        <w:rPr>
          <w:rStyle w:val="TextoNormalCaracter"/>
        </w:rPr>
        <w:t>-</w:t>
      </w:r>
      <w:r>
        <w:t xml:space="preserve"> Sentencias </w:t>
      </w:r>
      <w:hyperlink w:anchor="SENTENCIA_2016_41" w:history="1">
        <w:r w:rsidRPr="0057104C">
          <w:rPr>
            <w:rStyle w:val="TextoNormalCaracter"/>
          </w:rPr>
          <w:t>41/2016</w:t>
        </w:r>
      </w:hyperlink>
      <w:r>
        <w:t xml:space="preserve">, ff. 3, 12; </w:t>
      </w:r>
      <w:hyperlink w:anchor="SENTENCIA_2016_56" w:history="1">
        <w:r w:rsidRPr="0057104C">
          <w:rPr>
            <w:rStyle w:val="TextoNormalCaracter"/>
          </w:rPr>
          <w:t>56/2016</w:t>
        </w:r>
      </w:hyperlink>
      <w:r>
        <w:t>, f. 4.</w:t>
      </w:r>
    </w:p>
    <w:p w:rsidR="0057104C" w:rsidRDefault="0057104C" w:rsidP="0057104C">
      <w:pPr>
        <w:pStyle w:val="SangriaFrancesaArticulo"/>
      </w:pPr>
      <w:r w:rsidRPr="0057104C">
        <w:rPr>
          <w:rStyle w:val="TextoNormalNegritaCaracter"/>
        </w:rPr>
        <w:t>Artículo 147.2.</w:t>
      </w:r>
      <w:r w:rsidRPr="0057104C">
        <w:rPr>
          <w:rStyle w:val="TextoNormalCaracter"/>
        </w:rPr>
        <w:t>-</w:t>
      </w:r>
      <w:r>
        <w:t xml:space="preserve"> Sentencia </w:t>
      </w:r>
      <w:hyperlink w:anchor="SENTENCIA_2016_18" w:history="1">
        <w:r w:rsidRPr="0057104C">
          <w:rPr>
            <w:rStyle w:val="TextoNormalCaracter"/>
          </w:rPr>
          <w:t>18/2016</w:t>
        </w:r>
      </w:hyperlink>
      <w:r>
        <w:t>, f. 6.</w:t>
      </w:r>
    </w:p>
    <w:p w:rsidR="0057104C" w:rsidRDefault="0057104C" w:rsidP="0057104C">
      <w:pPr>
        <w:pStyle w:val="SangriaFrancesaArticulo"/>
      </w:pPr>
      <w:r w:rsidRPr="0057104C">
        <w:rPr>
          <w:rStyle w:val="TextoNormalNegritaCaracter"/>
        </w:rPr>
        <w:t>Artículo 147.2 d).</w:t>
      </w:r>
      <w:r w:rsidRPr="0057104C">
        <w:rPr>
          <w:rStyle w:val="TextoNormalCaracter"/>
        </w:rPr>
        <w:t>-</w:t>
      </w:r>
      <w:r>
        <w:t xml:space="preserve"> Sentencias </w:t>
      </w:r>
      <w:hyperlink w:anchor="SENTENCIA_2016_41" w:history="1">
        <w:r w:rsidRPr="0057104C">
          <w:rPr>
            <w:rStyle w:val="TextoNormalCaracter"/>
          </w:rPr>
          <w:t>41/2016</w:t>
        </w:r>
      </w:hyperlink>
      <w:r>
        <w:t xml:space="preserve">, f. 1; </w:t>
      </w:r>
      <w:hyperlink w:anchor="SENTENCIA_2016_82" w:history="1">
        <w:r w:rsidRPr="0057104C">
          <w:rPr>
            <w:rStyle w:val="TextoNormalCaracter"/>
          </w:rPr>
          <w:t>82/2016</w:t>
        </w:r>
      </w:hyperlink>
      <w:r>
        <w:t>, f. 3.</w:t>
      </w:r>
    </w:p>
    <w:p w:rsidR="0057104C" w:rsidRDefault="0057104C" w:rsidP="0057104C">
      <w:pPr>
        <w:pStyle w:val="SangriaFrancesaArticulo"/>
      </w:pPr>
      <w:r w:rsidRPr="0057104C">
        <w:rPr>
          <w:rStyle w:val="TextoNormalNegritaCaracter"/>
        </w:rPr>
        <w:t>Artículo 148.</w:t>
      </w:r>
      <w:r w:rsidRPr="0057104C">
        <w:rPr>
          <w:rStyle w:val="TextoNormalCaracter"/>
        </w:rPr>
        <w:t>-</w:t>
      </w:r>
      <w:r>
        <w:t xml:space="preserve"> Sentencias </w:t>
      </w:r>
      <w:hyperlink w:anchor="SENTENCIA_2016_74" w:history="1">
        <w:r w:rsidRPr="0057104C">
          <w:rPr>
            <w:rStyle w:val="TextoNormalCaracter"/>
          </w:rPr>
          <w:t>74/2016</w:t>
        </w:r>
      </w:hyperlink>
      <w:r>
        <w:t xml:space="preserve">, VP; </w:t>
      </w:r>
      <w:hyperlink w:anchor="SENTENCIA_2016_82" w:history="1">
        <w:r w:rsidRPr="0057104C">
          <w:rPr>
            <w:rStyle w:val="TextoNormalCaracter"/>
          </w:rPr>
          <w:t>82/2016</w:t>
        </w:r>
      </w:hyperlink>
      <w:r>
        <w:t xml:space="preserve">, f. 3; </w:t>
      </w:r>
      <w:hyperlink w:anchor="SENTENCIA_2016_87" w:history="1">
        <w:r w:rsidRPr="0057104C">
          <w:rPr>
            <w:rStyle w:val="TextoNormalCaracter"/>
          </w:rPr>
          <w:t>87/2016</w:t>
        </w:r>
      </w:hyperlink>
      <w:r>
        <w:t>, f. 5.</w:t>
      </w:r>
    </w:p>
    <w:p w:rsidR="0057104C" w:rsidRDefault="0057104C" w:rsidP="0057104C">
      <w:pPr>
        <w:pStyle w:val="SangriaFrancesaArticulo"/>
      </w:pPr>
      <w:r w:rsidRPr="0057104C">
        <w:rPr>
          <w:rStyle w:val="TextoNormalNegritaCaracter"/>
        </w:rPr>
        <w:t>Artículo 148.1.</w:t>
      </w:r>
      <w:r w:rsidRPr="0057104C">
        <w:rPr>
          <w:rStyle w:val="TextoNormalCaracter"/>
        </w:rPr>
        <w:t>-</w:t>
      </w:r>
      <w:r>
        <w:t xml:space="preserve"> Sentencia </w:t>
      </w:r>
      <w:hyperlink w:anchor="SENTENCIA_2016_41" w:history="1">
        <w:r w:rsidRPr="0057104C">
          <w:rPr>
            <w:rStyle w:val="TextoNormalCaracter"/>
          </w:rPr>
          <w:t>41/2016</w:t>
        </w:r>
      </w:hyperlink>
      <w:r>
        <w:t>, f. 8.</w:t>
      </w:r>
    </w:p>
    <w:p w:rsidR="0057104C" w:rsidRDefault="0057104C" w:rsidP="0057104C">
      <w:pPr>
        <w:pStyle w:val="SangriaFrancesaArticulo"/>
      </w:pPr>
      <w:r w:rsidRPr="0057104C">
        <w:rPr>
          <w:rStyle w:val="TextoNormalNegritaCaracter"/>
        </w:rPr>
        <w:t>Artículo 148.1.1.</w:t>
      </w:r>
      <w:r w:rsidRPr="0057104C">
        <w:rPr>
          <w:rStyle w:val="TextoNormalCaracter"/>
        </w:rPr>
        <w:t>-</w:t>
      </w:r>
      <w:r>
        <w:t xml:space="preserve"> Sentencias </w:t>
      </w:r>
      <w:hyperlink w:anchor="SENTENCIA_2016_41" w:history="1">
        <w:r w:rsidRPr="0057104C">
          <w:rPr>
            <w:rStyle w:val="TextoNormalCaracter"/>
          </w:rPr>
          <w:t>41/2016</w:t>
        </w:r>
      </w:hyperlink>
      <w:r>
        <w:t xml:space="preserve">, ff. 1, 7, 8; </w:t>
      </w:r>
      <w:hyperlink w:anchor="SENTENCIA_2016_53" w:history="1">
        <w:r w:rsidRPr="0057104C">
          <w:rPr>
            <w:rStyle w:val="TextoNormalCaracter"/>
          </w:rPr>
          <w:t>53/2016</w:t>
        </w:r>
      </w:hyperlink>
      <w:r>
        <w:t xml:space="preserve">, VPI; </w:t>
      </w:r>
      <w:hyperlink w:anchor="SENTENCIA_2016_110" w:history="1">
        <w:r w:rsidRPr="0057104C">
          <w:rPr>
            <w:rStyle w:val="TextoNormalCaracter"/>
          </w:rPr>
          <w:t>110/2016</w:t>
        </w:r>
      </w:hyperlink>
      <w:r>
        <w:t>, f. 3.</w:t>
      </w:r>
    </w:p>
    <w:p w:rsidR="0057104C" w:rsidRDefault="0057104C" w:rsidP="0057104C">
      <w:pPr>
        <w:pStyle w:val="SangriaFrancesaArticulo"/>
      </w:pPr>
      <w:r w:rsidRPr="0057104C">
        <w:rPr>
          <w:rStyle w:val="TextoNormalNegritaCaracter"/>
        </w:rPr>
        <w:t>Artículo 148.1.2.</w:t>
      </w:r>
      <w:r w:rsidRPr="0057104C">
        <w:rPr>
          <w:rStyle w:val="TextoNormalCaracter"/>
        </w:rPr>
        <w:t>-</w:t>
      </w:r>
      <w:r>
        <w:t xml:space="preserve"> Sentencia </w:t>
      </w:r>
      <w:hyperlink w:anchor="SENTENCIA_2016_41" w:history="1">
        <w:r w:rsidRPr="0057104C">
          <w:rPr>
            <w:rStyle w:val="TextoNormalCaracter"/>
          </w:rPr>
          <w:t>41/2016</w:t>
        </w:r>
      </w:hyperlink>
      <w:r>
        <w:t>, ff. 1, 5.</w:t>
      </w:r>
    </w:p>
    <w:p w:rsidR="0057104C" w:rsidRDefault="0057104C" w:rsidP="0057104C">
      <w:pPr>
        <w:pStyle w:val="SangriaFrancesaArticulo"/>
      </w:pPr>
      <w:r w:rsidRPr="0057104C">
        <w:rPr>
          <w:rStyle w:val="TextoNormalNegritaCaracter"/>
        </w:rPr>
        <w:t>Artículo 148.1.3.</w:t>
      </w:r>
      <w:r w:rsidRPr="0057104C">
        <w:rPr>
          <w:rStyle w:val="TextoNormalCaracter"/>
        </w:rPr>
        <w:t>-</w:t>
      </w:r>
      <w:r>
        <w:t xml:space="preserve"> Sentencias </w:t>
      </w:r>
      <w:hyperlink w:anchor="SENTENCIA_2016_8" w:history="1">
        <w:r w:rsidRPr="0057104C">
          <w:rPr>
            <w:rStyle w:val="TextoNormalCaracter"/>
          </w:rPr>
          <w:t>8/2016</w:t>
        </w:r>
      </w:hyperlink>
      <w:r>
        <w:t xml:space="preserve">, ff. 7, 10; </w:t>
      </w:r>
      <w:hyperlink w:anchor="SENTENCIA_2016_53" w:history="1">
        <w:r w:rsidRPr="0057104C">
          <w:rPr>
            <w:rStyle w:val="TextoNormalCaracter"/>
          </w:rPr>
          <w:t>53/2016</w:t>
        </w:r>
      </w:hyperlink>
      <w:r>
        <w:t xml:space="preserve">, VPI;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148.1.4.</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148.1.5.</w:t>
      </w:r>
      <w:r w:rsidRPr="0057104C">
        <w:rPr>
          <w:rStyle w:val="TextoNormalCaracter"/>
        </w:rPr>
        <w:t>-</w:t>
      </w:r>
      <w:r>
        <w:t xml:space="preserve"> Sentencias </w:t>
      </w:r>
      <w:hyperlink w:anchor="SENTENCIA_2016_111" w:history="1">
        <w:r w:rsidRPr="0057104C">
          <w:rPr>
            <w:rStyle w:val="TextoNormalCaracter"/>
          </w:rPr>
          <w:t>111/2016</w:t>
        </w:r>
      </w:hyperlink>
      <w:r>
        <w:t xml:space="preserve">, f. 12; </w:t>
      </w:r>
      <w:hyperlink w:anchor="SENTENCIA_2016_124" w:history="1">
        <w:r w:rsidRPr="0057104C">
          <w:rPr>
            <w:rStyle w:val="TextoNormalCaracter"/>
          </w:rPr>
          <w:t>124/2016</w:t>
        </w:r>
      </w:hyperlink>
      <w:r>
        <w:t>, f. 6.</w:t>
      </w:r>
    </w:p>
    <w:p w:rsidR="0057104C" w:rsidRDefault="0057104C" w:rsidP="0057104C">
      <w:pPr>
        <w:pStyle w:val="SangriaFrancesaArticulo"/>
      </w:pPr>
      <w:r w:rsidRPr="0057104C">
        <w:rPr>
          <w:rStyle w:val="TextoNormalNegritaCaracter"/>
        </w:rPr>
        <w:t>Artículo 148.1.7.</w:t>
      </w:r>
      <w:r w:rsidRPr="0057104C">
        <w:rPr>
          <w:rStyle w:val="TextoNormalCaracter"/>
        </w:rPr>
        <w:t>-</w:t>
      </w:r>
      <w:r>
        <w:t xml:space="preserve"> Sentencia </w:t>
      </w:r>
      <w:hyperlink w:anchor="SENTENCIA_2016_53" w:history="1">
        <w:r w:rsidRPr="0057104C">
          <w:rPr>
            <w:rStyle w:val="TextoNormalCaracter"/>
          </w:rPr>
          <w:t>53/2016</w:t>
        </w:r>
      </w:hyperlink>
      <w:r>
        <w:t>, VPI.</w:t>
      </w:r>
    </w:p>
    <w:p w:rsidR="0057104C" w:rsidRDefault="0057104C" w:rsidP="0057104C">
      <w:pPr>
        <w:pStyle w:val="SangriaFrancesaArticulo"/>
      </w:pPr>
      <w:r w:rsidRPr="0057104C">
        <w:rPr>
          <w:rStyle w:val="TextoNormalNegritaCaracter"/>
        </w:rPr>
        <w:t>Artículo 148.1.8.</w:t>
      </w:r>
      <w:r w:rsidRPr="0057104C">
        <w:rPr>
          <w:rStyle w:val="TextoNormalCaracter"/>
        </w:rPr>
        <w:t>-</w:t>
      </w:r>
      <w:r>
        <w:t xml:space="preserve"> Sentencia </w:t>
      </w:r>
      <w:hyperlink w:anchor="SENTENCIA_2016_53" w:history="1">
        <w:r w:rsidRPr="0057104C">
          <w:rPr>
            <w:rStyle w:val="TextoNormalCaracter"/>
          </w:rPr>
          <w:t>53/2016</w:t>
        </w:r>
      </w:hyperlink>
      <w:r>
        <w:t>, VPI.</w:t>
      </w:r>
    </w:p>
    <w:p w:rsidR="0057104C" w:rsidRDefault="0057104C" w:rsidP="0057104C">
      <w:pPr>
        <w:pStyle w:val="SangriaFrancesaArticulo"/>
      </w:pPr>
      <w:r w:rsidRPr="0057104C">
        <w:rPr>
          <w:rStyle w:val="TextoNormalNegritaCaracter"/>
        </w:rPr>
        <w:t>Artículo 148.1.9.</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148.1.10.</w:t>
      </w:r>
      <w:r w:rsidRPr="0057104C">
        <w:rPr>
          <w:rStyle w:val="TextoNormalCaracter"/>
        </w:rPr>
        <w:t>-</w:t>
      </w:r>
      <w:r>
        <w:t xml:space="preserve"> Sentencias </w:t>
      </w:r>
      <w:hyperlink w:anchor="SENTENCIA_2016_53" w:history="1">
        <w:r w:rsidRPr="0057104C">
          <w:rPr>
            <w:rStyle w:val="TextoNormalCaracter"/>
          </w:rPr>
          <w:t>53/2016</w:t>
        </w:r>
      </w:hyperlink>
      <w:r>
        <w:t xml:space="preserve">, VPI;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148.1.11.</w:t>
      </w:r>
      <w:r w:rsidRPr="0057104C">
        <w:rPr>
          <w:rStyle w:val="TextoNormalCaracter"/>
        </w:rPr>
        <w:t>-</w:t>
      </w:r>
      <w:r>
        <w:t xml:space="preserve"> Sentencia </w:t>
      </w:r>
      <w:hyperlink w:anchor="SENTENCIA_2016_53" w:history="1">
        <w:r w:rsidRPr="0057104C">
          <w:rPr>
            <w:rStyle w:val="TextoNormalCaracter"/>
          </w:rPr>
          <w:t>53/2016</w:t>
        </w:r>
      </w:hyperlink>
      <w:r>
        <w:t>, VPI.</w:t>
      </w:r>
    </w:p>
    <w:p w:rsidR="0057104C" w:rsidRDefault="0057104C" w:rsidP="0057104C">
      <w:pPr>
        <w:pStyle w:val="SangriaFrancesaArticulo"/>
      </w:pPr>
      <w:r w:rsidRPr="0057104C">
        <w:rPr>
          <w:rStyle w:val="TextoNormalNegritaCaracter"/>
        </w:rPr>
        <w:t>Artículo 148.1.20.</w:t>
      </w:r>
      <w:r w:rsidRPr="0057104C">
        <w:rPr>
          <w:rStyle w:val="TextoNormalCaracter"/>
        </w:rPr>
        <w:t>-</w:t>
      </w:r>
      <w:r>
        <w:t xml:space="preserve"> Sentencias </w:t>
      </w:r>
      <w:hyperlink w:anchor="SENTENCIA_2016_18" w:history="1">
        <w:r w:rsidRPr="0057104C">
          <w:rPr>
            <w:rStyle w:val="TextoNormalCaracter"/>
          </w:rPr>
          <w:t>18/2016</w:t>
        </w:r>
      </w:hyperlink>
      <w:r>
        <w:t xml:space="preserve">, f. 7;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148.1.21.</w:t>
      </w:r>
      <w:r w:rsidRPr="0057104C">
        <w:rPr>
          <w:rStyle w:val="TextoNormalCaracter"/>
        </w:rPr>
        <w:t>-</w:t>
      </w:r>
      <w:r>
        <w:t xml:space="preserve"> Sentencias </w:t>
      </w:r>
      <w:hyperlink w:anchor="SENTENCIA_2016_41" w:history="1">
        <w:r w:rsidRPr="0057104C">
          <w:rPr>
            <w:rStyle w:val="TextoNormalCaracter"/>
          </w:rPr>
          <w:t>41/2016</w:t>
        </w:r>
      </w:hyperlink>
      <w:r>
        <w:t xml:space="preserve">, f. 13;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149.</w:t>
      </w:r>
      <w:r w:rsidRPr="0057104C">
        <w:rPr>
          <w:rStyle w:val="TextoNormalCaracter"/>
        </w:rPr>
        <w:t>-</w:t>
      </w:r>
      <w:r>
        <w:t xml:space="preserve"> Sentencias </w:t>
      </w:r>
      <w:hyperlink w:anchor="SENTENCIA_2016_41" w:history="1">
        <w:r w:rsidRPr="0057104C">
          <w:rPr>
            <w:rStyle w:val="TextoNormalCaracter"/>
          </w:rPr>
          <w:t>41/2016</w:t>
        </w:r>
      </w:hyperlink>
      <w:r>
        <w:t xml:space="preserve">, ff. 3, 4, 9, 13; </w:t>
      </w:r>
      <w:hyperlink w:anchor="SENTENCIA_2016_82" w:history="1">
        <w:r w:rsidRPr="0057104C">
          <w:rPr>
            <w:rStyle w:val="TextoNormalCaracter"/>
          </w:rPr>
          <w:t>82/2016</w:t>
        </w:r>
      </w:hyperlink>
      <w:r>
        <w:t xml:space="preserve">, f. 3; </w:t>
      </w:r>
      <w:hyperlink w:anchor="SENTENCIA_2016_87" w:history="1">
        <w:r w:rsidRPr="0057104C">
          <w:rPr>
            <w:rStyle w:val="TextoNormalCaracter"/>
          </w:rPr>
          <w:t>87/2016</w:t>
        </w:r>
      </w:hyperlink>
      <w:r>
        <w:t xml:space="preserve">, f. 5; </w:t>
      </w:r>
      <w:hyperlink w:anchor="SENTENCIA_2016_110" w:history="1">
        <w:r w:rsidRPr="0057104C">
          <w:rPr>
            <w:rStyle w:val="TextoNormalCaracter"/>
          </w:rPr>
          <w:t>110/2016</w:t>
        </w:r>
      </w:hyperlink>
      <w:r>
        <w:t xml:space="preserve">, f. 4; </w:t>
      </w:r>
      <w:hyperlink w:anchor="SENTENCIA_2016_111" w:history="1">
        <w:r w:rsidRPr="0057104C">
          <w:rPr>
            <w:rStyle w:val="TextoNormalCaracter"/>
          </w:rPr>
          <w:t>111/2016</w:t>
        </w:r>
      </w:hyperlink>
      <w:r>
        <w:t>, f. 4.</w:t>
      </w:r>
    </w:p>
    <w:p w:rsidR="0057104C" w:rsidRDefault="0057104C" w:rsidP="0057104C">
      <w:pPr>
        <w:pStyle w:val="SangriaFrancesaArticulo"/>
      </w:pPr>
      <w:r w:rsidRPr="0057104C">
        <w:rPr>
          <w:rStyle w:val="TextoNormalNegritaCaracter"/>
        </w:rPr>
        <w:t>Artículo 149.1.</w:t>
      </w:r>
      <w:r w:rsidRPr="0057104C">
        <w:rPr>
          <w:rStyle w:val="TextoNormalCaracter"/>
        </w:rPr>
        <w:t>-</w:t>
      </w:r>
      <w:r>
        <w:t xml:space="preserve"> Sentencias </w:t>
      </w:r>
      <w:hyperlink w:anchor="SENTENCIA_2016_5" w:history="1">
        <w:r w:rsidRPr="0057104C">
          <w:rPr>
            <w:rStyle w:val="TextoNormalCaracter"/>
          </w:rPr>
          <w:t>5/2016</w:t>
        </w:r>
      </w:hyperlink>
      <w:r>
        <w:t xml:space="preserve">, f. 3; </w:t>
      </w:r>
      <w:hyperlink w:anchor="SENTENCIA_2016_18" w:history="1">
        <w:r w:rsidRPr="0057104C">
          <w:rPr>
            <w:rStyle w:val="TextoNormalCaracter"/>
          </w:rPr>
          <w:t>18/2016</w:t>
        </w:r>
      </w:hyperlink>
      <w:r>
        <w:t xml:space="preserve">, ff. 7, 9, 10; </w:t>
      </w:r>
      <w:hyperlink w:anchor="SENTENCIA_2016_32" w:history="1">
        <w:r w:rsidRPr="0057104C">
          <w:rPr>
            <w:rStyle w:val="TextoNormalCaracter"/>
          </w:rPr>
          <w:t>32/2016</w:t>
        </w:r>
      </w:hyperlink>
      <w:r>
        <w:t xml:space="preserve">, f. 3; </w:t>
      </w:r>
      <w:hyperlink w:anchor="SENTENCIA_2016_33" w:history="1">
        <w:r w:rsidRPr="0057104C">
          <w:rPr>
            <w:rStyle w:val="TextoNormalCaracter"/>
          </w:rPr>
          <w:t>33/2016</w:t>
        </w:r>
      </w:hyperlink>
      <w:r>
        <w:t xml:space="preserve">, f. 6; </w:t>
      </w:r>
      <w:hyperlink w:anchor="SENTENCIA_2016_41" w:history="1">
        <w:r w:rsidRPr="0057104C">
          <w:rPr>
            <w:rStyle w:val="TextoNormalCaracter"/>
          </w:rPr>
          <w:t>41/2016</w:t>
        </w:r>
      </w:hyperlink>
      <w:r>
        <w:t xml:space="preserve">, f. 7; </w:t>
      </w:r>
      <w:hyperlink w:anchor="SENTENCIA_2016_57" w:history="1">
        <w:r w:rsidRPr="0057104C">
          <w:rPr>
            <w:rStyle w:val="TextoNormalCaracter"/>
          </w:rPr>
          <w:t>57/2016</w:t>
        </w:r>
      </w:hyperlink>
      <w:r>
        <w:t xml:space="preserve">, f. 2; </w:t>
      </w:r>
      <w:hyperlink w:anchor="SENTENCIA_2016_73" w:history="1">
        <w:r w:rsidRPr="0057104C">
          <w:rPr>
            <w:rStyle w:val="TextoNormalCaracter"/>
          </w:rPr>
          <w:t>73/2016</w:t>
        </w:r>
      </w:hyperlink>
      <w:r>
        <w:t xml:space="preserve">, f. 8; </w:t>
      </w:r>
      <w:hyperlink w:anchor="SENTENCIA_2016_82" w:history="1">
        <w:r w:rsidRPr="0057104C">
          <w:rPr>
            <w:rStyle w:val="TextoNormalCaracter"/>
          </w:rPr>
          <w:t>82/2016</w:t>
        </w:r>
      </w:hyperlink>
      <w:r>
        <w:t xml:space="preserve">, f. 3; </w:t>
      </w:r>
      <w:hyperlink w:anchor="SENTENCIA_2016_99" w:history="1">
        <w:r w:rsidRPr="0057104C">
          <w:rPr>
            <w:rStyle w:val="TextoNormalCaracter"/>
          </w:rPr>
          <w:t>99/2016</w:t>
        </w:r>
      </w:hyperlink>
      <w:r>
        <w:t>, f. 7.</w:t>
      </w:r>
    </w:p>
    <w:p w:rsidR="0057104C" w:rsidRDefault="0057104C" w:rsidP="0057104C">
      <w:pPr>
        <w:pStyle w:val="SangriaIzquierdaArticulo"/>
      </w:pPr>
      <w:r>
        <w:t xml:space="preserve">Autos </w:t>
      </w:r>
      <w:hyperlink w:anchor="AUTO_2016_55" w:history="1">
        <w:r w:rsidRPr="0057104C">
          <w:rPr>
            <w:rStyle w:val="TextoNormalCaracter"/>
          </w:rPr>
          <w:t>55/2016</w:t>
        </w:r>
      </w:hyperlink>
      <w:r>
        <w:t xml:space="preserve">, f. 5; </w:t>
      </w:r>
      <w:hyperlink w:anchor="AUTO_2016_104" w:history="1">
        <w:r w:rsidRPr="0057104C">
          <w:rPr>
            <w:rStyle w:val="TextoNormalCaracter"/>
          </w:rPr>
          <w:t>104/2016</w:t>
        </w:r>
      </w:hyperlink>
      <w:r>
        <w:t>, ff. 1, 3.</w:t>
      </w:r>
    </w:p>
    <w:p w:rsidR="0057104C" w:rsidRDefault="0057104C" w:rsidP="0057104C">
      <w:pPr>
        <w:pStyle w:val="SangriaFrancesaArticulo"/>
      </w:pPr>
      <w:r w:rsidRPr="0057104C">
        <w:rPr>
          <w:rStyle w:val="TextoNormalNegritaCaracter"/>
        </w:rPr>
        <w:t>Artículo 149.1.1.</w:t>
      </w:r>
      <w:r w:rsidRPr="0057104C">
        <w:rPr>
          <w:rStyle w:val="TextoNormalCaracter"/>
        </w:rPr>
        <w:t>-</w:t>
      </w:r>
      <w:r>
        <w:t xml:space="preserve"> Sentencias </w:t>
      </w:r>
      <w:hyperlink w:anchor="SENTENCIA_2016_5" w:history="1">
        <w:r w:rsidRPr="0057104C">
          <w:rPr>
            <w:rStyle w:val="TextoNormalCaracter"/>
          </w:rPr>
          <w:t>5/2016</w:t>
        </w:r>
      </w:hyperlink>
      <w:r>
        <w:t xml:space="preserve">, ff. 1 a 4; </w:t>
      </w:r>
      <w:hyperlink w:anchor="SENTENCIA_2016_7" w:history="1">
        <w:r w:rsidRPr="0057104C">
          <w:rPr>
            <w:rStyle w:val="TextoNormalCaracter"/>
          </w:rPr>
          <w:t>7/2016</w:t>
        </w:r>
      </w:hyperlink>
      <w:r>
        <w:t xml:space="preserve">, f. 4; </w:t>
      </w:r>
      <w:hyperlink w:anchor="SENTENCIA_2016_8" w:history="1">
        <w:r w:rsidRPr="0057104C">
          <w:rPr>
            <w:rStyle w:val="TextoNormalCaracter"/>
          </w:rPr>
          <w:t>8/2016</w:t>
        </w:r>
      </w:hyperlink>
      <w:r>
        <w:t xml:space="preserve">, f. 8; </w:t>
      </w:r>
      <w:hyperlink w:anchor="SENTENCIA_2016_17" w:history="1">
        <w:r w:rsidRPr="0057104C">
          <w:rPr>
            <w:rStyle w:val="TextoNormalCaracter"/>
          </w:rPr>
          <w:t>17/2016</w:t>
        </w:r>
      </w:hyperlink>
      <w:r>
        <w:t xml:space="preserve">, f. 1; </w:t>
      </w:r>
      <w:hyperlink w:anchor="SENTENCIA_2016_18" w:history="1">
        <w:r w:rsidRPr="0057104C">
          <w:rPr>
            <w:rStyle w:val="TextoNormalCaracter"/>
          </w:rPr>
          <w:t>18/2016</w:t>
        </w:r>
      </w:hyperlink>
      <w:r>
        <w:t xml:space="preserve">, ff. 1, 7 a 9; </w:t>
      </w:r>
      <w:hyperlink w:anchor="SENTENCIA_2016_20" w:history="1">
        <w:r w:rsidRPr="0057104C">
          <w:rPr>
            <w:rStyle w:val="TextoNormalCaracter"/>
          </w:rPr>
          <w:t>20/2016</w:t>
        </w:r>
      </w:hyperlink>
      <w:r>
        <w:t xml:space="preserve">, ff. 1 a 3, 6, 7; </w:t>
      </w:r>
      <w:hyperlink w:anchor="SENTENCIA_2016_26" w:history="1">
        <w:r w:rsidRPr="0057104C">
          <w:rPr>
            <w:rStyle w:val="TextoNormalCaracter"/>
          </w:rPr>
          <w:t>26/2016</w:t>
        </w:r>
      </w:hyperlink>
      <w:r>
        <w:t xml:space="preserve">, f. 6; </w:t>
      </w:r>
      <w:hyperlink w:anchor="SENTENCIA_2016_36" w:history="1">
        <w:r w:rsidRPr="0057104C">
          <w:rPr>
            <w:rStyle w:val="TextoNormalCaracter"/>
          </w:rPr>
          <w:t>36/2016</w:t>
        </w:r>
      </w:hyperlink>
      <w:r>
        <w:t xml:space="preserve">, ff. 1 a 4; </w:t>
      </w:r>
      <w:hyperlink w:anchor="SENTENCIA_2016_44" w:history="1">
        <w:r w:rsidRPr="0057104C">
          <w:rPr>
            <w:rStyle w:val="TextoNormalCaracter"/>
          </w:rPr>
          <w:t>44/2016</w:t>
        </w:r>
      </w:hyperlink>
      <w:r>
        <w:t xml:space="preserve">, f. 5; </w:t>
      </w:r>
      <w:hyperlink w:anchor="SENTENCIA_2016_54" w:history="1">
        <w:r w:rsidRPr="0057104C">
          <w:rPr>
            <w:rStyle w:val="TextoNormalCaracter"/>
          </w:rPr>
          <w:t>54/2016</w:t>
        </w:r>
      </w:hyperlink>
      <w:r>
        <w:t xml:space="preserve">, f. 2; </w:t>
      </w:r>
      <w:hyperlink w:anchor="SENTENCIA_2016_57" w:history="1">
        <w:r w:rsidRPr="0057104C">
          <w:rPr>
            <w:rStyle w:val="TextoNormalCaracter"/>
          </w:rPr>
          <w:t>57/2016</w:t>
        </w:r>
      </w:hyperlink>
      <w:r>
        <w:t xml:space="preserve">, ff. 2, 6, 8, 11; </w:t>
      </w:r>
      <w:hyperlink w:anchor="SENTENCIA_2016_62" w:history="1">
        <w:r w:rsidRPr="0057104C">
          <w:rPr>
            <w:rStyle w:val="TextoNormalCaracter"/>
          </w:rPr>
          <w:t>62/2016</w:t>
        </w:r>
      </w:hyperlink>
      <w:r>
        <w:t xml:space="preserve">, VPI; </w:t>
      </w:r>
      <w:hyperlink w:anchor="SENTENCIA_2016_66" w:history="1">
        <w:r w:rsidRPr="0057104C">
          <w:rPr>
            <w:rStyle w:val="TextoNormalCaracter"/>
          </w:rPr>
          <w:t>66/2016</w:t>
        </w:r>
      </w:hyperlink>
      <w:r>
        <w:t xml:space="preserve">, ff. 1, 3; </w:t>
      </w:r>
      <w:hyperlink w:anchor="SENTENCIA_2016_67" w:history="1">
        <w:r w:rsidRPr="0057104C">
          <w:rPr>
            <w:rStyle w:val="TextoNormalCaracter"/>
          </w:rPr>
          <w:t>67/2016</w:t>
        </w:r>
      </w:hyperlink>
      <w:r>
        <w:t xml:space="preserve">, ff. 1, 4; </w:t>
      </w:r>
      <w:hyperlink w:anchor="SENTENCIA_2016_68" w:history="1">
        <w:r w:rsidRPr="0057104C">
          <w:rPr>
            <w:rStyle w:val="TextoNormalCaracter"/>
          </w:rPr>
          <w:t>68/2016</w:t>
        </w:r>
      </w:hyperlink>
      <w:r>
        <w:t xml:space="preserve">, ff. 1, 4; </w:t>
      </w:r>
      <w:hyperlink w:anchor="SENTENCIA_2016_84" w:history="1">
        <w:r w:rsidRPr="0057104C">
          <w:rPr>
            <w:rStyle w:val="TextoNormalCaracter"/>
          </w:rPr>
          <w:t>84/2016</w:t>
        </w:r>
      </w:hyperlink>
      <w:r>
        <w:t xml:space="preserve">, ff. 1, 5; </w:t>
      </w:r>
      <w:hyperlink w:anchor="SENTENCIA_2016_95" w:history="1">
        <w:r w:rsidRPr="0057104C">
          <w:rPr>
            <w:rStyle w:val="TextoNormalCaracter"/>
          </w:rPr>
          <w:t>95/2016</w:t>
        </w:r>
      </w:hyperlink>
      <w:r>
        <w:t xml:space="preserve">, ff. 5, 7; </w:t>
      </w:r>
      <w:hyperlink w:anchor="SENTENCIA_2016_99" w:history="1">
        <w:r w:rsidRPr="0057104C">
          <w:rPr>
            <w:rStyle w:val="TextoNormalCaracter"/>
          </w:rPr>
          <w:t>99/2016</w:t>
        </w:r>
      </w:hyperlink>
      <w:r>
        <w:t xml:space="preserve">, ff. 4 a 6; </w:t>
      </w:r>
      <w:hyperlink w:anchor="SENTENCIA_2016_118" w:history="1">
        <w:r w:rsidRPr="0057104C">
          <w:rPr>
            <w:rStyle w:val="TextoNormalCaracter"/>
          </w:rPr>
          <w:t>118/2016</w:t>
        </w:r>
      </w:hyperlink>
      <w:r>
        <w:t xml:space="preserve">, f. 3; </w:t>
      </w:r>
      <w:hyperlink w:anchor="SENTENCIA_2016_122" w:history="1">
        <w:r w:rsidRPr="0057104C">
          <w:rPr>
            <w:rStyle w:val="TextoNormalCaracter"/>
          </w:rPr>
          <w:t>122/2016</w:t>
        </w:r>
      </w:hyperlink>
      <w:r>
        <w:t>, f. 1.</w:t>
      </w:r>
    </w:p>
    <w:p w:rsidR="0057104C" w:rsidRDefault="0057104C" w:rsidP="0057104C">
      <w:pPr>
        <w:pStyle w:val="SangriaIzquierdaArticulo"/>
      </w:pPr>
      <w:r>
        <w:t xml:space="preserve">Autos </w:t>
      </w:r>
      <w:hyperlink w:anchor="AUTO_2016_23" w:history="1">
        <w:r w:rsidRPr="0057104C">
          <w:rPr>
            <w:rStyle w:val="TextoNormalCaracter"/>
          </w:rPr>
          <w:t>23/2016</w:t>
        </w:r>
      </w:hyperlink>
      <w:r>
        <w:t xml:space="preserve">, ff. 1 a 3; </w:t>
      </w:r>
      <w:hyperlink w:anchor="AUTO_2016_72" w:history="1">
        <w:r w:rsidRPr="0057104C">
          <w:rPr>
            <w:rStyle w:val="TextoNormalCaracter"/>
          </w:rPr>
          <w:t>72/2016</w:t>
        </w:r>
      </w:hyperlink>
      <w:r>
        <w:t xml:space="preserve">, f. 1; </w:t>
      </w:r>
      <w:hyperlink w:anchor="AUTO_2016_73" w:history="1">
        <w:r w:rsidRPr="0057104C">
          <w:rPr>
            <w:rStyle w:val="TextoNormalCaracter"/>
          </w:rPr>
          <w:t>73/2016</w:t>
        </w:r>
      </w:hyperlink>
      <w:r>
        <w:t xml:space="preserve">, f. 1; </w:t>
      </w:r>
      <w:hyperlink w:anchor="AUTO_2016_76" w:history="1">
        <w:r w:rsidRPr="0057104C">
          <w:rPr>
            <w:rStyle w:val="TextoNormalCaracter"/>
          </w:rPr>
          <w:t>76/2016</w:t>
        </w:r>
      </w:hyperlink>
      <w:r>
        <w:t xml:space="preserve">, ff. 1, 3; </w:t>
      </w:r>
      <w:hyperlink w:anchor="AUTO_2016_77" w:history="1">
        <w:r w:rsidRPr="0057104C">
          <w:rPr>
            <w:rStyle w:val="TextoNormalCaracter"/>
          </w:rPr>
          <w:t>77/2016</w:t>
        </w:r>
      </w:hyperlink>
      <w:r>
        <w:t xml:space="preserve">, ff. 1, 5; </w:t>
      </w:r>
      <w:hyperlink w:anchor="AUTO_2016_78" w:history="1">
        <w:r w:rsidRPr="0057104C">
          <w:rPr>
            <w:rStyle w:val="TextoNormalCaracter"/>
          </w:rPr>
          <w:t>78/2016</w:t>
        </w:r>
      </w:hyperlink>
      <w:r>
        <w:t xml:space="preserve">, ff. 1 a 3; </w:t>
      </w:r>
      <w:hyperlink w:anchor="AUTO_2016_85" w:history="1">
        <w:r w:rsidRPr="0057104C">
          <w:rPr>
            <w:rStyle w:val="TextoNormalCaracter"/>
          </w:rPr>
          <w:t>85/2016</w:t>
        </w:r>
      </w:hyperlink>
      <w:r>
        <w:t xml:space="preserve">, ff. 1 a 3; </w:t>
      </w:r>
      <w:hyperlink w:anchor="AUTO_2016_86" w:history="1">
        <w:r w:rsidRPr="0057104C">
          <w:rPr>
            <w:rStyle w:val="TextoNormalCaracter"/>
          </w:rPr>
          <w:t>86/2016</w:t>
        </w:r>
      </w:hyperlink>
      <w:r>
        <w:t xml:space="preserve">, ff. 1, 5; </w:t>
      </w:r>
      <w:hyperlink w:anchor="AUTO_2016_87" w:history="1">
        <w:r w:rsidRPr="0057104C">
          <w:rPr>
            <w:rStyle w:val="TextoNormalCaracter"/>
          </w:rPr>
          <w:t>87/2016</w:t>
        </w:r>
      </w:hyperlink>
      <w:r>
        <w:t xml:space="preserve">, ff. 1, 3; </w:t>
      </w:r>
      <w:hyperlink w:anchor="AUTO_2016_88" w:history="1">
        <w:r w:rsidRPr="0057104C">
          <w:rPr>
            <w:rStyle w:val="TextoNormalCaracter"/>
          </w:rPr>
          <w:t>88/2016</w:t>
        </w:r>
      </w:hyperlink>
      <w:r>
        <w:t>, ff. 1, 3.</w:t>
      </w:r>
    </w:p>
    <w:p w:rsidR="0057104C" w:rsidRDefault="0057104C" w:rsidP="0057104C">
      <w:pPr>
        <w:pStyle w:val="SangriaFrancesaArticulo"/>
      </w:pPr>
      <w:r w:rsidRPr="0057104C">
        <w:rPr>
          <w:rStyle w:val="TextoNormalNegritaCaracter"/>
        </w:rPr>
        <w:t>Artículo 149.1.3.</w:t>
      </w:r>
      <w:r w:rsidRPr="0057104C">
        <w:rPr>
          <w:rStyle w:val="TextoNormalCaracter"/>
        </w:rPr>
        <w:t>-</w:t>
      </w:r>
      <w:r>
        <w:t xml:space="preserve"> Sentencias </w:t>
      </w:r>
      <w:hyperlink w:anchor="SENTENCIA_2016_85" w:history="1">
        <w:r w:rsidRPr="0057104C">
          <w:rPr>
            <w:rStyle w:val="TextoNormalCaracter"/>
          </w:rPr>
          <w:t>85/2016</w:t>
        </w:r>
      </w:hyperlink>
      <w:r>
        <w:t xml:space="preserve">, ff. 1, 3, 4, 6 a 8, VP; </w:t>
      </w:r>
      <w:hyperlink w:anchor="SENTENCIA_2016_119" w:history="1">
        <w:r w:rsidRPr="0057104C">
          <w:rPr>
            <w:rStyle w:val="TextoNormalCaracter"/>
          </w:rPr>
          <w:t>119/2016</w:t>
        </w:r>
      </w:hyperlink>
      <w:r>
        <w:t>, f. 5.</w:t>
      </w:r>
    </w:p>
    <w:p w:rsidR="0057104C" w:rsidRDefault="0057104C" w:rsidP="0057104C">
      <w:pPr>
        <w:pStyle w:val="SangriaIzquierdaArticulo"/>
      </w:pPr>
      <w:r>
        <w:t xml:space="preserve">Auto </w:t>
      </w:r>
      <w:hyperlink w:anchor="AUTO_2016_130" w:history="1">
        <w:r w:rsidRPr="0057104C">
          <w:rPr>
            <w:rStyle w:val="TextoNormalCaracter"/>
          </w:rPr>
          <w:t>130/2016</w:t>
        </w:r>
      </w:hyperlink>
      <w:r>
        <w:t>, ff. 1, 6 a 9.</w:t>
      </w:r>
    </w:p>
    <w:p w:rsidR="0057104C" w:rsidRDefault="0057104C" w:rsidP="0057104C">
      <w:pPr>
        <w:pStyle w:val="SangriaFrancesaArticulo"/>
      </w:pPr>
      <w:r w:rsidRPr="0057104C">
        <w:rPr>
          <w:rStyle w:val="TextoNormalNegritaCaracter"/>
        </w:rPr>
        <w:t>Artículo 149.1.5.</w:t>
      </w:r>
      <w:r w:rsidRPr="0057104C">
        <w:rPr>
          <w:rStyle w:val="TextoNormalCaracter"/>
        </w:rPr>
        <w:t>-</w:t>
      </w:r>
      <w:r>
        <w:t xml:space="preserve"> Sentencias </w:t>
      </w:r>
      <w:hyperlink w:anchor="SENTENCIA_2016_32" w:history="1">
        <w:r w:rsidRPr="0057104C">
          <w:rPr>
            <w:rStyle w:val="TextoNormalCaracter"/>
          </w:rPr>
          <w:t>32/2016</w:t>
        </w:r>
      </w:hyperlink>
      <w:r>
        <w:t xml:space="preserve">, f. 10; </w:t>
      </w:r>
      <w:hyperlink w:anchor="SENTENCIA_2016_118" w:history="1">
        <w:r w:rsidRPr="0057104C">
          <w:rPr>
            <w:rStyle w:val="TextoNormalCaracter"/>
          </w:rPr>
          <w:t>118/2016</w:t>
        </w:r>
      </w:hyperlink>
      <w:r>
        <w:t>, f. 1.</w:t>
      </w:r>
    </w:p>
    <w:p w:rsidR="0057104C" w:rsidRDefault="0057104C" w:rsidP="0057104C">
      <w:pPr>
        <w:pStyle w:val="SangriaIzquierdaArticulo"/>
      </w:pPr>
      <w:r>
        <w:t xml:space="preserve">Auto </w:t>
      </w:r>
      <w:hyperlink w:anchor="AUTO_2016_90" w:history="1">
        <w:r w:rsidRPr="0057104C">
          <w:rPr>
            <w:rStyle w:val="TextoNormalCaracter"/>
          </w:rPr>
          <w:t>90/2016</w:t>
        </w:r>
      </w:hyperlink>
      <w:r>
        <w:t>, f. 1.</w:t>
      </w:r>
    </w:p>
    <w:p w:rsidR="0057104C" w:rsidRDefault="0057104C" w:rsidP="0057104C">
      <w:pPr>
        <w:pStyle w:val="SangriaFrancesaArticulo"/>
      </w:pPr>
      <w:r w:rsidRPr="0057104C">
        <w:rPr>
          <w:rStyle w:val="TextoNormalNegritaCaracter"/>
        </w:rPr>
        <w:t>Artículo 149.1.6.</w:t>
      </w:r>
      <w:r w:rsidRPr="0057104C">
        <w:rPr>
          <w:rStyle w:val="TextoNormalCaracter"/>
        </w:rPr>
        <w:t>-</w:t>
      </w:r>
      <w:r>
        <w:t xml:space="preserve"> Sentencias </w:t>
      </w:r>
      <w:hyperlink w:anchor="SENTENCIA_2016_18" w:history="1">
        <w:r w:rsidRPr="0057104C">
          <w:rPr>
            <w:rStyle w:val="TextoNormalCaracter"/>
          </w:rPr>
          <w:t>18/2016</w:t>
        </w:r>
      </w:hyperlink>
      <w:r>
        <w:t xml:space="preserve">, ff. 7, 10; </w:t>
      </w:r>
      <w:hyperlink w:anchor="SENTENCIA_2016_32" w:history="1">
        <w:r w:rsidRPr="0057104C">
          <w:rPr>
            <w:rStyle w:val="TextoNormalCaracter"/>
          </w:rPr>
          <w:t>32/2016</w:t>
        </w:r>
      </w:hyperlink>
      <w:r>
        <w:t xml:space="preserve">, f. 10; </w:t>
      </w:r>
      <w:hyperlink w:anchor="SENTENCIA_2016_37" w:history="1">
        <w:r w:rsidRPr="0057104C">
          <w:rPr>
            <w:rStyle w:val="TextoNormalCaracter"/>
          </w:rPr>
          <w:t>37/2016</w:t>
        </w:r>
      </w:hyperlink>
      <w:r>
        <w:t xml:space="preserve">, f. 5; </w:t>
      </w:r>
      <w:hyperlink w:anchor="SENTENCIA_2016_59" w:history="1">
        <w:r w:rsidRPr="0057104C">
          <w:rPr>
            <w:rStyle w:val="TextoNormalCaracter"/>
          </w:rPr>
          <w:t>59/2016</w:t>
        </w:r>
      </w:hyperlink>
      <w:r>
        <w:t xml:space="preserve">, f. 5; </w:t>
      </w:r>
      <w:hyperlink w:anchor="SENTENCIA_2016_118" w:history="1">
        <w:r w:rsidRPr="0057104C">
          <w:rPr>
            <w:rStyle w:val="TextoNormalCaracter"/>
          </w:rPr>
          <w:t>118/2016</w:t>
        </w:r>
      </w:hyperlink>
      <w:r>
        <w:t xml:space="preserve">, ff. 1, 3; </w:t>
      </w:r>
      <w:hyperlink w:anchor="SENTENCIA_2016_119" w:history="1">
        <w:r w:rsidRPr="0057104C">
          <w:rPr>
            <w:rStyle w:val="TextoNormalCaracter"/>
          </w:rPr>
          <w:t>119/2016</w:t>
        </w:r>
      </w:hyperlink>
      <w:r>
        <w:t>, f. 6.</w:t>
      </w:r>
    </w:p>
    <w:p w:rsidR="0057104C" w:rsidRDefault="0057104C" w:rsidP="0057104C">
      <w:pPr>
        <w:pStyle w:val="SangriaIzquierdaArticulo"/>
      </w:pPr>
      <w:r>
        <w:t xml:space="preserve">Autos </w:t>
      </w:r>
      <w:hyperlink w:anchor="AUTO_2016_5" w:history="1">
        <w:r w:rsidRPr="0057104C">
          <w:rPr>
            <w:rStyle w:val="TextoNormalCaracter"/>
          </w:rPr>
          <w:t>5/2016</w:t>
        </w:r>
      </w:hyperlink>
      <w:r>
        <w:t xml:space="preserve">, f. único; </w:t>
      </w:r>
      <w:hyperlink w:anchor="AUTO_2016_56" w:history="1">
        <w:r w:rsidRPr="0057104C">
          <w:rPr>
            <w:rStyle w:val="TextoNormalCaracter"/>
          </w:rPr>
          <w:t>56/2016</w:t>
        </w:r>
      </w:hyperlink>
      <w:r>
        <w:t xml:space="preserve">, f. único; </w:t>
      </w:r>
      <w:hyperlink w:anchor="AUTO_2016_57" w:history="1">
        <w:r w:rsidRPr="0057104C">
          <w:rPr>
            <w:rStyle w:val="TextoNormalCaracter"/>
          </w:rPr>
          <w:t>57/2016</w:t>
        </w:r>
      </w:hyperlink>
      <w:r>
        <w:t xml:space="preserve">, f. único; </w:t>
      </w:r>
      <w:hyperlink w:anchor="AUTO_2016_64" w:history="1">
        <w:r w:rsidRPr="0057104C">
          <w:rPr>
            <w:rStyle w:val="TextoNormalCaracter"/>
          </w:rPr>
          <w:t>64/2016</w:t>
        </w:r>
      </w:hyperlink>
      <w:r>
        <w:t xml:space="preserve">, f. único; </w:t>
      </w:r>
      <w:hyperlink w:anchor="AUTO_2016_65" w:history="1">
        <w:r w:rsidRPr="0057104C">
          <w:rPr>
            <w:rStyle w:val="TextoNormalCaracter"/>
          </w:rPr>
          <w:t>65/2016</w:t>
        </w:r>
      </w:hyperlink>
      <w:r>
        <w:t xml:space="preserve">, f. único; </w:t>
      </w:r>
      <w:hyperlink w:anchor="AUTO_2016_72" w:history="1">
        <w:r w:rsidRPr="0057104C">
          <w:rPr>
            <w:rStyle w:val="TextoNormalCaracter"/>
          </w:rPr>
          <w:t>72/2016</w:t>
        </w:r>
      </w:hyperlink>
      <w:r>
        <w:t xml:space="preserve">, f. 1; </w:t>
      </w:r>
      <w:hyperlink w:anchor="AUTO_2016_74" w:history="1">
        <w:r w:rsidRPr="0057104C">
          <w:rPr>
            <w:rStyle w:val="TextoNormalCaracter"/>
          </w:rPr>
          <w:t>74/2016</w:t>
        </w:r>
      </w:hyperlink>
      <w:r>
        <w:t xml:space="preserve">, f. único; </w:t>
      </w:r>
      <w:hyperlink w:anchor="AUTO_2016_79" w:history="1">
        <w:r w:rsidRPr="0057104C">
          <w:rPr>
            <w:rStyle w:val="TextoNormalCaracter"/>
          </w:rPr>
          <w:t>79/2016</w:t>
        </w:r>
      </w:hyperlink>
      <w:r>
        <w:t xml:space="preserve">, f. único; </w:t>
      </w:r>
      <w:hyperlink w:anchor="AUTO_2016_90" w:history="1">
        <w:r w:rsidRPr="0057104C">
          <w:rPr>
            <w:rStyle w:val="TextoNormalCaracter"/>
          </w:rPr>
          <w:t>90/2016</w:t>
        </w:r>
      </w:hyperlink>
      <w:r>
        <w:t>, f. 1.</w:t>
      </w:r>
    </w:p>
    <w:p w:rsidR="0057104C" w:rsidRDefault="0057104C" w:rsidP="0057104C">
      <w:pPr>
        <w:pStyle w:val="SangriaFrancesaArticulo"/>
      </w:pPr>
      <w:r w:rsidRPr="0057104C">
        <w:rPr>
          <w:rStyle w:val="TextoNormalNegritaCaracter"/>
        </w:rPr>
        <w:t>Artículo 149.1.7.</w:t>
      </w:r>
      <w:r w:rsidRPr="0057104C">
        <w:rPr>
          <w:rStyle w:val="TextoNormalCaracter"/>
        </w:rPr>
        <w:t>-</w:t>
      </w:r>
      <w:r>
        <w:t xml:space="preserve"> Sentencias </w:t>
      </w:r>
      <w:hyperlink w:anchor="SENTENCIA_2016_18" w:history="1">
        <w:r w:rsidRPr="0057104C">
          <w:rPr>
            <w:rStyle w:val="TextoNormalCaracter"/>
          </w:rPr>
          <w:t>18/2016</w:t>
        </w:r>
      </w:hyperlink>
      <w:r>
        <w:t xml:space="preserve">, f. 7; </w:t>
      </w:r>
      <w:hyperlink w:anchor="SENTENCIA_2016_71" w:history="1">
        <w:r w:rsidRPr="0057104C">
          <w:rPr>
            <w:rStyle w:val="TextoNormalCaracter"/>
          </w:rPr>
          <w:t>71/2016</w:t>
        </w:r>
      </w:hyperlink>
      <w:r>
        <w:t xml:space="preserve">, ff. 1, 6; </w:t>
      </w:r>
      <w:hyperlink w:anchor="SENTENCIA_2016_95" w:history="1">
        <w:r w:rsidRPr="0057104C">
          <w:rPr>
            <w:rStyle w:val="TextoNormalCaracter"/>
          </w:rPr>
          <w:t>95/2016</w:t>
        </w:r>
      </w:hyperlink>
      <w:r>
        <w:t xml:space="preserve">, VP; </w:t>
      </w:r>
      <w:hyperlink w:anchor="SENTENCIA_2016_99" w:history="1">
        <w:r w:rsidRPr="0057104C">
          <w:rPr>
            <w:rStyle w:val="TextoNormalCaracter"/>
          </w:rPr>
          <w:t>99/2016</w:t>
        </w:r>
      </w:hyperlink>
      <w:r>
        <w:t xml:space="preserve">, ff. 1, 7; </w:t>
      </w:r>
      <w:hyperlink w:anchor="SENTENCIA_2016_110" w:history="1">
        <w:r w:rsidRPr="0057104C">
          <w:rPr>
            <w:rStyle w:val="TextoNormalCaracter"/>
          </w:rPr>
          <w:t>110/2016</w:t>
        </w:r>
      </w:hyperlink>
      <w:r>
        <w:t xml:space="preserve">, f. 7; </w:t>
      </w:r>
      <w:hyperlink w:anchor="SENTENCIA_2016_119" w:history="1">
        <w:r w:rsidRPr="0057104C">
          <w:rPr>
            <w:rStyle w:val="TextoNormalCaracter"/>
          </w:rPr>
          <w:t>119/2016</w:t>
        </w:r>
      </w:hyperlink>
      <w:r>
        <w:t>, f. 4.</w:t>
      </w:r>
    </w:p>
    <w:p w:rsidR="0057104C" w:rsidRDefault="0057104C" w:rsidP="0057104C">
      <w:pPr>
        <w:pStyle w:val="SangriaIzquierdaArticulo"/>
      </w:pPr>
      <w:r>
        <w:t xml:space="preserve">Autos </w:t>
      </w:r>
      <w:hyperlink w:anchor="AUTO_2016_55" w:history="1">
        <w:r w:rsidRPr="0057104C">
          <w:rPr>
            <w:rStyle w:val="TextoNormalCaracter"/>
          </w:rPr>
          <w:t>55/2016</w:t>
        </w:r>
      </w:hyperlink>
      <w:r>
        <w:t xml:space="preserve">, ff. 1, 3 a 6; </w:t>
      </w:r>
      <w:hyperlink w:anchor="AUTO_2016_83" w:history="1">
        <w:r w:rsidRPr="0057104C">
          <w:rPr>
            <w:rStyle w:val="TextoNormalCaracter"/>
          </w:rPr>
          <w:t>83/2016</w:t>
        </w:r>
      </w:hyperlink>
      <w:r>
        <w:t xml:space="preserve">, ff. 1 a 3, 5; </w:t>
      </w:r>
      <w:hyperlink w:anchor="AUTO_2016_131" w:history="1">
        <w:r w:rsidRPr="0057104C">
          <w:rPr>
            <w:rStyle w:val="TextoNormalCaracter"/>
          </w:rPr>
          <w:t>131/2016</w:t>
        </w:r>
      </w:hyperlink>
      <w:r>
        <w:t xml:space="preserve">, ff. 1, 4; </w:t>
      </w:r>
      <w:hyperlink w:anchor="AUTO_2016_134" w:history="1">
        <w:r w:rsidRPr="0057104C">
          <w:rPr>
            <w:rStyle w:val="TextoNormalCaracter"/>
          </w:rPr>
          <w:t>134/2016</w:t>
        </w:r>
      </w:hyperlink>
      <w:r>
        <w:t>, ff. 1, 4.</w:t>
      </w:r>
    </w:p>
    <w:p w:rsidR="0057104C" w:rsidRDefault="0057104C" w:rsidP="0057104C">
      <w:pPr>
        <w:pStyle w:val="SangriaFrancesaArticulo"/>
      </w:pPr>
      <w:r w:rsidRPr="0057104C">
        <w:rPr>
          <w:rStyle w:val="TextoNormalNegritaCaracter"/>
        </w:rPr>
        <w:t>Artículo 149.1.8.</w:t>
      </w:r>
      <w:r w:rsidRPr="0057104C">
        <w:rPr>
          <w:rStyle w:val="TextoNormalCaracter"/>
        </w:rPr>
        <w:t>-</w:t>
      </w:r>
      <w:r>
        <w:t xml:space="preserve"> Sentencias </w:t>
      </w:r>
      <w:hyperlink w:anchor="SENTENCIA_2016_18" w:history="1">
        <w:r w:rsidRPr="0057104C">
          <w:rPr>
            <w:rStyle w:val="TextoNormalCaracter"/>
          </w:rPr>
          <w:t>18/2016</w:t>
        </w:r>
      </w:hyperlink>
      <w:r>
        <w:t xml:space="preserve">, f. 10; </w:t>
      </w:r>
      <w:hyperlink w:anchor="SENTENCIA_2016_32" w:history="1">
        <w:r w:rsidRPr="0057104C">
          <w:rPr>
            <w:rStyle w:val="TextoNormalCaracter"/>
          </w:rPr>
          <w:t>32/2016</w:t>
        </w:r>
      </w:hyperlink>
      <w:r>
        <w:t xml:space="preserve">, f. 10; </w:t>
      </w:r>
      <w:hyperlink w:anchor="SENTENCIA_2016_82" w:history="1">
        <w:r w:rsidRPr="0057104C">
          <w:rPr>
            <w:rStyle w:val="TextoNormalCaracter"/>
          </w:rPr>
          <w:t>82/2016</w:t>
        </w:r>
      </w:hyperlink>
      <w:r>
        <w:t xml:space="preserve">, ff. 1, 3, 4, 6, 7, VP; </w:t>
      </w:r>
      <w:hyperlink w:anchor="SENTENCIA_2016_110" w:history="1">
        <w:r w:rsidRPr="0057104C">
          <w:rPr>
            <w:rStyle w:val="TextoNormalCaracter"/>
          </w:rPr>
          <w:t>110/2016</w:t>
        </w:r>
      </w:hyperlink>
      <w:r>
        <w:t>, ff. 1, 3 a 7, VP.</w:t>
      </w:r>
    </w:p>
    <w:p w:rsidR="0057104C" w:rsidRDefault="0057104C" w:rsidP="0057104C">
      <w:pPr>
        <w:pStyle w:val="SangriaIzquierdaArticulo"/>
      </w:pPr>
      <w:r>
        <w:t xml:space="preserve">Auto </w:t>
      </w:r>
      <w:hyperlink w:anchor="AUTO_2016_72" w:history="1">
        <w:r w:rsidRPr="0057104C">
          <w:rPr>
            <w:rStyle w:val="TextoNormalCaracter"/>
          </w:rPr>
          <w:t>72/2016</w:t>
        </w:r>
      </w:hyperlink>
      <w:r>
        <w:t>, f. 1.</w:t>
      </w:r>
    </w:p>
    <w:p w:rsidR="0057104C" w:rsidRDefault="0057104C" w:rsidP="0057104C">
      <w:pPr>
        <w:pStyle w:val="SangriaFrancesaArticulo"/>
      </w:pPr>
      <w:r w:rsidRPr="0057104C">
        <w:rPr>
          <w:rStyle w:val="TextoNormalNegritaCaracter"/>
        </w:rPr>
        <w:t>Artículo 149.1.13.</w:t>
      </w:r>
      <w:r w:rsidRPr="0057104C">
        <w:rPr>
          <w:rStyle w:val="TextoNormalCaracter"/>
        </w:rPr>
        <w:t>-</w:t>
      </w:r>
      <w:r>
        <w:t xml:space="preserve"> Sentencias </w:t>
      </w:r>
      <w:hyperlink w:anchor="SENTENCIA_2016_5" w:history="1">
        <w:r w:rsidRPr="0057104C">
          <w:rPr>
            <w:rStyle w:val="TextoNormalCaracter"/>
          </w:rPr>
          <w:t>5/2016</w:t>
        </w:r>
      </w:hyperlink>
      <w:r>
        <w:t xml:space="preserve">, ff. 1, 3, 4; </w:t>
      </w:r>
      <w:hyperlink w:anchor="SENTENCIA_2016_9" w:history="1">
        <w:r w:rsidRPr="0057104C">
          <w:rPr>
            <w:rStyle w:val="TextoNormalCaracter"/>
          </w:rPr>
          <w:t>9/2016</w:t>
        </w:r>
      </w:hyperlink>
      <w:r>
        <w:t xml:space="preserve">, f. 2; </w:t>
      </w:r>
      <w:hyperlink w:anchor="SENTENCIA_2016_17" w:history="1">
        <w:r w:rsidRPr="0057104C">
          <w:rPr>
            <w:rStyle w:val="TextoNormalCaracter"/>
          </w:rPr>
          <w:t>17/2016</w:t>
        </w:r>
      </w:hyperlink>
      <w:r>
        <w:t xml:space="preserve">, ff. 1, 4; </w:t>
      </w:r>
      <w:hyperlink w:anchor="SENTENCIA_2016_18" w:history="1">
        <w:r w:rsidRPr="0057104C">
          <w:rPr>
            <w:rStyle w:val="TextoNormalCaracter"/>
          </w:rPr>
          <w:t>18/2016</w:t>
        </w:r>
      </w:hyperlink>
      <w:r>
        <w:t xml:space="preserve">, ff. 1, 6, 7, 9, 10; </w:t>
      </w:r>
      <w:hyperlink w:anchor="SENTENCIA_2016_20" w:history="1">
        <w:r w:rsidRPr="0057104C">
          <w:rPr>
            <w:rStyle w:val="TextoNormalCaracter"/>
          </w:rPr>
          <w:t>20/2016</w:t>
        </w:r>
      </w:hyperlink>
      <w:r>
        <w:t xml:space="preserve">, ff. 1 a 3, 6, 7; </w:t>
      </w:r>
      <w:hyperlink w:anchor="SENTENCIA_2016_26" w:history="1">
        <w:r w:rsidRPr="0057104C">
          <w:rPr>
            <w:rStyle w:val="TextoNormalCaracter"/>
          </w:rPr>
          <w:t>26/2016</w:t>
        </w:r>
      </w:hyperlink>
      <w:r>
        <w:t xml:space="preserve">, ff. 6, 7; </w:t>
      </w:r>
      <w:hyperlink w:anchor="SENTENCIA_2016_32" w:history="1">
        <w:r w:rsidRPr="0057104C">
          <w:rPr>
            <w:rStyle w:val="TextoNormalCaracter"/>
          </w:rPr>
          <w:t>32/2016</w:t>
        </w:r>
      </w:hyperlink>
      <w:r>
        <w:t xml:space="preserve">, ff. 1, 4, 9, 10, 12; </w:t>
      </w:r>
      <w:hyperlink w:anchor="SENTENCIA_2016_33" w:history="1">
        <w:r w:rsidRPr="0057104C">
          <w:rPr>
            <w:rStyle w:val="TextoNormalCaracter"/>
          </w:rPr>
          <w:t>33/2016</w:t>
        </w:r>
      </w:hyperlink>
      <w:r>
        <w:t xml:space="preserve">, f. 6; </w:t>
      </w:r>
      <w:hyperlink w:anchor="SENTENCIA_2016_36" w:history="1">
        <w:r w:rsidRPr="0057104C">
          <w:rPr>
            <w:rStyle w:val="TextoNormalCaracter"/>
          </w:rPr>
          <w:t>36/2016</w:t>
        </w:r>
      </w:hyperlink>
      <w:r>
        <w:t xml:space="preserve">, ff. 1, 2; </w:t>
      </w:r>
      <w:hyperlink w:anchor="SENTENCIA_2016_37" w:history="1">
        <w:r w:rsidRPr="0057104C">
          <w:rPr>
            <w:rStyle w:val="TextoNormalCaracter"/>
          </w:rPr>
          <w:t>37/2016</w:t>
        </w:r>
      </w:hyperlink>
      <w:r>
        <w:t xml:space="preserve">, ff. 1, 4, 5; </w:t>
      </w:r>
      <w:hyperlink w:anchor="SENTENCIA_2016_41" w:history="1">
        <w:r w:rsidRPr="0057104C">
          <w:rPr>
            <w:rStyle w:val="TextoNormalCaracter"/>
          </w:rPr>
          <w:t>41/2016</w:t>
        </w:r>
      </w:hyperlink>
      <w:r>
        <w:t xml:space="preserve">, ff. 3, 4, 14; </w:t>
      </w:r>
      <w:hyperlink w:anchor="SENTENCIA_2016_54" w:history="1">
        <w:r w:rsidRPr="0057104C">
          <w:rPr>
            <w:rStyle w:val="TextoNormalCaracter"/>
          </w:rPr>
          <w:t>54/2016</w:t>
        </w:r>
      </w:hyperlink>
      <w:r>
        <w:t xml:space="preserve">, ff. 1, 2; </w:t>
      </w:r>
      <w:hyperlink w:anchor="SENTENCIA_2016_55" w:history="1">
        <w:r w:rsidRPr="0057104C">
          <w:rPr>
            <w:rStyle w:val="TextoNormalCaracter"/>
          </w:rPr>
          <w:t>55/2016</w:t>
        </w:r>
      </w:hyperlink>
      <w:r>
        <w:t xml:space="preserve">, ff. 1, 2, 4; </w:t>
      </w:r>
      <w:hyperlink w:anchor="SENTENCIA_2016_59" w:history="1">
        <w:r w:rsidRPr="0057104C">
          <w:rPr>
            <w:rStyle w:val="TextoNormalCaracter"/>
          </w:rPr>
          <w:t>59/2016</w:t>
        </w:r>
      </w:hyperlink>
      <w:r>
        <w:t xml:space="preserve">, ff. 1, 3 a 5; </w:t>
      </w:r>
      <w:hyperlink w:anchor="SENTENCIA_2016_60" w:history="1">
        <w:r w:rsidRPr="0057104C">
          <w:rPr>
            <w:rStyle w:val="TextoNormalCaracter"/>
          </w:rPr>
          <w:t>60/2016</w:t>
        </w:r>
      </w:hyperlink>
      <w:r>
        <w:t xml:space="preserve">, f. 1; </w:t>
      </w:r>
      <w:hyperlink w:anchor="SENTENCIA_2016_62" w:history="1">
        <w:r w:rsidRPr="0057104C">
          <w:rPr>
            <w:rStyle w:val="TextoNormalCaracter"/>
          </w:rPr>
          <w:t>62/2016</w:t>
        </w:r>
      </w:hyperlink>
      <w:r>
        <w:t xml:space="preserve">, ff. 1, 4, 6, 7, VPII; </w:t>
      </w:r>
      <w:hyperlink w:anchor="SENTENCIA_2016_66" w:history="1">
        <w:r w:rsidRPr="0057104C">
          <w:rPr>
            <w:rStyle w:val="TextoNormalCaracter"/>
          </w:rPr>
          <w:t>66/2016</w:t>
        </w:r>
      </w:hyperlink>
      <w:r>
        <w:t xml:space="preserve">, ff. 1, 3; </w:t>
      </w:r>
      <w:hyperlink w:anchor="SENTENCIA_2016_67" w:history="1">
        <w:r w:rsidRPr="0057104C">
          <w:rPr>
            <w:rStyle w:val="TextoNormalCaracter"/>
          </w:rPr>
          <w:t>67/2016</w:t>
        </w:r>
      </w:hyperlink>
      <w:r>
        <w:t xml:space="preserve">, ff. 1, 4; </w:t>
      </w:r>
      <w:hyperlink w:anchor="SENTENCIA_2016_68" w:history="1">
        <w:r w:rsidRPr="0057104C">
          <w:rPr>
            <w:rStyle w:val="TextoNormalCaracter"/>
          </w:rPr>
          <w:t>68/2016</w:t>
        </w:r>
      </w:hyperlink>
      <w:r>
        <w:t xml:space="preserve">, ff. 1, 4; </w:t>
      </w:r>
      <w:hyperlink w:anchor="SENTENCIA_2016_72" w:history="1">
        <w:r w:rsidRPr="0057104C">
          <w:rPr>
            <w:rStyle w:val="TextoNormalCaracter"/>
          </w:rPr>
          <w:t>72/2016</w:t>
        </w:r>
      </w:hyperlink>
      <w:r>
        <w:t xml:space="preserve">, f. 3; </w:t>
      </w:r>
      <w:hyperlink w:anchor="SENTENCIA_2016_73" w:history="1">
        <w:r w:rsidRPr="0057104C">
          <w:rPr>
            <w:rStyle w:val="TextoNormalCaracter"/>
          </w:rPr>
          <w:t>73/2016</w:t>
        </w:r>
      </w:hyperlink>
      <w:r>
        <w:t xml:space="preserve">, ff. 1, 4 a 8, 10; </w:t>
      </w:r>
      <w:hyperlink w:anchor="SENTENCIA_2016_84" w:history="1">
        <w:r w:rsidRPr="0057104C">
          <w:rPr>
            <w:rStyle w:val="TextoNormalCaracter"/>
          </w:rPr>
          <w:t>84/2016</w:t>
        </w:r>
      </w:hyperlink>
      <w:r>
        <w:t xml:space="preserve">, ff. 1, 5; </w:t>
      </w:r>
      <w:hyperlink w:anchor="SENTENCIA_2016_85" w:history="1">
        <w:r w:rsidRPr="0057104C">
          <w:rPr>
            <w:rStyle w:val="TextoNormalCaracter"/>
          </w:rPr>
          <w:t>85/2016</w:t>
        </w:r>
      </w:hyperlink>
      <w:r>
        <w:t xml:space="preserve">, VP; </w:t>
      </w:r>
      <w:hyperlink w:anchor="SENTENCIA_2016_88" w:history="1">
        <w:r w:rsidRPr="0057104C">
          <w:rPr>
            <w:rStyle w:val="TextoNormalCaracter"/>
          </w:rPr>
          <w:t>88/2016</w:t>
        </w:r>
      </w:hyperlink>
      <w:r>
        <w:t xml:space="preserve">, ff. 1, 2, 4; </w:t>
      </w:r>
      <w:hyperlink w:anchor="SENTENCIA_2016_99" w:history="1">
        <w:r w:rsidRPr="0057104C">
          <w:rPr>
            <w:rStyle w:val="TextoNormalCaracter"/>
          </w:rPr>
          <w:t>99/2016</w:t>
        </w:r>
      </w:hyperlink>
      <w:r>
        <w:t xml:space="preserve">, ff. 1, 4, 5, 7; </w:t>
      </w:r>
      <w:hyperlink w:anchor="SENTENCIA_2016_101" w:history="1">
        <w:r w:rsidRPr="0057104C">
          <w:rPr>
            <w:rStyle w:val="TextoNormalCaracter"/>
          </w:rPr>
          <w:t>101/2016</w:t>
        </w:r>
      </w:hyperlink>
      <w:r>
        <w:t xml:space="preserve">, ff. 5, 6, 9, 10, VP II; </w:t>
      </w:r>
      <w:hyperlink w:anchor="SENTENCIA_2016_110" w:history="1">
        <w:r w:rsidRPr="0057104C">
          <w:rPr>
            <w:rStyle w:val="TextoNormalCaracter"/>
          </w:rPr>
          <w:t>110/2016</w:t>
        </w:r>
      </w:hyperlink>
      <w:r>
        <w:t xml:space="preserve">, f. 7; </w:t>
      </w:r>
      <w:hyperlink w:anchor="SENTENCIA_2016_119" w:history="1">
        <w:r w:rsidRPr="0057104C">
          <w:rPr>
            <w:rStyle w:val="TextoNormalCaracter"/>
          </w:rPr>
          <w:t>119/2016</w:t>
        </w:r>
      </w:hyperlink>
      <w:r>
        <w:t xml:space="preserve">, ff. 3 a 6; </w:t>
      </w:r>
      <w:hyperlink w:anchor="SENTENCIA_2016_120" w:history="1">
        <w:r w:rsidRPr="0057104C">
          <w:rPr>
            <w:rStyle w:val="TextoNormalCaracter"/>
          </w:rPr>
          <w:t>120/2016</w:t>
        </w:r>
      </w:hyperlink>
      <w:r>
        <w:t xml:space="preserve">, ff. 1 a 3, 11; </w:t>
      </w:r>
      <w:hyperlink w:anchor="SENTENCIA_2016_124" w:history="1">
        <w:r w:rsidRPr="0057104C">
          <w:rPr>
            <w:rStyle w:val="TextoNormalCaracter"/>
          </w:rPr>
          <w:t>124/2016</w:t>
        </w:r>
      </w:hyperlink>
      <w:r>
        <w:t>, ff. 1 a 4.</w:t>
      </w:r>
    </w:p>
    <w:p w:rsidR="0057104C" w:rsidRDefault="0057104C" w:rsidP="0057104C">
      <w:pPr>
        <w:pStyle w:val="SangriaIzquierdaArticulo"/>
      </w:pPr>
      <w:r>
        <w:t xml:space="preserve">Autos </w:t>
      </w:r>
      <w:hyperlink w:anchor="AUTO_2016_12" w:history="1">
        <w:r w:rsidRPr="0057104C">
          <w:rPr>
            <w:rStyle w:val="TextoNormalCaracter"/>
          </w:rPr>
          <w:t>12/2016</w:t>
        </w:r>
      </w:hyperlink>
      <w:r>
        <w:t xml:space="preserve">, f. 1; </w:t>
      </w:r>
      <w:hyperlink w:anchor="AUTO_2016_23" w:history="1">
        <w:r w:rsidRPr="0057104C">
          <w:rPr>
            <w:rStyle w:val="TextoNormalCaracter"/>
          </w:rPr>
          <w:t>23/2016</w:t>
        </w:r>
      </w:hyperlink>
      <w:r>
        <w:t xml:space="preserve">, ff. 1 a 3; </w:t>
      </w:r>
      <w:hyperlink w:anchor="AUTO_2016_55" w:history="1">
        <w:r w:rsidRPr="0057104C">
          <w:rPr>
            <w:rStyle w:val="TextoNormalCaracter"/>
          </w:rPr>
          <w:t>55/2016</w:t>
        </w:r>
      </w:hyperlink>
      <w:r>
        <w:t xml:space="preserve">, f. 6; </w:t>
      </w:r>
      <w:hyperlink w:anchor="AUTO_2016_72" w:history="1">
        <w:r w:rsidRPr="0057104C">
          <w:rPr>
            <w:rStyle w:val="TextoNormalCaracter"/>
          </w:rPr>
          <w:t>72/2016</w:t>
        </w:r>
      </w:hyperlink>
      <w:r>
        <w:t xml:space="preserve">, f. 1; </w:t>
      </w:r>
      <w:hyperlink w:anchor="AUTO_2016_76" w:history="1">
        <w:r w:rsidRPr="0057104C">
          <w:rPr>
            <w:rStyle w:val="TextoNormalCaracter"/>
          </w:rPr>
          <w:t>76/2016</w:t>
        </w:r>
      </w:hyperlink>
      <w:r>
        <w:t xml:space="preserve">, ff. 1, 3; </w:t>
      </w:r>
      <w:hyperlink w:anchor="AUTO_2016_77" w:history="1">
        <w:r w:rsidRPr="0057104C">
          <w:rPr>
            <w:rStyle w:val="TextoNormalCaracter"/>
          </w:rPr>
          <w:t>77/2016</w:t>
        </w:r>
      </w:hyperlink>
      <w:r>
        <w:t xml:space="preserve">, ff. 1, 5; </w:t>
      </w:r>
      <w:hyperlink w:anchor="AUTO_2016_78" w:history="1">
        <w:r w:rsidRPr="0057104C">
          <w:rPr>
            <w:rStyle w:val="TextoNormalCaracter"/>
          </w:rPr>
          <w:t>78/2016</w:t>
        </w:r>
      </w:hyperlink>
      <w:r>
        <w:t xml:space="preserve">, ff. 1 a 3; </w:t>
      </w:r>
      <w:hyperlink w:anchor="AUTO_2016_83" w:history="1">
        <w:r w:rsidRPr="0057104C">
          <w:rPr>
            <w:rStyle w:val="TextoNormalCaracter"/>
          </w:rPr>
          <w:t>83/2016</w:t>
        </w:r>
      </w:hyperlink>
      <w:r>
        <w:t xml:space="preserve">, ff. 1, 2, 4, 5; </w:t>
      </w:r>
      <w:hyperlink w:anchor="AUTO_2016_85" w:history="1">
        <w:r w:rsidRPr="0057104C">
          <w:rPr>
            <w:rStyle w:val="TextoNormalCaracter"/>
          </w:rPr>
          <w:t>85/2016</w:t>
        </w:r>
      </w:hyperlink>
      <w:r>
        <w:t xml:space="preserve">, ff. 1 a 3; </w:t>
      </w:r>
      <w:hyperlink w:anchor="AUTO_2016_86" w:history="1">
        <w:r w:rsidRPr="0057104C">
          <w:rPr>
            <w:rStyle w:val="TextoNormalCaracter"/>
          </w:rPr>
          <w:t>86/2016</w:t>
        </w:r>
      </w:hyperlink>
      <w:r>
        <w:t xml:space="preserve">, ff. 1, 5; </w:t>
      </w:r>
      <w:hyperlink w:anchor="AUTO_2016_87" w:history="1">
        <w:r w:rsidRPr="0057104C">
          <w:rPr>
            <w:rStyle w:val="TextoNormalCaracter"/>
          </w:rPr>
          <w:t>87/2016</w:t>
        </w:r>
      </w:hyperlink>
      <w:r>
        <w:t xml:space="preserve">, ff. 1, 3; </w:t>
      </w:r>
      <w:hyperlink w:anchor="AUTO_2016_88" w:history="1">
        <w:r w:rsidRPr="0057104C">
          <w:rPr>
            <w:rStyle w:val="TextoNormalCaracter"/>
          </w:rPr>
          <w:t>88/2016</w:t>
        </w:r>
      </w:hyperlink>
      <w:r>
        <w:t>, ff . 1, 3.</w:t>
      </w:r>
    </w:p>
    <w:p w:rsidR="0057104C" w:rsidRDefault="0057104C" w:rsidP="0057104C">
      <w:pPr>
        <w:pStyle w:val="SangriaFrancesaArticulo"/>
      </w:pPr>
      <w:r w:rsidRPr="0057104C">
        <w:rPr>
          <w:rStyle w:val="TextoNormalNegritaCaracter"/>
        </w:rPr>
        <w:t>Artículo 149.1.14.</w:t>
      </w:r>
      <w:r w:rsidRPr="0057104C">
        <w:rPr>
          <w:rStyle w:val="TextoNormalCaracter"/>
        </w:rPr>
        <w:t>-</w:t>
      </w:r>
      <w:r>
        <w:t xml:space="preserve"> Sentencias </w:t>
      </w:r>
      <w:hyperlink w:anchor="SENTENCIA_2016_25" w:history="1">
        <w:r w:rsidRPr="0057104C">
          <w:rPr>
            <w:rStyle w:val="TextoNormalCaracter"/>
          </w:rPr>
          <w:t>25/2016</w:t>
        </w:r>
      </w:hyperlink>
      <w:r>
        <w:t xml:space="preserve">, ff. 1, 2, 5; </w:t>
      </w:r>
      <w:hyperlink w:anchor="SENTENCIA_2016_33" w:history="1">
        <w:r w:rsidRPr="0057104C">
          <w:rPr>
            <w:rStyle w:val="TextoNormalCaracter"/>
          </w:rPr>
          <w:t>33/2016</w:t>
        </w:r>
      </w:hyperlink>
      <w:r>
        <w:t xml:space="preserve">, ff. 4, 5; </w:t>
      </w:r>
      <w:hyperlink w:anchor="SENTENCIA_2016_41" w:history="1">
        <w:r w:rsidRPr="0057104C">
          <w:rPr>
            <w:rStyle w:val="TextoNormalCaracter"/>
          </w:rPr>
          <w:t>41/2016</w:t>
        </w:r>
      </w:hyperlink>
      <w:r>
        <w:t xml:space="preserve">, ff. 1, 3, 4, 6 a 8, 11, 12,15; </w:t>
      </w:r>
      <w:hyperlink w:anchor="SENTENCIA_2016_96" w:history="1">
        <w:r w:rsidRPr="0057104C">
          <w:rPr>
            <w:rStyle w:val="TextoNormalCaracter"/>
          </w:rPr>
          <w:t>96/2016</w:t>
        </w:r>
      </w:hyperlink>
      <w:r>
        <w:t xml:space="preserve">, f. 6; </w:t>
      </w:r>
      <w:hyperlink w:anchor="SENTENCIA_2016_111" w:history="1">
        <w:r w:rsidRPr="0057104C">
          <w:rPr>
            <w:rStyle w:val="TextoNormalCaracter"/>
          </w:rPr>
          <w:t>111/2016</w:t>
        </w:r>
      </w:hyperlink>
      <w:r>
        <w:t>, f. 5.</w:t>
      </w:r>
    </w:p>
    <w:p w:rsidR="0057104C" w:rsidRDefault="0057104C" w:rsidP="0057104C">
      <w:pPr>
        <w:pStyle w:val="SangriaIzquierdaArticulo"/>
      </w:pPr>
      <w:r>
        <w:t xml:space="preserve">Auto </w:t>
      </w:r>
      <w:hyperlink w:anchor="AUTO_2016_83" w:history="1">
        <w:r w:rsidRPr="0057104C">
          <w:rPr>
            <w:rStyle w:val="TextoNormalCaracter"/>
          </w:rPr>
          <w:t>83/2016</w:t>
        </w:r>
      </w:hyperlink>
      <w:r>
        <w:t>, ff. 1, 2, 4, 5.</w:t>
      </w:r>
    </w:p>
    <w:p w:rsidR="0057104C" w:rsidRDefault="0057104C" w:rsidP="0057104C">
      <w:pPr>
        <w:pStyle w:val="SangriaFrancesaArticulo"/>
      </w:pPr>
      <w:r w:rsidRPr="0057104C">
        <w:rPr>
          <w:rStyle w:val="TextoNormalNegritaCaracter"/>
        </w:rPr>
        <w:t>Artículo 149.1.16.</w:t>
      </w:r>
      <w:r w:rsidRPr="0057104C">
        <w:rPr>
          <w:rStyle w:val="TextoNormalCaracter"/>
        </w:rPr>
        <w:t>-</w:t>
      </w:r>
      <w:r>
        <w:t xml:space="preserve"> Sentencias </w:t>
      </w:r>
      <w:hyperlink w:anchor="SENTENCIA_2016_8" w:history="1">
        <w:r w:rsidRPr="0057104C">
          <w:rPr>
            <w:rStyle w:val="TextoNormalCaracter"/>
          </w:rPr>
          <w:t>8/2016</w:t>
        </w:r>
      </w:hyperlink>
      <w:r>
        <w:t xml:space="preserve">, f. 10; </w:t>
      </w:r>
      <w:hyperlink w:anchor="SENTENCIA_2016_41" w:history="1">
        <w:r w:rsidRPr="0057104C">
          <w:rPr>
            <w:rStyle w:val="TextoNormalCaracter"/>
          </w:rPr>
          <w:t>41/2016</w:t>
        </w:r>
      </w:hyperlink>
      <w:r>
        <w:t xml:space="preserve">, f. 13; </w:t>
      </w:r>
      <w:hyperlink w:anchor="SENTENCIA_2016_53" w:history="1">
        <w:r w:rsidRPr="0057104C">
          <w:rPr>
            <w:rStyle w:val="TextoNormalCaracter"/>
          </w:rPr>
          <w:t>53/2016</w:t>
        </w:r>
      </w:hyperlink>
      <w:r>
        <w:t>, ff. 1, 2, 4, VPI, VPII.</w:t>
      </w:r>
    </w:p>
    <w:p w:rsidR="0057104C" w:rsidRDefault="0057104C" w:rsidP="0057104C">
      <w:pPr>
        <w:pStyle w:val="SangriaFrancesaArticulo"/>
      </w:pPr>
      <w:r w:rsidRPr="0057104C">
        <w:rPr>
          <w:rStyle w:val="TextoNormalNegritaCaracter"/>
        </w:rPr>
        <w:t>Artículo 149.1.17.</w:t>
      </w:r>
      <w:r w:rsidRPr="0057104C">
        <w:rPr>
          <w:rStyle w:val="TextoNormalCaracter"/>
        </w:rPr>
        <w:t>-</w:t>
      </w:r>
      <w:r>
        <w:t xml:space="preserve"> Sentencias </w:t>
      </w:r>
      <w:hyperlink w:anchor="SENTENCIA_2016_7" w:history="1">
        <w:r w:rsidRPr="0057104C">
          <w:rPr>
            <w:rStyle w:val="TextoNormalCaracter"/>
          </w:rPr>
          <w:t>7/2016</w:t>
        </w:r>
      </w:hyperlink>
      <w:r>
        <w:t xml:space="preserve">, ff. 1, 3, 4; </w:t>
      </w:r>
      <w:hyperlink w:anchor="SENTENCIA_2016_18" w:history="1">
        <w:r w:rsidRPr="0057104C">
          <w:rPr>
            <w:rStyle w:val="TextoNormalCaracter"/>
          </w:rPr>
          <w:t>18/2016</w:t>
        </w:r>
      </w:hyperlink>
      <w:r>
        <w:t xml:space="preserve">, ff. 6, 7; </w:t>
      </w:r>
      <w:hyperlink w:anchor="SENTENCIA_2016_21" w:history="1">
        <w:r w:rsidRPr="0057104C">
          <w:rPr>
            <w:rStyle w:val="TextoNormalCaracter"/>
          </w:rPr>
          <w:t>21/2016</w:t>
        </w:r>
      </w:hyperlink>
      <w:r>
        <w:t xml:space="preserve">, f. 1; </w:t>
      </w:r>
      <w:hyperlink w:anchor="SENTENCIA_2016_36" w:history="1">
        <w:r w:rsidRPr="0057104C">
          <w:rPr>
            <w:rStyle w:val="TextoNormalCaracter"/>
          </w:rPr>
          <w:t>36/2016</w:t>
        </w:r>
      </w:hyperlink>
      <w:r>
        <w:t xml:space="preserve">, ff. 1, 2; </w:t>
      </w:r>
      <w:hyperlink w:anchor="SENTENCIA_2016_41" w:history="1">
        <w:r w:rsidRPr="0057104C">
          <w:rPr>
            <w:rStyle w:val="TextoNormalCaracter"/>
          </w:rPr>
          <w:t>41/2016</w:t>
        </w:r>
      </w:hyperlink>
      <w:r>
        <w:t xml:space="preserve">, f. 13; </w:t>
      </w:r>
      <w:hyperlink w:anchor="SENTENCIA_2016_73" w:history="1">
        <w:r w:rsidRPr="0057104C">
          <w:rPr>
            <w:rStyle w:val="TextoNormalCaracter"/>
          </w:rPr>
          <w:t>73/2016</w:t>
        </w:r>
      </w:hyperlink>
      <w:r>
        <w:t xml:space="preserve">, ff. 1, 3; </w:t>
      </w:r>
      <w:hyperlink w:anchor="SENTENCIA_2016_99" w:history="1">
        <w:r w:rsidRPr="0057104C">
          <w:rPr>
            <w:rStyle w:val="TextoNormalCaracter"/>
          </w:rPr>
          <w:t>99/2016</w:t>
        </w:r>
      </w:hyperlink>
      <w:r>
        <w:t xml:space="preserve">, ff. 4, 7; </w:t>
      </w:r>
      <w:hyperlink w:anchor="SENTENCIA_2016_110" w:history="1">
        <w:r w:rsidRPr="0057104C">
          <w:rPr>
            <w:rStyle w:val="TextoNormalCaracter"/>
          </w:rPr>
          <w:t>110/2016</w:t>
        </w:r>
      </w:hyperlink>
      <w:r>
        <w:t>, ff. 7, 8.</w:t>
      </w:r>
    </w:p>
    <w:p w:rsidR="0057104C" w:rsidRDefault="0057104C" w:rsidP="0057104C">
      <w:pPr>
        <w:pStyle w:val="SangriaFrancesaArticulo"/>
      </w:pPr>
      <w:r w:rsidRPr="0057104C">
        <w:rPr>
          <w:rStyle w:val="TextoNormalNegritaCaracter"/>
        </w:rPr>
        <w:t>Artículo 149.1.18.</w:t>
      </w:r>
      <w:r w:rsidRPr="0057104C">
        <w:rPr>
          <w:rStyle w:val="TextoNormalCaracter"/>
        </w:rPr>
        <w:t>-</w:t>
      </w:r>
      <w:r>
        <w:t xml:space="preserve"> Sentencias </w:t>
      </w:r>
      <w:hyperlink w:anchor="SENTENCIA_2016_5" w:history="1">
        <w:r w:rsidRPr="0057104C">
          <w:rPr>
            <w:rStyle w:val="TextoNormalCaracter"/>
          </w:rPr>
          <w:t>5/2016</w:t>
        </w:r>
      </w:hyperlink>
      <w:r>
        <w:t xml:space="preserve">, f. 1; </w:t>
      </w:r>
      <w:hyperlink w:anchor="SENTENCIA_2016_9" w:history="1">
        <w:r w:rsidRPr="0057104C">
          <w:rPr>
            <w:rStyle w:val="TextoNormalCaracter"/>
          </w:rPr>
          <w:t>9/2016</w:t>
        </w:r>
      </w:hyperlink>
      <w:r>
        <w:t xml:space="preserve">, ff. 1 a 3; </w:t>
      </w:r>
      <w:hyperlink w:anchor="SENTENCIA_2016_17" w:history="1">
        <w:r w:rsidRPr="0057104C">
          <w:rPr>
            <w:rStyle w:val="TextoNormalCaracter"/>
          </w:rPr>
          <w:t>17/2016</w:t>
        </w:r>
      </w:hyperlink>
      <w:r>
        <w:t xml:space="preserve">, ff. 1, 5; </w:t>
      </w:r>
      <w:hyperlink w:anchor="SENTENCIA_2016_18" w:history="1">
        <w:r w:rsidRPr="0057104C">
          <w:rPr>
            <w:rStyle w:val="TextoNormalCaracter"/>
          </w:rPr>
          <w:t>18/2016</w:t>
        </w:r>
      </w:hyperlink>
      <w:r>
        <w:t xml:space="preserve">, ff. 1, 6; </w:t>
      </w:r>
      <w:hyperlink w:anchor="SENTENCIA_2016_26" w:history="1">
        <w:r w:rsidRPr="0057104C">
          <w:rPr>
            <w:rStyle w:val="TextoNormalCaracter"/>
          </w:rPr>
          <w:t>26/2016</w:t>
        </w:r>
      </w:hyperlink>
      <w:r>
        <w:t xml:space="preserve">, f. 6, VP; </w:t>
      </w:r>
      <w:hyperlink w:anchor="SENTENCIA_2016_28" w:history="1">
        <w:r w:rsidRPr="0057104C">
          <w:rPr>
            <w:rStyle w:val="TextoNormalCaracter"/>
          </w:rPr>
          <w:t>28/2016</w:t>
        </w:r>
      </w:hyperlink>
      <w:r>
        <w:t xml:space="preserve">, f. 4; </w:t>
      </w:r>
      <w:hyperlink w:anchor="SENTENCIA_2016_41" w:history="1">
        <w:r w:rsidRPr="0057104C">
          <w:rPr>
            <w:rStyle w:val="TextoNormalCaracter"/>
          </w:rPr>
          <w:t>41/2016</w:t>
        </w:r>
      </w:hyperlink>
      <w:r>
        <w:t xml:space="preserve">, ff. 1, 3 a 14; </w:t>
      </w:r>
      <w:hyperlink w:anchor="SENTENCIA_2016_44" w:history="1">
        <w:r w:rsidRPr="0057104C">
          <w:rPr>
            <w:rStyle w:val="TextoNormalCaracter"/>
          </w:rPr>
          <w:t>44/2016</w:t>
        </w:r>
      </w:hyperlink>
      <w:r>
        <w:t xml:space="preserve">, f. 5; </w:t>
      </w:r>
      <w:hyperlink w:anchor="SENTENCIA_2016_54" w:history="1">
        <w:r w:rsidRPr="0057104C">
          <w:rPr>
            <w:rStyle w:val="TextoNormalCaracter"/>
          </w:rPr>
          <w:t>54/2016</w:t>
        </w:r>
      </w:hyperlink>
      <w:r>
        <w:t xml:space="preserve">, ff. 1, 2; </w:t>
      </w:r>
      <w:hyperlink w:anchor="SENTENCIA_2016_57" w:history="1">
        <w:r w:rsidRPr="0057104C">
          <w:rPr>
            <w:rStyle w:val="TextoNormalCaracter"/>
          </w:rPr>
          <w:t>57/2016</w:t>
        </w:r>
      </w:hyperlink>
      <w:r>
        <w:t xml:space="preserve">, ff. 4, 6, 8; </w:t>
      </w:r>
      <w:hyperlink w:anchor="SENTENCIA_2016_66" w:history="1">
        <w:r w:rsidRPr="0057104C">
          <w:rPr>
            <w:rStyle w:val="TextoNormalCaracter"/>
          </w:rPr>
          <w:t>66/2016</w:t>
        </w:r>
      </w:hyperlink>
      <w:r>
        <w:t xml:space="preserve">, ff. 1, 3, 4; </w:t>
      </w:r>
      <w:hyperlink w:anchor="SENTENCIA_2016_67" w:history="1">
        <w:r w:rsidRPr="0057104C">
          <w:rPr>
            <w:rStyle w:val="TextoNormalCaracter"/>
          </w:rPr>
          <w:t>67/2016</w:t>
        </w:r>
      </w:hyperlink>
      <w:r>
        <w:t xml:space="preserve">, ff. 1, 4, 5; </w:t>
      </w:r>
      <w:hyperlink w:anchor="SENTENCIA_2016_68" w:history="1">
        <w:r w:rsidRPr="0057104C">
          <w:rPr>
            <w:rStyle w:val="TextoNormalCaracter"/>
          </w:rPr>
          <w:t>68/2016</w:t>
        </w:r>
      </w:hyperlink>
      <w:r>
        <w:t xml:space="preserve">, ff. 1, 4, 5; </w:t>
      </w:r>
      <w:hyperlink w:anchor="SENTENCIA_2016_84" w:history="1">
        <w:r w:rsidRPr="0057104C">
          <w:rPr>
            <w:rStyle w:val="TextoNormalCaracter"/>
          </w:rPr>
          <w:t>84/2016</w:t>
        </w:r>
      </w:hyperlink>
      <w:r>
        <w:t xml:space="preserve">, ff. 1, 5; </w:t>
      </w:r>
      <w:hyperlink w:anchor="SENTENCIA_2016_99" w:history="1">
        <w:r w:rsidRPr="0057104C">
          <w:rPr>
            <w:rStyle w:val="TextoNormalCaracter"/>
          </w:rPr>
          <w:t>99/2016</w:t>
        </w:r>
      </w:hyperlink>
      <w:r>
        <w:t xml:space="preserve">, ff. 1, 7, VP; </w:t>
      </w:r>
      <w:hyperlink w:anchor="SENTENCIA_2016_110" w:history="1">
        <w:r w:rsidRPr="0057104C">
          <w:rPr>
            <w:rStyle w:val="TextoNormalCaracter"/>
          </w:rPr>
          <w:t>110/2016</w:t>
        </w:r>
      </w:hyperlink>
      <w:r>
        <w:t xml:space="preserve">, ff. 4, 7, 8; </w:t>
      </w:r>
      <w:hyperlink w:anchor="SENTENCIA_2016_111" w:history="1">
        <w:r w:rsidRPr="0057104C">
          <w:rPr>
            <w:rStyle w:val="TextoNormalCaracter"/>
          </w:rPr>
          <w:t>111/2016</w:t>
        </w:r>
      </w:hyperlink>
      <w:r>
        <w:t xml:space="preserve">, ff. 2, 8 a 12; </w:t>
      </w:r>
      <w:hyperlink w:anchor="SENTENCIA_2016_119" w:history="1">
        <w:r w:rsidRPr="0057104C">
          <w:rPr>
            <w:rStyle w:val="TextoNormalCaracter"/>
          </w:rPr>
          <w:t>119/2016</w:t>
        </w:r>
      </w:hyperlink>
      <w:r>
        <w:t>, ff. 3, 4.</w:t>
      </w:r>
    </w:p>
    <w:p w:rsidR="0057104C" w:rsidRDefault="0057104C" w:rsidP="0057104C">
      <w:pPr>
        <w:pStyle w:val="SangriaIzquierdaArticulo"/>
      </w:pPr>
      <w:r>
        <w:t xml:space="preserve">Autos </w:t>
      </w:r>
      <w:hyperlink w:anchor="AUTO_2016_23" w:history="1">
        <w:r w:rsidRPr="0057104C">
          <w:rPr>
            <w:rStyle w:val="TextoNormalCaracter"/>
          </w:rPr>
          <w:t>23/2016</w:t>
        </w:r>
      </w:hyperlink>
      <w:r>
        <w:t xml:space="preserve">, ff. 1 a 3; </w:t>
      </w:r>
      <w:hyperlink w:anchor="AUTO_2016_55" w:history="1">
        <w:r w:rsidRPr="0057104C">
          <w:rPr>
            <w:rStyle w:val="TextoNormalCaracter"/>
          </w:rPr>
          <w:t>55/2016</w:t>
        </w:r>
      </w:hyperlink>
      <w:r>
        <w:t xml:space="preserve">, f. 6; </w:t>
      </w:r>
      <w:hyperlink w:anchor="AUTO_2016_73" w:history="1">
        <w:r w:rsidRPr="0057104C">
          <w:rPr>
            <w:rStyle w:val="TextoNormalCaracter"/>
          </w:rPr>
          <w:t>73/2016</w:t>
        </w:r>
      </w:hyperlink>
      <w:r>
        <w:t xml:space="preserve">, f. 1; </w:t>
      </w:r>
      <w:hyperlink w:anchor="AUTO_2016_76" w:history="1">
        <w:r w:rsidRPr="0057104C">
          <w:rPr>
            <w:rStyle w:val="TextoNormalCaracter"/>
          </w:rPr>
          <w:t>76/2016</w:t>
        </w:r>
      </w:hyperlink>
      <w:r>
        <w:t xml:space="preserve">, ff. 1, 3; </w:t>
      </w:r>
      <w:hyperlink w:anchor="AUTO_2016_77" w:history="1">
        <w:r w:rsidRPr="0057104C">
          <w:rPr>
            <w:rStyle w:val="TextoNormalCaracter"/>
          </w:rPr>
          <w:t>77/2016</w:t>
        </w:r>
      </w:hyperlink>
      <w:r>
        <w:t xml:space="preserve">, ff. 1, 5; </w:t>
      </w:r>
      <w:hyperlink w:anchor="AUTO_2016_78" w:history="1">
        <w:r w:rsidRPr="0057104C">
          <w:rPr>
            <w:rStyle w:val="TextoNormalCaracter"/>
          </w:rPr>
          <w:t>78/2016</w:t>
        </w:r>
      </w:hyperlink>
      <w:r>
        <w:t xml:space="preserve">, ff. 1 a 3; </w:t>
      </w:r>
      <w:hyperlink w:anchor="AUTO_2016_83" w:history="1">
        <w:r w:rsidRPr="0057104C">
          <w:rPr>
            <w:rStyle w:val="TextoNormalCaracter"/>
          </w:rPr>
          <w:t>83/2016</w:t>
        </w:r>
      </w:hyperlink>
      <w:r>
        <w:t xml:space="preserve">, ff. 1, 2; </w:t>
      </w:r>
      <w:hyperlink w:anchor="AUTO_2016_84" w:history="1">
        <w:r w:rsidRPr="0057104C">
          <w:rPr>
            <w:rStyle w:val="TextoNormalCaracter"/>
          </w:rPr>
          <w:t>84/2016</w:t>
        </w:r>
      </w:hyperlink>
      <w:r>
        <w:t xml:space="preserve">, ff. 1, 6; </w:t>
      </w:r>
      <w:hyperlink w:anchor="AUTO_2016_85" w:history="1">
        <w:r w:rsidRPr="0057104C">
          <w:rPr>
            <w:rStyle w:val="TextoNormalCaracter"/>
          </w:rPr>
          <w:t>85/2016</w:t>
        </w:r>
      </w:hyperlink>
      <w:r>
        <w:t xml:space="preserve">, ff. 1 a 3; </w:t>
      </w:r>
      <w:hyperlink w:anchor="AUTO_2016_86" w:history="1">
        <w:r w:rsidRPr="0057104C">
          <w:rPr>
            <w:rStyle w:val="TextoNormalCaracter"/>
          </w:rPr>
          <w:t>86/2016</w:t>
        </w:r>
      </w:hyperlink>
      <w:r>
        <w:t xml:space="preserve">, ff. 1, 5; </w:t>
      </w:r>
      <w:hyperlink w:anchor="AUTO_2016_87" w:history="1">
        <w:r w:rsidRPr="0057104C">
          <w:rPr>
            <w:rStyle w:val="TextoNormalCaracter"/>
          </w:rPr>
          <w:t>87/2016</w:t>
        </w:r>
      </w:hyperlink>
      <w:r>
        <w:t xml:space="preserve">, ff. 1, 3; </w:t>
      </w:r>
      <w:hyperlink w:anchor="AUTO_2016_88" w:history="1">
        <w:r w:rsidRPr="0057104C">
          <w:rPr>
            <w:rStyle w:val="TextoNormalCaracter"/>
          </w:rPr>
          <w:t>88/2016</w:t>
        </w:r>
      </w:hyperlink>
      <w:r>
        <w:t xml:space="preserve">, ff. 1, 3; </w:t>
      </w:r>
      <w:hyperlink w:anchor="AUTO_2016_89" w:history="1">
        <w:r w:rsidRPr="0057104C">
          <w:rPr>
            <w:rStyle w:val="TextoNormalCaracter"/>
          </w:rPr>
          <w:t>89/2016</w:t>
        </w:r>
      </w:hyperlink>
      <w:r>
        <w:t xml:space="preserve">, ff. 1, 7; </w:t>
      </w:r>
      <w:hyperlink w:anchor="AUTO_2016_90" w:history="1">
        <w:r w:rsidRPr="0057104C">
          <w:rPr>
            <w:rStyle w:val="TextoNormalCaracter"/>
          </w:rPr>
          <w:t>90/2016</w:t>
        </w:r>
      </w:hyperlink>
      <w:r>
        <w:t xml:space="preserve">, f. 1; </w:t>
      </w:r>
      <w:hyperlink w:anchor="AUTO_2016_101" w:history="1">
        <w:r w:rsidRPr="0057104C">
          <w:rPr>
            <w:rStyle w:val="TextoNormalCaracter"/>
          </w:rPr>
          <w:t>101/2016</w:t>
        </w:r>
      </w:hyperlink>
      <w:r>
        <w:t xml:space="preserve">, ff. 1, 4; </w:t>
      </w:r>
      <w:hyperlink w:anchor="AUTO_2016_102" w:history="1">
        <w:r w:rsidRPr="0057104C">
          <w:rPr>
            <w:rStyle w:val="TextoNormalCaracter"/>
          </w:rPr>
          <w:t>102/2016</w:t>
        </w:r>
      </w:hyperlink>
      <w:r>
        <w:t xml:space="preserve">, ff. 1, 4; </w:t>
      </w:r>
      <w:hyperlink w:anchor="AUTO_2016_103" w:history="1">
        <w:r w:rsidRPr="0057104C">
          <w:rPr>
            <w:rStyle w:val="TextoNormalCaracter"/>
          </w:rPr>
          <w:t>103/2016</w:t>
        </w:r>
      </w:hyperlink>
      <w:r>
        <w:t xml:space="preserve">, ff. 1, 6; </w:t>
      </w:r>
      <w:hyperlink w:anchor="AUTO_2016_132" w:history="1">
        <w:r w:rsidRPr="0057104C">
          <w:rPr>
            <w:rStyle w:val="TextoNormalCaracter"/>
          </w:rPr>
          <w:t>132/2016</w:t>
        </w:r>
      </w:hyperlink>
      <w:r>
        <w:t>, ff. 1, 7.</w:t>
      </w:r>
    </w:p>
    <w:p w:rsidR="0057104C" w:rsidRDefault="0057104C" w:rsidP="0057104C">
      <w:pPr>
        <w:pStyle w:val="SangriaFrancesaArticulo"/>
      </w:pPr>
      <w:r w:rsidRPr="0057104C">
        <w:rPr>
          <w:rStyle w:val="TextoNormalNegritaCaracter"/>
        </w:rPr>
        <w:t>Artículo 149.1.20.</w:t>
      </w:r>
      <w:r w:rsidRPr="0057104C">
        <w:rPr>
          <w:rStyle w:val="TextoNormalCaracter"/>
        </w:rPr>
        <w:t>-</w:t>
      </w:r>
      <w:r>
        <w:t xml:space="preserve"> Sentencias </w:t>
      </w:r>
      <w:hyperlink w:anchor="SENTENCIA_2016_53" w:history="1">
        <w:r w:rsidRPr="0057104C">
          <w:rPr>
            <w:rStyle w:val="TextoNormalCaracter"/>
          </w:rPr>
          <w:t>53/2016</w:t>
        </w:r>
      </w:hyperlink>
      <w:r>
        <w:t xml:space="preserve">, ff. 1, 2, 4, VPI, VPII; </w:t>
      </w:r>
      <w:hyperlink w:anchor="SENTENCIA_2016_124" w:history="1">
        <w:r w:rsidRPr="0057104C">
          <w:rPr>
            <w:rStyle w:val="TextoNormalCaracter"/>
          </w:rPr>
          <w:t>124/2016</w:t>
        </w:r>
      </w:hyperlink>
      <w:r>
        <w:t>, ff. 3, 9.</w:t>
      </w:r>
    </w:p>
    <w:p w:rsidR="0057104C" w:rsidRDefault="0057104C" w:rsidP="0057104C">
      <w:pPr>
        <w:pStyle w:val="SangriaFrancesaArticulo"/>
      </w:pPr>
      <w:r w:rsidRPr="0057104C">
        <w:rPr>
          <w:rStyle w:val="TextoNormalNegritaCaracter"/>
        </w:rPr>
        <w:t>Artículo 149.1.21.</w:t>
      </w:r>
      <w:r w:rsidRPr="0057104C">
        <w:rPr>
          <w:rStyle w:val="TextoNormalCaracter"/>
        </w:rPr>
        <w:t>-</w:t>
      </w:r>
      <w:r>
        <w:t xml:space="preserve"> Sentencias </w:t>
      </w:r>
      <w:hyperlink w:anchor="SENTENCIA_2016_8" w:history="1">
        <w:r w:rsidRPr="0057104C">
          <w:rPr>
            <w:rStyle w:val="TextoNormalCaracter"/>
          </w:rPr>
          <w:t>8/2016</w:t>
        </w:r>
      </w:hyperlink>
      <w:r>
        <w:t xml:space="preserve">, ff. 1 a 3, 6 a 10; </w:t>
      </w:r>
      <w:hyperlink w:anchor="SENTENCIA_2016_20" w:history="1">
        <w:r w:rsidRPr="0057104C">
          <w:rPr>
            <w:rStyle w:val="TextoNormalCaracter"/>
          </w:rPr>
          <w:t>20/2016</w:t>
        </w:r>
      </w:hyperlink>
      <w:r>
        <w:t xml:space="preserve">, ff. 1 a 10; </w:t>
      </w:r>
      <w:hyperlink w:anchor="SENTENCIA_2016_32" w:history="1">
        <w:r w:rsidRPr="0057104C">
          <w:rPr>
            <w:rStyle w:val="TextoNormalCaracter"/>
          </w:rPr>
          <w:t>32/2016</w:t>
        </w:r>
      </w:hyperlink>
      <w:r>
        <w:t xml:space="preserve">, f. 10, VPII; </w:t>
      </w:r>
      <w:hyperlink w:anchor="SENTENCIA_2016_124" w:history="1">
        <w:r w:rsidRPr="0057104C">
          <w:rPr>
            <w:rStyle w:val="TextoNormalCaracter"/>
          </w:rPr>
          <w:t>124/2016</w:t>
        </w:r>
      </w:hyperlink>
      <w:r>
        <w:t>, ff. 1 a 4, 6.</w:t>
      </w:r>
    </w:p>
    <w:p w:rsidR="0057104C" w:rsidRDefault="0057104C" w:rsidP="0057104C">
      <w:pPr>
        <w:pStyle w:val="SangriaFrancesaArticulo"/>
      </w:pPr>
      <w:r w:rsidRPr="0057104C">
        <w:rPr>
          <w:rStyle w:val="TextoNormalNegritaCaracter"/>
        </w:rPr>
        <w:t>Artículo 149.1.22.</w:t>
      </w:r>
      <w:r w:rsidRPr="0057104C">
        <w:rPr>
          <w:rStyle w:val="TextoNormalCaracter"/>
        </w:rPr>
        <w:t>-</w:t>
      </w:r>
      <w:r>
        <w:t xml:space="preserve"> Sentencias </w:t>
      </w:r>
      <w:hyperlink w:anchor="SENTENCIA_2016_32" w:history="1">
        <w:r w:rsidRPr="0057104C">
          <w:rPr>
            <w:rStyle w:val="TextoNormalCaracter"/>
          </w:rPr>
          <w:t>32/2016</w:t>
        </w:r>
      </w:hyperlink>
      <w:r>
        <w:t xml:space="preserve">, ff. 1, 3, 5, 8; </w:t>
      </w:r>
      <w:hyperlink w:anchor="SENTENCIA_2016_60" w:history="1">
        <w:r w:rsidRPr="0057104C">
          <w:rPr>
            <w:rStyle w:val="TextoNormalCaracter"/>
          </w:rPr>
          <w:t>60/2016</w:t>
        </w:r>
      </w:hyperlink>
      <w:r>
        <w:t xml:space="preserve">, f. 3; </w:t>
      </w:r>
      <w:hyperlink w:anchor="SENTENCIA_2016_72" w:history="1">
        <w:r w:rsidRPr="0057104C">
          <w:rPr>
            <w:rStyle w:val="TextoNormalCaracter"/>
          </w:rPr>
          <w:t>72/2016</w:t>
        </w:r>
      </w:hyperlink>
      <w:r>
        <w:t xml:space="preserve">, f. 3; </w:t>
      </w:r>
      <w:hyperlink w:anchor="SENTENCIA_2016_124" w:history="1">
        <w:r w:rsidRPr="0057104C">
          <w:rPr>
            <w:rStyle w:val="TextoNormalCaracter"/>
          </w:rPr>
          <w:t>124/2016</w:t>
        </w:r>
      </w:hyperlink>
      <w:r>
        <w:t>, f. 7.</w:t>
      </w:r>
    </w:p>
    <w:p w:rsidR="0057104C" w:rsidRDefault="0057104C" w:rsidP="0057104C">
      <w:pPr>
        <w:pStyle w:val="SangriaFrancesaArticulo"/>
      </w:pPr>
      <w:r w:rsidRPr="0057104C">
        <w:rPr>
          <w:rStyle w:val="TextoNormalNegritaCaracter"/>
        </w:rPr>
        <w:t>Artículo 149.1.23.</w:t>
      </w:r>
      <w:r w:rsidRPr="0057104C">
        <w:rPr>
          <w:rStyle w:val="TextoNormalCaracter"/>
        </w:rPr>
        <w:t>-</w:t>
      </w:r>
      <w:r>
        <w:t xml:space="preserve"> Sentencias </w:t>
      </w:r>
      <w:hyperlink w:anchor="SENTENCIA_2016_5" w:history="1">
        <w:r w:rsidRPr="0057104C">
          <w:rPr>
            <w:rStyle w:val="TextoNormalCaracter"/>
          </w:rPr>
          <w:t>5/2016</w:t>
        </w:r>
      </w:hyperlink>
      <w:r>
        <w:t xml:space="preserve">, ff. 1, 3, 4; </w:t>
      </w:r>
      <w:hyperlink w:anchor="SENTENCIA_2016_6" w:history="1">
        <w:r w:rsidRPr="0057104C">
          <w:rPr>
            <w:rStyle w:val="TextoNormalCaracter"/>
          </w:rPr>
          <w:t>6/2016</w:t>
        </w:r>
      </w:hyperlink>
      <w:r>
        <w:t xml:space="preserve">, f. 4; </w:t>
      </w:r>
      <w:hyperlink w:anchor="SENTENCIA_2016_8" w:history="1">
        <w:r w:rsidRPr="0057104C">
          <w:rPr>
            <w:rStyle w:val="TextoNormalCaracter"/>
          </w:rPr>
          <w:t>8/2016</w:t>
        </w:r>
      </w:hyperlink>
      <w:r>
        <w:t xml:space="preserve">, ff. 3, 10; </w:t>
      </w:r>
      <w:hyperlink w:anchor="SENTENCIA_2016_28" w:history="1">
        <w:r w:rsidRPr="0057104C">
          <w:rPr>
            <w:rStyle w:val="TextoNormalCaracter"/>
          </w:rPr>
          <w:t>28/2016</w:t>
        </w:r>
      </w:hyperlink>
      <w:r>
        <w:t xml:space="preserve">, ff. 3, 4, 7; </w:t>
      </w:r>
      <w:hyperlink w:anchor="SENTENCIA_2016_53" w:history="1">
        <w:r w:rsidRPr="0057104C">
          <w:rPr>
            <w:rStyle w:val="TextoNormalCaracter"/>
          </w:rPr>
          <w:t>53/2016</w:t>
        </w:r>
      </w:hyperlink>
      <w:r>
        <w:t xml:space="preserve">, ff. 1, 2, 4, VPII; </w:t>
      </w:r>
      <w:hyperlink w:anchor="SENTENCIA_2016_57" w:history="1">
        <w:r w:rsidRPr="0057104C">
          <w:rPr>
            <w:rStyle w:val="TextoNormalCaracter"/>
          </w:rPr>
          <w:t>57/2016</w:t>
        </w:r>
      </w:hyperlink>
      <w:r>
        <w:t xml:space="preserve">, ff. 2, 4, 6, 8, 10,11; </w:t>
      </w:r>
      <w:hyperlink w:anchor="SENTENCIA_2016_73" w:history="1">
        <w:r w:rsidRPr="0057104C">
          <w:rPr>
            <w:rStyle w:val="TextoNormalCaracter"/>
          </w:rPr>
          <w:t>73/2016</w:t>
        </w:r>
      </w:hyperlink>
      <w:r>
        <w:t xml:space="preserve">, ff. 1, 7, 8, 10; </w:t>
      </w:r>
      <w:hyperlink w:anchor="SENTENCIA_2016_111" w:history="1">
        <w:r w:rsidRPr="0057104C">
          <w:rPr>
            <w:rStyle w:val="TextoNormalCaracter"/>
          </w:rPr>
          <w:t>111/2016</w:t>
        </w:r>
      </w:hyperlink>
      <w:r>
        <w:t>, f. 12.</w:t>
      </w:r>
    </w:p>
    <w:p w:rsidR="0057104C" w:rsidRDefault="0057104C" w:rsidP="0057104C">
      <w:pPr>
        <w:pStyle w:val="SangriaIzquierdaArticulo"/>
      </w:pPr>
      <w:r>
        <w:t xml:space="preserve">Autos </w:t>
      </w:r>
      <w:hyperlink w:anchor="AUTO_2016_23" w:history="1">
        <w:r w:rsidRPr="0057104C">
          <w:rPr>
            <w:rStyle w:val="TextoNormalCaracter"/>
          </w:rPr>
          <w:t>23/2016</w:t>
        </w:r>
      </w:hyperlink>
      <w:r>
        <w:t xml:space="preserve">, ff. 1 a 3; </w:t>
      </w:r>
      <w:hyperlink w:anchor="AUTO_2016_76" w:history="1">
        <w:r w:rsidRPr="0057104C">
          <w:rPr>
            <w:rStyle w:val="TextoNormalCaracter"/>
          </w:rPr>
          <w:t>76/2016</w:t>
        </w:r>
      </w:hyperlink>
      <w:r>
        <w:t xml:space="preserve">, ff. 1, 3; </w:t>
      </w:r>
      <w:hyperlink w:anchor="AUTO_2016_77" w:history="1">
        <w:r w:rsidRPr="0057104C">
          <w:rPr>
            <w:rStyle w:val="TextoNormalCaracter"/>
          </w:rPr>
          <w:t>77/2016</w:t>
        </w:r>
      </w:hyperlink>
      <w:r>
        <w:t xml:space="preserve">, ff. 1, 5; </w:t>
      </w:r>
      <w:hyperlink w:anchor="AUTO_2016_78" w:history="1">
        <w:r w:rsidRPr="0057104C">
          <w:rPr>
            <w:rStyle w:val="TextoNormalCaracter"/>
          </w:rPr>
          <w:t>78/2016</w:t>
        </w:r>
      </w:hyperlink>
      <w:r>
        <w:t xml:space="preserve">, ff. 1 a 3; </w:t>
      </w:r>
      <w:hyperlink w:anchor="AUTO_2016_85" w:history="1">
        <w:r w:rsidRPr="0057104C">
          <w:rPr>
            <w:rStyle w:val="TextoNormalCaracter"/>
          </w:rPr>
          <w:t>85/2016</w:t>
        </w:r>
      </w:hyperlink>
      <w:r>
        <w:t xml:space="preserve">, ff. 1 a 3; </w:t>
      </w:r>
      <w:hyperlink w:anchor="AUTO_2016_86" w:history="1">
        <w:r w:rsidRPr="0057104C">
          <w:rPr>
            <w:rStyle w:val="TextoNormalCaracter"/>
          </w:rPr>
          <w:t>86/2016</w:t>
        </w:r>
      </w:hyperlink>
      <w:r>
        <w:t xml:space="preserve">, ff. 1, 5; </w:t>
      </w:r>
      <w:hyperlink w:anchor="AUTO_2016_87" w:history="1">
        <w:r w:rsidRPr="0057104C">
          <w:rPr>
            <w:rStyle w:val="TextoNormalCaracter"/>
          </w:rPr>
          <w:t>87/2016</w:t>
        </w:r>
      </w:hyperlink>
      <w:r>
        <w:t xml:space="preserve">, ff. 1, 3; </w:t>
      </w:r>
      <w:hyperlink w:anchor="AUTO_2016_88" w:history="1">
        <w:r w:rsidRPr="0057104C">
          <w:rPr>
            <w:rStyle w:val="TextoNormalCaracter"/>
          </w:rPr>
          <w:t>88/2016</w:t>
        </w:r>
      </w:hyperlink>
      <w:r>
        <w:t>, ff. 1, 3.</w:t>
      </w:r>
    </w:p>
    <w:p w:rsidR="0057104C" w:rsidRDefault="0057104C" w:rsidP="0057104C">
      <w:pPr>
        <w:pStyle w:val="SangriaFrancesaArticulo"/>
      </w:pPr>
      <w:r w:rsidRPr="0057104C">
        <w:rPr>
          <w:rStyle w:val="TextoNormalNegritaCaracter"/>
        </w:rPr>
        <w:t>Artículo 149.1.24.</w:t>
      </w:r>
      <w:r w:rsidRPr="0057104C">
        <w:rPr>
          <w:rStyle w:val="TextoNormalCaracter"/>
        </w:rPr>
        <w:t>-</w:t>
      </w:r>
      <w:r>
        <w:t xml:space="preserve"> Sentencia </w:t>
      </w:r>
      <w:hyperlink w:anchor="SENTENCIA_2016_124" w:history="1">
        <w:r w:rsidRPr="0057104C">
          <w:rPr>
            <w:rStyle w:val="TextoNormalCaracter"/>
          </w:rPr>
          <w:t>124/2016</w:t>
        </w:r>
      </w:hyperlink>
      <w:r>
        <w:t>, ff. 1 a 4, 6, 10.</w:t>
      </w:r>
    </w:p>
    <w:p w:rsidR="0057104C" w:rsidRDefault="0057104C" w:rsidP="0057104C">
      <w:pPr>
        <w:pStyle w:val="SangriaFrancesaArticulo"/>
      </w:pPr>
      <w:r w:rsidRPr="0057104C">
        <w:rPr>
          <w:rStyle w:val="TextoNormalNegritaCaracter"/>
        </w:rPr>
        <w:t>Artículo 149.1.25.</w:t>
      </w:r>
      <w:r w:rsidRPr="0057104C">
        <w:rPr>
          <w:rStyle w:val="TextoNormalCaracter"/>
        </w:rPr>
        <w:t>-</w:t>
      </w:r>
      <w:r>
        <w:t xml:space="preserve"> Sentencias </w:t>
      </w:r>
      <w:hyperlink w:anchor="SENTENCIA_2016_32" w:history="1">
        <w:r w:rsidRPr="0057104C">
          <w:rPr>
            <w:rStyle w:val="TextoNormalCaracter"/>
          </w:rPr>
          <w:t>32/2016</w:t>
        </w:r>
      </w:hyperlink>
      <w:r>
        <w:t xml:space="preserve">, ff. 1, 4, 9 a 12, VPI, VPII; </w:t>
      </w:r>
      <w:hyperlink w:anchor="SENTENCIA_2016_33" w:history="1">
        <w:r w:rsidRPr="0057104C">
          <w:rPr>
            <w:rStyle w:val="TextoNormalCaracter"/>
          </w:rPr>
          <w:t>33/2016</w:t>
        </w:r>
      </w:hyperlink>
      <w:r>
        <w:t xml:space="preserve">, ff. 6, 8; </w:t>
      </w:r>
      <w:hyperlink w:anchor="SENTENCIA_2016_60" w:history="1">
        <w:r w:rsidRPr="0057104C">
          <w:rPr>
            <w:rStyle w:val="TextoNormalCaracter"/>
          </w:rPr>
          <w:t>60/2016</w:t>
        </w:r>
      </w:hyperlink>
      <w:r>
        <w:t xml:space="preserve">, ff. 1, 3, 5, 6; </w:t>
      </w:r>
      <w:hyperlink w:anchor="SENTENCIA_2016_62" w:history="1">
        <w:r w:rsidRPr="0057104C">
          <w:rPr>
            <w:rStyle w:val="TextoNormalCaracter"/>
          </w:rPr>
          <w:t>62/2016</w:t>
        </w:r>
      </w:hyperlink>
      <w:r>
        <w:t xml:space="preserve">, ff. 1, 4, 6, 7, 10, VPII; </w:t>
      </w:r>
      <w:hyperlink w:anchor="SENTENCIA_2016_72" w:history="1">
        <w:r w:rsidRPr="0057104C">
          <w:rPr>
            <w:rStyle w:val="TextoNormalCaracter"/>
          </w:rPr>
          <w:t>72/2016</w:t>
        </w:r>
      </w:hyperlink>
      <w:r>
        <w:t xml:space="preserve">, f. 3; </w:t>
      </w:r>
      <w:hyperlink w:anchor="SENTENCIA_2016_73" w:history="1">
        <w:r w:rsidRPr="0057104C">
          <w:rPr>
            <w:rStyle w:val="TextoNormalCaracter"/>
          </w:rPr>
          <w:t>73/2016</w:t>
        </w:r>
      </w:hyperlink>
      <w:r>
        <w:t xml:space="preserve">, ff. 1, 7, 8, 10; </w:t>
      </w:r>
      <w:hyperlink w:anchor="SENTENCIA_2016_120" w:history="1">
        <w:r w:rsidRPr="0057104C">
          <w:rPr>
            <w:rStyle w:val="TextoNormalCaracter"/>
          </w:rPr>
          <w:t>120/2016</w:t>
        </w:r>
      </w:hyperlink>
      <w:r>
        <w:t>, ff. 1 a 3, 11.</w:t>
      </w:r>
    </w:p>
    <w:p w:rsidR="0057104C" w:rsidRDefault="0057104C" w:rsidP="0057104C">
      <w:pPr>
        <w:pStyle w:val="SangriaIzquierdaArticulo"/>
      </w:pPr>
      <w:r>
        <w:t xml:space="preserve">Auto </w:t>
      </w:r>
      <w:hyperlink w:anchor="AUTO_2016_72" w:history="1">
        <w:r w:rsidRPr="0057104C">
          <w:rPr>
            <w:rStyle w:val="TextoNormalCaracter"/>
          </w:rPr>
          <w:t>72/2016</w:t>
        </w:r>
      </w:hyperlink>
      <w:r>
        <w:t>, f. 1.</w:t>
      </w:r>
    </w:p>
    <w:p w:rsidR="0057104C" w:rsidRDefault="0057104C" w:rsidP="0057104C">
      <w:pPr>
        <w:pStyle w:val="SangriaFrancesaArticulo"/>
      </w:pPr>
      <w:r w:rsidRPr="0057104C">
        <w:rPr>
          <w:rStyle w:val="TextoNormalNegritaCaracter"/>
        </w:rPr>
        <w:t>Artículo 149.1.27.</w:t>
      </w:r>
      <w:r w:rsidRPr="0057104C">
        <w:rPr>
          <w:rStyle w:val="TextoNormalCaracter"/>
        </w:rPr>
        <w:t>-</w:t>
      </w:r>
      <w:r>
        <w:t xml:space="preserve"> Sentencias </w:t>
      </w:r>
      <w:hyperlink w:anchor="SENTENCIA_2016_8" w:history="1">
        <w:r w:rsidRPr="0057104C">
          <w:rPr>
            <w:rStyle w:val="TextoNormalCaracter"/>
          </w:rPr>
          <w:t>8/2016</w:t>
        </w:r>
      </w:hyperlink>
      <w:r>
        <w:t xml:space="preserve">, f. 3; </w:t>
      </w:r>
      <w:hyperlink w:anchor="SENTENCIA_2016_20" w:history="1">
        <w:r w:rsidRPr="0057104C">
          <w:rPr>
            <w:rStyle w:val="TextoNormalCaracter"/>
          </w:rPr>
          <w:t>20/2016</w:t>
        </w:r>
      </w:hyperlink>
      <w:r>
        <w:t>, ff. 1, 3, 4, 10.</w:t>
      </w:r>
    </w:p>
    <w:p w:rsidR="0057104C" w:rsidRDefault="0057104C" w:rsidP="0057104C">
      <w:pPr>
        <w:pStyle w:val="SangriaFrancesaArticulo"/>
      </w:pPr>
      <w:r w:rsidRPr="0057104C">
        <w:rPr>
          <w:rStyle w:val="TextoNormalNegritaCaracter"/>
        </w:rPr>
        <w:t>Artículo 149.1.29.</w:t>
      </w:r>
      <w:r w:rsidRPr="0057104C">
        <w:rPr>
          <w:rStyle w:val="TextoNormalCaracter"/>
        </w:rPr>
        <w:t>-</w:t>
      </w:r>
      <w:r>
        <w:t xml:space="preserve"> Sentencia </w:t>
      </w:r>
      <w:hyperlink w:anchor="SENTENCIA_2016_87" w:history="1">
        <w:r w:rsidRPr="0057104C">
          <w:rPr>
            <w:rStyle w:val="TextoNormalCaracter"/>
          </w:rPr>
          <w:t>87/2016</w:t>
        </w:r>
      </w:hyperlink>
      <w:r>
        <w:t>, ff. 1, 2, 5, 6.</w:t>
      </w:r>
    </w:p>
    <w:p w:rsidR="0057104C" w:rsidRDefault="0057104C" w:rsidP="0057104C">
      <w:pPr>
        <w:pStyle w:val="SangriaIzquierdaArticulo"/>
      </w:pPr>
      <w:r>
        <w:t xml:space="preserve">Auto </w:t>
      </w:r>
      <w:hyperlink w:anchor="AUTO_2016_89" w:history="1">
        <w:r w:rsidRPr="0057104C">
          <w:rPr>
            <w:rStyle w:val="TextoNormalCaracter"/>
          </w:rPr>
          <w:t>89/2016</w:t>
        </w:r>
      </w:hyperlink>
      <w:r>
        <w:t>, f. 1.</w:t>
      </w:r>
    </w:p>
    <w:p w:rsidR="0057104C" w:rsidRDefault="0057104C" w:rsidP="0057104C">
      <w:pPr>
        <w:pStyle w:val="SangriaFrancesaArticulo"/>
      </w:pPr>
      <w:r w:rsidRPr="0057104C">
        <w:rPr>
          <w:rStyle w:val="TextoNormalNegritaCaracter"/>
        </w:rPr>
        <w:t>Artículo 149.1.30.</w:t>
      </w:r>
      <w:r w:rsidRPr="0057104C">
        <w:rPr>
          <w:rStyle w:val="TextoNormalCaracter"/>
        </w:rPr>
        <w:t>-</w:t>
      </w:r>
      <w:r>
        <w:t xml:space="preserve"> Sentencias </w:t>
      </w:r>
      <w:hyperlink w:anchor="SENTENCIA_2016_26" w:history="1">
        <w:r w:rsidRPr="0057104C">
          <w:rPr>
            <w:rStyle w:val="TextoNormalCaracter"/>
          </w:rPr>
          <w:t>26/2016</w:t>
        </w:r>
      </w:hyperlink>
      <w:r>
        <w:t xml:space="preserve">, ff. 4, 6, VP; </w:t>
      </w:r>
      <w:hyperlink w:anchor="SENTENCIA_2016_54" w:history="1">
        <w:r w:rsidRPr="0057104C">
          <w:rPr>
            <w:rStyle w:val="TextoNormalCaracter"/>
          </w:rPr>
          <w:t>54/2016</w:t>
        </w:r>
      </w:hyperlink>
      <w:r>
        <w:t xml:space="preserve">, ff. 1, 2; </w:t>
      </w:r>
      <w:hyperlink w:anchor="SENTENCIA_2016_66" w:history="1">
        <w:r w:rsidRPr="0057104C">
          <w:rPr>
            <w:rStyle w:val="TextoNormalCaracter"/>
          </w:rPr>
          <w:t>66/2016</w:t>
        </w:r>
      </w:hyperlink>
      <w:r>
        <w:t xml:space="preserve">, ff. 1, 3 a 5; </w:t>
      </w:r>
      <w:hyperlink w:anchor="SENTENCIA_2016_67" w:history="1">
        <w:r w:rsidRPr="0057104C">
          <w:rPr>
            <w:rStyle w:val="TextoNormalCaracter"/>
          </w:rPr>
          <w:t>67/2016</w:t>
        </w:r>
      </w:hyperlink>
      <w:r>
        <w:t xml:space="preserve">, ff. 1, 4 a 6; </w:t>
      </w:r>
      <w:hyperlink w:anchor="SENTENCIA_2016_68" w:history="1">
        <w:r w:rsidRPr="0057104C">
          <w:rPr>
            <w:rStyle w:val="TextoNormalCaracter"/>
          </w:rPr>
          <w:t>68/2016</w:t>
        </w:r>
      </w:hyperlink>
      <w:r>
        <w:t xml:space="preserve">, ff. 1, 4 a 6; </w:t>
      </w:r>
      <w:hyperlink w:anchor="SENTENCIA_2016_84" w:history="1">
        <w:r w:rsidRPr="0057104C">
          <w:rPr>
            <w:rStyle w:val="TextoNormalCaracter"/>
          </w:rPr>
          <w:t>84/2016</w:t>
        </w:r>
      </w:hyperlink>
      <w:r>
        <w:t xml:space="preserve">, ff. 1, 5; </w:t>
      </w:r>
      <w:hyperlink w:anchor="SENTENCIA_2016_95" w:history="1">
        <w:r w:rsidRPr="0057104C">
          <w:rPr>
            <w:rStyle w:val="TextoNormalCaracter"/>
          </w:rPr>
          <w:t>95/2016</w:t>
        </w:r>
      </w:hyperlink>
      <w:r>
        <w:t>, ff. 1, 3 a 5.</w:t>
      </w:r>
    </w:p>
    <w:p w:rsidR="0057104C" w:rsidRDefault="0057104C" w:rsidP="0057104C">
      <w:pPr>
        <w:pStyle w:val="SangriaFrancesaArticulo"/>
      </w:pPr>
      <w:r w:rsidRPr="0057104C">
        <w:rPr>
          <w:rStyle w:val="TextoNormalNegritaCaracter"/>
        </w:rPr>
        <w:t>Artículo 149.2.</w:t>
      </w:r>
      <w:r w:rsidRPr="0057104C">
        <w:rPr>
          <w:rStyle w:val="TextoNormalCaracter"/>
        </w:rPr>
        <w:t>-</w:t>
      </w:r>
      <w:r>
        <w:t xml:space="preserve"> Sentencia </w:t>
      </w:r>
      <w:hyperlink w:anchor="SENTENCIA_2016_35" w:history="1">
        <w:r w:rsidRPr="0057104C">
          <w:rPr>
            <w:rStyle w:val="TextoNormalCaracter"/>
          </w:rPr>
          <w:t>35/2016</w:t>
        </w:r>
      </w:hyperlink>
      <w:r>
        <w:t>, f. 5.</w:t>
      </w:r>
    </w:p>
    <w:p w:rsidR="0057104C" w:rsidRDefault="0057104C" w:rsidP="0057104C">
      <w:pPr>
        <w:pStyle w:val="SangriaFrancesaArticulo"/>
      </w:pPr>
      <w:r w:rsidRPr="0057104C">
        <w:rPr>
          <w:rStyle w:val="TextoNormalNegritaCaracter"/>
        </w:rPr>
        <w:t>Artículo 149.3.</w:t>
      </w:r>
      <w:r w:rsidRPr="0057104C">
        <w:rPr>
          <w:rStyle w:val="TextoNormalCaracter"/>
        </w:rPr>
        <w:t>-</w:t>
      </w:r>
      <w:r>
        <w:t xml:space="preserve"> Sentencias </w:t>
      </w:r>
      <w:hyperlink w:anchor="SENTENCIA_2016_41" w:history="1">
        <w:r w:rsidRPr="0057104C">
          <w:rPr>
            <w:rStyle w:val="TextoNormalCaracter"/>
          </w:rPr>
          <w:t>41/2016</w:t>
        </w:r>
      </w:hyperlink>
      <w:r>
        <w:t xml:space="preserve">, f. 1; </w:t>
      </w:r>
      <w:hyperlink w:anchor="SENTENCIA_2016_87" w:history="1">
        <w:r w:rsidRPr="0057104C">
          <w:rPr>
            <w:rStyle w:val="TextoNormalCaracter"/>
          </w:rPr>
          <w:t>87/2016</w:t>
        </w:r>
      </w:hyperlink>
      <w:r>
        <w:t xml:space="preserve">, f. 5; </w:t>
      </w:r>
      <w:hyperlink w:anchor="SENTENCIA_2016_116" w:history="1">
        <w:r w:rsidRPr="0057104C">
          <w:rPr>
            <w:rStyle w:val="TextoNormalCaracter"/>
          </w:rPr>
          <w:t>116/2016</w:t>
        </w:r>
      </w:hyperlink>
      <w:r>
        <w:t>, f. 2.</w:t>
      </w:r>
    </w:p>
    <w:p w:rsidR="0057104C" w:rsidRDefault="0057104C" w:rsidP="0057104C">
      <w:pPr>
        <w:pStyle w:val="SangriaFrancesaArticulo"/>
      </w:pPr>
      <w:r w:rsidRPr="0057104C">
        <w:rPr>
          <w:rStyle w:val="TextoNormalNegritaCaracter"/>
        </w:rPr>
        <w:t>Artículo 149.3</w:t>
      </w:r>
      <w:r>
        <w:t xml:space="preserve"> (prevalencia)</w:t>
      </w:r>
      <w:r w:rsidRPr="0057104C">
        <w:rPr>
          <w:rStyle w:val="TextoNormalNegritaCaracter"/>
        </w:rPr>
        <w:t>.</w:t>
      </w:r>
      <w:r w:rsidRPr="0057104C">
        <w:rPr>
          <w:rStyle w:val="TextoNormalCaracter"/>
        </w:rPr>
        <w:t>-</w:t>
      </w:r>
      <w:r>
        <w:t xml:space="preserve"> Sentencia </w:t>
      </w:r>
      <w:hyperlink w:anchor="SENTENCIA_2016_102" w:history="1">
        <w:r w:rsidRPr="0057104C">
          <w:rPr>
            <w:rStyle w:val="TextoNormalCaracter"/>
          </w:rPr>
          <w:t>102/2016</w:t>
        </w:r>
      </w:hyperlink>
      <w:r>
        <w:t>, f. 6, VP.</w:t>
      </w:r>
    </w:p>
    <w:p w:rsidR="0057104C" w:rsidRDefault="0057104C" w:rsidP="0057104C">
      <w:pPr>
        <w:pStyle w:val="SangriaFrancesaArticulo"/>
      </w:pPr>
      <w:r w:rsidRPr="0057104C">
        <w:rPr>
          <w:rStyle w:val="TextoNormalNegritaCaracter"/>
        </w:rPr>
        <w:t>Artículo 150.</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150.1.</w:t>
      </w:r>
      <w:r w:rsidRPr="0057104C">
        <w:rPr>
          <w:rStyle w:val="TextoNormalCaracter"/>
        </w:rPr>
        <w:t>-</w:t>
      </w:r>
      <w:r>
        <w:t xml:space="preserve"> Sentencias </w:t>
      </w:r>
      <w:hyperlink w:anchor="SENTENCIA_2016_25" w:history="1">
        <w:r w:rsidRPr="0057104C">
          <w:rPr>
            <w:rStyle w:val="TextoNormalCaracter"/>
          </w:rPr>
          <w:t>25/2016</w:t>
        </w:r>
      </w:hyperlink>
      <w:r>
        <w:t xml:space="preserve">, ff. 1, 2, 5; </w:t>
      </w:r>
      <w:hyperlink w:anchor="SENTENCIA_2016_33" w:history="1">
        <w:r w:rsidRPr="0057104C">
          <w:rPr>
            <w:rStyle w:val="TextoNormalCaracter"/>
          </w:rPr>
          <w:t>33/2016</w:t>
        </w:r>
      </w:hyperlink>
      <w:r>
        <w:t xml:space="preserve">, f. 4; </w:t>
      </w:r>
      <w:hyperlink w:anchor="SENTENCIA_2016_41" w:history="1">
        <w:r w:rsidRPr="0057104C">
          <w:rPr>
            <w:rStyle w:val="TextoNormalCaracter"/>
          </w:rPr>
          <w:t>41/2016</w:t>
        </w:r>
      </w:hyperlink>
      <w:r>
        <w:t>, ff. 1, 9, 13.</w:t>
      </w:r>
    </w:p>
    <w:p w:rsidR="0057104C" w:rsidRDefault="0057104C" w:rsidP="0057104C">
      <w:pPr>
        <w:pStyle w:val="SangriaFrancesaArticulo"/>
      </w:pPr>
      <w:r w:rsidRPr="0057104C">
        <w:rPr>
          <w:rStyle w:val="TextoNormalNegritaCaracter"/>
        </w:rPr>
        <w:t>Artículo 150.2.</w:t>
      </w:r>
      <w:r w:rsidRPr="0057104C">
        <w:rPr>
          <w:rStyle w:val="TextoNormalCaracter"/>
        </w:rPr>
        <w:t>-</w:t>
      </w:r>
      <w:r>
        <w:t xml:space="preserve"> Sentencias </w:t>
      </w:r>
      <w:hyperlink w:anchor="SENTENCIA_2016_41" w:history="1">
        <w:r w:rsidRPr="0057104C">
          <w:rPr>
            <w:rStyle w:val="TextoNormalCaracter"/>
          </w:rPr>
          <w:t>41/2016</w:t>
        </w:r>
      </w:hyperlink>
      <w:r>
        <w:t xml:space="preserve">, ff. 1, 9, 13; </w:t>
      </w:r>
      <w:hyperlink w:anchor="SENTENCIA_2016_82" w:history="1">
        <w:r w:rsidRPr="0057104C">
          <w:rPr>
            <w:rStyle w:val="TextoNormalCaracter"/>
          </w:rPr>
          <w:t>82/2016</w:t>
        </w:r>
      </w:hyperlink>
      <w:r>
        <w:t>, f. 3.</w:t>
      </w:r>
    </w:p>
    <w:p w:rsidR="0057104C" w:rsidRDefault="0057104C" w:rsidP="0057104C">
      <w:pPr>
        <w:pStyle w:val="SangriaFrancesaArticulo"/>
      </w:pPr>
      <w:r w:rsidRPr="0057104C">
        <w:rPr>
          <w:rStyle w:val="TextoNormalNegritaCaracter"/>
        </w:rPr>
        <w:t>Artículo 152.1.</w:t>
      </w:r>
      <w:r w:rsidRPr="0057104C">
        <w:rPr>
          <w:rStyle w:val="TextoNormalCaracter"/>
        </w:rPr>
        <w:t>-</w:t>
      </w:r>
      <w:r>
        <w:t xml:space="preserve"> Sentencias </w:t>
      </w:r>
      <w:hyperlink w:anchor="SENTENCIA_2016_18" w:history="1">
        <w:r w:rsidRPr="0057104C">
          <w:rPr>
            <w:rStyle w:val="TextoNormalCaracter"/>
          </w:rPr>
          <w:t>18/2016</w:t>
        </w:r>
      </w:hyperlink>
      <w:r>
        <w:t xml:space="preserve">, f. 6; </w:t>
      </w:r>
      <w:hyperlink w:anchor="SENTENCIA_2016_109" w:history="1">
        <w:r w:rsidRPr="0057104C">
          <w:rPr>
            <w:rStyle w:val="TextoNormalCaracter"/>
          </w:rPr>
          <w:t>109/2016</w:t>
        </w:r>
      </w:hyperlink>
      <w:r>
        <w:t>, f. 5.</w:t>
      </w:r>
    </w:p>
    <w:p w:rsidR="0057104C" w:rsidRDefault="0057104C" w:rsidP="0057104C">
      <w:pPr>
        <w:pStyle w:val="SangriaFrancesaArticulo"/>
      </w:pPr>
      <w:r w:rsidRPr="0057104C">
        <w:rPr>
          <w:rStyle w:val="TextoNormalNegritaCaracter"/>
        </w:rPr>
        <w:t>Artículo 153 a).</w:t>
      </w:r>
      <w:r w:rsidRPr="0057104C">
        <w:rPr>
          <w:rStyle w:val="TextoNormalCaracter"/>
        </w:rPr>
        <w:t>-</w:t>
      </w:r>
      <w:r>
        <w:t xml:space="preserve"> Sentencias </w:t>
      </w:r>
      <w:hyperlink w:anchor="SENTENCIA_2016_102" w:history="1">
        <w:r w:rsidRPr="0057104C">
          <w:rPr>
            <w:rStyle w:val="TextoNormalCaracter"/>
          </w:rPr>
          <w:t>102/2016</w:t>
        </w:r>
      </w:hyperlink>
      <w:r>
        <w:t xml:space="preserve">, VP;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153 c).</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153 d).</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155.</w:t>
      </w:r>
      <w:r w:rsidRPr="0057104C">
        <w:rPr>
          <w:rStyle w:val="TextoNormalCaracter"/>
        </w:rPr>
        <w:t>-</w:t>
      </w:r>
      <w:r>
        <w:t xml:space="preserve"> Sentencias </w:t>
      </w:r>
      <w:hyperlink w:anchor="SENTENCIA_2016_41" w:history="1">
        <w:r w:rsidRPr="0057104C">
          <w:rPr>
            <w:rStyle w:val="TextoNormalCaracter"/>
          </w:rPr>
          <w:t>41/2016</w:t>
        </w:r>
      </w:hyperlink>
      <w:r>
        <w:t xml:space="preserve">, f. 16; </w:t>
      </w:r>
      <w:hyperlink w:anchor="SENTENCIA_2016_101" w:history="1">
        <w:r w:rsidRPr="0057104C">
          <w:rPr>
            <w:rStyle w:val="TextoNormalCaracter"/>
          </w:rPr>
          <w:t>101/2016</w:t>
        </w:r>
      </w:hyperlink>
      <w:r>
        <w:t>, VP I.</w:t>
      </w:r>
    </w:p>
    <w:p w:rsidR="0057104C" w:rsidRDefault="0057104C" w:rsidP="0057104C">
      <w:pPr>
        <w:pStyle w:val="SangriaFrancesaArticulo"/>
      </w:pPr>
      <w:r w:rsidRPr="0057104C">
        <w:rPr>
          <w:rStyle w:val="TextoNormalNegritaCaracter"/>
        </w:rPr>
        <w:t>Artículo 156.</w:t>
      </w:r>
      <w:r w:rsidRPr="0057104C">
        <w:rPr>
          <w:rStyle w:val="TextoNormalCaracter"/>
        </w:rPr>
        <w:t>-</w:t>
      </w:r>
      <w:r>
        <w:t xml:space="preserve"> Sentencias </w:t>
      </w:r>
      <w:hyperlink w:anchor="SENTENCIA_2016_18" w:history="1">
        <w:r w:rsidRPr="0057104C">
          <w:rPr>
            <w:rStyle w:val="TextoNormalCaracter"/>
          </w:rPr>
          <w:t>18/2016</w:t>
        </w:r>
      </w:hyperlink>
      <w:r>
        <w:t xml:space="preserve">, ff. 1, 6; </w:t>
      </w:r>
      <w:hyperlink w:anchor="SENTENCIA_2016_26" w:history="1">
        <w:r w:rsidRPr="0057104C">
          <w:rPr>
            <w:rStyle w:val="TextoNormalCaracter"/>
          </w:rPr>
          <w:t>26/2016</w:t>
        </w:r>
      </w:hyperlink>
      <w:r>
        <w:t xml:space="preserve">, f. 7; </w:t>
      </w:r>
      <w:hyperlink w:anchor="SENTENCIA_2016_41" w:history="1">
        <w:r w:rsidRPr="0057104C">
          <w:rPr>
            <w:rStyle w:val="TextoNormalCaracter"/>
          </w:rPr>
          <w:t>41/2016</w:t>
        </w:r>
      </w:hyperlink>
      <w:r>
        <w:t xml:space="preserve">, ff. 1, 13; </w:t>
      </w:r>
      <w:hyperlink w:anchor="SENTENCIA_2016_101" w:history="1">
        <w:r w:rsidRPr="0057104C">
          <w:rPr>
            <w:rStyle w:val="TextoNormalCaracter"/>
          </w:rPr>
          <w:t>101/2016</w:t>
        </w:r>
      </w:hyperlink>
      <w:r>
        <w:t xml:space="preserve">, f. 6; </w:t>
      </w:r>
      <w:hyperlink w:anchor="SENTENCIA_2016_111" w:history="1">
        <w:r w:rsidRPr="0057104C">
          <w:rPr>
            <w:rStyle w:val="TextoNormalCaracter"/>
          </w:rPr>
          <w:t>111/2016</w:t>
        </w:r>
      </w:hyperlink>
      <w:r>
        <w:t>, f. 1.</w:t>
      </w:r>
    </w:p>
    <w:p w:rsidR="0057104C" w:rsidRDefault="0057104C" w:rsidP="0057104C">
      <w:pPr>
        <w:pStyle w:val="SangriaFrancesaArticulo"/>
      </w:pPr>
      <w:r w:rsidRPr="0057104C">
        <w:rPr>
          <w:rStyle w:val="TextoNormalNegritaCaracter"/>
        </w:rPr>
        <w:t>Artículo 156.1.</w:t>
      </w:r>
      <w:r w:rsidRPr="0057104C">
        <w:rPr>
          <w:rStyle w:val="TextoNormalCaracter"/>
        </w:rPr>
        <w:t>-</w:t>
      </w:r>
      <w:r>
        <w:t xml:space="preserve"> Sentencias </w:t>
      </w:r>
      <w:hyperlink w:anchor="SENTENCIA_2016_18" w:history="1">
        <w:r w:rsidRPr="0057104C">
          <w:rPr>
            <w:rStyle w:val="TextoNormalCaracter"/>
          </w:rPr>
          <w:t>18/2016</w:t>
        </w:r>
      </w:hyperlink>
      <w:r>
        <w:t xml:space="preserve">, f. 6; </w:t>
      </w:r>
      <w:hyperlink w:anchor="SENTENCIA_2016_26" w:history="1">
        <w:r w:rsidRPr="0057104C">
          <w:rPr>
            <w:rStyle w:val="TextoNormalCaracter"/>
          </w:rPr>
          <w:t>26/2016</w:t>
        </w:r>
      </w:hyperlink>
      <w:r>
        <w:t xml:space="preserve">, f. 7; </w:t>
      </w:r>
      <w:hyperlink w:anchor="SENTENCIA_2016_41" w:history="1">
        <w:r w:rsidRPr="0057104C">
          <w:rPr>
            <w:rStyle w:val="TextoNormalCaracter"/>
          </w:rPr>
          <w:t>41/2016</w:t>
        </w:r>
      </w:hyperlink>
      <w:r>
        <w:t xml:space="preserve">, f. 16; </w:t>
      </w:r>
      <w:hyperlink w:anchor="SENTENCIA_2016_74" w:history="1">
        <w:r w:rsidRPr="0057104C">
          <w:rPr>
            <w:rStyle w:val="TextoNormalCaracter"/>
          </w:rPr>
          <w:t>74/2016</w:t>
        </w:r>
      </w:hyperlink>
      <w:r>
        <w:t xml:space="preserve">, VP; </w:t>
      </w:r>
      <w:hyperlink w:anchor="SENTENCIA_2016_84" w:history="1">
        <w:r w:rsidRPr="0057104C">
          <w:rPr>
            <w:rStyle w:val="TextoNormalCaracter"/>
          </w:rPr>
          <w:t>84/2016</w:t>
        </w:r>
      </w:hyperlink>
      <w:r>
        <w:t xml:space="preserve">, ff. 1, 6; </w:t>
      </w:r>
      <w:hyperlink w:anchor="SENTENCIA_2016_88" w:history="1">
        <w:r w:rsidRPr="0057104C">
          <w:rPr>
            <w:rStyle w:val="TextoNormalCaracter"/>
          </w:rPr>
          <w:t>88/2016</w:t>
        </w:r>
      </w:hyperlink>
      <w:r>
        <w:t xml:space="preserve">, ff. 1, 2, 4; </w:t>
      </w:r>
      <w:hyperlink w:anchor="SENTENCIA_2016_95" w:history="1">
        <w:r w:rsidRPr="0057104C">
          <w:rPr>
            <w:rStyle w:val="TextoNormalCaracter"/>
          </w:rPr>
          <w:t>95/2016</w:t>
        </w:r>
      </w:hyperlink>
      <w:r>
        <w:t xml:space="preserve">, f. 6; </w:t>
      </w:r>
      <w:hyperlink w:anchor="SENTENCIA_2016_96" w:history="1">
        <w:r w:rsidRPr="0057104C">
          <w:rPr>
            <w:rStyle w:val="TextoNormalCaracter"/>
          </w:rPr>
          <w:t>96/2016</w:t>
        </w:r>
      </w:hyperlink>
      <w:r>
        <w:t xml:space="preserve">, ff. 4, 8; </w:t>
      </w:r>
      <w:hyperlink w:anchor="SENTENCIA_2016_99" w:history="1">
        <w:r w:rsidRPr="0057104C">
          <w:rPr>
            <w:rStyle w:val="TextoNormalCaracter"/>
          </w:rPr>
          <w:t>99/2016</w:t>
        </w:r>
      </w:hyperlink>
      <w:r>
        <w:t xml:space="preserve">, f. 5; </w:t>
      </w:r>
      <w:hyperlink w:anchor="SENTENCIA_2016_101" w:history="1">
        <w:r w:rsidRPr="0057104C">
          <w:rPr>
            <w:rStyle w:val="TextoNormalCaracter"/>
          </w:rPr>
          <w:t>101/2016</w:t>
        </w:r>
      </w:hyperlink>
      <w:r>
        <w:t xml:space="preserve">, ff. 1, 4 a 6, 8, 10, VP II, VP III;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Autos </w:t>
      </w:r>
      <w:hyperlink w:anchor="AUTO_2016_55" w:history="1">
        <w:r w:rsidRPr="0057104C">
          <w:rPr>
            <w:rStyle w:val="TextoNormalCaracter"/>
          </w:rPr>
          <w:t>55/2016</w:t>
        </w:r>
      </w:hyperlink>
      <w:r>
        <w:t xml:space="preserve">, f. 6; </w:t>
      </w:r>
      <w:hyperlink w:anchor="AUTO_2016_83" w:history="1">
        <w:r w:rsidRPr="0057104C">
          <w:rPr>
            <w:rStyle w:val="TextoNormalCaracter"/>
          </w:rPr>
          <w:t>83/2016</w:t>
        </w:r>
      </w:hyperlink>
      <w:r>
        <w:t>, ff. 4, 5.</w:t>
      </w:r>
    </w:p>
    <w:p w:rsidR="0057104C" w:rsidRDefault="0057104C" w:rsidP="0057104C">
      <w:pPr>
        <w:pStyle w:val="SangriaFrancesaArticulo"/>
      </w:pPr>
      <w:r w:rsidRPr="0057104C">
        <w:rPr>
          <w:rStyle w:val="TextoNormalNegritaCaracter"/>
        </w:rPr>
        <w:t>Artículo 156.2.</w:t>
      </w:r>
      <w:r w:rsidRPr="0057104C">
        <w:rPr>
          <w:rStyle w:val="TextoNormalCaracter"/>
        </w:rPr>
        <w:t>-</w:t>
      </w:r>
      <w:r>
        <w:t xml:space="preserve"> Sentencia </w:t>
      </w:r>
      <w:hyperlink w:anchor="SENTENCIA_2016_119" w:history="1">
        <w:r w:rsidRPr="0057104C">
          <w:rPr>
            <w:rStyle w:val="TextoNormalCaracter"/>
          </w:rPr>
          <w:t>119/2016</w:t>
        </w:r>
      </w:hyperlink>
      <w:r>
        <w:t>, f. 4.</w:t>
      </w:r>
    </w:p>
    <w:p w:rsidR="0057104C" w:rsidRDefault="0057104C" w:rsidP="0057104C">
      <w:pPr>
        <w:pStyle w:val="SangriaFrancesaArticulo"/>
      </w:pPr>
      <w:r w:rsidRPr="0057104C">
        <w:rPr>
          <w:rStyle w:val="TextoNormalNegritaCaracter"/>
        </w:rPr>
        <w:t>Artículo 157.1.</w:t>
      </w:r>
      <w:r w:rsidRPr="0057104C">
        <w:rPr>
          <w:rStyle w:val="TextoNormalCaracter"/>
        </w:rPr>
        <w:t>-</w:t>
      </w:r>
      <w:r>
        <w:t xml:space="preserve"> Sentencias </w:t>
      </w:r>
      <w:hyperlink w:anchor="SENTENCIA_2016_25" w:history="1">
        <w:r w:rsidRPr="0057104C">
          <w:rPr>
            <w:rStyle w:val="TextoNormalCaracter"/>
          </w:rPr>
          <w:t>25/2016</w:t>
        </w:r>
      </w:hyperlink>
      <w:r>
        <w:t xml:space="preserve">, ff. 1, 2, 5; </w:t>
      </w:r>
      <w:hyperlink w:anchor="SENTENCIA_2016_101" w:history="1">
        <w:r w:rsidRPr="0057104C">
          <w:rPr>
            <w:rStyle w:val="TextoNormalCaracter"/>
          </w:rPr>
          <w:t>101/2016</w:t>
        </w:r>
      </w:hyperlink>
      <w:r>
        <w:t>, VP III.</w:t>
      </w:r>
    </w:p>
    <w:p w:rsidR="0057104C" w:rsidRDefault="0057104C" w:rsidP="0057104C">
      <w:pPr>
        <w:pStyle w:val="SangriaFrancesaArticulo"/>
      </w:pPr>
      <w:r w:rsidRPr="0057104C">
        <w:rPr>
          <w:rStyle w:val="TextoNormalNegritaCaracter"/>
        </w:rPr>
        <w:t>Artículo 157.1 b).</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r w:rsidRPr="0057104C">
        <w:rPr>
          <w:rStyle w:val="TextoNormalNegritaCaracter"/>
        </w:rPr>
        <w:t>Artículo 157.1 c).</w:t>
      </w:r>
      <w:r w:rsidRPr="0057104C">
        <w:rPr>
          <w:rStyle w:val="TextoNormalCaracter"/>
        </w:rPr>
        <w:t>-</w:t>
      </w:r>
      <w:r>
        <w:t xml:space="preserve"> Sentencia </w:t>
      </w:r>
      <w:hyperlink w:anchor="SENTENCIA_2016_96" w:history="1">
        <w:r w:rsidRPr="0057104C">
          <w:rPr>
            <w:rStyle w:val="TextoNormalCaracter"/>
          </w:rPr>
          <w:t>96/2016</w:t>
        </w:r>
      </w:hyperlink>
      <w:r>
        <w:t>, f. 4.</w:t>
      </w:r>
    </w:p>
    <w:p w:rsidR="0057104C" w:rsidRDefault="0057104C" w:rsidP="0057104C">
      <w:pPr>
        <w:pStyle w:val="SangriaFrancesaArticulo"/>
      </w:pPr>
      <w:r w:rsidRPr="0057104C">
        <w:rPr>
          <w:rStyle w:val="TextoNormalNegritaCaracter"/>
        </w:rPr>
        <w:t>Artículo 157.1 e).</w:t>
      </w:r>
      <w:r w:rsidRPr="0057104C">
        <w:rPr>
          <w:rStyle w:val="TextoNormalCaracter"/>
        </w:rPr>
        <w:t>-</w:t>
      </w:r>
      <w:r>
        <w:t xml:space="preserve"> Sentencia </w:t>
      </w:r>
      <w:hyperlink w:anchor="SENTENCIA_2016_101" w:history="1">
        <w:r w:rsidRPr="0057104C">
          <w:rPr>
            <w:rStyle w:val="TextoNormalCaracter"/>
          </w:rPr>
          <w:t>101/2016</w:t>
        </w:r>
      </w:hyperlink>
      <w:r>
        <w:t>, f. 8.</w:t>
      </w:r>
    </w:p>
    <w:p w:rsidR="0057104C" w:rsidRDefault="0057104C" w:rsidP="0057104C">
      <w:pPr>
        <w:pStyle w:val="SangriaFrancesaArticulo"/>
      </w:pPr>
      <w:r w:rsidRPr="0057104C">
        <w:rPr>
          <w:rStyle w:val="TextoNormalNegritaCaracter"/>
        </w:rPr>
        <w:t>Artículo 157.2.</w:t>
      </w:r>
      <w:r w:rsidRPr="0057104C">
        <w:rPr>
          <w:rStyle w:val="TextoNormalCaracter"/>
        </w:rPr>
        <w:t>-</w:t>
      </w:r>
      <w:r>
        <w:t xml:space="preserve"> Sentencias </w:t>
      </w:r>
      <w:hyperlink w:anchor="SENTENCIA_2016_74" w:history="1">
        <w:r w:rsidRPr="0057104C">
          <w:rPr>
            <w:rStyle w:val="TextoNormalCaracter"/>
          </w:rPr>
          <w:t>74/2016</w:t>
        </w:r>
      </w:hyperlink>
      <w:r>
        <w:t xml:space="preserve">, VP;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157.3.</w:t>
      </w:r>
      <w:r w:rsidRPr="0057104C">
        <w:rPr>
          <w:rStyle w:val="TextoNormalCaracter"/>
        </w:rPr>
        <w:t>-</w:t>
      </w:r>
      <w:r>
        <w:t xml:space="preserve"> Sentencias </w:t>
      </w:r>
      <w:hyperlink w:anchor="SENTENCIA_2016_25" w:history="1">
        <w:r w:rsidRPr="0057104C">
          <w:rPr>
            <w:rStyle w:val="TextoNormalCaracter"/>
          </w:rPr>
          <w:t>25/2016</w:t>
        </w:r>
      </w:hyperlink>
      <w:r>
        <w:t xml:space="preserve">, ff. 1, 2, 5; </w:t>
      </w:r>
      <w:hyperlink w:anchor="SENTENCIA_2016_33" w:history="1">
        <w:r w:rsidRPr="0057104C">
          <w:rPr>
            <w:rStyle w:val="TextoNormalCaracter"/>
          </w:rPr>
          <w:t>33/2016</w:t>
        </w:r>
      </w:hyperlink>
      <w:r>
        <w:t xml:space="preserve">, f. 5; </w:t>
      </w:r>
      <w:hyperlink w:anchor="SENTENCIA_2016_41" w:history="1">
        <w:r w:rsidRPr="0057104C">
          <w:rPr>
            <w:rStyle w:val="TextoNormalCaracter"/>
          </w:rPr>
          <w:t>41/2016</w:t>
        </w:r>
      </w:hyperlink>
      <w:r>
        <w:t xml:space="preserve">, ff. 1, 13, 16; </w:t>
      </w:r>
      <w:hyperlink w:anchor="SENTENCIA_2016_74" w:history="1">
        <w:r w:rsidRPr="0057104C">
          <w:rPr>
            <w:rStyle w:val="TextoNormalCaracter"/>
          </w:rPr>
          <w:t>74/2016</w:t>
        </w:r>
      </w:hyperlink>
      <w:r>
        <w:t xml:space="preserve">, f. 4, VP; </w:t>
      </w:r>
      <w:hyperlink w:anchor="SENTENCIA_2016_96" w:history="1">
        <w:r w:rsidRPr="0057104C">
          <w:rPr>
            <w:rStyle w:val="TextoNormalCaracter"/>
          </w:rPr>
          <w:t>96/2016</w:t>
        </w:r>
      </w:hyperlink>
      <w:r>
        <w:t xml:space="preserve">, ff. 4, 6, 8; </w:t>
      </w:r>
      <w:hyperlink w:anchor="SENTENCIA_2016_101" w:history="1">
        <w:r w:rsidRPr="0057104C">
          <w:rPr>
            <w:rStyle w:val="TextoNormalCaracter"/>
          </w:rPr>
          <w:t>101/2016</w:t>
        </w:r>
      </w:hyperlink>
      <w:r>
        <w:t xml:space="preserve">, ff. 2, 5, 9, VP II, VP III; </w:t>
      </w:r>
      <w:hyperlink w:anchor="SENTENCIA_2016_111" w:history="1">
        <w:r w:rsidRPr="0057104C">
          <w:rPr>
            <w:rStyle w:val="TextoNormalCaracter"/>
          </w:rPr>
          <w:t>111/2016</w:t>
        </w:r>
      </w:hyperlink>
      <w:r>
        <w:t xml:space="preserve">, f. 2;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158.1.</w:t>
      </w:r>
      <w:r w:rsidRPr="0057104C">
        <w:rPr>
          <w:rStyle w:val="TextoNormalCaracter"/>
        </w:rPr>
        <w:t>-</w:t>
      </w:r>
      <w:r>
        <w:t xml:space="preserve"> Sentencia </w:t>
      </w:r>
      <w:hyperlink w:anchor="SENTENCIA_2016_96" w:history="1">
        <w:r w:rsidRPr="0057104C">
          <w:rPr>
            <w:rStyle w:val="TextoNormalCaracter"/>
          </w:rPr>
          <w:t>96/2016</w:t>
        </w:r>
      </w:hyperlink>
      <w:r>
        <w:t>, ff. 4, 7, 8.</w:t>
      </w:r>
    </w:p>
    <w:p w:rsidR="0057104C" w:rsidRDefault="0057104C" w:rsidP="0057104C">
      <w:pPr>
        <w:pStyle w:val="SangriaFrancesaArticulo"/>
      </w:pPr>
      <w:r w:rsidRPr="0057104C">
        <w:rPr>
          <w:rStyle w:val="TextoNormalNegritaCaracter"/>
        </w:rPr>
        <w:t>Artículo 158.2.</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161.</w:t>
      </w:r>
      <w:r w:rsidRPr="0057104C">
        <w:rPr>
          <w:rStyle w:val="TextoNormalCaracter"/>
        </w:rPr>
        <w:t>-</w:t>
      </w:r>
      <w:r>
        <w:t xml:space="preserve"> Sentencias </w:t>
      </w:r>
      <w:hyperlink w:anchor="SENTENCIA_2016_83" w:history="1">
        <w:r w:rsidRPr="0057104C">
          <w:rPr>
            <w:rStyle w:val="TextoNormalCaracter"/>
          </w:rPr>
          <w:t>83/2016</w:t>
        </w:r>
      </w:hyperlink>
      <w:r>
        <w:t xml:space="preserve">, f. 11; </w:t>
      </w:r>
      <w:hyperlink w:anchor="SENTENCIA_2016_102" w:history="1">
        <w:r w:rsidRPr="0057104C">
          <w:rPr>
            <w:rStyle w:val="TextoNormalCaracter"/>
          </w:rPr>
          <w:t>102/2016</w:t>
        </w:r>
      </w:hyperlink>
      <w:r>
        <w:t xml:space="preserve">, VP;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161 a).</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161.1 a).</w:t>
      </w:r>
      <w:r w:rsidRPr="0057104C">
        <w:rPr>
          <w:rStyle w:val="TextoNormalCaracter"/>
        </w:rPr>
        <w:t>-</w:t>
      </w:r>
      <w:r>
        <w:t xml:space="preserve"> Sentencias </w:t>
      </w:r>
      <w:hyperlink w:anchor="SENTENCIA_2016_3" w:history="1">
        <w:r w:rsidRPr="0057104C">
          <w:rPr>
            <w:rStyle w:val="TextoNormalCaracter"/>
          </w:rPr>
          <w:t>3/2016</w:t>
        </w:r>
      </w:hyperlink>
      <w:r>
        <w:t xml:space="preserve">, f. 2; </w:t>
      </w:r>
      <w:hyperlink w:anchor="SENTENCIA_2016_83" w:history="1">
        <w:r w:rsidRPr="0057104C">
          <w:rPr>
            <w:rStyle w:val="TextoNormalCaracter"/>
          </w:rPr>
          <w:t>83/2016</w:t>
        </w:r>
      </w:hyperlink>
      <w:r>
        <w:t xml:space="preserve">, f. 5; </w:t>
      </w:r>
      <w:hyperlink w:anchor="SENTENCIA_2016_118" w:history="1">
        <w:r w:rsidRPr="0057104C">
          <w:rPr>
            <w:rStyle w:val="TextoNormalCaracter"/>
          </w:rPr>
          <w:t>118/2016</w:t>
        </w:r>
      </w:hyperlink>
      <w:r>
        <w:t>, ff. 3, 4.</w:t>
      </w:r>
    </w:p>
    <w:p w:rsidR="0057104C" w:rsidRDefault="0057104C" w:rsidP="0057104C">
      <w:pPr>
        <w:pStyle w:val="SangriaFrancesaArticulo"/>
      </w:pPr>
      <w:r w:rsidRPr="0057104C">
        <w:rPr>
          <w:rStyle w:val="TextoNormalNegritaCaracter"/>
        </w:rPr>
        <w:t>Artículo 161.1 b).</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Autos </w:t>
      </w:r>
      <w:hyperlink w:anchor="AUTO_2016_15" w:history="1">
        <w:r w:rsidRPr="0057104C">
          <w:rPr>
            <w:rStyle w:val="TextoNormalCaracter"/>
          </w:rPr>
          <w:t>15/2016</w:t>
        </w:r>
      </w:hyperlink>
      <w:r>
        <w:t xml:space="preserve">, f. único; </w:t>
      </w:r>
      <w:hyperlink w:anchor="AUTO_2016_25" w:history="1">
        <w:r w:rsidRPr="0057104C">
          <w:rPr>
            <w:rStyle w:val="TextoNormalCaracter"/>
          </w:rPr>
          <w:t>25/2016</w:t>
        </w:r>
      </w:hyperlink>
      <w:r>
        <w:t xml:space="preserve">, f. único; </w:t>
      </w:r>
      <w:hyperlink w:anchor="AUTO_2016_26" w:history="1">
        <w:r w:rsidRPr="0057104C">
          <w:rPr>
            <w:rStyle w:val="TextoNormalCaracter"/>
          </w:rPr>
          <w:t>26/2016</w:t>
        </w:r>
      </w:hyperlink>
      <w:r>
        <w:t xml:space="preserve">, f. único; </w:t>
      </w:r>
      <w:hyperlink w:anchor="AUTO_2016_31" w:history="1">
        <w:r w:rsidRPr="0057104C">
          <w:rPr>
            <w:rStyle w:val="TextoNormalCaracter"/>
          </w:rPr>
          <w:t>31/2016</w:t>
        </w:r>
      </w:hyperlink>
      <w:r>
        <w:t xml:space="preserve">, f. 1; </w:t>
      </w:r>
      <w:hyperlink w:anchor="AUTO_2016_53" w:history="1">
        <w:r w:rsidRPr="0057104C">
          <w:rPr>
            <w:rStyle w:val="TextoNormalCaracter"/>
          </w:rPr>
          <w:t>53/2016</w:t>
        </w:r>
      </w:hyperlink>
      <w:r>
        <w:t xml:space="preserve">, f. único; </w:t>
      </w:r>
      <w:hyperlink w:anchor="AUTO_2016_92" w:history="1">
        <w:r w:rsidRPr="0057104C">
          <w:rPr>
            <w:rStyle w:val="TextoNormalCaracter"/>
          </w:rPr>
          <w:t>92/2016</w:t>
        </w:r>
      </w:hyperlink>
      <w:r>
        <w:t xml:space="preserve">, f. único; </w:t>
      </w:r>
      <w:hyperlink w:anchor="AUTO_2016_94" w:history="1">
        <w:r w:rsidRPr="0057104C">
          <w:rPr>
            <w:rStyle w:val="TextoNormalCaracter"/>
          </w:rPr>
          <w:t>94/2016</w:t>
        </w:r>
      </w:hyperlink>
      <w:r>
        <w:t xml:space="preserve">, f. único; </w:t>
      </w:r>
      <w:hyperlink w:anchor="AUTO_2016_95" w:history="1">
        <w:r w:rsidRPr="0057104C">
          <w:rPr>
            <w:rStyle w:val="TextoNormalCaracter"/>
          </w:rPr>
          <w:t>95/2016</w:t>
        </w:r>
      </w:hyperlink>
      <w:r>
        <w:t xml:space="preserve">, f. único; </w:t>
      </w:r>
      <w:hyperlink w:anchor="AUTO_2016_96" w:history="1">
        <w:r w:rsidRPr="0057104C">
          <w:rPr>
            <w:rStyle w:val="TextoNormalCaracter"/>
          </w:rPr>
          <w:t>96/2016</w:t>
        </w:r>
      </w:hyperlink>
      <w:r>
        <w:t xml:space="preserve">, f. único; </w:t>
      </w:r>
      <w:hyperlink w:anchor="AUTO_2016_117" w:history="1">
        <w:r w:rsidRPr="0057104C">
          <w:rPr>
            <w:rStyle w:val="TextoNormalCaracter"/>
          </w:rPr>
          <w:t>117/2016</w:t>
        </w:r>
      </w:hyperlink>
      <w:r>
        <w:t xml:space="preserve">, f. único; </w:t>
      </w:r>
      <w:hyperlink w:anchor="AUTO_2016_119" w:history="1">
        <w:r w:rsidRPr="0057104C">
          <w:rPr>
            <w:rStyle w:val="TextoNormalCaracter"/>
          </w:rPr>
          <w:t>119/2016</w:t>
        </w:r>
      </w:hyperlink>
      <w:r>
        <w:t>, f. único.</w:t>
      </w:r>
    </w:p>
    <w:p w:rsidR="0057104C" w:rsidRDefault="0057104C" w:rsidP="0057104C">
      <w:pPr>
        <w:pStyle w:val="SangriaFrancesaArticulo"/>
      </w:pPr>
      <w:r w:rsidRPr="0057104C">
        <w:rPr>
          <w:rStyle w:val="TextoNormalNegritaCaracter"/>
        </w:rPr>
        <w:t>Artículo 161.1 c).</w:t>
      </w:r>
      <w:r w:rsidRPr="0057104C">
        <w:rPr>
          <w:rStyle w:val="TextoNormalCaracter"/>
        </w:rPr>
        <w:t>-</w:t>
      </w:r>
      <w:r>
        <w:t xml:space="preserve"> Sentencia </w:t>
      </w:r>
      <w:hyperlink w:anchor="SENTENCIA_2016_118" w:history="1">
        <w:r w:rsidRPr="0057104C">
          <w:rPr>
            <w:rStyle w:val="TextoNormalCaracter"/>
          </w:rPr>
          <w:t>118/2016</w:t>
        </w:r>
      </w:hyperlink>
      <w:r>
        <w:t>, ff. 3, 4.</w:t>
      </w:r>
    </w:p>
    <w:p w:rsidR="0057104C" w:rsidRDefault="0057104C" w:rsidP="0057104C">
      <w:pPr>
        <w:pStyle w:val="SangriaFrancesaArticulo"/>
      </w:pPr>
      <w:r w:rsidRPr="0057104C">
        <w:rPr>
          <w:rStyle w:val="TextoNormalNegritaCaracter"/>
        </w:rPr>
        <w:t>Artículo 161.1 d).</w:t>
      </w:r>
      <w:r w:rsidRPr="0057104C">
        <w:rPr>
          <w:rStyle w:val="TextoNormalCaracter"/>
        </w:rPr>
        <w:t>-</w:t>
      </w:r>
      <w:r>
        <w:t xml:space="preserve"> Sentencias </w:t>
      </w:r>
      <w:hyperlink w:anchor="SENTENCIA_2016_27" w:history="1">
        <w:r w:rsidRPr="0057104C">
          <w:rPr>
            <w:rStyle w:val="TextoNormalCaracter"/>
          </w:rPr>
          <w:t>27/2016</w:t>
        </w:r>
      </w:hyperlink>
      <w:r>
        <w:t xml:space="preserve">, f. 3; </w:t>
      </w:r>
      <w:hyperlink w:anchor="SENTENCIA_2016_118" w:history="1">
        <w:r w:rsidRPr="0057104C">
          <w:rPr>
            <w:rStyle w:val="TextoNormalCaracter"/>
          </w:rPr>
          <w:t>118/2016</w:t>
        </w:r>
      </w:hyperlink>
      <w:r>
        <w:t>, ff. 1, 3, 4.</w:t>
      </w:r>
    </w:p>
    <w:p w:rsidR="0057104C" w:rsidRDefault="0057104C" w:rsidP="0057104C">
      <w:pPr>
        <w:pStyle w:val="SangriaFrancesaArticulo"/>
      </w:pPr>
      <w:r w:rsidRPr="0057104C">
        <w:rPr>
          <w:rStyle w:val="TextoNormalNegritaCaracter"/>
        </w:rPr>
        <w:t>Artículo 161.2.</w:t>
      </w:r>
      <w:r w:rsidRPr="0057104C">
        <w:rPr>
          <w:rStyle w:val="TextoNormalCaracter"/>
        </w:rPr>
        <w:t>-</w:t>
      </w:r>
      <w:r>
        <w:t xml:space="preserve"> Sentencias </w:t>
      </w:r>
      <w:hyperlink w:anchor="SENTENCIA_2016_73" w:history="1">
        <w:r w:rsidRPr="0057104C">
          <w:rPr>
            <w:rStyle w:val="TextoNormalCaracter"/>
          </w:rPr>
          <w:t>73/2016</w:t>
        </w:r>
      </w:hyperlink>
      <w:r>
        <w:t xml:space="preserve">, f. 4; </w:t>
      </w:r>
      <w:hyperlink w:anchor="SENTENCIA_2016_110" w:history="1">
        <w:r w:rsidRPr="0057104C">
          <w:rPr>
            <w:rStyle w:val="TextoNormalCaracter"/>
          </w:rPr>
          <w:t>110/2016</w:t>
        </w:r>
      </w:hyperlink>
      <w:r>
        <w:t xml:space="preserve">, f. 10;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Autos </w:t>
      </w:r>
      <w:hyperlink w:anchor="AUTO_2016_41" w:history="1">
        <w:r w:rsidRPr="0057104C">
          <w:rPr>
            <w:rStyle w:val="TextoNormalCaracter"/>
          </w:rPr>
          <w:t>41/2016</w:t>
        </w:r>
      </w:hyperlink>
      <w:r>
        <w:t xml:space="preserve">, ff. 1, 2; </w:t>
      </w:r>
      <w:hyperlink w:anchor="AUTO_2016_54" w:history="1">
        <w:r w:rsidRPr="0057104C">
          <w:rPr>
            <w:rStyle w:val="TextoNormalCaracter"/>
          </w:rPr>
          <w:t>54/2016</w:t>
        </w:r>
      </w:hyperlink>
      <w:r>
        <w:t xml:space="preserve">, ff. 1, 2; </w:t>
      </w:r>
      <w:hyperlink w:anchor="AUTO_2016_89" w:history="1">
        <w:r w:rsidRPr="0057104C">
          <w:rPr>
            <w:rStyle w:val="TextoNormalCaracter"/>
          </w:rPr>
          <w:t>89/2016</w:t>
        </w:r>
      </w:hyperlink>
      <w:r>
        <w:t xml:space="preserve">, f. 1; </w:t>
      </w:r>
      <w:hyperlink w:anchor="AUTO_2016_90" w:history="1">
        <w:r w:rsidRPr="0057104C">
          <w:rPr>
            <w:rStyle w:val="TextoNormalCaracter"/>
          </w:rPr>
          <w:t>90/2016</w:t>
        </w:r>
      </w:hyperlink>
      <w:r>
        <w:t xml:space="preserve">, ff. 1, 6; </w:t>
      </w:r>
      <w:hyperlink w:anchor="AUTO_2016_105" w:history="1">
        <w:r w:rsidRPr="0057104C">
          <w:rPr>
            <w:rStyle w:val="TextoNormalCaracter"/>
          </w:rPr>
          <w:t>105/2016</w:t>
        </w:r>
      </w:hyperlink>
      <w:r>
        <w:t xml:space="preserve">, ff. 1, 2, 4; </w:t>
      </w:r>
      <w:hyperlink w:anchor="AUTO_2016_130" w:history="1">
        <w:r w:rsidRPr="0057104C">
          <w:rPr>
            <w:rStyle w:val="TextoNormalCaracter"/>
          </w:rPr>
          <w:t>130/2016</w:t>
        </w:r>
      </w:hyperlink>
      <w:r>
        <w:t>, ff. 1, 3.</w:t>
      </w:r>
    </w:p>
    <w:p w:rsidR="0057104C" w:rsidRDefault="0057104C" w:rsidP="0057104C">
      <w:pPr>
        <w:pStyle w:val="SangriaFrancesaArticulo"/>
      </w:pPr>
      <w:r w:rsidRPr="0057104C">
        <w:rPr>
          <w:rStyle w:val="TextoNormalNegritaCaracter"/>
        </w:rPr>
        <w:t>Artículo 162.</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162.1.</w:t>
      </w:r>
      <w:r w:rsidRPr="0057104C">
        <w:rPr>
          <w:rStyle w:val="TextoNormalCaracter"/>
        </w:rPr>
        <w:t>-</w:t>
      </w:r>
      <w:r>
        <w:t xml:space="preserve"> Sentencia </w:t>
      </w:r>
      <w:hyperlink w:anchor="SENTENCIA_2016_118" w:history="1">
        <w:r w:rsidRPr="0057104C">
          <w:rPr>
            <w:rStyle w:val="TextoNormalCaracter"/>
          </w:rPr>
          <w:t>118/2016</w:t>
        </w:r>
      </w:hyperlink>
      <w:r>
        <w:t>, ff. 3, 4.</w:t>
      </w:r>
    </w:p>
    <w:p w:rsidR="0057104C" w:rsidRDefault="0057104C" w:rsidP="0057104C">
      <w:pPr>
        <w:pStyle w:val="SangriaFrancesaArticulo"/>
      </w:pPr>
      <w:r w:rsidRPr="0057104C">
        <w:rPr>
          <w:rStyle w:val="TextoNormalNegritaCaracter"/>
        </w:rPr>
        <w:t>Artículo 162.1 a).</w:t>
      </w:r>
      <w:r w:rsidRPr="0057104C">
        <w:rPr>
          <w:rStyle w:val="TextoNormalCaracter"/>
        </w:rPr>
        <w:t>-</w:t>
      </w:r>
      <w:r>
        <w:t xml:space="preserve"> Sentencia </w:t>
      </w:r>
      <w:hyperlink w:anchor="SENTENCIA_2016_118" w:history="1">
        <w:r w:rsidRPr="0057104C">
          <w:rPr>
            <w:rStyle w:val="TextoNormalCaracter"/>
          </w:rPr>
          <w:t>118/2016</w:t>
        </w:r>
      </w:hyperlink>
      <w:r>
        <w:t>, ff. 3, 4.</w:t>
      </w:r>
    </w:p>
    <w:p w:rsidR="0057104C" w:rsidRDefault="0057104C" w:rsidP="0057104C">
      <w:pPr>
        <w:pStyle w:val="SangriaFrancesaArticulo"/>
      </w:pPr>
      <w:r w:rsidRPr="0057104C">
        <w:rPr>
          <w:rStyle w:val="TextoNormalNegritaCaracter"/>
        </w:rPr>
        <w:t>Artículo 162.1 b).</w:t>
      </w:r>
      <w:r w:rsidRPr="0057104C">
        <w:rPr>
          <w:rStyle w:val="TextoNormalCaracter"/>
        </w:rPr>
        <w:t>-</w:t>
      </w:r>
      <w:r>
        <w:t xml:space="preserve"> Sentencias </w:t>
      </w:r>
      <w:hyperlink w:anchor="SENTENCIA_2016_22" w:history="1">
        <w:r w:rsidRPr="0057104C">
          <w:rPr>
            <w:rStyle w:val="TextoNormalCaracter"/>
          </w:rPr>
          <w:t>22/2016</w:t>
        </w:r>
      </w:hyperlink>
      <w:r>
        <w:t xml:space="preserve">, f. 2; </w:t>
      </w:r>
      <w:hyperlink w:anchor="SENTENCIA_2016_34" w:history="1">
        <w:r w:rsidRPr="0057104C">
          <w:rPr>
            <w:rStyle w:val="TextoNormalCaracter"/>
          </w:rPr>
          <w:t>34/2016</w:t>
        </w:r>
      </w:hyperlink>
      <w:r>
        <w:t xml:space="preserve">, f. 2; </w:t>
      </w:r>
      <w:hyperlink w:anchor="SENTENCIA_2016_50" w:history="1">
        <w:r w:rsidRPr="0057104C">
          <w:rPr>
            <w:rStyle w:val="TextoNormalCaracter"/>
          </w:rPr>
          <w:t>50/2016</w:t>
        </w:r>
      </w:hyperlink>
      <w:r>
        <w:t>, f. 2.</w:t>
      </w:r>
    </w:p>
    <w:p w:rsidR="0057104C" w:rsidRDefault="0057104C" w:rsidP="0057104C">
      <w:pPr>
        <w:pStyle w:val="SangriaFrancesaArticulo"/>
      </w:pPr>
      <w:r w:rsidRPr="0057104C">
        <w:rPr>
          <w:rStyle w:val="TextoNormalNegritaCaracter"/>
        </w:rPr>
        <w:t>Artículo 162.2.</w:t>
      </w:r>
      <w:r w:rsidRPr="0057104C">
        <w:rPr>
          <w:rStyle w:val="TextoNormalCaracter"/>
        </w:rPr>
        <w:t>-</w:t>
      </w:r>
      <w:r>
        <w:t xml:space="preserve"> Sentencia </w:t>
      </w:r>
      <w:hyperlink w:anchor="SENTENCIA_2016_118" w:history="1">
        <w:r w:rsidRPr="0057104C">
          <w:rPr>
            <w:rStyle w:val="TextoNormalCaracter"/>
          </w:rPr>
          <w:t>118/2016</w:t>
        </w:r>
      </w:hyperlink>
      <w:r>
        <w:t>, ff. 1, 3, 4.</w:t>
      </w:r>
    </w:p>
    <w:p w:rsidR="0057104C" w:rsidRDefault="0057104C" w:rsidP="0057104C">
      <w:pPr>
        <w:pStyle w:val="SangriaFrancesaArticulo"/>
      </w:pPr>
      <w:r w:rsidRPr="0057104C">
        <w:rPr>
          <w:rStyle w:val="TextoNormalNegritaCaracter"/>
        </w:rPr>
        <w:t>Artículo 163.</w:t>
      </w:r>
      <w:r w:rsidRPr="0057104C">
        <w:rPr>
          <w:rStyle w:val="TextoNormalCaracter"/>
        </w:rPr>
        <w:t>-</w:t>
      </w:r>
      <w:r>
        <w:t xml:space="preserve"> Sentencias </w:t>
      </w:r>
      <w:hyperlink w:anchor="SENTENCIA_2016_2" w:history="1">
        <w:r w:rsidRPr="0057104C">
          <w:rPr>
            <w:rStyle w:val="TextoNormalCaracter"/>
          </w:rPr>
          <w:t>2/2016</w:t>
        </w:r>
      </w:hyperlink>
      <w:r>
        <w:t xml:space="preserve">, f. 3; </w:t>
      </w:r>
      <w:hyperlink w:anchor="SENTENCIA_2016_4" w:history="1">
        <w:r w:rsidRPr="0057104C">
          <w:rPr>
            <w:rStyle w:val="TextoNormalCaracter"/>
          </w:rPr>
          <w:t>4/2016</w:t>
        </w:r>
      </w:hyperlink>
      <w:r>
        <w:t xml:space="preserve">, f. 3; </w:t>
      </w:r>
      <w:hyperlink w:anchor="SENTENCIA_2016_9" w:history="1">
        <w:r w:rsidRPr="0057104C">
          <w:rPr>
            <w:rStyle w:val="TextoNormalCaracter"/>
          </w:rPr>
          <w:t>9/2016</w:t>
        </w:r>
      </w:hyperlink>
      <w:r>
        <w:t xml:space="preserve">, f. 2; </w:t>
      </w:r>
      <w:hyperlink w:anchor="SENTENCIA_2016_43" w:history="1">
        <w:r w:rsidRPr="0057104C">
          <w:rPr>
            <w:rStyle w:val="TextoNormalCaracter"/>
          </w:rPr>
          <w:t>43/2016</w:t>
        </w:r>
      </w:hyperlink>
      <w:r>
        <w:t xml:space="preserve">, f. 3; </w:t>
      </w:r>
      <w:hyperlink w:anchor="SENTENCIA_2016_46" w:history="1">
        <w:r w:rsidRPr="0057104C">
          <w:rPr>
            <w:rStyle w:val="TextoNormalCaracter"/>
          </w:rPr>
          <w:t>46/2016</w:t>
        </w:r>
      </w:hyperlink>
      <w:r>
        <w:t xml:space="preserve">, f. 3; </w:t>
      </w:r>
      <w:hyperlink w:anchor="SENTENCIA_2016_47" w:history="1">
        <w:r w:rsidRPr="0057104C">
          <w:rPr>
            <w:rStyle w:val="TextoNormalCaracter"/>
          </w:rPr>
          <w:t>47/2016</w:t>
        </w:r>
      </w:hyperlink>
      <w:r>
        <w:t xml:space="preserve">, f. 4; </w:t>
      </w:r>
      <w:hyperlink w:anchor="SENTENCIA_2016_52" w:history="1">
        <w:r w:rsidRPr="0057104C">
          <w:rPr>
            <w:rStyle w:val="TextoNormalCaracter"/>
          </w:rPr>
          <w:t>52/2016</w:t>
        </w:r>
      </w:hyperlink>
      <w:r>
        <w:t xml:space="preserve">, f. 3; </w:t>
      </w:r>
      <w:hyperlink w:anchor="SENTENCIA_2016_83" w:history="1">
        <w:r w:rsidRPr="0057104C">
          <w:rPr>
            <w:rStyle w:val="TextoNormalCaracter"/>
          </w:rPr>
          <w:t>83/2016</w:t>
        </w:r>
      </w:hyperlink>
      <w:r>
        <w:t xml:space="preserve">, ff. 5, 11; </w:t>
      </w:r>
      <w:hyperlink w:anchor="SENTENCIA_2016_86" w:history="1">
        <w:r w:rsidRPr="0057104C">
          <w:rPr>
            <w:rStyle w:val="TextoNormalCaracter"/>
          </w:rPr>
          <w:t>86/2016</w:t>
        </w:r>
      </w:hyperlink>
      <w:r>
        <w:t xml:space="preserve">, f. 3; </w:t>
      </w:r>
      <w:hyperlink w:anchor="SENTENCIA_2016_90" w:history="1">
        <w:r w:rsidRPr="0057104C">
          <w:rPr>
            <w:rStyle w:val="TextoNormalCaracter"/>
          </w:rPr>
          <w:t>90/2016</w:t>
        </w:r>
      </w:hyperlink>
      <w:r>
        <w:t xml:space="preserve">, f. 4; </w:t>
      </w:r>
      <w:hyperlink w:anchor="SENTENCIA_2016_92" w:history="1">
        <w:r w:rsidRPr="0057104C">
          <w:rPr>
            <w:rStyle w:val="TextoNormalCaracter"/>
          </w:rPr>
          <w:t>92/2016</w:t>
        </w:r>
      </w:hyperlink>
      <w:r>
        <w:t xml:space="preserve">, f. 2; </w:t>
      </w:r>
      <w:hyperlink w:anchor="SENTENCIA_2016_93" w:history="1">
        <w:r w:rsidRPr="0057104C">
          <w:rPr>
            <w:rStyle w:val="TextoNormalCaracter"/>
          </w:rPr>
          <w:t>93/2016</w:t>
        </w:r>
      </w:hyperlink>
      <w:r>
        <w:t xml:space="preserve">, f. 2; </w:t>
      </w:r>
      <w:hyperlink w:anchor="SENTENCIA_2016_97" w:history="1">
        <w:r w:rsidRPr="0057104C">
          <w:rPr>
            <w:rStyle w:val="TextoNormalCaracter"/>
          </w:rPr>
          <w:t>97/2016</w:t>
        </w:r>
      </w:hyperlink>
      <w:r>
        <w:t xml:space="preserve">, f. 2; </w:t>
      </w:r>
      <w:hyperlink w:anchor="SENTENCIA_2016_98" w:history="1">
        <w:r w:rsidRPr="0057104C">
          <w:rPr>
            <w:rStyle w:val="TextoNormalCaracter"/>
          </w:rPr>
          <w:t>98/2016</w:t>
        </w:r>
      </w:hyperlink>
      <w:r>
        <w:t xml:space="preserve">, f. 2; </w:t>
      </w:r>
      <w:hyperlink w:anchor="SENTENCIA_2016_102" w:history="1">
        <w:r w:rsidRPr="0057104C">
          <w:rPr>
            <w:rStyle w:val="TextoNormalCaracter"/>
          </w:rPr>
          <w:t>102/2016</w:t>
        </w:r>
      </w:hyperlink>
      <w:r>
        <w:t xml:space="preserve">, ff. 2, 3, VP; </w:t>
      </w:r>
      <w:hyperlink w:anchor="SENTENCIA_2016_104" w:history="1">
        <w:r w:rsidRPr="0057104C">
          <w:rPr>
            <w:rStyle w:val="TextoNormalCaracter"/>
          </w:rPr>
          <w:t>104/2016</w:t>
        </w:r>
      </w:hyperlink>
      <w:r>
        <w:t xml:space="preserve">, f. 2; </w:t>
      </w:r>
      <w:hyperlink w:anchor="SENTENCIA_2016_106" w:history="1">
        <w:r w:rsidRPr="0057104C">
          <w:rPr>
            <w:rStyle w:val="TextoNormalCaracter"/>
          </w:rPr>
          <w:t>106/2016</w:t>
        </w:r>
      </w:hyperlink>
      <w:r>
        <w:t xml:space="preserve">, f. 2; </w:t>
      </w:r>
      <w:hyperlink w:anchor="SENTENCIA_2016_113" w:history="1">
        <w:r w:rsidRPr="0057104C">
          <w:rPr>
            <w:rStyle w:val="TextoNormalCaracter"/>
          </w:rPr>
          <w:t>113/2016</w:t>
        </w:r>
      </w:hyperlink>
      <w:r>
        <w:t xml:space="preserve">, ff. 1, 2; </w:t>
      </w:r>
      <w:hyperlink w:anchor="SENTENCIA_2016_114" w:history="1">
        <w:r w:rsidRPr="0057104C">
          <w:rPr>
            <w:rStyle w:val="TextoNormalCaracter"/>
          </w:rPr>
          <w:t>114/2016</w:t>
        </w:r>
      </w:hyperlink>
      <w:r>
        <w:t xml:space="preserve">, f. 3; </w:t>
      </w:r>
      <w:hyperlink w:anchor="SENTENCIA_2016_115" w:history="1">
        <w:r w:rsidRPr="0057104C">
          <w:rPr>
            <w:rStyle w:val="TextoNormalCaracter"/>
          </w:rPr>
          <w:t>115/2016</w:t>
        </w:r>
      </w:hyperlink>
      <w:r>
        <w:t xml:space="preserve">, ff. 1, 3; </w:t>
      </w:r>
      <w:hyperlink w:anchor="SENTENCIA_2016_116" w:history="1">
        <w:r w:rsidRPr="0057104C">
          <w:rPr>
            <w:rStyle w:val="TextoNormalCaracter"/>
          </w:rPr>
          <w:t>116/2016</w:t>
        </w:r>
      </w:hyperlink>
      <w:r>
        <w:t xml:space="preserve">, f. 2; </w:t>
      </w:r>
      <w:hyperlink w:anchor="SENTENCIA_2016_118" w:history="1">
        <w:r w:rsidRPr="0057104C">
          <w:rPr>
            <w:rStyle w:val="TextoNormalCaracter"/>
          </w:rPr>
          <w:t>118/2016</w:t>
        </w:r>
      </w:hyperlink>
      <w:r>
        <w:t xml:space="preserve">, f. 3; </w:t>
      </w:r>
      <w:hyperlink w:anchor="SENTENCIA_2016_123" w:history="1">
        <w:r w:rsidRPr="0057104C">
          <w:rPr>
            <w:rStyle w:val="TextoNormalCaracter"/>
          </w:rPr>
          <w:t>123/2016</w:t>
        </w:r>
      </w:hyperlink>
      <w:r>
        <w:t>, f. 1.</w:t>
      </w:r>
    </w:p>
    <w:p w:rsidR="0057104C" w:rsidRDefault="0057104C" w:rsidP="0057104C">
      <w:pPr>
        <w:pStyle w:val="SangriaIzquierdaArticulo"/>
      </w:pPr>
      <w:r>
        <w:t xml:space="preserve">Autos </w:t>
      </w:r>
      <w:hyperlink w:anchor="AUTO_2016_9" w:history="1">
        <w:r w:rsidRPr="0057104C">
          <w:rPr>
            <w:rStyle w:val="TextoNormalCaracter"/>
          </w:rPr>
          <w:t>9/2016</w:t>
        </w:r>
      </w:hyperlink>
      <w:r>
        <w:t xml:space="preserve">, f. 2; </w:t>
      </w:r>
      <w:hyperlink w:anchor="AUTO_2016_13" w:history="1">
        <w:r w:rsidRPr="0057104C">
          <w:rPr>
            <w:rStyle w:val="TextoNormalCaracter"/>
          </w:rPr>
          <w:t>13/2016</w:t>
        </w:r>
      </w:hyperlink>
      <w:r>
        <w:t xml:space="preserve">, f. 2; </w:t>
      </w:r>
      <w:hyperlink w:anchor="AUTO_2016_14" w:history="1">
        <w:r w:rsidRPr="0057104C">
          <w:rPr>
            <w:rStyle w:val="TextoNormalCaracter"/>
          </w:rPr>
          <w:t>14/2016</w:t>
        </w:r>
      </w:hyperlink>
      <w:r>
        <w:t xml:space="preserve">, ff. 7, 8; </w:t>
      </w:r>
      <w:hyperlink w:anchor="AUTO_2016_39" w:history="1">
        <w:r w:rsidRPr="0057104C">
          <w:rPr>
            <w:rStyle w:val="TextoNormalCaracter"/>
          </w:rPr>
          <w:t>39/2016</w:t>
        </w:r>
      </w:hyperlink>
      <w:r>
        <w:t xml:space="preserve">, f. 2; </w:t>
      </w:r>
      <w:hyperlink w:anchor="AUTO_2016_40" w:history="1">
        <w:r w:rsidRPr="0057104C">
          <w:rPr>
            <w:rStyle w:val="TextoNormalCaracter"/>
          </w:rPr>
          <w:t>40/2016</w:t>
        </w:r>
      </w:hyperlink>
      <w:r>
        <w:t xml:space="preserve">, f. 2; </w:t>
      </w:r>
      <w:hyperlink w:anchor="AUTO_2016_42" w:history="1">
        <w:r w:rsidRPr="0057104C">
          <w:rPr>
            <w:rStyle w:val="TextoNormalCaracter"/>
          </w:rPr>
          <w:t>42/2016</w:t>
        </w:r>
      </w:hyperlink>
      <w:r>
        <w:t>, f. 4.</w:t>
      </w:r>
    </w:p>
    <w:p w:rsidR="0057104C" w:rsidRDefault="0057104C" w:rsidP="0057104C">
      <w:pPr>
        <w:pStyle w:val="SangriaFrancesaArticulo"/>
      </w:pPr>
      <w:r w:rsidRPr="0057104C">
        <w:rPr>
          <w:rStyle w:val="TextoNormalNegritaCaracter"/>
        </w:rPr>
        <w:t>Artículo 164.</w:t>
      </w:r>
      <w:r w:rsidRPr="0057104C">
        <w:rPr>
          <w:rStyle w:val="TextoNormalCaracter"/>
        </w:rPr>
        <w:t>-</w:t>
      </w:r>
      <w:r>
        <w:t xml:space="preserve"> Autos </w:t>
      </w:r>
      <w:hyperlink w:anchor="AUTO_2016_6" w:history="1">
        <w:r w:rsidRPr="0057104C">
          <w:rPr>
            <w:rStyle w:val="TextoNormalCaracter"/>
          </w:rPr>
          <w:t>6/2016</w:t>
        </w:r>
      </w:hyperlink>
      <w:r>
        <w:t xml:space="preserve">, f. 5; </w:t>
      </w:r>
      <w:hyperlink w:anchor="AUTO_2016_7" w:history="1">
        <w:r w:rsidRPr="0057104C">
          <w:rPr>
            <w:rStyle w:val="TextoNormalCaracter"/>
          </w:rPr>
          <w:t>7/2016</w:t>
        </w:r>
      </w:hyperlink>
      <w:r>
        <w:t xml:space="preserve">, f. 5; </w:t>
      </w:r>
      <w:hyperlink w:anchor="AUTO_2016_8" w:history="1">
        <w:r w:rsidRPr="0057104C">
          <w:rPr>
            <w:rStyle w:val="TextoNormalCaracter"/>
          </w:rPr>
          <w:t>8/2016</w:t>
        </w:r>
      </w:hyperlink>
      <w:r>
        <w:t xml:space="preserve">, f. 5; </w:t>
      </w:r>
      <w:hyperlink w:anchor="AUTO_2016_10" w:history="1">
        <w:r w:rsidRPr="0057104C">
          <w:rPr>
            <w:rStyle w:val="TextoNormalCaracter"/>
          </w:rPr>
          <w:t>10/2016</w:t>
        </w:r>
      </w:hyperlink>
      <w:r>
        <w:t xml:space="preserve">, f. 5; </w:t>
      </w:r>
      <w:hyperlink w:anchor="AUTO_2016_21" w:history="1">
        <w:r w:rsidRPr="0057104C">
          <w:rPr>
            <w:rStyle w:val="TextoNormalCaracter"/>
          </w:rPr>
          <w:t>21/2016</w:t>
        </w:r>
      </w:hyperlink>
      <w:r>
        <w:t xml:space="preserve">, f. 5; </w:t>
      </w:r>
      <w:hyperlink w:anchor="AUTO_2016_22" w:history="1">
        <w:r w:rsidRPr="0057104C">
          <w:rPr>
            <w:rStyle w:val="TextoNormalCaracter"/>
          </w:rPr>
          <w:t>22/2016</w:t>
        </w:r>
      </w:hyperlink>
      <w:r>
        <w:t xml:space="preserve">, f. 5; </w:t>
      </w:r>
      <w:hyperlink w:anchor="AUTO_2016_37" w:history="1">
        <w:r w:rsidRPr="0057104C">
          <w:rPr>
            <w:rStyle w:val="TextoNormalCaracter"/>
          </w:rPr>
          <w:t>37/2016</w:t>
        </w:r>
      </w:hyperlink>
      <w:r>
        <w:t xml:space="preserve">, f. 4; </w:t>
      </w:r>
      <w:hyperlink w:anchor="AUTO_2016_38" w:history="1">
        <w:r w:rsidRPr="0057104C">
          <w:rPr>
            <w:rStyle w:val="TextoNormalCaracter"/>
          </w:rPr>
          <w:t>38/2016</w:t>
        </w:r>
      </w:hyperlink>
      <w:r>
        <w:t xml:space="preserve">, f. 4; </w:t>
      </w:r>
      <w:hyperlink w:anchor="AUTO_2016_50" w:history="1">
        <w:r w:rsidRPr="0057104C">
          <w:rPr>
            <w:rStyle w:val="TextoNormalCaracter"/>
          </w:rPr>
          <w:t>50/2016</w:t>
        </w:r>
      </w:hyperlink>
      <w:r>
        <w:t xml:space="preserve">, f. 4; </w:t>
      </w:r>
      <w:hyperlink w:anchor="AUTO_2016_52" w:history="1">
        <w:r w:rsidRPr="0057104C">
          <w:rPr>
            <w:rStyle w:val="TextoNormalCaracter"/>
          </w:rPr>
          <w:t>52/2016</w:t>
        </w:r>
      </w:hyperlink>
      <w:r>
        <w:t xml:space="preserve">, f. 4; </w:t>
      </w:r>
      <w:hyperlink w:anchor="AUTO_2016_70" w:history="1">
        <w:r w:rsidRPr="0057104C">
          <w:rPr>
            <w:rStyle w:val="TextoNormalCaracter"/>
          </w:rPr>
          <w:t>70/2016</w:t>
        </w:r>
      </w:hyperlink>
      <w:r>
        <w:t xml:space="preserve">, f. 5; </w:t>
      </w:r>
      <w:hyperlink w:anchor="AUTO_2016_73" w:history="1">
        <w:r w:rsidRPr="0057104C">
          <w:rPr>
            <w:rStyle w:val="TextoNormalCaracter"/>
          </w:rPr>
          <w:t>73/2016</w:t>
        </w:r>
      </w:hyperlink>
      <w:r>
        <w:t>, f. 3.</w:t>
      </w:r>
    </w:p>
    <w:p w:rsidR="0057104C" w:rsidRDefault="0057104C" w:rsidP="0057104C">
      <w:pPr>
        <w:pStyle w:val="SangriaFrancesaArticulo"/>
      </w:pPr>
      <w:r w:rsidRPr="0057104C">
        <w:rPr>
          <w:rStyle w:val="TextoNormalNegritaCaracter"/>
        </w:rPr>
        <w:t>Artículo 164.1.</w:t>
      </w:r>
      <w:r w:rsidRPr="0057104C">
        <w:rPr>
          <w:rStyle w:val="TextoNormalCaracter"/>
        </w:rPr>
        <w:t>-</w:t>
      </w:r>
      <w:r>
        <w:t xml:space="preserve"> Sentencias </w:t>
      </w:r>
      <w:hyperlink w:anchor="SENTENCIA_2016_73" w:history="1">
        <w:r w:rsidRPr="0057104C">
          <w:rPr>
            <w:rStyle w:val="TextoNormalCaracter"/>
          </w:rPr>
          <w:t>73/2016</w:t>
        </w:r>
      </w:hyperlink>
      <w:r>
        <w:t xml:space="preserve">, f. 4; </w:t>
      </w:r>
      <w:hyperlink w:anchor="SENTENCIA_2016_81" w:history="1">
        <w:r w:rsidRPr="0057104C">
          <w:rPr>
            <w:rStyle w:val="TextoNormalCaracter"/>
          </w:rPr>
          <w:t>81/2016</w:t>
        </w:r>
      </w:hyperlink>
      <w:r>
        <w:t xml:space="preserve">, f. 3; </w:t>
      </w:r>
      <w:hyperlink w:anchor="SENTENCIA_2016_95" w:history="1">
        <w:r w:rsidRPr="0057104C">
          <w:rPr>
            <w:rStyle w:val="TextoNormalCaracter"/>
          </w:rPr>
          <w:t>95/2016</w:t>
        </w:r>
      </w:hyperlink>
      <w:r>
        <w:t>, f. 8.</w:t>
      </w:r>
    </w:p>
    <w:p w:rsidR="0057104C" w:rsidRDefault="0057104C" w:rsidP="0057104C">
      <w:pPr>
        <w:pStyle w:val="SangriaIzquierdaArticulo"/>
      </w:pPr>
      <w:r>
        <w:t xml:space="preserve">Auto </w:t>
      </w:r>
      <w:hyperlink w:anchor="AUTO_2016_57" w:history="1">
        <w:r w:rsidRPr="0057104C">
          <w:rPr>
            <w:rStyle w:val="TextoNormalCaracter"/>
          </w:rPr>
          <w:t>57/2016</w:t>
        </w:r>
      </w:hyperlink>
      <w:r>
        <w:t>, f. único.</w:t>
      </w:r>
    </w:p>
    <w:p w:rsidR="0057104C" w:rsidRDefault="0057104C" w:rsidP="0057104C">
      <w:pPr>
        <w:pStyle w:val="SangriaFrancesaArticulo"/>
      </w:pPr>
      <w:r w:rsidRPr="0057104C">
        <w:rPr>
          <w:rStyle w:val="TextoNormalNegritaCaracter"/>
        </w:rPr>
        <w:t>Artículo 165.</w:t>
      </w:r>
      <w:r w:rsidRPr="0057104C">
        <w:rPr>
          <w:rStyle w:val="TextoNormalCaracter"/>
        </w:rPr>
        <w:t>-</w:t>
      </w:r>
      <w:r>
        <w:t xml:space="preserve"> Sentencia </w:t>
      </w:r>
      <w:hyperlink w:anchor="SENTENCIA_2016_118" w:history="1">
        <w:r w:rsidRPr="0057104C">
          <w:rPr>
            <w:rStyle w:val="TextoNormalCaracter"/>
          </w:rPr>
          <w:t>118/2016</w:t>
        </w:r>
      </w:hyperlink>
      <w:r>
        <w:t>, ff. 1, 3, 4.</w:t>
      </w:r>
    </w:p>
    <w:p w:rsidR="0057104C" w:rsidRDefault="0057104C" w:rsidP="0057104C">
      <w:pPr>
        <w:pStyle w:val="SangriaFrancesaArticulo"/>
      </w:pPr>
      <w:r w:rsidRPr="0057104C">
        <w:rPr>
          <w:rStyle w:val="TextoNormalNegritaCaracter"/>
        </w:rPr>
        <w:t>Artículo 169.</w:t>
      </w:r>
      <w:r w:rsidRPr="0057104C">
        <w:rPr>
          <w:rStyle w:val="TextoNormalCaracter"/>
        </w:rPr>
        <w:t>-</w:t>
      </w:r>
      <w:r>
        <w:t xml:space="preserve"> Sentencia </w:t>
      </w:r>
      <w:hyperlink w:anchor="SENTENCIA_2016_83" w:history="1">
        <w:r w:rsidRPr="0057104C">
          <w:rPr>
            <w:rStyle w:val="TextoNormalCaracter"/>
          </w:rPr>
          <w:t>83/2016</w:t>
        </w:r>
      </w:hyperlink>
      <w:r>
        <w:t>, f. 7.</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Sentencias </w:t>
      </w:r>
      <w:hyperlink w:anchor="SENTENCIA_2016_3" w:history="1">
        <w:r w:rsidRPr="0057104C">
          <w:rPr>
            <w:rStyle w:val="TextoNormalCaracter"/>
          </w:rPr>
          <w:t>3/2016</w:t>
        </w:r>
      </w:hyperlink>
      <w:r>
        <w:t xml:space="preserve">, f. 4; </w:t>
      </w:r>
      <w:hyperlink w:anchor="SENTENCIA_2016_82" w:history="1">
        <w:r w:rsidRPr="0057104C">
          <w:rPr>
            <w:rStyle w:val="TextoNormalCaracter"/>
          </w:rPr>
          <w:t>82/2016</w:t>
        </w:r>
      </w:hyperlink>
      <w:r>
        <w:t xml:space="preserve">, VP; </w:t>
      </w:r>
      <w:hyperlink w:anchor="SENTENCIA_2016_110" w:history="1">
        <w:r w:rsidRPr="0057104C">
          <w:rPr>
            <w:rStyle w:val="TextoNormalCaracter"/>
          </w:rPr>
          <w:t>110/2016</w:t>
        </w:r>
      </w:hyperlink>
      <w:r>
        <w:t xml:space="preserve">, f. 4; </w:t>
      </w:r>
      <w:hyperlink w:anchor="SENTENCIA_2016_118" w:history="1">
        <w:r w:rsidRPr="0057104C">
          <w:rPr>
            <w:rStyle w:val="TextoNormalCaracter"/>
          </w:rPr>
          <w:t>118/2016</w:t>
        </w:r>
      </w:hyperlink>
      <w:r>
        <w:t>, ff. 2 a 4.</w:t>
      </w:r>
    </w:p>
    <w:p w:rsidR="0057104C" w:rsidRDefault="0057104C" w:rsidP="0057104C">
      <w:pPr>
        <w:pStyle w:val="SangriaFrancesaArticulo"/>
      </w:pPr>
      <w:r w:rsidRPr="0057104C">
        <w:rPr>
          <w:rStyle w:val="TextoNormalNegritaCaracter"/>
        </w:rPr>
        <w:t>Disposición adicional primera, párrafo 1.</w:t>
      </w:r>
      <w:r w:rsidRPr="0057104C">
        <w:rPr>
          <w:rStyle w:val="TextoNormalCaracter"/>
        </w:rPr>
        <w:t>-</w:t>
      </w:r>
      <w:r>
        <w:t xml:space="preserve"> Sentencia </w:t>
      </w:r>
      <w:hyperlink w:anchor="SENTENCIA_2016_118" w:history="1">
        <w:r w:rsidRPr="0057104C">
          <w:rPr>
            <w:rStyle w:val="TextoNormalCaracter"/>
          </w:rPr>
          <w:t>118/2016</w:t>
        </w:r>
      </w:hyperlink>
      <w:r>
        <w:t>, ff. 2, 3.</w:t>
      </w:r>
    </w:p>
    <w:p w:rsidR="0057104C" w:rsidRDefault="0057104C" w:rsidP="0057104C">
      <w:pPr>
        <w:pStyle w:val="SangriaFrancesaArticulo"/>
      </w:pPr>
      <w:r w:rsidRPr="0057104C">
        <w:rPr>
          <w:rStyle w:val="TextoNormalNegritaCaracter"/>
        </w:rPr>
        <w:t>Disposición adicional primera, párrafo 2.</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Disposición adicional segunda.</w:t>
      </w:r>
      <w:r w:rsidRPr="0057104C">
        <w:rPr>
          <w:rStyle w:val="TextoNormalCaracter"/>
        </w:rPr>
        <w:t>-</w:t>
      </w:r>
      <w:r>
        <w:t xml:space="preserve"> Sentencia </w:t>
      </w:r>
      <w:hyperlink w:anchor="SENTENCIA_2016_110" w:history="1">
        <w:r w:rsidRPr="0057104C">
          <w:rPr>
            <w:rStyle w:val="TextoNormalCaracter"/>
          </w:rPr>
          <w:t>110/2016</w:t>
        </w:r>
      </w:hyperlink>
      <w:r>
        <w:t>, f. 4.</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Sentencias </w:t>
      </w:r>
      <w:hyperlink w:anchor="SENTENCIA_2016_82" w:history="1">
        <w:r w:rsidRPr="0057104C">
          <w:rPr>
            <w:rStyle w:val="TextoNormalCaracter"/>
          </w:rPr>
          <w:t>82/2016</w:t>
        </w:r>
      </w:hyperlink>
      <w:r>
        <w:t xml:space="preserve">, VP; </w:t>
      </w:r>
      <w:hyperlink w:anchor="SENTENCIA_2016_110" w:history="1">
        <w:r w:rsidRPr="0057104C">
          <w:rPr>
            <w:rStyle w:val="TextoNormalCaracter"/>
          </w:rPr>
          <w:t>110/2016</w:t>
        </w:r>
      </w:hyperlink>
      <w:r>
        <w:t>, VP.</w:t>
      </w:r>
    </w:p>
    <w:p w:rsidR="0057104C" w:rsidRDefault="0057104C" w:rsidP="0057104C">
      <w:pPr>
        <w:pStyle w:val="SangriaFrancesaArticulo"/>
      </w:pPr>
      <w:r w:rsidRPr="0057104C">
        <w:rPr>
          <w:rStyle w:val="TextoNormalNegritaCaracter"/>
        </w:rPr>
        <w:t>Disposición derogatoria tercera.</w:t>
      </w:r>
      <w:r w:rsidRPr="0057104C">
        <w:rPr>
          <w:rStyle w:val="TextoNormalCaracter"/>
        </w:rPr>
        <w:t>-</w:t>
      </w:r>
      <w:r>
        <w:t xml:space="preserve"> Sentencia </w:t>
      </w:r>
      <w:hyperlink w:anchor="SENTENCIA_2016_102" w:history="1">
        <w:r w:rsidRPr="0057104C">
          <w:rPr>
            <w:rStyle w:val="TextoNormalCaracter"/>
          </w:rPr>
          <w:t>102/2016</w:t>
        </w:r>
      </w:hyperlink>
      <w:r>
        <w:t>, f. 4.</w:t>
      </w:r>
    </w:p>
    <w:p w:rsidR="0057104C" w:rsidRDefault="0057104C" w:rsidP="0057104C">
      <w:pPr>
        <w:pStyle w:val="TextoNormal"/>
      </w:pPr>
    </w:p>
    <w:p w:rsidR="0057104C" w:rsidRDefault="0057104C" w:rsidP="0057104C">
      <w:pPr>
        <w:pStyle w:val="SangriaFrancesaArticulo"/>
      </w:pPr>
      <w:bookmarkStart w:id="267" w:name="INDICE22843"/>
    </w:p>
    <w:bookmarkEnd w:id="267"/>
    <w:p w:rsidR="0057104C" w:rsidRDefault="0057104C" w:rsidP="0057104C">
      <w:pPr>
        <w:pStyle w:val="TextoIndiceNivel2"/>
        <w:suppressAutoHyphens/>
      </w:pPr>
      <w:r>
        <w:t>B) Tribunal Constitucional</w:t>
      </w:r>
    </w:p>
    <w:p w:rsidR="0057104C" w:rsidRDefault="0057104C" w:rsidP="0057104C">
      <w:pPr>
        <w:pStyle w:val="TextoIndiceNivel2"/>
      </w:pPr>
    </w:p>
    <w:p w:rsidR="0057104C" w:rsidRDefault="0057104C" w:rsidP="0057104C">
      <w:pPr>
        <w:pStyle w:val="TextoNormalNegritaCursivandice"/>
      </w:pPr>
      <w:r>
        <w:t>Ley Orgánica 2/1979, de 3 de octubre. Tribunal Constitucional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Autos </w:t>
      </w:r>
      <w:hyperlink w:anchor="AUTO_2016_28" w:history="1">
        <w:r w:rsidRPr="0057104C">
          <w:rPr>
            <w:rStyle w:val="TextoNormalCaracter"/>
          </w:rPr>
          <w:t>28/2016</w:t>
        </w:r>
      </w:hyperlink>
      <w:r>
        <w:t xml:space="preserve">, f. 2; </w:t>
      </w:r>
      <w:hyperlink w:anchor="AUTO_2016_35" w:history="1">
        <w:r w:rsidRPr="0057104C">
          <w:rPr>
            <w:rStyle w:val="TextoNormalCaracter"/>
          </w:rPr>
          <w:t>35/2016</w:t>
        </w:r>
      </w:hyperlink>
      <w:r>
        <w:t xml:space="preserve">, f. 1; </w:t>
      </w:r>
      <w:hyperlink w:anchor="AUTO_2016_36" w:history="1">
        <w:r w:rsidRPr="0057104C">
          <w:rPr>
            <w:rStyle w:val="TextoNormalCaracter"/>
          </w:rPr>
          <w:t>36/2016</w:t>
        </w:r>
      </w:hyperlink>
      <w:r>
        <w:t>, f. 1.</w:t>
      </w:r>
    </w:p>
    <w:p w:rsidR="0057104C" w:rsidRDefault="0057104C" w:rsidP="0057104C">
      <w:pPr>
        <w:pStyle w:val="SangriaFrancesaArticulo"/>
      </w:pPr>
      <w:r w:rsidRPr="0057104C">
        <w:rPr>
          <w:rStyle w:val="TextoNormalNegritaCaracter"/>
        </w:rPr>
        <w:t>Título IV, capítulo IV.</w:t>
      </w:r>
      <w:r w:rsidRPr="0057104C">
        <w:rPr>
          <w:rStyle w:val="TextoNormalCaracter"/>
        </w:rPr>
        <w:t>-</w:t>
      </w:r>
      <w:r>
        <w:t xml:space="preserve"> Sentencia </w:t>
      </w:r>
      <w:hyperlink w:anchor="SENTENCIA_2016_27" w:history="1">
        <w:r w:rsidRPr="0057104C">
          <w:rPr>
            <w:rStyle w:val="TextoNormalCaracter"/>
          </w:rPr>
          <w:t>27/2016</w:t>
        </w:r>
      </w:hyperlink>
      <w:r>
        <w:t>, ff. 3, 4.</w:t>
      </w:r>
    </w:p>
    <w:p w:rsidR="0057104C" w:rsidRDefault="0057104C" w:rsidP="0057104C">
      <w:pPr>
        <w:pStyle w:val="SangriaFrancesaArticulo"/>
      </w:pPr>
      <w:r w:rsidRPr="0057104C">
        <w:rPr>
          <w:rStyle w:val="TextoNormalNegritaCaracter"/>
        </w:rPr>
        <w:t>Título V.</w:t>
      </w:r>
      <w:r w:rsidRPr="0057104C">
        <w:rPr>
          <w:rStyle w:val="TextoNormalCaracter"/>
        </w:rPr>
        <w:t>-</w:t>
      </w:r>
      <w:r>
        <w:t xml:space="preserve"> Sentencia </w:t>
      </w:r>
      <w:hyperlink w:anchor="SENTENCIA_2016_108" w:history="1">
        <w:r w:rsidRPr="0057104C">
          <w:rPr>
            <w:rStyle w:val="TextoNormalCaracter"/>
          </w:rPr>
          <w:t>108/2016</w:t>
        </w:r>
      </w:hyperlink>
      <w:r>
        <w:t>, f. 3.</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Sentencias </w:t>
      </w:r>
      <w:hyperlink w:anchor="SENTENCIA_2016_82" w:history="1">
        <w:r w:rsidRPr="0057104C">
          <w:rPr>
            <w:rStyle w:val="TextoNormalCaracter"/>
          </w:rPr>
          <w:t>82/2016</w:t>
        </w:r>
      </w:hyperlink>
      <w:r>
        <w:t xml:space="preserve">, f. 3; </w:t>
      </w:r>
      <w:hyperlink w:anchor="SENTENCIA_2016_83" w:history="1">
        <w:r w:rsidRPr="0057104C">
          <w:rPr>
            <w:rStyle w:val="TextoNormalCaracter"/>
          </w:rPr>
          <w:t>83/2016</w:t>
        </w:r>
      </w:hyperlink>
      <w:r>
        <w:t>, f. 6.</w:t>
      </w:r>
    </w:p>
    <w:p w:rsidR="0057104C" w:rsidRDefault="0057104C" w:rsidP="0057104C">
      <w:pPr>
        <w:pStyle w:val="SangriaFrancesaArticulo"/>
      </w:pPr>
      <w:r w:rsidRPr="0057104C">
        <w:rPr>
          <w:rStyle w:val="TextoNormalNegritaCaracter"/>
        </w:rPr>
        <w:t>Artículo 2.1 a).</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4</w:t>
      </w:r>
      <w:r>
        <w:t xml:space="preserve"> (redactado por la Ley Orgánica 6/2007, de 24 de mayo)</w:t>
      </w:r>
      <w:r w:rsidRPr="0057104C">
        <w:rPr>
          <w:rStyle w:val="TextoNormalNegritaCaracter"/>
        </w:rPr>
        <w:t>.</w:t>
      </w:r>
      <w:r w:rsidRPr="0057104C">
        <w:rPr>
          <w:rStyle w:val="TextoNormalCaracter"/>
        </w:rPr>
        <w:t>-</w:t>
      </w:r>
      <w:r>
        <w:t xml:space="preserve"> Auto </w:t>
      </w:r>
      <w:hyperlink w:anchor="AUTO_2016_128" w:history="1">
        <w:r w:rsidRPr="0057104C">
          <w:rPr>
            <w:rStyle w:val="TextoNormalCaracter"/>
          </w:rPr>
          <w:t>128/2016</w:t>
        </w:r>
      </w:hyperlink>
      <w:r>
        <w:t>, ff. 1 a 3.</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27.</w:t>
      </w:r>
      <w:r w:rsidRPr="0057104C">
        <w:rPr>
          <w:rStyle w:val="TextoNormalCaracter"/>
        </w:rPr>
        <w:t>-</w:t>
      </w:r>
      <w:r>
        <w:t xml:space="preserve"> Sentencia </w:t>
      </w:r>
      <w:hyperlink w:anchor="SENTENCIA_2016_83" w:history="1">
        <w:r w:rsidRPr="0057104C">
          <w:rPr>
            <w:rStyle w:val="TextoNormalCaracter"/>
          </w:rPr>
          <w:t>83/2016</w:t>
        </w:r>
      </w:hyperlink>
      <w:r>
        <w:t>, f. 5.</w:t>
      </w:r>
    </w:p>
    <w:p w:rsidR="0057104C" w:rsidRDefault="0057104C" w:rsidP="0057104C">
      <w:pPr>
        <w:pStyle w:val="SangriaFrancesaArticulo"/>
      </w:pPr>
      <w:r w:rsidRPr="0057104C">
        <w:rPr>
          <w:rStyle w:val="TextoNormalNegritaCaracter"/>
        </w:rPr>
        <w:t>Artículo 27.1.</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27.2.</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27.2 b).</w:t>
      </w:r>
      <w:r w:rsidRPr="0057104C">
        <w:rPr>
          <w:rStyle w:val="TextoNormalCaracter"/>
        </w:rPr>
        <w:t>-</w:t>
      </w:r>
      <w:r>
        <w:t xml:space="preserve"> Sentencia </w:t>
      </w:r>
      <w:hyperlink w:anchor="SENTENCIA_2016_83" w:history="1">
        <w:r w:rsidRPr="0057104C">
          <w:rPr>
            <w:rStyle w:val="TextoNormalCaracter"/>
          </w:rPr>
          <w:t>83/2016</w:t>
        </w:r>
      </w:hyperlink>
      <w:r>
        <w:t>, f. 11.</w:t>
      </w:r>
    </w:p>
    <w:p w:rsidR="0057104C" w:rsidRDefault="0057104C" w:rsidP="0057104C">
      <w:pPr>
        <w:pStyle w:val="SangriaFrancesaArticulo"/>
      </w:pPr>
      <w:r w:rsidRPr="0057104C">
        <w:rPr>
          <w:rStyle w:val="TextoNormalNegritaCaracter"/>
        </w:rPr>
        <w:t>Artículo 28.</w:t>
      </w:r>
      <w:r w:rsidRPr="0057104C">
        <w:rPr>
          <w:rStyle w:val="TextoNormalCaracter"/>
        </w:rPr>
        <w:t>-</w:t>
      </w:r>
      <w:r>
        <w:t xml:space="preserve"> Sentencias </w:t>
      </w:r>
      <w:hyperlink w:anchor="SENTENCIA_2016_3" w:history="1">
        <w:r w:rsidRPr="0057104C">
          <w:rPr>
            <w:rStyle w:val="TextoNormalCaracter"/>
          </w:rPr>
          <w:t>3/2016</w:t>
        </w:r>
      </w:hyperlink>
      <w:r>
        <w:t xml:space="preserve">, f. 5; </w:t>
      </w:r>
      <w:hyperlink w:anchor="SENTENCIA_2016_41" w:history="1">
        <w:r w:rsidRPr="0057104C">
          <w:rPr>
            <w:rStyle w:val="TextoNormalCaracter"/>
          </w:rPr>
          <w:t>41/2016</w:t>
        </w:r>
      </w:hyperlink>
      <w:r>
        <w:t xml:space="preserve">, f. 13; </w:t>
      </w:r>
      <w:hyperlink w:anchor="SENTENCIA_2016_118" w:history="1">
        <w:r w:rsidRPr="0057104C">
          <w:rPr>
            <w:rStyle w:val="TextoNormalCaracter"/>
          </w:rPr>
          <w:t>118/2016</w:t>
        </w:r>
      </w:hyperlink>
      <w:r>
        <w:t xml:space="preserve">, f. 3; </w:t>
      </w:r>
      <w:hyperlink w:anchor="SENTENCIA_2016_119" w:history="1">
        <w:r w:rsidRPr="0057104C">
          <w:rPr>
            <w:rStyle w:val="TextoNormalCaracter"/>
          </w:rPr>
          <w:t>119/2016</w:t>
        </w:r>
      </w:hyperlink>
      <w:r>
        <w:t>, f. 3.</w:t>
      </w:r>
    </w:p>
    <w:p w:rsidR="0057104C" w:rsidRDefault="0057104C" w:rsidP="0057104C">
      <w:pPr>
        <w:pStyle w:val="SangriaFrancesaArticulo"/>
      </w:pPr>
      <w:r w:rsidRPr="0057104C">
        <w:rPr>
          <w:rStyle w:val="TextoNormalNegritaCaracter"/>
        </w:rPr>
        <w:t>Artículo 30.</w:t>
      </w:r>
      <w:r w:rsidRPr="0057104C">
        <w:rPr>
          <w:rStyle w:val="TextoNormalCaracter"/>
        </w:rPr>
        <w:t>-</w:t>
      </w:r>
      <w:r>
        <w:t xml:space="preserve"> Sentencia </w:t>
      </w:r>
      <w:hyperlink w:anchor="SENTENCIA_2016_110" w:history="1">
        <w:r w:rsidRPr="0057104C">
          <w:rPr>
            <w:rStyle w:val="TextoNormalCaracter"/>
          </w:rPr>
          <w:t>110/2016</w:t>
        </w:r>
      </w:hyperlink>
      <w:r>
        <w:t>, f. 10.</w:t>
      </w:r>
    </w:p>
    <w:p w:rsidR="0057104C" w:rsidRDefault="0057104C" w:rsidP="0057104C">
      <w:pPr>
        <w:pStyle w:val="SangriaIzquierdaArticulo"/>
      </w:pPr>
      <w:r>
        <w:t xml:space="preserve">Autos </w:t>
      </w:r>
      <w:hyperlink w:anchor="AUTO_2016_89" w:history="1">
        <w:r w:rsidRPr="0057104C">
          <w:rPr>
            <w:rStyle w:val="TextoNormalCaracter"/>
          </w:rPr>
          <w:t>89/2016</w:t>
        </w:r>
      </w:hyperlink>
      <w:r>
        <w:t xml:space="preserve">, f. 1; </w:t>
      </w:r>
      <w:hyperlink w:anchor="AUTO_2016_105" w:history="1">
        <w:r w:rsidRPr="0057104C">
          <w:rPr>
            <w:rStyle w:val="TextoNormalCaracter"/>
          </w:rPr>
          <w:t>105/2016</w:t>
        </w:r>
      </w:hyperlink>
      <w:r>
        <w:t>, f. 2.</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Sentencias </w:t>
      </w:r>
      <w:hyperlink w:anchor="SENTENCIA_2016_83" w:history="1">
        <w:r w:rsidRPr="0057104C">
          <w:rPr>
            <w:rStyle w:val="TextoNormalCaracter"/>
          </w:rPr>
          <w:t>83/2016</w:t>
        </w:r>
      </w:hyperlink>
      <w:r>
        <w:t xml:space="preserve">, f. 5;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32.1.</w:t>
      </w:r>
      <w:r w:rsidRPr="0057104C">
        <w:rPr>
          <w:rStyle w:val="TextoNormalCaracter"/>
        </w:rPr>
        <w:t>-</w:t>
      </w:r>
      <w:r>
        <w:t xml:space="preserve"> Sentencia </w:t>
      </w:r>
      <w:hyperlink w:anchor="SENTENCIA_2016_118" w:history="1">
        <w:r w:rsidRPr="0057104C">
          <w:rPr>
            <w:rStyle w:val="TextoNormalCaracter"/>
          </w:rPr>
          <w:t>118/2016</w:t>
        </w:r>
      </w:hyperlink>
      <w:r>
        <w:t>, f. 1.</w:t>
      </w:r>
    </w:p>
    <w:p w:rsidR="0057104C" w:rsidRDefault="0057104C" w:rsidP="0057104C">
      <w:pPr>
        <w:pStyle w:val="SangriaFrancesaArticulo"/>
      </w:pPr>
      <w:r w:rsidRPr="0057104C">
        <w:rPr>
          <w:rStyle w:val="TextoNormalNegritaCaracter"/>
        </w:rPr>
        <w:t>Artículo 32.2.</w:t>
      </w:r>
      <w:r w:rsidRPr="0057104C">
        <w:rPr>
          <w:rStyle w:val="TextoNormalCaracter"/>
        </w:rPr>
        <w:t>-</w:t>
      </w:r>
      <w:r>
        <w:t xml:space="preserve"> Sentencia </w:t>
      </w:r>
      <w:hyperlink w:anchor="SENTENCIA_2016_118" w:history="1">
        <w:r w:rsidRPr="0057104C">
          <w:rPr>
            <w:rStyle w:val="TextoNormalCaracter"/>
          </w:rPr>
          <w:t>118/2016</w:t>
        </w:r>
      </w:hyperlink>
      <w:r>
        <w:t>, ff. 1, 3.</w:t>
      </w:r>
    </w:p>
    <w:p w:rsidR="0057104C" w:rsidRDefault="0057104C" w:rsidP="0057104C">
      <w:pPr>
        <w:pStyle w:val="SangriaFrancesaArticulo"/>
      </w:pPr>
      <w:r w:rsidRPr="0057104C">
        <w:rPr>
          <w:rStyle w:val="TextoNormalNegritaCaracter"/>
        </w:rPr>
        <w:t>Artículo 33.1.</w:t>
      </w:r>
      <w:r w:rsidRPr="0057104C">
        <w:rPr>
          <w:rStyle w:val="TextoNormalCaracter"/>
        </w:rPr>
        <w:t>-</w:t>
      </w:r>
      <w:r>
        <w:t xml:space="preserve"> Sentencias </w:t>
      </w:r>
      <w:hyperlink w:anchor="SENTENCIA_2016_59" w:history="1">
        <w:r w:rsidRPr="0057104C">
          <w:rPr>
            <w:rStyle w:val="TextoNormalCaracter"/>
          </w:rPr>
          <w:t>59/2016</w:t>
        </w:r>
      </w:hyperlink>
      <w:r>
        <w:t xml:space="preserve">, f. 2; </w:t>
      </w:r>
      <w:hyperlink w:anchor="SENTENCIA_2016_85" w:history="1">
        <w:r w:rsidRPr="0057104C">
          <w:rPr>
            <w:rStyle w:val="TextoNormalCaracter"/>
          </w:rPr>
          <w:t>85/2016</w:t>
        </w:r>
      </w:hyperlink>
      <w:r>
        <w:t>, f. 5.</w:t>
      </w:r>
    </w:p>
    <w:p w:rsidR="0057104C" w:rsidRDefault="0057104C" w:rsidP="0057104C">
      <w:pPr>
        <w:pStyle w:val="SangriaFrancesaArticulo"/>
      </w:pPr>
      <w:r w:rsidRPr="0057104C">
        <w:rPr>
          <w:rStyle w:val="TextoNormalNegritaCaracter"/>
        </w:rPr>
        <w:t>Artículo 33.1</w:t>
      </w:r>
      <w:r>
        <w:t xml:space="preserve"> (redactado por la Ley Orgánica 1/2000, de 7 de enero)</w:t>
      </w:r>
      <w:r w:rsidRPr="0057104C">
        <w:rPr>
          <w:rStyle w:val="TextoNormalNegritaCaracter"/>
        </w:rPr>
        <w:t>.</w:t>
      </w:r>
      <w:r w:rsidRPr="0057104C">
        <w:rPr>
          <w:rStyle w:val="TextoNormalCaracter"/>
        </w:rPr>
        <w:t>-</w:t>
      </w:r>
      <w:r>
        <w:t xml:space="preserve"> Sentencia </w:t>
      </w:r>
      <w:hyperlink w:anchor="SENTENCIA_2016_82" w:history="1">
        <w:r w:rsidRPr="0057104C">
          <w:rPr>
            <w:rStyle w:val="TextoNormalCaracter"/>
          </w:rPr>
          <w:t>82/2016</w:t>
        </w:r>
      </w:hyperlink>
      <w:r>
        <w:t>, f. 2.</w:t>
      </w:r>
    </w:p>
    <w:p w:rsidR="0057104C" w:rsidRDefault="0057104C" w:rsidP="0057104C">
      <w:pPr>
        <w:pStyle w:val="SangriaFrancesaArticulo"/>
      </w:pPr>
      <w:r w:rsidRPr="0057104C">
        <w:rPr>
          <w:rStyle w:val="TextoNormalNegritaCaracter"/>
        </w:rPr>
        <w:t>Artículo 33.2.</w:t>
      </w:r>
      <w:r w:rsidRPr="0057104C">
        <w:rPr>
          <w:rStyle w:val="TextoNormalCaracter"/>
        </w:rPr>
        <w:t>-</w:t>
      </w:r>
      <w:r>
        <w:t xml:space="preserve"> Sentencias </w:t>
      </w:r>
      <w:hyperlink w:anchor="SENTENCIA_2016_59" w:history="1">
        <w:r w:rsidRPr="0057104C">
          <w:rPr>
            <w:rStyle w:val="TextoNormalCaracter"/>
          </w:rPr>
          <w:t>59/2016</w:t>
        </w:r>
      </w:hyperlink>
      <w:r>
        <w:t xml:space="preserve">, f. 2; </w:t>
      </w:r>
      <w:hyperlink w:anchor="SENTENCIA_2016_72" w:history="1">
        <w:r w:rsidRPr="0057104C">
          <w:rPr>
            <w:rStyle w:val="TextoNormalCaracter"/>
          </w:rPr>
          <w:t>72/2016</w:t>
        </w:r>
      </w:hyperlink>
      <w:r>
        <w:t>, f. 2.</w:t>
      </w:r>
    </w:p>
    <w:p w:rsidR="0057104C" w:rsidRDefault="0057104C" w:rsidP="0057104C">
      <w:pPr>
        <w:pStyle w:val="SangriaFrancesaArticulo"/>
      </w:pPr>
      <w:r w:rsidRPr="0057104C">
        <w:rPr>
          <w:rStyle w:val="TextoNormalNegritaCaracter"/>
        </w:rPr>
        <w:t>Artículo 33.2</w:t>
      </w:r>
      <w:r>
        <w:t xml:space="preserve"> (redactado por la Ley Orgánica 1/2000, de 7 de enero)</w:t>
      </w:r>
      <w:r w:rsidRPr="0057104C">
        <w:rPr>
          <w:rStyle w:val="TextoNormalNegritaCaracter"/>
        </w:rPr>
        <w:t>.</w:t>
      </w:r>
      <w:r w:rsidRPr="0057104C">
        <w:rPr>
          <w:rStyle w:val="TextoNormalCaracter"/>
        </w:rPr>
        <w:t>-</w:t>
      </w:r>
      <w:r>
        <w:t xml:space="preserve"> Sentencia </w:t>
      </w:r>
      <w:hyperlink w:anchor="SENTENCIA_2016_82" w:history="1">
        <w:r w:rsidRPr="0057104C">
          <w:rPr>
            <w:rStyle w:val="TextoNormalCaracter"/>
          </w:rPr>
          <w:t>82/2016</w:t>
        </w:r>
      </w:hyperlink>
      <w:r>
        <w:t>, f. 2.</w:t>
      </w:r>
    </w:p>
    <w:p w:rsidR="0057104C" w:rsidRDefault="0057104C" w:rsidP="0057104C">
      <w:pPr>
        <w:pStyle w:val="SangriaFrancesaArticulo"/>
      </w:pPr>
      <w:r w:rsidRPr="0057104C">
        <w:rPr>
          <w:rStyle w:val="TextoNormalNegritaCaracter"/>
        </w:rPr>
        <w:t>Artículo 33.2 b).</w:t>
      </w:r>
      <w:r w:rsidRPr="0057104C">
        <w:rPr>
          <w:rStyle w:val="TextoNormalCaracter"/>
        </w:rPr>
        <w:t>-</w:t>
      </w:r>
      <w:r>
        <w:t xml:space="preserve"> Sentencias </w:t>
      </w:r>
      <w:hyperlink w:anchor="SENTENCIA_2016_72" w:history="1">
        <w:r w:rsidRPr="0057104C">
          <w:rPr>
            <w:rStyle w:val="TextoNormalCaracter"/>
          </w:rPr>
          <w:t>72/2016</w:t>
        </w:r>
      </w:hyperlink>
      <w:r>
        <w:t xml:space="preserve">, f. 2; </w:t>
      </w:r>
      <w:hyperlink w:anchor="SENTENCIA_2016_124" w:history="1">
        <w:r w:rsidRPr="0057104C">
          <w:rPr>
            <w:rStyle w:val="TextoNormalCaracter"/>
          </w:rPr>
          <w:t>124/2016</w:t>
        </w:r>
      </w:hyperlink>
      <w:r>
        <w:t>, f. 2.</w:t>
      </w:r>
    </w:p>
    <w:p w:rsidR="0057104C" w:rsidRDefault="0057104C" w:rsidP="0057104C">
      <w:pPr>
        <w:pStyle w:val="SangriaFrancesaArticulo"/>
      </w:pPr>
      <w:r w:rsidRPr="0057104C">
        <w:rPr>
          <w:rStyle w:val="TextoNormalNegritaCaracter"/>
        </w:rPr>
        <w:t>Artículo 33.2 b)</w:t>
      </w:r>
      <w:r>
        <w:t xml:space="preserve"> (redactado por la Ley Orgánica 1/2000, de 7 de enero)</w:t>
      </w:r>
      <w:r w:rsidRPr="0057104C">
        <w:rPr>
          <w:rStyle w:val="TextoNormalNegritaCaracter"/>
        </w:rPr>
        <w:t>.</w:t>
      </w:r>
      <w:r w:rsidRPr="0057104C">
        <w:rPr>
          <w:rStyle w:val="TextoNormalCaracter"/>
        </w:rPr>
        <w:t>-</w:t>
      </w:r>
      <w:r>
        <w:t xml:space="preserve"> Sentencia </w:t>
      </w:r>
      <w:hyperlink w:anchor="SENTENCIA_2016_82" w:history="1">
        <w:r w:rsidRPr="0057104C">
          <w:rPr>
            <w:rStyle w:val="TextoNormalCaracter"/>
          </w:rPr>
          <w:t>82/2016</w:t>
        </w:r>
      </w:hyperlink>
      <w:r>
        <w:t>, f. 2.</w:t>
      </w:r>
    </w:p>
    <w:p w:rsidR="0057104C" w:rsidRDefault="0057104C" w:rsidP="0057104C">
      <w:pPr>
        <w:pStyle w:val="SangriaFrancesaArticulo"/>
      </w:pPr>
      <w:r w:rsidRPr="0057104C">
        <w:rPr>
          <w:rStyle w:val="TextoNormalNegritaCaracter"/>
        </w:rPr>
        <w:t>Artículo 34.</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35.</w:t>
      </w:r>
      <w:r w:rsidRPr="0057104C">
        <w:rPr>
          <w:rStyle w:val="TextoNormalCaracter"/>
        </w:rPr>
        <w:t>-</w:t>
      </w:r>
      <w:r>
        <w:t xml:space="preserve"> Sentencias </w:t>
      </w:r>
      <w:hyperlink w:anchor="SENTENCIA_2016_83" w:history="1">
        <w:r w:rsidRPr="0057104C">
          <w:rPr>
            <w:rStyle w:val="TextoNormalCaracter"/>
          </w:rPr>
          <w:t>83/2016</w:t>
        </w:r>
      </w:hyperlink>
      <w:r>
        <w:t xml:space="preserve">, f. 5; </w:t>
      </w:r>
      <w:hyperlink w:anchor="SENTENCIA_2016_86" w:history="1">
        <w:r w:rsidRPr="0057104C">
          <w:rPr>
            <w:rStyle w:val="TextoNormalCaracter"/>
          </w:rPr>
          <w:t>86/2016</w:t>
        </w:r>
      </w:hyperlink>
      <w:r>
        <w:t xml:space="preserve">, f. 3; </w:t>
      </w:r>
      <w:hyperlink w:anchor="SENTENCIA_2016_102" w:history="1">
        <w:r w:rsidRPr="0057104C">
          <w:rPr>
            <w:rStyle w:val="TextoNormalCaracter"/>
          </w:rPr>
          <w:t>102/2016</w:t>
        </w:r>
      </w:hyperlink>
      <w:r>
        <w:t xml:space="preserve">, f. 3; </w:t>
      </w:r>
      <w:hyperlink w:anchor="SENTENCIA_2016_113" w:history="1">
        <w:r w:rsidRPr="0057104C">
          <w:rPr>
            <w:rStyle w:val="TextoNormalCaracter"/>
          </w:rPr>
          <w:t>113/2016</w:t>
        </w:r>
      </w:hyperlink>
      <w:r>
        <w:t xml:space="preserve">, f. 1; </w:t>
      </w:r>
      <w:hyperlink w:anchor="SENTENCIA_2016_115" w:history="1">
        <w:r w:rsidRPr="0057104C">
          <w:rPr>
            <w:rStyle w:val="TextoNormalCaracter"/>
          </w:rPr>
          <w:t>115/2016</w:t>
        </w:r>
      </w:hyperlink>
      <w:r>
        <w:t xml:space="preserve">, f. 1;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Autos </w:t>
      </w:r>
      <w:hyperlink w:anchor="AUTO_2016_11" w:history="1">
        <w:r w:rsidRPr="0057104C">
          <w:rPr>
            <w:rStyle w:val="TextoNormalCaracter"/>
          </w:rPr>
          <w:t>11/2016</w:t>
        </w:r>
      </w:hyperlink>
      <w:r>
        <w:t xml:space="preserve">, ff. 1, 3; </w:t>
      </w:r>
      <w:hyperlink w:anchor="AUTO_2016_73" w:history="1">
        <w:r w:rsidRPr="0057104C">
          <w:rPr>
            <w:rStyle w:val="TextoNormalCaracter"/>
          </w:rPr>
          <w:t>73/2016</w:t>
        </w:r>
      </w:hyperlink>
      <w:r>
        <w:t xml:space="preserve">, f. 2; </w:t>
      </w:r>
      <w:hyperlink w:anchor="AUTO_2016_75" w:history="1">
        <w:r w:rsidRPr="0057104C">
          <w:rPr>
            <w:rStyle w:val="TextoNormalCaracter"/>
          </w:rPr>
          <w:t>75/2016</w:t>
        </w:r>
      </w:hyperlink>
      <w:r>
        <w:t xml:space="preserve">, f. 2; </w:t>
      </w:r>
      <w:hyperlink w:anchor="AUTO_2016_76" w:history="1">
        <w:r w:rsidRPr="0057104C">
          <w:rPr>
            <w:rStyle w:val="TextoNormalCaracter"/>
          </w:rPr>
          <w:t>76/2016</w:t>
        </w:r>
      </w:hyperlink>
      <w:r>
        <w:t xml:space="preserve">, f. 2; </w:t>
      </w:r>
      <w:hyperlink w:anchor="AUTO_2016_77" w:history="1">
        <w:r w:rsidRPr="0057104C">
          <w:rPr>
            <w:rStyle w:val="TextoNormalCaracter"/>
          </w:rPr>
          <w:t>77/2016</w:t>
        </w:r>
      </w:hyperlink>
      <w:r>
        <w:t xml:space="preserve">, f. 4; </w:t>
      </w:r>
      <w:hyperlink w:anchor="AUTO_2016_86" w:history="1">
        <w:r w:rsidRPr="0057104C">
          <w:rPr>
            <w:rStyle w:val="TextoNormalCaracter"/>
          </w:rPr>
          <w:t>86/2016</w:t>
        </w:r>
      </w:hyperlink>
      <w:r>
        <w:t xml:space="preserve">, f. 4; </w:t>
      </w:r>
      <w:hyperlink w:anchor="AUTO_2016_87" w:history="1">
        <w:r w:rsidRPr="0057104C">
          <w:rPr>
            <w:rStyle w:val="TextoNormalCaracter"/>
          </w:rPr>
          <w:t>87/2016</w:t>
        </w:r>
      </w:hyperlink>
      <w:r>
        <w:t xml:space="preserve">, f. 2; </w:t>
      </w:r>
      <w:hyperlink w:anchor="AUTO_2016_88" w:history="1">
        <w:r w:rsidRPr="0057104C">
          <w:rPr>
            <w:rStyle w:val="TextoNormalCaracter"/>
          </w:rPr>
          <w:t>88/2016</w:t>
        </w:r>
      </w:hyperlink>
      <w:r>
        <w:t xml:space="preserve">, f. 2; </w:t>
      </w:r>
      <w:hyperlink w:anchor="AUTO_2016_104" w:history="1">
        <w:r w:rsidRPr="0057104C">
          <w:rPr>
            <w:rStyle w:val="TextoNormalCaracter"/>
          </w:rPr>
          <w:t>104/2016</w:t>
        </w:r>
      </w:hyperlink>
      <w:r>
        <w:t xml:space="preserve">, f. 2; </w:t>
      </w:r>
      <w:hyperlink w:anchor="AUTO_2016_131" w:history="1">
        <w:r w:rsidRPr="0057104C">
          <w:rPr>
            <w:rStyle w:val="TextoNormalCaracter"/>
          </w:rPr>
          <w:t>131/2016</w:t>
        </w:r>
      </w:hyperlink>
      <w:r>
        <w:t xml:space="preserve">, f. 3; </w:t>
      </w:r>
      <w:hyperlink w:anchor="AUTO_2016_134" w:history="1">
        <w:r w:rsidRPr="0057104C">
          <w:rPr>
            <w:rStyle w:val="TextoNormalCaracter"/>
          </w:rPr>
          <w:t>134/2016</w:t>
        </w:r>
      </w:hyperlink>
      <w:r>
        <w:t>, f. 3.</w:t>
      </w:r>
    </w:p>
    <w:p w:rsidR="0057104C" w:rsidRDefault="0057104C" w:rsidP="0057104C">
      <w:pPr>
        <w:pStyle w:val="SangriaFrancesaArticulo"/>
      </w:pPr>
      <w:r w:rsidRPr="0057104C">
        <w:rPr>
          <w:rStyle w:val="TextoNormalNegritaCaracter"/>
        </w:rPr>
        <w:t>Artículo 35.1.</w:t>
      </w:r>
      <w:r w:rsidRPr="0057104C">
        <w:rPr>
          <w:rStyle w:val="TextoNormalCaracter"/>
        </w:rPr>
        <w:t>-</w:t>
      </w:r>
      <w:r>
        <w:t xml:space="preserve"> Sentencias </w:t>
      </w:r>
      <w:hyperlink w:anchor="SENTENCIA_2016_1" w:history="1">
        <w:r w:rsidRPr="0057104C">
          <w:rPr>
            <w:rStyle w:val="TextoNormalCaracter"/>
          </w:rPr>
          <w:t>1/2016</w:t>
        </w:r>
      </w:hyperlink>
      <w:r>
        <w:t xml:space="preserve">, f. 2; </w:t>
      </w:r>
      <w:hyperlink w:anchor="SENTENCIA_2016_9" w:history="1">
        <w:r w:rsidRPr="0057104C">
          <w:rPr>
            <w:rStyle w:val="TextoNormalCaracter"/>
          </w:rPr>
          <w:t>9/2016</w:t>
        </w:r>
      </w:hyperlink>
      <w:r>
        <w:t xml:space="preserve">, f. 2;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Autos </w:t>
      </w:r>
      <w:hyperlink w:anchor="AUTO_2016_11" w:history="1">
        <w:r w:rsidRPr="0057104C">
          <w:rPr>
            <w:rStyle w:val="TextoNormalCaracter"/>
          </w:rPr>
          <w:t>11/2016</w:t>
        </w:r>
      </w:hyperlink>
      <w:r>
        <w:t xml:space="preserve">, f. 2; </w:t>
      </w:r>
      <w:hyperlink w:anchor="AUTO_2016_12" w:history="1">
        <w:r w:rsidRPr="0057104C">
          <w:rPr>
            <w:rStyle w:val="TextoNormalCaracter"/>
          </w:rPr>
          <w:t>12/2016</w:t>
        </w:r>
      </w:hyperlink>
      <w:r>
        <w:t xml:space="preserve">, f. 2; </w:t>
      </w:r>
      <w:hyperlink w:anchor="AUTO_2016_14" w:history="1">
        <w:r w:rsidRPr="0057104C">
          <w:rPr>
            <w:rStyle w:val="TextoNormalCaracter"/>
          </w:rPr>
          <w:t>14/2016</w:t>
        </w:r>
      </w:hyperlink>
      <w:r>
        <w:t xml:space="preserve">, ff. 7, 8; </w:t>
      </w:r>
      <w:hyperlink w:anchor="AUTO_2016_42" w:history="1">
        <w:r w:rsidRPr="0057104C">
          <w:rPr>
            <w:rStyle w:val="TextoNormalCaracter"/>
          </w:rPr>
          <w:t>42/2016</w:t>
        </w:r>
      </w:hyperlink>
      <w:r>
        <w:t xml:space="preserve">, f. 4; </w:t>
      </w:r>
      <w:hyperlink w:anchor="AUTO_2016_84" w:history="1">
        <w:r w:rsidRPr="0057104C">
          <w:rPr>
            <w:rStyle w:val="TextoNormalCaracter"/>
          </w:rPr>
          <w:t>84/2016</w:t>
        </w:r>
      </w:hyperlink>
      <w:r>
        <w:t xml:space="preserve">, f. 2; </w:t>
      </w:r>
      <w:hyperlink w:anchor="AUTO_2016_101" w:history="1">
        <w:r w:rsidRPr="0057104C">
          <w:rPr>
            <w:rStyle w:val="TextoNormalCaracter"/>
          </w:rPr>
          <w:t>101/2016</w:t>
        </w:r>
      </w:hyperlink>
      <w:r>
        <w:t xml:space="preserve">, f. 2; </w:t>
      </w:r>
      <w:hyperlink w:anchor="AUTO_2016_102" w:history="1">
        <w:r w:rsidRPr="0057104C">
          <w:rPr>
            <w:rStyle w:val="TextoNormalCaracter"/>
          </w:rPr>
          <w:t>102/2016</w:t>
        </w:r>
      </w:hyperlink>
      <w:r>
        <w:t xml:space="preserve">, f. 2; </w:t>
      </w:r>
      <w:hyperlink w:anchor="AUTO_2016_103" w:history="1">
        <w:r w:rsidRPr="0057104C">
          <w:rPr>
            <w:rStyle w:val="TextoNormalCaracter"/>
          </w:rPr>
          <w:t>103/2016</w:t>
        </w:r>
      </w:hyperlink>
      <w:r>
        <w:t xml:space="preserve">, f. 2; </w:t>
      </w:r>
      <w:hyperlink w:anchor="AUTO_2016_131" w:history="1">
        <w:r w:rsidRPr="0057104C">
          <w:rPr>
            <w:rStyle w:val="TextoNormalCaracter"/>
          </w:rPr>
          <w:t>131/2016</w:t>
        </w:r>
      </w:hyperlink>
      <w:r>
        <w:t xml:space="preserve">, f. 2; </w:t>
      </w:r>
      <w:hyperlink w:anchor="AUTO_2016_132" w:history="1">
        <w:r w:rsidRPr="0057104C">
          <w:rPr>
            <w:rStyle w:val="TextoNormalCaracter"/>
          </w:rPr>
          <w:t>132/2016</w:t>
        </w:r>
      </w:hyperlink>
      <w:r>
        <w:t xml:space="preserve">, f. 2; </w:t>
      </w:r>
      <w:hyperlink w:anchor="AUTO_2016_134" w:history="1">
        <w:r w:rsidRPr="0057104C">
          <w:rPr>
            <w:rStyle w:val="TextoNormalCaracter"/>
          </w:rPr>
          <w:t>134/2016</w:t>
        </w:r>
      </w:hyperlink>
      <w:r>
        <w:t>, f. 2.</w:t>
      </w:r>
    </w:p>
    <w:p w:rsidR="0057104C" w:rsidRDefault="0057104C" w:rsidP="0057104C">
      <w:pPr>
        <w:pStyle w:val="SangriaFrancesaArticulo"/>
      </w:pPr>
      <w:r w:rsidRPr="0057104C">
        <w:rPr>
          <w:rStyle w:val="TextoNormalNegritaCaracter"/>
        </w:rPr>
        <w:t>Artículo 35.2.</w:t>
      </w:r>
      <w:r w:rsidRPr="0057104C">
        <w:rPr>
          <w:rStyle w:val="TextoNormalCaracter"/>
        </w:rPr>
        <w:t>-</w:t>
      </w:r>
      <w:r>
        <w:t xml:space="preserve"> Sentencias </w:t>
      </w:r>
      <w:hyperlink w:anchor="SENTENCIA_2016_1" w:history="1">
        <w:r w:rsidRPr="0057104C">
          <w:rPr>
            <w:rStyle w:val="TextoNormalCaracter"/>
          </w:rPr>
          <w:t>1/2016</w:t>
        </w:r>
      </w:hyperlink>
      <w:r>
        <w:t xml:space="preserve">, f. 2; </w:t>
      </w:r>
      <w:hyperlink w:anchor="SENTENCIA_2016_9" w:history="1">
        <w:r w:rsidRPr="0057104C">
          <w:rPr>
            <w:rStyle w:val="TextoNormalCaracter"/>
          </w:rPr>
          <w:t>9/2016</w:t>
        </w:r>
      </w:hyperlink>
      <w:r>
        <w:t>, f. 2.</w:t>
      </w:r>
    </w:p>
    <w:p w:rsidR="0057104C" w:rsidRDefault="0057104C" w:rsidP="0057104C">
      <w:pPr>
        <w:pStyle w:val="SangriaIzquierdaArticulo"/>
      </w:pPr>
      <w:r>
        <w:t xml:space="preserve">Autos </w:t>
      </w:r>
      <w:hyperlink w:anchor="AUTO_2016_11" w:history="1">
        <w:r w:rsidRPr="0057104C">
          <w:rPr>
            <w:rStyle w:val="TextoNormalCaracter"/>
          </w:rPr>
          <w:t>11/2016</w:t>
        </w:r>
      </w:hyperlink>
      <w:r>
        <w:t xml:space="preserve">, f. 2; </w:t>
      </w:r>
      <w:hyperlink w:anchor="AUTO_2016_12" w:history="1">
        <w:r w:rsidRPr="0057104C">
          <w:rPr>
            <w:rStyle w:val="TextoNormalCaracter"/>
          </w:rPr>
          <w:t>12/2016</w:t>
        </w:r>
      </w:hyperlink>
      <w:r>
        <w:t xml:space="preserve">, ff. 1 a 3; </w:t>
      </w:r>
      <w:hyperlink w:anchor="AUTO_2016_13" w:history="1">
        <w:r w:rsidRPr="0057104C">
          <w:rPr>
            <w:rStyle w:val="TextoNormalCaracter"/>
          </w:rPr>
          <w:t>13/2016</w:t>
        </w:r>
      </w:hyperlink>
      <w:r>
        <w:t xml:space="preserve">, f. 2; </w:t>
      </w:r>
      <w:hyperlink w:anchor="AUTO_2016_23" w:history="1">
        <w:r w:rsidRPr="0057104C">
          <w:rPr>
            <w:rStyle w:val="TextoNormalCaracter"/>
          </w:rPr>
          <w:t>23/2016</w:t>
        </w:r>
      </w:hyperlink>
      <w:r>
        <w:t xml:space="preserve">, f. 2; </w:t>
      </w:r>
      <w:hyperlink w:anchor="AUTO_2016_35" w:history="1">
        <w:r w:rsidRPr="0057104C">
          <w:rPr>
            <w:rStyle w:val="TextoNormalCaracter"/>
          </w:rPr>
          <w:t>35/2016</w:t>
        </w:r>
      </w:hyperlink>
      <w:r>
        <w:t xml:space="preserve">, ff. 2, 3; </w:t>
      </w:r>
      <w:hyperlink w:anchor="AUTO_2016_36" w:history="1">
        <w:r w:rsidRPr="0057104C">
          <w:rPr>
            <w:rStyle w:val="TextoNormalCaracter"/>
          </w:rPr>
          <w:t>36/2016</w:t>
        </w:r>
      </w:hyperlink>
      <w:r>
        <w:t xml:space="preserve">, ff. 2, 3; </w:t>
      </w:r>
      <w:hyperlink w:anchor="AUTO_2016_42" w:history="1">
        <w:r w:rsidRPr="0057104C">
          <w:rPr>
            <w:rStyle w:val="TextoNormalCaracter"/>
          </w:rPr>
          <w:t>42/2016</w:t>
        </w:r>
      </w:hyperlink>
      <w:r>
        <w:t xml:space="preserve">, ff. 3, 4; </w:t>
      </w:r>
      <w:hyperlink w:anchor="AUTO_2016_101" w:history="1">
        <w:r w:rsidRPr="0057104C">
          <w:rPr>
            <w:rStyle w:val="TextoNormalCaracter"/>
          </w:rPr>
          <w:t>101/2016</w:t>
        </w:r>
      </w:hyperlink>
      <w:r>
        <w:t xml:space="preserve">, f. 2; </w:t>
      </w:r>
      <w:hyperlink w:anchor="AUTO_2016_129" w:history="1">
        <w:r w:rsidRPr="0057104C">
          <w:rPr>
            <w:rStyle w:val="TextoNormalCaracter"/>
          </w:rPr>
          <w:t>129/2016</w:t>
        </w:r>
      </w:hyperlink>
      <w:r>
        <w:t>, ff. 1, 2.</w:t>
      </w:r>
    </w:p>
    <w:p w:rsidR="0057104C" w:rsidRDefault="0057104C" w:rsidP="0057104C">
      <w:pPr>
        <w:pStyle w:val="SangriaFrancesaArticulo"/>
      </w:pPr>
      <w:r w:rsidRPr="0057104C">
        <w:rPr>
          <w:rStyle w:val="TextoNormalNegritaCaracter"/>
        </w:rPr>
        <w:t>Artículo 35.2</w:t>
      </w:r>
      <w:r>
        <w:t xml:space="preserve"> (redactado por la Ley Orgánica 6/2007, de 24 de mayo)</w:t>
      </w:r>
      <w:r w:rsidRPr="0057104C">
        <w:rPr>
          <w:rStyle w:val="TextoNormalNegritaCaracter"/>
        </w:rPr>
        <w:t>.</w:t>
      </w:r>
      <w:r w:rsidRPr="0057104C">
        <w:rPr>
          <w:rStyle w:val="TextoNormalCaracter"/>
        </w:rPr>
        <w:t>-</w:t>
      </w:r>
      <w:r>
        <w:t xml:space="preserve"> Autos </w:t>
      </w:r>
      <w:hyperlink w:anchor="AUTO_2016_71" w:history="1">
        <w:r w:rsidRPr="0057104C">
          <w:rPr>
            <w:rStyle w:val="TextoNormalCaracter"/>
          </w:rPr>
          <w:t>71/2016</w:t>
        </w:r>
      </w:hyperlink>
      <w:r>
        <w:t xml:space="preserve">, ff. 3, 4; </w:t>
      </w:r>
      <w:hyperlink w:anchor="AUTO_2016_73" w:history="1">
        <w:r w:rsidRPr="0057104C">
          <w:rPr>
            <w:rStyle w:val="TextoNormalCaracter"/>
          </w:rPr>
          <w:t>73/2016</w:t>
        </w:r>
      </w:hyperlink>
      <w:r>
        <w:t xml:space="preserve">, f. 2; </w:t>
      </w:r>
      <w:hyperlink w:anchor="AUTO_2016_75" w:history="1">
        <w:r w:rsidRPr="0057104C">
          <w:rPr>
            <w:rStyle w:val="TextoNormalCaracter"/>
          </w:rPr>
          <w:t>75/2016</w:t>
        </w:r>
      </w:hyperlink>
      <w:r>
        <w:t xml:space="preserve">, f. 2; </w:t>
      </w:r>
      <w:hyperlink w:anchor="AUTO_2016_76" w:history="1">
        <w:r w:rsidRPr="0057104C">
          <w:rPr>
            <w:rStyle w:val="TextoNormalCaracter"/>
          </w:rPr>
          <w:t>76/2016</w:t>
        </w:r>
      </w:hyperlink>
      <w:r>
        <w:t xml:space="preserve">, f. 2; </w:t>
      </w:r>
      <w:hyperlink w:anchor="AUTO_2016_77" w:history="1">
        <w:r w:rsidRPr="0057104C">
          <w:rPr>
            <w:rStyle w:val="TextoNormalCaracter"/>
          </w:rPr>
          <w:t>77/2016</w:t>
        </w:r>
      </w:hyperlink>
      <w:r>
        <w:t xml:space="preserve">, f. 4; </w:t>
      </w:r>
      <w:hyperlink w:anchor="AUTO_2016_78" w:history="1">
        <w:r w:rsidRPr="0057104C">
          <w:rPr>
            <w:rStyle w:val="TextoNormalCaracter"/>
          </w:rPr>
          <w:t>78/2016</w:t>
        </w:r>
      </w:hyperlink>
      <w:r>
        <w:t xml:space="preserve">, f. 2; </w:t>
      </w:r>
      <w:hyperlink w:anchor="AUTO_2016_83" w:history="1">
        <w:r w:rsidRPr="0057104C">
          <w:rPr>
            <w:rStyle w:val="TextoNormalCaracter"/>
          </w:rPr>
          <w:t>83/2016</w:t>
        </w:r>
      </w:hyperlink>
      <w:r>
        <w:t xml:space="preserve">, f. 2; </w:t>
      </w:r>
      <w:hyperlink w:anchor="AUTO_2016_85" w:history="1">
        <w:r w:rsidRPr="0057104C">
          <w:rPr>
            <w:rStyle w:val="TextoNormalCaracter"/>
          </w:rPr>
          <w:t>85/2016</w:t>
        </w:r>
      </w:hyperlink>
      <w:r>
        <w:t xml:space="preserve">, ff. 1, 2; </w:t>
      </w:r>
      <w:hyperlink w:anchor="AUTO_2016_86" w:history="1">
        <w:r w:rsidRPr="0057104C">
          <w:rPr>
            <w:rStyle w:val="TextoNormalCaracter"/>
          </w:rPr>
          <w:t>86/2016</w:t>
        </w:r>
      </w:hyperlink>
      <w:r>
        <w:t xml:space="preserve">, f. 4; </w:t>
      </w:r>
      <w:hyperlink w:anchor="AUTO_2016_87" w:history="1">
        <w:r w:rsidRPr="0057104C">
          <w:rPr>
            <w:rStyle w:val="TextoNormalCaracter"/>
          </w:rPr>
          <w:t>87/2016</w:t>
        </w:r>
      </w:hyperlink>
      <w:r>
        <w:t xml:space="preserve">, f. 2; </w:t>
      </w:r>
      <w:hyperlink w:anchor="AUTO_2016_88" w:history="1">
        <w:r w:rsidRPr="0057104C">
          <w:rPr>
            <w:rStyle w:val="TextoNormalCaracter"/>
          </w:rPr>
          <w:t>88/2016</w:t>
        </w:r>
      </w:hyperlink>
      <w:r>
        <w:t xml:space="preserve">, f. 2; </w:t>
      </w:r>
      <w:hyperlink w:anchor="AUTO_2016_122" w:history="1">
        <w:r w:rsidRPr="0057104C">
          <w:rPr>
            <w:rStyle w:val="TextoNormalCaracter"/>
          </w:rPr>
          <w:t>122/2016</w:t>
        </w:r>
      </w:hyperlink>
      <w:r>
        <w:t xml:space="preserve">, f. 3; </w:t>
      </w:r>
      <w:hyperlink w:anchor="AUTO_2016_131" w:history="1">
        <w:r w:rsidRPr="0057104C">
          <w:rPr>
            <w:rStyle w:val="TextoNormalCaracter"/>
          </w:rPr>
          <w:t>131/2016</w:t>
        </w:r>
      </w:hyperlink>
      <w:r>
        <w:t xml:space="preserve">, ff. 2, 3; </w:t>
      </w:r>
      <w:hyperlink w:anchor="AUTO_2016_134" w:history="1">
        <w:r w:rsidRPr="0057104C">
          <w:rPr>
            <w:rStyle w:val="TextoNormalCaracter"/>
          </w:rPr>
          <w:t>134/2016</w:t>
        </w:r>
      </w:hyperlink>
      <w:r>
        <w:t>, ff. 2, 3.</w:t>
      </w:r>
    </w:p>
    <w:p w:rsidR="0057104C" w:rsidRDefault="0057104C" w:rsidP="0057104C">
      <w:pPr>
        <w:pStyle w:val="SangriaFrancesaArticulo"/>
      </w:pPr>
      <w:r w:rsidRPr="0057104C">
        <w:rPr>
          <w:rStyle w:val="TextoNormalNegritaCaracter"/>
        </w:rPr>
        <w:t>Artículo 37.</w:t>
      </w:r>
      <w:r w:rsidRPr="0057104C">
        <w:rPr>
          <w:rStyle w:val="TextoNormalCaracter"/>
        </w:rPr>
        <w:t>-</w:t>
      </w:r>
      <w:r>
        <w:t xml:space="preserve"> Sentencias </w:t>
      </w:r>
      <w:hyperlink w:anchor="SENTENCIA_2016_86" w:history="1">
        <w:r w:rsidRPr="0057104C">
          <w:rPr>
            <w:rStyle w:val="TextoNormalCaracter"/>
          </w:rPr>
          <w:t>86/2016</w:t>
        </w:r>
      </w:hyperlink>
      <w:r>
        <w:t xml:space="preserve">, f. 3;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 </w:t>
      </w:r>
      <w:hyperlink w:anchor="AUTO_2016_11" w:history="1">
        <w:r w:rsidRPr="0057104C">
          <w:rPr>
            <w:rStyle w:val="TextoNormalCaracter"/>
          </w:rPr>
          <w:t>11/2016</w:t>
        </w:r>
      </w:hyperlink>
      <w:r>
        <w:t>, f. 2.</w:t>
      </w:r>
    </w:p>
    <w:p w:rsidR="0057104C" w:rsidRDefault="0057104C" w:rsidP="0057104C">
      <w:pPr>
        <w:pStyle w:val="SangriaFrancesaArticulo"/>
      </w:pPr>
      <w:r w:rsidRPr="0057104C">
        <w:rPr>
          <w:rStyle w:val="TextoNormalNegritaCaracter"/>
        </w:rPr>
        <w:t>Artículo 37.1.</w:t>
      </w:r>
      <w:r w:rsidRPr="0057104C">
        <w:rPr>
          <w:rStyle w:val="TextoNormalCaracter"/>
        </w:rPr>
        <w:t>-</w:t>
      </w:r>
      <w:r>
        <w:t xml:space="preserve"> Sentencias </w:t>
      </w:r>
      <w:hyperlink w:anchor="SENTENCIA_2016_1" w:history="1">
        <w:r w:rsidRPr="0057104C">
          <w:rPr>
            <w:rStyle w:val="TextoNormalCaracter"/>
          </w:rPr>
          <w:t>1/2016</w:t>
        </w:r>
      </w:hyperlink>
      <w:r>
        <w:t xml:space="preserve">, f. 2; </w:t>
      </w:r>
      <w:hyperlink w:anchor="SENTENCIA_2016_9" w:history="1">
        <w:r w:rsidRPr="0057104C">
          <w:rPr>
            <w:rStyle w:val="TextoNormalCaracter"/>
          </w:rPr>
          <w:t>9/2016</w:t>
        </w:r>
      </w:hyperlink>
      <w:r>
        <w:t>, f. 2.</w:t>
      </w:r>
    </w:p>
    <w:p w:rsidR="0057104C" w:rsidRDefault="0057104C" w:rsidP="0057104C">
      <w:pPr>
        <w:pStyle w:val="SangriaIzquierdaArticulo"/>
      </w:pPr>
      <w:r>
        <w:t xml:space="preserve">Autos </w:t>
      </w:r>
      <w:hyperlink w:anchor="AUTO_2016_6" w:history="1">
        <w:r w:rsidRPr="0057104C">
          <w:rPr>
            <w:rStyle w:val="TextoNormalCaracter"/>
          </w:rPr>
          <w:t>6/2016</w:t>
        </w:r>
      </w:hyperlink>
      <w:r>
        <w:t xml:space="preserve">, ff. 1, 3; </w:t>
      </w:r>
      <w:hyperlink w:anchor="AUTO_2016_7" w:history="1">
        <w:r w:rsidRPr="0057104C">
          <w:rPr>
            <w:rStyle w:val="TextoNormalCaracter"/>
          </w:rPr>
          <w:t>7/2016</w:t>
        </w:r>
      </w:hyperlink>
      <w:r>
        <w:t xml:space="preserve">, ff. 1, 3; </w:t>
      </w:r>
      <w:hyperlink w:anchor="AUTO_2016_8" w:history="1">
        <w:r w:rsidRPr="0057104C">
          <w:rPr>
            <w:rStyle w:val="TextoNormalCaracter"/>
          </w:rPr>
          <w:t>8/2016</w:t>
        </w:r>
      </w:hyperlink>
      <w:r>
        <w:t xml:space="preserve">, ff. 1, 3; </w:t>
      </w:r>
      <w:hyperlink w:anchor="AUTO_2016_9" w:history="1">
        <w:r w:rsidRPr="0057104C">
          <w:rPr>
            <w:rStyle w:val="TextoNormalCaracter"/>
          </w:rPr>
          <w:t>9/2016</w:t>
        </w:r>
      </w:hyperlink>
      <w:r>
        <w:t xml:space="preserve">, f. 2; </w:t>
      </w:r>
      <w:hyperlink w:anchor="AUTO_2016_10" w:history="1">
        <w:r w:rsidRPr="0057104C">
          <w:rPr>
            <w:rStyle w:val="TextoNormalCaracter"/>
          </w:rPr>
          <w:t>10/2016</w:t>
        </w:r>
      </w:hyperlink>
      <w:r>
        <w:t xml:space="preserve">, ff. 1, 3; </w:t>
      </w:r>
      <w:hyperlink w:anchor="AUTO_2016_11" w:history="1">
        <w:r w:rsidRPr="0057104C">
          <w:rPr>
            <w:rStyle w:val="TextoNormalCaracter"/>
          </w:rPr>
          <w:t>11/2016</w:t>
        </w:r>
      </w:hyperlink>
      <w:r>
        <w:t xml:space="preserve">, f. 1; </w:t>
      </w:r>
      <w:hyperlink w:anchor="AUTO_2016_12" w:history="1">
        <w:r w:rsidRPr="0057104C">
          <w:rPr>
            <w:rStyle w:val="TextoNormalCaracter"/>
          </w:rPr>
          <w:t>12/2016</w:t>
        </w:r>
      </w:hyperlink>
      <w:r>
        <w:t xml:space="preserve">, ff. 2, 3; </w:t>
      </w:r>
      <w:hyperlink w:anchor="AUTO_2016_13" w:history="1">
        <w:r w:rsidRPr="0057104C">
          <w:rPr>
            <w:rStyle w:val="TextoNormalCaracter"/>
          </w:rPr>
          <w:t>13/2016</w:t>
        </w:r>
      </w:hyperlink>
      <w:r>
        <w:t xml:space="preserve">, f. 2; </w:t>
      </w:r>
      <w:hyperlink w:anchor="AUTO_2016_14" w:history="1">
        <w:r w:rsidRPr="0057104C">
          <w:rPr>
            <w:rStyle w:val="TextoNormalCaracter"/>
          </w:rPr>
          <w:t>14/2016</w:t>
        </w:r>
      </w:hyperlink>
      <w:r>
        <w:t xml:space="preserve">, f. 2; </w:t>
      </w:r>
      <w:hyperlink w:anchor="AUTO_2016_21" w:history="1">
        <w:r w:rsidRPr="0057104C">
          <w:rPr>
            <w:rStyle w:val="TextoNormalCaracter"/>
          </w:rPr>
          <w:t>21/2016</w:t>
        </w:r>
      </w:hyperlink>
      <w:r>
        <w:t xml:space="preserve">, ff. 1, 3; </w:t>
      </w:r>
      <w:hyperlink w:anchor="AUTO_2016_22" w:history="1">
        <w:r w:rsidRPr="0057104C">
          <w:rPr>
            <w:rStyle w:val="TextoNormalCaracter"/>
          </w:rPr>
          <w:t>22/2016</w:t>
        </w:r>
      </w:hyperlink>
      <w:r>
        <w:t xml:space="preserve">, ff. 1,2; </w:t>
      </w:r>
      <w:hyperlink w:anchor="AUTO_2016_23" w:history="1">
        <w:r w:rsidRPr="0057104C">
          <w:rPr>
            <w:rStyle w:val="TextoNormalCaracter"/>
          </w:rPr>
          <w:t>23/2016</w:t>
        </w:r>
      </w:hyperlink>
      <w:r>
        <w:t xml:space="preserve">, f. 2; </w:t>
      </w:r>
      <w:hyperlink w:anchor="AUTO_2016_35" w:history="1">
        <w:r w:rsidRPr="0057104C">
          <w:rPr>
            <w:rStyle w:val="TextoNormalCaracter"/>
          </w:rPr>
          <w:t>35/2016</w:t>
        </w:r>
      </w:hyperlink>
      <w:r>
        <w:t xml:space="preserve">, f. 2; </w:t>
      </w:r>
      <w:hyperlink w:anchor="AUTO_2016_36" w:history="1">
        <w:r w:rsidRPr="0057104C">
          <w:rPr>
            <w:rStyle w:val="TextoNormalCaracter"/>
          </w:rPr>
          <w:t>36/2016</w:t>
        </w:r>
      </w:hyperlink>
      <w:r>
        <w:t xml:space="preserve">, f. 2; </w:t>
      </w:r>
      <w:hyperlink w:anchor="AUTO_2016_37" w:history="1">
        <w:r w:rsidRPr="0057104C">
          <w:rPr>
            <w:rStyle w:val="TextoNormalCaracter"/>
          </w:rPr>
          <w:t>37/2016</w:t>
        </w:r>
      </w:hyperlink>
      <w:r>
        <w:t xml:space="preserve">, ff. 1, 3; </w:t>
      </w:r>
      <w:hyperlink w:anchor="AUTO_2016_38" w:history="1">
        <w:r w:rsidRPr="0057104C">
          <w:rPr>
            <w:rStyle w:val="TextoNormalCaracter"/>
          </w:rPr>
          <w:t>38/2016</w:t>
        </w:r>
      </w:hyperlink>
      <w:r>
        <w:t xml:space="preserve">, ff. 1, 3; </w:t>
      </w:r>
      <w:hyperlink w:anchor="AUTO_2016_39" w:history="1">
        <w:r w:rsidRPr="0057104C">
          <w:rPr>
            <w:rStyle w:val="TextoNormalCaracter"/>
          </w:rPr>
          <w:t>39/2016</w:t>
        </w:r>
      </w:hyperlink>
      <w:r>
        <w:t xml:space="preserve">, f. 2; </w:t>
      </w:r>
      <w:hyperlink w:anchor="AUTO_2016_40" w:history="1">
        <w:r w:rsidRPr="0057104C">
          <w:rPr>
            <w:rStyle w:val="TextoNormalCaracter"/>
          </w:rPr>
          <w:t>40/2016</w:t>
        </w:r>
      </w:hyperlink>
      <w:r>
        <w:t xml:space="preserve">, f. 2; </w:t>
      </w:r>
      <w:hyperlink w:anchor="AUTO_2016_42" w:history="1">
        <w:r w:rsidRPr="0057104C">
          <w:rPr>
            <w:rStyle w:val="TextoNormalCaracter"/>
          </w:rPr>
          <w:t>42/2016</w:t>
        </w:r>
      </w:hyperlink>
      <w:r>
        <w:t xml:space="preserve">, ff. 2, 3; </w:t>
      </w:r>
      <w:hyperlink w:anchor="AUTO_2016_50" w:history="1">
        <w:r w:rsidRPr="0057104C">
          <w:rPr>
            <w:rStyle w:val="TextoNormalCaracter"/>
          </w:rPr>
          <w:t>50/2016</w:t>
        </w:r>
      </w:hyperlink>
      <w:r>
        <w:t xml:space="preserve">, ff. 1, 3; </w:t>
      </w:r>
      <w:hyperlink w:anchor="AUTO_2016_52" w:history="1">
        <w:r w:rsidRPr="0057104C">
          <w:rPr>
            <w:rStyle w:val="TextoNormalCaracter"/>
          </w:rPr>
          <w:t>52/2016</w:t>
        </w:r>
      </w:hyperlink>
      <w:r>
        <w:t xml:space="preserve">, ff. 1, 3; </w:t>
      </w:r>
      <w:hyperlink w:anchor="AUTO_2016_56" w:history="1">
        <w:r w:rsidRPr="0057104C">
          <w:rPr>
            <w:rStyle w:val="TextoNormalCaracter"/>
          </w:rPr>
          <w:t>56/2016</w:t>
        </w:r>
      </w:hyperlink>
      <w:r>
        <w:t xml:space="preserve">, f. único; </w:t>
      </w:r>
      <w:hyperlink w:anchor="AUTO_2016_63" w:history="1">
        <w:r w:rsidRPr="0057104C">
          <w:rPr>
            <w:rStyle w:val="TextoNormalCaracter"/>
          </w:rPr>
          <w:t>63/2016</w:t>
        </w:r>
      </w:hyperlink>
      <w:r>
        <w:t xml:space="preserve">, f. 2; </w:t>
      </w:r>
      <w:hyperlink w:anchor="AUTO_2016_64" w:history="1">
        <w:r w:rsidRPr="0057104C">
          <w:rPr>
            <w:rStyle w:val="TextoNormalCaracter"/>
          </w:rPr>
          <w:t>64/2016</w:t>
        </w:r>
      </w:hyperlink>
      <w:r>
        <w:t xml:space="preserve">, f. único; </w:t>
      </w:r>
      <w:hyperlink w:anchor="AUTO_2016_65" w:history="1">
        <w:r w:rsidRPr="0057104C">
          <w:rPr>
            <w:rStyle w:val="TextoNormalCaracter"/>
          </w:rPr>
          <w:t>65/2016</w:t>
        </w:r>
      </w:hyperlink>
      <w:r>
        <w:t xml:space="preserve">, f. único; </w:t>
      </w:r>
      <w:hyperlink w:anchor="AUTO_2016_70" w:history="1">
        <w:r w:rsidRPr="0057104C">
          <w:rPr>
            <w:rStyle w:val="TextoNormalCaracter"/>
          </w:rPr>
          <w:t>70/2016</w:t>
        </w:r>
      </w:hyperlink>
      <w:r>
        <w:t xml:space="preserve">, ff. 1, 2; </w:t>
      </w:r>
      <w:hyperlink w:anchor="AUTO_2016_71" w:history="1">
        <w:r w:rsidRPr="0057104C">
          <w:rPr>
            <w:rStyle w:val="TextoNormalCaracter"/>
          </w:rPr>
          <w:t>71/2016</w:t>
        </w:r>
      </w:hyperlink>
      <w:r>
        <w:t xml:space="preserve">, ff. 1, 2; </w:t>
      </w:r>
      <w:hyperlink w:anchor="AUTO_2016_73" w:history="1">
        <w:r w:rsidRPr="0057104C">
          <w:rPr>
            <w:rStyle w:val="TextoNormalCaracter"/>
          </w:rPr>
          <w:t>73/2016</w:t>
        </w:r>
      </w:hyperlink>
      <w:r>
        <w:t xml:space="preserve">, f. 2; </w:t>
      </w:r>
      <w:hyperlink w:anchor="AUTO_2016_74" w:history="1">
        <w:r w:rsidRPr="0057104C">
          <w:rPr>
            <w:rStyle w:val="TextoNormalCaracter"/>
          </w:rPr>
          <w:t>74/2016</w:t>
        </w:r>
      </w:hyperlink>
      <w:r>
        <w:t xml:space="preserve">, f. único; </w:t>
      </w:r>
      <w:hyperlink w:anchor="AUTO_2016_75" w:history="1">
        <w:r w:rsidRPr="0057104C">
          <w:rPr>
            <w:rStyle w:val="TextoNormalCaracter"/>
          </w:rPr>
          <w:t>75/2016</w:t>
        </w:r>
      </w:hyperlink>
      <w:r>
        <w:t xml:space="preserve">, ff. 1, 2; </w:t>
      </w:r>
      <w:hyperlink w:anchor="AUTO_2016_76" w:history="1">
        <w:r w:rsidRPr="0057104C">
          <w:rPr>
            <w:rStyle w:val="TextoNormalCaracter"/>
          </w:rPr>
          <w:t>76/2016</w:t>
        </w:r>
      </w:hyperlink>
      <w:r>
        <w:t xml:space="preserve">, f. 2; </w:t>
      </w:r>
      <w:hyperlink w:anchor="AUTO_2016_77" w:history="1">
        <w:r w:rsidRPr="0057104C">
          <w:rPr>
            <w:rStyle w:val="TextoNormalCaracter"/>
          </w:rPr>
          <w:t>77/2016</w:t>
        </w:r>
      </w:hyperlink>
      <w:r>
        <w:t xml:space="preserve">, f. 2; </w:t>
      </w:r>
      <w:hyperlink w:anchor="AUTO_2016_78" w:history="1">
        <w:r w:rsidRPr="0057104C">
          <w:rPr>
            <w:rStyle w:val="TextoNormalCaracter"/>
          </w:rPr>
          <w:t>78/2016</w:t>
        </w:r>
      </w:hyperlink>
      <w:r>
        <w:t xml:space="preserve">, f. 2; </w:t>
      </w:r>
      <w:hyperlink w:anchor="AUTO_2016_79" w:history="1">
        <w:r w:rsidRPr="0057104C">
          <w:rPr>
            <w:rStyle w:val="TextoNormalCaracter"/>
          </w:rPr>
          <w:t>79/2016</w:t>
        </w:r>
      </w:hyperlink>
      <w:r>
        <w:t xml:space="preserve">, f. único; </w:t>
      </w:r>
      <w:hyperlink w:anchor="AUTO_2016_83" w:history="1">
        <w:r w:rsidRPr="0057104C">
          <w:rPr>
            <w:rStyle w:val="TextoNormalCaracter"/>
          </w:rPr>
          <w:t>83/2016</w:t>
        </w:r>
      </w:hyperlink>
      <w:r>
        <w:t xml:space="preserve">, ff. 2, 3; </w:t>
      </w:r>
      <w:hyperlink w:anchor="AUTO_2016_84" w:history="1">
        <w:r w:rsidRPr="0057104C">
          <w:rPr>
            <w:rStyle w:val="TextoNormalCaracter"/>
          </w:rPr>
          <w:t>84/2016</w:t>
        </w:r>
      </w:hyperlink>
      <w:r>
        <w:t xml:space="preserve">, f. 3; </w:t>
      </w:r>
      <w:hyperlink w:anchor="AUTO_2016_85" w:history="1">
        <w:r w:rsidRPr="0057104C">
          <w:rPr>
            <w:rStyle w:val="TextoNormalCaracter"/>
          </w:rPr>
          <w:t>85/2016</w:t>
        </w:r>
      </w:hyperlink>
      <w:r>
        <w:t xml:space="preserve">, f. 1; </w:t>
      </w:r>
      <w:hyperlink w:anchor="AUTO_2016_86" w:history="1">
        <w:r w:rsidRPr="0057104C">
          <w:rPr>
            <w:rStyle w:val="TextoNormalCaracter"/>
          </w:rPr>
          <w:t>86/2016</w:t>
        </w:r>
      </w:hyperlink>
      <w:r>
        <w:t xml:space="preserve">, f. 2; </w:t>
      </w:r>
      <w:hyperlink w:anchor="AUTO_2016_87" w:history="1">
        <w:r w:rsidRPr="0057104C">
          <w:rPr>
            <w:rStyle w:val="TextoNormalCaracter"/>
          </w:rPr>
          <w:t>87/2016</w:t>
        </w:r>
      </w:hyperlink>
      <w:r>
        <w:t xml:space="preserve">, f. 2; </w:t>
      </w:r>
      <w:hyperlink w:anchor="AUTO_2016_88" w:history="1">
        <w:r w:rsidRPr="0057104C">
          <w:rPr>
            <w:rStyle w:val="TextoNormalCaracter"/>
          </w:rPr>
          <w:t>88/2016</w:t>
        </w:r>
      </w:hyperlink>
      <w:r>
        <w:t xml:space="preserve">, f. 2; </w:t>
      </w:r>
      <w:hyperlink w:anchor="AUTO_2016_101" w:history="1">
        <w:r w:rsidRPr="0057104C">
          <w:rPr>
            <w:rStyle w:val="TextoNormalCaracter"/>
          </w:rPr>
          <w:t>101/2016</w:t>
        </w:r>
      </w:hyperlink>
      <w:r>
        <w:t xml:space="preserve">, f. 1; </w:t>
      </w:r>
      <w:hyperlink w:anchor="AUTO_2016_103" w:history="1">
        <w:r w:rsidRPr="0057104C">
          <w:rPr>
            <w:rStyle w:val="TextoNormalCaracter"/>
          </w:rPr>
          <w:t>103/2016</w:t>
        </w:r>
      </w:hyperlink>
      <w:r>
        <w:t xml:space="preserve">, f. 2; </w:t>
      </w:r>
      <w:hyperlink w:anchor="AUTO_2016_104" w:history="1">
        <w:r w:rsidRPr="0057104C">
          <w:rPr>
            <w:rStyle w:val="TextoNormalCaracter"/>
          </w:rPr>
          <w:t>104/2016</w:t>
        </w:r>
      </w:hyperlink>
      <w:r>
        <w:t xml:space="preserve">, f. 2; </w:t>
      </w:r>
      <w:hyperlink w:anchor="AUTO_2016_113" w:history="1">
        <w:r w:rsidRPr="0057104C">
          <w:rPr>
            <w:rStyle w:val="TextoNormalCaracter"/>
          </w:rPr>
          <w:t>113/2016</w:t>
        </w:r>
      </w:hyperlink>
      <w:r>
        <w:t xml:space="preserve">, f. 3; </w:t>
      </w:r>
      <w:hyperlink w:anchor="AUTO_2016_122" w:history="1">
        <w:r w:rsidRPr="0057104C">
          <w:rPr>
            <w:rStyle w:val="TextoNormalCaracter"/>
          </w:rPr>
          <w:t>122/2016</w:t>
        </w:r>
      </w:hyperlink>
      <w:r>
        <w:t xml:space="preserve">, ff. 3, 4; </w:t>
      </w:r>
      <w:hyperlink w:anchor="AUTO_2016_129" w:history="1">
        <w:r w:rsidRPr="0057104C">
          <w:rPr>
            <w:rStyle w:val="TextoNormalCaracter"/>
          </w:rPr>
          <w:t>129/2016</w:t>
        </w:r>
      </w:hyperlink>
      <w:r>
        <w:t xml:space="preserve">, ff. 1 a 3, 5; </w:t>
      </w:r>
      <w:hyperlink w:anchor="AUTO_2016_131" w:history="1">
        <w:r w:rsidRPr="0057104C">
          <w:rPr>
            <w:rStyle w:val="TextoNormalCaracter"/>
          </w:rPr>
          <w:t>131/2016</w:t>
        </w:r>
      </w:hyperlink>
      <w:r>
        <w:t xml:space="preserve">, f. 2; </w:t>
      </w:r>
      <w:hyperlink w:anchor="AUTO_2016_132" w:history="1">
        <w:r w:rsidRPr="0057104C">
          <w:rPr>
            <w:rStyle w:val="TextoNormalCaracter"/>
          </w:rPr>
          <w:t>132/2016</w:t>
        </w:r>
      </w:hyperlink>
      <w:r>
        <w:t xml:space="preserve">, f. 4; </w:t>
      </w:r>
      <w:hyperlink w:anchor="AUTO_2016_134" w:history="1">
        <w:r w:rsidRPr="0057104C">
          <w:rPr>
            <w:rStyle w:val="TextoNormalCaracter"/>
          </w:rPr>
          <w:t>134/2016</w:t>
        </w:r>
      </w:hyperlink>
      <w:r>
        <w:t>, f. 2.</w:t>
      </w:r>
    </w:p>
    <w:p w:rsidR="0057104C" w:rsidRDefault="0057104C" w:rsidP="0057104C">
      <w:pPr>
        <w:pStyle w:val="SangriaFrancesaArticulo"/>
      </w:pPr>
      <w:r w:rsidRPr="0057104C">
        <w:rPr>
          <w:rStyle w:val="TextoNormalNegritaCaracter"/>
        </w:rPr>
        <w:t>Artículo 37.2.</w:t>
      </w:r>
      <w:r w:rsidRPr="0057104C">
        <w:rPr>
          <w:rStyle w:val="TextoNormalCaracter"/>
        </w:rPr>
        <w:t>-</w:t>
      </w:r>
      <w:r>
        <w:t xml:space="preserve"> Sentencia </w:t>
      </w:r>
      <w:hyperlink w:anchor="SENTENCIA_2016_35" w:history="1">
        <w:r w:rsidRPr="0057104C">
          <w:rPr>
            <w:rStyle w:val="TextoNormalCaracter"/>
          </w:rPr>
          <w:t>35/2016</w:t>
        </w:r>
      </w:hyperlink>
      <w:r>
        <w:t>, f. 1.</w:t>
      </w:r>
    </w:p>
    <w:p w:rsidR="0057104C" w:rsidRDefault="0057104C" w:rsidP="0057104C">
      <w:pPr>
        <w:pStyle w:val="SangriaFrancesaArticulo"/>
      </w:pPr>
      <w:r w:rsidRPr="0057104C">
        <w:rPr>
          <w:rStyle w:val="TextoNormalNegritaCaracter"/>
        </w:rPr>
        <w:t>Artículo 37.3.</w:t>
      </w:r>
      <w:r w:rsidRPr="0057104C">
        <w:rPr>
          <w:rStyle w:val="TextoNormalCaracter"/>
        </w:rPr>
        <w:t>-</w:t>
      </w:r>
      <w:r>
        <w:t xml:space="preserve"> Sentencia </w:t>
      </w:r>
      <w:hyperlink w:anchor="SENTENCIA_2016_35" w:history="1">
        <w:r w:rsidRPr="0057104C">
          <w:rPr>
            <w:rStyle w:val="TextoNormalCaracter"/>
          </w:rPr>
          <w:t>35/2016</w:t>
        </w:r>
      </w:hyperlink>
      <w:r>
        <w:t>, f. 1.</w:t>
      </w:r>
    </w:p>
    <w:p w:rsidR="0057104C" w:rsidRDefault="0057104C" w:rsidP="0057104C">
      <w:pPr>
        <w:pStyle w:val="SangriaFrancesaArticulo"/>
      </w:pPr>
      <w:r w:rsidRPr="0057104C">
        <w:rPr>
          <w:rStyle w:val="TextoNormalNegritaCaracter"/>
        </w:rPr>
        <w:t>Artículo 38.</w:t>
      </w:r>
      <w:r w:rsidRPr="0057104C">
        <w:rPr>
          <w:rStyle w:val="TextoNormalCaracter"/>
        </w:rPr>
        <w:t>-</w:t>
      </w:r>
      <w:r>
        <w:t xml:space="preserve"> Autos </w:t>
      </w:r>
      <w:hyperlink w:anchor="AUTO_2016_6" w:history="1">
        <w:r w:rsidRPr="0057104C">
          <w:rPr>
            <w:rStyle w:val="TextoNormalCaracter"/>
          </w:rPr>
          <w:t>6/2016</w:t>
        </w:r>
      </w:hyperlink>
      <w:r>
        <w:t xml:space="preserve">, f. 5; </w:t>
      </w:r>
      <w:hyperlink w:anchor="AUTO_2016_7" w:history="1">
        <w:r w:rsidRPr="0057104C">
          <w:rPr>
            <w:rStyle w:val="TextoNormalCaracter"/>
          </w:rPr>
          <w:t>7/2016</w:t>
        </w:r>
      </w:hyperlink>
      <w:r>
        <w:t xml:space="preserve">, f. 5; </w:t>
      </w:r>
      <w:hyperlink w:anchor="AUTO_2016_8" w:history="1">
        <w:r w:rsidRPr="0057104C">
          <w:rPr>
            <w:rStyle w:val="TextoNormalCaracter"/>
          </w:rPr>
          <w:t>8/2016</w:t>
        </w:r>
      </w:hyperlink>
      <w:r>
        <w:t xml:space="preserve">, f. 5; </w:t>
      </w:r>
      <w:hyperlink w:anchor="AUTO_2016_10" w:history="1">
        <w:r w:rsidRPr="0057104C">
          <w:rPr>
            <w:rStyle w:val="TextoNormalCaracter"/>
          </w:rPr>
          <w:t>10/2016</w:t>
        </w:r>
      </w:hyperlink>
      <w:r>
        <w:t xml:space="preserve">, f. 5; </w:t>
      </w:r>
      <w:hyperlink w:anchor="AUTO_2016_22" w:history="1">
        <w:r w:rsidRPr="0057104C">
          <w:rPr>
            <w:rStyle w:val="TextoNormalCaracter"/>
          </w:rPr>
          <w:t>22/2016</w:t>
        </w:r>
      </w:hyperlink>
      <w:r>
        <w:t xml:space="preserve">, f. 5; </w:t>
      </w:r>
      <w:hyperlink w:anchor="AUTO_2016_37" w:history="1">
        <w:r w:rsidRPr="0057104C">
          <w:rPr>
            <w:rStyle w:val="TextoNormalCaracter"/>
          </w:rPr>
          <w:t>37/2016</w:t>
        </w:r>
      </w:hyperlink>
      <w:r>
        <w:t xml:space="preserve">, f. 4; </w:t>
      </w:r>
      <w:hyperlink w:anchor="AUTO_2016_38" w:history="1">
        <w:r w:rsidRPr="0057104C">
          <w:rPr>
            <w:rStyle w:val="TextoNormalCaracter"/>
          </w:rPr>
          <w:t>38/2016</w:t>
        </w:r>
      </w:hyperlink>
      <w:r>
        <w:t xml:space="preserve">, f. 4; </w:t>
      </w:r>
      <w:hyperlink w:anchor="AUTO_2016_50" w:history="1">
        <w:r w:rsidRPr="0057104C">
          <w:rPr>
            <w:rStyle w:val="TextoNormalCaracter"/>
          </w:rPr>
          <w:t>50/2016</w:t>
        </w:r>
      </w:hyperlink>
      <w:r>
        <w:t xml:space="preserve">, f. 4; </w:t>
      </w:r>
      <w:hyperlink w:anchor="AUTO_2016_52" w:history="1">
        <w:r w:rsidRPr="0057104C">
          <w:rPr>
            <w:rStyle w:val="TextoNormalCaracter"/>
          </w:rPr>
          <w:t>52/2016</w:t>
        </w:r>
      </w:hyperlink>
      <w:r>
        <w:t xml:space="preserve">, f. 4; </w:t>
      </w:r>
      <w:hyperlink w:anchor="AUTO_2016_70" w:history="1">
        <w:r w:rsidRPr="0057104C">
          <w:rPr>
            <w:rStyle w:val="TextoNormalCaracter"/>
          </w:rPr>
          <w:t>70/2016</w:t>
        </w:r>
      </w:hyperlink>
      <w:r>
        <w:t xml:space="preserve">, f. 5; </w:t>
      </w:r>
      <w:hyperlink w:anchor="AUTO_2016_73" w:history="1">
        <w:r w:rsidRPr="0057104C">
          <w:rPr>
            <w:rStyle w:val="TextoNormalCaracter"/>
          </w:rPr>
          <w:t>73/2016</w:t>
        </w:r>
      </w:hyperlink>
      <w:r>
        <w:t>, f. 3.</w:t>
      </w:r>
    </w:p>
    <w:p w:rsidR="0057104C" w:rsidRDefault="0057104C" w:rsidP="0057104C">
      <w:pPr>
        <w:pStyle w:val="SangriaFrancesaArticulo"/>
      </w:pPr>
      <w:r w:rsidRPr="0057104C">
        <w:rPr>
          <w:rStyle w:val="TextoNormalNegritaCaracter"/>
        </w:rPr>
        <w:t>Artículo 38.1.</w:t>
      </w:r>
      <w:r w:rsidRPr="0057104C">
        <w:rPr>
          <w:rStyle w:val="TextoNormalCaracter"/>
        </w:rPr>
        <w:t>-</w:t>
      </w:r>
      <w:r>
        <w:t xml:space="preserve"> Sentencia </w:t>
      </w:r>
      <w:hyperlink w:anchor="SENTENCIA_2016_81" w:history="1">
        <w:r w:rsidRPr="0057104C">
          <w:rPr>
            <w:rStyle w:val="TextoNormalCaracter"/>
          </w:rPr>
          <w:t>81/2016</w:t>
        </w:r>
      </w:hyperlink>
      <w:r>
        <w:t>, f. 3.</w:t>
      </w:r>
    </w:p>
    <w:p w:rsidR="0057104C" w:rsidRDefault="0057104C" w:rsidP="0057104C">
      <w:pPr>
        <w:pStyle w:val="SangriaIzquierdaArticulo"/>
      </w:pPr>
      <w:r>
        <w:t xml:space="preserve">Auto </w:t>
      </w:r>
      <w:hyperlink w:anchor="AUTO_2016_57" w:history="1">
        <w:r w:rsidRPr="0057104C">
          <w:rPr>
            <w:rStyle w:val="TextoNormalCaracter"/>
          </w:rPr>
          <w:t>57/2016</w:t>
        </w:r>
      </w:hyperlink>
      <w:r>
        <w:t>, f. único.</w:t>
      </w:r>
    </w:p>
    <w:p w:rsidR="0057104C" w:rsidRDefault="0057104C" w:rsidP="0057104C">
      <w:pPr>
        <w:pStyle w:val="SangriaFrancesaArticulo"/>
      </w:pPr>
      <w:r w:rsidRPr="0057104C">
        <w:rPr>
          <w:rStyle w:val="TextoNormalNegritaCaracter"/>
        </w:rPr>
        <w:t>Artículo 39.</w:t>
      </w:r>
      <w:r w:rsidRPr="0057104C">
        <w:rPr>
          <w:rStyle w:val="TextoNormalCaracter"/>
        </w:rPr>
        <w:t>-</w:t>
      </w:r>
      <w:r>
        <w:t xml:space="preserve"> Sentencias </w:t>
      </w:r>
      <w:hyperlink w:anchor="SENTENCIA_2016_82" w:history="1">
        <w:r w:rsidRPr="0057104C">
          <w:rPr>
            <w:rStyle w:val="TextoNormalCaracter"/>
          </w:rPr>
          <w:t>82/2016</w:t>
        </w:r>
      </w:hyperlink>
      <w:r>
        <w:t xml:space="preserve">, f. 7, VP;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 39.1.</w:t>
      </w:r>
      <w:r w:rsidRPr="0057104C">
        <w:rPr>
          <w:rStyle w:val="TextoNormalCaracter"/>
        </w:rPr>
        <w:t>-</w:t>
      </w:r>
      <w:r>
        <w:t xml:space="preserve"> Sentencias </w:t>
      </w:r>
      <w:hyperlink w:anchor="SENTENCIA_2016_58" w:history="1">
        <w:r w:rsidRPr="0057104C">
          <w:rPr>
            <w:rStyle w:val="TextoNormalCaracter"/>
          </w:rPr>
          <w:t>58/2016</w:t>
        </w:r>
      </w:hyperlink>
      <w:r>
        <w:t xml:space="preserve">, f. 3; </w:t>
      </w:r>
      <w:hyperlink w:anchor="SENTENCIA_2016_81" w:history="1">
        <w:r w:rsidRPr="0057104C">
          <w:rPr>
            <w:rStyle w:val="TextoNormalCaracter"/>
          </w:rPr>
          <w:t>81/2016</w:t>
        </w:r>
      </w:hyperlink>
      <w:r>
        <w:t>, f. 3.</w:t>
      </w:r>
    </w:p>
    <w:p w:rsidR="0057104C" w:rsidRDefault="0057104C" w:rsidP="0057104C">
      <w:pPr>
        <w:pStyle w:val="SangriaFrancesaArticulo"/>
      </w:pPr>
      <w:r w:rsidRPr="0057104C">
        <w:rPr>
          <w:rStyle w:val="TextoNormalNegritaCaracter"/>
        </w:rPr>
        <w:t>Artículo 40.1.</w:t>
      </w:r>
      <w:r w:rsidRPr="0057104C">
        <w:rPr>
          <w:rStyle w:val="TextoNormalCaracter"/>
        </w:rPr>
        <w:t>-</w:t>
      </w:r>
      <w:r>
        <w:t xml:space="preserve"> Sentencias </w:t>
      </w:r>
      <w:hyperlink w:anchor="SENTENCIA_2016_3" w:history="1">
        <w:r w:rsidRPr="0057104C">
          <w:rPr>
            <w:rStyle w:val="TextoNormalCaracter"/>
          </w:rPr>
          <w:t>3/2016</w:t>
        </w:r>
      </w:hyperlink>
      <w:r>
        <w:t xml:space="preserve">, f. 2; </w:t>
      </w:r>
      <w:hyperlink w:anchor="SENTENCIA_2016_40" w:history="1">
        <w:r w:rsidRPr="0057104C">
          <w:rPr>
            <w:rStyle w:val="TextoNormalCaracter"/>
          </w:rPr>
          <w:t>40/2016</w:t>
        </w:r>
      </w:hyperlink>
      <w:r>
        <w:t xml:space="preserve">, f. 3; </w:t>
      </w:r>
      <w:hyperlink w:anchor="SENTENCIA_2016_81" w:history="1">
        <w:r w:rsidRPr="0057104C">
          <w:rPr>
            <w:rStyle w:val="TextoNormalCaracter"/>
          </w:rPr>
          <w:t>81/2016</w:t>
        </w:r>
      </w:hyperlink>
      <w:r>
        <w:t xml:space="preserve">, f. 3; </w:t>
      </w:r>
      <w:hyperlink w:anchor="SENTENCIA_2016_111" w:history="1">
        <w:r w:rsidRPr="0057104C">
          <w:rPr>
            <w:rStyle w:val="TextoNormalCaracter"/>
          </w:rPr>
          <w:t>111/2016</w:t>
        </w:r>
      </w:hyperlink>
      <w:r>
        <w:t>, f. 8.</w:t>
      </w:r>
    </w:p>
    <w:p w:rsidR="0057104C" w:rsidRDefault="0057104C" w:rsidP="0057104C">
      <w:pPr>
        <w:pStyle w:val="SangriaIzquierdaArticulo"/>
      </w:pPr>
      <w:r>
        <w:t xml:space="preserve">Auto </w:t>
      </w:r>
      <w:hyperlink w:anchor="AUTO_2016_72" w:history="1">
        <w:r w:rsidRPr="0057104C">
          <w:rPr>
            <w:rStyle w:val="TextoNormalCaracter"/>
          </w:rPr>
          <w:t>72/2016</w:t>
        </w:r>
      </w:hyperlink>
      <w:r>
        <w:t>, f. 4.</w:t>
      </w:r>
    </w:p>
    <w:p w:rsidR="0057104C" w:rsidRDefault="0057104C" w:rsidP="0057104C">
      <w:pPr>
        <w:pStyle w:val="SangriaFrancesaArticulo"/>
      </w:pPr>
      <w:r w:rsidRPr="0057104C">
        <w:rPr>
          <w:rStyle w:val="TextoNormalNegritaCaracter"/>
        </w:rPr>
        <w:t>Artículo 41 a 46.</w:t>
      </w:r>
      <w:r w:rsidRPr="0057104C">
        <w:rPr>
          <w:rStyle w:val="TextoNormalCaracter"/>
        </w:rPr>
        <w:t>-</w:t>
      </w:r>
      <w:r>
        <w:t xml:space="preserve"> Sentencia </w:t>
      </w:r>
      <w:hyperlink w:anchor="SENTENCIA_2016_63" w:history="1">
        <w:r w:rsidRPr="0057104C">
          <w:rPr>
            <w:rStyle w:val="TextoNormalCaracter"/>
          </w:rPr>
          <w:t>63/2016</w:t>
        </w:r>
      </w:hyperlink>
      <w:r>
        <w:t>, f. 2.</w:t>
      </w:r>
    </w:p>
    <w:p w:rsidR="0057104C" w:rsidRDefault="0057104C" w:rsidP="0057104C">
      <w:pPr>
        <w:pStyle w:val="SangriaFrancesaArticulo"/>
      </w:pPr>
      <w:r w:rsidRPr="0057104C">
        <w:rPr>
          <w:rStyle w:val="TextoNormalNegritaCaracter"/>
        </w:rPr>
        <w:t>Artículo 41.1.</w:t>
      </w:r>
      <w:r w:rsidRPr="0057104C">
        <w:rPr>
          <w:rStyle w:val="TextoNormalCaracter"/>
        </w:rPr>
        <w:t>-</w:t>
      </w:r>
      <w:r>
        <w:t xml:space="preserve"> Sentencias </w:t>
      </w:r>
      <w:hyperlink w:anchor="SENTENCIA_2016_3" w:history="1">
        <w:r w:rsidRPr="0057104C">
          <w:rPr>
            <w:rStyle w:val="TextoNormalCaracter"/>
          </w:rPr>
          <w:t>3/2016</w:t>
        </w:r>
      </w:hyperlink>
      <w:r>
        <w:t xml:space="preserve">, ff. 2, 3; </w:t>
      </w:r>
      <w:hyperlink w:anchor="SENTENCIA_2016_58" w:history="1">
        <w:r w:rsidRPr="0057104C">
          <w:rPr>
            <w:rStyle w:val="TextoNormalCaracter"/>
          </w:rPr>
          <w:t>58/2016</w:t>
        </w:r>
      </w:hyperlink>
      <w:r>
        <w:t>, f. 5.</w:t>
      </w:r>
    </w:p>
    <w:p w:rsidR="0057104C" w:rsidRDefault="0057104C" w:rsidP="0057104C">
      <w:pPr>
        <w:pStyle w:val="SangriaFrancesaArticulo"/>
      </w:pPr>
      <w:r w:rsidRPr="0057104C">
        <w:rPr>
          <w:rStyle w:val="TextoNormalNegritaCaracter"/>
        </w:rPr>
        <w:t>Artículo 41.3.</w:t>
      </w:r>
      <w:r w:rsidRPr="0057104C">
        <w:rPr>
          <w:rStyle w:val="TextoNormalCaracter"/>
        </w:rPr>
        <w:t>-</w:t>
      </w:r>
      <w:r>
        <w:t xml:space="preserve"> Autos </w:t>
      </w:r>
      <w:hyperlink w:anchor="AUTO_2016_15" w:history="1">
        <w:r w:rsidRPr="0057104C">
          <w:rPr>
            <w:rStyle w:val="TextoNormalCaracter"/>
          </w:rPr>
          <w:t>15/2016</w:t>
        </w:r>
      </w:hyperlink>
      <w:r>
        <w:t xml:space="preserve">, f. único; </w:t>
      </w:r>
      <w:hyperlink w:anchor="AUTO_2016_25" w:history="1">
        <w:r w:rsidRPr="0057104C">
          <w:rPr>
            <w:rStyle w:val="TextoNormalCaracter"/>
          </w:rPr>
          <w:t>25/2016</w:t>
        </w:r>
      </w:hyperlink>
      <w:r>
        <w:t xml:space="preserve">, f. único; </w:t>
      </w:r>
      <w:hyperlink w:anchor="AUTO_2016_26" w:history="1">
        <w:r w:rsidRPr="0057104C">
          <w:rPr>
            <w:rStyle w:val="TextoNormalCaracter"/>
          </w:rPr>
          <w:t>26/2016</w:t>
        </w:r>
      </w:hyperlink>
      <w:r>
        <w:t xml:space="preserve">, f. único; </w:t>
      </w:r>
      <w:hyperlink w:anchor="AUTO_2016_31" w:history="1">
        <w:r w:rsidRPr="0057104C">
          <w:rPr>
            <w:rStyle w:val="TextoNormalCaracter"/>
          </w:rPr>
          <w:t>31/2016</w:t>
        </w:r>
      </w:hyperlink>
      <w:r>
        <w:t xml:space="preserve">, f. 1; </w:t>
      </w:r>
      <w:hyperlink w:anchor="AUTO_2016_53" w:history="1">
        <w:r w:rsidRPr="0057104C">
          <w:rPr>
            <w:rStyle w:val="TextoNormalCaracter"/>
          </w:rPr>
          <w:t>53/2016</w:t>
        </w:r>
      </w:hyperlink>
      <w:r>
        <w:t xml:space="preserve">, f. único; </w:t>
      </w:r>
      <w:hyperlink w:anchor="AUTO_2016_92" w:history="1">
        <w:r w:rsidRPr="0057104C">
          <w:rPr>
            <w:rStyle w:val="TextoNormalCaracter"/>
          </w:rPr>
          <w:t>92/2016</w:t>
        </w:r>
      </w:hyperlink>
      <w:r>
        <w:t xml:space="preserve">, f. único; </w:t>
      </w:r>
      <w:hyperlink w:anchor="AUTO_2016_94" w:history="1">
        <w:r w:rsidRPr="0057104C">
          <w:rPr>
            <w:rStyle w:val="TextoNormalCaracter"/>
          </w:rPr>
          <w:t>94/2016</w:t>
        </w:r>
      </w:hyperlink>
      <w:r>
        <w:t xml:space="preserve">, f. único; </w:t>
      </w:r>
      <w:hyperlink w:anchor="AUTO_2016_95" w:history="1">
        <w:r w:rsidRPr="0057104C">
          <w:rPr>
            <w:rStyle w:val="TextoNormalCaracter"/>
          </w:rPr>
          <w:t>95/2016</w:t>
        </w:r>
      </w:hyperlink>
      <w:r>
        <w:t xml:space="preserve">, f. único; </w:t>
      </w:r>
      <w:hyperlink w:anchor="AUTO_2016_96" w:history="1">
        <w:r w:rsidRPr="0057104C">
          <w:rPr>
            <w:rStyle w:val="TextoNormalCaracter"/>
          </w:rPr>
          <w:t>96/2016</w:t>
        </w:r>
      </w:hyperlink>
      <w:r>
        <w:t xml:space="preserve">, f. único; </w:t>
      </w:r>
      <w:hyperlink w:anchor="AUTO_2016_117" w:history="1">
        <w:r w:rsidRPr="0057104C">
          <w:rPr>
            <w:rStyle w:val="TextoNormalCaracter"/>
          </w:rPr>
          <w:t>117/2016</w:t>
        </w:r>
      </w:hyperlink>
      <w:r>
        <w:t xml:space="preserve">, f. único; </w:t>
      </w:r>
      <w:hyperlink w:anchor="AUTO_2016_119" w:history="1">
        <w:r w:rsidRPr="0057104C">
          <w:rPr>
            <w:rStyle w:val="TextoNormalCaracter"/>
          </w:rPr>
          <w:t>119/2016</w:t>
        </w:r>
      </w:hyperlink>
      <w:r>
        <w:t>, f. único.</w:t>
      </w:r>
    </w:p>
    <w:p w:rsidR="0057104C" w:rsidRDefault="0057104C" w:rsidP="0057104C">
      <w:pPr>
        <w:pStyle w:val="SangriaFrancesaArticulo"/>
      </w:pPr>
      <w:r w:rsidRPr="0057104C">
        <w:rPr>
          <w:rStyle w:val="TextoNormalNegritaCaracter"/>
        </w:rPr>
        <w:t>Artículos 41 a 46.</w:t>
      </w:r>
      <w:r w:rsidRPr="0057104C">
        <w:rPr>
          <w:rStyle w:val="TextoNormalCaracter"/>
        </w:rPr>
        <w:t>-</w:t>
      </w:r>
      <w:r>
        <w:t xml:space="preserve"> Sentencias </w:t>
      </w:r>
      <w:hyperlink w:anchor="SENTENCIA_2016_77" w:history="1">
        <w:r w:rsidRPr="0057104C">
          <w:rPr>
            <w:rStyle w:val="TextoNormalCaracter"/>
          </w:rPr>
          <w:t>77/2016</w:t>
        </w:r>
      </w:hyperlink>
      <w:r>
        <w:t xml:space="preserve">, f. 2; </w:t>
      </w:r>
      <w:hyperlink w:anchor="SENTENCIA_2016_89" w:history="1">
        <w:r w:rsidRPr="0057104C">
          <w:rPr>
            <w:rStyle w:val="TextoNormalCaracter"/>
          </w:rPr>
          <w:t>89/2016</w:t>
        </w:r>
      </w:hyperlink>
      <w:r>
        <w:t xml:space="preserve">, f. 2; </w:t>
      </w:r>
      <w:hyperlink w:anchor="SENTENCIA_2016_103" w:history="1">
        <w:r w:rsidRPr="0057104C">
          <w:rPr>
            <w:rStyle w:val="TextoNormalCaracter"/>
          </w:rPr>
          <w:t>103/2016</w:t>
        </w:r>
      </w:hyperlink>
      <w:r>
        <w:t>, f. 2.</w:t>
      </w:r>
    </w:p>
    <w:p w:rsidR="0057104C" w:rsidRDefault="0057104C" w:rsidP="0057104C">
      <w:pPr>
        <w:pStyle w:val="SangriaFrancesaArticulo"/>
      </w:pPr>
      <w:r w:rsidRPr="0057104C">
        <w:rPr>
          <w:rStyle w:val="TextoNormalNegritaCaracter"/>
        </w:rPr>
        <w:t>Artículo 42</w:t>
      </w:r>
      <w:r>
        <w:t xml:space="preserve"> (redactado por la Ley Orgánica 6/2007, de 24 de mayo)</w:t>
      </w:r>
      <w:r w:rsidRPr="0057104C">
        <w:rPr>
          <w:rStyle w:val="TextoNormalNegritaCaracter"/>
        </w:rPr>
        <w:t>.</w:t>
      </w:r>
      <w:r w:rsidRPr="0057104C">
        <w:rPr>
          <w:rStyle w:val="TextoNormalCaracter"/>
        </w:rPr>
        <w:t>-</w:t>
      </w:r>
      <w:r>
        <w:t xml:space="preserve"> Sentencia </w:t>
      </w:r>
      <w:hyperlink w:anchor="SENTENCIA_2016_109" w:history="1">
        <w:r w:rsidRPr="0057104C">
          <w:rPr>
            <w:rStyle w:val="TextoNormalCaracter"/>
          </w:rPr>
          <w:t>109/2016</w:t>
        </w:r>
      </w:hyperlink>
      <w:r>
        <w:t>, f. f. 6.</w:t>
      </w:r>
    </w:p>
    <w:p w:rsidR="0057104C" w:rsidRDefault="0057104C" w:rsidP="0057104C">
      <w:pPr>
        <w:pStyle w:val="SangriaFrancesaArticulo"/>
      </w:pPr>
      <w:r w:rsidRPr="0057104C">
        <w:rPr>
          <w:rStyle w:val="TextoNormalNegritaCaracter"/>
        </w:rPr>
        <w:t>Artículo 43.</w:t>
      </w:r>
      <w:r w:rsidRPr="0057104C">
        <w:rPr>
          <w:rStyle w:val="TextoNormalCaracter"/>
        </w:rPr>
        <w:t>-</w:t>
      </w:r>
      <w:r>
        <w:t xml:space="preserve"> Sentencias </w:t>
      </w:r>
      <w:hyperlink w:anchor="SENTENCIA_2016_45" w:history="1">
        <w:r w:rsidRPr="0057104C">
          <w:rPr>
            <w:rStyle w:val="TextoNormalCaracter"/>
          </w:rPr>
          <w:t>45/2016</w:t>
        </w:r>
      </w:hyperlink>
      <w:r>
        <w:t xml:space="preserve">, f. 1; </w:t>
      </w:r>
      <w:hyperlink w:anchor="SENTENCIA_2016_94" w:history="1">
        <w:r w:rsidRPr="0057104C">
          <w:rPr>
            <w:rStyle w:val="TextoNormalCaracter"/>
          </w:rPr>
          <w:t>94/2016</w:t>
        </w:r>
      </w:hyperlink>
      <w:r>
        <w:t>, f. 2.</w:t>
      </w:r>
    </w:p>
    <w:p w:rsidR="0057104C" w:rsidRDefault="0057104C" w:rsidP="0057104C">
      <w:pPr>
        <w:pStyle w:val="SangriaFrancesaArticulo"/>
      </w:pPr>
      <w:r w:rsidRPr="0057104C">
        <w:rPr>
          <w:rStyle w:val="TextoNormalNegritaCaracter"/>
        </w:rPr>
        <w:t>Artículo 43</w:t>
      </w:r>
      <w:r>
        <w:t xml:space="preserve"> (redactado por la Ley Orgánica 6/2007, de 24 de mayo)</w:t>
      </w:r>
      <w:r w:rsidRPr="0057104C">
        <w:rPr>
          <w:rStyle w:val="TextoNormalNegritaCaracter"/>
        </w:rPr>
        <w:t>.</w:t>
      </w:r>
      <w:r w:rsidRPr="0057104C">
        <w:rPr>
          <w:rStyle w:val="TextoNormalCaracter"/>
        </w:rPr>
        <w:t>-</w:t>
      </w:r>
      <w:r>
        <w:t xml:space="preserve"> Sentencia </w:t>
      </w:r>
      <w:hyperlink w:anchor="SENTENCIA_2016_117" w:history="1">
        <w:r w:rsidRPr="0057104C">
          <w:rPr>
            <w:rStyle w:val="TextoNormalCaracter"/>
          </w:rPr>
          <w:t>117/2016</w:t>
        </w:r>
      </w:hyperlink>
      <w:r>
        <w:t>, ff. 2, 4.</w:t>
      </w:r>
    </w:p>
    <w:p w:rsidR="0057104C" w:rsidRDefault="0057104C" w:rsidP="0057104C">
      <w:pPr>
        <w:pStyle w:val="SangriaFrancesaArticulo"/>
      </w:pPr>
      <w:r w:rsidRPr="0057104C">
        <w:rPr>
          <w:rStyle w:val="TextoNormalNegritaCaracter"/>
        </w:rPr>
        <w:t>Artículo 43.1.</w:t>
      </w:r>
      <w:r w:rsidRPr="0057104C">
        <w:rPr>
          <w:rStyle w:val="TextoNormalCaracter"/>
        </w:rPr>
        <w:t>-</w:t>
      </w:r>
      <w:r>
        <w:t xml:space="preserve"> Sentencia </w:t>
      </w:r>
      <w:hyperlink w:anchor="SENTENCIA_2016_58" w:history="1">
        <w:r w:rsidRPr="0057104C">
          <w:rPr>
            <w:rStyle w:val="TextoNormalCaracter"/>
          </w:rPr>
          <w:t>58/2016</w:t>
        </w:r>
      </w:hyperlink>
      <w:r>
        <w:t>, f. 5.</w:t>
      </w:r>
    </w:p>
    <w:p w:rsidR="0057104C" w:rsidRDefault="0057104C" w:rsidP="0057104C">
      <w:pPr>
        <w:pStyle w:val="SangriaFrancesaArticulo"/>
      </w:pPr>
      <w:r w:rsidRPr="0057104C">
        <w:rPr>
          <w:rStyle w:val="TextoNormalNegritaCaracter"/>
        </w:rPr>
        <w:t>Artículo 43.2.</w:t>
      </w:r>
      <w:r w:rsidRPr="0057104C">
        <w:rPr>
          <w:rStyle w:val="TextoNormalCaracter"/>
        </w:rPr>
        <w:t>-</w:t>
      </w:r>
      <w:r>
        <w:t xml:space="preserve"> Sentencias </w:t>
      </w:r>
      <w:hyperlink w:anchor="SENTENCIA_2016_3" w:history="1">
        <w:r w:rsidRPr="0057104C">
          <w:rPr>
            <w:rStyle w:val="TextoNormalCaracter"/>
          </w:rPr>
          <w:t>3/2016</w:t>
        </w:r>
      </w:hyperlink>
      <w:r>
        <w:t xml:space="preserve">, f. 2; </w:t>
      </w:r>
      <w:hyperlink w:anchor="SENTENCIA_2016_94" w:history="1">
        <w:r w:rsidRPr="0057104C">
          <w:rPr>
            <w:rStyle w:val="TextoNormalCaracter"/>
          </w:rPr>
          <w:t>94/2016</w:t>
        </w:r>
      </w:hyperlink>
      <w:r>
        <w:t>, ff. 2, 3.</w:t>
      </w:r>
    </w:p>
    <w:p w:rsidR="0057104C" w:rsidRDefault="0057104C" w:rsidP="0057104C">
      <w:pPr>
        <w:pStyle w:val="SangriaFrancesaArticulo"/>
      </w:pPr>
      <w:r w:rsidRPr="0057104C">
        <w:rPr>
          <w:rStyle w:val="TextoNormalNegritaCaracter"/>
        </w:rPr>
        <w:t>Artículo 44.</w:t>
      </w:r>
      <w:r w:rsidRPr="0057104C">
        <w:rPr>
          <w:rStyle w:val="TextoNormalCaracter"/>
        </w:rPr>
        <w:t>-</w:t>
      </w:r>
      <w:r>
        <w:t xml:space="preserve"> Sentencias </w:t>
      </w:r>
      <w:hyperlink w:anchor="SENTENCIA_2016_39" w:history="1">
        <w:r w:rsidRPr="0057104C">
          <w:rPr>
            <w:rStyle w:val="TextoNormalCaracter"/>
          </w:rPr>
          <w:t>39/2016</w:t>
        </w:r>
      </w:hyperlink>
      <w:r>
        <w:t xml:space="preserve">, f. 2; </w:t>
      </w:r>
      <w:hyperlink w:anchor="SENTENCIA_2016_58" w:history="1">
        <w:r w:rsidRPr="0057104C">
          <w:rPr>
            <w:rStyle w:val="TextoNormalCaracter"/>
          </w:rPr>
          <w:t>58/2016</w:t>
        </w:r>
      </w:hyperlink>
      <w:r>
        <w:t xml:space="preserve">, f. 3; </w:t>
      </w:r>
      <w:hyperlink w:anchor="SENTENCIA_2016_103" w:history="1">
        <w:r w:rsidRPr="0057104C">
          <w:rPr>
            <w:rStyle w:val="TextoNormalCaracter"/>
          </w:rPr>
          <w:t>103/2016</w:t>
        </w:r>
      </w:hyperlink>
      <w:r>
        <w:t>, f. 3.</w:t>
      </w:r>
    </w:p>
    <w:p w:rsidR="0057104C" w:rsidRDefault="0057104C" w:rsidP="0057104C">
      <w:pPr>
        <w:pStyle w:val="SangriaFrancesaArticulo"/>
      </w:pPr>
      <w:r w:rsidRPr="0057104C">
        <w:rPr>
          <w:rStyle w:val="TextoNormalNegritaCaracter"/>
        </w:rPr>
        <w:t>Artículo 44</w:t>
      </w:r>
      <w:r>
        <w:t xml:space="preserve"> (redactado por la Ley Orgánica 6/2007, de 24 de mayo)</w:t>
      </w:r>
      <w:r w:rsidRPr="0057104C">
        <w:rPr>
          <w:rStyle w:val="TextoNormalNegritaCaracter"/>
        </w:rPr>
        <w:t>.</w:t>
      </w:r>
      <w:r w:rsidRPr="0057104C">
        <w:rPr>
          <w:rStyle w:val="TextoNormalCaracter"/>
        </w:rPr>
        <w:t>-</w:t>
      </w:r>
      <w:r>
        <w:t xml:space="preserve"> Sentencia </w:t>
      </w:r>
      <w:hyperlink w:anchor="SENTENCIA_2016_117" w:history="1">
        <w:r w:rsidRPr="0057104C">
          <w:rPr>
            <w:rStyle w:val="TextoNormalCaracter"/>
          </w:rPr>
          <w:t>117/2016</w:t>
        </w:r>
      </w:hyperlink>
      <w:r>
        <w:t>, f. 2.</w:t>
      </w:r>
    </w:p>
    <w:p w:rsidR="0057104C" w:rsidRDefault="0057104C" w:rsidP="0057104C">
      <w:pPr>
        <w:pStyle w:val="SangriaFrancesaArticulo"/>
      </w:pPr>
      <w:r w:rsidRPr="0057104C">
        <w:rPr>
          <w:rStyle w:val="TextoNormalNegritaCaracter"/>
        </w:rPr>
        <w:t>Artículo 44.1.</w:t>
      </w:r>
      <w:r w:rsidRPr="0057104C">
        <w:rPr>
          <w:rStyle w:val="TextoNormalCaracter"/>
        </w:rPr>
        <w:t>-</w:t>
      </w:r>
      <w:r>
        <w:t xml:space="preserve"> Auto </w:t>
      </w:r>
      <w:hyperlink w:anchor="AUTO_2016_44" w:history="1">
        <w:r w:rsidRPr="0057104C">
          <w:rPr>
            <w:rStyle w:val="TextoNormalCaracter"/>
          </w:rPr>
          <w:t>44/2016</w:t>
        </w:r>
      </w:hyperlink>
      <w:r>
        <w:t>, f. único.</w:t>
      </w:r>
    </w:p>
    <w:p w:rsidR="0057104C" w:rsidRDefault="0057104C" w:rsidP="0057104C">
      <w:pPr>
        <w:pStyle w:val="SangriaFrancesaArticulo"/>
      </w:pPr>
      <w:r w:rsidRPr="0057104C">
        <w:rPr>
          <w:rStyle w:val="TextoNormalNegritaCaracter"/>
        </w:rPr>
        <w:t>Artículo 44.1 a).</w:t>
      </w:r>
      <w:r w:rsidRPr="0057104C">
        <w:rPr>
          <w:rStyle w:val="TextoNormalCaracter"/>
        </w:rPr>
        <w:t>-</w:t>
      </w:r>
      <w:r>
        <w:t xml:space="preserve"> Sentencias </w:t>
      </w:r>
      <w:hyperlink w:anchor="SENTENCIA_2016_58" w:history="1">
        <w:r w:rsidRPr="0057104C">
          <w:rPr>
            <w:rStyle w:val="TextoNormalCaracter"/>
          </w:rPr>
          <w:t>58/2016</w:t>
        </w:r>
      </w:hyperlink>
      <w:r>
        <w:t xml:space="preserve">, f. 5; </w:t>
      </w:r>
      <w:hyperlink w:anchor="SENTENCIA_2016_63" w:history="1">
        <w:r w:rsidRPr="0057104C">
          <w:rPr>
            <w:rStyle w:val="TextoNormalCaracter"/>
          </w:rPr>
          <w:t>63/2016</w:t>
        </w:r>
      </w:hyperlink>
      <w:r>
        <w:t xml:space="preserve">, f. 2; </w:t>
      </w:r>
      <w:hyperlink w:anchor="SENTENCIA_2016_75" w:history="1">
        <w:r w:rsidRPr="0057104C">
          <w:rPr>
            <w:rStyle w:val="TextoNormalCaracter"/>
          </w:rPr>
          <w:t>75/2016</w:t>
        </w:r>
      </w:hyperlink>
      <w:r>
        <w:t>, ff. 1 a 3.</w:t>
      </w:r>
    </w:p>
    <w:p w:rsidR="0057104C" w:rsidRDefault="0057104C" w:rsidP="0057104C">
      <w:pPr>
        <w:pStyle w:val="SangriaIzquierdaArticulo"/>
      </w:pPr>
      <w:r>
        <w:t xml:space="preserve">Autos </w:t>
      </w:r>
      <w:hyperlink w:anchor="AUTO_2016_43" w:history="1">
        <w:r w:rsidRPr="0057104C">
          <w:rPr>
            <w:rStyle w:val="TextoNormalCaracter"/>
          </w:rPr>
          <w:t>43/2016</w:t>
        </w:r>
      </w:hyperlink>
      <w:r>
        <w:t xml:space="preserve">, f. 1; </w:t>
      </w:r>
      <w:hyperlink w:anchor="AUTO_2016_98" w:history="1">
        <w:r w:rsidRPr="0057104C">
          <w:rPr>
            <w:rStyle w:val="TextoNormalCaracter"/>
          </w:rPr>
          <w:t>98/2016</w:t>
        </w:r>
      </w:hyperlink>
      <w:r>
        <w:t>, f. único.</w:t>
      </w:r>
    </w:p>
    <w:p w:rsidR="0057104C" w:rsidRDefault="0057104C" w:rsidP="0057104C">
      <w:pPr>
        <w:pStyle w:val="SangriaFrancesaArticulo"/>
      </w:pPr>
      <w:r w:rsidRPr="0057104C">
        <w:rPr>
          <w:rStyle w:val="TextoNormalNegritaCaracter"/>
        </w:rPr>
        <w:t>Artículo 44.1 a)</w:t>
      </w:r>
      <w:r>
        <w:t xml:space="preserve"> (redactado por la Ley Orgánica 6/2007, de 24 de mayo)</w:t>
      </w:r>
      <w:r w:rsidRPr="0057104C">
        <w:rPr>
          <w:rStyle w:val="TextoNormalNegritaCaracter"/>
        </w:rPr>
        <w:t>.</w:t>
      </w:r>
      <w:r w:rsidRPr="0057104C">
        <w:rPr>
          <w:rStyle w:val="TextoNormalCaracter"/>
        </w:rPr>
        <w:t>-</w:t>
      </w:r>
      <w:r>
        <w:t xml:space="preserve"> Sentencias </w:t>
      </w:r>
      <w:hyperlink w:anchor="SENTENCIA_2016_76" w:history="1">
        <w:r w:rsidRPr="0057104C">
          <w:rPr>
            <w:rStyle w:val="TextoNormalCaracter"/>
          </w:rPr>
          <w:t>76/2016</w:t>
        </w:r>
      </w:hyperlink>
      <w:r>
        <w:t xml:space="preserve">, ff. 1 a 3; </w:t>
      </w:r>
      <w:hyperlink w:anchor="SENTENCIA_2016_77" w:history="1">
        <w:r w:rsidRPr="0057104C">
          <w:rPr>
            <w:rStyle w:val="TextoNormalCaracter"/>
          </w:rPr>
          <w:t>77/2016</w:t>
        </w:r>
      </w:hyperlink>
      <w:r>
        <w:t xml:space="preserve">, f. 2; </w:t>
      </w:r>
      <w:hyperlink w:anchor="SENTENCIA_2016_89" w:history="1">
        <w:r w:rsidRPr="0057104C">
          <w:rPr>
            <w:rStyle w:val="TextoNormalCaracter"/>
          </w:rPr>
          <w:t>89/2016</w:t>
        </w:r>
      </w:hyperlink>
      <w:r>
        <w:t xml:space="preserve">, f. 2; </w:t>
      </w:r>
      <w:hyperlink w:anchor="SENTENCIA_2016_117" w:history="1">
        <w:r w:rsidRPr="0057104C">
          <w:rPr>
            <w:rStyle w:val="TextoNormalCaracter"/>
          </w:rPr>
          <w:t>117/2016</w:t>
        </w:r>
      </w:hyperlink>
      <w:r>
        <w:t>, f. 2.</w:t>
      </w:r>
    </w:p>
    <w:p w:rsidR="0057104C" w:rsidRDefault="0057104C" w:rsidP="0057104C">
      <w:pPr>
        <w:pStyle w:val="SangriaFrancesaArticulo"/>
      </w:pPr>
      <w:r w:rsidRPr="0057104C">
        <w:rPr>
          <w:rStyle w:val="TextoNormalNegritaCaracter"/>
        </w:rPr>
        <w:t>Artículo 44.1 b).</w:t>
      </w:r>
      <w:r w:rsidRPr="0057104C">
        <w:rPr>
          <w:rStyle w:val="TextoNormalCaracter"/>
        </w:rPr>
        <w:t>-</w:t>
      </w:r>
      <w:r>
        <w:t xml:space="preserve"> Sentencia </w:t>
      </w:r>
      <w:hyperlink w:anchor="SENTENCIA_2016_69" w:history="1">
        <w:r w:rsidRPr="0057104C">
          <w:rPr>
            <w:rStyle w:val="TextoNormalCaracter"/>
          </w:rPr>
          <w:t>69/2016</w:t>
        </w:r>
      </w:hyperlink>
      <w:r>
        <w:t>, f. 4, VP I.</w:t>
      </w:r>
    </w:p>
    <w:p w:rsidR="0057104C" w:rsidRDefault="0057104C" w:rsidP="0057104C">
      <w:pPr>
        <w:pStyle w:val="SangriaFrancesaArticulo"/>
      </w:pPr>
      <w:r w:rsidRPr="0057104C">
        <w:rPr>
          <w:rStyle w:val="TextoNormalNegritaCaracter"/>
        </w:rPr>
        <w:t>Artículo 44.1 c).</w:t>
      </w:r>
      <w:r w:rsidRPr="0057104C">
        <w:rPr>
          <w:rStyle w:val="TextoNormalCaracter"/>
        </w:rPr>
        <w:t>-</w:t>
      </w:r>
      <w:r>
        <w:t xml:space="preserve"> Sentencias </w:t>
      </w:r>
      <w:hyperlink w:anchor="SENTENCIA_2016_13" w:history="1">
        <w:r w:rsidRPr="0057104C">
          <w:rPr>
            <w:rStyle w:val="TextoNormalCaracter"/>
          </w:rPr>
          <w:t>13/2016</w:t>
        </w:r>
      </w:hyperlink>
      <w:r>
        <w:t xml:space="preserve">, f. 2; </w:t>
      </w:r>
      <w:hyperlink w:anchor="SENTENCIA_2016_39" w:history="1">
        <w:r w:rsidRPr="0057104C">
          <w:rPr>
            <w:rStyle w:val="TextoNormalCaracter"/>
          </w:rPr>
          <w:t>39/2016</w:t>
        </w:r>
      </w:hyperlink>
      <w:r>
        <w:t>, f. 2.</w:t>
      </w:r>
    </w:p>
    <w:p w:rsidR="0057104C" w:rsidRDefault="0057104C" w:rsidP="0057104C">
      <w:pPr>
        <w:pStyle w:val="SangriaIzquierdaArticulo"/>
      </w:pPr>
      <w:r>
        <w:t xml:space="preserve">Auto </w:t>
      </w:r>
      <w:hyperlink w:anchor="AUTO_2016_4" w:history="1">
        <w:r w:rsidRPr="0057104C">
          <w:rPr>
            <w:rStyle w:val="TextoNormalCaracter"/>
          </w:rPr>
          <w:t>4/2016</w:t>
        </w:r>
      </w:hyperlink>
      <w:r>
        <w:t>, f. único.</w:t>
      </w:r>
    </w:p>
    <w:p w:rsidR="0057104C" w:rsidRDefault="0057104C" w:rsidP="0057104C">
      <w:pPr>
        <w:pStyle w:val="SangriaFrancesaArticulo"/>
      </w:pPr>
      <w:r w:rsidRPr="0057104C">
        <w:rPr>
          <w:rStyle w:val="TextoNormalNegritaCaracter"/>
        </w:rPr>
        <w:t>Artículo 44.2.</w:t>
      </w:r>
      <w:r w:rsidRPr="0057104C">
        <w:rPr>
          <w:rStyle w:val="TextoNormalCaracter"/>
        </w:rPr>
        <w:t>-</w:t>
      </w:r>
      <w:r>
        <w:t xml:space="preserve"> Sentencias </w:t>
      </w:r>
      <w:hyperlink w:anchor="SENTENCIA_2016_3" w:history="1">
        <w:r w:rsidRPr="0057104C">
          <w:rPr>
            <w:rStyle w:val="TextoNormalCaracter"/>
          </w:rPr>
          <w:t>3/2016</w:t>
        </w:r>
      </w:hyperlink>
      <w:r>
        <w:t xml:space="preserve">, f. 2; </w:t>
      </w:r>
      <w:hyperlink w:anchor="SENTENCIA_2016_24" w:history="1">
        <w:r w:rsidRPr="0057104C">
          <w:rPr>
            <w:rStyle w:val="TextoNormalCaracter"/>
          </w:rPr>
          <w:t>24/2016</w:t>
        </w:r>
      </w:hyperlink>
      <w:r>
        <w:t xml:space="preserve">, f. único; </w:t>
      </w:r>
      <w:hyperlink w:anchor="SENTENCIA_2016_39" w:history="1">
        <w:r w:rsidRPr="0057104C">
          <w:rPr>
            <w:rStyle w:val="TextoNormalCaracter"/>
          </w:rPr>
          <w:t>39/2016</w:t>
        </w:r>
      </w:hyperlink>
      <w:r>
        <w:t xml:space="preserve">, f. 2; </w:t>
      </w:r>
      <w:hyperlink w:anchor="SENTENCIA_2016_94" w:history="1">
        <w:r w:rsidRPr="0057104C">
          <w:rPr>
            <w:rStyle w:val="TextoNormalCaracter"/>
          </w:rPr>
          <w:t>94/2016</w:t>
        </w:r>
      </w:hyperlink>
      <w:r>
        <w:t>, f. 2.</w:t>
      </w:r>
    </w:p>
    <w:p w:rsidR="0057104C" w:rsidRDefault="0057104C" w:rsidP="0057104C">
      <w:pPr>
        <w:pStyle w:val="SangriaIzquierdaArticulo"/>
      </w:pPr>
      <w:r>
        <w:t xml:space="preserve">Auto </w:t>
      </w:r>
      <w:hyperlink w:anchor="AUTO_2016_108" w:history="1">
        <w:r w:rsidRPr="0057104C">
          <w:rPr>
            <w:rStyle w:val="TextoNormalCaracter"/>
          </w:rPr>
          <w:t>108/2016</w:t>
        </w:r>
      </w:hyperlink>
      <w:r>
        <w:t>, f. único.</w:t>
      </w:r>
    </w:p>
    <w:p w:rsidR="0057104C" w:rsidRDefault="0057104C" w:rsidP="0057104C">
      <w:pPr>
        <w:pStyle w:val="SangriaFrancesaArticulo"/>
      </w:pPr>
      <w:r w:rsidRPr="0057104C">
        <w:rPr>
          <w:rStyle w:val="TextoNormalNegritaCaracter"/>
        </w:rPr>
        <w:t>Artículo 46.1 b).</w:t>
      </w:r>
      <w:r w:rsidRPr="0057104C">
        <w:rPr>
          <w:rStyle w:val="TextoNormalCaracter"/>
        </w:rPr>
        <w:t>-</w:t>
      </w:r>
      <w:r>
        <w:t xml:space="preserve"> Sentencias </w:t>
      </w:r>
      <w:hyperlink w:anchor="SENTENCIA_2016_22" w:history="1">
        <w:r w:rsidRPr="0057104C">
          <w:rPr>
            <w:rStyle w:val="TextoNormalCaracter"/>
          </w:rPr>
          <w:t>22/2016</w:t>
        </w:r>
      </w:hyperlink>
      <w:r>
        <w:t xml:space="preserve">, f. 2; </w:t>
      </w:r>
      <w:hyperlink w:anchor="SENTENCIA_2016_34" w:history="1">
        <w:r w:rsidRPr="0057104C">
          <w:rPr>
            <w:rStyle w:val="TextoNormalCaracter"/>
          </w:rPr>
          <w:t>34/2016</w:t>
        </w:r>
      </w:hyperlink>
      <w:r>
        <w:t xml:space="preserve">, f. 2; </w:t>
      </w:r>
      <w:hyperlink w:anchor="SENTENCIA_2016_50" w:history="1">
        <w:r w:rsidRPr="0057104C">
          <w:rPr>
            <w:rStyle w:val="TextoNormalCaracter"/>
          </w:rPr>
          <w:t>50/2016</w:t>
        </w:r>
      </w:hyperlink>
      <w:r>
        <w:t>, f. 2.</w:t>
      </w:r>
    </w:p>
    <w:p w:rsidR="0057104C" w:rsidRDefault="0057104C" w:rsidP="0057104C">
      <w:pPr>
        <w:pStyle w:val="SangriaFrancesaArticulo"/>
      </w:pPr>
      <w:r w:rsidRPr="0057104C">
        <w:rPr>
          <w:rStyle w:val="TextoNormalNegritaCaracter"/>
        </w:rPr>
        <w:t>Artículo 49.</w:t>
      </w:r>
      <w:r w:rsidRPr="0057104C">
        <w:rPr>
          <w:rStyle w:val="TextoNormalCaracter"/>
        </w:rPr>
        <w:t>-</w:t>
      </w:r>
      <w:r>
        <w:t xml:space="preserve"> Sentencias </w:t>
      </w:r>
      <w:hyperlink w:anchor="SENTENCIA_2016_63" w:history="1">
        <w:r w:rsidRPr="0057104C">
          <w:rPr>
            <w:rStyle w:val="TextoNormalCaracter"/>
          </w:rPr>
          <w:t>63/2016</w:t>
        </w:r>
      </w:hyperlink>
      <w:r>
        <w:t xml:space="preserve">, f. 2; </w:t>
      </w:r>
      <w:hyperlink w:anchor="SENTENCIA_2016_103" w:history="1">
        <w:r w:rsidRPr="0057104C">
          <w:rPr>
            <w:rStyle w:val="TextoNormalCaracter"/>
          </w:rPr>
          <w:t>103/2016</w:t>
        </w:r>
      </w:hyperlink>
      <w:r>
        <w:t>, f. 2.</w:t>
      </w:r>
    </w:p>
    <w:p w:rsidR="0057104C" w:rsidRDefault="0057104C" w:rsidP="0057104C">
      <w:pPr>
        <w:pStyle w:val="SangriaFrancesaArticulo"/>
      </w:pPr>
      <w:r w:rsidRPr="0057104C">
        <w:rPr>
          <w:rStyle w:val="TextoNormalNegritaCaracter"/>
        </w:rPr>
        <w:t>Artículo 49.1.</w:t>
      </w:r>
      <w:r w:rsidRPr="0057104C">
        <w:rPr>
          <w:rStyle w:val="TextoNormalCaracter"/>
        </w:rPr>
        <w:t>-</w:t>
      </w:r>
      <w:r>
        <w:t xml:space="preserve"> Sentencias </w:t>
      </w:r>
      <w:hyperlink w:anchor="SENTENCIA_2016_11" w:history="1">
        <w:r w:rsidRPr="0057104C">
          <w:rPr>
            <w:rStyle w:val="TextoNormalCaracter"/>
          </w:rPr>
          <w:t>11/2016</w:t>
        </w:r>
      </w:hyperlink>
      <w:r>
        <w:t xml:space="preserve">, VPIII; </w:t>
      </w:r>
      <w:hyperlink w:anchor="SENTENCIA_2016_16" w:history="1">
        <w:r w:rsidRPr="0057104C">
          <w:rPr>
            <w:rStyle w:val="TextoNormalCaracter"/>
          </w:rPr>
          <w:t>16/2016</w:t>
        </w:r>
      </w:hyperlink>
      <w:r>
        <w:t xml:space="preserve">, f. 2; </w:t>
      </w:r>
      <w:hyperlink w:anchor="SENTENCIA_2016_44" w:history="1">
        <w:r w:rsidRPr="0057104C">
          <w:rPr>
            <w:rStyle w:val="TextoNormalCaracter"/>
          </w:rPr>
          <w:t>44/2016</w:t>
        </w:r>
      </w:hyperlink>
      <w:r>
        <w:t xml:space="preserve">, f. 2; </w:t>
      </w:r>
      <w:hyperlink w:anchor="SENTENCIA_2016_45" w:history="1">
        <w:r w:rsidRPr="0057104C">
          <w:rPr>
            <w:rStyle w:val="TextoNormalCaracter"/>
          </w:rPr>
          <w:t>45/2016</w:t>
        </w:r>
      </w:hyperlink>
      <w:r>
        <w:t xml:space="preserve">, f. 2; </w:t>
      </w:r>
      <w:hyperlink w:anchor="SENTENCIA_2016_49" w:history="1">
        <w:r w:rsidRPr="0057104C">
          <w:rPr>
            <w:rStyle w:val="TextoNormalCaracter"/>
          </w:rPr>
          <w:t>49/2016</w:t>
        </w:r>
      </w:hyperlink>
      <w:r>
        <w:t xml:space="preserve">, f. 2; </w:t>
      </w:r>
      <w:hyperlink w:anchor="SENTENCIA_2016_63" w:history="1">
        <w:r w:rsidRPr="0057104C">
          <w:rPr>
            <w:rStyle w:val="TextoNormalCaracter"/>
          </w:rPr>
          <w:t>63/2016</w:t>
        </w:r>
      </w:hyperlink>
      <w:r>
        <w:t xml:space="preserve">, f. 2; </w:t>
      </w:r>
      <w:hyperlink w:anchor="SENTENCIA_2016_76" w:history="1">
        <w:r w:rsidRPr="0057104C">
          <w:rPr>
            <w:rStyle w:val="TextoNormalCaracter"/>
          </w:rPr>
          <w:t>76/2016</w:t>
        </w:r>
      </w:hyperlink>
      <w:r>
        <w:t xml:space="preserve">, f. 2; </w:t>
      </w:r>
      <w:hyperlink w:anchor="SENTENCIA_2016_77" w:history="1">
        <w:r w:rsidRPr="0057104C">
          <w:rPr>
            <w:rStyle w:val="TextoNormalCaracter"/>
          </w:rPr>
          <w:t>77/2016</w:t>
        </w:r>
      </w:hyperlink>
      <w:r>
        <w:t xml:space="preserve">, f. 2; </w:t>
      </w:r>
      <w:hyperlink w:anchor="SENTENCIA_2016_103" w:history="1">
        <w:r w:rsidRPr="0057104C">
          <w:rPr>
            <w:rStyle w:val="TextoNormalCaracter"/>
          </w:rPr>
          <w:t>103/2016</w:t>
        </w:r>
      </w:hyperlink>
      <w:r>
        <w:t>, f. 2.</w:t>
      </w:r>
    </w:p>
    <w:p w:rsidR="0057104C" w:rsidRDefault="0057104C" w:rsidP="0057104C">
      <w:pPr>
        <w:pStyle w:val="SangriaIzquierdaArticulo"/>
      </w:pPr>
      <w:r>
        <w:t xml:space="preserve">Auto </w:t>
      </w:r>
      <w:hyperlink w:anchor="AUTO_2016_98" w:history="1">
        <w:r w:rsidRPr="0057104C">
          <w:rPr>
            <w:rStyle w:val="TextoNormalCaracter"/>
          </w:rPr>
          <w:t>98/2016</w:t>
        </w:r>
      </w:hyperlink>
      <w:r>
        <w:t>, f. único.</w:t>
      </w:r>
    </w:p>
    <w:p w:rsidR="0057104C" w:rsidRDefault="0057104C" w:rsidP="0057104C">
      <w:pPr>
        <w:pStyle w:val="SangriaFrancesaArticulo"/>
      </w:pPr>
      <w:r w:rsidRPr="0057104C">
        <w:rPr>
          <w:rStyle w:val="TextoNormalNegritaCaracter"/>
        </w:rPr>
        <w:t>Artículo 49.1</w:t>
      </w:r>
      <w:r>
        <w:t xml:space="preserve"> (redactado por la Ley Orgánica 6/2007, de 24 de mayo)</w:t>
      </w:r>
      <w:r w:rsidRPr="0057104C">
        <w:rPr>
          <w:rStyle w:val="TextoNormalNegritaCaracter"/>
        </w:rPr>
        <w:t>.</w:t>
      </w:r>
      <w:r w:rsidRPr="0057104C">
        <w:rPr>
          <w:rStyle w:val="TextoNormalCaracter"/>
        </w:rPr>
        <w:t>-</w:t>
      </w:r>
      <w:r>
        <w:t xml:space="preserve"> Sentencias </w:t>
      </w:r>
      <w:hyperlink w:anchor="SENTENCIA_2016_65" w:history="1">
        <w:r w:rsidRPr="0057104C">
          <w:rPr>
            <w:rStyle w:val="TextoNormalCaracter"/>
          </w:rPr>
          <w:t>65/2016</w:t>
        </w:r>
      </w:hyperlink>
      <w:r>
        <w:t xml:space="preserve">, f. 2; </w:t>
      </w:r>
      <w:hyperlink w:anchor="SENTENCIA_2016_89" w:history="1">
        <w:r w:rsidRPr="0057104C">
          <w:rPr>
            <w:rStyle w:val="TextoNormalCaracter"/>
          </w:rPr>
          <w:t>89/2016</w:t>
        </w:r>
      </w:hyperlink>
      <w:r>
        <w:t xml:space="preserve">, f. 2; </w:t>
      </w:r>
      <w:hyperlink w:anchor="SENTENCIA_2016_105" w:history="1">
        <w:r w:rsidRPr="0057104C">
          <w:rPr>
            <w:rStyle w:val="TextoNormalCaracter"/>
          </w:rPr>
          <w:t>105/2016</w:t>
        </w:r>
      </w:hyperlink>
      <w:r>
        <w:t xml:space="preserve">, f. 2; </w:t>
      </w:r>
      <w:hyperlink w:anchor="SENTENCIA_2016_117" w:history="1">
        <w:r w:rsidRPr="0057104C">
          <w:rPr>
            <w:rStyle w:val="TextoNormalCaracter"/>
          </w:rPr>
          <w:t>117/2016</w:t>
        </w:r>
      </w:hyperlink>
      <w:r>
        <w:t>, f. 3.</w:t>
      </w:r>
    </w:p>
    <w:p w:rsidR="0057104C" w:rsidRDefault="0057104C" w:rsidP="0057104C">
      <w:pPr>
        <w:pStyle w:val="SangriaFrancesaArticulo"/>
      </w:pPr>
      <w:r w:rsidRPr="0057104C">
        <w:rPr>
          <w:rStyle w:val="TextoNormalNegritaCaracter"/>
        </w:rPr>
        <w:t xml:space="preserve">Artículo 49.1 </w:t>
      </w:r>
      <w:r w:rsidRPr="0057104C">
        <w:rPr>
          <w:rStyle w:val="TextoNormalNegritaCursivaCaracter"/>
        </w:rPr>
        <w:t>in fine</w:t>
      </w:r>
      <w:r>
        <w:t xml:space="preserve"> </w:t>
      </w:r>
      <w:r w:rsidRPr="0057104C">
        <w:rPr>
          <w:rStyle w:val="TextoNormalCaracter"/>
        </w:rPr>
        <w:t>(redactado por la Ley Orgánica 6/2007, de 24 de mayo)</w:t>
      </w:r>
      <w:r w:rsidRPr="0057104C">
        <w:rPr>
          <w:rStyle w:val="TextoNormalNegritaCaracter"/>
        </w:rPr>
        <w:t>.</w:t>
      </w:r>
      <w:r w:rsidRPr="0057104C">
        <w:rPr>
          <w:rStyle w:val="TextoNormalCaracter"/>
        </w:rPr>
        <w:t>-</w:t>
      </w:r>
      <w:r>
        <w:t xml:space="preserve"> Sentencias </w:t>
      </w:r>
      <w:hyperlink w:anchor="SENTENCIA_2016_63" w:history="1">
        <w:r w:rsidRPr="0057104C">
          <w:rPr>
            <w:rStyle w:val="TextoNormalCaracter"/>
          </w:rPr>
          <w:t>63/2016</w:t>
        </w:r>
      </w:hyperlink>
      <w:r>
        <w:t xml:space="preserve">, f. 2; </w:t>
      </w:r>
      <w:hyperlink w:anchor="SENTENCIA_2016_76" w:history="1">
        <w:r w:rsidRPr="0057104C">
          <w:rPr>
            <w:rStyle w:val="TextoNormalCaracter"/>
          </w:rPr>
          <w:t>76/2016</w:t>
        </w:r>
      </w:hyperlink>
      <w:r>
        <w:t xml:space="preserve">, f. 2; </w:t>
      </w:r>
      <w:hyperlink w:anchor="SENTENCIA_2016_77" w:history="1">
        <w:r w:rsidRPr="0057104C">
          <w:rPr>
            <w:rStyle w:val="TextoNormalCaracter"/>
          </w:rPr>
          <w:t>77/2016</w:t>
        </w:r>
      </w:hyperlink>
      <w:r>
        <w:t xml:space="preserve">, f. 2; </w:t>
      </w:r>
      <w:hyperlink w:anchor="SENTENCIA_2016_89" w:history="1">
        <w:r w:rsidRPr="0057104C">
          <w:rPr>
            <w:rStyle w:val="TextoNormalCaracter"/>
          </w:rPr>
          <w:t>89/2016</w:t>
        </w:r>
      </w:hyperlink>
      <w:r>
        <w:t xml:space="preserve">, f. 2; </w:t>
      </w:r>
      <w:hyperlink w:anchor="SENTENCIA_2016_103" w:history="1">
        <w:r w:rsidRPr="0057104C">
          <w:rPr>
            <w:rStyle w:val="TextoNormalCaracter"/>
          </w:rPr>
          <w:t>103/2016</w:t>
        </w:r>
      </w:hyperlink>
      <w:r>
        <w:t>, f. 2.</w:t>
      </w:r>
    </w:p>
    <w:p w:rsidR="0057104C" w:rsidRDefault="0057104C" w:rsidP="0057104C">
      <w:pPr>
        <w:pStyle w:val="SangriaIzquierdaArticulo"/>
      </w:pPr>
      <w:r>
        <w:t xml:space="preserve">Auto </w:t>
      </w:r>
      <w:hyperlink w:anchor="AUTO_2016_98" w:history="1">
        <w:r w:rsidRPr="0057104C">
          <w:rPr>
            <w:rStyle w:val="TextoNormalCaracter"/>
          </w:rPr>
          <w:t>98/2016</w:t>
        </w:r>
      </w:hyperlink>
      <w:r>
        <w:t>, f. único.</w:t>
      </w:r>
    </w:p>
    <w:p w:rsidR="0057104C" w:rsidRDefault="0057104C" w:rsidP="0057104C">
      <w:pPr>
        <w:pStyle w:val="SangriaFrancesaArticulo"/>
      </w:pPr>
      <w:r w:rsidRPr="0057104C">
        <w:rPr>
          <w:rStyle w:val="TextoNormalNegritaCaracter"/>
        </w:rPr>
        <w:t>Artículo 50.1.</w:t>
      </w:r>
      <w:r w:rsidRPr="0057104C">
        <w:rPr>
          <w:rStyle w:val="TextoNormalCaracter"/>
        </w:rPr>
        <w:t>-</w:t>
      </w:r>
      <w:r>
        <w:t xml:space="preserve"> Sentencias </w:t>
      </w:r>
      <w:hyperlink w:anchor="SENTENCIA_2016_16" w:history="1">
        <w:r w:rsidRPr="0057104C">
          <w:rPr>
            <w:rStyle w:val="TextoNormalCaracter"/>
          </w:rPr>
          <w:t>16/2016</w:t>
        </w:r>
      </w:hyperlink>
      <w:r>
        <w:t xml:space="preserve">, f. 2; </w:t>
      </w:r>
      <w:hyperlink w:anchor="SENTENCIA_2016_49" w:history="1">
        <w:r w:rsidRPr="0057104C">
          <w:rPr>
            <w:rStyle w:val="TextoNormalCaracter"/>
          </w:rPr>
          <w:t>49/2016</w:t>
        </w:r>
      </w:hyperlink>
      <w:r>
        <w:t>, f. 2.</w:t>
      </w:r>
    </w:p>
    <w:p w:rsidR="0057104C" w:rsidRDefault="0057104C" w:rsidP="0057104C">
      <w:pPr>
        <w:pStyle w:val="SangriaIzquierdaArticulo"/>
      </w:pPr>
      <w:r>
        <w:t xml:space="preserve">Autos </w:t>
      </w:r>
      <w:hyperlink w:anchor="AUTO_2016_18" w:history="1">
        <w:r w:rsidRPr="0057104C">
          <w:rPr>
            <w:rStyle w:val="TextoNormalCaracter"/>
          </w:rPr>
          <w:t>18/2016</w:t>
        </w:r>
      </w:hyperlink>
      <w:r>
        <w:t xml:space="preserve">, f. 2; </w:t>
      </w:r>
      <w:hyperlink w:anchor="AUTO_2016_30" w:history="1">
        <w:r w:rsidRPr="0057104C">
          <w:rPr>
            <w:rStyle w:val="TextoNormalCaracter"/>
          </w:rPr>
          <w:t>30/2016</w:t>
        </w:r>
      </w:hyperlink>
      <w:r>
        <w:t>, f. 2.</w:t>
      </w:r>
    </w:p>
    <w:p w:rsidR="0057104C" w:rsidRDefault="0057104C" w:rsidP="0057104C">
      <w:pPr>
        <w:pStyle w:val="SangriaFrancesaArticulo"/>
      </w:pPr>
      <w:r w:rsidRPr="0057104C">
        <w:rPr>
          <w:rStyle w:val="TextoNormalNegritaCaracter"/>
        </w:rPr>
        <w:t>Artículo 50.1</w:t>
      </w:r>
      <w:r>
        <w:t xml:space="preserve"> (redactado por la Ley Orgánica 6/2007, de 24 de mayo)</w:t>
      </w:r>
      <w:r w:rsidRPr="0057104C">
        <w:rPr>
          <w:rStyle w:val="TextoNormalNegritaCaracter"/>
        </w:rPr>
        <w:t>.</w:t>
      </w:r>
      <w:r w:rsidRPr="0057104C">
        <w:rPr>
          <w:rStyle w:val="TextoNormalCaracter"/>
        </w:rPr>
        <w:t>-</w:t>
      </w:r>
      <w:r>
        <w:t xml:space="preserve"> Sentencias </w:t>
      </w:r>
      <w:hyperlink w:anchor="SENTENCIA_2016_65" w:history="1">
        <w:r w:rsidRPr="0057104C">
          <w:rPr>
            <w:rStyle w:val="TextoNormalCaracter"/>
          </w:rPr>
          <w:t>65/2016</w:t>
        </w:r>
      </w:hyperlink>
      <w:r>
        <w:t xml:space="preserve">, f. 2; </w:t>
      </w:r>
      <w:hyperlink w:anchor="SENTENCIA_2016_78" w:history="1">
        <w:r w:rsidRPr="0057104C">
          <w:rPr>
            <w:rStyle w:val="TextoNormalCaracter"/>
          </w:rPr>
          <w:t>78/2016</w:t>
        </w:r>
      </w:hyperlink>
      <w:r>
        <w:t xml:space="preserve">, f. 1; </w:t>
      </w:r>
      <w:hyperlink w:anchor="SENTENCIA_2016_117" w:history="1">
        <w:r w:rsidRPr="0057104C">
          <w:rPr>
            <w:rStyle w:val="TextoNormalCaracter"/>
          </w:rPr>
          <w:t>117/2016</w:t>
        </w:r>
      </w:hyperlink>
      <w:r>
        <w:t>, f. 3.</w:t>
      </w:r>
    </w:p>
    <w:p w:rsidR="0057104C" w:rsidRDefault="0057104C" w:rsidP="0057104C">
      <w:pPr>
        <w:pStyle w:val="SangriaFrancesaArticulo"/>
      </w:pPr>
      <w:r w:rsidRPr="0057104C">
        <w:rPr>
          <w:rStyle w:val="TextoNormalNegritaCaracter"/>
        </w:rPr>
        <w:t>Artículo 50.1 a).</w:t>
      </w:r>
      <w:r w:rsidRPr="0057104C">
        <w:rPr>
          <w:rStyle w:val="TextoNormalCaracter"/>
        </w:rPr>
        <w:t>-</w:t>
      </w:r>
      <w:r>
        <w:t xml:space="preserve"> Sentencias </w:t>
      </w:r>
      <w:hyperlink w:anchor="SENTENCIA_2016_24" w:history="1">
        <w:r w:rsidRPr="0057104C">
          <w:rPr>
            <w:rStyle w:val="TextoNormalCaracter"/>
          </w:rPr>
          <w:t>24/2016</w:t>
        </w:r>
      </w:hyperlink>
      <w:r>
        <w:t xml:space="preserve">, f. único; </w:t>
      </w:r>
      <w:hyperlink w:anchor="SENTENCIA_2016_63" w:history="1">
        <w:r w:rsidRPr="0057104C">
          <w:rPr>
            <w:rStyle w:val="TextoNormalCaracter"/>
          </w:rPr>
          <w:t>63/2016</w:t>
        </w:r>
      </w:hyperlink>
      <w:r>
        <w:t xml:space="preserve">, f. 2; </w:t>
      </w:r>
      <w:hyperlink w:anchor="SENTENCIA_2016_94" w:history="1">
        <w:r w:rsidRPr="0057104C">
          <w:rPr>
            <w:rStyle w:val="TextoNormalCaracter"/>
          </w:rPr>
          <w:t>94/2016</w:t>
        </w:r>
      </w:hyperlink>
      <w:r>
        <w:t xml:space="preserve">, f. 3; </w:t>
      </w:r>
      <w:hyperlink w:anchor="SENTENCIA_2016_103" w:history="1">
        <w:r w:rsidRPr="0057104C">
          <w:rPr>
            <w:rStyle w:val="TextoNormalCaracter"/>
          </w:rPr>
          <w:t>103/2016</w:t>
        </w:r>
      </w:hyperlink>
      <w:r>
        <w:t>, f. 2.</w:t>
      </w:r>
    </w:p>
    <w:p w:rsidR="0057104C" w:rsidRDefault="0057104C" w:rsidP="0057104C">
      <w:pPr>
        <w:pStyle w:val="SangriaIzquierdaArticulo"/>
      </w:pPr>
      <w:r>
        <w:t xml:space="preserve">Autos </w:t>
      </w:r>
      <w:hyperlink w:anchor="AUTO_2016_43" w:history="1">
        <w:r w:rsidRPr="0057104C">
          <w:rPr>
            <w:rStyle w:val="TextoNormalCaracter"/>
          </w:rPr>
          <w:t>43/2016</w:t>
        </w:r>
      </w:hyperlink>
      <w:r>
        <w:t xml:space="preserve">, f. 1; </w:t>
      </w:r>
      <w:hyperlink w:anchor="AUTO_2016_44" w:history="1">
        <w:r w:rsidRPr="0057104C">
          <w:rPr>
            <w:rStyle w:val="TextoNormalCaracter"/>
          </w:rPr>
          <w:t>44/2016</w:t>
        </w:r>
      </w:hyperlink>
      <w:r>
        <w:t xml:space="preserve">, f. único; </w:t>
      </w:r>
      <w:hyperlink w:anchor="AUTO_2016_98" w:history="1">
        <w:r w:rsidRPr="0057104C">
          <w:rPr>
            <w:rStyle w:val="TextoNormalCaracter"/>
          </w:rPr>
          <w:t>98/2016</w:t>
        </w:r>
      </w:hyperlink>
      <w:r>
        <w:t xml:space="preserve">, f. único; </w:t>
      </w:r>
      <w:hyperlink w:anchor="AUTO_2016_108" w:history="1">
        <w:r w:rsidRPr="0057104C">
          <w:rPr>
            <w:rStyle w:val="TextoNormalCaracter"/>
          </w:rPr>
          <w:t>108/2016</w:t>
        </w:r>
      </w:hyperlink>
      <w:r>
        <w:t>, f. único.</w:t>
      </w:r>
    </w:p>
    <w:p w:rsidR="0057104C" w:rsidRDefault="0057104C" w:rsidP="0057104C">
      <w:pPr>
        <w:pStyle w:val="SangriaFrancesaArticulo"/>
      </w:pPr>
      <w:r w:rsidRPr="0057104C">
        <w:rPr>
          <w:rStyle w:val="TextoNormalNegritaCaracter"/>
        </w:rPr>
        <w:t>Artículo 50.1 a)</w:t>
      </w:r>
      <w:r>
        <w:t xml:space="preserve"> (redactado por la Ley Orgánica 6/2007, de 24 de mayo)</w:t>
      </w:r>
      <w:r w:rsidRPr="0057104C">
        <w:rPr>
          <w:rStyle w:val="TextoNormalNegritaCaracter"/>
        </w:rPr>
        <w:t>.</w:t>
      </w:r>
      <w:r w:rsidRPr="0057104C">
        <w:rPr>
          <w:rStyle w:val="TextoNormalCaracter"/>
        </w:rPr>
        <w:t>-</w:t>
      </w:r>
      <w:r>
        <w:t xml:space="preserve"> Sentencias </w:t>
      </w:r>
      <w:hyperlink w:anchor="SENTENCIA_2016_77" w:history="1">
        <w:r w:rsidRPr="0057104C">
          <w:rPr>
            <w:rStyle w:val="TextoNormalCaracter"/>
          </w:rPr>
          <w:t>77/2016</w:t>
        </w:r>
      </w:hyperlink>
      <w:r>
        <w:t xml:space="preserve">, f. 2; </w:t>
      </w:r>
      <w:hyperlink w:anchor="SENTENCIA_2016_89" w:history="1">
        <w:r w:rsidRPr="0057104C">
          <w:rPr>
            <w:rStyle w:val="TextoNormalCaracter"/>
          </w:rPr>
          <w:t>89/2016</w:t>
        </w:r>
      </w:hyperlink>
      <w:r>
        <w:t>, f. 2.</w:t>
      </w:r>
    </w:p>
    <w:p w:rsidR="0057104C" w:rsidRDefault="0057104C" w:rsidP="0057104C">
      <w:pPr>
        <w:pStyle w:val="SangriaFrancesaArticulo"/>
      </w:pPr>
      <w:r w:rsidRPr="0057104C">
        <w:rPr>
          <w:rStyle w:val="TextoNormalNegritaCaracter"/>
        </w:rPr>
        <w:t>Artículo 50.1 b).</w:t>
      </w:r>
      <w:r w:rsidRPr="0057104C">
        <w:rPr>
          <w:rStyle w:val="TextoNormalCaracter"/>
        </w:rPr>
        <w:t>-</w:t>
      </w:r>
      <w:r>
        <w:t xml:space="preserve"> Sentencias </w:t>
      </w:r>
      <w:hyperlink w:anchor="SENTENCIA_2016_3" w:history="1">
        <w:r w:rsidRPr="0057104C">
          <w:rPr>
            <w:rStyle w:val="TextoNormalCaracter"/>
          </w:rPr>
          <w:t>3/2016</w:t>
        </w:r>
      </w:hyperlink>
      <w:r>
        <w:t xml:space="preserve">, f. 1; </w:t>
      </w:r>
      <w:hyperlink w:anchor="SENTENCIA_2016_16" w:history="1">
        <w:r w:rsidRPr="0057104C">
          <w:rPr>
            <w:rStyle w:val="TextoNormalCaracter"/>
          </w:rPr>
          <w:t>16/2016</w:t>
        </w:r>
      </w:hyperlink>
      <w:r>
        <w:t xml:space="preserve">, f. 2; </w:t>
      </w:r>
      <w:hyperlink w:anchor="SENTENCIA_2016_22" w:history="1">
        <w:r w:rsidRPr="0057104C">
          <w:rPr>
            <w:rStyle w:val="TextoNormalCaracter"/>
          </w:rPr>
          <w:t>22/2016</w:t>
        </w:r>
      </w:hyperlink>
      <w:r>
        <w:t xml:space="preserve">, f. 3; </w:t>
      </w:r>
      <w:hyperlink w:anchor="SENTENCIA_2016_34" w:history="1">
        <w:r w:rsidRPr="0057104C">
          <w:rPr>
            <w:rStyle w:val="TextoNormalCaracter"/>
          </w:rPr>
          <w:t>34/2016</w:t>
        </w:r>
      </w:hyperlink>
      <w:r>
        <w:t xml:space="preserve">, f. 2; </w:t>
      </w:r>
      <w:hyperlink w:anchor="SENTENCIA_2016_39" w:history="1">
        <w:r w:rsidRPr="0057104C">
          <w:rPr>
            <w:rStyle w:val="TextoNormalCaracter"/>
          </w:rPr>
          <w:t>39/2016</w:t>
        </w:r>
      </w:hyperlink>
      <w:r>
        <w:t xml:space="preserve">, f. 1; </w:t>
      </w:r>
      <w:hyperlink w:anchor="SENTENCIA_2016_44" w:history="1">
        <w:r w:rsidRPr="0057104C">
          <w:rPr>
            <w:rStyle w:val="TextoNormalCaracter"/>
          </w:rPr>
          <w:t>44/2016</w:t>
        </w:r>
      </w:hyperlink>
      <w:r>
        <w:t xml:space="preserve">, f. 2; </w:t>
      </w:r>
      <w:hyperlink w:anchor="SENTENCIA_2016_45" w:history="1">
        <w:r w:rsidRPr="0057104C">
          <w:rPr>
            <w:rStyle w:val="TextoNormalCaracter"/>
          </w:rPr>
          <w:t>45/2016</w:t>
        </w:r>
      </w:hyperlink>
      <w:r>
        <w:t xml:space="preserve">, f. 2; </w:t>
      </w:r>
      <w:hyperlink w:anchor="SENTENCIA_2016_49" w:history="1">
        <w:r w:rsidRPr="0057104C">
          <w:rPr>
            <w:rStyle w:val="TextoNormalCaracter"/>
          </w:rPr>
          <w:t>49/2016</w:t>
        </w:r>
      </w:hyperlink>
      <w:r>
        <w:t xml:space="preserve">, f. 2; </w:t>
      </w:r>
      <w:hyperlink w:anchor="SENTENCIA_2016_50" w:history="1">
        <w:r w:rsidRPr="0057104C">
          <w:rPr>
            <w:rStyle w:val="TextoNormalCaracter"/>
          </w:rPr>
          <w:t>50/2016</w:t>
        </w:r>
      </w:hyperlink>
      <w:r>
        <w:t xml:space="preserve">, f. 3; </w:t>
      </w:r>
      <w:hyperlink w:anchor="SENTENCIA_2016_63" w:history="1">
        <w:r w:rsidRPr="0057104C">
          <w:rPr>
            <w:rStyle w:val="TextoNormalCaracter"/>
          </w:rPr>
          <w:t>63/2016</w:t>
        </w:r>
      </w:hyperlink>
      <w:r>
        <w:t xml:space="preserve">, f. 2; </w:t>
      </w:r>
      <w:hyperlink w:anchor="SENTENCIA_2016_64" w:history="1">
        <w:r w:rsidRPr="0057104C">
          <w:rPr>
            <w:rStyle w:val="TextoNormalCaracter"/>
          </w:rPr>
          <w:t>64/2016</w:t>
        </w:r>
      </w:hyperlink>
      <w:r>
        <w:t xml:space="preserve">, f. 2; </w:t>
      </w:r>
      <w:hyperlink w:anchor="SENTENCIA_2016_75" w:history="1">
        <w:r w:rsidRPr="0057104C">
          <w:rPr>
            <w:rStyle w:val="TextoNormalCaracter"/>
          </w:rPr>
          <w:t>75/2016</w:t>
        </w:r>
      </w:hyperlink>
      <w:r>
        <w:t xml:space="preserve">, ff. 1, 2; </w:t>
      </w:r>
      <w:hyperlink w:anchor="SENTENCIA_2016_103" w:history="1">
        <w:r w:rsidRPr="0057104C">
          <w:rPr>
            <w:rStyle w:val="TextoNormalCaracter"/>
          </w:rPr>
          <w:t>103/2016</w:t>
        </w:r>
      </w:hyperlink>
      <w:r>
        <w:t>, f. 2.</w:t>
      </w:r>
    </w:p>
    <w:p w:rsidR="0057104C" w:rsidRDefault="0057104C" w:rsidP="0057104C">
      <w:pPr>
        <w:pStyle w:val="SangriaIzquierdaArticulo"/>
      </w:pPr>
      <w:r>
        <w:t xml:space="preserve">Autos </w:t>
      </w:r>
      <w:hyperlink w:anchor="AUTO_2016_98" w:history="1">
        <w:r w:rsidRPr="0057104C">
          <w:rPr>
            <w:rStyle w:val="TextoNormalCaracter"/>
          </w:rPr>
          <w:t>98/2016</w:t>
        </w:r>
      </w:hyperlink>
      <w:r>
        <w:t xml:space="preserve">, f. único; </w:t>
      </w:r>
      <w:hyperlink w:anchor="AUTO_2016_107" w:history="1">
        <w:r w:rsidRPr="0057104C">
          <w:rPr>
            <w:rStyle w:val="TextoNormalCaracter"/>
          </w:rPr>
          <w:t>107/2016</w:t>
        </w:r>
      </w:hyperlink>
      <w:r>
        <w:t>, ff. 1, 2.</w:t>
      </w:r>
    </w:p>
    <w:p w:rsidR="0057104C" w:rsidRDefault="0057104C" w:rsidP="0057104C">
      <w:pPr>
        <w:pStyle w:val="SangriaFrancesaArticulo"/>
      </w:pPr>
      <w:r w:rsidRPr="0057104C">
        <w:rPr>
          <w:rStyle w:val="TextoNormalNegritaCaracter"/>
        </w:rPr>
        <w:t>Artículo 50.1 b)</w:t>
      </w:r>
      <w:r>
        <w:t xml:space="preserve"> (redactado por la Ley Orgánica 6/2007, de 24 de mayo)</w:t>
      </w:r>
      <w:r w:rsidRPr="0057104C">
        <w:rPr>
          <w:rStyle w:val="TextoNormalNegritaCaracter"/>
        </w:rPr>
        <w:t>.</w:t>
      </w:r>
      <w:r w:rsidRPr="0057104C">
        <w:rPr>
          <w:rStyle w:val="TextoNormalCaracter"/>
        </w:rPr>
        <w:t>-</w:t>
      </w:r>
      <w:r>
        <w:t xml:space="preserve"> Sentencias </w:t>
      </w:r>
      <w:hyperlink w:anchor="SENTENCIA_2016_65" w:history="1">
        <w:r w:rsidRPr="0057104C">
          <w:rPr>
            <w:rStyle w:val="TextoNormalCaracter"/>
          </w:rPr>
          <w:t>65/2016</w:t>
        </w:r>
      </w:hyperlink>
      <w:r>
        <w:t xml:space="preserve">, f. 2; </w:t>
      </w:r>
      <w:hyperlink w:anchor="SENTENCIA_2016_69" w:history="1">
        <w:r w:rsidRPr="0057104C">
          <w:rPr>
            <w:rStyle w:val="TextoNormalCaracter"/>
          </w:rPr>
          <w:t>69/2016</w:t>
        </w:r>
      </w:hyperlink>
      <w:r>
        <w:t xml:space="preserve">, f. 3; </w:t>
      </w:r>
      <w:hyperlink w:anchor="SENTENCIA_2016_76" w:history="1">
        <w:r w:rsidRPr="0057104C">
          <w:rPr>
            <w:rStyle w:val="TextoNormalCaracter"/>
          </w:rPr>
          <w:t>76/2016</w:t>
        </w:r>
      </w:hyperlink>
      <w:r>
        <w:t xml:space="preserve">, f. 2; </w:t>
      </w:r>
      <w:hyperlink w:anchor="SENTENCIA_2016_77" w:history="1">
        <w:r w:rsidRPr="0057104C">
          <w:rPr>
            <w:rStyle w:val="TextoNormalCaracter"/>
          </w:rPr>
          <w:t>77/2016</w:t>
        </w:r>
      </w:hyperlink>
      <w:r>
        <w:t xml:space="preserve">, f. 2; </w:t>
      </w:r>
      <w:hyperlink w:anchor="SENTENCIA_2016_89" w:history="1">
        <w:r w:rsidRPr="0057104C">
          <w:rPr>
            <w:rStyle w:val="TextoNormalCaracter"/>
          </w:rPr>
          <w:t>89/2016</w:t>
        </w:r>
      </w:hyperlink>
      <w:r>
        <w:t xml:space="preserve">, f. 2; </w:t>
      </w:r>
      <w:hyperlink w:anchor="SENTENCIA_2016_105" w:history="1">
        <w:r w:rsidRPr="0057104C">
          <w:rPr>
            <w:rStyle w:val="TextoNormalCaracter"/>
          </w:rPr>
          <w:t>105/2016</w:t>
        </w:r>
      </w:hyperlink>
      <w:r>
        <w:t xml:space="preserve">, f. 2; </w:t>
      </w:r>
      <w:hyperlink w:anchor="SENTENCIA_2016_117" w:history="1">
        <w:r w:rsidRPr="0057104C">
          <w:rPr>
            <w:rStyle w:val="TextoNormalCaracter"/>
          </w:rPr>
          <w:t>117/2016</w:t>
        </w:r>
      </w:hyperlink>
      <w:r>
        <w:t>, f. 3.</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 </w:t>
      </w:r>
      <w:hyperlink w:anchor="SENTENCIA_2016_15" w:history="1">
        <w:r w:rsidRPr="0057104C">
          <w:rPr>
            <w:rStyle w:val="TextoNormalCaracter"/>
          </w:rPr>
          <w:t>15/2016</w:t>
        </w:r>
      </w:hyperlink>
      <w:r>
        <w:t>, f. 2.</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113" w:history="1">
        <w:r w:rsidRPr="0057104C">
          <w:rPr>
            <w:rStyle w:val="TextoNormalCaracter"/>
          </w:rPr>
          <w:t>113/2016</w:t>
        </w:r>
      </w:hyperlink>
      <w:r>
        <w:t>, f. 2.</w:t>
      </w:r>
    </w:p>
    <w:p w:rsidR="0057104C" w:rsidRDefault="0057104C" w:rsidP="0057104C">
      <w:pPr>
        <w:pStyle w:val="SangriaFrancesaArticulo"/>
      </w:pPr>
      <w:r w:rsidRPr="0057104C">
        <w:rPr>
          <w:rStyle w:val="TextoNormalNegritaCaracter"/>
        </w:rPr>
        <w:t>Artículo 52.2.</w:t>
      </w:r>
      <w:r w:rsidRPr="0057104C">
        <w:rPr>
          <w:rStyle w:val="TextoNormalCaracter"/>
        </w:rPr>
        <w:t>-</w:t>
      </w:r>
      <w:r>
        <w:t xml:space="preserve"> Auto </w:t>
      </w:r>
      <w:hyperlink w:anchor="AUTO_2016_49" w:history="1">
        <w:r w:rsidRPr="0057104C">
          <w:rPr>
            <w:rStyle w:val="TextoNormalCaracter"/>
          </w:rPr>
          <w:t>49/2016</w:t>
        </w:r>
      </w:hyperlink>
      <w:r>
        <w:t>, f. 1.</w:t>
      </w:r>
    </w:p>
    <w:p w:rsidR="0057104C" w:rsidRDefault="0057104C" w:rsidP="0057104C">
      <w:pPr>
        <w:pStyle w:val="SangriaFrancesaArticulo"/>
      </w:pPr>
      <w:r w:rsidRPr="0057104C">
        <w:rPr>
          <w:rStyle w:val="TextoNormalNegritaCaracter"/>
        </w:rPr>
        <w:t>Artículo 52.2</w:t>
      </w:r>
      <w:r>
        <w:t xml:space="preserve"> (redactado por la Ley Orgánica 6/2007, de 24 de mayo)</w:t>
      </w:r>
      <w:r w:rsidRPr="0057104C">
        <w:rPr>
          <w:rStyle w:val="TextoNormalNegritaCaracter"/>
        </w:rPr>
        <w:t>.</w:t>
      </w:r>
      <w:r w:rsidRPr="0057104C">
        <w:rPr>
          <w:rStyle w:val="TextoNormalCaracter"/>
        </w:rPr>
        <w:t>-</w:t>
      </w:r>
      <w:r>
        <w:t xml:space="preserve"> Autos </w:t>
      </w:r>
      <w:hyperlink w:anchor="AUTO_2016_47" w:history="1">
        <w:r w:rsidRPr="0057104C">
          <w:rPr>
            <w:rStyle w:val="TextoNormalCaracter"/>
          </w:rPr>
          <w:t>47/2016</w:t>
        </w:r>
      </w:hyperlink>
      <w:r>
        <w:t xml:space="preserve">, f. 1; </w:t>
      </w:r>
      <w:hyperlink w:anchor="AUTO_2016_133" w:history="1">
        <w:r w:rsidRPr="0057104C">
          <w:rPr>
            <w:rStyle w:val="TextoNormalCaracter"/>
          </w:rPr>
          <w:t>133/2016</w:t>
        </w:r>
      </w:hyperlink>
      <w:r>
        <w:t>, f. 1.</w:t>
      </w:r>
    </w:p>
    <w:p w:rsidR="0057104C" w:rsidRDefault="0057104C" w:rsidP="0057104C">
      <w:pPr>
        <w:pStyle w:val="SangriaFrancesaArticulo"/>
      </w:pPr>
      <w:r w:rsidRPr="0057104C">
        <w:rPr>
          <w:rStyle w:val="TextoNormalNegritaCaracter"/>
        </w:rPr>
        <w:t>Artículo 53.</w:t>
      </w:r>
      <w:r w:rsidRPr="0057104C">
        <w:rPr>
          <w:rStyle w:val="TextoNormalCaracter"/>
        </w:rPr>
        <w:t>-</w:t>
      </w:r>
      <w:r>
        <w:t xml:space="preserve"> Sentencia </w:t>
      </w:r>
      <w:hyperlink w:anchor="SENTENCIA_2016_24" w:history="1">
        <w:r w:rsidRPr="0057104C">
          <w:rPr>
            <w:rStyle w:val="TextoNormalCaracter"/>
          </w:rPr>
          <w:t>24/2016</w:t>
        </w:r>
      </w:hyperlink>
      <w:r>
        <w:t>, f. único.</w:t>
      </w:r>
    </w:p>
    <w:p w:rsidR="0057104C" w:rsidRDefault="0057104C" w:rsidP="0057104C">
      <w:pPr>
        <w:pStyle w:val="SangriaFrancesaArticulo"/>
      </w:pPr>
      <w:r w:rsidRPr="0057104C">
        <w:rPr>
          <w:rStyle w:val="TextoNormalNegritaCaracter"/>
        </w:rPr>
        <w:t>Artículo 53 a).</w:t>
      </w:r>
      <w:r w:rsidRPr="0057104C">
        <w:rPr>
          <w:rStyle w:val="TextoNormalCaracter"/>
        </w:rPr>
        <w:t>-</w:t>
      </w:r>
      <w:r>
        <w:t xml:space="preserve"> Sentencia </w:t>
      </w:r>
      <w:hyperlink w:anchor="SENTENCIA_2016_3" w:history="1">
        <w:r w:rsidRPr="0057104C">
          <w:rPr>
            <w:rStyle w:val="TextoNormalCaracter"/>
          </w:rPr>
          <w:t>3/2016</w:t>
        </w:r>
      </w:hyperlink>
      <w:r>
        <w:t>, f. 2.</w:t>
      </w:r>
    </w:p>
    <w:p w:rsidR="0057104C" w:rsidRDefault="0057104C" w:rsidP="0057104C">
      <w:pPr>
        <w:pStyle w:val="SangriaFrancesaArticulo"/>
      </w:pPr>
      <w:r w:rsidRPr="0057104C">
        <w:rPr>
          <w:rStyle w:val="TextoNormalNegritaCaracter"/>
        </w:rPr>
        <w:t>Artículo 53.2.</w:t>
      </w:r>
      <w:r w:rsidRPr="0057104C">
        <w:rPr>
          <w:rStyle w:val="TextoNormalCaracter"/>
        </w:rPr>
        <w:t>-</w:t>
      </w:r>
      <w:r>
        <w:t xml:space="preserve"> Sentencia </w:t>
      </w:r>
      <w:hyperlink w:anchor="SENTENCIA_2016_3" w:history="1">
        <w:r w:rsidRPr="0057104C">
          <w:rPr>
            <w:rStyle w:val="TextoNormalCaracter"/>
          </w:rPr>
          <w:t>3/2016</w:t>
        </w:r>
      </w:hyperlink>
      <w:r>
        <w:t>, f. 3.</w:t>
      </w:r>
    </w:p>
    <w:p w:rsidR="0057104C" w:rsidRDefault="0057104C" w:rsidP="0057104C">
      <w:pPr>
        <w:pStyle w:val="SangriaFrancesaArticulo"/>
      </w:pPr>
      <w:r w:rsidRPr="0057104C">
        <w:rPr>
          <w:rStyle w:val="TextoNormalNegritaCaracter"/>
        </w:rPr>
        <w:t>Artículo 55.</w:t>
      </w:r>
      <w:r w:rsidRPr="0057104C">
        <w:rPr>
          <w:rStyle w:val="TextoNormalCaracter"/>
        </w:rPr>
        <w:t>-</w:t>
      </w:r>
      <w:r>
        <w:t xml:space="preserve"> Sentencia </w:t>
      </w:r>
      <w:hyperlink w:anchor="SENTENCIA_2016_12" w:history="1">
        <w:r w:rsidRPr="0057104C">
          <w:rPr>
            <w:rStyle w:val="TextoNormalCaracter"/>
          </w:rPr>
          <w:t>12/2016</w:t>
        </w:r>
      </w:hyperlink>
      <w:r>
        <w:t>, f. 6.</w:t>
      </w:r>
    </w:p>
    <w:p w:rsidR="0057104C" w:rsidRDefault="0057104C" w:rsidP="0057104C">
      <w:pPr>
        <w:pStyle w:val="SangriaFrancesaArticulo"/>
      </w:pPr>
      <w:r w:rsidRPr="0057104C">
        <w:rPr>
          <w:rStyle w:val="TextoNormalNegritaCaracter"/>
        </w:rPr>
        <w:t>Artículo 55.1.</w:t>
      </w:r>
      <w:r w:rsidRPr="0057104C">
        <w:rPr>
          <w:rStyle w:val="TextoNormalCaracter"/>
        </w:rPr>
        <w:t>-</w:t>
      </w:r>
      <w:r>
        <w:t xml:space="preserve"> Sentencias </w:t>
      </w:r>
      <w:hyperlink w:anchor="SENTENCIA_2016_14" w:history="1">
        <w:r w:rsidRPr="0057104C">
          <w:rPr>
            <w:rStyle w:val="TextoNormalCaracter"/>
          </w:rPr>
          <w:t>14/2016</w:t>
        </w:r>
      </w:hyperlink>
      <w:r>
        <w:t xml:space="preserve">, f. 5; </w:t>
      </w:r>
      <w:hyperlink w:anchor="SENTENCIA_2016_23" w:history="1">
        <w:r w:rsidRPr="0057104C">
          <w:rPr>
            <w:rStyle w:val="TextoNormalCaracter"/>
          </w:rPr>
          <w:t>23/2016</w:t>
        </w:r>
      </w:hyperlink>
      <w:r>
        <w:t xml:space="preserve">, f. 3; </w:t>
      </w:r>
      <w:hyperlink w:anchor="SENTENCIA_2016_49" w:history="1">
        <w:r w:rsidRPr="0057104C">
          <w:rPr>
            <w:rStyle w:val="TextoNormalCaracter"/>
          </w:rPr>
          <w:t>49/2016</w:t>
        </w:r>
      </w:hyperlink>
      <w:r>
        <w:t xml:space="preserve">, f. 5; </w:t>
      </w:r>
      <w:hyperlink w:anchor="SENTENCIA_2016_92" w:history="1">
        <w:r w:rsidRPr="0057104C">
          <w:rPr>
            <w:rStyle w:val="TextoNormalCaracter"/>
          </w:rPr>
          <w:t>92/2016</w:t>
        </w:r>
      </w:hyperlink>
      <w:r>
        <w:t xml:space="preserve">, f. 3; </w:t>
      </w:r>
      <w:hyperlink w:anchor="SENTENCIA_2016_93" w:history="1">
        <w:r w:rsidRPr="0057104C">
          <w:rPr>
            <w:rStyle w:val="TextoNormalCaracter"/>
          </w:rPr>
          <w:t>93/2016</w:t>
        </w:r>
      </w:hyperlink>
      <w:r>
        <w:t>, f. 3.</w:t>
      </w:r>
    </w:p>
    <w:p w:rsidR="0057104C" w:rsidRDefault="0057104C" w:rsidP="0057104C">
      <w:pPr>
        <w:pStyle w:val="SangriaFrancesaArticulo"/>
      </w:pPr>
      <w:r w:rsidRPr="0057104C">
        <w:rPr>
          <w:rStyle w:val="TextoNormalNegritaCaracter"/>
        </w:rPr>
        <w:t>Artículo 55.1</w:t>
      </w:r>
      <w:r>
        <w:t xml:space="preserve"> (redactado por la Ley Orgánica 6/2007, de 24 de mayo)</w:t>
      </w:r>
      <w:r w:rsidRPr="0057104C">
        <w:rPr>
          <w:rStyle w:val="TextoNormalNegritaCaracter"/>
        </w:rPr>
        <w:t>.</w:t>
      </w:r>
      <w:r w:rsidRPr="0057104C">
        <w:rPr>
          <w:rStyle w:val="TextoNormalCaracter"/>
        </w:rPr>
        <w:t>-</w:t>
      </w:r>
      <w:r>
        <w:t xml:space="preserve"> Sentencias </w:t>
      </w:r>
      <w:hyperlink w:anchor="SENTENCIA_2016_69" w:history="1">
        <w:r w:rsidRPr="0057104C">
          <w:rPr>
            <w:rStyle w:val="TextoNormalCaracter"/>
          </w:rPr>
          <w:t>69/2016</w:t>
        </w:r>
      </w:hyperlink>
      <w:r>
        <w:t xml:space="preserve">, f. 5; </w:t>
      </w:r>
      <w:hyperlink w:anchor="SENTENCIA_2016_98" w:history="1">
        <w:r w:rsidRPr="0057104C">
          <w:rPr>
            <w:rStyle w:val="TextoNormalCaracter"/>
          </w:rPr>
          <w:t>98/2016</w:t>
        </w:r>
      </w:hyperlink>
      <w:r>
        <w:t xml:space="preserve">, f. 3; </w:t>
      </w:r>
      <w:hyperlink w:anchor="SENTENCIA_2016_113" w:history="1">
        <w:r w:rsidRPr="0057104C">
          <w:rPr>
            <w:rStyle w:val="TextoNormalCaracter"/>
          </w:rPr>
          <w:t>113/2016</w:t>
        </w:r>
      </w:hyperlink>
      <w:r>
        <w:t xml:space="preserve">, f. 3; </w:t>
      </w:r>
      <w:hyperlink w:anchor="SENTENCIA_2016_114" w:history="1">
        <w:r w:rsidRPr="0057104C">
          <w:rPr>
            <w:rStyle w:val="TextoNormalCaracter"/>
          </w:rPr>
          <w:t>114/2016</w:t>
        </w:r>
      </w:hyperlink>
      <w:r>
        <w:t xml:space="preserve">, f. 4; </w:t>
      </w:r>
      <w:hyperlink w:anchor="SENTENCIA_2016_115" w:history="1">
        <w:r w:rsidRPr="0057104C">
          <w:rPr>
            <w:rStyle w:val="TextoNormalCaracter"/>
          </w:rPr>
          <w:t>115/2016</w:t>
        </w:r>
      </w:hyperlink>
      <w:r>
        <w:t xml:space="preserve">, f. 4; </w:t>
      </w:r>
      <w:hyperlink w:anchor="SENTENCIA_2016_117" w:history="1">
        <w:r w:rsidRPr="0057104C">
          <w:rPr>
            <w:rStyle w:val="TextoNormalCaracter"/>
          </w:rPr>
          <w:t>117/2016</w:t>
        </w:r>
      </w:hyperlink>
      <w:r>
        <w:t>, f. 6.</w:t>
      </w:r>
    </w:p>
    <w:p w:rsidR="0057104C" w:rsidRDefault="0057104C" w:rsidP="0057104C">
      <w:pPr>
        <w:pStyle w:val="SangriaFrancesaArticulo"/>
      </w:pPr>
      <w:r w:rsidRPr="0057104C">
        <w:rPr>
          <w:rStyle w:val="TextoNormalNegritaCaracter"/>
        </w:rPr>
        <w:t>Artículo 55.1 a).</w:t>
      </w:r>
      <w:r w:rsidRPr="0057104C">
        <w:rPr>
          <w:rStyle w:val="TextoNormalCaracter"/>
        </w:rPr>
        <w:t>-</w:t>
      </w:r>
      <w:r>
        <w:t xml:space="preserve"> Sentencia </w:t>
      </w:r>
      <w:hyperlink w:anchor="SENTENCIA_2016_3" w:history="1">
        <w:r w:rsidRPr="0057104C">
          <w:rPr>
            <w:rStyle w:val="TextoNormalCaracter"/>
          </w:rPr>
          <w:t>3/2016</w:t>
        </w:r>
      </w:hyperlink>
      <w:r>
        <w:t>, f. 2.</w:t>
      </w:r>
    </w:p>
    <w:p w:rsidR="0057104C" w:rsidRDefault="0057104C" w:rsidP="0057104C">
      <w:pPr>
        <w:pStyle w:val="SangriaFrancesaArticulo"/>
      </w:pPr>
      <w:r w:rsidRPr="0057104C">
        <w:rPr>
          <w:rStyle w:val="TextoNormalNegritaCaracter"/>
        </w:rPr>
        <w:t>Artículo 55.2.</w:t>
      </w:r>
      <w:r w:rsidRPr="0057104C">
        <w:rPr>
          <w:rStyle w:val="TextoNormalCaracter"/>
        </w:rPr>
        <w:t>-</w:t>
      </w:r>
      <w:r>
        <w:t xml:space="preserve"> Sentencia </w:t>
      </w:r>
      <w:hyperlink w:anchor="SENTENCIA_2016_58" w:history="1">
        <w:r w:rsidRPr="0057104C">
          <w:rPr>
            <w:rStyle w:val="TextoNormalCaracter"/>
          </w:rPr>
          <w:t>58/2016</w:t>
        </w:r>
      </w:hyperlink>
      <w:r>
        <w:t>, ff. 1, 3.</w:t>
      </w:r>
    </w:p>
    <w:p w:rsidR="0057104C" w:rsidRDefault="0057104C" w:rsidP="0057104C">
      <w:pPr>
        <w:pStyle w:val="SangriaFrancesaArticulo"/>
      </w:pPr>
      <w:r w:rsidRPr="0057104C">
        <w:rPr>
          <w:rStyle w:val="TextoNormalNegritaCaracter"/>
        </w:rPr>
        <w:t>Artículo 55.2</w:t>
      </w:r>
      <w:r>
        <w:t xml:space="preserve"> (redactado por la Ley Orgánica 6/2007, de 24 de mayo)</w:t>
      </w:r>
      <w:r w:rsidRPr="0057104C">
        <w:rPr>
          <w:rStyle w:val="TextoNormalNegritaCaracter"/>
        </w:rPr>
        <w:t>.</w:t>
      </w:r>
      <w:r w:rsidRPr="0057104C">
        <w:rPr>
          <w:rStyle w:val="TextoNormalCaracter"/>
        </w:rPr>
        <w:t>-</w:t>
      </w:r>
      <w:r>
        <w:t xml:space="preserve"> Sentencia </w:t>
      </w:r>
      <w:hyperlink w:anchor="SENTENCIA_2016_83" w:history="1">
        <w:r w:rsidRPr="0057104C">
          <w:rPr>
            <w:rStyle w:val="TextoNormalCaracter"/>
          </w:rPr>
          <w:t>83/2016</w:t>
        </w:r>
      </w:hyperlink>
      <w:r>
        <w:t>, f. 11.</w:t>
      </w:r>
    </w:p>
    <w:p w:rsidR="0057104C" w:rsidRDefault="0057104C" w:rsidP="0057104C">
      <w:pPr>
        <w:pStyle w:val="SangriaFrancesaArticulo"/>
      </w:pPr>
      <w:r w:rsidRPr="0057104C">
        <w:rPr>
          <w:rStyle w:val="TextoNormalNegritaCaracter"/>
        </w:rPr>
        <w:t>Artículo 56.</w:t>
      </w:r>
      <w:r w:rsidRPr="0057104C">
        <w:rPr>
          <w:rStyle w:val="TextoNormalCaracter"/>
        </w:rPr>
        <w:t>-</w:t>
      </w:r>
      <w:r>
        <w:t xml:space="preserve"> Auto </w:t>
      </w:r>
      <w:hyperlink w:anchor="AUTO_2016_114" w:history="1">
        <w:r w:rsidRPr="0057104C">
          <w:rPr>
            <w:rStyle w:val="TextoNormalCaracter"/>
          </w:rPr>
          <w:t>114/2016</w:t>
        </w:r>
      </w:hyperlink>
      <w:r>
        <w:t>, f. 1.</w:t>
      </w:r>
    </w:p>
    <w:p w:rsidR="0057104C" w:rsidRDefault="0057104C" w:rsidP="0057104C">
      <w:pPr>
        <w:pStyle w:val="SangriaFrancesaArticulo"/>
      </w:pPr>
      <w:r w:rsidRPr="0057104C">
        <w:rPr>
          <w:rStyle w:val="TextoNormalNegritaCaracter"/>
        </w:rPr>
        <w:t>Artículo 56</w:t>
      </w:r>
      <w:r>
        <w:t xml:space="preserve"> (redactado por la Ley Orgánica 6/2007, de 24 de mayo)</w:t>
      </w:r>
      <w:r w:rsidRPr="0057104C">
        <w:rPr>
          <w:rStyle w:val="TextoNormalNegritaCaracter"/>
        </w:rPr>
        <w:t>.</w:t>
      </w:r>
      <w:r w:rsidRPr="0057104C">
        <w:rPr>
          <w:rStyle w:val="TextoNormalCaracter"/>
        </w:rPr>
        <w:t>-</w:t>
      </w:r>
      <w:r>
        <w:t xml:space="preserve"> Auto </w:t>
      </w:r>
      <w:hyperlink w:anchor="AUTO_2016_67" w:history="1">
        <w:r w:rsidRPr="0057104C">
          <w:rPr>
            <w:rStyle w:val="TextoNormalCaracter"/>
          </w:rPr>
          <w:t>67/2016</w:t>
        </w:r>
      </w:hyperlink>
      <w:r>
        <w:t>, f. 1.</w:t>
      </w:r>
    </w:p>
    <w:p w:rsidR="0057104C" w:rsidRDefault="0057104C" w:rsidP="0057104C">
      <w:pPr>
        <w:pStyle w:val="SangriaFrancesaArticulo"/>
      </w:pPr>
      <w:r w:rsidRPr="0057104C">
        <w:rPr>
          <w:rStyle w:val="TextoNormalNegritaCaracter"/>
        </w:rPr>
        <w:t>Artículo 56.1.</w:t>
      </w:r>
      <w:r w:rsidRPr="0057104C">
        <w:rPr>
          <w:rStyle w:val="TextoNormalCaracter"/>
        </w:rPr>
        <w:t>-</w:t>
      </w:r>
      <w:r>
        <w:t xml:space="preserve"> Autos </w:t>
      </w:r>
      <w:hyperlink w:anchor="AUTO_2016_1" w:history="1">
        <w:r w:rsidRPr="0057104C">
          <w:rPr>
            <w:rStyle w:val="TextoNormalCaracter"/>
          </w:rPr>
          <w:t>1/2016</w:t>
        </w:r>
      </w:hyperlink>
      <w:r>
        <w:t xml:space="preserve">, f. 1; </w:t>
      </w:r>
      <w:hyperlink w:anchor="AUTO_2016_2" w:history="1">
        <w:r w:rsidRPr="0057104C">
          <w:rPr>
            <w:rStyle w:val="TextoNormalCaracter"/>
          </w:rPr>
          <w:t>2/2016</w:t>
        </w:r>
      </w:hyperlink>
      <w:r>
        <w:t xml:space="preserve">, f. 1; </w:t>
      </w:r>
      <w:hyperlink w:anchor="AUTO_2016_3" w:history="1">
        <w:r w:rsidRPr="0057104C">
          <w:rPr>
            <w:rStyle w:val="TextoNormalCaracter"/>
          </w:rPr>
          <w:t>3/2016</w:t>
        </w:r>
      </w:hyperlink>
      <w:r>
        <w:t xml:space="preserve">, f. 1; </w:t>
      </w:r>
      <w:hyperlink w:anchor="AUTO_2016_17" w:history="1">
        <w:r w:rsidRPr="0057104C">
          <w:rPr>
            <w:rStyle w:val="TextoNormalCaracter"/>
          </w:rPr>
          <w:t>17/2016</w:t>
        </w:r>
      </w:hyperlink>
      <w:r>
        <w:t xml:space="preserve">, f. 1; </w:t>
      </w:r>
      <w:hyperlink w:anchor="AUTO_2016_19" w:history="1">
        <w:r w:rsidRPr="0057104C">
          <w:rPr>
            <w:rStyle w:val="TextoNormalCaracter"/>
          </w:rPr>
          <w:t>19/2016</w:t>
        </w:r>
      </w:hyperlink>
      <w:r>
        <w:t xml:space="preserve">, f. 1; </w:t>
      </w:r>
      <w:hyperlink w:anchor="AUTO_2016_99" w:history="1">
        <w:r w:rsidRPr="0057104C">
          <w:rPr>
            <w:rStyle w:val="TextoNormalCaracter"/>
          </w:rPr>
          <w:t>99/2016</w:t>
        </w:r>
      </w:hyperlink>
      <w:r>
        <w:t>, f. 2.</w:t>
      </w:r>
    </w:p>
    <w:p w:rsidR="0057104C" w:rsidRDefault="0057104C" w:rsidP="0057104C">
      <w:pPr>
        <w:pStyle w:val="SangriaFrancesaArticulo"/>
      </w:pPr>
      <w:r w:rsidRPr="0057104C">
        <w:rPr>
          <w:rStyle w:val="TextoNormalNegritaCaracter"/>
        </w:rPr>
        <w:t>Artículo 56.1</w:t>
      </w:r>
      <w:r>
        <w:t xml:space="preserve"> (redactado por la Ley Orgánica 6/2007, de 24 de mayo)</w:t>
      </w:r>
      <w:r w:rsidRPr="0057104C">
        <w:rPr>
          <w:rStyle w:val="TextoNormalNegritaCaracter"/>
        </w:rPr>
        <w:t>.</w:t>
      </w:r>
      <w:r w:rsidRPr="0057104C">
        <w:rPr>
          <w:rStyle w:val="TextoNormalCaracter"/>
        </w:rPr>
        <w:t>-</w:t>
      </w:r>
      <w:r>
        <w:t xml:space="preserve"> Autos </w:t>
      </w:r>
      <w:hyperlink w:anchor="AUTO_2016_34" w:history="1">
        <w:r w:rsidRPr="0057104C">
          <w:rPr>
            <w:rStyle w:val="TextoNormalCaracter"/>
          </w:rPr>
          <w:t>34/2016</w:t>
        </w:r>
      </w:hyperlink>
      <w:r>
        <w:t xml:space="preserve">, f. 1; </w:t>
      </w:r>
      <w:hyperlink w:anchor="AUTO_2016_68" w:history="1">
        <w:r w:rsidRPr="0057104C">
          <w:rPr>
            <w:rStyle w:val="TextoNormalCaracter"/>
          </w:rPr>
          <w:t>68/2016</w:t>
        </w:r>
      </w:hyperlink>
      <w:r>
        <w:t xml:space="preserve">, f. 1; </w:t>
      </w:r>
      <w:hyperlink w:anchor="AUTO_2016_69" w:history="1">
        <w:r w:rsidRPr="0057104C">
          <w:rPr>
            <w:rStyle w:val="TextoNormalCaracter"/>
          </w:rPr>
          <w:t>69/2016</w:t>
        </w:r>
      </w:hyperlink>
      <w:r>
        <w:t xml:space="preserve">, f. 1; </w:t>
      </w:r>
      <w:hyperlink w:anchor="AUTO_2016_91" w:history="1">
        <w:r w:rsidRPr="0057104C">
          <w:rPr>
            <w:rStyle w:val="TextoNormalCaracter"/>
          </w:rPr>
          <w:t>91/2016</w:t>
        </w:r>
      </w:hyperlink>
      <w:r>
        <w:t>, F. 1.</w:t>
      </w:r>
    </w:p>
    <w:p w:rsidR="0057104C" w:rsidRDefault="0057104C" w:rsidP="0057104C">
      <w:pPr>
        <w:pStyle w:val="SangriaFrancesaArticulo"/>
      </w:pPr>
      <w:r w:rsidRPr="0057104C">
        <w:rPr>
          <w:rStyle w:val="TextoNormalNegritaCaracter"/>
        </w:rPr>
        <w:t>Artículo 56.2.</w:t>
      </w:r>
      <w:r w:rsidRPr="0057104C">
        <w:rPr>
          <w:rStyle w:val="TextoNormalCaracter"/>
        </w:rPr>
        <w:t>-</w:t>
      </w:r>
      <w:r>
        <w:t xml:space="preserve"> Autos </w:t>
      </w:r>
      <w:hyperlink w:anchor="AUTO_2016_1" w:history="1">
        <w:r w:rsidRPr="0057104C">
          <w:rPr>
            <w:rStyle w:val="TextoNormalCaracter"/>
          </w:rPr>
          <w:t>1/2016</w:t>
        </w:r>
      </w:hyperlink>
      <w:r>
        <w:t xml:space="preserve">, f. 1; </w:t>
      </w:r>
      <w:hyperlink w:anchor="AUTO_2016_2" w:history="1">
        <w:r w:rsidRPr="0057104C">
          <w:rPr>
            <w:rStyle w:val="TextoNormalCaracter"/>
          </w:rPr>
          <w:t>2/2016</w:t>
        </w:r>
      </w:hyperlink>
      <w:r>
        <w:t xml:space="preserve">, ff. 1, 2; </w:t>
      </w:r>
      <w:hyperlink w:anchor="AUTO_2016_3" w:history="1">
        <w:r w:rsidRPr="0057104C">
          <w:rPr>
            <w:rStyle w:val="TextoNormalCaracter"/>
          </w:rPr>
          <w:t>3/2016</w:t>
        </w:r>
      </w:hyperlink>
      <w:r>
        <w:t xml:space="preserve">, f. 1; </w:t>
      </w:r>
      <w:hyperlink w:anchor="AUTO_2016_17" w:history="1">
        <w:r w:rsidRPr="0057104C">
          <w:rPr>
            <w:rStyle w:val="TextoNormalCaracter"/>
          </w:rPr>
          <w:t>17/2016</w:t>
        </w:r>
      </w:hyperlink>
      <w:r>
        <w:t xml:space="preserve">, f. 1; </w:t>
      </w:r>
      <w:hyperlink w:anchor="AUTO_2016_19" w:history="1">
        <w:r w:rsidRPr="0057104C">
          <w:rPr>
            <w:rStyle w:val="TextoNormalCaracter"/>
          </w:rPr>
          <w:t>19/2016</w:t>
        </w:r>
      </w:hyperlink>
      <w:r>
        <w:t xml:space="preserve">, f. 1; </w:t>
      </w:r>
      <w:hyperlink w:anchor="AUTO_2016_49" w:history="1">
        <w:r w:rsidRPr="0057104C">
          <w:rPr>
            <w:rStyle w:val="TextoNormalCaracter"/>
          </w:rPr>
          <w:t>49/2016</w:t>
        </w:r>
      </w:hyperlink>
      <w:r>
        <w:t xml:space="preserve">, f. 1; </w:t>
      </w:r>
      <w:hyperlink w:anchor="AUTO_2016_99" w:history="1">
        <w:r w:rsidRPr="0057104C">
          <w:rPr>
            <w:rStyle w:val="TextoNormalCaracter"/>
          </w:rPr>
          <w:t>99/2016</w:t>
        </w:r>
      </w:hyperlink>
      <w:r>
        <w:t>, ff. 2, 3.</w:t>
      </w:r>
    </w:p>
    <w:p w:rsidR="0057104C" w:rsidRDefault="0057104C" w:rsidP="0057104C">
      <w:pPr>
        <w:pStyle w:val="SangriaFrancesaArticulo"/>
      </w:pPr>
      <w:r w:rsidRPr="0057104C">
        <w:rPr>
          <w:rStyle w:val="TextoNormalNegritaCaracter"/>
        </w:rPr>
        <w:t>Artículo 56.2</w:t>
      </w:r>
      <w:r>
        <w:t xml:space="preserve"> (redactado por la Ley Orgánica 6/2007, de 24 de mayo)</w:t>
      </w:r>
      <w:r w:rsidRPr="0057104C">
        <w:rPr>
          <w:rStyle w:val="TextoNormalNegritaCaracter"/>
        </w:rPr>
        <w:t>.</w:t>
      </w:r>
      <w:r w:rsidRPr="0057104C">
        <w:rPr>
          <w:rStyle w:val="TextoNormalCaracter"/>
        </w:rPr>
        <w:t>-</w:t>
      </w:r>
      <w:r>
        <w:t xml:space="preserve"> Autos </w:t>
      </w:r>
      <w:hyperlink w:anchor="AUTO_2016_47" w:history="1">
        <w:r w:rsidRPr="0057104C">
          <w:rPr>
            <w:rStyle w:val="TextoNormalCaracter"/>
          </w:rPr>
          <w:t>47/2016</w:t>
        </w:r>
      </w:hyperlink>
      <w:r>
        <w:t xml:space="preserve">, f. 1; </w:t>
      </w:r>
      <w:hyperlink w:anchor="AUTO_2016_67" w:history="1">
        <w:r w:rsidRPr="0057104C">
          <w:rPr>
            <w:rStyle w:val="TextoNormalCaracter"/>
          </w:rPr>
          <w:t>67/2016</w:t>
        </w:r>
      </w:hyperlink>
      <w:r>
        <w:t xml:space="preserve">, f. 1; </w:t>
      </w:r>
      <w:hyperlink w:anchor="AUTO_2016_68" w:history="1">
        <w:r w:rsidRPr="0057104C">
          <w:rPr>
            <w:rStyle w:val="TextoNormalCaracter"/>
          </w:rPr>
          <w:t>68/2016</w:t>
        </w:r>
      </w:hyperlink>
      <w:r>
        <w:t xml:space="preserve">, f. 1; </w:t>
      </w:r>
      <w:hyperlink w:anchor="AUTO_2016_69" w:history="1">
        <w:r w:rsidRPr="0057104C">
          <w:rPr>
            <w:rStyle w:val="TextoNormalCaracter"/>
          </w:rPr>
          <w:t>69/2016</w:t>
        </w:r>
      </w:hyperlink>
      <w:r>
        <w:t xml:space="preserve">, f. 1; </w:t>
      </w:r>
      <w:hyperlink w:anchor="AUTO_2016_91" w:history="1">
        <w:r w:rsidRPr="0057104C">
          <w:rPr>
            <w:rStyle w:val="TextoNormalCaracter"/>
          </w:rPr>
          <w:t>91/2016</w:t>
        </w:r>
      </w:hyperlink>
      <w:r>
        <w:t xml:space="preserve">, f. 1; </w:t>
      </w:r>
      <w:hyperlink w:anchor="AUTO_2016_133" w:history="1">
        <w:r w:rsidRPr="0057104C">
          <w:rPr>
            <w:rStyle w:val="TextoNormalCaracter"/>
          </w:rPr>
          <w:t>133/2016</w:t>
        </w:r>
      </w:hyperlink>
      <w:r>
        <w:t>, f. 1.</w:t>
      </w:r>
    </w:p>
    <w:p w:rsidR="0057104C" w:rsidRDefault="0057104C" w:rsidP="0057104C">
      <w:pPr>
        <w:pStyle w:val="SangriaFrancesaArticulo"/>
      </w:pPr>
      <w:r w:rsidRPr="0057104C">
        <w:rPr>
          <w:rStyle w:val="TextoNormalNegritaCaracter"/>
        </w:rPr>
        <w:t>Artículo 56.3.</w:t>
      </w:r>
      <w:r w:rsidRPr="0057104C">
        <w:rPr>
          <w:rStyle w:val="TextoNormalCaracter"/>
        </w:rPr>
        <w:t>-</w:t>
      </w:r>
      <w:r>
        <w:t xml:space="preserve"> Autos </w:t>
      </w:r>
      <w:hyperlink w:anchor="AUTO_2016_17" w:history="1">
        <w:r w:rsidRPr="0057104C">
          <w:rPr>
            <w:rStyle w:val="TextoNormalCaracter"/>
          </w:rPr>
          <w:t>17/2016</w:t>
        </w:r>
      </w:hyperlink>
      <w:r>
        <w:t xml:space="preserve">, f. 1; </w:t>
      </w:r>
      <w:hyperlink w:anchor="AUTO_2016_19" w:history="1">
        <w:r w:rsidRPr="0057104C">
          <w:rPr>
            <w:rStyle w:val="TextoNormalCaracter"/>
          </w:rPr>
          <w:t>19/2016</w:t>
        </w:r>
      </w:hyperlink>
      <w:r>
        <w:t>, f. 1.</w:t>
      </w:r>
    </w:p>
    <w:p w:rsidR="0057104C" w:rsidRDefault="0057104C" w:rsidP="0057104C">
      <w:pPr>
        <w:pStyle w:val="SangriaFrancesaArticulo"/>
      </w:pPr>
      <w:r w:rsidRPr="0057104C">
        <w:rPr>
          <w:rStyle w:val="TextoNormalNegritaCaracter"/>
        </w:rPr>
        <w:t>Artículo 56.3</w:t>
      </w:r>
      <w:r>
        <w:t xml:space="preserve"> (redactado por la Ley Orgánica 6/2007, de 24 de mayo)</w:t>
      </w:r>
      <w:r w:rsidRPr="0057104C">
        <w:rPr>
          <w:rStyle w:val="TextoNormalNegritaCaracter"/>
        </w:rPr>
        <w:t>.</w:t>
      </w:r>
      <w:r w:rsidRPr="0057104C">
        <w:rPr>
          <w:rStyle w:val="TextoNormalCaracter"/>
        </w:rPr>
        <w:t>-</w:t>
      </w:r>
      <w:r>
        <w:t xml:space="preserve"> Auto </w:t>
      </w:r>
      <w:hyperlink w:anchor="AUTO_2016_67" w:history="1">
        <w:r w:rsidRPr="0057104C">
          <w:rPr>
            <w:rStyle w:val="TextoNormalCaracter"/>
          </w:rPr>
          <w:t>67/2016</w:t>
        </w:r>
      </w:hyperlink>
      <w:r>
        <w:t>, f. 1.</w:t>
      </w:r>
    </w:p>
    <w:p w:rsidR="0057104C" w:rsidRDefault="0057104C" w:rsidP="0057104C">
      <w:pPr>
        <w:pStyle w:val="SangriaFrancesaArticulo"/>
      </w:pPr>
      <w:r w:rsidRPr="0057104C">
        <w:rPr>
          <w:rStyle w:val="TextoNormalNegritaCaracter"/>
        </w:rPr>
        <w:t>Artículo 56.4.</w:t>
      </w:r>
      <w:r w:rsidRPr="0057104C">
        <w:rPr>
          <w:rStyle w:val="TextoNormalCaracter"/>
        </w:rPr>
        <w:t>-</w:t>
      </w:r>
      <w:r>
        <w:t xml:space="preserve"> Auto </w:t>
      </w:r>
      <w:hyperlink w:anchor="AUTO_2016_99" w:history="1">
        <w:r w:rsidRPr="0057104C">
          <w:rPr>
            <w:rStyle w:val="TextoNormalCaracter"/>
          </w:rPr>
          <w:t>99/2016</w:t>
        </w:r>
      </w:hyperlink>
      <w:r>
        <w:t>, ff. 2, 3.</w:t>
      </w:r>
    </w:p>
    <w:p w:rsidR="0057104C" w:rsidRDefault="0057104C" w:rsidP="0057104C">
      <w:pPr>
        <w:pStyle w:val="SangriaFrancesaArticulo"/>
      </w:pPr>
      <w:r w:rsidRPr="0057104C">
        <w:rPr>
          <w:rStyle w:val="TextoNormalNegritaCaracter"/>
        </w:rPr>
        <w:t>Artículo 57.</w:t>
      </w:r>
      <w:r w:rsidRPr="0057104C">
        <w:rPr>
          <w:rStyle w:val="TextoNormalCaracter"/>
        </w:rPr>
        <w:t>-</w:t>
      </w:r>
      <w:r>
        <w:t xml:space="preserve"> Auto </w:t>
      </w:r>
      <w:hyperlink w:anchor="AUTO_2016_2" w:history="1">
        <w:r w:rsidRPr="0057104C">
          <w:rPr>
            <w:rStyle w:val="TextoNormalCaracter"/>
          </w:rPr>
          <w:t>2/2016</w:t>
        </w:r>
      </w:hyperlink>
      <w:r>
        <w:t>, ff. 1, 2.</w:t>
      </w:r>
    </w:p>
    <w:p w:rsidR="0057104C" w:rsidRDefault="0057104C" w:rsidP="0057104C">
      <w:pPr>
        <w:pStyle w:val="SangriaFrancesaArticulo"/>
      </w:pPr>
      <w:r w:rsidRPr="0057104C">
        <w:rPr>
          <w:rStyle w:val="TextoNormalNegritaCaracter"/>
        </w:rPr>
        <w:t>Artículo 61.3.</w:t>
      </w:r>
      <w:r w:rsidRPr="0057104C">
        <w:rPr>
          <w:rStyle w:val="TextoNormalCaracter"/>
        </w:rPr>
        <w:t>-</w:t>
      </w:r>
      <w:r>
        <w:t xml:space="preserve"> Sentencia </w:t>
      </w:r>
      <w:hyperlink w:anchor="SENTENCIA_2016_95" w:history="1">
        <w:r w:rsidRPr="0057104C">
          <w:rPr>
            <w:rStyle w:val="TextoNormalCaracter"/>
          </w:rPr>
          <w:t>95/2016</w:t>
        </w:r>
      </w:hyperlink>
      <w:r>
        <w:t>, f. 8.</w:t>
      </w:r>
    </w:p>
    <w:p w:rsidR="0057104C" w:rsidRDefault="0057104C" w:rsidP="0057104C">
      <w:pPr>
        <w:pStyle w:val="SangriaFrancesaArticulo"/>
      </w:pPr>
      <w:r w:rsidRPr="0057104C">
        <w:rPr>
          <w:rStyle w:val="TextoNormalNegritaCaracter"/>
        </w:rPr>
        <w:t>Artículo 63.</w:t>
      </w:r>
      <w:r w:rsidRPr="0057104C">
        <w:rPr>
          <w:rStyle w:val="TextoNormalCaracter"/>
        </w:rPr>
        <w:t>-</w:t>
      </w:r>
      <w:r>
        <w:t xml:space="preserve"> Sentencia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Artículos 63 a 67.</w:t>
      </w:r>
      <w:r w:rsidRPr="0057104C">
        <w:rPr>
          <w:rStyle w:val="TextoNormalCaracter"/>
        </w:rPr>
        <w:t>-</w:t>
      </w:r>
      <w:r>
        <w:t xml:space="preserve"> Sentencia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 64.2.</w:t>
      </w:r>
      <w:r w:rsidRPr="0057104C">
        <w:rPr>
          <w:rStyle w:val="TextoNormalCaracter"/>
        </w:rPr>
        <w:t>-</w:t>
      </w:r>
      <w:r>
        <w:t xml:space="preserve"> Auto </w:t>
      </w:r>
      <w:hyperlink w:anchor="AUTO_2016_130" w:history="1">
        <w:r w:rsidRPr="0057104C">
          <w:rPr>
            <w:rStyle w:val="TextoNormalCaracter"/>
          </w:rPr>
          <w:t>130/2016</w:t>
        </w:r>
      </w:hyperlink>
      <w:r>
        <w:t>, f. 1.</w:t>
      </w:r>
    </w:p>
    <w:p w:rsidR="0057104C" w:rsidRDefault="0057104C" w:rsidP="0057104C">
      <w:pPr>
        <w:pStyle w:val="SangriaFrancesaArticulo"/>
      </w:pPr>
      <w:r w:rsidRPr="0057104C">
        <w:rPr>
          <w:rStyle w:val="TextoNormalNegritaCaracter"/>
        </w:rPr>
        <w:t>Artículo 66.</w:t>
      </w:r>
      <w:r w:rsidRPr="0057104C">
        <w:rPr>
          <w:rStyle w:val="TextoNormalCaracter"/>
        </w:rPr>
        <w:t>-</w:t>
      </w:r>
      <w:r>
        <w:t xml:space="preserve"> Sentencia </w:t>
      </w:r>
      <w:hyperlink w:anchor="SENTENCIA_2016_95" w:history="1">
        <w:r w:rsidRPr="0057104C">
          <w:rPr>
            <w:rStyle w:val="TextoNormalCaracter"/>
          </w:rPr>
          <w:t>95/2016</w:t>
        </w:r>
      </w:hyperlink>
      <w:r>
        <w:t>, f. 8.</w:t>
      </w:r>
    </w:p>
    <w:p w:rsidR="0057104C" w:rsidRDefault="0057104C" w:rsidP="0057104C">
      <w:pPr>
        <w:pStyle w:val="SangriaFrancesaArticulo"/>
      </w:pPr>
      <w:r w:rsidRPr="0057104C">
        <w:rPr>
          <w:rStyle w:val="TextoNormalNegritaCaracter"/>
        </w:rPr>
        <w:t>Artículo 67.</w:t>
      </w:r>
      <w:r w:rsidRPr="0057104C">
        <w:rPr>
          <w:rStyle w:val="TextoNormalCaracter"/>
        </w:rPr>
        <w:t>-</w:t>
      </w:r>
      <w:r>
        <w:t xml:space="preserve"> Sentencias </w:t>
      </w:r>
      <w:hyperlink w:anchor="SENTENCIA_2016_82" w:history="1">
        <w:r w:rsidRPr="0057104C">
          <w:rPr>
            <w:rStyle w:val="TextoNormalCaracter"/>
          </w:rPr>
          <w:t>82/2016</w:t>
        </w:r>
      </w:hyperlink>
      <w:r>
        <w:t xml:space="preserve">, VP; </w:t>
      </w:r>
      <w:hyperlink w:anchor="SENTENCIA_2016_110" w:history="1">
        <w:r w:rsidRPr="0057104C">
          <w:rPr>
            <w:rStyle w:val="TextoNormalCaracter"/>
          </w:rPr>
          <w:t>110/2016</w:t>
        </w:r>
      </w:hyperlink>
      <w:r>
        <w:t xml:space="preserve">, VP;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 75 bis.</w:t>
      </w:r>
      <w:r w:rsidRPr="0057104C">
        <w:rPr>
          <w:rStyle w:val="TextoNormalCaracter"/>
        </w:rPr>
        <w:t>-</w:t>
      </w:r>
      <w:r>
        <w:t xml:space="preserve"> Sentencia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 75 bis 1.</w:t>
      </w:r>
      <w:r w:rsidRPr="0057104C">
        <w:rPr>
          <w:rStyle w:val="TextoNormalCaracter"/>
        </w:rPr>
        <w:t>-</w:t>
      </w:r>
      <w:r>
        <w:t xml:space="preserve"> Sentencia </w:t>
      </w:r>
      <w:hyperlink w:anchor="SENTENCIA_2016_27" w:history="1">
        <w:r w:rsidRPr="0057104C">
          <w:rPr>
            <w:rStyle w:val="TextoNormalCaracter"/>
          </w:rPr>
          <w:t>27/2016</w:t>
        </w:r>
      </w:hyperlink>
      <w:r>
        <w:t>, f. 3.</w:t>
      </w:r>
    </w:p>
    <w:p w:rsidR="0057104C" w:rsidRDefault="0057104C" w:rsidP="0057104C">
      <w:pPr>
        <w:pStyle w:val="SangriaFrancesaArticulo"/>
      </w:pPr>
      <w:r w:rsidRPr="0057104C">
        <w:rPr>
          <w:rStyle w:val="TextoNormalNegritaCaracter"/>
        </w:rPr>
        <w:t>Artículo 75 bis a 75 quinquies.</w:t>
      </w:r>
      <w:r w:rsidRPr="0057104C">
        <w:rPr>
          <w:rStyle w:val="TextoNormalCaracter"/>
        </w:rPr>
        <w:t>-</w:t>
      </w:r>
      <w:r>
        <w:t xml:space="preserve"> Sentencia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 75 quater, apartado 2.</w:t>
      </w:r>
      <w:r w:rsidRPr="0057104C">
        <w:rPr>
          <w:rStyle w:val="TextoNormalCaracter"/>
        </w:rPr>
        <w:t>-</w:t>
      </w:r>
      <w:r>
        <w:t xml:space="preserve"> Sentencia </w:t>
      </w:r>
      <w:hyperlink w:anchor="SENTENCIA_2016_27" w:history="1">
        <w:r w:rsidRPr="0057104C">
          <w:rPr>
            <w:rStyle w:val="TextoNormalCaracter"/>
          </w:rPr>
          <w:t>27/2016</w:t>
        </w:r>
      </w:hyperlink>
      <w:r>
        <w:t>, f. 4.</w:t>
      </w:r>
    </w:p>
    <w:p w:rsidR="0057104C" w:rsidRDefault="0057104C" w:rsidP="0057104C">
      <w:pPr>
        <w:pStyle w:val="SangriaFrancesaArticulo"/>
      </w:pPr>
      <w:r w:rsidRPr="0057104C">
        <w:rPr>
          <w:rStyle w:val="TextoNormalNegritaCaracter"/>
        </w:rPr>
        <w:t>Artículo 75 quinque.1.</w:t>
      </w:r>
      <w:r w:rsidRPr="0057104C">
        <w:rPr>
          <w:rStyle w:val="TextoNormalCaracter"/>
        </w:rPr>
        <w:t>-</w:t>
      </w:r>
      <w:r>
        <w:t xml:space="preserve"> Sentencia </w:t>
      </w:r>
      <w:hyperlink w:anchor="SENTENCIA_2016_27" w:history="1">
        <w:r w:rsidRPr="0057104C">
          <w:rPr>
            <w:rStyle w:val="TextoNormalCaracter"/>
          </w:rPr>
          <w:t>27/2016</w:t>
        </w:r>
      </w:hyperlink>
      <w:r>
        <w:t>, f. 4.</w:t>
      </w:r>
    </w:p>
    <w:p w:rsidR="0057104C" w:rsidRDefault="0057104C" w:rsidP="0057104C">
      <w:pPr>
        <w:pStyle w:val="SangriaFrancesaArticulo"/>
      </w:pPr>
      <w:r w:rsidRPr="0057104C">
        <w:rPr>
          <w:rStyle w:val="TextoNormalNegritaCaracter"/>
        </w:rPr>
        <w:t>Artículo 75 quinquies, apartado 5.</w:t>
      </w:r>
      <w:r w:rsidRPr="0057104C">
        <w:rPr>
          <w:rStyle w:val="TextoNormalCaracter"/>
        </w:rPr>
        <w:t>-</w:t>
      </w:r>
      <w:r>
        <w:t xml:space="preserve"> Sentencia </w:t>
      </w:r>
      <w:hyperlink w:anchor="SENTENCIA_2016_27" w:history="1">
        <w:r w:rsidRPr="0057104C">
          <w:rPr>
            <w:rStyle w:val="TextoNormalCaracter"/>
          </w:rPr>
          <w:t>27/2016</w:t>
        </w:r>
      </w:hyperlink>
      <w:r>
        <w:t>, f. 4.</w:t>
      </w:r>
    </w:p>
    <w:p w:rsidR="0057104C" w:rsidRDefault="0057104C" w:rsidP="0057104C">
      <w:pPr>
        <w:pStyle w:val="SangriaFrancesaArticulo"/>
      </w:pPr>
      <w:r w:rsidRPr="0057104C">
        <w:rPr>
          <w:rStyle w:val="TextoNormalNegritaCaracter"/>
        </w:rPr>
        <w:t>Artículo 75 quinquies.6.</w:t>
      </w:r>
      <w:r w:rsidRPr="0057104C">
        <w:rPr>
          <w:rStyle w:val="TextoNormalCaracter"/>
        </w:rPr>
        <w:t>-</w:t>
      </w:r>
      <w:r>
        <w:t xml:space="preserve"> Sentencia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 75 ter.</w:t>
      </w:r>
      <w:r w:rsidRPr="0057104C">
        <w:rPr>
          <w:rStyle w:val="TextoNormalCaracter"/>
        </w:rPr>
        <w:t>-</w:t>
      </w:r>
      <w:r>
        <w:t xml:space="preserve"> Sentencia </w:t>
      </w:r>
      <w:hyperlink w:anchor="SENTENCIA_2016_27" w:history="1">
        <w:r w:rsidRPr="0057104C">
          <w:rPr>
            <w:rStyle w:val="TextoNormalCaracter"/>
          </w:rPr>
          <w:t>27/2016</w:t>
        </w:r>
      </w:hyperlink>
      <w:r>
        <w:t>, f. 2.</w:t>
      </w:r>
    </w:p>
    <w:p w:rsidR="0057104C" w:rsidRDefault="0057104C" w:rsidP="0057104C">
      <w:pPr>
        <w:pStyle w:val="SangriaFrancesaArticulo"/>
      </w:pPr>
      <w:r w:rsidRPr="0057104C">
        <w:rPr>
          <w:rStyle w:val="TextoNormalNegritaCaracter"/>
        </w:rPr>
        <w:t>Artículo 75 ter 1 b).</w:t>
      </w:r>
      <w:r w:rsidRPr="0057104C">
        <w:rPr>
          <w:rStyle w:val="TextoNormalCaracter"/>
        </w:rPr>
        <w:t>-</w:t>
      </w:r>
      <w:r>
        <w:t xml:space="preserve"> Sentencia </w:t>
      </w:r>
      <w:hyperlink w:anchor="SENTENCIA_2016_27" w:history="1">
        <w:r w:rsidRPr="0057104C">
          <w:rPr>
            <w:rStyle w:val="TextoNormalCaracter"/>
          </w:rPr>
          <w:t>27/2016</w:t>
        </w:r>
      </w:hyperlink>
      <w:r>
        <w:t>, f. 4.</w:t>
      </w:r>
    </w:p>
    <w:p w:rsidR="0057104C" w:rsidRDefault="0057104C" w:rsidP="0057104C">
      <w:pPr>
        <w:pStyle w:val="SangriaFrancesaArticulo"/>
      </w:pPr>
      <w:r w:rsidRPr="0057104C">
        <w:rPr>
          <w:rStyle w:val="TextoNormalNegritaCaracter"/>
        </w:rPr>
        <w:t>Artículo 75 ter 1 c).</w:t>
      </w:r>
      <w:r w:rsidRPr="0057104C">
        <w:rPr>
          <w:rStyle w:val="TextoNormalCaracter"/>
        </w:rPr>
        <w:t>-</w:t>
      </w:r>
      <w:r>
        <w:t xml:space="preserve"> Sentencia </w:t>
      </w:r>
      <w:hyperlink w:anchor="SENTENCIA_2016_27" w:history="1">
        <w:r w:rsidRPr="0057104C">
          <w:rPr>
            <w:rStyle w:val="TextoNormalCaracter"/>
          </w:rPr>
          <w:t>27/2016</w:t>
        </w:r>
      </w:hyperlink>
      <w:r>
        <w:t>, f. 4.</w:t>
      </w:r>
    </w:p>
    <w:p w:rsidR="0057104C" w:rsidRDefault="0057104C" w:rsidP="0057104C">
      <w:pPr>
        <w:pStyle w:val="SangriaFrancesaArticulo"/>
      </w:pPr>
      <w:r w:rsidRPr="0057104C">
        <w:rPr>
          <w:rStyle w:val="TextoNormalNegritaCaracter"/>
        </w:rPr>
        <w:t>Artículo 75 ter, apartado 1.</w:t>
      </w:r>
      <w:r w:rsidRPr="0057104C">
        <w:rPr>
          <w:rStyle w:val="TextoNormalCaracter"/>
        </w:rPr>
        <w:t>-</w:t>
      </w:r>
      <w:r>
        <w:t xml:space="preserve"> Sentencia </w:t>
      </w:r>
      <w:hyperlink w:anchor="SENTENCIA_2016_27" w:history="1">
        <w:r w:rsidRPr="0057104C">
          <w:rPr>
            <w:rStyle w:val="TextoNormalCaracter"/>
          </w:rPr>
          <w:t>27/2016</w:t>
        </w:r>
      </w:hyperlink>
      <w:r>
        <w:t>, ff. 2, 4.</w:t>
      </w:r>
    </w:p>
    <w:p w:rsidR="0057104C" w:rsidRDefault="0057104C" w:rsidP="0057104C">
      <w:pPr>
        <w:pStyle w:val="SangriaFrancesaArticulo"/>
      </w:pPr>
      <w:r w:rsidRPr="0057104C">
        <w:rPr>
          <w:rStyle w:val="TextoNormalNegritaCaracter"/>
        </w:rPr>
        <w:t>Artículo 75 ter, apartado 2.</w:t>
      </w:r>
      <w:r w:rsidRPr="0057104C">
        <w:rPr>
          <w:rStyle w:val="TextoNormalCaracter"/>
        </w:rPr>
        <w:t>-</w:t>
      </w:r>
      <w:r>
        <w:t xml:space="preserve"> Sentencia </w:t>
      </w:r>
      <w:hyperlink w:anchor="SENTENCIA_2016_27" w:history="1">
        <w:r w:rsidRPr="0057104C">
          <w:rPr>
            <w:rStyle w:val="TextoNormalCaracter"/>
          </w:rPr>
          <w:t>27/2016</w:t>
        </w:r>
      </w:hyperlink>
      <w:r>
        <w:t>, f. 2.</w:t>
      </w:r>
    </w:p>
    <w:p w:rsidR="0057104C" w:rsidRDefault="0057104C" w:rsidP="0057104C">
      <w:pPr>
        <w:pStyle w:val="SangriaFrancesaArticulo"/>
      </w:pPr>
      <w:r w:rsidRPr="0057104C">
        <w:rPr>
          <w:rStyle w:val="TextoNormalNegritaCaracter"/>
        </w:rPr>
        <w:t>Artículo 76.</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80.</w:t>
      </w:r>
      <w:r w:rsidRPr="0057104C">
        <w:rPr>
          <w:rStyle w:val="TextoNormalCaracter"/>
        </w:rPr>
        <w:t>-</w:t>
      </w:r>
      <w:r>
        <w:t xml:space="preserve"> Autos </w:t>
      </w:r>
      <w:hyperlink w:anchor="AUTO_2016_15" w:history="1">
        <w:r w:rsidRPr="0057104C">
          <w:rPr>
            <w:rStyle w:val="TextoNormalCaracter"/>
          </w:rPr>
          <w:t>15/2016</w:t>
        </w:r>
      </w:hyperlink>
      <w:r>
        <w:t xml:space="preserve">, f. único; </w:t>
      </w:r>
      <w:hyperlink w:anchor="AUTO_2016_16" w:history="1">
        <w:r w:rsidRPr="0057104C">
          <w:rPr>
            <w:rStyle w:val="TextoNormalCaracter"/>
          </w:rPr>
          <w:t>16/2016</w:t>
        </w:r>
      </w:hyperlink>
      <w:r>
        <w:t xml:space="preserve">, f. único; </w:t>
      </w:r>
      <w:hyperlink w:anchor="AUTO_2016_20" w:history="1">
        <w:r w:rsidRPr="0057104C">
          <w:rPr>
            <w:rStyle w:val="TextoNormalCaracter"/>
          </w:rPr>
          <w:t>20/2016</w:t>
        </w:r>
      </w:hyperlink>
      <w:r>
        <w:t xml:space="preserve">, f. único; </w:t>
      </w:r>
      <w:hyperlink w:anchor="AUTO_2016_25" w:history="1">
        <w:r w:rsidRPr="0057104C">
          <w:rPr>
            <w:rStyle w:val="TextoNormalCaracter"/>
          </w:rPr>
          <w:t>25/2016</w:t>
        </w:r>
      </w:hyperlink>
      <w:r>
        <w:t xml:space="preserve">, f. único; </w:t>
      </w:r>
      <w:hyperlink w:anchor="AUTO_2016_26" w:history="1">
        <w:r w:rsidRPr="0057104C">
          <w:rPr>
            <w:rStyle w:val="TextoNormalCaracter"/>
          </w:rPr>
          <w:t>26/2016</w:t>
        </w:r>
      </w:hyperlink>
      <w:r>
        <w:t xml:space="preserve">, f. único; </w:t>
      </w:r>
      <w:hyperlink w:anchor="AUTO_2016_29" w:history="1">
        <w:r w:rsidRPr="0057104C">
          <w:rPr>
            <w:rStyle w:val="TextoNormalCaracter"/>
          </w:rPr>
          <w:t>29/2016</w:t>
        </w:r>
      </w:hyperlink>
      <w:r>
        <w:t xml:space="preserve">, f. único; </w:t>
      </w:r>
      <w:hyperlink w:anchor="AUTO_2016_31" w:history="1">
        <w:r w:rsidRPr="0057104C">
          <w:rPr>
            <w:rStyle w:val="TextoNormalCaracter"/>
          </w:rPr>
          <w:t>31/2016</w:t>
        </w:r>
      </w:hyperlink>
      <w:r>
        <w:t xml:space="preserve">, f. 1; </w:t>
      </w:r>
      <w:hyperlink w:anchor="AUTO_2016_32" w:history="1">
        <w:r w:rsidRPr="0057104C">
          <w:rPr>
            <w:rStyle w:val="TextoNormalCaracter"/>
          </w:rPr>
          <w:t>32/2016</w:t>
        </w:r>
      </w:hyperlink>
      <w:r>
        <w:t xml:space="preserve">, f. único; </w:t>
      </w:r>
      <w:hyperlink w:anchor="AUTO_2016_33" w:history="1">
        <w:r w:rsidRPr="0057104C">
          <w:rPr>
            <w:rStyle w:val="TextoNormalCaracter"/>
          </w:rPr>
          <w:t>33/2016</w:t>
        </w:r>
      </w:hyperlink>
      <w:r>
        <w:t xml:space="preserve">, f. único; </w:t>
      </w:r>
      <w:hyperlink w:anchor="AUTO_2016_45" w:history="1">
        <w:r w:rsidRPr="0057104C">
          <w:rPr>
            <w:rStyle w:val="TextoNormalCaracter"/>
          </w:rPr>
          <w:t>45/2016</w:t>
        </w:r>
      </w:hyperlink>
      <w:r>
        <w:t xml:space="preserve">, f. único; </w:t>
      </w:r>
      <w:hyperlink w:anchor="AUTO_2016_53" w:history="1">
        <w:r w:rsidRPr="0057104C">
          <w:rPr>
            <w:rStyle w:val="TextoNormalCaracter"/>
          </w:rPr>
          <w:t>53/2016</w:t>
        </w:r>
      </w:hyperlink>
      <w:r>
        <w:t xml:space="preserve">, f. único; </w:t>
      </w:r>
      <w:hyperlink w:anchor="AUTO_2016_60" w:history="1">
        <w:r w:rsidRPr="0057104C">
          <w:rPr>
            <w:rStyle w:val="TextoNormalCaracter"/>
          </w:rPr>
          <w:t>60/2016</w:t>
        </w:r>
      </w:hyperlink>
      <w:r>
        <w:t xml:space="preserve">, f. único; </w:t>
      </w:r>
      <w:hyperlink w:anchor="AUTO_2016_61" w:history="1">
        <w:r w:rsidRPr="0057104C">
          <w:rPr>
            <w:rStyle w:val="TextoNormalCaracter"/>
          </w:rPr>
          <w:t>61/2016</w:t>
        </w:r>
      </w:hyperlink>
      <w:r>
        <w:t xml:space="preserve">, f. único; </w:t>
      </w:r>
      <w:hyperlink w:anchor="AUTO_2016_80" w:history="1">
        <w:r w:rsidRPr="0057104C">
          <w:rPr>
            <w:rStyle w:val="TextoNormalCaracter"/>
          </w:rPr>
          <w:t>80/2016</w:t>
        </w:r>
      </w:hyperlink>
      <w:r>
        <w:t xml:space="preserve">, f. único; </w:t>
      </w:r>
      <w:hyperlink w:anchor="AUTO_2016_81" w:history="1">
        <w:r w:rsidRPr="0057104C">
          <w:rPr>
            <w:rStyle w:val="TextoNormalCaracter"/>
          </w:rPr>
          <w:t>81/2016</w:t>
        </w:r>
      </w:hyperlink>
      <w:r>
        <w:t xml:space="preserve">, f. único; </w:t>
      </w:r>
      <w:hyperlink w:anchor="AUTO_2016_82" w:history="1">
        <w:r w:rsidRPr="0057104C">
          <w:rPr>
            <w:rStyle w:val="TextoNormalCaracter"/>
          </w:rPr>
          <w:t>82/2016</w:t>
        </w:r>
      </w:hyperlink>
      <w:r>
        <w:t xml:space="preserve">, f. único; </w:t>
      </w:r>
      <w:hyperlink w:anchor="AUTO_2016_92" w:history="1">
        <w:r w:rsidRPr="0057104C">
          <w:rPr>
            <w:rStyle w:val="TextoNormalCaracter"/>
          </w:rPr>
          <w:t>92/2016</w:t>
        </w:r>
      </w:hyperlink>
      <w:r>
        <w:t xml:space="preserve">, f. único; </w:t>
      </w:r>
      <w:hyperlink w:anchor="AUTO_2016_93" w:history="1">
        <w:r w:rsidRPr="0057104C">
          <w:rPr>
            <w:rStyle w:val="TextoNormalCaracter"/>
          </w:rPr>
          <w:t>93/2016</w:t>
        </w:r>
      </w:hyperlink>
      <w:r>
        <w:t xml:space="preserve">, f. único; </w:t>
      </w:r>
      <w:hyperlink w:anchor="AUTO_2016_94" w:history="1">
        <w:r w:rsidRPr="0057104C">
          <w:rPr>
            <w:rStyle w:val="TextoNormalCaracter"/>
          </w:rPr>
          <w:t>94/2016</w:t>
        </w:r>
      </w:hyperlink>
      <w:r>
        <w:t xml:space="preserve">, f. único; </w:t>
      </w:r>
      <w:hyperlink w:anchor="AUTO_2016_95" w:history="1">
        <w:r w:rsidRPr="0057104C">
          <w:rPr>
            <w:rStyle w:val="TextoNormalCaracter"/>
          </w:rPr>
          <w:t>95/2016</w:t>
        </w:r>
      </w:hyperlink>
      <w:r>
        <w:t xml:space="preserve">, f. único; </w:t>
      </w:r>
      <w:hyperlink w:anchor="AUTO_2016_96" w:history="1">
        <w:r w:rsidRPr="0057104C">
          <w:rPr>
            <w:rStyle w:val="TextoNormalCaracter"/>
          </w:rPr>
          <w:t>96/2016</w:t>
        </w:r>
      </w:hyperlink>
      <w:r>
        <w:t xml:space="preserve">, f. único; </w:t>
      </w:r>
      <w:hyperlink w:anchor="AUTO_2016_97" w:history="1">
        <w:r w:rsidRPr="0057104C">
          <w:rPr>
            <w:rStyle w:val="TextoNormalCaracter"/>
          </w:rPr>
          <w:t>97/2016</w:t>
        </w:r>
      </w:hyperlink>
      <w:r>
        <w:t xml:space="preserve">, f. único; </w:t>
      </w:r>
      <w:hyperlink w:anchor="AUTO_2016_99" w:history="1">
        <w:r w:rsidRPr="0057104C">
          <w:rPr>
            <w:rStyle w:val="TextoNormalCaracter"/>
          </w:rPr>
          <w:t>99/2016</w:t>
        </w:r>
      </w:hyperlink>
      <w:r>
        <w:t xml:space="preserve">, f. 1; </w:t>
      </w:r>
      <w:hyperlink w:anchor="AUTO_2016_106" w:history="1">
        <w:r w:rsidRPr="0057104C">
          <w:rPr>
            <w:rStyle w:val="TextoNormalCaracter"/>
          </w:rPr>
          <w:t>106/2016</w:t>
        </w:r>
      </w:hyperlink>
      <w:r>
        <w:t xml:space="preserve">, f. único; </w:t>
      </w:r>
      <w:hyperlink w:anchor="AUTO_2016_111" w:history="1">
        <w:r w:rsidRPr="0057104C">
          <w:rPr>
            <w:rStyle w:val="TextoNormalCaracter"/>
          </w:rPr>
          <w:t>111/2016</w:t>
        </w:r>
      </w:hyperlink>
      <w:r>
        <w:t xml:space="preserve">, f. único; </w:t>
      </w:r>
      <w:hyperlink w:anchor="AUTO_2016_115" w:history="1">
        <w:r w:rsidRPr="0057104C">
          <w:rPr>
            <w:rStyle w:val="TextoNormalCaracter"/>
          </w:rPr>
          <w:t>115/2016</w:t>
        </w:r>
      </w:hyperlink>
      <w:r>
        <w:t xml:space="preserve">, f. único; </w:t>
      </w:r>
      <w:hyperlink w:anchor="AUTO_2016_116" w:history="1">
        <w:r w:rsidRPr="0057104C">
          <w:rPr>
            <w:rStyle w:val="TextoNormalCaracter"/>
          </w:rPr>
          <w:t>116/2016</w:t>
        </w:r>
      </w:hyperlink>
      <w:r>
        <w:t xml:space="preserve">, f. único; </w:t>
      </w:r>
      <w:hyperlink w:anchor="AUTO_2016_117" w:history="1">
        <w:r w:rsidRPr="0057104C">
          <w:rPr>
            <w:rStyle w:val="TextoNormalCaracter"/>
          </w:rPr>
          <w:t>117/2016</w:t>
        </w:r>
      </w:hyperlink>
      <w:r>
        <w:t xml:space="preserve">, f. único; </w:t>
      </w:r>
      <w:hyperlink w:anchor="AUTO_2016_118" w:history="1">
        <w:r w:rsidRPr="0057104C">
          <w:rPr>
            <w:rStyle w:val="TextoNormalCaracter"/>
          </w:rPr>
          <w:t>118/2016</w:t>
        </w:r>
      </w:hyperlink>
      <w:r>
        <w:t xml:space="preserve">, f. único; </w:t>
      </w:r>
      <w:hyperlink w:anchor="AUTO_2016_119" w:history="1">
        <w:r w:rsidRPr="0057104C">
          <w:rPr>
            <w:rStyle w:val="TextoNormalCaracter"/>
          </w:rPr>
          <w:t>119/2016</w:t>
        </w:r>
      </w:hyperlink>
      <w:r>
        <w:t xml:space="preserve">, f. único; </w:t>
      </w:r>
      <w:hyperlink w:anchor="AUTO_2016_120" w:history="1">
        <w:r w:rsidRPr="0057104C">
          <w:rPr>
            <w:rStyle w:val="TextoNormalCaracter"/>
          </w:rPr>
          <w:t>120/2016</w:t>
        </w:r>
      </w:hyperlink>
      <w:r>
        <w:t xml:space="preserve">, f. único; </w:t>
      </w:r>
      <w:hyperlink w:anchor="AUTO_2016_124" w:history="1">
        <w:r w:rsidRPr="0057104C">
          <w:rPr>
            <w:rStyle w:val="TextoNormalCaracter"/>
          </w:rPr>
          <w:t>124/2016</w:t>
        </w:r>
      </w:hyperlink>
      <w:r>
        <w:t xml:space="preserve">, f. único; </w:t>
      </w:r>
      <w:hyperlink w:anchor="AUTO_2016_125" w:history="1">
        <w:r w:rsidRPr="0057104C">
          <w:rPr>
            <w:rStyle w:val="TextoNormalCaracter"/>
          </w:rPr>
          <w:t>125/2016</w:t>
        </w:r>
      </w:hyperlink>
      <w:r>
        <w:t xml:space="preserve">, f. único; </w:t>
      </w:r>
      <w:hyperlink w:anchor="AUTO_2016_127" w:history="1">
        <w:r w:rsidRPr="0057104C">
          <w:rPr>
            <w:rStyle w:val="TextoNormalCaracter"/>
          </w:rPr>
          <w:t>127/2016</w:t>
        </w:r>
      </w:hyperlink>
      <w:r>
        <w:t>, f. único.</w:t>
      </w:r>
    </w:p>
    <w:p w:rsidR="0057104C" w:rsidRDefault="0057104C" w:rsidP="0057104C">
      <w:pPr>
        <w:pStyle w:val="SangriaFrancesaArticulo"/>
      </w:pPr>
      <w:r w:rsidRPr="0057104C">
        <w:rPr>
          <w:rStyle w:val="TextoNormalNegritaCaracter"/>
        </w:rPr>
        <w:t>Artículo 83.</w:t>
      </w:r>
      <w:r w:rsidRPr="0057104C">
        <w:rPr>
          <w:rStyle w:val="TextoNormalCaracter"/>
        </w:rPr>
        <w:t>-</w:t>
      </w:r>
      <w:r>
        <w:t xml:space="preserve"> Autos </w:t>
      </w:r>
      <w:hyperlink w:anchor="AUTO_2016_82" w:history="1">
        <w:r w:rsidRPr="0057104C">
          <w:rPr>
            <w:rStyle w:val="TextoNormalCaracter"/>
          </w:rPr>
          <w:t>82/2016</w:t>
        </w:r>
      </w:hyperlink>
      <w:r>
        <w:t xml:space="preserve">, f. único; </w:t>
      </w:r>
      <w:hyperlink w:anchor="AUTO_2016_126" w:history="1">
        <w:r w:rsidRPr="0057104C">
          <w:rPr>
            <w:rStyle w:val="TextoNormalCaracter"/>
          </w:rPr>
          <w:t>126/2016</w:t>
        </w:r>
      </w:hyperlink>
      <w:r>
        <w:t>, f. único.</w:t>
      </w:r>
    </w:p>
    <w:p w:rsidR="0057104C" w:rsidRDefault="0057104C" w:rsidP="0057104C">
      <w:pPr>
        <w:pStyle w:val="SangriaFrancesaArticulo"/>
      </w:pPr>
      <w:r w:rsidRPr="0057104C">
        <w:rPr>
          <w:rStyle w:val="TextoNormalNegritaCaracter"/>
        </w:rPr>
        <w:t>Artículo 84.</w:t>
      </w:r>
      <w:r w:rsidRPr="0057104C">
        <w:rPr>
          <w:rStyle w:val="TextoNormalCaracter"/>
        </w:rPr>
        <w:t>-</w:t>
      </w:r>
      <w:r>
        <w:t xml:space="preserve"> Sentencias </w:t>
      </w:r>
      <w:hyperlink w:anchor="SENTENCIA_2016_34" w:history="1">
        <w:r w:rsidRPr="0057104C">
          <w:rPr>
            <w:rStyle w:val="TextoNormalCaracter"/>
          </w:rPr>
          <w:t>34/2016</w:t>
        </w:r>
      </w:hyperlink>
      <w:r>
        <w:t xml:space="preserve">, f. 7; </w:t>
      </w:r>
      <w:hyperlink w:anchor="SENTENCIA_2016_53" w:history="1">
        <w:r w:rsidRPr="0057104C">
          <w:rPr>
            <w:rStyle w:val="TextoNormalCaracter"/>
          </w:rPr>
          <w:t>53/2016</w:t>
        </w:r>
      </w:hyperlink>
      <w:r>
        <w:t xml:space="preserve">, VPII; </w:t>
      </w:r>
      <w:hyperlink w:anchor="SENTENCIA_2016_91" w:history="1">
        <w:r w:rsidRPr="0057104C">
          <w:rPr>
            <w:rStyle w:val="TextoNormalCaracter"/>
          </w:rPr>
          <w:t>91/2016</w:t>
        </w:r>
      </w:hyperlink>
      <w:r>
        <w:t>, f. 2.</w:t>
      </w:r>
    </w:p>
    <w:p w:rsidR="0057104C" w:rsidRDefault="0057104C" w:rsidP="0057104C">
      <w:pPr>
        <w:pStyle w:val="SangriaIzquierdaArticulo"/>
      </w:pPr>
      <w:r>
        <w:t xml:space="preserve">Auto </w:t>
      </w:r>
      <w:hyperlink w:anchor="AUTO_2016_121" w:history="1">
        <w:r w:rsidRPr="0057104C">
          <w:rPr>
            <w:rStyle w:val="TextoNormalCaracter"/>
          </w:rPr>
          <w:t>121/2016</w:t>
        </w:r>
      </w:hyperlink>
      <w:r>
        <w:t>, ff. 1, 2.</w:t>
      </w:r>
    </w:p>
    <w:p w:rsidR="0057104C" w:rsidRDefault="0057104C" w:rsidP="0057104C">
      <w:pPr>
        <w:pStyle w:val="SangriaFrancesaArticulo"/>
      </w:pPr>
      <w:r w:rsidRPr="0057104C">
        <w:rPr>
          <w:rStyle w:val="TextoNormalNegritaCaracter"/>
        </w:rPr>
        <w:t>Artículo 86.</w:t>
      </w:r>
      <w:r w:rsidRPr="0057104C">
        <w:rPr>
          <w:rStyle w:val="TextoNormalCaracter"/>
        </w:rPr>
        <w:t>-</w:t>
      </w:r>
      <w:r>
        <w:t xml:space="preserve"> Autos </w:t>
      </w:r>
      <w:hyperlink w:anchor="AUTO_2016_15" w:history="1">
        <w:r w:rsidRPr="0057104C">
          <w:rPr>
            <w:rStyle w:val="TextoNormalCaracter"/>
          </w:rPr>
          <w:t>15/2016</w:t>
        </w:r>
      </w:hyperlink>
      <w:r>
        <w:t xml:space="preserve">, f. único; </w:t>
      </w:r>
      <w:hyperlink w:anchor="AUTO_2016_25" w:history="1">
        <w:r w:rsidRPr="0057104C">
          <w:rPr>
            <w:rStyle w:val="TextoNormalCaracter"/>
          </w:rPr>
          <w:t>25/2016</w:t>
        </w:r>
      </w:hyperlink>
      <w:r>
        <w:t xml:space="preserve">, f. único; </w:t>
      </w:r>
      <w:hyperlink w:anchor="AUTO_2016_26" w:history="1">
        <w:r w:rsidRPr="0057104C">
          <w:rPr>
            <w:rStyle w:val="TextoNormalCaracter"/>
          </w:rPr>
          <w:t>26/2016</w:t>
        </w:r>
      </w:hyperlink>
      <w:r>
        <w:t xml:space="preserve">, f. único; </w:t>
      </w:r>
      <w:hyperlink w:anchor="AUTO_2016_31" w:history="1">
        <w:r w:rsidRPr="0057104C">
          <w:rPr>
            <w:rStyle w:val="TextoNormalCaracter"/>
          </w:rPr>
          <w:t>31/2016</w:t>
        </w:r>
      </w:hyperlink>
      <w:r>
        <w:t xml:space="preserve">, f. 1; </w:t>
      </w:r>
      <w:hyperlink w:anchor="AUTO_2016_51" w:history="1">
        <w:r w:rsidRPr="0057104C">
          <w:rPr>
            <w:rStyle w:val="TextoNormalCaracter"/>
          </w:rPr>
          <w:t>51/2016</w:t>
        </w:r>
      </w:hyperlink>
      <w:r>
        <w:t xml:space="preserve">, f. único; </w:t>
      </w:r>
      <w:hyperlink w:anchor="AUTO_2016_53" w:history="1">
        <w:r w:rsidRPr="0057104C">
          <w:rPr>
            <w:rStyle w:val="TextoNormalCaracter"/>
          </w:rPr>
          <w:t>53/2016</w:t>
        </w:r>
      </w:hyperlink>
      <w:r>
        <w:t xml:space="preserve">, f. único; </w:t>
      </w:r>
      <w:hyperlink w:anchor="AUTO_2016_92" w:history="1">
        <w:r w:rsidRPr="0057104C">
          <w:rPr>
            <w:rStyle w:val="TextoNormalCaracter"/>
          </w:rPr>
          <w:t>92/2016</w:t>
        </w:r>
      </w:hyperlink>
      <w:r>
        <w:t xml:space="preserve">, f. único; </w:t>
      </w:r>
      <w:hyperlink w:anchor="AUTO_2016_94" w:history="1">
        <w:r w:rsidRPr="0057104C">
          <w:rPr>
            <w:rStyle w:val="TextoNormalCaracter"/>
          </w:rPr>
          <w:t>94/2016</w:t>
        </w:r>
      </w:hyperlink>
      <w:r>
        <w:t xml:space="preserve">, f. único; </w:t>
      </w:r>
      <w:hyperlink w:anchor="AUTO_2016_95" w:history="1">
        <w:r w:rsidRPr="0057104C">
          <w:rPr>
            <w:rStyle w:val="TextoNormalCaracter"/>
          </w:rPr>
          <w:t>95/2016</w:t>
        </w:r>
      </w:hyperlink>
      <w:r>
        <w:t xml:space="preserve">, f. único; </w:t>
      </w:r>
      <w:hyperlink w:anchor="AUTO_2016_96" w:history="1">
        <w:r w:rsidRPr="0057104C">
          <w:rPr>
            <w:rStyle w:val="TextoNormalCaracter"/>
          </w:rPr>
          <w:t>96/2016</w:t>
        </w:r>
      </w:hyperlink>
      <w:r>
        <w:t xml:space="preserve">, f. único; </w:t>
      </w:r>
      <w:hyperlink w:anchor="AUTO_2016_117" w:history="1">
        <w:r w:rsidRPr="0057104C">
          <w:rPr>
            <w:rStyle w:val="TextoNormalCaracter"/>
          </w:rPr>
          <w:t>117/2016</w:t>
        </w:r>
      </w:hyperlink>
      <w:r>
        <w:t xml:space="preserve">, f. único; </w:t>
      </w:r>
      <w:hyperlink w:anchor="AUTO_2016_119" w:history="1">
        <w:r w:rsidRPr="0057104C">
          <w:rPr>
            <w:rStyle w:val="TextoNormalCaracter"/>
          </w:rPr>
          <w:t>119/2016</w:t>
        </w:r>
      </w:hyperlink>
      <w:r>
        <w:t>, f. único.</w:t>
      </w:r>
    </w:p>
    <w:p w:rsidR="0057104C" w:rsidRDefault="0057104C" w:rsidP="0057104C">
      <w:pPr>
        <w:pStyle w:val="SangriaFrancesaArticulo"/>
      </w:pPr>
      <w:r w:rsidRPr="0057104C">
        <w:rPr>
          <w:rStyle w:val="TextoNormalNegritaCaracter"/>
        </w:rPr>
        <w:t>Artículo 86.1.</w:t>
      </w:r>
      <w:r w:rsidRPr="0057104C">
        <w:rPr>
          <w:rStyle w:val="TextoNormalCaracter"/>
        </w:rPr>
        <w:t>-</w:t>
      </w:r>
      <w:r>
        <w:t xml:space="preserve"> Autos </w:t>
      </w:r>
      <w:hyperlink w:anchor="AUTO_2016_16" w:history="1">
        <w:r w:rsidRPr="0057104C">
          <w:rPr>
            <w:rStyle w:val="TextoNormalCaracter"/>
          </w:rPr>
          <w:t>16/2016</w:t>
        </w:r>
      </w:hyperlink>
      <w:r>
        <w:t xml:space="preserve">, f. único; </w:t>
      </w:r>
      <w:hyperlink w:anchor="AUTO_2016_20" w:history="1">
        <w:r w:rsidRPr="0057104C">
          <w:rPr>
            <w:rStyle w:val="TextoNormalCaracter"/>
          </w:rPr>
          <w:t>20/2016</w:t>
        </w:r>
      </w:hyperlink>
      <w:r>
        <w:t xml:space="preserve">, f. único; </w:t>
      </w:r>
      <w:hyperlink w:anchor="AUTO_2016_32" w:history="1">
        <w:r w:rsidRPr="0057104C">
          <w:rPr>
            <w:rStyle w:val="TextoNormalCaracter"/>
          </w:rPr>
          <w:t>32/2016</w:t>
        </w:r>
      </w:hyperlink>
      <w:r>
        <w:t xml:space="preserve">, f. único; </w:t>
      </w:r>
      <w:hyperlink w:anchor="AUTO_2016_33" w:history="1">
        <w:r w:rsidRPr="0057104C">
          <w:rPr>
            <w:rStyle w:val="TextoNormalCaracter"/>
          </w:rPr>
          <w:t>33/2016</w:t>
        </w:r>
      </w:hyperlink>
      <w:r>
        <w:t xml:space="preserve">, f. único; </w:t>
      </w:r>
      <w:hyperlink w:anchor="AUTO_2016_45" w:history="1">
        <w:r w:rsidRPr="0057104C">
          <w:rPr>
            <w:rStyle w:val="TextoNormalCaracter"/>
          </w:rPr>
          <w:t>45/2016</w:t>
        </w:r>
      </w:hyperlink>
      <w:r>
        <w:t xml:space="preserve">, f. único; </w:t>
      </w:r>
      <w:hyperlink w:anchor="AUTO_2016_61" w:history="1">
        <w:r w:rsidRPr="0057104C">
          <w:rPr>
            <w:rStyle w:val="TextoNormalCaracter"/>
          </w:rPr>
          <w:t>61/2016</w:t>
        </w:r>
      </w:hyperlink>
      <w:r>
        <w:t xml:space="preserve">, f. único; </w:t>
      </w:r>
      <w:hyperlink w:anchor="AUTO_2016_115" w:history="1">
        <w:r w:rsidRPr="0057104C">
          <w:rPr>
            <w:rStyle w:val="TextoNormalCaracter"/>
          </w:rPr>
          <w:t>115/2016</w:t>
        </w:r>
      </w:hyperlink>
      <w:r>
        <w:t>, f. único.</w:t>
      </w:r>
    </w:p>
    <w:p w:rsidR="0057104C" w:rsidRDefault="0057104C" w:rsidP="0057104C">
      <w:pPr>
        <w:pStyle w:val="SangriaFrancesaArticulo"/>
      </w:pPr>
      <w:r w:rsidRPr="0057104C">
        <w:rPr>
          <w:rStyle w:val="TextoNormalNegritaCaracter"/>
        </w:rPr>
        <w:t>Artículo 86.1</w:t>
      </w:r>
      <w:r>
        <w:t xml:space="preserve"> (redactado por la Ley Orgánica 6/1988, de 9 de junio)</w:t>
      </w:r>
      <w:r w:rsidRPr="0057104C">
        <w:rPr>
          <w:rStyle w:val="TextoNormalNegritaCaracter"/>
        </w:rPr>
        <w:t>.</w:t>
      </w:r>
      <w:r w:rsidRPr="0057104C">
        <w:rPr>
          <w:rStyle w:val="TextoNormalCaracter"/>
        </w:rPr>
        <w:t>-</w:t>
      </w:r>
      <w:r>
        <w:t xml:space="preserve"> Autos </w:t>
      </w:r>
      <w:hyperlink w:anchor="AUTO_2016_80" w:history="1">
        <w:r w:rsidRPr="0057104C">
          <w:rPr>
            <w:rStyle w:val="TextoNormalCaracter"/>
          </w:rPr>
          <w:t>80/2016</w:t>
        </w:r>
      </w:hyperlink>
      <w:r>
        <w:t xml:space="preserve">, f. único; </w:t>
      </w:r>
      <w:hyperlink w:anchor="AUTO_2016_81" w:history="1">
        <w:r w:rsidRPr="0057104C">
          <w:rPr>
            <w:rStyle w:val="TextoNormalCaracter"/>
          </w:rPr>
          <w:t>81/2016</w:t>
        </w:r>
      </w:hyperlink>
      <w:r>
        <w:t xml:space="preserve">, f. único; </w:t>
      </w:r>
      <w:hyperlink w:anchor="AUTO_2016_116" w:history="1">
        <w:r w:rsidRPr="0057104C">
          <w:rPr>
            <w:rStyle w:val="TextoNormalCaracter"/>
          </w:rPr>
          <w:t>116/2016</w:t>
        </w:r>
      </w:hyperlink>
      <w:r>
        <w:t xml:space="preserve">, f. único; </w:t>
      </w:r>
      <w:hyperlink w:anchor="AUTO_2016_118" w:history="1">
        <w:r w:rsidRPr="0057104C">
          <w:rPr>
            <w:rStyle w:val="TextoNormalCaracter"/>
          </w:rPr>
          <w:t>118/2016</w:t>
        </w:r>
      </w:hyperlink>
      <w:r>
        <w:t xml:space="preserve">, f. único; </w:t>
      </w:r>
      <w:hyperlink w:anchor="AUTO_2016_120" w:history="1">
        <w:r w:rsidRPr="0057104C">
          <w:rPr>
            <w:rStyle w:val="TextoNormalCaracter"/>
          </w:rPr>
          <w:t>120/2016</w:t>
        </w:r>
      </w:hyperlink>
      <w:r>
        <w:t xml:space="preserve">, f. único; </w:t>
      </w:r>
      <w:hyperlink w:anchor="AUTO_2016_121" w:history="1">
        <w:r w:rsidRPr="0057104C">
          <w:rPr>
            <w:rStyle w:val="TextoNormalCaracter"/>
          </w:rPr>
          <w:t>121/2016</w:t>
        </w:r>
      </w:hyperlink>
      <w:r>
        <w:t xml:space="preserve">, f. 1; </w:t>
      </w:r>
      <w:hyperlink w:anchor="AUTO_2016_124" w:history="1">
        <w:r w:rsidRPr="0057104C">
          <w:rPr>
            <w:rStyle w:val="TextoNormalCaracter"/>
          </w:rPr>
          <w:t>124/2016</w:t>
        </w:r>
      </w:hyperlink>
      <w:r>
        <w:t xml:space="preserve">, f. único; </w:t>
      </w:r>
      <w:hyperlink w:anchor="AUTO_2016_125" w:history="1">
        <w:r w:rsidRPr="0057104C">
          <w:rPr>
            <w:rStyle w:val="TextoNormalCaracter"/>
          </w:rPr>
          <w:t>125/2016</w:t>
        </w:r>
      </w:hyperlink>
      <w:r>
        <w:t xml:space="preserve">, f. único; </w:t>
      </w:r>
      <w:hyperlink w:anchor="AUTO_2016_127" w:history="1">
        <w:r w:rsidRPr="0057104C">
          <w:rPr>
            <w:rStyle w:val="TextoNormalCaracter"/>
          </w:rPr>
          <w:t>127/2016</w:t>
        </w:r>
      </w:hyperlink>
      <w:r>
        <w:t>, f. único.</w:t>
      </w:r>
    </w:p>
    <w:p w:rsidR="0057104C" w:rsidRDefault="0057104C" w:rsidP="0057104C">
      <w:pPr>
        <w:pStyle w:val="SangriaFrancesaArticulo"/>
      </w:pPr>
      <w:r w:rsidRPr="0057104C">
        <w:rPr>
          <w:rStyle w:val="TextoNormalNegritaCaracter"/>
        </w:rPr>
        <w:t>Artículo 86.3.</w:t>
      </w:r>
      <w:r w:rsidRPr="0057104C">
        <w:rPr>
          <w:rStyle w:val="TextoNormalCaracter"/>
        </w:rPr>
        <w:t>-</w:t>
      </w:r>
      <w:r>
        <w:t xml:space="preserve"> Sentencias </w:t>
      </w:r>
      <w:hyperlink w:anchor="SENTENCIA_2016_13" w:history="1">
        <w:r w:rsidRPr="0057104C">
          <w:rPr>
            <w:rStyle w:val="TextoNormalCaracter"/>
          </w:rPr>
          <w:t>13/2016</w:t>
        </w:r>
      </w:hyperlink>
      <w:r>
        <w:t xml:space="preserve">, f. 1; </w:t>
      </w:r>
      <w:hyperlink w:anchor="SENTENCIA_2016_22" w:history="1">
        <w:r w:rsidRPr="0057104C">
          <w:rPr>
            <w:rStyle w:val="TextoNormalCaracter"/>
          </w:rPr>
          <w:t>22/2016</w:t>
        </w:r>
      </w:hyperlink>
      <w:r>
        <w:t xml:space="preserve">, f. 1; </w:t>
      </w:r>
      <w:hyperlink w:anchor="SENTENCIA_2016_34" w:history="1">
        <w:r w:rsidRPr="0057104C">
          <w:rPr>
            <w:rStyle w:val="TextoNormalCaracter"/>
          </w:rPr>
          <w:t>34/2016</w:t>
        </w:r>
      </w:hyperlink>
      <w:r>
        <w:t xml:space="preserve">, f. 1; </w:t>
      </w:r>
      <w:hyperlink w:anchor="SENTENCIA_2016_50" w:history="1">
        <w:r w:rsidRPr="0057104C">
          <w:rPr>
            <w:rStyle w:val="TextoNormalCaracter"/>
          </w:rPr>
          <w:t>50/2016</w:t>
        </w:r>
      </w:hyperlink>
      <w:r>
        <w:t>, f. 1.</w:t>
      </w:r>
    </w:p>
    <w:p w:rsidR="0057104C" w:rsidRDefault="0057104C" w:rsidP="0057104C">
      <w:pPr>
        <w:pStyle w:val="SangriaFrancesaArticulo"/>
      </w:pPr>
      <w:r w:rsidRPr="0057104C">
        <w:rPr>
          <w:rStyle w:val="TextoNormalNegritaCaracter"/>
        </w:rPr>
        <w:t>Artículo 87</w:t>
      </w:r>
      <w:r>
        <w:t xml:space="preserve"> (redactado por la Ley Orgánica 15/2015, de 16 de octubre)</w:t>
      </w:r>
      <w:r w:rsidRPr="0057104C">
        <w:rPr>
          <w:rStyle w:val="TextoNormalNegritaCaracter"/>
        </w:rPr>
        <w:t>.</w:t>
      </w:r>
      <w:r w:rsidRPr="0057104C">
        <w:rPr>
          <w:rStyle w:val="TextoNormalCaracter"/>
        </w:rPr>
        <w:t>-</w:t>
      </w:r>
      <w:r>
        <w:t xml:space="preserve"> Auto </w:t>
      </w:r>
      <w:hyperlink w:anchor="AUTO_2016_128" w:history="1">
        <w:r w:rsidRPr="0057104C">
          <w:rPr>
            <w:rStyle w:val="TextoNormalCaracter"/>
          </w:rPr>
          <w:t>128/2016</w:t>
        </w:r>
      </w:hyperlink>
      <w:r>
        <w:t>, f. 2.</w:t>
      </w:r>
    </w:p>
    <w:p w:rsidR="0057104C" w:rsidRDefault="0057104C" w:rsidP="0057104C">
      <w:pPr>
        <w:pStyle w:val="SangriaFrancesaArticulo"/>
      </w:pPr>
      <w:r w:rsidRPr="0057104C">
        <w:rPr>
          <w:rStyle w:val="TextoNormalNegritaCaracter"/>
        </w:rPr>
        <w:t>Artículo 87.1</w:t>
      </w:r>
      <w:r>
        <w:t xml:space="preserve"> (redactado por la Ley Orgánica 15/2015 de 16 de octubre)</w:t>
      </w:r>
      <w:r w:rsidRPr="0057104C">
        <w:rPr>
          <w:rStyle w:val="TextoNormalNegritaCaracter"/>
        </w:rPr>
        <w:t>.</w:t>
      </w:r>
      <w:r w:rsidRPr="0057104C">
        <w:rPr>
          <w:rStyle w:val="TextoNormalCaracter"/>
        </w:rPr>
        <w:t>-</w:t>
      </w:r>
      <w:r>
        <w:t xml:space="preserve"> Auto </w:t>
      </w:r>
      <w:hyperlink w:anchor="AUTO_2016_128" w:history="1">
        <w:r w:rsidRPr="0057104C">
          <w:rPr>
            <w:rStyle w:val="TextoNormalCaracter"/>
          </w:rPr>
          <w:t>128/2016</w:t>
        </w:r>
      </w:hyperlink>
      <w:r>
        <w:t>, f. 3.</w:t>
      </w:r>
    </w:p>
    <w:p w:rsidR="0057104C" w:rsidRDefault="0057104C" w:rsidP="0057104C">
      <w:pPr>
        <w:pStyle w:val="SangriaFrancesaArticulo"/>
      </w:pPr>
      <w:r w:rsidRPr="0057104C">
        <w:rPr>
          <w:rStyle w:val="TextoNormalNegritaCaracter"/>
        </w:rPr>
        <w:t>Artículo 88.</w:t>
      </w:r>
      <w:r w:rsidRPr="0057104C">
        <w:rPr>
          <w:rStyle w:val="TextoNormalCaracter"/>
        </w:rPr>
        <w:t>-</w:t>
      </w:r>
      <w:r>
        <w:t xml:space="preserve"> Autos </w:t>
      </w:r>
      <w:hyperlink w:anchor="AUTO_2016_13" w:history="1">
        <w:r w:rsidRPr="0057104C">
          <w:rPr>
            <w:rStyle w:val="TextoNormalCaracter"/>
          </w:rPr>
          <w:t>13/2016</w:t>
        </w:r>
      </w:hyperlink>
      <w:r>
        <w:t xml:space="preserve">, f. 2; </w:t>
      </w:r>
      <w:hyperlink w:anchor="AUTO_2016_71" w:history="1">
        <w:r w:rsidRPr="0057104C">
          <w:rPr>
            <w:rStyle w:val="TextoNormalCaracter"/>
          </w:rPr>
          <w:t>71/2016</w:t>
        </w:r>
      </w:hyperlink>
      <w:r>
        <w:t>, f. 5.</w:t>
      </w:r>
    </w:p>
    <w:p w:rsidR="0057104C" w:rsidRDefault="0057104C" w:rsidP="0057104C">
      <w:pPr>
        <w:pStyle w:val="SangriaFrancesaArticulo"/>
      </w:pPr>
      <w:r w:rsidRPr="0057104C">
        <w:rPr>
          <w:rStyle w:val="TextoNormalNegritaCaracter"/>
        </w:rPr>
        <w:t>Artículo 88.1.</w:t>
      </w:r>
      <w:r w:rsidRPr="0057104C">
        <w:rPr>
          <w:rStyle w:val="TextoNormalCaracter"/>
        </w:rPr>
        <w:t>-</w:t>
      </w:r>
      <w:r>
        <w:t xml:space="preserve"> Sentencias </w:t>
      </w:r>
      <w:hyperlink w:anchor="SENTENCIA_2016_2" w:history="1">
        <w:r w:rsidRPr="0057104C">
          <w:rPr>
            <w:rStyle w:val="TextoNormalCaracter"/>
          </w:rPr>
          <w:t>2/2016</w:t>
        </w:r>
      </w:hyperlink>
      <w:r>
        <w:t xml:space="preserve">, f. 3; </w:t>
      </w:r>
      <w:hyperlink w:anchor="SENTENCIA_2016_4" w:history="1">
        <w:r w:rsidRPr="0057104C">
          <w:rPr>
            <w:rStyle w:val="TextoNormalCaracter"/>
          </w:rPr>
          <w:t>4/2016</w:t>
        </w:r>
      </w:hyperlink>
      <w:r>
        <w:t>, f. 3.</w:t>
      </w:r>
    </w:p>
    <w:p w:rsidR="0057104C" w:rsidRDefault="0057104C" w:rsidP="0057104C">
      <w:pPr>
        <w:pStyle w:val="SangriaFrancesaArticulo"/>
      </w:pPr>
      <w:r w:rsidRPr="0057104C">
        <w:rPr>
          <w:rStyle w:val="TextoNormalNegritaCaracter"/>
        </w:rPr>
        <w:t>Artículo 90.2.</w:t>
      </w:r>
      <w:r w:rsidRPr="0057104C">
        <w:rPr>
          <w:rStyle w:val="TextoNormalCaracter"/>
        </w:rPr>
        <w:t>-</w:t>
      </w:r>
      <w:r>
        <w:t xml:space="preserve"> Sentencias </w:t>
      </w:r>
      <w:hyperlink w:anchor="SENTENCIA_2016_11" w:history="1">
        <w:r w:rsidRPr="0057104C">
          <w:rPr>
            <w:rStyle w:val="TextoNormalCaracter"/>
          </w:rPr>
          <w:t>11/2016</w:t>
        </w:r>
      </w:hyperlink>
      <w:r>
        <w:t xml:space="preserve">, VPI, VPII, VPIII; </w:t>
      </w:r>
      <w:hyperlink w:anchor="SENTENCIA_2016_26" w:history="1">
        <w:r w:rsidRPr="0057104C">
          <w:rPr>
            <w:rStyle w:val="TextoNormalCaracter"/>
          </w:rPr>
          <w:t>26/2016</w:t>
        </w:r>
      </w:hyperlink>
      <w:r>
        <w:t xml:space="preserve">, VP; </w:t>
      </w:r>
      <w:hyperlink w:anchor="SENTENCIA_2016_32" w:history="1">
        <w:r w:rsidRPr="0057104C">
          <w:rPr>
            <w:rStyle w:val="TextoNormalCaracter"/>
          </w:rPr>
          <w:t>32/2016</w:t>
        </w:r>
      </w:hyperlink>
      <w:r>
        <w:t xml:space="preserve">, VPI; </w:t>
      </w:r>
      <w:hyperlink w:anchor="SENTENCIA_2016_53" w:history="1">
        <w:r w:rsidRPr="0057104C">
          <w:rPr>
            <w:rStyle w:val="TextoNormalCaracter"/>
          </w:rPr>
          <w:t>53/2016</w:t>
        </w:r>
      </w:hyperlink>
      <w:r>
        <w:t xml:space="preserve">, VPI; </w:t>
      </w:r>
      <w:hyperlink w:anchor="SENTENCIA_2016_54" w:history="1">
        <w:r w:rsidRPr="0057104C">
          <w:rPr>
            <w:rStyle w:val="TextoNormalCaracter"/>
          </w:rPr>
          <w:t>54/2016</w:t>
        </w:r>
      </w:hyperlink>
      <w:r>
        <w:t xml:space="preserve">, VP; </w:t>
      </w:r>
      <w:hyperlink w:anchor="SENTENCIA_2016_62" w:history="1">
        <w:r w:rsidRPr="0057104C">
          <w:rPr>
            <w:rStyle w:val="TextoNormalCaracter"/>
          </w:rPr>
          <w:t>62/2016</w:t>
        </w:r>
      </w:hyperlink>
      <w:r>
        <w:t xml:space="preserve">, VPI; </w:t>
      </w:r>
      <w:hyperlink w:anchor="SENTENCIA_2016_67" w:history="1">
        <w:r w:rsidRPr="0057104C">
          <w:rPr>
            <w:rStyle w:val="TextoNormalCaracter"/>
          </w:rPr>
          <w:t>67/2016</w:t>
        </w:r>
      </w:hyperlink>
      <w:r>
        <w:t xml:space="preserve">, VP; </w:t>
      </w:r>
      <w:hyperlink w:anchor="SENTENCIA_2016_68" w:history="1">
        <w:r w:rsidRPr="0057104C">
          <w:rPr>
            <w:rStyle w:val="TextoNormalCaracter"/>
          </w:rPr>
          <w:t>68/2016</w:t>
        </w:r>
      </w:hyperlink>
      <w:r>
        <w:t xml:space="preserve">, VP; </w:t>
      </w:r>
      <w:hyperlink w:anchor="SENTENCIA_2016_81" w:history="1">
        <w:r w:rsidRPr="0057104C">
          <w:rPr>
            <w:rStyle w:val="TextoNormalCaracter"/>
          </w:rPr>
          <w:t>81/2016</w:t>
        </w:r>
      </w:hyperlink>
      <w:r>
        <w:t xml:space="preserve">, VP; </w:t>
      </w:r>
      <w:hyperlink w:anchor="SENTENCIA_2016_84" w:history="1">
        <w:r w:rsidRPr="0057104C">
          <w:rPr>
            <w:rStyle w:val="TextoNormalCaracter"/>
          </w:rPr>
          <w:t>84/2016</w:t>
        </w:r>
      </w:hyperlink>
      <w:r>
        <w:t xml:space="preserve">, VP; </w:t>
      </w:r>
      <w:hyperlink w:anchor="SENTENCIA_2016_87" w:history="1">
        <w:r w:rsidRPr="0057104C">
          <w:rPr>
            <w:rStyle w:val="TextoNormalCaracter"/>
          </w:rPr>
          <w:t>87/2016</w:t>
        </w:r>
      </w:hyperlink>
      <w:r>
        <w:t xml:space="preserve">, VP; </w:t>
      </w:r>
      <w:hyperlink w:anchor="SENTENCIA_2016_95" w:history="1">
        <w:r w:rsidRPr="0057104C">
          <w:rPr>
            <w:rStyle w:val="TextoNormalCaracter"/>
          </w:rPr>
          <w:t>95/2016</w:t>
        </w:r>
      </w:hyperlink>
      <w:r>
        <w:t xml:space="preserve">, VP; </w:t>
      </w:r>
      <w:hyperlink w:anchor="SENTENCIA_2016_99" w:history="1">
        <w:r w:rsidRPr="0057104C">
          <w:rPr>
            <w:rStyle w:val="TextoNormalCaracter"/>
          </w:rPr>
          <w:t>99/2016</w:t>
        </w:r>
      </w:hyperlink>
      <w:r>
        <w:t xml:space="preserve">, VP; </w:t>
      </w:r>
      <w:hyperlink w:anchor="SENTENCIA_2016_101" w:history="1">
        <w:r w:rsidRPr="0057104C">
          <w:rPr>
            <w:rStyle w:val="TextoNormalCaracter"/>
          </w:rPr>
          <w:t>101/2016</w:t>
        </w:r>
      </w:hyperlink>
      <w:r>
        <w:t xml:space="preserve">, VP I, VP III; </w:t>
      </w:r>
      <w:hyperlink w:anchor="SENTENCIA_2016_102" w:history="1">
        <w:r w:rsidRPr="0057104C">
          <w:rPr>
            <w:rStyle w:val="TextoNormalCaracter"/>
          </w:rPr>
          <w:t>102/2016</w:t>
        </w:r>
      </w:hyperlink>
      <w:r>
        <w:t xml:space="preserve">, VP; </w:t>
      </w:r>
      <w:hyperlink w:anchor="SENTENCIA_2016_111" w:history="1">
        <w:r w:rsidRPr="0057104C">
          <w:rPr>
            <w:rStyle w:val="TextoNormalCaracter"/>
          </w:rPr>
          <w:t>111/2016</w:t>
        </w:r>
      </w:hyperlink>
      <w:r>
        <w:t xml:space="preserve">, VP; </w:t>
      </w:r>
      <w:hyperlink w:anchor="SENTENCIA_2016_116" w:history="1">
        <w:r w:rsidRPr="0057104C">
          <w:rPr>
            <w:rStyle w:val="TextoNormalCaracter"/>
          </w:rPr>
          <w:t>116/2016</w:t>
        </w:r>
      </w:hyperlink>
      <w:r>
        <w:t>, VP I,VP II.</w:t>
      </w:r>
    </w:p>
    <w:p w:rsidR="0057104C" w:rsidRDefault="0057104C" w:rsidP="0057104C">
      <w:pPr>
        <w:pStyle w:val="SangriaFrancesaArticulo"/>
      </w:pPr>
      <w:r w:rsidRPr="0057104C">
        <w:rPr>
          <w:rStyle w:val="TextoNormalNegritaCaracter"/>
        </w:rPr>
        <w:t>Artículo 90.2</w:t>
      </w:r>
      <w:r>
        <w:t xml:space="preserve"> (redactado por la Ley Orgánica 6/2007, de 24 de mayo)</w:t>
      </w:r>
      <w:r w:rsidRPr="0057104C">
        <w:rPr>
          <w:rStyle w:val="TextoNormalNegritaCaracter"/>
        </w:rPr>
        <w:t>.</w:t>
      </w:r>
      <w:r w:rsidRPr="0057104C">
        <w:rPr>
          <w:rStyle w:val="TextoNormalCaracter"/>
        </w:rPr>
        <w:t>-</w:t>
      </w:r>
      <w:r>
        <w:t xml:space="preserve"> Sentencias </w:t>
      </w:r>
      <w:hyperlink w:anchor="SENTENCIA_2016_66" w:history="1">
        <w:r w:rsidRPr="0057104C">
          <w:rPr>
            <w:rStyle w:val="TextoNormalCaracter"/>
          </w:rPr>
          <w:t>66/2016</w:t>
        </w:r>
      </w:hyperlink>
      <w:r>
        <w:t xml:space="preserve">, VP; </w:t>
      </w:r>
      <w:hyperlink w:anchor="SENTENCIA_2016_69" w:history="1">
        <w:r w:rsidRPr="0057104C">
          <w:rPr>
            <w:rStyle w:val="TextoNormalCaracter"/>
          </w:rPr>
          <w:t>69/2016</w:t>
        </w:r>
      </w:hyperlink>
      <w:r>
        <w:t xml:space="preserve">, VP II; </w:t>
      </w:r>
      <w:hyperlink w:anchor="SENTENCIA_2016_73" w:history="1">
        <w:r w:rsidRPr="0057104C">
          <w:rPr>
            <w:rStyle w:val="TextoNormalCaracter"/>
          </w:rPr>
          <w:t>73/2016</w:t>
        </w:r>
      </w:hyperlink>
      <w:r>
        <w:t>, VP I.</w:t>
      </w:r>
    </w:p>
    <w:p w:rsidR="0057104C" w:rsidRDefault="0057104C" w:rsidP="0057104C">
      <w:pPr>
        <w:pStyle w:val="SangriaFrancesaArticulo"/>
      </w:pPr>
      <w:r w:rsidRPr="0057104C">
        <w:rPr>
          <w:rStyle w:val="TextoNormalNegritaCaracter"/>
        </w:rPr>
        <w:t>Artículo 92.</w:t>
      </w:r>
      <w:r w:rsidRPr="0057104C">
        <w:rPr>
          <w:rStyle w:val="TextoNormalCaracter"/>
        </w:rPr>
        <w:t>-</w:t>
      </w:r>
      <w:r>
        <w:t xml:space="preserve"> Sentencia </w:t>
      </w:r>
      <w:hyperlink w:anchor="SENTENCIA_2016_95" w:history="1">
        <w:r w:rsidRPr="0057104C">
          <w:rPr>
            <w:rStyle w:val="TextoNormalCaracter"/>
          </w:rPr>
          <w:t>95/2016</w:t>
        </w:r>
      </w:hyperlink>
      <w:r>
        <w:t>, ff. 2, 8.</w:t>
      </w:r>
    </w:p>
    <w:p w:rsidR="0057104C" w:rsidRDefault="0057104C" w:rsidP="0057104C">
      <w:pPr>
        <w:pStyle w:val="SangriaFrancesaArticulo"/>
      </w:pPr>
      <w:r w:rsidRPr="0057104C">
        <w:rPr>
          <w:rStyle w:val="TextoNormalNegritaCaracter"/>
        </w:rPr>
        <w:t>Artículo 92</w:t>
      </w:r>
      <w:r>
        <w:t xml:space="preserve"> (redactado por la Ley Orgánica 15/2015, de 16 de octubre)</w:t>
      </w:r>
      <w:r w:rsidRPr="0057104C">
        <w:rPr>
          <w:rStyle w:val="TextoNormalNegritaCaracter"/>
        </w:rPr>
        <w:t>.</w:t>
      </w:r>
      <w:r w:rsidRPr="0057104C">
        <w:rPr>
          <w:rStyle w:val="TextoNormalCaracter"/>
        </w:rPr>
        <w:t>-</w:t>
      </w:r>
      <w:r>
        <w:t xml:space="preserve"> Auto </w:t>
      </w:r>
      <w:hyperlink w:anchor="AUTO_2016_128" w:history="1">
        <w:r w:rsidRPr="0057104C">
          <w:rPr>
            <w:rStyle w:val="TextoNormalCaracter"/>
          </w:rPr>
          <w:t>128/2016</w:t>
        </w:r>
      </w:hyperlink>
      <w:r>
        <w:t>, ff. 2, 3, 5.</w:t>
      </w:r>
    </w:p>
    <w:p w:rsidR="0057104C" w:rsidRDefault="0057104C" w:rsidP="0057104C">
      <w:pPr>
        <w:pStyle w:val="SangriaFrancesaArticulo"/>
      </w:pPr>
      <w:r w:rsidRPr="0057104C">
        <w:rPr>
          <w:rStyle w:val="TextoNormalNegritaCaracter"/>
        </w:rPr>
        <w:t>Artículo 92</w:t>
      </w:r>
      <w:r>
        <w:t xml:space="preserve"> (redactado por la Ley Orgánica 6/2007, de 24 de mayo)</w:t>
      </w:r>
      <w:r w:rsidRPr="0057104C">
        <w:rPr>
          <w:rStyle w:val="TextoNormalNegritaCaracter"/>
        </w:rPr>
        <w:t>.</w:t>
      </w:r>
      <w:r w:rsidRPr="0057104C">
        <w:rPr>
          <w:rStyle w:val="TextoNormalCaracter"/>
        </w:rPr>
        <w:t>-</w:t>
      </w:r>
      <w:r>
        <w:t xml:space="preserve"> Auto </w:t>
      </w:r>
      <w:hyperlink w:anchor="AUTO_2016_128" w:history="1">
        <w:r w:rsidRPr="0057104C">
          <w:rPr>
            <w:rStyle w:val="TextoNormalCaracter"/>
          </w:rPr>
          <w:t>128/2016</w:t>
        </w:r>
      </w:hyperlink>
      <w:r>
        <w:t>, ff. 1, 2.</w:t>
      </w:r>
    </w:p>
    <w:p w:rsidR="0057104C" w:rsidRDefault="0057104C" w:rsidP="0057104C">
      <w:pPr>
        <w:pStyle w:val="SangriaFrancesaArticulo"/>
      </w:pPr>
      <w:r w:rsidRPr="0057104C">
        <w:rPr>
          <w:rStyle w:val="TextoNormalNegritaCaracter"/>
        </w:rPr>
        <w:t>Artículo 92.1</w:t>
      </w:r>
      <w:r>
        <w:t xml:space="preserve"> (redactado por la Ley Orgánica 15/2015, de 16 de octubre)</w:t>
      </w:r>
      <w:r w:rsidRPr="0057104C">
        <w:rPr>
          <w:rStyle w:val="TextoNormalNegritaCaracter"/>
        </w:rPr>
        <w:t>.</w:t>
      </w:r>
      <w:r w:rsidRPr="0057104C">
        <w:rPr>
          <w:rStyle w:val="TextoNormalCaracter"/>
        </w:rPr>
        <w:t>-</w:t>
      </w:r>
      <w:r>
        <w:t xml:space="preserve"> Sentencia </w:t>
      </w:r>
      <w:hyperlink w:anchor="SENTENCIA_2016_95" w:history="1">
        <w:r w:rsidRPr="0057104C">
          <w:rPr>
            <w:rStyle w:val="TextoNormalCaracter"/>
          </w:rPr>
          <w:t>95/2016</w:t>
        </w:r>
      </w:hyperlink>
      <w:r>
        <w:t>, f. 8.</w:t>
      </w:r>
    </w:p>
    <w:p w:rsidR="0057104C" w:rsidRDefault="0057104C" w:rsidP="0057104C">
      <w:pPr>
        <w:pStyle w:val="SangriaIzquierdaArticulo"/>
      </w:pPr>
      <w:r>
        <w:t xml:space="preserve">Auto </w:t>
      </w:r>
      <w:hyperlink w:anchor="AUTO_2016_128" w:history="1">
        <w:r w:rsidRPr="0057104C">
          <w:rPr>
            <w:rStyle w:val="TextoNormalCaracter"/>
          </w:rPr>
          <w:t>128/2016</w:t>
        </w:r>
      </w:hyperlink>
      <w:r>
        <w:t>, ff. 1, 3.</w:t>
      </w:r>
    </w:p>
    <w:p w:rsidR="0057104C" w:rsidRDefault="0057104C" w:rsidP="0057104C">
      <w:pPr>
        <w:pStyle w:val="SangriaFrancesaArticulo"/>
      </w:pPr>
      <w:r w:rsidRPr="0057104C">
        <w:rPr>
          <w:rStyle w:val="TextoNormalNegritaCaracter"/>
        </w:rPr>
        <w:t>Artículo 92.1 párrafo 1</w:t>
      </w:r>
      <w:r>
        <w:t xml:space="preserve"> (redactado por la Ley Orgánica 15/2015, de 16 de octubre)</w:t>
      </w:r>
      <w:r w:rsidRPr="0057104C">
        <w:rPr>
          <w:rStyle w:val="TextoNormalNegritaCaracter"/>
        </w:rPr>
        <w:t>.</w:t>
      </w:r>
      <w:r w:rsidRPr="0057104C">
        <w:rPr>
          <w:rStyle w:val="TextoNormalCaracter"/>
        </w:rPr>
        <w:t>-</w:t>
      </w:r>
      <w:r>
        <w:t xml:space="preserve"> Sentencia </w:t>
      </w:r>
      <w:hyperlink w:anchor="SENTENCIA_2016_95" w:history="1">
        <w:r w:rsidRPr="0057104C">
          <w:rPr>
            <w:rStyle w:val="TextoNormalCaracter"/>
          </w:rPr>
          <w:t>95/2016</w:t>
        </w:r>
      </w:hyperlink>
      <w:r>
        <w:t>, f. 8.</w:t>
      </w:r>
    </w:p>
    <w:p w:rsidR="0057104C" w:rsidRDefault="0057104C" w:rsidP="0057104C">
      <w:pPr>
        <w:pStyle w:val="SangriaFrancesaArticulo"/>
      </w:pPr>
      <w:r w:rsidRPr="0057104C">
        <w:rPr>
          <w:rStyle w:val="TextoNormalNegritaCaracter"/>
        </w:rPr>
        <w:t>Artículo 92.1 párrafo 2</w:t>
      </w:r>
      <w:r>
        <w:t xml:space="preserve"> (redactado por la Ley Orgánica 15/2015, de 16 de octubre)</w:t>
      </w:r>
      <w:r w:rsidRPr="0057104C">
        <w:rPr>
          <w:rStyle w:val="TextoNormalNegritaCaracter"/>
        </w:rPr>
        <w:t>.</w:t>
      </w:r>
      <w:r w:rsidRPr="0057104C">
        <w:rPr>
          <w:rStyle w:val="TextoNormalCaracter"/>
        </w:rPr>
        <w:t>-</w:t>
      </w:r>
      <w:r>
        <w:t xml:space="preserve"> Sentencia </w:t>
      </w:r>
      <w:hyperlink w:anchor="SENTENCIA_2016_95" w:history="1">
        <w:r w:rsidRPr="0057104C">
          <w:rPr>
            <w:rStyle w:val="TextoNormalCaracter"/>
          </w:rPr>
          <w:t>95/2016</w:t>
        </w:r>
      </w:hyperlink>
      <w:r>
        <w:t>, f. 8.</w:t>
      </w:r>
    </w:p>
    <w:p w:rsidR="0057104C" w:rsidRDefault="0057104C" w:rsidP="0057104C">
      <w:pPr>
        <w:pStyle w:val="SangriaFrancesaArticulo"/>
      </w:pPr>
      <w:r w:rsidRPr="0057104C">
        <w:rPr>
          <w:rStyle w:val="TextoNormalNegritaCaracter"/>
        </w:rPr>
        <w:t xml:space="preserve">Artículo 92.2 </w:t>
      </w:r>
      <w:r>
        <w:t>(redactado por la Ley Orgánica 15/2015, de 16 de octubre)</w:t>
      </w:r>
      <w:r w:rsidRPr="0057104C">
        <w:rPr>
          <w:rStyle w:val="TextoNormalNegritaCaracter"/>
        </w:rPr>
        <w:t>.</w:t>
      </w:r>
      <w:r w:rsidRPr="0057104C">
        <w:rPr>
          <w:rStyle w:val="TextoNormalCaracter"/>
        </w:rPr>
        <w:t>-</w:t>
      </w:r>
      <w:r>
        <w:t xml:space="preserve"> Auto </w:t>
      </w:r>
      <w:hyperlink w:anchor="AUTO_2016_128" w:history="1">
        <w:r w:rsidRPr="0057104C">
          <w:rPr>
            <w:rStyle w:val="TextoNormalCaracter"/>
          </w:rPr>
          <w:t>128/2016</w:t>
        </w:r>
      </w:hyperlink>
      <w:r>
        <w:t>, f. 1.</w:t>
      </w:r>
    </w:p>
    <w:p w:rsidR="0057104C" w:rsidRDefault="0057104C" w:rsidP="0057104C">
      <w:pPr>
        <w:pStyle w:val="SangriaFrancesaArticulo"/>
      </w:pPr>
      <w:r w:rsidRPr="0057104C">
        <w:rPr>
          <w:rStyle w:val="TextoNormalNegritaCaracter"/>
        </w:rPr>
        <w:t>Artículo 92.3</w:t>
      </w:r>
      <w:r>
        <w:t xml:space="preserve"> (redactado por la Ley Orgánica 15/2015, de 16 de octubre)</w:t>
      </w:r>
      <w:r w:rsidRPr="0057104C">
        <w:rPr>
          <w:rStyle w:val="TextoNormalNegritaCaracter"/>
        </w:rPr>
        <w:t>.</w:t>
      </w:r>
      <w:r w:rsidRPr="0057104C">
        <w:rPr>
          <w:rStyle w:val="TextoNormalCaracter"/>
        </w:rPr>
        <w:t>-</w:t>
      </w:r>
      <w:r>
        <w:t xml:space="preserve"> Auto </w:t>
      </w:r>
      <w:hyperlink w:anchor="AUTO_2016_128" w:history="1">
        <w:r w:rsidRPr="0057104C">
          <w:rPr>
            <w:rStyle w:val="TextoNormalCaracter"/>
          </w:rPr>
          <w:t>128/2016</w:t>
        </w:r>
      </w:hyperlink>
      <w:r>
        <w:t>, f. 1.</w:t>
      </w:r>
    </w:p>
    <w:p w:rsidR="0057104C" w:rsidRDefault="0057104C" w:rsidP="0057104C">
      <w:pPr>
        <w:pStyle w:val="SangriaFrancesaArticulo"/>
      </w:pPr>
      <w:r w:rsidRPr="0057104C">
        <w:rPr>
          <w:rStyle w:val="TextoNormalNegritaCaracter"/>
        </w:rPr>
        <w:t>Artículo 93.2.</w:t>
      </w:r>
      <w:r w:rsidRPr="0057104C">
        <w:rPr>
          <w:rStyle w:val="TextoNormalCaracter"/>
        </w:rPr>
        <w:t>-</w:t>
      </w:r>
      <w:r>
        <w:t xml:space="preserve"> Auto </w:t>
      </w:r>
      <w:hyperlink w:anchor="AUTO_2016_128" w:history="1">
        <w:r w:rsidRPr="0057104C">
          <w:rPr>
            <w:rStyle w:val="TextoNormalCaracter"/>
          </w:rPr>
          <w:t>128/2016</w:t>
        </w:r>
      </w:hyperlink>
      <w:r>
        <w:t>, f. 3.</w:t>
      </w:r>
    </w:p>
    <w:p w:rsidR="0057104C" w:rsidRDefault="0057104C" w:rsidP="0057104C">
      <w:pPr>
        <w:pStyle w:val="SangriaFrancesaArticulo"/>
      </w:pPr>
      <w:r w:rsidRPr="0057104C">
        <w:rPr>
          <w:rStyle w:val="TextoNormalNegritaCaracter"/>
        </w:rPr>
        <w:t>Disposición adicional quinta.</w:t>
      </w:r>
      <w:r w:rsidRPr="0057104C">
        <w:rPr>
          <w:rStyle w:val="TextoNormalCaracter"/>
        </w:rPr>
        <w:t>-</w:t>
      </w:r>
      <w:r>
        <w:t xml:space="preserve"> Sentencia </w:t>
      </w:r>
      <w:hyperlink w:anchor="SENTENCIA_2016_3" w:history="1">
        <w:r w:rsidRPr="0057104C">
          <w:rPr>
            <w:rStyle w:val="TextoNormalCaracter"/>
          </w:rPr>
          <w:t>3/2016</w:t>
        </w:r>
      </w:hyperlink>
      <w:r>
        <w:t>, f. 5.</w:t>
      </w:r>
    </w:p>
    <w:p w:rsidR="0057104C" w:rsidRDefault="0057104C" w:rsidP="0057104C">
      <w:pPr>
        <w:pStyle w:val="SangriaIzquierdaArticulo"/>
      </w:pPr>
      <w:r>
        <w:t xml:space="preserve">Autos </w:t>
      </w:r>
      <w:hyperlink w:anchor="AUTO_2016_24" w:history="1">
        <w:r w:rsidRPr="0057104C">
          <w:rPr>
            <w:rStyle w:val="TextoNormalCaracter"/>
          </w:rPr>
          <w:t>24/2016</w:t>
        </w:r>
      </w:hyperlink>
      <w:r>
        <w:t xml:space="preserve">, f. 2; </w:t>
      </w:r>
      <w:hyperlink w:anchor="AUTO_2016_44" w:history="1">
        <w:r w:rsidRPr="0057104C">
          <w:rPr>
            <w:rStyle w:val="TextoNormalCaracter"/>
          </w:rPr>
          <w:t>44/2016</w:t>
        </w:r>
      </w:hyperlink>
      <w:r>
        <w:t>, f. único.</w:t>
      </w:r>
    </w:p>
    <w:p w:rsidR="0057104C" w:rsidRDefault="0057104C" w:rsidP="0057104C">
      <w:pPr>
        <w:pStyle w:val="SangriaFrancesaArticulo"/>
      </w:pPr>
      <w:r w:rsidRPr="0057104C">
        <w:rPr>
          <w:rStyle w:val="TextoNormalNegritaCaracter"/>
        </w:rPr>
        <w:t>Disposición adicional quinta, apartado 1.</w:t>
      </w:r>
      <w:r w:rsidRPr="0057104C">
        <w:rPr>
          <w:rStyle w:val="TextoNormalCaracter"/>
        </w:rPr>
        <w:t>-</w:t>
      </w:r>
      <w:r>
        <w:t xml:space="preserve"> Sentencia </w:t>
      </w:r>
      <w:hyperlink w:anchor="SENTENCIA_2016_3" w:history="1">
        <w:r w:rsidRPr="0057104C">
          <w:rPr>
            <w:rStyle w:val="TextoNormalCaracter"/>
          </w:rPr>
          <w:t>3/2016</w:t>
        </w:r>
      </w:hyperlink>
      <w:r>
        <w:t>, f. 5.</w:t>
      </w:r>
    </w:p>
    <w:p w:rsidR="0057104C" w:rsidRDefault="0057104C" w:rsidP="0057104C">
      <w:pPr>
        <w:pStyle w:val="SangriaFrancesaArticulo"/>
      </w:pPr>
      <w:r w:rsidRPr="0057104C">
        <w:rPr>
          <w:rStyle w:val="TextoNormalNegritaCaracter"/>
        </w:rPr>
        <w:t>Disposición adicional quinta, apartado 2.</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Disposición adicional quinta, apartado 3.</w:t>
      </w:r>
      <w:r w:rsidRPr="0057104C">
        <w:rPr>
          <w:rStyle w:val="TextoNormalCaracter"/>
        </w:rPr>
        <w:t>-</w:t>
      </w:r>
      <w:r>
        <w:t xml:space="preserve"> Sentencia </w:t>
      </w:r>
      <w:hyperlink w:anchor="SENTENCIA_2016_118" w:history="1">
        <w:r w:rsidRPr="0057104C">
          <w:rPr>
            <w:rStyle w:val="TextoNormalCaracter"/>
          </w:rPr>
          <w:t>118/2016</w:t>
        </w:r>
      </w:hyperlink>
      <w:r>
        <w:t>, ff. 1, 3, 4.</w:t>
      </w:r>
    </w:p>
    <w:p w:rsidR="0057104C" w:rsidRDefault="0057104C" w:rsidP="0057104C">
      <w:pPr>
        <w:pStyle w:val="SangriaFrancesaArticulo"/>
      </w:pPr>
      <w:r w:rsidRPr="0057104C">
        <w:rPr>
          <w:rStyle w:val="TextoNormalNegritaCaracter"/>
        </w:rPr>
        <w:t>Disposición adicional quinta</w:t>
      </w:r>
      <w:r>
        <w:t xml:space="preserve"> (redactada por la Ley Orgánica 1/2010, de 19 de febrero)</w:t>
      </w:r>
      <w:r w:rsidRPr="0057104C">
        <w:rPr>
          <w:rStyle w:val="TextoNormalNegritaCaracter"/>
        </w:rPr>
        <w:t>.</w:t>
      </w:r>
      <w:r w:rsidRPr="0057104C">
        <w:rPr>
          <w:rStyle w:val="TextoNormalCaracter"/>
        </w:rPr>
        <w:t>-</w:t>
      </w:r>
      <w:r>
        <w:t xml:space="preserve"> Sentencias </w:t>
      </w:r>
      <w:hyperlink w:anchor="SENTENCIA_2016_3" w:history="1">
        <w:r w:rsidRPr="0057104C">
          <w:rPr>
            <w:rStyle w:val="TextoNormalCaracter"/>
          </w:rPr>
          <w:t>3/2016</w:t>
        </w:r>
      </w:hyperlink>
      <w:r>
        <w:t xml:space="preserve">, f. 5; </w:t>
      </w:r>
      <w:hyperlink w:anchor="SENTENCIA_2016_118" w:history="1">
        <w:r w:rsidRPr="0057104C">
          <w:rPr>
            <w:rStyle w:val="TextoNormalCaracter"/>
          </w:rPr>
          <w:t>118/2016</w:t>
        </w:r>
      </w:hyperlink>
      <w:r>
        <w:t>, ff. 1, 3, 4.</w:t>
      </w:r>
    </w:p>
    <w:p w:rsidR="0057104C" w:rsidRDefault="0057104C" w:rsidP="0057104C">
      <w:pPr>
        <w:pStyle w:val="SangriaFrancesaArticulo"/>
      </w:pPr>
      <w:r w:rsidRPr="0057104C">
        <w:rPr>
          <w:rStyle w:val="TextoNormalNegritaCaracter"/>
        </w:rPr>
        <w:t>Disposición adicional quinta, apartado 1</w:t>
      </w:r>
      <w:r>
        <w:t xml:space="preserve"> (redactada por la Ley Orgánica 1/2010, de 19 de febrero)</w:t>
      </w:r>
      <w:r w:rsidRPr="0057104C">
        <w:rPr>
          <w:rStyle w:val="TextoNormalNegritaCaracter"/>
        </w:rPr>
        <w:t>.</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p>
    <w:p w:rsidR="0057104C" w:rsidRDefault="0057104C" w:rsidP="0057104C">
      <w:pPr>
        <w:pStyle w:val="TextoNormalNegritaCursivandice"/>
      </w:pPr>
      <w:r>
        <w:t>Ley Orgánica 4/1985, de 7 junio. Deroga el capítulo II del título VI de la Ley Orgánica 2/1979, de 3 de octubre, del Tribunal Constitucional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p>
    <w:p w:rsidR="0057104C" w:rsidRDefault="0057104C" w:rsidP="0057104C">
      <w:pPr>
        <w:pStyle w:val="TextoNormalNegritaCursivandice"/>
      </w:pPr>
      <w:r>
        <w:t>Ley Orgánica 6/1988, de 9 de junio. Modifica los artículos 50 y 86 de la Ley Orgánica 2/1979, de 3 de octubre, del Tribunal Constitucional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Autos </w:t>
      </w:r>
      <w:hyperlink w:anchor="AUTO_2016_80" w:history="1">
        <w:r w:rsidRPr="0057104C">
          <w:rPr>
            <w:rStyle w:val="TextoNormalCaracter"/>
          </w:rPr>
          <w:t>80/2016</w:t>
        </w:r>
      </w:hyperlink>
      <w:r>
        <w:t xml:space="preserve">, f. único; </w:t>
      </w:r>
      <w:hyperlink w:anchor="AUTO_2016_81" w:history="1">
        <w:r w:rsidRPr="0057104C">
          <w:rPr>
            <w:rStyle w:val="TextoNormalCaracter"/>
          </w:rPr>
          <w:t>81/2016</w:t>
        </w:r>
      </w:hyperlink>
      <w:r>
        <w:t xml:space="preserve">, f. único; </w:t>
      </w:r>
      <w:hyperlink w:anchor="AUTO_2016_116" w:history="1">
        <w:r w:rsidRPr="0057104C">
          <w:rPr>
            <w:rStyle w:val="TextoNormalCaracter"/>
          </w:rPr>
          <w:t>116/2016</w:t>
        </w:r>
      </w:hyperlink>
      <w:r>
        <w:t xml:space="preserve">, f. único; </w:t>
      </w:r>
      <w:hyperlink w:anchor="AUTO_2016_118" w:history="1">
        <w:r w:rsidRPr="0057104C">
          <w:rPr>
            <w:rStyle w:val="TextoNormalCaracter"/>
          </w:rPr>
          <w:t>118/2016</w:t>
        </w:r>
      </w:hyperlink>
      <w:r>
        <w:t xml:space="preserve">, f. único; </w:t>
      </w:r>
      <w:hyperlink w:anchor="AUTO_2016_120" w:history="1">
        <w:r w:rsidRPr="0057104C">
          <w:rPr>
            <w:rStyle w:val="TextoNormalCaracter"/>
          </w:rPr>
          <w:t>120/2016</w:t>
        </w:r>
      </w:hyperlink>
      <w:r>
        <w:t xml:space="preserve">, f. único; </w:t>
      </w:r>
      <w:hyperlink w:anchor="AUTO_2016_121" w:history="1">
        <w:r w:rsidRPr="0057104C">
          <w:rPr>
            <w:rStyle w:val="TextoNormalCaracter"/>
          </w:rPr>
          <w:t>121/2016</w:t>
        </w:r>
      </w:hyperlink>
      <w:r>
        <w:t xml:space="preserve">, f. 1; </w:t>
      </w:r>
      <w:hyperlink w:anchor="AUTO_2016_124" w:history="1">
        <w:r w:rsidRPr="0057104C">
          <w:rPr>
            <w:rStyle w:val="TextoNormalCaracter"/>
          </w:rPr>
          <w:t>124/2016</w:t>
        </w:r>
      </w:hyperlink>
      <w:r>
        <w:t xml:space="preserve">, f. único; </w:t>
      </w:r>
      <w:hyperlink w:anchor="AUTO_2016_125" w:history="1">
        <w:r w:rsidRPr="0057104C">
          <w:rPr>
            <w:rStyle w:val="TextoNormalCaracter"/>
          </w:rPr>
          <w:t>125/2016</w:t>
        </w:r>
      </w:hyperlink>
      <w:r>
        <w:t xml:space="preserve">, f. único; </w:t>
      </w:r>
      <w:hyperlink w:anchor="AUTO_2016_127" w:history="1">
        <w:r w:rsidRPr="0057104C">
          <w:rPr>
            <w:rStyle w:val="TextoNormalCaracter"/>
          </w:rPr>
          <w:t>127/2016</w:t>
        </w:r>
      </w:hyperlink>
      <w:r>
        <w:t>, f. único.</w:t>
      </w:r>
    </w:p>
    <w:p w:rsidR="0057104C" w:rsidRDefault="0057104C" w:rsidP="0057104C">
      <w:pPr>
        <w:pStyle w:val="SangriaIzquierdaArticulo"/>
      </w:pPr>
    </w:p>
    <w:p w:rsidR="0057104C" w:rsidRDefault="0057104C" w:rsidP="0057104C">
      <w:pPr>
        <w:pStyle w:val="TextoNormalNegritaCursivandice"/>
      </w:pPr>
      <w:r>
        <w:t>Acuerdo del Pleno del Tribunal Constitucional, de 18 de junio de 1996. Asistencia jurídica gratuita en los procesos de amparo constitucional</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Auto </w:t>
      </w:r>
      <w:hyperlink w:anchor="AUTO_2016_123" w:history="1">
        <w:r w:rsidRPr="0057104C">
          <w:rPr>
            <w:rStyle w:val="TextoNormalCaracter"/>
          </w:rPr>
          <w:t>123/2016</w:t>
        </w:r>
      </w:hyperlink>
      <w:r>
        <w:t>, f. 1.</w:t>
      </w:r>
    </w:p>
    <w:p w:rsidR="0057104C" w:rsidRDefault="0057104C" w:rsidP="0057104C">
      <w:pPr>
        <w:pStyle w:val="SangriaFrancesaArticulo"/>
      </w:pPr>
      <w:r w:rsidRPr="0057104C">
        <w:rPr>
          <w:rStyle w:val="TextoNormalNegritaCaracter"/>
        </w:rPr>
        <w:t>Disposición adicional primera, apartado 1.</w:t>
      </w:r>
      <w:r w:rsidRPr="0057104C">
        <w:rPr>
          <w:rStyle w:val="TextoNormalCaracter"/>
        </w:rPr>
        <w:t>-</w:t>
      </w:r>
      <w:r>
        <w:t xml:space="preserve"> Auto </w:t>
      </w:r>
      <w:hyperlink w:anchor="AUTO_2016_123" w:history="1">
        <w:r w:rsidRPr="0057104C">
          <w:rPr>
            <w:rStyle w:val="TextoNormalCaracter"/>
          </w:rPr>
          <w:t>123/2016</w:t>
        </w:r>
      </w:hyperlink>
      <w:r>
        <w:t>, f. 2.</w:t>
      </w:r>
    </w:p>
    <w:p w:rsidR="0057104C" w:rsidRDefault="0057104C" w:rsidP="0057104C">
      <w:pPr>
        <w:pStyle w:val="SangriaFrancesaArticulo"/>
      </w:pPr>
      <w:r w:rsidRPr="0057104C">
        <w:rPr>
          <w:rStyle w:val="TextoNormalNegritaCaracter"/>
        </w:rPr>
        <w:t>Disposición adicional primera, apartado 4.</w:t>
      </w:r>
      <w:r w:rsidRPr="0057104C">
        <w:rPr>
          <w:rStyle w:val="TextoNormalCaracter"/>
        </w:rPr>
        <w:t>-</w:t>
      </w:r>
      <w:r>
        <w:t xml:space="preserve"> Auto </w:t>
      </w:r>
      <w:hyperlink w:anchor="AUTO_2016_123" w:history="1">
        <w:r w:rsidRPr="0057104C">
          <w:rPr>
            <w:rStyle w:val="TextoNormalCaracter"/>
          </w:rPr>
          <w:t>123/2016</w:t>
        </w:r>
      </w:hyperlink>
      <w:r>
        <w:t>, ff. 1, 3.</w:t>
      </w:r>
    </w:p>
    <w:p w:rsidR="0057104C" w:rsidRDefault="0057104C" w:rsidP="0057104C">
      <w:pPr>
        <w:pStyle w:val="SangriaFrancesaArticulo"/>
      </w:pPr>
    </w:p>
    <w:p w:rsidR="0057104C" w:rsidRDefault="0057104C" w:rsidP="0057104C">
      <w:pPr>
        <w:pStyle w:val="TextoNormalNegritaCursivandice"/>
      </w:pPr>
      <w:r>
        <w:t>Ley Orgánica 7/1999, de 21 de abril. Modificación de la Ley Orgánica 2/1979, de 3 de octubre, del Tribunal Constitucional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27" w:history="1">
        <w:r w:rsidRPr="0057104C">
          <w:rPr>
            <w:rStyle w:val="TextoNormalCaracter"/>
          </w:rPr>
          <w:t>27/2016</w:t>
        </w:r>
      </w:hyperlink>
      <w:r>
        <w:t xml:space="preserve">, f. 3; </w:t>
      </w:r>
      <w:hyperlink w:anchor="SENTENCIA_2016_118" w:history="1">
        <w:r w:rsidRPr="0057104C">
          <w:rPr>
            <w:rStyle w:val="TextoNormalCaracter"/>
          </w:rPr>
          <w:t>118/2016</w:t>
        </w:r>
      </w:hyperlink>
      <w:r>
        <w:t>, ff. 3, 4.</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27" w:history="1">
        <w:r w:rsidRPr="0057104C">
          <w:rPr>
            <w:rStyle w:val="TextoNormalCaracter"/>
          </w:rPr>
          <w:t>27/2016</w:t>
        </w:r>
      </w:hyperlink>
      <w:r>
        <w:t>, f. 3.</w:t>
      </w:r>
    </w:p>
    <w:p w:rsidR="0057104C" w:rsidRDefault="0057104C" w:rsidP="0057104C">
      <w:pPr>
        <w:pStyle w:val="SangriaFrancesaArticulo"/>
      </w:pPr>
    </w:p>
    <w:p w:rsidR="0057104C" w:rsidRDefault="0057104C" w:rsidP="0057104C">
      <w:pPr>
        <w:pStyle w:val="TextoNormalNegritaCursivandice"/>
      </w:pPr>
      <w:r>
        <w:t>Ley Orgánica 1/2000, de 7 de enero. Modificación de la Ley Orgánica 2/1979, de 3 de octubre, del Tribunal Constitucional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82" w:history="1">
        <w:r w:rsidRPr="0057104C">
          <w:rPr>
            <w:rStyle w:val="TextoNormalCaracter"/>
          </w:rPr>
          <w:t>82/2016</w:t>
        </w:r>
      </w:hyperlink>
      <w:r>
        <w:t xml:space="preserve">, f. 2; </w:t>
      </w:r>
      <w:hyperlink w:anchor="SENTENCIA_2016_118" w:history="1">
        <w:r w:rsidRPr="0057104C">
          <w:rPr>
            <w:rStyle w:val="TextoNormalCaracter"/>
          </w:rPr>
          <w:t>118/2016</w:t>
        </w:r>
      </w:hyperlink>
      <w:r>
        <w:t>, f. 3.</w:t>
      </w:r>
    </w:p>
    <w:p w:rsidR="0057104C" w:rsidRDefault="0057104C" w:rsidP="0057104C">
      <w:pPr>
        <w:pStyle w:val="SangriaFrancesaArticulo"/>
      </w:pPr>
    </w:p>
    <w:p w:rsidR="0057104C" w:rsidRDefault="0057104C" w:rsidP="0057104C">
      <w:pPr>
        <w:pStyle w:val="TextoNormalNegritaCursivandice"/>
      </w:pPr>
      <w:r>
        <w:t>Acuerdo del Pleno del Tribunal Constitucional de 19 de diciembre de 2002, del Pleno del Tribunal Constitucional. Regula el régimen de retribuciones del personal al servicio del Tribunal Constitucional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4" w:history="1">
        <w:r w:rsidRPr="0057104C">
          <w:rPr>
            <w:rStyle w:val="TextoNormalCaracter"/>
          </w:rPr>
          <w:t>34/2016</w:t>
        </w:r>
      </w:hyperlink>
      <w:r>
        <w:t>, f. 1.</w:t>
      </w:r>
    </w:p>
    <w:p w:rsidR="0057104C" w:rsidRDefault="0057104C" w:rsidP="0057104C">
      <w:pPr>
        <w:pStyle w:val="SangriaFrancesaArticulo"/>
      </w:pPr>
    </w:p>
    <w:p w:rsidR="0057104C" w:rsidRDefault="0057104C" w:rsidP="0057104C">
      <w:pPr>
        <w:pStyle w:val="TextoNormalNegritaCursivandice"/>
      </w:pPr>
      <w:r>
        <w:t>Ley Orgánica 6/2007, de 24 de mayo. Modificación de la Ley Orgánica 2/1979, de 3 de octubre, del Tribunal Constitucional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65" w:history="1">
        <w:r w:rsidRPr="0057104C">
          <w:rPr>
            <w:rStyle w:val="TextoNormalCaracter"/>
          </w:rPr>
          <w:t>65/2016</w:t>
        </w:r>
      </w:hyperlink>
      <w:r>
        <w:t xml:space="preserve">, ff. 1 a 3, 5, 6; </w:t>
      </w:r>
      <w:hyperlink w:anchor="SENTENCIA_2016_66" w:history="1">
        <w:r w:rsidRPr="0057104C">
          <w:rPr>
            <w:rStyle w:val="TextoNormalCaracter"/>
          </w:rPr>
          <w:t>66/2016</w:t>
        </w:r>
      </w:hyperlink>
      <w:r>
        <w:t xml:space="preserve">, VP; </w:t>
      </w:r>
      <w:hyperlink w:anchor="SENTENCIA_2016_69" w:history="1">
        <w:r w:rsidRPr="0057104C">
          <w:rPr>
            <w:rStyle w:val="TextoNormalCaracter"/>
          </w:rPr>
          <w:t>69/2016</w:t>
        </w:r>
      </w:hyperlink>
      <w:r>
        <w:t xml:space="preserve">, ff. 3, 5, VP II; </w:t>
      </w:r>
      <w:hyperlink w:anchor="SENTENCIA_2016_73" w:history="1">
        <w:r w:rsidRPr="0057104C">
          <w:rPr>
            <w:rStyle w:val="TextoNormalCaracter"/>
          </w:rPr>
          <w:t>73/2016</w:t>
        </w:r>
      </w:hyperlink>
      <w:r>
        <w:t xml:space="preserve">, VP I; </w:t>
      </w:r>
      <w:hyperlink w:anchor="SENTENCIA_2016_76" w:history="1">
        <w:r w:rsidRPr="0057104C">
          <w:rPr>
            <w:rStyle w:val="TextoNormalCaracter"/>
          </w:rPr>
          <w:t>76/2016</w:t>
        </w:r>
      </w:hyperlink>
      <w:r>
        <w:t xml:space="preserve">, ff. 1 a 3; </w:t>
      </w:r>
      <w:hyperlink w:anchor="SENTENCIA_2016_77" w:history="1">
        <w:r w:rsidRPr="0057104C">
          <w:rPr>
            <w:rStyle w:val="TextoNormalCaracter"/>
          </w:rPr>
          <w:t>77/2016</w:t>
        </w:r>
      </w:hyperlink>
      <w:r>
        <w:t xml:space="preserve">, f. 2; </w:t>
      </w:r>
      <w:hyperlink w:anchor="SENTENCIA_2016_78" w:history="1">
        <w:r w:rsidRPr="0057104C">
          <w:rPr>
            <w:rStyle w:val="TextoNormalCaracter"/>
          </w:rPr>
          <w:t>78/2016</w:t>
        </w:r>
      </w:hyperlink>
      <w:r>
        <w:t xml:space="preserve">, f. 1; </w:t>
      </w:r>
      <w:hyperlink w:anchor="SENTENCIA_2016_82" w:history="1">
        <w:r w:rsidRPr="0057104C">
          <w:rPr>
            <w:rStyle w:val="TextoNormalCaracter"/>
          </w:rPr>
          <w:t>82/2016</w:t>
        </w:r>
      </w:hyperlink>
      <w:r>
        <w:t xml:space="preserve">, f. 2; </w:t>
      </w:r>
      <w:hyperlink w:anchor="SENTENCIA_2016_83" w:history="1">
        <w:r w:rsidRPr="0057104C">
          <w:rPr>
            <w:rStyle w:val="TextoNormalCaracter"/>
          </w:rPr>
          <w:t>83/2016</w:t>
        </w:r>
      </w:hyperlink>
      <w:r>
        <w:t xml:space="preserve">, f. 11; </w:t>
      </w:r>
      <w:hyperlink w:anchor="SENTENCIA_2016_89" w:history="1">
        <w:r w:rsidRPr="0057104C">
          <w:rPr>
            <w:rStyle w:val="TextoNormalCaracter"/>
          </w:rPr>
          <w:t>89/2016</w:t>
        </w:r>
      </w:hyperlink>
      <w:r>
        <w:t xml:space="preserve">, ff. 1 a 3; </w:t>
      </w:r>
      <w:hyperlink w:anchor="SENTENCIA_2016_98" w:history="1">
        <w:r w:rsidRPr="0057104C">
          <w:rPr>
            <w:rStyle w:val="TextoNormalCaracter"/>
          </w:rPr>
          <w:t>98/2016</w:t>
        </w:r>
      </w:hyperlink>
      <w:r>
        <w:t xml:space="preserve">, f. 3; </w:t>
      </w:r>
      <w:hyperlink w:anchor="SENTENCIA_2016_105" w:history="1">
        <w:r w:rsidRPr="0057104C">
          <w:rPr>
            <w:rStyle w:val="TextoNormalCaracter"/>
          </w:rPr>
          <w:t>105/2016</w:t>
        </w:r>
      </w:hyperlink>
      <w:r>
        <w:t xml:space="preserve">, f. 2; </w:t>
      </w:r>
      <w:hyperlink w:anchor="SENTENCIA_2016_109" w:history="1">
        <w:r w:rsidRPr="0057104C">
          <w:rPr>
            <w:rStyle w:val="TextoNormalCaracter"/>
          </w:rPr>
          <w:t>109/2016</w:t>
        </w:r>
      </w:hyperlink>
      <w:r>
        <w:t xml:space="preserve">, f. 6; </w:t>
      </w:r>
      <w:hyperlink w:anchor="SENTENCIA_2016_113" w:history="1">
        <w:r w:rsidRPr="0057104C">
          <w:rPr>
            <w:rStyle w:val="TextoNormalCaracter"/>
          </w:rPr>
          <w:t>113/2016</w:t>
        </w:r>
      </w:hyperlink>
      <w:r>
        <w:t xml:space="preserve">, f. 3; </w:t>
      </w:r>
      <w:hyperlink w:anchor="SENTENCIA_2016_114" w:history="1">
        <w:r w:rsidRPr="0057104C">
          <w:rPr>
            <w:rStyle w:val="TextoNormalCaracter"/>
          </w:rPr>
          <w:t>114/2016</w:t>
        </w:r>
      </w:hyperlink>
      <w:r>
        <w:t xml:space="preserve">, f. 4; </w:t>
      </w:r>
      <w:hyperlink w:anchor="SENTENCIA_2016_115" w:history="1">
        <w:r w:rsidRPr="0057104C">
          <w:rPr>
            <w:rStyle w:val="TextoNormalCaracter"/>
          </w:rPr>
          <w:t>115/2016</w:t>
        </w:r>
      </w:hyperlink>
      <w:r>
        <w:t xml:space="preserve">, f. 4; </w:t>
      </w:r>
      <w:hyperlink w:anchor="SENTENCIA_2016_117" w:history="1">
        <w:r w:rsidRPr="0057104C">
          <w:rPr>
            <w:rStyle w:val="TextoNormalCaracter"/>
          </w:rPr>
          <w:t>117/2016</w:t>
        </w:r>
      </w:hyperlink>
      <w:r>
        <w:t xml:space="preserve">, ff. 2, 3, 6;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Autos </w:t>
      </w:r>
      <w:hyperlink w:anchor="AUTO_2016_67" w:history="1">
        <w:r w:rsidRPr="0057104C">
          <w:rPr>
            <w:rStyle w:val="TextoNormalCaracter"/>
          </w:rPr>
          <w:t>67/2016</w:t>
        </w:r>
      </w:hyperlink>
      <w:r>
        <w:t xml:space="preserve">, f. 1; </w:t>
      </w:r>
      <w:hyperlink w:anchor="AUTO_2016_68" w:history="1">
        <w:r w:rsidRPr="0057104C">
          <w:rPr>
            <w:rStyle w:val="TextoNormalCaracter"/>
          </w:rPr>
          <w:t>68/2016</w:t>
        </w:r>
      </w:hyperlink>
      <w:r>
        <w:t xml:space="preserve">, f. 1; </w:t>
      </w:r>
      <w:hyperlink w:anchor="AUTO_2016_69" w:history="1">
        <w:r w:rsidRPr="0057104C">
          <w:rPr>
            <w:rStyle w:val="TextoNormalCaracter"/>
          </w:rPr>
          <w:t>69/2016</w:t>
        </w:r>
      </w:hyperlink>
      <w:r>
        <w:t xml:space="preserve">, f. 1; </w:t>
      </w:r>
      <w:hyperlink w:anchor="AUTO_2016_71" w:history="1">
        <w:r w:rsidRPr="0057104C">
          <w:rPr>
            <w:rStyle w:val="TextoNormalCaracter"/>
          </w:rPr>
          <w:t>71/2016</w:t>
        </w:r>
      </w:hyperlink>
      <w:r>
        <w:t xml:space="preserve">, f. 3; </w:t>
      </w:r>
      <w:hyperlink w:anchor="AUTO_2016_73" w:history="1">
        <w:r w:rsidRPr="0057104C">
          <w:rPr>
            <w:rStyle w:val="TextoNormalCaracter"/>
          </w:rPr>
          <w:t>73/2016</w:t>
        </w:r>
      </w:hyperlink>
      <w:r>
        <w:t xml:space="preserve">, f. 2; </w:t>
      </w:r>
      <w:hyperlink w:anchor="AUTO_2016_75" w:history="1">
        <w:r w:rsidRPr="0057104C">
          <w:rPr>
            <w:rStyle w:val="TextoNormalCaracter"/>
          </w:rPr>
          <w:t>75/2016</w:t>
        </w:r>
      </w:hyperlink>
      <w:r>
        <w:t xml:space="preserve">, f. 2; </w:t>
      </w:r>
      <w:hyperlink w:anchor="AUTO_2016_76" w:history="1">
        <w:r w:rsidRPr="0057104C">
          <w:rPr>
            <w:rStyle w:val="TextoNormalCaracter"/>
          </w:rPr>
          <w:t>76/2016</w:t>
        </w:r>
      </w:hyperlink>
      <w:r>
        <w:t xml:space="preserve">, f. 2; </w:t>
      </w:r>
      <w:hyperlink w:anchor="AUTO_2016_77" w:history="1">
        <w:r w:rsidRPr="0057104C">
          <w:rPr>
            <w:rStyle w:val="TextoNormalCaracter"/>
          </w:rPr>
          <w:t>77/2016</w:t>
        </w:r>
      </w:hyperlink>
      <w:r>
        <w:t xml:space="preserve">, f. 4; </w:t>
      </w:r>
      <w:hyperlink w:anchor="AUTO_2016_78" w:history="1">
        <w:r w:rsidRPr="0057104C">
          <w:rPr>
            <w:rStyle w:val="TextoNormalCaracter"/>
          </w:rPr>
          <w:t>78/2016</w:t>
        </w:r>
      </w:hyperlink>
      <w:r>
        <w:t xml:space="preserve">, f. 2; </w:t>
      </w:r>
      <w:hyperlink w:anchor="AUTO_2016_83" w:history="1">
        <w:r w:rsidRPr="0057104C">
          <w:rPr>
            <w:rStyle w:val="TextoNormalCaracter"/>
          </w:rPr>
          <w:t>83/2016</w:t>
        </w:r>
      </w:hyperlink>
      <w:r>
        <w:t xml:space="preserve">, f. 2; </w:t>
      </w:r>
      <w:hyperlink w:anchor="AUTO_2016_85" w:history="1">
        <w:r w:rsidRPr="0057104C">
          <w:rPr>
            <w:rStyle w:val="TextoNormalCaracter"/>
          </w:rPr>
          <w:t>85/2016</w:t>
        </w:r>
      </w:hyperlink>
      <w:r>
        <w:t xml:space="preserve">, f. 1; </w:t>
      </w:r>
      <w:hyperlink w:anchor="AUTO_2016_86" w:history="1">
        <w:r w:rsidRPr="0057104C">
          <w:rPr>
            <w:rStyle w:val="TextoNormalCaracter"/>
          </w:rPr>
          <w:t>86/2016</w:t>
        </w:r>
      </w:hyperlink>
      <w:r>
        <w:t xml:space="preserve">, f. 4; </w:t>
      </w:r>
      <w:hyperlink w:anchor="AUTO_2016_87" w:history="1">
        <w:r w:rsidRPr="0057104C">
          <w:rPr>
            <w:rStyle w:val="TextoNormalCaracter"/>
          </w:rPr>
          <w:t>87/2016</w:t>
        </w:r>
      </w:hyperlink>
      <w:r>
        <w:t xml:space="preserve">, f. 2; </w:t>
      </w:r>
      <w:hyperlink w:anchor="AUTO_2016_88" w:history="1">
        <w:r w:rsidRPr="0057104C">
          <w:rPr>
            <w:rStyle w:val="TextoNormalCaracter"/>
          </w:rPr>
          <w:t>88/2016</w:t>
        </w:r>
      </w:hyperlink>
      <w:r>
        <w:t xml:space="preserve">, f. 2; </w:t>
      </w:r>
      <w:hyperlink w:anchor="AUTO_2016_91" w:history="1">
        <w:r w:rsidRPr="0057104C">
          <w:rPr>
            <w:rStyle w:val="TextoNormalCaracter"/>
          </w:rPr>
          <w:t>91/2016</w:t>
        </w:r>
      </w:hyperlink>
      <w:r>
        <w:t xml:space="preserve">, f. 1; </w:t>
      </w:r>
      <w:hyperlink w:anchor="AUTO_2016_122" w:history="1">
        <w:r w:rsidRPr="0057104C">
          <w:rPr>
            <w:rStyle w:val="TextoNormalCaracter"/>
          </w:rPr>
          <w:t>122/2016</w:t>
        </w:r>
      </w:hyperlink>
      <w:r>
        <w:t xml:space="preserve">, f. 3; </w:t>
      </w:r>
      <w:hyperlink w:anchor="AUTO_2016_128" w:history="1">
        <w:r w:rsidRPr="0057104C">
          <w:rPr>
            <w:rStyle w:val="TextoNormalCaracter"/>
          </w:rPr>
          <w:t>128/2016</w:t>
        </w:r>
      </w:hyperlink>
      <w:r>
        <w:t xml:space="preserve">, f. 1; </w:t>
      </w:r>
      <w:hyperlink w:anchor="AUTO_2016_131" w:history="1">
        <w:r w:rsidRPr="0057104C">
          <w:rPr>
            <w:rStyle w:val="TextoNormalCaracter"/>
          </w:rPr>
          <w:t>131/2016</w:t>
        </w:r>
      </w:hyperlink>
      <w:r>
        <w:t xml:space="preserve">, ff. 2, 3; </w:t>
      </w:r>
      <w:hyperlink w:anchor="AUTO_2016_133" w:history="1">
        <w:r w:rsidRPr="0057104C">
          <w:rPr>
            <w:rStyle w:val="TextoNormalCaracter"/>
          </w:rPr>
          <w:t>133/2016</w:t>
        </w:r>
      </w:hyperlink>
      <w:r>
        <w:t xml:space="preserve">, f. 1; </w:t>
      </w:r>
      <w:hyperlink w:anchor="AUTO_2016_134" w:history="1">
        <w:r w:rsidRPr="0057104C">
          <w:rPr>
            <w:rStyle w:val="TextoNormalCaracter"/>
          </w:rPr>
          <w:t>134/2016</w:t>
        </w:r>
      </w:hyperlink>
      <w:r>
        <w:t>, f. 2.</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65" w:history="1">
        <w:r w:rsidRPr="0057104C">
          <w:rPr>
            <w:rStyle w:val="TextoNormalCaracter"/>
          </w:rPr>
          <w:t>65/2016</w:t>
        </w:r>
      </w:hyperlink>
      <w:r>
        <w:t>, f. 5.</w:t>
      </w:r>
    </w:p>
    <w:p w:rsidR="0057104C" w:rsidRDefault="0057104C" w:rsidP="0057104C">
      <w:pPr>
        <w:pStyle w:val="SangriaFrancesaArticulo"/>
      </w:pPr>
      <w:r w:rsidRPr="0057104C">
        <w:rPr>
          <w:rStyle w:val="TextoNormalNegritaCaracter"/>
        </w:rPr>
        <w:t>Artículo 241.</w:t>
      </w:r>
      <w:r w:rsidRPr="0057104C">
        <w:rPr>
          <w:rStyle w:val="TextoNormalCaracter"/>
        </w:rPr>
        <w:t>-</w:t>
      </w:r>
      <w:r>
        <w:t xml:space="preserve"> Auto </w:t>
      </w:r>
      <w:hyperlink w:anchor="AUTO_2016_108" w:history="1">
        <w:r w:rsidRPr="0057104C">
          <w:rPr>
            <w:rStyle w:val="TextoNormalCaracter"/>
          </w:rPr>
          <w:t>108/2016</w:t>
        </w:r>
      </w:hyperlink>
      <w:r>
        <w:t>, f. único.</w:t>
      </w:r>
    </w:p>
    <w:p w:rsidR="0057104C" w:rsidRDefault="0057104C" w:rsidP="0057104C">
      <w:pPr>
        <w:pStyle w:val="SangriaFrancesaArticulo"/>
      </w:pPr>
      <w:r w:rsidRPr="0057104C">
        <w:rPr>
          <w:rStyle w:val="TextoNormalNegritaCaracter"/>
        </w:rPr>
        <w:t>Artículo 241.1.</w:t>
      </w:r>
      <w:r w:rsidRPr="0057104C">
        <w:rPr>
          <w:rStyle w:val="TextoNormalCaracter"/>
        </w:rPr>
        <w:t>-</w:t>
      </w:r>
      <w:r>
        <w:t xml:space="preserve"> Sentencia </w:t>
      </w:r>
      <w:hyperlink w:anchor="SENTENCIA_2016_103" w:history="1">
        <w:r w:rsidRPr="0057104C">
          <w:rPr>
            <w:rStyle w:val="TextoNormalCaracter"/>
          </w:rPr>
          <w:t>103/2016</w:t>
        </w:r>
      </w:hyperlink>
      <w:r>
        <w:t>, f. 3.</w:t>
      </w:r>
    </w:p>
    <w:p w:rsidR="0057104C" w:rsidRDefault="0057104C" w:rsidP="0057104C">
      <w:pPr>
        <w:pStyle w:val="SangriaFrancesaArticulo"/>
      </w:pPr>
    </w:p>
    <w:p w:rsidR="0057104C" w:rsidRDefault="0057104C" w:rsidP="0057104C">
      <w:pPr>
        <w:pStyle w:val="TextoNormalNegritaCursivandice"/>
      </w:pPr>
      <w:r>
        <w:t>Acuerdo del Pleno del Tribunal Constitucional, de 26 de junio de 2013. Composición de las Salas y Secciones del Tribunal Constitucional</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Auto </w:t>
      </w:r>
      <w:hyperlink w:anchor="AUTO_2016_99" w:history="1">
        <w:r w:rsidRPr="0057104C">
          <w:rPr>
            <w:rStyle w:val="TextoNormalCaracter"/>
          </w:rPr>
          <w:t>99/2016</w:t>
        </w:r>
      </w:hyperlink>
      <w:r>
        <w:t>, f. 1.</w:t>
      </w:r>
    </w:p>
    <w:p w:rsidR="0057104C" w:rsidRDefault="0057104C" w:rsidP="0057104C">
      <w:pPr>
        <w:pStyle w:val="SangriaFrancesaArticulo"/>
      </w:pPr>
    </w:p>
    <w:p w:rsidR="0057104C" w:rsidRDefault="0057104C" w:rsidP="0057104C">
      <w:pPr>
        <w:pStyle w:val="TextoNormalNegritaCursivandice"/>
      </w:pPr>
      <w:r>
        <w:t>Acuerdo del Pleno del Tribunal Constitucional de 23 de julio de 2015. Regula la exclusión de los datos de identidad personal en la publicación de las resoluciones jurisdiccionales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0" w:history="1">
        <w:r w:rsidRPr="0057104C">
          <w:rPr>
            <w:rStyle w:val="TextoNormalCaracter"/>
          </w:rPr>
          <w:t>50/2016</w:t>
        </w:r>
      </w:hyperlink>
      <w:r>
        <w:t>, f. 1.</w:t>
      </w:r>
    </w:p>
    <w:p w:rsidR="0057104C" w:rsidRDefault="0057104C" w:rsidP="0057104C">
      <w:pPr>
        <w:pStyle w:val="TextoNormal"/>
      </w:pPr>
    </w:p>
    <w:p w:rsidR="0057104C" w:rsidRDefault="0057104C" w:rsidP="0057104C">
      <w:pPr>
        <w:pStyle w:val="SangriaFrancesaArticulo"/>
      </w:pPr>
      <w:bookmarkStart w:id="268" w:name="INDICE22844"/>
    </w:p>
    <w:bookmarkEnd w:id="268"/>
    <w:p w:rsidR="0057104C" w:rsidRDefault="0057104C" w:rsidP="0057104C">
      <w:pPr>
        <w:pStyle w:val="TextoIndiceNivel2"/>
        <w:suppressAutoHyphens/>
      </w:pPr>
      <w:r>
        <w:t>C) Cortes Generales</w:t>
      </w:r>
    </w:p>
    <w:p w:rsidR="0057104C" w:rsidRDefault="0057104C" w:rsidP="0057104C">
      <w:pPr>
        <w:pStyle w:val="TextoIndiceNivel2"/>
      </w:pPr>
    </w:p>
    <w:p w:rsidR="0057104C" w:rsidRDefault="0057104C" w:rsidP="0057104C">
      <w:pPr>
        <w:pStyle w:val="TextoNormalNegritaCursivandice"/>
      </w:pPr>
      <w:r>
        <w:t>Reglamento del Congreso de los Diputados, de 10 de febrero de 1982</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3" w:history="1">
        <w:r w:rsidRPr="0057104C">
          <w:rPr>
            <w:rStyle w:val="TextoNormalCaracter"/>
          </w:rPr>
          <w:t>83/2016</w:t>
        </w:r>
      </w:hyperlink>
      <w:r>
        <w:t>, f. 8.</w:t>
      </w:r>
    </w:p>
    <w:p w:rsidR="0057104C" w:rsidRDefault="0057104C" w:rsidP="0057104C">
      <w:pPr>
        <w:pStyle w:val="SangriaFrancesaArticulo"/>
      </w:pPr>
      <w:r w:rsidRPr="0057104C">
        <w:rPr>
          <w:rStyle w:val="TextoNormalNegritaCaracter"/>
        </w:rPr>
        <w:t>Artículo 162.</w:t>
      </w:r>
      <w:r w:rsidRPr="0057104C">
        <w:rPr>
          <w:rStyle w:val="TextoNormalCaracter"/>
        </w:rPr>
        <w:t>-</w:t>
      </w:r>
      <w:r>
        <w:t xml:space="preserve"> Sentencia </w:t>
      </w:r>
      <w:hyperlink w:anchor="SENTENCIA_2016_83" w:history="1">
        <w:r w:rsidRPr="0057104C">
          <w:rPr>
            <w:rStyle w:val="TextoNormalCaracter"/>
          </w:rPr>
          <w:t>83/2016</w:t>
        </w:r>
      </w:hyperlink>
      <w:r>
        <w:t>, f. 8.</w:t>
      </w:r>
    </w:p>
    <w:p w:rsidR="0057104C" w:rsidRDefault="0057104C" w:rsidP="0057104C">
      <w:pPr>
        <w:pStyle w:val="SangriaFrancesaArticulo"/>
      </w:pPr>
      <w:r w:rsidRPr="0057104C">
        <w:rPr>
          <w:rStyle w:val="TextoNormalNegritaCaracter"/>
        </w:rPr>
        <w:t>Artículo 165.</w:t>
      </w:r>
      <w:r w:rsidRPr="0057104C">
        <w:rPr>
          <w:rStyle w:val="TextoNormalCaracter"/>
        </w:rPr>
        <w:t>-</w:t>
      </w:r>
      <w:r>
        <w:t xml:space="preserve"> Sentencia </w:t>
      </w:r>
      <w:hyperlink w:anchor="SENTENCIA_2016_83" w:history="1">
        <w:r w:rsidRPr="0057104C">
          <w:rPr>
            <w:rStyle w:val="TextoNormalCaracter"/>
          </w:rPr>
          <w:t>83/2016</w:t>
        </w:r>
      </w:hyperlink>
      <w:r>
        <w:t>, f. 8.</w:t>
      </w:r>
    </w:p>
    <w:p w:rsidR="0057104C" w:rsidRDefault="0057104C" w:rsidP="0057104C">
      <w:pPr>
        <w:pStyle w:val="SangriaFrancesaArticulo"/>
      </w:pPr>
    </w:p>
    <w:p w:rsidR="0057104C" w:rsidRDefault="0057104C" w:rsidP="0057104C">
      <w:pPr>
        <w:pStyle w:val="TextoNormalNegritaCursivandice"/>
      </w:pPr>
      <w:r>
        <w:t>Ley 23/2002, de 1 de julio. Régimen de cesión de tributos del Estado a la Comunidad Autónoma de la Región de Murcia y de fijación del alcance y condiciones de dicha cesión</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25" w:history="1">
        <w:r w:rsidRPr="0057104C">
          <w:rPr>
            <w:rStyle w:val="TextoNormalCaracter"/>
          </w:rPr>
          <w:t>25/2016</w:t>
        </w:r>
      </w:hyperlink>
      <w:r>
        <w:t>, f. 2.</w:t>
      </w:r>
    </w:p>
    <w:p w:rsidR="0057104C" w:rsidRDefault="0057104C" w:rsidP="0057104C">
      <w:pPr>
        <w:pStyle w:val="SangriaFrancesaArticulo"/>
      </w:pPr>
    </w:p>
    <w:p w:rsidR="0057104C" w:rsidRDefault="0057104C" w:rsidP="0057104C">
      <w:pPr>
        <w:pStyle w:val="TextoNormalNegritaCursivandice"/>
      </w:pPr>
      <w:r>
        <w:t>Ley 55/2007, de 28 de diciembre. Cine</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35" w:history="1">
        <w:r w:rsidRPr="0057104C">
          <w:rPr>
            <w:rStyle w:val="TextoNormalCaracter"/>
          </w:rPr>
          <w:t>35/2016</w:t>
        </w:r>
      </w:hyperlink>
      <w:r>
        <w:t>, f. 5.</w:t>
      </w:r>
    </w:p>
    <w:p w:rsidR="0057104C" w:rsidRDefault="0057104C" w:rsidP="0057104C">
      <w:pPr>
        <w:pStyle w:val="SangriaFrancesaArticulo"/>
      </w:pPr>
    </w:p>
    <w:p w:rsidR="0057104C" w:rsidRDefault="0057104C" w:rsidP="0057104C">
      <w:pPr>
        <w:pStyle w:val="TextoNormalNegritaCursivandice"/>
      </w:pPr>
      <w:r>
        <w:t>Ley 17/2010, de 16 de julio. Régimen de cesión de tributos del Estado a la Comunidad Autónoma de Galicia y de fijación del alcance y condiciones de dicha cesión</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3" w:history="1">
        <w:r w:rsidRPr="0057104C">
          <w:rPr>
            <w:rStyle w:val="TextoNormalCaracter"/>
          </w:rPr>
          <w:t>33/2016</w:t>
        </w:r>
      </w:hyperlink>
      <w:r>
        <w:t>, f. 5.</w:t>
      </w:r>
    </w:p>
    <w:p w:rsidR="0057104C" w:rsidRDefault="0057104C" w:rsidP="0057104C">
      <w:pPr>
        <w:pStyle w:val="SangriaFrancesaArticulo"/>
      </w:pPr>
    </w:p>
    <w:p w:rsidR="0057104C" w:rsidRDefault="0057104C" w:rsidP="0057104C">
      <w:pPr>
        <w:pStyle w:val="TextoNormalNegritaCursivandice"/>
      </w:pPr>
      <w:r>
        <w:t>Resolución de 17 de mayo de 2012, del Congreso de los Diputados.  Se ordena la publicación del Acuerdo de convalidación del Real Decreto-ley 14/2012, de 20 de abril, de medidas urgentes de racionalización del gasto público en el ámbito educativo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67" w:history="1">
        <w:r w:rsidRPr="0057104C">
          <w:rPr>
            <w:rStyle w:val="TextoNormalCaracter"/>
          </w:rPr>
          <w:t>67/2016</w:t>
        </w:r>
      </w:hyperlink>
      <w:r>
        <w:t xml:space="preserve">; </w:t>
      </w:r>
      <w:hyperlink w:anchor="SENTENCIA_2016_68" w:history="1">
        <w:r w:rsidRPr="0057104C">
          <w:rPr>
            <w:rStyle w:val="TextoNormalCaracter"/>
          </w:rPr>
          <w:t>68/2016</w:t>
        </w:r>
      </w:hyperlink>
      <w:r>
        <w:t xml:space="preserve">, f. 1; </w:t>
      </w:r>
      <w:hyperlink w:anchor="SENTENCIA_2016_84" w:history="1">
        <w:r w:rsidRPr="0057104C">
          <w:rPr>
            <w:rStyle w:val="TextoNormalCaracter"/>
          </w:rPr>
          <w:t>84/2016</w:t>
        </w:r>
      </w:hyperlink>
      <w:r>
        <w:t>, f. 1.</w:t>
      </w:r>
    </w:p>
    <w:p w:rsidR="0057104C" w:rsidRDefault="0057104C" w:rsidP="0057104C">
      <w:pPr>
        <w:pStyle w:val="TextoNormal"/>
      </w:pPr>
    </w:p>
    <w:p w:rsidR="0057104C" w:rsidRDefault="0057104C" w:rsidP="0057104C">
      <w:pPr>
        <w:pStyle w:val="SangriaFrancesaArticulo"/>
      </w:pPr>
      <w:bookmarkStart w:id="269" w:name="INDICE22845"/>
    </w:p>
    <w:bookmarkEnd w:id="269"/>
    <w:p w:rsidR="0057104C" w:rsidRDefault="0057104C" w:rsidP="0057104C">
      <w:pPr>
        <w:pStyle w:val="TextoIndiceNivel2"/>
        <w:suppressAutoHyphens/>
      </w:pPr>
      <w:r>
        <w:t>D) Leyes Orgánicas</w:t>
      </w:r>
    </w:p>
    <w:p w:rsidR="0057104C" w:rsidRDefault="0057104C" w:rsidP="0057104C">
      <w:pPr>
        <w:pStyle w:val="TextoIndiceNivel2"/>
      </w:pPr>
    </w:p>
    <w:p w:rsidR="0057104C" w:rsidRDefault="0057104C" w:rsidP="0057104C">
      <w:pPr>
        <w:pStyle w:val="TextoNormalNegritaCursivandice"/>
      </w:pPr>
      <w:r>
        <w:t>Ley Orgánica 8/1980, de 22 de septiembre. Financiación de las Comunidades Autónomas</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101" w:history="1">
        <w:r w:rsidRPr="0057104C">
          <w:rPr>
            <w:rStyle w:val="TextoNormalCaracter"/>
          </w:rPr>
          <w:t>101/2016</w:t>
        </w:r>
      </w:hyperlink>
      <w:r>
        <w:t>, f. 9.</w:t>
      </w:r>
    </w:p>
    <w:p w:rsidR="0057104C" w:rsidRDefault="0057104C" w:rsidP="0057104C">
      <w:pPr>
        <w:pStyle w:val="SangriaFrancesaArticulo"/>
      </w:pPr>
      <w:r w:rsidRPr="0057104C">
        <w:rPr>
          <w:rStyle w:val="TextoNormalNegritaCaracter"/>
        </w:rPr>
        <w:t>Artículo 2.1 b).</w:t>
      </w:r>
      <w:r w:rsidRPr="0057104C">
        <w:rPr>
          <w:rStyle w:val="TextoNormalCaracter"/>
        </w:rPr>
        <w:t>-</w:t>
      </w:r>
      <w:r>
        <w:t xml:space="preserve"> Sentencias </w:t>
      </w:r>
      <w:hyperlink w:anchor="SENTENCIA_2016_18" w:history="1">
        <w:r w:rsidRPr="0057104C">
          <w:rPr>
            <w:rStyle w:val="TextoNormalCaracter"/>
          </w:rPr>
          <w:t>18/2016</w:t>
        </w:r>
      </w:hyperlink>
      <w:r>
        <w:t xml:space="preserve">, f. 6; </w:t>
      </w:r>
      <w:hyperlink w:anchor="SENTENCIA_2016_26" w:history="1">
        <w:r w:rsidRPr="0057104C">
          <w:rPr>
            <w:rStyle w:val="TextoNormalCaracter"/>
          </w:rPr>
          <w:t>26/2016</w:t>
        </w:r>
      </w:hyperlink>
      <w:r>
        <w:t>, f. 7.</w:t>
      </w:r>
    </w:p>
    <w:p w:rsidR="0057104C" w:rsidRDefault="0057104C" w:rsidP="0057104C">
      <w:pPr>
        <w:pStyle w:val="SangriaFrancesaArticulo"/>
      </w:pPr>
      <w:r w:rsidRPr="0057104C">
        <w:rPr>
          <w:rStyle w:val="TextoNormalNegritaCaracter"/>
        </w:rPr>
        <w:t>Artículo 2.1 c).</w:t>
      </w:r>
      <w:r w:rsidRPr="0057104C">
        <w:rPr>
          <w:rStyle w:val="TextoNormalCaracter"/>
        </w:rPr>
        <w:t>-</w:t>
      </w:r>
      <w:r>
        <w:t xml:space="preserve"> Sentencia </w:t>
      </w:r>
      <w:hyperlink w:anchor="SENTENCIA_2016_101" w:history="1">
        <w:r w:rsidRPr="0057104C">
          <w:rPr>
            <w:rStyle w:val="TextoNormalCaracter"/>
          </w:rPr>
          <w:t>101/2016</w:t>
        </w:r>
      </w:hyperlink>
      <w:r>
        <w:t>, f. 9.</w:t>
      </w:r>
    </w:p>
    <w:p w:rsidR="0057104C" w:rsidRDefault="0057104C" w:rsidP="0057104C">
      <w:pPr>
        <w:pStyle w:val="SangriaFrancesaArticulo"/>
      </w:pPr>
      <w:r w:rsidRPr="0057104C">
        <w:rPr>
          <w:rStyle w:val="TextoNormalNegritaCaracter"/>
        </w:rPr>
        <w:t>Artículo 2.1 f).</w:t>
      </w:r>
      <w:r w:rsidRPr="0057104C">
        <w:rPr>
          <w:rStyle w:val="TextoNormalCaracter"/>
        </w:rPr>
        <w:t>-</w:t>
      </w:r>
      <w:r>
        <w:t xml:space="preserve"> Sentencia </w:t>
      </w:r>
      <w:hyperlink w:anchor="SENTENCIA_2016_101" w:history="1">
        <w:r w:rsidRPr="0057104C">
          <w:rPr>
            <w:rStyle w:val="TextoNormalCaracter"/>
          </w:rPr>
          <w:t>101/2016</w:t>
        </w:r>
      </w:hyperlink>
      <w:r>
        <w:t>, ff. 1, 4, 7, 8.</w:t>
      </w:r>
    </w:p>
    <w:p w:rsidR="0057104C" w:rsidRDefault="0057104C" w:rsidP="0057104C">
      <w:pPr>
        <w:pStyle w:val="SangriaFrancesaArticulo"/>
      </w:pPr>
      <w:r w:rsidRPr="0057104C">
        <w:rPr>
          <w:rStyle w:val="TextoNormalNegritaCaracter"/>
        </w:rPr>
        <w:t>Artículo 2.1 g).</w:t>
      </w:r>
      <w:r w:rsidRPr="0057104C">
        <w:rPr>
          <w:rStyle w:val="TextoNormalCaracter"/>
        </w:rPr>
        <w:t>-</w:t>
      </w:r>
      <w:r>
        <w:t xml:space="preserve"> Sentencia </w:t>
      </w:r>
      <w:hyperlink w:anchor="SENTENCIA_2016_101" w:history="1">
        <w:r w:rsidRPr="0057104C">
          <w:rPr>
            <w:rStyle w:val="TextoNormalCaracter"/>
          </w:rPr>
          <w:t>101/2016</w:t>
        </w:r>
      </w:hyperlink>
      <w:r>
        <w:t>, ff. 1, 8, 9.</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74" w:history="1">
        <w:r w:rsidRPr="0057104C">
          <w:rPr>
            <w:rStyle w:val="TextoNormalCaracter"/>
          </w:rPr>
          <w:t>74/2016</w:t>
        </w:r>
      </w:hyperlink>
      <w:r>
        <w:t>, f. 2.</w:t>
      </w:r>
    </w:p>
    <w:p w:rsidR="0057104C" w:rsidRDefault="0057104C" w:rsidP="0057104C">
      <w:pPr>
        <w:pStyle w:val="SangriaFrancesaArticulo"/>
      </w:pPr>
      <w:r w:rsidRPr="0057104C">
        <w:rPr>
          <w:rStyle w:val="TextoNormalNegritaCaracter"/>
        </w:rPr>
        <w:t>Artículo 6.2.</w:t>
      </w:r>
      <w:r w:rsidRPr="0057104C">
        <w:rPr>
          <w:rStyle w:val="TextoNormalCaracter"/>
        </w:rPr>
        <w:t>-</w:t>
      </w:r>
      <w:r>
        <w:t xml:space="preserve"> Sentencia </w:t>
      </w:r>
      <w:hyperlink w:anchor="SENTENCIA_2016_74" w:history="1">
        <w:r w:rsidRPr="0057104C">
          <w:rPr>
            <w:rStyle w:val="TextoNormalCaracter"/>
          </w:rPr>
          <w:t>74/2016</w:t>
        </w:r>
      </w:hyperlink>
      <w:r>
        <w:t>, ff. 1 a 4, VP.</w:t>
      </w:r>
    </w:p>
    <w:p w:rsidR="0057104C" w:rsidRDefault="0057104C" w:rsidP="0057104C">
      <w:pPr>
        <w:pStyle w:val="SangriaFrancesaArticulo"/>
      </w:pPr>
      <w:r w:rsidRPr="0057104C">
        <w:rPr>
          <w:rStyle w:val="TextoNormalNegritaCaracter"/>
        </w:rPr>
        <w:t>Artículo 6.3.</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10.1.</w:t>
      </w:r>
      <w:r w:rsidRPr="0057104C">
        <w:rPr>
          <w:rStyle w:val="TextoNormalCaracter"/>
        </w:rPr>
        <w:t>-</w:t>
      </w:r>
      <w:r>
        <w:t xml:space="preserve"> Sentencia </w:t>
      </w:r>
      <w:hyperlink w:anchor="SENTENCIA_2016_25" w:history="1">
        <w:r w:rsidRPr="0057104C">
          <w:rPr>
            <w:rStyle w:val="TextoNormalCaracter"/>
          </w:rPr>
          <w:t>25/2016</w:t>
        </w:r>
      </w:hyperlink>
      <w:r>
        <w:t>, f. 2.</w:t>
      </w:r>
    </w:p>
    <w:p w:rsidR="0057104C" w:rsidRDefault="0057104C" w:rsidP="0057104C">
      <w:pPr>
        <w:pStyle w:val="SangriaFrancesaArticulo"/>
      </w:pPr>
      <w:r w:rsidRPr="0057104C">
        <w:rPr>
          <w:rStyle w:val="TextoNormalNegritaCaracter"/>
        </w:rPr>
        <w:t>Artículo 10.3.</w:t>
      </w:r>
      <w:r w:rsidRPr="0057104C">
        <w:rPr>
          <w:rStyle w:val="TextoNormalCaracter"/>
        </w:rPr>
        <w:t>-</w:t>
      </w:r>
      <w:r>
        <w:t xml:space="preserve"> Sentencias </w:t>
      </w:r>
      <w:hyperlink w:anchor="SENTENCIA_2016_25" w:history="1">
        <w:r w:rsidRPr="0057104C">
          <w:rPr>
            <w:rStyle w:val="TextoNormalCaracter"/>
          </w:rPr>
          <w:t>25/2016</w:t>
        </w:r>
      </w:hyperlink>
      <w:r>
        <w:t xml:space="preserve">, ff. 1, 2, 5; </w:t>
      </w:r>
      <w:hyperlink w:anchor="SENTENCIA_2016_33" w:history="1">
        <w:r w:rsidRPr="0057104C">
          <w:rPr>
            <w:rStyle w:val="TextoNormalCaracter"/>
          </w:rPr>
          <w:t>33/2016</w:t>
        </w:r>
      </w:hyperlink>
      <w:r>
        <w:t>, f. 4.</w:t>
      </w:r>
    </w:p>
    <w:p w:rsidR="0057104C" w:rsidRDefault="0057104C" w:rsidP="0057104C">
      <w:pPr>
        <w:pStyle w:val="SangriaFrancesaArticulo"/>
      </w:pPr>
      <w:r w:rsidRPr="0057104C">
        <w:rPr>
          <w:rStyle w:val="TextoNormalNegritaCaracter"/>
        </w:rPr>
        <w:t>Artículo 11 e).</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13.4.</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14.3.</w:t>
      </w:r>
      <w:r w:rsidRPr="0057104C">
        <w:rPr>
          <w:rStyle w:val="TextoNormalCaracter"/>
        </w:rPr>
        <w:t>-</w:t>
      </w:r>
      <w:r>
        <w:t xml:space="preserve"> Sentencia </w:t>
      </w:r>
      <w:hyperlink w:anchor="SENTENCIA_2016_101" w:history="1">
        <w:r w:rsidRPr="0057104C">
          <w:rPr>
            <w:rStyle w:val="TextoNormalCaracter"/>
          </w:rPr>
          <w:t>101/2016</w:t>
        </w:r>
      </w:hyperlink>
      <w:r>
        <w:t>, f. 2.</w:t>
      </w:r>
    </w:p>
    <w:p w:rsidR="0057104C" w:rsidRDefault="0057104C" w:rsidP="0057104C">
      <w:pPr>
        <w:pStyle w:val="SangriaFrancesaArticulo"/>
      </w:pPr>
      <w:r w:rsidRPr="0057104C">
        <w:rPr>
          <w:rStyle w:val="TextoNormalNegritaCaracter"/>
        </w:rPr>
        <w:t>Artículo 14.4.</w:t>
      </w:r>
      <w:r w:rsidRPr="0057104C">
        <w:rPr>
          <w:rStyle w:val="TextoNormalCaracter"/>
        </w:rPr>
        <w:t>-</w:t>
      </w:r>
      <w:r>
        <w:t xml:space="preserve"> Sentencia </w:t>
      </w:r>
      <w:hyperlink w:anchor="SENTENCIA_2016_101" w:history="1">
        <w:r w:rsidRPr="0057104C">
          <w:rPr>
            <w:rStyle w:val="TextoNormalCaracter"/>
          </w:rPr>
          <w:t>101/2016</w:t>
        </w:r>
      </w:hyperlink>
      <w:r>
        <w:t>, f. 2.</w:t>
      </w:r>
    </w:p>
    <w:p w:rsidR="0057104C" w:rsidRDefault="0057104C" w:rsidP="0057104C">
      <w:pPr>
        <w:pStyle w:val="SangriaFrancesaArticulo"/>
      </w:pPr>
      <w:r w:rsidRPr="0057104C">
        <w:rPr>
          <w:rStyle w:val="TextoNormalNegritaCaracter"/>
        </w:rPr>
        <w:t>Artículo 19.2.</w:t>
      </w:r>
      <w:r w:rsidRPr="0057104C">
        <w:rPr>
          <w:rStyle w:val="TextoNormalCaracter"/>
        </w:rPr>
        <w:t>-</w:t>
      </w:r>
      <w:r>
        <w:t xml:space="preserve"> Sentencias </w:t>
      </w:r>
      <w:hyperlink w:anchor="SENTENCIA_2016_25" w:history="1">
        <w:r w:rsidRPr="0057104C">
          <w:rPr>
            <w:rStyle w:val="TextoNormalCaracter"/>
          </w:rPr>
          <w:t>25/2016</w:t>
        </w:r>
      </w:hyperlink>
      <w:r>
        <w:t xml:space="preserve">, ff. 1, 2, 5; </w:t>
      </w:r>
      <w:hyperlink w:anchor="SENTENCIA_2016_33" w:history="1">
        <w:r w:rsidRPr="0057104C">
          <w:rPr>
            <w:rStyle w:val="TextoNormalCaracter"/>
          </w:rPr>
          <w:t>33/2016</w:t>
        </w:r>
      </w:hyperlink>
      <w:r>
        <w:t>, f. 4.</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21.1.</w:t>
      </w:r>
      <w:r w:rsidRPr="0057104C">
        <w:rPr>
          <w:rStyle w:val="TextoNormalCaracter"/>
        </w:rPr>
        <w:t>-</w:t>
      </w:r>
      <w:r>
        <w:t xml:space="preserve"> Autos </w:t>
      </w:r>
      <w:hyperlink w:anchor="AUTO_2016_84" w:history="1">
        <w:r w:rsidRPr="0057104C">
          <w:rPr>
            <w:rStyle w:val="TextoNormalCaracter"/>
          </w:rPr>
          <w:t>84/2016</w:t>
        </w:r>
      </w:hyperlink>
      <w:r>
        <w:t xml:space="preserve">, f. 7; </w:t>
      </w:r>
      <w:hyperlink w:anchor="AUTO_2016_103" w:history="1">
        <w:r w:rsidRPr="0057104C">
          <w:rPr>
            <w:rStyle w:val="TextoNormalCaracter"/>
          </w:rPr>
          <w:t>103/2016</w:t>
        </w:r>
      </w:hyperlink>
      <w:r>
        <w:t xml:space="preserve">, f. 7; </w:t>
      </w:r>
      <w:hyperlink w:anchor="AUTO_2016_132" w:history="1">
        <w:r w:rsidRPr="0057104C">
          <w:rPr>
            <w:rStyle w:val="TextoNormalCaracter"/>
          </w:rPr>
          <w:t>132/2016</w:t>
        </w:r>
      </w:hyperlink>
      <w:r>
        <w:t>, f. 8.</w:t>
      </w:r>
    </w:p>
    <w:p w:rsidR="0057104C" w:rsidRDefault="0057104C" w:rsidP="0057104C">
      <w:pPr>
        <w:pStyle w:val="SangriaFrancesaArticulo"/>
      </w:pPr>
      <w:r w:rsidRPr="0057104C">
        <w:rPr>
          <w:rStyle w:val="TextoNormalNegritaCaracter"/>
        </w:rPr>
        <w:t>Disposición adicional segunda.</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Disposición adicional quinta.</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Disposición adicional octava, apartado 4.</w:t>
      </w:r>
      <w:r w:rsidRPr="0057104C">
        <w:rPr>
          <w:rStyle w:val="TextoNormalCaracter"/>
        </w:rPr>
        <w:t>-</w:t>
      </w:r>
      <w:r>
        <w:t xml:space="preserve"> Sentencia </w:t>
      </w:r>
      <w:hyperlink w:anchor="SENTENCIA_2016_101" w:history="1">
        <w:r w:rsidRPr="0057104C">
          <w:rPr>
            <w:rStyle w:val="TextoNormalCaracter"/>
          </w:rPr>
          <w:t>101/2016</w:t>
        </w:r>
      </w:hyperlink>
      <w:r>
        <w:t>, VP I.</w:t>
      </w:r>
    </w:p>
    <w:p w:rsidR="0057104C" w:rsidRDefault="0057104C" w:rsidP="0057104C">
      <w:pPr>
        <w:pStyle w:val="SangriaFrancesaArticulo"/>
      </w:pPr>
      <w:r w:rsidRPr="0057104C">
        <w:rPr>
          <w:rStyle w:val="TextoNormalNegritaCaracter"/>
        </w:rPr>
        <w:t>Disposición adicional octava, apartado 5.</w:t>
      </w:r>
      <w:r w:rsidRPr="0057104C">
        <w:rPr>
          <w:rStyle w:val="TextoNormalCaracter"/>
        </w:rPr>
        <w:t>-</w:t>
      </w:r>
      <w:r>
        <w:t xml:space="preserve"> Sentencia </w:t>
      </w:r>
      <w:hyperlink w:anchor="SENTENCIA_2016_101" w:history="1">
        <w:r w:rsidRPr="0057104C">
          <w:rPr>
            <w:rStyle w:val="TextoNormalCaracter"/>
          </w:rPr>
          <w:t>101/2016</w:t>
        </w:r>
      </w:hyperlink>
      <w:r>
        <w:t>, VP I.</w:t>
      </w:r>
    </w:p>
    <w:p w:rsidR="0057104C" w:rsidRDefault="0057104C" w:rsidP="0057104C">
      <w:pPr>
        <w:pStyle w:val="SangriaFrancesaArticulo"/>
      </w:pPr>
      <w:r w:rsidRPr="0057104C">
        <w:rPr>
          <w:rStyle w:val="TextoNormalNegritaCaracter"/>
        </w:rPr>
        <w:t>Disposición adicional octava</w:t>
      </w:r>
      <w:r>
        <w:t xml:space="preserve"> (redactada por la Ley 2/2012, de 27 de abril)</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Disposición adicional octava, apartado 1</w:t>
      </w:r>
      <w:r>
        <w:t xml:space="preserve"> (redactada por la Ley 2/2012, de 27 de abril)</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Disposición adicional octava, apartado 2</w:t>
      </w:r>
      <w:r>
        <w:t xml:space="preserve"> (redactada por la Ley 2/2012, de 27 de abril)</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Disposición adicional octava, apartado 3</w:t>
      </w:r>
      <w:r>
        <w:t xml:space="preserve"> (redactada por la Ley Orgánica 8/2013, de 9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Disposición adicional octava, apartado 3</w:t>
      </w:r>
      <w:r>
        <w:t xml:space="preserve"> (redactado por la Ley Orgánica 9/2013, de 20 de diciembre)</w:t>
      </w:r>
      <w:r w:rsidRPr="0057104C">
        <w:rPr>
          <w:rStyle w:val="TextoNormalNegritaCaracter"/>
        </w:rPr>
        <w:t>.</w:t>
      </w:r>
      <w:r w:rsidRPr="0057104C">
        <w:rPr>
          <w:rStyle w:val="TextoNormalCaracter"/>
        </w:rPr>
        <w:t>-</w:t>
      </w:r>
      <w:r>
        <w:t xml:space="preserve"> Sentencia </w:t>
      </w:r>
      <w:hyperlink w:anchor="SENTENCIA_2016_101" w:history="1">
        <w:r w:rsidRPr="0057104C">
          <w:rPr>
            <w:rStyle w:val="TextoNormalCaracter"/>
          </w:rPr>
          <w:t>101/2016</w:t>
        </w:r>
      </w:hyperlink>
      <w:r>
        <w:t>, ff. 3, 6, 12.</w:t>
      </w:r>
    </w:p>
    <w:p w:rsidR="0057104C" w:rsidRDefault="0057104C" w:rsidP="0057104C">
      <w:pPr>
        <w:pStyle w:val="SangriaFrancesaArticulo"/>
      </w:pPr>
      <w:r w:rsidRPr="0057104C">
        <w:rPr>
          <w:rStyle w:val="TextoNormalNegritaCaracter"/>
        </w:rPr>
        <w:t>Disposición adicional octava, apartado 4</w:t>
      </w:r>
      <w:r>
        <w:t xml:space="preserve"> (redactada por la Ley Orgánica 9/2013, de 20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Disposición adicional octava, apartado 5</w:t>
      </w:r>
      <w:r>
        <w:t xml:space="preserve"> (redactada por la Ley Orgánica 6/2015, de 12 de junio)</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Disposición transitoria cuarta.</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Disposición transitoria sexta.</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p>
    <w:p w:rsidR="0057104C" w:rsidRDefault="0057104C" w:rsidP="0057104C">
      <w:pPr>
        <w:pStyle w:val="TextoNormalNegritaCursivandice"/>
      </w:pPr>
      <w:r>
        <w:t>Ley Orgánica 4/1981, de 1 de junio. Estados de alarma, excepción y sitio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83" w:history="1">
        <w:r w:rsidRPr="0057104C">
          <w:rPr>
            <w:rStyle w:val="TextoNormalCaracter"/>
          </w:rPr>
          <w:t>83/2016</w:t>
        </w:r>
      </w:hyperlink>
      <w:r>
        <w:t xml:space="preserve">, ff. 7, 9, 10; </w:t>
      </w:r>
      <w:hyperlink w:anchor="SENTENCIA_2016_87" w:history="1">
        <w:r w:rsidRPr="0057104C">
          <w:rPr>
            <w:rStyle w:val="TextoNormalCaracter"/>
          </w:rPr>
          <w:t>87/2016</w:t>
        </w:r>
      </w:hyperlink>
      <w:r>
        <w:t>, f. 5.</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83" w:history="1">
        <w:r w:rsidRPr="0057104C">
          <w:rPr>
            <w:rStyle w:val="TextoNormalCaracter"/>
          </w:rPr>
          <w:t>83/2016</w:t>
        </w:r>
      </w:hyperlink>
      <w:r>
        <w:t>, ff. 7, 9.</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83" w:history="1">
        <w:r w:rsidRPr="0057104C">
          <w:rPr>
            <w:rStyle w:val="TextoNormalCaracter"/>
          </w:rPr>
          <w:t>83/2016</w:t>
        </w:r>
      </w:hyperlink>
      <w:r>
        <w:t>, f. 7.</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83" w:history="1">
        <w:r w:rsidRPr="0057104C">
          <w:rPr>
            <w:rStyle w:val="TextoNormalCaracter"/>
          </w:rPr>
          <w:t>83/2016</w:t>
        </w:r>
      </w:hyperlink>
      <w:r>
        <w:t>, f. 7.</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83" w:history="1">
        <w:r w:rsidRPr="0057104C">
          <w:rPr>
            <w:rStyle w:val="TextoNormalCaracter"/>
          </w:rPr>
          <w:t>83/2016</w:t>
        </w:r>
      </w:hyperlink>
      <w:r>
        <w:t>, f. 7.</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83" w:history="1">
        <w:r w:rsidRPr="0057104C">
          <w:rPr>
            <w:rStyle w:val="TextoNormalCaracter"/>
          </w:rPr>
          <w:t>83/2016</w:t>
        </w:r>
      </w:hyperlink>
      <w:r>
        <w:t>, ff. 7, 11.</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83" w:history="1">
        <w:r w:rsidRPr="0057104C">
          <w:rPr>
            <w:rStyle w:val="TextoNormalCaracter"/>
          </w:rPr>
          <w:t>83/2016</w:t>
        </w:r>
      </w:hyperlink>
      <w:r>
        <w:t>, ff. 8, 10.</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83" w:history="1">
        <w:r w:rsidRPr="0057104C">
          <w:rPr>
            <w:rStyle w:val="TextoNormalCaracter"/>
          </w:rPr>
          <w:t>83/2016</w:t>
        </w:r>
      </w:hyperlink>
      <w:r>
        <w:t>, ff. 8, 10.</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83" w:history="1">
        <w:r w:rsidRPr="0057104C">
          <w:rPr>
            <w:rStyle w:val="TextoNormalCaracter"/>
          </w:rPr>
          <w:t>83/2016</w:t>
        </w:r>
      </w:hyperlink>
      <w:r>
        <w:t>, f. 8.</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83" w:history="1">
        <w:r w:rsidRPr="0057104C">
          <w:rPr>
            <w:rStyle w:val="TextoNormalCaracter"/>
          </w:rPr>
          <w:t>83/2016</w:t>
        </w:r>
      </w:hyperlink>
      <w:r>
        <w:t>, f. 8.</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83" w:history="1">
        <w:r w:rsidRPr="0057104C">
          <w:rPr>
            <w:rStyle w:val="TextoNormalCaracter"/>
          </w:rPr>
          <w:t>83/2016</w:t>
        </w:r>
      </w:hyperlink>
      <w:r>
        <w:t>, f. 8.</w:t>
      </w:r>
    </w:p>
    <w:p w:rsidR="0057104C" w:rsidRDefault="0057104C" w:rsidP="0057104C">
      <w:pPr>
        <w:pStyle w:val="SangriaFrancesaArticulo"/>
      </w:pPr>
      <w:r w:rsidRPr="0057104C">
        <w:rPr>
          <w:rStyle w:val="TextoNormalNegritaCaracter"/>
        </w:rPr>
        <w:t>Artículos 9 a 12.</w:t>
      </w:r>
      <w:r w:rsidRPr="0057104C">
        <w:rPr>
          <w:rStyle w:val="TextoNormalCaracter"/>
        </w:rPr>
        <w:t>-</w:t>
      </w:r>
      <w:r>
        <w:t xml:space="preserve"> Sentencia </w:t>
      </w:r>
      <w:hyperlink w:anchor="SENTENCIA_2016_83" w:history="1">
        <w:r w:rsidRPr="0057104C">
          <w:rPr>
            <w:rStyle w:val="TextoNormalCaracter"/>
          </w:rPr>
          <w:t>83/2016</w:t>
        </w:r>
      </w:hyperlink>
      <w:r>
        <w:t>, f. 9.</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83" w:history="1">
        <w:r w:rsidRPr="0057104C">
          <w:rPr>
            <w:rStyle w:val="TextoNormalCaracter"/>
          </w:rPr>
          <w:t>83/2016</w:t>
        </w:r>
      </w:hyperlink>
      <w:r>
        <w:t>, f. 8.</w:t>
      </w:r>
    </w:p>
    <w:p w:rsidR="0057104C" w:rsidRDefault="0057104C" w:rsidP="0057104C">
      <w:pPr>
        <w:pStyle w:val="SangriaFrancesaArticulo"/>
      </w:pPr>
      <w:r w:rsidRPr="0057104C">
        <w:rPr>
          <w:rStyle w:val="TextoNormalNegritaCaracter"/>
        </w:rPr>
        <w:t>Artículos 16 a 30.</w:t>
      </w:r>
      <w:r w:rsidRPr="0057104C">
        <w:rPr>
          <w:rStyle w:val="TextoNormalCaracter"/>
        </w:rPr>
        <w:t>-</w:t>
      </w:r>
      <w:r>
        <w:t xml:space="preserve"> Sentencia </w:t>
      </w:r>
      <w:hyperlink w:anchor="SENTENCIA_2016_83" w:history="1">
        <w:r w:rsidRPr="0057104C">
          <w:rPr>
            <w:rStyle w:val="TextoNormalCaracter"/>
          </w:rPr>
          <w:t>83/2016</w:t>
        </w:r>
      </w:hyperlink>
      <w:r>
        <w:t>, f. 9.</w:t>
      </w:r>
    </w:p>
    <w:p w:rsidR="0057104C" w:rsidRDefault="0057104C" w:rsidP="0057104C">
      <w:pPr>
        <w:pStyle w:val="SangriaFrancesaArticulo"/>
      </w:pPr>
      <w:r w:rsidRPr="0057104C">
        <w:rPr>
          <w:rStyle w:val="TextoNormalNegritaCaracter"/>
        </w:rPr>
        <w:t>Artículos 32 a 36.</w:t>
      </w:r>
      <w:r w:rsidRPr="0057104C">
        <w:rPr>
          <w:rStyle w:val="TextoNormalCaracter"/>
        </w:rPr>
        <w:t>-</w:t>
      </w:r>
      <w:r>
        <w:t xml:space="preserve"> Sentencia </w:t>
      </w:r>
      <w:hyperlink w:anchor="SENTENCIA_2016_83" w:history="1">
        <w:r w:rsidRPr="0057104C">
          <w:rPr>
            <w:rStyle w:val="TextoNormalCaracter"/>
          </w:rPr>
          <w:t>83/2016</w:t>
        </w:r>
      </w:hyperlink>
      <w:r>
        <w:t>, f. 9.</w:t>
      </w:r>
    </w:p>
    <w:p w:rsidR="0057104C" w:rsidRDefault="0057104C" w:rsidP="0057104C">
      <w:pPr>
        <w:pStyle w:val="SangriaFrancesaArticulo"/>
      </w:pPr>
    </w:p>
    <w:p w:rsidR="0057104C" w:rsidRDefault="0057104C" w:rsidP="0057104C">
      <w:pPr>
        <w:pStyle w:val="TextoNormalNegritaCursivandice"/>
      </w:pPr>
      <w:r>
        <w:t>Ley Orgánica 2/1982, de 12 de mayo. Tribunal de Cuentas</w:t>
      </w:r>
    </w:p>
    <w:p w:rsidR="0057104C" w:rsidRDefault="0057104C" w:rsidP="0057104C">
      <w:pPr>
        <w:pStyle w:val="SangriaFrancesaArticulo"/>
      </w:pPr>
      <w:r w:rsidRPr="0057104C">
        <w:rPr>
          <w:rStyle w:val="TextoNormalNegritaCaracter"/>
        </w:rPr>
        <w:t>Artículo 4.1 c).</w:t>
      </w:r>
      <w:r w:rsidRPr="0057104C">
        <w:rPr>
          <w:rStyle w:val="TextoNormalCaracter"/>
        </w:rPr>
        <w:t>-</w:t>
      </w:r>
      <w:r>
        <w:t xml:space="preserve"> Sentencia </w:t>
      </w:r>
      <w:hyperlink w:anchor="SENTENCIA_2016_111" w:history="1">
        <w:r w:rsidRPr="0057104C">
          <w:rPr>
            <w:rStyle w:val="TextoNormalCaracter"/>
          </w:rPr>
          <w:t>111/2016</w:t>
        </w:r>
      </w:hyperlink>
      <w:r>
        <w:t>, f. 5.</w:t>
      </w:r>
    </w:p>
    <w:p w:rsidR="0057104C" w:rsidRDefault="0057104C" w:rsidP="0057104C">
      <w:pPr>
        <w:pStyle w:val="SangriaFrancesaArticulo"/>
      </w:pPr>
    </w:p>
    <w:p w:rsidR="0057104C" w:rsidRDefault="0057104C" w:rsidP="0057104C">
      <w:pPr>
        <w:pStyle w:val="TextoNormalNegritaCursivandice"/>
      </w:pPr>
      <w:r>
        <w:t>Ley Orgánica 12/1982, de 10 de agosto. Transferencia a la Comunidad Valenciana de competencias en materia de titularidad estatal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82" w:history="1">
        <w:r w:rsidRPr="0057104C">
          <w:rPr>
            <w:rStyle w:val="TextoNormalCaracter"/>
          </w:rPr>
          <w:t>82/2016</w:t>
        </w:r>
      </w:hyperlink>
      <w:r>
        <w:t xml:space="preserve">, ff. 1, 3; </w:t>
      </w:r>
      <w:hyperlink w:anchor="SENTENCIA_2016_110" w:history="1">
        <w:r w:rsidRPr="0057104C">
          <w:rPr>
            <w:rStyle w:val="TextoNormalCaracter"/>
          </w:rPr>
          <w:t>110/2016</w:t>
        </w:r>
      </w:hyperlink>
      <w:r>
        <w:t>, ff. 1, 4.</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82" w:history="1">
        <w:r w:rsidRPr="0057104C">
          <w:rPr>
            <w:rStyle w:val="TextoNormalCaracter"/>
          </w:rPr>
          <w:t>82/2016</w:t>
        </w:r>
      </w:hyperlink>
      <w:r>
        <w:t>, f. 3.</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82" w:history="1">
        <w:r w:rsidRPr="0057104C">
          <w:rPr>
            <w:rStyle w:val="TextoNormalCaracter"/>
          </w:rPr>
          <w:t>82/2016</w:t>
        </w:r>
      </w:hyperlink>
      <w:r>
        <w:t>, f. 3.</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82" w:history="1">
        <w:r w:rsidRPr="0057104C">
          <w:rPr>
            <w:rStyle w:val="TextoNormalCaracter"/>
          </w:rPr>
          <w:t>82/2016</w:t>
        </w:r>
      </w:hyperlink>
      <w:r>
        <w:t>, f. 3.</w:t>
      </w:r>
    </w:p>
    <w:p w:rsidR="0057104C" w:rsidRDefault="0057104C" w:rsidP="0057104C">
      <w:pPr>
        <w:pStyle w:val="SangriaFrancesaArticulo"/>
      </w:pPr>
    </w:p>
    <w:p w:rsidR="0057104C" w:rsidRDefault="0057104C" w:rsidP="0057104C">
      <w:pPr>
        <w:pStyle w:val="TextoNormalNegritaCursivandice"/>
      </w:pPr>
      <w:r>
        <w:t>Ley Orgánica 9/1983, de 15 de julio. Normas reguladoras del derecho de reunión</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69" w:history="1">
        <w:r w:rsidRPr="0057104C">
          <w:rPr>
            <w:rStyle w:val="TextoNormalCaracter"/>
          </w:rPr>
          <w:t>69/2016</w:t>
        </w:r>
      </w:hyperlink>
      <w:r>
        <w:t>, f. 3.</w:t>
      </w:r>
    </w:p>
    <w:p w:rsidR="0057104C" w:rsidRDefault="0057104C" w:rsidP="0057104C">
      <w:pPr>
        <w:pStyle w:val="SangriaFrancesaArticulo"/>
      </w:pPr>
    </w:p>
    <w:p w:rsidR="0057104C" w:rsidRDefault="0057104C" w:rsidP="0057104C">
      <w:pPr>
        <w:pStyle w:val="TextoNormalNegritaCursivandice"/>
      </w:pPr>
      <w:r>
        <w:t>Ley Orgánica 11/1983, de 25 de agosto. Reforma universitaria</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44" w:history="1">
        <w:r w:rsidRPr="0057104C">
          <w:rPr>
            <w:rStyle w:val="TextoNormalCaracter"/>
          </w:rPr>
          <w:t>44/2016</w:t>
        </w:r>
      </w:hyperlink>
      <w:r>
        <w:t>, f. 4.</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44" w:history="1">
        <w:r w:rsidRPr="0057104C">
          <w:rPr>
            <w:rStyle w:val="TextoNormalCaracter"/>
          </w:rPr>
          <w:t>44/2016</w:t>
        </w:r>
      </w:hyperlink>
      <w:r>
        <w:t>, f. 4.</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Sentencia </w:t>
      </w:r>
      <w:hyperlink w:anchor="SENTENCIA_2016_44" w:history="1">
        <w:r w:rsidRPr="0057104C">
          <w:rPr>
            <w:rStyle w:val="TextoNormalCaracter"/>
          </w:rPr>
          <w:t>44/2016</w:t>
        </w:r>
      </w:hyperlink>
      <w:r>
        <w:t>, f. 5.</w:t>
      </w:r>
    </w:p>
    <w:p w:rsidR="0057104C" w:rsidRDefault="0057104C" w:rsidP="0057104C">
      <w:pPr>
        <w:pStyle w:val="SangriaFrancesaArticulo"/>
      </w:pPr>
    </w:p>
    <w:p w:rsidR="0057104C" w:rsidRDefault="0057104C" w:rsidP="0057104C">
      <w:pPr>
        <w:pStyle w:val="TextoNormalNegritaCursivandice"/>
      </w:pPr>
      <w:r>
        <w:t>Proyecto de Ley Orgánica de libertad sindical (BOCG de 31 de julio de 1984)</w:t>
      </w:r>
    </w:p>
    <w:p w:rsidR="0057104C" w:rsidRDefault="0057104C" w:rsidP="0057104C">
      <w:pPr>
        <w:pStyle w:val="SangriaFrancesaArticulo"/>
      </w:pPr>
      <w:r w:rsidRPr="0057104C">
        <w:rPr>
          <w:rStyle w:val="TextoNormalNegritaCaracter"/>
        </w:rPr>
        <w:t>Artículo 2.1 d).</w:t>
      </w:r>
      <w:r w:rsidRPr="0057104C">
        <w:rPr>
          <w:rStyle w:val="TextoNormalCaracter"/>
        </w:rPr>
        <w:t>-</w:t>
      </w:r>
      <w:r>
        <w:t xml:space="preserve"> Sentencia </w:t>
      </w:r>
      <w:hyperlink w:anchor="SENTENCIA_2016_64" w:history="1">
        <w:r w:rsidRPr="0057104C">
          <w:rPr>
            <w:rStyle w:val="TextoNormalCaracter"/>
          </w:rPr>
          <w:t>64/2016</w:t>
        </w:r>
      </w:hyperlink>
      <w:r>
        <w:t>, f. 4.</w:t>
      </w:r>
    </w:p>
    <w:p w:rsidR="0057104C" w:rsidRDefault="0057104C" w:rsidP="0057104C">
      <w:pPr>
        <w:pStyle w:val="SangriaFrancesaArticulo"/>
      </w:pPr>
      <w:r w:rsidRPr="0057104C">
        <w:rPr>
          <w:rStyle w:val="TextoNormalNegritaCaracter"/>
        </w:rPr>
        <w:t>Artículo 2.2 d).</w:t>
      </w:r>
      <w:r w:rsidRPr="0057104C">
        <w:rPr>
          <w:rStyle w:val="TextoNormalCaracter"/>
        </w:rPr>
        <w:t>-</w:t>
      </w:r>
      <w:r>
        <w:t xml:space="preserve"> Sentencia </w:t>
      </w:r>
      <w:hyperlink w:anchor="SENTENCIA_2016_64" w:history="1">
        <w:r w:rsidRPr="0057104C">
          <w:rPr>
            <w:rStyle w:val="TextoNormalCaracter"/>
          </w:rPr>
          <w:t>64/2016</w:t>
        </w:r>
      </w:hyperlink>
      <w:r>
        <w:t>, f. 4.</w:t>
      </w:r>
    </w:p>
    <w:p w:rsidR="0057104C" w:rsidRDefault="0057104C" w:rsidP="0057104C">
      <w:pPr>
        <w:pStyle w:val="SangriaFrancesaArticulo"/>
      </w:pPr>
    </w:p>
    <w:p w:rsidR="0057104C" w:rsidRDefault="0057104C" w:rsidP="0057104C">
      <w:pPr>
        <w:pStyle w:val="TextoNormalNegritaCursivandice"/>
      </w:pPr>
      <w:r>
        <w:t>Ley Orgánica 8/1984, de 26 de diciembre. Regulación del régimen de recursos en caso de objeción de conciencia, su régimen penal y se deroga el artículo 45 de la Ley Orgánica 2/1979, de 3 de octubre, del Tribunal Constitucional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p>
    <w:p w:rsidR="0057104C" w:rsidRDefault="0057104C" w:rsidP="0057104C">
      <w:pPr>
        <w:pStyle w:val="TextoNormalNegritaCursivandice"/>
      </w:pPr>
      <w:r>
        <w:t>Ley Orgánica 5/1985, de 19 de junio. Régimen electoral general</w:t>
      </w:r>
    </w:p>
    <w:p w:rsidR="0057104C" w:rsidRDefault="0057104C" w:rsidP="0057104C">
      <w:pPr>
        <w:pStyle w:val="SangriaFrancesaArticulo"/>
      </w:pPr>
      <w:r w:rsidRPr="0057104C">
        <w:rPr>
          <w:rStyle w:val="TextoNormalNegritaCaracter"/>
        </w:rPr>
        <w:t>Artículo 49.</w:t>
      </w:r>
      <w:r w:rsidRPr="0057104C">
        <w:rPr>
          <w:rStyle w:val="TextoNormalCaracter"/>
        </w:rPr>
        <w:t>-</w:t>
      </w:r>
      <w:r>
        <w:t xml:space="preserve"> Sentencia </w:t>
      </w:r>
      <w:hyperlink w:anchor="SENTENCIA_2016_58" w:history="1">
        <w:r w:rsidRPr="0057104C">
          <w:rPr>
            <w:rStyle w:val="TextoNormalCaracter"/>
          </w:rPr>
          <w:t>58/2016</w:t>
        </w:r>
      </w:hyperlink>
      <w:r>
        <w:t>, f. 5.</w:t>
      </w:r>
    </w:p>
    <w:p w:rsidR="0057104C" w:rsidRDefault="0057104C" w:rsidP="0057104C">
      <w:pPr>
        <w:pStyle w:val="SangriaFrancesaArticulo"/>
      </w:pPr>
      <w:r w:rsidRPr="0057104C">
        <w:rPr>
          <w:rStyle w:val="TextoNormalNegritaCaracter"/>
        </w:rPr>
        <w:t>Artículo 109.</w:t>
      </w:r>
      <w:r w:rsidRPr="0057104C">
        <w:rPr>
          <w:rStyle w:val="TextoNormalCaracter"/>
        </w:rPr>
        <w:t>-</w:t>
      </w:r>
      <w:r>
        <w:t xml:space="preserve"> Sentencia </w:t>
      </w:r>
      <w:hyperlink w:anchor="SENTENCIA_2016_58" w:history="1">
        <w:r w:rsidRPr="0057104C">
          <w:rPr>
            <w:rStyle w:val="TextoNormalCaracter"/>
          </w:rPr>
          <w:t>58/2016</w:t>
        </w:r>
      </w:hyperlink>
      <w:r>
        <w:t>, f. 5.</w:t>
      </w:r>
    </w:p>
    <w:p w:rsidR="0057104C" w:rsidRDefault="0057104C" w:rsidP="0057104C">
      <w:pPr>
        <w:pStyle w:val="SangriaFrancesaArticulo"/>
      </w:pPr>
      <w:r w:rsidRPr="0057104C">
        <w:rPr>
          <w:rStyle w:val="TextoNormalNegritaCaracter"/>
        </w:rPr>
        <w:t>Artículo 196.</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197.</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197 bis.</w:t>
      </w:r>
      <w:r w:rsidRPr="0057104C">
        <w:rPr>
          <w:rStyle w:val="TextoNormalCaracter"/>
        </w:rPr>
        <w:t>-</w:t>
      </w:r>
      <w:r>
        <w:t xml:space="preserve"> Sentencia </w:t>
      </w:r>
      <w:hyperlink w:anchor="SENTENCIA_2016_111" w:history="1">
        <w:r w:rsidRPr="0057104C">
          <w:rPr>
            <w:rStyle w:val="TextoNormalCaracter"/>
          </w:rPr>
          <w:t>111/2016</w:t>
        </w:r>
      </w:hyperlink>
      <w:r>
        <w:t>, f. 8, VP.</w:t>
      </w:r>
    </w:p>
    <w:p w:rsidR="0057104C" w:rsidRDefault="0057104C" w:rsidP="0057104C">
      <w:pPr>
        <w:pStyle w:val="SangriaFrancesaArticulo"/>
      </w:pPr>
      <w:r w:rsidRPr="0057104C">
        <w:rPr>
          <w:rStyle w:val="TextoNormalNegritaCaracter"/>
        </w:rPr>
        <w:t>Artículos 202 a 209.</w:t>
      </w:r>
      <w:r w:rsidRPr="0057104C">
        <w:rPr>
          <w:rStyle w:val="TextoNormalCaracter"/>
        </w:rPr>
        <w:t>-</w:t>
      </w:r>
      <w:r>
        <w:t xml:space="preserve"> Sentencia </w:t>
      </w:r>
      <w:hyperlink w:anchor="SENTENCIA_2016_111" w:history="1">
        <w:r w:rsidRPr="0057104C">
          <w:rPr>
            <w:rStyle w:val="TextoNormalCaracter"/>
          </w:rPr>
          <w:t>111/2016</w:t>
        </w:r>
      </w:hyperlink>
      <w:r>
        <w:t>, ff. 9, 12.</w:t>
      </w:r>
    </w:p>
    <w:p w:rsidR="0057104C" w:rsidRDefault="0057104C" w:rsidP="0057104C">
      <w:pPr>
        <w:pStyle w:val="SangriaFrancesaArticulo"/>
      </w:pPr>
      <w:r w:rsidRPr="0057104C">
        <w:rPr>
          <w:rStyle w:val="TextoNormalNegritaCaracter"/>
        </w:rPr>
        <w:t>Artículo 207.</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207.4.</w:t>
      </w:r>
      <w:r w:rsidRPr="0057104C">
        <w:rPr>
          <w:rStyle w:val="TextoNormalCaracter"/>
        </w:rPr>
        <w:t>-</w:t>
      </w:r>
      <w:r>
        <w:t xml:space="preserve"> Sentencia </w:t>
      </w:r>
      <w:hyperlink w:anchor="SENTENCIA_2016_111" w:history="1">
        <w:r w:rsidRPr="0057104C">
          <w:rPr>
            <w:rStyle w:val="TextoNormalCaracter"/>
          </w:rPr>
          <w:t>111/2016</w:t>
        </w:r>
      </w:hyperlink>
      <w:r>
        <w:t>, f. 8, VP.</w:t>
      </w:r>
    </w:p>
    <w:p w:rsidR="0057104C" w:rsidRDefault="0057104C" w:rsidP="0057104C">
      <w:pPr>
        <w:pStyle w:val="SangriaFrancesaArticulo"/>
      </w:pPr>
    </w:p>
    <w:p w:rsidR="0057104C" w:rsidRDefault="0057104C" w:rsidP="0057104C">
      <w:pPr>
        <w:pStyle w:val="TextoNormalNegritaCursivandice"/>
      </w:pPr>
      <w:r>
        <w:t>Ley Orgánica 6/1985, de 1 de julio. Poder judicial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Autos </w:t>
      </w:r>
      <w:hyperlink w:anchor="AUTO_2016_92" w:history="1">
        <w:r w:rsidRPr="0057104C">
          <w:rPr>
            <w:rStyle w:val="TextoNormalCaracter"/>
          </w:rPr>
          <w:t>92/2016</w:t>
        </w:r>
      </w:hyperlink>
      <w:r>
        <w:t xml:space="preserve">, f. único; </w:t>
      </w:r>
      <w:hyperlink w:anchor="AUTO_2016_94" w:history="1">
        <w:r w:rsidRPr="0057104C">
          <w:rPr>
            <w:rStyle w:val="TextoNormalCaracter"/>
          </w:rPr>
          <w:t>94/2016</w:t>
        </w:r>
      </w:hyperlink>
      <w:r>
        <w:t xml:space="preserve">, f. único; </w:t>
      </w:r>
      <w:hyperlink w:anchor="AUTO_2016_95" w:history="1">
        <w:r w:rsidRPr="0057104C">
          <w:rPr>
            <w:rStyle w:val="TextoNormalCaracter"/>
          </w:rPr>
          <w:t>95/2016</w:t>
        </w:r>
      </w:hyperlink>
      <w:r>
        <w:t xml:space="preserve">, f. único; </w:t>
      </w:r>
      <w:hyperlink w:anchor="AUTO_2016_96" w:history="1">
        <w:r w:rsidRPr="0057104C">
          <w:rPr>
            <w:rStyle w:val="TextoNormalCaracter"/>
          </w:rPr>
          <w:t>96/2016</w:t>
        </w:r>
      </w:hyperlink>
      <w:r>
        <w:t xml:space="preserve">, f. único; </w:t>
      </w:r>
      <w:hyperlink w:anchor="AUTO_2016_117" w:history="1">
        <w:r w:rsidRPr="0057104C">
          <w:rPr>
            <w:rStyle w:val="TextoNormalCaracter"/>
          </w:rPr>
          <w:t>117/2016</w:t>
        </w:r>
      </w:hyperlink>
      <w:r>
        <w:t xml:space="preserve">, f. único; </w:t>
      </w:r>
      <w:hyperlink w:anchor="AUTO_2016_119" w:history="1">
        <w:r w:rsidRPr="0057104C">
          <w:rPr>
            <w:rStyle w:val="TextoNormalCaracter"/>
          </w:rPr>
          <w:t>119/2016</w:t>
        </w:r>
      </w:hyperlink>
      <w:r>
        <w:t>, f. único.</w:t>
      </w:r>
    </w:p>
    <w:p w:rsidR="0057104C" w:rsidRDefault="0057104C" w:rsidP="0057104C">
      <w:pPr>
        <w:pStyle w:val="SangriaFrancesaArticulo"/>
      </w:pPr>
      <w:r w:rsidRPr="0057104C">
        <w:rPr>
          <w:rStyle w:val="TextoNormalNegritaCaracter"/>
        </w:rPr>
        <w:t>Artículo 5 bis</w:t>
      </w:r>
      <w:r>
        <w:t xml:space="preserve"> (redactado por la Ley Orgánica 7/2015, de 21 de julio)</w:t>
      </w:r>
      <w:r w:rsidRPr="0057104C">
        <w:rPr>
          <w:rStyle w:val="TextoNormalNegritaCaracter"/>
        </w:rPr>
        <w:t>.</w:t>
      </w:r>
      <w:r w:rsidRPr="0057104C">
        <w:rPr>
          <w:rStyle w:val="TextoNormalCaracter"/>
        </w:rPr>
        <w:t>-</w:t>
      </w:r>
      <w:r>
        <w:t xml:space="preserve"> Sentencia </w:t>
      </w:r>
      <w:hyperlink w:anchor="SENTENCIA_2016_65" w:history="1">
        <w:r w:rsidRPr="0057104C">
          <w:rPr>
            <w:rStyle w:val="TextoNormalCaracter"/>
          </w:rPr>
          <w:t>65/2016</w:t>
        </w:r>
      </w:hyperlink>
      <w:r>
        <w:t>, f. 4.</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Sentencias </w:t>
      </w:r>
      <w:hyperlink w:anchor="SENTENCIA_2016_39" w:history="1">
        <w:r w:rsidRPr="0057104C">
          <w:rPr>
            <w:rStyle w:val="TextoNormalCaracter"/>
          </w:rPr>
          <w:t>39/2016</w:t>
        </w:r>
      </w:hyperlink>
      <w:r>
        <w:t xml:space="preserve">, VPI; </w:t>
      </w:r>
      <w:hyperlink w:anchor="SENTENCIA_2016_51" w:history="1">
        <w:r w:rsidRPr="0057104C">
          <w:rPr>
            <w:rStyle w:val="TextoNormalCaracter"/>
          </w:rPr>
          <w:t>51/2016</w:t>
        </w:r>
      </w:hyperlink>
      <w:r>
        <w:t xml:space="preserve">, f. 2; </w:t>
      </w:r>
      <w:hyperlink w:anchor="SENTENCIA_2016_92" w:history="1">
        <w:r w:rsidRPr="0057104C">
          <w:rPr>
            <w:rStyle w:val="TextoNormalCaracter"/>
          </w:rPr>
          <w:t>92/2016</w:t>
        </w:r>
      </w:hyperlink>
      <w:r>
        <w:t xml:space="preserve">, f. 2; </w:t>
      </w:r>
      <w:hyperlink w:anchor="SENTENCIA_2016_93" w:history="1">
        <w:r w:rsidRPr="0057104C">
          <w:rPr>
            <w:rStyle w:val="TextoNormalCaracter"/>
          </w:rPr>
          <w:t>93/2016</w:t>
        </w:r>
      </w:hyperlink>
      <w:r>
        <w:t xml:space="preserve">, f. 2; </w:t>
      </w:r>
      <w:hyperlink w:anchor="SENTENCIA_2016_98" w:history="1">
        <w:r w:rsidRPr="0057104C">
          <w:rPr>
            <w:rStyle w:val="TextoNormalCaracter"/>
          </w:rPr>
          <w:t>98/2016</w:t>
        </w:r>
      </w:hyperlink>
      <w:r>
        <w:t xml:space="preserve">, f. 2; </w:t>
      </w:r>
      <w:hyperlink w:anchor="SENTENCIA_2016_113" w:history="1">
        <w:r w:rsidRPr="0057104C">
          <w:rPr>
            <w:rStyle w:val="TextoNormalCaracter"/>
          </w:rPr>
          <w:t>113/2016</w:t>
        </w:r>
      </w:hyperlink>
      <w:r>
        <w:t xml:space="preserve">, f. 2; </w:t>
      </w:r>
      <w:hyperlink w:anchor="SENTENCIA_2016_114" w:history="1">
        <w:r w:rsidRPr="0057104C">
          <w:rPr>
            <w:rStyle w:val="TextoNormalCaracter"/>
          </w:rPr>
          <w:t>114/2016</w:t>
        </w:r>
      </w:hyperlink>
      <w:r>
        <w:t xml:space="preserve">, f. 3; </w:t>
      </w:r>
      <w:hyperlink w:anchor="SENTENCIA_2016_115" w:history="1">
        <w:r w:rsidRPr="0057104C">
          <w:rPr>
            <w:rStyle w:val="TextoNormalCaracter"/>
          </w:rPr>
          <w:t>115/2016</w:t>
        </w:r>
      </w:hyperlink>
      <w:r>
        <w:t>, f. 3.</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9" w:history="1">
        <w:r w:rsidRPr="0057104C">
          <w:rPr>
            <w:rStyle w:val="TextoNormalCaracter"/>
          </w:rPr>
          <w:t>9/2016</w:t>
        </w:r>
      </w:hyperlink>
      <w:r>
        <w:t>, f. 2.</w:t>
      </w:r>
    </w:p>
    <w:p w:rsidR="0057104C" w:rsidRDefault="0057104C" w:rsidP="0057104C">
      <w:pPr>
        <w:pStyle w:val="SangriaFrancesaArticulo"/>
      </w:pPr>
      <w:r w:rsidRPr="0057104C">
        <w:rPr>
          <w:rStyle w:val="TextoNormalNegritaCaracter"/>
        </w:rPr>
        <w:t>Artículo 5.3.</w:t>
      </w:r>
      <w:r w:rsidRPr="0057104C">
        <w:rPr>
          <w:rStyle w:val="TextoNormalCaracter"/>
        </w:rPr>
        <w:t>-</w:t>
      </w:r>
      <w:r>
        <w:t xml:space="preserve"> Sentencia </w:t>
      </w:r>
      <w:hyperlink w:anchor="SENTENCIA_2016_86" w:history="1">
        <w:r w:rsidRPr="0057104C">
          <w:rPr>
            <w:rStyle w:val="TextoNormalCaracter"/>
          </w:rPr>
          <w:t>86/2016</w:t>
        </w:r>
      </w:hyperlink>
      <w:r>
        <w:t>, f. 3.</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102" w:history="1">
        <w:r w:rsidRPr="0057104C">
          <w:rPr>
            <w:rStyle w:val="TextoNormalCaracter"/>
          </w:rPr>
          <w:t>102/2016</w:t>
        </w:r>
      </w:hyperlink>
      <w:r>
        <w:t>, VP.</w:t>
      </w:r>
    </w:p>
    <w:p w:rsidR="0057104C" w:rsidRDefault="0057104C" w:rsidP="0057104C">
      <w:pPr>
        <w:pStyle w:val="SangriaFrancesaArticulo"/>
      </w:pPr>
      <w:r w:rsidRPr="0057104C">
        <w:rPr>
          <w:rStyle w:val="TextoNormalNegritaCaracter"/>
        </w:rPr>
        <w:t>Artículo 6.1.</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Sentencias </w:t>
      </w:r>
      <w:hyperlink w:anchor="SENTENCIA_2016_83" w:history="1">
        <w:r w:rsidRPr="0057104C">
          <w:rPr>
            <w:rStyle w:val="TextoNormalCaracter"/>
          </w:rPr>
          <w:t>83/2016</w:t>
        </w:r>
      </w:hyperlink>
      <w:r>
        <w:t xml:space="preserve">, f. 12;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9.4.</w:t>
      </w:r>
      <w:r w:rsidRPr="0057104C">
        <w:rPr>
          <w:rStyle w:val="TextoNormalCaracter"/>
        </w:rPr>
        <w:t>-</w:t>
      </w:r>
      <w:r>
        <w:t xml:space="preserve"> Sentencia </w:t>
      </w:r>
      <w:hyperlink w:anchor="SENTENCIA_2016_3" w:history="1">
        <w:r w:rsidRPr="0057104C">
          <w:rPr>
            <w:rStyle w:val="TextoNormalCaracter"/>
          </w:rPr>
          <w:t>3/2016</w:t>
        </w:r>
      </w:hyperlink>
      <w:r>
        <w:t>, f. 5.</w:t>
      </w:r>
    </w:p>
    <w:p w:rsidR="0057104C" w:rsidRDefault="0057104C" w:rsidP="0057104C">
      <w:pPr>
        <w:pStyle w:val="SangriaFrancesaArticulo"/>
      </w:pPr>
      <w:r w:rsidRPr="0057104C">
        <w:rPr>
          <w:rStyle w:val="TextoNormalNegritaCaracter"/>
        </w:rPr>
        <w:t>Artículo 9.4</w:t>
      </w:r>
      <w:r>
        <w:t xml:space="preserve"> (redactado por la Ley Orgánica 1/2010, de 19 de febrero)</w:t>
      </w:r>
      <w:r w:rsidRPr="0057104C">
        <w:rPr>
          <w:rStyle w:val="TextoNormalNegritaCaracter"/>
        </w:rPr>
        <w:t>.</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9.4.1</w:t>
      </w:r>
      <w:r>
        <w:t xml:space="preserve"> (redactado por la Ley Orgánica 1/2010, de 19 de febrero)</w:t>
      </w:r>
      <w:r w:rsidRPr="0057104C">
        <w:rPr>
          <w:rStyle w:val="TextoNormalNegritaCaracter"/>
        </w:rPr>
        <w:t>.</w:t>
      </w:r>
      <w:r w:rsidRPr="0057104C">
        <w:rPr>
          <w:rStyle w:val="TextoNormalCaracter"/>
        </w:rPr>
        <w:t>-</w:t>
      </w:r>
      <w:r>
        <w:t xml:space="preserve"> Sentencia </w:t>
      </w:r>
      <w:hyperlink w:anchor="SENTENCIA_2016_118" w:history="1">
        <w:r w:rsidRPr="0057104C">
          <w:rPr>
            <w:rStyle w:val="TextoNormalCaracter"/>
          </w:rPr>
          <w:t>118/2016</w:t>
        </w:r>
      </w:hyperlink>
      <w:r>
        <w:t>, ff. 1, 3.</w:t>
      </w:r>
    </w:p>
    <w:p w:rsidR="0057104C" w:rsidRDefault="0057104C" w:rsidP="0057104C">
      <w:pPr>
        <w:pStyle w:val="SangriaFrancesaArticulo"/>
      </w:pPr>
      <w:r w:rsidRPr="0057104C">
        <w:rPr>
          <w:rStyle w:val="TextoNormalNegritaCaracter"/>
        </w:rPr>
        <w:t>Artículo 80.</w:t>
      </w:r>
      <w:r w:rsidRPr="0057104C">
        <w:rPr>
          <w:rStyle w:val="TextoNormalCaracter"/>
        </w:rPr>
        <w:t>-</w:t>
      </w:r>
      <w:r>
        <w:t xml:space="preserve"> Auto </w:t>
      </w:r>
      <w:hyperlink w:anchor="AUTO_2016_46" w:history="1">
        <w:r w:rsidRPr="0057104C">
          <w:rPr>
            <w:rStyle w:val="TextoNormalCaracter"/>
          </w:rPr>
          <w:t>46/2016</w:t>
        </w:r>
      </w:hyperlink>
      <w:r>
        <w:t>, f. único.</w:t>
      </w:r>
    </w:p>
    <w:p w:rsidR="0057104C" w:rsidRDefault="0057104C" w:rsidP="0057104C">
      <w:pPr>
        <w:pStyle w:val="SangriaFrancesaArticulo"/>
      </w:pPr>
      <w:r w:rsidRPr="0057104C">
        <w:rPr>
          <w:rStyle w:val="TextoNormalNegritaCaracter"/>
        </w:rPr>
        <w:t>Artículo 211 apartado 11.</w:t>
      </w:r>
      <w:r w:rsidRPr="0057104C">
        <w:rPr>
          <w:rStyle w:val="TextoNormalCaracter"/>
        </w:rPr>
        <w:t>-</w:t>
      </w:r>
      <w:r>
        <w:t xml:space="preserve"> Auto </w:t>
      </w:r>
      <w:hyperlink w:anchor="AUTO_2016_97" w:history="1">
        <w:r w:rsidRPr="0057104C">
          <w:rPr>
            <w:rStyle w:val="TextoNormalCaracter"/>
          </w:rPr>
          <w:t>97/2016</w:t>
        </w:r>
      </w:hyperlink>
      <w:r>
        <w:t>, f. único.</w:t>
      </w:r>
    </w:p>
    <w:p w:rsidR="0057104C" w:rsidRDefault="0057104C" w:rsidP="0057104C">
      <w:pPr>
        <w:pStyle w:val="SangriaFrancesaArticulo"/>
      </w:pPr>
      <w:r w:rsidRPr="0057104C">
        <w:rPr>
          <w:rStyle w:val="TextoNormalNegritaCaracter"/>
        </w:rPr>
        <w:t>Artículo 217.</w:t>
      </w:r>
      <w:r w:rsidRPr="0057104C">
        <w:rPr>
          <w:rStyle w:val="TextoNormalCaracter"/>
        </w:rPr>
        <w:t>-</w:t>
      </w:r>
      <w:r>
        <w:t xml:space="preserve"> Auto </w:t>
      </w:r>
      <w:hyperlink w:anchor="AUTO_2016_99" w:history="1">
        <w:r w:rsidRPr="0057104C">
          <w:rPr>
            <w:rStyle w:val="TextoNormalCaracter"/>
          </w:rPr>
          <w:t>99/2016</w:t>
        </w:r>
      </w:hyperlink>
      <w:r>
        <w:t>, f. 1.</w:t>
      </w:r>
    </w:p>
    <w:p w:rsidR="0057104C" w:rsidRDefault="0057104C" w:rsidP="0057104C">
      <w:pPr>
        <w:pStyle w:val="SangriaFrancesaArticulo"/>
      </w:pPr>
      <w:r w:rsidRPr="0057104C">
        <w:rPr>
          <w:rStyle w:val="TextoNormalNegritaCaracter"/>
        </w:rPr>
        <w:t>Artículo 218.</w:t>
      </w:r>
      <w:r w:rsidRPr="0057104C">
        <w:rPr>
          <w:rStyle w:val="TextoNormalCaracter"/>
        </w:rPr>
        <w:t>-</w:t>
      </w:r>
      <w:r>
        <w:t xml:space="preserve"> Auto </w:t>
      </w:r>
      <w:hyperlink w:anchor="AUTO_2016_99" w:history="1">
        <w:r w:rsidRPr="0057104C">
          <w:rPr>
            <w:rStyle w:val="TextoNormalCaracter"/>
          </w:rPr>
          <w:t>99/2016</w:t>
        </w:r>
      </w:hyperlink>
      <w:r>
        <w:t>, f. 1.</w:t>
      </w:r>
    </w:p>
    <w:p w:rsidR="0057104C" w:rsidRDefault="0057104C" w:rsidP="0057104C">
      <w:pPr>
        <w:pStyle w:val="SangriaFrancesaArticulo"/>
      </w:pPr>
      <w:r w:rsidRPr="0057104C">
        <w:rPr>
          <w:rStyle w:val="TextoNormalNegritaCaracter"/>
        </w:rPr>
        <w:t>Artículo 219.</w:t>
      </w:r>
      <w:r w:rsidRPr="0057104C">
        <w:rPr>
          <w:rStyle w:val="TextoNormalCaracter"/>
        </w:rPr>
        <w:t>-</w:t>
      </w:r>
      <w:r>
        <w:t xml:space="preserve"> Autos </w:t>
      </w:r>
      <w:hyperlink w:anchor="AUTO_2016_60" w:history="1">
        <w:r w:rsidRPr="0057104C">
          <w:rPr>
            <w:rStyle w:val="TextoNormalCaracter"/>
          </w:rPr>
          <w:t>60/2016</w:t>
        </w:r>
      </w:hyperlink>
      <w:r>
        <w:t xml:space="preserve">, f. único; </w:t>
      </w:r>
      <w:hyperlink w:anchor="AUTO_2016_111" w:history="1">
        <w:r w:rsidRPr="0057104C">
          <w:rPr>
            <w:rStyle w:val="TextoNormalCaracter"/>
          </w:rPr>
          <w:t>111/2016</w:t>
        </w:r>
      </w:hyperlink>
      <w:r>
        <w:t>, f. único.</w:t>
      </w:r>
    </w:p>
    <w:p w:rsidR="0057104C" w:rsidRDefault="0057104C" w:rsidP="0057104C">
      <w:pPr>
        <w:pStyle w:val="SangriaFrancesaArticulo"/>
      </w:pPr>
      <w:r w:rsidRPr="0057104C">
        <w:rPr>
          <w:rStyle w:val="TextoNormalNegritaCaracter"/>
        </w:rPr>
        <w:t>Artículo 219 apartado 11.</w:t>
      </w:r>
      <w:r w:rsidRPr="0057104C">
        <w:rPr>
          <w:rStyle w:val="TextoNormalCaracter"/>
        </w:rPr>
        <w:t>-</w:t>
      </w:r>
      <w:r>
        <w:t xml:space="preserve"> Auto </w:t>
      </w:r>
      <w:hyperlink w:anchor="AUTO_2016_106" w:history="1">
        <w:r w:rsidRPr="0057104C">
          <w:rPr>
            <w:rStyle w:val="TextoNormalCaracter"/>
          </w:rPr>
          <w:t>106/2016</w:t>
        </w:r>
      </w:hyperlink>
      <w:r>
        <w:t>, f. único.</w:t>
      </w:r>
    </w:p>
    <w:p w:rsidR="0057104C" w:rsidRDefault="0057104C" w:rsidP="0057104C">
      <w:pPr>
        <w:pStyle w:val="SangriaFrancesaArticulo"/>
      </w:pPr>
      <w:r w:rsidRPr="0057104C">
        <w:rPr>
          <w:rStyle w:val="TextoNormalNegritaCaracter"/>
        </w:rPr>
        <w:t>Artículo 219.11.</w:t>
      </w:r>
      <w:r w:rsidRPr="0057104C">
        <w:rPr>
          <w:rStyle w:val="TextoNormalCaracter"/>
        </w:rPr>
        <w:t>-</w:t>
      </w:r>
      <w:r>
        <w:t xml:space="preserve"> Auto </w:t>
      </w:r>
      <w:hyperlink w:anchor="AUTO_2016_29" w:history="1">
        <w:r w:rsidRPr="0057104C">
          <w:rPr>
            <w:rStyle w:val="TextoNormalCaracter"/>
          </w:rPr>
          <w:t>29/2016</w:t>
        </w:r>
      </w:hyperlink>
      <w:r>
        <w:t>, f. único.</w:t>
      </w:r>
    </w:p>
    <w:p w:rsidR="0057104C" w:rsidRDefault="0057104C" w:rsidP="0057104C">
      <w:pPr>
        <w:pStyle w:val="SangriaFrancesaArticulo"/>
      </w:pPr>
      <w:r w:rsidRPr="0057104C">
        <w:rPr>
          <w:rStyle w:val="TextoNormalNegritaCaracter"/>
        </w:rPr>
        <w:t>Artículo 219.11</w:t>
      </w:r>
      <w:r>
        <w:t xml:space="preserve"> (redactado por la Ley Orgánica 19/2003, de 23 de diciembre)</w:t>
      </w:r>
      <w:r w:rsidRPr="0057104C">
        <w:rPr>
          <w:rStyle w:val="TextoNormalNegritaCaracter"/>
        </w:rPr>
        <w:t>.</w:t>
      </w:r>
      <w:r w:rsidRPr="0057104C">
        <w:rPr>
          <w:rStyle w:val="TextoNormalCaracter"/>
        </w:rPr>
        <w:t>-</w:t>
      </w:r>
      <w:r>
        <w:t xml:space="preserve"> Auto </w:t>
      </w:r>
      <w:hyperlink w:anchor="AUTO_2016_93" w:history="1">
        <w:r w:rsidRPr="0057104C">
          <w:rPr>
            <w:rStyle w:val="TextoNormalCaracter"/>
          </w:rPr>
          <w:t>93/2016</w:t>
        </w:r>
      </w:hyperlink>
      <w:r>
        <w:t>, f. único.</w:t>
      </w:r>
    </w:p>
    <w:p w:rsidR="0057104C" w:rsidRDefault="0057104C" w:rsidP="0057104C">
      <w:pPr>
        <w:pStyle w:val="SangriaFrancesaArticulo"/>
      </w:pPr>
      <w:r w:rsidRPr="0057104C">
        <w:rPr>
          <w:rStyle w:val="TextoNormalNegritaCaracter"/>
        </w:rPr>
        <w:t>Artículo 219.13.</w:t>
      </w:r>
      <w:r w:rsidRPr="0057104C">
        <w:rPr>
          <w:rStyle w:val="TextoNormalCaracter"/>
        </w:rPr>
        <w:t>-</w:t>
      </w:r>
      <w:r>
        <w:t xml:space="preserve"> Auto </w:t>
      </w:r>
      <w:hyperlink w:anchor="AUTO_2016_46" w:history="1">
        <w:r w:rsidRPr="0057104C">
          <w:rPr>
            <w:rStyle w:val="TextoNormalCaracter"/>
          </w:rPr>
          <w:t>46/2016</w:t>
        </w:r>
      </w:hyperlink>
      <w:r>
        <w:t>, f. único.</w:t>
      </w:r>
    </w:p>
    <w:p w:rsidR="0057104C" w:rsidRDefault="0057104C" w:rsidP="0057104C">
      <w:pPr>
        <w:pStyle w:val="SangriaFrancesaArticulo"/>
      </w:pPr>
      <w:r w:rsidRPr="0057104C">
        <w:rPr>
          <w:rStyle w:val="TextoNormalNegritaCaracter"/>
        </w:rPr>
        <w:t>Artículo 219.16.</w:t>
      </w:r>
      <w:r w:rsidRPr="0057104C">
        <w:rPr>
          <w:rStyle w:val="TextoNormalCaracter"/>
        </w:rPr>
        <w:t>-</w:t>
      </w:r>
      <w:r>
        <w:t xml:space="preserve"> Auto </w:t>
      </w:r>
      <w:hyperlink w:anchor="AUTO_2016_46" w:history="1">
        <w:r w:rsidRPr="0057104C">
          <w:rPr>
            <w:rStyle w:val="TextoNormalCaracter"/>
          </w:rPr>
          <w:t>46/2016</w:t>
        </w:r>
      </w:hyperlink>
      <w:r>
        <w:t>, f. único.</w:t>
      </w:r>
    </w:p>
    <w:p w:rsidR="0057104C" w:rsidRDefault="0057104C" w:rsidP="0057104C">
      <w:pPr>
        <w:pStyle w:val="SangriaFrancesaArticulo"/>
      </w:pPr>
      <w:r w:rsidRPr="0057104C">
        <w:rPr>
          <w:rStyle w:val="TextoNormalNegritaCaracter"/>
        </w:rPr>
        <w:t>Artículo 221.4.</w:t>
      </w:r>
      <w:r w:rsidRPr="0057104C">
        <w:rPr>
          <w:rStyle w:val="TextoNormalCaracter"/>
        </w:rPr>
        <w:t>-</w:t>
      </w:r>
      <w:r>
        <w:t xml:space="preserve"> Autos </w:t>
      </w:r>
      <w:hyperlink w:anchor="AUTO_2016_60" w:history="1">
        <w:r w:rsidRPr="0057104C">
          <w:rPr>
            <w:rStyle w:val="TextoNormalCaracter"/>
          </w:rPr>
          <w:t>60/2016</w:t>
        </w:r>
      </w:hyperlink>
      <w:r>
        <w:t xml:space="preserve">, f. único; </w:t>
      </w:r>
      <w:hyperlink w:anchor="AUTO_2016_93" w:history="1">
        <w:r w:rsidRPr="0057104C">
          <w:rPr>
            <w:rStyle w:val="TextoNormalCaracter"/>
          </w:rPr>
          <w:t>93/2016</w:t>
        </w:r>
      </w:hyperlink>
      <w:r>
        <w:t xml:space="preserve">, f. único; </w:t>
      </w:r>
      <w:hyperlink w:anchor="AUTO_2016_111" w:history="1">
        <w:r w:rsidRPr="0057104C">
          <w:rPr>
            <w:rStyle w:val="TextoNormalCaracter"/>
          </w:rPr>
          <w:t>111/2016</w:t>
        </w:r>
      </w:hyperlink>
      <w:r>
        <w:t>, f. único.</w:t>
      </w:r>
    </w:p>
    <w:p w:rsidR="0057104C" w:rsidRDefault="0057104C" w:rsidP="0057104C">
      <w:pPr>
        <w:pStyle w:val="SangriaFrancesaArticulo"/>
      </w:pPr>
      <w:r w:rsidRPr="0057104C">
        <w:rPr>
          <w:rStyle w:val="TextoNormalNegritaCaracter"/>
        </w:rPr>
        <w:t>Artículo 223.</w:t>
      </w:r>
      <w:r w:rsidRPr="0057104C">
        <w:rPr>
          <w:rStyle w:val="TextoNormalCaracter"/>
        </w:rPr>
        <w:t>-</w:t>
      </w:r>
      <w:r>
        <w:t xml:space="preserve"> Auto </w:t>
      </w:r>
      <w:hyperlink w:anchor="AUTO_2016_99" w:history="1">
        <w:r w:rsidRPr="0057104C">
          <w:rPr>
            <w:rStyle w:val="TextoNormalCaracter"/>
          </w:rPr>
          <w:t>99/2016</w:t>
        </w:r>
      </w:hyperlink>
      <w:r>
        <w:t>, f. 1.</w:t>
      </w:r>
    </w:p>
    <w:p w:rsidR="0057104C" w:rsidRDefault="0057104C" w:rsidP="0057104C">
      <w:pPr>
        <w:pStyle w:val="SangriaFrancesaArticulo"/>
      </w:pPr>
      <w:r w:rsidRPr="0057104C">
        <w:rPr>
          <w:rStyle w:val="TextoNormalNegritaCaracter"/>
        </w:rPr>
        <w:t>Artículo 223.1.1.</w:t>
      </w:r>
      <w:r w:rsidRPr="0057104C">
        <w:rPr>
          <w:rStyle w:val="TextoNormalCaracter"/>
        </w:rPr>
        <w:t>-</w:t>
      </w:r>
      <w:r>
        <w:t xml:space="preserve"> Auto </w:t>
      </w:r>
      <w:hyperlink w:anchor="AUTO_2016_99" w:history="1">
        <w:r w:rsidRPr="0057104C">
          <w:rPr>
            <w:rStyle w:val="TextoNormalCaracter"/>
          </w:rPr>
          <w:t>99/2016</w:t>
        </w:r>
      </w:hyperlink>
      <w:r>
        <w:t>, f. 1.</w:t>
      </w:r>
    </w:p>
    <w:p w:rsidR="0057104C" w:rsidRDefault="0057104C" w:rsidP="0057104C">
      <w:pPr>
        <w:pStyle w:val="SangriaFrancesaArticulo"/>
      </w:pPr>
      <w:r w:rsidRPr="0057104C">
        <w:rPr>
          <w:rStyle w:val="TextoNormalNegritaCaracter"/>
        </w:rPr>
        <w:t>Artículo 223.2.</w:t>
      </w:r>
      <w:r w:rsidRPr="0057104C">
        <w:rPr>
          <w:rStyle w:val="TextoNormalCaracter"/>
        </w:rPr>
        <w:t>-</w:t>
      </w:r>
      <w:r>
        <w:t xml:space="preserve"> Auto </w:t>
      </w:r>
      <w:hyperlink w:anchor="AUTO_2016_99" w:history="1">
        <w:r w:rsidRPr="0057104C">
          <w:rPr>
            <w:rStyle w:val="TextoNormalCaracter"/>
          </w:rPr>
          <w:t>99/2016</w:t>
        </w:r>
      </w:hyperlink>
      <w:r>
        <w:t>, f. 1.</w:t>
      </w:r>
    </w:p>
    <w:p w:rsidR="0057104C" w:rsidRDefault="0057104C" w:rsidP="0057104C">
      <w:pPr>
        <w:pStyle w:val="SangriaFrancesaArticulo"/>
      </w:pPr>
      <w:r w:rsidRPr="0057104C">
        <w:rPr>
          <w:rStyle w:val="TextoNormalNegritaCaracter"/>
        </w:rPr>
        <w:t>Artículo 238.</w:t>
      </w:r>
      <w:r w:rsidRPr="0057104C">
        <w:rPr>
          <w:rStyle w:val="TextoNormalCaracter"/>
        </w:rPr>
        <w:t>-</w:t>
      </w:r>
      <w:r>
        <w:t xml:space="preserve"> Sentencia </w:t>
      </w:r>
      <w:hyperlink w:anchor="SENTENCIA_2016_58" w:history="1">
        <w:r w:rsidRPr="0057104C">
          <w:rPr>
            <w:rStyle w:val="TextoNormalCaracter"/>
          </w:rPr>
          <w:t>58/2016</w:t>
        </w:r>
      </w:hyperlink>
      <w:r>
        <w:t>, f. 6.</w:t>
      </w:r>
    </w:p>
    <w:p w:rsidR="0057104C" w:rsidRDefault="0057104C" w:rsidP="0057104C">
      <w:pPr>
        <w:pStyle w:val="SangriaFrancesaArticulo"/>
      </w:pPr>
      <w:r w:rsidRPr="0057104C">
        <w:rPr>
          <w:rStyle w:val="TextoNormalNegritaCaracter"/>
        </w:rPr>
        <w:t>Artículo 240.2.</w:t>
      </w:r>
      <w:r w:rsidRPr="0057104C">
        <w:rPr>
          <w:rStyle w:val="TextoNormalCaracter"/>
        </w:rPr>
        <w:t>-</w:t>
      </w:r>
      <w:r>
        <w:t xml:space="preserve"> Sentencias </w:t>
      </w:r>
      <w:hyperlink w:anchor="SENTENCIA_2016_58" w:history="1">
        <w:r w:rsidRPr="0057104C">
          <w:rPr>
            <w:rStyle w:val="TextoNormalCaracter"/>
          </w:rPr>
          <w:t>58/2016</w:t>
        </w:r>
      </w:hyperlink>
      <w:r>
        <w:t xml:space="preserve">, f. 6; </w:t>
      </w:r>
      <w:hyperlink w:anchor="SENTENCIA_2016_63" w:history="1">
        <w:r w:rsidRPr="0057104C">
          <w:rPr>
            <w:rStyle w:val="TextoNormalCaracter"/>
          </w:rPr>
          <w:t>63/2016</w:t>
        </w:r>
      </w:hyperlink>
      <w:r>
        <w:t xml:space="preserve">, f. 3; </w:t>
      </w:r>
      <w:hyperlink w:anchor="SENTENCIA_2016_76" w:history="1">
        <w:r w:rsidRPr="0057104C">
          <w:rPr>
            <w:rStyle w:val="TextoNormalCaracter"/>
          </w:rPr>
          <w:t>76/2016</w:t>
        </w:r>
      </w:hyperlink>
      <w:r>
        <w:t>, f. 3.</w:t>
      </w:r>
    </w:p>
    <w:p w:rsidR="0057104C" w:rsidRDefault="0057104C" w:rsidP="0057104C">
      <w:pPr>
        <w:pStyle w:val="SangriaFrancesaArticulo"/>
      </w:pPr>
      <w:r w:rsidRPr="0057104C">
        <w:rPr>
          <w:rStyle w:val="TextoNormalNegritaCaracter"/>
        </w:rPr>
        <w:t xml:space="preserve">Artículo 240.2 </w:t>
      </w:r>
      <w:r>
        <w:t xml:space="preserve"> (redactado por la Ley Orgánica 19/2003, de 23 de diciembre)</w:t>
      </w:r>
      <w:r w:rsidRPr="0057104C">
        <w:rPr>
          <w:rStyle w:val="TextoNormalNegritaCaracter"/>
        </w:rPr>
        <w:t>.</w:t>
      </w:r>
      <w:r w:rsidRPr="0057104C">
        <w:rPr>
          <w:rStyle w:val="TextoNormalCaracter"/>
        </w:rPr>
        <w:t>-</w:t>
      </w:r>
      <w:r>
        <w:t xml:space="preserve"> Sentencias </w:t>
      </w:r>
      <w:hyperlink w:anchor="SENTENCIA_2016_75" w:history="1">
        <w:r w:rsidRPr="0057104C">
          <w:rPr>
            <w:rStyle w:val="TextoNormalCaracter"/>
          </w:rPr>
          <w:t>75/2016</w:t>
        </w:r>
      </w:hyperlink>
      <w:r>
        <w:t xml:space="preserve">, f. 3; </w:t>
      </w:r>
      <w:hyperlink w:anchor="SENTENCIA_2016_77" w:history="1">
        <w:r w:rsidRPr="0057104C">
          <w:rPr>
            <w:rStyle w:val="TextoNormalCaracter"/>
          </w:rPr>
          <w:t>77/2016</w:t>
        </w:r>
      </w:hyperlink>
      <w:r>
        <w:t xml:space="preserve">, f. 3; </w:t>
      </w:r>
      <w:hyperlink w:anchor="SENTENCIA_2016_89" w:history="1">
        <w:r w:rsidRPr="0057104C">
          <w:rPr>
            <w:rStyle w:val="TextoNormalCaracter"/>
          </w:rPr>
          <w:t>89/2016</w:t>
        </w:r>
      </w:hyperlink>
      <w:r>
        <w:t>, f. 3.</w:t>
      </w:r>
    </w:p>
    <w:p w:rsidR="0057104C" w:rsidRDefault="0057104C" w:rsidP="0057104C">
      <w:pPr>
        <w:pStyle w:val="SangriaFrancesaArticulo"/>
      </w:pPr>
      <w:r w:rsidRPr="0057104C">
        <w:rPr>
          <w:rStyle w:val="TextoNormalNegritaCaracter"/>
        </w:rPr>
        <w:t>Artículo 241</w:t>
      </w:r>
      <w:r>
        <w:t xml:space="preserve"> (redactado por la Ley Orgánica 6/2007, de 24 de mayo)</w:t>
      </w:r>
      <w:r w:rsidRPr="0057104C">
        <w:rPr>
          <w:rStyle w:val="TextoNormalNegritaCaracter"/>
        </w:rPr>
        <w:t>.</w:t>
      </w:r>
      <w:r w:rsidRPr="0057104C">
        <w:rPr>
          <w:rStyle w:val="TextoNormalCaracter"/>
        </w:rPr>
        <w:t>-</w:t>
      </w:r>
      <w:r>
        <w:t xml:space="preserve"> Sentencias </w:t>
      </w:r>
      <w:hyperlink w:anchor="SENTENCIA_2016_16" w:history="1">
        <w:r w:rsidRPr="0057104C">
          <w:rPr>
            <w:rStyle w:val="TextoNormalCaracter"/>
          </w:rPr>
          <w:t>16/2016</w:t>
        </w:r>
      </w:hyperlink>
      <w:r>
        <w:t xml:space="preserve">, f. 3; </w:t>
      </w:r>
      <w:hyperlink w:anchor="SENTENCIA_2016_23" w:history="1">
        <w:r w:rsidRPr="0057104C">
          <w:rPr>
            <w:rStyle w:val="TextoNormalCaracter"/>
          </w:rPr>
          <w:t>23/2016</w:t>
        </w:r>
      </w:hyperlink>
      <w:r>
        <w:t xml:space="preserve">, f. 3; </w:t>
      </w:r>
      <w:hyperlink w:anchor="SENTENCIA_2016_39" w:history="1">
        <w:r w:rsidRPr="0057104C">
          <w:rPr>
            <w:rStyle w:val="TextoNormalCaracter"/>
          </w:rPr>
          <w:t>39/2016</w:t>
        </w:r>
      </w:hyperlink>
      <w:r>
        <w:t xml:space="preserve">, f. 2; </w:t>
      </w:r>
      <w:hyperlink w:anchor="SENTENCIA_2016_58" w:history="1">
        <w:r w:rsidRPr="0057104C">
          <w:rPr>
            <w:rStyle w:val="TextoNormalCaracter"/>
          </w:rPr>
          <w:t>58/2016</w:t>
        </w:r>
      </w:hyperlink>
      <w:r>
        <w:t xml:space="preserve">, f. 6; </w:t>
      </w:r>
      <w:hyperlink w:anchor="SENTENCIA_2016_65" w:history="1">
        <w:r w:rsidRPr="0057104C">
          <w:rPr>
            <w:rStyle w:val="TextoNormalCaracter"/>
          </w:rPr>
          <w:t>65/2016</w:t>
        </w:r>
      </w:hyperlink>
      <w:r>
        <w:t>, ff. 3, 6.</w:t>
      </w:r>
    </w:p>
    <w:p w:rsidR="0057104C" w:rsidRDefault="0057104C" w:rsidP="0057104C">
      <w:pPr>
        <w:pStyle w:val="SangriaFrancesaArticulo"/>
      </w:pPr>
      <w:r w:rsidRPr="0057104C">
        <w:rPr>
          <w:rStyle w:val="TextoNormalNegritaCaracter"/>
        </w:rPr>
        <w:t>Artículo 241.1.</w:t>
      </w:r>
      <w:r w:rsidRPr="0057104C">
        <w:rPr>
          <w:rStyle w:val="TextoNormalCaracter"/>
        </w:rPr>
        <w:t>-</w:t>
      </w:r>
      <w:r>
        <w:t xml:space="preserve"> Sentencias </w:t>
      </w:r>
      <w:hyperlink w:anchor="SENTENCIA_2016_63" w:history="1">
        <w:r w:rsidRPr="0057104C">
          <w:rPr>
            <w:rStyle w:val="TextoNormalCaracter"/>
          </w:rPr>
          <w:t>63/2016</w:t>
        </w:r>
      </w:hyperlink>
      <w:r>
        <w:t xml:space="preserve">, f. 3; </w:t>
      </w:r>
      <w:hyperlink w:anchor="SENTENCIA_2016_76" w:history="1">
        <w:r w:rsidRPr="0057104C">
          <w:rPr>
            <w:rStyle w:val="TextoNormalCaracter"/>
          </w:rPr>
          <w:t>76/2016</w:t>
        </w:r>
      </w:hyperlink>
      <w:r>
        <w:t>, f. 3.</w:t>
      </w:r>
    </w:p>
    <w:p w:rsidR="0057104C" w:rsidRDefault="0057104C" w:rsidP="0057104C">
      <w:pPr>
        <w:pStyle w:val="SangriaFrancesaArticulo"/>
      </w:pPr>
      <w:r w:rsidRPr="0057104C">
        <w:rPr>
          <w:rStyle w:val="TextoNormalNegritaCaracter"/>
        </w:rPr>
        <w:t>Artículo 241.1</w:t>
      </w:r>
      <w:r>
        <w:t xml:space="preserve"> (redactado por la Ley Orgánica 19/2003 de 23 de diciembre)</w:t>
      </w:r>
      <w:r w:rsidRPr="0057104C">
        <w:rPr>
          <w:rStyle w:val="TextoNormalNegritaCaracter"/>
        </w:rPr>
        <w:t>.</w:t>
      </w:r>
      <w:r w:rsidRPr="0057104C">
        <w:rPr>
          <w:rStyle w:val="TextoNormalCaracter"/>
        </w:rPr>
        <w:t>-</w:t>
      </w:r>
      <w:r>
        <w:t xml:space="preserve"> Sentencia </w:t>
      </w:r>
      <w:hyperlink w:anchor="SENTENCIA_2016_77" w:history="1">
        <w:r w:rsidRPr="0057104C">
          <w:rPr>
            <w:rStyle w:val="TextoNormalCaracter"/>
          </w:rPr>
          <w:t>77/2016</w:t>
        </w:r>
      </w:hyperlink>
      <w:r>
        <w:t>, f. 3.</w:t>
      </w:r>
    </w:p>
    <w:p w:rsidR="0057104C" w:rsidRDefault="0057104C" w:rsidP="0057104C">
      <w:pPr>
        <w:pStyle w:val="SangriaFrancesaArticulo"/>
      </w:pPr>
      <w:r w:rsidRPr="0057104C">
        <w:rPr>
          <w:rStyle w:val="TextoNormalNegritaCaracter"/>
        </w:rPr>
        <w:t>Artículo 241.1</w:t>
      </w:r>
      <w:r>
        <w:t xml:space="preserve"> (redactado por la Ley Orgánica 6/2007, de 24 de mayo)</w:t>
      </w:r>
      <w:r w:rsidRPr="0057104C">
        <w:rPr>
          <w:rStyle w:val="TextoNormalNegritaCaracter"/>
        </w:rPr>
        <w:t>.</w:t>
      </w:r>
      <w:r w:rsidRPr="0057104C">
        <w:rPr>
          <w:rStyle w:val="TextoNormalCaracter"/>
        </w:rPr>
        <w:t>-</w:t>
      </w:r>
      <w:r>
        <w:t xml:space="preserve"> Sentencias </w:t>
      </w:r>
      <w:hyperlink w:anchor="SENTENCIA_2016_58" w:history="1">
        <w:r w:rsidRPr="0057104C">
          <w:rPr>
            <w:rStyle w:val="TextoNormalCaracter"/>
          </w:rPr>
          <w:t>58/2016</w:t>
        </w:r>
      </w:hyperlink>
      <w:r>
        <w:t xml:space="preserve">, f. 6; </w:t>
      </w:r>
      <w:hyperlink w:anchor="SENTENCIA_2016_65" w:history="1">
        <w:r w:rsidRPr="0057104C">
          <w:rPr>
            <w:rStyle w:val="TextoNormalCaracter"/>
          </w:rPr>
          <w:t>65/2016</w:t>
        </w:r>
      </w:hyperlink>
      <w:r>
        <w:t xml:space="preserve">, f. 5; </w:t>
      </w:r>
      <w:hyperlink w:anchor="SENTENCIA_2016_75" w:history="1">
        <w:r w:rsidRPr="0057104C">
          <w:rPr>
            <w:rStyle w:val="TextoNormalCaracter"/>
          </w:rPr>
          <w:t>75/2016</w:t>
        </w:r>
      </w:hyperlink>
      <w:r>
        <w:t xml:space="preserve">, f. 3; </w:t>
      </w:r>
      <w:hyperlink w:anchor="SENTENCIA_2016_89" w:history="1">
        <w:r w:rsidRPr="0057104C">
          <w:rPr>
            <w:rStyle w:val="TextoNormalCaracter"/>
          </w:rPr>
          <w:t>89/2016</w:t>
        </w:r>
      </w:hyperlink>
      <w:r>
        <w:t xml:space="preserve">, f. 3; </w:t>
      </w:r>
      <w:hyperlink w:anchor="SENTENCIA_2016_117" w:history="1">
        <w:r w:rsidRPr="0057104C">
          <w:rPr>
            <w:rStyle w:val="TextoNormalCaracter"/>
          </w:rPr>
          <w:t>117/2016</w:t>
        </w:r>
      </w:hyperlink>
      <w:r>
        <w:t>, f. 2.</w:t>
      </w:r>
    </w:p>
    <w:p w:rsidR="0057104C" w:rsidRDefault="0057104C" w:rsidP="0057104C">
      <w:pPr>
        <w:pStyle w:val="SangriaFrancesaArticulo"/>
      </w:pPr>
      <w:r w:rsidRPr="0057104C">
        <w:rPr>
          <w:rStyle w:val="TextoNormalNegritaCaracter"/>
        </w:rPr>
        <w:t>Artículo 244.</w:t>
      </w:r>
      <w:r w:rsidRPr="0057104C">
        <w:rPr>
          <w:rStyle w:val="TextoNormalCaracter"/>
        </w:rPr>
        <w:t>-</w:t>
      </w:r>
      <w:r>
        <w:t xml:space="preserve"> Sentencia </w:t>
      </w:r>
      <w:hyperlink w:anchor="SENTENCIA_2016_58" w:history="1">
        <w:r w:rsidRPr="0057104C">
          <w:rPr>
            <w:rStyle w:val="TextoNormalCaracter"/>
          </w:rPr>
          <w:t>58/2016</w:t>
        </w:r>
      </w:hyperlink>
      <w:r>
        <w:t>, f. 2.</w:t>
      </w:r>
    </w:p>
    <w:p w:rsidR="0057104C" w:rsidRDefault="0057104C" w:rsidP="0057104C">
      <w:pPr>
        <w:pStyle w:val="SangriaFrancesaArticulo"/>
      </w:pPr>
      <w:r w:rsidRPr="0057104C">
        <w:rPr>
          <w:rStyle w:val="TextoNormalNegritaCaracter"/>
        </w:rPr>
        <w:t>Artículo 245.3.</w:t>
      </w:r>
      <w:r w:rsidRPr="0057104C">
        <w:rPr>
          <w:rStyle w:val="TextoNormalCaracter"/>
        </w:rPr>
        <w:t>-</w:t>
      </w:r>
      <w:r>
        <w:t xml:space="preserve"> Sentencia </w:t>
      </w:r>
      <w:hyperlink w:anchor="SENTENCIA_2016_3" w:history="1">
        <w:r w:rsidRPr="0057104C">
          <w:rPr>
            <w:rStyle w:val="TextoNormalCaracter"/>
          </w:rPr>
          <w:t>3/2016</w:t>
        </w:r>
      </w:hyperlink>
      <w:r>
        <w:t>, f. 2.</w:t>
      </w:r>
    </w:p>
    <w:p w:rsidR="0057104C" w:rsidRDefault="0057104C" w:rsidP="0057104C">
      <w:pPr>
        <w:pStyle w:val="SangriaFrancesaArticulo"/>
      </w:pPr>
      <w:r w:rsidRPr="0057104C">
        <w:rPr>
          <w:rStyle w:val="TextoNormalNegritaCaracter"/>
        </w:rPr>
        <w:t>Artículo 267.</w:t>
      </w:r>
      <w:r w:rsidRPr="0057104C">
        <w:rPr>
          <w:rStyle w:val="TextoNormalCaracter"/>
        </w:rPr>
        <w:t>-</w:t>
      </w:r>
      <w:r>
        <w:t xml:space="preserve"> Sentencia </w:t>
      </w:r>
      <w:hyperlink w:anchor="SENTENCIA_2016_13" w:history="1">
        <w:r w:rsidRPr="0057104C">
          <w:rPr>
            <w:rStyle w:val="TextoNormalCaracter"/>
          </w:rPr>
          <w:t>13/2016</w:t>
        </w:r>
      </w:hyperlink>
      <w:r>
        <w:t>, f. 2.</w:t>
      </w:r>
    </w:p>
    <w:p w:rsidR="0057104C" w:rsidRDefault="0057104C" w:rsidP="0057104C">
      <w:pPr>
        <w:pStyle w:val="SangriaFrancesaArticulo"/>
      </w:pPr>
      <w:r w:rsidRPr="0057104C">
        <w:rPr>
          <w:rStyle w:val="TextoNormalNegritaCaracter"/>
        </w:rPr>
        <w:t>Artículo 435.1.</w:t>
      </w:r>
      <w:r w:rsidRPr="0057104C">
        <w:rPr>
          <w:rStyle w:val="TextoNormalCaracter"/>
        </w:rPr>
        <w:t>-</w:t>
      </w:r>
      <w:r>
        <w:t xml:space="preserve"> Sentencia </w:t>
      </w:r>
      <w:hyperlink w:anchor="SENTENCIA_2016_58" w:history="1">
        <w:r w:rsidRPr="0057104C">
          <w:rPr>
            <w:rStyle w:val="TextoNormalCaracter"/>
          </w:rPr>
          <w:t>58/2016</w:t>
        </w:r>
      </w:hyperlink>
      <w:r>
        <w:t>, ff. 2, 4.</w:t>
      </w:r>
    </w:p>
    <w:p w:rsidR="0057104C" w:rsidRDefault="0057104C" w:rsidP="0057104C">
      <w:pPr>
        <w:pStyle w:val="SangriaFrancesaArticulo"/>
      </w:pPr>
      <w:r w:rsidRPr="0057104C">
        <w:rPr>
          <w:rStyle w:val="TextoNormalNegritaCaracter"/>
        </w:rPr>
        <w:t>Artículo 456.</w:t>
      </w:r>
      <w:r w:rsidRPr="0057104C">
        <w:rPr>
          <w:rStyle w:val="TextoNormalCaracter"/>
        </w:rPr>
        <w:t>-</w:t>
      </w:r>
      <w:r>
        <w:t xml:space="preserve"> Sentencia </w:t>
      </w:r>
      <w:hyperlink w:anchor="SENTENCIA_2016_58" w:history="1">
        <w:r w:rsidRPr="0057104C">
          <w:rPr>
            <w:rStyle w:val="TextoNormalCaracter"/>
          </w:rPr>
          <w:t>58/2016</w:t>
        </w:r>
      </w:hyperlink>
      <w:r>
        <w:t>, f. 2.</w:t>
      </w:r>
    </w:p>
    <w:p w:rsidR="0057104C" w:rsidRDefault="0057104C" w:rsidP="0057104C">
      <w:pPr>
        <w:pStyle w:val="SangriaFrancesaArticulo"/>
      </w:pPr>
      <w:r w:rsidRPr="0057104C">
        <w:rPr>
          <w:rStyle w:val="TextoNormalNegritaCaracter"/>
        </w:rPr>
        <w:t>Artículo 456.4</w:t>
      </w:r>
      <w:r>
        <w:t xml:space="preserve"> (redactado por la Ley Orgánica 7/2015, de 21 de julio)</w:t>
      </w:r>
      <w:r w:rsidRPr="0057104C">
        <w:rPr>
          <w:rStyle w:val="TextoNormalNegritaCaracter"/>
        </w:rPr>
        <w:t>.</w:t>
      </w:r>
      <w:r w:rsidRPr="0057104C">
        <w:rPr>
          <w:rStyle w:val="TextoNormalCaracter"/>
        </w:rPr>
        <w:t>-</w:t>
      </w:r>
      <w:r>
        <w:t xml:space="preserve"> Sentencia </w:t>
      </w:r>
      <w:hyperlink w:anchor="SENTENCIA_2016_58" w:history="1">
        <w:r w:rsidRPr="0057104C">
          <w:rPr>
            <w:rStyle w:val="TextoNormalCaracter"/>
          </w:rPr>
          <w:t>58/2016</w:t>
        </w:r>
      </w:hyperlink>
      <w:r>
        <w:t>, f. 2.</w:t>
      </w:r>
    </w:p>
    <w:p w:rsidR="0057104C" w:rsidRDefault="0057104C" w:rsidP="0057104C">
      <w:pPr>
        <w:pStyle w:val="SangriaFrancesaArticulo"/>
      </w:pPr>
    </w:p>
    <w:p w:rsidR="0057104C" w:rsidRDefault="0057104C" w:rsidP="0057104C">
      <w:pPr>
        <w:pStyle w:val="TextoNormalNegritaCursivandice"/>
      </w:pPr>
      <w:r>
        <w:t>Ley Orgánica 11/1985, de 2 de agosto. Libertad sindical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9" w:history="1">
        <w:r w:rsidRPr="0057104C">
          <w:rPr>
            <w:rStyle w:val="TextoNormalCaracter"/>
          </w:rPr>
          <w:t>119/2016</w:t>
        </w:r>
      </w:hyperlink>
      <w:r>
        <w:t>, f. 4.</w:t>
      </w:r>
    </w:p>
    <w:p w:rsidR="0057104C" w:rsidRDefault="0057104C" w:rsidP="0057104C">
      <w:pPr>
        <w:pStyle w:val="SangriaFrancesaArticulo"/>
      </w:pPr>
      <w:r w:rsidRPr="0057104C">
        <w:rPr>
          <w:rStyle w:val="TextoNormalNegritaCaracter"/>
        </w:rPr>
        <w:t>Artículo 10.3.</w:t>
      </w:r>
      <w:r w:rsidRPr="0057104C">
        <w:rPr>
          <w:rStyle w:val="TextoNormalCaracter"/>
        </w:rPr>
        <w:t>-</w:t>
      </w:r>
      <w:r>
        <w:t xml:space="preserve"> Sentencia </w:t>
      </w:r>
      <w:hyperlink w:anchor="SENTENCIA_2016_119" w:history="1">
        <w:r w:rsidRPr="0057104C">
          <w:rPr>
            <w:rStyle w:val="TextoNormalCaracter"/>
          </w:rPr>
          <w:t>119/2016</w:t>
        </w:r>
      </w:hyperlink>
      <w:r>
        <w:t>, f. 4.</w:t>
      </w:r>
    </w:p>
    <w:p w:rsidR="0057104C" w:rsidRDefault="0057104C" w:rsidP="0057104C">
      <w:pPr>
        <w:pStyle w:val="SangriaFrancesaArticulo"/>
      </w:pPr>
    </w:p>
    <w:p w:rsidR="0057104C" w:rsidRDefault="0057104C" w:rsidP="0057104C">
      <w:pPr>
        <w:pStyle w:val="TextoNormalNegritaCursivandice"/>
      </w:pPr>
      <w:r>
        <w:t>Ley Orgánica 2/1986, de 13 de marzo. Fuerzas y cuerpos de seguridad</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89" w:history="1">
        <w:r w:rsidRPr="0057104C">
          <w:rPr>
            <w:rStyle w:val="TextoNormalCaracter"/>
          </w:rPr>
          <w:t>89/2016</w:t>
        </w:r>
      </w:hyperlink>
      <w:r>
        <w:t>, f. 1.</w:t>
      </w:r>
    </w:p>
    <w:p w:rsidR="0057104C" w:rsidRDefault="0057104C" w:rsidP="0057104C">
      <w:pPr>
        <w:pStyle w:val="SangriaFrancesaArticulo"/>
      </w:pPr>
    </w:p>
    <w:p w:rsidR="0057104C" w:rsidRDefault="0057104C" w:rsidP="0057104C">
      <w:pPr>
        <w:pStyle w:val="TextoNormalNegritaCursivandice"/>
      </w:pPr>
      <w:r>
        <w:t>Ley Orgánica 12/1994, de 24 de marzo. Deroga la Ley Orgánica 12/1982, de 10 de agosto, de transferencias a la Comunidad Autónoma Valenciana de competencias de titularidad estatal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82" w:history="1">
        <w:r w:rsidRPr="0057104C">
          <w:rPr>
            <w:rStyle w:val="TextoNormalCaracter"/>
          </w:rPr>
          <w:t>82/2016</w:t>
        </w:r>
      </w:hyperlink>
      <w:r>
        <w:t xml:space="preserve">, f. 3; </w:t>
      </w:r>
      <w:hyperlink w:anchor="SENTENCIA_2016_110" w:history="1">
        <w:r w:rsidRPr="0057104C">
          <w:rPr>
            <w:rStyle w:val="TextoNormalCaracter"/>
          </w:rPr>
          <w:t>110/2016</w:t>
        </w:r>
      </w:hyperlink>
      <w:r>
        <w:t>, f. 4.</w:t>
      </w:r>
    </w:p>
    <w:p w:rsidR="0057104C" w:rsidRDefault="0057104C" w:rsidP="0057104C">
      <w:pPr>
        <w:pStyle w:val="SangriaFrancesaArticulo"/>
      </w:pPr>
    </w:p>
    <w:p w:rsidR="0057104C" w:rsidRDefault="0057104C" w:rsidP="0057104C">
      <w:pPr>
        <w:pStyle w:val="TextoNormalNegritaCursivandice"/>
      </w:pPr>
      <w:r>
        <w:t>Ley Orgánica 10/1995, de 23 de noviembre. Código penal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90" w:history="1">
        <w:r w:rsidRPr="0057104C">
          <w:rPr>
            <w:rStyle w:val="TextoNormalCaracter"/>
          </w:rPr>
          <w:t>90/2016</w:t>
        </w:r>
      </w:hyperlink>
      <w:r>
        <w:t>, f. 6.</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Autos </w:t>
      </w:r>
      <w:hyperlink w:anchor="AUTO_2016_34" w:history="1">
        <w:r w:rsidRPr="0057104C">
          <w:rPr>
            <w:rStyle w:val="TextoNormalCaracter"/>
          </w:rPr>
          <w:t>34/2016</w:t>
        </w:r>
      </w:hyperlink>
      <w:r>
        <w:t xml:space="preserve">, f. 2; </w:t>
      </w:r>
      <w:hyperlink w:anchor="AUTO_2016_49" w:history="1">
        <w:r w:rsidRPr="0057104C">
          <w:rPr>
            <w:rStyle w:val="TextoNormalCaracter"/>
          </w:rPr>
          <w:t>49/2016</w:t>
        </w:r>
      </w:hyperlink>
      <w:r>
        <w:t>, f. 1.</w:t>
      </w:r>
    </w:p>
    <w:p w:rsidR="0057104C" w:rsidRDefault="0057104C" w:rsidP="0057104C">
      <w:pPr>
        <w:pStyle w:val="SangriaFrancesaArticulo"/>
      </w:pPr>
      <w:r w:rsidRPr="0057104C">
        <w:rPr>
          <w:rStyle w:val="TextoNormalNegritaCaracter"/>
        </w:rPr>
        <w:t>Artículo 36.2 a).</w:t>
      </w:r>
      <w:r w:rsidRPr="0057104C">
        <w:rPr>
          <w:rStyle w:val="TextoNormalCaracter"/>
        </w:rPr>
        <w:t>-</w:t>
      </w:r>
      <w:r>
        <w:t xml:space="preserve"> Sentencia </w:t>
      </w:r>
      <w:hyperlink w:anchor="SENTENCIA_2016_123" w:history="1">
        <w:r w:rsidRPr="0057104C">
          <w:rPr>
            <w:rStyle w:val="TextoNormalCaracter"/>
          </w:rPr>
          <w:t>123/2016</w:t>
        </w:r>
      </w:hyperlink>
      <w:r>
        <w:t>, f. 4.</w:t>
      </w:r>
    </w:p>
    <w:p w:rsidR="0057104C" w:rsidRDefault="0057104C" w:rsidP="0057104C">
      <w:pPr>
        <w:pStyle w:val="SangriaFrancesaArticulo"/>
      </w:pPr>
      <w:r w:rsidRPr="0057104C">
        <w:rPr>
          <w:rStyle w:val="TextoNormalNegritaCaracter"/>
        </w:rPr>
        <w:t>Artículo 36.2 b).</w:t>
      </w:r>
      <w:r w:rsidRPr="0057104C">
        <w:rPr>
          <w:rStyle w:val="TextoNormalCaracter"/>
        </w:rPr>
        <w:t>-</w:t>
      </w:r>
      <w:r>
        <w:t xml:space="preserve"> Sentencia </w:t>
      </w:r>
      <w:hyperlink w:anchor="SENTENCIA_2016_123" w:history="1">
        <w:r w:rsidRPr="0057104C">
          <w:rPr>
            <w:rStyle w:val="TextoNormalCaracter"/>
          </w:rPr>
          <w:t>123/2016</w:t>
        </w:r>
      </w:hyperlink>
      <w:r>
        <w:t>, f. 4.</w:t>
      </w:r>
    </w:p>
    <w:p w:rsidR="0057104C" w:rsidRDefault="0057104C" w:rsidP="0057104C">
      <w:pPr>
        <w:pStyle w:val="SangriaFrancesaArticulo"/>
      </w:pPr>
      <w:r w:rsidRPr="0057104C">
        <w:rPr>
          <w:rStyle w:val="TextoNormalNegritaCaracter"/>
        </w:rPr>
        <w:t>Artículo 44.</w:t>
      </w:r>
      <w:r w:rsidRPr="0057104C">
        <w:rPr>
          <w:rStyle w:val="TextoNormalCaracter"/>
        </w:rPr>
        <w:t>-</w:t>
      </w:r>
      <w:r>
        <w:t xml:space="preserve"> Auto </w:t>
      </w:r>
      <w:hyperlink w:anchor="AUTO_2016_49" w:history="1">
        <w:r w:rsidRPr="0057104C">
          <w:rPr>
            <w:rStyle w:val="TextoNormalCaracter"/>
          </w:rPr>
          <w:t>49/2016</w:t>
        </w:r>
      </w:hyperlink>
      <w:r>
        <w:t>, f. 2.</w:t>
      </w:r>
    </w:p>
    <w:p w:rsidR="0057104C" w:rsidRDefault="0057104C" w:rsidP="0057104C">
      <w:pPr>
        <w:pStyle w:val="SangriaFrancesaArticulo"/>
      </w:pPr>
      <w:r w:rsidRPr="0057104C">
        <w:rPr>
          <w:rStyle w:val="TextoNormalNegritaCaracter"/>
        </w:rPr>
        <w:t>Artículo 58.1</w:t>
      </w:r>
      <w:r>
        <w:t xml:space="preserve"> (redactado por la Ley Orgánica 5/2010, de 22 de junio)</w:t>
      </w:r>
      <w:r w:rsidRPr="0057104C">
        <w:rPr>
          <w:rStyle w:val="TextoNormalNegritaCaracter"/>
        </w:rPr>
        <w:t>.</w:t>
      </w:r>
      <w:r w:rsidRPr="0057104C">
        <w:rPr>
          <w:rStyle w:val="TextoNormalCaracter"/>
        </w:rPr>
        <w:t>-</w:t>
      </w:r>
      <w:r>
        <w:t xml:space="preserve"> Sentencia </w:t>
      </w:r>
      <w:hyperlink w:anchor="SENTENCIA_2016_48" w:history="1">
        <w:r w:rsidRPr="0057104C">
          <w:rPr>
            <w:rStyle w:val="TextoNormalCaracter"/>
          </w:rPr>
          <w:t>48/2016</w:t>
        </w:r>
      </w:hyperlink>
      <w:r>
        <w:t>, ff. 1 a 4.</w:t>
      </w:r>
    </w:p>
    <w:p w:rsidR="0057104C" w:rsidRDefault="0057104C" w:rsidP="0057104C">
      <w:pPr>
        <w:pStyle w:val="SangriaFrancesaArticulo"/>
      </w:pPr>
      <w:r w:rsidRPr="0057104C">
        <w:rPr>
          <w:rStyle w:val="TextoNormalNegritaCaracter"/>
        </w:rPr>
        <w:t>Artículo 80 y ss.</w:t>
      </w:r>
      <w:r w:rsidRPr="0057104C">
        <w:rPr>
          <w:rStyle w:val="TextoNormalCaracter"/>
        </w:rPr>
        <w:t>-</w:t>
      </w:r>
      <w:r>
        <w:t xml:space="preserve"> Sentencias </w:t>
      </w:r>
      <w:hyperlink w:anchor="SENTENCIA_2016_12" w:history="1">
        <w:r w:rsidRPr="0057104C">
          <w:rPr>
            <w:rStyle w:val="TextoNormalCaracter"/>
          </w:rPr>
          <w:t>12/2016</w:t>
        </w:r>
      </w:hyperlink>
      <w:r>
        <w:t xml:space="preserve">, f. 4; </w:t>
      </w:r>
      <w:hyperlink w:anchor="SENTENCIA_2016_14" w:history="1">
        <w:r w:rsidRPr="0057104C">
          <w:rPr>
            <w:rStyle w:val="TextoNormalCaracter"/>
          </w:rPr>
          <w:t>14/2016</w:t>
        </w:r>
      </w:hyperlink>
      <w:r>
        <w:t>, f. 3.</w:t>
      </w:r>
    </w:p>
    <w:p w:rsidR="0057104C" w:rsidRDefault="0057104C" w:rsidP="0057104C">
      <w:pPr>
        <w:pStyle w:val="SangriaFrancesaArticulo"/>
      </w:pPr>
      <w:r w:rsidRPr="0057104C">
        <w:rPr>
          <w:rStyle w:val="TextoNormalNegritaCaracter"/>
        </w:rPr>
        <w:t>Artículo 80.4.</w:t>
      </w:r>
      <w:r w:rsidRPr="0057104C">
        <w:rPr>
          <w:rStyle w:val="TextoNormalCaracter"/>
        </w:rPr>
        <w:t>-</w:t>
      </w:r>
      <w:r>
        <w:t xml:space="preserve"> Sentencia </w:t>
      </w:r>
      <w:hyperlink w:anchor="SENTENCIA_2016_14" w:history="1">
        <w:r w:rsidRPr="0057104C">
          <w:rPr>
            <w:rStyle w:val="TextoNormalCaracter"/>
          </w:rPr>
          <w:t>14/2016</w:t>
        </w:r>
      </w:hyperlink>
      <w:r>
        <w:t>, f. 4.</w:t>
      </w:r>
    </w:p>
    <w:p w:rsidR="0057104C" w:rsidRDefault="0057104C" w:rsidP="0057104C">
      <w:pPr>
        <w:pStyle w:val="SangriaFrancesaArticulo"/>
      </w:pPr>
      <w:r w:rsidRPr="0057104C">
        <w:rPr>
          <w:rStyle w:val="TextoNormalNegritaCaracter"/>
        </w:rPr>
        <w:t>Artículo 87.</w:t>
      </w:r>
      <w:r w:rsidRPr="0057104C">
        <w:rPr>
          <w:rStyle w:val="TextoNormalCaracter"/>
        </w:rPr>
        <w:t>-</w:t>
      </w:r>
      <w:r>
        <w:t xml:space="preserve"> Sentencia </w:t>
      </w:r>
      <w:hyperlink w:anchor="SENTENCIA_2016_12" w:history="1">
        <w:r w:rsidRPr="0057104C">
          <w:rPr>
            <w:rStyle w:val="TextoNormalCaracter"/>
          </w:rPr>
          <w:t>12/2016</w:t>
        </w:r>
      </w:hyperlink>
      <w:r>
        <w:t>, f. 5.</w:t>
      </w:r>
    </w:p>
    <w:p w:rsidR="0057104C" w:rsidRDefault="0057104C" w:rsidP="0057104C">
      <w:pPr>
        <w:pStyle w:val="SangriaFrancesaArticulo"/>
      </w:pPr>
      <w:r w:rsidRPr="0057104C">
        <w:rPr>
          <w:rStyle w:val="TextoNormalNegritaCaracter"/>
        </w:rPr>
        <w:t>Artículo 120.4.</w:t>
      </w:r>
      <w:r w:rsidRPr="0057104C">
        <w:rPr>
          <w:rStyle w:val="TextoNormalCaracter"/>
        </w:rPr>
        <w:t>-</w:t>
      </w:r>
      <w:r>
        <w:t xml:space="preserve"> Sentencia </w:t>
      </w:r>
      <w:hyperlink w:anchor="SENTENCIA_2016_69" w:history="1">
        <w:r w:rsidRPr="0057104C">
          <w:rPr>
            <w:rStyle w:val="TextoNormalCaracter"/>
          </w:rPr>
          <w:t>69/2016</w:t>
        </w:r>
      </w:hyperlink>
      <w:r>
        <w:t>, f. 4.</w:t>
      </w:r>
    </w:p>
    <w:p w:rsidR="0057104C" w:rsidRDefault="0057104C" w:rsidP="0057104C">
      <w:pPr>
        <w:pStyle w:val="SangriaFrancesaArticulo"/>
      </w:pPr>
      <w:r w:rsidRPr="0057104C">
        <w:rPr>
          <w:rStyle w:val="TextoNormalNegritaCaracter"/>
        </w:rPr>
        <w:t>Artículo 132.2</w:t>
      </w:r>
      <w:r>
        <w:t xml:space="preserve"> (redactado por la Ley Orgánica 5/2010, de 22 de junio)</w:t>
      </w:r>
      <w:r w:rsidRPr="0057104C">
        <w:rPr>
          <w:rStyle w:val="TextoNormalNegritaCaracter"/>
        </w:rPr>
        <w:t>.</w:t>
      </w:r>
      <w:r w:rsidRPr="0057104C">
        <w:rPr>
          <w:rStyle w:val="TextoNormalCaracter"/>
        </w:rPr>
        <w:t>-</w:t>
      </w:r>
      <w:r>
        <w:t xml:space="preserve"> Sentencia </w:t>
      </w:r>
      <w:hyperlink w:anchor="SENTENCIA_2016_51" w:history="1">
        <w:r w:rsidRPr="0057104C">
          <w:rPr>
            <w:rStyle w:val="TextoNormalCaracter"/>
          </w:rPr>
          <w:t>51/2016</w:t>
        </w:r>
      </w:hyperlink>
      <w:r>
        <w:t>, ff. 1, 2.</w:t>
      </w:r>
    </w:p>
    <w:p w:rsidR="0057104C" w:rsidRDefault="0057104C" w:rsidP="0057104C">
      <w:pPr>
        <w:pStyle w:val="SangriaFrancesaArticulo"/>
      </w:pPr>
      <w:r w:rsidRPr="0057104C">
        <w:rPr>
          <w:rStyle w:val="TextoNormalNegritaCaracter"/>
        </w:rPr>
        <w:t>Artículo 134.</w:t>
      </w:r>
      <w:r w:rsidRPr="0057104C">
        <w:rPr>
          <w:rStyle w:val="TextoNormalCaracter"/>
        </w:rPr>
        <w:t>-</w:t>
      </w:r>
      <w:r>
        <w:t xml:space="preserve"> Sentencias </w:t>
      </w:r>
      <w:hyperlink w:anchor="SENTENCIA_2016_12" w:history="1">
        <w:r w:rsidRPr="0057104C">
          <w:rPr>
            <w:rStyle w:val="TextoNormalCaracter"/>
          </w:rPr>
          <w:t>12/2016</w:t>
        </w:r>
      </w:hyperlink>
      <w:r>
        <w:t xml:space="preserve">, ff. 1, 3 a 5; </w:t>
      </w:r>
      <w:hyperlink w:anchor="SENTENCIA_2016_14" w:history="1">
        <w:r w:rsidRPr="0057104C">
          <w:rPr>
            <w:rStyle w:val="TextoNormalCaracter"/>
          </w:rPr>
          <w:t>14/2016</w:t>
        </w:r>
      </w:hyperlink>
      <w:r>
        <w:t>, ff. 1 a 4.</w:t>
      </w:r>
    </w:p>
    <w:p w:rsidR="0057104C" w:rsidRDefault="0057104C" w:rsidP="0057104C">
      <w:pPr>
        <w:pStyle w:val="SangriaFrancesaArticulo"/>
      </w:pPr>
      <w:r w:rsidRPr="0057104C">
        <w:rPr>
          <w:rStyle w:val="TextoNormalNegritaCaracter"/>
        </w:rPr>
        <w:t>Artículo 138.</w:t>
      </w:r>
      <w:r w:rsidRPr="0057104C">
        <w:rPr>
          <w:rStyle w:val="TextoNormalCaracter"/>
        </w:rPr>
        <w:t>-</w:t>
      </w:r>
      <w:r>
        <w:t xml:space="preserve"> Auto </w:t>
      </w:r>
      <w:hyperlink w:anchor="AUTO_2016_90" w:history="1">
        <w:r w:rsidRPr="0057104C">
          <w:rPr>
            <w:rStyle w:val="TextoNormalCaracter"/>
          </w:rPr>
          <w:t>90/2016</w:t>
        </w:r>
      </w:hyperlink>
      <w:r>
        <w:t>, f. 5.</w:t>
      </w:r>
    </w:p>
    <w:p w:rsidR="0057104C" w:rsidRDefault="0057104C" w:rsidP="0057104C">
      <w:pPr>
        <w:pStyle w:val="SangriaFrancesaArticulo"/>
      </w:pPr>
      <w:r w:rsidRPr="0057104C">
        <w:rPr>
          <w:rStyle w:val="TextoNormalNegritaCaracter"/>
        </w:rPr>
        <w:t>Artículo 147.</w:t>
      </w:r>
      <w:r w:rsidRPr="0057104C">
        <w:rPr>
          <w:rStyle w:val="TextoNormalCaracter"/>
        </w:rPr>
        <w:t>-</w:t>
      </w:r>
      <w:r>
        <w:t xml:space="preserve"> Auto </w:t>
      </w:r>
      <w:hyperlink w:anchor="AUTO_2016_90" w:history="1">
        <w:r w:rsidRPr="0057104C">
          <w:rPr>
            <w:rStyle w:val="TextoNormalCaracter"/>
          </w:rPr>
          <w:t>90/2016</w:t>
        </w:r>
      </w:hyperlink>
      <w:r>
        <w:t>, f. 5.</w:t>
      </w:r>
    </w:p>
    <w:p w:rsidR="0057104C" w:rsidRDefault="0057104C" w:rsidP="0057104C">
      <w:pPr>
        <w:pStyle w:val="SangriaFrancesaArticulo"/>
      </w:pPr>
      <w:r w:rsidRPr="0057104C">
        <w:rPr>
          <w:rStyle w:val="TextoNormalNegritaCaracter"/>
        </w:rPr>
        <w:t>Artículo 237.</w:t>
      </w:r>
      <w:r w:rsidRPr="0057104C">
        <w:rPr>
          <w:rStyle w:val="TextoNormalCaracter"/>
        </w:rPr>
        <w:t>-</w:t>
      </w:r>
      <w:r>
        <w:t xml:space="preserve"> Auto </w:t>
      </w:r>
      <w:hyperlink w:anchor="AUTO_2016_112" w:history="1">
        <w:r w:rsidRPr="0057104C">
          <w:rPr>
            <w:rStyle w:val="TextoNormalCaracter"/>
          </w:rPr>
          <w:t>112/2016</w:t>
        </w:r>
      </w:hyperlink>
      <w:r>
        <w:t>, f. 3.</w:t>
      </w:r>
    </w:p>
    <w:p w:rsidR="0057104C" w:rsidRDefault="0057104C" w:rsidP="0057104C">
      <w:pPr>
        <w:pStyle w:val="SangriaFrancesaArticulo"/>
      </w:pPr>
      <w:r w:rsidRPr="0057104C">
        <w:rPr>
          <w:rStyle w:val="TextoNormalNegritaCaracter"/>
        </w:rPr>
        <w:t>Artículo 257.1.</w:t>
      </w:r>
      <w:r w:rsidRPr="0057104C">
        <w:rPr>
          <w:rStyle w:val="TextoNormalCaracter"/>
        </w:rPr>
        <w:t>-</w:t>
      </w:r>
      <w:r>
        <w:t xml:space="preserve"> Sentencia </w:t>
      </w:r>
      <w:hyperlink w:anchor="SENTENCIA_2016_105" w:history="1">
        <w:r w:rsidRPr="0057104C">
          <w:rPr>
            <w:rStyle w:val="TextoNormalCaracter"/>
          </w:rPr>
          <w:t>105/2016</w:t>
        </w:r>
      </w:hyperlink>
      <w:r>
        <w:t>, f. 6.</w:t>
      </w:r>
    </w:p>
    <w:p w:rsidR="0057104C" w:rsidRDefault="0057104C" w:rsidP="0057104C">
      <w:pPr>
        <w:pStyle w:val="SangriaFrancesaArticulo"/>
      </w:pPr>
      <w:r w:rsidRPr="0057104C">
        <w:rPr>
          <w:rStyle w:val="TextoNormalNegritaCaracter"/>
        </w:rPr>
        <w:t xml:space="preserve">Artículo 305.1 </w:t>
      </w:r>
      <w:r w:rsidRPr="0057104C">
        <w:rPr>
          <w:rStyle w:val="TextoNormalNegritaCursivaCaracter"/>
        </w:rPr>
        <w:t>in fine</w:t>
      </w:r>
      <w:r w:rsidRPr="0057104C">
        <w:rPr>
          <w:rStyle w:val="TextoNormalNegritaCaracter"/>
        </w:rPr>
        <w:t>.</w:t>
      </w:r>
      <w:r w:rsidRPr="0057104C">
        <w:rPr>
          <w:rStyle w:val="TextoNormalCaracter"/>
        </w:rPr>
        <w:t>-</w:t>
      </w:r>
      <w:r>
        <w:t xml:space="preserve"> Auto </w:t>
      </w:r>
      <w:hyperlink w:anchor="AUTO_2016_34" w:history="1">
        <w:r w:rsidRPr="0057104C">
          <w:rPr>
            <w:rStyle w:val="TextoNormalCaracter"/>
          </w:rPr>
          <w:t>34/2016</w:t>
        </w:r>
      </w:hyperlink>
      <w:r>
        <w:t>, f. 4.</w:t>
      </w:r>
    </w:p>
    <w:p w:rsidR="0057104C" w:rsidRDefault="0057104C" w:rsidP="0057104C">
      <w:pPr>
        <w:pStyle w:val="SangriaFrancesaArticulo"/>
      </w:pPr>
      <w:r w:rsidRPr="0057104C">
        <w:rPr>
          <w:rStyle w:val="TextoNormalNegritaCaracter"/>
        </w:rPr>
        <w:t>Artículo 315.</w:t>
      </w:r>
      <w:r w:rsidRPr="0057104C">
        <w:rPr>
          <w:rStyle w:val="TextoNormalCaracter"/>
        </w:rPr>
        <w:t>-</w:t>
      </w:r>
      <w:r>
        <w:t xml:space="preserve"> Sentencia </w:t>
      </w:r>
      <w:hyperlink w:anchor="SENTENCIA_2016_69" w:history="1">
        <w:r w:rsidRPr="0057104C">
          <w:rPr>
            <w:rStyle w:val="TextoNormalCaracter"/>
          </w:rPr>
          <w:t>69/2016</w:t>
        </w:r>
      </w:hyperlink>
      <w:r>
        <w:t>, f. 4.</w:t>
      </w:r>
    </w:p>
    <w:p w:rsidR="0057104C" w:rsidRDefault="0057104C" w:rsidP="0057104C">
      <w:pPr>
        <w:pStyle w:val="SangriaFrancesaArticulo"/>
      </w:pPr>
      <w:r w:rsidRPr="0057104C">
        <w:rPr>
          <w:rStyle w:val="TextoNormalNegritaCaracter"/>
        </w:rPr>
        <w:t>Artículo 496.</w:t>
      </w:r>
      <w:r w:rsidRPr="0057104C">
        <w:rPr>
          <w:rStyle w:val="TextoNormalCaracter"/>
        </w:rPr>
        <w:t>-</w:t>
      </w:r>
      <w:r>
        <w:t xml:space="preserve"> Sentencia </w:t>
      </w:r>
      <w:hyperlink w:anchor="SENTENCIA_2016_69" w:history="1">
        <w:r w:rsidRPr="0057104C">
          <w:rPr>
            <w:rStyle w:val="TextoNormalCaracter"/>
          </w:rPr>
          <w:t>69/2016</w:t>
        </w:r>
      </w:hyperlink>
      <w:r>
        <w:t>, f. 3.</w:t>
      </w:r>
    </w:p>
    <w:p w:rsidR="0057104C" w:rsidRDefault="0057104C" w:rsidP="0057104C">
      <w:pPr>
        <w:pStyle w:val="SangriaFrancesaArticulo"/>
      </w:pPr>
      <w:r w:rsidRPr="0057104C">
        <w:rPr>
          <w:rStyle w:val="TextoNormalNegritaCaracter"/>
        </w:rPr>
        <w:t>Artículos 571 a 577.</w:t>
      </w:r>
      <w:r w:rsidRPr="0057104C">
        <w:rPr>
          <w:rStyle w:val="TextoNormalCaracter"/>
        </w:rPr>
        <w:t>-</w:t>
      </w:r>
      <w:r>
        <w:t xml:space="preserve"> Sentencia </w:t>
      </w:r>
      <w:hyperlink w:anchor="SENTENCIA_2016_112" w:history="1">
        <w:r w:rsidRPr="0057104C">
          <w:rPr>
            <w:rStyle w:val="TextoNormalCaracter"/>
          </w:rPr>
          <w:t>112/2016</w:t>
        </w:r>
      </w:hyperlink>
      <w:r>
        <w:t>, f. 4, VP.</w:t>
      </w:r>
    </w:p>
    <w:p w:rsidR="0057104C" w:rsidRDefault="0057104C" w:rsidP="0057104C">
      <w:pPr>
        <w:pStyle w:val="SangriaFrancesaArticulo"/>
      </w:pPr>
      <w:r w:rsidRPr="0057104C">
        <w:rPr>
          <w:rStyle w:val="TextoNormalNegritaCaracter"/>
        </w:rPr>
        <w:t>Artículo 578.</w:t>
      </w:r>
      <w:r w:rsidRPr="0057104C">
        <w:rPr>
          <w:rStyle w:val="TextoNormalCaracter"/>
        </w:rPr>
        <w:t>-</w:t>
      </w:r>
      <w:r>
        <w:t xml:space="preserve"> Sentencia </w:t>
      </w:r>
      <w:hyperlink w:anchor="SENTENCIA_2016_112" w:history="1">
        <w:r w:rsidRPr="0057104C">
          <w:rPr>
            <w:rStyle w:val="TextoNormalCaracter"/>
          </w:rPr>
          <w:t>112/2016</w:t>
        </w:r>
      </w:hyperlink>
      <w:r>
        <w:t>, ff. 1, 4 a 6, VP.</w:t>
      </w:r>
    </w:p>
    <w:p w:rsidR="0057104C" w:rsidRDefault="0057104C" w:rsidP="0057104C">
      <w:pPr>
        <w:pStyle w:val="SangriaFrancesaArticulo"/>
      </w:pPr>
      <w:r w:rsidRPr="0057104C">
        <w:rPr>
          <w:rStyle w:val="TextoNormalNegritaCaracter"/>
        </w:rPr>
        <w:t>Artículo 607.2.</w:t>
      </w:r>
      <w:r w:rsidRPr="0057104C">
        <w:rPr>
          <w:rStyle w:val="TextoNormalCaracter"/>
        </w:rPr>
        <w:t>-</w:t>
      </w:r>
      <w:r>
        <w:t xml:space="preserve"> Sentencia </w:t>
      </w:r>
      <w:hyperlink w:anchor="SENTENCIA_2016_112" w:history="1">
        <w:r w:rsidRPr="0057104C">
          <w:rPr>
            <w:rStyle w:val="TextoNormalCaracter"/>
          </w:rPr>
          <w:t>112/2016</w:t>
        </w:r>
      </w:hyperlink>
      <w:r>
        <w:t>, f. 3.</w:t>
      </w:r>
    </w:p>
    <w:p w:rsidR="0057104C" w:rsidRDefault="0057104C" w:rsidP="0057104C">
      <w:pPr>
        <w:pStyle w:val="SangriaFrancesaArticulo"/>
      </w:pPr>
    </w:p>
    <w:p w:rsidR="0057104C" w:rsidRDefault="0057104C" w:rsidP="0057104C">
      <w:pPr>
        <w:pStyle w:val="TextoNormalNegritaCursivandice"/>
      </w:pPr>
      <w:r>
        <w:t>Ley Orgánica 1/1996, de 15 de enero. Protección jurídica del menor, modificación parcial del Código civil y de la Ley de enjuiciamiento civil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6" w:history="1">
        <w:r w:rsidRPr="0057104C">
          <w:rPr>
            <w:rStyle w:val="TextoNormalCaracter"/>
          </w:rPr>
          <w:t>16/2016</w:t>
        </w:r>
      </w:hyperlink>
      <w:r>
        <w:t>, f. 4.</w:t>
      </w:r>
    </w:p>
    <w:p w:rsidR="0057104C" w:rsidRDefault="0057104C" w:rsidP="0057104C">
      <w:pPr>
        <w:pStyle w:val="SangriaFrancesaArticulo"/>
      </w:pPr>
    </w:p>
    <w:p w:rsidR="0057104C" w:rsidRDefault="0057104C" w:rsidP="0057104C">
      <w:pPr>
        <w:pStyle w:val="TextoNormalNegritaCursivandice"/>
      </w:pPr>
      <w:r>
        <w:t>Ley Orgánica 8/1999, de 21 de abril. Modificación de la Ley Orgánica 5/1985, de 19 de junio, del régimen electoral general</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p>
    <w:p w:rsidR="0057104C" w:rsidRDefault="0057104C" w:rsidP="0057104C">
      <w:pPr>
        <w:pStyle w:val="TextoNormalNegritaCursivandice"/>
      </w:pPr>
      <w:r>
        <w:t>Ley Orgánica 13/1999, de 14 de mayo. Modificación de los artículos 19 y 240 de la Ley Orgánica 6/1985, de 1 de julio, del Poder judicial</w:t>
      </w:r>
    </w:p>
    <w:p w:rsidR="0057104C" w:rsidRDefault="0057104C" w:rsidP="0057104C">
      <w:pPr>
        <w:pStyle w:val="SangriaFrancesaArticulo"/>
      </w:pPr>
      <w:r w:rsidRPr="0057104C">
        <w:rPr>
          <w:rStyle w:val="TextoNormalNegritaCaracter"/>
        </w:rPr>
        <w:t>Artículo 240.</w:t>
      </w:r>
      <w:r w:rsidRPr="0057104C">
        <w:rPr>
          <w:rStyle w:val="TextoNormalCaracter"/>
        </w:rPr>
        <w:t>-</w:t>
      </w:r>
      <w:r>
        <w:t xml:space="preserve"> Sentencia </w:t>
      </w:r>
      <w:hyperlink w:anchor="SENTENCIA_2016_103" w:history="1">
        <w:r w:rsidRPr="0057104C">
          <w:rPr>
            <w:rStyle w:val="TextoNormalCaracter"/>
          </w:rPr>
          <w:t>103/2016</w:t>
        </w:r>
      </w:hyperlink>
      <w:r>
        <w:t>, f. 3.</w:t>
      </w:r>
    </w:p>
    <w:p w:rsidR="0057104C" w:rsidRDefault="0057104C" w:rsidP="0057104C">
      <w:pPr>
        <w:pStyle w:val="SangriaFrancesaArticulo"/>
      </w:pPr>
      <w:r w:rsidRPr="0057104C">
        <w:rPr>
          <w:rStyle w:val="TextoNormalNegritaCaracter"/>
        </w:rPr>
        <w:t>Artículo 240.2.</w:t>
      </w:r>
      <w:r w:rsidRPr="0057104C">
        <w:rPr>
          <w:rStyle w:val="TextoNormalCaracter"/>
        </w:rPr>
        <w:t>-</w:t>
      </w:r>
      <w:r>
        <w:t xml:space="preserve"> Sentencia </w:t>
      </w:r>
      <w:hyperlink w:anchor="SENTENCIA_2016_103" w:history="1">
        <w:r w:rsidRPr="0057104C">
          <w:rPr>
            <w:rStyle w:val="TextoNormalCaracter"/>
          </w:rPr>
          <w:t>103/2016</w:t>
        </w:r>
      </w:hyperlink>
      <w:r>
        <w:t>, f. 3.</w:t>
      </w:r>
    </w:p>
    <w:p w:rsidR="0057104C" w:rsidRDefault="0057104C" w:rsidP="0057104C">
      <w:pPr>
        <w:pStyle w:val="SangriaFrancesaArticulo"/>
      </w:pPr>
    </w:p>
    <w:p w:rsidR="0057104C" w:rsidRDefault="0057104C" w:rsidP="0057104C">
      <w:pPr>
        <w:pStyle w:val="TextoNormalNegritaCursivandice"/>
      </w:pPr>
      <w:r>
        <w:t>Ley Orgánica 15/1999, de 13 de diciembre. Protección de datos de carácter personal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9" w:history="1">
        <w:r w:rsidRPr="0057104C">
          <w:rPr>
            <w:rStyle w:val="TextoNormalCaracter"/>
          </w:rPr>
          <w:t>39/2016</w:t>
        </w:r>
      </w:hyperlink>
      <w:r>
        <w:t>, f. 3.</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39" w:history="1">
        <w:r w:rsidRPr="0057104C">
          <w:rPr>
            <w:rStyle w:val="TextoNormalCaracter"/>
          </w:rPr>
          <w:t>39/2016</w:t>
        </w:r>
      </w:hyperlink>
      <w:r>
        <w:t>, f. 3.</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39" w:history="1">
        <w:r w:rsidRPr="0057104C">
          <w:rPr>
            <w:rStyle w:val="TextoNormalCaracter"/>
          </w:rPr>
          <w:t>39/2016</w:t>
        </w:r>
      </w:hyperlink>
      <w:r>
        <w:t>, f. 3.</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39" w:history="1">
        <w:r w:rsidRPr="0057104C">
          <w:rPr>
            <w:rStyle w:val="TextoNormalCaracter"/>
          </w:rPr>
          <w:t>39/2016</w:t>
        </w:r>
      </w:hyperlink>
      <w:r>
        <w:t>, ff. 3, 4.</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39" w:history="1">
        <w:r w:rsidRPr="0057104C">
          <w:rPr>
            <w:rStyle w:val="TextoNormalCaracter"/>
          </w:rPr>
          <w:t>39/2016</w:t>
        </w:r>
      </w:hyperlink>
      <w:r>
        <w:t>, f. 3.</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39" w:history="1">
        <w:r w:rsidRPr="0057104C">
          <w:rPr>
            <w:rStyle w:val="TextoNormalCaracter"/>
          </w:rPr>
          <w:t>39/2016</w:t>
        </w:r>
      </w:hyperlink>
      <w:r>
        <w:t>, ff. 3, 4, VPI, VPII.</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 </w:t>
      </w:r>
      <w:hyperlink w:anchor="SENTENCIA_2016_39" w:history="1">
        <w:r w:rsidRPr="0057104C">
          <w:rPr>
            <w:rStyle w:val="TextoNormalCaracter"/>
          </w:rPr>
          <w:t>39/2016</w:t>
        </w:r>
      </w:hyperlink>
      <w:r>
        <w:t>, f. 4.</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39" w:history="1">
        <w:r w:rsidRPr="0057104C">
          <w:rPr>
            <w:rStyle w:val="TextoNormalCaracter"/>
          </w:rPr>
          <w:t>39/2016</w:t>
        </w:r>
      </w:hyperlink>
      <w:r>
        <w:t>, f. 4.</w:t>
      </w:r>
    </w:p>
    <w:p w:rsidR="0057104C" w:rsidRDefault="0057104C" w:rsidP="0057104C">
      <w:pPr>
        <w:pStyle w:val="SangriaFrancesaArticulo"/>
      </w:pPr>
      <w:r w:rsidRPr="0057104C">
        <w:rPr>
          <w:rStyle w:val="TextoNormalNegritaCaracter"/>
        </w:rPr>
        <w:t>Artículo 6.2.</w:t>
      </w:r>
      <w:r w:rsidRPr="0057104C">
        <w:rPr>
          <w:rStyle w:val="TextoNormalCaracter"/>
        </w:rPr>
        <w:t>-</w:t>
      </w:r>
      <w:r>
        <w:t xml:space="preserve"> Sentencia </w:t>
      </w:r>
      <w:hyperlink w:anchor="SENTENCIA_2016_39" w:history="1">
        <w:r w:rsidRPr="0057104C">
          <w:rPr>
            <w:rStyle w:val="TextoNormalCaracter"/>
          </w:rPr>
          <w:t>39/2016</w:t>
        </w:r>
      </w:hyperlink>
      <w:r>
        <w:t>, f. 3, VPI.</w:t>
      </w:r>
    </w:p>
    <w:p w:rsidR="0057104C" w:rsidRDefault="0057104C" w:rsidP="0057104C">
      <w:pPr>
        <w:pStyle w:val="SangriaFrancesaArticulo"/>
      </w:pPr>
      <w:r w:rsidRPr="0057104C">
        <w:rPr>
          <w:rStyle w:val="TextoNormalNegritaCaracter"/>
        </w:rPr>
        <w:t>Artículo 7.6.</w:t>
      </w:r>
      <w:r w:rsidRPr="0057104C">
        <w:rPr>
          <w:rStyle w:val="TextoNormalCaracter"/>
        </w:rPr>
        <w:t>-</w:t>
      </w:r>
      <w:r>
        <w:t xml:space="preserve"> Sentencia </w:t>
      </w:r>
      <w:hyperlink w:anchor="SENTENCIA_2016_39" w:history="1">
        <w:r w:rsidRPr="0057104C">
          <w:rPr>
            <w:rStyle w:val="TextoNormalCaracter"/>
          </w:rPr>
          <w:t>39/2016</w:t>
        </w:r>
      </w:hyperlink>
      <w:r>
        <w:t>, f. 3.</w:t>
      </w:r>
    </w:p>
    <w:p w:rsidR="0057104C" w:rsidRDefault="0057104C" w:rsidP="0057104C">
      <w:pPr>
        <w:pStyle w:val="SangriaFrancesaArticulo"/>
      </w:pPr>
      <w:r w:rsidRPr="0057104C">
        <w:rPr>
          <w:rStyle w:val="TextoNormalNegritaCaracter"/>
        </w:rPr>
        <w:t>Articulo 15 y siguientes.</w:t>
      </w:r>
      <w:r w:rsidRPr="0057104C">
        <w:rPr>
          <w:rStyle w:val="TextoNormalCaracter"/>
        </w:rPr>
        <w:t>-</w:t>
      </w:r>
      <w:r>
        <w:t xml:space="preserve"> Sentencia </w:t>
      </w:r>
      <w:hyperlink w:anchor="SENTENCIA_2016_39" w:history="1">
        <w:r w:rsidRPr="0057104C">
          <w:rPr>
            <w:rStyle w:val="TextoNormalCaracter"/>
          </w:rPr>
          <w:t>39/2016</w:t>
        </w:r>
      </w:hyperlink>
      <w:r>
        <w:t>, f. 4.</w:t>
      </w:r>
    </w:p>
    <w:p w:rsidR="0057104C" w:rsidRDefault="0057104C" w:rsidP="0057104C">
      <w:pPr>
        <w:pStyle w:val="SangriaFrancesaArticulo"/>
      </w:pPr>
      <w:r w:rsidRPr="0057104C">
        <w:rPr>
          <w:rStyle w:val="TextoNormalNegritaCaracter"/>
        </w:rPr>
        <w:t>Artículo 37.1 c).</w:t>
      </w:r>
      <w:r w:rsidRPr="0057104C">
        <w:rPr>
          <w:rStyle w:val="TextoNormalCaracter"/>
        </w:rPr>
        <w:t>-</w:t>
      </w:r>
      <w:r>
        <w:t xml:space="preserve"> Sentencia </w:t>
      </w:r>
      <w:hyperlink w:anchor="SENTENCIA_2016_39" w:history="1">
        <w:r w:rsidRPr="0057104C">
          <w:rPr>
            <w:rStyle w:val="TextoNormalCaracter"/>
          </w:rPr>
          <w:t>39/2016</w:t>
        </w:r>
      </w:hyperlink>
      <w:r>
        <w:t>, f. 4.</w:t>
      </w:r>
    </w:p>
    <w:p w:rsidR="0057104C" w:rsidRDefault="0057104C" w:rsidP="0057104C">
      <w:pPr>
        <w:pStyle w:val="SangriaFrancesaArticulo"/>
      </w:pPr>
    </w:p>
    <w:p w:rsidR="0057104C" w:rsidRDefault="0057104C" w:rsidP="0057104C">
      <w:pPr>
        <w:pStyle w:val="TextoNormalNegritaCursivandice"/>
      </w:pPr>
      <w:r>
        <w:t>Ley Orgánica 5/2000, de 12 de enero.  Responsabilidad penal de los menores</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r w:rsidRPr="0057104C">
        <w:rPr>
          <w:rStyle w:val="TextoNormalNegritaCaracter"/>
        </w:rPr>
        <w:t>Artículo 19.</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r w:rsidRPr="0057104C">
        <w:rPr>
          <w:rStyle w:val="TextoNormalNegritaCaracter"/>
        </w:rPr>
        <w:t>Artículo 27.4.</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r w:rsidRPr="0057104C">
        <w:rPr>
          <w:rStyle w:val="TextoNormalNegritaCaracter"/>
        </w:rPr>
        <w:t>Artículo 39.</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r w:rsidRPr="0057104C">
        <w:rPr>
          <w:rStyle w:val="TextoNormalNegritaCaracter"/>
        </w:rPr>
        <w:t>Artículo 40.</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r w:rsidRPr="0057104C">
        <w:rPr>
          <w:rStyle w:val="TextoNormalNegritaCaracter"/>
        </w:rPr>
        <w:t>Artículo 50.2.</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p>
    <w:p w:rsidR="0057104C" w:rsidRDefault="0057104C" w:rsidP="0057104C">
      <w:pPr>
        <w:pStyle w:val="TextoNormalNegritaCursivandice"/>
      </w:pPr>
      <w:r>
        <w:t>Ley Orgánica 5/2001, de 13 de diciembre. Complementaria a la Ley general de estabilidad presupuestaria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0" w:history="1">
        <w:r w:rsidRPr="0057104C">
          <w:rPr>
            <w:rStyle w:val="TextoNormalCaracter"/>
          </w:rPr>
          <w:t>70/2016</w:t>
        </w:r>
      </w:hyperlink>
      <w:r>
        <w:t>, f. 7.</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31" w:history="1">
        <w:r w:rsidRPr="0057104C">
          <w:rPr>
            <w:rStyle w:val="TextoNormalCaracter"/>
          </w:rPr>
          <w:t>31/2016</w:t>
        </w:r>
      </w:hyperlink>
      <w:r>
        <w:t>, f. 4.</w:t>
      </w:r>
    </w:p>
    <w:p w:rsidR="0057104C" w:rsidRDefault="0057104C" w:rsidP="0057104C">
      <w:pPr>
        <w:pStyle w:val="SangriaFrancesaArticulo"/>
      </w:pPr>
      <w:r w:rsidRPr="0057104C">
        <w:rPr>
          <w:rStyle w:val="TextoNormalNegritaCaracter"/>
        </w:rPr>
        <w:t>Artículo 4</w:t>
      </w:r>
      <w:r>
        <w:t xml:space="preserve"> (redactado por la Ley Orgánica 3/2006, de 26 de mayo)</w:t>
      </w:r>
      <w:r w:rsidRPr="0057104C">
        <w:rPr>
          <w:rStyle w:val="TextoNormalNegritaCaracter"/>
        </w:rPr>
        <w:t>.</w:t>
      </w:r>
      <w:r w:rsidRPr="0057104C">
        <w:rPr>
          <w:rStyle w:val="TextoNormalCaracter"/>
        </w:rPr>
        <w:t>-</w:t>
      </w:r>
      <w:r>
        <w:t xml:space="preserve"> Sentencia </w:t>
      </w:r>
      <w:hyperlink w:anchor="SENTENCIA_2016_70" w:history="1">
        <w:r w:rsidRPr="0057104C">
          <w:rPr>
            <w:rStyle w:val="TextoNormalCaracter"/>
          </w:rPr>
          <w:t>70/2016</w:t>
        </w:r>
      </w:hyperlink>
      <w:r>
        <w:t>, f. 7.</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101" w:history="1">
        <w:r w:rsidRPr="0057104C">
          <w:rPr>
            <w:rStyle w:val="TextoNormalCaracter"/>
          </w:rPr>
          <w:t>101/2016</w:t>
        </w:r>
      </w:hyperlink>
      <w:r>
        <w:t>, f. 7.</w:t>
      </w:r>
    </w:p>
    <w:p w:rsidR="0057104C" w:rsidRDefault="0057104C" w:rsidP="0057104C">
      <w:pPr>
        <w:pStyle w:val="SangriaFrancesaArticulo"/>
      </w:pPr>
      <w:r w:rsidRPr="0057104C">
        <w:rPr>
          <w:rStyle w:val="TextoNormalNegritaCaracter"/>
        </w:rPr>
        <w:t>Artículo 8.2.</w:t>
      </w:r>
      <w:r w:rsidRPr="0057104C">
        <w:rPr>
          <w:rStyle w:val="TextoNormalCaracter"/>
        </w:rPr>
        <w:t>-</w:t>
      </w:r>
      <w:r>
        <w:t xml:space="preserve"> Sentencia </w:t>
      </w:r>
      <w:hyperlink w:anchor="SENTENCIA_2016_101" w:history="1">
        <w:r w:rsidRPr="0057104C">
          <w:rPr>
            <w:rStyle w:val="TextoNormalCaracter"/>
          </w:rPr>
          <w:t>101/2016</w:t>
        </w:r>
      </w:hyperlink>
      <w:r>
        <w:t>, f. 7.</w:t>
      </w:r>
    </w:p>
    <w:p w:rsidR="0057104C" w:rsidRDefault="0057104C" w:rsidP="0057104C">
      <w:pPr>
        <w:pStyle w:val="SangriaFrancesaArticulo"/>
      </w:pPr>
    </w:p>
    <w:p w:rsidR="0057104C" w:rsidRDefault="0057104C" w:rsidP="0057104C">
      <w:pPr>
        <w:pStyle w:val="TextoNormalNegritaCursivandice"/>
      </w:pPr>
      <w:r>
        <w:t>Ley Orgánica 6/2001, de 21 de diciembre. Universidades</w:t>
      </w:r>
    </w:p>
    <w:p w:rsidR="0057104C" w:rsidRDefault="0057104C" w:rsidP="0057104C">
      <w:pPr>
        <w:pStyle w:val="SangriaFrancesaArticulo"/>
      </w:pPr>
      <w:r w:rsidRPr="0057104C">
        <w:rPr>
          <w:rStyle w:val="TextoNormalNegritaCaracter"/>
        </w:rPr>
        <w:t>Artículo 1.2 a).</w:t>
      </w:r>
      <w:r w:rsidRPr="0057104C">
        <w:rPr>
          <w:rStyle w:val="TextoNormalCaracter"/>
        </w:rPr>
        <w:t>-</w:t>
      </w:r>
      <w:r>
        <w:t xml:space="preserve"> Sentencia </w:t>
      </w:r>
      <w:hyperlink w:anchor="SENTENCIA_2016_44" w:history="1">
        <w:r w:rsidRPr="0057104C">
          <w:rPr>
            <w:rStyle w:val="TextoNormalCaracter"/>
          </w:rPr>
          <w:t>44/2016</w:t>
        </w:r>
      </w:hyperlink>
      <w:r>
        <w:t>, f. 4.</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Sentencias </w:t>
      </w:r>
      <w:hyperlink w:anchor="SENTENCIA_2016_26" w:history="1">
        <w:r w:rsidRPr="0057104C">
          <w:rPr>
            <w:rStyle w:val="TextoNormalCaracter"/>
          </w:rPr>
          <w:t>26/2016</w:t>
        </w:r>
      </w:hyperlink>
      <w:r>
        <w:t xml:space="preserve">, f. 8; </w:t>
      </w:r>
      <w:hyperlink w:anchor="SENTENCIA_2016_44" w:history="1">
        <w:r w:rsidRPr="0057104C">
          <w:rPr>
            <w:rStyle w:val="TextoNormalCaracter"/>
          </w:rPr>
          <w:t>44/2016</w:t>
        </w:r>
      </w:hyperlink>
      <w:r>
        <w:t>, f. 3.</w:t>
      </w:r>
    </w:p>
    <w:p w:rsidR="0057104C" w:rsidRDefault="0057104C" w:rsidP="0057104C">
      <w:pPr>
        <w:pStyle w:val="SangriaFrancesaArticulo"/>
      </w:pPr>
      <w:r w:rsidRPr="0057104C">
        <w:rPr>
          <w:rStyle w:val="TextoNormalNegritaCaracter"/>
        </w:rPr>
        <w:t>Artículo 2.1 e).</w:t>
      </w:r>
      <w:r w:rsidRPr="0057104C">
        <w:rPr>
          <w:rStyle w:val="TextoNormalCaracter"/>
        </w:rPr>
        <w:t>-</w:t>
      </w:r>
      <w:r>
        <w:t xml:space="preserve"> Sentencia </w:t>
      </w:r>
      <w:hyperlink w:anchor="SENTENCIA_2016_26" w:history="1">
        <w:r w:rsidRPr="0057104C">
          <w:rPr>
            <w:rStyle w:val="TextoNormalCaracter"/>
          </w:rPr>
          <w:t>26/2016</w:t>
        </w:r>
      </w:hyperlink>
      <w:r>
        <w:t>, f. 8.</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44" w:history="1">
        <w:r w:rsidRPr="0057104C">
          <w:rPr>
            <w:rStyle w:val="TextoNormalCaracter"/>
          </w:rPr>
          <w:t>44/2016</w:t>
        </w:r>
      </w:hyperlink>
      <w:r>
        <w:t>, ff. 3 a 5.</w:t>
      </w:r>
    </w:p>
    <w:p w:rsidR="0057104C" w:rsidRDefault="0057104C" w:rsidP="0057104C">
      <w:pPr>
        <w:pStyle w:val="SangriaFrancesaArticulo"/>
      </w:pPr>
      <w:r w:rsidRPr="0057104C">
        <w:rPr>
          <w:rStyle w:val="TextoNormalNegritaCaracter"/>
        </w:rPr>
        <w:t>Artículo 2.2 e).</w:t>
      </w:r>
      <w:r w:rsidRPr="0057104C">
        <w:rPr>
          <w:rStyle w:val="TextoNormalCaracter"/>
        </w:rPr>
        <w:t>-</w:t>
      </w:r>
      <w:r>
        <w:t xml:space="preserve"> Sentencia </w:t>
      </w:r>
      <w:hyperlink w:anchor="SENTENCIA_2016_44" w:history="1">
        <w:r w:rsidRPr="0057104C">
          <w:rPr>
            <w:rStyle w:val="TextoNormalCaracter"/>
          </w:rPr>
          <w:t>44/2016</w:t>
        </w:r>
      </w:hyperlink>
      <w:r>
        <w:t>, ff. 4, 5.</w:t>
      </w:r>
    </w:p>
    <w:p w:rsidR="0057104C" w:rsidRDefault="0057104C" w:rsidP="0057104C">
      <w:pPr>
        <w:pStyle w:val="SangriaFrancesaArticulo"/>
      </w:pPr>
      <w:r w:rsidRPr="0057104C">
        <w:rPr>
          <w:rStyle w:val="TextoNormalNegritaCaracter"/>
        </w:rPr>
        <w:t>Artículo 2.2 i).</w:t>
      </w:r>
      <w:r w:rsidRPr="0057104C">
        <w:rPr>
          <w:rStyle w:val="TextoNormalCaracter"/>
        </w:rPr>
        <w:t>-</w:t>
      </w:r>
      <w:r>
        <w:t xml:space="preserve"> Sentencia </w:t>
      </w:r>
      <w:hyperlink w:anchor="SENTENCIA_2016_44" w:history="1">
        <w:r w:rsidRPr="0057104C">
          <w:rPr>
            <w:rStyle w:val="TextoNormalCaracter"/>
          </w:rPr>
          <w:t>44/2016</w:t>
        </w:r>
      </w:hyperlink>
      <w:r>
        <w:t>, f. 4.</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Sentencia </w:t>
      </w:r>
      <w:hyperlink w:anchor="SENTENCIA_2016_44" w:history="1">
        <w:r w:rsidRPr="0057104C">
          <w:rPr>
            <w:rStyle w:val="TextoNormalCaracter"/>
          </w:rPr>
          <w:t>44/2016</w:t>
        </w:r>
      </w:hyperlink>
      <w:r>
        <w:t>, f. 3.</w:t>
      </w:r>
    </w:p>
    <w:p w:rsidR="0057104C" w:rsidRDefault="0057104C" w:rsidP="0057104C">
      <w:pPr>
        <w:pStyle w:val="SangriaFrancesaArticulo"/>
      </w:pPr>
      <w:r w:rsidRPr="0057104C">
        <w:rPr>
          <w:rStyle w:val="TextoNormalNegritaCaracter"/>
        </w:rPr>
        <w:t>Artículo 4.3.</w:t>
      </w:r>
      <w:r w:rsidRPr="0057104C">
        <w:rPr>
          <w:rStyle w:val="TextoNormalCaracter"/>
        </w:rPr>
        <w:t>-</w:t>
      </w:r>
      <w:r>
        <w:t xml:space="preserve"> Sentencia </w:t>
      </w:r>
      <w:hyperlink w:anchor="SENTENCIA_2016_26" w:history="1">
        <w:r w:rsidRPr="0057104C">
          <w:rPr>
            <w:rStyle w:val="TextoNormalCaracter"/>
          </w:rPr>
          <w:t>26/2016</w:t>
        </w:r>
      </w:hyperlink>
      <w:r>
        <w:t>, f. 5.</w:t>
      </w:r>
    </w:p>
    <w:p w:rsidR="0057104C" w:rsidRDefault="0057104C" w:rsidP="0057104C">
      <w:pPr>
        <w:pStyle w:val="SangriaFrancesaArticulo"/>
      </w:pPr>
      <w:r w:rsidRPr="0057104C">
        <w:rPr>
          <w:rStyle w:val="TextoNormalNegritaCaracter"/>
        </w:rPr>
        <w:t>Artículo 7</w:t>
      </w:r>
      <w:r>
        <w:t xml:space="preserve"> (redactado por el Real Decreto-ley 14/2012, de 20 de abril)</w:t>
      </w:r>
      <w:r w:rsidRPr="0057104C">
        <w:rPr>
          <w:rStyle w:val="TextoNormalNegritaCaracter"/>
        </w:rPr>
        <w:t>.</w:t>
      </w:r>
      <w:r w:rsidRPr="0057104C">
        <w:rPr>
          <w:rStyle w:val="TextoNormalCaracter"/>
        </w:rPr>
        <w:t>-</w:t>
      </w:r>
      <w:r>
        <w:t xml:space="preserve"> Sentencia </w:t>
      </w:r>
      <w:hyperlink w:anchor="SENTENCIA_2016_26" w:history="1">
        <w:r w:rsidRPr="0057104C">
          <w:rPr>
            <w:rStyle w:val="TextoNormalCaracter"/>
          </w:rPr>
          <w:t>26/2016</w:t>
        </w:r>
      </w:hyperlink>
      <w:r>
        <w:t>, f. 5.</w:t>
      </w:r>
    </w:p>
    <w:p w:rsidR="0057104C" w:rsidRDefault="0057104C" w:rsidP="0057104C">
      <w:pPr>
        <w:pStyle w:val="SangriaFrancesaArticulo"/>
      </w:pPr>
      <w:r w:rsidRPr="0057104C">
        <w:rPr>
          <w:rStyle w:val="TextoNormalNegritaCaracter"/>
        </w:rPr>
        <w:t>Artículo 7.2</w:t>
      </w:r>
      <w:r>
        <w:t xml:space="preserve"> (redactado por el Real Decreto-ley 14/2012, de 20 de abril)</w:t>
      </w:r>
      <w:r w:rsidRPr="0057104C">
        <w:rPr>
          <w:rStyle w:val="TextoNormalNegritaCaracter"/>
        </w:rPr>
        <w:t>.</w:t>
      </w:r>
      <w:r w:rsidRPr="0057104C">
        <w:rPr>
          <w:rStyle w:val="TextoNormalCaracter"/>
        </w:rPr>
        <w:t>-</w:t>
      </w:r>
      <w:r>
        <w:t xml:space="preserve"> Sentencia </w:t>
      </w:r>
      <w:hyperlink w:anchor="SENTENCIA_2016_26" w:history="1">
        <w:r w:rsidRPr="0057104C">
          <w:rPr>
            <w:rStyle w:val="TextoNormalCaracter"/>
          </w:rPr>
          <w:t>26/2016</w:t>
        </w:r>
      </w:hyperlink>
      <w:r>
        <w:t>, f. 5.</w:t>
      </w:r>
    </w:p>
    <w:p w:rsidR="0057104C" w:rsidRDefault="0057104C" w:rsidP="0057104C">
      <w:pPr>
        <w:pStyle w:val="SangriaFrancesaArticulo"/>
      </w:pPr>
      <w:r w:rsidRPr="0057104C">
        <w:rPr>
          <w:rStyle w:val="TextoNormalNegritaCaracter"/>
        </w:rPr>
        <w:t>Artículo 8.2</w:t>
      </w:r>
      <w:r>
        <w:t xml:space="preserve"> (redactado por el Real Decreto-ley 14/2012, de 20 de abril)</w:t>
      </w:r>
      <w:r w:rsidRPr="0057104C">
        <w:rPr>
          <w:rStyle w:val="TextoNormalNegritaCaracter"/>
        </w:rPr>
        <w:t>.</w:t>
      </w:r>
      <w:r w:rsidRPr="0057104C">
        <w:rPr>
          <w:rStyle w:val="TextoNormalCaracter"/>
        </w:rPr>
        <w:t>-</w:t>
      </w:r>
      <w:r>
        <w:t xml:space="preserve"> Sentencia </w:t>
      </w:r>
      <w:hyperlink w:anchor="SENTENCIA_2016_26" w:history="1">
        <w:r w:rsidRPr="0057104C">
          <w:rPr>
            <w:rStyle w:val="TextoNormalCaracter"/>
          </w:rPr>
          <w:t>26/2016</w:t>
        </w:r>
      </w:hyperlink>
      <w:r>
        <w:t>, f. 5.</w:t>
      </w:r>
    </w:p>
    <w:p w:rsidR="0057104C" w:rsidRDefault="0057104C" w:rsidP="0057104C">
      <w:pPr>
        <w:pStyle w:val="SangriaFrancesaArticulo"/>
      </w:pPr>
      <w:r w:rsidRPr="0057104C">
        <w:rPr>
          <w:rStyle w:val="TextoNormalNegritaCaracter"/>
        </w:rPr>
        <w:t>Artículo 30 bis</w:t>
      </w:r>
      <w:r>
        <w:t xml:space="preserve"> (redactado por el Real Decreto-ley 14/2012, de 20 de abril)</w:t>
      </w:r>
      <w:r w:rsidRPr="0057104C">
        <w:rPr>
          <w:rStyle w:val="TextoNormalNegritaCaracter"/>
        </w:rPr>
        <w:t>.</w:t>
      </w:r>
      <w:r w:rsidRPr="0057104C">
        <w:rPr>
          <w:rStyle w:val="TextoNormalCaracter"/>
        </w:rPr>
        <w:t>-</w:t>
      </w:r>
      <w:r>
        <w:t xml:space="preserve"> Sentencia </w:t>
      </w:r>
      <w:hyperlink w:anchor="SENTENCIA_2016_26" w:history="1">
        <w:r w:rsidRPr="0057104C">
          <w:rPr>
            <w:rStyle w:val="TextoNormalCaracter"/>
          </w:rPr>
          <w:t>26/2016</w:t>
        </w:r>
      </w:hyperlink>
      <w:r>
        <w:t>, ff. 5, 10.</w:t>
      </w:r>
    </w:p>
    <w:p w:rsidR="0057104C" w:rsidRDefault="0057104C" w:rsidP="0057104C">
      <w:pPr>
        <w:pStyle w:val="SangriaFrancesaArticulo"/>
      </w:pPr>
      <w:r w:rsidRPr="0057104C">
        <w:rPr>
          <w:rStyle w:val="TextoNormalNegritaCaracter"/>
        </w:rPr>
        <w:t>Artículo 31.2 c).</w:t>
      </w:r>
      <w:r w:rsidRPr="0057104C">
        <w:rPr>
          <w:rStyle w:val="TextoNormalCaracter"/>
        </w:rPr>
        <w:t>-</w:t>
      </w:r>
      <w:r>
        <w:t xml:space="preserve"> Sentencia </w:t>
      </w:r>
      <w:hyperlink w:anchor="SENTENCIA_2016_26" w:history="1">
        <w:r w:rsidRPr="0057104C">
          <w:rPr>
            <w:rStyle w:val="TextoNormalCaracter"/>
          </w:rPr>
          <w:t>26/2016</w:t>
        </w:r>
      </w:hyperlink>
      <w:r>
        <w:t>, f. 8.</w:t>
      </w:r>
    </w:p>
    <w:p w:rsidR="0057104C" w:rsidRDefault="0057104C" w:rsidP="0057104C">
      <w:pPr>
        <w:pStyle w:val="SangriaFrancesaArticulo"/>
      </w:pPr>
      <w:r w:rsidRPr="0057104C">
        <w:rPr>
          <w:rStyle w:val="TextoNormalNegritaCaracter"/>
        </w:rPr>
        <w:t>Artículo 45.1.</w:t>
      </w:r>
      <w:r w:rsidRPr="0057104C">
        <w:rPr>
          <w:rStyle w:val="TextoNormalCaracter"/>
        </w:rPr>
        <w:t>-</w:t>
      </w:r>
      <w:r>
        <w:t xml:space="preserve"> Sentencias </w:t>
      </w:r>
      <w:hyperlink w:anchor="SENTENCIA_2016_26" w:history="1">
        <w:r w:rsidRPr="0057104C">
          <w:rPr>
            <w:rStyle w:val="TextoNormalCaracter"/>
          </w:rPr>
          <w:t>26/2016</w:t>
        </w:r>
      </w:hyperlink>
      <w:r>
        <w:t xml:space="preserve">, f. 7; </w:t>
      </w:r>
      <w:hyperlink w:anchor="SENTENCIA_2016_84" w:history="1">
        <w:r w:rsidRPr="0057104C">
          <w:rPr>
            <w:rStyle w:val="TextoNormalCaracter"/>
          </w:rPr>
          <w:t>84/2016</w:t>
        </w:r>
      </w:hyperlink>
      <w:r>
        <w:t>, f. 4.</w:t>
      </w:r>
    </w:p>
    <w:p w:rsidR="0057104C" w:rsidRDefault="0057104C" w:rsidP="0057104C">
      <w:pPr>
        <w:pStyle w:val="SangriaFrancesaArticulo"/>
      </w:pPr>
      <w:r w:rsidRPr="0057104C">
        <w:rPr>
          <w:rStyle w:val="TextoNormalNegritaCaracter"/>
        </w:rPr>
        <w:t>Artículo 45.4.</w:t>
      </w:r>
      <w:r w:rsidRPr="0057104C">
        <w:rPr>
          <w:rStyle w:val="TextoNormalCaracter"/>
        </w:rPr>
        <w:t>-</w:t>
      </w:r>
      <w:r>
        <w:t xml:space="preserve"> Sentencias </w:t>
      </w:r>
      <w:hyperlink w:anchor="SENTENCIA_2016_26" w:history="1">
        <w:r w:rsidRPr="0057104C">
          <w:rPr>
            <w:rStyle w:val="TextoNormalCaracter"/>
          </w:rPr>
          <w:t>26/2016</w:t>
        </w:r>
      </w:hyperlink>
      <w:r>
        <w:t xml:space="preserve">, f. 7; </w:t>
      </w:r>
      <w:hyperlink w:anchor="SENTENCIA_2016_84" w:history="1">
        <w:r w:rsidRPr="0057104C">
          <w:rPr>
            <w:rStyle w:val="TextoNormalCaracter"/>
          </w:rPr>
          <w:t>84/2016</w:t>
        </w:r>
      </w:hyperlink>
      <w:r>
        <w:t>, f. 4.</w:t>
      </w:r>
    </w:p>
    <w:p w:rsidR="0057104C" w:rsidRDefault="0057104C" w:rsidP="0057104C">
      <w:pPr>
        <w:pStyle w:val="SangriaFrancesaArticulo"/>
      </w:pPr>
      <w:r w:rsidRPr="0057104C">
        <w:rPr>
          <w:rStyle w:val="TextoNormalNegritaCaracter"/>
        </w:rPr>
        <w:t>Artículo 48.4.</w:t>
      </w:r>
      <w:r w:rsidRPr="0057104C">
        <w:rPr>
          <w:rStyle w:val="TextoNormalCaracter"/>
        </w:rPr>
        <w:t>-</w:t>
      </w:r>
      <w:r>
        <w:t xml:space="preserve"> Sentencia </w:t>
      </w:r>
      <w:hyperlink w:anchor="SENTENCIA_2016_26" w:history="1">
        <w:r w:rsidRPr="0057104C">
          <w:rPr>
            <w:rStyle w:val="TextoNormalCaracter"/>
          </w:rPr>
          <w:t>26/2016</w:t>
        </w:r>
      </w:hyperlink>
      <w:r>
        <w:t>, VP.</w:t>
      </w:r>
    </w:p>
    <w:p w:rsidR="0057104C" w:rsidRDefault="0057104C" w:rsidP="0057104C">
      <w:pPr>
        <w:pStyle w:val="SangriaFrancesaArticulo"/>
      </w:pPr>
      <w:r w:rsidRPr="0057104C">
        <w:rPr>
          <w:rStyle w:val="TextoNormalNegritaCaracter"/>
        </w:rPr>
        <w:t>Artículo 56.2</w:t>
      </w:r>
      <w:r>
        <w:t xml:space="preserve"> (redactado por la Ley Orgánica 4/2007, de 12 de abril)</w:t>
      </w:r>
      <w:r w:rsidRPr="0057104C">
        <w:rPr>
          <w:rStyle w:val="TextoNormalNegritaCaracter"/>
        </w:rPr>
        <w:t>.</w:t>
      </w:r>
      <w:r w:rsidRPr="0057104C">
        <w:rPr>
          <w:rStyle w:val="TextoNormalCaracter"/>
        </w:rPr>
        <w:t>-</w:t>
      </w:r>
      <w:r>
        <w:t xml:space="preserve"> Sentencia </w:t>
      </w:r>
      <w:hyperlink w:anchor="SENTENCIA_2016_26" w:history="1">
        <w:r w:rsidRPr="0057104C">
          <w:rPr>
            <w:rStyle w:val="TextoNormalCaracter"/>
          </w:rPr>
          <w:t>26/2016</w:t>
        </w:r>
      </w:hyperlink>
      <w:r>
        <w:t>, f. 6.</w:t>
      </w:r>
    </w:p>
    <w:p w:rsidR="0057104C" w:rsidRDefault="0057104C" w:rsidP="0057104C">
      <w:pPr>
        <w:pStyle w:val="SangriaFrancesaArticulo"/>
      </w:pPr>
      <w:r w:rsidRPr="0057104C">
        <w:rPr>
          <w:rStyle w:val="TextoNormalNegritaCaracter"/>
        </w:rPr>
        <w:t>Artículo 61.</w:t>
      </w:r>
      <w:r w:rsidRPr="0057104C">
        <w:rPr>
          <w:rStyle w:val="TextoNormalCaracter"/>
        </w:rPr>
        <w:t>-</w:t>
      </w:r>
      <w:r>
        <w:t xml:space="preserve"> Sentencia </w:t>
      </w:r>
      <w:hyperlink w:anchor="SENTENCIA_2016_44" w:history="1">
        <w:r w:rsidRPr="0057104C">
          <w:rPr>
            <w:rStyle w:val="TextoNormalCaracter"/>
          </w:rPr>
          <w:t>44/2016</w:t>
        </w:r>
      </w:hyperlink>
      <w:r>
        <w:t>, f. 5.</w:t>
      </w:r>
    </w:p>
    <w:p w:rsidR="0057104C" w:rsidRDefault="0057104C" w:rsidP="0057104C">
      <w:pPr>
        <w:pStyle w:val="SangriaFrancesaArticulo"/>
      </w:pPr>
      <w:r w:rsidRPr="0057104C">
        <w:rPr>
          <w:rStyle w:val="TextoNormalNegritaCaracter"/>
        </w:rPr>
        <w:t>Artículo 68</w:t>
      </w:r>
      <w:r>
        <w:t xml:space="preserve"> (redactado por el Real Decreto-ley 14/2012, de 20 de abril)</w:t>
      </w:r>
      <w:r w:rsidRPr="0057104C">
        <w:rPr>
          <w:rStyle w:val="TextoNormalNegritaCaracter"/>
        </w:rPr>
        <w:t>.</w:t>
      </w:r>
      <w:r w:rsidRPr="0057104C">
        <w:rPr>
          <w:rStyle w:val="TextoNormalCaracter"/>
        </w:rPr>
        <w:t>-</w:t>
      </w:r>
      <w:r>
        <w:t xml:space="preserve"> Sentencia </w:t>
      </w:r>
      <w:hyperlink w:anchor="SENTENCIA_2016_26" w:history="1">
        <w:r w:rsidRPr="0057104C">
          <w:rPr>
            <w:rStyle w:val="TextoNormalCaracter"/>
          </w:rPr>
          <w:t>26/2016</w:t>
        </w:r>
      </w:hyperlink>
      <w:r>
        <w:t>, ff. 5, 9, VP.</w:t>
      </w:r>
    </w:p>
    <w:p w:rsidR="0057104C" w:rsidRDefault="0057104C" w:rsidP="0057104C">
      <w:pPr>
        <w:pStyle w:val="SangriaFrancesaArticulo"/>
      </w:pPr>
      <w:r w:rsidRPr="0057104C">
        <w:rPr>
          <w:rStyle w:val="TextoNormalNegritaCaracter"/>
        </w:rPr>
        <w:t>Artículo 68.2.</w:t>
      </w:r>
      <w:r w:rsidRPr="0057104C">
        <w:rPr>
          <w:rStyle w:val="TextoNormalCaracter"/>
        </w:rPr>
        <w:t>-</w:t>
      </w:r>
      <w:r>
        <w:t xml:space="preserve"> Sentencia </w:t>
      </w:r>
      <w:hyperlink w:anchor="SENTENCIA_2016_26" w:history="1">
        <w:r w:rsidRPr="0057104C">
          <w:rPr>
            <w:rStyle w:val="TextoNormalCaracter"/>
          </w:rPr>
          <w:t>26/2016</w:t>
        </w:r>
      </w:hyperlink>
      <w:r>
        <w:t>, ff. 6, 9.</w:t>
      </w:r>
    </w:p>
    <w:p w:rsidR="0057104C" w:rsidRDefault="0057104C" w:rsidP="0057104C">
      <w:pPr>
        <w:pStyle w:val="SangriaFrancesaArticulo"/>
      </w:pPr>
      <w:r w:rsidRPr="0057104C">
        <w:rPr>
          <w:rStyle w:val="TextoNormalNegritaCaracter"/>
        </w:rPr>
        <w:t>Artículo 68.3</w:t>
      </w:r>
      <w:r>
        <w:t xml:space="preserve"> (redactado por el Real Decreto-ley 14/2012 de 20 de abril)</w:t>
      </w:r>
      <w:r w:rsidRPr="0057104C">
        <w:rPr>
          <w:rStyle w:val="TextoNormalNegritaCaracter"/>
        </w:rPr>
        <w:t>.</w:t>
      </w:r>
      <w:r w:rsidRPr="0057104C">
        <w:rPr>
          <w:rStyle w:val="TextoNormalCaracter"/>
        </w:rPr>
        <w:t>-</w:t>
      </w:r>
      <w:r>
        <w:t xml:space="preserve"> Sentencia </w:t>
      </w:r>
      <w:hyperlink w:anchor="SENTENCIA_2016_26" w:history="1">
        <w:r w:rsidRPr="0057104C">
          <w:rPr>
            <w:rStyle w:val="TextoNormalCaracter"/>
          </w:rPr>
          <w:t>26/2016</w:t>
        </w:r>
      </w:hyperlink>
      <w:r>
        <w:t>, f. 6.</w:t>
      </w:r>
    </w:p>
    <w:p w:rsidR="0057104C" w:rsidRDefault="0057104C" w:rsidP="0057104C">
      <w:pPr>
        <w:pStyle w:val="SangriaFrancesaArticulo"/>
      </w:pPr>
      <w:r w:rsidRPr="0057104C">
        <w:rPr>
          <w:rStyle w:val="TextoNormalNegritaCaracter"/>
        </w:rPr>
        <w:t>Artículo 81.3 b).</w:t>
      </w:r>
      <w:r w:rsidRPr="0057104C">
        <w:rPr>
          <w:rStyle w:val="TextoNormalCaracter"/>
        </w:rPr>
        <w:t>-</w:t>
      </w:r>
      <w:r>
        <w:t xml:space="preserve"> Sentencias </w:t>
      </w:r>
      <w:hyperlink w:anchor="SENTENCIA_2016_26" w:history="1">
        <w:r w:rsidRPr="0057104C">
          <w:rPr>
            <w:rStyle w:val="TextoNormalCaracter"/>
          </w:rPr>
          <w:t>26/2016</w:t>
        </w:r>
      </w:hyperlink>
      <w:r>
        <w:t xml:space="preserve">, f. 7; </w:t>
      </w:r>
      <w:hyperlink w:anchor="SENTENCIA_2016_84" w:history="1">
        <w:r w:rsidRPr="0057104C">
          <w:rPr>
            <w:rStyle w:val="TextoNormalCaracter"/>
          </w:rPr>
          <w:t>84/2016</w:t>
        </w:r>
      </w:hyperlink>
      <w:r>
        <w:t>, ff. 4, 6.</w:t>
      </w:r>
    </w:p>
    <w:p w:rsidR="0057104C" w:rsidRDefault="0057104C" w:rsidP="0057104C">
      <w:pPr>
        <w:pStyle w:val="SangriaFrancesaArticulo"/>
      </w:pPr>
    </w:p>
    <w:p w:rsidR="0057104C" w:rsidRDefault="0057104C" w:rsidP="0057104C">
      <w:pPr>
        <w:pStyle w:val="TextoNormalNegritaCursivandice"/>
      </w:pPr>
      <w:r>
        <w:t>Ley Orgánica 14/2003, de 20 de noviembre. Reforma de la Ley Orgánica 4/2000, sobre derechos y libertades de los extranjeros en España y su integración social, y de las Leyes 7/1985, 30/1992 y 3/1991</w:t>
      </w:r>
    </w:p>
    <w:p w:rsidR="0057104C" w:rsidRDefault="0057104C" w:rsidP="0057104C">
      <w:pPr>
        <w:pStyle w:val="SangriaFrancesaArticulo"/>
      </w:pPr>
      <w:r w:rsidRPr="0057104C">
        <w:rPr>
          <w:rStyle w:val="TextoNormalNegritaCaracter"/>
        </w:rPr>
        <w:t>Artículo 53.1 a).</w:t>
      </w:r>
      <w:r w:rsidRPr="0057104C">
        <w:rPr>
          <w:rStyle w:val="TextoNormalCaracter"/>
        </w:rPr>
        <w:t>-</w:t>
      </w:r>
      <w:r>
        <w:t xml:space="preserve"> Sentencia </w:t>
      </w:r>
      <w:hyperlink w:anchor="SENTENCIA_2016_76" w:history="1">
        <w:r w:rsidRPr="0057104C">
          <w:rPr>
            <w:rStyle w:val="TextoNormalCaracter"/>
          </w:rPr>
          <w:t>76/2016</w:t>
        </w:r>
      </w:hyperlink>
      <w:r>
        <w:t>, f. 4.</w:t>
      </w:r>
    </w:p>
    <w:p w:rsidR="0057104C" w:rsidRDefault="0057104C" w:rsidP="0057104C">
      <w:pPr>
        <w:pStyle w:val="SangriaFrancesaArticulo"/>
      </w:pPr>
    </w:p>
    <w:p w:rsidR="0057104C" w:rsidRDefault="0057104C" w:rsidP="0057104C">
      <w:pPr>
        <w:pStyle w:val="TextoNormalNegritaCursivandice"/>
      </w:pPr>
      <w:r>
        <w:t>Ley Orgánica 19/2003, de 23 de diciembre. Modificación de la Ley Orgánica 6/1985, de 1 de julio, del Poder Judicial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58" w:history="1">
        <w:r w:rsidRPr="0057104C">
          <w:rPr>
            <w:rStyle w:val="TextoNormalCaracter"/>
          </w:rPr>
          <w:t>58/2016</w:t>
        </w:r>
      </w:hyperlink>
      <w:r>
        <w:t xml:space="preserve">, ff. 2, 4; </w:t>
      </w:r>
      <w:hyperlink w:anchor="SENTENCIA_2016_65" w:history="1">
        <w:r w:rsidRPr="0057104C">
          <w:rPr>
            <w:rStyle w:val="TextoNormalCaracter"/>
          </w:rPr>
          <w:t>65/2016</w:t>
        </w:r>
      </w:hyperlink>
      <w:r>
        <w:t xml:space="preserve">, f. 5; </w:t>
      </w:r>
      <w:hyperlink w:anchor="SENTENCIA_2016_77" w:history="1">
        <w:r w:rsidRPr="0057104C">
          <w:rPr>
            <w:rStyle w:val="TextoNormalCaracter"/>
          </w:rPr>
          <w:t>77/2016</w:t>
        </w:r>
      </w:hyperlink>
      <w:r>
        <w:t xml:space="preserve">, f. 3; </w:t>
      </w:r>
      <w:hyperlink w:anchor="SENTENCIA_2016_89" w:history="1">
        <w:r w:rsidRPr="0057104C">
          <w:rPr>
            <w:rStyle w:val="TextoNormalCaracter"/>
          </w:rPr>
          <w:t>89/2016</w:t>
        </w:r>
      </w:hyperlink>
      <w:r>
        <w:t>, f. 3.</w:t>
      </w:r>
    </w:p>
    <w:p w:rsidR="0057104C" w:rsidRDefault="0057104C" w:rsidP="0057104C">
      <w:pPr>
        <w:pStyle w:val="SangriaIzquierdaArticulo"/>
      </w:pPr>
      <w:r>
        <w:t xml:space="preserve">Auto </w:t>
      </w:r>
      <w:hyperlink w:anchor="AUTO_2016_93" w:history="1">
        <w:r w:rsidRPr="0057104C">
          <w:rPr>
            <w:rStyle w:val="TextoNormalCaracter"/>
          </w:rPr>
          <w:t>93/2016</w:t>
        </w:r>
      </w:hyperlink>
      <w:r>
        <w:t>, f. único.</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58" w:history="1">
        <w:r w:rsidRPr="0057104C">
          <w:rPr>
            <w:rStyle w:val="TextoNormalCaracter"/>
          </w:rPr>
          <w:t>58/2016</w:t>
        </w:r>
      </w:hyperlink>
      <w:r>
        <w:t>, f. 2.</w:t>
      </w:r>
    </w:p>
    <w:p w:rsidR="0057104C" w:rsidRDefault="0057104C" w:rsidP="0057104C">
      <w:pPr>
        <w:pStyle w:val="SangriaFrancesaArticulo"/>
      </w:pPr>
    </w:p>
    <w:p w:rsidR="0057104C" w:rsidRDefault="0057104C" w:rsidP="0057104C">
      <w:pPr>
        <w:pStyle w:val="TextoNormalNegritaCursivandice"/>
      </w:pPr>
      <w:r>
        <w:t>Ley Orgánica 2/2006, de 3 de mayo. Educación</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6" w:history="1">
        <w:r w:rsidRPr="0057104C">
          <w:rPr>
            <w:rStyle w:val="TextoNormalCaracter"/>
          </w:rPr>
          <w:t>66/2016</w:t>
        </w:r>
      </w:hyperlink>
      <w:r>
        <w:t>, f. 4.</w:t>
      </w:r>
    </w:p>
    <w:p w:rsidR="0057104C" w:rsidRDefault="0057104C" w:rsidP="0057104C">
      <w:pPr>
        <w:pStyle w:val="SangriaFrancesaArticulo"/>
      </w:pPr>
      <w:r w:rsidRPr="0057104C">
        <w:rPr>
          <w:rStyle w:val="TextoNormalNegritaCaracter"/>
        </w:rPr>
        <w:t>Artículo 35.</w:t>
      </w:r>
      <w:r w:rsidRPr="0057104C">
        <w:rPr>
          <w:rStyle w:val="TextoNormalCaracter"/>
        </w:rPr>
        <w:t>-</w:t>
      </w:r>
      <w:r>
        <w:t xml:space="preserve"> Sentencia </w:t>
      </w:r>
      <w:hyperlink w:anchor="SENTENCIA_2016_26" w:history="1">
        <w:r w:rsidRPr="0057104C">
          <w:rPr>
            <w:rStyle w:val="TextoNormalCaracter"/>
          </w:rPr>
          <w:t>26/2016</w:t>
        </w:r>
      </w:hyperlink>
      <w:r>
        <w:t>, f. 5.</w:t>
      </w:r>
    </w:p>
    <w:p w:rsidR="0057104C" w:rsidRDefault="0057104C" w:rsidP="0057104C">
      <w:pPr>
        <w:pStyle w:val="SangriaFrancesaArticulo"/>
      </w:pPr>
      <w:r w:rsidRPr="0057104C">
        <w:rPr>
          <w:rStyle w:val="TextoNormalNegritaCaracter"/>
        </w:rPr>
        <w:t>Artículo 84.3.</w:t>
      </w:r>
      <w:r w:rsidRPr="0057104C">
        <w:rPr>
          <w:rStyle w:val="TextoNormalCaracter"/>
        </w:rPr>
        <w:t>-</w:t>
      </w:r>
      <w:r>
        <w:t xml:space="preserve"> Autos </w:t>
      </w:r>
      <w:hyperlink w:anchor="AUTO_2016_39" w:history="1">
        <w:r w:rsidRPr="0057104C">
          <w:rPr>
            <w:rStyle w:val="TextoNormalCaracter"/>
          </w:rPr>
          <w:t>39/2016</w:t>
        </w:r>
      </w:hyperlink>
      <w:r>
        <w:t xml:space="preserve">, f. 2; </w:t>
      </w:r>
      <w:hyperlink w:anchor="AUTO_2016_40" w:history="1">
        <w:r w:rsidRPr="0057104C">
          <w:rPr>
            <w:rStyle w:val="TextoNormalCaracter"/>
          </w:rPr>
          <w:t>40/2016</w:t>
        </w:r>
      </w:hyperlink>
      <w:r>
        <w:t>, f. 2.</w:t>
      </w:r>
    </w:p>
    <w:p w:rsidR="0057104C" w:rsidRDefault="0057104C" w:rsidP="0057104C">
      <w:pPr>
        <w:pStyle w:val="SangriaFrancesaArticulo"/>
      </w:pPr>
      <w:r w:rsidRPr="0057104C">
        <w:rPr>
          <w:rStyle w:val="TextoNormalNegritaCaracter"/>
        </w:rPr>
        <w:t>Artículo 84.3</w:t>
      </w:r>
      <w:r>
        <w:t xml:space="preserve"> (redactado por la Ley Orgánica 8/2013, de 9 de diciembre)</w:t>
      </w:r>
      <w:r w:rsidRPr="0057104C">
        <w:rPr>
          <w:rStyle w:val="TextoNormalNegritaCaracter"/>
        </w:rPr>
        <w:t>.</w:t>
      </w:r>
      <w:r w:rsidRPr="0057104C">
        <w:rPr>
          <w:rStyle w:val="TextoNormalCaracter"/>
        </w:rPr>
        <w:t>-</w:t>
      </w:r>
      <w:r>
        <w:t xml:space="preserve"> Auto </w:t>
      </w:r>
      <w:hyperlink w:anchor="AUTO_2016_9" w:history="1">
        <w:r w:rsidRPr="0057104C">
          <w:rPr>
            <w:rStyle w:val="TextoNormalCaracter"/>
          </w:rPr>
          <w:t>9/2016</w:t>
        </w:r>
      </w:hyperlink>
      <w:r>
        <w:t>, f. 2.</w:t>
      </w:r>
    </w:p>
    <w:p w:rsidR="0057104C" w:rsidRDefault="0057104C" w:rsidP="0057104C">
      <w:pPr>
        <w:pStyle w:val="SangriaFrancesaArticulo"/>
      </w:pPr>
      <w:r w:rsidRPr="0057104C">
        <w:rPr>
          <w:rStyle w:val="TextoNormalNegritaCaracter"/>
        </w:rPr>
        <w:t>Artículo 108.</w:t>
      </w:r>
      <w:r w:rsidRPr="0057104C">
        <w:rPr>
          <w:rStyle w:val="TextoNormalCaracter"/>
        </w:rPr>
        <w:t>-</w:t>
      </w:r>
      <w:r>
        <w:t xml:space="preserve"> Sentencia </w:t>
      </w:r>
      <w:hyperlink w:anchor="SENTENCIA_2016_26" w:history="1">
        <w:r w:rsidRPr="0057104C">
          <w:rPr>
            <w:rStyle w:val="TextoNormalCaracter"/>
          </w:rPr>
          <w:t>26/2016</w:t>
        </w:r>
      </w:hyperlink>
      <w:r>
        <w:t>, f. 6.</w:t>
      </w:r>
    </w:p>
    <w:p w:rsidR="0057104C" w:rsidRDefault="0057104C" w:rsidP="0057104C">
      <w:pPr>
        <w:pStyle w:val="SangriaFrancesaArticulo"/>
      </w:pPr>
      <w:r w:rsidRPr="0057104C">
        <w:rPr>
          <w:rStyle w:val="TextoNormalNegritaCaracter"/>
        </w:rPr>
        <w:t>Artículo 157.1.</w:t>
      </w:r>
      <w:r w:rsidRPr="0057104C">
        <w:rPr>
          <w:rStyle w:val="TextoNormalCaracter"/>
        </w:rPr>
        <w:t>-</w:t>
      </w:r>
      <w:r>
        <w:t xml:space="preserve"> Sentencia </w:t>
      </w:r>
      <w:hyperlink w:anchor="SENTENCIA_2016_26" w:history="1">
        <w:r w:rsidRPr="0057104C">
          <w:rPr>
            <w:rStyle w:val="TextoNormalCaracter"/>
          </w:rPr>
          <w:t>26/2016</w:t>
        </w:r>
      </w:hyperlink>
      <w:r>
        <w:t>, f. 5.</w:t>
      </w:r>
    </w:p>
    <w:p w:rsidR="0057104C" w:rsidRDefault="0057104C" w:rsidP="0057104C">
      <w:pPr>
        <w:pStyle w:val="SangriaFrancesaArticulo"/>
      </w:pPr>
      <w:r w:rsidRPr="0057104C">
        <w:rPr>
          <w:rStyle w:val="TextoNormalNegritaCaracter"/>
        </w:rPr>
        <w:t>Artículo 157.1 a).</w:t>
      </w:r>
      <w:r w:rsidRPr="0057104C">
        <w:rPr>
          <w:rStyle w:val="TextoNormalCaracter"/>
        </w:rPr>
        <w:t>-</w:t>
      </w:r>
      <w:r>
        <w:t xml:space="preserve"> Sentencia </w:t>
      </w:r>
      <w:hyperlink w:anchor="SENTENCIA_2016_26" w:history="1">
        <w:r w:rsidRPr="0057104C">
          <w:rPr>
            <w:rStyle w:val="TextoNormalCaracter"/>
          </w:rPr>
          <w:t>26/2016</w:t>
        </w:r>
      </w:hyperlink>
      <w:r>
        <w:t>, f. 5.</w:t>
      </w:r>
    </w:p>
    <w:p w:rsidR="0057104C" w:rsidRDefault="0057104C" w:rsidP="0057104C">
      <w:pPr>
        <w:pStyle w:val="SangriaFrancesaArticulo"/>
      </w:pPr>
    </w:p>
    <w:p w:rsidR="0057104C" w:rsidRDefault="0057104C" w:rsidP="0057104C">
      <w:pPr>
        <w:pStyle w:val="TextoNormalNegritaCursivandice"/>
      </w:pPr>
      <w:r>
        <w:t>Ley Orgánica 3/2006, de 26 de mayo. Reforma la Ley Orgánica 5/2001, de 13 de diciembre de 2001, complementaria de la Ley general de estabilidad presupuestaria</w:t>
      </w:r>
    </w:p>
    <w:p w:rsidR="0057104C" w:rsidRDefault="0057104C" w:rsidP="0057104C">
      <w:pPr>
        <w:pStyle w:val="SangriaFrancesaArticulo"/>
      </w:pPr>
      <w:r w:rsidRPr="0057104C">
        <w:rPr>
          <w:rStyle w:val="TextoNormalNegritaCaracter"/>
        </w:rPr>
        <w:t>Artículo único. 5.</w:t>
      </w:r>
      <w:r w:rsidRPr="0057104C">
        <w:rPr>
          <w:rStyle w:val="TextoNormalCaracter"/>
        </w:rPr>
        <w:t>-</w:t>
      </w:r>
      <w:r>
        <w:t xml:space="preserve"> Sentencia </w:t>
      </w:r>
      <w:hyperlink w:anchor="SENTENCIA_2016_70" w:history="1">
        <w:r w:rsidRPr="0057104C">
          <w:rPr>
            <w:rStyle w:val="TextoNormalCaracter"/>
          </w:rPr>
          <w:t>70/2016</w:t>
        </w:r>
      </w:hyperlink>
      <w:r>
        <w:t>, f. 7.</w:t>
      </w:r>
    </w:p>
    <w:p w:rsidR="0057104C" w:rsidRDefault="0057104C" w:rsidP="0057104C">
      <w:pPr>
        <w:pStyle w:val="SangriaFrancesaArticulo"/>
      </w:pPr>
      <w:r w:rsidRPr="0057104C">
        <w:rPr>
          <w:rStyle w:val="TextoNormalNegritaCaracter"/>
        </w:rPr>
        <w:t>Artículo 7, apartado 4.</w:t>
      </w:r>
      <w:r w:rsidRPr="0057104C">
        <w:rPr>
          <w:rStyle w:val="TextoNormalCaracter"/>
        </w:rPr>
        <w:t>-</w:t>
      </w:r>
      <w:r>
        <w:t xml:space="preserve"> Sentencia </w:t>
      </w:r>
      <w:hyperlink w:anchor="SENTENCIA_2016_70" w:history="1">
        <w:r w:rsidRPr="0057104C">
          <w:rPr>
            <w:rStyle w:val="TextoNormalCaracter"/>
          </w:rPr>
          <w:t>70/2016</w:t>
        </w:r>
      </w:hyperlink>
      <w:r>
        <w:t>, f. 7.</w:t>
      </w:r>
    </w:p>
    <w:p w:rsidR="0057104C" w:rsidRDefault="0057104C" w:rsidP="0057104C">
      <w:pPr>
        <w:pStyle w:val="SangriaFrancesaArticulo"/>
      </w:pPr>
    </w:p>
    <w:p w:rsidR="0057104C" w:rsidRDefault="0057104C" w:rsidP="0057104C">
      <w:pPr>
        <w:pStyle w:val="TextoNormalNegritaCursivandice"/>
      </w:pPr>
      <w:r>
        <w:t>Ley Orgánica 8/2006, de 4 de diciembre. Modificación de la Ley Orgánica 5/2000,  de 12 de enero, reguladora de la responsabilidad penal de los menores</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r w:rsidRPr="0057104C">
        <w:rPr>
          <w:rStyle w:val="TextoNormalNegritaCaracter"/>
        </w:rPr>
        <w:t>Artículo 19.</w:t>
      </w:r>
      <w:r w:rsidRPr="0057104C">
        <w:rPr>
          <w:rStyle w:val="TextoNormalCaracter"/>
        </w:rPr>
        <w:t>-</w:t>
      </w:r>
      <w:r>
        <w:t xml:space="preserve"> Sentencia </w:t>
      </w:r>
      <w:hyperlink w:anchor="SENTENCIA_2016_23" w:history="1">
        <w:r w:rsidRPr="0057104C">
          <w:rPr>
            <w:rStyle w:val="TextoNormalCaracter"/>
          </w:rPr>
          <w:t>23/2016</w:t>
        </w:r>
      </w:hyperlink>
      <w:r>
        <w:t>, ff. 4, 5.</w:t>
      </w:r>
    </w:p>
    <w:p w:rsidR="0057104C" w:rsidRDefault="0057104C" w:rsidP="0057104C">
      <w:pPr>
        <w:pStyle w:val="SangriaFrancesaArticulo"/>
      </w:pPr>
    </w:p>
    <w:p w:rsidR="0057104C" w:rsidRDefault="0057104C" w:rsidP="0057104C">
      <w:pPr>
        <w:pStyle w:val="TextoNormalNegritaCursivandice"/>
      </w:pPr>
      <w:r>
        <w:t>Ley Orgánica 3/2009, de 18 de diciembre. Modificación de la Ley Orgánica 8/1980, de 22 de septiembre. Financiación de las Comunidades Autónomas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96" w:history="1">
        <w:r w:rsidRPr="0057104C">
          <w:rPr>
            <w:rStyle w:val="TextoNormalCaracter"/>
          </w:rPr>
          <w:t>96/2016</w:t>
        </w:r>
      </w:hyperlink>
      <w:r>
        <w:t>, ff. 4, 6, 8.</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96" w:history="1">
        <w:r w:rsidRPr="0057104C">
          <w:rPr>
            <w:rStyle w:val="TextoNormalCaracter"/>
          </w:rPr>
          <w:t>96/2016</w:t>
        </w:r>
      </w:hyperlink>
      <w:r>
        <w:t>, f. 4.</w:t>
      </w:r>
    </w:p>
    <w:p w:rsidR="0057104C" w:rsidRDefault="0057104C" w:rsidP="0057104C">
      <w:pPr>
        <w:pStyle w:val="SangriaFrancesaArticulo"/>
      </w:pPr>
      <w:r w:rsidRPr="0057104C">
        <w:rPr>
          <w:rStyle w:val="TextoNormalNegritaCaracter"/>
        </w:rPr>
        <w:t>Artículo 2.1 f).</w:t>
      </w:r>
      <w:r w:rsidRPr="0057104C">
        <w:rPr>
          <w:rStyle w:val="TextoNormalCaracter"/>
        </w:rPr>
        <w:t>-</w:t>
      </w:r>
      <w:r>
        <w:t xml:space="preserve"> Sentencia </w:t>
      </w:r>
      <w:hyperlink w:anchor="SENTENCIA_2016_96" w:history="1">
        <w:r w:rsidRPr="0057104C">
          <w:rPr>
            <w:rStyle w:val="TextoNormalCaracter"/>
          </w:rPr>
          <w:t>96/2016</w:t>
        </w:r>
      </w:hyperlink>
      <w:r>
        <w:t>, ff. 4, 8.</w:t>
      </w:r>
    </w:p>
    <w:p w:rsidR="0057104C" w:rsidRDefault="0057104C" w:rsidP="0057104C">
      <w:pPr>
        <w:pStyle w:val="SangriaFrancesaArticulo"/>
      </w:pPr>
      <w:r w:rsidRPr="0057104C">
        <w:rPr>
          <w:rStyle w:val="TextoNormalNegritaCaracter"/>
        </w:rPr>
        <w:t>Artículo 2.1 g).</w:t>
      </w:r>
      <w:r w:rsidRPr="0057104C">
        <w:rPr>
          <w:rStyle w:val="TextoNormalCaracter"/>
        </w:rPr>
        <w:t>-</w:t>
      </w:r>
      <w:r>
        <w:t xml:space="preserve"> Sentencia </w:t>
      </w:r>
      <w:hyperlink w:anchor="SENTENCIA_2016_96" w:history="1">
        <w:r w:rsidRPr="0057104C">
          <w:rPr>
            <w:rStyle w:val="TextoNormalCaracter"/>
          </w:rPr>
          <w:t>96/2016</w:t>
        </w:r>
      </w:hyperlink>
      <w:r>
        <w:t>, ff. 4, 6.</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96" w:history="1">
        <w:r w:rsidRPr="0057104C">
          <w:rPr>
            <w:rStyle w:val="TextoNormalCaracter"/>
          </w:rPr>
          <w:t>96/2016</w:t>
        </w:r>
      </w:hyperlink>
      <w:r>
        <w:t>, f. 4.</w:t>
      </w:r>
    </w:p>
    <w:p w:rsidR="0057104C" w:rsidRDefault="0057104C" w:rsidP="0057104C">
      <w:pPr>
        <w:pStyle w:val="SangriaFrancesaArticulo"/>
      </w:pPr>
      <w:r w:rsidRPr="0057104C">
        <w:rPr>
          <w:rStyle w:val="TextoNormalNegritaCaracter"/>
        </w:rPr>
        <w:t>Artículo 13.3.</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96" w:history="1">
        <w:r w:rsidRPr="0057104C">
          <w:rPr>
            <w:rStyle w:val="TextoNormalCaracter"/>
          </w:rPr>
          <w:t>96/2016</w:t>
        </w:r>
      </w:hyperlink>
      <w:r>
        <w:t>, ff. 4, 7, 8.</w:t>
      </w:r>
    </w:p>
    <w:p w:rsidR="0057104C" w:rsidRDefault="0057104C" w:rsidP="0057104C">
      <w:pPr>
        <w:pStyle w:val="SangriaFrancesaArticulo"/>
      </w:pPr>
      <w:r w:rsidRPr="0057104C">
        <w:rPr>
          <w:rStyle w:val="TextoNormalNegritaCaracter"/>
        </w:rPr>
        <w:t>Artículo 15.2.</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96" w:history="1">
        <w:r w:rsidRPr="0057104C">
          <w:rPr>
            <w:rStyle w:val="TextoNormalCaracter"/>
          </w:rPr>
          <w:t>96/2016</w:t>
        </w:r>
      </w:hyperlink>
      <w:r>
        <w:t>, f. 4.</w:t>
      </w:r>
    </w:p>
    <w:p w:rsidR="0057104C" w:rsidRDefault="0057104C" w:rsidP="0057104C">
      <w:pPr>
        <w:pStyle w:val="SangriaFrancesaArticulo"/>
      </w:pPr>
      <w:r w:rsidRPr="0057104C">
        <w:rPr>
          <w:rStyle w:val="TextoNormalNegritaCaracter"/>
        </w:rPr>
        <w:t>Disposición final.</w:t>
      </w:r>
      <w:r w:rsidRPr="0057104C">
        <w:rPr>
          <w:rStyle w:val="TextoNormalCaracter"/>
        </w:rPr>
        <w:t>-</w:t>
      </w:r>
      <w:r>
        <w:t xml:space="preserve"> Sentencia </w:t>
      </w:r>
      <w:hyperlink w:anchor="SENTENCIA_2016_96" w:history="1">
        <w:r w:rsidRPr="0057104C">
          <w:rPr>
            <w:rStyle w:val="TextoNormalCaracter"/>
          </w:rPr>
          <w:t>96/2016</w:t>
        </w:r>
      </w:hyperlink>
      <w:r>
        <w:t>, f. 6.</w:t>
      </w:r>
    </w:p>
    <w:p w:rsidR="0057104C" w:rsidRDefault="0057104C" w:rsidP="0057104C">
      <w:pPr>
        <w:pStyle w:val="SangriaFrancesaArticulo"/>
      </w:pPr>
    </w:p>
    <w:p w:rsidR="0057104C" w:rsidRDefault="0057104C" w:rsidP="0057104C">
      <w:pPr>
        <w:pStyle w:val="TextoNormalNegritaCursivandice"/>
      </w:pPr>
      <w:r>
        <w:t>Ley Orgánica 1/2010, de 19 de febrero. Modifica las leyes orgánicas del Tribunal Constitucional y del Poder Judicial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3" w:history="1">
        <w:r w:rsidRPr="0057104C">
          <w:rPr>
            <w:rStyle w:val="TextoNormalCaracter"/>
          </w:rPr>
          <w:t>3/2016</w:t>
        </w:r>
      </w:hyperlink>
      <w:r>
        <w:t xml:space="preserve">, ff. 1, 2, 5; </w:t>
      </w:r>
      <w:hyperlink w:anchor="SENTENCIA_2016_118" w:history="1">
        <w:r w:rsidRPr="0057104C">
          <w:rPr>
            <w:rStyle w:val="TextoNormalCaracter"/>
          </w:rPr>
          <w:t>118/2016</w:t>
        </w:r>
      </w:hyperlink>
      <w:r>
        <w:t>, ff. 1, 3, 4.</w:t>
      </w:r>
    </w:p>
    <w:p w:rsidR="0057104C" w:rsidRDefault="0057104C" w:rsidP="0057104C">
      <w:pPr>
        <w:pStyle w:val="SangriaIzquierdaArticulo"/>
      </w:pPr>
      <w:r>
        <w:t xml:space="preserve">Autos </w:t>
      </w:r>
      <w:hyperlink w:anchor="AUTO_2016_24" w:history="1">
        <w:r w:rsidRPr="0057104C">
          <w:rPr>
            <w:rStyle w:val="TextoNormalCaracter"/>
          </w:rPr>
          <w:t>24/2016</w:t>
        </w:r>
      </w:hyperlink>
      <w:r>
        <w:t xml:space="preserve">, f. 2; </w:t>
      </w:r>
      <w:hyperlink w:anchor="AUTO_2016_58" w:history="1">
        <w:r w:rsidRPr="0057104C">
          <w:rPr>
            <w:rStyle w:val="TextoNormalCaracter"/>
          </w:rPr>
          <w:t>58/2016</w:t>
        </w:r>
      </w:hyperlink>
      <w:r>
        <w:t>, f. único.</w:t>
      </w:r>
    </w:p>
    <w:p w:rsidR="0057104C" w:rsidRDefault="0057104C" w:rsidP="0057104C">
      <w:pPr>
        <w:pStyle w:val="SangriaFrancesaArticulo"/>
      </w:pPr>
      <w:r w:rsidRPr="0057104C">
        <w:rPr>
          <w:rStyle w:val="TextoNormalNegritaCaracter"/>
        </w:rPr>
        <w:t>Preámbulo, párrafo 4.</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118" w:history="1">
        <w:r w:rsidRPr="0057104C">
          <w:rPr>
            <w:rStyle w:val="TextoNormalCaracter"/>
          </w:rPr>
          <w:t>118/2016</w:t>
        </w:r>
      </w:hyperlink>
      <w:r>
        <w:t>, ff. 1, 3, 4.</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118" w:history="1">
        <w:r w:rsidRPr="0057104C">
          <w:rPr>
            <w:rStyle w:val="TextoNormalCaracter"/>
          </w:rPr>
          <w:t>118/2016</w:t>
        </w:r>
      </w:hyperlink>
      <w:r>
        <w:t>, ff. 1, 3, 4.</w:t>
      </w:r>
    </w:p>
    <w:p w:rsidR="0057104C" w:rsidRDefault="0057104C" w:rsidP="0057104C">
      <w:pPr>
        <w:pStyle w:val="SangriaFrancesaArticulo"/>
      </w:pPr>
      <w:r w:rsidRPr="0057104C">
        <w:rPr>
          <w:rStyle w:val="TextoNormalNegritaCaracter"/>
        </w:rPr>
        <w:t>Artículo 2, párrafo 1</w:t>
      </w:r>
      <w:r>
        <w:t xml:space="preserve"> (redactado por la Ley Orgánica 4/2011, de 11 de marzo)</w:t>
      </w:r>
      <w:r w:rsidRPr="0057104C">
        <w:rPr>
          <w:rStyle w:val="TextoNormalNegritaCaracter"/>
        </w:rPr>
        <w:t>.</w:t>
      </w:r>
      <w:r w:rsidRPr="0057104C">
        <w:rPr>
          <w:rStyle w:val="TextoNormalCaracter"/>
        </w:rPr>
        <w:t>-</w:t>
      </w:r>
      <w:r>
        <w:t xml:space="preserve"> Sentencia </w:t>
      </w:r>
      <w:hyperlink w:anchor="SENTENCIA_2016_118" w:history="1">
        <w:r w:rsidRPr="0057104C">
          <w:rPr>
            <w:rStyle w:val="TextoNormalCaracter"/>
          </w:rPr>
          <w:t>118/2016</w:t>
        </w:r>
      </w:hyperlink>
      <w:r>
        <w:t>, f. 1.</w:t>
      </w:r>
    </w:p>
    <w:p w:rsidR="0057104C" w:rsidRDefault="0057104C" w:rsidP="0057104C">
      <w:pPr>
        <w:pStyle w:val="SangriaFrancesaArticulo"/>
      </w:pPr>
      <w:r w:rsidRPr="0057104C">
        <w:rPr>
          <w:rStyle w:val="TextoNormalNegritaCaracter"/>
        </w:rPr>
        <w:t>Artículo 28.</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Disposición adicional única.</w:t>
      </w:r>
      <w:r w:rsidRPr="0057104C">
        <w:rPr>
          <w:rStyle w:val="TextoNormalCaracter"/>
        </w:rPr>
        <w:t>-</w:t>
      </w:r>
      <w:r>
        <w:t xml:space="preserve"> Sentencia </w:t>
      </w:r>
      <w:hyperlink w:anchor="SENTENCIA_2016_118" w:history="1">
        <w:r w:rsidRPr="0057104C">
          <w:rPr>
            <w:rStyle w:val="TextoNormalCaracter"/>
          </w:rPr>
          <w:t>118/2016</w:t>
        </w:r>
      </w:hyperlink>
      <w:r>
        <w:t>, ff. 1, 3, 4.</w:t>
      </w:r>
    </w:p>
    <w:p w:rsidR="0057104C" w:rsidRDefault="0057104C" w:rsidP="0057104C">
      <w:pPr>
        <w:pStyle w:val="SangriaFrancesaArticulo"/>
      </w:pPr>
    </w:p>
    <w:p w:rsidR="0057104C" w:rsidRDefault="0057104C" w:rsidP="0057104C">
      <w:pPr>
        <w:pStyle w:val="TextoNormalNegritaCursivandice"/>
      </w:pPr>
      <w:r>
        <w:t>Ley Orgánica 2/2010, de 3 de marzo. Salud sexual y reproductiva y de la interrupción voluntaria del embarazo</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11" w:history="1">
        <w:r w:rsidRPr="0057104C">
          <w:rPr>
            <w:rStyle w:val="TextoNormalCaracter"/>
          </w:rPr>
          <w:t>11/2016</w:t>
        </w:r>
      </w:hyperlink>
      <w:r>
        <w:t>, VPIII.</w:t>
      </w:r>
    </w:p>
    <w:p w:rsidR="0057104C" w:rsidRDefault="0057104C" w:rsidP="0057104C">
      <w:pPr>
        <w:pStyle w:val="SangriaFrancesaArticulo"/>
      </w:pPr>
      <w:r w:rsidRPr="0057104C">
        <w:rPr>
          <w:rStyle w:val="TextoNormalNegritaCaracter"/>
        </w:rPr>
        <w:t>Artículo 15 b).</w:t>
      </w:r>
      <w:r w:rsidRPr="0057104C">
        <w:rPr>
          <w:rStyle w:val="TextoNormalCaracter"/>
        </w:rPr>
        <w:t>-</w:t>
      </w:r>
      <w:r>
        <w:t xml:space="preserve"> Sentencia </w:t>
      </w:r>
      <w:hyperlink w:anchor="SENTENCIA_2016_11" w:history="1">
        <w:r w:rsidRPr="0057104C">
          <w:rPr>
            <w:rStyle w:val="TextoNormalCaracter"/>
          </w:rPr>
          <w:t>11/2016</w:t>
        </w:r>
      </w:hyperlink>
      <w:r>
        <w:t>, f. 5.</w:t>
      </w:r>
    </w:p>
    <w:p w:rsidR="0057104C" w:rsidRDefault="0057104C" w:rsidP="0057104C">
      <w:pPr>
        <w:pStyle w:val="SangriaFrancesaArticulo"/>
      </w:pPr>
    </w:p>
    <w:p w:rsidR="0057104C" w:rsidRDefault="0057104C" w:rsidP="0057104C">
      <w:pPr>
        <w:pStyle w:val="TextoNormalNegritaCursivandice"/>
      </w:pPr>
      <w:r>
        <w:t>Ley Orgánica 5/2010, de 22 de junio. Modifica la Ley Orgánica 10/1995, de 23 de noviembre, del Código penal</w:t>
      </w:r>
    </w:p>
    <w:p w:rsidR="0057104C" w:rsidRDefault="0057104C" w:rsidP="0057104C">
      <w:pPr>
        <w:pStyle w:val="SangriaFrancesaArticulo"/>
      </w:pPr>
      <w:r w:rsidRPr="0057104C">
        <w:rPr>
          <w:rStyle w:val="TextoNormalNegritaCaracter"/>
        </w:rPr>
        <w:t>Artículo único, apartado 17.</w:t>
      </w:r>
      <w:r w:rsidRPr="0057104C">
        <w:rPr>
          <w:rStyle w:val="TextoNormalCaracter"/>
        </w:rPr>
        <w:t>-</w:t>
      </w:r>
      <w:r>
        <w:t xml:space="preserve"> Sentencia </w:t>
      </w:r>
      <w:hyperlink w:anchor="SENTENCIA_2016_48" w:history="1">
        <w:r w:rsidRPr="0057104C">
          <w:rPr>
            <w:rStyle w:val="TextoNormalCaracter"/>
          </w:rPr>
          <w:t>48/2016</w:t>
        </w:r>
      </w:hyperlink>
      <w:r>
        <w:t>, ff. 1 a 4.</w:t>
      </w:r>
    </w:p>
    <w:p w:rsidR="0057104C" w:rsidRDefault="0057104C" w:rsidP="0057104C">
      <w:pPr>
        <w:pStyle w:val="SangriaFrancesaArticulo"/>
      </w:pPr>
    </w:p>
    <w:p w:rsidR="0057104C" w:rsidRDefault="0057104C" w:rsidP="0057104C">
      <w:pPr>
        <w:pStyle w:val="TextoNormalNegritaCursivandice"/>
      </w:pPr>
      <w:r>
        <w:t>Ley Orgánica 8/2010, de 4 de noviembre. Reforma de la Ley Orgánica 5/1985, de 19 de junio, del Régimen Electoral General, y de la Ley Orgánica 2/1979, de 3 de octubre, del Tribunal Constitucional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p>
    <w:p w:rsidR="0057104C" w:rsidRDefault="0057104C" w:rsidP="0057104C">
      <w:pPr>
        <w:pStyle w:val="TextoNormalNegritaCursivandice"/>
      </w:pPr>
      <w:r>
        <w:t>Ley Orgánica 4/2011, de 11 de marzo. Complementaria de la Ley de economía sostenible, por la que se modifican las Leyes Orgánicas 5/2002, de 19 de junio, 2/2006, de 3 de mayo, y 6/1985, de 1 de julio</w:t>
      </w:r>
    </w:p>
    <w:p w:rsidR="0057104C" w:rsidRDefault="0057104C" w:rsidP="0057104C">
      <w:pPr>
        <w:pStyle w:val="SangriaFrancesaArticulo"/>
      </w:pPr>
      <w:r w:rsidRPr="0057104C">
        <w:rPr>
          <w:rStyle w:val="TextoNormalNegritaCaracter"/>
        </w:rPr>
        <w:t>Artículo 110.</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111.2.</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 </w:t>
      </w:r>
      <w:hyperlink w:anchor="SENTENCIA_2016_118" w:history="1">
        <w:r w:rsidRPr="0057104C">
          <w:rPr>
            <w:rStyle w:val="TextoNormalCaracter"/>
          </w:rPr>
          <w:t>118/2016</w:t>
        </w:r>
      </w:hyperlink>
      <w:r>
        <w:t>, f. 1.</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118" w:history="1">
        <w:r w:rsidRPr="0057104C">
          <w:rPr>
            <w:rStyle w:val="TextoNormalCaracter"/>
          </w:rPr>
          <w:t>118/2016</w:t>
        </w:r>
      </w:hyperlink>
      <w:r>
        <w:t>, f. 1.</w:t>
      </w:r>
    </w:p>
    <w:p w:rsidR="0057104C" w:rsidRDefault="0057104C" w:rsidP="0057104C">
      <w:pPr>
        <w:pStyle w:val="SangriaFrancesaArticulo"/>
      </w:pPr>
    </w:p>
    <w:p w:rsidR="0057104C" w:rsidRDefault="0057104C" w:rsidP="0057104C">
      <w:pPr>
        <w:pStyle w:val="TextoNormalNegritaCursivandice"/>
      </w:pPr>
      <w:r>
        <w:t>Ley Orgánica 2/2012, de 27 de abril. Estabilidad presupuestaria y sostenibilidad financiera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8" w:history="1">
        <w:r w:rsidRPr="0057104C">
          <w:rPr>
            <w:rStyle w:val="TextoNormalCaracter"/>
          </w:rPr>
          <w:t>18/2016</w:t>
        </w:r>
      </w:hyperlink>
      <w:r>
        <w:t xml:space="preserve">, f. 6; </w:t>
      </w:r>
      <w:hyperlink w:anchor="SENTENCIA_2016_41" w:history="1">
        <w:r w:rsidRPr="0057104C">
          <w:rPr>
            <w:rStyle w:val="TextoNormalCaracter"/>
          </w:rPr>
          <w:t>41/2016</w:t>
        </w:r>
      </w:hyperlink>
      <w:r>
        <w:t xml:space="preserve">, f. 2; </w:t>
      </w:r>
      <w:hyperlink w:anchor="SENTENCIA_2016_101" w:history="1">
        <w:r w:rsidRPr="0057104C">
          <w:rPr>
            <w:rStyle w:val="TextoNormalCaracter"/>
          </w:rPr>
          <w:t>101/2016</w:t>
        </w:r>
      </w:hyperlink>
      <w:r>
        <w:t xml:space="preserve">, f. 6, VP II; </w:t>
      </w:r>
      <w:hyperlink w:anchor="SENTENCIA_2016_111" w:history="1">
        <w:r w:rsidRPr="0057104C">
          <w:rPr>
            <w:rStyle w:val="TextoNormalCaracter"/>
          </w:rPr>
          <w:t>111/2016</w:t>
        </w:r>
      </w:hyperlink>
      <w:r>
        <w:t xml:space="preserve">, ff. 4, 8, VP; </w:t>
      </w:r>
      <w:hyperlink w:anchor="SENTENCIA_2016_119" w:history="1">
        <w:r w:rsidRPr="0057104C">
          <w:rPr>
            <w:rStyle w:val="TextoNormalCaracter"/>
          </w:rPr>
          <w:t>119/2016</w:t>
        </w:r>
      </w:hyperlink>
      <w:r>
        <w:t>, f. 3.</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Sentencias </w:t>
      </w:r>
      <w:hyperlink w:anchor="SENTENCIA_2016_41" w:history="1">
        <w:r w:rsidRPr="0057104C">
          <w:rPr>
            <w:rStyle w:val="TextoNormalCaracter"/>
          </w:rPr>
          <w:t>41/2016</w:t>
        </w:r>
      </w:hyperlink>
      <w:r>
        <w:t xml:space="preserve">, f. 2; </w:t>
      </w:r>
      <w:hyperlink w:anchor="SENTENCIA_2016_70" w:history="1">
        <w:r w:rsidRPr="0057104C">
          <w:rPr>
            <w:rStyle w:val="TextoNormalCaracter"/>
          </w:rPr>
          <w:t>70/2016</w:t>
        </w:r>
      </w:hyperlink>
      <w:r>
        <w:t>, ff. 3, 7.</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41" w:history="1">
        <w:r w:rsidRPr="0057104C">
          <w:rPr>
            <w:rStyle w:val="TextoNormalCaracter"/>
          </w:rPr>
          <w:t>41/2016</w:t>
        </w:r>
      </w:hyperlink>
      <w:r>
        <w:t>, f. 14.</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101" w:history="1">
        <w:r w:rsidRPr="0057104C">
          <w:rPr>
            <w:rStyle w:val="TextoNormalCaracter"/>
          </w:rPr>
          <w:t>101/2016</w:t>
        </w:r>
      </w:hyperlink>
      <w:r>
        <w:t>, f. 11.</w:t>
      </w:r>
    </w:p>
    <w:p w:rsidR="0057104C" w:rsidRDefault="0057104C" w:rsidP="0057104C">
      <w:pPr>
        <w:pStyle w:val="SangriaFrancesaArticulo"/>
      </w:pPr>
      <w:r w:rsidRPr="0057104C">
        <w:rPr>
          <w:rStyle w:val="TextoNormalNegritaCaracter"/>
        </w:rPr>
        <w:t>Artículo 4.2.2.</w:t>
      </w:r>
      <w:r w:rsidRPr="0057104C">
        <w:rPr>
          <w:rStyle w:val="TextoNormalCaracter"/>
        </w:rPr>
        <w:t>-</w:t>
      </w:r>
      <w:r>
        <w:t xml:space="preserve"> Sentencia </w:t>
      </w:r>
      <w:hyperlink w:anchor="SENTENCIA_2016_101" w:history="1">
        <w:r w:rsidRPr="0057104C">
          <w:rPr>
            <w:rStyle w:val="TextoNormalCaracter"/>
          </w:rPr>
          <w:t>101/2016</w:t>
        </w:r>
      </w:hyperlink>
      <w:r>
        <w:t>, f. 11.</w:t>
      </w:r>
    </w:p>
    <w:p w:rsidR="0057104C" w:rsidRDefault="0057104C" w:rsidP="0057104C">
      <w:pPr>
        <w:pStyle w:val="SangriaFrancesaArticulo"/>
      </w:pPr>
      <w:r w:rsidRPr="0057104C">
        <w:rPr>
          <w:rStyle w:val="TextoNormalNegritaCaracter"/>
        </w:rPr>
        <w:t>Artículo 6.2.</w:t>
      </w:r>
      <w:r w:rsidRPr="0057104C">
        <w:rPr>
          <w:rStyle w:val="TextoNormalCaracter"/>
        </w:rPr>
        <w:t>-</w:t>
      </w:r>
      <w:r>
        <w:t xml:space="preserve"> Sentencia </w:t>
      </w:r>
      <w:hyperlink w:anchor="SENTENCIA_2016_101" w:history="1">
        <w:r w:rsidRPr="0057104C">
          <w:rPr>
            <w:rStyle w:val="TextoNormalCaracter"/>
          </w:rPr>
          <w:t>101/2016</w:t>
        </w:r>
      </w:hyperlink>
      <w:r>
        <w:t>, f. 9.</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70" w:history="1">
        <w:r w:rsidRPr="0057104C">
          <w:rPr>
            <w:rStyle w:val="TextoNormalCaracter"/>
          </w:rPr>
          <w:t>70/2016</w:t>
        </w:r>
      </w:hyperlink>
      <w:r>
        <w:t>, f. 7.</w:t>
      </w:r>
    </w:p>
    <w:p w:rsidR="0057104C" w:rsidRDefault="0057104C" w:rsidP="0057104C">
      <w:pPr>
        <w:pStyle w:val="SangriaFrancesaArticulo"/>
      </w:pPr>
      <w:r w:rsidRPr="0057104C">
        <w:rPr>
          <w:rStyle w:val="TextoNormalNegritaCaracter"/>
        </w:rPr>
        <w:t>Artículo 8</w:t>
      </w:r>
      <w:r>
        <w:t xml:space="preserve"> (redactado por la Ley Orgánica 9/2013, de 20 de diciembre)</w:t>
      </w:r>
      <w:r w:rsidRPr="0057104C">
        <w:rPr>
          <w:rStyle w:val="TextoNormalNegritaCaracter"/>
        </w:rPr>
        <w:t>.</w:t>
      </w:r>
      <w:r w:rsidRPr="0057104C">
        <w:rPr>
          <w:rStyle w:val="TextoNormalCaracter"/>
        </w:rPr>
        <w:t>-</w:t>
      </w:r>
      <w:r>
        <w:t xml:space="preserve"> Sentencia </w:t>
      </w:r>
      <w:hyperlink w:anchor="SENTENCIA_2016_31" w:history="1">
        <w:r w:rsidRPr="0057104C">
          <w:rPr>
            <w:rStyle w:val="TextoNormalCaracter"/>
          </w:rPr>
          <w:t>31/2016</w:t>
        </w:r>
      </w:hyperlink>
      <w:r>
        <w:t>, f. 3.</w:t>
      </w:r>
    </w:p>
    <w:p w:rsidR="0057104C" w:rsidRDefault="0057104C" w:rsidP="0057104C">
      <w:pPr>
        <w:pStyle w:val="SangriaFrancesaArticulo"/>
      </w:pPr>
      <w:r w:rsidRPr="0057104C">
        <w:rPr>
          <w:rStyle w:val="TextoNormalNegritaCaracter"/>
        </w:rPr>
        <w:t>Artículo 8.1.</w:t>
      </w:r>
      <w:r w:rsidRPr="0057104C">
        <w:rPr>
          <w:rStyle w:val="TextoNormalCaracter"/>
        </w:rPr>
        <w:t>-</w:t>
      </w:r>
      <w:r>
        <w:t xml:space="preserve"> Sentencias </w:t>
      </w:r>
      <w:hyperlink w:anchor="SENTENCIA_2016_31" w:history="1">
        <w:r w:rsidRPr="0057104C">
          <w:rPr>
            <w:rStyle w:val="TextoNormalCaracter"/>
          </w:rPr>
          <w:t>31/2016</w:t>
        </w:r>
      </w:hyperlink>
      <w:r>
        <w:t xml:space="preserve">, f. 4; </w:t>
      </w:r>
      <w:hyperlink w:anchor="SENTENCIA_2016_70" w:history="1">
        <w:r w:rsidRPr="0057104C">
          <w:rPr>
            <w:rStyle w:val="TextoNormalCaracter"/>
          </w:rPr>
          <w:t>70/2016</w:t>
        </w:r>
      </w:hyperlink>
      <w:r>
        <w:t xml:space="preserve">, f. 7; </w:t>
      </w:r>
      <w:hyperlink w:anchor="SENTENCIA_2016_101" w:history="1">
        <w:r w:rsidRPr="0057104C">
          <w:rPr>
            <w:rStyle w:val="TextoNormalCaracter"/>
          </w:rPr>
          <w:t>101/2016</w:t>
        </w:r>
      </w:hyperlink>
      <w:r>
        <w:t>, f. 10.</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101" w:history="1">
        <w:r w:rsidRPr="0057104C">
          <w:rPr>
            <w:rStyle w:val="TextoNormalCaracter"/>
          </w:rPr>
          <w:t>101/2016</w:t>
        </w:r>
      </w:hyperlink>
      <w:r>
        <w:t>, f. 9.</w:t>
      </w:r>
    </w:p>
    <w:p w:rsidR="0057104C" w:rsidRDefault="0057104C" w:rsidP="0057104C">
      <w:pPr>
        <w:pStyle w:val="SangriaFrancesaArticulo"/>
      </w:pPr>
      <w:r w:rsidRPr="0057104C">
        <w:rPr>
          <w:rStyle w:val="TextoNormalNegritaCaracter"/>
        </w:rPr>
        <w:t>Artículo 11.3.</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13.6.</w:t>
      </w:r>
      <w:r w:rsidRPr="0057104C">
        <w:rPr>
          <w:rStyle w:val="TextoNormalCaracter"/>
        </w:rPr>
        <w:t>-</w:t>
      </w:r>
      <w:r>
        <w:t xml:space="preserve"> Sentencia </w:t>
      </w:r>
      <w:hyperlink w:anchor="SENTENCIA_2016_101" w:history="1">
        <w:r w:rsidRPr="0057104C">
          <w:rPr>
            <w:rStyle w:val="TextoNormalCaracter"/>
          </w:rPr>
          <w:t>101/2016</w:t>
        </w:r>
      </w:hyperlink>
      <w:r>
        <w:t>, ff. 3, 6, 9 a 11.</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101" w:history="1">
        <w:r w:rsidRPr="0057104C">
          <w:rPr>
            <w:rStyle w:val="TextoNormalCaracter"/>
          </w:rPr>
          <w:t>101/2016</w:t>
        </w:r>
      </w:hyperlink>
      <w:r>
        <w:t>, f. 12.</w:t>
      </w:r>
    </w:p>
    <w:p w:rsidR="0057104C" w:rsidRDefault="0057104C" w:rsidP="0057104C">
      <w:pPr>
        <w:pStyle w:val="SangriaFrancesaArticulo"/>
      </w:pPr>
      <w:r w:rsidRPr="0057104C">
        <w:rPr>
          <w:rStyle w:val="TextoNormalNegritaCaracter"/>
        </w:rPr>
        <w:t>Articulo 18.4</w:t>
      </w:r>
      <w:r>
        <w:t xml:space="preserve"> (redactado por la Ley Orgánica 9/2013,  de 20 de diciembre)</w:t>
      </w:r>
      <w:r w:rsidRPr="0057104C">
        <w:rPr>
          <w:rStyle w:val="TextoNormalNegritaCaracter"/>
        </w:rPr>
        <w:t>.</w:t>
      </w:r>
      <w:r w:rsidRPr="0057104C">
        <w:rPr>
          <w:rStyle w:val="TextoNormalCaracter"/>
        </w:rPr>
        <w:t>-</w:t>
      </w:r>
      <w:r>
        <w:t xml:space="preserve"> Sentencia </w:t>
      </w:r>
      <w:hyperlink w:anchor="SENTENCIA_2016_101" w:history="1">
        <w:r w:rsidRPr="0057104C">
          <w:rPr>
            <w:rStyle w:val="TextoNormalCaracter"/>
          </w:rPr>
          <w:t>101/2016</w:t>
        </w:r>
      </w:hyperlink>
      <w:r>
        <w:t>, ff. 1, 3, 6, 10.</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Sentencias </w:t>
      </w:r>
      <w:hyperlink w:anchor="SENTENCIA_2016_41" w:history="1">
        <w:r w:rsidRPr="0057104C">
          <w:rPr>
            <w:rStyle w:val="TextoNormalCaracter"/>
          </w:rPr>
          <w:t>41/2016</w:t>
        </w:r>
      </w:hyperlink>
      <w:r>
        <w:t xml:space="preserve">, f. 16; </w:t>
      </w:r>
      <w:hyperlink w:anchor="SENTENCIA_2016_101" w:history="1">
        <w:r w:rsidRPr="0057104C">
          <w:rPr>
            <w:rStyle w:val="TextoNormalCaracter"/>
          </w:rPr>
          <w:t>101/2016</w:t>
        </w:r>
      </w:hyperlink>
      <w:r>
        <w:t xml:space="preserve">, ff. 3, 4, 12, VP I; </w:t>
      </w:r>
      <w:hyperlink w:anchor="SENTENCIA_2016_111" w:history="1">
        <w:r w:rsidRPr="0057104C">
          <w:rPr>
            <w:rStyle w:val="TextoNormalCaracter"/>
          </w:rPr>
          <w:t>111/2016</w:t>
        </w:r>
      </w:hyperlink>
      <w:r>
        <w:t>, VP.</w:t>
      </w:r>
    </w:p>
    <w:p w:rsidR="0057104C" w:rsidRDefault="0057104C" w:rsidP="0057104C">
      <w:pPr>
        <w:pStyle w:val="SangriaFrancesaArticulo"/>
      </w:pPr>
      <w:r w:rsidRPr="0057104C">
        <w:rPr>
          <w:rStyle w:val="TextoNormalNegritaCaracter"/>
        </w:rPr>
        <w:t>Artículo 20.5.</w:t>
      </w:r>
      <w:r w:rsidRPr="0057104C">
        <w:rPr>
          <w:rStyle w:val="TextoNormalCaracter"/>
        </w:rPr>
        <w:t>-</w:t>
      </w:r>
      <w:r>
        <w:t xml:space="preserve"> Sentencia </w:t>
      </w:r>
      <w:hyperlink w:anchor="SENTENCIA_2016_101" w:history="1">
        <w:r w:rsidRPr="0057104C">
          <w:rPr>
            <w:rStyle w:val="TextoNormalCaracter"/>
          </w:rPr>
          <w:t>101/2016</w:t>
        </w:r>
      </w:hyperlink>
      <w:r>
        <w:t>, ff. 3, 4, 6, 10.</w:t>
      </w:r>
    </w:p>
    <w:p w:rsidR="0057104C" w:rsidRDefault="0057104C" w:rsidP="0057104C">
      <w:pPr>
        <w:pStyle w:val="SangriaFrancesaArticulo"/>
      </w:pPr>
      <w:r w:rsidRPr="0057104C">
        <w:rPr>
          <w:rStyle w:val="TextoNormalNegritaCaracter"/>
        </w:rPr>
        <w:t>Artículo 20.6.</w:t>
      </w:r>
      <w:r w:rsidRPr="0057104C">
        <w:rPr>
          <w:rStyle w:val="TextoNormalCaracter"/>
        </w:rPr>
        <w:t>-</w:t>
      </w:r>
      <w:r>
        <w:t xml:space="preserve"> Sentencia </w:t>
      </w:r>
      <w:hyperlink w:anchor="SENTENCIA_2016_101" w:history="1">
        <w:r w:rsidRPr="0057104C">
          <w:rPr>
            <w:rStyle w:val="TextoNormalCaracter"/>
          </w:rPr>
          <w:t>101/2016</w:t>
        </w:r>
      </w:hyperlink>
      <w:r>
        <w:t>, ff. 2 a 4, 6, 9 a 12, VP I.</w:t>
      </w:r>
    </w:p>
    <w:p w:rsidR="0057104C" w:rsidRDefault="0057104C" w:rsidP="0057104C">
      <w:pPr>
        <w:pStyle w:val="SangriaFrancesaArticulo"/>
      </w:pPr>
      <w:r w:rsidRPr="0057104C">
        <w:rPr>
          <w:rStyle w:val="TextoNormalNegritaCaracter"/>
        </w:rPr>
        <w:t>Artículo 20.6</w:t>
      </w:r>
      <w:r>
        <w:t xml:space="preserve"> (redactado por la Ley Orgánica 9/2013, de 20 de diciembre)</w:t>
      </w:r>
      <w:r w:rsidRPr="0057104C">
        <w:rPr>
          <w:rStyle w:val="TextoNormalNegritaCaracter"/>
        </w:rPr>
        <w:t>.</w:t>
      </w:r>
      <w:r w:rsidRPr="0057104C">
        <w:rPr>
          <w:rStyle w:val="TextoNormalCaracter"/>
        </w:rPr>
        <w:t>-</w:t>
      </w:r>
      <w:r>
        <w:t xml:space="preserve"> Sentencia </w:t>
      </w:r>
      <w:hyperlink w:anchor="SENTENCIA_2016_101" w:history="1">
        <w:r w:rsidRPr="0057104C">
          <w:rPr>
            <w:rStyle w:val="TextoNormalCaracter"/>
          </w:rPr>
          <w:t>101/2016</w:t>
        </w:r>
      </w:hyperlink>
      <w:r>
        <w:t>, f. 12, VP I.</w:t>
      </w:r>
    </w:p>
    <w:p w:rsidR="0057104C" w:rsidRDefault="0057104C" w:rsidP="0057104C">
      <w:pPr>
        <w:pStyle w:val="SangriaFrancesaArticulo"/>
      </w:pPr>
      <w:r w:rsidRPr="0057104C">
        <w:rPr>
          <w:rStyle w:val="TextoNormalNegritaCaracter"/>
        </w:rPr>
        <w:t>Artículo 20.7.</w:t>
      </w:r>
      <w:r w:rsidRPr="0057104C">
        <w:rPr>
          <w:rStyle w:val="TextoNormalCaracter"/>
        </w:rPr>
        <w:t>-</w:t>
      </w:r>
      <w:r>
        <w:t xml:space="preserve"> Sentencia </w:t>
      </w:r>
      <w:hyperlink w:anchor="SENTENCIA_2016_101" w:history="1">
        <w:r w:rsidRPr="0057104C">
          <w:rPr>
            <w:rStyle w:val="TextoNormalCaracter"/>
          </w:rPr>
          <w:t>101/2016</w:t>
        </w:r>
      </w:hyperlink>
      <w:r>
        <w:t>, ff. 3, 4, VP I.</w:t>
      </w:r>
    </w:p>
    <w:p w:rsidR="0057104C" w:rsidRDefault="0057104C" w:rsidP="0057104C">
      <w:pPr>
        <w:pStyle w:val="SangriaFrancesaArticulo"/>
      </w:pPr>
      <w:r w:rsidRPr="0057104C">
        <w:rPr>
          <w:rStyle w:val="TextoNormalNegritaCaracter"/>
        </w:rPr>
        <w:t>Artículo 20.7</w:t>
      </w:r>
      <w:r>
        <w:t xml:space="preserve"> (redactado por la Ley Orgánica 9/2013, de 20 de diciembre)</w:t>
      </w:r>
      <w:r w:rsidRPr="0057104C">
        <w:rPr>
          <w:rStyle w:val="TextoNormalNegritaCaracter"/>
        </w:rPr>
        <w:t>.</w:t>
      </w:r>
      <w:r w:rsidRPr="0057104C">
        <w:rPr>
          <w:rStyle w:val="TextoNormalCaracter"/>
        </w:rPr>
        <w:t>-</w:t>
      </w:r>
      <w:r>
        <w:t xml:space="preserve"> Sentencia </w:t>
      </w:r>
      <w:hyperlink w:anchor="SENTENCIA_2016_101" w:history="1">
        <w:r w:rsidRPr="0057104C">
          <w:rPr>
            <w:rStyle w:val="TextoNormalCaracter"/>
          </w:rPr>
          <w:t>101/2016</w:t>
        </w:r>
      </w:hyperlink>
      <w:r>
        <w:t>, f. 12, VP I.</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Sentencias </w:t>
      </w:r>
      <w:hyperlink w:anchor="SENTENCIA_2016_41" w:history="1">
        <w:r w:rsidRPr="0057104C">
          <w:rPr>
            <w:rStyle w:val="TextoNormalCaracter"/>
          </w:rPr>
          <w:t>41/2016</w:t>
        </w:r>
      </w:hyperlink>
      <w:r>
        <w:t xml:space="preserve">, f. 15;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21.1.</w:t>
      </w:r>
      <w:r w:rsidRPr="0057104C">
        <w:rPr>
          <w:rStyle w:val="TextoNormalCaracter"/>
        </w:rPr>
        <w:t>-</w:t>
      </w:r>
      <w:r>
        <w:t xml:space="preserve"> Sentencias </w:t>
      </w:r>
      <w:hyperlink w:anchor="SENTENCIA_2016_41" w:history="1">
        <w:r w:rsidRPr="0057104C">
          <w:rPr>
            <w:rStyle w:val="TextoNormalCaracter"/>
          </w:rPr>
          <w:t>41/2016</w:t>
        </w:r>
      </w:hyperlink>
      <w:r>
        <w:t xml:space="preserve">, f. 15;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21.2.</w:t>
      </w:r>
      <w:r w:rsidRPr="0057104C">
        <w:rPr>
          <w:rStyle w:val="TextoNormalCaracter"/>
        </w:rPr>
        <w:t>-</w:t>
      </w:r>
      <w:r>
        <w:t xml:space="preserve"> Sentencia </w:t>
      </w:r>
      <w:hyperlink w:anchor="SENTENCIA_2016_41" w:history="1">
        <w:r w:rsidRPr="0057104C">
          <w:rPr>
            <w:rStyle w:val="TextoNormalCaracter"/>
          </w:rPr>
          <w:t>41/2016</w:t>
        </w:r>
      </w:hyperlink>
      <w:r>
        <w:t>, f. 15.</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23.</w:t>
      </w:r>
      <w:r w:rsidRPr="0057104C">
        <w:rPr>
          <w:rStyle w:val="TextoNormalCaracter"/>
        </w:rPr>
        <w:t>-</w:t>
      </w:r>
      <w:r>
        <w:t xml:space="preserve"> Sentencia </w:t>
      </w:r>
      <w:hyperlink w:anchor="SENTENCIA_2016_41" w:history="1">
        <w:r w:rsidRPr="0057104C">
          <w:rPr>
            <w:rStyle w:val="TextoNormalCaracter"/>
          </w:rPr>
          <w:t>41/2016</w:t>
        </w:r>
      </w:hyperlink>
      <w:r>
        <w:t>, f. 15.</w:t>
      </w:r>
    </w:p>
    <w:p w:rsidR="0057104C" w:rsidRDefault="0057104C" w:rsidP="0057104C">
      <w:pPr>
        <w:pStyle w:val="SangriaFrancesaArticulo"/>
      </w:pPr>
      <w:r w:rsidRPr="0057104C">
        <w:rPr>
          <w:rStyle w:val="TextoNormalNegritaCaracter"/>
        </w:rPr>
        <w:t>Artículo 23.4.</w:t>
      </w:r>
      <w:r w:rsidRPr="0057104C">
        <w:rPr>
          <w:rStyle w:val="TextoNormalCaracter"/>
        </w:rPr>
        <w:t>-</w:t>
      </w:r>
      <w:r>
        <w:t xml:space="preserve"> Sentencias </w:t>
      </w:r>
      <w:hyperlink w:anchor="SENTENCIA_2016_41" w:history="1">
        <w:r w:rsidRPr="0057104C">
          <w:rPr>
            <w:rStyle w:val="TextoNormalCaracter"/>
          </w:rPr>
          <w:t>41/2016</w:t>
        </w:r>
      </w:hyperlink>
      <w:r>
        <w:t xml:space="preserve">, f. 15;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24.4.</w:t>
      </w:r>
      <w:r w:rsidRPr="0057104C">
        <w:rPr>
          <w:rStyle w:val="TextoNormalCaracter"/>
        </w:rPr>
        <w:t>-</w:t>
      </w:r>
      <w:r>
        <w:t xml:space="preserve"> Sentencia </w:t>
      </w:r>
      <w:hyperlink w:anchor="SENTENCIA_2016_41" w:history="1">
        <w:r w:rsidRPr="0057104C">
          <w:rPr>
            <w:rStyle w:val="TextoNormalCaracter"/>
          </w:rPr>
          <w:t>41/2016</w:t>
        </w:r>
      </w:hyperlink>
      <w:r>
        <w:t>, f. 15.</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111" w:history="1">
        <w:r w:rsidRPr="0057104C">
          <w:rPr>
            <w:rStyle w:val="TextoNormalCaracter"/>
          </w:rPr>
          <w:t>111/2016</w:t>
        </w:r>
      </w:hyperlink>
      <w:r>
        <w:t>, f. 8, VP.</w:t>
      </w:r>
    </w:p>
    <w:p w:rsidR="0057104C" w:rsidRDefault="0057104C" w:rsidP="0057104C">
      <w:pPr>
        <w:pStyle w:val="SangriaFrancesaArticulo"/>
      </w:pPr>
      <w:r w:rsidRPr="0057104C">
        <w:rPr>
          <w:rStyle w:val="TextoNormalNegritaCaracter"/>
        </w:rPr>
        <w:t>Artículo 25.2.</w:t>
      </w:r>
      <w:r w:rsidRPr="0057104C">
        <w:rPr>
          <w:rStyle w:val="TextoNormalCaracter"/>
        </w:rPr>
        <w:t>-</w:t>
      </w:r>
      <w:r>
        <w:t xml:space="preserve"> Sentencia </w:t>
      </w:r>
      <w:hyperlink w:anchor="SENTENCIA_2016_101" w:history="1">
        <w:r w:rsidRPr="0057104C">
          <w:rPr>
            <w:rStyle w:val="TextoNormalCaracter"/>
          </w:rPr>
          <w:t>101/2016</w:t>
        </w:r>
      </w:hyperlink>
      <w:r>
        <w:t>, f. 7, VP I.</w:t>
      </w:r>
    </w:p>
    <w:p w:rsidR="0057104C" w:rsidRDefault="0057104C" w:rsidP="0057104C">
      <w:pPr>
        <w:pStyle w:val="SangriaFrancesaArticulo"/>
      </w:pPr>
      <w:r w:rsidRPr="0057104C">
        <w:rPr>
          <w:rStyle w:val="TextoNormalNegritaCaracter"/>
        </w:rPr>
        <w:t>Artículo 26.</w:t>
      </w:r>
      <w:r w:rsidRPr="0057104C">
        <w:rPr>
          <w:rStyle w:val="TextoNormalCaracter"/>
        </w:rPr>
        <w:t>-</w:t>
      </w:r>
      <w:r>
        <w:t xml:space="preserve"> Sentencias </w:t>
      </w:r>
      <w:hyperlink w:anchor="SENTENCIA_2016_40" w:history="1">
        <w:r w:rsidRPr="0057104C">
          <w:rPr>
            <w:rStyle w:val="TextoNormalCaracter"/>
          </w:rPr>
          <w:t>40/2016</w:t>
        </w:r>
      </w:hyperlink>
      <w:r>
        <w:t xml:space="preserve">, f. 1; </w:t>
      </w:r>
      <w:hyperlink w:anchor="SENTENCIA_2016_111" w:history="1">
        <w:r w:rsidRPr="0057104C">
          <w:rPr>
            <w:rStyle w:val="TextoNormalCaracter"/>
          </w:rPr>
          <w:t>111/2016</w:t>
        </w:r>
      </w:hyperlink>
      <w:r>
        <w:t>, f. 8, VP.</w:t>
      </w:r>
    </w:p>
    <w:p w:rsidR="0057104C" w:rsidRDefault="0057104C" w:rsidP="0057104C">
      <w:pPr>
        <w:pStyle w:val="SangriaFrancesaArticulo"/>
      </w:pPr>
      <w:r w:rsidRPr="0057104C">
        <w:rPr>
          <w:rStyle w:val="TextoNormalNegritaCaracter"/>
        </w:rPr>
        <w:t>Artículo 26.1.</w:t>
      </w:r>
      <w:r w:rsidRPr="0057104C">
        <w:rPr>
          <w:rStyle w:val="TextoNormalCaracter"/>
        </w:rPr>
        <w:t>-</w:t>
      </w:r>
      <w:r>
        <w:t xml:space="preserve"> Sentencia </w:t>
      </w:r>
      <w:hyperlink w:anchor="SENTENCIA_2016_101" w:history="1">
        <w:r w:rsidRPr="0057104C">
          <w:rPr>
            <w:rStyle w:val="TextoNormalCaracter"/>
          </w:rPr>
          <w:t>101/2016</w:t>
        </w:r>
      </w:hyperlink>
      <w:r>
        <w:t>, VP I.</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 </w:t>
      </w:r>
      <w:hyperlink w:anchor="SENTENCIA_2016_111" w:history="1">
        <w:r w:rsidRPr="0057104C">
          <w:rPr>
            <w:rStyle w:val="TextoNormalCaracter"/>
          </w:rPr>
          <w:t>111/2016</w:t>
        </w:r>
      </w:hyperlink>
      <w:r>
        <w:t>, f. 8, VP.</w:t>
      </w:r>
    </w:p>
    <w:p w:rsidR="0057104C" w:rsidRDefault="0057104C" w:rsidP="0057104C">
      <w:pPr>
        <w:pStyle w:val="SangriaFrancesaArticulo"/>
      </w:pPr>
      <w:r w:rsidRPr="0057104C">
        <w:rPr>
          <w:rStyle w:val="TextoNormalNegritaCaracter"/>
        </w:rPr>
        <w:t>Disposición adicional primera</w:t>
      </w:r>
      <w:r>
        <w:t xml:space="preserve"> (redactado por la Ley Orgánica 9/2013, de 20 de diciembre)</w:t>
      </w:r>
      <w:r w:rsidRPr="0057104C">
        <w:rPr>
          <w:rStyle w:val="TextoNormalNegritaCaracter"/>
        </w:rPr>
        <w:t>.</w:t>
      </w:r>
      <w:r w:rsidRPr="0057104C">
        <w:rPr>
          <w:rStyle w:val="TextoNormalCaracter"/>
        </w:rPr>
        <w:t>-</w:t>
      </w:r>
      <w:r>
        <w:t xml:space="preserve"> Sentencia </w:t>
      </w:r>
      <w:hyperlink w:anchor="SENTENCIA_2016_101" w:history="1">
        <w:r w:rsidRPr="0057104C">
          <w:rPr>
            <w:rStyle w:val="TextoNormalCaracter"/>
          </w:rPr>
          <w:t>101/2016</w:t>
        </w:r>
      </w:hyperlink>
      <w:r>
        <w:t>, ff. 1, 12.</w:t>
      </w:r>
    </w:p>
    <w:p w:rsidR="0057104C" w:rsidRDefault="0057104C" w:rsidP="0057104C">
      <w:pPr>
        <w:pStyle w:val="SangriaFrancesaArticulo"/>
      </w:pPr>
      <w:r w:rsidRPr="0057104C">
        <w:rPr>
          <w:rStyle w:val="TextoNormalNegritaCaracter"/>
        </w:rPr>
        <w:t>Disposición adicional segunda.</w:t>
      </w:r>
      <w:r w:rsidRPr="0057104C">
        <w:rPr>
          <w:rStyle w:val="TextoNormalCaracter"/>
        </w:rPr>
        <w:t>-</w:t>
      </w:r>
      <w:r>
        <w:t xml:space="preserve"> Sentencias </w:t>
      </w:r>
      <w:hyperlink w:anchor="SENTENCIA_2016_41" w:history="1">
        <w:r w:rsidRPr="0057104C">
          <w:rPr>
            <w:rStyle w:val="TextoNormalCaracter"/>
          </w:rPr>
          <w:t>41/2016</w:t>
        </w:r>
      </w:hyperlink>
      <w:r>
        <w:t xml:space="preserve">, f. 16; </w:t>
      </w:r>
      <w:hyperlink w:anchor="SENTENCIA_2016_70" w:history="1">
        <w:r w:rsidRPr="0057104C">
          <w:rPr>
            <w:rStyle w:val="TextoNormalCaracter"/>
          </w:rPr>
          <w:t>70/2016</w:t>
        </w:r>
      </w:hyperlink>
      <w:r>
        <w:t xml:space="preserve">, ff. 1, 2, 5 a 7; </w:t>
      </w:r>
      <w:hyperlink w:anchor="SENTENCIA_2016_101" w:history="1">
        <w:r w:rsidRPr="0057104C">
          <w:rPr>
            <w:rStyle w:val="TextoNormalCaracter"/>
          </w:rPr>
          <w:t>101/2016</w:t>
        </w:r>
      </w:hyperlink>
      <w:r>
        <w:t>, f. 7.</w:t>
      </w:r>
    </w:p>
    <w:p w:rsidR="0057104C" w:rsidRDefault="0057104C" w:rsidP="0057104C">
      <w:pPr>
        <w:pStyle w:val="SangriaFrancesaArticulo"/>
      </w:pPr>
      <w:r w:rsidRPr="0057104C">
        <w:rPr>
          <w:rStyle w:val="TextoNormalNegritaCaracter"/>
        </w:rPr>
        <w:t>Disposición adicional segunda, apartado 2.</w:t>
      </w:r>
      <w:r w:rsidRPr="0057104C">
        <w:rPr>
          <w:rStyle w:val="TextoNormalCaracter"/>
        </w:rPr>
        <w:t>-</w:t>
      </w:r>
      <w:r>
        <w:t xml:space="preserve"> Sentencia </w:t>
      </w:r>
      <w:hyperlink w:anchor="SENTENCIA_2016_70" w:history="1">
        <w:r w:rsidRPr="0057104C">
          <w:rPr>
            <w:rStyle w:val="TextoNormalCaracter"/>
          </w:rPr>
          <w:t>70/2016</w:t>
        </w:r>
      </w:hyperlink>
      <w:r>
        <w:t>, ff. 6, 7.</w:t>
      </w:r>
    </w:p>
    <w:p w:rsidR="0057104C" w:rsidRDefault="0057104C" w:rsidP="0057104C">
      <w:pPr>
        <w:pStyle w:val="SangriaFrancesaArticulo"/>
      </w:pPr>
      <w:r w:rsidRPr="0057104C">
        <w:rPr>
          <w:rStyle w:val="TextoNormalNegritaCaracter"/>
        </w:rPr>
        <w:t>Disposición adicional segunda, apartado 3.</w:t>
      </w:r>
      <w:r w:rsidRPr="0057104C">
        <w:rPr>
          <w:rStyle w:val="TextoNormalCaracter"/>
        </w:rPr>
        <w:t>-</w:t>
      </w:r>
      <w:r>
        <w:t xml:space="preserve"> Sentencia </w:t>
      </w:r>
      <w:hyperlink w:anchor="SENTENCIA_2016_70" w:history="1">
        <w:r w:rsidRPr="0057104C">
          <w:rPr>
            <w:rStyle w:val="TextoNormalCaracter"/>
          </w:rPr>
          <w:t>70/2016</w:t>
        </w:r>
      </w:hyperlink>
      <w:r>
        <w:t>, f. 7.</w:t>
      </w:r>
    </w:p>
    <w:p w:rsidR="0057104C" w:rsidRDefault="0057104C" w:rsidP="0057104C">
      <w:pPr>
        <w:pStyle w:val="SangriaFrancesaArticulo"/>
      </w:pPr>
      <w:r w:rsidRPr="0057104C">
        <w:rPr>
          <w:rStyle w:val="TextoNormalNegritaCaracter"/>
        </w:rPr>
        <w:t>Disposición adicional segunda</w:t>
      </w:r>
      <w:r>
        <w:t xml:space="preserve"> (redactado por la Ley Orgánica 9/2013, de 20 de diciembre)</w:t>
      </w:r>
      <w:r w:rsidRPr="0057104C">
        <w:rPr>
          <w:rStyle w:val="TextoNormalNegritaCaracter"/>
        </w:rPr>
        <w:t>.</w:t>
      </w:r>
      <w:r w:rsidRPr="0057104C">
        <w:rPr>
          <w:rStyle w:val="TextoNormalCaracter"/>
        </w:rPr>
        <w:t>-</w:t>
      </w:r>
      <w:r>
        <w:t xml:space="preserve"> Sentencias </w:t>
      </w:r>
      <w:hyperlink w:anchor="SENTENCIA_2016_31" w:history="1">
        <w:r w:rsidRPr="0057104C">
          <w:rPr>
            <w:rStyle w:val="TextoNormalCaracter"/>
          </w:rPr>
          <w:t>31/2016</w:t>
        </w:r>
      </w:hyperlink>
      <w:r>
        <w:t xml:space="preserve">, ff. 1 a 4; </w:t>
      </w:r>
      <w:hyperlink w:anchor="SENTENCIA_2016_101" w:history="1">
        <w:r w:rsidRPr="0057104C">
          <w:rPr>
            <w:rStyle w:val="TextoNormalCaracter"/>
          </w:rPr>
          <w:t>101/2016</w:t>
        </w:r>
      </w:hyperlink>
      <w:r>
        <w:t>, f. 11.</w:t>
      </w:r>
    </w:p>
    <w:p w:rsidR="0057104C" w:rsidRDefault="0057104C" w:rsidP="0057104C">
      <w:pPr>
        <w:pStyle w:val="SangriaFrancesaArticulo"/>
      </w:pPr>
      <w:r w:rsidRPr="0057104C">
        <w:rPr>
          <w:rStyle w:val="TextoNormalNegritaCaracter"/>
        </w:rPr>
        <w:t>Disposición adicional tercera.</w:t>
      </w:r>
      <w:r w:rsidRPr="0057104C">
        <w:rPr>
          <w:rStyle w:val="TextoNormalCaracter"/>
        </w:rPr>
        <w:t>-</w:t>
      </w:r>
      <w:r>
        <w:t xml:space="preserve"> Sentencia </w:t>
      </w:r>
      <w:hyperlink w:anchor="SENTENCIA_2016_31" w:history="1">
        <w:r w:rsidRPr="0057104C">
          <w:rPr>
            <w:rStyle w:val="TextoNormalCaracter"/>
          </w:rPr>
          <w:t>31/2016</w:t>
        </w:r>
      </w:hyperlink>
      <w:r>
        <w:t>, f. 1.</w:t>
      </w:r>
    </w:p>
    <w:p w:rsidR="0057104C" w:rsidRDefault="0057104C" w:rsidP="0057104C">
      <w:pPr>
        <w:pStyle w:val="SangriaFrancesaArticulo"/>
      </w:pPr>
      <w:r w:rsidRPr="0057104C">
        <w:rPr>
          <w:rStyle w:val="TextoNormalNegritaCaracter"/>
        </w:rPr>
        <w:t>Disposición final segunda, apartado 1.</w:t>
      </w:r>
      <w:r w:rsidRPr="0057104C">
        <w:rPr>
          <w:rStyle w:val="TextoNormalCaracter"/>
        </w:rPr>
        <w:t>-</w:t>
      </w:r>
      <w:r>
        <w:t xml:space="preserve"> Sentencia </w:t>
      </w:r>
      <w:hyperlink w:anchor="SENTENCIA_2016_101" w:history="1">
        <w:r w:rsidRPr="0057104C">
          <w:rPr>
            <w:rStyle w:val="TextoNormalCaracter"/>
          </w:rPr>
          <w:t>101/2016</w:t>
        </w:r>
      </w:hyperlink>
      <w:r>
        <w:t>, f. 3.</w:t>
      </w:r>
    </w:p>
    <w:p w:rsidR="0057104C" w:rsidRDefault="0057104C" w:rsidP="0057104C">
      <w:pPr>
        <w:pStyle w:val="SangriaFrancesaArticulo"/>
      </w:pPr>
      <w:r w:rsidRPr="0057104C">
        <w:rPr>
          <w:rStyle w:val="TextoNormalNegritaCaracter"/>
        </w:rPr>
        <w:t>Disposición final segunda, apartado 3.</w:t>
      </w:r>
      <w:r w:rsidRPr="0057104C">
        <w:rPr>
          <w:rStyle w:val="TextoNormalCaracter"/>
        </w:rPr>
        <w:t>-</w:t>
      </w:r>
      <w:r>
        <w:t xml:space="preserve"> Sentencia </w:t>
      </w:r>
      <w:hyperlink w:anchor="SENTENCIA_2016_101" w:history="1">
        <w:r w:rsidRPr="0057104C">
          <w:rPr>
            <w:rStyle w:val="TextoNormalCaracter"/>
          </w:rPr>
          <w:t>101/2016</w:t>
        </w:r>
      </w:hyperlink>
      <w:r>
        <w:t>, f. 3.</w:t>
      </w:r>
    </w:p>
    <w:p w:rsidR="0057104C" w:rsidRDefault="0057104C" w:rsidP="0057104C">
      <w:pPr>
        <w:pStyle w:val="SangriaFrancesaArticulo"/>
      </w:pPr>
      <w:r w:rsidRPr="0057104C">
        <w:rPr>
          <w:rStyle w:val="TextoNormalNegritaCaracter"/>
        </w:rPr>
        <w:t>Disposición final segunda</w:t>
      </w:r>
      <w:r>
        <w:t xml:space="preserve"> (redactada por la Ley Orgánica 9/2013, de 20 de diciembre)</w:t>
      </w:r>
      <w:r w:rsidRPr="0057104C">
        <w:rPr>
          <w:rStyle w:val="TextoNormalNegritaCaracter"/>
        </w:rPr>
        <w:t>.</w:t>
      </w:r>
      <w:r w:rsidRPr="0057104C">
        <w:rPr>
          <w:rStyle w:val="TextoNormalCaracter"/>
        </w:rPr>
        <w:t>-</w:t>
      </w:r>
      <w:r>
        <w:t xml:space="preserve"> Sentencia </w:t>
      </w:r>
      <w:hyperlink w:anchor="SENTENCIA_2016_101" w:history="1">
        <w:r w:rsidRPr="0057104C">
          <w:rPr>
            <w:rStyle w:val="TextoNormalCaracter"/>
          </w:rPr>
          <w:t>101/2016</w:t>
        </w:r>
      </w:hyperlink>
      <w:r>
        <w:t>, ff. 3, 12.</w:t>
      </w:r>
    </w:p>
    <w:p w:rsidR="0057104C" w:rsidRDefault="0057104C" w:rsidP="0057104C">
      <w:pPr>
        <w:pStyle w:val="SangriaFrancesaArticulo"/>
      </w:pPr>
    </w:p>
    <w:p w:rsidR="0057104C" w:rsidRDefault="0057104C" w:rsidP="0057104C">
      <w:pPr>
        <w:pStyle w:val="TextoNormalNegritaCursivandice"/>
      </w:pPr>
      <w:r>
        <w:t>Ley Orgánica 8/2013, de 9 de diciembre. Mejora de la calidad educativa</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Auto </w:t>
      </w:r>
      <w:hyperlink w:anchor="AUTO_2016_9" w:history="1">
        <w:r w:rsidRPr="0057104C">
          <w:rPr>
            <w:rStyle w:val="TextoNormalCaracter"/>
          </w:rPr>
          <w:t>9/2016</w:t>
        </w:r>
      </w:hyperlink>
      <w:r>
        <w:t>, f. 2.</w:t>
      </w:r>
    </w:p>
    <w:p w:rsidR="0057104C" w:rsidRDefault="0057104C" w:rsidP="0057104C">
      <w:pPr>
        <w:pStyle w:val="SangriaFrancesaArticulo"/>
      </w:pPr>
      <w:r w:rsidRPr="0057104C">
        <w:rPr>
          <w:rStyle w:val="TextoNormalNegritaCaracter"/>
        </w:rPr>
        <w:t>Disposición final tercera.</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p>
    <w:p w:rsidR="0057104C" w:rsidRDefault="0057104C" w:rsidP="0057104C">
      <w:pPr>
        <w:pStyle w:val="TextoNormalNegritaCursivandice"/>
      </w:pPr>
      <w:r>
        <w:t>Ley Orgánica 9/2013, de 20 de diciembre. Control de la deuda comercial en el sector público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1" w:history="1">
        <w:r w:rsidRPr="0057104C">
          <w:rPr>
            <w:rStyle w:val="TextoNormalCaracter"/>
          </w:rPr>
          <w:t>101/2016</w:t>
        </w:r>
      </w:hyperlink>
      <w:r>
        <w:t>, f. 6, 11,VP I, VP II.</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101" w:history="1">
        <w:r w:rsidRPr="0057104C">
          <w:rPr>
            <w:rStyle w:val="TextoNormalCaracter"/>
          </w:rPr>
          <w:t>101/2016</w:t>
        </w:r>
      </w:hyperlink>
      <w:r>
        <w:t>, ff. 1, 2.</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31" w:history="1">
        <w:r w:rsidRPr="0057104C">
          <w:rPr>
            <w:rStyle w:val="TextoNormalCaracter"/>
          </w:rPr>
          <w:t>31/2016</w:t>
        </w:r>
      </w:hyperlink>
      <w:r>
        <w:t>, f. 3.</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101" w:history="1">
        <w:r w:rsidRPr="0057104C">
          <w:rPr>
            <w:rStyle w:val="TextoNormalCaracter"/>
          </w:rPr>
          <w:t>101/2016</w:t>
        </w:r>
      </w:hyperlink>
      <w:r>
        <w:t>, ff. 1 a 3.</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101" w:history="1">
        <w:r w:rsidRPr="0057104C">
          <w:rPr>
            <w:rStyle w:val="TextoNormalCaracter"/>
          </w:rPr>
          <w:t>101/2016</w:t>
        </w:r>
      </w:hyperlink>
      <w:r>
        <w:t>, ff. 1 a 3.</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101" w:history="1">
        <w:r w:rsidRPr="0057104C">
          <w:rPr>
            <w:rStyle w:val="TextoNormalCaracter"/>
          </w:rPr>
          <w:t>101/2016</w:t>
        </w:r>
      </w:hyperlink>
      <w:r>
        <w:t>, ff. 1 a 4, 6 a 12, VP III.</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101" w:history="1">
        <w:r w:rsidRPr="0057104C">
          <w:rPr>
            <w:rStyle w:val="TextoNormalCaracter"/>
          </w:rPr>
          <w:t>101/2016</w:t>
        </w:r>
      </w:hyperlink>
      <w:r>
        <w:t>, ff. 1, 2.</w:t>
      </w:r>
    </w:p>
    <w:p w:rsidR="0057104C" w:rsidRDefault="0057104C" w:rsidP="0057104C">
      <w:pPr>
        <w:pStyle w:val="SangriaFrancesaArticulo"/>
      </w:pPr>
      <w:r w:rsidRPr="0057104C">
        <w:rPr>
          <w:rStyle w:val="TextoNormalNegritaCaracter"/>
        </w:rPr>
        <w:t>Artículo 1.12.</w:t>
      </w:r>
      <w:r w:rsidRPr="0057104C">
        <w:rPr>
          <w:rStyle w:val="TextoNormalCaracter"/>
        </w:rPr>
        <w:t>-</w:t>
      </w:r>
      <w:r>
        <w:t xml:space="preserve"> Sentencia </w:t>
      </w:r>
      <w:hyperlink w:anchor="SENTENCIA_2016_101" w:history="1">
        <w:r w:rsidRPr="0057104C">
          <w:rPr>
            <w:rStyle w:val="TextoNormalCaracter"/>
          </w:rPr>
          <w:t>101/2016</w:t>
        </w:r>
      </w:hyperlink>
      <w:r>
        <w:t>, ff. 1, 2.</w:t>
      </w:r>
    </w:p>
    <w:p w:rsidR="0057104C" w:rsidRDefault="0057104C" w:rsidP="0057104C">
      <w:pPr>
        <w:pStyle w:val="SangriaFrancesaArticulo"/>
      </w:pPr>
      <w:r w:rsidRPr="0057104C">
        <w:rPr>
          <w:rStyle w:val="TextoNormalNegritaCaracter"/>
        </w:rPr>
        <w:t>Artículo 1.13.</w:t>
      </w:r>
      <w:r w:rsidRPr="0057104C">
        <w:rPr>
          <w:rStyle w:val="TextoNormalCaracter"/>
        </w:rPr>
        <w:t>-</w:t>
      </w:r>
      <w:r>
        <w:t xml:space="preserve"> Sentencia </w:t>
      </w:r>
      <w:hyperlink w:anchor="SENTENCIA_2016_31" w:history="1">
        <w:r w:rsidRPr="0057104C">
          <w:rPr>
            <w:rStyle w:val="TextoNormalCaracter"/>
          </w:rPr>
          <w:t>31/2016</w:t>
        </w:r>
      </w:hyperlink>
      <w:r>
        <w:t>, f. 3.</w:t>
      </w:r>
    </w:p>
    <w:p w:rsidR="0057104C" w:rsidRDefault="0057104C" w:rsidP="0057104C">
      <w:pPr>
        <w:pStyle w:val="SangriaFrancesaArticulo"/>
      </w:pPr>
      <w:r w:rsidRPr="0057104C">
        <w:rPr>
          <w:rStyle w:val="TextoNormalNegritaCaracter"/>
        </w:rPr>
        <w:t>Artículo 1.14.</w:t>
      </w:r>
      <w:r w:rsidRPr="0057104C">
        <w:rPr>
          <w:rStyle w:val="TextoNormalCaracter"/>
        </w:rPr>
        <w:t>-</w:t>
      </w:r>
      <w:r>
        <w:t xml:space="preserve"> Sentencia </w:t>
      </w:r>
      <w:hyperlink w:anchor="SENTENCIA_2016_101" w:history="1">
        <w:r w:rsidRPr="0057104C">
          <w:rPr>
            <w:rStyle w:val="TextoNormalCaracter"/>
          </w:rPr>
          <w:t>101/2016</w:t>
        </w:r>
      </w:hyperlink>
      <w:r>
        <w:t>, ff. 1, 2.</w:t>
      </w:r>
    </w:p>
    <w:p w:rsidR="0057104C" w:rsidRDefault="0057104C" w:rsidP="0057104C">
      <w:pPr>
        <w:pStyle w:val="SangriaFrancesaArticulo"/>
      </w:pPr>
      <w:r w:rsidRPr="0057104C">
        <w:rPr>
          <w:rStyle w:val="TextoNormalNegritaCaracter"/>
        </w:rPr>
        <w:t>Artículo 1.15.</w:t>
      </w:r>
      <w:r w:rsidRPr="0057104C">
        <w:rPr>
          <w:rStyle w:val="TextoNormalCaracter"/>
        </w:rPr>
        <w:t>-</w:t>
      </w:r>
      <w:r>
        <w:t xml:space="preserve"> Sentencia </w:t>
      </w:r>
      <w:hyperlink w:anchor="SENTENCIA_2016_101" w:history="1">
        <w:r w:rsidRPr="0057104C">
          <w:rPr>
            <w:rStyle w:val="TextoNormalCaracter"/>
          </w:rPr>
          <w:t>101/2016</w:t>
        </w:r>
      </w:hyperlink>
      <w:r>
        <w:t>, ff. 1, 2.</w:t>
      </w:r>
    </w:p>
    <w:p w:rsidR="0057104C" w:rsidRDefault="0057104C" w:rsidP="0057104C">
      <w:pPr>
        <w:pStyle w:val="SangriaFrancesaArticulo"/>
      </w:pPr>
      <w:r w:rsidRPr="0057104C">
        <w:rPr>
          <w:rStyle w:val="TextoNormalNegritaCaracter"/>
        </w:rPr>
        <w:t>Artículo 1.16.</w:t>
      </w:r>
      <w:r w:rsidRPr="0057104C">
        <w:rPr>
          <w:rStyle w:val="TextoNormalCaracter"/>
        </w:rPr>
        <w:t>-</w:t>
      </w:r>
      <w:r>
        <w:t xml:space="preserve"> Sentencia </w:t>
      </w:r>
      <w:hyperlink w:anchor="SENTENCIA_2016_101" w:history="1">
        <w:r w:rsidRPr="0057104C">
          <w:rPr>
            <w:rStyle w:val="TextoNormalCaracter"/>
          </w:rPr>
          <w:t>101/2016</w:t>
        </w:r>
      </w:hyperlink>
      <w:r>
        <w:t>, ff. 1 a 4, 6 a 12, VP III.</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101" w:history="1">
        <w:r w:rsidRPr="0057104C">
          <w:rPr>
            <w:rStyle w:val="TextoNormalCaracter"/>
          </w:rPr>
          <w:t>101/2016</w:t>
        </w:r>
      </w:hyperlink>
      <w:r>
        <w:t>, ff. 1 a 4, 6 a 12, VP III.</w:t>
      </w:r>
    </w:p>
    <w:p w:rsidR="0057104C" w:rsidRDefault="0057104C" w:rsidP="0057104C">
      <w:pPr>
        <w:pStyle w:val="SangriaFrancesaArticulo"/>
      </w:pPr>
      <w:r w:rsidRPr="0057104C">
        <w:rPr>
          <w:rStyle w:val="TextoNormalNegritaCaracter"/>
        </w:rPr>
        <w:t>Artículo 2.3 sic.</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101" w:history="1">
        <w:r w:rsidRPr="0057104C">
          <w:rPr>
            <w:rStyle w:val="TextoNormalCaracter"/>
          </w:rPr>
          <w:t>101/2016</w:t>
        </w:r>
      </w:hyperlink>
      <w:r>
        <w:t>, f. 1.</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101" w:history="1">
        <w:r w:rsidRPr="0057104C">
          <w:rPr>
            <w:rStyle w:val="TextoNormalCaracter"/>
          </w:rPr>
          <w:t>101/2016</w:t>
        </w:r>
      </w:hyperlink>
      <w:r>
        <w:t>, f. 1.</w:t>
      </w:r>
    </w:p>
    <w:p w:rsidR="0057104C" w:rsidRDefault="0057104C" w:rsidP="0057104C">
      <w:pPr>
        <w:pStyle w:val="SangriaFrancesaArticulo"/>
      </w:pPr>
      <w:r w:rsidRPr="0057104C">
        <w:rPr>
          <w:rStyle w:val="TextoNormalNegritaCaracter"/>
        </w:rPr>
        <w:t>Artículo 20.1.</w:t>
      </w:r>
      <w:r w:rsidRPr="0057104C">
        <w:rPr>
          <w:rStyle w:val="TextoNormalCaracter"/>
        </w:rPr>
        <w:t>-</w:t>
      </w:r>
      <w:r>
        <w:t xml:space="preserve"> Sentencia </w:t>
      </w:r>
      <w:hyperlink w:anchor="SENTENCIA_2016_101" w:history="1">
        <w:r w:rsidRPr="0057104C">
          <w:rPr>
            <w:rStyle w:val="TextoNormalCaracter"/>
          </w:rPr>
          <w:t>101/2016</w:t>
        </w:r>
      </w:hyperlink>
      <w:r>
        <w:t>, f. 1.</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 </w:t>
      </w:r>
      <w:hyperlink w:anchor="SENTENCIA_2016_101" w:history="1">
        <w:r w:rsidRPr="0057104C">
          <w:rPr>
            <w:rStyle w:val="TextoNormalCaracter"/>
          </w:rPr>
          <w:t>101/2016</w:t>
        </w:r>
      </w:hyperlink>
      <w:r>
        <w:t>, ff. 1, 2, 12.</w:t>
      </w:r>
    </w:p>
    <w:p w:rsidR="0057104C" w:rsidRDefault="0057104C" w:rsidP="0057104C">
      <w:pPr>
        <w:pStyle w:val="SangriaFrancesaArticulo"/>
      </w:pPr>
      <w:r w:rsidRPr="0057104C">
        <w:rPr>
          <w:rStyle w:val="TextoNormalNegritaCaracter"/>
        </w:rPr>
        <w:t>Disposición adicional cuarta.</w:t>
      </w:r>
      <w:r w:rsidRPr="0057104C">
        <w:rPr>
          <w:rStyle w:val="TextoNormalCaracter"/>
        </w:rPr>
        <w:t>-</w:t>
      </w:r>
      <w:r>
        <w:t xml:space="preserve"> Sentencia </w:t>
      </w:r>
      <w:hyperlink w:anchor="SENTENCIA_2016_18" w:history="1">
        <w:r w:rsidRPr="0057104C">
          <w:rPr>
            <w:rStyle w:val="TextoNormalCaracter"/>
          </w:rPr>
          <w:t>18/2016</w:t>
        </w:r>
      </w:hyperlink>
      <w:r>
        <w:t>, f. 2.</w:t>
      </w:r>
    </w:p>
    <w:p w:rsidR="0057104C" w:rsidRDefault="0057104C" w:rsidP="0057104C">
      <w:pPr>
        <w:pStyle w:val="SangriaFrancesaArticulo"/>
      </w:pPr>
      <w:r w:rsidRPr="0057104C">
        <w:rPr>
          <w:rStyle w:val="TextoNormalNegritaCaracter"/>
        </w:rPr>
        <w:t>Disposición adicional cuarta, apartado 1.</w:t>
      </w:r>
      <w:r w:rsidRPr="0057104C">
        <w:rPr>
          <w:rStyle w:val="TextoNormalCaracter"/>
        </w:rPr>
        <w:t>-</w:t>
      </w:r>
      <w:r>
        <w:t xml:space="preserve"> Sentencia </w:t>
      </w:r>
      <w:hyperlink w:anchor="SENTENCIA_2016_119" w:history="1">
        <w:r w:rsidRPr="0057104C">
          <w:rPr>
            <w:rStyle w:val="TextoNormalCaracter"/>
          </w:rPr>
          <w:t>119/2016</w:t>
        </w:r>
      </w:hyperlink>
      <w:r>
        <w:t>, f. 1.</w:t>
      </w:r>
    </w:p>
    <w:p w:rsidR="0057104C" w:rsidRDefault="0057104C" w:rsidP="0057104C">
      <w:pPr>
        <w:pStyle w:val="SangriaFrancesaArticulo"/>
      </w:pPr>
    </w:p>
    <w:p w:rsidR="0057104C" w:rsidRDefault="0057104C" w:rsidP="0057104C">
      <w:pPr>
        <w:pStyle w:val="TextoNormalNegritaCursivandice"/>
      </w:pPr>
      <w:r>
        <w:t>Ley Orgánica 6/2015, de 12 de junio. Modificación de la Ley Orgánica 8/1980, de 22 de septiembre, de financiación de las Comunidades Autónomas y de la Ley Orgánica 2/2012, de 27 de abril, de Estabilidad Presupuestaria y Sostenibilidad Financiera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1" w:history="1">
        <w:r w:rsidRPr="0057104C">
          <w:rPr>
            <w:rStyle w:val="TextoNormalCaracter"/>
          </w:rPr>
          <w:t>101/2016</w:t>
        </w:r>
      </w:hyperlink>
      <w:r>
        <w:t>, f. 1, VP III.</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Artículo 4.3.</w:t>
      </w:r>
      <w:r w:rsidRPr="0057104C">
        <w:rPr>
          <w:rStyle w:val="TextoNormalCaracter"/>
        </w:rPr>
        <w:t>-</w:t>
      </w:r>
      <w:r>
        <w:t xml:space="preserve"> Sentencia </w:t>
      </w:r>
      <w:hyperlink w:anchor="SENTENCIA_2016_101" w:history="1">
        <w:r w:rsidRPr="0057104C">
          <w:rPr>
            <w:rStyle w:val="TextoNormalCaracter"/>
          </w:rPr>
          <w:t>101/2016</w:t>
        </w:r>
      </w:hyperlink>
      <w:r>
        <w:t>, f. 1.</w:t>
      </w:r>
    </w:p>
    <w:p w:rsidR="0057104C" w:rsidRDefault="0057104C" w:rsidP="0057104C">
      <w:pPr>
        <w:pStyle w:val="SangriaFrancesaArticulo"/>
      </w:pPr>
      <w:r w:rsidRPr="0057104C">
        <w:rPr>
          <w:rStyle w:val="TextoNormalNegritaCaracter"/>
        </w:rPr>
        <w:t>Artículo 18.1.</w:t>
      </w:r>
      <w:r w:rsidRPr="0057104C">
        <w:rPr>
          <w:rStyle w:val="TextoNormalCaracter"/>
        </w:rPr>
        <w:t>-</w:t>
      </w:r>
      <w:r>
        <w:t xml:space="preserve"> Sentencia </w:t>
      </w:r>
      <w:hyperlink w:anchor="SENTENCIA_2016_101" w:history="1">
        <w:r w:rsidRPr="0057104C">
          <w:rPr>
            <w:rStyle w:val="TextoNormalCaracter"/>
          </w:rPr>
          <w:t>101/2016</w:t>
        </w:r>
      </w:hyperlink>
      <w:r>
        <w:t>, f. 1.</w:t>
      </w:r>
    </w:p>
    <w:p w:rsidR="0057104C" w:rsidRDefault="0057104C" w:rsidP="0057104C">
      <w:pPr>
        <w:pStyle w:val="SangriaFrancesaArticulo"/>
      </w:pPr>
      <w:r w:rsidRPr="0057104C">
        <w:rPr>
          <w:rStyle w:val="TextoNormalNegritaCaracter"/>
        </w:rPr>
        <w:t>Artículo 18.4.</w:t>
      </w:r>
      <w:r w:rsidRPr="0057104C">
        <w:rPr>
          <w:rStyle w:val="TextoNormalCaracter"/>
        </w:rPr>
        <w:t>-</w:t>
      </w:r>
      <w:r>
        <w:t xml:space="preserve"> Sentencia </w:t>
      </w:r>
      <w:hyperlink w:anchor="SENTENCIA_2016_101" w:history="1">
        <w:r w:rsidRPr="0057104C">
          <w:rPr>
            <w:rStyle w:val="TextoNormalCaracter"/>
          </w:rPr>
          <w:t>101/2016</w:t>
        </w:r>
      </w:hyperlink>
      <w:r>
        <w:t>, f. 1.</w:t>
      </w:r>
    </w:p>
    <w:p w:rsidR="0057104C" w:rsidRDefault="0057104C" w:rsidP="0057104C">
      <w:pPr>
        <w:pStyle w:val="SangriaFrancesaArticulo"/>
      </w:pPr>
      <w:r w:rsidRPr="0057104C">
        <w:rPr>
          <w:rStyle w:val="TextoNormalNegritaCaracter"/>
        </w:rPr>
        <w:t>Artículo 20.1.</w:t>
      </w:r>
      <w:r w:rsidRPr="0057104C">
        <w:rPr>
          <w:rStyle w:val="TextoNormalCaracter"/>
        </w:rPr>
        <w:t>-</w:t>
      </w:r>
      <w:r>
        <w:t xml:space="preserve"> Sentencia </w:t>
      </w:r>
      <w:hyperlink w:anchor="SENTENCIA_2016_101" w:history="1">
        <w:r w:rsidRPr="0057104C">
          <w:rPr>
            <w:rStyle w:val="TextoNormalCaracter"/>
          </w:rPr>
          <w:t>101/2016</w:t>
        </w:r>
      </w:hyperlink>
      <w:r>
        <w:t>, f. 1.</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 </w:t>
      </w:r>
      <w:hyperlink w:anchor="SENTENCIA_2016_101" w:history="1">
        <w:r w:rsidRPr="0057104C">
          <w:rPr>
            <w:rStyle w:val="TextoNormalCaracter"/>
          </w:rPr>
          <w:t>101/2016</w:t>
        </w:r>
      </w:hyperlink>
      <w:r>
        <w:t>, f. 1.</w:t>
      </w:r>
    </w:p>
    <w:p w:rsidR="0057104C" w:rsidRDefault="0057104C" w:rsidP="0057104C">
      <w:pPr>
        <w:pStyle w:val="SangriaFrancesaArticulo"/>
      </w:pPr>
    </w:p>
    <w:p w:rsidR="0057104C" w:rsidRDefault="0057104C" w:rsidP="0057104C">
      <w:pPr>
        <w:pStyle w:val="TextoNormalNegritaCursivandice"/>
      </w:pPr>
      <w:r>
        <w:t>Ley Orgánica 7/2015, de 21 de julio. Modificación de la Ley Orgánica 6/1985, de 1 de julio, del Poder Judicial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58" w:history="1">
        <w:r w:rsidRPr="0057104C">
          <w:rPr>
            <w:rStyle w:val="TextoNormalCaracter"/>
          </w:rPr>
          <w:t>58/2016</w:t>
        </w:r>
      </w:hyperlink>
      <w:r>
        <w:t xml:space="preserve">, ff. 2, 4; </w:t>
      </w:r>
      <w:hyperlink w:anchor="SENTENCIA_2016_63" w:history="1">
        <w:r w:rsidRPr="0057104C">
          <w:rPr>
            <w:rStyle w:val="TextoNormalCaracter"/>
          </w:rPr>
          <w:t>63/2016</w:t>
        </w:r>
      </w:hyperlink>
      <w:r>
        <w:t xml:space="preserve">, f. 1; </w:t>
      </w:r>
      <w:hyperlink w:anchor="SENTENCIA_2016_65" w:history="1">
        <w:r w:rsidRPr="0057104C">
          <w:rPr>
            <w:rStyle w:val="TextoNormalCaracter"/>
          </w:rPr>
          <w:t>65/2016</w:t>
        </w:r>
      </w:hyperlink>
      <w:r>
        <w:t xml:space="preserve">, f. 4; </w:t>
      </w:r>
      <w:hyperlink w:anchor="SENTENCIA_2016_76" w:history="1">
        <w:r w:rsidRPr="0057104C">
          <w:rPr>
            <w:rStyle w:val="TextoNormalCaracter"/>
          </w:rPr>
          <w:t>76/2016</w:t>
        </w:r>
      </w:hyperlink>
      <w:r>
        <w:t xml:space="preserve">, f. 1; </w:t>
      </w:r>
      <w:hyperlink w:anchor="SENTENCIA_2016_89" w:history="1">
        <w:r w:rsidRPr="0057104C">
          <w:rPr>
            <w:rStyle w:val="TextoNormalCaracter"/>
          </w:rPr>
          <w:t>89/2016</w:t>
        </w:r>
      </w:hyperlink>
      <w:r>
        <w:t xml:space="preserve">, f. 1; </w:t>
      </w:r>
      <w:hyperlink w:anchor="SENTENCIA_2016_103" w:history="1">
        <w:r w:rsidRPr="0057104C">
          <w:rPr>
            <w:rStyle w:val="TextoNormalCaracter"/>
          </w:rPr>
          <w:t>103/2016</w:t>
        </w:r>
      </w:hyperlink>
      <w:r>
        <w:t>, f. 1.</w:t>
      </w:r>
    </w:p>
    <w:p w:rsidR="0057104C" w:rsidRDefault="0057104C" w:rsidP="0057104C">
      <w:pPr>
        <w:pStyle w:val="SangriaFrancesaArticulo"/>
      </w:pPr>
      <w:r w:rsidRPr="0057104C">
        <w:rPr>
          <w:rStyle w:val="TextoNormalNegritaCaracter"/>
        </w:rPr>
        <w:t>Artículo único, apartado 3.</w:t>
      </w:r>
      <w:r w:rsidRPr="0057104C">
        <w:rPr>
          <w:rStyle w:val="TextoNormalCaracter"/>
        </w:rPr>
        <w:t>-</w:t>
      </w:r>
      <w:r>
        <w:t xml:space="preserve"> Sentencia </w:t>
      </w:r>
      <w:hyperlink w:anchor="SENTENCIA_2016_65" w:history="1">
        <w:r w:rsidRPr="0057104C">
          <w:rPr>
            <w:rStyle w:val="TextoNormalCaracter"/>
          </w:rPr>
          <w:t>65/2016</w:t>
        </w:r>
      </w:hyperlink>
      <w:r>
        <w:t>, f. 4.</w:t>
      </w:r>
    </w:p>
    <w:p w:rsidR="0057104C" w:rsidRDefault="0057104C" w:rsidP="0057104C">
      <w:pPr>
        <w:pStyle w:val="SangriaFrancesaArticulo"/>
      </w:pPr>
      <w:r w:rsidRPr="0057104C">
        <w:rPr>
          <w:rStyle w:val="TextoNormalNegritaCaracter"/>
        </w:rPr>
        <w:t>Disposición final cuarta, apartado 13.</w:t>
      </w:r>
      <w:r w:rsidRPr="0057104C">
        <w:rPr>
          <w:rStyle w:val="TextoNormalCaracter"/>
        </w:rPr>
        <w:t>-</w:t>
      </w:r>
      <w:r>
        <w:t xml:space="preserve"> Sentencia </w:t>
      </w:r>
      <w:hyperlink w:anchor="SENTENCIA_2016_65" w:history="1">
        <w:r w:rsidRPr="0057104C">
          <w:rPr>
            <w:rStyle w:val="TextoNormalCaracter"/>
          </w:rPr>
          <w:t>65/2016</w:t>
        </w:r>
      </w:hyperlink>
      <w:r>
        <w:t>, f. 4.</w:t>
      </w:r>
    </w:p>
    <w:p w:rsidR="0057104C" w:rsidRDefault="0057104C" w:rsidP="0057104C">
      <w:pPr>
        <w:pStyle w:val="SangriaFrancesaArticulo"/>
      </w:pPr>
    </w:p>
    <w:p w:rsidR="0057104C" w:rsidRDefault="0057104C" w:rsidP="0057104C">
      <w:pPr>
        <w:pStyle w:val="TextoNormalNegritaCursivandice"/>
      </w:pPr>
      <w:r>
        <w:t>Ley Orgánica 12/2015, de 22 de septiembre. Modificación de la Ley Orgánica 2/1979, de 3 de octubre, del Tribunal Constitucional, para el establecimiento del recurso previo de inconstitucionalidad para los Proyectos de Ley Orgánica de Estatuto de Autonomía o de su modificación</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p>
    <w:p w:rsidR="0057104C" w:rsidRDefault="0057104C" w:rsidP="0057104C">
      <w:pPr>
        <w:pStyle w:val="TextoNormalNegritaCursivandice"/>
      </w:pPr>
      <w:r>
        <w:t>Ley Orgánica 15/2015, de 16 de octubre. Reforma de la Ley Orgánica 2/1979, de 3 de octubre, del Tribunal Constitucional, para la ejecución de las resoluciones del Tribunal Constitucional como garantía del Estado de Derecho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IzquierdaArticulo"/>
      </w:pPr>
      <w:r>
        <w:t xml:space="preserve">Auto </w:t>
      </w:r>
      <w:hyperlink w:anchor="AUTO_2016_128" w:history="1">
        <w:r w:rsidRPr="0057104C">
          <w:rPr>
            <w:rStyle w:val="TextoNormalCaracter"/>
          </w:rPr>
          <w:t>128/2016</w:t>
        </w:r>
      </w:hyperlink>
      <w:r>
        <w:t>, ff. 1, 2.</w:t>
      </w:r>
    </w:p>
    <w:p w:rsidR="0057104C" w:rsidRDefault="0057104C" w:rsidP="0057104C">
      <w:pPr>
        <w:pStyle w:val="SangriaFrancesaArticulo"/>
      </w:pPr>
      <w:r w:rsidRPr="0057104C">
        <w:rPr>
          <w:rStyle w:val="TextoNormalNegritaCaracter"/>
        </w:rPr>
        <w:t>Artículo 92.</w:t>
      </w:r>
      <w:r w:rsidRPr="0057104C">
        <w:rPr>
          <w:rStyle w:val="TextoNormalCaracter"/>
        </w:rPr>
        <w:t>-</w:t>
      </w:r>
      <w:r>
        <w:t xml:space="preserve"> Sentencia </w:t>
      </w:r>
      <w:hyperlink w:anchor="SENTENCIA_2016_95" w:history="1">
        <w:r w:rsidRPr="0057104C">
          <w:rPr>
            <w:rStyle w:val="TextoNormalCaracter"/>
          </w:rPr>
          <w:t>95/2016</w:t>
        </w:r>
      </w:hyperlink>
      <w:r>
        <w:t>, f. 8.</w:t>
      </w:r>
    </w:p>
    <w:p w:rsidR="0057104C" w:rsidRDefault="0057104C" w:rsidP="0057104C">
      <w:pPr>
        <w:pStyle w:val="TextoNormal"/>
      </w:pPr>
    </w:p>
    <w:p w:rsidR="0057104C" w:rsidRDefault="0057104C" w:rsidP="0057104C">
      <w:pPr>
        <w:pStyle w:val="SangriaFrancesaArticulo"/>
      </w:pPr>
      <w:bookmarkStart w:id="270" w:name="INDICE22846"/>
    </w:p>
    <w:bookmarkEnd w:id="270"/>
    <w:p w:rsidR="0057104C" w:rsidRDefault="0057104C" w:rsidP="0057104C">
      <w:pPr>
        <w:pStyle w:val="TextoIndiceNivel2"/>
        <w:suppressAutoHyphens/>
      </w:pPr>
      <w:r>
        <w:t>E) Leyes de las Cortes Generales</w:t>
      </w:r>
    </w:p>
    <w:p w:rsidR="0057104C" w:rsidRDefault="0057104C" w:rsidP="0057104C">
      <w:pPr>
        <w:pStyle w:val="TextoIndiceNivel2"/>
      </w:pPr>
    </w:p>
    <w:p w:rsidR="0057104C" w:rsidRDefault="0057104C" w:rsidP="0057104C">
      <w:pPr>
        <w:pStyle w:val="TextoNormalNegritaCursivandice"/>
      </w:pPr>
      <w:r>
        <w:t>Ley 8/1980, de 10 de marzo. Estatuto de los trabajadores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99" w:history="1">
        <w:r w:rsidRPr="0057104C">
          <w:rPr>
            <w:rStyle w:val="TextoNormalCaracter"/>
          </w:rPr>
          <w:t>99/2016</w:t>
        </w:r>
      </w:hyperlink>
      <w:r>
        <w:t>, f. 7.</w:t>
      </w:r>
    </w:p>
    <w:p w:rsidR="0057104C" w:rsidRDefault="0057104C" w:rsidP="0057104C">
      <w:pPr>
        <w:pStyle w:val="SangriaIzquierdaArticulo"/>
      </w:pPr>
      <w:r>
        <w:t xml:space="preserve">Auto </w:t>
      </w:r>
      <w:hyperlink w:anchor="AUTO_2016_83" w:history="1">
        <w:r w:rsidRPr="0057104C">
          <w:rPr>
            <w:rStyle w:val="TextoNormalCaracter"/>
          </w:rPr>
          <w:t>83/2016</w:t>
        </w:r>
      </w:hyperlink>
      <w:r>
        <w:t>, f. 3.</w:t>
      </w:r>
    </w:p>
    <w:p w:rsidR="0057104C" w:rsidRDefault="0057104C" w:rsidP="0057104C">
      <w:pPr>
        <w:pStyle w:val="SangriaFrancesaArticulo"/>
      </w:pPr>
      <w:r w:rsidRPr="0057104C">
        <w:rPr>
          <w:rStyle w:val="TextoNormalNegritaCaracter"/>
        </w:rPr>
        <w:t>Artículo 22.1.</w:t>
      </w:r>
      <w:r w:rsidRPr="0057104C">
        <w:rPr>
          <w:rStyle w:val="TextoNormalCaracter"/>
        </w:rPr>
        <w:t>-</w:t>
      </w:r>
      <w:r>
        <w:t xml:space="preserve"> Auto </w:t>
      </w:r>
      <w:hyperlink w:anchor="AUTO_2016_55" w:history="1">
        <w:r w:rsidRPr="0057104C">
          <w:rPr>
            <w:rStyle w:val="TextoNormalCaracter"/>
          </w:rPr>
          <w:t>55/2016</w:t>
        </w:r>
      </w:hyperlink>
      <w:r>
        <w:t>, ff. 1, 3.</w:t>
      </w:r>
    </w:p>
    <w:p w:rsidR="0057104C" w:rsidRDefault="0057104C" w:rsidP="0057104C">
      <w:pPr>
        <w:pStyle w:val="SangriaFrancesaArticulo"/>
      </w:pPr>
      <w:r w:rsidRPr="0057104C">
        <w:rPr>
          <w:rStyle w:val="TextoNormalNegritaCaracter"/>
        </w:rPr>
        <w:t>Artículo 26.3.</w:t>
      </w:r>
      <w:r w:rsidRPr="0057104C">
        <w:rPr>
          <w:rStyle w:val="TextoNormalCaracter"/>
        </w:rPr>
        <w:t>-</w:t>
      </w:r>
      <w:r>
        <w:t xml:space="preserve"> Auto </w:t>
      </w:r>
      <w:hyperlink w:anchor="AUTO_2016_55" w:history="1">
        <w:r w:rsidRPr="0057104C">
          <w:rPr>
            <w:rStyle w:val="TextoNormalCaracter"/>
          </w:rPr>
          <w:t>55/2016</w:t>
        </w:r>
      </w:hyperlink>
      <w:r>
        <w:t>, ff. 1, 3.</w:t>
      </w:r>
    </w:p>
    <w:p w:rsidR="0057104C" w:rsidRDefault="0057104C" w:rsidP="0057104C">
      <w:pPr>
        <w:pStyle w:val="SangriaFrancesaArticulo"/>
      </w:pPr>
      <w:r w:rsidRPr="0057104C">
        <w:rPr>
          <w:rStyle w:val="TextoNormalNegritaCaracter"/>
        </w:rPr>
        <w:t>Artículo 34.1.</w:t>
      </w:r>
      <w:r w:rsidRPr="0057104C">
        <w:rPr>
          <w:rStyle w:val="TextoNormalCaracter"/>
        </w:rPr>
        <w:t>-</w:t>
      </w:r>
      <w:r>
        <w:t xml:space="preserve"> Sentencia </w:t>
      </w:r>
      <w:hyperlink w:anchor="SENTENCIA_2016_99" w:history="1">
        <w:r w:rsidRPr="0057104C">
          <w:rPr>
            <w:rStyle w:val="TextoNormalCaracter"/>
          </w:rPr>
          <w:t>99/2016</w:t>
        </w:r>
      </w:hyperlink>
      <w:r>
        <w:t>, VP.</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Auto </w:t>
      </w:r>
      <w:hyperlink w:anchor="AUTO_2016_55" w:history="1">
        <w:r w:rsidRPr="0057104C">
          <w:rPr>
            <w:rStyle w:val="TextoNormalCaracter"/>
          </w:rPr>
          <w:t>55/2016</w:t>
        </w:r>
      </w:hyperlink>
      <w:r>
        <w:t>, ff. 1, 3.</w:t>
      </w:r>
    </w:p>
    <w:p w:rsidR="0057104C" w:rsidRDefault="0057104C" w:rsidP="0057104C">
      <w:pPr>
        <w:pStyle w:val="SangriaFrancesaArticulo"/>
      </w:pPr>
      <w:r w:rsidRPr="0057104C">
        <w:rPr>
          <w:rStyle w:val="TextoNormalNegritaCaracter"/>
        </w:rPr>
        <w:t>Artículo 82.</w:t>
      </w:r>
      <w:r w:rsidRPr="0057104C">
        <w:rPr>
          <w:rStyle w:val="TextoNormalCaracter"/>
        </w:rPr>
        <w:t>-</w:t>
      </w:r>
      <w:r>
        <w:t xml:space="preserve"> Auto </w:t>
      </w:r>
      <w:hyperlink w:anchor="AUTO_2016_55" w:history="1">
        <w:r w:rsidRPr="0057104C">
          <w:rPr>
            <w:rStyle w:val="TextoNormalCaracter"/>
          </w:rPr>
          <w:t>55/2016</w:t>
        </w:r>
      </w:hyperlink>
      <w:r>
        <w:t>, ff. 1, 3.</w:t>
      </w:r>
    </w:p>
    <w:p w:rsidR="0057104C" w:rsidRDefault="0057104C" w:rsidP="0057104C">
      <w:pPr>
        <w:pStyle w:val="SangriaFrancesaArticulo"/>
      </w:pPr>
    </w:p>
    <w:p w:rsidR="0057104C" w:rsidRDefault="0057104C" w:rsidP="0057104C">
      <w:pPr>
        <w:pStyle w:val="TextoNormalNegritaCursivandice"/>
      </w:pPr>
      <w:r>
        <w:t>Ley 12/1981, de 13 de mayo. Concierto económico con la Comunidad Autónoma del País Vasco</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2.1.1.</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2.1.2.</w:t>
      </w:r>
      <w:r w:rsidRPr="0057104C">
        <w:rPr>
          <w:rStyle w:val="TextoNormalCaracter"/>
        </w:rPr>
        <w:t>-</w:t>
      </w:r>
      <w:r>
        <w:t xml:space="preserve"> Sentencia </w:t>
      </w:r>
      <w:hyperlink w:anchor="SENTENCIA_2016_118" w:history="1">
        <w:r w:rsidRPr="0057104C">
          <w:rPr>
            <w:rStyle w:val="TextoNormalCaracter"/>
          </w:rPr>
          <w:t>118/2016</w:t>
        </w:r>
      </w:hyperlink>
      <w:r>
        <w:t>, ff. 2, 3.</w:t>
      </w:r>
    </w:p>
    <w:p w:rsidR="0057104C" w:rsidRDefault="0057104C" w:rsidP="0057104C">
      <w:pPr>
        <w:pStyle w:val="SangriaFrancesaArticulo"/>
      </w:pPr>
      <w:r w:rsidRPr="0057104C">
        <w:rPr>
          <w:rStyle w:val="TextoNormalNegritaCaracter"/>
        </w:rPr>
        <w:t>Artículo 2.1.3.</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2.1.4.</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2.1.5.</w:t>
      </w:r>
      <w:r w:rsidRPr="0057104C">
        <w:rPr>
          <w:rStyle w:val="TextoNormalCaracter"/>
        </w:rPr>
        <w:t>-</w:t>
      </w:r>
      <w:r>
        <w:t xml:space="preserve"> Sentencia </w:t>
      </w:r>
      <w:hyperlink w:anchor="SENTENCIA_2016_118" w:history="1">
        <w:r w:rsidRPr="0057104C">
          <w:rPr>
            <w:rStyle w:val="TextoNormalCaracter"/>
          </w:rPr>
          <w:t>118/2016</w:t>
        </w:r>
      </w:hyperlink>
      <w:r>
        <w:t>, ff. 2, 3.</w:t>
      </w:r>
    </w:p>
    <w:p w:rsidR="0057104C" w:rsidRDefault="0057104C" w:rsidP="0057104C">
      <w:pPr>
        <w:pStyle w:val="SangriaFrancesaArticulo"/>
      </w:pPr>
      <w:r w:rsidRPr="0057104C">
        <w:rPr>
          <w:rStyle w:val="TextoNormalNegritaCaracter"/>
        </w:rPr>
        <w:t>Artículo 3 a).</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4 a).</w:t>
      </w:r>
      <w:r w:rsidRPr="0057104C">
        <w:rPr>
          <w:rStyle w:val="TextoNormalCaracter"/>
        </w:rPr>
        <w:t>-</w:t>
      </w:r>
      <w:r>
        <w:t xml:space="preserve"> Sentencia </w:t>
      </w:r>
      <w:hyperlink w:anchor="SENTENCIA_2016_3" w:history="1">
        <w:r w:rsidRPr="0057104C">
          <w:rPr>
            <w:rStyle w:val="TextoNormalCaracter"/>
          </w:rPr>
          <w:t>3/2016</w:t>
        </w:r>
      </w:hyperlink>
      <w:r>
        <w:t>, ff. 2, 5.</w:t>
      </w:r>
    </w:p>
    <w:p w:rsidR="0057104C" w:rsidRDefault="0057104C" w:rsidP="0057104C">
      <w:pPr>
        <w:pStyle w:val="SangriaFrancesaArticulo"/>
      </w:pPr>
    </w:p>
    <w:p w:rsidR="0057104C" w:rsidRDefault="0057104C" w:rsidP="0057104C">
      <w:pPr>
        <w:pStyle w:val="TextoNormalNegritaCursivandice"/>
      </w:pPr>
      <w:r>
        <w:t>Ley 50/1981, de 30 de diciembre. Estatuto orgánico del Ministerio Fiscal</w:t>
      </w:r>
    </w:p>
    <w:p w:rsidR="0057104C" w:rsidRDefault="0057104C" w:rsidP="0057104C">
      <w:pPr>
        <w:pStyle w:val="SangriaFrancesaArticulo"/>
      </w:pPr>
      <w:r w:rsidRPr="0057104C">
        <w:rPr>
          <w:rStyle w:val="TextoNormalNegritaCaracter"/>
        </w:rPr>
        <w:t>Artículo 3.11.</w:t>
      </w:r>
      <w:r w:rsidRPr="0057104C">
        <w:rPr>
          <w:rStyle w:val="TextoNormalCaracter"/>
        </w:rPr>
        <w:t>-</w:t>
      </w:r>
      <w:r>
        <w:t xml:space="preserve"> Sentencia </w:t>
      </w:r>
      <w:hyperlink w:anchor="SENTENCIA_2016_34" w:history="1">
        <w:r w:rsidRPr="0057104C">
          <w:rPr>
            <w:rStyle w:val="TextoNormalCaracter"/>
          </w:rPr>
          <w:t>34/2016</w:t>
        </w:r>
      </w:hyperlink>
      <w:r>
        <w:t>, f. 2.</w:t>
      </w:r>
    </w:p>
    <w:p w:rsidR="0057104C" w:rsidRDefault="0057104C" w:rsidP="0057104C">
      <w:pPr>
        <w:pStyle w:val="SangriaFrancesaArticulo"/>
      </w:pPr>
    </w:p>
    <w:p w:rsidR="0057104C" w:rsidRDefault="0057104C" w:rsidP="0057104C">
      <w:pPr>
        <w:pStyle w:val="TextoNormalNegritaCursivandice"/>
      </w:pPr>
      <w:r>
        <w:t>Ley 24/1983, de 21 de diciembre. Medidas urgentes de saneamiento y regulación de haciendas locales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1" w:history="1">
        <w:r w:rsidRPr="0057104C">
          <w:rPr>
            <w:rStyle w:val="TextoNormalCaracter"/>
          </w:rPr>
          <w:t>111/2016</w:t>
        </w:r>
      </w:hyperlink>
      <w:r>
        <w:t>, f. 5.</w:t>
      </w:r>
    </w:p>
    <w:p w:rsidR="0057104C" w:rsidRDefault="0057104C" w:rsidP="0057104C">
      <w:pPr>
        <w:pStyle w:val="SangriaFrancesaArticulo"/>
      </w:pPr>
    </w:p>
    <w:p w:rsidR="0057104C" w:rsidRDefault="0057104C" w:rsidP="0057104C">
      <w:pPr>
        <w:pStyle w:val="TextoNormalNegritaCursivandice"/>
      </w:pPr>
      <w:r>
        <w:t>Ley 30/1984, de 2 de agosto. Medidas para la reforma de la función pública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89" w:history="1">
        <w:r w:rsidRPr="0057104C">
          <w:rPr>
            <w:rStyle w:val="TextoNormalCaracter"/>
          </w:rPr>
          <w:t>89/2016</w:t>
        </w:r>
      </w:hyperlink>
      <w:r>
        <w:t>, f. 1.</w:t>
      </w:r>
    </w:p>
    <w:p w:rsidR="0057104C" w:rsidRDefault="0057104C" w:rsidP="0057104C">
      <w:pPr>
        <w:pStyle w:val="SangriaFrancesaArticulo"/>
      </w:pPr>
      <w:r w:rsidRPr="0057104C">
        <w:rPr>
          <w:rStyle w:val="TextoNormalNegritaCaracter"/>
        </w:rPr>
        <w:t>Disposición adicional decimoquinta</w:t>
      </w:r>
      <w:r>
        <w:t xml:space="preserve"> (redactada por la Ley 27/1994, de 29 de septiembre)</w:t>
      </w:r>
      <w:r w:rsidRPr="0057104C">
        <w:rPr>
          <w:rStyle w:val="TextoNormalNegritaCaracter"/>
        </w:rPr>
        <w:t>.</w:t>
      </w:r>
      <w:r w:rsidRPr="0057104C">
        <w:rPr>
          <w:rStyle w:val="TextoNormalCaracter"/>
        </w:rPr>
        <w:t>-</w:t>
      </w:r>
      <w:r>
        <w:t xml:space="preserve"> Sentencia </w:t>
      </w:r>
      <w:hyperlink w:anchor="SENTENCIA_2016_44" w:history="1">
        <w:r w:rsidRPr="0057104C">
          <w:rPr>
            <w:rStyle w:val="TextoNormalCaracter"/>
          </w:rPr>
          <w:t>44/2016</w:t>
        </w:r>
      </w:hyperlink>
      <w:r>
        <w:t>, f. 5.</w:t>
      </w:r>
    </w:p>
    <w:p w:rsidR="0057104C" w:rsidRDefault="0057104C" w:rsidP="0057104C">
      <w:pPr>
        <w:pStyle w:val="SangriaFrancesaArticulo"/>
      </w:pPr>
    </w:p>
    <w:p w:rsidR="0057104C" w:rsidRDefault="0057104C" w:rsidP="0057104C">
      <w:pPr>
        <w:pStyle w:val="TextoNormalNegritaCursivandice"/>
      </w:pPr>
      <w:r>
        <w:t>Ley 31/1984, de 2 de agosto. Protección por desempleo, por la que se modifica el Título II de la Ley 51/1980, de 8 de octubre</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3" w:history="1">
        <w:r w:rsidRPr="0057104C">
          <w:rPr>
            <w:rStyle w:val="TextoNormalCaracter"/>
          </w:rPr>
          <w:t>123/2016</w:t>
        </w:r>
      </w:hyperlink>
      <w:r>
        <w:t>, f. 4.</w:t>
      </w:r>
    </w:p>
    <w:p w:rsidR="0057104C" w:rsidRDefault="0057104C" w:rsidP="0057104C">
      <w:pPr>
        <w:pStyle w:val="SangriaFrancesaArticulo"/>
      </w:pPr>
    </w:p>
    <w:p w:rsidR="0057104C" w:rsidRDefault="0057104C" w:rsidP="0057104C">
      <w:pPr>
        <w:pStyle w:val="TextoNormalNegritaCursivandice"/>
      </w:pPr>
      <w:r>
        <w:t>Ley 2/1985, de 21 de enero. Protección Civil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p>
    <w:p w:rsidR="0057104C" w:rsidRDefault="0057104C" w:rsidP="0057104C">
      <w:pPr>
        <w:pStyle w:val="TextoNormalNegritaCursivandice"/>
      </w:pPr>
      <w:r>
        <w:t>Ley 7/1985, de 2 de abril. Reguladora de bases del régimen local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41" w:history="1">
        <w:r w:rsidRPr="0057104C">
          <w:rPr>
            <w:rStyle w:val="TextoNormalCaracter"/>
          </w:rPr>
          <w:t>41/2016</w:t>
        </w:r>
      </w:hyperlink>
      <w:r>
        <w:t>, f. 2.</w:t>
      </w:r>
    </w:p>
    <w:p w:rsidR="0057104C" w:rsidRDefault="0057104C" w:rsidP="0057104C">
      <w:pPr>
        <w:pStyle w:val="SangriaFrancesaArticulo"/>
      </w:pPr>
      <w:r w:rsidRPr="0057104C">
        <w:rPr>
          <w:rStyle w:val="TextoNormalNegritaCaracter"/>
        </w:rPr>
        <w:t>Artículo 1.38</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0" w:history="1">
        <w:r w:rsidRPr="0057104C">
          <w:rPr>
            <w:rStyle w:val="TextoNormalCaracter"/>
          </w:rPr>
          <w:t>40/2016</w:t>
        </w:r>
      </w:hyperlink>
      <w:r>
        <w:t>, f. 2.</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41" w:history="1">
        <w:r w:rsidRPr="0057104C">
          <w:rPr>
            <w:rStyle w:val="TextoNormalCaracter"/>
          </w:rPr>
          <w:t>41/2016</w:t>
        </w:r>
      </w:hyperlink>
      <w:r>
        <w:t>, f. 9.</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41" w:history="1">
        <w:r w:rsidRPr="0057104C">
          <w:rPr>
            <w:rStyle w:val="TextoNormalCaracter"/>
          </w:rPr>
          <w:t>41/2016</w:t>
        </w:r>
      </w:hyperlink>
      <w:r>
        <w:t>, ff. 9 a 10.</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41" w:history="1">
        <w:r w:rsidRPr="0057104C">
          <w:rPr>
            <w:rStyle w:val="TextoNormalCaracter"/>
          </w:rPr>
          <w:t>41/2016</w:t>
        </w:r>
      </w:hyperlink>
      <w:r>
        <w:t>, f. 9.</w:t>
      </w:r>
    </w:p>
    <w:p w:rsidR="0057104C" w:rsidRDefault="0057104C" w:rsidP="0057104C">
      <w:pPr>
        <w:pStyle w:val="SangriaFrancesaArticulo"/>
      </w:pPr>
      <w:r w:rsidRPr="0057104C">
        <w:rPr>
          <w:rStyle w:val="TextoNormalNegritaCaracter"/>
        </w:rPr>
        <w:t>Artículo 3.1 b).</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3.2</w:t>
      </w:r>
      <w:r>
        <w:t xml:space="preserve"> (redactado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 7; </w:t>
      </w:r>
      <w:hyperlink w:anchor="SENTENCIA_2016_111" w:history="1">
        <w:r w:rsidRPr="0057104C">
          <w:rPr>
            <w:rStyle w:val="TextoNormalCaracter"/>
          </w:rPr>
          <w:t>111/2016</w:t>
        </w:r>
      </w:hyperlink>
      <w:r>
        <w:t>, f. 2.</w:t>
      </w:r>
    </w:p>
    <w:p w:rsidR="0057104C" w:rsidRDefault="0057104C" w:rsidP="0057104C">
      <w:pPr>
        <w:pStyle w:val="SangriaFrancesaArticulo"/>
      </w:pPr>
      <w:r w:rsidRPr="0057104C">
        <w:rPr>
          <w:rStyle w:val="TextoNormalNegritaCaracter"/>
        </w:rPr>
        <w:t>Artículo 4.1 a).</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41" w:history="1">
        <w:r w:rsidRPr="0057104C">
          <w:rPr>
            <w:rStyle w:val="TextoNormalCaracter"/>
          </w:rPr>
          <w:t>41/2016</w:t>
        </w:r>
      </w:hyperlink>
      <w:r>
        <w:t>, f. 8.</w:t>
      </w:r>
    </w:p>
    <w:p w:rsidR="0057104C" w:rsidRDefault="0057104C" w:rsidP="0057104C">
      <w:pPr>
        <w:pStyle w:val="SangriaFrancesaArticulo"/>
      </w:pPr>
      <w:r w:rsidRPr="0057104C">
        <w:rPr>
          <w:rStyle w:val="TextoNormalNegritaCaracter"/>
        </w:rPr>
        <w:t>Artículo 4.4.</w:t>
      </w:r>
      <w:r w:rsidRPr="0057104C">
        <w:rPr>
          <w:rStyle w:val="TextoNormalCaracter"/>
        </w:rPr>
        <w:t>-</w:t>
      </w:r>
      <w:r>
        <w:t xml:space="preserve"> Sentencia </w:t>
      </w:r>
      <w:hyperlink w:anchor="SENTENCIA_2016_41" w:history="1">
        <w:r w:rsidRPr="0057104C">
          <w:rPr>
            <w:rStyle w:val="TextoNormalCaracter"/>
          </w:rPr>
          <w:t>41/2016</w:t>
        </w:r>
      </w:hyperlink>
      <w:r>
        <w:t>, f. 8.</w:t>
      </w:r>
    </w:p>
    <w:p w:rsidR="0057104C" w:rsidRDefault="0057104C" w:rsidP="0057104C">
      <w:pPr>
        <w:pStyle w:val="SangriaFrancesaArticulo"/>
      </w:pPr>
      <w:r w:rsidRPr="0057104C">
        <w:rPr>
          <w:rStyle w:val="TextoNormalNegritaCaracter"/>
        </w:rPr>
        <w:t>Artículo 7.1</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10.</w:t>
      </w:r>
    </w:p>
    <w:p w:rsidR="0057104C" w:rsidRDefault="0057104C" w:rsidP="0057104C">
      <w:pPr>
        <w:pStyle w:val="SangriaFrancesaArticulo"/>
      </w:pPr>
      <w:r w:rsidRPr="0057104C">
        <w:rPr>
          <w:rStyle w:val="TextoNormalNegritaCaracter"/>
        </w:rPr>
        <w:t>Artículo  7.2</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10, 11.</w:t>
      </w:r>
    </w:p>
    <w:p w:rsidR="0057104C" w:rsidRDefault="0057104C" w:rsidP="0057104C">
      <w:pPr>
        <w:pStyle w:val="SangriaFrancesaArticulo"/>
      </w:pPr>
      <w:r w:rsidRPr="0057104C">
        <w:rPr>
          <w:rStyle w:val="TextoNormalNegritaCaracter"/>
        </w:rPr>
        <w:t>Artículo 7</w:t>
      </w:r>
      <w:r>
        <w:t xml:space="preserve"> (redactado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 13; </w:t>
      </w:r>
      <w:hyperlink w:anchor="SENTENCIA_2016_111" w:history="1">
        <w:r w:rsidRPr="0057104C">
          <w:rPr>
            <w:rStyle w:val="TextoNormalCaracter"/>
          </w:rPr>
          <w:t>111/2016</w:t>
        </w:r>
      </w:hyperlink>
      <w:r>
        <w:t>, f. 2.</w:t>
      </w:r>
    </w:p>
    <w:p w:rsidR="0057104C" w:rsidRDefault="0057104C" w:rsidP="0057104C">
      <w:pPr>
        <w:pStyle w:val="SangriaFrancesaArticulo"/>
      </w:pPr>
      <w:r w:rsidRPr="0057104C">
        <w:rPr>
          <w:rStyle w:val="TextoNormalNegritaCaracter"/>
        </w:rPr>
        <w:t>Artículo 7.3</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10.</w:t>
      </w:r>
    </w:p>
    <w:p w:rsidR="0057104C" w:rsidRDefault="0057104C" w:rsidP="0057104C">
      <w:pPr>
        <w:pStyle w:val="SangriaFrancesaArticulo"/>
      </w:pPr>
      <w:r w:rsidRPr="0057104C">
        <w:rPr>
          <w:rStyle w:val="TextoNormalNegritaCaracter"/>
        </w:rPr>
        <w:t>Artículo 7.4</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2, 9 a 13, 15.</w:t>
      </w:r>
    </w:p>
    <w:p w:rsidR="0057104C" w:rsidRDefault="0057104C" w:rsidP="0057104C">
      <w:pPr>
        <w:pStyle w:val="SangriaFrancesaArticulo"/>
      </w:pPr>
      <w:r w:rsidRPr="0057104C">
        <w:rPr>
          <w:rStyle w:val="TextoNormalNegritaCaracter"/>
        </w:rPr>
        <w:t>Artículo 11.2.</w:t>
      </w:r>
      <w:r w:rsidRPr="0057104C">
        <w:rPr>
          <w:rStyle w:val="TextoNormalCaracter"/>
        </w:rPr>
        <w:t>-</w:t>
      </w:r>
      <w:r>
        <w:t xml:space="preserve"> Sentencia </w:t>
      </w:r>
      <w:hyperlink w:anchor="SENTENCIA_2016_41" w:history="1">
        <w:r w:rsidRPr="0057104C">
          <w:rPr>
            <w:rStyle w:val="TextoNormalCaracter"/>
          </w:rPr>
          <w:t>41/2016</w:t>
        </w:r>
      </w:hyperlink>
      <w:r>
        <w:t>, f. 5.</w:t>
      </w:r>
    </w:p>
    <w:p w:rsidR="0057104C" w:rsidRDefault="0057104C" w:rsidP="0057104C">
      <w:pPr>
        <w:pStyle w:val="SangriaFrancesaArticulo"/>
      </w:pPr>
      <w:r w:rsidRPr="0057104C">
        <w:rPr>
          <w:rStyle w:val="TextoNormalNegritaCaracter"/>
        </w:rPr>
        <w:t>Artículo 13</w:t>
      </w:r>
      <w:r>
        <w:t xml:space="preserve"> (redactado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ff. 2, 5, 6, 15; </w:t>
      </w:r>
      <w:hyperlink w:anchor="SENTENCIA_2016_111" w:history="1">
        <w:r w:rsidRPr="0057104C">
          <w:rPr>
            <w:rStyle w:val="TextoNormalCaracter"/>
          </w:rPr>
          <w:t>111/2016</w:t>
        </w:r>
      </w:hyperlink>
      <w:r>
        <w:t>, f. 2.</w:t>
      </w:r>
    </w:p>
    <w:p w:rsidR="0057104C" w:rsidRDefault="0057104C" w:rsidP="0057104C">
      <w:pPr>
        <w:pStyle w:val="SangriaFrancesaArticulo"/>
      </w:pPr>
      <w:r w:rsidRPr="0057104C">
        <w:rPr>
          <w:rStyle w:val="TextoNormalNegritaCaracter"/>
        </w:rPr>
        <w:t>Artículo 13.1</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13.2</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13.3</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13.4</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13.4 párrafo 2</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13.4 segundo párrafo, f)</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13.4 segundo párrafo, g)</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13.4 tercer párrafo</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13.4 tercer párrafo a)</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13.4 tercer párrafo b)</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13.4 tercer párrafo c)</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13.4 tercer párrafo d)</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13.4 tercer párrafo e)</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13.4, tercer párrafo g)</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13.5</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13.6</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18.1 g)</w:t>
      </w:r>
      <w:r>
        <w:t xml:space="preserve"> (redactado por la Ley 57/2003, de 16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9.</w:t>
      </w:r>
    </w:p>
    <w:p w:rsidR="0057104C" w:rsidRDefault="0057104C" w:rsidP="0057104C">
      <w:pPr>
        <w:pStyle w:val="SangriaFrancesaArticulo"/>
      </w:pPr>
      <w:r w:rsidRPr="0057104C">
        <w:rPr>
          <w:rStyle w:val="TextoNormalNegritaCaracter"/>
        </w:rPr>
        <w:t>Artículos 19 a 24 bis.</w:t>
      </w:r>
      <w:r w:rsidRPr="0057104C">
        <w:rPr>
          <w:rStyle w:val="TextoNormalCaracter"/>
        </w:rPr>
        <w:t>-</w:t>
      </w:r>
      <w:r>
        <w:t xml:space="preserve"> Sentencia </w:t>
      </w:r>
      <w:hyperlink w:anchor="SENTENCIA_2016_41" w:history="1">
        <w:r w:rsidRPr="0057104C">
          <w:rPr>
            <w:rStyle w:val="TextoNormalCaracter"/>
          </w:rPr>
          <w:t>41/2016</w:t>
        </w:r>
      </w:hyperlink>
      <w:r>
        <w:t>, f. 15.</w:t>
      </w:r>
    </w:p>
    <w:p w:rsidR="0057104C" w:rsidRDefault="0057104C" w:rsidP="0057104C">
      <w:pPr>
        <w:pStyle w:val="SangriaFrancesaArticulo"/>
      </w:pPr>
      <w:r w:rsidRPr="0057104C">
        <w:rPr>
          <w:rStyle w:val="TextoNormalNegritaCaracter"/>
        </w:rPr>
        <w:t>Artículo 20</w:t>
      </w:r>
      <w:r>
        <w:t xml:space="preserve"> (redactado por la Ley 57/2003, de 16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3, 5, 7.</w:t>
      </w:r>
    </w:p>
    <w:p w:rsidR="0057104C" w:rsidRDefault="0057104C" w:rsidP="0057104C">
      <w:pPr>
        <w:pStyle w:val="SangriaFrancesaArticulo"/>
      </w:pPr>
      <w:r w:rsidRPr="0057104C">
        <w:rPr>
          <w:rStyle w:val="TextoNormalNegritaCaracter"/>
        </w:rPr>
        <w:t>Artículo 20.1.</w:t>
      </w:r>
      <w:r w:rsidRPr="0057104C">
        <w:rPr>
          <w:rStyle w:val="TextoNormalCaracter"/>
        </w:rPr>
        <w:t>-</w:t>
      </w:r>
      <w:r>
        <w:t xml:space="preserve"> Sentencia </w:t>
      </w:r>
      <w:hyperlink w:anchor="SENTENCIA_2016_40" w:history="1">
        <w:r w:rsidRPr="0057104C">
          <w:rPr>
            <w:rStyle w:val="TextoNormalCaracter"/>
          </w:rPr>
          <w:t>40/2016</w:t>
        </w:r>
      </w:hyperlink>
      <w:r>
        <w:t>, f. 2.</w:t>
      </w:r>
    </w:p>
    <w:p w:rsidR="0057104C" w:rsidRDefault="0057104C" w:rsidP="0057104C">
      <w:pPr>
        <w:pStyle w:val="SangriaFrancesaArticulo"/>
      </w:pPr>
      <w:r w:rsidRPr="0057104C">
        <w:rPr>
          <w:rStyle w:val="TextoNormalNegritaCaracter"/>
        </w:rPr>
        <w:t>Artículo 22.2 a).</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22.2 e).</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22.3.</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22.4.</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24 bis</w:t>
      </w:r>
      <w:r>
        <w:t xml:space="preserve"> (redactado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ff. 2, 5, 7, 15; </w:t>
      </w:r>
      <w:hyperlink w:anchor="SENTENCIA_2016_111" w:history="1">
        <w:r w:rsidRPr="0057104C">
          <w:rPr>
            <w:rStyle w:val="TextoNormalCaracter"/>
          </w:rPr>
          <w:t>111/2016</w:t>
        </w:r>
      </w:hyperlink>
      <w:r>
        <w:t>, f. 2.</w:t>
      </w:r>
    </w:p>
    <w:p w:rsidR="0057104C" w:rsidRDefault="0057104C" w:rsidP="0057104C">
      <w:pPr>
        <w:pStyle w:val="SangriaFrancesaArticulo"/>
      </w:pPr>
      <w:r w:rsidRPr="0057104C">
        <w:rPr>
          <w:rStyle w:val="TextoNormalNegritaCaracter"/>
        </w:rPr>
        <w:t>Artículo 24 bis apartado 1</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7.</w:t>
      </w:r>
    </w:p>
    <w:p w:rsidR="0057104C" w:rsidRDefault="0057104C" w:rsidP="0057104C">
      <w:pPr>
        <w:pStyle w:val="SangriaFrancesaArticulo"/>
      </w:pPr>
      <w:r w:rsidRPr="0057104C">
        <w:rPr>
          <w:rStyle w:val="TextoNormalNegritaCaracter"/>
        </w:rPr>
        <w:t>Artículo 24 bis apartado 3</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7.</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111" w:history="1">
        <w:r w:rsidRPr="0057104C">
          <w:rPr>
            <w:rStyle w:val="TextoNormalCaracter"/>
          </w:rPr>
          <w:t>111/2016</w:t>
        </w:r>
      </w:hyperlink>
      <w:r>
        <w:t>, f. 2.</w:t>
      </w:r>
    </w:p>
    <w:p w:rsidR="0057104C" w:rsidRDefault="0057104C" w:rsidP="0057104C">
      <w:pPr>
        <w:pStyle w:val="SangriaFrancesaArticulo"/>
      </w:pPr>
      <w:r w:rsidRPr="0057104C">
        <w:rPr>
          <w:rStyle w:val="TextoNormalNegritaCaracter"/>
        </w:rPr>
        <w:t>Artículo 25</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2, 8 a 13.</w:t>
      </w:r>
    </w:p>
    <w:p w:rsidR="0057104C" w:rsidRDefault="0057104C" w:rsidP="0057104C">
      <w:pPr>
        <w:pStyle w:val="SangriaFrancesaArticulo"/>
      </w:pPr>
      <w:r w:rsidRPr="0057104C">
        <w:rPr>
          <w:rStyle w:val="TextoNormalNegritaCaracter"/>
        </w:rPr>
        <w:t>Artículo 25.1</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9, 10, 13.</w:t>
      </w:r>
    </w:p>
    <w:p w:rsidR="0057104C" w:rsidRDefault="0057104C" w:rsidP="0057104C">
      <w:pPr>
        <w:pStyle w:val="SangriaFrancesaArticulo"/>
      </w:pPr>
      <w:r w:rsidRPr="0057104C">
        <w:rPr>
          <w:rStyle w:val="TextoNormalNegritaCaracter"/>
        </w:rPr>
        <w:t>Artículo 25.2.</w:t>
      </w:r>
      <w:r w:rsidRPr="0057104C">
        <w:rPr>
          <w:rStyle w:val="TextoNormalCaracter"/>
        </w:rPr>
        <w:t>-</w:t>
      </w:r>
      <w:r>
        <w:t xml:space="preserve"> Sentencia </w:t>
      </w:r>
      <w:hyperlink w:anchor="SENTENCIA_2016_27" w:history="1">
        <w:r w:rsidRPr="0057104C">
          <w:rPr>
            <w:rStyle w:val="TextoNormalCaracter"/>
          </w:rPr>
          <w:t>27/2016</w:t>
        </w:r>
      </w:hyperlink>
      <w:r>
        <w:t>, f. 5.</w:t>
      </w:r>
    </w:p>
    <w:p w:rsidR="0057104C" w:rsidRDefault="0057104C" w:rsidP="0057104C">
      <w:pPr>
        <w:pStyle w:val="SangriaFrancesaArticulo"/>
      </w:pPr>
      <w:r w:rsidRPr="0057104C">
        <w:rPr>
          <w:rStyle w:val="TextoNormalNegritaCaracter"/>
        </w:rPr>
        <w:t>Artículo 25.2</w:t>
      </w:r>
      <w:r>
        <w:t xml:space="preserve"> (redactado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ff. 8 a 13;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25.2 b)</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25.2 c)</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25.2 e)</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25.2 i)</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25.2 j)</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25.2 k)</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25.2 n)</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25.3</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10, 12.</w:t>
      </w:r>
    </w:p>
    <w:p w:rsidR="0057104C" w:rsidRDefault="0057104C" w:rsidP="0057104C">
      <w:pPr>
        <w:pStyle w:val="SangriaFrancesaArticulo"/>
      </w:pPr>
      <w:r w:rsidRPr="0057104C">
        <w:rPr>
          <w:rStyle w:val="TextoNormalNegritaCaracter"/>
        </w:rPr>
        <w:t>Artículo 25.4</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10, 12.</w:t>
      </w:r>
    </w:p>
    <w:p w:rsidR="0057104C" w:rsidRDefault="0057104C" w:rsidP="0057104C">
      <w:pPr>
        <w:pStyle w:val="SangriaFrancesaArticulo"/>
      </w:pPr>
      <w:r w:rsidRPr="0057104C">
        <w:rPr>
          <w:rStyle w:val="TextoNormalNegritaCaracter"/>
        </w:rPr>
        <w:t>Artículo 25.4 inciso final</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12.</w:t>
      </w:r>
    </w:p>
    <w:p w:rsidR="0057104C" w:rsidRDefault="0057104C" w:rsidP="0057104C">
      <w:pPr>
        <w:pStyle w:val="SangriaFrancesaArticulo"/>
      </w:pPr>
      <w:r w:rsidRPr="0057104C">
        <w:rPr>
          <w:rStyle w:val="TextoNormalNegritaCaracter"/>
        </w:rPr>
        <w:t>Artículo 25.5</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10, 12.</w:t>
      </w:r>
    </w:p>
    <w:p w:rsidR="0057104C" w:rsidRDefault="0057104C" w:rsidP="0057104C">
      <w:pPr>
        <w:pStyle w:val="SangriaFrancesaArticulo"/>
      </w:pPr>
      <w:r w:rsidRPr="0057104C">
        <w:rPr>
          <w:rStyle w:val="TextoNormalNegritaCaracter"/>
        </w:rPr>
        <w:t>Artículo 26.</w:t>
      </w:r>
      <w:r w:rsidRPr="0057104C">
        <w:rPr>
          <w:rStyle w:val="TextoNormalCaracter"/>
        </w:rPr>
        <w:t>-</w:t>
      </w:r>
      <w:r>
        <w:t xml:space="preserve"> Sentencia </w:t>
      </w:r>
      <w:hyperlink w:anchor="SENTENCIA_2016_53" w:history="1">
        <w:r w:rsidRPr="0057104C">
          <w:rPr>
            <w:rStyle w:val="TextoNormalCaracter"/>
          </w:rPr>
          <w:t>53/2016</w:t>
        </w:r>
      </w:hyperlink>
      <w:r>
        <w:t>, f. 5.</w:t>
      </w:r>
    </w:p>
    <w:p w:rsidR="0057104C" w:rsidRDefault="0057104C" w:rsidP="0057104C">
      <w:pPr>
        <w:pStyle w:val="SangriaFrancesaArticulo"/>
      </w:pPr>
      <w:r w:rsidRPr="0057104C">
        <w:rPr>
          <w:rStyle w:val="TextoNormalNegritaCaracter"/>
        </w:rPr>
        <w:t>Artículo 26</w:t>
      </w:r>
      <w:r>
        <w:t xml:space="preserve"> (redactado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ff. 6, 8 a 11, 13, 15;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26.1</w:t>
      </w:r>
      <w:r>
        <w:t xml:space="preserve"> (redactado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ff. 9, 13; </w:t>
      </w:r>
      <w:hyperlink w:anchor="SENTENCIA_2016_111" w:history="1">
        <w:r w:rsidRPr="0057104C">
          <w:rPr>
            <w:rStyle w:val="TextoNormalCaracter"/>
          </w:rPr>
          <w:t>111/2016</w:t>
        </w:r>
      </w:hyperlink>
      <w:r>
        <w:t>, ff. 10, 12.</w:t>
      </w:r>
    </w:p>
    <w:p w:rsidR="0057104C" w:rsidRDefault="0057104C" w:rsidP="0057104C">
      <w:pPr>
        <w:pStyle w:val="SangriaFrancesaArticulo"/>
      </w:pPr>
      <w:r w:rsidRPr="0057104C">
        <w:rPr>
          <w:rStyle w:val="TextoNormalNegritaCaracter"/>
        </w:rPr>
        <w:t>Artículo 26.1 a).</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26.1 c)</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26.2</w:t>
      </w:r>
      <w:r>
        <w:t xml:space="preserve"> (redactado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ff. 8 a 10; </w:t>
      </w:r>
      <w:hyperlink w:anchor="SENTENCIA_2016_111" w:history="1">
        <w:r w:rsidRPr="0057104C">
          <w:rPr>
            <w:rStyle w:val="TextoNormalCaracter"/>
          </w:rPr>
          <w:t>111/2016</w:t>
        </w:r>
      </w:hyperlink>
      <w:r>
        <w:t>, ff. 3, 12.</w:t>
      </w:r>
    </w:p>
    <w:p w:rsidR="0057104C" w:rsidRDefault="0057104C" w:rsidP="0057104C">
      <w:pPr>
        <w:pStyle w:val="SangriaFrancesaArticulo"/>
      </w:pPr>
      <w:r w:rsidRPr="0057104C">
        <w:rPr>
          <w:rStyle w:val="TextoNormalNegritaCaracter"/>
        </w:rPr>
        <w:t>Artículo 26.2 párrafo cuarto</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26.2 párrafo segundo</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26.2 párrafo tercero</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26.3</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10.</w:t>
      </w:r>
    </w:p>
    <w:p w:rsidR="0057104C" w:rsidRDefault="0057104C" w:rsidP="0057104C">
      <w:pPr>
        <w:pStyle w:val="SangriaFrancesaArticulo"/>
      </w:pPr>
      <w:r w:rsidRPr="0057104C">
        <w:rPr>
          <w:rStyle w:val="TextoNormalNegritaCaracter"/>
        </w:rPr>
        <w:t>Artículo 27</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2, 9, 11.</w:t>
      </w:r>
    </w:p>
    <w:p w:rsidR="0057104C" w:rsidRDefault="0057104C" w:rsidP="0057104C">
      <w:pPr>
        <w:pStyle w:val="SangriaFrancesaArticulo"/>
      </w:pPr>
      <w:r w:rsidRPr="0057104C">
        <w:rPr>
          <w:rStyle w:val="TextoNormalNegritaCaracter"/>
        </w:rPr>
        <w:t>Artículo 27.5</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27.6</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11, 16.</w:t>
      </w:r>
    </w:p>
    <w:p w:rsidR="0057104C" w:rsidRDefault="0057104C" w:rsidP="0057104C">
      <w:pPr>
        <w:pStyle w:val="SangriaFrancesaArticulo"/>
      </w:pPr>
      <w:r w:rsidRPr="0057104C">
        <w:rPr>
          <w:rStyle w:val="TextoNormalNegritaCaracter"/>
        </w:rPr>
        <w:t>Artículo 28</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9, 10, 12, 13.</w:t>
      </w:r>
    </w:p>
    <w:p w:rsidR="0057104C" w:rsidRDefault="0057104C" w:rsidP="0057104C">
      <w:pPr>
        <w:pStyle w:val="SangriaFrancesaArticulo"/>
      </w:pPr>
      <w:r w:rsidRPr="0057104C">
        <w:rPr>
          <w:rStyle w:val="TextoNormalNegritaCaracter"/>
        </w:rPr>
        <w:t>Artículo 31.2.</w:t>
      </w:r>
      <w:r w:rsidRPr="0057104C">
        <w:rPr>
          <w:rStyle w:val="TextoNormalCaracter"/>
        </w:rPr>
        <w:t>-</w:t>
      </w:r>
      <w:r>
        <w:t xml:space="preserve"> Sentencia </w:t>
      </w:r>
      <w:hyperlink w:anchor="SENTENCIA_2016_41" w:history="1">
        <w:r w:rsidRPr="0057104C">
          <w:rPr>
            <w:rStyle w:val="TextoNormalCaracter"/>
          </w:rPr>
          <w:t>41/2016</w:t>
        </w:r>
      </w:hyperlink>
      <w:r>
        <w:t>, f. 15.</w:t>
      </w:r>
    </w:p>
    <w:p w:rsidR="0057104C" w:rsidRDefault="0057104C" w:rsidP="0057104C">
      <w:pPr>
        <w:pStyle w:val="SangriaFrancesaArticulo"/>
      </w:pPr>
      <w:r w:rsidRPr="0057104C">
        <w:rPr>
          <w:rStyle w:val="TextoNormalNegritaCaracter"/>
        </w:rPr>
        <w:t>Artículo 31.2 a).</w:t>
      </w:r>
      <w:r w:rsidRPr="0057104C">
        <w:rPr>
          <w:rStyle w:val="TextoNormalCaracter"/>
        </w:rPr>
        <w:t>-</w:t>
      </w:r>
      <w:r>
        <w:t xml:space="preserve"> Sentencia </w:t>
      </w:r>
      <w:hyperlink w:anchor="SENTENCIA_2016_111" w:history="1">
        <w:r w:rsidRPr="0057104C">
          <w:rPr>
            <w:rStyle w:val="TextoNormalCaracter"/>
          </w:rPr>
          <w:t>111/2016</w:t>
        </w:r>
      </w:hyperlink>
      <w:r>
        <w:t>, f. 11.</w:t>
      </w:r>
    </w:p>
    <w:p w:rsidR="0057104C" w:rsidRDefault="0057104C" w:rsidP="0057104C">
      <w:pPr>
        <w:pStyle w:val="SangriaFrancesaArticulo"/>
      </w:pPr>
      <w:r w:rsidRPr="0057104C">
        <w:rPr>
          <w:rStyle w:val="TextoNormalNegritaCaracter"/>
        </w:rPr>
        <w:t>Artículos 31 a 38.</w:t>
      </w:r>
      <w:r w:rsidRPr="0057104C">
        <w:rPr>
          <w:rStyle w:val="TextoNormalCaracter"/>
        </w:rPr>
        <w:t>-</w:t>
      </w:r>
      <w:r>
        <w:t xml:space="preserve"> Sentencia </w:t>
      </w:r>
      <w:hyperlink w:anchor="SENTENCIA_2016_41" w:history="1">
        <w:r w:rsidRPr="0057104C">
          <w:rPr>
            <w:rStyle w:val="TextoNormalCaracter"/>
          </w:rPr>
          <w:t>41/2016</w:t>
        </w:r>
      </w:hyperlink>
      <w:r>
        <w:t>, f. 15.</w:t>
      </w:r>
    </w:p>
    <w:p w:rsidR="0057104C" w:rsidRDefault="0057104C" w:rsidP="0057104C">
      <w:pPr>
        <w:pStyle w:val="SangriaFrancesaArticulo"/>
      </w:pPr>
      <w:r w:rsidRPr="0057104C">
        <w:rPr>
          <w:rStyle w:val="TextoNormalNegritaCaracter"/>
        </w:rPr>
        <w:t>Artículo 33.2 c).</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33.2 d).</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33.2 e).</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33.3.</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33.4.</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36.</w:t>
      </w:r>
      <w:r w:rsidRPr="0057104C">
        <w:rPr>
          <w:rStyle w:val="TextoNormalCaracter"/>
        </w:rPr>
        <w:t>-</w:t>
      </w:r>
      <w:r>
        <w:t xml:space="preserve"> Sentencia </w:t>
      </w:r>
      <w:hyperlink w:anchor="SENTENCIA_2016_41" w:history="1">
        <w:r w:rsidRPr="0057104C">
          <w:rPr>
            <w:rStyle w:val="TextoNormalCaracter"/>
          </w:rPr>
          <w:t>41/2016</w:t>
        </w:r>
      </w:hyperlink>
      <w:r>
        <w:t>, f. 9.</w:t>
      </w:r>
    </w:p>
    <w:p w:rsidR="0057104C" w:rsidRDefault="0057104C" w:rsidP="0057104C">
      <w:pPr>
        <w:pStyle w:val="SangriaFrancesaArticulo"/>
      </w:pPr>
      <w:r w:rsidRPr="0057104C">
        <w:rPr>
          <w:rStyle w:val="TextoNormalNegritaCaracter"/>
        </w:rPr>
        <w:t>Artículo 36</w:t>
      </w:r>
      <w:r>
        <w:t xml:space="preserve"> (redactado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 10; </w:t>
      </w:r>
      <w:hyperlink w:anchor="SENTENCIA_2016_111" w:history="1">
        <w:r w:rsidRPr="0057104C">
          <w:rPr>
            <w:rStyle w:val="TextoNormalCaracter"/>
          </w:rPr>
          <w:t>111/2016</w:t>
        </w:r>
      </w:hyperlink>
      <w:r>
        <w:t>, ff. 10, 12.</w:t>
      </w:r>
    </w:p>
    <w:p w:rsidR="0057104C" w:rsidRDefault="0057104C" w:rsidP="0057104C">
      <w:pPr>
        <w:pStyle w:val="SangriaFrancesaArticulo"/>
      </w:pPr>
      <w:r w:rsidRPr="0057104C">
        <w:rPr>
          <w:rStyle w:val="TextoNormalNegritaCaracter"/>
        </w:rPr>
        <w:t>Artículo 36.1.</w:t>
      </w:r>
      <w:r w:rsidRPr="0057104C">
        <w:rPr>
          <w:rStyle w:val="TextoNormalCaracter"/>
        </w:rPr>
        <w:t>-</w:t>
      </w:r>
      <w:r>
        <w:t xml:space="preserve"> Sentencia </w:t>
      </w:r>
      <w:hyperlink w:anchor="SENTENCIA_2016_41" w:history="1">
        <w:r w:rsidRPr="0057104C">
          <w:rPr>
            <w:rStyle w:val="TextoNormalCaracter"/>
          </w:rPr>
          <w:t>41/2016</w:t>
        </w:r>
      </w:hyperlink>
      <w:r>
        <w:t>, f. 9.</w:t>
      </w:r>
    </w:p>
    <w:p w:rsidR="0057104C" w:rsidRDefault="0057104C" w:rsidP="0057104C">
      <w:pPr>
        <w:pStyle w:val="SangriaFrancesaArticulo"/>
      </w:pPr>
      <w:r w:rsidRPr="0057104C">
        <w:rPr>
          <w:rStyle w:val="TextoNormalNegritaCaracter"/>
        </w:rPr>
        <w:t>Artículo 36.1 a).</w:t>
      </w:r>
      <w:r w:rsidRPr="0057104C">
        <w:rPr>
          <w:rStyle w:val="TextoNormalCaracter"/>
        </w:rPr>
        <w:t>-</w:t>
      </w:r>
      <w:r>
        <w:t xml:space="preserve"> Sentencia </w:t>
      </w:r>
      <w:hyperlink w:anchor="SENTENCIA_2016_41" w:history="1">
        <w:r w:rsidRPr="0057104C">
          <w:rPr>
            <w:rStyle w:val="TextoNormalCaracter"/>
          </w:rPr>
          <w:t>41/2016</w:t>
        </w:r>
      </w:hyperlink>
      <w:r>
        <w:t>, f. 9.</w:t>
      </w:r>
    </w:p>
    <w:p w:rsidR="0057104C" w:rsidRDefault="0057104C" w:rsidP="0057104C">
      <w:pPr>
        <w:pStyle w:val="SangriaFrancesaArticulo"/>
      </w:pPr>
      <w:r w:rsidRPr="0057104C">
        <w:rPr>
          <w:rStyle w:val="TextoNormalNegritaCaracter"/>
        </w:rPr>
        <w:t>Artículo 36.1 a)</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36.1 b).</w:t>
      </w:r>
      <w:r w:rsidRPr="0057104C">
        <w:rPr>
          <w:rStyle w:val="TextoNormalCaracter"/>
        </w:rPr>
        <w:t>-</w:t>
      </w:r>
      <w:r>
        <w:t xml:space="preserve"> Sentencias </w:t>
      </w:r>
      <w:hyperlink w:anchor="SENTENCIA_2016_27" w:history="1">
        <w:r w:rsidRPr="0057104C">
          <w:rPr>
            <w:rStyle w:val="TextoNormalCaracter"/>
          </w:rPr>
          <w:t>27/2016</w:t>
        </w:r>
      </w:hyperlink>
      <w:r>
        <w:t xml:space="preserve">, f. 5; </w:t>
      </w:r>
      <w:hyperlink w:anchor="SENTENCIA_2016_41" w:history="1">
        <w:r w:rsidRPr="0057104C">
          <w:rPr>
            <w:rStyle w:val="TextoNormalCaracter"/>
          </w:rPr>
          <w:t>41/2016</w:t>
        </w:r>
      </w:hyperlink>
      <w:r>
        <w:t>, f. 9.</w:t>
      </w:r>
    </w:p>
    <w:p w:rsidR="0057104C" w:rsidRDefault="0057104C" w:rsidP="0057104C">
      <w:pPr>
        <w:pStyle w:val="SangriaFrancesaArticulo"/>
      </w:pPr>
      <w:r w:rsidRPr="0057104C">
        <w:rPr>
          <w:rStyle w:val="TextoNormalNegritaCaracter"/>
        </w:rPr>
        <w:t>Artículo 36.1 b)</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ff. 11, 12.</w:t>
      </w:r>
    </w:p>
    <w:p w:rsidR="0057104C" w:rsidRDefault="0057104C" w:rsidP="0057104C">
      <w:pPr>
        <w:pStyle w:val="SangriaFrancesaArticulo"/>
      </w:pPr>
      <w:r w:rsidRPr="0057104C">
        <w:rPr>
          <w:rStyle w:val="TextoNormalNegritaCaracter"/>
        </w:rPr>
        <w:t>Artículo 36.1 c)</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ff. 3, 9, 12.</w:t>
      </w:r>
    </w:p>
    <w:p w:rsidR="0057104C" w:rsidRDefault="0057104C" w:rsidP="0057104C">
      <w:pPr>
        <w:pStyle w:val="SangriaFrancesaArticulo"/>
      </w:pPr>
      <w:r w:rsidRPr="0057104C">
        <w:rPr>
          <w:rStyle w:val="TextoNormalNegritaCaracter"/>
        </w:rPr>
        <w:t>Artículo 36.1 c)</w:t>
      </w:r>
      <w:r>
        <w:t xml:space="preserve"> (redactado por la Ley 57/2003, de 16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9.</w:t>
      </w:r>
    </w:p>
    <w:p w:rsidR="0057104C" w:rsidRDefault="0057104C" w:rsidP="0057104C">
      <w:pPr>
        <w:pStyle w:val="SangriaFrancesaArticulo"/>
      </w:pPr>
      <w:r w:rsidRPr="0057104C">
        <w:rPr>
          <w:rStyle w:val="TextoNormalNegritaCaracter"/>
        </w:rPr>
        <w:t xml:space="preserve">Artículo 36.1 c) </w:t>
      </w:r>
      <w:r w:rsidRPr="0057104C">
        <w:rPr>
          <w:rStyle w:val="TextoNormalNegritaCursivaCaracter"/>
        </w:rPr>
        <w:t>in fine</w:t>
      </w:r>
      <w:r>
        <w:t xml:space="preserve"> </w:t>
      </w:r>
      <w:r w:rsidRPr="0057104C">
        <w:rPr>
          <w:rStyle w:val="TextoNormalCaracter"/>
        </w:rPr>
        <w:t>(redactado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10.</w:t>
      </w:r>
    </w:p>
    <w:p w:rsidR="0057104C" w:rsidRDefault="0057104C" w:rsidP="0057104C">
      <w:pPr>
        <w:pStyle w:val="SangriaFrancesaArticulo"/>
      </w:pPr>
      <w:r w:rsidRPr="0057104C">
        <w:rPr>
          <w:rStyle w:val="TextoNormalNegritaCaracter"/>
        </w:rPr>
        <w:t>Artículo 36.1 c) primer inciso</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10.</w:t>
      </w:r>
    </w:p>
    <w:p w:rsidR="0057104C" w:rsidRDefault="0057104C" w:rsidP="0057104C">
      <w:pPr>
        <w:pStyle w:val="SangriaFrancesaArticulo"/>
      </w:pPr>
      <w:r w:rsidRPr="0057104C">
        <w:rPr>
          <w:rStyle w:val="TextoNormalNegritaCaracter"/>
        </w:rPr>
        <w:t>Artículo 36.1 g)</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ff. 3, 11.</w:t>
      </w:r>
    </w:p>
    <w:p w:rsidR="0057104C" w:rsidRDefault="0057104C" w:rsidP="0057104C">
      <w:pPr>
        <w:pStyle w:val="SangriaFrancesaArticulo"/>
      </w:pPr>
      <w:r w:rsidRPr="0057104C">
        <w:rPr>
          <w:rStyle w:val="TextoNormalNegritaCaracter"/>
        </w:rPr>
        <w:t>Artículo 36.1 h)</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36.2</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36.2 a)</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36.2 a), párrafo 2.</w:t>
      </w:r>
      <w:r w:rsidRPr="0057104C">
        <w:rPr>
          <w:rStyle w:val="TextoNormalCaracter"/>
        </w:rPr>
        <w:t>-</w:t>
      </w:r>
      <w:r>
        <w:t xml:space="preserve"> Sentencia </w:t>
      </w:r>
      <w:hyperlink w:anchor="SENTENCIA_2016_111" w:history="1">
        <w:r w:rsidRPr="0057104C">
          <w:rPr>
            <w:rStyle w:val="TextoNormalCaracter"/>
          </w:rPr>
          <w:t>111/2016</w:t>
        </w:r>
      </w:hyperlink>
      <w:r>
        <w:t>, ff. 3, 12.</w:t>
      </w:r>
    </w:p>
    <w:p w:rsidR="0057104C" w:rsidRDefault="0057104C" w:rsidP="0057104C">
      <w:pPr>
        <w:pStyle w:val="SangriaFrancesaArticulo"/>
      </w:pPr>
      <w:r w:rsidRPr="0057104C">
        <w:rPr>
          <w:rStyle w:val="TextoNormalNegritaCaracter"/>
        </w:rPr>
        <w:t>Artículo 36.2 b)</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36.2 c)</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39.</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44</w:t>
      </w:r>
      <w:r>
        <w:t xml:space="preserve"> (redactado por la Ley 57/2003, de 16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8, 15.</w:t>
      </w:r>
    </w:p>
    <w:p w:rsidR="0057104C" w:rsidRDefault="0057104C" w:rsidP="0057104C">
      <w:pPr>
        <w:pStyle w:val="SangriaFrancesaArticulo"/>
      </w:pPr>
      <w:r w:rsidRPr="0057104C">
        <w:rPr>
          <w:rStyle w:val="TextoNormalNegritaCaracter"/>
        </w:rPr>
        <w:t>Artículo 44.1.</w:t>
      </w:r>
      <w:r w:rsidRPr="0057104C">
        <w:rPr>
          <w:rStyle w:val="TextoNormalCaracter"/>
        </w:rPr>
        <w:t>-</w:t>
      </w:r>
      <w:r>
        <w:t xml:space="preserve"> Sentencia </w:t>
      </w:r>
      <w:hyperlink w:anchor="SENTENCIA_2016_41" w:history="1">
        <w:r w:rsidRPr="0057104C">
          <w:rPr>
            <w:rStyle w:val="TextoNormalCaracter"/>
          </w:rPr>
          <w:t>41/2016</w:t>
        </w:r>
      </w:hyperlink>
      <w:r>
        <w:t>, f. 5.</w:t>
      </w:r>
    </w:p>
    <w:p w:rsidR="0057104C" w:rsidRDefault="0057104C" w:rsidP="0057104C">
      <w:pPr>
        <w:pStyle w:val="SangriaFrancesaArticulo"/>
      </w:pPr>
      <w:r w:rsidRPr="0057104C">
        <w:rPr>
          <w:rStyle w:val="TextoNormalNegritaCaracter"/>
        </w:rPr>
        <w:t>Artículo 44.3.</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45</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7.</w:t>
      </w:r>
    </w:p>
    <w:p w:rsidR="0057104C" w:rsidRDefault="0057104C" w:rsidP="0057104C">
      <w:pPr>
        <w:pStyle w:val="SangriaFrancesaArticulo"/>
      </w:pPr>
      <w:r w:rsidRPr="0057104C">
        <w:rPr>
          <w:rStyle w:val="TextoNormalNegritaCaracter"/>
        </w:rPr>
        <w:t>Artículo 45.2</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7.</w:t>
      </w:r>
    </w:p>
    <w:p w:rsidR="0057104C" w:rsidRDefault="0057104C" w:rsidP="0057104C">
      <w:pPr>
        <w:pStyle w:val="SangriaFrancesaArticulo"/>
      </w:pPr>
      <w:r w:rsidRPr="0057104C">
        <w:rPr>
          <w:rStyle w:val="TextoNormalNegritaCaracter"/>
        </w:rPr>
        <w:t>Artículo 47.2.</w:t>
      </w:r>
      <w:r w:rsidRPr="0057104C">
        <w:rPr>
          <w:rStyle w:val="TextoNormalCaracter"/>
        </w:rPr>
        <w:t>-</w:t>
      </w:r>
      <w:r>
        <w:t xml:space="preserve"> Sentencias </w:t>
      </w:r>
      <w:hyperlink w:anchor="SENTENCIA_2016_111" w:history="1">
        <w:r w:rsidRPr="0057104C">
          <w:rPr>
            <w:rStyle w:val="TextoNormalCaracter"/>
          </w:rPr>
          <w:t>111/2016</w:t>
        </w:r>
      </w:hyperlink>
      <w:r>
        <w:t xml:space="preserve">, f. 8; </w:t>
      </w:r>
      <w:hyperlink w:anchor="SENTENCIA_2016_116" w:history="1">
        <w:r w:rsidRPr="0057104C">
          <w:rPr>
            <w:rStyle w:val="TextoNormalCaracter"/>
          </w:rPr>
          <w:t>116/2016</w:t>
        </w:r>
      </w:hyperlink>
      <w:r>
        <w:t>, f. 1.</w:t>
      </w:r>
    </w:p>
    <w:p w:rsidR="0057104C" w:rsidRDefault="0057104C" w:rsidP="0057104C">
      <w:pPr>
        <w:pStyle w:val="SangriaFrancesaArticulo"/>
      </w:pPr>
      <w:r w:rsidRPr="0057104C">
        <w:rPr>
          <w:rStyle w:val="TextoNormalNegritaCaracter"/>
        </w:rPr>
        <w:t>Artículo 47.2</w:t>
      </w:r>
      <w:r>
        <w:t xml:space="preserve"> (redactado por la Ley 57/2003, de 16 de diciembre)</w:t>
      </w:r>
      <w:r w:rsidRPr="0057104C">
        <w:rPr>
          <w:rStyle w:val="TextoNormalNegritaCaracter"/>
        </w:rPr>
        <w:t>.</w:t>
      </w:r>
      <w:r w:rsidRPr="0057104C">
        <w:rPr>
          <w:rStyle w:val="TextoNormalCaracter"/>
        </w:rPr>
        <w:t>-</w:t>
      </w:r>
      <w:r>
        <w:t xml:space="preserve"> Sentencia </w:t>
      </w:r>
      <w:hyperlink w:anchor="SENTENCIA_2016_102" w:history="1">
        <w:r w:rsidRPr="0057104C">
          <w:rPr>
            <w:rStyle w:val="TextoNormalCaracter"/>
          </w:rPr>
          <w:t>102/2016</w:t>
        </w:r>
      </w:hyperlink>
      <w:r>
        <w:t>, ff. 1, 6, VP.</w:t>
      </w:r>
    </w:p>
    <w:p w:rsidR="0057104C" w:rsidRDefault="0057104C" w:rsidP="0057104C">
      <w:pPr>
        <w:pStyle w:val="SangriaFrancesaArticulo"/>
      </w:pPr>
      <w:r w:rsidRPr="0057104C">
        <w:rPr>
          <w:rStyle w:val="TextoNormalNegritaCaracter"/>
        </w:rPr>
        <w:t>Artículo 47.2 a).</w:t>
      </w:r>
      <w:r w:rsidRPr="0057104C">
        <w:rPr>
          <w:rStyle w:val="TextoNormalCaracter"/>
        </w:rPr>
        <w:t>-</w:t>
      </w:r>
      <w:r>
        <w:t xml:space="preserve"> Sentencias </w:t>
      </w:r>
      <w:hyperlink w:anchor="SENTENCIA_2016_102" w:history="1">
        <w:r w:rsidRPr="0057104C">
          <w:rPr>
            <w:rStyle w:val="TextoNormalCaracter"/>
          </w:rPr>
          <w:t>102/2016</w:t>
        </w:r>
      </w:hyperlink>
      <w:r>
        <w:t xml:space="preserve">, f. 1, VP; </w:t>
      </w:r>
      <w:hyperlink w:anchor="SENTENCIA_2016_116" w:history="1">
        <w:r w:rsidRPr="0057104C">
          <w:rPr>
            <w:rStyle w:val="TextoNormalCaracter"/>
          </w:rPr>
          <w:t>116/2016</w:t>
        </w:r>
      </w:hyperlink>
      <w:r>
        <w:t>, f. 1.</w:t>
      </w:r>
    </w:p>
    <w:p w:rsidR="0057104C" w:rsidRDefault="0057104C" w:rsidP="0057104C">
      <w:pPr>
        <w:pStyle w:val="SangriaFrancesaArticulo"/>
      </w:pPr>
      <w:r w:rsidRPr="0057104C">
        <w:rPr>
          <w:rStyle w:val="TextoNormalNegritaCaracter"/>
        </w:rPr>
        <w:t>Artículo 47.2 a)</w:t>
      </w:r>
      <w:r>
        <w:t xml:space="preserve"> (redactado por la Ley 57/2003, de 16 de diciembre)</w:t>
      </w:r>
      <w:r w:rsidRPr="0057104C">
        <w:rPr>
          <w:rStyle w:val="TextoNormalNegritaCaracter"/>
        </w:rPr>
        <w:t>.</w:t>
      </w:r>
      <w:r w:rsidRPr="0057104C">
        <w:rPr>
          <w:rStyle w:val="TextoNormalCaracter"/>
        </w:rPr>
        <w:t>-</w:t>
      </w:r>
      <w:r>
        <w:t xml:space="preserve"> Sentencia </w:t>
      </w:r>
      <w:hyperlink w:anchor="SENTENCIA_2016_102" w:history="1">
        <w:r w:rsidRPr="0057104C">
          <w:rPr>
            <w:rStyle w:val="TextoNormalCaracter"/>
          </w:rPr>
          <w:t>102/2016</w:t>
        </w:r>
      </w:hyperlink>
      <w:r>
        <w:t>, f. 3.</w:t>
      </w:r>
    </w:p>
    <w:p w:rsidR="0057104C" w:rsidRDefault="0057104C" w:rsidP="0057104C">
      <w:pPr>
        <w:pStyle w:val="SangriaFrancesaArticulo"/>
      </w:pPr>
      <w:r w:rsidRPr="0057104C">
        <w:rPr>
          <w:rStyle w:val="TextoNormalNegritaCaracter"/>
        </w:rPr>
        <w:t>Artículo 47.2 d).</w:t>
      </w:r>
      <w:r w:rsidRPr="0057104C">
        <w:rPr>
          <w:rStyle w:val="TextoNormalCaracter"/>
        </w:rPr>
        <w:t>-</w:t>
      </w:r>
      <w:r>
        <w:t xml:space="preserve"> Sentencia </w:t>
      </w:r>
      <w:hyperlink w:anchor="SENTENCIA_2016_116" w:history="1">
        <w:r w:rsidRPr="0057104C">
          <w:rPr>
            <w:rStyle w:val="TextoNormalCaracter"/>
          </w:rPr>
          <w:t>116/2016</w:t>
        </w:r>
      </w:hyperlink>
      <w:r>
        <w:t>, f. 1.</w:t>
      </w:r>
    </w:p>
    <w:p w:rsidR="0057104C" w:rsidRDefault="0057104C" w:rsidP="0057104C">
      <w:pPr>
        <w:pStyle w:val="SangriaFrancesaArticulo"/>
      </w:pPr>
      <w:r w:rsidRPr="0057104C">
        <w:rPr>
          <w:rStyle w:val="TextoNormalNegritaCaracter"/>
        </w:rPr>
        <w:t>Artículo 47.2 d)</w:t>
      </w:r>
      <w:r>
        <w:t xml:space="preserve"> (redactado por la Ley 57/2003, de 16 de diciembre)</w:t>
      </w:r>
      <w:r w:rsidRPr="0057104C">
        <w:rPr>
          <w:rStyle w:val="TextoNormalNegritaCaracter"/>
        </w:rPr>
        <w:t>.</w:t>
      </w:r>
      <w:r w:rsidRPr="0057104C">
        <w:rPr>
          <w:rStyle w:val="TextoNormalCaracter"/>
        </w:rPr>
        <w:t>-</w:t>
      </w:r>
      <w:r>
        <w:t xml:space="preserve"> Sentencia </w:t>
      </w:r>
      <w:hyperlink w:anchor="SENTENCIA_2016_102" w:history="1">
        <w:r w:rsidRPr="0057104C">
          <w:rPr>
            <w:rStyle w:val="TextoNormalCaracter"/>
          </w:rPr>
          <w:t>102/2016</w:t>
        </w:r>
      </w:hyperlink>
      <w:r>
        <w:t>, f. 1, VP.</w:t>
      </w:r>
    </w:p>
    <w:p w:rsidR="0057104C" w:rsidRDefault="0057104C" w:rsidP="0057104C">
      <w:pPr>
        <w:pStyle w:val="SangriaFrancesaArticulo"/>
      </w:pPr>
      <w:r w:rsidRPr="0057104C">
        <w:rPr>
          <w:rStyle w:val="TextoNormalNegritaCaracter"/>
        </w:rPr>
        <w:t>Artículo 47.2 g).</w:t>
      </w:r>
      <w:r w:rsidRPr="0057104C">
        <w:rPr>
          <w:rStyle w:val="TextoNormalCaracter"/>
        </w:rPr>
        <w:t>-</w:t>
      </w:r>
      <w:r>
        <w:t xml:space="preserve"> Sentencia </w:t>
      </w:r>
      <w:hyperlink w:anchor="SENTENCIA_2016_41" w:history="1">
        <w:r w:rsidRPr="0057104C">
          <w:rPr>
            <w:rStyle w:val="TextoNormalCaracter"/>
          </w:rPr>
          <w:t>41/2016</w:t>
        </w:r>
      </w:hyperlink>
      <w:r>
        <w:t>, f. 8.</w:t>
      </w:r>
    </w:p>
    <w:p w:rsidR="0057104C" w:rsidRDefault="0057104C" w:rsidP="0057104C">
      <w:pPr>
        <w:pStyle w:val="SangriaFrancesaArticulo"/>
      </w:pPr>
      <w:r w:rsidRPr="0057104C">
        <w:rPr>
          <w:rStyle w:val="TextoNormalNegritaCaracter"/>
        </w:rPr>
        <w:t>Artículo 57</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2, 5, 8, 15.</w:t>
      </w:r>
    </w:p>
    <w:p w:rsidR="0057104C" w:rsidRDefault="0057104C" w:rsidP="0057104C">
      <w:pPr>
        <w:pStyle w:val="SangriaFrancesaArticulo"/>
      </w:pPr>
      <w:r w:rsidRPr="0057104C">
        <w:rPr>
          <w:rStyle w:val="TextoNormalNegritaCaracter"/>
        </w:rPr>
        <w:t>Artículo 57 bis.</w:t>
      </w:r>
      <w:r w:rsidRPr="0057104C">
        <w:rPr>
          <w:rStyle w:val="TextoNormalCaracter"/>
        </w:rPr>
        <w:t>-</w:t>
      </w:r>
      <w:r>
        <w:t xml:space="preserve"> Sentencia </w:t>
      </w:r>
      <w:hyperlink w:anchor="SENTENCIA_2016_101" w:history="1">
        <w:r w:rsidRPr="0057104C">
          <w:rPr>
            <w:rStyle w:val="TextoNormalCaracter"/>
          </w:rPr>
          <w:t>101/2016</w:t>
        </w:r>
      </w:hyperlink>
      <w:r>
        <w:t>, ff. 2, 4, VP I.</w:t>
      </w:r>
    </w:p>
    <w:p w:rsidR="0057104C" w:rsidRDefault="0057104C" w:rsidP="0057104C">
      <w:pPr>
        <w:pStyle w:val="SangriaFrancesaArticulo"/>
      </w:pPr>
      <w:r w:rsidRPr="0057104C">
        <w:rPr>
          <w:rStyle w:val="TextoNormalNegritaCaracter"/>
        </w:rPr>
        <w:t>Artículo 57 bis</w:t>
      </w:r>
      <w:r>
        <w:t xml:space="preserve"> (redactado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ff. 6, 13, 16; </w:t>
      </w:r>
      <w:hyperlink w:anchor="SENTENCIA_2016_111" w:history="1">
        <w:r w:rsidRPr="0057104C">
          <w:rPr>
            <w:rStyle w:val="TextoNormalCaracter"/>
          </w:rPr>
          <w:t>111/2016</w:t>
        </w:r>
      </w:hyperlink>
      <w:r>
        <w:t>, f. 2.</w:t>
      </w:r>
    </w:p>
    <w:p w:rsidR="0057104C" w:rsidRDefault="0057104C" w:rsidP="0057104C">
      <w:pPr>
        <w:pStyle w:val="SangriaFrancesaArticulo"/>
      </w:pPr>
      <w:r w:rsidRPr="0057104C">
        <w:rPr>
          <w:rStyle w:val="TextoNormalNegritaCaracter"/>
        </w:rPr>
        <w:t>Artículo 59.</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61.</w:t>
      </w:r>
      <w:r w:rsidRPr="0057104C">
        <w:rPr>
          <w:rStyle w:val="TextoNormalCaracter"/>
        </w:rPr>
        <w:t>-</w:t>
      </w:r>
      <w:r>
        <w:t xml:space="preserve"> Sentencia </w:t>
      </w:r>
      <w:hyperlink w:anchor="SENTENCIA_2016_111" w:history="1">
        <w:r w:rsidRPr="0057104C">
          <w:rPr>
            <w:rStyle w:val="TextoNormalCaracter"/>
          </w:rPr>
          <w:t>111/2016</w:t>
        </w:r>
      </w:hyperlink>
      <w:r>
        <w:t>, VP.</w:t>
      </w:r>
    </w:p>
    <w:p w:rsidR="0057104C" w:rsidRDefault="0057104C" w:rsidP="0057104C">
      <w:pPr>
        <w:pStyle w:val="SangriaFrancesaArticulo"/>
      </w:pPr>
      <w:r w:rsidRPr="0057104C">
        <w:rPr>
          <w:rStyle w:val="TextoNormalNegritaCaracter"/>
        </w:rPr>
        <w:t>Artículo 67.</w:t>
      </w:r>
      <w:r w:rsidRPr="0057104C">
        <w:rPr>
          <w:rStyle w:val="TextoNormalCaracter"/>
        </w:rPr>
        <w:t>-</w:t>
      </w:r>
      <w:r>
        <w:t xml:space="preserve"> Sentencias </w:t>
      </w:r>
      <w:hyperlink w:anchor="SENTENCIA_2016_6" w:history="1">
        <w:r w:rsidRPr="0057104C">
          <w:rPr>
            <w:rStyle w:val="TextoNormalCaracter"/>
          </w:rPr>
          <w:t>6/2016</w:t>
        </w:r>
      </w:hyperlink>
      <w:r>
        <w:t xml:space="preserve">, f. 4; </w:t>
      </w:r>
      <w:hyperlink w:anchor="SENTENCIA_2016_28" w:history="1">
        <w:r w:rsidRPr="0057104C">
          <w:rPr>
            <w:rStyle w:val="TextoNormalCaracter"/>
          </w:rPr>
          <w:t>28/2016</w:t>
        </w:r>
      </w:hyperlink>
      <w:r>
        <w:t xml:space="preserve">, f. 5; </w:t>
      </w:r>
      <w:hyperlink w:anchor="SENTENCIA_2016_57" w:history="1">
        <w:r w:rsidRPr="0057104C">
          <w:rPr>
            <w:rStyle w:val="TextoNormalCaracter"/>
          </w:rPr>
          <w:t>57/2016</w:t>
        </w:r>
      </w:hyperlink>
      <w:r>
        <w:t>, f. 7.</w:t>
      </w:r>
    </w:p>
    <w:p w:rsidR="0057104C" w:rsidRDefault="0057104C" w:rsidP="0057104C">
      <w:pPr>
        <w:pStyle w:val="SangriaFrancesaArticulo"/>
      </w:pPr>
      <w:r w:rsidRPr="0057104C">
        <w:rPr>
          <w:rStyle w:val="TextoNormalNegritaCaracter"/>
        </w:rPr>
        <w:t>Artículo 70.1 párrafo 2.</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75 bis</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ff. 3, 6.</w:t>
      </w:r>
    </w:p>
    <w:p w:rsidR="0057104C" w:rsidRDefault="0057104C" w:rsidP="0057104C">
      <w:pPr>
        <w:pStyle w:val="SangriaFrancesaArticulo"/>
      </w:pPr>
      <w:r w:rsidRPr="0057104C">
        <w:rPr>
          <w:rStyle w:val="TextoNormalNegritaCaracter"/>
        </w:rPr>
        <w:t>Artículo 75 bis, apartado 1 párrafo 2</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6.</w:t>
      </w:r>
    </w:p>
    <w:p w:rsidR="0057104C" w:rsidRDefault="0057104C" w:rsidP="0057104C">
      <w:pPr>
        <w:pStyle w:val="SangriaFrancesaArticulo"/>
      </w:pPr>
      <w:r w:rsidRPr="0057104C">
        <w:rPr>
          <w:rStyle w:val="TextoNormalNegritaCaracter"/>
        </w:rPr>
        <w:t>Artículo 75 ter</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ff. 3, 6.</w:t>
      </w:r>
    </w:p>
    <w:p w:rsidR="0057104C" w:rsidRDefault="0057104C" w:rsidP="0057104C">
      <w:pPr>
        <w:pStyle w:val="SangriaFrancesaArticulo"/>
      </w:pPr>
      <w:r w:rsidRPr="0057104C">
        <w:rPr>
          <w:rStyle w:val="TextoNormalNegritaCaracter"/>
        </w:rPr>
        <w:t>Artículo 75 ter.1 a)</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6.</w:t>
      </w:r>
    </w:p>
    <w:p w:rsidR="0057104C" w:rsidRDefault="0057104C" w:rsidP="0057104C">
      <w:pPr>
        <w:pStyle w:val="SangriaFrancesaArticulo"/>
      </w:pPr>
      <w:r w:rsidRPr="0057104C">
        <w:rPr>
          <w:rStyle w:val="TextoNormalNegritaCaracter"/>
        </w:rPr>
        <w:t>Artículo 75.1.</w:t>
      </w:r>
      <w:r w:rsidRPr="0057104C">
        <w:rPr>
          <w:rStyle w:val="TextoNormalCaracter"/>
        </w:rPr>
        <w:t>-</w:t>
      </w:r>
      <w:r>
        <w:t xml:space="preserve"> Sentencia </w:t>
      </w:r>
      <w:hyperlink w:anchor="SENTENCIA_2016_111" w:history="1">
        <w:r w:rsidRPr="0057104C">
          <w:rPr>
            <w:rStyle w:val="TextoNormalCaracter"/>
          </w:rPr>
          <w:t>111/2016</w:t>
        </w:r>
      </w:hyperlink>
      <w:r>
        <w:t>, f. 6.</w:t>
      </w:r>
    </w:p>
    <w:p w:rsidR="0057104C" w:rsidRDefault="0057104C" w:rsidP="0057104C">
      <w:pPr>
        <w:pStyle w:val="SangriaFrancesaArticulo"/>
      </w:pPr>
      <w:r w:rsidRPr="0057104C">
        <w:rPr>
          <w:rStyle w:val="TextoNormalNegritaCaracter"/>
        </w:rPr>
        <w:t>Artículo 75.2.</w:t>
      </w:r>
      <w:r w:rsidRPr="0057104C">
        <w:rPr>
          <w:rStyle w:val="TextoNormalCaracter"/>
        </w:rPr>
        <w:t>-</w:t>
      </w:r>
      <w:r>
        <w:t xml:space="preserve"> Sentencia </w:t>
      </w:r>
      <w:hyperlink w:anchor="SENTENCIA_2016_111" w:history="1">
        <w:r w:rsidRPr="0057104C">
          <w:rPr>
            <w:rStyle w:val="TextoNormalCaracter"/>
          </w:rPr>
          <w:t>111/2016</w:t>
        </w:r>
      </w:hyperlink>
      <w:r>
        <w:t>, f. 6.</w:t>
      </w:r>
    </w:p>
    <w:p w:rsidR="0057104C" w:rsidRDefault="0057104C" w:rsidP="0057104C">
      <w:pPr>
        <w:pStyle w:val="SangriaFrancesaArticulo"/>
      </w:pPr>
      <w:r w:rsidRPr="0057104C">
        <w:rPr>
          <w:rStyle w:val="TextoNormalNegritaCaracter"/>
        </w:rPr>
        <w:t>Artículo 75.3.</w:t>
      </w:r>
      <w:r w:rsidRPr="0057104C">
        <w:rPr>
          <w:rStyle w:val="TextoNormalCaracter"/>
        </w:rPr>
        <w:t>-</w:t>
      </w:r>
      <w:r>
        <w:t xml:space="preserve"> Sentencia </w:t>
      </w:r>
      <w:hyperlink w:anchor="SENTENCIA_2016_111" w:history="1">
        <w:r w:rsidRPr="0057104C">
          <w:rPr>
            <w:rStyle w:val="TextoNormalCaracter"/>
          </w:rPr>
          <w:t>111/2016</w:t>
        </w:r>
      </w:hyperlink>
      <w:r>
        <w:t>, f. 6.</w:t>
      </w:r>
    </w:p>
    <w:p w:rsidR="0057104C" w:rsidRDefault="0057104C" w:rsidP="0057104C">
      <w:pPr>
        <w:pStyle w:val="SangriaFrancesaArticulo"/>
      </w:pPr>
      <w:r w:rsidRPr="0057104C">
        <w:rPr>
          <w:rStyle w:val="TextoNormalNegritaCaracter"/>
        </w:rPr>
        <w:t>Artículo 75.4.</w:t>
      </w:r>
      <w:r w:rsidRPr="0057104C">
        <w:rPr>
          <w:rStyle w:val="TextoNormalCaracter"/>
        </w:rPr>
        <w:t>-</w:t>
      </w:r>
      <w:r>
        <w:t xml:space="preserve"> Sentencia </w:t>
      </w:r>
      <w:hyperlink w:anchor="SENTENCIA_2016_111" w:history="1">
        <w:r w:rsidRPr="0057104C">
          <w:rPr>
            <w:rStyle w:val="TextoNormalCaracter"/>
          </w:rPr>
          <w:t>111/2016</w:t>
        </w:r>
      </w:hyperlink>
      <w:r>
        <w:t>, f. 6.</w:t>
      </w:r>
    </w:p>
    <w:p w:rsidR="0057104C" w:rsidRDefault="0057104C" w:rsidP="0057104C">
      <w:pPr>
        <w:pStyle w:val="SangriaFrancesaArticulo"/>
      </w:pPr>
      <w:r w:rsidRPr="0057104C">
        <w:rPr>
          <w:rStyle w:val="TextoNormalNegritaCaracter"/>
        </w:rPr>
        <w:t>Artículo 75.5.</w:t>
      </w:r>
      <w:r w:rsidRPr="0057104C">
        <w:rPr>
          <w:rStyle w:val="TextoNormalCaracter"/>
        </w:rPr>
        <w:t>-</w:t>
      </w:r>
      <w:r>
        <w:t xml:space="preserve"> Sentencia </w:t>
      </w:r>
      <w:hyperlink w:anchor="SENTENCIA_2016_111" w:history="1">
        <w:r w:rsidRPr="0057104C">
          <w:rPr>
            <w:rStyle w:val="TextoNormalCaracter"/>
          </w:rPr>
          <w:t>111/2016</w:t>
        </w:r>
      </w:hyperlink>
      <w:r>
        <w:t>, f. 6.</w:t>
      </w:r>
    </w:p>
    <w:p w:rsidR="0057104C" w:rsidRDefault="0057104C" w:rsidP="0057104C">
      <w:pPr>
        <w:pStyle w:val="SangriaFrancesaArticulo"/>
      </w:pPr>
      <w:r w:rsidRPr="0057104C">
        <w:rPr>
          <w:rStyle w:val="TextoNormalNegritaCaracter"/>
        </w:rPr>
        <w:t>Artículo 85.2</w:t>
      </w:r>
      <w:r>
        <w:t xml:space="preserve"> (redactado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ff. 2, 9, 14; </w:t>
      </w:r>
      <w:hyperlink w:anchor="SENTENCIA_2016_111" w:history="1">
        <w:r w:rsidRPr="0057104C">
          <w:rPr>
            <w:rStyle w:val="TextoNormalCaracter"/>
          </w:rPr>
          <w:t>111/2016</w:t>
        </w:r>
      </w:hyperlink>
      <w:r>
        <w:t>, ff. 2, 5.</w:t>
      </w:r>
    </w:p>
    <w:p w:rsidR="0057104C" w:rsidRDefault="0057104C" w:rsidP="0057104C">
      <w:pPr>
        <w:pStyle w:val="SangriaFrancesaArticulo"/>
      </w:pPr>
      <w:r w:rsidRPr="0057104C">
        <w:rPr>
          <w:rStyle w:val="TextoNormalNegritaCaracter"/>
        </w:rPr>
        <w:t>Artículo 86.2.</w:t>
      </w:r>
      <w:r w:rsidRPr="0057104C">
        <w:rPr>
          <w:rStyle w:val="TextoNormalCaracter"/>
        </w:rPr>
        <w:t>-</w:t>
      </w:r>
      <w:r>
        <w:t xml:space="preserve"> Sentencia </w:t>
      </w:r>
      <w:hyperlink w:anchor="SENTENCIA_2016_111" w:history="1">
        <w:r w:rsidRPr="0057104C">
          <w:rPr>
            <w:rStyle w:val="TextoNormalCaracter"/>
          </w:rPr>
          <w:t>111/2016</w:t>
        </w:r>
      </w:hyperlink>
      <w:r>
        <w:t>, f. 7.</w:t>
      </w:r>
    </w:p>
    <w:p w:rsidR="0057104C" w:rsidRDefault="0057104C" w:rsidP="0057104C">
      <w:pPr>
        <w:pStyle w:val="SangriaFrancesaArticulo"/>
      </w:pPr>
      <w:r w:rsidRPr="0057104C">
        <w:rPr>
          <w:rStyle w:val="TextoNormalNegritaCaracter"/>
        </w:rPr>
        <w:t>Artículo 109</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Artículo 112.4.</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116 bis</w:t>
      </w:r>
      <w:r>
        <w:t xml:space="preserve"> (redactado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ff. 2, 6, 15; </w:t>
      </w:r>
      <w:hyperlink w:anchor="SENTENCIA_2016_111" w:history="1">
        <w:r w:rsidRPr="0057104C">
          <w:rPr>
            <w:rStyle w:val="TextoNormalCaracter"/>
          </w:rPr>
          <w:t>111/2016</w:t>
        </w:r>
      </w:hyperlink>
      <w:r>
        <w:t>, f. 4.</w:t>
      </w:r>
    </w:p>
    <w:p w:rsidR="0057104C" w:rsidRDefault="0057104C" w:rsidP="0057104C">
      <w:pPr>
        <w:pStyle w:val="SangriaFrancesaArticulo"/>
      </w:pPr>
      <w:r w:rsidRPr="0057104C">
        <w:rPr>
          <w:rStyle w:val="TextoNormalNegritaCaracter"/>
        </w:rPr>
        <w:t>Artículo 116 ter</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ff. 3, 12.</w:t>
      </w:r>
    </w:p>
    <w:p w:rsidR="0057104C" w:rsidRDefault="0057104C" w:rsidP="0057104C">
      <w:pPr>
        <w:pStyle w:val="SangriaFrancesaArticulo"/>
      </w:pPr>
      <w:r w:rsidRPr="0057104C">
        <w:rPr>
          <w:rStyle w:val="TextoNormalNegritaCaracter"/>
        </w:rPr>
        <w:t>Artículo 123.1 a).</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123.1 b).</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123.1 h).</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123.2.</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123.3.</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126.3.</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128</w:t>
      </w:r>
      <w:r>
        <w:t xml:space="preserve"> (redactado por la Ley 57/2003, de 16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3, 5, 7.</w:t>
      </w:r>
    </w:p>
    <w:p w:rsidR="0057104C" w:rsidRDefault="0057104C" w:rsidP="0057104C">
      <w:pPr>
        <w:pStyle w:val="SangriaFrancesaArticulo"/>
      </w:pPr>
      <w:r w:rsidRPr="0057104C">
        <w:rPr>
          <w:rStyle w:val="TextoNormalNegritaCaracter"/>
        </w:rPr>
        <w:t>Artículo 131</w:t>
      </w:r>
      <w:r>
        <w:t xml:space="preserve"> (redactado por la Ley 57/2003, de 16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3, 5, 7.</w:t>
      </w:r>
    </w:p>
    <w:p w:rsidR="0057104C" w:rsidRDefault="0057104C" w:rsidP="0057104C">
      <w:pPr>
        <w:pStyle w:val="SangriaFrancesaArticulo"/>
      </w:pPr>
      <w:r w:rsidRPr="0057104C">
        <w:rPr>
          <w:rStyle w:val="TextoNormalNegritaCaracter"/>
        </w:rPr>
        <w:t>Artículo 132</w:t>
      </w:r>
      <w:r>
        <w:t xml:space="preserve"> (redactado por la Ley 57/2003, de 16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ff. 3, 5, 7.</w:t>
      </w:r>
    </w:p>
    <w:p w:rsidR="0057104C" w:rsidRDefault="0057104C" w:rsidP="0057104C">
      <w:pPr>
        <w:pStyle w:val="SangriaFrancesaArticulo"/>
      </w:pPr>
      <w:r w:rsidRPr="0057104C">
        <w:rPr>
          <w:rStyle w:val="TextoNormalNegritaCaracter"/>
        </w:rPr>
        <w:t>Artículo 136.</w:t>
      </w:r>
      <w:r w:rsidRPr="0057104C">
        <w:rPr>
          <w:rStyle w:val="TextoNormalCaracter"/>
        </w:rPr>
        <w:t>-</w:t>
      </w:r>
      <w:r>
        <w:t xml:space="preserve"> Sentencia </w:t>
      </w:r>
      <w:hyperlink w:anchor="SENTENCIA_2016_111" w:history="1">
        <w:r w:rsidRPr="0057104C">
          <w:rPr>
            <w:rStyle w:val="TextoNormalCaracter"/>
          </w:rPr>
          <w:t>111/2016</w:t>
        </w:r>
      </w:hyperlink>
      <w:r>
        <w:t>, f. 5.</w:t>
      </w:r>
    </w:p>
    <w:p w:rsidR="0057104C" w:rsidRDefault="0057104C" w:rsidP="0057104C">
      <w:pPr>
        <w:pStyle w:val="SangriaFrancesaArticulo"/>
      </w:pPr>
      <w:r w:rsidRPr="0057104C">
        <w:rPr>
          <w:rStyle w:val="TextoNormalNegritaCaracter"/>
        </w:rPr>
        <w:t>Artículo 136</w:t>
      </w:r>
      <w:r>
        <w:t xml:space="preserve"> (redactado por la Ley 57/2003, de 16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14.</w:t>
      </w:r>
    </w:p>
    <w:p w:rsidR="0057104C" w:rsidRDefault="0057104C" w:rsidP="0057104C">
      <w:pPr>
        <w:pStyle w:val="SangriaFrancesaArticulo"/>
      </w:pPr>
      <w:r w:rsidRPr="0057104C">
        <w:rPr>
          <w:rStyle w:val="TextoNormalNegritaCaracter"/>
        </w:rPr>
        <w:t>Disposición adicional novena.</w:t>
      </w:r>
      <w:r w:rsidRPr="0057104C">
        <w:rPr>
          <w:rStyle w:val="TextoNormalCaracter"/>
        </w:rPr>
        <w:t>-</w:t>
      </w:r>
      <w:r>
        <w:t xml:space="preserve"> Sentencia </w:t>
      </w:r>
      <w:hyperlink w:anchor="SENTENCIA_2016_111" w:history="1">
        <w:r w:rsidRPr="0057104C">
          <w:rPr>
            <w:rStyle w:val="TextoNormalCaracter"/>
          </w:rPr>
          <w:t>111/2016</w:t>
        </w:r>
      </w:hyperlink>
      <w:r>
        <w:t>, ff. 2, 4.</w:t>
      </w:r>
    </w:p>
    <w:p w:rsidR="0057104C" w:rsidRDefault="0057104C" w:rsidP="0057104C">
      <w:pPr>
        <w:pStyle w:val="SangriaFrancesaArticulo"/>
      </w:pPr>
      <w:r w:rsidRPr="0057104C">
        <w:rPr>
          <w:rStyle w:val="TextoNormalNegritaCaracter"/>
        </w:rPr>
        <w:t>Disposición adicional novena</w:t>
      </w:r>
      <w:r>
        <w:t xml:space="preserve"> (redactada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ff. 3, 4.</w:t>
      </w:r>
    </w:p>
    <w:p w:rsidR="0057104C" w:rsidRDefault="0057104C" w:rsidP="0057104C">
      <w:pPr>
        <w:pStyle w:val="SangriaFrancesaArticulo"/>
      </w:pPr>
      <w:r w:rsidRPr="0057104C">
        <w:rPr>
          <w:rStyle w:val="TextoNormalNegritaCaracter"/>
        </w:rPr>
        <w:t>Disposición adicional novena, apartado 1</w:t>
      </w:r>
      <w:r>
        <w:t xml:space="preserve"> (redactada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4.</w:t>
      </w:r>
    </w:p>
    <w:p w:rsidR="0057104C" w:rsidRDefault="0057104C" w:rsidP="0057104C">
      <w:pPr>
        <w:pStyle w:val="SangriaFrancesaArticulo"/>
      </w:pPr>
      <w:r w:rsidRPr="0057104C">
        <w:rPr>
          <w:rStyle w:val="TextoNormalNegritaCaracter"/>
        </w:rPr>
        <w:t>Disposición adicional novena, apartado 2</w:t>
      </w:r>
      <w:r>
        <w:t xml:space="preserve"> (redactada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4.</w:t>
      </w:r>
    </w:p>
    <w:p w:rsidR="0057104C" w:rsidRDefault="0057104C" w:rsidP="0057104C">
      <w:pPr>
        <w:pStyle w:val="SangriaFrancesaArticulo"/>
      </w:pPr>
      <w:r w:rsidRPr="0057104C">
        <w:rPr>
          <w:rStyle w:val="TextoNormalNegritaCaracter"/>
        </w:rPr>
        <w:t>Disposición adicional novena, apartado 3</w:t>
      </w:r>
      <w:r>
        <w:t xml:space="preserve"> (redactada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4.</w:t>
      </w:r>
    </w:p>
    <w:p w:rsidR="0057104C" w:rsidRDefault="0057104C" w:rsidP="0057104C">
      <w:pPr>
        <w:pStyle w:val="SangriaFrancesaArticulo"/>
      </w:pPr>
      <w:r w:rsidRPr="0057104C">
        <w:rPr>
          <w:rStyle w:val="TextoNormalNegritaCaracter"/>
        </w:rPr>
        <w:t>Disposición adicional novena, apartado 4</w:t>
      </w:r>
      <w:r>
        <w:t xml:space="preserve"> (redactada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4.</w:t>
      </w:r>
    </w:p>
    <w:p w:rsidR="0057104C" w:rsidRDefault="0057104C" w:rsidP="0057104C">
      <w:pPr>
        <w:pStyle w:val="SangriaFrancesaArticulo"/>
      </w:pPr>
      <w:r w:rsidRPr="0057104C">
        <w:rPr>
          <w:rStyle w:val="TextoNormalNegritaCaracter"/>
        </w:rPr>
        <w:t>Disposición adicional decimosexta.</w:t>
      </w:r>
      <w:r w:rsidRPr="0057104C">
        <w:rPr>
          <w:rStyle w:val="TextoNormalCaracter"/>
        </w:rPr>
        <w:t>-</w:t>
      </w:r>
      <w:r>
        <w:t xml:space="preserve"> Sentencia </w:t>
      </w:r>
      <w:hyperlink w:anchor="SENTENCIA_2016_111" w:history="1">
        <w:r w:rsidRPr="0057104C">
          <w:rPr>
            <w:rStyle w:val="TextoNormalCaracter"/>
          </w:rPr>
          <w:t>111/2016</w:t>
        </w:r>
      </w:hyperlink>
      <w:r>
        <w:t>, f. 8, VP.</w:t>
      </w:r>
    </w:p>
    <w:p w:rsidR="0057104C" w:rsidRDefault="0057104C" w:rsidP="0057104C">
      <w:pPr>
        <w:pStyle w:val="SangriaFrancesaArticulo"/>
      </w:pPr>
      <w:r w:rsidRPr="0057104C">
        <w:rPr>
          <w:rStyle w:val="TextoNormalNegritaCaracter"/>
        </w:rPr>
        <w:t>Disposición adicional decimosexta, apartado 1.</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Disposición adicional decimosexta, apartado 1 b).</w:t>
      </w:r>
      <w:r w:rsidRPr="0057104C">
        <w:rPr>
          <w:rStyle w:val="TextoNormalCaracter"/>
        </w:rPr>
        <w:t>-</w:t>
      </w:r>
      <w:r>
        <w:t xml:space="preserve"> Sentencia </w:t>
      </w:r>
      <w:hyperlink w:anchor="SENTENCIA_2016_111" w:history="1">
        <w:r w:rsidRPr="0057104C">
          <w:rPr>
            <w:rStyle w:val="TextoNormalCaracter"/>
          </w:rPr>
          <w:t>111/2016</w:t>
        </w:r>
      </w:hyperlink>
      <w:r>
        <w:t>, VP.</w:t>
      </w:r>
    </w:p>
    <w:p w:rsidR="0057104C" w:rsidRDefault="0057104C" w:rsidP="0057104C">
      <w:pPr>
        <w:pStyle w:val="SangriaFrancesaArticulo"/>
      </w:pPr>
      <w:r w:rsidRPr="0057104C">
        <w:rPr>
          <w:rStyle w:val="TextoNormalNegritaCaracter"/>
        </w:rPr>
        <w:t>Disposición adicional decimosexta, apartado 1 c).</w:t>
      </w:r>
      <w:r w:rsidRPr="0057104C">
        <w:rPr>
          <w:rStyle w:val="TextoNormalCaracter"/>
        </w:rPr>
        <w:t>-</w:t>
      </w:r>
      <w:r>
        <w:t xml:space="preserve"> Sentencia </w:t>
      </w:r>
      <w:hyperlink w:anchor="SENTENCIA_2016_111" w:history="1">
        <w:r w:rsidRPr="0057104C">
          <w:rPr>
            <w:rStyle w:val="TextoNormalCaracter"/>
          </w:rPr>
          <w:t>111/2016</w:t>
        </w:r>
      </w:hyperlink>
      <w:r>
        <w:t>, VP.</w:t>
      </w:r>
    </w:p>
    <w:p w:rsidR="0057104C" w:rsidRDefault="0057104C" w:rsidP="0057104C">
      <w:pPr>
        <w:pStyle w:val="SangriaFrancesaArticulo"/>
      </w:pPr>
      <w:r w:rsidRPr="0057104C">
        <w:rPr>
          <w:rStyle w:val="TextoNormalNegritaCaracter"/>
        </w:rPr>
        <w:t>Disposición adicional decimosexta, apartado 1 d).</w:t>
      </w:r>
      <w:r w:rsidRPr="0057104C">
        <w:rPr>
          <w:rStyle w:val="TextoNormalCaracter"/>
        </w:rPr>
        <w:t>-</w:t>
      </w:r>
      <w:r>
        <w:t xml:space="preserve"> Sentencia </w:t>
      </w:r>
      <w:hyperlink w:anchor="SENTENCIA_2016_111" w:history="1">
        <w:r w:rsidRPr="0057104C">
          <w:rPr>
            <w:rStyle w:val="TextoNormalCaracter"/>
          </w:rPr>
          <w:t>111/2016</w:t>
        </w:r>
      </w:hyperlink>
      <w:r>
        <w:t>, VP.</w:t>
      </w:r>
    </w:p>
    <w:p w:rsidR="0057104C" w:rsidRDefault="0057104C" w:rsidP="0057104C">
      <w:pPr>
        <w:pStyle w:val="SangriaFrancesaArticulo"/>
      </w:pPr>
      <w:r w:rsidRPr="0057104C">
        <w:rPr>
          <w:rStyle w:val="TextoNormalNegritaCaracter"/>
        </w:rPr>
        <w:t>Disposición adicional decimosexta, apartado 1 d), primer inciso.</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Disposición adicional decimosexta, apartado 1 d), segundo inciso.</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Disposición adicional decimosexta, apartado 2.</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Disposición adicional decimosexta</w:t>
      </w:r>
      <w:r>
        <w:t xml:space="preserve"> (redactada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ff. 3, 8.</w:t>
      </w:r>
    </w:p>
    <w:p w:rsidR="0057104C" w:rsidRDefault="0057104C" w:rsidP="0057104C">
      <w:pPr>
        <w:pStyle w:val="SangriaFrancesaArticulo"/>
      </w:pPr>
    </w:p>
    <w:p w:rsidR="0057104C" w:rsidRDefault="0057104C" w:rsidP="0057104C">
      <w:pPr>
        <w:pStyle w:val="TextoNormalNegritaCursivandice"/>
      </w:pPr>
      <w:r>
        <w:t>Ley 14/1986, de 25 de abril. General de sanidad</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3" w:history="1">
        <w:r w:rsidRPr="0057104C">
          <w:rPr>
            <w:rStyle w:val="TextoNormalCaracter"/>
          </w:rPr>
          <w:t>53/2016</w:t>
        </w:r>
      </w:hyperlink>
      <w:r>
        <w:t>, f. 2.</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53" w:history="1">
        <w:r w:rsidRPr="0057104C">
          <w:rPr>
            <w:rStyle w:val="TextoNormalCaracter"/>
          </w:rPr>
          <w:t>53/2016</w:t>
        </w:r>
      </w:hyperlink>
      <w:r>
        <w:t>, f. 5.</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53" w:history="1">
        <w:r w:rsidRPr="0057104C">
          <w:rPr>
            <w:rStyle w:val="TextoNormalCaracter"/>
          </w:rPr>
          <w:t>53/2016</w:t>
        </w:r>
      </w:hyperlink>
      <w:r>
        <w:t>, f. 5.</w:t>
      </w:r>
    </w:p>
    <w:p w:rsidR="0057104C" w:rsidRDefault="0057104C" w:rsidP="0057104C">
      <w:pPr>
        <w:pStyle w:val="SangriaFrancesaArticulo"/>
      </w:pPr>
    </w:p>
    <w:p w:rsidR="0057104C" w:rsidRDefault="0057104C" w:rsidP="0057104C">
      <w:pPr>
        <w:pStyle w:val="TextoNormalNegritaCursivandice"/>
      </w:pPr>
      <w:r>
        <w:t>Ley 29/1987, de 18 de diciembre. Impuesto sobre sucesiones y donaciones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3" w:history="1">
        <w:r w:rsidRPr="0057104C">
          <w:rPr>
            <w:rStyle w:val="TextoNormalCaracter"/>
          </w:rPr>
          <w:t>33/2016</w:t>
        </w:r>
      </w:hyperlink>
      <w:r>
        <w:t>, f. 5.</w:t>
      </w:r>
    </w:p>
    <w:p w:rsidR="0057104C" w:rsidRDefault="0057104C" w:rsidP="0057104C">
      <w:pPr>
        <w:pStyle w:val="SangriaFrancesaArticulo"/>
      </w:pPr>
      <w:r w:rsidRPr="0057104C">
        <w:rPr>
          <w:rStyle w:val="TextoNormalNegritaCaracter"/>
        </w:rPr>
        <w:t>Artículo 18.1.</w:t>
      </w:r>
      <w:r w:rsidRPr="0057104C">
        <w:rPr>
          <w:rStyle w:val="TextoNormalCaracter"/>
        </w:rPr>
        <w:t>-</w:t>
      </w:r>
      <w:r>
        <w:t xml:space="preserve"> Sentencia </w:t>
      </w:r>
      <w:hyperlink w:anchor="SENTENCIA_2016_33" w:history="1">
        <w:r w:rsidRPr="0057104C">
          <w:rPr>
            <w:rStyle w:val="TextoNormalCaracter"/>
          </w:rPr>
          <w:t>33/2016</w:t>
        </w:r>
      </w:hyperlink>
      <w:r>
        <w:t>, ff. 4, 5.</w:t>
      </w:r>
    </w:p>
    <w:p w:rsidR="0057104C" w:rsidRDefault="0057104C" w:rsidP="0057104C">
      <w:pPr>
        <w:pStyle w:val="SangriaFrancesaArticulo"/>
      </w:pPr>
      <w:r w:rsidRPr="0057104C">
        <w:rPr>
          <w:rStyle w:val="TextoNormalNegritaCaracter"/>
        </w:rPr>
        <w:t>Artículo 20.2 a).</w:t>
      </w:r>
      <w:r w:rsidRPr="0057104C">
        <w:rPr>
          <w:rStyle w:val="TextoNormalCaracter"/>
        </w:rPr>
        <w:t>-</w:t>
      </w:r>
      <w:r>
        <w:t xml:space="preserve"> Auto </w:t>
      </w:r>
      <w:hyperlink w:anchor="AUTO_2016_129" w:history="1">
        <w:r w:rsidRPr="0057104C">
          <w:rPr>
            <w:rStyle w:val="TextoNormalCaracter"/>
          </w:rPr>
          <w:t>129/2016</w:t>
        </w:r>
      </w:hyperlink>
      <w:r>
        <w:t>, ff. 1, 2, 4, 5, VP.</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Auto </w:t>
      </w:r>
      <w:hyperlink w:anchor="AUTO_2016_129" w:history="1">
        <w:r w:rsidRPr="0057104C">
          <w:rPr>
            <w:rStyle w:val="TextoNormalCaracter"/>
          </w:rPr>
          <w:t>129/2016</w:t>
        </w:r>
      </w:hyperlink>
      <w:r>
        <w:t>, f. 2.</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Auto </w:t>
      </w:r>
      <w:hyperlink w:anchor="AUTO_2016_129" w:history="1">
        <w:r w:rsidRPr="0057104C">
          <w:rPr>
            <w:rStyle w:val="TextoNormalCaracter"/>
          </w:rPr>
          <w:t>129/2016</w:t>
        </w:r>
      </w:hyperlink>
      <w:r>
        <w:t>, f. 2.</w:t>
      </w:r>
    </w:p>
    <w:p w:rsidR="0057104C" w:rsidRDefault="0057104C" w:rsidP="0057104C">
      <w:pPr>
        <w:pStyle w:val="SangriaFrancesaArticulo"/>
      </w:pPr>
    </w:p>
    <w:p w:rsidR="0057104C" w:rsidRDefault="0057104C" w:rsidP="0057104C">
      <w:pPr>
        <w:pStyle w:val="TextoNormalNegritaCursivandice"/>
      </w:pPr>
      <w:r>
        <w:t>Ley 33/1987, de 23 de diciembre. Presupuestos generales del Estado para 1988</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3" w:history="1">
        <w:r w:rsidRPr="0057104C">
          <w:rPr>
            <w:rStyle w:val="TextoNormalCaracter"/>
          </w:rPr>
          <w:t>123/2016</w:t>
        </w:r>
      </w:hyperlink>
      <w:r>
        <w:t>, f. 3.</w:t>
      </w:r>
    </w:p>
    <w:p w:rsidR="0057104C" w:rsidRDefault="0057104C" w:rsidP="0057104C">
      <w:pPr>
        <w:pStyle w:val="SangriaFrancesaArticulo"/>
      </w:pPr>
      <w:r w:rsidRPr="0057104C">
        <w:rPr>
          <w:rStyle w:val="TextoNormalNegritaCaracter"/>
        </w:rPr>
        <w:t>Artículo 110.</w:t>
      </w:r>
      <w:r w:rsidRPr="0057104C">
        <w:rPr>
          <w:rStyle w:val="TextoNormalCaracter"/>
        </w:rPr>
        <w:t>-</w:t>
      </w:r>
      <w:r>
        <w:t xml:space="preserve"> Sentencia </w:t>
      </w:r>
      <w:hyperlink w:anchor="SENTENCIA_2016_123" w:history="1">
        <w:r w:rsidRPr="0057104C">
          <w:rPr>
            <w:rStyle w:val="TextoNormalCaracter"/>
          </w:rPr>
          <w:t>123/2016</w:t>
        </w:r>
      </w:hyperlink>
      <w:r>
        <w:t>, f. 3.</w:t>
      </w:r>
    </w:p>
    <w:p w:rsidR="0057104C" w:rsidRDefault="0057104C" w:rsidP="0057104C">
      <w:pPr>
        <w:pStyle w:val="SangriaFrancesaArticulo"/>
      </w:pPr>
    </w:p>
    <w:p w:rsidR="0057104C" w:rsidRDefault="0057104C" w:rsidP="0057104C">
      <w:pPr>
        <w:pStyle w:val="TextoNormalNegritaCursivandice"/>
      </w:pPr>
      <w:r>
        <w:t>Ley 22/1988, de 28 de julio. Costas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7" w:history="1">
        <w:r w:rsidRPr="0057104C">
          <w:rPr>
            <w:rStyle w:val="TextoNormalCaracter"/>
          </w:rPr>
          <w:t>17/2016</w:t>
        </w:r>
      </w:hyperlink>
      <w:r>
        <w:t>, f. 1.</w:t>
      </w:r>
    </w:p>
    <w:p w:rsidR="0057104C" w:rsidRDefault="0057104C" w:rsidP="0057104C">
      <w:pPr>
        <w:pStyle w:val="SangriaFrancesaArticulo"/>
      </w:pPr>
      <w:r w:rsidRPr="0057104C">
        <w:rPr>
          <w:rStyle w:val="TextoNormalNegritaCaracter"/>
        </w:rPr>
        <w:t>Artículo 3 a)</w:t>
      </w:r>
      <w:r>
        <w:t xml:space="preserve"> (redactado por la Ley 2/2013, de 29 de mayo)</w:t>
      </w:r>
      <w:r w:rsidRPr="0057104C">
        <w:rPr>
          <w:rStyle w:val="TextoNormalNegritaCaracter"/>
        </w:rPr>
        <w:t>.</w:t>
      </w:r>
      <w:r w:rsidRPr="0057104C">
        <w:rPr>
          <w:rStyle w:val="TextoNormalCaracter"/>
        </w:rPr>
        <w:t>-</w:t>
      </w:r>
      <w:r>
        <w:t xml:space="preserve"> Sentencia </w:t>
      </w:r>
      <w:hyperlink w:anchor="SENTENCIA_2016_6" w:history="1">
        <w:r w:rsidRPr="0057104C">
          <w:rPr>
            <w:rStyle w:val="TextoNormalCaracter"/>
          </w:rPr>
          <w:t>6/2016</w:t>
        </w:r>
      </w:hyperlink>
      <w:r>
        <w:t>, f. 3.</w:t>
      </w:r>
    </w:p>
    <w:p w:rsidR="0057104C" w:rsidRDefault="0057104C" w:rsidP="0057104C">
      <w:pPr>
        <w:pStyle w:val="SangriaFrancesaArticulo"/>
      </w:pPr>
      <w:r w:rsidRPr="0057104C">
        <w:rPr>
          <w:rStyle w:val="TextoNormalNegritaCaracter"/>
        </w:rPr>
        <w:t>Artículo 3 b)</w:t>
      </w:r>
      <w:r>
        <w:t xml:space="preserve"> (redactado por la Ley 2/2013, de 29 de mayo)</w:t>
      </w:r>
      <w:r w:rsidRPr="0057104C">
        <w:rPr>
          <w:rStyle w:val="TextoNormalNegritaCaracter"/>
        </w:rPr>
        <w:t>.</w:t>
      </w:r>
      <w:r w:rsidRPr="0057104C">
        <w:rPr>
          <w:rStyle w:val="TextoNormalCaracter"/>
        </w:rPr>
        <w:t>-</w:t>
      </w:r>
      <w:r>
        <w:t xml:space="preserve"> Sentencia </w:t>
      </w:r>
      <w:hyperlink w:anchor="SENTENCIA_2016_6" w:history="1">
        <w:r w:rsidRPr="0057104C">
          <w:rPr>
            <w:rStyle w:val="TextoNormalCaracter"/>
          </w:rPr>
          <w:t>6/2016</w:t>
        </w:r>
      </w:hyperlink>
      <w:r>
        <w:t>, f. 3.</w:t>
      </w:r>
    </w:p>
    <w:p w:rsidR="0057104C" w:rsidRDefault="0057104C" w:rsidP="0057104C">
      <w:pPr>
        <w:pStyle w:val="SangriaFrancesaArticulo"/>
      </w:pPr>
      <w:r w:rsidRPr="0057104C">
        <w:rPr>
          <w:rStyle w:val="TextoNormalNegritaCaracter"/>
        </w:rPr>
        <w:t>Artículo 3.1 a)</w:t>
      </w:r>
      <w:r>
        <w:t xml:space="preserve"> (redactado por la Ley 2/2013, de 29 de mayo)</w:t>
      </w:r>
      <w:r w:rsidRPr="0057104C">
        <w:rPr>
          <w:rStyle w:val="TextoNormalNegritaCaracter"/>
        </w:rPr>
        <w:t>.</w:t>
      </w:r>
      <w:r w:rsidRPr="0057104C">
        <w:rPr>
          <w:rStyle w:val="TextoNormalCaracter"/>
        </w:rPr>
        <w:t>-</w:t>
      </w:r>
      <w:r>
        <w:t xml:space="preserve"> Sentencias </w:t>
      </w:r>
      <w:hyperlink w:anchor="SENTENCIA_2016_6" w:history="1">
        <w:r w:rsidRPr="0057104C">
          <w:rPr>
            <w:rStyle w:val="TextoNormalCaracter"/>
          </w:rPr>
          <w:t>6/2016</w:t>
        </w:r>
      </w:hyperlink>
      <w:r>
        <w:t xml:space="preserve">, f. 3; </w:t>
      </w:r>
      <w:hyperlink w:anchor="SENTENCIA_2016_57" w:history="1">
        <w:r w:rsidRPr="0057104C">
          <w:rPr>
            <w:rStyle w:val="TextoNormalCaracter"/>
          </w:rPr>
          <w:t>57/2016</w:t>
        </w:r>
      </w:hyperlink>
      <w:r>
        <w:t xml:space="preserve">, f. 3; </w:t>
      </w:r>
      <w:hyperlink w:anchor="SENTENCIA_2016_100" w:history="1">
        <w:r w:rsidRPr="0057104C">
          <w:rPr>
            <w:rStyle w:val="TextoNormalCaracter"/>
          </w:rPr>
          <w:t>100/2016</w:t>
        </w:r>
      </w:hyperlink>
      <w:r>
        <w:t>, f. 5.</w:t>
      </w:r>
    </w:p>
    <w:p w:rsidR="0057104C" w:rsidRDefault="0057104C" w:rsidP="0057104C">
      <w:pPr>
        <w:pStyle w:val="SangriaFrancesaArticulo"/>
      </w:pPr>
      <w:r w:rsidRPr="0057104C">
        <w:rPr>
          <w:rStyle w:val="TextoNormalNegritaCaracter"/>
        </w:rPr>
        <w:t>Artículo 3.1 b)</w:t>
      </w:r>
      <w:r>
        <w:t xml:space="preserve"> (redactado por la Ley 2/2013, de 29 de mayo)</w:t>
      </w:r>
      <w:r w:rsidRPr="0057104C">
        <w:rPr>
          <w:rStyle w:val="TextoNormalNegritaCaracter"/>
        </w:rPr>
        <w:t>.</w:t>
      </w:r>
      <w:r w:rsidRPr="0057104C">
        <w:rPr>
          <w:rStyle w:val="TextoNormalCaracter"/>
        </w:rPr>
        <w:t>-</w:t>
      </w:r>
      <w:r>
        <w:t xml:space="preserve"> Sentencia </w:t>
      </w:r>
      <w:hyperlink w:anchor="SENTENCIA_2016_6" w:history="1">
        <w:r w:rsidRPr="0057104C">
          <w:rPr>
            <w:rStyle w:val="TextoNormalCaracter"/>
          </w:rPr>
          <w:t>6/2016</w:t>
        </w:r>
      </w:hyperlink>
      <w:r>
        <w:t>, f. 3.</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Sentencias </w:t>
      </w:r>
      <w:hyperlink w:anchor="SENTENCIA_2016_57" w:history="1">
        <w:r w:rsidRPr="0057104C">
          <w:rPr>
            <w:rStyle w:val="TextoNormalCaracter"/>
          </w:rPr>
          <w:t>57/2016</w:t>
        </w:r>
      </w:hyperlink>
      <w:r>
        <w:t xml:space="preserve">, f. 3; </w:t>
      </w:r>
      <w:hyperlink w:anchor="SENTENCIA_2016_100" w:history="1">
        <w:r w:rsidRPr="0057104C">
          <w:rPr>
            <w:rStyle w:val="TextoNormalCaracter"/>
          </w:rPr>
          <w:t>100/2016</w:t>
        </w:r>
      </w:hyperlink>
      <w:r>
        <w:t>, f. 5.</w:t>
      </w:r>
    </w:p>
    <w:p w:rsidR="0057104C" w:rsidRDefault="0057104C" w:rsidP="0057104C">
      <w:pPr>
        <w:pStyle w:val="SangriaFrancesaArticulo"/>
      </w:pPr>
      <w:r w:rsidRPr="0057104C">
        <w:rPr>
          <w:rStyle w:val="TextoNormalNegritaCaracter"/>
        </w:rPr>
        <w:t>Artículo 13 bis, apartado 3</w:t>
      </w:r>
      <w:r>
        <w:t xml:space="preserve"> (redactado por la Ley 2/2013, de 29 de mayo)</w:t>
      </w:r>
      <w:r w:rsidRPr="0057104C">
        <w:rPr>
          <w:rStyle w:val="TextoNormalNegritaCaracter"/>
        </w:rPr>
        <w:t>.</w:t>
      </w:r>
      <w:r w:rsidRPr="0057104C">
        <w:rPr>
          <w:rStyle w:val="TextoNormalCaracter"/>
        </w:rPr>
        <w:t>-</w:t>
      </w:r>
      <w:r>
        <w:t xml:space="preserve"> Sentencia </w:t>
      </w:r>
      <w:hyperlink w:anchor="SENTENCIA_2016_100" w:history="1">
        <w:r w:rsidRPr="0057104C">
          <w:rPr>
            <w:rStyle w:val="TextoNormalCaracter"/>
          </w:rPr>
          <w:t>100/2016</w:t>
        </w:r>
      </w:hyperlink>
      <w:r>
        <w:t>, f. 2.</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57" w:history="1">
        <w:r w:rsidRPr="0057104C">
          <w:rPr>
            <w:rStyle w:val="TextoNormalCaracter"/>
          </w:rPr>
          <w:t>57/2016</w:t>
        </w:r>
      </w:hyperlink>
      <w:r>
        <w:t>, f. 11.</w:t>
      </w:r>
    </w:p>
    <w:p w:rsidR="0057104C" w:rsidRDefault="0057104C" w:rsidP="0057104C">
      <w:pPr>
        <w:pStyle w:val="SangriaFrancesaArticulo"/>
      </w:pPr>
      <w:r w:rsidRPr="0057104C">
        <w:rPr>
          <w:rStyle w:val="TextoNormalNegritaCaracter"/>
        </w:rPr>
        <w:t>Artículo 25.4</w:t>
      </w:r>
      <w:r>
        <w:t xml:space="preserve"> (redactado por  la Ley 2/2013, de 29 de mayo)</w:t>
      </w:r>
      <w:r w:rsidRPr="0057104C">
        <w:rPr>
          <w:rStyle w:val="TextoNormalNegritaCaracter"/>
        </w:rPr>
        <w:t>.</w:t>
      </w:r>
      <w:r w:rsidRPr="0057104C">
        <w:rPr>
          <w:rStyle w:val="TextoNormalCaracter"/>
        </w:rPr>
        <w:t>-</w:t>
      </w:r>
      <w:r>
        <w:t xml:space="preserve"> Sentencia </w:t>
      </w:r>
      <w:hyperlink w:anchor="SENTENCIA_2016_6" w:history="1">
        <w:r w:rsidRPr="0057104C">
          <w:rPr>
            <w:rStyle w:val="TextoNormalCaracter"/>
          </w:rPr>
          <w:t>6/2016</w:t>
        </w:r>
      </w:hyperlink>
      <w:r>
        <w:t>, f. 4.</w:t>
      </w:r>
    </w:p>
    <w:p w:rsidR="0057104C" w:rsidRDefault="0057104C" w:rsidP="0057104C">
      <w:pPr>
        <w:pStyle w:val="SangriaFrancesaArticulo"/>
      </w:pPr>
      <w:r w:rsidRPr="0057104C">
        <w:rPr>
          <w:rStyle w:val="TextoNormalNegritaCaracter"/>
        </w:rPr>
        <w:t>Artículo 33, apartados 2 a 5.</w:t>
      </w:r>
      <w:r w:rsidRPr="0057104C">
        <w:rPr>
          <w:rStyle w:val="TextoNormalCaracter"/>
        </w:rPr>
        <w:t>-</w:t>
      </w:r>
      <w:r>
        <w:t xml:space="preserve"> Sentencia </w:t>
      </w:r>
      <w:hyperlink w:anchor="SENTENCIA_2016_6" w:history="1">
        <w:r w:rsidRPr="0057104C">
          <w:rPr>
            <w:rStyle w:val="TextoNormalCaracter"/>
          </w:rPr>
          <w:t>6/2016</w:t>
        </w:r>
      </w:hyperlink>
      <w:r>
        <w:t>, f. 4.</w:t>
      </w:r>
    </w:p>
    <w:p w:rsidR="0057104C" w:rsidRDefault="0057104C" w:rsidP="0057104C">
      <w:pPr>
        <w:pStyle w:val="SangriaFrancesaArticulo"/>
      </w:pPr>
      <w:r w:rsidRPr="0057104C">
        <w:rPr>
          <w:rStyle w:val="TextoNormalNegritaCaracter"/>
        </w:rPr>
        <w:t>Artículo 33.6</w:t>
      </w:r>
      <w:r>
        <w:t xml:space="preserve"> (redactado por Ley 2/2013, de 29 de mayo)</w:t>
      </w:r>
      <w:r w:rsidRPr="0057104C">
        <w:rPr>
          <w:rStyle w:val="TextoNormalNegritaCaracter"/>
        </w:rPr>
        <w:t>.</w:t>
      </w:r>
      <w:r w:rsidRPr="0057104C">
        <w:rPr>
          <w:rStyle w:val="TextoNormalCaracter"/>
        </w:rPr>
        <w:t>-</w:t>
      </w:r>
      <w:r>
        <w:t xml:space="preserve"> Sentencias </w:t>
      </w:r>
      <w:hyperlink w:anchor="SENTENCIA_2016_6" w:history="1">
        <w:r w:rsidRPr="0057104C">
          <w:rPr>
            <w:rStyle w:val="TextoNormalCaracter"/>
          </w:rPr>
          <w:t>6/2016</w:t>
        </w:r>
      </w:hyperlink>
      <w:r>
        <w:t xml:space="preserve">, f. 4; </w:t>
      </w:r>
      <w:hyperlink w:anchor="SENTENCIA_2016_28" w:history="1">
        <w:r w:rsidRPr="0057104C">
          <w:rPr>
            <w:rStyle w:val="TextoNormalCaracter"/>
          </w:rPr>
          <w:t>28/2016</w:t>
        </w:r>
      </w:hyperlink>
      <w:r>
        <w:t xml:space="preserve">, f. 3; </w:t>
      </w:r>
      <w:hyperlink w:anchor="SENTENCIA_2016_57" w:history="1">
        <w:r w:rsidRPr="0057104C">
          <w:rPr>
            <w:rStyle w:val="TextoNormalCaracter"/>
          </w:rPr>
          <w:t>57/2016</w:t>
        </w:r>
      </w:hyperlink>
      <w:r>
        <w:t>, f. 5.</w:t>
      </w:r>
    </w:p>
    <w:p w:rsidR="0057104C" w:rsidRDefault="0057104C" w:rsidP="0057104C">
      <w:pPr>
        <w:pStyle w:val="SangriaFrancesaArticulo"/>
      </w:pPr>
      <w:r w:rsidRPr="0057104C">
        <w:rPr>
          <w:rStyle w:val="TextoNormalNegritaCaracter"/>
        </w:rPr>
        <w:t>Artículo 42.2.</w:t>
      </w:r>
      <w:r w:rsidRPr="0057104C">
        <w:rPr>
          <w:rStyle w:val="TextoNormalCaracter"/>
        </w:rPr>
        <w:t>-</w:t>
      </w:r>
      <w:r>
        <w:t xml:space="preserve"> Sentencia </w:t>
      </w:r>
      <w:hyperlink w:anchor="SENTENCIA_2016_57" w:history="1">
        <w:r w:rsidRPr="0057104C">
          <w:rPr>
            <w:rStyle w:val="TextoNormalCaracter"/>
          </w:rPr>
          <w:t>57/2016</w:t>
        </w:r>
      </w:hyperlink>
      <w:r>
        <w:t>, f. 2.</w:t>
      </w:r>
    </w:p>
    <w:p w:rsidR="0057104C" w:rsidRDefault="0057104C" w:rsidP="0057104C">
      <w:pPr>
        <w:pStyle w:val="SangriaFrancesaArticulo"/>
      </w:pPr>
      <w:r w:rsidRPr="0057104C">
        <w:rPr>
          <w:rStyle w:val="TextoNormalNegritaCaracter"/>
        </w:rPr>
        <w:t>Artículo 44.2.</w:t>
      </w:r>
      <w:r w:rsidRPr="0057104C">
        <w:rPr>
          <w:rStyle w:val="TextoNormalCaracter"/>
        </w:rPr>
        <w:t>-</w:t>
      </w:r>
      <w:r>
        <w:t xml:space="preserve"> Sentencia </w:t>
      </w:r>
      <w:hyperlink w:anchor="SENTENCIA_2016_57" w:history="1">
        <w:r w:rsidRPr="0057104C">
          <w:rPr>
            <w:rStyle w:val="TextoNormalCaracter"/>
          </w:rPr>
          <w:t>57/2016</w:t>
        </w:r>
      </w:hyperlink>
      <w:r>
        <w:t>, f. 2.</w:t>
      </w:r>
    </w:p>
    <w:p w:rsidR="0057104C" w:rsidRDefault="0057104C" w:rsidP="0057104C">
      <w:pPr>
        <w:pStyle w:val="SangriaFrancesaArticulo"/>
      </w:pPr>
      <w:r w:rsidRPr="0057104C">
        <w:rPr>
          <w:rStyle w:val="TextoNormalNegritaCaracter"/>
        </w:rPr>
        <w:t>Artículo 44.3.</w:t>
      </w:r>
      <w:r w:rsidRPr="0057104C">
        <w:rPr>
          <w:rStyle w:val="TextoNormalCaracter"/>
        </w:rPr>
        <w:t>-</w:t>
      </w:r>
      <w:r>
        <w:t xml:space="preserve"> Sentencia </w:t>
      </w:r>
      <w:hyperlink w:anchor="SENTENCIA_2016_57" w:history="1">
        <w:r w:rsidRPr="0057104C">
          <w:rPr>
            <w:rStyle w:val="TextoNormalCaracter"/>
          </w:rPr>
          <w:t>57/2016</w:t>
        </w:r>
      </w:hyperlink>
      <w:r>
        <w:t>, f. 2.</w:t>
      </w:r>
    </w:p>
    <w:p w:rsidR="0057104C" w:rsidRDefault="0057104C" w:rsidP="0057104C">
      <w:pPr>
        <w:pStyle w:val="SangriaFrancesaArticulo"/>
      </w:pPr>
      <w:r w:rsidRPr="0057104C">
        <w:rPr>
          <w:rStyle w:val="TextoNormalNegritaCaracter"/>
        </w:rPr>
        <w:t>Artículo 49.</w:t>
      </w:r>
      <w:r w:rsidRPr="0057104C">
        <w:rPr>
          <w:rStyle w:val="TextoNormalCaracter"/>
        </w:rPr>
        <w:t>-</w:t>
      </w:r>
      <w:r>
        <w:t xml:space="preserve"> Sentencia </w:t>
      </w:r>
      <w:hyperlink w:anchor="SENTENCIA_2016_57" w:history="1">
        <w:r w:rsidRPr="0057104C">
          <w:rPr>
            <w:rStyle w:val="TextoNormalCaracter"/>
          </w:rPr>
          <w:t>57/2016</w:t>
        </w:r>
      </w:hyperlink>
      <w:r>
        <w:t>, f. 10.</w:t>
      </w:r>
    </w:p>
    <w:p w:rsidR="0057104C" w:rsidRDefault="0057104C" w:rsidP="0057104C">
      <w:pPr>
        <w:pStyle w:val="SangriaFrancesaArticulo"/>
      </w:pPr>
      <w:r w:rsidRPr="0057104C">
        <w:rPr>
          <w:rStyle w:val="TextoNormalNegritaCaracter"/>
        </w:rPr>
        <w:t>Artículo 49.4</w:t>
      </w:r>
      <w:r>
        <w:t xml:space="preserve"> (redactado por la Ley 2/2013, de 29 de mayo)</w:t>
      </w:r>
      <w:r w:rsidRPr="0057104C">
        <w:rPr>
          <w:rStyle w:val="TextoNormalNegritaCaracter"/>
        </w:rPr>
        <w:t>.</w:t>
      </w:r>
      <w:r w:rsidRPr="0057104C">
        <w:rPr>
          <w:rStyle w:val="TextoNormalCaracter"/>
        </w:rPr>
        <w:t>-</w:t>
      </w:r>
      <w:r>
        <w:t xml:space="preserve"> Sentencia </w:t>
      </w:r>
      <w:hyperlink w:anchor="SENTENCIA_2016_57" w:history="1">
        <w:r w:rsidRPr="0057104C">
          <w:rPr>
            <w:rStyle w:val="TextoNormalCaracter"/>
          </w:rPr>
          <w:t>57/2016</w:t>
        </w:r>
      </w:hyperlink>
      <w:r>
        <w:t>, f. 6.</w:t>
      </w:r>
    </w:p>
    <w:p w:rsidR="0057104C" w:rsidRDefault="0057104C" w:rsidP="0057104C">
      <w:pPr>
        <w:pStyle w:val="SangriaFrancesaArticulo"/>
      </w:pPr>
      <w:r w:rsidRPr="0057104C">
        <w:rPr>
          <w:rStyle w:val="TextoNormalNegritaCaracter"/>
        </w:rPr>
        <w:t>Artículo 49.4, párrafo 2</w:t>
      </w:r>
      <w:r>
        <w:t xml:space="preserve"> (redactado por la Ley 2/2013, de 29 de mayo)</w:t>
      </w:r>
      <w:r w:rsidRPr="0057104C">
        <w:rPr>
          <w:rStyle w:val="TextoNormalNegritaCaracter"/>
        </w:rPr>
        <w:t>.</w:t>
      </w:r>
      <w:r w:rsidRPr="0057104C">
        <w:rPr>
          <w:rStyle w:val="TextoNormalCaracter"/>
        </w:rPr>
        <w:t>-</w:t>
      </w:r>
      <w:r>
        <w:t xml:space="preserve"> Sentencia </w:t>
      </w:r>
      <w:hyperlink w:anchor="SENTENCIA_2016_28" w:history="1">
        <w:r w:rsidRPr="0057104C">
          <w:rPr>
            <w:rStyle w:val="TextoNormalCaracter"/>
          </w:rPr>
          <w:t>28/2016</w:t>
        </w:r>
      </w:hyperlink>
      <w:r>
        <w:t>, ff. 4, 7.</w:t>
      </w:r>
    </w:p>
    <w:p w:rsidR="0057104C" w:rsidRDefault="0057104C" w:rsidP="0057104C">
      <w:pPr>
        <w:pStyle w:val="SangriaFrancesaArticulo"/>
      </w:pPr>
      <w:r w:rsidRPr="0057104C">
        <w:rPr>
          <w:rStyle w:val="TextoNormalNegritaCaracter"/>
        </w:rPr>
        <w:t>Artículo 55.1</w:t>
      </w:r>
      <w:r>
        <w:t xml:space="preserve"> (redactado por la Ley 2/2013, de 29 de mayo)</w:t>
      </w:r>
      <w:r w:rsidRPr="0057104C">
        <w:rPr>
          <w:rStyle w:val="TextoNormalNegritaCaracter"/>
        </w:rPr>
        <w:t>.</w:t>
      </w:r>
      <w:r w:rsidRPr="0057104C">
        <w:rPr>
          <w:rStyle w:val="TextoNormalCaracter"/>
        </w:rPr>
        <w:t>-</w:t>
      </w:r>
      <w:r>
        <w:t xml:space="preserve"> Sentencia </w:t>
      </w:r>
      <w:hyperlink w:anchor="SENTENCIA_2016_6" w:history="1">
        <w:r w:rsidRPr="0057104C">
          <w:rPr>
            <w:rStyle w:val="TextoNormalCaracter"/>
          </w:rPr>
          <w:t>6/2016</w:t>
        </w:r>
      </w:hyperlink>
      <w:r>
        <w:t>, f. 4.</w:t>
      </w:r>
    </w:p>
    <w:p w:rsidR="0057104C" w:rsidRDefault="0057104C" w:rsidP="0057104C">
      <w:pPr>
        <w:pStyle w:val="SangriaFrancesaArticulo"/>
      </w:pPr>
      <w:r w:rsidRPr="0057104C">
        <w:rPr>
          <w:rStyle w:val="TextoNormalNegritaCaracter"/>
        </w:rPr>
        <w:t>Artículo 119.2</w:t>
      </w:r>
      <w:r>
        <w:t xml:space="preserve"> (redactado por la Ley 2/2013, de 29 de mayo)</w:t>
      </w:r>
      <w:r w:rsidRPr="0057104C">
        <w:rPr>
          <w:rStyle w:val="TextoNormalNegritaCaracter"/>
        </w:rPr>
        <w:t>.</w:t>
      </w:r>
      <w:r w:rsidRPr="0057104C">
        <w:rPr>
          <w:rStyle w:val="TextoNormalCaracter"/>
        </w:rPr>
        <w:t>-</w:t>
      </w:r>
      <w:r>
        <w:t xml:space="preserve"> Sentencias </w:t>
      </w:r>
      <w:hyperlink w:anchor="SENTENCIA_2016_6" w:history="1">
        <w:r w:rsidRPr="0057104C">
          <w:rPr>
            <w:rStyle w:val="TextoNormalCaracter"/>
          </w:rPr>
          <w:t>6/2016</w:t>
        </w:r>
      </w:hyperlink>
      <w:r>
        <w:t xml:space="preserve">, f. 4; </w:t>
      </w:r>
      <w:hyperlink w:anchor="SENTENCIA_2016_28" w:history="1">
        <w:r w:rsidRPr="0057104C">
          <w:rPr>
            <w:rStyle w:val="TextoNormalCaracter"/>
          </w:rPr>
          <w:t>28/2016</w:t>
        </w:r>
      </w:hyperlink>
      <w:r>
        <w:t>, f. 1.</w:t>
      </w:r>
    </w:p>
    <w:p w:rsidR="0057104C" w:rsidRDefault="0057104C" w:rsidP="0057104C">
      <w:pPr>
        <w:pStyle w:val="SangriaFrancesaArticulo"/>
      </w:pPr>
      <w:r w:rsidRPr="0057104C">
        <w:rPr>
          <w:rStyle w:val="TextoNormalNegritaCaracter"/>
        </w:rPr>
        <w:t>Disposición adicional décima.</w:t>
      </w:r>
      <w:r w:rsidRPr="0057104C">
        <w:rPr>
          <w:rStyle w:val="TextoNormalCaracter"/>
        </w:rPr>
        <w:t>-</w:t>
      </w:r>
      <w:r>
        <w:t xml:space="preserve"> Sentencia </w:t>
      </w:r>
      <w:hyperlink w:anchor="SENTENCIA_2016_100" w:history="1">
        <w:r w:rsidRPr="0057104C">
          <w:rPr>
            <w:rStyle w:val="TextoNormalCaracter"/>
          </w:rPr>
          <w:t>100/2016</w:t>
        </w:r>
      </w:hyperlink>
      <w:r>
        <w:t>, f. 5.</w:t>
      </w:r>
    </w:p>
    <w:p w:rsidR="0057104C" w:rsidRDefault="0057104C" w:rsidP="0057104C">
      <w:pPr>
        <w:pStyle w:val="SangriaFrancesaArticulo"/>
      </w:pPr>
      <w:r w:rsidRPr="0057104C">
        <w:rPr>
          <w:rStyle w:val="TextoNormalNegritaCaracter"/>
        </w:rPr>
        <w:t>Disposición adicional décima, apartado 3 a).</w:t>
      </w:r>
      <w:r w:rsidRPr="0057104C">
        <w:rPr>
          <w:rStyle w:val="TextoNormalCaracter"/>
        </w:rPr>
        <w:t>-</w:t>
      </w:r>
      <w:r>
        <w:t xml:space="preserve"> Sentencia </w:t>
      </w:r>
      <w:hyperlink w:anchor="SENTENCIA_2016_100" w:history="1">
        <w:r w:rsidRPr="0057104C">
          <w:rPr>
            <w:rStyle w:val="TextoNormalCaracter"/>
          </w:rPr>
          <w:t>100/2016</w:t>
        </w:r>
      </w:hyperlink>
      <w:r>
        <w:t>, f. 5.</w:t>
      </w:r>
    </w:p>
    <w:p w:rsidR="0057104C" w:rsidRDefault="0057104C" w:rsidP="0057104C">
      <w:pPr>
        <w:pStyle w:val="SangriaFrancesaArticulo"/>
      </w:pPr>
      <w:r w:rsidRPr="0057104C">
        <w:rPr>
          <w:rStyle w:val="TextoNormalNegritaCaracter"/>
        </w:rPr>
        <w:t>Disposición adicional décima, apartado 4.</w:t>
      </w:r>
      <w:r w:rsidRPr="0057104C">
        <w:rPr>
          <w:rStyle w:val="TextoNormalCaracter"/>
        </w:rPr>
        <w:t>-</w:t>
      </w:r>
      <w:r>
        <w:t xml:space="preserve"> Sentencia </w:t>
      </w:r>
      <w:hyperlink w:anchor="SENTENCIA_2016_100" w:history="1">
        <w:r w:rsidRPr="0057104C">
          <w:rPr>
            <w:rStyle w:val="TextoNormalCaracter"/>
          </w:rPr>
          <w:t>100/2016</w:t>
        </w:r>
      </w:hyperlink>
      <w:r>
        <w:t>, f. 5.</w:t>
      </w:r>
    </w:p>
    <w:p w:rsidR="0057104C" w:rsidRDefault="0057104C" w:rsidP="0057104C">
      <w:pPr>
        <w:pStyle w:val="SangriaFrancesaArticulo"/>
      </w:pPr>
      <w:r w:rsidRPr="0057104C">
        <w:rPr>
          <w:rStyle w:val="TextoNormalNegritaCaracter"/>
        </w:rPr>
        <w:t>Disposición adicional décima</w:t>
      </w:r>
      <w:r>
        <w:t xml:space="preserve"> (redactada por la Ley 2/2013, de 29 de mayo)</w:t>
      </w:r>
      <w:r w:rsidRPr="0057104C">
        <w:rPr>
          <w:rStyle w:val="TextoNormalNegritaCaracter"/>
        </w:rPr>
        <w:t>.</w:t>
      </w:r>
      <w:r w:rsidRPr="0057104C">
        <w:rPr>
          <w:rStyle w:val="TextoNormalCaracter"/>
        </w:rPr>
        <w:t>-</w:t>
      </w:r>
      <w:r>
        <w:t xml:space="preserve"> Sentencia </w:t>
      </w:r>
      <w:hyperlink w:anchor="SENTENCIA_2016_100" w:history="1">
        <w:r w:rsidRPr="0057104C">
          <w:rPr>
            <w:rStyle w:val="TextoNormalCaracter"/>
          </w:rPr>
          <w:t>100/2016</w:t>
        </w:r>
      </w:hyperlink>
      <w:r>
        <w:t>, f. 3.</w:t>
      </w:r>
    </w:p>
    <w:p w:rsidR="0057104C" w:rsidRDefault="0057104C" w:rsidP="0057104C">
      <w:pPr>
        <w:pStyle w:val="SangriaFrancesaArticulo"/>
      </w:pPr>
      <w:r w:rsidRPr="0057104C">
        <w:rPr>
          <w:rStyle w:val="TextoNormalNegritaCaracter"/>
        </w:rPr>
        <w:t>Disposición transitoria primera, apartado 5</w:t>
      </w:r>
      <w:r>
        <w:t xml:space="preserve"> (redactada por la Ley 2/2013, de 29 de mayo)</w:t>
      </w:r>
      <w:r w:rsidRPr="0057104C">
        <w:rPr>
          <w:rStyle w:val="TextoNormalNegritaCaracter"/>
        </w:rPr>
        <w:t>.</w:t>
      </w:r>
      <w:r w:rsidRPr="0057104C">
        <w:rPr>
          <w:rStyle w:val="TextoNormalCaracter"/>
        </w:rPr>
        <w:t>-</w:t>
      </w:r>
      <w:r>
        <w:t xml:space="preserve"> Sentencia </w:t>
      </w:r>
      <w:hyperlink w:anchor="SENTENCIA_2016_100" w:history="1">
        <w:r w:rsidRPr="0057104C">
          <w:rPr>
            <w:rStyle w:val="TextoNormalCaracter"/>
          </w:rPr>
          <w:t>100/2016</w:t>
        </w:r>
      </w:hyperlink>
      <w:r>
        <w:t>, ff. 2, 5.</w:t>
      </w:r>
    </w:p>
    <w:p w:rsidR="0057104C" w:rsidRDefault="0057104C" w:rsidP="0057104C">
      <w:pPr>
        <w:pStyle w:val="SangriaFrancesaArticulo"/>
      </w:pPr>
      <w:r w:rsidRPr="0057104C">
        <w:rPr>
          <w:rStyle w:val="TextoNormalNegritaCaracter"/>
        </w:rPr>
        <w:t>Disposición transitoria tercera, apartado 3</w:t>
      </w:r>
      <w:r>
        <w:t xml:space="preserve"> (redactado por la Ley 2/2013, de 29 de mayo)</w:t>
      </w:r>
      <w:r w:rsidRPr="0057104C">
        <w:rPr>
          <w:rStyle w:val="TextoNormalNegritaCaracter"/>
        </w:rPr>
        <w:t>.</w:t>
      </w:r>
      <w:r w:rsidRPr="0057104C">
        <w:rPr>
          <w:rStyle w:val="TextoNormalCaracter"/>
        </w:rPr>
        <w:t>-</w:t>
      </w:r>
      <w:r>
        <w:t xml:space="preserve"> Sentencias </w:t>
      </w:r>
      <w:hyperlink w:anchor="SENTENCIA_2016_6" w:history="1">
        <w:r w:rsidRPr="0057104C">
          <w:rPr>
            <w:rStyle w:val="TextoNormalCaracter"/>
          </w:rPr>
          <w:t>6/2016</w:t>
        </w:r>
      </w:hyperlink>
      <w:r>
        <w:t xml:space="preserve">, f. 4; </w:t>
      </w:r>
      <w:hyperlink w:anchor="SENTENCIA_2016_57" w:history="1">
        <w:r w:rsidRPr="0057104C">
          <w:rPr>
            <w:rStyle w:val="TextoNormalCaracter"/>
          </w:rPr>
          <w:t>57/2016</w:t>
        </w:r>
      </w:hyperlink>
      <w:r>
        <w:t>, f. 11.</w:t>
      </w:r>
    </w:p>
    <w:p w:rsidR="0057104C" w:rsidRDefault="0057104C" w:rsidP="0057104C">
      <w:pPr>
        <w:pStyle w:val="SangriaFrancesaArticulo"/>
      </w:pPr>
      <w:r w:rsidRPr="0057104C">
        <w:rPr>
          <w:rStyle w:val="TextoNormalNegritaCaracter"/>
        </w:rPr>
        <w:t>Disposición transitoria cuarta, apartado 3</w:t>
      </w:r>
      <w:r>
        <w:t xml:space="preserve"> (redactada por la Ley 2/2013, de 29 de mayo)</w:t>
      </w:r>
      <w:r w:rsidRPr="0057104C">
        <w:rPr>
          <w:rStyle w:val="TextoNormalNegritaCaracter"/>
        </w:rPr>
        <w:t>.</w:t>
      </w:r>
      <w:r w:rsidRPr="0057104C">
        <w:rPr>
          <w:rStyle w:val="TextoNormalCaracter"/>
        </w:rPr>
        <w:t>-</w:t>
      </w:r>
      <w:r>
        <w:t xml:space="preserve"> Sentencia </w:t>
      </w:r>
      <w:hyperlink w:anchor="SENTENCIA_2016_100" w:history="1">
        <w:r w:rsidRPr="0057104C">
          <w:rPr>
            <w:rStyle w:val="TextoNormalCaracter"/>
          </w:rPr>
          <w:t>100/2016</w:t>
        </w:r>
      </w:hyperlink>
      <w:r>
        <w:t>, f. 2.</w:t>
      </w:r>
    </w:p>
    <w:p w:rsidR="0057104C" w:rsidRDefault="0057104C" w:rsidP="0057104C">
      <w:pPr>
        <w:pStyle w:val="SangriaFrancesaArticulo"/>
      </w:pPr>
    </w:p>
    <w:p w:rsidR="0057104C" w:rsidRDefault="0057104C" w:rsidP="0057104C">
      <w:pPr>
        <w:pStyle w:val="TextoNormalNegritaCursivandice"/>
      </w:pPr>
      <w:r>
        <w:t>Ley 34/1988, de 11 de noviembre. General de publicidad</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62" w:history="1">
        <w:r w:rsidRPr="0057104C">
          <w:rPr>
            <w:rStyle w:val="TextoNormalCaracter"/>
          </w:rPr>
          <w:t>62/2016</w:t>
        </w:r>
      </w:hyperlink>
      <w:r>
        <w:t>, f. 1.</w:t>
      </w:r>
    </w:p>
    <w:p w:rsidR="0057104C" w:rsidRDefault="0057104C" w:rsidP="0057104C">
      <w:pPr>
        <w:pStyle w:val="SangriaFrancesaArticulo"/>
      </w:pPr>
    </w:p>
    <w:p w:rsidR="0057104C" w:rsidRDefault="0057104C" w:rsidP="0057104C">
      <w:pPr>
        <w:pStyle w:val="TextoNormalNegritaCursivandice"/>
      </w:pPr>
      <w:r>
        <w:t>Ley 30/1992, de 26 de noviembre. Régimen jurídico de las Administraciones públicas y del procedimiento administrativo común</w:t>
      </w:r>
    </w:p>
    <w:p w:rsidR="0057104C" w:rsidRDefault="0057104C" w:rsidP="0057104C">
      <w:pPr>
        <w:pStyle w:val="SangriaFrancesaArticulo"/>
      </w:pPr>
      <w:r w:rsidRPr="0057104C">
        <w:rPr>
          <w:rStyle w:val="TextoNormalNegritaCaracter"/>
        </w:rPr>
        <w:t>Título I.</w:t>
      </w:r>
      <w:r w:rsidRPr="0057104C">
        <w:rPr>
          <w:rStyle w:val="TextoNormalCaracter"/>
        </w:rPr>
        <w:t>-</w:t>
      </w:r>
      <w:r>
        <w:t xml:space="preserve"> Sentencia </w:t>
      </w:r>
      <w:hyperlink w:anchor="SENTENCIA_2016_53" w:history="1">
        <w:r w:rsidRPr="0057104C">
          <w:rPr>
            <w:rStyle w:val="TextoNormalCaracter"/>
          </w:rPr>
          <w:t>53/2016</w:t>
        </w:r>
      </w:hyperlink>
      <w:r>
        <w:t>, f. 5.</w:t>
      </w:r>
    </w:p>
    <w:p w:rsidR="0057104C" w:rsidRDefault="0057104C" w:rsidP="0057104C">
      <w:pPr>
        <w:pStyle w:val="SangriaFrancesaArticulo"/>
      </w:pPr>
      <w:r w:rsidRPr="0057104C">
        <w:rPr>
          <w:rStyle w:val="TextoNormalNegritaCaracter"/>
        </w:rPr>
        <w:t>Artículo 3.5.</w:t>
      </w:r>
      <w:r w:rsidRPr="0057104C">
        <w:rPr>
          <w:rStyle w:val="TextoNormalCaracter"/>
        </w:rPr>
        <w:t>-</w:t>
      </w:r>
      <w:r>
        <w:t xml:space="preserve"> Autos </w:t>
      </w:r>
      <w:hyperlink w:anchor="AUTO_2016_23" w:history="1">
        <w:r w:rsidRPr="0057104C">
          <w:rPr>
            <w:rStyle w:val="TextoNormalCaracter"/>
          </w:rPr>
          <w:t>23/2016</w:t>
        </w:r>
      </w:hyperlink>
      <w:r>
        <w:t xml:space="preserve">, f. 3; </w:t>
      </w:r>
      <w:hyperlink w:anchor="AUTO_2016_76" w:history="1">
        <w:r w:rsidRPr="0057104C">
          <w:rPr>
            <w:rStyle w:val="TextoNormalCaracter"/>
          </w:rPr>
          <w:t>76/2016</w:t>
        </w:r>
      </w:hyperlink>
      <w:r>
        <w:t xml:space="preserve">, f. 3; </w:t>
      </w:r>
      <w:hyperlink w:anchor="AUTO_2016_77" w:history="1">
        <w:r w:rsidRPr="0057104C">
          <w:rPr>
            <w:rStyle w:val="TextoNormalCaracter"/>
          </w:rPr>
          <w:t>77/2016</w:t>
        </w:r>
      </w:hyperlink>
      <w:r>
        <w:t xml:space="preserve">, f. 5; </w:t>
      </w:r>
      <w:hyperlink w:anchor="AUTO_2016_78" w:history="1">
        <w:r w:rsidRPr="0057104C">
          <w:rPr>
            <w:rStyle w:val="TextoNormalCaracter"/>
          </w:rPr>
          <w:t>78/2016</w:t>
        </w:r>
      </w:hyperlink>
      <w:r>
        <w:t xml:space="preserve">, f. 3; </w:t>
      </w:r>
      <w:hyperlink w:anchor="AUTO_2016_85" w:history="1">
        <w:r w:rsidRPr="0057104C">
          <w:rPr>
            <w:rStyle w:val="TextoNormalCaracter"/>
          </w:rPr>
          <w:t>85/2016</w:t>
        </w:r>
      </w:hyperlink>
      <w:r>
        <w:t xml:space="preserve">, f. 3; </w:t>
      </w:r>
      <w:hyperlink w:anchor="AUTO_2016_86" w:history="1">
        <w:r w:rsidRPr="0057104C">
          <w:rPr>
            <w:rStyle w:val="TextoNormalCaracter"/>
          </w:rPr>
          <w:t>86/2016</w:t>
        </w:r>
      </w:hyperlink>
      <w:r>
        <w:t xml:space="preserve">, f. 5; </w:t>
      </w:r>
      <w:hyperlink w:anchor="AUTO_2016_87" w:history="1">
        <w:r w:rsidRPr="0057104C">
          <w:rPr>
            <w:rStyle w:val="TextoNormalCaracter"/>
          </w:rPr>
          <w:t>87/2016</w:t>
        </w:r>
      </w:hyperlink>
      <w:r>
        <w:t xml:space="preserve">, f. 3; </w:t>
      </w:r>
      <w:hyperlink w:anchor="AUTO_2016_88" w:history="1">
        <w:r w:rsidRPr="0057104C">
          <w:rPr>
            <w:rStyle w:val="TextoNormalCaracter"/>
          </w:rPr>
          <w:t>88/2016</w:t>
        </w:r>
      </w:hyperlink>
      <w:r>
        <w:t xml:space="preserve">, f. 3; </w:t>
      </w:r>
      <w:hyperlink w:anchor="AUTO_2016_104" w:history="1">
        <w:r w:rsidRPr="0057104C">
          <w:rPr>
            <w:rStyle w:val="TextoNormalCaracter"/>
          </w:rPr>
          <w:t>104/2016</w:t>
        </w:r>
      </w:hyperlink>
      <w:r>
        <w:t>, f. 3.</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53" w:history="1">
        <w:r w:rsidRPr="0057104C">
          <w:rPr>
            <w:rStyle w:val="TextoNormalCaracter"/>
          </w:rPr>
          <w:t>53/2016</w:t>
        </w:r>
      </w:hyperlink>
      <w:r>
        <w:t>, f. 5.</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53" w:history="1">
        <w:r w:rsidRPr="0057104C">
          <w:rPr>
            <w:rStyle w:val="TextoNormalCaracter"/>
          </w:rPr>
          <w:t>53/2016</w:t>
        </w:r>
      </w:hyperlink>
      <w:r>
        <w:t>, f. 5.</w:t>
      </w:r>
    </w:p>
    <w:p w:rsidR="0057104C" w:rsidRDefault="0057104C" w:rsidP="0057104C">
      <w:pPr>
        <w:pStyle w:val="SangriaFrancesaArticulo"/>
      </w:pPr>
      <w:r w:rsidRPr="0057104C">
        <w:rPr>
          <w:rStyle w:val="TextoNormalNegritaCaracter"/>
        </w:rPr>
        <w:t>Artículo 43.</w:t>
      </w:r>
      <w:r w:rsidRPr="0057104C">
        <w:rPr>
          <w:rStyle w:val="TextoNormalCaracter"/>
        </w:rPr>
        <w:t>-</w:t>
      </w:r>
      <w:r>
        <w:t xml:space="preserve"> Sentencia </w:t>
      </w:r>
      <w:hyperlink w:anchor="SENTENCIA_2016_32" w:history="1">
        <w:r w:rsidRPr="0057104C">
          <w:rPr>
            <w:rStyle w:val="TextoNormalCaracter"/>
          </w:rPr>
          <w:t>32/2016</w:t>
        </w:r>
      </w:hyperlink>
      <w:r>
        <w:t>, f. 10.</w:t>
      </w:r>
    </w:p>
    <w:p w:rsidR="0057104C" w:rsidRDefault="0057104C" w:rsidP="0057104C">
      <w:pPr>
        <w:pStyle w:val="SangriaFrancesaArticulo"/>
      </w:pPr>
      <w:r w:rsidRPr="0057104C">
        <w:rPr>
          <w:rStyle w:val="TextoNormalNegritaCaracter"/>
        </w:rPr>
        <w:t>Artículo 71 bis.</w:t>
      </w:r>
      <w:r w:rsidRPr="0057104C">
        <w:rPr>
          <w:rStyle w:val="TextoNormalCaracter"/>
        </w:rPr>
        <w:t>-</w:t>
      </w:r>
      <w:r>
        <w:t xml:space="preserve"> Sentencia </w:t>
      </w:r>
      <w:hyperlink w:anchor="SENTENCIA_2016_57" w:history="1">
        <w:r w:rsidRPr="0057104C">
          <w:rPr>
            <w:rStyle w:val="TextoNormalCaracter"/>
          </w:rPr>
          <w:t>57/2016</w:t>
        </w:r>
      </w:hyperlink>
      <w:r>
        <w:t>, ff. 4, 8.</w:t>
      </w:r>
    </w:p>
    <w:p w:rsidR="0057104C" w:rsidRDefault="0057104C" w:rsidP="0057104C">
      <w:pPr>
        <w:pStyle w:val="SangriaFrancesaArticulo"/>
      </w:pPr>
      <w:r w:rsidRPr="0057104C">
        <w:rPr>
          <w:rStyle w:val="TextoNormalNegritaCaracter"/>
        </w:rPr>
        <w:t>Artículo 83.1.</w:t>
      </w:r>
      <w:r w:rsidRPr="0057104C">
        <w:rPr>
          <w:rStyle w:val="TextoNormalCaracter"/>
        </w:rPr>
        <w:t>-</w:t>
      </w:r>
      <w:r>
        <w:t xml:space="preserve"> Sentencia </w:t>
      </w:r>
      <w:hyperlink w:anchor="SENTENCIA_2016_85" w:history="1">
        <w:r w:rsidRPr="0057104C">
          <w:rPr>
            <w:rStyle w:val="TextoNormalCaracter"/>
          </w:rPr>
          <w:t>85/2016</w:t>
        </w:r>
      </w:hyperlink>
      <w:r>
        <w:t>, f. 6, VP.</w:t>
      </w:r>
    </w:p>
    <w:p w:rsidR="0057104C" w:rsidRDefault="0057104C" w:rsidP="0057104C">
      <w:pPr>
        <w:pStyle w:val="SangriaFrancesaArticulo"/>
      </w:pPr>
      <w:r w:rsidRPr="0057104C">
        <w:rPr>
          <w:rStyle w:val="TextoNormalNegritaCaracter"/>
        </w:rPr>
        <w:t>Artículo 83.2.</w:t>
      </w:r>
      <w:r w:rsidRPr="0057104C">
        <w:rPr>
          <w:rStyle w:val="TextoNormalCaracter"/>
        </w:rPr>
        <w:t>-</w:t>
      </w:r>
      <w:r>
        <w:t xml:space="preserve"> Sentencia </w:t>
      </w:r>
      <w:hyperlink w:anchor="SENTENCIA_2016_85" w:history="1">
        <w:r w:rsidRPr="0057104C">
          <w:rPr>
            <w:rStyle w:val="TextoNormalCaracter"/>
          </w:rPr>
          <w:t>85/2016</w:t>
        </w:r>
      </w:hyperlink>
      <w:r>
        <w:t>, f. 6.</w:t>
      </w:r>
    </w:p>
    <w:p w:rsidR="0057104C" w:rsidRDefault="0057104C" w:rsidP="0057104C">
      <w:pPr>
        <w:pStyle w:val="SangriaFrancesaArticulo"/>
      </w:pPr>
      <w:r w:rsidRPr="0057104C">
        <w:rPr>
          <w:rStyle w:val="TextoNormalNegritaCaracter"/>
        </w:rPr>
        <w:t>Artículo 86.</w:t>
      </w:r>
      <w:r w:rsidRPr="0057104C">
        <w:rPr>
          <w:rStyle w:val="TextoNormalCaracter"/>
        </w:rPr>
        <w:t>-</w:t>
      </w:r>
      <w:r>
        <w:t xml:space="preserve"> Autos </w:t>
      </w:r>
      <w:hyperlink w:anchor="AUTO_2016_23" w:history="1">
        <w:r w:rsidRPr="0057104C">
          <w:rPr>
            <w:rStyle w:val="TextoNormalCaracter"/>
          </w:rPr>
          <w:t>23/2016</w:t>
        </w:r>
      </w:hyperlink>
      <w:r>
        <w:t xml:space="preserve">, f. 3; </w:t>
      </w:r>
      <w:hyperlink w:anchor="AUTO_2016_76" w:history="1">
        <w:r w:rsidRPr="0057104C">
          <w:rPr>
            <w:rStyle w:val="TextoNormalCaracter"/>
          </w:rPr>
          <w:t>76/2016</w:t>
        </w:r>
      </w:hyperlink>
      <w:r>
        <w:t xml:space="preserve">, ff. 2, 3; </w:t>
      </w:r>
      <w:hyperlink w:anchor="AUTO_2016_77" w:history="1">
        <w:r w:rsidRPr="0057104C">
          <w:rPr>
            <w:rStyle w:val="TextoNormalCaracter"/>
          </w:rPr>
          <w:t>77/2016</w:t>
        </w:r>
      </w:hyperlink>
      <w:r>
        <w:t xml:space="preserve">, ff. 4, 5; </w:t>
      </w:r>
      <w:hyperlink w:anchor="AUTO_2016_78" w:history="1">
        <w:r w:rsidRPr="0057104C">
          <w:rPr>
            <w:rStyle w:val="TextoNormalCaracter"/>
          </w:rPr>
          <w:t>78/2016</w:t>
        </w:r>
      </w:hyperlink>
      <w:r>
        <w:t xml:space="preserve">, f. 3; </w:t>
      </w:r>
      <w:hyperlink w:anchor="AUTO_2016_85" w:history="1">
        <w:r w:rsidRPr="0057104C">
          <w:rPr>
            <w:rStyle w:val="TextoNormalCaracter"/>
          </w:rPr>
          <w:t>85/2016</w:t>
        </w:r>
      </w:hyperlink>
      <w:r>
        <w:t xml:space="preserve">, f. 3; </w:t>
      </w:r>
      <w:hyperlink w:anchor="AUTO_2016_86" w:history="1">
        <w:r w:rsidRPr="0057104C">
          <w:rPr>
            <w:rStyle w:val="TextoNormalCaracter"/>
          </w:rPr>
          <w:t>86/2016</w:t>
        </w:r>
      </w:hyperlink>
      <w:r>
        <w:t xml:space="preserve">, ff. 4, 5; </w:t>
      </w:r>
      <w:hyperlink w:anchor="AUTO_2016_87" w:history="1">
        <w:r w:rsidRPr="0057104C">
          <w:rPr>
            <w:rStyle w:val="TextoNormalCaracter"/>
          </w:rPr>
          <w:t>87/2016</w:t>
        </w:r>
      </w:hyperlink>
      <w:r>
        <w:t xml:space="preserve">, ff. 2, 3; </w:t>
      </w:r>
      <w:hyperlink w:anchor="AUTO_2016_88" w:history="1">
        <w:r w:rsidRPr="0057104C">
          <w:rPr>
            <w:rStyle w:val="TextoNormalCaracter"/>
          </w:rPr>
          <w:t>88/2016</w:t>
        </w:r>
      </w:hyperlink>
      <w:r>
        <w:t xml:space="preserve">, ff. 2, 3; </w:t>
      </w:r>
      <w:hyperlink w:anchor="AUTO_2016_104" w:history="1">
        <w:r w:rsidRPr="0057104C">
          <w:rPr>
            <w:rStyle w:val="TextoNormalCaracter"/>
          </w:rPr>
          <w:t>104/2016</w:t>
        </w:r>
      </w:hyperlink>
      <w:r>
        <w:t>, ff. 2, 3.</w:t>
      </w:r>
    </w:p>
    <w:p w:rsidR="0057104C" w:rsidRDefault="0057104C" w:rsidP="0057104C">
      <w:pPr>
        <w:pStyle w:val="SangriaFrancesaArticulo"/>
      </w:pPr>
      <w:r w:rsidRPr="0057104C">
        <w:rPr>
          <w:rStyle w:val="TextoNormalNegritaCaracter"/>
        </w:rPr>
        <w:t>Artículo 107.1.</w:t>
      </w:r>
      <w:r w:rsidRPr="0057104C">
        <w:rPr>
          <w:rStyle w:val="TextoNormalCaracter"/>
        </w:rPr>
        <w:t>-</w:t>
      </w:r>
      <w:r>
        <w:t xml:space="preserve"> Sentencia </w:t>
      </w:r>
      <w:hyperlink w:anchor="SENTENCIA_2016_91" w:history="1">
        <w:r w:rsidRPr="0057104C">
          <w:rPr>
            <w:rStyle w:val="TextoNormalCaracter"/>
          </w:rPr>
          <w:t>91/2016</w:t>
        </w:r>
      </w:hyperlink>
      <w:r>
        <w:t>, f. 4.</w:t>
      </w:r>
    </w:p>
    <w:p w:rsidR="0057104C" w:rsidRDefault="0057104C" w:rsidP="0057104C">
      <w:pPr>
        <w:pStyle w:val="SangriaFrancesaArticulo"/>
      </w:pPr>
      <w:r w:rsidRPr="0057104C">
        <w:rPr>
          <w:rStyle w:val="TextoNormalNegritaCaracter"/>
        </w:rPr>
        <w:t>Artículo 139.</w:t>
      </w:r>
      <w:r w:rsidRPr="0057104C">
        <w:rPr>
          <w:rStyle w:val="TextoNormalCaracter"/>
        </w:rPr>
        <w:t>-</w:t>
      </w:r>
      <w:r>
        <w:t xml:space="preserve"> Sentencia </w:t>
      </w:r>
      <w:hyperlink w:anchor="SENTENCIA_2016_15" w:history="1">
        <w:r w:rsidRPr="0057104C">
          <w:rPr>
            <w:rStyle w:val="TextoNormalCaracter"/>
          </w:rPr>
          <w:t>15/2016</w:t>
        </w:r>
      </w:hyperlink>
      <w:r>
        <w:t>, f. 3.</w:t>
      </w:r>
    </w:p>
    <w:p w:rsidR="0057104C" w:rsidRDefault="0057104C" w:rsidP="0057104C">
      <w:pPr>
        <w:pStyle w:val="SangriaFrancesaArticulo"/>
      </w:pPr>
      <w:r w:rsidRPr="0057104C">
        <w:rPr>
          <w:rStyle w:val="TextoNormalNegritaCaracter"/>
        </w:rPr>
        <w:t>Artículo 139.5</w:t>
      </w:r>
      <w:r>
        <w:t xml:space="preserve"> (redactado por la Ley 13/2009, de 3 de noviembre)</w:t>
      </w:r>
      <w:r w:rsidRPr="0057104C">
        <w:rPr>
          <w:rStyle w:val="TextoNormalNegritaCaracter"/>
        </w:rPr>
        <w:t>.</w:t>
      </w:r>
      <w:r w:rsidRPr="0057104C">
        <w:rPr>
          <w:rStyle w:val="TextoNormalCaracter"/>
        </w:rPr>
        <w:t>-</w:t>
      </w:r>
      <w:r>
        <w:t xml:space="preserve"> Autos </w:t>
      </w:r>
      <w:hyperlink w:anchor="AUTO_2016_18" w:history="1">
        <w:r w:rsidRPr="0057104C">
          <w:rPr>
            <w:rStyle w:val="TextoNormalCaracter"/>
          </w:rPr>
          <w:t>18/2016</w:t>
        </w:r>
      </w:hyperlink>
      <w:r>
        <w:t xml:space="preserve">, f. 2; </w:t>
      </w:r>
      <w:hyperlink w:anchor="AUTO_2016_30" w:history="1">
        <w:r w:rsidRPr="0057104C">
          <w:rPr>
            <w:rStyle w:val="TextoNormalCaracter"/>
          </w:rPr>
          <w:t>30/2016</w:t>
        </w:r>
      </w:hyperlink>
      <w:r>
        <w:t xml:space="preserve">, f. 2; </w:t>
      </w:r>
      <w:hyperlink w:anchor="AUTO_2016_66" w:history="1">
        <w:r w:rsidRPr="0057104C">
          <w:rPr>
            <w:rStyle w:val="TextoNormalCaracter"/>
          </w:rPr>
          <w:t>66/2016</w:t>
        </w:r>
      </w:hyperlink>
      <w:r>
        <w:t>, f. único.</w:t>
      </w:r>
    </w:p>
    <w:p w:rsidR="0057104C" w:rsidRDefault="0057104C" w:rsidP="0057104C">
      <w:pPr>
        <w:pStyle w:val="SangriaFrancesaArticulo"/>
      </w:pPr>
      <w:r w:rsidRPr="0057104C">
        <w:rPr>
          <w:rStyle w:val="TextoNormalNegritaCaracter"/>
        </w:rPr>
        <w:t>Artículo 145.</w:t>
      </w:r>
      <w:r w:rsidRPr="0057104C">
        <w:rPr>
          <w:rStyle w:val="TextoNormalCaracter"/>
        </w:rPr>
        <w:t>-</w:t>
      </w:r>
      <w:r>
        <w:t xml:space="preserve"> Sentencia </w:t>
      </w:r>
      <w:hyperlink w:anchor="SENTENCIA_2016_15" w:history="1">
        <w:r w:rsidRPr="0057104C">
          <w:rPr>
            <w:rStyle w:val="TextoNormalCaracter"/>
          </w:rPr>
          <w:t>15/2016</w:t>
        </w:r>
      </w:hyperlink>
      <w:r>
        <w:t>, f. 3.</w:t>
      </w:r>
    </w:p>
    <w:p w:rsidR="0057104C" w:rsidRDefault="0057104C" w:rsidP="0057104C">
      <w:pPr>
        <w:pStyle w:val="SangriaFrancesaArticulo"/>
      </w:pPr>
      <w:r w:rsidRPr="0057104C">
        <w:rPr>
          <w:rStyle w:val="TextoNormalNegritaCaracter"/>
        </w:rPr>
        <w:t>Artículo 145.1.</w:t>
      </w:r>
      <w:r w:rsidRPr="0057104C">
        <w:rPr>
          <w:rStyle w:val="TextoNormalCaracter"/>
        </w:rPr>
        <w:t>-</w:t>
      </w:r>
      <w:r>
        <w:t xml:space="preserve"> Sentencia </w:t>
      </w:r>
      <w:hyperlink w:anchor="SENTENCIA_2016_15" w:history="1">
        <w:r w:rsidRPr="0057104C">
          <w:rPr>
            <w:rStyle w:val="TextoNormalCaracter"/>
          </w:rPr>
          <w:t>15/2016</w:t>
        </w:r>
      </w:hyperlink>
      <w:r>
        <w:t>, f. 3.</w:t>
      </w:r>
    </w:p>
    <w:p w:rsidR="0057104C" w:rsidRDefault="0057104C" w:rsidP="0057104C">
      <w:pPr>
        <w:pStyle w:val="SangriaFrancesaArticulo"/>
      </w:pPr>
      <w:r w:rsidRPr="0057104C">
        <w:rPr>
          <w:rStyle w:val="TextoNormalNegritaCaracter"/>
        </w:rPr>
        <w:t>Artículo 145.2.</w:t>
      </w:r>
      <w:r w:rsidRPr="0057104C">
        <w:rPr>
          <w:rStyle w:val="TextoNormalCaracter"/>
        </w:rPr>
        <w:t>-</w:t>
      </w:r>
      <w:r>
        <w:t xml:space="preserve"> Sentencia </w:t>
      </w:r>
      <w:hyperlink w:anchor="SENTENCIA_2016_15" w:history="1">
        <w:r w:rsidRPr="0057104C">
          <w:rPr>
            <w:rStyle w:val="TextoNormalCaracter"/>
          </w:rPr>
          <w:t>15/2016</w:t>
        </w:r>
      </w:hyperlink>
      <w:r>
        <w:t>, f. 3.</w:t>
      </w:r>
    </w:p>
    <w:p w:rsidR="0057104C" w:rsidRDefault="0057104C" w:rsidP="0057104C">
      <w:pPr>
        <w:pStyle w:val="SangriaFrancesaArticulo"/>
      </w:pPr>
      <w:r w:rsidRPr="0057104C">
        <w:rPr>
          <w:rStyle w:val="TextoNormalNegritaCaracter"/>
        </w:rPr>
        <w:t>Disposición adicional vigésima</w:t>
      </w:r>
      <w:r>
        <w:t xml:space="preserve"> (redactada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8.</w:t>
      </w:r>
    </w:p>
    <w:p w:rsidR="0057104C" w:rsidRDefault="0057104C" w:rsidP="0057104C">
      <w:pPr>
        <w:pStyle w:val="SangriaFrancesaArticulo"/>
      </w:pPr>
    </w:p>
    <w:p w:rsidR="0057104C" w:rsidRDefault="0057104C" w:rsidP="0057104C">
      <w:pPr>
        <w:pStyle w:val="TextoNormalNegritaCursivandice"/>
      </w:pPr>
      <w:r>
        <w:t>Ley 37/1992, de 28 de diciembre. Impuesto sobre el valor añadido</w:t>
      </w:r>
    </w:p>
    <w:p w:rsidR="0057104C" w:rsidRDefault="0057104C" w:rsidP="0057104C">
      <w:pPr>
        <w:pStyle w:val="SangriaFrancesaArticulo"/>
      </w:pPr>
      <w:r w:rsidRPr="0057104C">
        <w:rPr>
          <w:rStyle w:val="TextoNormalNegritaCaracter"/>
        </w:rPr>
        <w:t>En general</w:t>
      </w:r>
      <w:r>
        <w:t xml:space="preserve"> (redactada por la Ley 26/2009, de 23 de diciembre)</w:t>
      </w:r>
      <w:r w:rsidRPr="0057104C">
        <w:rPr>
          <w:rStyle w:val="TextoNormalNegritaCaracter"/>
        </w:rPr>
        <w:t>.</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p>
    <w:p w:rsidR="0057104C" w:rsidRDefault="0057104C" w:rsidP="0057104C">
      <w:pPr>
        <w:pStyle w:val="TextoNormalNegritaCursivandice"/>
      </w:pPr>
      <w:r>
        <w:t>Ley 38/1992, de 28 de diciembre. Impuestos especiales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4" w:history="1">
        <w:r w:rsidRPr="0057104C">
          <w:rPr>
            <w:rStyle w:val="TextoNormalCaracter"/>
          </w:rPr>
          <w:t>74/2016</w:t>
        </w:r>
      </w:hyperlink>
      <w:r>
        <w:t>, f. 4.</w:t>
      </w:r>
    </w:p>
    <w:p w:rsidR="0057104C" w:rsidRDefault="0057104C" w:rsidP="0057104C">
      <w:pPr>
        <w:pStyle w:val="SangriaFrancesaArticulo"/>
      </w:pPr>
    </w:p>
    <w:p w:rsidR="0057104C" w:rsidRDefault="0057104C" w:rsidP="0057104C">
      <w:pPr>
        <w:pStyle w:val="TextoNormalNegritaCursivandice"/>
      </w:pPr>
      <w:r>
        <w:t>Ley 25/1994, de 12 de julio. Incorporación al ordenamiento jurídico español de la Directiva 89/552/CEE sobre la coordinación de disposiciones legales, reglamentarias y administrativas de los Estados miembros relativas al ejercicio de actividades de radiodifusión televisiva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5" w:history="1">
        <w:r w:rsidRPr="0057104C">
          <w:rPr>
            <w:rStyle w:val="TextoNormalCaracter"/>
          </w:rPr>
          <w:t>35/2016</w:t>
        </w:r>
      </w:hyperlink>
      <w:r>
        <w:t>, f. 2.</w:t>
      </w:r>
    </w:p>
    <w:p w:rsidR="0057104C" w:rsidRDefault="0057104C" w:rsidP="0057104C">
      <w:pPr>
        <w:pStyle w:val="SangriaFrancesaArticulo"/>
      </w:pPr>
      <w:r w:rsidRPr="0057104C">
        <w:rPr>
          <w:rStyle w:val="TextoNormalNegritaCaracter"/>
        </w:rPr>
        <w:t>Artículo 5.1, párrafo 2.</w:t>
      </w:r>
      <w:r w:rsidRPr="0057104C">
        <w:rPr>
          <w:rStyle w:val="TextoNormalCaracter"/>
        </w:rPr>
        <w:t>-</w:t>
      </w:r>
      <w:r>
        <w:t xml:space="preserve"> Sentencia </w:t>
      </w:r>
      <w:hyperlink w:anchor="SENTENCIA_2016_35" w:history="1">
        <w:r w:rsidRPr="0057104C">
          <w:rPr>
            <w:rStyle w:val="TextoNormalCaracter"/>
          </w:rPr>
          <w:t>35/2016</w:t>
        </w:r>
      </w:hyperlink>
      <w:r>
        <w:t>, f. 1.</w:t>
      </w:r>
    </w:p>
    <w:p w:rsidR="0057104C" w:rsidRDefault="0057104C" w:rsidP="0057104C">
      <w:pPr>
        <w:pStyle w:val="SangriaFrancesaArticulo"/>
      </w:pPr>
    </w:p>
    <w:p w:rsidR="0057104C" w:rsidRDefault="0057104C" w:rsidP="0057104C">
      <w:pPr>
        <w:pStyle w:val="TextoNormalNegritaCursivandice"/>
      </w:pPr>
      <w:r>
        <w:t>Ley 40/1994, de 30 de diciembre. Ordenación del sistema eléctrico nacional</w:t>
      </w:r>
    </w:p>
    <w:p w:rsidR="0057104C" w:rsidRDefault="0057104C" w:rsidP="0057104C">
      <w:pPr>
        <w:pStyle w:val="SangriaFrancesaArticulo"/>
      </w:pPr>
      <w:r w:rsidRPr="0057104C">
        <w:rPr>
          <w:rStyle w:val="TextoNormalNegritaCaracter"/>
        </w:rPr>
        <w:t>Artículo 52.2.</w:t>
      </w:r>
      <w:r w:rsidRPr="0057104C">
        <w:rPr>
          <w:rStyle w:val="TextoNormalCaracter"/>
        </w:rPr>
        <w:t>-</w:t>
      </w:r>
      <w:r>
        <w:t xml:space="preserve"> Auto </w:t>
      </w:r>
      <w:hyperlink w:anchor="AUTO_2016_63" w:history="1">
        <w:r w:rsidRPr="0057104C">
          <w:rPr>
            <w:rStyle w:val="TextoNormalCaracter"/>
          </w:rPr>
          <w:t>63/2016</w:t>
        </w:r>
      </w:hyperlink>
      <w:r>
        <w:t>, f. 1.</w:t>
      </w:r>
    </w:p>
    <w:p w:rsidR="0057104C" w:rsidRDefault="0057104C" w:rsidP="0057104C">
      <w:pPr>
        <w:pStyle w:val="SangriaFrancesaArticulo"/>
      </w:pPr>
      <w:r w:rsidRPr="0057104C">
        <w:rPr>
          <w:rStyle w:val="TextoNormalNegritaCaracter"/>
        </w:rPr>
        <w:t>Artículo 53.2.</w:t>
      </w:r>
      <w:r w:rsidRPr="0057104C">
        <w:rPr>
          <w:rStyle w:val="TextoNormalCaracter"/>
        </w:rPr>
        <w:t>-</w:t>
      </w:r>
      <w:r>
        <w:t xml:space="preserve"> Auto </w:t>
      </w:r>
      <w:hyperlink w:anchor="AUTO_2016_63" w:history="1">
        <w:r w:rsidRPr="0057104C">
          <w:rPr>
            <w:rStyle w:val="TextoNormalCaracter"/>
          </w:rPr>
          <w:t>63/2016</w:t>
        </w:r>
      </w:hyperlink>
      <w:r>
        <w:t>, f. 1.</w:t>
      </w:r>
    </w:p>
    <w:p w:rsidR="0057104C" w:rsidRDefault="0057104C" w:rsidP="0057104C">
      <w:pPr>
        <w:pStyle w:val="SangriaFrancesaArticulo"/>
      </w:pPr>
    </w:p>
    <w:p w:rsidR="0057104C" w:rsidRDefault="0057104C" w:rsidP="0057104C">
      <w:pPr>
        <w:pStyle w:val="TextoNormalNegritaCursivandice"/>
      </w:pPr>
      <w:r>
        <w:t>Ley 31/1995, de 8 de noviembre. Prevención de riesgos laborales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 w:history="1">
        <w:r w:rsidRPr="0057104C">
          <w:rPr>
            <w:rStyle w:val="TextoNormalCaracter"/>
          </w:rPr>
          <w:t>7/2016</w:t>
        </w:r>
      </w:hyperlink>
      <w:r>
        <w:t>, f. 3.</w:t>
      </w:r>
    </w:p>
    <w:p w:rsidR="0057104C" w:rsidRDefault="0057104C" w:rsidP="0057104C">
      <w:pPr>
        <w:pStyle w:val="SangriaFrancesaArticulo"/>
      </w:pPr>
    </w:p>
    <w:p w:rsidR="0057104C" w:rsidRDefault="0057104C" w:rsidP="0057104C">
      <w:pPr>
        <w:pStyle w:val="TextoNormalNegritaCursivandice"/>
      </w:pPr>
      <w:r>
        <w:t>Ley 1/1996, de 10 de enero. Asistencia jurídica gratuita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23" w:history="1">
        <w:r w:rsidRPr="0057104C">
          <w:rPr>
            <w:rStyle w:val="TextoNormalCaracter"/>
          </w:rPr>
          <w:t>123/2016</w:t>
        </w:r>
      </w:hyperlink>
      <w:r>
        <w:t>, ff. 2, 3.</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Sentencia </w:t>
      </w:r>
      <w:hyperlink w:anchor="SENTENCIA_2016_94" w:history="1">
        <w:r w:rsidRPr="0057104C">
          <w:rPr>
            <w:rStyle w:val="TextoNormalCaracter"/>
          </w:rPr>
          <w:t>94/2016</w:t>
        </w:r>
      </w:hyperlink>
      <w:r>
        <w:t>, f. 2.</w:t>
      </w:r>
    </w:p>
    <w:p w:rsidR="0057104C" w:rsidRDefault="0057104C" w:rsidP="0057104C">
      <w:pPr>
        <w:pStyle w:val="SangriaIzquierdaArticulo"/>
      </w:pPr>
      <w:r>
        <w:t xml:space="preserve">Auto </w:t>
      </w:r>
      <w:hyperlink w:anchor="AUTO_2016_123" w:history="1">
        <w:r w:rsidRPr="0057104C">
          <w:rPr>
            <w:rStyle w:val="TextoNormalCaracter"/>
          </w:rPr>
          <w:t>123/2016</w:t>
        </w:r>
      </w:hyperlink>
      <w:r>
        <w:t>, f. 2.</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Auto </w:t>
      </w:r>
      <w:hyperlink w:anchor="AUTO_2016_123" w:history="1">
        <w:r w:rsidRPr="0057104C">
          <w:rPr>
            <w:rStyle w:val="TextoNormalCaracter"/>
          </w:rPr>
          <w:t>123/2016</w:t>
        </w:r>
      </w:hyperlink>
      <w:r>
        <w:t>, f. 1.</w:t>
      </w:r>
    </w:p>
    <w:p w:rsidR="0057104C" w:rsidRDefault="0057104C" w:rsidP="0057104C">
      <w:pPr>
        <w:pStyle w:val="SangriaFrancesaArticulo"/>
      </w:pPr>
      <w:r w:rsidRPr="0057104C">
        <w:rPr>
          <w:rStyle w:val="TextoNormalNegritaCaracter"/>
        </w:rPr>
        <w:t>Artículos 32 a 35.</w:t>
      </w:r>
      <w:r w:rsidRPr="0057104C">
        <w:rPr>
          <w:rStyle w:val="TextoNormalCaracter"/>
        </w:rPr>
        <w:t>-</w:t>
      </w:r>
      <w:r>
        <w:t xml:space="preserve"> Auto </w:t>
      </w:r>
      <w:hyperlink w:anchor="AUTO_2016_123" w:history="1">
        <w:r w:rsidRPr="0057104C">
          <w:rPr>
            <w:rStyle w:val="TextoNormalCaracter"/>
          </w:rPr>
          <w:t>123/2016</w:t>
        </w:r>
      </w:hyperlink>
      <w:r>
        <w:t>, f. 1.</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Auto </w:t>
      </w:r>
      <w:hyperlink w:anchor="AUTO_2016_123" w:history="1">
        <w:r w:rsidRPr="0057104C">
          <w:rPr>
            <w:rStyle w:val="TextoNormalCaracter"/>
          </w:rPr>
          <w:t>123/2016</w:t>
        </w:r>
      </w:hyperlink>
      <w:r>
        <w:t>, f. 1.</w:t>
      </w:r>
    </w:p>
    <w:p w:rsidR="0057104C" w:rsidRDefault="0057104C" w:rsidP="0057104C">
      <w:pPr>
        <w:pStyle w:val="SangriaFrancesaArticulo"/>
      </w:pPr>
    </w:p>
    <w:p w:rsidR="0057104C" w:rsidRDefault="0057104C" w:rsidP="0057104C">
      <w:pPr>
        <w:pStyle w:val="TextoNormalNegritaCursivandice"/>
      </w:pPr>
      <w:r>
        <w:t>Ley 7/1996, de 15 de enero. Ordenación del comercio minorista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8" w:history="1">
        <w:r w:rsidRPr="0057104C">
          <w:rPr>
            <w:rStyle w:val="TextoNormalCaracter"/>
          </w:rPr>
          <w:t>18/2016</w:t>
        </w:r>
      </w:hyperlink>
      <w:r>
        <w:t xml:space="preserve">, ff. 1, 10; </w:t>
      </w:r>
      <w:hyperlink w:anchor="SENTENCIA_2016_73" w:history="1">
        <w:r w:rsidRPr="0057104C">
          <w:rPr>
            <w:rStyle w:val="TextoNormalCaracter"/>
          </w:rPr>
          <w:t>73/2016</w:t>
        </w:r>
      </w:hyperlink>
      <w:r>
        <w:t>, f. 5.</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73" w:history="1">
        <w:r w:rsidRPr="0057104C">
          <w:rPr>
            <w:rStyle w:val="TextoNormalCaracter"/>
          </w:rPr>
          <w:t>73/2016</w:t>
        </w:r>
      </w:hyperlink>
      <w:r>
        <w:t>, ff. 4 a 6.</w:t>
      </w:r>
    </w:p>
    <w:p w:rsidR="0057104C" w:rsidRDefault="0057104C" w:rsidP="0057104C">
      <w:pPr>
        <w:pStyle w:val="SangriaFrancesaArticulo"/>
      </w:pPr>
      <w:r w:rsidRPr="0057104C">
        <w:rPr>
          <w:rStyle w:val="TextoNormalNegritaCaracter"/>
        </w:rPr>
        <w:t>Artículo 6</w:t>
      </w:r>
      <w:r>
        <w:t xml:space="preserve"> (redactado por la Ley 1/2010, de 1 de marzo)</w:t>
      </w:r>
      <w:r w:rsidRPr="0057104C">
        <w:rPr>
          <w:rStyle w:val="TextoNormalNegritaCaracter"/>
        </w:rPr>
        <w:t>.</w:t>
      </w:r>
      <w:r w:rsidRPr="0057104C">
        <w:rPr>
          <w:rStyle w:val="TextoNormalCaracter"/>
        </w:rPr>
        <w:t>-</w:t>
      </w:r>
      <w:r>
        <w:t xml:space="preserve"> Sentencia </w:t>
      </w:r>
      <w:hyperlink w:anchor="SENTENCIA_2016_73" w:history="1">
        <w:r w:rsidRPr="0057104C">
          <w:rPr>
            <w:rStyle w:val="TextoNormalCaracter"/>
          </w:rPr>
          <w:t>73/2016</w:t>
        </w:r>
      </w:hyperlink>
      <w:r>
        <w:t>, ff. 4, 5.</w:t>
      </w:r>
    </w:p>
    <w:p w:rsidR="0057104C" w:rsidRDefault="0057104C" w:rsidP="0057104C">
      <w:pPr>
        <w:pStyle w:val="SangriaFrancesaArticulo"/>
      </w:pPr>
      <w:r w:rsidRPr="0057104C">
        <w:rPr>
          <w:rStyle w:val="TextoNormalNegritaCaracter"/>
        </w:rPr>
        <w:t>Artículo 6</w:t>
      </w:r>
      <w:r>
        <w:t xml:space="preserve"> (redactado por la Ley 17/2009, de 23 de noviembre)</w:t>
      </w:r>
      <w:r w:rsidRPr="0057104C">
        <w:rPr>
          <w:rStyle w:val="TextoNormalNegritaCaracter"/>
        </w:rPr>
        <w:t>.</w:t>
      </w:r>
      <w:r w:rsidRPr="0057104C">
        <w:rPr>
          <w:rStyle w:val="TextoNormalCaracter"/>
        </w:rPr>
        <w:t>-</w:t>
      </w:r>
      <w:r>
        <w:t xml:space="preserve"> Sentencia </w:t>
      </w:r>
      <w:hyperlink w:anchor="SENTENCIA_2016_73" w:history="1">
        <w:r w:rsidRPr="0057104C">
          <w:rPr>
            <w:rStyle w:val="TextoNormalCaracter"/>
          </w:rPr>
          <w:t>73/2016</w:t>
        </w:r>
      </w:hyperlink>
      <w:r>
        <w:t>, ff. 5, 6.</w:t>
      </w:r>
    </w:p>
    <w:p w:rsidR="0057104C" w:rsidRDefault="0057104C" w:rsidP="0057104C">
      <w:pPr>
        <w:pStyle w:val="SangriaFrancesaArticulo"/>
      </w:pPr>
      <w:r w:rsidRPr="0057104C">
        <w:rPr>
          <w:rStyle w:val="TextoNormalNegritaCaracter"/>
        </w:rPr>
        <w:t>Artículo 6</w:t>
      </w:r>
      <w:r>
        <w:t xml:space="preserve"> (redactado por la Ley 18/2014, de 15 de octubre)</w:t>
      </w:r>
      <w:r w:rsidRPr="0057104C">
        <w:rPr>
          <w:rStyle w:val="TextoNormalNegritaCaracter"/>
        </w:rPr>
        <w:t>.</w:t>
      </w:r>
      <w:r w:rsidRPr="0057104C">
        <w:rPr>
          <w:rStyle w:val="TextoNormalCaracter"/>
        </w:rPr>
        <w:t>-</w:t>
      </w:r>
      <w:r>
        <w:t xml:space="preserve"> Sentencia </w:t>
      </w:r>
      <w:hyperlink w:anchor="SENTENCIA_2016_73" w:history="1">
        <w:r w:rsidRPr="0057104C">
          <w:rPr>
            <w:rStyle w:val="TextoNormalCaracter"/>
          </w:rPr>
          <w:t>73/2016</w:t>
        </w:r>
      </w:hyperlink>
      <w:r>
        <w:t>, ff. 4 a 6.</w:t>
      </w:r>
    </w:p>
    <w:p w:rsidR="0057104C" w:rsidRDefault="0057104C" w:rsidP="0057104C">
      <w:pPr>
        <w:pStyle w:val="SangriaFrancesaArticulo"/>
      </w:pPr>
      <w:r w:rsidRPr="0057104C">
        <w:rPr>
          <w:rStyle w:val="TextoNormalNegritaCaracter"/>
        </w:rPr>
        <w:t>Artículo 14.1.</w:t>
      </w:r>
      <w:r w:rsidRPr="0057104C">
        <w:rPr>
          <w:rStyle w:val="TextoNormalCaracter"/>
        </w:rPr>
        <w:t>-</w:t>
      </w:r>
      <w:r>
        <w:t xml:space="preserve"> Sentencia </w:t>
      </w:r>
      <w:hyperlink w:anchor="SENTENCIA_2016_37" w:history="1">
        <w:r w:rsidRPr="0057104C">
          <w:rPr>
            <w:rStyle w:val="TextoNormalCaracter"/>
          </w:rPr>
          <w:t>37/2016</w:t>
        </w:r>
      </w:hyperlink>
      <w:r>
        <w:t>, f. 5.</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119" w:history="1">
        <w:r w:rsidRPr="0057104C">
          <w:rPr>
            <w:rStyle w:val="TextoNormalCaracter"/>
          </w:rPr>
          <w:t>119/2016</w:t>
        </w:r>
      </w:hyperlink>
      <w:r>
        <w:t>, f. 2.</w:t>
      </w:r>
    </w:p>
    <w:p w:rsidR="0057104C" w:rsidRDefault="0057104C" w:rsidP="0057104C">
      <w:pPr>
        <w:pStyle w:val="SangriaFrancesaArticulo"/>
      </w:pPr>
      <w:r w:rsidRPr="0057104C">
        <w:rPr>
          <w:rStyle w:val="TextoNormalNegritaCaracter"/>
        </w:rPr>
        <w:t>Artículo 18</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18.1</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18.4</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37" w:history="1">
        <w:r w:rsidRPr="0057104C">
          <w:rPr>
            <w:rStyle w:val="TextoNormalCaracter"/>
          </w:rPr>
          <w:t>37/2016</w:t>
        </w:r>
      </w:hyperlink>
      <w:r>
        <w:t xml:space="preserve">, f. 5; </w:t>
      </w:r>
      <w:hyperlink w:anchor="SENTENCIA_2016_119" w:history="1">
        <w:r w:rsidRPr="0057104C">
          <w:rPr>
            <w:rStyle w:val="TextoNormalCaracter"/>
          </w:rPr>
          <w:t>119/2016</w:t>
        </w:r>
      </w:hyperlink>
      <w:r>
        <w:t>, f. 6.</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Sentencia </w:t>
      </w:r>
      <w:hyperlink w:anchor="SENTENCIA_2016_119" w:history="1">
        <w:r w:rsidRPr="0057104C">
          <w:rPr>
            <w:rStyle w:val="TextoNormalCaracter"/>
          </w:rPr>
          <w:t>119/2016</w:t>
        </w:r>
      </w:hyperlink>
      <w:r>
        <w:t>, f. 2.</w:t>
      </w:r>
    </w:p>
    <w:p w:rsidR="0057104C" w:rsidRDefault="0057104C" w:rsidP="0057104C">
      <w:pPr>
        <w:pStyle w:val="SangriaFrancesaArticulo"/>
      </w:pPr>
      <w:r w:rsidRPr="0057104C">
        <w:rPr>
          <w:rStyle w:val="TextoNormalNegritaCaracter"/>
        </w:rPr>
        <w:t>Artículo 20</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20.2</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20.3</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19" w:history="1">
        <w:r w:rsidRPr="0057104C">
          <w:rPr>
            <w:rStyle w:val="TextoNormalCaracter"/>
          </w:rPr>
          <w:t>119/2016</w:t>
        </w:r>
      </w:hyperlink>
      <w:r>
        <w:t>, ff. 1, 2, 6, 7.</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119" w:history="1">
        <w:r w:rsidRPr="0057104C">
          <w:rPr>
            <w:rStyle w:val="TextoNormalCaracter"/>
          </w:rPr>
          <w:t>119/2016</w:t>
        </w:r>
      </w:hyperlink>
      <w:r>
        <w:t>, ff. 2, 6.</w:t>
      </w:r>
    </w:p>
    <w:p w:rsidR="0057104C" w:rsidRDefault="0057104C" w:rsidP="0057104C">
      <w:pPr>
        <w:pStyle w:val="SangriaFrancesaArticulo"/>
      </w:pPr>
      <w:r w:rsidRPr="0057104C">
        <w:rPr>
          <w:rStyle w:val="TextoNormalNegritaCaracter"/>
        </w:rPr>
        <w:t>Artículo 25</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10; </w:t>
      </w:r>
      <w:hyperlink w:anchor="SENTENCIA_2016_119" w:history="1">
        <w:r w:rsidRPr="0057104C">
          <w:rPr>
            <w:rStyle w:val="TextoNormalCaracter"/>
          </w:rPr>
          <w:t>119/2016</w:t>
        </w:r>
      </w:hyperlink>
      <w:r>
        <w:t>, f. 6.</w:t>
      </w:r>
    </w:p>
    <w:p w:rsidR="0057104C" w:rsidRDefault="0057104C" w:rsidP="0057104C">
      <w:pPr>
        <w:pStyle w:val="SangriaFrancesaArticulo"/>
      </w:pPr>
      <w:r w:rsidRPr="0057104C">
        <w:rPr>
          <w:rStyle w:val="TextoNormalNegritaCaracter"/>
        </w:rPr>
        <w:t>Artículo 25.3</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26.</w:t>
      </w:r>
      <w:r w:rsidRPr="0057104C">
        <w:rPr>
          <w:rStyle w:val="TextoNormalCaracter"/>
        </w:rPr>
        <w:t>-</w:t>
      </w:r>
      <w:r>
        <w:t xml:space="preserve"> Sentencia </w:t>
      </w:r>
      <w:hyperlink w:anchor="SENTENCIA_2016_119" w:history="1">
        <w:r w:rsidRPr="0057104C">
          <w:rPr>
            <w:rStyle w:val="TextoNormalCaracter"/>
          </w:rPr>
          <w:t>119/2016</w:t>
        </w:r>
      </w:hyperlink>
      <w:r>
        <w:t>, f. 2.</w:t>
      </w:r>
    </w:p>
    <w:p w:rsidR="0057104C" w:rsidRDefault="0057104C" w:rsidP="0057104C">
      <w:pPr>
        <w:pStyle w:val="SangriaFrancesaArticulo"/>
      </w:pPr>
      <w:r w:rsidRPr="0057104C">
        <w:rPr>
          <w:rStyle w:val="TextoNormalNegritaCaracter"/>
        </w:rPr>
        <w:t>Artículo 26</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26.1</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ff. 10, 11; </w:t>
      </w:r>
      <w:hyperlink w:anchor="SENTENCIA_2016_37" w:history="1">
        <w:r w:rsidRPr="0057104C">
          <w:rPr>
            <w:rStyle w:val="TextoNormalCaracter"/>
          </w:rPr>
          <w:t>37/2016</w:t>
        </w:r>
      </w:hyperlink>
      <w:r>
        <w:t xml:space="preserve">, ff. 2, 5; </w:t>
      </w:r>
      <w:hyperlink w:anchor="SENTENCIA_2016_119" w:history="1">
        <w:r w:rsidRPr="0057104C">
          <w:rPr>
            <w:rStyle w:val="TextoNormalCaracter"/>
          </w:rPr>
          <w:t>119/2016</w:t>
        </w:r>
      </w:hyperlink>
      <w:r>
        <w:t>, ff. 6, 7.</w:t>
      </w:r>
    </w:p>
    <w:p w:rsidR="0057104C" w:rsidRDefault="0057104C" w:rsidP="0057104C">
      <w:pPr>
        <w:pStyle w:val="SangriaFrancesaArticulo"/>
      </w:pPr>
      <w:r w:rsidRPr="0057104C">
        <w:rPr>
          <w:rStyle w:val="TextoNormalNegritaCaracter"/>
        </w:rPr>
        <w:t>Artículo 27.</w:t>
      </w:r>
      <w:r w:rsidRPr="0057104C">
        <w:rPr>
          <w:rStyle w:val="TextoNormalCaracter"/>
        </w:rPr>
        <w:t>-</w:t>
      </w:r>
      <w:r>
        <w:t xml:space="preserve"> Sentencia </w:t>
      </w:r>
      <w:hyperlink w:anchor="SENTENCIA_2016_119" w:history="1">
        <w:r w:rsidRPr="0057104C">
          <w:rPr>
            <w:rStyle w:val="TextoNormalCaracter"/>
          </w:rPr>
          <w:t>119/2016</w:t>
        </w:r>
      </w:hyperlink>
      <w:r>
        <w:t>, f. 2.</w:t>
      </w:r>
    </w:p>
    <w:p w:rsidR="0057104C" w:rsidRDefault="0057104C" w:rsidP="0057104C">
      <w:pPr>
        <w:pStyle w:val="SangriaFrancesaArticulo"/>
      </w:pPr>
      <w:r w:rsidRPr="0057104C">
        <w:rPr>
          <w:rStyle w:val="TextoNormalNegritaCaracter"/>
        </w:rPr>
        <w:t>Artículo 27</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10; </w:t>
      </w:r>
      <w:hyperlink w:anchor="SENTENCIA_2016_119" w:history="1">
        <w:r w:rsidRPr="0057104C">
          <w:rPr>
            <w:rStyle w:val="TextoNormalCaracter"/>
          </w:rPr>
          <w:t>119/2016</w:t>
        </w:r>
      </w:hyperlink>
      <w:r>
        <w:t>, f. 6.</w:t>
      </w:r>
    </w:p>
    <w:p w:rsidR="0057104C" w:rsidRDefault="0057104C" w:rsidP="0057104C">
      <w:pPr>
        <w:pStyle w:val="SangriaFrancesaArticulo"/>
      </w:pPr>
      <w:r w:rsidRPr="0057104C">
        <w:rPr>
          <w:rStyle w:val="TextoNormalNegritaCaracter"/>
        </w:rPr>
        <w:t>Artículo 27.2</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ff. 10, 11; </w:t>
      </w:r>
      <w:hyperlink w:anchor="SENTENCIA_2016_37" w:history="1">
        <w:r w:rsidRPr="0057104C">
          <w:rPr>
            <w:rStyle w:val="TextoNormalCaracter"/>
          </w:rPr>
          <w:t>37/2016</w:t>
        </w:r>
      </w:hyperlink>
      <w:r>
        <w:t xml:space="preserve">, ff. 2, 5; </w:t>
      </w:r>
      <w:hyperlink w:anchor="SENTENCIA_2016_119" w:history="1">
        <w:r w:rsidRPr="0057104C">
          <w:rPr>
            <w:rStyle w:val="TextoNormalCaracter"/>
          </w:rPr>
          <w:t>119/2016</w:t>
        </w:r>
      </w:hyperlink>
      <w:r>
        <w:t>, ff. 6, 7.</w:t>
      </w:r>
    </w:p>
    <w:p w:rsidR="0057104C" w:rsidRDefault="0057104C" w:rsidP="0057104C">
      <w:pPr>
        <w:pStyle w:val="SangriaFrancesaArticulo"/>
      </w:pPr>
      <w:r w:rsidRPr="0057104C">
        <w:rPr>
          <w:rStyle w:val="TextoNormalNegritaCaracter"/>
        </w:rPr>
        <w:t>Artículo 27.5</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28.</w:t>
      </w:r>
      <w:r w:rsidRPr="0057104C">
        <w:rPr>
          <w:rStyle w:val="TextoNormalCaracter"/>
        </w:rPr>
        <w:t>-</w:t>
      </w:r>
      <w:r>
        <w:t xml:space="preserve"> Sentencia </w:t>
      </w:r>
      <w:hyperlink w:anchor="SENTENCIA_2016_119" w:history="1">
        <w:r w:rsidRPr="0057104C">
          <w:rPr>
            <w:rStyle w:val="TextoNormalCaracter"/>
          </w:rPr>
          <w:t>119/2016</w:t>
        </w:r>
      </w:hyperlink>
      <w:r>
        <w:t>, f. 2.</w:t>
      </w:r>
    </w:p>
    <w:p w:rsidR="0057104C" w:rsidRDefault="0057104C" w:rsidP="0057104C">
      <w:pPr>
        <w:pStyle w:val="SangriaFrancesaArticulo"/>
      </w:pPr>
      <w:r w:rsidRPr="0057104C">
        <w:rPr>
          <w:rStyle w:val="TextoNormalNegritaCaracter"/>
        </w:rPr>
        <w:t>Artículo 28</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10; </w:t>
      </w:r>
      <w:hyperlink w:anchor="SENTENCIA_2016_37" w:history="1">
        <w:r w:rsidRPr="0057104C">
          <w:rPr>
            <w:rStyle w:val="TextoNormalCaracter"/>
          </w:rPr>
          <w:t>37/2016</w:t>
        </w:r>
      </w:hyperlink>
      <w:r>
        <w:t xml:space="preserve">, f. 5; </w:t>
      </w:r>
      <w:hyperlink w:anchor="SENTENCIA_2016_119" w:history="1">
        <w:r w:rsidRPr="0057104C">
          <w:rPr>
            <w:rStyle w:val="TextoNormalCaracter"/>
          </w:rPr>
          <w:t>119/2016</w:t>
        </w:r>
      </w:hyperlink>
      <w:r>
        <w:t>, f. 6.</w:t>
      </w:r>
    </w:p>
    <w:p w:rsidR="0057104C" w:rsidRDefault="0057104C" w:rsidP="0057104C">
      <w:pPr>
        <w:pStyle w:val="SangriaFrancesaArticulo"/>
      </w:pPr>
      <w:r w:rsidRPr="0057104C">
        <w:rPr>
          <w:rStyle w:val="TextoNormalNegritaCaracter"/>
        </w:rPr>
        <w:t>Artículo 28.1.</w:t>
      </w:r>
      <w:r w:rsidRPr="0057104C">
        <w:rPr>
          <w:rStyle w:val="TextoNormalCaracter"/>
        </w:rPr>
        <w:t>-</w:t>
      </w:r>
      <w:r>
        <w:t xml:space="preserve"> Sentencias </w:t>
      </w:r>
      <w:hyperlink w:anchor="SENTENCIA_2016_18" w:history="1">
        <w:r w:rsidRPr="0057104C">
          <w:rPr>
            <w:rStyle w:val="TextoNormalCaracter"/>
          </w:rPr>
          <w:t>18/2016</w:t>
        </w:r>
      </w:hyperlink>
      <w:r>
        <w:t xml:space="preserve">, f. 10; </w:t>
      </w:r>
      <w:hyperlink w:anchor="SENTENCIA_2016_37" w:history="1">
        <w:r w:rsidRPr="0057104C">
          <w:rPr>
            <w:rStyle w:val="TextoNormalCaracter"/>
          </w:rPr>
          <w:t>37/2016</w:t>
        </w:r>
      </w:hyperlink>
      <w:r>
        <w:t>, f. 5.</w:t>
      </w:r>
    </w:p>
    <w:p w:rsidR="0057104C" w:rsidRDefault="0057104C" w:rsidP="0057104C">
      <w:pPr>
        <w:pStyle w:val="SangriaFrancesaArticulo"/>
      </w:pPr>
      <w:r w:rsidRPr="0057104C">
        <w:rPr>
          <w:rStyle w:val="TextoNormalNegritaCaracter"/>
        </w:rPr>
        <w:t>Artículo 28.2.</w:t>
      </w:r>
      <w:r w:rsidRPr="0057104C">
        <w:rPr>
          <w:rStyle w:val="TextoNormalCaracter"/>
        </w:rPr>
        <w:t>-</w:t>
      </w:r>
      <w:r>
        <w:t xml:space="preserve"> Sentencia </w:t>
      </w:r>
      <w:hyperlink w:anchor="SENTENCIA_2016_37" w:history="1">
        <w:r w:rsidRPr="0057104C">
          <w:rPr>
            <w:rStyle w:val="TextoNormalCaracter"/>
          </w:rPr>
          <w:t>37/2016</w:t>
        </w:r>
      </w:hyperlink>
      <w:r>
        <w:t>, f. 5.</w:t>
      </w:r>
    </w:p>
    <w:p w:rsidR="0057104C" w:rsidRDefault="0057104C" w:rsidP="0057104C">
      <w:pPr>
        <w:pStyle w:val="SangriaFrancesaArticulo"/>
      </w:pPr>
      <w:r w:rsidRPr="0057104C">
        <w:rPr>
          <w:rStyle w:val="TextoNormalNegritaCaracter"/>
        </w:rPr>
        <w:t>Artículo 28.6</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Sentencia </w:t>
      </w:r>
      <w:hyperlink w:anchor="SENTENCIA_2016_119" w:history="1">
        <w:r w:rsidRPr="0057104C">
          <w:rPr>
            <w:rStyle w:val="TextoNormalCaracter"/>
          </w:rPr>
          <w:t>119/2016</w:t>
        </w:r>
      </w:hyperlink>
      <w:r>
        <w:t>, f. 2.</w:t>
      </w:r>
    </w:p>
    <w:p w:rsidR="0057104C" w:rsidRDefault="0057104C" w:rsidP="0057104C">
      <w:pPr>
        <w:pStyle w:val="SangriaFrancesaArticulo"/>
      </w:pPr>
      <w:r w:rsidRPr="0057104C">
        <w:rPr>
          <w:rStyle w:val="TextoNormalNegritaCaracter"/>
        </w:rPr>
        <w:t>Artículo 31</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10; </w:t>
      </w:r>
      <w:hyperlink w:anchor="SENTENCIA_2016_37" w:history="1">
        <w:r w:rsidRPr="0057104C">
          <w:rPr>
            <w:rStyle w:val="TextoNormalCaracter"/>
          </w:rPr>
          <w:t>37/2016</w:t>
        </w:r>
      </w:hyperlink>
      <w:r>
        <w:t xml:space="preserve">, f. 5; </w:t>
      </w:r>
      <w:hyperlink w:anchor="SENTENCIA_2016_119" w:history="1">
        <w:r w:rsidRPr="0057104C">
          <w:rPr>
            <w:rStyle w:val="TextoNormalCaracter"/>
          </w:rPr>
          <w:t>119/2016</w:t>
        </w:r>
      </w:hyperlink>
      <w:r>
        <w:t>, f. 6.</w:t>
      </w:r>
    </w:p>
    <w:p w:rsidR="0057104C" w:rsidRDefault="0057104C" w:rsidP="0057104C">
      <w:pPr>
        <w:pStyle w:val="SangriaFrancesaArticulo"/>
      </w:pPr>
      <w:r w:rsidRPr="0057104C">
        <w:rPr>
          <w:rStyle w:val="TextoNormalNegritaCaracter"/>
        </w:rPr>
        <w:t>Artículo 31.7</w:t>
      </w:r>
      <w:r>
        <w:t xml:space="preserve"> (redactado por el Real Decreto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Disposición final única.</w:t>
      </w:r>
      <w:r w:rsidRPr="0057104C">
        <w:rPr>
          <w:rStyle w:val="TextoNormalCaracter"/>
        </w:rPr>
        <w:t>-</w:t>
      </w:r>
      <w:r>
        <w:t xml:space="preserve"> Sentencia </w:t>
      </w:r>
      <w:hyperlink w:anchor="SENTENCIA_2016_119" w:history="1">
        <w:r w:rsidRPr="0057104C">
          <w:rPr>
            <w:rStyle w:val="TextoNormalCaracter"/>
          </w:rPr>
          <w:t>119/2016</w:t>
        </w:r>
      </w:hyperlink>
      <w:r>
        <w:t>, f. 6.</w:t>
      </w:r>
    </w:p>
    <w:p w:rsidR="0057104C" w:rsidRDefault="0057104C" w:rsidP="0057104C">
      <w:pPr>
        <w:pStyle w:val="SangriaFrancesaArticulo"/>
      </w:pPr>
      <w:r w:rsidRPr="0057104C">
        <w:rPr>
          <w:rStyle w:val="TextoNormalNegritaCaracter"/>
        </w:rPr>
        <w:t>Disposición final cuarta.</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p>
    <w:p w:rsidR="0057104C" w:rsidRDefault="0057104C" w:rsidP="0057104C">
      <w:pPr>
        <w:pStyle w:val="TextoNormalNegritaCursivandice"/>
      </w:pPr>
      <w:r>
        <w:t>Ley 14/1996, de 30 de diciembre. Cesión de tributos del Estado a las  Comunidades Autónomas y medidas fiscales complementarias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25" w:history="1">
        <w:r w:rsidRPr="0057104C">
          <w:rPr>
            <w:rStyle w:val="TextoNormalCaracter"/>
          </w:rPr>
          <w:t>25/2016</w:t>
        </w:r>
      </w:hyperlink>
      <w:r>
        <w:t xml:space="preserve">, f. 2; </w:t>
      </w:r>
      <w:hyperlink w:anchor="SENTENCIA_2016_33" w:history="1">
        <w:r w:rsidRPr="0057104C">
          <w:rPr>
            <w:rStyle w:val="TextoNormalCaracter"/>
          </w:rPr>
          <w:t>33/2016</w:t>
        </w:r>
      </w:hyperlink>
      <w:r>
        <w:t>, f. 4.</w:t>
      </w:r>
    </w:p>
    <w:p w:rsidR="0057104C" w:rsidRDefault="0057104C" w:rsidP="0057104C">
      <w:pPr>
        <w:pStyle w:val="SangriaFrancesaArticulo"/>
      </w:pPr>
    </w:p>
    <w:p w:rsidR="0057104C" w:rsidRDefault="0057104C" w:rsidP="0057104C">
      <w:pPr>
        <w:pStyle w:val="TextoNormalNegritaCursivandice"/>
      </w:pPr>
      <w:r>
        <w:t>Ley 6/1997, de 14 de abril. Organización y funcionamiento de la Administración General del Estado</w:t>
      </w:r>
    </w:p>
    <w:p w:rsidR="0057104C" w:rsidRDefault="0057104C" w:rsidP="0057104C">
      <w:pPr>
        <w:pStyle w:val="SangriaFrancesaArticulo"/>
      </w:pPr>
      <w:r w:rsidRPr="0057104C">
        <w:rPr>
          <w:rStyle w:val="TextoNormalNegritaCaracter"/>
        </w:rPr>
        <w:t>Artículo 36.7.</w:t>
      </w:r>
      <w:r w:rsidRPr="0057104C">
        <w:rPr>
          <w:rStyle w:val="TextoNormalCaracter"/>
        </w:rPr>
        <w:t>-</w:t>
      </w:r>
      <w:r>
        <w:t xml:space="preserve"> Sentencia </w:t>
      </w:r>
      <w:hyperlink w:anchor="SENTENCIA_2016_85" w:history="1">
        <w:r w:rsidRPr="0057104C">
          <w:rPr>
            <w:rStyle w:val="TextoNormalCaracter"/>
          </w:rPr>
          <w:t>85/2016</w:t>
        </w:r>
      </w:hyperlink>
      <w:r>
        <w:t>, f. 6.</w:t>
      </w:r>
    </w:p>
    <w:p w:rsidR="0057104C" w:rsidRDefault="0057104C" w:rsidP="0057104C">
      <w:pPr>
        <w:pStyle w:val="SangriaFrancesaArticulo"/>
      </w:pPr>
    </w:p>
    <w:p w:rsidR="0057104C" w:rsidRDefault="0057104C" w:rsidP="0057104C">
      <w:pPr>
        <w:pStyle w:val="TextoNormalNegritaCursivandice"/>
      </w:pPr>
      <w:r>
        <w:t>Ley 15/1997, de 25 de abril. Habilitación de nuevas formas de gestión del Sistema Nacional de Salud</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 w:history="1">
        <w:r w:rsidRPr="0057104C">
          <w:rPr>
            <w:rStyle w:val="TextoNormalCaracter"/>
          </w:rPr>
          <w:t>10/2016</w:t>
        </w:r>
      </w:hyperlink>
      <w:r>
        <w:t>, f. 5.</w:t>
      </w:r>
    </w:p>
    <w:p w:rsidR="0057104C" w:rsidRDefault="0057104C" w:rsidP="0057104C">
      <w:pPr>
        <w:pStyle w:val="SangriaFrancesaArticulo"/>
      </w:pPr>
      <w:r w:rsidRPr="0057104C">
        <w:rPr>
          <w:rStyle w:val="TextoNormalNegritaCaracter"/>
        </w:rPr>
        <w:t>Artículo único, apartado 1.</w:t>
      </w:r>
      <w:r w:rsidRPr="0057104C">
        <w:rPr>
          <w:rStyle w:val="TextoNormalCaracter"/>
        </w:rPr>
        <w:t>-</w:t>
      </w:r>
      <w:r>
        <w:t xml:space="preserve"> Sentencia </w:t>
      </w:r>
      <w:hyperlink w:anchor="SENTENCIA_2016_10" w:history="1">
        <w:r w:rsidRPr="0057104C">
          <w:rPr>
            <w:rStyle w:val="TextoNormalCaracter"/>
          </w:rPr>
          <w:t>10/2016</w:t>
        </w:r>
      </w:hyperlink>
      <w:r>
        <w:t>, ff. 1, 5.</w:t>
      </w:r>
    </w:p>
    <w:p w:rsidR="0057104C" w:rsidRDefault="0057104C" w:rsidP="0057104C">
      <w:pPr>
        <w:pStyle w:val="SangriaFrancesaArticulo"/>
      </w:pPr>
    </w:p>
    <w:p w:rsidR="0057104C" w:rsidRDefault="0057104C" w:rsidP="0057104C">
      <w:pPr>
        <w:pStyle w:val="TextoNormalNegritaCursivandice"/>
      </w:pPr>
      <w:r>
        <w:t>Ley 50/1997, de 27 de noviembre. Gobierno</w:t>
      </w:r>
    </w:p>
    <w:p w:rsidR="0057104C" w:rsidRDefault="0057104C" w:rsidP="0057104C">
      <w:pPr>
        <w:pStyle w:val="SangriaFrancesaArticulo"/>
      </w:pPr>
      <w:r w:rsidRPr="0057104C">
        <w:rPr>
          <w:rStyle w:val="TextoNormalNegritaCaracter"/>
        </w:rPr>
        <w:t>Artículo 24.1 c).</w:t>
      </w:r>
      <w:r w:rsidRPr="0057104C">
        <w:rPr>
          <w:rStyle w:val="TextoNormalCaracter"/>
        </w:rPr>
        <w:t>-</w:t>
      </w:r>
      <w:r>
        <w:t xml:space="preserve"> Autos </w:t>
      </w:r>
      <w:hyperlink w:anchor="AUTO_2016_23" w:history="1">
        <w:r w:rsidRPr="0057104C">
          <w:rPr>
            <w:rStyle w:val="TextoNormalCaracter"/>
          </w:rPr>
          <w:t>23/2016</w:t>
        </w:r>
      </w:hyperlink>
      <w:r>
        <w:t xml:space="preserve">, f. 3; </w:t>
      </w:r>
      <w:hyperlink w:anchor="AUTO_2016_76" w:history="1">
        <w:r w:rsidRPr="0057104C">
          <w:rPr>
            <w:rStyle w:val="TextoNormalCaracter"/>
          </w:rPr>
          <w:t>76/2016</w:t>
        </w:r>
      </w:hyperlink>
      <w:r>
        <w:t xml:space="preserve">, f. 3; </w:t>
      </w:r>
      <w:hyperlink w:anchor="AUTO_2016_77" w:history="1">
        <w:r w:rsidRPr="0057104C">
          <w:rPr>
            <w:rStyle w:val="TextoNormalCaracter"/>
          </w:rPr>
          <w:t>77/2016</w:t>
        </w:r>
      </w:hyperlink>
      <w:r>
        <w:t xml:space="preserve">, f. 5; </w:t>
      </w:r>
      <w:hyperlink w:anchor="AUTO_2016_78" w:history="1">
        <w:r w:rsidRPr="0057104C">
          <w:rPr>
            <w:rStyle w:val="TextoNormalCaracter"/>
          </w:rPr>
          <w:t>78/2016</w:t>
        </w:r>
      </w:hyperlink>
      <w:r>
        <w:t xml:space="preserve">, f. 3; </w:t>
      </w:r>
      <w:hyperlink w:anchor="AUTO_2016_85" w:history="1">
        <w:r w:rsidRPr="0057104C">
          <w:rPr>
            <w:rStyle w:val="TextoNormalCaracter"/>
          </w:rPr>
          <w:t>85/2016</w:t>
        </w:r>
      </w:hyperlink>
      <w:r>
        <w:t xml:space="preserve">, f. 3; </w:t>
      </w:r>
      <w:hyperlink w:anchor="AUTO_2016_86" w:history="1">
        <w:r w:rsidRPr="0057104C">
          <w:rPr>
            <w:rStyle w:val="TextoNormalCaracter"/>
          </w:rPr>
          <w:t>86/2016</w:t>
        </w:r>
      </w:hyperlink>
      <w:r>
        <w:t xml:space="preserve">, f. 5; </w:t>
      </w:r>
      <w:hyperlink w:anchor="AUTO_2016_87" w:history="1">
        <w:r w:rsidRPr="0057104C">
          <w:rPr>
            <w:rStyle w:val="TextoNormalCaracter"/>
          </w:rPr>
          <w:t>87/2016</w:t>
        </w:r>
      </w:hyperlink>
      <w:r>
        <w:t xml:space="preserve">, f. 3; </w:t>
      </w:r>
      <w:hyperlink w:anchor="AUTO_2016_88" w:history="1">
        <w:r w:rsidRPr="0057104C">
          <w:rPr>
            <w:rStyle w:val="TextoNormalCaracter"/>
          </w:rPr>
          <w:t>88/2016</w:t>
        </w:r>
      </w:hyperlink>
      <w:r>
        <w:t xml:space="preserve">, f. 3; </w:t>
      </w:r>
      <w:hyperlink w:anchor="AUTO_2016_104" w:history="1">
        <w:r w:rsidRPr="0057104C">
          <w:rPr>
            <w:rStyle w:val="TextoNormalCaracter"/>
          </w:rPr>
          <w:t>104/2016</w:t>
        </w:r>
      </w:hyperlink>
      <w:r>
        <w:t>, f. 3.</w:t>
      </w:r>
    </w:p>
    <w:p w:rsidR="0057104C" w:rsidRDefault="0057104C" w:rsidP="0057104C">
      <w:pPr>
        <w:pStyle w:val="SangriaFrancesaArticulo"/>
      </w:pPr>
    </w:p>
    <w:p w:rsidR="0057104C" w:rsidRDefault="0057104C" w:rsidP="0057104C">
      <w:pPr>
        <w:pStyle w:val="TextoNormalNegritaCursivandice"/>
      </w:pPr>
      <w:r>
        <w:t>Ley 54/1997, de 27 de noviembre. Sector eléctrico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9" w:history="1">
        <w:r w:rsidRPr="0057104C">
          <w:rPr>
            <w:rStyle w:val="TextoNormalCaracter"/>
          </w:rPr>
          <w:t>19/2016</w:t>
        </w:r>
      </w:hyperlink>
      <w:r>
        <w:t xml:space="preserve">, f. 1; </w:t>
      </w:r>
      <w:hyperlink w:anchor="SENTENCIA_2016_29" w:history="1">
        <w:r w:rsidRPr="0057104C">
          <w:rPr>
            <w:rStyle w:val="TextoNormalCaracter"/>
          </w:rPr>
          <w:t>29/2016</w:t>
        </w:r>
      </w:hyperlink>
      <w:r>
        <w:t xml:space="preserve">, f. 1; </w:t>
      </w:r>
      <w:hyperlink w:anchor="SENTENCIA_2016_30" w:history="1">
        <w:r w:rsidRPr="0057104C">
          <w:rPr>
            <w:rStyle w:val="TextoNormalCaracter"/>
          </w:rPr>
          <w:t>30/2016</w:t>
        </w:r>
      </w:hyperlink>
      <w:r>
        <w:t xml:space="preserve">, f. 1; </w:t>
      </w:r>
      <w:hyperlink w:anchor="SENTENCIA_2016_32" w:history="1">
        <w:r w:rsidRPr="0057104C">
          <w:rPr>
            <w:rStyle w:val="TextoNormalCaracter"/>
          </w:rPr>
          <w:t>32/2016</w:t>
        </w:r>
      </w:hyperlink>
      <w:r>
        <w:t xml:space="preserve">, ff. 3, 9, 14; </w:t>
      </w:r>
      <w:hyperlink w:anchor="SENTENCIA_2016_42" w:history="1">
        <w:r w:rsidRPr="0057104C">
          <w:rPr>
            <w:rStyle w:val="TextoNormalCaracter"/>
          </w:rPr>
          <w:t>42/2016</w:t>
        </w:r>
      </w:hyperlink>
      <w:r>
        <w:t xml:space="preserve">, f. 1; </w:t>
      </w:r>
      <w:hyperlink w:anchor="SENTENCIA_2016_61" w:history="1">
        <w:r w:rsidRPr="0057104C">
          <w:rPr>
            <w:rStyle w:val="TextoNormalCaracter"/>
          </w:rPr>
          <w:t>61/2016</w:t>
        </w:r>
      </w:hyperlink>
      <w:r>
        <w:t>, f. 1.</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61" w:history="1">
        <w:r w:rsidRPr="0057104C">
          <w:rPr>
            <w:rStyle w:val="TextoNormalCaracter"/>
          </w:rPr>
          <w:t>61/2016</w:t>
        </w:r>
      </w:hyperlink>
      <w:r>
        <w:t>, f. 7.</w:t>
      </w:r>
    </w:p>
    <w:p w:rsidR="0057104C" w:rsidRDefault="0057104C" w:rsidP="0057104C">
      <w:pPr>
        <w:pStyle w:val="SangriaFrancesaArticulo"/>
      </w:pPr>
      <w:r w:rsidRPr="0057104C">
        <w:rPr>
          <w:rStyle w:val="TextoNormalNegritaCaracter"/>
        </w:rPr>
        <w:t>Artículo 30.4</w:t>
      </w:r>
      <w:r>
        <w:t xml:space="preserve"> (redactado por el Real Decreto-ley 9/2013, de 12 de julio)</w:t>
      </w:r>
      <w:r w:rsidRPr="0057104C">
        <w:rPr>
          <w:rStyle w:val="TextoNormalNegritaCaracter"/>
        </w:rPr>
        <w:t>.</w:t>
      </w:r>
      <w:r w:rsidRPr="0057104C">
        <w:rPr>
          <w:rStyle w:val="TextoNormalCaracter"/>
        </w:rPr>
        <w:t>-</w:t>
      </w:r>
      <w:r>
        <w:t xml:space="preserve"> Sentencia </w:t>
      </w:r>
      <w:hyperlink w:anchor="SENTENCIA_2016_30" w:history="1">
        <w:r w:rsidRPr="0057104C">
          <w:rPr>
            <w:rStyle w:val="TextoNormalCaracter"/>
          </w:rPr>
          <w:t>30/2016</w:t>
        </w:r>
      </w:hyperlink>
      <w:r>
        <w:t>, f. 6.</w:t>
      </w:r>
    </w:p>
    <w:p w:rsidR="0057104C" w:rsidRDefault="0057104C" w:rsidP="0057104C">
      <w:pPr>
        <w:pStyle w:val="SangriaFrancesaArticulo"/>
      </w:pPr>
      <w:r w:rsidRPr="0057104C">
        <w:rPr>
          <w:rStyle w:val="TextoNormalNegritaCaracter"/>
        </w:rPr>
        <w:t>Artículo 43.5.</w:t>
      </w:r>
      <w:r w:rsidRPr="0057104C">
        <w:rPr>
          <w:rStyle w:val="TextoNormalCaracter"/>
        </w:rPr>
        <w:t>-</w:t>
      </w:r>
      <w:r>
        <w:t xml:space="preserve"> Sentencia </w:t>
      </w:r>
      <w:hyperlink w:anchor="SENTENCIA_2016_32" w:history="1">
        <w:r w:rsidRPr="0057104C">
          <w:rPr>
            <w:rStyle w:val="TextoNormalCaracter"/>
          </w:rPr>
          <w:t>32/2016</w:t>
        </w:r>
      </w:hyperlink>
      <w:r>
        <w:t>, VPII.</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0" w:history="1">
        <w:r w:rsidRPr="0057104C">
          <w:rPr>
            <w:rStyle w:val="TextoNormalCaracter"/>
          </w:rPr>
          <w:t>60/2016</w:t>
        </w:r>
      </w:hyperlink>
      <w:r>
        <w:t>, f. 4.</w:t>
      </w:r>
    </w:p>
    <w:p w:rsidR="0057104C" w:rsidRDefault="0057104C" w:rsidP="0057104C">
      <w:pPr>
        <w:pStyle w:val="SangriaFrancesaArticulo"/>
      </w:pPr>
      <w:r w:rsidRPr="0057104C">
        <w:rPr>
          <w:rStyle w:val="TextoNormalNegritaCaracter"/>
        </w:rPr>
        <w:t>Artículo 44.4.</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44.4</w:t>
      </w:r>
      <w:r>
        <w:t xml:space="preserve"> (redactado por el Real Decreto-ley 13/2012, de 30 de marzo)</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VPI, VPII.</w:t>
      </w:r>
    </w:p>
    <w:p w:rsidR="0057104C" w:rsidRDefault="0057104C" w:rsidP="0057104C">
      <w:pPr>
        <w:pStyle w:val="SangriaFrancesaArticulo"/>
      </w:pPr>
      <w:r w:rsidRPr="0057104C">
        <w:rPr>
          <w:rStyle w:val="TextoNormalNegritaCaracter"/>
        </w:rPr>
        <w:t>Artículo 44.5.</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45.</w:t>
      </w:r>
      <w:r w:rsidRPr="0057104C">
        <w:rPr>
          <w:rStyle w:val="TextoNormalCaracter"/>
        </w:rPr>
        <w:t>-</w:t>
      </w:r>
      <w:r>
        <w:t xml:space="preserve"> Sentencia </w:t>
      </w:r>
      <w:hyperlink w:anchor="SENTENCIA_2016_32" w:history="1">
        <w:r w:rsidRPr="0057104C">
          <w:rPr>
            <w:rStyle w:val="TextoNormalCaracter"/>
          </w:rPr>
          <w:t>32/2016</w:t>
        </w:r>
      </w:hyperlink>
      <w:r>
        <w:t>, f. 11.</w:t>
      </w:r>
    </w:p>
    <w:p w:rsidR="0057104C" w:rsidRDefault="0057104C" w:rsidP="0057104C">
      <w:pPr>
        <w:pStyle w:val="SangriaFrancesaArticulo"/>
      </w:pPr>
      <w:r w:rsidRPr="0057104C">
        <w:rPr>
          <w:rStyle w:val="TextoNormalNegritaCaracter"/>
        </w:rPr>
        <w:t>Artículo 45.1</w:t>
      </w:r>
      <w:r>
        <w:t xml:space="preserve"> (redactado por la Ley 24/2013, de 26 de diciembre)</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48.</w:t>
      </w:r>
      <w:r w:rsidRPr="0057104C">
        <w:rPr>
          <w:rStyle w:val="TextoNormalCaracter"/>
        </w:rPr>
        <w:t>-</w:t>
      </w:r>
      <w:r>
        <w:t xml:space="preserve"> Sentencias </w:t>
      </w:r>
      <w:hyperlink w:anchor="SENTENCIA_2016_32" w:history="1">
        <w:r w:rsidRPr="0057104C">
          <w:rPr>
            <w:rStyle w:val="TextoNormalCaracter"/>
          </w:rPr>
          <w:t>32/2016</w:t>
        </w:r>
      </w:hyperlink>
      <w:r>
        <w:t xml:space="preserve">, f. 12; </w:t>
      </w:r>
      <w:hyperlink w:anchor="SENTENCIA_2016_60" w:history="1">
        <w:r w:rsidRPr="0057104C">
          <w:rPr>
            <w:rStyle w:val="TextoNormalCaracter"/>
          </w:rPr>
          <w:t>60/2016</w:t>
        </w:r>
      </w:hyperlink>
      <w:r>
        <w:t>, f. 7.</w:t>
      </w:r>
    </w:p>
    <w:p w:rsidR="0057104C" w:rsidRDefault="0057104C" w:rsidP="0057104C">
      <w:pPr>
        <w:pStyle w:val="SangriaFrancesaArticulo"/>
      </w:pPr>
      <w:r w:rsidRPr="0057104C">
        <w:rPr>
          <w:rStyle w:val="TextoNormalNegritaCaracter"/>
        </w:rPr>
        <w:t>Artículo 50.3.</w:t>
      </w:r>
      <w:r w:rsidRPr="0057104C">
        <w:rPr>
          <w:rStyle w:val="TextoNormalCaracter"/>
        </w:rPr>
        <w:t>-</w:t>
      </w:r>
      <w:r>
        <w:t xml:space="preserve"> Sentencias </w:t>
      </w:r>
      <w:hyperlink w:anchor="SENTENCIA_2016_32" w:history="1">
        <w:r w:rsidRPr="0057104C">
          <w:rPr>
            <w:rStyle w:val="TextoNormalCaracter"/>
          </w:rPr>
          <w:t>32/2016</w:t>
        </w:r>
      </w:hyperlink>
      <w:r>
        <w:t xml:space="preserve">, f. 13; </w:t>
      </w:r>
      <w:hyperlink w:anchor="SENTENCIA_2016_60" w:history="1">
        <w:r w:rsidRPr="0057104C">
          <w:rPr>
            <w:rStyle w:val="TextoNormalCaracter"/>
          </w:rPr>
          <w:t>60/2016</w:t>
        </w:r>
      </w:hyperlink>
      <w:r>
        <w:t>, f. 8.</w:t>
      </w:r>
    </w:p>
    <w:p w:rsidR="0057104C" w:rsidRDefault="0057104C" w:rsidP="0057104C">
      <w:pPr>
        <w:pStyle w:val="SangriaFrancesaArticulo"/>
      </w:pPr>
      <w:r w:rsidRPr="0057104C">
        <w:rPr>
          <w:rStyle w:val="TextoNormalNegritaCaracter"/>
        </w:rPr>
        <w:t>Artículo 53.2.</w:t>
      </w:r>
      <w:r w:rsidRPr="0057104C">
        <w:rPr>
          <w:rStyle w:val="TextoNormalCaracter"/>
        </w:rPr>
        <w:t>-</w:t>
      </w:r>
      <w:r>
        <w:t xml:space="preserve"> Auto </w:t>
      </w:r>
      <w:hyperlink w:anchor="AUTO_2016_63" w:history="1">
        <w:r w:rsidRPr="0057104C">
          <w:rPr>
            <w:rStyle w:val="TextoNormalCaracter"/>
          </w:rPr>
          <w:t>63/2016</w:t>
        </w:r>
      </w:hyperlink>
      <w:r>
        <w:t>, f. 1.</w:t>
      </w:r>
    </w:p>
    <w:p w:rsidR="0057104C" w:rsidRDefault="0057104C" w:rsidP="0057104C">
      <w:pPr>
        <w:pStyle w:val="SangriaFrancesaArticulo"/>
      </w:pPr>
      <w:r w:rsidRPr="0057104C">
        <w:rPr>
          <w:rStyle w:val="TextoNormalNegritaCaracter"/>
        </w:rPr>
        <w:t>Artículo 54.1.</w:t>
      </w:r>
      <w:r w:rsidRPr="0057104C">
        <w:rPr>
          <w:rStyle w:val="TextoNormalCaracter"/>
        </w:rPr>
        <w:t>-</w:t>
      </w:r>
      <w:r>
        <w:t xml:space="preserve"> Auto </w:t>
      </w:r>
      <w:hyperlink w:anchor="AUTO_2016_63" w:history="1">
        <w:r w:rsidRPr="0057104C">
          <w:rPr>
            <w:rStyle w:val="TextoNormalCaracter"/>
          </w:rPr>
          <w:t>63/2016</w:t>
        </w:r>
      </w:hyperlink>
      <w:r>
        <w:t>, f. 1.</w:t>
      </w:r>
    </w:p>
    <w:p w:rsidR="0057104C" w:rsidRDefault="0057104C" w:rsidP="0057104C">
      <w:pPr>
        <w:pStyle w:val="SangriaFrancesaArticulo"/>
      </w:pPr>
      <w:r w:rsidRPr="0057104C">
        <w:rPr>
          <w:rStyle w:val="TextoNormalNegritaCaracter"/>
        </w:rPr>
        <w:t>Disposición adicional vigesimoprimera.</w:t>
      </w:r>
      <w:r w:rsidRPr="0057104C">
        <w:rPr>
          <w:rStyle w:val="TextoNormalCaracter"/>
        </w:rPr>
        <w:t>-</w:t>
      </w:r>
      <w:r>
        <w:t xml:space="preserve"> Sentencia </w:t>
      </w:r>
      <w:hyperlink w:anchor="SENTENCIA_2016_91" w:history="1">
        <w:r w:rsidRPr="0057104C">
          <w:rPr>
            <w:rStyle w:val="TextoNormalCaracter"/>
          </w:rPr>
          <w:t>91/2016</w:t>
        </w:r>
      </w:hyperlink>
      <w:r>
        <w:t>, f. 4.</w:t>
      </w:r>
    </w:p>
    <w:p w:rsidR="0057104C" w:rsidRDefault="0057104C" w:rsidP="0057104C">
      <w:pPr>
        <w:pStyle w:val="SangriaIzquierdaArticulo"/>
      </w:pPr>
      <w:r>
        <w:t xml:space="preserve">Auto </w:t>
      </w:r>
      <w:hyperlink w:anchor="AUTO_2016_100" w:history="1">
        <w:r w:rsidRPr="0057104C">
          <w:rPr>
            <w:rStyle w:val="TextoNormalCaracter"/>
          </w:rPr>
          <w:t>100/2016</w:t>
        </w:r>
      </w:hyperlink>
      <w:r>
        <w:t>, f. 2.</w:t>
      </w:r>
    </w:p>
    <w:p w:rsidR="0057104C" w:rsidRDefault="0057104C" w:rsidP="0057104C">
      <w:pPr>
        <w:pStyle w:val="SangriaFrancesaArticulo"/>
      </w:pPr>
      <w:r w:rsidRPr="0057104C">
        <w:rPr>
          <w:rStyle w:val="TextoNormalNegritaCaracter"/>
        </w:rPr>
        <w:t>Disposición adicional vigesimoprimera, apartado 2.</w:t>
      </w:r>
      <w:r w:rsidRPr="0057104C">
        <w:rPr>
          <w:rStyle w:val="TextoNormalCaracter"/>
        </w:rPr>
        <w:t>-</w:t>
      </w:r>
      <w:r>
        <w:t xml:space="preserve"> Auto </w:t>
      </w:r>
      <w:hyperlink w:anchor="AUTO_2016_100" w:history="1">
        <w:r w:rsidRPr="0057104C">
          <w:rPr>
            <w:rStyle w:val="TextoNormalCaracter"/>
          </w:rPr>
          <w:t>100/2016</w:t>
        </w:r>
      </w:hyperlink>
      <w:r>
        <w:t>, f. 2.</w:t>
      </w:r>
    </w:p>
    <w:p w:rsidR="0057104C" w:rsidRDefault="0057104C" w:rsidP="0057104C">
      <w:pPr>
        <w:pStyle w:val="SangriaFrancesaArticulo"/>
      </w:pPr>
      <w:r w:rsidRPr="0057104C">
        <w:rPr>
          <w:rStyle w:val="TextoNormalNegritaCaracter"/>
        </w:rPr>
        <w:t>Disposición transitoria vigésima</w:t>
      </w:r>
      <w:r>
        <w:t xml:space="preserve"> (redactada por el Real Decreto-ley 13/2012, de 30 de marzo)</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VPI, VPII.</w:t>
      </w:r>
    </w:p>
    <w:p w:rsidR="0057104C" w:rsidRDefault="0057104C" w:rsidP="0057104C">
      <w:pPr>
        <w:pStyle w:val="SangriaFrancesaArticulo"/>
      </w:pPr>
    </w:p>
    <w:p w:rsidR="0057104C" w:rsidRDefault="0057104C" w:rsidP="0057104C">
      <w:pPr>
        <w:pStyle w:val="TextoNormalNegritaCursivandice"/>
      </w:pPr>
      <w:r>
        <w:t>Ley 6/1998, de 13 de abril. Régimen del suelo y valoraciones</w:t>
      </w:r>
    </w:p>
    <w:p w:rsidR="0057104C" w:rsidRDefault="0057104C" w:rsidP="0057104C">
      <w:pPr>
        <w:pStyle w:val="SangriaFrancesaArticulo"/>
      </w:pPr>
      <w:r w:rsidRPr="0057104C">
        <w:rPr>
          <w:rStyle w:val="TextoNormalNegritaCaracter"/>
        </w:rPr>
        <w:t>Artículo 6.1.</w:t>
      </w:r>
      <w:r w:rsidRPr="0057104C">
        <w:rPr>
          <w:rStyle w:val="TextoNormalCaracter"/>
        </w:rPr>
        <w:t>-</w:t>
      </w:r>
      <w:r>
        <w:t xml:space="preserve"> Sentencias </w:t>
      </w:r>
      <w:hyperlink w:anchor="SENTENCIA_2016_113" w:history="1">
        <w:r w:rsidRPr="0057104C">
          <w:rPr>
            <w:rStyle w:val="TextoNormalCaracter"/>
          </w:rPr>
          <w:t>113/2016</w:t>
        </w:r>
      </w:hyperlink>
      <w:r>
        <w:t xml:space="preserve">, f. 1; </w:t>
      </w:r>
      <w:hyperlink w:anchor="SENTENCIA_2016_115" w:history="1">
        <w:r w:rsidRPr="0057104C">
          <w:rPr>
            <w:rStyle w:val="TextoNormalCaracter"/>
          </w:rPr>
          <w:t>115/2016</w:t>
        </w:r>
      </w:hyperlink>
      <w:r>
        <w:t>, f. 1.</w:t>
      </w:r>
    </w:p>
    <w:p w:rsidR="0057104C" w:rsidRDefault="0057104C" w:rsidP="0057104C">
      <w:pPr>
        <w:pStyle w:val="SangriaFrancesaArticulo"/>
      </w:pPr>
    </w:p>
    <w:p w:rsidR="0057104C" w:rsidRDefault="0057104C" w:rsidP="0057104C">
      <w:pPr>
        <w:pStyle w:val="TextoNormalNegritaCursivandice"/>
      </w:pPr>
      <w:r>
        <w:t>Ley 11/1998, de 24 de abril. General de telecomunicaciones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 w:history="1">
        <w:r w:rsidRPr="0057104C">
          <w:rPr>
            <w:rStyle w:val="TextoNormalCaracter"/>
          </w:rPr>
          <w:t>8/2016</w:t>
        </w:r>
      </w:hyperlink>
      <w:r>
        <w:t>, f. 2.</w:t>
      </w:r>
    </w:p>
    <w:p w:rsidR="0057104C" w:rsidRDefault="0057104C" w:rsidP="0057104C">
      <w:pPr>
        <w:pStyle w:val="SangriaFrancesaArticulo"/>
      </w:pPr>
    </w:p>
    <w:p w:rsidR="0057104C" w:rsidRDefault="0057104C" w:rsidP="0057104C">
      <w:pPr>
        <w:pStyle w:val="TextoNormalNegritaCursivandice"/>
      </w:pPr>
      <w:r>
        <w:t>Ley 29/1998, de 13 de julio. Jurisdicción contencioso-administrativa</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Sentencias </w:t>
      </w:r>
      <w:hyperlink w:anchor="SENTENCIA_2016_83" w:history="1">
        <w:r w:rsidRPr="0057104C">
          <w:rPr>
            <w:rStyle w:val="TextoNormalCaracter"/>
          </w:rPr>
          <w:t>83/2016</w:t>
        </w:r>
      </w:hyperlink>
      <w:r>
        <w:t xml:space="preserve">, ff. 1, 6, 11;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Sentencias </w:t>
      </w:r>
      <w:hyperlink w:anchor="SENTENCIA_2016_35" w:history="1">
        <w:r w:rsidRPr="0057104C">
          <w:rPr>
            <w:rStyle w:val="TextoNormalCaracter"/>
          </w:rPr>
          <w:t>35/2016</w:t>
        </w:r>
      </w:hyperlink>
      <w:r>
        <w:t xml:space="preserve">, f. 2;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83" w:history="1">
        <w:r w:rsidRPr="0057104C">
          <w:rPr>
            <w:rStyle w:val="TextoNormalCaracter"/>
          </w:rPr>
          <w:t>83/2016</w:t>
        </w:r>
      </w:hyperlink>
      <w:r>
        <w:t>, ff. 1, 6.</w:t>
      </w:r>
    </w:p>
    <w:p w:rsidR="0057104C" w:rsidRDefault="0057104C" w:rsidP="0057104C">
      <w:pPr>
        <w:pStyle w:val="SangriaFrancesaArticulo"/>
      </w:pPr>
      <w:r w:rsidRPr="0057104C">
        <w:rPr>
          <w:rStyle w:val="TextoNormalNegritaCaracter"/>
        </w:rPr>
        <w:t>Artículo 3 d)</w:t>
      </w:r>
      <w:r>
        <w:t xml:space="preserve"> (redactado por la Ley Orgánica 1/2010, de 19 de febrero)</w:t>
      </w:r>
      <w:r w:rsidRPr="0057104C">
        <w:rPr>
          <w:rStyle w:val="TextoNormalNegritaCaracter"/>
        </w:rPr>
        <w:t>.</w:t>
      </w:r>
      <w:r w:rsidRPr="0057104C">
        <w:rPr>
          <w:rStyle w:val="TextoNormalCaracter"/>
        </w:rPr>
        <w:t>-</w:t>
      </w:r>
      <w:r>
        <w:t xml:space="preserve"> Sentencias </w:t>
      </w:r>
      <w:hyperlink w:anchor="SENTENCIA_2016_3" w:history="1">
        <w:r w:rsidRPr="0057104C">
          <w:rPr>
            <w:rStyle w:val="TextoNormalCaracter"/>
          </w:rPr>
          <w:t>3/2016</w:t>
        </w:r>
      </w:hyperlink>
      <w:r>
        <w:t xml:space="preserve">, f. 5; </w:t>
      </w:r>
      <w:hyperlink w:anchor="SENTENCIA_2016_118" w:history="1">
        <w:r w:rsidRPr="0057104C">
          <w:rPr>
            <w:rStyle w:val="TextoNormalCaracter"/>
          </w:rPr>
          <w:t>118/2016</w:t>
        </w:r>
      </w:hyperlink>
      <w:r>
        <w:t>, ff. 1, 3.</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83" w:history="1">
        <w:r w:rsidRPr="0057104C">
          <w:rPr>
            <w:rStyle w:val="TextoNormalCaracter"/>
          </w:rPr>
          <w:t>83/2016</w:t>
        </w:r>
      </w:hyperlink>
      <w:r>
        <w:t>, f. 3.</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83" w:history="1">
        <w:r w:rsidRPr="0057104C">
          <w:rPr>
            <w:rStyle w:val="TextoNormalCaracter"/>
          </w:rPr>
          <w:t>83/2016</w:t>
        </w:r>
      </w:hyperlink>
      <w:r>
        <w:t>, f. 3.</w:t>
      </w:r>
    </w:p>
    <w:p w:rsidR="0057104C" w:rsidRDefault="0057104C" w:rsidP="0057104C">
      <w:pPr>
        <w:pStyle w:val="SangriaFrancesaArticulo"/>
      </w:pPr>
      <w:r w:rsidRPr="0057104C">
        <w:rPr>
          <w:rStyle w:val="TextoNormalNegritaCaracter"/>
        </w:rPr>
        <w:t>Artículo 8.5.</w:t>
      </w:r>
      <w:r w:rsidRPr="0057104C">
        <w:rPr>
          <w:rStyle w:val="TextoNormalCaracter"/>
        </w:rPr>
        <w:t>-</w:t>
      </w:r>
      <w:r>
        <w:t xml:space="preserve"> Sentencia </w:t>
      </w:r>
      <w:hyperlink w:anchor="SENTENCIA_2016_58" w:history="1">
        <w:r w:rsidRPr="0057104C">
          <w:rPr>
            <w:rStyle w:val="TextoNormalCaracter"/>
          </w:rPr>
          <w:t>58/2016</w:t>
        </w:r>
      </w:hyperlink>
      <w:r>
        <w:t>, f. 5.</w:t>
      </w:r>
    </w:p>
    <w:p w:rsidR="0057104C" w:rsidRDefault="0057104C" w:rsidP="0057104C">
      <w:pPr>
        <w:pStyle w:val="SangriaFrancesaArticulo"/>
      </w:pPr>
      <w:r w:rsidRPr="0057104C">
        <w:rPr>
          <w:rStyle w:val="TextoNormalNegritaCaracter"/>
        </w:rPr>
        <w:t>Artículo 12.1 a).</w:t>
      </w:r>
      <w:r w:rsidRPr="0057104C">
        <w:rPr>
          <w:rStyle w:val="TextoNormalCaracter"/>
        </w:rPr>
        <w:t>-</w:t>
      </w:r>
      <w:r>
        <w:t xml:space="preserve"> Sentencia </w:t>
      </w:r>
      <w:hyperlink w:anchor="SENTENCIA_2016_31" w:history="1">
        <w:r w:rsidRPr="0057104C">
          <w:rPr>
            <w:rStyle w:val="TextoNormalCaracter"/>
          </w:rPr>
          <w:t>31/2016</w:t>
        </w:r>
      </w:hyperlink>
      <w:r>
        <w:t>, f. 4.</w:t>
      </w:r>
    </w:p>
    <w:p w:rsidR="0057104C" w:rsidRDefault="0057104C" w:rsidP="0057104C">
      <w:pPr>
        <w:pStyle w:val="SangriaFrancesaArticulo"/>
      </w:pPr>
      <w:r w:rsidRPr="0057104C">
        <w:rPr>
          <w:rStyle w:val="TextoNormalNegritaCaracter"/>
        </w:rPr>
        <w:t>Artículo 19.1 d).</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21.1.</w:t>
      </w:r>
      <w:r w:rsidRPr="0057104C">
        <w:rPr>
          <w:rStyle w:val="TextoNormalCaracter"/>
        </w:rPr>
        <w:t>-</w:t>
      </w:r>
      <w:r>
        <w:t xml:space="preserve"> Sentencia </w:t>
      </w:r>
      <w:hyperlink w:anchor="SENTENCIA_2016_15" w:history="1">
        <w:r w:rsidRPr="0057104C">
          <w:rPr>
            <w:rStyle w:val="TextoNormalCaracter"/>
          </w:rPr>
          <w:t>15/2016</w:t>
        </w:r>
      </w:hyperlink>
      <w:r>
        <w:t>, f. 2.</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91" w:history="1">
        <w:r w:rsidRPr="0057104C">
          <w:rPr>
            <w:rStyle w:val="TextoNormalCaracter"/>
          </w:rPr>
          <w:t>91/2016</w:t>
        </w:r>
      </w:hyperlink>
      <w:r>
        <w:t>, f. 4.</w:t>
      </w:r>
    </w:p>
    <w:p w:rsidR="0057104C" w:rsidRDefault="0057104C" w:rsidP="0057104C">
      <w:pPr>
        <w:pStyle w:val="SangriaFrancesaArticulo"/>
      </w:pPr>
      <w:r w:rsidRPr="0057104C">
        <w:rPr>
          <w:rStyle w:val="TextoNormalNegritaCaracter"/>
        </w:rPr>
        <w:t>Artículo 25.1.</w:t>
      </w:r>
      <w:r w:rsidRPr="0057104C">
        <w:rPr>
          <w:rStyle w:val="TextoNormalCaracter"/>
        </w:rPr>
        <w:t>-</w:t>
      </w:r>
      <w:r>
        <w:t xml:space="preserve"> Sentencias </w:t>
      </w:r>
      <w:hyperlink w:anchor="SENTENCIA_2016_35" w:history="1">
        <w:r w:rsidRPr="0057104C">
          <w:rPr>
            <w:rStyle w:val="TextoNormalCaracter"/>
          </w:rPr>
          <w:t>35/2016</w:t>
        </w:r>
      </w:hyperlink>
      <w:r>
        <w:t xml:space="preserve">, f. 2; </w:t>
      </w:r>
      <w:hyperlink w:anchor="SENTENCIA_2016_91" w:history="1">
        <w:r w:rsidRPr="0057104C">
          <w:rPr>
            <w:rStyle w:val="TextoNormalCaracter"/>
          </w:rPr>
          <w:t>91/2016</w:t>
        </w:r>
      </w:hyperlink>
      <w:r>
        <w:t>, ff. 1, 4, 5.</w:t>
      </w:r>
    </w:p>
    <w:p w:rsidR="0057104C" w:rsidRDefault="0057104C" w:rsidP="0057104C">
      <w:pPr>
        <w:pStyle w:val="SangriaFrancesaArticulo"/>
      </w:pPr>
      <w:r w:rsidRPr="0057104C">
        <w:rPr>
          <w:rStyle w:val="TextoNormalNegritaCaracter"/>
        </w:rPr>
        <w:t>Artículo 26.1.</w:t>
      </w:r>
      <w:r w:rsidRPr="0057104C">
        <w:rPr>
          <w:rStyle w:val="TextoNormalCaracter"/>
        </w:rPr>
        <w:t>-</w:t>
      </w:r>
      <w:r>
        <w:t xml:space="preserve"> Sentencia </w:t>
      </w:r>
      <w:hyperlink w:anchor="SENTENCIA_2016_35" w:history="1">
        <w:r w:rsidRPr="0057104C">
          <w:rPr>
            <w:rStyle w:val="TextoNormalCaracter"/>
          </w:rPr>
          <w:t>35/2016</w:t>
        </w:r>
      </w:hyperlink>
      <w:r>
        <w:t>, f. 2.</w:t>
      </w:r>
    </w:p>
    <w:p w:rsidR="0057104C" w:rsidRDefault="0057104C" w:rsidP="0057104C">
      <w:pPr>
        <w:pStyle w:val="SangriaFrancesaArticulo"/>
      </w:pPr>
      <w:r w:rsidRPr="0057104C">
        <w:rPr>
          <w:rStyle w:val="TextoNormalNegritaCaracter"/>
        </w:rPr>
        <w:t>Artículo 33.2.</w:t>
      </w:r>
      <w:r w:rsidRPr="0057104C">
        <w:rPr>
          <w:rStyle w:val="TextoNormalCaracter"/>
        </w:rPr>
        <w:t>-</w:t>
      </w:r>
      <w:r>
        <w:t xml:space="preserve"> Autos </w:t>
      </w:r>
      <w:hyperlink w:anchor="AUTO_2016_77" w:history="1">
        <w:r w:rsidRPr="0057104C">
          <w:rPr>
            <w:rStyle w:val="TextoNormalCaracter"/>
          </w:rPr>
          <w:t>77/2016</w:t>
        </w:r>
      </w:hyperlink>
      <w:r>
        <w:t xml:space="preserve">, f. 3; </w:t>
      </w:r>
      <w:hyperlink w:anchor="AUTO_2016_86" w:history="1">
        <w:r w:rsidRPr="0057104C">
          <w:rPr>
            <w:rStyle w:val="TextoNormalCaracter"/>
          </w:rPr>
          <w:t>86/2016</w:t>
        </w:r>
      </w:hyperlink>
      <w:r>
        <w:t>, f. 3.</w:t>
      </w:r>
    </w:p>
    <w:p w:rsidR="0057104C" w:rsidRDefault="0057104C" w:rsidP="0057104C">
      <w:pPr>
        <w:pStyle w:val="SangriaFrancesaArticulo"/>
      </w:pPr>
      <w:r w:rsidRPr="0057104C">
        <w:rPr>
          <w:rStyle w:val="TextoNormalNegritaCaracter"/>
        </w:rPr>
        <w:t>Artículo 49.1.</w:t>
      </w:r>
      <w:r w:rsidRPr="0057104C">
        <w:rPr>
          <w:rStyle w:val="TextoNormalCaracter"/>
        </w:rPr>
        <w:t>-</w:t>
      </w:r>
      <w:r>
        <w:t xml:space="preserve"> Sentencia </w:t>
      </w:r>
      <w:hyperlink w:anchor="SENTENCIA_2016_15" w:history="1">
        <w:r w:rsidRPr="0057104C">
          <w:rPr>
            <w:rStyle w:val="TextoNormalCaracter"/>
          </w:rPr>
          <w:t>15/2016</w:t>
        </w:r>
      </w:hyperlink>
      <w:r>
        <w:t>, f. 2.</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 </w:t>
      </w:r>
      <w:hyperlink w:anchor="SENTENCIA_2016_83" w:history="1">
        <w:r w:rsidRPr="0057104C">
          <w:rPr>
            <w:rStyle w:val="TextoNormalCaracter"/>
          </w:rPr>
          <w:t>83/2016</w:t>
        </w:r>
      </w:hyperlink>
      <w:r>
        <w:t>, f. 3.</w:t>
      </w:r>
    </w:p>
    <w:p w:rsidR="0057104C" w:rsidRDefault="0057104C" w:rsidP="0057104C">
      <w:pPr>
        <w:pStyle w:val="SangriaFrancesaArticulo"/>
      </w:pPr>
      <w:r w:rsidRPr="0057104C">
        <w:rPr>
          <w:rStyle w:val="TextoNormalNegritaCaracter"/>
        </w:rPr>
        <w:t>Artículo 51.1.</w:t>
      </w:r>
      <w:r w:rsidRPr="0057104C">
        <w:rPr>
          <w:rStyle w:val="TextoNormalCaracter"/>
        </w:rPr>
        <w:t>-</w:t>
      </w:r>
      <w:r>
        <w:t xml:space="preserve"> Sentencia </w:t>
      </w:r>
      <w:hyperlink w:anchor="SENTENCIA_2016_83" w:history="1">
        <w:r w:rsidRPr="0057104C">
          <w:rPr>
            <w:rStyle w:val="TextoNormalCaracter"/>
          </w:rPr>
          <w:t>83/2016</w:t>
        </w:r>
      </w:hyperlink>
      <w:r>
        <w:t>, f. 2.</w:t>
      </w:r>
    </w:p>
    <w:p w:rsidR="0057104C" w:rsidRDefault="0057104C" w:rsidP="0057104C">
      <w:pPr>
        <w:pStyle w:val="SangriaFrancesaArticulo"/>
      </w:pPr>
      <w:r w:rsidRPr="0057104C">
        <w:rPr>
          <w:rStyle w:val="TextoNormalNegritaCaracter"/>
        </w:rPr>
        <w:t>Artículo 51.1 a).</w:t>
      </w:r>
      <w:r w:rsidRPr="0057104C">
        <w:rPr>
          <w:rStyle w:val="TextoNormalCaracter"/>
        </w:rPr>
        <w:t>-</w:t>
      </w:r>
      <w:r>
        <w:t xml:space="preserve"> Sentencia </w:t>
      </w:r>
      <w:hyperlink w:anchor="SENTENCIA_2016_83" w:history="1">
        <w:r w:rsidRPr="0057104C">
          <w:rPr>
            <w:rStyle w:val="TextoNormalCaracter"/>
          </w:rPr>
          <w:t>83/2016</w:t>
        </w:r>
      </w:hyperlink>
      <w:r>
        <w:t>, f. 3.</w:t>
      </w:r>
    </w:p>
    <w:p w:rsidR="0057104C" w:rsidRDefault="0057104C" w:rsidP="0057104C">
      <w:pPr>
        <w:pStyle w:val="SangriaFrancesaArticulo"/>
      </w:pPr>
      <w:r w:rsidRPr="0057104C">
        <w:rPr>
          <w:rStyle w:val="TextoNormalNegritaCaracter"/>
        </w:rPr>
        <w:t>Artículo 63.1.</w:t>
      </w:r>
      <w:r w:rsidRPr="0057104C">
        <w:rPr>
          <w:rStyle w:val="TextoNormalCaracter"/>
        </w:rPr>
        <w:t>-</w:t>
      </w:r>
      <w:r>
        <w:t xml:space="preserve"> Sentencia </w:t>
      </w:r>
      <w:hyperlink w:anchor="SENTENCIA_2016_103" w:history="1">
        <w:r w:rsidRPr="0057104C">
          <w:rPr>
            <w:rStyle w:val="TextoNormalCaracter"/>
          </w:rPr>
          <w:t>103/2016</w:t>
        </w:r>
      </w:hyperlink>
      <w:r>
        <w:t>, f. 5.</w:t>
      </w:r>
    </w:p>
    <w:p w:rsidR="0057104C" w:rsidRDefault="0057104C" w:rsidP="0057104C">
      <w:pPr>
        <w:pStyle w:val="SangriaFrancesaArticulo"/>
      </w:pPr>
      <w:r w:rsidRPr="0057104C">
        <w:rPr>
          <w:rStyle w:val="TextoNormalNegritaCaracter"/>
        </w:rPr>
        <w:t>Artículo 69.</w:t>
      </w:r>
      <w:r w:rsidRPr="0057104C">
        <w:rPr>
          <w:rStyle w:val="TextoNormalCaracter"/>
        </w:rPr>
        <w:t>-</w:t>
      </w:r>
      <w:r>
        <w:t xml:space="preserve"> Sentencia </w:t>
      </w:r>
      <w:hyperlink w:anchor="SENTENCIA_2016_83" w:history="1">
        <w:r w:rsidRPr="0057104C">
          <w:rPr>
            <w:rStyle w:val="TextoNormalCaracter"/>
          </w:rPr>
          <w:t>83/2016</w:t>
        </w:r>
      </w:hyperlink>
      <w:r>
        <w:t>, f. 2.</w:t>
      </w:r>
    </w:p>
    <w:p w:rsidR="0057104C" w:rsidRDefault="0057104C" w:rsidP="0057104C">
      <w:pPr>
        <w:pStyle w:val="SangriaFrancesaArticulo"/>
      </w:pPr>
      <w:r w:rsidRPr="0057104C">
        <w:rPr>
          <w:rStyle w:val="TextoNormalNegritaCaracter"/>
        </w:rPr>
        <w:t>Artículo 69 c).</w:t>
      </w:r>
      <w:r w:rsidRPr="0057104C">
        <w:rPr>
          <w:rStyle w:val="TextoNormalCaracter"/>
        </w:rPr>
        <w:t>-</w:t>
      </w:r>
      <w:r>
        <w:t xml:space="preserve"> Sentencia </w:t>
      </w:r>
      <w:hyperlink w:anchor="SENTENCIA_2016_91" w:history="1">
        <w:r w:rsidRPr="0057104C">
          <w:rPr>
            <w:rStyle w:val="TextoNormalCaracter"/>
          </w:rPr>
          <w:t>91/2016</w:t>
        </w:r>
      </w:hyperlink>
      <w:r>
        <w:t>, ff. 1, 4.</w:t>
      </w:r>
    </w:p>
    <w:p w:rsidR="0057104C" w:rsidRDefault="0057104C" w:rsidP="0057104C">
      <w:pPr>
        <w:pStyle w:val="SangriaFrancesaArticulo"/>
      </w:pPr>
      <w:r w:rsidRPr="0057104C">
        <w:rPr>
          <w:rStyle w:val="TextoNormalNegritaCaracter"/>
        </w:rPr>
        <w:t>Artículo 70.2.</w:t>
      </w:r>
      <w:r w:rsidRPr="0057104C">
        <w:rPr>
          <w:rStyle w:val="TextoNormalCaracter"/>
        </w:rPr>
        <w:t>-</w:t>
      </w:r>
      <w:r>
        <w:t xml:space="preserve"> Sentencia </w:t>
      </w:r>
      <w:hyperlink w:anchor="SENTENCIA_2016_9" w:history="1">
        <w:r w:rsidRPr="0057104C">
          <w:rPr>
            <w:rStyle w:val="TextoNormalCaracter"/>
          </w:rPr>
          <w:t>9/2016</w:t>
        </w:r>
      </w:hyperlink>
      <w:r>
        <w:t>, f. 2.</w:t>
      </w:r>
    </w:p>
    <w:p w:rsidR="0057104C" w:rsidRDefault="0057104C" w:rsidP="0057104C">
      <w:pPr>
        <w:pStyle w:val="SangriaFrancesaArticulo"/>
      </w:pPr>
      <w:r w:rsidRPr="0057104C">
        <w:rPr>
          <w:rStyle w:val="TextoNormalNegritaCaracter"/>
        </w:rPr>
        <w:t>Artículo 72.2.</w:t>
      </w:r>
      <w:r w:rsidRPr="0057104C">
        <w:rPr>
          <w:rStyle w:val="TextoNormalCaracter"/>
        </w:rPr>
        <w:t>-</w:t>
      </w:r>
      <w:r>
        <w:t xml:space="preserve"> Sentencias </w:t>
      </w:r>
      <w:hyperlink w:anchor="SENTENCIA_2016_3" w:history="1">
        <w:r w:rsidRPr="0057104C">
          <w:rPr>
            <w:rStyle w:val="TextoNormalCaracter"/>
          </w:rPr>
          <w:t>3/2016</w:t>
        </w:r>
      </w:hyperlink>
      <w:r>
        <w:t xml:space="preserve">, f. 2; </w:t>
      </w:r>
      <w:hyperlink w:anchor="SENTENCIA_2016_113" w:history="1">
        <w:r w:rsidRPr="0057104C">
          <w:rPr>
            <w:rStyle w:val="TextoNormalCaracter"/>
          </w:rPr>
          <w:t>113/2016</w:t>
        </w:r>
      </w:hyperlink>
      <w:r>
        <w:t xml:space="preserve">, f. 1; </w:t>
      </w:r>
      <w:hyperlink w:anchor="SENTENCIA_2016_114" w:history="1">
        <w:r w:rsidRPr="0057104C">
          <w:rPr>
            <w:rStyle w:val="TextoNormalCaracter"/>
          </w:rPr>
          <w:t>114/2016</w:t>
        </w:r>
      </w:hyperlink>
      <w:r>
        <w:t xml:space="preserve">, f. 2; </w:t>
      </w:r>
      <w:hyperlink w:anchor="SENTENCIA_2016_115" w:history="1">
        <w:r w:rsidRPr="0057104C">
          <w:rPr>
            <w:rStyle w:val="TextoNormalCaracter"/>
          </w:rPr>
          <w:t>115/2016</w:t>
        </w:r>
      </w:hyperlink>
      <w:r>
        <w:t>, f. 2.</w:t>
      </w:r>
    </w:p>
    <w:p w:rsidR="0057104C" w:rsidRDefault="0057104C" w:rsidP="0057104C">
      <w:pPr>
        <w:pStyle w:val="SangriaFrancesaArticulo"/>
      </w:pPr>
      <w:r w:rsidRPr="0057104C">
        <w:rPr>
          <w:rStyle w:val="TextoNormalNegritaCaracter"/>
        </w:rPr>
        <w:t>Artículo 73.</w:t>
      </w:r>
      <w:r w:rsidRPr="0057104C">
        <w:rPr>
          <w:rStyle w:val="TextoNormalCaracter"/>
        </w:rPr>
        <w:t>-</w:t>
      </w:r>
      <w:r>
        <w:t xml:space="preserve"> Sentencia </w:t>
      </w:r>
      <w:hyperlink w:anchor="SENTENCIA_2016_3" w:history="1">
        <w:r w:rsidRPr="0057104C">
          <w:rPr>
            <w:rStyle w:val="TextoNormalCaracter"/>
          </w:rPr>
          <w:t>3/2016</w:t>
        </w:r>
      </w:hyperlink>
      <w:r>
        <w:t>, f. 2.</w:t>
      </w:r>
    </w:p>
    <w:p w:rsidR="0057104C" w:rsidRDefault="0057104C" w:rsidP="0057104C">
      <w:pPr>
        <w:pStyle w:val="SangriaFrancesaArticulo"/>
      </w:pPr>
      <w:r w:rsidRPr="0057104C">
        <w:rPr>
          <w:rStyle w:val="TextoNormalNegritaCaracter"/>
        </w:rPr>
        <w:t>Artículo 78.</w:t>
      </w:r>
      <w:r w:rsidRPr="0057104C">
        <w:rPr>
          <w:rStyle w:val="TextoNormalCaracter"/>
        </w:rPr>
        <w:t>-</w:t>
      </w:r>
      <w:r>
        <w:t xml:space="preserve"> Sentencias </w:t>
      </w:r>
      <w:hyperlink w:anchor="SENTENCIA_2016_58" w:history="1">
        <w:r w:rsidRPr="0057104C">
          <w:rPr>
            <w:rStyle w:val="TextoNormalCaracter"/>
          </w:rPr>
          <w:t>58/2016</w:t>
        </w:r>
      </w:hyperlink>
      <w:r>
        <w:t xml:space="preserve">, f. 5; </w:t>
      </w:r>
      <w:hyperlink w:anchor="SENTENCIA_2016_63" w:history="1">
        <w:r w:rsidRPr="0057104C">
          <w:rPr>
            <w:rStyle w:val="TextoNormalCaracter"/>
          </w:rPr>
          <w:t>63/2016</w:t>
        </w:r>
      </w:hyperlink>
      <w:r>
        <w:t xml:space="preserve">, f. 6; </w:t>
      </w:r>
      <w:hyperlink w:anchor="SENTENCIA_2016_75" w:history="1">
        <w:r w:rsidRPr="0057104C">
          <w:rPr>
            <w:rStyle w:val="TextoNormalCaracter"/>
          </w:rPr>
          <w:t>75/2016</w:t>
        </w:r>
      </w:hyperlink>
      <w:r>
        <w:t xml:space="preserve">, f. 6; </w:t>
      </w:r>
      <w:hyperlink w:anchor="SENTENCIA_2016_76" w:history="1">
        <w:r w:rsidRPr="0057104C">
          <w:rPr>
            <w:rStyle w:val="TextoNormalCaracter"/>
          </w:rPr>
          <w:t>76/2016</w:t>
        </w:r>
      </w:hyperlink>
      <w:r>
        <w:t xml:space="preserve">, f. 1; </w:t>
      </w:r>
      <w:hyperlink w:anchor="SENTENCIA_2016_77" w:history="1">
        <w:r w:rsidRPr="0057104C">
          <w:rPr>
            <w:rStyle w:val="TextoNormalCaracter"/>
          </w:rPr>
          <w:t>77/2016</w:t>
        </w:r>
      </w:hyperlink>
      <w:r>
        <w:t xml:space="preserve">, f. 6; </w:t>
      </w:r>
      <w:hyperlink w:anchor="SENTENCIA_2016_89" w:history="1">
        <w:r w:rsidRPr="0057104C">
          <w:rPr>
            <w:rStyle w:val="TextoNormalCaracter"/>
          </w:rPr>
          <w:t>89/2016</w:t>
        </w:r>
      </w:hyperlink>
      <w:r>
        <w:t xml:space="preserve">, ff. 5, 6; </w:t>
      </w:r>
      <w:hyperlink w:anchor="SENTENCIA_2016_103" w:history="1">
        <w:r w:rsidRPr="0057104C">
          <w:rPr>
            <w:rStyle w:val="TextoNormalCaracter"/>
          </w:rPr>
          <w:t>103/2016</w:t>
        </w:r>
      </w:hyperlink>
      <w:r>
        <w:t>, f. 6.</w:t>
      </w:r>
    </w:p>
    <w:p w:rsidR="0057104C" w:rsidRDefault="0057104C" w:rsidP="0057104C">
      <w:pPr>
        <w:pStyle w:val="SangriaFrancesaArticulo"/>
      </w:pPr>
      <w:r w:rsidRPr="0057104C">
        <w:rPr>
          <w:rStyle w:val="TextoNormalNegritaCaracter"/>
        </w:rPr>
        <w:t>Artículo 78.3.</w:t>
      </w:r>
      <w:r w:rsidRPr="0057104C">
        <w:rPr>
          <w:rStyle w:val="TextoNormalCaracter"/>
        </w:rPr>
        <w:t>-</w:t>
      </w:r>
      <w:r>
        <w:t xml:space="preserve"> Sentencias </w:t>
      </w:r>
      <w:hyperlink w:anchor="SENTENCIA_2016_76" w:history="1">
        <w:r w:rsidRPr="0057104C">
          <w:rPr>
            <w:rStyle w:val="TextoNormalCaracter"/>
          </w:rPr>
          <w:t>76/2016</w:t>
        </w:r>
      </w:hyperlink>
      <w:r>
        <w:t xml:space="preserve">, ff. 1, 3; </w:t>
      </w:r>
      <w:hyperlink w:anchor="SENTENCIA_2016_103" w:history="1">
        <w:r w:rsidRPr="0057104C">
          <w:rPr>
            <w:rStyle w:val="TextoNormalCaracter"/>
          </w:rPr>
          <w:t>103/2016</w:t>
        </w:r>
      </w:hyperlink>
      <w:r>
        <w:t>, f. 6.</w:t>
      </w:r>
    </w:p>
    <w:p w:rsidR="0057104C" w:rsidRDefault="0057104C" w:rsidP="0057104C">
      <w:pPr>
        <w:pStyle w:val="SangriaFrancesaArticulo"/>
      </w:pPr>
      <w:r w:rsidRPr="0057104C">
        <w:rPr>
          <w:rStyle w:val="TextoNormalNegritaCaracter"/>
        </w:rPr>
        <w:t>Artículo 78.3</w:t>
      </w:r>
      <w:r>
        <w:t xml:space="preserve"> (redactado por la Ley 13/2009, de 3 de noviembre)</w:t>
      </w:r>
      <w:r w:rsidRPr="0057104C">
        <w:rPr>
          <w:rStyle w:val="TextoNormalNegritaCaracter"/>
        </w:rPr>
        <w:t>.</w:t>
      </w:r>
      <w:r w:rsidRPr="0057104C">
        <w:rPr>
          <w:rStyle w:val="TextoNormalCaracter"/>
        </w:rPr>
        <w:t>-</w:t>
      </w:r>
      <w:r>
        <w:t xml:space="preserve"> Sentencia </w:t>
      </w:r>
      <w:hyperlink w:anchor="SENTENCIA_2016_58" w:history="1">
        <w:r w:rsidRPr="0057104C">
          <w:rPr>
            <w:rStyle w:val="TextoNormalCaracter"/>
          </w:rPr>
          <w:t>58/2016</w:t>
        </w:r>
      </w:hyperlink>
      <w:r>
        <w:t>, ff. 3, 5.</w:t>
      </w:r>
    </w:p>
    <w:p w:rsidR="0057104C" w:rsidRDefault="0057104C" w:rsidP="0057104C">
      <w:pPr>
        <w:pStyle w:val="SangriaFrancesaArticulo"/>
      </w:pPr>
      <w:r w:rsidRPr="0057104C">
        <w:rPr>
          <w:rStyle w:val="TextoNormalNegritaCaracter"/>
        </w:rPr>
        <w:t>Artículo 81.1.</w:t>
      </w:r>
      <w:r w:rsidRPr="0057104C">
        <w:rPr>
          <w:rStyle w:val="TextoNormalCaracter"/>
        </w:rPr>
        <w:t>-</w:t>
      </w:r>
      <w:r>
        <w:t xml:space="preserve"> Sentencia </w:t>
      </w:r>
      <w:hyperlink w:anchor="SENTENCIA_2016_58" w:history="1">
        <w:r w:rsidRPr="0057104C">
          <w:rPr>
            <w:rStyle w:val="TextoNormalCaracter"/>
          </w:rPr>
          <w:t>58/2016</w:t>
        </w:r>
      </w:hyperlink>
      <w:r>
        <w:t>, f. 5.</w:t>
      </w:r>
    </w:p>
    <w:p w:rsidR="0057104C" w:rsidRDefault="0057104C" w:rsidP="0057104C">
      <w:pPr>
        <w:pStyle w:val="SangriaFrancesaArticulo"/>
      </w:pPr>
      <w:r w:rsidRPr="0057104C">
        <w:rPr>
          <w:rStyle w:val="TextoNormalNegritaCaracter"/>
        </w:rPr>
        <w:t>Artículo 81.2.</w:t>
      </w:r>
      <w:r w:rsidRPr="0057104C">
        <w:rPr>
          <w:rStyle w:val="TextoNormalCaracter"/>
        </w:rPr>
        <w:t>-</w:t>
      </w:r>
      <w:r>
        <w:t xml:space="preserve"> Sentencia </w:t>
      </w:r>
      <w:hyperlink w:anchor="SENTENCIA_2016_58" w:history="1">
        <w:r w:rsidRPr="0057104C">
          <w:rPr>
            <w:rStyle w:val="TextoNormalCaracter"/>
          </w:rPr>
          <w:t>58/2016</w:t>
        </w:r>
      </w:hyperlink>
      <w:r>
        <w:t>, f. 5.</w:t>
      </w:r>
    </w:p>
    <w:p w:rsidR="0057104C" w:rsidRDefault="0057104C" w:rsidP="0057104C">
      <w:pPr>
        <w:pStyle w:val="SangriaFrancesaArticulo"/>
      </w:pPr>
      <w:r w:rsidRPr="0057104C">
        <w:rPr>
          <w:rStyle w:val="TextoNormalNegritaCaracter"/>
        </w:rPr>
        <w:t>Artículo 82.</w:t>
      </w:r>
      <w:r w:rsidRPr="0057104C">
        <w:rPr>
          <w:rStyle w:val="TextoNormalCaracter"/>
        </w:rPr>
        <w:t>-</w:t>
      </w:r>
      <w:r>
        <w:t xml:space="preserve"> Sentencia </w:t>
      </w:r>
      <w:hyperlink w:anchor="SENTENCIA_2016_15" w:history="1">
        <w:r w:rsidRPr="0057104C">
          <w:rPr>
            <w:rStyle w:val="TextoNormalCaracter"/>
          </w:rPr>
          <w:t>15/2016</w:t>
        </w:r>
      </w:hyperlink>
      <w:r>
        <w:t>, f. 2.</w:t>
      </w:r>
    </w:p>
    <w:p w:rsidR="0057104C" w:rsidRDefault="0057104C" w:rsidP="0057104C">
      <w:pPr>
        <w:pStyle w:val="SangriaFrancesaArticulo"/>
      </w:pPr>
      <w:r w:rsidRPr="0057104C">
        <w:rPr>
          <w:rStyle w:val="TextoNormalNegritaCaracter"/>
        </w:rPr>
        <w:t>Artículo 86.</w:t>
      </w:r>
      <w:r w:rsidRPr="0057104C">
        <w:rPr>
          <w:rStyle w:val="TextoNormalCaracter"/>
        </w:rPr>
        <w:t>-</w:t>
      </w:r>
      <w:r>
        <w:t xml:space="preserve"> Sentencia </w:t>
      </w:r>
      <w:hyperlink w:anchor="SENTENCIA_2016_58" w:history="1">
        <w:r w:rsidRPr="0057104C">
          <w:rPr>
            <w:rStyle w:val="TextoNormalCaracter"/>
          </w:rPr>
          <w:t>58/2016</w:t>
        </w:r>
      </w:hyperlink>
      <w:r>
        <w:t>, f. 5.</w:t>
      </w:r>
    </w:p>
    <w:p w:rsidR="0057104C" w:rsidRDefault="0057104C" w:rsidP="0057104C">
      <w:pPr>
        <w:pStyle w:val="SangriaFrancesaArticulo"/>
      </w:pPr>
      <w:r w:rsidRPr="0057104C">
        <w:rPr>
          <w:rStyle w:val="TextoNormalNegritaCaracter"/>
        </w:rPr>
        <w:t>Artículo 96.</w:t>
      </w:r>
      <w:r w:rsidRPr="0057104C">
        <w:rPr>
          <w:rStyle w:val="TextoNormalCaracter"/>
        </w:rPr>
        <w:t>-</w:t>
      </w:r>
      <w:r>
        <w:t xml:space="preserve"> Sentencia </w:t>
      </w:r>
      <w:hyperlink w:anchor="SENTENCIA_2016_58" w:history="1">
        <w:r w:rsidRPr="0057104C">
          <w:rPr>
            <w:rStyle w:val="TextoNormalCaracter"/>
          </w:rPr>
          <w:t>58/2016</w:t>
        </w:r>
      </w:hyperlink>
      <w:r>
        <w:t>, f. 5.</w:t>
      </w:r>
    </w:p>
    <w:p w:rsidR="0057104C" w:rsidRDefault="0057104C" w:rsidP="0057104C">
      <w:pPr>
        <w:pStyle w:val="SangriaFrancesaArticulo"/>
      </w:pPr>
      <w:r w:rsidRPr="0057104C">
        <w:rPr>
          <w:rStyle w:val="TextoNormalNegritaCaracter"/>
        </w:rPr>
        <w:t>Artículo 102 bis, apartado 2.</w:t>
      </w:r>
      <w:r w:rsidRPr="0057104C">
        <w:rPr>
          <w:rStyle w:val="TextoNormalCaracter"/>
        </w:rPr>
        <w:t>-</w:t>
      </w:r>
      <w:r>
        <w:t xml:space="preserve"> Sentencias </w:t>
      </w:r>
      <w:hyperlink w:anchor="SENTENCIA_2016_63" w:history="1">
        <w:r w:rsidRPr="0057104C">
          <w:rPr>
            <w:rStyle w:val="TextoNormalCaracter"/>
          </w:rPr>
          <w:t>63/2016</w:t>
        </w:r>
      </w:hyperlink>
      <w:r>
        <w:t xml:space="preserve">, ff. 2, 3; </w:t>
      </w:r>
      <w:hyperlink w:anchor="SENTENCIA_2016_76" w:history="1">
        <w:r w:rsidRPr="0057104C">
          <w:rPr>
            <w:rStyle w:val="TextoNormalCaracter"/>
          </w:rPr>
          <w:t>76/2016</w:t>
        </w:r>
      </w:hyperlink>
      <w:r>
        <w:t xml:space="preserve">, ff. 2, 3; </w:t>
      </w:r>
      <w:hyperlink w:anchor="SENTENCIA_2016_77" w:history="1">
        <w:r w:rsidRPr="0057104C">
          <w:rPr>
            <w:rStyle w:val="TextoNormalCaracter"/>
          </w:rPr>
          <w:t>77/2016</w:t>
        </w:r>
      </w:hyperlink>
      <w:r>
        <w:t>, ff. 2, 3.</w:t>
      </w:r>
    </w:p>
    <w:p w:rsidR="0057104C" w:rsidRDefault="0057104C" w:rsidP="0057104C">
      <w:pPr>
        <w:pStyle w:val="SangriaFrancesaArticulo"/>
      </w:pPr>
      <w:r w:rsidRPr="0057104C">
        <w:rPr>
          <w:rStyle w:val="TextoNormalNegritaCaracter"/>
        </w:rPr>
        <w:t>Artículo 102 bis, apartado 2</w:t>
      </w:r>
      <w:r>
        <w:t xml:space="preserve"> (redactado por la Ley 13/2009, de 3 de noviembre)</w:t>
      </w:r>
      <w:r w:rsidRPr="0057104C">
        <w:rPr>
          <w:rStyle w:val="TextoNormalNegritaCaracter"/>
        </w:rPr>
        <w:t>.</w:t>
      </w:r>
      <w:r w:rsidRPr="0057104C">
        <w:rPr>
          <w:rStyle w:val="TextoNormalCaracter"/>
        </w:rPr>
        <w:t>-</w:t>
      </w:r>
      <w:r>
        <w:t xml:space="preserve"> Sentencias </w:t>
      </w:r>
      <w:hyperlink w:anchor="SENTENCIA_2016_58" w:history="1">
        <w:r w:rsidRPr="0057104C">
          <w:rPr>
            <w:rStyle w:val="TextoNormalCaracter"/>
          </w:rPr>
          <w:t>58/2016</w:t>
        </w:r>
      </w:hyperlink>
      <w:r>
        <w:t xml:space="preserve">, ff. 1 a 4, 7; </w:t>
      </w:r>
      <w:hyperlink w:anchor="SENTENCIA_2016_75" w:history="1">
        <w:r w:rsidRPr="0057104C">
          <w:rPr>
            <w:rStyle w:val="TextoNormalCaracter"/>
          </w:rPr>
          <w:t>75/2016</w:t>
        </w:r>
      </w:hyperlink>
      <w:r>
        <w:t xml:space="preserve">, ff. 2, 3; </w:t>
      </w:r>
      <w:hyperlink w:anchor="SENTENCIA_2016_77" w:history="1">
        <w:r w:rsidRPr="0057104C">
          <w:rPr>
            <w:rStyle w:val="TextoNormalCaracter"/>
          </w:rPr>
          <w:t>77/2016</w:t>
        </w:r>
      </w:hyperlink>
      <w:r>
        <w:t xml:space="preserve">, f. 3; </w:t>
      </w:r>
      <w:hyperlink w:anchor="SENTENCIA_2016_89" w:history="1">
        <w:r w:rsidRPr="0057104C">
          <w:rPr>
            <w:rStyle w:val="TextoNormalCaracter"/>
          </w:rPr>
          <w:t>89/2016</w:t>
        </w:r>
      </w:hyperlink>
      <w:r>
        <w:t xml:space="preserve">, ff. 2, 3; </w:t>
      </w:r>
      <w:hyperlink w:anchor="SENTENCIA_2016_103" w:history="1">
        <w:r w:rsidRPr="0057104C">
          <w:rPr>
            <w:rStyle w:val="TextoNormalCaracter"/>
          </w:rPr>
          <w:t>103/2016</w:t>
        </w:r>
      </w:hyperlink>
      <w:r>
        <w:t>, ff. 1 a 3.</w:t>
      </w:r>
    </w:p>
    <w:p w:rsidR="0057104C" w:rsidRDefault="0057104C" w:rsidP="0057104C">
      <w:pPr>
        <w:pStyle w:val="SangriaFrancesaArticulo"/>
      </w:pPr>
      <w:r w:rsidRPr="0057104C">
        <w:rPr>
          <w:rStyle w:val="TextoNormalNegritaCaracter"/>
        </w:rPr>
        <w:t>Artículo 102 bis, apartado 2 párrafo 1</w:t>
      </w:r>
      <w:r>
        <w:t xml:space="preserve"> (redactado por la Ley 13/2009, de 3 de noviembre)</w:t>
      </w:r>
      <w:r w:rsidRPr="0057104C">
        <w:rPr>
          <w:rStyle w:val="TextoNormalNegritaCaracter"/>
        </w:rPr>
        <w:t>.</w:t>
      </w:r>
      <w:r w:rsidRPr="0057104C">
        <w:rPr>
          <w:rStyle w:val="TextoNormalCaracter"/>
        </w:rPr>
        <w:t>-</w:t>
      </w:r>
      <w:r>
        <w:t xml:space="preserve"> Sentencias </w:t>
      </w:r>
      <w:hyperlink w:anchor="SENTENCIA_2016_58" w:history="1">
        <w:r w:rsidRPr="0057104C">
          <w:rPr>
            <w:rStyle w:val="TextoNormalCaracter"/>
          </w:rPr>
          <w:t>58/2016</w:t>
        </w:r>
      </w:hyperlink>
      <w:r>
        <w:t xml:space="preserve">, ff. 3 a 5, 7; </w:t>
      </w:r>
      <w:hyperlink w:anchor="SENTENCIA_2016_89" w:history="1">
        <w:r w:rsidRPr="0057104C">
          <w:rPr>
            <w:rStyle w:val="TextoNormalCaracter"/>
          </w:rPr>
          <w:t>89/2016</w:t>
        </w:r>
      </w:hyperlink>
      <w:r>
        <w:t>, f. 3.</w:t>
      </w:r>
    </w:p>
    <w:p w:rsidR="0057104C" w:rsidRDefault="0057104C" w:rsidP="0057104C">
      <w:pPr>
        <w:pStyle w:val="SangriaFrancesaArticulo"/>
      </w:pPr>
      <w:r w:rsidRPr="0057104C">
        <w:rPr>
          <w:rStyle w:val="TextoNormalNegritaCaracter"/>
        </w:rPr>
        <w:t>Artículo 114.</w:t>
      </w:r>
      <w:r w:rsidRPr="0057104C">
        <w:rPr>
          <w:rStyle w:val="TextoNormalCaracter"/>
        </w:rPr>
        <w:t>-</w:t>
      </w:r>
      <w:r>
        <w:t xml:space="preserve"> Sentencia </w:t>
      </w:r>
      <w:hyperlink w:anchor="SENTENCIA_2016_91" w:history="1">
        <w:r w:rsidRPr="0057104C">
          <w:rPr>
            <w:rStyle w:val="TextoNormalCaracter"/>
          </w:rPr>
          <w:t>91/2016</w:t>
        </w:r>
      </w:hyperlink>
      <w:r>
        <w:t>, f. 5.</w:t>
      </w:r>
    </w:p>
    <w:p w:rsidR="0057104C" w:rsidRDefault="0057104C" w:rsidP="0057104C">
      <w:pPr>
        <w:pStyle w:val="SangriaFrancesaArticulo"/>
      </w:pPr>
    </w:p>
    <w:p w:rsidR="0057104C" w:rsidRDefault="0057104C" w:rsidP="0057104C">
      <w:pPr>
        <w:pStyle w:val="TextoNormalNegritaCursivandice"/>
      </w:pPr>
      <w:r>
        <w:t>Ley 34/1998, de 7 de octubre. Sector de hidrocarburos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62" w:history="1">
        <w:r w:rsidRPr="0057104C">
          <w:rPr>
            <w:rStyle w:val="TextoNormalCaracter"/>
          </w:rPr>
          <w:t>62/2016</w:t>
        </w:r>
      </w:hyperlink>
      <w:r>
        <w:t xml:space="preserve">, VPI, VPII; </w:t>
      </w:r>
      <w:hyperlink w:anchor="SENTENCIA_2016_73" w:history="1">
        <w:r w:rsidRPr="0057104C">
          <w:rPr>
            <w:rStyle w:val="TextoNormalCaracter"/>
          </w:rPr>
          <w:t>73/2016</w:t>
        </w:r>
      </w:hyperlink>
      <w:r>
        <w:t>, ff. 7, 9.</w:t>
      </w:r>
    </w:p>
    <w:p w:rsidR="0057104C" w:rsidRDefault="0057104C" w:rsidP="0057104C">
      <w:pPr>
        <w:pStyle w:val="SangriaFrancesaArticulo"/>
      </w:pPr>
      <w:r w:rsidRPr="0057104C">
        <w:rPr>
          <w:rStyle w:val="TextoNormalNegritaCaracter"/>
        </w:rPr>
        <w:t>Título II.</w:t>
      </w:r>
      <w:r w:rsidRPr="0057104C">
        <w:rPr>
          <w:rStyle w:val="TextoNormalCaracter"/>
        </w:rPr>
        <w:t>-</w:t>
      </w:r>
      <w:r>
        <w:t xml:space="preserve"> Sentencia </w:t>
      </w:r>
      <w:hyperlink w:anchor="SENTENCIA_2016_73" w:history="1">
        <w:r w:rsidRPr="0057104C">
          <w:rPr>
            <w:rStyle w:val="TextoNormalCaracter"/>
          </w:rPr>
          <w:t>73/2016</w:t>
        </w:r>
      </w:hyperlink>
      <w:r>
        <w:t>, f. 7.</w:t>
      </w:r>
    </w:p>
    <w:p w:rsidR="0057104C" w:rsidRDefault="0057104C" w:rsidP="0057104C">
      <w:pPr>
        <w:pStyle w:val="SangriaFrancesaArticulo"/>
      </w:pPr>
      <w:r w:rsidRPr="0057104C">
        <w:rPr>
          <w:rStyle w:val="TextoNormalNegritaCaracter"/>
        </w:rPr>
        <w:t>Título II, capítulo II, sección primera.</w:t>
      </w:r>
      <w:r w:rsidRPr="0057104C">
        <w:rPr>
          <w:rStyle w:val="TextoNormalCaracter"/>
        </w:rPr>
        <w:t>-</w:t>
      </w:r>
      <w:r>
        <w:t xml:space="preserve"> Sentencia </w:t>
      </w:r>
      <w:hyperlink w:anchor="SENTENCIA_2016_73" w:history="1">
        <w:r w:rsidRPr="0057104C">
          <w:rPr>
            <w:rStyle w:val="TextoNormalCaracter"/>
          </w:rPr>
          <w:t>73/2016</w:t>
        </w:r>
      </w:hyperlink>
      <w:r>
        <w:t>, f. 7.</w:t>
      </w:r>
    </w:p>
    <w:p w:rsidR="0057104C" w:rsidRDefault="0057104C" w:rsidP="0057104C">
      <w:pPr>
        <w:pStyle w:val="SangriaFrancesaArticulo"/>
      </w:pPr>
      <w:r w:rsidRPr="0057104C">
        <w:rPr>
          <w:rStyle w:val="TextoNormalNegritaCaracter"/>
        </w:rPr>
        <w:t>Artículo 9.5.</w:t>
      </w:r>
      <w:r w:rsidRPr="0057104C">
        <w:rPr>
          <w:rStyle w:val="TextoNormalCaracter"/>
        </w:rPr>
        <w:t>-</w:t>
      </w:r>
      <w:r>
        <w:t xml:space="preserve"> Sentencia </w:t>
      </w:r>
      <w:hyperlink w:anchor="SENTENCIA_2016_73" w:history="1">
        <w:r w:rsidRPr="0057104C">
          <w:rPr>
            <w:rStyle w:val="TextoNormalCaracter"/>
          </w:rPr>
          <w:t>73/2016</w:t>
        </w:r>
      </w:hyperlink>
      <w:r>
        <w:t>, f. 8, VP II.</w:t>
      </w:r>
    </w:p>
    <w:p w:rsidR="0057104C" w:rsidRDefault="0057104C" w:rsidP="0057104C">
      <w:pPr>
        <w:pStyle w:val="SangriaFrancesaArticulo"/>
      </w:pPr>
      <w:r w:rsidRPr="0057104C">
        <w:rPr>
          <w:rStyle w:val="TextoNormalNegritaCaracter"/>
        </w:rPr>
        <w:t>Artículo 9.5</w:t>
      </w:r>
      <w:r>
        <w:t xml:space="preserve"> (redactado por la Ley 17/2013, de 29 de octubre)</w:t>
      </w:r>
      <w:r w:rsidRPr="0057104C">
        <w:rPr>
          <w:rStyle w:val="TextoNormalNegritaCaracter"/>
        </w:rPr>
        <w:t>.</w:t>
      </w:r>
      <w:r w:rsidRPr="0057104C">
        <w:rPr>
          <w:rStyle w:val="TextoNormalCaracter"/>
        </w:rPr>
        <w:t>-</w:t>
      </w:r>
      <w:r>
        <w:t xml:space="preserve"> Sentencia </w:t>
      </w:r>
      <w:hyperlink w:anchor="SENTENCIA_2016_73" w:history="1">
        <w:r w:rsidRPr="0057104C">
          <w:rPr>
            <w:rStyle w:val="TextoNormalCaracter"/>
          </w:rPr>
          <w:t>73/2016</w:t>
        </w:r>
      </w:hyperlink>
      <w:r>
        <w:t>, f. 7.</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73" w:history="1">
        <w:r w:rsidRPr="0057104C">
          <w:rPr>
            <w:rStyle w:val="TextoNormalCaracter"/>
          </w:rPr>
          <w:t>73/2016</w:t>
        </w:r>
      </w:hyperlink>
      <w:r>
        <w:t>, f. 7.</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73" w:history="1">
        <w:r w:rsidRPr="0057104C">
          <w:rPr>
            <w:rStyle w:val="TextoNormalCaracter"/>
          </w:rPr>
          <w:t>73/2016</w:t>
        </w:r>
      </w:hyperlink>
      <w:r>
        <w:t>, f. 7.</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73" w:history="1">
        <w:r w:rsidRPr="0057104C">
          <w:rPr>
            <w:rStyle w:val="TextoNormalCaracter"/>
          </w:rPr>
          <w:t>73/2016</w:t>
        </w:r>
      </w:hyperlink>
      <w:r>
        <w:t>, f. 7.</w:t>
      </w:r>
    </w:p>
    <w:p w:rsidR="0057104C" w:rsidRDefault="0057104C" w:rsidP="0057104C">
      <w:pPr>
        <w:pStyle w:val="SangriaFrancesaArticulo"/>
      </w:pPr>
      <w:r w:rsidRPr="0057104C">
        <w:rPr>
          <w:rStyle w:val="TextoNormalNegritaCaracter"/>
        </w:rPr>
        <w:t>Artículo 57</w:t>
      </w:r>
      <w:r>
        <w:t xml:space="preserve"> (redactado por el Real Decreto-ley 13/2012, de 30 de marzo)</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f. 9, VPI, VPII.</w:t>
      </w:r>
    </w:p>
    <w:p w:rsidR="0057104C" w:rsidRDefault="0057104C" w:rsidP="0057104C">
      <w:pPr>
        <w:pStyle w:val="SangriaFrancesaArticulo"/>
      </w:pPr>
      <w:r w:rsidRPr="0057104C">
        <w:rPr>
          <w:rStyle w:val="TextoNormalNegritaCaracter"/>
        </w:rPr>
        <w:t>Artículo 57.2.</w:t>
      </w:r>
      <w:r w:rsidRPr="0057104C">
        <w:rPr>
          <w:rStyle w:val="TextoNormalCaracter"/>
        </w:rPr>
        <w:t>-</w:t>
      </w:r>
      <w:r>
        <w:t xml:space="preserve"> Sentencia </w:t>
      </w:r>
      <w:hyperlink w:anchor="SENTENCIA_2016_62" w:history="1">
        <w:r w:rsidRPr="0057104C">
          <w:rPr>
            <w:rStyle w:val="TextoNormalCaracter"/>
          </w:rPr>
          <w:t>62/2016</w:t>
        </w:r>
      </w:hyperlink>
      <w:r>
        <w:t>, f. 10.</w:t>
      </w:r>
    </w:p>
    <w:p w:rsidR="0057104C" w:rsidRDefault="0057104C" w:rsidP="0057104C">
      <w:pPr>
        <w:pStyle w:val="SangriaFrancesaArticulo"/>
      </w:pPr>
      <w:r w:rsidRPr="0057104C">
        <w:rPr>
          <w:rStyle w:val="TextoNormalNegritaCaracter"/>
        </w:rPr>
        <w:t>Articulo 57.3</w:t>
      </w:r>
      <w:r>
        <w:t xml:space="preserve"> (redactado por el Real Decreto-ley 13/2012, de 30 de marzo)</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86.</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88.</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88.3.</w:t>
      </w:r>
      <w:r w:rsidRPr="0057104C">
        <w:rPr>
          <w:rStyle w:val="TextoNormalCaracter"/>
        </w:rPr>
        <w:t>-</w:t>
      </w:r>
      <w:r>
        <w:t xml:space="preserve"> Sentencia </w:t>
      </w:r>
      <w:hyperlink w:anchor="SENTENCIA_2016_62" w:history="1">
        <w:r w:rsidRPr="0057104C">
          <w:rPr>
            <w:rStyle w:val="TextoNormalCaracter"/>
          </w:rPr>
          <w:t>62/2016</w:t>
        </w:r>
      </w:hyperlink>
      <w:r>
        <w:t>, f. 10, VPI, VPII.</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62" w:history="1">
        <w:r w:rsidRPr="0057104C">
          <w:rPr>
            <w:rStyle w:val="TextoNormalCaracter"/>
          </w:rPr>
          <w:t>62/2016</w:t>
        </w:r>
      </w:hyperlink>
      <w:r>
        <w:t>, ff. 4, 10.</w:t>
      </w:r>
    </w:p>
    <w:p w:rsidR="0057104C" w:rsidRDefault="0057104C" w:rsidP="0057104C">
      <w:pPr>
        <w:pStyle w:val="SangriaFrancesaArticulo"/>
      </w:pPr>
    </w:p>
    <w:p w:rsidR="0057104C" w:rsidRDefault="0057104C" w:rsidP="0057104C">
      <w:pPr>
        <w:pStyle w:val="TextoNormalNegritaCursivandice"/>
      </w:pPr>
      <w:r>
        <w:t>Ley 40/1998, de 9 de diciembre. Impuesto sobre la renta de las personas físicas y otras normas tributarias</w:t>
      </w:r>
    </w:p>
    <w:p w:rsidR="0057104C" w:rsidRDefault="0057104C" w:rsidP="0057104C">
      <w:pPr>
        <w:pStyle w:val="SangriaFrancesaArticulo"/>
      </w:pPr>
      <w:r w:rsidRPr="0057104C">
        <w:rPr>
          <w:rStyle w:val="TextoNormalNegritaCaracter"/>
        </w:rPr>
        <w:t>Artículo 17.2 a).</w:t>
      </w:r>
      <w:r w:rsidRPr="0057104C">
        <w:rPr>
          <w:rStyle w:val="TextoNormalCaracter"/>
        </w:rPr>
        <w:t>-</w:t>
      </w:r>
      <w:r>
        <w:t xml:space="preserve"> Sentencia </w:t>
      </w:r>
      <w:hyperlink w:anchor="SENTENCIA_2016_121" w:history="1">
        <w:r w:rsidRPr="0057104C">
          <w:rPr>
            <w:rStyle w:val="TextoNormalCaracter"/>
          </w:rPr>
          <w:t>121/2016</w:t>
        </w:r>
      </w:hyperlink>
      <w:r>
        <w:t>, f. 3.</w:t>
      </w:r>
    </w:p>
    <w:p w:rsidR="0057104C" w:rsidRDefault="0057104C" w:rsidP="0057104C">
      <w:pPr>
        <w:pStyle w:val="SangriaFrancesaArticulo"/>
      </w:pPr>
    </w:p>
    <w:p w:rsidR="0057104C" w:rsidRDefault="0057104C" w:rsidP="0057104C">
      <w:pPr>
        <w:pStyle w:val="TextoNormalNegritaCursivandice"/>
      </w:pPr>
      <w:r>
        <w:t>Ley 50/1998, de 30 de diciembre. Medidas fiscales, administrativas y del orden social</w:t>
      </w:r>
    </w:p>
    <w:p w:rsidR="0057104C" w:rsidRDefault="0057104C" w:rsidP="0057104C">
      <w:pPr>
        <w:pStyle w:val="SangriaFrancesaArticulo"/>
      </w:pPr>
      <w:r w:rsidRPr="0057104C">
        <w:rPr>
          <w:rStyle w:val="TextoNormalNegritaCaracter"/>
        </w:rPr>
        <w:t>Artículo 32.1.</w:t>
      </w:r>
      <w:r w:rsidRPr="0057104C">
        <w:rPr>
          <w:rStyle w:val="TextoNormalCaracter"/>
        </w:rPr>
        <w:t>-</w:t>
      </w:r>
      <w:r>
        <w:t xml:space="preserve"> Auto </w:t>
      </w:r>
      <w:hyperlink w:anchor="AUTO_2016_129" w:history="1">
        <w:r w:rsidRPr="0057104C">
          <w:rPr>
            <w:rStyle w:val="TextoNormalCaracter"/>
          </w:rPr>
          <w:t>129/2016</w:t>
        </w:r>
      </w:hyperlink>
      <w:r>
        <w:t>, f. 4.</w:t>
      </w:r>
    </w:p>
    <w:p w:rsidR="0057104C" w:rsidRDefault="0057104C" w:rsidP="0057104C">
      <w:pPr>
        <w:pStyle w:val="SangriaFrancesaArticulo"/>
      </w:pPr>
    </w:p>
    <w:p w:rsidR="0057104C" w:rsidRDefault="0057104C" w:rsidP="0057104C">
      <w:pPr>
        <w:pStyle w:val="TextoNormalNegritaCursivandice"/>
      </w:pPr>
      <w:r>
        <w:t>Ley 4/1999, de 13 de enero. Modificación de la Ley 30/1992, de 26 de noviembre, de  régimen jurídico de las Administraciones públicas y del procedimiento administrativo común</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5" w:history="1">
        <w:r w:rsidRPr="0057104C">
          <w:rPr>
            <w:rStyle w:val="TextoNormalCaracter"/>
          </w:rPr>
          <w:t>15/2016</w:t>
        </w:r>
      </w:hyperlink>
      <w:r>
        <w:t>, f. 3.</w:t>
      </w:r>
    </w:p>
    <w:p w:rsidR="0057104C" w:rsidRDefault="0057104C" w:rsidP="0057104C">
      <w:pPr>
        <w:pStyle w:val="SangriaFrancesaArticulo"/>
      </w:pPr>
    </w:p>
    <w:p w:rsidR="0057104C" w:rsidRDefault="0057104C" w:rsidP="0057104C">
      <w:pPr>
        <w:pStyle w:val="TextoNormalNegritaCursivandice"/>
      </w:pPr>
      <w:r>
        <w:t>Ley 1/2000, de 7 de enero. Enjuiciamiento civil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Autos </w:t>
      </w:r>
      <w:hyperlink w:anchor="AUTO_2016_92" w:history="1">
        <w:r w:rsidRPr="0057104C">
          <w:rPr>
            <w:rStyle w:val="TextoNormalCaracter"/>
          </w:rPr>
          <w:t>92/2016</w:t>
        </w:r>
      </w:hyperlink>
      <w:r>
        <w:t xml:space="preserve">, f. único; </w:t>
      </w:r>
      <w:hyperlink w:anchor="AUTO_2016_94" w:history="1">
        <w:r w:rsidRPr="0057104C">
          <w:rPr>
            <w:rStyle w:val="TextoNormalCaracter"/>
          </w:rPr>
          <w:t>94/2016</w:t>
        </w:r>
      </w:hyperlink>
      <w:r>
        <w:t xml:space="preserve">, f. único; </w:t>
      </w:r>
      <w:hyperlink w:anchor="AUTO_2016_95" w:history="1">
        <w:r w:rsidRPr="0057104C">
          <w:rPr>
            <w:rStyle w:val="TextoNormalCaracter"/>
          </w:rPr>
          <w:t>95/2016</w:t>
        </w:r>
      </w:hyperlink>
      <w:r>
        <w:t xml:space="preserve">, f. único; </w:t>
      </w:r>
      <w:hyperlink w:anchor="AUTO_2016_96" w:history="1">
        <w:r w:rsidRPr="0057104C">
          <w:rPr>
            <w:rStyle w:val="TextoNormalCaracter"/>
          </w:rPr>
          <w:t>96/2016</w:t>
        </w:r>
      </w:hyperlink>
      <w:r>
        <w:t xml:space="preserve">, f. único; </w:t>
      </w:r>
      <w:hyperlink w:anchor="AUTO_2016_117" w:history="1">
        <w:r w:rsidRPr="0057104C">
          <w:rPr>
            <w:rStyle w:val="TextoNormalCaracter"/>
          </w:rPr>
          <w:t>117/2016</w:t>
        </w:r>
      </w:hyperlink>
      <w:r>
        <w:t xml:space="preserve">, f. único; </w:t>
      </w:r>
      <w:hyperlink w:anchor="AUTO_2016_119" w:history="1">
        <w:r w:rsidRPr="0057104C">
          <w:rPr>
            <w:rStyle w:val="TextoNormalCaracter"/>
          </w:rPr>
          <w:t>119/2016</w:t>
        </w:r>
      </w:hyperlink>
      <w:r>
        <w:t>, f. único.</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Auto </w:t>
      </w:r>
      <w:hyperlink w:anchor="AUTO_2016_27" w:history="1">
        <w:r w:rsidRPr="0057104C">
          <w:rPr>
            <w:rStyle w:val="TextoNormalCaracter"/>
          </w:rPr>
          <w:t>27/2016</w:t>
        </w:r>
      </w:hyperlink>
      <w:r>
        <w:t>, f. 1.</w:t>
      </w:r>
    </w:p>
    <w:p w:rsidR="0057104C" w:rsidRDefault="0057104C" w:rsidP="0057104C">
      <w:pPr>
        <w:pStyle w:val="SangriaFrancesaArticulo"/>
      </w:pPr>
      <w:r w:rsidRPr="0057104C">
        <w:rPr>
          <w:rStyle w:val="TextoNormalNegritaCaracter"/>
        </w:rPr>
        <w:t>Artículo 16.2.</w:t>
      </w:r>
      <w:r w:rsidRPr="0057104C">
        <w:rPr>
          <w:rStyle w:val="TextoNormalCaracter"/>
        </w:rPr>
        <w:t>-</w:t>
      </w:r>
      <w:r>
        <w:t xml:space="preserve"> Auto </w:t>
      </w:r>
      <w:hyperlink w:anchor="AUTO_2016_27" w:history="1">
        <w:r w:rsidRPr="0057104C">
          <w:rPr>
            <w:rStyle w:val="TextoNormalCaracter"/>
          </w:rPr>
          <w:t>27/2016</w:t>
        </w:r>
      </w:hyperlink>
      <w:r>
        <w:t>, f. 3.</w:t>
      </w:r>
    </w:p>
    <w:p w:rsidR="0057104C" w:rsidRDefault="0057104C" w:rsidP="0057104C">
      <w:pPr>
        <w:pStyle w:val="SangriaFrancesaArticulo"/>
      </w:pPr>
      <w:r w:rsidRPr="0057104C">
        <w:rPr>
          <w:rStyle w:val="TextoNormalNegritaCaracter"/>
        </w:rPr>
        <w:t>Artículo 19.1.</w:t>
      </w:r>
      <w:r w:rsidRPr="0057104C">
        <w:rPr>
          <w:rStyle w:val="TextoNormalCaracter"/>
        </w:rPr>
        <w:t>-</w:t>
      </w:r>
      <w:r>
        <w:t xml:space="preserve"> Autos </w:t>
      </w:r>
      <w:hyperlink w:anchor="AUTO_2016_16" w:history="1">
        <w:r w:rsidRPr="0057104C">
          <w:rPr>
            <w:rStyle w:val="TextoNormalCaracter"/>
          </w:rPr>
          <w:t>16/2016</w:t>
        </w:r>
      </w:hyperlink>
      <w:r>
        <w:t xml:space="preserve">, f. único; </w:t>
      </w:r>
      <w:hyperlink w:anchor="AUTO_2016_20" w:history="1">
        <w:r w:rsidRPr="0057104C">
          <w:rPr>
            <w:rStyle w:val="TextoNormalCaracter"/>
          </w:rPr>
          <w:t>20/2016</w:t>
        </w:r>
      </w:hyperlink>
      <w:r>
        <w:t xml:space="preserve">, f. único; </w:t>
      </w:r>
      <w:hyperlink w:anchor="AUTO_2016_32" w:history="1">
        <w:r w:rsidRPr="0057104C">
          <w:rPr>
            <w:rStyle w:val="TextoNormalCaracter"/>
          </w:rPr>
          <w:t>32/2016</w:t>
        </w:r>
      </w:hyperlink>
      <w:r>
        <w:t xml:space="preserve">, f. único; </w:t>
      </w:r>
      <w:hyperlink w:anchor="AUTO_2016_33" w:history="1">
        <w:r w:rsidRPr="0057104C">
          <w:rPr>
            <w:rStyle w:val="TextoNormalCaracter"/>
          </w:rPr>
          <w:t>33/2016</w:t>
        </w:r>
      </w:hyperlink>
      <w:r>
        <w:t xml:space="preserve">, f. único; </w:t>
      </w:r>
      <w:hyperlink w:anchor="AUTO_2016_45" w:history="1">
        <w:r w:rsidRPr="0057104C">
          <w:rPr>
            <w:rStyle w:val="TextoNormalCaracter"/>
          </w:rPr>
          <w:t>45/2016</w:t>
        </w:r>
      </w:hyperlink>
      <w:r>
        <w:t xml:space="preserve">, f. único; </w:t>
      </w:r>
      <w:hyperlink w:anchor="AUTO_2016_51" w:history="1">
        <w:r w:rsidRPr="0057104C">
          <w:rPr>
            <w:rStyle w:val="TextoNormalCaracter"/>
          </w:rPr>
          <w:t>51/2016</w:t>
        </w:r>
      </w:hyperlink>
      <w:r>
        <w:t xml:space="preserve">, f. único; </w:t>
      </w:r>
      <w:hyperlink w:anchor="AUTO_2016_61" w:history="1">
        <w:r w:rsidRPr="0057104C">
          <w:rPr>
            <w:rStyle w:val="TextoNormalCaracter"/>
          </w:rPr>
          <w:t>61/2016</w:t>
        </w:r>
      </w:hyperlink>
      <w:r>
        <w:t xml:space="preserve">, f. único; </w:t>
      </w:r>
      <w:hyperlink w:anchor="AUTO_2016_80" w:history="1">
        <w:r w:rsidRPr="0057104C">
          <w:rPr>
            <w:rStyle w:val="TextoNormalCaracter"/>
          </w:rPr>
          <w:t>80/2016</w:t>
        </w:r>
      </w:hyperlink>
      <w:r>
        <w:t xml:space="preserve">, f. único; </w:t>
      </w:r>
      <w:hyperlink w:anchor="AUTO_2016_81" w:history="1">
        <w:r w:rsidRPr="0057104C">
          <w:rPr>
            <w:rStyle w:val="TextoNormalCaracter"/>
          </w:rPr>
          <w:t>81/2016</w:t>
        </w:r>
      </w:hyperlink>
      <w:r>
        <w:t xml:space="preserve">, f. único; </w:t>
      </w:r>
      <w:hyperlink w:anchor="AUTO_2016_115" w:history="1">
        <w:r w:rsidRPr="0057104C">
          <w:rPr>
            <w:rStyle w:val="TextoNormalCaracter"/>
          </w:rPr>
          <w:t>115/2016</w:t>
        </w:r>
      </w:hyperlink>
      <w:r>
        <w:t xml:space="preserve">, único; </w:t>
      </w:r>
      <w:hyperlink w:anchor="AUTO_2016_116" w:history="1">
        <w:r w:rsidRPr="0057104C">
          <w:rPr>
            <w:rStyle w:val="TextoNormalCaracter"/>
          </w:rPr>
          <w:t>116/2016</w:t>
        </w:r>
      </w:hyperlink>
      <w:r>
        <w:t xml:space="preserve">, f. único; </w:t>
      </w:r>
      <w:hyperlink w:anchor="AUTO_2016_118" w:history="1">
        <w:r w:rsidRPr="0057104C">
          <w:rPr>
            <w:rStyle w:val="TextoNormalCaracter"/>
          </w:rPr>
          <w:t>118/2016</w:t>
        </w:r>
      </w:hyperlink>
      <w:r>
        <w:t xml:space="preserve">, f. único; </w:t>
      </w:r>
      <w:hyperlink w:anchor="AUTO_2016_120" w:history="1">
        <w:r w:rsidRPr="0057104C">
          <w:rPr>
            <w:rStyle w:val="TextoNormalCaracter"/>
          </w:rPr>
          <w:t>120/2016</w:t>
        </w:r>
      </w:hyperlink>
      <w:r>
        <w:t xml:space="preserve">, f. único; </w:t>
      </w:r>
      <w:hyperlink w:anchor="AUTO_2016_124" w:history="1">
        <w:r w:rsidRPr="0057104C">
          <w:rPr>
            <w:rStyle w:val="TextoNormalCaracter"/>
          </w:rPr>
          <w:t>124/2016</w:t>
        </w:r>
      </w:hyperlink>
      <w:r>
        <w:t xml:space="preserve">, f. único; </w:t>
      </w:r>
      <w:hyperlink w:anchor="AUTO_2016_125" w:history="1">
        <w:r w:rsidRPr="0057104C">
          <w:rPr>
            <w:rStyle w:val="TextoNormalCaracter"/>
          </w:rPr>
          <w:t>125/2016</w:t>
        </w:r>
      </w:hyperlink>
      <w:r>
        <w:t xml:space="preserve">, f. único; </w:t>
      </w:r>
      <w:hyperlink w:anchor="AUTO_2016_127" w:history="1">
        <w:r w:rsidRPr="0057104C">
          <w:rPr>
            <w:rStyle w:val="TextoNormalCaracter"/>
          </w:rPr>
          <w:t>127/2016</w:t>
        </w:r>
      </w:hyperlink>
      <w:r>
        <w:t>, f. único.</w:t>
      </w:r>
    </w:p>
    <w:p w:rsidR="0057104C" w:rsidRDefault="0057104C" w:rsidP="0057104C">
      <w:pPr>
        <w:pStyle w:val="SangriaFrancesaArticulo"/>
      </w:pPr>
      <w:r w:rsidRPr="0057104C">
        <w:rPr>
          <w:rStyle w:val="TextoNormalNegritaCaracter"/>
        </w:rPr>
        <w:t>Artículo 19.3.</w:t>
      </w:r>
      <w:r w:rsidRPr="0057104C">
        <w:rPr>
          <w:rStyle w:val="TextoNormalCaracter"/>
        </w:rPr>
        <w:t>-</w:t>
      </w:r>
      <w:r>
        <w:t xml:space="preserve"> Auto </w:t>
      </w:r>
      <w:hyperlink w:anchor="AUTO_2016_51" w:history="1">
        <w:r w:rsidRPr="0057104C">
          <w:rPr>
            <w:rStyle w:val="TextoNormalCaracter"/>
          </w:rPr>
          <w:t>51/2016</w:t>
        </w:r>
      </w:hyperlink>
      <w:r>
        <w:t>, f. único.</w:t>
      </w:r>
    </w:p>
    <w:p w:rsidR="0057104C" w:rsidRDefault="0057104C" w:rsidP="0057104C">
      <w:pPr>
        <w:pStyle w:val="SangriaFrancesaArticulo"/>
      </w:pPr>
      <w:r w:rsidRPr="0057104C">
        <w:rPr>
          <w:rStyle w:val="TextoNormalNegritaCaracter"/>
        </w:rPr>
        <w:t>Artículo 20.2.</w:t>
      </w:r>
      <w:r w:rsidRPr="0057104C">
        <w:rPr>
          <w:rStyle w:val="TextoNormalCaracter"/>
        </w:rPr>
        <w:t>-</w:t>
      </w:r>
      <w:r>
        <w:t xml:space="preserve"> Autos </w:t>
      </w:r>
      <w:hyperlink w:anchor="AUTO_2016_16" w:history="1">
        <w:r w:rsidRPr="0057104C">
          <w:rPr>
            <w:rStyle w:val="TextoNormalCaracter"/>
          </w:rPr>
          <w:t>16/2016</w:t>
        </w:r>
      </w:hyperlink>
      <w:r>
        <w:t xml:space="preserve">, f. único; </w:t>
      </w:r>
      <w:hyperlink w:anchor="AUTO_2016_20" w:history="1">
        <w:r w:rsidRPr="0057104C">
          <w:rPr>
            <w:rStyle w:val="TextoNormalCaracter"/>
          </w:rPr>
          <w:t>20/2016</w:t>
        </w:r>
      </w:hyperlink>
      <w:r>
        <w:t xml:space="preserve">, f. único; </w:t>
      </w:r>
      <w:hyperlink w:anchor="AUTO_2016_32" w:history="1">
        <w:r w:rsidRPr="0057104C">
          <w:rPr>
            <w:rStyle w:val="TextoNormalCaracter"/>
          </w:rPr>
          <w:t>32/2016</w:t>
        </w:r>
      </w:hyperlink>
      <w:r>
        <w:t xml:space="preserve">, f. único; </w:t>
      </w:r>
      <w:hyperlink w:anchor="AUTO_2016_33" w:history="1">
        <w:r w:rsidRPr="0057104C">
          <w:rPr>
            <w:rStyle w:val="TextoNormalCaracter"/>
          </w:rPr>
          <w:t>33/2016</w:t>
        </w:r>
      </w:hyperlink>
      <w:r>
        <w:t xml:space="preserve">, f. único; </w:t>
      </w:r>
      <w:hyperlink w:anchor="AUTO_2016_45" w:history="1">
        <w:r w:rsidRPr="0057104C">
          <w:rPr>
            <w:rStyle w:val="TextoNormalCaracter"/>
          </w:rPr>
          <w:t>45/2016</w:t>
        </w:r>
      </w:hyperlink>
      <w:r>
        <w:t xml:space="preserve">, f. único; </w:t>
      </w:r>
      <w:hyperlink w:anchor="AUTO_2016_51" w:history="1">
        <w:r w:rsidRPr="0057104C">
          <w:rPr>
            <w:rStyle w:val="TextoNormalCaracter"/>
          </w:rPr>
          <w:t>51/2016</w:t>
        </w:r>
      </w:hyperlink>
      <w:r>
        <w:t xml:space="preserve">, f. único; </w:t>
      </w:r>
      <w:hyperlink w:anchor="AUTO_2016_61" w:history="1">
        <w:r w:rsidRPr="0057104C">
          <w:rPr>
            <w:rStyle w:val="TextoNormalCaracter"/>
          </w:rPr>
          <w:t>61/2016</w:t>
        </w:r>
      </w:hyperlink>
      <w:r>
        <w:t xml:space="preserve">, f. único; </w:t>
      </w:r>
      <w:hyperlink w:anchor="AUTO_2016_80" w:history="1">
        <w:r w:rsidRPr="0057104C">
          <w:rPr>
            <w:rStyle w:val="TextoNormalCaracter"/>
          </w:rPr>
          <w:t>80/2016</w:t>
        </w:r>
      </w:hyperlink>
      <w:r>
        <w:t xml:space="preserve">, f. único; </w:t>
      </w:r>
      <w:hyperlink w:anchor="AUTO_2016_81" w:history="1">
        <w:r w:rsidRPr="0057104C">
          <w:rPr>
            <w:rStyle w:val="TextoNormalCaracter"/>
          </w:rPr>
          <w:t>81/2016</w:t>
        </w:r>
      </w:hyperlink>
      <w:r>
        <w:t xml:space="preserve">, f. único; </w:t>
      </w:r>
      <w:hyperlink w:anchor="AUTO_2016_115" w:history="1">
        <w:r w:rsidRPr="0057104C">
          <w:rPr>
            <w:rStyle w:val="TextoNormalCaracter"/>
          </w:rPr>
          <w:t>115/2016</w:t>
        </w:r>
      </w:hyperlink>
      <w:r>
        <w:t xml:space="preserve">, único; </w:t>
      </w:r>
      <w:hyperlink w:anchor="AUTO_2016_116" w:history="1">
        <w:r w:rsidRPr="0057104C">
          <w:rPr>
            <w:rStyle w:val="TextoNormalCaracter"/>
          </w:rPr>
          <w:t>116/2016</w:t>
        </w:r>
      </w:hyperlink>
      <w:r>
        <w:t xml:space="preserve">, f. único; </w:t>
      </w:r>
      <w:hyperlink w:anchor="AUTO_2016_118" w:history="1">
        <w:r w:rsidRPr="0057104C">
          <w:rPr>
            <w:rStyle w:val="TextoNormalCaracter"/>
          </w:rPr>
          <w:t>118/2016</w:t>
        </w:r>
      </w:hyperlink>
      <w:r>
        <w:t xml:space="preserve">, f. único; </w:t>
      </w:r>
      <w:hyperlink w:anchor="AUTO_2016_120" w:history="1">
        <w:r w:rsidRPr="0057104C">
          <w:rPr>
            <w:rStyle w:val="TextoNormalCaracter"/>
          </w:rPr>
          <w:t>120/2016</w:t>
        </w:r>
      </w:hyperlink>
      <w:r>
        <w:t xml:space="preserve">, f. único; </w:t>
      </w:r>
      <w:hyperlink w:anchor="AUTO_2016_124" w:history="1">
        <w:r w:rsidRPr="0057104C">
          <w:rPr>
            <w:rStyle w:val="TextoNormalCaracter"/>
          </w:rPr>
          <w:t>124/2016</w:t>
        </w:r>
      </w:hyperlink>
      <w:r>
        <w:t xml:space="preserve">, f. único; </w:t>
      </w:r>
      <w:hyperlink w:anchor="AUTO_2016_125" w:history="1">
        <w:r w:rsidRPr="0057104C">
          <w:rPr>
            <w:rStyle w:val="TextoNormalCaracter"/>
          </w:rPr>
          <w:t>125/2016</w:t>
        </w:r>
      </w:hyperlink>
      <w:r>
        <w:t xml:space="preserve">, f. único; </w:t>
      </w:r>
      <w:hyperlink w:anchor="AUTO_2016_127" w:history="1">
        <w:r w:rsidRPr="0057104C">
          <w:rPr>
            <w:rStyle w:val="TextoNormalCaracter"/>
          </w:rPr>
          <w:t>127/2016</w:t>
        </w:r>
      </w:hyperlink>
      <w:r>
        <w:t>, f. único.</w:t>
      </w:r>
    </w:p>
    <w:p w:rsidR="0057104C" w:rsidRDefault="0057104C" w:rsidP="0057104C">
      <w:pPr>
        <w:pStyle w:val="SangriaFrancesaArticulo"/>
      </w:pPr>
      <w:r w:rsidRPr="0057104C">
        <w:rPr>
          <w:rStyle w:val="TextoNormalNegritaCaracter"/>
        </w:rPr>
        <w:t>Artículo 20.3.</w:t>
      </w:r>
      <w:r w:rsidRPr="0057104C">
        <w:rPr>
          <w:rStyle w:val="TextoNormalCaracter"/>
        </w:rPr>
        <w:t>-</w:t>
      </w:r>
      <w:r>
        <w:t xml:space="preserve"> Autos </w:t>
      </w:r>
      <w:hyperlink w:anchor="AUTO_2016_16" w:history="1">
        <w:r w:rsidRPr="0057104C">
          <w:rPr>
            <w:rStyle w:val="TextoNormalCaracter"/>
          </w:rPr>
          <w:t>16/2016</w:t>
        </w:r>
      </w:hyperlink>
      <w:r>
        <w:t xml:space="preserve">, f. único; </w:t>
      </w:r>
      <w:hyperlink w:anchor="AUTO_2016_20" w:history="1">
        <w:r w:rsidRPr="0057104C">
          <w:rPr>
            <w:rStyle w:val="TextoNormalCaracter"/>
          </w:rPr>
          <w:t>20/2016</w:t>
        </w:r>
      </w:hyperlink>
      <w:r>
        <w:t xml:space="preserve">, f. único; </w:t>
      </w:r>
      <w:hyperlink w:anchor="AUTO_2016_32" w:history="1">
        <w:r w:rsidRPr="0057104C">
          <w:rPr>
            <w:rStyle w:val="TextoNormalCaracter"/>
          </w:rPr>
          <w:t>32/2016</w:t>
        </w:r>
      </w:hyperlink>
      <w:r>
        <w:t xml:space="preserve">, f. único; </w:t>
      </w:r>
      <w:hyperlink w:anchor="AUTO_2016_33" w:history="1">
        <w:r w:rsidRPr="0057104C">
          <w:rPr>
            <w:rStyle w:val="TextoNormalCaracter"/>
          </w:rPr>
          <w:t>33/2016</w:t>
        </w:r>
      </w:hyperlink>
      <w:r>
        <w:t xml:space="preserve">, f. único; </w:t>
      </w:r>
      <w:hyperlink w:anchor="AUTO_2016_45" w:history="1">
        <w:r w:rsidRPr="0057104C">
          <w:rPr>
            <w:rStyle w:val="TextoNormalCaracter"/>
          </w:rPr>
          <w:t>45/2016</w:t>
        </w:r>
      </w:hyperlink>
      <w:r>
        <w:t xml:space="preserve">, f. único; </w:t>
      </w:r>
      <w:hyperlink w:anchor="AUTO_2016_51" w:history="1">
        <w:r w:rsidRPr="0057104C">
          <w:rPr>
            <w:rStyle w:val="TextoNormalCaracter"/>
          </w:rPr>
          <w:t>51/2016</w:t>
        </w:r>
      </w:hyperlink>
      <w:r>
        <w:t xml:space="preserve">, f. único; </w:t>
      </w:r>
      <w:hyperlink w:anchor="AUTO_2016_61" w:history="1">
        <w:r w:rsidRPr="0057104C">
          <w:rPr>
            <w:rStyle w:val="TextoNormalCaracter"/>
          </w:rPr>
          <w:t>61/2016</w:t>
        </w:r>
      </w:hyperlink>
      <w:r>
        <w:t xml:space="preserve">, f. único; </w:t>
      </w:r>
      <w:hyperlink w:anchor="AUTO_2016_80" w:history="1">
        <w:r w:rsidRPr="0057104C">
          <w:rPr>
            <w:rStyle w:val="TextoNormalCaracter"/>
          </w:rPr>
          <w:t>80/2016</w:t>
        </w:r>
      </w:hyperlink>
      <w:r>
        <w:t xml:space="preserve">, f. único; </w:t>
      </w:r>
      <w:hyperlink w:anchor="AUTO_2016_81" w:history="1">
        <w:r w:rsidRPr="0057104C">
          <w:rPr>
            <w:rStyle w:val="TextoNormalCaracter"/>
          </w:rPr>
          <w:t>81/2016</w:t>
        </w:r>
      </w:hyperlink>
      <w:r>
        <w:t xml:space="preserve">, f. único; </w:t>
      </w:r>
      <w:hyperlink w:anchor="AUTO_2016_115" w:history="1">
        <w:r w:rsidRPr="0057104C">
          <w:rPr>
            <w:rStyle w:val="TextoNormalCaracter"/>
          </w:rPr>
          <w:t>115/2016</w:t>
        </w:r>
      </w:hyperlink>
      <w:r>
        <w:t xml:space="preserve">, único; </w:t>
      </w:r>
      <w:hyperlink w:anchor="AUTO_2016_116" w:history="1">
        <w:r w:rsidRPr="0057104C">
          <w:rPr>
            <w:rStyle w:val="TextoNormalCaracter"/>
          </w:rPr>
          <w:t>116/2016</w:t>
        </w:r>
      </w:hyperlink>
      <w:r>
        <w:t xml:space="preserve">, f. único; </w:t>
      </w:r>
      <w:hyperlink w:anchor="AUTO_2016_118" w:history="1">
        <w:r w:rsidRPr="0057104C">
          <w:rPr>
            <w:rStyle w:val="TextoNormalCaracter"/>
          </w:rPr>
          <w:t>118/2016</w:t>
        </w:r>
      </w:hyperlink>
      <w:r>
        <w:t xml:space="preserve">, f. único; </w:t>
      </w:r>
      <w:hyperlink w:anchor="AUTO_2016_120" w:history="1">
        <w:r w:rsidRPr="0057104C">
          <w:rPr>
            <w:rStyle w:val="TextoNormalCaracter"/>
          </w:rPr>
          <w:t>120/2016</w:t>
        </w:r>
      </w:hyperlink>
      <w:r>
        <w:t xml:space="preserve">, f. único; </w:t>
      </w:r>
      <w:hyperlink w:anchor="AUTO_2016_124" w:history="1">
        <w:r w:rsidRPr="0057104C">
          <w:rPr>
            <w:rStyle w:val="TextoNormalCaracter"/>
          </w:rPr>
          <w:t>124/2016</w:t>
        </w:r>
      </w:hyperlink>
      <w:r>
        <w:t xml:space="preserve">, f. único; </w:t>
      </w:r>
      <w:hyperlink w:anchor="AUTO_2016_125" w:history="1">
        <w:r w:rsidRPr="0057104C">
          <w:rPr>
            <w:rStyle w:val="TextoNormalCaracter"/>
          </w:rPr>
          <w:t>125/2016</w:t>
        </w:r>
      </w:hyperlink>
      <w:r>
        <w:t xml:space="preserve">, f. único; </w:t>
      </w:r>
      <w:hyperlink w:anchor="AUTO_2016_127" w:history="1">
        <w:r w:rsidRPr="0057104C">
          <w:rPr>
            <w:rStyle w:val="TextoNormalCaracter"/>
          </w:rPr>
          <w:t>127/2016</w:t>
        </w:r>
      </w:hyperlink>
      <w:r>
        <w:t>, f. único.</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Auto </w:t>
      </w:r>
      <w:hyperlink w:anchor="AUTO_2016_100" w:history="1">
        <w:r w:rsidRPr="0057104C">
          <w:rPr>
            <w:rStyle w:val="TextoNormalCaracter"/>
          </w:rPr>
          <w:t>100/2016</w:t>
        </w:r>
      </w:hyperlink>
      <w:r>
        <w:t>, f. 1.</w:t>
      </w:r>
    </w:p>
    <w:p w:rsidR="0057104C" w:rsidRDefault="0057104C" w:rsidP="0057104C">
      <w:pPr>
        <w:pStyle w:val="SangriaFrancesaArticulo"/>
      </w:pPr>
      <w:r w:rsidRPr="0057104C">
        <w:rPr>
          <w:rStyle w:val="TextoNormalNegritaCaracter"/>
        </w:rPr>
        <w:t>Artículo 25.2.1.</w:t>
      </w:r>
      <w:r w:rsidRPr="0057104C">
        <w:rPr>
          <w:rStyle w:val="TextoNormalCaracter"/>
        </w:rPr>
        <w:t>-</w:t>
      </w:r>
      <w:r>
        <w:t xml:space="preserve"> Autos </w:t>
      </w:r>
      <w:hyperlink w:anchor="AUTO_2016_45" w:history="1">
        <w:r w:rsidRPr="0057104C">
          <w:rPr>
            <w:rStyle w:val="TextoNormalCaracter"/>
          </w:rPr>
          <w:t>45/2016</w:t>
        </w:r>
      </w:hyperlink>
      <w:r>
        <w:t xml:space="preserve">, f. único; </w:t>
      </w:r>
      <w:hyperlink w:anchor="AUTO_2016_80" w:history="1">
        <w:r w:rsidRPr="0057104C">
          <w:rPr>
            <w:rStyle w:val="TextoNormalCaracter"/>
          </w:rPr>
          <w:t>80/2016</w:t>
        </w:r>
      </w:hyperlink>
      <w:r>
        <w:t xml:space="preserve">, f. único; </w:t>
      </w:r>
      <w:hyperlink w:anchor="AUTO_2016_115" w:history="1">
        <w:r w:rsidRPr="0057104C">
          <w:rPr>
            <w:rStyle w:val="TextoNormalCaracter"/>
          </w:rPr>
          <w:t>115/2016</w:t>
        </w:r>
      </w:hyperlink>
      <w:r>
        <w:t xml:space="preserve">, único; </w:t>
      </w:r>
      <w:hyperlink w:anchor="AUTO_2016_116" w:history="1">
        <w:r w:rsidRPr="0057104C">
          <w:rPr>
            <w:rStyle w:val="TextoNormalCaracter"/>
          </w:rPr>
          <w:t>116/2016</w:t>
        </w:r>
      </w:hyperlink>
      <w:r>
        <w:t xml:space="preserve">, f. único; </w:t>
      </w:r>
      <w:hyperlink w:anchor="AUTO_2016_118" w:history="1">
        <w:r w:rsidRPr="0057104C">
          <w:rPr>
            <w:rStyle w:val="TextoNormalCaracter"/>
          </w:rPr>
          <w:t>118/2016</w:t>
        </w:r>
      </w:hyperlink>
      <w:r>
        <w:t xml:space="preserve">, f. único; </w:t>
      </w:r>
      <w:hyperlink w:anchor="AUTO_2016_124" w:history="1">
        <w:r w:rsidRPr="0057104C">
          <w:rPr>
            <w:rStyle w:val="TextoNormalCaracter"/>
          </w:rPr>
          <w:t>124/2016</w:t>
        </w:r>
      </w:hyperlink>
      <w:r>
        <w:t xml:space="preserve">, f. único; </w:t>
      </w:r>
      <w:hyperlink w:anchor="AUTO_2016_125" w:history="1">
        <w:r w:rsidRPr="0057104C">
          <w:rPr>
            <w:rStyle w:val="TextoNormalCaracter"/>
          </w:rPr>
          <w:t>125/2016</w:t>
        </w:r>
      </w:hyperlink>
      <w:r>
        <w:t>, f. único.</w:t>
      </w:r>
    </w:p>
    <w:p w:rsidR="0057104C" w:rsidRDefault="0057104C" w:rsidP="0057104C">
      <w:pPr>
        <w:pStyle w:val="SangriaFrancesaArticulo"/>
      </w:pPr>
      <w:r w:rsidRPr="0057104C">
        <w:rPr>
          <w:rStyle w:val="TextoNormalNegritaCaracter"/>
        </w:rPr>
        <w:t>Artículo 84.</w:t>
      </w:r>
      <w:r w:rsidRPr="0057104C">
        <w:rPr>
          <w:rStyle w:val="TextoNormalCaracter"/>
        </w:rPr>
        <w:t>-</w:t>
      </w:r>
      <w:r>
        <w:t xml:space="preserve"> Auto </w:t>
      </w:r>
      <w:hyperlink w:anchor="AUTO_2016_82" w:history="1">
        <w:r w:rsidRPr="0057104C">
          <w:rPr>
            <w:rStyle w:val="TextoNormalCaracter"/>
          </w:rPr>
          <w:t>82/2016</w:t>
        </w:r>
      </w:hyperlink>
      <w:r>
        <w:t>, f. único.</w:t>
      </w:r>
    </w:p>
    <w:p w:rsidR="0057104C" w:rsidRDefault="0057104C" w:rsidP="0057104C">
      <w:pPr>
        <w:pStyle w:val="SangriaFrancesaArticulo"/>
      </w:pPr>
      <w:r w:rsidRPr="0057104C">
        <w:rPr>
          <w:rStyle w:val="TextoNormalNegritaCaracter"/>
        </w:rPr>
        <w:t>Artículo 182.</w:t>
      </w:r>
      <w:r w:rsidRPr="0057104C">
        <w:rPr>
          <w:rStyle w:val="TextoNormalCaracter"/>
        </w:rPr>
        <w:t>-</w:t>
      </w:r>
      <w:r>
        <w:t xml:space="preserve"> Sentencias </w:t>
      </w:r>
      <w:hyperlink w:anchor="SENTENCIA_2016_63" w:history="1">
        <w:r w:rsidRPr="0057104C">
          <w:rPr>
            <w:rStyle w:val="TextoNormalCaracter"/>
          </w:rPr>
          <w:t>63/2016</w:t>
        </w:r>
      </w:hyperlink>
      <w:r>
        <w:t xml:space="preserve">, f. 6; </w:t>
      </w:r>
      <w:hyperlink w:anchor="SENTENCIA_2016_75" w:history="1">
        <w:r w:rsidRPr="0057104C">
          <w:rPr>
            <w:rStyle w:val="TextoNormalCaracter"/>
          </w:rPr>
          <w:t>75/2016</w:t>
        </w:r>
      </w:hyperlink>
      <w:r>
        <w:t xml:space="preserve">, f. 6; </w:t>
      </w:r>
      <w:hyperlink w:anchor="SENTENCIA_2016_77" w:history="1">
        <w:r w:rsidRPr="0057104C">
          <w:rPr>
            <w:rStyle w:val="TextoNormalCaracter"/>
          </w:rPr>
          <w:t>77/2016</w:t>
        </w:r>
      </w:hyperlink>
      <w:r>
        <w:t xml:space="preserve">, f. 6; </w:t>
      </w:r>
      <w:hyperlink w:anchor="SENTENCIA_2016_89" w:history="1">
        <w:r w:rsidRPr="0057104C">
          <w:rPr>
            <w:rStyle w:val="TextoNormalCaracter"/>
          </w:rPr>
          <w:t>89/2016</w:t>
        </w:r>
      </w:hyperlink>
      <w:r>
        <w:t xml:space="preserve">, f. 6; </w:t>
      </w:r>
      <w:hyperlink w:anchor="SENTENCIA_2016_103" w:history="1">
        <w:r w:rsidRPr="0057104C">
          <w:rPr>
            <w:rStyle w:val="TextoNormalCaracter"/>
          </w:rPr>
          <w:t>103/2016</w:t>
        </w:r>
      </w:hyperlink>
      <w:r>
        <w:t>, f. 6.</w:t>
      </w:r>
    </w:p>
    <w:p w:rsidR="0057104C" w:rsidRDefault="0057104C" w:rsidP="0057104C">
      <w:pPr>
        <w:pStyle w:val="SangriaFrancesaArticulo"/>
      </w:pPr>
      <w:r w:rsidRPr="0057104C">
        <w:rPr>
          <w:rStyle w:val="TextoNormalNegritaCaracter"/>
        </w:rPr>
        <w:t>Artículo 206.</w:t>
      </w:r>
      <w:r w:rsidRPr="0057104C">
        <w:rPr>
          <w:rStyle w:val="TextoNormalCaracter"/>
        </w:rPr>
        <w:t>-</w:t>
      </w:r>
      <w:r>
        <w:t xml:space="preserve"> Sentencia </w:t>
      </w:r>
      <w:hyperlink w:anchor="SENTENCIA_2016_58" w:history="1">
        <w:r w:rsidRPr="0057104C">
          <w:rPr>
            <w:rStyle w:val="TextoNormalCaracter"/>
          </w:rPr>
          <w:t>58/2016</w:t>
        </w:r>
      </w:hyperlink>
      <w:r>
        <w:t>, f. 2.</w:t>
      </w:r>
    </w:p>
    <w:p w:rsidR="0057104C" w:rsidRDefault="0057104C" w:rsidP="0057104C">
      <w:pPr>
        <w:pStyle w:val="SangriaFrancesaArticulo"/>
      </w:pPr>
      <w:r w:rsidRPr="0057104C">
        <w:rPr>
          <w:rStyle w:val="TextoNormalNegritaCaracter"/>
        </w:rPr>
        <w:t>Artículo 214.</w:t>
      </w:r>
      <w:r w:rsidRPr="0057104C">
        <w:rPr>
          <w:rStyle w:val="TextoNormalCaracter"/>
        </w:rPr>
        <w:t>-</w:t>
      </w:r>
      <w:r>
        <w:t xml:space="preserve"> Sentencia </w:t>
      </w:r>
      <w:hyperlink w:anchor="SENTENCIA_2016_13" w:history="1">
        <w:r w:rsidRPr="0057104C">
          <w:rPr>
            <w:rStyle w:val="TextoNormalCaracter"/>
          </w:rPr>
          <w:t>13/2016</w:t>
        </w:r>
      </w:hyperlink>
      <w:r>
        <w:t>, f. 2.</w:t>
      </w:r>
    </w:p>
    <w:p w:rsidR="0057104C" w:rsidRDefault="0057104C" w:rsidP="0057104C">
      <w:pPr>
        <w:pStyle w:val="SangriaFrancesaArticulo"/>
      </w:pPr>
      <w:r w:rsidRPr="0057104C">
        <w:rPr>
          <w:rStyle w:val="TextoNormalNegritaCaracter"/>
        </w:rPr>
        <w:t>Artículo 215.</w:t>
      </w:r>
      <w:r w:rsidRPr="0057104C">
        <w:rPr>
          <w:rStyle w:val="TextoNormalCaracter"/>
        </w:rPr>
        <w:t>-</w:t>
      </w:r>
      <w:r>
        <w:t xml:space="preserve"> Sentencia </w:t>
      </w:r>
      <w:hyperlink w:anchor="SENTENCIA_2016_13" w:history="1">
        <w:r w:rsidRPr="0057104C">
          <w:rPr>
            <w:rStyle w:val="TextoNormalCaracter"/>
          </w:rPr>
          <w:t>13/2016</w:t>
        </w:r>
      </w:hyperlink>
      <w:r>
        <w:t>, f. 2.</w:t>
      </w:r>
    </w:p>
    <w:p w:rsidR="0057104C" w:rsidRDefault="0057104C" w:rsidP="0057104C">
      <w:pPr>
        <w:pStyle w:val="SangriaFrancesaArticulo"/>
      </w:pPr>
      <w:r w:rsidRPr="0057104C">
        <w:rPr>
          <w:rStyle w:val="TextoNormalNegritaCaracter"/>
        </w:rPr>
        <w:t>Artículo 281.2.</w:t>
      </w:r>
      <w:r w:rsidRPr="0057104C">
        <w:rPr>
          <w:rStyle w:val="TextoNormalCaracter"/>
        </w:rPr>
        <w:t>-</w:t>
      </w:r>
      <w:r>
        <w:t xml:space="preserve"> Auto </w:t>
      </w:r>
      <w:hyperlink w:anchor="AUTO_2016_112" w:history="1">
        <w:r w:rsidRPr="0057104C">
          <w:rPr>
            <w:rStyle w:val="TextoNormalCaracter"/>
          </w:rPr>
          <w:t>112/2016</w:t>
        </w:r>
      </w:hyperlink>
      <w:r>
        <w:t>, VP.</w:t>
      </w:r>
    </w:p>
    <w:p w:rsidR="0057104C" w:rsidRDefault="0057104C" w:rsidP="0057104C">
      <w:pPr>
        <w:pStyle w:val="SangriaFrancesaArticulo"/>
      </w:pPr>
      <w:r w:rsidRPr="0057104C">
        <w:rPr>
          <w:rStyle w:val="TextoNormalNegritaCaracter"/>
        </w:rPr>
        <w:t>Artículo 454.</w:t>
      </w:r>
      <w:r w:rsidRPr="0057104C">
        <w:rPr>
          <w:rStyle w:val="TextoNormalCaracter"/>
        </w:rPr>
        <w:t>-</w:t>
      </w:r>
      <w:r>
        <w:t xml:space="preserve"> Sentencia </w:t>
      </w:r>
      <w:hyperlink w:anchor="SENTENCIA_2016_58" w:history="1">
        <w:r w:rsidRPr="0057104C">
          <w:rPr>
            <w:rStyle w:val="TextoNormalCaracter"/>
          </w:rPr>
          <w:t>58/2016</w:t>
        </w:r>
      </w:hyperlink>
      <w:r>
        <w:t>, f. 3.</w:t>
      </w:r>
    </w:p>
    <w:p w:rsidR="0057104C" w:rsidRDefault="0057104C" w:rsidP="0057104C">
      <w:pPr>
        <w:pStyle w:val="SangriaFrancesaArticulo"/>
      </w:pPr>
      <w:r w:rsidRPr="0057104C">
        <w:rPr>
          <w:rStyle w:val="TextoNormalNegritaCaracter"/>
        </w:rPr>
        <w:t>Artículo 454 bis, 1</w:t>
      </w:r>
      <w:r>
        <w:t xml:space="preserve"> (redactado por la Ley 37/2011, de 10 de octubre)</w:t>
      </w:r>
      <w:r w:rsidRPr="0057104C">
        <w:rPr>
          <w:rStyle w:val="TextoNormalNegritaCaracter"/>
        </w:rPr>
        <w:t>.</w:t>
      </w:r>
      <w:r w:rsidRPr="0057104C">
        <w:rPr>
          <w:rStyle w:val="TextoNormalCaracter"/>
        </w:rPr>
        <w:t>-</w:t>
      </w:r>
      <w:r>
        <w:t xml:space="preserve"> Sentencia </w:t>
      </w:r>
      <w:hyperlink w:anchor="SENTENCIA_2016_58" w:history="1">
        <w:r w:rsidRPr="0057104C">
          <w:rPr>
            <w:rStyle w:val="TextoNormalCaracter"/>
          </w:rPr>
          <w:t>58/2016</w:t>
        </w:r>
      </w:hyperlink>
      <w:r>
        <w:t>, f. 3.</w:t>
      </w:r>
    </w:p>
    <w:p w:rsidR="0057104C" w:rsidRDefault="0057104C" w:rsidP="0057104C">
      <w:pPr>
        <w:pStyle w:val="SangriaFrancesaArticulo"/>
      </w:pPr>
      <w:r w:rsidRPr="0057104C">
        <w:rPr>
          <w:rStyle w:val="TextoNormalNegritaCaracter"/>
        </w:rPr>
        <w:t>Artículo 454 bis, 1 párrafo primero</w:t>
      </w:r>
      <w:r>
        <w:t xml:space="preserve"> (redactado por la Ley 37/2011, de 10 de octubre)</w:t>
      </w:r>
      <w:r w:rsidRPr="0057104C">
        <w:rPr>
          <w:rStyle w:val="TextoNormalNegritaCaracter"/>
        </w:rPr>
        <w:t>.</w:t>
      </w:r>
      <w:r w:rsidRPr="0057104C">
        <w:rPr>
          <w:rStyle w:val="TextoNormalCaracter"/>
        </w:rPr>
        <w:t>-</w:t>
      </w:r>
      <w:r>
        <w:t xml:space="preserve"> Sentencia </w:t>
      </w:r>
      <w:hyperlink w:anchor="SENTENCIA_2016_58" w:history="1">
        <w:r w:rsidRPr="0057104C">
          <w:rPr>
            <w:rStyle w:val="TextoNormalCaracter"/>
          </w:rPr>
          <w:t>58/2016</w:t>
        </w:r>
      </w:hyperlink>
      <w:r>
        <w:t>, f. 4.</w:t>
      </w:r>
    </w:p>
    <w:p w:rsidR="0057104C" w:rsidRDefault="0057104C" w:rsidP="0057104C">
      <w:pPr>
        <w:pStyle w:val="SangriaFrancesaArticulo"/>
      </w:pPr>
      <w:r w:rsidRPr="0057104C">
        <w:rPr>
          <w:rStyle w:val="TextoNormalNegritaCaracter"/>
        </w:rPr>
        <w:t>Artículo 454 bis, 1 párrafo segundo</w:t>
      </w:r>
      <w:r>
        <w:t xml:space="preserve"> (redactado por la Ley 37/2011, de 10 de octubre)</w:t>
      </w:r>
      <w:r w:rsidRPr="0057104C">
        <w:rPr>
          <w:rStyle w:val="TextoNormalNegritaCaracter"/>
        </w:rPr>
        <w:t>.</w:t>
      </w:r>
      <w:r w:rsidRPr="0057104C">
        <w:rPr>
          <w:rStyle w:val="TextoNormalCaracter"/>
        </w:rPr>
        <w:t>-</w:t>
      </w:r>
      <w:r>
        <w:t xml:space="preserve"> Sentencia </w:t>
      </w:r>
      <w:hyperlink w:anchor="SENTENCIA_2016_58" w:history="1">
        <w:r w:rsidRPr="0057104C">
          <w:rPr>
            <w:rStyle w:val="TextoNormalCaracter"/>
          </w:rPr>
          <w:t>58/2016</w:t>
        </w:r>
      </w:hyperlink>
      <w:r>
        <w:t>, f. 4.</w:t>
      </w:r>
    </w:p>
    <w:p w:rsidR="0057104C" w:rsidRDefault="0057104C" w:rsidP="0057104C">
      <w:pPr>
        <w:pStyle w:val="SangriaFrancesaArticulo"/>
      </w:pPr>
      <w:r w:rsidRPr="0057104C">
        <w:rPr>
          <w:rStyle w:val="TextoNormalNegritaCaracter"/>
        </w:rPr>
        <w:t>Artículo 510.2</w:t>
      </w:r>
      <w:r>
        <w:t xml:space="preserve"> (redactado por la Ley Orgánica 7/2015, de 21 de julio)</w:t>
      </w:r>
      <w:r w:rsidRPr="0057104C">
        <w:rPr>
          <w:rStyle w:val="TextoNormalNegritaCaracter"/>
        </w:rPr>
        <w:t>.</w:t>
      </w:r>
      <w:r w:rsidRPr="0057104C">
        <w:rPr>
          <w:rStyle w:val="TextoNormalCaracter"/>
        </w:rPr>
        <w:t>-</w:t>
      </w:r>
      <w:r>
        <w:t xml:space="preserve"> Sentencia </w:t>
      </w:r>
      <w:hyperlink w:anchor="SENTENCIA_2016_65" w:history="1">
        <w:r w:rsidRPr="0057104C">
          <w:rPr>
            <w:rStyle w:val="TextoNormalCaracter"/>
          </w:rPr>
          <w:t>65/2016</w:t>
        </w:r>
      </w:hyperlink>
      <w:r>
        <w:t>, f. 4.</w:t>
      </w:r>
    </w:p>
    <w:p w:rsidR="0057104C" w:rsidRDefault="0057104C" w:rsidP="0057104C">
      <w:pPr>
        <w:pStyle w:val="SangriaFrancesaArticulo"/>
      </w:pPr>
      <w:r w:rsidRPr="0057104C">
        <w:rPr>
          <w:rStyle w:val="TextoNormalNegritaCaracter"/>
        </w:rPr>
        <w:t>Artículo 511.</w:t>
      </w:r>
      <w:r w:rsidRPr="0057104C">
        <w:rPr>
          <w:rStyle w:val="TextoNormalCaracter"/>
        </w:rPr>
        <w:t>-</w:t>
      </w:r>
      <w:r>
        <w:t xml:space="preserve"> Sentencia </w:t>
      </w:r>
      <w:hyperlink w:anchor="SENTENCIA_2016_65" w:history="1">
        <w:r w:rsidRPr="0057104C">
          <w:rPr>
            <w:rStyle w:val="TextoNormalCaracter"/>
          </w:rPr>
          <w:t>65/2016</w:t>
        </w:r>
      </w:hyperlink>
      <w:r>
        <w:t>, f. 4.</w:t>
      </w:r>
    </w:p>
    <w:p w:rsidR="0057104C" w:rsidRDefault="0057104C" w:rsidP="0057104C">
      <w:pPr>
        <w:pStyle w:val="SangriaFrancesaArticulo"/>
      </w:pPr>
      <w:r w:rsidRPr="0057104C">
        <w:rPr>
          <w:rStyle w:val="TextoNormalNegritaCaracter"/>
        </w:rPr>
        <w:t>Artículo 512.1.</w:t>
      </w:r>
      <w:r w:rsidRPr="0057104C">
        <w:rPr>
          <w:rStyle w:val="TextoNormalCaracter"/>
        </w:rPr>
        <w:t>-</w:t>
      </w:r>
      <w:r>
        <w:t xml:space="preserve"> Sentencia </w:t>
      </w:r>
      <w:hyperlink w:anchor="SENTENCIA_2016_65" w:history="1">
        <w:r w:rsidRPr="0057104C">
          <w:rPr>
            <w:rStyle w:val="TextoNormalCaracter"/>
          </w:rPr>
          <w:t>65/2016</w:t>
        </w:r>
      </w:hyperlink>
      <w:r>
        <w:t>, f. 4.</w:t>
      </w:r>
    </w:p>
    <w:p w:rsidR="0057104C" w:rsidRDefault="0057104C" w:rsidP="0057104C">
      <w:pPr>
        <w:pStyle w:val="SangriaFrancesaArticulo"/>
      </w:pPr>
      <w:r w:rsidRPr="0057104C">
        <w:rPr>
          <w:rStyle w:val="TextoNormalNegritaCaracter"/>
        </w:rPr>
        <w:t>Artículo 556.1.</w:t>
      </w:r>
      <w:r w:rsidRPr="0057104C">
        <w:rPr>
          <w:rStyle w:val="TextoNormalCaracter"/>
        </w:rPr>
        <w:t>-</w:t>
      </w:r>
      <w:r>
        <w:t xml:space="preserve"> Auto </w:t>
      </w:r>
      <w:hyperlink w:anchor="AUTO_2016_42" w:history="1">
        <w:r w:rsidRPr="0057104C">
          <w:rPr>
            <w:rStyle w:val="TextoNormalCaracter"/>
          </w:rPr>
          <w:t>42/2016</w:t>
        </w:r>
      </w:hyperlink>
      <w:r>
        <w:t>, f. 1.</w:t>
      </w:r>
    </w:p>
    <w:p w:rsidR="0057104C" w:rsidRDefault="0057104C" w:rsidP="0057104C">
      <w:pPr>
        <w:pStyle w:val="SangriaFrancesaArticulo"/>
      </w:pPr>
      <w:r w:rsidRPr="0057104C">
        <w:rPr>
          <w:rStyle w:val="TextoNormalNegritaCaracter"/>
        </w:rPr>
        <w:t>Artículo 557.1.7.</w:t>
      </w:r>
      <w:r w:rsidRPr="0057104C">
        <w:rPr>
          <w:rStyle w:val="TextoNormalCaracter"/>
        </w:rPr>
        <w:t>-</w:t>
      </w:r>
      <w:r>
        <w:t xml:space="preserve"> Auto </w:t>
      </w:r>
      <w:hyperlink w:anchor="AUTO_2016_42" w:history="1">
        <w:r w:rsidRPr="0057104C">
          <w:rPr>
            <w:rStyle w:val="TextoNormalCaracter"/>
          </w:rPr>
          <w:t>42/2016</w:t>
        </w:r>
      </w:hyperlink>
      <w:r>
        <w:t>, f. 1.</w:t>
      </w:r>
    </w:p>
    <w:p w:rsidR="0057104C" w:rsidRDefault="0057104C" w:rsidP="0057104C">
      <w:pPr>
        <w:pStyle w:val="SangriaFrancesaArticulo"/>
      </w:pPr>
      <w:r w:rsidRPr="0057104C">
        <w:rPr>
          <w:rStyle w:val="TextoNormalNegritaCaracter"/>
        </w:rPr>
        <w:t>Artículo 560, párrafo cuarto.</w:t>
      </w:r>
      <w:r w:rsidRPr="0057104C">
        <w:rPr>
          <w:rStyle w:val="TextoNormalCaracter"/>
        </w:rPr>
        <w:t>-</w:t>
      </w:r>
      <w:r>
        <w:t xml:space="preserve"> Auto </w:t>
      </w:r>
      <w:hyperlink w:anchor="AUTO_2016_28" w:history="1">
        <w:r w:rsidRPr="0057104C">
          <w:rPr>
            <w:rStyle w:val="TextoNormalCaracter"/>
          </w:rPr>
          <w:t>28/2016</w:t>
        </w:r>
      </w:hyperlink>
      <w:r>
        <w:t>, f. 2.</w:t>
      </w:r>
    </w:p>
    <w:p w:rsidR="0057104C" w:rsidRDefault="0057104C" w:rsidP="0057104C">
      <w:pPr>
        <w:pStyle w:val="SangriaFrancesaArticulo"/>
      </w:pPr>
      <w:r w:rsidRPr="0057104C">
        <w:rPr>
          <w:rStyle w:val="TextoNormalNegritaCaracter"/>
        </w:rPr>
        <w:t>Artículo 573.</w:t>
      </w:r>
      <w:r w:rsidRPr="0057104C">
        <w:rPr>
          <w:rStyle w:val="TextoNormalCaracter"/>
        </w:rPr>
        <w:t>-</w:t>
      </w:r>
      <w:r>
        <w:t xml:space="preserve"> Sentencia </w:t>
      </w:r>
      <w:hyperlink w:anchor="SENTENCIA_2016_49" w:history="1">
        <w:r w:rsidRPr="0057104C">
          <w:rPr>
            <w:rStyle w:val="TextoNormalCaracter"/>
          </w:rPr>
          <w:t>49/2016</w:t>
        </w:r>
      </w:hyperlink>
      <w:r>
        <w:t>, f. 3.</w:t>
      </w:r>
    </w:p>
    <w:p w:rsidR="0057104C" w:rsidRDefault="0057104C" w:rsidP="0057104C">
      <w:pPr>
        <w:pStyle w:val="SangriaFrancesaArticulo"/>
      </w:pPr>
      <w:r w:rsidRPr="0057104C">
        <w:rPr>
          <w:rStyle w:val="TextoNormalNegritaCaracter"/>
        </w:rPr>
        <w:t>Artículo 574.</w:t>
      </w:r>
      <w:r w:rsidRPr="0057104C">
        <w:rPr>
          <w:rStyle w:val="TextoNormalCaracter"/>
        </w:rPr>
        <w:t>-</w:t>
      </w:r>
      <w:r>
        <w:t xml:space="preserve"> Sentencia </w:t>
      </w:r>
      <w:hyperlink w:anchor="SENTENCIA_2016_49" w:history="1">
        <w:r w:rsidRPr="0057104C">
          <w:rPr>
            <w:rStyle w:val="TextoNormalCaracter"/>
          </w:rPr>
          <w:t>49/2016</w:t>
        </w:r>
      </w:hyperlink>
      <w:r>
        <w:t>, f. 3.</w:t>
      </w:r>
    </w:p>
    <w:p w:rsidR="0057104C" w:rsidRDefault="0057104C" w:rsidP="0057104C">
      <w:pPr>
        <w:pStyle w:val="SangriaFrancesaArticulo"/>
      </w:pPr>
      <w:r w:rsidRPr="0057104C">
        <w:rPr>
          <w:rStyle w:val="TextoNormalNegritaCaracter"/>
        </w:rPr>
        <w:t>Artículo 575.3.</w:t>
      </w:r>
      <w:r w:rsidRPr="0057104C">
        <w:rPr>
          <w:rStyle w:val="TextoNormalCaracter"/>
        </w:rPr>
        <w:t>-</w:t>
      </w:r>
      <w:r>
        <w:t xml:space="preserve"> Sentencia </w:t>
      </w:r>
      <w:hyperlink w:anchor="SENTENCIA_2016_49" w:history="1">
        <w:r w:rsidRPr="0057104C">
          <w:rPr>
            <w:rStyle w:val="TextoNormalCaracter"/>
          </w:rPr>
          <w:t>49/2016</w:t>
        </w:r>
      </w:hyperlink>
      <w:r>
        <w:t>, f. 3.</w:t>
      </w:r>
    </w:p>
    <w:p w:rsidR="0057104C" w:rsidRDefault="0057104C" w:rsidP="0057104C">
      <w:pPr>
        <w:pStyle w:val="SangriaFrancesaArticulo"/>
      </w:pPr>
      <w:r w:rsidRPr="0057104C">
        <w:rPr>
          <w:rStyle w:val="TextoNormalNegritaCaracter"/>
        </w:rPr>
        <w:t>Artículo 675.</w:t>
      </w:r>
      <w:r w:rsidRPr="0057104C">
        <w:rPr>
          <w:rStyle w:val="TextoNormalCaracter"/>
        </w:rPr>
        <w:t>-</w:t>
      </w:r>
      <w:r>
        <w:t xml:space="preserve"> Auto </w:t>
      </w:r>
      <w:hyperlink w:anchor="AUTO_2016_42" w:history="1">
        <w:r w:rsidRPr="0057104C">
          <w:rPr>
            <w:rStyle w:val="TextoNormalCaracter"/>
          </w:rPr>
          <w:t>42/2016</w:t>
        </w:r>
      </w:hyperlink>
      <w:r>
        <w:t>, f. 1.</w:t>
      </w:r>
    </w:p>
    <w:p w:rsidR="0057104C" w:rsidRDefault="0057104C" w:rsidP="0057104C">
      <w:pPr>
        <w:pStyle w:val="SangriaFrancesaArticulo"/>
      </w:pPr>
      <w:r w:rsidRPr="0057104C">
        <w:rPr>
          <w:rStyle w:val="TextoNormalNegritaCaracter"/>
        </w:rPr>
        <w:t>Artículo 681 y ss..</w:t>
      </w:r>
      <w:r w:rsidRPr="0057104C">
        <w:rPr>
          <w:rStyle w:val="TextoNormalCaracter"/>
        </w:rPr>
        <w:t>-</w:t>
      </w:r>
      <w:r>
        <w:t xml:space="preserve"> Auto </w:t>
      </w:r>
      <w:hyperlink w:anchor="AUTO_2016_42" w:history="1">
        <w:r w:rsidRPr="0057104C">
          <w:rPr>
            <w:rStyle w:val="TextoNormalCaracter"/>
          </w:rPr>
          <w:t>42/2016</w:t>
        </w:r>
      </w:hyperlink>
      <w:r>
        <w:t>, f. 1.</w:t>
      </w:r>
    </w:p>
    <w:p w:rsidR="0057104C" w:rsidRDefault="0057104C" w:rsidP="0057104C">
      <w:pPr>
        <w:pStyle w:val="SangriaFrancesaArticulo"/>
      </w:pPr>
      <w:r w:rsidRPr="0057104C">
        <w:rPr>
          <w:rStyle w:val="TextoNormalNegritaCaracter"/>
        </w:rPr>
        <w:t>Artículo 685.</w:t>
      </w:r>
      <w:r w:rsidRPr="0057104C">
        <w:rPr>
          <w:rStyle w:val="TextoNormalCaracter"/>
        </w:rPr>
        <w:t>-</w:t>
      </w:r>
      <w:r>
        <w:t xml:space="preserve"> Auto </w:t>
      </w:r>
      <w:hyperlink w:anchor="AUTO_2016_4" w:history="1">
        <w:r w:rsidRPr="0057104C">
          <w:rPr>
            <w:rStyle w:val="TextoNormalCaracter"/>
          </w:rPr>
          <w:t>4/2016</w:t>
        </w:r>
      </w:hyperlink>
      <w:r>
        <w:t>, f. único.</w:t>
      </w:r>
    </w:p>
    <w:p w:rsidR="0057104C" w:rsidRDefault="0057104C" w:rsidP="0057104C">
      <w:pPr>
        <w:pStyle w:val="SangriaFrancesaArticulo"/>
      </w:pPr>
      <w:r w:rsidRPr="0057104C">
        <w:rPr>
          <w:rStyle w:val="TextoNormalNegritaCaracter"/>
        </w:rPr>
        <w:t>Artículo 695.</w:t>
      </w:r>
      <w:r w:rsidRPr="0057104C">
        <w:rPr>
          <w:rStyle w:val="TextoNormalCaracter"/>
        </w:rPr>
        <w:t>-</w:t>
      </w:r>
      <w:r>
        <w:t xml:space="preserve"> Sentencia </w:t>
      </w:r>
      <w:hyperlink w:anchor="SENTENCIA_2016_49" w:history="1">
        <w:r w:rsidRPr="0057104C">
          <w:rPr>
            <w:rStyle w:val="TextoNormalCaracter"/>
          </w:rPr>
          <w:t>49/2016</w:t>
        </w:r>
      </w:hyperlink>
      <w:r>
        <w:t>, ff. 1, 3.</w:t>
      </w:r>
    </w:p>
    <w:p w:rsidR="0057104C" w:rsidRDefault="0057104C" w:rsidP="0057104C">
      <w:pPr>
        <w:pStyle w:val="SangriaIzquierdaArticulo"/>
      </w:pPr>
      <w:r>
        <w:t xml:space="preserve">Auto </w:t>
      </w:r>
      <w:hyperlink w:anchor="AUTO_2016_4" w:history="1">
        <w:r w:rsidRPr="0057104C">
          <w:rPr>
            <w:rStyle w:val="TextoNormalCaracter"/>
          </w:rPr>
          <w:t>4/2016</w:t>
        </w:r>
      </w:hyperlink>
      <w:r>
        <w:t>, f. único.</w:t>
      </w:r>
    </w:p>
    <w:p w:rsidR="0057104C" w:rsidRDefault="0057104C" w:rsidP="0057104C">
      <w:pPr>
        <w:pStyle w:val="SangriaFrancesaArticulo"/>
      </w:pPr>
      <w:r w:rsidRPr="0057104C">
        <w:rPr>
          <w:rStyle w:val="TextoNormalNegritaCaracter"/>
        </w:rPr>
        <w:t>Artículo 695.1.</w:t>
      </w:r>
      <w:r w:rsidRPr="0057104C">
        <w:rPr>
          <w:rStyle w:val="TextoNormalCaracter"/>
        </w:rPr>
        <w:t>-</w:t>
      </w:r>
      <w:r>
        <w:t xml:space="preserve"> Sentencia </w:t>
      </w:r>
      <w:hyperlink w:anchor="SENTENCIA_2016_49" w:history="1">
        <w:r w:rsidRPr="0057104C">
          <w:rPr>
            <w:rStyle w:val="TextoNormalCaracter"/>
          </w:rPr>
          <w:t>49/2016</w:t>
        </w:r>
      </w:hyperlink>
      <w:r>
        <w:t>, f. 1.</w:t>
      </w:r>
    </w:p>
    <w:p w:rsidR="0057104C" w:rsidRDefault="0057104C" w:rsidP="0057104C">
      <w:pPr>
        <w:pStyle w:val="SangriaFrancesaArticulo"/>
      </w:pPr>
      <w:r w:rsidRPr="0057104C">
        <w:rPr>
          <w:rStyle w:val="TextoNormalNegritaCaracter"/>
        </w:rPr>
        <w:t>Artículo 695.1.4</w:t>
      </w:r>
      <w:r>
        <w:t xml:space="preserve"> (redactado por la Ley 1/2013, de 14 de mayo)</w:t>
      </w:r>
      <w:r w:rsidRPr="0057104C">
        <w:rPr>
          <w:rStyle w:val="TextoNormalNegritaCaracter"/>
        </w:rPr>
        <w:t>.</w:t>
      </w:r>
      <w:r w:rsidRPr="0057104C">
        <w:rPr>
          <w:rStyle w:val="TextoNormalCaracter"/>
        </w:rPr>
        <w:t>-</w:t>
      </w:r>
      <w:r>
        <w:t xml:space="preserve"> Auto </w:t>
      </w:r>
      <w:hyperlink w:anchor="AUTO_2016_42" w:history="1">
        <w:r w:rsidRPr="0057104C">
          <w:rPr>
            <w:rStyle w:val="TextoNormalCaracter"/>
          </w:rPr>
          <w:t>42/2016</w:t>
        </w:r>
      </w:hyperlink>
      <w:r>
        <w:t>, f. 1.</w:t>
      </w:r>
    </w:p>
    <w:p w:rsidR="0057104C" w:rsidRDefault="0057104C" w:rsidP="0057104C">
      <w:pPr>
        <w:pStyle w:val="SangriaFrancesaArticulo"/>
      </w:pPr>
      <w:r w:rsidRPr="0057104C">
        <w:rPr>
          <w:rStyle w:val="TextoNormalNegritaCaracter"/>
        </w:rPr>
        <w:t>Artículo 749.1.</w:t>
      </w:r>
      <w:r w:rsidRPr="0057104C">
        <w:rPr>
          <w:rStyle w:val="TextoNormalCaracter"/>
        </w:rPr>
        <w:t>-</w:t>
      </w:r>
      <w:r>
        <w:t xml:space="preserve"> Sentencias </w:t>
      </w:r>
      <w:hyperlink w:anchor="SENTENCIA_2016_22" w:history="1">
        <w:r w:rsidRPr="0057104C">
          <w:rPr>
            <w:rStyle w:val="TextoNormalCaracter"/>
          </w:rPr>
          <w:t>22/2016</w:t>
        </w:r>
      </w:hyperlink>
      <w:r>
        <w:t xml:space="preserve">, f. 2; </w:t>
      </w:r>
      <w:hyperlink w:anchor="SENTENCIA_2016_50" w:history="1">
        <w:r w:rsidRPr="0057104C">
          <w:rPr>
            <w:rStyle w:val="TextoNormalCaracter"/>
          </w:rPr>
          <w:t>50/2016</w:t>
        </w:r>
      </w:hyperlink>
      <w:r>
        <w:t>, f. 2.</w:t>
      </w:r>
    </w:p>
    <w:p w:rsidR="0057104C" w:rsidRDefault="0057104C" w:rsidP="0057104C">
      <w:pPr>
        <w:pStyle w:val="SangriaFrancesaArticulo"/>
      </w:pPr>
      <w:r w:rsidRPr="0057104C">
        <w:rPr>
          <w:rStyle w:val="TextoNormalNegritaCaracter"/>
        </w:rPr>
        <w:t>Artículos 756 a 762.</w:t>
      </w:r>
      <w:r w:rsidRPr="0057104C">
        <w:rPr>
          <w:rStyle w:val="TextoNormalCaracter"/>
        </w:rPr>
        <w:t>-</w:t>
      </w:r>
      <w:r>
        <w:t xml:space="preserve"> Sentencia </w:t>
      </w:r>
      <w:hyperlink w:anchor="SENTENCIA_2016_34" w:history="1">
        <w:r w:rsidRPr="0057104C">
          <w:rPr>
            <w:rStyle w:val="TextoNormalCaracter"/>
          </w:rPr>
          <w:t>34/2016</w:t>
        </w:r>
      </w:hyperlink>
      <w:r>
        <w:t>, ff. 3, 4, 6, 7.</w:t>
      </w:r>
    </w:p>
    <w:p w:rsidR="0057104C" w:rsidRDefault="0057104C" w:rsidP="0057104C">
      <w:pPr>
        <w:pStyle w:val="SangriaFrancesaArticulo"/>
      </w:pPr>
      <w:r w:rsidRPr="0057104C">
        <w:rPr>
          <w:rStyle w:val="TextoNormalNegritaCaracter"/>
        </w:rPr>
        <w:t>Artículo 758.</w:t>
      </w:r>
      <w:r w:rsidRPr="0057104C">
        <w:rPr>
          <w:rStyle w:val="TextoNormalCaracter"/>
        </w:rPr>
        <w:t>-</w:t>
      </w:r>
      <w:r>
        <w:t xml:space="preserve"> Sentencias </w:t>
      </w:r>
      <w:hyperlink w:anchor="SENTENCIA_2016_22" w:history="1">
        <w:r w:rsidRPr="0057104C">
          <w:rPr>
            <w:rStyle w:val="TextoNormalCaracter"/>
          </w:rPr>
          <w:t>22/2016</w:t>
        </w:r>
      </w:hyperlink>
      <w:r>
        <w:t xml:space="preserve">, f. 4; </w:t>
      </w:r>
      <w:hyperlink w:anchor="SENTENCIA_2016_50" w:history="1">
        <w:r w:rsidRPr="0057104C">
          <w:rPr>
            <w:rStyle w:val="TextoNormalCaracter"/>
          </w:rPr>
          <w:t>50/2016</w:t>
        </w:r>
      </w:hyperlink>
      <w:r>
        <w:t>, f. 4.</w:t>
      </w:r>
    </w:p>
    <w:p w:rsidR="0057104C" w:rsidRDefault="0057104C" w:rsidP="0057104C">
      <w:pPr>
        <w:pStyle w:val="SangriaFrancesaArticulo"/>
      </w:pPr>
      <w:r w:rsidRPr="0057104C">
        <w:rPr>
          <w:rStyle w:val="TextoNormalNegritaCaracter"/>
        </w:rPr>
        <w:t>Artículo 759.</w:t>
      </w:r>
      <w:r w:rsidRPr="0057104C">
        <w:rPr>
          <w:rStyle w:val="TextoNormalCaracter"/>
        </w:rPr>
        <w:t>-</w:t>
      </w:r>
      <w:r>
        <w:t xml:space="preserve"> Sentencia </w:t>
      </w:r>
      <w:hyperlink w:anchor="SENTENCIA_2016_34" w:history="1">
        <w:r w:rsidRPr="0057104C">
          <w:rPr>
            <w:rStyle w:val="TextoNormalCaracter"/>
          </w:rPr>
          <w:t>34/2016</w:t>
        </w:r>
      </w:hyperlink>
      <w:r>
        <w:t>, f. 4.</w:t>
      </w:r>
    </w:p>
    <w:p w:rsidR="0057104C" w:rsidRDefault="0057104C" w:rsidP="0057104C">
      <w:pPr>
        <w:pStyle w:val="SangriaFrancesaArticulo"/>
      </w:pPr>
      <w:r w:rsidRPr="0057104C">
        <w:rPr>
          <w:rStyle w:val="TextoNormalNegritaCaracter"/>
        </w:rPr>
        <w:t>Artículo 760.1.</w:t>
      </w:r>
      <w:r w:rsidRPr="0057104C">
        <w:rPr>
          <w:rStyle w:val="TextoNormalCaracter"/>
        </w:rPr>
        <w:t>-</w:t>
      </w:r>
      <w:r>
        <w:t xml:space="preserve"> Sentencia </w:t>
      </w:r>
      <w:hyperlink w:anchor="SENTENCIA_2016_34" w:history="1">
        <w:r w:rsidRPr="0057104C">
          <w:rPr>
            <w:rStyle w:val="TextoNormalCaracter"/>
          </w:rPr>
          <w:t>34/2016</w:t>
        </w:r>
      </w:hyperlink>
      <w:r>
        <w:t>, f. 4.</w:t>
      </w:r>
    </w:p>
    <w:p w:rsidR="0057104C" w:rsidRDefault="0057104C" w:rsidP="0057104C">
      <w:pPr>
        <w:pStyle w:val="SangriaFrancesaArticulo"/>
      </w:pPr>
      <w:r w:rsidRPr="0057104C">
        <w:rPr>
          <w:rStyle w:val="TextoNormalNegritaCaracter"/>
        </w:rPr>
        <w:t>Artículo 762.1.</w:t>
      </w:r>
      <w:r w:rsidRPr="0057104C">
        <w:rPr>
          <w:rStyle w:val="TextoNormalCaracter"/>
        </w:rPr>
        <w:t>-</w:t>
      </w:r>
      <w:r>
        <w:t xml:space="preserve"> Sentencia </w:t>
      </w:r>
      <w:hyperlink w:anchor="SENTENCIA_2016_34" w:history="1">
        <w:r w:rsidRPr="0057104C">
          <w:rPr>
            <w:rStyle w:val="TextoNormalCaracter"/>
          </w:rPr>
          <w:t>34/2016</w:t>
        </w:r>
      </w:hyperlink>
      <w:r>
        <w:t>, ff. 4, 7.</w:t>
      </w:r>
    </w:p>
    <w:p w:rsidR="0057104C" w:rsidRDefault="0057104C" w:rsidP="0057104C">
      <w:pPr>
        <w:pStyle w:val="SangriaFrancesaArticulo"/>
      </w:pPr>
      <w:r w:rsidRPr="0057104C">
        <w:rPr>
          <w:rStyle w:val="TextoNormalNegritaCaracter"/>
        </w:rPr>
        <w:t>Artículo 763.</w:t>
      </w:r>
      <w:r w:rsidRPr="0057104C">
        <w:rPr>
          <w:rStyle w:val="TextoNormalCaracter"/>
        </w:rPr>
        <w:t>-</w:t>
      </w:r>
      <w:r>
        <w:t xml:space="preserve"> Sentencias </w:t>
      </w:r>
      <w:hyperlink w:anchor="SENTENCIA_2016_13" w:history="1">
        <w:r w:rsidRPr="0057104C">
          <w:rPr>
            <w:rStyle w:val="TextoNormalCaracter"/>
          </w:rPr>
          <w:t>13/2016</w:t>
        </w:r>
      </w:hyperlink>
      <w:r>
        <w:t xml:space="preserve">, ff. 3, 5; </w:t>
      </w:r>
      <w:hyperlink w:anchor="SENTENCIA_2016_22" w:history="1">
        <w:r w:rsidRPr="0057104C">
          <w:rPr>
            <w:rStyle w:val="TextoNormalCaracter"/>
          </w:rPr>
          <w:t>22/2016</w:t>
        </w:r>
      </w:hyperlink>
      <w:r>
        <w:t xml:space="preserve">, ff. 1, 2, 4, 6; </w:t>
      </w:r>
      <w:hyperlink w:anchor="SENTENCIA_2016_34" w:history="1">
        <w:r w:rsidRPr="0057104C">
          <w:rPr>
            <w:rStyle w:val="TextoNormalCaracter"/>
          </w:rPr>
          <w:t>34/2016</w:t>
        </w:r>
      </w:hyperlink>
      <w:r>
        <w:t xml:space="preserve">, ff. 3 a 6; </w:t>
      </w:r>
      <w:hyperlink w:anchor="SENTENCIA_2016_50" w:history="1">
        <w:r w:rsidRPr="0057104C">
          <w:rPr>
            <w:rStyle w:val="TextoNormalCaracter"/>
          </w:rPr>
          <w:t>50/2016</w:t>
        </w:r>
      </w:hyperlink>
      <w:r>
        <w:t>, ff. 1, 2, 4, 6.</w:t>
      </w:r>
    </w:p>
    <w:p w:rsidR="0057104C" w:rsidRDefault="0057104C" w:rsidP="0057104C">
      <w:pPr>
        <w:pStyle w:val="SangriaFrancesaArticulo"/>
      </w:pPr>
      <w:r w:rsidRPr="0057104C">
        <w:rPr>
          <w:rStyle w:val="TextoNormalNegritaCaracter"/>
        </w:rPr>
        <w:t xml:space="preserve">Artículo 763 </w:t>
      </w:r>
      <w:r w:rsidRPr="0057104C">
        <w:rPr>
          <w:rStyle w:val="TextoNormalNegritaCursivaCaracter"/>
        </w:rPr>
        <w:t>in fine</w:t>
      </w:r>
      <w:r w:rsidRPr="0057104C">
        <w:rPr>
          <w:rStyle w:val="TextoNormalNegritaCaracter"/>
        </w:rPr>
        <w:t>.</w:t>
      </w:r>
      <w:r w:rsidRPr="0057104C">
        <w:rPr>
          <w:rStyle w:val="TextoNormalCaracter"/>
        </w:rPr>
        <w:t>-</w:t>
      </w:r>
      <w:r>
        <w:t xml:space="preserve"> Sentencia </w:t>
      </w:r>
      <w:hyperlink w:anchor="SENTENCIA_2016_22" w:history="1">
        <w:r w:rsidRPr="0057104C">
          <w:rPr>
            <w:rStyle w:val="TextoNormalCaracter"/>
          </w:rPr>
          <w:t>22/2016</w:t>
        </w:r>
      </w:hyperlink>
      <w:r>
        <w:t>, f. 5.</w:t>
      </w:r>
    </w:p>
    <w:p w:rsidR="0057104C" w:rsidRDefault="0057104C" w:rsidP="0057104C">
      <w:pPr>
        <w:pStyle w:val="SangriaFrancesaArticulo"/>
      </w:pPr>
      <w:r w:rsidRPr="0057104C">
        <w:rPr>
          <w:rStyle w:val="TextoNormalNegritaCaracter"/>
        </w:rPr>
        <w:t>Artículo 763.1.</w:t>
      </w:r>
      <w:r w:rsidRPr="0057104C">
        <w:rPr>
          <w:rStyle w:val="TextoNormalCaracter"/>
        </w:rPr>
        <w:t>-</w:t>
      </w:r>
      <w:r>
        <w:t xml:space="preserve"> Sentencias </w:t>
      </w:r>
      <w:hyperlink w:anchor="SENTENCIA_2016_13" w:history="1">
        <w:r w:rsidRPr="0057104C">
          <w:rPr>
            <w:rStyle w:val="TextoNormalCaracter"/>
          </w:rPr>
          <w:t>13/2016</w:t>
        </w:r>
      </w:hyperlink>
      <w:r>
        <w:t xml:space="preserve">, ff. 2, 3; </w:t>
      </w:r>
      <w:hyperlink w:anchor="SENTENCIA_2016_22" w:history="1">
        <w:r w:rsidRPr="0057104C">
          <w:rPr>
            <w:rStyle w:val="TextoNormalCaracter"/>
          </w:rPr>
          <w:t>22/2016</w:t>
        </w:r>
      </w:hyperlink>
      <w:r>
        <w:t xml:space="preserve">, f. 5; </w:t>
      </w:r>
      <w:hyperlink w:anchor="SENTENCIA_2016_34" w:history="1">
        <w:r w:rsidRPr="0057104C">
          <w:rPr>
            <w:rStyle w:val="TextoNormalCaracter"/>
          </w:rPr>
          <w:t>34/2016</w:t>
        </w:r>
      </w:hyperlink>
      <w:r>
        <w:t>, ff. 5 a 7.</w:t>
      </w:r>
    </w:p>
    <w:p w:rsidR="0057104C" w:rsidRDefault="0057104C" w:rsidP="0057104C">
      <w:pPr>
        <w:pStyle w:val="SangriaFrancesaArticulo"/>
      </w:pPr>
      <w:r w:rsidRPr="0057104C">
        <w:rPr>
          <w:rStyle w:val="TextoNormalNegritaCaracter"/>
        </w:rPr>
        <w:t>Artículo 763.3.</w:t>
      </w:r>
      <w:r w:rsidRPr="0057104C">
        <w:rPr>
          <w:rStyle w:val="TextoNormalCaracter"/>
        </w:rPr>
        <w:t>-</w:t>
      </w:r>
      <w:r>
        <w:t xml:space="preserve"> Sentencias </w:t>
      </w:r>
      <w:hyperlink w:anchor="SENTENCIA_2016_22" w:history="1">
        <w:r w:rsidRPr="0057104C">
          <w:rPr>
            <w:rStyle w:val="TextoNormalCaracter"/>
          </w:rPr>
          <w:t>22/2016</w:t>
        </w:r>
      </w:hyperlink>
      <w:r>
        <w:t xml:space="preserve">, f. 4; </w:t>
      </w:r>
      <w:hyperlink w:anchor="SENTENCIA_2016_50" w:history="1">
        <w:r w:rsidRPr="0057104C">
          <w:rPr>
            <w:rStyle w:val="TextoNormalCaracter"/>
          </w:rPr>
          <w:t>50/2016</w:t>
        </w:r>
      </w:hyperlink>
      <w:r>
        <w:t>, f. 4.</w:t>
      </w:r>
    </w:p>
    <w:p w:rsidR="0057104C" w:rsidRDefault="0057104C" w:rsidP="0057104C">
      <w:pPr>
        <w:pStyle w:val="SangriaFrancesaArticulo"/>
      </w:pPr>
      <w:r w:rsidRPr="0057104C">
        <w:rPr>
          <w:rStyle w:val="TextoNormalNegritaCaracter"/>
        </w:rPr>
        <w:t xml:space="preserve">Artículo 763.3 </w:t>
      </w:r>
      <w:r w:rsidRPr="0057104C">
        <w:rPr>
          <w:rStyle w:val="TextoNormalNegritaCursivaCaracter"/>
        </w:rPr>
        <w:t>in fine</w:t>
      </w:r>
      <w:r w:rsidRPr="0057104C">
        <w:rPr>
          <w:rStyle w:val="TextoNormalNegritaCaracter"/>
        </w:rPr>
        <w:t>.</w:t>
      </w:r>
      <w:r w:rsidRPr="0057104C">
        <w:rPr>
          <w:rStyle w:val="TextoNormalCaracter"/>
        </w:rPr>
        <w:t>-</w:t>
      </w:r>
      <w:r>
        <w:t xml:space="preserve"> Sentencia </w:t>
      </w:r>
      <w:hyperlink w:anchor="SENTENCIA_2016_50" w:history="1">
        <w:r w:rsidRPr="0057104C">
          <w:rPr>
            <w:rStyle w:val="TextoNormalCaracter"/>
          </w:rPr>
          <w:t>50/2016</w:t>
        </w:r>
      </w:hyperlink>
      <w:r>
        <w:t>, f. 5.</w:t>
      </w:r>
    </w:p>
    <w:p w:rsidR="0057104C" w:rsidRDefault="0057104C" w:rsidP="0057104C">
      <w:pPr>
        <w:pStyle w:val="SangriaFrancesaArticulo"/>
      </w:pPr>
    </w:p>
    <w:p w:rsidR="0057104C" w:rsidRDefault="0057104C" w:rsidP="0057104C">
      <w:pPr>
        <w:pStyle w:val="TextoNormalNegritaCursivandice"/>
      </w:pPr>
      <w:r>
        <w:t>Ley 15/2001 de 9 de julio. Fomento y promoción de la cinematografía y el sector audiovisual</w:t>
      </w:r>
    </w:p>
    <w:p w:rsidR="0057104C" w:rsidRDefault="0057104C" w:rsidP="0057104C">
      <w:pPr>
        <w:pStyle w:val="SangriaFrancesaArticulo"/>
      </w:pPr>
      <w:r w:rsidRPr="0057104C">
        <w:rPr>
          <w:rStyle w:val="TextoNormalNegritaCaracter"/>
        </w:rPr>
        <w:t>Disposición adicional segunda.</w:t>
      </w:r>
      <w:r w:rsidRPr="0057104C">
        <w:rPr>
          <w:rStyle w:val="TextoNormalCaracter"/>
        </w:rPr>
        <w:t>-</w:t>
      </w:r>
      <w:r>
        <w:t xml:space="preserve"> Sentencia </w:t>
      </w:r>
      <w:hyperlink w:anchor="SENTENCIA_2016_35" w:history="1">
        <w:r w:rsidRPr="0057104C">
          <w:rPr>
            <w:rStyle w:val="TextoNormalCaracter"/>
          </w:rPr>
          <w:t>35/2016</w:t>
        </w:r>
      </w:hyperlink>
      <w:r>
        <w:t>, f. 1.</w:t>
      </w:r>
    </w:p>
    <w:p w:rsidR="0057104C" w:rsidRDefault="0057104C" w:rsidP="0057104C">
      <w:pPr>
        <w:pStyle w:val="SangriaFrancesaArticulo"/>
      </w:pPr>
    </w:p>
    <w:p w:rsidR="0057104C" w:rsidRDefault="0057104C" w:rsidP="0057104C">
      <w:pPr>
        <w:pStyle w:val="TextoNormalNegritaCursivandice"/>
      </w:pPr>
      <w:r>
        <w:t>Ley 18/2001, de 12 de diciembre. General de estabilidad presupuestaria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0" w:history="1">
        <w:r w:rsidRPr="0057104C">
          <w:rPr>
            <w:rStyle w:val="TextoNormalCaracter"/>
          </w:rPr>
          <w:t>70/2016</w:t>
        </w:r>
      </w:hyperlink>
      <w:r>
        <w:t>, f. 7.</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31" w:history="1">
        <w:r w:rsidRPr="0057104C">
          <w:rPr>
            <w:rStyle w:val="TextoNormalCaracter"/>
          </w:rPr>
          <w:t>31/2016</w:t>
        </w:r>
      </w:hyperlink>
      <w:r>
        <w:t>, f. 4.</w:t>
      </w:r>
    </w:p>
    <w:p w:rsidR="0057104C" w:rsidRDefault="0057104C" w:rsidP="0057104C">
      <w:pPr>
        <w:pStyle w:val="SangriaFrancesaArticulo"/>
      </w:pPr>
    </w:p>
    <w:p w:rsidR="0057104C" w:rsidRDefault="0057104C" w:rsidP="0057104C">
      <w:pPr>
        <w:pStyle w:val="TextoNormalNegritaCursivandice"/>
      </w:pPr>
      <w:r>
        <w:t>Ley 21/2001, de 27 de diciembre.  Medidas fiscales y administrativas del nuevo sistema de financiación de las Comunidades Autónomas de régimen común y ciudades con estatuto de autonomía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25" w:history="1">
        <w:r w:rsidRPr="0057104C">
          <w:rPr>
            <w:rStyle w:val="TextoNormalCaracter"/>
          </w:rPr>
          <w:t>25/2016</w:t>
        </w:r>
      </w:hyperlink>
      <w:r>
        <w:t xml:space="preserve">, f. 2; </w:t>
      </w:r>
      <w:hyperlink w:anchor="SENTENCIA_2016_96" w:history="1">
        <w:r w:rsidRPr="0057104C">
          <w:rPr>
            <w:rStyle w:val="TextoNormalCaracter"/>
          </w:rPr>
          <w:t>96/2016</w:t>
        </w:r>
      </w:hyperlink>
      <w:r>
        <w:t>, ff. 6, 8.</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41.2.</w:t>
      </w:r>
      <w:r w:rsidRPr="0057104C">
        <w:rPr>
          <w:rStyle w:val="TextoNormalCaracter"/>
        </w:rPr>
        <w:t>-</w:t>
      </w:r>
      <w:r>
        <w:t xml:space="preserve"> Sentencia </w:t>
      </w:r>
      <w:hyperlink w:anchor="SENTENCIA_2016_25" w:history="1">
        <w:r w:rsidRPr="0057104C">
          <w:rPr>
            <w:rStyle w:val="TextoNormalCaracter"/>
          </w:rPr>
          <w:t>25/2016</w:t>
        </w:r>
      </w:hyperlink>
      <w:r>
        <w:t>, f. 4.</w:t>
      </w:r>
    </w:p>
    <w:p w:rsidR="0057104C" w:rsidRDefault="0057104C" w:rsidP="0057104C">
      <w:pPr>
        <w:pStyle w:val="SangriaFrancesaArticulo"/>
      </w:pPr>
      <w:r w:rsidRPr="0057104C">
        <w:rPr>
          <w:rStyle w:val="TextoNormalNegritaCaracter"/>
        </w:rPr>
        <w:t>Artículo 47.1 a).</w:t>
      </w:r>
      <w:r w:rsidRPr="0057104C">
        <w:rPr>
          <w:rStyle w:val="TextoNormalCaracter"/>
        </w:rPr>
        <w:t>-</w:t>
      </w:r>
      <w:r>
        <w:t xml:space="preserve"> Sentencia </w:t>
      </w:r>
      <w:hyperlink w:anchor="SENTENCIA_2016_25" w:history="1">
        <w:r w:rsidRPr="0057104C">
          <w:rPr>
            <w:rStyle w:val="TextoNormalCaracter"/>
          </w:rPr>
          <w:t>25/2016</w:t>
        </w:r>
      </w:hyperlink>
      <w:r>
        <w:t>, ff. 1, 4, 5.</w:t>
      </w:r>
    </w:p>
    <w:p w:rsidR="0057104C" w:rsidRDefault="0057104C" w:rsidP="0057104C">
      <w:pPr>
        <w:pStyle w:val="SangriaFrancesaArticulo"/>
      </w:pPr>
    </w:p>
    <w:p w:rsidR="0057104C" w:rsidRDefault="0057104C" w:rsidP="0057104C">
      <w:pPr>
        <w:pStyle w:val="TextoNormalNegritaCursivandice"/>
      </w:pPr>
      <w:r>
        <w:t>Ley 12/2002, de 23 de mayo. Concierto económico con la Comunidad Autónoma del País Vasco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3" w:history="1">
        <w:r w:rsidRPr="0057104C">
          <w:rPr>
            <w:rStyle w:val="TextoNormalCaracter"/>
          </w:rPr>
          <w:t>3/2016</w:t>
        </w:r>
      </w:hyperlink>
      <w:r>
        <w:t xml:space="preserve">, f. 4; </w:t>
      </w:r>
      <w:hyperlink w:anchor="SENTENCIA_2016_118" w:history="1">
        <w:r w:rsidRPr="0057104C">
          <w:rPr>
            <w:rStyle w:val="TextoNormalCaracter"/>
          </w:rPr>
          <w:t>118/2016</w:t>
        </w:r>
      </w:hyperlink>
      <w:r>
        <w:t xml:space="preserve">, ff. 2, 3; </w:t>
      </w:r>
      <w:hyperlink w:anchor="SENTENCIA_2016_119" w:history="1">
        <w:r w:rsidRPr="0057104C">
          <w:rPr>
            <w:rStyle w:val="TextoNormalCaracter"/>
          </w:rPr>
          <w:t>119/2016</w:t>
        </w:r>
      </w:hyperlink>
      <w:r>
        <w:t>, f. 3.</w:t>
      </w:r>
    </w:p>
    <w:p w:rsidR="0057104C" w:rsidRDefault="0057104C" w:rsidP="0057104C">
      <w:pPr>
        <w:pStyle w:val="SangriaFrancesaArticulo"/>
      </w:pPr>
      <w:r w:rsidRPr="0057104C">
        <w:rPr>
          <w:rStyle w:val="TextoNormalNegritaCaracter"/>
        </w:rPr>
        <w:t>Artículo 2.1.5.</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3 a).</w:t>
      </w:r>
      <w:r w:rsidRPr="0057104C">
        <w:rPr>
          <w:rStyle w:val="TextoNormalCaracter"/>
        </w:rPr>
        <w:t>-</w:t>
      </w:r>
      <w:r>
        <w:t xml:space="preserve"> Sentencia </w:t>
      </w:r>
      <w:hyperlink w:anchor="SENTENCIA_2016_3" w:history="1">
        <w:r w:rsidRPr="0057104C">
          <w:rPr>
            <w:rStyle w:val="TextoNormalCaracter"/>
          </w:rPr>
          <w:t>3/2016</w:t>
        </w:r>
      </w:hyperlink>
      <w:r>
        <w:t>, ff. 2, 4, 5.</w:t>
      </w:r>
    </w:p>
    <w:p w:rsidR="0057104C" w:rsidRDefault="0057104C" w:rsidP="0057104C">
      <w:pPr>
        <w:pStyle w:val="SangriaFrancesaArticulo"/>
      </w:pPr>
      <w:r w:rsidRPr="0057104C">
        <w:rPr>
          <w:rStyle w:val="TextoNormalNegritaCaracter"/>
        </w:rPr>
        <w:t>Artículo 61.</w:t>
      </w:r>
      <w:r w:rsidRPr="0057104C">
        <w:rPr>
          <w:rStyle w:val="TextoNormalCaracter"/>
        </w:rPr>
        <w:t>-</w:t>
      </w:r>
      <w:r>
        <w:t xml:space="preserve"> Sentencia </w:t>
      </w:r>
      <w:hyperlink w:anchor="SENTENCIA_2016_119" w:history="1">
        <w:r w:rsidRPr="0057104C">
          <w:rPr>
            <w:rStyle w:val="TextoNormalCaracter"/>
          </w:rPr>
          <w:t>119/2016</w:t>
        </w:r>
      </w:hyperlink>
      <w:r>
        <w:t>, f. 3.</w:t>
      </w:r>
    </w:p>
    <w:p w:rsidR="0057104C" w:rsidRDefault="0057104C" w:rsidP="0057104C">
      <w:pPr>
        <w:pStyle w:val="SangriaFrancesaArticulo"/>
      </w:pPr>
      <w:r w:rsidRPr="0057104C">
        <w:rPr>
          <w:rStyle w:val="TextoNormalNegritaCaracter"/>
        </w:rPr>
        <w:t>Artículo 62 b).</w:t>
      </w:r>
      <w:r w:rsidRPr="0057104C">
        <w:rPr>
          <w:rStyle w:val="TextoNormalCaracter"/>
        </w:rPr>
        <w:t>-</w:t>
      </w:r>
      <w:r>
        <w:t xml:space="preserve"> Sentencia </w:t>
      </w:r>
      <w:hyperlink w:anchor="SENTENCIA_2016_119" w:history="1">
        <w:r w:rsidRPr="0057104C">
          <w:rPr>
            <w:rStyle w:val="TextoNormalCaracter"/>
          </w:rPr>
          <w:t>119/2016</w:t>
        </w:r>
      </w:hyperlink>
      <w:r>
        <w:t>, f. 3.</w:t>
      </w:r>
    </w:p>
    <w:p w:rsidR="0057104C" w:rsidRDefault="0057104C" w:rsidP="0057104C">
      <w:pPr>
        <w:pStyle w:val="SangriaFrancesaArticulo"/>
      </w:pPr>
    </w:p>
    <w:p w:rsidR="0057104C" w:rsidRDefault="0057104C" w:rsidP="0057104C">
      <w:pPr>
        <w:pStyle w:val="TextoNormalNegritaCursivandice"/>
      </w:pPr>
      <w:r>
        <w:t>Ley 11/2003, de 21 de mayo. Equipos conjuntos de investigación penal en el ámbito de la Unión Europea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22" w:history="1">
        <w:r w:rsidRPr="0057104C">
          <w:rPr>
            <w:rStyle w:val="TextoNormalCaracter"/>
          </w:rPr>
          <w:t>122/2016</w:t>
        </w:r>
      </w:hyperlink>
      <w:r>
        <w:t>, f. 4.</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Auto </w:t>
      </w:r>
      <w:hyperlink w:anchor="AUTO_2016_122" w:history="1">
        <w:r w:rsidRPr="0057104C">
          <w:rPr>
            <w:rStyle w:val="TextoNormalCaracter"/>
          </w:rPr>
          <w:t>122/2016</w:t>
        </w:r>
      </w:hyperlink>
      <w:r>
        <w:t>, ff. 1, 4.</w:t>
      </w:r>
    </w:p>
    <w:p w:rsidR="0057104C" w:rsidRDefault="0057104C" w:rsidP="0057104C">
      <w:pPr>
        <w:pStyle w:val="SangriaFrancesaArticulo"/>
      </w:pPr>
      <w:r w:rsidRPr="0057104C">
        <w:rPr>
          <w:rStyle w:val="TextoNormalNegritaCaracter"/>
        </w:rPr>
        <w:t>Artículo 3, párrafo 2.</w:t>
      </w:r>
      <w:r w:rsidRPr="0057104C">
        <w:rPr>
          <w:rStyle w:val="TextoNormalCaracter"/>
        </w:rPr>
        <w:t>-</w:t>
      </w:r>
      <w:r>
        <w:t xml:space="preserve"> Auto </w:t>
      </w:r>
      <w:hyperlink w:anchor="AUTO_2016_122" w:history="1">
        <w:r w:rsidRPr="0057104C">
          <w:rPr>
            <w:rStyle w:val="TextoNormalCaracter"/>
          </w:rPr>
          <w:t>122/2016</w:t>
        </w:r>
      </w:hyperlink>
      <w:r>
        <w:t>, ff. 1, 2, 4.</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Auto </w:t>
      </w:r>
      <w:hyperlink w:anchor="AUTO_2016_122" w:history="1">
        <w:r w:rsidRPr="0057104C">
          <w:rPr>
            <w:rStyle w:val="TextoNormalCaracter"/>
          </w:rPr>
          <w:t>122/2016</w:t>
        </w:r>
      </w:hyperlink>
      <w:r>
        <w:t>, f. 4.</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Auto </w:t>
      </w:r>
      <w:hyperlink w:anchor="AUTO_2016_122" w:history="1">
        <w:r w:rsidRPr="0057104C">
          <w:rPr>
            <w:rStyle w:val="TextoNormalCaracter"/>
          </w:rPr>
          <w:t>122/2016</w:t>
        </w:r>
      </w:hyperlink>
      <w:r>
        <w:t>, f. 4.</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Auto </w:t>
      </w:r>
      <w:hyperlink w:anchor="AUTO_2016_122" w:history="1">
        <w:r w:rsidRPr="0057104C">
          <w:rPr>
            <w:rStyle w:val="TextoNormalCaracter"/>
          </w:rPr>
          <w:t>122/2016</w:t>
        </w:r>
      </w:hyperlink>
      <w:r>
        <w:t>, ff. 1, 4.</w:t>
      </w:r>
    </w:p>
    <w:p w:rsidR="0057104C" w:rsidRDefault="0057104C" w:rsidP="0057104C">
      <w:pPr>
        <w:pStyle w:val="SangriaFrancesaArticulo"/>
      </w:pPr>
      <w:r w:rsidRPr="0057104C">
        <w:rPr>
          <w:rStyle w:val="TextoNormalNegritaCaracter"/>
        </w:rPr>
        <w:t>Artículo 9.1.</w:t>
      </w:r>
      <w:r w:rsidRPr="0057104C">
        <w:rPr>
          <w:rStyle w:val="TextoNormalCaracter"/>
        </w:rPr>
        <w:t>-</w:t>
      </w:r>
      <w:r>
        <w:t xml:space="preserve"> Auto </w:t>
      </w:r>
      <w:hyperlink w:anchor="AUTO_2016_122" w:history="1">
        <w:r w:rsidRPr="0057104C">
          <w:rPr>
            <w:rStyle w:val="TextoNormalCaracter"/>
          </w:rPr>
          <w:t>122/2016</w:t>
        </w:r>
      </w:hyperlink>
      <w:r>
        <w:t>, ff. 1, 2.</w:t>
      </w:r>
    </w:p>
    <w:p w:rsidR="0057104C" w:rsidRDefault="0057104C" w:rsidP="0057104C">
      <w:pPr>
        <w:pStyle w:val="SangriaFrancesaArticulo"/>
      </w:pPr>
      <w:r w:rsidRPr="0057104C">
        <w:rPr>
          <w:rStyle w:val="TextoNormalNegritaCaracter"/>
        </w:rPr>
        <w:t>Artículo 9.2.</w:t>
      </w:r>
      <w:r w:rsidRPr="0057104C">
        <w:rPr>
          <w:rStyle w:val="TextoNormalCaracter"/>
        </w:rPr>
        <w:t>-</w:t>
      </w:r>
      <w:r>
        <w:t xml:space="preserve"> Auto </w:t>
      </w:r>
      <w:hyperlink w:anchor="AUTO_2016_122" w:history="1">
        <w:r w:rsidRPr="0057104C">
          <w:rPr>
            <w:rStyle w:val="TextoNormalCaracter"/>
          </w:rPr>
          <w:t>122/2016</w:t>
        </w:r>
      </w:hyperlink>
      <w:r>
        <w:t>, f. 2.</w:t>
      </w:r>
    </w:p>
    <w:p w:rsidR="0057104C" w:rsidRDefault="0057104C" w:rsidP="0057104C">
      <w:pPr>
        <w:pStyle w:val="SangriaFrancesaArticulo"/>
      </w:pPr>
      <w:r w:rsidRPr="0057104C">
        <w:rPr>
          <w:rStyle w:val="TextoNormalNegritaCaracter"/>
        </w:rPr>
        <w:t>Artículo 12.1.</w:t>
      </w:r>
      <w:r w:rsidRPr="0057104C">
        <w:rPr>
          <w:rStyle w:val="TextoNormalCaracter"/>
        </w:rPr>
        <w:t>-</w:t>
      </w:r>
      <w:r>
        <w:t xml:space="preserve"> Auto </w:t>
      </w:r>
      <w:hyperlink w:anchor="AUTO_2016_122" w:history="1">
        <w:r w:rsidRPr="0057104C">
          <w:rPr>
            <w:rStyle w:val="TextoNormalCaracter"/>
          </w:rPr>
          <w:t>122/2016</w:t>
        </w:r>
      </w:hyperlink>
      <w:r>
        <w:t>, f. 4.</w:t>
      </w:r>
    </w:p>
    <w:p w:rsidR="0057104C" w:rsidRDefault="0057104C" w:rsidP="0057104C">
      <w:pPr>
        <w:pStyle w:val="SangriaFrancesaArticulo"/>
      </w:pPr>
    </w:p>
    <w:p w:rsidR="0057104C" w:rsidRDefault="0057104C" w:rsidP="0057104C">
      <w:pPr>
        <w:pStyle w:val="TextoNormalNegritaCursivandice"/>
      </w:pPr>
      <w:r>
        <w:t>Ley 16/2003, de 28 de mayo. Cohesión y calidad del sistema nacional de salud</w:t>
      </w:r>
    </w:p>
    <w:p w:rsidR="0057104C" w:rsidRDefault="0057104C" w:rsidP="0057104C">
      <w:pPr>
        <w:pStyle w:val="SangriaFrancesaArticulo"/>
      </w:pPr>
      <w:r w:rsidRPr="0057104C">
        <w:rPr>
          <w:rStyle w:val="TextoNormalNegritaCaracter"/>
        </w:rPr>
        <w:t>Artículo 3.5.</w:t>
      </w:r>
      <w:r w:rsidRPr="0057104C">
        <w:rPr>
          <w:rStyle w:val="TextoNormalCaracter"/>
        </w:rPr>
        <w:t>-</w:t>
      </w:r>
      <w:r>
        <w:t xml:space="preserve"> Auto </w:t>
      </w:r>
      <w:hyperlink w:anchor="AUTO_2016_54" w:history="1">
        <w:r w:rsidRPr="0057104C">
          <w:rPr>
            <w:rStyle w:val="TextoNormalCaracter"/>
          </w:rPr>
          <w:t>54/2016</w:t>
        </w:r>
      </w:hyperlink>
      <w:r>
        <w:t>, f. 4.</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18" w:history="1">
        <w:r w:rsidRPr="0057104C">
          <w:rPr>
            <w:rStyle w:val="TextoNormalCaracter"/>
          </w:rPr>
          <w:t>18/2016</w:t>
        </w:r>
      </w:hyperlink>
      <w:r>
        <w:t>, f. 7.</w:t>
      </w:r>
    </w:p>
    <w:p w:rsidR="0057104C" w:rsidRDefault="0057104C" w:rsidP="0057104C">
      <w:pPr>
        <w:pStyle w:val="SangriaFrancesaArticulo"/>
      </w:pPr>
    </w:p>
    <w:p w:rsidR="0057104C" w:rsidRDefault="0057104C" w:rsidP="0057104C">
      <w:pPr>
        <w:pStyle w:val="TextoNormalNegritaCursivandice"/>
      </w:pPr>
      <w:r>
        <w:t>Ley 22/2003, de 9 de julio. Concursal</w:t>
      </w:r>
    </w:p>
    <w:p w:rsidR="0057104C" w:rsidRDefault="0057104C" w:rsidP="0057104C">
      <w:pPr>
        <w:pStyle w:val="SangriaFrancesaArticulo"/>
      </w:pPr>
      <w:r w:rsidRPr="0057104C">
        <w:rPr>
          <w:rStyle w:val="TextoNormalNegritaCaracter"/>
        </w:rPr>
        <w:t>Artículo 168.</w:t>
      </w:r>
      <w:r w:rsidRPr="0057104C">
        <w:rPr>
          <w:rStyle w:val="TextoNormalCaracter"/>
        </w:rPr>
        <w:t>-</w:t>
      </w:r>
      <w:r>
        <w:t xml:space="preserve"> Auto </w:t>
      </w:r>
      <w:hyperlink w:anchor="AUTO_2016_35" w:history="1">
        <w:r w:rsidRPr="0057104C">
          <w:rPr>
            <w:rStyle w:val="TextoNormalCaracter"/>
          </w:rPr>
          <w:t>35/2016</w:t>
        </w:r>
      </w:hyperlink>
      <w:r>
        <w:t>, f. 3.</w:t>
      </w:r>
    </w:p>
    <w:p w:rsidR="0057104C" w:rsidRDefault="0057104C" w:rsidP="0057104C">
      <w:pPr>
        <w:pStyle w:val="SangriaFrancesaArticulo"/>
      </w:pPr>
      <w:r w:rsidRPr="0057104C">
        <w:rPr>
          <w:rStyle w:val="TextoNormalNegritaCaracter"/>
        </w:rPr>
        <w:t>Artículo 168.1</w:t>
      </w:r>
      <w:r>
        <w:t xml:space="preserve"> (redactado por el Real Decreto-ley 3/2009, de 27 de marzo)</w:t>
      </w:r>
      <w:r w:rsidRPr="0057104C">
        <w:rPr>
          <w:rStyle w:val="TextoNormalNegritaCaracter"/>
        </w:rPr>
        <w:t>.</w:t>
      </w:r>
      <w:r w:rsidRPr="0057104C">
        <w:rPr>
          <w:rStyle w:val="TextoNormalCaracter"/>
        </w:rPr>
        <w:t>-</w:t>
      </w:r>
      <w:r>
        <w:t xml:space="preserve"> Autos </w:t>
      </w:r>
      <w:hyperlink w:anchor="AUTO_2016_35" w:history="1">
        <w:r w:rsidRPr="0057104C">
          <w:rPr>
            <w:rStyle w:val="TextoNormalCaracter"/>
          </w:rPr>
          <w:t>35/2016</w:t>
        </w:r>
      </w:hyperlink>
      <w:r>
        <w:t xml:space="preserve">, ff. 1, 4; </w:t>
      </w:r>
      <w:hyperlink w:anchor="AUTO_2016_36" w:history="1">
        <w:r w:rsidRPr="0057104C">
          <w:rPr>
            <w:rStyle w:val="TextoNormalCaracter"/>
          </w:rPr>
          <w:t>36/2016</w:t>
        </w:r>
      </w:hyperlink>
      <w:r>
        <w:t>, ff. 1, 3, 4.</w:t>
      </w:r>
    </w:p>
    <w:p w:rsidR="0057104C" w:rsidRDefault="0057104C" w:rsidP="0057104C">
      <w:pPr>
        <w:pStyle w:val="SangriaFrancesaArticulo"/>
      </w:pPr>
      <w:r w:rsidRPr="0057104C">
        <w:rPr>
          <w:rStyle w:val="TextoNormalNegritaCaracter"/>
        </w:rPr>
        <w:t>Artículo 170.1.</w:t>
      </w:r>
      <w:r w:rsidRPr="0057104C">
        <w:rPr>
          <w:rStyle w:val="TextoNormalCaracter"/>
        </w:rPr>
        <w:t>-</w:t>
      </w:r>
      <w:r>
        <w:t xml:space="preserve"> Autos </w:t>
      </w:r>
      <w:hyperlink w:anchor="AUTO_2016_35" w:history="1">
        <w:r w:rsidRPr="0057104C">
          <w:rPr>
            <w:rStyle w:val="TextoNormalCaracter"/>
          </w:rPr>
          <w:t>35/2016</w:t>
        </w:r>
      </w:hyperlink>
      <w:r>
        <w:t xml:space="preserve">, ff. 1, 3, 4; </w:t>
      </w:r>
      <w:hyperlink w:anchor="AUTO_2016_36" w:history="1">
        <w:r w:rsidRPr="0057104C">
          <w:rPr>
            <w:rStyle w:val="TextoNormalCaracter"/>
          </w:rPr>
          <w:t>36/2016</w:t>
        </w:r>
      </w:hyperlink>
      <w:r>
        <w:t>, ff. 1, 3, 4.</w:t>
      </w:r>
    </w:p>
    <w:p w:rsidR="0057104C" w:rsidRDefault="0057104C" w:rsidP="0057104C">
      <w:pPr>
        <w:pStyle w:val="SangriaFrancesaArticulo"/>
      </w:pPr>
      <w:r w:rsidRPr="0057104C">
        <w:rPr>
          <w:rStyle w:val="TextoNormalNegritaCaracter"/>
        </w:rPr>
        <w:t>Artículo 172 bis. 4.</w:t>
      </w:r>
      <w:r w:rsidRPr="0057104C">
        <w:rPr>
          <w:rStyle w:val="TextoNormalCaracter"/>
        </w:rPr>
        <w:t>-</w:t>
      </w:r>
      <w:r>
        <w:t xml:space="preserve"> Autos </w:t>
      </w:r>
      <w:hyperlink w:anchor="AUTO_2016_35" w:history="1">
        <w:r w:rsidRPr="0057104C">
          <w:rPr>
            <w:rStyle w:val="TextoNormalCaracter"/>
          </w:rPr>
          <w:t>35/2016</w:t>
        </w:r>
      </w:hyperlink>
      <w:r>
        <w:t xml:space="preserve">, f. 4; </w:t>
      </w:r>
      <w:hyperlink w:anchor="AUTO_2016_36" w:history="1">
        <w:r w:rsidRPr="0057104C">
          <w:rPr>
            <w:rStyle w:val="TextoNormalCaracter"/>
          </w:rPr>
          <w:t>36/2016</w:t>
        </w:r>
      </w:hyperlink>
      <w:r>
        <w:t>, f. 4.</w:t>
      </w:r>
    </w:p>
    <w:p w:rsidR="0057104C" w:rsidRDefault="0057104C" w:rsidP="0057104C">
      <w:pPr>
        <w:pStyle w:val="SangriaFrancesaArticulo"/>
      </w:pPr>
    </w:p>
    <w:p w:rsidR="0057104C" w:rsidRDefault="0057104C" w:rsidP="0057104C">
      <w:pPr>
        <w:pStyle w:val="TextoNormalNegritaCursivandice"/>
      </w:pPr>
      <w:r>
        <w:t>Ley 32/2003, de 3 de noviembre. General de telecomunicaciones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 w:history="1">
        <w:r w:rsidRPr="0057104C">
          <w:rPr>
            <w:rStyle w:val="TextoNormalCaracter"/>
          </w:rPr>
          <w:t>8/2016</w:t>
        </w:r>
      </w:hyperlink>
      <w:r>
        <w:t>, f. 2.</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9.4.</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40.5.</w:t>
      </w:r>
      <w:r w:rsidRPr="0057104C">
        <w:rPr>
          <w:rStyle w:val="TextoNormalCaracter"/>
        </w:rPr>
        <w:t>-</w:t>
      </w:r>
      <w:r>
        <w:t xml:space="preserve"> Sentencia </w:t>
      </w:r>
      <w:hyperlink w:anchor="SENTENCIA_2016_20" w:history="1">
        <w:r w:rsidRPr="0057104C">
          <w:rPr>
            <w:rStyle w:val="TextoNormalCaracter"/>
          </w:rPr>
          <w:t>20/2016</w:t>
        </w:r>
      </w:hyperlink>
      <w:r>
        <w:t>, f. 10.</w:t>
      </w:r>
    </w:p>
    <w:p w:rsidR="0057104C" w:rsidRDefault="0057104C" w:rsidP="0057104C">
      <w:pPr>
        <w:pStyle w:val="SangriaFrancesaArticulo"/>
      </w:pPr>
      <w:r w:rsidRPr="0057104C">
        <w:rPr>
          <w:rStyle w:val="TextoNormalNegritaCaracter"/>
        </w:rPr>
        <w:t>Artículo 41.3.</w:t>
      </w:r>
      <w:r w:rsidRPr="0057104C">
        <w:rPr>
          <w:rStyle w:val="TextoNormalCaracter"/>
        </w:rPr>
        <w:t>-</w:t>
      </w:r>
      <w:r>
        <w:t xml:space="preserve"> Sentencia </w:t>
      </w:r>
      <w:hyperlink w:anchor="SENTENCIA_2016_20" w:history="1">
        <w:r w:rsidRPr="0057104C">
          <w:rPr>
            <w:rStyle w:val="TextoNormalCaracter"/>
          </w:rPr>
          <w:t>20/2016</w:t>
        </w:r>
      </w:hyperlink>
      <w:r>
        <w:t>, f. 10.</w:t>
      </w:r>
    </w:p>
    <w:p w:rsidR="0057104C" w:rsidRDefault="0057104C" w:rsidP="0057104C">
      <w:pPr>
        <w:pStyle w:val="SangriaFrancesaArticulo"/>
      </w:pPr>
    </w:p>
    <w:p w:rsidR="0057104C" w:rsidRDefault="0057104C" w:rsidP="0057104C">
      <w:pPr>
        <w:pStyle w:val="TextoNormalNegritaCursivandice"/>
      </w:pPr>
      <w:r>
        <w:t>Ley 38/2003, de 17 de noviembre. General de subvenciones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7" w:history="1">
        <w:r w:rsidRPr="0057104C">
          <w:rPr>
            <w:rStyle w:val="TextoNormalCaracter"/>
          </w:rPr>
          <w:t>87/2016</w:t>
        </w:r>
      </w:hyperlink>
      <w:r>
        <w:t>, f. 7.</w:t>
      </w:r>
    </w:p>
    <w:p w:rsidR="0057104C" w:rsidRDefault="0057104C" w:rsidP="0057104C">
      <w:pPr>
        <w:pStyle w:val="SangriaFrancesaArticulo"/>
      </w:pPr>
      <w:r w:rsidRPr="0057104C">
        <w:rPr>
          <w:rStyle w:val="TextoNormalNegritaCaracter"/>
        </w:rPr>
        <w:t>Artículo 7</w:t>
      </w:r>
      <w:r>
        <w:t xml:space="preserve"> (redactado por el Real Decreto-ley 7/2013, de 28 de junio)</w:t>
      </w:r>
      <w:r w:rsidRPr="0057104C">
        <w:rPr>
          <w:rStyle w:val="TextoNormalNegritaCaracter"/>
        </w:rPr>
        <w:t>.</w:t>
      </w:r>
      <w:r w:rsidRPr="0057104C">
        <w:rPr>
          <w:rStyle w:val="TextoNormalCaracter"/>
        </w:rPr>
        <w:t>-</w:t>
      </w:r>
      <w:r>
        <w:t xml:space="preserve"> Sentencias </w:t>
      </w:r>
      <w:hyperlink w:anchor="SENTENCIA_2016_31" w:history="1">
        <w:r w:rsidRPr="0057104C">
          <w:rPr>
            <w:rStyle w:val="TextoNormalCaracter"/>
          </w:rPr>
          <w:t>31/2016</w:t>
        </w:r>
      </w:hyperlink>
      <w:r>
        <w:t xml:space="preserve">, f. 1; </w:t>
      </w:r>
      <w:hyperlink w:anchor="SENTENCIA_2016_70" w:history="1">
        <w:r w:rsidRPr="0057104C">
          <w:rPr>
            <w:rStyle w:val="TextoNormalCaracter"/>
          </w:rPr>
          <w:t>70/2016</w:t>
        </w:r>
      </w:hyperlink>
      <w:r>
        <w:t>, ff. 1, 5 a 7.</w:t>
      </w:r>
    </w:p>
    <w:p w:rsidR="0057104C" w:rsidRDefault="0057104C" w:rsidP="0057104C">
      <w:pPr>
        <w:pStyle w:val="SangriaFrancesaArticulo"/>
      </w:pPr>
      <w:r w:rsidRPr="0057104C">
        <w:rPr>
          <w:rStyle w:val="TextoNormalNegritaCaracter"/>
        </w:rPr>
        <w:t>Artículo 7.1 a)</w:t>
      </w:r>
      <w:r>
        <w:t xml:space="preserve"> (redactado por el Real Decreto-ley 7/2013, de 28 de junio)</w:t>
      </w:r>
      <w:r w:rsidRPr="0057104C">
        <w:rPr>
          <w:rStyle w:val="TextoNormalNegritaCaracter"/>
        </w:rPr>
        <w:t>.</w:t>
      </w:r>
      <w:r w:rsidRPr="0057104C">
        <w:rPr>
          <w:rStyle w:val="TextoNormalCaracter"/>
        </w:rPr>
        <w:t>-</w:t>
      </w:r>
      <w:r>
        <w:t xml:space="preserve"> Sentencia </w:t>
      </w:r>
      <w:hyperlink w:anchor="SENTENCIA_2016_70" w:history="1">
        <w:r w:rsidRPr="0057104C">
          <w:rPr>
            <w:rStyle w:val="TextoNormalCaracter"/>
          </w:rPr>
          <w:t>70/2016</w:t>
        </w:r>
      </w:hyperlink>
      <w:r>
        <w:t>, ff. 1, 2, 6 a 8.</w:t>
      </w:r>
    </w:p>
    <w:p w:rsidR="0057104C" w:rsidRDefault="0057104C" w:rsidP="0057104C">
      <w:pPr>
        <w:pStyle w:val="SangriaFrancesaArticulo"/>
      </w:pPr>
      <w:r w:rsidRPr="0057104C">
        <w:rPr>
          <w:rStyle w:val="TextoNormalNegritaCaracter"/>
        </w:rPr>
        <w:t>Artículo 7.1 b)</w:t>
      </w:r>
      <w:r>
        <w:t xml:space="preserve"> (redactado por el Real Decreto-ley 7/2013, de 28 de junio)</w:t>
      </w:r>
      <w:r w:rsidRPr="0057104C">
        <w:rPr>
          <w:rStyle w:val="TextoNormalNegritaCaracter"/>
        </w:rPr>
        <w:t>.</w:t>
      </w:r>
      <w:r w:rsidRPr="0057104C">
        <w:rPr>
          <w:rStyle w:val="TextoNormalCaracter"/>
        </w:rPr>
        <w:t>-</w:t>
      </w:r>
      <w:r>
        <w:t xml:space="preserve"> Sentencia </w:t>
      </w:r>
      <w:hyperlink w:anchor="SENTENCIA_2016_70" w:history="1">
        <w:r w:rsidRPr="0057104C">
          <w:rPr>
            <w:rStyle w:val="TextoNormalCaracter"/>
          </w:rPr>
          <w:t>70/2016</w:t>
        </w:r>
      </w:hyperlink>
      <w:r>
        <w:t>, f. 6.</w:t>
      </w:r>
    </w:p>
    <w:p w:rsidR="0057104C" w:rsidRDefault="0057104C" w:rsidP="0057104C">
      <w:pPr>
        <w:pStyle w:val="SangriaFrancesaArticulo"/>
      </w:pPr>
      <w:r w:rsidRPr="0057104C">
        <w:rPr>
          <w:rStyle w:val="TextoNormalNegritaCaracter"/>
        </w:rPr>
        <w:t>Artículo 9.4 d).</w:t>
      </w:r>
      <w:r w:rsidRPr="0057104C">
        <w:rPr>
          <w:rStyle w:val="TextoNormalCaracter"/>
        </w:rPr>
        <w:t>-</w:t>
      </w:r>
      <w:r>
        <w:t xml:space="preserve"> Sentencia </w:t>
      </w:r>
      <w:hyperlink w:anchor="SENTENCIA_2016_95" w:history="1">
        <w:r w:rsidRPr="0057104C">
          <w:rPr>
            <w:rStyle w:val="TextoNormalCaracter"/>
          </w:rPr>
          <w:t>95/2016</w:t>
        </w:r>
      </w:hyperlink>
      <w:r>
        <w:t>, f. 4.</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Sentencia </w:t>
      </w:r>
      <w:hyperlink w:anchor="SENTENCIA_2016_87" w:history="1">
        <w:r w:rsidRPr="0057104C">
          <w:rPr>
            <w:rStyle w:val="TextoNormalCaracter"/>
          </w:rPr>
          <w:t>87/2016</w:t>
        </w:r>
      </w:hyperlink>
      <w:r>
        <w:t>, f. 7.</w:t>
      </w:r>
    </w:p>
    <w:p w:rsidR="0057104C" w:rsidRDefault="0057104C" w:rsidP="0057104C">
      <w:pPr>
        <w:pStyle w:val="SangriaFrancesaArticulo"/>
      </w:pPr>
    </w:p>
    <w:p w:rsidR="0057104C" w:rsidRDefault="0057104C" w:rsidP="0057104C">
      <w:pPr>
        <w:pStyle w:val="TextoNormalNegritaCursivandice"/>
      </w:pPr>
      <w:r>
        <w:t>Ley 39/2003, de 17 de noviembre. Sector ferroviario</w:t>
      </w:r>
    </w:p>
    <w:p w:rsidR="0057104C" w:rsidRDefault="0057104C" w:rsidP="0057104C">
      <w:pPr>
        <w:pStyle w:val="SangriaFrancesaArticulo"/>
      </w:pPr>
      <w:r w:rsidRPr="0057104C">
        <w:rPr>
          <w:rStyle w:val="TextoNormalNegritaCaracter"/>
        </w:rPr>
        <w:t>Artículo 2 a).</w:t>
      </w:r>
      <w:r w:rsidRPr="0057104C">
        <w:rPr>
          <w:rStyle w:val="TextoNormalCaracter"/>
        </w:rPr>
        <w:t>-</w:t>
      </w:r>
      <w:r>
        <w:t xml:space="preserve"> Sentencia </w:t>
      </w:r>
      <w:hyperlink w:anchor="SENTENCIA_2016_124" w:history="1">
        <w:r w:rsidRPr="0057104C">
          <w:rPr>
            <w:rStyle w:val="TextoNormalCaracter"/>
          </w:rPr>
          <w:t>124/2016</w:t>
        </w:r>
      </w:hyperlink>
      <w:r>
        <w:t>, f. 3.</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124" w:history="1">
        <w:r w:rsidRPr="0057104C">
          <w:rPr>
            <w:rStyle w:val="TextoNormalCaracter"/>
          </w:rPr>
          <w:t>124/2016</w:t>
        </w:r>
      </w:hyperlink>
      <w:r>
        <w:t>, ff. 3, 4, 7.</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124" w:history="1">
        <w:r w:rsidRPr="0057104C">
          <w:rPr>
            <w:rStyle w:val="TextoNormalCaracter"/>
          </w:rPr>
          <w:t>124/2016</w:t>
        </w:r>
      </w:hyperlink>
      <w:r>
        <w:t>, f. 4.</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124" w:history="1">
        <w:r w:rsidRPr="0057104C">
          <w:rPr>
            <w:rStyle w:val="TextoNormalCaracter"/>
          </w:rPr>
          <w:t>124/2016</w:t>
        </w:r>
      </w:hyperlink>
      <w:r>
        <w:t>, ff. 4, 8.</w:t>
      </w:r>
    </w:p>
    <w:p w:rsidR="0057104C" w:rsidRDefault="0057104C" w:rsidP="0057104C">
      <w:pPr>
        <w:pStyle w:val="SangriaFrancesaArticulo"/>
      </w:pPr>
      <w:r w:rsidRPr="0057104C">
        <w:rPr>
          <w:rStyle w:val="TextoNormalNegritaCaracter"/>
        </w:rPr>
        <w:t>Artículo 4.2.1.</w:t>
      </w:r>
      <w:r w:rsidRPr="0057104C">
        <w:rPr>
          <w:rStyle w:val="TextoNormalCaracter"/>
        </w:rPr>
        <w:t>-</w:t>
      </w:r>
      <w:r>
        <w:t xml:space="preserve"> Sentencia </w:t>
      </w:r>
      <w:hyperlink w:anchor="SENTENCIA_2016_124" w:history="1">
        <w:r w:rsidRPr="0057104C">
          <w:rPr>
            <w:rStyle w:val="TextoNormalCaracter"/>
          </w:rPr>
          <w:t>124/2016</w:t>
        </w:r>
      </w:hyperlink>
      <w:r>
        <w:t>, f. 4.</w:t>
      </w:r>
    </w:p>
    <w:p w:rsidR="0057104C" w:rsidRDefault="0057104C" w:rsidP="0057104C">
      <w:pPr>
        <w:pStyle w:val="SangriaFrancesaArticulo"/>
      </w:pPr>
      <w:r w:rsidRPr="0057104C">
        <w:rPr>
          <w:rStyle w:val="TextoNormalNegritaCaracter"/>
        </w:rPr>
        <w:t>Artículo 36.</w:t>
      </w:r>
      <w:r w:rsidRPr="0057104C">
        <w:rPr>
          <w:rStyle w:val="TextoNormalCaracter"/>
        </w:rPr>
        <w:t>-</w:t>
      </w:r>
      <w:r>
        <w:t xml:space="preserve"> Sentencia </w:t>
      </w:r>
      <w:hyperlink w:anchor="SENTENCIA_2016_124" w:history="1">
        <w:r w:rsidRPr="0057104C">
          <w:rPr>
            <w:rStyle w:val="TextoNormalCaracter"/>
          </w:rPr>
          <w:t>124/2016</w:t>
        </w:r>
      </w:hyperlink>
      <w:r>
        <w:t>, f. 10.</w:t>
      </w:r>
    </w:p>
    <w:p w:rsidR="0057104C" w:rsidRDefault="0057104C" w:rsidP="0057104C">
      <w:pPr>
        <w:pStyle w:val="SangriaFrancesaArticulo"/>
      </w:pPr>
      <w:r w:rsidRPr="0057104C">
        <w:rPr>
          <w:rStyle w:val="TextoNormalNegritaCaracter"/>
        </w:rPr>
        <w:t>Disposición adicional novena, apartado 1.</w:t>
      </w:r>
      <w:r w:rsidRPr="0057104C">
        <w:rPr>
          <w:rStyle w:val="TextoNormalCaracter"/>
        </w:rPr>
        <w:t>-</w:t>
      </w:r>
      <w:r>
        <w:t xml:space="preserve"> Sentencia </w:t>
      </w:r>
      <w:hyperlink w:anchor="SENTENCIA_2016_124" w:history="1">
        <w:r w:rsidRPr="0057104C">
          <w:rPr>
            <w:rStyle w:val="TextoNormalCaracter"/>
          </w:rPr>
          <w:t>124/2016</w:t>
        </w:r>
      </w:hyperlink>
      <w:r>
        <w:t>, f. 6.</w:t>
      </w:r>
    </w:p>
    <w:p w:rsidR="0057104C" w:rsidRDefault="0057104C" w:rsidP="0057104C">
      <w:pPr>
        <w:pStyle w:val="SangriaFrancesaArticulo"/>
      </w:pPr>
      <w:r w:rsidRPr="0057104C">
        <w:rPr>
          <w:rStyle w:val="TextoNormalNegritaCaracter"/>
        </w:rPr>
        <w:t>Disposición adicional novena</w:t>
      </w:r>
      <w:r>
        <w:t xml:space="preserve"> (redactada por el Real Decreto-ley 4/2013</w:t>
      </w:r>
      <w:r w:rsidRPr="0057104C">
        <w:rPr>
          <w:rStyle w:val="TextoNormalNegritaCaracter"/>
        </w:rPr>
        <w:t>.</w:t>
      </w:r>
      <w:r w:rsidRPr="0057104C">
        <w:rPr>
          <w:rStyle w:val="TextoNormalCaracter"/>
        </w:rPr>
        <w:t>-</w:t>
      </w:r>
      <w:r>
        <w:t xml:space="preserve"> Sentencia </w:t>
      </w:r>
      <w:hyperlink w:anchor="SENTENCIA_2016_124" w:history="1">
        <w:r w:rsidRPr="0057104C">
          <w:rPr>
            <w:rStyle w:val="TextoNormalCaracter"/>
          </w:rPr>
          <w:t>124/2016</w:t>
        </w:r>
      </w:hyperlink>
      <w:r>
        <w:t>, ff. 2, 4.</w:t>
      </w:r>
    </w:p>
    <w:p w:rsidR="0057104C" w:rsidRDefault="0057104C" w:rsidP="0057104C">
      <w:pPr>
        <w:pStyle w:val="SangriaFrancesaArticulo"/>
      </w:pPr>
    </w:p>
    <w:p w:rsidR="0057104C" w:rsidRDefault="0057104C" w:rsidP="0057104C">
      <w:pPr>
        <w:pStyle w:val="TextoNormalNegritaCursivandice"/>
      </w:pPr>
      <w:r>
        <w:t>Ley 47/2003, de 26 de noviembre. General presupuestaria</w:t>
      </w:r>
    </w:p>
    <w:p w:rsidR="0057104C" w:rsidRDefault="0057104C" w:rsidP="0057104C">
      <w:pPr>
        <w:pStyle w:val="SangriaFrancesaArticulo"/>
      </w:pPr>
      <w:r w:rsidRPr="0057104C">
        <w:rPr>
          <w:rStyle w:val="TextoNormalNegritaCaracter"/>
        </w:rPr>
        <w:t>Artículo 14.2.</w:t>
      </w:r>
      <w:r w:rsidRPr="0057104C">
        <w:rPr>
          <w:rStyle w:val="TextoNormalCaracter"/>
        </w:rPr>
        <w:t>-</w:t>
      </w:r>
      <w:r>
        <w:t xml:space="preserve"> Sentencias </w:t>
      </w:r>
      <w:hyperlink w:anchor="SENTENCIA_2016_31" w:history="1">
        <w:r w:rsidRPr="0057104C">
          <w:rPr>
            <w:rStyle w:val="TextoNormalCaracter"/>
          </w:rPr>
          <w:t>31/2016</w:t>
        </w:r>
      </w:hyperlink>
      <w:r>
        <w:t xml:space="preserve">, f. 4; </w:t>
      </w:r>
      <w:hyperlink w:anchor="SENTENCIA_2016_41" w:history="1">
        <w:r w:rsidRPr="0057104C">
          <w:rPr>
            <w:rStyle w:val="TextoNormalCaracter"/>
          </w:rPr>
          <w:t>41/2016</w:t>
        </w:r>
      </w:hyperlink>
      <w:r>
        <w:t>, f. 16.</w:t>
      </w:r>
    </w:p>
    <w:p w:rsidR="0057104C" w:rsidRDefault="0057104C" w:rsidP="0057104C">
      <w:pPr>
        <w:pStyle w:val="SangriaFrancesaArticulo"/>
      </w:pPr>
    </w:p>
    <w:p w:rsidR="0057104C" w:rsidRDefault="0057104C" w:rsidP="0057104C">
      <w:pPr>
        <w:pStyle w:val="TextoNormalNegritaCursivandice"/>
      </w:pPr>
      <w:r>
        <w:t>Ley 55/2003, de 16 de diciembre. Estatuto marco del personal estatutario de los servicios de salud</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45" w:history="1">
        <w:r w:rsidRPr="0057104C">
          <w:rPr>
            <w:rStyle w:val="TextoNormalCaracter"/>
          </w:rPr>
          <w:t>45/2016</w:t>
        </w:r>
      </w:hyperlink>
      <w:r>
        <w:t>, f. 3.</w:t>
      </w:r>
    </w:p>
    <w:p w:rsidR="0057104C" w:rsidRDefault="0057104C" w:rsidP="0057104C">
      <w:pPr>
        <w:pStyle w:val="SangriaFrancesaArticulo"/>
      </w:pPr>
      <w:r w:rsidRPr="0057104C">
        <w:rPr>
          <w:rStyle w:val="TextoNormalNegritaCaracter"/>
        </w:rPr>
        <w:t>Artículo 26.2.</w:t>
      </w:r>
      <w:r w:rsidRPr="0057104C">
        <w:rPr>
          <w:rStyle w:val="TextoNormalCaracter"/>
        </w:rPr>
        <w:t>-</w:t>
      </w:r>
      <w:r>
        <w:t xml:space="preserve"> Sentencia </w:t>
      </w:r>
      <w:hyperlink w:anchor="SENTENCIA_2016_44" w:history="1">
        <w:r w:rsidRPr="0057104C">
          <w:rPr>
            <w:rStyle w:val="TextoNormalCaracter"/>
          </w:rPr>
          <w:t>44/2016</w:t>
        </w:r>
      </w:hyperlink>
      <w:r>
        <w:t>, f. 5.</w:t>
      </w:r>
    </w:p>
    <w:p w:rsidR="0057104C" w:rsidRDefault="0057104C" w:rsidP="0057104C">
      <w:pPr>
        <w:pStyle w:val="SangriaFrancesaArticulo"/>
      </w:pPr>
    </w:p>
    <w:p w:rsidR="0057104C" w:rsidRDefault="0057104C" w:rsidP="0057104C">
      <w:pPr>
        <w:pStyle w:val="TextoNormalNegritaCursivandice"/>
      </w:pPr>
      <w:r>
        <w:t>Ley 56/2003, de 16 de diciembre. Empleo</w:t>
      </w:r>
    </w:p>
    <w:p w:rsidR="0057104C" w:rsidRDefault="0057104C" w:rsidP="0057104C">
      <w:pPr>
        <w:pStyle w:val="SangriaFrancesaArticulo"/>
      </w:pPr>
      <w:r w:rsidRPr="0057104C">
        <w:rPr>
          <w:rStyle w:val="TextoNormalNegritaCaracter"/>
        </w:rPr>
        <w:t xml:space="preserve">Artículo 27.4 párrafo 2 inciso </w:t>
      </w:r>
      <w:r w:rsidRPr="0057104C">
        <w:rPr>
          <w:rStyle w:val="TextoNormalNegritaCursivaCaracter"/>
        </w:rPr>
        <w:t>in fine</w:t>
      </w:r>
      <w:r>
        <w:t xml:space="preserve"> </w:t>
      </w:r>
      <w:r w:rsidRPr="0057104C">
        <w:rPr>
          <w:rStyle w:val="TextoNormalCaracter"/>
        </w:rPr>
        <w:t>(redactado por la Ley 1/2014, de 28 de febrero)</w:t>
      </w:r>
      <w:r w:rsidRPr="0057104C">
        <w:rPr>
          <w:rStyle w:val="TextoNormalNegritaCaracter"/>
        </w:rPr>
        <w:t>.</w:t>
      </w:r>
      <w:r w:rsidRPr="0057104C">
        <w:rPr>
          <w:rStyle w:val="TextoNormalCaracter"/>
        </w:rPr>
        <w:t>-</w:t>
      </w:r>
      <w:r>
        <w:t xml:space="preserve"> Sentencia </w:t>
      </w:r>
      <w:hyperlink w:anchor="SENTENCIA_2016_21" w:history="1">
        <w:r w:rsidRPr="0057104C">
          <w:rPr>
            <w:rStyle w:val="TextoNormalCaracter"/>
          </w:rPr>
          <w:t>21/2016</w:t>
        </w:r>
      </w:hyperlink>
      <w:r>
        <w:t>, f. 3.</w:t>
      </w:r>
    </w:p>
    <w:p w:rsidR="0057104C" w:rsidRDefault="0057104C" w:rsidP="0057104C">
      <w:pPr>
        <w:pStyle w:val="SangriaFrancesaArticulo"/>
      </w:pPr>
    </w:p>
    <w:p w:rsidR="0057104C" w:rsidRDefault="0057104C" w:rsidP="0057104C">
      <w:pPr>
        <w:pStyle w:val="TextoNormalNegritaCursivandice"/>
      </w:pPr>
      <w:r>
        <w:t>Ley 57/2003, de 16 de diciembre. Medidas para la modernización del gobierno local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41" w:history="1">
        <w:r w:rsidRPr="0057104C">
          <w:rPr>
            <w:rStyle w:val="TextoNormalCaracter"/>
          </w:rPr>
          <w:t>41/2016</w:t>
        </w:r>
      </w:hyperlink>
      <w:r>
        <w:t xml:space="preserve">, f. 5; </w:t>
      </w:r>
      <w:hyperlink w:anchor="SENTENCIA_2016_102" w:history="1">
        <w:r w:rsidRPr="0057104C">
          <w:rPr>
            <w:rStyle w:val="TextoNormalCaracter"/>
          </w:rPr>
          <w:t>102/2016</w:t>
        </w:r>
      </w:hyperlink>
      <w:r>
        <w:t xml:space="preserve">, VP; </w:t>
      </w:r>
      <w:hyperlink w:anchor="SENTENCIA_2016_111" w:history="1">
        <w:r w:rsidRPr="0057104C">
          <w:rPr>
            <w:rStyle w:val="TextoNormalCaracter"/>
          </w:rPr>
          <w:t>111/2016</w:t>
        </w:r>
      </w:hyperlink>
      <w:r>
        <w:t xml:space="preserve">, f. 8; </w:t>
      </w:r>
      <w:hyperlink w:anchor="SENTENCIA_2016_116" w:history="1">
        <w:r w:rsidRPr="0057104C">
          <w:rPr>
            <w:rStyle w:val="TextoNormalCaracter"/>
          </w:rPr>
          <w:t>116/2016</w:t>
        </w:r>
      </w:hyperlink>
      <w:r>
        <w:t>, f. 1.</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41" w:history="1">
        <w:r w:rsidRPr="0057104C">
          <w:rPr>
            <w:rStyle w:val="TextoNormalCaracter"/>
          </w:rPr>
          <w:t>41/2016</w:t>
        </w:r>
      </w:hyperlink>
      <w:r>
        <w:t>, ff. 3, 8, 9.</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41" w:history="1">
        <w:r w:rsidRPr="0057104C">
          <w:rPr>
            <w:rStyle w:val="TextoNormalCaracter"/>
          </w:rPr>
          <w:t>41/2016</w:t>
        </w:r>
      </w:hyperlink>
      <w:r>
        <w:t>, f. 3.</w:t>
      </w:r>
    </w:p>
    <w:p w:rsidR="0057104C" w:rsidRDefault="0057104C" w:rsidP="0057104C">
      <w:pPr>
        <w:pStyle w:val="SangriaFrancesaArticulo"/>
      </w:pPr>
    </w:p>
    <w:p w:rsidR="0057104C" w:rsidRDefault="0057104C" w:rsidP="0057104C">
      <w:pPr>
        <w:pStyle w:val="TextoNormalNegritaCursivandice"/>
      </w:pPr>
      <w:r>
        <w:t>Ley 58/2003, de 17 de diciembre. General tributaria</w:t>
      </w:r>
    </w:p>
    <w:p w:rsidR="0057104C" w:rsidRDefault="0057104C" w:rsidP="0057104C">
      <w:pPr>
        <w:pStyle w:val="SangriaFrancesaArticulo"/>
      </w:pPr>
      <w:r w:rsidRPr="0057104C">
        <w:rPr>
          <w:rStyle w:val="TextoNormalNegritaCaracter"/>
        </w:rPr>
        <w:t>Artículo 26.6.</w:t>
      </w:r>
      <w:r w:rsidRPr="0057104C">
        <w:rPr>
          <w:rStyle w:val="TextoNormalCaracter"/>
        </w:rPr>
        <w:t>-</w:t>
      </w:r>
      <w:r>
        <w:t xml:space="preserve"> Sentencia </w:t>
      </w:r>
      <w:hyperlink w:anchor="SENTENCIA_2016_33" w:history="1">
        <w:r w:rsidRPr="0057104C">
          <w:rPr>
            <w:rStyle w:val="TextoNormalCaracter"/>
          </w:rPr>
          <w:t>33/2016</w:t>
        </w:r>
      </w:hyperlink>
      <w:r>
        <w:t>, ff. 2, 5.</w:t>
      </w:r>
    </w:p>
    <w:p w:rsidR="0057104C" w:rsidRDefault="0057104C" w:rsidP="0057104C">
      <w:pPr>
        <w:pStyle w:val="SangriaFrancesaArticulo"/>
      </w:pPr>
      <w:r w:rsidRPr="0057104C">
        <w:rPr>
          <w:rStyle w:val="TextoNormalNegritaCaracter"/>
        </w:rPr>
        <w:t>Artículo 35.4.</w:t>
      </w:r>
      <w:r w:rsidRPr="0057104C">
        <w:rPr>
          <w:rStyle w:val="TextoNormalCaracter"/>
        </w:rPr>
        <w:t>-</w:t>
      </w:r>
      <w:r>
        <w:t xml:space="preserve"> Sentencia </w:t>
      </w:r>
      <w:hyperlink w:anchor="SENTENCIA_2016_74" w:history="1">
        <w:r w:rsidRPr="0057104C">
          <w:rPr>
            <w:rStyle w:val="TextoNormalCaracter"/>
          </w:rPr>
          <w:t>74/2016</w:t>
        </w:r>
      </w:hyperlink>
      <w:r>
        <w:t>, f. 3.</w:t>
      </w:r>
    </w:p>
    <w:p w:rsidR="0057104C" w:rsidRDefault="0057104C" w:rsidP="0057104C">
      <w:pPr>
        <w:pStyle w:val="SangriaFrancesaArticulo"/>
      </w:pPr>
      <w:r w:rsidRPr="0057104C">
        <w:rPr>
          <w:rStyle w:val="TextoNormalNegritaCaracter"/>
        </w:rPr>
        <w:t>Artículo 50.3.</w:t>
      </w:r>
      <w:r w:rsidRPr="0057104C">
        <w:rPr>
          <w:rStyle w:val="TextoNormalCaracter"/>
        </w:rPr>
        <w:t>-</w:t>
      </w:r>
      <w:r>
        <w:t xml:space="preserve"> Sentencia </w:t>
      </w:r>
      <w:hyperlink w:anchor="SENTENCIA_2016_3" w:history="1">
        <w:r w:rsidRPr="0057104C">
          <w:rPr>
            <w:rStyle w:val="TextoNormalCaracter"/>
          </w:rPr>
          <w:t>3/2016</w:t>
        </w:r>
      </w:hyperlink>
      <w:r>
        <w:t>, f. 4.</w:t>
      </w:r>
    </w:p>
    <w:p w:rsidR="0057104C" w:rsidRDefault="0057104C" w:rsidP="0057104C">
      <w:pPr>
        <w:pStyle w:val="SangriaFrancesaArticulo"/>
      </w:pPr>
      <w:r w:rsidRPr="0057104C">
        <w:rPr>
          <w:rStyle w:val="TextoNormalNegritaCaracter"/>
        </w:rPr>
        <w:t>Artículo 57.</w:t>
      </w:r>
      <w:r w:rsidRPr="0057104C">
        <w:rPr>
          <w:rStyle w:val="TextoNormalCaracter"/>
        </w:rPr>
        <w:t>-</w:t>
      </w:r>
      <w:r>
        <w:t xml:space="preserve"> Sentencias </w:t>
      </w:r>
      <w:hyperlink w:anchor="SENTENCIA_2016_25" w:history="1">
        <w:r w:rsidRPr="0057104C">
          <w:rPr>
            <w:rStyle w:val="TextoNormalCaracter"/>
          </w:rPr>
          <w:t>25/2016</w:t>
        </w:r>
      </w:hyperlink>
      <w:r>
        <w:t xml:space="preserve">, ff. 1, 3; </w:t>
      </w:r>
      <w:hyperlink w:anchor="SENTENCIA_2016_33" w:history="1">
        <w:r w:rsidRPr="0057104C">
          <w:rPr>
            <w:rStyle w:val="TextoNormalCaracter"/>
          </w:rPr>
          <w:t>33/2016</w:t>
        </w:r>
      </w:hyperlink>
      <w:r>
        <w:t>, ff. 4, 5.</w:t>
      </w:r>
    </w:p>
    <w:p w:rsidR="0057104C" w:rsidRDefault="0057104C" w:rsidP="0057104C">
      <w:pPr>
        <w:pStyle w:val="SangriaFrancesaArticulo"/>
      </w:pPr>
      <w:r w:rsidRPr="0057104C">
        <w:rPr>
          <w:rStyle w:val="TextoNormalNegritaCaracter"/>
        </w:rPr>
        <w:t>Artículo 57</w:t>
      </w:r>
      <w:r>
        <w:t xml:space="preserve"> (redactado por la Ley 36/2006, de 29 de noviembre)</w:t>
      </w:r>
      <w:r w:rsidRPr="0057104C">
        <w:rPr>
          <w:rStyle w:val="TextoNormalNegritaCaracter"/>
        </w:rPr>
        <w:t>.</w:t>
      </w:r>
      <w:r w:rsidRPr="0057104C">
        <w:rPr>
          <w:rStyle w:val="TextoNormalCaracter"/>
        </w:rPr>
        <w:t>-</w:t>
      </w:r>
      <w:r>
        <w:t xml:space="preserve"> Sentencia </w:t>
      </w:r>
      <w:hyperlink w:anchor="SENTENCIA_2016_25" w:history="1">
        <w:r w:rsidRPr="0057104C">
          <w:rPr>
            <w:rStyle w:val="TextoNormalCaracter"/>
          </w:rPr>
          <w:t>25/2016</w:t>
        </w:r>
      </w:hyperlink>
      <w:r>
        <w:t>, f. 3.</w:t>
      </w:r>
    </w:p>
    <w:p w:rsidR="0057104C" w:rsidRDefault="0057104C" w:rsidP="0057104C">
      <w:pPr>
        <w:pStyle w:val="SangriaFrancesaArticulo"/>
      </w:pPr>
      <w:r w:rsidRPr="0057104C">
        <w:rPr>
          <w:rStyle w:val="TextoNormalNegritaCaracter"/>
        </w:rPr>
        <w:t>Artículo 57.1 a).</w:t>
      </w:r>
      <w:r w:rsidRPr="0057104C">
        <w:rPr>
          <w:rStyle w:val="TextoNormalCaracter"/>
        </w:rPr>
        <w:t>-</w:t>
      </w:r>
      <w:r>
        <w:t xml:space="preserve"> Sentencia </w:t>
      </w:r>
      <w:hyperlink w:anchor="SENTENCIA_2016_33" w:history="1">
        <w:r w:rsidRPr="0057104C">
          <w:rPr>
            <w:rStyle w:val="TextoNormalCaracter"/>
          </w:rPr>
          <w:t>33/2016</w:t>
        </w:r>
      </w:hyperlink>
      <w:r>
        <w:t>, ff. 2, 3, 5.</w:t>
      </w:r>
    </w:p>
    <w:p w:rsidR="0057104C" w:rsidRDefault="0057104C" w:rsidP="0057104C">
      <w:pPr>
        <w:pStyle w:val="SangriaFrancesaArticulo"/>
      </w:pPr>
      <w:r w:rsidRPr="0057104C">
        <w:rPr>
          <w:rStyle w:val="TextoNormalNegritaCaracter"/>
        </w:rPr>
        <w:t>Artículo 57.1 e).</w:t>
      </w:r>
      <w:r w:rsidRPr="0057104C">
        <w:rPr>
          <w:rStyle w:val="TextoNormalCaracter"/>
        </w:rPr>
        <w:t>-</w:t>
      </w:r>
      <w:r>
        <w:t xml:space="preserve"> Sentencia </w:t>
      </w:r>
      <w:hyperlink w:anchor="SENTENCIA_2016_33" w:history="1">
        <w:r w:rsidRPr="0057104C">
          <w:rPr>
            <w:rStyle w:val="TextoNormalCaracter"/>
          </w:rPr>
          <w:t>33/2016</w:t>
        </w:r>
      </w:hyperlink>
      <w:r>
        <w:t>, ff. 2, 3.</w:t>
      </w:r>
    </w:p>
    <w:p w:rsidR="0057104C" w:rsidRDefault="0057104C" w:rsidP="0057104C">
      <w:pPr>
        <w:pStyle w:val="SangriaFrancesaArticulo"/>
      </w:pPr>
      <w:r w:rsidRPr="0057104C">
        <w:rPr>
          <w:rStyle w:val="TextoNormalNegritaCaracter"/>
        </w:rPr>
        <w:t>Artículo 57.3.</w:t>
      </w:r>
      <w:r w:rsidRPr="0057104C">
        <w:rPr>
          <w:rStyle w:val="TextoNormalCaracter"/>
        </w:rPr>
        <w:t>-</w:t>
      </w:r>
      <w:r>
        <w:t xml:space="preserve"> Sentencia </w:t>
      </w:r>
      <w:hyperlink w:anchor="SENTENCIA_2016_33" w:history="1">
        <w:r w:rsidRPr="0057104C">
          <w:rPr>
            <w:rStyle w:val="TextoNormalCaracter"/>
          </w:rPr>
          <w:t>33/2016</w:t>
        </w:r>
      </w:hyperlink>
      <w:r>
        <w:t>, ff. 4, 5.</w:t>
      </w:r>
    </w:p>
    <w:p w:rsidR="0057104C" w:rsidRDefault="0057104C" w:rsidP="0057104C">
      <w:pPr>
        <w:pStyle w:val="SangriaFrancesaArticulo"/>
      </w:pPr>
      <w:r w:rsidRPr="0057104C">
        <w:rPr>
          <w:rStyle w:val="TextoNormalNegritaCaracter"/>
        </w:rPr>
        <w:t>Artículo 59.1.</w:t>
      </w:r>
      <w:r w:rsidRPr="0057104C">
        <w:rPr>
          <w:rStyle w:val="TextoNormalCaracter"/>
        </w:rPr>
        <w:t>-</w:t>
      </w:r>
      <w:r>
        <w:t xml:space="preserve"> Auto </w:t>
      </w:r>
      <w:hyperlink w:anchor="AUTO_2016_129" w:history="1">
        <w:r w:rsidRPr="0057104C">
          <w:rPr>
            <w:rStyle w:val="TextoNormalCaracter"/>
          </w:rPr>
          <w:t>129/2016</w:t>
        </w:r>
      </w:hyperlink>
      <w:r>
        <w:t>, VP.</w:t>
      </w:r>
    </w:p>
    <w:p w:rsidR="0057104C" w:rsidRDefault="0057104C" w:rsidP="0057104C">
      <w:pPr>
        <w:pStyle w:val="SangriaFrancesaArticulo"/>
      </w:pPr>
      <w:r w:rsidRPr="0057104C">
        <w:rPr>
          <w:rStyle w:val="TextoNormalNegritaCaracter"/>
        </w:rPr>
        <w:t>Artículo 66.</w:t>
      </w:r>
      <w:r w:rsidRPr="0057104C">
        <w:rPr>
          <w:rStyle w:val="TextoNormalCaracter"/>
        </w:rPr>
        <w:t>-</w:t>
      </w:r>
      <w:r>
        <w:t xml:space="preserve"> Auto </w:t>
      </w:r>
      <w:hyperlink w:anchor="AUTO_2016_129" w:history="1">
        <w:r w:rsidRPr="0057104C">
          <w:rPr>
            <w:rStyle w:val="TextoNormalCaracter"/>
          </w:rPr>
          <w:t>129/2016</w:t>
        </w:r>
      </w:hyperlink>
      <w:r>
        <w:t>, VP.</w:t>
      </w:r>
    </w:p>
    <w:p w:rsidR="0057104C" w:rsidRDefault="0057104C" w:rsidP="0057104C">
      <w:pPr>
        <w:pStyle w:val="SangriaFrancesaArticulo"/>
      </w:pPr>
    </w:p>
    <w:p w:rsidR="0057104C" w:rsidRDefault="0057104C" w:rsidP="0057104C">
      <w:pPr>
        <w:pStyle w:val="TextoNormalNegritaCursivandice"/>
      </w:pPr>
      <w:r>
        <w:t>Ley 1/2004, de 21 de diciembre. Horarios comerciales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8" w:history="1">
        <w:r w:rsidRPr="0057104C">
          <w:rPr>
            <w:rStyle w:val="TextoNormalCaracter"/>
          </w:rPr>
          <w:t>18/2016</w:t>
        </w:r>
      </w:hyperlink>
      <w:r>
        <w:t xml:space="preserve">, f. 1; </w:t>
      </w:r>
      <w:hyperlink w:anchor="SENTENCIA_2016_59" w:history="1">
        <w:r w:rsidRPr="0057104C">
          <w:rPr>
            <w:rStyle w:val="TextoNormalCaracter"/>
          </w:rPr>
          <w:t>59/2016</w:t>
        </w:r>
      </w:hyperlink>
      <w:r>
        <w:t>, f. 1.</w:t>
      </w:r>
    </w:p>
    <w:p w:rsidR="0057104C" w:rsidRDefault="0057104C" w:rsidP="0057104C">
      <w:pPr>
        <w:pStyle w:val="SangriaFrancesaArticulo"/>
      </w:pPr>
      <w:r w:rsidRPr="0057104C">
        <w:rPr>
          <w:rStyle w:val="TextoNormalNegritaCaracter"/>
        </w:rPr>
        <w:t>Artículo 3</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119" w:history="1">
        <w:r w:rsidRPr="0057104C">
          <w:rPr>
            <w:rStyle w:val="TextoNormalCaracter"/>
          </w:rPr>
          <w:t>119/2016</w:t>
        </w:r>
      </w:hyperlink>
      <w:r>
        <w:t>, ff. 2, 5.</w:t>
      </w:r>
    </w:p>
    <w:p w:rsidR="0057104C" w:rsidRDefault="0057104C" w:rsidP="0057104C">
      <w:pPr>
        <w:pStyle w:val="SangriaFrancesaArticulo"/>
      </w:pPr>
      <w:r w:rsidRPr="0057104C">
        <w:rPr>
          <w:rStyle w:val="TextoNormalNegritaCaracter"/>
        </w:rPr>
        <w:t>Artículo 3.1</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37" w:history="1">
        <w:r w:rsidRPr="0057104C">
          <w:rPr>
            <w:rStyle w:val="TextoNormalCaracter"/>
          </w:rPr>
          <w:t>37/2016</w:t>
        </w:r>
      </w:hyperlink>
      <w:r>
        <w:t xml:space="preserve">, f. 4; </w:t>
      </w:r>
      <w:hyperlink w:anchor="SENTENCIA_2016_55" w:history="1">
        <w:r w:rsidRPr="0057104C">
          <w:rPr>
            <w:rStyle w:val="TextoNormalCaracter"/>
          </w:rPr>
          <w:t>55/2016</w:t>
        </w:r>
      </w:hyperlink>
      <w:r>
        <w:t xml:space="preserve">, f. 4; </w:t>
      </w:r>
      <w:hyperlink w:anchor="SENTENCIA_2016_119" w:history="1">
        <w:r w:rsidRPr="0057104C">
          <w:rPr>
            <w:rStyle w:val="TextoNormalCaracter"/>
          </w:rPr>
          <w:t>119/2016</w:t>
        </w:r>
      </w:hyperlink>
      <w:r>
        <w:t>, ff. 1, 5.</w:t>
      </w:r>
    </w:p>
    <w:p w:rsidR="0057104C" w:rsidRDefault="0057104C" w:rsidP="0057104C">
      <w:pPr>
        <w:pStyle w:val="SangriaFrancesaArticulo"/>
      </w:pPr>
      <w:r w:rsidRPr="0057104C">
        <w:rPr>
          <w:rStyle w:val="TextoNormalNegritaCaracter"/>
        </w:rPr>
        <w:t>Artículo 4</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37" w:history="1">
        <w:r w:rsidRPr="0057104C">
          <w:rPr>
            <w:rStyle w:val="TextoNormalCaracter"/>
          </w:rPr>
          <w:t>37/2016</w:t>
        </w:r>
      </w:hyperlink>
      <w:r>
        <w:t xml:space="preserve">, f. 4; </w:t>
      </w:r>
      <w:hyperlink w:anchor="SENTENCIA_2016_55" w:history="1">
        <w:r w:rsidRPr="0057104C">
          <w:rPr>
            <w:rStyle w:val="TextoNormalCaracter"/>
          </w:rPr>
          <w:t>55/2016</w:t>
        </w:r>
      </w:hyperlink>
      <w:r>
        <w:t xml:space="preserve">, f. 4; </w:t>
      </w:r>
      <w:hyperlink w:anchor="SENTENCIA_2016_59" w:history="1">
        <w:r w:rsidRPr="0057104C">
          <w:rPr>
            <w:rStyle w:val="TextoNormalCaracter"/>
          </w:rPr>
          <w:t>59/2016</w:t>
        </w:r>
      </w:hyperlink>
      <w:r>
        <w:t xml:space="preserve">, f. 4; </w:t>
      </w:r>
      <w:hyperlink w:anchor="SENTENCIA_2016_119" w:history="1">
        <w:r w:rsidRPr="0057104C">
          <w:rPr>
            <w:rStyle w:val="TextoNormalCaracter"/>
          </w:rPr>
          <w:t>119/2016</w:t>
        </w:r>
      </w:hyperlink>
      <w:r>
        <w:t>, ff. 1, 2, 5.</w:t>
      </w:r>
    </w:p>
    <w:p w:rsidR="0057104C" w:rsidRDefault="0057104C" w:rsidP="0057104C">
      <w:pPr>
        <w:pStyle w:val="SangriaFrancesaArticulo"/>
      </w:pPr>
      <w:r w:rsidRPr="0057104C">
        <w:rPr>
          <w:rStyle w:val="TextoNormalNegritaCaracter"/>
        </w:rPr>
        <w:t>Artículo 4.1</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119" w:history="1">
        <w:r w:rsidRPr="0057104C">
          <w:rPr>
            <w:rStyle w:val="TextoNormalCaracter"/>
          </w:rPr>
          <w:t>119/2016</w:t>
        </w:r>
      </w:hyperlink>
      <w:r>
        <w:t>, f. 5.</w:t>
      </w:r>
    </w:p>
    <w:p w:rsidR="0057104C" w:rsidRDefault="0057104C" w:rsidP="0057104C">
      <w:pPr>
        <w:pStyle w:val="SangriaFrancesaArticulo"/>
      </w:pPr>
      <w:r w:rsidRPr="0057104C">
        <w:rPr>
          <w:rStyle w:val="TextoNormalNegritaCaracter"/>
        </w:rPr>
        <w:t>Artículo 4.2</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119" w:history="1">
        <w:r w:rsidRPr="0057104C">
          <w:rPr>
            <w:rStyle w:val="TextoNormalCaracter"/>
          </w:rPr>
          <w:t>119/2016</w:t>
        </w:r>
      </w:hyperlink>
      <w:r>
        <w:t>, f. 5.</w:t>
      </w:r>
    </w:p>
    <w:p w:rsidR="0057104C" w:rsidRDefault="0057104C" w:rsidP="0057104C">
      <w:pPr>
        <w:pStyle w:val="SangriaFrancesaArticulo"/>
      </w:pPr>
      <w:r w:rsidRPr="0057104C">
        <w:rPr>
          <w:rStyle w:val="TextoNormalNegritaCaracter"/>
        </w:rPr>
        <w:t>Artículo 4.4</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19" w:history="1">
        <w:r w:rsidRPr="0057104C">
          <w:rPr>
            <w:rStyle w:val="TextoNormalCaracter"/>
          </w:rPr>
          <w:t>119/2016</w:t>
        </w:r>
      </w:hyperlink>
      <w:r>
        <w:t>, f. 5.</w:t>
      </w:r>
    </w:p>
    <w:p w:rsidR="0057104C" w:rsidRDefault="0057104C" w:rsidP="0057104C">
      <w:pPr>
        <w:pStyle w:val="SangriaFrancesaArticulo"/>
      </w:pPr>
      <w:r w:rsidRPr="0057104C">
        <w:rPr>
          <w:rStyle w:val="TextoNormalNegritaCaracter"/>
        </w:rPr>
        <w:t>Artículo 4.5</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37" w:history="1">
        <w:r w:rsidRPr="0057104C">
          <w:rPr>
            <w:rStyle w:val="TextoNormalCaracter"/>
          </w:rPr>
          <w:t>37/2016</w:t>
        </w:r>
      </w:hyperlink>
      <w:r>
        <w:t xml:space="preserve">, f. 4; </w:t>
      </w:r>
      <w:hyperlink w:anchor="SENTENCIA_2016_55" w:history="1">
        <w:r w:rsidRPr="0057104C">
          <w:rPr>
            <w:rStyle w:val="TextoNormalCaracter"/>
          </w:rPr>
          <w:t>55/2016</w:t>
        </w:r>
      </w:hyperlink>
      <w:r>
        <w:t xml:space="preserve">, f. 4; </w:t>
      </w:r>
      <w:hyperlink w:anchor="SENTENCIA_2016_59" w:history="1">
        <w:r w:rsidRPr="0057104C">
          <w:rPr>
            <w:rStyle w:val="TextoNormalCaracter"/>
          </w:rPr>
          <w:t>59/2016</w:t>
        </w:r>
      </w:hyperlink>
      <w:r>
        <w:t xml:space="preserve">, f. 4; </w:t>
      </w:r>
      <w:hyperlink w:anchor="SENTENCIA_2016_119" w:history="1">
        <w:r w:rsidRPr="0057104C">
          <w:rPr>
            <w:rStyle w:val="TextoNormalCaracter"/>
          </w:rPr>
          <w:t>119/2016</w:t>
        </w:r>
      </w:hyperlink>
      <w:r>
        <w:t>, f. 5.</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55" w:history="1">
        <w:r w:rsidRPr="0057104C">
          <w:rPr>
            <w:rStyle w:val="TextoNormalCaracter"/>
          </w:rPr>
          <w:t>55/2016</w:t>
        </w:r>
      </w:hyperlink>
      <w:r>
        <w:t>, f. 4.</w:t>
      </w:r>
    </w:p>
    <w:p w:rsidR="0057104C" w:rsidRDefault="0057104C" w:rsidP="0057104C">
      <w:pPr>
        <w:pStyle w:val="SangriaFrancesaArticulo"/>
      </w:pPr>
      <w:r w:rsidRPr="0057104C">
        <w:rPr>
          <w:rStyle w:val="TextoNormalNegritaCaracter"/>
        </w:rPr>
        <w:t>Artículo 5</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37" w:history="1">
        <w:r w:rsidRPr="0057104C">
          <w:rPr>
            <w:rStyle w:val="TextoNormalCaracter"/>
          </w:rPr>
          <w:t>37/2016</w:t>
        </w:r>
      </w:hyperlink>
      <w:r>
        <w:t xml:space="preserve">, f. 4; </w:t>
      </w:r>
      <w:hyperlink w:anchor="SENTENCIA_2016_119" w:history="1">
        <w:r w:rsidRPr="0057104C">
          <w:rPr>
            <w:rStyle w:val="TextoNormalCaracter"/>
          </w:rPr>
          <w:t>119/2016</w:t>
        </w:r>
      </w:hyperlink>
      <w:r>
        <w:t>, ff. 1, 2, 5.</w:t>
      </w:r>
    </w:p>
    <w:p w:rsidR="0057104C" w:rsidRDefault="0057104C" w:rsidP="0057104C">
      <w:pPr>
        <w:pStyle w:val="SangriaFrancesaArticulo"/>
      </w:pPr>
      <w:r w:rsidRPr="0057104C">
        <w:rPr>
          <w:rStyle w:val="TextoNormalNegritaCaracter"/>
        </w:rPr>
        <w:t>Artículo 5.4</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ff. 2, 9; </w:t>
      </w:r>
      <w:hyperlink w:anchor="SENTENCIA_2016_37" w:history="1">
        <w:r w:rsidRPr="0057104C">
          <w:rPr>
            <w:rStyle w:val="TextoNormalCaracter"/>
          </w:rPr>
          <w:t>37/2016</w:t>
        </w:r>
      </w:hyperlink>
      <w:r>
        <w:t xml:space="preserve">, f. 4; </w:t>
      </w:r>
      <w:hyperlink w:anchor="SENTENCIA_2016_55" w:history="1">
        <w:r w:rsidRPr="0057104C">
          <w:rPr>
            <w:rStyle w:val="TextoNormalCaracter"/>
          </w:rPr>
          <w:t>55/2016</w:t>
        </w:r>
      </w:hyperlink>
      <w:r>
        <w:t>, f. 3.</w:t>
      </w:r>
    </w:p>
    <w:p w:rsidR="0057104C" w:rsidRDefault="0057104C" w:rsidP="0057104C">
      <w:pPr>
        <w:pStyle w:val="SangriaFrancesaArticulo"/>
      </w:pPr>
      <w:r w:rsidRPr="0057104C">
        <w:rPr>
          <w:rStyle w:val="TextoNormalNegritaCaracter"/>
        </w:rPr>
        <w:t>Artículo 5.4</w:t>
      </w:r>
      <w:r>
        <w:t xml:space="preserve"> (redactado por el Real Decreto-ley 8/2014, de 4 de julio)</w:t>
      </w:r>
      <w:r w:rsidRPr="0057104C">
        <w:rPr>
          <w:rStyle w:val="TextoNormalNegritaCaracter"/>
        </w:rPr>
        <w:t>.</w:t>
      </w:r>
      <w:r w:rsidRPr="0057104C">
        <w:rPr>
          <w:rStyle w:val="TextoNormalCaracter"/>
        </w:rPr>
        <w:t>-</w:t>
      </w:r>
      <w:r>
        <w:t xml:space="preserve"> Sentencia </w:t>
      </w:r>
      <w:hyperlink w:anchor="SENTENCIA_2016_55" w:history="1">
        <w:r w:rsidRPr="0057104C">
          <w:rPr>
            <w:rStyle w:val="TextoNormalCaracter"/>
          </w:rPr>
          <w:t>55/2016</w:t>
        </w:r>
      </w:hyperlink>
      <w:r>
        <w:t>, f. 3.</w:t>
      </w:r>
    </w:p>
    <w:p w:rsidR="0057104C" w:rsidRDefault="0057104C" w:rsidP="0057104C">
      <w:pPr>
        <w:pStyle w:val="SangriaFrancesaArticulo"/>
      </w:pPr>
      <w:r w:rsidRPr="0057104C">
        <w:rPr>
          <w:rStyle w:val="TextoNormalNegritaCaracter"/>
        </w:rPr>
        <w:t>Artículo 5.4</w:t>
      </w:r>
      <w:r>
        <w:t xml:space="preserve"> (redactado por la Ley 18/2014, de 15 de octubre)</w:t>
      </w:r>
      <w:r w:rsidRPr="0057104C">
        <w:rPr>
          <w:rStyle w:val="TextoNormalNegritaCaracter"/>
        </w:rPr>
        <w:t>.</w:t>
      </w:r>
      <w:r w:rsidRPr="0057104C">
        <w:rPr>
          <w:rStyle w:val="TextoNormalCaracter"/>
        </w:rPr>
        <w:t>-</w:t>
      </w:r>
      <w:r>
        <w:t xml:space="preserve"> Sentencia </w:t>
      </w:r>
      <w:hyperlink w:anchor="SENTENCIA_2016_55" w:history="1">
        <w:r w:rsidRPr="0057104C">
          <w:rPr>
            <w:rStyle w:val="TextoNormalCaracter"/>
          </w:rPr>
          <w:t>55/2016</w:t>
        </w:r>
      </w:hyperlink>
      <w:r>
        <w:t>, f. 3.</w:t>
      </w:r>
    </w:p>
    <w:p w:rsidR="0057104C" w:rsidRDefault="0057104C" w:rsidP="0057104C">
      <w:pPr>
        <w:pStyle w:val="SangriaFrancesaArticulo"/>
      </w:pPr>
      <w:r w:rsidRPr="0057104C">
        <w:rPr>
          <w:rStyle w:val="TextoNormalNegritaCaracter"/>
        </w:rPr>
        <w:t>Artículo 5.5</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ff. 2, 9; </w:t>
      </w:r>
      <w:hyperlink w:anchor="SENTENCIA_2016_37" w:history="1">
        <w:r w:rsidRPr="0057104C">
          <w:rPr>
            <w:rStyle w:val="TextoNormalCaracter"/>
          </w:rPr>
          <w:t>37/2016</w:t>
        </w:r>
      </w:hyperlink>
      <w:r>
        <w:t xml:space="preserve">, f. 4; </w:t>
      </w:r>
      <w:hyperlink w:anchor="SENTENCIA_2016_55" w:history="1">
        <w:r w:rsidRPr="0057104C">
          <w:rPr>
            <w:rStyle w:val="TextoNormalCaracter"/>
          </w:rPr>
          <w:t>55/2016</w:t>
        </w:r>
      </w:hyperlink>
      <w:r>
        <w:t>, f. 3.</w:t>
      </w:r>
    </w:p>
    <w:p w:rsidR="0057104C" w:rsidRDefault="0057104C" w:rsidP="0057104C">
      <w:pPr>
        <w:pStyle w:val="SangriaFrancesaArticulo"/>
      </w:pPr>
      <w:r w:rsidRPr="0057104C">
        <w:rPr>
          <w:rStyle w:val="TextoNormalNegritaCaracter"/>
        </w:rPr>
        <w:t>Artículo 5.5</w:t>
      </w:r>
      <w:r>
        <w:t xml:space="preserve"> (redactado por el Real Decreto-ley 8/2014, de 4 de julio)</w:t>
      </w:r>
      <w:r w:rsidRPr="0057104C">
        <w:rPr>
          <w:rStyle w:val="TextoNormalNegritaCaracter"/>
        </w:rPr>
        <w:t>.</w:t>
      </w:r>
      <w:r w:rsidRPr="0057104C">
        <w:rPr>
          <w:rStyle w:val="TextoNormalCaracter"/>
        </w:rPr>
        <w:t>-</w:t>
      </w:r>
      <w:r>
        <w:t xml:space="preserve"> Sentencia </w:t>
      </w:r>
      <w:hyperlink w:anchor="SENTENCIA_2016_55" w:history="1">
        <w:r w:rsidRPr="0057104C">
          <w:rPr>
            <w:rStyle w:val="TextoNormalCaracter"/>
          </w:rPr>
          <w:t>55/2016</w:t>
        </w:r>
      </w:hyperlink>
      <w:r>
        <w:t>, f. 3.</w:t>
      </w:r>
    </w:p>
    <w:p w:rsidR="0057104C" w:rsidRDefault="0057104C" w:rsidP="0057104C">
      <w:pPr>
        <w:pStyle w:val="SangriaFrancesaArticulo"/>
      </w:pPr>
      <w:r w:rsidRPr="0057104C">
        <w:rPr>
          <w:rStyle w:val="TextoNormalNegritaCaracter"/>
        </w:rPr>
        <w:t>Artículo 5.5</w:t>
      </w:r>
      <w:r>
        <w:t xml:space="preserve"> (redactado por la Ley 18/2014, de 15 de octubre)</w:t>
      </w:r>
      <w:r w:rsidRPr="0057104C">
        <w:rPr>
          <w:rStyle w:val="TextoNormalNegritaCaracter"/>
        </w:rPr>
        <w:t>.</w:t>
      </w:r>
      <w:r w:rsidRPr="0057104C">
        <w:rPr>
          <w:rStyle w:val="TextoNormalCaracter"/>
        </w:rPr>
        <w:t>-</w:t>
      </w:r>
      <w:r>
        <w:t xml:space="preserve"> Sentencia </w:t>
      </w:r>
      <w:hyperlink w:anchor="SENTENCIA_2016_55" w:history="1">
        <w:r w:rsidRPr="0057104C">
          <w:rPr>
            <w:rStyle w:val="TextoNormalCaracter"/>
          </w:rPr>
          <w:t>55/2016</w:t>
        </w:r>
      </w:hyperlink>
      <w:r>
        <w:t>, f. 3.</w:t>
      </w:r>
    </w:p>
    <w:p w:rsidR="0057104C" w:rsidRDefault="0057104C" w:rsidP="0057104C">
      <w:pPr>
        <w:pStyle w:val="SangriaFrancesaArticulo"/>
      </w:pPr>
      <w:r w:rsidRPr="0057104C">
        <w:rPr>
          <w:rStyle w:val="TextoNormalNegritaCaracter"/>
        </w:rPr>
        <w:t>Disposición adicional primera</w:t>
      </w:r>
      <w:r>
        <w:t xml:space="preserve"> (redactada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119" w:history="1">
        <w:r w:rsidRPr="0057104C">
          <w:rPr>
            <w:rStyle w:val="TextoNormalCaracter"/>
          </w:rPr>
          <w:t>119/2016</w:t>
        </w:r>
      </w:hyperlink>
      <w:r>
        <w:t>, ff. 1, 2, 5.</w:t>
      </w:r>
    </w:p>
    <w:p w:rsidR="0057104C" w:rsidRDefault="0057104C" w:rsidP="0057104C">
      <w:pPr>
        <w:pStyle w:val="SangriaFrancesaArticulo"/>
      </w:pPr>
      <w:r w:rsidRPr="0057104C">
        <w:rPr>
          <w:rStyle w:val="TextoNormalNegritaCaracter"/>
        </w:rPr>
        <w:t>Disposición adicional segunda</w:t>
      </w:r>
      <w:r>
        <w:t xml:space="preserve"> (redactada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119" w:history="1">
        <w:r w:rsidRPr="0057104C">
          <w:rPr>
            <w:rStyle w:val="TextoNormalCaracter"/>
          </w:rPr>
          <w:t>119/2016</w:t>
        </w:r>
      </w:hyperlink>
      <w:r>
        <w:t>, ff. 1, 5.</w:t>
      </w:r>
    </w:p>
    <w:p w:rsidR="0057104C" w:rsidRDefault="0057104C" w:rsidP="0057104C">
      <w:pPr>
        <w:pStyle w:val="SangriaFrancesaArticulo"/>
      </w:pPr>
      <w:r w:rsidRPr="0057104C">
        <w:rPr>
          <w:rStyle w:val="TextoNormalNegritaCaracter"/>
        </w:rPr>
        <w:t>Disposición final primera</w:t>
      </w:r>
      <w:r>
        <w:t xml:space="preserve"> (redactada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37" w:history="1">
        <w:r w:rsidRPr="0057104C">
          <w:rPr>
            <w:rStyle w:val="TextoNormalCaracter"/>
          </w:rPr>
          <w:t>37/2016</w:t>
        </w:r>
      </w:hyperlink>
      <w:r>
        <w:t>, f. 4.</w:t>
      </w:r>
    </w:p>
    <w:p w:rsidR="0057104C" w:rsidRDefault="0057104C" w:rsidP="0057104C">
      <w:pPr>
        <w:pStyle w:val="SangriaFrancesaArticulo"/>
      </w:pPr>
    </w:p>
    <w:p w:rsidR="0057104C" w:rsidRDefault="0057104C" w:rsidP="0057104C">
      <w:pPr>
        <w:pStyle w:val="TextoNormalNegritaCursivandice"/>
      </w:pPr>
      <w:r>
        <w:t>Ley 3/2004, de 29 de diciembre. Establecimiento de medidas de lucha contra la morosidaden las operaciones comerciales</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101" w:history="1">
        <w:r w:rsidRPr="0057104C">
          <w:rPr>
            <w:rStyle w:val="TextoNormalCaracter"/>
          </w:rPr>
          <w:t>101/2016</w:t>
        </w:r>
      </w:hyperlink>
      <w:r>
        <w:t>, f. 3.</w:t>
      </w:r>
    </w:p>
    <w:p w:rsidR="0057104C" w:rsidRDefault="0057104C" w:rsidP="0057104C">
      <w:pPr>
        <w:pStyle w:val="SangriaFrancesaArticulo"/>
      </w:pPr>
    </w:p>
    <w:p w:rsidR="0057104C" w:rsidRDefault="0057104C" w:rsidP="0057104C">
      <w:pPr>
        <w:pStyle w:val="TextoNormalNegritaCursivandice"/>
      </w:pPr>
      <w:r>
        <w:t>Ley 13/2005, de 1 de julio. Modificación del Código civil en materia de derecho a contraer matrimonio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29" w:history="1">
        <w:r w:rsidRPr="0057104C">
          <w:rPr>
            <w:rStyle w:val="TextoNormalCaracter"/>
          </w:rPr>
          <w:t>129/2016</w:t>
        </w:r>
      </w:hyperlink>
      <w:r>
        <w:t>, ff. 2, 4, VP.</w:t>
      </w:r>
    </w:p>
    <w:p w:rsidR="0057104C" w:rsidRDefault="0057104C" w:rsidP="0057104C">
      <w:pPr>
        <w:pStyle w:val="SangriaFrancesaArticulo"/>
      </w:pPr>
    </w:p>
    <w:p w:rsidR="0057104C" w:rsidRDefault="0057104C" w:rsidP="0057104C">
      <w:pPr>
        <w:pStyle w:val="TextoNormalNegritaCursivandice"/>
      </w:pPr>
      <w:r>
        <w:t>Ley 17/2005, de 19 de julio. Regula el permiso y la licencia de conducción por puntos y se modifica el texto articulado de la ley sobre tráfico, circulación de vehículos a motor y seguridad vial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7" w:history="1">
        <w:r w:rsidRPr="0057104C">
          <w:rPr>
            <w:rStyle w:val="TextoNormalCaracter"/>
          </w:rPr>
          <w:t>117/2016</w:t>
        </w:r>
      </w:hyperlink>
      <w:r>
        <w:t>, f. 1.</w:t>
      </w:r>
    </w:p>
    <w:p w:rsidR="0057104C" w:rsidRDefault="0057104C" w:rsidP="0057104C">
      <w:pPr>
        <w:pStyle w:val="SangriaFrancesaArticulo"/>
      </w:pPr>
    </w:p>
    <w:p w:rsidR="0057104C" w:rsidRDefault="0057104C" w:rsidP="0057104C">
      <w:pPr>
        <w:pStyle w:val="TextoNormalNegritaCursivandice"/>
      </w:pPr>
      <w:r>
        <w:t>Ley 35/2006, de 28 de noviembre. Impuesto sobre la renta de las personas físicas y modificación parcial de las leyes de los impuestos sobre sociedades, sobre la renta de no residentes y sobre el patrimonio</w:t>
      </w:r>
    </w:p>
    <w:p w:rsidR="0057104C" w:rsidRDefault="0057104C" w:rsidP="0057104C">
      <w:pPr>
        <w:pStyle w:val="SangriaFrancesaArticulo"/>
      </w:pPr>
      <w:r w:rsidRPr="0057104C">
        <w:rPr>
          <w:rStyle w:val="TextoNormalNegritaCaracter"/>
        </w:rPr>
        <w:t>Disposición adicional trigésima primera "que se imputen en un período impositivo que finalice con posterioridad a 4 de agosto de 2004"</w:t>
      </w:r>
      <w:r>
        <w:t xml:space="preserve"> (redactada por la Ley 2/2011, de 4 de marzo)</w:t>
      </w:r>
      <w:r w:rsidRPr="0057104C">
        <w:rPr>
          <w:rStyle w:val="TextoNormalNegritaCaracter"/>
        </w:rPr>
        <w:t>.</w:t>
      </w:r>
      <w:r w:rsidRPr="0057104C">
        <w:rPr>
          <w:rStyle w:val="TextoNormalCaracter"/>
        </w:rPr>
        <w:t>-</w:t>
      </w:r>
      <w:r>
        <w:t xml:space="preserve"> Sentencia </w:t>
      </w:r>
      <w:hyperlink w:anchor="SENTENCIA_2016_121" w:history="1">
        <w:r w:rsidRPr="0057104C">
          <w:rPr>
            <w:rStyle w:val="TextoNormalCaracter"/>
          </w:rPr>
          <w:t>121/2016</w:t>
        </w:r>
      </w:hyperlink>
      <w:r>
        <w:t>, ff. 1, 2, 4, 6.</w:t>
      </w:r>
    </w:p>
    <w:p w:rsidR="0057104C" w:rsidRDefault="0057104C" w:rsidP="0057104C">
      <w:pPr>
        <w:pStyle w:val="SangriaFrancesaArticulo"/>
      </w:pPr>
    </w:p>
    <w:p w:rsidR="0057104C" w:rsidRDefault="0057104C" w:rsidP="0057104C">
      <w:pPr>
        <w:pStyle w:val="TextoNormalNegritaCursivandice"/>
      </w:pPr>
      <w:r>
        <w:t>Ley 36/2006, de 29 de noviembre. Medidas para la prevención del fraude fiscal</w:t>
      </w:r>
    </w:p>
    <w:p w:rsidR="0057104C" w:rsidRDefault="0057104C" w:rsidP="0057104C">
      <w:pPr>
        <w:pStyle w:val="SangriaFrancesaArticulo"/>
      </w:pPr>
      <w:r w:rsidRPr="0057104C">
        <w:rPr>
          <w:rStyle w:val="TextoNormalNegritaCaracter"/>
        </w:rPr>
        <w:t>Artículo 5.6.</w:t>
      </w:r>
      <w:r w:rsidRPr="0057104C">
        <w:rPr>
          <w:rStyle w:val="TextoNormalCaracter"/>
        </w:rPr>
        <w:t>-</w:t>
      </w:r>
      <w:r>
        <w:t xml:space="preserve"> Sentencia </w:t>
      </w:r>
      <w:hyperlink w:anchor="SENTENCIA_2016_25" w:history="1">
        <w:r w:rsidRPr="0057104C">
          <w:rPr>
            <w:rStyle w:val="TextoNormalCaracter"/>
          </w:rPr>
          <w:t>25/2016</w:t>
        </w:r>
      </w:hyperlink>
      <w:r>
        <w:t>, f. 3.</w:t>
      </w:r>
    </w:p>
    <w:p w:rsidR="0057104C" w:rsidRDefault="0057104C" w:rsidP="0057104C">
      <w:pPr>
        <w:pStyle w:val="SangriaFrancesaArticulo"/>
      </w:pPr>
      <w:r w:rsidRPr="0057104C">
        <w:rPr>
          <w:rStyle w:val="TextoNormalNegritaCaracter"/>
        </w:rPr>
        <w:t>Artículo 57.1 g).</w:t>
      </w:r>
      <w:r w:rsidRPr="0057104C">
        <w:rPr>
          <w:rStyle w:val="TextoNormalCaracter"/>
        </w:rPr>
        <w:t>-</w:t>
      </w:r>
      <w:r>
        <w:t xml:space="preserve"> Sentencia </w:t>
      </w:r>
      <w:hyperlink w:anchor="SENTENCIA_2016_25" w:history="1">
        <w:r w:rsidRPr="0057104C">
          <w:rPr>
            <w:rStyle w:val="TextoNormalCaracter"/>
          </w:rPr>
          <w:t>25/2016</w:t>
        </w:r>
      </w:hyperlink>
      <w:r>
        <w:t>, f. 3.</w:t>
      </w:r>
    </w:p>
    <w:p w:rsidR="0057104C" w:rsidRDefault="0057104C" w:rsidP="0057104C">
      <w:pPr>
        <w:pStyle w:val="SangriaFrancesaArticulo"/>
      </w:pPr>
    </w:p>
    <w:p w:rsidR="0057104C" w:rsidRDefault="0057104C" w:rsidP="0057104C">
      <w:pPr>
        <w:pStyle w:val="TextoNormalNegritaCursivandice"/>
      </w:pPr>
      <w:r>
        <w:t>Ley 39/2006, de 14 de diciembre. Promoción de la autonomía personal y atención a las  personas en situación de dependencia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8" w:history="1">
        <w:r w:rsidRPr="0057104C">
          <w:rPr>
            <w:rStyle w:val="TextoNormalCaracter"/>
          </w:rPr>
          <w:t>18/2016</w:t>
        </w:r>
      </w:hyperlink>
      <w:r>
        <w:t xml:space="preserve">, ff. 1, 5, 7; </w:t>
      </w:r>
      <w:hyperlink w:anchor="SENTENCIA_2016_34" w:history="1">
        <w:r w:rsidRPr="0057104C">
          <w:rPr>
            <w:rStyle w:val="TextoNormalCaracter"/>
          </w:rPr>
          <w:t>34/2016</w:t>
        </w:r>
      </w:hyperlink>
      <w:r>
        <w:t xml:space="preserve">, f. 6; </w:t>
      </w:r>
      <w:hyperlink w:anchor="SENTENCIA_2016_99" w:history="1">
        <w:r w:rsidRPr="0057104C">
          <w:rPr>
            <w:rStyle w:val="TextoNormalCaracter"/>
          </w:rPr>
          <w:t>99/2016</w:t>
        </w:r>
      </w:hyperlink>
      <w:r>
        <w:t>, ff. 3, 5.</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18" w:history="1">
        <w:r w:rsidRPr="0057104C">
          <w:rPr>
            <w:rStyle w:val="TextoNormalCaracter"/>
          </w:rPr>
          <w:t>18/2016</w:t>
        </w:r>
      </w:hyperlink>
      <w:r>
        <w:t>, f. 7.</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5.1 a).</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18" w:history="1">
        <w:r w:rsidRPr="0057104C">
          <w:rPr>
            <w:rStyle w:val="TextoNormalCaracter"/>
          </w:rPr>
          <w:t>18/2016</w:t>
        </w:r>
      </w:hyperlink>
      <w:r>
        <w:t>, f. 7.</w:t>
      </w:r>
    </w:p>
    <w:p w:rsidR="0057104C" w:rsidRDefault="0057104C" w:rsidP="0057104C">
      <w:pPr>
        <w:pStyle w:val="SangriaFrancesaArticulo"/>
      </w:pPr>
      <w:r w:rsidRPr="0057104C">
        <w:rPr>
          <w:rStyle w:val="TextoNormalNegritaCaracter"/>
        </w:rPr>
        <w:t>Artículo 7.1.</w:t>
      </w:r>
      <w:r w:rsidRPr="0057104C">
        <w:rPr>
          <w:rStyle w:val="TextoNormalCaracter"/>
        </w:rPr>
        <w:t>-</w:t>
      </w:r>
      <w:r>
        <w:t xml:space="preserve"> Sentencia </w:t>
      </w:r>
      <w:hyperlink w:anchor="SENTENCIA_2016_99" w:history="1">
        <w:r w:rsidRPr="0057104C">
          <w:rPr>
            <w:rStyle w:val="TextoNormalCaracter"/>
          </w:rPr>
          <w:t>99/2016</w:t>
        </w:r>
      </w:hyperlink>
      <w:r>
        <w:t>, f. 3.</w:t>
      </w:r>
    </w:p>
    <w:p w:rsidR="0057104C" w:rsidRDefault="0057104C" w:rsidP="0057104C">
      <w:pPr>
        <w:pStyle w:val="SangriaFrancesaArticulo"/>
      </w:pPr>
      <w:r w:rsidRPr="0057104C">
        <w:rPr>
          <w:rStyle w:val="TextoNormalNegritaCaracter"/>
        </w:rPr>
        <w:t>Artículo 7.2.</w:t>
      </w:r>
      <w:r w:rsidRPr="0057104C">
        <w:rPr>
          <w:rStyle w:val="TextoNormalCaracter"/>
        </w:rPr>
        <w:t>-</w:t>
      </w:r>
      <w:r>
        <w:t xml:space="preserve"> Sentencias </w:t>
      </w:r>
      <w:hyperlink w:anchor="SENTENCIA_2016_18" w:history="1">
        <w:r w:rsidRPr="0057104C">
          <w:rPr>
            <w:rStyle w:val="TextoNormalCaracter"/>
          </w:rPr>
          <w:t>18/2016</w:t>
        </w:r>
      </w:hyperlink>
      <w:r>
        <w:t xml:space="preserve">, f. 7; </w:t>
      </w:r>
      <w:hyperlink w:anchor="SENTENCIA_2016_99" w:history="1">
        <w:r w:rsidRPr="0057104C">
          <w:rPr>
            <w:rStyle w:val="TextoNormalCaracter"/>
          </w:rPr>
          <w:t>99/2016</w:t>
        </w:r>
      </w:hyperlink>
      <w:r>
        <w:t>, ff. 1, 3, 5.</w:t>
      </w:r>
    </w:p>
    <w:p w:rsidR="0057104C" w:rsidRDefault="0057104C" w:rsidP="0057104C">
      <w:pPr>
        <w:pStyle w:val="SangriaFrancesaArticulo"/>
      </w:pPr>
      <w:r w:rsidRPr="0057104C">
        <w:rPr>
          <w:rStyle w:val="TextoNormalNegritaCaracter"/>
        </w:rPr>
        <w:t>Artículo 7.3.</w:t>
      </w:r>
      <w:r w:rsidRPr="0057104C">
        <w:rPr>
          <w:rStyle w:val="TextoNormalCaracter"/>
        </w:rPr>
        <w:t>-</w:t>
      </w:r>
      <w:r>
        <w:t xml:space="preserve"> Sentencias </w:t>
      </w:r>
      <w:hyperlink w:anchor="SENTENCIA_2016_18" w:history="1">
        <w:r w:rsidRPr="0057104C">
          <w:rPr>
            <w:rStyle w:val="TextoNormalCaracter"/>
          </w:rPr>
          <w:t>18/2016</w:t>
        </w:r>
      </w:hyperlink>
      <w:r>
        <w:t xml:space="preserve">, f. 7; </w:t>
      </w:r>
      <w:hyperlink w:anchor="SENTENCIA_2016_99" w:history="1">
        <w:r w:rsidRPr="0057104C">
          <w:rPr>
            <w:rStyle w:val="TextoNormalCaracter"/>
          </w:rPr>
          <w:t>99/2016</w:t>
        </w:r>
      </w:hyperlink>
      <w:r>
        <w:t>, f. 3.</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8.2 a).</w:t>
      </w:r>
      <w:r w:rsidRPr="0057104C">
        <w:rPr>
          <w:rStyle w:val="TextoNormalCaracter"/>
        </w:rPr>
        <w:t>-</w:t>
      </w:r>
      <w:r>
        <w:t xml:space="preserve"> Sentencias </w:t>
      </w:r>
      <w:hyperlink w:anchor="SENTENCIA_2016_18" w:history="1">
        <w:r w:rsidRPr="0057104C">
          <w:rPr>
            <w:rStyle w:val="TextoNormalCaracter"/>
          </w:rPr>
          <w:t>18/2016</w:t>
        </w:r>
      </w:hyperlink>
      <w:r>
        <w:t xml:space="preserve">, f. 7; </w:t>
      </w:r>
      <w:hyperlink w:anchor="SENTENCIA_2016_99" w:history="1">
        <w:r w:rsidRPr="0057104C">
          <w:rPr>
            <w:rStyle w:val="TextoNormalCaracter"/>
          </w:rPr>
          <w:t>99/2016</w:t>
        </w:r>
      </w:hyperlink>
      <w:r>
        <w:t>, ff. 1, 3, 5.</w:t>
      </w:r>
    </w:p>
    <w:p w:rsidR="0057104C" w:rsidRDefault="0057104C" w:rsidP="0057104C">
      <w:pPr>
        <w:pStyle w:val="SangriaFrancesaArticulo"/>
      </w:pPr>
      <w:r w:rsidRPr="0057104C">
        <w:rPr>
          <w:rStyle w:val="TextoNormalNegritaCaracter"/>
        </w:rPr>
        <w:t>Artículo 8.2 b).</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36" w:history="1">
        <w:r w:rsidRPr="0057104C">
          <w:rPr>
            <w:rStyle w:val="TextoNormalCaracter"/>
          </w:rPr>
          <w:t>36/2016</w:t>
        </w:r>
      </w:hyperlink>
      <w:r>
        <w:t>, f. 2.</w:t>
      </w:r>
    </w:p>
    <w:p w:rsidR="0057104C" w:rsidRDefault="0057104C" w:rsidP="0057104C">
      <w:pPr>
        <w:pStyle w:val="SangriaFrancesaArticulo"/>
      </w:pPr>
      <w:r w:rsidRPr="0057104C">
        <w:rPr>
          <w:rStyle w:val="TextoNormalNegritaCaracter"/>
        </w:rPr>
        <w:t>Artículo 8.2 c).</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36" w:history="1">
        <w:r w:rsidRPr="0057104C">
          <w:rPr>
            <w:rStyle w:val="TextoNormalCaracter"/>
          </w:rPr>
          <w:t>36/2016</w:t>
        </w:r>
      </w:hyperlink>
      <w:r>
        <w:t>, f. 2.</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Sentencias </w:t>
      </w:r>
      <w:hyperlink w:anchor="SENTENCIA_2016_18" w:history="1">
        <w:r w:rsidRPr="0057104C">
          <w:rPr>
            <w:rStyle w:val="TextoNormalCaracter"/>
          </w:rPr>
          <w:t>18/2016</w:t>
        </w:r>
      </w:hyperlink>
      <w:r>
        <w:t xml:space="preserve">, ff. 7, 8; </w:t>
      </w:r>
      <w:hyperlink w:anchor="SENTENCIA_2016_99" w:history="1">
        <w:r w:rsidRPr="0057104C">
          <w:rPr>
            <w:rStyle w:val="TextoNormalCaracter"/>
          </w:rPr>
          <w:t>99/2016</w:t>
        </w:r>
      </w:hyperlink>
      <w:r>
        <w:t>, f. 3.</w:t>
      </w:r>
    </w:p>
    <w:p w:rsidR="0057104C" w:rsidRDefault="0057104C" w:rsidP="0057104C">
      <w:pPr>
        <w:pStyle w:val="SangriaFrancesaArticulo"/>
      </w:pPr>
      <w:r w:rsidRPr="0057104C">
        <w:rPr>
          <w:rStyle w:val="TextoNormalNegritaCaracter"/>
        </w:rPr>
        <w:t>Artículo 9.1</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Sentencias </w:t>
      </w:r>
      <w:hyperlink w:anchor="SENTENCIA_2016_18" w:history="1">
        <w:r w:rsidRPr="0057104C">
          <w:rPr>
            <w:rStyle w:val="TextoNormalCaracter"/>
          </w:rPr>
          <w:t>18/2016</w:t>
        </w:r>
      </w:hyperlink>
      <w:r>
        <w:t xml:space="preserve">, f. 7; </w:t>
      </w:r>
      <w:hyperlink w:anchor="SENTENCIA_2016_99" w:history="1">
        <w:r w:rsidRPr="0057104C">
          <w:rPr>
            <w:rStyle w:val="TextoNormalCaracter"/>
          </w:rPr>
          <w:t>99/2016</w:t>
        </w:r>
      </w:hyperlink>
      <w:r>
        <w:t>, ff. 1, 3, 5.</w:t>
      </w:r>
    </w:p>
    <w:p w:rsidR="0057104C" w:rsidRDefault="0057104C" w:rsidP="0057104C">
      <w:pPr>
        <w:pStyle w:val="SangriaFrancesaArticulo"/>
      </w:pPr>
      <w:r w:rsidRPr="0057104C">
        <w:rPr>
          <w:rStyle w:val="TextoNormalNegritaCaracter"/>
        </w:rPr>
        <w:t>Artículo 10.3.</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Sentencia </w:t>
      </w:r>
      <w:hyperlink w:anchor="SENTENCIA_2016_34" w:history="1">
        <w:r w:rsidRPr="0057104C">
          <w:rPr>
            <w:rStyle w:val="TextoNormalCaracter"/>
          </w:rPr>
          <w:t>34/2016</w:t>
        </w:r>
      </w:hyperlink>
      <w:r>
        <w:t>, f. 5.</w:t>
      </w:r>
    </w:p>
    <w:p w:rsidR="0057104C" w:rsidRDefault="0057104C" w:rsidP="0057104C">
      <w:pPr>
        <w:pStyle w:val="SangriaFrancesaArticulo"/>
      </w:pPr>
      <w:r w:rsidRPr="0057104C">
        <w:rPr>
          <w:rStyle w:val="TextoNormalNegritaCaracter"/>
        </w:rPr>
        <w:t>Artículo 11.2.</w:t>
      </w:r>
      <w:r w:rsidRPr="0057104C">
        <w:rPr>
          <w:rStyle w:val="TextoNormalCaracter"/>
        </w:rPr>
        <w:t>-</w:t>
      </w:r>
      <w:r>
        <w:t xml:space="preserve"> Sentencias </w:t>
      </w:r>
      <w:hyperlink w:anchor="SENTENCIA_2016_18" w:history="1">
        <w:r w:rsidRPr="0057104C">
          <w:rPr>
            <w:rStyle w:val="TextoNormalCaracter"/>
          </w:rPr>
          <w:t>18/2016</w:t>
        </w:r>
      </w:hyperlink>
      <w:r>
        <w:t xml:space="preserve">, f. 7; </w:t>
      </w:r>
      <w:hyperlink w:anchor="SENTENCIA_2016_99" w:history="1">
        <w:r w:rsidRPr="0057104C">
          <w:rPr>
            <w:rStyle w:val="TextoNormalCaracter"/>
          </w:rPr>
          <w:t>99/2016</w:t>
        </w:r>
      </w:hyperlink>
      <w:r>
        <w:t>, f. 3.</w:t>
      </w:r>
    </w:p>
    <w:p w:rsidR="0057104C" w:rsidRDefault="0057104C" w:rsidP="0057104C">
      <w:pPr>
        <w:pStyle w:val="SangriaFrancesaArticulo"/>
      </w:pPr>
      <w:r w:rsidRPr="0057104C">
        <w:rPr>
          <w:rStyle w:val="TextoNormalNegritaCaracter"/>
        </w:rPr>
        <w:t>Artículo 14.4.</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15 e)</w:t>
      </w:r>
      <w:r>
        <w:t xml:space="preserve"> (i)</w:t>
      </w:r>
      <w:r w:rsidRPr="0057104C">
        <w:rPr>
          <w:rStyle w:val="TextoNormalNegritaCaracter"/>
        </w:rPr>
        <w:t>.</w:t>
      </w:r>
      <w:r w:rsidRPr="0057104C">
        <w:rPr>
          <w:rStyle w:val="TextoNormalCaracter"/>
        </w:rPr>
        <w:t>-</w:t>
      </w:r>
      <w:r>
        <w:t xml:space="preserve"> Sentencia </w:t>
      </w:r>
      <w:hyperlink w:anchor="SENTENCIA_2016_34" w:history="1">
        <w:r w:rsidRPr="0057104C">
          <w:rPr>
            <w:rStyle w:val="TextoNormalCaracter"/>
          </w:rPr>
          <w:t>34/2016</w:t>
        </w:r>
      </w:hyperlink>
      <w:r>
        <w:t>, f. 5.</w:t>
      </w:r>
    </w:p>
    <w:p w:rsidR="0057104C" w:rsidRDefault="0057104C" w:rsidP="0057104C">
      <w:pPr>
        <w:pStyle w:val="SangriaFrancesaArticulo"/>
      </w:pPr>
      <w:r w:rsidRPr="0057104C">
        <w:rPr>
          <w:rStyle w:val="TextoNormalNegritaCaracter"/>
        </w:rPr>
        <w:t>Artículos 15 a 25.</w:t>
      </w:r>
      <w:r w:rsidRPr="0057104C">
        <w:rPr>
          <w:rStyle w:val="TextoNormalCaracter"/>
        </w:rPr>
        <w:t>-</w:t>
      </w:r>
      <w:r>
        <w:t xml:space="preserve"> Sentencia </w:t>
      </w:r>
      <w:hyperlink w:anchor="SENTENCIA_2016_18" w:history="1">
        <w:r w:rsidRPr="0057104C">
          <w:rPr>
            <w:rStyle w:val="TextoNormalCaracter"/>
          </w:rPr>
          <w:t>18/2016</w:t>
        </w:r>
      </w:hyperlink>
      <w:r>
        <w:t>, f. 7.</w:t>
      </w:r>
    </w:p>
    <w:p w:rsidR="0057104C" w:rsidRDefault="0057104C" w:rsidP="0057104C">
      <w:pPr>
        <w:pStyle w:val="SangriaFrancesaArticulo"/>
      </w:pPr>
      <w:r w:rsidRPr="0057104C">
        <w:rPr>
          <w:rStyle w:val="TextoNormalNegritaCaracter"/>
        </w:rPr>
        <w:t>Artículo 16.1.</w:t>
      </w:r>
      <w:r w:rsidRPr="0057104C">
        <w:rPr>
          <w:rStyle w:val="TextoNormalCaracter"/>
        </w:rPr>
        <w:t>-</w:t>
      </w:r>
      <w:r>
        <w:t xml:space="preserve"> Sentencia </w:t>
      </w:r>
      <w:hyperlink w:anchor="SENTENCIA_2016_34" w:history="1">
        <w:r w:rsidRPr="0057104C">
          <w:rPr>
            <w:rStyle w:val="TextoNormalCaracter"/>
          </w:rPr>
          <w:t>34/2016</w:t>
        </w:r>
      </w:hyperlink>
      <w:r>
        <w:t>, f. 5.</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 </w:t>
      </w:r>
      <w:hyperlink w:anchor="SENTENCIA_2016_18" w:history="1">
        <w:r w:rsidRPr="0057104C">
          <w:rPr>
            <w:rStyle w:val="TextoNormalCaracter"/>
          </w:rPr>
          <w:t>18/2016</w:t>
        </w:r>
      </w:hyperlink>
      <w:r>
        <w:t>, f. 7.</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18" w:history="1">
        <w:r w:rsidRPr="0057104C">
          <w:rPr>
            <w:rStyle w:val="TextoNormalCaracter"/>
          </w:rPr>
          <w:t>18/2016</w:t>
        </w:r>
      </w:hyperlink>
      <w:r>
        <w:t>, ff. 7, 8.</w:t>
      </w:r>
    </w:p>
    <w:p w:rsidR="0057104C" w:rsidRDefault="0057104C" w:rsidP="0057104C">
      <w:pPr>
        <w:pStyle w:val="SangriaFrancesaArticulo"/>
      </w:pPr>
      <w:r w:rsidRPr="0057104C">
        <w:rPr>
          <w:rStyle w:val="TextoNormalNegritaCaracter"/>
        </w:rPr>
        <w:t>Artículo 19.</w:t>
      </w:r>
      <w:r w:rsidRPr="0057104C">
        <w:rPr>
          <w:rStyle w:val="TextoNormalCaracter"/>
        </w:rPr>
        <w:t>-</w:t>
      </w:r>
      <w:r>
        <w:t xml:space="preserve"> Sentencia </w:t>
      </w:r>
      <w:hyperlink w:anchor="SENTENCIA_2016_18" w:history="1">
        <w:r w:rsidRPr="0057104C">
          <w:rPr>
            <w:rStyle w:val="TextoNormalCaracter"/>
          </w:rPr>
          <w:t>18/2016</w:t>
        </w:r>
      </w:hyperlink>
      <w:r>
        <w:t>, f. 7.</w:t>
      </w:r>
    </w:p>
    <w:p w:rsidR="0057104C" w:rsidRDefault="0057104C" w:rsidP="0057104C">
      <w:pPr>
        <w:pStyle w:val="SangriaFrancesaArticulo"/>
      </w:pPr>
      <w:r w:rsidRPr="0057104C">
        <w:rPr>
          <w:rStyle w:val="TextoNormalNegritaCaracter"/>
        </w:rPr>
        <w:t>Artículo 19</w:t>
      </w:r>
      <w:r>
        <w:t xml:space="preserve"> (redactado por el Real Decreto-ley,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36" w:history="1">
        <w:r w:rsidRPr="0057104C">
          <w:rPr>
            <w:rStyle w:val="TextoNormalCaracter"/>
          </w:rPr>
          <w:t>36/2016</w:t>
        </w:r>
      </w:hyperlink>
      <w:r>
        <w:t>, f. 2.</w:t>
      </w:r>
    </w:p>
    <w:p w:rsidR="0057104C" w:rsidRDefault="0057104C" w:rsidP="0057104C">
      <w:pPr>
        <w:pStyle w:val="SangriaFrancesaArticulo"/>
      </w:pPr>
      <w:r w:rsidRPr="0057104C">
        <w:rPr>
          <w:rStyle w:val="TextoNormalNegritaCaracter"/>
        </w:rPr>
        <w:t>Artículo 23</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36" w:history="1">
        <w:r w:rsidRPr="0057104C">
          <w:rPr>
            <w:rStyle w:val="TextoNormalCaracter"/>
          </w:rPr>
          <w:t>36/2016</w:t>
        </w:r>
      </w:hyperlink>
      <w:r>
        <w:t>, ff. 1, 2.</w:t>
      </w:r>
    </w:p>
    <w:p w:rsidR="0057104C" w:rsidRDefault="0057104C" w:rsidP="0057104C">
      <w:pPr>
        <w:pStyle w:val="SangriaFrancesaArticulo"/>
      </w:pPr>
      <w:r w:rsidRPr="0057104C">
        <w:rPr>
          <w:rStyle w:val="TextoNormalNegritaCaracter"/>
        </w:rPr>
        <w:t>Artículo 23</w:t>
      </w:r>
      <w:r>
        <w:t xml:space="preserve"> (redactado por la Ley 17/2012, de 27 de diciembre)</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2.</w:t>
      </w:r>
    </w:p>
    <w:p w:rsidR="0057104C" w:rsidRDefault="0057104C" w:rsidP="0057104C">
      <w:pPr>
        <w:pStyle w:val="SangriaFrancesaArticulo"/>
      </w:pPr>
      <w:r w:rsidRPr="0057104C">
        <w:rPr>
          <w:rStyle w:val="TextoNormalNegritaCaracter"/>
        </w:rPr>
        <w:t>Artículo 23, ultimo inciso.</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23, último inciso b)</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36" w:history="1">
        <w:r w:rsidRPr="0057104C">
          <w:rPr>
            <w:rStyle w:val="TextoNormalCaracter"/>
          </w:rPr>
          <w:t>36/2016</w:t>
        </w:r>
      </w:hyperlink>
      <w:r>
        <w:t>, ff. 1, 2.</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34" w:history="1">
        <w:r w:rsidRPr="0057104C">
          <w:rPr>
            <w:rStyle w:val="TextoNormalCaracter"/>
          </w:rPr>
          <w:t>34/2016</w:t>
        </w:r>
      </w:hyperlink>
      <w:r>
        <w:t>, f. 5.</w:t>
      </w:r>
    </w:p>
    <w:p w:rsidR="0057104C" w:rsidRDefault="0057104C" w:rsidP="0057104C">
      <w:pPr>
        <w:pStyle w:val="SangriaFrancesaArticulo"/>
      </w:pPr>
      <w:r w:rsidRPr="0057104C">
        <w:rPr>
          <w:rStyle w:val="TextoNormalNegritaCaracter"/>
        </w:rPr>
        <w:t>Artículo 25 bis</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36" w:history="1">
        <w:r w:rsidRPr="0057104C">
          <w:rPr>
            <w:rStyle w:val="TextoNormalCaracter"/>
          </w:rPr>
          <w:t>36/2016</w:t>
        </w:r>
      </w:hyperlink>
      <w:r>
        <w:t>, f. 2.</w:t>
      </w:r>
    </w:p>
    <w:p w:rsidR="0057104C" w:rsidRDefault="0057104C" w:rsidP="0057104C">
      <w:pPr>
        <w:pStyle w:val="SangriaFrancesaArticulo"/>
      </w:pPr>
      <w:r w:rsidRPr="0057104C">
        <w:rPr>
          <w:rStyle w:val="TextoNormalNegritaCaracter"/>
        </w:rPr>
        <w:t>Artículo 26.1.</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27.</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27.1</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27.2</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27.3</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28.</w:t>
      </w:r>
      <w:r w:rsidRPr="0057104C">
        <w:rPr>
          <w:rStyle w:val="TextoNormalCaracter"/>
        </w:rPr>
        <w:t>-</w:t>
      </w:r>
      <w:r>
        <w:t xml:space="preserve"> Sentencia </w:t>
      </w:r>
      <w:hyperlink w:anchor="SENTENCIA_2016_18" w:history="1">
        <w:r w:rsidRPr="0057104C">
          <w:rPr>
            <w:rStyle w:val="TextoNormalCaracter"/>
          </w:rPr>
          <w:t>18/2016</w:t>
        </w:r>
      </w:hyperlink>
      <w:r>
        <w:t>, ff. 8, 10.</w:t>
      </w:r>
    </w:p>
    <w:p w:rsidR="0057104C" w:rsidRDefault="0057104C" w:rsidP="0057104C">
      <w:pPr>
        <w:pStyle w:val="SangriaFrancesaArticulo"/>
      </w:pPr>
      <w:r w:rsidRPr="0057104C">
        <w:rPr>
          <w:rStyle w:val="TextoNormalNegritaCaracter"/>
        </w:rPr>
        <w:t>Artículo 28.2.</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28.3.</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28.4.</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29.1</w:t>
      </w:r>
      <w:r>
        <w:t xml:space="preserve"> (redactado por Real Decreto-ley 20/2012, de 13 de julio)</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32.2.</w:t>
      </w:r>
      <w:r w:rsidRPr="0057104C">
        <w:rPr>
          <w:rStyle w:val="TextoNormalCaracter"/>
        </w:rPr>
        <w:t>-</w:t>
      </w:r>
      <w:r>
        <w:t xml:space="preserve"> Sentencias </w:t>
      </w:r>
      <w:hyperlink w:anchor="SENTENCIA_2016_18" w:history="1">
        <w:r w:rsidRPr="0057104C">
          <w:rPr>
            <w:rStyle w:val="TextoNormalCaracter"/>
          </w:rPr>
          <w:t>18/2016</w:t>
        </w:r>
      </w:hyperlink>
      <w:r>
        <w:t xml:space="preserve">, ff. 7, 8; </w:t>
      </w:r>
      <w:hyperlink w:anchor="SENTENCIA_2016_99" w:history="1">
        <w:r w:rsidRPr="0057104C">
          <w:rPr>
            <w:rStyle w:val="TextoNormalCaracter"/>
          </w:rPr>
          <w:t>99/2016</w:t>
        </w:r>
      </w:hyperlink>
      <w:r>
        <w:t>, f. 3.</w:t>
      </w:r>
    </w:p>
    <w:p w:rsidR="0057104C" w:rsidRDefault="0057104C" w:rsidP="0057104C">
      <w:pPr>
        <w:pStyle w:val="SangriaFrancesaArticulo"/>
      </w:pPr>
      <w:r w:rsidRPr="0057104C">
        <w:rPr>
          <w:rStyle w:val="TextoNormalNegritaCaracter"/>
        </w:rPr>
        <w:t>Artículo 32.3, párrafo 1.</w:t>
      </w:r>
      <w:r w:rsidRPr="0057104C">
        <w:rPr>
          <w:rStyle w:val="TextoNormalCaracter"/>
        </w:rPr>
        <w:t>-</w:t>
      </w:r>
      <w:r>
        <w:t xml:space="preserve"> Sentencia </w:t>
      </w:r>
      <w:hyperlink w:anchor="SENTENCIA_2016_99" w:history="1">
        <w:r w:rsidRPr="0057104C">
          <w:rPr>
            <w:rStyle w:val="TextoNormalCaracter"/>
          </w:rPr>
          <w:t>99/2016</w:t>
        </w:r>
      </w:hyperlink>
      <w:r>
        <w:t>, ff. 1, 3, 5.</w:t>
      </w:r>
    </w:p>
    <w:p w:rsidR="0057104C" w:rsidRDefault="0057104C" w:rsidP="0057104C">
      <w:pPr>
        <w:pStyle w:val="SangriaFrancesaArticulo"/>
      </w:pPr>
      <w:r w:rsidRPr="0057104C">
        <w:rPr>
          <w:rStyle w:val="TextoNormalNegritaCaracter"/>
        </w:rPr>
        <w:t>Artículo 32.3, párrafo 2.</w:t>
      </w:r>
      <w:r w:rsidRPr="0057104C">
        <w:rPr>
          <w:rStyle w:val="TextoNormalCaracter"/>
        </w:rPr>
        <w:t>-</w:t>
      </w:r>
      <w:r>
        <w:t xml:space="preserve"> Sentencia </w:t>
      </w:r>
      <w:hyperlink w:anchor="SENTENCIA_2016_99" w:history="1">
        <w:r w:rsidRPr="0057104C">
          <w:rPr>
            <w:rStyle w:val="TextoNormalCaracter"/>
          </w:rPr>
          <w:t>99/2016</w:t>
        </w:r>
      </w:hyperlink>
      <w:r>
        <w:t>, f. 5.</w:t>
      </w:r>
    </w:p>
    <w:p w:rsidR="0057104C" w:rsidRDefault="0057104C" w:rsidP="0057104C">
      <w:pPr>
        <w:pStyle w:val="SangriaFrancesaArticulo"/>
      </w:pPr>
      <w:r w:rsidRPr="0057104C">
        <w:rPr>
          <w:rStyle w:val="TextoNormalNegritaCaracter"/>
        </w:rPr>
        <w:t>Artículo 32.3, segundo inciso.</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36" w:history="1">
        <w:r w:rsidRPr="0057104C">
          <w:rPr>
            <w:rStyle w:val="TextoNormalCaracter"/>
          </w:rPr>
          <w:t>36/2016</w:t>
        </w:r>
      </w:hyperlink>
      <w:r>
        <w:t xml:space="preserve">, f. 2; </w:t>
      </w:r>
      <w:hyperlink w:anchor="SENTENCIA_2016_99" w:history="1">
        <w:r w:rsidRPr="0057104C">
          <w:rPr>
            <w:rStyle w:val="TextoNormalCaracter"/>
          </w:rPr>
          <w:t>99/2016</w:t>
        </w:r>
      </w:hyperlink>
      <w:r>
        <w:t>, f. 3.</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Sentencias </w:t>
      </w:r>
      <w:hyperlink w:anchor="SENTENCIA_2016_18" w:history="1">
        <w:r w:rsidRPr="0057104C">
          <w:rPr>
            <w:rStyle w:val="TextoNormalCaracter"/>
          </w:rPr>
          <w:t>18/2016</w:t>
        </w:r>
      </w:hyperlink>
      <w:r>
        <w:t xml:space="preserve">, f. 7; </w:t>
      </w:r>
      <w:hyperlink w:anchor="SENTENCIA_2016_99" w:history="1">
        <w:r w:rsidRPr="0057104C">
          <w:rPr>
            <w:rStyle w:val="TextoNormalCaracter"/>
          </w:rPr>
          <w:t>99/2016</w:t>
        </w:r>
      </w:hyperlink>
      <w:r>
        <w:t>, ff. 1, 3, 5.</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18" w:history="1">
        <w:r w:rsidRPr="0057104C">
          <w:rPr>
            <w:rStyle w:val="TextoNormalCaracter"/>
          </w:rPr>
          <w:t>18/2016</w:t>
        </w:r>
      </w:hyperlink>
      <w:r>
        <w:t>, f. 7.</w:t>
      </w:r>
    </w:p>
    <w:p w:rsidR="0057104C" w:rsidRDefault="0057104C" w:rsidP="0057104C">
      <w:pPr>
        <w:pStyle w:val="SangriaFrancesaArticulo"/>
      </w:pPr>
      <w:r w:rsidRPr="0057104C">
        <w:rPr>
          <w:rStyle w:val="TextoNormalNegritaCaracter"/>
        </w:rPr>
        <w:t>Disposición final primera.1</w:t>
      </w:r>
      <w:r>
        <w:t xml:space="preserve"> (redactada por la Ley 2/2012, de 29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99" w:history="1">
        <w:r w:rsidRPr="0057104C">
          <w:rPr>
            <w:rStyle w:val="TextoNormalCaracter"/>
          </w:rPr>
          <w:t>99/2016</w:t>
        </w:r>
      </w:hyperlink>
      <w:r>
        <w:t>, ff. 1 a 3, 6.</w:t>
      </w:r>
    </w:p>
    <w:p w:rsidR="0057104C" w:rsidRDefault="0057104C" w:rsidP="0057104C">
      <w:pPr>
        <w:pStyle w:val="SangriaFrancesaArticulo"/>
      </w:pPr>
      <w:r w:rsidRPr="0057104C">
        <w:rPr>
          <w:rStyle w:val="TextoNormalNegritaCaracter"/>
        </w:rPr>
        <w:t>Disposición final octava.</w:t>
      </w:r>
      <w:r w:rsidRPr="0057104C">
        <w:rPr>
          <w:rStyle w:val="TextoNormalCaracter"/>
        </w:rPr>
        <w:t>-</w:t>
      </w:r>
      <w:r>
        <w:t xml:space="preserve"> Sentencia </w:t>
      </w:r>
      <w:hyperlink w:anchor="SENTENCIA_2016_18" w:history="1">
        <w:r w:rsidRPr="0057104C">
          <w:rPr>
            <w:rStyle w:val="TextoNormalCaracter"/>
          </w:rPr>
          <w:t>18/2016</w:t>
        </w:r>
      </w:hyperlink>
      <w:r>
        <w:t>, f. 7.</w:t>
      </w:r>
    </w:p>
    <w:p w:rsidR="0057104C" w:rsidRDefault="0057104C" w:rsidP="0057104C">
      <w:pPr>
        <w:pStyle w:val="SangriaFrancesaArticulo"/>
      </w:pPr>
    </w:p>
    <w:p w:rsidR="0057104C" w:rsidRDefault="0057104C" w:rsidP="0057104C">
      <w:pPr>
        <w:pStyle w:val="TextoNormalNegritaCursivandice"/>
      </w:pPr>
      <w:r>
        <w:t>Ley 7/2007, de 12 de abril. Estatuto básico del empleado público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8" w:history="1">
        <w:r w:rsidRPr="0057104C">
          <w:rPr>
            <w:rStyle w:val="TextoNormalCaracter"/>
          </w:rPr>
          <w:t>18/2016</w:t>
        </w:r>
      </w:hyperlink>
      <w:r>
        <w:t xml:space="preserve">, f. 1; </w:t>
      </w:r>
      <w:hyperlink w:anchor="SENTENCIA_2016_119" w:history="1">
        <w:r w:rsidRPr="0057104C">
          <w:rPr>
            <w:rStyle w:val="TextoNormalCaracter"/>
          </w:rPr>
          <w:t>119/2016</w:t>
        </w:r>
      </w:hyperlink>
      <w:r>
        <w:t>, f. 4.</w:t>
      </w:r>
    </w:p>
    <w:p w:rsidR="0057104C" w:rsidRDefault="0057104C" w:rsidP="0057104C">
      <w:pPr>
        <w:pStyle w:val="SangriaFrancesaArticulo"/>
      </w:pPr>
      <w:r w:rsidRPr="0057104C">
        <w:rPr>
          <w:rStyle w:val="TextoNormalNegritaCaracter"/>
        </w:rPr>
        <w:t>En general</w:t>
      </w:r>
      <w:r>
        <w:t xml:space="preserve"> (redactado por el Real Decreto 5/2015, de 30 de octubre)</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2.</w:t>
      </w:r>
    </w:p>
    <w:p w:rsidR="0057104C" w:rsidRDefault="0057104C" w:rsidP="0057104C">
      <w:pPr>
        <w:pStyle w:val="SangriaFrancesaArticulo"/>
      </w:pPr>
      <w:r w:rsidRPr="0057104C">
        <w:rPr>
          <w:rStyle w:val="TextoNormalNegritaCaracter"/>
        </w:rPr>
        <w:t>En general</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3.</w:t>
      </w:r>
    </w:p>
    <w:p w:rsidR="0057104C" w:rsidRDefault="0057104C" w:rsidP="0057104C">
      <w:pPr>
        <w:pStyle w:val="SangriaFrancesaArticulo"/>
      </w:pPr>
      <w:r w:rsidRPr="0057104C">
        <w:rPr>
          <w:rStyle w:val="TextoNormalNegritaCaracter"/>
        </w:rPr>
        <w:t>Artículo 47</w:t>
      </w:r>
      <w:r>
        <w:t xml:space="preserve"> (redactado por el Real Decreto Legislativo 5/2015, de 30 de octubre)</w:t>
      </w:r>
      <w:r w:rsidRPr="0057104C">
        <w:rPr>
          <w:rStyle w:val="TextoNormalNegritaCaracter"/>
        </w:rPr>
        <w:t>.</w:t>
      </w:r>
      <w:r w:rsidRPr="0057104C">
        <w:rPr>
          <w:rStyle w:val="TextoNormalCaracter"/>
        </w:rPr>
        <w:t>-</w:t>
      </w:r>
      <w:r>
        <w:t xml:space="preserve"> Sentencia </w:t>
      </w:r>
      <w:hyperlink w:anchor="SENTENCIA_2016_99" w:history="1">
        <w:r w:rsidRPr="0057104C">
          <w:rPr>
            <w:rStyle w:val="TextoNormalCaracter"/>
          </w:rPr>
          <w:t>99/2016</w:t>
        </w:r>
      </w:hyperlink>
      <w:r>
        <w:t>, ff. 7, 8, VP.</w:t>
      </w:r>
    </w:p>
    <w:p w:rsidR="0057104C" w:rsidRDefault="0057104C" w:rsidP="0057104C">
      <w:pPr>
        <w:pStyle w:val="SangriaFrancesaArticulo"/>
      </w:pPr>
      <w:r w:rsidRPr="0057104C">
        <w:rPr>
          <w:rStyle w:val="TextoNormalNegritaCaracter"/>
        </w:rPr>
        <w:t>Artículo 48</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9" w:history="1">
        <w:r w:rsidRPr="0057104C">
          <w:rPr>
            <w:rStyle w:val="TextoNormalCaracter"/>
          </w:rPr>
          <w:t>9/2016</w:t>
        </w:r>
      </w:hyperlink>
      <w:r>
        <w:t xml:space="preserve">, ff. 2, 3; </w:t>
      </w:r>
      <w:hyperlink w:anchor="SENTENCIA_2016_18" w:history="1">
        <w:r w:rsidRPr="0057104C">
          <w:rPr>
            <w:rStyle w:val="TextoNormalCaracter"/>
          </w:rPr>
          <w:t>18/2016</w:t>
        </w:r>
      </w:hyperlink>
      <w:r>
        <w:t xml:space="preserve">, f. 5, VP; </w:t>
      </w:r>
      <w:hyperlink w:anchor="SENTENCIA_2016_119" w:history="1">
        <w:r w:rsidRPr="0057104C">
          <w:rPr>
            <w:rStyle w:val="TextoNormalCaracter"/>
          </w:rPr>
          <w:t>119/2016</w:t>
        </w:r>
      </w:hyperlink>
      <w:r>
        <w:t>, ff. 1, 4.</w:t>
      </w:r>
    </w:p>
    <w:p w:rsidR="0057104C" w:rsidRDefault="0057104C" w:rsidP="0057104C">
      <w:pPr>
        <w:pStyle w:val="SangriaFrancesaArticulo"/>
      </w:pPr>
      <w:r w:rsidRPr="0057104C">
        <w:rPr>
          <w:rStyle w:val="TextoNormalNegritaCaracter"/>
        </w:rPr>
        <w:t>Artículo 48 f).</w:t>
      </w:r>
      <w:r w:rsidRPr="0057104C">
        <w:rPr>
          <w:rStyle w:val="TextoNormalCaracter"/>
        </w:rPr>
        <w:t>-</w:t>
      </w:r>
      <w:r>
        <w:t xml:space="preserve"> Auto </w:t>
      </w:r>
      <w:hyperlink w:anchor="AUTO_2016_14" w:history="1">
        <w:r w:rsidRPr="0057104C">
          <w:rPr>
            <w:rStyle w:val="TextoNormalCaracter"/>
          </w:rPr>
          <w:t>14/2016</w:t>
        </w:r>
      </w:hyperlink>
      <w:r>
        <w:t>, ff. 1, 5, 7.</w:t>
      </w:r>
    </w:p>
    <w:p w:rsidR="0057104C" w:rsidRDefault="0057104C" w:rsidP="0057104C">
      <w:pPr>
        <w:pStyle w:val="SangriaFrancesaArticulo"/>
      </w:pPr>
      <w:r w:rsidRPr="0057104C">
        <w:rPr>
          <w:rStyle w:val="TextoNormalNegritaCaracter"/>
        </w:rPr>
        <w:t>Artículo 48 f) párrafo primero.</w:t>
      </w:r>
      <w:r w:rsidRPr="0057104C">
        <w:rPr>
          <w:rStyle w:val="TextoNormalCaracter"/>
        </w:rPr>
        <w:t>-</w:t>
      </w:r>
      <w:r>
        <w:t xml:space="preserve"> Auto </w:t>
      </w:r>
      <w:hyperlink w:anchor="AUTO_2016_14" w:history="1">
        <w:r w:rsidRPr="0057104C">
          <w:rPr>
            <w:rStyle w:val="TextoNormalCaracter"/>
          </w:rPr>
          <w:t>14/2016</w:t>
        </w:r>
      </w:hyperlink>
      <w:r>
        <w:t>, ff. 6, 7.</w:t>
      </w:r>
    </w:p>
    <w:p w:rsidR="0057104C" w:rsidRDefault="0057104C" w:rsidP="0057104C">
      <w:pPr>
        <w:pStyle w:val="SangriaFrancesaArticulo"/>
      </w:pPr>
      <w:r w:rsidRPr="0057104C">
        <w:rPr>
          <w:rStyle w:val="TextoNormalNegritaCaracter"/>
        </w:rPr>
        <w:t>Artículo 48 f) párrafo segundo.</w:t>
      </w:r>
      <w:r w:rsidRPr="0057104C">
        <w:rPr>
          <w:rStyle w:val="TextoNormalCaracter"/>
        </w:rPr>
        <w:t>-</w:t>
      </w:r>
      <w:r>
        <w:t xml:space="preserve"> Auto </w:t>
      </w:r>
      <w:hyperlink w:anchor="AUTO_2016_14" w:history="1">
        <w:r w:rsidRPr="0057104C">
          <w:rPr>
            <w:rStyle w:val="TextoNormalCaracter"/>
          </w:rPr>
          <w:t>14/2016</w:t>
        </w:r>
      </w:hyperlink>
      <w:r>
        <w:t>, ff. 5, 8.</w:t>
      </w:r>
    </w:p>
    <w:p w:rsidR="0057104C" w:rsidRDefault="0057104C" w:rsidP="0057104C">
      <w:pPr>
        <w:pStyle w:val="SangriaFrancesaArticulo"/>
      </w:pPr>
      <w:r w:rsidRPr="0057104C">
        <w:rPr>
          <w:rStyle w:val="TextoNormalNegritaCaracter"/>
        </w:rPr>
        <w:t>Artículo 48 k)</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9" w:history="1">
        <w:r w:rsidRPr="0057104C">
          <w:rPr>
            <w:rStyle w:val="TextoNormalCaracter"/>
          </w:rPr>
          <w:t>9/2016</w:t>
        </w:r>
      </w:hyperlink>
      <w:r>
        <w:t xml:space="preserve">, f. 1 VP; </w:t>
      </w:r>
      <w:hyperlink w:anchor="SENTENCIA_2016_18" w:history="1">
        <w:r w:rsidRPr="0057104C">
          <w:rPr>
            <w:rStyle w:val="TextoNormalCaracter"/>
          </w:rPr>
          <w:t>18/2016</w:t>
        </w:r>
      </w:hyperlink>
      <w:r>
        <w:t xml:space="preserve">, f. 2; </w:t>
      </w:r>
      <w:hyperlink w:anchor="SENTENCIA_2016_119" w:history="1">
        <w:r w:rsidRPr="0057104C">
          <w:rPr>
            <w:rStyle w:val="TextoNormalCaracter"/>
          </w:rPr>
          <w:t>119/2016</w:t>
        </w:r>
      </w:hyperlink>
      <w:r>
        <w:t>, f. 1, VP.</w:t>
      </w:r>
    </w:p>
    <w:p w:rsidR="0057104C" w:rsidRDefault="0057104C" w:rsidP="0057104C">
      <w:pPr>
        <w:pStyle w:val="SangriaFrancesaArticulo"/>
      </w:pPr>
      <w:r w:rsidRPr="0057104C">
        <w:rPr>
          <w:rStyle w:val="TextoNormalNegritaCaracter"/>
        </w:rPr>
        <w:t>Artículo 48 k)</w:t>
      </w:r>
      <w:r>
        <w:t xml:space="preserve"> (redactado por la Ley Orgánica 9/2013, de 20 de diciembre)</w:t>
      </w:r>
      <w:r w:rsidRPr="0057104C">
        <w:rPr>
          <w:rStyle w:val="TextoNormalNegritaCaracter"/>
        </w:rPr>
        <w:t>.</w:t>
      </w:r>
      <w:r w:rsidRPr="0057104C">
        <w:rPr>
          <w:rStyle w:val="TextoNormalCaracter"/>
        </w:rPr>
        <w:t>-</w:t>
      </w:r>
      <w:r>
        <w:t xml:space="preserve"> Sentencia </w:t>
      </w:r>
      <w:hyperlink w:anchor="SENTENCIA_2016_18" w:history="1">
        <w:r w:rsidRPr="0057104C">
          <w:rPr>
            <w:rStyle w:val="TextoNormalCaracter"/>
          </w:rPr>
          <w:t>18/2016</w:t>
        </w:r>
      </w:hyperlink>
      <w:r>
        <w:t>, f. 2.</w:t>
      </w:r>
    </w:p>
    <w:p w:rsidR="0057104C" w:rsidRDefault="0057104C" w:rsidP="0057104C">
      <w:pPr>
        <w:pStyle w:val="SangriaFrancesaArticulo"/>
      </w:pPr>
      <w:r w:rsidRPr="0057104C">
        <w:rPr>
          <w:rStyle w:val="TextoNormalNegritaCaracter"/>
        </w:rPr>
        <w:t>Artículo 48.1.</w:t>
      </w:r>
      <w:r w:rsidRPr="0057104C">
        <w:rPr>
          <w:rStyle w:val="TextoNormalCaracter"/>
        </w:rPr>
        <w:t>-</w:t>
      </w:r>
      <w:r>
        <w:t xml:space="preserve"> Sentencia </w:t>
      </w:r>
      <w:hyperlink w:anchor="SENTENCIA_2016_9" w:history="1">
        <w:r w:rsidRPr="0057104C">
          <w:rPr>
            <w:rStyle w:val="TextoNormalCaracter"/>
          </w:rPr>
          <w:t>9/2016</w:t>
        </w:r>
      </w:hyperlink>
      <w:r>
        <w:t>, f. 3.</w:t>
      </w:r>
    </w:p>
    <w:p w:rsidR="0057104C" w:rsidRDefault="0057104C" w:rsidP="0057104C">
      <w:pPr>
        <w:pStyle w:val="SangriaFrancesaArticulo"/>
      </w:pPr>
      <w:r w:rsidRPr="0057104C">
        <w:rPr>
          <w:rStyle w:val="TextoNormalNegritaCaracter"/>
        </w:rPr>
        <w:t>Artículo 48.4.</w:t>
      </w:r>
      <w:r w:rsidRPr="0057104C">
        <w:rPr>
          <w:rStyle w:val="TextoNormalCaracter"/>
        </w:rPr>
        <w:t>-</w:t>
      </w:r>
      <w:r>
        <w:t xml:space="preserve"> Auto </w:t>
      </w:r>
      <w:hyperlink w:anchor="AUTO_2016_14" w:history="1">
        <w:r w:rsidRPr="0057104C">
          <w:rPr>
            <w:rStyle w:val="TextoNormalCaracter"/>
          </w:rPr>
          <w:t>14/2016</w:t>
        </w:r>
      </w:hyperlink>
      <w:r>
        <w:t>, f. 6.</w:t>
      </w:r>
    </w:p>
    <w:p w:rsidR="0057104C" w:rsidRDefault="0057104C" w:rsidP="0057104C">
      <w:pPr>
        <w:pStyle w:val="SangriaFrancesaArticulo"/>
      </w:pPr>
      <w:r w:rsidRPr="0057104C">
        <w:rPr>
          <w:rStyle w:val="TextoNormalNegritaCaracter"/>
        </w:rPr>
        <w:t>Artículo 50.</w:t>
      </w:r>
      <w:r w:rsidRPr="0057104C">
        <w:rPr>
          <w:rStyle w:val="TextoNormalCaracter"/>
        </w:rPr>
        <w:t>-</w:t>
      </w:r>
      <w:r>
        <w:t xml:space="preserve"> Sentencia </w:t>
      </w:r>
      <w:hyperlink w:anchor="SENTENCIA_2016_9" w:history="1">
        <w:r w:rsidRPr="0057104C">
          <w:rPr>
            <w:rStyle w:val="TextoNormalCaracter"/>
          </w:rPr>
          <w:t>9/2016</w:t>
        </w:r>
      </w:hyperlink>
      <w:r>
        <w:t>, f. 3.</w:t>
      </w:r>
    </w:p>
    <w:p w:rsidR="0057104C" w:rsidRDefault="0057104C" w:rsidP="0057104C">
      <w:pPr>
        <w:pStyle w:val="SangriaFrancesaArticulo"/>
      </w:pPr>
      <w:r w:rsidRPr="0057104C">
        <w:rPr>
          <w:rStyle w:val="TextoNormalNegritaCaracter"/>
        </w:rPr>
        <w:t>Artículo 50</w:t>
      </w:r>
      <w:r>
        <w:t xml:space="preserve"> (redactado por el Real Decreto-ley 20/2012, de 13 de julio)</w:t>
      </w:r>
      <w:r w:rsidRPr="0057104C">
        <w:rPr>
          <w:rStyle w:val="TextoNormalNegritaCaracter"/>
        </w:rPr>
        <w:t>.</w:t>
      </w:r>
      <w:r w:rsidRPr="0057104C">
        <w:rPr>
          <w:rStyle w:val="TextoNormalCaracter"/>
        </w:rPr>
        <w:t>-</w:t>
      </w:r>
      <w:r>
        <w:t xml:space="preserve"> Sentencias </w:t>
      </w:r>
      <w:hyperlink w:anchor="SENTENCIA_2016_18" w:history="1">
        <w:r w:rsidRPr="0057104C">
          <w:rPr>
            <w:rStyle w:val="TextoNormalCaracter"/>
          </w:rPr>
          <w:t>18/2016</w:t>
        </w:r>
      </w:hyperlink>
      <w:r>
        <w:t xml:space="preserve">, f. 5; </w:t>
      </w:r>
      <w:hyperlink w:anchor="SENTENCIA_2016_119" w:history="1">
        <w:r w:rsidRPr="0057104C">
          <w:rPr>
            <w:rStyle w:val="TextoNormalCaracter"/>
          </w:rPr>
          <w:t>119/2016</w:t>
        </w:r>
      </w:hyperlink>
      <w:r>
        <w:t>, ff. 1, 4.</w:t>
      </w:r>
    </w:p>
    <w:p w:rsidR="0057104C" w:rsidRDefault="0057104C" w:rsidP="0057104C">
      <w:pPr>
        <w:pStyle w:val="SangriaFrancesaArticulo"/>
      </w:pPr>
      <w:r w:rsidRPr="0057104C">
        <w:rPr>
          <w:rStyle w:val="TextoNormalNegritaCaracter"/>
        </w:rPr>
        <w:t>Artículo 51</w:t>
      </w:r>
      <w:r>
        <w:t xml:space="preserve"> (redactado por el Real Decreto Legislativo 5/2015, de 30 de octubre)</w:t>
      </w:r>
      <w:r w:rsidRPr="0057104C">
        <w:rPr>
          <w:rStyle w:val="TextoNormalNegritaCaracter"/>
        </w:rPr>
        <w:t>.</w:t>
      </w:r>
      <w:r w:rsidRPr="0057104C">
        <w:rPr>
          <w:rStyle w:val="TextoNormalCaracter"/>
        </w:rPr>
        <w:t>-</w:t>
      </w:r>
      <w:r>
        <w:t xml:space="preserve"> Sentencia </w:t>
      </w:r>
      <w:hyperlink w:anchor="SENTENCIA_2016_99" w:history="1">
        <w:r w:rsidRPr="0057104C">
          <w:rPr>
            <w:rStyle w:val="TextoNormalCaracter"/>
          </w:rPr>
          <w:t>99/2016</w:t>
        </w:r>
      </w:hyperlink>
      <w:r>
        <w:t>, ff. 7, 8, VP.</w:t>
      </w:r>
    </w:p>
    <w:p w:rsidR="0057104C" w:rsidRDefault="0057104C" w:rsidP="0057104C">
      <w:pPr>
        <w:pStyle w:val="SangriaFrancesaArticulo"/>
      </w:pPr>
      <w:r w:rsidRPr="0057104C">
        <w:rPr>
          <w:rStyle w:val="TextoNormalNegritaCaracter"/>
        </w:rPr>
        <w:t>Disposición derogatoria única.</w:t>
      </w:r>
      <w:r w:rsidRPr="0057104C">
        <w:rPr>
          <w:rStyle w:val="TextoNormalCaracter"/>
        </w:rPr>
        <w:t>-</w:t>
      </w:r>
      <w:r>
        <w:t xml:space="preserve"> Sentencia </w:t>
      </w:r>
      <w:hyperlink w:anchor="SENTENCIA_2016_119" w:history="1">
        <w:r w:rsidRPr="0057104C">
          <w:rPr>
            <w:rStyle w:val="TextoNormalCaracter"/>
          </w:rPr>
          <w:t>119/2016</w:t>
        </w:r>
      </w:hyperlink>
      <w:r>
        <w:t>, f. 1.</w:t>
      </w:r>
    </w:p>
    <w:p w:rsidR="0057104C" w:rsidRDefault="0057104C" w:rsidP="0057104C">
      <w:pPr>
        <w:pStyle w:val="SangriaFrancesaArticulo"/>
      </w:pPr>
    </w:p>
    <w:p w:rsidR="0057104C" w:rsidRDefault="0057104C" w:rsidP="0057104C">
      <w:pPr>
        <w:pStyle w:val="TextoNormalNegritaCursivandice"/>
      </w:pPr>
      <w:r>
        <w:t>Ley 34/2007, de 15 de noviembre. Calidad del aire y protección de la atmósfera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3" w:history="1">
        <w:r w:rsidRPr="0057104C">
          <w:rPr>
            <w:rStyle w:val="TextoNormalCaracter"/>
          </w:rPr>
          <w:t>53/2016</w:t>
        </w:r>
      </w:hyperlink>
      <w:r>
        <w:t>, ff. 2, 5, VPI.</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53" w:history="1">
        <w:r w:rsidRPr="0057104C">
          <w:rPr>
            <w:rStyle w:val="TextoNormalCaracter"/>
          </w:rPr>
          <w:t>53/2016</w:t>
        </w:r>
      </w:hyperlink>
      <w:r>
        <w:t>, f. 1.</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53" w:history="1">
        <w:r w:rsidRPr="0057104C">
          <w:rPr>
            <w:rStyle w:val="TextoNormalCaracter"/>
          </w:rPr>
          <w:t>53/2016</w:t>
        </w:r>
      </w:hyperlink>
      <w:r>
        <w:t>, f. 5, VPI.</w:t>
      </w:r>
    </w:p>
    <w:p w:rsidR="0057104C" w:rsidRDefault="0057104C" w:rsidP="0057104C">
      <w:pPr>
        <w:pStyle w:val="SangriaFrancesaArticulo"/>
      </w:pPr>
      <w:r w:rsidRPr="0057104C">
        <w:rPr>
          <w:rStyle w:val="TextoNormalNegritaCaracter"/>
        </w:rPr>
        <w:t>Artículo 5.1 c).</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r w:rsidRPr="0057104C">
        <w:rPr>
          <w:rStyle w:val="TextoNormalNegritaCaracter"/>
        </w:rPr>
        <w:t>Artículo 6.2.</w:t>
      </w:r>
      <w:r w:rsidRPr="0057104C">
        <w:rPr>
          <w:rStyle w:val="TextoNormalCaracter"/>
        </w:rPr>
        <w:t>-</w:t>
      </w:r>
      <w:r>
        <w:t xml:space="preserve"> Sentencia </w:t>
      </w:r>
      <w:hyperlink w:anchor="SENTENCIA_2016_53" w:history="1">
        <w:r w:rsidRPr="0057104C">
          <w:rPr>
            <w:rStyle w:val="TextoNormalCaracter"/>
          </w:rPr>
          <w:t>53/2016</w:t>
        </w:r>
      </w:hyperlink>
      <w:r>
        <w:t>, f. 5.</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53" w:history="1">
        <w:r w:rsidRPr="0057104C">
          <w:rPr>
            <w:rStyle w:val="TextoNormalCaracter"/>
          </w:rPr>
          <w:t>53/2016</w:t>
        </w:r>
      </w:hyperlink>
      <w:r>
        <w:t>, f. 5.</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53" w:history="1">
        <w:r w:rsidRPr="0057104C">
          <w:rPr>
            <w:rStyle w:val="TextoNormalCaracter"/>
          </w:rPr>
          <w:t>53/2016</w:t>
        </w:r>
      </w:hyperlink>
      <w:r>
        <w:t>, f. 5.</w:t>
      </w:r>
    </w:p>
    <w:p w:rsidR="0057104C" w:rsidRDefault="0057104C" w:rsidP="0057104C">
      <w:pPr>
        <w:pStyle w:val="SangriaFrancesaArticulo"/>
      </w:pPr>
    </w:p>
    <w:p w:rsidR="0057104C" w:rsidRDefault="0057104C" w:rsidP="0057104C">
      <w:pPr>
        <w:pStyle w:val="TextoNormalNegritaCursivandice"/>
      </w:pPr>
      <w:r>
        <w:t>Ley 40/2007, de 4 de diciembre. Medidas en materia de Seguridad Social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29" w:history="1">
        <w:r w:rsidRPr="0057104C">
          <w:rPr>
            <w:rStyle w:val="TextoNormalCaracter"/>
          </w:rPr>
          <w:t>129/2016</w:t>
        </w:r>
      </w:hyperlink>
      <w:r>
        <w:t>, f. 4.</w:t>
      </w:r>
    </w:p>
    <w:p w:rsidR="0057104C" w:rsidRDefault="0057104C" w:rsidP="0057104C">
      <w:pPr>
        <w:pStyle w:val="SangriaFrancesaArticulo"/>
      </w:pPr>
      <w:r w:rsidRPr="0057104C">
        <w:rPr>
          <w:rStyle w:val="TextoNormalNegritaCaracter"/>
        </w:rPr>
        <w:t>Disposición adicional tercera.</w:t>
      </w:r>
      <w:r w:rsidRPr="0057104C">
        <w:rPr>
          <w:rStyle w:val="TextoNormalCaracter"/>
        </w:rPr>
        <w:t>-</w:t>
      </w:r>
      <w:r>
        <w:t xml:space="preserve"> Sentencia </w:t>
      </w:r>
      <w:hyperlink w:anchor="SENTENCIA_2016_81" w:history="1">
        <w:r w:rsidRPr="0057104C">
          <w:rPr>
            <w:rStyle w:val="TextoNormalCaracter"/>
          </w:rPr>
          <w:t>81/2016</w:t>
        </w:r>
      </w:hyperlink>
      <w:r>
        <w:t>, f. 1.</w:t>
      </w:r>
    </w:p>
    <w:p w:rsidR="0057104C" w:rsidRDefault="0057104C" w:rsidP="0057104C">
      <w:pPr>
        <w:pStyle w:val="SangriaIzquierdaArticulo"/>
      </w:pPr>
      <w:r>
        <w:t xml:space="preserve">Auto </w:t>
      </w:r>
      <w:hyperlink w:anchor="AUTO_2016_129" w:history="1">
        <w:r w:rsidRPr="0057104C">
          <w:rPr>
            <w:rStyle w:val="TextoNormalCaracter"/>
          </w:rPr>
          <w:t>129/2016</w:t>
        </w:r>
      </w:hyperlink>
      <w:r>
        <w:t>, f. 4.</w:t>
      </w:r>
    </w:p>
    <w:p w:rsidR="0057104C" w:rsidRDefault="0057104C" w:rsidP="0057104C">
      <w:pPr>
        <w:pStyle w:val="SangriaFrancesaArticulo"/>
      </w:pPr>
      <w:r w:rsidRPr="0057104C">
        <w:rPr>
          <w:rStyle w:val="TextoNormalNegritaCaracter"/>
        </w:rPr>
        <w:t>Disposición adicional tercera, apartado c).</w:t>
      </w:r>
      <w:r w:rsidRPr="0057104C">
        <w:rPr>
          <w:rStyle w:val="TextoNormalCaracter"/>
        </w:rPr>
        <w:t>-</w:t>
      </w:r>
      <w:r>
        <w:t xml:space="preserve"> Sentencia </w:t>
      </w:r>
      <w:hyperlink w:anchor="SENTENCIA_2016_81" w:history="1">
        <w:r w:rsidRPr="0057104C">
          <w:rPr>
            <w:rStyle w:val="TextoNormalCaracter"/>
          </w:rPr>
          <w:t>81/2016</w:t>
        </w:r>
      </w:hyperlink>
      <w:r>
        <w:t>, f. 2.</w:t>
      </w:r>
    </w:p>
    <w:p w:rsidR="0057104C" w:rsidRDefault="0057104C" w:rsidP="0057104C">
      <w:pPr>
        <w:pStyle w:val="SangriaFrancesaArticulo"/>
      </w:pPr>
    </w:p>
    <w:p w:rsidR="0057104C" w:rsidRDefault="0057104C" w:rsidP="0057104C">
      <w:pPr>
        <w:pStyle w:val="TextoNormalNegritaCursivandice"/>
      </w:pPr>
      <w:r>
        <w:t>Ley 51/2007, de 26 de diciembre. Presupuestos generales del Estado para 2008</w:t>
      </w:r>
    </w:p>
    <w:p w:rsidR="0057104C" w:rsidRDefault="0057104C" w:rsidP="0057104C">
      <w:pPr>
        <w:pStyle w:val="SangriaFrancesaArticulo"/>
      </w:pPr>
      <w:r w:rsidRPr="0057104C">
        <w:rPr>
          <w:rStyle w:val="TextoNormalNegritaCaracter"/>
        </w:rPr>
        <w:t>Disposición adicional decimoquinta, apartado c).</w:t>
      </w:r>
      <w:r w:rsidRPr="0057104C">
        <w:rPr>
          <w:rStyle w:val="TextoNormalCaracter"/>
        </w:rPr>
        <w:t>-</w:t>
      </w:r>
      <w:r>
        <w:t xml:space="preserve"> Sentencia </w:t>
      </w:r>
      <w:hyperlink w:anchor="SENTENCIA_2016_81" w:history="1">
        <w:r w:rsidRPr="0057104C">
          <w:rPr>
            <w:rStyle w:val="TextoNormalCaracter"/>
          </w:rPr>
          <w:t>81/2016</w:t>
        </w:r>
      </w:hyperlink>
      <w:r>
        <w:t>, ff. 1 a 3.</w:t>
      </w:r>
    </w:p>
    <w:p w:rsidR="0057104C" w:rsidRDefault="0057104C" w:rsidP="0057104C">
      <w:pPr>
        <w:pStyle w:val="SangriaFrancesaArticulo"/>
      </w:pPr>
      <w:r w:rsidRPr="0057104C">
        <w:rPr>
          <w:rStyle w:val="TextoNormalNegritaCaracter"/>
        </w:rPr>
        <w:t>Disposición adicional decimoquinta, apartado e).</w:t>
      </w:r>
      <w:r w:rsidRPr="0057104C">
        <w:rPr>
          <w:rStyle w:val="TextoNormalCaracter"/>
        </w:rPr>
        <w:t>-</w:t>
      </w:r>
      <w:r>
        <w:t xml:space="preserve"> Sentencia </w:t>
      </w:r>
      <w:hyperlink w:anchor="SENTENCIA_2016_81" w:history="1">
        <w:r w:rsidRPr="0057104C">
          <w:rPr>
            <w:rStyle w:val="TextoNormalCaracter"/>
          </w:rPr>
          <w:t>81/2016</w:t>
        </w:r>
      </w:hyperlink>
      <w:r>
        <w:t>, f. 3.</w:t>
      </w:r>
    </w:p>
    <w:p w:rsidR="0057104C" w:rsidRDefault="0057104C" w:rsidP="0057104C">
      <w:pPr>
        <w:pStyle w:val="SangriaFrancesaArticulo"/>
      </w:pPr>
    </w:p>
    <w:p w:rsidR="0057104C" w:rsidRDefault="0057104C" w:rsidP="0057104C">
      <w:pPr>
        <w:pStyle w:val="TextoNormalNegritaCursivandice"/>
      </w:pPr>
      <w:r>
        <w:t>Ley 52/2007, de 26 de diciembre.  Se reconocen y amplían derechos y se establecen medidas en favor de quienes padecieron persecución o violencia durante la guerra civil y la dictadura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90" w:history="1">
        <w:r w:rsidRPr="0057104C">
          <w:rPr>
            <w:rStyle w:val="TextoNormalCaracter"/>
          </w:rPr>
          <w:t>90/2016</w:t>
        </w:r>
      </w:hyperlink>
      <w:r>
        <w:t>, f. 5.</w:t>
      </w:r>
    </w:p>
    <w:p w:rsidR="0057104C" w:rsidRDefault="0057104C" w:rsidP="0057104C">
      <w:pPr>
        <w:pStyle w:val="SangriaFrancesaArticulo"/>
      </w:pPr>
    </w:p>
    <w:p w:rsidR="0057104C" w:rsidRDefault="0057104C" w:rsidP="0057104C">
      <w:pPr>
        <w:pStyle w:val="TextoNormalNegritaCursivandice"/>
      </w:pPr>
      <w:r>
        <w:t>Ley 13/2009, de 3 de noviembre. Reforma de la legislación procesal para la implantación de la nueva oficina judicial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58" w:history="1">
        <w:r w:rsidRPr="0057104C">
          <w:rPr>
            <w:rStyle w:val="TextoNormalCaracter"/>
          </w:rPr>
          <w:t>58/2016</w:t>
        </w:r>
      </w:hyperlink>
      <w:r>
        <w:t xml:space="preserve">, ff. 2, 4; </w:t>
      </w:r>
      <w:hyperlink w:anchor="SENTENCIA_2016_63" w:history="1">
        <w:r w:rsidRPr="0057104C">
          <w:rPr>
            <w:rStyle w:val="TextoNormalCaracter"/>
          </w:rPr>
          <w:t>63/2016</w:t>
        </w:r>
      </w:hyperlink>
      <w:r>
        <w:t xml:space="preserve">, f. 3; </w:t>
      </w:r>
      <w:hyperlink w:anchor="SENTENCIA_2016_77" w:history="1">
        <w:r w:rsidRPr="0057104C">
          <w:rPr>
            <w:rStyle w:val="TextoNormalCaracter"/>
          </w:rPr>
          <w:t>77/2016</w:t>
        </w:r>
      </w:hyperlink>
      <w:r>
        <w:t xml:space="preserve">, f. 3; </w:t>
      </w:r>
      <w:hyperlink w:anchor="SENTENCIA_2016_89" w:history="1">
        <w:r w:rsidRPr="0057104C">
          <w:rPr>
            <w:rStyle w:val="TextoNormalCaracter"/>
          </w:rPr>
          <w:t>89/2016</w:t>
        </w:r>
      </w:hyperlink>
      <w:r>
        <w:t>, ff. 2, 3.</w:t>
      </w:r>
    </w:p>
    <w:p w:rsidR="0057104C" w:rsidRDefault="0057104C" w:rsidP="0057104C">
      <w:pPr>
        <w:pStyle w:val="SangriaIzquierdaArticulo"/>
      </w:pPr>
      <w:r>
        <w:t xml:space="preserve">Autos </w:t>
      </w:r>
      <w:hyperlink w:anchor="AUTO_2016_66" w:history="1">
        <w:r w:rsidRPr="0057104C">
          <w:rPr>
            <w:rStyle w:val="TextoNormalCaracter"/>
          </w:rPr>
          <w:t>66/2016</w:t>
        </w:r>
      </w:hyperlink>
      <w:r>
        <w:t xml:space="preserve">, f. único; </w:t>
      </w:r>
      <w:hyperlink w:anchor="AUTO_2016_107" w:history="1">
        <w:r w:rsidRPr="0057104C">
          <w:rPr>
            <w:rStyle w:val="TextoNormalCaracter"/>
          </w:rPr>
          <w:t>107/2016</w:t>
        </w:r>
      </w:hyperlink>
      <w:r>
        <w:t>, f. 1.</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58" w:history="1">
        <w:r w:rsidRPr="0057104C">
          <w:rPr>
            <w:rStyle w:val="TextoNormalCaracter"/>
          </w:rPr>
          <w:t>58/2016</w:t>
        </w:r>
      </w:hyperlink>
      <w:r>
        <w:t>, f. 2.</w:t>
      </w:r>
    </w:p>
    <w:p w:rsidR="0057104C" w:rsidRDefault="0057104C" w:rsidP="0057104C">
      <w:pPr>
        <w:pStyle w:val="SangriaFrancesaArticulo"/>
      </w:pPr>
      <w:r w:rsidRPr="0057104C">
        <w:rPr>
          <w:rStyle w:val="TextoNormalNegritaCaracter"/>
        </w:rPr>
        <w:t>Artículo 14.45.</w:t>
      </w:r>
      <w:r w:rsidRPr="0057104C">
        <w:rPr>
          <w:rStyle w:val="TextoNormalCaracter"/>
        </w:rPr>
        <w:t>-</w:t>
      </w:r>
      <w:r>
        <w:t xml:space="preserve"> Sentencia </w:t>
      </w:r>
      <w:hyperlink w:anchor="SENTENCIA_2016_58" w:history="1">
        <w:r w:rsidRPr="0057104C">
          <w:rPr>
            <w:rStyle w:val="TextoNormalCaracter"/>
          </w:rPr>
          <w:t>58/2016</w:t>
        </w:r>
      </w:hyperlink>
      <w:r>
        <w:t>, f. 1.</w:t>
      </w:r>
    </w:p>
    <w:p w:rsidR="0057104C" w:rsidRDefault="0057104C" w:rsidP="0057104C">
      <w:pPr>
        <w:pStyle w:val="SangriaFrancesaArticulo"/>
      </w:pPr>
    </w:p>
    <w:p w:rsidR="0057104C" w:rsidRDefault="0057104C" w:rsidP="0057104C">
      <w:pPr>
        <w:pStyle w:val="TextoNormalNegritaCursivandice"/>
      </w:pPr>
      <w:r>
        <w:t>Ley 17/2009, de 23 de noviembre. Libre acceso a las actividades de servicios y su ejercicio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ff. 5, 6.</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73" w:history="1">
        <w:r w:rsidRPr="0057104C">
          <w:rPr>
            <w:rStyle w:val="TextoNormalCaracter"/>
          </w:rPr>
          <w:t>73/2016</w:t>
        </w:r>
      </w:hyperlink>
      <w:r>
        <w:t>, ff. 4 a 6.</w:t>
      </w:r>
    </w:p>
    <w:p w:rsidR="0057104C" w:rsidRDefault="0057104C" w:rsidP="0057104C">
      <w:pPr>
        <w:pStyle w:val="SangriaFrancesaArticulo"/>
      </w:pPr>
      <w:r w:rsidRPr="0057104C">
        <w:rPr>
          <w:rStyle w:val="TextoNormalNegritaCaracter"/>
        </w:rPr>
        <w:t>Artículo 11.1 a).</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r w:rsidRPr="0057104C">
        <w:rPr>
          <w:rStyle w:val="TextoNormalNegritaCaracter"/>
        </w:rPr>
        <w:t>Artículo 11.2.</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p>
    <w:p w:rsidR="0057104C" w:rsidRDefault="0057104C" w:rsidP="0057104C">
      <w:pPr>
        <w:pStyle w:val="TextoNormalNegritaCursivandice"/>
      </w:pPr>
      <w:r>
        <w:t>Ley 22/2009, de 18 de diciembre. Regulación del sistema de financiación de las Comunidades Autónomas de régimen común y ciudades con Estatuto de Autonomía y se modifican determinadas normas tributarias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25" w:history="1">
        <w:r w:rsidRPr="0057104C">
          <w:rPr>
            <w:rStyle w:val="TextoNormalCaracter"/>
          </w:rPr>
          <w:t>25/2016</w:t>
        </w:r>
      </w:hyperlink>
      <w:r>
        <w:t xml:space="preserve">, f. 2; </w:t>
      </w:r>
      <w:hyperlink w:anchor="SENTENCIA_2016_96" w:history="1">
        <w:r w:rsidRPr="0057104C">
          <w:rPr>
            <w:rStyle w:val="TextoNormalCaracter"/>
          </w:rPr>
          <w:t>96/2016</w:t>
        </w:r>
      </w:hyperlink>
      <w:r>
        <w:t>, ff. 4, 6.</w:t>
      </w:r>
    </w:p>
    <w:p w:rsidR="0057104C" w:rsidRDefault="0057104C" w:rsidP="0057104C">
      <w:pPr>
        <w:pStyle w:val="SangriaFrancesaArticulo"/>
      </w:pPr>
      <w:r w:rsidRPr="0057104C">
        <w:rPr>
          <w:rStyle w:val="TextoNormalNegritaCaracter"/>
        </w:rPr>
        <w:t>Título I.</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Título II.</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Preámbulo, apartado II.</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9 b).</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10.1.</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21.2.</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21.2.4.</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23.</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35.</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48.</w:t>
      </w:r>
      <w:r w:rsidRPr="0057104C">
        <w:rPr>
          <w:rStyle w:val="TextoNormalCaracter"/>
        </w:rPr>
        <w:t>-</w:t>
      </w:r>
      <w:r>
        <w:t xml:space="preserve"> Sentencia </w:t>
      </w:r>
      <w:hyperlink w:anchor="SENTENCIA_2016_33" w:history="1">
        <w:r w:rsidRPr="0057104C">
          <w:rPr>
            <w:rStyle w:val="TextoNormalCaracter"/>
          </w:rPr>
          <w:t>33/2016</w:t>
        </w:r>
      </w:hyperlink>
      <w:r>
        <w:t>, f. 4.</w:t>
      </w:r>
    </w:p>
    <w:p w:rsidR="0057104C" w:rsidRDefault="0057104C" w:rsidP="0057104C">
      <w:pPr>
        <w:pStyle w:val="SangriaFrancesaArticulo"/>
      </w:pPr>
      <w:r w:rsidRPr="0057104C">
        <w:rPr>
          <w:rStyle w:val="TextoNormalNegritaCaracter"/>
        </w:rPr>
        <w:t>Artículo 48.2.</w:t>
      </w:r>
      <w:r w:rsidRPr="0057104C">
        <w:rPr>
          <w:rStyle w:val="TextoNormalCaracter"/>
        </w:rPr>
        <w:t>-</w:t>
      </w:r>
      <w:r>
        <w:t xml:space="preserve"> Sentencias </w:t>
      </w:r>
      <w:hyperlink w:anchor="SENTENCIA_2016_25" w:history="1">
        <w:r w:rsidRPr="0057104C">
          <w:rPr>
            <w:rStyle w:val="TextoNormalCaracter"/>
          </w:rPr>
          <w:t>25/2016</w:t>
        </w:r>
      </w:hyperlink>
      <w:r>
        <w:t xml:space="preserve">, f. 4; </w:t>
      </w:r>
      <w:hyperlink w:anchor="SENTENCIA_2016_33" w:history="1">
        <w:r w:rsidRPr="0057104C">
          <w:rPr>
            <w:rStyle w:val="TextoNormalCaracter"/>
          </w:rPr>
          <w:t>33/2016</w:t>
        </w:r>
      </w:hyperlink>
      <w:r>
        <w:t>, ff. 3, 4, 5.</w:t>
      </w:r>
    </w:p>
    <w:p w:rsidR="0057104C" w:rsidRDefault="0057104C" w:rsidP="0057104C">
      <w:pPr>
        <w:pStyle w:val="SangriaFrancesaArticulo"/>
      </w:pPr>
      <w:r w:rsidRPr="0057104C">
        <w:rPr>
          <w:rStyle w:val="TextoNormalNegritaCaracter"/>
        </w:rPr>
        <w:t>Artículo 49.</w:t>
      </w:r>
      <w:r w:rsidRPr="0057104C">
        <w:rPr>
          <w:rStyle w:val="TextoNormalCaracter"/>
        </w:rPr>
        <w:t>-</w:t>
      </w:r>
      <w:r>
        <w:t xml:space="preserve"> Sentencia </w:t>
      </w:r>
      <w:hyperlink w:anchor="SENTENCIA_2016_33" w:history="1">
        <w:r w:rsidRPr="0057104C">
          <w:rPr>
            <w:rStyle w:val="TextoNormalCaracter"/>
          </w:rPr>
          <w:t>33/2016</w:t>
        </w:r>
      </w:hyperlink>
      <w:r>
        <w:t>, f. 4.</w:t>
      </w:r>
    </w:p>
    <w:p w:rsidR="0057104C" w:rsidRDefault="0057104C" w:rsidP="0057104C">
      <w:pPr>
        <w:pStyle w:val="SangriaFrancesaArticulo"/>
      </w:pPr>
      <w:r w:rsidRPr="0057104C">
        <w:rPr>
          <w:rStyle w:val="TextoNormalNegritaCaracter"/>
        </w:rPr>
        <w:t>Artículo 49.2.</w:t>
      </w:r>
      <w:r w:rsidRPr="0057104C">
        <w:rPr>
          <w:rStyle w:val="TextoNormalCaracter"/>
        </w:rPr>
        <w:t>-</w:t>
      </w:r>
      <w:r>
        <w:t xml:space="preserve"> Sentencias </w:t>
      </w:r>
      <w:hyperlink w:anchor="SENTENCIA_2016_25" w:history="1">
        <w:r w:rsidRPr="0057104C">
          <w:rPr>
            <w:rStyle w:val="TextoNormalCaracter"/>
          </w:rPr>
          <w:t>25/2016</w:t>
        </w:r>
      </w:hyperlink>
      <w:r>
        <w:t xml:space="preserve">, f. 4; </w:t>
      </w:r>
      <w:hyperlink w:anchor="SENTENCIA_2016_33" w:history="1">
        <w:r w:rsidRPr="0057104C">
          <w:rPr>
            <w:rStyle w:val="TextoNormalCaracter"/>
          </w:rPr>
          <w:t>33/2016</w:t>
        </w:r>
      </w:hyperlink>
      <w:r>
        <w:t>, ff. 3 a 5.</w:t>
      </w:r>
    </w:p>
    <w:p w:rsidR="0057104C" w:rsidRDefault="0057104C" w:rsidP="0057104C">
      <w:pPr>
        <w:pStyle w:val="SangriaFrancesaArticulo"/>
      </w:pPr>
      <w:r w:rsidRPr="0057104C">
        <w:rPr>
          <w:rStyle w:val="TextoNormalNegritaCaracter"/>
        </w:rPr>
        <w:t>Artículo 54.1.</w:t>
      </w:r>
      <w:r w:rsidRPr="0057104C">
        <w:rPr>
          <w:rStyle w:val="TextoNormalCaracter"/>
        </w:rPr>
        <w:t>-</w:t>
      </w:r>
      <w:r>
        <w:t xml:space="preserve"> Sentencia </w:t>
      </w:r>
      <w:hyperlink w:anchor="SENTENCIA_2016_33" w:history="1">
        <w:r w:rsidRPr="0057104C">
          <w:rPr>
            <w:rStyle w:val="TextoNormalCaracter"/>
          </w:rPr>
          <w:t>33/2016</w:t>
        </w:r>
      </w:hyperlink>
      <w:r>
        <w:t>, f. 4.</w:t>
      </w:r>
    </w:p>
    <w:p w:rsidR="0057104C" w:rsidRDefault="0057104C" w:rsidP="0057104C">
      <w:pPr>
        <w:pStyle w:val="SangriaFrancesaArticulo"/>
      </w:pPr>
      <w:r w:rsidRPr="0057104C">
        <w:rPr>
          <w:rStyle w:val="TextoNormalNegritaCaracter"/>
        </w:rPr>
        <w:t>Artículo 55.1.</w:t>
      </w:r>
      <w:r w:rsidRPr="0057104C">
        <w:rPr>
          <w:rStyle w:val="TextoNormalCaracter"/>
        </w:rPr>
        <w:t>-</w:t>
      </w:r>
      <w:r>
        <w:t xml:space="preserve"> Sentencia </w:t>
      </w:r>
      <w:hyperlink w:anchor="SENTENCIA_2016_33" w:history="1">
        <w:r w:rsidRPr="0057104C">
          <w:rPr>
            <w:rStyle w:val="TextoNormalCaracter"/>
          </w:rPr>
          <w:t>33/2016</w:t>
        </w:r>
      </w:hyperlink>
      <w:r>
        <w:t>, ff. 4, 5.</w:t>
      </w:r>
    </w:p>
    <w:p w:rsidR="0057104C" w:rsidRDefault="0057104C" w:rsidP="0057104C">
      <w:pPr>
        <w:pStyle w:val="SangriaFrancesaArticulo"/>
      </w:pPr>
      <w:r w:rsidRPr="0057104C">
        <w:rPr>
          <w:rStyle w:val="TextoNormalNegritaCaracter"/>
        </w:rPr>
        <w:t>Artículo 55.1 a).</w:t>
      </w:r>
      <w:r w:rsidRPr="0057104C">
        <w:rPr>
          <w:rStyle w:val="TextoNormalCaracter"/>
        </w:rPr>
        <w:t>-</w:t>
      </w:r>
      <w:r>
        <w:t xml:space="preserve"> Sentencia </w:t>
      </w:r>
      <w:hyperlink w:anchor="SENTENCIA_2016_25" w:history="1">
        <w:r w:rsidRPr="0057104C">
          <w:rPr>
            <w:rStyle w:val="TextoNormalCaracter"/>
          </w:rPr>
          <w:t>25/2016</w:t>
        </w:r>
      </w:hyperlink>
      <w:r>
        <w:t>, f. 4.</w:t>
      </w:r>
    </w:p>
    <w:p w:rsidR="0057104C" w:rsidRDefault="0057104C" w:rsidP="0057104C">
      <w:pPr>
        <w:pStyle w:val="SangriaFrancesaArticulo"/>
      </w:pPr>
      <w:r w:rsidRPr="0057104C">
        <w:rPr>
          <w:rStyle w:val="TextoNormalNegritaCaracter"/>
        </w:rPr>
        <w:t>Disposición adicional sexta.</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Disposición adicional sexta, párrafo 2.</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Disposición adicional séptima.</w:t>
      </w:r>
      <w:r w:rsidRPr="0057104C">
        <w:rPr>
          <w:rStyle w:val="TextoNormalCaracter"/>
        </w:rPr>
        <w:t>-</w:t>
      </w:r>
      <w:r>
        <w:t xml:space="preserve"> Sentencia </w:t>
      </w:r>
      <w:hyperlink w:anchor="SENTENCIA_2016_96" w:history="1">
        <w:r w:rsidRPr="0057104C">
          <w:rPr>
            <w:rStyle w:val="TextoNormalCaracter"/>
          </w:rPr>
          <w:t>96/2016</w:t>
        </w:r>
      </w:hyperlink>
      <w:r>
        <w:t>, f. 6.</w:t>
      </w:r>
    </w:p>
    <w:p w:rsidR="0057104C" w:rsidRDefault="0057104C" w:rsidP="0057104C">
      <w:pPr>
        <w:pStyle w:val="SangriaFrancesaArticulo"/>
      </w:pPr>
      <w:r w:rsidRPr="0057104C">
        <w:rPr>
          <w:rStyle w:val="TextoNormalNegritaCaracter"/>
        </w:rPr>
        <w:t>Disposición transitoria tercera.</w:t>
      </w:r>
      <w:r w:rsidRPr="0057104C">
        <w:rPr>
          <w:rStyle w:val="TextoNormalCaracter"/>
        </w:rPr>
        <w:t>-</w:t>
      </w:r>
      <w:r>
        <w:t xml:space="preserve"> Sentencia </w:t>
      </w:r>
      <w:hyperlink w:anchor="SENTENCIA_2016_96" w:history="1">
        <w:r w:rsidRPr="0057104C">
          <w:rPr>
            <w:rStyle w:val="TextoNormalCaracter"/>
          </w:rPr>
          <w:t>96/2016</w:t>
        </w:r>
      </w:hyperlink>
      <w:r>
        <w:t>, f. 6.</w:t>
      </w:r>
    </w:p>
    <w:p w:rsidR="0057104C" w:rsidRDefault="0057104C" w:rsidP="0057104C">
      <w:pPr>
        <w:pStyle w:val="SangriaFrancesaArticulo"/>
      </w:pPr>
      <w:r w:rsidRPr="0057104C">
        <w:rPr>
          <w:rStyle w:val="TextoNormalNegritaCaracter"/>
        </w:rPr>
        <w:t>Disposición transitoria tercera, párrafo 1.</w:t>
      </w:r>
      <w:r w:rsidRPr="0057104C">
        <w:rPr>
          <w:rStyle w:val="TextoNormalCaracter"/>
        </w:rPr>
        <w:t>-</w:t>
      </w:r>
      <w:r>
        <w:t xml:space="preserve"> Sentencia </w:t>
      </w:r>
      <w:hyperlink w:anchor="SENTENCIA_2016_96" w:history="1">
        <w:r w:rsidRPr="0057104C">
          <w:rPr>
            <w:rStyle w:val="TextoNormalCaracter"/>
          </w:rPr>
          <w:t>96/2016</w:t>
        </w:r>
      </w:hyperlink>
      <w:r>
        <w:t>, f. 6.</w:t>
      </w:r>
    </w:p>
    <w:p w:rsidR="0057104C" w:rsidRDefault="0057104C" w:rsidP="0057104C">
      <w:pPr>
        <w:pStyle w:val="SangriaFrancesaArticulo"/>
      </w:pPr>
      <w:r w:rsidRPr="0057104C">
        <w:rPr>
          <w:rStyle w:val="TextoNormalNegritaCaracter"/>
        </w:rPr>
        <w:t>Disposición final quinta.</w:t>
      </w:r>
      <w:r w:rsidRPr="0057104C">
        <w:rPr>
          <w:rStyle w:val="TextoNormalCaracter"/>
        </w:rPr>
        <w:t>-</w:t>
      </w:r>
      <w:r>
        <w:t xml:space="preserve"> Sentencia </w:t>
      </w:r>
      <w:hyperlink w:anchor="SENTENCIA_2016_96" w:history="1">
        <w:r w:rsidRPr="0057104C">
          <w:rPr>
            <w:rStyle w:val="TextoNormalCaracter"/>
          </w:rPr>
          <w:t>96/2016</w:t>
        </w:r>
      </w:hyperlink>
      <w:r>
        <w:t>, f. 6.</w:t>
      </w:r>
    </w:p>
    <w:p w:rsidR="0057104C" w:rsidRDefault="0057104C" w:rsidP="0057104C">
      <w:pPr>
        <w:pStyle w:val="SangriaFrancesaArticulo"/>
      </w:pPr>
    </w:p>
    <w:p w:rsidR="0057104C" w:rsidRDefault="0057104C" w:rsidP="0057104C">
      <w:pPr>
        <w:pStyle w:val="TextoNormalNegritaCursivandice"/>
      </w:pPr>
      <w:r>
        <w:t>Ley 26/2009, de 23 de diciembre. Presupuestos generales del Estado para 2010</w:t>
      </w:r>
    </w:p>
    <w:p w:rsidR="0057104C" w:rsidRDefault="0057104C" w:rsidP="0057104C">
      <w:pPr>
        <w:pStyle w:val="SangriaFrancesaArticulo"/>
      </w:pPr>
      <w:r w:rsidRPr="0057104C">
        <w:rPr>
          <w:rStyle w:val="TextoNormalNegritaCaracter"/>
        </w:rPr>
        <w:t>Artículo 79.</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p>
    <w:p w:rsidR="0057104C" w:rsidRDefault="0057104C" w:rsidP="0057104C">
      <w:pPr>
        <w:pStyle w:val="TextoNormalNegritaCursivandice"/>
      </w:pPr>
      <w:r>
        <w:t>Ley 1/2010, de 1 de marzo. Reforma de la Ley 7/1996 de ordenación del comercio minorista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ff. 4, 5.</w:t>
      </w:r>
    </w:p>
    <w:p w:rsidR="0057104C" w:rsidRDefault="0057104C" w:rsidP="0057104C">
      <w:pPr>
        <w:pStyle w:val="SangriaFrancesaArticulo"/>
      </w:pPr>
    </w:p>
    <w:p w:rsidR="0057104C" w:rsidRDefault="0057104C" w:rsidP="0057104C">
      <w:pPr>
        <w:pStyle w:val="TextoNormalNegritaCursivandice"/>
      </w:pPr>
      <w:r>
        <w:t>Ley 7/2010, de 31 de marzo. General de la comunicación audiovisual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5" w:history="1">
        <w:r w:rsidRPr="0057104C">
          <w:rPr>
            <w:rStyle w:val="TextoNormalCaracter"/>
          </w:rPr>
          <w:t>35/2016</w:t>
        </w:r>
      </w:hyperlink>
      <w:r>
        <w:t>, f. 2.</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20" w:history="1">
        <w:r w:rsidRPr="0057104C">
          <w:rPr>
            <w:rStyle w:val="TextoNormalCaracter"/>
          </w:rPr>
          <w:t>20/2016</w:t>
        </w:r>
      </w:hyperlink>
      <w:r>
        <w:t>, f. 10.</w:t>
      </w:r>
    </w:p>
    <w:p w:rsidR="0057104C" w:rsidRDefault="0057104C" w:rsidP="0057104C">
      <w:pPr>
        <w:pStyle w:val="SangriaFrancesaArticulo"/>
      </w:pPr>
      <w:r w:rsidRPr="0057104C">
        <w:rPr>
          <w:rStyle w:val="TextoNormalNegritaCaracter"/>
        </w:rPr>
        <w:t>Artículo 5.3.</w:t>
      </w:r>
      <w:r w:rsidRPr="0057104C">
        <w:rPr>
          <w:rStyle w:val="TextoNormalCaracter"/>
        </w:rPr>
        <w:t>-</w:t>
      </w:r>
      <w:r>
        <w:t xml:space="preserve"> Sentencia </w:t>
      </w:r>
      <w:hyperlink w:anchor="SENTENCIA_2016_35" w:history="1">
        <w:r w:rsidRPr="0057104C">
          <w:rPr>
            <w:rStyle w:val="TextoNormalCaracter"/>
          </w:rPr>
          <w:t>35/2016</w:t>
        </w:r>
      </w:hyperlink>
      <w:r>
        <w:t>, f. 2.</w:t>
      </w:r>
    </w:p>
    <w:p w:rsidR="0057104C" w:rsidRDefault="0057104C" w:rsidP="0057104C">
      <w:pPr>
        <w:pStyle w:val="SangriaFrancesaArticulo"/>
      </w:pPr>
      <w:r w:rsidRPr="0057104C">
        <w:rPr>
          <w:rStyle w:val="TextoNormalNegritaCaracter"/>
        </w:rPr>
        <w:t>Artículo 56.</w:t>
      </w:r>
      <w:r w:rsidRPr="0057104C">
        <w:rPr>
          <w:rStyle w:val="TextoNormalCaracter"/>
        </w:rPr>
        <w:t>-</w:t>
      </w:r>
      <w:r>
        <w:t xml:space="preserve"> Sentencia </w:t>
      </w:r>
      <w:hyperlink w:anchor="SENTENCIA_2016_20" w:history="1">
        <w:r w:rsidRPr="0057104C">
          <w:rPr>
            <w:rStyle w:val="TextoNormalCaracter"/>
          </w:rPr>
          <w:t>20/2016</w:t>
        </w:r>
      </w:hyperlink>
      <w:r>
        <w:t>, f. 10.</w:t>
      </w:r>
    </w:p>
    <w:p w:rsidR="0057104C" w:rsidRDefault="0057104C" w:rsidP="0057104C">
      <w:pPr>
        <w:pStyle w:val="SangriaFrancesaArticulo"/>
      </w:pPr>
      <w:r w:rsidRPr="0057104C">
        <w:rPr>
          <w:rStyle w:val="TextoNormalNegritaCaracter"/>
        </w:rPr>
        <w:t>Disposición derogatoria, apartado 12.</w:t>
      </w:r>
      <w:r w:rsidRPr="0057104C">
        <w:rPr>
          <w:rStyle w:val="TextoNormalCaracter"/>
        </w:rPr>
        <w:t>-</w:t>
      </w:r>
      <w:r>
        <w:t xml:space="preserve"> Sentencia </w:t>
      </w:r>
      <w:hyperlink w:anchor="SENTENCIA_2016_35" w:history="1">
        <w:r w:rsidRPr="0057104C">
          <w:rPr>
            <w:rStyle w:val="TextoNormalCaracter"/>
          </w:rPr>
          <w:t>35/2016</w:t>
        </w:r>
      </w:hyperlink>
      <w:r>
        <w:t>, f. 2.</w:t>
      </w:r>
    </w:p>
    <w:p w:rsidR="0057104C" w:rsidRDefault="0057104C" w:rsidP="0057104C">
      <w:pPr>
        <w:pStyle w:val="SangriaFrancesaArticulo"/>
      </w:pPr>
      <w:r w:rsidRPr="0057104C">
        <w:rPr>
          <w:rStyle w:val="TextoNormalNegritaCaracter"/>
        </w:rPr>
        <w:t>Disposición derogatoria, apartado 6.</w:t>
      </w:r>
      <w:r w:rsidRPr="0057104C">
        <w:rPr>
          <w:rStyle w:val="TextoNormalCaracter"/>
        </w:rPr>
        <w:t>-</w:t>
      </w:r>
      <w:r>
        <w:t xml:space="preserve"> Sentencia </w:t>
      </w:r>
      <w:hyperlink w:anchor="SENTENCIA_2016_35" w:history="1">
        <w:r w:rsidRPr="0057104C">
          <w:rPr>
            <w:rStyle w:val="TextoNormalCaracter"/>
          </w:rPr>
          <w:t>35/2016</w:t>
        </w:r>
      </w:hyperlink>
      <w:r>
        <w:t>, f. 2.</w:t>
      </w:r>
    </w:p>
    <w:p w:rsidR="0057104C" w:rsidRDefault="0057104C" w:rsidP="0057104C">
      <w:pPr>
        <w:pStyle w:val="SangriaFrancesaArticulo"/>
      </w:pPr>
    </w:p>
    <w:p w:rsidR="0057104C" w:rsidRDefault="0057104C" w:rsidP="0057104C">
      <w:pPr>
        <w:pStyle w:val="TextoNormalNegritaCursivandice"/>
      </w:pPr>
      <w:r>
        <w:t>Ley 39/2010, de 22 de diciembre. Presupuestos generales del Estado para el año 2011</w:t>
      </w:r>
    </w:p>
    <w:p w:rsidR="0057104C" w:rsidRDefault="0057104C" w:rsidP="0057104C">
      <w:pPr>
        <w:pStyle w:val="SangriaFrancesaArticulo"/>
      </w:pPr>
      <w:r w:rsidRPr="0057104C">
        <w:rPr>
          <w:rStyle w:val="TextoNormalNegritaCaracter"/>
        </w:rPr>
        <w:t>Artículo 128.</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p>
    <w:p w:rsidR="0057104C" w:rsidRDefault="0057104C" w:rsidP="0057104C">
      <w:pPr>
        <w:pStyle w:val="TextoNormalNegritaCursivandice"/>
      </w:pPr>
      <w:r>
        <w:t>Ley 2/2011, de 4 de marzo. Economía sostenible</w:t>
      </w:r>
    </w:p>
    <w:p w:rsidR="0057104C" w:rsidRDefault="0057104C" w:rsidP="0057104C">
      <w:pPr>
        <w:pStyle w:val="SangriaFrancesaArticulo"/>
      </w:pPr>
      <w:r w:rsidRPr="0057104C">
        <w:rPr>
          <w:rStyle w:val="TextoNormalNegritaCaracter"/>
        </w:rPr>
        <w:t>Artículo 18.2.</w:t>
      </w:r>
      <w:r w:rsidRPr="0057104C">
        <w:rPr>
          <w:rStyle w:val="TextoNormalCaracter"/>
        </w:rPr>
        <w:t>-</w:t>
      </w:r>
      <w:r>
        <w:t xml:space="preserve"> Sentencia </w:t>
      </w:r>
      <w:hyperlink w:anchor="SENTENCIA_2016_121" w:history="1">
        <w:r w:rsidRPr="0057104C">
          <w:rPr>
            <w:rStyle w:val="TextoNormalCaracter"/>
          </w:rPr>
          <w:t>121/2016</w:t>
        </w:r>
      </w:hyperlink>
      <w:r>
        <w:t>, ff. 1, 3.</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Disposición final cuadragésima novena, apartado 1.</w:t>
      </w:r>
      <w:r w:rsidRPr="0057104C">
        <w:rPr>
          <w:rStyle w:val="TextoNormalCaracter"/>
        </w:rPr>
        <w:t>-</w:t>
      </w:r>
      <w:r>
        <w:t xml:space="preserve"> Sentencia </w:t>
      </w:r>
      <w:hyperlink w:anchor="SENTENCIA_2016_121" w:history="1">
        <w:r w:rsidRPr="0057104C">
          <w:rPr>
            <w:rStyle w:val="TextoNormalCaracter"/>
          </w:rPr>
          <w:t>121/2016</w:t>
        </w:r>
      </w:hyperlink>
      <w:r>
        <w:t>, ff. 1, 2, 4, 6.</w:t>
      </w:r>
    </w:p>
    <w:p w:rsidR="0057104C" w:rsidRDefault="0057104C" w:rsidP="0057104C">
      <w:pPr>
        <w:pStyle w:val="SangriaFrancesaArticulo"/>
      </w:pPr>
    </w:p>
    <w:p w:rsidR="0057104C" w:rsidRDefault="0057104C" w:rsidP="0057104C">
      <w:pPr>
        <w:pStyle w:val="TextoNormalNegritaCursivandice"/>
      </w:pPr>
      <w:r>
        <w:t>Ley 29/2011, de 22 de septiembre. Reconocimiento y protección integral a las víctimas del terrorismo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90" w:history="1">
        <w:r w:rsidRPr="0057104C">
          <w:rPr>
            <w:rStyle w:val="TextoNormalCaracter"/>
          </w:rPr>
          <w:t>90/2016</w:t>
        </w:r>
      </w:hyperlink>
      <w:r>
        <w:t>, f. 5.</w:t>
      </w:r>
    </w:p>
    <w:p w:rsidR="0057104C" w:rsidRDefault="0057104C" w:rsidP="0057104C">
      <w:pPr>
        <w:pStyle w:val="SangriaFrancesaArticulo"/>
      </w:pPr>
    </w:p>
    <w:p w:rsidR="0057104C" w:rsidRDefault="0057104C" w:rsidP="0057104C">
      <w:pPr>
        <w:pStyle w:val="TextoNormalNegritaCursivandice"/>
      </w:pPr>
      <w:r>
        <w:t>Ley 33/2011, de 4 de octubre. General de salud pública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3" w:history="1">
        <w:r w:rsidRPr="0057104C">
          <w:rPr>
            <w:rStyle w:val="TextoNormalCaracter"/>
          </w:rPr>
          <w:t>53/2016</w:t>
        </w:r>
      </w:hyperlink>
      <w:r>
        <w:t>, f. 2.</w:t>
      </w:r>
    </w:p>
    <w:p w:rsidR="0057104C" w:rsidRDefault="0057104C" w:rsidP="0057104C">
      <w:pPr>
        <w:pStyle w:val="SangriaFrancesaArticulo"/>
      </w:pPr>
      <w:r w:rsidRPr="0057104C">
        <w:rPr>
          <w:rStyle w:val="TextoNormalNegritaCaracter"/>
        </w:rPr>
        <w:t>Artículo 30.</w:t>
      </w:r>
      <w:r w:rsidRPr="0057104C">
        <w:rPr>
          <w:rStyle w:val="TextoNormalCaracter"/>
        </w:rPr>
        <w:t>-</w:t>
      </w:r>
      <w:r>
        <w:t xml:space="preserve"> Sentencia </w:t>
      </w:r>
      <w:hyperlink w:anchor="SENTENCIA_2016_53" w:history="1">
        <w:r w:rsidRPr="0057104C">
          <w:rPr>
            <w:rStyle w:val="TextoNormalCaracter"/>
          </w:rPr>
          <w:t>53/2016</w:t>
        </w:r>
      </w:hyperlink>
      <w:r>
        <w:t>, f. 2.</w:t>
      </w:r>
    </w:p>
    <w:p w:rsidR="0057104C" w:rsidRDefault="0057104C" w:rsidP="0057104C">
      <w:pPr>
        <w:pStyle w:val="SangriaFrancesaArticulo"/>
      </w:pPr>
    </w:p>
    <w:p w:rsidR="0057104C" w:rsidRDefault="0057104C" w:rsidP="0057104C">
      <w:pPr>
        <w:pStyle w:val="TextoNormalNegritaCursivandice"/>
      </w:pPr>
      <w:r>
        <w:t>Ley 2/2012, de 29 de junio. Presupuestos Generales del Estado para el año 2012</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119" w:history="1">
        <w:r w:rsidRPr="0057104C">
          <w:rPr>
            <w:rStyle w:val="TextoNormalCaracter"/>
          </w:rPr>
          <w:t>119/2016</w:t>
        </w:r>
      </w:hyperlink>
      <w:r>
        <w:t>, f. 3.</w:t>
      </w:r>
    </w:p>
    <w:p w:rsidR="0057104C" w:rsidRDefault="0057104C" w:rsidP="0057104C">
      <w:pPr>
        <w:pStyle w:val="SangriaFrancesaArticulo"/>
      </w:pPr>
      <w:r w:rsidRPr="0057104C">
        <w:rPr>
          <w:rStyle w:val="TextoNormalNegritaCaracter"/>
        </w:rPr>
        <w:t>Artículo 22.1.</w:t>
      </w:r>
      <w:r w:rsidRPr="0057104C">
        <w:rPr>
          <w:rStyle w:val="TextoNormalCaracter"/>
        </w:rPr>
        <w:t>-</w:t>
      </w:r>
      <w:r>
        <w:t xml:space="preserve"> Sentencias </w:t>
      </w:r>
      <w:hyperlink w:anchor="SENTENCIA_2016_2" w:history="1">
        <w:r w:rsidRPr="0057104C">
          <w:rPr>
            <w:rStyle w:val="TextoNormalCaracter"/>
          </w:rPr>
          <w:t>2/2016</w:t>
        </w:r>
      </w:hyperlink>
      <w:r>
        <w:t xml:space="preserve">, ff. 1, 2; </w:t>
      </w:r>
      <w:hyperlink w:anchor="SENTENCIA_2016_4" w:history="1">
        <w:r w:rsidRPr="0057104C">
          <w:rPr>
            <w:rStyle w:val="TextoNormalCaracter"/>
          </w:rPr>
          <w:t>4/2016</w:t>
        </w:r>
      </w:hyperlink>
      <w:r>
        <w:t xml:space="preserve">, ff. 1, 2; </w:t>
      </w:r>
      <w:hyperlink w:anchor="SENTENCIA_2016_43" w:history="1">
        <w:r w:rsidRPr="0057104C">
          <w:rPr>
            <w:rStyle w:val="TextoNormalCaracter"/>
          </w:rPr>
          <w:t>43/2016</w:t>
        </w:r>
      </w:hyperlink>
      <w:r>
        <w:t xml:space="preserve">, f. 1; </w:t>
      </w:r>
      <w:hyperlink w:anchor="SENTENCIA_2016_46" w:history="1">
        <w:r w:rsidRPr="0057104C">
          <w:rPr>
            <w:rStyle w:val="TextoNormalCaracter"/>
          </w:rPr>
          <w:t>46/2016</w:t>
        </w:r>
      </w:hyperlink>
      <w:r>
        <w:t xml:space="preserve">, f. 1; </w:t>
      </w:r>
      <w:hyperlink w:anchor="SENTENCIA_2016_52" w:history="1">
        <w:r w:rsidRPr="0057104C">
          <w:rPr>
            <w:rStyle w:val="TextoNormalCaracter"/>
          </w:rPr>
          <w:t>52/2016</w:t>
        </w:r>
      </w:hyperlink>
      <w:r>
        <w:t xml:space="preserve">, f. 1; </w:t>
      </w:r>
      <w:hyperlink w:anchor="SENTENCIA_2016_79" w:history="1">
        <w:r w:rsidRPr="0057104C">
          <w:rPr>
            <w:rStyle w:val="TextoNormalCaracter"/>
          </w:rPr>
          <w:t>79/2016</w:t>
        </w:r>
      </w:hyperlink>
      <w:r>
        <w:t xml:space="preserve">, f. 1; </w:t>
      </w:r>
      <w:hyperlink w:anchor="SENTENCIA_2016_90" w:history="1">
        <w:r w:rsidRPr="0057104C">
          <w:rPr>
            <w:rStyle w:val="TextoNormalCaracter"/>
          </w:rPr>
          <w:t>90/2016</w:t>
        </w:r>
      </w:hyperlink>
      <w:r>
        <w:t xml:space="preserve">, ff. 1, 2; </w:t>
      </w:r>
      <w:hyperlink w:anchor="SENTENCIA_2016_104" w:history="1">
        <w:r w:rsidRPr="0057104C">
          <w:rPr>
            <w:rStyle w:val="TextoNormalCaracter"/>
          </w:rPr>
          <w:t>104/2016</w:t>
        </w:r>
      </w:hyperlink>
      <w:r>
        <w:t xml:space="preserve">, f. 1; </w:t>
      </w:r>
      <w:hyperlink w:anchor="SENTENCIA_2016_119" w:history="1">
        <w:r w:rsidRPr="0057104C">
          <w:rPr>
            <w:rStyle w:val="TextoNormalCaracter"/>
          </w:rPr>
          <w:t>119/2016</w:t>
        </w:r>
      </w:hyperlink>
      <w:r>
        <w:t>, f. 3.</w:t>
      </w:r>
    </w:p>
    <w:p w:rsidR="0057104C" w:rsidRDefault="0057104C" w:rsidP="0057104C">
      <w:pPr>
        <w:pStyle w:val="SangriaFrancesaArticulo"/>
      </w:pPr>
      <w:r w:rsidRPr="0057104C">
        <w:rPr>
          <w:rStyle w:val="TextoNormalNegritaCaracter"/>
        </w:rPr>
        <w:t>Disposición adicional septuagésima primera.</w:t>
      </w:r>
      <w:r w:rsidRPr="0057104C">
        <w:rPr>
          <w:rStyle w:val="TextoNormalCaracter"/>
        </w:rPr>
        <w:t>-</w:t>
      </w:r>
      <w:r>
        <w:t xml:space="preserve"> Sentencia </w:t>
      </w:r>
      <w:hyperlink w:anchor="SENTENCIA_2016_99" w:history="1">
        <w:r w:rsidRPr="0057104C">
          <w:rPr>
            <w:rStyle w:val="TextoNormalCaracter"/>
          </w:rPr>
          <w:t>99/2016</w:t>
        </w:r>
      </w:hyperlink>
      <w:r>
        <w:t>, ff. 1, 7, 8, VP.</w:t>
      </w:r>
    </w:p>
    <w:p w:rsidR="0057104C" w:rsidRDefault="0057104C" w:rsidP="0057104C">
      <w:pPr>
        <w:pStyle w:val="SangriaFrancesaArticulo"/>
      </w:pPr>
      <w:r w:rsidRPr="0057104C">
        <w:rPr>
          <w:rStyle w:val="TextoNormalNegritaCaracter"/>
        </w:rPr>
        <w:t>Disposición adicional octava.</w:t>
      </w:r>
      <w:r w:rsidRPr="0057104C">
        <w:rPr>
          <w:rStyle w:val="TextoNormalCaracter"/>
        </w:rPr>
        <w:t>-</w:t>
      </w:r>
      <w:r>
        <w:t xml:space="preserve"> Sentencia </w:t>
      </w:r>
      <w:hyperlink w:anchor="SENTENCIA_2016_99" w:history="1">
        <w:r w:rsidRPr="0057104C">
          <w:rPr>
            <w:rStyle w:val="TextoNormalCaracter"/>
          </w:rPr>
          <w:t>99/2016</w:t>
        </w:r>
      </w:hyperlink>
      <w:r>
        <w:t>, f. 1.</w:t>
      </w:r>
    </w:p>
    <w:p w:rsidR="0057104C" w:rsidRDefault="0057104C" w:rsidP="0057104C">
      <w:pPr>
        <w:pStyle w:val="SangriaFrancesaArticulo"/>
      </w:pPr>
      <w:r w:rsidRPr="0057104C">
        <w:rPr>
          <w:rStyle w:val="TextoNormalNegritaCaracter"/>
        </w:rPr>
        <w:t>Disposición adicional cuadragésima.</w:t>
      </w:r>
      <w:r w:rsidRPr="0057104C">
        <w:rPr>
          <w:rStyle w:val="TextoNormalCaracter"/>
        </w:rPr>
        <w:t>-</w:t>
      </w:r>
      <w:r>
        <w:t xml:space="preserve"> Sentencia </w:t>
      </w:r>
      <w:hyperlink w:anchor="SENTENCIA_2016_99" w:history="1">
        <w:r w:rsidRPr="0057104C">
          <w:rPr>
            <w:rStyle w:val="TextoNormalCaracter"/>
          </w:rPr>
          <w:t>99/2016</w:t>
        </w:r>
      </w:hyperlink>
      <w:r>
        <w:t>, ff. 1 a 5.</w:t>
      </w:r>
    </w:p>
    <w:p w:rsidR="0057104C" w:rsidRDefault="0057104C" w:rsidP="0057104C">
      <w:pPr>
        <w:pStyle w:val="SangriaFrancesaArticulo"/>
      </w:pPr>
      <w:r w:rsidRPr="0057104C">
        <w:rPr>
          <w:rStyle w:val="TextoNormalNegritaCaracter"/>
        </w:rPr>
        <w:t>Disposición final tercera, apartado 2.</w:t>
      </w:r>
      <w:r w:rsidRPr="0057104C">
        <w:rPr>
          <w:rStyle w:val="TextoNormalCaracter"/>
        </w:rPr>
        <w:t>-</w:t>
      </w:r>
      <w:r>
        <w:t xml:space="preserve"> Sentencia </w:t>
      </w:r>
      <w:hyperlink w:anchor="SENTENCIA_2016_119" w:history="1">
        <w:r w:rsidRPr="0057104C">
          <w:rPr>
            <w:rStyle w:val="TextoNormalCaracter"/>
          </w:rPr>
          <w:t>119/2016</w:t>
        </w:r>
      </w:hyperlink>
      <w:r>
        <w:t>, f. 3.</w:t>
      </w:r>
    </w:p>
    <w:p w:rsidR="0057104C" w:rsidRDefault="0057104C" w:rsidP="0057104C">
      <w:pPr>
        <w:pStyle w:val="SangriaFrancesaArticulo"/>
      </w:pPr>
      <w:r w:rsidRPr="0057104C">
        <w:rPr>
          <w:rStyle w:val="TextoNormalNegritaCaracter"/>
        </w:rPr>
        <w:t>Disposición final octava.</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99" w:history="1">
        <w:r w:rsidRPr="0057104C">
          <w:rPr>
            <w:rStyle w:val="TextoNormalCaracter"/>
          </w:rPr>
          <w:t>99/2016</w:t>
        </w:r>
      </w:hyperlink>
      <w:r>
        <w:t>, ff. 1 a 4, 6.</w:t>
      </w:r>
    </w:p>
    <w:p w:rsidR="0057104C" w:rsidRDefault="0057104C" w:rsidP="0057104C">
      <w:pPr>
        <w:pStyle w:val="SangriaFrancesaArticulo"/>
      </w:pPr>
    </w:p>
    <w:p w:rsidR="0057104C" w:rsidRDefault="0057104C" w:rsidP="0057104C">
      <w:pPr>
        <w:pStyle w:val="TextoNormalNegritaCursivandice"/>
      </w:pPr>
      <w:r>
        <w:t>Ley 10/2012, de 20 de noviembre. Se regulan determinadas tasas en el ámbito de la Administración de justicia y del Instituto Nacional de Toxicología y Ciencias Forenses</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Auto </w:t>
      </w:r>
      <w:hyperlink w:anchor="AUTO_2016_75" w:history="1">
        <w:r w:rsidRPr="0057104C">
          <w:rPr>
            <w:rStyle w:val="TextoNormalCaracter"/>
          </w:rPr>
          <w:t>75/2016</w:t>
        </w:r>
      </w:hyperlink>
      <w:r>
        <w:t>, f. 1.</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Auto </w:t>
      </w:r>
      <w:hyperlink w:anchor="AUTO_2016_75" w:history="1">
        <w:r w:rsidRPr="0057104C">
          <w:rPr>
            <w:rStyle w:val="TextoNormalCaracter"/>
          </w:rPr>
          <w:t>75/2016</w:t>
        </w:r>
      </w:hyperlink>
      <w:r>
        <w:t>.</w:t>
      </w:r>
    </w:p>
    <w:p w:rsidR="0057104C" w:rsidRDefault="0057104C" w:rsidP="0057104C">
      <w:pPr>
        <w:pStyle w:val="SangriaFrancesaArticulo"/>
      </w:pPr>
      <w:r w:rsidRPr="0057104C">
        <w:rPr>
          <w:rStyle w:val="TextoNormalNegritaCaracter"/>
        </w:rPr>
        <w:t>Artículo 4.2 a).</w:t>
      </w:r>
      <w:r w:rsidRPr="0057104C">
        <w:rPr>
          <w:rStyle w:val="TextoNormalCaracter"/>
        </w:rPr>
        <w:t>-</w:t>
      </w:r>
      <w:r>
        <w:t xml:space="preserve"> Auto </w:t>
      </w:r>
      <w:hyperlink w:anchor="AUTO_2016_75" w:history="1">
        <w:r w:rsidRPr="0057104C">
          <w:rPr>
            <w:rStyle w:val="TextoNormalCaracter"/>
          </w:rPr>
          <w:t>75/2016</w:t>
        </w:r>
      </w:hyperlink>
      <w:r>
        <w:t>, f. 1.</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Auto </w:t>
      </w:r>
      <w:hyperlink w:anchor="AUTO_2016_75" w:history="1">
        <w:r w:rsidRPr="0057104C">
          <w:rPr>
            <w:rStyle w:val="TextoNormalCaracter"/>
          </w:rPr>
          <w:t>75/2016</w:t>
        </w:r>
      </w:hyperlink>
      <w:r>
        <w:t>, f. 1.</w:t>
      </w:r>
    </w:p>
    <w:p w:rsidR="0057104C" w:rsidRDefault="0057104C" w:rsidP="0057104C">
      <w:pPr>
        <w:pStyle w:val="SangriaFrancesaArticulo"/>
      </w:pPr>
    </w:p>
    <w:p w:rsidR="0057104C" w:rsidRDefault="0057104C" w:rsidP="0057104C">
      <w:pPr>
        <w:pStyle w:val="TextoNormalNegritaCursivandice"/>
      </w:pPr>
      <w:r>
        <w:t>Ley 15/2012, de 27 de diciembre. Medidas fiscales para la sostenibilidad energética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74" w:history="1">
        <w:r w:rsidRPr="0057104C">
          <w:rPr>
            <w:rStyle w:val="TextoNormalCaracter"/>
          </w:rPr>
          <w:t>74/2016</w:t>
        </w:r>
      </w:hyperlink>
      <w:r>
        <w:t>, f. 3, VP.</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74" w:history="1">
        <w:r w:rsidRPr="0057104C">
          <w:rPr>
            <w:rStyle w:val="TextoNormalCaracter"/>
          </w:rPr>
          <w:t>74/2016</w:t>
        </w:r>
      </w:hyperlink>
      <w:r>
        <w:t>, f. 3.</w:t>
      </w:r>
    </w:p>
    <w:p w:rsidR="0057104C" w:rsidRDefault="0057104C" w:rsidP="0057104C">
      <w:pPr>
        <w:pStyle w:val="SangriaFrancesaArticulo"/>
      </w:pPr>
      <w:r w:rsidRPr="0057104C">
        <w:rPr>
          <w:rStyle w:val="TextoNormalNegritaCaracter"/>
        </w:rPr>
        <w:t>Artículos 12 a 18 quater.</w:t>
      </w:r>
      <w:r w:rsidRPr="0057104C">
        <w:rPr>
          <w:rStyle w:val="TextoNormalCaracter"/>
        </w:rPr>
        <w:t>-</w:t>
      </w:r>
      <w:r>
        <w:t xml:space="preserve"> Sentencia </w:t>
      </w:r>
      <w:hyperlink w:anchor="SENTENCIA_2016_74" w:history="1">
        <w:r w:rsidRPr="0057104C">
          <w:rPr>
            <w:rStyle w:val="TextoNormalCaracter"/>
          </w:rPr>
          <w:t>74/2016</w:t>
        </w:r>
      </w:hyperlink>
      <w:r>
        <w:t>, f. 1.</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74" w:history="1">
        <w:r w:rsidRPr="0057104C">
          <w:rPr>
            <w:rStyle w:val="TextoNormalCaracter"/>
          </w:rPr>
          <w:t>74/2016</w:t>
        </w:r>
      </w:hyperlink>
      <w:r>
        <w:t>, ff. 3, 4.</w:t>
      </w:r>
    </w:p>
    <w:p w:rsidR="0057104C" w:rsidRDefault="0057104C" w:rsidP="0057104C">
      <w:pPr>
        <w:pStyle w:val="SangriaFrancesaArticulo"/>
      </w:pPr>
      <w:r w:rsidRPr="0057104C">
        <w:rPr>
          <w:rStyle w:val="TextoNormalNegritaCaracter"/>
        </w:rPr>
        <w:t>Artículo 15.1.</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r w:rsidRPr="0057104C">
        <w:rPr>
          <w:rStyle w:val="TextoNormalNegritaCaracter"/>
        </w:rPr>
        <w:t>Artículo 15.1 b).</w:t>
      </w:r>
      <w:r w:rsidRPr="0057104C">
        <w:rPr>
          <w:rStyle w:val="TextoNormalCaracter"/>
        </w:rPr>
        <w:t>-</w:t>
      </w:r>
      <w:r>
        <w:t xml:space="preserve"> Sentencia </w:t>
      </w:r>
      <w:hyperlink w:anchor="SENTENCIA_2016_74" w:history="1">
        <w:r w:rsidRPr="0057104C">
          <w:rPr>
            <w:rStyle w:val="TextoNormalCaracter"/>
          </w:rPr>
          <w:t>74/2016</w:t>
        </w:r>
      </w:hyperlink>
      <w:r>
        <w:t>, f. 4.</w:t>
      </w:r>
    </w:p>
    <w:p w:rsidR="0057104C" w:rsidRDefault="0057104C" w:rsidP="0057104C">
      <w:pPr>
        <w:pStyle w:val="SangriaFrancesaArticulo"/>
      </w:pPr>
      <w:r w:rsidRPr="0057104C">
        <w:rPr>
          <w:rStyle w:val="TextoNormalNegritaCaracter"/>
        </w:rPr>
        <w:t>Artículoi 15.1 a).</w:t>
      </w:r>
      <w:r w:rsidRPr="0057104C">
        <w:rPr>
          <w:rStyle w:val="TextoNormalCaracter"/>
        </w:rPr>
        <w:t>-</w:t>
      </w:r>
      <w:r>
        <w:t xml:space="preserve"> Sentencia </w:t>
      </w:r>
      <w:hyperlink w:anchor="SENTENCIA_2016_74" w:history="1">
        <w:r w:rsidRPr="0057104C">
          <w:rPr>
            <w:rStyle w:val="TextoNormalCaracter"/>
          </w:rPr>
          <w:t>74/2016</w:t>
        </w:r>
      </w:hyperlink>
      <w:r>
        <w:t>, f. 1.</w:t>
      </w:r>
    </w:p>
    <w:p w:rsidR="0057104C" w:rsidRDefault="0057104C" w:rsidP="0057104C">
      <w:pPr>
        <w:pStyle w:val="SangriaFrancesaArticulo"/>
      </w:pPr>
      <w:r w:rsidRPr="0057104C">
        <w:rPr>
          <w:rStyle w:val="TextoNormalNegritaCaracter"/>
        </w:rPr>
        <w:t>Artículo 15.2.</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74" w:history="1">
        <w:r w:rsidRPr="0057104C">
          <w:rPr>
            <w:rStyle w:val="TextoNormalCaracter"/>
          </w:rPr>
          <w:t>74/2016</w:t>
        </w:r>
      </w:hyperlink>
      <w:r>
        <w:t>, f. 3.</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 </w:t>
      </w:r>
      <w:hyperlink w:anchor="SENTENCIA_2016_74" w:history="1">
        <w:r w:rsidRPr="0057104C">
          <w:rPr>
            <w:rStyle w:val="TextoNormalCaracter"/>
          </w:rPr>
          <w:t>74/2016</w:t>
        </w:r>
      </w:hyperlink>
      <w:r>
        <w:t>, ff. 3, 4.</w:t>
      </w:r>
    </w:p>
    <w:p w:rsidR="0057104C" w:rsidRDefault="0057104C" w:rsidP="0057104C">
      <w:pPr>
        <w:pStyle w:val="SangriaFrancesaArticulo"/>
      </w:pPr>
      <w:r w:rsidRPr="0057104C">
        <w:rPr>
          <w:rStyle w:val="TextoNormalNegritaCaracter"/>
        </w:rPr>
        <w:t>Artículo 17 bis.</w:t>
      </w:r>
      <w:r w:rsidRPr="0057104C">
        <w:rPr>
          <w:rStyle w:val="TextoNormalCaracter"/>
        </w:rPr>
        <w:t>-</w:t>
      </w:r>
      <w:r>
        <w:t xml:space="preserve"> Sentencia </w:t>
      </w:r>
      <w:hyperlink w:anchor="SENTENCIA_2016_74" w:history="1">
        <w:r w:rsidRPr="0057104C">
          <w:rPr>
            <w:rStyle w:val="TextoNormalCaracter"/>
          </w:rPr>
          <w:t>74/2016</w:t>
        </w:r>
      </w:hyperlink>
      <w:r>
        <w:t>, ff. 3, 4.</w:t>
      </w:r>
    </w:p>
    <w:p w:rsidR="0057104C" w:rsidRDefault="0057104C" w:rsidP="0057104C">
      <w:pPr>
        <w:pStyle w:val="SangriaFrancesaArticulo"/>
      </w:pPr>
      <w:r w:rsidRPr="0057104C">
        <w:rPr>
          <w:rStyle w:val="TextoNormalNegritaCaracter"/>
        </w:rPr>
        <w:t>Artículo 17.1.</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r w:rsidRPr="0057104C">
        <w:rPr>
          <w:rStyle w:val="TextoNormalNegritaCaracter"/>
        </w:rPr>
        <w:t>Artículo 19.</w:t>
      </w:r>
      <w:r w:rsidRPr="0057104C">
        <w:rPr>
          <w:rStyle w:val="TextoNormalCaracter"/>
        </w:rPr>
        <w:t>-</w:t>
      </w:r>
      <w:r>
        <w:t xml:space="preserve"> Sentencia </w:t>
      </w:r>
      <w:hyperlink w:anchor="SENTENCIA_2016_74" w:history="1">
        <w:r w:rsidRPr="0057104C">
          <w:rPr>
            <w:rStyle w:val="TextoNormalCaracter"/>
          </w:rPr>
          <w:t>74/2016</w:t>
        </w:r>
      </w:hyperlink>
      <w:r>
        <w:t>, f. 3.</w:t>
      </w:r>
    </w:p>
    <w:p w:rsidR="0057104C" w:rsidRDefault="0057104C" w:rsidP="0057104C">
      <w:pPr>
        <w:pStyle w:val="SangriaFrancesaArticulo"/>
      </w:pPr>
    </w:p>
    <w:p w:rsidR="0057104C" w:rsidRDefault="0057104C" w:rsidP="0057104C">
      <w:pPr>
        <w:pStyle w:val="TextoNormalNegritaCursivandice"/>
      </w:pPr>
      <w:r>
        <w:t>Ley 17/2012, de 27 de diciembre. Presupuestos Generales del Estado para el año 2013</w:t>
      </w:r>
    </w:p>
    <w:p w:rsidR="0057104C" w:rsidRDefault="0057104C" w:rsidP="0057104C">
      <w:pPr>
        <w:pStyle w:val="SangriaFrancesaArticulo"/>
      </w:pPr>
      <w:r w:rsidRPr="0057104C">
        <w:rPr>
          <w:rStyle w:val="TextoNormalNegritaCaracter"/>
        </w:rPr>
        <w:t>Artículo 17.8.</w:t>
      </w:r>
      <w:r w:rsidRPr="0057104C">
        <w:rPr>
          <w:rStyle w:val="TextoNormalCaracter"/>
        </w:rPr>
        <w:t>-</w:t>
      </w:r>
      <w:r>
        <w:t xml:space="preserve"> Autos </w:t>
      </w:r>
      <w:hyperlink w:anchor="AUTO_2016_9" w:history="1">
        <w:r w:rsidRPr="0057104C">
          <w:rPr>
            <w:rStyle w:val="TextoNormalCaracter"/>
          </w:rPr>
          <w:t>9/2016</w:t>
        </w:r>
      </w:hyperlink>
      <w:r>
        <w:t xml:space="preserve">, ff. 1, 2; </w:t>
      </w:r>
      <w:hyperlink w:anchor="AUTO_2016_39" w:history="1">
        <w:r w:rsidRPr="0057104C">
          <w:rPr>
            <w:rStyle w:val="TextoNormalCaracter"/>
          </w:rPr>
          <w:t>39/2016</w:t>
        </w:r>
      </w:hyperlink>
      <w:r>
        <w:t xml:space="preserve">, ff. 1, 2; </w:t>
      </w:r>
      <w:hyperlink w:anchor="AUTO_2016_40" w:history="1">
        <w:r w:rsidRPr="0057104C">
          <w:rPr>
            <w:rStyle w:val="TextoNormalCaracter"/>
          </w:rPr>
          <w:t>40/2016</w:t>
        </w:r>
      </w:hyperlink>
      <w:r>
        <w:t>, ff. 1, 2.</w:t>
      </w:r>
    </w:p>
    <w:p w:rsidR="0057104C" w:rsidRDefault="0057104C" w:rsidP="0057104C">
      <w:pPr>
        <w:pStyle w:val="SangriaFrancesaArticulo"/>
      </w:pPr>
      <w:r w:rsidRPr="0057104C">
        <w:rPr>
          <w:rStyle w:val="TextoNormalNegritaCaracter"/>
        </w:rPr>
        <w:t>Artículo 22.2.</w:t>
      </w:r>
      <w:r w:rsidRPr="0057104C">
        <w:rPr>
          <w:rStyle w:val="TextoNormalCaracter"/>
        </w:rPr>
        <w:t>-</w:t>
      </w:r>
      <w:r>
        <w:t xml:space="preserve"> Auto </w:t>
      </w:r>
      <w:hyperlink w:anchor="AUTO_2016_83" w:history="1">
        <w:r w:rsidRPr="0057104C">
          <w:rPr>
            <w:rStyle w:val="TextoNormalCaracter"/>
          </w:rPr>
          <w:t>83/2016</w:t>
        </w:r>
      </w:hyperlink>
      <w:r>
        <w:t>, f. 5.</w:t>
      </w:r>
    </w:p>
    <w:p w:rsidR="0057104C" w:rsidRDefault="0057104C" w:rsidP="0057104C">
      <w:pPr>
        <w:pStyle w:val="SangriaFrancesaArticulo"/>
      </w:pPr>
      <w:r w:rsidRPr="0057104C">
        <w:rPr>
          <w:rStyle w:val="TextoNormalNegritaCaracter"/>
        </w:rPr>
        <w:t>Artículo 22.10.</w:t>
      </w:r>
      <w:r w:rsidRPr="0057104C">
        <w:rPr>
          <w:rStyle w:val="TextoNormalCaracter"/>
        </w:rPr>
        <w:t>-</w:t>
      </w:r>
      <w:r>
        <w:t xml:space="preserve"> Auto </w:t>
      </w:r>
      <w:hyperlink w:anchor="AUTO_2016_83" w:history="1">
        <w:r w:rsidRPr="0057104C">
          <w:rPr>
            <w:rStyle w:val="TextoNormalCaracter"/>
          </w:rPr>
          <w:t>83/2016</w:t>
        </w:r>
      </w:hyperlink>
      <w:r>
        <w:t>, f. 5.</w:t>
      </w:r>
    </w:p>
    <w:p w:rsidR="0057104C" w:rsidRDefault="0057104C" w:rsidP="0057104C">
      <w:pPr>
        <w:pStyle w:val="SangriaFrancesaArticulo"/>
      </w:pPr>
      <w:r w:rsidRPr="0057104C">
        <w:rPr>
          <w:rStyle w:val="TextoNormalNegritaCaracter"/>
        </w:rPr>
        <w:t>Disposición adicional octogésima cuarta.</w:t>
      </w:r>
      <w:r w:rsidRPr="0057104C">
        <w:rPr>
          <w:rStyle w:val="TextoNormalCaracter"/>
        </w:rPr>
        <w:t>-</w:t>
      </w:r>
      <w:r>
        <w:t xml:space="preserve"> Sentencia </w:t>
      </w:r>
      <w:hyperlink w:anchor="SENTENCIA_2016_99" w:history="1">
        <w:r w:rsidRPr="0057104C">
          <w:rPr>
            <w:rStyle w:val="TextoNormalCaracter"/>
          </w:rPr>
          <w:t>99/2016</w:t>
        </w:r>
      </w:hyperlink>
      <w:r>
        <w:t>, f. 2.</w:t>
      </w:r>
    </w:p>
    <w:p w:rsidR="0057104C" w:rsidRDefault="0057104C" w:rsidP="0057104C">
      <w:pPr>
        <w:pStyle w:val="SangriaFrancesaArticulo"/>
      </w:pPr>
      <w:r w:rsidRPr="0057104C">
        <w:rPr>
          <w:rStyle w:val="TextoNormalNegritaCaracter"/>
        </w:rPr>
        <w:t>Disposición adicional septuagésima segunda.</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Disposición final decimosexta.</w:t>
      </w:r>
      <w:r w:rsidRPr="0057104C">
        <w:rPr>
          <w:rStyle w:val="TextoNormalCaracter"/>
        </w:rPr>
        <w:t>-</w:t>
      </w:r>
      <w:r>
        <w:t xml:space="preserve"> Sentencias </w:t>
      </w:r>
      <w:hyperlink w:anchor="SENTENCIA_2016_18" w:history="1">
        <w:r w:rsidRPr="0057104C">
          <w:rPr>
            <w:rStyle w:val="TextoNormalCaracter"/>
          </w:rPr>
          <w:t>18/2016</w:t>
        </w:r>
      </w:hyperlink>
      <w:r>
        <w:t xml:space="preserve">, f. 2; </w:t>
      </w:r>
      <w:hyperlink w:anchor="SENTENCIA_2016_36" w:history="1">
        <w:r w:rsidRPr="0057104C">
          <w:rPr>
            <w:rStyle w:val="TextoNormalCaracter"/>
          </w:rPr>
          <w:t>36/2016</w:t>
        </w:r>
      </w:hyperlink>
      <w:r>
        <w:t>, f. 1.</w:t>
      </w:r>
    </w:p>
    <w:p w:rsidR="0057104C" w:rsidRDefault="0057104C" w:rsidP="0057104C">
      <w:pPr>
        <w:pStyle w:val="SangriaFrancesaArticulo"/>
      </w:pPr>
    </w:p>
    <w:p w:rsidR="0057104C" w:rsidRDefault="0057104C" w:rsidP="0057104C">
      <w:pPr>
        <w:pStyle w:val="TextoNormalNegritaCursivandice"/>
      </w:pPr>
      <w:r>
        <w:t>Ley 1/2013, de 14 de mayo. Medidas para reforzar la protección a los deudores hipotecarios, reestructuración de deuda y alquiler social</w:t>
      </w:r>
    </w:p>
    <w:p w:rsidR="0057104C" w:rsidRDefault="0057104C" w:rsidP="0057104C">
      <w:pPr>
        <w:pStyle w:val="SangriaFrancesaArticulo"/>
      </w:pPr>
      <w:r w:rsidRPr="0057104C">
        <w:rPr>
          <w:rStyle w:val="TextoNormalNegritaCaracter"/>
        </w:rPr>
        <w:t>Disposición transitoria cuarta.</w:t>
      </w:r>
      <w:r w:rsidRPr="0057104C">
        <w:rPr>
          <w:rStyle w:val="TextoNormalCaracter"/>
        </w:rPr>
        <w:t>-</w:t>
      </w:r>
      <w:r>
        <w:t xml:space="preserve"> Sentencia </w:t>
      </w:r>
      <w:hyperlink w:anchor="SENTENCIA_2016_49" w:history="1">
        <w:r w:rsidRPr="0057104C">
          <w:rPr>
            <w:rStyle w:val="TextoNormalCaracter"/>
          </w:rPr>
          <w:t>49/2016</w:t>
        </w:r>
      </w:hyperlink>
      <w:r>
        <w:t>, f. 1.</w:t>
      </w:r>
    </w:p>
    <w:p w:rsidR="0057104C" w:rsidRDefault="0057104C" w:rsidP="0057104C">
      <w:pPr>
        <w:pStyle w:val="SangriaIzquierdaArticulo"/>
      </w:pPr>
      <w:r>
        <w:t xml:space="preserve">Auto </w:t>
      </w:r>
      <w:hyperlink w:anchor="AUTO_2016_42" w:history="1">
        <w:r w:rsidRPr="0057104C">
          <w:rPr>
            <w:rStyle w:val="TextoNormalCaracter"/>
          </w:rPr>
          <w:t>42/2016</w:t>
        </w:r>
      </w:hyperlink>
      <w:r>
        <w:t>, ff. 1, 4.</w:t>
      </w:r>
    </w:p>
    <w:p w:rsidR="0057104C" w:rsidRDefault="0057104C" w:rsidP="0057104C">
      <w:pPr>
        <w:pStyle w:val="SangriaFrancesaArticulo"/>
      </w:pPr>
      <w:r w:rsidRPr="0057104C">
        <w:rPr>
          <w:rStyle w:val="TextoNormalNegritaCaracter"/>
        </w:rPr>
        <w:t>Disposición final cuarta.</w:t>
      </w:r>
      <w:r w:rsidRPr="0057104C">
        <w:rPr>
          <w:rStyle w:val="TextoNormalCaracter"/>
        </w:rPr>
        <w:t>-</w:t>
      </w:r>
      <w:r>
        <w:t xml:space="preserve"> Auto </w:t>
      </w:r>
      <w:hyperlink w:anchor="AUTO_2016_42" w:history="1">
        <w:r w:rsidRPr="0057104C">
          <w:rPr>
            <w:rStyle w:val="TextoNormalCaracter"/>
          </w:rPr>
          <w:t>42/2016</w:t>
        </w:r>
      </w:hyperlink>
      <w:r>
        <w:t>, f. 4.</w:t>
      </w:r>
    </w:p>
    <w:p w:rsidR="0057104C" w:rsidRDefault="0057104C" w:rsidP="0057104C">
      <w:pPr>
        <w:pStyle w:val="SangriaFrancesaArticulo"/>
      </w:pPr>
    </w:p>
    <w:p w:rsidR="0057104C" w:rsidRDefault="0057104C" w:rsidP="0057104C">
      <w:pPr>
        <w:pStyle w:val="TextoNormalNegritaCursivandice"/>
      </w:pPr>
      <w:r>
        <w:t>Ley 2/2013, de 29 de mayo. Protección y uso sostenible del litoral y de modificación de la Ley 22/1988, de 28 de julio, de Costas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0" w:history="1">
        <w:r w:rsidRPr="0057104C">
          <w:rPr>
            <w:rStyle w:val="TextoNormalCaracter"/>
          </w:rPr>
          <w:t>100/2016</w:t>
        </w:r>
      </w:hyperlink>
      <w:r>
        <w:t>, f. 2.</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57" w:history="1">
        <w:r w:rsidRPr="0057104C">
          <w:rPr>
            <w:rStyle w:val="TextoNormalCaracter"/>
          </w:rPr>
          <w:t>57/2016</w:t>
        </w:r>
      </w:hyperlink>
      <w:r>
        <w:t>, f. 4.</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Sentencias </w:t>
      </w:r>
      <w:hyperlink w:anchor="SENTENCIA_2016_6" w:history="1">
        <w:r w:rsidRPr="0057104C">
          <w:rPr>
            <w:rStyle w:val="TextoNormalCaracter"/>
          </w:rPr>
          <w:t>6/2016</w:t>
        </w:r>
      </w:hyperlink>
      <w:r>
        <w:t xml:space="preserve">, ff. 1, 3; </w:t>
      </w:r>
      <w:hyperlink w:anchor="SENTENCIA_2016_57" w:history="1">
        <w:r w:rsidRPr="0057104C">
          <w:rPr>
            <w:rStyle w:val="TextoNormalCaracter"/>
          </w:rPr>
          <w:t>57/2016</w:t>
        </w:r>
      </w:hyperlink>
      <w:r>
        <w:t xml:space="preserve">, ff. 1, 3; </w:t>
      </w:r>
      <w:hyperlink w:anchor="SENTENCIA_2016_100" w:history="1">
        <w:r w:rsidRPr="0057104C">
          <w:rPr>
            <w:rStyle w:val="TextoNormalCaracter"/>
          </w:rPr>
          <w:t>100/2016</w:t>
        </w:r>
      </w:hyperlink>
      <w:r>
        <w:t>, f. 5.</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Sentencias </w:t>
      </w:r>
      <w:hyperlink w:anchor="SENTENCIA_2016_57" w:history="1">
        <w:r w:rsidRPr="0057104C">
          <w:rPr>
            <w:rStyle w:val="TextoNormalCaracter"/>
          </w:rPr>
          <w:t>57/2016</w:t>
        </w:r>
      </w:hyperlink>
      <w:r>
        <w:t xml:space="preserve">, ff. 1, 4; </w:t>
      </w:r>
      <w:hyperlink w:anchor="SENTENCIA_2016_100" w:history="1">
        <w:r w:rsidRPr="0057104C">
          <w:rPr>
            <w:rStyle w:val="TextoNormalCaracter"/>
          </w:rPr>
          <w:t>100/2016</w:t>
        </w:r>
      </w:hyperlink>
      <w:r>
        <w:t>, f. 2.</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Sentencia </w:t>
      </w:r>
      <w:hyperlink w:anchor="SENTENCIA_2016_6" w:history="1">
        <w:r w:rsidRPr="0057104C">
          <w:rPr>
            <w:rStyle w:val="TextoNormalCaracter"/>
          </w:rPr>
          <w:t>6/2016</w:t>
        </w:r>
      </w:hyperlink>
      <w:r>
        <w:t>, ff. 1, 4.</w:t>
      </w:r>
    </w:p>
    <w:p w:rsidR="0057104C" w:rsidRDefault="0057104C" w:rsidP="0057104C">
      <w:pPr>
        <w:pStyle w:val="SangriaFrancesaArticulo"/>
      </w:pPr>
      <w:r w:rsidRPr="0057104C">
        <w:rPr>
          <w:rStyle w:val="TextoNormalNegritaCaracter"/>
        </w:rPr>
        <w:t>Artículo 1.12.</w:t>
      </w:r>
      <w:r w:rsidRPr="0057104C">
        <w:rPr>
          <w:rStyle w:val="TextoNormalCaracter"/>
        </w:rPr>
        <w:t>-</w:t>
      </w:r>
      <w:r>
        <w:t xml:space="preserve"> Sentencias </w:t>
      </w:r>
      <w:hyperlink w:anchor="SENTENCIA_2016_6" w:history="1">
        <w:r w:rsidRPr="0057104C">
          <w:rPr>
            <w:rStyle w:val="TextoNormalCaracter"/>
          </w:rPr>
          <w:t>6/2016</w:t>
        </w:r>
      </w:hyperlink>
      <w:r>
        <w:t xml:space="preserve">, ff. 1, 4; </w:t>
      </w:r>
      <w:hyperlink w:anchor="SENTENCIA_2016_28" w:history="1">
        <w:r w:rsidRPr="0057104C">
          <w:rPr>
            <w:rStyle w:val="TextoNormalCaracter"/>
          </w:rPr>
          <w:t>28/2016</w:t>
        </w:r>
      </w:hyperlink>
      <w:r>
        <w:t xml:space="preserve">, ff. 1, 2; </w:t>
      </w:r>
      <w:hyperlink w:anchor="SENTENCIA_2016_57" w:history="1">
        <w:r w:rsidRPr="0057104C">
          <w:rPr>
            <w:rStyle w:val="TextoNormalCaracter"/>
          </w:rPr>
          <w:t>57/2016</w:t>
        </w:r>
      </w:hyperlink>
      <w:r>
        <w:t>, f. 1.</w:t>
      </w:r>
    </w:p>
    <w:p w:rsidR="0057104C" w:rsidRDefault="0057104C" w:rsidP="0057104C">
      <w:pPr>
        <w:pStyle w:val="SangriaFrancesaArticulo"/>
      </w:pPr>
      <w:r w:rsidRPr="0057104C">
        <w:rPr>
          <w:rStyle w:val="TextoNormalNegritaCaracter"/>
        </w:rPr>
        <w:t>Artículo 1.16.</w:t>
      </w:r>
      <w:r w:rsidRPr="0057104C">
        <w:rPr>
          <w:rStyle w:val="TextoNormalCaracter"/>
        </w:rPr>
        <w:t>-</w:t>
      </w:r>
      <w:r>
        <w:t xml:space="preserve"> Sentencias </w:t>
      </w:r>
      <w:hyperlink w:anchor="SENTENCIA_2016_28" w:history="1">
        <w:r w:rsidRPr="0057104C">
          <w:rPr>
            <w:rStyle w:val="TextoNormalCaracter"/>
          </w:rPr>
          <w:t>28/2016</w:t>
        </w:r>
      </w:hyperlink>
      <w:r>
        <w:t xml:space="preserve">, ff. 1, 4; </w:t>
      </w:r>
      <w:hyperlink w:anchor="SENTENCIA_2016_57" w:history="1">
        <w:r w:rsidRPr="0057104C">
          <w:rPr>
            <w:rStyle w:val="TextoNormalCaracter"/>
          </w:rPr>
          <w:t>57/2016</w:t>
        </w:r>
      </w:hyperlink>
      <w:r>
        <w:t>, ff. 1, 6.</w:t>
      </w:r>
    </w:p>
    <w:p w:rsidR="0057104C" w:rsidRDefault="0057104C" w:rsidP="0057104C">
      <w:pPr>
        <w:pStyle w:val="SangriaFrancesaArticulo"/>
      </w:pPr>
      <w:r w:rsidRPr="0057104C">
        <w:rPr>
          <w:rStyle w:val="TextoNormalNegritaCaracter"/>
        </w:rPr>
        <w:t>Artículo 1.18.</w:t>
      </w:r>
      <w:r w:rsidRPr="0057104C">
        <w:rPr>
          <w:rStyle w:val="TextoNormalCaracter"/>
        </w:rPr>
        <w:t>-</w:t>
      </w:r>
      <w:r>
        <w:t xml:space="preserve"> Sentencia </w:t>
      </w:r>
      <w:hyperlink w:anchor="SENTENCIA_2016_6" w:history="1">
        <w:r w:rsidRPr="0057104C">
          <w:rPr>
            <w:rStyle w:val="TextoNormalCaracter"/>
          </w:rPr>
          <w:t>6/2016</w:t>
        </w:r>
      </w:hyperlink>
      <w:r>
        <w:t>, ff. 1, 4.</w:t>
      </w:r>
    </w:p>
    <w:p w:rsidR="0057104C" w:rsidRDefault="0057104C" w:rsidP="0057104C">
      <w:pPr>
        <w:pStyle w:val="SangriaFrancesaArticulo"/>
      </w:pPr>
      <w:r w:rsidRPr="0057104C">
        <w:rPr>
          <w:rStyle w:val="TextoNormalNegritaCaracter"/>
        </w:rPr>
        <w:t>Artículo 1.38.</w:t>
      </w:r>
      <w:r w:rsidRPr="0057104C">
        <w:rPr>
          <w:rStyle w:val="TextoNormalCaracter"/>
        </w:rPr>
        <w:t>-</w:t>
      </w:r>
      <w:r>
        <w:t xml:space="preserve"> Sentencias </w:t>
      </w:r>
      <w:hyperlink w:anchor="SENTENCIA_2016_6" w:history="1">
        <w:r w:rsidRPr="0057104C">
          <w:rPr>
            <w:rStyle w:val="TextoNormalCaracter"/>
          </w:rPr>
          <w:t>6/2016</w:t>
        </w:r>
      </w:hyperlink>
      <w:r>
        <w:t xml:space="preserve">, ff. 1, 4; </w:t>
      </w:r>
      <w:hyperlink w:anchor="SENTENCIA_2016_28" w:history="1">
        <w:r w:rsidRPr="0057104C">
          <w:rPr>
            <w:rStyle w:val="TextoNormalCaracter"/>
          </w:rPr>
          <w:t>28/2016</w:t>
        </w:r>
      </w:hyperlink>
      <w:r>
        <w:t xml:space="preserve">, ff. 1, 5; </w:t>
      </w:r>
      <w:hyperlink w:anchor="SENTENCIA_2016_57" w:history="1">
        <w:r w:rsidRPr="0057104C">
          <w:rPr>
            <w:rStyle w:val="TextoNormalCaracter"/>
          </w:rPr>
          <w:t>57/2016</w:t>
        </w:r>
      </w:hyperlink>
      <w:r>
        <w:t>, ff. 1, 6, 7.</w:t>
      </w:r>
    </w:p>
    <w:p w:rsidR="0057104C" w:rsidRDefault="0057104C" w:rsidP="0057104C">
      <w:pPr>
        <w:pStyle w:val="SangriaFrancesaArticulo"/>
      </w:pPr>
      <w:r w:rsidRPr="0057104C">
        <w:rPr>
          <w:rStyle w:val="TextoNormalNegritaCaracter"/>
        </w:rPr>
        <w:t>Artículo 1.39.</w:t>
      </w:r>
      <w:r w:rsidRPr="0057104C">
        <w:rPr>
          <w:rStyle w:val="TextoNormalCaracter"/>
        </w:rPr>
        <w:t>-</w:t>
      </w:r>
      <w:r>
        <w:t xml:space="preserve"> Sentencia </w:t>
      </w:r>
      <w:hyperlink w:anchor="SENTENCIA_2016_100" w:history="1">
        <w:r w:rsidRPr="0057104C">
          <w:rPr>
            <w:rStyle w:val="TextoNormalCaracter"/>
          </w:rPr>
          <w:t>100/2016</w:t>
        </w:r>
      </w:hyperlink>
      <w:r>
        <w:t>, ff. 2, 5.</w:t>
      </w:r>
    </w:p>
    <w:p w:rsidR="0057104C" w:rsidRDefault="0057104C" w:rsidP="0057104C">
      <w:pPr>
        <w:pStyle w:val="SangriaFrancesaArticulo"/>
      </w:pPr>
      <w:r w:rsidRPr="0057104C">
        <w:rPr>
          <w:rStyle w:val="TextoNormalNegritaCaracter"/>
        </w:rPr>
        <w:t>Artículo 1.40.</w:t>
      </w:r>
      <w:r w:rsidRPr="0057104C">
        <w:rPr>
          <w:rStyle w:val="TextoNormalCaracter"/>
        </w:rPr>
        <w:t>-</w:t>
      </w:r>
      <w:r>
        <w:t xml:space="preserve"> Sentencias </w:t>
      </w:r>
      <w:hyperlink w:anchor="SENTENCIA_2016_57" w:history="1">
        <w:r w:rsidRPr="0057104C">
          <w:rPr>
            <w:rStyle w:val="TextoNormalCaracter"/>
          </w:rPr>
          <w:t>57/2016</w:t>
        </w:r>
      </w:hyperlink>
      <w:r>
        <w:t xml:space="preserve">, ff. 1, 8; </w:t>
      </w:r>
      <w:hyperlink w:anchor="SENTENCIA_2016_100" w:history="1">
        <w:r w:rsidRPr="0057104C">
          <w:rPr>
            <w:rStyle w:val="TextoNormalCaracter"/>
          </w:rPr>
          <w:t>100/2016</w:t>
        </w:r>
      </w:hyperlink>
      <w:r>
        <w:t>, f. 2.</w:t>
      </w:r>
    </w:p>
    <w:p w:rsidR="0057104C" w:rsidRDefault="0057104C" w:rsidP="0057104C">
      <w:pPr>
        <w:pStyle w:val="SangriaFrancesaArticulo"/>
      </w:pPr>
      <w:r w:rsidRPr="0057104C">
        <w:rPr>
          <w:rStyle w:val="TextoNormalNegritaCaracter"/>
        </w:rPr>
        <w:t>Artículo 1.41.</w:t>
      </w:r>
      <w:r w:rsidRPr="0057104C">
        <w:rPr>
          <w:rStyle w:val="TextoNormalCaracter"/>
        </w:rPr>
        <w:t>-</w:t>
      </w:r>
      <w:r>
        <w:t xml:space="preserve"> Sentencias </w:t>
      </w:r>
      <w:hyperlink w:anchor="SENTENCIA_2016_28" w:history="1">
        <w:r w:rsidRPr="0057104C">
          <w:rPr>
            <w:rStyle w:val="TextoNormalCaracter"/>
          </w:rPr>
          <w:t>28/2016</w:t>
        </w:r>
      </w:hyperlink>
      <w:r>
        <w:t xml:space="preserve">, ff. 1, 6; </w:t>
      </w:r>
      <w:hyperlink w:anchor="SENTENCIA_2016_100" w:history="1">
        <w:r w:rsidRPr="0057104C">
          <w:rPr>
            <w:rStyle w:val="TextoNormalCaracter"/>
          </w:rPr>
          <w:t>100/2016</w:t>
        </w:r>
      </w:hyperlink>
      <w:r>
        <w:t>, ff. 3, 5.</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57" w:history="1">
        <w:r w:rsidRPr="0057104C">
          <w:rPr>
            <w:rStyle w:val="TextoNormalCaracter"/>
          </w:rPr>
          <w:t>57/2016</w:t>
        </w:r>
      </w:hyperlink>
      <w:r>
        <w:t>, f. 3.</w:t>
      </w:r>
    </w:p>
    <w:p w:rsidR="0057104C" w:rsidRDefault="0057104C" w:rsidP="0057104C">
      <w:pPr>
        <w:pStyle w:val="SangriaFrancesaArticulo"/>
      </w:pPr>
      <w:r w:rsidRPr="0057104C">
        <w:rPr>
          <w:rStyle w:val="TextoNormalNegritaCaracter"/>
        </w:rPr>
        <w:t>Artículo 3.1 a).</w:t>
      </w:r>
      <w:r w:rsidRPr="0057104C">
        <w:rPr>
          <w:rStyle w:val="TextoNormalCaracter"/>
        </w:rPr>
        <w:t>-</w:t>
      </w:r>
      <w:r>
        <w:t xml:space="preserve"> Sentencia </w:t>
      </w:r>
      <w:hyperlink w:anchor="SENTENCIA_2016_57" w:history="1">
        <w:r w:rsidRPr="0057104C">
          <w:rPr>
            <w:rStyle w:val="TextoNormalCaracter"/>
          </w:rPr>
          <w:t>57/2016</w:t>
        </w:r>
      </w:hyperlink>
      <w:r>
        <w:t>, f. 3.</w:t>
      </w:r>
    </w:p>
    <w:p w:rsidR="0057104C" w:rsidRDefault="0057104C" w:rsidP="0057104C">
      <w:pPr>
        <w:pStyle w:val="SangriaFrancesaArticulo"/>
      </w:pPr>
      <w:r w:rsidRPr="0057104C">
        <w:rPr>
          <w:rStyle w:val="TextoNormalNegritaCaracter"/>
        </w:rPr>
        <w:t>Artículo 3.1 a), 3.</w:t>
      </w:r>
      <w:r w:rsidRPr="0057104C">
        <w:rPr>
          <w:rStyle w:val="TextoNormalCaracter"/>
        </w:rPr>
        <w:t>-</w:t>
      </w:r>
      <w:r>
        <w:t xml:space="preserve"> Sentencia </w:t>
      </w:r>
      <w:hyperlink w:anchor="SENTENCIA_2016_57" w:history="1">
        <w:r w:rsidRPr="0057104C">
          <w:rPr>
            <w:rStyle w:val="TextoNormalCaracter"/>
          </w:rPr>
          <w:t>57/2016</w:t>
        </w:r>
      </w:hyperlink>
      <w:r>
        <w:t>, f. 3.</w:t>
      </w:r>
    </w:p>
    <w:p w:rsidR="0057104C" w:rsidRDefault="0057104C" w:rsidP="0057104C">
      <w:pPr>
        <w:pStyle w:val="SangriaFrancesaArticulo"/>
      </w:pPr>
      <w:r w:rsidRPr="0057104C">
        <w:rPr>
          <w:rStyle w:val="TextoNormalNegritaCaracter"/>
        </w:rPr>
        <w:t>Artículo 3.1 b).</w:t>
      </w:r>
      <w:r w:rsidRPr="0057104C">
        <w:rPr>
          <w:rStyle w:val="TextoNormalCaracter"/>
        </w:rPr>
        <w:t>-</w:t>
      </w:r>
      <w:r>
        <w:t xml:space="preserve"> Sentencia </w:t>
      </w:r>
      <w:hyperlink w:anchor="SENTENCIA_2016_57" w:history="1">
        <w:r w:rsidRPr="0057104C">
          <w:rPr>
            <w:rStyle w:val="TextoNormalCaracter"/>
          </w:rPr>
          <w:t>57/2016</w:t>
        </w:r>
      </w:hyperlink>
      <w:r>
        <w:t>, f. 3.</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28" w:history="1">
        <w:r w:rsidRPr="0057104C">
          <w:rPr>
            <w:rStyle w:val="TextoNormalCaracter"/>
          </w:rPr>
          <w:t>28/2016</w:t>
        </w:r>
      </w:hyperlink>
      <w:r>
        <w:t>, f. 6.</w:t>
      </w:r>
    </w:p>
    <w:p w:rsidR="0057104C" w:rsidRDefault="0057104C" w:rsidP="0057104C">
      <w:pPr>
        <w:pStyle w:val="SangriaFrancesaArticulo"/>
      </w:pPr>
      <w:r w:rsidRPr="0057104C">
        <w:rPr>
          <w:rStyle w:val="TextoNormalNegritaCaracter"/>
        </w:rPr>
        <w:t>Artículo 13 bis.3.</w:t>
      </w:r>
      <w:r w:rsidRPr="0057104C">
        <w:rPr>
          <w:rStyle w:val="TextoNormalCaracter"/>
        </w:rPr>
        <w:t>-</w:t>
      </w:r>
      <w:r>
        <w:t xml:space="preserve"> Sentencia </w:t>
      </w:r>
      <w:hyperlink w:anchor="SENTENCIA_2016_57" w:history="1">
        <w:r w:rsidRPr="0057104C">
          <w:rPr>
            <w:rStyle w:val="TextoNormalCaracter"/>
          </w:rPr>
          <w:t>57/2016</w:t>
        </w:r>
      </w:hyperlink>
      <w:r>
        <w:t>, ff. 4, 8.</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 </w:t>
      </w:r>
      <w:hyperlink w:anchor="SENTENCIA_2016_57" w:history="1">
        <w:r w:rsidRPr="0057104C">
          <w:rPr>
            <w:rStyle w:val="TextoNormalCaracter"/>
          </w:rPr>
          <w:t>57/2016</w:t>
        </w:r>
      </w:hyperlink>
      <w:r>
        <w:t>, f. 9.</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57" w:history="1">
        <w:r w:rsidRPr="0057104C">
          <w:rPr>
            <w:rStyle w:val="TextoNormalCaracter"/>
          </w:rPr>
          <w:t>57/2016</w:t>
        </w:r>
      </w:hyperlink>
      <w:r>
        <w:t>, VP.</w:t>
      </w:r>
    </w:p>
    <w:p w:rsidR="0057104C" w:rsidRDefault="0057104C" w:rsidP="0057104C">
      <w:pPr>
        <w:pStyle w:val="SangriaFrancesaArticulo"/>
      </w:pPr>
      <w:r w:rsidRPr="0057104C">
        <w:rPr>
          <w:rStyle w:val="TextoNormalNegritaCaracter"/>
        </w:rPr>
        <w:t>Artículo 18.2.</w:t>
      </w:r>
      <w:r w:rsidRPr="0057104C">
        <w:rPr>
          <w:rStyle w:val="TextoNormalCaracter"/>
        </w:rPr>
        <w:t>-</w:t>
      </w:r>
      <w:r>
        <w:t xml:space="preserve"> Sentencia </w:t>
      </w:r>
      <w:hyperlink w:anchor="SENTENCIA_2016_57" w:history="1">
        <w:r w:rsidRPr="0057104C">
          <w:rPr>
            <w:rStyle w:val="TextoNormalCaracter"/>
          </w:rPr>
          <w:t>57/2016</w:t>
        </w:r>
      </w:hyperlink>
      <w:r>
        <w:t>, f. 9.</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Sentencias </w:t>
      </w:r>
      <w:hyperlink w:anchor="SENTENCIA_2016_28" w:history="1">
        <w:r w:rsidRPr="0057104C">
          <w:rPr>
            <w:rStyle w:val="TextoNormalCaracter"/>
          </w:rPr>
          <w:t>28/2016</w:t>
        </w:r>
      </w:hyperlink>
      <w:r>
        <w:t xml:space="preserve">, f. 5; </w:t>
      </w:r>
      <w:hyperlink w:anchor="SENTENCIA_2016_57" w:history="1">
        <w:r w:rsidRPr="0057104C">
          <w:rPr>
            <w:rStyle w:val="TextoNormalCaracter"/>
          </w:rPr>
          <w:t>57/2016</w:t>
        </w:r>
      </w:hyperlink>
      <w:r>
        <w:t>, f. 7.</w:t>
      </w:r>
    </w:p>
    <w:p w:rsidR="0057104C" w:rsidRDefault="0057104C" w:rsidP="0057104C">
      <w:pPr>
        <w:pStyle w:val="SangriaFrancesaArticulo"/>
      </w:pPr>
      <w:r w:rsidRPr="0057104C">
        <w:rPr>
          <w:rStyle w:val="TextoNormalNegritaCaracter"/>
        </w:rPr>
        <w:t>Artículo 33.6.</w:t>
      </w:r>
      <w:r w:rsidRPr="0057104C">
        <w:rPr>
          <w:rStyle w:val="TextoNormalCaracter"/>
        </w:rPr>
        <w:t>-</w:t>
      </w:r>
      <w:r>
        <w:t xml:space="preserve"> Sentencia </w:t>
      </w:r>
      <w:hyperlink w:anchor="SENTENCIA_2016_28" w:history="1">
        <w:r w:rsidRPr="0057104C">
          <w:rPr>
            <w:rStyle w:val="TextoNormalCaracter"/>
          </w:rPr>
          <w:t>28/2016</w:t>
        </w:r>
      </w:hyperlink>
      <w:r>
        <w:t>, f. 3.</w:t>
      </w:r>
    </w:p>
    <w:p w:rsidR="0057104C" w:rsidRDefault="0057104C" w:rsidP="0057104C">
      <w:pPr>
        <w:pStyle w:val="SangriaFrancesaArticulo"/>
      </w:pPr>
      <w:r w:rsidRPr="0057104C">
        <w:rPr>
          <w:rStyle w:val="TextoNormalNegritaCaracter"/>
        </w:rPr>
        <w:t>Artículo 49.4.</w:t>
      </w:r>
      <w:r w:rsidRPr="0057104C">
        <w:rPr>
          <w:rStyle w:val="TextoNormalCaracter"/>
        </w:rPr>
        <w:t>-</w:t>
      </w:r>
      <w:r>
        <w:t xml:space="preserve"> Sentencia </w:t>
      </w:r>
      <w:hyperlink w:anchor="SENTENCIA_2016_57" w:history="1">
        <w:r w:rsidRPr="0057104C">
          <w:rPr>
            <w:rStyle w:val="TextoNormalCaracter"/>
          </w:rPr>
          <w:t>57/2016</w:t>
        </w:r>
      </w:hyperlink>
      <w:r>
        <w:t>, f. 6.</w:t>
      </w:r>
    </w:p>
    <w:p w:rsidR="0057104C" w:rsidRDefault="0057104C" w:rsidP="0057104C">
      <w:pPr>
        <w:pStyle w:val="SangriaFrancesaArticulo"/>
      </w:pPr>
      <w:r w:rsidRPr="0057104C">
        <w:rPr>
          <w:rStyle w:val="TextoNormalNegritaCaracter"/>
        </w:rPr>
        <w:t>Articulo 119.2.</w:t>
      </w:r>
      <w:r w:rsidRPr="0057104C">
        <w:rPr>
          <w:rStyle w:val="TextoNormalCaracter"/>
        </w:rPr>
        <w:t>-</w:t>
      </w:r>
      <w:r>
        <w:t xml:space="preserve"> Sentencias </w:t>
      </w:r>
      <w:hyperlink w:anchor="SENTENCIA_2016_28" w:history="1">
        <w:r w:rsidRPr="0057104C">
          <w:rPr>
            <w:rStyle w:val="TextoNormalCaracter"/>
          </w:rPr>
          <w:t>28/2016</w:t>
        </w:r>
      </w:hyperlink>
      <w:r>
        <w:t xml:space="preserve">, ff. 2, 5; </w:t>
      </w:r>
      <w:hyperlink w:anchor="SENTENCIA_2016_57" w:history="1">
        <w:r w:rsidRPr="0057104C">
          <w:rPr>
            <w:rStyle w:val="TextoNormalCaracter"/>
          </w:rPr>
          <w:t>57/2016</w:t>
        </w:r>
      </w:hyperlink>
      <w:r>
        <w:t>, ff. 1, 6, 7.</w:t>
      </w:r>
    </w:p>
    <w:p w:rsidR="0057104C" w:rsidRDefault="0057104C" w:rsidP="0057104C">
      <w:pPr>
        <w:pStyle w:val="SangriaFrancesaArticulo"/>
      </w:pPr>
      <w:r w:rsidRPr="0057104C">
        <w:rPr>
          <w:rStyle w:val="TextoNormalNegritaCaracter"/>
        </w:rPr>
        <w:t>Disposición adicional cuarta.</w:t>
      </w:r>
      <w:r w:rsidRPr="0057104C">
        <w:rPr>
          <w:rStyle w:val="TextoNormalCaracter"/>
        </w:rPr>
        <w:t>-</w:t>
      </w:r>
      <w:r>
        <w:t xml:space="preserve"> Sentencia </w:t>
      </w:r>
      <w:hyperlink w:anchor="SENTENCIA_2016_57" w:history="1">
        <w:r w:rsidRPr="0057104C">
          <w:rPr>
            <w:rStyle w:val="TextoNormalCaracter"/>
          </w:rPr>
          <w:t>57/2016</w:t>
        </w:r>
      </w:hyperlink>
      <w:r>
        <w:t>, f. 1.</w:t>
      </w:r>
    </w:p>
    <w:p w:rsidR="0057104C" w:rsidRDefault="0057104C" w:rsidP="0057104C">
      <w:pPr>
        <w:pStyle w:val="SangriaFrancesaArticulo"/>
      </w:pPr>
      <w:r w:rsidRPr="0057104C">
        <w:rPr>
          <w:rStyle w:val="TextoNormalNegritaCaracter"/>
        </w:rPr>
        <w:t>Disposición adicional séptima.</w:t>
      </w:r>
      <w:r w:rsidRPr="0057104C">
        <w:rPr>
          <w:rStyle w:val="TextoNormalCaracter"/>
        </w:rPr>
        <w:t>-</w:t>
      </w:r>
      <w:r>
        <w:t xml:space="preserve"> Sentencia </w:t>
      </w:r>
      <w:hyperlink w:anchor="SENTENCIA_2016_57" w:history="1">
        <w:r w:rsidRPr="0057104C">
          <w:rPr>
            <w:rStyle w:val="TextoNormalCaracter"/>
          </w:rPr>
          <w:t>57/2016</w:t>
        </w:r>
      </w:hyperlink>
      <w:r>
        <w:t>, ff. 1, 9, VP.</w:t>
      </w:r>
    </w:p>
    <w:p w:rsidR="0057104C" w:rsidRDefault="0057104C" w:rsidP="0057104C">
      <w:pPr>
        <w:pStyle w:val="SangriaFrancesaArticulo"/>
      </w:pPr>
      <w:r w:rsidRPr="0057104C">
        <w:rPr>
          <w:rStyle w:val="TextoNormalNegritaCaracter"/>
        </w:rPr>
        <w:t>Disposición adicional octava.</w:t>
      </w:r>
      <w:r w:rsidRPr="0057104C">
        <w:rPr>
          <w:rStyle w:val="TextoNormalCaracter"/>
        </w:rPr>
        <w:t>-</w:t>
      </w:r>
      <w:r>
        <w:t xml:space="preserve"> Sentencias </w:t>
      </w:r>
      <w:hyperlink w:anchor="SENTENCIA_2016_28" w:history="1">
        <w:r w:rsidRPr="0057104C">
          <w:rPr>
            <w:rStyle w:val="TextoNormalCaracter"/>
          </w:rPr>
          <w:t>28/2016</w:t>
        </w:r>
      </w:hyperlink>
      <w:r>
        <w:t xml:space="preserve">, f. 7; </w:t>
      </w:r>
      <w:hyperlink w:anchor="SENTENCIA_2016_57" w:history="1">
        <w:r w:rsidRPr="0057104C">
          <w:rPr>
            <w:rStyle w:val="TextoNormalCaracter"/>
          </w:rPr>
          <w:t>57/2016</w:t>
        </w:r>
      </w:hyperlink>
      <w:r>
        <w:t>, ff. 1, 10.</w:t>
      </w:r>
    </w:p>
    <w:p w:rsidR="0057104C" w:rsidRDefault="0057104C" w:rsidP="0057104C">
      <w:pPr>
        <w:pStyle w:val="SangriaFrancesaArticulo"/>
      </w:pPr>
      <w:r w:rsidRPr="0057104C">
        <w:rPr>
          <w:rStyle w:val="TextoNormalNegritaCaracter"/>
        </w:rPr>
        <w:t>Disposición adicional octava, apartado 1.</w:t>
      </w:r>
      <w:r w:rsidRPr="0057104C">
        <w:rPr>
          <w:rStyle w:val="TextoNormalCaracter"/>
        </w:rPr>
        <w:t>-</w:t>
      </w:r>
      <w:r>
        <w:t xml:space="preserve"> Sentencia </w:t>
      </w:r>
      <w:hyperlink w:anchor="SENTENCIA_2016_57" w:history="1">
        <w:r w:rsidRPr="0057104C">
          <w:rPr>
            <w:rStyle w:val="TextoNormalCaracter"/>
          </w:rPr>
          <w:t>57/2016</w:t>
        </w:r>
      </w:hyperlink>
      <w:r>
        <w:t>, f. 10.</w:t>
      </w:r>
    </w:p>
    <w:p w:rsidR="0057104C" w:rsidRDefault="0057104C" w:rsidP="0057104C">
      <w:pPr>
        <w:pStyle w:val="SangriaFrancesaArticulo"/>
      </w:pPr>
      <w:r w:rsidRPr="0057104C">
        <w:rPr>
          <w:rStyle w:val="TextoNormalNegritaCaracter"/>
        </w:rPr>
        <w:t>Disposición adicional octava, apartado 2.</w:t>
      </w:r>
      <w:r w:rsidRPr="0057104C">
        <w:rPr>
          <w:rStyle w:val="TextoNormalCaracter"/>
        </w:rPr>
        <w:t>-</w:t>
      </w:r>
      <w:r>
        <w:t xml:space="preserve"> Sentencias </w:t>
      </w:r>
      <w:hyperlink w:anchor="SENTENCIA_2016_28" w:history="1">
        <w:r w:rsidRPr="0057104C">
          <w:rPr>
            <w:rStyle w:val="TextoNormalCaracter"/>
          </w:rPr>
          <w:t>28/2016</w:t>
        </w:r>
      </w:hyperlink>
      <w:r>
        <w:t xml:space="preserve">, ff. 1, 7; </w:t>
      </w:r>
      <w:hyperlink w:anchor="SENTENCIA_2016_57" w:history="1">
        <w:r w:rsidRPr="0057104C">
          <w:rPr>
            <w:rStyle w:val="TextoNormalCaracter"/>
          </w:rPr>
          <w:t>57/2016</w:t>
        </w:r>
      </w:hyperlink>
      <w:r>
        <w:t>.</w:t>
      </w:r>
    </w:p>
    <w:p w:rsidR="0057104C" w:rsidRDefault="0057104C" w:rsidP="0057104C">
      <w:pPr>
        <w:pStyle w:val="SangriaFrancesaArticulo"/>
      </w:pPr>
      <w:r w:rsidRPr="0057104C">
        <w:rPr>
          <w:rStyle w:val="TextoNormalNegritaCaracter"/>
        </w:rPr>
        <w:t>Disposición adicional novena.</w:t>
      </w:r>
      <w:r w:rsidRPr="0057104C">
        <w:rPr>
          <w:rStyle w:val="TextoNormalCaracter"/>
        </w:rPr>
        <w:t>-</w:t>
      </w:r>
      <w:r>
        <w:t xml:space="preserve"> Sentencia </w:t>
      </w:r>
      <w:hyperlink w:anchor="SENTENCIA_2016_57" w:history="1">
        <w:r w:rsidRPr="0057104C">
          <w:rPr>
            <w:rStyle w:val="TextoNormalCaracter"/>
          </w:rPr>
          <w:t>57/2016</w:t>
        </w:r>
      </w:hyperlink>
      <w:r>
        <w:t>, f. 1.</w:t>
      </w:r>
    </w:p>
    <w:p w:rsidR="0057104C" w:rsidRDefault="0057104C" w:rsidP="0057104C">
      <w:pPr>
        <w:pStyle w:val="SangriaFrancesaArticulo"/>
      </w:pPr>
      <w:r w:rsidRPr="0057104C">
        <w:rPr>
          <w:rStyle w:val="TextoNormalNegritaCaracter"/>
        </w:rPr>
        <w:t>Disposición adicional décima.</w:t>
      </w:r>
      <w:r w:rsidRPr="0057104C">
        <w:rPr>
          <w:rStyle w:val="TextoNormalCaracter"/>
        </w:rPr>
        <w:t>-</w:t>
      </w:r>
      <w:r>
        <w:t xml:space="preserve"> Sentencia </w:t>
      </w:r>
      <w:hyperlink w:anchor="SENTENCIA_2016_28" w:history="1">
        <w:r w:rsidRPr="0057104C">
          <w:rPr>
            <w:rStyle w:val="TextoNormalCaracter"/>
          </w:rPr>
          <w:t>28/2016</w:t>
        </w:r>
      </w:hyperlink>
      <w:r>
        <w:t>, f. 6.</w:t>
      </w:r>
    </w:p>
    <w:p w:rsidR="0057104C" w:rsidRDefault="0057104C" w:rsidP="0057104C">
      <w:pPr>
        <w:pStyle w:val="SangriaFrancesaArticulo"/>
      </w:pPr>
      <w:r w:rsidRPr="0057104C">
        <w:rPr>
          <w:rStyle w:val="TextoNormalNegritaCaracter"/>
        </w:rPr>
        <w:t>Disposición adicional décima, apartado 3 a).</w:t>
      </w:r>
      <w:r w:rsidRPr="0057104C">
        <w:rPr>
          <w:rStyle w:val="TextoNormalCaracter"/>
        </w:rPr>
        <w:t>-</w:t>
      </w:r>
      <w:r>
        <w:t xml:space="preserve"> Sentencia </w:t>
      </w:r>
      <w:hyperlink w:anchor="SENTENCIA_2016_28" w:history="1">
        <w:r w:rsidRPr="0057104C">
          <w:rPr>
            <w:rStyle w:val="TextoNormalCaracter"/>
          </w:rPr>
          <w:t>28/2016</w:t>
        </w:r>
      </w:hyperlink>
      <w:r>
        <w:t>, f. 6.</w:t>
      </w:r>
    </w:p>
    <w:p w:rsidR="0057104C" w:rsidRDefault="0057104C" w:rsidP="0057104C">
      <w:pPr>
        <w:pStyle w:val="SangriaFrancesaArticulo"/>
      </w:pPr>
      <w:r w:rsidRPr="0057104C">
        <w:rPr>
          <w:rStyle w:val="TextoNormalNegritaCaracter"/>
        </w:rPr>
        <w:t>Disposición adicional décima, apartado 4.</w:t>
      </w:r>
      <w:r w:rsidRPr="0057104C">
        <w:rPr>
          <w:rStyle w:val="TextoNormalCaracter"/>
        </w:rPr>
        <w:t>-</w:t>
      </w:r>
      <w:r>
        <w:t xml:space="preserve"> Sentencia </w:t>
      </w:r>
      <w:hyperlink w:anchor="SENTENCIA_2016_28" w:history="1">
        <w:r w:rsidRPr="0057104C">
          <w:rPr>
            <w:rStyle w:val="TextoNormalCaracter"/>
          </w:rPr>
          <w:t>28/2016</w:t>
        </w:r>
      </w:hyperlink>
      <w:r>
        <w:t>, f. 6.</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Sentencias </w:t>
      </w:r>
      <w:hyperlink w:anchor="SENTENCIA_2016_6" w:history="1">
        <w:r w:rsidRPr="0057104C">
          <w:rPr>
            <w:rStyle w:val="TextoNormalCaracter"/>
          </w:rPr>
          <w:t>6/2016</w:t>
        </w:r>
      </w:hyperlink>
      <w:r>
        <w:t xml:space="preserve">, ff. 1, 4; </w:t>
      </w:r>
      <w:hyperlink w:anchor="SENTENCIA_2016_57" w:history="1">
        <w:r w:rsidRPr="0057104C">
          <w:rPr>
            <w:rStyle w:val="TextoNormalCaracter"/>
          </w:rPr>
          <w:t>57/2016</w:t>
        </w:r>
      </w:hyperlink>
      <w:r>
        <w:t>, ff. 1, 11.</w:t>
      </w:r>
    </w:p>
    <w:p w:rsidR="0057104C" w:rsidRDefault="0057104C" w:rsidP="0057104C">
      <w:pPr>
        <w:pStyle w:val="SangriaFrancesaArticulo"/>
      </w:pPr>
      <w:r w:rsidRPr="0057104C">
        <w:rPr>
          <w:rStyle w:val="TextoNormalNegritaCaracter"/>
        </w:rPr>
        <w:t>Disposición transitoria cuarta.</w:t>
      </w:r>
      <w:r w:rsidRPr="0057104C">
        <w:rPr>
          <w:rStyle w:val="TextoNormalCaracter"/>
        </w:rPr>
        <w:t>-</w:t>
      </w:r>
      <w:r>
        <w:t xml:space="preserve"> Sentencia </w:t>
      </w:r>
      <w:hyperlink w:anchor="SENTENCIA_2016_57" w:history="1">
        <w:r w:rsidRPr="0057104C">
          <w:rPr>
            <w:rStyle w:val="TextoNormalCaracter"/>
          </w:rPr>
          <w:t>57/2016</w:t>
        </w:r>
      </w:hyperlink>
      <w:r>
        <w:t>, f. 8.</w:t>
      </w:r>
    </w:p>
    <w:p w:rsidR="0057104C" w:rsidRDefault="0057104C" w:rsidP="0057104C">
      <w:pPr>
        <w:pStyle w:val="SangriaFrancesaArticulo"/>
      </w:pPr>
      <w:r w:rsidRPr="0057104C">
        <w:rPr>
          <w:rStyle w:val="TextoNormalNegritaCaracter"/>
        </w:rPr>
        <w:t>Disposición transitoria cuarta, apartado 2.</w:t>
      </w:r>
      <w:r w:rsidRPr="0057104C">
        <w:rPr>
          <w:rStyle w:val="TextoNormalCaracter"/>
        </w:rPr>
        <w:t>-</w:t>
      </w:r>
      <w:r>
        <w:t xml:space="preserve"> Sentencia </w:t>
      </w:r>
      <w:hyperlink w:anchor="SENTENCIA_2016_57" w:history="1">
        <w:r w:rsidRPr="0057104C">
          <w:rPr>
            <w:rStyle w:val="TextoNormalCaracter"/>
          </w:rPr>
          <w:t>57/2016</w:t>
        </w:r>
      </w:hyperlink>
      <w:r>
        <w:t>, f. 8.</w:t>
      </w:r>
    </w:p>
    <w:p w:rsidR="0057104C" w:rsidRDefault="0057104C" w:rsidP="0057104C">
      <w:pPr>
        <w:pStyle w:val="SangriaFrancesaArticulo"/>
      </w:pPr>
      <w:r w:rsidRPr="0057104C">
        <w:rPr>
          <w:rStyle w:val="TextoNormalNegritaCaracter"/>
        </w:rPr>
        <w:t>Disposición transitoria cuarta, apartado 3.</w:t>
      </w:r>
      <w:r w:rsidRPr="0057104C">
        <w:rPr>
          <w:rStyle w:val="TextoNormalCaracter"/>
        </w:rPr>
        <w:t>-</w:t>
      </w:r>
      <w:r>
        <w:t xml:space="preserve"> Sentencia </w:t>
      </w:r>
      <w:hyperlink w:anchor="SENTENCIA_2016_57" w:history="1">
        <w:r w:rsidRPr="0057104C">
          <w:rPr>
            <w:rStyle w:val="TextoNormalCaracter"/>
          </w:rPr>
          <w:t>57/2016</w:t>
        </w:r>
      </w:hyperlink>
      <w:r>
        <w:t>, f. 8.</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57" w:history="1">
        <w:r w:rsidRPr="0057104C">
          <w:rPr>
            <w:rStyle w:val="TextoNormalCaracter"/>
          </w:rPr>
          <w:t>57/2016</w:t>
        </w:r>
      </w:hyperlink>
      <w:r>
        <w:t>, ff. 6, 8.</w:t>
      </w:r>
    </w:p>
    <w:p w:rsidR="0057104C" w:rsidRDefault="0057104C" w:rsidP="0057104C">
      <w:pPr>
        <w:pStyle w:val="SangriaFrancesaArticulo"/>
      </w:pPr>
      <w:r w:rsidRPr="0057104C">
        <w:rPr>
          <w:rStyle w:val="TextoNormalNegritaCaracter"/>
        </w:rPr>
        <w:t>Disposición final segunda, primer apartado.</w:t>
      </w:r>
      <w:r w:rsidRPr="0057104C">
        <w:rPr>
          <w:rStyle w:val="TextoNormalCaracter"/>
        </w:rPr>
        <w:t>-</w:t>
      </w:r>
      <w:r>
        <w:t xml:space="preserve"> Sentencia </w:t>
      </w:r>
      <w:hyperlink w:anchor="SENTENCIA_2016_57" w:history="1">
        <w:r w:rsidRPr="0057104C">
          <w:rPr>
            <w:rStyle w:val="TextoNormalCaracter"/>
          </w:rPr>
          <w:t>57/2016</w:t>
        </w:r>
      </w:hyperlink>
      <w:r>
        <w:t>, f. 6.</w:t>
      </w:r>
    </w:p>
    <w:p w:rsidR="0057104C" w:rsidRDefault="0057104C" w:rsidP="0057104C">
      <w:pPr>
        <w:pStyle w:val="SangriaFrancesaArticulo"/>
      </w:pPr>
      <w:r w:rsidRPr="0057104C">
        <w:rPr>
          <w:rStyle w:val="TextoNormalNegritaCaracter"/>
        </w:rPr>
        <w:t>Disposición final segunda, tercer apartado.</w:t>
      </w:r>
      <w:r w:rsidRPr="0057104C">
        <w:rPr>
          <w:rStyle w:val="TextoNormalCaracter"/>
        </w:rPr>
        <w:t>-</w:t>
      </w:r>
      <w:r>
        <w:t xml:space="preserve"> Sentencias </w:t>
      </w:r>
      <w:hyperlink w:anchor="SENTENCIA_2016_28" w:history="1">
        <w:r w:rsidRPr="0057104C">
          <w:rPr>
            <w:rStyle w:val="TextoNormalCaracter"/>
          </w:rPr>
          <w:t>28/2016</w:t>
        </w:r>
      </w:hyperlink>
      <w:r>
        <w:t xml:space="preserve">, f. 4; </w:t>
      </w:r>
      <w:hyperlink w:anchor="SENTENCIA_2016_57" w:history="1">
        <w:r w:rsidRPr="0057104C">
          <w:rPr>
            <w:rStyle w:val="TextoNormalCaracter"/>
          </w:rPr>
          <w:t>57/2016</w:t>
        </w:r>
      </w:hyperlink>
      <w:r>
        <w:t>, f. 6.</w:t>
      </w:r>
    </w:p>
    <w:p w:rsidR="0057104C" w:rsidRDefault="0057104C" w:rsidP="0057104C">
      <w:pPr>
        <w:pStyle w:val="SangriaFrancesaArticulo"/>
      </w:pPr>
      <w:r w:rsidRPr="0057104C">
        <w:rPr>
          <w:rStyle w:val="TextoNormalNegritaCaracter"/>
        </w:rPr>
        <w:t>Anexo.</w:t>
      </w:r>
      <w:r w:rsidRPr="0057104C">
        <w:rPr>
          <w:rStyle w:val="TextoNormalCaracter"/>
        </w:rPr>
        <w:t>-</w:t>
      </w:r>
      <w:r>
        <w:t xml:space="preserve"> Sentencia </w:t>
      </w:r>
      <w:hyperlink w:anchor="SENTENCIA_2016_57" w:history="1">
        <w:r w:rsidRPr="0057104C">
          <w:rPr>
            <w:rStyle w:val="TextoNormalCaracter"/>
          </w:rPr>
          <w:t>57/2016</w:t>
        </w:r>
      </w:hyperlink>
      <w:r>
        <w:t>, f. 1.</w:t>
      </w:r>
    </w:p>
    <w:p w:rsidR="0057104C" w:rsidRDefault="0057104C" w:rsidP="0057104C">
      <w:pPr>
        <w:pStyle w:val="SangriaFrancesaArticulo"/>
      </w:pPr>
    </w:p>
    <w:p w:rsidR="0057104C" w:rsidRDefault="0057104C" w:rsidP="0057104C">
      <w:pPr>
        <w:pStyle w:val="TextoNormalNegritaCursivandice"/>
      </w:pPr>
      <w:r>
        <w:t>Ley 3/2013, de 4 de junio. Creación de la Comisión Nacional de los Mercados y la Competencia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2" w:history="1">
        <w:r w:rsidRPr="0057104C">
          <w:rPr>
            <w:rStyle w:val="TextoNormalCaracter"/>
          </w:rPr>
          <w:t>32/2016</w:t>
        </w:r>
      </w:hyperlink>
      <w:r>
        <w:t>, f. 8.</w:t>
      </w:r>
    </w:p>
    <w:p w:rsidR="0057104C" w:rsidRDefault="0057104C" w:rsidP="0057104C">
      <w:pPr>
        <w:pStyle w:val="SangriaFrancesaArticulo"/>
      </w:pPr>
    </w:p>
    <w:p w:rsidR="0057104C" w:rsidRDefault="0057104C" w:rsidP="0057104C">
      <w:pPr>
        <w:pStyle w:val="TextoNormalNegritaCursivandice"/>
      </w:pPr>
      <w:r>
        <w:t>Ley 4/2013, de 4 de junio. Medidas de flexibilización y fomento del mercado del alquiler de viviendas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07" w:history="1">
        <w:r w:rsidRPr="0057104C">
          <w:rPr>
            <w:rStyle w:val="TextoNormalCaracter"/>
          </w:rPr>
          <w:t>107/2016</w:t>
        </w:r>
      </w:hyperlink>
      <w:r>
        <w:t>, f. 1.</w:t>
      </w:r>
    </w:p>
    <w:p w:rsidR="0057104C" w:rsidRDefault="0057104C" w:rsidP="0057104C">
      <w:pPr>
        <w:pStyle w:val="SangriaFrancesaArticulo"/>
      </w:pPr>
    </w:p>
    <w:p w:rsidR="0057104C" w:rsidRDefault="0057104C" w:rsidP="0057104C">
      <w:pPr>
        <w:pStyle w:val="TextoNormalNegritaCursivandice"/>
      </w:pPr>
      <w:r>
        <w:t>Ley 8/2013, de 26 de junio. Rehabilitación, regeneración y renovación urbanas</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 </w:t>
      </w:r>
      <w:hyperlink w:anchor="SENTENCIA_2016_5" w:history="1">
        <w:r w:rsidRPr="0057104C">
          <w:rPr>
            <w:rStyle w:val="TextoNormalCaracter"/>
          </w:rPr>
          <w:t>5/2016</w:t>
        </w:r>
      </w:hyperlink>
      <w:r>
        <w:t>, ff. 1, 2.</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19.</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23.</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Disposición adicional tercera.</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Disposición derogatoria única.</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Disposición derogatoria única 6.</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r w:rsidRPr="0057104C">
        <w:rPr>
          <w:rStyle w:val="TextoNormalNegritaCaracter"/>
        </w:rPr>
        <w:t>Disposición final duodécima, apartado 15.</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p>
    <w:p w:rsidR="0057104C" w:rsidRDefault="0057104C" w:rsidP="0057104C">
      <w:pPr>
        <w:pStyle w:val="TextoNormalNegritaCursivandice"/>
      </w:pPr>
      <w:r>
        <w:t>Ley 11/2013, de 26 de julio. Medidas de apoyo al emprendedor y de estímulo del crecimiento y de la creación de empleo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4" w:history="1">
        <w:r w:rsidRPr="0057104C">
          <w:rPr>
            <w:rStyle w:val="TextoNormalCaracter"/>
          </w:rPr>
          <w:t>124/2016</w:t>
        </w:r>
      </w:hyperlink>
      <w:r>
        <w:t>, f. 2.</w:t>
      </w:r>
    </w:p>
    <w:p w:rsidR="0057104C" w:rsidRDefault="0057104C" w:rsidP="0057104C">
      <w:pPr>
        <w:pStyle w:val="SangriaFrancesaArticulo"/>
      </w:pPr>
    </w:p>
    <w:p w:rsidR="0057104C" w:rsidRDefault="0057104C" w:rsidP="0057104C">
      <w:pPr>
        <w:pStyle w:val="TextoNormalNegritaCursivandice"/>
      </w:pPr>
      <w:r>
        <w:t>Ley 16/2013, de 29 de octubre. Establece determinadas medidas en materia de fiscalidad medioambiental y se adoptan otras medidas tributarias y financieras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4" w:history="1">
        <w:r w:rsidRPr="0057104C">
          <w:rPr>
            <w:rStyle w:val="TextoNormalCaracter"/>
          </w:rPr>
          <w:t>74/2016</w:t>
        </w:r>
      </w:hyperlink>
      <w:r>
        <w:t>, f. 1.</w:t>
      </w:r>
    </w:p>
    <w:p w:rsidR="0057104C" w:rsidRDefault="0057104C" w:rsidP="0057104C">
      <w:pPr>
        <w:pStyle w:val="SangriaFrancesaArticulo"/>
      </w:pPr>
    </w:p>
    <w:p w:rsidR="0057104C" w:rsidRDefault="0057104C" w:rsidP="0057104C">
      <w:pPr>
        <w:pStyle w:val="TextoNormalNegritaCursivandice"/>
      </w:pPr>
      <w:r>
        <w:t>Ley 17/2013, de 29 de octubre. Garantía del suministro e incremento de la competencia en los sistemas eléctricos insulares y extrapeninsulares</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73" w:history="1">
        <w:r w:rsidRPr="0057104C">
          <w:rPr>
            <w:rStyle w:val="TextoNormalCaracter"/>
          </w:rPr>
          <w:t>73/2016</w:t>
        </w:r>
      </w:hyperlink>
      <w:r>
        <w:t>, f. 7.</w:t>
      </w:r>
    </w:p>
    <w:p w:rsidR="0057104C" w:rsidRDefault="0057104C" w:rsidP="0057104C">
      <w:pPr>
        <w:pStyle w:val="SangriaFrancesaArticulo"/>
      </w:pPr>
    </w:p>
    <w:p w:rsidR="0057104C" w:rsidRDefault="0057104C" w:rsidP="0057104C">
      <w:pPr>
        <w:pStyle w:val="TextoNormalNegritaCursivandice"/>
      </w:pPr>
      <w:r>
        <w:t>Ley 21/2013, de 9 de diciembre. Evaluación ambiental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 7, VP II.</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73" w:history="1">
        <w:r w:rsidRPr="0057104C">
          <w:rPr>
            <w:rStyle w:val="TextoNormalCaracter"/>
          </w:rPr>
          <w:t>73/2016</w:t>
        </w:r>
      </w:hyperlink>
      <w:r>
        <w:t>, f. 7.</w:t>
      </w:r>
    </w:p>
    <w:p w:rsidR="0057104C" w:rsidRDefault="0057104C" w:rsidP="0057104C">
      <w:pPr>
        <w:pStyle w:val="SangriaFrancesaArticulo"/>
      </w:pPr>
      <w:r w:rsidRPr="0057104C">
        <w:rPr>
          <w:rStyle w:val="TextoNormalNegritaCaracter"/>
        </w:rPr>
        <w:t>Artículo 37.1.</w:t>
      </w:r>
      <w:r w:rsidRPr="0057104C">
        <w:rPr>
          <w:rStyle w:val="TextoNormalCaracter"/>
        </w:rPr>
        <w:t>-</w:t>
      </w:r>
      <w:r>
        <w:t xml:space="preserve"> Sentencia </w:t>
      </w:r>
      <w:hyperlink w:anchor="SENTENCIA_2016_73" w:history="1">
        <w:r w:rsidRPr="0057104C">
          <w:rPr>
            <w:rStyle w:val="TextoNormalCaracter"/>
          </w:rPr>
          <w:t>73/2016</w:t>
        </w:r>
      </w:hyperlink>
      <w:r>
        <w:t>, f. 7.</w:t>
      </w:r>
    </w:p>
    <w:p w:rsidR="0057104C" w:rsidRDefault="0057104C" w:rsidP="0057104C">
      <w:pPr>
        <w:pStyle w:val="SangriaFrancesaArticulo"/>
      </w:pPr>
      <w:r w:rsidRPr="0057104C">
        <w:rPr>
          <w:rStyle w:val="TextoNormalNegritaCaracter"/>
        </w:rPr>
        <w:t>Artículo 37.2.</w:t>
      </w:r>
      <w:r w:rsidRPr="0057104C">
        <w:rPr>
          <w:rStyle w:val="TextoNormalCaracter"/>
        </w:rPr>
        <w:t>-</w:t>
      </w:r>
      <w:r>
        <w:t xml:space="preserve"> Sentencia </w:t>
      </w:r>
      <w:hyperlink w:anchor="SENTENCIA_2016_73" w:history="1">
        <w:r w:rsidRPr="0057104C">
          <w:rPr>
            <w:rStyle w:val="TextoNormalCaracter"/>
          </w:rPr>
          <w:t>73/2016</w:t>
        </w:r>
      </w:hyperlink>
      <w:r>
        <w:t>, ff. 7, 9.</w:t>
      </w:r>
    </w:p>
    <w:p w:rsidR="0057104C" w:rsidRDefault="0057104C" w:rsidP="0057104C">
      <w:pPr>
        <w:pStyle w:val="SangriaFrancesaArticulo"/>
      </w:pPr>
      <w:r w:rsidRPr="0057104C">
        <w:rPr>
          <w:rStyle w:val="TextoNormalNegritaCaracter"/>
        </w:rPr>
        <w:t>Artículo 40.1.</w:t>
      </w:r>
      <w:r w:rsidRPr="0057104C">
        <w:rPr>
          <w:rStyle w:val="TextoNormalCaracter"/>
        </w:rPr>
        <w:t>-</w:t>
      </w:r>
      <w:r>
        <w:t xml:space="preserve"> Sentencia </w:t>
      </w:r>
      <w:hyperlink w:anchor="SENTENCIA_2016_73" w:history="1">
        <w:r w:rsidRPr="0057104C">
          <w:rPr>
            <w:rStyle w:val="TextoNormalCaracter"/>
          </w:rPr>
          <w:t>73/2016</w:t>
        </w:r>
      </w:hyperlink>
      <w:r>
        <w:t>, f. 7.</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73" w:history="1">
        <w:r w:rsidRPr="0057104C">
          <w:rPr>
            <w:rStyle w:val="TextoNormalCaracter"/>
          </w:rPr>
          <w:t>73/2016</w:t>
        </w:r>
      </w:hyperlink>
      <w:r>
        <w:t>, f. 7, VP II.</w:t>
      </w:r>
    </w:p>
    <w:p w:rsidR="0057104C" w:rsidRDefault="0057104C" w:rsidP="0057104C">
      <w:pPr>
        <w:pStyle w:val="SangriaFrancesaArticulo"/>
      </w:pPr>
      <w:r w:rsidRPr="0057104C">
        <w:rPr>
          <w:rStyle w:val="TextoNormalNegritaCaracter"/>
        </w:rPr>
        <w:t>Artículo 41.2.</w:t>
      </w:r>
      <w:r w:rsidRPr="0057104C">
        <w:rPr>
          <w:rStyle w:val="TextoNormalCaracter"/>
        </w:rPr>
        <w:t>-</w:t>
      </w:r>
      <w:r>
        <w:t xml:space="preserve"> Sentencia </w:t>
      </w:r>
      <w:hyperlink w:anchor="SENTENCIA_2016_73" w:history="1">
        <w:r w:rsidRPr="0057104C">
          <w:rPr>
            <w:rStyle w:val="TextoNormalCaracter"/>
          </w:rPr>
          <w:t>73/2016</w:t>
        </w:r>
      </w:hyperlink>
      <w:r>
        <w:t>, f. 10.</w:t>
      </w:r>
    </w:p>
    <w:p w:rsidR="0057104C" w:rsidRDefault="0057104C" w:rsidP="0057104C">
      <w:pPr>
        <w:pStyle w:val="SangriaFrancesaArticulo"/>
      </w:pPr>
      <w:r w:rsidRPr="0057104C">
        <w:rPr>
          <w:rStyle w:val="TextoNormalNegritaCaracter"/>
        </w:rPr>
        <w:t>Anexo I, grupo 2 apartado d).</w:t>
      </w:r>
      <w:r w:rsidRPr="0057104C">
        <w:rPr>
          <w:rStyle w:val="TextoNormalCaracter"/>
        </w:rPr>
        <w:t>-</w:t>
      </w:r>
      <w:r>
        <w:t xml:space="preserve"> Sentencia </w:t>
      </w:r>
      <w:hyperlink w:anchor="SENTENCIA_2016_73" w:history="1">
        <w:r w:rsidRPr="0057104C">
          <w:rPr>
            <w:rStyle w:val="TextoNormalCaracter"/>
          </w:rPr>
          <w:t>73/2016</w:t>
        </w:r>
      </w:hyperlink>
      <w:r>
        <w:t>, ff. 7, 10.</w:t>
      </w:r>
    </w:p>
    <w:p w:rsidR="0057104C" w:rsidRDefault="0057104C" w:rsidP="0057104C">
      <w:pPr>
        <w:pStyle w:val="SangriaFrancesaArticulo"/>
      </w:pPr>
    </w:p>
    <w:p w:rsidR="0057104C" w:rsidRDefault="0057104C" w:rsidP="0057104C">
      <w:pPr>
        <w:pStyle w:val="TextoNormalNegritaCursivandice"/>
      </w:pPr>
      <w:r>
        <w:t>Ley 22/2013, de 23 de diciembre. Presupuestos generales del Estado para el año 2014</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3" w:history="1">
        <w:r w:rsidRPr="0057104C">
          <w:rPr>
            <w:rStyle w:val="TextoNormalCaracter"/>
          </w:rPr>
          <w:t>123/2016</w:t>
        </w:r>
      </w:hyperlink>
      <w:r>
        <w:t>, f. 2.</w:t>
      </w:r>
    </w:p>
    <w:p w:rsidR="0057104C" w:rsidRDefault="0057104C" w:rsidP="0057104C">
      <w:pPr>
        <w:pStyle w:val="SangriaFrancesaArticulo"/>
      </w:pPr>
      <w:r w:rsidRPr="0057104C">
        <w:rPr>
          <w:rStyle w:val="TextoNormalNegritaCaracter"/>
        </w:rPr>
        <w:t>Disposición adicional octogésima octava.</w:t>
      </w:r>
      <w:r w:rsidRPr="0057104C">
        <w:rPr>
          <w:rStyle w:val="TextoNormalCaracter"/>
        </w:rPr>
        <w:t>-</w:t>
      </w:r>
      <w:r>
        <w:t xml:space="preserve"> Auto </w:t>
      </w:r>
      <w:hyperlink w:anchor="AUTO_2016_84" w:history="1">
        <w:r w:rsidRPr="0057104C">
          <w:rPr>
            <w:rStyle w:val="TextoNormalCaracter"/>
          </w:rPr>
          <w:t>84/2016</w:t>
        </w:r>
      </w:hyperlink>
      <w:r>
        <w:t>, f. 6.</w:t>
      </w:r>
    </w:p>
    <w:p w:rsidR="0057104C" w:rsidRDefault="0057104C" w:rsidP="0057104C">
      <w:pPr>
        <w:pStyle w:val="SangriaFrancesaArticulo"/>
      </w:pPr>
      <w:r w:rsidRPr="0057104C">
        <w:rPr>
          <w:rStyle w:val="TextoNormalNegritaCaracter"/>
        </w:rPr>
        <w:t>Disposición adicional septuagésima cuarta.</w:t>
      </w:r>
      <w:r w:rsidRPr="0057104C">
        <w:rPr>
          <w:rStyle w:val="TextoNormalCaracter"/>
        </w:rPr>
        <w:t>-</w:t>
      </w:r>
      <w:r>
        <w:t xml:space="preserve"> Sentencia </w:t>
      </w:r>
      <w:hyperlink w:anchor="SENTENCIA_2016_111" w:history="1">
        <w:r w:rsidRPr="0057104C">
          <w:rPr>
            <w:rStyle w:val="TextoNormalCaracter"/>
          </w:rPr>
          <w:t>111/2016</w:t>
        </w:r>
      </w:hyperlink>
      <w:r>
        <w:t>, VP.</w:t>
      </w:r>
    </w:p>
    <w:p w:rsidR="0057104C" w:rsidRDefault="0057104C" w:rsidP="0057104C">
      <w:pPr>
        <w:pStyle w:val="SangriaFrancesaArticulo"/>
      </w:pPr>
      <w:r w:rsidRPr="0057104C">
        <w:rPr>
          <w:rStyle w:val="TextoNormalNegritaCaracter"/>
        </w:rPr>
        <w:t>Disposición adicional nonagésima</w:t>
      </w:r>
      <w:r>
        <w:t xml:space="preserve"> (redactada por el Real Decreto-ley 1/2014, de 24 de enero)</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6.</w:t>
      </w:r>
    </w:p>
    <w:p w:rsidR="0057104C" w:rsidRDefault="0057104C" w:rsidP="0057104C">
      <w:pPr>
        <w:pStyle w:val="SangriaFrancesaArticulo"/>
      </w:pPr>
      <w:r w:rsidRPr="0057104C">
        <w:rPr>
          <w:rStyle w:val="TextoNormalNegritaCaracter"/>
        </w:rPr>
        <w:t>Disposición adicional vigésima octava.</w:t>
      </w:r>
      <w:r w:rsidRPr="0057104C">
        <w:rPr>
          <w:rStyle w:val="TextoNormalCaracter"/>
        </w:rPr>
        <w:t>-</w:t>
      </w:r>
      <w:r>
        <w:t xml:space="preserve"> Sentencia </w:t>
      </w:r>
      <w:hyperlink w:anchor="SENTENCIA_2016_99" w:history="1">
        <w:r w:rsidRPr="0057104C">
          <w:rPr>
            <w:rStyle w:val="TextoNormalCaracter"/>
          </w:rPr>
          <w:t>99/2016</w:t>
        </w:r>
      </w:hyperlink>
      <w:r>
        <w:t>, f. 2.</w:t>
      </w:r>
    </w:p>
    <w:p w:rsidR="0057104C" w:rsidRDefault="0057104C" w:rsidP="0057104C">
      <w:pPr>
        <w:pStyle w:val="SangriaFrancesaArticulo"/>
      </w:pPr>
      <w:r w:rsidRPr="0057104C">
        <w:rPr>
          <w:rStyle w:val="TextoNormalNegritaCaracter"/>
        </w:rPr>
        <w:t>Disposición final cuarta, apartado 8.</w:t>
      </w:r>
      <w:r w:rsidRPr="0057104C">
        <w:rPr>
          <w:rStyle w:val="TextoNormalCaracter"/>
        </w:rPr>
        <w:t>-</w:t>
      </w:r>
      <w:r>
        <w:t xml:space="preserve"> Sentencia </w:t>
      </w:r>
      <w:hyperlink w:anchor="SENTENCIA_2016_123" w:history="1">
        <w:r w:rsidRPr="0057104C">
          <w:rPr>
            <w:rStyle w:val="TextoNormalCaracter"/>
          </w:rPr>
          <w:t>123/2016</w:t>
        </w:r>
      </w:hyperlink>
      <w:r>
        <w:t>, f. 1.</w:t>
      </w:r>
    </w:p>
    <w:p w:rsidR="0057104C" w:rsidRDefault="0057104C" w:rsidP="0057104C">
      <w:pPr>
        <w:pStyle w:val="SangriaFrancesaArticulo"/>
      </w:pPr>
    </w:p>
    <w:p w:rsidR="0057104C" w:rsidRDefault="0057104C" w:rsidP="0057104C">
      <w:pPr>
        <w:pStyle w:val="TextoNormalNegritaCursivandice"/>
      </w:pPr>
      <w:r>
        <w:t>Ley 24/2013, de 26 de diciembre. Sector eléctrico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9" w:history="1">
        <w:r w:rsidRPr="0057104C">
          <w:rPr>
            <w:rStyle w:val="TextoNormalCaracter"/>
          </w:rPr>
          <w:t>19/2016</w:t>
        </w:r>
      </w:hyperlink>
      <w:r>
        <w:t xml:space="preserve">, ff. 2, 5; </w:t>
      </w:r>
      <w:hyperlink w:anchor="SENTENCIA_2016_29" w:history="1">
        <w:r w:rsidRPr="0057104C">
          <w:rPr>
            <w:rStyle w:val="TextoNormalCaracter"/>
          </w:rPr>
          <w:t>29/2016</w:t>
        </w:r>
      </w:hyperlink>
      <w:r>
        <w:t xml:space="preserve">, ff. 2, 5; </w:t>
      </w:r>
      <w:hyperlink w:anchor="SENTENCIA_2016_30" w:history="1">
        <w:r w:rsidRPr="0057104C">
          <w:rPr>
            <w:rStyle w:val="TextoNormalCaracter"/>
          </w:rPr>
          <w:t>30/2016</w:t>
        </w:r>
      </w:hyperlink>
      <w:r>
        <w:t xml:space="preserve">, ff. 2, 5; </w:t>
      </w:r>
      <w:hyperlink w:anchor="SENTENCIA_2016_42" w:history="1">
        <w:r w:rsidRPr="0057104C">
          <w:rPr>
            <w:rStyle w:val="TextoNormalCaracter"/>
          </w:rPr>
          <w:t>42/2016</w:t>
        </w:r>
      </w:hyperlink>
      <w:r>
        <w:t xml:space="preserve">, ff. 2, 4; </w:t>
      </w:r>
      <w:hyperlink w:anchor="SENTENCIA_2016_61" w:history="1">
        <w:r w:rsidRPr="0057104C">
          <w:rPr>
            <w:rStyle w:val="TextoNormalCaracter"/>
          </w:rPr>
          <w:t>61/2016</w:t>
        </w:r>
      </w:hyperlink>
      <w:r>
        <w:t xml:space="preserve">, ff. 2, 5; </w:t>
      </w:r>
      <w:hyperlink w:anchor="SENTENCIA_2016_62" w:history="1">
        <w:r w:rsidRPr="0057104C">
          <w:rPr>
            <w:rStyle w:val="TextoNormalCaracter"/>
          </w:rPr>
          <w:t>62/2016</w:t>
        </w:r>
      </w:hyperlink>
      <w:r>
        <w:t xml:space="preserve">, VPI, VPII; </w:t>
      </w:r>
      <w:hyperlink w:anchor="SENTENCIA_2016_72" w:history="1">
        <w:r w:rsidRPr="0057104C">
          <w:rPr>
            <w:rStyle w:val="TextoNormalCaracter"/>
          </w:rPr>
          <w:t>72/2016</w:t>
        </w:r>
      </w:hyperlink>
      <w:r>
        <w:t xml:space="preserve">, f. 2; </w:t>
      </w:r>
      <w:hyperlink w:anchor="SENTENCIA_2016_91" w:history="1">
        <w:r w:rsidRPr="0057104C">
          <w:rPr>
            <w:rStyle w:val="TextoNormalCaracter"/>
          </w:rPr>
          <w:t>91/2016</w:t>
        </w:r>
      </w:hyperlink>
      <w:r>
        <w:t>, f. 5.</w:t>
      </w:r>
    </w:p>
    <w:p w:rsidR="0057104C" w:rsidRDefault="0057104C" w:rsidP="0057104C">
      <w:pPr>
        <w:pStyle w:val="SangriaIzquierdaArticulo"/>
      </w:pPr>
      <w:r>
        <w:t xml:space="preserve">Auto </w:t>
      </w:r>
      <w:hyperlink w:anchor="AUTO_2016_105" w:history="1">
        <w:r w:rsidRPr="0057104C">
          <w:rPr>
            <w:rStyle w:val="TextoNormalCaracter"/>
          </w:rPr>
          <w:t>105/2016</w:t>
        </w:r>
      </w:hyperlink>
      <w:r>
        <w:t>, ff. 3, 6.</w:t>
      </w:r>
    </w:p>
    <w:p w:rsidR="0057104C" w:rsidRDefault="0057104C" w:rsidP="0057104C">
      <w:pPr>
        <w:pStyle w:val="SangriaFrancesaArticulo"/>
      </w:pPr>
      <w:r w:rsidRPr="0057104C">
        <w:rPr>
          <w:rStyle w:val="TextoNormalNegritaCaracter"/>
        </w:rPr>
        <w:t>Título VIII.</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Sentencias </w:t>
      </w:r>
      <w:hyperlink w:anchor="SENTENCIA_2016_32" w:history="1">
        <w:r w:rsidRPr="0057104C">
          <w:rPr>
            <w:rStyle w:val="TextoNormalCaracter"/>
          </w:rPr>
          <w:t>32/2016</w:t>
        </w:r>
      </w:hyperlink>
      <w:r>
        <w:t xml:space="preserve">, ff. 9, 12; </w:t>
      </w:r>
      <w:hyperlink w:anchor="SENTENCIA_2016_60" w:history="1">
        <w:r w:rsidRPr="0057104C">
          <w:rPr>
            <w:rStyle w:val="TextoNormalCaracter"/>
          </w:rPr>
          <w:t>60/2016</w:t>
        </w:r>
      </w:hyperlink>
      <w:r>
        <w:t xml:space="preserve">, f. 4; </w:t>
      </w:r>
      <w:hyperlink w:anchor="SENTENCIA_2016_120" w:history="1">
        <w:r w:rsidRPr="0057104C">
          <w:rPr>
            <w:rStyle w:val="TextoNormalCaracter"/>
          </w:rPr>
          <w:t>120/2016</w:t>
        </w:r>
      </w:hyperlink>
      <w:r>
        <w:t>, f. 6.</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Sentencias </w:t>
      </w:r>
      <w:hyperlink w:anchor="SENTENCIA_2016_32" w:history="1">
        <w:r w:rsidRPr="0057104C">
          <w:rPr>
            <w:rStyle w:val="TextoNormalCaracter"/>
          </w:rPr>
          <w:t>32/2016</w:t>
        </w:r>
      </w:hyperlink>
      <w:r>
        <w:t xml:space="preserve">, f. 9; </w:t>
      </w:r>
      <w:hyperlink w:anchor="SENTENCIA_2016_120" w:history="1">
        <w:r w:rsidRPr="0057104C">
          <w:rPr>
            <w:rStyle w:val="TextoNormalCaracter"/>
          </w:rPr>
          <w:t>120/2016</w:t>
        </w:r>
      </w:hyperlink>
      <w:r>
        <w:t>, f. 3.</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Sentencias </w:t>
      </w:r>
      <w:hyperlink w:anchor="SENTENCIA_2016_32" w:history="1">
        <w:r w:rsidRPr="0057104C">
          <w:rPr>
            <w:rStyle w:val="TextoNormalCaracter"/>
          </w:rPr>
          <w:t>32/2016</w:t>
        </w:r>
      </w:hyperlink>
      <w:r>
        <w:t xml:space="preserve">, f. 9; </w:t>
      </w:r>
      <w:hyperlink w:anchor="SENTENCIA_2016_120" w:history="1">
        <w:r w:rsidRPr="0057104C">
          <w:rPr>
            <w:rStyle w:val="TextoNormalCaracter"/>
          </w:rPr>
          <w:t>120/2016</w:t>
        </w:r>
      </w:hyperlink>
      <w:r>
        <w:t>, f. 3.</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Sentencias </w:t>
      </w:r>
      <w:hyperlink w:anchor="SENTENCIA_2016_32" w:history="1">
        <w:r w:rsidRPr="0057104C">
          <w:rPr>
            <w:rStyle w:val="TextoNormalCaracter"/>
          </w:rPr>
          <w:t>32/2016</w:t>
        </w:r>
      </w:hyperlink>
      <w:r>
        <w:t xml:space="preserve">, ff. 9, 12; </w:t>
      </w:r>
      <w:hyperlink w:anchor="SENTENCIA_2016_120" w:history="1">
        <w:r w:rsidRPr="0057104C">
          <w:rPr>
            <w:rStyle w:val="TextoNormalCaracter"/>
          </w:rPr>
          <w:t>120/2016</w:t>
        </w:r>
      </w:hyperlink>
      <w:r>
        <w:t>, f. 3.</w:t>
      </w:r>
    </w:p>
    <w:p w:rsidR="0057104C" w:rsidRDefault="0057104C" w:rsidP="0057104C">
      <w:pPr>
        <w:pStyle w:val="SangriaFrancesaArticulo"/>
      </w:pPr>
      <w:r w:rsidRPr="0057104C">
        <w:rPr>
          <w:rStyle w:val="TextoNormalNegritaCaracter"/>
        </w:rPr>
        <w:t>Artículo 3.11.</w:t>
      </w:r>
      <w:r w:rsidRPr="0057104C">
        <w:rPr>
          <w:rStyle w:val="TextoNormalCaracter"/>
        </w:rPr>
        <w:t>-</w:t>
      </w:r>
      <w:r>
        <w:t xml:space="preserve"> Sentencia </w:t>
      </w:r>
      <w:hyperlink w:anchor="SENTENCIA_2016_32" w:history="1">
        <w:r w:rsidRPr="0057104C">
          <w:rPr>
            <w:rStyle w:val="TextoNormalCaracter"/>
          </w:rPr>
          <w:t>32/2016</w:t>
        </w:r>
      </w:hyperlink>
      <w:r>
        <w:t>, f. 12.</w:t>
      </w:r>
    </w:p>
    <w:p w:rsidR="0057104C" w:rsidRDefault="0057104C" w:rsidP="0057104C">
      <w:pPr>
        <w:pStyle w:val="SangriaFrancesaArticulo"/>
      </w:pPr>
      <w:r w:rsidRPr="0057104C">
        <w:rPr>
          <w:rStyle w:val="TextoNormalNegritaCaracter"/>
        </w:rPr>
        <w:t>Artículo 3.13 a).</w:t>
      </w:r>
      <w:r w:rsidRPr="0057104C">
        <w:rPr>
          <w:rStyle w:val="TextoNormalCaracter"/>
        </w:rPr>
        <w:t>-</w:t>
      </w:r>
      <w:r>
        <w:t xml:space="preserve"> Sentencia </w:t>
      </w:r>
      <w:hyperlink w:anchor="SENTENCIA_2016_32" w:history="1">
        <w:r w:rsidRPr="0057104C">
          <w:rPr>
            <w:rStyle w:val="TextoNormalCaracter"/>
          </w:rPr>
          <w:t>32/2016</w:t>
        </w:r>
      </w:hyperlink>
      <w:r>
        <w:t>, ff. 1, 3, 5.</w:t>
      </w:r>
    </w:p>
    <w:p w:rsidR="0057104C" w:rsidRDefault="0057104C" w:rsidP="0057104C">
      <w:pPr>
        <w:pStyle w:val="SangriaFrancesaArticulo"/>
      </w:pPr>
      <w:r w:rsidRPr="0057104C">
        <w:rPr>
          <w:rStyle w:val="TextoNormalNegritaCaracter"/>
        </w:rPr>
        <w:t>Artículo 3.16.</w:t>
      </w:r>
      <w:r w:rsidRPr="0057104C">
        <w:rPr>
          <w:rStyle w:val="TextoNormalCaracter"/>
        </w:rPr>
        <w:t>-</w:t>
      </w:r>
      <w:r>
        <w:t xml:space="preserve"> Sentencia </w:t>
      </w:r>
      <w:hyperlink w:anchor="SENTENCIA_2016_32" w:history="1">
        <w:r w:rsidRPr="0057104C">
          <w:rPr>
            <w:rStyle w:val="TextoNormalCaracter"/>
          </w:rPr>
          <w:t>32/2016</w:t>
        </w:r>
      </w:hyperlink>
      <w:r>
        <w:t>, f. 6.</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32" w:history="1">
        <w:r w:rsidRPr="0057104C">
          <w:rPr>
            <w:rStyle w:val="TextoNormalCaracter"/>
          </w:rPr>
          <w:t>32/2016</w:t>
        </w:r>
      </w:hyperlink>
      <w:r>
        <w:t>, f. 8.</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32" w:history="1">
        <w:r w:rsidRPr="0057104C">
          <w:rPr>
            <w:rStyle w:val="TextoNormalCaracter"/>
          </w:rPr>
          <w:t>32/2016</w:t>
        </w:r>
      </w:hyperlink>
      <w:r>
        <w:t>, f. 6.</w:t>
      </w:r>
    </w:p>
    <w:p w:rsidR="0057104C" w:rsidRDefault="0057104C" w:rsidP="0057104C">
      <w:pPr>
        <w:pStyle w:val="SangriaFrancesaArticulo"/>
      </w:pPr>
      <w:r w:rsidRPr="0057104C">
        <w:rPr>
          <w:rStyle w:val="TextoNormalNegritaCaracter"/>
        </w:rPr>
        <w:t>Artículo 6.1 f).</w:t>
      </w:r>
      <w:r w:rsidRPr="0057104C">
        <w:rPr>
          <w:rStyle w:val="TextoNormalCaracter"/>
        </w:rPr>
        <w:t>-</w:t>
      </w:r>
      <w:r>
        <w:t xml:space="preserve"> Sentencia </w:t>
      </w:r>
      <w:hyperlink w:anchor="SENTENCIA_2016_32" w:history="1">
        <w:r w:rsidRPr="0057104C">
          <w:rPr>
            <w:rStyle w:val="TextoNormalCaracter"/>
          </w:rPr>
          <w:t>32/2016</w:t>
        </w:r>
      </w:hyperlink>
      <w:r>
        <w:t>, f. 11.</w:t>
      </w:r>
    </w:p>
    <w:p w:rsidR="0057104C" w:rsidRDefault="0057104C" w:rsidP="0057104C">
      <w:pPr>
        <w:pStyle w:val="SangriaFrancesaArticulo"/>
      </w:pPr>
      <w:r w:rsidRPr="0057104C">
        <w:rPr>
          <w:rStyle w:val="TextoNormalNegritaCaracter"/>
        </w:rPr>
        <w:t>Artículo 7.1.</w:t>
      </w:r>
      <w:r w:rsidRPr="0057104C">
        <w:rPr>
          <w:rStyle w:val="TextoNormalCaracter"/>
        </w:rPr>
        <w:t>-</w:t>
      </w:r>
      <w:r>
        <w:t xml:space="preserve"> Sentencias </w:t>
      </w:r>
      <w:hyperlink w:anchor="SENTENCIA_2016_32" w:history="1">
        <w:r w:rsidRPr="0057104C">
          <w:rPr>
            <w:rStyle w:val="TextoNormalCaracter"/>
          </w:rPr>
          <w:t>32/2016</w:t>
        </w:r>
      </w:hyperlink>
      <w:r>
        <w:t xml:space="preserve">, f. 9; </w:t>
      </w:r>
      <w:hyperlink w:anchor="SENTENCIA_2016_60" w:history="1">
        <w:r w:rsidRPr="0057104C">
          <w:rPr>
            <w:rStyle w:val="TextoNormalCaracter"/>
          </w:rPr>
          <w:t>60/2016</w:t>
        </w:r>
      </w:hyperlink>
      <w:r>
        <w:t>, f. 4.</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32" w:history="1">
        <w:r w:rsidRPr="0057104C">
          <w:rPr>
            <w:rStyle w:val="TextoNormalCaracter"/>
          </w:rPr>
          <w:t>32/2016</w:t>
        </w:r>
      </w:hyperlink>
      <w:r>
        <w:t>, f. 11.</w:t>
      </w:r>
    </w:p>
    <w:p w:rsidR="0057104C" w:rsidRDefault="0057104C" w:rsidP="0057104C">
      <w:pPr>
        <w:pStyle w:val="SangriaFrancesaArticulo"/>
      </w:pPr>
      <w:r w:rsidRPr="0057104C">
        <w:rPr>
          <w:rStyle w:val="TextoNormalNegritaCaracter"/>
        </w:rPr>
        <w:t>Artículo 8.2.</w:t>
      </w:r>
      <w:r w:rsidRPr="0057104C">
        <w:rPr>
          <w:rStyle w:val="TextoNormalCaracter"/>
        </w:rPr>
        <w:t>-</w:t>
      </w:r>
      <w:r>
        <w:t xml:space="preserve"> Sentencias </w:t>
      </w:r>
      <w:hyperlink w:anchor="SENTENCIA_2016_32" w:history="1">
        <w:r w:rsidRPr="0057104C">
          <w:rPr>
            <w:rStyle w:val="TextoNormalCaracter"/>
          </w:rPr>
          <w:t>32/2016</w:t>
        </w:r>
      </w:hyperlink>
      <w:r>
        <w:t xml:space="preserve">, f. 9; </w:t>
      </w:r>
      <w:hyperlink w:anchor="SENTENCIA_2016_60" w:history="1">
        <w:r w:rsidRPr="0057104C">
          <w:rPr>
            <w:rStyle w:val="TextoNormalCaracter"/>
          </w:rPr>
          <w:t>60/2016</w:t>
        </w:r>
      </w:hyperlink>
      <w:r>
        <w:t>, f. 4.</w:t>
      </w:r>
    </w:p>
    <w:p w:rsidR="0057104C" w:rsidRDefault="0057104C" w:rsidP="0057104C">
      <w:pPr>
        <w:pStyle w:val="SangriaFrancesaArticulo"/>
      </w:pPr>
      <w:r w:rsidRPr="0057104C">
        <w:rPr>
          <w:rStyle w:val="TextoNormalNegritaCaracter"/>
        </w:rPr>
        <w:t>Artículo 8.3.</w:t>
      </w:r>
      <w:r w:rsidRPr="0057104C">
        <w:rPr>
          <w:rStyle w:val="TextoNormalCaracter"/>
        </w:rPr>
        <w:t>-</w:t>
      </w:r>
      <w:r>
        <w:t xml:space="preserve"> Sentencia </w:t>
      </w:r>
      <w:hyperlink w:anchor="SENTENCIA_2016_32" w:history="1">
        <w:r w:rsidRPr="0057104C">
          <w:rPr>
            <w:rStyle w:val="TextoNormalCaracter"/>
          </w:rPr>
          <w:t>32/2016</w:t>
        </w:r>
      </w:hyperlink>
      <w:r>
        <w:t>, f. 11.</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Sentencias </w:t>
      </w:r>
      <w:hyperlink w:anchor="SENTENCIA_2016_32" w:history="1">
        <w:r w:rsidRPr="0057104C">
          <w:rPr>
            <w:rStyle w:val="TextoNormalCaracter"/>
          </w:rPr>
          <w:t>32/2016</w:t>
        </w:r>
      </w:hyperlink>
      <w:r>
        <w:t xml:space="preserve">, ff. 1, 2, 6; </w:t>
      </w:r>
      <w:hyperlink w:anchor="SENTENCIA_2016_60" w:history="1">
        <w:r w:rsidRPr="0057104C">
          <w:rPr>
            <w:rStyle w:val="TextoNormalCaracter"/>
          </w:rPr>
          <w:t>60/2016</w:t>
        </w:r>
      </w:hyperlink>
      <w:r>
        <w:t xml:space="preserve">, f. 3; </w:t>
      </w:r>
      <w:hyperlink w:anchor="SENTENCIA_2016_72" w:history="1">
        <w:r w:rsidRPr="0057104C">
          <w:rPr>
            <w:rStyle w:val="TextoNormalCaracter"/>
          </w:rPr>
          <w:t>72/2016</w:t>
        </w:r>
      </w:hyperlink>
      <w:r>
        <w:t>, ff. 1, 3.</w:t>
      </w:r>
    </w:p>
    <w:p w:rsidR="0057104C" w:rsidRDefault="0057104C" w:rsidP="0057104C">
      <w:pPr>
        <w:pStyle w:val="SangriaFrancesaArticulo"/>
      </w:pPr>
      <w:r w:rsidRPr="0057104C">
        <w:rPr>
          <w:rStyle w:val="TextoNormalNegritaCaracter"/>
        </w:rPr>
        <w:t>Artículo 9.1 e).</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r w:rsidRPr="0057104C">
        <w:rPr>
          <w:rStyle w:val="TextoNormalNegritaCaracter"/>
        </w:rPr>
        <w:t>Artículo 9.1 f).</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r w:rsidRPr="0057104C">
        <w:rPr>
          <w:rStyle w:val="TextoNormalNegritaCaracter"/>
        </w:rPr>
        <w:t>Artículo 9.3, párrafo 4</w:t>
      </w:r>
      <w:r>
        <w:t xml:space="preserve"> (redactado por el Real Decreto-ley 9/2015, de 10 de julio)</w:t>
      </w:r>
      <w:r w:rsidRPr="0057104C">
        <w:rPr>
          <w:rStyle w:val="TextoNormalNegritaCaracter"/>
        </w:rPr>
        <w:t>.</w:t>
      </w:r>
      <w:r w:rsidRPr="0057104C">
        <w:rPr>
          <w:rStyle w:val="TextoNormalCaracter"/>
        </w:rPr>
        <w:t>-</w:t>
      </w:r>
      <w:r>
        <w:t xml:space="preserve"> Sentencia </w:t>
      </w:r>
      <w:hyperlink w:anchor="SENTENCIA_2016_32" w:history="1">
        <w:r w:rsidRPr="0057104C">
          <w:rPr>
            <w:rStyle w:val="TextoNormalCaracter"/>
          </w:rPr>
          <w:t>32/2016</w:t>
        </w:r>
      </w:hyperlink>
      <w:r>
        <w:t>, f. 2.</w:t>
      </w:r>
    </w:p>
    <w:p w:rsidR="0057104C" w:rsidRDefault="0057104C" w:rsidP="0057104C">
      <w:pPr>
        <w:pStyle w:val="SangriaFrancesaArticulo"/>
      </w:pPr>
      <w:r w:rsidRPr="0057104C">
        <w:rPr>
          <w:rStyle w:val="TextoNormalNegritaCaracter"/>
        </w:rPr>
        <w:t>Artículo 9.4.</w:t>
      </w:r>
      <w:r w:rsidRPr="0057104C">
        <w:rPr>
          <w:rStyle w:val="TextoNormalCaracter"/>
        </w:rPr>
        <w:t>-</w:t>
      </w:r>
      <w:r>
        <w:t xml:space="preserve"> Sentencias </w:t>
      </w:r>
      <w:hyperlink w:anchor="SENTENCIA_2016_32" w:history="1">
        <w:r w:rsidRPr="0057104C">
          <w:rPr>
            <w:rStyle w:val="TextoNormalCaracter"/>
          </w:rPr>
          <w:t>32/2016</w:t>
        </w:r>
      </w:hyperlink>
      <w:r>
        <w:t xml:space="preserve">, f. 6; </w:t>
      </w:r>
      <w:hyperlink w:anchor="SENTENCIA_2016_60" w:history="1">
        <w:r w:rsidRPr="0057104C">
          <w:rPr>
            <w:rStyle w:val="TextoNormalCaracter"/>
          </w:rPr>
          <w:t>60/2016</w:t>
        </w:r>
      </w:hyperlink>
      <w:r>
        <w:t xml:space="preserve">, f. 3; </w:t>
      </w:r>
      <w:hyperlink w:anchor="SENTENCIA_2016_72" w:history="1">
        <w:r w:rsidRPr="0057104C">
          <w:rPr>
            <w:rStyle w:val="TextoNormalCaracter"/>
          </w:rPr>
          <w:t>72/2016</w:t>
        </w:r>
      </w:hyperlink>
      <w:r>
        <w:t>, f. 3.</w:t>
      </w:r>
    </w:p>
    <w:p w:rsidR="0057104C" w:rsidRDefault="0057104C" w:rsidP="0057104C">
      <w:pPr>
        <w:pStyle w:val="SangriaFrancesaArticulo"/>
      </w:pPr>
      <w:r w:rsidRPr="0057104C">
        <w:rPr>
          <w:rStyle w:val="TextoNormalNegritaCaracter"/>
        </w:rPr>
        <w:t>Artículo 9.5.</w:t>
      </w:r>
      <w:r w:rsidRPr="0057104C">
        <w:rPr>
          <w:rStyle w:val="TextoNormalCaracter"/>
        </w:rPr>
        <w:t>-</w:t>
      </w:r>
      <w:r>
        <w:t xml:space="preserve"> Sentencia </w:t>
      </w:r>
      <w:hyperlink w:anchor="SENTENCIA_2016_32" w:history="1">
        <w:r w:rsidRPr="0057104C">
          <w:rPr>
            <w:rStyle w:val="TextoNormalCaracter"/>
          </w:rPr>
          <w:t>32/2016</w:t>
        </w:r>
      </w:hyperlink>
      <w:r>
        <w:t>, f. 6.</w:t>
      </w:r>
    </w:p>
    <w:p w:rsidR="0057104C" w:rsidRDefault="0057104C" w:rsidP="0057104C">
      <w:pPr>
        <w:pStyle w:val="SangriaFrancesaArticulo"/>
      </w:pPr>
      <w:r w:rsidRPr="0057104C">
        <w:rPr>
          <w:rStyle w:val="TextoNormalNegritaCaracter"/>
        </w:rPr>
        <w:t>Artículo 10.1.</w:t>
      </w:r>
      <w:r w:rsidRPr="0057104C">
        <w:rPr>
          <w:rStyle w:val="TextoNormalCaracter"/>
        </w:rPr>
        <w:t>-</w:t>
      </w:r>
      <w:r>
        <w:t xml:space="preserve"> Sentencias </w:t>
      </w:r>
      <w:hyperlink w:anchor="SENTENCIA_2016_32" w:history="1">
        <w:r w:rsidRPr="0057104C">
          <w:rPr>
            <w:rStyle w:val="TextoNormalCaracter"/>
          </w:rPr>
          <w:t>32/2016</w:t>
        </w:r>
      </w:hyperlink>
      <w:r>
        <w:t xml:space="preserve">, f. 12; </w:t>
      </w:r>
      <w:hyperlink w:anchor="SENTENCIA_2016_60" w:history="1">
        <w:r w:rsidRPr="0057104C">
          <w:rPr>
            <w:rStyle w:val="TextoNormalCaracter"/>
          </w:rPr>
          <w:t>60/2016</w:t>
        </w:r>
      </w:hyperlink>
      <w:r>
        <w:t>, f. 7.</w:t>
      </w:r>
    </w:p>
    <w:p w:rsidR="0057104C" w:rsidRDefault="0057104C" w:rsidP="0057104C">
      <w:pPr>
        <w:pStyle w:val="SangriaFrancesaArticulo"/>
      </w:pPr>
      <w:r w:rsidRPr="0057104C">
        <w:rPr>
          <w:rStyle w:val="TextoNormalNegritaCaracter"/>
        </w:rPr>
        <w:t>Artículo 11.2.</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r w:rsidRPr="0057104C">
        <w:rPr>
          <w:rStyle w:val="TextoNormalNegritaCaracter"/>
        </w:rPr>
        <w:t>Artículo 11.3.</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r w:rsidRPr="0057104C">
        <w:rPr>
          <w:rStyle w:val="TextoNormalNegritaCaracter"/>
        </w:rPr>
        <w:t>Artículo 13.2.</w:t>
      </w:r>
      <w:r w:rsidRPr="0057104C">
        <w:rPr>
          <w:rStyle w:val="TextoNormalCaracter"/>
        </w:rPr>
        <w:t>-</w:t>
      </w:r>
      <w:r>
        <w:t xml:space="preserve"> Sentencia </w:t>
      </w:r>
      <w:hyperlink w:anchor="SENTENCIA_2016_120" w:history="1">
        <w:r w:rsidRPr="0057104C">
          <w:rPr>
            <w:rStyle w:val="TextoNormalCaracter"/>
          </w:rPr>
          <w:t>120/2016</w:t>
        </w:r>
      </w:hyperlink>
      <w:r>
        <w:t>, f. 8.</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120" w:history="1">
        <w:r w:rsidRPr="0057104C">
          <w:rPr>
            <w:rStyle w:val="TextoNormalCaracter"/>
          </w:rPr>
          <w:t>120/2016</w:t>
        </w:r>
      </w:hyperlink>
      <w:r>
        <w:t>, f. 8.</w:t>
      </w:r>
    </w:p>
    <w:p w:rsidR="0057104C" w:rsidRDefault="0057104C" w:rsidP="0057104C">
      <w:pPr>
        <w:pStyle w:val="SangriaFrancesaArticulo"/>
      </w:pPr>
      <w:r w:rsidRPr="0057104C">
        <w:rPr>
          <w:rStyle w:val="TextoNormalNegritaCaracter"/>
        </w:rPr>
        <w:t>Artículo 14.3.</w:t>
      </w:r>
      <w:r w:rsidRPr="0057104C">
        <w:rPr>
          <w:rStyle w:val="TextoNormalCaracter"/>
        </w:rPr>
        <w:t>-</w:t>
      </w:r>
      <w:r>
        <w:t xml:space="preserve"> Sentencia </w:t>
      </w:r>
      <w:hyperlink w:anchor="SENTENCIA_2016_120" w:history="1">
        <w:r w:rsidRPr="0057104C">
          <w:rPr>
            <w:rStyle w:val="TextoNormalCaracter"/>
          </w:rPr>
          <w:t>120/2016</w:t>
        </w:r>
      </w:hyperlink>
      <w:r>
        <w:t>, f. 7.</w:t>
      </w:r>
    </w:p>
    <w:p w:rsidR="0057104C" w:rsidRDefault="0057104C" w:rsidP="0057104C">
      <w:pPr>
        <w:pStyle w:val="SangriaFrancesaArticulo"/>
      </w:pPr>
      <w:r w:rsidRPr="0057104C">
        <w:rPr>
          <w:rStyle w:val="TextoNormalNegritaCaracter"/>
        </w:rPr>
        <w:t>Artículo 14.8.</w:t>
      </w:r>
      <w:r w:rsidRPr="0057104C">
        <w:rPr>
          <w:rStyle w:val="TextoNormalCaracter"/>
        </w:rPr>
        <w:t>-</w:t>
      </w:r>
      <w:r>
        <w:t xml:space="preserve"> Sentencia </w:t>
      </w:r>
      <w:hyperlink w:anchor="SENTENCIA_2016_120" w:history="1">
        <w:r w:rsidRPr="0057104C">
          <w:rPr>
            <w:rStyle w:val="TextoNormalCaracter"/>
          </w:rPr>
          <w:t>120/2016</w:t>
        </w:r>
      </w:hyperlink>
      <w:r>
        <w:t>, ff. 2, 7.</w:t>
      </w:r>
    </w:p>
    <w:p w:rsidR="0057104C" w:rsidRDefault="0057104C" w:rsidP="0057104C">
      <w:pPr>
        <w:pStyle w:val="SangriaFrancesaArticulo"/>
      </w:pPr>
      <w:r w:rsidRPr="0057104C">
        <w:rPr>
          <w:rStyle w:val="TextoNormalNegritaCaracter"/>
        </w:rPr>
        <w:t>Artículo 14.9.</w:t>
      </w:r>
      <w:r w:rsidRPr="0057104C">
        <w:rPr>
          <w:rStyle w:val="TextoNormalCaracter"/>
        </w:rPr>
        <w:t>-</w:t>
      </w:r>
      <w:r>
        <w:t xml:space="preserve"> Sentencia </w:t>
      </w:r>
      <w:hyperlink w:anchor="SENTENCIA_2016_120" w:history="1">
        <w:r w:rsidRPr="0057104C">
          <w:rPr>
            <w:rStyle w:val="TextoNormalCaracter"/>
          </w:rPr>
          <w:t>120/2016</w:t>
        </w:r>
      </w:hyperlink>
      <w:r>
        <w:t>, ff. 2, 8.</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Sentencias </w:t>
      </w:r>
      <w:hyperlink w:anchor="SENTENCIA_2016_32" w:history="1">
        <w:r w:rsidRPr="0057104C">
          <w:rPr>
            <w:rStyle w:val="TextoNormalCaracter"/>
          </w:rPr>
          <w:t>32/2016</w:t>
        </w:r>
      </w:hyperlink>
      <w:r>
        <w:t xml:space="preserve">, ff. 1, 7; </w:t>
      </w:r>
      <w:hyperlink w:anchor="SENTENCIA_2016_120" w:history="1">
        <w:r w:rsidRPr="0057104C">
          <w:rPr>
            <w:rStyle w:val="TextoNormalCaracter"/>
          </w:rPr>
          <w:t>120/2016</w:t>
        </w:r>
      </w:hyperlink>
      <w:r>
        <w:t>, f. 5.</w:t>
      </w:r>
    </w:p>
    <w:p w:rsidR="0057104C" w:rsidRDefault="0057104C" w:rsidP="0057104C">
      <w:pPr>
        <w:pStyle w:val="SangriaFrancesaArticulo"/>
      </w:pPr>
      <w:r w:rsidRPr="0057104C">
        <w:rPr>
          <w:rStyle w:val="TextoNormalNegritaCaracter"/>
        </w:rPr>
        <w:t>Artículo 15</w:t>
      </w:r>
      <w:r>
        <w:t xml:space="preserve"> (redactado por la Ley 8/2015, de 21 de mayo)</w:t>
      </w:r>
      <w:r w:rsidRPr="0057104C">
        <w:rPr>
          <w:rStyle w:val="TextoNormalNegritaCaracter"/>
        </w:rPr>
        <w:t>.</w:t>
      </w:r>
      <w:r w:rsidRPr="0057104C">
        <w:rPr>
          <w:rStyle w:val="TextoNormalCaracter"/>
        </w:rPr>
        <w:t>-</w:t>
      </w:r>
      <w:r>
        <w:t xml:space="preserve"> Sentencia </w:t>
      </w:r>
      <w:hyperlink w:anchor="SENTENCIA_2016_32" w:history="1">
        <w:r w:rsidRPr="0057104C">
          <w:rPr>
            <w:rStyle w:val="TextoNormalCaracter"/>
          </w:rPr>
          <w:t>32/2016</w:t>
        </w:r>
      </w:hyperlink>
      <w:r>
        <w:t>, ff. 2, 7.</w:t>
      </w:r>
    </w:p>
    <w:p w:rsidR="0057104C" w:rsidRDefault="0057104C" w:rsidP="0057104C">
      <w:pPr>
        <w:pStyle w:val="SangriaFrancesaArticulo"/>
      </w:pPr>
      <w:r w:rsidRPr="0057104C">
        <w:rPr>
          <w:rStyle w:val="TextoNormalNegritaCaracter"/>
        </w:rPr>
        <w:t>Artículo 15.2.</w:t>
      </w:r>
      <w:r w:rsidRPr="0057104C">
        <w:rPr>
          <w:rStyle w:val="TextoNormalCaracter"/>
        </w:rPr>
        <w:t>-</w:t>
      </w:r>
      <w:r>
        <w:t xml:space="preserve"> Sentencia </w:t>
      </w:r>
      <w:hyperlink w:anchor="SENTENCIA_2016_120" w:history="1">
        <w:r w:rsidRPr="0057104C">
          <w:rPr>
            <w:rStyle w:val="TextoNormalCaracter"/>
          </w:rPr>
          <w:t>120/2016</w:t>
        </w:r>
      </w:hyperlink>
      <w:r>
        <w:t>, f. 5.</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32" w:history="1">
        <w:r w:rsidRPr="0057104C">
          <w:rPr>
            <w:rStyle w:val="TextoNormalCaracter"/>
          </w:rPr>
          <w:t>32/2016</w:t>
        </w:r>
      </w:hyperlink>
      <w:r>
        <w:t>, f. 11.</w:t>
      </w:r>
    </w:p>
    <w:p w:rsidR="0057104C" w:rsidRDefault="0057104C" w:rsidP="0057104C">
      <w:pPr>
        <w:pStyle w:val="SangriaFrancesaArticulo"/>
      </w:pPr>
      <w:r w:rsidRPr="0057104C">
        <w:rPr>
          <w:rStyle w:val="TextoNormalNegritaCaracter"/>
        </w:rPr>
        <w:t>Artículo 16.4.</w:t>
      </w:r>
      <w:r w:rsidRPr="0057104C">
        <w:rPr>
          <w:rStyle w:val="TextoNormalCaracter"/>
        </w:rPr>
        <w:t>-</w:t>
      </w:r>
      <w:r>
        <w:t xml:space="preserve"> Sentencias </w:t>
      </w:r>
      <w:hyperlink w:anchor="SENTENCIA_2016_62" w:history="1">
        <w:r w:rsidRPr="0057104C">
          <w:rPr>
            <w:rStyle w:val="TextoNormalCaracter"/>
          </w:rPr>
          <w:t>62/2016</w:t>
        </w:r>
      </w:hyperlink>
      <w:r>
        <w:t xml:space="preserve">, VPI; </w:t>
      </w:r>
      <w:hyperlink w:anchor="SENTENCIA_2016_120" w:history="1">
        <w:r w:rsidRPr="0057104C">
          <w:rPr>
            <w:rStyle w:val="TextoNormalCaracter"/>
          </w:rPr>
          <w:t>120/2016</w:t>
        </w:r>
      </w:hyperlink>
      <w:r>
        <w:t>, f. 5.</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Sentencias </w:t>
      </w:r>
      <w:hyperlink w:anchor="SENTENCIA_2016_32" w:history="1">
        <w:r w:rsidRPr="0057104C">
          <w:rPr>
            <w:rStyle w:val="TextoNormalCaracter"/>
          </w:rPr>
          <w:t>32/2016</w:t>
        </w:r>
      </w:hyperlink>
      <w:r>
        <w:t xml:space="preserve">, f. 11, VPI; </w:t>
      </w:r>
      <w:hyperlink w:anchor="SENTENCIA_2016_60" w:history="1">
        <w:r w:rsidRPr="0057104C">
          <w:rPr>
            <w:rStyle w:val="TextoNormalCaracter"/>
          </w:rPr>
          <w:t>60/2016</w:t>
        </w:r>
      </w:hyperlink>
      <w:r>
        <w:t>, f. 6.</w:t>
      </w:r>
    </w:p>
    <w:p w:rsidR="0057104C" w:rsidRDefault="0057104C" w:rsidP="0057104C">
      <w:pPr>
        <w:pStyle w:val="SangriaFrancesaArticulo"/>
      </w:pPr>
      <w:r w:rsidRPr="0057104C">
        <w:rPr>
          <w:rStyle w:val="TextoNormalNegritaCaracter"/>
        </w:rPr>
        <w:t>Artículo 17.4.</w:t>
      </w:r>
      <w:r w:rsidRPr="0057104C">
        <w:rPr>
          <w:rStyle w:val="TextoNormalCaracter"/>
        </w:rPr>
        <w:t>-</w:t>
      </w:r>
      <w:r>
        <w:t xml:space="preserve"> Sentencia </w:t>
      </w:r>
      <w:hyperlink w:anchor="SENTENCIA_2016_120" w:history="1">
        <w:r w:rsidRPr="0057104C">
          <w:rPr>
            <w:rStyle w:val="TextoNormalCaracter"/>
          </w:rPr>
          <w:t>120/2016</w:t>
        </w:r>
      </w:hyperlink>
      <w:r>
        <w:t>, f. 5.</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Sentencias </w:t>
      </w:r>
      <w:hyperlink w:anchor="SENTENCIA_2016_32" w:history="1">
        <w:r w:rsidRPr="0057104C">
          <w:rPr>
            <w:rStyle w:val="TextoNormalCaracter"/>
          </w:rPr>
          <w:t>32/2016</w:t>
        </w:r>
      </w:hyperlink>
      <w:r>
        <w:t xml:space="preserve">, f. 9; </w:t>
      </w:r>
      <w:hyperlink w:anchor="SENTENCIA_2016_60" w:history="1">
        <w:r w:rsidRPr="0057104C">
          <w:rPr>
            <w:rStyle w:val="TextoNormalCaracter"/>
          </w:rPr>
          <w:t>60/2016</w:t>
        </w:r>
      </w:hyperlink>
      <w:r>
        <w:t>, f. 4.</w:t>
      </w:r>
    </w:p>
    <w:p w:rsidR="0057104C" w:rsidRDefault="0057104C" w:rsidP="0057104C">
      <w:pPr>
        <w:pStyle w:val="SangriaFrancesaArticulo"/>
      </w:pPr>
      <w:r w:rsidRPr="0057104C">
        <w:rPr>
          <w:rStyle w:val="TextoNormalNegritaCaracter"/>
        </w:rPr>
        <w:t>Artículo 33.4.</w:t>
      </w:r>
      <w:r w:rsidRPr="0057104C">
        <w:rPr>
          <w:rStyle w:val="TextoNormalCaracter"/>
        </w:rPr>
        <w:t>-</w:t>
      </w:r>
      <w:r>
        <w:t xml:space="preserve"> Sentencia </w:t>
      </w:r>
      <w:hyperlink w:anchor="SENTENCIA_2016_32" w:history="1">
        <w:r w:rsidRPr="0057104C">
          <w:rPr>
            <w:rStyle w:val="TextoNormalCaracter"/>
          </w:rPr>
          <w:t>32/2016</w:t>
        </w:r>
      </w:hyperlink>
      <w:r>
        <w:t>, f. 8.</w:t>
      </w:r>
    </w:p>
    <w:p w:rsidR="0057104C" w:rsidRDefault="0057104C" w:rsidP="0057104C">
      <w:pPr>
        <w:pStyle w:val="SangriaFrancesaArticulo"/>
      </w:pPr>
      <w:r w:rsidRPr="0057104C">
        <w:rPr>
          <w:rStyle w:val="TextoNormalNegritaCaracter"/>
        </w:rPr>
        <w:t>Artículo 33.5.</w:t>
      </w:r>
      <w:r w:rsidRPr="0057104C">
        <w:rPr>
          <w:rStyle w:val="TextoNormalCaracter"/>
        </w:rPr>
        <w:t>-</w:t>
      </w:r>
      <w:r>
        <w:t xml:space="preserve"> Sentencia </w:t>
      </w:r>
      <w:hyperlink w:anchor="SENTENCIA_2016_32" w:history="1">
        <w:r w:rsidRPr="0057104C">
          <w:rPr>
            <w:rStyle w:val="TextoNormalCaracter"/>
          </w:rPr>
          <w:t>32/2016</w:t>
        </w:r>
      </w:hyperlink>
      <w:r>
        <w:t>, ff. 1, 8.</w:t>
      </w:r>
    </w:p>
    <w:p w:rsidR="0057104C" w:rsidRDefault="0057104C" w:rsidP="0057104C">
      <w:pPr>
        <w:pStyle w:val="SangriaFrancesaArticulo"/>
      </w:pPr>
      <w:r w:rsidRPr="0057104C">
        <w:rPr>
          <w:rStyle w:val="TextoNormalNegritaCaracter"/>
        </w:rPr>
        <w:t>Artículo 38.</w:t>
      </w:r>
      <w:r w:rsidRPr="0057104C">
        <w:rPr>
          <w:rStyle w:val="TextoNormalCaracter"/>
        </w:rPr>
        <w:t>-</w:t>
      </w:r>
      <w:r>
        <w:t xml:space="preserve"> Sentencia </w:t>
      </w:r>
      <w:hyperlink w:anchor="SENTENCIA_2016_120" w:history="1">
        <w:r w:rsidRPr="0057104C">
          <w:rPr>
            <w:rStyle w:val="TextoNormalCaracter"/>
          </w:rPr>
          <w:t>120/2016</w:t>
        </w:r>
      </w:hyperlink>
      <w:r>
        <w:t>, f. 8.</w:t>
      </w:r>
    </w:p>
    <w:p w:rsidR="0057104C" w:rsidRDefault="0057104C" w:rsidP="0057104C">
      <w:pPr>
        <w:pStyle w:val="SangriaFrancesaArticulo"/>
      </w:pPr>
      <w:r w:rsidRPr="0057104C">
        <w:rPr>
          <w:rStyle w:val="TextoNormalNegritaCaracter"/>
        </w:rPr>
        <w:t>Artículo 38.1.</w:t>
      </w:r>
      <w:r w:rsidRPr="0057104C">
        <w:rPr>
          <w:rStyle w:val="TextoNormalCaracter"/>
        </w:rPr>
        <w:t>-</w:t>
      </w:r>
      <w:r>
        <w:t xml:space="preserve"> Sentencias </w:t>
      </w:r>
      <w:hyperlink w:anchor="SENTENCIA_2016_32" w:history="1">
        <w:r w:rsidRPr="0057104C">
          <w:rPr>
            <w:rStyle w:val="TextoNormalCaracter"/>
          </w:rPr>
          <w:t>32/2016</w:t>
        </w:r>
      </w:hyperlink>
      <w:r>
        <w:t xml:space="preserve">, f. 9; </w:t>
      </w:r>
      <w:hyperlink w:anchor="SENTENCIA_2016_120" w:history="1">
        <w:r w:rsidRPr="0057104C">
          <w:rPr>
            <w:rStyle w:val="TextoNormalCaracter"/>
          </w:rPr>
          <w:t>120/2016</w:t>
        </w:r>
      </w:hyperlink>
      <w:r>
        <w:t>, f. 3.</w:t>
      </w:r>
    </w:p>
    <w:p w:rsidR="0057104C" w:rsidRDefault="0057104C" w:rsidP="0057104C">
      <w:pPr>
        <w:pStyle w:val="SangriaFrancesaArticulo"/>
      </w:pPr>
      <w:r w:rsidRPr="0057104C">
        <w:rPr>
          <w:rStyle w:val="TextoNormalNegritaCaracter"/>
        </w:rPr>
        <w:t>Artículo 38.2.</w:t>
      </w:r>
      <w:r w:rsidRPr="0057104C">
        <w:rPr>
          <w:rStyle w:val="TextoNormalCaracter"/>
        </w:rPr>
        <w:t>-</w:t>
      </w:r>
      <w:r>
        <w:t xml:space="preserve"> Sentencia </w:t>
      </w:r>
      <w:hyperlink w:anchor="SENTENCIA_2016_120" w:history="1">
        <w:r w:rsidRPr="0057104C">
          <w:rPr>
            <w:rStyle w:val="TextoNormalCaracter"/>
          </w:rPr>
          <w:t>120/2016</w:t>
        </w:r>
      </w:hyperlink>
      <w:r>
        <w:t>, f. 8.</w:t>
      </w:r>
    </w:p>
    <w:p w:rsidR="0057104C" w:rsidRDefault="0057104C" w:rsidP="0057104C">
      <w:pPr>
        <w:pStyle w:val="SangriaFrancesaArticulo"/>
      </w:pPr>
      <w:r w:rsidRPr="0057104C">
        <w:rPr>
          <w:rStyle w:val="TextoNormalNegritaCaracter"/>
        </w:rPr>
        <w:t>Artículo 38.4.</w:t>
      </w:r>
      <w:r w:rsidRPr="0057104C">
        <w:rPr>
          <w:rStyle w:val="TextoNormalCaracter"/>
        </w:rPr>
        <w:t>-</w:t>
      </w:r>
      <w:r>
        <w:t xml:space="preserve"> Sentencias </w:t>
      </w:r>
      <w:hyperlink w:anchor="SENTENCIA_2016_32" w:history="1">
        <w:r w:rsidRPr="0057104C">
          <w:rPr>
            <w:rStyle w:val="TextoNormalCaracter"/>
          </w:rPr>
          <w:t>32/2016</w:t>
        </w:r>
      </w:hyperlink>
      <w:r>
        <w:t xml:space="preserve">, f. 9; </w:t>
      </w:r>
      <w:hyperlink w:anchor="SENTENCIA_2016_120" w:history="1">
        <w:r w:rsidRPr="0057104C">
          <w:rPr>
            <w:rStyle w:val="TextoNormalCaracter"/>
          </w:rPr>
          <w:t>120/2016</w:t>
        </w:r>
      </w:hyperlink>
      <w:r>
        <w:t>, f. 3.</w:t>
      </w:r>
    </w:p>
    <w:p w:rsidR="0057104C" w:rsidRDefault="0057104C" w:rsidP="0057104C">
      <w:pPr>
        <w:pStyle w:val="SangriaFrancesaArticulo"/>
      </w:pPr>
      <w:r w:rsidRPr="0057104C">
        <w:rPr>
          <w:rStyle w:val="TextoNormalNegritaCaracter"/>
        </w:rPr>
        <w:t>Artículo 38.8.</w:t>
      </w:r>
      <w:r w:rsidRPr="0057104C">
        <w:rPr>
          <w:rStyle w:val="TextoNormalCaracter"/>
        </w:rPr>
        <w:t>-</w:t>
      </w:r>
      <w:r>
        <w:t xml:space="preserve"> Sentencia </w:t>
      </w:r>
      <w:hyperlink w:anchor="SENTENCIA_2016_32" w:history="1">
        <w:r w:rsidRPr="0057104C">
          <w:rPr>
            <w:rStyle w:val="TextoNormalCaracter"/>
          </w:rPr>
          <w:t>32/2016</w:t>
        </w:r>
      </w:hyperlink>
      <w:r>
        <w:t>, ff. 1, 9.</w:t>
      </w:r>
    </w:p>
    <w:p w:rsidR="0057104C" w:rsidRDefault="0057104C" w:rsidP="0057104C">
      <w:pPr>
        <w:pStyle w:val="SangriaFrancesaArticulo"/>
      </w:pPr>
      <w:r w:rsidRPr="0057104C">
        <w:rPr>
          <w:rStyle w:val="TextoNormalNegritaCaracter"/>
        </w:rPr>
        <w:t>Artículos 38 a 42.</w:t>
      </w:r>
      <w:r w:rsidRPr="0057104C">
        <w:rPr>
          <w:rStyle w:val="TextoNormalCaracter"/>
        </w:rPr>
        <w:t>-</w:t>
      </w:r>
      <w:r>
        <w:t xml:space="preserve"> Sentencia </w:t>
      </w:r>
      <w:hyperlink w:anchor="SENTENCIA_2016_32" w:history="1">
        <w:r w:rsidRPr="0057104C">
          <w:rPr>
            <w:rStyle w:val="TextoNormalCaracter"/>
          </w:rPr>
          <w:t>32/2016</w:t>
        </w:r>
      </w:hyperlink>
      <w:r>
        <w:t>, f. 9.</w:t>
      </w:r>
    </w:p>
    <w:p w:rsidR="0057104C" w:rsidRDefault="0057104C" w:rsidP="0057104C">
      <w:pPr>
        <w:pStyle w:val="SangriaFrancesaArticulo"/>
      </w:pPr>
      <w:r w:rsidRPr="0057104C">
        <w:rPr>
          <w:rStyle w:val="TextoNormalNegritaCaracter"/>
        </w:rPr>
        <w:t>Artículo 40.</w:t>
      </w:r>
      <w:r w:rsidRPr="0057104C">
        <w:rPr>
          <w:rStyle w:val="TextoNormalCaracter"/>
        </w:rPr>
        <w:t>-</w:t>
      </w:r>
      <w:r>
        <w:t xml:space="preserve"> Sentencias </w:t>
      </w:r>
      <w:hyperlink w:anchor="SENTENCIA_2016_32" w:history="1">
        <w:r w:rsidRPr="0057104C">
          <w:rPr>
            <w:rStyle w:val="TextoNormalCaracter"/>
          </w:rPr>
          <w:t>32/2016</w:t>
        </w:r>
      </w:hyperlink>
      <w:r>
        <w:t xml:space="preserve">, ff. 1, 9, 11; </w:t>
      </w:r>
      <w:hyperlink w:anchor="SENTENCIA_2016_60" w:history="1">
        <w:r w:rsidRPr="0057104C">
          <w:rPr>
            <w:rStyle w:val="TextoNormalCaracter"/>
          </w:rPr>
          <w:t>60/2016</w:t>
        </w:r>
      </w:hyperlink>
      <w:r>
        <w:t xml:space="preserve">, ff. 4, 6; </w:t>
      </w:r>
      <w:hyperlink w:anchor="SENTENCIA_2016_120" w:history="1">
        <w:r w:rsidRPr="0057104C">
          <w:rPr>
            <w:rStyle w:val="TextoNormalCaracter"/>
          </w:rPr>
          <w:t>120/2016</w:t>
        </w:r>
      </w:hyperlink>
      <w:r>
        <w:t>, f. 8.</w:t>
      </w:r>
    </w:p>
    <w:p w:rsidR="0057104C" w:rsidRDefault="0057104C" w:rsidP="0057104C">
      <w:pPr>
        <w:pStyle w:val="SangriaFrancesaArticulo"/>
      </w:pPr>
      <w:r w:rsidRPr="0057104C">
        <w:rPr>
          <w:rStyle w:val="TextoNormalNegritaCaracter"/>
        </w:rPr>
        <w:t>Artículo 40.1 a).</w:t>
      </w:r>
      <w:r w:rsidRPr="0057104C">
        <w:rPr>
          <w:rStyle w:val="TextoNormalCaracter"/>
        </w:rPr>
        <w:t>-</w:t>
      </w:r>
      <w:r>
        <w:t xml:space="preserve"> Sentencia </w:t>
      </w:r>
      <w:hyperlink w:anchor="SENTENCIA_2016_60" w:history="1">
        <w:r w:rsidRPr="0057104C">
          <w:rPr>
            <w:rStyle w:val="TextoNormalCaracter"/>
          </w:rPr>
          <w:t>60/2016</w:t>
        </w:r>
      </w:hyperlink>
      <w:r>
        <w:t>, f. 4.</w:t>
      </w:r>
    </w:p>
    <w:p w:rsidR="0057104C" w:rsidRDefault="0057104C" w:rsidP="0057104C">
      <w:pPr>
        <w:pStyle w:val="SangriaFrancesaArticulo"/>
      </w:pPr>
      <w:r w:rsidRPr="0057104C">
        <w:rPr>
          <w:rStyle w:val="TextoNormalNegritaCaracter"/>
        </w:rPr>
        <w:t>Artículo 40.1 b).</w:t>
      </w:r>
      <w:r w:rsidRPr="0057104C">
        <w:rPr>
          <w:rStyle w:val="TextoNormalCaracter"/>
        </w:rPr>
        <w:t>-</w:t>
      </w:r>
      <w:r>
        <w:t xml:space="preserve"> Sentencias </w:t>
      </w:r>
      <w:hyperlink w:anchor="SENTENCIA_2016_32" w:history="1">
        <w:r w:rsidRPr="0057104C">
          <w:rPr>
            <w:rStyle w:val="TextoNormalCaracter"/>
          </w:rPr>
          <w:t>32/2016</w:t>
        </w:r>
      </w:hyperlink>
      <w:r>
        <w:t xml:space="preserve">, f. 9; </w:t>
      </w:r>
      <w:hyperlink w:anchor="SENTENCIA_2016_60" w:history="1">
        <w:r w:rsidRPr="0057104C">
          <w:rPr>
            <w:rStyle w:val="TextoNormalCaracter"/>
          </w:rPr>
          <w:t>60/2016</w:t>
        </w:r>
      </w:hyperlink>
      <w:r>
        <w:t>, f. 4.</w:t>
      </w:r>
    </w:p>
    <w:p w:rsidR="0057104C" w:rsidRDefault="0057104C" w:rsidP="0057104C">
      <w:pPr>
        <w:pStyle w:val="SangriaFrancesaArticulo"/>
      </w:pPr>
      <w:r w:rsidRPr="0057104C">
        <w:rPr>
          <w:rStyle w:val="TextoNormalNegritaCaracter"/>
        </w:rPr>
        <w:t>Artículo 40.1 c).</w:t>
      </w:r>
      <w:r w:rsidRPr="0057104C">
        <w:rPr>
          <w:rStyle w:val="TextoNormalCaracter"/>
        </w:rPr>
        <w:t>-</w:t>
      </w:r>
      <w:r>
        <w:t xml:space="preserve"> Sentencias </w:t>
      </w:r>
      <w:hyperlink w:anchor="SENTENCIA_2016_32" w:history="1">
        <w:r w:rsidRPr="0057104C">
          <w:rPr>
            <w:rStyle w:val="TextoNormalCaracter"/>
          </w:rPr>
          <w:t>32/2016</w:t>
        </w:r>
      </w:hyperlink>
      <w:r>
        <w:t xml:space="preserve">, f. 9; </w:t>
      </w:r>
      <w:hyperlink w:anchor="SENTENCIA_2016_60" w:history="1">
        <w:r w:rsidRPr="0057104C">
          <w:rPr>
            <w:rStyle w:val="TextoNormalCaracter"/>
          </w:rPr>
          <w:t>60/2016</w:t>
        </w:r>
      </w:hyperlink>
      <w:r>
        <w:t xml:space="preserve">, f. 4; </w:t>
      </w:r>
      <w:hyperlink w:anchor="SENTENCIA_2016_120" w:history="1">
        <w:r w:rsidRPr="0057104C">
          <w:rPr>
            <w:rStyle w:val="TextoNormalCaracter"/>
          </w:rPr>
          <w:t>120/2016</w:t>
        </w:r>
      </w:hyperlink>
      <w:r>
        <w:t>, f. 8.</w:t>
      </w:r>
    </w:p>
    <w:p w:rsidR="0057104C" w:rsidRDefault="0057104C" w:rsidP="0057104C">
      <w:pPr>
        <w:pStyle w:val="SangriaFrancesaArticulo"/>
      </w:pPr>
      <w:r w:rsidRPr="0057104C">
        <w:rPr>
          <w:rStyle w:val="TextoNormalNegritaCaracter"/>
        </w:rPr>
        <w:t>Artículo 40.1 e).</w:t>
      </w:r>
      <w:r w:rsidRPr="0057104C">
        <w:rPr>
          <w:rStyle w:val="TextoNormalCaracter"/>
        </w:rPr>
        <w:t>-</w:t>
      </w:r>
      <w:r>
        <w:t xml:space="preserve"> Sentencias </w:t>
      </w:r>
      <w:hyperlink w:anchor="SENTENCIA_2016_32" w:history="1">
        <w:r w:rsidRPr="0057104C">
          <w:rPr>
            <w:rStyle w:val="TextoNormalCaracter"/>
          </w:rPr>
          <w:t>32/2016</w:t>
        </w:r>
      </w:hyperlink>
      <w:r>
        <w:t xml:space="preserve">, f. 9; </w:t>
      </w:r>
      <w:hyperlink w:anchor="SENTENCIA_2016_120" w:history="1">
        <w:r w:rsidRPr="0057104C">
          <w:rPr>
            <w:rStyle w:val="TextoNormalCaracter"/>
          </w:rPr>
          <w:t>120/2016</w:t>
        </w:r>
      </w:hyperlink>
      <w:r>
        <w:t>, ff. 6, 8.</w:t>
      </w:r>
    </w:p>
    <w:p w:rsidR="0057104C" w:rsidRDefault="0057104C" w:rsidP="0057104C">
      <w:pPr>
        <w:pStyle w:val="SangriaFrancesaArticulo"/>
      </w:pPr>
      <w:r w:rsidRPr="0057104C">
        <w:rPr>
          <w:rStyle w:val="TextoNormalNegritaCaracter"/>
        </w:rPr>
        <w:t>Artículo 40.1 h).</w:t>
      </w:r>
      <w:r w:rsidRPr="0057104C">
        <w:rPr>
          <w:rStyle w:val="TextoNormalCaracter"/>
        </w:rPr>
        <w:t>-</w:t>
      </w:r>
      <w:r>
        <w:t xml:space="preserve"> Sentencia </w:t>
      </w:r>
      <w:hyperlink w:anchor="SENTENCIA_2016_32" w:history="1">
        <w:r w:rsidRPr="0057104C">
          <w:rPr>
            <w:rStyle w:val="TextoNormalCaracter"/>
          </w:rPr>
          <w:t>32/2016</w:t>
        </w:r>
      </w:hyperlink>
      <w:r>
        <w:t>, ff. 8, 9.</w:t>
      </w:r>
    </w:p>
    <w:p w:rsidR="0057104C" w:rsidRDefault="0057104C" w:rsidP="0057104C">
      <w:pPr>
        <w:pStyle w:val="SangriaFrancesaArticulo"/>
      </w:pPr>
      <w:r w:rsidRPr="0057104C">
        <w:rPr>
          <w:rStyle w:val="TextoNormalNegritaCaracter"/>
        </w:rPr>
        <w:t>Artículo 40.1. a).</w:t>
      </w:r>
      <w:r w:rsidRPr="0057104C">
        <w:rPr>
          <w:rStyle w:val="TextoNormalCaracter"/>
        </w:rPr>
        <w:t>-</w:t>
      </w:r>
      <w:r>
        <w:t xml:space="preserve"> Sentencia </w:t>
      </w:r>
      <w:hyperlink w:anchor="SENTENCIA_2016_32" w:history="1">
        <w:r w:rsidRPr="0057104C">
          <w:rPr>
            <w:rStyle w:val="TextoNormalCaracter"/>
          </w:rPr>
          <w:t>32/2016</w:t>
        </w:r>
      </w:hyperlink>
      <w:r>
        <w:t>, f. 9.</w:t>
      </w:r>
    </w:p>
    <w:p w:rsidR="0057104C" w:rsidRDefault="0057104C" w:rsidP="0057104C">
      <w:pPr>
        <w:pStyle w:val="SangriaFrancesaArticulo"/>
      </w:pPr>
      <w:r w:rsidRPr="0057104C">
        <w:rPr>
          <w:rStyle w:val="TextoNormalNegritaCaracter"/>
        </w:rPr>
        <w:t>Artículo 40.2.</w:t>
      </w:r>
      <w:r w:rsidRPr="0057104C">
        <w:rPr>
          <w:rStyle w:val="TextoNormalCaracter"/>
        </w:rPr>
        <w:t>-</w:t>
      </w:r>
      <w:r>
        <w:t xml:space="preserve"> Sentencia </w:t>
      </w:r>
      <w:hyperlink w:anchor="SENTENCIA_2016_120" w:history="1">
        <w:r w:rsidRPr="0057104C">
          <w:rPr>
            <w:rStyle w:val="TextoNormalCaracter"/>
          </w:rPr>
          <w:t>120/2016</w:t>
        </w:r>
      </w:hyperlink>
      <w:r>
        <w:t>, f. 8.</w:t>
      </w:r>
    </w:p>
    <w:p w:rsidR="0057104C" w:rsidRDefault="0057104C" w:rsidP="0057104C">
      <w:pPr>
        <w:pStyle w:val="SangriaFrancesaArticulo"/>
      </w:pPr>
      <w:r w:rsidRPr="0057104C">
        <w:rPr>
          <w:rStyle w:val="TextoNormalNegritaCaracter"/>
        </w:rPr>
        <w:t xml:space="preserve">Artículo 40.2 inciso </w:t>
      </w:r>
      <w:r w:rsidRPr="0057104C">
        <w:rPr>
          <w:rStyle w:val="TextoNormalNegritaCursivaCaracter"/>
        </w:rPr>
        <w:t>in fine</w:t>
      </w:r>
      <w:r w:rsidRPr="0057104C">
        <w:rPr>
          <w:rStyle w:val="TextoNormalNegritaCaracter"/>
        </w:rPr>
        <w:t>.</w:t>
      </w:r>
      <w:r w:rsidRPr="0057104C">
        <w:rPr>
          <w:rStyle w:val="TextoNormalCaracter"/>
        </w:rPr>
        <w:t>-</w:t>
      </w:r>
      <w:r>
        <w:t xml:space="preserve"> Sentencia </w:t>
      </w:r>
      <w:hyperlink w:anchor="SENTENCIA_2016_32" w:history="1">
        <w:r w:rsidRPr="0057104C">
          <w:rPr>
            <w:rStyle w:val="TextoNormalCaracter"/>
          </w:rPr>
          <w:t>32/2016</w:t>
        </w:r>
      </w:hyperlink>
      <w:r>
        <w:t>, f. 9.</w:t>
      </w:r>
    </w:p>
    <w:p w:rsidR="0057104C" w:rsidRDefault="0057104C" w:rsidP="0057104C">
      <w:pPr>
        <w:pStyle w:val="SangriaFrancesaArticulo"/>
      </w:pPr>
      <w:r w:rsidRPr="0057104C">
        <w:rPr>
          <w:rStyle w:val="TextoNormalNegritaCaracter"/>
        </w:rPr>
        <w:t>Artículo 40.3 b).</w:t>
      </w:r>
      <w:r w:rsidRPr="0057104C">
        <w:rPr>
          <w:rStyle w:val="TextoNormalCaracter"/>
        </w:rPr>
        <w:t>-</w:t>
      </w:r>
      <w:r>
        <w:t xml:space="preserve"> Sentencia </w:t>
      </w:r>
      <w:hyperlink w:anchor="SENTENCIA_2016_32" w:history="1">
        <w:r w:rsidRPr="0057104C">
          <w:rPr>
            <w:rStyle w:val="TextoNormalCaracter"/>
          </w:rPr>
          <w:t>32/2016</w:t>
        </w:r>
      </w:hyperlink>
      <w:r>
        <w:t>, f. 9.</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32" w:history="1">
        <w:r w:rsidRPr="0057104C">
          <w:rPr>
            <w:rStyle w:val="TextoNormalCaracter"/>
          </w:rPr>
          <w:t>32/2016</w:t>
        </w:r>
      </w:hyperlink>
      <w:r>
        <w:t>, f. 11.</w:t>
      </w:r>
    </w:p>
    <w:p w:rsidR="0057104C" w:rsidRDefault="0057104C" w:rsidP="0057104C">
      <w:pPr>
        <w:pStyle w:val="SangriaFrancesaArticulo"/>
      </w:pPr>
      <w:r w:rsidRPr="0057104C">
        <w:rPr>
          <w:rStyle w:val="TextoNormalNegritaCaracter"/>
        </w:rPr>
        <w:t>Artículo 43.2.</w:t>
      </w:r>
      <w:r w:rsidRPr="0057104C">
        <w:rPr>
          <w:rStyle w:val="TextoNormalCaracter"/>
        </w:rPr>
        <w:t>-</w:t>
      </w:r>
      <w:r>
        <w:t xml:space="preserve"> Sentencia </w:t>
      </w:r>
      <w:hyperlink w:anchor="SENTENCIA_2016_32" w:history="1">
        <w:r w:rsidRPr="0057104C">
          <w:rPr>
            <w:rStyle w:val="TextoNormalCaracter"/>
          </w:rPr>
          <w:t>32/2016</w:t>
        </w:r>
      </w:hyperlink>
      <w:r>
        <w:t>, f. 11.</w:t>
      </w:r>
    </w:p>
    <w:p w:rsidR="0057104C" w:rsidRDefault="0057104C" w:rsidP="0057104C">
      <w:pPr>
        <w:pStyle w:val="SangriaFrancesaArticulo"/>
      </w:pPr>
      <w:r w:rsidRPr="0057104C">
        <w:rPr>
          <w:rStyle w:val="TextoNormalNegritaCaracter"/>
        </w:rPr>
        <w:t>Artículo 43.3.</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43.5.</w:t>
      </w:r>
      <w:r w:rsidRPr="0057104C">
        <w:rPr>
          <w:rStyle w:val="TextoNormalCaracter"/>
        </w:rPr>
        <w:t>-</w:t>
      </w:r>
      <w:r>
        <w:t xml:space="preserve"> Sentencias </w:t>
      </w:r>
      <w:hyperlink w:anchor="SENTENCIA_2016_32" w:history="1">
        <w:r w:rsidRPr="0057104C">
          <w:rPr>
            <w:rStyle w:val="TextoNormalCaracter"/>
          </w:rPr>
          <w:t>32/2016</w:t>
        </w:r>
      </w:hyperlink>
      <w:r>
        <w:t xml:space="preserve">, ff. 1, 10, VPI; </w:t>
      </w:r>
      <w:hyperlink w:anchor="SENTENCIA_2016_60" w:history="1">
        <w:r w:rsidRPr="0057104C">
          <w:rPr>
            <w:rStyle w:val="TextoNormalCaracter"/>
          </w:rPr>
          <w:t>60/2016</w:t>
        </w:r>
      </w:hyperlink>
      <w:r>
        <w:t xml:space="preserve">, ff. 5, 9, VPI, VPII;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44.</w:t>
      </w:r>
      <w:r w:rsidRPr="0057104C">
        <w:rPr>
          <w:rStyle w:val="TextoNormalCaracter"/>
        </w:rPr>
        <w:t>-</w:t>
      </w:r>
      <w:r>
        <w:t xml:space="preserve"> Sentencias </w:t>
      </w:r>
      <w:hyperlink w:anchor="SENTENCIA_2016_32" w:history="1">
        <w:r w:rsidRPr="0057104C">
          <w:rPr>
            <w:rStyle w:val="TextoNormalCaracter"/>
          </w:rPr>
          <w:t>32/2016</w:t>
        </w:r>
      </w:hyperlink>
      <w:r>
        <w:t xml:space="preserve">, f. 10; </w:t>
      </w:r>
      <w:hyperlink w:anchor="SENTENCIA_2016_60" w:history="1">
        <w:r w:rsidRPr="0057104C">
          <w:rPr>
            <w:rStyle w:val="TextoNormalCaracter"/>
          </w:rPr>
          <w:t>60/2016</w:t>
        </w:r>
      </w:hyperlink>
      <w:r>
        <w:t>, f. 5.</w:t>
      </w:r>
    </w:p>
    <w:p w:rsidR="0057104C" w:rsidRDefault="0057104C" w:rsidP="0057104C">
      <w:pPr>
        <w:pStyle w:val="SangriaFrancesaArticulo"/>
      </w:pPr>
      <w:r w:rsidRPr="0057104C">
        <w:rPr>
          <w:rStyle w:val="TextoNormalNegritaCaracter"/>
        </w:rPr>
        <w:t>Artículo 44.1.</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r w:rsidRPr="0057104C">
        <w:rPr>
          <w:rStyle w:val="TextoNormalNegritaCaracter"/>
        </w:rPr>
        <w:t>Artículo 45.</w:t>
      </w:r>
      <w:r w:rsidRPr="0057104C">
        <w:rPr>
          <w:rStyle w:val="TextoNormalCaracter"/>
        </w:rPr>
        <w:t>-</w:t>
      </w:r>
      <w:r>
        <w:t xml:space="preserve"> Sentencias </w:t>
      </w:r>
      <w:hyperlink w:anchor="SENTENCIA_2016_32" w:history="1">
        <w:r w:rsidRPr="0057104C">
          <w:rPr>
            <w:rStyle w:val="TextoNormalCaracter"/>
          </w:rPr>
          <w:t>32/2016</w:t>
        </w:r>
      </w:hyperlink>
      <w:r>
        <w:t xml:space="preserve">, f. 11; </w:t>
      </w:r>
      <w:hyperlink w:anchor="SENTENCIA_2016_62" w:history="1">
        <w:r w:rsidRPr="0057104C">
          <w:rPr>
            <w:rStyle w:val="TextoNormalCaracter"/>
          </w:rPr>
          <w:t>62/2016</w:t>
        </w:r>
      </w:hyperlink>
      <w:r>
        <w:t>, f. 9, VPI, VPII.</w:t>
      </w:r>
    </w:p>
    <w:p w:rsidR="0057104C" w:rsidRDefault="0057104C" w:rsidP="0057104C">
      <w:pPr>
        <w:pStyle w:val="SangriaFrancesaArticulo"/>
      </w:pPr>
      <w:r w:rsidRPr="0057104C">
        <w:rPr>
          <w:rStyle w:val="TextoNormalNegritaCaracter"/>
        </w:rPr>
        <w:t>Artículo 45.1.</w:t>
      </w:r>
      <w:r w:rsidRPr="0057104C">
        <w:rPr>
          <w:rStyle w:val="TextoNormalCaracter"/>
        </w:rPr>
        <w:t>-</w:t>
      </w:r>
      <w:r>
        <w:t xml:space="preserve"> Sentencia </w:t>
      </w:r>
      <w:hyperlink w:anchor="SENTENCIA_2016_62" w:history="1">
        <w:r w:rsidRPr="0057104C">
          <w:rPr>
            <w:rStyle w:val="TextoNormalCaracter"/>
          </w:rPr>
          <w:t>62/2016</w:t>
        </w:r>
      </w:hyperlink>
      <w:r>
        <w:t>, f. 9, VPII.</w:t>
      </w:r>
    </w:p>
    <w:p w:rsidR="0057104C" w:rsidRDefault="0057104C" w:rsidP="0057104C">
      <w:pPr>
        <w:pStyle w:val="SangriaFrancesaArticulo"/>
      </w:pPr>
      <w:r w:rsidRPr="0057104C">
        <w:rPr>
          <w:rStyle w:val="TextoNormalNegritaCaracter"/>
        </w:rPr>
        <w:t>Artículo 45.2.</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Artículo 45.3.</w:t>
      </w:r>
      <w:r w:rsidRPr="0057104C">
        <w:rPr>
          <w:rStyle w:val="TextoNormalCaracter"/>
        </w:rPr>
        <w:t>-</w:t>
      </w:r>
      <w:r>
        <w:t xml:space="preserve"> Sentencia </w:t>
      </w:r>
      <w:hyperlink w:anchor="SENTENCIA_2016_62" w:history="1">
        <w:r w:rsidRPr="0057104C">
          <w:rPr>
            <w:rStyle w:val="TextoNormalCaracter"/>
          </w:rPr>
          <w:t>62/2016</w:t>
        </w:r>
      </w:hyperlink>
      <w:r>
        <w:t>, f. 10.</w:t>
      </w:r>
    </w:p>
    <w:p w:rsidR="0057104C" w:rsidRDefault="0057104C" w:rsidP="0057104C">
      <w:pPr>
        <w:pStyle w:val="SangriaFrancesaArticulo"/>
      </w:pPr>
      <w:r w:rsidRPr="0057104C">
        <w:rPr>
          <w:rStyle w:val="TextoNormalNegritaCaracter"/>
        </w:rPr>
        <w:t>Artículo 45.4.</w:t>
      </w:r>
      <w:r w:rsidRPr="0057104C">
        <w:rPr>
          <w:rStyle w:val="TextoNormalCaracter"/>
        </w:rPr>
        <w:t>-</w:t>
      </w:r>
      <w:r>
        <w:t xml:space="preserve"> Sentencia </w:t>
      </w:r>
      <w:hyperlink w:anchor="SENTENCIA_2016_62" w:history="1">
        <w:r w:rsidRPr="0057104C">
          <w:rPr>
            <w:rStyle w:val="TextoNormalCaracter"/>
          </w:rPr>
          <w:t>62/2016</w:t>
        </w:r>
      </w:hyperlink>
      <w:r>
        <w:t>, f. 10.</w:t>
      </w:r>
    </w:p>
    <w:p w:rsidR="0057104C" w:rsidRDefault="0057104C" w:rsidP="0057104C">
      <w:pPr>
        <w:pStyle w:val="SangriaFrancesaArticulo"/>
      </w:pPr>
      <w:r w:rsidRPr="0057104C">
        <w:rPr>
          <w:rStyle w:val="TextoNormalNegritaCaracter"/>
        </w:rPr>
        <w:t>Artículo 46.</w:t>
      </w:r>
      <w:r w:rsidRPr="0057104C">
        <w:rPr>
          <w:rStyle w:val="TextoNormalCaracter"/>
        </w:rPr>
        <w:t>-</w:t>
      </w:r>
      <w:r>
        <w:t xml:space="preserve"> Sentencias </w:t>
      </w:r>
      <w:hyperlink w:anchor="SENTENCIA_2016_32" w:history="1">
        <w:r w:rsidRPr="0057104C">
          <w:rPr>
            <w:rStyle w:val="TextoNormalCaracter"/>
          </w:rPr>
          <w:t>32/2016</w:t>
        </w:r>
      </w:hyperlink>
      <w:r>
        <w:t xml:space="preserve">, ff. 1, 2, 11; </w:t>
      </w:r>
      <w:hyperlink w:anchor="SENTENCIA_2016_60" w:history="1">
        <w:r w:rsidRPr="0057104C">
          <w:rPr>
            <w:rStyle w:val="TextoNormalCaracter"/>
          </w:rPr>
          <w:t>60/2016</w:t>
        </w:r>
      </w:hyperlink>
      <w:r>
        <w:t>, f. 5.</w:t>
      </w:r>
    </w:p>
    <w:p w:rsidR="0057104C" w:rsidRDefault="0057104C" w:rsidP="0057104C">
      <w:pPr>
        <w:pStyle w:val="SangriaFrancesaArticulo"/>
      </w:pPr>
      <w:r w:rsidRPr="0057104C">
        <w:rPr>
          <w:rStyle w:val="TextoNormalNegritaCaracter"/>
        </w:rPr>
        <w:t>Artículo 46.1 d).</w:t>
      </w:r>
      <w:r w:rsidRPr="0057104C">
        <w:rPr>
          <w:rStyle w:val="TextoNormalCaracter"/>
        </w:rPr>
        <w:t>-</w:t>
      </w:r>
      <w:r>
        <w:t xml:space="preserve"> Sentencia </w:t>
      </w:r>
      <w:hyperlink w:anchor="SENTENCIA_2016_32" w:history="1">
        <w:r w:rsidRPr="0057104C">
          <w:rPr>
            <w:rStyle w:val="TextoNormalCaracter"/>
          </w:rPr>
          <w:t>32/2016</w:t>
        </w:r>
      </w:hyperlink>
      <w:r>
        <w:t>, f. 11.</w:t>
      </w:r>
    </w:p>
    <w:p w:rsidR="0057104C" w:rsidRDefault="0057104C" w:rsidP="0057104C">
      <w:pPr>
        <w:pStyle w:val="SangriaFrancesaArticulo"/>
      </w:pPr>
      <w:r w:rsidRPr="0057104C">
        <w:rPr>
          <w:rStyle w:val="TextoNormalNegritaCaracter"/>
        </w:rPr>
        <w:t>Artículo 46.1 q)</w:t>
      </w:r>
      <w:r>
        <w:t xml:space="preserve"> (redactado por la Ley 3/2014, de 27 de marzo)</w:t>
      </w:r>
      <w:r w:rsidRPr="0057104C">
        <w:rPr>
          <w:rStyle w:val="TextoNormalNegritaCaracter"/>
        </w:rPr>
        <w:t>.</w:t>
      </w:r>
      <w:r w:rsidRPr="0057104C">
        <w:rPr>
          <w:rStyle w:val="TextoNormalCaracter"/>
        </w:rPr>
        <w:t>-</w:t>
      </w:r>
      <w:r>
        <w:t xml:space="preserve"> Sentencia </w:t>
      </w:r>
      <w:hyperlink w:anchor="SENTENCIA_2016_32" w:history="1">
        <w:r w:rsidRPr="0057104C">
          <w:rPr>
            <w:rStyle w:val="TextoNormalCaracter"/>
          </w:rPr>
          <w:t>32/2016</w:t>
        </w:r>
      </w:hyperlink>
      <w:r>
        <w:t>, f. 2.</w:t>
      </w:r>
    </w:p>
    <w:p w:rsidR="0057104C" w:rsidRDefault="0057104C" w:rsidP="0057104C">
      <w:pPr>
        <w:pStyle w:val="SangriaFrancesaArticulo"/>
      </w:pPr>
      <w:r w:rsidRPr="0057104C">
        <w:rPr>
          <w:rStyle w:val="TextoNormalNegritaCaracter"/>
        </w:rPr>
        <w:t>Artículo 46.2 a).</w:t>
      </w:r>
      <w:r w:rsidRPr="0057104C">
        <w:rPr>
          <w:rStyle w:val="TextoNormalCaracter"/>
        </w:rPr>
        <w:t>-</w:t>
      </w:r>
      <w:r>
        <w:t xml:space="preserve"> Sentencias </w:t>
      </w:r>
      <w:hyperlink w:anchor="SENTENCIA_2016_32" w:history="1">
        <w:r w:rsidRPr="0057104C">
          <w:rPr>
            <w:rStyle w:val="TextoNormalCaracter"/>
          </w:rPr>
          <w:t>32/2016</w:t>
        </w:r>
      </w:hyperlink>
      <w:r>
        <w:t xml:space="preserve">, f. 11; </w:t>
      </w:r>
      <w:hyperlink w:anchor="SENTENCIA_2016_60" w:history="1">
        <w:r w:rsidRPr="0057104C">
          <w:rPr>
            <w:rStyle w:val="TextoNormalCaracter"/>
          </w:rPr>
          <w:t>60/2016</w:t>
        </w:r>
      </w:hyperlink>
      <w:r>
        <w:t>, f. 6.</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Sentencias </w:t>
      </w:r>
      <w:hyperlink w:anchor="SENTENCIA_2016_32" w:history="1">
        <w:r w:rsidRPr="0057104C">
          <w:rPr>
            <w:rStyle w:val="TextoNormalCaracter"/>
          </w:rPr>
          <w:t>32/2016</w:t>
        </w:r>
      </w:hyperlink>
      <w:r>
        <w:t xml:space="preserve">, ff. 1, 9, 12; </w:t>
      </w:r>
      <w:hyperlink w:anchor="SENTENCIA_2016_60" w:history="1">
        <w:r w:rsidRPr="0057104C">
          <w:rPr>
            <w:rStyle w:val="TextoNormalCaracter"/>
          </w:rPr>
          <w:t>60/2016</w:t>
        </w:r>
      </w:hyperlink>
      <w:r>
        <w:t>, f. 7.</w:t>
      </w:r>
    </w:p>
    <w:p w:rsidR="0057104C" w:rsidRDefault="0057104C" w:rsidP="0057104C">
      <w:pPr>
        <w:pStyle w:val="SangriaFrancesaArticulo"/>
      </w:pPr>
      <w:r w:rsidRPr="0057104C">
        <w:rPr>
          <w:rStyle w:val="TextoNormalNegritaCaracter"/>
        </w:rPr>
        <w:t>Artículo 51.1.</w:t>
      </w:r>
      <w:r w:rsidRPr="0057104C">
        <w:rPr>
          <w:rStyle w:val="TextoNormalCaracter"/>
        </w:rPr>
        <w:t>-</w:t>
      </w:r>
      <w:r>
        <w:t xml:space="preserve"> Sentencia </w:t>
      </w:r>
      <w:hyperlink w:anchor="SENTENCIA_2016_32" w:history="1">
        <w:r w:rsidRPr="0057104C">
          <w:rPr>
            <w:rStyle w:val="TextoNormalCaracter"/>
          </w:rPr>
          <w:t>32/2016</w:t>
        </w:r>
      </w:hyperlink>
      <w:r>
        <w:t>, f. 12.</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52.3.</w:t>
      </w:r>
      <w:r w:rsidRPr="0057104C">
        <w:rPr>
          <w:rStyle w:val="TextoNormalCaracter"/>
        </w:rPr>
        <w:t>-</w:t>
      </w:r>
      <w:r>
        <w:t xml:space="preserve"> Sentencia </w:t>
      </w:r>
      <w:hyperlink w:anchor="SENTENCIA_2016_62" w:history="1">
        <w:r w:rsidRPr="0057104C">
          <w:rPr>
            <w:rStyle w:val="TextoNormalCaracter"/>
          </w:rPr>
          <w:t>62/2016</w:t>
        </w:r>
      </w:hyperlink>
      <w:r>
        <w:t>, ff. 9, 10, VPI, VPII.</w:t>
      </w:r>
    </w:p>
    <w:p w:rsidR="0057104C" w:rsidRDefault="0057104C" w:rsidP="0057104C">
      <w:pPr>
        <w:pStyle w:val="SangriaFrancesaArticulo"/>
      </w:pPr>
      <w:r w:rsidRPr="0057104C">
        <w:rPr>
          <w:rStyle w:val="TextoNormalNegritaCaracter"/>
        </w:rPr>
        <w:t>Artículo 52.4.</w:t>
      </w:r>
      <w:r w:rsidRPr="0057104C">
        <w:rPr>
          <w:rStyle w:val="TextoNormalCaracter"/>
        </w:rPr>
        <w:t>-</w:t>
      </w:r>
      <w:r>
        <w:t xml:space="preserve"> Sentencias </w:t>
      </w:r>
      <w:hyperlink w:anchor="SENTENCIA_2016_32" w:history="1">
        <w:r w:rsidRPr="0057104C">
          <w:rPr>
            <w:rStyle w:val="TextoNormalCaracter"/>
          </w:rPr>
          <w:t>32/2016</w:t>
        </w:r>
      </w:hyperlink>
      <w:r>
        <w:t xml:space="preserve">, ff. 1, 13; </w:t>
      </w:r>
      <w:hyperlink w:anchor="SENTENCIA_2016_60" w:history="1">
        <w:r w:rsidRPr="0057104C">
          <w:rPr>
            <w:rStyle w:val="TextoNormalCaracter"/>
          </w:rPr>
          <w:t>60/2016</w:t>
        </w:r>
      </w:hyperlink>
      <w:r>
        <w:t xml:space="preserve">, f. 8; </w:t>
      </w:r>
      <w:hyperlink w:anchor="SENTENCIA_2016_62" w:history="1">
        <w:r w:rsidRPr="0057104C">
          <w:rPr>
            <w:rStyle w:val="TextoNormalCaracter"/>
          </w:rPr>
          <w:t>62/2016</w:t>
        </w:r>
      </w:hyperlink>
      <w:r>
        <w:t>, VPI, VPII.</w:t>
      </w:r>
    </w:p>
    <w:p w:rsidR="0057104C" w:rsidRDefault="0057104C" w:rsidP="0057104C">
      <w:pPr>
        <w:pStyle w:val="SangriaFrancesaArticulo"/>
      </w:pPr>
      <w:r w:rsidRPr="0057104C">
        <w:rPr>
          <w:rStyle w:val="TextoNormalNegritaCaracter"/>
        </w:rPr>
        <w:t>Artículo 64.43.</w:t>
      </w:r>
      <w:r w:rsidRPr="0057104C">
        <w:rPr>
          <w:rStyle w:val="TextoNormalCaracter"/>
        </w:rPr>
        <w:t>-</w:t>
      </w:r>
      <w:r>
        <w:t xml:space="preserve"> Sentencias </w:t>
      </w:r>
      <w:hyperlink w:anchor="SENTENCIA_2016_32" w:history="1">
        <w:r w:rsidRPr="0057104C">
          <w:rPr>
            <w:rStyle w:val="TextoNormalCaracter"/>
          </w:rPr>
          <w:t>32/2016</w:t>
        </w:r>
      </w:hyperlink>
      <w:r>
        <w:t xml:space="preserve">, f. 6; </w:t>
      </w:r>
      <w:hyperlink w:anchor="SENTENCIA_2016_72" w:history="1">
        <w:r w:rsidRPr="0057104C">
          <w:rPr>
            <w:rStyle w:val="TextoNormalCaracter"/>
          </w:rPr>
          <w:t>72/2016</w:t>
        </w:r>
      </w:hyperlink>
      <w:r>
        <w:t>, ff. 1, 3.</w:t>
      </w:r>
    </w:p>
    <w:p w:rsidR="0057104C" w:rsidRDefault="0057104C" w:rsidP="0057104C">
      <w:pPr>
        <w:pStyle w:val="SangriaFrancesaArticulo"/>
      </w:pPr>
      <w:r w:rsidRPr="0057104C">
        <w:rPr>
          <w:rStyle w:val="TextoNormalNegritaCaracter"/>
        </w:rPr>
        <w:t>Artículo 65.25.</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Artículo 65.35.</w:t>
      </w:r>
      <w:r w:rsidRPr="0057104C">
        <w:rPr>
          <w:rStyle w:val="TextoNormalCaracter"/>
        </w:rPr>
        <w:t>-</w:t>
      </w:r>
      <w:r>
        <w:t xml:space="preserve"> Sentencia </w:t>
      </w:r>
      <w:hyperlink w:anchor="SENTENCIA_2016_72" w:history="1">
        <w:r w:rsidRPr="0057104C">
          <w:rPr>
            <w:rStyle w:val="TextoNormalCaracter"/>
          </w:rPr>
          <w:t>72/2016</w:t>
        </w:r>
      </w:hyperlink>
      <w:r>
        <w:t>, ff. 1, 3.</w:t>
      </w:r>
    </w:p>
    <w:p w:rsidR="0057104C" w:rsidRDefault="0057104C" w:rsidP="0057104C">
      <w:pPr>
        <w:pStyle w:val="SangriaFrancesaArticulo"/>
      </w:pPr>
      <w:r w:rsidRPr="0057104C">
        <w:rPr>
          <w:rStyle w:val="TextoNormalNegritaCaracter"/>
        </w:rPr>
        <w:t>Artículo 67.</w:t>
      </w:r>
      <w:r w:rsidRPr="0057104C">
        <w:rPr>
          <w:rStyle w:val="TextoNormalCaracter"/>
        </w:rPr>
        <w:t>-</w:t>
      </w:r>
      <w:r>
        <w:t xml:space="preserve"> Sentencia </w:t>
      </w:r>
      <w:hyperlink w:anchor="SENTENCIA_2016_32" w:history="1">
        <w:r w:rsidRPr="0057104C">
          <w:rPr>
            <w:rStyle w:val="TextoNormalCaracter"/>
          </w:rPr>
          <w:t>32/2016</w:t>
        </w:r>
      </w:hyperlink>
      <w:r>
        <w:t>, f. 6.</w:t>
      </w:r>
    </w:p>
    <w:p w:rsidR="0057104C" w:rsidRDefault="0057104C" w:rsidP="0057104C">
      <w:pPr>
        <w:pStyle w:val="SangriaFrancesaArticulo"/>
      </w:pPr>
      <w:r w:rsidRPr="0057104C">
        <w:rPr>
          <w:rStyle w:val="TextoNormalNegritaCaracter"/>
        </w:rPr>
        <w:t>Artículo 73.</w:t>
      </w:r>
      <w:r w:rsidRPr="0057104C">
        <w:rPr>
          <w:rStyle w:val="TextoNormalCaracter"/>
        </w:rPr>
        <w:t>-</w:t>
      </w:r>
      <w:r>
        <w:t xml:space="preserve"> Sentencia </w:t>
      </w:r>
      <w:hyperlink w:anchor="SENTENCIA_2016_32" w:history="1">
        <w:r w:rsidRPr="0057104C">
          <w:rPr>
            <w:rStyle w:val="TextoNormalCaracter"/>
          </w:rPr>
          <w:t>32/2016</w:t>
        </w:r>
      </w:hyperlink>
      <w:r>
        <w:t>, f. 6.</w:t>
      </w:r>
    </w:p>
    <w:p w:rsidR="0057104C" w:rsidRDefault="0057104C" w:rsidP="0057104C">
      <w:pPr>
        <w:pStyle w:val="SangriaFrancesaArticulo"/>
      </w:pPr>
      <w:r w:rsidRPr="0057104C">
        <w:rPr>
          <w:rStyle w:val="TextoNormalNegritaCaracter"/>
        </w:rPr>
        <w:t>Artículo 73.2.</w:t>
      </w:r>
      <w:r w:rsidRPr="0057104C">
        <w:rPr>
          <w:rStyle w:val="TextoNormalCaracter"/>
        </w:rPr>
        <w:t>-</w:t>
      </w:r>
      <w:r>
        <w:t xml:space="preserve"> Sentencia </w:t>
      </w:r>
      <w:hyperlink w:anchor="SENTENCIA_2016_72" w:history="1">
        <w:r w:rsidRPr="0057104C">
          <w:rPr>
            <w:rStyle w:val="TextoNormalCaracter"/>
          </w:rPr>
          <w:t>72/2016</w:t>
        </w:r>
      </w:hyperlink>
      <w:r>
        <w:t>, f. 3.</w:t>
      </w:r>
    </w:p>
    <w:p w:rsidR="0057104C" w:rsidRDefault="0057104C" w:rsidP="0057104C">
      <w:pPr>
        <w:pStyle w:val="SangriaFrancesaArticulo"/>
      </w:pPr>
      <w:r w:rsidRPr="0057104C">
        <w:rPr>
          <w:rStyle w:val="TextoNormalNegritaCaracter"/>
        </w:rPr>
        <w:t>Disposición transitoria décima.</w:t>
      </w:r>
      <w:r w:rsidRPr="0057104C">
        <w:rPr>
          <w:rStyle w:val="TextoNormalCaracter"/>
        </w:rPr>
        <w:t>-</w:t>
      </w:r>
      <w:r>
        <w:t xml:space="preserve"> Sentencias </w:t>
      </w:r>
      <w:hyperlink w:anchor="SENTENCIA_2016_32" w:history="1">
        <w:r w:rsidRPr="0057104C">
          <w:rPr>
            <w:rStyle w:val="TextoNormalCaracter"/>
          </w:rPr>
          <w:t>32/2016</w:t>
        </w:r>
      </w:hyperlink>
      <w:r>
        <w:t xml:space="preserve">, f. 11; </w:t>
      </w:r>
      <w:hyperlink w:anchor="SENTENCIA_2016_62" w:history="1">
        <w:r w:rsidRPr="0057104C">
          <w:rPr>
            <w:rStyle w:val="TextoNormalCaracter"/>
          </w:rPr>
          <w:t>62/2016</w:t>
        </w:r>
      </w:hyperlink>
      <w:r>
        <w:t>, ff. 9, 10, VPII.</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Sentencias </w:t>
      </w:r>
      <w:hyperlink w:anchor="SENTENCIA_2016_32" w:history="1">
        <w:r w:rsidRPr="0057104C">
          <w:rPr>
            <w:rStyle w:val="TextoNormalCaracter"/>
          </w:rPr>
          <w:t>32/2016</w:t>
        </w:r>
      </w:hyperlink>
      <w:r>
        <w:t xml:space="preserve">, ff. 1, 3; </w:t>
      </w:r>
      <w:hyperlink w:anchor="SENTENCIA_2016_60" w:history="1">
        <w:r w:rsidRPr="0057104C">
          <w:rPr>
            <w:rStyle w:val="TextoNormalCaracter"/>
          </w:rPr>
          <w:t>60/2016</w:t>
        </w:r>
      </w:hyperlink>
      <w:r>
        <w:t xml:space="preserve">, f. 9; </w:t>
      </w:r>
      <w:hyperlink w:anchor="SENTENCIA_2016_62" w:history="1">
        <w:r w:rsidRPr="0057104C">
          <w:rPr>
            <w:rStyle w:val="TextoNormalCaracter"/>
          </w:rPr>
          <w:t>62/2016</w:t>
        </w:r>
      </w:hyperlink>
      <w:r>
        <w:t xml:space="preserve">, ff. 1, 4, 10; </w:t>
      </w:r>
      <w:hyperlink w:anchor="SENTENCIA_2016_72" w:history="1">
        <w:r w:rsidRPr="0057104C">
          <w:rPr>
            <w:rStyle w:val="TextoNormalCaracter"/>
          </w:rPr>
          <w:t>72/2016</w:t>
        </w:r>
      </w:hyperlink>
      <w:r>
        <w:t>, ff. 1 a 3.</w:t>
      </w:r>
    </w:p>
    <w:p w:rsidR="0057104C" w:rsidRDefault="0057104C" w:rsidP="0057104C">
      <w:pPr>
        <w:pStyle w:val="SangriaFrancesaArticulo"/>
      </w:pPr>
      <w:r w:rsidRPr="0057104C">
        <w:rPr>
          <w:rStyle w:val="TextoNormalNegritaCaracter"/>
        </w:rPr>
        <w:t>Disposición final tercera.</w:t>
      </w:r>
      <w:r w:rsidRPr="0057104C">
        <w:rPr>
          <w:rStyle w:val="TextoNormalCaracter"/>
        </w:rPr>
        <w:t>-</w:t>
      </w:r>
      <w:r>
        <w:t xml:space="preserve"> Sentencias </w:t>
      </w:r>
      <w:hyperlink w:anchor="SENTENCIA_2016_19" w:history="1">
        <w:r w:rsidRPr="0057104C">
          <w:rPr>
            <w:rStyle w:val="TextoNormalCaracter"/>
          </w:rPr>
          <w:t>19/2016</w:t>
        </w:r>
      </w:hyperlink>
      <w:r>
        <w:t xml:space="preserve">, f. 5; </w:t>
      </w:r>
      <w:hyperlink w:anchor="SENTENCIA_2016_29" w:history="1">
        <w:r w:rsidRPr="0057104C">
          <w:rPr>
            <w:rStyle w:val="TextoNormalCaracter"/>
          </w:rPr>
          <w:t>29/2016</w:t>
        </w:r>
      </w:hyperlink>
      <w:r>
        <w:t xml:space="preserve">, f. 5; </w:t>
      </w:r>
      <w:hyperlink w:anchor="SENTENCIA_2016_30" w:history="1">
        <w:r w:rsidRPr="0057104C">
          <w:rPr>
            <w:rStyle w:val="TextoNormalCaracter"/>
          </w:rPr>
          <w:t>30/2016</w:t>
        </w:r>
      </w:hyperlink>
      <w:r>
        <w:t xml:space="preserve">, f. 5; </w:t>
      </w:r>
      <w:hyperlink w:anchor="SENTENCIA_2016_42" w:history="1">
        <w:r w:rsidRPr="0057104C">
          <w:rPr>
            <w:rStyle w:val="TextoNormalCaracter"/>
          </w:rPr>
          <w:t>42/2016</w:t>
        </w:r>
      </w:hyperlink>
      <w:r>
        <w:t xml:space="preserve">, f. 4; </w:t>
      </w:r>
      <w:hyperlink w:anchor="SENTENCIA_2016_61" w:history="1">
        <w:r w:rsidRPr="0057104C">
          <w:rPr>
            <w:rStyle w:val="TextoNormalCaracter"/>
          </w:rPr>
          <w:t>61/2016</w:t>
        </w:r>
      </w:hyperlink>
      <w:r>
        <w:t>, f. 5.</w:t>
      </w:r>
    </w:p>
    <w:p w:rsidR="0057104C" w:rsidRDefault="0057104C" w:rsidP="0057104C">
      <w:pPr>
        <w:pStyle w:val="SangriaFrancesaArticulo"/>
      </w:pPr>
    </w:p>
    <w:p w:rsidR="0057104C" w:rsidRDefault="0057104C" w:rsidP="0057104C">
      <w:pPr>
        <w:pStyle w:val="TextoNormalNegritaCursivandice"/>
      </w:pPr>
      <w:r>
        <w:t>Ley 27/2013, de 27 de diciembre. Racionalización y sostenibilidad de la Administración local</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Sentencias </w:t>
      </w:r>
      <w:hyperlink w:anchor="SENTENCIA_2016_41" w:history="1">
        <w:r w:rsidRPr="0057104C">
          <w:rPr>
            <w:rStyle w:val="TextoNormalCaracter"/>
          </w:rPr>
          <w:t>41/2016</w:t>
        </w:r>
      </w:hyperlink>
      <w:r>
        <w:t xml:space="preserve">, ff. 3, 4, 6, 9; </w:t>
      </w:r>
      <w:hyperlink w:anchor="SENTENCIA_2016_111" w:history="1">
        <w:r w:rsidRPr="0057104C">
          <w:rPr>
            <w:rStyle w:val="TextoNormalCaracter"/>
          </w:rPr>
          <w:t>111/2016</w:t>
        </w:r>
      </w:hyperlink>
      <w:r>
        <w:t>, ff. 6, 8, 9, VP.</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41" w:history="1">
        <w:r w:rsidRPr="0057104C">
          <w:rPr>
            <w:rStyle w:val="TextoNormalCaracter"/>
          </w:rPr>
          <w:t>41/2016</w:t>
        </w:r>
      </w:hyperlink>
      <w:r>
        <w:t>, f. 2.</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Sentencia </w:t>
      </w:r>
      <w:hyperlink w:anchor="SENTENCIA_2016_41" w:history="1">
        <w:r w:rsidRPr="0057104C">
          <w:rPr>
            <w:rStyle w:val="TextoNormalCaracter"/>
          </w:rPr>
          <w:t>41/2016</w:t>
        </w:r>
      </w:hyperlink>
      <w:r>
        <w:t>, f. 10.</w:t>
      </w:r>
    </w:p>
    <w:p w:rsidR="0057104C" w:rsidRDefault="0057104C" w:rsidP="0057104C">
      <w:pPr>
        <w:pStyle w:val="SangriaFrancesaArticulo"/>
      </w:pPr>
      <w:r w:rsidRPr="0057104C">
        <w:rPr>
          <w:rStyle w:val="TextoNormalNegritaCaracter"/>
        </w:rPr>
        <w:t>Articulo 1.2.</w:t>
      </w:r>
      <w:r w:rsidRPr="0057104C">
        <w:rPr>
          <w:rStyle w:val="TextoNormalCaracter"/>
        </w:rPr>
        <w:t>-</w:t>
      </w:r>
      <w:r>
        <w:t xml:space="preserve"> Sentencias </w:t>
      </w:r>
      <w:hyperlink w:anchor="SENTENCIA_2016_41" w:history="1">
        <w:r w:rsidRPr="0057104C">
          <w:rPr>
            <w:rStyle w:val="TextoNormalCaracter"/>
          </w:rPr>
          <w:t>41/2016</w:t>
        </w:r>
      </w:hyperlink>
      <w:r>
        <w:t xml:space="preserve">, f. 7;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Articulo 1.3.</w:t>
      </w:r>
      <w:r w:rsidRPr="0057104C">
        <w:rPr>
          <w:rStyle w:val="TextoNormalCaracter"/>
        </w:rPr>
        <w:t>-</w:t>
      </w:r>
      <w:r>
        <w:t xml:space="preserve"> Sentencias </w:t>
      </w:r>
      <w:hyperlink w:anchor="SENTENCIA_2016_41" w:history="1">
        <w:r w:rsidRPr="0057104C">
          <w:rPr>
            <w:rStyle w:val="TextoNormalCaracter"/>
          </w:rPr>
          <w:t>41/2016</w:t>
        </w:r>
      </w:hyperlink>
      <w:r>
        <w:t xml:space="preserve">, ff. 1, 2, 9 a 13;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Sentencias </w:t>
      </w:r>
      <w:hyperlink w:anchor="SENTENCIA_2016_41" w:history="1">
        <w:r w:rsidRPr="0057104C">
          <w:rPr>
            <w:rStyle w:val="TextoNormalCaracter"/>
          </w:rPr>
          <w:t>41/2016</w:t>
        </w:r>
      </w:hyperlink>
      <w:r>
        <w:t xml:space="preserve">, ff. 1, 2, 6;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Sentencias </w:t>
      </w:r>
      <w:hyperlink w:anchor="SENTENCIA_2016_41" w:history="1">
        <w:r w:rsidRPr="0057104C">
          <w:rPr>
            <w:rStyle w:val="TextoNormalCaracter"/>
          </w:rPr>
          <w:t>41/2016</w:t>
        </w:r>
      </w:hyperlink>
      <w:r>
        <w:t xml:space="preserve">, ff. 1, 2, 7;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Sentencias </w:t>
      </w:r>
      <w:hyperlink w:anchor="SENTENCIA_2016_41" w:history="1">
        <w:r w:rsidRPr="0057104C">
          <w:rPr>
            <w:rStyle w:val="TextoNormalCaracter"/>
          </w:rPr>
          <w:t>41/2016</w:t>
        </w:r>
      </w:hyperlink>
      <w:r>
        <w:t xml:space="preserve">, ff. 1, 2, 8, 9, 12, 13;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Artículo 1.9.</w:t>
      </w:r>
      <w:r w:rsidRPr="0057104C">
        <w:rPr>
          <w:rStyle w:val="TextoNormalCaracter"/>
        </w:rPr>
        <w:t>-</w:t>
      </w:r>
      <w:r>
        <w:t xml:space="preserve"> Sentencias </w:t>
      </w:r>
      <w:hyperlink w:anchor="SENTENCIA_2016_41" w:history="1">
        <w:r w:rsidRPr="0057104C">
          <w:rPr>
            <w:rStyle w:val="TextoNormalCaracter"/>
          </w:rPr>
          <w:t>41/2016</w:t>
        </w:r>
      </w:hyperlink>
      <w:r>
        <w:t xml:space="preserve">, ff. 8, 10, 13; </w:t>
      </w:r>
      <w:hyperlink w:anchor="SENTENCIA_2016_111" w:history="1">
        <w:r w:rsidRPr="0057104C">
          <w:rPr>
            <w:rStyle w:val="TextoNormalCaracter"/>
          </w:rPr>
          <w:t>111/2016</w:t>
        </w:r>
      </w:hyperlink>
      <w:r>
        <w:t>, ff. 1, 3, 12.</w:t>
      </w:r>
    </w:p>
    <w:p w:rsidR="0057104C" w:rsidRDefault="0057104C" w:rsidP="0057104C">
      <w:pPr>
        <w:pStyle w:val="SangriaFrancesaArticulo"/>
      </w:pPr>
      <w:r w:rsidRPr="0057104C">
        <w:rPr>
          <w:rStyle w:val="TextoNormalNegritaCaracter"/>
        </w:rPr>
        <w:t>Artículo 1.10.</w:t>
      </w:r>
      <w:r w:rsidRPr="0057104C">
        <w:rPr>
          <w:rStyle w:val="TextoNormalCaracter"/>
        </w:rPr>
        <w:t>-</w:t>
      </w:r>
      <w:r>
        <w:t xml:space="preserve"> Sentencia </w:t>
      </w:r>
      <w:hyperlink w:anchor="SENTENCIA_2016_41" w:history="1">
        <w:r w:rsidRPr="0057104C">
          <w:rPr>
            <w:rStyle w:val="TextoNormalCaracter"/>
          </w:rPr>
          <w:t>41/2016</w:t>
        </w:r>
      </w:hyperlink>
      <w:r>
        <w:t>, ff. 1, 2, 9, 11.</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Sentencia </w:t>
      </w:r>
      <w:hyperlink w:anchor="SENTENCIA_2016_41" w:history="1">
        <w:r w:rsidRPr="0057104C">
          <w:rPr>
            <w:rStyle w:val="TextoNormalCaracter"/>
          </w:rPr>
          <w:t>41/2016</w:t>
        </w:r>
      </w:hyperlink>
      <w:r>
        <w:t>, f. 9.</w:t>
      </w:r>
    </w:p>
    <w:p w:rsidR="0057104C" w:rsidRDefault="0057104C" w:rsidP="0057104C">
      <w:pPr>
        <w:pStyle w:val="SangriaFrancesaArticulo"/>
      </w:pPr>
      <w:r w:rsidRPr="0057104C">
        <w:rPr>
          <w:rStyle w:val="TextoNormalNegritaCaracter"/>
        </w:rPr>
        <w:t>Articulo 1.13.</w:t>
      </w:r>
      <w:r w:rsidRPr="0057104C">
        <w:rPr>
          <w:rStyle w:val="TextoNormalCaracter"/>
        </w:rPr>
        <w:t>-</w:t>
      </w:r>
      <w:r>
        <w:t xml:space="preserve"> Sentencia </w:t>
      </w:r>
      <w:hyperlink w:anchor="SENTENCIA_2016_111" w:history="1">
        <w:r w:rsidRPr="0057104C">
          <w:rPr>
            <w:rStyle w:val="TextoNormalCaracter"/>
          </w:rPr>
          <w:t>111/2016</w:t>
        </w:r>
      </w:hyperlink>
      <w:r>
        <w:t>, ff. 1, 10 a 12.</w:t>
      </w:r>
    </w:p>
    <w:p w:rsidR="0057104C" w:rsidRDefault="0057104C" w:rsidP="0057104C">
      <w:pPr>
        <w:pStyle w:val="SangriaFrancesaArticulo"/>
      </w:pPr>
      <w:r w:rsidRPr="0057104C">
        <w:rPr>
          <w:rStyle w:val="TextoNormalNegritaCaracter"/>
        </w:rPr>
        <w:t>Articulo 1.16.</w:t>
      </w:r>
      <w:r w:rsidRPr="0057104C">
        <w:rPr>
          <w:rStyle w:val="TextoNormalCaracter"/>
        </w:rPr>
        <w:t>-</w:t>
      </w:r>
      <w:r>
        <w:t xml:space="preserve"> Sentencia </w:t>
      </w:r>
      <w:hyperlink w:anchor="SENTENCIA_2016_41" w:history="1">
        <w:r w:rsidRPr="0057104C">
          <w:rPr>
            <w:rStyle w:val="TextoNormalCaracter"/>
          </w:rPr>
          <w:t>41/2016</w:t>
        </w:r>
      </w:hyperlink>
      <w:r>
        <w:t>, ff. 1, 2, 8.</w:t>
      </w:r>
    </w:p>
    <w:p w:rsidR="0057104C" w:rsidRDefault="0057104C" w:rsidP="0057104C">
      <w:pPr>
        <w:pStyle w:val="SangriaFrancesaArticulo"/>
      </w:pPr>
      <w:r w:rsidRPr="0057104C">
        <w:rPr>
          <w:rStyle w:val="TextoNormalNegritaCaracter"/>
        </w:rPr>
        <w:t>Articulo 1.17.</w:t>
      </w:r>
      <w:r w:rsidRPr="0057104C">
        <w:rPr>
          <w:rStyle w:val="TextoNormalCaracter"/>
        </w:rPr>
        <w:t>-</w:t>
      </w:r>
      <w:r>
        <w:t xml:space="preserve"> Sentencias </w:t>
      </w:r>
      <w:hyperlink w:anchor="SENTENCIA_2016_41" w:history="1">
        <w:r w:rsidRPr="0057104C">
          <w:rPr>
            <w:rStyle w:val="TextoNormalCaracter"/>
          </w:rPr>
          <w:t>41/2016</w:t>
        </w:r>
      </w:hyperlink>
      <w:r>
        <w:t xml:space="preserve">, ff. 1, 2, 13, 16;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Articulo 1.18.</w:t>
      </w:r>
      <w:r w:rsidRPr="0057104C">
        <w:rPr>
          <w:rStyle w:val="TextoNormalCaracter"/>
        </w:rPr>
        <w:t>-</w:t>
      </w:r>
      <w:r>
        <w:t xml:space="preserve"> Sentencia </w:t>
      </w:r>
      <w:hyperlink w:anchor="SENTENCIA_2016_111" w:history="1">
        <w:r w:rsidRPr="0057104C">
          <w:rPr>
            <w:rStyle w:val="TextoNormalCaracter"/>
          </w:rPr>
          <w:t>111/2016</w:t>
        </w:r>
      </w:hyperlink>
      <w:r>
        <w:t>, ff. 1, 3, 6.</w:t>
      </w:r>
    </w:p>
    <w:p w:rsidR="0057104C" w:rsidRDefault="0057104C" w:rsidP="0057104C">
      <w:pPr>
        <w:pStyle w:val="SangriaFrancesaArticulo"/>
      </w:pPr>
      <w:r w:rsidRPr="0057104C">
        <w:rPr>
          <w:rStyle w:val="TextoNormalNegritaCaracter"/>
        </w:rPr>
        <w:t>Articulo 1.19.</w:t>
      </w:r>
      <w:r w:rsidRPr="0057104C">
        <w:rPr>
          <w:rStyle w:val="TextoNormalCaracter"/>
        </w:rPr>
        <w:t>-</w:t>
      </w:r>
      <w:r>
        <w:t xml:space="preserve"> Sentencia </w:t>
      </w:r>
      <w:hyperlink w:anchor="SENTENCIA_2016_111" w:history="1">
        <w:r w:rsidRPr="0057104C">
          <w:rPr>
            <w:rStyle w:val="TextoNormalCaracter"/>
          </w:rPr>
          <w:t>111/2016</w:t>
        </w:r>
      </w:hyperlink>
      <w:r>
        <w:t>, ff. 1, 3, 6.</w:t>
      </w:r>
    </w:p>
    <w:p w:rsidR="0057104C" w:rsidRDefault="0057104C" w:rsidP="0057104C">
      <w:pPr>
        <w:pStyle w:val="SangriaFrancesaArticulo"/>
      </w:pPr>
      <w:r w:rsidRPr="0057104C">
        <w:rPr>
          <w:rStyle w:val="TextoNormalNegritaCaracter"/>
        </w:rPr>
        <w:t>Artículo 1.21.</w:t>
      </w:r>
      <w:r w:rsidRPr="0057104C">
        <w:rPr>
          <w:rStyle w:val="TextoNormalCaracter"/>
        </w:rPr>
        <w:t>-</w:t>
      </w:r>
      <w:r>
        <w:t xml:space="preserve"> Sentencias </w:t>
      </w:r>
      <w:hyperlink w:anchor="SENTENCIA_2016_41" w:history="1">
        <w:r w:rsidRPr="0057104C">
          <w:rPr>
            <w:rStyle w:val="TextoNormalCaracter"/>
          </w:rPr>
          <w:t>41/2016</w:t>
        </w:r>
      </w:hyperlink>
      <w:r>
        <w:t xml:space="preserve">, ff. 1, 2, 9, 14;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Articulo 1.30.</w:t>
      </w:r>
      <w:r w:rsidRPr="0057104C">
        <w:rPr>
          <w:rStyle w:val="TextoNormalCaracter"/>
        </w:rPr>
        <w:t>-</w:t>
      </w:r>
      <w:r>
        <w:t xml:space="preserve"> Sentencias </w:t>
      </w:r>
      <w:hyperlink w:anchor="SENTENCIA_2016_41" w:history="1">
        <w:r w:rsidRPr="0057104C">
          <w:rPr>
            <w:rStyle w:val="TextoNormalCaracter"/>
          </w:rPr>
          <w:t>41/2016</w:t>
        </w:r>
      </w:hyperlink>
      <w:r>
        <w:t xml:space="preserve">, ff. 1, 2, 6, 15;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Artículo 1.31.</w:t>
      </w:r>
      <w:r w:rsidRPr="0057104C">
        <w:rPr>
          <w:rStyle w:val="TextoNormalCaracter"/>
        </w:rPr>
        <w:t>-</w:t>
      </w:r>
      <w:r>
        <w:t xml:space="preserve"> Sentencia </w:t>
      </w:r>
      <w:hyperlink w:anchor="SENTENCIA_2016_111" w:history="1">
        <w:r w:rsidRPr="0057104C">
          <w:rPr>
            <w:rStyle w:val="TextoNormalCaracter"/>
          </w:rPr>
          <w:t>111/2016</w:t>
        </w:r>
      </w:hyperlink>
      <w:r>
        <w:t>, ff. 1, 3, 12.</w:t>
      </w:r>
    </w:p>
    <w:p w:rsidR="0057104C" w:rsidRDefault="0057104C" w:rsidP="0057104C">
      <w:pPr>
        <w:pStyle w:val="SangriaFrancesaArticulo"/>
      </w:pPr>
      <w:r w:rsidRPr="0057104C">
        <w:rPr>
          <w:rStyle w:val="TextoNormalNegritaCaracter"/>
        </w:rPr>
        <w:t>Articulo 1.36.</w:t>
      </w:r>
      <w:r w:rsidRPr="0057104C">
        <w:rPr>
          <w:rStyle w:val="TextoNormalCaracter"/>
        </w:rPr>
        <w:t>-</w:t>
      </w:r>
      <w:r>
        <w:t xml:space="preserve"> Sentencia </w:t>
      </w:r>
      <w:hyperlink w:anchor="SENTENCIA_2016_111" w:history="1">
        <w:r w:rsidRPr="0057104C">
          <w:rPr>
            <w:rStyle w:val="TextoNormalCaracter"/>
          </w:rPr>
          <w:t>111/2016</w:t>
        </w:r>
      </w:hyperlink>
      <w:r>
        <w:t>, ff. 1, 3, 4.</w:t>
      </w:r>
    </w:p>
    <w:p w:rsidR="0057104C" w:rsidRDefault="0057104C" w:rsidP="0057104C">
      <w:pPr>
        <w:pStyle w:val="SangriaFrancesaArticulo"/>
      </w:pPr>
      <w:r w:rsidRPr="0057104C">
        <w:rPr>
          <w:rStyle w:val="TextoNormalNegritaCaracter"/>
        </w:rPr>
        <w:t>Artículo 1.38.</w:t>
      </w:r>
      <w:r w:rsidRPr="0057104C">
        <w:rPr>
          <w:rStyle w:val="TextoNormalCaracter"/>
        </w:rPr>
        <w:t>-</w:t>
      </w:r>
      <w:r>
        <w:t xml:space="preserve"> Sentencias </w:t>
      </w:r>
      <w:hyperlink w:anchor="SENTENCIA_2016_40" w:history="1">
        <w:r w:rsidRPr="0057104C">
          <w:rPr>
            <w:rStyle w:val="TextoNormalCaracter"/>
          </w:rPr>
          <w:t>40/2016</w:t>
        </w:r>
      </w:hyperlink>
      <w:r>
        <w:t xml:space="preserve">, ff. 2, 4; </w:t>
      </w:r>
      <w:hyperlink w:anchor="SENTENCIA_2016_111" w:history="1">
        <w:r w:rsidRPr="0057104C">
          <w:rPr>
            <w:rStyle w:val="TextoNormalCaracter"/>
          </w:rPr>
          <w:t>111/2016</w:t>
        </w:r>
      </w:hyperlink>
      <w:r>
        <w:t>, ff. 1, 3, 8.</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41" w:history="1">
        <w:r w:rsidRPr="0057104C">
          <w:rPr>
            <w:rStyle w:val="TextoNormalCaracter"/>
          </w:rPr>
          <w:t>41/2016</w:t>
        </w:r>
      </w:hyperlink>
      <w:r>
        <w:t>, f. 2.</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11" w:history="1">
        <w:r w:rsidRPr="0057104C">
          <w:rPr>
            <w:rStyle w:val="TextoNormalCaracter"/>
          </w:rPr>
          <w:t>111/2016</w:t>
        </w:r>
      </w:hyperlink>
      <w:r>
        <w:t>, ff. 1, 3, 5.</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Sentencias </w:t>
      </w:r>
      <w:hyperlink w:anchor="SENTENCIA_2016_41" w:history="1">
        <w:r w:rsidRPr="0057104C">
          <w:rPr>
            <w:rStyle w:val="TextoNormalCaracter"/>
          </w:rPr>
          <w:t>41/2016</w:t>
        </w:r>
      </w:hyperlink>
      <w:r>
        <w:t xml:space="preserve">, f. 8; </w:t>
      </w:r>
      <w:hyperlink w:anchor="SENTENCIA_2016_111" w:history="1">
        <w:r w:rsidRPr="0057104C">
          <w:rPr>
            <w:rStyle w:val="TextoNormalCaracter"/>
          </w:rPr>
          <w:t>111/2016</w:t>
        </w:r>
      </w:hyperlink>
      <w:r>
        <w:t>, f. 12.</w:t>
      </w:r>
    </w:p>
    <w:p w:rsidR="0057104C" w:rsidRDefault="0057104C" w:rsidP="0057104C">
      <w:pPr>
        <w:pStyle w:val="SangriaFrancesaArticulo"/>
      </w:pPr>
      <w:r w:rsidRPr="0057104C">
        <w:rPr>
          <w:rStyle w:val="TextoNormalNegritaCaracter"/>
        </w:rPr>
        <w:t>Artículo 45.1.</w:t>
      </w:r>
      <w:r w:rsidRPr="0057104C">
        <w:rPr>
          <w:rStyle w:val="TextoNormalCaracter"/>
        </w:rPr>
        <w:t>-</w:t>
      </w:r>
      <w:r>
        <w:t xml:space="preserve"> Sentencia </w:t>
      </w:r>
      <w:hyperlink w:anchor="SENTENCIA_2016_41" w:history="1">
        <w:r w:rsidRPr="0057104C">
          <w:rPr>
            <w:rStyle w:val="TextoNormalCaracter"/>
          </w:rPr>
          <w:t>41/2016</w:t>
        </w:r>
      </w:hyperlink>
      <w:r>
        <w:t>, f. 7.</w:t>
      </w:r>
    </w:p>
    <w:p w:rsidR="0057104C" w:rsidRDefault="0057104C" w:rsidP="0057104C">
      <w:pPr>
        <w:pStyle w:val="SangriaFrancesaArticulo"/>
      </w:pPr>
      <w:r w:rsidRPr="0057104C">
        <w:rPr>
          <w:rStyle w:val="TextoNormalNegritaCaracter"/>
        </w:rPr>
        <w:t>Artículo 45.2 c).</w:t>
      </w:r>
      <w:r w:rsidRPr="0057104C">
        <w:rPr>
          <w:rStyle w:val="TextoNormalCaracter"/>
        </w:rPr>
        <w:t>-</w:t>
      </w:r>
      <w:r>
        <w:t xml:space="preserve"> Sentencia </w:t>
      </w:r>
      <w:hyperlink w:anchor="SENTENCIA_2016_41" w:history="1">
        <w:r w:rsidRPr="0057104C">
          <w:rPr>
            <w:rStyle w:val="TextoNormalCaracter"/>
          </w:rPr>
          <w:t>41/2016</w:t>
        </w:r>
      </w:hyperlink>
      <w:r>
        <w:t>, f. 7.</w:t>
      </w:r>
    </w:p>
    <w:p w:rsidR="0057104C" w:rsidRDefault="0057104C" w:rsidP="0057104C">
      <w:pPr>
        <w:pStyle w:val="SangriaFrancesaArticulo"/>
      </w:pPr>
      <w:r w:rsidRPr="0057104C">
        <w:rPr>
          <w:rStyle w:val="TextoNormalNegritaCaracter"/>
        </w:rPr>
        <w:t>Disposición adicional octava.</w:t>
      </w:r>
      <w:r w:rsidRPr="0057104C">
        <w:rPr>
          <w:rStyle w:val="TextoNormalCaracter"/>
        </w:rPr>
        <w:t>-</w:t>
      </w:r>
      <w:r>
        <w:t xml:space="preserve"> Sentencias </w:t>
      </w:r>
      <w:hyperlink w:anchor="SENTENCIA_2016_41" w:history="1">
        <w:r w:rsidRPr="0057104C">
          <w:rPr>
            <w:rStyle w:val="TextoNormalCaracter"/>
          </w:rPr>
          <w:t>41/2016</w:t>
        </w:r>
      </w:hyperlink>
      <w:r>
        <w:t xml:space="preserve">, ff. 1, 2, 13, 16;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Disposición adicional novena.</w:t>
      </w:r>
      <w:r w:rsidRPr="0057104C">
        <w:rPr>
          <w:rStyle w:val="TextoNormalCaracter"/>
        </w:rPr>
        <w:t>-</w:t>
      </w:r>
      <w:r>
        <w:t xml:space="preserve"> Sentencia </w:t>
      </w:r>
      <w:hyperlink w:anchor="SENTENCIA_2016_41" w:history="1">
        <w:r w:rsidRPr="0057104C">
          <w:rPr>
            <w:rStyle w:val="TextoNormalCaracter"/>
          </w:rPr>
          <w:t>41/2016</w:t>
        </w:r>
      </w:hyperlink>
      <w:r>
        <w:t>, ff. 1, 2, 9, 11.</w:t>
      </w:r>
    </w:p>
    <w:p w:rsidR="0057104C" w:rsidRDefault="0057104C" w:rsidP="0057104C">
      <w:pPr>
        <w:pStyle w:val="SangriaFrancesaArticulo"/>
      </w:pPr>
      <w:r w:rsidRPr="0057104C">
        <w:rPr>
          <w:rStyle w:val="TextoNormalNegritaCaracter"/>
        </w:rPr>
        <w:t>Disposición adicional undécima.</w:t>
      </w:r>
      <w:r w:rsidRPr="0057104C">
        <w:rPr>
          <w:rStyle w:val="TextoNormalCaracter"/>
        </w:rPr>
        <w:t>-</w:t>
      </w:r>
      <w:r>
        <w:t xml:space="preserve"> Sentencia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Disposicional adicional undécima.</w:t>
      </w:r>
      <w:r w:rsidRPr="0057104C">
        <w:rPr>
          <w:rStyle w:val="TextoNormalCaracter"/>
        </w:rPr>
        <w:t>-</w:t>
      </w:r>
      <w:r>
        <w:t xml:space="preserve"> Sentencia </w:t>
      </w:r>
      <w:hyperlink w:anchor="SENTENCIA_2016_41" w:history="1">
        <w:r w:rsidRPr="0057104C">
          <w:rPr>
            <w:rStyle w:val="TextoNormalCaracter"/>
          </w:rPr>
          <w:t>41/2016</w:t>
        </w:r>
      </w:hyperlink>
      <w:r>
        <w:t>, ff. 1, 2, 13, 16.</w:t>
      </w:r>
    </w:p>
    <w:p w:rsidR="0057104C" w:rsidRDefault="0057104C" w:rsidP="0057104C">
      <w:pPr>
        <w:pStyle w:val="SangriaFrancesaArticulo"/>
      </w:pPr>
      <w:r w:rsidRPr="0057104C">
        <w:rPr>
          <w:rStyle w:val="TextoNormalNegritaCaracter"/>
        </w:rPr>
        <w:t>Disposición adicional decimoquinta.</w:t>
      </w:r>
      <w:r w:rsidRPr="0057104C">
        <w:rPr>
          <w:rStyle w:val="TextoNormalCaracter"/>
        </w:rPr>
        <w:t>-</w:t>
      </w:r>
      <w:r>
        <w:t xml:space="preserve"> Sentencias </w:t>
      </w:r>
      <w:hyperlink w:anchor="SENTENCIA_2016_41" w:history="1">
        <w:r w:rsidRPr="0057104C">
          <w:rPr>
            <w:rStyle w:val="TextoNormalCaracter"/>
          </w:rPr>
          <w:t>41/2016</w:t>
        </w:r>
      </w:hyperlink>
      <w:r>
        <w:t xml:space="preserve">, ff. 1, 2, 9, 13;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Disposición adicional decimosexta.</w:t>
      </w:r>
      <w:r w:rsidRPr="0057104C">
        <w:rPr>
          <w:rStyle w:val="TextoNormalCaracter"/>
        </w:rPr>
        <w:t>-</w:t>
      </w:r>
      <w:r>
        <w:t xml:space="preserve"> Sentencia </w:t>
      </w:r>
      <w:hyperlink w:anchor="SENTENCIA_2016_40" w:history="1">
        <w:r w:rsidRPr="0057104C">
          <w:rPr>
            <w:rStyle w:val="TextoNormalCaracter"/>
          </w:rPr>
          <w:t>40/2016</w:t>
        </w:r>
      </w:hyperlink>
      <w:r>
        <w:t>, f. 2.</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Sentencias </w:t>
      </w:r>
      <w:hyperlink w:anchor="SENTENCIA_2016_41" w:history="1">
        <w:r w:rsidRPr="0057104C">
          <w:rPr>
            <w:rStyle w:val="TextoNormalCaracter"/>
          </w:rPr>
          <w:t>41/2016</w:t>
        </w:r>
      </w:hyperlink>
      <w:r>
        <w:t xml:space="preserve">, ff. 1, 2, 9, 13, 16;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Disposición transitoria primera, apartado 1.</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Disposición transitoria primera, apartado 2.</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Disposición transitoria primera, apartado 4.</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Disposición transitoria primera, apartado 5.</w:t>
      </w:r>
      <w:r w:rsidRPr="0057104C">
        <w:rPr>
          <w:rStyle w:val="TextoNormalCaracter"/>
        </w:rPr>
        <w:t>-</w:t>
      </w:r>
      <w:r>
        <w:t xml:space="preserve"> Sentencia </w:t>
      </w:r>
      <w:hyperlink w:anchor="SENTENCIA_2016_41" w:history="1">
        <w:r w:rsidRPr="0057104C">
          <w:rPr>
            <w:rStyle w:val="TextoNormalCaracter"/>
          </w:rPr>
          <w:t>41/2016</w:t>
        </w:r>
      </w:hyperlink>
      <w:r>
        <w:t>, ff. 2, 13, 16.</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Sentencias </w:t>
      </w:r>
      <w:hyperlink w:anchor="SENTENCIA_2016_41" w:history="1">
        <w:r w:rsidRPr="0057104C">
          <w:rPr>
            <w:rStyle w:val="TextoNormalCaracter"/>
          </w:rPr>
          <w:t>41/2016</w:t>
        </w:r>
      </w:hyperlink>
      <w:r>
        <w:t xml:space="preserve">, ff. 1, 2, 9, 13, 16;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Disposición transitoria segunda, apartado 1.</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Disposición transitoria segunda, apartado 2.</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Disposición transitoria segunda, apartado 4.</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Disposición transitoria segunda, apartado 5.</w:t>
      </w:r>
      <w:r w:rsidRPr="0057104C">
        <w:rPr>
          <w:rStyle w:val="TextoNormalCaracter"/>
        </w:rPr>
        <w:t>-</w:t>
      </w:r>
      <w:r>
        <w:t xml:space="preserve"> Sentencia </w:t>
      </w:r>
      <w:hyperlink w:anchor="SENTENCIA_2016_41" w:history="1">
        <w:r w:rsidRPr="0057104C">
          <w:rPr>
            <w:rStyle w:val="TextoNormalCaracter"/>
          </w:rPr>
          <w:t>41/2016</w:t>
        </w:r>
      </w:hyperlink>
      <w:r>
        <w:t>, ff. 2, 13, 16.</w:t>
      </w:r>
    </w:p>
    <w:p w:rsidR="0057104C" w:rsidRDefault="0057104C" w:rsidP="0057104C">
      <w:pPr>
        <w:pStyle w:val="SangriaFrancesaArticulo"/>
      </w:pPr>
      <w:r w:rsidRPr="0057104C">
        <w:rPr>
          <w:rStyle w:val="TextoNormalNegritaCaracter"/>
        </w:rPr>
        <w:t>Disposición transitoria tercera.</w:t>
      </w:r>
      <w:r w:rsidRPr="0057104C">
        <w:rPr>
          <w:rStyle w:val="TextoNormalCaracter"/>
        </w:rPr>
        <w:t>-</w:t>
      </w:r>
      <w:r>
        <w:t xml:space="preserve"> Sentencias </w:t>
      </w:r>
      <w:hyperlink w:anchor="SENTENCIA_2016_41" w:history="1">
        <w:r w:rsidRPr="0057104C">
          <w:rPr>
            <w:rStyle w:val="TextoNormalCaracter"/>
          </w:rPr>
          <w:t>41/2016</w:t>
        </w:r>
      </w:hyperlink>
      <w:r>
        <w:t xml:space="preserve">, ff. 1, 2, 9, 13;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Disposición transitoria cuarta.</w:t>
      </w:r>
      <w:r w:rsidRPr="0057104C">
        <w:rPr>
          <w:rStyle w:val="TextoNormalCaracter"/>
        </w:rPr>
        <w:t>-</w:t>
      </w:r>
      <w:r>
        <w:t xml:space="preserve"> Sentencias </w:t>
      </w:r>
      <w:hyperlink w:anchor="SENTENCIA_2016_41" w:history="1">
        <w:r w:rsidRPr="0057104C">
          <w:rPr>
            <w:rStyle w:val="TextoNormalCaracter"/>
          </w:rPr>
          <w:t>41/2016</w:t>
        </w:r>
      </w:hyperlink>
      <w:r>
        <w:t xml:space="preserve">, ff. 1, 2, 5, 7; </w:t>
      </w:r>
      <w:hyperlink w:anchor="SENTENCIA_2016_111" w:history="1">
        <w:r w:rsidRPr="0057104C">
          <w:rPr>
            <w:rStyle w:val="TextoNormalCaracter"/>
          </w:rPr>
          <w:t>111/2016</w:t>
        </w:r>
      </w:hyperlink>
      <w:r>
        <w:t>, ff. 1, 2.</w:t>
      </w:r>
    </w:p>
    <w:p w:rsidR="0057104C" w:rsidRDefault="0057104C" w:rsidP="0057104C">
      <w:pPr>
        <w:pStyle w:val="SangriaFrancesaArticulo"/>
      </w:pPr>
      <w:r w:rsidRPr="0057104C">
        <w:rPr>
          <w:rStyle w:val="TextoNormalNegritaCaracter"/>
        </w:rPr>
        <w:t>Disposición transitoria cuarta, apartado 1.</w:t>
      </w:r>
      <w:r w:rsidRPr="0057104C">
        <w:rPr>
          <w:rStyle w:val="TextoNormalCaracter"/>
        </w:rPr>
        <w:t>-</w:t>
      </w:r>
      <w:r>
        <w:t xml:space="preserve"> Sentencia </w:t>
      </w:r>
      <w:hyperlink w:anchor="SENTENCIA_2016_41" w:history="1">
        <w:r w:rsidRPr="0057104C">
          <w:rPr>
            <w:rStyle w:val="TextoNormalCaracter"/>
          </w:rPr>
          <w:t>41/2016</w:t>
        </w:r>
      </w:hyperlink>
      <w:r>
        <w:t>, f. 7.</w:t>
      </w:r>
    </w:p>
    <w:p w:rsidR="0057104C" w:rsidRDefault="0057104C" w:rsidP="0057104C">
      <w:pPr>
        <w:pStyle w:val="SangriaFrancesaArticulo"/>
      </w:pPr>
      <w:r w:rsidRPr="0057104C">
        <w:rPr>
          <w:rStyle w:val="TextoNormalNegritaCaracter"/>
        </w:rPr>
        <w:t>Disposición transitoria cuarta, apartado 3.</w:t>
      </w:r>
      <w:r w:rsidRPr="0057104C">
        <w:rPr>
          <w:rStyle w:val="TextoNormalCaracter"/>
        </w:rPr>
        <w:t>-</w:t>
      </w:r>
      <w:r>
        <w:t xml:space="preserve"> Sentencias </w:t>
      </w:r>
      <w:hyperlink w:anchor="SENTENCIA_2016_41" w:history="1">
        <w:r w:rsidRPr="0057104C">
          <w:rPr>
            <w:rStyle w:val="TextoNormalCaracter"/>
          </w:rPr>
          <w:t>41/2016</w:t>
        </w:r>
      </w:hyperlink>
      <w:r>
        <w:t xml:space="preserve">, f. 7; </w:t>
      </w:r>
      <w:hyperlink w:anchor="SENTENCIA_2016_41" w:history="1">
        <w:r w:rsidRPr="0057104C">
          <w:rPr>
            <w:rStyle w:val="TextoNormalCaracter"/>
          </w:rPr>
          <w:t>41/2016</w:t>
        </w:r>
      </w:hyperlink>
      <w:r>
        <w:t xml:space="preserve">; </w:t>
      </w:r>
      <w:hyperlink w:anchor="SENTENCIA_2016_111" w:history="1">
        <w:r w:rsidRPr="0057104C">
          <w:rPr>
            <w:rStyle w:val="TextoNormalCaracter"/>
          </w:rPr>
          <w:t>111/2016</w:t>
        </w:r>
      </w:hyperlink>
      <w:r>
        <w:t>, ff. 2, 7.</w:t>
      </w:r>
    </w:p>
    <w:p w:rsidR="0057104C" w:rsidRDefault="0057104C" w:rsidP="0057104C">
      <w:pPr>
        <w:pStyle w:val="SangriaFrancesaArticulo"/>
      </w:pPr>
      <w:r w:rsidRPr="0057104C">
        <w:rPr>
          <w:rStyle w:val="TextoNormalNegritaCaracter"/>
        </w:rPr>
        <w:t>Disposición transitoria quinta.</w:t>
      </w:r>
      <w:r w:rsidRPr="0057104C">
        <w:rPr>
          <w:rStyle w:val="TextoNormalCaracter"/>
        </w:rPr>
        <w:t>-</w:t>
      </w:r>
      <w:r>
        <w:t xml:space="preserve"> Sentencia </w:t>
      </w:r>
      <w:hyperlink w:anchor="SENTENCIA_2016_41" w:history="1">
        <w:r w:rsidRPr="0057104C">
          <w:rPr>
            <w:rStyle w:val="TextoNormalCaracter"/>
          </w:rPr>
          <w:t>41/2016</w:t>
        </w:r>
      </w:hyperlink>
      <w:r>
        <w:t>, f. 7.</w:t>
      </w:r>
    </w:p>
    <w:p w:rsidR="0057104C" w:rsidRDefault="0057104C" w:rsidP="0057104C">
      <w:pPr>
        <w:pStyle w:val="SangriaFrancesaArticulo"/>
      </w:pPr>
      <w:r w:rsidRPr="0057104C">
        <w:rPr>
          <w:rStyle w:val="TextoNormalNegritaCaracter"/>
        </w:rPr>
        <w:t>Disposición transitoria séptima</w:t>
      </w:r>
      <w:r>
        <w:t xml:space="preserve"> (redactada por la Ley 18/2015, de 9 de julio)</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1.</w:t>
      </w:r>
    </w:p>
    <w:p w:rsidR="0057104C" w:rsidRDefault="0057104C" w:rsidP="0057104C">
      <w:pPr>
        <w:pStyle w:val="SangriaFrancesaArticulo"/>
      </w:pPr>
      <w:r w:rsidRPr="0057104C">
        <w:rPr>
          <w:rStyle w:val="TextoNormalNegritaCaracter"/>
        </w:rPr>
        <w:t>Disposición transitoria undécima.</w:t>
      </w:r>
      <w:r w:rsidRPr="0057104C">
        <w:rPr>
          <w:rStyle w:val="TextoNormalCaracter"/>
        </w:rPr>
        <w:t>-</w:t>
      </w:r>
      <w:r>
        <w:t xml:space="preserve"> Sentencia </w:t>
      </w:r>
      <w:hyperlink w:anchor="SENTENCIA_2016_41" w:history="1">
        <w:r w:rsidRPr="0057104C">
          <w:rPr>
            <w:rStyle w:val="TextoNormalCaracter"/>
          </w:rPr>
          <w:t>41/2016</w:t>
        </w:r>
      </w:hyperlink>
      <w:r>
        <w:t>, ff. 1, 2, 5, 7, 8.</w:t>
      </w:r>
    </w:p>
    <w:p w:rsidR="0057104C" w:rsidRDefault="0057104C" w:rsidP="0057104C">
      <w:pPr>
        <w:pStyle w:val="SangriaFrancesaArticulo"/>
      </w:pPr>
      <w:r w:rsidRPr="0057104C">
        <w:rPr>
          <w:rStyle w:val="TextoNormalNegritaCaracter"/>
        </w:rPr>
        <w:t>Disposición transitoria úndecima, párrafo primero.</w:t>
      </w:r>
      <w:r w:rsidRPr="0057104C">
        <w:rPr>
          <w:rStyle w:val="TextoNormalCaracter"/>
        </w:rPr>
        <w:t>-</w:t>
      </w:r>
      <w:r>
        <w:t xml:space="preserve"> Sentencia </w:t>
      </w:r>
      <w:hyperlink w:anchor="SENTENCIA_2016_41" w:history="1">
        <w:r w:rsidRPr="0057104C">
          <w:rPr>
            <w:rStyle w:val="TextoNormalCaracter"/>
          </w:rPr>
          <w:t>41/2016</w:t>
        </w:r>
      </w:hyperlink>
      <w:r>
        <w:t>, f. 8.</w:t>
      </w:r>
    </w:p>
    <w:p w:rsidR="0057104C" w:rsidRDefault="0057104C" w:rsidP="0057104C">
      <w:pPr>
        <w:pStyle w:val="SangriaFrancesaArticulo"/>
      </w:pPr>
      <w:r w:rsidRPr="0057104C">
        <w:rPr>
          <w:rStyle w:val="TextoNormalNegritaCaracter"/>
        </w:rPr>
        <w:t>Disposición transitoria undécima, párrafo segundo.</w:t>
      </w:r>
      <w:r w:rsidRPr="0057104C">
        <w:rPr>
          <w:rStyle w:val="TextoNormalCaracter"/>
        </w:rPr>
        <w:t>-</w:t>
      </w:r>
      <w:r>
        <w:t xml:space="preserve"> Sentencia </w:t>
      </w:r>
      <w:hyperlink w:anchor="SENTENCIA_2016_41" w:history="1">
        <w:r w:rsidRPr="0057104C">
          <w:rPr>
            <w:rStyle w:val="TextoNormalCaracter"/>
          </w:rPr>
          <w:t>41/2016</w:t>
        </w:r>
      </w:hyperlink>
      <w:r>
        <w:t>, f. 8.</w:t>
      </w:r>
    </w:p>
    <w:p w:rsidR="0057104C" w:rsidRDefault="0057104C" w:rsidP="0057104C">
      <w:pPr>
        <w:pStyle w:val="SangriaFrancesaArticulo"/>
      </w:pPr>
      <w:r w:rsidRPr="0057104C">
        <w:rPr>
          <w:rStyle w:val="TextoNormalNegritaCaracter"/>
        </w:rPr>
        <w:t>Disposición transitoria undécima, párrafo tercero.</w:t>
      </w:r>
      <w:r w:rsidRPr="0057104C">
        <w:rPr>
          <w:rStyle w:val="TextoNormalCaracter"/>
        </w:rPr>
        <w:t>-</w:t>
      </w:r>
      <w:r>
        <w:t xml:space="preserve"> Sentencias </w:t>
      </w:r>
      <w:hyperlink w:anchor="SENTENCIA_2016_41" w:history="1">
        <w:r w:rsidRPr="0057104C">
          <w:rPr>
            <w:rStyle w:val="TextoNormalCaracter"/>
          </w:rPr>
          <w:t>41/2016</w:t>
        </w:r>
      </w:hyperlink>
      <w:r>
        <w:t xml:space="preserve">, f. 8; </w:t>
      </w:r>
      <w:hyperlink w:anchor="SENTENCIA_2016_111" w:history="1">
        <w:r w:rsidRPr="0057104C">
          <w:rPr>
            <w:rStyle w:val="TextoNormalCaracter"/>
          </w:rPr>
          <w:t>111/2016</w:t>
        </w:r>
      </w:hyperlink>
      <w:r>
        <w:t>, f. 7.</w:t>
      </w:r>
    </w:p>
    <w:p w:rsidR="0057104C" w:rsidRDefault="0057104C" w:rsidP="0057104C">
      <w:pPr>
        <w:pStyle w:val="SangriaFrancesaArticulo"/>
      </w:pPr>
      <w:r w:rsidRPr="0057104C">
        <w:rPr>
          <w:rStyle w:val="TextoNormalNegritaCaracter"/>
        </w:rPr>
        <w:t>Disposición derogatoria.</w:t>
      </w:r>
      <w:r w:rsidRPr="0057104C">
        <w:rPr>
          <w:rStyle w:val="TextoNormalCaracter"/>
        </w:rPr>
        <w:t>-</w:t>
      </w:r>
      <w:r>
        <w:t xml:space="preserve"> Sentencia </w:t>
      </w:r>
      <w:hyperlink w:anchor="SENTENCIA_2016_40" w:history="1">
        <w:r w:rsidRPr="0057104C">
          <w:rPr>
            <w:rStyle w:val="TextoNormalCaracter"/>
          </w:rPr>
          <w:t>40/2016</w:t>
        </w:r>
      </w:hyperlink>
      <w:r>
        <w:t>, f. 2.</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111" w:history="1">
        <w:r w:rsidRPr="0057104C">
          <w:rPr>
            <w:rStyle w:val="TextoNormalCaracter"/>
          </w:rPr>
          <w:t>111/2016</w:t>
        </w:r>
      </w:hyperlink>
      <w:r>
        <w:t>, ff. 1, 3, 7.</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41" w:history="1">
        <w:r w:rsidRPr="0057104C">
          <w:rPr>
            <w:rStyle w:val="TextoNormalCaracter"/>
          </w:rPr>
          <w:t>41/2016</w:t>
        </w:r>
      </w:hyperlink>
      <w:r>
        <w:t>, f. 8.</w:t>
      </w:r>
    </w:p>
    <w:p w:rsidR="0057104C" w:rsidRDefault="0057104C" w:rsidP="0057104C">
      <w:pPr>
        <w:pStyle w:val="SangriaFrancesaArticulo"/>
      </w:pPr>
      <w:r w:rsidRPr="0057104C">
        <w:rPr>
          <w:rStyle w:val="TextoNormalNegritaCaracter"/>
        </w:rPr>
        <w:t>Disposición final quinta.</w:t>
      </w:r>
      <w:r w:rsidRPr="0057104C">
        <w:rPr>
          <w:rStyle w:val="TextoNormalCaracter"/>
        </w:rPr>
        <w:t>-</w:t>
      </w:r>
      <w:r>
        <w:t xml:space="preserve"> Sentencia </w:t>
      </w:r>
      <w:hyperlink w:anchor="SENTENCIA_2016_41" w:history="1">
        <w:r w:rsidRPr="0057104C">
          <w:rPr>
            <w:rStyle w:val="TextoNormalCaracter"/>
          </w:rPr>
          <w:t>41/2016</w:t>
        </w:r>
      </w:hyperlink>
      <w:r>
        <w:t>, ff. 3, 4, 15.</w:t>
      </w:r>
    </w:p>
    <w:p w:rsidR="0057104C" w:rsidRDefault="0057104C" w:rsidP="0057104C">
      <w:pPr>
        <w:pStyle w:val="SangriaFrancesaArticulo"/>
      </w:pPr>
      <w:r w:rsidRPr="0057104C">
        <w:rPr>
          <w:rStyle w:val="TextoNormalNegritaCaracter"/>
        </w:rPr>
        <w:t>Disposición final sexta.</w:t>
      </w:r>
      <w:r w:rsidRPr="0057104C">
        <w:rPr>
          <w:rStyle w:val="TextoNormalCaracter"/>
        </w:rPr>
        <w:t>-</w:t>
      </w:r>
      <w:r>
        <w:t xml:space="preserve"> Sentencia </w:t>
      </w:r>
      <w:hyperlink w:anchor="SENTENCIA_2016_40" w:history="1">
        <w:r w:rsidRPr="0057104C">
          <w:rPr>
            <w:rStyle w:val="TextoNormalCaracter"/>
          </w:rPr>
          <w:t>40/2016</w:t>
        </w:r>
      </w:hyperlink>
      <w:r>
        <w:t>, f. 2.</w:t>
      </w:r>
    </w:p>
    <w:p w:rsidR="0057104C" w:rsidRDefault="0057104C" w:rsidP="0057104C">
      <w:pPr>
        <w:pStyle w:val="SangriaFrancesaArticulo"/>
      </w:pPr>
    </w:p>
    <w:p w:rsidR="0057104C" w:rsidRDefault="0057104C" w:rsidP="0057104C">
      <w:pPr>
        <w:pStyle w:val="TextoNormalNegritaCursivandice"/>
      </w:pPr>
      <w:r>
        <w:t>Ley 1/2014, de 28 de febrero. Protección de los trabajadores a tiempo parcial y otras medidas urgentes en el orden económico y social</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21" w:history="1">
        <w:r w:rsidRPr="0057104C">
          <w:rPr>
            <w:rStyle w:val="TextoNormalCaracter"/>
          </w:rPr>
          <w:t>21/2016</w:t>
        </w:r>
      </w:hyperlink>
      <w:r>
        <w:t>, ff. 1, 3.</w:t>
      </w:r>
    </w:p>
    <w:p w:rsidR="0057104C" w:rsidRDefault="0057104C" w:rsidP="0057104C">
      <w:pPr>
        <w:pStyle w:val="SangriaFrancesaArticulo"/>
      </w:pPr>
      <w:r w:rsidRPr="0057104C">
        <w:rPr>
          <w:rStyle w:val="TextoNormalNegritaCaracter"/>
        </w:rPr>
        <w:t>Artículo 8.5.</w:t>
      </w:r>
      <w:r w:rsidRPr="0057104C">
        <w:rPr>
          <w:rStyle w:val="TextoNormalCaracter"/>
        </w:rPr>
        <w:t>-</w:t>
      </w:r>
      <w:r>
        <w:t xml:space="preserve"> Sentencia </w:t>
      </w:r>
      <w:hyperlink w:anchor="SENTENCIA_2016_21" w:history="1">
        <w:r w:rsidRPr="0057104C">
          <w:rPr>
            <w:rStyle w:val="TextoNormalCaracter"/>
          </w:rPr>
          <w:t>21/2016</w:t>
        </w:r>
      </w:hyperlink>
      <w:r>
        <w:t>, ff. 1, 3.</w:t>
      </w:r>
    </w:p>
    <w:p w:rsidR="0057104C" w:rsidRDefault="0057104C" w:rsidP="0057104C">
      <w:pPr>
        <w:pStyle w:val="SangriaFrancesaArticulo"/>
      </w:pPr>
    </w:p>
    <w:p w:rsidR="0057104C" w:rsidRDefault="0057104C" w:rsidP="0057104C">
      <w:pPr>
        <w:pStyle w:val="TextoNormalNegritaCursivandice"/>
      </w:pPr>
      <w:r>
        <w:t>Ley 2/2014, de 25 de marzo. Acción y del servicio exterior del Estado</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85" w:history="1">
        <w:r w:rsidRPr="0057104C">
          <w:rPr>
            <w:rStyle w:val="TextoNormalCaracter"/>
          </w:rPr>
          <w:t>85/2016</w:t>
        </w:r>
      </w:hyperlink>
      <w:r>
        <w:t>, f. 4.</w:t>
      </w:r>
    </w:p>
    <w:p w:rsidR="0057104C" w:rsidRDefault="0057104C" w:rsidP="0057104C">
      <w:pPr>
        <w:pStyle w:val="SangriaFrancesaArticulo"/>
      </w:pPr>
      <w:r w:rsidRPr="0057104C">
        <w:rPr>
          <w:rStyle w:val="TextoNormalNegritaCaracter"/>
        </w:rPr>
        <w:t>Artículo 1 a).</w:t>
      </w:r>
      <w:r w:rsidRPr="0057104C">
        <w:rPr>
          <w:rStyle w:val="TextoNormalCaracter"/>
        </w:rPr>
        <w:t>-</w:t>
      </w:r>
      <w:r>
        <w:t xml:space="preserve"> Sentencia </w:t>
      </w:r>
      <w:hyperlink w:anchor="SENTENCIA_2016_85" w:history="1">
        <w:r w:rsidRPr="0057104C">
          <w:rPr>
            <w:rStyle w:val="TextoNormalCaracter"/>
          </w:rPr>
          <w:t>85/2016</w:t>
        </w:r>
      </w:hyperlink>
      <w:r>
        <w:t>, f. 2.</w:t>
      </w:r>
    </w:p>
    <w:p w:rsidR="0057104C" w:rsidRDefault="0057104C" w:rsidP="0057104C">
      <w:pPr>
        <w:pStyle w:val="SangriaFrancesaArticulo"/>
      </w:pPr>
      <w:r w:rsidRPr="0057104C">
        <w:rPr>
          <w:rStyle w:val="TextoNormalNegritaCaracter"/>
        </w:rPr>
        <w:t>Artículo 1 b).</w:t>
      </w:r>
      <w:r w:rsidRPr="0057104C">
        <w:rPr>
          <w:rStyle w:val="TextoNormalCaracter"/>
        </w:rPr>
        <w:t>-</w:t>
      </w:r>
      <w:r>
        <w:t xml:space="preserve"> Sentencia </w:t>
      </w:r>
      <w:hyperlink w:anchor="SENTENCIA_2016_85" w:history="1">
        <w:r w:rsidRPr="0057104C">
          <w:rPr>
            <w:rStyle w:val="TextoNormalCaracter"/>
          </w:rPr>
          <w:t>85/2016</w:t>
        </w:r>
      </w:hyperlink>
      <w:r>
        <w:t>, f. 2.</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85" w:history="1">
        <w:r w:rsidRPr="0057104C">
          <w:rPr>
            <w:rStyle w:val="TextoNormalCaracter"/>
          </w:rPr>
          <w:t>85/2016</w:t>
        </w:r>
      </w:hyperlink>
      <w:r>
        <w:t>, ff. 1, 2, 4.</w:t>
      </w:r>
    </w:p>
    <w:p w:rsidR="0057104C" w:rsidRDefault="0057104C" w:rsidP="0057104C">
      <w:pPr>
        <w:pStyle w:val="SangriaFrancesaArticulo"/>
      </w:pPr>
      <w:r w:rsidRPr="0057104C">
        <w:rPr>
          <w:rStyle w:val="TextoNormalNegritaCaracter"/>
        </w:rPr>
        <w:t>Artículo 1.2 a).</w:t>
      </w:r>
      <w:r w:rsidRPr="0057104C">
        <w:rPr>
          <w:rStyle w:val="TextoNormalCaracter"/>
        </w:rPr>
        <w:t>-</w:t>
      </w:r>
      <w:r>
        <w:t xml:space="preserve"> Sentencia </w:t>
      </w:r>
      <w:hyperlink w:anchor="SENTENCIA_2016_85" w:history="1">
        <w:r w:rsidRPr="0057104C">
          <w:rPr>
            <w:rStyle w:val="TextoNormalCaracter"/>
          </w:rPr>
          <w:t>85/2016</w:t>
        </w:r>
      </w:hyperlink>
      <w:r>
        <w:t>, f. 4, VP.</w:t>
      </w:r>
    </w:p>
    <w:p w:rsidR="0057104C" w:rsidRDefault="0057104C" w:rsidP="0057104C">
      <w:pPr>
        <w:pStyle w:val="SangriaFrancesaArticulo"/>
      </w:pPr>
      <w:r w:rsidRPr="0057104C">
        <w:rPr>
          <w:rStyle w:val="TextoNormalNegritaCaracter"/>
        </w:rPr>
        <w:t>Artículo 1.2 b).</w:t>
      </w:r>
      <w:r w:rsidRPr="0057104C">
        <w:rPr>
          <w:rStyle w:val="TextoNormalCaracter"/>
        </w:rPr>
        <w:t>-</w:t>
      </w:r>
      <w:r>
        <w:t xml:space="preserve"> Sentencia </w:t>
      </w:r>
      <w:hyperlink w:anchor="SENTENCIA_2016_85" w:history="1">
        <w:r w:rsidRPr="0057104C">
          <w:rPr>
            <w:rStyle w:val="TextoNormalCaracter"/>
          </w:rPr>
          <w:t>85/2016</w:t>
        </w:r>
      </w:hyperlink>
      <w:r>
        <w:t>, ff. 4, 5, 7, VP.</w:t>
      </w:r>
    </w:p>
    <w:p w:rsidR="0057104C" w:rsidRDefault="0057104C" w:rsidP="0057104C">
      <w:pPr>
        <w:pStyle w:val="SangriaFrancesaArticulo"/>
      </w:pPr>
      <w:r w:rsidRPr="0057104C">
        <w:rPr>
          <w:rStyle w:val="TextoNormalNegritaCaracter"/>
        </w:rPr>
        <w:t>Artículo 1.2 c).</w:t>
      </w:r>
      <w:r w:rsidRPr="0057104C">
        <w:rPr>
          <w:rStyle w:val="TextoNormalCaracter"/>
        </w:rPr>
        <w:t>-</w:t>
      </w:r>
      <w:r>
        <w:t xml:space="preserve"> Sentencia </w:t>
      </w:r>
      <w:hyperlink w:anchor="SENTENCIA_2016_85" w:history="1">
        <w:r w:rsidRPr="0057104C">
          <w:rPr>
            <w:rStyle w:val="TextoNormalCaracter"/>
          </w:rPr>
          <w:t>85/2016</w:t>
        </w:r>
      </w:hyperlink>
      <w:r>
        <w:t>, f. 2.</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85" w:history="1">
        <w:r w:rsidRPr="0057104C">
          <w:rPr>
            <w:rStyle w:val="TextoNormalCaracter"/>
          </w:rPr>
          <w:t>85/2016</w:t>
        </w:r>
      </w:hyperlink>
      <w:r>
        <w:t>, ff. 1, 2, 4.</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Sentencia </w:t>
      </w:r>
      <w:hyperlink w:anchor="SENTENCIA_2016_85" w:history="1">
        <w:r w:rsidRPr="0057104C">
          <w:rPr>
            <w:rStyle w:val="TextoNormalCaracter"/>
          </w:rPr>
          <w:t>85/2016</w:t>
        </w:r>
      </w:hyperlink>
      <w:r>
        <w:t>, f. 2.</w:t>
      </w:r>
    </w:p>
    <w:p w:rsidR="0057104C" w:rsidRDefault="0057104C" w:rsidP="0057104C">
      <w:pPr>
        <w:pStyle w:val="SangriaFrancesaArticulo"/>
      </w:pPr>
      <w:r w:rsidRPr="0057104C">
        <w:rPr>
          <w:rStyle w:val="TextoNormalNegritaCaracter"/>
        </w:rPr>
        <w:t>Artículo 3.2 a).</w:t>
      </w:r>
      <w:r w:rsidRPr="0057104C">
        <w:rPr>
          <w:rStyle w:val="TextoNormalCaracter"/>
        </w:rPr>
        <w:t>-</w:t>
      </w:r>
      <w:r>
        <w:t xml:space="preserve"> Sentencia </w:t>
      </w:r>
      <w:hyperlink w:anchor="SENTENCIA_2016_85" w:history="1">
        <w:r w:rsidRPr="0057104C">
          <w:rPr>
            <w:rStyle w:val="TextoNormalCaracter"/>
          </w:rPr>
          <w:t>85/2016</w:t>
        </w:r>
      </w:hyperlink>
      <w:r>
        <w:t>, ff. 2, 4, VP.</w:t>
      </w:r>
    </w:p>
    <w:p w:rsidR="0057104C" w:rsidRDefault="0057104C" w:rsidP="0057104C">
      <w:pPr>
        <w:pStyle w:val="SangriaFrancesaArticulo"/>
      </w:pPr>
      <w:r w:rsidRPr="0057104C">
        <w:rPr>
          <w:rStyle w:val="TextoNormalNegritaCaracter"/>
        </w:rPr>
        <w:t>Artículo 3.2 b) a g).</w:t>
      </w:r>
      <w:r w:rsidRPr="0057104C">
        <w:rPr>
          <w:rStyle w:val="TextoNormalCaracter"/>
        </w:rPr>
        <w:t>-</w:t>
      </w:r>
      <w:r>
        <w:t xml:space="preserve"> Sentencia </w:t>
      </w:r>
      <w:hyperlink w:anchor="SENTENCIA_2016_85" w:history="1">
        <w:r w:rsidRPr="0057104C">
          <w:rPr>
            <w:rStyle w:val="TextoNormalCaracter"/>
          </w:rPr>
          <w:t>85/2016</w:t>
        </w:r>
      </w:hyperlink>
      <w:r>
        <w:t>, f. 2.</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85" w:history="1">
        <w:r w:rsidRPr="0057104C">
          <w:rPr>
            <w:rStyle w:val="TextoNormalCaracter"/>
          </w:rPr>
          <w:t>85/2016</w:t>
        </w:r>
      </w:hyperlink>
      <w:r>
        <w:t>, ff. 1, 2, 4 a 6, VP.</w:t>
      </w:r>
    </w:p>
    <w:p w:rsidR="0057104C" w:rsidRDefault="0057104C" w:rsidP="0057104C">
      <w:pPr>
        <w:pStyle w:val="SangriaFrancesaArticulo"/>
      </w:pPr>
      <w:r w:rsidRPr="0057104C">
        <w:rPr>
          <w:rStyle w:val="TextoNormalNegritaCaracter"/>
        </w:rPr>
        <w:t>Artículo 5.2, párrafo segundo.</w:t>
      </w:r>
      <w:r w:rsidRPr="0057104C">
        <w:rPr>
          <w:rStyle w:val="TextoNormalCaracter"/>
        </w:rPr>
        <w:t>-</w:t>
      </w:r>
      <w:r>
        <w:t xml:space="preserve"> Sentencia </w:t>
      </w:r>
      <w:hyperlink w:anchor="SENTENCIA_2016_85" w:history="1">
        <w:r w:rsidRPr="0057104C">
          <w:rPr>
            <w:rStyle w:val="TextoNormalCaracter"/>
          </w:rPr>
          <w:t>85/2016</w:t>
        </w:r>
      </w:hyperlink>
      <w:r>
        <w:t>, f. 5.</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85" w:history="1">
        <w:r w:rsidRPr="0057104C">
          <w:rPr>
            <w:rStyle w:val="TextoNormalCaracter"/>
          </w:rPr>
          <w:t>85/2016</w:t>
        </w:r>
      </w:hyperlink>
      <w:r>
        <w:t>, ff. 1, 2, 5.</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Sentencia </w:t>
      </w:r>
      <w:hyperlink w:anchor="SENTENCIA_2016_85" w:history="1">
        <w:r w:rsidRPr="0057104C">
          <w:rPr>
            <w:rStyle w:val="TextoNormalCaracter"/>
          </w:rPr>
          <w:t>85/2016</w:t>
        </w:r>
      </w:hyperlink>
      <w:r>
        <w:t>, ff. 5, 8.</w:t>
      </w:r>
    </w:p>
    <w:p w:rsidR="0057104C" w:rsidRDefault="0057104C" w:rsidP="0057104C">
      <w:pPr>
        <w:pStyle w:val="SangriaFrancesaArticulo"/>
      </w:pPr>
      <w:r w:rsidRPr="0057104C">
        <w:rPr>
          <w:rStyle w:val="TextoNormalNegritaCaracter"/>
        </w:rPr>
        <w:t>Artículo 11.2.</w:t>
      </w:r>
      <w:r w:rsidRPr="0057104C">
        <w:rPr>
          <w:rStyle w:val="TextoNormalCaracter"/>
        </w:rPr>
        <w:t>-</w:t>
      </w:r>
      <w:r>
        <w:t xml:space="preserve"> Sentencia </w:t>
      </w:r>
      <w:hyperlink w:anchor="SENTENCIA_2016_85" w:history="1">
        <w:r w:rsidRPr="0057104C">
          <w:rPr>
            <w:rStyle w:val="TextoNormalCaracter"/>
          </w:rPr>
          <w:t>85/2016</w:t>
        </w:r>
      </w:hyperlink>
      <w:r>
        <w:t>, f. 8.</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85" w:history="1">
        <w:r w:rsidRPr="0057104C">
          <w:rPr>
            <w:rStyle w:val="TextoNormalCaracter"/>
          </w:rPr>
          <w:t>85/2016</w:t>
        </w:r>
      </w:hyperlink>
      <w:r>
        <w:t>, ff. 1, 2, 5, 6, VP.</w:t>
      </w:r>
    </w:p>
    <w:p w:rsidR="0057104C" w:rsidRDefault="0057104C" w:rsidP="0057104C">
      <w:pPr>
        <w:pStyle w:val="SangriaFrancesaArticulo"/>
      </w:pPr>
      <w:r w:rsidRPr="0057104C">
        <w:rPr>
          <w:rStyle w:val="TextoNormalNegritaCaracter"/>
        </w:rPr>
        <w:t>Artículo 12.1.</w:t>
      </w:r>
      <w:r w:rsidRPr="0057104C">
        <w:rPr>
          <w:rStyle w:val="TextoNormalCaracter"/>
        </w:rPr>
        <w:t>-</w:t>
      </w:r>
      <w:r>
        <w:t xml:space="preserve"> Sentencia </w:t>
      </w:r>
      <w:hyperlink w:anchor="SENTENCIA_2016_85" w:history="1">
        <w:r w:rsidRPr="0057104C">
          <w:rPr>
            <w:rStyle w:val="TextoNormalCaracter"/>
          </w:rPr>
          <w:t>85/2016</w:t>
        </w:r>
      </w:hyperlink>
      <w:r>
        <w:t>, VP.</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85" w:history="1">
        <w:r w:rsidRPr="0057104C">
          <w:rPr>
            <w:rStyle w:val="TextoNormalCaracter"/>
          </w:rPr>
          <w:t>85/2016</w:t>
        </w:r>
      </w:hyperlink>
      <w:r>
        <w:t>, ff. 1, 2.</w:t>
      </w:r>
    </w:p>
    <w:p w:rsidR="0057104C" w:rsidRDefault="0057104C" w:rsidP="0057104C">
      <w:pPr>
        <w:pStyle w:val="SangriaFrancesaArticulo"/>
      </w:pPr>
      <w:r w:rsidRPr="0057104C">
        <w:rPr>
          <w:rStyle w:val="TextoNormalNegritaCaracter"/>
        </w:rPr>
        <w:t>Artículo 13.1.</w:t>
      </w:r>
      <w:r w:rsidRPr="0057104C">
        <w:rPr>
          <w:rStyle w:val="TextoNormalCaracter"/>
        </w:rPr>
        <w:t>-</w:t>
      </w:r>
      <w:r>
        <w:t xml:space="preserve"> Sentencia </w:t>
      </w:r>
      <w:hyperlink w:anchor="SENTENCIA_2016_85" w:history="1">
        <w:r w:rsidRPr="0057104C">
          <w:rPr>
            <w:rStyle w:val="TextoNormalCaracter"/>
          </w:rPr>
          <w:t>85/2016</w:t>
        </w:r>
      </w:hyperlink>
      <w:r>
        <w:t>, ff. 2, 6, VP.</w:t>
      </w:r>
    </w:p>
    <w:p w:rsidR="0057104C" w:rsidRDefault="0057104C" w:rsidP="0057104C">
      <w:pPr>
        <w:pStyle w:val="SangriaFrancesaArticulo"/>
      </w:pPr>
      <w:r w:rsidRPr="0057104C">
        <w:rPr>
          <w:rStyle w:val="TextoNormalNegritaCaracter"/>
        </w:rPr>
        <w:t>Artículo 13.2.</w:t>
      </w:r>
      <w:r w:rsidRPr="0057104C">
        <w:rPr>
          <w:rStyle w:val="TextoNormalCaracter"/>
        </w:rPr>
        <w:t>-</w:t>
      </w:r>
      <w:r>
        <w:t xml:space="preserve"> Sentencia </w:t>
      </w:r>
      <w:hyperlink w:anchor="SENTENCIA_2016_85" w:history="1">
        <w:r w:rsidRPr="0057104C">
          <w:rPr>
            <w:rStyle w:val="TextoNormalCaracter"/>
          </w:rPr>
          <w:t>85/2016</w:t>
        </w:r>
      </w:hyperlink>
      <w:r>
        <w:t>, f. 2.</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85" w:history="1">
        <w:r w:rsidRPr="0057104C">
          <w:rPr>
            <w:rStyle w:val="TextoNormalCaracter"/>
          </w:rPr>
          <w:t>85/2016</w:t>
        </w:r>
      </w:hyperlink>
      <w:r>
        <w:t>, ff. 1, 2.</w:t>
      </w:r>
    </w:p>
    <w:p w:rsidR="0057104C" w:rsidRDefault="0057104C" w:rsidP="0057104C">
      <w:pPr>
        <w:pStyle w:val="SangriaFrancesaArticulo"/>
      </w:pPr>
      <w:r w:rsidRPr="0057104C">
        <w:rPr>
          <w:rStyle w:val="TextoNormalNegritaCaracter"/>
        </w:rPr>
        <w:t>Artículo 14, apartados 2 a 4.</w:t>
      </w:r>
      <w:r w:rsidRPr="0057104C">
        <w:rPr>
          <w:rStyle w:val="TextoNormalCaracter"/>
        </w:rPr>
        <w:t>-</w:t>
      </w:r>
      <w:r>
        <w:t xml:space="preserve"> Sentencia </w:t>
      </w:r>
      <w:hyperlink w:anchor="SENTENCIA_2016_85" w:history="1">
        <w:r w:rsidRPr="0057104C">
          <w:rPr>
            <w:rStyle w:val="TextoNormalCaracter"/>
          </w:rPr>
          <w:t>85/2016</w:t>
        </w:r>
      </w:hyperlink>
      <w:r>
        <w:t>, f. 2.</w:t>
      </w:r>
    </w:p>
    <w:p w:rsidR="0057104C" w:rsidRDefault="0057104C" w:rsidP="0057104C">
      <w:pPr>
        <w:pStyle w:val="SangriaFrancesaArticulo"/>
      </w:pPr>
      <w:r w:rsidRPr="0057104C">
        <w:rPr>
          <w:rStyle w:val="TextoNormalNegritaCaracter"/>
        </w:rPr>
        <w:t>Artículo 14.1.</w:t>
      </w:r>
      <w:r w:rsidRPr="0057104C">
        <w:rPr>
          <w:rStyle w:val="TextoNormalCaracter"/>
        </w:rPr>
        <w:t>-</w:t>
      </w:r>
      <w:r>
        <w:t xml:space="preserve"> Sentencia </w:t>
      </w:r>
      <w:hyperlink w:anchor="SENTENCIA_2016_85" w:history="1">
        <w:r w:rsidRPr="0057104C">
          <w:rPr>
            <w:rStyle w:val="TextoNormalCaracter"/>
          </w:rPr>
          <w:t>85/2016</w:t>
        </w:r>
      </w:hyperlink>
      <w:r>
        <w:t>, ff. 2, 7, VP.</w:t>
      </w:r>
    </w:p>
    <w:p w:rsidR="0057104C" w:rsidRDefault="0057104C" w:rsidP="0057104C">
      <w:pPr>
        <w:pStyle w:val="SangriaFrancesaArticulo"/>
      </w:pPr>
      <w:r w:rsidRPr="0057104C">
        <w:rPr>
          <w:rStyle w:val="TextoNormalNegritaCaracter"/>
        </w:rPr>
        <w:t>Artículos 15 a 33.</w:t>
      </w:r>
      <w:r w:rsidRPr="0057104C">
        <w:rPr>
          <w:rStyle w:val="TextoNormalCaracter"/>
        </w:rPr>
        <w:t>-</w:t>
      </w:r>
      <w:r>
        <w:t xml:space="preserve"> Sentencia </w:t>
      </w:r>
      <w:hyperlink w:anchor="SENTENCIA_2016_85" w:history="1">
        <w:r w:rsidRPr="0057104C">
          <w:rPr>
            <w:rStyle w:val="TextoNormalCaracter"/>
          </w:rPr>
          <w:t>85/2016</w:t>
        </w:r>
      </w:hyperlink>
      <w:r>
        <w:t>, f. 7.</w:t>
      </w:r>
    </w:p>
    <w:p w:rsidR="0057104C" w:rsidRDefault="0057104C" w:rsidP="0057104C">
      <w:pPr>
        <w:pStyle w:val="SangriaFrancesaArticulo"/>
      </w:pPr>
      <w:r w:rsidRPr="0057104C">
        <w:rPr>
          <w:rStyle w:val="TextoNormalNegritaCaracter"/>
        </w:rPr>
        <w:t>Artículos 17 a 33.</w:t>
      </w:r>
      <w:r w:rsidRPr="0057104C">
        <w:rPr>
          <w:rStyle w:val="TextoNormalCaracter"/>
        </w:rPr>
        <w:t>-</w:t>
      </w:r>
      <w:r>
        <w:t xml:space="preserve"> Sentencia </w:t>
      </w:r>
      <w:hyperlink w:anchor="SENTENCIA_2016_85" w:history="1">
        <w:r w:rsidRPr="0057104C">
          <w:rPr>
            <w:rStyle w:val="TextoNormalCaracter"/>
          </w:rPr>
          <w:t>85/2016</w:t>
        </w:r>
      </w:hyperlink>
      <w:r>
        <w:t>, ff. 1, 2, 7, VP.</w:t>
      </w:r>
    </w:p>
    <w:p w:rsidR="0057104C" w:rsidRDefault="0057104C" w:rsidP="0057104C">
      <w:pPr>
        <w:pStyle w:val="SangriaFrancesaArticulo"/>
      </w:pPr>
      <w:r w:rsidRPr="0057104C">
        <w:rPr>
          <w:rStyle w:val="TextoNormalNegritaCaracter"/>
        </w:rPr>
        <w:t>Artículo 34.</w:t>
      </w:r>
      <w:r w:rsidRPr="0057104C">
        <w:rPr>
          <w:rStyle w:val="TextoNormalCaracter"/>
        </w:rPr>
        <w:t>-</w:t>
      </w:r>
      <w:r>
        <w:t xml:space="preserve"> Sentencia </w:t>
      </w:r>
      <w:hyperlink w:anchor="SENTENCIA_2016_85" w:history="1">
        <w:r w:rsidRPr="0057104C">
          <w:rPr>
            <w:rStyle w:val="TextoNormalCaracter"/>
          </w:rPr>
          <w:t>85/2016</w:t>
        </w:r>
      </w:hyperlink>
      <w:r>
        <w:t>, ff. 1, 2, 8, VP.</w:t>
      </w:r>
    </w:p>
    <w:p w:rsidR="0057104C" w:rsidRDefault="0057104C" w:rsidP="0057104C">
      <w:pPr>
        <w:pStyle w:val="SangriaFrancesaArticulo"/>
      </w:pPr>
      <w:r w:rsidRPr="0057104C">
        <w:rPr>
          <w:rStyle w:val="TextoNormalNegritaCaracter"/>
        </w:rPr>
        <w:t>Artículos 34 y ss.</w:t>
      </w:r>
      <w:r w:rsidRPr="0057104C">
        <w:rPr>
          <w:rStyle w:val="TextoNormalCaracter"/>
        </w:rPr>
        <w:t>-</w:t>
      </w:r>
      <w:r>
        <w:t xml:space="preserve"> Sentencia </w:t>
      </w:r>
      <w:hyperlink w:anchor="SENTENCIA_2016_85" w:history="1">
        <w:r w:rsidRPr="0057104C">
          <w:rPr>
            <w:rStyle w:val="TextoNormalCaracter"/>
          </w:rPr>
          <w:t>85/2016</w:t>
        </w:r>
      </w:hyperlink>
      <w:r>
        <w:t>, f. 7.</w:t>
      </w:r>
    </w:p>
    <w:p w:rsidR="0057104C" w:rsidRDefault="0057104C" w:rsidP="0057104C">
      <w:pPr>
        <w:pStyle w:val="SangriaFrancesaArticulo"/>
      </w:pPr>
      <w:r w:rsidRPr="0057104C">
        <w:rPr>
          <w:rStyle w:val="TextoNormalNegritaCaracter"/>
        </w:rPr>
        <w:t>Artículo 35.</w:t>
      </w:r>
      <w:r w:rsidRPr="0057104C">
        <w:rPr>
          <w:rStyle w:val="TextoNormalCaracter"/>
        </w:rPr>
        <w:t>-</w:t>
      </w:r>
      <w:r>
        <w:t xml:space="preserve"> Sentencia </w:t>
      </w:r>
      <w:hyperlink w:anchor="SENTENCIA_2016_85" w:history="1">
        <w:r w:rsidRPr="0057104C">
          <w:rPr>
            <w:rStyle w:val="TextoNormalCaracter"/>
          </w:rPr>
          <w:t>85/2016</w:t>
        </w:r>
      </w:hyperlink>
      <w:r>
        <w:t>, ff. 1, 2, 8, VP.</w:t>
      </w:r>
    </w:p>
    <w:p w:rsidR="0057104C" w:rsidRDefault="0057104C" w:rsidP="0057104C">
      <w:pPr>
        <w:pStyle w:val="SangriaFrancesaArticulo"/>
      </w:pPr>
      <w:r w:rsidRPr="0057104C">
        <w:rPr>
          <w:rStyle w:val="TextoNormalNegritaCaracter"/>
        </w:rPr>
        <w:t>Artículo 35.3.</w:t>
      </w:r>
      <w:r w:rsidRPr="0057104C">
        <w:rPr>
          <w:rStyle w:val="TextoNormalCaracter"/>
        </w:rPr>
        <w:t>-</w:t>
      </w:r>
      <w:r>
        <w:t xml:space="preserve"> Sentencia </w:t>
      </w:r>
      <w:hyperlink w:anchor="SENTENCIA_2016_85" w:history="1">
        <w:r w:rsidRPr="0057104C">
          <w:rPr>
            <w:rStyle w:val="TextoNormalCaracter"/>
          </w:rPr>
          <w:t>85/2016</w:t>
        </w:r>
      </w:hyperlink>
      <w:r>
        <w:t>, f. 8, VP.</w:t>
      </w:r>
    </w:p>
    <w:p w:rsidR="0057104C" w:rsidRDefault="0057104C" w:rsidP="0057104C">
      <w:pPr>
        <w:pStyle w:val="SangriaFrancesaArticulo"/>
      </w:pPr>
      <w:r w:rsidRPr="0057104C">
        <w:rPr>
          <w:rStyle w:val="TextoNormalNegritaCaracter"/>
        </w:rPr>
        <w:t>Artículo 37.</w:t>
      </w:r>
      <w:r w:rsidRPr="0057104C">
        <w:rPr>
          <w:rStyle w:val="TextoNormalCaracter"/>
        </w:rPr>
        <w:t>-</w:t>
      </w:r>
      <w:r>
        <w:t xml:space="preserve"> Sentencia </w:t>
      </w:r>
      <w:hyperlink w:anchor="SENTENCIA_2016_85" w:history="1">
        <w:r w:rsidRPr="0057104C">
          <w:rPr>
            <w:rStyle w:val="TextoNormalCaracter"/>
          </w:rPr>
          <w:t>85/2016</w:t>
        </w:r>
      </w:hyperlink>
      <w:r>
        <w:t>, ff. 1, 2, 8, VP.</w:t>
      </w:r>
    </w:p>
    <w:p w:rsidR="0057104C" w:rsidRDefault="0057104C" w:rsidP="0057104C">
      <w:pPr>
        <w:pStyle w:val="SangriaFrancesaArticulo"/>
      </w:pPr>
      <w:r w:rsidRPr="0057104C">
        <w:rPr>
          <w:rStyle w:val="TextoNormalNegritaCaracter"/>
        </w:rPr>
        <w:t>Disposición adicional decimosexta</w:t>
      </w:r>
      <w:r>
        <w:t xml:space="preserve"> (redactada por la Ley 29/2015, de 30 de julio)</w:t>
      </w:r>
      <w:r w:rsidRPr="0057104C">
        <w:rPr>
          <w:rStyle w:val="TextoNormalNegritaCaracter"/>
        </w:rPr>
        <w:t>.</w:t>
      </w:r>
      <w:r w:rsidRPr="0057104C">
        <w:rPr>
          <w:rStyle w:val="TextoNormalCaracter"/>
        </w:rPr>
        <w:t>-</w:t>
      </w:r>
      <w:r>
        <w:t xml:space="preserve"> Sentencia </w:t>
      </w:r>
      <w:hyperlink w:anchor="SENTENCIA_2016_85" w:history="1">
        <w:r w:rsidRPr="0057104C">
          <w:rPr>
            <w:rStyle w:val="TextoNormalCaracter"/>
          </w:rPr>
          <w:t>85/2016</w:t>
        </w:r>
      </w:hyperlink>
      <w:r>
        <w:t>, f. 1.</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85" w:history="1">
        <w:r w:rsidRPr="0057104C">
          <w:rPr>
            <w:rStyle w:val="TextoNormalCaracter"/>
          </w:rPr>
          <w:t>85/2016</w:t>
        </w:r>
      </w:hyperlink>
      <w:r>
        <w:t>, f. 8.</w:t>
      </w:r>
    </w:p>
    <w:p w:rsidR="0057104C" w:rsidRDefault="0057104C" w:rsidP="0057104C">
      <w:pPr>
        <w:pStyle w:val="SangriaFrancesaArticulo"/>
      </w:pPr>
      <w:r w:rsidRPr="0057104C">
        <w:rPr>
          <w:rStyle w:val="TextoNormalNegritaCaracter"/>
        </w:rPr>
        <w:t>Disposición final quinta.</w:t>
      </w:r>
      <w:r w:rsidRPr="0057104C">
        <w:rPr>
          <w:rStyle w:val="TextoNormalCaracter"/>
        </w:rPr>
        <w:t>-</w:t>
      </w:r>
      <w:r>
        <w:t xml:space="preserve"> Sentencia </w:t>
      </w:r>
      <w:hyperlink w:anchor="SENTENCIA_2016_85" w:history="1">
        <w:r w:rsidRPr="0057104C">
          <w:rPr>
            <w:rStyle w:val="TextoNormalCaracter"/>
          </w:rPr>
          <w:t>85/2016</w:t>
        </w:r>
      </w:hyperlink>
      <w:r>
        <w:t>, f. 6.</w:t>
      </w:r>
    </w:p>
    <w:p w:rsidR="0057104C" w:rsidRDefault="0057104C" w:rsidP="0057104C">
      <w:pPr>
        <w:pStyle w:val="SangriaFrancesaArticulo"/>
      </w:pPr>
    </w:p>
    <w:p w:rsidR="0057104C" w:rsidRDefault="0057104C" w:rsidP="0057104C">
      <w:pPr>
        <w:pStyle w:val="TextoNormalNegritaCursivandice"/>
      </w:pPr>
      <w:r>
        <w:t>Ley 3/2014, de 27 de marzo. Modifica el texto refundido de la Ley General para la defensa de los consumidores y usuarios y otras leyes complementarias, aprobado por el Real Decreto Legislativo 1/2007, de 16 de noviembre</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2" w:history="1">
        <w:r w:rsidRPr="0057104C">
          <w:rPr>
            <w:rStyle w:val="TextoNormalCaracter"/>
          </w:rPr>
          <w:t>32/2016</w:t>
        </w:r>
      </w:hyperlink>
      <w:r>
        <w:t>, f. 2.</w:t>
      </w:r>
    </w:p>
    <w:p w:rsidR="0057104C" w:rsidRDefault="0057104C" w:rsidP="0057104C">
      <w:pPr>
        <w:pStyle w:val="SangriaFrancesaArticulo"/>
      </w:pPr>
      <w:r w:rsidRPr="0057104C">
        <w:rPr>
          <w:rStyle w:val="TextoNormalNegritaCaracter"/>
        </w:rPr>
        <w:t>Disposición final segunda, apartado 3.</w:t>
      </w:r>
      <w:r w:rsidRPr="0057104C">
        <w:rPr>
          <w:rStyle w:val="TextoNormalCaracter"/>
        </w:rPr>
        <w:t>-</w:t>
      </w:r>
      <w:r>
        <w:t xml:space="preserve"> Sentencia </w:t>
      </w:r>
      <w:hyperlink w:anchor="SENTENCIA_2016_119" w:history="1">
        <w:r w:rsidRPr="0057104C">
          <w:rPr>
            <w:rStyle w:val="TextoNormalCaracter"/>
          </w:rPr>
          <w:t>119/2016</w:t>
        </w:r>
      </w:hyperlink>
      <w:r>
        <w:t>, ff. 1, 6.</w:t>
      </w:r>
    </w:p>
    <w:p w:rsidR="0057104C" w:rsidRDefault="0057104C" w:rsidP="0057104C">
      <w:pPr>
        <w:pStyle w:val="SangriaFrancesaArticulo"/>
      </w:pPr>
      <w:r w:rsidRPr="0057104C">
        <w:rPr>
          <w:rStyle w:val="TextoNormalNegritaCaracter"/>
        </w:rPr>
        <w:t>Disposición final undécima apartado 2.</w:t>
      </w:r>
      <w:r w:rsidRPr="0057104C">
        <w:rPr>
          <w:rStyle w:val="TextoNormalCaracter"/>
        </w:rPr>
        <w:t>-</w:t>
      </w:r>
      <w:r>
        <w:t xml:space="preserve"> Sentencia </w:t>
      </w:r>
      <w:hyperlink w:anchor="SENTENCIA_2016_32" w:history="1">
        <w:r w:rsidRPr="0057104C">
          <w:rPr>
            <w:rStyle w:val="TextoNormalCaracter"/>
          </w:rPr>
          <w:t>32/2016</w:t>
        </w:r>
      </w:hyperlink>
      <w:r>
        <w:t>, f. 2.</w:t>
      </w:r>
    </w:p>
    <w:p w:rsidR="0057104C" w:rsidRDefault="0057104C" w:rsidP="0057104C">
      <w:pPr>
        <w:pStyle w:val="SangriaFrancesaArticulo"/>
      </w:pPr>
    </w:p>
    <w:p w:rsidR="0057104C" w:rsidRDefault="0057104C" w:rsidP="0057104C">
      <w:pPr>
        <w:pStyle w:val="TextoNormalNegritaCursivandice"/>
      </w:pPr>
      <w:r>
        <w:t>Ley 9/2014, de 9 de mayo. General de Telecomunicaciones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 w:history="1">
        <w:r w:rsidRPr="0057104C">
          <w:rPr>
            <w:rStyle w:val="TextoNormalCaracter"/>
          </w:rPr>
          <w:t>8/2016</w:t>
        </w:r>
      </w:hyperlink>
      <w:r>
        <w:t>, f. 2.</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20" w:history="1">
        <w:r w:rsidRPr="0057104C">
          <w:rPr>
            <w:rStyle w:val="TextoNormalCaracter"/>
          </w:rPr>
          <w:t>20/2016</w:t>
        </w:r>
      </w:hyperlink>
      <w:r>
        <w:t>, ff. 2, 7.</w:t>
      </w:r>
    </w:p>
    <w:p w:rsidR="0057104C" w:rsidRDefault="0057104C" w:rsidP="0057104C">
      <w:pPr>
        <w:pStyle w:val="SangriaFrancesaArticulo"/>
      </w:pPr>
      <w:r w:rsidRPr="0057104C">
        <w:rPr>
          <w:rStyle w:val="TextoNormalNegritaCaracter"/>
        </w:rPr>
        <w:t>Preámbulo, apartado I.</w:t>
      </w:r>
      <w:r w:rsidRPr="0057104C">
        <w:rPr>
          <w:rStyle w:val="TextoNormalCaracter"/>
        </w:rPr>
        <w:t>-</w:t>
      </w:r>
      <w:r>
        <w:t xml:space="preserve"> Sentencia </w:t>
      </w:r>
      <w:hyperlink w:anchor="SENTENCIA_2016_20" w:history="1">
        <w:r w:rsidRPr="0057104C">
          <w:rPr>
            <w:rStyle w:val="TextoNormalCaracter"/>
          </w:rPr>
          <w:t>20/2016</w:t>
        </w:r>
      </w:hyperlink>
      <w:r>
        <w:t>, f. 5.</w:t>
      </w:r>
    </w:p>
    <w:p w:rsidR="0057104C" w:rsidRDefault="0057104C" w:rsidP="0057104C">
      <w:pPr>
        <w:pStyle w:val="SangriaFrancesaArticulo"/>
      </w:pPr>
      <w:r w:rsidRPr="0057104C">
        <w:rPr>
          <w:rStyle w:val="TextoNormalNegritaCaracter"/>
        </w:rPr>
        <w:t>Preámbulo, apartado II.</w:t>
      </w:r>
      <w:r w:rsidRPr="0057104C">
        <w:rPr>
          <w:rStyle w:val="TextoNormalCaracter"/>
        </w:rPr>
        <w:t>-</w:t>
      </w:r>
      <w:r>
        <w:t xml:space="preserve"> Sentencia </w:t>
      </w:r>
      <w:hyperlink w:anchor="SENTENCIA_2016_20" w:history="1">
        <w:r w:rsidRPr="0057104C">
          <w:rPr>
            <w:rStyle w:val="TextoNormalCaracter"/>
          </w:rPr>
          <w:t>20/2016</w:t>
        </w:r>
      </w:hyperlink>
      <w:r>
        <w:t>, f. 5.</w:t>
      </w:r>
    </w:p>
    <w:p w:rsidR="0057104C" w:rsidRDefault="0057104C" w:rsidP="0057104C">
      <w:pPr>
        <w:pStyle w:val="SangriaFrancesaArticulo"/>
      </w:pPr>
      <w:r w:rsidRPr="0057104C">
        <w:rPr>
          <w:rStyle w:val="TextoNormalNegritaCaracter"/>
        </w:rPr>
        <w:t>Preámbulo, apartado III.</w:t>
      </w:r>
      <w:r w:rsidRPr="0057104C">
        <w:rPr>
          <w:rStyle w:val="TextoNormalCaracter"/>
        </w:rPr>
        <w:t>-</w:t>
      </w:r>
      <w:r>
        <w:t xml:space="preserve"> Sentencia </w:t>
      </w:r>
      <w:hyperlink w:anchor="SENTENCIA_2016_20" w:history="1">
        <w:r w:rsidRPr="0057104C">
          <w:rPr>
            <w:rStyle w:val="TextoNormalCaracter"/>
          </w:rPr>
          <w:t>20/2016</w:t>
        </w:r>
      </w:hyperlink>
      <w:r>
        <w:t>, f. 5.</w:t>
      </w:r>
    </w:p>
    <w:p w:rsidR="0057104C" w:rsidRDefault="0057104C" w:rsidP="0057104C">
      <w:pPr>
        <w:pStyle w:val="SangriaFrancesaArticulo"/>
      </w:pPr>
      <w:r w:rsidRPr="0057104C">
        <w:rPr>
          <w:rStyle w:val="TextoNormalNegritaCaracter"/>
        </w:rPr>
        <w:t>Preámbulo, apartado IV.</w:t>
      </w:r>
      <w:r w:rsidRPr="0057104C">
        <w:rPr>
          <w:rStyle w:val="TextoNormalCaracter"/>
        </w:rPr>
        <w:t>-</w:t>
      </w:r>
      <w:r>
        <w:t xml:space="preserve"> Sentencia </w:t>
      </w:r>
      <w:hyperlink w:anchor="SENTENCIA_2016_20" w:history="1">
        <w:r w:rsidRPr="0057104C">
          <w:rPr>
            <w:rStyle w:val="TextoNormalCaracter"/>
          </w:rPr>
          <w:t>20/2016</w:t>
        </w:r>
      </w:hyperlink>
      <w:r>
        <w:t>, f. 7.</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20" w:history="1">
        <w:r w:rsidRPr="0057104C">
          <w:rPr>
            <w:rStyle w:val="TextoNormalCaracter"/>
          </w:rPr>
          <w:t>20/2016</w:t>
        </w:r>
      </w:hyperlink>
      <w:r>
        <w:t>, f. 2.</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8" w:history="1">
        <w:r w:rsidRPr="0057104C">
          <w:rPr>
            <w:rStyle w:val="TextoNormalCaracter"/>
          </w:rPr>
          <w:t>8/2016</w:t>
        </w:r>
      </w:hyperlink>
      <w:r>
        <w:t>, f. 5.</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20" w:history="1">
        <w:r w:rsidRPr="0057104C">
          <w:rPr>
            <w:rStyle w:val="TextoNormalCaracter"/>
          </w:rPr>
          <w:t>20/2016</w:t>
        </w:r>
      </w:hyperlink>
      <w:r>
        <w:t>, f. 10.</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8" w:history="1">
        <w:r w:rsidRPr="0057104C">
          <w:rPr>
            <w:rStyle w:val="TextoNormalCaracter"/>
          </w:rPr>
          <w:t>8/2016</w:t>
        </w:r>
      </w:hyperlink>
      <w:r>
        <w:t>, f. 3.</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8" w:history="1">
        <w:r w:rsidRPr="0057104C">
          <w:rPr>
            <w:rStyle w:val="TextoNormalCaracter"/>
          </w:rPr>
          <w:t>8/2016</w:t>
        </w:r>
      </w:hyperlink>
      <w:r>
        <w:t>, f. 8.</w:t>
      </w:r>
    </w:p>
    <w:p w:rsidR="0057104C" w:rsidRDefault="0057104C" w:rsidP="0057104C">
      <w:pPr>
        <w:pStyle w:val="SangriaFrancesaArticulo"/>
      </w:pPr>
      <w:r w:rsidRPr="0057104C">
        <w:rPr>
          <w:rStyle w:val="TextoNormalNegritaCaracter"/>
        </w:rPr>
        <w:t>Artículo 3 h).</w:t>
      </w:r>
      <w:r w:rsidRPr="0057104C">
        <w:rPr>
          <w:rStyle w:val="TextoNormalCaracter"/>
        </w:rPr>
        <w:t>-</w:t>
      </w:r>
      <w:r>
        <w:t xml:space="preserve"> Sentencia </w:t>
      </w:r>
      <w:hyperlink w:anchor="SENTENCIA_2016_8" w:history="1">
        <w:r w:rsidRPr="0057104C">
          <w:rPr>
            <w:rStyle w:val="TextoNormalCaracter"/>
          </w:rPr>
          <w:t>8/2016</w:t>
        </w:r>
      </w:hyperlink>
      <w:r>
        <w:t>, f. 11.</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8" w:history="1">
        <w:r w:rsidRPr="0057104C">
          <w:rPr>
            <w:rStyle w:val="TextoNormalCaracter"/>
          </w:rPr>
          <w:t>8/2016</w:t>
        </w:r>
      </w:hyperlink>
      <w:r>
        <w:t>, ff. 3, 6.</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10.2.</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10.3.</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8" w:history="1">
        <w:r w:rsidRPr="0057104C">
          <w:rPr>
            <w:rStyle w:val="TextoNormalCaracter"/>
          </w:rPr>
          <w:t>8/2016</w:t>
        </w:r>
      </w:hyperlink>
      <w:r>
        <w:t>, f. 9.</w:t>
      </w:r>
    </w:p>
    <w:p w:rsidR="0057104C" w:rsidRDefault="0057104C" w:rsidP="0057104C">
      <w:pPr>
        <w:pStyle w:val="SangriaFrancesaArticulo"/>
      </w:pPr>
      <w:r w:rsidRPr="0057104C">
        <w:rPr>
          <w:rStyle w:val="TextoNormalNegritaCaracter"/>
        </w:rPr>
        <w:t>Artículo 24 b).</w:t>
      </w:r>
      <w:r w:rsidRPr="0057104C">
        <w:rPr>
          <w:rStyle w:val="TextoNormalCaracter"/>
        </w:rPr>
        <w:t>-</w:t>
      </w:r>
      <w:r>
        <w:t xml:space="preserve"> Sentencia </w:t>
      </w:r>
      <w:hyperlink w:anchor="SENTENCIA_2016_8" w:history="1">
        <w:r w:rsidRPr="0057104C">
          <w:rPr>
            <w:rStyle w:val="TextoNormalCaracter"/>
          </w:rPr>
          <w:t>8/2016</w:t>
        </w:r>
      </w:hyperlink>
      <w:r>
        <w:t>, f. 8.</w:t>
      </w:r>
    </w:p>
    <w:p w:rsidR="0057104C" w:rsidRDefault="0057104C" w:rsidP="0057104C">
      <w:pPr>
        <w:pStyle w:val="SangriaFrancesaArticulo"/>
      </w:pPr>
      <w:r w:rsidRPr="0057104C">
        <w:rPr>
          <w:rStyle w:val="TextoNormalNegritaCaracter"/>
        </w:rPr>
        <w:t>Artículo 25 y ss.</w:t>
      </w:r>
      <w:r w:rsidRPr="0057104C">
        <w:rPr>
          <w:rStyle w:val="TextoNormalCaracter"/>
        </w:rPr>
        <w:t>-</w:t>
      </w:r>
      <w:r>
        <w:t xml:space="preserve"> Sentencia </w:t>
      </w:r>
      <w:hyperlink w:anchor="SENTENCIA_2016_8" w:history="1">
        <w:r w:rsidRPr="0057104C">
          <w:rPr>
            <w:rStyle w:val="TextoNormalCaracter"/>
          </w:rPr>
          <w:t>8/2016</w:t>
        </w:r>
      </w:hyperlink>
      <w:r>
        <w:t>, f. 8.</w:t>
      </w:r>
    </w:p>
    <w:p w:rsidR="0057104C" w:rsidRDefault="0057104C" w:rsidP="0057104C">
      <w:pPr>
        <w:pStyle w:val="SangriaFrancesaArticulo"/>
      </w:pPr>
      <w:r w:rsidRPr="0057104C">
        <w:rPr>
          <w:rStyle w:val="TextoNormalNegritaCaracter"/>
        </w:rPr>
        <w:t>Artículo 25.1 f).</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28.</w:t>
      </w:r>
      <w:r w:rsidRPr="0057104C">
        <w:rPr>
          <w:rStyle w:val="TextoNormalCaracter"/>
        </w:rPr>
        <w:t>-</w:t>
      </w:r>
      <w:r>
        <w:t xml:space="preserve"> Sentencia </w:t>
      </w:r>
      <w:hyperlink w:anchor="SENTENCIA_2016_8" w:history="1">
        <w:r w:rsidRPr="0057104C">
          <w:rPr>
            <w:rStyle w:val="TextoNormalCaracter"/>
          </w:rPr>
          <w:t>8/2016</w:t>
        </w:r>
      </w:hyperlink>
      <w:r>
        <w:t>, f. 8.</w:t>
      </w:r>
    </w:p>
    <w:p w:rsidR="0057104C" w:rsidRDefault="0057104C" w:rsidP="0057104C">
      <w:pPr>
        <w:pStyle w:val="SangriaFrancesaArticulo"/>
      </w:pPr>
      <w:r w:rsidRPr="0057104C">
        <w:rPr>
          <w:rStyle w:val="TextoNormalNegritaCaracter"/>
        </w:rPr>
        <w:t>Artículo 28.1.</w:t>
      </w:r>
      <w:r w:rsidRPr="0057104C">
        <w:rPr>
          <w:rStyle w:val="TextoNormalCaracter"/>
        </w:rPr>
        <w:t>-</w:t>
      </w:r>
      <w:r>
        <w:t xml:space="preserve"> Sentencia </w:t>
      </w:r>
      <w:hyperlink w:anchor="SENTENCIA_2016_8" w:history="1">
        <w:r w:rsidRPr="0057104C">
          <w:rPr>
            <w:rStyle w:val="TextoNormalCaracter"/>
          </w:rPr>
          <w:t>8/2016</w:t>
        </w:r>
      </w:hyperlink>
      <w:r>
        <w:t>, f. 8.</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8" w:history="1">
        <w:r w:rsidRPr="0057104C">
          <w:rPr>
            <w:rStyle w:val="TextoNormalCaracter"/>
          </w:rPr>
          <w:t>8/2016</w:t>
        </w:r>
      </w:hyperlink>
      <w:r>
        <w:t>, f. 10.</w:t>
      </w:r>
    </w:p>
    <w:p w:rsidR="0057104C" w:rsidRDefault="0057104C" w:rsidP="0057104C">
      <w:pPr>
        <w:pStyle w:val="SangriaFrancesaArticulo"/>
      </w:pPr>
      <w:r w:rsidRPr="0057104C">
        <w:rPr>
          <w:rStyle w:val="TextoNormalNegritaCaracter"/>
        </w:rPr>
        <w:t>Artículo 32.1.</w:t>
      </w:r>
      <w:r w:rsidRPr="0057104C">
        <w:rPr>
          <w:rStyle w:val="TextoNormalCaracter"/>
        </w:rPr>
        <w:t>-</w:t>
      </w:r>
      <w:r>
        <w:t xml:space="preserve"> Sentencia </w:t>
      </w:r>
      <w:hyperlink w:anchor="SENTENCIA_2016_8" w:history="1">
        <w:r w:rsidRPr="0057104C">
          <w:rPr>
            <w:rStyle w:val="TextoNormalCaracter"/>
          </w:rPr>
          <w:t>8/2016</w:t>
        </w:r>
      </w:hyperlink>
      <w:r>
        <w:t>, f. 10.</w:t>
      </w:r>
    </w:p>
    <w:p w:rsidR="0057104C" w:rsidRDefault="0057104C" w:rsidP="0057104C">
      <w:pPr>
        <w:pStyle w:val="SangriaFrancesaArticulo"/>
      </w:pPr>
      <w:r w:rsidRPr="0057104C">
        <w:rPr>
          <w:rStyle w:val="TextoNormalNegritaCaracter"/>
        </w:rPr>
        <w:t>Artículo 34.1.</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34.2.</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34.3.</w:t>
      </w:r>
      <w:r w:rsidRPr="0057104C">
        <w:rPr>
          <w:rStyle w:val="TextoNormalCaracter"/>
        </w:rPr>
        <w:t>-</w:t>
      </w:r>
      <w:r>
        <w:t xml:space="preserve"> Sentencias </w:t>
      </w:r>
      <w:hyperlink w:anchor="SENTENCIA_2016_8" w:history="1">
        <w:r w:rsidRPr="0057104C">
          <w:rPr>
            <w:rStyle w:val="TextoNormalCaracter"/>
          </w:rPr>
          <w:t>8/2016</w:t>
        </w:r>
      </w:hyperlink>
      <w:r>
        <w:t xml:space="preserve">, ff. 7, 11; </w:t>
      </w:r>
      <w:hyperlink w:anchor="SENTENCIA_2016_20" w:history="1">
        <w:r w:rsidRPr="0057104C">
          <w:rPr>
            <w:rStyle w:val="TextoNormalCaracter"/>
          </w:rPr>
          <w:t>20/2016</w:t>
        </w:r>
      </w:hyperlink>
      <w:r>
        <w:t>, ff. 1, 5, 10.</w:t>
      </w:r>
    </w:p>
    <w:p w:rsidR="0057104C" w:rsidRDefault="0057104C" w:rsidP="0057104C">
      <w:pPr>
        <w:pStyle w:val="SangriaFrancesaArticulo"/>
      </w:pPr>
      <w:r w:rsidRPr="0057104C">
        <w:rPr>
          <w:rStyle w:val="TextoNormalNegritaCaracter"/>
        </w:rPr>
        <w:t>Artículo 34.4.</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34.5.</w:t>
      </w:r>
      <w:r w:rsidRPr="0057104C">
        <w:rPr>
          <w:rStyle w:val="TextoNormalCaracter"/>
        </w:rPr>
        <w:t>-</w:t>
      </w:r>
      <w:r>
        <w:t xml:space="preserve"> Sentencia </w:t>
      </w:r>
      <w:hyperlink w:anchor="SENTENCIA_2016_20" w:history="1">
        <w:r w:rsidRPr="0057104C">
          <w:rPr>
            <w:rStyle w:val="TextoNormalCaracter"/>
          </w:rPr>
          <w:t>20/2016</w:t>
        </w:r>
      </w:hyperlink>
      <w:r>
        <w:t>, ff. 1, 6, 10.</w:t>
      </w:r>
    </w:p>
    <w:p w:rsidR="0057104C" w:rsidRDefault="0057104C" w:rsidP="0057104C">
      <w:pPr>
        <w:pStyle w:val="SangriaFrancesaArticulo"/>
      </w:pPr>
      <w:r w:rsidRPr="0057104C">
        <w:rPr>
          <w:rStyle w:val="TextoNormalNegritaCaracter"/>
        </w:rPr>
        <w:t>Artículo 34.6.</w:t>
      </w:r>
      <w:r w:rsidRPr="0057104C">
        <w:rPr>
          <w:rStyle w:val="TextoNormalCaracter"/>
        </w:rPr>
        <w:t>-</w:t>
      </w:r>
      <w:r>
        <w:t xml:space="preserve"> Sentencia </w:t>
      </w:r>
      <w:hyperlink w:anchor="SENTENCIA_2016_20" w:history="1">
        <w:r w:rsidRPr="0057104C">
          <w:rPr>
            <w:rStyle w:val="TextoNormalCaracter"/>
          </w:rPr>
          <w:t>20/2016</w:t>
        </w:r>
      </w:hyperlink>
      <w:r>
        <w:t>, ff. 1, 6, 7, 10.</w:t>
      </w:r>
    </w:p>
    <w:p w:rsidR="0057104C" w:rsidRDefault="0057104C" w:rsidP="0057104C">
      <w:pPr>
        <w:pStyle w:val="SangriaFrancesaArticulo"/>
      </w:pPr>
      <w:r w:rsidRPr="0057104C">
        <w:rPr>
          <w:rStyle w:val="TextoNormalNegritaCaracter"/>
        </w:rPr>
        <w:t>Artículo 34.6, párrafo 5.</w:t>
      </w:r>
      <w:r w:rsidRPr="0057104C">
        <w:rPr>
          <w:rStyle w:val="TextoNormalCaracter"/>
        </w:rPr>
        <w:t>-</w:t>
      </w:r>
      <w:r>
        <w:t xml:space="preserve"> Sentencia </w:t>
      </w:r>
      <w:hyperlink w:anchor="SENTENCIA_2016_20" w:history="1">
        <w:r w:rsidRPr="0057104C">
          <w:rPr>
            <w:rStyle w:val="TextoNormalCaracter"/>
          </w:rPr>
          <w:t>20/2016</w:t>
        </w:r>
      </w:hyperlink>
      <w:r>
        <w:t>, f. 7.</w:t>
      </w:r>
    </w:p>
    <w:p w:rsidR="0057104C" w:rsidRDefault="0057104C" w:rsidP="0057104C">
      <w:pPr>
        <w:pStyle w:val="SangriaFrancesaArticulo"/>
      </w:pPr>
      <w:r w:rsidRPr="0057104C">
        <w:rPr>
          <w:rStyle w:val="TextoNormalNegritaCaracter"/>
        </w:rPr>
        <w:t>Artículo 35.</w:t>
      </w:r>
      <w:r w:rsidRPr="0057104C">
        <w:rPr>
          <w:rStyle w:val="TextoNormalCaracter"/>
        </w:rPr>
        <w:t>-</w:t>
      </w:r>
      <w:r>
        <w:t xml:space="preserve"> Sentencia </w:t>
      </w:r>
      <w:hyperlink w:anchor="SENTENCIA_2016_20" w:history="1">
        <w:r w:rsidRPr="0057104C">
          <w:rPr>
            <w:rStyle w:val="TextoNormalCaracter"/>
          </w:rPr>
          <w:t>20/2016</w:t>
        </w:r>
      </w:hyperlink>
      <w:r>
        <w:t>, f. 8.</w:t>
      </w:r>
    </w:p>
    <w:p w:rsidR="0057104C" w:rsidRDefault="0057104C" w:rsidP="0057104C">
      <w:pPr>
        <w:pStyle w:val="SangriaFrancesaArticulo"/>
      </w:pPr>
      <w:r w:rsidRPr="0057104C">
        <w:rPr>
          <w:rStyle w:val="TextoNormalNegritaCaracter"/>
        </w:rPr>
        <w:t>Artículo 35.1.</w:t>
      </w:r>
      <w:r w:rsidRPr="0057104C">
        <w:rPr>
          <w:rStyle w:val="TextoNormalCaracter"/>
        </w:rPr>
        <w:t>-</w:t>
      </w:r>
      <w:r>
        <w:t xml:space="preserve"> Sentencia </w:t>
      </w:r>
      <w:hyperlink w:anchor="SENTENCIA_2016_20" w:history="1">
        <w:r w:rsidRPr="0057104C">
          <w:rPr>
            <w:rStyle w:val="TextoNormalCaracter"/>
          </w:rPr>
          <w:t>20/2016</w:t>
        </w:r>
      </w:hyperlink>
      <w:r>
        <w:t>, f. 9.</w:t>
      </w:r>
    </w:p>
    <w:p w:rsidR="0057104C" w:rsidRDefault="0057104C" w:rsidP="0057104C">
      <w:pPr>
        <w:pStyle w:val="SangriaFrancesaArticulo"/>
      </w:pPr>
      <w:r w:rsidRPr="0057104C">
        <w:rPr>
          <w:rStyle w:val="TextoNormalNegritaCaracter"/>
        </w:rPr>
        <w:t>Artículo 35.2.</w:t>
      </w:r>
      <w:r w:rsidRPr="0057104C">
        <w:rPr>
          <w:rStyle w:val="TextoNormalCaracter"/>
        </w:rPr>
        <w:t>-</w:t>
      </w:r>
      <w:r>
        <w:t xml:space="preserve"> Sentencia </w:t>
      </w:r>
      <w:hyperlink w:anchor="SENTENCIA_2016_20" w:history="1">
        <w:r w:rsidRPr="0057104C">
          <w:rPr>
            <w:rStyle w:val="TextoNormalCaracter"/>
          </w:rPr>
          <w:t>20/2016</w:t>
        </w:r>
      </w:hyperlink>
      <w:r>
        <w:t>, ff. 5, 8, 9.</w:t>
      </w:r>
    </w:p>
    <w:p w:rsidR="0057104C" w:rsidRDefault="0057104C" w:rsidP="0057104C">
      <w:pPr>
        <w:pStyle w:val="SangriaFrancesaArticulo"/>
      </w:pPr>
      <w:r w:rsidRPr="0057104C">
        <w:rPr>
          <w:rStyle w:val="TextoNormalNegritaCaracter"/>
        </w:rPr>
        <w:t>Artículo 35.4.</w:t>
      </w:r>
      <w:r w:rsidRPr="0057104C">
        <w:rPr>
          <w:rStyle w:val="TextoNormalCaracter"/>
        </w:rPr>
        <w:t>-</w:t>
      </w:r>
      <w:r>
        <w:t xml:space="preserve"> Sentencias </w:t>
      </w:r>
      <w:hyperlink w:anchor="SENTENCIA_2016_8" w:history="1">
        <w:r w:rsidRPr="0057104C">
          <w:rPr>
            <w:rStyle w:val="TextoNormalCaracter"/>
          </w:rPr>
          <w:t>8/2016</w:t>
        </w:r>
      </w:hyperlink>
      <w:r>
        <w:t xml:space="preserve">, f. 7; </w:t>
      </w:r>
      <w:hyperlink w:anchor="SENTENCIA_2016_20" w:history="1">
        <w:r w:rsidRPr="0057104C">
          <w:rPr>
            <w:rStyle w:val="TextoNormalCaracter"/>
          </w:rPr>
          <w:t>20/2016</w:t>
        </w:r>
      </w:hyperlink>
      <w:r>
        <w:t>, ff. 1, 8, 10.</w:t>
      </w:r>
    </w:p>
    <w:p w:rsidR="0057104C" w:rsidRDefault="0057104C" w:rsidP="0057104C">
      <w:pPr>
        <w:pStyle w:val="SangriaFrancesaArticulo"/>
      </w:pPr>
      <w:r w:rsidRPr="0057104C">
        <w:rPr>
          <w:rStyle w:val="TextoNormalNegritaCaracter"/>
        </w:rPr>
        <w:t>Artículo 35.7.</w:t>
      </w:r>
      <w:r w:rsidRPr="0057104C">
        <w:rPr>
          <w:rStyle w:val="TextoNormalCaracter"/>
        </w:rPr>
        <w:t>-</w:t>
      </w:r>
      <w:r>
        <w:t xml:space="preserve"> Sentencia </w:t>
      </w:r>
      <w:hyperlink w:anchor="SENTENCIA_2016_20" w:history="1">
        <w:r w:rsidRPr="0057104C">
          <w:rPr>
            <w:rStyle w:val="TextoNormalCaracter"/>
          </w:rPr>
          <w:t>20/2016</w:t>
        </w:r>
      </w:hyperlink>
      <w:r>
        <w:t>, ff. 1, 9, 10.</w:t>
      </w:r>
    </w:p>
    <w:p w:rsidR="0057104C" w:rsidRDefault="0057104C" w:rsidP="0057104C">
      <w:pPr>
        <w:pStyle w:val="SangriaFrancesaArticulo"/>
      </w:pPr>
      <w:r w:rsidRPr="0057104C">
        <w:rPr>
          <w:rStyle w:val="TextoNormalNegritaCaracter"/>
        </w:rPr>
        <w:t>Artículo 36.2.</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38.</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45.4.</w:t>
      </w:r>
      <w:r w:rsidRPr="0057104C">
        <w:rPr>
          <w:rStyle w:val="TextoNormalCaracter"/>
        </w:rPr>
        <w:t>-</w:t>
      </w:r>
      <w:r>
        <w:t xml:space="preserve"> Sentencia </w:t>
      </w:r>
      <w:hyperlink w:anchor="SENTENCIA_2016_20" w:history="1">
        <w:r w:rsidRPr="0057104C">
          <w:rPr>
            <w:rStyle w:val="TextoNormalCaracter"/>
          </w:rPr>
          <w:t>20/2016</w:t>
        </w:r>
      </w:hyperlink>
      <w:r>
        <w:t>, ff. 1, 6, 10.</w:t>
      </w:r>
    </w:p>
    <w:p w:rsidR="0057104C" w:rsidRDefault="0057104C" w:rsidP="0057104C">
      <w:pPr>
        <w:pStyle w:val="SangriaFrancesaArticulo"/>
      </w:pPr>
      <w:r w:rsidRPr="0057104C">
        <w:rPr>
          <w:rStyle w:val="TextoNormalNegritaCaracter"/>
        </w:rPr>
        <w:t>Artículo 60.1.</w:t>
      </w:r>
      <w:r w:rsidRPr="0057104C">
        <w:rPr>
          <w:rStyle w:val="TextoNormalCaracter"/>
        </w:rPr>
        <w:t>-</w:t>
      </w:r>
      <w:r>
        <w:t xml:space="preserve"> Sentencia </w:t>
      </w:r>
      <w:hyperlink w:anchor="SENTENCIA_2016_20" w:history="1">
        <w:r w:rsidRPr="0057104C">
          <w:rPr>
            <w:rStyle w:val="TextoNormalCaracter"/>
          </w:rPr>
          <w:t>20/2016</w:t>
        </w:r>
      </w:hyperlink>
      <w:r>
        <w:t>, f. 10.</w:t>
      </w:r>
    </w:p>
    <w:p w:rsidR="0057104C" w:rsidRDefault="0057104C" w:rsidP="0057104C">
      <w:pPr>
        <w:pStyle w:val="SangriaFrancesaArticulo"/>
      </w:pPr>
      <w:r w:rsidRPr="0057104C">
        <w:rPr>
          <w:rStyle w:val="TextoNormalNegritaCaracter"/>
        </w:rPr>
        <w:t>Artículo 60.1.4 c).</w:t>
      </w:r>
      <w:r w:rsidRPr="0057104C">
        <w:rPr>
          <w:rStyle w:val="TextoNormalCaracter"/>
        </w:rPr>
        <w:t>-</w:t>
      </w:r>
      <w:r>
        <w:t xml:space="preserve"> Sentencia </w:t>
      </w:r>
      <w:hyperlink w:anchor="SENTENCIA_2016_20" w:history="1">
        <w:r w:rsidRPr="0057104C">
          <w:rPr>
            <w:rStyle w:val="TextoNormalCaracter"/>
          </w:rPr>
          <w:t>20/2016</w:t>
        </w:r>
      </w:hyperlink>
      <w:r>
        <w:t>, f. 10.</w:t>
      </w:r>
    </w:p>
    <w:p w:rsidR="0057104C" w:rsidRDefault="0057104C" w:rsidP="0057104C">
      <w:pPr>
        <w:pStyle w:val="SangriaFrancesaArticulo"/>
      </w:pPr>
      <w:r w:rsidRPr="0057104C">
        <w:rPr>
          <w:rStyle w:val="TextoNormalNegritaCaracter"/>
        </w:rPr>
        <w:t>Artículo 65.</w:t>
      </w:r>
      <w:r w:rsidRPr="0057104C">
        <w:rPr>
          <w:rStyle w:val="TextoNormalCaracter"/>
        </w:rPr>
        <w:t>-</w:t>
      </w:r>
      <w:r>
        <w:t xml:space="preserve"> Sentencia </w:t>
      </w:r>
      <w:hyperlink w:anchor="SENTENCIA_2016_20" w:history="1">
        <w:r w:rsidRPr="0057104C">
          <w:rPr>
            <w:rStyle w:val="TextoNormalCaracter"/>
          </w:rPr>
          <w:t>20/2016</w:t>
        </w:r>
      </w:hyperlink>
      <w:r>
        <w:t>, ff. 1, 10.</w:t>
      </w:r>
    </w:p>
    <w:p w:rsidR="0057104C" w:rsidRDefault="0057104C" w:rsidP="0057104C">
      <w:pPr>
        <w:pStyle w:val="SangriaFrancesaArticulo"/>
      </w:pPr>
      <w:r w:rsidRPr="0057104C">
        <w:rPr>
          <w:rStyle w:val="TextoNormalNegritaCaracter"/>
        </w:rPr>
        <w:t>Artículo 69 j), apartado 6.</w:t>
      </w:r>
      <w:r w:rsidRPr="0057104C">
        <w:rPr>
          <w:rStyle w:val="TextoNormalCaracter"/>
        </w:rPr>
        <w:t>-</w:t>
      </w:r>
      <w:r>
        <w:t xml:space="preserve"> Sentencia </w:t>
      </w:r>
      <w:hyperlink w:anchor="SENTENCIA_2016_20" w:history="1">
        <w:r w:rsidRPr="0057104C">
          <w:rPr>
            <w:rStyle w:val="TextoNormalCaracter"/>
          </w:rPr>
          <w:t>20/2016</w:t>
        </w:r>
      </w:hyperlink>
      <w:r>
        <w:t>, ff. 1, 10.</w:t>
      </w:r>
    </w:p>
    <w:p w:rsidR="0057104C" w:rsidRDefault="0057104C" w:rsidP="0057104C">
      <w:pPr>
        <w:pStyle w:val="SangriaFrancesaArticulo"/>
      </w:pPr>
      <w:r w:rsidRPr="0057104C">
        <w:rPr>
          <w:rStyle w:val="TextoNormalNegritaCaracter"/>
        </w:rPr>
        <w:t>Artículo 73.</w:t>
      </w:r>
      <w:r w:rsidRPr="0057104C">
        <w:rPr>
          <w:rStyle w:val="TextoNormalCaracter"/>
        </w:rPr>
        <w:t>-</w:t>
      </w:r>
      <w:r>
        <w:t xml:space="preserve"> Sentencia </w:t>
      </w:r>
      <w:hyperlink w:anchor="SENTENCIA_2016_20" w:history="1">
        <w:r w:rsidRPr="0057104C">
          <w:rPr>
            <w:rStyle w:val="TextoNormalCaracter"/>
          </w:rPr>
          <w:t>20/2016</w:t>
        </w:r>
      </w:hyperlink>
      <w:r>
        <w:t>, ff. 1, 10.</w:t>
      </w:r>
    </w:p>
    <w:p w:rsidR="0057104C" w:rsidRDefault="0057104C" w:rsidP="0057104C">
      <w:pPr>
        <w:pStyle w:val="SangriaFrancesaArticulo"/>
      </w:pPr>
      <w:r w:rsidRPr="0057104C">
        <w:rPr>
          <w:rStyle w:val="TextoNormalNegritaCaracter"/>
        </w:rPr>
        <w:t>Artículo 74.</w:t>
      </w:r>
      <w:r w:rsidRPr="0057104C">
        <w:rPr>
          <w:rStyle w:val="TextoNormalCaracter"/>
        </w:rPr>
        <w:t>-</w:t>
      </w:r>
      <w:r>
        <w:t xml:space="preserve"> Sentencia </w:t>
      </w:r>
      <w:hyperlink w:anchor="SENTENCIA_2016_20" w:history="1">
        <w:r w:rsidRPr="0057104C">
          <w:rPr>
            <w:rStyle w:val="TextoNormalCaracter"/>
          </w:rPr>
          <w:t>20/2016</w:t>
        </w:r>
      </w:hyperlink>
      <w:r>
        <w:t>, ff. 1, 10.</w:t>
      </w:r>
    </w:p>
    <w:p w:rsidR="0057104C" w:rsidRDefault="0057104C" w:rsidP="0057104C">
      <w:pPr>
        <w:pStyle w:val="SangriaFrancesaArticulo"/>
      </w:pPr>
      <w:r w:rsidRPr="0057104C">
        <w:rPr>
          <w:rStyle w:val="TextoNormalNegritaCaracter"/>
        </w:rPr>
        <w:t>Disposición final novena.</w:t>
      </w:r>
      <w:r w:rsidRPr="0057104C">
        <w:rPr>
          <w:rStyle w:val="TextoNormalCaracter"/>
        </w:rPr>
        <w:t>-</w:t>
      </w:r>
      <w:r>
        <w:t xml:space="preserve"> Sentencia </w:t>
      </w:r>
      <w:hyperlink w:anchor="SENTENCIA_2016_20" w:history="1">
        <w:r w:rsidRPr="0057104C">
          <w:rPr>
            <w:rStyle w:val="TextoNormalCaracter"/>
          </w:rPr>
          <w:t>20/2016</w:t>
        </w:r>
      </w:hyperlink>
      <w:r>
        <w:t>, f. 2.</w:t>
      </w:r>
    </w:p>
    <w:p w:rsidR="0057104C" w:rsidRDefault="0057104C" w:rsidP="0057104C">
      <w:pPr>
        <w:pStyle w:val="SangriaFrancesaArticulo"/>
      </w:pPr>
      <w:r w:rsidRPr="0057104C">
        <w:rPr>
          <w:rStyle w:val="TextoNormalNegritaCaracter"/>
        </w:rPr>
        <w:t>Sección 1, Capítulo II, artículos 29 a 33.</w:t>
      </w:r>
      <w:r w:rsidRPr="0057104C">
        <w:rPr>
          <w:rStyle w:val="TextoNormalCaracter"/>
        </w:rPr>
        <w:t>-</w:t>
      </w:r>
      <w:r>
        <w:t xml:space="preserve"> Sentencia </w:t>
      </w:r>
      <w:hyperlink w:anchor="SENTENCIA_2016_8" w:history="1">
        <w:r w:rsidRPr="0057104C">
          <w:rPr>
            <w:rStyle w:val="TextoNormalCaracter"/>
          </w:rPr>
          <w:t>8/2016</w:t>
        </w:r>
      </w:hyperlink>
      <w:r>
        <w:t>, f. 10.</w:t>
      </w:r>
    </w:p>
    <w:p w:rsidR="0057104C" w:rsidRDefault="0057104C" w:rsidP="0057104C">
      <w:pPr>
        <w:pStyle w:val="SangriaFrancesaArticulo"/>
      </w:pPr>
    </w:p>
    <w:p w:rsidR="0057104C" w:rsidRDefault="0057104C" w:rsidP="0057104C">
      <w:pPr>
        <w:pStyle w:val="TextoNormalNegritaCursivandice"/>
      </w:pPr>
      <w:r>
        <w:t>Ley 13/2014, de 14 de julio. Transformación del Fondo para la Financiación de los Pagos a Proveedores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1" w:history="1">
        <w:r w:rsidRPr="0057104C">
          <w:rPr>
            <w:rStyle w:val="TextoNormalCaracter"/>
          </w:rPr>
          <w:t>101/2016</w:t>
        </w:r>
      </w:hyperlink>
      <w:r>
        <w:t>, f. 11.</w:t>
      </w:r>
    </w:p>
    <w:p w:rsidR="0057104C" w:rsidRDefault="0057104C" w:rsidP="0057104C">
      <w:pPr>
        <w:pStyle w:val="SangriaFrancesaArticulo"/>
      </w:pPr>
    </w:p>
    <w:p w:rsidR="0057104C" w:rsidRDefault="0057104C" w:rsidP="0057104C">
      <w:pPr>
        <w:pStyle w:val="TextoNormalNegritaCursivandice"/>
      </w:pPr>
      <w:r>
        <w:t>Ley 15/2014, de 16 de septiembre. Racionalización del Sector Público y otras medidas de reforma administrativa</w:t>
      </w:r>
    </w:p>
    <w:p w:rsidR="0057104C" w:rsidRDefault="0057104C" w:rsidP="0057104C">
      <w:pPr>
        <w:pStyle w:val="SangriaFrancesaArticulo"/>
      </w:pPr>
      <w:r w:rsidRPr="0057104C">
        <w:rPr>
          <w:rStyle w:val="TextoNormalNegritaCaracter"/>
        </w:rPr>
        <w:t>Artículo 28.3.</w:t>
      </w:r>
      <w:r w:rsidRPr="0057104C">
        <w:rPr>
          <w:rStyle w:val="TextoNormalCaracter"/>
        </w:rPr>
        <w:t>-</w:t>
      </w:r>
      <w:r>
        <w:t xml:space="preserve"> Sentencias </w:t>
      </w:r>
      <w:hyperlink w:anchor="SENTENCIA_2016_18" w:history="1">
        <w:r w:rsidRPr="0057104C">
          <w:rPr>
            <w:rStyle w:val="TextoNormalCaracter"/>
          </w:rPr>
          <w:t>18/2016</w:t>
        </w:r>
      </w:hyperlink>
      <w:r>
        <w:t xml:space="preserve">, f. 2; </w:t>
      </w:r>
      <w:hyperlink w:anchor="SENTENCIA_2016_119" w:history="1">
        <w:r w:rsidRPr="0057104C">
          <w:rPr>
            <w:rStyle w:val="TextoNormalCaracter"/>
          </w:rPr>
          <w:t>119/2016</w:t>
        </w:r>
      </w:hyperlink>
      <w:r>
        <w:t>, f. 1.</w:t>
      </w:r>
    </w:p>
    <w:p w:rsidR="0057104C" w:rsidRDefault="0057104C" w:rsidP="0057104C">
      <w:pPr>
        <w:pStyle w:val="SangriaFrancesaArticulo"/>
      </w:pPr>
      <w:r w:rsidRPr="0057104C">
        <w:rPr>
          <w:rStyle w:val="TextoNormalNegritaCaracter"/>
        </w:rPr>
        <w:t>Disposición adicional duodécima.</w:t>
      </w:r>
      <w:r w:rsidRPr="0057104C">
        <w:rPr>
          <w:rStyle w:val="TextoNormalCaracter"/>
        </w:rPr>
        <w:t>-</w:t>
      </w:r>
      <w:r>
        <w:t xml:space="preserve"> Sentencia </w:t>
      </w:r>
      <w:hyperlink w:anchor="SENTENCIA_2016_18" w:history="1">
        <w:r w:rsidRPr="0057104C">
          <w:rPr>
            <w:rStyle w:val="TextoNormalCaracter"/>
          </w:rPr>
          <w:t>18/2016</w:t>
        </w:r>
      </w:hyperlink>
      <w:r>
        <w:t>, f. 2.</w:t>
      </w:r>
    </w:p>
    <w:p w:rsidR="0057104C" w:rsidRDefault="0057104C" w:rsidP="0057104C">
      <w:pPr>
        <w:pStyle w:val="SangriaFrancesaArticulo"/>
      </w:pPr>
    </w:p>
    <w:p w:rsidR="0057104C" w:rsidRDefault="0057104C" w:rsidP="0057104C">
      <w:pPr>
        <w:pStyle w:val="TextoNormalNegritaCursivandice"/>
      </w:pPr>
      <w:r>
        <w:t>Ley 18/2014, de 15 de octubre. Aprobación de medidas urgentes para el crecimiento, la competitividad y la eficiencia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ff. 4 a 6.</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Auto </w:t>
      </w:r>
      <w:hyperlink w:anchor="AUTO_2016_51" w:history="1">
        <w:r w:rsidRPr="0057104C">
          <w:rPr>
            <w:rStyle w:val="TextoNormalCaracter"/>
          </w:rPr>
          <w:t>51/2016</w:t>
        </w:r>
      </w:hyperlink>
      <w:r>
        <w:t>, f. único.</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Auto </w:t>
      </w:r>
      <w:hyperlink w:anchor="AUTO_2016_51" w:history="1">
        <w:r w:rsidRPr="0057104C">
          <w:rPr>
            <w:rStyle w:val="TextoNormalCaracter"/>
          </w:rPr>
          <w:t>51/2016</w:t>
        </w:r>
      </w:hyperlink>
      <w:r>
        <w:t>, f. único.</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Auto </w:t>
      </w:r>
      <w:hyperlink w:anchor="AUTO_2016_51" w:history="1">
        <w:r w:rsidRPr="0057104C">
          <w:rPr>
            <w:rStyle w:val="TextoNormalCaracter"/>
          </w:rPr>
          <w:t>51/2016</w:t>
        </w:r>
      </w:hyperlink>
      <w:r>
        <w:t>, f. único.</w:t>
      </w:r>
    </w:p>
    <w:p w:rsidR="0057104C" w:rsidRDefault="0057104C" w:rsidP="0057104C">
      <w:pPr>
        <w:pStyle w:val="SangriaFrancesaArticulo"/>
      </w:pPr>
      <w:r w:rsidRPr="0057104C">
        <w:rPr>
          <w:rStyle w:val="TextoNormalNegritaCaracter"/>
        </w:rPr>
        <w:t>Artículo 7.1.</w:t>
      </w:r>
      <w:r w:rsidRPr="0057104C">
        <w:rPr>
          <w:rStyle w:val="TextoNormalCaracter"/>
        </w:rPr>
        <w:t>-</w:t>
      </w:r>
      <w:r>
        <w:t xml:space="preserve"> Sentencias </w:t>
      </w:r>
      <w:hyperlink w:anchor="SENTENCIA_2016_18" w:history="1">
        <w:r w:rsidRPr="0057104C">
          <w:rPr>
            <w:rStyle w:val="TextoNormalCaracter"/>
          </w:rPr>
          <w:t>18/2016</w:t>
        </w:r>
      </w:hyperlink>
      <w:r>
        <w:t xml:space="preserve">, f. 2; </w:t>
      </w:r>
      <w:hyperlink w:anchor="SENTENCIA_2016_55" w:history="1">
        <w:r w:rsidRPr="0057104C">
          <w:rPr>
            <w:rStyle w:val="TextoNormalCaracter"/>
          </w:rPr>
          <w:t>55/2016</w:t>
        </w:r>
      </w:hyperlink>
      <w:r>
        <w:t xml:space="preserve">, f. 3; </w:t>
      </w:r>
      <w:hyperlink w:anchor="SENTENCIA_2016_119" w:history="1">
        <w:r w:rsidRPr="0057104C">
          <w:rPr>
            <w:rStyle w:val="TextoNormalCaracter"/>
          </w:rPr>
          <w:t>119/2016</w:t>
        </w:r>
      </w:hyperlink>
      <w:r>
        <w:t>, f. 1.</w:t>
      </w:r>
    </w:p>
    <w:p w:rsidR="0057104C" w:rsidRDefault="0057104C" w:rsidP="0057104C">
      <w:pPr>
        <w:pStyle w:val="SangriaFrancesaArticulo"/>
      </w:pPr>
      <w:r w:rsidRPr="0057104C">
        <w:rPr>
          <w:rStyle w:val="TextoNormalNegritaCaracter"/>
        </w:rPr>
        <w:t>Artículo 7.2.</w:t>
      </w:r>
      <w:r w:rsidRPr="0057104C">
        <w:rPr>
          <w:rStyle w:val="TextoNormalCaracter"/>
        </w:rPr>
        <w:t>-</w:t>
      </w:r>
      <w:r>
        <w:t xml:space="preserve"> Sentencias </w:t>
      </w:r>
      <w:hyperlink w:anchor="SENTENCIA_2016_18" w:history="1">
        <w:r w:rsidRPr="0057104C">
          <w:rPr>
            <w:rStyle w:val="TextoNormalCaracter"/>
          </w:rPr>
          <w:t>18/2016</w:t>
        </w:r>
      </w:hyperlink>
      <w:r>
        <w:t xml:space="preserve">, f. 2; </w:t>
      </w:r>
      <w:hyperlink w:anchor="SENTENCIA_2016_55" w:history="1">
        <w:r w:rsidRPr="0057104C">
          <w:rPr>
            <w:rStyle w:val="TextoNormalCaracter"/>
          </w:rPr>
          <w:t>55/2016</w:t>
        </w:r>
      </w:hyperlink>
      <w:r>
        <w:t xml:space="preserve">, f. 3; </w:t>
      </w:r>
      <w:hyperlink w:anchor="SENTENCIA_2016_119" w:history="1">
        <w:r w:rsidRPr="0057104C">
          <w:rPr>
            <w:rStyle w:val="TextoNormalCaracter"/>
          </w:rPr>
          <w:t>119/2016</w:t>
        </w:r>
      </w:hyperlink>
      <w:r>
        <w:t>, f. 1.</w:t>
      </w:r>
    </w:p>
    <w:p w:rsidR="0057104C" w:rsidRDefault="0057104C" w:rsidP="0057104C">
      <w:pPr>
        <w:pStyle w:val="SangriaFrancesaArticulo"/>
      </w:pPr>
      <w:r w:rsidRPr="0057104C">
        <w:rPr>
          <w:rStyle w:val="TextoNormalNegritaCaracter"/>
        </w:rPr>
        <w:t>Artículo 92.</w:t>
      </w:r>
      <w:r w:rsidRPr="0057104C">
        <w:rPr>
          <w:rStyle w:val="TextoNormalCaracter"/>
        </w:rPr>
        <w:t>-</w:t>
      </w:r>
      <w:r>
        <w:t xml:space="preserve"> Auto </w:t>
      </w:r>
      <w:hyperlink w:anchor="AUTO_2016_51" w:history="1">
        <w:r w:rsidRPr="0057104C">
          <w:rPr>
            <w:rStyle w:val="TextoNormalCaracter"/>
          </w:rPr>
          <w:t>51/2016</w:t>
        </w:r>
      </w:hyperlink>
      <w:r>
        <w:t>, f. único.</w:t>
      </w:r>
    </w:p>
    <w:p w:rsidR="0057104C" w:rsidRDefault="0057104C" w:rsidP="0057104C">
      <w:pPr>
        <w:pStyle w:val="SangriaFrancesaArticulo"/>
      </w:pPr>
      <w:r w:rsidRPr="0057104C">
        <w:rPr>
          <w:rStyle w:val="TextoNormalNegritaCaracter"/>
        </w:rPr>
        <w:t>Artículo 98.</w:t>
      </w:r>
      <w:r w:rsidRPr="0057104C">
        <w:rPr>
          <w:rStyle w:val="TextoNormalCaracter"/>
        </w:rPr>
        <w:t>-</w:t>
      </w:r>
      <w:r>
        <w:t xml:space="preserve"> Auto </w:t>
      </w:r>
      <w:hyperlink w:anchor="AUTO_2016_51" w:history="1">
        <w:r w:rsidRPr="0057104C">
          <w:rPr>
            <w:rStyle w:val="TextoNormalCaracter"/>
          </w:rPr>
          <w:t>51/2016</w:t>
        </w:r>
      </w:hyperlink>
      <w:r>
        <w:t>, f. único.</w:t>
      </w:r>
    </w:p>
    <w:p w:rsidR="0057104C" w:rsidRDefault="0057104C" w:rsidP="0057104C">
      <w:pPr>
        <w:pStyle w:val="SangriaFrancesaArticulo"/>
      </w:pPr>
      <w:r w:rsidRPr="0057104C">
        <w:rPr>
          <w:rStyle w:val="TextoNormalNegritaCaracter"/>
        </w:rPr>
        <w:t>Artículo 102.</w:t>
      </w:r>
      <w:r w:rsidRPr="0057104C">
        <w:rPr>
          <w:rStyle w:val="TextoNormalCaracter"/>
        </w:rPr>
        <w:t>-</w:t>
      </w:r>
      <w:r>
        <w:t xml:space="preserve"> Auto </w:t>
      </w:r>
      <w:hyperlink w:anchor="AUTO_2016_51" w:history="1">
        <w:r w:rsidRPr="0057104C">
          <w:rPr>
            <w:rStyle w:val="TextoNormalCaracter"/>
          </w:rPr>
          <w:t>51/2016</w:t>
        </w:r>
      </w:hyperlink>
      <w:r>
        <w:t>, f. único.</w:t>
      </w:r>
    </w:p>
    <w:p w:rsidR="0057104C" w:rsidRDefault="0057104C" w:rsidP="0057104C">
      <w:pPr>
        <w:pStyle w:val="SangriaFrancesaArticulo"/>
      </w:pPr>
      <w:r w:rsidRPr="0057104C">
        <w:rPr>
          <w:rStyle w:val="TextoNormalNegritaCaracter"/>
        </w:rPr>
        <w:t>Artículo 107.</w:t>
      </w:r>
      <w:r w:rsidRPr="0057104C">
        <w:rPr>
          <w:rStyle w:val="TextoNormalCaracter"/>
        </w:rPr>
        <w:t>-</w:t>
      </w:r>
      <w:r>
        <w:t xml:space="preserve"> Auto </w:t>
      </w:r>
      <w:hyperlink w:anchor="AUTO_2016_51" w:history="1">
        <w:r w:rsidRPr="0057104C">
          <w:rPr>
            <w:rStyle w:val="TextoNormalCaracter"/>
          </w:rPr>
          <w:t>51/2016</w:t>
        </w:r>
      </w:hyperlink>
      <w:r>
        <w:t>, f. único.</w:t>
      </w:r>
    </w:p>
    <w:p w:rsidR="0057104C" w:rsidRDefault="0057104C" w:rsidP="0057104C">
      <w:pPr>
        <w:pStyle w:val="SangriaFrancesaArticulo"/>
      </w:pPr>
      <w:r w:rsidRPr="0057104C">
        <w:rPr>
          <w:rStyle w:val="TextoNormalNegritaCaracter"/>
        </w:rPr>
        <w:t>Anexo I.</w:t>
      </w:r>
      <w:r w:rsidRPr="0057104C">
        <w:rPr>
          <w:rStyle w:val="TextoNormalCaracter"/>
        </w:rPr>
        <w:t>-</w:t>
      </w:r>
      <w:r>
        <w:t xml:space="preserve"> Auto </w:t>
      </w:r>
      <w:hyperlink w:anchor="AUTO_2016_51" w:history="1">
        <w:r w:rsidRPr="0057104C">
          <w:rPr>
            <w:rStyle w:val="TextoNormalCaracter"/>
          </w:rPr>
          <w:t>51/2016</w:t>
        </w:r>
      </w:hyperlink>
      <w:r>
        <w:t>, f. único.</w:t>
      </w:r>
    </w:p>
    <w:p w:rsidR="0057104C" w:rsidRDefault="0057104C" w:rsidP="0057104C">
      <w:pPr>
        <w:pStyle w:val="SangriaFrancesaArticulo"/>
      </w:pPr>
    </w:p>
    <w:p w:rsidR="0057104C" w:rsidRDefault="0057104C" w:rsidP="0057104C">
      <w:pPr>
        <w:pStyle w:val="TextoNormalNegritaCursivandice"/>
      </w:pPr>
      <w:r>
        <w:t>Ley 26/2014, de 27 de noviembre por la que se modifican la Ley 35/2006, de 28 de noviembre, del Impuesto sobre la Renta de las Personas Físicas, el texto refundido de la Ley del Impuesto sobre la Renta de no Residentes, aprobado por el Real Decreto Legislativo 5/2004, de 5 de marzo, y otras normas tributarias</w:t>
      </w:r>
    </w:p>
    <w:p w:rsidR="0057104C" w:rsidRDefault="0057104C" w:rsidP="0057104C">
      <w:pPr>
        <w:pStyle w:val="SangriaFrancesaArticulo"/>
      </w:pPr>
      <w:r w:rsidRPr="0057104C">
        <w:rPr>
          <w:rStyle w:val="TextoNormalNegritaCaracter"/>
        </w:rPr>
        <w:t>Artículo 1.78.</w:t>
      </w:r>
      <w:r w:rsidRPr="0057104C">
        <w:rPr>
          <w:rStyle w:val="TextoNormalCaracter"/>
        </w:rPr>
        <w:t>-</w:t>
      </w:r>
      <w:r>
        <w:t xml:space="preserve"> Sentencia </w:t>
      </w:r>
      <w:hyperlink w:anchor="SENTENCIA_2016_121" w:history="1">
        <w:r w:rsidRPr="0057104C">
          <w:rPr>
            <w:rStyle w:val="TextoNormalCaracter"/>
          </w:rPr>
          <w:t>121/2016</w:t>
        </w:r>
      </w:hyperlink>
      <w:r>
        <w:t>, f. 2.</w:t>
      </w:r>
    </w:p>
    <w:p w:rsidR="0057104C" w:rsidRDefault="0057104C" w:rsidP="0057104C">
      <w:pPr>
        <w:pStyle w:val="SangriaFrancesaArticulo"/>
      </w:pPr>
    </w:p>
    <w:p w:rsidR="0057104C" w:rsidRDefault="0057104C" w:rsidP="0057104C">
      <w:pPr>
        <w:pStyle w:val="TextoNormalNegritaCursivandice"/>
      </w:pPr>
      <w:r>
        <w:t>Ley 32/2014, de 22 de diciembre. Metrología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2" w:history="1">
        <w:r w:rsidRPr="0057104C">
          <w:rPr>
            <w:rStyle w:val="TextoNormalCaracter"/>
          </w:rPr>
          <w:t>32/2016</w:t>
        </w:r>
      </w:hyperlink>
      <w:r>
        <w:t>, f. 2.</w:t>
      </w:r>
    </w:p>
    <w:p w:rsidR="0057104C" w:rsidRDefault="0057104C" w:rsidP="0057104C">
      <w:pPr>
        <w:pStyle w:val="SangriaFrancesaArticulo"/>
      </w:pPr>
    </w:p>
    <w:p w:rsidR="0057104C" w:rsidRDefault="0057104C" w:rsidP="0057104C">
      <w:pPr>
        <w:pStyle w:val="TextoNormalNegritaCursivandice"/>
      </w:pPr>
      <w:r>
        <w:t>Ley 35/2014, de 26 de diciembre. Modifica el texto refundido de la Ley general de la Seguridad Social en relación con el régimen jurídico de las mutuas de accidentes de trabajo y enfermedades profesionales de la Seguridad Social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 w:history="1">
        <w:r w:rsidRPr="0057104C">
          <w:rPr>
            <w:rStyle w:val="TextoNormalCaracter"/>
          </w:rPr>
          <w:t>7/2016</w:t>
        </w:r>
      </w:hyperlink>
      <w:r>
        <w:t>, ff. 2, 3.</w:t>
      </w:r>
    </w:p>
    <w:p w:rsidR="0057104C" w:rsidRDefault="0057104C" w:rsidP="0057104C">
      <w:pPr>
        <w:pStyle w:val="SangriaFrancesaArticulo"/>
      </w:pPr>
      <w:r w:rsidRPr="0057104C">
        <w:rPr>
          <w:rStyle w:val="TextoNormalNegritaCaracter"/>
        </w:rPr>
        <w:t>Artículo 68. 2 b).</w:t>
      </w:r>
      <w:r w:rsidRPr="0057104C">
        <w:rPr>
          <w:rStyle w:val="TextoNormalCaracter"/>
        </w:rPr>
        <w:t>-</w:t>
      </w:r>
      <w:r>
        <w:t xml:space="preserve"> Sentencia </w:t>
      </w:r>
      <w:hyperlink w:anchor="SENTENCIA_2016_7" w:history="1">
        <w:r w:rsidRPr="0057104C">
          <w:rPr>
            <w:rStyle w:val="TextoNormalCaracter"/>
          </w:rPr>
          <w:t>7/2016</w:t>
        </w:r>
      </w:hyperlink>
      <w:r>
        <w:t>, f. 3.</w:t>
      </w:r>
    </w:p>
    <w:p w:rsidR="0057104C" w:rsidRDefault="0057104C" w:rsidP="0057104C">
      <w:pPr>
        <w:pStyle w:val="SangriaFrancesaArticulo"/>
      </w:pPr>
    </w:p>
    <w:p w:rsidR="0057104C" w:rsidRDefault="0057104C" w:rsidP="0057104C">
      <w:pPr>
        <w:pStyle w:val="TextoNormalNegritaCursivandice"/>
      </w:pPr>
      <w:r>
        <w:t>Ley 36/2014, de 26 de diciembre. Presupuestos Generales del Estado para el año 2015</w:t>
      </w:r>
    </w:p>
    <w:p w:rsidR="0057104C" w:rsidRDefault="0057104C" w:rsidP="0057104C">
      <w:pPr>
        <w:pStyle w:val="SangriaFrancesaArticulo"/>
      </w:pPr>
      <w:r w:rsidRPr="0057104C">
        <w:rPr>
          <w:rStyle w:val="TextoNormalNegritaCaracter"/>
        </w:rPr>
        <w:t>Disposición adicional septuagésima tercera.</w:t>
      </w:r>
      <w:r w:rsidRPr="0057104C">
        <w:rPr>
          <w:rStyle w:val="TextoNormalCaracter"/>
        </w:rPr>
        <w:t>-</w:t>
      </w:r>
      <w:r>
        <w:t xml:space="preserve"> Sentencia </w:t>
      </w:r>
      <w:hyperlink w:anchor="SENTENCIA_2016_99" w:history="1">
        <w:r w:rsidRPr="0057104C">
          <w:rPr>
            <w:rStyle w:val="TextoNormalCaracter"/>
          </w:rPr>
          <w:t>99/2016</w:t>
        </w:r>
      </w:hyperlink>
      <w:r>
        <w:t>, f. 2.</w:t>
      </w:r>
    </w:p>
    <w:p w:rsidR="0057104C" w:rsidRDefault="0057104C" w:rsidP="0057104C">
      <w:pPr>
        <w:pStyle w:val="SangriaFrancesaArticulo"/>
      </w:pPr>
      <w:r w:rsidRPr="0057104C">
        <w:rPr>
          <w:rStyle w:val="TextoNormalNegritaCaracter"/>
        </w:rPr>
        <w:t>Disposición adicional duodécima.</w:t>
      </w:r>
      <w:r w:rsidRPr="0057104C">
        <w:rPr>
          <w:rStyle w:val="TextoNormalCaracter"/>
        </w:rPr>
        <w:t>-</w:t>
      </w:r>
      <w:r>
        <w:t xml:space="preserve"> Sentencias </w:t>
      </w:r>
      <w:hyperlink w:anchor="SENTENCIA_2016_2" w:history="1">
        <w:r w:rsidRPr="0057104C">
          <w:rPr>
            <w:rStyle w:val="TextoNormalCaracter"/>
          </w:rPr>
          <w:t>2/2016</w:t>
        </w:r>
      </w:hyperlink>
      <w:r>
        <w:t xml:space="preserve">, f. 3; </w:t>
      </w:r>
      <w:hyperlink w:anchor="SENTENCIA_2016_4" w:history="1">
        <w:r w:rsidRPr="0057104C">
          <w:rPr>
            <w:rStyle w:val="TextoNormalCaracter"/>
          </w:rPr>
          <w:t>4/2016</w:t>
        </w:r>
      </w:hyperlink>
      <w:r>
        <w:t xml:space="preserve">, f. 3; </w:t>
      </w:r>
      <w:hyperlink w:anchor="SENTENCIA_2016_43" w:history="1">
        <w:r w:rsidRPr="0057104C">
          <w:rPr>
            <w:rStyle w:val="TextoNormalCaracter"/>
          </w:rPr>
          <w:t>43/2016</w:t>
        </w:r>
      </w:hyperlink>
      <w:r>
        <w:t xml:space="preserve">, ff. 2, 3; </w:t>
      </w:r>
      <w:hyperlink w:anchor="SENTENCIA_2016_46" w:history="1">
        <w:r w:rsidRPr="0057104C">
          <w:rPr>
            <w:rStyle w:val="TextoNormalCaracter"/>
          </w:rPr>
          <w:t>46/2016</w:t>
        </w:r>
      </w:hyperlink>
      <w:r>
        <w:t xml:space="preserve">, f. 3; </w:t>
      </w:r>
      <w:hyperlink w:anchor="SENTENCIA_2016_47" w:history="1">
        <w:r w:rsidRPr="0057104C">
          <w:rPr>
            <w:rStyle w:val="TextoNormalCaracter"/>
          </w:rPr>
          <w:t>47/2016</w:t>
        </w:r>
      </w:hyperlink>
      <w:r>
        <w:t xml:space="preserve">, f. 3; </w:t>
      </w:r>
      <w:hyperlink w:anchor="SENTENCIA_2016_52" w:history="1">
        <w:r w:rsidRPr="0057104C">
          <w:rPr>
            <w:rStyle w:val="TextoNormalCaracter"/>
          </w:rPr>
          <w:t>52/2016</w:t>
        </w:r>
      </w:hyperlink>
      <w:r>
        <w:t xml:space="preserve">, ff. 2, 3; </w:t>
      </w:r>
      <w:hyperlink w:anchor="SENTENCIA_2016_79" w:history="1">
        <w:r w:rsidRPr="0057104C">
          <w:rPr>
            <w:rStyle w:val="TextoNormalCaracter"/>
          </w:rPr>
          <w:t>79/2016</w:t>
        </w:r>
      </w:hyperlink>
      <w:r>
        <w:t xml:space="preserve">, f. 2; </w:t>
      </w:r>
      <w:hyperlink w:anchor="SENTENCIA_2016_90" w:history="1">
        <w:r w:rsidRPr="0057104C">
          <w:rPr>
            <w:rStyle w:val="TextoNormalCaracter"/>
          </w:rPr>
          <w:t>90/2016</w:t>
        </w:r>
      </w:hyperlink>
      <w:r>
        <w:t xml:space="preserve">, f. 3; </w:t>
      </w:r>
      <w:hyperlink w:anchor="SENTENCIA_2016_97" w:history="1">
        <w:r w:rsidRPr="0057104C">
          <w:rPr>
            <w:rStyle w:val="TextoNormalCaracter"/>
          </w:rPr>
          <w:t>97/2016</w:t>
        </w:r>
      </w:hyperlink>
      <w:r>
        <w:t xml:space="preserve">, f. 2; </w:t>
      </w:r>
      <w:hyperlink w:anchor="SENTENCIA_2016_104" w:history="1">
        <w:r w:rsidRPr="0057104C">
          <w:rPr>
            <w:rStyle w:val="TextoNormalCaracter"/>
          </w:rPr>
          <w:t>104/2016</w:t>
        </w:r>
      </w:hyperlink>
      <w:r>
        <w:t xml:space="preserve">, f. 2; </w:t>
      </w:r>
      <w:hyperlink w:anchor="SENTENCIA_2016_106" w:history="1">
        <w:r w:rsidRPr="0057104C">
          <w:rPr>
            <w:rStyle w:val="TextoNormalCaracter"/>
          </w:rPr>
          <w:t>106/2016</w:t>
        </w:r>
      </w:hyperlink>
      <w:r>
        <w:t>, f. 2.</w:t>
      </w:r>
    </w:p>
    <w:p w:rsidR="0057104C" w:rsidRDefault="0057104C" w:rsidP="0057104C">
      <w:pPr>
        <w:pStyle w:val="SangriaFrancesaArticulo"/>
      </w:pPr>
      <w:r w:rsidRPr="0057104C">
        <w:rPr>
          <w:rStyle w:val="TextoNormalNegritaCaracter"/>
        </w:rPr>
        <w:t>Disposición adicional duodécima, apartado 1.</w:t>
      </w:r>
      <w:r w:rsidRPr="0057104C">
        <w:rPr>
          <w:rStyle w:val="TextoNormalCaracter"/>
        </w:rPr>
        <w:t>-</w:t>
      </w:r>
      <w:r>
        <w:t xml:space="preserve"> Sentencias </w:t>
      </w:r>
      <w:hyperlink w:anchor="SENTENCIA_2016_47" w:history="1">
        <w:r w:rsidRPr="0057104C">
          <w:rPr>
            <w:rStyle w:val="TextoNormalCaracter"/>
          </w:rPr>
          <w:t>47/2016</w:t>
        </w:r>
      </w:hyperlink>
      <w:r>
        <w:t xml:space="preserve">, f. 3; </w:t>
      </w:r>
      <w:hyperlink w:anchor="SENTENCIA_2016_80" w:history="1">
        <w:r w:rsidRPr="0057104C">
          <w:rPr>
            <w:rStyle w:val="TextoNormalCaracter"/>
          </w:rPr>
          <w:t>80/2016</w:t>
        </w:r>
      </w:hyperlink>
      <w:r>
        <w:t xml:space="preserve">, f. 3; </w:t>
      </w:r>
      <w:hyperlink w:anchor="SENTENCIA_2016_90" w:history="1">
        <w:r w:rsidRPr="0057104C">
          <w:rPr>
            <w:rStyle w:val="TextoNormalCaracter"/>
          </w:rPr>
          <w:t>90/2016</w:t>
        </w:r>
      </w:hyperlink>
      <w:r>
        <w:t xml:space="preserve">, f. 3; </w:t>
      </w:r>
      <w:hyperlink w:anchor="SENTENCIA_2016_119" w:history="1">
        <w:r w:rsidRPr="0057104C">
          <w:rPr>
            <w:rStyle w:val="TextoNormalCaracter"/>
          </w:rPr>
          <w:t>119/2016</w:t>
        </w:r>
      </w:hyperlink>
      <w:r>
        <w:t>, f. 1.</w:t>
      </w:r>
    </w:p>
    <w:p w:rsidR="0057104C" w:rsidRDefault="0057104C" w:rsidP="0057104C">
      <w:pPr>
        <w:pStyle w:val="SangriaFrancesaArticulo"/>
      </w:pPr>
      <w:r w:rsidRPr="0057104C">
        <w:rPr>
          <w:rStyle w:val="TextoNormalNegritaCaracter"/>
        </w:rPr>
        <w:t>Disposición adicional duodécima, apartado 1.1.</w:t>
      </w:r>
      <w:r w:rsidRPr="0057104C">
        <w:rPr>
          <w:rStyle w:val="TextoNormalCaracter"/>
        </w:rPr>
        <w:t>-</w:t>
      </w:r>
      <w:r>
        <w:t xml:space="preserve"> Sentencias </w:t>
      </w:r>
      <w:hyperlink w:anchor="SENTENCIA_2016_2" w:history="1">
        <w:r w:rsidRPr="0057104C">
          <w:rPr>
            <w:rStyle w:val="TextoNormalCaracter"/>
          </w:rPr>
          <w:t>2/2016</w:t>
        </w:r>
      </w:hyperlink>
      <w:r>
        <w:t xml:space="preserve">, f. 3; </w:t>
      </w:r>
      <w:hyperlink w:anchor="SENTENCIA_2016_4" w:history="1">
        <w:r w:rsidRPr="0057104C">
          <w:rPr>
            <w:rStyle w:val="TextoNormalCaracter"/>
          </w:rPr>
          <w:t>4/2016</w:t>
        </w:r>
      </w:hyperlink>
      <w:r>
        <w:t>, f. 3.</w:t>
      </w:r>
    </w:p>
    <w:p w:rsidR="0057104C" w:rsidRDefault="0057104C" w:rsidP="0057104C">
      <w:pPr>
        <w:pStyle w:val="SangriaIzquierdaArticulo"/>
      </w:pPr>
      <w:r>
        <w:t xml:space="preserve">Auto </w:t>
      </w:r>
      <w:hyperlink w:anchor="AUTO_2016_13" w:history="1">
        <w:r w:rsidRPr="0057104C">
          <w:rPr>
            <w:rStyle w:val="TextoNormalCaracter"/>
          </w:rPr>
          <w:t>13/2016</w:t>
        </w:r>
      </w:hyperlink>
      <w:r>
        <w:t>, f. 2.</w:t>
      </w:r>
    </w:p>
    <w:p w:rsidR="0057104C" w:rsidRDefault="0057104C" w:rsidP="0057104C">
      <w:pPr>
        <w:pStyle w:val="SangriaFrancesaArticulo"/>
      </w:pPr>
      <w:r w:rsidRPr="0057104C">
        <w:rPr>
          <w:rStyle w:val="TextoNormalNegritaCaracter"/>
        </w:rPr>
        <w:t>Disposición adicional duodécima, apartado 1.2.</w:t>
      </w:r>
      <w:r w:rsidRPr="0057104C">
        <w:rPr>
          <w:rStyle w:val="TextoNormalCaracter"/>
        </w:rPr>
        <w:t>-</w:t>
      </w:r>
      <w:r>
        <w:t xml:space="preserve"> Sentencias </w:t>
      </w:r>
      <w:hyperlink w:anchor="SENTENCIA_2016_2" w:history="1">
        <w:r w:rsidRPr="0057104C">
          <w:rPr>
            <w:rStyle w:val="TextoNormalCaracter"/>
          </w:rPr>
          <w:t>2/2016</w:t>
        </w:r>
      </w:hyperlink>
      <w:r>
        <w:t xml:space="preserve">, f. 3; </w:t>
      </w:r>
      <w:hyperlink w:anchor="SENTENCIA_2016_4" w:history="1">
        <w:r w:rsidRPr="0057104C">
          <w:rPr>
            <w:rStyle w:val="TextoNormalCaracter"/>
          </w:rPr>
          <w:t>4/2016</w:t>
        </w:r>
      </w:hyperlink>
      <w:r>
        <w:t>, f. 3.</w:t>
      </w:r>
    </w:p>
    <w:p w:rsidR="0057104C" w:rsidRDefault="0057104C" w:rsidP="0057104C">
      <w:pPr>
        <w:pStyle w:val="SangriaIzquierdaArticulo"/>
      </w:pPr>
      <w:r>
        <w:t xml:space="preserve">Auto </w:t>
      </w:r>
      <w:hyperlink w:anchor="AUTO_2016_13" w:history="1">
        <w:r w:rsidRPr="0057104C">
          <w:rPr>
            <w:rStyle w:val="TextoNormalCaracter"/>
          </w:rPr>
          <w:t>13/2016</w:t>
        </w:r>
      </w:hyperlink>
      <w:r>
        <w:t>, f. 2.</w:t>
      </w:r>
    </w:p>
    <w:p w:rsidR="0057104C" w:rsidRDefault="0057104C" w:rsidP="0057104C">
      <w:pPr>
        <w:pStyle w:val="SangriaFrancesaArticulo"/>
      </w:pPr>
      <w:r w:rsidRPr="0057104C">
        <w:rPr>
          <w:rStyle w:val="TextoNormalNegritaCaracter"/>
        </w:rPr>
        <w:t>Disposición adicional duodécima, apartado 2.</w:t>
      </w:r>
      <w:r w:rsidRPr="0057104C">
        <w:rPr>
          <w:rStyle w:val="TextoNormalCaracter"/>
        </w:rPr>
        <w:t>-</w:t>
      </w:r>
      <w:r>
        <w:t xml:space="preserve"> Sentencia </w:t>
      </w:r>
      <w:hyperlink w:anchor="SENTENCIA_2016_90" w:history="1">
        <w:r w:rsidRPr="0057104C">
          <w:rPr>
            <w:rStyle w:val="TextoNormalCaracter"/>
          </w:rPr>
          <w:t>90/2016</w:t>
        </w:r>
      </w:hyperlink>
      <w:r>
        <w:t>, f. 3.</w:t>
      </w:r>
    </w:p>
    <w:p w:rsidR="0057104C" w:rsidRDefault="0057104C" w:rsidP="0057104C">
      <w:pPr>
        <w:pStyle w:val="SangriaFrancesaArticulo"/>
      </w:pPr>
    </w:p>
    <w:p w:rsidR="0057104C" w:rsidRDefault="0057104C" w:rsidP="0057104C">
      <w:pPr>
        <w:pStyle w:val="TextoNormalNegritaCursivandice"/>
      </w:pPr>
      <w:r>
        <w:t>Ley 8/2015, de 21 de mayo. Modifica la Ley 34/1998, de 7 de octubre, del Sector de Hidrocarburos, y por la que se regulan determinadas medidas tributarias y no tributarias en relación con la exploración, investigación y explotación de hidrocarburos</w:t>
      </w:r>
    </w:p>
    <w:p w:rsidR="0057104C" w:rsidRDefault="0057104C" w:rsidP="0057104C">
      <w:pPr>
        <w:pStyle w:val="SangriaFrancesaArticulo"/>
      </w:pPr>
      <w:r w:rsidRPr="0057104C">
        <w:rPr>
          <w:rStyle w:val="TextoNormalNegritaCaracter"/>
        </w:rPr>
        <w:t>Disposición final tercera.</w:t>
      </w:r>
      <w:r w:rsidRPr="0057104C">
        <w:rPr>
          <w:rStyle w:val="TextoNormalCaracter"/>
        </w:rPr>
        <w:t>-</w:t>
      </w:r>
      <w:r>
        <w:t xml:space="preserve"> Sentencia </w:t>
      </w:r>
      <w:hyperlink w:anchor="SENTENCIA_2016_32" w:history="1">
        <w:r w:rsidRPr="0057104C">
          <w:rPr>
            <w:rStyle w:val="TextoNormalCaracter"/>
          </w:rPr>
          <w:t>32/2016</w:t>
        </w:r>
      </w:hyperlink>
      <w:r>
        <w:t>, f. 2.</w:t>
      </w:r>
    </w:p>
    <w:p w:rsidR="0057104C" w:rsidRDefault="0057104C" w:rsidP="0057104C">
      <w:pPr>
        <w:pStyle w:val="SangriaFrancesaArticulo"/>
      </w:pPr>
    </w:p>
    <w:p w:rsidR="0057104C" w:rsidRDefault="0057104C" w:rsidP="0057104C">
      <w:pPr>
        <w:pStyle w:val="TextoNormalNegritaCursivandice"/>
      </w:pPr>
      <w:r>
        <w:t>Ley 15/2015, de 2 de julio. Jurisdicción Voluntaria</w:t>
      </w:r>
    </w:p>
    <w:p w:rsidR="0057104C" w:rsidRDefault="0057104C" w:rsidP="0057104C">
      <w:pPr>
        <w:pStyle w:val="SangriaFrancesaArticulo"/>
      </w:pPr>
      <w:r w:rsidRPr="0057104C">
        <w:rPr>
          <w:rStyle w:val="TextoNormalNegritaCaracter"/>
        </w:rPr>
        <w:t>Artículo 20.2.</w:t>
      </w:r>
      <w:r w:rsidRPr="0057104C">
        <w:rPr>
          <w:rStyle w:val="TextoNormalCaracter"/>
        </w:rPr>
        <w:t>-</w:t>
      </w:r>
      <w:r>
        <w:t xml:space="preserve"> Sentencia </w:t>
      </w:r>
      <w:hyperlink w:anchor="SENTENCIA_2016_58" w:history="1">
        <w:r w:rsidRPr="0057104C">
          <w:rPr>
            <w:rStyle w:val="TextoNormalCaracter"/>
          </w:rPr>
          <w:t>58/2016</w:t>
        </w:r>
      </w:hyperlink>
      <w:r>
        <w:t>, f. 4.</w:t>
      </w:r>
    </w:p>
    <w:p w:rsidR="0057104C" w:rsidRDefault="0057104C" w:rsidP="0057104C">
      <w:pPr>
        <w:pStyle w:val="SangriaFrancesaArticulo"/>
      </w:pPr>
    </w:p>
    <w:p w:rsidR="0057104C" w:rsidRDefault="0057104C" w:rsidP="0057104C">
      <w:pPr>
        <w:pStyle w:val="TextoNormalNegritaCursivandice"/>
      </w:pPr>
      <w:r>
        <w:t>Ley 17/2015, de 9 de julio. Sistema nacional de protección civil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7" w:history="1">
        <w:r w:rsidRPr="0057104C">
          <w:rPr>
            <w:rStyle w:val="TextoNormalCaracter"/>
          </w:rPr>
          <w:t>87/2016</w:t>
        </w:r>
      </w:hyperlink>
      <w:r>
        <w:t>, ff. 2, 5.</w:t>
      </w:r>
    </w:p>
    <w:p w:rsidR="0057104C" w:rsidRDefault="0057104C" w:rsidP="0057104C">
      <w:pPr>
        <w:pStyle w:val="SangriaFrancesaArticulo"/>
      </w:pPr>
      <w:r w:rsidRPr="0057104C">
        <w:rPr>
          <w:rStyle w:val="TextoNormalNegritaCaracter"/>
        </w:rPr>
        <w:t>Titulo II, capítulo V.</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Capítulo V.</w:t>
      </w:r>
      <w:r w:rsidRPr="0057104C">
        <w:rPr>
          <w:rStyle w:val="TextoNormalCaracter"/>
        </w:rPr>
        <w:t>-</w:t>
      </w:r>
      <w:r>
        <w:t xml:space="preserve"> Sentencia </w:t>
      </w:r>
      <w:hyperlink w:anchor="SENTENCIA_2016_87" w:history="1">
        <w:r w:rsidRPr="0057104C">
          <w:rPr>
            <w:rStyle w:val="TextoNormalCaracter"/>
          </w:rPr>
          <w:t>87/2016</w:t>
        </w:r>
      </w:hyperlink>
      <w:r>
        <w:t>, f. 5.</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3.1 d).</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20.1.</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20.2.</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23.</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23.1.</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23.1 párrafo 2.</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Sentencia </w:t>
      </w:r>
      <w:hyperlink w:anchor="SENTENCIA_2016_87" w:history="1">
        <w:r w:rsidRPr="0057104C">
          <w:rPr>
            <w:rStyle w:val="TextoNormalCaracter"/>
          </w:rPr>
          <w:t>87/2016</w:t>
        </w:r>
      </w:hyperlink>
      <w:r>
        <w:t>, f. 5.</w:t>
      </w:r>
    </w:p>
    <w:p w:rsidR="0057104C" w:rsidRDefault="0057104C" w:rsidP="0057104C">
      <w:pPr>
        <w:pStyle w:val="SangriaFrancesaArticulo"/>
      </w:pPr>
      <w:r w:rsidRPr="0057104C">
        <w:rPr>
          <w:rStyle w:val="TextoNormalNegritaCaracter"/>
        </w:rPr>
        <w:t>Artículo 24.1 a).</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24.1 b).</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24.1 c).</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24.1 d).</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24.1 e).</w:t>
      </w:r>
      <w:r w:rsidRPr="0057104C">
        <w:rPr>
          <w:rStyle w:val="TextoNormalCaracter"/>
        </w:rPr>
        <w:t>-</w:t>
      </w:r>
      <w:r>
        <w:t xml:space="preserve"> Sentencia </w:t>
      </w:r>
      <w:hyperlink w:anchor="SENTENCIA_2016_87" w:history="1">
        <w:r w:rsidRPr="0057104C">
          <w:rPr>
            <w:rStyle w:val="TextoNormalCaracter"/>
          </w:rPr>
          <w:t>87/2016</w:t>
        </w:r>
      </w:hyperlink>
      <w:r>
        <w:t>, ff. 2, 5.</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87" w:history="1">
        <w:r w:rsidRPr="0057104C">
          <w:rPr>
            <w:rStyle w:val="TextoNormalCaracter"/>
          </w:rPr>
          <w:t>87/2016</w:t>
        </w:r>
      </w:hyperlink>
      <w:r>
        <w:t>, ff. 2, 5.</w:t>
      </w:r>
    </w:p>
    <w:p w:rsidR="0057104C" w:rsidRDefault="0057104C" w:rsidP="0057104C">
      <w:pPr>
        <w:pStyle w:val="SangriaFrancesaArticulo"/>
      </w:pPr>
      <w:r w:rsidRPr="0057104C">
        <w:rPr>
          <w:rStyle w:val="TextoNormalNegritaCaracter"/>
        </w:rPr>
        <w:t>Disposición adicional cuarta.</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p>
    <w:p w:rsidR="0057104C" w:rsidRDefault="0057104C" w:rsidP="0057104C">
      <w:pPr>
        <w:pStyle w:val="TextoNormalNegritaCursivandice"/>
      </w:pPr>
      <w:r>
        <w:t>Ley 18/2015, de 9 de julio. Modifica la Ley 37/2007, de 16 de noviembre, sobre reutilización de la información del sector público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41" w:history="1">
        <w:r w:rsidRPr="0057104C">
          <w:rPr>
            <w:rStyle w:val="TextoNormalCaracter"/>
          </w:rPr>
          <w:t>41/2016</w:t>
        </w:r>
      </w:hyperlink>
      <w:r>
        <w:t>, f. 1.</w:t>
      </w:r>
    </w:p>
    <w:p w:rsidR="0057104C" w:rsidRDefault="0057104C" w:rsidP="0057104C">
      <w:pPr>
        <w:pStyle w:val="SangriaFrancesaArticulo"/>
      </w:pPr>
    </w:p>
    <w:p w:rsidR="0057104C" w:rsidRDefault="0057104C" w:rsidP="0057104C">
      <w:pPr>
        <w:pStyle w:val="TextoNormalNegritaCursivandice"/>
      </w:pPr>
      <w:r>
        <w:t>Ley 23/2015, de 21 de julio. Ordenadora del sistema de inspección de trabajo y seguridad social</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 </w:t>
      </w:r>
      <w:hyperlink w:anchor="SENTENCIA_2016_21" w:history="1">
        <w:r w:rsidRPr="0057104C">
          <w:rPr>
            <w:rStyle w:val="TextoNormalCaracter"/>
          </w:rPr>
          <w:t>21/2016</w:t>
        </w:r>
      </w:hyperlink>
      <w:r>
        <w:t>, ff. 1, 3.</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21" w:history="1">
        <w:r w:rsidRPr="0057104C">
          <w:rPr>
            <w:rStyle w:val="TextoNormalCaracter"/>
          </w:rPr>
          <w:t>21/2016</w:t>
        </w:r>
      </w:hyperlink>
      <w:r>
        <w:t>, ff. 1, 3.</w:t>
      </w:r>
    </w:p>
    <w:p w:rsidR="0057104C" w:rsidRDefault="0057104C" w:rsidP="0057104C">
      <w:pPr>
        <w:pStyle w:val="SangriaFrancesaArticulo"/>
      </w:pPr>
    </w:p>
    <w:p w:rsidR="0057104C" w:rsidRDefault="0057104C" w:rsidP="0057104C">
      <w:pPr>
        <w:pStyle w:val="TextoNormalNegritaCursivandice"/>
      </w:pPr>
      <w:r>
        <w:t>Ley 29/2015, de 30 de julio. Cooperación jurídica internacional en materia civil</w:t>
      </w:r>
    </w:p>
    <w:p w:rsidR="0057104C" w:rsidRDefault="0057104C" w:rsidP="0057104C">
      <w:pPr>
        <w:pStyle w:val="SangriaFrancesaArticulo"/>
      </w:pPr>
      <w:r w:rsidRPr="0057104C">
        <w:rPr>
          <w:rStyle w:val="TextoNormalNegritaCaracter"/>
        </w:rPr>
        <w:t>Disposición final cuarta.</w:t>
      </w:r>
      <w:r w:rsidRPr="0057104C">
        <w:rPr>
          <w:rStyle w:val="TextoNormalCaracter"/>
        </w:rPr>
        <w:t>-</w:t>
      </w:r>
      <w:r>
        <w:t xml:space="preserve"> Sentencia </w:t>
      </w:r>
      <w:hyperlink w:anchor="SENTENCIA_2016_85" w:history="1">
        <w:r w:rsidRPr="0057104C">
          <w:rPr>
            <w:rStyle w:val="TextoNormalCaracter"/>
          </w:rPr>
          <w:t>85/2016</w:t>
        </w:r>
      </w:hyperlink>
      <w:r>
        <w:t>, f. 1.</w:t>
      </w:r>
    </w:p>
    <w:p w:rsidR="0057104C" w:rsidRDefault="0057104C" w:rsidP="0057104C">
      <w:pPr>
        <w:pStyle w:val="SangriaFrancesaArticulo"/>
      </w:pPr>
    </w:p>
    <w:p w:rsidR="0057104C" w:rsidRDefault="0057104C" w:rsidP="0057104C">
      <w:pPr>
        <w:pStyle w:val="TextoNormalNegritaCursivandice"/>
      </w:pPr>
      <w:r>
        <w:t>Ley 38/2015, de 29 de septiembre. Sector ferroviario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4" w:history="1">
        <w:r w:rsidRPr="0057104C">
          <w:rPr>
            <w:rStyle w:val="TextoNormalCaracter"/>
          </w:rPr>
          <w:t>124/2016</w:t>
        </w:r>
      </w:hyperlink>
      <w:r>
        <w:t>, f. 2.</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124" w:history="1">
        <w:r w:rsidRPr="0057104C">
          <w:rPr>
            <w:rStyle w:val="TextoNormalCaracter"/>
          </w:rPr>
          <w:t>124/2016</w:t>
        </w:r>
      </w:hyperlink>
      <w:r>
        <w:t>, f. 4.</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124" w:history="1">
        <w:r w:rsidRPr="0057104C">
          <w:rPr>
            <w:rStyle w:val="TextoNormalCaracter"/>
          </w:rPr>
          <w:t>124/2016</w:t>
        </w:r>
      </w:hyperlink>
      <w:r>
        <w:t>, ff. 6, 9.</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124" w:history="1">
        <w:r w:rsidRPr="0057104C">
          <w:rPr>
            <w:rStyle w:val="TextoNormalCaracter"/>
          </w:rPr>
          <w:t>124/2016</w:t>
        </w:r>
      </w:hyperlink>
      <w:r>
        <w:t>, ff. 4, 10, 11.</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124" w:history="1">
        <w:r w:rsidRPr="0057104C">
          <w:rPr>
            <w:rStyle w:val="TextoNormalCaracter"/>
          </w:rPr>
          <w:t>124/2016</w:t>
        </w:r>
      </w:hyperlink>
      <w:r>
        <w:t>, ff. 4, 8.</w:t>
      </w:r>
    </w:p>
    <w:p w:rsidR="0057104C" w:rsidRDefault="0057104C" w:rsidP="0057104C">
      <w:pPr>
        <w:pStyle w:val="SangriaFrancesaArticulo"/>
      </w:pPr>
      <w:r w:rsidRPr="0057104C">
        <w:rPr>
          <w:rStyle w:val="TextoNormalNegritaCaracter"/>
        </w:rPr>
        <w:t>Artículo 4.2.1.</w:t>
      </w:r>
      <w:r w:rsidRPr="0057104C">
        <w:rPr>
          <w:rStyle w:val="TextoNormalCaracter"/>
        </w:rPr>
        <w:t>-</w:t>
      </w:r>
      <w:r>
        <w:t xml:space="preserve"> Sentencia </w:t>
      </w:r>
      <w:hyperlink w:anchor="SENTENCIA_2016_124" w:history="1">
        <w:r w:rsidRPr="0057104C">
          <w:rPr>
            <w:rStyle w:val="TextoNormalCaracter"/>
          </w:rPr>
          <w:t>124/2016</w:t>
        </w:r>
      </w:hyperlink>
      <w:r>
        <w:t>, f. 4.</w:t>
      </w:r>
    </w:p>
    <w:p w:rsidR="0057104C" w:rsidRDefault="0057104C" w:rsidP="0057104C">
      <w:pPr>
        <w:pStyle w:val="SangriaFrancesaArticulo"/>
      </w:pPr>
      <w:r w:rsidRPr="0057104C">
        <w:rPr>
          <w:rStyle w:val="TextoNormalNegritaCaracter"/>
        </w:rPr>
        <w:t>Artículo 4.6.</w:t>
      </w:r>
      <w:r w:rsidRPr="0057104C">
        <w:rPr>
          <w:rStyle w:val="TextoNormalCaracter"/>
        </w:rPr>
        <w:t>-</w:t>
      </w:r>
      <w:r>
        <w:t xml:space="preserve"> Sentencia </w:t>
      </w:r>
      <w:hyperlink w:anchor="SENTENCIA_2016_124" w:history="1">
        <w:r w:rsidRPr="0057104C">
          <w:rPr>
            <w:rStyle w:val="TextoNormalCaracter"/>
          </w:rPr>
          <w:t>124/2016</w:t>
        </w:r>
      </w:hyperlink>
      <w:r>
        <w:t>, f. 4.</w:t>
      </w:r>
    </w:p>
    <w:p w:rsidR="0057104C" w:rsidRDefault="0057104C" w:rsidP="0057104C">
      <w:pPr>
        <w:pStyle w:val="SangriaFrancesaArticulo"/>
      </w:pPr>
      <w:r w:rsidRPr="0057104C">
        <w:rPr>
          <w:rStyle w:val="TextoNormalNegritaCaracter"/>
        </w:rPr>
        <w:t>Artículo 19.</w:t>
      </w:r>
      <w:r w:rsidRPr="0057104C">
        <w:rPr>
          <w:rStyle w:val="TextoNormalCaracter"/>
        </w:rPr>
        <w:t>-</w:t>
      </w:r>
      <w:r>
        <w:t xml:space="preserve"> Sentencia </w:t>
      </w:r>
      <w:hyperlink w:anchor="SENTENCIA_2016_124" w:history="1">
        <w:r w:rsidRPr="0057104C">
          <w:rPr>
            <w:rStyle w:val="TextoNormalCaracter"/>
          </w:rPr>
          <w:t>124/2016</w:t>
        </w:r>
      </w:hyperlink>
      <w:r>
        <w:t>, ff. 4, 6.</w:t>
      </w:r>
    </w:p>
    <w:p w:rsidR="0057104C" w:rsidRDefault="0057104C" w:rsidP="0057104C">
      <w:pPr>
        <w:pStyle w:val="SangriaFrancesaArticulo"/>
      </w:pPr>
      <w:r w:rsidRPr="0057104C">
        <w:rPr>
          <w:rStyle w:val="TextoNormalNegritaCaracter"/>
        </w:rPr>
        <w:t>Disposición final quinta.</w:t>
      </w:r>
      <w:r w:rsidRPr="0057104C">
        <w:rPr>
          <w:rStyle w:val="TextoNormalCaracter"/>
        </w:rPr>
        <w:t>-</w:t>
      </w:r>
      <w:r>
        <w:t xml:space="preserve"> Sentencia </w:t>
      </w:r>
      <w:hyperlink w:anchor="SENTENCIA_2016_124" w:history="1">
        <w:r w:rsidRPr="0057104C">
          <w:rPr>
            <w:rStyle w:val="TextoNormalCaracter"/>
          </w:rPr>
          <w:t>124/2016</w:t>
        </w:r>
      </w:hyperlink>
      <w:r>
        <w:t>, f. 4.</w:t>
      </w:r>
    </w:p>
    <w:p w:rsidR="0057104C" w:rsidRDefault="0057104C" w:rsidP="0057104C">
      <w:pPr>
        <w:pStyle w:val="SangriaFrancesaArticulo"/>
      </w:pPr>
    </w:p>
    <w:p w:rsidR="0057104C" w:rsidRDefault="0057104C" w:rsidP="0057104C">
      <w:pPr>
        <w:pStyle w:val="TextoNormalNegritaCursivandice"/>
      </w:pPr>
      <w:r>
        <w:t>Ley 39/2015, de 1 de octubre. Procedimiento administrativo común de las Administraciones públicas</w:t>
      </w:r>
    </w:p>
    <w:p w:rsidR="0057104C" w:rsidRDefault="0057104C" w:rsidP="0057104C">
      <w:pPr>
        <w:pStyle w:val="SangriaFrancesaArticulo"/>
      </w:pPr>
      <w:r w:rsidRPr="0057104C">
        <w:rPr>
          <w:rStyle w:val="TextoNormalNegritaCaracter"/>
        </w:rPr>
        <w:t>Artículo 80.1.</w:t>
      </w:r>
      <w:r w:rsidRPr="0057104C">
        <w:rPr>
          <w:rStyle w:val="TextoNormalCaracter"/>
        </w:rPr>
        <w:t>-</w:t>
      </w:r>
      <w:r>
        <w:t xml:space="preserve"> Sentencia </w:t>
      </w:r>
      <w:hyperlink w:anchor="SENTENCIA_2016_85" w:history="1">
        <w:r w:rsidRPr="0057104C">
          <w:rPr>
            <w:rStyle w:val="TextoNormalCaracter"/>
          </w:rPr>
          <w:t>85/2016</w:t>
        </w:r>
      </w:hyperlink>
      <w:r>
        <w:t>, f. 6.</w:t>
      </w:r>
    </w:p>
    <w:p w:rsidR="0057104C" w:rsidRDefault="0057104C" w:rsidP="0057104C">
      <w:pPr>
        <w:pStyle w:val="SangriaFrancesaArticulo"/>
      </w:pPr>
      <w:r w:rsidRPr="0057104C">
        <w:rPr>
          <w:rStyle w:val="TextoNormalNegritaCaracter"/>
        </w:rPr>
        <w:t>Artículo 80.2.</w:t>
      </w:r>
      <w:r w:rsidRPr="0057104C">
        <w:rPr>
          <w:rStyle w:val="TextoNormalCaracter"/>
        </w:rPr>
        <w:t>-</w:t>
      </w:r>
      <w:r>
        <w:t xml:space="preserve"> Sentencia </w:t>
      </w:r>
      <w:hyperlink w:anchor="SENTENCIA_2016_85" w:history="1">
        <w:r w:rsidRPr="0057104C">
          <w:rPr>
            <w:rStyle w:val="TextoNormalCaracter"/>
          </w:rPr>
          <w:t>85/2016</w:t>
        </w:r>
      </w:hyperlink>
      <w:r>
        <w:t>, f. 6.</w:t>
      </w:r>
    </w:p>
    <w:p w:rsidR="0057104C" w:rsidRDefault="0057104C" w:rsidP="0057104C">
      <w:pPr>
        <w:pStyle w:val="SangriaFrancesaArticulo"/>
      </w:pPr>
    </w:p>
    <w:p w:rsidR="0057104C" w:rsidRDefault="0057104C" w:rsidP="0057104C">
      <w:pPr>
        <w:pStyle w:val="TextoNormalNegritaCursivandice"/>
      </w:pPr>
      <w:r>
        <w:t>Ley 40/2015, de 1 de octubre. Régimen jurídico del sector público</w:t>
      </w:r>
    </w:p>
    <w:p w:rsidR="0057104C" w:rsidRDefault="0057104C" w:rsidP="0057104C">
      <w:pPr>
        <w:pStyle w:val="SangriaFrancesaArticulo"/>
      </w:pPr>
      <w:r w:rsidRPr="0057104C">
        <w:rPr>
          <w:rStyle w:val="TextoNormalNegritaCaracter"/>
        </w:rPr>
        <w:t>Artículo 32.1.</w:t>
      </w:r>
      <w:r w:rsidRPr="0057104C">
        <w:rPr>
          <w:rStyle w:val="TextoNormalCaracter"/>
        </w:rPr>
        <w:t>-</w:t>
      </w:r>
      <w:r>
        <w:t xml:space="preserve"> Sentencia </w:t>
      </w:r>
      <w:hyperlink w:anchor="SENTENCIA_2016_15" w:history="1">
        <w:r w:rsidRPr="0057104C">
          <w:rPr>
            <w:rStyle w:val="TextoNormalCaracter"/>
          </w:rPr>
          <w:t>15/2016</w:t>
        </w:r>
      </w:hyperlink>
      <w:r>
        <w:t>, f. 3.</w:t>
      </w:r>
    </w:p>
    <w:p w:rsidR="0057104C" w:rsidRDefault="0057104C" w:rsidP="0057104C">
      <w:pPr>
        <w:pStyle w:val="SangriaFrancesaArticulo"/>
      </w:pPr>
      <w:r w:rsidRPr="0057104C">
        <w:rPr>
          <w:rStyle w:val="TextoNormalNegritaCaracter"/>
        </w:rPr>
        <w:t>Artículos 118 a 127.</w:t>
      </w:r>
      <w:r w:rsidRPr="0057104C">
        <w:rPr>
          <w:rStyle w:val="TextoNormalCaracter"/>
        </w:rPr>
        <w:t>-</w:t>
      </w:r>
      <w:r>
        <w:t xml:space="preserve"> Sentencia </w:t>
      </w:r>
      <w:hyperlink w:anchor="SENTENCIA_2016_41" w:history="1">
        <w:r w:rsidRPr="0057104C">
          <w:rPr>
            <w:rStyle w:val="TextoNormalCaracter"/>
          </w:rPr>
          <w:t>41/2016</w:t>
        </w:r>
      </w:hyperlink>
      <w:r>
        <w:t>, f. 8.</w:t>
      </w:r>
    </w:p>
    <w:p w:rsidR="0057104C" w:rsidRDefault="0057104C" w:rsidP="0057104C">
      <w:pPr>
        <w:pStyle w:val="SangriaFrancesaArticulo"/>
      </w:pPr>
      <w:r w:rsidRPr="0057104C">
        <w:rPr>
          <w:rStyle w:val="TextoNormalNegritaCaracter"/>
        </w:rPr>
        <w:t>Artículo 119.3.</w:t>
      </w:r>
      <w:r w:rsidRPr="0057104C">
        <w:rPr>
          <w:rStyle w:val="TextoNormalCaracter"/>
        </w:rPr>
        <w:t>-</w:t>
      </w:r>
      <w:r>
        <w:t xml:space="preserve"> Sentencia </w:t>
      </w:r>
      <w:hyperlink w:anchor="SENTENCIA_2016_41" w:history="1">
        <w:r w:rsidRPr="0057104C">
          <w:rPr>
            <w:rStyle w:val="TextoNormalCaracter"/>
          </w:rPr>
          <w:t>41/2016</w:t>
        </w:r>
      </w:hyperlink>
      <w:r>
        <w:t>, f. 8.</w:t>
      </w:r>
    </w:p>
    <w:p w:rsidR="0057104C" w:rsidRDefault="0057104C" w:rsidP="0057104C">
      <w:pPr>
        <w:pStyle w:val="SangriaFrancesaArticulo"/>
      </w:pPr>
      <w:r w:rsidRPr="0057104C">
        <w:rPr>
          <w:rStyle w:val="TextoNormalNegritaCaracter"/>
        </w:rPr>
        <w:t>Disposición final decimoctava.</w:t>
      </w:r>
      <w:r w:rsidRPr="0057104C">
        <w:rPr>
          <w:rStyle w:val="TextoNormalCaracter"/>
        </w:rPr>
        <w:t>-</w:t>
      </w:r>
      <w:r>
        <w:t xml:space="preserve"> Sentencias </w:t>
      </w:r>
      <w:hyperlink w:anchor="SENTENCIA_2016_15" w:history="1">
        <w:r w:rsidRPr="0057104C">
          <w:rPr>
            <w:rStyle w:val="TextoNormalCaracter"/>
          </w:rPr>
          <w:t>15/2016</w:t>
        </w:r>
      </w:hyperlink>
      <w:r>
        <w:t xml:space="preserve">, f. 3; </w:t>
      </w:r>
      <w:hyperlink w:anchor="SENTENCIA_2016_41" w:history="1">
        <w:r w:rsidRPr="0057104C">
          <w:rPr>
            <w:rStyle w:val="TextoNormalCaracter"/>
          </w:rPr>
          <w:t>41/2016</w:t>
        </w:r>
      </w:hyperlink>
      <w:r>
        <w:t>, f. 8.</w:t>
      </w:r>
    </w:p>
    <w:p w:rsidR="0057104C" w:rsidRDefault="0057104C" w:rsidP="0057104C">
      <w:pPr>
        <w:pStyle w:val="SangriaFrancesaArticulo"/>
      </w:pPr>
    </w:p>
    <w:p w:rsidR="0057104C" w:rsidRDefault="0057104C" w:rsidP="0057104C">
      <w:pPr>
        <w:pStyle w:val="TextoNormalNegritaCursivandice"/>
      </w:pPr>
      <w:r>
        <w:t>Ley 48/2015, de 29 de octubre. Presupuestos Generales del Estado para el año 2016</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96" w:history="1">
        <w:r w:rsidRPr="0057104C">
          <w:rPr>
            <w:rStyle w:val="TextoNormalCaracter"/>
          </w:rPr>
          <w:t>96/2016</w:t>
        </w:r>
      </w:hyperlink>
      <w:r>
        <w:t>, ff. 2, 4, 6 a 8.</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Sentencia </w:t>
      </w:r>
      <w:hyperlink w:anchor="SENTENCIA_2016_96" w:history="1">
        <w:r w:rsidRPr="0057104C">
          <w:rPr>
            <w:rStyle w:val="TextoNormalCaracter"/>
          </w:rPr>
          <w:t>96/2016</w:t>
        </w:r>
      </w:hyperlink>
      <w:r>
        <w:t>, f. 1.</w:t>
      </w:r>
    </w:p>
    <w:p w:rsidR="0057104C" w:rsidRDefault="0057104C" w:rsidP="0057104C">
      <w:pPr>
        <w:pStyle w:val="SangriaFrancesaArticulo"/>
      </w:pPr>
      <w:r w:rsidRPr="0057104C">
        <w:rPr>
          <w:rStyle w:val="TextoNormalNegritaCaracter"/>
        </w:rPr>
        <w:t>Artículo 112.</w:t>
      </w:r>
      <w:r w:rsidRPr="0057104C">
        <w:rPr>
          <w:rStyle w:val="TextoNormalCaracter"/>
        </w:rPr>
        <w:t>-</w:t>
      </w:r>
      <w:r>
        <w:t xml:space="preserve"> Sentencia </w:t>
      </w:r>
      <w:hyperlink w:anchor="SENTENCIA_2016_96" w:history="1">
        <w:r w:rsidRPr="0057104C">
          <w:rPr>
            <w:rStyle w:val="TextoNormalCaracter"/>
          </w:rPr>
          <w:t>96/2016</w:t>
        </w:r>
      </w:hyperlink>
      <w:r>
        <w:t>, f. 1.</w:t>
      </w:r>
    </w:p>
    <w:p w:rsidR="0057104C" w:rsidRDefault="0057104C" w:rsidP="0057104C">
      <w:pPr>
        <w:pStyle w:val="SangriaFrancesaArticulo"/>
      </w:pPr>
      <w:r w:rsidRPr="0057104C">
        <w:rPr>
          <w:rStyle w:val="TextoNormalNegritaCaracter"/>
        </w:rPr>
        <w:t>Disposición adicional.</w:t>
      </w:r>
      <w:r w:rsidRPr="0057104C">
        <w:rPr>
          <w:rStyle w:val="TextoNormalCaracter"/>
        </w:rPr>
        <w:t>-</w:t>
      </w:r>
      <w:r>
        <w:t xml:space="preserve"> Sentencia </w:t>
      </w:r>
      <w:hyperlink w:anchor="SENTENCIA_2016_80" w:history="1">
        <w:r w:rsidRPr="0057104C">
          <w:rPr>
            <w:rStyle w:val="TextoNormalCaracter"/>
          </w:rPr>
          <w:t>80/2016</w:t>
        </w:r>
      </w:hyperlink>
      <w:r>
        <w:t>, f. 3.</w:t>
      </w:r>
    </w:p>
    <w:p w:rsidR="0057104C" w:rsidRDefault="0057104C" w:rsidP="0057104C">
      <w:pPr>
        <w:pStyle w:val="SangriaFrancesaArticulo"/>
      </w:pPr>
      <w:r w:rsidRPr="0057104C">
        <w:rPr>
          <w:rStyle w:val="TextoNormalNegritaCaracter"/>
        </w:rPr>
        <w:t>Disposición adicional septuagésima sexta.</w:t>
      </w:r>
      <w:r w:rsidRPr="0057104C">
        <w:rPr>
          <w:rStyle w:val="TextoNormalCaracter"/>
        </w:rPr>
        <w:t>-</w:t>
      </w:r>
      <w:r>
        <w:t xml:space="preserve"> Sentencia </w:t>
      </w:r>
      <w:hyperlink w:anchor="SENTENCIA_2016_99" w:history="1">
        <w:r w:rsidRPr="0057104C">
          <w:rPr>
            <w:rStyle w:val="TextoNormalCaracter"/>
          </w:rPr>
          <w:t>99/2016</w:t>
        </w:r>
      </w:hyperlink>
      <w:r>
        <w:t>, f. 2.</w:t>
      </w:r>
    </w:p>
    <w:p w:rsidR="0057104C" w:rsidRDefault="0057104C" w:rsidP="0057104C">
      <w:pPr>
        <w:pStyle w:val="SangriaFrancesaArticulo"/>
      </w:pPr>
      <w:r w:rsidRPr="0057104C">
        <w:rPr>
          <w:rStyle w:val="TextoNormalNegritaCaracter"/>
        </w:rPr>
        <w:t>Disposición adicional duodécima.</w:t>
      </w:r>
      <w:r w:rsidRPr="0057104C">
        <w:rPr>
          <w:rStyle w:val="TextoNormalCaracter"/>
        </w:rPr>
        <w:t>-</w:t>
      </w:r>
      <w:r>
        <w:t xml:space="preserve"> Sentencias </w:t>
      </w:r>
      <w:hyperlink w:anchor="SENTENCIA_2016_79" w:history="1">
        <w:r w:rsidRPr="0057104C">
          <w:rPr>
            <w:rStyle w:val="TextoNormalCaracter"/>
          </w:rPr>
          <w:t>79/2016</w:t>
        </w:r>
      </w:hyperlink>
      <w:r>
        <w:t xml:space="preserve">, f. 2; </w:t>
      </w:r>
      <w:hyperlink w:anchor="SENTENCIA_2016_90" w:history="1">
        <w:r w:rsidRPr="0057104C">
          <w:rPr>
            <w:rStyle w:val="TextoNormalCaracter"/>
          </w:rPr>
          <w:t>90/2016</w:t>
        </w:r>
      </w:hyperlink>
      <w:r>
        <w:t xml:space="preserve">, f. 3; </w:t>
      </w:r>
      <w:hyperlink w:anchor="SENTENCIA_2016_97" w:history="1">
        <w:r w:rsidRPr="0057104C">
          <w:rPr>
            <w:rStyle w:val="TextoNormalCaracter"/>
          </w:rPr>
          <w:t>97/2016</w:t>
        </w:r>
      </w:hyperlink>
      <w:r>
        <w:t xml:space="preserve">, f. 2; </w:t>
      </w:r>
      <w:hyperlink w:anchor="SENTENCIA_2016_104" w:history="1">
        <w:r w:rsidRPr="0057104C">
          <w:rPr>
            <w:rStyle w:val="TextoNormalCaracter"/>
          </w:rPr>
          <w:t>104/2016</w:t>
        </w:r>
      </w:hyperlink>
      <w:r>
        <w:t xml:space="preserve">, f. 2; </w:t>
      </w:r>
      <w:hyperlink w:anchor="SENTENCIA_2016_106" w:history="1">
        <w:r w:rsidRPr="0057104C">
          <w:rPr>
            <w:rStyle w:val="TextoNormalCaracter"/>
          </w:rPr>
          <w:t>106/2016</w:t>
        </w:r>
      </w:hyperlink>
      <w:r>
        <w:t>, f. 2.</w:t>
      </w:r>
    </w:p>
    <w:p w:rsidR="0057104C" w:rsidRDefault="0057104C" w:rsidP="0057104C">
      <w:pPr>
        <w:pStyle w:val="SangriaFrancesaArticulo"/>
      </w:pPr>
      <w:r w:rsidRPr="0057104C">
        <w:rPr>
          <w:rStyle w:val="TextoNormalNegritaCaracter"/>
        </w:rPr>
        <w:t>Disposición adicional duodécima, apartado 1.</w:t>
      </w:r>
      <w:r w:rsidRPr="0057104C">
        <w:rPr>
          <w:rStyle w:val="TextoNormalCaracter"/>
        </w:rPr>
        <w:t>-</w:t>
      </w:r>
      <w:r>
        <w:t xml:space="preserve"> Sentencias </w:t>
      </w:r>
      <w:hyperlink w:anchor="SENTENCIA_2016_80" w:history="1">
        <w:r w:rsidRPr="0057104C">
          <w:rPr>
            <w:rStyle w:val="TextoNormalCaracter"/>
          </w:rPr>
          <w:t>80/2016</w:t>
        </w:r>
      </w:hyperlink>
      <w:r>
        <w:t xml:space="preserve">, f. 3; </w:t>
      </w:r>
      <w:hyperlink w:anchor="SENTENCIA_2016_119" w:history="1">
        <w:r w:rsidRPr="0057104C">
          <w:rPr>
            <w:rStyle w:val="TextoNormalCaracter"/>
          </w:rPr>
          <w:t>119/2016</w:t>
        </w:r>
      </w:hyperlink>
      <w:r>
        <w:t>, f. 1.</w:t>
      </w:r>
    </w:p>
    <w:p w:rsidR="0057104C" w:rsidRDefault="0057104C" w:rsidP="0057104C">
      <w:pPr>
        <w:pStyle w:val="SangriaFrancesaArticulo"/>
      </w:pPr>
      <w:r w:rsidRPr="0057104C">
        <w:rPr>
          <w:rStyle w:val="TextoNormalNegritaCaracter"/>
        </w:rPr>
        <w:t>Disposición adicional duodécima, apartado 2.</w:t>
      </w:r>
      <w:r w:rsidRPr="0057104C">
        <w:rPr>
          <w:rStyle w:val="TextoNormalCaracter"/>
        </w:rPr>
        <w:t>-</w:t>
      </w:r>
      <w:r>
        <w:t xml:space="preserve"> Sentencia </w:t>
      </w:r>
      <w:hyperlink w:anchor="SENTENCIA_2016_80" w:history="1">
        <w:r w:rsidRPr="0057104C">
          <w:rPr>
            <w:rStyle w:val="TextoNormalCaracter"/>
          </w:rPr>
          <w:t>80/2016</w:t>
        </w:r>
      </w:hyperlink>
      <w:r>
        <w:t>, f. 3.</w:t>
      </w:r>
    </w:p>
    <w:p w:rsidR="0057104C" w:rsidRDefault="0057104C" w:rsidP="0057104C">
      <w:pPr>
        <w:pStyle w:val="SangriaFrancesaArticulo"/>
      </w:pPr>
      <w:r w:rsidRPr="0057104C">
        <w:rPr>
          <w:rStyle w:val="TextoNormalNegritaCaracter"/>
        </w:rPr>
        <w:t>Disposición final decimoquinta.</w:t>
      </w:r>
      <w:r w:rsidRPr="0057104C">
        <w:rPr>
          <w:rStyle w:val="TextoNormalCaracter"/>
        </w:rPr>
        <w:t>-</w:t>
      </w:r>
      <w:r>
        <w:t xml:space="preserve"> Sentencias </w:t>
      </w:r>
      <w:hyperlink w:anchor="SENTENCIA_2016_26" w:history="1">
        <w:r w:rsidRPr="0057104C">
          <w:rPr>
            <w:rStyle w:val="TextoNormalCaracter"/>
          </w:rPr>
          <w:t>26/2016</w:t>
        </w:r>
      </w:hyperlink>
      <w:r>
        <w:t xml:space="preserve">, f. 6; </w:t>
      </w:r>
      <w:hyperlink w:anchor="SENTENCIA_2016_66" w:history="1">
        <w:r w:rsidRPr="0057104C">
          <w:rPr>
            <w:rStyle w:val="TextoNormalCaracter"/>
          </w:rPr>
          <w:t>66/2016</w:t>
        </w:r>
      </w:hyperlink>
      <w:r>
        <w:t xml:space="preserve">, f. 5; </w:t>
      </w:r>
      <w:hyperlink w:anchor="SENTENCIA_2016_67" w:history="1">
        <w:r w:rsidRPr="0057104C">
          <w:rPr>
            <w:rStyle w:val="TextoNormalCaracter"/>
          </w:rPr>
          <w:t>67/2016</w:t>
        </w:r>
      </w:hyperlink>
      <w:r>
        <w:t xml:space="preserve">, f. 6; </w:t>
      </w:r>
      <w:hyperlink w:anchor="SENTENCIA_2016_68" w:history="1">
        <w:r w:rsidRPr="0057104C">
          <w:rPr>
            <w:rStyle w:val="TextoNormalCaracter"/>
          </w:rPr>
          <w:t>68/2016</w:t>
        </w:r>
      </w:hyperlink>
      <w:r>
        <w:t>, f. 6.</w:t>
      </w:r>
    </w:p>
    <w:p w:rsidR="0057104C" w:rsidRDefault="0057104C" w:rsidP="0057104C">
      <w:pPr>
        <w:pStyle w:val="TextoNormal"/>
      </w:pPr>
    </w:p>
    <w:p w:rsidR="0057104C" w:rsidRDefault="0057104C" w:rsidP="0057104C">
      <w:pPr>
        <w:pStyle w:val="SangriaFrancesaArticulo"/>
      </w:pPr>
      <w:bookmarkStart w:id="271" w:name="INDICE22847"/>
    </w:p>
    <w:bookmarkEnd w:id="271"/>
    <w:p w:rsidR="0057104C" w:rsidRDefault="0057104C" w:rsidP="0057104C">
      <w:pPr>
        <w:pStyle w:val="TextoIndiceNivel2"/>
        <w:suppressAutoHyphens/>
      </w:pPr>
      <w:r>
        <w:t>F) Reales Decretos Legislativos</w:t>
      </w:r>
    </w:p>
    <w:p w:rsidR="0057104C" w:rsidRDefault="0057104C" w:rsidP="0057104C">
      <w:pPr>
        <w:pStyle w:val="TextoIndiceNivel2"/>
      </w:pPr>
    </w:p>
    <w:p w:rsidR="0057104C" w:rsidRDefault="0057104C" w:rsidP="0057104C">
      <w:pPr>
        <w:pStyle w:val="TextoNormalNegritaCursivandice"/>
      </w:pPr>
      <w:r>
        <w:t>Real Decreto Legislativo 781/1986, de 18 de abril. Texto refundido de las disposiciones legales vigentes en materia de régimen local</w:t>
      </w:r>
    </w:p>
    <w:p w:rsidR="0057104C" w:rsidRDefault="0057104C" w:rsidP="0057104C">
      <w:pPr>
        <w:pStyle w:val="SangriaFrancesaArticulo"/>
      </w:pPr>
      <w:r w:rsidRPr="0057104C">
        <w:rPr>
          <w:rStyle w:val="TextoNormalNegritaCaracter"/>
        </w:rPr>
        <w:t>Artículo 97</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 7.</w:t>
      </w:r>
    </w:p>
    <w:p w:rsidR="0057104C" w:rsidRDefault="0057104C" w:rsidP="0057104C">
      <w:pPr>
        <w:pStyle w:val="SangriaFrancesaArticulo"/>
      </w:pPr>
      <w:r w:rsidRPr="0057104C">
        <w:rPr>
          <w:rStyle w:val="TextoNormalNegritaCaracter"/>
        </w:rPr>
        <w:t xml:space="preserve">Artículo 97, párrafo 2 </w:t>
      </w:r>
      <w:r w:rsidRPr="0057104C">
        <w:rPr>
          <w:rStyle w:val="TextoNormalNegritaCursivaCaracter"/>
        </w:rPr>
        <w:t>in fine</w:t>
      </w:r>
      <w:r>
        <w:t xml:space="preserve"> </w:t>
      </w:r>
      <w:r w:rsidRPr="0057104C">
        <w:rPr>
          <w:rStyle w:val="TextoNormalCaracter"/>
        </w:rPr>
        <w:t>(redactado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ff. 3, 7.</w:t>
      </w:r>
    </w:p>
    <w:p w:rsidR="0057104C" w:rsidRDefault="0057104C" w:rsidP="0057104C">
      <w:pPr>
        <w:pStyle w:val="SangriaFrancesaArticulo"/>
      </w:pPr>
    </w:p>
    <w:p w:rsidR="0057104C" w:rsidRDefault="0057104C" w:rsidP="0057104C">
      <w:pPr>
        <w:pStyle w:val="TextoNormalNegritaCursivandice"/>
      </w:pPr>
      <w:r>
        <w:t>Real Decreto Legislativo 670/1987, de 30 de abril. Texto refundido de la Ley de clases pasivas del Estado</w:t>
      </w:r>
    </w:p>
    <w:p w:rsidR="0057104C" w:rsidRDefault="0057104C" w:rsidP="0057104C">
      <w:pPr>
        <w:pStyle w:val="SangriaFrancesaArticulo"/>
      </w:pPr>
      <w:r w:rsidRPr="0057104C">
        <w:rPr>
          <w:rStyle w:val="TextoNormalNegritaCaracter"/>
        </w:rPr>
        <w:t>Artículo 38.</w:t>
      </w:r>
      <w:r w:rsidRPr="0057104C">
        <w:rPr>
          <w:rStyle w:val="TextoNormalCaracter"/>
        </w:rPr>
        <w:t>-</w:t>
      </w:r>
      <w:r>
        <w:t xml:space="preserve"> Auto </w:t>
      </w:r>
      <w:hyperlink w:anchor="AUTO_2016_11" w:history="1">
        <w:r w:rsidRPr="0057104C">
          <w:rPr>
            <w:rStyle w:val="TextoNormalCaracter"/>
          </w:rPr>
          <w:t>11/2016</w:t>
        </w:r>
      </w:hyperlink>
      <w:r>
        <w:t>, f. 1.</w:t>
      </w:r>
    </w:p>
    <w:p w:rsidR="0057104C" w:rsidRDefault="0057104C" w:rsidP="0057104C">
      <w:pPr>
        <w:pStyle w:val="SangriaFrancesaArticulo"/>
      </w:pPr>
      <w:r w:rsidRPr="0057104C">
        <w:rPr>
          <w:rStyle w:val="TextoNormalNegritaCaracter"/>
        </w:rPr>
        <w:t>Artículo 38.4, último párrafo.</w:t>
      </w:r>
      <w:r w:rsidRPr="0057104C">
        <w:rPr>
          <w:rStyle w:val="TextoNormalCaracter"/>
        </w:rPr>
        <w:t>-</w:t>
      </w:r>
      <w:r>
        <w:t xml:space="preserve"> Auto </w:t>
      </w:r>
      <w:hyperlink w:anchor="AUTO_2016_11" w:history="1">
        <w:r w:rsidRPr="0057104C">
          <w:rPr>
            <w:rStyle w:val="TextoNormalCaracter"/>
          </w:rPr>
          <w:t>11/2016</w:t>
        </w:r>
      </w:hyperlink>
      <w:r>
        <w:t>, ff. 1, 3.</w:t>
      </w:r>
    </w:p>
    <w:p w:rsidR="0057104C" w:rsidRDefault="0057104C" w:rsidP="0057104C">
      <w:pPr>
        <w:pStyle w:val="SangriaFrancesaArticulo"/>
      </w:pPr>
    </w:p>
    <w:p w:rsidR="0057104C" w:rsidRDefault="0057104C" w:rsidP="0057104C">
      <w:pPr>
        <w:pStyle w:val="TextoNormalNegritaCursivandice"/>
      </w:pPr>
      <w:r>
        <w:t>Real Decreto Legislativo 339/1990, de 2 de marzo. Texto articulado de la Ley de bases sobre tráfico, circulación de vehículos a motor y seguridad vial</w:t>
      </w:r>
    </w:p>
    <w:p w:rsidR="0057104C" w:rsidRDefault="0057104C" w:rsidP="0057104C">
      <w:pPr>
        <w:pStyle w:val="SangriaFrancesaArticulo"/>
      </w:pPr>
      <w:r w:rsidRPr="0057104C">
        <w:rPr>
          <w:rStyle w:val="TextoNormalNegritaCaracter"/>
        </w:rPr>
        <w:t>Artículo 9 bis 1.</w:t>
      </w:r>
      <w:r w:rsidRPr="0057104C">
        <w:rPr>
          <w:rStyle w:val="TextoNormalCaracter"/>
        </w:rPr>
        <w:t>-</w:t>
      </w:r>
      <w:r>
        <w:t xml:space="preserve"> Sentencia </w:t>
      </w:r>
      <w:hyperlink w:anchor="SENTENCIA_2016_117" w:history="1">
        <w:r w:rsidRPr="0057104C">
          <w:rPr>
            <w:rStyle w:val="TextoNormalCaracter"/>
          </w:rPr>
          <w:t>117/2016</w:t>
        </w:r>
      </w:hyperlink>
      <w:r>
        <w:t>, ff. 1, 5.</w:t>
      </w:r>
    </w:p>
    <w:p w:rsidR="0057104C" w:rsidRDefault="0057104C" w:rsidP="0057104C">
      <w:pPr>
        <w:pStyle w:val="SangriaFrancesaArticulo"/>
      </w:pPr>
      <w:r w:rsidRPr="0057104C">
        <w:rPr>
          <w:rStyle w:val="TextoNormalNegritaCaracter"/>
        </w:rPr>
        <w:t>Artículo 65.5 j).</w:t>
      </w:r>
      <w:r w:rsidRPr="0057104C">
        <w:rPr>
          <w:rStyle w:val="TextoNormalCaracter"/>
        </w:rPr>
        <w:t>-</w:t>
      </w:r>
      <w:r>
        <w:t xml:space="preserve"> Sentencia </w:t>
      </w:r>
      <w:hyperlink w:anchor="SENTENCIA_2016_117" w:history="1">
        <w:r w:rsidRPr="0057104C">
          <w:rPr>
            <w:rStyle w:val="TextoNormalCaracter"/>
          </w:rPr>
          <w:t>117/2016</w:t>
        </w:r>
      </w:hyperlink>
      <w:r>
        <w:t>, f. 3.</w:t>
      </w:r>
    </w:p>
    <w:p w:rsidR="0057104C" w:rsidRDefault="0057104C" w:rsidP="0057104C">
      <w:pPr>
        <w:pStyle w:val="SangriaFrancesaArticulo"/>
      </w:pPr>
    </w:p>
    <w:p w:rsidR="0057104C" w:rsidRDefault="0057104C" w:rsidP="0057104C">
      <w:pPr>
        <w:pStyle w:val="TextoNormalNegritaCursivandice"/>
      </w:pPr>
      <w:r>
        <w:t>Real Decreto Legislativo 1/1992, de 26 de junio. Texto refundido de la Ley sobre el régimen del suelo y ordenación urbana</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Autos </w:t>
      </w:r>
      <w:hyperlink w:anchor="AUTO_2016_76" w:history="1">
        <w:r w:rsidRPr="0057104C">
          <w:rPr>
            <w:rStyle w:val="TextoNormalCaracter"/>
          </w:rPr>
          <w:t>76/2016</w:t>
        </w:r>
      </w:hyperlink>
      <w:r>
        <w:t xml:space="preserve">, ff. 1, 2; </w:t>
      </w:r>
      <w:hyperlink w:anchor="AUTO_2016_77" w:history="1">
        <w:r w:rsidRPr="0057104C">
          <w:rPr>
            <w:rStyle w:val="TextoNormalCaracter"/>
          </w:rPr>
          <w:t>77/2016</w:t>
        </w:r>
      </w:hyperlink>
      <w:r>
        <w:t xml:space="preserve">, ff. 1, 4; </w:t>
      </w:r>
      <w:hyperlink w:anchor="AUTO_2016_78" w:history="1">
        <w:r w:rsidRPr="0057104C">
          <w:rPr>
            <w:rStyle w:val="TextoNormalCaracter"/>
          </w:rPr>
          <w:t>78/2016</w:t>
        </w:r>
      </w:hyperlink>
      <w:r>
        <w:t xml:space="preserve">, f. 1; </w:t>
      </w:r>
      <w:hyperlink w:anchor="AUTO_2016_85" w:history="1">
        <w:r w:rsidRPr="0057104C">
          <w:rPr>
            <w:rStyle w:val="TextoNormalCaracter"/>
          </w:rPr>
          <w:t>85/2016</w:t>
        </w:r>
      </w:hyperlink>
      <w:r>
        <w:t xml:space="preserve">, f. 1; </w:t>
      </w:r>
      <w:hyperlink w:anchor="AUTO_2016_86" w:history="1">
        <w:r w:rsidRPr="0057104C">
          <w:rPr>
            <w:rStyle w:val="TextoNormalCaracter"/>
          </w:rPr>
          <w:t>86/2016</w:t>
        </w:r>
      </w:hyperlink>
      <w:r>
        <w:t xml:space="preserve">, ff. 1, 4; </w:t>
      </w:r>
      <w:hyperlink w:anchor="AUTO_2016_87" w:history="1">
        <w:r w:rsidRPr="0057104C">
          <w:rPr>
            <w:rStyle w:val="TextoNormalCaracter"/>
          </w:rPr>
          <w:t>87/2016</w:t>
        </w:r>
      </w:hyperlink>
      <w:r>
        <w:t xml:space="preserve">, ff. 1, 2; </w:t>
      </w:r>
      <w:hyperlink w:anchor="AUTO_2016_88" w:history="1">
        <w:r w:rsidRPr="0057104C">
          <w:rPr>
            <w:rStyle w:val="TextoNormalCaracter"/>
          </w:rPr>
          <w:t>88/2016</w:t>
        </w:r>
      </w:hyperlink>
      <w:r>
        <w:t>, ff. 1, 2.</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Autos </w:t>
      </w:r>
      <w:hyperlink w:anchor="AUTO_2016_76" w:history="1">
        <w:r w:rsidRPr="0057104C">
          <w:rPr>
            <w:rStyle w:val="TextoNormalCaracter"/>
          </w:rPr>
          <w:t>76/2016</w:t>
        </w:r>
      </w:hyperlink>
      <w:r>
        <w:t xml:space="preserve">, ff. 2, 3; </w:t>
      </w:r>
      <w:hyperlink w:anchor="AUTO_2016_77" w:history="1">
        <w:r w:rsidRPr="0057104C">
          <w:rPr>
            <w:rStyle w:val="TextoNormalCaracter"/>
          </w:rPr>
          <w:t>77/2016</w:t>
        </w:r>
      </w:hyperlink>
      <w:r>
        <w:t xml:space="preserve">, ff. 4, 5; </w:t>
      </w:r>
      <w:hyperlink w:anchor="AUTO_2016_78" w:history="1">
        <w:r w:rsidRPr="0057104C">
          <w:rPr>
            <w:rStyle w:val="TextoNormalCaracter"/>
          </w:rPr>
          <w:t>78/2016</w:t>
        </w:r>
      </w:hyperlink>
      <w:r>
        <w:t xml:space="preserve">, ff. 2, 3; </w:t>
      </w:r>
      <w:hyperlink w:anchor="AUTO_2016_85" w:history="1">
        <w:r w:rsidRPr="0057104C">
          <w:rPr>
            <w:rStyle w:val="TextoNormalCaracter"/>
          </w:rPr>
          <w:t>85/2016</w:t>
        </w:r>
      </w:hyperlink>
      <w:r>
        <w:t xml:space="preserve">, ff. 2, 3; </w:t>
      </w:r>
      <w:hyperlink w:anchor="AUTO_2016_86" w:history="1">
        <w:r w:rsidRPr="0057104C">
          <w:rPr>
            <w:rStyle w:val="TextoNormalCaracter"/>
          </w:rPr>
          <w:t>86/2016</w:t>
        </w:r>
      </w:hyperlink>
      <w:r>
        <w:t xml:space="preserve">, ff. 4, 5; </w:t>
      </w:r>
      <w:hyperlink w:anchor="AUTO_2016_87" w:history="1">
        <w:r w:rsidRPr="0057104C">
          <w:rPr>
            <w:rStyle w:val="TextoNormalCaracter"/>
          </w:rPr>
          <w:t>87/2016</w:t>
        </w:r>
      </w:hyperlink>
      <w:r>
        <w:t xml:space="preserve">, ff. 2, 3; </w:t>
      </w:r>
      <w:hyperlink w:anchor="AUTO_2016_88" w:history="1">
        <w:r w:rsidRPr="0057104C">
          <w:rPr>
            <w:rStyle w:val="TextoNormalCaracter"/>
          </w:rPr>
          <w:t>88/2016</w:t>
        </w:r>
      </w:hyperlink>
      <w:r>
        <w:t>, ff. 2, 3.</w:t>
      </w:r>
    </w:p>
    <w:p w:rsidR="0057104C" w:rsidRDefault="0057104C" w:rsidP="0057104C">
      <w:pPr>
        <w:pStyle w:val="SangriaFrancesaArticulo"/>
      </w:pPr>
      <w:r w:rsidRPr="0057104C">
        <w:rPr>
          <w:rStyle w:val="TextoNormalNegritaCaracter"/>
        </w:rPr>
        <w:t>Artículo 276.</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280.1.</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p>
    <w:p w:rsidR="0057104C" w:rsidRDefault="0057104C" w:rsidP="0057104C">
      <w:pPr>
        <w:pStyle w:val="TextoNormalNegritaCursivandice"/>
      </w:pPr>
      <w:r>
        <w:t>Real Decreto Legislativo 1/1993, de 24 de septiembre. Texto refundido de la Ley del impuesto sobre transmisiones patrimoniales y actos jurídicos documentados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3" w:history="1">
        <w:r w:rsidRPr="0057104C">
          <w:rPr>
            <w:rStyle w:val="TextoNormalCaracter"/>
          </w:rPr>
          <w:t>33/2016</w:t>
        </w:r>
      </w:hyperlink>
      <w:r>
        <w:t>, f. 5.</w:t>
      </w:r>
    </w:p>
    <w:p w:rsidR="0057104C" w:rsidRDefault="0057104C" w:rsidP="0057104C">
      <w:pPr>
        <w:pStyle w:val="SangriaFrancesaArticulo"/>
      </w:pPr>
      <w:r w:rsidRPr="0057104C">
        <w:rPr>
          <w:rStyle w:val="TextoNormalNegritaCaracter"/>
        </w:rPr>
        <w:t>Artículo 46.2.</w:t>
      </w:r>
      <w:r w:rsidRPr="0057104C">
        <w:rPr>
          <w:rStyle w:val="TextoNormalCaracter"/>
        </w:rPr>
        <w:t>-</w:t>
      </w:r>
      <w:r>
        <w:t xml:space="preserve"> Sentencias </w:t>
      </w:r>
      <w:hyperlink w:anchor="SENTENCIA_2016_25" w:history="1">
        <w:r w:rsidRPr="0057104C">
          <w:rPr>
            <w:rStyle w:val="TextoNormalCaracter"/>
          </w:rPr>
          <w:t>25/2016</w:t>
        </w:r>
      </w:hyperlink>
      <w:r>
        <w:t xml:space="preserve">, f. 3; </w:t>
      </w:r>
      <w:hyperlink w:anchor="SENTENCIA_2016_33" w:history="1">
        <w:r w:rsidRPr="0057104C">
          <w:rPr>
            <w:rStyle w:val="TextoNormalCaracter"/>
          </w:rPr>
          <w:t>33/2016</w:t>
        </w:r>
      </w:hyperlink>
      <w:r>
        <w:t>, ff. 4, 5.</w:t>
      </w:r>
    </w:p>
    <w:p w:rsidR="0057104C" w:rsidRDefault="0057104C" w:rsidP="0057104C">
      <w:pPr>
        <w:pStyle w:val="SangriaFrancesaArticulo"/>
      </w:pPr>
    </w:p>
    <w:p w:rsidR="0057104C" w:rsidRDefault="0057104C" w:rsidP="0057104C">
      <w:pPr>
        <w:pStyle w:val="TextoNormalNegritaCursivandice"/>
      </w:pPr>
      <w:r>
        <w:t>Real Decreto Legislativo 1/1994, de 20 de junio. Texto refundido de la Ley general de la Seguridad Social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 2.</w:t>
      </w:r>
    </w:p>
    <w:p w:rsidR="0057104C" w:rsidRDefault="0057104C" w:rsidP="0057104C">
      <w:pPr>
        <w:pStyle w:val="SangriaFrancesaArticulo"/>
      </w:pPr>
      <w:r w:rsidRPr="0057104C">
        <w:rPr>
          <w:rStyle w:val="TextoNormalNegritaCaracter"/>
        </w:rPr>
        <w:t>Artículo 57.</w:t>
      </w:r>
      <w:r w:rsidRPr="0057104C">
        <w:rPr>
          <w:rStyle w:val="TextoNormalCaracter"/>
        </w:rPr>
        <w:t>-</w:t>
      </w:r>
      <w:r>
        <w:t xml:space="preserve"> Sentencia </w:t>
      </w:r>
      <w:hyperlink w:anchor="SENTENCIA_2016_73" w:history="1">
        <w:r w:rsidRPr="0057104C">
          <w:rPr>
            <w:rStyle w:val="TextoNormalCaracter"/>
          </w:rPr>
          <w:t>73/2016</w:t>
        </w:r>
      </w:hyperlink>
      <w:r>
        <w:t>, f. 3.</w:t>
      </w:r>
    </w:p>
    <w:p w:rsidR="0057104C" w:rsidRDefault="0057104C" w:rsidP="0057104C">
      <w:pPr>
        <w:pStyle w:val="SangriaFrancesaArticulo"/>
      </w:pPr>
      <w:r w:rsidRPr="0057104C">
        <w:rPr>
          <w:rStyle w:val="TextoNormalNegritaCaracter"/>
        </w:rPr>
        <w:t>Artículo 64.</w:t>
      </w:r>
      <w:r w:rsidRPr="0057104C">
        <w:rPr>
          <w:rStyle w:val="TextoNormalCaracter"/>
        </w:rPr>
        <w:t>-</w:t>
      </w:r>
      <w:r>
        <w:t xml:space="preserve"> Sentencia </w:t>
      </w:r>
      <w:hyperlink w:anchor="SENTENCIA_2016_73" w:history="1">
        <w:r w:rsidRPr="0057104C">
          <w:rPr>
            <w:rStyle w:val="TextoNormalCaracter"/>
          </w:rPr>
          <w:t>73/2016</w:t>
        </w:r>
      </w:hyperlink>
      <w:r>
        <w:t>, f. 3.</w:t>
      </w:r>
    </w:p>
    <w:p w:rsidR="0057104C" w:rsidRDefault="0057104C" w:rsidP="0057104C">
      <w:pPr>
        <w:pStyle w:val="SangriaFrancesaArticulo"/>
      </w:pPr>
      <w:r w:rsidRPr="0057104C">
        <w:rPr>
          <w:rStyle w:val="TextoNormalNegritaCaracter"/>
        </w:rPr>
        <w:t>Artículo 80.1.</w:t>
      </w:r>
      <w:r w:rsidRPr="0057104C">
        <w:rPr>
          <w:rStyle w:val="TextoNormalCaracter"/>
        </w:rPr>
        <w:t>-</w:t>
      </w:r>
      <w:r>
        <w:t xml:space="preserve"> Sentencia </w:t>
      </w:r>
      <w:hyperlink w:anchor="SENTENCIA_2016_73" w:history="1">
        <w:r w:rsidRPr="0057104C">
          <w:rPr>
            <w:rStyle w:val="TextoNormalCaracter"/>
          </w:rPr>
          <w:t>73/2016</w:t>
        </w:r>
      </w:hyperlink>
      <w:r>
        <w:t>, f. 3.</w:t>
      </w:r>
    </w:p>
    <w:p w:rsidR="0057104C" w:rsidRDefault="0057104C" w:rsidP="0057104C">
      <w:pPr>
        <w:pStyle w:val="SangriaFrancesaArticulo"/>
      </w:pPr>
      <w:r w:rsidRPr="0057104C">
        <w:rPr>
          <w:rStyle w:val="TextoNormalNegritaCaracter"/>
        </w:rPr>
        <w:t>Artículo 81.</w:t>
      </w:r>
      <w:r w:rsidRPr="0057104C">
        <w:rPr>
          <w:rStyle w:val="TextoNormalCaracter"/>
        </w:rPr>
        <w:t>-</w:t>
      </w:r>
      <w:r>
        <w:t xml:space="preserve"> Sentencia </w:t>
      </w:r>
      <w:hyperlink w:anchor="SENTENCIA_2016_73" w:history="1">
        <w:r w:rsidRPr="0057104C">
          <w:rPr>
            <w:rStyle w:val="TextoNormalCaracter"/>
          </w:rPr>
          <w:t>73/2016</w:t>
        </w:r>
      </w:hyperlink>
      <w:r>
        <w:t>, f. 3.</w:t>
      </w:r>
    </w:p>
    <w:p w:rsidR="0057104C" w:rsidRDefault="0057104C" w:rsidP="0057104C">
      <w:pPr>
        <w:pStyle w:val="SangriaFrancesaArticulo"/>
      </w:pPr>
      <w:r w:rsidRPr="0057104C">
        <w:rPr>
          <w:rStyle w:val="TextoNormalNegritaCaracter"/>
        </w:rPr>
        <w:t>Artículo 174.1</w:t>
      </w:r>
      <w:r>
        <w:t xml:space="preserve"> (redactado por la Ley 50/1998, de 30 de diciembre)</w:t>
      </w:r>
      <w:r w:rsidRPr="0057104C">
        <w:rPr>
          <w:rStyle w:val="TextoNormalNegritaCaracter"/>
        </w:rPr>
        <w:t>.</w:t>
      </w:r>
      <w:r w:rsidRPr="0057104C">
        <w:rPr>
          <w:rStyle w:val="TextoNormalCaracter"/>
        </w:rPr>
        <w:t>-</w:t>
      </w:r>
      <w:r>
        <w:t xml:space="preserve"> Auto </w:t>
      </w:r>
      <w:hyperlink w:anchor="AUTO_2016_129" w:history="1">
        <w:r w:rsidRPr="0057104C">
          <w:rPr>
            <w:rStyle w:val="TextoNormalCaracter"/>
          </w:rPr>
          <w:t>129/2016</w:t>
        </w:r>
      </w:hyperlink>
      <w:r>
        <w:t>, f. 4, VP.</w:t>
      </w:r>
    </w:p>
    <w:p w:rsidR="0057104C" w:rsidRDefault="0057104C" w:rsidP="0057104C">
      <w:pPr>
        <w:pStyle w:val="SangriaFrancesaArticulo"/>
      </w:pPr>
      <w:r w:rsidRPr="0057104C">
        <w:rPr>
          <w:rStyle w:val="TextoNormalNegritaCaracter"/>
        </w:rPr>
        <w:t>Artículo 174.3.</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178.</w:t>
      </w:r>
      <w:r w:rsidRPr="0057104C">
        <w:rPr>
          <w:rStyle w:val="TextoNormalCaracter"/>
        </w:rPr>
        <w:t>-</w:t>
      </w:r>
      <w:r>
        <w:t xml:space="preserve"> Auto </w:t>
      </w:r>
      <w:hyperlink w:anchor="AUTO_2016_129" w:history="1">
        <w:r w:rsidRPr="0057104C">
          <w:rPr>
            <w:rStyle w:val="TextoNormalCaracter"/>
          </w:rPr>
          <w:t>129/2016</w:t>
        </w:r>
      </w:hyperlink>
      <w:r>
        <w:t>, VP.</w:t>
      </w:r>
    </w:p>
    <w:p w:rsidR="0057104C" w:rsidRDefault="0057104C" w:rsidP="0057104C">
      <w:pPr>
        <w:pStyle w:val="SangriaFrancesaArticulo"/>
      </w:pPr>
      <w:r w:rsidRPr="0057104C">
        <w:rPr>
          <w:rStyle w:val="TextoNormalNegritaCaracter"/>
        </w:rPr>
        <w:t>Artículo 215.1.1 d).</w:t>
      </w:r>
      <w:r w:rsidRPr="0057104C">
        <w:rPr>
          <w:rStyle w:val="TextoNormalCaracter"/>
        </w:rPr>
        <w:t>-</w:t>
      </w:r>
      <w:r>
        <w:t xml:space="preserve"> Sentencia </w:t>
      </w:r>
      <w:hyperlink w:anchor="SENTENCIA_2016_123" w:history="1">
        <w:r w:rsidRPr="0057104C">
          <w:rPr>
            <w:rStyle w:val="TextoNormalCaracter"/>
          </w:rPr>
          <w:t>123/2016</w:t>
        </w:r>
      </w:hyperlink>
      <w:r>
        <w:t>, ff. 1, 4.</w:t>
      </w:r>
    </w:p>
    <w:p w:rsidR="0057104C" w:rsidRDefault="0057104C" w:rsidP="0057104C">
      <w:pPr>
        <w:pStyle w:val="SangriaFrancesaArticulo"/>
      </w:pPr>
      <w:r w:rsidRPr="0057104C">
        <w:rPr>
          <w:rStyle w:val="TextoNormalNegritaCaracter"/>
        </w:rPr>
        <w:t>Disposición adicional sexagésima sexta, apartado 1.</w:t>
      </w:r>
      <w:r w:rsidRPr="0057104C">
        <w:rPr>
          <w:rStyle w:val="TextoNormalCaracter"/>
        </w:rPr>
        <w:t>-</w:t>
      </w:r>
      <w:r>
        <w:t xml:space="preserve"> Sentencia </w:t>
      </w:r>
      <w:hyperlink w:anchor="SENTENCIA_2016_123" w:history="1">
        <w:r w:rsidRPr="0057104C">
          <w:rPr>
            <w:rStyle w:val="TextoNormalCaracter"/>
          </w:rPr>
          <w:t>123/2016</w:t>
        </w:r>
      </w:hyperlink>
      <w:r>
        <w:t>, ff. 1, 4.</w:t>
      </w:r>
    </w:p>
    <w:p w:rsidR="0057104C" w:rsidRDefault="0057104C" w:rsidP="0057104C">
      <w:pPr>
        <w:pStyle w:val="SangriaFrancesaArticulo"/>
      </w:pPr>
    </w:p>
    <w:p w:rsidR="0057104C" w:rsidRDefault="0057104C" w:rsidP="0057104C">
      <w:pPr>
        <w:pStyle w:val="TextoNormalNegritaCursivandice"/>
      </w:pPr>
      <w:r>
        <w:t>Real Decreto Legislativo 1/1995, de 24 de marzo. Texto refundido de la Ley del estatuto de los trabajadores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9" w:history="1">
        <w:r w:rsidRPr="0057104C">
          <w:rPr>
            <w:rStyle w:val="TextoNormalCaracter"/>
          </w:rPr>
          <w:t>119/2016</w:t>
        </w:r>
      </w:hyperlink>
      <w:r>
        <w:t>, f. 4.</w:t>
      </w:r>
    </w:p>
    <w:p w:rsidR="0057104C" w:rsidRDefault="0057104C" w:rsidP="0057104C">
      <w:pPr>
        <w:pStyle w:val="SangriaFrancesaArticulo"/>
      </w:pPr>
      <w:r w:rsidRPr="0057104C">
        <w:rPr>
          <w:rStyle w:val="TextoNormalNegritaCaracter"/>
        </w:rPr>
        <w:t>Artículo 20.3.</w:t>
      </w:r>
      <w:r w:rsidRPr="0057104C">
        <w:rPr>
          <w:rStyle w:val="TextoNormalCaracter"/>
        </w:rPr>
        <w:t>-</w:t>
      </w:r>
      <w:r>
        <w:t xml:space="preserve"> Sentencia </w:t>
      </w:r>
      <w:hyperlink w:anchor="SENTENCIA_2016_39" w:history="1">
        <w:r w:rsidRPr="0057104C">
          <w:rPr>
            <w:rStyle w:val="TextoNormalCaracter"/>
          </w:rPr>
          <w:t>39/2016</w:t>
        </w:r>
      </w:hyperlink>
      <w:r>
        <w:t>, ff. 4, 5, VPI.</w:t>
      </w:r>
    </w:p>
    <w:p w:rsidR="0057104C" w:rsidRDefault="0057104C" w:rsidP="0057104C">
      <w:pPr>
        <w:pStyle w:val="SangriaFrancesaArticulo"/>
      </w:pPr>
    </w:p>
    <w:p w:rsidR="0057104C" w:rsidRDefault="0057104C" w:rsidP="0057104C">
      <w:pPr>
        <w:pStyle w:val="TextoNormalNegritaCursivandice"/>
      </w:pPr>
      <w:r>
        <w:t>Real Decreto Legislativo 5/2000, de 4 de agosto. Texto refundido de la Ley sobre infracciones y sanciones en el orden social</w:t>
      </w:r>
    </w:p>
    <w:p w:rsidR="0057104C" w:rsidRDefault="0057104C" w:rsidP="0057104C">
      <w:pPr>
        <w:pStyle w:val="SangriaFrancesaArticulo"/>
      </w:pPr>
      <w:r w:rsidRPr="0057104C">
        <w:rPr>
          <w:rStyle w:val="TextoNormalNegritaCaracter"/>
        </w:rPr>
        <w:t>Artículo 24.4 a).</w:t>
      </w:r>
      <w:r w:rsidRPr="0057104C">
        <w:rPr>
          <w:rStyle w:val="TextoNormalCaracter"/>
        </w:rPr>
        <w:t>-</w:t>
      </w:r>
      <w:r>
        <w:t xml:space="preserve"> Sentencia </w:t>
      </w:r>
      <w:hyperlink w:anchor="SENTENCIA_2016_21" w:history="1">
        <w:r w:rsidRPr="0057104C">
          <w:rPr>
            <w:rStyle w:val="TextoNormalCaracter"/>
          </w:rPr>
          <w:t>21/2016</w:t>
        </w:r>
      </w:hyperlink>
      <w:r>
        <w:t>, f. 3.</w:t>
      </w:r>
    </w:p>
    <w:p w:rsidR="0057104C" w:rsidRDefault="0057104C" w:rsidP="0057104C">
      <w:pPr>
        <w:pStyle w:val="SangriaFrancesaArticulo"/>
      </w:pPr>
      <w:r w:rsidRPr="0057104C">
        <w:rPr>
          <w:rStyle w:val="TextoNormalNegritaCaracter"/>
        </w:rPr>
        <w:t>Artículo 24.4 b).</w:t>
      </w:r>
      <w:r w:rsidRPr="0057104C">
        <w:rPr>
          <w:rStyle w:val="TextoNormalCaracter"/>
        </w:rPr>
        <w:t>-</w:t>
      </w:r>
      <w:r>
        <w:t xml:space="preserve"> Sentencia </w:t>
      </w:r>
      <w:hyperlink w:anchor="SENTENCIA_2016_21" w:history="1">
        <w:r w:rsidRPr="0057104C">
          <w:rPr>
            <w:rStyle w:val="TextoNormalCaracter"/>
          </w:rPr>
          <w:t>21/2016</w:t>
        </w:r>
      </w:hyperlink>
      <w:r>
        <w:t>, f. 3.</w:t>
      </w:r>
    </w:p>
    <w:p w:rsidR="0057104C" w:rsidRDefault="0057104C" w:rsidP="0057104C">
      <w:pPr>
        <w:pStyle w:val="SangriaFrancesaArticulo"/>
      </w:pPr>
      <w:r w:rsidRPr="0057104C">
        <w:rPr>
          <w:rStyle w:val="TextoNormalNegritaCaracter"/>
        </w:rPr>
        <w:t>Artículo 48.1</w:t>
      </w:r>
      <w:r>
        <w:t xml:space="preserve"> (redactado por la Ley 23/2015, de 21 de julio)</w:t>
      </w:r>
      <w:r w:rsidRPr="0057104C">
        <w:rPr>
          <w:rStyle w:val="TextoNormalNegritaCaracter"/>
        </w:rPr>
        <w:t>.</w:t>
      </w:r>
      <w:r w:rsidRPr="0057104C">
        <w:rPr>
          <w:rStyle w:val="TextoNormalCaracter"/>
        </w:rPr>
        <w:t>-</w:t>
      </w:r>
      <w:r>
        <w:t xml:space="preserve"> Sentencia </w:t>
      </w:r>
      <w:hyperlink w:anchor="SENTENCIA_2016_21" w:history="1">
        <w:r w:rsidRPr="0057104C">
          <w:rPr>
            <w:rStyle w:val="TextoNormalCaracter"/>
          </w:rPr>
          <w:t>21/2016</w:t>
        </w:r>
      </w:hyperlink>
      <w:r>
        <w:t>, ff. 1, 3.</w:t>
      </w:r>
    </w:p>
    <w:p w:rsidR="0057104C" w:rsidRDefault="0057104C" w:rsidP="0057104C">
      <w:pPr>
        <w:pStyle w:val="SangriaFrancesaArticulo"/>
      </w:pPr>
      <w:r w:rsidRPr="0057104C">
        <w:rPr>
          <w:rStyle w:val="TextoNormalNegritaCaracter"/>
        </w:rPr>
        <w:t>Artículo 48.5</w:t>
      </w:r>
      <w:r>
        <w:t xml:space="preserve"> (redactado por la Ley 1/2014, de 28 de febrero)</w:t>
      </w:r>
      <w:r w:rsidRPr="0057104C">
        <w:rPr>
          <w:rStyle w:val="TextoNormalNegritaCaracter"/>
        </w:rPr>
        <w:t>.</w:t>
      </w:r>
      <w:r w:rsidRPr="0057104C">
        <w:rPr>
          <w:rStyle w:val="TextoNormalCaracter"/>
        </w:rPr>
        <w:t>-</w:t>
      </w:r>
      <w:r>
        <w:t xml:space="preserve"> Sentencia </w:t>
      </w:r>
      <w:hyperlink w:anchor="SENTENCIA_2016_21" w:history="1">
        <w:r w:rsidRPr="0057104C">
          <w:rPr>
            <w:rStyle w:val="TextoNormalCaracter"/>
          </w:rPr>
          <w:t>21/2016</w:t>
        </w:r>
      </w:hyperlink>
      <w:r>
        <w:t>, f. 3.</w:t>
      </w:r>
    </w:p>
    <w:p w:rsidR="0057104C" w:rsidRDefault="0057104C" w:rsidP="0057104C">
      <w:pPr>
        <w:pStyle w:val="SangriaFrancesaArticulo"/>
      </w:pPr>
    </w:p>
    <w:p w:rsidR="0057104C" w:rsidRDefault="0057104C" w:rsidP="0057104C">
      <w:pPr>
        <w:pStyle w:val="TextoNormalNegritaCursivandice"/>
      </w:pPr>
      <w:r>
        <w:t>Real Decreto Legislativo 2/2004, de 5 de marzo. Texto refundido de la Ley reguladora de las haciendas locales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En general</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41" w:history="1">
        <w:r w:rsidRPr="0057104C">
          <w:rPr>
            <w:rStyle w:val="TextoNormalCaracter"/>
          </w:rPr>
          <w:t>41/2016</w:t>
        </w:r>
      </w:hyperlink>
      <w:r>
        <w:t>, f. 2.</w:t>
      </w:r>
    </w:p>
    <w:p w:rsidR="0057104C" w:rsidRDefault="0057104C" w:rsidP="0057104C">
      <w:pPr>
        <w:pStyle w:val="SangriaFrancesaArticulo"/>
      </w:pPr>
      <w:r w:rsidRPr="0057104C">
        <w:rPr>
          <w:rStyle w:val="TextoNormalNegritaCaracter"/>
        </w:rPr>
        <w:t>Artículo 53.</w:t>
      </w:r>
      <w:r w:rsidRPr="0057104C">
        <w:rPr>
          <w:rStyle w:val="TextoNormalCaracter"/>
        </w:rPr>
        <w:t>-</w:t>
      </w:r>
      <w:r>
        <w:t xml:space="preserve"> Sentencia </w:t>
      </w:r>
      <w:hyperlink w:anchor="SENTENCIA_2016_111" w:history="1">
        <w:r w:rsidRPr="0057104C">
          <w:rPr>
            <w:rStyle w:val="TextoNormalCaracter"/>
          </w:rPr>
          <w:t>111/2016</w:t>
        </w:r>
      </w:hyperlink>
      <w:r>
        <w:t>, VP.</w:t>
      </w:r>
    </w:p>
    <w:p w:rsidR="0057104C" w:rsidRDefault="0057104C" w:rsidP="0057104C">
      <w:pPr>
        <w:pStyle w:val="SangriaFrancesaArticulo"/>
      </w:pPr>
      <w:r w:rsidRPr="0057104C">
        <w:rPr>
          <w:rStyle w:val="TextoNormalNegritaCaracter"/>
        </w:rPr>
        <w:t>Artículo 53.1.</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124.1 a).</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124.1 b).</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124.1 e).</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162.</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163.</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168.4.</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169.2.</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169.6.</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203.1 a).</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210.</w:t>
      </w:r>
      <w:r w:rsidRPr="0057104C">
        <w:rPr>
          <w:rStyle w:val="TextoNormalCaracter"/>
        </w:rPr>
        <w:t>-</w:t>
      </w:r>
      <w:r>
        <w:t xml:space="preserve"> Sentencia </w:t>
      </w:r>
      <w:hyperlink w:anchor="SENTENCIA_2016_41" w:history="1">
        <w:r w:rsidRPr="0057104C">
          <w:rPr>
            <w:rStyle w:val="TextoNormalCaracter"/>
          </w:rPr>
          <w:t>41/2016</w:t>
        </w:r>
      </w:hyperlink>
      <w:r>
        <w:t>, f. 6.</w:t>
      </w:r>
    </w:p>
    <w:p w:rsidR="0057104C" w:rsidRDefault="0057104C" w:rsidP="0057104C">
      <w:pPr>
        <w:pStyle w:val="SangriaFrancesaArticulo"/>
      </w:pPr>
      <w:r w:rsidRPr="0057104C">
        <w:rPr>
          <w:rStyle w:val="TextoNormalNegritaCaracter"/>
        </w:rPr>
        <w:t>Artículo 213</w:t>
      </w:r>
      <w:r>
        <w:t xml:space="preserve"> (redactado por la Ley 27/2013, de 27 de diciembre)</w:t>
      </w:r>
      <w:r w:rsidRPr="0057104C">
        <w:rPr>
          <w:rStyle w:val="TextoNormalNegritaCaracter"/>
        </w:rPr>
        <w:t>.</w:t>
      </w:r>
      <w:r w:rsidRPr="0057104C">
        <w:rPr>
          <w:rStyle w:val="TextoNormalCaracter"/>
        </w:rPr>
        <w:t>-</w:t>
      </w:r>
      <w:r>
        <w:t xml:space="preserve"> Sentencia </w:t>
      </w:r>
      <w:hyperlink w:anchor="SENTENCIA_2016_111" w:history="1">
        <w:r w:rsidRPr="0057104C">
          <w:rPr>
            <w:rStyle w:val="TextoNormalCaracter"/>
          </w:rPr>
          <w:t>111/2016</w:t>
        </w:r>
      </w:hyperlink>
      <w:r>
        <w:t>, ff. 3, 5.</w:t>
      </w:r>
    </w:p>
    <w:p w:rsidR="0057104C" w:rsidRDefault="0057104C" w:rsidP="0057104C">
      <w:pPr>
        <w:pStyle w:val="SangriaFrancesaArticulo"/>
      </w:pPr>
      <w:r w:rsidRPr="0057104C">
        <w:rPr>
          <w:rStyle w:val="TextoNormalNegritaCaracter"/>
        </w:rPr>
        <w:t>Artículo 213 párrafo 2.</w:t>
      </w:r>
      <w:r w:rsidRPr="0057104C">
        <w:rPr>
          <w:rStyle w:val="TextoNormalCaracter"/>
        </w:rPr>
        <w:t>-</w:t>
      </w:r>
      <w:r>
        <w:t xml:space="preserve"> Sentencia </w:t>
      </w:r>
      <w:hyperlink w:anchor="SENTENCIA_2016_111" w:history="1">
        <w:r w:rsidRPr="0057104C">
          <w:rPr>
            <w:rStyle w:val="TextoNormalCaracter"/>
          </w:rPr>
          <w:t>111/2016</w:t>
        </w:r>
      </w:hyperlink>
      <w:r>
        <w:t>, f. 5.</w:t>
      </w:r>
    </w:p>
    <w:p w:rsidR="0057104C" w:rsidRDefault="0057104C" w:rsidP="0057104C">
      <w:pPr>
        <w:pStyle w:val="SangriaFrancesaArticulo"/>
      </w:pPr>
      <w:r w:rsidRPr="0057104C">
        <w:rPr>
          <w:rStyle w:val="TextoNormalNegritaCaracter"/>
        </w:rPr>
        <w:t>Artículo 213 párrafo 3.</w:t>
      </w:r>
      <w:r w:rsidRPr="0057104C">
        <w:rPr>
          <w:rStyle w:val="TextoNormalCaracter"/>
        </w:rPr>
        <w:t>-</w:t>
      </w:r>
      <w:r>
        <w:t xml:space="preserve"> Sentencia </w:t>
      </w:r>
      <w:hyperlink w:anchor="SENTENCIA_2016_111" w:history="1">
        <w:r w:rsidRPr="0057104C">
          <w:rPr>
            <w:rStyle w:val="TextoNormalCaracter"/>
          </w:rPr>
          <w:t>111/2016</w:t>
        </w:r>
      </w:hyperlink>
      <w:r>
        <w:t>, f. 5.</w:t>
      </w:r>
    </w:p>
    <w:p w:rsidR="0057104C" w:rsidRDefault="0057104C" w:rsidP="0057104C">
      <w:pPr>
        <w:pStyle w:val="SangriaFrancesaArticulo"/>
      </w:pPr>
      <w:r w:rsidRPr="0057104C">
        <w:rPr>
          <w:rStyle w:val="TextoNormalNegritaCaracter"/>
        </w:rPr>
        <w:t>Artículo 214.1.</w:t>
      </w:r>
      <w:r w:rsidRPr="0057104C">
        <w:rPr>
          <w:rStyle w:val="TextoNormalCaracter"/>
        </w:rPr>
        <w:t>-</w:t>
      </w:r>
      <w:r>
        <w:t xml:space="preserve"> Sentencia </w:t>
      </w:r>
      <w:hyperlink w:anchor="SENTENCIA_2016_111" w:history="1">
        <w:r w:rsidRPr="0057104C">
          <w:rPr>
            <w:rStyle w:val="TextoNormalCaracter"/>
          </w:rPr>
          <w:t>111/2016</w:t>
        </w:r>
      </w:hyperlink>
      <w:r>
        <w:t>, f. 5.</w:t>
      </w:r>
    </w:p>
    <w:p w:rsidR="0057104C" w:rsidRDefault="0057104C" w:rsidP="0057104C">
      <w:pPr>
        <w:pStyle w:val="SangriaFrancesaArticulo"/>
      </w:pPr>
      <w:r w:rsidRPr="0057104C">
        <w:rPr>
          <w:rStyle w:val="TextoNormalNegritaCaracter"/>
        </w:rPr>
        <w:t>Artículo 220.</w:t>
      </w:r>
      <w:r w:rsidRPr="0057104C">
        <w:rPr>
          <w:rStyle w:val="TextoNormalCaracter"/>
        </w:rPr>
        <w:t>-</w:t>
      </w:r>
      <w:r>
        <w:t xml:space="preserve"> Sentencia </w:t>
      </w:r>
      <w:hyperlink w:anchor="SENTENCIA_2016_111" w:history="1">
        <w:r w:rsidRPr="0057104C">
          <w:rPr>
            <w:rStyle w:val="TextoNormalCaracter"/>
          </w:rPr>
          <w:t>111/2016</w:t>
        </w:r>
      </w:hyperlink>
      <w:r>
        <w:t>, f. 5.</w:t>
      </w:r>
    </w:p>
    <w:p w:rsidR="0057104C" w:rsidRDefault="0057104C" w:rsidP="0057104C">
      <w:pPr>
        <w:pStyle w:val="SangriaFrancesaArticulo"/>
      </w:pPr>
      <w:r w:rsidRPr="0057104C">
        <w:rPr>
          <w:rStyle w:val="TextoNormalNegritaCaracter"/>
        </w:rPr>
        <w:t>Artículo 221.</w:t>
      </w:r>
      <w:r w:rsidRPr="0057104C">
        <w:rPr>
          <w:rStyle w:val="TextoNormalCaracter"/>
        </w:rPr>
        <w:t>-</w:t>
      </w:r>
      <w:r>
        <w:t xml:space="preserve"> Sentencia </w:t>
      </w:r>
      <w:hyperlink w:anchor="SENTENCIA_2016_111" w:history="1">
        <w:r w:rsidRPr="0057104C">
          <w:rPr>
            <w:rStyle w:val="TextoNormalCaracter"/>
          </w:rPr>
          <w:t>111/2016</w:t>
        </w:r>
      </w:hyperlink>
      <w:r>
        <w:t>, f. 5.</w:t>
      </w:r>
    </w:p>
    <w:p w:rsidR="0057104C" w:rsidRDefault="0057104C" w:rsidP="0057104C">
      <w:pPr>
        <w:pStyle w:val="SangriaFrancesaArticulo"/>
      </w:pPr>
      <w:r w:rsidRPr="0057104C">
        <w:rPr>
          <w:rStyle w:val="TextoNormalNegritaCaracter"/>
        </w:rPr>
        <w:t>Artículo 223.</w:t>
      </w:r>
      <w:r w:rsidRPr="0057104C">
        <w:rPr>
          <w:rStyle w:val="TextoNormalCaracter"/>
        </w:rPr>
        <w:t>-</w:t>
      </w:r>
      <w:r>
        <w:t xml:space="preserve"> Sentencia </w:t>
      </w:r>
      <w:hyperlink w:anchor="SENTENCIA_2016_111" w:history="1">
        <w:r w:rsidRPr="0057104C">
          <w:rPr>
            <w:rStyle w:val="TextoNormalCaracter"/>
          </w:rPr>
          <w:t>111/2016</w:t>
        </w:r>
      </w:hyperlink>
      <w:r>
        <w:t>, f. 5.</w:t>
      </w:r>
    </w:p>
    <w:p w:rsidR="0057104C" w:rsidRDefault="0057104C" w:rsidP="0057104C">
      <w:pPr>
        <w:pStyle w:val="SangriaFrancesaArticulo"/>
      </w:pPr>
      <w:r w:rsidRPr="0057104C">
        <w:rPr>
          <w:rStyle w:val="TextoNormalNegritaCaracter"/>
        </w:rPr>
        <w:t>Disposición adicional cuarta.</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Disposición adicional decimoquinta</w:t>
      </w:r>
      <w:r>
        <w:t xml:space="preserve"> (redactada por la Ley 27/2013, de 27 de diciembre)</w:t>
      </w:r>
      <w:r w:rsidRPr="0057104C">
        <w:rPr>
          <w:rStyle w:val="TextoNormalNegritaCaracter"/>
        </w:rPr>
        <w:t>.</w:t>
      </w:r>
      <w:r w:rsidRPr="0057104C">
        <w:rPr>
          <w:rStyle w:val="TextoNormalCaracter"/>
        </w:rPr>
        <w:t>-</w:t>
      </w:r>
      <w:r>
        <w:t xml:space="preserve"> Sentencias </w:t>
      </w:r>
      <w:hyperlink w:anchor="SENTENCIA_2016_41" w:history="1">
        <w:r w:rsidRPr="0057104C">
          <w:rPr>
            <w:rStyle w:val="TextoNormalCaracter"/>
          </w:rPr>
          <w:t>41/2016</w:t>
        </w:r>
      </w:hyperlink>
      <w:r>
        <w:t xml:space="preserve">, f. 8; </w:t>
      </w:r>
      <w:hyperlink w:anchor="SENTENCIA_2016_111" w:history="1">
        <w:r w:rsidRPr="0057104C">
          <w:rPr>
            <w:rStyle w:val="TextoNormalCaracter"/>
          </w:rPr>
          <w:t>111/2016</w:t>
        </w:r>
      </w:hyperlink>
      <w:r>
        <w:t>, f. 12.</w:t>
      </w:r>
    </w:p>
    <w:p w:rsidR="0057104C" w:rsidRDefault="0057104C" w:rsidP="0057104C">
      <w:pPr>
        <w:pStyle w:val="SangriaFrancesaArticulo"/>
      </w:pPr>
    </w:p>
    <w:p w:rsidR="0057104C" w:rsidRDefault="0057104C" w:rsidP="0057104C">
      <w:pPr>
        <w:pStyle w:val="TextoNormalNegritaCursivandice"/>
      </w:pPr>
      <w:r>
        <w:t>Real Decreto Legislativo 3/2004, de 5 de marzo. Texto refundido de la Ley del impuesto sobre la renta de las personas físicas</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 </w:t>
      </w:r>
      <w:hyperlink w:anchor="SENTENCIA_2016_121" w:history="1">
        <w:r w:rsidRPr="0057104C">
          <w:rPr>
            <w:rStyle w:val="TextoNormalCaracter"/>
          </w:rPr>
          <w:t>121/2016</w:t>
        </w:r>
      </w:hyperlink>
      <w:r>
        <w:t>, f. 2.</w:t>
      </w:r>
    </w:p>
    <w:p w:rsidR="0057104C" w:rsidRDefault="0057104C" w:rsidP="0057104C">
      <w:pPr>
        <w:pStyle w:val="SangriaFrancesaArticulo"/>
      </w:pPr>
    </w:p>
    <w:p w:rsidR="0057104C" w:rsidRDefault="0057104C" w:rsidP="0057104C">
      <w:pPr>
        <w:pStyle w:val="TextoNormalNegritaCursivandice"/>
      </w:pPr>
      <w:r>
        <w:t>Real Decreto Legislativo 1/2007, de 16 de noviembre. Texto refundido de la Ley general para la defensa de los consumidores y usuarios y otras leyes complementarias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2" w:history="1">
        <w:r w:rsidRPr="0057104C">
          <w:rPr>
            <w:rStyle w:val="TextoNormalCaracter"/>
          </w:rPr>
          <w:t>32/2016</w:t>
        </w:r>
      </w:hyperlink>
      <w:r>
        <w:t>, f. 2.</w:t>
      </w:r>
    </w:p>
    <w:p w:rsidR="0057104C" w:rsidRDefault="0057104C" w:rsidP="0057104C">
      <w:pPr>
        <w:pStyle w:val="SangriaFrancesaArticulo"/>
      </w:pPr>
      <w:r w:rsidRPr="0057104C">
        <w:rPr>
          <w:rStyle w:val="TextoNormalNegritaCaracter"/>
        </w:rPr>
        <w:t>Artículo 8 a).</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8 f).</w:t>
      </w:r>
      <w:r w:rsidRPr="0057104C">
        <w:rPr>
          <w:rStyle w:val="TextoNormalCaracter"/>
        </w:rPr>
        <w:t>-</w:t>
      </w:r>
      <w:r>
        <w:t xml:space="preserve"> Sentencia </w:t>
      </w:r>
      <w:hyperlink w:anchor="SENTENCIA_2016_62" w:history="1">
        <w:r w:rsidRPr="0057104C">
          <w:rPr>
            <w:rStyle w:val="TextoNormalCaracter"/>
          </w:rPr>
          <w:t>62/2016</w:t>
        </w:r>
      </w:hyperlink>
      <w:r>
        <w:t>, VP II.</w:t>
      </w:r>
    </w:p>
    <w:p w:rsidR="0057104C" w:rsidRDefault="0057104C" w:rsidP="0057104C">
      <w:pPr>
        <w:pStyle w:val="SangriaFrancesaArticulo"/>
      </w:pPr>
    </w:p>
    <w:p w:rsidR="0057104C" w:rsidRDefault="0057104C" w:rsidP="0057104C">
      <w:pPr>
        <w:pStyle w:val="TextoNormalNegritaCursivandice"/>
      </w:pPr>
      <w:r>
        <w:t>Real Decreto Legislativo 1/2008, de 11 de enero. Texto refundido de la Ley de evaluación de impacto ambiental de proyectos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 7.</w:t>
      </w:r>
    </w:p>
    <w:p w:rsidR="0057104C" w:rsidRDefault="0057104C" w:rsidP="0057104C">
      <w:pPr>
        <w:pStyle w:val="SangriaFrancesaArticulo"/>
      </w:pPr>
    </w:p>
    <w:p w:rsidR="0057104C" w:rsidRDefault="0057104C" w:rsidP="0057104C">
      <w:pPr>
        <w:pStyle w:val="TextoNormalNegritaCursivandice"/>
      </w:pPr>
      <w:r>
        <w:t>Real Decreto Legislativo 2/2008, de 20 de junio. Texto refundido de la Ley de suelo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70" w:history="1">
        <w:r w:rsidRPr="0057104C">
          <w:rPr>
            <w:rStyle w:val="TextoNormalCaracter"/>
          </w:rPr>
          <w:t>70/2016</w:t>
        </w:r>
      </w:hyperlink>
      <w:r>
        <w:t>, f. 2.</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9</w:t>
      </w:r>
      <w:r>
        <w:t xml:space="preserve"> (redactado por el Real Decreto Legislativo 7/2015, de 30 de octubre)</w:t>
      </w:r>
      <w:r w:rsidRPr="0057104C">
        <w:rPr>
          <w:rStyle w:val="TextoNormalNegritaCaracter"/>
        </w:rPr>
        <w:t>.</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Auto </w:t>
      </w:r>
      <w:hyperlink w:anchor="AUTO_2016_23" w:history="1">
        <w:r w:rsidRPr="0057104C">
          <w:rPr>
            <w:rStyle w:val="TextoNormalCaracter"/>
          </w:rPr>
          <w:t>23/2016</w:t>
        </w:r>
      </w:hyperlink>
      <w:r>
        <w:t>, f. 1.</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Auto </w:t>
      </w:r>
      <w:hyperlink w:anchor="AUTO_2016_23" w:history="1">
        <w:r w:rsidRPr="0057104C">
          <w:rPr>
            <w:rStyle w:val="TextoNormalCaracter"/>
          </w:rPr>
          <w:t>23/2016</w:t>
        </w:r>
      </w:hyperlink>
      <w:r>
        <w:t>, ff. 2, 3.</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Autos </w:t>
      </w:r>
      <w:hyperlink w:anchor="AUTO_2016_6" w:history="1">
        <w:r w:rsidRPr="0057104C">
          <w:rPr>
            <w:rStyle w:val="TextoNormalCaracter"/>
          </w:rPr>
          <w:t>6/2016</w:t>
        </w:r>
      </w:hyperlink>
      <w:r>
        <w:t xml:space="preserve">, ff. 1, 6; </w:t>
      </w:r>
      <w:hyperlink w:anchor="AUTO_2016_7" w:history="1">
        <w:r w:rsidRPr="0057104C">
          <w:rPr>
            <w:rStyle w:val="TextoNormalCaracter"/>
          </w:rPr>
          <w:t>7/2016</w:t>
        </w:r>
      </w:hyperlink>
      <w:r>
        <w:t xml:space="preserve">, ff. 1, 6; </w:t>
      </w:r>
      <w:hyperlink w:anchor="AUTO_2016_8" w:history="1">
        <w:r w:rsidRPr="0057104C">
          <w:rPr>
            <w:rStyle w:val="TextoNormalCaracter"/>
          </w:rPr>
          <w:t>8/2016</w:t>
        </w:r>
      </w:hyperlink>
      <w:r>
        <w:t xml:space="preserve">, ff. 1, 6; </w:t>
      </w:r>
      <w:hyperlink w:anchor="AUTO_2016_10" w:history="1">
        <w:r w:rsidRPr="0057104C">
          <w:rPr>
            <w:rStyle w:val="TextoNormalCaracter"/>
          </w:rPr>
          <w:t>10/2016</w:t>
        </w:r>
      </w:hyperlink>
      <w:r>
        <w:t xml:space="preserve">, ff. 1, 6; </w:t>
      </w:r>
      <w:hyperlink w:anchor="AUTO_2016_21" w:history="1">
        <w:r w:rsidRPr="0057104C">
          <w:rPr>
            <w:rStyle w:val="TextoNormalCaracter"/>
          </w:rPr>
          <w:t>21/2016</w:t>
        </w:r>
      </w:hyperlink>
      <w:r>
        <w:t xml:space="preserve">, ff. 1, 6; </w:t>
      </w:r>
      <w:hyperlink w:anchor="AUTO_2016_22" w:history="1">
        <w:r w:rsidRPr="0057104C">
          <w:rPr>
            <w:rStyle w:val="TextoNormalCaracter"/>
          </w:rPr>
          <w:t>22/2016</w:t>
        </w:r>
      </w:hyperlink>
      <w:r>
        <w:t xml:space="preserve">, ff. 1, 6; </w:t>
      </w:r>
      <w:hyperlink w:anchor="AUTO_2016_37" w:history="1">
        <w:r w:rsidRPr="0057104C">
          <w:rPr>
            <w:rStyle w:val="TextoNormalCaracter"/>
          </w:rPr>
          <w:t>37/2016</w:t>
        </w:r>
      </w:hyperlink>
      <w:r>
        <w:t xml:space="preserve">, ff. 1, 5; </w:t>
      </w:r>
      <w:hyperlink w:anchor="AUTO_2016_38" w:history="1">
        <w:r w:rsidRPr="0057104C">
          <w:rPr>
            <w:rStyle w:val="TextoNormalCaracter"/>
          </w:rPr>
          <w:t>38/2016</w:t>
        </w:r>
      </w:hyperlink>
      <w:r>
        <w:t xml:space="preserve">, ff. 1, 5; </w:t>
      </w:r>
      <w:hyperlink w:anchor="AUTO_2016_50" w:history="1">
        <w:r w:rsidRPr="0057104C">
          <w:rPr>
            <w:rStyle w:val="TextoNormalCaracter"/>
          </w:rPr>
          <w:t>50/2016</w:t>
        </w:r>
      </w:hyperlink>
      <w:r>
        <w:t xml:space="preserve">, ff. 1, 5; </w:t>
      </w:r>
      <w:hyperlink w:anchor="AUTO_2016_52" w:history="1">
        <w:r w:rsidRPr="0057104C">
          <w:rPr>
            <w:rStyle w:val="TextoNormalCaracter"/>
          </w:rPr>
          <w:t>52/2016</w:t>
        </w:r>
      </w:hyperlink>
      <w:r>
        <w:t xml:space="preserve">, ff. 1, 5; </w:t>
      </w:r>
      <w:hyperlink w:anchor="AUTO_2016_70" w:history="1">
        <w:r w:rsidRPr="0057104C">
          <w:rPr>
            <w:rStyle w:val="TextoNormalCaracter"/>
          </w:rPr>
          <w:t>70/2016</w:t>
        </w:r>
      </w:hyperlink>
      <w:r>
        <w:t>, ff. 1, 6.</w:t>
      </w:r>
    </w:p>
    <w:p w:rsidR="0057104C" w:rsidRDefault="0057104C" w:rsidP="0057104C">
      <w:pPr>
        <w:pStyle w:val="SangriaFrancesaArticulo"/>
      </w:pPr>
      <w:r w:rsidRPr="0057104C">
        <w:rPr>
          <w:rStyle w:val="TextoNormalNegritaCaracter"/>
        </w:rPr>
        <w:t>Artículo 14.1.</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23.</w:t>
      </w:r>
      <w:r w:rsidRPr="0057104C">
        <w:rPr>
          <w:rStyle w:val="TextoNormalCaracter"/>
        </w:rPr>
        <w:t>-</w:t>
      </w:r>
      <w:r>
        <w:t xml:space="preserve"> Autos </w:t>
      </w:r>
      <w:hyperlink w:anchor="AUTO_2016_6" w:history="1">
        <w:r w:rsidRPr="0057104C">
          <w:rPr>
            <w:rStyle w:val="TextoNormalCaracter"/>
          </w:rPr>
          <w:t>6/2016</w:t>
        </w:r>
      </w:hyperlink>
      <w:r>
        <w:t xml:space="preserve">, ff. 1, 4, 6; </w:t>
      </w:r>
      <w:hyperlink w:anchor="AUTO_2016_7" w:history="1">
        <w:r w:rsidRPr="0057104C">
          <w:rPr>
            <w:rStyle w:val="TextoNormalCaracter"/>
          </w:rPr>
          <w:t>7/2016</w:t>
        </w:r>
      </w:hyperlink>
      <w:r>
        <w:t xml:space="preserve">, ff. 1, 4, 6; </w:t>
      </w:r>
      <w:hyperlink w:anchor="AUTO_2016_8" w:history="1">
        <w:r w:rsidRPr="0057104C">
          <w:rPr>
            <w:rStyle w:val="TextoNormalCaracter"/>
          </w:rPr>
          <w:t>8/2016</w:t>
        </w:r>
      </w:hyperlink>
      <w:r>
        <w:t xml:space="preserve">, ff. 1, 4, 6; </w:t>
      </w:r>
      <w:hyperlink w:anchor="AUTO_2016_10" w:history="1">
        <w:r w:rsidRPr="0057104C">
          <w:rPr>
            <w:rStyle w:val="TextoNormalCaracter"/>
          </w:rPr>
          <w:t>10/2016</w:t>
        </w:r>
      </w:hyperlink>
      <w:r>
        <w:t xml:space="preserve">, ff. 1, 4, 6; </w:t>
      </w:r>
      <w:hyperlink w:anchor="AUTO_2016_21" w:history="1">
        <w:r w:rsidRPr="0057104C">
          <w:rPr>
            <w:rStyle w:val="TextoNormalCaracter"/>
          </w:rPr>
          <w:t>21/2016</w:t>
        </w:r>
      </w:hyperlink>
      <w:r>
        <w:t xml:space="preserve">, ff. 4, 6; </w:t>
      </w:r>
      <w:hyperlink w:anchor="AUTO_2016_22" w:history="1">
        <w:r w:rsidRPr="0057104C">
          <w:rPr>
            <w:rStyle w:val="TextoNormalCaracter"/>
          </w:rPr>
          <w:t>22/2016</w:t>
        </w:r>
      </w:hyperlink>
      <w:r>
        <w:t xml:space="preserve">, ff. 1, 4, 6; </w:t>
      </w:r>
      <w:hyperlink w:anchor="AUTO_2016_37" w:history="1">
        <w:r w:rsidRPr="0057104C">
          <w:rPr>
            <w:rStyle w:val="TextoNormalCaracter"/>
          </w:rPr>
          <w:t>37/2016</w:t>
        </w:r>
      </w:hyperlink>
      <w:r>
        <w:t xml:space="preserve">, ff. 1, 5; </w:t>
      </w:r>
      <w:hyperlink w:anchor="AUTO_2016_38" w:history="1">
        <w:r w:rsidRPr="0057104C">
          <w:rPr>
            <w:rStyle w:val="TextoNormalCaracter"/>
          </w:rPr>
          <w:t>38/2016</w:t>
        </w:r>
      </w:hyperlink>
      <w:r>
        <w:t xml:space="preserve">, ff. 1, 5; </w:t>
      </w:r>
      <w:hyperlink w:anchor="AUTO_2016_50" w:history="1">
        <w:r w:rsidRPr="0057104C">
          <w:rPr>
            <w:rStyle w:val="TextoNormalCaracter"/>
          </w:rPr>
          <w:t>50/2016</w:t>
        </w:r>
      </w:hyperlink>
      <w:r>
        <w:t xml:space="preserve">, ff. 1, 5; </w:t>
      </w:r>
      <w:hyperlink w:anchor="AUTO_2016_52" w:history="1">
        <w:r w:rsidRPr="0057104C">
          <w:rPr>
            <w:rStyle w:val="TextoNormalCaracter"/>
          </w:rPr>
          <w:t>52/2016</w:t>
        </w:r>
      </w:hyperlink>
      <w:r>
        <w:t xml:space="preserve">, ff. 1, 5; </w:t>
      </w:r>
      <w:hyperlink w:anchor="AUTO_2016_70" w:history="1">
        <w:r w:rsidRPr="0057104C">
          <w:rPr>
            <w:rStyle w:val="TextoNormalCaracter"/>
          </w:rPr>
          <w:t>70/2016</w:t>
        </w:r>
      </w:hyperlink>
      <w:r>
        <w:t>, ff. 4, 6.</w:t>
      </w:r>
    </w:p>
    <w:p w:rsidR="0057104C" w:rsidRDefault="0057104C" w:rsidP="0057104C">
      <w:pPr>
        <w:pStyle w:val="SangriaFrancesaArticulo"/>
      </w:pPr>
      <w:r w:rsidRPr="0057104C">
        <w:rPr>
          <w:rStyle w:val="TextoNormalNegritaCaracter"/>
        </w:rPr>
        <w:t>Artículo 23.1 a).</w:t>
      </w:r>
      <w:r w:rsidRPr="0057104C">
        <w:rPr>
          <w:rStyle w:val="TextoNormalCaracter"/>
        </w:rPr>
        <w:t>-</w:t>
      </w:r>
      <w:r>
        <w:t xml:space="preserve"> Autos </w:t>
      </w:r>
      <w:hyperlink w:anchor="AUTO_2016_6" w:history="1">
        <w:r w:rsidRPr="0057104C">
          <w:rPr>
            <w:rStyle w:val="TextoNormalCaracter"/>
          </w:rPr>
          <w:t>6/2016</w:t>
        </w:r>
      </w:hyperlink>
      <w:r>
        <w:t xml:space="preserve">, ff. 1, 4 a 6; </w:t>
      </w:r>
      <w:hyperlink w:anchor="AUTO_2016_7" w:history="1">
        <w:r w:rsidRPr="0057104C">
          <w:rPr>
            <w:rStyle w:val="TextoNormalCaracter"/>
          </w:rPr>
          <w:t>7/2016</w:t>
        </w:r>
      </w:hyperlink>
      <w:r>
        <w:t xml:space="preserve">, ff. 1, 4 a 6; </w:t>
      </w:r>
      <w:hyperlink w:anchor="AUTO_2016_8" w:history="1">
        <w:r w:rsidRPr="0057104C">
          <w:rPr>
            <w:rStyle w:val="TextoNormalCaracter"/>
          </w:rPr>
          <w:t>8/2016</w:t>
        </w:r>
      </w:hyperlink>
      <w:r>
        <w:t xml:space="preserve">, ff. 1, 4 a 6; </w:t>
      </w:r>
      <w:hyperlink w:anchor="AUTO_2016_10" w:history="1">
        <w:r w:rsidRPr="0057104C">
          <w:rPr>
            <w:rStyle w:val="TextoNormalCaracter"/>
          </w:rPr>
          <w:t>10/2016</w:t>
        </w:r>
      </w:hyperlink>
      <w:r>
        <w:t xml:space="preserve">, ff. 1, 4 a 6; </w:t>
      </w:r>
      <w:hyperlink w:anchor="AUTO_2016_21" w:history="1">
        <w:r w:rsidRPr="0057104C">
          <w:rPr>
            <w:rStyle w:val="TextoNormalCaracter"/>
          </w:rPr>
          <w:t>21/2016</w:t>
        </w:r>
      </w:hyperlink>
      <w:r>
        <w:t xml:space="preserve">, ff. 1, 4 a 6; </w:t>
      </w:r>
      <w:hyperlink w:anchor="AUTO_2016_22" w:history="1">
        <w:r w:rsidRPr="0057104C">
          <w:rPr>
            <w:rStyle w:val="TextoNormalCaracter"/>
          </w:rPr>
          <w:t>22/2016</w:t>
        </w:r>
      </w:hyperlink>
      <w:r>
        <w:t xml:space="preserve">, ff. 1, 4 a 6; </w:t>
      </w:r>
      <w:hyperlink w:anchor="AUTO_2016_37" w:history="1">
        <w:r w:rsidRPr="0057104C">
          <w:rPr>
            <w:rStyle w:val="TextoNormalCaracter"/>
          </w:rPr>
          <w:t>37/2016</w:t>
        </w:r>
      </w:hyperlink>
      <w:r>
        <w:t xml:space="preserve">, ff. 1, 4, 5; </w:t>
      </w:r>
      <w:hyperlink w:anchor="AUTO_2016_38" w:history="1">
        <w:r w:rsidRPr="0057104C">
          <w:rPr>
            <w:rStyle w:val="TextoNormalCaracter"/>
          </w:rPr>
          <w:t>38/2016</w:t>
        </w:r>
      </w:hyperlink>
      <w:r>
        <w:t xml:space="preserve">, ff. 1, 4, 5; </w:t>
      </w:r>
      <w:hyperlink w:anchor="AUTO_2016_50" w:history="1">
        <w:r w:rsidRPr="0057104C">
          <w:rPr>
            <w:rStyle w:val="TextoNormalCaracter"/>
          </w:rPr>
          <w:t>50/2016</w:t>
        </w:r>
      </w:hyperlink>
      <w:r>
        <w:t xml:space="preserve">, ff. 1, 4, 5; </w:t>
      </w:r>
      <w:hyperlink w:anchor="AUTO_2016_52" w:history="1">
        <w:r w:rsidRPr="0057104C">
          <w:rPr>
            <w:rStyle w:val="TextoNormalCaracter"/>
          </w:rPr>
          <w:t>52/2016</w:t>
        </w:r>
      </w:hyperlink>
      <w:r>
        <w:t xml:space="preserve">, ff. 1, 4, 5; </w:t>
      </w:r>
      <w:hyperlink w:anchor="AUTO_2016_70" w:history="1">
        <w:r w:rsidRPr="0057104C">
          <w:rPr>
            <w:rStyle w:val="TextoNormalCaracter"/>
          </w:rPr>
          <w:t>70/2016</w:t>
        </w:r>
      </w:hyperlink>
      <w:r>
        <w:t>, ff. 1, 4 a 6.</w:t>
      </w:r>
    </w:p>
    <w:p w:rsidR="0057104C" w:rsidRDefault="0057104C" w:rsidP="0057104C">
      <w:pPr>
        <w:pStyle w:val="SangriaFrancesaArticulo"/>
      </w:pPr>
      <w:r w:rsidRPr="0057104C">
        <w:rPr>
          <w:rStyle w:val="TextoNormalNegritaCaracter"/>
        </w:rPr>
        <w:t>Artículo 23.2.</w:t>
      </w:r>
      <w:r w:rsidRPr="0057104C">
        <w:rPr>
          <w:rStyle w:val="TextoNormalCaracter"/>
        </w:rPr>
        <w:t>-</w:t>
      </w:r>
      <w:r>
        <w:t xml:space="preserve"> Autos </w:t>
      </w:r>
      <w:hyperlink w:anchor="AUTO_2016_6" w:history="1">
        <w:r w:rsidRPr="0057104C">
          <w:rPr>
            <w:rStyle w:val="TextoNormalCaracter"/>
          </w:rPr>
          <w:t>6/2016</w:t>
        </w:r>
      </w:hyperlink>
      <w:r>
        <w:t xml:space="preserve">, ff. 1, 6; </w:t>
      </w:r>
      <w:hyperlink w:anchor="AUTO_2016_7" w:history="1">
        <w:r w:rsidRPr="0057104C">
          <w:rPr>
            <w:rStyle w:val="TextoNormalCaracter"/>
          </w:rPr>
          <w:t>7/2016</w:t>
        </w:r>
      </w:hyperlink>
      <w:r>
        <w:t xml:space="preserve">, ff. 1, 6; </w:t>
      </w:r>
      <w:hyperlink w:anchor="AUTO_2016_8" w:history="1">
        <w:r w:rsidRPr="0057104C">
          <w:rPr>
            <w:rStyle w:val="TextoNormalCaracter"/>
          </w:rPr>
          <w:t>8/2016</w:t>
        </w:r>
      </w:hyperlink>
      <w:r>
        <w:t xml:space="preserve">, ff. 1, 6; </w:t>
      </w:r>
      <w:hyperlink w:anchor="AUTO_2016_10" w:history="1">
        <w:r w:rsidRPr="0057104C">
          <w:rPr>
            <w:rStyle w:val="TextoNormalCaracter"/>
          </w:rPr>
          <w:t>10/2016</w:t>
        </w:r>
      </w:hyperlink>
      <w:r>
        <w:t xml:space="preserve">, ff. 1, 6; </w:t>
      </w:r>
      <w:hyperlink w:anchor="AUTO_2016_21" w:history="1">
        <w:r w:rsidRPr="0057104C">
          <w:rPr>
            <w:rStyle w:val="TextoNormalCaracter"/>
          </w:rPr>
          <w:t>21/2016</w:t>
        </w:r>
      </w:hyperlink>
      <w:r>
        <w:t xml:space="preserve">, ff. 1, 6; </w:t>
      </w:r>
      <w:hyperlink w:anchor="AUTO_2016_22" w:history="1">
        <w:r w:rsidRPr="0057104C">
          <w:rPr>
            <w:rStyle w:val="TextoNormalCaracter"/>
          </w:rPr>
          <w:t>22/2016</w:t>
        </w:r>
      </w:hyperlink>
      <w:r>
        <w:t xml:space="preserve">, ff. 1, 6; </w:t>
      </w:r>
      <w:hyperlink w:anchor="AUTO_2016_37" w:history="1">
        <w:r w:rsidRPr="0057104C">
          <w:rPr>
            <w:rStyle w:val="TextoNormalCaracter"/>
          </w:rPr>
          <w:t>37/2016</w:t>
        </w:r>
      </w:hyperlink>
      <w:r>
        <w:t xml:space="preserve">, ff. 1, 5; </w:t>
      </w:r>
      <w:hyperlink w:anchor="AUTO_2016_38" w:history="1">
        <w:r w:rsidRPr="0057104C">
          <w:rPr>
            <w:rStyle w:val="TextoNormalCaracter"/>
          </w:rPr>
          <w:t>38/2016</w:t>
        </w:r>
      </w:hyperlink>
      <w:r>
        <w:t xml:space="preserve">, ff. 1, 5; </w:t>
      </w:r>
      <w:hyperlink w:anchor="AUTO_2016_50" w:history="1">
        <w:r w:rsidRPr="0057104C">
          <w:rPr>
            <w:rStyle w:val="TextoNormalCaracter"/>
          </w:rPr>
          <w:t>50/2016</w:t>
        </w:r>
      </w:hyperlink>
      <w:r>
        <w:t xml:space="preserve">, ff. 1, 5; </w:t>
      </w:r>
      <w:hyperlink w:anchor="AUTO_2016_52" w:history="1">
        <w:r w:rsidRPr="0057104C">
          <w:rPr>
            <w:rStyle w:val="TextoNormalCaracter"/>
          </w:rPr>
          <w:t>52/2016</w:t>
        </w:r>
      </w:hyperlink>
      <w:r>
        <w:t xml:space="preserve">, ff. 1, 5; </w:t>
      </w:r>
      <w:hyperlink w:anchor="AUTO_2016_70" w:history="1">
        <w:r w:rsidRPr="0057104C">
          <w:rPr>
            <w:rStyle w:val="TextoNormalCaracter"/>
          </w:rPr>
          <w:t>70/2016</w:t>
        </w:r>
      </w:hyperlink>
      <w:r>
        <w:t>, ff. 1, 6.</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Autos </w:t>
      </w:r>
      <w:hyperlink w:anchor="AUTO_2016_6" w:history="1">
        <w:r w:rsidRPr="0057104C">
          <w:rPr>
            <w:rStyle w:val="TextoNormalCaracter"/>
          </w:rPr>
          <w:t>6/2016</w:t>
        </w:r>
      </w:hyperlink>
      <w:r>
        <w:t xml:space="preserve">, ff. 1, 4, 6; </w:t>
      </w:r>
      <w:hyperlink w:anchor="AUTO_2016_7" w:history="1">
        <w:r w:rsidRPr="0057104C">
          <w:rPr>
            <w:rStyle w:val="TextoNormalCaracter"/>
          </w:rPr>
          <w:t>7/2016</w:t>
        </w:r>
      </w:hyperlink>
      <w:r>
        <w:t xml:space="preserve">, ff. 1, 4, 6; </w:t>
      </w:r>
      <w:hyperlink w:anchor="AUTO_2016_8" w:history="1">
        <w:r w:rsidRPr="0057104C">
          <w:rPr>
            <w:rStyle w:val="TextoNormalCaracter"/>
          </w:rPr>
          <w:t>8/2016</w:t>
        </w:r>
      </w:hyperlink>
      <w:r>
        <w:t xml:space="preserve">, ff. 1, 4, 6; </w:t>
      </w:r>
      <w:hyperlink w:anchor="AUTO_2016_10" w:history="1">
        <w:r w:rsidRPr="0057104C">
          <w:rPr>
            <w:rStyle w:val="TextoNormalCaracter"/>
          </w:rPr>
          <w:t>10/2016</w:t>
        </w:r>
      </w:hyperlink>
      <w:r>
        <w:t xml:space="preserve">, ff. 1, 4, 6; </w:t>
      </w:r>
      <w:hyperlink w:anchor="AUTO_2016_21" w:history="1">
        <w:r w:rsidRPr="0057104C">
          <w:rPr>
            <w:rStyle w:val="TextoNormalCaracter"/>
          </w:rPr>
          <w:t>21/2016</w:t>
        </w:r>
      </w:hyperlink>
      <w:r>
        <w:t xml:space="preserve">, ff. 1, 4, 6; </w:t>
      </w:r>
      <w:hyperlink w:anchor="AUTO_2016_22" w:history="1">
        <w:r w:rsidRPr="0057104C">
          <w:rPr>
            <w:rStyle w:val="TextoNormalCaracter"/>
          </w:rPr>
          <w:t>22/2016</w:t>
        </w:r>
      </w:hyperlink>
      <w:r>
        <w:t xml:space="preserve">, ff. 1, 4, 6; </w:t>
      </w:r>
      <w:hyperlink w:anchor="AUTO_2016_37" w:history="1">
        <w:r w:rsidRPr="0057104C">
          <w:rPr>
            <w:rStyle w:val="TextoNormalCaracter"/>
          </w:rPr>
          <w:t>37/2016</w:t>
        </w:r>
      </w:hyperlink>
      <w:r>
        <w:t xml:space="preserve">, ff. 1, 5; </w:t>
      </w:r>
      <w:hyperlink w:anchor="AUTO_2016_38" w:history="1">
        <w:r w:rsidRPr="0057104C">
          <w:rPr>
            <w:rStyle w:val="TextoNormalCaracter"/>
          </w:rPr>
          <w:t>38/2016</w:t>
        </w:r>
      </w:hyperlink>
      <w:r>
        <w:t xml:space="preserve">, ff. 1, 5; </w:t>
      </w:r>
      <w:hyperlink w:anchor="AUTO_2016_50" w:history="1">
        <w:r w:rsidRPr="0057104C">
          <w:rPr>
            <w:rStyle w:val="TextoNormalCaracter"/>
          </w:rPr>
          <w:t>50/2016</w:t>
        </w:r>
      </w:hyperlink>
      <w:r>
        <w:t xml:space="preserve">, ff. 1, 5; </w:t>
      </w:r>
      <w:hyperlink w:anchor="AUTO_2016_52" w:history="1">
        <w:r w:rsidRPr="0057104C">
          <w:rPr>
            <w:rStyle w:val="TextoNormalCaracter"/>
          </w:rPr>
          <w:t>52/2016</w:t>
        </w:r>
      </w:hyperlink>
      <w:r>
        <w:t xml:space="preserve">, ff. 1, 5; </w:t>
      </w:r>
      <w:hyperlink w:anchor="AUTO_2016_70" w:history="1">
        <w:r w:rsidRPr="0057104C">
          <w:rPr>
            <w:rStyle w:val="TextoNormalCaracter"/>
          </w:rPr>
          <w:t>70/2016</w:t>
        </w:r>
      </w:hyperlink>
      <w:r>
        <w:t>, ff. 1, 4, 6.</w:t>
      </w:r>
    </w:p>
    <w:p w:rsidR="0057104C" w:rsidRDefault="0057104C" w:rsidP="0057104C">
      <w:pPr>
        <w:pStyle w:val="SangriaFrancesaArticulo"/>
      </w:pPr>
      <w:r w:rsidRPr="0057104C">
        <w:rPr>
          <w:rStyle w:val="TextoNormalNegritaCaracter"/>
        </w:rPr>
        <w:t>Artículo 25.1.</w:t>
      </w:r>
      <w:r w:rsidRPr="0057104C">
        <w:rPr>
          <w:rStyle w:val="TextoNormalCaracter"/>
        </w:rPr>
        <w:t>-</w:t>
      </w:r>
      <w:r>
        <w:t xml:space="preserve"> Autos </w:t>
      </w:r>
      <w:hyperlink w:anchor="AUTO_2016_6" w:history="1">
        <w:r w:rsidRPr="0057104C">
          <w:rPr>
            <w:rStyle w:val="TextoNormalCaracter"/>
          </w:rPr>
          <w:t>6/2016</w:t>
        </w:r>
      </w:hyperlink>
      <w:r>
        <w:t xml:space="preserve">, ff. 1, 4, 6; </w:t>
      </w:r>
      <w:hyperlink w:anchor="AUTO_2016_7" w:history="1">
        <w:r w:rsidRPr="0057104C">
          <w:rPr>
            <w:rStyle w:val="TextoNormalCaracter"/>
          </w:rPr>
          <w:t>7/2016</w:t>
        </w:r>
      </w:hyperlink>
      <w:r>
        <w:t xml:space="preserve">, ff. 1, 4, 6; </w:t>
      </w:r>
      <w:hyperlink w:anchor="AUTO_2016_8" w:history="1">
        <w:r w:rsidRPr="0057104C">
          <w:rPr>
            <w:rStyle w:val="TextoNormalCaracter"/>
          </w:rPr>
          <w:t>8/2016</w:t>
        </w:r>
      </w:hyperlink>
      <w:r>
        <w:t xml:space="preserve">, ff. 1, 4, 6; </w:t>
      </w:r>
      <w:hyperlink w:anchor="AUTO_2016_10" w:history="1">
        <w:r w:rsidRPr="0057104C">
          <w:rPr>
            <w:rStyle w:val="TextoNormalCaracter"/>
          </w:rPr>
          <w:t>10/2016</w:t>
        </w:r>
      </w:hyperlink>
      <w:r>
        <w:t xml:space="preserve">, ff. 1, 4, 6; </w:t>
      </w:r>
      <w:hyperlink w:anchor="AUTO_2016_21" w:history="1">
        <w:r w:rsidRPr="0057104C">
          <w:rPr>
            <w:rStyle w:val="TextoNormalCaracter"/>
          </w:rPr>
          <w:t>21/2016</w:t>
        </w:r>
      </w:hyperlink>
      <w:r>
        <w:t xml:space="preserve">, ff. 1, 4, 6; </w:t>
      </w:r>
      <w:hyperlink w:anchor="AUTO_2016_22" w:history="1">
        <w:r w:rsidRPr="0057104C">
          <w:rPr>
            <w:rStyle w:val="TextoNormalCaracter"/>
          </w:rPr>
          <w:t>22/2016</w:t>
        </w:r>
      </w:hyperlink>
      <w:r>
        <w:t xml:space="preserve">, ff. 1, 4, 6; </w:t>
      </w:r>
      <w:hyperlink w:anchor="AUTO_2016_37" w:history="1">
        <w:r w:rsidRPr="0057104C">
          <w:rPr>
            <w:rStyle w:val="TextoNormalCaracter"/>
          </w:rPr>
          <w:t>37/2016</w:t>
        </w:r>
      </w:hyperlink>
      <w:r>
        <w:t xml:space="preserve">, ff. 1, 5; </w:t>
      </w:r>
      <w:hyperlink w:anchor="AUTO_2016_38" w:history="1">
        <w:r w:rsidRPr="0057104C">
          <w:rPr>
            <w:rStyle w:val="TextoNormalCaracter"/>
          </w:rPr>
          <w:t>38/2016</w:t>
        </w:r>
      </w:hyperlink>
      <w:r>
        <w:t xml:space="preserve">, ff. 1, 5; </w:t>
      </w:r>
      <w:hyperlink w:anchor="AUTO_2016_50" w:history="1">
        <w:r w:rsidRPr="0057104C">
          <w:rPr>
            <w:rStyle w:val="TextoNormalCaracter"/>
          </w:rPr>
          <w:t>50/2016</w:t>
        </w:r>
      </w:hyperlink>
      <w:r>
        <w:t xml:space="preserve">, ff. 1, 5; </w:t>
      </w:r>
      <w:hyperlink w:anchor="AUTO_2016_52" w:history="1">
        <w:r w:rsidRPr="0057104C">
          <w:rPr>
            <w:rStyle w:val="TextoNormalCaracter"/>
          </w:rPr>
          <w:t>52/2016</w:t>
        </w:r>
      </w:hyperlink>
      <w:r>
        <w:t xml:space="preserve">, ff. 1, 5; </w:t>
      </w:r>
      <w:hyperlink w:anchor="AUTO_2016_70" w:history="1">
        <w:r w:rsidRPr="0057104C">
          <w:rPr>
            <w:rStyle w:val="TextoNormalCaracter"/>
          </w:rPr>
          <w:t>70/2016</w:t>
        </w:r>
      </w:hyperlink>
      <w:r>
        <w:t>, ff. 1, 4, 6.</w:t>
      </w:r>
    </w:p>
    <w:p w:rsidR="0057104C" w:rsidRDefault="0057104C" w:rsidP="0057104C">
      <w:pPr>
        <w:pStyle w:val="SangriaFrancesaArticulo"/>
      </w:pPr>
      <w:r w:rsidRPr="0057104C">
        <w:rPr>
          <w:rStyle w:val="TextoNormalNegritaCaracter"/>
        </w:rPr>
        <w:t>Artículo 25.2.</w:t>
      </w:r>
      <w:r w:rsidRPr="0057104C">
        <w:rPr>
          <w:rStyle w:val="TextoNormalCaracter"/>
        </w:rPr>
        <w:t>-</w:t>
      </w:r>
      <w:r>
        <w:t xml:space="preserve"> Auto </w:t>
      </w:r>
      <w:hyperlink w:anchor="AUTO_2016_21" w:history="1">
        <w:r w:rsidRPr="0057104C">
          <w:rPr>
            <w:rStyle w:val="TextoNormalCaracter"/>
          </w:rPr>
          <w:t>21/2016</w:t>
        </w:r>
      </w:hyperlink>
      <w:r>
        <w:t>, f. 1.</w:t>
      </w:r>
    </w:p>
    <w:p w:rsidR="0057104C" w:rsidRDefault="0057104C" w:rsidP="0057104C">
      <w:pPr>
        <w:pStyle w:val="SangriaFrancesaArticulo"/>
      </w:pPr>
      <w:r w:rsidRPr="0057104C">
        <w:rPr>
          <w:rStyle w:val="TextoNormalNegritaCaracter"/>
        </w:rPr>
        <w:t>Artículo 25.2 a).</w:t>
      </w:r>
      <w:r w:rsidRPr="0057104C">
        <w:rPr>
          <w:rStyle w:val="TextoNormalCaracter"/>
        </w:rPr>
        <w:t>-</w:t>
      </w:r>
      <w:r>
        <w:t xml:space="preserve"> Autos </w:t>
      </w:r>
      <w:hyperlink w:anchor="AUTO_2016_6" w:history="1">
        <w:r w:rsidRPr="0057104C">
          <w:rPr>
            <w:rStyle w:val="TextoNormalCaracter"/>
          </w:rPr>
          <w:t>6/2016</w:t>
        </w:r>
      </w:hyperlink>
      <w:r>
        <w:t xml:space="preserve">, ff. 1, 5, 6; </w:t>
      </w:r>
      <w:hyperlink w:anchor="AUTO_2016_7" w:history="1">
        <w:r w:rsidRPr="0057104C">
          <w:rPr>
            <w:rStyle w:val="TextoNormalCaracter"/>
          </w:rPr>
          <w:t>7/2016</w:t>
        </w:r>
      </w:hyperlink>
      <w:r>
        <w:t xml:space="preserve">, ff. 1, 5, 6; </w:t>
      </w:r>
      <w:hyperlink w:anchor="AUTO_2016_8" w:history="1">
        <w:r w:rsidRPr="0057104C">
          <w:rPr>
            <w:rStyle w:val="TextoNormalCaracter"/>
          </w:rPr>
          <w:t>8/2016</w:t>
        </w:r>
      </w:hyperlink>
      <w:r>
        <w:t xml:space="preserve">, ff. 1, 5, 6; </w:t>
      </w:r>
      <w:hyperlink w:anchor="AUTO_2016_10" w:history="1">
        <w:r w:rsidRPr="0057104C">
          <w:rPr>
            <w:rStyle w:val="TextoNormalCaracter"/>
          </w:rPr>
          <w:t>10/2016</w:t>
        </w:r>
      </w:hyperlink>
      <w:r>
        <w:t xml:space="preserve">, ff. 1, 5, 6; </w:t>
      </w:r>
      <w:hyperlink w:anchor="AUTO_2016_21" w:history="1">
        <w:r w:rsidRPr="0057104C">
          <w:rPr>
            <w:rStyle w:val="TextoNormalCaracter"/>
          </w:rPr>
          <w:t>21/2016</w:t>
        </w:r>
      </w:hyperlink>
      <w:r>
        <w:t xml:space="preserve">, ff. 5, 6; </w:t>
      </w:r>
      <w:hyperlink w:anchor="AUTO_2016_22" w:history="1">
        <w:r w:rsidRPr="0057104C">
          <w:rPr>
            <w:rStyle w:val="TextoNormalCaracter"/>
          </w:rPr>
          <w:t>22/2016</w:t>
        </w:r>
      </w:hyperlink>
      <w:r>
        <w:t xml:space="preserve">, ff. 1, 5, 6; </w:t>
      </w:r>
      <w:hyperlink w:anchor="AUTO_2016_37" w:history="1">
        <w:r w:rsidRPr="0057104C">
          <w:rPr>
            <w:rStyle w:val="TextoNormalCaracter"/>
          </w:rPr>
          <w:t>37/2016</w:t>
        </w:r>
      </w:hyperlink>
      <w:r>
        <w:t xml:space="preserve">, ff. 4, 5; </w:t>
      </w:r>
      <w:hyperlink w:anchor="AUTO_2016_38" w:history="1">
        <w:r w:rsidRPr="0057104C">
          <w:rPr>
            <w:rStyle w:val="TextoNormalCaracter"/>
          </w:rPr>
          <w:t>38/2016</w:t>
        </w:r>
      </w:hyperlink>
      <w:r>
        <w:t xml:space="preserve">, ff. 4, 5; </w:t>
      </w:r>
      <w:hyperlink w:anchor="AUTO_2016_50" w:history="1">
        <w:r w:rsidRPr="0057104C">
          <w:rPr>
            <w:rStyle w:val="TextoNormalCaracter"/>
          </w:rPr>
          <w:t>50/2016</w:t>
        </w:r>
      </w:hyperlink>
      <w:r>
        <w:t xml:space="preserve">, ff. 1, 4, 5; </w:t>
      </w:r>
      <w:hyperlink w:anchor="AUTO_2016_52" w:history="1">
        <w:r w:rsidRPr="0057104C">
          <w:rPr>
            <w:rStyle w:val="TextoNormalCaracter"/>
          </w:rPr>
          <w:t>52/2016</w:t>
        </w:r>
      </w:hyperlink>
      <w:r>
        <w:t xml:space="preserve">, ff. 4, 5; </w:t>
      </w:r>
      <w:hyperlink w:anchor="AUTO_2016_70" w:history="1">
        <w:r w:rsidRPr="0057104C">
          <w:rPr>
            <w:rStyle w:val="TextoNormalCaracter"/>
          </w:rPr>
          <w:t>70/2016</w:t>
        </w:r>
      </w:hyperlink>
      <w:r>
        <w:t>, ff. 1, 5, 6.</w:t>
      </w:r>
    </w:p>
    <w:p w:rsidR="0057104C" w:rsidRDefault="0057104C" w:rsidP="0057104C">
      <w:pPr>
        <w:pStyle w:val="SangriaFrancesaArticulo"/>
      </w:pPr>
      <w:r w:rsidRPr="0057104C">
        <w:rPr>
          <w:rStyle w:val="TextoNormalNegritaCaracter"/>
        </w:rPr>
        <w:t>Artículo 25.2 b).</w:t>
      </w:r>
      <w:r w:rsidRPr="0057104C">
        <w:rPr>
          <w:rStyle w:val="TextoNormalCaracter"/>
        </w:rPr>
        <w:t>-</w:t>
      </w:r>
      <w:r>
        <w:t xml:space="preserve"> Autos </w:t>
      </w:r>
      <w:hyperlink w:anchor="AUTO_2016_6" w:history="1">
        <w:r w:rsidRPr="0057104C">
          <w:rPr>
            <w:rStyle w:val="TextoNormalCaracter"/>
          </w:rPr>
          <w:t>6/2016</w:t>
        </w:r>
      </w:hyperlink>
      <w:r>
        <w:t xml:space="preserve">, f. 6; </w:t>
      </w:r>
      <w:hyperlink w:anchor="AUTO_2016_7" w:history="1">
        <w:r w:rsidRPr="0057104C">
          <w:rPr>
            <w:rStyle w:val="TextoNormalCaracter"/>
          </w:rPr>
          <w:t>7/2016</w:t>
        </w:r>
      </w:hyperlink>
      <w:r>
        <w:t xml:space="preserve">, f. 6; </w:t>
      </w:r>
      <w:hyperlink w:anchor="AUTO_2016_8" w:history="1">
        <w:r w:rsidRPr="0057104C">
          <w:rPr>
            <w:rStyle w:val="TextoNormalCaracter"/>
          </w:rPr>
          <w:t>8/2016</w:t>
        </w:r>
      </w:hyperlink>
      <w:r>
        <w:t xml:space="preserve">, f. 6; </w:t>
      </w:r>
      <w:hyperlink w:anchor="AUTO_2016_10" w:history="1">
        <w:r w:rsidRPr="0057104C">
          <w:rPr>
            <w:rStyle w:val="TextoNormalCaracter"/>
          </w:rPr>
          <w:t>10/2016</w:t>
        </w:r>
      </w:hyperlink>
      <w:r>
        <w:t xml:space="preserve">, f. 6; </w:t>
      </w:r>
      <w:hyperlink w:anchor="AUTO_2016_21" w:history="1">
        <w:r w:rsidRPr="0057104C">
          <w:rPr>
            <w:rStyle w:val="TextoNormalCaracter"/>
          </w:rPr>
          <w:t>21/2016</w:t>
        </w:r>
      </w:hyperlink>
      <w:r>
        <w:t xml:space="preserve">, f. 6; </w:t>
      </w:r>
      <w:hyperlink w:anchor="AUTO_2016_22" w:history="1">
        <w:r w:rsidRPr="0057104C">
          <w:rPr>
            <w:rStyle w:val="TextoNormalCaracter"/>
          </w:rPr>
          <w:t>22/2016</w:t>
        </w:r>
      </w:hyperlink>
      <w:r>
        <w:t xml:space="preserve">, f. 6; </w:t>
      </w:r>
      <w:hyperlink w:anchor="AUTO_2016_37" w:history="1">
        <w:r w:rsidRPr="0057104C">
          <w:rPr>
            <w:rStyle w:val="TextoNormalCaracter"/>
          </w:rPr>
          <w:t>37/2016</w:t>
        </w:r>
      </w:hyperlink>
      <w:r>
        <w:t xml:space="preserve">, f. 5; </w:t>
      </w:r>
      <w:hyperlink w:anchor="AUTO_2016_38" w:history="1">
        <w:r w:rsidRPr="0057104C">
          <w:rPr>
            <w:rStyle w:val="TextoNormalCaracter"/>
          </w:rPr>
          <w:t>38/2016</w:t>
        </w:r>
      </w:hyperlink>
      <w:r>
        <w:t xml:space="preserve">, f. 5; </w:t>
      </w:r>
      <w:hyperlink w:anchor="AUTO_2016_50" w:history="1">
        <w:r w:rsidRPr="0057104C">
          <w:rPr>
            <w:rStyle w:val="TextoNormalCaracter"/>
          </w:rPr>
          <w:t>50/2016</w:t>
        </w:r>
      </w:hyperlink>
      <w:r>
        <w:t xml:space="preserve">, f. 5; </w:t>
      </w:r>
      <w:hyperlink w:anchor="AUTO_2016_52" w:history="1">
        <w:r w:rsidRPr="0057104C">
          <w:rPr>
            <w:rStyle w:val="TextoNormalCaracter"/>
          </w:rPr>
          <w:t>52/2016</w:t>
        </w:r>
      </w:hyperlink>
      <w:r>
        <w:t xml:space="preserve">, f. 5; </w:t>
      </w:r>
      <w:hyperlink w:anchor="AUTO_2016_70" w:history="1">
        <w:r w:rsidRPr="0057104C">
          <w:rPr>
            <w:rStyle w:val="TextoNormalCaracter"/>
          </w:rPr>
          <w:t>70/2016</w:t>
        </w:r>
      </w:hyperlink>
      <w:r>
        <w:t>, f. 6.</w:t>
      </w:r>
    </w:p>
    <w:p w:rsidR="0057104C" w:rsidRDefault="0057104C" w:rsidP="0057104C">
      <w:pPr>
        <w:pStyle w:val="SangriaFrancesaArticulo"/>
      </w:pPr>
      <w:r w:rsidRPr="0057104C">
        <w:rPr>
          <w:rStyle w:val="TextoNormalNegritaCaracter"/>
        </w:rPr>
        <w:t>Artículo 38.</w:t>
      </w:r>
      <w:r w:rsidRPr="0057104C">
        <w:rPr>
          <w:rStyle w:val="TextoNormalCaracter"/>
        </w:rPr>
        <w:t>-</w:t>
      </w:r>
      <w:r>
        <w:t xml:space="preserve"> Sentencia </w:t>
      </w:r>
      <w:hyperlink w:anchor="SENTENCIA_2016_17" w:history="1">
        <w:r w:rsidRPr="0057104C">
          <w:rPr>
            <w:rStyle w:val="TextoNormalCaracter"/>
          </w:rPr>
          <w:t>17/2016</w:t>
        </w:r>
      </w:hyperlink>
      <w:r>
        <w:t>, ff. 1, 4.</w:t>
      </w:r>
    </w:p>
    <w:p w:rsidR="0057104C" w:rsidRDefault="0057104C" w:rsidP="0057104C">
      <w:pPr>
        <w:pStyle w:val="SangriaFrancesaArticulo"/>
      </w:pPr>
      <w:r w:rsidRPr="0057104C">
        <w:rPr>
          <w:rStyle w:val="TextoNormalNegritaCaracter"/>
        </w:rPr>
        <w:t>Articulo 38</w:t>
      </w:r>
      <w:r>
        <w:t xml:space="preserve"> (redactado por el Real Decreto Legislativo 7/2015, de 30 de octubre)</w:t>
      </w:r>
      <w:r w:rsidRPr="0057104C">
        <w:rPr>
          <w:rStyle w:val="TextoNormalNegritaCaracter"/>
        </w:rPr>
        <w:t>.</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38.2.</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39.</w:t>
      </w:r>
      <w:r w:rsidRPr="0057104C">
        <w:rPr>
          <w:rStyle w:val="TextoNormalCaracter"/>
        </w:rPr>
        <w:t>-</w:t>
      </w:r>
      <w:r>
        <w:t xml:space="preserve"> Sentencia </w:t>
      </w:r>
      <w:hyperlink w:anchor="SENTENCIA_2016_17" w:history="1">
        <w:r w:rsidRPr="0057104C">
          <w:rPr>
            <w:rStyle w:val="TextoNormalCaracter"/>
          </w:rPr>
          <w:t>17/2016</w:t>
        </w:r>
      </w:hyperlink>
      <w:r>
        <w:t>, ff. 1, 4.</w:t>
      </w:r>
    </w:p>
    <w:p w:rsidR="0057104C" w:rsidRDefault="0057104C" w:rsidP="0057104C">
      <w:pPr>
        <w:pStyle w:val="SangriaFrancesaArticulo"/>
      </w:pPr>
      <w:r w:rsidRPr="0057104C">
        <w:rPr>
          <w:rStyle w:val="TextoNormalNegritaCaracter"/>
        </w:rPr>
        <w:t>Artículo 39</w:t>
      </w:r>
      <w:r>
        <w:t xml:space="preserve"> (redactado por el Real Decreto Legislativo 7/2015 de 30 de octubre)</w:t>
      </w:r>
      <w:r w:rsidRPr="0057104C">
        <w:rPr>
          <w:rStyle w:val="TextoNormalNegritaCaracter"/>
        </w:rPr>
        <w:t>.</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39.1.</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39.1</w:t>
      </w:r>
      <w:r>
        <w:t xml:space="preserve"> (redactado por la Ley 8/2013, de 26 de junio)</w:t>
      </w:r>
      <w:r w:rsidRPr="0057104C">
        <w:rPr>
          <w:rStyle w:val="TextoNormalNegritaCaracter"/>
        </w:rPr>
        <w:t>.</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Disposición derogatoria única, apartado a).</w:t>
      </w:r>
      <w:r w:rsidRPr="0057104C">
        <w:rPr>
          <w:rStyle w:val="TextoNormalCaracter"/>
        </w:rPr>
        <w:t>-</w:t>
      </w:r>
      <w:r>
        <w:t xml:space="preserve"> Auto </w:t>
      </w:r>
      <w:hyperlink w:anchor="AUTO_2016_70" w:history="1">
        <w:r w:rsidRPr="0057104C">
          <w:rPr>
            <w:rStyle w:val="TextoNormalCaracter"/>
          </w:rPr>
          <w:t>70/2016</w:t>
        </w:r>
      </w:hyperlink>
      <w:r>
        <w:t>, f. 2.</w:t>
      </w:r>
    </w:p>
    <w:p w:rsidR="0057104C" w:rsidRDefault="0057104C" w:rsidP="0057104C">
      <w:pPr>
        <w:pStyle w:val="SangriaFrancesaArticulo"/>
      </w:pPr>
    </w:p>
    <w:p w:rsidR="0057104C" w:rsidRDefault="0057104C" w:rsidP="0057104C">
      <w:pPr>
        <w:pStyle w:val="TextoNormalNegritaCursivandice"/>
      </w:pPr>
      <w:r>
        <w:t>Real Decreto Legislativo 2/2011, de 5 de septiembre. Texto refundido de la Ley de Puertos del Estado y de la marina mercante</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124" w:history="1">
        <w:r w:rsidRPr="0057104C">
          <w:rPr>
            <w:rStyle w:val="TextoNormalCaracter"/>
          </w:rPr>
          <w:t>124/2016</w:t>
        </w:r>
      </w:hyperlink>
      <w:r>
        <w:t>, f. 9.</w:t>
      </w:r>
    </w:p>
    <w:p w:rsidR="0057104C" w:rsidRDefault="0057104C" w:rsidP="0057104C">
      <w:pPr>
        <w:pStyle w:val="SangriaFrancesaArticulo"/>
      </w:pPr>
    </w:p>
    <w:p w:rsidR="0057104C" w:rsidRDefault="0057104C" w:rsidP="0057104C">
      <w:pPr>
        <w:pStyle w:val="TextoNormalNegritaCursivandice"/>
      </w:pPr>
      <w:r>
        <w:t>Real Decreto Legislativo 3/2011, de 14 de noviembre. Aprueba el texto refundido de la Ley de contratos del sector público</w:t>
      </w:r>
    </w:p>
    <w:p w:rsidR="0057104C" w:rsidRDefault="0057104C" w:rsidP="0057104C">
      <w:pPr>
        <w:pStyle w:val="SangriaFrancesaArticulo"/>
      </w:pPr>
      <w:r w:rsidRPr="0057104C">
        <w:rPr>
          <w:rStyle w:val="TextoNormalNegritaCaracter"/>
        </w:rPr>
        <w:t>Artículo 87.3.</w:t>
      </w:r>
      <w:r w:rsidRPr="0057104C">
        <w:rPr>
          <w:rStyle w:val="TextoNormalCaracter"/>
        </w:rPr>
        <w:t>-</w:t>
      </w:r>
      <w:r>
        <w:t xml:space="preserve"> Auto </w:t>
      </w:r>
      <w:hyperlink w:anchor="AUTO_2016_84" w:history="1">
        <w:r w:rsidRPr="0057104C">
          <w:rPr>
            <w:rStyle w:val="TextoNormalCaracter"/>
          </w:rPr>
          <w:t>84/2016</w:t>
        </w:r>
      </w:hyperlink>
      <w:r>
        <w:t>, f. 6.</w:t>
      </w:r>
    </w:p>
    <w:p w:rsidR="0057104C" w:rsidRDefault="0057104C" w:rsidP="0057104C">
      <w:pPr>
        <w:pStyle w:val="SangriaFrancesaArticulo"/>
      </w:pPr>
      <w:r w:rsidRPr="0057104C">
        <w:rPr>
          <w:rStyle w:val="TextoNormalNegritaCaracter"/>
        </w:rPr>
        <w:t>Artículo 89.</w:t>
      </w:r>
      <w:r w:rsidRPr="0057104C">
        <w:rPr>
          <w:rStyle w:val="TextoNormalCaracter"/>
        </w:rPr>
        <w:t>-</w:t>
      </w:r>
      <w:r>
        <w:t xml:space="preserve"> Auto </w:t>
      </w:r>
      <w:hyperlink w:anchor="AUTO_2016_84" w:history="1">
        <w:r w:rsidRPr="0057104C">
          <w:rPr>
            <w:rStyle w:val="TextoNormalCaracter"/>
          </w:rPr>
          <w:t>84/2016</w:t>
        </w:r>
      </w:hyperlink>
      <w:r>
        <w:t>, f. 6.</w:t>
      </w:r>
    </w:p>
    <w:p w:rsidR="0057104C" w:rsidRDefault="0057104C" w:rsidP="0057104C">
      <w:pPr>
        <w:pStyle w:val="SangriaFrancesaArticulo"/>
      </w:pPr>
      <w:r w:rsidRPr="0057104C">
        <w:rPr>
          <w:rStyle w:val="TextoNormalNegritaCaracter"/>
        </w:rPr>
        <w:t>Artículo 209.</w:t>
      </w:r>
      <w:r w:rsidRPr="0057104C">
        <w:rPr>
          <w:rStyle w:val="TextoNormalCaracter"/>
        </w:rPr>
        <w:t>-</w:t>
      </w:r>
      <w:r>
        <w:t xml:space="preserve"> Autos </w:t>
      </w:r>
      <w:hyperlink w:anchor="AUTO_2016_84" w:history="1">
        <w:r w:rsidRPr="0057104C">
          <w:rPr>
            <w:rStyle w:val="TextoNormalCaracter"/>
          </w:rPr>
          <w:t>84/2016</w:t>
        </w:r>
      </w:hyperlink>
      <w:r>
        <w:t xml:space="preserve">, f. 4; </w:t>
      </w:r>
      <w:hyperlink w:anchor="AUTO_2016_101" w:history="1">
        <w:r w:rsidRPr="0057104C">
          <w:rPr>
            <w:rStyle w:val="TextoNormalCaracter"/>
          </w:rPr>
          <w:t>101/2016</w:t>
        </w:r>
      </w:hyperlink>
      <w:r>
        <w:t xml:space="preserve">, f. 3; </w:t>
      </w:r>
      <w:hyperlink w:anchor="AUTO_2016_102" w:history="1">
        <w:r w:rsidRPr="0057104C">
          <w:rPr>
            <w:rStyle w:val="TextoNormalCaracter"/>
          </w:rPr>
          <w:t>102/2016</w:t>
        </w:r>
      </w:hyperlink>
      <w:r>
        <w:t xml:space="preserve">, f. 3; </w:t>
      </w:r>
      <w:hyperlink w:anchor="AUTO_2016_103" w:history="1">
        <w:r w:rsidRPr="0057104C">
          <w:rPr>
            <w:rStyle w:val="TextoNormalCaracter"/>
          </w:rPr>
          <w:t>103/2016</w:t>
        </w:r>
      </w:hyperlink>
      <w:r>
        <w:t xml:space="preserve">, f. 4; </w:t>
      </w:r>
      <w:hyperlink w:anchor="AUTO_2016_132" w:history="1">
        <w:r w:rsidRPr="0057104C">
          <w:rPr>
            <w:rStyle w:val="TextoNormalCaracter"/>
          </w:rPr>
          <w:t>132/2016</w:t>
        </w:r>
      </w:hyperlink>
      <w:r>
        <w:t>, f. 5.</w:t>
      </w:r>
    </w:p>
    <w:p w:rsidR="0057104C" w:rsidRDefault="0057104C" w:rsidP="0057104C">
      <w:pPr>
        <w:pStyle w:val="SangriaFrancesaArticulo"/>
      </w:pPr>
      <w:r w:rsidRPr="0057104C">
        <w:rPr>
          <w:rStyle w:val="TextoNormalNegritaCaracter"/>
        </w:rPr>
        <w:t>Artículo 282.</w:t>
      </w:r>
      <w:r w:rsidRPr="0057104C">
        <w:rPr>
          <w:rStyle w:val="TextoNormalCaracter"/>
        </w:rPr>
        <w:t>-</w:t>
      </w:r>
      <w:r>
        <w:t xml:space="preserve"> Auto </w:t>
      </w:r>
      <w:hyperlink w:anchor="AUTO_2016_84" w:history="1">
        <w:r w:rsidRPr="0057104C">
          <w:rPr>
            <w:rStyle w:val="TextoNormalCaracter"/>
          </w:rPr>
          <w:t>84/2016</w:t>
        </w:r>
      </w:hyperlink>
      <w:r>
        <w:t>, f. 6.</w:t>
      </w:r>
    </w:p>
    <w:p w:rsidR="0057104C" w:rsidRDefault="0057104C" w:rsidP="0057104C">
      <w:pPr>
        <w:pStyle w:val="SangriaFrancesaArticulo"/>
      </w:pPr>
    </w:p>
    <w:p w:rsidR="0057104C" w:rsidRDefault="0057104C" w:rsidP="0057104C">
      <w:pPr>
        <w:pStyle w:val="TextoNormalNegritaCursivandice"/>
      </w:pPr>
      <w:r>
        <w:t>Real Decreto Legislativo 2/2015, de 23 de octubre. Texto refundido de la Ley del estatuto de los trabajadores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9" w:history="1">
        <w:r w:rsidRPr="0057104C">
          <w:rPr>
            <w:rStyle w:val="TextoNormalCaracter"/>
          </w:rPr>
          <w:t>119/2016</w:t>
        </w:r>
      </w:hyperlink>
      <w:r>
        <w:t>, f. 4.</w:t>
      </w:r>
    </w:p>
    <w:p w:rsidR="0057104C" w:rsidRDefault="0057104C" w:rsidP="0057104C">
      <w:pPr>
        <w:pStyle w:val="SangriaFrancesaArticulo"/>
      </w:pPr>
      <w:r w:rsidRPr="0057104C">
        <w:rPr>
          <w:rStyle w:val="TextoNormalNegritaCaracter"/>
        </w:rPr>
        <w:t>Artículo 44.5.</w:t>
      </w:r>
      <w:r w:rsidRPr="0057104C">
        <w:rPr>
          <w:rStyle w:val="TextoNormalCaracter"/>
        </w:rPr>
        <w:t>-</w:t>
      </w:r>
      <w:r>
        <w:t xml:space="preserve"> Sentencia </w:t>
      </w:r>
      <w:hyperlink w:anchor="SENTENCIA_2016_64" w:history="1">
        <w:r w:rsidRPr="0057104C">
          <w:rPr>
            <w:rStyle w:val="TextoNormalCaracter"/>
          </w:rPr>
          <w:t>64/2016</w:t>
        </w:r>
      </w:hyperlink>
      <w:r>
        <w:t>, VP.</w:t>
      </w:r>
    </w:p>
    <w:p w:rsidR="0057104C" w:rsidRDefault="0057104C" w:rsidP="0057104C">
      <w:pPr>
        <w:pStyle w:val="SangriaFrancesaArticulo"/>
      </w:pPr>
      <w:r w:rsidRPr="0057104C">
        <w:rPr>
          <w:rStyle w:val="TextoNormalNegritaCaracter"/>
        </w:rPr>
        <w:t>Artículo 47.</w:t>
      </w:r>
      <w:r w:rsidRPr="0057104C">
        <w:rPr>
          <w:rStyle w:val="TextoNormalCaracter"/>
        </w:rPr>
        <w:t>-</w:t>
      </w:r>
      <w:r>
        <w:t xml:space="preserve"> Sentencia </w:t>
      </w:r>
      <w:hyperlink w:anchor="SENTENCIA_2016_71" w:history="1">
        <w:r w:rsidRPr="0057104C">
          <w:rPr>
            <w:rStyle w:val="TextoNormalCaracter"/>
          </w:rPr>
          <w:t>71/2016</w:t>
        </w:r>
      </w:hyperlink>
      <w:r>
        <w:t>, f. 1.</w:t>
      </w:r>
    </w:p>
    <w:p w:rsidR="0057104C" w:rsidRDefault="0057104C" w:rsidP="0057104C">
      <w:pPr>
        <w:pStyle w:val="SangriaFrancesaArticulo"/>
      </w:pPr>
      <w:r w:rsidRPr="0057104C">
        <w:rPr>
          <w:rStyle w:val="TextoNormalNegritaCaracter"/>
        </w:rPr>
        <w:t>Artículo 68.</w:t>
      </w:r>
      <w:r w:rsidRPr="0057104C">
        <w:rPr>
          <w:rStyle w:val="TextoNormalCaracter"/>
        </w:rPr>
        <w:t>-</w:t>
      </w:r>
      <w:r>
        <w:t xml:space="preserve"> Sentencia </w:t>
      </w:r>
      <w:hyperlink w:anchor="SENTENCIA_2016_119" w:history="1">
        <w:r w:rsidRPr="0057104C">
          <w:rPr>
            <w:rStyle w:val="TextoNormalCaracter"/>
          </w:rPr>
          <w:t>119/2016</w:t>
        </w:r>
      </w:hyperlink>
      <w:r>
        <w:t>, f. 4.</w:t>
      </w:r>
    </w:p>
    <w:p w:rsidR="0057104C" w:rsidRDefault="0057104C" w:rsidP="0057104C">
      <w:pPr>
        <w:pStyle w:val="SangriaFrancesaArticulo"/>
      </w:pPr>
      <w:r w:rsidRPr="0057104C">
        <w:rPr>
          <w:rStyle w:val="TextoNormalNegritaCaracter"/>
        </w:rPr>
        <w:t>Artículo 68 e).</w:t>
      </w:r>
      <w:r w:rsidRPr="0057104C">
        <w:rPr>
          <w:rStyle w:val="TextoNormalCaracter"/>
        </w:rPr>
        <w:t>-</w:t>
      </w:r>
      <w:r>
        <w:t xml:space="preserve"> Sentencia </w:t>
      </w:r>
      <w:hyperlink w:anchor="SENTENCIA_2016_64" w:history="1">
        <w:r w:rsidRPr="0057104C">
          <w:rPr>
            <w:rStyle w:val="TextoNormalCaracter"/>
          </w:rPr>
          <w:t>64/2016</w:t>
        </w:r>
      </w:hyperlink>
      <w:r>
        <w:t>, f. 5, VP.</w:t>
      </w:r>
    </w:p>
    <w:p w:rsidR="0057104C" w:rsidRDefault="0057104C" w:rsidP="0057104C">
      <w:pPr>
        <w:pStyle w:val="SangriaFrancesaArticulo"/>
      </w:pPr>
    </w:p>
    <w:p w:rsidR="0057104C" w:rsidRDefault="0057104C" w:rsidP="0057104C">
      <w:pPr>
        <w:pStyle w:val="TextoNormalNegritaCursivandice"/>
      </w:pPr>
      <w:r>
        <w:t>Real Decreto Legislativo 5/2015, de 30 de octubre. Aprueba el texto refundido de la Ley del estatuto básico del empleado público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8" w:history="1">
        <w:r w:rsidRPr="0057104C">
          <w:rPr>
            <w:rStyle w:val="TextoNormalCaracter"/>
          </w:rPr>
          <w:t>18/2016</w:t>
        </w:r>
      </w:hyperlink>
      <w:r>
        <w:t xml:space="preserve">, f. 2; </w:t>
      </w:r>
      <w:hyperlink w:anchor="SENTENCIA_2016_119" w:history="1">
        <w:r w:rsidRPr="0057104C">
          <w:rPr>
            <w:rStyle w:val="TextoNormalCaracter"/>
          </w:rPr>
          <w:t>119/2016</w:t>
        </w:r>
      </w:hyperlink>
      <w:r>
        <w:t>, f. 4.</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Sentencia </w:t>
      </w:r>
      <w:hyperlink w:anchor="SENTENCIA_2016_45" w:history="1">
        <w:r w:rsidRPr="0057104C">
          <w:rPr>
            <w:rStyle w:val="TextoNormalCaracter"/>
          </w:rPr>
          <w:t>45/2016</w:t>
        </w:r>
      </w:hyperlink>
      <w:r>
        <w:t>, f. 3.</w:t>
      </w:r>
    </w:p>
    <w:p w:rsidR="0057104C" w:rsidRDefault="0057104C" w:rsidP="0057104C">
      <w:pPr>
        <w:pStyle w:val="SangriaFrancesaArticulo"/>
      </w:pPr>
      <w:r w:rsidRPr="0057104C">
        <w:rPr>
          <w:rStyle w:val="TextoNormalNegritaCaracter"/>
        </w:rPr>
        <w:t>Artículo 15 c).</w:t>
      </w:r>
      <w:r w:rsidRPr="0057104C">
        <w:rPr>
          <w:rStyle w:val="TextoNormalCaracter"/>
        </w:rPr>
        <w:t>-</w:t>
      </w:r>
      <w:r>
        <w:t xml:space="preserve"> Sentencia </w:t>
      </w:r>
      <w:hyperlink w:anchor="SENTENCIA_2016_45" w:history="1">
        <w:r w:rsidRPr="0057104C">
          <w:rPr>
            <w:rStyle w:val="TextoNormalCaracter"/>
          </w:rPr>
          <w:t>45/2016</w:t>
        </w:r>
      </w:hyperlink>
      <w:r>
        <w:t>, f. 3.</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119" w:history="1">
        <w:r w:rsidRPr="0057104C">
          <w:rPr>
            <w:rStyle w:val="TextoNormalCaracter"/>
          </w:rPr>
          <w:t>119/2016</w:t>
        </w:r>
      </w:hyperlink>
      <w:r>
        <w:t>, f. 4.</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119" w:history="1">
        <w:r w:rsidRPr="0057104C">
          <w:rPr>
            <w:rStyle w:val="TextoNormalCaracter"/>
          </w:rPr>
          <w:t>119/2016</w:t>
        </w:r>
      </w:hyperlink>
      <w:r>
        <w:t>, f. 4.</w:t>
      </w:r>
    </w:p>
    <w:p w:rsidR="0057104C" w:rsidRDefault="0057104C" w:rsidP="0057104C">
      <w:pPr>
        <w:pStyle w:val="SangriaFrancesaArticulo"/>
      </w:pPr>
      <w:r w:rsidRPr="0057104C">
        <w:rPr>
          <w:rStyle w:val="TextoNormalNegritaCaracter"/>
        </w:rPr>
        <w:t>Artículo 47.</w:t>
      </w:r>
      <w:r w:rsidRPr="0057104C">
        <w:rPr>
          <w:rStyle w:val="TextoNormalCaracter"/>
        </w:rPr>
        <w:t>-</w:t>
      </w:r>
      <w:r>
        <w:t xml:space="preserve"> Sentencia </w:t>
      </w:r>
      <w:hyperlink w:anchor="SENTENCIA_2016_99" w:history="1">
        <w:r w:rsidRPr="0057104C">
          <w:rPr>
            <w:rStyle w:val="TextoNormalCaracter"/>
          </w:rPr>
          <w:t>99/2016</w:t>
        </w:r>
      </w:hyperlink>
      <w:r>
        <w:t>, f. 7.</w:t>
      </w:r>
    </w:p>
    <w:p w:rsidR="0057104C" w:rsidRDefault="0057104C" w:rsidP="0057104C">
      <w:pPr>
        <w:pStyle w:val="SangriaFrancesaArticulo"/>
      </w:pPr>
      <w:r w:rsidRPr="0057104C">
        <w:rPr>
          <w:rStyle w:val="TextoNormalNegritaCaracter"/>
        </w:rPr>
        <w:t>Artículo 48 c).</w:t>
      </w:r>
      <w:r w:rsidRPr="0057104C">
        <w:rPr>
          <w:rStyle w:val="TextoNormalCaracter"/>
        </w:rPr>
        <w:t>-</w:t>
      </w:r>
      <w:r>
        <w:t xml:space="preserve"> Sentencia </w:t>
      </w:r>
      <w:hyperlink w:anchor="SENTENCIA_2016_119" w:history="1">
        <w:r w:rsidRPr="0057104C">
          <w:rPr>
            <w:rStyle w:val="TextoNormalCaracter"/>
          </w:rPr>
          <w:t>119/2016</w:t>
        </w:r>
      </w:hyperlink>
      <w:r>
        <w:t>, f. 4.</w:t>
      </w:r>
    </w:p>
    <w:p w:rsidR="0057104C" w:rsidRDefault="0057104C" w:rsidP="0057104C">
      <w:pPr>
        <w:pStyle w:val="SangriaFrancesaArticulo"/>
      </w:pPr>
      <w:r w:rsidRPr="0057104C">
        <w:rPr>
          <w:rStyle w:val="TextoNormalNegritaCaracter"/>
        </w:rPr>
        <w:t>Articulo 48 k).</w:t>
      </w:r>
      <w:r w:rsidRPr="0057104C">
        <w:rPr>
          <w:rStyle w:val="TextoNormalCaracter"/>
        </w:rPr>
        <w:t>-</w:t>
      </w:r>
      <w:r>
        <w:t xml:space="preserve"> Sentencia </w:t>
      </w:r>
      <w:hyperlink w:anchor="SENTENCIA_2016_119" w:history="1">
        <w:r w:rsidRPr="0057104C">
          <w:rPr>
            <w:rStyle w:val="TextoNormalCaracter"/>
          </w:rPr>
          <w:t>119/2016</w:t>
        </w:r>
      </w:hyperlink>
      <w:r>
        <w:t>, f. 1.</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 </w:t>
      </w:r>
      <w:hyperlink w:anchor="SENTENCIA_2016_99" w:history="1">
        <w:r w:rsidRPr="0057104C">
          <w:rPr>
            <w:rStyle w:val="TextoNormalCaracter"/>
          </w:rPr>
          <w:t>99/2016</w:t>
        </w:r>
      </w:hyperlink>
      <w:r>
        <w:t>, f. 7.</w:t>
      </w:r>
    </w:p>
    <w:p w:rsidR="0057104C" w:rsidRDefault="0057104C" w:rsidP="0057104C">
      <w:pPr>
        <w:pStyle w:val="SangriaFrancesaArticulo"/>
      </w:pPr>
      <w:r w:rsidRPr="0057104C">
        <w:rPr>
          <w:rStyle w:val="TextoNormalNegritaCaracter"/>
        </w:rPr>
        <w:t>Artículo 54.2.</w:t>
      </w:r>
      <w:r w:rsidRPr="0057104C">
        <w:rPr>
          <w:rStyle w:val="TextoNormalCaracter"/>
        </w:rPr>
        <w:t>-</w:t>
      </w:r>
      <w:r>
        <w:t xml:space="preserve"> Sentencia </w:t>
      </w:r>
      <w:hyperlink w:anchor="SENTENCIA_2016_99" w:history="1">
        <w:r w:rsidRPr="0057104C">
          <w:rPr>
            <w:rStyle w:val="TextoNormalCaracter"/>
          </w:rPr>
          <w:t>99/2016</w:t>
        </w:r>
      </w:hyperlink>
      <w:r>
        <w:t>, f. 7.</w:t>
      </w:r>
    </w:p>
    <w:p w:rsidR="0057104C" w:rsidRDefault="0057104C" w:rsidP="0057104C">
      <w:pPr>
        <w:pStyle w:val="SangriaFrancesaArticulo"/>
      </w:pPr>
    </w:p>
    <w:p w:rsidR="0057104C" w:rsidRDefault="0057104C" w:rsidP="0057104C">
      <w:pPr>
        <w:pStyle w:val="TextoNormalNegritaCursivandice"/>
      </w:pPr>
      <w:r>
        <w:t>Real Decreto Legislativo 7/2015, de 30 de octubre. Texto refundido de la Ley de suelo y rehabilitación urbana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Sentencia </w:t>
      </w:r>
      <w:hyperlink w:anchor="SENTENCIA_2016_5" w:history="1">
        <w:r w:rsidRPr="0057104C">
          <w:rPr>
            <w:rStyle w:val="TextoNormalCaracter"/>
          </w:rPr>
          <w:t>5/2016</w:t>
        </w:r>
      </w:hyperlink>
      <w:r>
        <w:t>, f. 3.</w:t>
      </w:r>
    </w:p>
    <w:p w:rsidR="0057104C" w:rsidRDefault="0057104C" w:rsidP="0057104C">
      <w:pPr>
        <w:pStyle w:val="SangriaFrancesaArticulo"/>
      </w:pPr>
      <w:r w:rsidRPr="0057104C">
        <w:rPr>
          <w:rStyle w:val="TextoNormalNegritaCaracter"/>
        </w:rPr>
        <w:t>Artículo 4.3.</w:t>
      </w:r>
      <w:r w:rsidRPr="0057104C">
        <w:rPr>
          <w:rStyle w:val="TextoNormalCaracter"/>
        </w:rPr>
        <w:t>-</w:t>
      </w:r>
      <w:r>
        <w:t xml:space="preserve"> Sentencia </w:t>
      </w:r>
      <w:hyperlink w:anchor="SENTENCIA_2016_5" w:history="1">
        <w:r w:rsidRPr="0057104C">
          <w:rPr>
            <w:rStyle w:val="TextoNormalCaracter"/>
          </w:rPr>
          <w:t>5/2016</w:t>
        </w:r>
      </w:hyperlink>
      <w:r>
        <w:t>, f. 3.</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5" w:history="1">
        <w:r w:rsidRPr="0057104C">
          <w:rPr>
            <w:rStyle w:val="TextoNormalCaracter"/>
          </w:rPr>
          <w:t>5/2016</w:t>
        </w:r>
      </w:hyperlink>
      <w:r>
        <w:t>, f. 3.</w:t>
      </w:r>
    </w:p>
    <w:p w:rsidR="0057104C" w:rsidRDefault="0057104C" w:rsidP="0057104C">
      <w:pPr>
        <w:pStyle w:val="SangriaFrancesaArticulo"/>
      </w:pPr>
      <w:r w:rsidRPr="0057104C">
        <w:rPr>
          <w:rStyle w:val="TextoNormalNegritaCaracter"/>
        </w:rPr>
        <w:t>Artículo 9.4 e).</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9.5 b).</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11.3.</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r w:rsidRPr="0057104C">
        <w:rPr>
          <w:rStyle w:val="TextoNormalNegritaCaracter"/>
        </w:rPr>
        <w:t>Artículo 11.4.</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r w:rsidRPr="0057104C">
        <w:rPr>
          <w:rStyle w:val="TextoNormalNegritaCaracter"/>
        </w:rPr>
        <w:t>Artículo 11.5.</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r w:rsidRPr="0057104C">
        <w:rPr>
          <w:rStyle w:val="TextoNormalNegritaCaracter"/>
        </w:rPr>
        <w:t>Artículo 18.1 b).</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18.2 a).</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29.</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29 a).</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29 b).</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29 c).</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30.</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51.1.</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51.2.</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52.1.</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52.2.</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 </w:t>
      </w:r>
      <w:hyperlink w:anchor="SENTENCIA_2016_5" w:history="1">
        <w:r w:rsidRPr="0057104C">
          <w:rPr>
            <w:rStyle w:val="TextoNormalCaracter"/>
          </w:rPr>
          <w:t>5/2016</w:t>
        </w:r>
      </w:hyperlink>
      <w:r>
        <w:t>, f. 2.</w:t>
      </w:r>
    </w:p>
    <w:p w:rsidR="0057104C" w:rsidRDefault="0057104C" w:rsidP="0057104C">
      <w:pPr>
        <w:pStyle w:val="SangriaFrancesaArticulo"/>
      </w:pPr>
      <w:r w:rsidRPr="0057104C">
        <w:rPr>
          <w:rStyle w:val="TextoNormalNegritaCaracter"/>
        </w:rPr>
        <w:t>Disposición derogatoria única.</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Disposición derogatoria única, apartado a).</w:t>
      </w:r>
      <w:r w:rsidRPr="0057104C">
        <w:rPr>
          <w:rStyle w:val="TextoNormalCaracter"/>
        </w:rPr>
        <w:t>-</w:t>
      </w:r>
      <w:r>
        <w:t xml:space="preserve"> Autos </w:t>
      </w:r>
      <w:hyperlink w:anchor="AUTO_2016_6" w:history="1">
        <w:r w:rsidRPr="0057104C">
          <w:rPr>
            <w:rStyle w:val="TextoNormalCaracter"/>
          </w:rPr>
          <w:t>6/2016</w:t>
        </w:r>
      </w:hyperlink>
      <w:r>
        <w:t xml:space="preserve">, f. 2; </w:t>
      </w:r>
      <w:hyperlink w:anchor="AUTO_2016_7" w:history="1">
        <w:r w:rsidRPr="0057104C">
          <w:rPr>
            <w:rStyle w:val="TextoNormalCaracter"/>
          </w:rPr>
          <w:t>7/2016</w:t>
        </w:r>
      </w:hyperlink>
      <w:r>
        <w:t xml:space="preserve">, f. 2; </w:t>
      </w:r>
      <w:hyperlink w:anchor="AUTO_2016_8" w:history="1">
        <w:r w:rsidRPr="0057104C">
          <w:rPr>
            <w:rStyle w:val="TextoNormalCaracter"/>
          </w:rPr>
          <w:t>8/2016</w:t>
        </w:r>
      </w:hyperlink>
      <w:r>
        <w:t xml:space="preserve">, f. 2; </w:t>
      </w:r>
      <w:hyperlink w:anchor="AUTO_2016_10" w:history="1">
        <w:r w:rsidRPr="0057104C">
          <w:rPr>
            <w:rStyle w:val="TextoNormalCaracter"/>
          </w:rPr>
          <w:t>10/2016</w:t>
        </w:r>
      </w:hyperlink>
      <w:r>
        <w:t xml:space="preserve">, f. 2; </w:t>
      </w:r>
      <w:hyperlink w:anchor="AUTO_2016_21" w:history="1">
        <w:r w:rsidRPr="0057104C">
          <w:rPr>
            <w:rStyle w:val="TextoNormalCaracter"/>
          </w:rPr>
          <w:t>21/2016</w:t>
        </w:r>
      </w:hyperlink>
      <w:r>
        <w:t xml:space="preserve">, f. 2; </w:t>
      </w:r>
      <w:hyperlink w:anchor="AUTO_2016_22" w:history="1">
        <w:r w:rsidRPr="0057104C">
          <w:rPr>
            <w:rStyle w:val="TextoNormalCaracter"/>
          </w:rPr>
          <w:t>22/2016</w:t>
        </w:r>
      </w:hyperlink>
      <w:r>
        <w:t xml:space="preserve">, f. 2; </w:t>
      </w:r>
      <w:hyperlink w:anchor="AUTO_2016_37" w:history="1">
        <w:r w:rsidRPr="0057104C">
          <w:rPr>
            <w:rStyle w:val="TextoNormalCaracter"/>
          </w:rPr>
          <w:t>37/2016</w:t>
        </w:r>
      </w:hyperlink>
      <w:r>
        <w:t xml:space="preserve">, f. 2; </w:t>
      </w:r>
      <w:hyperlink w:anchor="AUTO_2016_38" w:history="1">
        <w:r w:rsidRPr="0057104C">
          <w:rPr>
            <w:rStyle w:val="TextoNormalCaracter"/>
          </w:rPr>
          <w:t>38/2016</w:t>
        </w:r>
      </w:hyperlink>
      <w:r>
        <w:t xml:space="preserve">, f. 2; </w:t>
      </w:r>
      <w:hyperlink w:anchor="AUTO_2016_50" w:history="1">
        <w:r w:rsidRPr="0057104C">
          <w:rPr>
            <w:rStyle w:val="TextoNormalCaracter"/>
          </w:rPr>
          <w:t>50/2016</w:t>
        </w:r>
      </w:hyperlink>
      <w:r>
        <w:t xml:space="preserve">, f. 2; </w:t>
      </w:r>
      <w:hyperlink w:anchor="AUTO_2016_52" w:history="1">
        <w:r w:rsidRPr="0057104C">
          <w:rPr>
            <w:rStyle w:val="TextoNormalCaracter"/>
          </w:rPr>
          <w:t>52/2016</w:t>
        </w:r>
      </w:hyperlink>
      <w:r>
        <w:t>, f. 2.</w:t>
      </w:r>
    </w:p>
    <w:p w:rsidR="0057104C" w:rsidRDefault="0057104C" w:rsidP="0057104C">
      <w:pPr>
        <w:pStyle w:val="SangriaFrancesaArticulo"/>
      </w:pPr>
      <w:r w:rsidRPr="0057104C">
        <w:rPr>
          <w:rStyle w:val="TextoNormalNegritaCaracter"/>
        </w:rPr>
        <w:t>Disposición final única.</w:t>
      </w:r>
      <w:r w:rsidRPr="0057104C">
        <w:rPr>
          <w:rStyle w:val="TextoNormalCaracter"/>
        </w:rPr>
        <w:t>-</w:t>
      </w:r>
      <w:r>
        <w:t xml:space="preserve"> Autos </w:t>
      </w:r>
      <w:hyperlink w:anchor="AUTO_2016_6" w:history="1">
        <w:r w:rsidRPr="0057104C">
          <w:rPr>
            <w:rStyle w:val="TextoNormalCaracter"/>
          </w:rPr>
          <w:t>6/2016</w:t>
        </w:r>
      </w:hyperlink>
      <w:r>
        <w:t xml:space="preserve">, f. 2; </w:t>
      </w:r>
      <w:hyperlink w:anchor="AUTO_2016_7" w:history="1">
        <w:r w:rsidRPr="0057104C">
          <w:rPr>
            <w:rStyle w:val="TextoNormalCaracter"/>
          </w:rPr>
          <w:t>7/2016</w:t>
        </w:r>
      </w:hyperlink>
      <w:r>
        <w:t xml:space="preserve">, f. 2; </w:t>
      </w:r>
      <w:hyperlink w:anchor="AUTO_2016_8" w:history="1">
        <w:r w:rsidRPr="0057104C">
          <w:rPr>
            <w:rStyle w:val="TextoNormalCaracter"/>
          </w:rPr>
          <w:t>8/2016</w:t>
        </w:r>
      </w:hyperlink>
      <w:r>
        <w:t xml:space="preserve">, f. 2; </w:t>
      </w:r>
      <w:hyperlink w:anchor="AUTO_2016_10" w:history="1">
        <w:r w:rsidRPr="0057104C">
          <w:rPr>
            <w:rStyle w:val="TextoNormalCaracter"/>
          </w:rPr>
          <w:t>10/2016</w:t>
        </w:r>
      </w:hyperlink>
      <w:r>
        <w:t xml:space="preserve">, f. 2; </w:t>
      </w:r>
      <w:hyperlink w:anchor="AUTO_2016_37" w:history="1">
        <w:r w:rsidRPr="0057104C">
          <w:rPr>
            <w:rStyle w:val="TextoNormalCaracter"/>
          </w:rPr>
          <w:t>37/2016</w:t>
        </w:r>
      </w:hyperlink>
      <w:r>
        <w:t xml:space="preserve">, f. 2; </w:t>
      </w:r>
      <w:hyperlink w:anchor="AUTO_2016_38" w:history="1">
        <w:r w:rsidRPr="0057104C">
          <w:rPr>
            <w:rStyle w:val="TextoNormalCaracter"/>
          </w:rPr>
          <w:t>38/2016</w:t>
        </w:r>
      </w:hyperlink>
      <w:r>
        <w:t xml:space="preserve">, f. 2; </w:t>
      </w:r>
      <w:hyperlink w:anchor="AUTO_2016_50" w:history="1">
        <w:r w:rsidRPr="0057104C">
          <w:rPr>
            <w:rStyle w:val="TextoNormalCaracter"/>
          </w:rPr>
          <w:t>50/2016</w:t>
        </w:r>
      </w:hyperlink>
      <w:r>
        <w:t xml:space="preserve">, f. 2; </w:t>
      </w:r>
      <w:hyperlink w:anchor="AUTO_2016_52" w:history="1">
        <w:r w:rsidRPr="0057104C">
          <w:rPr>
            <w:rStyle w:val="TextoNormalCaracter"/>
          </w:rPr>
          <w:t>52/2016</w:t>
        </w:r>
      </w:hyperlink>
      <w:r>
        <w:t xml:space="preserve">, f. 2; </w:t>
      </w:r>
      <w:hyperlink w:anchor="AUTO_2016_70" w:history="1">
        <w:r w:rsidRPr="0057104C">
          <w:rPr>
            <w:rStyle w:val="TextoNormalCaracter"/>
          </w:rPr>
          <w:t>70/2016</w:t>
        </w:r>
      </w:hyperlink>
      <w:r>
        <w:t>, f. 2.</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p>
    <w:p w:rsidR="0057104C" w:rsidRDefault="0057104C" w:rsidP="0057104C">
      <w:pPr>
        <w:pStyle w:val="TextoNormalNegritaCursivandice"/>
      </w:pPr>
      <w:r>
        <w:t>Real Decreto Legislativo 8/2015, de 30 de octubre. Texto refundido de la Ley general de la Seguridad Social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 2.</w:t>
      </w:r>
    </w:p>
    <w:p w:rsidR="0057104C" w:rsidRDefault="0057104C" w:rsidP="0057104C">
      <w:pPr>
        <w:pStyle w:val="SangriaFrancesaArticulo"/>
      </w:pPr>
      <w:r w:rsidRPr="0057104C">
        <w:rPr>
          <w:rStyle w:val="TextoNormalNegritaCaracter"/>
        </w:rPr>
        <w:t>Artículo 66.</w:t>
      </w:r>
      <w:r w:rsidRPr="0057104C">
        <w:rPr>
          <w:rStyle w:val="TextoNormalCaracter"/>
        </w:rPr>
        <w:t>-</w:t>
      </w:r>
      <w:r>
        <w:t xml:space="preserve"> Sentencia </w:t>
      </w:r>
      <w:hyperlink w:anchor="SENTENCIA_2016_73" w:history="1">
        <w:r w:rsidRPr="0057104C">
          <w:rPr>
            <w:rStyle w:val="TextoNormalCaracter"/>
          </w:rPr>
          <w:t>73/2016</w:t>
        </w:r>
      </w:hyperlink>
      <w:r>
        <w:t>, f. 3.</w:t>
      </w:r>
    </w:p>
    <w:p w:rsidR="0057104C" w:rsidRDefault="0057104C" w:rsidP="0057104C">
      <w:pPr>
        <w:pStyle w:val="SangriaFrancesaArticulo"/>
      </w:pPr>
      <w:r w:rsidRPr="0057104C">
        <w:rPr>
          <w:rStyle w:val="TextoNormalNegritaCaracter"/>
        </w:rPr>
        <w:t>Artículo 75.</w:t>
      </w:r>
      <w:r w:rsidRPr="0057104C">
        <w:rPr>
          <w:rStyle w:val="TextoNormalCaracter"/>
        </w:rPr>
        <w:t>-</w:t>
      </w:r>
      <w:r>
        <w:t xml:space="preserve"> Sentencia </w:t>
      </w:r>
      <w:hyperlink w:anchor="SENTENCIA_2016_73" w:history="1">
        <w:r w:rsidRPr="0057104C">
          <w:rPr>
            <w:rStyle w:val="TextoNormalCaracter"/>
          </w:rPr>
          <w:t>73/2016</w:t>
        </w:r>
      </w:hyperlink>
      <w:r>
        <w:t>, f. 3.</w:t>
      </w:r>
    </w:p>
    <w:p w:rsidR="0057104C" w:rsidRDefault="0057104C" w:rsidP="0057104C">
      <w:pPr>
        <w:pStyle w:val="SangriaFrancesaArticulo"/>
      </w:pPr>
      <w:r w:rsidRPr="0057104C">
        <w:rPr>
          <w:rStyle w:val="TextoNormalNegritaCaracter"/>
        </w:rPr>
        <w:t>Artículo 80.2.</w:t>
      </w:r>
      <w:r w:rsidRPr="0057104C">
        <w:rPr>
          <w:rStyle w:val="TextoNormalCaracter"/>
        </w:rPr>
        <w:t>-</w:t>
      </w:r>
      <w:r>
        <w:t xml:space="preserve"> Sentencia </w:t>
      </w:r>
      <w:hyperlink w:anchor="SENTENCIA_2016_7" w:history="1">
        <w:r w:rsidRPr="0057104C">
          <w:rPr>
            <w:rStyle w:val="TextoNormalCaracter"/>
          </w:rPr>
          <w:t>7/2016</w:t>
        </w:r>
      </w:hyperlink>
      <w:r>
        <w:t>, ff. 3, 4.</w:t>
      </w:r>
    </w:p>
    <w:p w:rsidR="0057104C" w:rsidRDefault="0057104C" w:rsidP="0057104C">
      <w:pPr>
        <w:pStyle w:val="SangriaFrancesaArticulo"/>
      </w:pPr>
      <w:r w:rsidRPr="0057104C">
        <w:rPr>
          <w:rStyle w:val="TextoNormalNegritaCaracter"/>
        </w:rPr>
        <w:t>Artículos 80 a 102.</w:t>
      </w:r>
      <w:r w:rsidRPr="0057104C">
        <w:rPr>
          <w:rStyle w:val="TextoNormalCaracter"/>
        </w:rPr>
        <w:t>-</w:t>
      </w:r>
      <w:r>
        <w:t xml:space="preserve"> Sentencia </w:t>
      </w:r>
      <w:hyperlink w:anchor="SENTENCIA_2016_7" w:history="1">
        <w:r w:rsidRPr="0057104C">
          <w:rPr>
            <w:rStyle w:val="TextoNormalCaracter"/>
          </w:rPr>
          <w:t>7/2016</w:t>
        </w:r>
      </w:hyperlink>
      <w:r>
        <w:t>, f. 2.</w:t>
      </w:r>
    </w:p>
    <w:p w:rsidR="0057104C" w:rsidRDefault="0057104C" w:rsidP="0057104C">
      <w:pPr>
        <w:pStyle w:val="SangriaFrancesaArticulo"/>
      </w:pPr>
      <w:r w:rsidRPr="0057104C">
        <w:rPr>
          <w:rStyle w:val="TextoNormalNegritaCaracter"/>
        </w:rPr>
        <w:t>Artículo 82.</w:t>
      </w:r>
      <w:r w:rsidRPr="0057104C">
        <w:rPr>
          <w:rStyle w:val="TextoNormalCaracter"/>
        </w:rPr>
        <w:t>-</w:t>
      </w:r>
      <w:r>
        <w:t xml:space="preserve"> Sentencia </w:t>
      </w:r>
      <w:hyperlink w:anchor="SENTENCIA_2016_7" w:history="1">
        <w:r w:rsidRPr="0057104C">
          <w:rPr>
            <w:rStyle w:val="TextoNormalCaracter"/>
          </w:rPr>
          <w:t>7/2016</w:t>
        </w:r>
      </w:hyperlink>
      <w:r>
        <w:t>, ff. 3, 4.</w:t>
      </w:r>
    </w:p>
    <w:p w:rsidR="0057104C" w:rsidRDefault="0057104C" w:rsidP="0057104C">
      <w:pPr>
        <w:pStyle w:val="SangriaFrancesaArticulo"/>
      </w:pPr>
      <w:r w:rsidRPr="0057104C">
        <w:rPr>
          <w:rStyle w:val="TextoNormalNegritaCaracter"/>
        </w:rPr>
        <w:t>Artículo 82.3.</w:t>
      </w:r>
      <w:r w:rsidRPr="0057104C">
        <w:rPr>
          <w:rStyle w:val="TextoNormalCaracter"/>
        </w:rPr>
        <w:t>-</w:t>
      </w:r>
      <w:r>
        <w:t xml:space="preserve"> Sentencia </w:t>
      </w:r>
      <w:hyperlink w:anchor="SENTENCIA_2016_7" w:history="1">
        <w:r w:rsidRPr="0057104C">
          <w:rPr>
            <w:rStyle w:val="TextoNormalCaracter"/>
          </w:rPr>
          <w:t>7/2016</w:t>
        </w:r>
      </w:hyperlink>
      <w:r>
        <w:t>, f. 5.</w:t>
      </w:r>
    </w:p>
    <w:p w:rsidR="0057104C" w:rsidRDefault="0057104C" w:rsidP="0057104C">
      <w:pPr>
        <w:pStyle w:val="SangriaFrancesaArticulo"/>
      </w:pPr>
      <w:r w:rsidRPr="0057104C">
        <w:rPr>
          <w:rStyle w:val="TextoNormalNegritaCaracter"/>
        </w:rPr>
        <w:t>Artículo 221.2.</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230.</w:t>
      </w:r>
      <w:r w:rsidRPr="0057104C">
        <w:rPr>
          <w:rStyle w:val="TextoNormalCaracter"/>
        </w:rPr>
        <w:t>-</w:t>
      </w:r>
      <w:r>
        <w:t xml:space="preserve"> Auto </w:t>
      </w:r>
      <w:hyperlink w:anchor="AUTO_2016_129" w:history="1">
        <w:r w:rsidRPr="0057104C">
          <w:rPr>
            <w:rStyle w:val="TextoNormalCaracter"/>
          </w:rPr>
          <w:t>129/2016</w:t>
        </w:r>
      </w:hyperlink>
      <w:r>
        <w:t>, VP.</w:t>
      </w:r>
    </w:p>
    <w:p w:rsidR="0057104C" w:rsidRDefault="0057104C" w:rsidP="0057104C">
      <w:pPr>
        <w:pStyle w:val="SangriaFrancesaArticulo"/>
      </w:pPr>
      <w:r w:rsidRPr="0057104C">
        <w:rPr>
          <w:rStyle w:val="TextoNormalNegritaCaracter"/>
        </w:rPr>
        <w:t>Artículo 274.2 a).</w:t>
      </w:r>
      <w:r w:rsidRPr="0057104C">
        <w:rPr>
          <w:rStyle w:val="TextoNormalCaracter"/>
        </w:rPr>
        <w:t>-</w:t>
      </w:r>
      <w:r>
        <w:t xml:space="preserve"> Sentencia </w:t>
      </w:r>
      <w:hyperlink w:anchor="SENTENCIA_2016_123" w:history="1">
        <w:r w:rsidRPr="0057104C">
          <w:rPr>
            <w:rStyle w:val="TextoNormalCaracter"/>
          </w:rPr>
          <w:t>123/2016</w:t>
        </w:r>
      </w:hyperlink>
      <w:r>
        <w:t>, f. 1.</w:t>
      </w:r>
    </w:p>
    <w:p w:rsidR="0057104C" w:rsidRDefault="0057104C" w:rsidP="0057104C">
      <w:pPr>
        <w:pStyle w:val="TextoNormal"/>
      </w:pPr>
    </w:p>
    <w:p w:rsidR="0057104C" w:rsidRDefault="0057104C" w:rsidP="0057104C">
      <w:pPr>
        <w:pStyle w:val="SangriaFrancesaArticulo"/>
      </w:pPr>
      <w:bookmarkStart w:id="272" w:name="INDICE22848"/>
    </w:p>
    <w:bookmarkEnd w:id="272"/>
    <w:p w:rsidR="0057104C" w:rsidRDefault="0057104C" w:rsidP="0057104C">
      <w:pPr>
        <w:pStyle w:val="TextoIndiceNivel2"/>
        <w:suppressAutoHyphens/>
      </w:pPr>
      <w:r>
        <w:t>G) Reales Decretos-leyes</w:t>
      </w:r>
    </w:p>
    <w:p w:rsidR="0057104C" w:rsidRDefault="0057104C" w:rsidP="0057104C">
      <w:pPr>
        <w:pStyle w:val="TextoIndiceNivel2"/>
      </w:pPr>
    </w:p>
    <w:p w:rsidR="0057104C" w:rsidRDefault="0057104C" w:rsidP="0057104C">
      <w:pPr>
        <w:pStyle w:val="TextoNormalNegritaCursivandice"/>
      </w:pPr>
      <w:r>
        <w:t>Real Decreto-ley 7/1996, de 7 de junio. Medidas urgentes de carácter fiscal y de fomento y liberalización de la actividad económica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9" w:history="1">
        <w:r w:rsidRPr="0057104C">
          <w:rPr>
            <w:rStyle w:val="TextoNormalCaracter"/>
          </w:rPr>
          <w:t>59/2016</w:t>
        </w:r>
      </w:hyperlink>
      <w:r>
        <w:t>, f. 1.</w:t>
      </w:r>
    </w:p>
    <w:p w:rsidR="0057104C" w:rsidRDefault="0057104C" w:rsidP="0057104C">
      <w:pPr>
        <w:pStyle w:val="SangriaFrancesaArticulo"/>
      </w:pPr>
      <w:r w:rsidRPr="0057104C">
        <w:rPr>
          <w:rStyle w:val="TextoNormalNegritaCaracter"/>
        </w:rPr>
        <w:t>Artículo 25</w:t>
      </w:r>
      <w:r>
        <w:t xml:space="preserve"> (redactado por el Real Decreto-ley 20/2012, de 13 de julio)</w:t>
      </w:r>
      <w:r w:rsidRPr="0057104C">
        <w:rPr>
          <w:rStyle w:val="TextoNormalNegritaCaracter"/>
        </w:rPr>
        <w:t>.</w:t>
      </w:r>
      <w:r w:rsidRPr="0057104C">
        <w:rPr>
          <w:rStyle w:val="TextoNormalCaracter"/>
        </w:rPr>
        <w:t>-</w:t>
      </w:r>
      <w:r>
        <w:t xml:space="preserve"> Sentencia </w:t>
      </w:r>
      <w:hyperlink w:anchor="SENTENCIA_2016_59" w:history="1">
        <w:r w:rsidRPr="0057104C">
          <w:rPr>
            <w:rStyle w:val="TextoNormalCaracter"/>
          </w:rPr>
          <w:t>59/2016</w:t>
        </w:r>
      </w:hyperlink>
      <w:r>
        <w:t>, f. 4.</w:t>
      </w:r>
    </w:p>
    <w:p w:rsidR="0057104C" w:rsidRDefault="0057104C" w:rsidP="0057104C">
      <w:pPr>
        <w:pStyle w:val="SangriaFrancesaArticulo"/>
      </w:pPr>
    </w:p>
    <w:p w:rsidR="0057104C" w:rsidRDefault="0057104C" w:rsidP="0057104C">
      <w:pPr>
        <w:pStyle w:val="TextoNormalNegritaCursivandice"/>
      </w:pPr>
      <w:r>
        <w:t>Real Decreto-ley 9/2008, de 28 de noviembre. Crea un fondo estatal de inversión local y un fondo especial del Estado para la dinamización de la economía y el empleo y se aprueban créditos extraordinarios para atender a su financiación</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Auto </w:t>
      </w:r>
      <w:hyperlink w:anchor="AUTO_2016_12" w:history="1">
        <w:r w:rsidRPr="0057104C">
          <w:rPr>
            <w:rStyle w:val="TextoNormalCaracter"/>
          </w:rPr>
          <w:t>12/2016</w:t>
        </w:r>
      </w:hyperlink>
      <w:r>
        <w:t>, ff. 1, 3.</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Auto </w:t>
      </w:r>
      <w:hyperlink w:anchor="AUTO_2016_12" w:history="1">
        <w:r w:rsidRPr="0057104C">
          <w:rPr>
            <w:rStyle w:val="TextoNormalCaracter"/>
          </w:rPr>
          <w:t>12/2016</w:t>
        </w:r>
      </w:hyperlink>
      <w:r>
        <w:t>, ff. 1, 3.</w:t>
      </w:r>
    </w:p>
    <w:p w:rsidR="0057104C" w:rsidRDefault="0057104C" w:rsidP="0057104C">
      <w:pPr>
        <w:pStyle w:val="SangriaFrancesaArticulo"/>
      </w:pPr>
    </w:p>
    <w:p w:rsidR="0057104C" w:rsidRDefault="0057104C" w:rsidP="0057104C">
      <w:pPr>
        <w:pStyle w:val="TextoNormalNegritaCursivandice"/>
      </w:pPr>
      <w:r>
        <w:t>Real Decreto-ley 6/2009, de 30 de abril. Adopción de determinadas medidas en el sector energético y se aprueba el bono social</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62" w:history="1">
        <w:r w:rsidRPr="0057104C">
          <w:rPr>
            <w:rStyle w:val="TextoNormalCaracter"/>
          </w:rPr>
          <w:t>62/2016</w:t>
        </w:r>
      </w:hyperlink>
      <w:r>
        <w:t>, f. 9, VPI.</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 </w:t>
      </w:r>
      <w:hyperlink w:anchor="SENTENCIA_2016_62" w:history="1">
        <w:r w:rsidRPr="0057104C">
          <w:rPr>
            <w:rStyle w:val="TextoNormalCaracter"/>
          </w:rPr>
          <w:t>62/2016</w:t>
        </w:r>
      </w:hyperlink>
      <w:r>
        <w:t>, f. 9, VPI.</w:t>
      </w:r>
    </w:p>
    <w:p w:rsidR="0057104C" w:rsidRDefault="0057104C" w:rsidP="0057104C">
      <w:pPr>
        <w:pStyle w:val="SangriaFrancesaArticulo"/>
      </w:pPr>
    </w:p>
    <w:p w:rsidR="0057104C" w:rsidRDefault="0057104C" w:rsidP="0057104C">
      <w:pPr>
        <w:pStyle w:val="TextoNormalNegritaCursivandice"/>
      </w:pPr>
      <w:r>
        <w:t>Real Decreto-ley 13/2009, de 26 de octubre. Creación del fondo estatal para el empleo y la sostenibilidad local</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Auto </w:t>
      </w:r>
      <w:hyperlink w:anchor="AUTO_2016_12" w:history="1">
        <w:r w:rsidRPr="0057104C">
          <w:rPr>
            <w:rStyle w:val="TextoNormalCaracter"/>
          </w:rPr>
          <w:t>12/2016</w:t>
        </w:r>
      </w:hyperlink>
      <w:r>
        <w:t>, f. 1.</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Auto </w:t>
      </w:r>
      <w:hyperlink w:anchor="AUTO_2016_12" w:history="1">
        <w:r w:rsidRPr="0057104C">
          <w:rPr>
            <w:rStyle w:val="TextoNormalCaracter"/>
          </w:rPr>
          <w:t>12/2016</w:t>
        </w:r>
      </w:hyperlink>
      <w:r>
        <w:t>, f. 1.</w:t>
      </w:r>
    </w:p>
    <w:p w:rsidR="0057104C" w:rsidRDefault="0057104C" w:rsidP="0057104C">
      <w:pPr>
        <w:pStyle w:val="SangriaFrancesaArticulo"/>
      </w:pPr>
    </w:p>
    <w:p w:rsidR="0057104C" w:rsidRDefault="0057104C" w:rsidP="0057104C">
      <w:pPr>
        <w:pStyle w:val="TextoNormalNegritaCursivandice"/>
      </w:pPr>
      <w:r>
        <w:t>Real Decreto-ley 14/2010, de 23 de diciembre. Medidas urgentes para la corrección del déficit tarifario del sector eléctrico</w:t>
      </w:r>
    </w:p>
    <w:p w:rsidR="0057104C" w:rsidRDefault="0057104C" w:rsidP="0057104C">
      <w:pPr>
        <w:pStyle w:val="SangriaFrancesaArticulo"/>
      </w:pPr>
      <w:r w:rsidRPr="0057104C">
        <w:rPr>
          <w:rStyle w:val="TextoNormalNegritaCaracter"/>
        </w:rPr>
        <w:t>Disposición adicional segunda.</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p>
    <w:p w:rsidR="0057104C" w:rsidRDefault="0057104C" w:rsidP="0057104C">
      <w:pPr>
        <w:pStyle w:val="TextoNormalNegritaCursivandice"/>
      </w:pPr>
      <w:r>
        <w:t>Real Decreto-ley 8/2011, de 1 de julio. Medidas de apoyo a deudores hipotecarios, control del gasto público y cancelación de deudas de entidades locales, fomento de la actividad empresarial y simplificación administrativa</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5" w:history="1">
        <w:r w:rsidRPr="0057104C">
          <w:rPr>
            <w:rStyle w:val="TextoNormalCaracter"/>
          </w:rPr>
          <w:t>5/2016</w:t>
        </w:r>
      </w:hyperlink>
      <w:r>
        <w:t>, ff. 2, 4.</w:t>
      </w:r>
    </w:p>
    <w:p w:rsidR="0057104C" w:rsidRDefault="0057104C" w:rsidP="0057104C">
      <w:pPr>
        <w:pStyle w:val="SangriaFrancesaArticulo"/>
      </w:pPr>
      <w:r w:rsidRPr="0057104C">
        <w:rPr>
          <w:rStyle w:val="TextoNormalNegritaCaracter"/>
        </w:rPr>
        <w:t>Artículo 17.1 c).</w:t>
      </w:r>
      <w:r w:rsidRPr="0057104C">
        <w:rPr>
          <w:rStyle w:val="TextoNormalCaracter"/>
        </w:rPr>
        <w:t>-</w:t>
      </w:r>
      <w:r>
        <w:t xml:space="preserve"> Sentencia </w:t>
      </w:r>
      <w:hyperlink w:anchor="SENTENCIA_2016_5" w:history="1">
        <w:r w:rsidRPr="0057104C">
          <w:rPr>
            <w:rStyle w:val="TextoNormalCaracter"/>
          </w:rPr>
          <w:t>5/2016</w:t>
        </w:r>
      </w:hyperlink>
      <w:r>
        <w:t>, ff. 1, 2, 5.</w:t>
      </w:r>
    </w:p>
    <w:p w:rsidR="0057104C" w:rsidRDefault="0057104C" w:rsidP="0057104C">
      <w:pPr>
        <w:pStyle w:val="SangriaFrancesaArticulo"/>
      </w:pPr>
      <w:r w:rsidRPr="0057104C">
        <w:rPr>
          <w:rStyle w:val="TextoNormalNegritaCaracter"/>
        </w:rPr>
        <w:t>Artículo 18.1.</w:t>
      </w:r>
      <w:r w:rsidRPr="0057104C">
        <w:rPr>
          <w:rStyle w:val="TextoNormalCaracter"/>
        </w:rPr>
        <w:t>-</w:t>
      </w:r>
      <w:r>
        <w:t xml:space="preserve"> Sentencia </w:t>
      </w:r>
      <w:hyperlink w:anchor="SENTENCIA_2016_5" w:history="1">
        <w:r w:rsidRPr="0057104C">
          <w:rPr>
            <w:rStyle w:val="TextoNormalCaracter"/>
          </w:rPr>
          <w:t>5/2016</w:t>
        </w:r>
      </w:hyperlink>
      <w:r>
        <w:t>, ff. 1, 2, 5.</w:t>
      </w:r>
    </w:p>
    <w:p w:rsidR="0057104C" w:rsidRDefault="0057104C" w:rsidP="0057104C">
      <w:pPr>
        <w:pStyle w:val="SangriaFrancesaArticulo"/>
      </w:pPr>
      <w:r w:rsidRPr="0057104C">
        <w:rPr>
          <w:rStyle w:val="TextoNormalNegritaCaracter"/>
        </w:rPr>
        <w:t>Artículo 19.2.</w:t>
      </w:r>
      <w:r w:rsidRPr="0057104C">
        <w:rPr>
          <w:rStyle w:val="TextoNormalCaracter"/>
        </w:rPr>
        <w:t>-</w:t>
      </w:r>
      <w:r>
        <w:t xml:space="preserve"> Sentencia </w:t>
      </w:r>
      <w:hyperlink w:anchor="SENTENCIA_2016_5" w:history="1">
        <w:r w:rsidRPr="0057104C">
          <w:rPr>
            <w:rStyle w:val="TextoNormalCaracter"/>
          </w:rPr>
          <w:t>5/2016</w:t>
        </w:r>
      </w:hyperlink>
      <w:r>
        <w:t>, ff. 1 a 3.</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5" w:history="1">
        <w:r w:rsidRPr="0057104C">
          <w:rPr>
            <w:rStyle w:val="TextoNormalCaracter"/>
          </w:rPr>
          <w:t>5/2016</w:t>
        </w:r>
      </w:hyperlink>
      <w:r>
        <w:t>, ff. 1, 2, 4, 5.</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5" w:history="1">
        <w:r w:rsidRPr="0057104C">
          <w:rPr>
            <w:rStyle w:val="TextoNormalCaracter"/>
          </w:rPr>
          <w:t>5/2016</w:t>
        </w:r>
      </w:hyperlink>
      <w:r>
        <w:t>, ff. 1, 2, 4, 5.</w:t>
      </w:r>
    </w:p>
    <w:p w:rsidR="0057104C" w:rsidRDefault="0057104C" w:rsidP="0057104C">
      <w:pPr>
        <w:pStyle w:val="SangriaFrancesaArticulo"/>
      </w:pPr>
      <w:r w:rsidRPr="0057104C">
        <w:rPr>
          <w:rStyle w:val="TextoNormalNegritaCaracter"/>
        </w:rPr>
        <w:t>Artículo 23.</w:t>
      </w:r>
      <w:r w:rsidRPr="0057104C">
        <w:rPr>
          <w:rStyle w:val="TextoNormalCaracter"/>
        </w:rPr>
        <w:t>-</w:t>
      </w:r>
      <w:r>
        <w:t xml:space="preserve"> Sentencias </w:t>
      </w:r>
      <w:hyperlink w:anchor="SENTENCIA_2016_5" w:history="1">
        <w:r w:rsidRPr="0057104C">
          <w:rPr>
            <w:rStyle w:val="TextoNormalCaracter"/>
          </w:rPr>
          <w:t>5/2016</w:t>
        </w:r>
      </w:hyperlink>
      <w:r>
        <w:t xml:space="preserve">, ff. 1, 2, 5; </w:t>
      </w:r>
      <w:hyperlink w:anchor="SENTENCIA_2016_17" w:history="1">
        <w:r w:rsidRPr="0057104C">
          <w:rPr>
            <w:rStyle w:val="TextoNormalCaracter"/>
          </w:rPr>
          <w:t>17/2016</w:t>
        </w:r>
      </w:hyperlink>
      <w:r>
        <w:t>, ff. 1, 5.</w:t>
      </w:r>
    </w:p>
    <w:p w:rsidR="0057104C" w:rsidRDefault="0057104C" w:rsidP="0057104C">
      <w:pPr>
        <w:pStyle w:val="SangriaFrancesaArticulo"/>
      </w:pPr>
      <w:r w:rsidRPr="0057104C">
        <w:rPr>
          <w:rStyle w:val="TextoNormalNegritaCaracter"/>
        </w:rPr>
        <w:t>Artículo 23.1 e).</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r w:rsidRPr="0057104C">
        <w:rPr>
          <w:rStyle w:val="TextoNormalNegritaCaracter"/>
        </w:rPr>
        <w:t>Disposicion adicional primera.</w:t>
      </w:r>
      <w:r w:rsidRPr="0057104C">
        <w:rPr>
          <w:rStyle w:val="TextoNormalCaracter"/>
        </w:rPr>
        <w:t>-</w:t>
      </w:r>
      <w:r>
        <w:t xml:space="preserve"> Sentencia </w:t>
      </w:r>
      <w:hyperlink w:anchor="SENTENCIA_2016_5" w:history="1">
        <w:r w:rsidRPr="0057104C">
          <w:rPr>
            <w:rStyle w:val="TextoNormalCaracter"/>
          </w:rPr>
          <w:t>5/2016</w:t>
        </w:r>
      </w:hyperlink>
      <w:r>
        <w:t>, f. 5.</w:t>
      </w:r>
    </w:p>
    <w:p w:rsidR="0057104C" w:rsidRDefault="0057104C" w:rsidP="0057104C">
      <w:pPr>
        <w:pStyle w:val="SangriaFrancesaArticulo"/>
      </w:pPr>
      <w:r w:rsidRPr="0057104C">
        <w:rPr>
          <w:rStyle w:val="TextoNormalNegritaCaracter"/>
        </w:rPr>
        <w:t>Disposición adicional tercera.</w:t>
      </w:r>
      <w:r w:rsidRPr="0057104C">
        <w:rPr>
          <w:rStyle w:val="TextoNormalCaracter"/>
        </w:rPr>
        <w:t>-</w:t>
      </w:r>
      <w:r>
        <w:t xml:space="preserve"> Sentencia </w:t>
      </w:r>
      <w:hyperlink w:anchor="SENTENCIA_2016_5" w:history="1">
        <w:r w:rsidRPr="0057104C">
          <w:rPr>
            <w:rStyle w:val="TextoNormalCaracter"/>
          </w:rPr>
          <w:t>5/2016</w:t>
        </w:r>
      </w:hyperlink>
      <w:r>
        <w:t>, ff. 1, 2, 4, 5.</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5" w:history="1">
        <w:r w:rsidRPr="0057104C">
          <w:rPr>
            <w:rStyle w:val="TextoNormalCaracter"/>
          </w:rPr>
          <w:t>5/2016</w:t>
        </w:r>
      </w:hyperlink>
      <w:r>
        <w:t>, ff. 1, 2, 4, 5.</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 </w:t>
      </w:r>
      <w:hyperlink w:anchor="SENTENCIA_2016_5" w:history="1">
        <w:r w:rsidRPr="0057104C">
          <w:rPr>
            <w:rStyle w:val="TextoNormalCaracter"/>
          </w:rPr>
          <w:t>5/2016</w:t>
        </w:r>
      </w:hyperlink>
      <w:r>
        <w:t>, ff. 1, 2, 4, 5.</w:t>
      </w:r>
    </w:p>
    <w:p w:rsidR="0057104C" w:rsidRDefault="0057104C" w:rsidP="0057104C">
      <w:pPr>
        <w:pStyle w:val="SangriaFrancesaArticulo"/>
      </w:pPr>
      <w:r w:rsidRPr="0057104C">
        <w:rPr>
          <w:rStyle w:val="TextoNormalNegritaCaracter"/>
        </w:rPr>
        <w:t>Disposición final.</w:t>
      </w:r>
      <w:r w:rsidRPr="0057104C">
        <w:rPr>
          <w:rStyle w:val="TextoNormalCaracter"/>
        </w:rPr>
        <w:t>-</w:t>
      </w:r>
      <w:r>
        <w:t xml:space="preserve"> Sentencia </w:t>
      </w:r>
      <w:hyperlink w:anchor="SENTENCIA_2016_5" w:history="1">
        <w:r w:rsidRPr="0057104C">
          <w:rPr>
            <w:rStyle w:val="TextoNormalCaracter"/>
          </w:rPr>
          <w:t>5/2016</w:t>
        </w:r>
      </w:hyperlink>
      <w:r>
        <w:t>, f. 1.</w:t>
      </w:r>
    </w:p>
    <w:p w:rsidR="0057104C" w:rsidRDefault="0057104C" w:rsidP="0057104C">
      <w:pPr>
        <w:pStyle w:val="SangriaFrancesaArticulo"/>
      </w:pPr>
    </w:p>
    <w:p w:rsidR="0057104C" w:rsidRDefault="0057104C" w:rsidP="0057104C">
      <w:pPr>
        <w:pStyle w:val="TextoNormalNegritaCursivandice"/>
      </w:pPr>
      <w:r>
        <w:t>Real Decreto-ley 4/2012, de 24 de febrero. Se determinan obligaciones de información y procedimientos necesarios para establecer un mecanismo de financiación para el pago a los proveedores de las entidades locales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1" w:history="1">
        <w:r w:rsidRPr="0057104C">
          <w:rPr>
            <w:rStyle w:val="TextoNormalCaracter"/>
          </w:rPr>
          <w:t>101/2016</w:t>
        </w:r>
      </w:hyperlink>
      <w:r>
        <w:t>, f. 11.</w:t>
      </w:r>
    </w:p>
    <w:p w:rsidR="0057104C" w:rsidRDefault="0057104C" w:rsidP="0057104C">
      <w:pPr>
        <w:pStyle w:val="SangriaFrancesaArticulo"/>
      </w:pPr>
    </w:p>
    <w:p w:rsidR="0057104C" w:rsidRDefault="0057104C" w:rsidP="0057104C">
      <w:pPr>
        <w:pStyle w:val="TextoNormalNegritaCursivandice"/>
      </w:pPr>
      <w:r>
        <w:t>Real Decreto-ley 7/2012, de 9 de marzo. Creación del Fondo para la financiación de los pagos a proveedores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1" w:history="1">
        <w:r w:rsidRPr="0057104C">
          <w:rPr>
            <w:rStyle w:val="TextoNormalCaracter"/>
          </w:rPr>
          <w:t>101/2016</w:t>
        </w:r>
      </w:hyperlink>
      <w:r>
        <w:t>, f. 11.</w:t>
      </w:r>
    </w:p>
    <w:p w:rsidR="0057104C" w:rsidRDefault="0057104C" w:rsidP="0057104C">
      <w:pPr>
        <w:pStyle w:val="SangriaFrancesaArticulo"/>
      </w:pPr>
      <w:r w:rsidRPr="0057104C">
        <w:rPr>
          <w:rStyle w:val="TextoNormalNegritaCaracter"/>
        </w:rPr>
        <w:t>Artículo 7.3.</w:t>
      </w:r>
      <w:r w:rsidRPr="0057104C">
        <w:rPr>
          <w:rStyle w:val="TextoNormalCaracter"/>
        </w:rPr>
        <w:t>-</w:t>
      </w:r>
      <w:r>
        <w:t xml:space="preserve"> Sentencia </w:t>
      </w:r>
      <w:hyperlink w:anchor="SENTENCIA_2016_101" w:history="1">
        <w:r w:rsidRPr="0057104C">
          <w:rPr>
            <w:rStyle w:val="TextoNormalCaracter"/>
          </w:rPr>
          <w:t>101/2016</w:t>
        </w:r>
      </w:hyperlink>
      <w:r>
        <w:t>, f. 11.</w:t>
      </w:r>
    </w:p>
    <w:p w:rsidR="0057104C" w:rsidRDefault="0057104C" w:rsidP="0057104C">
      <w:pPr>
        <w:pStyle w:val="SangriaFrancesaArticulo"/>
      </w:pPr>
    </w:p>
    <w:p w:rsidR="0057104C" w:rsidRDefault="0057104C" w:rsidP="0057104C">
      <w:pPr>
        <w:pStyle w:val="TextoNormalNegritaCursivandice"/>
      </w:pPr>
      <w:r>
        <w:t>Real Decreto-ley 13/2012, de 30 de marzo. Se transponen directivas en materia de mercados interiores de electricidad y gas y en materia de comunicaciones electrónicas, y por el que se adoptan medidas para la corrección de las desviaciones por desajustes entre los costes e ingresos de los sectores eléctrico y gasista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Disposición final primera, apartado 2.</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p>
    <w:p w:rsidR="0057104C" w:rsidRDefault="0057104C" w:rsidP="0057104C">
      <w:pPr>
        <w:pStyle w:val="TextoNormalNegritaCursivandice"/>
      </w:pPr>
      <w:r>
        <w:t>Real Decreto-ley 14/2012, de 20 de abril. Medidas urgentes de racionalización del gasto público en el ámbito educativo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26" w:history="1">
        <w:r w:rsidRPr="0057104C">
          <w:rPr>
            <w:rStyle w:val="TextoNormalCaracter"/>
          </w:rPr>
          <w:t>26/2016</w:t>
        </w:r>
      </w:hyperlink>
      <w:r>
        <w:t xml:space="preserve">, ff. 3, 6, VP; </w:t>
      </w:r>
      <w:hyperlink w:anchor="SENTENCIA_2016_66" w:history="1">
        <w:r w:rsidRPr="0057104C">
          <w:rPr>
            <w:rStyle w:val="TextoNormalCaracter"/>
          </w:rPr>
          <w:t>66/2016</w:t>
        </w:r>
      </w:hyperlink>
      <w:r>
        <w:t>, ff. 1, 5.</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26" w:history="1">
        <w:r w:rsidRPr="0057104C">
          <w:rPr>
            <w:rStyle w:val="TextoNormalCaracter"/>
          </w:rPr>
          <w:t>26/2016</w:t>
        </w:r>
      </w:hyperlink>
      <w:r>
        <w:t>, ff. 3, 6, VP.</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Sentencias </w:t>
      </w:r>
      <w:hyperlink w:anchor="SENTENCIA_2016_67" w:history="1">
        <w:r w:rsidRPr="0057104C">
          <w:rPr>
            <w:rStyle w:val="TextoNormalCaracter"/>
          </w:rPr>
          <w:t>67/2016</w:t>
        </w:r>
      </w:hyperlink>
      <w:r>
        <w:t xml:space="preserve">, f. 3; </w:t>
      </w:r>
      <w:hyperlink w:anchor="SENTENCIA_2016_68" w:history="1">
        <w:r w:rsidRPr="0057104C">
          <w:rPr>
            <w:rStyle w:val="TextoNormalCaracter"/>
          </w:rPr>
          <w:t>68/2016</w:t>
        </w:r>
      </w:hyperlink>
      <w:r>
        <w:t>, f. 3.</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26" w:history="1">
        <w:r w:rsidRPr="0057104C">
          <w:rPr>
            <w:rStyle w:val="TextoNormalCaracter"/>
          </w:rPr>
          <w:t>26/2016</w:t>
        </w:r>
      </w:hyperlink>
      <w:r>
        <w:t>, ff. 1, 2, 5.</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Sentencias </w:t>
      </w:r>
      <w:hyperlink w:anchor="SENTENCIA_2016_26" w:history="1">
        <w:r w:rsidRPr="0057104C">
          <w:rPr>
            <w:rStyle w:val="TextoNormalCaracter"/>
          </w:rPr>
          <w:t>26/2016</w:t>
        </w:r>
      </w:hyperlink>
      <w:r>
        <w:t xml:space="preserve">, ff. 1, 6, VP; </w:t>
      </w:r>
      <w:hyperlink w:anchor="SENTENCIA_2016_54" w:history="1">
        <w:r w:rsidRPr="0057104C">
          <w:rPr>
            <w:rStyle w:val="TextoNormalCaracter"/>
          </w:rPr>
          <w:t>54/2016</w:t>
        </w:r>
      </w:hyperlink>
      <w:r>
        <w:t xml:space="preserve">, ff. 1, 2, VP; </w:t>
      </w:r>
      <w:hyperlink w:anchor="SENTENCIA_2016_66" w:history="1">
        <w:r w:rsidRPr="0057104C">
          <w:rPr>
            <w:rStyle w:val="TextoNormalCaracter"/>
          </w:rPr>
          <w:t>66/2016</w:t>
        </w:r>
      </w:hyperlink>
      <w:r>
        <w:t xml:space="preserve">, ff. 1 a 4, VP; </w:t>
      </w:r>
      <w:hyperlink w:anchor="SENTENCIA_2016_67" w:history="1">
        <w:r w:rsidRPr="0057104C">
          <w:rPr>
            <w:rStyle w:val="TextoNormalCaracter"/>
          </w:rPr>
          <w:t>67/2016</w:t>
        </w:r>
      </w:hyperlink>
      <w:r>
        <w:t xml:space="preserve">, ff. 1, 3 a 5, VP; </w:t>
      </w:r>
      <w:hyperlink w:anchor="SENTENCIA_2016_68" w:history="1">
        <w:r w:rsidRPr="0057104C">
          <w:rPr>
            <w:rStyle w:val="TextoNormalCaracter"/>
          </w:rPr>
          <w:t>68/2016</w:t>
        </w:r>
      </w:hyperlink>
      <w:r>
        <w:t xml:space="preserve">, ff. 1 a 5, VP; </w:t>
      </w:r>
      <w:hyperlink w:anchor="SENTENCIA_2016_84" w:history="1">
        <w:r w:rsidRPr="0057104C">
          <w:rPr>
            <w:rStyle w:val="TextoNormalCaracter"/>
          </w:rPr>
          <w:t>84/2016</w:t>
        </w:r>
      </w:hyperlink>
      <w:r>
        <w:t>, ff. 1, 3, 5, VP.</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Sentencias </w:t>
      </w:r>
      <w:hyperlink w:anchor="SENTENCIA_2016_26" w:history="1">
        <w:r w:rsidRPr="0057104C">
          <w:rPr>
            <w:rStyle w:val="TextoNormalCaracter"/>
          </w:rPr>
          <w:t>26/2016</w:t>
        </w:r>
      </w:hyperlink>
      <w:r>
        <w:t xml:space="preserve">, f. 6; </w:t>
      </w:r>
      <w:hyperlink w:anchor="SENTENCIA_2016_66" w:history="1">
        <w:r w:rsidRPr="0057104C">
          <w:rPr>
            <w:rStyle w:val="TextoNormalCaracter"/>
          </w:rPr>
          <w:t>66/2016</w:t>
        </w:r>
      </w:hyperlink>
      <w:r>
        <w:t xml:space="preserve">, f. 4; </w:t>
      </w:r>
      <w:hyperlink w:anchor="SENTENCIA_2016_67" w:history="1">
        <w:r w:rsidRPr="0057104C">
          <w:rPr>
            <w:rStyle w:val="TextoNormalCaracter"/>
          </w:rPr>
          <w:t>67/2016</w:t>
        </w:r>
      </w:hyperlink>
      <w:r>
        <w:t xml:space="preserve">, f. 5; </w:t>
      </w:r>
      <w:hyperlink w:anchor="SENTENCIA_2016_68" w:history="1">
        <w:r w:rsidRPr="0057104C">
          <w:rPr>
            <w:rStyle w:val="TextoNormalCaracter"/>
          </w:rPr>
          <w:t>68/2016</w:t>
        </w:r>
      </w:hyperlink>
      <w:r>
        <w:t>, f. 5.</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Sentencias </w:t>
      </w:r>
      <w:hyperlink w:anchor="SENTENCIA_2016_26" w:history="1">
        <w:r w:rsidRPr="0057104C">
          <w:rPr>
            <w:rStyle w:val="TextoNormalCaracter"/>
          </w:rPr>
          <w:t>26/2016</w:t>
        </w:r>
      </w:hyperlink>
      <w:r>
        <w:t xml:space="preserve">, f. 6; </w:t>
      </w:r>
      <w:hyperlink w:anchor="SENTENCIA_2016_66" w:history="1">
        <w:r w:rsidRPr="0057104C">
          <w:rPr>
            <w:rStyle w:val="TextoNormalCaracter"/>
          </w:rPr>
          <w:t>66/2016</w:t>
        </w:r>
      </w:hyperlink>
      <w:r>
        <w:t xml:space="preserve">, f. 4; </w:t>
      </w:r>
      <w:hyperlink w:anchor="SENTENCIA_2016_67" w:history="1">
        <w:r w:rsidRPr="0057104C">
          <w:rPr>
            <w:rStyle w:val="TextoNormalCaracter"/>
          </w:rPr>
          <w:t>67/2016</w:t>
        </w:r>
      </w:hyperlink>
      <w:r>
        <w:t xml:space="preserve">, f. 5; </w:t>
      </w:r>
      <w:hyperlink w:anchor="SENTENCIA_2016_68" w:history="1">
        <w:r w:rsidRPr="0057104C">
          <w:rPr>
            <w:rStyle w:val="TextoNormalCaracter"/>
          </w:rPr>
          <w:t>68/2016</w:t>
        </w:r>
      </w:hyperlink>
      <w:r>
        <w:t>, f. 5.</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Sentencias </w:t>
      </w:r>
      <w:hyperlink w:anchor="SENTENCIA_2016_26" w:history="1">
        <w:r w:rsidRPr="0057104C">
          <w:rPr>
            <w:rStyle w:val="TextoNormalCaracter"/>
          </w:rPr>
          <w:t>26/2016</w:t>
        </w:r>
      </w:hyperlink>
      <w:r>
        <w:t xml:space="preserve">, ff. 1, 6, VP; </w:t>
      </w:r>
      <w:hyperlink w:anchor="SENTENCIA_2016_54" w:history="1">
        <w:r w:rsidRPr="0057104C">
          <w:rPr>
            <w:rStyle w:val="TextoNormalCaracter"/>
          </w:rPr>
          <w:t>54/2016</w:t>
        </w:r>
      </w:hyperlink>
      <w:r>
        <w:t xml:space="preserve">, ff. 1, 2, VP; </w:t>
      </w:r>
      <w:hyperlink w:anchor="SENTENCIA_2016_66" w:history="1">
        <w:r w:rsidRPr="0057104C">
          <w:rPr>
            <w:rStyle w:val="TextoNormalCaracter"/>
          </w:rPr>
          <w:t>66/2016</w:t>
        </w:r>
      </w:hyperlink>
      <w:r>
        <w:t xml:space="preserve">, ff. 1 a 3, 5, VP; </w:t>
      </w:r>
      <w:hyperlink w:anchor="SENTENCIA_2016_67" w:history="1">
        <w:r w:rsidRPr="0057104C">
          <w:rPr>
            <w:rStyle w:val="TextoNormalCaracter"/>
          </w:rPr>
          <w:t>67/2016</w:t>
        </w:r>
      </w:hyperlink>
      <w:r>
        <w:t xml:space="preserve">, ff. 1, 3, 4, 6, VP; </w:t>
      </w:r>
      <w:hyperlink w:anchor="SENTENCIA_2016_68" w:history="1">
        <w:r w:rsidRPr="0057104C">
          <w:rPr>
            <w:rStyle w:val="TextoNormalCaracter"/>
          </w:rPr>
          <w:t>68/2016</w:t>
        </w:r>
      </w:hyperlink>
      <w:r>
        <w:t xml:space="preserve">, ff. 1 a 4, 6, VP; </w:t>
      </w:r>
      <w:hyperlink w:anchor="SENTENCIA_2016_84" w:history="1">
        <w:r w:rsidRPr="0057104C">
          <w:rPr>
            <w:rStyle w:val="TextoNormalCaracter"/>
          </w:rPr>
          <w:t>84/2016</w:t>
        </w:r>
      </w:hyperlink>
      <w:r>
        <w:t>, ff. 1, 3, 5, VP.</w:t>
      </w:r>
    </w:p>
    <w:p w:rsidR="0057104C" w:rsidRDefault="0057104C" w:rsidP="0057104C">
      <w:pPr>
        <w:pStyle w:val="SangriaFrancesaArticulo"/>
      </w:pPr>
      <w:r w:rsidRPr="0057104C">
        <w:rPr>
          <w:rStyle w:val="TextoNormalNegritaCaracter"/>
        </w:rPr>
        <w:t>Artículo 4</w:t>
      </w:r>
      <w:r>
        <w:t xml:space="preserve"> (redactado por la Ley 48/2015, de 29 de octubre)</w:t>
      </w:r>
      <w:r w:rsidRPr="0057104C">
        <w:rPr>
          <w:rStyle w:val="TextoNormalNegritaCaracter"/>
        </w:rPr>
        <w:t>.</w:t>
      </w:r>
      <w:r w:rsidRPr="0057104C">
        <w:rPr>
          <w:rStyle w:val="TextoNormalCaracter"/>
        </w:rPr>
        <w:t>-</w:t>
      </w:r>
      <w:r>
        <w:t xml:space="preserve"> Sentencia </w:t>
      </w:r>
      <w:hyperlink w:anchor="SENTENCIA_2016_26" w:history="1">
        <w:r w:rsidRPr="0057104C">
          <w:rPr>
            <w:rStyle w:val="TextoNormalCaracter"/>
          </w:rPr>
          <w:t>26/2016</w:t>
        </w:r>
      </w:hyperlink>
      <w:r>
        <w:t>, f. 6; VP.</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26" w:history="1">
        <w:r w:rsidRPr="0057104C">
          <w:rPr>
            <w:rStyle w:val="TextoNormalCaracter"/>
          </w:rPr>
          <w:t>26/2016</w:t>
        </w:r>
      </w:hyperlink>
      <w:r>
        <w:t>, ff. 1, 2, 5.</w:t>
      </w:r>
    </w:p>
    <w:p w:rsidR="0057104C" w:rsidRDefault="0057104C" w:rsidP="0057104C">
      <w:pPr>
        <w:pStyle w:val="SangriaFrancesaArticulo"/>
      </w:pPr>
      <w:r w:rsidRPr="0057104C">
        <w:rPr>
          <w:rStyle w:val="TextoNormalNegritaCaracter"/>
        </w:rPr>
        <w:t>Artículo 6.1.</w:t>
      </w:r>
      <w:r w:rsidRPr="0057104C">
        <w:rPr>
          <w:rStyle w:val="TextoNormalCaracter"/>
        </w:rPr>
        <w:t>-</w:t>
      </w:r>
      <w:r>
        <w:t xml:space="preserve"> Sentencias </w:t>
      </w:r>
      <w:hyperlink w:anchor="SENTENCIA_2016_26" w:history="1">
        <w:r w:rsidRPr="0057104C">
          <w:rPr>
            <w:rStyle w:val="TextoNormalCaracter"/>
          </w:rPr>
          <w:t>26/2016</w:t>
        </w:r>
      </w:hyperlink>
      <w:r>
        <w:t xml:space="preserve">, ff. 1, 2, 5, 6; </w:t>
      </w:r>
      <w:hyperlink w:anchor="SENTENCIA_2016_84" w:history="1">
        <w:r w:rsidRPr="0057104C">
          <w:rPr>
            <w:rStyle w:val="TextoNormalCaracter"/>
          </w:rPr>
          <w:t>84/2016</w:t>
        </w:r>
      </w:hyperlink>
      <w:r>
        <w:t>, ff. 1, 2.</w:t>
      </w:r>
    </w:p>
    <w:p w:rsidR="0057104C" w:rsidRDefault="0057104C" w:rsidP="0057104C">
      <w:pPr>
        <w:pStyle w:val="SangriaFrancesaArticulo"/>
      </w:pPr>
      <w:r w:rsidRPr="0057104C">
        <w:rPr>
          <w:rStyle w:val="TextoNormalNegritaCaracter"/>
        </w:rPr>
        <w:t>Artículo 6.2.</w:t>
      </w:r>
      <w:r w:rsidRPr="0057104C">
        <w:rPr>
          <w:rStyle w:val="TextoNormalCaracter"/>
        </w:rPr>
        <w:t>-</w:t>
      </w:r>
      <w:r>
        <w:t xml:space="preserve"> Sentencia </w:t>
      </w:r>
      <w:hyperlink w:anchor="SENTENCIA_2016_26" w:history="1">
        <w:r w:rsidRPr="0057104C">
          <w:rPr>
            <w:rStyle w:val="TextoNormalCaracter"/>
          </w:rPr>
          <w:t>26/2016</w:t>
        </w:r>
      </w:hyperlink>
      <w:r>
        <w:t>, ff. 1, 2, 5, 6, 8.</w:t>
      </w:r>
    </w:p>
    <w:p w:rsidR="0057104C" w:rsidRDefault="0057104C" w:rsidP="0057104C">
      <w:pPr>
        <w:pStyle w:val="SangriaFrancesaArticulo"/>
      </w:pPr>
      <w:r w:rsidRPr="0057104C">
        <w:rPr>
          <w:rStyle w:val="TextoNormalNegritaCaracter"/>
        </w:rPr>
        <w:t>Artículo 6.3.</w:t>
      </w:r>
      <w:r w:rsidRPr="0057104C">
        <w:rPr>
          <w:rStyle w:val="TextoNormalCaracter"/>
        </w:rPr>
        <w:t>-</w:t>
      </w:r>
      <w:r>
        <w:t xml:space="preserve"> Sentencias </w:t>
      </w:r>
      <w:hyperlink w:anchor="SENTENCIA_2016_26" w:history="1">
        <w:r w:rsidRPr="0057104C">
          <w:rPr>
            <w:rStyle w:val="TextoNormalCaracter"/>
          </w:rPr>
          <w:t>26/2016</w:t>
        </w:r>
      </w:hyperlink>
      <w:r>
        <w:t xml:space="preserve">, ff. 1, 2, 5, 8, 10; </w:t>
      </w:r>
      <w:hyperlink w:anchor="SENTENCIA_2016_84" w:history="1">
        <w:r w:rsidRPr="0057104C">
          <w:rPr>
            <w:rStyle w:val="TextoNormalCaracter"/>
          </w:rPr>
          <w:t>84/2016</w:t>
        </w:r>
      </w:hyperlink>
      <w:r>
        <w:t>, ff. 1, 2.</w:t>
      </w:r>
    </w:p>
    <w:p w:rsidR="0057104C" w:rsidRDefault="0057104C" w:rsidP="0057104C">
      <w:pPr>
        <w:pStyle w:val="SangriaFrancesaArticulo"/>
      </w:pPr>
      <w:r w:rsidRPr="0057104C">
        <w:rPr>
          <w:rStyle w:val="TextoNormalNegritaCaracter"/>
        </w:rPr>
        <w:t>Artículo 6.4.</w:t>
      </w:r>
      <w:r w:rsidRPr="0057104C">
        <w:rPr>
          <w:rStyle w:val="TextoNormalCaracter"/>
        </w:rPr>
        <w:t>-</w:t>
      </w:r>
      <w:r>
        <w:t xml:space="preserve"> Sentencias </w:t>
      </w:r>
      <w:hyperlink w:anchor="SENTENCIA_2016_26" w:history="1">
        <w:r w:rsidRPr="0057104C">
          <w:rPr>
            <w:rStyle w:val="TextoNormalCaracter"/>
          </w:rPr>
          <w:t>26/2016</w:t>
        </w:r>
      </w:hyperlink>
      <w:r>
        <w:t xml:space="preserve">, f. 1, 2, 5, 6, 8, 9, VP; </w:t>
      </w:r>
      <w:hyperlink w:anchor="SENTENCIA_2016_84" w:history="1">
        <w:r w:rsidRPr="0057104C">
          <w:rPr>
            <w:rStyle w:val="TextoNormalCaracter"/>
          </w:rPr>
          <w:t>84/2016</w:t>
        </w:r>
      </w:hyperlink>
      <w:r>
        <w:t>, ff. 1, 3, 5, VP.</w:t>
      </w:r>
    </w:p>
    <w:p w:rsidR="0057104C" w:rsidRDefault="0057104C" w:rsidP="0057104C">
      <w:pPr>
        <w:pStyle w:val="SangriaFrancesaArticulo"/>
      </w:pPr>
      <w:r w:rsidRPr="0057104C">
        <w:rPr>
          <w:rStyle w:val="TextoNormalNegritaCaracter"/>
        </w:rPr>
        <w:t>Artículo 6.5.2.</w:t>
      </w:r>
      <w:r w:rsidRPr="0057104C">
        <w:rPr>
          <w:rStyle w:val="TextoNormalCaracter"/>
        </w:rPr>
        <w:t>-</w:t>
      </w:r>
      <w:r>
        <w:t xml:space="preserve"> Sentencias </w:t>
      </w:r>
      <w:hyperlink w:anchor="SENTENCIA_2016_26" w:history="1">
        <w:r w:rsidRPr="0057104C">
          <w:rPr>
            <w:rStyle w:val="TextoNormalCaracter"/>
          </w:rPr>
          <w:t>26/2016</w:t>
        </w:r>
      </w:hyperlink>
      <w:r>
        <w:t xml:space="preserve">, f. 7; </w:t>
      </w:r>
      <w:hyperlink w:anchor="SENTENCIA_2016_84" w:history="1">
        <w:r w:rsidRPr="0057104C">
          <w:rPr>
            <w:rStyle w:val="TextoNormalCaracter"/>
          </w:rPr>
          <w:t>84/2016</w:t>
        </w:r>
      </w:hyperlink>
      <w:r>
        <w:t>, f. 4.</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Sentencias </w:t>
      </w:r>
      <w:hyperlink w:anchor="SENTENCIA_2016_26" w:history="1">
        <w:r w:rsidRPr="0057104C">
          <w:rPr>
            <w:rStyle w:val="TextoNormalCaracter"/>
          </w:rPr>
          <w:t>26/2016</w:t>
        </w:r>
      </w:hyperlink>
      <w:r>
        <w:t xml:space="preserve">, f. 1; </w:t>
      </w:r>
      <w:hyperlink w:anchor="SENTENCIA_2016_84" w:history="1">
        <w:r w:rsidRPr="0057104C">
          <w:rPr>
            <w:rStyle w:val="TextoNormalCaracter"/>
          </w:rPr>
          <w:t>84/2016</w:t>
        </w:r>
      </w:hyperlink>
      <w:r>
        <w:t>, ff. 1, 4 a 6.</w:t>
      </w:r>
    </w:p>
    <w:p w:rsidR="0057104C" w:rsidRDefault="0057104C" w:rsidP="0057104C">
      <w:pPr>
        <w:pStyle w:val="SangriaFrancesaArticulo"/>
      </w:pPr>
      <w:r w:rsidRPr="0057104C">
        <w:rPr>
          <w:rStyle w:val="TextoNormalNegritaCaracter"/>
        </w:rPr>
        <w:t>Artículo 7.1.</w:t>
      </w:r>
      <w:r w:rsidRPr="0057104C">
        <w:rPr>
          <w:rStyle w:val="TextoNormalCaracter"/>
        </w:rPr>
        <w:t>-</w:t>
      </w:r>
      <w:r>
        <w:t xml:space="preserve"> Sentencias </w:t>
      </w:r>
      <w:hyperlink w:anchor="SENTENCIA_2016_26" w:history="1">
        <w:r w:rsidRPr="0057104C">
          <w:rPr>
            <w:rStyle w:val="TextoNormalCaracter"/>
          </w:rPr>
          <w:t>26/2016</w:t>
        </w:r>
      </w:hyperlink>
      <w:r>
        <w:t xml:space="preserve">, ff. 6, 7; </w:t>
      </w:r>
      <w:hyperlink w:anchor="SENTENCIA_2016_84" w:history="1">
        <w:r w:rsidRPr="0057104C">
          <w:rPr>
            <w:rStyle w:val="TextoNormalCaracter"/>
          </w:rPr>
          <w:t>84/2016</w:t>
        </w:r>
      </w:hyperlink>
      <w:r>
        <w:t xml:space="preserve">, f. 6; </w:t>
      </w:r>
      <w:hyperlink w:anchor="SENTENCIA_2016_95" w:history="1">
        <w:r w:rsidRPr="0057104C">
          <w:rPr>
            <w:rStyle w:val="TextoNormalCaracter"/>
          </w:rPr>
          <w:t>95/2016</w:t>
        </w:r>
      </w:hyperlink>
      <w:r>
        <w:t>, f. 6.</w:t>
      </w:r>
    </w:p>
    <w:p w:rsidR="0057104C" w:rsidRDefault="0057104C" w:rsidP="0057104C">
      <w:pPr>
        <w:pStyle w:val="SangriaFrancesaArticulo"/>
      </w:pPr>
      <w:r w:rsidRPr="0057104C">
        <w:rPr>
          <w:rStyle w:val="TextoNormalNegritaCaracter"/>
        </w:rPr>
        <w:t>Artículo 7.1 b).</w:t>
      </w:r>
      <w:r w:rsidRPr="0057104C">
        <w:rPr>
          <w:rStyle w:val="TextoNormalCaracter"/>
        </w:rPr>
        <w:t>-</w:t>
      </w:r>
      <w:r>
        <w:t xml:space="preserve"> Sentencia </w:t>
      </w:r>
      <w:hyperlink w:anchor="SENTENCIA_2016_95" w:history="1">
        <w:r w:rsidRPr="0057104C">
          <w:rPr>
            <w:rStyle w:val="TextoNormalCaracter"/>
          </w:rPr>
          <w:t>95/2016</w:t>
        </w:r>
      </w:hyperlink>
      <w:r>
        <w:t>, f. 6.</w:t>
      </w:r>
    </w:p>
    <w:p w:rsidR="0057104C" w:rsidRDefault="0057104C" w:rsidP="0057104C">
      <w:pPr>
        <w:pStyle w:val="SangriaFrancesaArticulo"/>
      </w:pPr>
      <w:r w:rsidRPr="0057104C">
        <w:rPr>
          <w:rStyle w:val="TextoNormalNegritaCaracter"/>
        </w:rPr>
        <w:t>Artículo 7.2.</w:t>
      </w:r>
      <w:r w:rsidRPr="0057104C">
        <w:rPr>
          <w:rStyle w:val="TextoNormalCaracter"/>
        </w:rPr>
        <w:t>-</w:t>
      </w:r>
      <w:r>
        <w:t xml:space="preserve"> Sentencias </w:t>
      </w:r>
      <w:hyperlink w:anchor="SENTENCIA_2016_26" w:history="1">
        <w:r w:rsidRPr="0057104C">
          <w:rPr>
            <w:rStyle w:val="TextoNormalCaracter"/>
          </w:rPr>
          <w:t>26/2016</w:t>
        </w:r>
      </w:hyperlink>
      <w:r>
        <w:t xml:space="preserve">, f. 7; </w:t>
      </w:r>
      <w:hyperlink w:anchor="SENTENCIA_2016_84" w:history="1">
        <w:r w:rsidRPr="0057104C">
          <w:rPr>
            <w:rStyle w:val="TextoNormalCaracter"/>
          </w:rPr>
          <w:t>84/2016</w:t>
        </w:r>
      </w:hyperlink>
      <w:r>
        <w:t>, f. 4.</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Sentencias </w:t>
      </w:r>
      <w:hyperlink w:anchor="SENTENCIA_2016_26" w:history="1">
        <w:r w:rsidRPr="0057104C">
          <w:rPr>
            <w:rStyle w:val="TextoNormalCaracter"/>
          </w:rPr>
          <w:t>26/2016</w:t>
        </w:r>
      </w:hyperlink>
      <w:r>
        <w:t xml:space="preserve">, ff. 1, 6; </w:t>
      </w:r>
      <w:hyperlink w:anchor="SENTENCIA_2016_54" w:history="1">
        <w:r w:rsidRPr="0057104C">
          <w:rPr>
            <w:rStyle w:val="TextoNormalCaracter"/>
          </w:rPr>
          <w:t>54/2016</w:t>
        </w:r>
      </w:hyperlink>
      <w:r>
        <w:t xml:space="preserve">, f. 1; </w:t>
      </w:r>
      <w:hyperlink w:anchor="SENTENCIA_2016_66" w:history="1">
        <w:r w:rsidRPr="0057104C">
          <w:rPr>
            <w:rStyle w:val="TextoNormalCaracter"/>
          </w:rPr>
          <w:t>66/2016</w:t>
        </w:r>
      </w:hyperlink>
      <w:r>
        <w:t xml:space="preserve">, f. 3; </w:t>
      </w:r>
      <w:hyperlink w:anchor="SENTENCIA_2016_67" w:history="1">
        <w:r w:rsidRPr="0057104C">
          <w:rPr>
            <w:rStyle w:val="TextoNormalCaracter"/>
          </w:rPr>
          <w:t>67/2016</w:t>
        </w:r>
      </w:hyperlink>
      <w:r>
        <w:t xml:space="preserve">, f. 4; </w:t>
      </w:r>
      <w:hyperlink w:anchor="SENTENCIA_2016_68" w:history="1">
        <w:r w:rsidRPr="0057104C">
          <w:rPr>
            <w:rStyle w:val="TextoNormalCaracter"/>
          </w:rPr>
          <w:t>68/2016</w:t>
        </w:r>
      </w:hyperlink>
      <w:r>
        <w:t>, f. 4.</w:t>
      </w:r>
    </w:p>
    <w:p w:rsidR="0057104C" w:rsidRDefault="0057104C" w:rsidP="0057104C">
      <w:pPr>
        <w:pStyle w:val="SangriaFrancesaArticulo"/>
      </w:pPr>
    </w:p>
    <w:p w:rsidR="0057104C" w:rsidRDefault="0057104C" w:rsidP="0057104C">
      <w:pPr>
        <w:pStyle w:val="TextoNormalNegritaCursivandice"/>
      </w:pPr>
      <w:r>
        <w:t>Real Decreto-ley 20/2012, de 13 de julio. Medidas para garantizar la estabilidad presupuestaria y de fomento de la competitividad</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 w:history="1">
        <w:r w:rsidRPr="0057104C">
          <w:rPr>
            <w:rStyle w:val="TextoNormalCaracter"/>
          </w:rPr>
          <w:t>1/2016</w:t>
        </w:r>
      </w:hyperlink>
      <w:r>
        <w:t xml:space="preserve">; </w:t>
      </w:r>
      <w:hyperlink w:anchor="SENTENCIA_2016_2" w:history="1">
        <w:r w:rsidRPr="0057104C">
          <w:rPr>
            <w:rStyle w:val="TextoNormalCaracter"/>
          </w:rPr>
          <w:t>2/2016</w:t>
        </w:r>
      </w:hyperlink>
      <w:r>
        <w:t xml:space="preserve">, ff. 1 a 3; </w:t>
      </w:r>
      <w:hyperlink w:anchor="SENTENCIA_2016_4" w:history="1">
        <w:r w:rsidRPr="0057104C">
          <w:rPr>
            <w:rStyle w:val="TextoNormalCaracter"/>
          </w:rPr>
          <w:t>4/2016</w:t>
        </w:r>
      </w:hyperlink>
      <w:r>
        <w:t xml:space="preserve">, ff. 1, 2; </w:t>
      </w:r>
      <w:hyperlink w:anchor="SENTENCIA_2016_18" w:history="1">
        <w:r w:rsidRPr="0057104C">
          <w:rPr>
            <w:rStyle w:val="TextoNormalCaracter"/>
          </w:rPr>
          <w:t>18/2016</w:t>
        </w:r>
      </w:hyperlink>
      <w:r>
        <w:t xml:space="preserve">, f. 5; </w:t>
      </w:r>
      <w:hyperlink w:anchor="SENTENCIA_2016_41" w:history="1">
        <w:r w:rsidRPr="0057104C">
          <w:rPr>
            <w:rStyle w:val="TextoNormalCaracter"/>
          </w:rPr>
          <w:t>41/2016</w:t>
        </w:r>
      </w:hyperlink>
      <w:r>
        <w:t xml:space="preserve">, f. 3; </w:t>
      </w:r>
      <w:hyperlink w:anchor="SENTENCIA_2016_43" w:history="1">
        <w:r w:rsidRPr="0057104C">
          <w:rPr>
            <w:rStyle w:val="TextoNormalCaracter"/>
          </w:rPr>
          <w:t>43/2016</w:t>
        </w:r>
      </w:hyperlink>
      <w:r>
        <w:t xml:space="preserve">, f. 3; </w:t>
      </w:r>
      <w:hyperlink w:anchor="SENTENCIA_2016_46" w:history="1">
        <w:r w:rsidRPr="0057104C">
          <w:rPr>
            <w:rStyle w:val="TextoNormalCaracter"/>
          </w:rPr>
          <w:t>46/2016</w:t>
        </w:r>
      </w:hyperlink>
      <w:r>
        <w:t xml:space="preserve">, ff. 1 a 3; </w:t>
      </w:r>
      <w:hyperlink w:anchor="SENTENCIA_2016_47" w:history="1">
        <w:r w:rsidRPr="0057104C">
          <w:rPr>
            <w:rStyle w:val="TextoNormalCaracter"/>
          </w:rPr>
          <w:t>47/2016</w:t>
        </w:r>
      </w:hyperlink>
      <w:r>
        <w:t xml:space="preserve">, f. 2; </w:t>
      </w:r>
      <w:hyperlink w:anchor="SENTENCIA_2016_52" w:history="1">
        <w:r w:rsidRPr="0057104C">
          <w:rPr>
            <w:rStyle w:val="TextoNormalCaracter"/>
          </w:rPr>
          <w:t>52/2016</w:t>
        </w:r>
      </w:hyperlink>
      <w:r>
        <w:t xml:space="preserve">, ff. 1 a 3; </w:t>
      </w:r>
      <w:hyperlink w:anchor="SENTENCIA_2016_79" w:history="1">
        <w:r w:rsidRPr="0057104C">
          <w:rPr>
            <w:rStyle w:val="TextoNormalCaracter"/>
          </w:rPr>
          <w:t>79/2016</w:t>
        </w:r>
      </w:hyperlink>
      <w:r>
        <w:t xml:space="preserve">, f. 1; </w:t>
      </w:r>
      <w:hyperlink w:anchor="SENTENCIA_2016_80" w:history="1">
        <w:r w:rsidRPr="0057104C">
          <w:rPr>
            <w:rStyle w:val="TextoNormalCaracter"/>
          </w:rPr>
          <w:t>80/2016</w:t>
        </w:r>
      </w:hyperlink>
      <w:r>
        <w:t xml:space="preserve">, f. 3; </w:t>
      </w:r>
      <w:hyperlink w:anchor="SENTENCIA_2016_90" w:history="1">
        <w:r w:rsidRPr="0057104C">
          <w:rPr>
            <w:rStyle w:val="TextoNormalCaracter"/>
          </w:rPr>
          <w:t>90/2016</w:t>
        </w:r>
      </w:hyperlink>
      <w:r>
        <w:t xml:space="preserve">, ff. 2, 3; </w:t>
      </w:r>
      <w:hyperlink w:anchor="SENTENCIA_2016_119" w:history="1">
        <w:r w:rsidRPr="0057104C">
          <w:rPr>
            <w:rStyle w:val="TextoNormalCaracter"/>
          </w:rPr>
          <w:t>119/2016</w:t>
        </w:r>
      </w:hyperlink>
      <w:r>
        <w:t>, ff. 1, 3, 4.</w:t>
      </w:r>
    </w:p>
    <w:p w:rsidR="0057104C" w:rsidRDefault="0057104C" w:rsidP="0057104C">
      <w:pPr>
        <w:pStyle w:val="SangriaIzquierdaArticulo"/>
      </w:pPr>
      <w:r>
        <w:t xml:space="preserve">Autos </w:t>
      </w:r>
      <w:hyperlink w:anchor="AUTO_2016_71" w:history="1">
        <w:r w:rsidRPr="0057104C">
          <w:rPr>
            <w:rStyle w:val="TextoNormalCaracter"/>
          </w:rPr>
          <w:t>71/2016</w:t>
        </w:r>
      </w:hyperlink>
      <w:r>
        <w:t xml:space="preserve">, f. 5; </w:t>
      </w:r>
      <w:hyperlink w:anchor="AUTO_2016_83" w:history="1">
        <w:r w:rsidRPr="0057104C">
          <w:rPr>
            <w:rStyle w:val="TextoNormalCaracter"/>
          </w:rPr>
          <w:t>83/2016</w:t>
        </w:r>
      </w:hyperlink>
      <w:r>
        <w:t>, f. 2.</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Sentencias </w:t>
      </w:r>
      <w:hyperlink w:anchor="SENTENCIA_2016_18" w:history="1">
        <w:r w:rsidRPr="0057104C">
          <w:rPr>
            <w:rStyle w:val="TextoNormalCaracter"/>
          </w:rPr>
          <w:t>18/2016</w:t>
        </w:r>
      </w:hyperlink>
      <w:r>
        <w:t xml:space="preserve">, ff. 3, 4 a 6, 9; </w:t>
      </w:r>
      <w:hyperlink w:anchor="SENTENCIA_2016_37" w:history="1">
        <w:r w:rsidRPr="0057104C">
          <w:rPr>
            <w:rStyle w:val="TextoNormalCaracter"/>
          </w:rPr>
          <w:t>37/2016</w:t>
        </w:r>
      </w:hyperlink>
      <w:r>
        <w:t xml:space="preserve">, f. 3; </w:t>
      </w:r>
      <w:hyperlink w:anchor="SENTENCIA_2016_119" w:history="1">
        <w:r w:rsidRPr="0057104C">
          <w:rPr>
            <w:rStyle w:val="TextoNormalCaracter"/>
          </w:rPr>
          <w:t>119/2016</w:t>
        </w:r>
      </w:hyperlink>
      <w:r>
        <w:t>, f. 2.</w:t>
      </w:r>
    </w:p>
    <w:p w:rsidR="0057104C" w:rsidRDefault="0057104C" w:rsidP="0057104C">
      <w:pPr>
        <w:pStyle w:val="SangriaFrancesaArticulo"/>
      </w:pPr>
      <w:r w:rsidRPr="0057104C">
        <w:rPr>
          <w:rStyle w:val="TextoNormalNegritaCaracter"/>
        </w:rPr>
        <w:t>Exposición de motivos, apartado 1.</w:t>
      </w:r>
      <w:r w:rsidRPr="0057104C">
        <w:rPr>
          <w:rStyle w:val="TextoNormalCaracter"/>
        </w:rPr>
        <w:t>-</w:t>
      </w:r>
      <w:r>
        <w:t xml:space="preserve"> Sentencia </w:t>
      </w:r>
      <w:hyperlink w:anchor="SENTENCIA_2016_119" w:history="1">
        <w:r w:rsidRPr="0057104C">
          <w:rPr>
            <w:rStyle w:val="TextoNormalCaracter"/>
          </w:rPr>
          <w:t>119/2016</w:t>
        </w:r>
      </w:hyperlink>
      <w:r>
        <w:t>, f. 2.</w:t>
      </w:r>
    </w:p>
    <w:p w:rsidR="0057104C" w:rsidRDefault="0057104C" w:rsidP="0057104C">
      <w:pPr>
        <w:pStyle w:val="SangriaFrancesaArticulo"/>
      </w:pPr>
      <w:r w:rsidRPr="0057104C">
        <w:rPr>
          <w:rStyle w:val="TextoNormalNegritaCaracter"/>
        </w:rPr>
        <w:t>Exposición de motivos, apartado 2.</w:t>
      </w:r>
      <w:r w:rsidRPr="0057104C">
        <w:rPr>
          <w:rStyle w:val="TextoNormalCaracter"/>
        </w:rPr>
        <w:t>-</w:t>
      </w:r>
      <w:r>
        <w:t xml:space="preserve"> Sentencia </w:t>
      </w:r>
      <w:hyperlink w:anchor="SENTENCIA_2016_119" w:history="1">
        <w:r w:rsidRPr="0057104C">
          <w:rPr>
            <w:rStyle w:val="TextoNormalCaracter"/>
          </w:rPr>
          <w:t>119/2016</w:t>
        </w:r>
      </w:hyperlink>
      <w:r>
        <w:t>, f. 3.</w:t>
      </w:r>
    </w:p>
    <w:p w:rsidR="0057104C" w:rsidRDefault="0057104C" w:rsidP="0057104C">
      <w:pPr>
        <w:pStyle w:val="SangriaFrancesaArticulo"/>
      </w:pPr>
      <w:r w:rsidRPr="0057104C">
        <w:rPr>
          <w:rStyle w:val="TextoNormalNegritaCaracter"/>
        </w:rPr>
        <w:t>Preámbulo, apartado II.</w:t>
      </w:r>
      <w:r w:rsidRPr="0057104C">
        <w:rPr>
          <w:rStyle w:val="TextoNormalCaracter"/>
        </w:rPr>
        <w:t>-</w:t>
      </w:r>
      <w:r>
        <w:t xml:space="preserve"> Sentencia </w:t>
      </w:r>
      <w:hyperlink w:anchor="SENTENCIA_2016_18" w:history="1">
        <w:r w:rsidRPr="0057104C">
          <w:rPr>
            <w:rStyle w:val="TextoNormalCaracter"/>
          </w:rPr>
          <w:t>18/2016</w:t>
        </w:r>
      </w:hyperlink>
      <w:r>
        <w:t>, f. 4.</w:t>
      </w:r>
    </w:p>
    <w:p w:rsidR="0057104C" w:rsidRDefault="0057104C" w:rsidP="0057104C">
      <w:pPr>
        <w:pStyle w:val="SangriaFrancesaArticulo"/>
      </w:pPr>
      <w:r w:rsidRPr="0057104C">
        <w:rPr>
          <w:rStyle w:val="TextoNormalNegritaCaracter"/>
        </w:rPr>
        <w:t>Preámbulo, apartado III.</w:t>
      </w:r>
      <w:r w:rsidRPr="0057104C">
        <w:rPr>
          <w:rStyle w:val="TextoNormalCaracter"/>
        </w:rPr>
        <w:t>-</w:t>
      </w:r>
      <w:r>
        <w:t xml:space="preserve"> Sentencia </w:t>
      </w:r>
      <w:hyperlink w:anchor="SENTENCIA_2016_18" w:history="1">
        <w:r w:rsidRPr="0057104C">
          <w:rPr>
            <w:rStyle w:val="TextoNormalCaracter"/>
          </w:rPr>
          <w:t>18/2016</w:t>
        </w:r>
      </w:hyperlink>
      <w:r>
        <w:t>, f. 4.</w:t>
      </w:r>
    </w:p>
    <w:p w:rsidR="0057104C" w:rsidRDefault="0057104C" w:rsidP="0057104C">
      <w:pPr>
        <w:pStyle w:val="SangriaFrancesaArticulo"/>
      </w:pPr>
      <w:r w:rsidRPr="0057104C">
        <w:rPr>
          <w:rStyle w:val="TextoNormalNegritaCaracter"/>
        </w:rPr>
        <w:t>Preámbulo, apartado IV.</w:t>
      </w:r>
      <w:r w:rsidRPr="0057104C">
        <w:rPr>
          <w:rStyle w:val="TextoNormalCaracter"/>
        </w:rPr>
        <w:t>-</w:t>
      </w:r>
      <w:r>
        <w:t xml:space="preserve"> Sentencia </w:t>
      </w:r>
      <w:hyperlink w:anchor="SENTENCIA_2016_18" w:history="1">
        <w:r w:rsidRPr="0057104C">
          <w:rPr>
            <w:rStyle w:val="TextoNormalCaracter"/>
          </w:rPr>
          <w:t>18/2016</w:t>
        </w:r>
      </w:hyperlink>
      <w:r>
        <w:t>, f. 4.</w:t>
      </w:r>
    </w:p>
    <w:p w:rsidR="0057104C" w:rsidRDefault="0057104C" w:rsidP="0057104C">
      <w:pPr>
        <w:pStyle w:val="SangriaFrancesaArticulo"/>
      </w:pPr>
      <w:r w:rsidRPr="0057104C">
        <w:rPr>
          <w:rStyle w:val="TextoNormalNegritaCaracter"/>
        </w:rPr>
        <w:t>Preámbulo, apartado IX.</w:t>
      </w:r>
      <w:r w:rsidRPr="0057104C">
        <w:rPr>
          <w:rStyle w:val="TextoNormalCaracter"/>
        </w:rPr>
        <w:t>-</w:t>
      </w:r>
      <w:r>
        <w:t xml:space="preserve"> Sentencia </w:t>
      </w:r>
      <w:hyperlink w:anchor="SENTENCIA_2016_18" w:history="1">
        <w:r w:rsidRPr="0057104C">
          <w:rPr>
            <w:rStyle w:val="TextoNormalCaracter"/>
          </w:rPr>
          <w:t>18/2016</w:t>
        </w:r>
      </w:hyperlink>
      <w:r>
        <w:t>, f. 4.</w:t>
      </w:r>
    </w:p>
    <w:p w:rsidR="0057104C" w:rsidRDefault="0057104C" w:rsidP="0057104C">
      <w:pPr>
        <w:pStyle w:val="SangriaFrancesaArticulo"/>
      </w:pPr>
      <w:r w:rsidRPr="0057104C">
        <w:rPr>
          <w:rStyle w:val="TextoNormalNegritaCaracter"/>
        </w:rPr>
        <w:t>Preámbulo, apartado V.</w:t>
      </w:r>
      <w:r w:rsidRPr="0057104C">
        <w:rPr>
          <w:rStyle w:val="TextoNormalCaracter"/>
        </w:rPr>
        <w:t>-</w:t>
      </w:r>
      <w:r>
        <w:t xml:space="preserve"> Sentencia </w:t>
      </w:r>
      <w:hyperlink w:anchor="SENTENCIA_2016_18" w:history="1">
        <w:r w:rsidRPr="0057104C">
          <w:rPr>
            <w:rStyle w:val="TextoNormalCaracter"/>
          </w:rPr>
          <w:t>18/2016</w:t>
        </w:r>
      </w:hyperlink>
      <w:r>
        <w:t>, f. 4.</w:t>
      </w:r>
    </w:p>
    <w:p w:rsidR="0057104C" w:rsidRDefault="0057104C" w:rsidP="0057104C">
      <w:pPr>
        <w:pStyle w:val="SangriaFrancesaArticulo"/>
      </w:pPr>
      <w:r w:rsidRPr="0057104C">
        <w:rPr>
          <w:rStyle w:val="TextoNormalNegritaCaracter"/>
        </w:rPr>
        <w:t>Preámbulo, apartado VI.</w:t>
      </w:r>
      <w:r w:rsidRPr="0057104C">
        <w:rPr>
          <w:rStyle w:val="TextoNormalCaracter"/>
        </w:rPr>
        <w:t>-</w:t>
      </w:r>
      <w:r>
        <w:t xml:space="preserve"> Sentencia </w:t>
      </w:r>
      <w:hyperlink w:anchor="SENTENCIA_2016_18" w:history="1">
        <w:r w:rsidRPr="0057104C">
          <w:rPr>
            <w:rStyle w:val="TextoNormalCaracter"/>
          </w:rPr>
          <w:t>18/2016</w:t>
        </w:r>
      </w:hyperlink>
      <w:r>
        <w:t>, f. 4.</w:t>
      </w:r>
    </w:p>
    <w:p w:rsidR="0057104C" w:rsidRDefault="0057104C" w:rsidP="0057104C">
      <w:pPr>
        <w:pStyle w:val="SangriaFrancesaArticulo"/>
      </w:pPr>
      <w:r w:rsidRPr="0057104C">
        <w:rPr>
          <w:rStyle w:val="TextoNormalNegritaCaracter"/>
        </w:rPr>
        <w:t>Preámbulo, apartado VII.</w:t>
      </w:r>
      <w:r w:rsidRPr="0057104C">
        <w:rPr>
          <w:rStyle w:val="TextoNormalCaracter"/>
        </w:rPr>
        <w:t>-</w:t>
      </w:r>
      <w:r>
        <w:t xml:space="preserve"> Sentencia </w:t>
      </w:r>
      <w:hyperlink w:anchor="SENTENCIA_2016_18" w:history="1">
        <w:r w:rsidRPr="0057104C">
          <w:rPr>
            <w:rStyle w:val="TextoNormalCaracter"/>
          </w:rPr>
          <w:t>18/2016</w:t>
        </w:r>
      </w:hyperlink>
      <w:r>
        <w:t>, f. 4.</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18" w:history="1">
        <w:r w:rsidRPr="0057104C">
          <w:rPr>
            <w:rStyle w:val="TextoNormalCaracter"/>
          </w:rPr>
          <w:t>18/2016</w:t>
        </w:r>
      </w:hyperlink>
      <w:r>
        <w:t>, ff. 1, 6.</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Sentencias </w:t>
      </w:r>
      <w:hyperlink w:anchor="SENTENCIA_2016_1" w:history="1">
        <w:r w:rsidRPr="0057104C">
          <w:rPr>
            <w:rStyle w:val="TextoNormalCaracter"/>
          </w:rPr>
          <w:t>1/2016</w:t>
        </w:r>
      </w:hyperlink>
      <w:r>
        <w:t xml:space="preserve">, ff. 1, 3, 4; </w:t>
      </w:r>
      <w:hyperlink w:anchor="SENTENCIA_2016_2" w:history="1">
        <w:r w:rsidRPr="0057104C">
          <w:rPr>
            <w:rStyle w:val="TextoNormalCaracter"/>
          </w:rPr>
          <w:t>2/2016</w:t>
        </w:r>
      </w:hyperlink>
      <w:r>
        <w:t xml:space="preserve">, ff. 1, 2; </w:t>
      </w:r>
      <w:hyperlink w:anchor="SENTENCIA_2016_4" w:history="1">
        <w:r w:rsidRPr="0057104C">
          <w:rPr>
            <w:rStyle w:val="TextoNormalCaracter"/>
          </w:rPr>
          <w:t>4/2016</w:t>
        </w:r>
      </w:hyperlink>
      <w:r>
        <w:t xml:space="preserve">, ff. 1, 2; </w:t>
      </w:r>
      <w:hyperlink w:anchor="SENTENCIA_2016_18" w:history="1">
        <w:r w:rsidRPr="0057104C">
          <w:rPr>
            <w:rStyle w:val="TextoNormalCaracter"/>
          </w:rPr>
          <w:t>18/2016</w:t>
        </w:r>
      </w:hyperlink>
      <w:r>
        <w:t xml:space="preserve">, ff. 1, 2, 6; </w:t>
      </w:r>
      <w:hyperlink w:anchor="SENTENCIA_2016_46" w:history="1">
        <w:r w:rsidRPr="0057104C">
          <w:rPr>
            <w:rStyle w:val="TextoNormalCaracter"/>
          </w:rPr>
          <w:t>46/2016</w:t>
        </w:r>
      </w:hyperlink>
      <w:r>
        <w:t xml:space="preserve">, f. 1; </w:t>
      </w:r>
      <w:hyperlink w:anchor="SENTENCIA_2016_47" w:history="1">
        <w:r w:rsidRPr="0057104C">
          <w:rPr>
            <w:rStyle w:val="TextoNormalCaracter"/>
          </w:rPr>
          <w:t>47/2016</w:t>
        </w:r>
      </w:hyperlink>
      <w:r>
        <w:t xml:space="preserve">, f. 1; </w:t>
      </w:r>
      <w:hyperlink w:anchor="SENTENCIA_2016_79" w:history="1">
        <w:r w:rsidRPr="0057104C">
          <w:rPr>
            <w:rStyle w:val="TextoNormalCaracter"/>
          </w:rPr>
          <w:t>79/2016</w:t>
        </w:r>
      </w:hyperlink>
      <w:r>
        <w:t xml:space="preserve">, f. 1; </w:t>
      </w:r>
      <w:hyperlink w:anchor="SENTENCIA_2016_80" w:history="1">
        <w:r w:rsidRPr="0057104C">
          <w:rPr>
            <w:rStyle w:val="TextoNormalCaracter"/>
          </w:rPr>
          <w:t>80/2016</w:t>
        </w:r>
      </w:hyperlink>
      <w:r>
        <w:t xml:space="preserve">, ff. 2, 3; </w:t>
      </w:r>
      <w:hyperlink w:anchor="SENTENCIA_2016_90" w:history="1">
        <w:r w:rsidRPr="0057104C">
          <w:rPr>
            <w:rStyle w:val="TextoNormalCaracter"/>
          </w:rPr>
          <w:t>90/2016</w:t>
        </w:r>
      </w:hyperlink>
      <w:r>
        <w:t xml:space="preserve">, ff. 1, 2; </w:t>
      </w:r>
      <w:hyperlink w:anchor="SENTENCIA_2016_104" w:history="1">
        <w:r w:rsidRPr="0057104C">
          <w:rPr>
            <w:rStyle w:val="TextoNormalCaracter"/>
          </w:rPr>
          <w:t>104/2016</w:t>
        </w:r>
      </w:hyperlink>
      <w:r>
        <w:t xml:space="preserve">, f. 1; </w:t>
      </w:r>
      <w:hyperlink w:anchor="SENTENCIA_2016_106" w:history="1">
        <w:r w:rsidRPr="0057104C">
          <w:rPr>
            <w:rStyle w:val="TextoNormalCaracter"/>
          </w:rPr>
          <w:t>106/2016</w:t>
        </w:r>
      </w:hyperlink>
      <w:r>
        <w:t xml:space="preserve">, f. 1; </w:t>
      </w:r>
      <w:hyperlink w:anchor="SENTENCIA_2016_119" w:history="1">
        <w:r w:rsidRPr="0057104C">
          <w:rPr>
            <w:rStyle w:val="TextoNormalCaracter"/>
          </w:rPr>
          <w:t>119/2016</w:t>
        </w:r>
      </w:hyperlink>
      <w:r>
        <w:t>, ff. 1 a 3.</w:t>
      </w:r>
    </w:p>
    <w:p w:rsidR="0057104C" w:rsidRDefault="0057104C" w:rsidP="0057104C">
      <w:pPr>
        <w:pStyle w:val="SangriaIzquierdaArticulo"/>
      </w:pPr>
      <w:r>
        <w:t xml:space="preserve">Autos </w:t>
      </w:r>
      <w:hyperlink w:anchor="AUTO_2016_13" w:history="1">
        <w:r w:rsidRPr="0057104C">
          <w:rPr>
            <w:rStyle w:val="TextoNormalCaracter"/>
          </w:rPr>
          <w:t>13/2016</w:t>
        </w:r>
      </w:hyperlink>
      <w:r>
        <w:t xml:space="preserve">, ff. 1, 2; </w:t>
      </w:r>
      <w:hyperlink w:anchor="AUTO_2016_71" w:history="1">
        <w:r w:rsidRPr="0057104C">
          <w:rPr>
            <w:rStyle w:val="TextoNormalCaracter"/>
          </w:rPr>
          <w:t>71/2016</w:t>
        </w:r>
      </w:hyperlink>
      <w:r>
        <w:t>, ff. 1, 3, 5.</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Sentencias </w:t>
      </w:r>
      <w:hyperlink w:anchor="SENTENCIA_2016_1" w:history="1">
        <w:r w:rsidRPr="0057104C">
          <w:rPr>
            <w:rStyle w:val="TextoNormalCaracter"/>
          </w:rPr>
          <w:t>1/2016</w:t>
        </w:r>
      </w:hyperlink>
      <w:r>
        <w:t xml:space="preserve">, ff. 3, 4; </w:t>
      </w:r>
      <w:hyperlink w:anchor="SENTENCIA_2016_2" w:history="1">
        <w:r w:rsidRPr="0057104C">
          <w:rPr>
            <w:rStyle w:val="TextoNormalCaracter"/>
          </w:rPr>
          <w:t>2/2016</w:t>
        </w:r>
      </w:hyperlink>
      <w:r>
        <w:t xml:space="preserve">, f. 2; </w:t>
      </w:r>
      <w:hyperlink w:anchor="SENTENCIA_2016_4" w:history="1">
        <w:r w:rsidRPr="0057104C">
          <w:rPr>
            <w:rStyle w:val="TextoNormalCaracter"/>
          </w:rPr>
          <w:t>4/2016</w:t>
        </w:r>
      </w:hyperlink>
      <w:r>
        <w:t xml:space="preserve">, f. 2; </w:t>
      </w:r>
      <w:hyperlink w:anchor="SENTENCIA_2016_18" w:history="1">
        <w:r w:rsidRPr="0057104C">
          <w:rPr>
            <w:rStyle w:val="TextoNormalCaracter"/>
          </w:rPr>
          <w:t>18/2016</w:t>
        </w:r>
      </w:hyperlink>
      <w:r>
        <w:t xml:space="preserve">, f. 6; </w:t>
      </w:r>
      <w:hyperlink w:anchor="SENTENCIA_2016_43" w:history="1">
        <w:r w:rsidRPr="0057104C">
          <w:rPr>
            <w:rStyle w:val="TextoNormalCaracter"/>
          </w:rPr>
          <w:t>43/2016</w:t>
        </w:r>
      </w:hyperlink>
      <w:r>
        <w:t xml:space="preserve">, f. 1; </w:t>
      </w:r>
      <w:hyperlink w:anchor="SENTENCIA_2016_52" w:history="1">
        <w:r w:rsidRPr="0057104C">
          <w:rPr>
            <w:rStyle w:val="TextoNormalCaracter"/>
          </w:rPr>
          <w:t>52/2016</w:t>
        </w:r>
      </w:hyperlink>
      <w:r>
        <w:t xml:space="preserve">, f. 1; </w:t>
      </w:r>
      <w:hyperlink w:anchor="SENTENCIA_2016_79" w:history="1">
        <w:r w:rsidRPr="0057104C">
          <w:rPr>
            <w:rStyle w:val="TextoNormalCaracter"/>
          </w:rPr>
          <w:t>79/2016</w:t>
        </w:r>
      </w:hyperlink>
      <w:r>
        <w:t xml:space="preserve">, f. 1; </w:t>
      </w:r>
      <w:hyperlink w:anchor="SENTENCIA_2016_90" w:history="1">
        <w:r w:rsidRPr="0057104C">
          <w:rPr>
            <w:rStyle w:val="TextoNormalCaracter"/>
          </w:rPr>
          <w:t>90/2016</w:t>
        </w:r>
      </w:hyperlink>
      <w:r>
        <w:t xml:space="preserve">, f. 2; </w:t>
      </w:r>
      <w:hyperlink w:anchor="SENTENCIA_2016_119" w:history="1">
        <w:r w:rsidRPr="0057104C">
          <w:rPr>
            <w:rStyle w:val="TextoNormalCaracter"/>
          </w:rPr>
          <w:t>119/2016</w:t>
        </w:r>
      </w:hyperlink>
      <w:r>
        <w:t>, f. 3.</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Sentencias </w:t>
      </w:r>
      <w:hyperlink w:anchor="SENTENCIA_2016_1" w:history="1">
        <w:r w:rsidRPr="0057104C">
          <w:rPr>
            <w:rStyle w:val="TextoNormalCaracter"/>
          </w:rPr>
          <w:t>1/2016</w:t>
        </w:r>
      </w:hyperlink>
      <w:r>
        <w:t xml:space="preserve">, ff. 3, 4; </w:t>
      </w:r>
      <w:hyperlink w:anchor="SENTENCIA_2016_18" w:history="1">
        <w:r w:rsidRPr="0057104C">
          <w:rPr>
            <w:rStyle w:val="TextoNormalCaracter"/>
          </w:rPr>
          <w:t>18/2016</w:t>
        </w:r>
      </w:hyperlink>
      <w:r>
        <w:t xml:space="preserve">, f. 6; </w:t>
      </w:r>
      <w:hyperlink w:anchor="SENTENCIA_2016_80" w:history="1">
        <w:r w:rsidRPr="0057104C">
          <w:rPr>
            <w:rStyle w:val="TextoNormalCaracter"/>
          </w:rPr>
          <w:t>80/2016</w:t>
        </w:r>
      </w:hyperlink>
      <w:r>
        <w:t xml:space="preserve">, ff. 1, 2; </w:t>
      </w:r>
      <w:hyperlink w:anchor="SENTENCIA_2016_97" w:history="1">
        <w:r w:rsidRPr="0057104C">
          <w:rPr>
            <w:rStyle w:val="TextoNormalCaracter"/>
          </w:rPr>
          <w:t>97/2016</w:t>
        </w:r>
      </w:hyperlink>
      <w:r>
        <w:t xml:space="preserve">, f. 1; </w:t>
      </w:r>
      <w:hyperlink w:anchor="SENTENCIA_2016_119" w:history="1">
        <w:r w:rsidRPr="0057104C">
          <w:rPr>
            <w:rStyle w:val="TextoNormalCaracter"/>
          </w:rPr>
          <w:t>119/2016</w:t>
        </w:r>
      </w:hyperlink>
      <w:r>
        <w:t>, f. 3.</w:t>
      </w:r>
    </w:p>
    <w:p w:rsidR="0057104C" w:rsidRDefault="0057104C" w:rsidP="0057104C">
      <w:pPr>
        <w:pStyle w:val="SangriaFrancesaArticulo"/>
      </w:pPr>
      <w:r w:rsidRPr="0057104C">
        <w:rPr>
          <w:rStyle w:val="TextoNormalNegritaCaracter"/>
        </w:rPr>
        <w:t>Artículo 2.2 a).</w:t>
      </w:r>
      <w:r w:rsidRPr="0057104C">
        <w:rPr>
          <w:rStyle w:val="TextoNormalCaracter"/>
        </w:rPr>
        <w:t>-</w:t>
      </w:r>
      <w:r>
        <w:t xml:space="preserve"> Sentencia </w:t>
      </w:r>
      <w:hyperlink w:anchor="SENTENCIA_2016_90" w:history="1">
        <w:r w:rsidRPr="0057104C">
          <w:rPr>
            <w:rStyle w:val="TextoNormalCaracter"/>
          </w:rPr>
          <w:t>90/2016</w:t>
        </w:r>
      </w:hyperlink>
      <w:r>
        <w:t>, f. 3.</w:t>
      </w:r>
    </w:p>
    <w:p w:rsidR="0057104C" w:rsidRDefault="0057104C" w:rsidP="0057104C">
      <w:pPr>
        <w:pStyle w:val="SangriaFrancesaArticulo"/>
      </w:pPr>
      <w:r w:rsidRPr="0057104C">
        <w:rPr>
          <w:rStyle w:val="TextoNormalNegritaCaracter"/>
        </w:rPr>
        <w:t>Artículo 2.2.2.</w:t>
      </w:r>
      <w:r w:rsidRPr="0057104C">
        <w:rPr>
          <w:rStyle w:val="TextoNormalCaracter"/>
        </w:rPr>
        <w:t>-</w:t>
      </w:r>
      <w:r>
        <w:t xml:space="preserve"> Sentencias </w:t>
      </w:r>
      <w:hyperlink w:anchor="SENTENCIA_2016_2" w:history="1">
        <w:r w:rsidRPr="0057104C">
          <w:rPr>
            <w:rStyle w:val="TextoNormalCaracter"/>
          </w:rPr>
          <w:t>2/2016</w:t>
        </w:r>
      </w:hyperlink>
      <w:r>
        <w:t xml:space="preserve">, f. 2; </w:t>
      </w:r>
      <w:hyperlink w:anchor="SENTENCIA_2016_4" w:history="1">
        <w:r w:rsidRPr="0057104C">
          <w:rPr>
            <w:rStyle w:val="TextoNormalCaracter"/>
          </w:rPr>
          <w:t>4/2016</w:t>
        </w:r>
      </w:hyperlink>
      <w:r>
        <w:t xml:space="preserve">, f. 2; </w:t>
      </w:r>
      <w:hyperlink w:anchor="SENTENCIA_2016_79" w:history="1">
        <w:r w:rsidRPr="0057104C">
          <w:rPr>
            <w:rStyle w:val="TextoNormalCaracter"/>
          </w:rPr>
          <w:t>79/2016</w:t>
        </w:r>
      </w:hyperlink>
      <w:r>
        <w:t xml:space="preserve">, f. 1; </w:t>
      </w:r>
      <w:hyperlink w:anchor="SENTENCIA_2016_90" w:history="1">
        <w:r w:rsidRPr="0057104C">
          <w:rPr>
            <w:rStyle w:val="TextoNormalCaracter"/>
          </w:rPr>
          <w:t>90/2016</w:t>
        </w:r>
      </w:hyperlink>
      <w:r>
        <w:t>, f. 2.</w:t>
      </w:r>
    </w:p>
    <w:p w:rsidR="0057104C" w:rsidRDefault="0057104C" w:rsidP="0057104C">
      <w:pPr>
        <w:pStyle w:val="SangriaFrancesaArticulo"/>
      </w:pPr>
      <w:r w:rsidRPr="0057104C">
        <w:rPr>
          <w:rStyle w:val="TextoNormalNegritaCaracter"/>
        </w:rPr>
        <w:t>Artículo 2.2.5.</w:t>
      </w:r>
      <w:r w:rsidRPr="0057104C">
        <w:rPr>
          <w:rStyle w:val="TextoNormalCaracter"/>
        </w:rPr>
        <w:t>-</w:t>
      </w:r>
      <w:r>
        <w:t xml:space="preserve"> Sentencia </w:t>
      </w:r>
      <w:hyperlink w:anchor="SENTENCIA_2016_4" w:history="1">
        <w:r w:rsidRPr="0057104C">
          <w:rPr>
            <w:rStyle w:val="TextoNormalCaracter"/>
          </w:rPr>
          <w:t>4/2016</w:t>
        </w:r>
      </w:hyperlink>
      <w:r>
        <w:t>, f. 2.</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Sentencia </w:t>
      </w:r>
      <w:hyperlink w:anchor="SENTENCIA_2016_18" w:history="1">
        <w:r w:rsidRPr="0057104C">
          <w:rPr>
            <w:rStyle w:val="TextoNormalCaracter"/>
          </w:rPr>
          <w:t>18/2016</w:t>
        </w:r>
      </w:hyperlink>
      <w:r>
        <w:t>, f. 6.</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1" w:history="1">
        <w:r w:rsidRPr="0057104C">
          <w:rPr>
            <w:rStyle w:val="TextoNormalCaracter"/>
          </w:rPr>
          <w:t>1/2016</w:t>
        </w:r>
      </w:hyperlink>
      <w:r>
        <w:t>, f. 3.</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59" w:history="1">
        <w:r w:rsidRPr="0057104C">
          <w:rPr>
            <w:rStyle w:val="TextoNormalCaracter"/>
          </w:rPr>
          <w:t>59/2016</w:t>
        </w:r>
      </w:hyperlink>
      <w:r>
        <w:t>, f. 4.</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59" w:history="1">
        <w:r w:rsidRPr="0057104C">
          <w:rPr>
            <w:rStyle w:val="TextoNormalCaracter"/>
          </w:rPr>
          <w:t>59/2016</w:t>
        </w:r>
      </w:hyperlink>
      <w:r>
        <w:t>, f. 4.</w:t>
      </w:r>
    </w:p>
    <w:p w:rsidR="0057104C" w:rsidRDefault="0057104C" w:rsidP="0057104C">
      <w:pPr>
        <w:pStyle w:val="SangriaFrancesaArticulo"/>
      </w:pPr>
      <w:r w:rsidRPr="0057104C">
        <w:rPr>
          <w:rStyle w:val="TextoNormalNegritaCaracter"/>
        </w:rPr>
        <w:t>Artículo 4.4.</w:t>
      </w:r>
      <w:r w:rsidRPr="0057104C">
        <w:rPr>
          <w:rStyle w:val="TextoNormalCaracter"/>
        </w:rPr>
        <w:t>-</w:t>
      </w:r>
      <w:r>
        <w:t xml:space="preserve"> Sentencia </w:t>
      </w:r>
      <w:hyperlink w:anchor="SENTENCIA_2016_59" w:history="1">
        <w:r w:rsidRPr="0057104C">
          <w:rPr>
            <w:rStyle w:val="TextoNormalCaracter"/>
          </w:rPr>
          <w:t>59/2016</w:t>
        </w:r>
      </w:hyperlink>
      <w:r>
        <w:t>, f. 4.</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Sentencias </w:t>
      </w:r>
      <w:hyperlink w:anchor="SENTENCIA_2016_80" w:history="1">
        <w:r w:rsidRPr="0057104C">
          <w:rPr>
            <w:rStyle w:val="TextoNormalCaracter"/>
          </w:rPr>
          <w:t>80/2016</w:t>
        </w:r>
      </w:hyperlink>
      <w:r>
        <w:t xml:space="preserve">, ff. 1, 2; </w:t>
      </w:r>
      <w:hyperlink w:anchor="SENTENCIA_2016_97" w:history="1">
        <w:r w:rsidRPr="0057104C">
          <w:rPr>
            <w:rStyle w:val="TextoNormalCaracter"/>
          </w:rPr>
          <w:t>97/2016</w:t>
        </w:r>
      </w:hyperlink>
      <w:r>
        <w:t>, f. 1.</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Sentencias </w:t>
      </w:r>
      <w:hyperlink w:anchor="SENTENCIA_2016_9" w:history="1">
        <w:r w:rsidRPr="0057104C">
          <w:rPr>
            <w:rStyle w:val="TextoNormalCaracter"/>
          </w:rPr>
          <w:t>9/2016</w:t>
        </w:r>
      </w:hyperlink>
      <w:r>
        <w:t xml:space="preserve">, ff. 2, 3; </w:t>
      </w:r>
      <w:hyperlink w:anchor="SENTENCIA_2016_18" w:history="1">
        <w:r w:rsidRPr="0057104C">
          <w:rPr>
            <w:rStyle w:val="TextoNormalCaracter"/>
          </w:rPr>
          <w:t>18/2016</w:t>
        </w:r>
      </w:hyperlink>
      <w:r>
        <w:t xml:space="preserve">, ff. 1, 2, 4 a 6; </w:t>
      </w:r>
      <w:hyperlink w:anchor="SENTENCIA_2016_119" w:history="1">
        <w:r w:rsidRPr="0057104C">
          <w:rPr>
            <w:rStyle w:val="TextoNormalCaracter"/>
          </w:rPr>
          <w:t>119/2016</w:t>
        </w:r>
      </w:hyperlink>
      <w:r>
        <w:t>, ff. 1, 4.</w:t>
      </w:r>
    </w:p>
    <w:p w:rsidR="0057104C" w:rsidRDefault="0057104C" w:rsidP="0057104C">
      <w:pPr>
        <w:pStyle w:val="SangriaFrancesaArticulo"/>
      </w:pPr>
      <w:r w:rsidRPr="0057104C">
        <w:rPr>
          <w:rStyle w:val="TextoNormalNegritaCaracter"/>
        </w:rPr>
        <w:t>Artículo 8.1.</w:t>
      </w:r>
      <w:r w:rsidRPr="0057104C">
        <w:rPr>
          <w:rStyle w:val="TextoNormalCaracter"/>
        </w:rPr>
        <w:t>-</w:t>
      </w:r>
      <w:r>
        <w:t xml:space="preserve"> Sentencias </w:t>
      </w:r>
      <w:hyperlink w:anchor="SENTENCIA_2016_9" w:history="1">
        <w:r w:rsidRPr="0057104C">
          <w:rPr>
            <w:rStyle w:val="TextoNormalCaracter"/>
          </w:rPr>
          <w:t>9/2016</w:t>
        </w:r>
      </w:hyperlink>
      <w:r>
        <w:t xml:space="preserve">, ff. 1, 3 VP; </w:t>
      </w:r>
      <w:hyperlink w:anchor="SENTENCIA_2016_18" w:history="1">
        <w:r w:rsidRPr="0057104C">
          <w:rPr>
            <w:rStyle w:val="TextoNormalCaracter"/>
          </w:rPr>
          <w:t>18/2016</w:t>
        </w:r>
      </w:hyperlink>
      <w:r>
        <w:t xml:space="preserve">, f. 5, VP; </w:t>
      </w:r>
      <w:hyperlink w:anchor="SENTENCIA_2016_119" w:history="1">
        <w:r w:rsidRPr="0057104C">
          <w:rPr>
            <w:rStyle w:val="TextoNormalCaracter"/>
          </w:rPr>
          <w:t>119/2016</w:t>
        </w:r>
      </w:hyperlink>
      <w:r>
        <w:t>, VP.</w:t>
      </w:r>
    </w:p>
    <w:p w:rsidR="0057104C" w:rsidRDefault="0057104C" w:rsidP="0057104C">
      <w:pPr>
        <w:pStyle w:val="SangriaFrancesaArticulo"/>
      </w:pPr>
      <w:r w:rsidRPr="0057104C">
        <w:rPr>
          <w:rStyle w:val="TextoNormalNegritaCaracter"/>
        </w:rPr>
        <w:t>Artículo 8.2.</w:t>
      </w:r>
      <w:r w:rsidRPr="0057104C">
        <w:rPr>
          <w:rStyle w:val="TextoNormalCaracter"/>
        </w:rPr>
        <w:t>-</w:t>
      </w:r>
      <w:r>
        <w:t xml:space="preserve"> Sentencia </w:t>
      </w:r>
      <w:hyperlink w:anchor="SENTENCIA_2016_18" w:history="1">
        <w:r w:rsidRPr="0057104C">
          <w:rPr>
            <w:rStyle w:val="TextoNormalCaracter"/>
          </w:rPr>
          <w:t>18/2016</w:t>
        </w:r>
      </w:hyperlink>
      <w:r>
        <w:t>, f. 5.</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Sentencias </w:t>
      </w:r>
      <w:hyperlink w:anchor="SENTENCIA_2016_18" w:history="1">
        <w:r w:rsidRPr="0057104C">
          <w:rPr>
            <w:rStyle w:val="TextoNormalCaracter"/>
          </w:rPr>
          <w:t>18/2016</w:t>
        </w:r>
      </w:hyperlink>
      <w:r>
        <w:t xml:space="preserve">, ff. 2, 4, 5; </w:t>
      </w:r>
      <w:hyperlink w:anchor="SENTENCIA_2016_119" w:history="1">
        <w:r w:rsidRPr="0057104C">
          <w:rPr>
            <w:rStyle w:val="TextoNormalCaracter"/>
          </w:rPr>
          <w:t>119/2016</w:t>
        </w:r>
      </w:hyperlink>
      <w:r>
        <w:t>, ff. 1, 4.</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18" w:history="1">
        <w:r w:rsidRPr="0057104C">
          <w:rPr>
            <w:rStyle w:val="TextoNormalCaracter"/>
          </w:rPr>
          <w:t>18/2016</w:t>
        </w:r>
      </w:hyperlink>
      <w:r>
        <w:t>, ff. 2, 4, 5.</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18" w:history="1">
        <w:r w:rsidRPr="0057104C">
          <w:rPr>
            <w:rStyle w:val="TextoNormalCaracter"/>
          </w:rPr>
          <w:t>18/2016</w:t>
        </w:r>
      </w:hyperlink>
      <w:r>
        <w:t>, ff. 2, 4, 5.</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8" w:history="1">
        <w:r w:rsidRPr="0057104C">
          <w:rPr>
            <w:rStyle w:val="TextoNormalCaracter"/>
          </w:rPr>
          <w:t>18/2016</w:t>
        </w:r>
      </w:hyperlink>
      <w:r>
        <w:t>, ff. 1, 6, 7.</w:t>
      </w:r>
    </w:p>
    <w:p w:rsidR="0057104C" w:rsidRDefault="0057104C" w:rsidP="0057104C">
      <w:pPr>
        <w:pStyle w:val="SangriaFrancesaArticulo"/>
      </w:pPr>
      <w:r w:rsidRPr="0057104C">
        <w:rPr>
          <w:rStyle w:val="TextoNormalNegritaCaracter"/>
        </w:rPr>
        <w:t>Artículo 22.1.</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22.2.</w:t>
      </w:r>
      <w:r w:rsidRPr="0057104C">
        <w:rPr>
          <w:rStyle w:val="TextoNormalCaracter"/>
        </w:rPr>
        <w:t>-</w:t>
      </w:r>
      <w:r>
        <w:t xml:space="preserve"> Sentencia </w:t>
      </w:r>
      <w:hyperlink w:anchor="SENTENCIA_2016_18" w:history="1">
        <w:r w:rsidRPr="0057104C">
          <w:rPr>
            <w:rStyle w:val="TextoNormalCaracter"/>
          </w:rPr>
          <w:t>18/2016</w:t>
        </w:r>
      </w:hyperlink>
      <w:r>
        <w:t>, ff. 2, 4, 5.</w:t>
      </w:r>
    </w:p>
    <w:p w:rsidR="0057104C" w:rsidRDefault="0057104C" w:rsidP="0057104C">
      <w:pPr>
        <w:pStyle w:val="SangriaFrancesaArticulo"/>
      </w:pPr>
      <w:r w:rsidRPr="0057104C">
        <w:rPr>
          <w:rStyle w:val="TextoNormalNegritaCaracter"/>
        </w:rPr>
        <w:t>Artículo 22.3.</w:t>
      </w:r>
      <w:r w:rsidRPr="0057104C">
        <w:rPr>
          <w:rStyle w:val="TextoNormalCaracter"/>
        </w:rPr>
        <w:t>-</w:t>
      </w:r>
      <w:r>
        <w:t xml:space="preserve"> Sentencia </w:t>
      </w:r>
      <w:hyperlink w:anchor="SENTENCIA_2016_18" w:history="1">
        <w:r w:rsidRPr="0057104C">
          <w:rPr>
            <w:rStyle w:val="TextoNormalCaracter"/>
          </w:rPr>
          <w:t>18/2016</w:t>
        </w:r>
      </w:hyperlink>
      <w:r>
        <w:t>, ff. 2, 8.</w:t>
      </w:r>
    </w:p>
    <w:p w:rsidR="0057104C" w:rsidRDefault="0057104C" w:rsidP="0057104C">
      <w:pPr>
        <w:pStyle w:val="SangriaFrancesaArticulo"/>
      </w:pPr>
      <w:r w:rsidRPr="0057104C">
        <w:rPr>
          <w:rStyle w:val="TextoNormalNegritaCaracter"/>
        </w:rPr>
        <w:t>Artículo 22.4.</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22.5.</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22.6.</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22.7.</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22.8.</w:t>
      </w:r>
      <w:r w:rsidRPr="0057104C">
        <w:rPr>
          <w:rStyle w:val="TextoNormalCaracter"/>
        </w:rPr>
        <w:t>-</w:t>
      </w:r>
      <w:r>
        <w:t xml:space="preserve"> Sentencias </w:t>
      </w:r>
      <w:hyperlink w:anchor="SENTENCIA_2016_18" w:history="1">
        <w:r w:rsidRPr="0057104C">
          <w:rPr>
            <w:rStyle w:val="TextoNormalCaracter"/>
          </w:rPr>
          <w:t>18/2016</w:t>
        </w:r>
      </w:hyperlink>
      <w:r>
        <w:t xml:space="preserve">, ff. 2, 8; </w:t>
      </w:r>
      <w:hyperlink w:anchor="SENTENCIA_2016_36" w:history="1">
        <w:r w:rsidRPr="0057104C">
          <w:rPr>
            <w:rStyle w:val="TextoNormalCaracter"/>
          </w:rPr>
          <w:t>36/2016</w:t>
        </w:r>
      </w:hyperlink>
      <w:r>
        <w:t>, ff. 1, 2.</w:t>
      </w:r>
    </w:p>
    <w:p w:rsidR="0057104C" w:rsidRDefault="0057104C" w:rsidP="0057104C">
      <w:pPr>
        <w:pStyle w:val="SangriaFrancesaArticulo"/>
      </w:pPr>
      <w:r w:rsidRPr="0057104C">
        <w:rPr>
          <w:rStyle w:val="TextoNormalNegritaCaracter"/>
        </w:rPr>
        <w:t>Artículo 22.9.</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36" w:history="1">
        <w:r w:rsidRPr="0057104C">
          <w:rPr>
            <w:rStyle w:val="TextoNormalCaracter"/>
          </w:rPr>
          <w:t>36/2016</w:t>
        </w:r>
      </w:hyperlink>
      <w:r>
        <w:t>, f. 1.</w:t>
      </w:r>
    </w:p>
    <w:p w:rsidR="0057104C" w:rsidRDefault="0057104C" w:rsidP="0057104C">
      <w:pPr>
        <w:pStyle w:val="SangriaFrancesaArticulo"/>
      </w:pPr>
      <w:r w:rsidRPr="0057104C">
        <w:rPr>
          <w:rStyle w:val="TextoNormalNegritaCaracter"/>
        </w:rPr>
        <w:t>Artículo 22.10.</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22.11.</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22.12.</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22.13.</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22.14.</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22.15.</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22.16.</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Artículo 22.17.</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99" w:history="1">
        <w:r w:rsidRPr="0057104C">
          <w:rPr>
            <w:rStyle w:val="TextoNormalCaracter"/>
          </w:rPr>
          <w:t>99/2016</w:t>
        </w:r>
      </w:hyperlink>
      <w:r>
        <w:t>, ff. 2, 6.</w:t>
      </w:r>
    </w:p>
    <w:p w:rsidR="0057104C" w:rsidRDefault="0057104C" w:rsidP="0057104C">
      <w:pPr>
        <w:pStyle w:val="SangriaFrancesaArticulo"/>
      </w:pPr>
      <w:r w:rsidRPr="0057104C">
        <w:rPr>
          <w:rStyle w:val="TextoNormalNegritaCaracter"/>
        </w:rPr>
        <w:t>Artículo 23.2.</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27.</w:t>
      </w:r>
      <w:r w:rsidRPr="0057104C">
        <w:rPr>
          <w:rStyle w:val="TextoNormalCaracter"/>
        </w:rPr>
        <w:t>-</w:t>
      </w:r>
      <w:r>
        <w:t xml:space="preserve"> Sentencias </w:t>
      </w:r>
      <w:hyperlink w:anchor="SENTENCIA_2016_18" w:history="1">
        <w:r w:rsidRPr="0057104C">
          <w:rPr>
            <w:rStyle w:val="TextoNormalCaracter"/>
          </w:rPr>
          <w:t>18/2016</w:t>
        </w:r>
      </w:hyperlink>
      <w:r>
        <w:t xml:space="preserve">, ff. 1, 2, 4 a 6, 9; </w:t>
      </w:r>
      <w:hyperlink w:anchor="SENTENCIA_2016_37" w:history="1">
        <w:r w:rsidRPr="0057104C">
          <w:rPr>
            <w:rStyle w:val="TextoNormalCaracter"/>
          </w:rPr>
          <w:t>37/2016</w:t>
        </w:r>
      </w:hyperlink>
      <w:r>
        <w:t xml:space="preserve">, ff. 1, 3; </w:t>
      </w:r>
      <w:hyperlink w:anchor="SENTENCIA_2016_55" w:history="1">
        <w:r w:rsidRPr="0057104C">
          <w:rPr>
            <w:rStyle w:val="TextoNormalCaracter"/>
          </w:rPr>
          <w:t>55/2016</w:t>
        </w:r>
      </w:hyperlink>
      <w:r>
        <w:t xml:space="preserve">, ff. 1 a 4; </w:t>
      </w:r>
      <w:hyperlink w:anchor="SENTENCIA_2016_59" w:history="1">
        <w:r w:rsidRPr="0057104C">
          <w:rPr>
            <w:rStyle w:val="TextoNormalCaracter"/>
          </w:rPr>
          <w:t>59/2016</w:t>
        </w:r>
      </w:hyperlink>
      <w:r>
        <w:t xml:space="preserve">, ff. 1, 4; </w:t>
      </w:r>
      <w:hyperlink w:anchor="SENTENCIA_2016_119" w:history="1">
        <w:r w:rsidRPr="0057104C">
          <w:rPr>
            <w:rStyle w:val="TextoNormalCaracter"/>
          </w:rPr>
          <w:t>119/2016</w:t>
        </w:r>
      </w:hyperlink>
      <w:r>
        <w:t>, ff. 1, 2, 5.</w:t>
      </w:r>
    </w:p>
    <w:p w:rsidR="0057104C" w:rsidRDefault="0057104C" w:rsidP="0057104C">
      <w:pPr>
        <w:pStyle w:val="SangriaFrancesaArticulo"/>
      </w:pPr>
      <w:r w:rsidRPr="0057104C">
        <w:rPr>
          <w:rStyle w:val="TextoNormalNegritaCaracter"/>
        </w:rPr>
        <w:t>Artículo 27.1.</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37" w:history="1">
        <w:r w:rsidRPr="0057104C">
          <w:rPr>
            <w:rStyle w:val="TextoNormalCaracter"/>
          </w:rPr>
          <w:t>37/2016</w:t>
        </w:r>
      </w:hyperlink>
      <w:r>
        <w:t xml:space="preserve">, f. 4; </w:t>
      </w:r>
      <w:hyperlink w:anchor="SENTENCIA_2016_55" w:history="1">
        <w:r w:rsidRPr="0057104C">
          <w:rPr>
            <w:rStyle w:val="TextoNormalCaracter"/>
          </w:rPr>
          <w:t>55/2016</w:t>
        </w:r>
      </w:hyperlink>
      <w:r>
        <w:t xml:space="preserve">, f. 4; </w:t>
      </w:r>
      <w:hyperlink w:anchor="SENTENCIA_2016_119" w:history="1">
        <w:r w:rsidRPr="0057104C">
          <w:rPr>
            <w:rStyle w:val="TextoNormalCaracter"/>
          </w:rPr>
          <w:t>119/2016</w:t>
        </w:r>
      </w:hyperlink>
      <w:r>
        <w:t>, ff. 2, 5.</w:t>
      </w:r>
    </w:p>
    <w:p w:rsidR="0057104C" w:rsidRDefault="0057104C" w:rsidP="0057104C">
      <w:pPr>
        <w:pStyle w:val="SangriaFrancesaArticulo"/>
      </w:pPr>
      <w:r w:rsidRPr="0057104C">
        <w:rPr>
          <w:rStyle w:val="TextoNormalNegritaCaracter"/>
        </w:rPr>
        <w:t>Artículo 27.2.</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37" w:history="1">
        <w:r w:rsidRPr="0057104C">
          <w:rPr>
            <w:rStyle w:val="TextoNormalCaracter"/>
          </w:rPr>
          <w:t>37/2016</w:t>
        </w:r>
      </w:hyperlink>
      <w:r>
        <w:t xml:space="preserve">, f. 4; </w:t>
      </w:r>
      <w:hyperlink w:anchor="SENTENCIA_2016_55" w:history="1">
        <w:r w:rsidRPr="0057104C">
          <w:rPr>
            <w:rStyle w:val="TextoNormalCaracter"/>
          </w:rPr>
          <w:t>55/2016</w:t>
        </w:r>
      </w:hyperlink>
      <w:r>
        <w:t xml:space="preserve">, f. 4; </w:t>
      </w:r>
      <w:hyperlink w:anchor="SENTENCIA_2016_59" w:history="1">
        <w:r w:rsidRPr="0057104C">
          <w:rPr>
            <w:rStyle w:val="TextoNormalCaracter"/>
          </w:rPr>
          <w:t>59/2016</w:t>
        </w:r>
      </w:hyperlink>
      <w:r>
        <w:t xml:space="preserve">, f. 4; </w:t>
      </w:r>
      <w:hyperlink w:anchor="SENTENCIA_2016_119" w:history="1">
        <w:r w:rsidRPr="0057104C">
          <w:rPr>
            <w:rStyle w:val="TextoNormalCaracter"/>
          </w:rPr>
          <w:t>119/2016</w:t>
        </w:r>
      </w:hyperlink>
      <w:r>
        <w:t>, ff. 2, 5.</w:t>
      </w:r>
    </w:p>
    <w:p w:rsidR="0057104C" w:rsidRDefault="0057104C" w:rsidP="0057104C">
      <w:pPr>
        <w:pStyle w:val="SangriaFrancesaArticulo"/>
      </w:pPr>
      <w:r w:rsidRPr="0057104C">
        <w:rPr>
          <w:rStyle w:val="TextoNormalNegritaCaracter"/>
        </w:rPr>
        <w:t>Artículo 27.3.</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37" w:history="1">
        <w:r w:rsidRPr="0057104C">
          <w:rPr>
            <w:rStyle w:val="TextoNormalCaracter"/>
          </w:rPr>
          <w:t>37/2016</w:t>
        </w:r>
      </w:hyperlink>
      <w:r>
        <w:t xml:space="preserve">, f. 4; </w:t>
      </w:r>
      <w:hyperlink w:anchor="SENTENCIA_2016_55" w:history="1">
        <w:r w:rsidRPr="0057104C">
          <w:rPr>
            <w:rStyle w:val="TextoNormalCaracter"/>
          </w:rPr>
          <w:t>55/2016</w:t>
        </w:r>
      </w:hyperlink>
      <w:r>
        <w:t xml:space="preserve">, f. 4; </w:t>
      </w:r>
      <w:hyperlink w:anchor="SENTENCIA_2016_119" w:history="1">
        <w:r w:rsidRPr="0057104C">
          <w:rPr>
            <w:rStyle w:val="TextoNormalCaracter"/>
          </w:rPr>
          <w:t>119/2016</w:t>
        </w:r>
      </w:hyperlink>
      <w:r>
        <w:t>, f. 2.</w:t>
      </w:r>
    </w:p>
    <w:p w:rsidR="0057104C" w:rsidRDefault="0057104C" w:rsidP="0057104C">
      <w:pPr>
        <w:pStyle w:val="SangriaFrancesaArticulo"/>
      </w:pPr>
      <w:r w:rsidRPr="0057104C">
        <w:rPr>
          <w:rStyle w:val="TextoNormalNegritaCaracter"/>
        </w:rPr>
        <w:t>Artículo 27.4.</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37" w:history="1">
        <w:r w:rsidRPr="0057104C">
          <w:rPr>
            <w:rStyle w:val="TextoNormalCaracter"/>
          </w:rPr>
          <w:t>37/2016</w:t>
        </w:r>
      </w:hyperlink>
      <w:r>
        <w:t xml:space="preserve">, f. 4; </w:t>
      </w:r>
      <w:hyperlink w:anchor="SENTENCIA_2016_119" w:history="1">
        <w:r w:rsidRPr="0057104C">
          <w:rPr>
            <w:rStyle w:val="TextoNormalCaracter"/>
          </w:rPr>
          <w:t>119/2016</w:t>
        </w:r>
      </w:hyperlink>
      <w:r>
        <w:t>, f. 5.</w:t>
      </w:r>
    </w:p>
    <w:p w:rsidR="0057104C" w:rsidRDefault="0057104C" w:rsidP="0057104C">
      <w:pPr>
        <w:pStyle w:val="SangriaFrancesaArticulo"/>
      </w:pPr>
      <w:r w:rsidRPr="0057104C">
        <w:rPr>
          <w:rStyle w:val="TextoNormalNegritaCaracter"/>
        </w:rPr>
        <w:t>Artículo 27.5.</w:t>
      </w:r>
      <w:r w:rsidRPr="0057104C">
        <w:rPr>
          <w:rStyle w:val="TextoNormalCaracter"/>
        </w:rPr>
        <w:t>-</w:t>
      </w:r>
      <w:r>
        <w:t xml:space="preserve"> Sentencias </w:t>
      </w:r>
      <w:hyperlink w:anchor="SENTENCIA_2016_18" w:history="1">
        <w:r w:rsidRPr="0057104C">
          <w:rPr>
            <w:rStyle w:val="TextoNormalCaracter"/>
          </w:rPr>
          <w:t>18/2016</w:t>
        </w:r>
      </w:hyperlink>
      <w:r>
        <w:t xml:space="preserve">, f. 9; </w:t>
      </w:r>
      <w:hyperlink w:anchor="SENTENCIA_2016_37" w:history="1">
        <w:r w:rsidRPr="0057104C">
          <w:rPr>
            <w:rStyle w:val="TextoNormalCaracter"/>
          </w:rPr>
          <w:t>37/2016</w:t>
        </w:r>
      </w:hyperlink>
      <w:r>
        <w:t xml:space="preserve">, f. 2; </w:t>
      </w:r>
      <w:hyperlink w:anchor="SENTENCIA_2016_119" w:history="1">
        <w:r w:rsidRPr="0057104C">
          <w:rPr>
            <w:rStyle w:val="TextoNormalCaracter"/>
          </w:rPr>
          <w:t>119/2016</w:t>
        </w:r>
      </w:hyperlink>
      <w:r>
        <w:t>, f. 5.</w:t>
      </w:r>
    </w:p>
    <w:p w:rsidR="0057104C" w:rsidRDefault="0057104C" w:rsidP="0057104C">
      <w:pPr>
        <w:pStyle w:val="SangriaFrancesaArticulo"/>
      </w:pPr>
      <w:r w:rsidRPr="0057104C">
        <w:rPr>
          <w:rStyle w:val="TextoNormalNegritaCaracter"/>
        </w:rPr>
        <w:t>Artículo 28.</w:t>
      </w:r>
      <w:r w:rsidRPr="0057104C">
        <w:rPr>
          <w:rStyle w:val="TextoNormalCaracter"/>
        </w:rPr>
        <w:t>-</w:t>
      </w:r>
      <w:r>
        <w:t xml:space="preserve"> Sentencias </w:t>
      </w:r>
      <w:hyperlink w:anchor="SENTENCIA_2016_18" w:history="1">
        <w:r w:rsidRPr="0057104C">
          <w:rPr>
            <w:rStyle w:val="TextoNormalCaracter"/>
          </w:rPr>
          <w:t>18/2016</w:t>
        </w:r>
      </w:hyperlink>
      <w:r>
        <w:t xml:space="preserve">, ff. 1, 2, 4 a 6, 10; </w:t>
      </w:r>
      <w:hyperlink w:anchor="SENTENCIA_2016_37" w:history="1">
        <w:r w:rsidRPr="0057104C">
          <w:rPr>
            <w:rStyle w:val="TextoNormalCaracter"/>
          </w:rPr>
          <w:t>37/2016</w:t>
        </w:r>
      </w:hyperlink>
      <w:r>
        <w:t xml:space="preserve">, ff. 1, 3, 5; </w:t>
      </w:r>
      <w:hyperlink w:anchor="SENTENCIA_2016_59" w:history="1">
        <w:r w:rsidRPr="0057104C">
          <w:rPr>
            <w:rStyle w:val="TextoNormalCaracter"/>
          </w:rPr>
          <w:t>59/2016</w:t>
        </w:r>
      </w:hyperlink>
      <w:r>
        <w:t xml:space="preserve">, ff. 1, 5; </w:t>
      </w:r>
      <w:hyperlink w:anchor="SENTENCIA_2016_119" w:history="1">
        <w:r w:rsidRPr="0057104C">
          <w:rPr>
            <w:rStyle w:val="TextoNormalCaracter"/>
          </w:rPr>
          <w:t>119/2016</w:t>
        </w:r>
      </w:hyperlink>
      <w:r>
        <w:t>, ff. 1, 2, 6.</w:t>
      </w:r>
    </w:p>
    <w:p w:rsidR="0057104C" w:rsidRDefault="0057104C" w:rsidP="0057104C">
      <w:pPr>
        <w:pStyle w:val="SangriaFrancesaArticulo"/>
      </w:pPr>
      <w:r w:rsidRPr="0057104C">
        <w:rPr>
          <w:rStyle w:val="TextoNormalNegritaCaracter"/>
        </w:rPr>
        <w:t>Artículo 28, apartados 1 a 7.</w:t>
      </w:r>
      <w:r w:rsidRPr="0057104C">
        <w:rPr>
          <w:rStyle w:val="TextoNormalCaracter"/>
        </w:rPr>
        <w:t>-</w:t>
      </w:r>
      <w:r>
        <w:t xml:space="preserve"> Sentencia </w:t>
      </w:r>
      <w:hyperlink w:anchor="SENTENCIA_2016_119" w:history="1">
        <w:r w:rsidRPr="0057104C">
          <w:rPr>
            <w:rStyle w:val="TextoNormalCaracter"/>
          </w:rPr>
          <w:t>119/2016</w:t>
        </w:r>
      </w:hyperlink>
      <w:r>
        <w:t>, ff. 2, 6, 7.</w:t>
      </w:r>
    </w:p>
    <w:p w:rsidR="0057104C" w:rsidRDefault="0057104C" w:rsidP="0057104C">
      <w:pPr>
        <w:pStyle w:val="SangriaFrancesaArticulo"/>
      </w:pPr>
      <w:r w:rsidRPr="0057104C">
        <w:rPr>
          <w:rStyle w:val="TextoNormalNegritaCaracter"/>
        </w:rPr>
        <w:t>Artículo 28.1.</w:t>
      </w:r>
      <w:r w:rsidRPr="0057104C">
        <w:rPr>
          <w:rStyle w:val="TextoNormalCaracter"/>
        </w:rPr>
        <w:t>-</w:t>
      </w:r>
      <w:r>
        <w:t xml:space="preserve"> Sentencias </w:t>
      </w:r>
      <w:hyperlink w:anchor="SENTENCIA_2016_18" w:history="1">
        <w:r w:rsidRPr="0057104C">
          <w:rPr>
            <w:rStyle w:val="TextoNormalCaracter"/>
          </w:rPr>
          <w:t>18/2016</w:t>
        </w:r>
      </w:hyperlink>
      <w:r>
        <w:t xml:space="preserve">, f. 10; </w:t>
      </w:r>
      <w:hyperlink w:anchor="SENTENCIA_2016_37" w:history="1">
        <w:r w:rsidRPr="0057104C">
          <w:rPr>
            <w:rStyle w:val="TextoNormalCaracter"/>
          </w:rPr>
          <w:t>37/2016</w:t>
        </w:r>
      </w:hyperlink>
      <w:r>
        <w:t>, f. 5.</w:t>
      </w:r>
    </w:p>
    <w:p w:rsidR="0057104C" w:rsidRDefault="0057104C" w:rsidP="0057104C">
      <w:pPr>
        <w:pStyle w:val="SangriaFrancesaArticulo"/>
      </w:pPr>
      <w:r w:rsidRPr="0057104C">
        <w:rPr>
          <w:rStyle w:val="TextoNormalNegritaCaracter"/>
        </w:rPr>
        <w:t>Artículo 28.2.</w:t>
      </w:r>
      <w:r w:rsidRPr="0057104C">
        <w:rPr>
          <w:rStyle w:val="TextoNormalCaracter"/>
        </w:rPr>
        <w:t>-</w:t>
      </w:r>
      <w:r>
        <w:t xml:space="preserve"> Sentencias </w:t>
      </w:r>
      <w:hyperlink w:anchor="SENTENCIA_2016_18" w:history="1">
        <w:r w:rsidRPr="0057104C">
          <w:rPr>
            <w:rStyle w:val="TextoNormalCaracter"/>
          </w:rPr>
          <w:t>18/2016</w:t>
        </w:r>
      </w:hyperlink>
      <w:r>
        <w:t xml:space="preserve">, f. 10; </w:t>
      </w:r>
      <w:hyperlink w:anchor="SENTENCIA_2016_37" w:history="1">
        <w:r w:rsidRPr="0057104C">
          <w:rPr>
            <w:rStyle w:val="TextoNormalCaracter"/>
          </w:rPr>
          <w:t>37/2016</w:t>
        </w:r>
      </w:hyperlink>
      <w:r>
        <w:t xml:space="preserve">, f. 2; </w:t>
      </w:r>
      <w:hyperlink w:anchor="SENTENCIA_2016_119" w:history="1">
        <w:r w:rsidRPr="0057104C">
          <w:rPr>
            <w:rStyle w:val="TextoNormalCaracter"/>
          </w:rPr>
          <w:t>119/2016</w:t>
        </w:r>
      </w:hyperlink>
      <w:r>
        <w:t>, f. 7.</w:t>
      </w:r>
    </w:p>
    <w:p w:rsidR="0057104C" w:rsidRDefault="0057104C" w:rsidP="0057104C">
      <w:pPr>
        <w:pStyle w:val="SangriaFrancesaArticulo"/>
      </w:pPr>
      <w:r w:rsidRPr="0057104C">
        <w:rPr>
          <w:rStyle w:val="TextoNormalNegritaCaracter"/>
        </w:rPr>
        <w:t>Artículo 28.3.</w:t>
      </w:r>
      <w:r w:rsidRPr="0057104C">
        <w:rPr>
          <w:rStyle w:val="TextoNormalCaracter"/>
        </w:rPr>
        <w:t>-</w:t>
      </w:r>
      <w:r>
        <w:t xml:space="preserve"> Sentencias </w:t>
      </w:r>
      <w:hyperlink w:anchor="SENTENCIA_2016_18" w:history="1">
        <w:r w:rsidRPr="0057104C">
          <w:rPr>
            <w:rStyle w:val="TextoNormalCaracter"/>
          </w:rPr>
          <w:t>18/2016</w:t>
        </w:r>
      </w:hyperlink>
      <w:r>
        <w:t xml:space="preserve">, f. 10; </w:t>
      </w:r>
      <w:hyperlink w:anchor="SENTENCIA_2016_37" w:history="1">
        <w:r w:rsidRPr="0057104C">
          <w:rPr>
            <w:rStyle w:val="TextoNormalCaracter"/>
          </w:rPr>
          <w:t>37/2016</w:t>
        </w:r>
      </w:hyperlink>
      <w:r>
        <w:t xml:space="preserve">, f. 2; </w:t>
      </w:r>
      <w:hyperlink w:anchor="SENTENCIA_2016_59" w:history="1">
        <w:r w:rsidRPr="0057104C">
          <w:rPr>
            <w:rStyle w:val="TextoNormalCaracter"/>
          </w:rPr>
          <w:t>59/2016</w:t>
        </w:r>
      </w:hyperlink>
      <w:r>
        <w:t>, ff. 4, 5.</w:t>
      </w:r>
    </w:p>
    <w:p w:rsidR="0057104C" w:rsidRDefault="0057104C" w:rsidP="0057104C">
      <w:pPr>
        <w:pStyle w:val="SangriaFrancesaArticulo"/>
      </w:pPr>
      <w:r w:rsidRPr="0057104C">
        <w:rPr>
          <w:rStyle w:val="TextoNormalNegritaCaracter"/>
        </w:rPr>
        <w:t>Artículo 28.4.</w:t>
      </w:r>
      <w:r w:rsidRPr="0057104C">
        <w:rPr>
          <w:rStyle w:val="TextoNormalCaracter"/>
        </w:rPr>
        <w:t>-</w:t>
      </w:r>
      <w:r>
        <w:t xml:space="preserve"> Sentencias </w:t>
      </w:r>
      <w:hyperlink w:anchor="SENTENCIA_2016_18" w:history="1">
        <w:r w:rsidRPr="0057104C">
          <w:rPr>
            <w:rStyle w:val="TextoNormalCaracter"/>
          </w:rPr>
          <w:t>18/2016</w:t>
        </w:r>
      </w:hyperlink>
      <w:r>
        <w:t xml:space="preserve">, ff. 10, 11; </w:t>
      </w:r>
      <w:hyperlink w:anchor="SENTENCIA_2016_37" w:history="1">
        <w:r w:rsidRPr="0057104C">
          <w:rPr>
            <w:rStyle w:val="TextoNormalCaracter"/>
          </w:rPr>
          <w:t>37/2016</w:t>
        </w:r>
      </w:hyperlink>
      <w:r>
        <w:t xml:space="preserve">, ff. 2, 5; </w:t>
      </w:r>
      <w:hyperlink w:anchor="SENTENCIA_2016_119" w:history="1">
        <w:r w:rsidRPr="0057104C">
          <w:rPr>
            <w:rStyle w:val="TextoNormalCaracter"/>
          </w:rPr>
          <w:t>119/2016</w:t>
        </w:r>
      </w:hyperlink>
      <w:r>
        <w:t>, f. 7.</w:t>
      </w:r>
    </w:p>
    <w:p w:rsidR="0057104C" w:rsidRDefault="0057104C" w:rsidP="0057104C">
      <w:pPr>
        <w:pStyle w:val="SangriaFrancesaArticulo"/>
      </w:pPr>
      <w:r w:rsidRPr="0057104C">
        <w:rPr>
          <w:rStyle w:val="TextoNormalNegritaCaracter"/>
        </w:rPr>
        <w:t>Artículo 28.5.</w:t>
      </w:r>
      <w:r w:rsidRPr="0057104C">
        <w:rPr>
          <w:rStyle w:val="TextoNormalCaracter"/>
        </w:rPr>
        <w:t>-</w:t>
      </w:r>
      <w:r>
        <w:t xml:space="preserve"> Sentencias </w:t>
      </w:r>
      <w:hyperlink w:anchor="SENTENCIA_2016_18" w:history="1">
        <w:r w:rsidRPr="0057104C">
          <w:rPr>
            <w:rStyle w:val="TextoNormalCaracter"/>
          </w:rPr>
          <w:t>18/2016</w:t>
        </w:r>
      </w:hyperlink>
      <w:r>
        <w:t xml:space="preserve">, ff. 10, 11; </w:t>
      </w:r>
      <w:hyperlink w:anchor="SENTENCIA_2016_37" w:history="1">
        <w:r w:rsidRPr="0057104C">
          <w:rPr>
            <w:rStyle w:val="TextoNormalCaracter"/>
          </w:rPr>
          <w:t>37/2016</w:t>
        </w:r>
      </w:hyperlink>
      <w:r>
        <w:t xml:space="preserve">, ff. 2, 5; </w:t>
      </w:r>
      <w:hyperlink w:anchor="SENTENCIA_2016_119" w:history="1">
        <w:r w:rsidRPr="0057104C">
          <w:rPr>
            <w:rStyle w:val="TextoNormalCaracter"/>
          </w:rPr>
          <w:t>119/2016</w:t>
        </w:r>
      </w:hyperlink>
      <w:r>
        <w:t>, f. 7.</w:t>
      </w:r>
    </w:p>
    <w:p w:rsidR="0057104C" w:rsidRDefault="0057104C" w:rsidP="0057104C">
      <w:pPr>
        <w:pStyle w:val="SangriaFrancesaArticulo"/>
      </w:pPr>
      <w:r w:rsidRPr="0057104C">
        <w:rPr>
          <w:rStyle w:val="TextoNormalNegritaCaracter"/>
        </w:rPr>
        <w:t>Artículo 28.6.</w:t>
      </w:r>
      <w:r w:rsidRPr="0057104C">
        <w:rPr>
          <w:rStyle w:val="TextoNormalCaracter"/>
        </w:rPr>
        <w:t>-</w:t>
      </w:r>
      <w:r>
        <w:t xml:space="preserve"> Sentencias </w:t>
      </w:r>
      <w:hyperlink w:anchor="SENTENCIA_2016_18" w:history="1">
        <w:r w:rsidRPr="0057104C">
          <w:rPr>
            <w:rStyle w:val="TextoNormalCaracter"/>
          </w:rPr>
          <w:t>18/2016</w:t>
        </w:r>
      </w:hyperlink>
      <w:r>
        <w:t xml:space="preserve">, f. 10; </w:t>
      </w:r>
      <w:hyperlink w:anchor="SENTENCIA_2016_37" w:history="1">
        <w:r w:rsidRPr="0057104C">
          <w:rPr>
            <w:rStyle w:val="TextoNormalCaracter"/>
          </w:rPr>
          <w:t>37/2016</w:t>
        </w:r>
      </w:hyperlink>
      <w:r>
        <w:t>, f. 5.</w:t>
      </w:r>
    </w:p>
    <w:p w:rsidR="0057104C" w:rsidRDefault="0057104C" w:rsidP="0057104C">
      <w:pPr>
        <w:pStyle w:val="SangriaFrancesaArticulo"/>
      </w:pPr>
      <w:r w:rsidRPr="0057104C">
        <w:rPr>
          <w:rStyle w:val="TextoNormalNegritaCaracter"/>
        </w:rPr>
        <w:t>Artículo 28.7.</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31.2.</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38.</w:t>
      </w:r>
      <w:r w:rsidRPr="0057104C">
        <w:rPr>
          <w:rStyle w:val="TextoNormalCaracter"/>
        </w:rPr>
        <w:t>-</w:t>
      </w:r>
      <w:r>
        <w:t xml:space="preserve"> Sentencia </w:t>
      </w:r>
      <w:hyperlink w:anchor="SENTENCIA_2016_55" w:history="1">
        <w:r w:rsidRPr="0057104C">
          <w:rPr>
            <w:rStyle w:val="TextoNormalCaracter"/>
          </w:rPr>
          <w:t>55/2016</w:t>
        </w:r>
      </w:hyperlink>
      <w:r>
        <w:t>, ff. 1, 3, 4.</w:t>
      </w:r>
    </w:p>
    <w:p w:rsidR="0057104C" w:rsidRDefault="0057104C" w:rsidP="0057104C">
      <w:pPr>
        <w:pStyle w:val="SangriaFrancesaArticulo"/>
      </w:pPr>
      <w:r w:rsidRPr="0057104C">
        <w:rPr>
          <w:rStyle w:val="TextoNormalNegritaCaracter"/>
        </w:rPr>
        <w:t>Disposición adicional séptima.</w:t>
      </w:r>
      <w:r w:rsidRPr="0057104C">
        <w:rPr>
          <w:rStyle w:val="TextoNormalCaracter"/>
        </w:rPr>
        <w:t>-</w:t>
      </w:r>
      <w:r>
        <w:t xml:space="preserve"> Sentencia </w:t>
      </w:r>
      <w:hyperlink w:anchor="SENTENCIA_2016_18" w:history="1">
        <w:r w:rsidRPr="0057104C">
          <w:rPr>
            <w:rStyle w:val="TextoNormalCaracter"/>
          </w:rPr>
          <w:t>18/2016</w:t>
        </w:r>
      </w:hyperlink>
      <w:r>
        <w:t>, ff. 1, 2, 4 a 8.</w:t>
      </w:r>
    </w:p>
    <w:p w:rsidR="0057104C" w:rsidRDefault="0057104C" w:rsidP="0057104C">
      <w:pPr>
        <w:pStyle w:val="SangriaFrancesaArticulo"/>
      </w:pPr>
      <w:r w:rsidRPr="0057104C">
        <w:rPr>
          <w:rStyle w:val="TextoNormalNegritaCaracter"/>
        </w:rPr>
        <w:t>Disposición adicional novena.</w:t>
      </w:r>
      <w:r w:rsidRPr="0057104C">
        <w:rPr>
          <w:rStyle w:val="TextoNormalCaracter"/>
        </w:rPr>
        <w:t>-</w:t>
      </w:r>
      <w:r>
        <w:t xml:space="preserve"> Sentencia </w:t>
      </w:r>
      <w:hyperlink w:anchor="SENTENCIA_2016_18" w:history="1">
        <w:r w:rsidRPr="0057104C">
          <w:rPr>
            <w:rStyle w:val="TextoNormalCaracter"/>
          </w:rPr>
          <w:t>18/2016</w:t>
        </w:r>
      </w:hyperlink>
      <w:r>
        <w:t>, ff. 1, 2, 4 a 7.</w:t>
      </w:r>
    </w:p>
    <w:p w:rsidR="0057104C" w:rsidRDefault="0057104C" w:rsidP="0057104C">
      <w:pPr>
        <w:pStyle w:val="SangriaFrancesaArticulo"/>
      </w:pPr>
      <w:r w:rsidRPr="0057104C">
        <w:rPr>
          <w:rStyle w:val="TextoNormalNegritaCaracter"/>
        </w:rPr>
        <w:t>Disposición adicional undécima.</w:t>
      </w:r>
      <w:r w:rsidRPr="0057104C">
        <w:rPr>
          <w:rStyle w:val="TextoNormalCaracter"/>
        </w:rPr>
        <w:t>-</w:t>
      </w:r>
      <w:r>
        <w:t xml:space="preserve"> Sentencia </w:t>
      </w:r>
      <w:hyperlink w:anchor="SENTENCIA_2016_18" w:history="1">
        <w:r w:rsidRPr="0057104C">
          <w:rPr>
            <w:rStyle w:val="TextoNormalCaracter"/>
          </w:rPr>
          <w:t>18/2016</w:t>
        </w:r>
      </w:hyperlink>
      <w:r>
        <w:t>, ff. 1, 2, 4 a 6, 9.</w:t>
      </w:r>
    </w:p>
    <w:p w:rsidR="0057104C" w:rsidRDefault="0057104C" w:rsidP="0057104C">
      <w:pPr>
        <w:pStyle w:val="SangriaFrancesaArticulo"/>
      </w:pPr>
      <w:r w:rsidRPr="0057104C">
        <w:rPr>
          <w:rStyle w:val="TextoNormalNegritaCaracter"/>
        </w:rPr>
        <w:t>Disposición adicional decimoquinta.</w:t>
      </w:r>
      <w:r w:rsidRPr="0057104C">
        <w:rPr>
          <w:rStyle w:val="TextoNormalCaracter"/>
        </w:rPr>
        <w:t>-</w:t>
      </w:r>
      <w:r>
        <w:t xml:space="preserve"> Sentencia </w:t>
      </w:r>
      <w:hyperlink w:anchor="SENTENCIA_2016_55" w:history="1">
        <w:r w:rsidRPr="0057104C">
          <w:rPr>
            <w:rStyle w:val="TextoNormalCaracter"/>
          </w:rPr>
          <w:t>55/2016</w:t>
        </w:r>
      </w:hyperlink>
      <w:r>
        <w:t>, f. 3.</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18" w:history="1">
        <w:r w:rsidRPr="0057104C">
          <w:rPr>
            <w:rStyle w:val="TextoNormalCaracter"/>
          </w:rPr>
          <w:t>18/2016</w:t>
        </w:r>
      </w:hyperlink>
      <w:r>
        <w:t>, ff. 1, 5, 6.</w:t>
      </w:r>
    </w:p>
    <w:p w:rsidR="0057104C" w:rsidRDefault="0057104C" w:rsidP="0057104C">
      <w:pPr>
        <w:pStyle w:val="SangriaFrancesaArticulo"/>
      </w:pPr>
      <w:r w:rsidRPr="0057104C">
        <w:rPr>
          <w:rStyle w:val="TextoNormalNegritaCaracter"/>
        </w:rPr>
        <w:t>Disposición transitoria octava.</w:t>
      </w:r>
      <w:r w:rsidRPr="0057104C">
        <w:rPr>
          <w:rStyle w:val="TextoNormalCaracter"/>
        </w:rPr>
        <w:t>-</w:t>
      </w:r>
      <w:r>
        <w:t xml:space="preserve"> Sentencia </w:t>
      </w:r>
      <w:hyperlink w:anchor="SENTENCIA_2016_18" w:history="1">
        <w:r w:rsidRPr="0057104C">
          <w:rPr>
            <w:rStyle w:val="TextoNormalCaracter"/>
          </w:rPr>
          <w:t>18/2016</w:t>
        </w:r>
      </w:hyperlink>
      <w:r>
        <w:t>, ff. 1, 2, 4 a 8.</w:t>
      </w:r>
    </w:p>
    <w:p w:rsidR="0057104C" w:rsidRDefault="0057104C" w:rsidP="0057104C">
      <w:pPr>
        <w:pStyle w:val="SangriaFrancesaArticulo"/>
      </w:pPr>
      <w:r w:rsidRPr="0057104C">
        <w:rPr>
          <w:rStyle w:val="TextoNormalNegritaCaracter"/>
        </w:rPr>
        <w:t>Disposición transitoria novena.</w:t>
      </w:r>
      <w:r w:rsidRPr="0057104C">
        <w:rPr>
          <w:rStyle w:val="TextoNormalCaracter"/>
        </w:rPr>
        <w:t>-</w:t>
      </w:r>
      <w:r>
        <w:t xml:space="preserve"> Sentencia </w:t>
      </w:r>
      <w:hyperlink w:anchor="SENTENCIA_2016_18" w:history="1">
        <w:r w:rsidRPr="0057104C">
          <w:rPr>
            <w:rStyle w:val="TextoNormalCaracter"/>
          </w:rPr>
          <w:t>18/2016</w:t>
        </w:r>
      </w:hyperlink>
      <w:r>
        <w:t>, ff. 1, 2, 4 a 8.</w:t>
      </w:r>
    </w:p>
    <w:p w:rsidR="0057104C" w:rsidRDefault="0057104C" w:rsidP="0057104C">
      <w:pPr>
        <w:pStyle w:val="SangriaFrancesaArticulo"/>
      </w:pPr>
      <w:r w:rsidRPr="0057104C">
        <w:rPr>
          <w:rStyle w:val="TextoNormalNegritaCaracter"/>
        </w:rPr>
        <w:t>Disposición transitoria décima.</w:t>
      </w:r>
      <w:r w:rsidRPr="0057104C">
        <w:rPr>
          <w:rStyle w:val="TextoNormalCaracter"/>
        </w:rPr>
        <w:t>-</w:t>
      </w:r>
      <w:r>
        <w:t xml:space="preserve"> Sentencias </w:t>
      </w:r>
      <w:hyperlink w:anchor="SENTENCIA_2016_18" w:history="1">
        <w:r w:rsidRPr="0057104C">
          <w:rPr>
            <w:rStyle w:val="TextoNormalCaracter"/>
          </w:rPr>
          <w:t>18/2016</w:t>
        </w:r>
      </w:hyperlink>
      <w:r>
        <w:t xml:space="preserve">, ff. 1, 6 a 8; </w:t>
      </w:r>
      <w:hyperlink w:anchor="SENTENCIA_2016_36" w:history="1">
        <w:r w:rsidRPr="0057104C">
          <w:rPr>
            <w:rStyle w:val="TextoNormalCaracter"/>
          </w:rPr>
          <w:t>36/2016</w:t>
        </w:r>
      </w:hyperlink>
      <w:r>
        <w:t>, ff. 1 a 3.</w:t>
      </w:r>
    </w:p>
    <w:p w:rsidR="0057104C" w:rsidRDefault="0057104C" w:rsidP="0057104C">
      <w:pPr>
        <w:pStyle w:val="SangriaFrancesaArticulo"/>
      </w:pPr>
      <w:r w:rsidRPr="0057104C">
        <w:rPr>
          <w:rStyle w:val="TextoNormalNegritaCaracter"/>
        </w:rPr>
        <w:t>Disposición transitoria undécima.</w:t>
      </w:r>
      <w:r w:rsidRPr="0057104C">
        <w:rPr>
          <w:rStyle w:val="TextoNormalCaracter"/>
        </w:rPr>
        <w:t>-</w:t>
      </w:r>
      <w:r>
        <w:t xml:space="preserve"> Sentencia </w:t>
      </w:r>
      <w:hyperlink w:anchor="SENTENCIA_2016_18" w:history="1">
        <w:r w:rsidRPr="0057104C">
          <w:rPr>
            <w:rStyle w:val="TextoNormalCaracter"/>
          </w:rPr>
          <w:t>18/2016</w:t>
        </w:r>
      </w:hyperlink>
      <w:r>
        <w:t>, ff. 1, 6 a 8.</w:t>
      </w:r>
    </w:p>
    <w:p w:rsidR="0057104C" w:rsidRDefault="0057104C" w:rsidP="0057104C">
      <w:pPr>
        <w:pStyle w:val="SangriaFrancesaArticulo"/>
      </w:pPr>
      <w:r w:rsidRPr="0057104C">
        <w:rPr>
          <w:rStyle w:val="TextoNormalNegritaCaracter"/>
        </w:rPr>
        <w:t>Disposición transitoria duodécima.</w:t>
      </w:r>
      <w:r w:rsidRPr="0057104C">
        <w:rPr>
          <w:rStyle w:val="TextoNormalCaracter"/>
        </w:rPr>
        <w:t>-</w:t>
      </w:r>
      <w:r>
        <w:t xml:space="preserve"> Sentencia </w:t>
      </w:r>
      <w:hyperlink w:anchor="SENTENCIA_2016_18" w:history="1">
        <w:r w:rsidRPr="0057104C">
          <w:rPr>
            <w:rStyle w:val="TextoNormalCaracter"/>
          </w:rPr>
          <w:t>18/2016</w:t>
        </w:r>
      </w:hyperlink>
      <w:r>
        <w:t>, ff. 1, 6 a 8.</w:t>
      </w:r>
    </w:p>
    <w:p w:rsidR="0057104C" w:rsidRDefault="0057104C" w:rsidP="0057104C">
      <w:pPr>
        <w:pStyle w:val="SangriaFrancesaArticulo"/>
      </w:pPr>
      <w:r w:rsidRPr="0057104C">
        <w:rPr>
          <w:rStyle w:val="TextoNormalNegritaCaracter"/>
        </w:rPr>
        <w:t>Disposición transitoria duodécima, párrafo 1.</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36" w:history="1">
        <w:r w:rsidRPr="0057104C">
          <w:rPr>
            <w:rStyle w:val="TextoNormalCaracter"/>
          </w:rPr>
          <w:t>36/2016</w:t>
        </w:r>
      </w:hyperlink>
      <w:r>
        <w:t>, ff. 1 a 3.</w:t>
      </w:r>
    </w:p>
    <w:p w:rsidR="0057104C" w:rsidRDefault="0057104C" w:rsidP="0057104C">
      <w:pPr>
        <w:pStyle w:val="SangriaFrancesaArticulo"/>
      </w:pPr>
      <w:r w:rsidRPr="0057104C">
        <w:rPr>
          <w:rStyle w:val="TextoNormalNegritaCaracter"/>
        </w:rPr>
        <w:t>Disposición transitoria decimocuarta.</w:t>
      </w:r>
      <w:r w:rsidRPr="0057104C">
        <w:rPr>
          <w:rStyle w:val="TextoNormalCaracter"/>
        </w:rPr>
        <w:t>-</w:t>
      </w:r>
      <w:r>
        <w:t xml:space="preserve"> Sentencia </w:t>
      </w:r>
      <w:hyperlink w:anchor="SENTENCIA_2016_18" w:history="1">
        <w:r w:rsidRPr="0057104C">
          <w:rPr>
            <w:rStyle w:val="TextoNormalCaracter"/>
          </w:rPr>
          <w:t>18/2016</w:t>
        </w:r>
      </w:hyperlink>
      <w:r>
        <w:t>, ff. 1, 2, 4 a 6, 9, 10.</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18" w:history="1">
        <w:r w:rsidRPr="0057104C">
          <w:rPr>
            <w:rStyle w:val="TextoNormalCaracter"/>
          </w:rPr>
          <w:t>18/2016</w:t>
        </w:r>
      </w:hyperlink>
      <w:r>
        <w:t>, ff. 1, 2, 4 a 8.</w:t>
      </w:r>
    </w:p>
    <w:p w:rsidR="0057104C" w:rsidRDefault="0057104C" w:rsidP="0057104C">
      <w:pPr>
        <w:pStyle w:val="SangriaFrancesaArticulo"/>
      </w:pPr>
      <w:r w:rsidRPr="0057104C">
        <w:rPr>
          <w:rStyle w:val="TextoNormalNegritaCaracter"/>
        </w:rPr>
        <w:t>Disposición final primera, párrafo 1.</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18" w:history="1">
        <w:r w:rsidRPr="0057104C">
          <w:rPr>
            <w:rStyle w:val="TextoNormalCaracter"/>
          </w:rPr>
          <w:t>18/2016</w:t>
        </w:r>
      </w:hyperlink>
      <w:r>
        <w:t>, ff. 1, 2, 4 a 6, 9.</w:t>
      </w:r>
    </w:p>
    <w:p w:rsidR="0057104C" w:rsidRDefault="0057104C" w:rsidP="0057104C">
      <w:pPr>
        <w:pStyle w:val="SangriaFrancesaArticulo"/>
      </w:pPr>
      <w:r w:rsidRPr="0057104C">
        <w:rPr>
          <w:rStyle w:val="TextoNormalNegritaCaracter"/>
        </w:rPr>
        <w:t>Disposición final tercera.</w:t>
      </w:r>
      <w:r w:rsidRPr="0057104C">
        <w:rPr>
          <w:rStyle w:val="TextoNormalCaracter"/>
        </w:rPr>
        <w:t>-</w:t>
      </w:r>
      <w:r>
        <w:t xml:space="preserve"> Sentencias </w:t>
      </w:r>
      <w:hyperlink w:anchor="SENTENCIA_2016_18" w:history="1">
        <w:r w:rsidRPr="0057104C">
          <w:rPr>
            <w:rStyle w:val="TextoNormalCaracter"/>
          </w:rPr>
          <w:t>18/2016</w:t>
        </w:r>
      </w:hyperlink>
      <w:r>
        <w:t xml:space="preserve">, ff. 1, 2, 4 a 6, 9; </w:t>
      </w:r>
      <w:hyperlink w:anchor="SENTENCIA_2016_119" w:history="1">
        <w:r w:rsidRPr="0057104C">
          <w:rPr>
            <w:rStyle w:val="TextoNormalCaracter"/>
          </w:rPr>
          <w:t>119/2016</w:t>
        </w:r>
      </w:hyperlink>
      <w:r>
        <w:t>, ff. 1, 5.</w:t>
      </w:r>
    </w:p>
    <w:p w:rsidR="0057104C" w:rsidRDefault="0057104C" w:rsidP="0057104C">
      <w:pPr>
        <w:pStyle w:val="SangriaFrancesaArticulo"/>
      </w:pPr>
      <w:r w:rsidRPr="0057104C">
        <w:rPr>
          <w:rStyle w:val="TextoNormalNegritaCaracter"/>
        </w:rPr>
        <w:t>Disposición final cuarta.</w:t>
      </w:r>
      <w:r w:rsidRPr="0057104C">
        <w:rPr>
          <w:rStyle w:val="TextoNormalCaracter"/>
        </w:rPr>
        <w:t>-</w:t>
      </w:r>
      <w:r>
        <w:t xml:space="preserve"> Sentencias </w:t>
      </w:r>
      <w:hyperlink w:anchor="SENTENCIA_2016_18" w:history="1">
        <w:r w:rsidRPr="0057104C">
          <w:rPr>
            <w:rStyle w:val="TextoNormalCaracter"/>
          </w:rPr>
          <w:t>18/2016</w:t>
        </w:r>
      </w:hyperlink>
      <w:r>
        <w:t xml:space="preserve">, ff. 1, 9, 11; </w:t>
      </w:r>
      <w:hyperlink w:anchor="SENTENCIA_2016_55" w:history="1">
        <w:r w:rsidRPr="0057104C">
          <w:rPr>
            <w:rStyle w:val="TextoNormalCaracter"/>
          </w:rPr>
          <w:t>55/2016</w:t>
        </w:r>
      </w:hyperlink>
      <w:r>
        <w:t xml:space="preserve">, f. 4; </w:t>
      </w:r>
      <w:hyperlink w:anchor="SENTENCIA_2016_59" w:history="1">
        <w:r w:rsidRPr="0057104C">
          <w:rPr>
            <w:rStyle w:val="TextoNormalCaracter"/>
          </w:rPr>
          <w:t>59/2016</w:t>
        </w:r>
      </w:hyperlink>
      <w:r>
        <w:t xml:space="preserve">, ff. 4, 5; </w:t>
      </w:r>
      <w:hyperlink w:anchor="SENTENCIA_2016_119" w:history="1">
        <w:r w:rsidRPr="0057104C">
          <w:rPr>
            <w:rStyle w:val="TextoNormalCaracter"/>
          </w:rPr>
          <w:t>119/2016</w:t>
        </w:r>
      </w:hyperlink>
      <w:r>
        <w:t>, ff. 5, 6.</w:t>
      </w:r>
    </w:p>
    <w:p w:rsidR="0057104C" w:rsidRDefault="0057104C" w:rsidP="0057104C">
      <w:pPr>
        <w:pStyle w:val="SangriaFrancesaArticulo"/>
      </w:pPr>
      <w:r w:rsidRPr="0057104C">
        <w:rPr>
          <w:rStyle w:val="TextoNormalNegritaCaracter"/>
        </w:rPr>
        <w:t>Disposición final cuarta, párrafo 3.</w:t>
      </w:r>
      <w:r w:rsidRPr="0057104C">
        <w:rPr>
          <w:rStyle w:val="TextoNormalCaracter"/>
        </w:rPr>
        <w:t>-</w:t>
      </w:r>
      <w:r>
        <w:t xml:space="preserve"> Sentencia </w:t>
      </w:r>
      <w:hyperlink w:anchor="SENTENCIA_2016_36" w:history="1">
        <w:r w:rsidRPr="0057104C">
          <w:rPr>
            <w:rStyle w:val="TextoNormalCaracter"/>
          </w:rPr>
          <w:t>36/2016</w:t>
        </w:r>
      </w:hyperlink>
      <w:r>
        <w:t>, f. 1.</w:t>
      </w:r>
    </w:p>
    <w:p w:rsidR="0057104C" w:rsidRDefault="0057104C" w:rsidP="0057104C">
      <w:pPr>
        <w:pStyle w:val="SangriaFrancesaArticulo"/>
      </w:pPr>
      <w:r w:rsidRPr="0057104C">
        <w:rPr>
          <w:rStyle w:val="TextoNormalNegritaCaracter"/>
        </w:rPr>
        <w:t>Disposición final decimoquinta.</w:t>
      </w:r>
      <w:r w:rsidRPr="0057104C">
        <w:rPr>
          <w:rStyle w:val="TextoNormalCaracter"/>
        </w:rPr>
        <w:t>-</w:t>
      </w:r>
      <w:r>
        <w:t xml:space="preserve"> Sentencias </w:t>
      </w:r>
      <w:hyperlink w:anchor="SENTENCIA_2016_4" w:history="1">
        <w:r w:rsidRPr="0057104C">
          <w:rPr>
            <w:rStyle w:val="TextoNormalCaracter"/>
          </w:rPr>
          <w:t>4/2016</w:t>
        </w:r>
      </w:hyperlink>
      <w:r>
        <w:t xml:space="preserve">, f. 2; </w:t>
      </w:r>
      <w:hyperlink w:anchor="SENTENCIA_2016_47" w:history="1">
        <w:r w:rsidRPr="0057104C">
          <w:rPr>
            <w:rStyle w:val="TextoNormalCaracter"/>
          </w:rPr>
          <w:t>47/2016</w:t>
        </w:r>
      </w:hyperlink>
      <w:r>
        <w:t>, f. 2.</w:t>
      </w:r>
    </w:p>
    <w:p w:rsidR="0057104C" w:rsidRDefault="0057104C" w:rsidP="0057104C">
      <w:pPr>
        <w:pStyle w:val="SangriaIzquierdaArticulo"/>
      </w:pPr>
      <w:r>
        <w:t xml:space="preserve">Auto </w:t>
      </w:r>
      <w:hyperlink w:anchor="AUTO_2016_71" w:history="1">
        <w:r w:rsidRPr="0057104C">
          <w:rPr>
            <w:rStyle w:val="TextoNormalCaracter"/>
          </w:rPr>
          <w:t>71/2016</w:t>
        </w:r>
      </w:hyperlink>
      <w:r>
        <w:t>, f. 3.</w:t>
      </w:r>
    </w:p>
    <w:p w:rsidR="0057104C" w:rsidRDefault="0057104C" w:rsidP="0057104C">
      <w:pPr>
        <w:pStyle w:val="SangriaIzquierdaArticulo"/>
      </w:pPr>
    </w:p>
    <w:p w:rsidR="0057104C" w:rsidRDefault="0057104C" w:rsidP="0057104C">
      <w:pPr>
        <w:pStyle w:val="TextoNormalNegritaCursivandice"/>
      </w:pPr>
      <w:r>
        <w:t>Real Decreto-ley 21/2012, de 13 de julio. Medidas de liquidez de las Administraciones públicas y en el ámbito financiero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1" w:history="1">
        <w:r w:rsidRPr="0057104C">
          <w:rPr>
            <w:rStyle w:val="TextoNormalCaracter"/>
          </w:rPr>
          <w:t>101/2016</w:t>
        </w:r>
      </w:hyperlink>
      <w:r>
        <w:t>, f. 12.</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101" w:history="1">
        <w:r w:rsidRPr="0057104C">
          <w:rPr>
            <w:rStyle w:val="TextoNormalCaracter"/>
          </w:rPr>
          <w:t>101/2016</w:t>
        </w:r>
      </w:hyperlink>
      <w:r>
        <w:t>, f. 12.</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101" w:history="1">
        <w:r w:rsidRPr="0057104C">
          <w:rPr>
            <w:rStyle w:val="TextoNormalCaracter"/>
          </w:rPr>
          <w:t>101/2016</w:t>
        </w:r>
      </w:hyperlink>
      <w:r>
        <w:t>, f. 12.</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101" w:history="1">
        <w:r w:rsidRPr="0057104C">
          <w:rPr>
            <w:rStyle w:val="TextoNormalCaracter"/>
          </w:rPr>
          <w:t>101/2016</w:t>
        </w:r>
      </w:hyperlink>
      <w:r>
        <w:t>, f. 12.</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101" w:history="1">
        <w:r w:rsidRPr="0057104C">
          <w:rPr>
            <w:rStyle w:val="TextoNormalCaracter"/>
          </w:rPr>
          <w:t>101/2016</w:t>
        </w:r>
      </w:hyperlink>
      <w:r>
        <w:t>, f. 12.</w:t>
      </w:r>
    </w:p>
    <w:p w:rsidR="0057104C" w:rsidRDefault="0057104C" w:rsidP="0057104C">
      <w:pPr>
        <w:pStyle w:val="SangriaFrancesaArticulo"/>
      </w:pPr>
    </w:p>
    <w:p w:rsidR="0057104C" w:rsidRDefault="0057104C" w:rsidP="0057104C">
      <w:pPr>
        <w:pStyle w:val="TextoNormalNegritaCursivandice"/>
      </w:pPr>
      <w:r>
        <w:t>Real Decreto-ley 29/2012, de 28 de diciembre. Mejora de gestión y protección social en el sistema especial para empleados de hogar y otras medidas de carácter económico y social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91" w:history="1">
        <w:r w:rsidRPr="0057104C">
          <w:rPr>
            <w:rStyle w:val="TextoNormalCaracter"/>
          </w:rPr>
          <w:t>91/2016</w:t>
        </w:r>
      </w:hyperlink>
      <w:r>
        <w:t>, f. 4.</w:t>
      </w:r>
    </w:p>
    <w:p w:rsidR="0057104C" w:rsidRDefault="0057104C" w:rsidP="0057104C">
      <w:pPr>
        <w:pStyle w:val="SangriaFrancesaArticulo"/>
      </w:pPr>
    </w:p>
    <w:p w:rsidR="0057104C" w:rsidRDefault="0057104C" w:rsidP="0057104C">
      <w:pPr>
        <w:pStyle w:val="TextoNormalNegritaCursivandice"/>
      </w:pPr>
      <w:r>
        <w:t>Real Decreto-ley 4/2013, de 22 de febrero. Medidas de apoyo al emprendedor y de estímulo del crecimiento y de la creación de empleo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1" w:history="1">
        <w:r w:rsidRPr="0057104C">
          <w:rPr>
            <w:rStyle w:val="TextoNormalCaracter"/>
          </w:rPr>
          <w:t>101/2016</w:t>
        </w:r>
      </w:hyperlink>
      <w:r>
        <w:t>, f. 11.</w:t>
      </w:r>
    </w:p>
    <w:p w:rsidR="0057104C" w:rsidRDefault="0057104C" w:rsidP="0057104C">
      <w:pPr>
        <w:pStyle w:val="SangriaFrancesaArticulo"/>
      </w:pPr>
      <w:r w:rsidRPr="0057104C">
        <w:rPr>
          <w:rStyle w:val="TextoNormalNegritaCaracter"/>
        </w:rPr>
        <w:t>Artículo 37.</w:t>
      </w:r>
      <w:r w:rsidRPr="0057104C">
        <w:rPr>
          <w:rStyle w:val="TextoNormalCaracter"/>
        </w:rPr>
        <w:t>-</w:t>
      </w:r>
      <w:r>
        <w:t xml:space="preserve"> Sentencia </w:t>
      </w:r>
      <w:hyperlink w:anchor="SENTENCIA_2016_124" w:history="1">
        <w:r w:rsidRPr="0057104C">
          <w:rPr>
            <w:rStyle w:val="TextoNormalCaracter"/>
          </w:rPr>
          <w:t>124/2016</w:t>
        </w:r>
      </w:hyperlink>
      <w:r>
        <w:t>, f. 2.</w:t>
      </w:r>
    </w:p>
    <w:p w:rsidR="0057104C" w:rsidRDefault="0057104C" w:rsidP="0057104C">
      <w:pPr>
        <w:pStyle w:val="SangriaFrancesaArticulo"/>
      </w:pPr>
      <w:r w:rsidRPr="0057104C">
        <w:rPr>
          <w:rStyle w:val="TextoNormalNegritaCaracter"/>
        </w:rPr>
        <w:t>Artículo 38.</w:t>
      </w:r>
      <w:r w:rsidRPr="0057104C">
        <w:rPr>
          <w:rStyle w:val="TextoNormalCaracter"/>
        </w:rPr>
        <w:t>-</w:t>
      </w:r>
      <w:r>
        <w:t xml:space="preserve"> Sentencia </w:t>
      </w:r>
      <w:hyperlink w:anchor="SENTENCIA_2016_124" w:history="1">
        <w:r w:rsidRPr="0057104C">
          <w:rPr>
            <w:rStyle w:val="TextoNormalCaracter"/>
          </w:rPr>
          <w:t>124/2016</w:t>
        </w:r>
      </w:hyperlink>
      <w:r>
        <w:t>, f. 2.</w:t>
      </w:r>
    </w:p>
    <w:p w:rsidR="0057104C" w:rsidRDefault="0057104C" w:rsidP="0057104C">
      <w:pPr>
        <w:pStyle w:val="SangriaFrancesaArticulo"/>
      </w:pPr>
      <w:r w:rsidRPr="0057104C">
        <w:rPr>
          <w:rStyle w:val="TextoNormalNegritaCaracter"/>
        </w:rPr>
        <w:t>Anexo.</w:t>
      </w:r>
      <w:r w:rsidRPr="0057104C">
        <w:rPr>
          <w:rStyle w:val="TextoNormalCaracter"/>
        </w:rPr>
        <w:t>-</w:t>
      </w:r>
      <w:r>
        <w:t xml:space="preserve"> Sentencia </w:t>
      </w:r>
      <w:hyperlink w:anchor="SENTENCIA_2016_124" w:history="1">
        <w:r w:rsidRPr="0057104C">
          <w:rPr>
            <w:rStyle w:val="TextoNormalCaracter"/>
          </w:rPr>
          <w:t>124/2016</w:t>
        </w:r>
      </w:hyperlink>
      <w:r>
        <w:t>, f. 2.</w:t>
      </w:r>
    </w:p>
    <w:p w:rsidR="0057104C" w:rsidRDefault="0057104C" w:rsidP="0057104C">
      <w:pPr>
        <w:pStyle w:val="SangriaFrancesaArticulo"/>
      </w:pPr>
    </w:p>
    <w:p w:rsidR="0057104C" w:rsidRDefault="0057104C" w:rsidP="0057104C">
      <w:pPr>
        <w:pStyle w:val="TextoNormalNegritaCursivandice"/>
      </w:pPr>
      <w:r>
        <w:t>Real Decreto-ley 7/2013, de 28 de junio. Medidas urgentes de naturaleza tributaria, presupuestaria y de fomento de la investigación, el desarrollo y la innovación</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0" w:history="1">
        <w:r w:rsidRPr="0057104C">
          <w:rPr>
            <w:rStyle w:val="TextoNormalCaracter"/>
          </w:rPr>
          <w:t>70/2016</w:t>
        </w:r>
      </w:hyperlink>
      <w:r>
        <w:t>, f. 7.</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70" w:history="1">
        <w:r w:rsidRPr="0057104C">
          <w:rPr>
            <w:rStyle w:val="TextoNormalCaracter"/>
          </w:rPr>
          <w:t>70/2016</w:t>
        </w:r>
      </w:hyperlink>
      <w:r>
        <w:t>, f. 5.</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Sentencias </w:t>
      </w:r>
      <w:hyperlink w:anchor="SENTENCIA_2016_31" w:history="1">
        <w:r w:rsidRPr="0057104C">
          <w:rPr>
            <w:rStyle w:val="TextoNormalCaracter"/>
          </w:rPr>
          <w:t>31/2016</w:t>
        </w:r>
      </w:hyperlink>
      <w:r>
        <w:t xml:space="preserve">, f. 1; </w:t>
      </w:r>
      <w:hyperlink w:anchor="SENTENCIA_2016_70" w:history="1">
        <w:r w:rsidRPr="0057104C">
          <w:rPr>
            <w:rStyle w:val="TextoNormalCaracter"/>
          </w:rPr>
          <w:t>70/2016</w:t>
        </w:r>
      </w:hyperlink>
      <w:r>
        <w:t>, ff. 1, 3, 5, 6, 8.</w:t>
      </w:r>
    </w:p>
    <w:p w:rsidR="0057104C" w:rsidRDefault="0057104C" w:rsidP="0057104C">
      <w:pPr>
        <w:pStyle w:val="SangriaFrancesaArticulo"/>
      </w:pPr>
    </w:p>
    <w:p w:rsidR="0057104C" w:rsidRDefault="0057104C" w:rsidP="0057104C">
      <w:pPr>
        <w:pStyle w:val="TextoNormalNegritaCursivandice"/>
      </w:pPr>
      <w:r>
        <w:t>Real Decreto-ley 8/2013, de 28 de junio. Medidas urgentes contra la morosidad de las administraciones públicas y de apoyo a entidades locales con problemas financieros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40" w:history="1">
        <w:r w:rsidRPr="0057104C">
          <w:rPr>
            <w:rStyle w:val="TextoNormalCaracter"/>
          </w:rPr>
          <w:t>40/2016</w:t>
        </w:r>
      </w:hyperlink>
      <w:r>
        <w:t xml:space="preserve">, ff. 1, 2; </w:t>
      </w:r>
      <w:hyperlink w:anchor="SENTENCIA_2016_101" w:history="1">
        <w:r w:rsidRPr="0057104C">
          <w:rPr>
            <w:rStyle w:val="TextoNormalCaracter"/>
          </w:rPr>
          <w:t>101/2016</w:t>
        </w:r>
      </w:hyperlink>
      <w:r>
        <w:t xml:space="preserve">, f. 11;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18.1 a).</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18.2.</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18.3.</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Artículos 20 a 34.</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21 a).</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26.</w:t>
      </w:r>
      <w:r w:rsidRPr="0057104C">
        <w:rPr>
          <w:rStyle w:val="TextoNormalCaracter"/>
        </w:rPr>
        <w:t>-</w:t>
      </w:r>
      <w:r>
        <w:t xml:space="preserve"> Sentencia </w:t>
      </w:r>
      <w:hyperlink w:anchor="SENTENCIA_2016_111" w:history="1">
        <w:r w:rsidRPr="0057104C">
          <w:rPr>
            <w:rStyle w:val="TextoNormalCaracter"/>
          </w:rPr>
          <w:t>111/2016</w:t>
        </w:r>
      </w:hyperlink>
      <w:r>
        <w:t>, VP.</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40" w:history="1">
        <w:r w:rsidRPr="0057104C">
          <w:rPr>
            <w:rStyle w:val="TextoNormalCaracter"/>
          </w:rPr>
          <w:t>40/2016</w:t>
        </w:r>
      </w:hyperlink>
      <w:r>
        <w:t>, f. 2.</w:t>
      </w:r>
    </w:p>
    <w:p w:rsidR="0057104C" w:rsidRDefault="0057104C" w:rsidP="0057104C">
      <w:pPr>
        <w:pStyle w:val="SangriaFrancesaArticulo"/>
      </w:pPr>
      <w:r w:rsidRPr="0057104C">
        <w:rPr>
          <w:rStyle w:val="TextoNormalNegritaCaracter"/>
        </w:rPr>
        <w:t>Artículo 32.2.</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p>
    <w:p w:rsidR="0057104C" w:rsidRDefault="0057104C" w:rsidP="0057104C">
      <w:pPr>
        <w:pStyle w:val="TextoNormalNegritaCursivandice"/>
      </w:pPr>
      <w:r>
        <w:t>Real Decreto-ley 9/2013, de 12 de julio. Adopta medidas urgentes para garantizar la estabilidad financiera del sistema eléctrico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9" w:history="1">
        <w:r w:rsidRPr="0057104C">
          <w:rPr>
            <w:rStyle w:val="TextoNormalCaracter"/>
          </w:rPr>
          <w:t>19/2016</w:t>
        </w:r>
      </w:hyperlink>
      <w:r>
        <w:t xml:space="preserve">, ff. 3 a 5; </w:t>
      </w:r>
      <w:hyperlink w:anchor="SENTENCIA_2016_29" w:history="1">
        <w:r w:rsidRPr="0057104C">
          <w:rPr>
            <w:rStyle w:val="TextoNormalCaracter"/>
          </w:rPr>
          <w:t>29/2016</w:t>
        </w:r>
      </w:hyperlink>
      <w:r>
        <w:t xml:space="preserve">, ff. 3 a 6; </w:t>
      </w:r>
      <w:hyperlink w:anchor="SENTENCIA_2016_30" w:history="1">
        <w:r w:rsidRPr="0057104C">
          <w:rPr>
            <w:rStyle w:val="TextoNormalCaracter"/>
          </w:rPr>
          <w:t>30/2016</w:t>
        </w:r>
      </w:hyperlink>
      <w:r>
        <w:t xml:space="preserve">, ff. 4 a 6; </w:t>
      </w:r>
      <w:hyperlink w:anchor="SENTENCIA_2016_42" w:history="1">
        <w:r w:rsidRPr="0057104C">
          <w:rPr>
            <w:rStyle w:val="TextoNormalCaracter"/>
          </w:rPr>
          <w:t>42/2016</w:t>
        </w:r>
      </w:hyperlink>
      <w:r>
        <w:t xml:space="preserve">, ff. 3, 4; </w:t>
      </w:r>
      <w:hyperlink w:anchor="SENTENCIA_2016_61" w:history="1">
        <w:r w:rsidRPr="0057104C">
          <w:rPr>
            <w:rStyle w:val="TextoNormalCaracter"/>
          </w:rPr>
          <w:t>61/2016</w:t>
        </w:r>
      </w:hyperlink>
      <w:r>
        <w:t xml:space="preserve">, ff. 3 a 5;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Sentencias </w:t>
      </w:r>
      <w:hyperlink w:anchor="SENTENCIA_2016_19" w:history="1">
        <w:r w:rsidRPr="0057104C">
          <w:rPr>
            <w:rStyle w:val="TextoNormalCaracter"/>
          </w:rPr>
          <w:t>19/2016</w:t>
        </w:r>
      </w:hyperlink>
      <w:r>
        <w:t xml:space="preserve">, f. 4; </w:t>
      </w:r>
      <w:hyperlink w:anchor="SENTENCIA_2016_29" w:history="1">
        <w:r w:rsidRPr="0057104C">
          <w:rPr>
            <w:rStyle w:val="TextoNormalCaracter"/>
          </w:rPr>
          <w:t>29/2016</w:t>
        </w:r>
      </w:hyperlink>
      <w:r>
        <w:t xml:space="preserve">, f. 4; </w:t>
      </w:r>
      <w:hyperlink w:anchor="SENTENCIA_2016_30" w:history="1">
        <w:r w:rsidRPr="0057104C">
          <w:rPr>
            <w:rStyle w:val="TextoNormalCaracter"/>
          </w:rPr>
          <w:t>30/2016</w:t>
        </w:r>
      </w:hyperlink>
      <w:r>
        <w:t xml:space="preserve">, f. 4; </w:t>
      </w:r>
      <w:hyperlink w:anchor="SENTENCIA_2016_42" w:history="1">
        <w:r w:rsidRPr="0057104C">
          <w:rPr>
            <w:rStyle w:val="TextoNormalCaracter"/>
          </w:rPr>
          <w:t>42/2016</w:t>
        </w:r>
      </w:hyperlink>
      <w:r>
        <w:t xml:space="preserve">, f. 4; </w:t>
      </w:r>
      <w:hyperlink w:anchor="SENTENCIA_2016_61" w:history="1">
        <w:r w:rsidRPr="0057104C">
          <w:rPr>
            <w:rStyle w:val="TextoNormalCaracter"/>
          </w:rPr>
          <w:t>61/2016</w:t>
        </w:r>
      </w:hyperlink>
      <w:r>
        <w:t>, f. 4.</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Sentencias </w:t>
      </w:r>
      <w:hyperlink w:anchor="SENTENCIA_2016_19" w:history="1">
        <w:r w:rsidRPr="0057104C">
          <w:rPr>
            <w:rStyle w:val="TextoNormalCaracter"/>
          </w:rPr>
          <w:t>19/2016</w:t>
        </w:r>
      </w:hyperlink>
      <w:r>
        <w:t xml:space="preserve">, f. 1; </w:t>
      </w:r>
      <w:hyperlink w:anchor="SENTENCIA_2016_29" w:history="1">
        <w:r w:rsidRPr="0057104C">
          <w:rPr>
            <w:rStyle w:val="TextoNormalCaracter"/>
          </w:rPr>
          <w:t>29/2016</w:t>
        </w:r>
      </w:hyperlink>
      <w:r>
        <w:t xml:space="preserve">, ff. 1, 4; </w:t>
      </w:r>
      <w:hyperlink w:anchor="SENTENCIA_2016_30" w:history="1">
        <w:r w:rsidRPr="0057104C">
          <w:rPr>
            <w:rStyle w:val="TextoNormalCaracter"/>
          </w:rPr>
          <w:t>30/2016</w:t>
        </w:r>
      </w:hyperlink>
      <w:r>
        <w:t xml:space="preserve">, ff. 1, 2; </w:t>
      </w:r>
      <w:hyperlink w:anchor="SENTENCIA_2016_61" w:history="1">
        <w:r w:rsidRPr="0057104C">
          <w:rPr>
            <w:rStyle w:val="TextoNormalCaracter"/>
          </w:rPr>
          <w:t>61/2016</w:t>
        </w:r>
      </w:hyperlink>
      <w:r>
        <w:t>, f. 1.</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Sentencias </w:t>
      </w:r>
      <w:hyperlink w:anchor="SENTENCIA_2016_29" w:history="1">
        <w:r w:rsidRPr="0057104C">
          <w:rPr>
            <w:rStyle w:val="TextoNormalCaracter"/>
          </w:rPr>
          <w:t>29/2016</w:t>
        </w:r>
      </w:hyperlink>
      <w:r>
        <w:t xml:space="preserve">, f. 1; </w:t>
      </w:r>
      <w:hyperlink w:anchor="SENTENCIA_2016_30" w:history="1">
        <w:r w:rsidRPr="0057104C">
          <w:rPr>
            <w:rStyle w:val="TextoNormalCaracter"/>
          </w:rPr>
          <w:t>30/2016</w:t>
        </w:r>
      </w:hyperlink>
      <w:r>
        <w:t xml:space="preserve">, ff. 1, 2, 6; </w:t>
      </w:r>
      <w:hyperlink w:anchor="SENTENCIA_2016_61" w:history="1">
        <w:r w:rsidRPr="0057104C">
          <w:rPr>
            <w:rStyle w:val="TextoNormalCaracter"/>
          </w:rPr>
          <w:t>61/2016</w:t>
        </w:r>
      </w:hyperlink>
      <w:r>
        <w:t>, f. 1.</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Sentencias </w:t>
      </w:r>
      <w:hyperlink w:anchor="SENTENCIA_2016_19" w:history="1">
        <w:r w:rsidRPr="0057104C">
          <w:rPr>
            <w:rStyle w:val="TextoNormalCaracter"/>
          </w:rPr>
          <w:t>19/2016</w:t>
        </w:r>
      </w:hyperlink>
      <w:r>
        <w:t xml:space="preserve">, f. 1; </w:t>
      </w:r>
      <w:hyperlink w:anchor="SENTENCIA_2016_29" w:history="1">
        <w:r w:rsidRPr="0057104C">
          <w:rPr>
            <w:rStyle w:val="TextoNormalCaracter"/>
          </w:rPr>
          <w:t>29/2016</w:t>
        </w:r>
      </w:hyperlink>
      <w:r>
        <w:t xml:space="preserve">, ff. 1, 4; </w:t>
      </w:r>
      <w:hyperlink w:anchor="SENTENCIA_2016_30" w:history="1">
        <w:r w:rsidRPr="0057104C">
          <w:rPr>
            <w:rStyle w:val="TextoNormalCaracter"/>
          </w:rPr>
          <w:t>30/2016</w:t>
        </w:r>
      </w:hyperlink>
      <w:r>
        <w:t xml:space="preserve">, f. 1; </w:t>
      </w:r>
      <w:hyperlink w:anchor="SENTENCIA_2016_61" w:history="1">
        <w:r w:rsidRPr="0057104C">
          <w:rPr>
            <w:rStyle w:val="TextoNormalCaracter"/>
          </w:rPr>
          <w:t>61/2016</w:t>
        </w:r>
      </w:hyperlink>
      <w:r>
        <w:t>, f. 1.</w:t>
      </w:r>
    </w:p>
    <w:p w:rsidR="0057104C" w:rsidRDefault="0057104C" w:rsidP="0057104C">
      <w:pPr>
        <w:pStyle w:val="SangriaFrancesaArticulo"/>
      </w:pPr>
      <w:r w:rsidRPr="0057104C">
        <w:rPr>
          <w:rStyle w:val="TextoNormalNegritaCaracter"/>
        </w:rPr>
        <w:t>Disposición transitoria primera, apartado 1.</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Disposición transitoria tercera.</w:t>
      </w:r>
      <w:r w:rsidRPr="0057104C">
        <w:rPr>
          <w:rStyle w:val="TextoNormalCaracter"/>
        </w:rPr>
        <w:t>-</w:t>
      </w:r>
      <w:r>
        <w:t xml:space="preserve"> Sentencias </w:t>
      </w:r>
      <w:hyperlink w:anchor="SENTENCIA_2016_19" w:history="1">
        <w:r w:rsidRPr="0057104C">
          <w:rPr>
            <w:rStyle w:val="TextoNormalCaracter"/>
          </w:rPr>
          <w:t>19/2016</w:t>
        </w:r>
      </w:hyperlink>
      <w:r>
        <w:t xml:space="preserve">, ff. 1, 5; </w:t>
      </w:r>
      <w:hyperlink w:anchor="SENTENCIA_2016_29" w:history="1">
        <w:r w:rsidRPr="0057104C">
          <w:rPr>
            <w:rStyle w:val="TextoNormalCaracter"/>
          </w:rPr>
          <w:t>29/2016</w:t>
        </w:r>
      </w:hyperlink>
      <w:r>
        <w:t xml:space="preserve">, ff. 1, 5; </w:t>
      </w:r>
      <w:hyperlink w:anchor="SENTENCIA_2016_30" w:history="1">
        <w:r w:rsidRPr="0057104C">
          <w:rPr>
            <w:rStyle w:val="TextoNormalCaracter"/>
          </w:rPr>
          <w:t>30/2016</w:t>
        </w:r>
      </w:hyperlink>
      <w:r>
        <w:t xml:space="preserve">, f. 1; </w:t>
      </w:r>
      <w:hyperlink w:anchor="SENTENCIA_2016_42" w:history="1">
        <w:r w:rsidRPr="0057104C">
          <w:rPr>
            <w:rStyle w:val="TextoNormalCaracter"/>
          </w:rPr>
          <w:t>42/2016</w:t>
        </w:r>
      </w:hyperlink>
      <w:r>
        <w:t xml:space="preserve">, ff. 1, 4; </w:t>
      </w:r>
      <w:hyperlink w:anchor="SENTENCIA_2016_61" w:history="1">
        <w:r w:rsidRPr="0057104C">
          <w:rPr>
            <w:rStyle w:val="TextoNormalCaracter"/>
          </w:rPr>
          <w:t>61/2016</w:t>
        </w:r>
      </w:hyperlink>
      <w:r>
        <w:t>, ff. 1, 5.</w:t>
      </w:r>
    </w:p>
    <w:p w:rsidR="0057104C" w:rsidRDefault="0057104C" w:rsidP="0057104C">
      <w:pPr>
        <w:pStyle w:val="SangriaFrancesaArticulo"/>
      </w:pPr>
      <w:r w:rsidRPr="0057104C">
        <w:rPr>
          <w:rStyle w:val="TextoNormalNegritaCaracter"/>
        </w:rPr>
        <w:t>Disposición derogatoria única.</w:t>
      </w:r>
      <w:r w:rsidRPr="0057104C">
        <w:rPr>
          <w:rStyle w:val="TextoNormalCaracter"/>
        </w:rPr>
        <w:t>-</w:t>
      </w:r>
      <w:r>
        <w:t xml:space="preserve"> Sentencia </w:t>
      </w:r>
      <w:hyperlink w:anchor="SENTENCIA_2016_61" w:history="1">
        <w:r w:rsidRPr="0057104C">
          <w:rPr>
            <w:rStyle w:val="TextoNormalCaracter"/>
          </w:rPr>
          <w:t>61/2016</w:t>
        </w:r>
      </w:hyperlink>
      <w:r>
        <w:t>, f. 1.</w:t>
      </w:r>
    </w:p>
    <w:p w:rsidR="0057104C" w:rsidRDefault="0057104C" w:rsidP="0057104C">
      <w:pPr>
        <w:pStyle w:val="SangriaFrancesaArticulo"/>
      </w:pPr>
      <w:r w:rsidRPr="0057104C">
        <w:rPr>
          <w:rStyle w:val="TextoNormalNegritaCaracter"/>
        </w:rPr>
        <w:t>Disposición derogatoria única, apartado 2.</w:t>
      </w:r>
      <w:r w:rsidRPr="0057104C">
        <w:rPr>
          <w:rStyle w:val="TextoNormalCaracter"/>
        </w:rPr>
        <w:t>-</w:t>
      </w:r>
      <w:r>
        <w:t xml:space="preserve"> Sentencia </w:t>
      </w:r>
      <w:hyperlink w:anchor="SENTENCIA_2016_30" w:history="1">
        <w:r w:rsidRPr="0057104C">
          <w:rPr>
            <w:rStyle w:val="TextoNormalCaracter"/>
          </w:rPr>
          <w:t>30/2016</w:t>
        </w:r>
      </w:hyperlink>
      <w:r>
        <w:t>, f. 1.</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Sentencias </w:t>
      </w:r>
      <w:hyperlink w:anchor="SENTENCIA_2016_19" w:history="1">
        <w:r w:rsidRPr="0057104C">
          <w:rPr>
            <w:rStyle w:val="TextoNormalCaracter"/>
          </w:rPr>
          <w:t>19/2016</w:t>
        </w:r>
      </w:hyperlink>
      <w:r>
        <w:t xml:space="preserve">, ff. 1, 5; </w:t>
      </w:r>
      <w:hyperlink w:anchor="SENTENCIA_2016_29" w:history="1">
        <w:r w:rsidRPr="0057104C">
          <w:rPr>
            <w:rStyle w:val="TextoNormalCaracter"/>
          </w:rPr>
          <w:t>29/2016</w:t>
        </w:r>
      </w:hyperlink>
      <w:r>
        <w:t xml:space="preserve">, ff. 1, 5; </w:t>
      </w:r>
      <w:hyperlink w:anchor="SENTENCIA_2016_30" w:history="1">
        <w:r w:rsidRPr="0057104C">
          <w:rPr>
            <w:rStyle w:val="TextoNormalCaracter"/>
          </w:rPr>
          <w:t>30/2016</w:t>
        </w:r>
      </w:hyperlink>
      <w:r>
        <w:t xml:space="preserve">, ff. 1, 5, 6; </w:t>
      </w:r>
      <w:hyperlink w:anchor="SENTENCIA_2016_42" w:history="1">
        <w:r w:rsidRPr="0057104C">
          <w:rPr>
            <w:rStyle w:val="TextoNormalCaracter"/>
          </w:rPr>
          <w:t>42/2016</w:t>
        </w:r>
      </w:hyperlink>
      <w:r>
        <w:t xml:space="preserve">, ff. 1, 4; </w:t>
      </w:r>
      <w:hyperlink w:anchor="SENTENCIA_2016_61" w:history="1">
        <w:r w:rsidRPr="0057104C">
          <w:rPr>
            <w:rStyle w:val="TextoNormalCaracter"/>
          </w:rPr>
          <w:t>61/2016</w:t>
        </w:r>
      </w:hyperlink>
      <w:r>
        <w:t>, ff. 1, 5.</w:t>
      </w:r>
    </w:p>
    <w:p w:rsidR="0057104C" w:rsidRDefault="0057104C" w:rsidP="0057104C">
      <w:pPr>
        <w:pStyle w:val="SangriaFrancesaArticulo"/>
      </w:pPr>
      <w:r w:rsidRPr="0057104C">
        <w:rPr>
          <w:rStyle w:val="TextoNormalNegritaCaracter"/>
        </w:rPr>
        <w:t>Disposición final octava.</w:t>
      </w:r>
      <w:r w:rsidRPr="0057104C">
        <w:rPr>
          <w:rStyle w:val="TextoNormalCaracter"/>
        </w:rPr>
        <w:t>-</w:t>
      </w:r>
      <w:r>
        <w:t xml:space="preserve"> Sentencia </w:t>
      </w:r>
      <w:hyperlink w:anchor="SENTENCIA_2016_61" w:history="1">
        <w:r w:rsidRPr="0057104C">
          <w:rPr>
            <w:rStyle w:val="TextoNormalCaracter"/>
          </w:rPr>
          <w:t>61/2016</w:t>
        </w:r>
      </w:hyperlink>
      <w:r>
        <w:t>, ff. 1, 7.</w:t>
      </w:r>
    </w:p>
    <w:p w:rsidR="0057104C" w:rsidRDefault="0057104C" w:rsidP="0057104C">
      <w:pPr>
        <w:pStyle w:val="SangriaFrancesaArticulo"/>
      </w:pPr>
      <w:r w:rsidRPr="0057104C">
        <w:rPr>
          <w:rStyle w:val="TextoNormalNegritaCaracter"/>
        </w:rPr>
        <w:t>Disposición final décima.</w:t>
      </w:r>
      <w:r w:rsidRPr="0057104C">
        <w:rPr>
          <w:rStyle w:val="TextoNormalCaracter"/>
        </w:rPr>
        <w:t>-</w:t>
      </w:r>
      <w:r>
        <w:t xml:space="preserve"> Sentencias </w:t>
      </w:r>
      <w:hyperlink w:anchor="SENTENCIA_2016_19" w:history="1">
        <w:r w:rsidRPr="0057104C">
          <w:rPr>
            <w:rStyle w:val="TextoNormalCaracter"/>
          </w:rPr>
          <w:t>19/2016</w:t>
        </w:r>
      </w:hyperlink>
      <w:r>
        <w:t xml:space="preserve">, f. 5; </w:t>
      </w:r>
      <w:hyperlink w:anchor="SENTENCIA_2016_30" w:history="1">
        <w:r w:rsidRPr="0057104C">
          <w:rPr>
            <w:rStyle w:val="TextoNormalCaracter"/>
          </w:rPr>
          <w:t>30/2016</w:t>
        </w:r>
      </w:hyperlink>
      <w:r>
        <w:t xml:space="preserve">, f. 5; </w:t>
      </w:r>
      <w:hyperlink w:anchor="SENTENCIA_2016_42" w:history="1">
        <w:r w:rsidRPr="0057104C">
          <w:rPr>
            <w:rStyle w:val="TextoNormalCaracter"/>
          </w:rPr>
          <w:t>42/2016</w:t>
        </w:r>
      </w:hyperlink>
      <w:r>
        <w:t xml:space="preserve">, f. 4; </w:t>
      </w:r>
      <w:hyperlink w:anchor="SENTENCIA_2016_61" w:history="1">
        <w:r w:rsidRPr="0057104C">
          <w:rPr>
            <w:rStyle w:val="TextoNormalCaracter"/>
          </w:rPr>
          <w:t>61/2016</w:t>
        </w:r>
      </w:hyperlink>
      <w:r>
        <w:t>, f. 5.</w:t>
      </w:r>
    </w:p>
    <w:p w:rsidR="0057104C" w:rsidRDefault="0057104C" w:rsidP="0057104C">
      <w:pPr>
        <w:pStyle w:val="SangriaFrancesaArticulo"/>
      </w:pPr>
    </w:p>
    <w:p w:rsidR="0057104C" w:rsidRDefault="0057104C" w:rsidP="0057104C">
      <w:pPr>
        <w:pStyle w:val="TextoNormalNegritaCursivandice"/>
      </w:pPr>
      <w:r>
        <w:t>Real Decreto-ley 14/2013, de 29 de noviembre. Medidas urgentes para la adaptación del derecho español a la normativa de la Unión Europea en materia de supervisión y solvencia de entidades financieras</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Disposición adicional tercera.</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Disposición adicional tercera, apartado 2.</w:t>
      </w:r>
      <w:r w:rsidRPr="0057104C">
        <w:rPr>
          <w:rStyle w:val="TextoNormalCaracter"/>
        </w:rPr>
        <w:t>-</w:t>
      </w:r>
      <w:r>
        <w:t xml:space="preserve"> Sentencia </w:t>
      </w:r>
      <w:hyperlink w:anchor="SENTENCIA_2016_40" w:history="1">
        <w:r w:rsidRPr="0057104C">
          <w:rPr>
            <w:rStyle w:val="TextoNormalCaracter"/>
          </w:rPr>
          <w:t>40/2016</w:t>
        </w:r>
      </w:hyperlink>
      <w:r>
        <w:t>, ff. 1, 2.</w:t>
      </w:r>
    </w:p>
    <w:p w:rsidR="0057104C" w:rsidRDefault="0057104C" w:rsidP="0057104C">
      <w:pPr>
        <w:pStyle w:val="SangriaFrancesaArticulo"/>
      </w:pPr>
      <w:r w:rsidRPr="0057104C">
        <w:rPr>
          <w:rStyle w:val="TextoNormalNegritaCaracter"/>
        </w:rPr>
        <w:t>Disposición adicional tercera, apartado 3.</w:t>
      </w:r>
      <w:r w:rsidRPr="0057104C">
        <w:rPr>
          <w:rStyle w:val="TextoNormalCaracter"/>
        </w:rPr>
        <w:t>-</w:t>
      </w:r>
      <w:r>
        <w:t xml:space="preserve"> Sentencia </w:t>
      </w:r>
      <w:hyperlink w:anchor="SENTENCIA_2016_40" w:history="1">
        <w:r w:rsidRPr="0057104C">
          <w:rPr>
            <w:rStyle w:val="TextoNormalCaracter"/>
          </w:rPr>
          <w:t>40/2016</w:t>
        </w:r>
      </w:hyperlink>
      <w:r>
        <w:t>, ff. 1, 2.</w:t>
      </w:r>
    </w:p>
    <w:p w:rsidR="0057104C" w:rsidRDefault="0057104C" w:rsidP="0057104C">
      <w:pPr>
        <w:pStyle w:val="SangriaFrancesaArticulo"/>
      </w:pPr>
      <w:r w:rsidRPr="0057104C">
        <w:rPr>
          <w:rStyle w:val="TextoNormalNegritaCaracter"/>
        </w:rPr>
        <w:t>Disposición final octava.</w:t>
      </w:r>
      <w:r w:rsidRPr="0057104C">
        <w:rPr>
          <w:rStyle w:val="TextoNormalCaracter"/>
        </w:rPr>
        <w:t>-</w:t>
      </w:r>
      <w:r>
        <w:t xml:space="preserve"> Sentencia </w:t>
      </w:r>
      <w:hyperlink w:anchor="SENTENCIA_2016_40" w:history="1">
        <w:r w:rsidRPr="0057104C">
          <w:rPr>
            <w:rStyle w:val="TextoNormalCaracter"/>
          </w:rPr>
          <w:t>40/2016</w:t>
        </w:r>
      </w:hyperlink>
      <w:r>
        <w:t>, f. 2.</w:t>
      </w:r>
    </w:p>
    <w:p w:rsidR="0057104C" w:rsidRDefault="0057104C" w:rsidP="0057104C">
      <w:pPr>
        <w:pStyle w:val="SangriaFrancesaArticulo"/>
      </w:pPr>
    </w:p>
    <w:p w:rsidR="0057104C" w:rsidRDefault="0057104C" w:rsidP="0057104C">
      <w:pPr>
        <w:pStyle w:val="TextoNormalNegritaCursivandice"/>
      </w:pPr>
      <w:r>
        <w:t>Real Decreto-ley 1/2014, de 24 de enero. Reforma en materia de infraestructuras y transporte, y otras medidas económicas</w:t>
      </w:r>
    </w:p>
    <w:p w:rsidR="0057104C" w:rsidRDefault="0057104C" w:rsidP="0057104C">
      <w:pPr>
        <w:pStyle w:val="SangriaFrancesaArticulo"/>
      </w:pPr>
      <w:r w:rsidRPr="0057104C">
        <w:rPr>
          <w:rStyle w:val="TextoNormalNegritaCaracter"/>
        </w:rPr>
        <w:t>Artículo 11.3.</w:t>
      </w:r>
      <w:r w:rsidRPr="0057104C">
        <w:rPr>
          <w:rStyle w:val="TextoNormalCaracter"/>
        </w:rPr>
        <w:t>-</w:t>
      </w:r>
      <w:r>
        <w:t xml:space="preserve"> Sentencia </w:t>
      </w:r>
      <w:hyperlink w:anchor="SENTENCIA_2016_111" w:history="1">
        <w:r w:rsidRPr="0057104C">
          <w:rPr>
            <w:rStyle w:val="TextoNormalCaracter"/>
          </w:rPr>
          <w:t>111/2016</w:t>
        </w:r>
      </w:hyperlink>
      <w:r>
        <w:t>, f. 6.</w:t>
      </w:r>
    </w:p>
    <w:p w:rsidR="0057104C" w:rsidRDefault="0057104C" w:rsidP="0057104C">
      <w:pPr>
        <w:pStyle w:val="SangriaFrancesaArticulo"/>
      </w:pPr>
    </w:p>
    <w:p w:rsidR="0057104C" w:rsidRDefault="0057104C" w:rsidP="0057104C">
      <w:pPr>
        <w:pStyle w:val="TextoNormalNegritaCursivandice"/>
      </w:pPr>
      <w:r>
        <w:t>Real Decreto-ley 8/2014, de 4 de julio. Aprobación de medidas urgentes para el crecimiento, la competitividad y la eficiencia</w:t>
      </w:r>
    </w:p>
    <w:p w:rsidR="0057104C" w:rsidRDefault="0057104C" w:rsidP="0057104C">
      <w:pPr>
        <w:pStyle w:val="SangriaFrancesaArticulo"/>
      </w:pPr>
      <w:r w:rsidRPr="0057104C">
        <w:rPr>
          <w:rStyle w:val="TextoNormalNegritaCaracter"/>
        </w:rPr>
        <w:t>Artículo 7.1.</w:t>
      </w:r>
      <w:r w:rsidRPr="0057104C">
        <w:rPr>
          <w:rStyle w:val="TextoNormalCaracter"/>
        </w:rPr>
        <w:t>-</w:t>
      </w:r>
      <w:r>
        <w:t xml:space="preserve"> Sentencias </w:t>
      </w:r>
      <w:hyperlink w:anchor="SENTENCIA_2016_18" w:history="1">
        <w:r w:rsidRPr="0057104C">
          <w:rPr>
            <w:rStyle w:val="TextoNormalCaracter"/>
          </w:rPr>
          <w:t>18/2016</w:t>
        </w:r>
      </w:hyperlink>
      <w:r>
        <w:t xml:space="preserve">, f. 2; </w:t>
      </w:r>
      <w:hyperlink w:anchor="SENTENCIA_2016_55" w:history="1">
        <w:r w:rsidRPr="0057104C">
          <w:rPr>
            <w:rStyle w:val="TextoNormalCaracter"/>
          </w:rPr>
          <w:t>55/2016</w:t>
        </w:r>
      </w:hyperlink>
      <w:r>
        <w:t xml:space="preserve">, f. 3; </w:t>
      </w:r>
      <w:hyperlink w:anchor="SENTENCIA_2016_119" w:history="1">
        <w:r w:rsidRPr="0057104C">
          <w:rPr>
            <w:rStyle w:val="TextoNormalCaracter"/>
          </w:rPr>
          <w:t>119/2016</w:t>
        </w:r>
      </w:hyperlink>
      <w:r>
        <w:t>, f. 1.</w:t>
      </w:r>
    </w:p>
    <w:p w:rsidR="0057104C" w:rsidRDefault="0057104C" w:rsidP="0057104C">
      <w:pPr>
        <w:pStyle w:val="SangriaFrancesaArticulo"/>
      </w:pPr>
      <w:r w:rsidRPr="0057104C">
        <w:rPr>
          <w:rStyle w:val="TextoNormalNegritaCaracter"/>
        </w:rPr>
        <w:t>Artículo 7.2.</w:t>
      </w:r>
      <w:r w:rsidRPr="0057104C">
        <w:rPr>
          <w:rStyle w:val="TextoNormalCaracter"/>
        </w:rPr>
        <w:t>-</w:t>
      </w:r>
      <w:r>
        <w:t xml:space="preserve"> Sentencias </w:t>
      </w:r>
      <w:hyperlink w:anchor="SENTENCIA_2016_18" w:history="1">
        <w:r w:rsidRPr="0057104C">
          <w:rPr>
            <w:rStyle w:val="TextoNormalCaracter"/>
          </w:rPr>
          <w:t>18/2016</w:t>
        </w:r>
      </w:hyperlink>
      <w:r>
        <w:t xml:space="preserve">, f. 2; </w:t>
      </w:r>
      <w:hyperlink w:anchor="SENTENCIA_2016_55" w:history="1">
        <w:r w:rsidRPr="0057104C">
          <w:rPr>
            <w:rStyle w:val="TextoNormalCaracter"/>
          </w:rPr>
          <w:t>55/2016</w:t>
        </w:r>
      </w:hyperlink>
      <w:r>
        <w:t xml:space="preserve">, f. 3; </w:t>
      </w:r>
      <w:hyperlink w:anchor="SENTENCIA_2016_119" w:history="1">
        <w:r w:rsidRPr="0057104C">
          <w:rPr>
            <w:rStyle w:val="TextoNormalCaracter"/>
          </w:rPr>
          <w:t>119/2016</w:t>
        </w:r>
      </w:hyperlink>
      <w:r>
        <w:t>, f. 1.</w:t>
      </w:r>
    </w:p>
    <w:p w:rsidR="0057104C" w:rsidRDefault="0057104C" w:rsidP="0057104C">
      <w:pPr>
        <w:pStyle w:val="SangriaFrancesaArticulo"/>
      </w:pPr>
    </w:p>
    <w:p w:rsidR="0057104C" w:rsidRDefault="0057104C" w:rsidP="0057104C">
      <w:pPr>
        <w:pStyle w:val="TextoNormalNegritaCursivandice"/>
      </w:pPr>
      <w:r>
        <w:t>Real Decreto-ley 15/2014, de 19 de diciembre. Modificación del Régimen Económico y Fiscal de Canarias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2" w:history="1">
        <w:r w:rsidRPr="0057104C">
          <w:rPr>
            <w:rStyle w:val="TextoNormalCaracter"/>
          </w:rPr>
          <w:t>32/2016</w:t>
        </w:r>
      </w:hyperlink>
      <w:r>
        <w:t>, f. 2.</w:t>
      </w:r>
    </w:p>
    <w:p w:rsidR="0057104C" w:rsidRDefault="0057104C" w:rsidP="0057104C">
      <w:pPr>
        <w:pStyle w:val="SangriaFrancesaArticulo"/>
      </w:pPr>
    </w:p>
    <w:p w:rsidR="0057104C" w:rsidRDefault="0057104C" w:rsidP="0057104C">
      <w:pPr>
        <w:pStyle w:val="TextoNormalNegritaCursivandice"/>
      </w:pPr>
      <w:r>
        <w:t>Real Decreto-ley 17/2014, de 26 de diciembre. Medidas de sostenibilidad financiera de las comunidades autónomas y entidades locales y otras de carácter económico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1" w:history="1">
        <w:r w:rsidRPr="0057104C">
          <w:rPr>
            <w:rStyle w:val="TextoNormalCaracter"/>
          </w:rPr>
          <w:t>101/2016</w:t>
        </w:r>
      </w:hyperlink>
      <w:r>
        <w:t>, ff. 11, 12.</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101" w:history="1">
        <w:r w:rsidRPr="0057104C">
          <w:rPr>
            <w:rStyle w:val="TextoNormalCaracter"/>
          </w:rPr>
          <w:t>101/2016</w:t>
        </w:r>
      </w:hyperlink>
      <w:r>
        <w:t>, f. 12.</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101" w:history="1">
        <w:r w:rsidRPr="0057104C">
          <w:rPr>
            <w:rStyle w:val="TextoNormalCaracter"/>
          </w:rPr>
          <w:t>101/2016</w:t>
        </w:r>
      </w:hyperlink>
      <w:r>
        <w:t>, f. 12.</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Sentencia </w:t>
      </w:r>
      <w:hyperlink w:anchor="SENTENCIA_2016_101" w:history="1">
        <w:r w:rsidRPr="0057104C">
          <w:rPr>
            <w:rStyle w:val="TextoNormalCaracter"/>
          </w:rPr>
          <w:t>101/2016</w:t>
        </w:r>
      </w:hyperlink>
      <w:r>
        <w:t>, f. 12.</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101" w:history="1">
        <w:r w:rsidRPr="0057104C">
          <w:rPr>
            <w:rStyle w:val="TextoNormalCaracter"/>
          </w:rPr>
          <w:t>101/2016</w:t>
        </w:r>
      </w:hyperlink>
      <w:r>
        <w:t>, f. 12.</w:t>
      </w:r>
    </w:p>
    <w:p w:rsidR="0057104C" w:rsidRDefault="0057104C" w:rsidP="0057104C">
      <w:pPr>
        <w:pStyle w:val="SangriaFrancesaArticulo"/>
      </w:pPr>
    </w:p>
    <w:p w:rsidR="0057104C" w:rsidRDefault="0057104C" w:rsidP="0057104C">
      <w:pPr>
        <w:pStyle w:val="TextoNormalNegritaCursivandice"/>
      </w:pPr>
      <w:r>
        <w:t>Real Decreto-ley 9/2015, de 10 de julio. Medidas urgentes para reducir la carga tributaria soportada por los contribuyentes del Impuesto sobre la Renta de las Personas Físicas y otras medidas de carácter económico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2" w:history="1">
        <w:r w:rsidRPr="0057104C">
          <w:rPr>
            <w:rStyle w:val="TextoNormalCaracter"/>
          </w:rPr>
          <w:t>32/2016</w:t>
        </w:r>
      </w:hyperlink>
      <w:r>
        <w:t>, f. 2.</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32" w:history="1">
        <w:r w:rsidRPr="0057104C">
          <w:rPr>
            <w:rStyle w:val="TextoNormalCaracter"/>
          </w:rPr>
          <w:t>32/2016</w:t>
        </w:r>
      </w:hyperlink>
      <w:r>
        <w:t>, f. 2.</w:t>
      </w:r>
    </w:p>
    <w:p w:rsidR="0057104C" w:rsidRDefault="0057104C" w:rsidP="0057104C">
      <w:pPr>
        <w:pStyle w:val="SangriaFrancesaArticulo"/>
      </w:pPr>
    </w:p>
    <w:p w:rsidR="0057104C" w:rsidRDefault="0057104C" w:rsidP="0057104C">
      <w:pPr>
        <w:pStyle w:val="TextoNormalNegritaCursivandice"/>
      </w:pPr>
      <w:r>
        <w:t>Real Decreto-ley 10/2015, de 11 de septiembre. Se conceden créditos extraordinarios y suplementos de crédito en el presupuesto del Estado y se adoptan otras medidas en materia de empleo público y de estímulo a la economía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2" w:history="1">
        <w:r w:rsidRPr="0057104C">
          <w:rPr>
            <w:rStyle w:val="TextoNormalCaracter"/>
          </w:rPr>
          <w:t>2/2016</w:t>
        </w:r>
      </w:hyperlink>
      <w:r>
        <w:t xml:space="preserve">, f. 3; </w:t>
      </w:r>
      <w:hyperlink w:anchor="SENTENCIA_2016_18" w:history="1">
        <w:r w:rsidRPr="0057104C">
          <w:rPr>
            <w:rStyle w:val="TextoNormalCaracter"/>
          </w:rPr>
          <w:t>18/2016</w:t>
        </w:r>
      </w:hyperlink>
      <w:r>
        <w:t xml:space="preserve">, f. 2; </w:t>
      </w:r>
      <w:hyperlink w:anchor="SENTENCIA_2016_80" w:history="1">
        <w:r w:rsidRPr="0057104C">
          <w:rPr>
            <w:rStyle w:val="TextoNormalCaracter"/>
          </w:rPr>
          <w:t>80/2016</w:t>
        </w:r>
      </w:hyperlink>
      <w:r>
        <w:t>, f. 3.</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Sentencias </w:t>
      </w:r>
      <w:hyperlink w:anchor="SENTENCIA_2016_2" w:history="1">
        <w:r w:rsidRPr="0057104C">
          <w:rPr>
            <w:rStyle w:val="TextoNormalCaracter"/>
          </w:rPr>
          <w:t>2/2016</w:t>
        </w:r>
      </w:hyperlink>
      <w:r>
        <w:t xml:space="preserve">, f. 3; </w:t>
      </w:r>
      <w:hyperlink w:anchor="SENTENCIA_2016_90" w:history="1">
        <w:r w:rsidRPr="0057104C">
          <w:rPr>
            <w:rStyle w:val="TextoNormalCaracter"/>
          </w:rPr>
          <w:t>90/2016</w:t>
        </w:r>
      </w:hyperlink>
      <w:r>
        <w:t>, f. 3.</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Sentencias </w:t>
      </w:r>
      <w:hyperlink w:anchor="SENTENCIA_2016_79" w:history="1">
        <w:r w:rsidRPr="0057104C">
          <w:rPr>
            <w:rStyle w:val="TextoNormalCaracter"/>
          </w:rPr>
          <w:t>79/2016</w:t>
        </w:r>
      </w:hyperlink>
      <w:r>
        <w:t xml:space="preserve">, f. 2; </w:t>
      </w:r>
      <w:hyperlink w:anchor="SENTENCIA_2016_80" w:history="1">
        <w:r w:rsidRPr="0057104C">
          <w:rPr>
            <w:rStyle w:val="TextoNormalCaracter"/>
          </w:rPr>
          <w:t>80/2016</w:t>
        </w:r>
      </w:hyperlink>
      <w:r>
        <w:t xml:space="preserve">, f. 3; </w:t>
      </w:r>
      <w:hyperlink w:anchor="SENTENCIA_2016_90" w:history="1">
        <w:r w:rsidRPr="0057104C">
          <w:rPr>
            <w:rStyle w:val="TextoNormalCaracter"/>
          </w:rPr>
          <w:t>90/2016</w:t>
        </w:r>
      </w:hyperlink>
      <w:r>
        <w:t xml:space="preserve">, f. 3; </w:t>
      </w:r>
      <w:hyperlink w:anchor="SENTENCIA_2016_97" w:history="1">
        <w:r w:rsidRPr="0057104C">
          <w:rPr>
            <w:rStyle w:val="TextoNormalCaracter"/>
          </w:rPr>
          <w:t>97/2016</w:t>
        </w:r>
      </w:hyperlink>
      <w:r>
        <w:t xml:space="preserve">, f. 2; </w:t>
      </w:r>
      <w:hyperlink w:anchor="SENTENCIA_2016_104" w:history="1">
        <w:r w:rsidRPr="0057104C">
          <w:rPr>
            <w:rStyle w:val="TextoNormalCaracter"/>
          </w:rPr>
          <w:t>104/2016</w:t>
        </w:r>
      </w:hyperlink>
      <w:r>
        <w:t xml:space="preserve">, f. 2; </w:t>
      </w:r>
      <w:hyperlink w:anchor="SENTENCIA_2016_106" w:history="1">
        <w:r w:rsidRPr="0057104C">
          <w:rPr>
            <w:rStyle w:val="TextoNormalCaracter"/>
          </w:rPr>
          <w:t>106/2016</w:t>
        </w:r>
      </w:hyperlink>
      <w:r>
        <w:t xml:space="preserve">, f. 2; </w:t>
      </w:r>
      <w:hyperlink w:anchor="SENTENCIA_2016_119" w:history="1">
        <w:r w:rsidRPr="0057104C">
          <w:rPr>
            <w:rStyle w:val="TextoNormalCaracter"/>
          </w:rPr>
          <w:t>119/2016</w:t>
        </w:r>
      </w:hyperlink>
      <w:r>
        <w:t>, f. 1.</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Sentencias </w:t>
      </w:r>
      <w:hyperlink w:anchor="SENTENCIA_2016_90" w:history="1">
        <w:r w:rsidRPr="0057104C">
          <w:rPr>
            <w:rStyle w:val="TextoNormalCaracter"/>
          </w:rPr>
          <w:t>90/2016</w:t>
        </w:r>
      </w:hyperlink>
      <w:r>
        <w:t xml:space="preserve">, f. 3; </w:t>
      </w:r>
      <w:hyperlink w:anchor="SENTENCIA_2016_119" w:history="1">
        <w:r w:rsidRPr="0057104C">
          <w:rPr>
            <w:rStyle w:val="TextoNormalCaracter"/>
          </w:rPr>
          <w:t>119/2016</w:t>
        </w:r>
      </w:hyperlink>
      <w:r>
        <w:t>, f. 1.</w:t>
      </w:r>
    </w:p>
    <w:p w:rsidR="0057104C" w:rsidRDefault="0057104C" w:rsidP="0057104C">
      <w:pPr>
        <w:pStyle w:val="TextoNormal"/>
      </w:pPr>
    </w:p>
    <w:p w:rsidR="0057104C" w:rsidRDefault="0057104C" w:rsidP="0057104C">
      <w:pPr>
        <w:pStyle w:val="SangriaFrancesaArticulo"/>
      </w:pPr>
      <w:bookmarkStart w:id="273" w:name="INDICE22849"/>
    </w:p>
    <w:bookmarkEnd w:id="273"/>
    <w:p w:rsidR="0057104C" w:rsidRDefault="0057104C" w:rsidP="0057104C">
      <w:pPr>
        <w:pStyle w:val="TextoIndiceNivel2"/>
        <w:suppressAutoHyphens/>
      </w:pPr>
      <w:r>
        <w:t>H) Reales Decretos y otras disposiciones generales del Estado</w:t>
      </w:r>
    </w:p>
    <w:p w:rsidR="0057104C" w:rsidRDefault="0057104C" w:rsidP="0057104C">
      <w:pPr>
        <w:pStyle w:val="TextoIndiceNivel2"/>
      </w:pPr>
    </w:p>
    <w:p w:rsidR="0057104C" w:rsidRDefault="0057104C" w:rsidP="0057104C">
      <w:pPr>
        <w:pStyle w:val="TextoNormalNegritaCursivandice"/>
      </w:pPr>
      <w:r>
        <w:t>Real Decreto 1346/1976, de 9 de abril. Texto refundido de la Ley sobre régimen del suelo y ordenación urbana</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Auto </w:t>
      </w:r>
      <w:hyperlink w:anchor="AUTO_2016_104" w:history="1">
        <w:r w:rsidRPr="0057104C">
          <w:rPr>
            <w:rStyle w:val="TextoNormalCaracter"/>
          </w:rPr>
          <w:t>104/2016</w:t>
        </w:r>
      </w:hyperlink>
      <w:r>
        <w:t>, ff. 1, 2.</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Auto </w:t>
      </w:r>
      <w:hyperlink w:anchor="AUTO_2016_104" w:history="1">
        <w:r w:rsidRPr="0057104C">
          <w:rPr>
            <w:rStyle w:val="TextoNormalCaracter"/>
          </w:rPr>
          <w:t>104/2016</w:t>
        </w:r>
      </w:hyperlink>
      <w:r>
        <w:t>, ff. 2, 3.</w:t>
      </w:r>
    </w:p>
    <w:p w:rsidR="0057104C" w:rsidRDefault="0057104C" w:rsidP="0057104C">
      <w:pPr>
        <w:pStyle w:val="SangriaFrancesaArticulo"/>
      </w:pPr>
      <w:r w:rsidRPr="0057104C">
        <w:rPr>
          <w:rStyle w:val="TextoNormalNegritaCaracter"/>
        </w:rPr>
        <w:t>Disposición final primera.1.</w:t>
      </w:r>
      <w:r w:rsidRPr="0057104C">
        <w:rPr>
          <w:rStyle w:val="TextoNormalCaracter"/>
        </w:rPr>
        <w:t>-</w:t>
      </w:r>
      <w:r>
        <w:t xml:space="preserve"> Auto </w:t>
      </w:r>
      <w:hyperlink w:anchor="AUTO_2016_104" w:history="1">
        <w:r w:rsidRPr="0057104C">
          <w:rPr>
            <w:rStyle w:val="TextoNormalCaracter"/>
          </w:rPr>
          <w:t>104/2016</w:t>
        </w:r>
      </w:hyperlink>
      <w:r>
        <w:t>, f. 2.</w:t>
      </w:r>
    </w:p>
    <w:p w:rsidR="0057104C" w:rsidRDefault="0057104C" w:rsidP="0057104C">
      <w:pPr>
        <w:pStyle w:val="SangriaFrancesaArticulo"/>
      </w:pPr>
    </w:p>
    <w:p w:rsidR="0057104C" w:rsidRDefault="0057104C" w:rsidP="0057104C">
      <w:pPr>
        <w:pStyle w:val="TextoNormalNegritaCursivandice"/>
      </w:pPr>
      <w:r>
        <w:t>Real Decreto 1517/1981, de 8 de julio. Generalidad de Cataluña. Traspaso de servicios de la Seguridad Social correspondientes a los Institutos Nacionales de la Salud y de Servicios Sociales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 3.</w:t>
      </w:r>
    </w:p>
    <w:p w:rsidR="0057104C" w:rsidRDefault="0057104C" w:rsidP="0057104C">
      <w:pPr>
        <w:pStyle w:val="SangriaFrancesaArticulo"/>
      </w:pPr>
    </w:p>
    <w:p w:rsidR="0057104C" w:rsidRDefault="0057104C" w:rsidP="0057104C">
      <w:pPr>
        <w:pStyle w:val="TextoNormalNegritaCursivandice"/>
      </w:pPr>
      <w:r>
        <w:t>Acuerdo 1/1982, de 18 de febrero. Aprobación del Metodo para el Calculo del Coste de los Servicios Transferidos a las Comunidades Autónomas, a que se refiere el artículo 3.O. 2, C), de la Ley Orgánica 8/1980, de 22 de septiembre, de Financiación de las Comunidades Autónomas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p>
    <w:p w:rsidR="0057104C" w:rsidRDefault="0057104C" w:rsidP="0057104C">
      <w:pPr>
        <w:pStyle w:val="TextoNormalNegritaCursivandice"/>
      </w:pPr>
      <w:r>
        <w:t>Real Decreto 2360/1984, de 12 de diciembre. Departamentos Universitarios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44" w:history="1">
        <w:r w:rsidRPr="0057104C">
          <w:rPr>
            <w:rStyle w:val="TextoNormalCaracter"/>
          </w:rPr>
          <w:t>44/2016</w:t>
        </w:r>
      </w:hyperlink>
      <w:r>
        <w:t>, f. 4.</w:t>
      </w:r>
    </w:p>
    <w:p w:rsidR="0057104C" w:rsidRDefault="0057104C" w:rsidP="0057104C">
      <w:pPr>
        <w:pStyle w:val="SangriaFrancesaArticulo"/>
      </w:pPr>
    </w:p>
    <w:p w:rsidR="0057104C" w:rsidRDefault="0057104C" w:rsidP="0057104C">
      <w:pPr>
        <w:pStyle w:val="TextoNormalNegritaCursivandice"/>
      </w:pPr>
      <w:r>
        <w:t>Real Decreto 1086/1989, de 28 de agosto. Retribuciones del profesorado universitario</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Sentencia </w:t>
      </w:r>
      <w:hyperlink w:anchor="SENTENCIA_2016_26" w:history="1">
        <w:r w:rsidRPr="0057104C">
          <w:rPr>
            <w:rStyle w:val="TextoNormalCaracter"/>
          </w:rPr>
          <w:t>26/2016</w:t>
        </w:r>
      </w:hyperlink>
      <w:r>
        <w:t>, ff. 8, 9.</w:t>
      </w:r>
    </w:p>
    <w:p w:rsidR="0057104C" w:rsidRDefault="0057104C" w:rsidP="0057104C">
      <w:pPr>
        <w:pStyle w:val="SangriaFrancesaArticulo"/>
      </w:pPr>
    </w:p>
    <w:p w:rsidR="0057104C" w:rsidRDefault="0057104C" w:rsidP="0057104C">
      <w:pPr>
        <w:pStyle w:val="TextoNormalNegritaCursivandice"/>
      </w:pPr>
      <w:r>
        <w:t>Real Decreto 557/1991, de 12 de abril. Creación y reconocimiento de universidades y centros universitarios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26" w:history="1">
        <w:r w:rsidRPr="0057104C">
          <w:rPr>
            <w:rStyle w:val="TextoNormalCaracter"/>
          </w:rPr>
          <w:t>26/2016</w:t>
        </w:r>
      </w:hyperlink>
      <w:r>
        <w:t>, f. 5.</w:t>
      </w:r>
    </w:p>
    <w:p w:rsidR="0057104C" w:rsidRDefault="0057104C" w:rsidP="0057104C">
      <w:pPr>
        <w:pStyle w:val="SangriaFrancesaArticulo"/>
      </w:pPr>
    </w:p>
    <w:p w:rsidR="0057104C" w:rsidRDefault="0057104C" w:rsidP="0057104C">
      <w:pPr>
        <w:pStyle w:val="TextoNormalNegritaCursivandice"/>
      </w:pPr>
      <w:r>
        <w:t>Real Decreto 46/1993, de 15 de enero. Ampliación de medios patrimoniales traspasados a la Generalidad de Cataluña en materia de sanidad, servicios y asistencia sociales, y de Seguridad Social (INSALUD e INSERSO), (Instituto »Guttman»)</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 3.</w:t>
      </w:r>
    </w:p>
    <w:p w:rsidR="0057104C" w:rsidRDefault="0057104C" w:rsidP="0057104C">
      <w:pPr>
        <w:pStyle w:val="SangriaFrancesaArticulo"/>
      </w:pPr>
    </w:p>
    <w:p w:rsidR="0057104C" w:rsidRDefault="0057104C" w:rsidP="0057104C">
      <w:pPr>
        <w:pStyle w:val="TextoNormalNegritaCursivandice"/>
      </w:pPr>
      <w:r>
        <w:t>Real Decreto 429/1993, de 26 de marzo. Reglamento de los procedimientos de las Administraciones públicas en materia de responsabilidad patrimonial</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15" w:history="1">
        <w:r w:rsidRPr="0057104C">
          <w:rPr>
            <w:rStyle w:val="TextoNormalCaracter"/>
          </w:rPr>
          <w:t>15/2016</w:t>
        </w:r>
      </w:hyperlink>
      <w:r>
        <w:t>, f. 3.</w:t>
      </w:r>
    </w:p>
    <w:p w:rsidR="0057104C" w:rsidRDefault="0057104C" w:rsidP="0057104C">
      <w:pPr>
        <w:pStyle w:val="SangriaFrancesaArticulo"/>
      </w:pPr>
    </w:p>
    <w:p w:rsidR="0057104C" w:rsidRDefault="0057104C" w:rsidP="0057104C">
      <w:pPr>
        <w:pStyle w:val="TextoNormalNegritaCursivandice"/>
      </w:pPr>
      <w:r>
        <w:t>Real Decreto 1993/1995, de 7 de diciembre. Se aprueba el Reglamento sobre colaboración de las Mutuas de Accidentes de Trabajo y Enfermedades Profesionales de la Seguridad Social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 w:history="1">
        <w:r w:rsidRPr="0057104C">
          <w:rPr>
            <w:rStyle w:val="TextoNormalCaracter"/>
          </w:rPr>
          <w:t>7/2016</w:t>
        </w:r>
      </w:hyperlink>
      <w:r>
        <w:t>, f. 5.</w:t>
      </w:r>
    </w:p>
    <w:p w:rsidR="0057104C" w:rsidRDefault="0057104C" w:rsidP="0057104C">
      <w:pPr>
        <w:pStyle w:val="SangriaFrancesaArticulo"/>
      </w:pPr>
    </w:p>
    <w:p w:rsidR="0057104C" w:rsidRDefault="0057104C" w:rsidP="0057104C">
      <w:pPr>
        <w:pStyle w:val="TextoNormalNegritaCursivandice"/>
      </w:pPr>
      <w:r>
        <w:t>Real Decreto 2017/1997, de 26 de diciembre. Organiza y regula el procedimiento de liquidación de los costes de transporte, distribución y comercialización a tarifa, de los costes permanentes del sistema y de los costes de diversificación y seguridad de abastecimiento</w:t>
      </w:r>
    </w:p>
    <w:p w:rsidR="0057104C" w:rsidRDefault="0057104C" w:rsidP="0057104C">
      <w:pPr>
        <w:pStyle w:val="SangriaFrancesaArticulo"/>
      </w:pPr>
      <w:r w:rsidRPr="0057104C">
        <w:rPr>
          <w:rStyle w:val="TextoNormalNegritaCaracter"/>
        </w:rPr>
        <w:t>Anexo I.</w:t>
      </w:r>
      <w:r w:rsidRPr="0057104C">
        <w:rPr>
          <w:rStyle w:val="TextoNormalCaracter"/>
        </w:rPr>
        <w:t>-</w:t>
      </w:r>
      <w:r>
        <w:t xml:space="preserve"> Sentencia </w:t>
      </w:r>
      <w:hyperlink w:anchor="SENTENCIA_2016_91" w:history="1">
        <w:r w:rsidRPr="0057104C">
          <w:rPr>
            <w:rStyle w:val="TextoNormalCaracter"/>
          </w:rPr>
          <w:t>91/2016</w:t>
        </w:r>
      </w:hyperlink>
      <w:r>
        <w:t>, f. 4.</w:t>
      </w:r>
    </w:p>
    <w:p w:rsidR="0057104C" w:rsidRDefault="0057104C" w:rsidP="0057104C">
      <w:pPr>
        <w:pStyle w:val="SangriaFrancesaArticulo"/>
      </w:pPr>
    </w:p>
    <w:p w:rsidR="0057104C" w:rsidRDefault="0057104C" w:rsidP="0057104C">
      <w:pPr>
        <w:pStyle w:val="TextoNormalNegritaCursivandice"/>
      </w:pPr>
      <w:r>
        <w:t>Real Decreto 214/1999, de 5 de febrero. Reglamento del impuesto sobre la renta de las personas físicas</w:t>
      </w:r>
    </w:p>
    <w:p w:rsidR="0057104C" w:rsidRDefault="0057104C" w:rsidP="0057104C">
      <w:pPr>
        <w:pStyle w:val="SangriaFrancesaArticulo"/>
      </w:pPr>
      <w:r w:rsidRPr="0057104C">
        <w:rPr>
          <w:rStyle w:val="TextoNormalNegritaCaracter"/>
        </w:rPr>
        <w:t>Artículo 10.3.</w:t>
      </w:r>
      <w:r w:rsidRPr="0057104C">
        <w:rPr>
          <w:rStyle w:val="TextoNormalCaracter"/>
        </w:rPr>
        <w:t>-</w:t>
      </w:r>
      <w:r>
        <w:t xml:space="preserve"> Sentencia </w:t>
      </w:r>
      <w:hyperlink w:anchor="SENTENCIA_2016_121" w:history="1">
        <w:r w:rsidRPr="0057104C">
          <w:rPr>
            <w:rStyle w:val="TextoNormalCaracter"/>
          </w:rPr>
          <w:t>121/2016</w:t>
        </w:r>
      </w:hyperlink>
      <w:r>
        <w:t>, f. 3.</w:t>
      </w:r>
    </w:p>
    <w:p w:rsidR="0057104C" w:rsidRDefault="0057104C" w:rsidP="0057104C">
      <w:pPr>
        <w:pStyle w:val="SangriaFrancesaArticulo"/>
      </w:pPr>
    </w:p>
    <w:p w:rsidR="0057104C" w:rsidRDefault="0057104C" w:rsidP="0057104C">
      <w:pPr>
        <w:pStyle w:val="TextoNormalNegritaCursivandice"/>
      </w:pPr>
      <w:r>
        <w:t>Real Decreto 1412/2000, de 21 de julio. Creación del Consejo de Política Exterior</w:t>
      </w:r>
    </w:p>
    <w:p w:rsidR="0057104C" w:rsidRDefault="0057104C" w:rsidP="0057104C">
      <w:pPr>
        <w:pStyle w:val="SangriaFrancesaArticulo"/>
      </w:pPr>
      <w:r w:rsidRPr="0057104C">
        <w:rPr>
          <w:rStyle w:val="TextoNormalNegritaCaracter"/>
        </w:rPr>
        <w:t>Artículo 2</w:t>
      </w:r>
      <w:r>
        <w:t xml:space="preserve"> (redactado por la Ley 2/2014, de 25 de marzo)</w:t>
      </w:r>
      <w:r w:rsidRPr="0057104C">
        <w:rPr>
          <w:rStyle w:val="TextoNormalNegritaCaracter"/>
        </w:rPr>
        <w:t>.</w:t>
      </w:r>
      <w:r w:rsidRPr="0057104C">
        <w:rPr>
          <w:rStyle w:val="TextoNormalCaracter"/>
        </w:rPr>
        <w:t>-</w:t>
      </w:r>
      <w:r>
        <w:t xml:space="preserve"> Sentencia </w:t>
      </w:r>
      <w:hyperlink w:anchor="SENTENCIA_2016_85" w:history="1">
        <w:r w:rsidRPr="0057104C">
          <w:rPr>
            <w:rStyle w:val="TextoNormalCaracter"/>
          </w:rPr>
          <w:t>85/2016</w:t>
        </w:r>
      </w:hyperlink>
      <w:r>
        <w:t>, f. 8.</w:t>
      </w:r>
    </w:p>
    <w:p w:rsidR="0057104C" w:rsidRDefault="0057104C" w:rsidP="0057104C">
      <w:pPr>
        <w:pStyle w:val="SangriaFrancesaArticulo"/>
      </w:pPr>
    </w:p>
    <w:p w:rsidR="0057104C" w:rsidRDefault="0057104C" w:rsidP="0057104C">
      <w:pPr>
        <w:pStyle w:val="TextoNormalNegritaCursivandice"/>
      </w:pPr>
      <w:r>
        <w:t>Real Decreto 1955/2000, de 1 de diciembre. Regula las actividades de transporte, distribución, comercialización, suministro y procedimientos de autorización de instalaciones de energía eléctrica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2" w:history="1">
        <w:r w:rsidRPr="0057104C">
          <w:rPr>
            <w:rStyle w:val="TextoNormalCaracter"/>
          </w:rPr>
          <w:t>32/2016</w:t>
        </w:r>
      </w:hyperlink>
      <w:r>
        <w:t>, f. 12.</w:t>
      </w:r>
    </w:p>
    <w:p w:rsidR="0057104C" w:rsidRDefault="0057104C" w:rsidP="0057104C">
      <w:pPr>
        <w:pStyle w:val="SangriaFrancesaArticulo"/>
      </w:pPr>
      <w:r w:rsidRPr="0057104C">
        <w:rPr>
          <w:rStyle w:val="TextoNormalNegritaCaracter"/>
        </w:rPr>
        <w:t>Artículo 79.2.</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r w:rsidRPr="0057104C">
        <w:rPr>
          <w:rStyle w:val="TextoNormalNegritaCaracter"/>
        </w:rPr>
        <w:t>Artículo 85.</w:t>
      </w:r>
      <w:r w:rsidRPr="0057104C">
        <w:rPr>
          <w:rStyle w:val="TextoNormalCaracter"/>
        </w:rPr>
        <w:t>-</w:t>
      </w:r>
      <w:r>
        <w:t xml:space="preserve"> Sentencia </w:t>
      </w:r>
      <w:hyperlink w:anchor="SENTENCIA_2016_62" w:history="1">
        <w:r w:rsidRPr="0057104C">
          <w:rPr>
            <w:rStyle w:val="TextoNormalCaracter"/>
          </w:rPr>
          <w:t>62/2016</w:t>
        </w:r>
      </w:hyperlink>
      <w:r>
        <w:t>, ff. 4, 8, VPII.</w:t>
      </w:r>
    </w:p>
    <w:p w:rsidR="0057104C" w:rsidRDefault="0057104C" w:rsidP="0057104C">
      <w:pPr>
        <w:pStyle w:val="SangriaFrancesaArticulo"/>
      </w:pPr>
      <w:r w:rsidRPr="0057104C">
        <w:rPr>
          <w:rStyle w:val="TextoNormalNegritaCaracter"/>
        </w:rPr>
        <w:t>Artículo 89.</w:t>
      </w:r>
      <w:r w:rsidRPr="0057104C">
        <w:rPr>
          <w:rStyle w:val="TextoNormalCaracter"/>
        </w:rPr>
        <w:t>-</w:t>
      </w:r>
      <w:r>
        <w:t xml:space="preserve"> Sentencias </w:t>
      </w:r>
      <w:hyperlink w:anchor="SENTENCIA_2016_32" w:history="1">
        <w:r w:rsidRPr="0057104C">
          <w:rPr>
            <w:rStyle w:val="TextoNormalCaracter"/>
          </w:rPr>
          <w:t>32/2016</w:t>
        </w:r>
      </w:hyperlink>
      <w:r>
        <w:t xml:space="preserve">, f. 13; </w:t>
      </w:r>
      <w:hyperlink w:anchor="SENTENCIA_2016_60" w:history="1">
        <w:r w:rsidRPr="0057104C">
          <w:rPr>
            <w:rStyle w:val="TextoNormalCaracter"/>
          </w:rPr>
          <w:t>60/2016</w:t>
        </w:r>
      </w:hyperlink>
      <w:r>
        <w:t>, f. 8.</w:t>
      </w:r>
    </w:p>
    <w:p w:rsidR="0057104C" w:rsidRDefault="0057104C" w:rsidP="0057104C">
      <w:pPr>
        <w:pStyle w:val="SangriaFrancesaArticulo"/>
      </w:pPr>
      <w:r w:rsidRPr="0057104C">
        <w:rPr>
          <w:rStyle w:val="TextoNormalNegritaCaracter"/>
        </w:rPr>
        <w:t>Artículo 99.</w:t>
      </w:r>
      <w:r w:rsidRPr="0057104C">
        <w:rPr>
          <w:rStyle w:val="TextoNormalCaracter"/>
        </w:rPr>
        <w:t>-</w:t>
      </w:r>
      <w:r>
        <w:t xml:space="preserve"> Sentencia </w:t>
      </w:r>
      <w:hyperlink w:anchor="SENTENCIA_2016_32" w:history="1">
        <w:r w:rsidRPr="0057104C">
          <w:rPr>
            <w:rStyle w:val="TextoNormalCaracter"/>
          </w:rPr>
          <w:t>32/2016</w:t>
        </w:r>
      </w:hyperlink>
      <w:r>
        <w:t>, f. 12.</w:t>
      </w:r>
    </w:p>
    <w:p w:rsidR="0057104C" w:rsidRDefault="0057104C" w:rsidP="0057104C">
      <w:pPr>
        <w:pStyle w:val="SangriaFrancesaArticulo"/>
      </w:pPr>
    </w:p>
    <w:p w:rsidR="0057104C" w:rsidRDefault="0057104C" w:rsidP="0057104C">
      <w:pPr>
        <w:pStyle w:val="TextoNormalNegritaCursivandice"/>
      </w:pPr>
      <w:r>
        <w:t>Real Decreto 1073/2002, de 18 de octubre. Evaluación y gestión de la calidad del aire ambiente en relación con el dióxido de azufre, dióxido de nitrógeno, óxidos de nitrógeno, partículas, plomo, benceno y monóxido de carbono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3" w:history="1">
        <w:r w:rsidRPr="0057104C">
          <w:rPr>
            <w:rStyle w:val="TextoNormalCaracter"/>
          </w:rPr>
          <w:t>53/2016</w:t>
        </w:r>
      </w:hyperlink>
      <w:r>
        <w:t>, VPI.</w:t>
      </w:r>
    </w:p>
    <w:p w:rsidR="0057104C" w:rsidRDefault="0057104C" w:rsidP="0057104C">
      <w:pPr>
        <w:pStyle w:val="SangriaFrancesaArticulo"/>
      </w:pPr>
    </w:p>
    <w:p w:rsidR="0057104C" w:rsidRDefault="0057104C" w:rsidP="0057104C">
      <w:pPr>
        <w:pStyle w:val="TextoNormalNegritaCursivandice"/>
      </w:pPr>
      <w:r>
        <w:t>Real Decreto 1434/2002, de 27 de diciembre. Regula las actividades de transporte, distribución, comercialización, suministro y procedimientos de autorización de instalaciones de gas natural</w:t>
      </w:r>
    </w:p>
    <w:p w:rsidR="0057104C" w:rsidRDefault="0057104C" w:rsidP="0057104C">
      <w:pPr>
        <w:pStyle w:val="SangriaFrancesaArticulo"/>
      </w:pPr>
      <w:r w:rsidRPr="0057104C">
        <w:rPr>
          <w:rStyle w:val="TextoNormalNegritaCaracter"/>
        </w:rPr>
        <w:t>Artículo 57.</w:t>
      </w:r>
      <w:r w:rsidRPr="0057104C">
        <w:rPr>
          <w:rStyle w:val="TextoNormalCaracter"/>
        </w:rPr>
        <w:t>-</w:t>
      </w:r>
      <w:r>
        <w:t xml:space="preserve"> Sentencia </w:t>
      </w:r>
      <w:hyperlink w:anchor="SENTENCIA_2016_62" w:history="1">
        <w:r w:rsidRPr="0057104C">
          <w:rPr>
            <w:rStyle w:val="TextoNormalCaracter"/>
          </w:rPr>
          <w:t>62/2016</w:t>
        </w:r>
      </w:hyperlink>
      <w:r>
        <w:t>, ff. 4, 8.</w:t>
      </w:r>
    </w:p>
    <w:p w:rsidR="0057104C" w:rsidRDefault="0057104C" w:rsidP="0057104C">
      <w:pPr>
        <w:pStyle w:val="SangriaFrancesaArticulo"/>
      </w:pPr>
    </w:p>
    <w:p w:rsidR="0057104C" w:rsidRDefault="0057104C" w:rsidP="0057104C">
      <w:pPr>
        <w:pStyle w:val="TextoNormalNegritaCursivandice"/>
      </w:pPr>
      <w:r>
        <w:t>Real Decreto 1652/2004, de 9 de julio. Se aprueba el Reglamento que regula la inversión obligatoria para la financiación anticipada de largometrajes y cortometrajes cinematográficos y películas para televisión, europeos y españoles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5" w:history="1">
        <w:r w:rsidRPr="0057104C">
          <w:rPr>
            <w:rStyle w:val="TextoNormalCaracter"/>
          </w:rPr>
          <w:t>35/2016</w:t>
        </w:r>
      </w:hyperlink>
      <w:r>
        <w:t>, f. 2.</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35" w:history="1">
        <w:r w:rsidRPr="0057104C">
          <w:rPr>
            <w:rStyle w:val="TextoNormalCaracter"/>
          </w:rPr>
          <w:t>35/2016</w:t>
        </w:r>
      </w:hyperlink>
      <w:r>
        <w:t>, f. 2.</w:t>
      </w:r>
    </w:p>
    <w:p w:rsidR="0057104C" w:rsidRDefault="0057104C" w:rsidP="0057104C">
      <w:pPr>
        <w:pStyle w:val="SangriaFrancesaArticulo"/>
      </w:pPr>
    </w:p>
    <w:p w:rsidR="0057104C" w:rsidRDefault="0057104C" w:rsidP="0057104C">
      <w:pPr>
        <w:pStyle w:val="TextoNormalNegritaCursivandice"/>
      </w:pPr>
      <w:r>
        <w:t>Real Decreto 1775/2004, de 30 de julio. Reglamento del impuesto sobre la renta de las personas físicas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1" w:history="1">
        <w:r w:rsidRPr="0057104C">
          <w:rPr>
            <w:rStyle w:val="TextoNormalCaracter"/>
          </w:rPr>
          <w:t>121/2016</w:t>
        </w:r>
      </w:hyperlink>
      <w:r>
        <w:t>, f. 3.</w:t>
      </w:r>
    </w:p>
    <w:p w:rsidR="0057104C" w:rsidRDefault="0057104C" w:rsidP="0057104C">
      <w:pPr>
        <w:pStyle w:val="SangriaFrancesaArticulo"/>
      </w:pPr>
    </w:p>
    <w:p w:rsidR="0057104C" w:rsidRDefault="0057104C" w:rsidP="0057104C">
      <w:pPr>
        <w:pStyle w:val="TextoNormalNegritaCursivandice"/>
      </w:pPr>
      <w:r>
        <w:t>Real Decreto 2296/2004, de 10 de diciembre. Reglamento sobre mercado de comunicaciones electrónicas, acceso a las redes y numeración</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 w:history="1">
        <w:r w:rsidRPr="0057104C">
          <w:rPr>
            <w:rStyle w:val="TextoNormalCaracter"/>
          </w:rPr>
          <w:t>8/2016</w:t>
        </w:r>
      </w:hyperlink>
      <w:r>
        <w:t>, f. 9.</w:t>
      </w:r>
    </w:p>
    <w:p w:rsidR="0057104C" w:rsidRDefault="0057104C" w:rsidP="0057104C">
      <w:pPr>
        <w:pStyle w:val="SangriaFrancesaArticulo"/>
      </w:pPr>
    </w:p>
    <w:p w:rsidR="0057104C" w:rsidRDefault="0057104C" w:rsidP="0057104C">
      <w:pPr>
        <w:pStyle w:val="TextoNormalNegritaCursivandice"/>
      </w:pPr>
      <w:r>
        <w:t>Real Decreto 2387/2004, de 30 de diciembre. Reglamento del sector ferroviario</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 </w:t>
      </w:r>
      <w:hyperlink w:anchor="SENTENCIA_2016_124" w:history="1">
        <w:r w:rsidRPr="0057104C">
          <w:rPr>
            <w:rStyle w:val="TextoNormalCaracter"/>
          </w:rPr>
          <w:t>124/2016</w:t>
        </w:r>
      </w:hyperlink>
      <w:r>
        <w:t>, f. 8.</w:t>
      </w:r>
    </w:p>
    <w:p w:rsidR="0057104C" w:rsidRDefault="0057104C" w:rsidP="0057104C">
      <w:pPr>
        <w:pStyle w:val="SangriaFrancesaArticulo"/>
      </w:pPr>
      <w:r w:rsidRPr="0057104C">
        <w:rPr>
          <w:rStyle w:val="TextoNormalNegritaCaracter"/>
        </w:rPr>
        <w:t>Disposición derogatoria.</w:t>
      </w:r>
      <w:r w:rsidRPr="0057104C">
        <w:rPr>
          <w:rStyle w:val="TextoNormalCaracter"/>
        </w:rPr>
        <w:t>-</w:t>
      </w:r>
      <w:r>
        <w:t xml:space="preserve"> Sentencia </w:t>
      </w:r>
      <w:hyperlink w:anchor="SENTENCIA_2016_124" w:history="1">
        <w:r w:rsidRPr="0057104C">
          <w:rPr>
            <w:rStyle w:val="TextoNormalCaracter"/>
          </w:rPr>
          <w:t>124/2016</w:t>
        </w:r>
      </w:hyperlink>
      <w:r>
        <w:t>, f. 2.</w:t>
      </w:r>
    </w:p>
    <w:p w:rsidR="0057104C" w:rsidRDefault="0057104C" w:rsidP="0057104C">
      <w:pPr>
        <w:pStyle w:val="SangriaFrancesaArticulo"/>
      </w:pPr>
    </w:p>
    <w:p w:rsidR="0057104C" w:rsidRDefault="0057104C" w:rsidP="0057104C">
      <w:pPr>
        <w:pStyle w:val="TextoNormalNegritaCursivandice"/>
      </w:pPr>
      <w:r>
        <w:t>Instrucción 1/2006, de 8 de noviembre, de la Agencia Española de Protección de Datos. Tratamiento de datos personales con fines de vigilancia a través de sistemas de cámaras o videocámaras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9" w:history="1">
        <w:r w:rsidRPr="0057104C">
          <w:rPr>
            <w:rStyle w:val="TextoNormalCaracter"/>
          </w:rPr>
          <w:t>39/2016</w:t>
        </w:r>
      </w:hyperlink>
      <w:r>
        <w:t>, f. 4 VPI.</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39" w:history="1">
        <w:r w:rsidRPr="0057104C">
          <w:rPr>
            <w:rStyle w:val="TextoNormalCaracter"/>
          </w:rPr>
          <w:t>39/2016</w:t>
        </w:r>
      </w:hyperlink>
      <w:r>
        <w:t>, f. 4.</w:t>
      </w:r>
    </w:p>
    <w:p w:rsidR="0057104C" w:rsidRDefault="0057104C" w:rsidP="0057104C">
      <w:pPr>
        <w:pStyle w:val="SangriaFrancesaArticulo"/>
      </w:pPr>
    </w:p>
    <w:p w:rsidR="0057104C" w:rsidRDefault="0057104C" w:rsidP="0057104C">
      <w:pPr>
        <w:pStyle w:val="TextoNormalNegritaCursivandice"/>
      </w:pPr>
      <w:r>
        <w:t>Orden TAS/3623/2006, de 28 de noviembre. Se regulan las actividades preventivas en el ámbito de la Seguridad Social y la financiación de la Fundación para la Prevención de Riesgos Laborales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 w:history="1">
        <w:r w:rsidRPr="0057104C">
          <w:rPr>
            <w:rStyle w:val="TextoNormalCaracter"/>
          </w:rPr>
          <w:t>7/2016</w:t>
        </w:r>
      </w:hyperlink>
      <w:r>
        <w:t>, f. 5.</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7" w:history="1">
        <w:r w:rsidRPr="0057104C">
          <w:rPr>
            <w:rStyle w:val="TextoNormalCaracter"/>
          </w:rPr>
          <w:t>7/2016</w:t>
        </w:r>
      </w:hyperlink>
      <w:r>
        <w:t>, f. 5.</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7" w:history="1">
        <w:r w:rsidRPr="0057104C">
          <w:rPr>
            <w:rStyle w:val="TextoNormalCaracter"/>
          </w:rPr>
          <w:t>7/2016</w:t>
        </w:r>
      </w:hyperlink>
      <w:r>
        <w:t>, f. 3.</w:t>
      </w:r>
    </w:p>
    <w:p w:rsidR="0057104C" w:rsidRDefault="0057104C" w:rsidP="0057104C">
      <w:pPr>
        <w:pStyle w:val="SangriaFrancesaArticulo"/>
      </w:pPr>
    </w:p>
    <w:p w:rsidR="0057104C" w:rsidRDefault="0057104C" w:rsidP="0057104C">
      <w:pPr>
        <w:pStyle w:val="TextoNormalNegritaCursivandice"/>
      </w:pPr>
      <w:r>
        <w:t>Real Decreto 439/2007, de 30 de marzo. Se aprueba el Reglamento del Impuesto sobre la Renta de las Personas Físicas y se modifica el Reglamento de Planes y Fondos de Pensiones, aprobado por Real Decreto 304/2004, de 20 de febrero</w:t>
      </w:r>
    </w:p>
    <w:p w:rsidR="0057104C" w:rsidRDefault="0057104C" w:rsidP="0057104C">
      <w:pPr>
        <w:pStyle w:val="SangriaFrancesaArticulo"/>
      </w:pPr>
      <w:r w:rsidRPr="0057104C">
        <w:rPr>
          <w:rStyle w:val="TextoNormalNegritaCaracter"/>
        </w:rPr>
        <w:t>Artículo 11.3.</w:t>
      </w:r>
      <w:r w:rsidRPr="0057104C">
        <w:rPr>
          <w:rStyle w:val="TextoNormalCaracter"/>
        </w:rPr>
        <w:t>-</w:t>
      </w:r>
      <w:r>
        <w:t xml:space="preserve"> Sentencia </w:t>
      </w:r>
      <w:hyperlink w:anchor="SENTENCIA_2016_121" w:history="1">
        <w:r w:rsidRPr="0057104C">
          <w:rPr>
            <w:rStyle w:val="TextoNormalCaracter"/>
          </w:rPr>
          <w:t>121/2016</w:t>
        </w:r>
      </w:hyperlink>
      <w:r>
        <w:t>, f. 3.</w:t>
      </w:r>
    </w:p>
    <w:p w:rsidR="0057104C" w:rsidRDefault="0057104C" w:rsidP="0057104C">
      <w:pPr>
        <w:pStyle w:val="SangriaFrancesaArticulo"/>
      </w:pPr>
    </w:p>
    <w:p w:rsidR="0057104C" w:rsidRDefault="0057104C" w:rsidP="0057104C">
      <w:pPr>
        <w:pStyle w:val="TextoNormalNegritaCursivandice"/>
      </w:pPr>
      <w:r>
        <w:t>Resolución de la Dirección General de Trabajo de la Región de Murcia, de 7 de mayo de 2007. Convenio Colectivo de Trabajo para Comunidad Autónoma de la Región de Murcia (personal laboral)</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Autos </w:t>
      </w:r>
      <w:hyperlink w:anchor="AUTO_2016_131" w:history="1">
        <w:r w:rsidRPr="0057104C">
          <w:rPr>
            <w:rStyle w:val="TextoNormalCaracter"/>
          </w:rPr>
          <w:t>131/2016</w:t>
        </w:r>
      </w:hyperlink>
      <w:r>
        <w:t xml:space="preserve">, f. 6; </w:t>
      </w:r>
      <w:hyperlink w:anchor="AUTO_2016_134" w:history="1">
        <w:r w:rsidRPr="0057104C">
          <w:rPr>
            <w:rStyle w:val="TextoNormalCaracter"/>
          </w:rPr>
          <w:t>134/2016</w:t>
        </w:r>
      </w:hyperlink>
      <w:r>
        <w:t>, f. 6.</w:t>
      </w:r>
    </w:p>
    <w:p w:rsidR="0057104C" w:rsidRDefault="0057104C" w:rsidP="0057104C">
      <w:pPr>
        <w:pStyle w:val="SangriaFrancesaArticulo"/>
      </w:pPr>
      <w:r w:rsidRPr="0057104C">
        <w:rPr>
          <w:rStyle w:val="TextoNormalNegritaCaracter"/>
        </w:rPr>
        <w:t>Artículo 36.1.</w:t>
      </w:r>
      <w:r w:rsidRPr="0057104C">
        <w:rPr>
          <w:rStyle w:val="TextoNormalCaracter"/>
        </w:rPr>
        <w:t>-</w:t>
      </w:r>
      <w:r>
        <w:t xml:space="preserve"> Autos </w:t>
      </w:r>
      <w:hyperlink w:anchor="AUTO_2016_131" w:history="1">
        <w:r w:rsidRPr="0057104C">
          <w:rPr>
            <w:rStyle w:val="TextoNormalCaracter"/>
          </w:rPr>
          <w:t>131/2016</w:t>
        </w:r>
      </w:hyperlink>
      <w:r>
        <w:t xml:space="preserve">, ff. 1, 6; </w:t>
      </w:r>
      <w:hyperlink w:anchor="AUTO_2016_134" w:history="1">
        <w:r w:rsidRPr="0057104C">
          <w:rPr>
            <w:rStyle w:val="TextoNormalCaracter"/>
          </w:rPr>
          <w:t>134/2016</w:t>
        </w:r>
      </w:hyperlink>
      <w:r>
        <w:t>, ff. 1, 6.</w:t>
      </w:r>
    </w:p>
    <w:p w:rsidR="0057104C" w:rsidRDefault="0057104C" w:rsidP="0057104C">
      <w:pPr>
        <w:pStyle w:val="SangriaFrancesaArticulo"/>
      </w:pPr>
    </w:p>
    <w:p w:rsidR="0057104C" w:rsidRDefault="0057104C" w:rsidP="0057104C">
      <w:pPr>
        <w:pStyle w:val="TextoNormalNegritaCursivandice"/>
      </w:pPr>
      <w:r>
        <w:t>Real Decreto 661/2007, de 25 de mayo. Regulación de la actividad de producción de energía eléctrica en régimen especial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9" w:history="1">
        <w:r w:rsidRPr="0057104C">
          <w:rPr>
            <w:rStyle w:val="TextoNormalCaracter"/>
          </w:rPr>
          <w:t>19/2016</w:t>
        </w:r>
      </w:hyperlink>
      <w:r>
        <w:t xml:space="preserve">, f. 5; </w:t>
      </w:r>
      <w:hyperlink w:anchor="SENTENCIA_2016_29" w:history="1">
        <w:r w:rsidRPr="0057104C">
          <w:rPr>
            <w:rStyle w:val="TextoNormalCaracter"/>
          </w:rPr>
          <w:t>29/2016</w:t>
        </w:r>
      </w:hyperlink>
      <w:r>
        <w:t>, f. 5.</w:t>
      </w:r>
    </w:p>
    <w:p w:rsidR="0057104C" w:rsidRDefault="0057104C" w:rsidP="0057104C">
      <w:pPr>
        <w:pStyle w:val="SangriaFrancesaArticulo"/>
      </w:pPr>
      <w:r w:rsidRPr="0057104C">
        <w:rPr>
          <w:rStyle w:val="TextoNormalNegritaCaracter"/>
        </w:rPr>
        <w:t>Derogado.</w:t>
      </w:r>
      <w:r w:rsidRPr="0057104C">
        <w:rPr>
          <w:rStyle w:val="TextoNormalCaracter"/>
        </w:rPr>
        <w:t>-</w:t>
      </w:r>
      <w:r>
        <w:t xml:space="preserve"> Sentencia </w:t>
      </w:r>
      <w:hyperlink w:anchor="SENTENCIA_2016_61" w:history="1">
        <w:r w:rsidRPr="0057104C">
          <w:rPr>
            <w:rStyle w:val="TextoNormalCaracter"/>
          </w:rPr>
          <w:t>61/2016</w:t>
        </w:r>
      </w:hyperlink>
      <w:r>
        <w:t>, f. 5.</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30" w:history="1">
        <w:r w:rsidRPr="0057104C">
          <w:rPr>
            <w:rStyle w:val="TextoNormalCaracter"/>
          </w:rPr>
          <w:t>30/2016</w:t>
        </w:r>
      </w:hyperlink>
      <w:r>
        <w:t xml:space="preserve">, f. 5; </w:t>
      </w:r>
      <w:hyperlink w:anchor="SENTENCIA_2016_42" w:history="1">
        <w:r w:rsidRPr="0057104C">
          <w:rPr>
            <w:rStyle w:val="TextoNormalCaracter"/>
          </w:rPr>
          <w:t>42/2016</w:t>
        </w:r>
      </w:hyperlink>
      <w:r>
        <w:t>, f. 4.</w:t>
      </w:r>
    </w:p>
    <w:p w:rsidR="0057104C" w:rsidRDefault="0057104C" w:rsidP="0057104C">
      <w:pPr>
        <w:pStyle w:val="SangriaFrancesaArticulo"/>
      </w:pPr>
    </w:p>
    <w:p w:rsidR="0057104C" w:rsidRDefault="0057104C" w:rsidP="0057104C">
      <w:pPr>
        <w:pStyle w:val="TextoNormalNegritaCursivandice"/>
      </w:pPr>
      <w:r>
        <w:t>Resolución de 8 de junio de 2007, de la Secretaría deEstado de Cooperación Territorial. Publica el Acuerdo de la Comisión Bilateral deCooperación Administración General del Estado-Generalitaten relación con la Ley de la Comunitat Valenciana10/2007, de 20 de marzo, de régimen económico matrimonialvalenciano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2" w:history="1">
        <w:r w:rsidRPr="0057104C">
          <w:rPr>
            <w:rStyle w:val="TextoNormalCaracter"/>
          </w:rPr>
          <w:t>82/2016</w:t>
        </w:r>
      </w:hyperlink>
      <w:r>
        <w:t>, ff. 1, 2.</w:t>
      </w:r>
    </w:p>
    <w:p w:rsidR="0057104C" w:rsidRDefault="0057104C" w:rsidP="0057104C">
      <w:pPr>
        <w:pStyle w:val="SangriaFrancesaArticulo"/>
      </w:pPr>
    </w:p>
    <w:p w:rsidR="0057104C" w:rsidRDefault="0057104C" w:rsidP="0057104C">
      <w:pPr>
        <w:pStyle w:val="TextoNormalNegritaCursivandice"/>
      </w:pPr>
      <w:r>
        <w:t>Real Decreto 1393/2007, de 29 de octubre. Ordenación de las enseñanzas universitarias oficiales</w:t>
      </w:r>
    </w:p>
    <w:p w:rsidR="0057104C" w:rsidRDefault="0057104C" w:rsidP="0057104C">
      <w:pPr>
        <w:pStyle w:val="SangriaFrancesaArticulo"/>
      </w:pPr>
      <w:r w:rsidRPr="0057104C">
        <w:rPr>
          <w:rStyle w:val="TextoNormalNegritaCaracter"/>
        </w:rPr>
        <w:t>Artículo 3.4.</w:t>
      </w:r>
      <w:r w:rsidRPr="0057104C">
        <w:rPr>
          <w:rStyle w:val="TextoNormalCaracter"/>
        </w:rPr>
        <w:t>-</w:t>
      </w:r>
      <w:r>
        <w:t xml:space="preserve"> Sentencia </w:t>
      </w:r>
      <w:hyperlink w:anchor="SENTENCIA_2016_26" w:history="1">
        <w:r w:rsidRPr="0057104C">
          <w:rPr>
            <w:rStyle w:val="TextoNormalCaracter"/>
          </w:rPr>
          <w:t>26/2016</w:t>
        </w:r>
      </w:hyperlink>
      <w:r>
        <w:t>, f. 5.</w:t>
      </w:r>
    </w:p>
    <w:p w:rsidR="0057104C" w:rsidRDefault="0057104C" w:rsidP="0057104C">
      <w:pPr>
        <w:pStyle w:val="SangriaFrancesaArticulo"/>
      </w:pPr>
    </w:p>
    <w:p w:rsidR="0057104C" w:rsidRDefault="0057104C" w:rsidP="0057104C">
      <w:pPr>
        <w:pStyle w:val="TextoNormalNegritaCursivandice"/>
      </w:pPr>
      <w:r>
        <w:t>Real Decreto 1720/2007, de 21 de diciembre. Aprueba el Reglamento de desarrollo de la Ley Orgánica 15/1999, de 13 de diciembre, de protección de datos de carácter personal</w:t>
      </w:r>
    </w:p>
    <w:p w:rsidR="0057104C" w:rsidRDefault="0057104C" w:rsidP="0057104C">
      <w:pPr>
        <w:pStyle w:val="SangriaFrancesaArticulo"/>
      </w:pPr>
      <w:r w:rsidRPr="0057104C">
        <w:rPr>
          <w:rStyle w:val="TextoNormalNegritaCaracter"/>
        </w:rPr>
        <w:t>Artículo 5.1 f).</w:t>
      </w:r>
      <w:r w:rsidRPr="0057104C">
        <w:rPr>
          <w:rStyle w:val="TextoNormalCaracter"/>
        </w:rPr>
        <w:t>-</w:t>
      </w:r>
      <w:r>
        <w:t xml:space="preserve"> Sentencia </w:t>
      </w:r>
      <w:hyperlink w:anchor="SENTENCIA_2016_39" w:history="1">
        <w:r w:rsidRPr="0057104C">
          <w:rPr>
            <w:rStyle w:val="TextoNormalCaracter"/>
          </w:rPr>
          <w:t>39/2016</w:t>
        </w:r>
      </w:hyperlink>
      <w:r>
        <w:t>, f. 3.</w:t>
      </w:r>
    </w:p>
    <w:p w:rsidR="0057104C" w:rsidRDefault="0057104C" w:rsidP="0057104C">
      <w:pPr>
        <w:pStyle w:val="SangriaFrancesaArticulo"/>
      </w:pPr>
      <w:r w:rsidRPr="0057104C">
        <w:rPr>
          <w:rStyle w:val="TextoNormalNegritaCaracter"/>
        </w:rPr>
        <w:t>Artículo 10.3 b).</w:t>
      </w:r>
      <w:r w:rsidRPr="0057104C">
        <w:rPr>
          <w:rStyle w:val="TextoNormalCaracter"/>
        </w:rPr>
        <w:t>-</w:t>
      </w:r>
      <w:r>
        <w:t xml:space="preserve"> Sentencia </w:t>
      </w:r>
      <w:hyperlink w:anchor="SENTENCIA_2016_39" w:history="1">
        <w:r w:rsidRPr="0057104C">
          <w:rPr>
            <w:rStyle w:val="TextoNormalCaracter"/>
          </w:rPr>
          <w:t>39/2016</w:t>
        </w:r>
      </w:hyperlink>
      <w:r>
        <w:t>, f. 3.</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39" w:history="1">
        <w:r w:rsidRPr="0057104C">
          <w:rPr>
            <w:rStyle w:val="TextoNormalCaracter"/>
          </w:rPr>
          <w:t>39/2016</w:t>
        </w:r>
      </w:hyperlink>
      <w:r>
        <w:t>, f. 3.</w:t>
      </w:r>
    </w:p>
    <w:p w:rsidR="0057104C" w:rsidRDefault="0057104C" w:rsidP="0057104C">
      <w:pPr>
        <w:pStyle w:val="SangriaFrancesaArticulo"/>
      </w:pPr>
    </w:p>
    <w:p w:rsidR="0057104C" w:rsidRDefault="0057104C" w:rsidP="0057104C">
      <w:pPr>
        <w:pStyle w:val="TextoNormalNegritaCursivandice"/>
      </w:pPr>
      <w:r>
        <w:t>Real Decreto 1721/2007, de 21 de diciembre. Régimen de las becas y ayudas al estudio personalizadas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95" w:history="1">
        <w:r w:rsidRPr="0057104C">
          <w:rPr>
            <w:rStyle w:val="TextoNormalCaracter"/>
          </w:rPr>
          <w:t>95/2016</w:t>
        </w:r>
      </w:hyperlink>
      <w:r>
        <w:t>, ff. 3, 5.</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95" w:history="1">
        <w:r w:rsidRPr="0057104C">
          <w:rPr>
            <w:rStyle w:val="TextoNormalCaracter"/>
          </w:rPr>
          <w:t>95/2016</w:t>
        </w:r>
      </w:hyperlink>
      <w:r>
        <w:t>, VP.</w:t>
      </w:r>
    </w:p>
    <w:p w:rsidR="0057104C" w:rsidRDefault="0057104C" w:rsidP="0057104C">
      <w:pPr>
        <w:pStyle w:val="SangriaFrancesaArticulo"/>
      </w:pPr>
      <w:r w:rsidRPr="0057104C">
        <w:rPr>
          <w:rStyle w:val="TextoNormalNegritaCaracter"/>
        </w:rPr>
        <w:t>Artículo 40.2 d).</w:t>
      </w:r>
      <w:r w:rsidRPr="0057104C">
        <w:rPr>
          <w:rStyle w:val="TextoNormalCaracter"/>
        </w:rPr>
        <w:t>-</w:t>
      </w:r>
      <w:r>
        <w:t xml:space="preserve"> Sentencia </w:t>
      </w:r>
      <w:hyperlink w:anchor="SENTENCIA_2016_95" w:history="1">
        <w:r w:rsidRPr="0057104C">
          <w:rPr>
            <w:rStyle w:val="TextoNormalCaracter"/>
          </w:rPr>
          <w:t>95/2016</w:t>
        </w:r>
      </w:hyperlink>
      <w:r>
        <w:t>, ff. 2, 5.</w:t>
      </w:r>
    </w:p>
    <w:p w:rsidR="0057104C" w:rsidRDefault="0057104C" w:rsidP="0057104C">
      <w:pPr>
        <w:pStyle w:val="SangriaFrancesaArticulo"/>
      </w:pPr>
      <w:r w:rsidRPr="0057104C">
        <w:rPr>
          <w:rStyle w:val="TextoNormalNegritaCaracter"/>
        </w:rPr>
        <w:t>Disposición adicional cuarta.</w:t>
      </w:r>
      <w:r w:rsidRPr="0057104C">
        <w:rPr>
          <w:rStyle w:val="TextoNormalCaracter"/>
        </w:rPr>
        <w:t>-</w:t>
      </w:r>
      <w:r>
        <w:t xml:space="preserve"> Sentencia </w:t>
      </w:r>
      <w:hyperlink w:anchor="SENTENCIA_2016_95" w:history="1">
        <w:r w:rsidRPr="0057104C">
          <w:rPr>
            <w:rStyle w:val="TextoNormalCaracter"/>
          </w:rPr>
          <w:t>95/2016</w:t>
        </w:r>
      </w:hyperlink>
      <w:r>
        <w:t>, f. 8.</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95" w:history="1">
        <w:r w:rsidRPr="0057104C">
          <w:rPr>
            <w:rStyle w:val="TextoNormalCaracter"/>
          </w:rPr>
          <w:t>95/2016</w:t>
        </w:r>
      </w:hyperlink>
      <w:r>
        <w:t>, f. 2.</w:t>
      </w:r>
    </w:p>
    <w:p w:rsidR="0057104C" w:rsidRDefault="0057104C" w:rsidP="0057104C">
      <w:pPr>
        <w:pStyle w:val="SangriaFrancesaArticulo"/>
      </w:pPr>
    </w:p>
    <w:p w:rsidR="0057104C" w:rsidRDefault="0057104C" w:rsidP="0057104C">
      <w:pPr>
        <w:pStyle w:val="TextoNormalNegritaCursivandice"/>
      </w:pPr>
      <w:r>
        <w:t>Real Decreto 222/2008, de 15 de febrero. Régimen retributivo de la actividad de distribución de energía eléctrica</w:t>
      </w:r>
    </w:p>
    <w:p w:rsidR="0057104C" w:rsidRDefault="0057104C" w:rsidP="0057104C">
      <w:pPr>
        <w:pStyle w:val="SangriaFrancesaArticulo"/>
      </w:pPr>
      <w:r w:rsidRPr="0057104C">
        <w:rPr>
          <w:rStyle w:val="TextoNormalNegritaCaracter"/>
        </w:rPr>
        <w:t>Artículo 9.2.</w:t>
      </w:r>
      <w:r w:rsidRPr="0057104C">
        <w:rPr>
          <w:rStyle w:val="TextoNormalCaracter"/>
        </w:rPr>
        <w:t>-</w:t>
      </w:r>
      <w:r>
        <w:t xml:space="preserve"> Sentencia </w:t>
      </w:r>
      <w:hyperlink w:anchor="SENTENCIA_2016_120" w:history="1">
        <w:r w:rsidRPr="0057104C">
          <w:rPr>
            <w:rStyle w:val="TextoNormalCaracter"/>
          </w:rPr>
          <w:t>120/2016</w:t>
        </w:r>
      </w:hyperlink>
      <w:r>
        <w:t>, f. 8.</w:t>
      </w:r>
    </w:p>
    <w:p w:rsidR="0057104C" w:rsidRDefault="0057104C" w:rsidP="0057104C">
      <w:pPr>
        <w:pStyle w:val="SangriaFrancesaArticulo"/>
      </w:pPr>
    </w:p>
    <w:p w:rsidR="0057104C" w:rsidRDefault="0057104C" w:rsidP="0057104C">
      <w:pPr>
        <w:pStyle w:val="TextoNormalNegritaCursivandice"/>
      </w:pPr>
      <w:r>
        <w:t>Real Decreto 863/2008, de 23 de mayo. Aprueba el Reglamento de desarrollo de la Ley 32/2003, de 3 de noviembre de 2003, General de Telecomunicaciones, en lo relativo al uso del dominio público radioeléctrico</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8" w:history="1">
        <w:r w:rsidRPr="0057104C">
          <w:rPr>
            <w:rStyle w:val="TextoNormalCaracter"/>
          </w:rPr>
          <w:t>8/2016</w:t>
        </w:r>
      </w:hyperlink>
      <w:r>
        <w:t>, f. 11.</w:t>
      </w:r>
    </w:p>
    <w:p w:rsidR="0057104C" w:rsidRDefault="0057104C" w:rsidP="0057104C">
      <w:pPr>
        <w:pStyle w:val="SangriaFrancesaArticulo"/>
      </w:pPr>
    </w:p>
    <w:p w:rsidR="0057104C" w:rsidRDefault="0057104C" w:rsidP="0057104C">
      <w:pPr>
        <w:pStyle w:val="TextoNormalNegritaCursivandice"/>
      </w:pPr>
      <w:r>
        <w:t>Real Decreto 1578/2008, de 26 de septiembre. Retribución de la actividad de producción de energía eléctrica mediante tecnología solar fotovoltaica para instalaciones posteriores a la fecha límite de mantenimiento de la retribución del Real Decreto 661/2007, de 25 de mayo, para dicha tecnología</w:t>
      </w:r>
    </w:p>
    <w:p w:rsidR="0057104C" w:rsidRDefault="0057104C" w:rsidP="0057104C">
      <w:pPr>
        <w:pStyle w:val="SangriaFrancesaArticulo"/>
      </w:pPr>
      <w:r w:rsidRPr="0057104C">
        <w:rPr>
          <w:rStyle w:val="TextoNormalNegritaCaracter"/>
        </w:rPr>
        <w:t>Derogado.</w:t>
      </w:r>
      <w:r w:rsidRPr="0057104C">
        <w:rPr>
          <w:rStyle w:val="TextoNormalCaracter"/>
        </w:rPr>
        <w:t>-</w:t>
      </w:r>
      <w:r>
        <w:t xml:space="preserve"> Sentencia </w:t>
      </w:r>
      <w:hyperlink w:anchor="SENTENCIA_2016_61" w:history="1">
        <w:r w:rsidRPr="0057104C">
          <w:rPr>
            <w:rStyle w:val="TextoNormalCaracter"/>
          </w:rPr>
          <w:t>61/2016</w:t>
        </w:r>
      </w:hyperlink>
      <w:r>
        <w:t>, f. 5.</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9" w:history="1">
        <w:r w:rsidRPr="0057104C">
          <w:rPr>
            <w:rStyle w:val="TextoNormalCaracter"/>
          </w:rPr>
          <w:t>19/2016</w:t>
        </w:r>
      </w:hyperlink>
      <w:r>
        <w:t xml:space="preserve">, f. 5; </w:t>
      </w:r>
      <w:hyperlink w:anchor="SENTENCIA_2016_29" w:history="1">
        <w:r w:rsidRPr="0057104C">
          <w:rPr>
            <w:rStyle w:val="TextoNormalCaracter"/>
          </w:rPr>
          <w:t>29/2016</w:t>
        </w:r>
      </w:hyperlink>
      <w:r>
        <w:t xml:space="preserve">, f. 5; </w:t>
      </w:r>
      <w:hyperlink w:anchor="SENTENCIA_2016_30" w:history="1">
        <w:r w:rsidRPr="0057104C">
          <w:rPr>
            <w:rStyle w:val="TextoNormalCaracter"/>
          </w:rPr>
          <w:t>30/2016</w:t>
        </w:r>
      </w:hyperlink>
      <w:r>
        <w:t xml:space="preserve">, f. 5; </w:t>
      </w:r>
      <w:hyperlink w:anchor="SENTENCIA_2016_42" w:history="1">
        <w:r w:rsidRPr="0057104C">
          <w:rPr>
            <w:rStyle w:val="TextoNormalCaracter"/>
          </w:rPr>
          <w:t>42/2016</w:t>
        </w:r>
      </w:hyperlink>
      <w:r>
        <w:t>, f. 4.</w:t>
      </w:r>
    </w:p>
    <w:p w:rsidR="0057104C" w:rsidRDefault="0057104C" w:rsidP="0057104C">
      <w:pPr>
        <w:pStyle w:val="SangriaFrancesaArticulo"/>
      </w:pPr>
      <w:r w:rsidRPr="0057104C">
        <w:rPr>
          <w:rStyle w:val="TextoNormalNegritaCaracter"/>
        </w:rPr>
        <w:t>Disposición transitoria tercera.</w:t>
      </w:r>
      <w:r w:rsidRPr="0057104C">
        <w:rPr>
          <w:rStyle w:val="TextoNormalCaracter"/>
        </w:rPr>
        <w:t>-</w:t>
      </w:r>
      <w:r>
        <w:t xml:space="preserve"> Sentencia </w:t>
      </w:r>
      <w:hyperlink w:anchor="SENTENCIA_2016_19" w:history="1">
        <w:r w:rsidRPr="0057104C">
          <w:rPr>
            <w:rStyle w:val="TextoNormalCaracter"/>
          </w:rPr>
          <w:t>19/2016</w:t>
        </w:r>
      </w:hyperlink>
      <w:r>
        <w:t>, f. 5.</w:t>
      </w:r>
    </w:p>
    <w:p w:rsidR="0057104C" w:rsidRDefault="0057104C" w:rsidP="0057104C">
      <w:pPr>
        <w:pStyle w:val="SangriaFrancesaArticulo"/>
      </w:pPr>
    </w:p>
    <w:p w:rsidR="0057104C" w:rsidRDefault="0057104C" w:rsidP="0057104C">
      <w:pPr>
        <w:pStyle w:val="TextoNormalNegritaCursivandice"/>
      </w:pPr>
      <w:r>
        <w:t>Resolución de 26 de junio de 2009, de la Secretaría de Estado de Energía. Se determina el procedimiento de puesta en marcha del bono social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p>
    <w:p w:rsidR="0057104C" w:rsidRDefault="0057104C" w:rsidP="0057104C">
      <w:pPr>
        <w:pStyle w:val="TextoNormalNegritaCursivandice"/>
      </w:pPr>
      <w:r>
        <w:t>Acuerdo 6/2009 del Consejo de Política Fiscal y Financiera, de 15 de julio. Reforma el sistema de financiación de las Comunidades Autónomas de régimen común y ciudades con estatuto de autonomía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96" w:history="1">
        <w:r w:rsidRPr="0057104C">
          <w:rPr>
            <w:rStyle w:val="TextoNormalCaracter"/>
          </w:rPr>
          <w:t>96/2016</w:t>
        </w:r>
      </w:hyperlink>
      <w:r>
        <w:t>, f. 8.</w:t>
      </w:r>
    </w:p>
    <w:p w:rsidR="0057104C" w:rsidRDefault="0057104C" w:rsidP="0057104C">
      <w:pPr>
        <w:pStyle w:val="SangriaFrancesaArticulo"/>
      </w:pPr>
    </w:p>
    <w:p w:rsidR="0057104C" w:rsidRDefault="0057104C" w:rsidP="0057104C">
      <w:pPr>
        <w:pStyle w:val="TextoNormalNegritaCursivandice"/>
      </w:pPr>
      <w:r>
        <w:t>Reglamento interno de la Conferencia sectorial de medio ambiente de 29 de julio de 2009</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53" w:history="1">
        <w:r w:rsidRPr="0057104C">
          <w:rPr>
            <w:rStyle w:val="TextoNormalCaracter"/>
          </w:rPr>
          <w:t>53/2016</w:t>
        </w:r>
      </w:hyperlink>
      <w:r>
        <w:t>, f. 5.</w:t>
      </w:r>
    </w:p>
    <w:p w:rsidR="0057104C" w:rsidRDefault="0057104C" w:rsidP="0057104C">
      <w:pPr>
        <w:pStyle w:val="SangriaFrancesaArticulo"/>
      </w:pPr>
    </w:p>
    <w:p w:rsidR="0057104C" w:rsidRDefault="0057104C" w:rsidP="0057104C">
      <w:pPr>
        <w:pStyle w:val="TextoNormalNegritaCursivandice"/>
      </w:pPr>
      <w:r>
        <w:t>Resolución de 22 de septiembre de 2009, del Servicio Público de Empleo Estatal. Se convoca la concesión de subvenciones para la realización de programas específicos de formación e inserción laboral a favor de jóvenes desempleados en situación o con riesgo de exclusión social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95" w:history="1">
        <w:r w:rsidRPr="0057104C">
          <w:rPr>
            <w:rStyle w:val="TextoNormalCaracter"/>
          </w:rPr>
          <w:t>95/2016</w:t>
        </w:r>
      </w:hyperlink>
      <w:r>
        <w:t>, VP.</w:t>
      </w:r>
    </w:p>
    <w:p w:rsidR="0057104C" w:rsidRDefault="0057104C" w:rsidP="0057104C">
      <w:pPr>
        <w:pStyle w:val="SangriaFrancesaArticulo"/>
      </w:pPr>
    </w:p>
    <w:p w:rsidR="0057104C" w:rsidRDefault="0057104C" w:rsidP="0057104C">
      <w:pPr>
        <w:pStyle w:val="TextoNormalNegritaCursivandice"/>
      </w:pPr>
      <w:r>
        <w:t>Resolución de 4 de febrero de 2010, de la Secretaría General de Política Social y Consumo. Publicación  del Acuerdo del Consejo Territorial del Sistema para la Autonomía y Atención a la Dependencia, en materia de órganos y procedimientos de valoración de la situación de dependencia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p>
    <w:p w:rsidR="0057104C" w:rsidRDefault="0057104C" w:rsidP="0057104C">
      <w:pPr>
        <w:pStyle w:val="TextoNormalNegritaCursivandice"/>
      </w:pPr>
      <w:r>
        <w:t>Real Decreto 437/2010, de 9 de abril. Desarrollo de la regulación del proceso de titulización del déficit del sistema eléctrico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91" w:history="1">
        <w:r w:rsidRPr="0057104C">
          <w:rPr>
            <w:rStyle w:val="TextoNormalCaracter"/>
          </w:rPr>
          <w:t>91/2016</w:t>
        </w:r>
      </w:hyperlink>
      <w:r>
        <w:t>, f. 4.</w:t>
      </w:r>
    </w:p>
    <w:p w:rsidR="0057104C" w:rsidRDefault="0057104C" w:rsidP="0057104C">
      <w:pPr>
        <w:pStyle w:val="SangriaFrancesaArticulo"/>
      </w:pPr>
    </w:p>
    <w:p w:rsidR="0057104C" w:rsidRDefault="0057104C" w:rsidP="0057104C">
      <w:pPr>
        <w:pStyle w:val="TextoNormalNegritaCursivandice"/>
      </w:pPr>
      <w:r>
        <w:t>Resolución de 18 de junio de 2010, de la Presidencia de la Comisión del Mercado de las Telecomunicaciones. Publicación de la Circular 1/2010, de la Comisión del Mercado de las Telecomunicaciones, por la que se regulan las condiciones de explotación de redes y la prestación de servicios de comunicaciones electrónicas por las Administraciones Públicas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p>
    <w:p w:rsidR="0057104C" w:rsidRDefault="0057104C" w:rsidP="0057104C">
      <w:pPr>
        <w:pStyle w:val="TextoNormalNegritaCursivandice"/>
      </w:pPr>
      <w:r>
        <w:t>Real Decreto 1673/2010, de 4 de diciembre. Declaración del estado de alarma para la normalización del servicio público esencial del transporte aéreo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3" w:history="1">
        <w:r w:rsidRPr="0057104C">
          <w:rPr>
            <w:rStyle w:val="TextoNormalCaracter"/>
          </w:rPr>
          <w:t>83/2016</w:t>
        </w:r>
      </w:hyperlink>
      <w:r>
        <w:t>, ff. 1, 2, 4, 11, 12.</w:t>
      </w:r>
    </w:p>
    <w:p w:rsidR="0057104C" w:rsidRDefault="0057104C" w:rsidP="0057104C">
      <w:pPr>
        <w:pStyle w:val="SangriaFrancesaArticulo"/>
      </w:pPr>
    </w:p>
    <w:p w:rsidR="0057104C" w:rsidRDefault="0057104C" w:rsidP="0057104C">
      <w:pPr>
        <w:pStyle w:val="TextoNormalNegritaCursivandice"/>
      </w:pPr>
      <w:r>
        <w:t>Real Decreto 1717/2010, de 17 de diciembre. Prorroga el estado de alarma declarado por el Real Decreto 1673/2010, de 4 de diciembre</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3" w:history="1">
        <w:r w:rsidRPr="0057104C">
          <w:rPr>
            <w:rStyle w:val="TextoNormalCaracter"/>
          </w:rPr>
          <w:t>83/2016</w:t>
        </w:r>
      </w:hyperlink>
      <w:r>
        <w:t>, ff. 1, 2, 4.</w:t>
      </w:r>
    </w:p>
    <w:p w:rsidR="0057104C" w:rsidRDefault="0057104C" w:rsidP="0057104C">
      <w:pPr>
        <w:pStyle w:val="SangriaFrancesaArticulo"/>
      </w:pPr>
    </w:p>
    <w:p w:rsidR="0057104C" w:rsidRDefault="0057104C" w:rsidP="0057104C">
      <w:pPr>
        <w:pStyle w:val="TextoNormalNegritaCursivandice"/>
      </w:pPr>
      <w:r>
        <w:t>Real Decreto 102/2011, de 28 de enero. Mejora de la calidad del aire</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3" w:history="1">
        <w:r w:rsidRPr="0057104C">
          <w:rPr>
            <w:rStyle w:val="TextoNormalCaracter"/>
          </w:rPr>
          <w:t>53/2016</w:t>
        </w:r>
      </w:hyperlink>
      <w:r>
        <w:t>, f. 4, VPI.</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53" w:history="1">
        <w:r w:rsidRPr="0057104C">
          <w:rPr>
            <w:rStyle w:val="TextoNormalCaracter"/>
          </w:rPr>
          <w:t>53/2016</w:t>
        </w:r>
      </w:hyperlink>
      <w:r>
        <w:t>, f. 2.</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53" w:history="1">
        <w:r w:rsidRPr="0057104C">
          <w:rPr>
            <w:rStyle w:val="TextoNormalCaracter"/>
          </w:rPr>
          <w:t>53/2016</w:t>
        </w:r>
      </w:hyperlink>
      <w:r>
        <w:t>, f. 2.</w:t>
      </w:r>
    </w:p>
    <w:p w:rsidR="0057104C" w:rsidRDefault="0057104C" w:rsidP="0057104C">
      <w:pPr>
        <w:pStyle w:val="SangriaFrancesaArticulo"/>
      </w:pPr>
      <w:r w:rsidRPr="0057104C">
        <w:rPr>
          <w:rStyle w:val="TextoNormalNegritaCaracter"/>
        </w:rPr>
        <w:t>Artículo 1, último párrafo.</w:t>
      </w:r>
      <w:r w:rsidRPr="0057104C">
        <w:rPr>
          <w:rStyle w:val="TextoNormalCaracter"/>
        </w:rPr>
        <w:t>-</w:t>
      </w:r>
      <w:r>
        <w:t xml:space="preserve"> Sentencia </w:t>
      </w:r>
      <w:hyperlink w:anchor="SENTENCIA_2016_53" w:history="1">
        <w:r w:rsidRPr="0057104C">
          <w:rPr>
            <w:rStyle w:val="TextoNormalCaracter"/>
          </w:rPr>
          <w:t>53/2016</w:t>
        </w:r>
      </w:hyperlink>
      <w:r>
        <w:t>, f. 4.</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53" w:history="1">
        <w:r w:rsidRPr="0057104C">
          <w:rPr>
            <w:rStyle w:val="TextoNormalCaracter"/>
          </w:rPr>
          <w:t>53/2016</w:t>
        </w:r>
      </w:hyperlink>
      <w:r>
        <w:t>, f. 4.</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53" w:history="1">
        <w:r w:rsidRPr="0057104C">
          <w:rPr>
            <w:rStyle w:val="TextoNormalCaracter"/>
          </w:rPr>
          <w:t>53/2016</w:t>
        </w:r>
      </w:hyperlink>
      <w:r>
        <w:t>, f. 4.</w:t>
      </w:r>
    </w:p>
    <w:p w:rsidR="0057104C" w:rsidRDefault="0057104C" w:rsidP="0057104C">
      <w:pPr>
        <w:pStyle w:val="SangriaFrancesaArticulo"/>
      </w:pPr>
      <w:r w:rsidRPr="0057104C">
        <w:rPr>
          <w:rStyle w:val="TextoNormalNegritaCaracter"/>
        </w:rPr>
        <w:t>Artículo 3.1, último párrafo.</w:t>
      </w:r>
      <w:r w:rsidRPr="0057104C">
        <w:rPr>
          <w:rStyle w:val="TextoNormalCaracter"/>
        </w:rPr>
        <w:t>-</w:t>
      </w:r>
      <w:r>
        <w:t xml:space="preserve"> Sentencia </w:t>
      </w:r>
      <w:hyperlink w:anchor="SENTENCIA_2016_53" w:history="1">
        <w:r w:rsidRPr="0057104C">
          <w:rPr>
            <w:rStyle w:val="TextoNormalCaracter"/>
          </w:rPr>
          <w:t>53/2016</w:t>
        </w:r>
      </w:hyperlink>
      <w:r>
        <w:t>, ff. 1, 3, 4, VPI, VPII.</w:t>
      </w:r>
    </w:p>
    <w:p w:rsidR="0057104C" w:rsidRDefault="0057104C" w:rsidP="0057104C">
      <w:pPr>
        <w:pStyle w:val="SangriaFrancesaArticulo"/>
      </w:pPr>
      <w:r w:rsidRPr="0057104C">
        <w:rPr>
          <w:rStyle w:val="TextoNormalNegritaCaracter"/>
        </w:rPr>
        <w:t>Artículo 3.3 e).</w:t>
      </w:r>
      <w:r w:rsidRPr="0057104C">
        <w:rPr>
          <w:rStyle w:val="TextoNormalCaracter"/>
        </w:rPr>
        <w:t>-</w:t>
      </w:r>
      <w:r>
        <w:t xml:space="preserve"> Sentencia </w:t>
      </w:r>
      <w:hyperlink w:anchor="SENTENCIA_2016_53" w:history="1">
        <w:r w:rsidRPr="0057104C">
          <w:rPr>
            <w:rStyle w:val="TextoNormalCaracter"/>
          </w:rPr>
          <w:t>53/2016</w:t>
        </w:r>
      </w:hyperlink>
      <w:r>
        <w:t>, ff. 1, 5.</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53" w:history="1">
        <w:r w:rsidRPr="0057104C">
          <w:rPr>
            <w:rStyle w:val="TextoNormalCaracter"/>
          </w:rPr>
          <w:t>53/2016</w:t>
        </w:r>
      </w:hyperlink>
      <w:r>
        <w:t>, ff. 1, 3, 4, VPI, VPII.</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53" w:history="1">
        <w:r w:rsidRPr="0057104C">
          <w:rPr>
            <w:rStyle w:val="TextoNormalCaracter"/>
          </w:rPr>
          <w:t>53/2016</w:t>
        </w:r>
      </w:hyperlink>
      <w:r>
        <w:t>, ff. 3, 4, VPI.</w:t>
      </w:r>
    </w:p>
    <w:p w:rsidR="0057104C" w:rsidRDefault="0057104C" w:rsidP="0057104C">
      <w:pPr>
        <w:pStyle w:val="SangriaFrancesaArticulo"/>
      </w:pPr>
      <w:r w:rsidRPr="0057104C">
        <w:rPr>
          <w:rStyle w:val="TextoNormalNegritaCaracter"/>
        </w:rPr>
        <w:t>Artículo 9.2.</w:t>
      </w:r>
      <w:r w:rsidRPr="0057104C">
        <w:rPr>
          <w:rStyle w:val="TextoNormalCaracter"/>
        </w:rPr>
        <w:t>-</w:t>
      </w:r>
      <w:r>
        <w:t xml:space="preserve"> Sentencia </w:t>
      </w:r>
      <w:hyperlink w:anchor="SENTENCIA_2016_53" w:history="1">
        <w:r w:rsidRPr="0057104C">
          <w:rPr>
            <w:rStyle w:val="TextoNormalCaracter"/>
          </w:rPr>
          <w:t>53/2016</w:t>
        </w:r>
      </w:hyperlink>
      <w:r>
        <w:t>, ff. 1, 3, 4, VPII.</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53" w:history="1">
        <w:r w:rsidRPr="0057104C">
          <w:rPr>
            <w:rStyle w:val="TextoNormalCaracter"/>
          </w:rPr>
          <w:t>53/2016</w:t>
        </w:r>
      </w:hyperlink>
      <w:r>
        <w:t>, ff. 1, 3, 4, VPI, VPII.</w:t>
      </w:r>
    </w:p>
    <w:p w:rsidR="0057104C" w:rsidRDefault="0057104C" w:rsidP="0057104C">
      <w:pPr>
        <w:pStyle w:val="SangriaFrancesaArticulo"/>
      </w:pPr>
      <w:r w:rsidRPr="0057104C">
        <w:rPr>
          <w:rStyle w:val="TextoNormalNegritaCaracter"/>
        </w:rPr>
        <w:t>Artículo 12.1.</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r w:rsidRPr="0057104C">
        <w:rPr>
          <w:rStyle w:val="TextoNormalNegritaCaracter"/>
        </w:rPr>
        <w:t>Artículo 12.2.</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r w:rsidRPr="0057104C">
        <w:rPr>
          <w:rStyle w:val="TextoNormalNegritaCaracter"/>
        </w:rPr>
        <w:t>Artículo 12.3.</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r w:rsidRPr="0057104C">
        <w:rPr>
          <w:rStyle w:val="TextoNormalNegritaCaracter"/>
        </w:rPr>
        <w:t>Artículo 24.4.</w:t>
      </w:r>
      <w:r w:rsidRPr="0057104C">
        <w:rPr>
          <w:rStyle w:val="TextoNormalCaracter"/>
        </w:rPr>
        <w:t>-</w:t>
      </w:r>
      <w:r>
        <w:t xml:space="preserve"> Sentencia </w:t>
      </w:r>
      <w:hyperlink w:anchor="SENTENCIA_2016_53" w:history="1">
        <w:r w:rsidRPr="0057104C">
          <w:rPr>
            <w:rStyle w:val="TextoNormalCaracter"/>
          </w:rPr>
          <w:t>53/2016</w:t>
        </w:r>
      </w:hyperlink>
      <w:r>
        <w:t>, ff. 1, 5.</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53" w:history="1">
        <w:r w:rsidRPr="0057104C">
          <w:rPr>
            <w:rStyle w:val="TextoNormalCaracter"/>
          </w:rPr>
          <w:t>53/2016</w:t>
        </w:r>
      </w:hyperlink>
      <w:r>
        <w:t>, f. 2, VPII.</w:t>
      </w:r>
    </w:p>
    <w:p w:rsidR="0057104C" w:rsidRDefault="0057104C" w:rsidP="0057104C">
      <w:pPr>
        <w:pStyle w:val="SangriaFrancesaArticulo"/>
      </w:pPr>
      <w:r w:rsidRPr="0057104C">
        <w:rPr>
          <w:rStyle w:val="TextoNormalNegritaCaracter"/>
        </w:rPr>
        <w:t>Anexo III, apartados II, III, IV.</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r w:rsidRPr="0057104C">
        <w:rPr>
          <w:rStyle w:val="TextoNormalNegritaCaracter"/>
        </w:rPr>
        <w:t>Anexo V, apartado I.</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r w:rsidRPr="0057104C">
        <w:rPr>
          <w:rStyle w:val="TextoNormalNegritaCaracter"/>
        </w:rPr>
        <w:t>Anexo VIII.</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r w:rsidRPr="0057104C">
        <w:rPr>
          <w:rStyle w:val="TextoNormalNegritaCaracter"/>
        </w:rPr>
        <w:t>Anexo XII.</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p>
    <w:p w:rsidR="0057104C" w:rsidRDefault="0057104C" w:rsidP="0057104C">
      <w:pPr>
        <w:pStyle w:val="TextoNormalNegritaCursivandice"/>
      </w:pPr>
      <w:r>
        <w:t>Real Decreto 174/2011, de 11 de febrero. Aprueba el baremo de valoración de la situación de dependencia establecido por la Ley 39/2006, de 14 de diciembre, de promoción de la autonomía personal y atención a las personas en situación de dependencia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4" w:history="1">
        <w:r w:rsidRPr="0057104C">
          <w:rPr>
            <w:rStyle w:val="TextoNormalCaracter"/>
          </w:rPr>
          <w:t>34/2016</w:t>
        </w:r>
      </w:hyperlink>
      <w:r>
        <w:t>, f. 5.</w:t>
      </w:r>
    </w:p>
    <w:p w:rsidR="0057104C" w:rsidRDefault="0057104C" w:rsidP="0057104C">
      <w:pPr>
        <w:pStyle w:val="SangriaFrancesaArticulo"/>
      </w:pPr>
    </w:p>
    <w:p w:rsidR="0057104C" w:rsidRDefault="0057104C" w:rsidP="0057104C">
      <w:pPr>
        <w:pStyle w:val="TextoNormalNegritaCursivandice"/>
      </w:pPr>
      <w:r>
        <w:t>Real Decreto 1147/2011, de 29 de julio. Se establece la ordenación general de la formación profesional del sistema educativo</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26" w:history="1">
        <w:r w:rsidRPr="0057104C">
          <w:rPr>
            <w:rStyle w:val="TextoNormalCaracter"/>
          </w:rPr>
          <w:t>26/2016</w:t>
        </w:r>
      </w:hyperlink>
      <w:r>
        <w:t>, f. 5.</w:t>
      </w:r>
    </w:p>
    <w:p w:rsidR="0057104C" w:rsidRDefault="0057104C" w:rsidP="0057104C">
      <w:pPr>
        <w:pStyle w:val="SangriaFrancesaArticulo"/>
      </w:pPr>
    </w:p>
    <w:p w:rsidR="0057104C" w:rsidRDefault="0057104C" w:rsidP="0057104C">
      <w:pPr>
        <w:pStyle w:val="TextoNormalNegritaCursivandice"/>
      </w:pPr>
      <w:r>
        <w:t>Orden EHA/2899/2011, de 28 de octubre. Transparencia y protección del cliente de servicios bancarios</w:t>
      </w:r>
    </w:p>
    <w:p w:rsidR="0057104C" w:rsidRDefault="0057104C" w:rsidP="0057104C">
      <w:pPr>
        <w:pStyle w:val="SangriaFrancesaArticulo"/>
      </w:pPr>
      <w:r w:rsidRPr="0057104C">
        <w:rPr>
          <w:rStyle w:val="TextoNormalNegritaCaracter"/>
        </w:rPr>
        <w:t>Artículo 18.6.</w:t>
      </w:r>
      <w:r w:rsidRPr="0057104C">
        <w:rPr>
          <w:rStyle w:val="TextoNormalCaracter"/>
        </w:rPr>
        <w:t>-</w:t>
      </w:r>
      <w:r>
        <w:t xml:space="preserve"> Auto </w:t>
      </w:r>
      <w:hyperlink w:anchor="AUTO_2016_72" w:history="1">
        <w:r w:rsidRPr="0057104C">
          <w:rPr>
            <w:rStyle w:val="TextoNormalCaracter"/>
          </w:rPr>
          <w:t>72/2016</w:t>
        </w:r>
      </w:hyperlink>
      <w:r>
        <w:t>, f. 4.</w:t>
      </w:r>
    </w:p>
    <w:p w:rsidR="0057104C" w:rsidRDefault="0057104C" w:rsidP="0057104C">
      <w:pPr>
        <w:pStyle w:val="SangriaFrancesaArticulo"/>
      </w:pPr>
    </w:p>
    <w:p w:rsidR="0057104C" w:rsidRDefault="0057104C" w:rsidP="0057104C">
      <w:pPr>
        <w:pStyle w:val="TextoNormalNegritaCursivandice"/>
      </w:pPr>
      <w:r>
        <w:t>Orden IET/843/2012, de 25 de abril. Se establecen los peajes de acceso a partir de 1 de abril de 2012 y determinadas tarifas y primas de las instalaciones del régimen especial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Disposición adicional cuarta.</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Disposición adicional quinta.</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p>
    <w:p w:rsidR="0057104C" w:rsidRDefault="0057104C" w:rsidP="0057104C">
      <w:pPr>
        <w:pStyle w:val="TextoNormalNegritaCursivandice"/>
      </w:pPr>
      <w:r>
        <w:t>Resolución de 13 de julio de 2012, de la Secretaría de Estado de Servicios Sociales e Igualdad. Publicación del Acuerdo del Consejo Territorial del Sistema para la Autonomía y Atención a la Dependencia para la mejora del sistema para la autonomía y atención a la dependencia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p>
    <w:p w:rsidR="0057104C" w:rsidRDefault="0057104C" w:rsidP="0057104C">
      <w:pPr>
        <w:pStyle w:val="TextoNormalNegritaCursivandice"/>
      </w:pPr>
      <w:r>
        <w:t>Real Decreto 235/2013, de 5 de abril. Se aprueba el procedimiento básico para la certificación de la eficiencia energética de los edificios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7" w:history="1">
        <w:r w:rsidRPr="0057104C">
          <w:rPr>
            <w:rStyle w:val="TextoNormalCaracter"/>
          </w:rPr>
          <w:t>57/2016</w:t>
        </w:r>
      </w:hyperlink>
      <w:r>
        <w:t>, ff. 4, 8.</w:t>
      </w:r>
    </w:p>
    <w:p w:rsidR="0057104C" w:rsidRDefault="0057104C" w:rsidP="0057104C">
      <w:pPr>
        <w:pStyle w:val="SangriaFrancesaArticulo"/>
      </w:pPr>
    </w:p>
    <w:p w:rsidR="0057104C" w:rsidRDefault="0057104C" w:rsidP="0057104C">
      <w:pPr>
        <w:pStyle w:val="TextoNormalNegritaCursivandice"/>
      </w:pPr>
      <w:r>
        <w:t>Real Decreto 515/2013, de 5 de julio. Regula los criterios y el procedimiento para determinar y repercutir las responsabilidades por incumplimiento del Derecho de la Unión Europea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1" w:history="1">
        <w:r w:rsidRPr="0057104C">
          <w:rPr>
            <w:rStyle w:val="TextoNormalCaracter"/>
          </w:rPr>
          <w:t>31/2016</w:t>
        </w:r>
      </w:hyperlink>
      <w:r>
        <w:t>.</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31" w:history="1">
        <w:r w:rsidRPr="0057104C">
          <w:rPr>
            <w:rStyle w:val="TextoNormalCaracter"/>
          </w:rPr>
          <w:t>31/2016</w:t>
        </w:r>
      </w:hyperlink>
      <w:r>
        <w:t>, ff. 1, 2, 4.</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31" w:history="1">
        <w:r w:rsidRPr="0057104C">
          <w:rPr>
            <w:rStyle w:val="TextoNormalCaracter"/>
          </w:rPr>
          <w:t>31/2016</w:t>
        </w:r>
      </w:hyperlink>
      <w:r>
        <w:t>, ff. 1, 2, 4.</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31" w:history="1">
        <w:r w:rsidRPr="0057104C">
          <w:rPr>
            <w:rStyle w:val="TextoNormalCaracter"/>
          </w:rPr>
          <w:t>31/2016</w:t>
        </w:r>
      </w:hyperlink>
      <w:r>
        <w:t>, ff. 1, 2.</w:t>
      </w:r>
    </w:p>
    <w:p w:rsidR="0057104C" w:rsidRDefault="0057104C" w:rsidP="0057104C">
      <w:pPr>
        <w:pStyle w:val="SangriaFrancesaArticulo"/>
      </w:pPr>
      <w:r w:rsidRPr="0057104C">
        <w:rPr>
          <w:rStyle w:val="TextoNormalNegritaCaracter"/>
        </w:rPr>
        <w:t>Artículo 5.3.</w:t>
      </w:r>
      <w:r w:rsidRPr="0057104C">
        <w:rPr>
          <w:rStyle w:val="TextoNormalCaracter"/>
        </w:rPr>
        <w:t>-</w:t>
      </w:r>
      <w:r>
        <w:t xml:space="preserve"> Sentencia </w:t>
      </w:r>
      <w:hyperlink w:anchor="SENTENCIA_2016_31" w:history="1">
        <w:r w:rsidRPr="0057104C">
          <w:rPr>
            <w:rStyle w:val="TextoNormalCaracter"/>
          </w:rPr>
          <w:t>31/2016</w:t>
        </w:r>
      </w:hyperlink>
      <w:r>
        <w:t>, ff. 1, 2, 4.</w:t>
      </w:r>
    </w:p>
    <w:p w:rsidR="0057104C" w:rsidRDefault="0057104C" w:rsidP="0057104C">
      <w:pPr>
        <w:pStyle w:val="SangriaFrancesaArticulo"/>
      </w:pPr>
      <w:r w:rsidRPr="0057104C">
        <w:rPr>
          <w:rStyle w:val="TextoNormalNegritaCaracter"/>
        </w:rPr>
        <w:t>Artículo 5.4.</w:t>
      </w:r>
      <w:r w:rsidRPr="0057104C">
        <w:rPr>
          <w:rStyle w:val="TextoNormalCaracter"/>
        </w:rPr>
        <w:t>-</w:t>
      </w:r>
      <w:r>
        <w:t xml:space="preserve"> Sentencia </w:t>
      </w:r>
      <w:hyperlink w:anchor="SENTENCIA_2016_31" w:history="1">
        <w:r w:rsidRPr="0057104C">
          <w:rPr>
            <w:rStyle w:val="TextoNormalCaracter"/>
          </w:rPr>
          <w:t>31/2016</w:t>
        </w:r>
      </w:hyperlink>
      <w:r>
        <w:t>, ff. 1, 2, 4.</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31" w:history="1">
        <w:r w:rsidRPr="0057104C">
          <w:rPr>
            <w:rStyle w:val="TextoNormalCaracter"/>
          </w:rPr>
          <w:t>31/2016</w:t>
        </w:r>
      </w:hyperlink>
      <w:r>
        <w:t>, ff. 1, 2.</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31" w:history="1">
        <w:r w:rsidRPr="0057104C">
          <w:rPr>
            <w:rStyle w:val="TextoNormalCaracter"/>
          </w:rPr>
          <w:t>31/2016</w:t>
        </w:r>
      </w:hyperlink>
      <w:r>
        <w:t>, ff. 1, 2.</w:t>
      </w:r>
    </w:p>
    <w:p w:rsidR="0057104C" w:rsidRDefault="0057104C" w:rsidP="0057104C">
      <w:pPr>
        <w:pStyle w:val="SangriaFrancesaArticulo"/>
      </w:pPr>
      <w:r w:rsidRPr="0057104C">
        <w:rPr>
          <w:rStyle w:val="TextoNormalNegritaCaracter"/>
        </w:rPr>
        <w:t>Artículo 7.2.</w:t>
      </w:r>
      <w:r w:rsidRPr="0057104C">
        <w:rPr>
          <w:rStyle w:val="TextoNormalCaracter"/>
        </w:rPr>
        <w:t>-</w:t>
      </w:r>
      <w:r>
        <w:t xml:space="preserve"> Sentencia </w:t>
      </w:r>
      <w:hyperlink w:anchor="SENTENCIA_2016_70" w:history="1">
        <w:r w:rsidRPr="0057104C">
          <w:rPr>
            <w:rStyle w:val="TextoNormalCaracter"/>
          </w:rPr>
          <w:t>70/2016</w:t>
        </w:r>
      </w:hyperlink>
      <w:r>
        <w:t>, f. 7.</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31" w:history="1">
        <w:r w:rsidRPr="0057104C">
          <w:rPr>
            <w:rStyle w:val="TextoNormalCaracter"/>
          </w:rPr>
          <w:t>31/2016</w:t>
        </w:r>
      </w:hyperlink>
      <w:r>
        <w:t>, ff. 1, 2.</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31" w:history="1">
        <w:r w:rsidRPr="0057104C">
          <w:rPr>
            <w:rStyle w:val="TextoNormalCaracter"/>
          </w:rPr>
          <w:t>31/2016</w:t>
        </w:r>
      </w:hyperlink>
      <w:r>
        <w:t>, ff. 1, 2, 4.</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31" w:history="1">
        <w:r w:rsidRPr="0057104C">
          <w:rPr>
            <w:rStyle w:val="TextoNormalCaracter"/>
          </w:rPr>
          <w:t>31/2016</w:t>
        </w:r>
      </w:hyperlink>
      <w:r>
        <w:t>, ff. 1, 2.</w:t>
      </w:r>
    </w:p>
    <w:p w:rsidR="0057104C" w:rsidRDefault="0057104C" w:rsidP="0057104C">
      <w:pPr>
        <w:pStyle w:val="SangriaFrancesaArticulo"/>
      </w:pPr>
      <w:r w:rsidRPr="0057104C">
        <w:rPr>
          <w:rStyle w:val="TextoNormalNegritaCaracter"/>
        </w:rPr>
        <w:t>Artículo 12.1.</w:t>
      </w:r>
      <w:r w:rsidRPr="0057104C">
        <w:rPr>
          <w:rStyle w:val="TextoNormalCaracter"/>
        </w:rPr>
        <w:t>-</w:t>
      </w:r>
      <w:r>
        <w:t xml:space="preserve"> Sentencia </w:t>
      </w:r>
      <w:hyperlink w:anchor="SENTENCIA_2016_31" w:history="1">
        <w:r w:rsidRPr="0057104C">
          <w:rPr>
            <w:rStyle w:val="TextoNormalCaracter"/>
          </w:rPr>
          <w:t>31/2016</w:t>
        </w:r>
      </w:hyperlink>
      <w:r>
        <w:t>, ff. 1, 2.</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31" w:history="1">
        <w:r w:rsidRPr="0057104C">
          <w:rPr>
            <w:rStyle w:val="TextoNormalCaracter"/>
          </w:rPr>
          <w:t>31/2016</w:t>
        </w:r>
      </w:hyperlink>
      <w:r>
        <w:t>, ff. 1, 2.</w:t>
      </w:r>
    </w:p>
    <w:p w:rsidR="0057104C" w:rsidRDefault="0057104C" w:rsidP="0057104C">
      <w:pPr>
        <w:pStyle w:val="SangriaFrancesaArticulo"/>
      </w:pPr>
      <w:r w:rsidRPr="0057104C">
        <w:rPr>
          <w:rStyle w:val="TextoNormalNegritaCaracter"/>
        </w:rPr>
        <w:t>Disposición adicional segunda, apartado 2.</w:t>
      </w:r>
      <w:r w:rsidRPr="0057104C">
        <w:rPr>
          <w:rStyle w:val="TextoNormalCaracter"/>
        </w:rPr>
        <w:t>-</w:t>
      </w:r>
      <w:r>
        <w:t xml:space="preserve"> Sentencia </w:t>
      </w:r>
      <w:hyperlink w:anchor="SENTENCIA_2016_31" w:history="1">
        <w:r w:rsidRPr="0057104C">
          <w:rPr>
            <w:rStyle w:val="TextoNormalCaracter"/>
          </w:rPr>
          <w:t>31/2016</w:t>
        </w:r>
      </w:hyperlink>
      <w:r>
        <w:t>, ff. 1, 2, 4.</w:t>
      </w:r>
    </w:p>
    <w:p w:rsidR="0057104C" w:rsidRDefault="0057104C" w:rsidP="0057104C">
      <w:pPr>
        <w:pStyle w:val="SangriaFrancesaArticulo"/>
      </w:pPr>
    </w:p>
    <w:p w:rsidR="0057104C" w:rsidRDefault="0057104C" w:rsidP="0057104C">
      <w:pPr>
        <w:pStyle w:val="TextoNormalNegritaCursivandice"/>
      </w:pPr>
      <w:r>
        <w:t>Resolución de 10 de julio de 2013, de la Secretaría General de Coordinación Autonómica y Local. Publicación del Acuerdo de la Junta de Cooperación Administración General del Estado-Comunidad Foral de Navarra en relación con la Ley Foral 15/2013, de 17 de abril, de modificación de determinados artículos de la Ley 17/2001, de 12 de julio, reguladora del comercio en Navarra.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9" w:history="1">
        <w:r w:rsidRPr="0057104C">
          <w:rPr>
            <w:rStyle w:val="TextoNormalCaracter"/>
          </w:rPr>
          <w:t>59/2016</w:t>
        </w:r>
      </w:hyperlink>
      <w:r>
        <w:t>, f. 2.</w:t>
      </w:r>
    </w:p>
    <w:p w:rsidR="0057104C" w:rsidRDefault="0057104C" w:rsidP="0057104C">
      <w:pPr>
        <w:pStyle w:val="SangriaFrancesaArticulo"/>
      </w:pPr>
    </w:p>
    <w:p w:rsidR="0057104C" w:rsidRDefault="0057104C" w:rsidP="0057104C">
      <w:pPr>
        <w:pStyle w:val="TextoNormalNegritaCursivandice"/>
      </w:pPr>
      <w:r>
        <w:t>Real Decreto 609/2013, de 2 de agosto. Establece los umbrales de renta y patrimonio familiar y las cuantías de las becas y ayudas al estudio para e</w:t>
      </w:r>
      <w:r w:rsidR="00DC1C29">
        <w:fldChar w:fldCharType="begin"/>
      </w:r>
      <w:r w:rsidR="00DC1C29">
        <w:instrText xml:space="preserve"> PAGEREF SUMARIOSINDICES \h </w:instrText>
      </w:r>
      <w:r w:rsidR="00DC1C29">
        <w:fldChar w:fldCharType="separate"/>
      </w:r>
      <w:r w:rsidR="00C13A87">
        <w:rPr>
          <w:noProof/>
        </w:rPr>
        <w:t>2</w:t>
      </w:r>
      <w:r w:rsidR="00DC1C29">
        <w:fldChar w:fldCharType="end"/>
      </w:r>
      <w:r>
        <w:t>l curso 2013-2014, y modifica parcialmente el Real Decreto 1721/2007, de 21 de diciembre, por el que se establece el régimen de las becas y ayudas al estudio personalizadas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95" w:history="1">
        <w:r w:rsidRPr="0057104C">
          <w:rPr>
            <w:rStyle w:val="TextoNormalCaracter"/>
          </w:rPr>
          <w:t>95/2016</w:t>
        </w:r>
      </w:hyperlink>
      <w:r>
        <w:t>, ff. 3 a 5 VP.</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 </w:t>
      </w:r>
      <w:hyperlink w:anchor="SENTENCIA_2016_95" w:history="1">
        <w:r w:rsidRPr="0057104C">
          <w:rPr>
            <w:rStyle w:val="TextoNormalCaracter"/>
          </w:rPr>
          <w:t>95/2016</w:t>
        </w:r>
      </w:hyperlink>
      <w:r>
        <w:t>, ff. 1, 2, 4, 5.</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95" w:history="1">
        <w:r w:rsidRPr="0057104C">
          <w:rPr>
            <w:rStyle w:val="TextoNormalCaracter"/>
          </w:rPr>
          <w:t>95/2016</w:t>
        </w:r>
      </w:hyperlink>
      <w:r>
        <w:t>, ff. 1, 2, 4, 5.</w:t>
      </w:r>
    </w:p>
    <w:p w:rsidR="0057104C" w:rsidRDefault="0057104C" w:rsidP="0057104C">
      <w:pPr>
        <w:pStyle w:val="SangriaFrancesaArticulo"/>
      </w:pPr>
      <w:r w:rsidRPr="0057104C">
        <w:rPr>
          <w:rStyle w:val="TextoNormalNegritaCaracter"/>
        </w:rPr>
        <w:t>Disposición adicional tercera, apartado 5.</w:t>
      </w:r>
      <w:r w:rsidRPr="0057104C">
        <w:rPr>
          <w:rStyle w:val="TextoNormalCaracter"/>
        </w:rPr>
        <w:t>-</w:t>
      </w:r>
      <w:r>
        <w:t xml:space="preserve"> Sentencia </w:t>
      </w:r>
      <w:hyperlink w:anchor="SENTENCIA_2016_95" w:history="1">
        <w:r w:rsidRPr="0057104C">
          <w:rPr>
            <w:rStyle w:val="TextoNormalCaracter"/>
          </w:rPr>
          <w:t>95/2016</w:t>
        </w:r>
      </w:hyperlink>
      <w:r>
        <w:t>, ff. 1, 2, 6.</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95" w:history="1">
        <w:r w:rsidRPr="0057104C">
          <w:rPr>
            <w:rStyle w:val="TextoNormalCaracter"/>
          </w:rPr>
          <w:t>95/2016</w:t>
        </w:r>
      </w:hyperlink>
      <w:r>
        <w:t>, f. 2.</w:t>
      </w:r>
    </w:p>
    <w:p w:rsidR="0057104C" w:rsidRDefault="0057104C" w:rsidP="0057104C">
      <w:pPr>
        <w:pStyle w:val="SangriaFrancesaArticulo"/>
      </w:pPr>
      <w:r w:rsidRPr="0057104C">
        <w:rPr>
          <w:rStyle w:val="TextoNormalNegritaCaracter"/>
        </w:rPr>
        <w:t>Disposición final primera, inciso 1.</w:t>
      </w:r>
      <w:r w:rsidRPr="0057104C">
        <w:rPr>
          <w:rStyle w:val="TextoNormalCaracter"/>
        </w:rPr>
        <w:t>-</w:t>
      </w:r>
      <w:r>
        <w:t xml:space="preserve"> Sentencia </w:t>
      </w:r>
      <w:hyperlink w:anchor="SENTENCIA_2016_95" w:history="1">
        <w:r w:rsidRPr="0057104C">
          <w:rPr>
            <w:rStyle w:val="TextoNormalCaracter"/>
          </w:rPr>
          <w:t>95/2016</w:t>
        </w:r>
      </w:hyperlink>
      <w:r>
        <w:t>, ff. 7, 8.</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95" w:history="1">
        <w:r w:rsidRPr="0057104C">
          <w:rPr>
            <w:rStyle w:val="TextoNormalCaracter"/>
          </w:rPr>
          <w:t>95/2016</w:t>
        </w:r>
      </w:hyperlink>
      <w:r>
        <w:t>, ff. 2, 4.</w:t>
      </w:r>
    </w:p>
    <w:p w:rsidR="0057104C" w:rsidRDefault="0057104C" w:rsidP="0057104C">
      <w:pPr>
        <w:pStyle w:val="SangriaFrancesaArticulo"/>
      </w:pPr>
      <w:r w:rsidRPr="0057104C">
        <w:rPr>
          <w:rStyle w:val="TextoNormalNegritaCaracter"/>
        </w:rPr>
        <w:t>Disposición final segunda, apartado 18.</w:t>
      </w:r>
      <w:r w:rsidRPr="0057104C">
        <w:rPr>
          <w:rStyle w:val="TextoNormalCaracter"/>
        </w:rPr>
        <w:t>-</w:t>
      </w:r>
      <w:r>
        <w:t xml:space="preserve"> Sentencia </w:t>
      </w:r>
      <w:hyperlink w:anchor="SENTENCIA_2016_95" w:history="1">
        <w:r w:rsidRPr="0057104C">
          <w:rPr>
            <w:rStyle w:val="TextoNormalCaracter"/>
          </w:rPr>
          <w:t>95/2016</w:t>
        </w:r>
      </w:hyperlink>
      <w:r>
        <w:t>, ff. 1, 2, 4, 5.</w:t>
      </w:r>
    </w:p>
    <w:p w:rsidR="0057104C" w:rsidRDefault="0057104C" w:rsidP="0057104C">
      <w:pPr>
        <w:pStyle w:val="SangriaFrancesaArticulo"/>
      </w:pPr>
      <w:r w:rsidRPr="0057104C">
        <w:rPr>
          <w:rStyle w:val="TextoNormalNegritaCaracter"/>
        </w:rPr>
        <w:t>Disposición final segunda, apartado 3.</w:t>
      </w:r>
      <w:r w:rsidRPr="0057104C">
        <w:rPr>
          <w:rStyle w:val="TextoNormalCaracter"/>
        </w:rPr>
        <w:t>-</w:t>
      </w:r>
      <w:r>
        <w:t xml:space="preserve"> Sentencia </w:t>
      </w:r>
      <w:hyperlink w:anchor="SENTENCIA_2016_95" w:history="1">
        <w:r w:rsidRPr="0057104C">
          <w:rPr>
            <w:rStyle w:val="TextoNormalCaracter"/>
          </w:rPr>
          <w:t>95/2016</w:t>
        </w:r>
      </w:hyperlink>
      <w:r>
        <w:t>, ff. 1, 2, 4, 5.</w:t>
      </w:r>
    </w:p>
    <w:p w:rsidR="0057104C" w:rsidRDefault="0057104C" w:rsidP="0057104C">
      <w:pPr>
        <w:pStyle w:val="SangriaFrancesaArticulo"/>
      </w:pPr>
    </w:p>
    <w:p w:rsidR="0057104C" w:rsidRDefault="0057104C" w:rsidP="0057104C">
      <w:pPr>
        <w:pStyle w:val="TextoNormalNegritaCursivandice"/>
      </w:pPr>
      <w:r>
        <w:t>Resolución de 13 de agosto de 2013, de la Secretaría de Estado de Educación, Formación Profesional y Universidades. Convocatoria de ayudas para alumnado con necesidad específica de apoyo educativo para el curso académico 2013-2014</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95" w:history="1">
        <w:r w:rsidRPr="0057104C">
          <w:rPr>
            <w:rStyle w:val="TextoNormalCaracter"/>
          </w:rPr>
          <w:t>95/2016</w:t>
        </w:r>
      </w:hyperlink>
      <w:r>
        <w:t>, f. 5.</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95" w:history="1">
        <w:r w:rsidRPr="0057104C">
          <w:rPr>
            <w:rStyle w:val="TextoNormalCaracter"/>
          </w:rPr>
          <w:t>95/2016</w:t>
        </w:r>
      </w:hyperlink>
      <w:r>
        <w:t>, f. 5.</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95" w:history="1">
        <w:r w:rsidRPr="0057104C">
          <w:rPr>
            <w:rStyle w:val="TextoNormalCaracter"/>
          </w:rPr>
          <w:t>95/2016</w:t>
        </w:r>
      </w:hyperlink>
      <w:r>
        <w:t>, ff. 1, 2, 4, 5.</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Sentencia </w:t>
      </w:r>
      <w:hyperlink w:anchor="SENTENCIA_2016_95" w:history="1">
        <w:r w:rsidRPr="0057104C">
          <w:rPr>
            <w:rStyle w:val="TextoNormalCaracter"/>
          </w:rPr>
          <w:t>95/2016</w:t>
        </w:r>
      </w:hyperlink>
      <w:r>
        <w:t>, ff. 1, 2, 4, 5.</w:t>
      </w:r>
    </w:p>
    <w:p w:rsidR="0057104C" w:rsidRDefault="0057104C" w:rsidP="0057104C">
      <w:pPr>
        <w:pStyle w:val="SangriaFrancesaArticulo"/>
      </w:pPr>
      <w:r w:rsidRPr="0057104C">
        <w:rPr>
          <w:rStyle w:val="TextoNormalNegritaCaracter"/>
        </w:rPr>
        <w:t>Artículo 50.6.</w:t>
      </w:r>
      <w:r w:rsidRPr="0057104C">
        <w:rPr>
          <w:rStyle w:val="TextoNormalCaracter"/>
        </w:rPr>
        <w:t>-</w:t>
      </w:r>
      <w:r>
        <w:t xml:space="preserve"> Sentencia </w:t>
      </w:r>
      <w:hyperlink w:anchor="SENTENCIA_2016_95" w:history="1">
        <w:r w:rsidRPr="0057104C">
          <w:rPr>
            <w:rStyle w:val="TextoNormalCaracter"/>
          </w:rPr>
          <w:t>95/2016</w:t>
        </w:r>
      </w:hyperlink>
      <w:r>
        <w:t>, ff. 1, 2, 4, 5.</w:t>
      </w:r>
    </w:p>
    <w:p w:rsidR="0057104C" w:rsidRDefault="0057104C" w:rsidP="0057104C">
      <w:pPr>
        <w:pStyle w:val="SangriaFrancesaArticulo"/>
      </w:pPr>
      <w:r w:rsidRPr="0057104C">
        <w:rPr>
          <w:rStyle w:val="TextoNormalNegritaCaracter"/>
        </w:rPr>
        <w:t>Artículo 50.7.</w:t>
      </w:r>
      <w:r w:rsidRPr="0057104C">
        <w:rPr>
          <w:rStyle w:val="TextoNormalCaracter"/>
        </w:rPr>
        <w:t>-</w:t>
      </w:r>
      <w:r>
        <w:t xml:space="preserve"> Sentencia </w:t>
      </w:r>
      <w:hyperlink w:anchor="SENTENCIA_2016_95" w:history="1">
        <w:r w:rsidRPr="0057104C">
          <w:rPr>
            <w:rStyle w:val="TextoNormalCaracter"/>
          </w:rPr>
          <w:t>95/2016</w:t>
        </w:r>
      </w:hyperlink>
      <w:r>
        <w:t>, ff. 1, 2, 4, 5.</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95" w:history="1">
        <w:r w:rsidRPr="0057104C">
          <w:rPr>
            <w:rStyle w:val="TextoNormalCaracter"/>
          </w:rPr>
          <w:t>95/2016</w:t>
        </w:r>
      </w:hyperlink>
      <w:r>
        <w:t>, f. 5.</w:t>
      </w:r>
    </w:p>
    <w:p w:rsidR="0057104C" w:rsidRDefault="0057104C" w:rsidP="0057104C">
      <w:pPr>
        <w:pStyle w:val="SangriaFrancesaArticulo"/>
      </w:pPr>
      <w:r w:rsidRPr="0057104C">
        <w:rPr>
          <w:rStyle w:val="TextoNormalNegritaCaracter"/>
        </w:rPr>
        <w:t>Disposición transitoria primera, apartado 2.</w:t>
      </w:r>
      <w:r w:rsidRPr="0057104C">
        <w:rPr>
          <w:rStyle w:val="TextoNormalCaracter"/>
        </w:rPr>
        <w:t>-</w:t>
      </w:r>
      <w:r>
        <w:t xml:space="preserve"> Sentencia </w:t>
      </w:r>
      <w:hyperlink w:anchor="SENTENCIA_2016_95" w:history="1">
        <w:r w:rsidRPr="0057104C">
          <w:rPr>
            <w:rStyle w:val="TextoNormalCaracter"/>
          </w:rPr>
          <w:t>95/2016</w:t>
        </w:r>
      </w:hyperlink>
      <w:r>
        <w:t>, ff. 1, 2, 4, 5.</w:t>
      </w:r>
    </w:p>
    <w:p w:rsidR="0057104C" w:rsidRDefault="0057104C" w:rsidP="0057104C">
      <w:pPr>
        <w:pStyle w:val="SangriaFrancesaArticulo"/>
      </w:pPr>
    </w:p>
    <w:p w:rsidR="0057104C" w:rsidRDefault="0057104C" w:rsidP="0057104C">
      <w:pPr>
        <w:pStyle w:val="TextoNormalNegritaCursivandice"/>
      </w:pPr>
      <w:r>
        <w:t>Real Decreto 1048/2013, de 27 de diciembre. Establece la metodología para el cálculo de la retribución de la actividad de distribución de energía eléctrica</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120" w:history="1">
        <w:r w:rsidRPr="0057104C">
          <w:rPr>
            <w:rStyle w:val="TextoNormalCaracter"/>
          </w:rPr>
          <w:t>120/2016</w:t>
        </w:r>
      </w:hyperlink>
      <w:r>
        <w:t>, f. 2.</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120" w:history="1">
        <w:r w:rsidRPr="0057104C">
          <w:rPr>
            <w:rStyle w:val="TextoNormalCaracter"/>
          </w:rPr>
          <w:t>120/2016</w:t>
        </w:r>
      </w:hyperlink>
      <w:r>
        <w:t>, f. 10.</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120" w:history="1">
        <w:r w:rsidRPr="0057104C">
          <w:rPr>
            <w:rStyle w:val="TextoNormalCaracter"/>
          </w:rPr>
          <w:t>120/2016</w:t>
        </w:r>
      </w:hyperlink>
      <w:r>
        <w:t>, f. 5.</w:t>
      </w:r>
    </w:p>
    <w:p w:rsidR="0057104C" w:rsidRDefault="0057104C" w:rsidP="0057104C">
      <w:pPr>
        <w:pStyle w:val="SangriaFrancesaArticulo"/>
      </w:pPr>
      <w:r w:rsidRPr="0057104C">
        <w:rPr>
          <w:rStyle w:val="TextoNormalNegritaCaracter"/>
        </w:rPr>
        <w:t>Artículo 8.4.</w:t>
      </w:r>
      <w:r w:rsidRPr="0057104C">
        <w:rPr>
          <w:rStyle w:val="TextoNormalCaracter"/>
        </w:rPr>
        <w:t>-</w:t>
      </w:r>
      <w:r>
        <w:t xml:space="preserve"> Sentencia </w:t>
      </w:r>
      <w:hyperlink w:anchor="SENTENCIA_2016_120" w:history="1">
        <w:r w:rsidRPr="0057104C">
          <w:rPr>
            <w:rStyle w:val="TextoNormalCaracter"/>
          </w:rPr>
          <w:t>120/2016</w:t>
        </w:r>
      </w:hyperlink>
      <w:r>
        <w:t>, ff. 1, 5, 7.</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120" w:history="1">
        <w:r w:rsidRPr="0057104C">
          <w:rPr>
            <w:rStyle w:val="TextoNormalCaracter"/>
          </w:rPr>
          <w:t>120/2016</w:t>
        </w:r>
      </w:hyperlink>
      <w:r>
        <w:t>, f. 10.</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120" w:history="1">
        <w:r w:rsidRPr="0057104C">
          <w:rPr>
            <w:rStyle w:val="TextoNormalCaracter"/>
          </w:rPr>
          <w:t>120/2016</w:t>
        </w:r>
      </w:hyperlink>
      <w:r>
        <w:t>, f. 10.</w:t>
      </w:r>
    </w:p>
    <w:p w:rsidR="0057104C" w:rsidRDefault="0057104C" w:rsidP="0057104C">
      <w:pPr>
        <w:pStyle w:val="SangriaFrancesaArticulo"/>
      </w:pPr>
      <w:r w:rsidRPr="0057104C">
        <w:rPr>
          <w:rStyle w:val="TextoNormalNegritaCaracter"/>
        </w:rPr>
        <w:t>Artículo 11.2.</w:t>
      </w:r>
      <w:r w:rsidRPr="0057104C">
        <w:rPr>
          <w:rStyle w:val="TextoNormalCaracter"/>
        </w:rPr>
        <w:t>-</w:t>
      </w:r>
      <w:r>
        <w:t xml:space="preserve"> Sentencia </w:t>
      </w:r>
      <w:hyperlink w:anchor="SENTENCIA_2016_120" w:history="1">
        <w:r w:rsidRPr="0057104C">
          <w:rPr>
            <w:rStyle w:val="TextoNormalCaracter"/>
          </w:rPr>
          <w:t>120/2016</w:t>
        </w:r>
      </w:hyperlink>
      <w:r>
        <w:t>, f. 8.</w:t>
      </w:r>
    </w:p>
    <w:p w:rsidR="0057104C" w:rsidRDefault="0057104C" w:rsidP="0057104C">
      <w:pPr>
        <w:pStyle w:val="SangriaFrancesaArticulo"/>
      </w:pPr>
      <w:r w:rsidRPr="0057104C">
        <w:rPr>
          <w:rStyle w:val="TextoNormalNegritaCaracter"/>
        </w:rPr>
        <w:t>Artículo 12.3.</w:t>
      </w:r>
      <w:r w:rsidRPr="0057104C">
        <w:rPr>
          <w:rStyle w:val="TextoNormalCaracter"/>
        </w:rPr>
        <w:t>-</w:t>
      </w:r>
      <w:r>
        <w:t xml:space="preserve"> Sentencia </w:t>
      </w:r>
      <w:hyperlink w:anchor="SENTENCIA_2016_120" w:history="1">
        <w:r w:rsidRPr="0057104C">
          <w:rPr>
            <w:rStyle w:val="TextoNormalCaracter"/>
          </w:rPr>
          <w:t>120/2016</w:t>
        </w:r>
      </w:hyperlink>
      <w:r>
        <w:t>, f. 8.</w:t>
      </w:r>
    </w:p>
    <w:p w:rsidR="0057104C" w:rsidRDefault="0057104C" w:rsidP="0057104C">
      <w:pPr>
        <w:pStyle w:val="SangriaFrancesaArticulo"/>
      </w:pPr>
      <w:r w:rsidRPr="0057104C">
        <w:rPr>
          <w:rStyle w:val="TextoNormalNegritaCaracter"/>
        </w:rPr>
        <w:t>Artículo 13.2.</w:t>
      </w:r>
      <w:r w:rsidRPr="0057104C">
        <w:rPr>
          <w:rStyle w:val="TextoNormalCaracter"/>
        </w:rPr>
        <w:t>-</w:t>
      </w:r>
      <w:r>
        <w:t xml:space="preserve"> Sentencia </w:t>
      </w:r>
      <w:hyperlink w:anchor="SENTENCIA_2016_120" w:history="1">
        <w:r w:rsidRPr="0057104C">
          <w:rPr>
            <w:rStyle w:val="TextoNormalCaracter"/>
          </w:rPr>
          <w:t>120/2016</w:t>
        </w:r>
      </w:hyperlink>
      <w:r>
        <w:t>, f. 8.</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32" w:history="1">
        <w:r w:rsidRPr="0057104C">
          <w:rPr>
            <w:rStyle w:val="TextoNormalCaracter"/>
          </w:rPr>
          <w:t>32/2016</w:t>
        </w:r>
      </w:hyperlink>
      <w:r>
        <w:t>, f. 9.</w:t>
      </w:r>
    </w:p>
    <w:p w:rsidR="0057104C" w:rsidRDefault="0057104C" w:rsidP="0057104C">
      <w:pPr>
        <w:pStyle w:val="SangriaFrancesaArticulo"/>
      </w:pPr>
      <w:r w:rsidRPr="0057104C">
        <w:rPr>
          <w:rStyle w:val="TextoNormalNegritaCaracter"/>
        </w:rPr>
        <w:t>Artículo 16.4.</w:t>
      </w:r>
      <w:r w:rsidRPr="0057104C">
        <w:rPr>
          <w:rStyle w:val="TextoNormalCaracter"/>
        </w:rPr>
        <w:t>-</w:t>
      </w:r>
      <w:r>
        <w:t xml:space="preserve"> Sentencia </w:t>
      </w:r>
      <w:hyperlink w:anchor="SENTENCIA_2016_32" w:history="1">
        <w:r w:rsidRPr="0057104C">
          <w:rPr>
            <w:rStyle w:val="TextoNormalCaracter"/>
          </w:rPr>
          <w:t>32/2016</w:t>
        </w:r>
      </w:hyperlink>
      <w:r>
        <w:t>, f. 9.</w:t>
      </w:r>
    </w:p>
    <w:p w:rsidR="0057104C" w:rsidRDefault="0057104C" w:rsidP="0057104C">
      <w:pPr>
        <w:pStyle w:val="SangriaFrancesaArticulo"/>
      </w:pPr>
      <w:r w:rsidRPr="0057104C">
        <w:rPr>
          <w:rStyle w:val="TextoNormalNegritaCaracter"/>
        </w:rPr>
        <w:t>Artículo 16.5.</w:t>
      </w:r>
      <w:r w:rsidRPr="0057104C">
        <w:rPr>
          <w:rStyle w:val="TextoNormalCaracter"/>
        </w:rPr>
        <w:t>-</w:t>
      </w:r>
      <w:r>
        <w:t xml:space="preserve"> Sentencia </w:t>
      </w:r>
      <w:hyperlink w:anchor="SENTENCIA_2016_32" w:history="1">
        <w:r w:rsidRPr="0057104C">
          <w:rPr>
            <w:rStyle w:val="TextoNormalCaracter"/>
          </w:rPr>
          <w:t>32/2016</w:t>
        </w:r>
      </w:hyperlink>
      <w:r>
        <w:t>, f. 9.</w:t>
      </w:r>
    </w:p>
    <w:p w:rsidR="0057104C" w:rsidRDefault="0057104C" w:rsidP="0057104C">
      <w:pPr>
        <w:pStyle w:val="SangriaFrancesaArticulo"/>
      </w:pPr>
      <w:r w:rsidRPr="0057104C">
        <w:rPr>
          <w:rStyle w:val="TextoNormalNegritaCaracter"/>
        </w:rPr>
        <w:t>Artículo 16.6.</w:t>
      </w:r>
      <w:r w:rsidRPr="0057104C">
        <w:rPr>
          <w:rStyle w:val="TextoNormalCaracter"/>
        </w:rPr>
        <w:t>-</w:t>
      </w:r>
      <w:r>
        <w:t xml:space="preserve"> Sentencia </w:t>
      </w:r>
      <w:hyperlink w:anchor="SENTENCIA_2016_32" w:history="1">
        <w:r w:rsidRPr="0057104C">
          <w:rPr>
            <w:rStyle w:val="TextoNormalCaracter"/>
          </w:rPr>
          <w:t>32/2016</w:t>
        </w:r>
      </w:hyperlink>
      <w:r>
        <w:t>, f. 9.</w:t>
      </w:r>
    </w:p>
    <w:p w:rsidR="0057104C" w:rsidRDefault="0057104C" w:rsidP="0057104C">
      <w:pPr>
        <w:pStyle w:val="SangriaFrancesaArticulo"/>
      </w:pPr>
      <w:r w:rsidRPr="0057104C">
        <w:rPr>
          <w:rStyle w:val="TextoNormalNegritaCaracter"/>
        </w:rPr>
        <w:t>Artículo 16.7.</w:t>
      </w:r>
      <w:r w:rsidRPr="0057104C">
        <w:rPr>
          <w:rStyle w:val="TextoNormalCaracter"/>
        </w:rPr>
        <w:t>-</w:t>
      </w:r>
      <w:r>
        <w:t xml:space="preserve"> Sentencia </w:t>
      </w:r>
      <w:hyperlink w:anchor="SENTENCIA_2016_32" w:history="1">
        <w:r w:rsidRPr="0057104C">
          <w:rPr>
            <w:rStyle w:val="TextoNormalCaracter"/>
          </w:rPr>
          <w:t>32/2016</w:t>
        </w:r>
      </w:hyperlink>
      <w:r>
        <w:t>, f. 9.</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120" w:history="1">
        <w:r w:rsidRPr="0057104C">
          <w:rPr>
            <w:rStyle w:val="TextoNormalCaracter"/>
          </w:rPr>
          <w:t>120/2016</w:t>
        </w:r>
      </w:hyperlink>
      <w:r>
        <w:t>, ff. 1, 6.</w:t>
      </w:r>
    </w:p>
    <w:p w:rsidR="0057104C" w:rsidRDefault="0057104C" w:rsidP="0057104C">
      <w:pPr>
        <w:pStyle w:val="SangriaFrancesaArticulo"/>
      </w:pPr>
      <w:r w:rsidRPr="0057104C">
        <w:rPr>
          <w:rStyle w:val="TextoNormalNegritaCaracter"/>
        </w:rPr>
        <w:t>Artículo 21.1.</w:t>
      </w:r>
      <w:r w:rsidRPr="0057104C">
        <w:rPr>
          <w:rStyle w:val="TextoNormalCaracter"/>
        </w:rPr>
        <w:t>-</w:t>
      </w:r>
      <w:r>
        <w:t xml:space="preserve"> Sentencia </w:t>
      </w:r>
      <w:hyperlink w:anchor="SENTENCIA_2016_120" w:history="1">
        <w:r w:rsidRPr="0057104C">
          <w:rPr>
            <w:rStyle w:val="TextoNormalCaracter"/>
          </w:rPr>
          <w:t>120/2016</w:t>
        </w:r>
      </w:hyperlink>
      <w:r>
        <w:t>, f. 6.</w:t>
      </w:r>
    </w:p>
    <w:p w:rsidR="0057104C" w:rsidRDefault="0057104C" w:rsidP="0057104C">
      <w:pPr>
        <w:pStyle w:val="SangriaFrancesaArticulo"/>
      </w:pPr>
      <w:r w:rsidRPr="0057104C">
        <w:rPr>
          <w:rStyle w:val="TextoNormalNegritaCaracter"/>
        </w:rPr>
        <w:t>Artículo 21.1 b), párrafo 2.</w:t>
      </w:r>
      <w:r w:rsidRPr="0057104C">
        <w:rPr>
          <w:rStyle w:val="TextoNormalCaracter"/>
        </w:rPr>
        <w:t>-</w:t>
      </w:r>
      <w:r>
        <w:t xml:space="preserve"> Sentencia </w:t>
      </w:r>
      <w:hyperlink w:anchor="SENTENCIA_2016_120" w:history="1">
        <w:r w:rsidRPr="0057104C">
          <w:rPr>
            <w:rStyle w:val="TextoNormalCaracter"/>
          </w:rPr>
          <w:t>120/2016</w:t>
        </w:r>
      </w:hyperlink>
      <w:r>
        <w:t>, f. 6.</w:t>
      </w:r>
    </w:p>
    <w:p w:rsidR="0057104C" w:rsidRDefault="0057104C" w:rsidP="0057104C">
      <w:pPr>
        <w:pStyle w:val="SangriaFrancesaArticulo"/>
      </w:pPr>
      <w:r w:rsidRPr="0057104C">
        <w:rPr>
          <w:rStyle w:val="TextoNormalNegritaCaracter"/>
        </w:rPr>
        <w:t>Artículo 21.1 b), párrafo 3.</w:t>
      </w:r>
      <w:r w:rsidRPr="0057104C">
        <w:rPr>
          <w:rStyle w:val="TextoNormalCaracter"/>
        </w:rPr>
        <w:t>-</w:t>
      </w:r>
      <w:r>
        <w:t xml:space="preserve"> Sentencia </w:t>
      </w:r>
      <w:hyperlink w:anchor="SENTENCIA_2016_120" w:history="1">
        <w:r w:rsidRPr="0057104C">
          <w:rPr>
            <w:rStyle w:val="TextoNormalCaracter"/>
          </w:rPr>
          <w:t>120/2016</w:t>
        </w:r>
      </w:hyperlink>
      <w:r>
        <w:t>, f. 6.</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20" w:history="1">
        <w:r w:rsidRPr="0057104C">
          <w:rPr>
            <w:rStyle w:val="TextoNormalCaracter"/>
          </w:rPr>
          <w:t>120/2016</w:t>
        </w:r>
      </w:hyperlink>
      <w:r>
        <w:t>, ff. 1, 7.</w:t>
      </w:r>
    </w:p>
    <w:p w:rsidR="0057104C" w:rsidRDefault="0057104C" w:rsidP="0057104C">
      <w:pPr>
        <w:pStyle w:val="SangriaFrancesaArticulo"/>
      </w:pPr>
      <w:r w:rsidRPr="0057104C">
        <w:rPr>
          <w:rStyle w:val="TextoNormalNegritaCaracter"/>
        </w:rPr>
        <w:t>Artículo 22.1 e inciso "que se establecera....".</w:t>
      </w:r>
      <w:r w:rsidRPr="0057104C">
        <w:rPr>
          <w:rStyle w:val="TextoNormalCaracter"/>
        </w:rPr>
        <w:t>-</w:t>
      </w:r>
      <w:r>
        <w:t xml:space="preserve"> Sentencia </w:t>
      </w:r>
      <w:hyperlink w:anchor="SENTENCIA_2016_120" w:history="1">
        <w:r w:rsidRPr="0057104C">
          <w:rPr>
            <w:rStyle w:val="TextoNormalCaracter"/>
          </w:rPr>
          <w:t>120/2016</w:t>
        </w:r>
      </w:hyperlink>
      <w:r>
        <w:t>, ff. 7, 11.</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120" w:history="1">
        <w:r w:rsidRPr="0057104C">
          <w:rPr>
            <w:rStyle w:val="TextoNormalCaracter"/>
          </w:rPr>
          <w:t>120/2016</w:t>
        </w:r>
      </w:hyperlink>
      <w:r>
        <w:t>, f. 8.</w:t>
      </w:r>
    </w:p>
    <w:p w:rsidR="0057104C" w:rsidRDefault="0057104C" w:rsidP="0057104C">
      <w:pPr>
        <w:pStyle w:val="SangriaFrancesaArticulo"/>
      </w:pPr>
      <w:r w:rsidRPr="0057104C">
        <w:rPr>
          <w:rStyle w:val="TextoNormalNegritaCaracter"/>
        </w:rPr>
        <w:t>Artículo 25.2.</w:t>
      </w:r>
      <w:r w:rsidRPr="0057104C">
        <w:rPr>
          <w:rStyle w:val="TextoNormalCaracter"/>
        </w:rPr>
        <w:t>-</w:t>
      </w:r>
      <w:r>
        <w:t xml:space="preserve"> Sentencia </w:t>
      </w:r>
      <w:hyperlink w:anchor="SENTENCIA_2016_120" w:history="1">
        <w:r w:rsidRPr="0057104C">
          <w:rPr>
            <w:rStyle w:val="TextoNormalCaracter"/>
          </w:rPr>
          <w:t>120/2016</w:t>
        </w:r>
      </w:hyperlink>
      <w:r>
        <w:t>, f. 8.</w:t>
      </w:r>
    </w:p>
    <w:p w:rsidR="0057104C" w:rsidRDefault="0057104C" w:rsidP="0057104C">
      <w:pPr>
        <w:pStyle w:val="SangriaFrancesaArticulo"/>
      </w:pPr>
      <w:r w:rsidRPr="0057104C">
        <w:rPr>
          <w:rStyle w:val="TextoNormalNegritaCaracter"/>
        </w:rPr>
        <w:t>Artículo 25.3.</w:t>
      </w:r>
      <w:r w:rsidRPr="0057104C">
        <w:rPr>
          <w:rStyle w:val="TextoNormalCaracter"/>
        </w:rPr>
        <w:t>-</w:t>
      </w:r>
      <w:r>
        <w:t xml:space="preserve"> Sentencia </w:t>
      </w:r>
      <w:hyperlink w:anchor="SENTENCIA_2016_120" w:history="1">
        <w:r w:rsidRPr="0057104C">
          <w:rPr>
            <w:rStyle w:val="TextoNormalCaracter"/>
          </w:rPr>
          <w:t>120/2016</w:t>
        </w:r>
      </w:hyperlink>
      <w:r>
        <w:t>, ff. 1, 8.</w:t>
      </w:r>
    </w:p>
    <w:p w:rsidR="0057104C" w:rsidRDefault="0057104C" w:rsidP="0057104C">
      <w:pPr>
        <w:pStyle w:val="SangriaFrancesaArticulo"/>
      </w:pPr>
      <w:r w:rsidRPr="0057104C">
        <w:rPr>
          <w:rStyle w:val="TextoNormalNegritaCaracter"/>
        </w:rPr>
        <w:t>Artículo 25.3</w:t>
      </w:r>
      <w:r>
        <w:t xml:space="preserve"> (redactado por el Real Decreto 1073/2015, de 27 de noviembre)</w:t>
      </w:r>
      <w:r w:rsidRPr="0057104C">
        <w:rPr>
          <w:rStyle w:val="TextoNormalNegritaCaracter"/>
        </w:rPr>
        <w:t>.</w:t>
      </w:r>
      <w:r w:rsidRPr="0057104C">
        <w:rPr>
          <w:rStyle w:val="TextoNormalCaracter"/>
        </w:rPr>
        <w:t>-</w:t>
      </w:r>
      <w:r>
        <w:t xml:space="preserve"> Sentencia </w:t>
      </w:r>
      <w:hyperlink w:anchor="SENTENCIA_2016_120" w:history="1">
        <w:r w:rsidRPr="0057104C">
          <w:rPr>
            <w:rStyle w:val="TextoNormalCaracter"/>
          </w:rPr>
          <w:t>120/2016</w:t>
        </w:r>
      </w:hyperlink>
      <w:r>
        <w:t>, f. 1.</w:t>
      </w:r>
    </w:p>
    <w:p w:rsidR="0057104C" w:rsidRDefault="0057104C" w:rsidP="0057104C">
      <w:pPr>
        <w:pStyle w:val="SangriaFrancesaArticulo"/>
      </w:pPr>
      <w:r w:rsidRPr="0057104C">
        <w:rPr>
          <w:rStyle w:val="TextoNormalNegritaCaracter"/>
        </w:rPr>
        <w:t>Artículo 25.4.</w:t>
      </w:r>
      <w:r w:rsidRPr="0057104C">
        <w:rPr>
          <w:rStyle w:val="TextoNormalCaracter"/>
        </w:rPr>
        <w:t>-</w:t>
      </w:r>
      <w:r>
        <w:t xml:space="preserve"> Sentencia </w:t>
      </w:r>
      <w:hyperlink w:anchor="SENTENCIA_2016_120" w:history="1">
        <w:r w:rsidRPr="0057104C">
          <w:rPr>
            <w:rStyle w:val="TextoNormalCaracter"/>
          </w:rPr>
          <w:t>120/2016</w:t>
        </w:r>
      </w:hyperlink>
      <w:r>
        <w:t>, ff. 1, 8.</w:t>
      </w:r>
    </w:p>
    <w:p w:rsidR="0057104C" w:rsidRDefault="0057104C" w:rsidP="0057104C">
      <w:pPr>
        <w:pStyle w:val="SangriaFrancesaArticulo"/>
      </w:pPr>
      <w:r w:rsidRPr="0057104C">
        <w:rPr>
          <w:rStyle w:val="TextoNormalNegritaCaracter"/>
        </w:rPr>
        <w:t>Artículo 25.4</w:t>
      </w:r>
      <w:r>
        <w:t xml:space="preserve"> (redacción dada por el Real Decreto 1054/2014, de 12 de diciembre)</w:t>
      </w:r>
      <w:r w:rsidRPr="0057104C">
        <w:rPr>
          <w:rStyle w:val="TextoNormalNegritaCaracter"/>
        </w:rPr>
        <w:t>.</w:t>
      </w:r>
      <w:r w:rsidRPr="0057104C">
        <w:rPr>
          <w:rStyle w:val="TextoNormalCaracter"/>
        </w:rPr>
        <w:t>-</w:t>
      </w:r>
      <w:r>
        <w:t xml:space="preserve"> Sentencia </w:t>
      </w:r>
      <w:hyperlink w:anchor="SENTENCIA_2016_120" w:history="1">
        <w:r w:rsidRPr="0057104C">
          <w:rPr>
            <w:rStyle w:val="TextoNormalCaracter"/>
          </w:rPr>
          <w:t>120/2016</w:t>
        </w:r>
      </w:hyperlink>
      <w:r>
        <w:t>, f. 1.</w:t>
      </w:r>
    </w:p>
    <w:p w:rsidR="0057104C" w:rsidRDefault="0057104C" w:rsidP="0057104C">
      <w:pPr>
        <w:pStyle w:val="SangriaFrancesaArticulo"/>
      </w:pPr>
      <w:r w:rsidRPr="0057104C">
        <w:rPr>
          <w:rStyle w:val="TextoNormalNegritaCaracter"/>
        </w:rPr>
        <w:t>Artículo 25.5</w:t>
      </w:r>
      <w:r>
        <w:t xml:space="preserve"> (redactado por el Real Decreto 1073/2015, de 27 de noviembre)</w:t>
      </w:r>
      <w:r w:rsidRPr="0057104C">
        <w:rPr>
          <w:rStyle w:val="TextoNormalNegritaCaracter"/>
        </w:rPr>
        <w:t>.</w:t>
      </w:r>
      <w:r w:rsidRPr="0057104C">
        <w:rPr>
          <w:rStyle w:val="TextoNormalCaracter"/>
        </w:rPr>
        <w:t>-</w:t>
      </w:r>
      <w:r>
        <w:t xml:space="preserve"> Sentencia </w:t>
      </w:r>
      <w:hyperlink w:anchor="SENTENCIA_2016_120" w:history="1">
        <w:r w:rsidRPr="0057104C">
          <w:rPr>
            <w:rStyle w:val="TextoNormalCaracter"/>
          </w:rPr>
          <w:t>120/2016</w:t>
        </w:r>
      </w:hyperlink>
      <w:r>
        <w:t>, f. 1.</w:t>
      </w:r>
    </w:p>
    <w:p w:rsidR="0057104C" w:rsidRDefault="0057104C" w:rsidP="0057104C">
      <w:pPr>
        <w:pStyle w:val="SangriaFrancesaArticulo"/>
      </w:pPr>
      <w:r w:rsidRPr="0057104C">
        <w:rPr>
          <w:rStyle w:val="TextoNormalNegritaCaracter"/>
        </w:rPr>
        <w:t>Artículo 25.5 párrafo 1.</w:t>
      </w:r>
      <w:r w:rsidRPr="0057104C">
        <w:rPr>
          <w:rStyle w:val="TextoNormalCaracter"/>
        </w:rPr>
        <w:t>-</w:t>
      </w:r>
      <w:r>
        <w:t xml:space="preserve"> Sentencia </w:t>
      </w:r>
      <w:hyperlink w:anchor="SENTENCIA_2016_120" w:history="1">
        <w:r w:rsidRPr="0057104C">
          <w:rPr>
            <w:rStyle w:val="TextoNormalCaracter"/>
          </w:rPr>
          <w:t>120/2016</w:t>
        </w:r>
      </w:hyperlink>
      <w:r>
        <w:t>, ff. 1, 8.</w:t>
      </w:r>
    </w:p>
    <w:p w:rsidR="0057104C" w:rsidRDefault="0057104C" w:rsidP="0057104C">
      <w:pPr>
        <w:pStyle w:val="SangriaFrancesaArticulo"/>
      </w:pPr>
      <w:r w:rsidRPr="0057104C">
        <w:rPr>
          <w:rStyle w:val="TextoNormalNegritaCaracter"/>
        </w:rPr>
        <w:t>Artículo 25.5 párrafo 2.</w:t>
      </w:r>
      <w:r w:rsidRPr="0057104C">
        <w:rPr>
          <w:rStyle w:val="TextoNormalCaracter"/>
        </w:rPr>
        <w:t>-</w:t>
      </w:r>
      <w:r>
        <w:t xml:space="preserve"> Sentencia </w:t>
      </w:r>
      <w:hyperlink w:anchor="SENTENCIA_2016_120" w:history="1">
        <w:r w:rsidRPr="0057104C">
          <w:rPr>
            <w:rStyle w:val="TextoNormalCaracter"/>
          </w:rPr>
          <w:t>120/2016</w:t>
        </w:r>
      </w:hyperlink>
      <w:r>
        <w:t>, ff. 1, 8.</w:t>
      </w:r>
    </w:p>
    <w:p w:rsidR="0057104C" w:rsidRDefault="0057104C" w:rsidP="0057104C">
      <w:pPr>
        <w:pStyle w:val="SangriaFrancesaArticulo"/>
      </w:pPr>
      <w:r w:rsidRPr="0057104C">
        <w:rPr>
          <w:rStyle w:val="TextoNormalNegritaCaracter"/>
        </w:rPr>
        <w:t>Artículo 25.7.</w:t>
      </w:r>
      <w:r w:rsidRPr="0057104C">
        <w:rPr>
          <w:rStyle w:val="TextoNormalCaracter"/>
        </w:rPr>
        <w:t>-</w:t>
      </w:r>
      <w:r>
        <w:t xml:space="preserve"> Sentencia </w:t>
      </w:r>
      <w:hyperlink w:anchor="SENTENCIA_2016_120" w:history="1">
        <w:r w:rsidRPr="0057104C">
          <w:rPr>
            <w:rStyle w:val="TextoNormalCaracter"/>
          </w:rPr>
          <w:t>120/2016</w:t>
        </w:r>
      </w:hyperlink>
      <w:r>
        <w:t>, ff. 1, 8.</w:t>
      </w:r>
    </w:p>
    <w:p w:rsidR="0057104C" w:rsidRDefault="0057104C" w:rsidP="0057104C">
      <w:pPr>
        <w:pStyle w:val="SangriaFrancesaArticulo"/>
      </w:pPr>
      <w:r w:rsidRPr="0057104C">
        <w:rPr>
          <w:rStyle w:val="TextoNormalNegritaCaracter"/>
        </w:rPr>
        <w:t>Artículo 26.</w:t>
      </w:r>
      <w:r w:rsidRPr="0057104C">
        <w:rPr>
          <w:rStyle w:val="TextoNormalCaracter"/>
        </w:rPr>
        <w:t>-</w:t>
      </w:r>
      <w:r>
        <w:t xml:space="preserve"> Sentencia </w:t>
      </w:r>
      <w:hyperlink w:anchor="SENTENCIA_2016_120" w:history="1">
        <w:r w:rsidRPr="0057104C">
          <w:rPr>
            <w:rStyle w:val="TextoNormalCaracter"/>
          </w:rPr>
          <w:t>120/2016</w:t>
        </w:r>
      </w:hyperlink>
      <w:r>
        <w:t>, f. 9.</w:t>
      </w:r>
    </w:p>
    <w:p w:rsidR="0057104C" w:rsidRDefault="0057104C" w:rsidP="0057104C">
      <w:pPr>
        <w:pStyle w:val="SangriaFrancesaArticulo"/>
      </w:pPr>
      <w:r w:rsidRPr="0057104C">
        <w:rPr>
          <w:rStyle w:val="TextoNormalNegritaCaracter"/>
        </w:rPr>
        <w:t>Artículo 26.1.</w:t>
      </w:r>
      <w:r w:rsidRPr="0057104C">
        <w:rPr>
          <w:rStyle w:val="TextoNormalCaracter"/>
        </w:rPr>
        <w:t>-</w:t>
      </w:r>
      <w:r>
        <w:t xml:space="preserve"> Sentencia </w:t>
      </w:r>
      <w:hyperlink w:anchor="SENTENCIA_2016_120" w:history="1">
        <w:r w:rsidRPr="0057104C">
          <w:rPr>
            <w:rStyle w:val="TextoNormalCaracter"/>
          </w:rPr>
          <w:t>120/2016</w:t>
        </w:r>
      </w:hyperlink>
      <w:r>
        <w:t>, f. 9.</w:t>
      </w:r>
    </w:p>
    <w:p w:rsidR="0057104C" w:rsidRDefault="0057104C" w:rsidP="0057104C">
      <w:pPr>
        <w:pStyle w:val="SangriaFrancesaArticulo"/>
      </w:pPr>
      <w:r w:rsidRPr="0057104C">
        <w:rPr>
          <w:rStyle w:val="TextoNormalNegritaCaracter"/>
        </w:rPr>
        <w:t>Artículo 26.3.</w:t>
      </w:r>
      <w:r w:rsidRPr="0057104C">
        <w:rPr>
          <w:rStyle w:val="TextoNormalCaracter"/>
        </w:rPr>
        <w:t>-</w:t>
      </w:r>
      <w:r>
        <w:t xml:space="preserve"> Sentencia </w:t>
      </w:r>
      <w:hyperlink w:anchor="SENTENCIA_2016_120" w:history="1">
        <w:r w:rsidRPr="0057104C">
          <w:rPr>
            <w:rStyle w:val="TextoNormalCaracter"/>
          </w:rPr>
          <w:t>120/2016</w:t>
        </w:r>
      </w:hyperlink>
      <w:r>
        <w:t>, ff. 1, 9.</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Sentencia </w:t>
      </w:r>
      <w:hyperlink w:anchor="SENTENCIA_2016_120" w:history="1">
        <w:r w:rsidRPr="0057104C">
          <w:rPr>
            <w:rStyle w:val="TextoNormalCaracter"/>
          </w:rPr>
          <w:t>120/2016</w:t>
        </w:r>
      </w:hyperlink>
      <w:r>
        <w:t>, ff. 1, 10.</w:t>
      </w:r>
    </w:p>
    <w:p w:rsidR="0057104C" w:rsidRDefault="0057104C" w:rsidP="0057104C">
      <w:pPr>
        <w:pStyle w:val="SangriaFrancesaArticulo"/>
      </w:pPr>
      <w:r w:rsidRPr="0057104C">
        <w:rPr>
          <w:rStyle w:val="TextoNormalNegritaCaracter"/>
        </w:rPr>
        <w:t>Artículo 31.1</w:t>
      </w:r>
      <w:r>
        <w:t xml:space="preserve"> (redactado por el Real Decreto 1054/2014, de 12 de diciembre)</w:t>
      </w:r>
      <w:r w:rsidRPr="0057104C">
        <w:rPr>
          <w:rStyle w:val="TextoNormalNegritaCaracter"/>
        </w:rPr>
        <w:t>.</w:t>
      </w:r>
      <w:r w:rsidRPr="0057104C">
        <w:rPr>
          <w:rStyle w:val="TextoNormalCaracter"/>
        </w:rPr>
        <w:t>-</w:t>
      </w:r>
      <w:r>
        <w:t xml:space="preserve"> Sentencia </w:t>
      </w:r>
      <w:hyperlink w:anchor="SENTENCIA_2016_120" w:history="1">
        <w:r w:rsidRPr="0057104C">
          <w:rPr>
            <w:rStyle w:val="TextoNormalCaracter"/>
          </w:rPr>
          <w:t>120/2016</w:t>
        </w:r>
      </w:hyperlink>
      <w:r>
        <w:t>, ff. 1, 10.</w:t>
      </w:r>
    </w:p>
    <w:p w:rsidR="0057104C" w:rsidRDefault="0057104C" w:rsidP="0057104C">
      <w:pPr>
        <w:pStyle w:val="SangriaFrancesaArticulo"/>
      </w:pPr>
      <w:r w:rsidRPr="0057104C">
        <w:rPr>
          <w:rStyle w:val="TextoNormalNegritaCaracter"/>
        </w:rPr>
        <w:t>Artículo 31.3</w:t>
      </w:r>
      <w:r>
        <w:t xml:space="preserve"> (redactado por el Real Decreto 1054/2014, de 12 de diciembre)</w:t>
      </w:r>
      <w:r w:rsidRPr="0057104C">
        <w:rPr>
          <w:rStyle w:val="TextoNormalNegritaCaracter"/>
        </w:rPr>
        <w:t>.</w:t>
      </w:r>
      <w:r w:rsidRPr="0057104C">
        <w:rPr>
          <w:rStyle w:val="TextoNormalCaracter"/>
        </w:rPr>
        <w:t>-</w:t>
      </w:r>
      <w:r>
        <w:t xml:space="preserve"> Sentencia </w:t>
      </w:r>
      <w:hyperlink w:anchor="SENTENCIA_2016_120" w:history="1">
        <w:r w:rsidRPr="0057104C">
          <w:rPr>
            <w:rStyle w:val="TextoNormalCaracter"/>
          </w:rPr>
          <w:t>120/2016</w:t>
        </w:r>
      </w:hyperlink>
      <w:r>
        <w:t>, f. 1.</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120" w:history="1">
        <w:r w:rsidRPr="0057104C">
          <w:rPr>
            <w:rStyle w:val="TextoNormalCaracter"/>
          </w:rPr>
          <w:t>120/2016</w:t>
        </w:r>
      </w:hyperlink>
      <w:r>
        <w:t>, ff. 1, 10.</w:t>
      </w:r>
    </w:p>
    <w:p w:rsidR="0057104C" w:rsidRDefault="0057104C" w:rsidP="0057104C">
      <w:pPr>
        <w:pStyle w:val="SangriaFrancesaArticulo"/>
      </w:pPr>
      <w:r w:rsidRPr="0057104C">
        <w:rPr>
          <w:rStyle w:val="TextoNormalNegritaCaracter"/>
        </w:rPr>
        <w:t>Artículo 32.1</w:t>
      </w:r>
      <w:r>
        <w:t xml:space="preserve"> (redactado por el Real Decreto 1054/2014, de 12 de diciembre)</w:t>
      </w:r>
      <w:r w:rsidRPr="0057104C">
        <w:rPr>
          <w:rStyle w:val="TextoNormalNegritaCaracter"/>
        </w:rPr>
        <w:t>.</w:t>
      </w:r>
      <w:r w:rsidRPr="0057104C">
        <w:rPr>
          <w:rStyle w:val="TextoNormalCaracter"/>
        </w:rPr>
        <w:t>-</w:t>
      </w:r>
      <w:r>
        <w:t xml:space="preserve"> Sentencia </w:t>
      </w:r>
      <w:hyperlink w:anchor="SENTENCIA_2016_120" w:history="1">
        <w:r w:rsidRPr="0057104C">
          <w:rPr>
            <w:rStyle w:val="TextoNormalCaracter"/>
          </w:rPr>
          <w:t>120/2016</w:t>
        </w:r>
      </w:hyperlink>
      <w:r>
        <w:t>, f. 1.</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120" w:history="1">
        <w:r w:rsidRPr="0057104C">
          <w:rPr>
            <w:rStyle w:val="TextoNormalCaracter"/>
          </w:rPr>
          <w:t>120/2016</w:t>
        </w:r>
      </w:hyperlink>
      <w:r>
        <w:t>, ff. 1, 2.</w:t>
      </w:r>
    </w:p>
    <w:p w:rsidR="0057104C" w:rsidRDefault="0057104C" w:rsidP="0057104C">
      <w:pPr>
        <w:pStyle w:val="SangriaFrancesaArticulo"/>
      </w:pPr>
    </w:p>
    <w:p w:rsidR="0057104C" w:rsidRDefault="0057104C" w:rsidP="0057104C">
      <w:pPr>
        <w:pStyle w:val="TextoNormalNegritaCursivandice"/>
      </w:pPr>
      <w:r>
        <w:t>Real Decreto 1050/2013, de 27 de diciembre. Se regula el nivel mínimo de protección establecido en la Ley 39/2006, de 14 de diciembre, de Promoción de la Autonomía Personal y Atención a las personas en situación de dependencia</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18" w:history="1">
        <w:r w:rsidRPr="0057104C">
          <w:rPr>
            <w:rStyle w:val="TextoNormalCaracter"/>
          </w:rPr>
          <w:t>18/2016</w:t>
        </w:r>
      </w:hyperlink>
      <w:r>
        <w:t>, f. 8.</w:t>
      </w:r>
    </w:p>
    <w:p w:rsidR="0057104C" w:rsidRDefault="0057104C" w:rsidP="0057104C">
      <w:pPr>
        <w:pStyle w:val="SangriaFrancesaArticulo"/>
      </w:pPr>
    </w:p>
    <w:p w:rsidR="0057104C" w:rsidRDefault="0057104C" w:rsidP="0057104C">
      <w:pPr>
        <w:pStyle w:val="TextoNormalNegritaCursivandice"/>
      </w:pPr>
      <w:r>
        <w:t>Real Decreto 1051/2013, de 27 de diciembre. Se regulan las prestaciones del Sistema para la Autonomía y Atención a la Dependencia, establecidas en la Ley 39/2006, de 14 de diciembre, de Promoción de la Autonomía Personal y Atención a las personas en situación de dependencia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4" w:history="1">
        <w:r w:rsidRPr="0057104C">
          <w:rPr>
            <w:rStyle w:val="TextoNormalCaracter"/>
          </w:rPr>
          <w:t>34/2016</w:t>
        </w:r>
      </w:hyperlink>
      <w:r>
        <w:t>, f. 5.</w:t>
      </w:r>
    </w:p>
    <w:p w:rsidR="0057104C" w:rsidRDefault="0057104C" w:rsidP="0057104C">
      <w:pPr>
        <w:pStyle w:val="SangriaFrancesaArticulo"/>
      </w:pPr>
      <w:r w:rsidRPr="0057104C">
        <w:rPr>
          <w:rStyle w:val="TextoNormalNegritaCaracter"/>
        </w:rPr>
        <w:t>Artículo 8.2.</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36" w:history="1">
        <w:r w:rsidRPr="0057104C">
          <w:rPr>
            <w:rStyle w:val="TextoNormalCaracter"/>
          </w:rPr>
          <w:t>36/2016</w:t>
        </w:r>
      </w:hyperlink>
      <w:r>
        <w:t>, f. 2.</w:t>
      </w:r>
    </w:p>
    <w:p w:rsidR="0057104C" w:rsidRDefault="0057104C" w:rsidP="0057104C">
      <w:pPr>
        <w:pStyle w:val="SangriaFrancesaArticulo"/>
      </w:pPr>
      <w:r w:rsidRPr="0057104C">
        <w:rPr>
          <w:rStyle w:val="TextoNormalNegritaCaracter"/>
        </w:rPr>
        <w:t>Artículo 8.5.</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36" w:history="1">
        <w:r w:rsidRPr="0057104C">
          <w:rPr>
            <w:rStyle w:val="TextoNormalCaracter"/>
          </w:rPr>
          <w:t>36/2016</w:t>
        </w:r>
      </w:hyperlink>
      <w:r>
        <w:t>, f. 2.</w:t>
      </w:r>
    </w:p>
    <w:p w:rsidR="0057104C" w:rsidRDefault="0057104C" w:rsidP="0057104C">
      <w:pPr>
        <w:pStyle w:val="SangriaFrancesaArticulo"/>
      </w:pPr>
      <w:r w:rsidRPr="0057104C">
        <w:rPr>
          <w:rStyle w:val="TextoNormalNegritaCaracter"/>
        </w:rPr>
        <w:t>Anexo 2.</w:t>
      </w:r>
      <w:r w:rsidRPr="0057104C">
        <w:rPr>
          <w:rStyle w:val="TextoNormalCaracter"/>
        </w:rPr>
        <w:t>-</w:t>
      </w:r>
      <w:r>
        <w:t xml:space="preserve"> Sentencias </w:t>
      </w:r>
      <w:hyperlink w:anchor="SENTENCIA_2016_18" w:history="1">
        <w:r w:rsidRPr="0057104C">
          <w:rPr>
            <w:rStyle w:val="TextoNormalCaracter"/>
          </w:rPr>
          <w:t>18/2016</w:t>
        </w:r>
      </w:hyperlink>
      <w:r>
        <w:t xml:space="preserve">, f. 8; </w:t>
      </w:r>
      <w:hyperlink w:anchor="SENTENCIA_2016_36" w:history="1">
        <w:r w:rsidRPr="0057104C">
          <w:rPr>
            <w:rStyle w:val="TextoNormalCaracter"/>
          </w:rPr>
          <w:t>36/2016</w:t>
        </w:r>
      </w:hyperlink>
      <w:r>
        <w:t>, f. 2.</w:t>
      </w:r>
    </w:p>
    <w:p w:rsidR="0057104C" w:rsidRDefault="0057104C" w:rsidP="0057104C">
      <w:pPr>
        <w:pStyle w:val="SangriaFrancesaArticulo"/>
      </w:pPr>
    </w:p>
    <w:p w:rsidR="0057104C" w:rsidRDefault="0057104C" w:rsidP="0057104C">
      <w:pPr>
        <w:pStyle w:val="TextoNormalNegritaCursivandice"/>
      </w:pPr>
      <w:r>
        <w:t>Resolución de 21 de mayo de 2014, de la Secretaría de Estado de la Seguridad Social. Se establece el Plan general de actividades preventivas de la Seguridad Social, a aplicar por las mutuas de accidentes de trabajo y enfermedades profesionales de la Seguridad Social en la planificación de sus actividades para el año 2014</w:t>
      </w:r>
    </w:p>
    <w:p w:rsidR="0057104C" w:rsidRDefault="0057104C" w:rsidP="0057104C">
      <w:pPr>
        <w:pStyle w:val="SangriaFrancesaArticulo"/>
      </w:pPr>
      <w:r w:rsidRPr="0057104C">
        <w:rPr>
          <w:rStyle w:val="TextoNormalNegritaCaracter"/>
        </w:rPr>
        <w:t>Apartado Noveno.</w:t>
      </w:r>
      <w:r w:rsidRPr="0057104C">
        <w:rPr>
          <w:rStyle w:val="TextoNormalCaracter"/>
        </w:rPr>
        <w:t>-</w:t>
      </w:r>
      <w:r>
        <w:t xml:space="preserve"> Sentencia </w:t>
      </w:r>
      <w:hyperlink w:anchor="SENTENCIA_2016_7" w:history="1">
        <w:r w:rsidRPr="0057104C">
          <w:rPr>
            <w:rStyle w:val="TextoNormalCaracter"/>
          </w:rPr>
          <w:t>7/2016</w:t>
        </w:r>
      </w:hyperlink>
      <w:r>
        <w:t>, f. 2.</w:t>
      </w:r>
    </w:p>
    <w:p w:rsidR="0057104C" w:rsidRDefault="0057104C" w:rsidP="0057104C">
      <w:pPr>
        <w:pStyle w:val="SangriaFrancesaArticulo"/>
      </w:pPr>
    </w:p>
    <w:p w:rsidR="0057104C" w:rsidRDefault="0057104C" w:rsidP="0057104C">
      <w:pPr>
        <w:pStyle w:val="TextoNormalNegritaCursivandice"/>
      </w:pPr>
      <w:r>
        <w:t>Real Decreto 413/2014, de 6 de junio.  Regula la actividad de producción de energía eléctrica a partir de fuentes de energía renovables, cogeneración y residuos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29" w:history="1">
        <w:r w:rsidRPr="0057104C">
          <w:rPr>
            <w:rStyle w:val="TextoNormalCaracter"/>
          </w:rPr>
          <w:t>29/2016</w:t>
        </w:r>
      </w:hyperlink>
      <w:r>
        <w:t xml:space="preserve">, f. 5; </w:t>
      </w:r>
      <w:hyperlink w:anchor="SENTENCIA_2016_30" w:history="1">
        <w:r w:rsidRPr="0057104C">
          <w:rPr>
            <w:rStyle w:val="TextoNormalCaracter"/>
          </w:rPr>
          <w:t>30/2016</w:t>
        </w:r>
      </w:hyperlink>
      <w:r>
        <w:t xml:space="preserve">, f. 5; </w:t>
      </w:r>
      <w:hyperlink w:anchor="SENTENCIA_2016_42" w:history="1">
        <w:r w:rsidRPr="0057104C">
          <w:rPr>
            <w:rStyle w:val="TextoNormalCaracter"/>
          </w:rPr>
          <w:t>42/2016</w:t>
        </w:r>
      </w:hyperlink>
      <w:r>
        <w:t xml:space="preserve">, f. 4; </w:t>
      </w:r>
      <w:hyperlink w:anchor="SENTENCIA_2016_61" w:history="1">
        <w:r w:rsidRPr="0057104C">
          <w:rPr>
            <w:rStyle w:val="TextoNormalCaracter"/>
          </w:rPr>
          <w:t>61/2016</w:t>
        </w:r>
      </w:hyperlink>
      <w:r>
        <w:t>, f. 5.</w:t>
      </w:r>
    </w:p>
    <w:p w:rsidR="0057104C" w:rsidRDefault="0057104C" w:rsidP="0057104C">
      <w:pPr>
        <w:pStyle w:val="SangriaFrancesaArticulo"/>
      </w:pPr>
      <w:r w:rsidRPr="0057104C">
        <w:rPr>
          <w:rStyle w:val="TextoNormalNegritaCaracter"/>
        </w:rPr>
        <w:t>Disposición transitoria tercera.</w:t>
      </w:r>
      <w:r w:rsidRPr="0057104C">
        <w:rPr>
          <w:rStyle w:val="TextoNormalCaracter"/>
        </w:rPr>
        <w:t>-</w:t>
      </w:r>
      <w:r>
        <w:t xml:space="preserve"> Sentencia </w:t>
      </w:r>
      <w:hyperlink w:anchor="SENTENCIA_2016_19" w:history="1">
        <w:r w:rsidRPr="0057104C">
          <w:rPr>
            <w:rStyle w:val="TextoNormalCaracter"/>
          </w:rPr>
          <w:t>19/2016</w:t>
        </w:r>
      </w:hyperlink>
      <w:r>
        <w:t>, f. 5.</w:t>
      </w:r>
    </w:p>
    <w:p w:rsidR="0057104C" w:rsidRDefault="0057104C" w:rsidP="0057104C">
      <w:pPr>
        <w:pStyle w:val="SangriaFrancesaArticulo"/>
      </w:pPr>
    </w:p>
    <w:p w:rsidR="0057104C" w:rsidRDefault="0057104C" w:rsidP="0057104C">
      <w:pPr>
        <w:pStyle w:val="TextoNormalNegritaCursivandice"/>
      </w:pPr>
      <w:r>
        <w:t>Real Decreto 635/2014, de 25 de julio. Desarrollo de la metodología de cálculo del periodo medio de pago a proveedores de las Administraciones Públicas y las condiciones y el procedimiento de retención de recursos de los regímenes de financiación, previstos en la Ley Orgánica 2/2012, de 27 de abril, de Estabilidad Presupuestaria y Sostenibilidad Financiera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1" w:history="1">
        <w:r w:rsidRPr="0057104C">
          <w:rPr>
            <w:rStyle w:val="TextoNormalCaracter"/>
          </w:rPr>
          <w:t>101/2016</w:t>
        </w:r>
      </w:hyperlink>
      <w:r>
        <w:t>, f. 3.</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101" w:history="1">
        <w:r w:rsidRPr="0057104C">
          <w:rPr>
            <w:rStyle w:val="TextoNormalCaracter"/>
          </w:rPr>
          <w:t>101/2016</w:t>
        </w:r>
      </w:hyperlink>
      <w:r>
        <w:t>, f. 9.</w:t>
      </w:r>
    </w:p>
    <w:p w:rsidR="0057104C" w:rsidRDefault="0057104C" w:rsidP="0057104C">
      <w:pPr>
        <w:pStyle w:val="SangriaFrancesaArticulo"/>
      </w:pPr>
      <w:r w:rsidRPr="0057104C">
        <w:rPr>
          <w:rStyle w:val="TextoNormalNegritaCaracter"/>
        </w:rPr>
        <w:t>Artículo 7.1.</w:t>
      </w:r>
      <w:r w:rsidRPr="0057104C">
        <w:rPr>
          <w:rStyle w:val="TextoNormalCaracter"/>
        </w:rPr>
        <w:t>-</w:t>
      </w:r>
      <w:r>
        <w:t xml:space="preserve"> Sentencia </w:t>
      </w:r>
      <w:hyperlink w:anchor="SENTENCIA_2016_101" w:history="1">
        <w:r w:rsidRPr="0057104C">
          <w:rPr>
            <w:rStyle w:val="TextoNormalCaracter"/>
          </w:rPr>
          <w:t>101/2016</w:t>
        </w:r>
      </w:hyperlink>
      <w:r>
        <w:t>, f. 9.</w:t>
      </w:r>
    </w:p>
    <w:p w:rsidR="0057104C" w:rsidRDefault="0057104C" w:rsidP="0057104C">
      <w:pPr>
        <w:pStyle w:val="SangriaFrancesaArticulo"/>
      </w:pPr>
      <w:r w:rsidRPr="0057104C">
        <w:rPr>
          <w:rStyle w:val="TextoNormalNegritaCaracter"/>
        </w:rPr>
        <w:t>Artículo 10.3.</w:t>
      </w:r>
      <w:r w:rsidRPr="0057104C">
        <w:rPr>
          <w:rStyle w:val="TextoNormalCaracter"/>
        </w:rPr>
        <w:t>-</w:t>
      </w:r>
      <w:r>
        <w:t xml:space="preserve"> Sentencia </w:t>
      </w:r>
      <w:hyperlink w:anchor="SENTENCIA_2016_101" w:history="1">
        <w:r w:rsidRPr="0057104C">
          <w:rPr>
            <w:rStyle w:val="TextoNormalCaracter"/>
          </w:rPr>
          <w:t>101/2016</w:t>
        </w:r>
      </w:hyperlink>
      <w:r>
        <w:t>, f. 10.</w:t>
      </w:r>
    </w:p>
    <w:p w:rsidR="0057104C" w:rsidRDefault="0057104C" w:rsidP="0057104C">
      <w:pPr>
        <w:pStyle w:val="SangriaFrancesaArticulo"/>
      </w:pPr>
      <w:r w:rsidRPr="0057104C">
        <w:rPr>
          <w:rStyle w:val="TextoNormalNegritaCaracter"/>
        </w:rPr>
        <w:t>Artículo 11.4.</w:t>
      </w:r>
      <w:r w:rsidRPr="0057104C">
        <w:rPr>
          <w:rStyle w:val="TextoNormalCaracter"/>
        </w:rPr>
        <w:t>-</w:t>
      </w:r>
      <w:r>
        <w:t xml:space="preserve"> Sentencia </w:t>
      </w:r>
      <w:hyperlink w:anchor="SENTENCIA_2016_101" w:history="1">
        <w:r w:rsidRPr="0057104C">
          <w:rPr>
            <w:rStyle w:val="TextoNormalCaracter"/>
          </w:rPr>
          <w:t>101/2016</w:t>
        </w:r>
      </w:hyperlink>
      <w:r>
        <w:t>, f. 11.</w:t>
      </w:r>
    </w:p>
    <w:p w:rsidR="0057104C" w:rsidRDefault="0057104C" w:rsidP="0057104C">
      <w:pPr>
        <w:pStyle w:val="SangriaFrancesaArticulo"/>
      </w:pPr>
    </w:p>
    <w:p w:rsidR="0057104C" w:rsidRDefault="0057104C" w:rsidP="0057104C">
      <w:pPr>
        <w:pStyle w:val="TextoNormalNegritaCursivandice"/>
      </w:pPr>
      <w:r>
        <w:t>Real Decreto 876/2014, de 10 de octubre. Se aprueba el Reglamento General de Costas</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57" w:history="1">
        <w:r w:rsidRPr="0057104C">
          <w:rPr>
            <w:rStyle w:val="TextoNormalCaracter"/>
          </w:rPr>
          <w:t>57/2016</w:t>
        </w:r>
      </w:hyperlink>
      <w:r>
        <w:t>, f. 3.</w:t>
      </w:r>
    </w:p>
    <w:p w:rsidR="0057104C" w:rsidRDefault="0057104C" w:rsidP="0057104C">
      <w:pPr>
        <w:pStyle w:val="SangriaFrancesaArticulo"/>
      </w:pPr>
      <w:r w:rsidRPr="0057104C">
        <w:rPr>
          <w:rStyle w:val="TextoNormalNegritaCaracter"/>
        </w:rPr>
        <w:t>Artículo 26.1.</w:t>
      </w:r>
      <w:r w:rsidRPr="0057104C">
        <w:rPr>
          <w:rStyle w:val="TextoNormalCaracter"/>
        </w:rPr>
        <w:t>-</w:t>
      </w:r>
      <w:r>
        <w:t xml:space="preserve"> Sentencia </w:t>
      </w:r>
      <w:hyperlink w:anchor="SENTENCIA_2016_57" w:history="1">
        <w:r w:rsidRPr="0057104C">
          <w:rPr>
            <w:rStyle w:val="TextoNormalCaracter"/>
          </w:rPr>
          <w:t>57/2016</w:t>
        </w:r>
      </w:hyperlink>
      <w:r>
        <w:t>, f. 9.</w:t>
      </w:r>
    </w:p>
    <w:p w:rsidR="0057104C" w:rsidRDefault="0057104C" w:rsidP="0057104C">
      <w:pPr>
        <w:pStyle w:val="SangriaFrancesaArticulo"/>
      </w:pPr>
      <w:r w:rsidRPr="0057104C">
        <w:rPr>
          <w:rStyle w:val="TextoNormalNegritaCaracter"/>
        </w:rPr>
        <w:t>Artículo 67.</w:t>
      </w:r>
      <w:r w:rsidRPr="0057104C">
        <w:rPr>
          <w:rStyle w:val="TextoNormalCaracter"/>
        </w:rPr>
        <w:t>-</w:t>
      </w:r>
      <w:r>
        <w:t xml:space="preserve"> Sentencia </w:t>
      </w:r>
      <w:hyperlink w:anchor="SENTENCIA_2016_28" w:history="1">
        <w:r w:rsidRPr="0057104C">
          <w:rPr>
            <w:rStyle w:val="TextoNormalCaracter"/>
          </w:rPr>
          <w:t>28/2016</w:t>
        </w:r>
      </w:hyperlink>
      <w:r>
        <w:t>, f. 3.</w:t>
      </w:r>
    </w:p>
    <w:p w:rsidR="0057104C" w:rsidRDefault="0057104C" w:rsidP="0057104C">
      <w:pPr>
        <w:pStyle w:val="SangriaFrancesaArticulo"/>
      </w:pPr>
    </w:p>
    <w:p w:rsidR="0057104C" w:rsidRDefault="0057104C" w:rsidP="0057104C">
      <w:pPr>
        <w:pStyle w:val="TextoNormalNegritaCursivandice"/>
      </w:pPr>
      <w:r>
        <w:t>Orden HAP/2075/2014, de 6 de noviembre. Se establecen los criterios de cálculo del coste efectivo de los servicios prestados por las entidades locales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1" w:history="1">
        <w:r w:rsidRPr="0057104C">
          <w:rPr>
            <w:rStyle w:val="TextoNormalCaracter"/>
          </w:rPr>
          <w:t>111/2016</w:t>
        </w:r>
      </w:hyperlink>
      <w:r>
        <w:t>, f. 12.</w:t>
      </w:r>
    </w:p>
    <w:p w:rsidR="0057104C" w:rsidRDefault="0057104C" w:rsidP="0057104C">
      <w:pPr>
        <w:pStyle w:val="SangriaFrancesaArticulo"/>
      </w:pPr>
    </w:p>
    <w:p w:rsidR="0057104C" w:rsidRDefault="0057104C" w:rsidP="0057104C">
      <w:pPr>
        <w:pStyle w:val="TextoNormalNegritaCursivandice"/>
      </w:pPr>
      <w:r>
        <w:t>Orden HAP/2082/2014, de 7 de noviembre, por la que se modifica la Orden HAP/2105/2012, de 1 de octubre. Se desarrollan las obligaciones de suministro de información previstas en la Ley Orgánica 2/2012, de 27 de abril, de Estabilidad Presupuestaria y Sostenibilidad Financiera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1" w:history="1">
        <w:r w:rsidRPr="0057104C">
          <w:rPr>
            <w:rStyle w:val="TextoNormalCaracter"/>
          </w:rPr>
          <w:t>101/2016</w:t>
        </w:r>
      </w:hyperlink>
      <w:r>
        <w:t>, ff. 3, 9.</w:t>
      </w:r>
    </w:p>
    <w:p w:rsidR="0057104C" w:rsidRDefault="0057104C" w:rsidP="0057104C">
      <w:pPr>
        <w:pStyle w:val="SangriaFrancesaArticulo"/>
      </w:pPr>
    </w:p>
    <w:p w:rsidR="0057104C" w:rsidRDefault="0057104C" w:rsidP="0057104C">
      <w:pPr>
        <w:pStyle w:val="TextoNormalNegritaCursivandice"/>
      </w:pPr>
      <w:r>
        <w:t>Resolución conjunta de 29 de diciembre de 2014, de las Secretarías de Estado de Presupuestos y Gastos y de Administraciones Públicas. Instrucciones para la aplicación efectiva, en el ámbito del sector público estatal, de las previsiones de la disposición adicional décima segunda, de la Ley 36/2014, de 26 de diciembre, de Presupuestos Generales del Estado para 2014</w:t>
      </w:r>
    </w:p>
    <w:p w:rsidR="0057104C" w:rsidRDefault="0057104C" w:rsidP="0057104C">
      <w:pPr>
        <w:pStyle w:val="SangriaFrancesaArticulo"/>
      </w:pPr>
      <w:r w:rsidRPr="0057104C">
        <w:rPr>
          <w:rStyle w:val="TextoNormalNegritaCaracter"/>
        </w:rPr>
        <w:t>Apartado II.1.</w:t>
      </w:r>
      <w:r w:rsidRPr="0057104C">
        <w:rPr>
          <w:rStyle w:val="TextoNormalCaracter"/>
        </w:rPr>
        <w:t>-</w:t>
      </w:r>
      <w:r>
        <w:t xml:space="preserve"> Sentencia </w:t>
      </w:r>
      <w:hyperlink w:anchor="SENTENCIA_2016_90" w:history="1">
        <w:r w:rsidRPr="0057104C">
          <w:rPr>
            <w:rStyle w:val="TextoNormalCaracter"/>
          </w:rPr>
          <w:t>90/2016</w:t>
        </w:r>
      </w:hyperlink>
      <w:r>
        <w:t>, f. 3.</w:t>
      </w:r>
    </w:p>
    <w:p w:rsidR="0057104C" w:rsidRDefault="0057104C" w:rsidP="0057104C">
      <w:pPr>
        <w:pStyle w:val="SangriaFrancesaArticulo"/>
      </w:pPr>
      <w:r w:rsidRPr="0057104C">
        <w:rPr>
          <w:rStyle w:val="TextoNormalNegritaCaracter"/>
        </w:rPr>
        <w:t>Apartado III.</w:t>
      </w:r>
      <w:r w:rsidRPr="0057104C">
        <w:rPr>
          <w:rStyle w:val="TextoNormalCaracter"/>
        </w:rPr>
        <w:t>-</w:t>
      </w:r>
      <w:r>
        <w:t xml:space="preserve"> Sentencia </w:t>
      </w:r>
      <w:hyperlink w:anchor="SENTENCIA_2016_90" w:history="1">
        <w:r w:rsidRPr="0057104C">
          <w:rPr>
            <w:rStyle w:val="TextoNormalCaracter"/>
          </w:rPr>
          <w:t>90/2016</w:t>
        </w:r>
      </w:hyperlink>
      <w:r>
        <w:t>, f. 3.</w:t>
      </w:r>
    </w:p>
    <w:p w:rsidR="0057104C" w:rsidRDefault="0057104C" w:rsidP="0057104C">
      <w:pPr>
        <w:pStyle w:val="SangriaFrancesaArticulo"/>
      </w:pPr>
    </w:p>
    <w:p w:rsidR="0057104C" w:rsidRDefault="0057104C" w:rsidP="0057104C">
      <w:pPr>
        <w:pStyle w:val="TextoNormalNegritaCursivandice"/>
      </w:pPr>
      <w:r>
        <w:t>Resolución de 13 de mayo de 2013, de la Secretaría de Estado de la Seguridad Social. Se establece el Plan general de actividades preventivas de la Seguridad Social, a aplicar por las mutuas de accidentes de trabajo y enfermedades profesionales de la Seguridad Social en la planificación de sus actividades para el año 2013</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 w:history="1">
        <w:r w:rsidRPr="0057104C">
          <w:rPr>
            <w:rStyle w:val="TextoNormalCaracter"/>
          </w:rPr>
          <w:t>7/2016</w:t>
        </w:r>
      </w:hyperlink>
      <w:r>
        <w:t>, 6.</w:t>
      </w:r>
    </w:p>
    <w:p w:rsidR="0057104C" w:rsidRDefault="0057104C" w:rsidP="0057104C">
      <w:pPr>
        <w:pStyle w:val="SangriaFrancesaArticulo"/>
      </w:pPr>
      <w:r w:rsidRPr="0057104C">
        <w:rPr>
          <w:rStyle w:val="TextoNormalNegritaCaracter"/>
        </w:rPr>
        <w:t>Anexo 2.</w:t>
      </w:r>
      <w:r w:rsidRPr="0057104C">
        <w:rPr>
          <w:rStyle w:val="TextoNormalCaracter"/>
        </w:rPr>
        <w:t>-</w:t>
      </w:r>
      <w:r>
        <w:t xml:space="preserve"> Sentencia </w:t>
      </w:r>
      <w:hyperlink w:anchor="SENTENCIA_2016_7" w:history="1">
        <w:r w:rsidRPr="0057104C">
          <w:rPr>
            <w:rStyle w:val="TextoNormalCaracter"/>
          </w:rPr>
          <w:t>7/2016</w:t>
        </w:r>
      </w:hyperlink>
      <w:r>
        <w:t>, f. 3.</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7" w:history="1">
        <w:r w:rsidRPr="0057104C">
          <w:rPr>
            <w:rStyle w:val="TextoNormalCaracter"/>
          </w:rPr>
          <w:t>7/2016</w:t>
        </w:r>
      </w:hyperlink>
      <w:r>
        <w:t>, f. 3.</w:t>
      </w:r>
    </w:p>
    <w:p w:rsidR="0057104C" w:rsidRDefault="0057104C" w:rsidP="0057104C">
      <w:pPr>
        <w:pStyle w:val="SangriaFrancesaArticulo"/>
      </w:pPr>
      <w:r w:rsidRPr="0057104C">
        <w:rPr>
          <w:rStyle w:val="TextoNormalNegritaCaracter"/>
        </w:rPr>
        <w:t>Apartado Noveno.</w:t>
      </w:r>
      <w:r w:rsidRPr="0057104C">
        <w:rPr>
          <w:rStyle w:val="TextoNormalCaracter"/>
        </w:rPr>
        <w:t>-</w:t>
      </w:r>
      <w:r>
        <w:t xml:space="preserve"> Sentencia </w:t>
      </w:r>
      <w:hyperlink w:anchor="SENTENCIA_2016_7" w:history="1">
        <w:r w:rsidRPr="0057104C">
          <w:rPr>
            <w:rStyle w:val="TextoNormalCaracter"/>
          </w:rPr>
          <w:t>7/2016</w:t>
        </w:r>
      </w:hyperlink>
      <w:r>
        <w:t>, ff. 1, 3, 5.</w:t>
      </w:r>
    </w:p>
    <w:p w:rsidR="0057104C" w:rsidRDefault="0057104C" w:rsidP="0057104C">
      <w:pPr>
        <w:pStyle w:val="SangriaFrancesaArticulo"/>
      </w:pPr>
      <w:r w:rsidRPr="0057104C">
        <w:rPr>
          <w:rStyle w:val="TextoNormalNegritaCaracter"/>
        </w:rPr>
        <w:t>Apartado Noveno</w:t>
      </w:r>
      <w:r>
        <w:t xml:space="preserve"> (redacción dada por Resolución de 21 de mayo de 2014)</w:t>
      </w:r>
      <w:r w:rsidRPr="0057104C">
        <w:rPr>
          <w:rStyle w:val="TextoNormalNegritaCaracter"/>
        </w:rPr>
        <w:t>.</w:t>
      </w:r>
      <w:r w:rsidRPr="0057104C">
        <w:rPr>
          <w:rStyle w:val="TextoNormalCaracter"/>
        </w:rPr>
        <w:t>-</w:t>
      </w:r>
      <w:r>
        <w:t xml:space="preserve"> Sentencia </w:t>
      </w:r>
      <w:hyperlink w:anchor="SENTENCIA_2016_7" w:history="1">
        <w:r w:rsidRPr="0057104C">
          <w:rPr>
            <w:rStyle w:val="TextoNormalCaracter"/>
          </w:rPr>
          <w:t>7/2016</w:t>
        </w:r>
      </w:hyperlink>
      <w:r>
        <w:t>, f. 2.</w:t>
      </w:r>
    </w:p>
    <w:p w:rsidR="0057104C" w:rsidRDefault="0057104C" w:rsidP="0057104C">
      <w:pPr>
        <w:pStyle w:val="SangriaFrancesaArticulo"/>
      </w:pPr>
      <w:r w:rsidRPr="0057104C">
        <w:rPr>
          <w:rStyle w:val="TextoNormalNegritaCaracter"/>
        </w:rPr>
        <w:t>Apartado Noveno</w:t>
      </w:r>
      <w:r>
        <w:t xml:space="preserve"> (redacción dada por Resolución de 4 de mayo de 2015)</w:t>
      </w:r>
      <w:r w:rsidRPr="0057104C">
        <w:rPr>
          <w:rStyle w:val="TextoNormalNegritaCaracter"/>
        </w:rPr>
        <w:t>.</w:t>
      </w:r>
      <w:r w:rsidRPr="0057104C">
        <w:rPr>
          <w:rStyle w:val="TextoNormalCaracter"/>
        </w:rPr>
        <w:t>-</w:t>
      </w:r>
      <w:r>
        <w:t xml:space="preserve"> Sentencia </w:t>
      </w:r>
      <w:hyperlink w:anchor="SENTENCIA_2016_7" w:history="1">
        <w:r w:rsidRPr="0057104C">
          <w:rPr>
            <w:rStyle w:val="TextoNormalCaracter"/>
          </w:rPr>
          <w:t>7/2016</w:t>
        </w:r>
      </w:hyperlink>
      <w:r>
        <w:t>, f. 2.</w:t>
      </w:r>
    </w:p>
    <w:p w:rsidR="0057104C" w:rsidRDefault="0057104C" w:rsidP="0057104C">
      <w:pPr>
        <w:pStyle w:val="SangriaFrancesaArticulo"/>
      </w:pPr>
    </w:p>
    <w:p w:rsidR="0057104C" w:rsidRDefault="0057104C" w:rsidP="0057104C">
      <w:pPr>
        <w:pStyle w:val="TextoNormalNegritaCursivandice"/>
      </w:pPr>
      <w:r>
        <w:t>Orden HAP/196/2015, de 21 de enero. Aprueba las bases reguladoras de las subvenciones que tengan por finalidad la ejecución de obras de reparación o restitución de: infraestructuras, equipamientos e instalaciones y servicios de titularidad municipal y de las mancomunidades, consecuencia de catástrofes naturales, así como redes viarias de las diputaciones provinciales, cabildos, consejos insulares y comunidades autónomas uniprovinciales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7" w:history="1">
        <w:r w:rsidRPr="0057104C">
          <w:rPr>
            <w:rStyle w:val="TextoNormalCaracter"/>
          </w:rPr>
          <w:t>87/2016</w:t>
        </w:r>
      </w:hyperlink>
      <w:r>
        <w:t>, ff. 1 a 6.</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87" w:history="1">
        <w:r w:rsidRPr="0057104C">
          <w:rPr>
            <w:rStyle w:val="TextoNormalCaracter"/>
          </w:rPr>
          <w:t>87/2016</w:t>
        </w:r>
      </w:hyperlink>
      <w:r>
        <w:t>, f. 4.</w:t>
      </w:r>
    </w:p>
    <w:p w:rsidR="0057104C" w:rsidRDefault="0057104C" w:rsidP="0057104C">
      <w:pPr>
        <w:pStyle w:val="SangriaFrancesaArticulo"/>
      </w:pPr>
      <w:r w:rsidRPr="0057104C">
        <w:rPr>
          <w:rStyle w:val="TextoNormalNegritaCaracter"/>
        </w:rPr>
        <w:t>Artículo 1 párrafo 2.</w:t>
      </w:r>
      <w:r w:rsidRPr="0057104C">
        <w:rPr>
          <w:rStyle w:val="TextoNormalCaracter"/>
        </w:rPr>
        <w:t>-</w:t>
      </w:r>
      <w:r>
        <w:t xml:space="preserve"> Sentencia </w:t>
      </w:r>
      <w:hyperlink w:anchor="SENTENCIA_2016_87" w:history="1">
        <w:r w:rsidRPr="0057104C">
          <w:rPr>
            <w:rStyle w:val="TextoNormalCaracter"/>
          </w:rPr>
          <w:t>87/2016</w:t>
        </w:r>
      </w:hyperlink>
      <w:r>
        <w:t>, f. 2.</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87" w:history="1">
        <w:r w:rsidRPr="0057104C">
          <w:rPr>
            <w:rStyle w:val="TextoNormalCaracter"/>
          </w:rPr>
          <w:t>87/2016</w:t>
        </w:r>
      </w:hyperlink>
      <w:r>
        <w:t>, ff. 3, 7.</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87" w:history="1">
        <w:r w:rsidRPr="0057104C">
          <w:rPr>
            <w:rStyle w:val="TextoNormalCaracter"/>
          </w:rPr>
          <w:t>87/2016</w:t>
        </w:r>
      </w:hyperlink>
      <w:r>
        <w:t>, f. 4.</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87" w:history="1">
        <w:r w:rsidRPr="0057104C">
          <w:rPr>
            <w:rStyle w:val="TextoNormalCaracter"/>
          </w:rPr>
          <w:t>87/2016</w:t>
        </w:r>
      </w:hyperlink>
      <w:r>
        <w:t>, ff. 1, 7.</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87" w:history="1">
        <w:r w:rsidRPr="0057104C">
          <w:rPr>
            <w:rStyle w:val="TextoNormalCaracter"/>
          </w:rPr>
          <w:t>87/2016</w:t>
        </w:r>
      </w:hyperlink>
      <w:r>
        <w:t>, ff. 1, 7.</w:t>
      </w:r>
    </w:p>
    <w:p w:rsidR="0057104C" w:rsidRDefault="0057104C" w:rsidP="0057104C">
      <w:pPr>
        <w:pStyle w:val="SangriaFrancesaArticulo"/>
      </w:pPr>
      <w:r w:rsidRPr="0057104C">
        <w:rPr>
          <w:rStyle w:val="TextoNormalNegritaCaracter"/>
        </w:rPr>
        <w:t>Artículo 6 apartados 3, 4.</w:t>
      </w:r>
      <w:r w:rsidRPr="0057104C">
        <w:rPr>
          <w:rStyle w:val="TextoNormalCaracter"/>
        </w:rPr>
        <w:t>-</w:t>
      </w:r>
      <w:r>
        <w:t xml:space="preserve"> Sentencia </w:t>
      </w:r>
      <w:hyperlink w:anchor="SENTENCIA_2016_87" w:history="1">
        <w:r w:rsidRPr="0057104C">
          <w:rPr>
            <w:rStyle w:val="TextoNormalCaracter"/>
          </w:rPr>
          <w:t>87/2016</w:t>
        </w:r>
      </w:hyperlink>
      <w:r>
        <w:t>, f. 7.</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87" w:history="1">
        <w:r w:rsidRPr="0057104C">
          <w:rPr>
            <w:rStyle w:val="TextoNormalCaracter"/>
          </w:rPr>
          <w:t>87/2016</w:t>
        </w:r>
      </w:hyperlink>
      <w:r>
        <w:t>, ff. 1, 7.</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87" w:history="1">
        <w:r w:rsidRPr="0057104C">
          <w:rPr>
            <w:rStyle w:val="TextoNormalCaracter"/>
          </w:rPr>
          <w:t>87/2016</w:t>
        </w:r>
      </w:hyperlink>
      <w:r>
        <w:t>, ff. 1, 7.</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87" w:history="1">
        <w:r w:rsidRPr="0057104C">
          <w:rPr>
            <w:rStyle w:val="TextoNormalCaracter"/>
          </w:rPr>
          <w:t>87/2016</w:t>
        </w:r>
      </w:hyperlink>
      <w:r>
        <w:t>, ff. 1, 7.</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87" w:history="1">
        <w:r w:rsidRPr="0057104C">
          <w:rPr>
            <w:rStyle w:val="TextoNormalCaracter"/>
          </w:rPr>
          <w:t>87/2016</w:t>
        </w:r>
      </w:hyperlink>
      <w:r>
        <w:t>, ff. 1, 7.</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87" w:history="1">
        <w:r w:rsidRPr="0057104C">
          <w:rPr>
            <w:rStyle w:val="TextoNormalCaracter"/>
          </w:rPr>
          <w:t>87/2016</w:t>
        </w:r>
      </w:hyperlink>
      <w:r>
        <w:t>, ff. 1, 5, 7.</w:t>
      </w:r>
    </w:p>
    <w:p w:rsidR="0057104C" w:rsidRDefault="0057104C" w:rsidP="0057104C">
      <w:pPr>
        <w:pStyle w:val="SangriaFrancesaArticulo"/>
      </w:pPr>
    </w:p>
    <w:p w:rsidR="0057104C" w:rsidRDefault="0057104C" w:rsidP="0057104C">
      <w:pPr>
        <w:pStyle w:val="TextoNormalNegritaCursivandice"/>
      </w:pPr>
      <w:r>
        <w:t>Orden FOM/710/2015, de 30 de enero. Aprobación del Catálogo de líneas y tramos de la Red Ferroviaria de Interés General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4" w:history="1">
        <w:r w:rsidRPr="0057104C">
          <w:rPr>
            <w:rStyle w:val="TextoNormalCaracter"/>
          </w:rPr>
          <w:t>124/2016</w:t>
        </w:r>
      </w:hyperlink>
      <w:r>
        <w:t>, ff. 5, 7 a 11.</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124" w:history="1">
        <w:r w:rsidRPr="0057104C">
          <w:rPr>
            <w:rStyle w:val="TextoNormalCaracter"/>
          </w:rPr>
          <w:t>124/2016</w:t>
        </w:r>
      </w:hyperlink>
      <w:r>
        <w:t>, ff. 4, 6.</w:t>
      </w:r>
    </w:p>
    <w:p w:rsidR="0057104C" w:rsidRDefault="0057104C" w:rsidP="0057104C">
      <w:pPr>
        <w:pStyle w:val="SangriaFrancesaArticulo"/>
      </w:pPr>
      <w:r w:rsidRPr="0057104C">
        <w:rPr>
          <w:rStyle w:val="TextoNormalNegritaCaracter"/>
        </w:rPr>
        <w:t>Anexo.</w:t>
      </w:r>
      <w:r w:rsidRPr="0057104C">
        <w:rPr>
          <w:rStyle w:val="TextoNormalCaracter"/>
        </w:rPr>
        <w:t>-</w:t>
      </w:r>
      <w:r>
        <w:t xml:space="preserve"> Sentencia </w:t>
      </w:r>
      <w:hyperlink w:anchor="SENTENCIA_2016_124" w:history="1">
        <w:r w:rsidRPr="0057104C">
          <w:rPr>
            <w:rStyle w:val="TextoNormalCaracter"/>
          </w:rPr>
          <w:t>124/2016</w:t>
        </w:r>
      </w:hyperlink>
      <w:r>
        <w:t>, ff. 1, 2.</w:t>
      </w:r>
    </w:p>
    <w:p w:rsidR="0057104C" w:rsidRDefault="0057104C" w:rsidP="0057104C">
      <w:pPr>
        <w:pStyle w:val="SangriaFrancesaArticulo"/>
      </w:pPr>
      <w:r w:rsidRPr="0057104C">
        <w:rPr>
          <w:rStyle w:val="TextoNormalNegritaCaracter"/>
        </w:rPr>
        <w:t>Anexo, apartado 1.</w:t>
      </w:r>
      <w:r w:rsidRPr="0057104C">
        <w:rPr>
          <w:rStyle w:val="TextoNormalCaracter"/>
        </w:rPr>
        <w:t>-</w:t>
      </w:r>
      <w:r>
        <w:t xml:space="preserve"> Sentencia </w:t>
      </w:r>
      <w:hyperlink w:anchor="SENTENCIA_2016_124" w:history="1">
        <w:r w:rsidRPr="0057104C">
          <w:rPr>
            <w:rStyle w:val="TextoNormalCaracter"/>
          </w:rPr>
          <w:t>124/2016</w:t>
        </w:r>
      </w:hyperlink>
      <w:r>
        <w:t>, ff. 4, 7.</w:t>
      </w:r>
    </w:p>
    <w:p w:rsidR="0057104C" w:rsidRDefault="0057104C" w:rsidP="0057104C">
      <w:pPr>
        <w:pStyle w:val="SangriaFrancesaArticulo"/>
      </w:pPr>
    </w:p>
    <w:p w:rsidR="0057104C" w:rsidRDefault="0057104C" w:rsidP="0057104C">
      <w:pPr>
        <w:pStyle w:val="TextoNormalNegritaCursivandice"/>
      </w:pPr>
      <w:r>
        <w:t>Decreto 5/2015, de 30 de marzo, del Presidente. Se convocan elecciones a la Asamblea de Extremadura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 w:history="1">
        <w:r w:rsidRPr="0057104C">
          <w:rPr>
            <w:rStyle w:val="TextoNormalCaracter"/>
          </w:rPr>
          <w:t>10/2016</w:t>
        </w:r>
      </w:hyperlink>
      <w:r>
        <w:t>, f. 6.</w:t>
      </w:r>
    </w:p>
    <w:p w:rsidR="0057104C" w:rsidRDefault="0057104C" w:rsidP="0057104C">
      <w:pPr>
        <w:pStyle w:val="SangriaFrancesaArticulo"/>
      </w:pPr>
    </w:p>
    <w:p w:rsidR="0057104C" w:rsidRDefault="0057104C" w:rsidP="0057104C">
      <w:pPr>
        <w:pStyle w:val="TextoNormalNegritaCursivandice"/>
      </w:pPr>
      <w:r>
        <w:t>Real Decreto 420/2015, de 29 de mayo. Creación, reconocimiento, autorización y acreditación de universidades y centros universitarios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26" w:history="1">
        <w:r w:rsidRPr="0057104C">
          <w:rPr>
            <w:rStyle w:val="TextoNormalCaracter"/>
          </w:rPr>
          <w:t>26/2016</w:t>
        </w:r>
      </w:hyperlink>
      <w:r>
        <w:t>, f. 5.</w:t>
      </w:r>
    </w:p>
    <w:p w:rsidR="0057104C" w:rsidRDefault="0057104C" w:rsidP="0057104C">
      <w:pPr>
        <w:pStyle w:val="SangriaFrancesaArticulo"/>
      </w:pPr>
    </w:p>
    <w:p w:rsidR="0057104C" w:rsidRDefault="0057104C" w:rsidP="0057104C">
      <w:pPr>
        <w:pStyle w:val="TextoNormalNegritaCursivandice"/>
      </w:pPr>
      <w:r>
        <w:t>Resolución de 20 de julio de 2015, de la Subsecretaría. Publicación del Acuerdo del Consejo de Ministros de 17 de julio de 2015, por el que se modifica el Acuerdo del Consejo de Ministros de 14 de noviembre de 2014, que aprueba el Plan de Seguros Agrarios Combinados para el ejercicio 2015</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4" w:history="1">
        <w:r w:rsidRPr="0057104C">
          <w:rPr>
            <w:rStyle w:val="TextoNormalCaracter"/>
          </w:rPr>
          <w:t>124/2016</w:t>
        </w:r>
      </w:hyperlink>
      <w:r>
        <w:t>, ff. 4, 7, 9, 11.</w:t>
      </w:r>
    </w:p>
    <w:p w:rsidR="0057104C" w:rsidRDefault="0057104C" w:rsidP="0057104C">
      <w:pPr>
        <w:pStyle w:val="SangriaFrancesaArticulo"/>
      </w:pPr>
    </w:p>
    <w:p w:rsidR="0057104C" w:rsidRDefault="0057104C" w:rsidP="0057104C">
      <w:pPr>
        <w:pStyle w:val="TextoNormalNegritaCursivandice"/>
      </w:pPr>
      <w:r>
        <w:t>Resolución de 18 de septiembre de 2015, conjunta de las Secretarías de Estado de Presupuestos y Gastos y de Administraciones Públicas. Se dictan instrucciones para la aplicación efectiva, en el ámbito del sector público estatal, de las previsiones del artículo 1 del Real Decreto-ley 10/2015, de 11 de septiembre, por el que se conceden créditos extraordinarios y suplementos de crédito en el presupuesto del Estado y se adoptan otras medidas en materia de empleo público y de estímulo a la economía</w:t>
      </w:r>
    </w:p>
    <w:p w:rsidR="0057104C" w:rsidRDefault="0057104C" w:rsidP="0057104C">
      <w:pPr>
        <w:pStyle w:val="SangriaFrancesaArticulo"/>
      </w:pPr>
      <w:r w:rsidRPr="0057104C">
        <w:rPr>
          <w:rStyle w:val="TextoNormalNegritaCaracter"/>
        </w:rPr>
        <w:t>Apartado III.</w:t>
      </w:r>
      <w:r w:rsidRPr="0057104C">
        <w:rPr>
          <w:rStyle w:val="TextoNormalCaracter"/>
        </w:rPr>
        <w:t>-</w:t>
      </w:r>
      <w:r>
        <w:t xml:space="preserve"> Sentencia </w:t>
      </w:r>
      <w:hyperlink w:anchor="SENTENCIA_2016_90" w:history="1">
        <w:r w:rsidRPr="0057104C">
          <w:rPr>
            <w:rStyle w:val="TextoNormalCaracter"/>
          </w:rPr>
          <w:t>90/2016</w:t>
        </w:r>
      </w:hyperlink>
      <w:r>
        <w:t>, f. 3.</w:t>
      </w:r>
    </w:p>
    <w:p w:rsidR="0057104C" w:rsidRDefault="0057104C" w:rsidP="0057104C">
      <w:pPr>
        <w:pStyle w:val="SangriaFrancesaArticulo"/>
      </w:pPr>
    </w:p>
    <w:p w:rsidR="0057104C" w:rsidRDefault="0057104C" w:rsidP="0057104C">
      <w:pPr>
        <w:pStyle w:val="TextoNormalNegritaCursivandice"/>
      </w:pPr>
      <w:r>
        <w:t>Real Decreto 900/2015, de 9 de octubre. Se regulan las condiciones administrativas, técnicas y económicas de las modalidades de suministro de energía eléctrica con autoconsumo y de producción con autoconsumo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32" w:history="1">
        <w:r w:rsidRPr="0057104C">
          <w:rPr>
            <w:rStyle w:val="TextoNormalCaracter"/>
          </w:rPr>
          <w:t>32/2016</w:t>
        </w:r>
      </w:hyperlink>
      <w:r>
        <w:t xml:space="preserve">, f. 6; </w:t>
      </w:r>
      <w:hyperlink w:anchor="SENTENCIA_2016_60" w:history="1">
        <w:r w:rsidRPr="0057104C">
          <w:rPr>
            <w:rStyle w:val="TextoNormalCaracter"/>
          </w:rPr>
          <w:t>60/2016</w:t>
        </w:r>
      </w:hyperlink>
      <w:r>
        <w:t xml:space="preserve">, f. 3; </w:t>
      </w:r>
      <w:hyperlink w:anchor="SENTENCIA_2016_72" w:history="1">
        <w:r w:rsidRPr="0057104C">
          <w:rPr>
            <w:rStyle w:val="TextoNormalCaracter"/>
          </w:rPr>
          <w:t>72/2016</w:t>
        </w:r>
      </w:hyperlink>
      <w:r>
        <w:t>, f. 3.</w:t>
      </w:r>
    </w:p>
    <w:p w:rsidR="0057104C" w:rsidRDefault="0057104C" w:rsidP="0057104C">
      <w:pPr>
        <w:pStyle w:val="SangriaFrancesaArticulo"/>
      </w:pPr>
    </w:p>
    <w:p w:rsidR="0057104C" w:rsidRDefault="0057104C" w:rsidP="0057104C">
      <w:pPr>
        <w:pStyle w:val="TextoNormalNegritaCursivandice"/>
      </w:pPr>
      <w:r>
        <w:t>Real Decreto 988/2015, de 30 de octubre. Se regula el régimen jurídico de la obligación de financiación anticipada de determinadas obras audiovisuales europeas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5" w:history="1">
        <w:r w:rsidRPr="0057104C">
          <w:rPr>
            <w:rStyle w:val="TextoNormalCaracter"/>
          </w:rPr>
          <w:t>35/2016</w:t>
        </w:r>
      </w:hyperlink>
      <w:r>
        <w:t>, f. 2.</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Sentencia </w:t>
      </w:r>
      <w:hyperlink w:anchor="SENTENCIA_2016_35" w:history="1">
        <w:r w:rsidRPr="0057104C">
          <w:rPr>
            <w:rStyle w:val="TextoNormalCaracter"/>
          </w:rPr>
          <w:t>35/2016</w:t>
        </w:r>
      </w:hyperlink>
      <w:r>
        <w:t>, f. 2.</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35" w:history="1">
        <w:r w:rsidRPr="0057104C">
          <w:rPr>
            <w:rStyle w:val="TextoNormalCaracter"/>
          </w:rPr>
          <w:t>35/2016</w:t>
        </w:r>
      </w:hyperlink>
      <w:r>
        <w:t>, f. 2.</w:t>
      </w:r>
    </w:p>
    <w:p w:rsidR="0057104C" w:rsidRDefault="0057104C" w:rsidP="0057104C">
      <w:pPr>
        <w:pStyle w:val="SangriaFrancesaArticulo"/>
      </w:pPr>
    </w:p>
    <w:p w:rsidR="0057104C" w:rsidRDefault="0057104C" w:rsidP="0057104C">
      <w:pPr>
        <w:pStyle w:val="TextoNormalNegritaCursivandice"/>
      </w:pPr>
      <w:r>
        <w:t>Real Decreto 1073/2015, de 27 de noviembre. Se modifican distintas disposiciones en los reales decretos de retribución de redes eléctricas</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120" w:history="1">
        <w:r w:rsidRPr="0057104C">
          <w:rPr>
            <w:rStyle w:val="TextoNormalCaracter"/>
          </w:rPr>
          <w:t>120/2016</w:t>
        </w:r>
      </w:hyperlink>
      <w:r>
        <w:t>, f. 1.</w:t>
      </w:r>
    </w:p>
    <w:p w:rsidR="0057104C" w:rsidRDefault="0057104C" w:rsidP="0057104C">
      <w:pPr>
        <w:pStyle w:val="SangriaFrancesaArticulo"/>
      </w:pPr>
    </w:p>
    <w:p w:rsidR="0057104C" w:rsidRDefault="0057104C" w:rsidP="0057104C">
      <w:pPr>
        <w:pStyle w:val="TextoNormalNegritaCursivandice"/>
      </w:pPr>
      <w:r>
        <w:t>Resolución de 18 de abril de 2016, conjunta de las Secretarías de Estado de Presupuestos y Gastos y de Administraciones Públicas. Se dictan instrucciones para la aplicación efectiva, en el ámbito del sector público estatal, de las previsiones de la disposición adicional duodécima de la Ley 48/2015, de 29 de octubre, de Presupuestos Generales del Estado para el año 2016</w:t>
      </w:r>
    </w:p>
    <w:p w:rsidR="0057104C" w:rsidRDefault="0057104C" w:rsidP="0057104C">
      <w:pPr>
        <w:pStyle w:val="SangriaFrancesaArticulo"/>
      </w:pPr>
      <w:r w:rsidRPr="0057104C">
        <w:rPr>
          <w:rStyle w:val="TextoNormalNegritaCaracter"/>
        </w:rPr>
        <w:t>Apartado III.</w:t>
      </w:r>
      <w:r w:rsidRPr="0057104C">
        <w:rPr>
          <w:rStyle w:val="TextoNormalCaracter"/>
        </w:rPr>
        <w:t>-</w:t>
      </w:r>
      <w:r>
        <w:t xml:space="preserve"> Sentencia </w:t>
      </w:r>
      <w:hyperlink w:anchor="SENTENCIA_2016_90" w:history="1">
        <w:r w:rsidRPr="0057104C">
          <w:rPr>
            <w:rStyle w:val="TextoNormalCaracter"/>
          </w:rPr>
          <w:t>90/2016</w:t>
        </w:r>
      </w:hyperlink>
      <w:r>
        <w:t>, f. 3.</w:t>
      </w:r>
    </w:p>
    <w:p w:rsidR="0057104C" w:rsidRDefault="0057104C" w:rsidP="0057104C">
      <w:pPr>
        <w:pStyle w:val="TextoNormal"/>
      </w:pPr>
    </w:p>
    <w:p w:rsidR="0057104C" w:rsidRDefault="0057104C" w:rsidP="0057104C">
      <w:pPr>
        <w:pStyle w:val="SangriaFrancesaArticulo"/>
      </w:pPr>
      <w:bookmarkStart w:id="274" w:name="INDICE22850"/>
    </w:p>
    <w:bookmarkEnd w:id="274"/>
    <w:p w:rsidR="0057104C" w:rsidRDefault="0057104C" w:rsidP="0057104C">
      <w:pPr>
        <w:pStyle w:val="TextoIndiceNivel2"/>
        <w:suppressAutoHyphens/>
      </w:pPr>
      <w:r>
        <w:t>I) Legislación preconstitucional</w:t>
      </w:r>
    </w:p>
    <w:p w:rsidR="0057104C" w:rsidRDefault="0057104C" w:rsidP="0057104C">
      <w:pPr>
        <w:pStyle w:val="TextoIndiceNivel2"/>
      </w:pPr>
    </w:p>
    <w:p w:rsidR="0057104C" w:rsidRDefault="0057104C" w:rsidP="0057104C">
      <w:pPr>
        <w:pStyle w:val="TextoNormalNegritaCursivandice"/>
      </w:pPr>
      <w:r>
        <w:t>Real Decreto de 14 de septiembre de 1882. Ley de enjuiciamiento criminal</w:t>
      </w:r>
    </w:p>
    <w:p w:rsidR="0057104C" w:rsidRDefault="0057104C" w:rsidP="0057104C">
      <w:pPr>
        <w:pStyle w:val="SangriaFrancesaArticulo"/>
      </w:pPr>
      <w:r w:rsidRPr="0057104C">
        <w:rPr>
          <w:rStyle w:val="TextoNormalNegritaCaracter"/>
        </w:rPr>
        <w:t>Artículo 739.</w:t>
      </w:r>
      <w:r w:rsidRPr="0057104C">
        <w:rPr>
          <w:rStyle w:val="TextoNormalCaracter"/>
        </w:rPr>
        <w:t>-</w:t>
      </w:r>
      <w:r>
        <w:t xml:space="preserve"> Sentencia </w:t>
      </w:r>
      <w:hyperlink w:anchor="SENTENCIA_2016_105" w:history="1">
        <w:r w:rsidRPr="0057104C">
          <w:rPr>
            <w:rStyle w:val="TextoNormalCaracter"/>
          </w:rPr>
          <w:t>105/2016</w:t>
        </w:r>
      </w:hyperlink>
      <w:r>
        <w:t>, f. 7.</w:t>
      </w:r>
    </w:p>
    <w:p w:rsidR="0057104C" w:rsidRDefault="0057104C" w:rsidP="0057104C">
      <w:pPr>
        <w:pStyle w:val="SangriaFrancesaArticulo"/>
      </w:pPr>
    </w:p>
    <w:p w:rsidR="0057104C" w:rsidRDefault="0057104C" w:rsidP="0057104C">
      <w:pPr>
        <w:pStyle w:val="TextoNormalNegritaCursivandice"/>
      </w:pPr>
      <w:r>
        <w:t>Real Decreto de 24 de julio de 1889. Código civil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82" w:history="1">
        <w:r w:rsidRPr="0057104C">
          <w:rPr>
            <w:rStyle w:val="TextoNormalCaracter"/>
          </w:rPr>
          <w:t>82/2016</w:t>
        </w:r>
      </w:hyperlink>
      <w:r>
        <w:t xml:space="preserve">, f. 2, VP; </w:t>
      </w:r>
      <w:hyperlink w:anchor="SENTENCIA_2016_110" w:history="1">
        <w:r w:rsidRPr="0057104C">
          <w:rPr>
            <w:rStyle w:val="TextoNormalCaracter"/>
          </w:rPr>
          <w:t>110/2016</w:t>
        </w:r>
      </w:hyperlink>
      <w:r>
        <w:t>, f. 3, VP.</w:t>
      </w:r>
    </w:p>
    <w:p w:rsidR="0057104C" w:rsidRDefault="0057104C" w:rsidP="0057104C">
      <w:pPr>
        <w:pStyle w:val="SangriaFrancesaArticulo"/>
      </w:pPr>
      <w:r w:rsidRPr="0057104C">
        <w:rPr>
          <w:rStyle w:val="TextoNormalNegritaCaracter"/>
        </w:rPr>
        <w:t>Título preliminar.</w:t>
      </w:r>
      <w:r w:rsidRPr="0057104C">
        <w:rPr>
          <w:rStyle w:val="TextoNormalCaracter"/>
        </w:rPr>
        <w:t>-</w:t>
      </w:r>
      <w:r>
        <w:t xml:space="preserve"> Sentencia </w:t>
      </w:r>
      <w:hyperlink w:anchor="SENTENCIA_2016_110" w:history="1">
        <w:r w:rsidRPr="0057104C">
          <w:rPr>
            <w:rStyle w:val="TextoNormalCaracter"/>
          </w:rPr>
          <w:t>110/2016</w:t>
        </w:r>
      </w:hyperlink>
      <w:r>
        <w:t>, f. 6.</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82" w:history="1">
        <w:r w:rsidRPr="0057104C">
          <w:rPr>
            <w:rStyle w:val="TextoNormalCaracter"/>
          </w:rPr>
          <w:t>82/2016</w:t>
        </w:r>
      </w:hyperlink>
      <w:r>
        <w:t>, f. 5.</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Sentencias </w:t>
      </w:r>
      <w:hyperlink w:anchor="SENTENCIA_2016_82" w:history="1">
        <w:r w:rsidRPr="0057104C">
          <w:rPr>
            <w:rStyle w:val="TextoNormalCaracter"/>
          </w:rPr>
          <w:t>82/2016</w:t>
        </w:r>
      </w:hyperlink>
      <w:r>
        <w:t xml:space="preserve">, f. 6; </w:t>
      </w:r>
      <w:hyperlink w:anchor="SENTENCIA_2016_110" w:history="1">
        <w:r w:rsidRPr="0057104C">
          <w:rPr>
            <w:rStyle w:val="TextoNormalCaracter"/>
          </w:rPr>
          <w:t>110/2016</w:t>
        </w:r>
      </w:hyperlink>
      <w:r>
        <w:t>, f. 6.</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Sentencia </w:t>
      </w:r>
      <w:hyperlink w:anchor="SENTENCIA_2016_82" w:history="1">
        <w:r w:rsidRPr="0057104C">
          <w:rPr>
            <w:rStyle w:val="TextoNormalCaracter"/>
          </w:rPr>
          <w:t>82/2016</w:t>
        </w:r>
      </w:hyperlink>
      <w:r>
        <w:t>, f. 3.</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40" w:history="1">
        <w:r w:rsidRPr="0057104C">
          <w:rPr>
            <w:rStyle w:val="TextoNormalCaracter"/>
          </w:rPr>
          <w:t>40/2016</w:t>
        </w:r>
      </w:hyperlink>
      <w:r>
        <w:t>, f. 2.</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44</w:t>
      </w:r>
      <w:r>
        <w:t xml:space="preserve"> (redactado por la Ley 13/2005, de 1 de julio)</w:t>
      </w:r>
      <w:r w:rsidRPr="0057104C">
        <w:rPr>
          <w:rStyle w:val="TextoNormalNegritaCaracter"/>
        </w:rPr>
        <w:t>.</w:t>
      </w:r>
      <w:r w:rsidRPr="0057104C">
        <w:rPr>
          <w:rStyle w:val="TextoNormalCaracter"/>
        </w:rPr>
        <w:t>-</w:t>
      </w:r>
      <w:r>
        <w:t xml:space="preserve"> Auto </w:t>
      </w:r>
      <w:hyperlink w:anchor="AUTO_2016_129" w:history="1">
        <w:r w:rsidRPr="0057104C">
          <w:rPr>
            <w:rStyle w:val="TextoNormalCaracter"/>
          </w:rPr>
          <w:t>129/2016</w:t>
        </w:r>
      </w:hyperlink>
      <w:r>
        <w:t>, ff. 2, 4.</w:t>
      </w:r>
    </w:p>
    <w:p w:rsidR="0057104C" w:rsidRDefault="0057104C" w:rsidP="0057104C">
      <w:pPr>
        <w:pStyle w:val="SangriaFrancesaArticulo"/>
      </w:pPr>
      <w:r w:rsidRPr="0057104C">
        <w:rPr>
          <w:rStyle w:val="TextoNormalNegritaCaracter"/>
        </w:rPr>
        <w:t>Artículo 199.</w:t>
      </w:r>
      <w:r w:rsidRPr="0057104C">
        <w:rPr>
          <w:rStyle w:val="TextoNormalCaracter"/>
        </w:rPr>
        <w:t>-</w:t>
      </w:r>
      <w:r>
        <w:t xml:space="preserve"> Sentencia </w:t>
      </w:r>
      <w:hyperlink w:anchor="SENTENCIA_2016_34" w:history="1">
        <w:r w:rsidRPr="0057104C">
          <w:rPr>
            <w:rStyle w:val="TextoNormalCaracter"/>
          </w:rPr>
          <w:t>34/2016</w:t>
        </w:r>
      </w:hyperlink>
      <w:r>
        <w:t>, f. 4.</w:t>
      </w:r>
    </w:p>
    <w:p w:rsidR="0057104C" w:rsidRDefault="0057104C" w:rsidP="0057104C">
      <w:pPr>
        <w:pStyle w:val="SangriaFrancesaArticulo"/>
      </w:pPr>
      <w:r w:rsidRPr="0057104C">
        <w:rPr>
          <w:rStyle w:val="TextoNormalNegritaCaracter"/>
        </w:rPr>
        <w:t>Artículo 200.</w:t>
      </w:r>
      <w:r w:rsidRPr="0057104C">
        <w:rPr>
          <w:rStyle w:val="TextoNormalCaracter"/>
        </w:rPr>
        <w:t>-</w:t>
      </w:r>
      <w:r>
        <w:t xml:space="preserve"> Sentencia </w:t>
      </w:r>
      <w:hyperlink w:anchor="SENTENCIA_2016_34" w:history="1">
        <w:r w:rsidRPr="0057104C">
          <w:rPr>
            <w:rStyle w:val="TextoNormalCaracter"/>
          </w:rPr>
          <w:t>34/2016</w:t>
        </w:r>
      </w:hyperlink>
      <w:r>
        <w:t>, ff. 4, 6.</w:t>
      </w:r>
    </w:p>
    <w:p w:rsidR="0057104C" w:rsidRDefault="0057104C" w:rsidP="0057104C">
      <w:pPr>
        <w:pStyle w:val="SangriaFrancesaArticulo"/>
      </w:pPr>
      <w:r w:rsidRPr="0057104C">
        <w:rPr>
          <w:rStyle w:val="TextoNormalNegritaCaracter"/>
        </w:rPr>
        <w:t>Artículo 208.</w:t>
      </w:r>
      <w:r w:rsidRPr="0057104C">
        <w:rPr>
          <w:rStyle w:val="TextoNormalCaracter"/>
        </w:rPr>
        <w:t>-</w:t>
      </w:r>
      <w:r>
        <w:t xml:space="preserve"> Sentencia </w:t>
      </w:r>
      <w:hyperlink w:anchor="SENTENCIA_2016_34" w:history="1">
        <w:r w:rsidRPr="0057104C">
          <w:rPr>
            <w:rStyle w:val="TextoNormalCaracter"/>
          </w:rPr>
          <w:t>34/2016</w:t>
        </w:r>
      </w:hyperlink>
      <w:r>
        <w:t>, f. 4.</w:t>
      </w:r>
    </w:p>
    <w:p w:rsidR="0057104C" w:rsidRDefault="0057104C" w:rsidP="0057104C">
      <w:pPr>
        <w:pStyle w:val="SangriaFrancesaArticulo"/>
      </w:pPr>
      <w:r w:rsidRPr="0057104C">
        <w:rPr>
          <w:rStyle w:val="TextoNormalNegritaCaracter"/>
        </w:rPr>
        <w:t>Artículo 211.</w:t>
      </w:r>
      <w:r w:rsidRPr="0057104C">
        <w:rPr>
          <w:rStyle w:val="TextoNormalCaracter"/>
        </w:rPr>
        <w:t>-</w:t>
      </w:r>
      <w:r>
        <w:t xml:space="preserve"> Sentencia </w:t>
      </w:r>
      <w:hyperlink w:anchor="SENTENCIA_2016_34" w:history="1">
        <w:r w:rsidRPr="0057104C">
          <w:rPr>
            <w:rStyle w:val="TextoNormalCaracter"/>
          </w:rPr>
          <w:t>34/2016</w:t>
        </w:r>
      </w:hyperlink>
      <w:r>
        <w:t>, f. 5.</w:t>
      </w:r>
    </w:p>
    <w:p w:rsidR="0057104C" w:rsidRDefault="0057104C" w:rsidP="0057104C">
      <w:pPr>
        <w:pStyle w:val="SangriaFrancesaArticulo"/>
      </w:pPr>
      <w:r w:rsidRPr="0057104C">
        <w:rPr>
          <w:rStyle w:val="TextoNormalNegritaCaracter"/>
        </w:rPr>
        <w:t>Artículo 1156.</w:t>
      </w:r>
      <w:r w:rsidRPr="0057104C">
        <w:rPr>
          <w:rStyle w:val="TextoNormalCaracter"/>
        </w:rPr>
        <w:t>-</w:t>
      </w:r>
      <w:r>
        <w:t xml:space="preserve"> Sentencia </w:t>
      </w:r>
      <w:hyperlink w:anchor="SENTENCIA_2016_41" w:history="1">
        <w:r w:rsidRPr="0057104C">
          <w:rPr>
            <w:rStyle w:val="TextoNormalCaracter"/>
          </w:rPr>
          <w:t>41/2016</w:t>
        </w:r>
      </w:hyperlink>
      <w:r>
        <w:t>, f. 16.</w:t>
      </w:r>
    </w:p>
    <w:p w:rsidR="0057104C" w:rsidRDefault="0057104C" w:rsidP="0057104C">
      <w:pPr>
        <w:pStyle w:val="SangriaFrancesaArticulo"/>
      </w:pPr>
      <w:r w:rsidRPr="0057104C">
        <w:rPr>
          <w:rStyle w:val="TextoNormalNegritaCaracter"/>
        </w:rPr>
        <w:t>Artículo 1258.</w:t>
      </w:r>
      <w:r w:rsidRPr="0057104C">
        <w:rPr>
          <w:rStyle w:val="TextoNormalCaracter"/>
        </w:rPr>
        <w:t>-</w:t>
      </w:r>
      <w:r>
        <w:t xml:space="preserve"> Autos </w:t>
      </w:r>
      <w:hyperlink w:anchor="AUTO_2016_84" w:history="1">
        <w:r w:rsidRPr="0057104C">
          <w:rPr>
            <w:rStyle w:val="TextoNormalCaracter"/>
          </w:rPr>
          <w:t>84/2016</w:t>
        </w:r>
      </w:hyperlink>
      <w:r>
        <w:t xml:space="preserve">, f. 4; </w:t>
      </w:r>
      <w:hyperlink w:anchor="AUTO_2016_101" w:history="1">
        <w:r w:rsidRPr="0057104C">
          <w:rPr>
            <w:rStyle w:val="TextoNormalCaracter"/>
          </w:rPr>
          <w:t>101/2016</w:t>
        </w:r>
      </w:hyperlink>
      <w:r>
        <w:t xml:space="preserve">, f. 3; </w:t>
      </w:r>
      <w:hyperlink w:anchor="AUTO_2016_102" w:history="1">
        <w:r w:rsidRPr="0057104C">
          <w:rPr>
            <w:rStyle w:val="TextoNormalCaracter"/>
          </w:rPr>
          <w:t>102/2016</w:t>
        </w:r>
      </w:hyperlink>
      <w:r>
        <w:t xml:space="preserve">, f. 3; </w:t>
      </w:r>
      <w:hyperlink w:anchor="AUTO_2016_103" w:history="1">
        <w:r w:rsidRPr="0057104C">
          <w:rPr>
            <w:rStyle w:val="TextoNormalCaracter"/>
          </w:rPr>
          <w:t>103/2016</w:t>
        </w:r>
      </w:hyperlink>
      <w:r>
        <w:t xml:space="preserve">, f. 4; </w:t>
      </w:r>
      <w:hyperlink w:anchor="AUTO_2016_132" w:history="1">
        <w:r w:rsidRPr="0057104C">
          <w:rPr>
            <w:rStyle w:val="TextoNormalCaracter"/>
          </w:rPr>
          <w:t>132/2016</w:t>
        </w:r>
      </w:hyperlink>
      <w:r>
        <w:t>, f. 5.</w:t>
      </w:r>
    </w:p>
    <w:p w:rsidR="0057104C" w:rsidRDefault="0057104C" w:rsidP="0057104C">
      <w:pPr>
        <w:pStyle w:val="SangriaFrancesaArticulo"/>
      </w:pPr>
      <w:r w:rsidRPr="0057104C">
        <w:rPr>
          <w:rStyle w:val="TextoNormalNegritaCaracter"/>
        </w:rPr>
        <w:t>Artículo 1445.</w:t>
      </w:r>
      <w:r w:rsidRPr="0057104C">
        <w:rPr>
          <w:rStyle w:val="TextoNormalCaracter"/>
        </w:rPr>
        <w:t>-</w:t>
      </w:r>
      <w:r>
        <w:t xml:space="preserve"> Auto </w:t>
      </w:r>
      <w:hyperlink w:anchor="AUTO_2016_112" w:history="1">
        <w:r w:rsidRPr="0057104C">
          <w:rPr>
            <w:rStyle w:val="TextoNormalCaracter"/>
          </w:rPr>
          <w:t>112/2016</w:t>
        </w:r>
      </w:hyperlink>
      <w:r>
        <w:t>, VP.</w:t>
      </w:r>
    </w:p>
    <w:p w:rsidR="0057104C" w:rsidRDefault="0057104C" w:rsidP="0057104C">
      <w:pPr>
        <w:pStyle w:val="SangriaFrancesaArticulo"/>
      </w:pPr>
      <w:r w:rsidRPr="0057104C">
        <w:rPr>
          <w:rStyle w:val="TextoNormalNegritaCaracter"/>
        </w:rPr>
        <w:t>Artículo 1902.</w:t>
      </w:r>
      <w:r w:rsidRPr="0057104C">
        <w:rPr>
          <w:rStyle w:val="TextoNormalCaracter"/>
        </w:rPr>
        <w:t>-</w:t>
      </w:r>
      <w:r>
        <w:t xml:space="preserve"> Sentencia </w:t>
      </w:r>
      <w:hyperlink w:anchor="SENTENCIA_2016_69" w:history="1">
        <w:r w:rsidRPr="0057104C">
          <w:rPr>
            <w:rStyle w:val="TextoNormalCaracter"/>
          </w:rPr>
          <w:t>69/2016</w:t>
        </w:r>
      </w:hyperlink>
      <w:r>
        <w:t>, f. 3, VP II.</w:t>
      </w:r>
    </w:p>
    <w:p w:rsidR="0057104C" w:rsidRDefault="0057104C" w:rsidP="0057104C">
      <w:pPr>
        <w:pStyle w:val="SangriaFrancesaArticulo"/>
      </w:pPr>
    </w:p>
    <w:p w:rsidR="0057104C" w:rsidRDefault="0057104C" w:rsidP="0057104C">
      <w:pPr>
        <w:pStyle w:val="TextoNormalNegritaCursivandice"/>
      </w:pPr>
      <w:r>
        <w:t>Decreto de 8 de febrero de 1946. Texto refundido de la Ley hipotecaria</w:t>
      </w:r>
    </w:p>
    <w:p w:rsidR="0057104C" w:rsidRDefault="0057104C" w:rsidP="0057104C">
      <w:pPr>
        <w:pStyle w:val="SangriaFrancesaArticulo"/>
      </w:pPr>
      <w:r w:rsidRPr="0057104C">
        <w:rPr>
          <w:rStyle w:val="TextoNormalNegritaCaracter"/>
        </w:rPr>
        <w:t>Artículo 34.</w:t>
      </w:r>
      <w:r w:rsidRPr="0057104C">
        <w:rPr>
          <w:rStyle w:val="TextoNormalCaracter"/>
        </w:rPr>
        <w:t>-</w:t>
      </w:r>
      <w:r>
        <w:t xml:space="preserve"> Autos </w:t>
      </w:r>
      <w:hyperlink w:anchor="AUTO_2016_68" w:history="1">
        <w:r w:rsidRPr="0057104C">
          <w:rPr>
            <w:rStyle w:val="TextoNormalCaracter"/>
          </w:rPr>
          <w:t>68/2016</w:t>
        </w:r>
      </w:hyperlink>
      <w:r>
        <w:t xml:space="preserve">, f. 3; </w:t>
      </w:r>
      <w:hyperlink w:anchor="AUTO_2016_69" w:history="1">
        <w:r w:rsidRPr="0057104C">
          <w:rPr>
            <w:rStyle w:val="TextoNormalCaracter"/>
          </w:rPr>
          <w:t>69/2016</w:t>
        </w:r>
      </w:hyperlink>
      <w:r>
        <w:t>, f. 3.</w:t>
      </w:r>
    </w:p>
    <w:p w:rsidR="0057104C" w:rsidRDefault="0057104C" w:rsidP="0057104C">
      <w:pPr>
        <w:pStyle w:val="SangriaFrancesaArticulo"/>
      </w:pPr>
    </w:p>
    <w:p w:rsidR="0057104C" w:rsidRDefault="0057104C" w:rsidP="0057104C">
      <w:pPr>
        <w:pStyle w:val="TextoNormalNegritaCursivandice"/>
      </w:pPr>
      <w:r>
        <w:t>Ley de 8 de junio de 1957. Registro Civil</w:t>
      </w:r>
    </w:p>
    <w:p w:rsidR="0057104C" w:rsidRDefault="0057104C" w:rsidP="0057104C">
      <w:pPr>
        <w:pStyle w:val="SangriaFrancesaArticulo"/>
      </w:pPr>
      <w:r w:rsidRPr="0057104C">
        <w:rPr>
          <w:rStyle w:val="TextoNormalNegritaCaracter"/>
        </w:rPr>
        <w:t>Artículo 45.</w:t>
      </w:r>
      <w:r w:rsidRPr="0057104C">
        <w:rPr>
          <w:rStyle w:val="TextoNormalCaracter"/>
        </w:rPr>
        <w:t>-</w:t>
      </w:r>
      <w:r>
        <w:t xml:space="preserve"> Sentencia </w:t>
      </w:r>
      <w:hyperlink w:anchor="SENTENCIA_2016_11" w:history="1">
        <w:r w:rsidRPr="0057104C">
          <w:rPr>
            <w:rStyle w:val="TextoNormalCaracter"/>
          </w:rPr>
          <w:t>11/2016</w:t>
        </w:r>
      </w:hyperlink>
      <w:r>
        <w:t>, ff. 4, 5, VPIII.</w:t>
      </w:r>
    </w:p>
    <w:p w:rsidR="0057104C" w:rsidRDefault="0057104C" w:rsidP="0057104C">
      <w:pPr>
        <w:pStyle w:val="SangriaFrancesaArticulo"/>
      </w:pPr>
    </w:p>
    <w:p w:rsidR="0057104C" w:rsidRDefault="0057104C" w:rsidP="0057104C">
      <w:pPr>
        <w:pStyle w:val="TextoNormalNegritaCursivandice"/>
      </w:pPr>
      <w:r>
        <w:t>Ley 230/1963, de 28 de diciembre. General tributaria</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33" w:history="1">
        <w:r w:rsidRPr="0057104C">
          <w:rPr>
            <w:rStyle w:val="TextoNormalCaracter"/>
          </w:rPr>
          <w:t>33/2016</w:t>
        </w:r>
      </w:hyperlink>
      <w:r>
        <w:t>, f. 5.</w:t>
      </w:r>
    </w:p>
    <w:p w:rsidR="0057104C" w:rsidRDefault="0057104C" w:rsidP="0057104C">
      <w:pPr>
        <w:pStyle w:val="SangriaFrancesaArticulo"/>
      </w:pPr>
      <w:r w:rsidRPr="0057104C">
        <w:rPr>
          <w:rStyle w:val="TextoNormalNegritaCaracter"/>
        </w:rPr>
        <w:t>Artículo 52.1 f).</w:t>
      </w:r>
      <w:r w:rsidRPr="0057104C">
        <w:rPr>
          <w:rStyle w:val="TextoNormalCaracter"/>
        </w:rPr>
        <w:t>-</w:t>
      </w:r>
      <w:r>
        <w:t xml:space="preserve"> Sentencia </w:t>
      </w:r>
      <w:hyperlink w:anchor="SENTENCIA_2016_25" w:history="1">
        <w:r w:rsidRPr="0057104C">
          <w:rPr>
            <w:rStyle w:val="TextoNormalCaracter"/>
          </w:rPr>
          <w:t>25/2016</w:t>
        </w:r>
      </w:hyperlink>
      <w:r>
        <w:t>, f. 1.</w:t>
      </w:r>
    </w:p>
    <w:p w:rsidR="0057104C" w:rsidRDefault="0057104C" w:rsidP="0057104C">
      <w:pPr>
        <w:pStyle w:val="SangriaFrancesaArticulo"/>
      </w:pPr>
      <w:r w:rsidRPr="0057104C">
        <w:rPr>
          <w:rStyle w:val="TextoNormalNegritaCaracter"/>
        </w:rPr>
        <w:t>Artículo 130</w:t>
      </w:r>
      <w:r>
        <w:t xml:space="preserve"> (redactado por la Ley 33/1987, de 23 de diciembre)</w:t>
      </w:r>
      <w:r w:rsidRPr="0057104C">
        <w:rPr>
          <w:rStyle w:val="TextoNormalNegritaCaracter"/>
        </w:rPr>
        <w:t>.</w:t>
      </w:r>
      <w:r w:rsidRPr="0057104C">
        <w:rPr>
          <w:rStyle w:val="TextoNormalCaracter"/>
        </w:rPr>
        <w:t>-</w:t>
      </w:r>
      <w:r>
        <w:t xml:space="preserve"> Sentencia </w:t>
      </w:r>
      <w:hyperlink w:anchor="SENTENCIA_2016_123" w:history="1">
        <w:r w:rsidRPr="0057104C">
          <w:rPr>
            <w:rStyle w:val="TextoNormalCaracter"/>
          </w:rPr>
          <w:t>123/2016</w:t>
        </w:r>
      </w:hyperlink>
      <w:r>
        <w:t>, f. 3.</w:t>
      </w:r>
    </w:p>
    <w:p w:rsidR="0057104C" w:rsidRDefault="0057104C" w:rsidP="0057104C">
      <w:pPr>
        <w:pStyle w:val="SangriaFrancesaArticulo"/>
      </w:pPr>
    </w:p>
    <w:p w:rsidR="0057104C" w:rsidRDefault="0057104C" w:rsidP="0057104C">
      <w:pPr>
        <w:pStyle w:val="TextoNormalNegritaCursivandice"/>
      </w:pPr>
      <w:r>
        <w:t>Ley 31/1965, de 4 de mayo. Retribuciones de los funcionarios públicos</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99" w:history="1">
        <w:r w:rsidRPr="0057104C">
          <w:rPr>
            <w:rStyle w:val="TextoNormalCaracter"/>
          </w:rPr>
          <w:t>99/2016</w:t>
        </w:r>
      </w:hyperlink>
      <w:r>
        <w:t>, VP.</w:t>
      </w:r>
    </w:p>
    <w:p w:rsidR="0057104C" w:rsidRDefault="0057104C" w:rsidP="0057104C">
      <w:pPr>
        <w:pStyle w:val="SangriaFrancesaArticulo"/>
      </w:pPr>
    </w:p>
    <w:p w:rsidR="0057104C" w:rsidRDefault="0057104C" w:rsidP="0057104C">
      <w:pPr>
        <w:pStyle w:val="TextoNormalNegritaCursivandice"/>
      </w:pPr>
      <w:r>
        <w:t>Ley 38/1972, de 22 de diciembre. Protección del ambiente atmosférico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3" w:history="1">
        <w:r w:rsidRPr="0057104C">
          <w:rPr>
            <w:rStyle w:val="TextoNormalCaracter"/>
          </w:rPr>
          <w:t>53/2016</w:t>
        </w:r>
      </w:hyperlink>
      <w:r>
        <w:t>, VPI.</w:t>
      </w:r>
    </w:p>
    <w:p w:rsidR="0057104C" w:rsidRDefault="0057104C" w:rsidP="0057104C">
      <w:pPr>
        <w:pStyle w:val="SangriaFrancesaArticulo"/>
      </w:pPr>
      <w:r w:rsidRPr="0057104C">
        <w:rPr>
          <w:rStyle w:val="TextoNormalNegritaCaracter"/>
        </w:rPr>
        <w:t>Artículo 10.1.</w:t>
      </w:r>
      <w:r w:rsidRPr="0057104C">
        <w:rPr>
          <w:rStyle w:val="TextoNormalCaracter"/>
        </w:rPr>
        <w:t>-</w:t>
      </w:r>
      <w:r>
        <w:t xml:space="preserve"> Sentencia </w:t>
      </w:r>
      <w:hyperlink w:anchor="SENTENCIA_2016_53" w:history="1">
        <w:r w:rsidRPr="0057104C">
          <w:rPr>
            <w:rStyle w:val="TextoNormalCaracter"/>
          </w:rPr>
          <w:t>53/2016</w:t>
        </w:r>
      </w:hyperlink>
      <w:r>
        <w:t>, VPI.</w:t>
      </w:r>
    </w:p>
    <w:p w:rsidR="0057104C" w:rsidRDefault="0057104C" w:rsidP="0057104C">
      <w:pPr>
        <w:pStyle w:val="SangriaFrancesaArticulo"/>
      </w:pPr>
    </w:p>
    <w:p w:rsidR="0057104C" w:rsidRDefault="0057104C" w:rsidP="0057104C">
      <w:pPr>
        <w:pStyle w:val="TextoNormalNegritaCursivandice"/>
      </w:pPr>
      <w:r>
        <w:t>Ley 22/1973, de 21 de julio. Minas</w:t>
      </w:r>
    </w:p>
    <w:p w:rsidR="0057104C" w:rsidRDefault="0057104C" w:rsidP="0057104C">
      <w:pPr>
        <w:pStyle w:val="SangriaFrancesaArticulo"/>
      </w:pPr>
      <w:r w:rsidRPr="0057104C">
        <w:rPr>
          <w:rStyle w:val="TextoNormalNegritaCaracter"/>
        </w:rPr>
        <w:t>Artículos 37 a 39.</w:t>
      </w:r>
      <w:r w:rsidRPr="0057104C">
        <w:rPr>
          <w:rStyle w:val="TextoNormalCaracter"/>
        </w:rPr>
        <w:t>-</w:t>
      </w:r>
      <w:r>
        <w:t xml:space="preserve"> Sentencia </w:t>
      </w:r>
      <w:hyperlink w:anchor="SENTENCIA_2016_73" w:history="1">
        <w:r w:rsidRPr="0057104C">
          <w:rPr>
            <w:rStyle w:val="TextoNormalCaracter"/>
          </w:rPr>
          <w:t>73/2016</w:t>
        </w:r>
      </w:hyperlink>
      <w:r>
        <w:t>, f. 8.</w:t>
      </w:r>
    </w:p>
    <w:p w:rsidR="0057104C" w:rsidRDefault="0057104C" w:rsidP="0057104C">
      <w:pPr>
        <w:pStyle w:val="SangriaFrancesaArticulo"/>
      </w:pPr>
      <w:r w:rsidRPr="0057104C">
        <w:rPr>
          <w:rStyle w:val="TextoNormalNegritaCaracter"/>
        </w:rPr>
        <w:t>Artículo 39.3.</w:t>
      </w:r>
      <w:r w:rsidRPr="0057104C">
        <w:rPr>
          <w:rStyle w:val="TextoNormalCaracter"/>
        </w:rPr>
        <w:t>-</w:t>
      </w:r>
      <w:r>
        <w:t xml:space="preserve"> Sentencia </w:t>
      </w:r>
      <w:hyperlink w:anchor="SENTENCIA_2016_73" w:history="1">
        <w:r w:rsidRPr="0057104C">
          <w:rPr>
            <w:rStyle w:val="TextoNormalCaracter"/>
          </w:rPr>
          <w:t>73/2016</w:t>
        </w:r>
      </w:hyperlink>
      <w:r>
        <w:t>, f. 8.</w:t>
      </w:r>
    </w:p>
    <w:p w:rsidR="0057104C" w:rsidRDefault="0057104C" w:rsidP="0057104C">
      <w:pPr>
        <w:pStyle w:val="SangriaFrancesaArticulo"/>
      </w:pPr>
      <w:r w:rsidRPr="0057104C">
        <w:rPr>
          <w:rStyle w:val="TextoNormalNegritaCaracter"/>
        </w:rPr>
        <w:t>Artículo 86.</w:t>
      </w:r>
      <w:r w:rsidRPr="0057104C">
        <w:rPr>
          <w:rStyle w:val="TextoNormalCaracter"/>
        </w:rPr>
        <w:t>-</w:t>
      </w:r>
      <w:r>
        <w:t xml:space="preserve"> Sentencia </w:t>
      </w:r>
      <w:hyperlink w:anchor="SENTENCIA_2016_33" w:history="1">
        <w:r w:rsidRPr="0057104C">
          <w:rPr>
            <w:rStyle w:val="TextoNormalCaracter"/>
          </w:rPr>
          <w:t>33/2016</w:t>
        </w:r>
      </w:hyperlink>
      <w:r>
        <w:t>, ff. 6, 7.</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33" w:history="1">
        <w:r w:rsidRPr="0057104C">
          <w:rPr>
            <w:rStyle w:val="TextoNormalCaracter"/>
          </w:rPr>
          <w:t>33/2016</w:t>
        </w:r>
      </w:hyperlink>
      <w:r>
        <w:t>, ff. 6 a 10.</w:t>
      </w:r>
    </w:p>
    <w:p w:rsidR="0057104C" w:rsidRDefault="0057104C" w:rsidP="0057104C">
      <w:pPr>
        <w:pStyle w:val="SangriaFrancesaArticulo"/>
      </w:pPr>
      <w:r w:rsidRPr="0057104C">
        <w:rPr>
          <w:rStyle w:val="TextoNormalNegritaCaracter"/>
        </w:rPr>
        <w:t>Disposición transitoria primera, apartado 2.</w:t>
      </w:r>
      <w:r w:rsidRPr="0057104C">
        <w:rPr>
          <w:rStyle w:val="TextoNormalCaracter"/>
        </w:rPr>
        <w:t>-</w:t>
      </w:r>
      <w:r>
        <w:t xml:space="preserve"> Sentencia </w:t>
      </w:r>
      <w:hyperlink w:anchor="SENTENCIA_2016_33" w:history="1">
        <w:r w:rsidRPr="0057104C">
          <w:rPr>
            <w:rStyle w:val="TextoNormalCaracter"/>
          </w:rPr>
          <w:t>33/2016</w:t>
        </w:r>
      </w:hyperlink>
      <w:r>
        <w:t>, ff. 6, 8.</w:t>
      </w:r>
    </w:p>
    <w:p w:rsidR="0057104C" w:rsidRDefault="0057104C" w:rsidP="0057104C">
      <w:pPr>
        <w:pStyle w:val="SangriaFrancesaArticulo"/>
      </w:pPr>
      <w:r w:rsidRPr="0057104C">
        <w:rPr>
          <w:rStyle w:val="TextoNormalNegritaCaracter"/>
        </w:rPr>
        <w:t>Disposición transitoria primera, apartado 3.</w:t>
      </w:r>
      <w:r w:rsidRPr="0057104C">
        <w:rPr>
          <w:rStyle w:val="TextoNormalCaracter"/>
        </w:rPr>
        <w:t>-</w:t>
      </w:r>
      <w:r>
        <w:t xml:space="preserve"> Sentencia </w:t>
      </w:r>
      <w:hyperlink w:anchor="SENTENCIA_2016_33" w:history="1">
        <w:r w:rsidRPr="0057104C">
          <w:rPr>
            <w:rStyle w:val="TextoNormalCaracter"/>
          </w:rPr>
          <w:t>33/2016</w:t>
        </w:r>
      </w:hyperlink>
      <w:r>
        <w:t>, ff. 6, 8.</w:t>
      </w:r>
    </w:p>
    <w:p w:rsidR="0057104C" w:rsidRDefault="0057104C" w:rsidP="0057104C">
      <w:pPr>
        <w:pStyle w:val="SangriaFrancesaArticulo"/>
      </w:pPr>
      <w:r w:rsidRPr="0057104C">
        <w:rPr>
          <w:rStyle w:val="TextoNormalNegritaCaracter"/>
        </w:rPr>
        <w:t>Disposición transitoria primera, apartado 4.</w:t>
      </w:r>
      <w:r w:rsidRPr="0057104C">
        <w:rPr>
          <w:rStyle w:val="TextoNormalCaracter"/>
        </w:rPr>
        <w:t>-</w:t>
      </w:r>
      <w:r>
        <w:t xml:space="preserve"> Sentencia </w:t>
      </w:r>
      <w:hyperlink w:anchor="SENTENCIA_2016_33" w:history="1">
        <w:r w:rsidRPr="0057104C">
          <w:rPr>
            <w:rStyle w:val="TextoNormalCaracter"/>
          </w:rPr>
          <w:t>33/2016</w:t>
        </w:r>
      </w:hyperlink>
      <w:r>
        <w:t>, ff. 6, 8.</w:t>
      </w:r>
    </w:p>
    <w:p w:rsidR="0057104C" w:rsidRDefault="0057104C" w:rsidP="0057104C">
      <w:pPr>
        <w:pStyle w:val="SangriaFrancesaArticulo"/>
      </w:pPr>
      <w:r w:rsidRPr="0057104C">
        <w:rPr>
          <w:rStyle w:val="TextoNormalNegritaCaracter"/>
        </w:rPr>
        <w:t>Disposición transitoria primera, apartado 5.</w:t>
      </w:r>
      <w:r w:rsidRPr="0057104C">
        <w:rPr>
          <w:rStyle w:val="TextoNormalCaracter"/>
        </w:rPr>
        <w:t>-</w:t>
      </w:r>
      <w:r>
        <w:t xml:space="preserve"> Sentencia </w:t>
      </w:r>
      <w:hyperlink w:anchor="SENTENCIA_2016_33" w:history="1">
        <w:r w:rsidRPr="0057104C">
          <w:rPr>
            <w:rStyle w:val="TextoNormalCaracter"/>
          </w:rPr>
          <w:t>33/2016</w:t>
        </w:r>
      </w:hyperlink>
      <w:r>
        <w:t>, ff. 6, 8.</w:t>
      </w:r>
    </w:p>
    <w:p w:rsidR="0057104C" w:rsidRDefault="0057104C" w:rsidP="0057104C">
      <w:pPr>
        <w:pStyle w:val="SangriaFrancesaArticulo"/>
      </w:pPr>
      <w:r w:rsidRPr="0057104C">
        <w:rPr>
          <w:rStyle w:val="TextoNormalNegritaCaracter"/>
        </w:rPr>
        <w:t>Disposición transitoria única</w:t>
      </w:r>
      <w:r>
        <w:t xml:space="preserve"> (redactada por la Ley 12/2014, de 22 de diciembre)</w:t>
      </w:r>
      <w:r w:rsidRPr="0057104C">
        <w:rPr>
          <w:rStyle w:val="TextoNormalNegritaCaracter"/>
        </w:rPr>
        <w:t>.</w:t>
      </w:r>
      <w:r w:rsidRPr="0057104C">
        <w:rPr>
          <w:rStyle w:val="TextoNormalCaracter"/>
        </w:rPr>
        <w:t>-</w:t>
      </w:r>
      <w:r>
        <w:t xml:space="preserve"> Sentencia </w:t>
      </w:r>
      <w:hyperlink w:anchor="SENTENCIA_2016_33" w:history="1">
        <w:r w:rsidRPr="0057104C">
          <w:rPr>
            <w:rStyle w:val="TextoNormalCaracter"/>
          </w:rPr>
          <w:t>33/2016</w:t>
        </w:r>
      </w:hyperlink>
      <w:r>
        <w:t>, f. 7.</w:t>
      </w:r>
    </w:p>
    <w:p w:rsidR="0057104C" w:rsidRDefault="0057104C" w:rsidP="0057104C">
      <w:pPr>
        <w:pStyle w:val="SangriaFrancesaArticulo"/>
      </w:pPr>
      <w:r w:rsidRPr="0057104C">
        <w:rPr>
          <w:rStyle w:val="TextoNormalNegritaCaracter"/>
        </w:rPr>
        <w:t>Disposición transitoria segunda</w:t>
      </w:r>
      <w:r>
        <w:t xml:space="preserve"> (redactada por la Ley 12/2014, de 22 de diciembre)</w:t>
      </w:r>
      <w:r w:rsidRPr="0057104C">
        <w:rPr>
          <w:rStyle w:val="TextoNormalNegritaCaracter"/>
        </w:rPr>
        <w:t>.</w:t>
      </w:r>
      <w:r w:rsidRPr="0057104C">
        <w:rPr>
          <w:rStyle w:val="TextoNormalCaracter"/>
        </w:rPr>
        <w:t>-</w:t>
      </w:r>
      <w:r>
        <w:t xml:space="preserve"> Sentencia </w:t>
      </w:r>
      <w:hyperlink w:anchor="SENTENCIA_2016_33" w:history="1">
        <w:r w:rsidRPr="0057104C">
          <w:rPr>
            <w:rStyle w:val="TextoNormalCaracter"/>
          </w:rPr>
          <w:t>33/2016</w:t>
        </w:r>
      </w:hyperlink>
      <w:r>
        <w:t>, ff. 6, 7.</w:t>
      </w:r>
    </w:p>
    <w:p w:rsidR="0057104C" w:rsidRDefault="0057104C" w:rsidP="0057104C">
      <w:pPr>
        <w:pStyle w:val="SangriaFrancesaArticulo"/>
      </w:pPr>
    </w:p>
    <w:p w:rsidR="0057104C" w:rsidRDefault="0057104C" w:rsidP="0057104C">
      <w:pPr>
        <w:pStyle w:val="TextoNormalNegritaCursivandice"/>
      </w:pPr>
      <w:r>
        <w:t>Decreto 2263/1974, de 20 de julio. Reglamento de policía sanitaria mortuoria</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11" w:history="1">
        <w:r w:rsidRPr="0057104C">
          <w:rPr>
            <w:rStyle w:val="TextoNormalCaracter"/>
          </w:rPr>
          <w:t>11/2016</w:t>
        </w:r>
      </w:hyperlink>
      <w:r>
        <w:t>, f. 5.</w:t>
      </w:r>
    </w:p>
    <w:p w:rsidR="0057104C" w:rsidRDefault="0057104C" w:rsidP="0057104C">
      <w:pPr>
        <w:pStyle w:val="SangriaFrancesaArticulo"/>
      </w:pPr>
    </w:p>
    <w:p w:rsidR="0057104C" w:rsidRDefault="0057104C" w:rsidP="0057104C">
      <w:pPr>
        <w:pStyle w:val="TextoNormalNegritaCursivandice"/>
      </w:pPr>
      <w:r>
        <w:t>Decreto 833/1975, de 6 de febrero. Desarrolla la Ley 38/1972, de 22 de diciembre, de protección del ambiente atmosférico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3" w:history="1">
        <w:r w:rsidRPr="0057104C">
          <w:rPr>
            <w:rStyle w:val="TextoNormalCaracter"/>
          </w:rPr>
          <w:t>53/2016</w:t>
        </w:r>
      </w:hyperlink>
      <w:r>
        <w:t>, VPI.</w:t>
      </w:r>
    </w:p>
    <w:p w:rsidR="0057104C" w:rsidRDefault="0057104C" w:rsidP="0057104C">
      <w:pPr>
        <w:pStyle w:val="SangriaFrancesaArticulo"/>
      </w:pPr>
      <w:r w:rsidRPr="0057104C">
        <w:rPr>
          <w:rStyle w:val="TextoNormalNegritaCaracter"/>
        </w:rPr>
        <w:t>Artículo 5 y ss.</w:t>
      </w:r>
      <w:r w:rsidRPr="0057104C">
        <w:rPr>
          <w:rStyle w:val="TextoNormalCaracter"/>
        </w:rPr>
        <w:t>-</w:t>
      </w:r>
      <w:r>
        <w:t xml:space="preserve"> Sentencia </w:t>
      </w:r>
      <w:hyperlink w:anchor="SENTENCIA_2016_53" w:history="1">
        <w:r w:rsidRPr="0057104C">
          <w:rPr>
            <w:rStyle w:val="TextoNormalCaracter"/>
          </w:rPr>
          <w:t>53/2016</w:t>
        </w:r>
      </w:hyperlink>
      <w:r>
        <w:t>, VPI.</w:t>
      </w:r>
    </w:p>
    <w:p w:rsidR="0057104C" w:rsidRDefault="0057104C" w:rsidP="0057104C">
      <w:pPr>
        <w:pStyle w:val="SangriaFrancesaArticulo"/>
      </w:pPr>
    </w:p>
    <w:p w:rsidR="0057104C" w:rsidRDefault="0057104C" w:rsidP="0057104C">
      <w:pPr>
        <w:pStyle w:val="TextoNormalNegritaCursivandice"/>
      </w:pPr>
      <w:r>
        <w:t>Real Decreto-ley 17/1977, de 4 de marzo. Normativa sobre relaciones de trabajo</w:t>
      </w:r>
    </w:p>
    <w:p w:rsidR="0057104C" w:rsidRDefault="0057104C" w:rsidP="0057104C">
      <w:pPr>
        <w:pStyle w:val="SangriaFrancesaArticulo"/>
      </w:pPr>
      <w:r w:rsidRPr="0057104C">
        <w:rPr>
          <w:rStyle w:val="TextoNormalNegritaCaracter"/>
        </w:rPr>
        <w:t>Artículo 6.4.</w:t>
      </w:r>
      <w:r w:rsidRPr="0057104C">
        <w:rPr>
          <w:rStyle w:val="TextoNormalCaracter"/>
        </w:rPr>
        <w:t>-</w:t>
      </w:r>
      <w:r>
        <w:t xml:space="preserve"> Sentencia </w:t>
      </w:r>
      <w:hyperlink w:anchor="SENTENCIA_2016_69" w:history="1">
        <w:r w:rsidRPr="0057104C">
          <w:rPr>
            <w:rStyle w:val="TextoNormalCaracter"/>
          </w:rPr>
          <w:t>69/2016</w:t>
        </w:r>
      </w:hyperlink>
      <w:r>
        <w:t>, f. 2.</w:t>
      </w:r>
    </w:p>
    <w:p w:rsidR="0057104C" w:rsidRDefault="0057104C" w:rsidP="0057104C">
      <w:pPr>
        <w:pStyle w:val="SangriaFrancesaArticulo"/>
      </w:pPr>
      <w:r w:rsidRPr="0057104C">
        <w:rPr>
          <w:rStyle w:val="TextoNormalNegritaCaracter"/>
        </w:rPr>
        <w:t>Artículo 6.6.</w:t>
      </w:r>
      <w:r w:rsidRPr="0057104C">
        <w:rPr>
          <w:rStyle w:val="TextoNormalCaracter"/>
        </w:rPr>
        <w:t>-</w:t>
      </w:r>
      <w:r>
        <w:t xml:space="preserve"> Sentencia </w:t>
      </w:r>
      <w:hyperlink w:anchor="SENTENCIA_2016_69" w:history="1">
        <w:r w:rsidRPr="0057104C">
          <w:rPr>
            <w:rStyle w:val="TextoNormalCaracter"/>
          </w:rPr>
          <w:t>69/2016</w:t>
        </w:r>
      </w:hyperlink>
      <w:r>
        <w:t>, f. 2.</w:t>
      </w:r>
    </w:p>
    <w:p w:rsidR="0057104C" w:rsidRDefault="0057104C" w:rsidP="0057104C">
      <w:pPr>
        <w:pStyle w:val="TextoNormal"/>
      </w:pPr>
    </w:p>
    <w:p w:rsidR="0057104C" w:rsidRDefault="0057104C" w:rsidP="0057104C">
      <w:pPr>
        <w:pStyle w:val="SangriaFrancesaArticulo"/>
      </w:pPr>
      <w:bookmarkStart w:id="275" w:name="INDICE22851"/>
    </w:p>
    <w:bookmarkEnd w:id="275"/>
    <w:p w:rsidR="0057104C" w:rsidRDefault="0057104C" w:rsidP="0057104C">
      <w:pPr>
        <w:pStyle w:val="TextoIndiceNivel2"/>
        <w:suppressAutoHyphens/>
      </w:pPr>
      <w:r>
        <w:t>J) Comunidades y Ciudades Autónomas</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J.1) Andalucía</w:t>
      </w:r>
    </w:p>
    <w:p w:rsidR="0057104C" w:rsidRDefault="0057104C" w:rsidP="0057104C">
      <w:pPr>
        <w:pStyle w:val="TextoNormal"/>
      </w:pPr>
    </w:p>
    <w:p w:rsidR="0057104C" w:rsidRDefault="0057104C" w:rsidP="0057104C">
      <w:pPr>
        <w:pStyle w:val="TextoNormalNegritaCentradoSubrayado"/>
        <w:suppressAutoHyphens/>
      </w:pPr>
      <w:r>
        <w:t>J.1.a) Estatuto de Autonomía</w:t>
      </w:r>
    </w:p>
    <w:p w:rsidR="0057104C" w:rsidRDefault="0057104C" w:rsidP="0057104C">
      <w:pPr>
        <w:pStyle w:val="TextoNormalNegritaCentradoSubrayado"/>
      </w:pPr>
    </w:p>
    <w:p w:rsidR="0057104C" w:rsidRDefault="0057104C" w:rsidP="0057104C">
      <w:pPr>
        <w:pStyle w:val="TextoNormalNegritaCursivandice"/>
      </w:pPr>
      <w:r>
        <w:t>Ley Orgánica 2/2007, de 19 de marzo. Reforma del Estatuto de Autonomía de Andalucía</w:t>
      </w:r>
    </w:p>
    <w:p w:rsidR="0057104C" w:rsidRDefault="0057104C" w:rsidP="0057104C">
      <w:pPr>
        <w:pStyle w:val="SangriaFrancesaArticulo"/>
      </w:pPr>
      <w:r w:rsidRPr="0057104C">
        <w:rPr>
          <w:rStyle w:val="TextoNormalNegritaCaracter"/>
        </w:rPr>
        <w:t>Artículo 45.1.</w:t>
      </w:r>
      <w:r w:rsidRPr="0057104C">
        <w:rPr>
          <w:rStyle w:val="TextoNormalCaracter"/>
        </w:rPr>
        <w:t>-</w:t>
      </w:r>
      <w:r>
        <w:t xml:space="preserve"> Sentencia </w:t>
      </w:r>
      <w:hyperlink w:anchor="SENTENCIA_2016_102" w:history="1">
        <w:r w:rsidRPr="0057104C">
          <w:rPr>
            <w:rStyle w:val="TextoNormalCaracter"/>
          </w:rPr>
          <w:t>102/2016</w:t>
        </w:r>
      </w:hyperlink>
      <w:r>
        <w:t>, VP.</w:t>
      </w:r>
    </w:p>
    <w:p w:rsidR="0057104C" w:rsidRDefault="0057104C" w:rsidP="0057104C">
      <w:pPr>
        <w:pStyle w:val="SangriaFrancesaArticulo"/>
      </w:pPr>
      <w:r w:rsidRPr="0057104C">
        <w:rPr>
          <w:rStyle w:val="TextoNormalNegritaCaracter"/>
        </w:rPr>
        <w:t>Artículo 47.2.</w:t>
      </w:r>
      <w:r w:rsidRPr="0057104C">
        <w:rPr>
          <w:rStyle w:val="TextoNormalCaracter"/>
        </w:rPr>
        <w:t>-</w:t>
      </w:r>
      <w:r>
        <w:t xml:space="preserve"> Sentencia </w:t>
      </w:r>
      <w:hyperlink w:anchor="SENTENCIA_2016_26" w:history="1">
        <w:r w:rsidRPr="0057104C">
          <w:rPr>
            <w:rStyle w:val="TextoNormalCaracter"/>
          </w:rPr>
          <w:t>26/2016</w:t>
        </w:r>
      </w:hyperlink>
      <w:r>
        <w:t>, f. 1.</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26" w:history="1">
        <w:r w:rsidRPr="0057104C">
          <w:rPr>
            <w:rStyle w:val="TextoNormalCaracter"/>
          </w:rPr>
          <w:t>26/2016</w:t>
        </w:r>
      </w:hyperlink>
      <w:r>
        <w:t>, f. 1.</w:t>
      </w:r>
    </w:p>
    <w:p w:rsidR="0057104C" w:rsidRDefault="0057104C" w:rsidP="0057104C">
      <w:pPr>
        <w:pStyle w:val="SangriaFrancesaArticulo"/>
      </w:pPr>
      <w:r w:rsidRPr="0057104C">
        <w:rPr>
          <w:rStyle w:val="TextoNormalNegritaCaracter"/>
        </w:rPr>
        <w:t>Artículo 53.</w:t>
      </w:r>
      <w:r w:rsidRPr="0057104C">
        <w:rPr>
          <w:rStyle w:val="TextoNormalCaracter"/>
        </w:rPr>
        <w:t>-</w:t>
      </w:r>
      <w:r>
        <w:t xml:space="preserve"> Sentencia </w:t>
      </w:r>
      <w:hyperlink w:anchor="SENTENCIA_2016_26" w:history="1">
        <w:r w:rsidRPr="0057104C">
          <w:rPr>
            <w:rStyle w:val="TextoNormalCaracter"/>
          </w:rPr>
          <w:t>26/2016</w:t>
        </w:r>
      </w:hyperlink>
      <w:r>
        <w:t>, f. 1.</w:t>
      </w:r>
    </w:p>
    <w:p w:rsidR="0057104C" w:rsidRDefault="0057104C" w:rsidP="0057104C">
      <w:pPr>
        <w:pStyle w:val="SangriaFrancesaArticulo"/>
      </w:pPr>
      <w:r w:rsidRPr="0057104C">
        <w:rPr>
          <w:rStyle w:val="TextoNormalNegritaCaracter"/>
        </w:rPr>
        <w:t>Artículo 56.</w:t>
      </w:r>
      <w:r w:rsidRPr="0057104C">
        <w:rPr>
          <w:rStyle w:val="TextoNormalCaracter"/>
        </w:rPr>
        <w:t>-</w:t>
      </w:r>
      <w:r>
        <w:t xml:space="preserve"> Sentencia </w:t>
      </w:r>
      <w:hyperlink w:anchor="SENTENCIA_2016_6" w:history="1">
        <w:r w:rsidRPr="0057104C">
          <w:rPr>
            <w:rStyle w:val="TextoNormalCaracter"/>
          </w:rPr>
          <w:t>6/2016</w:t>
        </w:r>
      </w:hyperlink>
      <w:r>
        <w:t>, f. 1.</w:t>
      </w:r>
    </w:p>
    <w:p w:rsidR="0057104C" w:rsidRDefault="0057104C" w:rsidP="0057104C">
      <w:pPr>
        <w:pStyle w:val="SangriaFrancesaArticulo"/>
      </w:pPr>
      <w:r w:rsidRPr="0057104C">
        <w:rPr>
          <w:rStyle w:val="TextoNormalNegritaCaracter"/>
        </w:rPr>
        <w:t>Artículo 60.</w:t>
      </w:r>
      <w:r w:rsidRPr="0057104C">
        <w:rPr>
          <w:rStyle w:val="TextoNormalCaracter"/>
        </w:rPr>
        <w:t>-</w:t>
      </w:r>
      <w:r>
        <w:t xml:space="preserve"> Sentencia </w:t>
      </w:r>
      <w:hyperlink w:anchor="SENTENCIA_2016_111" w:history="1">
        <w:r w:rsidRPr="0057104C">
          <w:rPr>
            <w:rStyle w:val="TextoNormalCaracter"/>
          </w:rPr>
          <w:t>111/2016</w:t>
        </w:r>
      </w:hyperlink>
      <w:r>
        <w:t>, ff. 10 a 12.</w:t>
      </w:r>
    </w:p>
    <w:p w:rsidR="0057104C" w:rsidRDefault="0057104C" w:rsidP="0057104C">
      <w:pPr>
        <w:pStyle w:val="SangriaFrancesaArticulo"/>
      </w:pPr>
      <w:r w:rsidRPr="0057104C">
        <w:rPr>
          <w:rStyle w:val="TextoNormalNegritaCaracter"/>
        </w:rPr>
        <w:t>Artículo 60.3.</w:t>
      </w:r>
      <w:r w:rsidRPr="0057104C">
        <w:rPr>
          <w:rStyle w:val="TextoNormalCaracter"/>
        </w:rPr>
        <w:t>-</w:t>
      </w:r>
      <w:r>
        <w:t xml:space="preserve"> Sentencia </w:t>
      </w:r>
      <w:hyperlink w:anchor="SENTENCIA_2016_111" w:history="1">
        <w:r w:rsidRPr="0057104C">
          <w:rPr>
            <w:rStyle w:val="TextoNormalCaracter"/>
          </w:rPr>
          <w:t>111/2016</w:t>
        </w:r>
      </w:hyperlink>
      <w:r>
        <w:t>, f. 5.</w:t>
      </w:r>
    </w:p>
    <w:p w:rsidR="0057104C" w:rsidRDefault="0057104C" w:rsidP="0057104C">
      <w:pPr>
        <w:pStyle w:val="SangriaFrancesaArticulo"/>
      </w:pPr>
      <w:r w:rsidRPr="0057104C">
        <w:rPr>
          <w:rStyle w:val="TextoNormalNegritaCaracter"/>
        </w:rPr>
        <w:t>Artículo 70.</w:t>
      </w:r>
      <w:r w:rsidRPr="0057104C">
        <w:rPr>
          <w:rStyle w:val="TextoNormalCaracter"/>
        </w:rPr>
        <w:t>-</w:t>
      </w:r>
      <w:r>
        <w:t xml:space="preserve"> Sentencia </w:t>
      </w:r>
      <w:hyperlink w:anchor="SENTENCIA_2016_6" w:history="1">
        <w:r w:rsidRPr="0057104C">
          <w:rPr>
            <w:rStyle w:val="TextoNormalCaracter"/>
          </w:rPr>
          <w:t>6/2016</w:t>
        </w:r>
      </w:hyperlink>
      <w:r>
        <w:t>, f. 1.</w:t>
      </w:r>
    </w:p>
    <w:p w:rsidR="0057104C" w:rsidRDefault="0057104C" w:rsidP="0057104C">
      <w:pPr>
        <w:pStyle w:val="SangriaFrancesaArticulo"/>
      </w:pPr>
      <w:r w:rsidRPr="0057104C">
        <w:rPr>
          <w:rStyle w:val="TextoNormalNegritaCaracter"/>
        </w:rPr>
        <w:t>Artículo 76.2.</w:t>
      </w:r>
      <w:r w:rsidRPr="0057104C">
        <w:rPr>
          <w:rStyle w:val="TextoNormalCaracter"/>
        </w:rPr>
        <w:t>-</w:t>
      </w:r>
      <w:r>
        <w:t xml:space="preserve"> Sentencia </w:t>
      </w:r>
      <w:hyperlink w:anchor="SENTENCIA_2016_26" w:history="1">
        <w:r w:rsidRPr="0057104C">
          <w:rPr>
            <w:rStyle w:val="TextoNormalCaracter"/>
          </w:rPr>
          <w:t>26/2016</w:t>
        </w:r>
      </w:hyperlink>
      <w:r>
        <w:t>, f. 1.</w:t>
      </w:r>
    </w:p>
    <w:p w:rsidR="0057104C" w:rsidRDefault="0057104C" w:rsidP="0057104C">
      <w:pPr>
        <w:pStyle w:val="SangriaFrancesaArticulo"/>
      </w:pPr>
      <w:r w:rsidRPr="0057104C">
        <w:rPr>
          <w:rStyle w:val="TextoNormalNegritaCaracter"/>
        </w:rPr>
        <w:t>Artículo 92.</w:t>
      </w:r>
      <w:r w:rsidRPr="0057104C">
        <w:rPr>
          <w:rStyle w:val="TextoNormalCaracter"/>
        </w:rPr>
        <w:t>-</w:t>
      </w:r>
      <w:r>
        <w:t xml:space="preserve"> Sentencias </w:t>
      </w:r>
      <w:hyperlink w:anchor="SENTENCIA_2016_27" w:history="1">
        <w:r w:rsidRPr="0057104C">
          <w:rPr>
            <w:rStyle w:val="TextoNormalCaracter"/>
          </w:rPr>
          <w:t>27/2016</w:t>
        </w:r>
      </w:hyperlink>
      <w:r>
        <w:t xml:space="preserve">, f. 5; </w:t>
      </w:r>
      <w:hyperlink w:anchor="SENTENCIA_2016_111" w:history="1">
        <w:r w:rsidRPr="0057104C">
          <w:rPr>
            <w:rStyle w:val="TextoNormalCaracter"/>
          </w:rPr>
          <w:t>111/2016</w:t>
        </w:r>
      </w:hyperlink>
      <w:r>
        <w:t>, ff. 10 a 12.</w:t>
      </w:r>
    </w:p>
    <w:p w:rsidR="0057104C" w:rsidRDefault="0057104C" w:rsidP="0057104C">
      <w:pPr>
        <w:pStyle w:val="SangriaFrancesaArticulo"/>
      </w:pPr>
      <w:r w:rsidRPr="0057104C">
        <w:rPr>
          <w:rStyle w:val="TextoNormalNegritaCaracter"/>
        </w:rPr>
        <w:t>Artículo 92.2 a).</w:t>
      </w:r>
      <w:r w:rsidRPr="0057104C">
        <w:rPr>
          <w:rStyle w:val="TextoNormalCaracter"/>
        </w:rPr>
        <w:t>-</w:t>
      </w:r>
      <w:r>
        <w:t xml:space="preserve"> Sentencia </w:t>
      </w:r>
      <w:hyperlink w:anchor="SENTENCIA_2016_27" w:history="1">
        <w:r w:rsidRPr="0057104C">
          <w:rPr>
            <w:rStyle w:val="TextoNormalCaracter"/>
          </w:rPr>
          <w:t>27/2016</w:t>
        </w:r>
      </w:hyperlink>
      <w:r>
        <w:t>, f. 5.</w:t>
      </w:r>
    </w:p>
    <w:p w:rsidR="0057104C" w:rsidRDefault="0057104C" w:rsidP="0057104C">
      <w:pPr>
        <w:pStyle w:val="SangriaFrancesaArticulo"/>
      </w:pPr>
      <w:r w:rsidRPr="0057104C">
        <w:rPr>
          <w:rStyle w:val="TextoNormalNegritaCaracter"/>
        </w:rPr>
        <w:t>Artículo 96.</w:t>
      </w:r>
      <w:r w:rsidRPr="0057104C">
        <w:rPr>
          <w:rStyle w:val="TextoNormalCaracter"/>
        </w:rPr>
        <w:t>-</w:t>
      </w:r>
      <w:r>
        <w:t xml:space="preserve"> Sentencias </w:t>
      </w:r>
      <w:hyperlink w:anchor="SENTENCIA_2016_27" w:history="1">
        <w:r w:rsidRPr="0057104C">
          <w:rPr>
            <w:rStyle w:val="TextoNormalCaracter"/>
          </w:rPr>
          <w:t>27/2016</w:t>
        </w:r>
      </w:hyperlink>
      <w:r>
        <w:t xml:space="preserve">, f. 5; </w:t>
      </w:r>
      <w:hyperlink w:anchor="SENTENCIA_2016_111" w:history="1">
        <w:r w:rsidRPr="0057104C">
          <w:rPr>
            <w:rStyle w:val="TextoNormalCaracter"/>
          </w:rPr>
          <w:t>111/2016</w:t>
        </w:r>
      </w:hyperlink>
      <w:r>
        <w:t>, ff. 10 a 12.</w:t>
      </w:r>
    </w:p>
    <w:p w:rsidR="0057104C" w:rsidRDefault="0057104C" w:rsidP="0057104C">
      <w:pPr>
        <w:pStyle w:val="SangriaFrancesaArticulo"/>
      </w:pPr>
      <w:r w:rsidRPr="0057104C">
        <w:rPr>
          <w:rStyle w:val="TextoNormalNegritaCaracter"/>
        </w:rPr>
        <w:t>Artículo 110.</w:t>
      </w:r>
      <w:r w:rsidRPr="0057104C">
        <w:rPr>
          <w:rStyle w:val="TextoNormalCaracter"/>
        </w:rPr>
        <w:t>-</w:t>
      </w:r>
      <w:r>
        <w:t xml:space="preserve"> Sentencia </w:t>
      </w:r>
      <w:hyperlink w:anchor="SENTENCIA_2016_27" w:history="1">
        <w:r w:rsidRPr="0057104C">
          <w:rPr>
            <w:rStyle w:val="TextoNormalCaracter"/>
          </w:rPr>
          <w:t>27/2016</w:t>
        </w:r>
      </w:hyperlink>
      <w:r>
        <w:t>, f. 1.</w:t>
      </w:r>
    </w:p>
    <w:p w:rsidR="0057104C" w:rsidRDefault="0057104C" w:rsidP="0057104C">
      <w:pPr>
        <w:pStyle w:val="SangriaFrancesaArticulo"/>
      </w:pPr>
      <w:r w:rsidRPr="0057104C">
        <w:rPr>
          <w:rStyle w:val="TextoNormalNegritaCaracter"/>
        </w:rPr>
        <w:t>Artículo 175.2 a).</w:t>
      </w:r>
      <w:r w:rsidRPr="0057104C">
        <w:rPr>
          <w:rStyle w:val="TextoNormalCaracter"/>
        </w:rPr>
        <w:t>-</w:t>
      </w:r>
      <w:r>
        <w:t xml:space="preserve"> Sentencias </w:t>
      </w:r>
      <w:hyperlink w:anchor="SENTENCIA_2016_26" w:history="1">
        <w:r w:rsidRPr="0057104C">
          <w:rPr>
            <w:rStyle w:val="TextoNormalCaracter"/>
          </w:rPr>
          <w:t>26/2016</w:t>
        </w:r>
      </w:hyperlink>
      <w:r>
        <w:t xml:space="preserve">, ff. 1, 7; </w:t>
      </w:r>
      <w:hyperlink w:anchor="SENTENCIA_2016_101" w:history="1">
        <w:r w:rsidRPr="0057104C">
          <w:rPr>
            <w:rStyle w:val="TextoNormalCaracter"/>
          </w:rPr>
          <w:t>101/2016</w:t>
        </w:r>
      </w:hyperlink>
      <w:r>
        <w:t>, ff. 1, 4, 7 a 9.</w:t>
      </w:r>
    </w:p>
    <w:p w:rsidR="0057104C" w:rsidRDefault="0057104C" w:rsidP="0057104C">
      <w:pPr>
        <w:pStyle w:val="SangriaFrancesaArticulo"/>
      </w:pPr>
      <w:r w:rsidRPr="0057104C">
        <w:rPr>
          <w:rStyle w:val="TextoNormalNegritaCaracter"/>
        </w:rPr>
        <w:t>Artículo 175.2 b).</w:t>
      </w:r>
      <w:r w:rsidRPr="0057104C">
        <w:rPr>
          <w:rStyle w:val="TextoNormalCaracter"/>
        </w:rPr>
        <w:t>-</w:t>
      </w:r>
      <w:r>
        <w:t xml:space="preserve"> Sentencia </w:t>
      </w:r>
      <w:hyperlink w:anchor="SENTENCIA_2016_101" w:history="1">
        <w:r w:rsidRPr="0057104C">
          <w:rPr>
            <w:rStyle w:val="TextoNormalCaracter"/>
          </w:rPr>
          <w:t>101/2016</w:t>
        </w:r>
      </w:hyperlink>
      <w:r>
        <w:t>, ff. 1, 4, 7 a 9.</w:t>
      </w:r>
    </w:p>
    <w:p w:rsidR="0057104C" w:rsidRDefault="0057104C" w:rsidP="0057104C">
      <w:pPr>
        <w:pStyle w:val="SangriaFrancesaArticulo"/>
      </w:pPr>
      <w:r w:rsidRPr="0057104C">
        <w:rPr>
          <w:rStyle w:val="TextoNormalNegritaCaracter"/>
        </w:rPr>
        <w:t>Artículo 175.2 e).</w:t>
      </w:r>
      <w:r w:rsidRPr="0057104C">
        <w:rPr>
          <w:rStyle w:val="TextoNormalCaracter"/>
        </w:rPr>
        <w:t>-</w:t>
      </w:r>
      <w:r>
        <w:t xml:space="preserve"> Sentencia </w:t>
      </w:r>
      <w:hyperlink w:anchor="SENTENCIA_2016_101" w:history="1">
        <w:r w:rsidRPr="0057104C">
          <w:rPr>
            <w:rStyle w:val="TextoNormalCaracter"/>
          </w:rPr>
          <w:t>101/2016</w:t>
        </w:r>
      </w:hyperlink>
      <w:r>
        <w:t>, ff. 1, 8, 9.</w:t>
      </w:r>
    </w:p>
    <w:p w:rsidR="0057104C" w:rsidRDefault="0057104C" w:rsidP="0057104C">
      <w:pPr>
        <w:pStyle w:val="SangriaFrancesaArticulo"/>
      </w:pPr>
      <w:r w:rsidRPr="0057104C">
        <w:rPr>
          <w:rStyle w:val="TextoNormalNegritaCaracter"/>
        </w:rPr>
        <w:t>Artículo 183.1.</w:t>
      </w:r>
      <w:r w:rsidRPr="0057104C">
        <w:rPr>
          <w:rStyle w:val="TextoNormalCaracter"/>
        </w:rPr>
        <w:t>-</w:t>
      </w:r>
      <w:r>
        <w:t xml:space="preserve"> Sentencia </w:t>
      </w:r>
      <w:hyperlink w:anchor="SENTENCIA_2016_101" w:history="1">
        <w:r w:rsidRPr="0057104C">
          <w:rPr>
            <w:rStyle w:val="TextoNormalCaracter"/>
          </w:rPr>
          <w:t>101/2016</w:t>
        </w:r>
      </w:hyperlink>
      <w:r>
        <w:t>, ff. 1, 8, 9.</w:t>
      </w:r>
    </w:p>
    <w:p w:rsidR="0057104C" w:rsidRDefault="0057104C" w:rsidP="0057104C">
      <w:pPr>
        <w:pStyle w:val="SangriaFrancesaArticulo"/>
      </w:pPr>
      <w:r w:rsidRPr="0057104C">
        <w:rPr>
          <w:rStyle w:val="TextoNormalNegritaCaracter"/>
        </w:rPr>
        <w:t>Artículo 183.7.</w:t>
      </w:r>
      <w:r w:rsidRPr="0057104C">
        <w:rPr>
          <w:rStyle w:val="TextoNormalCaracter"/>
        </w:rPr>
        <w:t>-</w:t>
      </w:r>
      <w:r>
        <w:t xml:space="preserve"> Sentencia </w:t>
      </w:r>
      <w:hyperlink w:anchor="SENTENCIA_2016_101" w:history="1">
        <w:r w:rsidRPr="0057104C">
          <w:rPr>
            <w:rStyle w:val="TextoNormalCaracter"/>
          </w:rPr>
          <w:t>101/2016</w:t>
        </w:r>
      </w:hyperlink>
      <w:r>
        <w:t>, ff. 1, 8, 9.</w:t>
      </w:r>
    </w:p>
    <w:p w:rsidR="0057104C" w:rsidRDefault="0057104C" w:rsidP="0057104C">
      <w:pPr>
        <w:pStyle w:val="SangriaFrancesaArticulo"/>
      </w:pPr>
      <w:r w:rsidRPr="0057104C">
        <w:rPr>
          <w:rStyle w:val="TextoNormalNegritaCaracter"/>
        </w:rPr>
        <w:t>Artículo 219.1.</w:t>
      </w:r>
      <w:r w:rsidRPr="0057104C">
        <w:rPr>
          <w:rStyle w:val="TextoNormalCaracter"/>
        </w:rPr>
        <w:t>-</w:t>
      </w:r>
      <w:r>
        <w:t xml:space="preserve"> Sentencia </w:t>
      </w:r>
      <w:hyperlink w:anchor="SENTENCIA_2016_101" w:history="1">
        <w:r w:rsidRPr="0057104C">
          <w:rPr>
            <w:rStyle w:val="TextoNormalCaracter"/>
          </w:rPr>
          <w:t>101/2016</w:t>
        </w:r>
      </w:hyperlink>
      <w:r>
        <w:t>, ff. 1, 8, 9.</w:t>
      </w:r>
    </w:p>
    <w:p w:rsidR="0057104C" w:rsidRDefault="0057104C" w:rsidP="0057104C">
      <w:pPr>
        <w:pStyle w:val="TextoNormal"/>
      </w:pPr>
    </w:p>
    <w:p w:rsidR="0057104C" w:rsidRDefault="0057104C" w:rsidP="0057104C">
      <w:pPr>
        <w:pStyle w:val="TextoNormalNegritaCentradoSubrayado"/>
        <w:suppressAutoHyphens/>
      </w:pPr>
      <w:r>
        <w:t>J.1.b)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del Parlamento de Andalucía 8/1984, de 3 de julio. Reforma agraria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p>
    <w:p w:rsidR="0057104C" w:rsidRDefault="0057104C" w:rsidP="0057104C">
      <w:pPr>
        <w:pStyle w:val="TextoNormalNegritaCursivandice"/>
      </w:pPr>
      <w:r>
        <w:t>Ley del Parlamento de Andalucía 10/2002, de 21 de diciembre. Tributos cedidos y otras medidas tributarias, administrativas y financieras</w:t>
      </w:r>
    </w:p>
    <w:p w:rsidR="0057104C" w:rsidRDefault="0057104C" w:rsidP="0057104C">
      <w:pPr>
        <w:pStyle w:val="SangriaFrancesaArticulo"/>
      </w:pPr>
      <w:r w:rsidRPr="0057104C">
        <w:rPr>
          <w:rStyle w:val="TextoNormalNegritaCaracter"/>
        </w:rPr>
        <w:t xml:space="preserve">Artículo 23.4 párrafo último inciso </w:t>
      </w:r>
      <w:r w:rsidRPr="0057104C">
        <w:rPr>
          <w:rStyle w:val="TextoNormalNegritaCursivaCaracter"/>
        </w:rPr>
        <w:t>in fine</w:t>
      </w:r>
      <w:r w:rsidRPr="0057104C">
        <w:rPr>
          <w:rStyle w:val="TextoNormalNegritaCaracter"/>
        </w:rPr>
        <w:t>.</w:t>
      </w:r>
      <w:r w:rsidRPr="0057104C">
        <w:rPr>
          <w:rStyle w:val="TextoNormalCaracter"/>
        </w:rPr>
        <w:t>-</w:t>
      </w:r>
      <w:r>
        <w:t xml:space="preserve"> Sentencia </w:t>
      </w:r>
      <w:hyperlink w:anchor="SENTENCIA_2016_25" w:history="1">
        <w:r w:rsidRPr="0057104C">
          <w:rPr>
            <w:rStyle w:val="TextoNormalCaracter"/>
          </w:rPr>
          <w:t>25/2016</w:t>
        </w:r>
      </w:hyperlink>
      <w:r>
        <w:t>, f. 4.</w:t>
      </w:r>
    </w:p>
    <w:p w:rsidR="0057104C" w:rsidRDefault="0057104C" w:rsidP="0057104C">
      <w:pPr>
        <w:pStyle w:val="SangriaFrancesaArticulo"/>
      </w:pPr>
    </w:p>
    <w:p w:rsidR="0057104C" w:rsidRDefault="0057104C" w:rsidP="0057104C">
      <w:pPr>
        <w:pStyle w:val="TextoNormalNegritaCursivandice"/>
      </w:pPr>
      <w:r>
        <w:t>Ley del Parlamento de Andalucía 18/2003, de 29 de diciembre. Medidas fiscales y administrativas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p>
    <w:p w:rsidR="0057104C" w:rsidRDefault="0057104C" w:rsidP="0057104C">
      <w:pPr>
        <w:pStyle w:val="TextoNormalNegritaCursivandice"/>
      </w:pPr>
      <w:r>
        <w:t>Ley 5/2010, de 11 de junio. Autonomía local de Andalucía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27" w:history="1">
        <w:r w:rsidRPr="0057104C">
          <w:rPr>
            <w:rStyle w:val="TextoNormalCaracter"/>
          </w:rPr>
          <w:t>27/2016</w:t>
        </w:r>
      </w:hyperlink>
      <w:r>
        <w:t>, f. 5.</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Sentencia </w:t>
      </w:r>
      <w:hyperlink w:anchor="SENTENCIA_2016_27" w:history="1">
        <w:r w:rsidRPr="0057104C">
          <w:rPr>
            <w:rStyle w:val="TextoNormalCaracter"/>
          </w:rPr>
          <w:t>27/2016</w:t>
        </w:r>
      </w:hyperlink>
      <w:r>
        <w:t>, f. 5.</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27" w:history="1">
        <w:r w:rsidRPr="0057104C">
          <w:rPr>
            <w:rStyle w:val="TextoNormalCaracter"/>
          </w:rPr>
          <w:t>27/2016</w:t>
        </w:r>
      </w:hyperlink>
      <w:r>
        <w:t>, f. 5.</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Sentencia </w:t>
      </w:r>
      <w:hyperlink w:anchor="SENTENCIA_2016_27" w:history="1">
        <w:r w:rsidRPr="0057104C">
          <w:rPr>
            <w:rStyle w:val="TextoNormalCaracter"/>
          </w:rPr>
          <w:t>27/2016</w:t>
        </w:r>
      </w:hyperlink>
      <w:r>
        <w:t>, f. 5.</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27" w:history="1">
        <w:r w:rsidRPr="0057104C">
          <w:rPr>
            <w:rStyle w:val="TextoNormalCaracter"/>
          </w:rPr>
          <w:t>27/2016</w:t>
        </w:r>
      </w:hyperlink>
      <w:r>
        <w:t>, f. 5.</w:t>
      </w:r>
    </w:p>
    <w:p w:rsidR="0057104C" w:rsidRDefault="0057104C" w:rsidP="0057104C">
      <w:pPr>
        <w:pStyle w:val="SangriaFrancesaArticulo"/>
      </w:pPr>
      <w:r w:rsidRPr="0057104C">
        <w:rPr>
          <w:rStyle w:val="TextoNormalNegritaCaracter"/>
        </w:rPr>
        <w:t>Artículo 12.1 a).</w:t>
      </w:r>
      <w:r w:rsidRPr="0057104C">
        <w:rPr>
          <w:rStyle w:val="TextoNormalCaracter"/>
        </w:rPr>
        <w:t>-</w:t>
      </w:r>
      <w:r>
        <w:t xml:space="preserve"> Sentencia </w:t>
      </w:r>
      <w:hyperlink w:anchor="SENTENCIA_2016_27" w:history="1">
        <w:r w:rsidRPr="0057104C">
          <w:rPr>
            <w:rStyle w:val="TextoNormalCaracter"/>
          </w:rPr>
          <w:t>27/2016</w:t>
        </w:r>
      </w:hyperlink>
      <w:r>
        <w:t>, f. 5.</w:t>
      </w:r>
    </w:p>
    <w:p w:rsidR="0057104C" w:rsidRDefault="0057104C" w:rsidP="0057104C">
      <w:pPr>
        <w:pStyle w:val="SangriaFrancesaArticulo"/>
      </w:pPr>
      <w:r w:rsidRPr="0057104C">
        <w:rPr>
          <w:rStyle w:val="TextoNormalNegritaCaracter"/>
        </w:rPr>
        <w:t>Artículo 12.1 b).</w:t>
      </w:r>
      <w:r w:rsidRPr="0057104C">
        <w:rPr>
          <w:rStyle w:val="TextoNormalCaracter"/>
        </w:rPr>
        <w:t>-</w:t>
      </w:r>
      <w:r>
        <w:t xml:space="preserve"> Sentencia </w:t>
      </w:r>
      <w:hyperlink w:anchor="SENTENCIA_2016_27" w:history="1">
        <w:r w:rsidRPr="0057104C">
          <w:rPr>
            <w:rStyle w:val="TextoNormalCaracter"/>
          </w:rPr>
          <w:t>27/2016</w:t>
        </w:r>
      </w:hyperlink>
      <w:r>
        <w:t>, f. 5.</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27" w:history="1">
        <w:r w:rsidRPr="0057104C">
          <w:rPr>
            <w:rStyle w:val="TextoNormalCaracter"/>
          </w:rPr>
          <w:t>27/2016</w:t>
        </w:r>
      </w:hyperlink>
      <w:r>
        <w:t>, f. 5.</w:t>
      </w:r>
    </w:p>
    <w:p w:rsidR="0057104C" w:rsidRDefault="0057104C" w:rsidP="0057104C">
      <w:pPr>
        <w:pStyle w:val="SangriaFrancesaArticulo"/>
      </w:pPr>
      <w:r w:rsidRPr="0057104C">
        <w:rPr>
          <w:rStyle w:val="TextoNormalNegritaCaracter"/>
        </w:rPr>
        <w:t>Artículo 13.2.</w:t>
      </w:r>
      <w:r w:rsidRPr="0057104C">
        <w:rPr>
          <w:rStyle w:val="TextoNormalCaracter"/>
        </w:rPr>
        <w:t>-</w:t>
      </w:r>
      <w:r>
        <w:t xml:space="preserve"> Sentencia </w:t>
      </w:r>
      <w:hyperlink w:anchor="SENTENCIA_2016_27" w:history="1">
        <w:r w:rsidRPr="0057104C">
          <w:rPr>
            <w:rStyle w:val="TextoNormalCaracter"/>
          </w:rPr>
          <w:t>27/2016</w:t>
        </w:r>
      </w:hyperlink>
      <w:r>
        <w:t>, f. 5.</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27" w:history="1">
        <w:r w:rsidRPr="0057104C">
          <w:rPr>
            <w:rStyle w:val="TextoNormalCaracter"/>
          </w:rPr>
          <w:t>27/2016</w:t>
        </w:r>
      </w:hyperlink>
      <w:r>
        <w:t>, f. 5.</w:t>
      </w:r>
    </w:p>
    <w:p w:rsidR="0057104C" w:rsidRDefault="0057104C" w:rsidP="0057104C">
      <w:pPr>
        <w:pStyle w:val="SangriaFrancesaArticulo"/>
      </w:pPr>
    </w:p>
    <w:p w:rsidR="0057104C" w:rsidRDefault="0057104C" w:rsidP="0057104C">
      <w:pPr>
        <w:pStyle w:val="TextoNormalNegritaCursivandice"/>
      </w:pPr>
      <w:r>
        <w:t>Decreto-ley de la Junta de Andalucía 3/2012, de 21 de septiembre. Medidas fiscales, administrativas, laborales y en materia de hacienda pública para el reequilibrio económico-financiero de la Junta de Andalucía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46" w:history="1">
        <w:r w:rsidRPr="0057104C">
          <w:rPr>
            <w:rStyle w:val="TextoNormalCaracter"/>
          </w:rPr>
          <w:t>46/2016</w:t>
        </w:r>
      </w:hyperlink>
      <w:r>
        <w:t>.</w:t>
      </w:r>
    </w:p>
    <w:p w:rsidR="0057104C" w:rsidRDefault="0057104C" w:rsidP="0057104C">
      <w:pPr>
        <w:pStyle w:val="SangriaFrancesaArticulo"/>
      </w:pPr>
      <w:r w:rsidRPr="0057104C">
        <w:rPr>
          <w:rStyle w:val="TextoNormalNegritaCaracter"/>
        </w:rPr>
        <w:t>artículo único.3.</w:t>
      </w:r>
      <w:r w:rsidRPr="0057104C">
        <w:rPr>
          <w:rStyle w:val="TextoNormalCaracter"/>
        </w:rPr>
        <w:t>-</w:t>
      </w:r>
      <w:r>
        <w:t xml:space="preserve"> Sentencia </w:t>
      </w:r>
      <w:hyperlink w:anchor="SENTENCIA_2016_46" w:history="1">
        <w:r w:rsidRPr="0057104C">
          <w:rPr>
            <w:rStyle w:val="TextoNormalCaracter"/>
          </w:rPr>
          <w:t>46/2016</w:t>
        </w:r>
      </w:hyperlink>
      <w:r>
        <w:t>.</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Sentencias </w:t>
      </w:r>
      <w:hyperlink w:anchor="SENTENCIA_2016_43" w:history="1">
        <w:r w:rsidRPr="0057104C">
          <w:rPr>
            <w:rStyle w:val="TextoNormalCaracter"/>
          </w:rPr>
          <w:t>43/2016</w:t>
        </w:r>
      </w:hyperlink>
      <w:r>
        <w:t xml:space="preserve">, f. 2; </w:t>
      </w:r>
      <w:hyperlink w:anchor="SENTENCIA_2016_47" w:history="1">
        <w:r w:rsidRPr="0057104C">
          <w:rPr>
            <w:rStyle w:val="TextoNormalCaracter"/>
          </w:rPr>
          <w:t>47/2016</w:t>
        </w:r>
      </w:hyperlink>
      <w:r>
        <w:t>, f. 3.</w:t>
      </w:r>
    </w:p>
    <w:p w:rsidR="0057104C" w:rsidRDefault="0057104C" w:rsidP="0057104C">
      <w:pPr>
        <w:pStyle w:val="SangriaFrancesaArticulo"/>
      </w:pPr>
      <w:r w:rsidRPr="0057104C">
        <w:rPr>
          <w:rStyle w:val="TextoNormalNegritaCaracter"/>
        </w:rPr>
        <w:t>Disposición transitoria primera, apartado 2.</w:t>
      </w:r>
      <w:r w:rsidRPr="0057104C">
        <w:rPr>
          <w:rStyle w:val="TextoNormalCaracter"/>
        </w:rPr>
        <w:t>-</w:t>
      </w:r>
      <w:r>
        <w:t xml:space="preserve"> Sentencias </w:t>
      </w:r>
      <w:hyperlink w:anchor="SENTENCIA_2016_43" w:history="1">
        <w:r w:rsidRPr="0057104C">
          <w:rPr>
            <w:rStyle w:val="TextoNormalCaracter"/>
          </w:rPr>
          <w:t>43/2016</w:t>
        </w:r>
      </w:hyperlink>
      <w:r>
        <w:t xml:space="preserve">, f. 2; </w:t>
      </w:r>
      <w:hyperlink w:anchor="SENTENCIA_2016_52" w:history="1">
        <w:r w:rsidRPr="0057104C">
          <w:rPr>
            <w:rStyle w:val="TextoNormalCaracter"/>
          </w:rPr>
          <w:t>52/2016</w:t>
        </w:r>
      </w:hyperlink>
      <w:r>
        <w:t>, f. 2.</w:t>
      </w:r>
    </w:p>
    <w:p w:rsidR="0057104C" w:rsidRDefault="0057104C" w:rsidP="0057104C">
      <w:pPr>
        <w:pStyle w:val="SangriaFrancesaArticulo"/>
      </w:pPr>
      <w:r w:rsidRPr="0057104C">
        <w:rPr>
          <w:rStyle w:val="TextoNormalNegritaCaracter"/>
        </w:rPr>
        <w:t>Disposición transitoria primera, apartado 3.</w:t>
      </w:r>
      <w:r w:rsidRPr="0057104C">
        <w:rPr>
          <w:rStyle w:val="TextoNormalCaracter"/>
        </w:rPr>
        <w:t>-</w:t>
      </w:r>
      <w:r>
        <w:t xml:space="preserve"> Sentencias </w:t>
      </w:r>
      <w:hyperlink w:anchor="SENTENCIA_2016_43" w:history="1">
        <w:r w:rsidRPr="0057104C">
          <w:rPr>
            <w:rStyle w:val="TextoNormalCaracter"/>
          </w:rPr>
          <w:t>43/2016</w:t>
        </w:r>
      </w:hyperlink>
      <w:r>
        <w:t xml:space="preserve">, f. 2; </w:t>
      </w:r>
      <w:hyperlink w:anchor="SENTENCIA_2016_52" w:history="1">
        <w:r w:rsidRPr="0057104C">
          <w:rPr>
            <w:rStyle w:val="TextoNormalCaracter"/>
          </w:rPr>
          <w:t>52/2016</w:t>
        </w:r>
      </w:hyperlink>
      <w:r>
        <w:t>, f. 2.</w:t>
      </w:r>
    </w:p>
    <w:p w:rsidR="0057104C" w:rsidRDefault="0057104C" w:rsidP="0057104C">
      <w:pPr>
        <w:pStyle w:val="SangriaFrancesaArticulo"/>
      </w:pPr>
    </w:p>
    <w:p w:rsidR="0057104C" w:rsidRDefault="0057104C" w:rsidP="0057104C">
      <w:pPr>
        <w:pStyle w:val="TextoNormalNegritaCursivandice"/>
      </w:pPr>
      <w:r>
        <w:t>Decreto-ley de la Junta de Andalucía 5/2012, de 27 de noviembre. Medidas urgentes en materia urbanística y para la protección del litoral de Andalucía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27" w:history="1">
        <w:r w:rsidRPr="0057104C">
          <w:rPr>
            <w:rStyle w:val="TextoNormalCaracter"/>
          </w:rPr>
          <w:t>27/2016</w:t>
        </w:r>
      </w:hyperlink>
      <w:r>
        <w:t>.</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27" w:history="1">
        <w:r w:rsidRPr="0057104C">
          <w:rPr>
            <w:rStyle w:val="TextoNormalCaracter"/>
          </w:rPr>
          <w:t>27/2016</w:t>
        </w:r>
      </w:hyperlink>
      <w:r>
        <w:t>, ff. 1, 5, 6.</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27" w:history="1">
        <w:r w:rsidRPr="0057104C">
          <w:rPr>
            <w:rStyle w:val="TextoNormalCaracter"/>
          </w:rPr>
          <w:t>27/2016</w:t>
        </w:r>
      </w:hyperlink>
      <w:r>
        <w:t>, ff. 1, 5, 6.</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27" w:history="1">
        <w:r w:rsidRPr="0057104C">
          <w:rPr>
            <w:rStyle w:val="TextoNormalCaracter"/>
          </w:rPr>
          <w:t>27/2016</w:t>
        </w:r>
      </w:hyperlink>
      <w:r>
        <w:t>, ff. 1, 5.</w:t>
      </w:r>
    </w:p>
    <w:p w:rsidR="0057104C" w:rsidRDefault="0057104C" w:rsidP="0057104C">
      <w:pPr>
        <w:pStyle w:val="SangriaFrancesaArticulo"/>
      </w:pPr>
    </w:p>
    <w:p w:rsidR="0057104C" w:rsidRDefault="0057104C" w:rsidP="0057104C">
      <w:pPr>
        <w:pStyle w:val="TextoNormalNegritaCursivandice"/>
      </w:pPr>
      <w:r>
        <w:t>Ley del Parlamento de Andalucía 1/2015, de 21 de diciembre. Presupuesto de la Comunidad Autónoma para el año 2016</w:t>
      </w:r>
    </w:p>
    <w:p w:rsidR="0057104C" w:rsidRDefault="0057104C" w:rsidP="0057104C">
      <w:pPr>
        <w:pStyle w:val="SangriaFrancesaArticulo"/>
      </w:pPr>
      <w:r w:rsidRPr="0057104C">
        <w:rPr>
          <w:rStyle w:val="TextoNormalNegritaCaracter"/>
        </w:rPr>
        <w:t>Disposición adicional decimoquinta.</w:t>
      </w:r>
      <w:r w:rsidRPr="0057104C">
        <w:rPr>
          <w:rStyle w:val="TextoNormalCaracter"/>
        </w:rPr>
        <w:t>-</w:t>
      </w:r>
      <w:r>
        <w:t xml:space="preserve"> Sentencias </w:t>
      </w:r>
      <w:hyperlink w:anchor="SENTENCIA_2016_43" w:history="1">
        <w:r w:rsidRPr="0057104C">
          <w:rPr>
            <w:rStyle w:val="TextoNormalCaracter"/>
          </w:rPr>
          <w:t>43/2016</w:t>
        </w:r>
      </w:hyperlink>
      <w:r>
        <w:t xml:space="preserve">, ff. 2, 3; </w:t>
      </w:r>
      <w:hyperlink w:anchor="SENTENCIA_2016_46" w:history="1">
        <w:r w:rsidRPr="0057104C">
          <w:rPr>
            <w:rStyle w:val="TextoNormalCaracter"/>
          </w:rPr>
          <w:t>46/2016</w:t>
        </w:r>
      </w:hyperlink>
      <w:r>
        <w:t xml:space="preserve">, f. 3; </w:t>
      </w:r>
      <w:hyperlink w:anchor="SENTENCIA_2016_47" w:history="1">
        <w:r w:rsidRPr="0057104C">
          <w:rPr>
            <w:rStyle w:val="TextoNormalCaracter"/>
          </w:rPr>
          <w:t>47/2016</w:t>
        </w:r>
      </w:hyperlink>
      <w:r>
        <w:t xml:space="preserve">, f. 3; </w:t>
      </w:r>
      <w:hyperlink w:anchor="SENTENCIA_2016_52" w:history="1">
        <w:r w:rsidRPr="0057104C">
          <w:rPr>
            <w:rStyle w:val="TextoNormalCaracter"/>
          </w:rPr>
          <w:t>52/2016</w:t>
        </w:r>
      </w:hyperlink>
      <w:r>
        <w:t>, ff. 2, 3.</w:t>
      </w:r>
    </w:p>
    <w:p w:rsidR="0057104C" w:rsidRDefault="0057104C" w:rsidP="0057104C">
      <w:pPr>
        <w:pStyle w:val="TextoNormal"/>
      </w:pPr>
    </w:p>
    <w:p w:rsidR="0057104C" w:rsidRDefault="0057104C" w:rsidP="0057104C">
      <w:pPr>
        <w:pStyle w:val="TextoNormalNegritaCentradoSubrayado"/>
        <w:suppressAutoHyphens/>
      </w:pPr>
      <w:r>
        <w:t>J.1.c) Decretos y otras disposiciones reglamentarias</w:t>
      </w:r>
    </w:p>
    <w:p w:rsidR="0057104C" w:rsidRDefault="0057104C" w:rsidP="0057104C">
      <w:pPr>
        <w:pStyle w:val="TextoNormalNegritaCentradoSubrayado"/>
      </w:pPr>
    </w:p>
    <w:p w:rsidR="0057104C" w:rsidRDefault="0057104C" w:rsidP="0057104C">
      <w:pPr>
        <w:pStyle w:val="TextoNormalNegritaCursivandice"/>
      </w:pPr>
      <w:r>
        <w:t>Resolución de 30 de diciembre de 2015, de la Secretaría General para la Administración Pública de la Junta de Andalucía. Instrucciones para la aplicación de la disposición adicional decimoquinta de la Ley 1/2015, de 21 de diciembre, del Presupuesto de la Comunidad Autónoma de Andalucía para el año 2016</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43" w:history="1">
        <w:r w:rsidRPr="0057104C">
          <w:rPr>
            <w:rStyle w:val="TextoNormalCaracter"/>
          </w:rPr>
          <w:t>43/2016</w:t>
        </w:r>
      </w:hyperlink>
      <w:r>
        <w:t xml:space="preserve">, f. 2; </w:t>
      </w:r>
      <w:hyperlink w:anchor="SENTENCIA_2016_46" w:history="1">
        <w:r w:rsidRPr="0057104C">
          <w:rPr>
            <w:rStyle w:val="TextoNormalCaracter"/>
          </w:rPr>
          <w:t>46/2016</w:t>
        </w:r>
      </w:hyperlink>
      <w:r>
        <w:t>, f. 3.</w:t>
      </w:r>
    </w:p>
    <w:p w:rsidR="0057104C" w:rsidRDefault="0057104C" w:rsidP="0057104C">
      <w:pPr>
        <w:pStyle w:val="SangriaFrancesaArticulo"/>
      </w:pPr>
      <w:r w:rsidRPr="0057104C">
        <w:rPr>
          <w:rStyle w:val="TextoNormalNegritaCaracter"/>
        </w:rPr>
        <w:t>Disposición adicional decimoquinta.</w:t>
      </w:r>
      <w:r w:rsidRPr="0057104C">
        <w:rPr>
          <w:rStyle w:val="TextoNormalCaracter"/>
        </w:rPr>
        <w:t>-</w:t>
      </w:r>
      <w:r>
        <w:t xml:space="preserve"> Sentencia </w:t>
      </w:r>
      <w:hyperlink w:anchor="SENTENCIA_2016_52" w:history="1">
        <w:r w:rsidRPr="0057104C">
          <w:rPr>
            <w:rStyle w:val="TextoNormalCaracter"/>
          </w:rPr>
          <w:t>52/2016</w:t>
        </w:r>
      </w:hyperlink>
      <w:r>
        <w:t>, f. 2.</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J.2) Aragón</w:t>
      </w:r>
    </w:p>
    <w:p w:rsidR="0057104C" w:rsidRDefault="0057104C" w:rsidP="0057104C">
      <w:pPr>
        <w:pStyle w:val="TextoNormal"/>
      </w:pPr>
    </w:p>
    <w:p w:rsidR="0057104C" w:rsidRDefault="0057104C" w:rsidP="0057104C">
      <w:pPr>
        <w:pStyle w:val="TextoNormalNegritaCentradoSubrayado"/>
        <w:suppressAutoHyphens/>
      </w:pPr>
      <w:r>
        <w:t>J.2.a) Estatuto de Autonomía</w:t>
      </w:r>
    </w:p>
    <w:p w:rsidR="0057104C" w:rsidRDefault="0057104C" w:rsidP="0057104C">
      <w:pPr>
        <w:pStyle w:val="TextoNormalNegritaCentradoSubrayado"/>
      </w:pPr>
    </w:p>
    <w:p w:rsidR="0057104C" w:rsidRDefault="0057104C" w:rsidP="0057104C">
      <w:pPr>
        <w:pStyle w:val="TextoNormalNegritaCursivandice"/>
      </w:pPr>
      <w:r>
        <w:t>Ley Orgánica 8/1982, de 10 de agosto. Estatuto de Autonomía de Aragón</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56" w:history="1">
        <w:r w:rsidRPr="0057104C">
          <w:rPr>
            <w:rStyle w:val="TextoNormalCaracter"/>
          </w:rPr>
          <w:t>56/2016</w:t>
        </w:r>
      </w:hyperlink>
      <w:r>
        <w:t>, f. 2.</w:t>
      </w:r>
    </w:p>
    <w:p w:rsidR="0057104C" w:rsidRDefault="0057104C" w:rsidP="0057104C">
      <w:pPr>
        <w:pStyle w:val="SangriaFrancesaArticulo"/>
      </w:pPr>
      <w:r w:rsidRPr="0057104C">
        <w:rPr>
          <w:rStyle w:val="TextoNormalNegritaCaracter"/>
        </w:rPr>
        <w:t>Artículo 36.1 g)</w:t>
      </w:r>
      <w:r>
        <w:t xml:space="preserve"> (redactado por la Ley Orgánica 5/1996, de 30 de diciembre)</w:t>
      </w:r>
      <w:r w:rsidRPr="0057104C">
        <w:rPr>
          <w:rStyle w:val="TextoNormalNegritaCaracter"/>
        </w:rPr>
        <w:t>.</w:t>
      </w:r>
      <w:r w:rsidRPr="0057104C">
        <w:rPr>
          <w:rStyle w:val="TextoNormalCaracter"/>
        </w:rPr>
        <w:t>-</w:t>
      </w:r>
      <w:r>
        <w:t xml:space="preserve"> Auto </w:t>
      </w:r>
      <w:hyperlink w:anchor="AUTO_2016_128" w:history="1">
        <w:r w:rsidRPr="0057104C">
          <w:rPr>
            <w:rStyle w:val="TextoNormalCaracter"/>
          </w:rPr>
          <w:t>128/2016</w:t>
        </w:r>
      </w:hyperlink>
      <w:r>
        <w:t>, f. 4.</w:t>
      </w:r>
    </w:p>
    <w:p w:rsidR="0057104C" w:rsidRDefault="0057104C" w:rsidP="0057104C">
      <w:pPr>
        <w:pStyle w:val="SangriaFrancesaArticulo"/>
      </w:pPr>
      <w:r w:rsidRPr="0057104C">
        <w:rPr>
          <w:rStyle w:val="TextoNormalNegritaCaracter"/>
        </w:rPr>
        <w:t>Disposición adicional quinta.</w:t>
      </w:r>
      <w:r w:rsidRPr="0057104C">
        <w:rPr>
          <w:rStyle w:val="TextoNormalCaracter"/>
        </w:rPr>
        <w:t>-</w:t>
      </w:r>
      <w:r>
        <w:t xml:space="preserve"> Sentencia </w:t>
      </w:r>
      <w:hyperlink w:anchor="SENTENCIA_2016_110" w:history="1">
        <w:r w:rsidRPr="0057104C">
          <w:rPr>
            <w:rStyle w:val="TextoNormalCaracter"/>
          </w:rPr>
          <w:t>110/2016</w:t>
        </w:r>
      </w:hyperlink>
      <w:r>
        <w:t>, f. 4.</w:t>
      </w:r>
    </w:p>
    <w:p w:rsidR="0057104C" w:rsidRDefault="0057104C" w:rsidP="0057104C">
      <w:pPr>
        <w:pStyle w:val="SangriaFrancesaArticulo"/>
      </w:pPr>
    </w:p>
    <w:p w:rsidR="0057104C" w:rsidRDefault="0057104C" w:rsidP="0057104C">
      <w:pPr>
        <w:pStyle w:val="TextoNormalNegritaCursivandice"/>
      </w:pPr>
      <w:r>
        <w:t>Ley Orgánica 5/1996, de 30 de diciembre. Reforma de la Ley Orgánica 8/1982, de 10 de agosto, de Estatuto de Autonomía de Aragón, modificada por la Ley Orgánica 6/1994, de 24 de marzo, de reforma de dicho Estatuto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6" w:history="1">
        <w:r w:rsidRPr="0057104C">
          <w:rPr>
            <w:rStyle w:val="TextoNormalCaracter"/>
          </w:rPr>
          <w:t>56/2016</w:t>
        </w:r>
      </w:hyperlink>
      <w:r>
        <w:t>, f. 2.</w:t>
      </w:r>
    </w:p>
    <w:p w:rsidR="0057104C" w:rsidRDefault="0057104C" w:rsidP="0057104C">
      <w:pPr>
        <w:pStyle w:val="SangriaFrancesaArticulo"/>
      </w:pPr>
    </w:p>
    <w:p w:rsidR="0057104C" w:rsidRDefault="0057104C" w:rsidP="0057104C">
      <w:pPr>
        <w:pStyle w:val="TextoNormalNegritaCursivandice"/>
      </w:pPr>
      <w:r>
        <w:t>Ley Orgánica 5/2007, de 20 de abril. Reforma del Estatuto de Autonomía de Aragón</w:t>
      </w:r>
    </w:p>
    <w:p w:rsidR="0057104C" w:rsidRDefault="0057104C" w:rsidP="0057104C">
      <w:pPr>
        <w:pStyle w:val="SangriaFrancesaArticulo"/>
      </w:pPr>
      <w:r w:rsidRPr="0057104C">
        <w:rPr>
          <w:rStyle w:val="TextoNormalNegritaCaracter"/>
        </w:rPr>
        <w:t>Artículo 7.2.</w:t>
      </w:r>
      <w:r w:rsidRPr="0057104C">
        <w:rPr>
          <w:rStyle w:val="TextoNormalCaracter"/>
        </w:rPr>
        <w:t>-</w:t>
      </w:r>
      <w:r>
        <w:t xml:space="preserve"> Sentencia </w:t>
      </w:r>
      <w:hyperlink w:anchor="SENTENCIA_2016_56" w:history="1">
        <w:r w:rsidRPr="0057104C">
          <w:rPr>
            <w:rStyle w:val="TextoNormalCaracter"/>
          </w:rPr>
          <w:t>56/2016</w:t>
        </w:r>
      </w:hyperlink>
      <w:r>
        <w:t>, ff. 1, 3, 4.</w:t>
      </w:r>
    </w:p>
    <w:p w:rsidR="0057104C" w:rsidRDefault="0057104C" w:rsidP="0057104C">
      <w:pPr>
        <w:pStyle w:val="SangriaFrancesaArticulo"/>
      </w:pPr>
      <w:r w:rsidRPr="0057104C">
        <w:rPr>
          <w:rStyle w:val="TextoNormalNegritaCaracter"/>
        </w:rPr>
        <w:t>Artículo 35.1.33.</w:t>
      </w:r>
      <w:r w:rsidRPr="0057104C">
        <w:rPr>
          <w:rStyle w:val="TextoNormalCaracter"/>
        </w:rPr>
        <w:t>-</w:t>
      </w:r>
      <w:r>
        <w:t xml:space="preserve"> Auto </w:t>
      </w:r>
      <w:hyperlink w:anchor="AUTO_2016_128" w:history="1">
        <w:r w:rsidRPr="0057104C">
          <w:rPr>
            <w:rStyle w:val="TextoNormalCaracter"/>
          </w:rPr>
          <w:t>128/2016</w:t>
        </w:r>
      </w:hyperlink>
      <w:r>
        <w:t>, f. 4.</w:t>
      </w:r>
    </w:p>
    <w:p w:rsidR="0057104C" w:rsidRDefault="0057104C" w:rsidP="0057104C">
      <w:pPr>
        <w:pStyle w:val="TextoNormal"/>
      </w:pPr>
    </w:p>
    <w:p w:rsidR="0057104C" w:rsidRDefault="0057104C" w:rsidP="0057104C">
      <w:pPr>
        <w:pStyle w:val="TextoNormalNegritaCentradoSubrayado"/>
        <w:suppressAutoHyphens/>
      </w:pPr>
      <w:r>
        <w:t>J.2.b)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3/1999, de 10 de marzo, del Patrimonio Cultural Aragonés</w:t>
      </w:r>
    </w:p>
    <w:p w:rsidR="0057104C" w:rsidRDefault="0057104C" w:rsidP="0057104C">
      <w:pPr>
        <w:pStyle w:val="SangriaFrancesaArticulo"/>
      </w:pPr>
      <w:r w:rsidRPr="0057104C">
        <w:rPr>
          <w:rStyle w:val="TextoNormalNegritaCaracter"/>
        </w:rPr>
        <w:t>Artículo 4.1</w:t>
      </w:r>
      <w:r>
        <w:t xml:space="preserve"> (redactado por la Ley 2/2016, de 28 de enero)</w:t>
      </w:r>
      <w:r w:rsidRPr="0057104C">
        <w:rPr>
          <w:rStyle w:val="TextoNormalNegritaCaracter"/>
        </w:rPr>
        <w:t>.</w:t>
      </w:r>
      <w:r w:rsidRPr="0057104C">
        <w:rPr>
          <w:rStyle w:val="TextoNormalCaracter"/>
        </w:rPr>
        <w:t>-</w:t>
      </w:r>
      <w:r>
        <w:t xml:space="preserve"> Sentencia </w:t>
      </w:r>
      <w:hyperlink w:anchor="SENTENCIA_2016_56" w:history="1">
        <w:r w:rsidRPr="0057104C">
          <w:rPr>
            <w:rStyle w:val="TextoNormalCaracter"/>
          </w:rPr>
          <w:t>56/2016</w:t>
        </w:r>
      </w:hyperlink>
      <w:r>
        <w:t>, f. 3.</w:t>
      </w:r>
    </w:p>
    <w:p w:rsidR="0057104C" w:rsidRDefault="0057104C" w:rsidP="0057104C">
      <w:pPr>
        <w:pStyle w:val="SangriaFrancesaArticulo"/>
      </w:pPr>
    </w:p>
    <w:p w:rsidR="0057104C" w:rsidRDefault="0057104C" w:rsidP="0057104C">
      <w:pPr>
        <w:pStyle w:val="TextoNormalNegritaCursivandice"/>
      </w:pPr>
      <w:r>
        <w:t>Ley 10/2009, de 22 de diciembre, de uso, protección y promoción de las lenguas propias de Aragón(Disposición derogada)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6" w:history="1">
        <w:r w:rsidRPr="0057104C">
          <w:rPr>
            <w:rStyle w:val="TextoNormalCaracter"/>
          </w:rPr>
          <w:t>56/2016</w:t>
        </w:r>
      </w:hyperlink>
      <w:r>
        <w:t>, ff. 2, 3.</w:t>
      </w:r>
    </w:p>
    <w:p w:rsidR="0057104C" w:rsidRDefault="0057104C" w:rsidP="0057104C">
      <w:pPr>
        <w:pStyle w:val="SangriaFrancesaArticulo"/>
      </w:pPr>
    </w:p>
    <w:p w:rsidR="0057104C" w:rsidRDefault="0057104C" w:rsidP="0057104C">
      <w:pPr>
        <w:pStyle w:val="TextoNormalNegritaCursivandice"/>
      </w:pPr>
      <w:r>
        <w:t>Ley de las Cortes de Aragón 3/2013, de 9 de mayo, de uso, protección y promoción de las lenguas y modalidades lingüísticas propias de Aragón</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56" w:history="1">
        <w:r w:rsidRPr="0057104C">
          <w:rPr>
            <w:rStyle w:val="TextoNormalCaracter"/>
          </w:rPr>
          <w:t>56/2016</w:t>
        </w:r>
      </w:hyperlink>
      <w:r>
        <w:t>, ff. 1, 3.</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56" w:history="1">
        <w:r w:rsidRPr="0057104C">
          <w:rPr>
            <w:rStyle w:val="TextoNormalCaracter"/>
          </w:rPr>
          <w:t>56/2016</w:t>
        </w:r>
      </w:hyperlink>
      <w:r>
        <w:t>, ff. 1, 3, 4.</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56" w:history="1">
        <w:r w:rsidRPr="0057104C">
          <w:rPr>
            <w:rStyle w:val="TextoNormalCaracter"/>
          </w:rPr>
          <w:t>56/2016</w:t>
        </w:r>
      </w:hyperlink>
      <w:r>
        <w:t>, ff. 1, 4.</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56" w:history="1">
        <w:r w:rsidRPr="0057104C">
          <w:rPr>
            <w:rStyle w:val="TextoNormalCaracter"/>
          </w:rPr>
          <w:t>56/2016</w:t>
        </w:r>
      </w:hyperlink>
      <w:r>
        <w:t>, ff. 1, 3.</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56" w:history="1">
        <w:r w:rsidRPr="0057104C">
          <w:rPr>
            <w:rStyle w:val="TextoNormalCaracter"/>
          </w:rPr>
          <w:t>56/2016</w:t>
        </w:r>
      </w:hyperlink>
      <w:r>
        <w:t>, ff. 1, 3.</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56" w:history="1">
        <w:r w:rsidRPr="0057104C">
          <w:rPr>
            <w:rStyle w:val="TextoNormalCaracter"/>
          </w:rPr>
          <w:t>56/2016</w:t>
        </w:r>
      </w:hyperlink>
      <w:r>
        <w:t>, ff. 1, 5.</w:t>
      </w:r>
    </w:p>
    <w:p w:rsidR="0057104C" w:rsidRDefault="0057104C" w:rsidP="0057104C">
      <w:pPr>
        <w:pStyle w:val="SangriaFrancesaArticulo"/>
      </w:pPr>
    </w:p>
    <w:p w:rsidR="0057104C" w:rsidRDefault="0057104C" w:rsidP="0057104C">
      <w:pPr>
        <w:pStyle w:val="TextoNormalNegritaCursivandice"/>
      </w:pPr>
      <w:r>
        <w:t>Ley de las Cortes de Aragón 2/2016, de 28 de enero. Medidas fiscales y administrativas de la Comunidad Autónoma</w:t>
      </w:r>
    </w:p>
    <w:p w:rsidR="0057104C" w:rsidRDefault="0057104C" w:rsidP="0057104C">
      <w:pPr>
        <w:pStyle w:val="SangriaFrancesaArticulo"/>
      </w:pPr>
      <w:r w:rsidRPr="0057104C">
        <w:rPr>
          <w:rStyle w:val="TextoNormalNegritaCaracter"/>
        </w:rPr>
        <w:t>Artículo 35.</w:t>
      </w:r>
      <w:r w:rsidRPr="0057104C">
        <w:rPr>
          <w:rStyle w:val="TextoNormalCaracter"/>
        </w:rPr>
        <w:t>-</w:t>
      </w:r>
      <w:r>
        <w:t xml:space="preserve"> Sentencia </w:t>
      </w:r>
      <w:hyperlink w:anchor="SENTENCIA_2016_56" w:history="1">
        <w:r w:rsidRPr="0057104C">
          <w:rPr>
            <w:rStyle w:val="TextoNormalCaracter"/>
          </w:rPr>
          <w:t>56/2016</w:t>
        </w:r>
      </w:hyperlink>
      <w:r>
        <w:t>, f. 3.</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J.3) Asturias</w:t>
      </w:r>
    </w:p>
    <w:p w:rsidR="0057104C" w:rsidRDefault="0057104C" w:rsidP="0057104C">
      <w:pPr>
        <w:pStyle w:val="TextoNormal"/>
      </w:pPr>
    </w:p>
    <w:p w:rsidR="0057104C" w:rsidRDefault="0057104C" w:rsidP="0057104C">
      <w:pPr>
        <w:pStyle w:val="TextoNormalNegritaCentradoSubrayado"/>
        <w:suppressAutoHyphens/>
      </w:pPr>
      <w:r>
        <w:t>J.3.a) Estatuto de Autonomía</w:t>
      </w:r>
    </w:p>
    <w:p w:rsidR="0057104C" w:rsidRDefault="0057104C" w:rsidP="0057104C">
      <w:pPr>
        <w:pStyle w:val="TextoNormalNegritaCentradoSubrayado"/>
      </w:pPr>
    </w:p>
    <w:p w:rsidR="0057104C" w:rsidRDefault="0057104C" w:rsidP="0057104C">
      <w:pPr>
        <w:pStyle w:val="TextoNormalNegritaCursivandice"/>
      </w:pPr>
      <w:r>
        <w:t>Ley Orgánica 7/1981, de 30 de diciembre. Estatuto de Autonomía de Asturias</w:t>
      </w:r>
    </w:p>
    <w:p w:rsidR="0057104C" w:rsidRDefault="0057104C" w:rsidP="0057104C">
      <w:pPr>
        <w:pStyle w:val="SangriaFrancesaArticulo"/>
      </w:pPr>
      <w:r w:rsidRPr="0057104C">
        <w:rPr>
          <w:rStyle w:val="TextoNormalNegritaCaracter"/>
        </w:rPr>
        <w:t>Artículo 10.1.3.</w:t>
      </w:r>
      <w:r w:rsidRPr="0057104C">
        <w:rPr>
          <w:rStyle w:val="TextoNormalCaracter"/>
        </w:rPr>
        <w:t>-</w:t>
      </w:r>
      <w:r>
        <w:t xml:space="preserve"> Sentencia </w:t>
      </w:r>
      <w:hyperlink w:anchor="SENTENCIA_2016_100" w:history="1">
        <w:r w:rsidRPr="0057104C">
          <w:rPr>
            <w:rStyle w:val="TextoNormalCaracter"/>
          </w:rPr>
          <w:t>100/2016</w:t>
        </w:r>
      </w:hyperlink>
      <w:r>
        <w:t>, f. 1.</w:t>
      </w:r>
    </w:p>
    <w:p w:rsidR="0057104C" w:rsidRDefault="0057104C" w:rsidP="0057104C">
      <w:pPr>
        <w:pStyle w:val="SangriaFrancesaArticulo"/>
      </w:pPr>
      <w:r w:rsidRPr="0057104C">
        <w:rPr>
          <w:rStyle w:val="TextoNormalNegritaCaracter"/>
        </w:rPr>
        <w:t>Artículo 10.11.</w:t>
      </w:r>
      <w:r w:rsidRPr="0057104C">
        <w:rPr>
          <w:rStyle w:val="TextoNormalCaracter"/>
        </w:rPr>
        <w:t>-</w:t>
      </w:r>
      <w:r>
        <w:t xml:space="preserve"> Sentencia </w:t>
      </w:r>
      <w:hyperlink w:anchor="SENTENCIA_2016_66" w:history="1">
        <w:r w:rsidRPr="0057104C">
          <w:rPr>
            <w:rStyle w:val="TextoNormalCaracter"/>
          </w:rPr>
          <w:t>66/2016</w:t>
        </w:r>
      </w:hyperlink>
      <w:r>
        <w:t>, f. 1.</w:t>
      </w:r>
    </w:p>
    <w:p w:rsidR="0057104C" w:rsidRDefault="0057104C" w:rsidP="0057104C">
      <w:pPr>
        <w:pStyle w:val="SangriaFrancesaArticulo"/>
      </w:pPr>
      <w:r w:rsidRPr="0057104C">
        <w:rPr>
          <w:rStyle w:val="TextoNormalNegritaCaracter"/>
        </w:rPr>
        <w:t>Artículo 15.3.</w:t>
      </w:r>
      <w:r w:rsidRPr="0057104C">
        <w:rPr>
          <w:rStyle w:val="TextoNormalCaracter"/>
        </w:rPr>
        <w:t>-</w:t>
      </w:r>
      <w:r>
        <w:t xml:space="preserve"> Sentencia </w:t>
      </w:r>
      <w:hyperlink w:anchor="SENTENCIA_2016_66" w:history="1">
        <w:r w:rsidRPr="0057104C">
          <w:rPr>
            <w:rStyle w:val="TextoNormalCaracter"/>
          </w:rPr>
          <w:t>66/2016</w:t>
        </w:r>
      </w:hyperlink>
      <w:r>
        <w:t>, f. 1.</w:t>
      </w:r>
    </w:p>
    <w:p w:rsidR="0057104C" w:rsidRDefault="0057104C" w:rsidP="0057104C">
      <w:pPr>
        <w:pStyle w:val="SangriaFrancesaArticulo"/>
      </w:pPr>
      <w:r w:rsidRPr="0057104C">
        <w:rPr>
          <w:rStyle w:val="TextoNormalNegritaCaracter"/>
        </w:rPr>
        <w:t>Artículo 18.1.</w:t>
      </w:r>
      <w:r w:rsidRPr="0057104C">
        <w:rPr>
          <w:rStyle w:val="TextoNormalCaracter"/>
        </w:rPr>
        <w:t>-</w:t>
      </w:r>
      <w:r>
        <w:t xml:space="preserve"> Sentencia </w:t>
      </w:r>
      <w:hyperlink w:anchor="SENTENCIA_2016_66" w:history="1">
        <w:r w:rsidRPr="0057104C">
          <w:rPr>
            <w:rStyle w:val="TextoNormalCaracter"/>
          </w:rPr>
          <w:t>66/2016</w:t>
        </w:r>
      </w:hyperlink>
      <w:r>
        <w:t>, f. 1.</w:t>
      </w:r>
    </w:p>
    <w:p w:rsidR="0057104C" w:rsidRDefault="0057104C" w:rsidP="0057104C">
      <w:pPr>
        <w:pStyle w:val="TextoNormal"/>
      </w:pPr>
    </w:p>
    <w:p w:rsidR="0057104C" w:rsidRDefault="0057104C" w:rsidP="0057104C">
      <w:pPr>
        <w:pStyle w:val="TextoNormalNegritaCentradoSubrayado"/>
        <w:suppressAutoHyphens/>
      </w:pPr>
      <w:r>
        <w:t>J.3.b)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 la Junta General del Principado de Asturias 4/2002, de 23 de mayo. Parejas estables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29" w:history="1">
        <w:r w:rsidRPr="0057104C">
          <w:rPr>
            <w:rStyle w:val="TextoNormalCaracter"/>
          </w:rPr>
          <w:t>129/2016</w:t>
        </w:r>
      </w:hyperlink>
      <w:r>
        <w:t>, f. 2.</w:t>
      </w:r>
    </w:p>
    <w:p w:rsidR="0057104C" w:rsidRDefault="0057104C" w:rsidP="0057104C">
      <w:pPr>
        <w:pStyle w:val="SangriaFrancesaArticulo"/>
      </w:pPr>
    </w:p>
    <w:p w:rsidR="0057104C" w:rsidRDefault="0057104C" w:rsidP="0057104C">
      <w:pPr>
        <w:pStyle w:val="TextoNormalNegritaCursivandice"/>
      </w:pPr>
      <w:r>
        <w:t>Ley de la Junta General del Principado de Asturias 15/2002, de 27 de diciembre. Medidas presupuestarias, administrativas y fiscales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29" w:history="1">
        <w:r w:rsidRPr="0057104C">
          <w:rPr>
            <w:rStyle w:val="TextoNormalCaracter"/>
          </w:rPr>
          <w:t>129/2016</w:t>
        </w:r>
      </w:hyperlink>
      <w:r>
        <w:t>, f. 4, VP.</w:t>
      </w:r>
    </w:p>
    <w:p w:rsidR="0057104C" w:rsidRDefault="0057104C" w:rsidP="0057104C">
      <w:pPr>
        <w:pStyle w:val="SangriaFrancesaArticulo"/>
      </w:pPr>
      <w:r w:rsidRPr="0057104C">
        <w:rPr>
          <w:rStyle w:val="TextoNormalNegritaCaracter"/>
        </w:rPr>
        <w:t>Artículo 13.2 a).</w:t>
      </w:r>
      <w:r w:rsidRPr="0057104C">
        <w:rPr>
          <w:rStyle w:val="TextoNormalCaracter"/>
        </w:rPr>
        <w:t>-</w:t>
      </w:r>
      <w:r>
        <w:t xml:space="preserve"> Auto </w:t>
      </w:r>
      <w:hyperlink w:anchor="AUTO_2016_129" w:history="1">
        <w:r w:rsidRPr="0057104C">
          <w:rPr>
            <w:rStyle w:val="TextoNormalCaracter"/>
          </w:rPr>
          <w:t>129/2016</w:t>
        </w:r>
      </w:hyperlink>
      <w:r>
        <w:t>, f. 2.</w:t>
      </w:r>
    </w:p>
    <w:p w:rsidR="0057104C" w:rsidRDefault="0057104C" w:rsidP="0057104C">
      <w:pPr>
        <w:pStyle w:val="SangriaFrancesaArticulo"/>
      </w:pPr>
    </w:p>
    <w:p w:rsidR="0057104C" w:rsidRDefault="0057104C" w:rsidP="0057104C">
      <w:pPr>
        <w:pStyle w:val="TextoNormalNegritaCursivandice"/>
      </w:pPr>
      <w:r>
        <w:t>Ley de la Junta General del Principado de Asturias 11/2014, de 29 de diciembre. Presupuestos Generales para 2015</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4" w:history="1">
        <w:r w:rsidRPr="0057104C">
          <w:rPr>
            <w:rStyle w:val="TextoNormalCaracter"/>
          </w:rPr>
          <w:t>4/2016</w:t>
        </w:r>
      </w:hyperlink>
      <w:r>
        <w:t>, f. 3.</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 </w:t>
      </w:r>
      <w:hyperlink w:anchor="SENTENCIA_2016_4" w:history="1">
        <w:r w:rsidRPr="0057104C">
          <w:rPr>
            <w:rStyle w:val="TextoNormalCaracter"/>
          </w:rPr>
          <w:t>4/2016</w:t>
        </w:r>
      </w:hyperlink>
      <w:r>
        <w:t>, f. 3.</w:t>
      </w:r>
    </w:p>
    <w:p w:rsidR="0057104C" w:rsidRDefault="0057104C" w:rsidP="0057104C">
      <w:pPr>
        <w:pStyle w:val="SangriaFrancesaArticulo"/>
      </w:pPr>
      <w:r w:rsidRPr="0057104C">
        <w:rPr>
          <w:rStyle w:val="TextoNormalNegritaCaracter"/>
        </w:rPr>
        <w:t>Disposición adicional primera, apartado 2.</w:t>
      </w:r>
      <w:r w:rsidRPr="0057104C">
        <w:rPr>
          <w:rStyle w:val="TextoNormalCaracter"/>
        </w:rPr>
        <w:t>-</w:t>
      </w:r>
      <w:r>
        <w:t xml:space="preserve"> Sentencia </w:t>
      </w:r>
      <w:hyperlink w:anchor="SENTENCIA_2016_4" w:history="1">
        <w:r w:rsidRPr="0057104C">
          <w:rPr>
            <w:rStyle w:val="TextoNormalCaracter"/>
          </w:rPr>
          <w:t>4/2016</w:t>
        </w:r>
      </w:hyperlink>
      <w:r>
        <w:t>, f. 3.</w:t>
      </w:r>
    </w:p>
    <w:p w:rsidR="0057104C" w:rsidRDefault="0057104C" w:rsidP="0057104C">
      <w:pPr>
        <w:pStyle w:val="SangriaFrancesaArticulo"/>
      </w:pPr>
      <w:r w:rsidRPr="0057104C">
        <w:rPr>
          <w:rStyle w:val="TextoNormalNegritaCaracter"/>
        </w:rPr>
        <w:t>Disposición adicional primera, apartado 4.</w:t>
      </w:r>
      <w:r w:rsidRPr="0057104C">
        <w:rPr>
          <w:rStyle w:val="TextoNormalCaracter"/>
        </w:rPr>
        <w:t>-</w:t>
      </w:r>
      <w:r>
        <w:t xml:space="preserve"> Sentencia </w:t>
      </w:r>
      <w:hyperlink w:anchor="SENTENCIA_2016_4" w:history="1">
        <w:r w:rsidRPr="0057104C">
          <w:rPr>
            <w:rStyle w:val="TextoNormalCaracter"/>
          </w:rPr>
          <w:t>4/2016</w:t>
        </w:r>
      </w:hyperlink>
      <w:r>
        <w:t>, f. 3.</w:t>
      </w:r>
    </w:p>
    <w:p w:rsidR="0057104C" w:rsidRDefault="0057104C" w:rsidP="0057104C">
      <w:pPr>
        <w:pStyle w:val="TextoNormal"/>
      </w:pPr>
    </w:p>
    <w:p w:rsidR="0057104C" w:rsidRDefault="0057104C" w:rsidP="0057104C">
      <w:pPr>
        <w:pStyle w:val="TextoNormalNegritaCentradoSubrayado"/>
        <w:suppressAutoHyphens/>
      </w:pPr>
      <w:r>
        <w:t>J.3.c) Decretos y otras disposiciones reglamentarias</w:t>
      </w:r>
    </w:p>
    <w:p w:rsidR="0057104C" w:rsidRDefault="0057104C" w:rsidP="0057104C">
      <w:pPr>
        <w:pStyle w:val="TextoNormalNegritaCentradoSubrayado"/>
      </w:pPr>
    </w:p>
    <w:p w:rsidR="0057104C" w:rsidRDefault="0057104C" w:rsidP="0057104C">
      <w:pPr>
        <w:pStyle w:val="TextoNormalNegritaCursivandice"/>
      </w:pPr>
      <w:r>
        <w:t>Resolución de la Consejería de Sanidad del Principado de Asturias de 2 de noviembre de 2012. Se establecen servicios mínimos para la huelga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45" w:history="1">
        <w:r w:rsidRPr="0057104C">
          <w:rPr>
            <w:rStyle w:val="TextoNormalCaracter"/>
          </w:rPr>
          <w:t>45/2016</w:t>
        </w:r>
      </w:hyperlink>
      <w:r>
        <w:t>, f. 3.</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J.4) Baleares</w:t>
      </w:r>
    </w:p>
    <w:p w:rsidR="0057104C" w:rsidRDefault="0057104C" w:rsidP="0057104C">
      <w:pPr>
        <w:pStyle w:val="TextoNormal"/>
      </w:pPr>
    </w:p>
    <w:p w:rsidR="0057104C" w:rsidRDefault="0057104C" w:rsidP="0057104C">
      <w:pPr>
        <w:pStyle w:val="TextoNormalNegritaCentradoSubrayado"/>
        <w:suppressAutoHyphens/>
      </w:pPr>
      <w:r>
        <w:t>J.4.a) Estatuto de Autonomía</w:t>
      </w:r>
    </w:p>
    <w:p w:rsidR="0057104C" w:rsidRDefault="0057104C" w:rsidP="0057104C">
      <w:pPr>
        <w:pStyle w:val="TextoNormalNegritaCentradoSubrayado"/>
      </w:pPr>
    </w:p>
    <w:p w:rsidR="0057104C" w:rsidRDefault="0057104C" w:rsidP="0057104C">
      <w:pPr>
        <w:pStyle w:val="TextoNormalNegritaCursivandice"/>
      </w:pPr>
      <w:r>
        <w:t>Ley Orgánica 1/2007, de 28 de febrero. Reforma del Estatuto de Autonomía de las Illes Balears</w:t>
      </w:r>
    </w:p>
    <w:p w:rsidR="0057104C" w:rsidRDefault="0057104C" w:rsidP="0057104C">
      <w:pPr>
        <w:pStyle w:val="SangriaFrancesaArticulo"/>
      </w:pPr>
      <w:r w:rsidRPr="0057104C">
        <w:rPr>
          <w:rStyle w:val="TextoNormalNegritaCaracter"/>
        </w:rPr>
        <w:t>Artículo 26.</w:t>
      </w:r>
      <w:r w:rsidRPr="0057104C">
        <w:rPr>
          <w:rStyle w:val="TextoNormalCaracter"/>
        </w:rPr>
        <w:t>-</w:t>
      </w:r>
      <w:r>
        <w:t xml:space="preserve"> Sentencia </w:t>
      </w:r>
      <w:hyperlink w:anchor="SENTENCIA_2016_38" w:history="1">
        <w:r w:rsidRPr="0057104C">
          <w:rPr>
            <w:rStyle w:val="TextoNormalCaracter"/>
          </w:rPr>
          <w:t>38/2016</w:t>
        </w:r>
      </w:hyperlink>
      <w:r>
        <w:t>, f. 1.</w:t>
      </w:r>
    </w:p>
    <w:p w:rsidR="0057104C" w:rsidRDefault="0057104C" w:rsidP="0057104C">
      <w:pPr>
        <w:pStyle w:val="SangriaFrancesaArticulo"/>
      </w:pPr>
      <w:r w:rsidRPr="0057104C">
        <w:rPr>
          <w:rStyle w:val="TextoNormalNegritaCaracter"/>
        </w:rPr>
        <w:t>Artículo 26.6.</w:t>
      </w:r>
      <w:r w:rsidRPr="0057104C">
        <w:rPr>
          <w:rStyle w:val="TextoNormalCaracter"/>
        </w:rPr>
        <w:t>-</w:t>
      </w:r>
      <w:r>
        <w:t xml:space="preserve"> Sentencia </w:t>
      </w:r>
      <w:hyperlink w:anchor="SENTENCIA_2016_38" w:history="1">
        <w:r w:rsidRPr="0057104C">
          <w:rPr>
            <w:rStyle w:val="TextoNormalCaracter"/>
          </w:rPr>
          <w:t>38/2016</w:t>
        </w:r>
      </w:hyperlink>
      <w:r>
        <w:t>, f. 6.</w:t>
      </w:r>
    </w:p>
    <w:p w:rsidR="0057104C" w:rsidRDefault="0057104C" w:rsidP="0057104C">
      <w:pPr>
        <w:pStyle w:val="SangriaFrancesaArticulo"/>
      </w:pPr>
      <w:r w:rsidRPr="0057104C">
        <w:rPr>
          <w:rStyle w:val="TextoNormalNegritaCaracter"/>
        </w:rPr>
        <w:t>Artículo 30.1.</w:t>
      </w:r>
      <w:r w:rsidRPr="0057104C">
        <w:rPr>
          <w:rStyle w:val="TextoNormalCaracter"/>
        </w:rPr>
        <w:t>-</w:t>
      </w:r>
      <w:r>
        <w:t xml:space="preserve"> Auto </w:t>
      </w:r>
      <w:hyperlink w:anchor="AUTO_2016_55" w:history="1">
        <w:r w:rsidRPr="0057104C">
          <w:rPr>
            <w:rStyle w:val="TextoNormalCaracter"/>
          </w:rPr>
          <w:t>55/2016</w:t>
        </w:r>
      </w:hyperlink>
      <w:r>
        <w:t>, f. 6.</w:t>
      </w:r>
    </w:p>
    <w:p w:rsidR="0057104C" w:rsidRDefault="0057104C" w:rsidP="0057104C">
      <w:pPr>
        <w:pStyle w:val="SangriaFrancesaArticulo"/>
      </w:pPr>
      <w:r w:rsidRPr="0057104C">
        <w:rPr>
          <w:rStyle w:val="TextoNormalNegritaCaracter"/>
        </w:rPr>
        <w:t>Artículo 30.28.</w:t>
      </w:r>
      <w:r w:rsidRPr="0057104C">
        <w:rPr>
          <w:rStyle w:val="TextoNormalCaracter"/>
        </w:rPr>
        <w:t>-</w:t>
      </w:r>
      <w:r>
        <w:t xml:space="preserve"> Auto </w:t>
      </w:r>
      <w:hyperlink w:anchor="AUTO_2016_55" w:history="1">
        <w:r w:rsidRPr="0057104C">
          <w:rPr>
            <w:rStyle w:val="TextoNormalCaracter"/>
          </w:rPr>
          <w:t>55/2016</w:t>
        </w:r>
      </w:hyperlink>
      <w:r>
        <w:t>, f. 6.</w:t>
      </w:r>
    </w:p>
    <w:p w:rsidR="0057104C" w:rsidRDefault="0057104C" w:rsidP="0057104C">
      <w:pPr>
        <w:pStyle w:val="SangriaFrancesaArticulo"/>
      </w:pPr>
      <w:r w:rsidRPr="0057104C">
        <w:rPr>
          <w:rStyle w:val="TextoNormalNegritaCaracter"/>
        </w:rPr>
        <w:t>Artículo 31.6.</w:t>
      </w:r>
      <w:r w:rsidRPr="0057104C">
        <w:rPr>
          <w:rStyle w:val="TextoNormalCaracter"/>
        </w:rPr>
        <w:t>-</w:t>
      </w:r>
      <w:r>
        <w:t xml:space="preserve"> Auto </w:t>
      </w:r>
      <w:hyperlink w:anchor="AUTO_2016_55" w:history="1">
        <w:r w:rsidRPr="0057104C">
          <w:rPr>
            <w:rStyle w:val="TextoNormalCaracter"/>
          </w:rPr>
          <w:t>55/2016</w:t>
        </w:r>
      </w:hyperlink>
      <w:r>
        <w:t>, f. 6.</w:t>
      </w:r>
    </w:p>
    <w:p w:rsidR="0057104C" w:rsidRDefault="0057104C" w:rsidP="0057104C">
      <w:pPr>
        <w:pStyle w:val="SangriaFrancesaArticulo"/>
      </w:pPr>
      <w:r w:rsidRPr="0057104C">
        <w:rPr>
          <w:rStyle w:val="TextoNormalNegritaCaracter"/>
        </w:rPr>
        <w:t>Artículo 40.</w:t>
      </w:r>
      <w:r w:rsidRPr="0057104C">
        <w:rPr>
          <w:rStyle w:val="TextoNormalCaracter"/>
        </w:rPr>
        <w:t>-</w:t>
      </w:r>
      <w:r>
        <w:t xml:space="preserve"> Sentencia </w:t>
      </w:r>
      <w:hyperlink w:anchor="SENTENCIA_2016_38" w:history="1">
        <w:r w:rsidRPr="0057104C">
          <w:rPr>
            <w:rStyle w:val="TextoNormalCaracter"/>
          </w:rPr>
          <w:t>38/2016</w:t>
        </w:r>
      </w:hyperlink>
      <w:r>
        <w:t>, f. 6.</w:t>
      </w:r>
    </w:p>
    <w:p w:rsidR="0057104C" w:rsidRDefault="0057104C" w:rsidP="0057104C">
      <w:pPr>
        <w:pStyle w:val="SangriaFrancesaArticulo"/>
      </w:pPr>
      <w:r w:rsidRPr="0057104C">
        <w:rPr>
          <w:rStyle w:val="TextoNormalNegritaCaracter"/>
        </w:rPr>
        <w:t>Artículo 49.</w:t>
      </w:r>
      <w:r w:rsidRPr="0057104C">
        <w:rPr>
          <w:rStyle w:val="TextoNormalCaracter"/>
        </w:rPr>
        <w:t>-</w:t>
      </w:r>
      <w:r>
        <w:t xml:space="preserve"> Sentencia </w:t>
      </w:r>
      <w:hyperlink w:anchor="SENTENCIA_2016_38" w:history="1">
        <w:r w:rsidRPr="0057104C">
          <w:rPr>
            <w:rStyle w:val="TextoNormalCaracter"/>
          </w:rPr>
          <w:t>38/2016</w:t>
        </w:r>
      </w:hyperlink>
      <w:r>
        <w:t>, ff. 1, 4.</w:t>
      </w:r>
    </w:p>
    <w:p w:rsidR="0057104C" w:rsidRDefault="0057104C" w:rsidP="0057104C">
      <w:pPr>
        <w:pStyle w:val="SangriaFrancesaArticulo"/>
      </w:pPr>
      <w:r w:rsidRPr="0057104C">
        <w:rPr>
          <w:rStyle w:val="TextoNormalNegritaCaracter"/>
        </w:rPr>
        <w:t>Artículo 49.1.</w:t>
      </w:r>
      <w:r w:rsidRPr="0057104C">
        <w:rPr>
          <w:rStyle w:val="TextoNormalCaracter"/>
        </w:rPr>
        <w:t>-</w:t>
      </w:r>
      <w:r>
        <w:t xml:space="preserve"> Sentencia </w:t>
      </w:r>
      <w:hyperlink w:anchor="SENTENCIA_2016_38" w:history="1">
        <w:r w:rsidRPr="0057104C">
          <w:rPr>
            <w:rStyle w:val="TextoNormalCaracter"/>
          </w:rPr>
          <w:t>38/2016</w:t>
        </w:r>
      </w:hyperlink>
      <w:r>
        <w:t>, ff. 1 a 3, 5 a 7.</w:t>
      </w:r>
    </w:p>
    <w:p w:rsidR="0057104C" w:rsidRDefault="0057104C" w:rsidP="0057104C">
      <w:pPr>
        <w:pStyle w:val="SangriaFrancesaArticulo"/>
      </w:pPr>
      <w:r w:rsidRPr="0057104C">
        <w:rPr>
          <w:rStyle w:val="TextoNormalNegritaCaracter"/>
        </w:rPr>
        <w:t>Artículo 79.</w:t>
      </w:r>
      <w:r w:rsidRPr="0057104C">
        <w:rPr>
          <w:rStyle w:val="TextoNormalCaracter"/>
        </w:rPr>
        <w:t>-</w:t>
      </w:r>
      <w:r>
        <w:t xml:space="preserve"> Auto </w:t>
      </w:r>
      <w:hyperlink w:anchor="AUTO_2016_55" w:history="1">
        <w:r w:rsidRPr="0057104C">
          <w:rPr>
            <w:rStyle w:val="TextoNormalCaracter"/>
          </w:rPr>
          <w:t>55/2016</w:t>
        </w:r>
      </w:hyperlink>
      <w:r>
        <w:t>, f. 6.</w:t>
      </w:r>
    </w:p>
    <w:p w:rsidR="0057104C" w:rsidRDefault="0057104C" w:rsidP="0057104C">
      <w:pPr>
        <w:pStyle w:val="SangriaFrancesaArticulo"/>
      </w:pPr>
      <w:r w:rsidRPr="0057104C">
        <w:rPr>
          <w:rStyle w:val="TextoNormalNegritaCaracter"/>
        </w:rPr>
        <w:t>Artículo 80.</w:t>
      </w:r>
      <w:r w:rsidRPr="0057104C">
        <w:rPr>
          <w:rStyle w:val="TextoNormalCaracter"/>
        </w:rPr>
        <w:t>-</w:t>
      </w:r>
      <w:r>
        <w:t xml:space="preserve"> Auto </w:t>
      </w:r>
      <w:hyperlink w:anchor="AUTO_2016_55" w:history="1">
        <w:r w:rsidRPr="0057104C">
          <w:rPr>
            <w:rStyle w:val="TextoNormalCaracter"/>
          </w:rPr>
          <w:t>55/2016</w:t>
        </w:r>
      </w:hyperlink>
      <w:r>
        <w:t>, f. 6.</w:t>
      </w:r>
    </w:p>
    <w:p w:rsidR="0057104C" w:rsidRDefault="0057104C" w:rsidP="0057104C">
      <w:pPr>
        <w:pStyle w:val="TextoNormal"/>
      </w:pPr>
    </w:p>
    <w:p w:rsidR="0057104C" w:rsidRDefault="0057104C" w:rsidP="0057104C">
      <w:pPr>
        <w:pStyle w:val="TextoNormalNegritaCentradoSubrayado"/>
        <w:suppressAutoHyphens/>
      </w:pPr>
      <w:r>
        <w:t>J.4.b)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del Parlamento de las Illes Balears 12/1991, de 20 de diciembre. Regulación del impuesto sobre instalaciones que incidan en el medio ambiente</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p>
    <w:p w:rsidR="0057104C" w:rsidRDefault="0057104C" w:rsidP="0057104C">
      <w:pPr>
        <w:pStyle w:val="TextoNormalNegritaCursivandice"/>
      </w:pPr>
      <w:r>
        <w:t>Ley del Parlamento de las Illes Balears 11/2001, de 15 de junio. Ordenación de la actividad comercial</w:t>
      </w:r>
    </w:p>
    <w:p w:rsidR="0057104C" w:rsidRDefault="0057104C" w:rsidP="0057104C">
      <w:pPr>
        <w:pStyle w:val="SangriaFrancesaArticulo"/>
      </w:pPr>
      <w:r w:rsidRPr="0057104C">
        <w:rPr>
          <w:rStyle w:val="TextoNormalNegritaCaracter"/>
        </w:rPr>
        <w:t>Artículo 14.1.</w:t>
      </w:r>
      <w:r w:rsidRPr="0057104C">
        <w:rPr>
          <w:rStyle w:val="TextoNormalCaracter"/>
        </w:rPr>
        <w:t>-</w:t>
      </w:r>
      <w:r>
        <w:t xml:space="preserve"> Sentencia </w:t>
      </w:r>
      <w:hyperlink w:anchor="SENTENCIA_2016_73" w:history="1">
        <w:r w:rsidRPr="0057104C">
          <w:rPr>
            <w:rStyle w:val="TextoNormalCaracter"/>
          </w:rPr>
          <w:t>73/2016</w:t>
        </w:r>
      </w:hyperlink>
      <w:r>
        <w:t>, f. 6.</w:t>
      </w:r>
    </w:p>
    <w:p w:rsidR="0057104C" w:rsidRDefault="0057104C" w:rsidP="0057104C">
      <w:pPr>
        <w:pStyle w:val="SangriaFrancesaArticulo"/>
      </w:pPr>
    </w:p>
    <w:p w:rsidR="0057104C" w:rsidRDefault="0057104C" w:rsidP="0057104C">
      <w:pPr>
        <w:pStyle w:val="TextoNormalNegritaCursivandice"/>
      </w:pPr>
      <w:r>
        <w:t>Ley del Parlamento de las Illes Balears 10/2003, de 22 de diciembre. Medidas tributarias y administrativas</w:t>
      </w:r>
    </w:p>
    <w:p w:rsidR="0057104C" w:rsidRDefault="0057104C" w:rsidP="0057104C">
      <w:pPr>
        <w:pStyle w:val="SangriaFrancesaArticulo"/>
      </w:pPr>
      <w:r w:rsidRPr="0057104C">
        <w:rPr>
          <w:rStyle w:val="TextoNormalNegritaCaracter"/>
        </w:rPr>
        <w:t>Artículo 29.</w:t>
      </w:r>
      <w:r w:rsidRPr="0057104C">
        <w:rPr>
          <w:rStyle w:val="TextoNormalCaracter"/>
        </w:rPr>
        <w:t>-</w:t>
      </w:r>
      <w:r>
        <w:t xml:space="preserve"> Sentencia </w:t>
      </w:r>
      <w:hyperlink w:anchor="SENTENCIA_2016_122" w:history="1">
        <w:r w:rsidRPr="0057104C">
          <w:rPr>
            <w:rStyle w:val="TextoNormalCaracter"/>
          </w:rPr>
          <w:t>122/2016</w:t>
        </w:r>
      </w:hyperlink>
      <w:r>
        <w:t>, f. 5.</w:t>
      </w:r>
    </w:p>
    <w:p w:rsidR="0057104C" w:rsidRDefault="0057104C" w:rsidP="0057104C">
      <w:pPr>
        <w:pStyle w:val="SangriaFrancesaArticulo"/>
      </w:pPr>
    </w:p>
    <w:p w:rsidR="0057104C" w:rsidRDefault="0057104C" w:rsidP="0057104C">
      <w:pPr>
        <w:pStyle w:val="TextoNormalNegritaCursivandice"/>
      </w:pPr>
      <w:r>
        <w:t>Ley del Parlamento de las Illes Balears 8/2004, de 23 de diciembre. Medidas tributarias, administrativas y de función pública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2" w:history="1">
        <w:r w:rsidRPr="0057104C">
          <w:rPr>
            <w:rStyle w:val="TextoNormalCaracter"/>
          </w:rPr>
          <w:t>122/2016</w:t>
        </w:r>
      </w:hyperlink>
      <w:r>
        <w:t>, ff. 3, 4, 6.</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122" w:history="1">
        <w:r w:rsidRPr="0057104C">
          <w:rPr>
            <w:rStyle w:val="TextoNormalCaracter"/>
          </w:rPr>
          <w:t>122/2016</w:t>
        </w:r>
      </w:hyperlink>
      <w:r>
        <w:t>, f. 5.</w:t>
      </w:r>
    </w:p>
    <w:p w:rsidR="0057104C" w:rsidRDefault="0057104C" w:rsidP="0057104C">
      <w:pPr>
        <w:pStyle w:val="SangriaFrancesaArticulo"/>
      </w:pPr>
      <w:r w:rsidRPr="0057104C">
        <w:rPr>
          <w:rStyle w:val="TextoNormalNegritaCaracter"/>
        </w:rPr>
        <w:t>Exposición de motivos, apartado 3, último párrafo.</w:t>
      </w:r>
      <w:r w:rsidRPr="0057104C">
        <w:rPr>
          <w:rStyle w:val="TextoNormalCaracter"/>
        </w:rPr>
        <w:t>-</w:t>
      </w:r>
      <w:r>
        <w:t xml:space="preserve"> Sentencia </w:t>
      </w:r>
      <w:hyperlink w:anchor="SENTENCIA_2016_122" w:history="1">
        <w:r w:rsidRPr="0057104C">
          <w:rPr>
            <w:rStyle w:val="TextoNormalCaracter"/>
          </w:rPr>
          <w:t>122/2016</w:t>
        </w:r>
      </w:hyperlink>
      <w:r>
        <w:t>, f. 5.</w:t>
      </w:r>
    </w:p>
    <w:p w:rsidR="0057104C" w:rsidRDefault="0057104C" w:rsidP="0057104C">
      <w:pPr>
        <w:pStyle w:val="SangriaFrancesaArticulo"/>
      </w:pPr>
      <w:r w:rsidRPr="0057104C">
        <w:rPr>
          <w:rStyle w:val="TextoNormalNegritaCaracter"/>
        </w:rPr>
        <w:t>Disposición adicional decimonovena.</w:t>
      </w:r>
      <w:r w:rsidRPr="0057104C">
        <w:rPr>
          <w:rStyle w:val="TextoNormalCaracter"/>
        </w:rPr>
        <w:t>-</w:t>
      </w:r>
      <w:r>
        <w:t xml:space="preserve"> Sentencia </w:t>
      </w:r>
      <w:hyperlink w:anchor="SENTENCIA_2016_122" w:history="1">
        <w:r w:rsidRPr="0057104C">
          <w:rPr>
            <w:rStyle w:val="TextoNormalCaracter"/>
          </w:rPr>
          <w:t>122/2016</w:t>
        </w:r>
      </w:hyperlink>
      <w:r>
        <w:t>, ff. 1, 3, 5, 6.</w:t>
      </w:r>
    </w:p>
    <w:p w:rsidR="0057104C" w:rsidRDefault="0057104C" w:rsidP="0057104C">
      <w:pPr>
        <w:pStyle w:val="SangriaFrancesaArticulo"/>
      </w:pPr>
      <w:r w:rsidRPr="0057104C">
        <w:rPr>
          <w:rStyle w:val="TextoNormalNegritaCaracter"/>
        </w:rPr>
        <w:t>Disposición adicional decimonovena, apartado 1.</w:t>
      </w:r>
      <w:r w:rsidRPr="0057104C">
        <w:rPr>
          <w:rStyle w:val="TextoNormalCaracter"/>
        </w:rPr>
        <w:t>-</w:t>
      </w:r>
      <w:r>
        <w:t xml:space="preserve"> Sentencia </w:t>
      </w:r>
      <w:hyperlink w:anchor="SENTENCIA_2016_122" w:history="1">
        <w:r w:rsidRPr="0057104C">
          <w:rPr>
            <w:rStyle w:val="TextoNormalCaracter"/>
          </w:rPr>
          <w:t>122/2016</w:t>
        </w:r>
      </w:hyperlink>
      <w:r>
        <w:t>, f. 1.</w:t>
      </w:r>
    </w:p>
    <w:p w:rsidR="0057104C" w:rsidRDefault="0057104C" w:rsidP="0057104C">
      <w:pPr>
        <w:pStyle w:val="SangriaFrancesaArticulo"/>
      </w:pPr>
      <w:r w:rsidRPr="0057104C">
        <w:rPr>
          <w:rStyle w:val="TextoNormalNegritaCaracter"/>
        </w:rPr>
        <w:t>Disposición adicional decimonovena, apartado 2.</w:t>
      </w:r>
      <w:r w:rsidRPr="0057104C">
        <w:rPr>
          <w:rStyle w:val="TextoNormalCaracter"/>
        </w:rPr>
        <w:t>-</w:t>
      </w:r>
      <w:r>
        <w:t xml:space="preserve"> Sentencia </w:t>
      </w:r>
      <w:hyperlink w:anchor="SENTENCIA_2016_122" w:history="1">
        <w:r w:rsidRPr="0057104C">
          <w:rPr>
            <w:rStyle w:val="TextoNormalCaracter"/>
          </w:rPr>
          <w:t>122/2016</w:t>
        </w:r>
      </w:hyperlink>
      <w:r>
        <w:t>, f. 2.</w:t>
      </w:r>
    </w:p>
    <w:p w:rsidR="0057104C" w:rsidRDefault="0057104C" w:rsidP="0057104C">
      <w:pPr>
        <w:pStyle w:val="SangriaFrancesaArticulo"/>
      </w:pPr>
    </w:p>
    <w:p w:rsidR="0057104C" w:rsidRDefault="0057104C" w:rsidP="0057104C">
      <w:pPr>
        <w:pStyle w:val="TextoNormalNegritaCursivandice"/>
      </w:pPr>
      <w:r>
        <w:t>Ley del Parlamento de las Illes Balears 10/2005 de 21 de junio. Puertos</w:t>
      </w:r>
    </w:p>
    <w:p w:rsidR="0057104C" w:rsidRDefault="0057104C" w:rsidP="0057104C">
      <w:pPr>
        <w:pStyle w:val="SangriaFrancesaArticulo"/>
      </w:pPr>
      <w:r w:rsidRPr="0057104C">
        <w:rPr>
          <w:rStyle w:val="TextoNormalNegritaCaracter"/>
        </w:rPr>
        <w:t>Disposición transitoria cuarta.</w:t>
      </w:r>
      <w:r w:rsidRPr="0057104C">
        <w:rPr>
          <w:rStyle w:val="TextoNormalCaracter"/>
        </w:rPr>
        <w:t>-</w:t>
      </w:r>
      <w:r>
        <w:t xml:space="preserve"> Sentencia </w:t>
      </w:r>
      <w:hyperlink w:anchor="SENTENCIA_2016_122" w:history="1">
        <w:r w:rsidRPr="0057104C">
          <w:rPr>
            <w:rStyle w:val="TextoNormalCaracter"/>
          </w:rPr>
          <w:t>122/2016</w:t>
        </w:r>
      </w:hyperlink>
      <w:r>
        <w:t>, f. 5.</w:t>
      </w:r>
    </w:p>
    <w:p w:rsidR="0057104C" w:rsidRDefault="0057104C" w:rsidP="0057104C">
      <w:pPr>
        <w:pStyle w:val="SangriaFrancesaArticulo"/>
      </w:pPr>
    </w:p>
    <w:p w:rsidR="0057104C" w:rsidRDefault="0057104C" w:rsidP="0057104C">
      <w:pPr>
        <w:pStyle w:val="TextoNormalNegritaCursivandice"/>
      </w:pPr>
      <w:r>
        <w:t>Decreto-ley del Gobierno de las Illes Balears 5/2012, de 1 de junio. Medidas urgentes en materia de personal y administrativas para la reducción del déficit público del sector público de la comunidad autónoma de las Illes Balears y de otras instituciones autonómicas</w:t>
      </w:r>
    </w:p>
    <w:p w:rsidR="0057104C" w:rsidRDefault="0057104C" w:rsidP="0057104C">
      <w:pPr>
        <w:pStyle w:val="SangriaFrancesaArticulo"/>
      </w:pPr>
      <w:r w:rsidRPr="0057104C">
        <w:rPr>
          <w:rStyle w:val="TextoNormalNegritaCaracter"/>
        </w:rPr>
        <w:t>Artículo 26.1.</w:t>
      </w:r>
      <w:r w:rsidRPr="0057104C">
        <w:rPr>
          <w:rStyle w:val="TextoNormalCaracter"/>
        </w:rPr>
        <w:t>-</w:t>
      </w:r>
      <w:r>
        <w:t xml:space="preserve"> Auto </w:t>
      </w:r>
      <w:hyperlink w:anchor="AUTO_2016_55" w:history="1">
        <w:r w:rsidRPr="0057104C">
          <w:rPr>
            <w:rStyle w:val="TextoNormalCaracter"/>
          </w:rPr>
          <w:t>55/2016</w:t>
        </w:r>
      </w:hyperlink>
      <w:r>
        <w:t>, f. 6.</w:t>
      </w:r>
    </w:p>
    <w:p w:rsidR="0057104C" w:rsidRDefault="0057104C" w:rsidP="0057104C">
      <w:pPr>
        <w:pStyle w:val="SangriaFrancesaArticulo"/>
      </w:pPr>
    </w:p>
    <w:p w:rsidR="0057104C" w:rsidRDefault="0057104C" w:rsidP="0057104C">
      <w:pPr>
        <w:pStyle w:val="TextoNormalNegritaCursivandice"/>
      </w:pPr>
      <w:r>
        <w:t>Ley 15/2012 del Parlamento de las Illes Balears, de 27 de diciembre. Presupuestos Generales de la Comunidad Autónoma de las Illes Balears para el año 2013</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Auto </w:t>
      </w:r>
      <w:hyperlink w:anchor="AUTO_2016_55" w:history="1">
        <w:r w:rsidRPr="0057104C">
          <w:rPr>
            <w:rStyle w:val="TextoNormalCaracter"/>
          </w:rPr>
          <w:t>55/2016</w:t>
        </w:r>
      </w:hyperlink>
      <w:r>
        <w:t>, f. 6.</w:t>
      </w:r>
    </w:p>
    <w:p w:rsidR="0057104C" w:rsidRDefault="0057104C" w:rsidP="0057104C">
      <w:pPr>
        <w:pStyle w:val="SangriaFrancesaArticulo"/>
      </w:pPr>
      <w:r w:rsidRPr="0057104C">
        <w:rPr>
          <w:rStyle w:val="TextoNormalNegritaCaracter"/>
        </w:rPr>
        <w:t>Disposición adicional decimoquinta.</w:t>
      </w:r>
      <w:r w:rsidRPr="0057104C">
        <w:rPr>
          <w:rStyle w:val="TextoNormalCaracter"/>
        </w:rPr>
        <w:t>-</w:t>
      </w:r>
      <w:r>
        <w:t xml:space="preserve"> Auto </w:t>
      </w:r>
      <w:hyperlink w:anchor="AUTO_2016_55" w:history="1">
        <w:r w:rsidRPr="0057104C">
          <w:rPr>
            <w:rStyle w:val="TextoNormalCaracter"/>
          </w:rPr>
          <w:t>55/2016</w:t>
        </w:r>
      </w:hyperlink>
      <w:r>
        <w:t>, f. 1.</w:t>
      </w:r>
    </w:p>
    <w:p w:rsidR="0057104C" w:rsidRDefault="0057104C" w:rsidP="0057104C">
      <w:pPr>
        <w:pStyle w:val="SangriaFrancesaArticulo"/>
      </w:pPr>
      <w:r w:rsidRPr="0057104C">
        <w:rPr>
          <w:rStyle w:val="TextoNormalNegritaCaracter"/>
        </w:rPr>
        <w:t>Disposición adicional decimoquinta, apartado 3.1.</w:t>
      </w:r>
      <w:r w:rsidRPr="0057104C">
        <w:rPr>
          <w:rStyle w:val="TextoNormalCaracter"/>
        </w:rPr>
        <w:t>-</w:t>
      </w:r>
      <w:r>
        <w:t xml:space="preserve"> Auto </w:t>
      </w:r>
      <w:hyperlink w:anchor="AUTO_2016_55" w:history="1">
        <w:r w:rsidRPr="0057104C">
          <w:rPr>
            <w:rStyle w:val="TextoNormalCaracter"/>
          </w:rPr>
          <w:t>55/2016</w:t>
        </w:r>
      </w:hyperlink>
      <w:r>
        <w:t>, f. 1.</w:t>
      </w:r>
    </w:p>
    <w:p w:rsidR="0057104C" w:rsidRDefault="0057104C" w:rsidP="0057104C">
      <w:pPr>
        <w:pStyle w:val="SangriaFrancesaArticulo"/>
      </w:pPr>
      <w:r w:rsidRPr="0057104C">
        <w:rPr>
          <w:rStyle w:val="TextoNormalNegritaCaracter"/>
        </w:rPr>
        <w:t>Disposición adicional decimoquinta, apartado 3.2 d).</w:t>
      </w:r>
      <w:r w:rsidRPr="0057104C">
        <w:rPr>
          <w:rStyle w:val="TextoNormalCaracter"/>
        </w:rPr>
        <w:t>-</w:t>
      </w:r>
      <w:r>
        <w:t xml:space="preserve"> Auto </w:t>
      </w:r>
      <w:hyperlink w:anchor="AUTO_2016_55" w:history="1">
        <w:r w:rsidRPr="0057104C">
          <w:rPr>
            <w:rStyle w:val="TextoNormalCaracter"/>
          </w:rPr>
          <w:t>55/2016</w:t>
        </w:r>
      </w:hyperlink>
      <w:r>
        <w:t>, f. 1.</w:t>
      </w:r>
    </w:p>
    <w:p w:rsidR="0057104C" w:rsidRDefault="0057104C" w:rsidP="0057104C">
      <w:pPr>
        <w:pStyle w:val="SangriaFrancesaArticulo"/>
      </w:pPr>
      <w:r w:rsidRPr="0057104C">
        <w:rPr>
          <w:rStyle w:val="TextoNormalNegritaCaracter"/>
        </w:rPr>
        <w:t>Disposición adicional decimoquinta, apartado 3.3.</w:t>
      </w:r>
      <w:r w:rsidRPr="0057104C">
        <w:rPr>
          <w:rStyle w:val="TextoNormalCaracter"/>
        </w:rPr>
        <w:t>-</w:t>
      </w:r>
      <w:r>
        <w:t xml:space="preserve"> Auto </w:t>
      </w:r>
      <w:hyperlink w:anchor="AUTO_2016_55" w:history="1">
        <w:r w:rsidRPr="0057104C">
          <w:rPr>
            <w:rStyle w:val="TextoNormalCaracter"/>
          </w:rPr>
          <w:t>55/2016</w:t>
        </w:r>
      </w:hyperlink>
      <w:r>
        <w:t>, f. 1.</w:t>
      </w:r>
    </w:p>
    <w:p w:rsidR="0057104C" w:rsidRDefault="0057104C" w:rsidP="0057104C">
      <w:pPr>
        <w:pStyle w:val="SangriaFrancesaArticulo"/>
      </w:pPr>
      <w:r w:rsidRPr="0057104C">
        <w:rPr>
          <w:rStyle w:val="TextoNormalNegritaCaracter"/>
        </w:rPr>
        <w:t>Disposición adicional decimoquinta, apartado 5.</w:t>
      </w:r>
      <w:r w:rsidRPr="0057104C">
        <w:rPr>
          <w:rStyle w:val="TextoNormalCaracter"/>
        </w:rPr>
        <w:t>-</w:t>
      </w:r>
      <w:r>
        <w:t xml:space="preserve"> Auto </w:t>
      </w:r>
      <w:hyperlink w:anchor="AUTO_2016_55" w:history="1">
        <w:r w:rsidRPr="0057104C">
          <w:rPr>
            <w:rStyle w:val="TextoNormalCaracter"/>
          </w:rPr>
          <w:t>55/2016</w:t>
        </w:r>
      </w:hyperlink>
      <w:r>
        <w:t>, f. 1.</w:t>
      </w:r>
    </w:p>
    <w:p w:rsidR="0057104C" w:rsidRDefault="0057104C" w:rsidP="0057104C">
      <w:pPr>
        <w:pStyle w:val="SangriaFrancesaArticulo"/>
      </w:pPr>
    </w:p>
    <w:p w:rsidR="0057104C" w:rsidRDefault="0057104C" w:rsidP="0057104C">
      <w:pPr>
        <w:pStyle w:val="TextoNormalNegritaCursivandice"/>
      </w:pPr>
      <w:r>
        <w:t>Decreto-ley del Gobierno de las Illes Balears 5/2013, de 6 de septiembre. Medidas urgentes en relación con la implantación, para el curso 2013-2014, del sistema de tratamiento integrado de las lenguas en los centros docentes no universitarios de las Illes Balears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8" w:history="1">
        <w:r w:rsidRPr="0057104C">
          <w:rPr>
            <w:rStyle w:val="TextoNormalCaracter"/>
          </w:rPr>
          <w:t>38/2016</w:t>
        </w:r>
      </w:hyperlink>
      <w:r>
        <w:t>, ff. 1, 4, 7.</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38" w:history="1">
        <w:r w:rsidRPr="0057104C">
          <w:rPr>
            <w:rStyle w:val="TextoNormalCaracter"/>
          </w:rPr>
          <w:t>38/2016</w:t>
        </w:r>
      </w:hyperlink>
      <w:r>
        <w:t>, ff. 4, 5.</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38" w:history="1">
        <w:r w:rsidRPr="0057104C">
          <w:rPr>
            <w:rStyle w:val="TextoNormalCaracter"/>
          </w:rPr>
          <w:t>38/2016</w:t>
        </w:r>
      </w:hyperlink>
      <w:r>
        <w:t>, f. 4.</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38" w:history="1">
        <w:r w:rsidRPr="0057104C">
          <w:rPr>
            <w:rStyle w:val="TextoNormalCaracter"/>
          </w:rPr>
          <w:t>38/2016</w:t>
        </w:r>
      </w:hyperlink>
      <w:r>
        <w:t>, f. 4.</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38" w:history="1">
        <w:r w:rsidRPr="0057104C">
          <w:rPr>
            <w:rStyle w:val="TextoNormalCaracter"/>
          </w:rPr>
          <w:t>38/2016</w:t>
        </w:r>
      </w:hyperlink>
      <w:r>
        <w:t>, ff. 1, 4.</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Sentencia </w:t>
      </w:r>
      <w:hyperlink w:anchor="SENTENCIA_2016_38" w:history="1">
        <w:r w:rsidRPr="0057104C">
          <w:rPr>
            <w:rStyle w:val="TextoNormalCaracter"/>
          </w:rPr>
          <w:t>38/2016</w:t>
        </w:r>
      </w:hyperlink>
      <w:r>
        <w:t>, ff. 6, 7.</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38" w:history="1">
        <w:r w:rsidRPr="0057104C">
          <w:rPr>
            <w:rStyle w:val="TextoNormalCaracter"/>
          </w:rPr>
          <w:t>38/2016</w:t>
        </w:r>
      </w:hyperlink>
      <w:r>
        <w:t>, ff. 1, 5.</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38" w:history="1">
        <w:r w:rsidRPr="0057104C">
          <w:rPr>
            <w:rStyle w:val="TextoNormalCaracter"/>
          </w:rPr>
          <w:t>38/2016</w:t>
        </w:r>
      </w:hyperlink>
      <w:r>
        <w:t>, ff. 1, 5.</w:t>
      </w:r>
    </w:p>
    <w:p w:rsidR="0057104C" w:rsidRDefault="0057104C" w:rsidP="0057104C">
      <w:pPr>
        <w:pStyle w:val="SangriaFrancesaArticulo"/>
      </w:pPr>
      <w:r w:rsidRPr="0057104C">
        <w:rPr>
          <w:rStyle w:val="TextoNormalNegritaCaracter"/>
        </w:rPr>
        <w:t>Disposición adicional única.</w:t>
      </w:r>
      <w:r w:rsidRPr="0057104C">
        <w:rPr>
          <w:rStyle w:val="TextoNormalCaracter"/>
        </w:rPr>
        <w:t>-</w:t>
      </w:r>
      <w:r>
        <w:t xml:space="preserve"> Sentencia </w:t>
      </w:r>
      <w:hyperlink w:anchor="SENTENCIA_2016_38" w:history="1">
        <w:r w:rsidRPr="0057104C">
          <w:rPr>
            <w:rStyle w:val="TextoNormalCaracter"/>
          </w:rPr>
          <w:t>38/2016</w:t>
        </w:r>
      </w:hyperlink>
      <w:r>
        <w:t>, ff. 1, 5.</w:t>
      </w:r>
    </w:p>
    <w:p w:rsidR="0057104C" w:rsidRDefault="0057104C" w:rsidP="0057104C">
      <w:pPr>
        <w:pStyle w:val="SangriaFrancesaArticulo"/>
      </w:pPr>
      <w:r w:rsidRPr="0057104C">
        <w:rPr>
          <w:rStyle w:val="TextoNormalNegritaCaracter"/>
        </w:rPr>
        <w:t>Disposición derogatoria única.</w:t>
      </w:r>
      <w:r w:rsidRPr="0057104C">
        <w:rPr>
          <w:rStyle w:val="TextoNormalCaracter"/>
        </w:rPr>
        <w:t>-</w:t>
      </w:r>
      <w:r>
        <w:t xml:space="preserve"> Sentencia </w:t>
      </w:r>
      <w:hyperlink w:anchor="SENTENCIA_2016_38" w:history="1">
        <w:r w:rsidRPr="0057104C">
          <w:rPr>
            <w:rStyle w:val="TextoNormalCaracter"/>
          </w:rPr>
          <w:t>38/2016</w:t>
        </w:r>
      </w:hyperlink>
      <w:r>
        <w:t>, ff. 1, 5.</w:t>
      </w:r>
    </w:p>
    <w:p w:rsidR="0057104C" w:rsidRDefault="0057104C" w:rsidP="0057104C">
      <w:pPr>
        <w:pStyle w:val="SangriaFrancesaArticulo"/>
      </w:pPr>
      <w:r w:rsidRPr="0057104C">
        <w:rPr>
          <w:rStyle w:val="TextoNormalNegritaCaracter"/>
        </w:rPr>
        <w:t>Disposición derogatoria única, apartado que deroga el artículo 20.</w:t>
      </w:r>
      <w:r w:rsidRPr="0057104C">
        <w:rPr>
          <w:rStyle w:val="TextoNormalCaracter"/>
        </w:rPr>
        <w:t>-</w:t>
      </w:r>
      <w:r>
        <w:t xml:space="preserve"> Sentencia </w:t>
      </w:r>
      <w:hyperlink w:anchor="SENTENCIA_2016_38" w:history="1">
        <w:r w:rsidRPr="0057104C">
          <w:rPr>
            <w:rStyle w:val="TextoNormalCaracter"/>
          </w:rPr>
          <w:t>38/2016</w:t>
        </w:r>
      </w:hyperlink>
      <w:r>
        <w:t>, f. 5.</w:t>
      </w:r>
    </w:p>
    <w:p w:rsidR="0057104C" w:rsidRDefault="0057104C" w:rsidP="0057104C">
      <w:pPr>
        <w:pStyle w:val="TextoNormal"/>
      </w:pPr>
    </w:p>
    <w:p w:rsidR="0057104C" w:rsidRDefault="0057104C" w:rsidP="0057104C">
      <w:pPr>
        <w:pStyle w:val="TextoNormalNegritaCentradoSubrayado"/>
        <w:suppressAutoHyphens/>
      </w:pPr>
      <w:r>
        <w:t>J.4.c) Decretos y otras disposiciones reglamentarias</w:t>
      </w:r>
    </w:p>
    <w:p w:rsidR="0057104C" w:rsidRDefault="0057104C" w:rsidP="0057104C">
      <w:pPr>
        <w:pStyle w:val="TextoNormalNegritaCentradoSubrayado"/>
      </w:pPr>
    </w:p>
    <w:p w:rsidR="0057104C" w:rsidRDefault="0057104C" w:rsidP="0057104C">
      <w:pPr>
        <w:pStyle w:val="TextoNormalNegritaCursivandice"/>
      </w:pPr>
      <w:r>
        <w:t>Decreto 15/2013 del Gobierno de las Illes Balears de 19 de abril. Se regula el tratamiento integrado de las lenguas en los centros docentes no universitarios de las Illes Balears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8" w:history="1">
        <w:r w:rsidRPr="0057104C">
          <w:rPr>
            <w:rStyle w:val="TextoNormalCaracter"/>
          </w:rPr>
          <w:t>38/2016</w:t>
        </w:r>
      </w:hyperlink>
      <w:r>
        <w:t>, ff. 7, 8.</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38" w:history="1">
        <w:r w:rsidRPr="0057104C">
          <w:rPr>
            <w:rStyle w:val="TextoNormalCaracter"/>
          </w:rPr>
          <w:t>38/2016</w:t>
        </w:r>
      </w:hyperlink>
      <w:r>
        <w:t>, f. 5.</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Sentencia </w:t>
      </w:r>
      <w:hyperlink w:anchor="SENTENCIA_2016_38" w:history="1">
        <w:r w:rsidRPr="0057104C">
          <w:rPr>
            <w:rStyle w:val="TextoNormalCaracter"/>
          </w:rPr>
          <w:t>38/2016</w:t>
        </w:r>
      </w:hyperlink>
      <w:r>
        <w:t>, f. 5.</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38" w:history="1">
        <w:r w:rsidRPr="0057104C">
          <w:rPr>
            <w:rStyle w:val="TextoNormalCaracter"/>
          </w:rPr>
          <w:t>38/2016</w:t>
        </w:r>
      </w:hyperlink>
      <w:r>
        <w:t>, f. 5.</w:t>
      </w:r>
    </w:p>
    <w:p w:rsidR="0057104C" w:rsidRDefault="0057104C" w:rsidP="0057104C">
      <w:pPr>
        <w:pStyle w:val="SangriaFrancesaArticulo"/>
      </w:pPr>
      <w:r w:rsidRPr="0057104C">
        <w:rPr>
          <w:rStyle w:val="TextoNormalNegritaCaracter"/>
        </w:rPr>
        <w:t>Anexo.</w:t>
      </w:r>
      <w:r w:rsidRPr="0057104C">
        <w:rPr>
          <w:rStyle w:val="TextoNormalCaracter"/>
        </w:rPr>
        <w:t>-</w:t>
      </w:r>
      <w:r>
        <w:t xml:space="preserve"> Sentencia </w:t>
      </w:r>
      <w:hyperlink w:anchor="SENTENCIA_2016_38" w:history="1">
        <w:r w:rsidRPr="0057104C">
          <w:rPr>
            <w:rStyle w:val="TextoNormalCaracter"/>
          </w:rPr>
          <w:t>38/2016</w:t>
        </w:r>
      </w:hyperlink>
      <w:r>
        <w:t>, ff. 4, 7.</w:t>
      </w:r>
    </w:p>
    <w:p w:rsidR="0057104C" w:rsidRDefault="0057104C" w:rsidP="0057104C">
      <w:pPr>
        <w:pStyle w:val="SangriaFrancesaArticulo"/>
      </w:pPr>
    </w:p>
    <w:p w:rsidR="0057104C" w:rsidRDefault="0057104C" w:rsidP="0057104C">
      <w:pPr>
        <w:pStyle w:val="TextoNormalNegritaCursivandice"/>
      </w:pPr>
      <w:r>
        <w:t>Orden de la Consejería de Educación, Cultura y Universidades del Gobierno de las Illes Balears de 9 de mayo de 2014. Se desarrollan determinados aspectos del tratamiento integrado de lenguas en los centros docentes no universitarios de las Illes Balears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8" w:history="1">
        <w:r w:rsidRPr="0057104C">
          <w:rPr>
            <w:rStyle w:val="TextoNormalCaracter"/>
          </w:rPr>
          <w:t>38/2016</w:t>
        </w:r>
      </w:hyperlink>
      <w:r>
        <w:t>, ff. 1, 6.</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38" w:history="1">
        <w:r w:rsidRPr="0057104C">
          <w:rPr>
            <w:rStyle w:val="TextoNormalCaracter"/>
          </w:rPr>
          <w:t>38/2016</w:t>
        </w:r>
      </w:hyperlink>
      <w:r>
        <w:t>, f. 7.</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J.5) Canarias</w:t>
      </w:r>
    </w:p>
    <w:p w:rsidR="0057104C" w:rsidRDefault="0057104C" w:rsidP="0057104C">
      <w:pPr>
        <w:pStyle w:val="TextoNormal"/>
      </w:pPr>
    </w:p>
    <w:p w:rsidR="0057104C" w:rsidRDefault="0057104C" w:rsidP="0057104C">
      <w:pPr>
        <w:pStyle w:val="TextoNormalNegritaCentradoSubrayado"/>
        <w:suppressAutoHyphens/>
      </w:pPr>
      <w:r>
        <w:t>J.5.a) Estatuto de Autonomía</w:t>
      </w:r>
    </w:p>
    <w:p w:rsidR="0057104C" w:rsidRDefault="0057104C" w:rsidP="0057104C">
      <w:pPr>
        <w:pStyle w:val="TextoNormalNegritaCentradoSubrayado"/>
      </w:pPr>
    </w:p>
    <w:p w:rsidR="0057104C" w:rsidRDefault="0057104C" w:rsidP="0057104C">
      <w:pPr>
        <w:pStyle w:val="TextoNormalNegritaCursivandice"/>
      </w:pPr>
      <w:r>
        <w:t>Ley Orgánica 10/1982, de 10 de agosto. Estatuto de Autonomía de Canarias</w:t>
      </w:r>
    </w:p>
    <w:p w:rsidR="0057104C" w:rsidRDefault="0057104C" w:rsidP="0057104C">
      <w:pPr>
        <w:pStyle w:val="SangriaFrancesaArticulo"/>
      </w:pPr>
      <w:r w:rsidRPr="0057104C">
        <w:rPr>
          <w:rStyle w:val="TextoNormalNegritaCaracter"/>
        </w:rPr>
        <w:t>Artículo 30.15.</w:t>
      </w:r>
      <w:r w:rsidRPr="0057104C">
        <w:rPr>
          <w:rStyle w:val="TextoNormalCaracter"/>
        </w:rPr>
        <w:t>-</w:t>
      </w:r>
      <w:r>
        <w:t xml:space="preserve"> Sentencia </w:t>
      </w:r>
      <w:hyperlink w:anchor="SENTENCIA_2016_57" w:history="1">
        <w:r w:rsidRPr="0057104C">
          <w:rPr>
            <w:rStyle w:val="TextoNormalCaracter"/>
          </w:rPr>
          <w:t>57/2016</w:t>
        </w:r>
      </w:hyperlink>
      <w:r>
        <w:t>, ff. 2, 4, 5, 8, 11.</w:t>
      </w:r>
    </w:p>
    <w:p w:rsidR="0057104C" w:rsidRDefault="0057104C" w:rsidP="0057104C">
      <w:pPr>
        <w:pStyle w:val="SangriaFrancesaArticulo"/>
      </w:pPr>
      <w:r w:rsidRPr="0057104C">
        <w:rPr>
          <w:rStyle w:val="TextoNormalNegritaCaracter"/>
        </w:rPr>
        <w:t>Artículo 30.21.</w:t>
      </w:r>
      <w:r w:rsidRPr="0057104C">
        <w:rPr>
          <w:rStyle w:val="TextoNormalCaracter"/>
        </w:rPr>
        <w:t>-</w:t>
      </w:r>
      <w:r>
        <w:t xml:space="preserve"> Sentencia </w:t>
      </w:r>
      <w:hyperlink w:anchor="SENTENCIA_2016_37" w:history="1">
        <w:r w:rsidRPr="0057104C">
          <w:rPr>
            <w:rStyle w:val="TextoNormalCaracter"/>
          </w:rPr>
          <w:t>37/2016</w:t>
        </w:r>
      </w:hyperlink>
      <w:r>
        <w:t>, f. 1.</w:t>
      </w:r>
    </w:p>
    <w:p w:rsidR="0057104C" w:rsidRDefault="0057104C" w:rsidP="0057104C">
      <w:pPr>
        <w:pStyle w:val="SangriaFrancesaArticulo"/>
      </w:pPr>
      <w:r w:rsidRPr="0057104C">
        <w:rPr>
          <w:rStyle w:val="TextoNormalNegritaCaracter"/>
        </w:rPr>
        <w:t>Artículo 30.22.</w:t>
      </w:r>
      <w:r w:rsidRPr="0057104C">
        <w:rPr>
          <w:rStyle w:val="TextoNormalCaracter"/>
        </w:rPr>
        <w:t>-</w:t>
      </w:r>
      <w:r>
        <w:t xml:space="preserve"> Sentencia </w:t>
      </w:r>
      <w:hyperlink w:anchor="SENTENCIA_2016_57" w:history="1">
        <w:r w:rsidRPr="0057104C">
          <w:rPr>
            <w:rStyle w:val="TextoNormalCaracter"/>
          </w:rPr>
          <w:t>57/2016</w:t>
        </w:r>
      </w:hyperlink>
      <w:r>
        <w:t>, f. 6.</w:t>
      </w:r>
    </w:p>
    <w:p w:rsidR="0057104C" w:rsidRDefault="0057104C" w:rsidP="0057104C">
      <w:pPr>
        <w:pStyle w:val="SangriaFrancesaArticulo"/>
      </w:pPr>
      <w:r w:rsidRPr="0057104C">
        <w:rPr>
          <w:rStyle w:val="TextoNormalNegritaCaracter"/>
        </w:rPr>
        <w:t>Artículo 31.3.</w:t>
      </w:r>
      <w:r w:rsidRPr="0057104C">
        <w:rPr>
          <w:rStyle w:val="TextoNormalCaracter"/>
        </w:rPr>
        <w:t>-</w:t>
      </w:r>
      <w:r>
        <w:t xml:space="preserve"> Sentencia </w:t>
      </w:r>
      <w:hyperlink w:anchor="SENTENCIA_2016_37" w:history="1">
        <w:r w:rsidRPr="0057104C">
          <w:rPr>
            <w:rStyle w:val="TextoNormalCaracter"/>
          </w:rPr>
          <w:t>37/2016</w:t>
        </w:r>
      </w:hyperlink>
      <w:r>
        <w:t>, f. 1.</w:t>
      </w:r>
    </w:p>
    <w:p w:rsidR="0057104C" w:rsidRDefault="0057104C" w:rsidP="0057104C">
      <w:pPr>
        <w:pStyle w:val="SangriaFrancesaArticulo"/>
      </w:pPr>
      <w:r w:rsidRPr="0057104C">
        <w:rPr>
          <w:rStyle w:val="TextoNormalNegritaCaracter"/>
        </w:rPr>
        <w:t>Artículo 32.1.</w:t>
      </w:r>
      <w:r w:rsidRPr="0057104C">
        <w:rPr>
          <w:rStyle w:val="TextoNormalCaracter"/>
        </w:rPr>
        <w:t>-</w:t>
      </w:r>
      <w:r>
        <w:t xml:space="preserve"> Sentencia </w:t>
      </w:r>
      <w:hyperlink w:anchor="SENTENCIA_2016_67" w:history="1">
        <w:r w:rsidRPr="0057104C">
          <w:rPr>
            <w:rStyle w:val="TextoNormalCaracter"/>
          </w:rPr>
          <w:t>67/2016</w:t>
        </w:r>
      </w:hyperlink>
      <w:r>
        <w:t>, f. 1.</w:t>
      </w:r>
    </w:p>
    <w:p w:rsidR="0057104C" w:rsidRDefault="0057104C" w:rsidP="0057104C">
      <w:pPr>
        <w:pStyle w:val="SangriaFrancesaArticulo"/>
      </w:pPr>
      <w:r w:rsidRPr="0057104C">
        <w:rPr>
          <w:rStyle w:val="TextoNormalNegritaCaracter"/>
        </w:rPr>
        <w:t>Artículo 32.6.</w:t>
      </w:r>
      <w:r w:rsidRPr="0057104C">
        <w:rPr>
          <w:rStyle w:val="TextoNormalCaracter"/>
        </w:rPr>
        <w:t>-</w:t>
      </w:r>
      <w:r>
        <w:t xml:space="preserve"> Sentencia </w:t>
      </w:r>
      <w:hyperlink w:anchor="SENTENCIA_2016_67" w:history="1">
        <w:r w:rsidRPr="0057104C">
          <w:rPr>
            <w:rStyle w:val="TextoNormalCaracter"/>
          </w:rPr>
          <w:t>67/2016</w:t>
        </w:r>
      </w:hyperlink>
      <w:r>
        <w:t>, f. 1.</w:t>
      </w:r>
    </w:p>
    <w:p w:rsidR="0057104C" w:rsidRDefault="0057104C" w:rsidP="0057104C">
      <w:pPr>
        <w:pStyle w:val="SangriaFrancesaArticulo"/>
      </w:pPr>
      <w:r w:rsidRPr="0057104C">
        <w:rPr>
          <w:rStyle w:val="TextoNormalNegritaCaracter"/>
        </w:rPr>
        <w:t>Artículo 32.12.</w:t>
      </w:r>
      <w:r w:rsidRPr="0057104C">
        <w:rPr>
          <w:rStyle w:val="TextoNormalCaracter"/>
        </w:rPr>
        <w:t>-</w:t>
      </w:r>
      <w:r>
        <w:t xml:space="preserve"> Sentencia </w:t>
      </w:r>
      <w:hyperlink w:anchor="SENTENCIA_2016_57" w:history="1">
        <w:r w:rsidRPr="0057104C">
          <w:rPr>
            <w:rStyle w:val="TextoNormalCaracter"/>
          </w:rPr>
          <w:t>57/2016</w:t>
        </w:r>
      </w:hyperlink>
      <w:r>
        <w:t>, ff. 4, 8, 10.</w:t>
      </w:r>
    </w:p>
    <w:p w:rsidR="0057104C" w:rsidRDefault="0057104C" w:rsidP="0057104C">
      <w:pPr>
        <w:pStyle w:val="TextoNormal"/>
      </w:pPr>
    </w:p>
    <w:p w:rsidR="0057104C" w:rsidRDefault="0057104C" w:rsidP="0057104C">
      <w:pPr>
        <w:pStyle w:val="TextoNormalNegritaCentradoSubrayado"/>
        <w:suppressAutoHyphens/>
      </w:pPr>
      <w:r>
        <w:t>J.5.b)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7/2009, de 6 de mayo. Modificación del Texto refundido de las Leyes de Ordenación del Territorio de Canarias y de Espacios Naturales de Canarias sobre declaración y ordenación de áreas urbanas en el litoral canario</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57" w:history="1">
        <w:r w:rsidRPr="0057104C">
          <w:rPr>
            <w:rStyle w:val="TextoNormalCaracter"/>
          </w:rPr>
          <w:t>57/2016</w:t>
        </w:r>
      </w:hyperlink>
      <w:r>
        <w:t>, f. 11.</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57" w:history="1">
        <w:r w:rsidRPr="0057104C">
          <w:rPr>
            <w:rStyle w:val="TextoNormalCaracter"/>
          </w:rPr>
          <w:t>57/2016</w:t>
        </w:r>
      </w:hyperlink>
      <w:r>
        <w:t>, f. 11.</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57" w:history="1">
        <w:r w:rsidRPr="0057104C">
          <w:rPr>
            <w:rStyle w:val="TextoNormalCaracter"/>
          </w:rPr>
          <w:t>57/2016</w:t>
        </w:r>
      </w:hyperlink>
      <w:r>
        <w:t>, f. 11.</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Sentencia </w:t>
      </w:r>
      <w:hyperlink w:anchor="SENTENCIA_2016_57" w:history="1">
        <w:r w:rsidRPr="0057104C">
          <w:rPr>
            <w:rStyle w:val="TextoNormalCaracter"/>
          </w:rPr>
          <w:t>57/2016</w:t>
        </w:r>
      </w:hyperlink>
      <w:r>
        <w:t>, f. 11.</w:t>
      </w:r>
    </w:p>
    <w:p w:rsidR="0057104C" w:rsidRDefault="0057104C" w:rsidP="0057104C">
      <w:pPr>
        <w:pStyle w:val="SangriaFrancesaArticulo"/>
      </w:pPr>
    </w:p>
    <w:p w:rsidR="0057104C" w:rsidRDefault="0057104C" w:rsidP="0057104C">
      <w:pPr>
        <w:pStyle w:val="TextoNormalNegritaCursivandice"/>
      </w:pPr>
      <w:r>
        <w:t>Ley del Parlamento de Canarias 10/2012, de 29 de diciembre. Presupuestos generales de la Comunidad Autónoma de Canarias para 2013</w:t>
      </w:r>
    </w:p>
    <w:p w:rsidR="0057104C" w:rsidRDefault="0057104C" w:rsidP="0057104C">
      <w:pPr>
        <w:pStyle w:val="SangriaFrancesaArticulo"/>
      </w:pPr>
      <w:r w:rsidRPr="0057104C">
        <w:rPr>
          <w:rStyle w:val="TextoNormalNegritaCaracter"/>
        </w:rPr>
        <w:t>Disposición adicional quinquagésima séptima.</w:t>
      </w:r>
      <w:r w:rsidRPr="0057104C">
        <w:rPr>
          <w:rStyle w:val="TextoNormalCaracter"/>
        </w:rPr>
        <w:t>-</w:t>
      </w:r>
      <w:r>
        <w:t xml:space="preserve"> Sentencia </w:t>
      </w:r>
      <w:hyperlink w:anchor="SENTENCIA_2016_71" w:history="1">
        <w:r w:rsidRPr="0057104C">
          <w:rPr>
            <w:rStyle w:val="TextoNormalCaracter"/>
          </w:rPr>
          <w:t>71/2016</w:t>
        </w:r>
      </w:hyperlink>
      <w:r>
        <w:t>, ff. 1 a 4, 6.</w:t>
      </w:r>
    </w:p>
    <w:p w:rsidR="0057104C" w:rsidRDefault="0057104C" w:rsidP="0057104C">
      <w:pPr>
        <w:pStyle w:val="SangriaFrancesaArticulo"/>
      </w:pPr>
      <w:r w:rsidRPr="0057104C">
        <w:rPr>
          <w:rStyle w:val="TextoNormalNegritaCaracter"/>
        </w:rPr>
        <w:t>Disposición adicional quinquagésima séptima, 3.</w:t>
      </w:r>
      <w:r w:rsidRPr="0057104C">
        <w:rPr>
          <w:rStyle w:val="TextoNormalCaracter"/>
        </w:rPr>
        <w:t>-</w:t>
      </w:r>
      <w:r>
        <w:t xml:space="preserve"> Sentencia </w:t>
      </w:r>
      <w:hyperlink w:anchor="SENTENCIA_2016_71" w:history="1">
        <w:r w:rsidRPr="0057104C">
          <w:rPr>
            <w:rStyle w:val="TextoNormalCaracter"/>
          </w:rPr>
          <w:t>71/2016</w:t>
        </w:r>
      </w:hyperlink>
      <w:r>
        <w:t>, f. 2.</w:t>
      </w:r>
    </w:p>
    <w:p w:rsidR="0057104C" w:rsidRDefault="0057104C" w:rsidP="0057104C">
      <w:pPr>
        <w:pStyle w:val="SangriaFrancesaArticulo"/>
      </w:pPr>
      <w:r w:rsidRPr="0057104C">
        <w:rPr>
          <w:rStyle w:val="TextoNormalNegritaCaracter"/>
        </w:rPr>
        <w:t>Disposición adicional vigésimo primera.</w:t>
      </w:r>
      <w:r w:rsidRPr="0057104C">
        <w:rPr>
          <w:rStyle w:val="TextoNormalCaracter"/>
        </w:rPr>
        <w:t>-</w:t>
      </w:r>
      <w:r>
        <w:t xml:space="preserve"> Sentencia </w:t>
      </w:r>
      <w:hyperlink w:anchor="SENTENCIA_2016_71" w:history="1">
        <w:r w:rsidRPr="0057104C">
          <w:rPr>
            <w:rStyle w:val="TextoNormalCaracter"/>
          </w:rPr>
          <w:t>71/2016</w:t>
        </w:r>
      </w:hyperlink>
      <w:r>
        <w:t>, f. 1.</w:t>
      </w:r>
    </w:p>
    <w:p w:rsidR="0057104C" w:rsidRDefault="0057104C" w:rsidP="0057104C">
      <w:pPr>
        <w:pStyle w:val="TextoNormal"/>
      </w:pPr>
    </w:p>
    <w:p w:rsidR="0057104C" w:rsidRDefault="0057104C" w:rsidP="0057104C">
      <w:pPr>
        <w:pStyle w:val="TextoNormalNegritaCentradoSubrayado"/>
        <w:suppressAutoHyphens/>
      </w:pPr>
      <w:r>
        <w:t>J.5.c) Decretos y otras disposiciones reglamentarias</w:t>
      </w:r>
    </w:p>
    <w:p w:rsidR="0057104C" w:rsidRDefault="0057104C" w:rsidP="0057104C">
      <w:pPr>
        <w:pStyle w:val="TextoNormalNegritaCentradoSubrayado"/>
      </w:pPr>
    </w:p>
    <w:p w:rsidR="0057104C" w:rsidRDefault="0057104C" w:rsidP="0057104C">
      <w:pPr>
        <w:pStyle w:val="TextoNormalNegritaCursivandice"/>
      </w:pPr>
      <w:r>
        <w:t>Resolución del Gobierno de Canarias de 5 de abril de 2013, por la que se dispone la publicación del acuerdo por el que se deja sin efecto la reducción de jornada de trabajo y proporcional de retribuciones de los funcionarios interinos y del personal laboral indefinido y temporal del ámbito de la Administración General de la Comunidad Autónoma de Canarias prevista en la disposición adicional quincuagésima séptima de la Ley 10/2012, de 29 de diciembre, de Presupuestos Generales de la Comunidad Autónoma de Canarias para 2013</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1" w:history="1">
        <w:r w:rsidRPr="0057104C">
          <w:rPr>
            <w:rStyle w:val="TextoNormalCaracter"/>
          </w:rPr>
          <w:t>71/2016</w:t>
        </w:r>
      </w:hyperlink>
      <w:r>
        <w:t>, f. 2.</w:t>
      </w:r>
    </w:p>
    <w:p w:rsidR="0057104C" w:rsidRDefault="0057104C" w:rsidP="0057104C">
      <w:pPr>
        <w:pStyle w:val="SangriaFrancesaArticulo"/>
      </w:pPr>
    </w:p>
    <w:p w:rsidR="0057104C" w:rsidRDefault="0057104C" w:rsidP="0057104C">
      <w:pPr>
        <w:pStyle w:val="TextoNormalNegritaCursivandice"/>
      </w:pPr>
      <w:r>
        <w:t>Resolución del Gobierno de Canarias de 28 de noviembre de 2013, por la que se dispone la publicación del acuerdo por el que se deja sin efecto la reducción de jornada de trabajo y proporcional de retribuciones de los funcionarios interinos y del personal laboral indefinido y temporal del ámbito de la Administración General de la Comunidad Autónoma de Canarias prevista en la disposición adicional quincuagésima séptima de la Ley 10/2012, de 29 de diciembre, de Presupuestos Generales de la Comunidad Autónoma de Canarias para 2013</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1" w:history="1">
        <w:r w:rsidRPr="0057104C">
          <w:rPr>
            <w:rStyle w:val="TextoNormalCaracter"/>
          </w:rPr>
          <w:t>71/2016</w:t>
        </w:r>
      </w:hyperlink>
      <w:r>
        <w:t>, f. 2.</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J.6) Cantabria</w:t>
      </w:r>
    </w:p>
    <w:p w:rsidR="0057104C" w:rsidRDefault="0057104C" w:rsidP="0057104C">
      <w:pPr>
        <w:pStyle w:val="TextoNormal"/>
      </w:pPr>
    </w:p>
    <w:p w:rsidR="0057104C" w:rsidRDefault="0057104C" w:rsidP="0057104C">
      <w:pPr>
        <w:pStyle w:val="TextoNormalNegritaCentradoSubrayado"/>
        <w:suppressAutoHyphens/>
      </w:pPr>
      <w:r>
        <w:t>J.6.a) Estatuto de Autonomía</w:t>
      </w:r>
    </w:p>
    <w:p w:rsidR="0057104C" w:rsidRDefault="0057104C" w:rsidP="0057104C">
      <w:pPr>
        <w:pStyle w:val="TextoNormalNegritaCentradoSubrayado"/>
      </w:pPr>
    </w:p>
    <w:p w:rsidR="0057104C" w:rsidRDefault="0057104C" w:rsidP="0057104C">
      <w:pPr>
        <w:pStyle w:val="TextoNormalNegritaCursivandice"/>
      </w:pPr>
      <w:r>
        <w:t>Ley Orgánica 8/1981, de 30 de diciembre. Estatuto de Autonomía de Cantabria</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73" w:history="1">
        <w:r w:rsidRPr="0057104C">
          <w:rPr>
            <w:rStyle w:val="TextoNormalCaracter"/>
          </w:rPr>
          <w:t>73/2016</w:t>
        </w:r>
      </w:hyperlink>
      <w:r>
        <w:t>, f. 8.</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73" w:history="1">
        <w:r w:rsidRPr="0057104C">
          <w:rPr>
            <w:rStyle w:val="TextoNormalCaracter"/>
          </w:rPr>
          <w:t>73/2016</w:t>
        </w:r>
      </w:hyperlink>
      <w:r>
        <w:t>, f. 8.</w:t>
      </w:r>
    </w:p>
    <w:p w:rsidR="0057104C" w:rsidRDefault="0057104C" w:rsidP="0057104C">
      <w:pPr>
        <w:pStyle w:val="SangriaFrancesaArticulo"/>
      </w:pPr>
      <w:r w:rsidRPr="0057104C">
        <w:rPr>
          <w:rStyle w:val="TextoNormalNegritaCaracter"/>
        </w:rPr>
        <w:t>Artículo 24.3.</w:t>
      </w:r>
      <w:r w:rsidRPr="0057104C">
        <w:rPr>
          <w:rStyle w:val="TextoNormalCaracter"/>
        </w:rPr>
        <w:t>-</w:t>
      </w:r>
      <w:r>
        <w:t xml:space="preserve"> Sentencia </w:t>
      </w:r>
      <w:hyperlink w:anchor="SENTENCIA_2016_73" w:history="1">
        <w:r w:rsidRPr="0057104C">
          <w:rPr>
            <w:rStyle w:val="TextoNormalCaracter"/>
          </w:rPr>
          <w:t>73/2016</w:t>
        </w:r>
      </w:hyperlink>
      <w:r>
        <w:t>, f. 8.</w:t>
      </w:r>
    </w:p>
    <w:p w:rsidR="0057104C" w:rsidRDefault="0057104C" w:rsidP="0057104C">
      <w:pPr>
        <w:pStyle w:val="TextoNormal"/>
      </w:pPr>
    </w:p>
    <w:p w:rsidR="0057104C" w:rsidRDefault="0057104C" w:rsidP="0057104C">
      <w:pPr>
        <w:pStyle w:val="TextoNormalNegritaCentradoSubrayado"/>
        <w:suppressAutoHyphens/>
      </w:pPr>
      <w:r>
        <w:t>J.6.b)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del Parlamento de Cantabria 2/2001, de 25 de junio. Ordenación territorial y régimen urbanístico del suelo de Cantabria</w:t>
      </w:r>
    </w:p>
    <w:p w:rsidR="0057104C" w:rsidRDefault="0057104C" w:rsidP="0057104C">
      <w:pPr>
        <w:pStyle w:val="SangriaFrancesaArticulo"/>
      </w:pPr>
      <w:r w:rsidRPr="0057104C">
        <w:rPr>
          <w:rStyle w:val="TextoNormalNegritaCaracter"/>
        </w:rPr>
        <w:t>Artículo 65 bis 1</w:t>
      </w:r>
      <w:r>
        <w:t xml:space="preserve"> (redactado por la Ley del Parlamento de Cantabria 4/2013, de 20 de junio)</w:t>
      </w:r>
      <w:r w:rsidRPr="0057104C">
        <w:rPr>
          <w:rStyle w:val="TextoNormalNegritaCaracter"/>
        </w:rPr>
        <w:t>.</w:t>
      </w:r>
      <w:r w:rsidRPr="0057104C">
        <w:rPr>
          <w:rStyle w:val="TextoNormalCaracter"/>
        </w:rPr>
        <w:t>-</w:t>
      </w:r>
      <w:r>
        <w:t xml:space="preserve"> Autos </w:t>
      </w:r>
      <w:hyperlink w:anchor="AUTO_2016_5" w:history="1">
        <w:r w:rsidRPr="0057104C">
          <w:rPr>
            <w:rStyle w:val="TextoNormalCaracter"/>
          </w:rPr>
          <w:t>5/2016</w:t>
        </w:r>
      </w:hyperlink>
      <w:r>
        <w:t xml:space="preserve">, f. único; </w:t>
      </w:r>
      <w:hyperlink w:anchor="AUTO_2016_74" w:history="1">
        <w:r w:rsidRPr="0057104C">
          <w:rPr>
            <w:rStyle w:val="TextoNormalCaracter"/>
          </w:rPr>
          <w:t>74/2016</w:t>
        </w:r>
      </w:hyperlink>
      <w:r>
        <w:t xml:space="preserve">, f. único; </w:t>
      </w:r>
      <w:hyperlink w:anchor="AUTO_2016_79" w:history="1">
        <w:r w:rsidRPr="0057104C">
          <w:rPr>
            <w:rStyle w:val="TextoNormalCaracter"/>
          </w:rPr>
          <w:t>79/2016</w:t>
        </w:r>
      </w:hyperlink>
      <w:r>
        <w:t>, f. único.</w:t>
      </w:r>
    </w:p>
    <w:p w:rsidR="0057104C" w:rsidRDefault="0057104C" w:rsidP="0057104C">
      <w:pPr>
        <w:pStyle w:val="SangriaFrancesaArticulo"/>
      </w:pPr>
      <w:r w:rsidRPr="0057104C">
        <w:rPr>
          <w:rStyle w:val="TextoNormalNegritaCaracter"/>
        </w:rPr>
        <w:t>Artículo 65 bis 1 expresión "órdenes de demolición judiciales"</w:t>
      </w:r>
      <w:r>
        <w:t xml:space="preserve"> (redactado por la Ley del Parlamento de Cantabria 4/2013, de 20 de junio)</w:t>
      </w:r>
      <w:r w:rsidRPr="0057104C">
        <w:rPr>
          <w:rStyle w:val="TextoNormalNegritaCaracter"/>
        </w:rPr>
        <w:t>.</w:t>
      </w:r>
      <w:r w:rsidRPr="0057104C">
        <w:rPr>
          <w:rStyle w:val="TextoNormalCaracter"/>
        </w:rPr>
        <w:t>-</w:t>
      </w:r>
      <w:r>
        <w:t xml:space="preserve"> Autos </w:t>
      </w:r>
      <w:hyperlink w:anchor="AUTO_2016_56" w:history="1">
        <w:r w:rsidRPr="0057104C">
          <w:rPr>
            <w:rStyle w:val="TextoNormalCaracter"/>
          </w:rPr>
          <w:t>56/2016</w:t>
        </w:r>
      </w:hyperlink>
      <w:r>
        <w:t xml:space="preserve">, f. único; </w:t>
      </w:r>
      <w:hyperlink w:anchor="AUTO_2016_57" w:history="1">
        <w:r w:rsidRPr="0057104C">
          <w:rPr>
            <w:rStyle w:val="TextoNormalCaracter"/>
          </w:rPr>
          <w:t>57/2016</w:t>
        </w:r>
      </w:hyperlink>
      <w:r>
        <w:t xml:space="preserve">, f. único; </w:t>
      </w:r>
      <w:hyperlink w:anchor="AUTO_2016_64" w:history="1">
        <w:r w:rsidRPr="0057104C">
          <w:rPr>
            <w:rStyle w:val="TextoNormalCaracter"/>
          </w:rPr>
          <w:t>64/2016</w:t>
        </w:r>
      </w:hyperlink>
      <w:r>
        <w:t xml:space="preserve">, f. único; </w:t>
      </w:r>
      <w:hyperlink w:anchor="AUTO_2016_65" w:history="1">
        <w:r w:rsidRPr="0057104C">
          <w:rPr>
            <w:rStyle w:val="TextoNormalCaracter"/>
          </w:rPr>
          <w:t>65/2016</w:t>
        </w:r>
      </w:hyperlink>
      <w:r>
        <w:t>, f. único.</w:t>
      </w:r>
    </w:p>
    <w:p w:rsidR="0057104C" w:rsidRDefault="0057104C" w:rsidP="0057104C">
      <w:pPr>
        <w:pStyle w:val="SangriaFrancesaArticulo"/>
      </w:pPr>
    </w:p>
    <w:p w:rsidR="0057104C" w:rsidRDefault="0057104C" w:rsidP="0057104C">
      <w:pPr>
        <w:pStyle w:val="TextoNormalNegritaCursivandice"/>
      </w:pPr>
      <w:r>
        <w:t>Ley del Parlamento de Cantabria 4/2013, de 20 de junio. Régimen jurídico de las autorizaciones provisionales de edificaciones o actuaciones preexistentes, así como de adopción de distintas medidas para la agilización de los instrumentos de planeamiento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Autos </w:t>
      </w:r>
      <w:hyperlink w:anchor="AUTO_2016_56" w:history="1">
        <w:r w:rsidRPr="0057104C">
          <w:rPr>
            <w:rStyle w:val="TextoNormalCaracter"/>
          </w:rPr>
          <w:t>56/2016</w:t>
        </w:r>
      </w:hyperlink>
      <w:r>
        <w:t xml:space="preserve">, f. único; </w:t>
      </w:r>
      <w:hyperlink w:anchor="AUTO_2016_57" w:history="1">
        <w:r w:rsidRPr="0057104C">
          <w:rPr>
            <w:rStyle w:val="TextoNormalCaracter"/>
          </w:rPr>
          <w:t>57/2016</w:t>
        </w:r>
      </w:hyperlink>
      <w:r>
        <w:t xml:space="preserve">, f. único; </w:t>
      </w:r>
      <w:hyperlink w:anchor="AUTO_2016_64" w:history="1">
        <w:r w:rsidRPr="0057104C">
          <w:rPr>
            <w:rStyle w:val="TextoNormalCaracter"/>
          </w:rPr>
          <w:t>64/2016</w:t>
        </w:r>
      </w:hyperlink>
      <w:r>
        <w:t xml:space="preserve">, f. único; </w:t>
      </w:r>
      <w:hyperlink w:anchor="AUTO_2016_65" w:history="1">
        <w:r w:rsidRPr="0057104C">
          <w:rPr>
            <w:rStyle w:val="TextoNormalCaracter"/>
          </w:rPr>
          <w:t>65/2016</w:t>
        </w:r>
      </w:hyperlink>
      <w:r>
        <w:t xml:space="preserve">, f. único; </w:t>
      </w:r>
      <w:hyperlink w:anchor="AUTO_2016_74" w:history="1">
        <w:r w:rsidRPr="0057104C">
          <w:rPr>
            <w:rStyle w:val="TextoNormalCaracter"/>
          </w:rPr>
          <w:t>74/2016</w:t>
        </w:r>
      </w:hyperlink>
      <w:r>
        <w:t xml:space="preserve">, f. único; </w:t>
      </w:r>
      <w:hyperlink w:anchor="AUTO_2016_79" w:history="1">
        <w:r w:rsidRPr="0057104C">
          <w:rPr>
            <w:rStyle w:val="TextoNormalCaracter"/>
          </w:rPr>
          <w:t>79/2016</w:t>
        </w:r>
      </w:hyperlink>
      <w:r>
        <w:t>, f. único.</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Autos </w:t>
      </w:r>
      <w:hyperlink w:anchor="AUTO_2016_5" w:history="1">
        <w:r w:rsidRPr="0057104C">
          <w:rPr>
            <w:rStyle w:val="TextoNormalCaracter"/>
          </w:rPr>
          <w:t>5/2016</w:t>
        </w:r>
      </w:hyperlink>
      <w:r>
        <w:t xml:space="preserve">, f. único; </w:t>
      </w:r>
      <w:hyperlink w:anchor="AUTO_2016_74" w:history="1">
        <w:r w:rsidRPr="0057104C">
          <w:rPr>
            <w:rStyle w:val="TextoNormalCaracter"/>
          </w:rPr>
          <w:t>74/2016</w:t>
        </w:r>
      </w:hyperlink>
      <w:r>
        <w:t>, f. único.</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J.7) Castilla-La Mancha</w:t>
      </w:r>
    </w:p>
    <w:p w:rsidR="0057104C" w:rsidRDefault="0057104C" w:rsidP="0057104C">
      <w:pPr>
        <w:pStyle w:val="TextoNormal"/>
      </w:pPr>
    </w:p>
    <w:p w:rsidR="0057104C" w:rsidRDefault="0057104C" w:rsidP="0057104C">
      <w:pPr>
        <w:pStyle w:val="TextoNormalNegritaCentradoSubrayado"/>
        <w:suppressAutoHyphens/>
      </w:pPr>
      <w:r>
        <w:t>J.7.a) Estatuto de Autonomía</w:t>
      </w:r>
    </w:p>
    <w:p w:rsidR="0057104C" w:rsidRDefault="0057104C" w:rsidP="0057104C">
      <w:pPr>
        <w:pStyle w:val="TextoNormalNegritaCentradoSubrayado"/>
      </w:pPr>
    </w:p>
    <w:p w:rsidR="0057104C" w:rsidRDefault="0057104C" w:rsidP="0057104C">
      <w:pPr>
        <w:pStyle w:val="TextoNormalNegritaCursivandice"/>
      </w:pPr>
      <w:r>
        <w:t>Ley Orgánica 2/2014, de 21 de mayo. Reforma del Estatuto de Autonomía de Castilla-La Mancha</w:t>
      </w:r>
    </w:p>
    <w:p w:rsidR="0057104C" w:rsidRDefault="0057104C" w:rsidP="0057104C">
      <w:pPr>
        <w:pStyle w:val="SangriaFrancesaArticulo"/>
      </w:pPr>
      <w:r w:rsidRPr="0057104C">
        <w:rPr>
          <w:rStyle w:val="TextoNormalNegritaCaracter"/>
        </w:rPr>
        <w:t>Artículo 31.1.2.</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TextoNormal"/>
      </w:pPr>
    </w:p>
    <w:p w:rsidR="0057104C" w:rsidRDefault="0057104C" w:rsidP="0057104C">
      <w:pPr>
        <w:pStyle w:val="TextoNormalNegritaCentradoSubrayado"/>
        <w:suppressAutoHyphens/>
      </w:pPr>
      <w:r>
        <w:t>J.7.b)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 las Cortes de Castilla-La Mancha 11/2000, de 26 de diciembre. Impuesto sobre determinadas actividades que inciden en el medio ambiente</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p>
    <w:p w:rsidR="0057104C" w:rsidRDefault="0057104C" w:rsidP="0057104C">
      <w:pPr>
        <w:pStyle w:val="TextoNormalNegritaCursivandice"/>
      </w:pPr>
      <w:r>
        <w:t>Ley de las Cortes de Castilla-La Mancha 8/2001, de 28 de junio.  Ordenación de las instalaciones de radiocomunicación</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20" w:history="1">
        <w:r w:rsidRPr="0057104C">
          <w:rPr>
            <w:rStyle w:val="TextoNormalCaracter"/>
          </w:rPr>
          <w:t>20/2016</w:t>
        </w:r>
      </w:hyperlink>
      <w:r>
        <w:t>, f. 7.</w:t>
      </w:r>
    </w:p>
    <w:p w:rsidR="0057104C" w:rsidRDefault="0057104C" w:rsidP="0057104C">
      <w:pPr>
        <w:pStyle w:val="SangriaFrancesaArticulo"/>
      </w:pPr>
    </w:p>
    <w:p w:rsidR="0057104C" w:rsidRDefault="0057104C" w:rsidP="0057104C">
      <w:pPr>
        <w:pStyle w:val="TextoNormalNegritaCursivandice"/>
      </w:pPr>
      <w:r>
        <w:t>Decreto Legislativo de la Junta de Comunidades de Castilla-La Mancha 1/2004, de 28 de diciembre. Texto refundido de la Ley de ordenación del territorio y de la actividad urbanística</w:t>
      </w:r>
    </w:p>
    <w:p w:rsidR="0057104C" w:rsidRDefault="0057104C" w:rsidP="0057104C">
      <w:pPr>
        <w:pStyle w:val="SangriaFrancesaArticulo"/>
      </w:pPr>
      <w:r w:rsidRPr="0057104C">
        <w:rPr>
          <w:rStyle w:val="TextoNormalNegritaCaracter"/>
        </w:rPr>
        <w:t>Artículo 36.1 a).</w:t>
      </w:r>
      <w:r w:rsidRPr="0057104C">
        <w:rPr>
          <w:rStyle w:val="TextoNormalCaracter"/>
        </w:rPr>
        <w:t>-</w:t>
      </w:r>
      <w:r>
        <w:t xml:space="preserve"> Sentencia </w:t>
      </w:r>
      <w:hyperlink w:anchor="SENTENCIA_2016_113" w:history="1">
        <w:r w:rsidRPr="0057104C">
          <w:rPr>
            <w:rStyle w:val="TextoNormalCaracter"/>
          </w:rPr>
          <w:t>113/2016</w:t>
        </w:r>
      </w:hyperlink>
      <w:r>
        <w:t>, f. 1.</w:t>
      </w:r>
    </w:p>
    <w:p w:rsidR="0057104C" w:rsidRDefault="0057104C" w:rsidP="0057104C">
      <w:pPr>
        <w:pStyle w:val="SangriaFrancesaArticulo"/>
      </w:pPr>
      <w:r w:rsidRPr="0057104C">
        <w:rPr>
          <w:rStyle w:val="TextoNormalNegritaCaracter"/>
        </w:rPr>
        <w:t>Artículo 36.2 a), párrafo 2.</w:t>
      </w:r>
      <w:r w:rsidRPr="0057104C">
        <w:rPr>
          <w:rStyle w:val="TextoNormalCaracter"/>
        </w:rPr>
        <w:t>-</w:t>
      </w:r>
      <w:r>
        <w:t xml:space="preserve"> Sentencias </w:t>
      </w:r>
      <w:hyperlink w:anchor="SENTENCIA_2016_114" w:history="1">
        <w:r w:rsidRPr="0057104C">
          <w:rPr>
            <w:rStyle w:val="TextoNormalCaracter"/>
          </w:rPr>
          <w:t>114/2016</w:t>
        </w:r>
      </w:hyperlink>
      <w:r>
        <w:t xml:space="preserve">, f. 1; </w:t>
      </w:r>
      <w:hyperlink w:anchor="SENTENCIA_2016_115" w:history="1">
        <w:r w:rsidRPr="0057104C">
          <w:rPr>
            <w:rStyle w:val="TextoNormalCaracter"/>
          </w:rPr>
          <w:t>115/2016</w:t>
        </w:r>
      </w:hyperlink>
      <w:r>
        <w:t>, f. 1.</w:t>
      </w:r>
    </w:p>
    <w:p w:rsidR="0057104C" w:rsidRDefault="0057104C" w:rsidP="0057104C">
      <w:pPr>
        <w:pStyle w:val="SangriaFrancesaArticulo"/>
      </w:pPr>
    </w:p>
    <w:p w:rsidR="0057104C" w:rsidRDefault="0057104C" w:rsidP="0057104C">
      <w:pPr>
        <w:pStyle w:val="TextoNormalNegritaCursivandice"/>
      </w:pPr>
      <w:r>
        <w:t>Ley de las Cortes de Castilla-La Mancha 16/2005, de 29 de diciembre. Impuesto sobre determinadas actividades que inciden en el medio ambiente y del tipo autonómico del impuesto sobre las ventas minoristas de determinados hidrocarburos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r w:rsidRPr="0057104C">
        <w:rPr>
          <w:rStyle w:val="TextoNormalNegritaCaracter"/>
        </w:rPr>
        <w:t>Artículo 2.1 a).</w:t>
      </w:r>
      <w:r w:rsidRPr="0057104C">
        <w:rPr>
          <w:rStyle w:val="TextoNormalCaracter"/>
        </w:rPr>
        <w:t>-</w:t>
      </w:r>
      <w:r>
        <w:t xml:space="preserve"> Sentencia </w:t>
      </w:r>
      <w:hyperlink w:anchor="SENTENCIA_2016_74" w:history="1">
        <w:r w:rsidRPr="0057104C">
          <w:rPr>
            <w:rStyle w:val="TextoNormalCaracter"/>
          </w:rPr>
          <w:t>74/2016</w:t>
        </w:r>
      </w:hyperlink>
      <w:r>
        <w:t>, f. 4.</w:t>
      </w:r>
    </w:p>
    <w:p w:rsidR="0057104C" w:rsidRDefault="0057104C" w:rsidP="0057104C">
      <w:pPr>
        <w:pStyle w:val="SangriaFrancesaArticulo"/>
      </w:pPr>
    </w:p>
    <w:p w:rsidR="0057104C" w:rsidRDefault="0057104C" w:rsidP="0057104C">
      <w:pPr>
        <w:pStyle w:val="TextoNormalNegritaCursivandice"/>
      </w:pPr>
      <w:r>
        <w:t>Decreto Legislativo de la Junta de Comunidades de Castilla-La Mancha 1/2010, de 18 de mayo. Texto refundido de la Ley de ordenación del territorio y de la actividad urbanistica</w:t>
      </w:r>
    </w:p>
    <w:p w:rsidR="0057104C" w:rsidRDefault="0057104C" w:rsidP="0057104C">
      <w:pPr>
        <w:pStyle w:val="SangriaFrancesaArticulo"/>
      </w:pPr>
      <w:r w:rsidRPr="0057104C">
        <w:rPr>
          <w:rStyle w:val="TextoNormalNegritaCaracter"/>
        </w:rPr>
        <w:t>Artículo 36.2 a), párrafo 2.</w:t>
      </w:r>
      <w:r w:rsidRPr="0057104C">
        <w:rPr>
          <w:rStyle w:val="TextoNormalCaracter"/>
        </w:rPr>
        <w:t>-</w:t>
      </w:r>
      <w:r>
        <w:t xml:space="preserve"> Sentencias </w:t>
      </w:r>
      <w:hyperlink w:anchor="SENTENCIA_2016_92" w:history="1">
        <w:r w:rsidRPr="0057104C">
          <w:rPr>
            <w:rStyle w:val="TextoNormalCaracter"/>
          </w:rPr>
          <w:t>92/2016</w:t>
        </w:r>
      </w:hyperlink>
      <w:r>
        <w:t xml:space="preserve">, f. 1; </w:t>
      </w:r>
      <w:hyperlink w:anchor="SENTENCIA_2016_93" w:history="1">
        <w:r w:rsidRPr="0057104C">
          <w:rPr>
            <w:rStyle w:val="TextoNormalCaracter"/>
          </w:rPr>
          <w:t>93/2016</w:t>
        </w:r>
      </w:hyperlink>
      <w:r>
        <w:t xml:space="preserve">, f. 1; </w:t>
      </w:r>
      <w:hyperlink w:anchor="SENTENCIA_2016_98" w:history="1">
        <w:r w:rsidRPr="0057104C">
          <w:rPr>
            <w:rStyle w:val="TextoNormalCaracter"/>
          </w:rPr>
          <w:t>98/2016</w:t>
        </w:r>
      </w:hyperlink>
      <w:r>
        <w:t>, f. 1.</w:t>
      </w:r>
    </w:p>
    <w:p w:rsidR="0057104C" w:rsidRDefault="0057104C" w:rsidP="0057104C">
      <w:pPr>
        <w:pStyle w:val="SangriaFrancesaArticulo"/>
      </w:pPr>
      <w:r w:rsidRPr="0057104C">
        <w:rPr>
          <w:rStyle w:val="TextoNormalNegritaCaracter"/>
        </w:rPr>
        <w:t>Artículo 36.2 a), párrafo 3.</w:t>
      </w:r>
      <w:r w:rsidRPr="0057104C">
        <w:rPr>
          <w:rStyle w:val="TextoNormalCaracter"/>
        </w:rPr>
        <w:t>-</w:t>
      </w:r>
      <w:r>
        <w:t xml:space="preserve"> Sentencias </w:t>
      </w:r>
      <w:hyperlink w:anchor="SENTENCIA_2016_92" w:history="1">
        <w:r w:rsidRPr="0057104C">
          <w:rPr>
            <w:rStyle w:val="TextoNormalCaracter"/>
          </w:rPr>
          <w:t>92/2016</w:t>
        </w:r>
      </w:hyperlink>
      <w:r>
        <w:t xml:space="preserve">, f. 1; </w:t>
      </w:r>
      <w:hyperlink w:anchor="SENTENCIA_2016_93" w:history="1">
        <w:r w:rsidRPr="0057104C">
          <w:rPr>
            <w:rStyle w:val="TextoNormalCaracter"/>
          </w:rPr>
          <w:t>93/2016</w:t>
        </w:r>
      </w:hyperlink>
      <w:r>
        <w:t xml:space="preserve">, f. 1; </w:t>
      </w:r>
      <w:hyperlink w:anchor="SENTENCIA_2016_98" w:history="1">
        <w:r w:rsidRPr="0057104C">
          <w:rPr>
            <w:rStyle w:val="TextoNormalCaracter"/>
          </w:rPr>
          <w:t>98/2016</w:t>
        </w:r>
      </w:hyperlink>
      <w:r>
        <w:t>, f. 1.</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J.8) Castilla y León</w:t>
      </w:r>
    </w:p>
    <w:p w:rsidR="0057104C" w:rsidRDefault="0057104C" w:rsidP="0057104C">
      <w:pPr>
        <w:pStyle w:val="TextoNormal"/>
      </w:pPr>
    </w:p>
    <w:p w:rsidR="0057104C" w:rsidRDefault="0057104C" w:rsidP="0057104C">
      <w:pPr>
        <w:pStyle w:val="TextoNormalNegritaCentradoSubrayado"/>
        <w:suppressAutoHyphens/>
      </w:pPr>
      <w:r>
        <w:t>J.8.b)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 las Cortes de Castilla y León 8/1997, de 8 de julio.  Normas reguladoras de colegios profesionales</w:t>
      </w:r>
    </w:p>
    <w:p w:rsidR="0057104C" w:rsidRDefault="0057104C" w:rsidP="0057104C">
      <w:pPr>
        <w:pStyle w:val="SangriaFrancesaArticulo"/>
      </w:pPr>
      <w:r w:rsidRPr="0057104C">
        <w:rPr>
          <w:rStyle w:val="TextoNormalNegritaCaracter"/>
        </w:rPr>
        <w:t>Artículo 16.2.</w:t>
      </w:r>
      <w:r w:rsidRPr="0057104C">
        <w:rPr>
          <w:rStyle w:val="TextoNormalCaracter"/>
        </w:rPr>
        <w:t>-</w:t>
      </w:r>
      <w:r>
        <w:t xml:space="preserve"> Auto </w:t>
      </w:r>
      <w:hyperlink w:anchor="AUTO_2016_73" w:history="1">
        <w:r w:rsidRPr="0057104C">
          <w:rPr>
            <w:rStyle w:val="TextoNormalCaracter"/>
          </w:rPr>
          <w:t>73/2016</w:t>
        </w:r>
      </w:hyperlink>
      <w:r>
        <w:t>, f. 3.</w:t>
      </w:r>
    </w:p>
    <w:p w:rsidR="0057104C" w:rsidRDefault="0057104C" w:rsidP="0057104C">
      <w:pPr>
        <w:pStyle w:val="SangriaFrancesaArticulo"/>
      </w:pPr>
      <w:r w:rsidRPr="0057104C">
        <w:rPr>
          <w:rStyle w:val="TextoNormalNegritaCaracter"/>
        </w:rPr>
        <w:t>Artículo 16.2 inciso 2.</w:t>
      </w:r>
      <w:r w:rsidRPr="0057104C">
        <w:rPr>
          <w:rStyle w:val="TextoNormalCaracter"/>
        </w:rPr>
        <w:t>-</w:t>
      </w:r>
      <w:r>
        <w:t xml:space="preserve"> Auto </w:t>
      </w:r>
      <w:hyperlink w:anchor="AUTO_2016_73" w:history="1">
        <w:r w:rsidRPr="0057104C">
          <w:rPr>
            <w:rStyle w:val="TextoNormalCaracter"/>
          </w:rPr>
          <w:t>73/2016</w:t>
        </w:r>
      </w:hyperlink>
      <w:r>
        <w:t>, f. 1.</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J.9) Cataluña</w:t>
      </w:r>
    </w:p>
    <w:p w:rsidR="0057104C" w:rsidRDefault="0057104C" w:rsidP="0057104C">
      <w:pPr>
        <w:pStyle w:val="TextoNormal"/>
      </w:pPr>
    </w:p>
    <w:p w:rsidR="0057104C" w:rsidRDefault="0057104C" w:rsidP="0057104C">
      <w:pPr>
        <w:pStyle w:val="TextoNormalNegritaCentradoSubrayado"/>
        <w:suppressAutoHyphens/>
      </w:pPr>
      <w:r>
        <w:t>J.9.a) Estatuto de Autonomía</w:t>
      </w:r>
    </w:p>
    <w:p w:rsidR="0057104C" w:rsidRDefault="0057104C" w:rsidP="0057104C">
      <w:pPr>
        <w:pStyle w:val="TextoNormalNegritaCentradoSubrayado"/>
      </w:pPr>
    </w:p>
    <w:p w:rsidR="0057104C" w:rsidRDefault="0057104C" w:rsidP="0057104C">
      <w:pPr>
        <w:pStyle w:val="TextoNormalNegritaCursivandice"/>
      </w:pPr>
      <w:r>
        <w:t>Ley Orgánica 6/2006, de 19 de julio. Reforma del Estatuto de Autonomía de Cataluña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82" w:history="1">
        <w:r w:rsidRPr="0057104C">
          <w:rPr>
            <w:rStyle w:val="TextoNormalCaracter"/>
          </w:rPr>
          <w:t>82/2016</w:t>
        </w:r>
      </w:hyperlink>
      <w:r>
        <w:t xml:space="preserve">, VP; </w:t>
      </w:r>
      <w:hyperlink w:anchor="SENTENCIA_2016_87" w:history="1">
        <w:r w:rsidRPr="0057104C">
          <w:rPr>
            <w:rStyle w:val="TextoNormalCaracter"/>
          </w:rPr>
          <w:t>87/2016</w:t>
        </w:r>
      </w:hyperlink>
      <w:r>
        <w:t xml:space="preserve">, f. 5; </w:t>
      </w:r>
      <w:hyperlink w:anchor="SENTENCIA_2016_109" w:history="1">
        <w:r w:rsidRPr="0057104C">
          <w:rPr>
            <w:rStyle w:val="TextoNormalCaracter"/>
          </w:rPr>
          <w:t>109/2016</w:t>
        </w:r>
      </w:hyperlink>
      <w:r>
        <w:t>, f. 4.</w:t>
      </w:r>
    </w:p>
    <w:p w:rsidR="0057104C" w:rsidRDefault="0057104C" w:rsidP="0057104C">
      <w:pPr>
        <w:pStyle w:val="SangriaFrancesaArticulo"/>
      </w:pPr>
      <w:r w:rsidRPr="0057104C">
        <w:rPr>
          <w:rStyle w:val="TextoNormalNegritaCaracter"/>
        </w:rPr>
        <w:t>Título II, capítulo V.</w:t>
      </w:r>
      <w:r w:rsidRPr="0057104C">
        <w:rPr>
          <w:rStyle w:val="TextoNormalCaracter"/>
        </w:rPr>
        <w:t>-</w:t>
      </w:r>
      <w:r>
        <w:t xml:space="preserve"> Sentencia </w:t>
      </w:r>
      <w:hyperlink w:anchor="SENTENCIA_2016_18" w:history="1">
        <w:r w:rsidRPr="0057104C">
          <w:rPr>
            <w:rStyle w:val="TextoNormalCaracter"/>
          </w:rPr>
          <w:t>18/2016</w:t>
        </w:r>
      </w:hyperlink>
      <w:r>
        <w:t>, f. 6.</w:t>
      </w:r>
    </w:p>
    <w:p w:rsidR="0057104C" w:rsidRDefault="0057104C" w:rsidP="0057104C">
      <w:pPr>
        <w:pStyle w:val="SangriaFrancesaArticulo"/>
      </w:pPr>
      <w:r w:rsidRPr="0057104C">
        <w:rPr>
          <w:rStyle w:val="TextoNormalNegritaCaracter"/>
        </w:rPr>
        <w:t>Título V, capítulo III.</w:t>
      </w:r>
      <w:r w:rsidRPr="0057104C">
        <w:rPr>
          <w:rStyle w:val="TextoNormalCaracter"/>
        </w:rPr>
        <w:t>-</w:t>
      </w:r>
      <w:r>
        <w:t xml:space="preserve"> Auto </w:t>
      </w:r>
      <w:hyperlink w:anchor="AUTO_2016_130" w:history="1">
        <w:r w:rsidRPr="0057104C">
          <w:rPr>
            <w:rStyle w:val="TextoNormalCaracter"/>
          </w:rPr>
          <w:t>130/2016</w:t>
        </w:r>
      </w:hyperlink>
      <w:r>
        <w:t>, f. 8.</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Sentencias </w:t>
      </w:r>
      <w:hyperlink w:anchor="SENTENCIA_2016_107" w:history="1">
        <w:r w:rsidRPr="0057104C">
          <w:rPr>
            <w:rStyle w:val="TextoNormalCaracter"/>
          </w:rPr>
          <w:t>107/2016</w:t>
        </w:r>
      </w:hyperlink>
      <w:r>
        <w:t xml:space="preserve">, f. 4; </w:t>
      </w:r>
      <w:hyperlink w:anchor="SENTENCIA_2016_108" w:history="1">
        <w:r w:rsidRPr="0057104C">
          <w:rPr>
            <w:rStyle w:val="TextoNormalCaracter"/>
          </w:rPr>
          <w:t>108/2016</w:t>
        </w:r>
      </w:hyperlink>
      <w:r>
        <w:t>, f. 4.</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8" w:history="1">
        <w:r w:rsidRPr="0057104C">
          <w:rPr>
            <w:rStyle w:val="TextoNormalCaracter"/>
          </w:rPr>
          <w:t>18/2016</w:t>
        </w:r>
      </w:hyperlink>
      <w:r>
        <w:t>, f. 6.</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Sentencias </w:t>
      </w:r>
      <w:hyperlink w:anchor="SENTENCIA_2016_107" w:history="1">
        <w:r w:rsidRPr="0057104C">
          <w:rPr>
            <w:rStyle w:val="TextoNormalCaracter"/>
          </w:rPr>
          <w:t>107/2016</w:t>
        </w:r>
      </w:hyperlink>
      <w:r>
        <w:t xml:space="preserve">, f. 4; </w:t>
      </w:r>
      <w:hyperlink w:anchor="SENTENCIA_2016_108" w:history="1">
        <w:r w:rsidRPr="0057104C">
          <w:rPr>
            <w:rStyle w:val="TextoNormalCaracter"/>
          </w:rPr>
          <w:t>108/2016</w:t>
        </w:r>
      </w:hyperlink>
      <w:r>
        <w:t>, f. 4.</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Sentencias </w:t>
      </w:r>
      <w:hyperlink w:anchor="SENTENCIA_2016_82" w:history="1">
        <w:r w:rsidRPr="0057104C">
          <w:rPr>
            <w:rStyle w:val="TextoNormalCaracter"/>
          </w:rPr>
          <w:t>82/2016</w:t>
        </w:r>
      </w:hyperlink>
      <w:r>
        <w:t xml:space="preserve">, VP; </w:t>
      </w:r>
      <w:hyperlink w:anchor="SENTENCIA_2016_110" w:history="1">
        <w:r w:rsidRPr="0057104C">
          <w:rPr>
            <w:rStyle w:val="TextoNormalCaracter"/>
          </w:rPr>
          <w:t>110/2016</w:t>
        </w:r>
      </w:hyperlink>
      <w:r>
        <w:t>, f. 4, VP.</w:t>
      </w:r>
    </w:p>
    <w:p w:rsidR="0057104C" w:rsidRDefault="0057104C" w:rsidP="0057104C">
      <w:pPr>
        <w:pStyle w:val="SangriaFrancesaArticulo"/>
      </w:pPr>
      <w:r w:rsidRPr="0057104C">
        <w:rPr>
          <w:rStyle w:val="TextoNormalNegritaCaracter"/>
        </w:rPr>
        <w:t>Artículo 9.5.</w:t>
      </w:r>
      <w:r w:rsidRPr="0057104C">
        <w:rPr>
          <w:rStyle w:val="TextoNormalCaracter"/>
        </w:rPr>
        <w:t>-</w:t>
      </w:r>
      <w:r>
        <w:t xml:space="preserve"> Auto </w:t>
      </w:r>
      <w:hyperlink w:anchor="AUTO_2016_128" w:history="1">
        <w:r w:rsidRPr="0057104C">
          <w:rPr>
            <w:rStyle w:val="TextoNormalCaracter"/>
          </w:rPr>
          <w:t>128/2016</w:t>
        </w:r>
      </w:hyperlink>
      <w:r>
        <w:t>, f. 4.</w:t>
      </w:r>
    </w:p>
    <w:p w:rsidR="0057104C" w:rsidRDefault="0057104C" w:rsidP="0057104C">
      <w:pPr>
        <w:pStyle w:val="SangriaFrancesaArticulo"/>
      </w:pPr>
      <w:r w:rsidRPr="0057104C">
        <w:rPr>
          <w:rStyle w:val="TextoNormalNegritaCaracter"/>
        </w:rPr>
        <w:t>Artículo 9.6.</w:t>
      </w:r>
      <w:r w:rsidRPr="0057104C">
        <w:rPr>
          <w:rStyle w:val="TextoNormalCaracter"/>
        </w:rPr>
        <w:t>-</w:t>
      </w:r>
      <w:r>
        <w:t xml:space="preserve"> Auto </w:t>
      </w:r>
      <w:hyperlink w:anchor="AUTO_2016_128" w:history="1">
        <w:r w:rsidRPr="0057104C">
          <w:rPr>
            <w:rStyle w:val="TextoNormalCaracter"/>
          </w:rPr>
          <w:t>128/2016</w:t>
        </w:r>
      </w:hyperlink>
      <w:r>
        <w:t>, f. 4.</w:t>
      </w:r>
    </w:p>
    <w:p w:rsidR="0057104C" w:rsidRDefault="0057104C" w:rsidP="0057104C">
      <w:pPr>
        <w:pStyle w:val="SangriaFrancesaArticulo"/>
      </w:pPr>
      <w:r w:rsidRPr="0057104C">
        <w:rPr>
          <w:rStyle w:val="TextoNormalNegritaCaracter"/>
        </w:rPr>
        <w:t>Artículo 55.1.</w:t>
      </w:r>
      <w:r w:rsidRPr="0057104C">
        <w:rPr>
          <w:rStyle w:val="TextoNormalCaracter"/>
        </w:rPr>
        <w:t>-</w:t>
      </w:r>
      <w:r>
        <w:t xml:space="preserve"> Sentencia </w:t>
      </w:r>
      <w:hyperlink w:anchor="SENTENCIA_2016_109" w:history="1">
        <w:r w:rsidRPr="0057104C">
          <w:rPr>
            <w:rStyle w:val="TextoNormalCaracter"/>
          </w:rPr>
          <w:t>109/2016</w:t>
        </w:r>
      </w:hyperlink>
      <w:r>
        <w:t>, f. 5.</w:t>
      </w:r>
    </w:p>
    <w:p w:rsidR="0057104C" w:rsidRDefault="0057104C" w:rsidP="0057104C">
      <w:pPr>
        <w:pStyle w:val="SangriaFrancesaArticulo"/>
      </w:pPr>
      <w:r w:rsidRPr="0057104C">
        <w:rPr>
          <w:rStyle w:val="TextoNormalNegritaCaracter"/>
        </w:rPr>
        <w:t>Artículo 111.</w:t>
      </w:r>
      <w:r w:rsidRPr="0057104C">
        <w:rPr>
          <w:rStyle w:val="TextoNormalCaracter"/>
        </w:rPr>
        <w:t>-</w:t>
      </w:r>
      <w:r>
        <w:t xml:space="preserve"> Sentencia </w:t>
      </w:r>
      <w:hyperlink w:anchor="SENTENCIA_2016_7" w:history="1">
        <w:r w:rsidRPr="0057104C">
          <w:rPr>
            <w:rStyle w:val="TextoNormalCaracter"/>
          </w:rPr>
          <w:t>7/2016</w:t>
        </w:r>
      </w:hyperlink>
      <w:r>
        <w:t>, f. 4.</w:t>
      </w:r>
    </w:p>
    <w:p w:rsidR="0057104C" w:rsidRDefault="0057104C" w:rsidP="0057104C">
      <w:pPr>
        <w:pStyle w:val="SangriaFrancesaArticulo"/>
      </w:pPr>
      <w:r w:rsidRPr="0057104C">
        <w:rPr>
          <w:rStyle w:val="TextoNormalNegritaCaracter"/>
        </w:rPr>
        <w:t>Artículo 121.</w:t>
      </w:r>
      <w:r w:rsidRPr="0057104C">
        <w:rPr>
          <w:rStyle w:val="TextoNormalCaracter"/>
        </w:rPr>
        <w:t>-</w:t>
      </w:r>
      <w:r>
        <w:t xml:space="preserve"> Sentencia </w:t>
      </w:r>
      <w:hyperlink w:anchor="SENTENCIA_2016_18" w:history="1">
        <w:r w:rsidRPr="0057104C">
          <w:rPr>
            <w:rStyle w:val="TextoNormalCaracter"/>
          </w:rPr>
          <w:t>18/2016</w:t>
        </w:r>
      </w:hyperlink>
      <w:r>
        <w:t>, f. 1.</w:t>
      </w:r>
    </w:p>
    <w:p w:rsidR="0057104C" w:rsidRDefault="0057104C" w:rsidP="0057104C">
      <w:pPr>
        <w:pStyle w:val="SangriaFrancesaArticulo"/>
      </w:pPr>
      <w:r w:rsidRPr="0057104C">
        <w:rPr>
          <w:rStyle w:val="TextoNormalNegritaCaracter"/>
        </w:rPr>
        <w:t>Artículo 121.1.</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121.1 c).</w:t>
      </w:r>
      <w:r w:rsidRPr="0057104C">
        <w:rPr>
          <w:rStyle w:val="TextoNormalCaracter"/>
        </w:rPr>
        <w:t>-</w:t>
      </w:r>
      <w:r>
        <w:t xml:space="preserve"> Sentencia </w:t>
      </w:r>
      <w:hyperlink w:anchor="SENTENCIA_2016_18" w:history="1">
        <w:r w:rsidRPr="0057104C">
          <w:rPr>
            <w:rStyle w:val="TextoNormalCaracter"/>
          </w:rPr>
          <w:t>18/2016</w:t>
        </w:r>
      </w:hyperlink>
      <w:r>
        <w:t>, f. 9.</w:t>
      </w:r>
    </w:p>
    <w:p w:rsidR="0057104C" w:rsidRDefault="0057104C" w:rsidP="0057104C">
      <w:pPr>
        <w:pStyle w:val="SangriaFrancesaArticulo"/>
      </w:pPr>
      <w:r w:rsidRPr="0057104C">
        <w:rPr>
          <w:rStyle w:val="TextoNormalNegritaCaracter"/>
        </w:rPr>
        <w:t>Artículo 123.</w:t>
      </w:r>
      <w:r w:rsidRPr="0057104C">
        <w:rPr>
          <w:rStyle w:val="TextoNormalCaracter"/>
        </w:rPr>
        <w:t>-</w:t>
      </w:r>
      <w:r>
        <w:t xml:space="preserve"> Sentencia </w:t>
      </w:r>
      <w:hyperlink w:anchor="SENTENCIA_2016_62" w:history="1">
        <w:r w:rsidRPr="0057104C">
          <w:rPr>
            <w:rStyle w:val="TextoNormalCaracter"/>
          </w:rPr>
          <w:t>62/2016</w:t>
        </w:r>
      </w:hyperlink>
      <w:r>
        <w:t>, ff. 4, 5, VPII.</w:t>
      </w:r>
    </w:p>
    <w:p w:rsidR="0057104C" w:rsidRDefault="0057104C" w:rsidP="0057104C">
      <w:pPr>
        <w:pStyle w:val="SangriaFrancesaArticulo"/>
      </w:pPr>
      <w:r w:rsidRPr="0057104C">
        <w:rPr>
          <w:rStyle w:val="TextoNormalNegritaCaracter"/>
        </w:rPr>
        <w:t>Artículo 123 a).</w:t>
      </w:r>
      <w:r w:rsidRPr="0057104C">
        <w:rPr>
          <w:rStyle w:val="TextoNormalCaracter"/>
        </w:rPr>
        <w:t>-</w:t>
      </w:r>
      <w:r>
        <w:t xml:space="preserve"> Sentencia </w:t>
      </w:r>
      <w:hyperlink w:anchor="SENTENCIA_2016_18" w:history="1">
        <w:r w:rsidRPr="0057104C">
          <w:rPr>
            <w:rStyle w:val="TextoNormalCaracter"/>
          </w:rPr>
          <w:t>18/2016</w:t>
        </w:r>
      </w:hyperlink>
      <w:r>
        <w:t>, f. 10.</w:t>
      </w:r>
    </w:p>
    <w:p w:rsidR="0057104C" w:rsidRDefault="0057104C" w:rsidP="0057104C">
      <w:pPr>
        <w:pStyle w:val="SangriaFrancesaArticulo"/>
      </w:pPr>
      <w:r w:rsidRPr="0057104C">
        <w:rPr>
          <w:rStyle w:val="TextoNormalNegritaCaracter"/>
        </w:rPr>
        <w:t>Artículo 127.</w:t>
      </w:r>
      <w:r w:rsidRPr="0057104C">
        <w:rPr>
          <w:rStyle w:val="TextoNormalCaracter"/>
        </w:rPr>
        <w:t>-</w:t>
      </w:r>
      <w:r>
        <w:t xml:space="preserve"> Auto </w:t>
      </w:r>
      <w:hyperlink w:anchor="AUTO_2016_128" w:history="1">
        <w:r w:rsidRPr="0057104C">
          <w:rPr>
            <w:rStyle w:val="TextoNormalCaracter"/>
          </w:rPr>
          <w:t>128/2016</w:t>
        </w:r>
      </w:hyperlink>
      <w:r>
        <w:t>, f. 4.</w:t>
      </w:r>
    </w:p>
    <w:p w:rsidR="0057104C" w:rsidRDefault="0057104C" w:rsidP="0057104C">
      <w:pPr>
        <w:pStyle w:val="SangriaFrancesaArticulo"/>
      </w:pPr>
      <w:r w:rsidRPr="0057104C">
        <w:rPr>
          <w:rStyle w:val="TextoNormalNegritaCaracter"/>
        </w:rPr>
        <w:t>Artículo 131.</w:t>
      </w:r>
      <w:r w:rsidRPr="0057104C">
        <w:rPr>
          <w:rStyle w:val="TextoNormalCaracter"/>
        </w:rPr>
        <w:t>-</w:t>
      </w:r>
      <w:r>
        <w:t xml:space="preserve"> Sentencia </w:t>
      </w:r>
      <w:hyperlink w:anchor="SENTENCIA_2016_84" w:history="1">
        <w:r w:rsidRPr="0057104C">
          <w:rPr>
            <w:rStyle w:val="TextoNormalCaracter"/>
          </w:rPr>
          <w:t>84/2016</w:t>
        </w:r>
      </w:hyperlink>
      <w:r>
        <w:t>, f. 1.</w:t>
      </w:r>
    </w:p>
    <w:p w:rsidR="0057104C" w:rsidRDefault="0057104C" w:rsidP="0057104C">
      <w:pPr>
        <w:pStyle w:val="SangriaFrancesaArticulo"/>
      </w:pPr>
      <w:r w:rsidRPr="0057104C">
        <w:rPr>
          <w:rStyle w:val="TextoNormalNegritaCaracter"/>
        </w:rPr>
        <w:t>Artículo 131.3 d).</w:t>
      </w:r>
      <w:r w:rsidRPr="0057104C">
        <w:rPr>
          <w:rStyle w:val="TextoNormalCaracter"/>
        </w:rPr>
        <w:t>-</w:t>
      </w:r>
      <w:r>
        <w:t xml:space="preserve"> Sentencia </w:t>
      </w:r>
      <w:hyperlink w:anchor="SENTENCIA_2016_95" w:history="1">
        <w:r w:rsidRPr="0057104C">
          <w:rPr>
            <w:rStyle w:val="TextoNormalCaracter"/>
          </w:rPr>
          <w:t>95/2016</w:t>
        </w:r>
      </w:hyperlink>
      <w:r>
        <w:t>, ff. 1, 3.</w:t>
      </w:r>
    </w:p>
    <w:p w:rsidR="0057104C" w:rsidRDefault="0057104C" w:rsidP="0057104C">
      <w:pPr>
        <w:pStyle w:val="SangriaFrancesaArticulo"/>
      </w:pPr>
      <w:r w:rsidRPr="0057104C">
        <w:rPr>
          <w:rStyle w:val="TextoNormalNegritaCaracter"/>
        </w:rPr>
        <w:t>Artículo 132.1.</w:t>
      </w:r>
      <w:r w:rsidRPr="0057104C">
        <w:rPr>
          <w:rStyle w:val="TextoNormalCaracter"/>
        </w:rPr>
        <w:t>-</w:t>
      </w:r>
      <w:r>
        <w:t xml:space="preserve"> Sentencia </w:t>
      </w:r>
      <w:hyperlink w:anchor="SENTENCIA_2016_87" w:history="1">
        <w:r w:rsidRPr="0057104C">
          <w:rPr>
            <w:rStyle w:val="TextoNormalCaracter"/>
          </w:rPr>
          <w:t>87/2016</w:t>
        </w:r>
      </w:hyperlink>
      <w:r>
        <w:t>, f. 5.</w:t>
      </w:r>
    </w:p>
    <w:p w:rsidR="0057104C" w:rsidRDefault="0057104C" w:rsidP="0057104C">
      <w:pPr>
        <w:pStyle w:val="SangriaFrancesaArticulo"/>
      </w:pPr>
      <w:r w:rsidRPr="0057104C">
        <w:rPr>
          <w:rStyle w:val="TextoNormalNegritaCaracter"/>
        </w:rPr>
        <w:t>Artículo 133.</w:t>
      </w:r>
      <w:r w:rsidRPr="0057104C">
        <w:rPr>
          <w:rStyle w:val="TextoNormalCaracter"/>
        </w:rPr>
        <w:t>-</w:t>
      </w:r>
      <w:r>
        <w:t xml:space="preserve"> Sentencias </w:t>
      </w:r>
      <w:hyperlink w:anchor="SENTENCIA_2016_32" w:history="1">
        <w:r w:rsidRPr="0057104C">
          <w:rPr>
            <w:rStyle w:val="TextoNormalCaracter"/>
          </w:rPr>
          <w:t>32/2016</w:t>
        </w:r>
      </w:hyperlink>
      <w:r>
        <w:t xml:space="preserve">, ff. 1, 5; </w:t>
      </w:r>
      <w:hyperlink w:anchor="SENTENCIA_2016_60" w:history="1">
        <w:r w:rsidRPr="0057104C">
          <w:rPr>
            <w:rStyle w:val="TextoNormalCaracter"/>
          </w:rPr>
          <w:t>60/2016</w:t>
        </w:r>
      </w:hyperlink>
      <w:r>
        <w:t xml:space="preserve">, f. 1; </w:t>
      </w:r>
      <w:hyperlink w:anchor="SENTENCIA_2016_62" w:history="1">
        <w:r w:rsidRPr="0057104C">
          <w:rPr>
            <w:rStyle w:val="TextoNormalCaracter"/>
          </w:rPr>
          <w:t>62/2016</w:t>
        </w:r>
      </w:hyperlink>
      <w:r>
        <w:t xml:space="preserve">, f. 4; </w:t>
      </w:r>
      <w:hyperlink w:anchor="SENTENCIA_2016_120" w:history="1">
        <w:r w:rsidRPr="0057104C">
          <w:rPr>
            <w:rStyle w:val="TextoNormalCaracter"/>
          </w:rPr>
          <w:t>120/2016</w:t>
        </w:r>
      </w:hyperlink>
      <w:r>
        <w:t>, ff. 1, 10.</w:t>
      </w:r>
    </w:p>
    <w:p w:rsidR="0057104C" w:rsidRDefault="0057104C" w:rsidP="0057104C">
      <w:pPr>
        <w:pStyle w:val="SangriaFrancesaArticulo"/>
      </w:pPr>
      <w:r w:rsidRPr="0057104C">
        <w:rPr>
          <w:rStyle w:val="TextoNormalNegritaCaracter"/>
        </w:rPr>
        <w:t>Artículo 133.1.</w:t>
      </w:r>
      <w:r w:rsidRPr="0057104C">
        <w:rPr>
          <w:rStyle w:val="TextoNormalCaracter"/>
        </w:rPr>
        <w:t>-</w:t>
      </w:r>
      <w:r>
        <w:t xml:space="preserve"> Sentencias </w:t>
      </w:r>
      <w:hyperlink w:anchor="SENTENCIA_2016_32" w:history="1">
        <w:r w:rsidRPr="0057104C">
          <w:rPr>
            <w:rStyle w:val="TextoNormalCaracter"/>
          </w:rPr>
          <w:t>32/2016</w:t>
        </w:r>
      </w:hyperlink>
      <w:r>
        <w:t xml:space="preserve">, ff. 3, 10; </w:t>
      </w:r>
      <w:hyperlink w:anchor="SENTENCIA_2016_62" w:history="1">
        <w:r w:rsidRPr="0057104C">
          <w:rPr>
            <w:rStyle w:val="TextoNormalCaracter"/>
          </w:rPr>
          <w:t>62/2016</w:t>
        </w:r>
      </w:hyperlink>
      <w:r>
        <w:t xml:space="preserve">, ff. 6, 11; </w:t>
      </w:r>
      <w:hyperlink w:anchor="SENTENCIA_2016_120" w:history="1">
        <w:r w:rsidRPr="0057104C">
          <w:rPr>
            <w:rStyle w:val="TextoNormalCaracter"/>
          </w:rPr>
          <w:t>120/2016</w:t>
        </w:r>
      </w:hyperlink>
      <w:r>
        <w:t>, f. 3.</w:t>
      </w:r>
    </w:p>
    <w:p w:rsidR="0057104C" w:rsidRDefault="0057104C" w:rsidP="0057104C">
      <w:pPr>
        <w:pStyle w:val="SangriaFrancesaArticulo"/>
      </w:pPr>
      <w:r w:rsidRPr="0057104C">
        <w:rPr>
          <w:rStyle w:val="TextoNormalNegritaCaracter"/>
        </w:rPr>
        <w:t>Artículo 133.1 a).</w:t>
      </w:r>
      <w:r w:rsidRPr="0057104C">
        <w:rPr>
          <w:rStyle w:val="TextoNormalCaracter"/>
        </w:rPr>
        <w:t>-</w:t>
      </w:r>
      <w:r>
        <w:t xml:space="preserve"> Sentencias </w:t>
      </w:r>
      <w:hyperlink w:anchor="SENTENCIA_2016_60" w:history="1">
        <w:r w:rsidRPr="0057104C">
          <w:rPr>
            <w:rStyle w:val="TextoNormalCaracter"/>
          </w:rPr>
          <w:t>60/2016</w:t>
        </w:r>
      </w:hyperlink>
      <w:r>
        <w:t xml:space="preserve">, f. 3; </w:t>
      </w:r>
      <w:hyperlink w:anchor="SENTENCIA_2016_72" w:history="1">
        <w:r w:rsidRPr="0057104C">
          <w:rPr>
            <w:rStyle w:val="TextoNormalCaracter"/>
          </w:rPr>
          <w:t>72/2016</w:t>
        </w:r>
      </w:hyperlink>
      <w:r>
        <w:t>, f. 3.</w:t>
      </w:r>
    </w:p>
    <w:p w:rsidR="0057104C" w:rsidRDefault="0057104C" w:rsidP="0057104C">
      <w:pPr>
        <w:pStyle w:val="SangriaFrancesaArticulo"/>
      </w:pPr>
      <w:r w:rsidRPr="0057104C">
        <w:rPr>
          <w:rStyle w:val="TextoNormalNegritaCaracter"/>
        </w:rPr>
        <w:t>Artículo 133.1 b).</w:t>
      </w:r>
      <w:r w:rsidRPr="0057104C">
        <w:rPr>
          <w:rStyle w:val="TextoNormalCaracter"/>
        </w:rPr>
        <w:t>-</w:t>
      </w:r>
      <w:r>
        <w:t xml:space="preserve"> Sentencias </w:t>
      </w:r>
      <w:hyperlink w:anchor="SENTENCIA_2016_60" w:history="1">
        <w:r w:rsidRPr="0057104C">
          <w:rPr>
            <w:rStyle w:val="TextoNormalCaracter"/>
          </w:rPr>
          <w:t>60/2016</w:t>
        </w:r>
      </w:hyperlink>
      <w:r>
        <w:t xml:space="preserve">, f. 3; </w:t>
      </w:r>
      <w:hyperlink w:anchor="SENTENCIA_2016_72" w:history="1">
        <w:r w:rsidRPr="0057104C">
          <w:rPr>
            <w:rStyle w:val="TextoNormalCaracter"/>
          </w:rPr>
          <w:t>72/2016</w:t>
        </w:r>
      </w:hyperlink>
      <w:r>
        <w:t>, f. 3.</w:t>
      </w:r>
    </w:p>
    <w:p w:rsidR="0057104C" w:rsidRDefault="0057104C" w:rsidP="0057104C">
      <w:pPr>
        <w:pStyle w:val="SangriaFrancesaArticulo"/>
      </w:pPr>
      <w:r w:rsidRPr="0057104C">
        <w:rPr>
          <w:rStyle w:val="TextoNormalNegritaCaracter"/>
        </w:rPr>
        <w:t>Artículo 133.1 c).</w:t>
      </w:r>
      <w:r w:rsidRPr="0057104C">
        <w:rPr>
          <w:rStyle w:val="TextoNormalCaracter"/>
        </w:rPr>
        <w:t>-</w:t>
      </w:r>
      <w:r>
        <w:t xml:space="preserve"> Sentencias </w:t>
      </w:r>
      <w:hyperlink w:anchor="SENTENCIA_2016_32" w:history="1">
        <w:r w:rsidRPr="0057104C">
          <w:rPr>
            <w:rStyle w:val="TextoNormalCaracter"/>
          </w:rPr>
          <w:t>32/2016</w:t>
        </w:r>
      </w:hyperlink>
      <w:r>
        <w:t xml:space="preserve">, f. 12; </w:t>
      </w:r>
      <w:hyperlink w:anchor="SENTENCIA_2016_62" w:history="1">
        <w:r w:rsidRPr="0057104C">
          <w:rPr>
            <w:rStyle w:val="TextoNormalCaracter"/>
          </w:rPr>
          <w:t>62/2016</w:t>
        </w:r>
      </w:hyperlink>
      <w:r>
        <w:t>, VPII.</w:t>
      </w:r>
    </w:p>
    <w:p w:rsidR="0057104C" w:rsidRDefault="0057104C" w:rsidP="0057104C">
      <w:pPr>
        <w:pStyle w:val="SangriaFrancesaArticulo"/>
      </w:pPr>
      <w:r w:rsidRPr="0057104C">
        <w:rPr>
          <w:rStyle w:val="TextoNormalNegritaCaracter"/>
        </w:rPr>
        <w:t>Artículo 136.</w:t>
      </w:r>
      <w:r w:rsidRPr="0057104C">
        <w:rPr>
          <w:rStyle w:val="TextoNormalCaracter"/>
        </w:rPr>
        <w:t>-</w:t>
      </w:r>
      <w:r>
        <w:t xml:space="preserve"> Sentencias </w:t>
      </w:r>
      <w:hyperlink w:anchor="SENTENCIA_2016_18" w:history="1">
        <w:r w:rsidRPr="0057104C">
          <w:rPr>
            <w:rStyle w:val="TextoNormalCaracter"/>
          </w:rPr>
          <w:t>18/2016</w:t>
        </w:r>
      </w:hyperlink>
      <w:r>
        <w:t xml:space="preserve">, f. 1; </w:t>
      </w:r>
      <w:hyperlink w:anchor="SENTENCIA_2016_99" w:history="1">
        <w:r w:rsidRPr="0057104C">
          <w:rPr>
            <w:rStyle w:val="TextoNormalCaracter"/>
          </w:rPr>
          <w:t>99/2016</w:t>
        </w:r>
      </w:hyperlink>
      <w:r>
        <w:t>, f. 7.</w:t>
      </w:r>
    </w:p>
    <w:p w:rsidR="0057104C" w:rsidRDefault="0057104C" w:rsidP="0057104C">
      <w:pPr>
        <w:pStyle w:val="SangriaFrancesaArticulo"/>
      </w:pPr>
      <w:r w:rsidRPr="0057104C">
        <w:rPr>
          <w:rStyle w:val="TextoNormalNegritaCaracter"/>
        </w:rPr>
        <w:t>Artículo 136 a).</w:t>
      </w:r>
      <w:r w:rsidRPr="0057104C">
        <w:rPr>
          <w:rStyle w:val="TextoNormalCaracter"/>
        </w:rPr>
        <w:t>-</w:t>
      </w:r>
      <w:r>
        <w:t xml:space="preserve"> Sentencia </w:t>
      </w:r>
      <w:hyperlink w:anchor="SENTENCIA_2016_99" w:history="1">
        <w:r w:rsidRPr="0057104C">
          <w:rPr>
            <w:rStyle w:val="TextoNormalCaracter"/>
          </w:rPr>
          <w:t>99/2016</w:t>
        </w:r>
      </w:hyperlink>
      <w:r>
        <w:t>, f. 7.</w:t>
      </w:r>
    </w:p>
    <w:p w:rsidR="0057104C" w:rsidRDefault="0057104C" w:rsidP="0057104C">
      <w:pPr>
        <w:pStyle w:val="SangriaFrancesaArticulo"/>
      </w:pPr>
      <w:r w:rsidRPr="0057104C">
        <w:rPr>
          <w:rStyle w:val="TextoNormalNegritaCaracter"/>
        </w:rPr>
        <w:t>Artículo 136 b).</w:t>
      </w:r>
      <w:r w:rsidRPr="0057104C">
        <w:rPr>
          <w:rStyle w:val="TextoNormalCaracter"/>
        </w:rPr>
        <w:t>-</w:t>
      </w:r>
      <w:r>
        <w:t xml:space="preserve"> Sentencia </w:t>
      </w:r>
      <w:hyperlink w:anchor="SENTENCIA_2016_99" w:history="1">
        <w:r w:rsidRPr="0057104C">
          <w:rPr>
            <w:rStyle w:val="TextoNormalCaracter"/>
          </w:rPr>
          <w:t>99/2016</w:t>
        </w:r>
      </w:hyperlink>
      <w:r>
        <w:t>, f. 7.</w:t>
      </w:r>
    </w:p>
    <w:p w:rsidR="0057104C" w:rsidRDefault="0057104C" w:rsidP="0057104C">
      <w:pPr>
        <w:pStyle w:val="SangriaFrancesaArticulo"/>
      </w:pPr>
      <w:r w:rsidRPr="0057104C">
        <w:rPr>
          <w:rStyle w:val="TextoNormalNegritaCaracter"/>
        </w:rPr>
        <w:t>Artículo 137.2.</w:t>
      </w:r>
      <w:r w:rsidRPr="0057104C">
        <w:rPr>
          <w:rStyle w:val="TextoNormalCaracter"/>
        </w:rPr>
        <w:t>-</w:t>
      </w:r>
      <w:r>
        <w:t xml:space="preserve"> Sentencia </w:t>
      </w:r>
      <w:hyperlink w:anchor="SENTENCIA_2016_20" w:history="1">
        <w:r w:rsidRPr="0057104C">
          <w:rPr>
            <w:rStyle w:val="TextoNormalCaracter"/>
          </w:rPr>
          <w:t>20/2016</w:t>
        </w:r>
      </w:hyperlink>
      <w:r>
        <w:t>, ff. 1, 2, 6.</w:t>
      </w:r>
    </w:p>
    <w:p w:rsidR="0057104C" w:rsidRDefault="0057104C" w:rsidP="0057104C">
      <w:pPr>
        <w:pStyle w:val="SangriaFrancesaArticulo"/>
      </w:pPr>
      <w:r w:rsidRPr="0057104C">
        <w:rPr>
          <w:rStyle w:val="TextoNormalNegritaCaracter"/>
        </w:rPr>
        <w:t>Artículo 140.1.</w:t>
      </w:r>
      <w:r w:rsidRPr="0057104C">
        <w:rPr>
          <w:rStyle w:val="TextoNormalCaracter"/>
        </w:rPr>
        <w:t>-</w:t>
      </w:r>
      <w:r>
        <w:t xml:space="preserve"> Sentencia </w:t>
      </w:r>
      <w:hyperlink w:anchor="SENTENCIA_2016_28" w:history="1">
        <w:r w:rsidRPr="0057104C">
          <w:rPr>
            <w:rStyle w:val="TextoNormalCaracter"/>
          </w:rPr>
          <w:t>28/2016</w:t>
        </w:r>
      </w:hyperlink>
      <w:r>
        <w:t>, f. 1.</w:t>
      </w:r>
    </w:p>
    <w:p w:rsidR="0057104C" w:rsidRDefault="0057104C" w:rsidP="0057104C">
      <w:pPr>
        <w:pStyle w:val="SangriaFrancesaArticulo"/>
      </w:pPr>
      <w:r w:rsidRPr="0057104C">
        <w:rPr>
          <w:rStyle w:val="TextoNormalNegritaCaracter"/>
        </w:rPr>
        <w:t>Artículo 140.1 d).</w:t>
      </w:r>
      <w:r w:rsidRPr="0057104C">
        <w:rPr>
          <w:rStyle w:val="TextoNormalCaracter"/>
        </w:rPr>
        <w:t>-</w:t>
      </w:r>
      <w:r>
        <w:t xml:space="preserve"> Sentencia </w:t>
      </w:r>
      <w:hyperlink w:anchor="SENTENCIA_2016_28" w:history="1">
        <w:r w:rsidRPr="0057104C">
          <w:rPr>
            <w:rStyle w:val="TextoNormalCaracter"/>
          </w:rPr>
          <w:t>28/2016</w:t>
        </w:r>
      </w:hyperlink>
      <w:r>
        <w:t>, f. 4.</w:t>
      </w:r>
    </w:p>
    <w:p w:rsidR="0057104C" w:rsidRDefault="0057104C" w:rsidP="0057104C">
      <w:pPr>
        <w:pStyle w:val="SangriaFrancesaArticulo"/>
      </w:pPr>
      <w:r w:rsidRPr="0057104C">
        <w:rPr>
          <w:rStyle w:val="TextoNormalNegritaCaracter"/>
        </w:rPr>
        <w:t>Artículo 140.7.</w:t>
      </w:r>
      <w:r w:rsidRPr="0057104C">
        <w:rPr>
          <w:rStyle w:val="TextoNormalCaracter"/>
        </w:rPr>
        <w:t>-</w:t>
      </w:r>
      <w:r>
        <w:t xml:space="preserve"> Sentencia </w:t>
      </w:r>
      <w:hyperlink w:anchor="SENTENCIA_2016_20" w:history="1">
        <w:r w:rsidRPr="0057104C">
          <w:rPr>
            <w:rStyle w:val="TextoNormalCaracter"/>
          </w:rPr>
          <w:t>20/2016</w:t>
        </w:r>
      </w:hyperlink>
      <w:r>
        <w:t>, ff. 1, 2, 6.</w:t>
      </w:r>
    </w:p>
    <w:p w:rsidR="0057104C" w:rsidRDefault="0057104C" w:rsidP="0057104C">
      <w:pPr>
        <w:pStyle w:val="SangriaFrancesaArticulo"/>
      </w:pPr>
      <w:r w:rsidRPr="0057104C">
        <w:rPr>
          <w:rStyle w:val="TextoNormalNegritaCaracter"/>
        </w:rPr>
        <w:t>Artículo 144.</w:t>
      </w:r>
      <w:r w:rsidRPr="0057104C">
        <w:rPr>
          <w:rStyle w:val="TextoNormalCaracter"/>
        </w:rPr>
        <w:t>-</w:t>
      </w:r>
      <w:r>
        <w:t xml:space="preserve"> Sentencia </w:t>
      </w:r>
      <w:hyperlink w:anchor="SENTENCIA_2016_20" w:history="1">
        <w:r w:rsidRPr="0057104C">
          <w:rPr>
            <w:rStyle w:val="TextoNormalCaracter"/>
          </w:rPr>
          <w:t>20/2016</w:t>
        </w:r>
      </w:hyperlink>
      <w:r>
        <w:t>, ff. 1, 7.</w:t>
      </w:r>
    </w:p>
    <w:p w:rsidR="0057104C" w:rsidRDefault="0057104C" w:rsidP="0057104C">
      <w:pPr>
        <w:pStyle w:val="SangriaFrancesaArticulo"/>
      </w:pPr>
      <w:r w:rsidRPr="0057104C">
        <w:rPr>
          <w:rStyle w:val="TextoNormalNegritaCaracter"/>
        </w:rPr>
        <w:t>Artículo 144.1.</w:t>
      </w:r>
      <w:r w:rsidRPr="0057104C">
        <w:rPr>
          <w:rStyle w:val="TextoNormalCaracter"/>
        </w:rPr>
        <w:t>-</w:t>
      </w:r>
      <w:r>
        <w:t xml:space="preserve"> Sentencia </w:t>
      </w:r>
      <w:hyperlink w:anchor="SENTENCIA_2016_28" w:history="1">
        <w:r w:rsidRPr="0057104C">
          <w:rPr>
            <w:rStyle w:val="TextoNormalCaracter"/>
          </w:rPr>
          <w:t>28/2016</w:t>
        </w:r>
      </w:hyperlink>
      <w:r>
        <w:t>, ff. 1, 7.</w:t>
      </w:r>
    </w:p>
    <w:p w:rsidR="0057104C" w:rsidRDefault="0057104C" w:rsidP="0057104C">
      <w:pPr>
        <w:pStyle w:val="SangriaFrancesaArticulo"/>
      </w:pPr>
      <w:r w:rsidRPr="0057104C">
        <w:rPr>
          <w:rStyle w:val="TextoNormalNegritaCaracter"/>
        </w:rPr>
        <w:t>Artículo 144.1 h).</w:t>
      </w:r>
      <w:r w:rsidRPr="0057104C">
        <w:rPr>
          <w:rStyle w:val="TextoNormalCaracter"/>
        </w:rPr>
        <w:t>-</w:t>
      </w:r>
      <w:r>
        <w:t xml:space="preserve"> Sentencia </w:t>
      </w:r>
      <w:hyperlink w:anchor="SENTENCIA_2016_53" w:history="1">
        <w:r w:rsidRPr="0057104C">
          <w:rPr>
            <w:rStyle w:val="TextoNormalCaracter"/>
          </w:rPr>
          <w:t>53/2016</w:t>
        </w:r>
      </w:hyperlink>
      <w:r>
        <w:t>, VPII.</w:t>
      </w:r>
    </w:p>
    <w:p w:rsidR="0057104C" w:rsidRDefault="0057104C" w:rsidP="0057104C">
      <w:pPr>
        <w:pStyle w:val="SangriaFrancesaArticulo"/>
      </w:pPr>
      <w:r w:rsidRPr="0057104C">
        <w:rPr>
          <w:rStyle w:val="TextoNormalNegritaCaracter"/>
        </w:rPr>
        <w:t>Artículo 144.5.</w:t>
      </w:r>
      <w:r w:rsidRPr="0057104C">
        <w:rPr>
          <w:rStyle w:val="TextoNormalCaracter"/>
        </w:rPr>
        <w:t>-</w:t>
      </w:r>
      <w:r>
        <w:t xml:space="preserve"> Sentencia </w:t>
      </w:r>
      <w:hyperlink w:anchor="SENTENCIA_2016_53" w:history="1">
        <w:r w:rsidRPr="0057104C">
          <w:rPr>
            <w:rStyle w:val="TextoNormalCaracter"/>
          </w:rPr>
          <w:t>53/2016</w:t>
        </w:r>
      </w:hyperlink>
      <w:r>
        <w:t>, VPII.</w:t>
      </w:r>
    </w:p>
    <w:p w:rsidR="0057104C" w:rsidRDefault="0057104C" w:rsidP="0057104C">
      <w:pPr>
        <w:pStyle w:val="SangriaFrancesaArticulo"/>
      </w:pPr>
      <w:r w:rsidRPr="0057104C">
        <w:rPr>
          <w:rStyle w:val="TextoNormalNegritaCaracter"/>
        </w:rPr>
        <w:t>Artículo 146.</w:t>
      </w:r>
      <w:r w:rsidRPr="0057104C">
        <w:rPr>
          <w:rStyle w:val="TextoNormalCaracter"/>
        </w:rPr>
        <w:t>-</w:t>
      </w:r>
      <w:r>
        <w:t xml:space="preserve"> Sentencia </w:t>
      </w:r>
      <w:hyperlink w:anchor="SENTENCIA_2016_20" w:history="1">
        <w:r w:rsidRPr="0057104C">
          <w:rPr>
            <w:rStyle w:val="TextoNormalCaracter"/>
          </w:rPr>
          <w:t>20/2016</w:t>
        </w:r>
      </w:hyperlink>
      <w:r>
        <w:t>, ff. 1, 2, 10.</w:t>
      </w:r>
    </w:p>
    <w:p w:rsidR="0057104C" w:rsidRDefault="0057104C" w:rsidP="0057104C">
      <w:pPr>
        <w:pStyle w:val="SangriaFrancesaArticulo"/>
      </w:pPr>
      <w:r w:rsidRPr="0057104C">
        <w:rPr>
          <w:rStyle w:val="TextoNormalNegritaCaracter"/>
        </w:rPr>
        <w:t>Artículo 149.</w:t>
      </w:r>
      <w:r w:rsidRPr="0057104C">
        <w:rPr>
          <w:rStyle w:val="TextoNormalCaracter"/>
        </w:rPr>
        <w:t>-</w:t>
      </w:r>
      <w:r>
        <w:t xml:space="preserve"> Sentencias </w:t>
      </w:r>
      <w:hyperlink w:anchor="SENTENCIA_2016_20" w:history="1">
        <w:r w:rsidRPr="0057104C">
          <w:rPr>
            <w:rStyle w:val="TextoNormalCaracter"/>
          </w:rPr>
          <w:t>20/2016</w:t>
        </w:r>
      </w:hyperlink>
      <w:r>
        <w:t xml:space="preserve">, f. 6; </w:t>
      </w:r>
      <w:hyperlink w:anchor="SENTENCIA_2016_28" w:history="1">
        <w:r w:rsidRPr="0057104C">
          <w:rPr>
            <w:rStyle w:val="TextoNormalCaracter"/>
          </w:rPr>
          <w:t>28/2016</w:t>
        </w:r>
      </w:hyperlink>
      <w:r>
        <w:t>, f. 1.</w:t>
      </w:r>
    </w:p>
    <w:p w:rsidR="0057104C" w:rsidRDefault="0057104C" w:rsidP="0057104C">
      <w:pPr>
        <w:pStyle w:val="SangriaFrancesaArticulo"/>
      </w:pPr>
      <w:r w:rsidRPr="0057104C">
        <w:rPr>
          <w:rStyle w:val="TextoNormalNegritaCaracter"/>
        </w:rPr>
        <w:t>Artículo 149.1.</w:t>
      </w:r>
      <w:r w:rsidRPr="0057104C">
        <w:rPr>
          <w:rStyle w:val="TextoNormalCaracter"/>
        </w:rPr>
        <w:t>-</w:t>
      </w:r>
      <w:r>
        <w:t xml:space="preserve"> Sentencias </w:t>
      </w:r>
      <w:hyperlink w:anchor="SENTENCIA_2016_20" w:history="1">
        <w:r w:rsidRPr="0057104C">
          <w:rPr>
            <w:rStyle w:val="TextoNormalCaracter"/>
          </w:rPr>
          <w:t>20/2016</w:t>
        </w:r>
      </w:hyperlink>
      <w:r>
        <w:t xml:space="preserve">, ff. 1, 2, 5, 7, 9; </w:t>
      </w:r>
      <w:hyperlink w:anchor="SENTENCIA_2016_28" w:history="1">
        <w:r w:rsidRPr="0057104C">
          <w:rPr>
            <w:rStyle w:val="TextoNormalCaracter"/>
          </w:rPr>
          <w:t>28/2016</w:t>
        </w:r>
      </w:hyperlink>
      <w:r>
        <w:t>, f. 1.</w:t>
      </w:r>
    </w:p>
    <w:p w:rsidR="0057104C" w:rsidRDefault="0057104C" w:rsidP="0057104C">
      <w:pPr>
        <w:pStyle w:val="SangriaFrancesaArticulo"/>
      </w:pPr>
      <w:r w:rsidRPr="0057104C">
        <w:rPr>
          <w:rStyle w:val="TextoNormalNegritaCaracter"/>
        </w:rPr>
        <w:t>Artículo 149.3.</w:t>
      </w:r>
      <w:r w:rsidRPr="0057104C">
        <w:rPr>
          <w:rStyle w:val="TextoNormalCaracter"/>
        </w:rPr>
        <w:t>-</w:t>
      </w:r>
      <w:r>
        <w:t xml:space="preserve"> Sentencia </w:t>
      </w:r>
      <w:hyperlink w:anchor="SENTENCIA_2016_28" w:history="1">
        <w:r w:rsidRPr="0057104C">
          <w:rPr>
            <w:rStyle w:val="TextoNormalCaracter"/>
          </w:rPr>
          <w:t>28/2016</w:t>
        </w:r>
      </w:hyperlink>
      <w:r>
        <w:t>, ff. 1, 4.</w:t>
      </w:r>
    </w:p>
    <w:p w:rsidR="0057104C" w:rsidRDefault="0057104C" w:rsidP="0057104C">
      <w:pPr>
        <w:pStyle w:val="SangriaFrancesaArticulo"/>
      </w:pPr>
      <w:r w:rsidRPr="0057104C">
        <w:rPr>
          <w:rStyle w:val="TextoNormalNegritaCaracter"/>
        </w:rPr>
        <w:t>Artículo 149.5.</w:t>
      </w:r>
      <w:r w:rsidRPr="0057104C">
        <w:rPr>
          <w:rStyle w:val="TextoNormalCaracter"/>
        </w:rPr>
        <w:t>-</w:t>
      </w:r>
      <w:r>
        <w:t xml:space="preserve"> Sentencias </w:t>
      </w:r>
      <w:hyperlink w:anchor="SENTENCIA_2016_20" w:history="1">
        <w:r w:rsidRPr="0057104C">
          <w:rPr>
            <w:rStyle w:val="TextoNormalCaracter"/>
          </w:rPr>
          <w:t>20/2016</w:t>
        </w:r>
      </w:hyperlink>
      <w:r>
        <w:t xml:space="preserve">, ff. 1, 2, 5, 7, 9; </w:t>
      </w:r>
      <w:hyperlink w:anchor="SENTENCIA_2016_28" w:history="1">
        <w:r w:rsidRPr="0057104C">
          <w:rPr>
            <w:rStyle w:val="TextoNormalCaracter"/>
          </w:rPr>
          <w:t>28/2016</w:t>
        </w:r>
      </w:hyperlink>
      <w:r>
        <w:t>, ff. 1, 5.</w:t>
      </w:r>
    </w:p>
    <w:p w:rsidR="0057104C" w:rsidRDefault="0057104C" w:rsidP="0057104C">
      <w:pPr>
        <w:pStyle w:val="SangriaFrancesaArticulo"/>
      </w:pPr>
      <w:r w:rsidRPr="0057104C">
        <w:rPr>
          <w:rStyle w:val="TextoNormalNegritaCaracter"/>
        </w:rPr>
        <w:t>Artículo 150.</w:t>
      </w:r>
      <w:r w:rsidRPr="0057104C">
        <w:rPr>
          <w:rStyle w:val="TextoNormalCaracter"/>
        </w:rPr>
        <w:t>-</w:t>
      </w:r>
      <w:r>
        <w:t xml:space="preserve"> Sentencias </w:t>
      </w:r>
      <w:hyperlink w:anchor="SENTENCIA_2016_18" w:history="1">
        <w:r w:rsidRPr="0057104C">
          <w:rPr>
            <w:rStyle w:val="TextoNormalCaracter"/>
          </w:rPr>
          <w:t>18/2016</w:t>
        </w:r>
      </w:hyperlink>
      <w:r>
        <w:t xml:space="preserve">, f. 1; </w:t>
      </w:r>
      <w:hyperlink w:anchor="SENTENCIA_2016_88" w:history="1">
        <w:r w:rsidRPr="0057104C">
          <w:rPr>
            <w:rStyle w:val="TextoNormalCaracter"/>
          </w:rPr>
          <w:t>88/2016</w:t>
        </w:r>
      </w:hyperlink>
      <w:r>
        <w:t>, f. 4.</w:t>
      </w:r>
    </w:p>
    <w:p w:rsidR="0057104C" w:rsidRDefault="0057104C" w:rsidP="0057104C">
      <w:pPr>
        <w:pStyle w:val="SangriaFrancesaArticulo"/>
      </w:pPr>
      <w:r w:rsidRPr="0057104C">
        <w:rPr>
          <w:rStyle w:val="TextoNormalNegritaCaracter"/>
        </w:rPr>
        <w:t>Artículo 152.</w:t>
      </w:r>
      <w:r w:rsidRPr="0057104C">
        <w:rPr>
          <w:rStyle w:val="TextoNormalCaracter"/>
        </w:rPr>
        <w:t>-</w:t>
      </w:r>
      <w:r>
        <w:t xml:space="preserve"> Sentencia </w:t>
      </w:r>
      <w:hyperlink w:anchor="SENTENCIA_2016_18" w:history="1">
        <w:r w:rsidRPr="0057104C">
          <w:rPr>
            <w:rStyle w:val="TextoNormalCaracter"/>
          </w:rPr>
          <w:t>18/2016</w:t>
        </w:r>
      </w:hyperlink>
      <w:r>
        <w:t>, f. 1.</w:t>
      </w:r>
    </w:p>
    <w:p w:rsidR="0057104C" w:rsidRDefault="0057104C" w:rsidP="0057104C">
      <w:pPr>
        <w:pStyle w:val="SangriaFrancesaArticulo"/>
      </w:pPr>
      <w:r w:rsidRPr="0057104C">
        <w:rPr>
          <w:rStyle w:val="TextoNormalNegritaCaracter"/>
        </w:rPr>
        <w:t>Artículo 159.</w:t>
      </w:r>
      <w:r w:rsidRPr="0057104C">
        <w:rPr>
          <w:rStyle w:val="TextoNormalCaracter"/>
        </w:rPr>
        <w:t>-</w:t>
      </w:r>
      <w:r>
        <w:t xml:space="preserve"> Sentencia </w:t>
      </w:r>
      <w:hyperlink w:anchor="SENTENCIA_2016_20" w:history="1">
        <w:r w:rsidRPr="0057104C">
          <w:rPr>
            <w:rStyle w:val="TextoNormalCaracter"/>
          </w:rPr>
          <w:t>20/2016</w:t>
        </w:r>
      </w:hyperlink>
      <w:r>
        <w:t>, ff. 1, 7.</w:t>
      </w:r>
    </w:p>
    <w:p w:rsidR="0057104C" w:rsidRDefault="0057104C" w:rsidP="0057104C">
      <w:pPr>
        <w:pStyle w:val="SangriaFrancesaArticulo"/>
      </w:pPr>
      <w:r w:rsidRPr="0057104C">
        <w:rPr>
          <w:rStyle w:val="TextoNormalNegritaCaracter"/>
        </w:rPr>
        <w:t>Artículo 165.</w:t>
      </w:r>
      <w:r w:rsidRPr="0057104C">
        <w:rPr>
          <w:rStyle w:val="TextoNormalCaracter"/>
        </w:rPr>
        <w:t>-</w:t>
      </w:r>
      <w:r>
        <w:t xml:space="preserve"> Sentencia </w:t>
      </w:r>
      <w:hyperlink w:anchor="SENTENCIA_2016_7" w:history="1">
        <w:r w:rsidRPr="0057104C">
          <w:rPr>
            <w:rStyle w:val="TextoNormalCaracter"/>
          </w:rPr>
          <w:t>7/2016</w:t>
        </w:r>
      </w:hyperlink>
      <w:r>
        <w:t>, ff. 3, 4.</w:t>
      </w:r>
    </w:p>
    <w:p w:rsidR="0057104C" w:rsidRDefault="0057104C" w:rsidP="0057104C">
      <w:pPr>
        <w:pStyle w:val="SangriaFrancesaArticulo"/>
      </w:pPr>
      <w:r w:rsidRPr="0057104C">
        <w:rPr>
          <w:rStyle w:val="TextoNormalNegritaCaracter"/>
        </w:rPr>
        <w:t>Artículo 165.1 d).</w:t>
      </w:r>
      <w:r w:rsidRPr="0057104C">
        <w:rPr>
          <w:rStyle w:val="TextoNormalCaracter"/>
        </w:rPr>
        <w:t>-</w:t>
      </w:r>
      <w:r>
        <w:t xml:space="preserve"> Sentencia </w:t>
      </w:r>
      <w:hyperlink w:anchor="SENTENCIA_2016_7" w:history="1">
        <w:r w:rsidRPr="0057104C">
          <w:rPr>
            <w:rStyle w:val="TextoNormalCaracter"/>
          </w:rPr>
          <w:t>7/2016</w:t>
        </w:r>
      </w:hyperlink>
      <w:r>
        <w:t>, ff. 1, 4.</w:t>
      </w:r>
    </w:p>
    <w:p w:rsidR="0057104C" w:rsidRDefault="0057104C" w:rsidP="0057104C">
      <w:pPr>
        <w:pStyle w:val="SangriaFrancesaArticulo"/>
      </w:pPr>
      <w:r w:rsidRPr="0057104C">
        <w:rPr>
          <w:rStyle w:val="TextoNormalNegritaCaracter"/>
        </w:rPr>
        <w:t>Artículo 166.</w:t>
      </w:r>
      <w:r w:rsidRPr="0057104C">
        <w:rPr>
          <w:rStyle w:val="TextoNormalCaracter"/>
        </w:rPr>
        <w:t>-</w:t>
      </w:r>
      <w:r>
        <w:t xml:space="preserve"> Sentencias </w:t>
      </w:r>
      <w:hyperlink w:anchor="SENTENCIA_2016_18" w:history="1">
        <w:r w:rsidRPr="0057104C">
          <w:rPr>
            <w:rStyle w:val="TextoNormalCaracter"/>
          </w:rPr>
          <w:t>18/2016</w:t>
        </w:r>
      </w:hyperlink>
      <w:r>
        <w:t xml:space="preserve">, ff. 1, 7, 8; </w:t>
      </w:r>
      <w:hyperlink w:anchor="SENTENCIA_2016_62" w:history="1">
        <w:r w:rsidRPr="0057104C">
          <w:rPr>
            <w:rStyle w:val="TextoNormalCaracter"/>
          </w:rPr>
          <w:t>62/2016</w:t>
        </w:r>
      </w:hyperlink>
      <w:r>
        <w:t xml:space="preserve">, ff. 4, 5, VPII; </w:t>
      </w:r>
      <w:hyperlink w:anchor="SENTENCIA_2016_99" w:history="1">
        <w:r w:rsidRPr="0057104C">
          <w:rPr>
            <w:rStyle w:val="TextoNormalCaracter"/>
          </w:rPr>
          <w:t>99/2016</w:t>
        </w:r>
      </w:hyperlink>
      <w:r>
        <w:t>, ff. 5, 6.</w:t>
      </w:r>
    </w:p>
    <w:p w:rsidR="0057104C" w:rsidRDefault="0057104C" w:rsidP="0057104C">
      <w:pPr>
        <w:pStyle w:val="SangriaFrancesaArticulo"/>
      </w:pPr>
      <w:r w:rsidRPr="0057104C">
        <w:rPr>
          <w:rStyle w:val="TextoNormalNegritaCaracter"/>
        </w:rPr>
        <w:t>Artículo 166.1.</w:t>
      </w:r>
      <w:r w:rsidRPr="0057104C">
        <w:rPr>
          <w:rStyle w:val="TextoNormalCaracter"/>
        </w:rPr>
        <w:t>-</w:t>
      </w:r>
      <w:r>
        <w:t xml:space="preserve"> Sentencia </w:t>
      </w:r>
      <w:hyperlink w:anchor="SENTENCIA_2016_18" w:history="1">
        <w:r w:rsidRPr="0057104C">
          <w:rPr>
            <w:rStyle w:val="TextoNormalCaracter"/>
          </w:rPr>
          <w:t>18/2016</w:t>
        </w:r>
      </w:hyperlink>
      <w:r>
        <w:t>, f. 7.</w:t>
      </w:r>
    </w:p>
    <w:p w:rsidR="0057104C" w:rsidRDefault="0057104C" w:rsidP="0057104C">
      <w:pPr>
        <w:pStyle w:val="SangriaFrancesaArticulo"/>
      </w:pPr>
      <w:r w:rsidRPr="0057104C">
        <w:rPr>
          <w:rStyle w:val="TextoNormalNegritaCaracter"/>
        </w:rPr>
        <w:t>Artículo 166.1 a).</w:t>
      </w:r>
      <w:r w:rsidRPr="0057104C">
        <w:rPr>
          <w:rStyle w:val="TextoNormalCaracter"/>
        </w:rPr>
        <w:t>-</w:t>
      </w:r>
      <w:r>
        <w:t xml:space="preserve"> Sentencia </w:t>
      </w:r>
      <w:hyperlink w:anchor="SENTENCIA_2016_62" w:history="1">
        <w:r w:rsidRPr="0057104C">
          <w:rPr>
            <w:rStyle w:val="TextoNormalCaracter"/>
          </w:rPr>
          <w:t>62/2016</w:t>
        </w:r>
      </w:hyperlink>
      <w:r>
        <w:t>, f. 11.</w:t>
      </w:r>
    </w:p>
    <w:p w:rsidR="0057104C" w:rsidRDefault="0057104C" w:rsidP="0057104C">
      <w:pPr>
        <w:pStyle w:val="SangriaFrancesaArticulo"/>
      </w:pPr>
      <w:r w:rsidRPr="0057104C">
        <w:rPr>
          <w:rStyle w:val="TextoNormalNegritaCaracter"/>
        </w:rPr>
        <w:t>Artículo 172.</w:t>
      </w:r>
      <w:r w:rsidRPr="0057104C">
        <w:rPr>
          <w:rStyle w:val="TextoNormalCaracter"/>
        </w:rPr>
        <w:t>-</w:t>
      </w:r>
      <w:r>
        <w:t xml:space="preserve"> Sentencia </w:t>
      </w:r>
      <w:hyperlink w:anchor="SENTENCIA_2016_84" w:history="1">
        <w:r w:rsidRPr="0057104C">
          <w:rPr>
            <w:rStyle w:val="TextoNormalCaracter"/>
          </w:rPr>
          <w:t>84/2016</w:t>
        </w:r>
      </w:hyperlink>
      <w:r>
        <w:t>, f. 1.</w:t>
      </w:r>
    </w:p>
    <w:p w:rsidR="0057104C" w:rsidRDefault="0057104C" w:rsidP="0057104C">
      <w:pPr>
        <w:pStyle w:val="SangriaFrancesaArticulo"/>
      </w:pPr>
      <w:r w:rsidRPr="0057104C">
        <w:rPr>
          <w:rStyle w:val="TextoNormalNegritaCaracter"/>
        </w:rPr>
        <w:t>Artículo 172.1 g).</w:t>
      </w:r>
      <w:r w:rsidRPr="0057104C">
        <w:rPr>
          <w:rStyle w:val="TextoNormalCaracter"/>
        </w:rPr>
        <w:t>-</w:t>
      </w:r>
      <w:r>
        <w:t xml:space="preserve"> Sentencia </w:t>
      </w:r>
      <w:hyperlink w:anchor="SENTENCIA_2016_95" w:history="1">
        <w:r w:rsidRPr="0057104C">
          <w:rPr>
            <w:rStyle w:val="TextoNormalCaracter"/>
          </w:rPr>
          <w:t>95/2016</w:t>
        </w:r>
      </w:hyperlink>
      <w:r>
        <w:t>, ff. 1, 3.</w:t>
      </w:r>
    </w:p>
    <w:p w:rsidR="0057104C" w:rsidRDefault="0057104C" w:rsidP="0057104C">
      <w:pPr>
        <w:pStyle w:val="SangriaFrancesaArticulo"/>
      </w:pPr>
      <w:r w:rsidRPr="0057104C">
        <w:rPr>
          <w:rStyle w:val="TextoNormalNegritaCaracter"/>
        </w:rPr>
        <w:t>Artículo 189.</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r w:rsidRPr="0057104C">
        <w:rPr>
          <w:rStyle w:val="TextoNormalNegritaCaracter"/>
        </w:rPr>
        <w:t>Artículo 193.</w:t>
      </w:r>
      <w:r w:rsidRPr="0057104C">
        <w:rPr>
          <w:rStyle w:val="TextoNormalCaracter"/>
        </w:rPr>
        <w:t>-</w:t>
      </w:r>
      <w:r>
        <w:t xml:space="preserve"> Auto </w:t>
      </w:r>
      <w:hyperlink w:anchor="AUTO_2016_130" w:history="1">
        <w:r w:rsidRPr="0057104C">
          <w:rPr>
            <w:rStyle w:val="TextoNormalCaracter"/>
          </w:rPr>
          <w:t>130/2016</w:t>
        </w:r>
      </w:hyperlink>
      <w:r>
        <w:t>, ff. 7, 8.</w:t>
      </w:r>
    </w:p>
    <w:p w:rsidR="0057104C" w:rsidRDefault="0057104C" w:rsidP="0057104C">
      <w:pPr>
        <w:pStyle w:val="SangriaFrancesaArticulo"/>
      </w:pPr>
      <w:r w:rsidRPr="0057104C">
        <w:rPr>
          <w:rStyle w:val="TextoNormalNegritaCaracter"/>
        </w:rPr>
        <w:t>Artículo 193.1.</w:t>
      </w:r>
      <w:r w:rsidRPr="0057104C">
        <w:rPr>
          <w:rStyle w:val="TextoNormalCaracter"/>
        </w:rPr>
        <w:t>-</w:t>
      </w:r>
      <w:r>
        <w:t xml:space="preserve"> Auto </w:t>
      </w:r>
      <w:hyperlink w:anchor="AUTO_2016_130" w:history="1">
        <w:r w:rsidRPr="0057104C">
          <w:rPr>
            <w:rStyle w:val="TextoNormalCaracter"/>
          </w:rPr>
          <w:t>130/2016</w:t>
        </w:r>
      </w:hyperlink>
      <w:r>
        <w:t>, f. 8.</w:t>
      </w:r>
    </w:p>
    <w:p w:rsidR="0057104C" w:rsidRDefault="0057104C" w:rsidP="0057104C">
      <w:pPr>
        <w:pStyle w:val="SangriaFrancesaArticulo"/>
      </w:pPr>
      <w:r w:rsidRPr="0057104C">
        <w:rPr>
          <w:rStyle w:val="TextoNormalNegritaCaracter"/>
        </w:rPr>
        <w:t>Artículo 193.2.</w:t>
      </w:r>
      <w:r w:rsidRPr="0057104C">
        <w:rPr>
          <w:rStyle w:val="TextoNormalCaracter"/>
        </w:rPr>
        <w:t>-</w:t>
      </w:r>
      <w:r>
        <w:t xml:space="preserve"> Auto </w:t>
      </w:r>
      <w:hyperlink w:anchor="AUTO_2016_130" w:history="1">
        <w:r w:rsidRPr="0057104C">
          <w:rPr>
            <w:rStyle w:val="TextoNormalCaracter"/>
          </w:rPr>
          <w:t>130/2016</w:t>
        </w:r>
      </w:hyperlink>
      <w:r>
        <w:t>, f. 8.</w:t>
      </w:r>
    </w:p>
    <w:p w:rsidR="0057104C" w:rsidRDefault="0057104C" w:rsidP="0057104C">
      <w:pPr>
        <w:pStyle w:val="SangriaFrancesaArticulo"/>
      </w:pPr>
      <w:r w:rsidRPr="0057104C">
        <w:rPr>
          <w:rStyle w:val="TextoNormalNegritaCaracter"/>
        </w:rPr>
        <w:t>Artículo 201.</w:t>
      </w:r>
      <w:r w:rsidRPr="0057104C">
        <w:rPr>
          <w:rStyle w:val="TextoNormalCaracter"/>
        </w:rPr>
        <w:t>-</w:t>
      </w:r>
      <w:r>
        <w:t xml:space="preserve"> Sentencia </w:t>
      </w:r>
      <w:hyperlink w:anchor="SENTENCIA_2016_99" w:history="1">
        <w:r w:rsidRPr="0057104C">
          <w:rPr>
            <w:rStyle w:val="TextoNormalCaracter"/>
          </w:rPr>
          <w:t>99/2016</w:t>
        </w:r>
      </w:hyperlink>
      <w:r>
        <w:t>, f. 5.</w:t>
      </w:r>
    </w:p>
    <w:p w:rsidR="0057104C" w:rsidRDefault="0057104C" w:rsidP="0057104C">
      <w:pPr>
        <w:pStyle w:val="SangriaFrancesaArticulo"/>
      </w:pPr>
      <w:r w:rsidRPr="0057104C">
        <w:rPr>
          <w:rStyle w:val="TextoNormalNegritaCaracter"/>
        </w:rPr>
        <w:t>Artículo 201.2.</w:t>
      </w:r>
      <w:r w:rsidRPr="0057104C">
        <w:rPr>
          <w:rStyle w:val="TextoNormalCaracter"/>
        </w:rPr>
        <w:t>-</w:t>
      </w:r>
      <w:r>
        <w:t xml:space="preserve"> Sentencias </w:t>
      </w:r>
      <w:hyperlink w:anchor="SENTENCIA_2016_18" w:history="1">
        <w:r w:rsidRPr="0057104C">
          <w:rPr>
            <w:rStyle w:val="TextoNormalCaracter"/>
          </w:rPr>
          <w:t>18/2016</w:t>
        </w:r>
      </w:hyperlink>
      <w:r>
        <w:t xml:space="preserve">, f. 1; </w:t>
      </w:r>
      <w:hyperlink w:anchor="SENTENCIA_2016_84" w:history="1">
        <w:r w:rsidRPr="0057104C">
          <w:rPr>
            <w:rStyle w:val="TextoNormalCaracter"/>
          </w:rPr>
          <w:t>84/2016</w:t>
        </w:r>
      </w:hyperlink>
      <w:r>
        <w:t>, f. 1.</w:t>
      </w:r>
    </w:p>
    <w:p w:rsidR="0057104C" w:rsidRDefault="0057104C" w:rsidP="0057104C">
      <w:pPr>
        <w:pStyle w:val="SangriaFrancesaArticulo"/>
      </w:pPr>
      <w:r w:rsidRPr="0057104C">
        <w:rPr>
          <w:rStyle w:val="TextoNormalNegritaCaracter"/>
        </w:rPr>
        <w:t>Artículo 202.</w:t>
      </w:r>
      <w:r w:rsidRPr="0057104C">
        <w:rPr>
          <w:rStyle w:val="TextoNormalCaracter"/>
        </w:rPr>
        <w:t>-</w:t>
      </w:r>
      <w:r>
        <w:t xml:space="preserve"> Sentencias </w:t>
      </w:r>
      <w:hyperlink w:anchor="SENTENCIA_2016_84" w:history="1">
        <w:r w:rsidRPr="0057104C">
          <w:rPr>
            <w:rStyle w:val="TextoNormalCaracter"/>
          </w:rPr>
          <w:t>84/2016</w:t>
        </w:r>
      </w:hyperlink>
      <w:r>
        <w:t xml:space="preserve">, f. 1; </w:t>
      </w:r>
      <w:hyperlink w:anchor="SENTENCIA_2016_99" w:history="1">
        <w:r w:rsidRPr="0057104C">
          <w:rPr>
            <w:rStyle w:val="TextoNormalCaracter"/>
          </w:rPr>
          <w:t>99/2016</w:t>
        </w:r>
      </w:hyperlink>
      <w:r>
        <w:t>, f. 5.</w:t>
      </w:r>
    </w:p>
    <w:p w:rsidR="0057104C" w:rsidRDefault="0057104C" w:rsidP="0057104C">
      <w:pPr>
        <w:pStyle w:val="SangriaFrancesaArticulo"/>
      </w:pPr>
      <w:r w:rsidRPr="0057104C">
        <w:rPr>
          <w:rStyle w:val="TextoNormalNegritaCaracter"/>
        </w:rPr>
        <w:t>Artículo 202.2.</w:t>
      </w:r>
      <w:r w:rsidRPr="0057104C">
        <w:rPr>
          <w:rStyle w:val="TextoNormalCaracter"/>
        </w:rPr>
        <w:t>-</w:t>
      </w:r>
      <w:r>
        <w:t xml:space="preserve"> Sentencia </w:t>
      </w:r>
      <w:hyperlink w:anchor="SENTENCIA_2016_18" w:history="1">
        <w:r w:rsidRPr="0057104C">
          <w:rPr>
            <w:rStyle w:val="TextoNormalCaracter"/>
          </w:rPr>
          <w:t>18/2016</w:t>
        </w:r>
      </w:hyperlink>
      <w:r>
        <w:t>, f. 1.</w:t>
      </w:r>
    </w:p>
    <w:p w:rsidR="0057104C" w:rsidRDefault="0057104C" w:rsidP="0057104C">
      <w:pPr>
        <w:pStyle w:val="SangriaFrancesaArticulo"/>
      </w:pPr>
      <w:r w:rsidRPr="0057104C">
        <w:rPr>
          <w:rStyle w:val="TextoNormalNegritaCaracter"/>
        </w:rPr>
        <w:t>Artículo 203.5.</w:t>
      </w:r>
      <w:r w:rsidRPr="0057104C">
        <w:rPr>
          <w:rStyle w:val="TextoNormalCaracter"/>
        </w:rPr>
        <w:t>-</w:t>
      </w:r>
      <w:r>
        <w:t xml:space="preserve"> Sentencia </w:t>
      </w:r>
      <w:hyperlink w:anchor="SENTENCIA_2016_74" w:history="1">
        <w:r w:rsidRPr="0057104C">
          <w:rPr>
            <w:rStyle w:val="TextoNormalCaracter"/>
          </w:rPr>
          <w:t>74/2016</w:t>
        </w:r>
      </w:hyperlink>
      <w:r>
        <w:t>, f. 2.</w:t>
      </w:r>
    </w:p>
    <w:p w:rsidR="0057104C" w:rsidRDefault="0057104C" w:rsidP="0057104C">
      <w:pPr>
        <w:pStyle w:val="SangriaFrancesaArticulo"/>
      </w:pPr>
      <w:r w:rsidRPr="0057104C">
        <w:rPr>
          <w:rStyle w:val="TextoNormalNegritaCaracter"/>
        </w:rPr>
        <w:t>Artículo 211.</w:t>
      </w:r>
      <w:r w:rsidRPr="0057104C">
        <w:rPr>
          <w:rStyle w:val="TextoNormalCaracter"/>
        </w:rPr>
        <w:t>-</w:t>
      </w:r>
      <w:r>
        <w:t xml:space="preserve"> Sentencia </w:t>
      </w:r>
      <w:hyperlink w:anchor="SENTENCIA_2016_99" w:history="1">
        <w:r w:rsidRPr="0057104C">
          <w:rPr>
            <w:rStyle w:val="TextoNormalCaracter"/>
          </w:rPr>
          <w:t>99/2016</w:t>
        </w:r>
      </w:hyperlink>
      <w:r>
        <w:t>, f. 5.</w:t>
      </w:r>
    </w:p>
    <w:p w:rsidR="0057104C" w:rsidRDefault="0057104C" w:rsidP="0057104C">
      <w:pPr>
        <w:pStyle w:val="TextoNormal"/>
      </w:pPr>
    </w:p>
    <w:p w:rsidR="0057104C" w:rsidRDefault="0057104C" w:rsidP="0057104C">
      <w:pPr>
        <w:pStyle w:val="TextoNormalNegritaCentradoSubrayado"/>
        <w:suppressAutoHyphens/>
      </w:pPr>
      <w:r>
        <w:t>J.9.b)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del Parlamento de Cataluña 4/1981, de 4 de junio. Medidas urgentes sobre la función pública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6" w:history="1">
        <w:r w:rsidRPr="0057104C">
          <w:rPr>
            <w:rStyle w:val="TextoNormalCaracter"/>
          </w:rPr>
          <w:t>86/2016</w:t>
        </w:r>
      </w:hyperlink>
      <w:r>
        <w:t>, ff. 2, 5.</w:t>
      </w:r>
    </w:p>
    <w:p w:rsidR="0057104C" w:rsidRDefault="0057104C" w:rsidP="0057104C">
      <w:pPr>
        <w:pStyle w:val="SangriaFrancesaArticulo"/>
      </w:pPr>
    </w:p>
    <w:p w:rsidR="0057104C" w:rsidRDefault="0057104C" w:rsidP="0057104C">
      <w:pPr>
        <w:pStyle w:val="TextoNormalNegritaCursivandice"/>
      </w:pPr>
      <w:r>
        <w:t>Ley del Parlamento de Cataluña 4/1997, de 20 de mayo. Protección civil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74" w:history="1">
        <w:r w:rsidRPr="0057104C">
          <w:rPr>
            <w:rStyle w:val="TextoNormalCaracter"/>
          </w:rPr>
          <w:t>74/2016</w:t>
        </w:r>
      </w:hyperlink>
      <w:r>
        <w:t xml:space="preserve">, f. 1, VP; </w:t>
      </w:r>
      <w:hyperlink w:anchor="SENTENCIA_2016_87" w:history="1">
        <w:r w:rsidRPr="0057104C">
          <w:rPr>
            <w:rStyle w:val="TextoNormalCaracter"/>
          </w:rPr>
          <w:t>87/2016</w:t>
        </w:r>
      </w:hyperlink>
      <w:r>
        <w:t>, f. 5.</w:t>
      </w:r>
    </w:p>
    <w:p w:rsidR="0057104C" w:rsidRDefault="0057104C" w:rsidP="0057104C">
      <w:pPr>
        <w:pStyle w:val="SangriaFrancesaArticulo"/>
      </w:pPr>
      <w:r w:rsidRPr="0057104C">
        <w:rPr>
          <w:rStyle w:val="TextoNormalNegritaCaracter"/>
        </w:rPr>
        <w:t>Disposición adicional segunda.</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p>
    <w:p w:rsidR="0057104C" w:rsidRDefault="0057104C" w:rsidP="0057104C">
      <w:pPr>
        <w:pStyle w:val="TextoNormalNegritaCursivandice"/>
      </w:pPr>
      <w:r>
        <w:t>Decreto Legislativo de la Generalidad de Cataluña 1/1997, de 31 de octubre.  Texto único de la Ley de la función pública</w:t>
      </w:r>
    </w:p>
    <w:p w:rsidR="0057104C" w:rsidRDefault="0057104C" w:rsidP="0057104C">
      <w:pPr>
        <w:pStyle w:val="SangriaFrancesaArticulo"/>
      </w:pPr>
      <w:r w:rsidRPr="0057104C">
        <w:rPr>
          <w:rStyle w:val="TextoNormalNegritaCaracter"/>
        </w:rPr>
        <w:t>Disposición transitoria tercera.</w:t>
      </w:r>
      <w:r w:rsidRPr="0057104C">
        <w:rPr>
          <w:rStyle w:val="TextoNormalCaracter"/>
        </w:rPr>
        <w:t>-</w:t>
      </w:r>
      <w:r>
        <w:t xml:space="preserve"> Sentencia </w:t>
      </w:r>
      <w:hyperlink w:anchor="SENTENCIA_2016_86" w:history="1">
        <w:r w:rsidRPr="0057104C">
          <w:rPr>
            <w:rStyle w:val="TextoNormalCaracter"/>
          </w:rPr>
          <w:t>86/2016</w:t>
        </w:r>
      </w:hyperlink>
      <w:r>
        <w:t>, ff. 1, 2.</w:t>
      </w:r>
    </w:p>
    <w:p w:rsidR="0057104C" w:rsidRDefault="0057104C" w:rsidP="0057104C">
      <w:pPr>
        <w:pStyle w:val="SangriaFrancesaArticulo"/>
      </w:pPr>
    </w:p>
    <w:p w:rsidR="0057104C" w:rsidRDefault="0057104C" w:rsidP="0057104C">
      <w:pPr>
        <w:pStyle w:val="TextoNormalNegritaCursivandice"/>
      </w:pPr>
      <w:r>
        <w:t>Ley del Parlamento de Cataluña 16/2000, de 29 de diciembre.  Impuesto sobre grandes establecimientos comerciales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p>
    <w:p w:rsidR="0057104C" w:rsidRDefault="0057104C" w:rsidP="0057104C">
      <w:pPr>
        <w:pStyle w:val="TextoNormalNegritaCursivandice"/>
      </w:pPr>
      <w:r>
        <w:t>Ley del Parlamento de Cataluña 7/2003, de 25 de abril. Protección de la Salud</w:t>
      </w:r>
    </w:p>
    <w:p w:rsidR="0057104C" w:rsidRDefault="0057104C" w:rsidP="0057104C">
      <w:pPr>
        <w:pStyle w:val="SangriaFrancesaArticulo"/>
      </w:pPr>
      <w:r w:rsidRPr="0057104C">
        <w:rPr>
          <w:rStyle w:val="TextoNormalNegritaCaracter"/>
        </w:rPr>
        <w:t>Disposición transitoria octava.</w:t>
      </w:r>
      <w:r w:rsidRPr="0057104C">
        <w:rPr>
          <w:rStyle w:val="TextoNormalCaracter"/>
        </w:rPr>
        <w:t>-</w:t>
      </w:r>
      <w:r>
        <w:t xml:space="preserve"> Sentencia </w:t>
      </w:r>
      <w:hyperlink w:anchor="SENTENCIA_2016_86" w:history="1">
        <w:r w:rsidRPr="0057104C">
          <w:rPr>
            <w:rStyle w:val="TextoNormalCaracter"/>
          </w:rPr>
          <w:t>86/2016</w:t>
        </w:r>
      </w:hyperlink>
      <w:r>
        <w:t>, f. 5.</w:t>
      </w:r>
    </w:p>
    <w:p w:rsidR="0057104C" w:rsidRDefault="0057104C" w:rsidP="0057104C">
      <w:pPr>
        <w:pStyle w:val="SangriaFrancesaArticulo"/>
      </w:pPr>
      <w:r w:rsidRPr="0057104C">
        <w:rPr>
          <w:rStyle w:val="TextoNormalNegritaCaracter"/>
        </w:rPr>
        <w:t>Disposición transitoria novena, apartado 2 b)</w:t>
      </w:r>
      <w:r>
        <w:t xml:space="preserve"> (redactada por la Ley 8/2007, de 30 de julio)</w:t>
      </w:r>
      <w:r w:rsidRPr="0057104C">
        <w:rPr>
          <w:rStyle w:val="TextoNormalNegritaCaracter"/>
        </w:rPr>
        <w:t>.</w:t>
      </w:r>
      <w:r w:rsidRPr="0057104C">
        <w:rPr>
          <w:rStyle w:val="TextoNormalCaracter"/>
        </w:rPr>
        <w:t>-</w:t>
      </w:r>
      <w:r>
        <w:t xml:space="preserve"> Sentencia </w:t>
      </w:r>
      <w:hyperlink w:anchor="SENTENCIA_2016_86" w:history="1">
        <w:r w:rsidRPr="0057104C">
          <w:rPr>
            <w:rStyle w:val="TextoNormalCaracter"/>
          </w:rPr>
          <w:t>86/2016</w:t>
        </w:r>
      </w:hyperlink>
      <w:r>
        <w:t>, ff. 1 a 3, 5, 6.</w:t>
      </w:r>
    </w:p>
    <w:p w:rsidR="0057104C" w:rsidRDefault="0057104C" w:rsidP="0057104C">
      <w:pPr>
        <w:pStyle w:val="SangriaFrancesaArticulo"/>
      </w:pPr>
      <w:r w:rsidRPr="0057104C">
        <w:rPr>
          <w:rStyle w:val="TextoNormalNegritaCaracter"/>
        </w:rPr>
        <w:t>Disposición transitoria novena, apartado 3</w:t>
      </w:r>
      <w:r>
        <w:t xml:space="preserve"> (redactada por la Ley 8/2007, de 30 de julio)</w:t>
      </w:r>
      <w:r w:rsidRPr="0057104C">
        <w:rPr>
          <w:rStyle w:val="TextoNormalNegritaCaracter"/>
        </w:rPr>
        <w:t>.</w:t>
      </w:r>
      <w:r w:rsidRPr="0057104C">
        <w:rPr>
          <w:rStyle w:val="TextoNormalCaracter"/>
        </w:rPr>
        <w:t>-</w:t>
      </w:r>
      <w:r>
        <w:t xml:space="preserve"> Sentencia </w:t>
      </w:r>
      <w:hyperlink w:anchor="SENTENCIA_2016_86" w:history="1">
        <w:r w:rsidRPr="0057104C">
          <w:rPr>
            <w:rStyle w:val="TextoNormalCaracter"/>
          </w:rPr>
          <w:t>86/2016</w:t>
        </w:r>
      </w:hyperlink>
      <w:r>
        <w:t>, ff. 1 a 3, 5, 6.</w:t>
      </w:r>
    </w:p>
    <w:p w:rsidR="0057104C" w:rsidRDefault="0057104C" w:rsidP="0057104C">
      <w:pPr>
        <w:pStyle w:val="SangriaFrancesaArticulo"/>
      </w:pPr>
    </w:p>
    <w:p w:rsidR="0057104C" w:rsidRDefault="0057104C" w:rsidP="0057104C">
      <w:pPr>
        <w:pStyle w:val="TextoNormalNegritaCursivandice"/>
      </w:pPr>
      <w:r>
        <w:t>Ley del Parlamento de Cataluña 8/2007, de 30 de julio. Instituto Catalán de la Salud</w:t>
      </w:r>
    </w:p>
    <w:p w:rsidR="0057104C" w:rsidRDefault="0057104C" w:rsidP="0057104C">
      <w:pPr>
        <w:pStyle w:val="SangriaFrancesaArticulo"/>
      </w:pPr>
      <w:r w:rsidRPr="0057104C">
        <w:rPr>
          <w:rStyle w:val="TextoNormalNegritaCaracter"/>
        </w:rPr>
        <w:t>Disposición final primera.</w:t>
      </w:r>
      <w:r w:rsidRPr="0057104C">
        <w:rPr>
          <w:rStyle w:val="TextoNormalCaracter"/>
        </w:rPr>
        <w:t>-</w:t>
      </w:r>
      <w:r>
        <w:t xml:space="preserve"> Sentencia </w:t>
      </w:r>
      <w:hyperlink w:anchor="SENTENCIA_2016_86" w:history="1">
        <w:r w:rsidRPr="0057104C">
          <w:rPr>
            <w:rStyle w:val="TextoNormalCaracter"/>
          </w:rPr>
          <w:t>86/2016</w:t>
        </w:r>
      </w:hyperlink>
      <w:r>
        <w:t>, ff. 1, 2.</w:t>
      </w:r>
    </w:p>
    <w:p w:rsidR="0057104C" w:rsidRDefault="0057104C" w:rsidP="0057104C">
      <w:pPr>
        <w:pStyle w:val="SangriaFrancesaArticulo"/>
      </w:pPr>
      <w:r w:rsidRPr="0057104C">
        <w:rPr>
          <w:rStyle w:val="TextoNormalNegritaCaracter"/>
        </w:rPr>
        <w:t>Disposición final primera, apartado 9.1.</w:t>
      </w:r>
      <w:r w:rsidRPr="0057104C">
        <w:rPr>
          <w:rStyle w:val="TextoNormalCaracter"/>
        </w:rPr>
        <w:t>-</w:t>
      </w:r>
      <w:r>
        <w:t xml:space="preserve"> Sentencia </w:t>
      </w:r>
      <w:hyperlink w:anchor="SENTENCIA_2016_86" w:history="1">
        <w:r w:rsidRPr="0057104C">
          <w:rPr>
            <w:rStyle w:val="TextoNormalCaracter"/>
          </w:rPr>
          <w:t>86/2016</w:t>
        </w:r>
      </w:hyperlink>
      <w:r>
        <w:t>, f. 2.</w:t>
      </w:r>
    </w:p>
    <w:p w:rsidR="0057104C" w:rsidRDefault="0057104C" w:rsidP="0057104C">
      <w:pPr>
        <w:pStyle w:val="SangriaFrancesaArticulo"/>
      </w:pPr>
      <w:r w:rsidRPr="0057104C">
        <w:rPr>
          <w:rStyle w:val="TextoNormalNegritaCaracter"/>
        </w:rPr>
        <w:t>Disposición final primera, apartado 9.2.</w:t>
      </w:r>
      <w:r w:rsidRPr="0057104C">
        <w:rPr>
          <w:rStyle w:val="TextoNormalCaracter"/>
        </w:rPr>
        <w:t>-</w:t>
      </w:r>
      <w:r>
        <w:t xml:space="preserve"> Sentencia </w:t>
      </w:r>
      <w:hyperlink w:anchor="SENTENCIA_2016_86" w:history="1">
        <w:r w:rsidRPr="0057104C">
          <w:rPr>
            <w:rStyle w:val="TextoNormalCaracter"/>
          </w:rPr>
          <w:t>86/2016</w:t>
        </w:r>
      </w:hyperlink>
      <w:r>
        <w:t>, f. 2.</w:t>
      </w:r>
    </w:p>
    <w:p w:rsidR="0057104C" w:rsidRDefault="0057104C" w:rsidP="0057104C">
      <w:pPr>
        <w:pStyle w:val="SangriaFrancesaArticulo"/>
      </w:pPr>
      <w:r w:rsidRPr="0057104C">
        <w:rPr>
          <w:rStyle w:val="TextoNormalNegritaCaracter"/>
        </w:rPr>
        <w:t>Disposición final primera, apartado 9.2 a) y b).</w:t>
      </w:r>
      <w:r w:rsidRPr="0057104C">
        <w:rPr>
          <w:rStyle w:val="TextoNormalCaracter"/>
        </w:rPr>
        <w:t>-</w:t>
      </w:r>
      <w:r>
        <w:t xml:space="preserve"> Sentencia </w:t>
      </w:r>
      <w:hyperlink w:anchor="SENTENCIA_2016_86" w:history="1">
        <w:r w:rsidRPr="0057104C">
          <w:rPr>
            <w:rStyle w:val="TextoNormalCaracter"/>
          </w:rPr>
          <w:t>86/2016</w:t>
        </w:r>
      </w:hyperlink>
      <w:r>
        <w:t>, ff. 2, 5.</w:t>
      </w:r>
    </w:p>
    <w:p w:rsidR="0057104C" w:rsidRDefault="0057104C" w:rsidP="0057104C">
      <w:pPr>
        <w:pStyle w:val="SangriaFrancesaArticulo"/>
      </w:pPr>
      <w:r w:rsidRPr="0057104C">
        <w:rPr>
          <w:rStyle w:val="TextoNormalNegritaCaracter"/>
        </w:rPr>
        <w:t>Disposición final primera, apartado 9.3.</w:t>
      </w:r>
      <w:r w:rsidRPr="0057104C">
        <w:rPr>
          <w:rStyle w:val="TextoNormalCaracter"/>
        </w:rPr>
        <w:t>-</w:t>
      </w:r>
      <w:r>
        <w:t xml:space="preserve"> Sentencia </w:t>
      </w:r>
      <w:hyperlink w:anchor="SENTENCIA_2016_86" w:history="1">
        <w:r w:rsidRPr="0057104C">
          <w:rPr>
            <w:rStyle w:val="TextoNormalCaracter"/>
          </w:rPr>
          <w:t>86/2016</w:t>
        </w:r>
      </w:hyperlink>
      <w:r>
        <w:t>, f. 2.</w:t>
      </w:r>
    </w:p>
    <w:p w:rsidR="0057104C" w:rsidRDefault="0057104C" w:rsidP="0057104C">
      <w:pPr>
        <w:pStyle w:val="SangriaFrancesaArticulo"/>
      </w:pPr>
    </w:p>
    <w:p w:rsidR="0057104C" w:rsidRDefault="0057104C" w:rsidP="0057104C">
      <w:pPr>
        <w:pStyle w:val="TextoNormalNegritaCursivandice"/>
      </w:pPr>
      <w:r>
        <w:t>Ley del Parlamento de Cataluña 18/2008, de 23 de diciembre. Garantía y calidad del suministro eléctrico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0" w:history="1">
        <w:r w:rsidRPr="0057104C">
          <w:rPr>
            <w:rStyle w:val="TextoNormalCaracter"/>
          </w:rPr>
          <w:t>120/2016</w:t>
        </w:r>
      </w:hyperlink>
      <w:r>
        <w:t>, f. 5.</w:t>
      </w:r>
    </w:p>
    <w:p w:rsidR="0057104C" w:rsidRDefault="0057104C" w:rsidP="0057104C">
      <w:pPr>
        <w:pStyle w:val="SangriaFrancesaArticulo"/>
      </w:pPr>
    </w:p>
    <w:p w:rsidR="0057104C" w:rsidRDefault="0057104C" w:rsidP="0057104C">
      <w:pPr>
        <w:pStyle w:val="TextoNormalNegritaCursivandice"/>
      </w:pPr>
      <w:r>
        <w:t>Ley del Parlamento de Cataluña 2/2009, de 12 de febrero.  Consejo de garantías estatutarias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5" w:history="1">
        <w:r w:rsidRPr="0057104C">
          <w:rPr>
            <w:rStyle w:val="TextoNormalCaracter"/>
          </w:rPr>
          <w:t>85/2016</w:t>
        </w:r>
      </w:hyperlink>
      <w:r>
        <w:t>, VP.</w:t>
      </w:r>
    </w:p>
    <w:p w:rsidR="0057104C" w:rsidRDefault="0057104C" w:rsidP="0057104C">
      <w:pPr>
        <w:pStyle w:val="SangriaFrancesaArticulo"/>
      </w:pPr>
    </w:p>
    <w:p w:rsidR="0057104C" w:rsidRDefault="0057104C" w:rsidP="0057104C">
      <w:pPr>
        <w:pStyle w:val="TextoNormalNegritaCursivandice"/>
      </w:pPr>
      <w:r>
        <w:t>Decreto-ley de la Generalitat de Cataluña 1/2009, de 22 de diciembre. Ordenación de los equipamientos comerciales</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73" w:history="1">
        <w:r w:rsidRPr="0057104C">
          <w:rPr>
            <w:rStyle w:val="TextoNormalCaracter"/>
          </w:rPr>
          <w:t>73/2016</w:t>
        </w:r>
      </w:hyperlink>
      <w:r>
        <w:t>, ff. 4, 6.</w:t>
      </w:r>
    </w:p>
    <w:p w:rsidR="0057104C" w:rsidRDefault="0057104C" w:rsidP="0057104C">
      <w:pPr>
        <w:pStyle w:val="SangriaFrancesaArticulo"/>
      </w:pPr>
      <w:r w:rsidRPr="0057104C">
        <w:rPr>
          <w:rStyle w:val="TextoNormalNegritaCaracter"/>
        </w:rPr>
        <w:t>Artículo 6.1 a).</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r w:rsidRPr="0057104C">
        <w:rPr>
          <w:rStyle w:val="TextoNormalNegritaCaracter"/>
        </w:rPr>
        <w:t>Artículo 9.3.</w:t>
      </w:r>
      <w:r w:rsidRPr="0057104C">
        <w:rPr>
          <w:rStyle w:val="TextoNormalCaracter"/>
        </w:rPr>
        <w:t>-</w:t>
      </w:r>
      <w:r>
        <w:t xml:space="preserve"> Sentencia </w:t>
      </w:r>
      <w:hyperlink w:anchor="SENTENCIA_2016_73" w:history="1">
        <w:r w:rsidRPr="0057104C">
          <w:rPr>
            <w:rStyle w:val="TextoNormalCaracter"/>
          </w:rPr>
          <w:t>73/2016</w:t>
        </w:r>
      </w:hyperlink>
      <w:r>
        <w:t>, ff. 4, 6.</w:t>
      </w:r>
    </w:p>
    <w:p w:rsidR="0057104C" w:rsidRDefault="0057104C" w:rsidP="0057104C">
      <w:pPr>
        <w:pStyle w:val="SangriaIzquierdaArticulo"/>
      </w:pPr>
      <w:r>
        <w:t xml:space="preserve">Auto </w:t>
      </w:r>
      <w:hyperlink w:anchor="AUTO_2016_41" w:history="1">
        <w:r w:rsidRPr="0057104C">
          <w:rPr>
            <w:rStyle w:val="TextoNormalCaracter"/>
          </w:rPr>
          <w:t>41/2016</w:t>
        </w:r>
      </w:hyperlink>
      <w:r>
        <w:t>, f. 3.</w:t>
      </w:r>
    </w:p>
    <w:p w:rsidR="0057104C" w:rsidRDefault="0057104C" w:rsidP="0057104C">
      <w:pPr>
        <w:pStyle w:val="SangriaFrancesaArticulo"/>
      </w:pPr>
      <w:r w:rsidRPr="0057104C">
        <w:rPr>
          <w:rStyle w:val="TextoNormalNegritaCaracter"/>
        </w:rPr>
        <w:t>Artículo 9.3</w:t>
      </w:r>
      <w:r>
        <w:t xml:space="preserve"> (redactado por la Ley del Parlamento de Cataluña 9/2011, de 29 de diciembre)</w:t>
      </w:r>
      <w:r w:rsidRPr="0057104C">
        <w:rPr>
          <w:rStyle w:val="TextoNormalNegritaCaracter"/>
        </w:rPr>
        <w:t>.</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r w:rsidRPr="0057104C">
        <w:rPr>
          <w:rStyle w:val="TextoNormalNegritaCaracter"/>
        </w:rPr>
        <w:t>Artículo 9.3 a).</w:t>
      </w:r>
      <w:r w:rsidRPr="0057104C">
        <w:rPr>
          <w:rStyle w:val="TextoNormalCaracter"/>
        </w:rPr>
        <w:t>-</w:t>
      </w:r>
      <w:r>
        <w:t xml:space="preserve"> Sentencia </w:t>
      </w:r>
      <w:hyperlink w:anchor="SENTENCIA_2016_73" w:history="1">
        <w:r w:rsidRPr="0057104C">
          <w:rPr>
            <w:rStyle w:val="TextoNormalCaracter"/>
          </w:rPr>
          <w:t>73/2016</w:t>
        </w:r>
      </w:hyperlink>
      <w:r>
        <w:t>, f. 6.</w:t>
      </w:r>
    </w:p>
    <w:p w:rsidR="0057104C" w:rsidRDefault="0057104C" w:rsidP="0057104C">
      <w:pPr>
        <w:pStyle w:val="SangriaFrancesaArticulo"/>
      </w:pPr>
      <w:r w:rsidRPr="0057104C">
        <w:rPr>
          <w:rStyle w:val="TextoNormalNegritaCaracter"/>
        </w:rPr>
        <w:t>Artículo 9.3 b).</w:t>
      </w:r>
      <w:r w:rsidRPr="0057104C">
        <w:rPr>
          <w:rStyle w:val="TextoNormalCaracter"/>
        </w:rPr>
        <w:t>-</w:t>
      </w:r>
      <w:r>
        <w:t xml:space="preserve"> Sentencia </w:t>
      </w:r>
      <w:hyperlink w:anchor="SENTENCIA_2016_73" w:history="1">
        <w:r w:rsidRPr="0057104C">
          <w:rPr>
            <w:rStyle w:val="TextoNormalCaracter"/>
          </w:rPr>
          <w:t>73/2016</w:t>
        </w:r>
      </w:hyperlink>
      <w:r>
        <w:t>, ff. 4, 6.</w:t>
      </w:r>
    </w:p>
    <w:p w:rsidR="0057104C" w:rsidRDefault="0057104C" w:rsidP="0057104C">
      <w:pPr>
        <w:pStyle w:val="SangriaFrancesaArticulo"/>
      </w:pPr>
      <w:r w:rsidRPr="0057104C">
        <w:rPr>
          <w:rStyle w:val="TextoNormalNegritaCaracter"/>
        </w:rPr>
        <w:t>Artículo 9.3 párrafo 2.</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r w:rsidRPr="0057104C">
        <w:rPr>
          <w:rStyle w:val="TextoNormalNegritaCaracter"/>
        </w:rPr>
        <w:t>Artículo 9.3 párrafo 3.</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r w:rsidRPr="0057104C">
        <w:rPr>
          <w:rStyle w:val="TextoNormalNegritaCaracter"/>
        </w:rPr>
        <w:t>Artículo 9.4.</w:t>
      </w:r>
      <w:r w:rsidRPr="0057104C">
        <w:rPr>
          <w:rStyle w:val="TextoNormalCaracter"/>
        </w:rPr>
        <w:t>-</w:t>
      </w:r>
      <w:r>
        <w:t xml:space="preserve"> Sentencia </w:t>
      </w:r>
      <w:hyperlink w:anchor="SENTENCIA_2016_73" w:history="1">
        <w:r w:rsidRPr="0057104C">
          <w:rPr>
            <w:rStyle w:val="TextoNormalCaracter"/>
          </w:rPr>
          <w:t>73/2016</w:t>
        </w:r>
      </w:hyperlink>
      <w:r>
        <w:t>, ff. 4, 6.</w:t>
      </w:r>
    </w:p>
    <w:p w:rsidR="0057104C" w:rsidRDefault="0057104C" w:rsidP="0057104C">
      <w:pPr>
        <w:pStyle w:val="SangriaIzquierdaArticulo"/>
      </w:pPr>
      <w:r>
        <w:t xml:space="preserve">Auto </w:t>
      </w:r>
      <w:hyperlink w:anchor="AUTO_2016_41" w:history="1">
        <w:r w:rsidRPr="0057104C">
          <w:rPr>
            <w:rStyle w:val="TextoNormalCaracter"/>
          </w:rPr>
          <w:t>41/2016</w:t>
        </w:r>
      </w:hyperlink>
      <w:r>
        <w:t>, f. 3.</w:t>
      </w:r>
    </w:p>
    <w:p w:rsidR="0057104C" w:rsidRDefault="0057104C" w:rsidP="0057104C">
      <w:pPr>
        <w:pStyle w:val="SangriaFrancesaArticulo"/>
      </w:pPr>
      <w:r w:rsidRPr="0057104C">
        <w:rPr>
          <w:rStyle w:val="TextoNormalNegritaCaracter"/>
        </w:rPr>
        <w:t>Artículo 9.4</w:t>
      </w:r>
      <w:r>
        <w:t xml:space="preserve"> (redactado por la Ley del Parlamento de Cataluña 9/2011, de 29 de diciembre)</w:t>
      </w:r>
      <w:r w:rsidRPr="0057104C">
        <w:rPr>
          <w:rStyle w:val="TextoNormalNegritaCaracter"/>
        </w:rPr>
        <w:t>.</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r w:rsidRPr="0057104C">
        <w:rPr>
          <w:rStyle w:val="TextoNormalNegritaCaracter"/>
        </w:rPr>
        <w:t>Artículo 9.4 párrafo 2.</w:t>
      </w:r>
      <w:r w:rsidRPr="0057104C">
        <w:rPr>
          <w:rStyle w:val="TextoNormalCaracter"/>
        </w:rPr>
        <w:t>-</w:t>
      </w:r>
      <w:r>
        <w:t xml:space="preserve"> Sentencia </w:t>
      </w:r>
      <w:hyperlink w:anchor="SENTENCIA_2016_73" w:history="1">
        <w:r w:rsidRPr="0057104C">
          <w:rPr>
            <w:rStyle w:val="TextoNormalCaracter"/>
          </w:rPr>
          <w:t>73/2016</w:t>
        </w:r>
      </w:hyperlink>
      <w:r>
        <w:t>, ff. 4, 6.</w:t>
      </w:r>
    </w:p>
    <w:p w:rsidR="0057104C" w:rsidRDefault="0057104C" w:rsidP="0057104C">
      <w:pPr>
        <w:pStyle w:val="SangriaFrancesaArticulo"/>
      </w:pPr>
      <w:r w:rsidRPr="0057104C">
        <w:rPr>
          <w:rStyle w:val="TextoNormalNegritaCaracter"/>
        </w:rPr>
        <w:t>Artículo 9.4 párrafo 3.</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p>
    <w:p w:rsidR="0057104C" w:rsidRDefault="0057104C" w:rsidP="0057104C">
      <w:pPr>
        <w:pStyle w:val="TextoNormalNegritaCursivandice"/>
      </w:pPr>
      <w:r>
        <w:t>Ley del Parlamento de Cataluña 22/2010, de 20 de julio. Código de consumo de Cataluña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r w:rsidRPr="0057104C">
        <w:rPr>
          <w:rStyle w:val="TextoNormalNegritaCaracter"/>
        </w:rPr>
        <w:t>Artículo 111.2 v)</w:t>
      </w:r>
      <w:r>
        <w:t xml:space="preserve"> (redactado por el Decreto-ley de la Generalitat de Cataluña 6/2013, de 23 de diciembre)</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f. 3.</w:t>
      </w:r>
    </w:p>
    <w:p w:rsidR="0057104C" w:rsidRDefault="0057104C" w:rsidP="0057104C">
      <w:pPr>
        <w:pStyle w:val="SangriaFrancesaArticulo"/>
      </w:pPr>
      <w:r w:rsidRPr="0057104C">
        <w:rPr>
          <w:rStyle w:val="TextoNormalNegritaCaracter"/>
        </w:rPr>
        <w:t>Artículo 111.2 v)</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ff. 1, 2.</w:t>
      </w:r>
    </w:p>
    <w:p w:rsidR="0057104C" w:rsidRDefault="0057104C" w:rsidP="0057104C">
      <w:pPr>
        <w:pStyle w:val="SangriaFrancesaArticulo"/>
      </w:pPr>
      <w:r w:rsidRPr="0057104C">
        <w:rPr>
          <w:rStyle w:val="TextoNormalNegritaCaracter"/>
        </w:rPr>
        <w:t>Artículo 111.2 w)</w:t>
      </w:r>
      <w:r>
        <w:t xml:space="preserve"> (redactado por el Decreto-ley de la Generalitat de Cataluña 6/2013, de 23 de diciembre)</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f. 2.</w:t>
      </w:r>
    </w:p>
    <w:p w:rsidR="0057104C" w:rsidRDefault="0057104C" w:rsidP="0057104C">
      <w:pPr>
        <w:pStyle w:val="SangriaFrancesaArticulo"/>
      </w:pPr>
      <w:r w:rsidRPr="0057104C">
        <w:rPr>
          <w:rStyle w:val="TextoNormalNegritaCaracter"/>
        </w:rPr>
        <w:t>Artículo 111.2 w)</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ff. 1, 2.</w:t>
      </w:r>
    </w:p>
    <w:p w:rsidR="0057104C" w:rsidRDefault="0057104C" w:rsidP="0057104C">
      <w:pPr>
        <w:pStyle w:val="SangriaFrancesaArticulo"/>
      </w:pPr>
      <w:r w:rsidRPr="0057104C">
        <w:rPr>
          <w:rStyle w:val="TextoNormalNegritaCaracter"/>
        </w:rPr>
        <w:t>Artículo 132.4 apartado 3</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ff. 1, 4.</w:t>
      </w:r>
    </w:p>
    <w:p w:rsidR="0057104C" w:rsidRDefault="0057104C" w:rsidP="0057104C">
      <w:pPr>
        <w:pStyle w:val="SangriaFrancesaArticulo"/>
      </w:pPr>
      <w:r w:rsidRPr="0057104C">
        <w:rPr>
          <w:rStyle w:val="TextoNormalNegritaCaracter"/>
        </w:rPr>
        <w:t>Artículo 251.6 apartado 4</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ff. 1, 4.</w:t>
      </w:r>
    </w:p>
    <w:p w:rsidR="0057104C" w:rsidRDefault="0057104C" w:rsidP="0057104C">
      <w:pPr>
        <w:pStyle w:val="SangriaFrancesaArticulo"/>
      </w:pPr>
      <w:r w:rsidRPr="0057104C">
        <w:rPr>
          <w:rStyle w:val="TextoNormalNegritaCaracter"/>
        </w:rPr>
        <w:t>Artículo 252.4 apartados del 6 al 10</w:t>
      </w:r>
      <w:r>
        <w:t xml:space="preserve"> (redactado por el Decreto-ley de la Generalidad de Cataluña 6/2013, de 23 de diciembre)</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ff. 2, 3.</w:t>
      </w:r>
    </w:p>
    <w:p w:rsidR="0057104C" w:rsidRDefault="0057104C" w:rsidP="0057104C">
      <w:pPr>
        <w:pStyle w:val="SangriaFrancesaArticulo"/>
      </w:pPr>
      <w:r w:rsidRPr="0057104C">
        <w:rPr>
          <w:rStyle w:val="TextoNormalNegritaCaracter"/>
        </w:rPr>
        <w:t>Articulo 252.4.6 párrafo 1</w:t>
      </w:r>
      <w:r>
        <w:t xml:space="preserve"> (redactado por el Decreto-ley de la Generalidad de Cataluña 6/2013, de 23 de diciembre)</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f. 3.</w:t>
      </w:r>
    </w:p>
    <w:p w:rsidR="0057104C" w:rsidRDefault="0057104C" w:rsidP="0057104C">
      <w:pPr>
        <w:pStyle w:val="SangriaFrancesaArticulo"/>
      </w:pPr>
      <w:r w:rsidRPr="0057104C">
        <w:rPr>
          <w:rStyle w:val="TextoNormalNegritaCaracter"/>
        </w:rPr>
        <w:t>Artículo 252.4.6 párrafo 2</w:t>
      </w:r>
      <w:r>
        <w:t xml:space="preserve"> (redactado por el Decreto-ley de la Generalidad de Cataluña 6/2013, de 23 de diciembre)</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ff. 4, 5, 8, 11, VPI.</w:t>
      </w:r>
    </w:p>
    <w:p w:rsidR="0057104C" w:rsidRDefault="0057104C" w:rsidP="0057104C">
      <w:pPr>
        <w:pStyle w:val="SangriaFrancesaArticulo"/>
      </w:pPr>
      <w:r w:rsidRPr="0057104C">
        <w:rPr>
          <w:rStyle w:val="TextoNormalNegritaCaracter"/>
        </w:rPr>
        <w:t>Artículo 252.4.6 párrafo 2</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 2.</w:t>
      </w:r>
    </w:p>
    <w:p w:rsidR="0057104C" w:rsidRDefault="0057104C" w:rsidP="0057104C">
      <w:pPr>
        <w:pStyle w:val="SangriaFrancesaArticulo"/>
      </w:pPr>
      <w:r w:rsidRPr="0057104C">
        <w:rPr>
          <w:rStyle w:val="TextoNormalNegritaCaracter"/>
        </w:rPr>
        <w:t>Articulo 252.4.6 párrafo 3</w:t>
      </w:r>
      <w:r>
        <w:t xml:space="preserve"> (redactado por el Decreto-ley de la Generalidad de Cataluña 6/2013, de 23 de diciembre)</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f. 3.</w:t>
      </w:r>
    </w:p>
    <w:p w:rsidR="0057104C" w:rsidRDefault="0057104C" w:rsidP="0057104C">
      <w:pPr>
        <w:pStyle w:val="SangriaFrancesaArticulo"/>
      </w:pPr>
      <w:r w:rsidRPr="0057104C">
        <w:rPr>
          <w:rStyle w:val="TextoNormalNegritaCaracter"/>
        </w:rPr>
        <w:t>Artículo 252.4.7</w:t>
      </w:r>
      <w:r>
        <w:t xml:space="preserve"> (redactado por el Decreto-ley de la Generalidad de Cataluña 6/2013, de 23 de diciembre)</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ff. 4, 5, 8, 11, VPI.</w:t>
      </w:r>
    </w:p>
    <w:p w:rsidR="0057104C" w:rsidRDefault="0057104C" w:rsidP="0057104C">
      <w:pPr>
        <w:pStyle w:val="SangriaFrancesaArticulo"/>
      </w:pPr>
      <w:r w:rsidRPr="0057104C">
        <w:rPr>
          <w:rStyle w:val="TextoNormalNegritaCaracter"/>
        </w:rPr>
        <w:t>Artículo 252.4.7</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ff. 1, 2.</w:t>
      </w:r>
    </w:p>
    <w:p w:rsidR="0057104C" w:rsidRDefault="0057104C" w:rsidP="0057104C">
      <w:pPr>
        <w:pStyle w:val="SangriaFrancesaArticulo"/>
      </w:pPr>
      <w:r w:rsidRPr="0057104C">
        <w:rPr>
          <w:rStyle w:val="TextoNormalNegritaCaracter"/>
        </w:rPr>
        <w:t>Artículo 252.4.7 párrafo 1 inciso 1</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 2.</w:t>
      </w:r>
    </w:p>
    <w:p w:rsidR="0057104C" w:rsidRDefault="0057104C" w:rsidP="0057104C">
      <w:pPr>
        <w:pStyle w:val="SangriaFrancesaArticulo"/>
      </w:pPr>
      <w:r w:rsidRPr="0057104C">
        <w:rPr>
          <w:rStyle w:val="TextoNormalNegritaCaracter"/>
        </w:rPr>
        <w:t>Artículo 252.4.7 párrafo 1 inciso 2</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 2.</w:t>
      </w:r>
    </w:p>
    <w:p w:rsidR="0057104C" w:rsidRDefault="0057104C" w:rsidP="0057104C">
      <w:pPr>
        <w:pStyle w:val="SangriaFrancesaArticulo"/>
      </w:pPr>
      <w:r w:rsidRPr="0057104C">
        <w:rPr>
          <w:rStyle w:val="TextoNormalNegritaCaracter"/>
        </w:rPr>
        <w:t>Artículo 252.4.7 párrafo 2</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 2.</w:t>
      </w:r>
    </w:p>
    <w:p w:rsidR="0057104C" w:rsidRDefault="0057104C" w:rsidP="0057104C">
      <w:pPr>
        <w:pStyle w:val="SangriaFrancesaArticulo"/>
      </w:pPr>
      <w:r w:rsidRPr="0057104C">
        <w:rPr>
          <w:rStyle w:val="TextoNormalNegritaCaracter"/>
        </w:rPr>
        <w:t>Artículo 252.4.7 párrafo 3</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 2.</w:t>
      </w:r>
    </w:p>
    <w:p w:rsidR="0057104C" w:rsidRDefault="0057104C" w:rsidP="0057104C">
      <w:pPr>
        <w:pStyle w:val="SangriaFrancesaArticulo"/>
      </w:pPr>
      <w:r w:rsidRPr="0057104C">
        <w:rPr>
          <w:rStyle w:val="TextoNormalNegritaCaracter"/>
        </w:rPr>
        <w:t>Artículo 252.4.8</w:t>
      </w:r>
      <w:r>
        <w:t xml:space="preserve"> (redactado por el Decreto-ley de la Generalidad de Cataluña 6/2013, de 23 de diciembre)</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f. 3.</w:t>
      </w:r>
    </w:p>
    <w:p w:rsidR="0057104C" w:rsidRDefault="0057104C" w:rsidP="0057104C">
      <w:pPr>
        <w:pStyle w:val="SangriaFrancesaArticulo"/>
      </w:pPr>
      <w:r w:rsidRPr="0057104C">
        <w:rPr>
          <w:rStyle w:val="TextoNormalNegritaCaracter"/>
        </w:rPr>
        <w:t>Artículo 252.4.8</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ff. 1, 2.</w:t>
      </w:r>
    </w:p>
    <w:p w:rsidR="0057104C" w:rsidRDefault="0057104C" w:rsidP="0057104C">
      <w:pPr>
        <w:pStyle w:val="SangriaFrancesaArticulo"/>
      </w:pPr>
      <w:r w:rsidRPr="0057104C">
        <w:rPr>
          <w:rStyle w:val="TextoNormalNegritaCaracter"/>
        </w:rPr>
        <w:t>Artículo 252.4.9</w:t>
      </w:r>
      <w:r>
        <w:t xml:space="preserve"> (redactado por el Decreto-ley de la Generalidad de Cataluña 6/2013, de 23 de diciembre)</w:t>
      </w:r>
      <w:r w:rsidRPr="0057104C">
        <w:rPr>
          <w:rStyle w:val="TextoNormalNegritaCaracter"/>
        </w:rPr>
        <w:t>.</w:t>
      </w:r>
      <w:r w:rsidRPr="0057104C">
        <w:rPr>
          <w:rStyle w:val="TextoNormalCaracter"/>
        </w:rPr>
        <w:t>-</w:t>
      </w:r>
      <w:r>
        <w:t xml:space="preserve"> Sentencia </w:t>
      </w:r>
      <w:hyperlink w:anchor="SENTENCIA_2016_62" w:history="1">
        <w:r w:rsidRPr="0057104C">
          <w:rPr>
            <w:rStyle w:val="TextoNormalCaracter"/>
          </w:rPr>
          <w:t>62/2016</w:t>
        </w:r>
      </w:hyperlink>
      <w:r>
        <w:t>, f. 3.</w:t>
      </w:r>
    </w:p>
    <w:p w:rsidR="0057104C" w:rsidRDefault="0057104C" w:rsidP="0057104C">
      <w:pPr>
        <w:pStyle w:val="SangriaFrancesaArticulo"/>
      </w:pPr>
      <w:r w:rsidRPr="0057104C">
        <w:rPr>
          <w:rStyle w:val="TextoNormalNegritaCaracter"/>
        </w:rPr>
        <w:t>Artículo 252.5.6</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ff. 1, 2.</w:t>
      </w:r>
    </w:p>
    <w:p w:rsidR="0057104C" w:rsidRDefault="0057104C" w:rsidP="0057104C">
      <w:pPr>
        <w:pStyle w:val="SangriaFrancesaArticulo"/>
      </w:pPr>
      <w:r w:rsidRPr="0057104C">
        <w:rPr>
          <w:rStyle w:val="TextoNormalNegritaCaracter"/>
        </w:rPr>
        <w:t>Artículo 262.6.2</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ff. 1, 4.</w:t>
      </w:r>
    </w:p>
    <w:p w:rsidR="0057104C" w:rsidRDefault="0057104C" w:rsidP="0057104C">
      <w:pPr>
        <w:pStyle w:val="SangriaFrancesaArticulo"/>
      </w:pPr>
      <w:r w:rsidRPr="0057104C">
        <w:rPr>
          <w:rStyle w:val="TextoNormalNegritaCaracter"/>
        </w:rPr>
        <w:t>Artículo 262.8 apartado 3</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ff. 1, 4.</w:t>
      </w:r>
    </w:p>
    <w:p w:rsidR="0057104C" w:rsidRDefault="0057104C" w:rsidP="0057104C">
      <w:pPr>
        <w:pStyle w:val="SangriaFrancesaArticulo"/>
      </w:pPr>
      <w:r w:rsidRPr="0057104C">
        <w:rPr>
          <w:rStyle w:val="TextoNormalNegritaCaracter"/>
        </w:rPr>
        <w:t>Artículo 262.9</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ff. 1, 4.</w:t>
      </w:r>
    </w:p>
    <w:p w:rsidR="0057104C" w:rsidRDefault="0057104C" w:rsidP="0057104C">
      <w:pPr>
        <w:pStyle w:val="SangriaFrancesaArticulo"/>
      </w:pPr>
      <w:r w:rsidRPr="0057104C">
        <w:rPr>
          <w:rStyle w:val="TextoNormalNegritaCaracter"/>
        </w:rPr>
        <w:t>Artículo 263.2.4</w:t>
      </w:r>
      <w:r>
        <w:t xml:space="preserve"> (redactado por la Ley del Parlamento de Cataluña 20/2014, de 29 de diciembre)</w:t>
      </w:r>
      <w:r w:rsidRPr="0057104C">
        <w:rPr>
          <w:rStyle w:val="TextoNormalNegritaCaracter"/>
        </w:rPr>
        <w:t>.</w:t>
      </w:r>
      <w:r w:rsidRPr="0057104C">
        <w:rPr>
          <w:rStyle w:val="TextoNormalCaracter"/>
        </w:rPr>
        <w:t>-</w:t>
      </w:r>
      <w:r>
        <w:t xml:space="preserve"> Auto </w:t>
      </w:r>
      <w:hyperlink w:anchor="AUTO_2016_72" w:history="1">
        <w:r w:rsidRPr="0057104C">
          <w:rPr>
            <w:rStyle w:val="TextoNormalCaracter"/>
          </w:rPr>
          <w:t>72/2016</w:t>
        </w:r>
      </w:hyperlink>
      <w:r>
        <w:t>, ff. 1, 4.</w:t>
      </w:r>
    </w:p>
    <w:p w:rsidR="0057104C" w:rsidRDefault="0057104C" w:rsidP="0057104C">
      <w:pPr>
        <w:pStyle w:val="SangriaFrancesaArticulo"/>
      </w:pPr>
    </w:p>
    <w:p w:rsidR="0057104C" w:rsidRDefault="0057104C" w:rsidP="0057104C">
      <w:pPr>
        <w:pStyle w:val="TextoNormalNegritaCursivandice"/>
      </w:pPr>
      <w:r>
        <w:t>Decreto Legislativo de la Generalidad de Cataluña 1/2010, de 3 de agosto. Texto refundido de la Ley de urbanismo de Cataluña 2010</w:t>
      </w:r>
    </w:p>
    <w:p w:rsidR="0057104C" w:rsidRDefault="0057104C" w:rsidP="0057104C">
      <w:pPr>
        <w:pStyle w:val="SangriaFrancesaArticulo"/>
      </w:pPr>
      <w:r w:rsidRPr="0057104C">
        <w:rPr>
          <w:rStyle w:val="TextoNormalNegritaCaracter"/>
        </w:rPr>
        <w:t>Artículo 47.10</w:t>
      </w:r>
      <w:r>
        <w:t xml:space="preserve"> (redactado por la Ley del Parlamento de Cataluña 2/2014, de 27 de enero)</w:t>
      </w:r>
      <w:r w:rsidRPr="0057104C">
        <w:rPr>
          <w:rStyle w:val="TextoNormalNegritaCaracter"/>
        </w:rPr>
        <w:t>.</w:t>
      </w:r>
      <w:r w:rsidRPr="0057104C">
        <w:rPr>
          <w:rStyle w:val="TextoNormalCaracter"/>
        </w:rPr>
        <w:t>-</w:t>
      </w:r>
      <w:r>
        <w:t xml:space="preserve"> Sentencia </w:t>
      </w:r>
      <w:hyperlink w:anchor="SENTENCIA_2016_73" w:history="1">
        <w:r w:rsidRPr="0057104C">
          <w:rPr>
            <w:rStyle w:val="TextoNormalCaracter"/>
          </w:rPr>
          <w:t>73/2016</w:t>
        </w:r>
      </w:hyperlink>
      <w:r>
        <w:t>, ff. 7, 9, 10, VP I, VP II.</w:t>
      </w:r>
    </w:p>
    <w:p w:rsidR="0057104C" w:rsidRDefault="0057104C" w:rsidP="0057104C">
      <w:pPr>
        <w:pStyle w:val="SangriaFrancesaArticulo"/>
      </w:pPr>
      <w:r w:rsidRPr="0057104C">
        <w:rPr>
          <w:rStyle w:val="TextoNormalNegritaCaracter"/>
        </w:rPr>
        <w:t>Artículo 167</w:t>
      </w:r>
      <w:r>
        <w:t xml:space="preserve"> (redactado por la Ley del Parlamento de Cataluña 3/2012, de 22 de febrero)</w:t>
      </w:r>
      <w:r w:rsidRPr="0057104C">
        <w:rPr>
          <w:rStyle w:val="TextoNormalNegritaCaracter"/>
        </w:rPr>
        <w:t>.</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167.1</w:t>
      </w:r>
      <w:r>
        <w:t xml:space="preserve"> (redactado por la Ley del Parlamento de Cataluña 3/2012, de 22 de febrero)</w:t>
      </w:r>
      <w:r w:rsidRPr="0057104C">
        <w:rPr>
          <w:rStyle w:val="TextoNormalNegritaCaracter"/>
        </w:rPr>
        <w:t>.</w:t>
      </w:r>
      <w:r w:rsidRPr="0057104C">
        <w:rPr>
          <w:rStyle w:val="TextoNormalCaracter"/>
        </w:rPr>
        <w:t>-</w:t>
      </w:r>
      <w:r>
        <w:t xml:space="preserve"> Sentencia </w:t>
      </w:r>
      <w:hyperlink w:anchor="SENTENCIA_2016_17" w:history="1">
        <w:r w:rsidRPr="0057104C">
          <w:rPr>
            <w:rStyle w:val="TextoNormalCaracter"/>
          </w:rPr>
          <w:t>17/2016</w:t>
        </w:r>
      </w:hyperlink>
      <w:r>
        <w:t>, f. 4.</w:t>
      </w:r>
    </w:p>
    <w:p w:rsidR="0057104C" w:rsidRDefault="0057104C" w:rsidP="0057104C">
      <w:pPr>
        <w:pStyle w:val="SangriaFrancesaArticulo"/>
      </w:pPr>
      <w:r w:rsidRPr="0057104C">
        <w:rPr>
          <w:rStyle w:val="TextoNormalNegritaCaracter"/>
        </w:rPr>
        <w:t>Artículo 187</w:t>
      </w:r>
      <w:r>
        <w:t xml:space="preserve"> (redactado por la Ley del Parlamento de Cataluña 16/2015, de 21 de julio)</w:t>
      </w:r>
      <w:r w:rsidRPr="0057104C">
        <w:rPr>
          <w:rStyle w:val="TextoNormalNegritaCaracter"/>
        </w:rPr>
        <w:t>.</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r w:rsidRPr="0057104C">
        <w:rPr>
          <w:rStyle w:val="TextoNormalNegritaCaracter"/>
        </w:rPr>
        <w:t>Artículo 187 b) bis</w:t>
      </w:r>
      <w:r>
        <w:t xml:space="preserve"> (redactado por la Ley del Parlamento de Cataluña 16/2015, de 21 de julio)</w:t>
      </w:r>
      <w:r w:rsidRPr="0057104C">
        <w:rPr>
          <w:rStyle w:val="TextoNormalNegritaCaracter"/>
        </w:rPr>
        <w:t>.</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r w:rsidRPr="0057104C">
        <w:rPr>
          <w:rStyle w:val="TextoNormalNegritaCaracter"/>
        </w:rPr>
        <w:t>Artículo 187 ter</w:t>
      </w:r>
      <w:r>
        <w:t xml:space="preserve"> (redactado por la Ley del Parlamento de Cataluña 16/2015, de 21 de julio)</w:t>
      </w:r>
      <w:r w:rsidRPr="0057104C">
        <w:rPr>
          <w:rStyle w:val="TextoNormalNegritaCaracter"/>
        </w:rPr>
        <w:t>.</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r w:rsidRPr="0057104C">
        <w:rPr>
          <w:rStyle w:val="TextoNormalNegritaCaracter"/>
        </w:rPr>
        <w:t>Artículo 187, apartado 5</w:t>
      </w:r>
      <w:r>
        <w:t xml:space="preserve"> (redactado por la Ley del Parlamento de Cataluña 3/2012, de 22 de febrero)</w:t>
      </w:r>
      <w:r w:rsidRPr="0057104C">
        <w:rPr>
          <w:rStyle w:val="TextoNormalNegritaCaracter"/>
        </w:rPr>
        <w:t>.</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p>
    <w:p w:rsidR="0057104C" w:rsidRDefault="0057104C" w:rsidP="0057104C">
      <w:pPr>
        <w:pStyle w:val="TextoNormalNegritaCursivandice"/>
      </w:pPr>
      <w:r>
        <w:t>Ley del Parlamento de Cataluña 9/2011, de 29 de diciembre. Promoción de la actividad económica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FrancesaArticulo"/>
      </w:pPr>
      <w:r w:rsidRPr="0057104C">
        <w:rPr>
          <w:rStyle w:val="TextoNormalNegritaCaracter"/>
        </w:rPr>
        <w:t>Artículo 114.</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IzquierdaArticulo"/>
      </w:pPr>
      <w:r>
        <w:t xml:space="preserve">Auto </w:t>
      </w:r>
      <w:hyperlink w:anchor="AUTO_2016_41" w:history="1">
        <w:r w:rsidRPr="0057104C">
          <w:rPr>
            <w:rStyle w:val="TextoNormalCaracter"/>
          </w:rPr>
          <w:t>41/2016</w:t>
        </w:r>
      </w:hyperlink>
      <w:r>
        <w:t>, f. 3.</w:t>
      </w:r>
    </w:p>
    <w:p w:rsidR="0057104C" w:rsidRDefault="0057104C" w:rsidP="0057104C">
      <w:pPr>
        <w:pStyle w:val="SangriaIzquierdaArticulo"/>
      </w:pPr>
    </w:p>
    <w:p w:rsidR="0057104C" w:rsidRDefault="0057104C" w:rsidP="0057104C">
      <w:pPr>
        <w:pStyle w:val="TextoNormalNegritaCursivandice"/>
      </w:pPr>
      <w:r>
        <w:t>Ley del Parlamento de Cataluña 3/2012, de 22 de febrero. Modifica el texto refundido de la Ley de urbanismo, aprobado por el Decreto Legislativo 1/2010, de 3 de agosto</w:t>
      </w:r>
    </w:p>
    <w:p w:rsidR="0057104C" w:rsidRDefault="0057104C" w:rsidP="0057104C">
      <w:pPr>
        <w:pStyle w:val="SangriaFrancesaArticulo"/>
      </w:pPr>
      <w:r w:rsidRPr="0057104C">
        <w:rPr>
          <w:rStyle w:val="TextoNormalNegritaCaracter"/>
        </w:rPr>
        <w:t>Artículo 59.</w:t>
      </w:r>
      <w:r w:rsidRPr="0057104C">
        <w:rPr>
          <w:rStyle w:val="TextoNormalCaracter"/>
        </w:rPr>
        <w:t>-</w:t>
      </w:r>
      <w:r>
        <w:t xml:space="preserve"> Sentencia </w:t>
      </w:r>
      <w:hyperlink w:anchor="SENTENCIA_2016_17" w:history="1">
        <w:r w:rsidRPr="0057104C">
          <w:rPr>
            <w:rStyle w:val="TextoNormalCaracter"/>
          </w:rPr>
          <w:t>17/2016</w:t>
        </w:r>
      </w:hyperlink>
      <w:r>
        <w:t>, ff. 1, 3 a 5.</w:t>
      </w:r>
    </w:p>
    <w:p w:rsidR="0057104C" w:rsidRDefault="0057104C" w:rsidP="0057104C">
      <w:pPr>
        <w:pStyle w:val="SangriaFrancesaArticulo"/>
      </w:pPr>
      <w:r w:rsidRPr="0057104C">
        <w:rPr>
          <w:rStyle w:val="TextoNormalNegritaCaracter"/>
        </w:rPr>
        <w:t>Artículo 64.4.</w:t>
      </w:r>
      <w:r w:rsidRPr="0057104C">
        <w:rPr>
          <w:rStyle w:val="TextoNormalCaracter"/>
        </w:rPr>
        <w:t>-</w:t>
      </w:r>
      <w:r>
        <w:t xml:space="preserve"> Sentencia </w:t>
      </w:r>
      <w:hyperlink w:anchor="SENTENCIA_2016_17" w:history="1">
        <w:r w:rsidRPr="0057104C">
          <w:rPr>
            <w:rStyle w:val="TextoNormalCaracter"/>
          </w:rPr>
          <w:t>17/2016</w:t>
        </w:r>
      </w:hyperlink>
      <w:r>
        <w:t>, ff. 1, 3, 5.</w:t>
      </w:r>
    </w:p>
    <w:p w:rsidR="0057104C" w:rsidRDefault="0057104C" w:rsidP="0057104C">
      <w:pPr>
        <w:pStyle w:val="SangriaFrancesaArticulo"/>
      </w:pPr>
      <w:r w:rsidRPr="0057104C">
        <w:rPr>
          <w:rStyle w:val="TextoNormalNegritaCaracter"/>
        </w:rPr>
        <w:t>Disposición adicional sexta, apartado 7.</w:t>
      </w:r>
      <w:r w:rsidRPr="0057104C">
        <w:rPr>
          <w:rStyle w:val="TextoNormalCaracter"/>
        </w:rPr>
        <w:t>-</w:t>
      </w:r>
      <w:r>
        <w:t xml:space="preserve"> Sentencia </w:t>
      </w:r>
      <w:hyperlink w:anchor="SENTENCIA_2016_17" w:history="1">
        <w:r w:rsidRPr="0057104C">
          <w:rPr>
            <w:rStyle w:val="TextoNormalCaracter"/>
          </w:rPr>
          <w:t>17/2016</w:t>
        </w:r>
      </w:hyperlink>
      <w:r>
        <w:t>, ff. 1, 2.</w:t>
      </w:r>
    </w:p>
    <w:p w:rsidR="0057104C" w:rsidRDefault="0057104C" w:rsidP="0057104C">
      <w:pPr>
        <w:pStyle w:val="SangriaFrancesaArticulo"/>
      </w:pPr>
    </w:p>
    <w:p w:rsidR="0057104C" w:rsidRDefault="0057104C" w:rsidP="0057104C">
      <w:pPr>
        <w:pStyle w:val="TextoNormalNegritaCursivandice"/>
      </w:pPr>
      <w:r>
        <w:t>Decreto-ley de la Generalitat de Cataluña 6/2013, de 23 de diciembre. Modifica la Ley 22/2010, de 20 de julio, del Código de consumo de Cataluña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2" w:history="1">
        <w:r w:rsidRPr="0057104C">
          <w:rPr>
            <w:rStyle w:val="TextoNormalCaracter"/>
          </w:rPr>
          <w:t>62/2016</w:t>
        </w:r>
      </w:hyperlink>
      <w:r>
        <w:t>, ff. 1, 2, VPI, VPII.</w:t>
      </w:r>
    </w:p>
    <w:p w:rsidR="0057104C" w:rsidRDefault="0057104C" w:rsidP="0057104C">
      <w:pPr>
        <w:pStyle w:val="SangriaIzquierdaArticulo"/>
      </w:pPr>
      <w:r>
        <w:t xml:space="preserve">Auto </w:t>
      </w:r>
      <w:hyperlink w:anchor="AUTO_2016_72" w:history="1">
        <w:r w:rsidRPr="0057104C">
          <w:rPr>
            <w:rStyle w:val="TextoNormalCaracter"/>
          </w:rPr>
          <w:t>72/2016</w:t>
        </w:r>
      </w:hyperlink>
      <w:r>
        <w:t>, ff. 1, 2.</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62" w:history="1">
        <w:r w:rsidRPr="0057104C">
          <w:rPr>
            <w:rStyle w:val="TextoNormalCaracter"/>
          </w:rPr>
          <w:t>62/2016</w:t>
        </w:r>
      </w:hyperlink>
      <w:r>
        <w:t>, f. 3.</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62" w:history="1">
        <w:r w:rsidRPr="0057104C">
          <w:rPr>
            <w:rStyle w:val="TextoNormalCaracter"/>
          </w:rPr>
          <w:t>62/2016</w:t>
        </w:r>
      </w:hyperlink>
      <w:r>
        <w:t>, ff. 3, 5, 8, 11, VPI.</w:t>
      </w:r>
    </w:p>
    <w:p w:rsidR="0057104C" w:rsidRDefault="0057104C" w:rsidP="0057104C">
      <w:pPr>
        <w:pStyle w:val="SangriaIzquierdaArticulo"/>
      </w:pPr>
      <w:r>
        <w:t xml:space="preserve">Auto </w:t>
      </w:r>
      <w:hyperlink w:anchor="AUTO_2016_72" w:history="1">
        <w:r w:rsidRPr="0057104C">
          <w:rPr>
            <w:rStyle w:val="TextoNormalCaracter"/>
          </w:rPr>
          <w:t>72/2016</w:t>
        </w:r>
      </w:hyperlink>
      <w:r>
        <w:t>, f. 2.</w:t>
      </w:r>
    </w:p>
    <w:p w:rsidR="0057104C" w:rsidRDefault="0057104C" w:rsidP="0057104C">
      <w:pPr>
        <w:pStyle w:val="SangriaFrancesaArticulo"/>
      </w:pPr>
      <w:r w:rsidRPr="0057104C">
        <w:rPr>
          <w:rStyle w:val="TextoNormalNegritaCaracter"/>
        </w:rPr>
        <w:t>Disposición transitoria.</w:t>
      </w:r>
      <w:r w:rsidRPr="0057104C">
        <w:rPr>
          <w:rStyle w:val="TextoNormalCaracter"/>
        </w:rPr>
        <w:t>-</w:t>
      </w:r>
      <w:r>
        <w:t xml:space="preserve"> Sentencia </w:t>
      </w:r>
      <w:hyperlink w:anchor="SENTENCIA_2016_62" w:history="1">
        <w:r w:rsidRPr="0057104C">
          <w:rPr>
            <w:rStyle w:val="TextoNormalCaracter"/>
          </w:rPr>
          <w:t>62/2016</w:t>
        </w:r>
      </w:hyperlink>
      <w:r>
        <w:t>, f. 3.</w:t>
      </w:r>
    </w:p>
    <w:p w:rsidR="0057104C" w:rsidRDefault="0057104C" w:rsidP="0057104C">
      <w:pPr>
        <w:pStyle w:val="SangriaFrancesaArticulo"/>
      </w:pPr>
    </w:p>
    <w:p w:rsidR="0057104C" w:rsidRDefault="0057104C" w:rsidP="0057104C">
      <w:pPr>
        <w:pStyle w:val="TextoNormalNegritaCursivandice"/>
      </w:pPr>
      <w:r>
        <w:t>Ley del Parlamento de Cataluña 2/2014, de 27 de enero. Medidas fiscales, administrativas, financieras y del sector público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ff. 6 a 8.</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73" w:history="1">
        <w:r w:rsidRPr="0057104C">
          <w:rPr>
            <w:rStyle w:val="TextoNormalCaracter"/>
          </w:rPr>
          <w:t>73/2016</w:t>
        </w:r>
      </w:hyperlink>
      <w:r>
        <w:t>, f. 6.</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73" w:history="1">
        <w:r w:rsidRPr="0057104C">
          <w:rPr>
            <w:rStyle w:val="TextoNormalCaracter"/>
          </w:rPr>
          <w:t>73/2016</w:t>
        </w:r>
      </w:hyperlink>
      <w:r>
        <w:t>, f. 8.</w:t>
      </w:r>
    </w:p>
    <w:p w:rsidR="0057104C" w:rsidRDefault="0057104C" w:rsidP="0057104C">
      <w:pPr>
        <w:pStyle w:val="SangriaFrancesaArticulo"/>
      </w:pPr>
      <w:r w:rsidRPr="0057104C">
        <w:rPr>
          <w:rStyle w:val="TextoNormalNegritaCaracter"/>
        </w:rPr>
        <w:t>Artículo 167.1.</w:t>
      </w:r>
      <w:r w:rsidRPr="0057104C">
        <w:rPr>
          <w:rStyle w:val="TextoNormalCaracter"/>
        </w:rPr>
        <w:t>-</w:t>
      </w:r>
      <w:r>
        <w:t xml:space="preserve"> Sentencia </w:t>
      </w:r>
      <w:hyperlink w:anchor="SENTENCIA_2016_73" w:history="1">
        <w:r w:rsidRPr="0057104C">
          <w:rPr>
            <w:rStyle w:val="TextoNormalCaracter"/>
          </w:rPr>
          <w:t>73/2016</w:t>
        </w:r>
      </w:hyperlink>
      <w:r>
        <w:t>, ff. 1, 7, 10, VP I, VP II.</w:t>
      </w:r>
    </w:p>
    <w:p w:rsidR="0057104C" w:rsidRDefault="0057104C" w:rsidP="0057104C">
      <w:pPr>
        <w:pStyle w:val="SangriaFrancesaArticulo"/>
      </w:pPr>
      <w:r w:rsidRPr="0057104C">
        <w:rPr>
          <w:rStyle w:val="TextoNormalNegritaCaracter"/>
        </w:rPr>
        <w:t>Disposición adicional vigésima séptima.</w:t>
      </w:r>
      <w:r w:rsidRPr="0057104C">
        <w:rPr>
          <w:rStyle w:val="TextoNormalCaracter"/>
        </w:rPr>
        <w:t>-</w:t>
      </w:r>
      <w:r>
        <w:t xml:space="preserve"> Auto </w:t>
      </w:r>
      <w:hyperlink w:anchor="AUTO_2016_41" w:history="1">
        <w:r w:rsidRPr="0057104C">
          <w:rPr>
            <w:rStyle w:val="TextoNormalCaracter"/>
          </w:rPr>
          <w:t>41/2016</w:t>
        </w:r>
      </w:hyperlink>
      <w:r>
        <w:t>, f. 3.</w:t>
      </w:r>
    </w:p>
    <w:p w:rsidR="0057104C" w:rsidRDefault="0057104C" w:rsidP="0057104C">
      <w:pPr>
        <w:pStyle w:val="SangriaFrancesaArticulo"/>
      </w:pPr>
      <w:r w:rsidRPr="0057104C">
        <w:rPr>
          <w:rStyle w:val="TextoNormalNegritaCaracter"/>
        </w:rPr>
        <w:t>Disposición adicional vigesimoséptima.</w:t>
      </w:r>
      <w:r w:rsidRPr="0057104C">
        <w:rPr>
          <w:rStyle w:val="TextoNormalCaracter"/>
        </w:rPr>
        <w:t>-</w:t>
      </w:r>
      <w:r>
        <w:t xml:space="preserve"> Sentencia </w:t>
      </w:r>
      <w:hyperlink w:anchor="SENTENCIA_2016_73" w:history="1">
        <w:r w:rsidRPr="0057104C">
          <w:rPr>
            <w:rStyle w:val="TextoNormalCaracter"/>
          </w:rPr>
          <w:t>73/2016</w:t>
        </w:r>
      </w:hyperlink>
      <w:r>
        <w:t>, ff. 4, 6.</w:t>
      </w:r>
    </w:p>
    <w:p w:rsidR="0057104C" w:rsidRDefault="0057104C" w:rsidP="0057104C">
      <w:pPr>
        <w:pStyle w:val="SangriaFrancesaArticulo"/>
      </w:pPr>
      <w:r w:rsidRPr="0057104C">
        <w:rPr>
          <w:rStyle w:val="TextoNormalNegritaCaracter"/>
        </w:rPr>
        <w:t>Disposición transitoria quinta.</w:t>
      </w:r>
      <w:r w:rsidRPr="0057104C">
        <w:rPr>
          <w:rStyle w:val="TextoNormalCaracter"/>
        </w:rPr>
        <w:t>-</w:t>
      </w:r>
      <w:r>
        <w:t xml:space="preserve"> Sentencia </w:t>
      </w:r>
      <w:hyperlink w:anchor="SENTENCIA_2016_73" w:history="1">
        <w:r w:rsidRPr="0057104C">
          <w:rPr>
            <w:rStyle w:val="TextoNormalCaracter"/>
          </w:rPr>
          <w:t>73/2016</w:t>
        </w:r>
      </w:hyperlink>
      <w:r>
        <w:t>, ff. 1 a 3.</w:t>
      </w:r>
    </w:p>
    <w:p w:rsidR="0057104C" w:rsidRDefault="0057104C" w:rsidP="0057104C">
      <w:pPr>
        <w:pStyle w:val="SangriaFrancesaArticulo"/>
      </w:pPr>
      <w:r w:rsidRPr="0057104C">
        <w:rPr>
          <w:rStyle w:val="TextoNormalNegritaCaracter"/>
        </w:rPr>
        <w:t>Disposición transitoria quinta, apartado 2</w:t>
      </w:r>
      <w:r>
        <w:t xml:space="preserve"> (redactado por la Ley del Parlamento de Cataluña 3/2015, de 11 de marzo)</w:t>
      </w:r>
      <w:r w:rsidRPr="0057104C">
        <w:rPr>
          <w:rStyle w:val="TextoNormalNegritaCaracter"/>
        </w:rPr>
        <w:t>.</w:t>
      </w:r>
      <w:r w:rsidRPr="0057104C">
        <w:rPr>
          <w:rStyle w:val="TextoNormalCaracter"/>
        </w:rPr>
        <w:t>-</w:t>
      </w:r>
      <w:r>
        <w:t xml:space="preserve"> Sentencia </w:t>
      </w:r>
      <w:hyperlink w:anchor="SENTENCIA_2016_73" w:history="1">
        <w:r w:rsidRPr="0057104C">
          <w:rPr>
            <w:rStyle w:val="TextoNormalCaracter"/>
          </w:rPr>
          <w:t>73/2016</w:t>
        </w:r>
      </w:hyperlink>
      <w:r>
        <w:t>, f. 2.</w:t>
      </w:r>
    </w:p>
    <w:p w:rsidR="0057104C" w:rsidRDefault="0057104C" w:rsidP="0057104C">
      <w:pPr>
        <w:pStyle w:val="SangriaFrancesaArticulo"/>
      </w:pPr>
      <w:r w:rsidRPr="0057104C">
        <w:rPr>
          <w:rStyle w:val="TextoNormalNegritaCaracter"/>
        </w:rPr>
        <w:t>Disposición transitoria octava.</w:t>
      </w:r>
      <w:r w:rsidRPr="0057104C">
        <w:rPr>
          <w:rStyle w:val="TextoNormalCaracter"/>
        </w:rPr>
        <w:t>-</w:t>
      </w:r>
      <w:r>
        <w:t xml:space="preserve"> Sentencia </w:t>
      </w:r>
      <w:hyperlink w:anchor="SENTENCIA_2016_73" w:history="1">
        <w:r w:rsidRPr="0057104C">
          <w:rPr>
            <w:rStyle w:val="TextoNormalCaracter"/>
          </w:rPr>
          <w:t>73/2016</w:t>
        </w:r>
      </w:hyperlink>
      <w:r>
        <w:t>, ff. 1, 2, 4, 6.</w:t>
      </w:r>
    </w:p>
    <w:p w:rsidR="0057104C" w:rsidRDefault="0057104C" w:rsidP="0057104C">
      <w:pPr>
        <w:pStyle w:val="SangriaFrancesaArticulo"/>
      </w:pPr>
    </w:p>
    <w:p w:rsidR="0057104C" w:rsidRDefault="0057104C" w:rsidP="0057104C">
      <w:pPr>
        <w:pStyle w:val="TextoNormalNegritaCursivandice"/>
      </w:pPr>
      <w:r>
        <w:t>Ley del Parlamento de Cataluña 12/2014, de 10 de octubre. Impuesto sobre la emisión de óxidos de nitrógeno a la atmósfera producida por la aviación comercial, del impuesto sobre la emisión de gases y partículas a la atmósfera producida por la industria y del impuesto sobre la producción de energía eléctrica de origen nuclear</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4" w:history="1">
        <w:r w:rsidRPr="0057104C">
          <w:rPr>
            <w:rStyle w:val="TextoNormalCaracter"/>
          </w:rPr>
          <w:t>74/2016</w:t>
        </w:r>
      </w:hyperlink>
      <w:r>
        <w:t>, f. 1, VP.</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74" w:history="1">
        <w:r w:rsidRPr="0057104C">
          <w:rPr>
            <w:rStyle w:val="TextoNormalCaracter"/>
          </w:rPr>
          <w:t>74/2016</w:t>
        </w:r>
      </w:hyperlink>
      <w:r>
        <w:t>, f. 3, VP.</w:t>
      </w:r>
    </w:p>
    <w:p w:rsidR="0057104C" w:rsidRDefault="0057104C" w:rsidP="0057104C">
      <w:pPr>
        <w:pStyle w:val="SangriaFrancesaArticulo"/>
      </w:pPr>
      <w:r w:rsidRPr="0057104C">
        <w:rPr>
          <w:rStyle w:val="TextoNormalNegritaCaracter"/>
        </w:rPr>
        <w:t>Artículo 1.1 c).</w:t>
      </w:r>
      <w:r w:rsidRPr="0057104C">
        <w:rPr>
          <w:rStyle w:val="TextoNormalCaracter"/>
        </w:rPr>
        <w:t>-</w:t>
      </w:r>
      <w:r>
        <w:t xml:space="preserve"> Sentencia </w:t>
      </w:r>
      <w:hyperlink w:anchor="SENTENCIA_2016_74" w:history="1">
        <w:r w:rsidRPr="0057104C">
          <w:rPr>
            <w:rStyle w:val="TextoNormalCaracter"/>
          </w:rPr>
          <w:t>74/2016</w:t>
        </w:r>
      </w:hyperlink>
      <w:r>
        <w:t>, ff. 1, 4.</w:t>
      </w:r>
    </w:p>
    <w:p w:rsidR="0057104C" w:rsidRDefault="0057104C" w:rsidP="0057104C">
      <w:pPr>
        <w:pStyle w:val="SangriaFrancesaArticulo"/>
      </w:pPr>
      <w:r w:rsidRPr="0057104C">
        <w:rPr>
          <w:rStyle w:val="TextoNormalNegritaCaracter"/>
        </w:rPr>
        <w:t>Artículo 15.1 a).</w:t>
      </w:r>
      <w:r w:rsidRPr="0057104C">
        <w:rPr>
          <w:rStyle w:val="TextoNormalCaracter"/>
        </w:rPr>
        <w:t>-</w:t>
      </w:r>
      <w:r>
        <w:t xml:space="preserve"> Sentencia </w:t>
      </w:r>
      <w:hyperlink w:anchor="SENTENCIA_2016_74" w:history="1">
        <w:r w:rsidRPr="0057104C">
          <w:rPr>
            <w:rStyle w:val="TextoNormalCaracter"/>
          </w:rPr>
          <w:t>74/2016</w:t>
        </w:r>
      </w:hyperlink>
      <w:r>
        <w:t>, f. 3.</w:t>
      </w:r>
    </w:p>
    <w:p w:rsidR="0057104C" w:rsidRDefault="0057104C" w:rsidP="0057104C">
      <w:pPr>
        <w:pStyle w:val="SangriaFrancesaArticulo"/>
      </w:pPr>
      <w:r w:rsidRPr="0057104C">
        <w:rPr>
          <w:rStyle w:val="TextoNormalNegritaCaracter"/>
        </w:rPr>
        <w:t>Artículo 15.1 b).</w:t>
      </w:r>
      <w:r w:rsidRPr="0057104C">
        <w:rPr>
          <w:rStyle w:val="TextoNormalCaracter"/>
        </w:rPr>
        <w:t>-</w:t>
      </w:r>
      <w:r>
        <w:t xml:space="preserve"> Sentencia </w:t>
      </w:r>
      <w:hyperlink w:anchor="SENTENCIA_2016_74" w:history="1">
        <w:r w:rsidRPr="0057104C">
          <w:rPr>
            <w:rStyle w:val="TextoNormalCaracter"/>
          </w:rPr>
          <w:t>74/2016</w:t>
        </w:r>
      </w:hyperlink>
      <w:r>
        <w:t>, f. 3.</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74" w:history="1">
        <w:r w:rsidRPr="0057104C">
          <w:rPr>
            <w:rStyle w:val="TextoNormalCaracter"/>
          </w:rPr>
          <w:t>74/2016</w:t>
        </w:r>
      </w:hyperlink>
      <w:r>
        <w:t>, ff. 1, 3, VP.</w:t>
      </w:r>
    </w:p>
    <w:p w:rsidR="0057104C" w:rsidRDefault="0057104C" w:rsidP="0057104C">
      <w:pPr>
        <w:pStyle w:val="SangriaFrancesaArticulo"/>
      </w:pPr>
      <w:r w:rsidRPr="0057104C">
        <w:rPr>
          <w:rStyle w:val="TextoNormalNegritaCaracter"/>
        </w:rPr>
        <w:t>Artículos 21 a 30.</w:t>
      </w:r>
      <w:r w:rsidRPr="0057104C">
        <w:rPr>
          <w:rStyle w:val="TextoNormalCaracter"/>
        </w:rPr>
        <w:t>-</w:t>
      </w:r>
      <w:r>
        <w:t xml:space="preserve"> Sentencia </w:t>
      </w:r>
      <w:hyperlink w:anchor="SENTENCIA_2016_74" w:history="1">
        <w:r w:rsidRPr="0057104C">
          <w:rPr>
            <w:rStyle w:val="TextoNormalCaracter"/>
          </w:rPr>
          <w:t>74/2016</w:t>
        </w:r>
      </w:hyperlink>
      <w:r>
        <w:t>, ff. 1, 4.</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74" w:history="1">
        <w:r w:rsidRPr="0057104C">
          <w:rPr>
            <w:rStyle w:val="TextoNormalCaracter"/>
          </w:rPr>
          <w:t>74/2016</w:t>
        </w:r>
      </w:hyperlink>
      <w:r>
        <w:t>, f. 3.</w:t>
      </w:r>
    </w:p>
    <w:p w:rsidR="0057104C" w:rsidRDefault="0057104C" w:rsidP="0057104C">
      <w:pPr>
        <w:pStyle w:val="SangriaFrancesaArticulo"/>
      </w:pPr>
      <w:r w:rsidRPr="0057104C">
        <w:rPr>
          <w:rStyle w:val="TextoNormalNegritaCaracter"/>
        </w:rPr>
        <w:t>Artículo 22.1.</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r w:rsidRPr="0057104C">
        <w:rPr>
          <w:rStyle w:val="TextoNormalNegritaCaracter"/>
        </w:rPr>
        <w:t>Artículo 22.2.</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r w:rsidRPr="0057104C">
        <w:rPr>
          <w:rStyle w:val="TextoNormalNegritaCaracter"/>
        </w:rPr>
        <w:t>Artículo 23.</w:t>
      </w:r>
      <w:r w:rsidRPr="0057104C">
        <w:rPr>
          <w:rStyle w:val="TextoNormalCaracter"/>
        </w:rPr>
        <w:t>-</w:t>
      </w:r>
      <w:r>
        <w:t xml:space="preserve"> Sentencia </w:t>
      </w:r>
      <w:hyperlink w:anchor="SENTENCIA_2016_74" w:history="1">
        <w:r w:rsidRPr="0057104C">
          <w:rPr>
            <w:rStyle w:val="TextoNormalCaracter"/>
          </w:rPr>
          <w:t>74/2016</w:t>
        </w:r>
      </w:hyperlink>
      <w:r>
        <w:t>, ff. 1, 3, VP.</w:t>
      </w:r>
    </w:p>
    <w:p w:rsidR="0057104C" w:rsidRDefault="0057104C" w:rsidP="0057104C">
      <w:pPr>
        <w:pStyle w:val="SangriaFrancesaArticulo"/>
      </w:pPr>
      <w:r w:rsidRPr="0057104C">
        <w:rPr>
          <w:rStyle w:val="TextoNormalNegritaCaracter"/>
        </w:rPr>
        <w:t>Artículo 24.</w:t>
      </w:r>
      <w:r w:rsidRPr="0057104C">
        <w:rPr>
          <w:rStyle w:val="TextoNormalCaracter"/>
        </w:rPr>
        <w:t>-</w:t>
      </w:r>
      <w:r>
        <w:t xml:space="preserve"> Sentencia </w:t>
      </w:r>
      <w:hyperlink w:anchor="SENTENCIA_2016_74" w:history="1">
        <w:r w:rsidRPr="0057104C">
          <w:rPr>
            <w:rStyle w:val="TextoNormalCaracter"/>
          </w:rPr>
          <w:t>74/2016</w:t>
        </w:r>
      </w:hyperlink>
      <w:r>
        <w:t>, f. 3.</w:t>
      </w:r>
    </w:p>
    <w:p w:rsidR="0057104C" w:rsidRDefault="0057104C" w:rsidP="0057104C">
      <w:pPr>
        <w:pStyle w:val="SangriaFrancesaArticulo"/>
      </w:pPr>
      <w:r w:rsidRPr="0057104C">
        <w:rPr>
          <w:rStyle w:val="TextoNormalNegritaCaracter"/>
        </w:rPr>
        <w:t>Artículo 26.</w:t>
      </w:r>
      <w:r w:rsidRPr="0057104C">
        <w:rPr>
          <w:rStyle w:val="TextoNormalCaracter"/>
        </w:rPr>
        <w:t>-</w:t>
      </w:r>
      <w:r>
        <w:t xml:space="preserve"> Sentencia </w:t>
      </w:r>
      <w:hyperlink w:anchor="SENTENCIA_2016_74" w:history="1">
        <w:r w:rsidRPr="0057104C">
          <w:rPr>
            <w:rStyle w:val="TextoNormalCaracter"/>
          </w:rPr>
          <w:t>74/2016</w:t>
        </w:r>
      </w:hyperlink>
      <w:r>
        <w:t>, ff. 3, 4.</w:t>
      </w:r>
    </w:p>
    <w:p w:rsidR="0057104C" w:rsidRDefault="0057104C" w:rsidP="0057104C">
      <w:pPr>
        <w:pStyle w:val="SangriaFrancesaArticulo"/>
      </w:pPr>
      <w:r w:rsidRPr="0057104C">
        <w:rPr>
          <w:rStyle w:val="TextoNormalNegritaCaracter"/>
        </w:rPr>
        <w:t>Artículo 27.</w:t>
      </w:r>
      <w:r w:rsidRPr="0057104C">
        <w:rPr>
          <w:rStyle w:val="TextoNormalCaracter"/>
        </w:rPr>
        <w:t>-</w:t>
      </w:r>
      <w:r>
        <w:t xml:space="preserve"> Sentencia </w:t>
      </w:r>
      <w:hyperlink w:anchor="SENTENCIA_2016_74" w:history="1">
        <w:r w:rsidRPr="0057104C">
          <w:rPr>
            <w:rStyle w:val="TextoNormalCaracter"/>
          </w:rPr>
          <w:t>74/2016</w:t>
        </w:r>
      </w:hyperlink>
      <w:r>
        <w:t>, ff. 3, 4.</w:t>
      </w:r>
    </w:p>
    <w:p w:rsidR="0057104C" w:rsidRDefault="0057104C" w:rsidP="0057104C">
      <w:pPr>
        <w:pStyle w:val="SangriaFrancesaArticulo"/>
      </w:pPr>
      <w:r w:rsidRPr="0057104C">
        <w:rPr>
          <w:rStyle w:val="TextoNormalNegritaCaracter"/>
        </w:rPr>
        <w:t>Artículo 28.</w:t>
      </w:r>
      <w:r w:rsidRPr="0057104C">
        <w:rPr>
          <w:rStyle w:val="TextoNormalCaracter"/>
        </w:rPr>
        <w:t>-</w:t>
      </w:r>
      <w:r>
        <w:t xml:space="preserve"> Sentencia </w:t>
      </w:r>
      <w:hyperlink w:anchor="SENTENCIA_2016_74" w:history="1">
        <w:r w:rsidRPr="0057104C">
          <w:rPr>
            <w:rStyle w:val="TextoNormalCaracter"/>
          </w:rPr>
          <w:t>74/2016</w:t>
        </w:r>
      </w:hyperlink>
      <w:r>
        <w:t>, f. 3.</w:t>
      </w:r>
    </w:p>
    <w:p w:rsidR="0057104C" w:rsidRDefault="0057104C" w:rsidP="0057104C">
      <w:pPr>
        <w:pStyle w:val="SangriaFrancesaArticulo"/>
      </w:pPr>
    </w:p>
    <w:p w:rsidR="0057104C" w:rsidRDefault="0057104C" w:rsidP="0057104C">
      <w:pPr>
        <w:pStyle w:val="TextoNormalNegritaCursivandice"/>
      </w:pPr>
      <w:r>
        <w:t>Ley del Parlamento de Cataluña 16/2014, de 4 de diciembre. Acción exterior y de relaciones con la Unión Europea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30" w:history="1">
        <w:r w:rsidRPr="0057104C">
          <w:rPr>
            <w:rStyle w:val="TextoNormalCaracter"/>
          </w:rPr>
          <w:t>130/2016</w:t>
        </w:r>
      </w:hyperlink>
      <w:r>
        <w:t>, ff. 2, 6, 8.</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Auto </w:t>
      </w:r>
      <w:hyperlink w:anchor="AUTO_2016_130" w:history="1">
        <w:r w:rsidRPr="0057104C">
          <w:rPr>
            <w:rStyle w:val="TextoNormalCaracter"/>
          </w:rPr>
          <w:t>130/2016</w:t>
        </w:r>
      </w:hyperlink>
      <w:r>
        <w:t>, f. 8.</w:t>
      </w:r>
    </w:p>
    <w:p w:rsidR="0057104C" w:rsidRDefault="0057104C" w:rsidP="0057104C">
      <w:pPr>
        <w:pStyle w:val="SangriaFrancesaArticulo"/>
      </w:pPr>
      <w:r w:rsidRPr="0057104C">
        <w:rPr>
          <w:rStyle w:val="TextoNormalNegritaCaracter"/>
        </w:rPr>
        <w:t>Artículos 1 a 4.</w:t>
      </w:r>
      <w:r w:rsidRPr="0057104C">
        <w:rPr>
          <w:rStyle w:val="TextoNormalCaracter"/>
        </w:rPr>
        <w:t>-</w:t>
      </w:r>
      <w:r>
        <w:t xml:space="preserve"> Auto </w:t>
      </w:r>
      <w:hyperlink w:anchor="AUTO_2016_130" w:history="1">
        <w:r w:rsidRPr="0057104C">
          <w:rPr>
            <w:rStyle w:val="TextoNormalCaracter"/>
          </w:rPr>
          <w:t>130/2016</w:t>
        </w:r>
      </w:hyperlink>
      <w:r>
        <w:t>, f. 8.</w:t>
      </w:r>
    </w:p>
    <w:p w:rsidR="0057104C" w:rsidRDefault="0057104C" w:rsidP="0057104C">
      <w:pPr>
        <w:pStyle w:val="SangriaFrancesaArticulo"/>
      </w:pPr>
    </w:p>
    <w:p w:rsidR="0057104C" w:rsidRDefault="0057104C" w:rsidP="0057104C">
      <w:pPr>
        <w:pStyle w:val="TextoNormalNegritaCursivandice"/>
      </w:pPr>
      <w:r>
        <w:t>Decreto-ley de la Generalitat de Cataluña 7/2014, de 23 de diciembre. Deroga la letra b) del apartado 3 y el segundo párrafo del apartado 4 del artículo 9 del Decreto ley 1/2009, de 22 de diciembre, de ordenación de los equipamientos comerciales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 4.</w:t>
      </w:r>
    </w:p>
    <w:p w:rsidR="0057104C" w:rsidRDefault="0057104C" w:rsidP="0057104C">
      <w:pPr>
        <w:pStyle w:val="SangriaIzquierdaArticulo"/>
      </w:pPr>
      <w:r>
        <w:t xml:space="preserve">Auto </w:t>
      </w:r>
      <w:hyperlink w:anchor="AUTO_2016_41" w:history="1">
        <w:r w:rsidRPr="0057104C">
          <w:rPr>
            <w:rStyle w:val="TextoNormalCaracter"/>
          </w:rPr>
          <w:t>41/2016</w:t>
        </w:r>
      </w:hyperlink>
      <w:r>
        <w:t>, f. 1.</w:t>
      </w:r>
    </w:p>
    <w:p w:rsidR="0057104C" w:rsidRDefault="0057104C" w:rsidP="0057104C">
      <w:pPr>
        <w:pStyle w:val="SangriaFrancesaArticulo"/>
      </w:pPr>
      <w:r w:rsidRPr="0057104C">
        <w:rPr>
          <w:rStyle w:val="TextoNormalNegritaCaracter"/>
        </w:rPr>
        <w:t>Artículo único.</w:t>
      </w:r>
      <w:r w:rsidRPr="0057104C">
        <w:rPr>
          <w:rStyle w:val="TextoNormalCaracter"/>
        </w:rPr>
        <w:t>-</w:t>
      </w:r>
      <w:r>
        <w:t xml:space="preserve"> Sentencia </w:t>
      </w:r>
      <w:hyperlink w:anchor="SENTENCIA_2016_73" w:history="1">
        <w:r w:rsidRPr="0057104C">
          <w:rPr>
            <w:rStyle w:val="TextoNormalCaracter"/>
          </w:rPr>
          <w:t>73/2016</w:t>
        </w:r>
      </w:hyperlink>
      <w:r>
        <w:t>, f. 2.</w:t>
      </w:r>
    </w:p>
    <w:p w:rsidR="0057104C" w:rsidRDefault="0057104C" w:rsidP="0057104C">
      <w:pPr>
        <w:pStyle w:val="SangriaFrancesaArticulo"/>
      </w:pPr>
      <w:r w:rsidRPr="0057104C">
        <w:rPr>
          <w:rStyle w:val="TextoNormalNegritaCaracter"/>
        </w:rPr>
        <w:t>Artículo 9.3.</w:t>
      </w:r>
      <w:r w:rsidRPr="0057104C">
        <w:rPr>
          <w:rStyle w:val="TextoNormalCaracter"/>
        </w:rPr>
        <w:t>-</w:t>
      </w:r>
      <w:r>
        <w:t xml:space="preserve"> Auto </w:t>
      </w:r>
      <w:hyperlink w:anchor="AUTO_2016_41" w:history="1">
        <w:r w:rsidRPr="0057104C">
          <w:rPr>
            <w:rStyle w:val="TextoNormalCaracter"/>
          </w:rPr>
          <w:t>41/2016</w:t>
        </w:r>
      </w:hyperlink>
      <w:r>
        <w:t>, f. 3.</w:t>
      </w:r>
    </w:p>
    <w:p w:rsidR="0057104C" w:rsidRDefault="0057104C" w:rsidP="0057104C">
      <w:pPr>
        <w:pStyle w:val="SangriaFrancesaArticulo"/>
      </w:pPr>
      <w:r w:rsidRPr="0057104C">
        <w:rPr>
          <w:rStyle w:val="TextoNormalNegritaCaracter"/>
        </w:rPr>
        <w:t>Artículo 9.4.</w:t>
      </w:r>
      <w:r w:rsidRPr="0057104C">
        <w:rPr>
          <w:rStyle w:val="TextoNormalCaracter"/>
        </w:rPr>
        <w:t>-</w:t>
      </w:r>
      <w:r>
        <w:t xml:space="preserve"> Auto </w:t>
      </w:r>
      <w:hyperlink w:anchor="AUTO_2016_41" w:history="1">
        <w:r w:rsidRPr="0057104C">
          <w:rPr>
            <w:rStyle w:val="TextoNormalCaracter"/>
          </w:rPr>
          <w:t>41/2016</w:t>
        </w:r>
      </w:hyperlink>
      <w:r>
        <w:t>, f. 3.</w:t>
      </w:r>
    </w:p>
    <w:p w:rsidR="0057104C" w:rsidRDefault="0057104C" w:rsidP="0057104C">
      <w:pPr>
        <w:pStyle w:val="SangriaFrancesaArticulo"/>
      </w:pPr>
    </w:p>
    <w:p w:rsidR="0057104C" w:rsidRDefault="0057104C" w:rsidP="0057104C">
      <w:pPr>
        <w:pStyle w:val="TextoNormalNegritaCursivandice"/>
      </w:pPr>
      <w:r>
        <w:t>Ley del Parlamento de Cataluña 20/2014, de 29 de diciembre. Modifica la Ley 22/2010, de 20 de julio, del Código de consumo de Cataluña, para la mejora de la protección de las personas consumidoras en materia de créditos y préstamos hipotecarios, vulnerabilidad económica y relaciones de consumo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72" w:history="1">
        <w:r w:rsidRPr="0057104C">
          <w:rPr>
            <w:rStyle w:val="TextoNormalCaracter"/>
          </w:rPr>
          <w:t>72/2016</w:t>
        </w:r>
      </w:hyperlink>
      <w:r>
        <w:t>, f. 1.</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62" w:history="1">
        <w:r w:rsidRPr="0057104C">
          <w:rPr>
            <w:rStyle w:val="TextoNormalCaracter"/>
          </w:rPr>
          <w:t>62/2016</w:t>
        </w:r>
      </w:hyperlink>
      <w:r>
        <w:t>, f. 2.</w:t>
      </w:r>
    </w:p>
    <w:p w:rsidR="0057104C" w:rsidRDefault="0057104C" w:rsidP="0057104C">
      <w:pPr>
        <w:pStyle w:val="SangriaIzquierdaArticulo"/>
      </w:pPr>
      <w:r>
        <w:t xml:space="preserve">Auto </w:t>
      </w:r>
      <w:hyperlink w:anchor="AUTO_2016_72" w:history="1">
        <w:r w:rsidRPr="0057104C">
          <w:rPr>
            <w:rStyle w:val="TextoNormalCaracter"/>
          </w:rPr>
          <w:t>72/2016</w:t>
        </w:r>
      </w:hyperlink>
      <w:r>
        <w:t>, ff. 1, 2.</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Auto </w:t>
      </w:r>
      <w:hyperlink w:anchor="AUTO_2016_72" w:history="1">
        <w:r w:rsidRPr="0057104C">
          <w:rPr>
            <w:rStyle w:val="TextoNormalCaracter"/>
          </w:rPr>
          <w:t>72/2016</w:t>
        </w:r>
      </w:hyperlink>
      <w:r>
        <w:t>, ff. 1, 4.</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Auto </w:t>
      </w:r>
      <w:hyperlink w:anchor="AUTO_2016_72" w:history="1">
        <w:r w:rsidRPr="0057104C">
          <w:rPr>
            <w:rStyle w:val="TextoNormalCaracter"/>
          </w:rPr>
          <w:t>72/2016</w:t>
        </w:r>
      </w:hyperlink>
      <w:r>
        <w:t>, ff. 1, 4.</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 </w:t>
      </w:r>
      <w:hyperlink w:anchor="SENTENCIA_2016_62" w:history="1">
        <w:r w:rsidRPr="0057104C">
          <w:rPr>
            <w:rStyle w:val="TextoNormalCaracter"/>
          </w:rPr>
          <w:t>62/2016</w:t>
        </w:r>
      </w:hyperlink>
      <w:r>
        <w:t>, f. 2.</w:t>
      </w:r>
    </w:p>
    <w:p w:rsidR="0057104C" w:rsidRDefault="0057104C" w:rsidP="0057104C">
      <w:pPr>
        <w:pStyle w:val="SangriaIzquierdaArticulo"/>
      </w:pPr>
      <w:r>
        <w:t xml:space="preserve">Auto </w:t>
      </w:r>
      <w:hyperlink w:anchor="AUTO_2016_72" w:history="1">
        <w:r w:rsidRPr="0057104C">
          <w:rPr>
            <w:rStyle w:val="TextoNormalCaracter"/>
          </w:rPr>
          <w:t>72/2016</w:t>
        </w:r>
      </w:hyperlink>
      <w:r>
        <w:t>, ff. 1, 2.</w:t>
      </w:r>
    </w:p>
    <w:p w:rsidR="0057104C" w:rsidRDefault="0057104C" w:rsidP="0057104C">
      <w:pPr>
        <w:pStyle w:val="SangriaFrancesaArticulo"/>
      </w:pPr>
      <w:r w:rsidRPr="0057104C">
        <w:rPr>
          <w:rStyle w:val="TextoNormalNegritaCaracter"/>
        </w:rPr>
        <w:t>Artículo 18.2.</w:t>
      </w:r>
      <w:r w:rsidRPr="0057104C">
        <w:rPr>
          <w:rStyle w:val="TextoNormalCaracter"/>
        </w:rPr>
        <w:t>-</w:t>
      </w:r>
      <w:r>
        <w:t xml:space="preserve"> Auto </w:t>
      </w:r>
      <w:hyperlink w:anchor="AUTO_2016_72" w:history="1">
        <w:r w:rsidRPr="0057104C">
          <w:rPr>
            <w:rStyle w:val="TextoNormalCaracter"/>
          </w:rPr>
          <w:t>72/2016</w:t>
        </w:r>
      </w:hyperlink>
      <w:r>
        <w:t>, ff. 1, 2.</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Auto </w:t>
      </w:r>
      <w:hyperlink w:anchor="AUTO_2016_72" w:history="1">
        <w:r w:rsidRPr="0057104C">
          <w:rPr>
            <w:rStyle w:val="TextoNormalCaracter"/>
          </w:rPr>
          <w:t>72/2016</w:t>
        </w:r>
      </w:hyperlink>
      <w:r>
        <w:t>, ff. 1, 4.</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Auto </w:t>
      </w:r>
      <w:hyperlink w:anchor="AUTO_2016_72" w:history="1">
        <w:r w:rsidRPr="0057104C">
          <w:rPr>
            <w:rStyle w:val="TextoNormalCaracter"/>
          </w:rPr>
          <w:t>72/2016</w:t>
        </w:r>
      </w:hyperlink>
      <w:r>
        <w:t>, ff. 1, 3.</w:t>
      </w:r>
    </w:p>
    <w:p w:rsidR="0057104C" w:rsidRDefault="0057104C" w:rsidP="0057104C">
      <w:pPr>
        <w:pStyle w:val="SangriaFrancesaArticulo"/>
      </w:pPr>
      <w:r w:rsidRPr="0057104C">
        <w:rPr>
          <w:rStyle w:val="TextoNormalNegritaCaracter"/>
        </w:rPr>
        <w:t>Disposición derogatoria primera b).</w:t>
      </w:r>
      <w:r w:rsidRPr="0057104C">
        <w:rPr>
          <w:rStyle w:val="TextoNormalCaracter"/>
        </w:rPr>
        <w:t>-</w:t>
      </w:r>
      <w:r>
        <w:t xml:space="preserve"> Sentencia </w:t>
      </w:r>
      <w:hyperlink w:anchor="SENTENCIA_2016_62" w:history="1">
        <w:r w:rsidRPr="0057104C">
          <w:rPr>
            <w:rStyle w:val="TextoNormalCaracter"/>
          </w:rPr>
          <w:t>62/2016</w:t>
        </w:r>
      </w:hyperlink>
      <w:r>
        <w:t>, f. 2.</w:t>
      </w:r>
    </w:p>
    <w:p w:rsidR="0057104C" w:rsidRDefault="0057104C" w:rsidP="0057104C">
      <w:pPr>
        <w:pStyle w:val="SangriaFrancesaArticulo"/>
      </w:pPr>
    </w:p>
    <w:p w:rsidR="0057104C" w:rsidRDefault="0057104C" w:rsidP="0057104C">
      <w:pPr>
        <w:pStyle w:val="TextoNormalNegritaCursivandice"/>
      </w:pPr>
      <w:r>
        <w:t>Ley del Parlamento de Cataluña 2/2015, de 11 de marzo. Presupuestos de la Generalidad de Cataluña para 2015</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88" w:history="1">
        <w:r w:rsidRPr="0057104C">
          <w:rPr>
            <w:rStyle w:val="TextoNormalCaracter"/>
          </w:rPr>
          <w:t>88/2016</w:t>
        </w:r>
      </w:hyperlink>
      <w:r>
        <w:t>, f. 4.</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Sentencia </w:t>
      </w:r>
      <w:hyperlink w:anchor="SENTENCIA_2016_88" w:history="1">
        <w:r w:rsidRPr="0057104C">
          <w:rPr>
            <w:rStyle w:val="TextoNormalCaracter"/>
          </w:rPr>
          <w:t>88/2016</w:t>
        </w:r>
      </w:hyperlink>
      <w:r>
        <w:t>, f. 1.</w:t>
      </w:r>
    </w:p>
    <w:p w:rsidR="0057104C" w:rsidRDefault="0057104C" w:rsidP="0057104C">
      <w:pPr>
        <w:pStyle w:val="SangriaFrancesaArticulo"/>
      </w:pPr>
      <w:r w:rsidRPr="0057104C">
        <w:rPr>
          <w:rStyle w:val="TextoNormalNegritaCaracter"/>
        </w:rPr>
        <w:t>Artículo 20.2.</w:t>
      </w:r>
      <w:r w:rsidRPr="0057104C">
        <w:rPr>
          <w:rStyle w:val="TextoNormalCaracter"/>
        </w:rPr>
        <w:t>-</w:t>
      </w:r>
      <w:r>
        <w:t xml:space="preserve"> Sentencia </w:t>
      </w:r>
      <w:hyperlink w:anchor="SENTENCIA_2016_88" w:history="1">
        <w:r w:rsidRPr="0057104C">
          <w:rPr>
            <w:rStyle w:val="TextoNormalCaracter"/>
          </w:rPr>
          <w:t>88/2016</w:t>
        </w:r>
      </w:hyperlink>
      <w:r>
        <w:t>, ff. 2 a 4.</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Sentencia </w:t>
      </w:r>
      <w:hyperlink w:anchor="SENTENCIA_2016_88" w:history="1">
        <w:r w:rsidRPr="0057104C">
          <w:rPr>
            <w:rStyle w:val="TextoNormalCaracter"/>
          </w:rPr>
          <w:t>88/2016</w:t>
        </w:r>
      </w:hyperlink>
      <w:r>
        <w:t>, f. 1.</w:t>
      </w:r>
    </w:p>
    <w:p w:rsidR="0057104C" w:rsidRDefault="0057104C" w:rsidP="0057104C">
      <w:pPr>
        <w:pStyle w:val="SangriaFrancesaArticulo"/>
      </w:pPr>
      <w:r w:rsidRPr="0057104C">
        <w:rPr>
          <w:rStyle w:val="TextoNormalNegritaCaracter"/>
        </w:rPr>
        <w:t>Artículo 21.1.</w:t>
      </w:r>
      <w:r w:rsidRPr="0057104C">
        <w:rPr>
          <w:rStyle w:val="TextoNormalCaracter"/>
        </w:rPr>
        <w:t>-</w:t>
      </w:r>
      <w:r>
        <w:t xml:space="preserve"> Sentencia </w:t>
      </w:r>
      <w:hyperlink w:anchor="SENTENCIA_2016_88" w:history="1">
        <w:r w:rsidRPr="0057104C">
          <w:rPr>
            <w:rStyle w:val="TextoNormalCaracter"/>
          </w:rPr>
          <w:t>88/2016</w:t>
        </w:r>
      </w:hyperlink>
      <w:r>
        <w:t>, ff. 2 a 4.</w:t>
      </w:r>
    </w:p>
    <w:p w:rsidR="0057104C" w:rsidRDefault="0057104C" w:rsidP="0057104C">
      <w:pPr>
        <w:pStyle w:val="SangriaFrancesaArticulo"/>
      </w:pPr>
      <w:r w:rsidRPr="0057104C">
        <w:rPr>
          <w:rStyle w:val="TextoNormalNegritaCaracter"/>
        </w:rPr>
        <w:t>Artículo 34, último inciso.</w:t>
      </w:r>
      <w:r w:rsidRPr="0057104C">
        <w:rPr>
          <w:rStyle w:val="TextoNormalCaracter"/>
        </w:rPr>
        <w:t>-</w:t>
      </w:r>
      <w:r>
        <w:t xml:space="preserve"> Sentencia </w:t>
      </w:r>
      <w:hyperlink w:anchor="SENTENCIA_2016_88" w:history="1">
        <w:r w:rsidRPr="0057104C">
          <w:rPr>
            <w:rStyle w:val="TextoNormalCaracter"/>
          </w:rPr>
          <w:t>88/2016</w:t>
        </w:r>
      </w:hyperlink>
      <w:r>
        <w:t>, ff. 1, 4.</w:t>
      </w:r>
    </w:p>
    <w:p w:rsidR="0057104C" w:rsidRDefault="0057104C" w:rsidP="0057104C">
      <w:pPr>
        <w:pStyle w:val="SangriaFrancesaArticulo"/>
      </w:pPr>
    </w:p>
    <w:p w:rsidR="0057104C" w:rsidRDefault="0057104C" w:rsidP="0057104C">
      <w:pPr>
        <w:pStyle w:val="TextoNormalNegritaCursivandice"/>
      </w:pPr>
      <w:r>
        <w:t>Ley del Parlamento de Cataluña 3/2015, de 11 de marzo. Medidas fiscales, financieras y administrativas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 3.</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74" w:history="1">
        <w:r w:rsidRPr="0057104C">
          <w:rPr>
            <w:rStyle w:val="TextoNormalCaracter"/>
          </w:rPr>
          <w:t>74/2016</w:t>
        </w:r>
      </w:hyperlink>
      <w:r>
        <w:t>, f. 3.</w:t>
      </w:r>
    </w:p>
    <w:p w:rsidR="0057104C" w:rsidRDefault="0057104C" w:rsidP="0057104C">
      <w:pPr>
        <w:pStyle w:val="SangriaFrancesaArticulo"/>
      </w:pPr>
      <w:r w:rsidRPr="0057104C">
        <w:rPr>
          <w:rStyle w:val="TextoNormalNegritaCaracter"/>
        </w:rPr>
        <w:t>Artículo 102.</w:t>
      </w:r>
      <w:r w:rsidRPr="0057104C">
        <w:rPr>
          <w:rStyle w:val="TextoNormalCaracter"/>
        </w:rPr>
        <w:t>-</w:t>
      </w:r>
      <w:r>
        <w:t xml:space="preserve"> Sentencia </w:t>
      </w:r>
      <w:hyperlink w:anchor="SENTENCIA_2016_73" w:history="1">
        <w:r w:rsidRPr="0057104C">
          <w:rPr>
            <w:rStyle w:val="TextoNormalCaracter"/>
          </w:rPr>
          <w:t>73/2016</w:t>
        </w:r>
      </w:hyperlink>
      <w:r>
        <w:t>, f. 2.</w:t>
      </w:r>
    </w:p>
    <w:p w:rsidR="0057104C" w:rsidRDefault="0057104C" w:rsidP="0057104C">
      <w:pPr>
        <w:pStyle w:val="SangriaFrancesaArticulo"/>
      </w:pPr>
    </w:p>
    <w:p w:rsidR="0057104C" w:rsidRDefault="0057104C" w:rsidP="0057104C">
      <w:pPr>
        <w:pStyle w:val="TextoNormalNegritaCursivandice"/>
      </w:pPr>
      <w:r>
        <w:t>Ley del Parlamento de Cataluña 16/2015, de 21 de julio. Simplificación de la actividad administrativa de la Administración de la Generalidad y de los gobiernos locales de Cataluña y de impulso de la actividad económica</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r w:rsidRPr="0057104C">
        <w:rPr>
          <w:rStyle w:val="TextoNormalNegritaCaracter"/>
        </w:rPr>
        <w:t>Artículo 22.2.</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r w:rsidRPr="0057104C">
        <w:rPr>
          <w:rStyle w:val="TextoNormalNegritaCaracter"/>
        </w:rPr>
        <w:t>Artículo 22.3.</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SangriaFrancesaArticulo"/>
      </w:pPr>
      <w:r w:rsidRPr="0057104C">
        <w:rPr>
          <w:rStyle w:val="TextoNormalNegritaCaracter"/>
        </w:rPr>
        <w:t>Artículo 22.4.</w:t>
      </w:r>
      <w:r w:rsidRPr="0057104C">
        <w:rPr>
          <w:rStyle w:val="TextoNormalCaracter"/>
        </w:rPr>
        <w:t>-</w:t>
      </w:r>
      <w:r>
        <w:t xml:space="preserve"> Sentencia </w:t>
      </w:r>
      <w:hyperlink w:anchor="SENTENCIA_2016_17" w:history="1">
        <w:r w:rsidRPr="0057104C">
          <w:rPr>
            <w:rStyle w:val="TextoNormalCaracter"/>
          </w:rPr>
          <w:t>17/2016</w:t>
        </w:r>
      </w:hyperlink>
      <w:r>
        <w:t>, f. 5.</w:t>
      </w:r>
    </w:p>
    <w:p w:rsidR="0057104C" w:rsidRDefault="0057104C" w:rsidP="0057104C">
      <w:pPr>
        <w:pStyle w:val="TextoNormal"/>
      </w:pPr>
    </w:p>
    <w:p w:rsidR="0057104C" w:rsidRDefault="0057104C" w:rsidP="0057104C">
      <w:pPr>
        <w:pStyle w:val="TextoNormalNegritaCentradoSubrayado"/>
        <w:suppressAutoHyphens/>
      </w:pPr>
      <w:r>
        <w:t>J.9.c) Decretos y otras disposiciones reglamentarias</w:t>
      </w:r>
    </w:p>
    <w:p w:rsidR="0057104C" w:rsidRDefault="0057104C" w:rsidP="0057104C">
      <w:pPr>
        <w:pStyle w:val="TextoNormalNegritaCentradoSubrayado"/>
      </w:pPr>
    </w:p>
    <w:p w:rsidR="0057104C" w:rsidRDefault="0057104C" w:rsidP="0057104C">
      <w:pPr>
        <w:pStyle w:val="TextoNormalNegritaCursivandice"/>
      </w:pPr>
      <w:r>
        <w:t>Resolución de 18 de marzo de 1996. Se aprueba el concierto establecido en el ámbito docente asistencial e investigador entre la Universidad de Lleida y el Instituto Catalán de la Salud</w:t>
      </w:r>
    </w:p>
    <w:p w:rsidR="0057104C" w:rsidRDefault="0057104C" w:rsidP="0057104C">
      <w:pPr>
        <w:pStyle w:val="SangriaFrancesaArticulo"/>
      </w:pPr>
      <w:r w:rsidRPr="0057104C">
        <w:rPr>
          <w:rStyle w:val="TextoNormalNegritaCaracter"/>
        </w:rPr>
        <w:t>Artículo 5 d).</w:t>
      </w:r>
      <w:r w:rsidRPr="0057104C">
        <w:rPr>
          <w:rStyle w:val="TextoNormalCaracter"/>
        </w:rPr>
        <w:t>-</w:t>
      </w:r>
      <w:r>
        <w:t xml:space="preserve"> Sentencia </w:t>
      </w:r>
      <w:hyperlink w:anchor="SENTENCIA_2016_44" w:history="1">
        <w:r w:rsidRPr="0057104C">
          <w:rPr>
            <w:rStyle w:val="TextoNormalCaracter"/>
          </w:rPr>
          <w:t>44/2016</w:t>
        </w:r>
      </w:hyperlink>
      <w:r>
        <w:t>, f. 5.</w:t>
      </w:r>
    </w:p>
    <w:p w:rsidR="0057104C" w:rsidRDefault="0057104C" w:rsidP="0057104C">
      <w:pPr>
        <w:pStyle w:val="SangriaFrancesaArticulo"/>
      </w:pPr>
    </w:p>
    <w:p w:rsidR="0057104C" w:rsidRDefault="0057104C" w:rsidP="0057104C">
      <w:pPr>
        <w:pStyle w:val="TextoNormalNegritaCursivandice"/>
      </w:pPr>
      <w:r>
        <w:t>Decreto 201/2003, de 26 de agosto. Se aprueban los Estatutos de la Universidad de Lleida</w:t>
      </w:r>
    </w:p>
    <w:p w:rsidR="0057104C" w:rsidRDefault="0057104C" w:rsidP="0057104C">
      <w:pPr>
        <w:pStyle w:val="SangriaFrancesaArticulo"/>
      </w:pPr>
      <w:r w:rsidRPr="0057104C">
        <w:rPr>
          <w:rStyle w:val="TextoNormalNegritaCaracter"/>
        </w:rPr>
        <w:t>Artículo 1</w:t>
      </w:r>
      <w:r>
        <w:t xml:space="preserve"> (redactado por la Ley Orgánica 6/2001, de 21 de diciembre)</w:t>
      </w:r>
      <w:r w:rsidRPr="0057104C">
        <w:rPr>
          <w:rStyle w:val="TextoNormalNegritaCaracter"/>
        </w:rPr>
        <w:t>.</w:t>
      </w:r>
      <w:r w:rsidRPr="0057104C">
        <w:rPr>
          <w:rStyle w:val="TextoNormalCaracter"/>
        </w:rPr>
        <w:t>-</w:t>
      </w:r>
      <w:r>
        <w:t xml:space="preserve"> Sentencia </w:t>
      </w:r>
      <w:hyperlink w:anchor="SENTENCIA_2016_44" w:history="1">
        <w:r w:rsidRPr="0057104C">
          <w:rPr>
            <w:rStyle w:val="TextoNormalCaracter"/>
          </w:rPr>
          <w:t>44/2016</w:t>
        </w:r>
      </w:hyperlink>
      <w:r>
        <w:t>, f. 3.</w:t>
      </w:r>
    </w:p>
    <w:p w:rsidR="0057104C" w:rsidRDefault="0057104C" w:rsidP="0057104C">
      <w:pPr>
        <w:pStyle w:val="SangriaFrancesaArticulo"/>
      </w:pPr>
      <w:r w:rsidRPr="0057104C">
        <w:rPr>
          <w:rStyle w:val="TextoNormalNegritaCaracter"/>
        </w:rPr>
        <w:t>Artículo 135.1.</w:t>
      </w:r>
      <w:r w:rsidRPr="0057104C">
        <w:rPr>
          <w:rStyle w:val="TextoNormalCaracter"/>
        </w:rPr>
        <w:t>-</w:t>
      </w:r>
      <w:r>
        <w:t xml:space="preserve"> Sentencia </w:t>
      </w:r>
      <w:hyperlink w:anchor="SENTENCIA_2016_44" w:history="1">
        <w:r w:rsidRPr="0057104C">
          <w:rPr>
            <w:rStyle w:val="TextoNormalCaracter"/>
          </w:rPr>
          <w:t>44/2016</w:t>
        </w:r>
      </w:hyperlink>
      <w:r>
        <w:t>, f. 5.</w:t>
      </w:r>
    </w:p>
    <w:p w:rsidR="0057104C" w:rsidRDefault="0057104C" w:rsidP="0057104C">
      <w:pPr>
        <w:pStyle w:val="SangriaFrancesaArticulo"/>
      </w:pPr>
    </w:p>
    <w:p w:rsidR="0057104C" w:rsidRDefault="0057104C" w:rsidP="0057104C">
      <w:pPr>
        <w:pStyle w:val="TextoNormalNegritaCursivandice"/>
      </w:pPr>
      <w:r>
        <w:t>Decreto 17/2005, de 8 de febrero. Aprobación del Reglamento de marinas interiores de la Generalidad de Cataluña</w:t>
      </w:r>
    </w:p>
    <w:p w:rsidR="0057104C" w:rsidRDefault="0057104C" w:rsidP="0057104C">
      <w:pPr>
        <w:pStyle w:val="SangriaFrancesaArticulo"/>
      </w:pPr>
      <w:r w:rsidRPr="0057104C">
        <w:rPr>
          <w:rStyle w:val="TextoNormalNegritaCaracter"/>
        </w:rPr>
        <w:t>Artículo 29.</w:t>
      </w:r>
      <w:r w:rsidRPr="0057104C">
        <w:rPr>
          <w:rStyle w:val="TextoNormalCaracter"/>
        </w:rPr>
        <w:t>-</w:t>
      </w:r>
      <w:r>
        <w:t xml:space="preserve"> Sentencia </w:t>
      </w:r>
      <w:hyperlink w:anchor="SENTENCIA_2016_28" w:history="1">
        <w:r w:rsidRPr="0057104C">
          <w:rPr>
            <w:rStyle w:val="TextoNormalCaracter"/>
          </w:rPr>
          <w:t>28/2016</w:t>
        </w:r>
      </w:hyperlink>
      <w:r>
        <w:t>, f. 6.</w:t>
      </w:r>
    </w:p>
    <w:p w:rsidR="0057104C" w:rsidRDefault="0057104C" w:rsidP="0057104C">
      <w:pPr>
        <w:pStyle w:val="SangriaFrancesaArticulo"/>
      </w:pPr>
    </w:p>
    <w:p w:rsidR="0057104C" w:rsidRDefault="0057104C" w:rsidP="0057104C">
      <w:pPr>
        <w:pStyle w:val="TextoNormalNegritaCursivandice"/>
      </w:pPr>
      <w:r>
        <w:t>Resolución del Consejero de Gobernación y Administraciones Públicas de la Generalitat de Cataluña 1197/2009, de 29 de abril, de convocatoria del proceso selectivo, turno de reserva especial por concurso oposición libre, para proveer 61 plazas del cuerpo de titulacion superior (subgrupo A1) de la Generalidad de Cataluña, salud publica, dentro del ambito de la Agencia de Proteccion de la Salud del Departamento de Salud</w:t>
      </w:r>
    </w:p>
    <w:p w:rsidR="0057104C" w:rsidRDefault="0057104C" w:rsidP="0057104C">
      <w:pPr>
        <w:pStyle w:val="SangriaFrancesaArticulo"/>
      </w:pPr>
      <w:r w:rsidRPr="0057104C">
        <w:rPr>
          <w:rStyle w:val="TextoNormalNegritaCaracter"/>
        </w:rPr>
        <w:t>Base 6.3.1 a).</w:t>
      </w:r>
      <w:r w:rsidRPr="0057104C">
        <w:rPr>
          <w:rStyle w:val="TextoNormalCaracter"/>
        </w:rPr>
        <w:t>-</w:t>
      </w:r>
      <w:r>
        <w:t xml:space="preserve"> Sentencia </w:t>
      </w:r>
      <w:hyperlink w:anchor="SENTENCIA_2016_86" w:history="1">
        <w:r w:rsidRPr="0057104C">
          <w:rPr>
            <w:rStyle w:val="TextoNormalCaracter"/>
          </w:rPr>
          <w:t>86/2016</w:t>
        </w:r>
      </w:hyperlink>
      <w:r>
        <w:t>, ff. 2, 3, 5 ,6.</w:t>
      </w:r>
    </w:p>
    <w:p w:rsidR="0057104C" w:rsidRDefault="0057104C" w:rsidP="0057104C">
      <w:pPr>
        <w:pStyle w:val="SangriaFrancesaArticulo"/>
      </w:pPr>
    </w:p>
    <w:p w:rsidR="0057104C" w:rsidRDefault="0057104C" w:rsidP="0057104C">
      <w:pPr>
        <w:pStyle w:val="TextoNormalNegritaCursivandice"/>
      </w:pPr>
      <w:r>
        <w:t>Decreto de la Generalitat de Cataluña 170/2014, de 23 de diciembre. Estructura de la Secretaría de Asuntos Exteriores y de la Unión Europea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30" w:history="1">
        <w:r w:rsidRPr="0057104C">
          <w:rPr>
            <w:rStyle w:val="TextoNormalCaracter"/>
          </w:rPr>
          <w:t>130/2016</w:t>
        </w:r>
      </w:hyperlink>
      <w:r>
        <w:t>, ff. 6, 9.</w:t>
      </w:r>
    </w:p>
    <w:p w:rsidR="0057104C" w:rsidRDefault="0057104C" w:rsidP="0057104C">
      <w:pPr>
        <w:pStyle w:val="SangriaFrancesaArticulo"/>
      </w:pPr>
    </w:p>
    <w:p w:rsidR="0057104C" w:rsidRDefault="0057104C" w:rsidP="0057104C">
      <w:pPr>
        <w:pStyle w:val="TextoNormalNegritaCursivandice"/>
      </w:pPr>
      <w:r>
        <w:t>Decreto de la Generalitat de Cataluña 2/2016, de 13 de enero. Creación, denominación y determinación del ámbito de competencia de los departamentos de la Administración de la Generalitat de Cataluña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30" w:history="1">
        <w:r w:rsidRPr="0057104C">
          <w:rPr>
            <w:rStyle w:val="TextoNormalCaracter"/>
          </w:rPr>
          <w:t>130/2016</w:t>
        </w:r>
      </w:hyperlink>
      <w:r>
        <w:t>, f. 9.</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Auto </w:t>
      </w:r>
      <w:hyperlink w:anchor="AUTO_2016_130" w:history="1">
        <w:r w:rsidRPr="0057104C">
          <w:rPr>
            <w:rStyle w:val="TextoNormalCaracter"/>
          </w:rPr>
          <w:t>130/2016</w:t>
        </w:r>
      </w:hyperlink>
      <w:r>
        <w:t>, ff. 1, 6, 7.</w:t>
      </w:r>
    </w:p>
    <w:p w:rsidR="0057104C" w:rsidRDefault="0057104C" w:rsidP="0057104C">
      <w:pPr>
        <w:pStyle w:val="SangriaFrancesaArticulo"/>
      </w:pPr>
      <w:r w:rsidRPr="0057104C">
        <w:rPr>
          <w:rStyle w:val="TextoNormalNegritaCaracter"/>
        </w:rPr>
        <w:t>Artículo 1.1 expresión "Asuntos Exteriores".</w:t>
      </w:r>
      <w:r w:rsidRPr="0057104C">
        <w:rPr>
          <w:rStyle w:val="TextoNormalCaracter"/>
        </w:rPr>
        <w:t>-</w:t>
      </w:r>
      <w:r>
        <w:t xml:space="preserve"> Auto </w:t>
      </w:r>
      <w:hyperlink w:anchor="AUTO_2016_130" w:history="1">
        <w:r w:rsidRPr="0057104C">
          <w:rPr>
            <w:rStyle w:val="TextoNormalCaracter"/>
          </w:rPr>
          <w:t>130/2016</w:t>
        </w:r>
      </w:hyperlink>
      <w:r>
        <w:t>, ff. 1, 6.</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Auto </w:t>
      </w:r>
      <w:hyperlink w:anchor="AUTO_2016_130" w:history="1">
        <w:r w:rsidRPr="0057104C">
          <w:rPr>
            <w:rStyle w:val="TextoNormalCaracter"/>
          </w:rPr>
          <w:t>130/2016</w:t>
        </w:r>
      </w:hyperlink>
      <w:r>
        <w:t>, f. 8.</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Auto </w:t>
      </w:r>
      <w:hyperlink w:anchor="AUTO_2016_130" w:history="1">
        <w:r w:rsidRPr="0057104C">
          <w:rPr>
            <w:rStyle w:val="TextoNormalCaracter"/>
          </w:rPr>
          <w:t>130/2016</w:t>
        </w:r>
      </w:hyperlink>
      <w:r>
        <w:t>, f. 7.</w:t>
      </w:r>
    </w:p>
    <w:p w:rsidR="0057104C" w:rsidRDefault="0057104C" w:rsidP="0057104C">
      <w:pPr>
        <w:pStyle w:val="SangriaFrancesaArticulo"/>
      </w:pPr>
      <w:r w:rsidRPr="0057104C">
        <w:rPr>
          <w:rStyle w:val="TextoNormalNegritaCaracter"/>
        </w:rPr>
        <w:t>Artículo 3.3.1.</w:t>
      </w:r>
      <w:r w:rsidRPr="0057104C">
        <w:rPr>
          <w:rStyle w:val="TextoNormalCaracter"/>
        </w:rPr>
        <w:t>-</w:t>
      </w:r>
      <w:r>
        <w:t xml:space="preserve"> Auto </w:t>
      </w:r>
      <w:hyperlink w:anchor="AUTO_2016_130" w:history="1">
        <w:r w:rsidRPr="0057104C">
          <w:rPr>
            <w:rStyle w:val="TextoNormalCaracter"/>
          </w:rPr>
          <w:t>130/2016</w:t>
        </w:r>
      </w:hyperlink>
      <w:r>
        <w:t>, ff. 1, 6, 8, 9.</w:t>
      </w:r>
    </w:p>
    <w:p w:rsidR="0057104C" w:rsidRDefault="0057104C" w:rsidP="0057104C">
      <w:pPr>
        <w:pStyle w:val="SangriaFrancesaArticulo"/>
      </w:pPr>
      <w:r w:rsidRPr="0057104C">
        <w:rPr>
          <w:rStyle w:val="TextoNormalNegritaCaracter"/>
        </w:rPr>
        <w:t>Artículo 3.3.2.</w:t>
      </w:r>
      <w:r w:rsidRPr="0057104C">
        <w:rPr>
          <w:rStyle w:val="TextoNormalCaracter"/>
        </w:rPr>
        <w:t>-</w:t>
      </w:r>
      <w:r>
        <w:t xml:space="preserve"> Auto </w:t>
      </w:r>
      <w:hyperlink w:anchor="AUTO_2016_130" w:history="1">
        <w:r w:rsidRPr="0057104C">
          <w:rPr>
            <w:rStyle w:val="TextoNormalCaracter"/>
          </w:rPr>
          <w:t>130/2016</w:t>
        </w:r>
      </w:hyperlink>
      <w:r>
        <w:t>, ff. 1, 6, 8, 9.</w:t>
      </w:r>
    </w:p>
    <w:p w:rsidR="0057104C" w:rsidRDefault="0057104C" w:rsidP="0057104C">
      <w:pPr>
        <w:pStyle w:val="SangriaFrancesaArticulo"/>
      </w:pPr>
      <w:r w:rsidRPr="0057104C">
        <w:rPr>
          <w:rStyle w:val="TextoNormalNegritaCaracter"/>
        </w:rPr>
        <w:t>Disposición transitoria cuarta</w:t>
      </w:r>
      <w:r>
        <w:t xml:space="preserve"> (redactada por el Decreto de la Generalitat de Cataluña 212/2016, de 1 de marzo)</w:t>
      </w:r>
      <w:r w:rsidRPr="0057104C">
        <w:rPr>
          <w:rStyle w:val="TextoNormalNegritaCaracter"/>
        </w:rPr>
        <w:t>.</w:t>
      </w:r>
      <w:r w:rsidRPr="0057104C">
        <w:rPr>
          <w:rStyle w:val="TextoNormalCaracter"/>
        </w:rPr>
        <w:t>-</w:t>
      </w:r>
      <w:r>
        <w:t xml:space="preserve"> Auto </w:t>
      </w:r>
      <w:hyperlink w:anchor="AUTO_2016_130" w:history="1">
        <w:r w:rsidRPr="0057104C">
          <w:rPr>
            <w:rStyle w:val="TextoNormalCaracter"/>
          </w:rPr>
          <w:t>130/2016</w:t>
        </w:r>
      </w:hyperlink>
      <w:r>
        <w:t>, f. 3.</w:t>
      </w:r>
    </w:p>
    <w:p w:rsidR="0057104C" w:rsidRDefault="0057104C" w:rsidP="0057104C">
      <w:pPr>
        <w:pStyle w:val="SangriaFrancesaArticulo"/>
      </w:pPr>
    </w:p>
    <w:p w:rsidR="0057104C" w:rsidRDefault="0057104C" w:rsidP="0057104C">
      <w:pPr>
        <w:pStyle w:val="TextoNormalNegritaCursivandice"/>
      </w:pPr>
      <w:r>
        <w:t>Decreto de la Generalitat de Cataluña 45/2016, de 19 de enero. Estructuración del departamento de asuntos exteriores, relaciones institucionales y transparencia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30" w:history="1">
        <w:r w:rsidRPr="0057104C">
          <w:rPr>
            <w:rStyle w:val="TextoNormalCaracter"/>
          </w:rPr>
          <w:t>130/2016</w:t>
        </w:r>
      </w:hyperlink>
      <w:r>
        <w:t>, ff. 2, 9.</w:t>
      </w:r>
    </w:p>
    <w:p w:rsidR="0057104C" w:rsidRDefault="0057104C" w:rsidP="0057104C">
      <w:pPr>
        <w:pStyle w:val="SangriaFrancesaArticulo"/>
      </w:pPr>
      <w:r w:rsidRPr="0057104C">
        <w:rPr>
          <w:rStyle w:val="TextoNormalNegritaCaracter"/>
        </w:rPr>
        <w:t>Artículo 1.1 b).</w:t>
      </w:r>
      <w:r w:rsidRPr="0057104C">
        <w:rPr>
          <w:rStyle w:val="TextoNormalCaracter"/>
        </w:rPr>
        <w:t>-</w:t>
      </w:r>
      <w:r>
        <w:t xml:space="preserve"> Auto </w:t>
      </w:r>
      <w:hyperlink w:anchor="AUTO_2016_130" w:history="1">
        <w:r w:rsidRPr="0057104C">
          <w:rPr>
            <w:rStyle w:val="TextoNormalCaracter"/>
          </w:rPr>
          <w:t>130/2016</w:t>
        </w:r>
      </w:hyperlink>
      <w:r>
        <w:t>, ff. 1, 6, 7, 9.</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Auto </w:t>
      </w:r>
      <w:hyperlink w:anchor="AUTO_2016_130" w:history="1">
        <w:r w:rsidRPr="0057104C">
          <w:rPr>
            <w:rStyle w:val="TextoNormalCaracter"/>
          </w:rPr>
          <w:t>130/2016</w:t>
        </w:r>
      </w:hyperlink>
      <w:r>
        <w:t>, ff. 1, 6, 9.</w:t>
      </w:r>
    </w:p>
    <w:p w:rsidR="0057104C" w:rsidRDefault="0057104C" w:rsidP="0057104C">
      <w:pPr>
        <w:pStyle w:val="SangriaFrancesaArticulo"/>
      </w:pPr>
      <w:r w:rsidRPr="0057104C">
        <w:rPr>
          <w:rStyle w:val="TextoNormalNegritaCaracter"/>
        </w:rPr>
        <w:t>Artículo 20.1.</w:t>
      </w:r>
      <w:r w:rsidRPr="0057104C">
        <w:rPr>
          <w:rStyle w:val="TextoNormalCaracter"/>
        </w:rPr>
        <w:t>-</w:t>
      </w:r>
      <w:r>
        <w:t xml:space="preserve"> Auto </w:t>
      </w:r>
      <w:hyperlink w:anchor="AUTO_2016_130" w:history="1">
        <w:r w:rsidRPr="0057104C">
          <w:rPr>
            <w:rStyle w:val="TextoNormalCaracter"/>
          </w:rPr>
          <w:t>130/2016</w:t>
        </w:r>
      </w:hyperlink>
      <w:r>
        <w:t>, ff. 6, 7, 9.</w:t>
      </w:r>
    </w:p>
    <w:p w:rsidR="0057104C" w:rsidRDefault="0057104C" w:rsidP="0057104C">
      <w:pPr>
        <w:pStyle w:val="SangriaFrancesaArticulo"/>
      </w:pPr>
      <w:r w:rsidRPr="0057104C">
        <w:rPr>
          <w:rStyle w:val="TextoNormalNegritaCaracter"/>
        </w:rPr>
        <w:t>Artículo 20.2.</w:t>
      </w:r>
      <w:r w:rsidRPr="0057104C">
        <w:rPr>
          <w:rStyle w:val="TextoNormalCaracter"/>
        </w:rPr>
        <w:t>-</w:t>
      </w:r>
      <w:r>
        <w:t xml:space="preserve"> Auto </w:t>
      </w:r>
      <w:hyperlink w:anchor="AUTO_2016_130" w:history="1">
        <w:r w:rsidRPr="0057104C">
          <w:rPr>
            <w:rStyle w:val="TextoNormalCaracter"/>
          </w:rPr>
          <w:t>130/2016</w:t>
        </w:r>
      </w:hyperlink>
      <w:r>
        <w:t>, ff. 6, 9.</w:t>
      </w:r>
    </w:p>
    <w:p w:rsidR="0057104C" w:rsidRDefault="0057104C" w:rsidP="0057104C">
      <w:pPr>
        <w:pStyle w:val="SangriaFrancesaArticulo"/>
      </w:pPr>
    </w:p>
    <w:p w:rsidR="0057104C" w:rsidRDefault="0057104C" w:rsidP="0057104C">
      <w:pPr>
        <w:pStyle w:val="TextoNormalNegritaCursivandice"/>
      </w:pPr>
      <w:r>
        <w:t>Decreto de la Generalitat de Cataluña 212/2016, de 1 de marzo. Añade una disposición transitoria en el Decreto 2/2016, de 13 de enero, de creación, denominación y determinación del ámbito de competencia de los departamentos de la Administración de la Generalitat de Cataluña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30" w:history="1">
        <w:r w:rsidRPr="0057104C">
          <w:rPr>
            <w:rStyle w:val="TextoNormalCaracter"/>
          </w:rPr>
          <w:t>130/2016</w:t>
        </w:r>
      </w:hyperlink>
      <w:r>
        <w:t>, f. 3.</w:t>
      </w:r>
    </w:p>
    <w:p w:rsidR="0057104C" w:rsidRDefault="0057104C" w:rsidP="0057104C">
      <w:pPr>
        <w:pStyle w:val="SangriaFrancesaArticulo"/>
      </w:pPr>
    </w:p>
    <w:p w:rsidR="0057104C" w:rsidRDefault="0057104C" w:rsidP="0057104C">
      <w:pPr>
        <w:pStyle w:val="TextoNormalNegritaCursivandice"/>
      </w:pPr>
      <w:r>
        <w:t>Decreto de la Generalitat de Cataluña 213/2016, de 8 de marzo. Determina la adscripción de la Secretaría de Asuntos Exteriores y de la Unión Europea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30" w:history="1">
        <w:r w:rsidRPr="0057104C">
          <w:rPr>
            <w:rStyle w:val="TextoNormalCaracter"/>
          </w:rPr>
          <w:t>130/2016</w:t>
        </w:r>
      </w:hyperlink>
      <w:r>
        <w:t>, f. 3.</w:t>
      </w:r>
    </w:p>
    <w:p w:rsidR="0057104C" w:rsidRDefault="0057104C" w:rsidP="0057104C">
      <w:pPr>
        <w:pStyle w:val="TextoNormal"/>
      </w:pPr>
    </w:p>
    <w:p w:rsidR="0057104C" w:rsidRDefault="0057104C" w:rsidP="0057104C">
      <w:pPr>
        <w:pStyle w:val="TextoNormalNegritaCentradoSubrayado"/>
        <w:suppressAutoHyphens/>
      </w:pPr>
      <w:r>
        <w:t>J.9.d) Normas parlamentarias autonómicas</w:t>
      </w:r>
    </w:p>
    <w:p w:rsidR="0057104C" w:rsidRDefault="0057104C" w:rsidP="0057104C">
      <w:pPr>
        <w:pStyle w:val="TextoNormalNegritaCentradoSubrayado"/>
      </w:pPr>
    </w:p>
    <w:p w:rsidR="0057104C" w:rsidRDefault="0057104C" w:rsidP="0057104C">
      <w:pPr>
        <w:pStyle w:val="TextoNormalNegritaCursivandice"/>
      </w:pPr>
      <w:r>
        <w:t>Reglamento del Parlamento de Cataluña. Texto refundido de 15 de octubre de 1987</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07" w:history="1">
        <w:r w:rsidRPr="0057104C">
          <w:rPr>
            <w:rStyle w:val="TextoNormalCaracter"/>
          </w:rPr>
          <w:t>107/2016</w:t>
        </w:r>
      </w:hyperlink>
      <w:r>
        <w:t xml:space="preserve">, f. 4; </w:t>
      </w:r>
      <w:hyperlink w:anchor="SENTENCIA_2016_108" w:history="1">
        <w:r w:rsidRPr="0057104C">
          <w:rPr>
            <w:rStyle w:val="TextoNormalCaracter"/>
          </w:rPr>
          <w:t>108/2016</w:t>
        </w:r>
      </w:hyperlink>
      <w:r>
        <w:t xml:space="preserve">, ff. 1, 4; </w:t>
      </w:r>
      <w:hyperlink w:anchor="SENTENCIA_2016_109" w:history="1">
        <w:r w:rsidRPr="0057104C">
          <w:rPr>
            <w:rStyle w:val="TextoNormalCaracter"/>
          </w:rPr>
          <w:t>109/2016</w:t>
        </w:r>
      </w:hyperlink>
      <w:r>
        <w:t>, ff. 1, 5, 6.</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108" w:history="1">
        <w:r w:rsidRPr="0057104C">
          <w:rPr>
            <w:rStyle w:val="TextoNormalCaracter"/>
          </w:rPr>
          <w:t>108/2016</w:t>
        </w:r>
      </w:hyperlink>
      <w:r>
        <w:t>, f. 2.</w:t>
      </w:r>
    </w:p>
    <w:p w:rsidR="0057104C" w:rsidRDefault="0057104C" w:rsidP="0057104C">
      <w:pPr>
        <w:pStyle w:val="SangriaFrancesaArticulo"/>
      </w:pPr>
      <w:r w:rsidRPr="0057104C">
        <w:rPr>
          <w:rStyle w:val="TextoNormalNegritaCaracter"/>
        </w:rPr>
        <w:t>Artículo 26.4.</w:t>
      </w:r>
      <w:r w:rsidRPr="0057104C">
        <w:rPr>
          <w:rStyle w:val="TextoNormalCaracter"/>
        </w:rPr>
        <w:t>-</w:t>
      </w:r>
      <w:r>
        <w:t xml:space="preserve"> Sentencia </w:t>
      </w:r>
      <w:hyperlink w:anchor="SENTENCIA_2016_109" w:history="1">
        <w:r w:rsidRPr="0057104C">
          <w:rPr>
            <w:rStyle w:val="TextoNormalCaracter"/>
          </w:rPr>
          <w:t>109/2016</w:t>
        </w:r>
      </w:hyperlink>
      <w:r>
        <w:t>, f. 5.</w:t>
      </w:r>
    </w:p>
    <w:p w:rsidR="0057104C" w:rsidRDefault="0057104C" w:rsidP="0057104C">
      <w:pPr>
        <w:pStyle w:val="SangriaFrancesaArticulo"/>
      </w:pPr>
      <w:r w:rsidRPr="0057104C">
        <w:rPr>
          <w:rStyle w:val="TextoNormalNegritaCaracter"/>
        </w:rPr>
        <w:t>Artículo 28.1.</w:t>
      </w:r>
      <w:r w:rsidRPr="0057104C">
        <w:rPr>
          <w:rStyle w:val="TextoNormalCaracter"/>
        </w:rPr>
        <w:t>-</w:t>
      </w:r>
      <w:r>
        <w:t xml:space="preserve"> Sentencias </w:t>
      </w:r>
      <w:hyperlink w:anchor="SENTENCIA_2016_107" w:history="1">
        <w:r w:rsidRPr="0057104C">
          <w:rPr>
            <w:rStyle w:val="TextoNormalCaracter"/>
          </w:rPr>
          <w:t>107/2016</w:t>
        </w:r>
      </w:hyperlink>
      <w:r>
        <w:t xml:space="preserve">, f. 4; </w:t>
      </w:r>
      <w:hyperlink w:anchor="SENTENCIA_2016_108" w:history="1">
        <w:r w:rsidRPr="0057104C">
          <w:rPr>
            <w:rStyle w:val="TextoNormalCaracter"/>
          </w:rPr>
          <w:t>108/2016</w:t>
        </w:r>
      </w:hyperlink>
      <w:r>
        <w:t xml:space="preserve">, f. 4; </w:t>
      </w:r>
      <w:hyperlink w:anchor="SENTENCIA_2016_109" w:history="1">
        <w:r w:rsidRPr="0057104C">
          <w:rPr>
            <w:rStyle w:val="TextoNormalCaracter"/>
          </w:rPr>
          <w:t>109/2016</w:t>
        </w:r>
      </w:hyperlink>
      <w:r>
        <w:t>, ff. 5, 6.</w:t>
      </w:r>
    </w:p>
    <w:p w:rsidR="0057104C" w:rsidRDefault="0057104C" w:rsidP="0057104C">
      <w:pPr>
        <w:pStyle w:val="SangriaFrancesaArticulo"/>
      </w:pPr>
      <w:r w:rsidRPr="0057104C">
        <w:rPr>
          <w:rStyle w:val="TextoNormalNegritaCaracter"/>
        </w:rPr>
        <w:t>Artículo 35.1.</w:t>
      </w:r>
      <w:r w:rsidRPr="0057104C">
        <w:rPr>
          <w:rStyle w:val="TextoNormalCaracter"/>
        </w:rPr>
        <w:t>-</w:t>
      </w:r>
      <w:r>
        <w:t xml:space="preserve"> Sentencias </w:t>
      </w:r>
      <w:hyperlink w:anchor="SENTENCIA_2016_107" w:history="1">
        <w:r w:rsidRPr="0057104C">
          <w:rPr>
            <w:rStyle w:val="TextoNormalCaracter"/>
          </w:rPr>
          <w:t>107/2016</w:t>
        </w:r>
      </w:hyperlink>
      <w:r>
        <w:t xml:space="preserve">, f. 4; </w:t>
      </w:r>
      <w:hyperlink w:anchor="SENTENCIA_2016_108" w:history="1">
        <w:r w:rsidRPr="0057104C">
          <w:rPr>
            <w:rStyle w:val="TextoNormalCaracter"/>
          </w:rPr>
          <w:t>108/2016</w:t>
        </w:r>
      </w:hyperlink>
      <w:r>
        <w:t xml:space="preserve">, f. 4; </w:t>
      </w:r>
      <w:hyperlink w:anchor="SENTENCIA_2016_109" w:history="1">
        <w:r w:rsidRPr="0057104C">
          <w:rPr>
            <w:rStyle w:val="TextoNormalCaracter"/>
          </w:rPr>
          <w:t>109/2016</w:t>
        </w:r>
      </w:hyperlink>
      <w:r>
        <w:t>, ff. 5, 6.</w:t>
      </w:r>
    </w:p>
    <w:p w:rsidR="0057104C" w:rsidRDefault="0057104C" w:rsidP="0057104C">
      <w:pPr>
        <w:pStyle w:val="SangriaFrancesaArticulo"/>
      </w:pPr>
      <w:r w:rsidRPr="0057104C">
        <w:rPr>
          <w:rStyle w:val="TextoNormalNegritaCaracter"/>
        </w:rPr>
        <w:t>Artículo 35.2.</w:t>
      </w:r>
      <w:r w:rsidRPr="0057104C">
        <w:rPr>
          <w:rStyle w:val="TextoNormalCaracter"/>
        </w:rPr>
        <w:t>-</w:t>
      </w:r>
      <w:r>
        <w:t xml:space="preserve"> Sentencias </w:t>
      </w:r>
      <w:hyperlink w:anchor="SENTENCIA_2016_107" w:history="1">
        <w:r w:rsidRPr="0057104C">
          <w:rPr>
            <w:rStyle w:val="TextoNormalCaracter"/>
          </w:rPr>
          <w:t>107/2016</w:t>
        </w:r>
      </w:hyperlink>
      <w:r>
        <w:t xml:space="preserve">, f. 4; </w:t>
      </w:r>
      <w:hyperlink w:anchor="SENTENCIA_2016_108" w:history="1">
        <w:r w:rsidRPr="0057104C">
          <w:rPr>
            <w:rStyle w:val="TextoNormalCaracter"/>
          </w:rPr>
          <w:t>108/2016</w:t>
        </w:r>
      </w:hyperlink>
      <w:r>
        <w:t xml:space="preserve">, f. 4; </w:t>
      </w:r>
      <w:hyperlink w:anchor="SENTENCIA_2016_109" w:history="1">
        <w:r w:rsidRPr="0057104C">
          <w:rPr>
            <w:rStyle w:val="TextoNormalCaracter"/>
          </w:rPr>
          <w:t>109/2016</w:t>
        </w:r>
      </w:hyperlink>
      <w:r>
        <w:t>, f. 6.</w:t>
      </w:r>
    </w:p>
    <w:p w:rsidR="0057104C" w:rsidRDefault="0057104C" w:rsidP="0057104C">
      <w:pPr>
        <w:pStyle w:val="SangriaFrancesaArticulo"/>
      </w:pPr>
      <w:r w:rsidRPr="0057104C">
        <w:rPr>
          <w:rStyle w:val="TextoNormalNegritaCaracter"/>
        </w:rPr>
        <w:t>Artículo 36.</w:t>
      </w:r>
      <w:r w:rsidRPr="0057104C">
        <w:rPr>
          <w:rStyle w:val="TextoNormalCaracter"/>
        </w:rPr>
        <w:t>-</w:t>
      </w:r>
      <w:r>
        <w:t xml:space="preserve"> Sentencias </w:t>
      </w:r>
      <w:hyperlink w:anchor="SENTENCIA_2016_107" w:history="1">
        <w:r w:rsidRPr="0057104C">
          <w:rPr>
            <w:rStyle w:val="TextoNormalCaracter"/>
          </w:rPr>
          <w:t>107/2016</w:t>
        </w:r>
      </w:hyperlink>
      <w:r>
        <w:t xml:space="preserve">, f. 4; </w:t>
      </w:r>
      <w:hyperlink w:anchor="SENTENCIA_2016_108" w:history="1">
        <w:r w:rsidRPr="0057104C">
          <w:rPr>
            <w:rStyle w:val="TextoNormalCaracter"/>
          </w:rPr>
          <w:t>108/2016</w:t>
        </w:r>
      </w:hyperlink>
      <w:r>
        <w:t xml:space="preserve">, f. 4; </w:t>
      </w:r>
      <w:hyperlink w:anchor="SENTENCIA_2016_109" w:history="1">
        <w:r w:rsidRPr="0057104C">
          <w:rPr>
            <w:rStyle w:val="TextoNormalCaracter"/>
          </w:rPr>
          <w:t>109/2016</w:t>
        </w:r>
      </w:hyperlink>
      <w:r>
        <w:t>, f. 6.</w:t>
      </w:r>
    </w:p>
    <w:p w:rsidR="0057104C" w:rsidRDefault="0057104C" w:rsidP="0057104C">
      <w:pPr>
        <w:pStyle w:val="SangriaFrancesaArticulo"/>
      </w:pPr>
      <w:r w:rsidRPr="0057104C">
        <w:rPr>
          <w:rStyle w:val="TextoNormalNegritaCaracter"/>
        </w:rPr>
        <w:t>Artículo 37.1 d).</w:t>
      </w:r>
      <w:r w:rsidRPr="0057104C">
        <w:rPr>
          <w:rStyle w:val="TextoNormalCaracter"/>
        </w:rPr>
        <w:t>-</w:t>
      </w:r>
      <w:r>
        <w:t xml:space="preserve"> Sentencia </w:t>
      </w:r>
      <w:hyperlink w:anchor="SENTENCIA_2016_109" w:history="1">
        <w:r w:rsidRPr="0057104C">
          <w:rPr>
            <w:rStyle w:val="TextoNormalCaracter"/>
          </w:rPr>
          <w:t>109/2016</w:t>
        </w:r>
      </w:hyperlink>
      <w:r>
        <w:t>, f. 6.</w:t>
      </w:r>
    </w:p>
    <w:p w:rsidR="0057104C" w:rsidRDefault="0057104C" w:rsidP="0057104C">
      <w:pPr>
        <w:pStyle w:val="SangriaFrancesaArticulo"/>
      </w:pPr>
      <w:r w:rsidRPr="0057104C">
        <w:rPr>
          <w:rStyle w:val="TextoNormalNegritaCaracter"/>
        </w:rPr>
        <w:t>Artículo 38.</w:t>
      </w:r>
      <w:r w:rsidRPr="0057104C">
        <w:rPr>
          <w:rStyle w:val="TextoNormalCaracter"/>
        </w:rPr>
        <w:t>-</w:t>
      </w:r>
      <w:r>
        <w:t xml:space="preserve"> Sentencias </w:t>
      </w:r>
      <w:hyperlink w:anchor="SENTENCIA_2016_108" w:history="1">
        <w:r w:rsidRPr="0057104C">
          <w:rPr>
            <w:rStyle w:val="TextoNormalCaracter"/>
          </w:rPr>
          <w:t>108/2016</w:t>
        </w:r>
      </w:hyperlink>
      <w:r>
        <w:t xml:space="preserve">, f. 1; </w:t>
      </w:r>
      <w:hyperlink w:anchor="SENTENCIA_2016_109" w:history="1">
        <w:r w:rsidRPr="0057104C">
          <w:rPr>
            <w:rStyle w:val="TextoNormalCaracter"/>
          </w:rPr>
          <w:t>109/2016</w:t>
        </w:r>
      </w:hyperlink>
      <w:r>
        <w:t>, ff. 1, 5, 6.</w:t>
      </w:r>
    </w:p>
    <w:p w:rsidR="0057104C" w:rsidRDefault="0057104C" w:rsidP="0057104C">
      <w:pPr>
        <w:pStyle w:val="SangriaFrancesaArticulo"/>
      </w:pPr>
      <w:r w:rsidRPr="0057104C">
        <w:rPr>
          <w:rStyle w:val="TextoNormalNegritaCaracter"/>
        </w:rPr>
        <w:t>Artículo 38.1.</w:t>
      </w:r>
      <w:r w:rsidRPr="0057104C">
        <w:rPr>
          <w:rStyle w:val="TextoNormalCaracter"/>
        </w:rPr>
        <w:t>-</w:t>
      </w:r>
      <w:r>
        <w:t xml:space="preserve"> Sentencia </w:t>
      </w:r>
      <w:hyperlink w:anchor="SENTENCIA_2016_109" w:history="1">
        <w:r w:rsidRPr="0057104C">
          <w:rPr>
            <w:rStyle w:val="TextoNormalCaracter"/>
          </w:rPr>
          <w:t>109/2016</w:t>
        </w:r>
      </w:hyperlink>
      <w:r>
        <w:t>, f. 6.</w:t>
      </w:r>
    </w:p>
    <w:p w:rsidR="0057104C" w:rsidRDefault="0057104C" w:rsidP="0057104C">
      <w:pPr>
        <w:pStyle w:val="SangriaFrancesaArticulo"/>
      </w:pPr>
      <w:r w:rsidRPr="0057104C">
        <w:rPr>
          <w:rStyle w:val="TextoNormalNegritaCaracter"/>
        </w:rPr>
        <w:t>Artículo 38.2.</w:t>
      </w:r>
      <w:r w:rsidRPr="0057104C">
        <w:rPr>
          <w:rStyle w:val="TextoNormalCaracter"/>
        </w:rPr>
        <w:t>-</w:t>
      </w:r>
      <w:r>
        <w:t xml:space="preserve"> Sentencia </w:t>
      </w:r>
      <w:hyperlink w:anchor="SENTENCIA_2016_109" w:history="1">
        <w:r w:rsidRPr="0057104C">
          <w:rPr>
            <w:rStyle w:val="TextoNormalCaracter"/>
          </w:rPr>
          <w:t>109/2016</w:t>
        </w:r>
      </w:hyperlink>
      <w:r>
        <w:t>, f. 5.</w:t>
      </w:r>
    </w:p>
    <w:p w:rsidR="0057104C" w:rsidRDefault="0057104C" w:rsidP="0057104C">
      <w:pPr>
        <w:pStyle w:val="SangriaFrancesaArticulo"/>
      </w:pPr>
      <w:r w:rsidRPr="0057104C">
        <w:rPr>
          <w:rStyle w:val="TextoNormalNegritaCaracter"/>
        </w:rPr>
        <w:t>Artículo 38.3.</w:t>
      </w:r>
      <w:r w:rsidRPr="0057104C">
        <w:rPr>
          <w:rStyle w:val="TextoNormalCaracter"/>
        </w:rPr>
        <w:t>-</w:t>
      </w:r>
      <w:r>
        <w:t xml:space="preserve"> Sentencias </w:t>
      </w:r>
      <w:hyperlink w:anchor="SENTENCIA_2016_107" w:history="1">
        <w:r w:rsidRPr="0057104C">
          <w:rPr>
            <w:rStyle w:val="TextoNormalCaracter"/>
          </w:rPr>
          <w:t>107/2016</w:t>
        </w:r>
      </w:hyperlink>
      <w:r>
        <w:t xml:space="preserve">, ff. 1, 4; </w:t>
      </w:r>
      <w:hyperlink w:anchor="SENTENCIA_2016_108" w:history="1">
        <w:r w:rsidRPr="0057104C">
          <w:rPr>
            <w:rStyle w:val="TextoNormalCaracter"/>
          </w:rPr>
          <w:t>108/2016</w:t>
        </w:r>
      </w:hyperlink>
      <w:r>
        <w:t xml:space="preserve">, ff. 1, 4; </w:t>
      </w:r>
      <w:hyperlink w:anchor="SENTENCIA_2016_109" w:history="1">
        <w:r w:rsidRPr="0057104C">
          <w:rPr>
            <w:rStyle w:val="TextoNormalCaracter"/>
          </w:rPr>
          <w:t>109/2016</w:t>
        </w:r>
      </w:hyperlink>
      <w:r>
        <w:t>, ff. 5, 6.</w:t>
      </w:r>
    </w:p>
    <w:p w:rsidR="0057104C" w:rsidRDefault="0057104C" w:rsidP="0057104C">
      <w:pPr>
        <w:pStyle w:val="SangriaFrancesaArticulo"/>
      </w:pPr>
      <w:r w:rsidRPr="0057104C">
        <w:rPr>
          <w:rStyle w:val="TextoNormalNegritaCaracter"/>
        </w:rPr>
        <w:t>Artículo 81.2.</w:t>
      </w:r>
      <w:r w:rsidRPr="0057104C">
        <w:rPr>
          <w:rStyle w:val="TextoNormalCaracter"/>
        </w:rPr>
        <w:t>-</w:t>
      </w:r>
      <w:r>
        <w:t xml:space="preserve"> Sentencia </w:t>
      </w:r>
      <w:hyperlink w:anchor="SENTENCIA_2016_107" w:history="1">
        <w:r w:rsidRPr="0057104C">
          <w:rPr>
            <w:rStyle w:val="TextoNormalCaracter"/>
          </w:rPr>
          <w:t>107/2016</w:t>
        </w:r>
      </w:hyperlink>
      <w:r>
        <w:t>, f. 2.</w:t>
      </w:r>
    </w:p>
    <w:p w:rsidR="0057104C" w:rsidRDefault="0057104C" w:rsidP="0057104C">
      <w:pPr>
        <w:pStyle w:val="SangriaFrancesaArticulo"/>
      </w:pPr>
      <w:r w:rsidRPr="0057104C">
        <w:rPr>
          <w:rStyle w:val="TextoNormalNegritaCaracter"/>
        </w:rPr>
        <w:t>Artículo 103.</w:t>
      </w:r>
      <w:r w:rsidRPr="0057104C">
        <w:rPr>
          <w:rStyle w:val="TextoNormalCaracter"/>
        </w:rPr>
        <w:t>-</w:t>
      </w:r>
      <w:r>
        <w:t xml:space="preserve"> Sentencias </w:t>
      </w:r>
      <w:hyperlink w:anchor="SENTENCIA_2016_107" w:history="1">
        <w:r w:rsidRPr="0057104C">
          <w:rPr>
            <w:rStyle w:val="TextoNormalCaracter"/>
          </w:rPr>
          <w:t>107/2016</w:t>
        </w:r>
      </w:hyperlink>
      <w:r>
        <w:t xml:space="preserve">, f. 4; </w:t>
      </w:r>
      <w:hyperlink w:anchor="SENTENCIA_2016_108" w:history="1">
        <w:r w:rsidRPr="0057104C">
          <w:rPr>
            <w:rStyle w:val="TextoNormalCaracter"/>
          </w:rPr>
          <w:t>108/2016</w:t>
        </w:r>
      </w:hyperlink>
      <w:r>
        <w:t xml:space="preserve">, f. 4; </w:t>
      </w:r>
      <w:hyperlink w:anchor="SENTENCIA_2016_109" w:history="1">
        <w:r w:rsidRPr="0057104C">
          <w:rPr>
            <w:rStyle w:val="TextoNormalCaracter"/>
          </w:rPr>
          <w:t>109/2016</w:t>
        </w:r>
      </w:hyperlink>
      <w:r>
        <w:t>, f. 5.</w:t>
      </w:r>
    </w:p>
    <w:p w:rsidR="0057104C" w:rsidRDefault="0057104C" w:rsidP="0057104C">
      <w:pPr>
        <w:pStyle w:val="SangriaFrancesaArticulo"/>
      </w:pPr>
      <w:r w:rsidRPr="0057104C">
        <w:rPr>
          <w:rStyle w:val="TextoNormalNegritaCaracter"/>
        </w:rPr>
        <w:t>Artículo 105.</w:t>
      </w:r>
      <w:r w:rsidRPr="0057104C">
        <w:rPr>
          <w:rStyle w:val="TextoNormalCaracter"/>
        </w:rPr>
        <w:t>-</w:t>
      </w:r>
      <w:r>
        <w:t xml:space="preserve"> Sentencia </w:t>
      </w:r>
      <w:hyperlink w:anchor="SENTENCIA_2016_109" w:history="1">
        <w:r w:rsidRPr="0057104C">
          <w:rPr>
            <w:rStyle w:val="TextoNormalCaracter"/>
          </w:rPr>
          <w:t>109/2016</w:t>
        </w:r>
      </w:hyperlink>
      <w:r>
        <w:t>, f. 2.</w:t>
      </w:r>
    </w:p>
    <w:p w:rsidR="0057104C" w:rsidRDefault="0057104C" w:rsidP="0057104C">
      <w:pPr>
        <w:pStyle w:val="SangriaFrancesaArticulo"/>
      </w:pPr>
      <w:r w:rsidRPr="0057104C">
        <w:rPr>
          <w:rStyle w:val="TextoNormalNegritaCaracter"/>
        </w:rPr>
        <w:t>Artículo 164.</w:t>
      </w:r>
      <w:r w:rsidRPr="0057104C">
        <w:rPr>
          <w:rStyle w:val="TextoNormalCaracter"/>
        </w:rPr>
        <w:t>-</w:t>
      </w:r>
      <w:r>
        <w:t xml:space="preserve"> Sentencia </w:t>
      </w:r>
      <w:hyperlink w:anchor="SENTENCIA_2016_109" w:history="1">
        <w:r w:rsidRPr="0057104C">
          <w:rPr>
            <w:rStyle w:val="TextoNormalCaracter"/>
          </w:rPr>
          <w:t>109/2016</w:t>
        </w:r>
      </w:hyperlink>
      <w:r>
        <w:t>, f. 1.</w:t>
      </w:r>
    </w:p>
    <w:p w:rsidR="0057104C" w:rsidRDefault="0057104C" w:rsidP="0057104C">
      <w:pPr>
        <w:pStyle w:val="SangriaFrancesaArticulo"/>
      </w:pPr>
      <w:r w:rsidRPr="0057104C">
        <w:rPr>
          <w:rStyle w:val="TextoNormalNegritaCaracter"/>
        </w:rPr>
        <w:t>Artículo 164.1.</w:t>
      </w:r>
      <w:r w:rsidRPr="0057104C">
        <w:rPr>
          <w:rStyle w:val="TextoNormalCaracter"/>
        </w:rPr>
        <w:t>-</w:t>
      </w:r>
      <w:r>
        <w:t xml:space="preserve"> Sentencia </w:t>
      </w:r>
      <w:hyperlink w:anchor="SENTENCIA_2016_108" w:history="1">
        <w:r w:rsidRPr="0057104C">
          <w:rPr>
            <w:rStyle w:val="TextoNormalCaracter"/>
          </w:rPr>
          <w:t>108/2016</w:t>
        </w:r>
      </w:hyperlink>
      <w:r>
        <w:t>, f. 3.</w:t>
      </w:r>
    </w:p>
    <w:p w:rsidR="0057104C" w:rsidRDefault="0057104C" w:rsidP="0057104C">
      <w:pPr>
        <w:pStyle w:val="SangriaFrancesaArticulo"/>
      </w:pPr>
      <w:r w:rsidRPr="0057104C">
        <w:rPr>
          <w:rStyle w:val="TextoNormalNegritaCaracter"/>
        </w:rPr>
        <w:t>Artículo 164.2.</w:t>
      </w:r>
      <w:r w:rsidRPr="0057104C">
        <w:rPr>
          <w:rStyle w:val="TextoNormalCaracter"/>
        </w:rPr>
        <w:t>-</w:t>
      </w:r>
      <w:r>
        <w:t xml:space="preserve"> Sentencia </w:t>
      </w:r>
      <w:hyperlink w:anchor="SENTENCIA_2016_108" w:history="1">
        <w:r w:rsidRPr="0057104C">
          <w:rPr>
            <w:rStyle w:val="TextoNormalCaracter"/>
          </w:rPr>
          <w:t>108/2016</w:t>
        </w:r>
      </w:hyperlink>
      <w:r>
        <w:t>, f. 2.</w:t>
      </w:r>
    </w:p>
    <w:p w:rsidR="0057104C" w:rsidRDefault="0057104C" w:rsidP="0057104C">
      <w:pPr>
        <w:pStyle w:val="SangriaFrancesaArticulo"/>
      </w:pPr>
      <w:r w:rsidRPr="0057104C">
        <w:rPr>
          <w:rStyle w:val="TextoNormalNegritaCaracter"/>
        </w:rPr>
        <w:t>Artículo 164.3.</w:t>
      </w:r>
      <w:r w:rsidRPr="0057104C">
        <w:rPr>
          <w:rStyle w:val="TextoNormalCaracter"/>
        </w:rPr>
        <w:t>-</w:t>
      </w:r>
      <w:r>
        <w:t xml:space="preserve"> Sentencia </w:t>
      </w:r>
      <w:hyperlink w:anchor="SENTENCIA_2016_109" w:history="1">
        <w:r w:rsidRPr="0057104C">
          <w:rPr>
            <w:rStyle w:val="TextoNormalCaracter"/>
          </w:rPr>
          <w:t>109/2016</w:t>
        </w:r>
      </w:hyperlink>
      <w:r>
        <w:t>, f. 2.</w:t>
      </w:r>
    </w:p>
    <w:p w:rsidR="0057104C" w:rsidRDefault="0057104C" w:rsidP="0057104C">
      <w:pPr>
        <w:pStyle w:val="SangriaFrancesaArticulo"/>
      </w:pPr>
    </w:p>
    <w:p w:rsidR="0057104C" w:rsidRDefault="0057104C" w:rsidP="0057104C">
      <w:pPr>
        <w:pStyle w:val="TextoNormalNegritaCursivandice"/>
      </w:pPr>
      <w:r>
        <w:t>Resolución del Parlamento de Cataluña 5/X, de 23 de enero de 2013. Aprueba la declaración de soberanía y del derecho a decidir del pueblo de Cataluña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30" w:history="1">
        <w:r w:rsidRPr="0057104C">
          <w:rPr>
            <w:rStyle w:val="TextoNormalCaracter"/>
          </w:rPr>
          <w:t>130/2016</w:t>
        </w:r>
      </w:hyperlink>
      <w:r>
        <w:t>, f. 4.</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J.10) Extremadura</w:t>
      </w:r>
    </w:p>
    <w:p w:rsidR="0057104C" w:rsidRDefault="0057104C" w:rsidP="0057104C">
      <w:pPr>
        <w:pStyle w:val="TextoNormal"/>
      </w:pPr>
    </w:p>
    <w:p w:rsidR="0057104C" w:rsidRDefault="0057104C" w:rsidP="0057104C">
      <w:pPr>
        <w:pStyle w:val="TextoNormalNegritaCentradoSubrayado"/>
        <w:suppressAutoHyphens/>
      </w:pPr>
      <w:r>
        <w:t>J.10.a) Estatuto de Autonomía</w:t>
      </w:r>
    </w:p>
    <w:p w:rsidR="0057104C" w:rsidRDefault="0057104C" w:rsidP="0057104C">
      <w:pPr>
        <w:pStyle w:val="TextoNormalNegritaCentradoSubrayado"/>
      </w:pPr>
    </w:p>
    <w:p w:rsidR="0057104C" w:rsidRDefault="0057104C" w:rsidP="0057104C">
      <w:pPr>
        <w:pStyle w:val="TextoNormalNegritaCursivandice"/>
      </w:pPr>
      <w:r>
        <w:t>Ley Orgánica 1/2011, de 28 de enero. Reforma del Estatuto de Autonomía de la Comunidad Autónoma de Extremadura</w:t>
      </w:r>
    </w:p>
    <w:p w:rsidR="0057104C" w:rsidRDefault="0057104C" w:rsidP="0057104C">
      <w:pPr>
        <w:pStyle w:val="SangriaFrancesaArticulo"/>
      </w:pPr>
      <w:r w:rsidRPr="0057104C">
        <w:rPr>
          <w:rStyle w:val="TextoNormalNegritaCaracter"/>
        </w:rPr>
        <w:t>Artículo 9.1.1.</w:t>
      </w:r>
      <w:r w:rsidRPr="0057104C">
        <w:rPr>
          <w:rStyle w:val="TextoNormalCaracter"/>
        </w:rPr>
        <w:t>-</w:t>
      </w:r>
      <w:r>
        <w:t xml:space="preserve"> Sentencia </w:t>
      </w:r>
      <w:hyperlink w:anchor="SENTENCIA_2016_41" w:history="1">
        <w:r w:rsidRPr="0057104C">
          <w:rPr>
            <w:rStyle w:val="TextoNormalCaracter"/>
          </w:rPr>
          <w:t>41/2016</w:t>
        </w:r>
      </w:hyperlink>
      <w:r>
        <w:t>, ff. 7, 8.</w:t>
      </w:r>
    </w:p>
    <w:p w:rsidR="0057104C" w:rsidRDefault="0057104C" w:rsidP="0057104C">
      <w:pPr>
        <w:pStyle w:val="SangriaFrancesaArticulo"/>
      </w:pPr>
      <w:r w:rsidRPr="0057104C">
        <w:rPr>
          <w:rStyle w:val="TextoNormalNegritaCaracter"/>
        </w:rPr>
        <w:t>Artículo 9.1.16.</w:t>
      </w:r>
      <w:r w:rsidRPr="0057104C">
        <w:rPr>
          <w:rStyle w:val="TextoNormalCaracter"/>
        </w:rPr>
        <w:t>-</w:t>
      </w:r>
      <w:r>
        <w:t xml:space="preserve"> Sentencia </w:t>
      </w:r>
      <w:hyperlink w:anchor="SENTENCIA_2016_55" w:history="1">
        <w:r w:rsidRPr="0057104C">
          <w:rPr>
            <w:rStyle w:val="TextoNormalCaracter"/>
          </w:rPr>
          <w:t>55/2016</w:t>
        </w:r>
      </w:hyperlink>
      <w:r>
        <w:t>, f. 2.</w:t>
      </w:r>
    </w:p>
    <w:p w:rsidR="0057104C" w:rsidRDefault="0057104C" w:rsidP="0057104C">
      <w:pPr>
        <w:pStyle w:val="SangriaFrancesaArticulo"/>
      </w:pPr>
      <w:r w:rsidRPr="0057104C">
        <w:rPr>
          <w:rStyle w:val="TextoNormalNegritaCaracter"/>
        </w:rPr>
        <w:t>Artículo 9.1.24.</w:t>
      </w:r>
      <w:r w:rsidRPr="0057104C">
        <w:rPr>
          <w:rStyle w:val="TextoNormalCaracter"/>
        </w:rPr>
        <w:t>-</w:t>
      </w:r>
      <w:r>
        <w:t xml:space="preserve"> Sentencia </w:t>
      </w:r>
      <w:hyperlink w:anchor="SENTENCIA_2016_10" w:history="1">
        <w:r w:rsidRPr="0057104C">
          <w:rPr>
            <w:rStyle w:val="TextoNormalCaracter"/>
          </w:rPr>
          <w:t>10/2016</w:t>
        </w:r>
      </w:hyperlink>
      <w:r>
        <w:t>, f. 5.</w:t>
      </w:r>
    </w:p>
    <w:p w:rsidR="0057104C" w:rsidRDefault="0057104C" w:rsidP="0057104C">
      <w:pPr>
        <w:pStyle w:val="SangriaFrancesaArticulo"/>
      </w:pPr>
      <w:r w:rsidRPr="0057104C">
        <w:rPr>
          <w:rStyle w:val="TextoNormalNegritaCaracter"/>
        </w:rPr>
        <w:t>Artículo 9.3.</w:t>
      </w:r>
      <w:r w:rsidRPr="0057104C">
        <w:rPr>
          <w:rStyle w:val="TextoNormalCaracter"/>
        </w:rPr>
        <w:t>-</w:t>
      </w:r>
      <w:r>
        <w:t xml:space="preserve"> Sentencia </w:t>
      </w:r>
      <w:hyperlink w:anchor="SENTENCIA_2016_41" w:history="1">
        <w:r w:rsidRPr="0057104C">
          <w:rPr>
            <w:rStyle w:val="TextoNormalCaracter"/>
          </w:rPr>
          <w:t>41/2016</w:t>
        </w:r>
      </w:hyperlink>
      <w:r>
        <w:t>, f. 1.</w:t>
      </w:r>
    </w:p>
    <w:p w:rsidR="0057104C" w:rsidRDefault="0057104C" w:rsidP="0057104C">
      <w:pPr>
        <w:pStyle w:val="SangriaFrancesaArticulo"/>
      </w:pPr>
      <w:r w:rsidRPr="0057104C">
        <w:rPr>
          <w:rStyle w:val="TextoNormalNegritaCaracter"/>
        </w:rPr>
        <w:t>Artículo 9.24.</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9.27.</w:t>
      </w:r>
      <w:r w:rsidRPr="0057104C">
        <w:rPr>
          <w:rStyle w:val="TextoNormalCaracter"/>
        </w:rPr>
        <w:t>-</w:t>
      </w:r>
      <w:r>
        <w:t xml:space="preserve"> Sentencia </w:t>
      </w:r>
      <w:hyperlink w:anchor="SENTENCIA_2016_41" w:history="1">
        <w:r w:rsidRPr="0057104C">
          <w:rPr>
            <w:rStyle w:val="TextoNormalCaracter"/>
          </w:rPr>
          <w:t>41/2016</w:t>
        </w:r>
      </w:hyperlink>
      <w:r>
        <w:t>, f. 13.</w:t>
      </w:r>
    </w:p>
    <w:p w:rsidR="0057104C" w:rsidRDefault="0057104C" w:rsidP="0057104C">
      <w:pPr>
        <w:pStyle w:val="SangriaFrancesaArticulo"/>
      </w:pPr>
      <w:r w:rsidRPr="0057104C">
        <w:rPr>
          <w:rStyle w:val="TextoNormalNegritaCaracter"/>
        </w:rPr>
        <w:t>Artículo 10.1.9.</w:t>
      </w:r>
      <w:r w:rsidRPr="0057104C">
        <w:rPr>
          <w:rStyle w:val="TextoNormalCaracter"/>
        </w:rPr>
        <w:t>-</w:t>
      </w:r>
      <w:r>
        <w:t xml:space="preserve"> Sentencia </w:t>
      </w:r>
      <w:hyperlink w:anchor="SENTENCIA_2016_10" w:history="1">
        <w:r w:rsidRPr="0057104C">
          <w:rPr>
            <w:rStyle w:val="TextoNormalCaracter"/>
          </w:rPr>
          <w:t>10/2016</w:t>
        </w:r>
      </w:hyperlink>
      <w:r>
        <w:t>, f. 5.</w:t>
      </w:r>
    </w:p>
    <w:p w:rsidR="0057104C" w:rsidRDefault="0057104C" w:rsidP="0057104C">
      <w:pPr>
        <w:pStyle w:val="SangriaFrancesaArticulo"/>
      </w:pPr>
      <w:r w:rsidRPr="0057104C">
        <w:rPr>
          <w:rStyle w:val="TextoNormalNegritaCaracter"/>
        </w:rPr>
        <w:t>Artículos 53 a 60.</w:t>
      </w:r>
      <w:r w:rsidRPr="0057104C">
        <w:rPr>
          <w:rStyle w:val="TextoNormalCaracter"/>
        </w:rPr>
        <w:t>-</w:t>
      </w:r>
      <w:r>
        <w:t xml:space="preserve"> Sentencia </w:t>
      </w:r>
      <w:hyperlink w:anchor="SENTENCIA_2016_41" w:history="1">
        <w:r w:rsidRPr="0057104C">
          <w:rPr>
            <w:rStyle w:val="TextoNormalCaracter"/>
          </w:rPr>
          <w:t>41/2016</w:t>
        </w:r>
      </w:hyperlink>
      <w:r>
        <w:t>, f. 1.</w:t>
      </w:r>
    </w:p>
    <w:p w:rsidR="0057104C" w:rsidRDefault="0057104C" w:rsidP="0057104C">
      <w:pPr>
        <w:pStyle w:val="SangriaFrancesaArticulo"/>
      </w:pPr>
      <w:r w:rsidRPr="0057104C">
        <w:rPr>
          <w:rStyle w:val="TextoNormalNegritaCaracter"/>
        </w:rPr>
        <w:t>Artículo 54.2.</w:t>
      </w:r>
      <w:r w:rsidRPr="0057104C">
        <w:rPr>
          <w:rStyle w:val="TextoNormalCaracter"/>
        </w:rPr>
        <w:t>-</w:t>
      </w:r>
      <w:r>
        <w:t xml:space="preserve"> Sentencia </w:t>
      </w:r>
      <w:hyperlink w:anchor="SENTENCIA_2016_41" w:history="1">
        <w:r w:rsidRPr="0057104C">
          <w:rPr>
            <w:rStyle w:val="TextoNormalCaracter"/>
          </w:rPr>
          <w:t>41/2016</w:t>
        </w:r>
      </w:hyperlink>
      <w:r>
        <w:t>, f. 5.</w:t>
      </w:r>
    </w:p>
    <w:p w:rsidR="0057104C" w:rsidRDefault="0057104C" w:rsidP="0057104C">
      <w:pPr>
        <w:pStyle w:val="TextoNormal"/>
      </w:pPr>
    </w:p>
    <w:p w:rsidR="0057104C" w:rsidRDefault="0057104C" w:rsidP="0057104C">
      <w:pPr>
        <w:pStyle w:val="TextoNormalNegritaCentradoSubrayado"/>
        <w:suppressAutoHyphens/>
      </w:pPr>
      <w:r>
        <w:t>J.10.b)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 la Asamblea de Extremadura 1/1986, de 2 de mayo. Regulación de las dehesas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p>
    <w:p w:rsidR="0057104C" w:rsidRDefault="0057104C" w:rsidP="0057104C">
      <w:pPr>
        <w:pStyle w:val="TextoNormalNegritaCursivandice"/>
      </w:pPr>
      <w:r>
        <w:t>Ley de la Asamblea de Extremadura 7/1997, de 29 de mayo. Medidas fiscales sobre la producción y transporte de energía que incidan sobre el medio ambiente</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4" w:history="1">
        <w:r w:rsidRPr="0057104C">
          <w:rPr>
            <w:rStyle w:val="TextoNormalCaracter"/>
          </w:rPr>
          <w:t>74/2016</w:t>
        </w:r>
      </w:hyperlink>
      <w:r>
        <w:t>, VP.</w:t>
      </w:r>
    </w:p>
    <w:p w:rsidR="0057104C" w:rsidRDefault="0057104C" w:rsidP="0057104C">
      <w:pPr>
        <w:pStyle w:val="SangriaFrancesaArticulo"/>
      </w:pPr>
    </w:p>
    <w:p w:rsidR="0057104C" w:rsidRDefault="0057104C" w:rsidP="0057104C">
      <w:pPr>
        <w:pStyle w:val="TextoNormalNegritaCursivandice"/>
      </w:pPr>
      <w:r>
        <w:t>Ley de la Asamblea de Extremadura 10/2001, de 28 de junio. Normas reguladoras de la salud</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 w:history="1">
        <w:r w:rsidRPr="0057104C">
          <w:rPr>
            <w:rStyle w:val="TextoNormalCaracter"/>
          </w:rPr>
          <w:t>10/2016</w:t>
        </w:r>
      </w:hyperlink>
      <w:r>
        <w:t>, f. 3.</w:t>
      </w:r>
    </w:p>
    <w:p w:rsidR="0057104C" w:rsidRDefault="0057104C" w:rsidP="0057104C">
      <w:pPr>
        <w:pStyle w:val="SangriaFrancesaArticulo"/>
      </w:pPr>
      <w:r w:rsidRPr="0057104C">
        <w:rPr>
          <w:rStyle w:val="TextoNormalNegritaCaracter"/>
        </w:rPr>
        <w:t>Disposición adicional séptima.</w:t>
      </w:r>
      <w:r w:rsidRPr="0057104C">
        <w:rPr>
          <w:rStyle w:val="TextoNormalCaracter"/>
        </w:rPr>
        <w:t>-</w:t>
      </w:r>
      <w:r>
        <w:t xml:space="preserve"> Sentencia </w:t>
      </w:r>
      <w:hyperlink w:anchor="SENTENCIA_2016_10" w:history="1">
        <w:r w:rsidRPr="0057104C">
          <w:rPr>
            <w:rStyle w:val="TextoNormalCaracter"/>
          </w:rPr>
          <w:t>10/2016</w:t>
        </w:r>
      </w:hyperlink>
      <w:r>
        <w:t>, f. 1.</w:t>
      </w:r>
    </w:p>
    <w:p w:rsidR="0057104C" w:rsidRDefault="0057104C" w:rsidP="0057104C">
      <w:pPr>
        <w:pStyle w:val="TextoNormal"/>
      </w:pPr>
    </w:p>
    <w:p w:rsidR="0057104C" w:rsidRDefault="0057104C" w:rsidP="0057104C">
      <w:pPr>
        <w:pStyle w:val="TextoNormalNegritaCentradoSubrayado"/>
        <w:suppressAutoHyphens/>
      </w:pPr>
      <w:r>
        <w:t>J.10.d) Normas parlamentarias autonómicas</w:t>
      </w:r>
    </w:p>
    <w:p w:rsidR="0057104C" w:rsidRDefault="0057104C" w:rsidP="0057104C">
      <w:pPr>
        <w:pStyle w:val="TextoNormalNegritaCentradoSubrayado"/>
      </w:pPr>
    </w:p>
    <w:p w:rsidR="0057104C" w:rsidRDefault="0057104C" w:rsidP="0057104C">
      <w:pPr>
        <w:pStyle w:val="TextoNormalNegritaCursivandice"/>
      </w:pPr>
      <w:r>
        <w:t>Reglamento de la Asamblea de Extremadura de 19 de junio de 2008</w:t>
      </w:r>
    </w:p>
    <w:p w:rsidR="0057104C" w:rsidRDefault="0057104C" w:rsidP="0057104C">
      <w:pPr>
        <w:pStyle w:val="SangriaFrancesaArticulo"/>
      </w:pPr>
      <w:r w:rsidRPr="0057104C">
        <w:rPr>
          <w:rStyle w:val="TextoNormalNegritaCaracter"/>
        </w:rPr>
        <w:t>Artículo 44.</w:t>
      </w:r>
      <w:r w:rsidRPr="0057104C">
        <w:rPr>
          <w:rStyle w:val="TextoNormalCaracter"/>
        </w:rPr>
        <w:t>-</w:t>
      </w:r>
      <w:r>
        <w:t xml:space="preserve"> Sentencia </w:t>
      </w:r>
      <w:hyperlink w:anchor="SENTENCIA_2016_10" w:history="1">
        <w:r w:rsidRPr="0057104C">
          <w:rPr>
            <w:rStyle w:val="TextoNormalCaracter"/>
          </w:rPr>
          <w:t>10/2016</w:t>
        </w:r>
      </w:hyperlink>
      <w:r>
        <w:t>, f. 3.</w:t>
      </w:r>
    </w:p>
    <w:p w:rsidR="0057104C" w:rsidRDefault="0057104C" w:rsidP="0057104C">
      <w:pPr>
        <w:pStyle w:val="SangriaFrancesaArticulo"/>
      </w:pPr>
      <w:r w:rsidRPr="0057104C">
        <w:rPr>
          <w:rStyle w:val="TextoNormalNegritaCaracter"/>
        </w:rPr>
        <w:t>Artículo 48.</w:t>
      </w:r>
      <w:r w:rsidRPr="0057104C">
        <w:rPr>
          <w:rStyle w:val="TextoNormalCaracter"/>
        </w:rPr>
        <w:t>-</w:t>
      </w:r>
      <w:r>
        <w:t xml:space="preserve"> Sentencia </w:t>
      </w:r>
      <w:hyperlink w:anchor="SENTENCIA_2016_10" w:history="1">
        <w:r w:rsidRPr="0057104C">
          <w:rPr>
            <w:rStyle w:val="TextoNormalCaracter"/>
          </w:rPr>
          <w:t>10/2016</w:t>
        </w:r>
      </w:hyperlink>
      <w:r>
        <w:t>, f. 2.</w:t>
      </w:r>
    </w:p>
    <w:p w:rsidR="0057104C" w:rsidRDefault="0057104C" w:rsidP="0057104C">
      <w:pPr>
        <w:pStyle w:val="SangriaFrancesaArticulo"/>
      </w:pPr>
      <w:r w:rsidRPr="0057104C">
        <w:rPr>
          <w:rStyle w:val="TextoNormalNegritaCaracter"/>
        </w:rPr>
        <w:t>Artículo 49.1.</w:t>
      </w:r>
      <w:r w:rsidRPr="0057104C">
        <w:rPr>
          <w:rStyle w:val="TextoNormalCaracter"/>
        </w:rPr>
        <w:t>-</w:t>
      </w:r>
      <w:r>
        <w:t xml:space="preserve"> Sentencia </w:t>
      </w:r>
      <w:hyperlink w:anchor="SENTENCIA_2016_10" w:history="1">
        <w:r w:rsidRPr="0057104C">
          <w:rPr>
            <w:rStyle w:val="TextoNormalCaracter"/>
          </w:rPr>
          <w:t>10/2016</w:t>
        </w:r>
      </w:hyperlink>
      <w:r>
        <w:t>, f. 2.</w:t>
      </w:r>
    </w:p>
    <w:p w:rsidR="0057104C" w:rsidRDefault="0057104C" w:rsidP="0057104C">
      <w:pPr>
        <w:pStyle w:val="SangriaFrancesaArticulo"/>
      </w:pPr>
      <w:r w:rsidRPr="0057104C">
        <w:rPr>
          <w:rStyle w:val="TextoNormalNegritaCaracter"/>
        </w:rPr>
        <w:t>Articulo 49.3 c).</w:t>
      </w:r>
      <w:r w:rsidRPr="0057104C">
        <w:rPr>
          <w:rStyle w:val="TextoNormalCaracter"/>
        </w:rPr>
        <w:t>-</w:t>
      </w:r>
      <w:r>
        <w:t xml:space="preserve"> Sentencia </w:t>
      </w:r>
      <w:hyperlink w:anchor="SENTENCIA_2016_10" w:history="1">
        <w:r w:rsidRPr="0057104C">
          <w:rPr>
            <w:rStyle w:val="TextoNormalCaracter"/>
          </w:rPr>
          <w:t>10/2016</w:t>
        </w:r>
      </w:hyperlink>
      <w:r>
        <w:t>, ff. 2 a 4, 5.</w:t>
      </w:r>
    </w:p>
    <w:p w:rsidR="0057104C" w:rsidRDefault="0057104C" w:rsidP="0057104C">
      <w:pPr>
        <w:pStyle w:val="SangriaFrancesaArticulo"/>
      </w:pPr>
      <w:r w:rsidRPr="0057104C">
        <w:rPr>
          <w:rStyle w:val="TextoNormalNegritaCaracter"/>
        </w:rPr>
        <w:t>Artículo 161.</w:t>
      </w:r>
      <w:r w:rsidRPr="0057104C">
        <w:rPr>
          <w:rStyle w:val="TextoNormalCaracter"/>
        </w:rPr>
        <w:t>-</w:t>
      </w:r>
      <w:r>
        <w:t xml:space="preserve"> Sentencia </w:t>
      </w:r>
      <w:hyperlink w:anchor="SENTENCIA_2016_10" w:history="1">
        <w:r w:rsidRPr="0057104C">
          <w:rPr>
            <w:rStyle w:val="TextoNormalCaracter"/>
          </w:rPr>
          <w:t>10/2016</w:t>
        </w:r>
      </w:hyperlink>
      <w:r>
        <w:t>, ff. 2, 5.</w:t>
      </w:r>
    </w:p>
    <w:p w:rsidR="0057104C" w:rsidRDefault="0057104C" w:rsidP="0057104C">
      <w:pPr>
        <w:pStyle w:val="SangriaFrancesaArticulo"/>
      </w:pPr>
      <w:r w:rsidRPr="0057104C">
        <w:rPr>
          <w:rStyle w:val="TextoNormalNegritaCaracter"/>
        </w:rPr>
        <w:t>Artículo 162.</w:t>
      </w:r>
      <w:r w:rsidRPr="0057104C">
        <w:rPr>
          <w:rStyle w:val="TextoNormalCaracter"/>
        </w:rPr>
        <w:t>-</w:t>
      </w:r>
      <w:r>
        <w:t xml:space="preserve"> Sentencia </w:t>
      </w:r>
      <w:hyperlink w:anchor="SENTENCIA_2016_10" w:history="1">
        <w:r w:rsidRPr="0057104C">
          <w:rPr>
            <w:rStyle w:val="TextoNormalCaracter"/>
          </w:rPr>
          <w:t>10/2016</w:t>
        </w:r>
      </w:hyperlink>
      <w:r>
        <w:t>, f. 5.</w:t>
      </w:r>
    </w:p>
    <w:p w:rsidR="0057104C" w:rsidRDefault="0057104C" w:rsidP="0057104C">
      <w:pPr>
        <w:pStyle w:val="SangriaFrancesaArticulo"/>
      </w:pPr>
      <w:r w:rsidRPr="0057104C">
        <w:rPr>
          <w:rStyle w:val="TextoNormalNegritaCaracter"/>
        </w:rPr>
        <w:t>Artículo 162.1.</w:t>
      </w:r>
      <w:r w:rsidRPr="0057104C">
        <w:rPr>
          <w:rStyle w:val="TextoNormalCaracter"/>
        </w:rPr>
        <w:t>-</w:t>
      </w:r>
      <w:r>
        <w:t xml:space="preserve"> Sentencia </w:t>
      </w:r>
      <w:hyperlink w:anchor="SENTENCIA_2016_10" w:history="1">
        <w:r w:rsidRPr="0057104C">
          <w:rPr>
            <w:rStyle w:val="TextoNormalCaracter"/>
          </w:rPr>
          <w:t>10/2016</w:t>
        </w:r>
      </w:hyperlink>
      <w:r>
        <w:t>, f. 2.</w:t>
      </w:r>
    </w:p>
    <w:p w:rsidR="0057104C" w:rsidRDefault="0057104C" w:rsidP="0057104C">
      <w:pPr>
        <w:pStyle w:val="SangriaFrancesaArticulo"/>
      </w:pPr>
    </w:p>
    <w:p w:rsidR="0057104C" w:rsidRDefault="0057104C" w:rsidP="0057104C">
      <w:pPr>
        <w:pStyle w:val="TextoNormalNegritaCursivandice"/>
      </w:pPr>
      <w:r>
        <w:t>Acuerdo de la Mesa de la Cámara de la Asamblea de Extremadura de 5 de marzo de 2013 (MA126/A1/13-VIII). Desestimar el recurso de reconsideración contra el acuerdo de la Mesa de la Cámara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 w:history="1">
        <w:r w:rsidRPr="0057104C">
          <w:rPr>
            <w:rStyle w:val="TextoNormalCaracter"/>
          </w:rPr>
          <w:t>10/2016</w:t>
        </w:r>
      </w:hyperlink>
      <w:r>
        <w:t>, ff. 1, 3.</w:t>
      </w:r>
    </w:p>
    <w:p w:rsidR="0057104C" w:rsidRDefault="0057104C" w:rsidP="0057104C">
      <w:pPr>
        <w:pStyle w:val="SangriaFrancesaArticulo"/>
      </w:pPr>
    </w:p>
    <w:p w:rsidR="0057104C" w:rsidRDefault="0057104C" w:rsidP="0057104C">
      <w:pPr>
        <w:pStyle w:val="TextoNormalNegritaCursivandice"/>
      </w:pPr>
      <w:r>
        <w:t>Acuerdo de la Mesa de la Cámara de la Asamblea de Extremadura de 27 de febrero de 2013 (MA124/A1/13-VIII). Inadmisión a trámite de la Propuesta de Ley (PRL-11), de defensa de la Sanidad Pública, por la que se modifica la Ley 10/2001, de 28 de junio, de Salud de Extremadura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 w:history="1">
        <w:r w:rsidRPr="0057104C">
          <w:rPr>
            <w:rStyle w:val="TextoNormalCaracter"/>
          </w:rPr>
          <w:t>10/2016</w:t>
        </w:r>
      </w:hyperlink>
      <w:r>
        <w:t>, ff. 1, 3.</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J.11) Galicia</w:t>
      </w:r>
    </w:p>
    <w:p w:rsidR="0057104C" w:rsidRDefault="0057104C" w:rsidP="0057104C">
      <w:pPr>
        <w:pStyle w:val="TextoNormal"/>
      </w:pPr>
    </w:p>
    <w:p w:rsidR="0057104C" w:rsidRDefault="0057104C" w:rsidP="0057104C">
      <w:pPr>
        <w:pStyle w:val="TextoNormalNegritaCentradoSubrayado"/>
        <w:suppressAutoHyphens/>
      </w:pPr>
      <w:r>
        <w:t>J.11.a) Estatuto de Autonomía</w:t>
      </w:r>
    </w:p>
    <w:p w:rsidR="0057104C" w:rsidRDefault="0057104C" w:rsidP="0057104C">
      <w:pPr>
        <w:pStyle w:val="TextoNormalNegritaCentradoSubrayado"/>
      </w:pPr>
    </w:p>
    <w:p w:rsidR="0057104C" w:rsidRDefault="0057104C" w:rsidP="0057104C">
      <w:pPr>
        <w:pStyle w:val="TextoNormalNegritaCursivandice"/>
      </w:pPr>
      <w:r>
        <w:t>Ley Orgánica 1/1981, de 6 de abril. Estatuto de Autonomía de Galicia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8" w:history="1">
        <w:r w:rsidRPr="0057104C">
          <w:rPr>
            <w:rStyle w:val="TextoNormalCaracter"/>
          </w:rPr>
          <w:t>8/2016</w:t>
        </w:r>
      </w:hyperlink>
      <w:r>
        <w:t xml:space="preserve">, f. 2; </w:t>
      </w:r>
      <w:hyperlink w:anchor="SENTENCIA_2016_33" w:history="1">
        <w:r w:rsidRPr="0057104C">
          <w:rPr>
            <w:rStyle w:val="TextoNormalCaracter"/>
          </w:rPr>
          <w:t>33/2016</w:t>
        </w:r>
      </w:hyperlink>
      <w:r>
        <w:t>, f. 8.</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02" w:history="1">
        <w:r w:rsidRPr="0057104C">
          <w:rPr>
            <w:rStyle w:val="TextoNormalCaracter"/>
          </w:rPr>
          <w:t>102/2016</w:t>
        </w:r>
      </w:hyperlink>
      <w:r>
        <w:t>, VP.</w:t>
      </w:r>
    </w:p>
    <w:p w:rsidR="0057104C" w:rsidRDefault="0057104C" w:rsidP="0057104C">
      <w:pPr>
        <w:pStyle w:val="SangriaFrancesaArticulo"/>
      </w:pPr>
      <w:r w:rsidRPr="0057104C">
        <w:rPr>
          <w:rStyle w:val="TextoNormalNegritaCaracter"/>
        </w:rPr>
        <w:t>Artículo 13.1.</w:t>
      </w:r>
      <w:r w:rsidRPr="0057104C">
        <w:rPr>
          <w:rStyle w:val="TextoNormalCaracter"/>
        </w:rPr>
        <w:t>-</w:t>
      </w:r>
      <w:r>
        <w:t xml:space="preserve"> Sentencia </w:t>
      </w:r>
      <w:hyperlink w:anchor="SENTENCIA_2016_102" w:history="1">
        <w:r w:rsidRPr="0057104C">
          <w:rPr>
            <w:rStyle w:val="TextoNormalCaracter"/>
          </w:rPr>
          <w:t>102/2016</w:t>
        </w:r>
      </w:hyperlink>
      <w:r>
        <w:t>, VP.</w:t>
      </w:r>
    </w:p>
    <w:p w:rsidR="0057104C" w:rsidRDefault="0057104C" w:rsidP="0057104C">
      <w:pPr>
        <w:pStyle w:val="SangriaFrancesaArticulo"/>
      </w:pPr>
      <w:r w:rsidRPr="0057104C">
        <w:rPr>
          <w:rStyle w:val="TextoNormalNegritaCaracter"/>
        </w:rPr>
        <w:t>Artículo 27.2.</w:t>
      </w:r>
      <w:r w:rsidRPr="0057104C">
        <w:rPr>
          <w:rStyle w:val="TextoNormalCaracter"/>
        </w:rPr>
        <w:t>-</w:t>
      </w:r>
      <w:r>
        <w:t xml:space="preserve"> Sentencia </w:t>
      </w:r>
      <w:hyperlink w:anchor="SENTENCIA_2016_102" w:history="1">
        <w:r w:rsidRPr="0057104C">
          <w:rPr>
            <w:rStyle w:val="TextoNormalCaracter"/>
          </w:rPr>
          <w:t>102/2016</w:t>
        </w:r>
      </w:hyperlink>
      <w:r>
        <w:t>, VP.</w:t>
      </w:r>
    </w:p>
    <w:p w:rsidR="0057104C" w:rsidRDefault="0057104C" w:rsidP="0057104C">
      <w:pPr>
        <w:pStyle w:val="SangriaFrancesaArticulo"/>
      </w:pPr>
      <w:r w:rsidRPr="0057104C">
        <w:rPr>
          <w:rStyle w:val="TextoNormalNegritaCaracter"/>
        </w:rPr>
        <w:t>Artículo 27.3.</w:t>
      </w:r>
      <w:r w:rsidRPr="0057104C">
        <w:rPr>
          <w:rStyle w:val="TextoNormalCaracter"/>
        </w:rPr>
        <w:t>-</w:t>
      </w:r>
      <w:r>
        <w:t xml:space="preserve"> Sentencia </w:t>
      </w:r>
      <w:hyperlink w:anchor="SENTENCIA_2016_8" w:history="1">
        <w:r w:rsidRPr="0057104C">
          <w:rPr>
            <w:rStyle w:val="TextoNormalCaracter"/>
          </w:rPr>
          <w:t>8/2016</w:t>
        </w:r>
      </w:hyperlink>
      <w:r>
        <w:t>, f. 3.</w:t>
      </w:r>
    </w:p>
    <w:p w:rsidR="0057104C" w:rsidRDefault="0057104C" w:rsidP="0057104C">
      <w:pPr>
        <w:pStyle w:val="SangriaFrancesaArticulo"/>
      </w:pPr>
      <w:r w:rsidRPr="0057104C">
        <w:rPr>
          <w:rStyle w:val="TextoNormalNegritaCaracter"/>
        </w:rPr>
        <w:t>Artículo 27.18.</w:t>
      </w:r>
      <w:r w:rsidRPr="0057104C">
        <w:rPr>
          <w:rStyle w:val="TextoNormalCaracter"/>
        </w:rPr>
        <w:t>-</w:t>
      </w:r>
      <w:r>
        <w:t xml:space="preserve"> Sentencia </w:t>
      </w:r>
      <w:hyperlink w:anchor="SENTENCIA_2016_8" w:history="1">
        <w:r w:rsidRPr="0057104C">
          <w:rPr>
            <w:rStyle w:val="TextoNormalCaracter"/>
          </w:rPr>
          <w:t>8/2016</w:t>
        </w:r>
      </w:hyperlink>
      <w:r>
        <w:t>, f. 3.</w:t>
      </w:r>
    </w:p>
    <w:p w:rsidR="0057104C" w:rsidRDefault="0057104C" w:rsidP="0057104C">
      <w:pPr>
        <w:pStyle w:val="SangriaFrancesaArticulo"/>
      </w:pPr>
      <w:r w:rsidRPr="0057104C">
        <w:rPr>
          <w:rStyle w:val="TextoNormalNegritaCaracter"/>
        </w:rPr>
        <w:t>Artículo 27.30.</w:t>
      </w:r>
      <w:r w:rsidRPr="0057104C">
        <w:rPr>
          <w:rStyle w:val="TextoNormalCaracter"/>
        </w:rPr>
        <w:t>-</w:t>
      </w:r>
      <w:r>
        <w:t xml:space="preserve"> Sentencia </w:t>
      </w:r>
      <w:hyperlink w:anchor="SENTENCIA_2016_8" w:history="1">
        <w:r w:rsidRPr="0057104C">
          <w:rPr>
            <w:rStyle w:val="TextoNormalCaracter"/>
          </w:rPr>
          <w:t>8/2016</w:t>
        </w:r>
      </w:hyperlink>
      <w:r>
        <w:t>, f. 3.</w:t>
      </w:r>
    </w:p>
    <w:p w:rsidR="0057104C" w:rsidRDefault="0057104C" w:rsidP="0057104C">
      <w:pPr>
        <w:pStyle w:val="SangriaFrancesaArticulo"/>
      </w:pPr>
      <w:r w:rsidRPr="0057104C">
        <w:rPr>
          <w:rStyle w:val="TextoNormalNegritaCaracter"/>
        </w:rPr>
        <w:t>Artículo 28.3.</w:t>
      </w:r>
      <w:r w:rsidRPr="0057104C">
        <w:rPr>
          <w:rStyle w:val="TextoNormalCaracter"/>
        </w:rPr>
        <w:t>-</w:t>
      </w:r>
      <w:r>
        <w:t xml:space="preserve"> Sentencia </w:t>
      </w:r>
      <w:hyperlink w:anchor="SENTENCIA_2016_33" w:history="1">
        <w:r w:rsidRPr="0057104C">
          <w:rPr>
            <w:rStyle w:val="TextoNormalCaracter"/>
          </w:rPr>
          <w:t>33/2016</w:t>
        </w:r>
      </w:hyperlink>
      <w:r>
        <w:t>, ff. 8 a 10.</w:t>
      </w:r>
    </w:p>
    <w:p w:rsidR="0057104C" w:rsidRDefault="0057104C" w:rsidP="0057104C">
      <w:pPr>
        <w:pStyle w:val="SangriaFrancesaArticulo"/>
      </w:pPr>
      <w:r w:rsidRPr="0057104C">
        <w:rPr>
          <w:rStyle w:val="TextoNormalNegritaCaracter"/>
        </w:rPr>
        <w:t>Artículo 30.1.1.</w:t>
      </w:r>
      <w:r w:rsidRPr="0057104C">
        <w:rPr>
          <w:rStyle w:val="TextoNormalCaracter"/>
        </w:rPr>
        <w:t>-</w:t>
      </w:r>
      <w:r>
        <w:t xml:space="preserve"> Sentencia </w:t>
      </w:r>
      <w:hyperlink w:anchor="SENTENCIA_2016_8" w:history="1">
        <w:r w:rsidRPr="0057104C">
          <w:rPr>
            <w:rStyle w:val="TextoNormalCaracter"/>
          </w:rPr>
          <w:t>8/2016</w:t>
        </w:r>
      </w:hyperlink>
      <w:r>
        <w:t>, f. 3.</w:t>
      </w:r>
    </w:p>
    <w:p w:rsidR="0057104C" w:rsidRDefault="0057104C" w:rsidP="0057104C">
      <w:pPr>
        <w:pStyle w:val="SangriaFrancesaArticulo"/>
      </w:pPr>
      <w:r w:rsidRPr="0057104C">
        <w:rPr>
          <w:rStyle w:val="TextoNormalNegritaCaracter"/>
        </w:rPr>
        <w:t>Artículo 40.</w:t>
      </w:r>
      <w:r w:rsidRPr="0057104C">
        <w:rPr>
          <w:rStyle w:val="TextoNormalCaracter"/>
        </w:rPr>
        <w:t>-</w:t>
      </w:r>
      <w:r>
        <w:t xml:space="preserve"> Sentencia </w:t>
      </w:r>
      <w:hyperlink w:anchor="SENTENCIA_2016_102" w:history="1">
        <w:r w:rsidRPr="0057104C">
          <w:rPr>
            <w:rStyle w:val="TextoNormalCaracter"/>
          </w:rPr>
          <w:t>102/2016</w:t>
        </w:r>
      </w:hyperlink>
      <w:r>
        <w:t>, VP.</w:t>
      </w:r>
    </w:p>
    <w:p w:rsidR="0057104C" w:rsidRDefault="0057104C" w:rsidP="0057104C">
      <w:pPr>
        <w:pStyle w:val="SangriaFrancesaArticulo"/>
      </w:pPr>
      <w:r w:rsidRPr="0057104C">
        <w:rPr>
          <w:rStyle w:val="TextoNormalNegritaCaracter"/>
        </w:rPr>
        <w:t>Artículo 53.1.</w:t>
      </w:r>
      <w:r w:rsidRPr="0057104C">
        <w:rPr>
          <w:rStyle w:val="TextoNormalCaracter"/>
        </w:rPr>
        <w:t>-</w:t>
      </w:r>
      <w:r>
        <w:t xml:space="preserve"> Autos </w:t>
      </w:r>
      <w:hyperlink w:anchor="AUTO_2016_84" w:history="1">
        <w:r w:rsidRPr="0057104C">
          <w:rPr>
            <w:rStyle w:val="TextoNormalCaracter"/>
          </w:rPr>
          <w:t>84/2016</w:t>
        </w:r>
      </w:hyperlink>
      <w:r>
        <w:t xml:space="preserve">, ff. 1, 7; </w:t>
      </w:r>
      <w:hyperlink w:anchor="AUTO_2016_101" w:history="1">
        <w:r w:rsidRPr="0057104C">
          <w:rPr>
            <w:rStyle w:val="TextoNormalCaracter"/>
          </w:rPr>
          <w:t>101/2016</w:t>
        </w:r>
      </w:hyperlink>
      <w:r>
        <w:t xml:space="preserve">, ff. 1, 4; </w:t>
      </w:r>
      <w:hyperlink w:anchor="AUTO_2016_102" w:history="1">
        <w:r w:rsidRPr="0057104C">
          <w:rPr>
            <w:rStyle w:val="TextoNormalCaracter"/>
          </w:rPr>
          <w:t>102/2016</w:t>
        </w:r>
      </w:hyperlink>
      <w:r>
        <w:t xml:space="preserve">, ff. 1, 4; </w:t>
      </w:r>
      <w:hyperlink w:anchor="AUTO_2016_103" w:history="1">
        <w:r w:rsidRPr="0057104C">
          <w:rPr>
            <w:rStyle w:val="TextoNormalCaracter"/>
          </w:rPr>
          <w:t>103/2016</w:t>
        </w:r>
      </w:hyperlink>
      <w:r>
        <w:t xml:space="preserve">, ff. 1, 7; </w:t>
      </w:r>
      <w:hyperlink w:anchor="AUTO_2016_132" w:history="1">
        <w:r w:rsidRPr="0057104C">
          <w:rPr>
            <w:rStyle w:val="TextoNormalCaracter"/>
          </w:rPr>
          <w:t>132/2016</w:t>
        </w:r>
      </w:hyperlink>
      <w:r>
        <w:t>, f. 8.</w:t>
      </w:r>
    </w:p>
    <w:p w:rsidR="0057104C" w:rsidRDefault="0057104C" w:rsidP="0057104C">
      <w:pPr>
        <w:pStyle w:val="TextoNormal"/>
      </w:pPr>
    </w:p>
    <w:p w:rsidR="0057104C" w:rsidRDefault="0057104C" w:rsidP="0057104C">
      <w:pPr>
        <w:pStyle w:val="TextoNormalNegritaCentradoSubrayado"/>
        <w:suppressAutoHyphens/>
      </w:pPr>
      <w:r>
        <w:t>J.11.b)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del Parlamento de Galicia 1/1997, de 24 de marzo. Suelo de Galicia</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Autos </w:t>
      </w:r>
      <w:hyperlink w:anchor="AUTO_2016_76" w:history="1">
        <w:r w:rsidRPr="0057104C">
          <w:rPr>
            <w:rStyle w:val="TextoNormalCaracter"/>
          </w:rPr>
          <w:t>76/2016</w:t>
        </w:r>
      </w:hyperlink>
      <w:r>
        <w:t xml:space="preserve">, f. 2; </w:t>
      </w:r>
      <w:hyperlink w:anchor="AUTO_2016_77" w:history="1">
        <w:r w:rsidRPr="0057104C">
          <w:rPr>
            <w:rStyle w:val="TextoNormalCaracter"/>
          </w:rPr>
          <w:t>77/2016</w:t>
        </w:r>
      </w:hyperlink>
      <w:r>
        <w:t xml:space="preserve">, f. 4; </w:t>
      </w:r>
      <w:hyperlink w:anchor="AUTO_2016_86" w:history="1">
        <w:r w:rsidRPr="0057104C">
          <w:rPr>
            <w:rStyle w:val="TextoNormalCaracter"/>
          </w:rPr>
          <w:t>86/2016</w:t>
        </w:r>
      </w:hyperlink>
      <w:r>
        <w:t xml:space="preserve">, f. 4; </w:t>
      </w:r>
      <w:hyperlink w:anchor="AUTO_2016_87" w:history="1">
        <w:r w:rsidRPr="0057104C">
          <w:rPr>
            <w:rStyle w:val="TextoNormalCaracter"/>
          </w:rPr>
          <w:t>87/2016</w:t>
        </w:r>
      </w:hyperlink>
      <w:r>
        <w:t xml:space="preserve">, f. 2; </w:t>
      </w:r>
      <w:hyperlink w:anchor="AUTO_2016_88" w:history="1">
        <w:r w:rsidRPr="0057104C">
          <w:rPr>
            <w:rStyle w:val="TextoNormalCaracter"/>
          </w:rPr>
          <w:t>88/2016</w:t>
        </w:r>
      </w:hyperlink>
      <w:r>
        <w:t xml:space="preserve">, f. 2; </w:t>
      </w:r>
      <w:hyperlink w:anchor="AUTO_2016_104" w:history="1">
        <w:r w:rsidRPr="0057104C">
          <w:rPr>
            <w:rStyle w:val="TextoNormalCaracter"/>
          </w:rPr>
          <w:t>104/2016</w:t>
        </w:r>
      </w:hyperlink>
      <w:r>
        <w:t>, f. 2.</w:t>
      </w:r>
    </w:p>
    <w:p w:rsidR="0057104C" w:rsidRDefault="0057104C" w:rsidP="0057104C">
      <w:pPr>
        <w:pStyle w:val="SangriaFrancesaArticulo"/>
      </w:pPr>
    </w:p>
    <w:p w:rsidR="0057104C" w:rsidRDefault="0057104C" w:rsidP="0057104C">
      <w:pPr>
        <w:pStyle w:val="TextoNormalNegritaCursivandice"/>
      </w:pPr>
      <w:r>
        <w:t>Ley del Parlamento de Galicia 5/1997, de 22 de julio. Administración local</w:t>
      </w:r>
    </w:p>
    <w:p w:rsidR="0057104C" w:rsidRDefault="0057104C" w:rsidP="0057104C">
      <w:pPr>
        <w:pStyle w:val="SangriaFrancesaArticulo"/>
      </w:pPr>
      <w:r w:rsidRPr="0057104C">
        <w:rPr>
          <w:rStyle w:val="TextoNormalNegritaCaracter"/>
        </w:rPr>
        <w:t>Artículo 32.1.</w:t>
      </w:r>
      <w:r w:rsidRPr="0057104C">
        <w:rPr>
          <w:rStyle w:val="TextoNormalCaracter"/>
        </w:rPr>
        <w:t>-</w:t>
      </w:r>
      <w:r>
        <w:t xml:space="preserve"> Sentencias </w:t>
      </w:r>
      <w:hyperlink w:anchor="SENTENCIA_2016_102" w:history="1">
        <w:r w:rsidRPr="0057104C">
          <w:rPr>
            <w:rStyle w:val="TextoNormalCaracter"/>
          </w:rPr>
          <w:t>102/2016</w:t>
        </w:r>
      </w:hyperlink>
      <w:r>
        <w:t xml:space="preserve">, ff. 1, 3, 6, VP; </w:t>
      </w:r>
      <w:hyperlink w:anchor="SENTENCIA_2016_116" w:history="1">
        <w:r w:rsidRPr="0057104C">
          <w:rPr>
            <w:rStyle w:val="TextoNormalCaracter"/>
          </w:rPr>
          <w:t>116/2016</w:t>
        </w:r>
      </w:hyperlink>
      <w:r>
        <w:t>, f. 1.</w:t>
      </w:r>
    </w:p>
    <w:p w:rsidR="0057104C" w:rsidRDefault="0057104C" w:rsidP="0057104C">
      <w:pPr>
        <w:pStyle w:val="SangriaFrancesaArticulo"/>
      </w:pPr>
    </w:p>
    <w:p w:rsidR="0057104C" w:rsidRDefault="0057104C" w:rsidP="0057104C">
      <w:pPr>
        <w:pStyle w:val="TextoNormalNegritaCursivandice"/>
      </w:pPr>
      <w:r>
        <w:t>Ley del Parlamento de Galicia 9/2002, de 30 de diciembre. Ordenación urbanística y protección del medio rural de Galicia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Autos </w:t>
      </w:r>
      <w:hyperlink w:anchor="AUTO_2016_76" w:history="1">
        <w:r w:rsidRPr="0057104C">
          <w:rPr>
            <w:rStyle w:val="TextoNormalCaracter"/>
          </w:rPr>
          <w:t>76/2016</w:t>
        </w:r>
      </w:hyperlink>
      <w:r>
        <w:t xml:space="preserve">, f. 3; </w:t>
      </w:r>
      <w:hyperlink w:anchor="AUTO_2016_77" w:history="1">
        <w:r w:rsidRPr="0057104C">
          <w:rPr>
            <w:rStyle w:val="TextoNormalCaracter"/>
          </w:rPr>
          <w:t>77/2016</w:t>
        </w:r>
      </w:hyperlink>
      <w:r>
        <w:t xml:space="preserve">, f. 5; </w:t>
      </w:r>
      <w:hyperlink w:anchor="AUTO_2016_78" w:history="1">
        <w:r w:rsidRPr="0057104C">
          <w:rPr>
            <w:rStyle w:val="TextoNormalCaracter"/>
          </w:rPr>
          <w:t>78/2016</w:t>
        </w:r>
      </w:hyperlink>
      <w:r>
        <w:t xml:space="preserve">, ff. 2, 3; </w:t>
      </w:r>
      <w:hyperlink w:anchor="AUTO_2016_85" w:history="1">
        <w:r w:rsidRPr="0057104C">
          <w:rPr>
            <w:rStyle w:val="TextoNormalCaracter"/>
          </w:rPr>
          <w:t>85/2016</w:t>
        </w:r>
      </w:hyperlink>
      <w:r>
        <w:t xml:space="preserve">, ff. 2, 3; </w:t>
      </w:r>
      <w:hyperlink w:anchor="AUTO_2016_86" w:history="1">
        <w:r w:rsidRPr="0057104C">
          <w:rPr>
            <w:rStyle w:val="TextoNormalCaracter"/>
          </w:rPr>
          <w:t>86/2016</w:t>
        </w:r>
      </w:hyperlink>
      <w:r>
        <w:t xml:space="preserve">, f. 5; </w:t>
      </w:r>
      <w:hyperlink w:anchor="AUTO_2016_87" w:history="1">
        <w:r w:rsidRPr="0057104C">
          <w:rPr>
            <w:rStyle w:val="TextoNormalCaracter"/>
          </w:rPr>
          <w:t>87/2016</w:t>
        </w:r>
      </w:hyperlink>
      <w:r>
        <w:t xml:space="preserve">, f. 3; </w:t>
      </w:r>
      <w:hyperlink w:anchor="AUTO_2016_88" w:history="1">
        <w:r w:rsidRPr="0057104C">
          <w:rPr>
            <w:rStyle w:val="TextoNormalCaracter"/>
          </w:rPr>
          <w:t>88/2016</w:t>
        </w:r>
      </w:hyperlink>
      <w:r>
        <w:t xml:space="preserve">, f. 3; </w:t>
      </w:r>
      <w:hyperlink w:anchor="AUTO_2016_104" w:history="1">
        <w:r w:rsidRPr="0057104C">
          <w:rPr>
            <w:rStyle w:val="TextoNormalCaracter"/>
          </w:rPr>
          <w:t>104/2016</w:t>
        </w:r>
      </w:hyperlink>
      <w:r>
        <w:t>, f. 3.</w:t>
      </w:r>
    </w:p>
    <w:p w:rsidR="0057104C" w:rsidRDefault="0057104C" w:rsidP="0057104C">
      <w:pPr>
        <w:pStyle w:val="SangriaFrancesaArticulo"/>
      </w:pPr>
      <w:r w:rsidRPr="0057104C">
        <w:rPr>
          <w:rStyle w:val="TextoNormalNegritaCaracter"/>
        </w:rPr>
        <w:t>Artículo 85.</w:t>
      </w:r>
      <w:r w:rsidRPr="0057104C">
        <w:rPr>
          <w:rStyle w:val="TextoNormalCaracter"/>
        </w:rPr>
        <w:t>-</w:t>
      </w:r>
      <w:r>
        <w:t xml:space="preserve"> Autos </w:t>
      </w:r>
      <w:hyperlink w:anchor="AUTO_2016_76" w:history="1">
        <w:r w:rsidRPr="0057104C">
          <w:rPr>
            <w:rStyle w:val="TextoNormalCaracter"/>
          </w:rPr>
          <w:t>76/2016</w:t>
        </w:r>
      </w:hyperlink>
      <w:r>
        <w:t xml:space="preserve">, f. 2; </w:t>
      </w:r>
      <w:hyperlink w:anchor="AUTO_2016_77" w:history="1">
        <w:r w:rsidRPr="0057104C">
          <w:rPr>
            <w:rStyle w:val="TextoNormalCaracter"/>
          </w:rPr>
          <w:t>77/2016</w:t>
        </w:r>
      </w:hyperlink>
      <w:r>
        <w:t xml:space="preserve">, f. 4; </w:t>
      </w:r>
      <w:hyperlink w:anchor="AUTO_2016_86" w:history="1">
        <w:r w:rsidRPr="0057104C">
          <w:rPr>
            <w:rStyle w:val="TextoNormalCaracter"/>
          </w:rPr>
          <w:t>86/2016</w:t>
        </w:r>
      </w:hyperlink>
      <w:r>
        <w:t xml:space="preserve">, f. 4; </w:t>
      </w:r>
      <w:hyperlink w:anchor="AUTO_2016_87" w:history="1">
        <w:r w:rsidRPr="0057104C">
          <w:rPr>
            <w:rStyle w:val="TextoNormalCaracter"/>
          </w:rPr>
          <w:t>87/2016</w:t>
        </w:r>
      </w:hyperlink>
      <w:r>
        <w:t xml:space="preserve">, f. 2; </w:t>
      </w:r>
      <w:hyperlink w:anchor="AUTO_2016_88" w:history="1">
        <w:r w:rsidRPr="0057104C">
          <w:rPr>
            <w:rStyle w:val="TextoNormalCaracter"/>
          </w:rPr>
          <w:t>88/2016</w:t>
        </w:r>
      </w:hyperlink>
      <w:r>
        <w:t xml:space="preserve">, f. 2; </w:t>
      </w:r>
      <w:hyperlink w:anchor="AUTO_2016_104" w:history="1">
        <w:r w:rsidRPr="0057104C">
          <w:rPr>
            <w:rStyle w:val="TextoNormalCaracter"/>
          </w:rPr>
          <w:t>104/2016</w:t>
        </w:r>
      </w:hyperlink>
      <w:r>
        <w:t>, f. 2.</w:t>
      </w:r>
    </w:p>
    <w:p w:rsidR="0057104C" w:rsidRDefault="0057104C" w:rsidP="0057104C">
      <w:pPr>
        <w:pStyle w:val="SangriaFrancesaArticulo"/>
      </w:pPr>
      <w:r w:rsidRPr="0057104C">
        <w:rPr>
          <w:rStyle w:val="TextoNormalNegritaCaracter"/>
        </w:rPr>
        <w:t>Artículo 96.</w:t>
      </w:r>
      <w:r w:rsidRPr="0057104C">
        <w:rPr>
          <w:rStyle w:val="TextoNormalCaracter"/>
        </w:rPr>
        <w:t>-</w:t>
      </w:r>
      <w:r>
        <w:t xml:space="preserve"> Autos </w:t>
      </w:r>
      <w:hyperlink w:anchor="AUTO_2016_23" w:history="1">
        <w:r w:rsidRPr="0057104C">
          <w:rPr>
            <w:rStyle w:val="TextoNormalCaracter"/>
          </w:rPr>
          <w:t>23/2016</w:t>
        </w:r>
      </w:hyperlink>
      <w:r>
        <w:t xml:space="preserve">, ff. 1 a 3; </w:t>
      </w:r>
      <w:hyperlink w:anchor="AUTO_2016_76" w:history="1">
        <w:r w:rsidRPr="0057104C">
          <w:rPr>
            <w:rStyle w:val="TextoNormalCaracter"/>
          </w:rPr>
          <w:t>76/2016</w:t>
        </w:r>
      </w:hyperlink>
      <w:r>
        <w:t xml:space="preserve">, ff. 1 a 3; </w:t>
      </w:r>
      <w:hyperlink w:anchor="AUTO_2016_77" w:history="1">
        <w:r w:rsidRPr="0057104C">
          <w:rPr>
            <w:rStyle w:val="TextoNormalCaracter"/>
          </w:rPr>
          <w:t>77/2016</w:t>
        </w:r>
      </w:hyperlink>
      <w:r>
        <w:t xml:space="preserve">, ff. 1, 3 a 5; </w:t>
      </w:r>
      <w:hyperlink w:anchor="AUTO_2016_78" w:history="1">
        <w:r w:rsidRPr="0057104C">
          <w:rPr>
            <w:rStyle w:val="TextoNormalCaracter"/>
          </w:rPr>
          <w:t>78/2016</w:t>
        </w:r>
      </w:hyperlink>
      <w:r>
        <w:t xml:space="preserve">, ff. 1 a 3; </w:t>
      </w:r>
      <w:hyperlink w:anchor="AUTO_2016_85" w:history="1">
        <w:r w:rsidRPr="0057104C">
          <w:rPr>
            <w:rStyle w:val="TextoNormalCaracter"/>
          </w:rPr>
          <w:t>85/2016</w:t>
        </w:r>
      </w:hyperlink>
      <w:r>
        <w:t xml:space="preserve">, ff. 1 a 3; </w:t>
      </w:r>
      <w:hyperlink w:anchor="AUTO_2016_86" w:history="1">
        <w:r w:rsidRPr="0057104C">
          <w:rPr>
            <w:rStyle w:val="TextoNormalCaracter"/>
          </w:rPr>
          <w:t>86/2016</w:t>
        </w:r>
      </w:hyperlink>
      <w:r>
        <w:t xml:space="preserve">, ff. 1, 2, 4, 5; </w:t>
      </w:r>
      <w:hyperlink w:anchor="AUTO_2016_87" w:history="1">
        <w:r w:rsidRPr="0057104C">
          <w:rPr>
            <w:rStyle w:val="TextoNormalCaracter"/>
          </w:rPr>
          <w:t>87/2016</w:t>
        </w:r>
      </w:hyperlink>
      <w:r>
        <w:t xml:space="preserve">, ff. 1 a 3; </w:t>
      </w:r>
      <w:hyperlink w:anchor="AUTO_2016_88" w:history="1">
        <w:r w:rsidRPr="0057104C">
          <w:rPr>
            <w:rStyle w:val="TextoNormalCaracter"/>
          </w:rPr>
          <w:t>88/2016</w:t>
        </w:r>
      </w:hyperlink>
      <w:r>
        <w:t xml:space="preserve">, ff. 1 a 3; </w:t>
      </w:r>
      <w:hyperlink w:anchor="AUTO_2016_104" w:history="1">
        <w:r w:rsidRPr="0057104C">
          <w:rPr>
            <w:rStyle w:val="TextoNormalCaracter"/>
          </w:rPr>
          <w:t>104/2016</w:t>
        </w:r>
      </w:hyperlink>
      <w:r>
        <w:t>, ff. 1 a 3.</w:t>
      </w:r>
    </w:p>
    <w:p w:rsidR="0057104C" w:rsidRDefault="0057104C" w:rsidP="0057104C">
      <w:pPr>
        <w:pStyle w:val="SangriaFrancesaArticulo"/>
      </w:pPr>
      <w:r w:rsidRPr="0057104C">
        <w:rPr>
          <w:rStyle w:val="TextoNormalNegritaCaracter"/>
        </w:rPr>
        <w:t>Disposición final primera, apartado 1.</w:t>
      </w:r>
      <w:r w:rsidRPr="0057104C">
        <w:rPr>
          <w:rStyle w:val="TextoNormalCaracter"/>
        </w:rPr>
        <w:t>-</w:t>
      </w:r>
      <w:r>
        <w:t xml:space="preserve"> Autos </w:t>
      </w:r>
      <w:hyperlink w:anchor="AUTO_2016_76" w:history="1">
        <w:r w:rsidRPr="0057104C">
          <w:rPr>
            <w:rStyle w:val="TextoNormalCaracter"/>
          </w:rPr>
          <w:t>76/2016</w:t>
        </w:r>
      </w:hyperlink>
      <w:r>
        <w:t xml:space="preserve">, f. 2; </w:t>
      </w:r>
      <w:hyperlink w:anchor="AUTO_2016_77" w:history="1">
        <w:r w:rsidRPr="0057104C">
          <w:rPr>
            <w:rStyle w:val="TextoNormalCaracter"/>
          </w:rPr>
          <w:t>77/2016</w:t>
        </w:r>
      </w:hyperlink>
      <w:r>
        <w:t xml:space="preserve">, f. 4; </w:t>
      </w:r>
      <w:hyperlink w:anchor="AUTO_2016_86" w:history="1">
        <w:r w:rsidRPr="0057104C">
          <w:rPr>
            <w:rStyle w:val="TextoNormalCaracter"/>
          </w:rPr>
          <w:t>86/2016</w:t>
        </w:r>
      </w:hyperlink>
      <w:r>
        <w:t xml:space="preserve">, f. 4; </w:t>
      </w:r>
      <w:hyperlink w:anchor="AUTO_2016_87" w:history="1">
        <w:r w:rsidRPr="0057104C">
          <w:rPr>
            <w:rStyle w:val="TextoNormalCaracter"/>
          </w:rPr>
          <w:t>87/2016</w:t>
        </w:r>
      </w:hyperlink>
      <w:r>
        <w:t xml:space="preserve">, f. 2; </w:t>
      </w:r>
      <w:hyperlink w:anchor="AUTO_2016_88" w:history="1">
        <w:r w:rsidRPr="0057104C">
          <w:rPr>
            <w:rStyle w:val="TextoNormalCaracter"/>
          </w:rPr>
          <w:t>88/2016</w:t>
        </w:r>
      </w:hyperlink>
      <w:r>
        <w:t>, f. 2.</w:t>
      </w:r>
    </w:p>
    <w:p w:rsidR="0057104C" w:rsidRDefault="0057104C" w:rsidP="0057104C">
      <w:pPr>
        <w:pStyle w:val="SangriaFrancesaArticulo"/>
      </w:pPr>
    </w:p>
    <w:p w:rsidR="0057104C" w:rsidRDefault="0057104C" w:rsidP="0057104C">
      <w:pPr>
        <w:pStyle w:val="TextoNormalNegritaCursivandice"/>
      </w:pPr>
      <w:r>
        <w:t>Ley del Parlamento de Galicia 6/2003, de 9 de diciembre. Tasas, precios y exacciones reguladoras de la Comunidad Autónoma de Galicia</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Auto </w:t>
      </w:r>
      <w:hyperlink w:anchor="AUTO_2016_84" w:history="1">
        <w:r w:rsidRPr="0057104C">
          <w:rPr>
            <w:rStyle w:val="TextoNormalCaracter"/>
          </w:rPr>
          <w:t>84/2016</w:t>
        </w:r>
      </w:hyperlink>
      <w:r>
        <w:t>, f. 4.</w:t>
      </w:r>
    </w:p>
    <w:p w:rsidR="0057104C" w:rsidRDefault="0057104C" w:rsidP="0057104C">
      <w:pPr>
        <w:pStyle w:val="SangriaFrancesaArticulo"/>
      </w:pPr>
    </w:p>
    <w:p w:rsidR="0057104C" w:rsidRDefault="0057104C" w:rsidP="0057104C">
      <w:pPr>
        <w:pStyle w:val="TextoNormalNegritaCursivandice"/>
      </w:pPr>
      <w:r>
        <w:t>Ley del Parlamento de Galicia 3/2008, de 23 de mayo. Ordenación de la minería de Galicia</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 </w:t>
      </w:r>
      <w:hyperlink w:anchor="SENTENCIA_2016_33" w:history="1">
        <w:r w:rsidRPr="0057104C">
          <w:rPr>
            <w:rStyle w:val="TextoNormalCaracter"/>
          </w:rPr>
          <w:t>33/2016</w:t>
        </w:r>
      </w:hyperlink>
      <w:r>
        <w:t>, ff. 6, 10.</w:t>
      </w:r>
    </w:p>
    <w:p w:rsidR="0057104C" w:rsidRDefault="0057104C" w:rsidP="0057104C">
      <w:pPr>
        <w:pStyle w:val="SangriaFrancesaArticulo"/>
      </w:pPr>
      <w:r w:rsidRPr="0057104C">
        <w:rPr>
          <w:rStyle w:val="TextoNormalNegritaCaracter"/>
        </w:rPr>
        <w:t>Disposición transitoria segunda</w:t>
      </w:r>
      <w:r>
        <w:t xml:space="preserve"> (redactada por la Ley 12/2014, de 22 de diciembre)</w:t>
      </w:r>
      <w:r w:rsidRPr="0057104C">
        <w:rPr>
          <w:rStyle w:val="TextoNormalNegritaCaracter"/>
        </w:rPr>
        <w:t>.</w:t>
      </w:r>
      <w:r w:rsidRPr="0057104C">
        <w:rPr>
          <w:rStyle w:val="TextoNormalCaracter"/>
        </w:rPr>
        <w:t>-</w:t>
      </w:r>
      <w:r>
        <w:t xml:space="preserve"> Sentencia </w:t>
      </w:r>
      <w:hyperlink w:anchor="SENTENCIA_2016_33" w:history="1">
        <w:r w:rsidRPr="0057104C">
          <w:rPr>
            <w:rStyle w:val="TextoNormalCaracter"/>
          </w:rPr>
          <w:t>33/2016</w:t>
        </w:r>
      </w:hyperlink>
      <w:r>
        <w:t>, f. 10.</w:t>
      </w:r>
    </w:p>
    <w:p w:rsidR="0057104C" w:rsidRDefault="0057104C" w:rsidP="0057104C">
      <w:pPr>
        <w:pStyle w:val="SangriaFrancesaArticulo"/>
      </w:pPr>
    </w:p>
    <w:p w:rsidR="0057104C" w:rsidRDefault="0057104C" w:rsidP="0057104C">
      <w:pPr>
        <w:pStyle w:val="TextoNormalNegritaCursivandice"/>
      </w:pPr>
      <w:r>
        <w:t>Ley del Parlamento de Galicia 10/2008, de 3 de noviembre. Residuos de Galicia</w:t>
      </w:r>
    </w:p>
    <w:p w:rsidR="0057104C" w:rsidRDefault="0057104C" w:rsidP="0057104C">
      <w:pPr>
        <w:pStyle w:val="SangriaFrancesaArticulo"/>
      </w:pPr>
      <w:r w:rsidRPr="0057104C">
        <w:rPr>
          <w:rStyle w:val="TextoNormalNegritaCaracter"/>
        </w:rPr>
        <w:t>Artículo 29 b).</w:t>
      </w:r>
      <w:r w:rsidRPr="0057104C">
        <w:rPr>
          <w:rStyle w:val="TextoNormalCaracter"/>
        </w:rPr>
        <w:t>-</w:t>
      </w:r>
      <w:r>
        <w:t xml:space="preserve"> Autos </w:t>
      </w:r>
      <w:hyperlink w:anchor="AUTO_2016_84" w:history="1">
        <w:r w:rsidRPr="0057104C">
          <w:rPr>
            <w:rStyle w:val="TextoNormalCaracter"/>
          </w:rPr>
          <w:t>84/2016</w:t>
        </w:r>
      </w:hyperlink>
      <w:r>
        <w:t xml:space="preserve">, f. 1; </w:t>
      </w:r>
      <w:hyperlink w:anchor="AUTO_2016_132" w:history="1">
        <w:r w:rsidRPr="0057104C">
          <w:rPr>
            <w:rStyle w:val="TextoNormalCaracter"/>
          </w:rPr>
          <w:t>132/2016</w:t>
        </w:r>
      </w:hyperlink>
      <w:r>
        <w:t>, f. 1.</w:t>
      </w:r>
    </w:p>
    <w:p w:rsidR="0057104C" w:rsidRDefault="0057104C" w:rsidP="0057104C">
      <w:pPr>
        <w:pStyle w:val="SangriaFrancesaArticulo"/>
      </w:pPr>
    </w:p>
    <w:p w:rsidR="0057104C" w:rsidRDefault="0057104C" w:rsidP="0057104C">
      <w:pPr>
        <w:pStyle w:val="TextoNormalNegritaCursivandice"/>
      </w:pPr>
      <w:r>
        <w:t>Ley 16/2010, de 17 de diciembre. Organización y funcionamiento de la Administración general y del sector público autonómico de Galicia</w:t>
      </w:r>
    </w:p>
    <w:p w:rsidR="0057104C" w:rsidRDefault="0057104C" w:rsidP="0057104C">
      <w:pPr>
        <w:pStyle w:val="SangriaFrancesaArticulo"/>
      </w:pPr>
      <w:r w:rsidRPr="0057104C">
        <w:rPr>
          <w:rStyle w:val="TextoNormalNegritaCaracter"/>
        </w:rPr>
        <w:t>Artículo 102.</w:t>
      </w:r>
      <w:r w:rsidRPr="0057104C">
        <w:rPr>
          <w:rStyle w:val="TextoNormalCaracter"/>
        </w:rPr>
        <w:t>-</w:t>
      </w:r>
      <w:r>
        <w:t xml:space="preserve"> Autos </w:t>
      </w:r>
      <w:hyperlink w:anchor="AUTO_2016_103" w:history="1">
        <w:r w:rsidRPr="0057104C">
          <w:rPr>
            <w:rStyle w:val="TextoNormalCaracter"/>
          </w:rPr>
          <w:t>103/2016</w:t>
        </w:r>
      </w:hyperlink>
      <w:r>
        <w:t xml:space="preserve">, f. 7; </w:t>
      </w:r>
      <w:hyperlink w:anchor="AUTO_2016_132" w:history="1">
        <w:r w:rsidRPr="0057104C">
          <w:rPr>
            <w:rStyle w:val="TextoNormalCaracter"/>
          </w:rPr>
          <w:t>132/2016</w:t>
        </w:r>
      </w:hyperlink>
      <w:r>
        <w:t>, f. 8.</w:t>
      </w:r>
    </w:p>
    <w:p w:rsidR="0057104C" w:rsidRDefault="0057104C" w:rsidP="0057104C">
      <w:pPr>
        <w:pStyle w:val="SangriaFrancesaArticulo"/>
      </w:pPr>
    </w:p>
    <w:p w:rsidR="0057104C" w:rsidRDefault="0057104C" w:rsidP="0057104C">
      <w:pPr>
        <w:pStyle w:val="TextoNormalNegritaCursivandice"/>
      </w:pPr>
      <w:r>
        <w:t>Ley del Parlamento de Galicia 16/2010, de 17 de diciembre. Organización y funcionamiento de la Administración general y del sector público autonómico de Galicia</w:t>
      </w:r>
    </w:p>
    <w:p w:rsidR="0057104C" w:rsidRDefault="0057104C" w:rsidP="0057104C">
      <w:pPr>
        <w:pStyle w:val="SangriaFrancesaArticulo"/>
      </w:pPr>
      <w:r w:rsidRPr="0057104C">
        <w:rPr>
          <w:rStyle w:val="TextoNormalNegritaCaracter"/>
        </w:rPr>
        <w:t>Artículo 102.</w:t>
      </w:r>
      <w:r w:rsidRPr="0057104C">
        <w:rPr>
          <w:rStyle w:val="TextoNormalCaracter"/>
        </w:rPr>
        <w:t>-</w:t>
      </w:r>
      <w:r>
        <w:t xml:space="preserve"> Auto </w:t>
      </w:r>
      <w:hyperlink w:anchor="AUTO_2016_84" w:history="1">
        <w:r w:rsidRPr="0057104C">
          <w:rPr>
            <w:rStyle w:val="TextoNormalCaracter"/>
          </w:rPr>
          <w:t>84/2016</w:t>
        </w:r>
      </w:hyperlink>
      <w:r>
        <w:t>, f. 7.</w:t>
      </w:r>
    </w:p>
    <w:p w:rsidR="0057104C" w:rsidRDefault="0057104C" w:rsidP="0057104C">
      <w:pPr>
        <w:pStyle w:val="SangriaFrancesaArticulo"/>
      </w:pPr>
    </w:p>
    <w:p w:rsidR="0057104C" w:rsidRDefault="0057104C" w:rsidP="0057104C">
      <w:pPr>
        <w:pStyle w:val="TextoNormalNegritaCursivandice"/>
      </w:pPr>
      <w:r>
        <w:t>Decreto Legislativo de la Junta de Galicia 1/2011, de 28 de julio. Aprueba el texto refundido de las disposiciones legales de la Comunidad Autónoma de Galicia en materia de tributos cedidos por el Estado</w:t>
      </w:r>
    </w:p>
    <w:p w:rsidR="0057104C" w:rsidRDefault="0057104C" w:rsidP="0057104C">
      <w:pPr>
        <w:pStyle w:val="SangriaFrancesaArticulo"/>
      </w:pPr>
      <w:r w:rsidRPr="0057104C">
        <w:rPr>
          <w:rStyle w:val="TextoNormalNegritaCaracter"/>
        </w:rPr>
        <w:t>Artículo 27.5</w:t>
      </w:r>
      <w:r>
        <w:t xml:space="preserve"> (redactado por la Ley del Parlamento de Galicia 12/2014, de 22 de diciembre)</w:t>
      </w:r>
      <w:r w:rsidRPr="0057104C">
        <w:rPr>
          <w:rStyle w:val="TextoNormalNegritaCaracter"/>
        </w:rPr>
        <w:t>.</w:t>
      </w:r>
      <w:r w:rsidRPr="0057104C">
        <w:rPr>
          <w:rStyle w:val="TextoNormalCaracter"/>
        </w:rPr>
        <w:t>-</w:t>
      </w:r>
      <w:r>
        <w:t xml:space="preserve"> Sentencia </w:t>
      </w:r>
      <w:hyperlink w:anchor="SENTENCIA_2016_33" w:history="1">
        <w:r w:rsidRPr="0057104C">
          <w:rPr>
            <w:rStyle w:val="TextoNormalCaracter"/>
          </w:rPr>
          <w:t>33/2016</w:t>
        </w:r>
      </w:hyperlink>
      <w:r>
        <w:t>, ff. 1 a 3, 6.</w:t>
      </w:r>
    </w:p>
    <w:p w:rsidR="0057104C" w:rsidRDefault="0057104C" w:rsidP="0057104C">
      <w:pPr>
        <w:pStyle w:val="SangriaFrancesaArticulo"/>
      </w:pPr>
    </w:p>
    <w:p w:rsidR="0057104C" w:rsidRDefault="0057104C" w:rsidP="0057104C">
      <w:pPr>
        <w:pStyle w:val="TextoNormalNegritaCursivandice"/>
      </w:pPr>
      <w:r>
        <w:t>Ley del Parlamento de Galicia 3/2013, de 20 de mayo. Impulso y ordenación de las infraestructuras de telecomunicaciones de Galicia</w:t>
      </w:r>
    </w:p>
    <w:p w:rsidR="0057104C" w:rsidRDefault="0057104C" w:rsidP="0057104C">
      <w:pPr>
        <w:pStyle w:val="SangriaFrancesaArticulo"/>
      </w:pPr>
      <w:r w:rsidRPr="0057104C">
        <w:rPr>
          <w:rStyle w:val="TextoNormalNegritaCaracter"/>
        </w:rPr>
        <w:t>Título II, artículo 5.</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Título V.</w:t>
      </w:r>
      <w:r w:rsidRPr="0057104C">
        <w:rPr>
          <w:rStyle w:val="TextoNormalCaracter"/>
        </w:rPr>
        <w:t>-</w:t>
      </w:r>
      <w:r>
        <w:t xml:space="preserve"> Sentencia </w:t>
      </w:r>
      <w:hyperlink w:anchor="SENTENCIA_2016_8" w:history="1">
        <w:r w:rsidRPr="0057104C">
          <w:rPr>
            <w:rStyle w:val="TextoNormalCaracter"/>
          </w:rPr>
          <w:t>8/2016</w:t>
        </w:r>
      </w:hyperlink>
      <w:r>
        <w:t>, ff. 1, 12.</w:t>
      </w:r>
    </w:p>
    <w:p w:rsidR="0057104C" w:rsidRDefault="0057104C" w:rsidP="0057104C">
      <w:pPr>
        <w:pStyle w:val="SangriaFrancesaArticulo"/>
      </w:pPr>
      <w:r w:rsidRPr="0057104C">
        <w:rPr>
          <w:rStyle w:val="TextoNormalNegritaCaracter"/>
        </w:rPr>
        <w:t>Capítulo III, artículo 14.1.</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Capítulo III, artículo 14.2.</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8" w:history="1">
        <w:r w:rsidRPr="0057104C">
          <w:rPr>
            <w:rStyle w:val="TextoNormalCaracter"/>
          </w:rPr>
          <w:t>8/2016</w:t>
        </w:r>
      </w:hyperlink>
      <w:r>
        <w:t>, ff. 5, 11.</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8" w:history="1">
        <w:r w:rsidRPr="0057104C">
          <w:rPr>
            <w:rStyle w:val="TextoNormalCaracter"/>
          </w:rPr>
          <w:t>8/2016</w:t>
        </w:r>
      </w:hyperlink>
      <w:r>
        <w:t>, ff. 1, 5.</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8" w:history="1">
        <w:r w:rsidRPr="0057104C">
          <w:rPr>
            <w:rStyle w:val="TextoNormalCaracter"/>
          </w:rPr>
          <w:t>8/2016</w:t>
        </w:r>
      </w:hyperlink>
      <w:r>
        <w:t>, f. 5.</w:t>
      </w:r>
    </w:p>
    <w:p w:rsidR="0057104C" w:rsidRDefault="0057104C" w:rsidP="0057104C">
      <w:pPr>
        <w:pStyle w:val="SangriaFrancesaArticulo"/>
      </w:pPr>
      <w:r w:rsidRPr="0057104C">
        <w:rPr>
          <w:rStyle w:val="TextoNormalNegritaCaracter"/>
        </w:rPr>
        <w:t>Artículo 2.2 b).</w:t>
      </w:r>
      <w:r w:rsidRPr="0057104C">
        <w:rPr>
          <w:rStyle w:val="TextoNormalCaracter"/>
        </w:rPr>
        <w:t>-</w:t>
      </w:r>
      <w:r>
        <w:t xml:space="preserve"> Sentencia </w:t>
      </w:r>
      <w:hyperlink w:anchor="SENTENCIA_2016_8" w:history="1">
        <w:r w:rsidRPr="0057104C">
          <w:rPr>
            <w:rStyle w:val="TextoNormalCaracter"/>
          </w:rPr>
          <w:t>8/2016</w:t>
        </w:r>
      </w:hyperlink>
      <w:r>
        <w:t>, ff. 1, 5, 8.</w:t>
      </w:r>
    </w:p>
    <w:p w:rsidR="0057104C" w:rsidRDefault="0057104C" w:rsidP="0057104C">
      <w:pPr>
        <w:pStyle w:val="SangriaFrancesaArticulo"/>
      </w:pPr>
      <w:r w:rsidRPr="0057104C">
        <w:rPr>
          <w:rStyle w:val="TextoNormalNegritaCaracter"/>
        </w:rPr>
        <w:t>Artículo 2.2 c).</w:t>
      </w:r>
      <w:r w:rsidRPr="0057104C">
        <w:rPr>
          <w:rStyle w:val="TextoNormalCaracter"/>
        </w:rPr>
        <w:t>-</w:t>
      </w:r>
      <w:r>
        <w:t xml:space="preserve"> Sentencia </w:t>
      </w:r>
      <w:hyperlink w:anchor="SENTENCIA_2016_8" w:history="1">
        <w:r w:rsidRPr="0057104C">
          <w:rPr>
            <w:rStyle w:val="TextoNormalCaracter"/>
          </w:rPr>
          <w:t>8/2016</w:t>
        </w:r>
      </w:hyperlink>
      <w:r>
        <w:t>, ff. 1, 5, 8.</w:t>
      </w:r>
    </w:p>
    <w:p w:rsidR="0057104C" w:rsidRDefault="0057104C" w:rsidP="0057104C">
      <w:pPr>
        <w:pStyle w:val="SangriaFrancesaArticulo"/>
      </w:pPr>
      <w:r w:rsidRPr="0057104C">
        <w:rPr>
          <w:rStyle w:val="TextoNormalNegritaCaracter"/>
        </w:rPr>
        <w:t>Artículo 2.2 d).</w:t>
      </w:r>
      <w:r w:rsidRPr="0057104C">
        <w:rPr>
          <w:rStyle w:val="TextoNormalCaracter"/>
        </w:rPr>
        <w:t>-</w:t>
      </w:r>
      <w:r>
        <w:t xml:space="preserve"> Sentencia </w:t>
      </w:r>
      <w:hyperlink w:anchor="SENTENCIA_2016_8" w:history="1">
        <w:r w:rsidRPr="0057104C">
          <w:rPr>
            <w:rStyle w:val="TextoNormalCaracter"/>
          </w:rPr>
          <w:t>8/2016</w:t>
        </w:r>
      </w:hyperlink>
      <w:r>
        <w:t>, ff. 1, 5.</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5.3.</w:t>
      </w:r>
      <w:r w:rsidRPr="0057104C">
        <w:rPr>
          <w:rStyle w:val="TextoNormalCaracter"/>
        </w:rPr>
        <w:t>-</w:t>
      </w:r>
      <w:r>
        <w:t xml:space="preserve"> Sentencia </w:t>
      </w:r>
      <w:hyperlink w:anchor="SENTENCIA_2016_8" w:history="1">
        <w:r w:rsidRPr="0057104C">
          <w:rPr>
            <w:rStyle w:val="TextoNormalCaracter"/>
          </w:rPr>
          <w:t>8/2016</w:t>
        </w:r>
      </w:hyperlink>
      <w:r>
        <w:t>, ff. 1, 6.</w:t>
      </w:r>
    </w:p>
    <w:p w:rsidR="0057104C" w:rsidRDefault="0057104C" w:rsidP="0057104C">
      <w:pPr>
        <w:pStyle w:val="SangriaFrancesaArticulo"/>
      </w:pPr>
      <w:r w:rsidRPr="0057104C">
        <w:rPr>
          <w:rStyle w:val="TextoNormalNegritaCaracter"/>
        </w:rPr>
        <w:t>Artículo 5.3</w:t>
      </w:r>
      <w:r>
        <w:t xml:space="preserve"> (excepto el primer inciso)</w:t>
      </w:r>
      <w:r w:rsidRPr="0057104C">
        <w:rPr>
          <w:rStyle w:val="TextoNormalNegritaCaracter"/>
        </w:rPr>
        <w:t>.</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5.3, segundo inciso.</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5.3, tercer inciso.</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5.4.</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Artículo 5.5.</w:t>
      </w:r>
      <w:r w:rsidRPr="0057104C">
        <w:rPr>
          <w:rStyle w:val="TextoNormalCaracter"/>
        </w:rPr>
        <w:t>-</w:t>
      </w:r>
      <w:r>
        <w:t xml:space="preserve"> Sentencia </w:t>
      </w:r>
      <w:hyperlink w:anchor="SENTENCIA_2016_8" w:history="1">
        <w:r w:rsidRPr="0057104C">
          <w:rPr>
            <w:rStyle w:val="TextoNormalCaracter"/>
          </w:rPr>
          <w:t>8/2016</w:t>
        </w:r>
      </w:hyperlink>
      <w:r>
        <w:t>, ff. 1, 6.</w:t>
      </w:r>
    </w:p>
    <w:p w:rsidR="0057104C" w:rsidRDefault="0057104C" w:rsidP="0057104C">
      <w:pPr>
        <w:pStyle w:val="SangriaFrancesaArticulo"/>
      </w:pPr>
      <w:r w:rsidRPr="0057104C">
        <w:rPr>
          <w:rStyle w:val="TextoNormalNegritaCaracter"/>
        </w:rPr>
        <w:t>Artículo 5.6.</w:t>
      </w:r>
      <w:r w:rsidRPr="0057104C">
        <w:rPr>
          <w:rStyle w:val="TextoNormalCaracter"/>
        </w:rPr>
        <w:t>-</w:t>
      </w:r>
      <w:r>
        <w:t xml:space="preserve"> Sentencia </w:t>
      </w:r>
      <w:hyperlink w:anchor="SENTENCIA_2016_8" w:history="1">
        <w:r w:rsidRPr="0057104C">
          <w:rPr>
            <w:rStyle w:val="TextoNormalCaracter"/>
          </w:rPr>
          <w:t>8/2016</w:t>
        </w:r>
      </w:hyperlink>
      <w:r>
        <w:t>, ff. 1, 6, 9.</w:t>
      </w:r>
    </w:p>
    <w:p w:rsidR="0057104C" w:rsidRDefault="0057104C" w:rsidP="0057104C">
      <w:pPr>
        <w:pStyle w:val="SangriaFrancesaArticulo"/>
      </w:pPr>
      <w:r w:rsidRPr="0057104C">
        <w:rPr>
          <w:rStyle w:val="TextoNormalNegritaCaracter"/>
        </w:rPr>
        <w:t>Artículo 5.7.</w:t>
      </w:r>
      <w:r w:rsidRPr="0057104C">
        <w:rPr>
          <w:rStyle w:val="TextoNormalCaracter"/>
        </w:rPr>
        <w:t>-</w:t>
      </w:r>
      <w:r>
        <w:t xml:space="preserve"> Sentencia </w:t>
      </w:r>
      <w:hyperlink w:anchor="SENTENCIA_2016_8" w:history="1">
        <w:r w:rsidRPr="0057104C">
          <w:rPr>
            <w:rStyle w:val="TextoNormalCaracter"/>
          </w:rPr>
          <w:t>8/2016</w:t>
        </w:r>
      </w:hyperlink>
      <w:r>
        <w:t>, ff. 1, 6, 9.</w:t>
      </w:r>
    </w:p>
    <w:p w:rsidR="0057104C" w:rsidRDefault="0057104C" w:rsidP="0057104C">
      <w:pPr>
        <w:pStyle w:val="SangriaFrancesaArticulo"/>
      </w:pPr>
      <w:r w:rsidRPr="0057104C">
        <w:rPr>
          <w:rStyle w:val="TextoNormalNegritaCaracter"/>
        </w:rPr>
        <w:t>Artículo 6.1.</w:t>
      </w:r>
      <w:r w:rsidRPr="0057104C">
        <w:rPr>
          <w:rStyle w:val="TextoNormalCaracter"/>
        </w:rPr>
        <w:t>-</w:t>
      </w:r>
      <w:r>
        <w:t xml:space="preserve"> Sentencia </w:t>
      </w:r>
      <w:hyperlink w:anchor="SENTENCIA_2016_8" w:history="1">
        <w:r w:rsidRPr="0057104C">
          <w:rPr>
            <w:rStyle w:val="TextoNormalCaracter"/>
          </w:rPr>
          <w:t>8/2016</w:t>
        </w:r>
      </w:hyperlink>
      <w:r>
        <w:t>, ff. 10, 12.</w:t>
      </w:r>
    </w:p>
    <w:p w:rsidR="0057104C" w:rsidRDefault="0057104C" w:rsidP="0057104C">
      <w:pPr>
        <w:pStyle w:val="SangriaFrancesaArticulo"/>
      </w:pPr>
      <w:r w:rsidRPr="0057104C">
        <w:rPr>
          <w:rStyle w:val="TextoNormalNegritaCaracter"/>
        </w:rPr>
        <w:t>Artículo 6.2.</w:t>
      </w:r>
      <w:r w:rsidRPr="0057104C">
        <w:rPr>
          <w:rStyle w:val="TextoNormalCaracter"/>
        </w:rPr>
        <w:t>-</w:t>
      </w:r>
      <w:r>
        <w:t xml:space="preserve"> Sentencia </w:t>
      </w:r>
      <w:hyperlink w:anchor="SENTENCIA_2016_8" w:history="1">
        <w:r w:rsidRPr="0057104C">
          <w:rPr>
            <w:rStyle w:val="TextoNormalCaracter"/>
          </w:rPr>
          <w:t>8/2016</w:t>
        </w:r>
      </w:hyperlink>
      <w:r>
        <w:t>, ff. 1, 10.</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7.2.</w:t>
      </w:r>
      <w:r w:rsidRPr="0057104C">
        <w:rPr>
          <w:rStyle w:val="TextoNormalCaracter"/>
        </w:rPr>
        <w:t>-</w:t>
      </w:r>
      <w:r>
        <w:t xml:space="preserve"> Sentencia </w:t>
      </w:r>
      <w:hyperlink w:anchor="SENTENCIA_2016_8" w:history="1">
        <w:r w:rsidRPr="0057104C">
          <w:rPr>
            <w:rStyle w:val="TextoNormalCaracter"/>
          </w:rPr>
          <w:t>8/2016</w:t>
        </w:r>
      </w:hyperlink>
      <w:r>
        <w:t>, ff. 1, 7.</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8" w:history="1">
        <w:r w:rsidRPr="0057104C">
          <w:rPr>
            <w:rStyle w:val="TextoNormalCaracter"/>
          </w:rPr>
          <w:t>8/2016</w:t>
        </w:r>
      </w:hyperlink>
      <w:r>
        <w:t>, ff. 1, 11.</w:t>
      </w:r>
    </w:p>
    <w:p w:rsidR="0057104C" w:rsidRDefault="0057104C" w:rsidP="0057104C">
      <w:pPr>
        <w:pStyle w:val="SangriaFrancesaArticulo"/>
      </w:pPr>
      <w:r w:rsidRPr="0057104C">
        <w:rPr>
          <w:rStyle w:val="TextoNormalNegritaCaracter"/>
        </w:rPr>
        <w:t>Artículo 8.1.</w:t>
      </w:r>
      <w:r w:rsidRPr="0057104C">
        <w:rPr>
          <w:rStyle w:val="TextoNormalCaracter"/>
        </w:rPr>
        <w:t>-</w:t>
      </w:r>
      <w:r>
        <w:t xml:space="preserve"> Sentencia </w:t>
      </w:r>
      <w:hyperlink w:anchor="SENTENCIA_2016_8" w:history="1">
        <w:r w:rsidRPr="0057104C">
          <w:rPr>
            <w:rStyle w:val="TextoNormalCaracter"/>
          </w:rPr>
          <w:t>8/2016</w:t>
        </w:r>
      </w:hyperlink>
      <w:r>
        <w:t>, f. 11.</w:t>
      </w:r>
    </w:p>
    <w:p w:rsidR="0057104C" w:rsidRDefault="0057104C" w:rsidP="0057104C">
      <w:pPr>
        <w:pStyle w:val="SangriaFrancesaArticulo"/>
      </w:pPr>
      <w:r w:rsidRPr="0057104C">
        <w:rPr>
          <w:rStyle w:val="TextoNormalNegritaCaracter"/>
        </w:rPr>
        <w:t>Artículo 8.2.</w:t>
      </w:r>
      <w:r w:rsidRPr="0057104C">
        <w:rPr>
          <w:rStyle w:val="TextoNormalCaracter"/>
        </w:rPr>
        <w:t>-</w:t>
      </w:r>
      <w:r>
        <w:t xml:space="preserve"> Sentencia </w:t>
      </w:r>
      <w:hyperlink w:anchor="SENTENCIA_2016_8" w:history="1">
        <w:r w:rsidRPr="0057104C">
          <w:rPr>
            <w:rStyle w:val="TextoNormalCaracter"/>
          </w:rPr>
          <w:t>8/2016</w:t>
        </w:r>
      </w:hyperlink>
      <w:r>
        <w:t>, f. 11.</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8" w:history="1">
        <w:r w:rsidRPr="0057104C">
          <w:rPr>
            <w:rStyle w:val="TextoNormalCaracter"/>
          </w:rPr>
          <w:t>8/2016</w:t>
        </w:r>
      </w:hyperlink>
      <w:r>
        <w:t>, ff. 1, 10.</w:t>
      </w:r>
    </w:p>
    <w:p w:rsidR="0057104C" w:rsidRDefault="0057104C" w:rsidP="0057104C">
      <w:pPr>
        <w:pStyle w:val="SangriaFrancesaArticulo"/>
      </w:pPr>
      <w:r w:rsidRPr="0057104C">
        <w:rPr>
          <w:rStyle w:val="TextoNormalNegritaCaracter"/>
        </w:rPr>
        <w:t>Artículo 12.2.</w:t>
      </w:r>
      <w:r w:rsidRPr="0057104C">
        <w:rPr>
          <w:rStyle w:val="TextoNormalCaracter"/>
        </w:rPr>
        <w:t>-</w:t>
      </w:r>
      <w:r>
        <w:t xml:space="preserve"> Sentencia </w:t>
      </w:r>
      <w:hyperlink w:anchor="SENTENCIA_2016_8" w:history="1">
        <w:r w:rsidRPr="0057104C">
          <w:rPr>
            <w:rStyle w:val="TextoNormalCaracter"/>
          </w:rPr>
          <w:t>8/2016</w:t>
        </w:r>
      </w:hyperlink>
      <w:r>
        <w:t>, ff. 1, 11.</w:t>
      </w:r>
    </w:p>
    <w:p w:rsidR="0057104C" w:rsidRDefault="0057104C" w:rsidP="0057104C">
      <w:pPr>
        <w:pStyle w:val="SangriaFrancesaArticulo"/>
      </w:pPr>
      <w:r w:rsidRPr="0057104C">
        <w:rPr>
          <w:rStyle w:val="TextoNormalNegritaCaracter"/>
        </w:rPr>
        <w:t>Artículo 12.3.</w:t>
      </w:r>
      <w:r w:rsidRPr="0057104C">
        <w:rPr>
          <w:rStyle w:val="TextoNormalCaracter"/>
        </w:rPr>
        <w:t>-</w:t>
      </w:r>
      <w:r>
        <w:t xml:space="preserve"> Sentencia </w:t>
      </w:r>
      <w:hyperlink w:anchor="SENTENCIA_2016_8" w:history="1">
        <w:r w:rsidRPr="0057104C">
          <w:rPr>
            <w:rStyle w:val="TextoNormalCaracter"/>
          </w:rPr>
          <w:t>8/2016</w:t>
        </w:r>
      </w:hyperlink>
      <w:r>
        <w:t>, ff. 1, 11.</w:t>
      </w:r>
    </w:p>
    <w:p w:rsidR="0057104C" w:rsidRDefault="0057104C" w:rsidP="0057104C">
      <w:pPr>
        <w:pStyle w:val="SangriaFrancesaArticulo"/>
      </w:pPr>
      <w:r w:rsidRPr="0057104C">
        <w:rPr>
          <w:rStyle w:val="TextoNormalNegritaCaracter"/>
        </w:rPr>
        <w:t>Artículo 12.4.</w:t>
      </w:r>
      <w:r w:rsidRPr="0057104C">
        <w:rPr>
          <w:rStyle w:val="TextoNormalCaracter"/>
        </w:rPr>
        <w:t>-</w:t>
      </w:r>
      <w:r>
        <w:t xml:space="preserve"> Sentencia </w:t>
      </w:r>
      <w:hyperlink w:anchor="SENTENCIA_2016_8" w:history="1">
        <w:r w:rsidRPr="0057104C">
          <w:rPr>
            <w:rStyle w:val="TextoNormalCaracter"/>
          </w:rPr>
          <w:t>8/2016</w:t>
        </w:r>
      </w:hyperlink>
      <w:r>
        <w:t>, ff. 1, 7, 10.</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8" w:history="1">
        <w:r w:rsidRPr="0057104C">
          <w:rPr>
            <w:rStyle w:val="TextoNormalCaracter"/>
          </w:rPr>
          <w:t>8/2016</w:t>
        </w:r>
      </w:hyperlink>
      <w:r>
        <w:t>, ff. 1, 7.</w:t>
      </w:r>
    </w:p>
    <w:p w:rsidR="0057104C" w:rsidRDefault="0057104C" w:rsidP="0057104C">
      <w:pPr>
        <w:pStyle w:val="SangriaFrancesaArticulo"/>
      </w:pPr>
      <w:r w:rsidRPr="0057104C">
        <w:rPr>
          <w:rStyle w:val="TextoNormalNegritaCaracter"/>
        </w:rPr>
        <w:t>Artículo 13.1.</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14.1.</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14.1 a).</w:t>
      </w:r>
      <w:r w:rsidRPr="0057104C">
        <w:rPr>
          <w:rStyle w:val="TextoNormalCaracter"/>
        </w:rPr>
        <w:t>-</w:t>
      </w:r>
      <w:r>
        <w:t xml:space="preserve"> Sentencia </w:t>
      </w:r>
      <w:hyperlink w:anchor="SENTENCIA_2016_8" w:history="1">
        <w:r w:rsidRPr="0057104C">
          <w:rPr>
            <w:rStyle w:val="TextoNormalCaracter"/>
          </w:rPr>
          <w:t>8/2016</w:t>
        </w:r>
      </w:hyperlink>
      <w:r>
        <w:t>, ff. 1, 7.</w:t>
      </w:r>
    </w:p>
    <w:p w:rsidR="0057104C" w:rsidRDefault="0057104C" w:rsidP="0057104C">
      <w:pPr>
        <w:pStyle w:val="SangriaFrancesaArticulo"/>
      </w:pPr>
      <w:r w:rsidRPr="0057104C">
        <w:rPr>
          <w:rStyle w:val="TextoNormalNegritaCaracter"/>
        </w:rPr>
        <w:t>Artículo 14.1 b).</w:t>
      </w:r>
      <w:r w:rsidRPr="0057104C">
        <w:rPr>
          <w:rStyle w:val="TextoNormalCaracter"/>
        </w:rPr>
        <w:t>-</w:t>
      </w:r>
      <w:r>
        <w:t xml:space="preserve"> Sentencia </w:t>
      </w:r>
      <w:hyperlink w:anchor="SENTENCIA_2016_8" w:history="1">
        <w:r w:rsidRPr="0057104C">
          <w:rPr>
            <w:rStyle w:val="TextoNormalCaracter"/>
          </w:rPr>
          <w:t>8/2016</w:t>
        </w:r>
      </w:hyperlink>
      <w:r>
        <w:t>, ff. 1, 7, 8.</w:t>
      </w:r>
    </w:p>
    <w:p w:rsidR="0057104C" w:rsidRDefault="0057104C" w:rsidP="0057104C">
      <w:pPr>
        <w:pStyle w:val="SangriaFrancesaArticulo"/>
      </w:pPr>
      <w:r w:rsidRPr="0057104C">
        <w:rPr>
          <w:rStyle w:val="TextoNormalNegritaCaracter"/>
        </w:rPr>
        <w:t>Artículo 14.1 c).</w:t>
      </w:r>
      <w:r w:rsidRPr="0057104C">
        <w:rPr>
          <w:rStyle w:val="TextoNormalCaracter"/>
        </w:rPr>
        <w:t>-</w:t>
      </w:r>
      <w:r>
        <w:t xml:space="preserve"> Sentencia </w:t>
      </w:r>
      <w:hyperlink w:anchor="SENTENCIA_2016_8" w:history="1">
        <w:r w:rsidRPr="0057104C">
          <w:rPr>
            <w:rStyle w:val="TextoNormalCaracter"/>
          </w:rPr>
          <w:t>8/2016</w:t>
        </w:r>
      </w:hyperlink>
      <w:r>
        <w:t>, ff. 1, 7.</w:t>
      </w:r>
    </w:p>
    <w:p w:rsidR="0057104C" w:rsidRDefault="0057104C" w:rsidP="0057104C">
      <w:pPr>
        <w:pStyle w:val="SangriaFrancesaArticulo"/>
      </w:pPr>
      <w:r w:rsidRPr="0057104C">
        <w:rPr>
          <w:rStyle w:val="TextoNormalNegritaCaracter"/>
        </w:rPr>
        <w:t>Artículo 14.2.</w:t>
      </w:r>
      <w:r w:rsidRPr="0057104C">
        <w:rPr>
          <w:rStyle w:val="TextoNormalCaracter"/>
        </w:rPr>
        <w:t>-</w:t>
      </w:r>
      <w:r>
        <w:t xml:space="preserve"> Sentencia </w:t>
      </w:r>
      <w:hyperlink w:anchor="SENTENCIA_2016_8" w:history="1">
        <w:r w:rsidRPr="0057104C">
          <w:rPr>
            <w:rStyle w:val="TextoNormalCaracter"/>
          </w:rPr>
          <w:t>8/2016</w:t>
        </w:r>
      </w:hyperlink>
      <w:r>
        <w:t>, ff. 1, 7.</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15.1.</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15.1 a) a h).</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15.2.</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15.2 a).</w:t>
      </w:r>
      <w:r w:rsidRPr="0057104C">
        <w:rPr>
          <w:rStyle w:val="TextoNormalCaracter"/>
        </w:rPr>
        <w:t>-</w:t>
      </w:r>
      <w:r>
        <w:t xml:space="preserve"> Sentencia </w:t>
      </w:r>
      <w:hyperlink w:anchor="SENTENCIA_2016_8" w:history="1">
        <w:r w:rsidRPr="0057104C">
          <w:rPr>
            <w:rStyle w:val="TextoNormalCaracter"/>
          </w:rPr>
          <w:t>8/2016</w:t>
        </w:r>
      </w:hyperlink>
      <w:r>
        <w:t>, ff. 1, 7.</w:t>
      </w:r>
    </w:p>
    <w:p w:rsidR="0057104C" w:rsidRDefault="0057104C" w:rsidP="0057104C">
      <w:pPr>
        <w:pStyle w:val="SangriaFrancesaArticulo"/>
      </w:pPr>
      <w:r w:rsidRPr="0057104C">
        <w:rPr>
          <w:rStyle w:val="TextoNormalNegritaCaracter"/>
        </w:rPr>
        <w:t>Artículo 15.2 b).</w:t>
      </w:r>
      <w:r w:rsidRPr="0057104C">
        <w:rPr>
          <w:rStyle w:val="TextoNormalCaracter"/>
        </w:rPr>
        <w:t>-</w:t>
      </w:r>
      <w:r>
        <w:t xml:space="preserve"> Sentencia </w:t>
      </w:r>
      <w:hyperlink w:anchor="SENTENCIA_2016_8" w:history="1">
        <w:r w:rsidRPr="0057104C">
          <w:rPr>
            <w:rStyle w:val="TextoNormalCaracter"/>
          </w:rPr>
          <w:t>8/2016</w:t>
        </w:r>
      </w:hyperlink>
      <w:r>
        <w:t>, ff. 1, 7.</w:t>
      </w:r>
    </w:p>
    <w:p w:rsidR="0057104C" w:rsidRDefault="0057104C" w:rsidP="0057104C">
      <w:pPr>
        <w:pStyle w:val="SangriaFrancesaArticulo"/>
      </w:pPr>
      <w:r w:rsidRPr="0057104C">
        <w:rPr>
          <w:rStyle w:val="TextoNormalNegritaCaracter"/>
        </w:rPr>
        <w:t>Artículo 15.2 d).</w:t>
      </w:r>
      <w:r w:rsidRPr="0057104C">
        <w:rPr>
          <w:rStyle w:val="TextoNormalCaracter"/>
        </w:rPr>
        <w:t>-</w:t>
      </w:r>
      <w:r>
        <w:t xml:space="preserve"> Sentencia </w:t>
      </w:r>
      <w:hyperlink w:anchor="SENTENCIA_2016_8" w:history="1">
        <w:r w:rsidRPr="0057104C">
          <w:rPr>
            <w:rStyle w:val="TextoNormalCaracter"/>
          </w:rPr>
          <w:t>8/2016</w:t>
        </w:r>
      </w:hyperlink>
      <w:r>
        <w:t>, ff. 1, 7.</w:t>
      </w:r>
    </w:p>
    <w:p w:rsidR="0057104C" w:rsidRDefault="0057104C" w:rsidP="0057104C">
      <w:pPr>
        <w:pStyle w:val="SangriaFrancesaArticulo"/>
      </w:pPr>
      <w:r w:rsidRPr="0057104C">
        <w:rPr>
          <w:rStyle w:val="TextoNormalNegritaCaracter"/>
        </w:rPr>
        <w:t>Artículo 15.2 f).</w:t>
      </w:r>
      <w:r w:rsidRPr="0057104C">
        <w:rPr>
          <w:rStyle w:val="TextoNormalCaracter"/>
        </w:rPr>
        <w:t>-</w:t>
      </w:r>
      <w:r>
        <w:t xml:space="preserve"> Sentencia </w:t>
      </w:r>
      <w:hyperlink w:anchor="SENTENCIA_2016_8" w:history="1">
        <w:r w:rsidRPr="0057104C">
          <w:rPr>
            <w:rStyle w:val="TextoNormalCaracter"/>
          </w:rPr>
          <w:t>8/2016</w:t>
        </w:r>
      </w:hyperlink>
      <w:r>
        <w:t>, ff. 1, 7, 11.</w:t>
      </w:r>
    </w:p>
    <w:p w:rsidR="0057104C" w:rsidRDefault="0057104C" w:rsidP="0057104C">
      <w:pPr>
        <w:pStyle w:val="SangriaFrancesaArticulo"/>
      </w:pPr>
      <w:r w:rsidRPr="0057104C">
        <w:rPr>
          <w:rStyle w:val="TextoNormalNegritaCaracter"/>
        </w:rPr>
        <w:t>Artículo 15.2 g).</w:t>
      </w:r>
      <w:r w:rsidRPr="0057104C">
        <w:rPr>
          <w:rStyle w:val="TextoNormalCaracter"/>
        </w:rPr>
        <w:t>-</w:t>
      </w:r>
      <w:r>
        <w:t xml:space="preserve"> Sentencia </w:t>
      </w:r>
      <w:hyperlink w:anchor="SENTENCIA_2016_8" w:history="1">
        <w:r w:rsidRPr="0057104C">
          <w:rPr>
            <w:rStyle w:val="TextoNormalCaracter"/>
          </w:rPr>
          <w:t>8/2016</w:t>
        </w:r>
      </w:hyperlink>
      <w:r>
        <w:t>, ff. 1, 7, 10.</w:t>
      </w:r>
    </w:p>
    <w:p w:rsidR="0057104C" w:rsidRDefault="0057104C" w:rsidP="0057104C">
      <w:pPr>
        <w:pStyle w:val="SangriaFrancesaArticulo"/>
      </w:pPr>
      <w:r w:rsidRPr="0057104C">
        <w:rPr>
          <w:rStyle w:val="TextoNormalNegritaCaracter"/>
        </w:rPr>
        <w:t>Artículo 15.2 h).</w:t>
      </w:r>
      <w:r w:rsidRPr="0057104C">
        <w:rPr>
          <w:rStyle w:val="TextoNormalCaracter"/>
        </w:rPr>
        <w:t>-</w:t>
      </w:r>
      <w:r>
        <w:t xml:space="preserve"> Sentencia </w:t>
      </w:r>
      <w:hyperlink w:anchor="SENTENCIA_2016_8" w:history="1">
        <w:r w:rsidRPr="0057104C">
          <w:rPr>
            <w:rStyle w:val="TextoNormalCaracter"/>
          </w:rPr>
          <w:t>8/2016</w:t>
        </w:r>
      </w:hyperlink>
      <w:r>
        <w:t>, ff. 1, 7, 8.</w:t>
      </w:r>
    </w:p>
    <w:p w:rsidR="0057104C" w:rsidRDefault="0057104C" w:rsidP="0057104C">
      <w:pPr>
        <w:pStyle w:val="SangriaFrancesaArticulo"/>
      </w:pPr>
      <w:r w:rsidRPr="0057104C">
        <w:rPr>
          <w:rStyle w:val="TextoNormalNegritaCaracter"/>
        </w:rPr>
        <w:t>Artículo 15.3.</w:t>
      </w:r>
      <w:r w:rsidRPr="0057104C">
        <w:rPr>
          <w:rStyle w:val="TextoNormalCaracter"/>
        </w:rPr>
        <w:t>-</w:t>
      </w:r>
      <w:r>
        <w:t xml:space="preserve"> Sentencia </w:t>
      </w:r>
      <w:hyperlink w:anchor="SENTENCIA_2016_8" w:history="1">
        <w:r w:rsidRPr="0057104C">
          <w:rPr>
            <w:rStyle w:val="TextoNormalCaracter"/>
          </w:rPr>
          <w:t>8/2016</w:t>
        </w:r>
      </w:hyperlink>
      <w:r>
        <w:t>, ff. 1, 6, 8.</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17.1.</w:t>
      </w:r>
      <w:r w:rsidRPr="0057104C">
        <w:rPr>
          <w:rStyle w:val="TextoNormalCaracter"/>
        </w:rPr>
        <w:t>-</w:t>
      </w:r>
      <w:r>
        <w:t xml:space="preserve"> Sentencia </w:t>
      </w:r>
      <w:hyperlink w:anchor="SENTENCIA_2016_8" w:history="1">
        <w:r w:rsidRPr="0057104C">
          <w:rPr>
            <w:rStyle w:val="TextoNormalCaracter"/>
          </w:rPr>
          <w:t>8/2016</w:t>
        </w:r>
      </w:hyperlink>
      <w:r>
        <w:t>, ff. 1, 7.</w:t>
      </w:r>
    </w:p>
    <w:p w:rsidR="0057104C" w:rsidRDefault="0057104C" w:rsidP="0057104C">
      <w:pPr>
        <w:pStyle w:val="SangriaFrancesaArticulo"/>
      </w:pPr>
      <w:r w:rsidRPr="0057104C">
        <w:rPr>
          <w:rStyle w:val="TextoNormalNegritaCaracter"/>
        </w:rPr>
        <w:t>Artículo 17.1 a).</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17.1 b).</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17.1 c).</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17.2.</w:t>
      </w:r>
      <w:r w:rsidRPr="0057104C">
        <w:rPr>
          <w:rStyle w:val="TextoNormalCaracter"/>
        </w:rPr>
        <w:t>-</w:t>
      </w:r>
      <w:r>
        <w:t xml:space="preserve"> Sentencia </w:t>
      </w:r>
      <w:hyperlink w:anchor="SENTENCIA_2016_8" w:history="1">
        <w:r w:rsidRPr="0057104C">
          <w:rPr>
            <w:rStyle w:val="TextoNormalCaracter"/>
          </w:rPr>
          <w:t>8/2016</w:t>
        </w:r>
      </w:hyperlink>
      <w:r>
        <w:t>, ff. 1, 7.</w:t>
      </w:r>
    </w:p>
    <w:p w:rsidR="0057104C" w:rsidRDefault="0057104C" w:rsidP="0057104C">
      <w:pPr>
        <w:pStyle w:val="SangriaFrancesaArticulo"/>
      </w:pPr>
      <w:r w:rsidRPr="0057104C">
        <w:rPr>
          <w:rStyle w:val="TextoNormalNegritaCaracter"/>
        </w:rPr>
        <w:t>Artículo 17.2 a).</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17.2 b).</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17.2 c).</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17.2 d).</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17.2 e).</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17.2 f).</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17.2 g).</w:t>
      </w:r>
      <w:r w:rsidRPr="0057104C">
        <w:rPr>
          <w:rStyle w:val="TextoNormalCaracter"/>
        </w:rPr>
        <w:t>-</w:t>
      </w:r>
      <w:r>
        <w:t xml:space="preserve"> Sentencia </w:t>
      </w:r>
      <w:hyperlink w:anchor="SENTENCIA_2016_8" w:history="1">
        <w:r w:rsidRPr="0057104C">
          <w:rPr>
            <w:rStyle w:val="TextoNormalCaracter"/>
          </w:rPr>
          <w:t>8/2016</w:t>
        </w:r>
      </w:hyperlink>
      <w:r>
        <w:t>, f. 7.</w:t>
      </w:r>
    </w:p>
    <w:p w:rsidR="0057104C" w:rsidRDefault="0057104C" w:rsidP="0057104C">
      <w:pPr>
        <w:pStyle w:val="SangriaFrancesaArticulo"/>
      </w:pPr>
      <w:r w:rsidRPr="0057104C">
        <w:rPr>
          <w:rStyle w:val="TextoNormalNegritaCaracter"/>
        </w:rPr>
        <w:t>Artículo 18.</w:t>
      </w:r>
      <w:r w:rsidRPr="0057104C">
        <w:rPr>
          <w:rStyle w:val="TextoNormalCaracter"/>
        </w:rPr>
        <w:t>-</w:t>
      </w:r>
      <w:r>
        <w:t xml:space="preserve"> Sentencia </w:t>
      </w:r>
      <w:hyperlink w:anchor="SENTENCIA_2016_8" w:history="1">
        <w:r w:rsidRPr="0057104C">
          <w:rPr>
            <w:rStyle w:val="TextoNormalCaracter"/>
          </w:rPr>
          <w:t>8/2016</w:t>
        </w:r>
      </w:hyperlink>
      <w:r>
        <w:t>, f. 1.</w:t>
      </w:r>
    </w:p>
    <w:p w:rsidR="0057104C" w:rsidRDefault="0057104C" w:rsidP="0057104C">
      <w:pPr>
        <w:pStyle w:val="SangriaFrancesaArticulo"/>
      </w:pPr>
      <w:r w:rsidRPr="0057104C">
        <w:rPr>
          <w:rStyle w:val="TextoNormalNegritaCaracter"/>
        </w:rPr>
        <w:t>Artículo 18.1.</w:t>
      </w:r>
      <w:r w:rsidRPr="0057104C">
        <w:rPr>
          <w:rStyle w:val="TextoNormalCaracter"/>
        </w:rPr>
        <w:t>-</w:t>
      </w:r>
      <w:r>
        <w:t xml:space="preserve"> Sentencia </w:t>
      </w:r>
      <w:hyperlink w:anchor="SENTENCIA_2016_8" w:history="1">
        <w:r w:rsidRPr="0057104C">
          <w:rPr>
            <w:rStyle w:val="TextoNormalCaracter"/>
          </w:rPr>
          <w:t>8/2016</w:t>
        </w:r>
      </w:hyperlink>
      <w:r>
        <w:t>, f. 8.</w:t>
      </w:r>
    </w:p>
    <w:p w:rsidR="0057104C" w:rsidRDefault="0057104C" w:rsidP="0057104C">
      <w:pPr>
        <w:pStyle w:val="SangriaFrancesaArticulo"/>
      </w:pPr>
      <w:r w:rsidRPr="0057104C">
        <w:rPr>
          <w:rStyle w:val="TextoNormalNegritaCaracter"/>
        </w:rPr>
        <w:t>Artículo 18.2.</w:t>
      </w:r>
      <w:r w:rsidRPr="0057104C">
        <w:rPr>
          <w:rStyle w:val="TextoNormalCaracter"/>
        </w:rPr>
        <w:t>-</w:t>
      </w:r>
      <w:r>
        <w:t xml:space="preserve"> Sentencia </w:t>
      </w:r>
      <w:hyperlink w:anchor="SENTENCIA_2016_8" w:history="1">
        <w:r w:rsidRPr="0057104C">
          <w:rPr>
            <w:rStyle w:val="TextoNormalCaracter"/>
          </w:rPr>
          <w:t>8/2016</w:t>
        </w:r>
      </w:hyperlink>
      <w:r>
        <w:t>, f. 8.</w:t>
      </w:r>
    </w:p>
    <w:p w:rsidR="0057104C" w:rsidRDefault="0057104C" w:rsidP="0057104C">
      <w:pPr>
        <w:pStyle w:val="SangriaFrancesaArticulo"/>
      </w:pPr>
      <w:r w:rsidRPr="0057104C">
        <w:rPr>
          <w:rStyle w:val="TextoNormalNegritaCaracter"/>
        </w:rPr>
        <w:t>Artículo 19 c).</w:t>
      </w:r>
      <w:r w:rsidRPr="0057104C">
        <w:rPr>
          <w:rStyle w:val="TextoNormalCaracter"/>
        </w:rPr>
        <w:t>-</w:t>
      </w:r>
      <w:r>
        <w:t xml:space="preserve"> Sentencia </w:t>
      </w:r>
      <w:hyperlink w:anchor="SENTENCIA_2016_8" w:history="1">
        <w:r w:rsidRPr="0057104C">
          <w:rPr>
            <w:rStyle w:val="TextoNormalCaracter"/>
          </w:rPr>
          <w:t>8/2016</w:t>
        </w:r>
      </w:hyperlink>
      <w:r>
        <w:t>.</w:t>
      </w:r>
    </w:p>
    <w:p w:rsidR="0057104C" w:rsidRDefault="0057104C" w:rsidP="0057104C">
      <w:pPr>
        <w:pStyle w:val="SangriaFrancesaArticulo"/>
      </w:pPr>
      <w:r w:rsidRPr="0057104C">
        <w:rPr>
          <w:rStyle w:val="TextoNormalNegritaCaracter"/>
        </w:rPr>
        <w:t>Artículo 19.2 a).</w:t>
      </w:r>
      <w:r w:rsidRPr="0057104C">
        <w:rPr>
          <w:rStyle w:val="TextoNormalCaracter"/>
        </w:rPr>
        <w:t>-</w:t>
      </w:r>
      <w:r>
        <w:t xml:space="preserve"> Sentencia </w:t>
      </w:r>
      <w:hyperlink w:anchor="SENTENCIA_2016_8" w:history="1">
        <w:r w:rsidRPr="0057104C">
          <w:rPr>
            <w:rStyle w:val="TextoNormalCaracter"/>
          </w:rPr>
          <w:t>8/2016</w:t>
        </w:r>
      </w:hyperlink>
      <w:r>
        <w:t>, ff. 1, 8.</w:t>
      </w:r>
    </w:p>
    <w:p w:rsidR="0057104C" w:rsidRDefault="0057104C" w:rsidP="0057104C">
      <w:pPr>
        <w:pStyle w:val="SangriaFrancesaArticulo"/>
      </w:pPr>
      <w:r w:rsidRPr="0057104C">
        <w:rPr>
          <w:rStyle w:val="TextoNormalNegritaCaracter"/>
        </w:rPr>
        <w:t>Artículo 19.2 c).</w:t>
      </w:r>
      <w:r w:rsidRPr="0057104C">
        <w:rPr>
          <w:rStyle w:val="TextoNormalCaracter"/>
        </w:rPr>
        <w:t>-</w:t>
      </w:r>
      <w:r>
        <w:t xml:space="preserve"> Sentencia </w:t>
      </w:r>
      <w:hyperlink w:anchor="SENTENCIA_2016_8" w:history="1">
        <w:r w:rsidRPr="0057104C">
          <w:rPr>
            <w:rStyle w:val="TextoNormalCaracter"/>
          </w:rPr>
          <w:t>8/2016</w:t>
        </w:r>
      </w:hyperlink>
      <w:r>
        <w:t>, ff. 1, 10.</w:t>
      </w:r>
    </w:p>
    <w:p w:rsidR="0057104C" w:rsidRDefault="0057104C" w:rsidP="0057104C">
      <w:pPr>
        <w:pStyle w:val="SangriaFrancesaArticulo"/>
      </w:pPr>
      <w:r w:rsidRPr="0057104C">
        <w:rPr>
          <w:rStyle w:val="TextoNormalNegritaCaracter"/>
        </w:rPr>
        <w:t>Artículo 23.3.</w:t>
      </w:r>
      <w:r w:rsidRPr="0057104C">
        <w:rPr>
          <w:rStyle w:val="TextoNormalCaracter"/>
        </w:rPr>
        <w:t>-</w:t>
      </w:r>
      <w:r>
        <w:t xml:space="preserve"> Sentencia </w:t>
      </w:r>
      <w:hyperlink w:anchor="SENTENCIA_2016_8" w:history="1">
        <w:r w:rsidRPr="0057104C">
          <w:rPr>
            <w:rStyle w:val="TextoNormalCaracter"/>
          </w:rPr>
          <w:t>8/2016</w:t>
        </w:r>
      </w:hyperlink>
      <w:r>
        <w:t>, f. 12.</w:t>
      </w:r>
    </w:p>
    <w:p w:rsidR="0057104C" w:rsidRDefault="0057104C" w:rsidP="0057104C">
      <w:pPr>
        <w:pStyle w:val="SangriaFrancesaArticulo"/>
      </w:pPr>
      <w:r w:rsidRPr="0057104C">
        <w:rPr>
          <w:rStyle w:val="TextoNormalNegritaCaracter"/>
        </w:rPr>
        <w:t>Artículo 23.3 a).</w:t>
      </w:r>
      <w:r w:rsidRPr="0057104C">
        <w:rPr>
          <w:rStyle w:val="TextoNormalCaracter"/>
        </w:rPr>
        <w:t>-</w:t>
      </w:r>
      <w:r>
        <w:t xml:space="preserve"> Sentencia </w:t>
      </w:r>
      <w:hyperlink w:anchor="SENTENCIA_2016_8" w:history="1">
        <w:r w:rsidRPr="0057104C">
          <w:rPr>
            <w:rStyle w:val="TextoNormalCaracter"/>
          </w:rPr>
          <w:t>8/2016</w:t>
        </w:r>
      </w:hyperlink>
      <w:r>
        <w:t>, f. 12.</w:t>
      </w:r>
    </w:p>
    <w:p w:rsidR="0057104C" w:rsidRDefault="0057104C" w:rsidP="0057104C">
      <w:pPr>
        <w:pStyle w:val="SangriaFrancesaArticulo"/>
      </w:pPr>
      <w:r w:rsidRPr="0057104C">
        <w:rPr>
          <w:rStyle w:val="TextoNormalNegritaCaracter"/>
        </w:rPr>
        <w:t>Artículo 23.3 b).</w:t>
      </w:r>
      <w:r w:rsidRPr="0057104C">
        <w:rPr>
          <w:rStyle w:val="TextoNormalCaracter"/>
        </w:rPr>
        <w:t>-</w:t>
      </w:r>
      <w:r>
        <w:t xml:space="preserve"> Sentencia </w:t>
      </w:r>
      <w:hyperlink w:anchor="SENTENCIA_2016_8" w:history="1">
        <w:r w:rsidRPr="0057104C">
          <w:rPr>
            <w:rStyle w:val="TextoNormalCaracter"/>
          </w:rPr>
          <w:t>8/2016</w:t>
        </w:r>
      </w:hyperlink>
      <w:r>
        <w:t>, f. 12.</w:t>
      </w:r>
    </w:p>
    <w:p w:rsidR="0057104C" w:rsidRDefault="0057104C" w:rsidP="0057104C">
      <w:pPr>
        <w:pStyle w:val="SangriaFrancesaArticulo"/>
      </w:pPr>
      <w:r w:rsidRPr="0057104C">
        <w:rPr>
          <w:rStyle w:val="TextoNormalNegritaCaracter"/>
        </w:rPr>
        <w:t>Artículo 23.3 c).</w:t>
      </w:r>
      <w:r w:rsidRPr="0057104C">
        <w:rPr>
          <w:rStyle w:val="TextoNormalCaracter"/>
        </w:rPr>
        <w:t>-</w:t>
      </w:r>
      <w:r>
        <w:t xml:space="preserve"> Sentencia </w:t>
      </w:r>
      <w:hyperlink w:anchor="SENTENCIA_2016_8" w:history="1">
        <w:r w:rsidRPr="0057104C">
          <w:rPr>
            <w:rStyle w:val="TextoNormalCaracter"/>
          </w:rPr>
          <w:t>8/2016</w:t>
        </w:r>
      </w:hyperlink>
      <w:r>
        <w:t>, f. 12.</w:t>
      </w:r>
    </w:p>
    <w:p w:rsidR="0057104C" w:rsidRDefault="0057104C" w:rsidP="0057104C">
      <w:pPr>
        <w:pStyle w:val="SangriaFrancesaArticulo"/>
      </w:pPr>
      <w:r w:rsidRPr="0057104C">
        <w:rPr>
          <w:rStyle w:val="TextoNormalNegritaCaracter"/>
        </w:rPr>
        <w:t>Artículo 25.</w:t>
      </w:r>
      <w:r w:rsidRPr="0057104C">
        <w:rPr>
          <w:rStyle w:val="TextoNormalCaracter"/>
        </w:rPr>
        <w:t>-</w:t>
      </w:r>
      <w:r>
        <w:t xml:space="preserve"> Sentencia </w:t>
      </w:r>
      <w:hyperlink w:anchor="SENTENCIA_2016_8" w:history="1">
        <w:r w:rsidRPr="0057104C">
          <w:rPr>
            <w:rStyle w:val="TextoNormalCaracter"/>
          </w:rPr>
          <w:t>8/2016</w:t>
        </w:r>
      </w:hyperlink>
      <w:r>
        <w:t>, f. 8.</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Sentencia </w:t>
      </w:r>
      <w:hyperlink w:anchor="SENTENCIA_2016_8" w:history="1">
        <w:r w:rsidRPr="0057104C">
          <w:rPr>
            <w:rStyle w:val="TextoNormalCaracter"/>
          </w:rPr>
          <w:t>8/2016</w:t>
        </w:r>
      </w:hyperlink>
      <w:r>
        <w:t>, ff. 1, 7.</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 </w:t>
      </w:r>
      <w:hyperlink w:anchor="SENTENCIA_2016_8" w:history="1">
        <w:r w:rsidRPr="0057104C">
          <w:rPr>
            <w:rStyle w:val="TextoNormalCaracter"/>
          </w:rPr>
          <w:t>8/2016</w:t>
        </w:r>
      </w:hyperlink>
      <w:r>
        <w:t>, ff. 1, 6.</w:t>
      </w:r>
    </w:p>
    <w:p w:rsidR="0057104C" w:rsidRDefault="0057104C" w:rsidP="0057104C">
      <w:pPr>
        <w:pStyle w:val="SangriaFrancesaArticulo"/>
      </w:pPr>
    </w:p>
    <w:p w:rsidR="0057104C" w:rsidRDefault="0057104C" w:rsidP="0057104C">
      <w:pPr>
        <w:pStyle w:val="TextoNormalNegritaCursivandice"/>
      </w:pPr>
      <w:r>
        <w:t>Ley del Parlamento de Galicia 12/2014, de 22 de diciembre. Medidas fiscales y administrativas</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33" w:history="1">
        <w:r w:rsidRPr="0057104C">
          <w:rPr>
            <w:rStyle w:val="TextoNormalCaracter"/>
          </w:rPr>
          <w:t>33/2016</w:t>
        </w:r>
      </w:hyperlink>
      <w:r>
        <w:t>, ff. 1, 5.</w:t>
      </w:r>
    </w:p>
    <w:p w:rsidR="0057104C" w:rsidRDefault="0057104C" w:rsidP="0057104C">
      <w:pPr>
        <w:pStyle w:val="SangriaFrancesaArticulo"/>
      </w:pPr>
      <w:r w:rsidRPr="0057104C">
        <w:rPr>
          <w:rStyle w:val="TextoNormalNegritaCaracter"/>
        </w:rPr>
        <w:t>Artículo 84.</w:t>
      </w:r>
      <w:r w:rsidRPr="0057104C">
        <w:rPr>
          <w:rStyle w:val="TextoNormalCaracter"/>
        </w:rPr>
        <w:t>-</w:t>
      </w:r>
      <w:r>
        <w:t xml:space="preserve"> Sentencia </w:t>
      </w:r>
      <w:hyperlink w:anchor="SENTENCIA_2016_33" w:history="1">
        <w:r w:rsidRPr="0057104C">
          <w:rPr>
            <w:rStyle w:val="TextoNormalCaracter"/>
          </w:rPr>
          <w:t>33/2016</w:t>
        </w:r>
      </w:hyperlink>
      <w:r>
        <w:t>, ff. 1, 6, 10.</w:t>
      </w:r>
    </w:p>
    <w:p w:rsidR="0057104C" w:rsidRDefault="0057104C" w:rsidP="0057104C">
      <w:pPr>
        <w:pStyle w:val="SangriaFrancesaArticulo"/>
      </w:pPr>
    </w:p>
    <w:p w:rsidR="0057104C" w:rsidRDefault="0057104C" w:rsidP="0057104C">
      <w:pPr>
        <w:pStyle w:val="TextoNormalNegritaCursivandice"/>
      </w:pPr>
      <w:r>
        <w:t>Ley del Parlamento de Galicia 11/2013, de 26 de diciembre. Presupuestos generales de la Comunidad Autónoma de Galicia para el año 2014</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32" w:history="1">
        <w:r w:rsidRPr="0057104C">
          <w:rPr>
            <w:rStyle w:val="TextoNormalCaracter"/>
          </w:rPr>
          <w:t>132/2016</w:t>
        </w:r>
      </w:hyperlink>
      <w:r>
        <w:t>, f. 4.</w:t>
      </w:r>
    </w:p>
    <w:p w:rsidR="0057104C" w:rsidRDefault="0057104C" w:rsidP="0057104C">
      <w:pPr>
        <w:pStyle w:val="SangriaFrancesaArticulo"/>
      </w:pPr>
      <w:r w:rsidRPr="0057104C">
        <w:rPr>
          <w:rStyle w:val="TextoNormalNegritaCaracter"/>
        </w:rPr>
        <w:t>Artículo 1 g).</w:t>
      </w:r>
      <w:r w:rsidRPr="0057104C">
        <w:rPr>
          <w:rStyle w:val="TextoNormalCaracter"/>
        </w:rPr>
        <w:t>-</w:t>
      </w:r>
      <w:r>
        <w:t xml:space="preserve"> Autos </w:t>
      </w:r>
      <w:hyperlink w:anchor="AUTO_2016_84" w:history="1">
        <w:r w:rsidRPr="0057104C">
          <w:rPr>
            <w:rStyle w:val="TextoNormalCaracter"/>
          </w:rPr>
          <w:t>84/2016</w:t>
        </w:r>
      </w:hyperlink>
      <w:r>
        <w:t xml:space="preserve">, f. 7; </w:t>
      </w:r>
      <w:hyperlink w:anchor="AUTO_2016_101" w:history="1">
        <w:r w:rsidRPr="0057104C">
          <w:rPr>
            <w:rStyle w:val="TextoNormalCaracter"/>
          </w:rPr>
          <w:t>101/2016</w:t>
        </w:r>
      </w:hyperlink>
      <w:r>
        <w:t xml:space="preserve">, f. 4; </w:t>
      </w:r>
      <w:hyperlink w:anchor="AUTO_2016_102" w:history="1">
        <w:r w:rsidRPr="0057104C">
          <w:rPr>
            <w:rStyle w:val="TextoNormalCaracter"/>
          </w:rPr>
          <w:t>102/2016</w:t>
        </w:r>
      </w:hyperlink>
      <w:r>
        <w:t xml:space="preserve">, f. 4; </w:t>
      </w:r>
      <w:hyperlink w:anchor="AUTO_2016_103" w:history="1">
        <w:r w:rsidRPr="0057104C">
          <w:rPr>
            <w:rStyle w:val="TextoNormalCaracter"/>
          </w:rPr>
          <w:t>103/2016</w:t>
        </w:r>
      </w:hyperlink>
      <w:r>
        <w:t xml:space="preserve">, f. 7; </w:t>
      </w:r>
      <w:hyperlink w:anchor="AUTO_2016_132" w:history="1">
        <w:r w:rsidRPr="0057104C">
          <w:rPr>
            <w:rStyle w:val="TextoNormalCaracter"/>
          </w:rPr>
          <w:t>132/2016</w:t>
        </w:r>
      </w:hyperlink>
      <w:r>
        <w:t>, f. 8.</w:t>
      </w:r>
    </w:p>
    <w:p w:rsidR="0057104C" w:rsidRDefault="0057104C" w:rsidP="0057104C">
      <w:pPr>
        <w:pStyle w:val="SangriaFrancesaArticulo"/>
      </w:pPr>
      <w:r w:rsidRPr="0057104C">
        <w:rPr>
          <w:rStyle w:val="TextoNormalNegritaCaracter"/>
        </w:rPr>
        <w:t>Disposición adicional vigésima primera.</w:t>
      </w:r>
      <w:r w:rsidRPr="0057104C">
        <w:rPr>
          <w:rStyle w:val="TextoNormalCaracter"/>
        </w:rPr>
        <w:t>-</w:t>
      </w:r>
      <w:r>
        <w:t xml:space="preserve"> Auto </w:t>
      </w:r>
      <w:hyperlink w:anchor="AUTO_2016_113" w:history="1">
        <w:r w:rsidRPr="0057104C">
          <w:rPr>
            <w:rStyle w:val="TextoNormalCaracter"/>
          </w:rPr>
          <w:t>113/2016</w:t>
        </w:r>
      </w:hyperlink>
      <w:r>
        <w:t>, f. 1.</w:t>
      </w:r>
    </w:p>
    <w:p w:rsidR="0057104C" w:rsidRDefault="0057104C" w:rsidP="0057104C">
      <w:pPr>
        <w:pStyle w:val="SangriaFrancesaArticulo"/>
      </w:pPr>
      <w:r w:rsidRPr="0057104C">
        <w:rPr>
          <w:rStyle w:val="TextoNormalNegritaCaracter"/>
        </w:rPr>
        <w:t>Disposición adicional vigésima primera, apartado 2.</w:t>
      </w:r>
      <w:r w:rsidRPr="0057104C">
        <w:rPr>
          <w:rStyle w:val="TextoNormalCaracter"/>
        </w:rPr>
        <w:t>-</w:t>
      </w:r>
      <w:r>
        <w:t xml:space="preserve"> Autos </w:t>
      </w:r>
      <w:hyperlink w:anchor="AUTO_2016_101" w:history="1">
        <w:r w:rsidRPr="0057104C">
          <w:rPr>
            <w:rStyle w:val="TextoNormalCaracter"/>
          </w:rPr>
          <w:t>101/2016</w:t>
        </w:r>
      </w:hyperlink>
      <w:r>
        <w:t xml:space="preserve">, f. 1; </w:t>
      </w:r>
      <w:hyperlink w:anchor="AUTO_2016_102" w:history="1">
        <w:r w:rsidRPr="0057104C">
          <w:rPr>
            <w:rStyle w:val="TextoNormalCaracter"/>
          </w:rPr>
          <w:t>102/2016</w:t>
        </w:r>
      </w:hyperlink>
      <w:r>
        <w:t xml:space="preserve">, ff. 1, 2; </w:t>
      </w:r>
      <w:hyperlink w:anchor="AUTO_2016_103" w:history="1">
        <w:r w:rsidRPr="0057104C">
          <w:rPr>
            <w:rStyle w:val="TextoNormalCaracter"/>
          </w:rPr>
          <w:t>103/2016</w:t>
        </w:r>
      </w:hyperlink>
      <w:r>
        <w:t xml:space="preserve">, ff. 1, 2; </w:t>
      </w:r>
      <w:hyperlink w:anchor="AUTO_2016_113" w:history="1">
        <w:r w:rsidRPr="0057104C">
          <w:rPr>
            <w:rStyle w:val="TextoNormalCaracter"/>
          </w:rPr>
          <w:t>113/2016</w:t>
        </w:r>
      </w:hyperlink>
      <w:r>
        <w:t>, f. 2.</w:t>
      </w:r>
    </w:p>
    <w:p w:rsidR="0057104C" w:rsidRDefault="0057104C" w:rsidP="0057104C">
      <w:pPr>
        <w:pStyle w:val="SangriaFrancesaArticulo"/>
      </w:pPr>
      <w:r w:rsidRPr="0057104C">
        <w:rPr>
          <w:rStyle w:val="TextoNormalNegritaCaracter"/>
        </w:rPr>
        <w:t>Disposición adicional vigésima primera, apartado 2, párrafo 1.</w:t>
      </w:r>
      <w:r w:rsidRPr="0057104C">
        <w:rPr>
          <w:rStyle w:val="TextoNormalCaracter"/>
        </w:rPr>
        <w:t>-</w:t>
      </w:r>
      <w:r>
        <w:t xml:space="preserve"> Autos </w:t>
      </w:r>
      <w:hyperlink w:anchor="AUTO_2016_101" w:history="1">
        <w:r w:rsidRPr="0057104C">
          <w:rPr>
            <w:rStyle w:val="TextoNormalCaracter"/>
          </w:rPr>
          <w:t>101/2016</w:t>
        </w:r>
      </w:hyperlink>
      <w:r>
        <w:t xml:space="preserve">, f. 3; </w:t>
      </w:r>
      <w:hyperlink w:anchor="AUTO_2016_102" w:history="1">
        <w:r w:rsidRPr="0057104C">
          <w:rPr>
            <w:rStyle w:val="TextoNormalCaracter"/>
          </w:rPr>
          <w:t>102/2016</w:t>
        </w:r>
      </w:hyperlink>
      <w:r>
        <w:t>, f. 2.</w:t>
      </w:r>
    </w:p>
    <w:p w:rsidR="0057104C" w:rsidRDefault="0057104C" w:rsidP="0057104C">
      <w:pPr>
        <w:pStyle w:val="SangriaFrancesaArticulo"/>
      </w:pPr>
      <w:r w:rsidRPr="0057104C">
        <w:rPr>
          <w:rStyle w:val="TextoNormalNegritaCaracter"/>
        </w:rPr>
        <w:t>Disposición adicional vigésima primera, apartado 2, párrafo 2.</w:t>
      </w:r>
      <w:r w:rsidRPr="0057104C">
        <w:rPr>
          <w:rStyle w:val="TextoNormalCaracter"/>
        </w:rPr>
        <w:t>-</w:t>
      </w:r>
      <w:r>
        <w:t xml:space="preserve"> Autos </w:t>
      </w:r>
      <w:hyperlink w:anchor="AUTO_2016_102" w:history="1">
        <w:r w:rsidRPr="0057104C">
          <w:rPr>
            <w:rStyle w:val="TextoNormalCaracter"/>
          </w:rPr>
          <w:t>102/2016</w:t>
        </w:r>
      </w:hyperlink>
      <w:r>
        <w:t xml:space="preserve">, f. 3; </w:t>
      </w:r>
      <w:hyperlink w:anchor="AUTO_2016_103" w:history="1">
        <w:r w:rsidRPr="0057104C">
          <w:rPr>
            <w:rStyle w:val="TextoNormalCaracter"/>
          </w:rPr>
          <w:t>103/2016</w:t>
        </w:r>
      </w:hyperlink>
      <w:r>
        <w:t xml:space="preserve">, ff. 4, 7; </w:t>
      </w:r>
      <w:hyperlink w:anchor="AUTO_2016_113" w:history="1">
        <w:r w:rsidRPr="0057104C">
          <w:rPr>
            <w:rStyle w:val="TextoNormalCaracter"/>
          </w:rPr>
          <w:t>113/2016</w:t>
        </w:r>
      </w:hyperlink>
      <w:r>
        <w:t>, f. 2.</w:t>
      </w:r>
    </w:p>
    <w:p w:rsidR="0057104C" w:rsidRDefault="0057104C" w:rsidP="0057104C">
      <w:pPr>
        <w:pStyle w:val="SangriaFrancesaArticulo"/>
      </w:pPr>
      <w:r w:rsidRPr="0057104C">
        <w:rPr>
          <w:rStyle w:val="TextoNormalNegritaCaracter"/>
        </w:rPr>
        <w:t>Disposición adicional vigesimoprimera, apartado 2, párrafo 2.</w:t>
      </w:r>
      <w:r w:rsidRPr="0057104C">
        <w:rPr>
          <w:rStyle w:val="TextoNormalCaracter"/>
        </w:rPr>
        <w:t>-</w:t>
      </w:r>
      <w:r>
        <w:t xml:space="preserve"> Auto </w:t>
      </w:r>
      <w:hyperlink w:anchor="AUTO_2016_132" w:history="1">
        <w:r w:rsidRPr="0057104C">
          <w:rPr>
            <w:rStyle w:val="TextoNormalCaracter"/>
          </w:rPr>
          <w:t>132/2016</w:t>
        </w:r>
      </w:hyperlink>
      <w:r>
        <w:t>, ff. 2, 5, 8.</w:t>
      </w:r>
    </w:p>
    <w:p w:rsidR="0057104C" w:rsidRDefault="0057104C" w:rsidP="0057104C">
      <w:pPr>
        <w:pStyle w:val="SangriaFrancesaArticulo"/>
      </w:pPr>
      <w:r w:rsidRPr="0057104C">
        <w:rPr>
          <w:rStyle w:val="TextoNormalNegritaCaracter"/>
        </w:rPr>
        <w:t>Disposición adiconal vigesimoprimera, apartado 2.</w:t>
      </w:r>
      <w:r w:rsidRPr="0057104C">
        <w:rPr>
          <w:rStyle w:val="TextoNormalCaracter"/>
        </w:rPr>
        <w:t>-</w:t>
      </w:r>
      <w:r>
        <w:t xml:space="preserve"> Auto </w:t>
      </w:r>
      <w:hyperlink w:anchor="AUTO_2016_132" w:history="1">
        <w:r w:rsidRPr="0057104C">
          <w:rPr>
            <w:rStyle w:val="TextoNormalCaracter"/>
          </w:rPr>
          <w:t>132/2016</w:t>
        </w:r>
      </w:hyperlink>
      <w:r>
        <w:t>, ff. 1, 2.</w:t>
      </w:r>
    </w:p>
    <w:p w:rsidR="0057104C" w:rsidRDefault="0057104C" w:rsidP="0057104C">
      <w:pPr>
        <w:pStyle w:val="SangriaFrancesaArticulo"/>
      </w:pPr>
      <w:r w:rsidRPr="0057104C">
        <w:rPr>
          <w:rStyle w:val="TextoNormalNegritaCaracter"/>
        </w:rPr>
        <w:t>Disposición adicional vigésima primera, apartado 2, párrafo 2.</w:t>
      </w:r>
      <w:r w:rsidRPr="0057104C">
        <w:rPr>
          <w:rStyle w:val="TextoNormalCaracter"/>
        </w:rPr>
        <w:t>-</w:t>
      </w:r>
      <w:r>
        <w:t xml:space="preserve"> Auto </w:t>
      </w:r>
      <w:hyperlink w:anchor="AUTO_2016_101" w:history="1">
        <w:r w:rsidRPr="0057104C">
          <w:rPr>
            <w:rStyle w:val="TextoNormalCaracter"/>
          </w:rPr>
          <w:t>101/2016</w:t>
        </w:r>
      </w:hyperlink>
      <w:r>
        <w:t>, ff. 2, 3.</w:t>
      </w:r>
    </w:p>
    <w:p w:rsidR="0057104C" w:rsidRDefault="0057104C" w:rsidP="0057104C">
      <w:pPr>
        <w:pStyle w:val="SangriaFrancesaArticulo"/>
      </w:pPr>
      <w:r w:rsidRPr="0057104C">
        <w:rPr>
          <w:rStyle w:val="TextoNormalNegritaCaracter"/>
        </w:rPr>
        <w:t>Disposición adicional vigesimoprimera.</w:t>
      </w:r>
      <w:r w:rsidRPr="0057104C">
        <w:rPr>
          <w:rStyle w:val="TextoNormalCaracter"/>
        </w:rPr>
        <w:t>-</w:t>
      </w:r>
      <w:r>
        <w:t xml:space="preserve"> Auto </w:t>
      </w:r>
      <w:hyperlink w:anchor="AUTO_2016_132" w:history="1">
        <w:r w:rsidRPr="0057104C">
          <w:rPr>
            <w:rStyle w:val="TextoNormalCaracter"/>
          </w:rPr>
          <w:t>132/2016</w:t>
        </w:r>
      </w:hyperlink>
      <w:r>
        <w:t>, ff. 1, 3.</w:t>
      </w:r>
    </w:p>
    <w:p w:rsidR="0057104C" w:rsidRDefault="0057104C" w:rsidP="0057104C">
      <w:pPr>
        <w:pStyle w:val="SangriaFrancesaArticulo"/>
      </w:pPr>
      <w:r w:rsidRPr="0057104C">
        <w:rPr>
          <w:rStyle w:val="TextoNormalNegritaCaracter"/>
        </w:rPr>
        <w:t>Disposición adicional vigesimoprimera, apartado 2.</w:t>
      </w:r>
      <w:r w:rsidRPr="0057104C">
        <w:rPr>
          <w:rStyle w:val="TextoNormalCaracter"/>
        </w:rPr>
        <w:t>-</w:t>
      </w:r>
      <w:r>
        <w:t xml:space="preserve"> Auto </w:t>
      </w:r>
      <w:hyperlink w:anchor="AUTO_2016_84" w:history="1">
        <w:r w:rsidRPr="0057104C">
          <w:rPr>
            <w:rStyle w:val="TextoNormalCaracter"/>
          </w:rPr>
          <w:t>84/2016</w:t>
        </w:r>
      </w:hyperlink>
      <w:r>
        <w:t>, ff. 1, 2.</w:t>
      </w:r>
    </w:p>
    <w:p w:rsidR="0057104C" w:rsidRDefault="0057104C" w:rsidP="0057104C">
      <w:pPr>
        <w:pStyle w:val="SangriaFrancesaArticulo"/>
      </w:pPr>
      <w:r w:rsidRPr="0057104C">
        <w:rPr>
          <w:rStyle w:val="TextoNormalNegritaCaracter"/>
        </w:rPr>
        <w:t>Disposición adicional vigesimoprimera, apartado 2, párrafo 1.</w:t>
      </w:r>
      <w:r w:rsidRPr="0057104C">
        <w:rPr>
          <w:rStyle w:val="TextoNormalCaracter"/>
        </w:rPr>
        <w:t>-</w:t>
      </w:r>
      <w:r>
        <w:t xml:space="preserve"> Autos </w:t>
      </w:r>
      <w:hyperlink w:anchor="AUTO_2016_84" w:history="1">
        <w:r w:rsidRPr="0057104C">
          <w:rPr>
            <w:rStyle w:val="TextoNormalCaracter"/>
          </w:rPr>
          <w:t>84/2016</w:t>
        </w:r>
      </w:hyperlink>
      <w:r>
        <w:t xml:space="preserve">, f. 4; </w:t>
      </w:r>
      <w:hyperlink w:anchor="AUTO_2016_132" w:history="1">
        <w:r w:rsidRPr="0057104C">
          <w:rPr>
            <w:rStyle w:val="TextoNormalCaracter"/>
          </w:rPr>
          <w:t>132/2016</w:t>
        </w:r>
      </w:hyperlink>
      <w:r>
        <w:t>, ff. 2, 5, 8.</w:t>
      </w:r>
    </w:p>
    <w:p w:rsidR="0057104C" w:rsidRDefault="0057104C" w:rsidP="0057104C">
      <w:pPr>
        <w:pStyle w:val="SangriaFrancesaArticulo"/>
      </w:pPr>
      <w:r w:rsidRPr="0057104C">
        <w:rPr>
          <w:rStyle w:val="TextoNormalNegritaCaracter"/>
        </w:rPr>
        <w:t>Disposición adicional vigesimoprimera, apartado 2, párrafo 2.</w:t>
      </w:r>
      <w:r w:rsidRPr="0057104C">
        <w:rPr>
          <w:rStyle w:val="TextoNormalCaracter"/>
        </w:rPr>
        <w:t>-</w:t>
      </w:r>
      <w:r>
        <w:t xml:space="preserve"> Auto </w:t>
      </w:r>
      <w:hyperlink w:anchor="AUTO_2016_84" w:history="1">
        <w:r w:rsidRPr="0057104C">
          <w:rPr>
            <w:rStyle w:val="TextoNormalCaracter"/>
          </w:rPr>
          <w:t>84/2016</w:t>
        </w:r>
      </w:hyperlink>
      <w:r>
        <w:t>, ff. 2, 4.</w:t>
      </w:r>
    </w:p>
    <w:p w:rsidR="0057104C" w:rsidRDefault="0057104C" w:rsidP="0057104C">
      <w:pPr>
        <w:pStyle w:val="TextoNormal"/>
      </w:pPr>
    </w:p>
    <w:p w:rsidR="0057104C" w:rsidRDefault="0057104C" w:rsidP="0057104C">
      <w:pPr>
        <w:pStyle w:val="TextoNormalNegritaCentradoSubrayado"/>
        <w:suppressAutoHyphens/>
      </w:pPr>
      <w:r>
        <w:t>J.11.c) Decretos y otras disposiciones reglamentarias</w:t>
      </w:r>
    </w:p>
    <w:p w:rsidR="0057104C" w:rsidRDefault="0057104C" w:rsidP="0057104C">
      <w:pPr>
        <w:pStyle w:val="TextoNormalNegritaCentradoSubrayado"/>
      </w:pPr>
    </w:p>
    <w:p w:rsidR="0057104C" w:rsidRDefault="0057104C" w:rsidP="0057104C">
      <w:pPr>
        <w:pStyle w:val="TextoNormalNegritaCursivandice"/>
      </w:pPr>
      <w:r>
        <w:t>Decreto de la Junta de Galicia 187/2011, de 29 de septiembre. Suspende parcialmentela vigencia del plan general de ordenación urbana del Concello de Ourense y seaprueba la ordenación urbanística provisional hasta la entrada en vigor del nuevo planeamiento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77" w:history="1">
        <w:r w:rsidRPr="0057104C">
          <w:rPr>
            <w:rStyle w:val="TextoNormalCaracter"/>
          </w:rPr>
          <w:t>77/2016</w:t>
        </w:r>
      </w:hyperlink>
      <w:r>
        <w:t>, ff. 1, 3.</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J.12) Madrid</w:t>
      </w:r>
    </w:p>
    <w:p w:rsidR="0057104C" w:rsidRDefault="0057104C" w:rsidP="0057104C">
      <w:pPr>
        <w:pStyle w:val="TextoNormal"/>
      </w:pPr>
    </w:p>
    <w:p w:rsidR="0057104C" w:rsidRDefault="0057104C" w:rsidP="0057104C">
      <w:pPr>
        <w:pStyle w:val="TextoNormalNegritaCentradoSubrayado"/>
        <w:suppressAutoHyphens/>
      </w:pPr>
      <w:r>
        <w:t>J.12.b)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 la Asamblea de Madrid 11/2001, de 19 de diciembre. Uniones de hecho de la Comunidad de Madrid</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0" w:history="1">
        <w:r w:rsidRPr="0057104C">
          <w:rPr>
            <w:rStyle w:val="TextoNormalCaracter"/>
          </w:rPr>
          <w:t>110/2016</w:t>
        </w:r>
      </w:hyperlink>
      <w:r>
        <w:t>, f. 3.</w:t>
      </w:r>
    </w:p>
    <w:p w:rsidR="0057104C" w:rsidRDefault="0057104C" w:rsidP="0057104C">
      <w:pPr>
        <w:pStyle w:val="SangriaFrancesaArticulo"/>
      </w:pPr>
    </w:p>
    <w:p w:rsidR="0057104C" w:rsidRDefault="0057104C" w:rsidP="0057104C">
      <w:pPr>
        <w:pStyle w:val="TextoNormalNegritaCursivandice"/>
      </w:pPr>
      <w:r>
        <w:t>Ley de la Asamblea de Madrid 5/2012, de 20 de diciembre. Viviendas rurales sostenibles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21" w:history="1">
        <w:r w:rsidRPr="0057104C">
          <w:rPr>
            <w:rStyle w:val="TextoNormalCaracter"/>
          </w:rPr>
          <w:t>121/2016</w:t>
        </w:r>
      </w:hyperlink>
      <w:r>
        <w:t>, f. 2.</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Auto </w:t>
      </w:r>
      <w:hyperlink w:anchor="AUTO_2016_121" w:history="1">
        <w:r w:rsidRPr="0057104C">
          <w:rPr>
            <w:rStyle w:val="TextoNormalCaracter"/>
          </w:rPr>
          <w:t>121/2016</w:t>
        </w:r>
      </w:hyperlink>
      <w:r>
        <w:t>.</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Auto </w:t>
      </w:r>
      <w:hyperlink w:anchor="AUTO_2016_121" w:history="1">
        <w:r w:rsidRPr="0057104C">
          <w:rPr>
            <w:rStyle w:val="TextoNormalCaracter"/>
          </w:rPr>
          <w:t>121/2016</w:t>
        </w:r>
      </w:hyperlink>
      <w:r>
        <w:t>.</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Auto </w:t>
      </w:r>
      <w:hyperlink w:anchor="AUTO_2016_121" w:history="1">
        <w:r w:rsidRPr="0057104C">
          <w:rPr>
            <w:rStyle w:val="TextoNormalCaracter"/>
          </w:rPr>
          <w:t>121/2016</w:t>
        </w:r>
      </w:hyperlink>
      <w:r>
        <w:t>.</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Auto </w:t>
      </w:r>
      <w:hyperlink w:anchor="AUTO_2016_121" w:history="1">
        <w:r w:rsidRPr="0057104C">
          <w:rPr>
            <w:rStyle w:val="TextoNormalCaracter"/>
          </w:rPr>
          <w:t>121/2016</w:t>
        </w:r>
      </w:hyperlink>
      <w:r>
        <w:t>.</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Auto </w:t>
      </w:r>
      <w:hyperlink w:anchor="AUTO_2016_121" w:history="1">
        <w:r w:rsidRPr="0057104C">
          <w:rPr>
            <w:rStyle w:val="TextoNormalCaracter"/>
          </w:rPr>
          <w:t>121/2016</w:t>
        </w:r>
      </w:hyperlink>
      <w:r>
        <w:t>.</w:t>
      </w:r>
    </w:p>
    <w:p w:rsidR="0057104C" w:rsidRDefault="0057104C" w:rsidP="0057104C">
      <w:pPr>
        <w:pStyle w:val="SangriaFrancesaArticulo"/>
      </w:pPr>
    </w:p>
    <w:p w:rsidR="0057104C" w:rsidRDefault="0057104C" w:rsidP="0057104C">
      <w:pPr>
        <w:pStyle w:val="TextoNormalNegritaCursivandice"/>
      </w:pPr>
      <w:r>
        <w:t>Ley de la Asamblea de Madrid 1/2016, de 29 de marzo. Deroga la Ley de viviendas rurales sostenibles de la Comunidad de Madrid</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21" w:history="1">
        <w:r w:rsidRPr="0057104C">
          <w:rPr>
            <w:rStyle w:val="TextoNormalCaracter"/>
          </w:rPr>
          <w:t>121/2016</w:t>
        </w:r>
      </w:hyperlink>
      <w:r>
        <w:t>, f. 2.</w:t>
      </w:r>
    </w:p>
    <w:p w:rsidR="0057104C" w:rsidRDefault="0057104C" w:rsidP="0057104C">
      <w:pPr>
        <w:pStyle w:val="SangriaFrancesaArticulo"/>
      </w:pPr>
      <w:r w:rsidRPr="0057104C">
        <w:rPr>
          <w:rStyle w:val="TextoNormalNegritaCaracter"/>
        </w:rPr>
        <w:t>Disposición transitoria única.</w:t>
      </w:r>
      <w:r w:rsidRPr="0057104C">
        <w:rPr>
          <w:rStyle w:val="TextoNormalCaracter"/>
        </w:rPr>
        <w:t>-</w:t>
      </w:r>
      <w:r>
        <w:t xml:space="preserve"> Auto </w:t>
      </w:r>
      <w:hyperlink w:anchor="AUTO_2016_121" w:history="1">
        <w:r w:rsidRPr="0057104C">
          <w:rPr>
            <w:rStyle w:val="TextoNormalCaracter"/>
          </w:rPr>
          <w:t>121/2016</w:t>
        </w:r>
      </w:hyperlink>
      <w:r>
        <w:t>, f. 2.</w:t>
      </w:r>
    </w:p>
    <w:p w:rsidR="0057104C" w:rsidRDefault="0057104C" w:rsidP="0057104C">
      <w:pPr>
        <w:pStyle w:val="TextoNormal"/>
      </w:pPr>
    </w:p>
    <w:p w:rsidR="0057104C" w:rsidRDefault="0057104C" w:rsidP="0057104C">
      <w:pPr>
        <w:pStyle w:val="TextoNormalNegritaCentradoSubrayado"/>
        <w:suppressAutoHyphens/>
      </w:pPr>
      <w:r>
        <w:t>J.12.c) Decretos y otras disposiciones reglamentarias</w:t>
      </w:r>
    </w:p>
    <w:p w:rsidR="0057104C" w:rsidRDefault="0057104C" w:rsidP="0057104C">
      <w:pPr>
        <w:pStyle w:val="TextoNormalNegritaCentradoSubrayado"/>
      </w:pPr>
    </w:p>
    <w:p w:rsidR="0057104C" w:rsidRDefault="0057104C" w:rsidP="0057104C">
      <w:pPr>
        <w:pStyle w:val="TextoNormalNegritaCursivandice"/>
      </w:pPr>
      <w:r>
        <w:t>Decreto del Consejo de Gobierno de la Comunidad de Madrid 36/1995, de 20 de abril. Crea el   Registro de uniones de hecho</w:t>
      </w:r>
    </w:p>
    <w:p w:rsidR="0057104C" w:rsidRDefault="0057104C" w:rsidP="0057104C">
      <w:pPr>
        <w:pStyle w:val="SangriaFrancesaArticulo"/>
      </w:pPr>
      <w:r w:rsidRPr="0057104C">
        <w:rPr>
          <w:rStyle w:val="TextoNormalNegritaCaracter"/>
        </w:rPr>
        <w:t>f. 7.</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TextoNormal"/>
      </w:pPr>
    </w:p>
    <w:p w:rsidR="0057104C" w:rsidRDefault="0057104C" w:rsidP="0057104C">
      <w:pPr>
        <w:pStyle w:val="TextoNormalNegritaCentradoSubrayado"/>
        <w:suppressAutoHyphens/>
      </w:pPr>
      <w:r>
        <w:t>J.12.d) Normas parlamentarias autonómicas</w:t>
      </w:r>
    </w:p>
    <w:p w:rsidR="0057104C" w:rsidRDefault="0057104C" w:rsidP="0057104C">
      <w:pPr>
        <w:pStyle w:val="TextoNormalNegritaCentradoSubrayado"/>
      </w:pPr>
    </w:p>
    <w:p w:rsidR="0057104C" w:rsidRDefault="0057104C" w:rsidP="0057104C">
      <w:pPr>
        <w:pStyle w:val="TextoNormalNegritaCursivandice"/>
      </w:pPr>
      <w:r>
        <w:t>Reglamento de la Asamblea de Madrid, de 30 de enero de 1997</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Sentencia </w:t>
      </w:r>
      <w:hyperlink w:anchor="SENTENCIA_2016_78" w:history="1">
        <w:r w:rsidRPr="0057104C">
          <w:rPr>
            <w:rStyle w:val="TextoNormalCaracter"/>
          </w:rPr>
          <w:t>78/2016</w:t>
        </w:r>
      </w:hyperlink>
      <w:r>
        <w:t>, f. 6.</w:t>
      </w:r>
    </w:p>
    <w:p w:rsidR="0057104C" w:rsidRDefault="0057104C" w:rsidP="0057104C">
      <w:pPr>
        <w:pStyle w:val="SangriaFrancesaArticulo"/>
      </w:pPr>
      <w:r w:rsidRPr="0057104C">
        <w:rPr>
          <w:rStyle w:val="TextoNormalNegritaCaracter"/>
        </w:rPr>
        <w:t>Artículo 31.1.</w:t>
      </w:r>
      <w:r w:rsidRPr="0057104C">
        <w:rPr>
          <w:rStyle w:val="TextoNormalCaracter"/>
        </w:rPr>
        <w:t>-</w:t>
      </w:r>
      <w:r>
        <w:t xml:space="preserve"> Sentencia </w:t>
      </w:r>
      <w:hyperlink w:anchor="SENTENCIA_2016_78" w:history="1">
        <w:r w:rsidRPr="0057104C">
          <w:rPr>
            <w:rStyle w:val="TextoNormalCaracter"/>
          </w:rPr>
          <w:t>78/2016</w:t>
        </w:r>
      </w:hyperlink>
      <w:r>
        <w:t>, f. 6.</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78" w:history="1">
        <w:r w:rsidRPr="0057104C">
          <w:rPr>
            <w:rStyle w:val="TextoNormalCaracter"/>
          </w:rPr>
          <w:t>78/2016</w:t>
        </w:r>
      </w:hyperlink>
      <w:r>
        <w:t>, f. 6.</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Sentencia </w:t>
      </w:r>
      <w:hyperlink w:anchor="SENTENCIA_2016_78" w:history="1">
        <w:r w:rsidRPr="0057104C">
          <w:rPr>
            <w:rStyle w:val="TextoNormalCaracter"/>
          </w:rPr>
          <w:t>78/2016</w:t>
        </w:r>
      </w:hyperlink>
      <w:r>
        <w:t>, ff. 4 a 6.</w:t>
      </w:r>
    </w:p>
    <w:p w:rsidR="0057104C" w:rsidRDefault="0057104C" w:rsidP="0057104C">
      <w:pPr>
        <w:pStyle w:val="SangriaFrancesaArticulo"/>
      </w:pPr>
      <w:r w:rsidRPr="0057104C">
        <w:rPr>
          <w:rStyle w:val="TextoNormalNegritaCaracter"/>
        </w:rPr>
        <w:t>Artículo 33 párrafo 1.</w:t>
      </w:r>
      <w:r w:rsidRPr="0057104C">
        <w:rPr>
          <w:rStyle w:val="TextoNormalCaracter"/>
        </w:rPr>
        <w:t>-</w:t>
      </w:r>
      <w:r>
        <w:t xml:space="preserve"> Sentencia </w:t>
      </w:r>
      <w:hyperlink w:anchor="SENTENCIA_2016_78" w:history="1">
        <w:r w:rsidRPr="0057104C">
          <w:rPr>
            <w:rStyle w:val="TextoNormalCaracter"/>
          </w:rPr>
          <w:t>78/2016</w:t>
        </w:r>
      </w:hyperlink>
      <w:r>
        <w:t>, f. 5.</w:t>
      </w:r>
    </w:p>
    <w:p w:rsidR="0057104C" w:rsidRDefault="0057104C" w:rsidP="0057104C">
      <w:pPr>
        <w:pStyle w:val="SangriaFrancesaArticulo"/>
      </w:pPr>
      <w:r w:rsidRPr="0057104C">
        <w:rPr>
          <w:rStyle w:val="TextoNormalNegritaCaracter"/>
        </w:rPr>
        <w:t>Artículo 33.1.</w:t>
      </w:r>
      <w:r w:rsidRPr="0057104C">
        <w:rPr>
          <w:rStyle w:val="TextoNormalCaracter"/>
        </w:rPr>
        <w:t>-</w:t>
      </w:r>
      <w:r>
        <w:t xml:space="preserve"> Sentencia </w:t>
      </w:r>
      <w:hyperlink w:anchor="SENTENCIA_2016_78" w:history="1">
        <w:r w:rsidRPr="0057104C">
          <w:rPr>
            <w:rStyle w:val="TextoNormalCaracter"/>
          </w:rPr>
          <w:t>78/2016</w:t>
        </w:r>
      </w:hyperlink>
      <w:r>
        <w:t>, f. 5.</w:t>
      </w:r>
    </w:p>
    <w:p w:rsidR="0057104C" w:rsidRDefault="0057104C" w:rsidP="0057104C">
      <w:pPr>
        <w:pStyle w:val="SangriaFrancesaArticulo"/>
      </w:pPr>
      <w:r w:rsidRPr="0057104C">
        <w:rPr>
          <w:rStyle w:val="TextoNormalNegritaCaracter"/>
        </w:rPr>
        <w:t>Artículo 35.1 e).</w:t>
      </w:r>
      <w:r w:rsidRPr="0057104C">
        <w:rPr>
          <w:rStyle w:val="TextoNormalCaracter"/>
        </w:rPr>
        <w:t>-</w:t>
      </w:r>
      <w:r>
        <w:t xml:space="preserve"> Sentencia </w:t>
      </w:r>
      <w:hyperlink w:anchor="SENTENCIA_2016_78" w:history="1">
        <w:r w:rsidRPr="0057104C">
          <w:rPr>
            <w:rStyle w:val="TextoNormalCaracter"/>
          </w:rPr>
          <w:t>78/2016</w:t>
        </w:r>
      </w:hyperlink>
      <w:r>
        <w:t>, f. 4.</w:t>
      </w:r>
    </w:p>
    <w:p w:rsidR="0057104C" w:rsidRDefault="0057104C" w:rsidP="0057104C">
      <w:pPr>
        <w:pStyle w:val="SangriaFrancesaArticulo"/>
      </w:pPr>
      <w:r w:rsidRPr="0057104C">
        <w:rPr>
          <w:rStyle w:val="TextoNormalNegritaCaracter"/>
        </w:rPr>
        <w:t>Artículo 35.1 párrafo 5.</w:t>
      </w:r>
      <w:r w:rsidRPr="0057104C">
        <w:rPr>
          <w:rStyle w:val="TextoNormalCaracter"/>
        </w:rPr>
        <w:t>-</w:t>
      </w:r>
      <w:r>
        <w:t xml:space="preserve"> Sentencia </w:t>
      </w:r>
      <w:hyperlink w:anchor="SENTENCIA_2016_78" w:history="1">
        <w:r w:rsidRPr="0057104C">
          <w:rPr>
            <w:rStyle w:val="TextoNormalCaracter"/>
          </w:rPr>
          <w:t>78/2016</w:t>
        </w:r>
      </w:hyperlink>
      <w:r>
        <w:t>, f. 5.</w:t>
      </w:r>
    </w:p>
    <w:p w:rsidR="0057104C" w:rsidRDefault="0057104C" w:rsidP="0057104C">
      <w:pPr>
        <w:pStyle w:val="SangriaFrancesaArticulo"/>
      </w:pPr>
      <w:r w:rsidRPr="0057104C">
        <w:rPr>
          <w:rStyle w:val="TextoNormalNegritaCaracter"/>
        </w:rPr>
        <w:t>Artículo 35.2.</w:t>
      </w:r>
      <w:r w:rsidRPr="0057104C">
        <w:rPr>
          <w:rStyle w:val="TextoNormalCaracter"/>
        </w:rPr>
        <w:t>-</w:t>
      </w:r>
      <w:r>
        <w:t xml:space="preserve"> Sentencia </w:t>
      </w:r>
      <w:hyperlink w:anchor="SENTENCIA_2016_78" w:history="1">
        <w:r w:rsidRPr="0057104C">
          <w:rPr>
            <w:rStyle w:val="TextoNormalCaracter"/>
          </w:rPr>
          <w:t>78/2016</w:t>
        </w:r>
      </w:hyperlink>
      <w:r>
        <w:t>, ff. 4, 5.</w:t>
      </w:r>
    </w:p>
    <w:p w:rsidR="0057104C" w:rsidRDefault="0057104C" w:rsidP="0057104C">
      <w:pPr>
        <w:pStyle w:val="SangriaFrancesaArticulo"/>
      </w:pPr>
      <w:r w:rsidRPr="0057104C">
        <w:rPr>
          <w:rStyle w:val="TextoNormalNegritaCaracter"/>
        </w:rPr>
        <w:t>Artículo 135.1.</w:t>
      </w:r>
      <w:r w:rsidRPr="0057104C">
        <w:rPr>
          <w:rStyle w:val="TextoNormalCaracter"/>
        </w:rPr>
        <w:t>-</w:t>
      </w:r>
      <w:r>
        <w:t xml:space="preserve"> Sentencia </w:t>
      </w:r>
      <w:hyperlink w:anchor="SENTENCIA_2016_78" w:history="1">
        <w:r w:rsidRPr="0057104C">
          <w:rPr>
            <w:rStyle w:val="TextoNormalCaracter"/>
          </w:rPr>
          <w:t>78/2016</w:t>
        </w:r>
      </w:hyperlink>
      <w:r>
        <w:t>, f. 6.</w:t>
      </w:r>
    </w:p>
    <w:p w:rsidR="0057104C" w:rsidRDefault="0057104C" w:rsidP="0057104C">
      <w:pPr>
        <w:pStyle w:val="SangriaFrancesaArticulo"/>
      </w:pPr>
      <w:r w:rsidRPr="0057104C">
        <w:rPr>
          <w:rStyle w:val="TextoNormalNegritaCaracter"/>
        </w:rPr>
        <w:t>Artículo 135.2.</w:t>
      </w:r>
      <w:r w:rsidRPr="0057104C">
        <w:rPr>
          <w:rStyle w:val="TextoNormalCaracter"/>
        </w:rPr>
        <w:t>-</w:t>
      </w:r>
      <w:r>
        <w:t xml:space="preserve"> Sentencia </w:t>
      </w:r>
      <w:hyperlink w:anchor="SENTENCIA_2016_78" w:history="1">
        <w:r w:rsidRPr="0057104C">
          <w:rPr>
            <w:rStyle w:val="TextoNormalCaracter"/>
          </w:rPr>
          <w:t>78/2016</w:t>
        </w:r>
      </w:hyperlink>
      <w:r>
        <w:t>, f. 6.</w:t>
      </w:r>
    </w:p>
    <w:p w:rsidR="0057104C" w:rsidRDefault="0057104C" w:rsidP="0057104C">
      <w:pPr>
        <w:pStyle w:val="SangriaFrancesaArticulo"/>
      </w:pPr>
      <w:r w:rsidRPr="0057104C">
        <w:rPr>
          <w:rStyle w:val="TextoNormalNegritaCaracter"/>
        </w:rPr>
        <w:t>Artículo 136.1.</w:t>
      </w:r>
      <w:r w:rsidRPr="0057104C">
        <w:rPr>
          <w:rStyle w:val="TextoNormalCaracter"/>
        </w:rPr>
        <w:t>-</w:t>
      </w:r>
      <w:r>
        <w:t xml:space="preserve"> Sentencia </w:t>
      </w:r>
      <w:hyperlink w:anchor="SENTENCIA_2016_78" w:history="1">
        <w:r w:rsidRPr="0057104C">
          <w:rPr>
            <w:rStyle w:val="TextoNormalCaracter"/>
          </w:rPr>
          <w:t>78/2016</w:t>
        </w:r>
      </w:hyperlink>
      <w:r>
        <w:t>, f. 6.</w:t>
      </w:r>
    </w:p>
    <w:p w:rsidR="0057104C" w:rsidRDefault="0057104C" w:rsidP="0057104C">
      <w:pPr>
        <w:pStyle w:val="SangriaFrancesaArticulo"/>
      </w:pPr>
      <w:r w:rsidRPr="0057104C">
        <w:rPr>
          <w:rStyle w:val="TextoNormalNegritaCaracter"/>
        </w:rPr>
        <w:t>Artículo 138.</w:t>
      </w:r>
      <w:r w:rsidRPr="0057104C">
        <w:rPr>
          <w:rStyle w:val="TextoNormalCaracter"/>
        </w:rPr>
        <w:t>-</w:t>
      </w:r>
      <w:r>
        <w:t xml:space="preserve"> Sentencia </w:t>
      </w:r>
      <w:hyperlink w:anchor="SENTENCIA_2016_78" w:history="1">
        <w:r w:rsidRPr="0057104C">
          <w:rPr>
            <w:rStyle w:val="TextoNormalCaracter"/>
          </w:rPr>
          <w:t>78/2016</w:t>
        </w:r>
      </w:hyperlink>
      <w:r>
        <w:t>, f. 5.</w:t>
      </w:r>
    </w:p>
    <w:p w:rsidR="0057104C" w:rsidRDefault="0057104C" w:rsidP="0057104C">
      <w:pPr>
        <w:pStyle w:val="SangriaFrancesaArticulo"/>
      </w:pPr>
      <w:r w:rsidRPr="0057104C">
        <w:rPr>
          <w:rStyle w:val="TextoNormalNegritaCaracter"/>
        </w:rPr>
        <w:t>Artículo 138.2.</w:t>
      </w:r>
      <w:r w:rsidRPr="0057104C">
        <w:rPr>
          <w:rStyle w:val="TextoNormalCaracter"/>
        </w:rPr>
        <w:t>-</w:t>
      </w:r>
      <w:r>
        <w:t xml:space="preserve"> Sentencia </w:t>
      </w:r>
      <w:hyperlink w:anchor="SENTENCIA_2016_78" w:history="1">
        <w:r w:rsidRPr="0057104C">
          <w:rPr>
            <w:rStyle w:val="TextoNormalCaracter"/>
          </w:rPr>
          <w:t>78/2016</w:t>
        </w:r>
      </w:hyperlink>
      <w:r>
        <w:t>, f. 5.</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J.13) Murcia</w:t>
      </w:r>
    </w:p>
    <w:p w:rsidR="0057104C" w:rsidRDefault="0057104C" w:rsidP="0057104C">
      <w:pPr>
        <w:pStyle w:val="TextoNormal"/>
      </w:pPr>
    </w:p>
    <w:p w:rsidR="0057104C" w:rsidRDefault="0057104C" w:rsidP="0057104C">
      <w:pPr>
        <w:pStyle w:val="TextoNormalNegritaCentradoSubrayado"/>
        <w:suppressAutoHyphens/>
      </w:pPr>
      <w:r>
        <w:t>J.13.a) Estatuto de Autonomía</w:t>
      </w:r>
    </w:p>
    <w:p w:rsidR="0057104C" w:rsidRDefault="0057104C" w:rsidP="0057104C">
      <w:pPr>
        <w:pStyle w:val="TextoNormalNegritaCentradoSubrayado"/>
      </w:pPr>
    </w:p>
    <w:p w:rsidR="0057104C" w:rsidRDefault="0057104C" w:rsidP="0057104C">
      <w:pPr>
        <w:pStyle w:val="TextoNormalNegritaCursivandice"/>
      </w:pPr>
      <w:r>
        <w:t>Ley Orgánica 4/1982, de 9 de junio. Estatuto de Autonomía de la Región de Murcia</w:t>
      </w:r>
    </w:p>
    <w:p w:rsidR="0057104C" w:rsidRDefault="0057104C" w:rsidP="0057104C">
      <w:pPr>
        <w:pStyle w:val="SangriaFrancesaArticulo"/>
      </w:pPr>
      <w:r w:rsidRPr="0057104C">
        <w:rPr>
          <w:rStyle w:val="TextoNormalNegritaCaracter"/>
        </w:rPr>
        <w:t>Artículo 10.1.11.</w:t>
      </w:r>
      <w:r w:rsidRPr="0057104C">
        <w:rPr>
          <w:rStyle w:val="TextoNormalCaracter"/>
        </w:rPr>
        <w:t>-</w:t>
      </w:r>
      <w:r>
        <w:t xml:space="preserve"> Auto </w:t>
      </w:r>
      <w:hyperlink w:anchor="AUTO_2016_83" w:history="1">
        <w:r w:rsidRPr="0057104C">
          <w:rPr>
            <w:rStyle w:val="TextoNormalCaracter"/>
          </w:rPr>
          <w:t>83/2016</w:t>
        </w:r>
      </w:hyperlink>
      <w:r>
        <w:t>, ff. 1, 2, 4, 5.</w:t>
      </w:r>
    </w:p>
    <w:p w:rsidR="0057104C" w:rsidRDefault="0057104C" w:rsidP="0057104C">
      <w:pPr>
        <w:pStyle w:val="SangriaFrancesaArticulo"/>
      </w:pPr>
      <w:r w:rsidRPr="0057104C">
        <w:rPr>
          <w:rStyle w:val="TextoNormalNegritaCaracter"/>
        </w:rPr>
        <w:t>Artículo 12.1.10.</w:t>
      </w:r>
      <w:r w:rsidRPr="0057104C">
        <w:rPr>
          <w:rStyle w:val="TextoNormalCaracter"/>
        </w:rPr>
        <w:t>-</w:t>
      </w:r>
      <w:r>
        <w:t xml:space="preserve"> Auto </w:t>
      </w:r>
      <w:hyperlink w:anchor="AUTO_2016_83" w:history="1">
        <w:r w:rsidRPr="0057104C">
          <w:rPr>
            <w:rStyle w:val="TextoNormalCaracter"/>
          </w:rPr>
          <w:t>83/2016</w:t>
        </w:r>
      </w:hyperlink>
      <w:r>
        <w:t>, ff. 1, 2.</w:t>
      </w:r>
    </w:p>
    <w:p w:rsidR="0057104C" w:rsidRDefault="0057104C" w:rsidP="0057104C">
      <w:pPr>
        <w:pStyle w:val="TextoNormal"/>
      </w:pPr>
    </w:p>
    <w:p w:rsidR="0057104C" w:rsidRDefault="0057104C" w:rsidP="0057104C">
      <w:pPr>
        <w:pStyle w:val="TextoNormalNegritaCentradoSubrayado"/>
        <w:suppressAutoHyphens/>
      </w:pPr>
      <w:r>
        <w:t>J.13.b)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 la Asamblea Regional de Murcia 15/2002, de 23 de diciembre. Medidas tributarias en materia de tributos cedidos y tasas regionales</w:t>
      </w:r>
    </w:p>
    <w:p w:rsidR="0057104C" w:rsidRDefault="0057104C" w:rsidP="0057104C">
      <w:pPr>
        <w:pStyle w:val="SangriaFrancesaArticulo"/>
      </w:pPr>
      <w:r w:rsidRPr="0057104C">
        <w:rPr>
          <w:rStyle w:val="TextoNormalNegritaCaracter"/>
        </w:rPr>
        <w:t>Artículo 6.uno.1.c).</w:t>
      </w:r>
      <w:r w:rsidRPr="0057104C">
        <w:rPr>
          <w:rStyle w:val="TextoNormalCaracter"/>
        </w:rPr>
        <w:t>-</w:t>
      </w:r>
      <w:r>
        <w:t xml:space="preserve"> Sentencia </w:t>
      </w:r>
      <w:hyperlink w:anchor="SENTENCIA_2016_25" w:history="1">
        <w:r w:rsidRPr="0057104C">
          <w:rPr>
            <w:rStyle w:val="TextoNormalCaracter"/>
          </w:rPr>
          <w:t>25/2016</w:t>
        </w:r>
      </w:hyperlink>
      <w:r>
        <w:t>, ff. 1 a 3, 5.</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25" w:history="1">
        <w:r w:rsidRPr="0057104C">
          <w:rPr>
            <w:rStyle w:val="TextoNormalCaracter"/>
          </w:rPr>
          <w:t>25/2016</w:t>
        </w:r>
      </w:hyperlink>
      <w:r>
        <w:t>, f. 1.</w:t>
      </w:r>
    </w:p>
    <w:p w:rsidR="0057104C" w:rsidRDefault="0057104C" w:rsidP="0057104C">
      <w:pPr>
        <w:pStyle w:val="SangriaFrancesaArticulo"/>
      </w:pPr>
    </w:p>
    <w:p w:rsidR="0057104C" w:rsidRDefault="0057104C" w:rsidP="0057104C">
      <w:pPr>
        <w:pStyle w:val="TextoNormalNegritaCursivandice"/>
      </w:pPr>
      <w:r>
        <w:t>Ley de la Asamblea Regional de Murcia 10/2006, de 21 de diciembre, de Energías Renovables y Ahorro y Eficiencia Energética de la Región de Murcia</w:t>
      </w:r>
    </w:p>
    <w:p w:rsidR="0057104C" w:rsidRDefault="0057104C" w:rsidP="0057104C">
      <w:pPr>
        <w:pStyle w:val="SangriaFrancesaArticulo"/>
      </w:pPr>
      <w:r w:rsidRPr="0057104C">
        <w:rPr>
          <w:rStyle w:val="TextoNormalNegritaCaracter"/>
        </w:rPr>
        <w:t>Artículo 20 bis</w:t>
      </w:r>
      <w:r>
        <w:t xml:space="preserve"> (redactado por la Ley 11/2015, de 30 de marzo)</w:t>
      </w:r>
      <w:r w:rsidRPr="0057104C">
        <w:rPr>
          <w:rStyle w:val="TextoNormalNegritaCaracter"/>
        </w:rPr>
        <w:t>.</w:t>
      </w:r>
      <w:r w:rsidRPr="0057104C">
        <w:rPr>
          <w:rStyle w:val="TextoNormalCaracter"/>
        </w:rPr>
        <w:t>-</w:t>
      </w:r>
      <w:r>
        <w:t xml:space="preserve"> Auto </w:t>
      </w:r>
      <w:hyperlink w:anchor="AUTO_2016_105" w:history="1">
        <w:r w:rsidRPr="0057104C">
          <w:rPr>
            <w:rStyle w:val="TextoNormalCaracter"/>
          </w:rPr>
          <w:t>105/2016</w:t>
        </w:r>
      </w:hyperlink>
      <w:r>
        <w:t>, ff. 1, 3, 4, 6, 7.</w:t>
      </w:r>
    </w:p>
    <w:p w:rsidR="0057104C" w:rsidRDefault="0057104C" w:rsidP="0057104C">
      <w:pPr>
        <w:pStyle w:val="SangriaFrancesaArticulo"/>
      </w:pPr>
      <w:r w:rsidRPr="0057104C">
        <w:rPr>
          <w:rStyle w:val="TextoNormalNegritaCaracter"/>
        </w:rPr>
        <w:t>Artículo 20 bis, apartado 1</w:t>
      </w:r>
      <w:r>
        <w:t xml:space="preserve"> (redactado por la Ley 11/2015, de 30 de marzo)</w:t>
      </w:r>
      <w:r w:rsidRPr="0057104C">
        <w:rPr>
          <w:rStyle w:val="TextoNormalNegritaCaracter"/>
        </w:rPr>
        <w:t>.</w:t>
      </w:r>
      <w:r w:rsidRPr="0057104C">
        <w:rPr>
          <w:rStyle w:val="TextoNormalCaracter"/>
        </w:rPr>
        <w:t>-</w:t>
      </w:r>
      <w:r>
        <w:t xml:space="preserve"> Auto </w:t>
      </w:r>
      <w:hyperlink w:anchor="AUTO_2016_105" w:history="1">
        <w:r w:rsidRPr="0057104C">
          <w:rPr>
            <w:rStyle w:val="TextoNormalCaracter"/>
          </w:rPr>
          <w:t>105/2016</w:t>
        </w:r>
      </w:hyperlink>
      <w:r>
        <w:t>, f. 3.</w:t>
      </w:r>
    </w:p>
    <w:p w:rsidR="0057104C" w:rsidRDefault="0057104C" w:rsidP="0057104C">
      <w:pPr>
        <w:pStyle w:val="SangriaFrancesaArticulo"/>
      </w:pPr>
      <w:r w:rsidRPr="0057104C">
        <w:rPr>
          <w:rStyle w:val="TextoNormalNegritaCaracter"/>
        </w:rPr>
        <w:t>Artículo 20 bis, apartado 2</w:t>
      </w:r>
      <w:r>
        <w:t xml:space="preserve"> (redactado por la Ley 11/2015, de 30 de marzo)</w:t>
      </w:r>
      <w:r w:rsidRPr="0057104C">
        <w:rPr>
          <w:rStyle w:val="TextoNormalNegritaCaracter"/>
        </w:rPr>
        <w:t>.</w:t>
      </w:r>
      <w:r w:rsidRPr="0057104C">
        <w:rPr>
          <w:rStyle w:val="TextoNormalCaracter"/>
        </w:rPr>
        <w:t>-</w:t>
      </w:r>
      <w:r>
        <w:t xml:space="preserve"> Auto </w:t>
      </w:r>
      <w:hyperlink w:anchor="AUTO_2016_105" w:history="1">
        <w:r w:rsidRPr="0057104C">
          <w:rPr>
            <w:rStyle w:val="TextoNormalCaracter"/>
          </w:rPr>
          <w:t>105/2016</w:t>
        </w:r>
      </w:hyperlink>
      <w:r>
        <w:t>, f. 3.</w:t>
      </w:r>
    </w:p>
    <w:p w:rsidR="0057104C" w:rsidRDefault="0057104C" w:rsidP="0057104C">
      <w:pPr>
        <w:pStyle w:val="SangriaFrancesaArticulo"/>
      </w:pPr>
      <w:r w:rsidRPr="0057104C">
        <w:rPr>
          <w:rStyle w:val="TextoNormalNegritaCaracter"/>
        </w:rPr>
        <w:t>Artículo 20 bis, apartado 3</w:t>
      </w:r>
      <w:r>
        <w:t xml:space="preserve"> (redactado por la Ley 11/2015, de 30 de marzo)</w:t>
      </w:r>
      <w:r w:rsidRPr="0057104C">
        <w:rPr>
          <w:rStyle w:val="TextoNormalNegritaCaracter"/>
        </w:rPr>
        <w:t>.</w:t>
      </w:r>
      <w:r w:rsidRPr="0057104C">
        <w:rPr>
          <w:rStyle w:val="TextoNormalCaracter"/>
        </w:rPr>
        <w:t>-</w:t>
      </w:r>
      <w:r>
        <w:t xml:space="preserve"> Auto </w:t>
      </w:r>
      <w:hyperlink w:anchor="AUTO_2016_105" w:history="1">
        <w:r w:rsidRPr="0057104C">
          <w:rPr>
            <w:rStyle w:val="TextoNormalCaracter"/>
          </w:rPr>
          <w:t>105/2016</w:t>
        </w:r>
      </w:hyperlink>
      <w:r>
        <w:t>, f. 3.</w:t>
      </w:r>
    </w:p>
    <w:p w:rsidR="0057104C" w:rsidRDefault="0057104C" w:rsidP="0057104C">
      <w:pPr>
        <w:pStyle w:val="SangriaFrancesaArticulo"/>
      </w:pPr>
    </w:p>
    <w:p w:rsidR="0057104C" w:rsidRDefault="0057104C" w:rsidP="0057104C">
      <w:pPr>
        <w:pStyle w:val="TextoNormalNegritaCursivandice"/>
      </w:pPr>
      <w:r>
        <w:t>Ley de la Asamblea Regional de Murcia 12/2006, de 27 de diciembre, de medidas fiscales, administrativas y de orden social para el año 2007</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25" w:history="1">
        <w:r w:rsidRPr="0057104C">
          <w:rPr>
            <w:rStyle w:val="TextoNormalCaracter"/>
          </w:rPr>
          <w:t>25/2016</w:t>
        </w:r>
      </w:hyperlink>
      <w:r>
        <w:t>, f. 1.</w:t>
      </w:r>
    </w:p>
    <w:p w:rsidR="0057104C" w:rsidRDefault="0057104C" w:rsidP="0057104C">
      <w:pPr>
        <w:pStyle w:val="SangriaFrancesaArticulo"/>
      </w:pPr>
      <w:r w:rsidRPr="0057104C">
        <w:rPr>
          <w:rStyle w:val="TextoNormalNegritaCaracter"/>
        </w:rPr>
        <w:t>Disposición final cuarta.</w:t>
      </w:r>
      <w:r w:rsidRPr="0057104C">
        <w:rPr>
          <w:rStyle w:val="TextoNormalCaracter"/>
        </w:rPr>
        <w:t>-</w:t>
      </w:r>
      <w:r>
        <w:t xml:space="preserve"> Sentencia </w:t>
      </w:r>
      <w:hyperlink w:anchor="SENTENCIA_2016_25" w:history="1">
        <w:r w:rsidRPr="0057104C">
          <w:rPr>
            <w:rStyle w:val="TextoNormalCaracter"/>
          </w:rPr>
          <w:t>25/2016</w:t>
        </w:r>
      </w:hyperlink>
      <w:r>
        <w:t>, f. 1.</w:t>
      </w:r>
    </w:p>
    <w:p w:rsidR="0057104C" w:rsidRDefault="0057104C" w:rsidP="0057104C">
      <w:pPr>
        <w:pStyle w:val="SangriaFrancesaArticulo"/>
      </w:pPr>
    </w:p>
    <w:p w:rsidR="0057104C" w:rsidRDefault="0057104C" w:rsidP="0057104C">
      <w:pPr>
        <w:pStyle w:val="TextoNormalNegritaCursivandice"/>
      </w:pPr>
      <w:r>
        <w:t>Decreto Legislativo 1/2010, de 5 de noviembre. Texto Refundido de las disposiciones legales vigentes en la Región de Murcia en materia de tributos cedidos</w:t>
      </w:r>
    </w:p>
    <w:p w:rsidR="0057104C" w:rsidRDefault="0057104C" w:rsidP="0057104C">
      <w:pPr>
        <w:pStyle w:val="SangriaFrancesaArticulo"/>
      </w:pPr>
      <w:r w:rsidRPr="0057104C">
        <w:rPr>
          <w:rStyle w:val="TextoNormalNegritaCaracter"/>
        </w:rPr>
        <w:t>Dìsposición derogatoria única, f).</w:t>
      </w:r>
      <w:r w:rsidRPr="0057104C">
        <w:rPr>
          <w:rStyle w:val="TextoNormalCaracter"/>
        </w:rPr>
        <w:t>-</w:t>
      </w:r>
      <w:r>
        <w:t xml:space="preserve"> Sentencia </w:t>
      </w:r>
      <w:hyperlink w:anchor="SENTENCIA_2016_25" w:history="1">
        <w:r w:rsidRPr="0057104C">
          <w:rPr>
            <w:rStyle w:val="TextoNormalCaracter"/>
          </w:rPr>
          <w:t>25/2016</w:t>
        </w:r>
      </w:hyperlink>
      <w:r>
        <w:t>, f. 1.</w:t>
      </w:r>
    </w:p>
    <w:p w:rsidR="0057104C" w:rsidRDefault="0057104C" w:rsidP="0057104C">
      <w:pPr>
        <w:pStyle w:val="SangriaFrancesaArticulo"/>
      </w:pPr>
    </w:p>
    <w:p w:rsidR="0057104C" w:rsidRDefault="0057104C" w:rsidP="0057104C">
      <w:pPr>
        <w:pStyle w:val="TextoNormalNegritaCursivandice"/>
      </w:pPr>
      <w:r>
        <w:t>Ley de la Asamblea Regional de Murcia 6/2011, de 26 de diciembre. Presupuestos generales de la Comunidad Autónoma para el ejercicio 2012</w:t>
      </w:r>
    </w:p>
    <w:p w:rsidR="0057104C" w:rsidRDefault="0057104C" w:rsidP="0057104C">
      <w:pPr>
        <w:pStyle w:val="SangriaFrancesaArticulo"/>
      </w:pPr>
      <w:r w:rsidRPr="0057104C">
        <w:rPr>
          <w:rStyle w:val="TextoNormalNegritaCaracter"/>
        </w:rPr>
        <w:t>Artículo 22.1.</w:t>
      </w:r>
      <w:r w:rsidRPr="0057104C">
        <w:rPr>
          <w:rStyle w:val="TextoNormalCaracter"/>
        </w:rPr>
        <w:t>-</w:t>
      </w:r>
      <w:r>
        <w:t xml:space="preserve"> Autos </w:t>
      </w:r>
      <w:hyperlink w:anchor="AUTO_2016_13" w:history="1">
        <w:r w:rsidRPr="0057104C">
          <w:rPr>
            <w:rStyle w:val="TextoNormalCaracter"/>
          </w:rPr>
          <w:t>13/2016</w:t>
        </w:r>
      </w:hyperlink>
      <w:r>
        <w:t xml:space="preserve">, f. 2; </w:t>
      </w:r>
      <w:hyperlink w:anchor="AUTO_2016_71" w:history="1">
        <w:r w:rsidRPr="0057104C">
          <w:rPr>
            <w:rStyle w:val="TextoNormalCaracter"/>
          </w:rPr>
          <w:t>71/2016</w:t>
        </w:r>
      </w:hyperlink>
      <w:r>
        <w:t>, f. 3.</w:t>
      </w:r>
    </w:p>
    <w:p w:rsidR="0057104C" w:rsidRDefault="0057104C" w:rsidP="0057104C">
      <w:pPr>
        <w:pStyle w:val="SangriaFrancesaArticulo"/>
      </w:pPr>
    </w:p>
    <w:p w:rsidR="0057104C" w:rsidRDefault="0057104C" w:rsidP="0057104C">
      <w:pPr>
        <w:pStyle w:val="TextoNormalNegritaCursivandice"/>
      </w:pPr>
      <w:r>
        <w:t>Ley de la Asamblea Regional de Murcia 9/2012, de 8 de noviembre. Adaptación de la normativa regional en materia de función pública al Real Decreto-ley 20/2012, de 13 de julio, de medidas para garantizar la estabilidad presupuestaria y de fomento de la competitividad</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83" w:history="1">
        <w:r w:rsidRPr="0057104C">
          <w:rPr>
            <w:rStyle w:val="TextoNormalCaracter"/>
          </w:rPr>
          <w:t>83/2016</w:t>
        </w:r>
      </w:hyperlink>
      <w:r>
        <w:t>, f. 2.</w:t>
      </w:r>
    </w:p>
    <w:p w:rsidR="0057104C" w:rsidRDefault="0057104C" w:rsidP="0057104C">
      <w:pPr>
        <w:pStyle w:val="SangriaFrancesaArticulo"/>
      </w:pPr>
      <w:r w:rsidRPr="0057104C">
        <w:rPr>
          <w:rStyle w:val="TextoNormalNegritaCaracter"/>
        </w:rPr>
        <w:t>Artículo 2.1.</w:t>
      </w:r>
      <w:r w:rsidRPr="0057104C">
        <w:rPr>
          <w:rStyle w:val="TextoNormalCaracter"/>
        </w:rPr>
        <w:t>-</w:t>
      </w:r>
      <w:r>
        <w:t xml:space="preserve"> Autos </w:t>
      </w:r>
      <w:hyperlink w:anchor="AUTO_2016_13" w:history="1">
        <w:r w:rsidRPr="0057104C">
          <w:rPr>
            <w:rStyle w:val="TextoNormalCaracter"/>
          </w:rPr>
          <w:t>13/2016</w:t>
        </w:r>
      </w:hyperlink>
      <w:r>
        <w:t xml:space="preserve">, ff. 1, 2; </w:t>
      </w:r>
      <w:hyperlink w:anchor="AUTO_2016_71" w:history="1">
        <w:r w:rsidRPr="0057104C">
          <w:rPr>
            <w:rStyle w:val="TextoNormalCaracter"/>
          </w:rPr>
          <w:t>71/2016</w:t>
        </w:r>
      </w:hyperlink>
      <w:r>
        <w:t>, ff. 1, 3.</w:t>
      </w:r>
    </w:p>
    <w:p w:rsidR="0057104C" w:rsidRDefault="0057104C" w:rsidP="0057104C">
      <w:pPr>
        <w:pStyle w:val="SangriaFrancesaArticulo"/>
      </w:pPr>
    </w:p>
    <w:p w:rsidR="0057104C" w:rsidRDefault="0057104C" w:rsidP="0057104C">
      <w:pPr>
        <w:pStyle w:val="TextoNormalNegritaCursivandice"/>
      </w:pPr>
      <w:r>
        <w:t>Ley de la Asamblea Regional de Murcia 4/2013, de 12 de junio. Medidas urgentes en materia de gastos de personal y organización administrativa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Autos </w:t>
      </w:r>
      <w:hyperlink w:anchor="AUTO_2016_131" w:history="1">
        <w:r w:rsidRPr="0057104C">
          <w:rPr>
            <w:rStyle w:val="TextoNormalCaracter"/>
          </w:rPr>
          <w:t>131/2016</w:t>
        </w:r>
      </w:hyperlink>
      <w:r>
        <w:t xml:space="preserve">, f. 6; </w:t>
      </w:r>
      <w:hyperlink w:anchor="AUTO_2016_134" w:history="1">
        <w:r w:rsidRPr="0057104C">
          <w:rPr>
            <w:rStyle w:val="TextoNormalCaracter"/>
          </w:rPr>
          <w:t>134/2016</w:t>
        </w:r>
      </w:hyperlink>
      <w:r>
        <w:t>, f. 6.</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Auto </w:t>
      </w:r>
      <w:hyperlink w:anchor="AUTO_2016_83" w:history="1">
        <w:r w:rsidRPr="0057104C">
          <w:rPr>
            <w:rStyle w:val="TextoNormalCaracter"/>
          </w:rPr>
          <w:t>83/2016</w:t>
        </w:r>
      </w:hyperlink>
      <w:r>
        <w:t>, f. 1.</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Autos </w:t>
      </w:r>
      <w:hyperlink w:anchor="AUTO_2016_83" w:history="1">
        <w:r w:rsidRPr="0057104C">
          <w:rPr>
            <w:rStyle w:val="TextoNormalCaracter"/>
          </w:rPr>
          <w:t>83/2016</w:t>
        </w:r>
      </w:hyperlink>
      <w:r>
        <w:t xml:space="preserve">, ff. 1 a 5; </w:t>
      </w:r>
      <w:hyperlink w:anchor="AUTO_2016_131" w:history="1">
        <w:r w:rsidRPr="0057104C">
          <w:rPr>
            <w:rStyle w:val="TextoNormalCaracter"/>
          </w:rPr>
          <w:t>131/2016</w:t>
        </w:r>
      </w:hyperlink>
      <w:r>
        <w:t xml:space="preserve">, ff. 1, 4, 6; </w:t>
      </w:r>
      <w:hyperlink w:anchor="AUTO_2016_134" w:history="1">
        <w:r w:rsidRPr="0057104C">
          <w:rPr>
            <w:rStyle w:val="TextoNormalCaracter"/>
          </w:rPr>
          <w:t>134/2016</w:t>
        </w:r>
      </w:hyperlink>
      <w:r>
        <w:t>, ff. 1, 4, 6.</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Auto </w:t>
      </w:r>
      <w:hyperlink w:anchor="AUTO_2016_83" w:history="1">
        <w:r w:rsidRPr="0057104C">
          <w:rPr>
            <w:rStyle w:val="TextoNormalCaracter"/>
          </w:rPr>
          <w:t>83/2016</w:t>
        </w:r>
      </w:hyperlink>
      <w:r>
        <w:t>, f. 1.</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Auto </w:t>
      </w:r>
      <w:hyperlink w:anchor="AUTO_2016_83" w:history="1">
        <w:r w:rsidRPr="0057104C">
          <w:rPr>
            <w:rStyle w:val="TextoNormalCaracter"/>
          </w:rPr>
          <w:t>83/2016</w:t>
        </w:r>
      </w:hyperlink>
      <w:r>
        <w:t>, ff. 1 a 5.</w:t>
      </w:r>
    </w:p>
    <w:p w:rsidR="0057104C" w:rsidRDefault="0057104C" w:rsidP="0057104C">
      <w:pPr>
        <w:pStyle w:val="SangriaFrancesaArticulo"/>
      </w:pPr>
    </w:p>
    <w:p w:rsidR="0057104C" w:rsidRDefault="0057104C" w:rsidP="0057104C">
      <w:pPr>
        <w:pStyle w:val="TextoNormalNegritaCursivandice"/>
      </w:pPr>
      <w:r>
        <w:t>Ley 11/2015, de 30 de marzo, de modificación de la Ley 10/2006, de 21 de diciembre. Energías Renovables y Ahorro y Eficiencia Energética de la Región de Murcia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05" w:history="1">
        <w:r w:rsidRPr="0057104C">
          <w:rPr>
            <w:rStyle w:val="TextoNormalCaracter"/>
          </w:rPr>
          <w:t>105/2016</w:t>
        </w:r>
      </w:hyperlink>
      <w:r>
        <w:t>, f. 3.</w:t>
      </w:r>
    </w:p>
    <w:p w:rsidR="0057104C" w:rsidRDefault="0057104C" w:rsidP="0057104C">
      <w:pPr>
        <w:pStyle w:val="SangriaFrancesaArticulo"/>
      </w:pPr>
      <w:r w:rsidRPr="0057104C">
        <w:rPr>
          <w:rStyle w:val="TextoNormalNegritaCaracter"/>
        </w:rPr>
        <w:t>Artículo único, apartado 12.</w:t>
      </w:r>
      <w:r w:rsidRPr="0057104C">
        <w:rPr>
          <w:rStyle w:val="TextoNormalCaracter"/>
        </w:rPr>
        <w:t>-</w:t>
      </w:r>
      <w:r>
        <w:t xml:space="preserve"> Auto </w:t>
      </w:r>
      <w:hyperlink w:anchor="AUTO_2016_105" w:history="1">
        <w:r w:rsidRPr="0057104C">
          <w:rPr>
            <w:rStyle w:val="TextoNormalCaracter"/>
          </w:rPr>
          <w:t>105/2016</w:t>
        </w:r>
      </w:hyperlink>
      <w:r>
        <w:t>, f. 1.</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J.14) Navarra</w:t>
      </w:r>
    </w:p>
    <w:p w:rsidR="0057104C" w:rsidRDefault="0057104C" w:rsidP="0057104C">
      <w:pPr>
        <w:pStyle w:val="TextoNormal"/>
      </w:pPr>
    </w:p>
    <w:p w:rsidR="0057104C" w:rsidRDefault="0057104C" w:rsidP="0057104C">
      <w:pPr>
        <w:pStyle w:val="TextoNormalNegritaCentradoSubrayado"/>
        <w:suppressAutoHyphens/>
      </w:pPr>
      <w:r>
        <w:t>J.14.a) Estatuto de Autonomía</w:t>
      </w:r>
    </w:p>
    <w:p w:rsidR="0057104C" w:rsidRDefault="0057104C" w:rsidP="0057104C">
      <w:pPr>
        <w:pStyle w:val="TextoNormalNegritaCentradoSubrayado"/>
      </w:pPr>
    </w:p>
    <w:p w:rsidR="0057104C" w:rsidRDefault="0057104C" w:rsidP="0057104C">
      <w:pPr>
        <w:pStyle w:val="TextoNormalNegritaCursivandice"/>
      </w:pPr>
      <w:r>
        <w:t>Ley Orgánica 13/1982, de 10 de agosto. Reintegración y amejoramiento del régimen foral de Navarra</w:t>
      </w:r>
    </w:p>
    <w:p w:rsidR="0057104C" w:rsidRDefault="0057104C" w:rsidP="0057104C">
      <w:pPr>
        <w:pStyle w:val="SangriaFrancesaArticulo"/>
      </w:pPr>
      <w:r w:rsidRPr="0057104C">
        <w:rPr>
          <w:rStyle w:val="TextoNormalNegritaCaracter"/>
        </w:rPr>
        <w:t>Artículo 44.17.</w:t>
      </w:r>
      <w:r w:rsidRPr="0057104C">
        <w:rPr>
          <w:rStyle w:val="TextoNormalCaracter"/>
        </w:rPr>
        <w:t>-</w:t>
      </w:r>
      <w:r>
        <w:t xml:space="preserve"> Sentencia </w:t>
      </w:r>
      <w:hyperlink w:anchor="SENTENCIA_2016_36" w:history="1">
        <w:r w:rsidRPr="0057104C">
          <w:rPr>
            <w:rStyle w:val="TextoNormalCaracter"/>
          </w:rPr>
          <w:t>36/2016</w:t>
        </w:r>
      </w:hyperlink>
      <w:r>
        <w:t>, ff. 1 a 3.</w:t>
      </w:r>
    </w:p>
    <w:p w:rsidR="0057104C" w:rsidRDefault="0057104C" w:rsidP="0057104C">
      <w:pPr>
        <w:pStyle w:val="SangriaFrancesaArticulo"/>
      </w:pPr>
      <w:r w:rsidRPr="0057104C">
        <w:rPr>
          <w:rStyle w:val="TextoNormalNegritaCaracter"/>
        </w:rPr>
        <w:t>Artículo 47.</w:t>
      </w:r>
      <w:r w:rsidRPr="0057104C">
        <w:rPr>
          <w:rStyle w:val="TextoNormalCaracter"/>
        </w:rPr>
        <w:t>-</w:t>
      </w:r>
      <w:r>
        <w:t xml:space="preserve"> Sentencia </w:t>
      </w:r>
      <w:hyperlink w:anchor="SENTENCIA_2016_54" w:history="1">
        <w:r w:rsidRPr="0057104C">
          <w:rPr>
            <w:rStyle w:val="TextoNormalCaracter"/>
          </w:rPr>
          <w:t>54/2016</w:t>
        </w:r>
      </w:hyperlink>
      <w:r>
        <w:t>, f. 1.</w:t>
      </w:r>
    </w:p>
    <w:p w:rsidR="0057104C" w:rsidRDefault="0057104C" w:rsidP="0057104C">
      <w:pPr>
        <w:pStyle w:val="SangriaFrancesaArticulo"/>
      </w:pPr>
      <w:r w:rsidRPr="0057104C">
        <w:rPr>
          <w:rStyle w:val="TextoNormalNegritaCaracter"/>
        </w:rPr>
        <w:t>Artículo 49.1 b).</w:t>
      </w:r>
      <w:r w:rsidRPr="0057104C">
        <w:rPr>
          <w:rStyle w:val="TextoNormalCaracter"/>
        </w:rPr>
        <w:t>-</w:t>
      </w:r>
      <w:r>
        <w:t xml:space="preserve"> Sentencia </w:t>
      </w:r>
      <w:hyperlink w:anchor="SENTENCIA_2016_54" w:history="1">
        <w:r w:rsidRPr="0057104C">
          <w:rPr>
            <w:rStyle w:val="TextoNormalCaracter"/>
          </w:rPr>
          <w:t>54/2016</w:t>
        </w:r>
      </w:hyperlink>
      <w:r>
        <w:t>, f. 1.</w:t>
      </w:r>
    </w:p>
    <w:p w:rsidR="0057104C" w:rsidRDefault="0057104C" w:rsidP="0057104C">
      <w:pPr>
        <w:pStyle w:val="SangriaFrancesaArticulo"/>
      </w:pPr>
      <w:r w:rsidRPr="0057104C">
        <w:rPr>
          <w:rStyle w:val="TextoNormalNegritaCaracter"/>
        </w:rPr>
        <w:t>Artículo 56.1 d).</w:t>
      </w:r>
      <w:r w:rsidRPr="0057104C">
        <w:rPr>
          <w:rStyle w:val="TextoNormalCaracter"/>
        </w:rPr>
        <w:t>-</w:t>
      </w:r>
      <w:r>
        <w:t xml:space="preserve"> Sentencia </w:t>
      </w:r>
      <w:hyperlink w:anchor="SENTENCIA_2016_59" w:history="1">
        <w:r w:rsidRPr="0057104C">
          <w:rPr>
            <w:rStyle w:val="TextoNormalCaracter"/>
          </w:rPr>
          <w:t>59/2016</w:t>
        </w:r>
      </w:hyperlink>
      <w:r>
        <w:t>, f. 3.</w:t>
      </w:r>
    </w:p>
    <w:p w:rsidR="0057104C" w:rsidRDefault="0057104C" w:rsidP="0057104C">
      <w:pPr>
        <w:pStyle w:val="SangriaFrancesaArticulo"/>
      </w:pPr>
      <w:r w:rsidRPr="0057104C">
        <w:rPr>
          <w:rStyle w:val="TextoNormalNegritaCaracter"/>
        </w:rPr>
        <w:t>Artículo 64.</w:t>
      </w:r>
      <w:r w:rsidRPr="0057104C">
        <w:rPr>
          <w:rStyle w:val="TextoNormalCaracter"/>
        </w:rPr>
        <w:t>-</w:t>
      </w:r>
      <w:r>
        <w:t xml:space="preserve"> Sentencia </w:t>
      </w:r>
      <w:hyperlink w:anchor="SENTENCIA_2016_36" w:history="1">
        <w:r w:rsidRPr="0057104C">
          <w:rPr>
            <w:rStyle w:val="TextoNormalCaracter"/>
          </w:rPr>
          <w:t>36/2016</w:t>
        </w:r>
      </w:hyperlink>
      <w:r>
        <w:t>, f. 3.</w:t>
      </w:r>
    </w:p>
    <w:p w:rsidR="0057104C" w:rsidRDefault="0057104C" w:rsidP="0057104C">
      <w:pPr>
        <w:pStyle w:val="TextoNormal"/>
      </w:pPr>
    </w:p>
    <w:p w:rsidR="0057104C" w:rsidRDefault="0057104C" w:rsidP="0057104C">
      <w:pPr>
        <w:pStyle w:val="TextoNormalNegritaCentradoSubrayado"/>
        <w:suppressAutoHyphens/>
      </w:pPr>
      <w:r>
        <w:t>J.14.b)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Foral 9/1996, de 17 de junio. Regulación de los espacios naturales protegidos de Navarra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8" w:history="1">
        <w:r w:rsidRPr="0057104C">
          <w:rPr>
            <w:rStyle w:val="TextoNormalCaracter"/>
          </w:rPr>
          <w:t>38/2016</w:t>
        </w:r>
      </w:hyperlink>
      <w:r>
        <w:t>, f. 7.</w:t>
      </w:r>
    </w:p>
    <w:p w:rsidR="0057104C" w:rsidRDefault="0057104C" w:rsidP="0057104C">
      <w:pPr>
        <w:pStyle w:val="SangriaFrancesaArticulo"/>
      </w:pPr>
    </w:p>
    <w:p w:rsidR="0057104C" w:rsidRDefault="0057104C" w:rsidP="0057104C">
      <w:pPr>
        <w:pStyle w:val="TextoNormalNegritaCursivandice"/>
      </w:pPr>
      <w:r>
        <w:t>Ley Foral del Parlamento de Navarra 6/2000, de 3 de julio. Igualdad jurídica de las parejas estables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0" w:history="1">
        <w:r w:rsidRPr="0057104C">
          <w:rPr>
            <w:rStyle w:val="TextoNormalCaracter"/>
          </w:rPr>
          <w:t>110/2016</w:t>
        </w:r>
      </w:hyperlink>
      <w:r>
        <w:t>, ff. 1, 8, 10.</w:t>
      </w:r>
    </w:p>
    <w:p w:rsidR="0057104C" w:rsidRDefault="0057104C" w:rsidP="0057104C">
      <w:pPr>
        <w:pStyle w:val="SangriaFrancesaArticulo"/>
      </w:pPr>
    </w:p>
    <w:p w:rsidR="0057104C" w:rsidRDefault="0057104C" w:rsidP="0057104C">
      <w:pPr>
        <w:pStyle w:val="TextoNormalNegritaCursivandice"/>
      </w:pPr>
      <w:r>
        <w:t>Ley Foral 17/2001, de 12 de julio. Regulación del comercio en Navarra</w:t>
      </w:r>
    </w:p>
    <w:p w:rsidR="0057104C" w:rsidRDefault="0057104C" w:rsidP="0057104C">
      <w:pPr>
        <w:pStyle w:val="SangriaFrancesaArticulo"/>
      </w:pPr>
      <w:r w:rsidRPr="0057104C">
        <w:rPr>
          <w:rStyle w:val="TextoNormalNegritaCaracter"/>
        </w:rPr>
        <w:t>Artículo 33</w:t>
      </w:r>
      <w:r>
        <w:t xml:space="preserve"> (redactado por la Ley Foral del Parlamento de Navarra 15/2013, de 17 de abril)</w:t>
      </w:r>
      <w:r w:rsidRPr="0057104C">
        <w:rPr>
          <w:rStyle w:val="TextoNormalNegritaCaracter"/>
        </w:rPr>
        <w:t>.</w:t>
      </w:r>
      <w:r w:rsidRPr="0057104C">
        <w:rPr>
          <w:rStyle w:val="TextoNormalCaracter"/>
        </w:rPr>
        <w:t>-</w:t>
      </w:r>
      <w:r>
        <w:t xml:space="preserve"> Sentencia </w:t>
      </w:r>
      <w:hyperlink w:anchor="SENTENCIA_2016_59" w:history="1">
        <w:r w:rsidRPr="0057104C">
          <w:rPr>
            <w:rStyle w:val="TextoNormalCaracter"/>
          </w:rPr>
          <w:t>59/2016</w:t>
        </w:r>
      </w:hyperlink>
      <w:r>
        <w:t>, f. 4.</w:t>
      </w:r>
    </w:p>
    <w:p w:rsidR="0057104C" w:rsidRDefault="0057104C" w:rsidP="0057104C">
      <w:pPr>
        <w:pStyle w:val="SangriaFrancesaArticulo"/>
      </w:pPr>
      <w:r w:rsidRPr="0057104C">
        <w:rPr>
          <w:rStyle w:val="TextoNormalNegritaCaracter"/>
        </w:rPr>
        <w:t>Artículo 33.2</w:t>
      </w:r>
      <w:r>
        <w:t xml:space="preserve"> (redactado por la Ley Foral del Parlamento de Navarra 15/2013, de 17 de abril)</w:t>
      </w:r>
      <w:r w:rsidRPr="0057104C">
        <w:rPr>
          <w:rStyle w:val="TextoNormalNegritaCaracter"/>
        </w:rPr>
        <w:t>.</w:t>
      </w:r>
      <w:r w:rsidRPr="0057104C">
        <w:rPr>
          <w:rStyle w:val="TextoNormalCaracter"/>
        </w:rPr>
        <w:t>-</w:t>
      </w:r>
      <w:r>
        <w:t xml:space="preserve"> Sentencia </w:t>
      </w:r>
      <w:hyperlink w:anchor="SENTENCIA_2016_59" w:history="1">
        <w:r w:rsidRPr="0057104C">
          <w:rPr>
            <w:rStyle w:val="TextoNormalCaracter"/>
          </w:rPr>
          <w:t>59/2016</w:t>
        </w:r>
      </w:hyperlink>
      <w:r>
        <w:t>, ff. 1, 4.</w:t>
      </w:r>
    </w:p>
    <w:p w:rsidR="0057104C" w:rsidRDefault="0057104C" w:rsidP="0057104C">
      <w:pPr>
        <w:pStyle w:val="SangriaFrancesaArticulo"/>
      </w:pPr>
      <w:r w:rsidRPr="0057104C">
        <w:rPr>
          <w:rStyle w:val="TextoNormalNegritaCaracter"/>
        </w:rPr>
        <w:t>Artículo 46.2</w:t>
      </w:r>
      <w:r>
        <w:t xml:space="preserve"> (redactado por la Ley Foral del Parlamento de Navarra 15/2013, de 17 de abril)</w:t>
      </w:r>
      <w:r w:rsidRPr="0057104C">
        <w:rPr>
          <w:rStyle w:val="TextoNormalNegritaCaracter"/>
        </w:rPr>
        <w:t>.</w:t>
      </w:r>
      <w:r w:rsidRPr="0057104C">
        <w:rPr>
          <w:rStyle w:val="TextoNormalCaracter"/>
        </w:rPr>
        <w:t>-</w:t>
      </w:r>
      <w:r>
        <w:t xml:space="preserve"> Sentencia </w:t>
      </w:r>
      <w:hyperlink w:anchor="SENTENCIA_2016_59" w:history="1">
        <w:r w:rsidRPr="0057104C">
          <w:rPr>
            <w:rStyle w:val="TextoNormalCaracter"/>
          </w:rPr>
          <w:t>59/2016</w:t>
        </w:r>
      </w:hyperlink>
      <w:r>
        <w:t>, ff. 1, 5.</w:t>
      </w:r>
    </w:p>
    <w:p w:rsidR="0057104C" w:rsidRDefault="0057104C" w:rsidP="0057104C">
      <w:pPr>
        <w:pStyle w:val="SangriaFrancesaArticulo"/>
      </w:pPr>
      <w:r w:rsidRPr="0057104C">
        <w:rPr>
          <w:rStyle w:val="TextoNormalNegritaCaracter"/>
        </w:rPr>
        <w:t>Artículo 46.2 a).</w:t>
      </w:r>
      <w:r w:rsidRPr="0057104C">
        <w:rPr>
          <w:rStyle w:val="TextoNormalCaracter"/>
        </w:rPr>
        <w:t>-</w:t>
      </w:r>
      <w:r>
        <w:t xml:space="preserve"> Sentencia </w:t>
      </w:r>
      <w:hyperlink w:anchor="SENTENCIA_2016_59" w:history="1">
        <w:r w:rsidRPr="0057104C">
          <w:rPr>
            <w:rStyle w:val="TextoNormalCaracter"/>
          </w:rPr>
          <w:t>59/2016</w:t>
        </w:r>
      </w:hyperlink>
      <w:r>
        <w:t>, f. 5.</w:t>
      </w:r>
    </w:p>
    <w:p w:rsidR="0057104C" w:rsidRDefault="0057104C" w:rsidP="0057104C">
      <w:pPr>
        <w:pStyle w:val="SangriaFrancesaArticulo"/>
      </w:pPr>
      <w:r w:rsidRPr="0057104C">
        <w:rPr>
          <w:rStyle w:val="TextoNormalNegritaCaracter"/>
        </w:rPr>
        <w:t>Artículo 46.2 b).</w:t>
      </w:r>
      <w:r w:rsidRPr="0057104C">
        <w:rPr>
          <w:rStyle w:val="TextoNormalCaracter"/>
        </w:rPr>
        <w:t>-</w:t>
      </w:r>
      <w:r>
        <w:t xml:space="preserve"> Sentencia </w:t>
      </w:r>
      <w:hyperlink w:anchor="SENTENCIA_2016_59" w:history="1">
        <w:r w:rsidRPr="0057104C">
          <w:rPr>
            <w:rStyle w:val="TextoNormalCaracter"/>
          </w:rPr>
          <w:t>59/2016</w:t>
        </w:r>
      </w:hyperlink>
      <w:r>
        <w:t>, f. 5.</w:t>
      </w:r>
    </w:p>
    <w:p w:rsidR="0057104C" w:rsidRDefault="0057104C" w:rsidP="0057104C">
      <w:pPr>
        <w:pStyle w:val="SangriaFrancesaArticulo"/>
      </w:pPr>
      <w:r w:rsidRPr="0057104C">
        <w:rPr>
          <w:rStyle w:val="TextoNormalNegritaCaracter"/>
        </w:rPr>
        <w:t>Artículo 46.2 c).</w:t>
      </w:r>
      <w:r w:rsidRPr="0057104C">
        <w:rPr>
          <w:rStyle w:val="TextoNormalCaracter"/>
        </w:rPr>
        <w:t>-</w:t>
      </w:r>
      <w:r>
        <w:t xml:space="preserve"> Sentencia </w:t>
      </w:r>
      <w:hyperlink w:anchor="SENTENCIA_2016_59" w:history="1">
        <w:r w:rsidRPr="0057104C">
          <w:rPr>
            <w:rStyle w:val="TextoNormalCaracter"/>
          </w:rPr>
          <w:t>59/2016</w:t>
        </w:r>
      </w:hyperlink>
      <w:r>
        <w:t>, f. 5.</w:t>
      </w:r>
    </w:p>
    <w:p w:rsidR="0057104C" w:rsidRDefault="0057104C" w:rsidP="0057104C">
      <w:pPr>
        <w:pStyle w:val="SangriaFrancesaArticulo"/>
      </w:pPr>
    </w:p>
    <w:p w:rsidR="0057104C" w:rsidRDefault="0057104C" w:rsidP="0057104C">
      <w:pPr>
        <w:pStyle w:val="TextoNormalNegritaCursivandice"/>
      </w:pPr>
      <w:r>
        <w:t>Ley Foral 8/2006, de 20 de junio. Seguridad pública de Navarra</w:t>
      </w:r>
    </w:p>
    <w:p w:rsidR="0057104C" w:rsidRDefault="0057104C" w:rsidP="0057104C">
      <w:pPr>
        <w:pStyle w:val="SangriaFrancesaArticulo"/>
      </w:pPr>
      <w:r w:rsidRPr="0057104C">
        <w:rPr>
          <w:rStyle w:val="TextoNormalNegritaCaracter"/>
        </w:rPr>
        <w:t>Artículo 8.4.</w:t>
      </w:r>
      <w:r w:rsidRPr="0057104C">
        <w:rPr>
          <w:rStyle w:val="TextoNormalCaracter"/>
        </w:rPr>
        <w:t>-</w:t>
      </w:r>
      <w:r>
        <w:t xml:space="preserve"> Auto </w:t>
      </w:r>
      <w:hyperlink w:anchor="AUTO_2016_89" w:history="1">
        <w:r w:rsidRPr="0057104C">
          <w:rPr>
            <w:rStyle w:val="TextoNormalCaracter"/>
          </w:rPr>
          <w:t>89/2016</w:t>
        </w:r>
      </w:hyperlink>
      <w:r>
        <w:t>, f. 3.</w:t>
      </w:r>
    </w:p>
    <w:p w:rsidR="0057104C" w:rsidRDefault="0057104C" w:rsidP="0057104C">
      <w:pPr>
        <w:pStyle w:val="SangriaFrancesaArticulo"/>
      </w:pPr>
      <w:r w:rsidRPr="0057104C">
        <w:rPr>
          <w:rStyle w:val="TextoNormalNegritaCaracter"/>
        </w:rPr>
        <w:t>Artículo 8.5.</w:t>
      </w:r>
      <w:r w:rsidRPr="0057104C">
        <w:rPr>
          <w:rStyle w:val="TextoNormalCaracter"/>
        </w:rPr>
        <w:t>-</w:t>
      </w:r>
      <w:r>
        <w:t xml:space="preserve"> Auto </w:t>
      </w:r>
      <w:hyperlink w:anchor="AUTO_2016_89" w:history="1">
        <w:r w:rsidRPr="0057104C">
          <w:rPr>
            <w:rStyle w:val="TextoNormalCaracter"/>
          </w:rPr>
          <w:t>89/2016</w:t>
        </w:r>
      </w:hyperlink>
      <w:r>
        <w:t>, f. 3.</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Auto </w:t>
      </w:r>
      <w:hyperlink w:anchor="AUTO_2016_89" w:history="1">
        <w:r w:rsidRPr="0057104C">
          <w:rPr>
            <w:rStyle w:val="TextoNormalCaracter"/>
          </w:rPr>
          <w:t>89/2016</w:t>
        </w:r>
      </w:hyperlink>
      <w:r>
        <w:t>, f. 3.</w:t>
      </w:r>
    </w:p>
    <w:p w:rsidR="0057104C" w:rsidRDefault="0057104C" w:rsidP="0057104C">
      <w:pPr>
        <w:pStyle w:val="SangriaFrancesaArticulo"/>
      </w:pPr>
    </w:p>
    <w:p w:rsidR="0057104C" w:rsidRDefault="0057104C" w:rsidP="0057104C">
      <w:pPr>
        <w:pStyle w:val="TextoNormalNegritaCursivandice"/>
      </w:pPr>
      <w:r>
        <w:t>Ley Foral 8/2007, de 23 de marzo. Policías de Navarra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89" w:history="1">
        <w:r w:rsidRPr="0057104C">
          <w:rPr>
            <w:rStyle w:val="TextoNormalCaracter"/>
          </w:rPr>
          <w:t>89/2016</w:t>
        </w:r>
      </w:hyperlink>
      <w:r>
        <w:t>, f. 3.</w:t>
      </w:r>
    </w:p>
    <w:p w:rsidR="0057104C" w:rsidRDefault="0057104C" w:rsidP="0057104C">
      <w:pPr>
        <w:pStyle w:val="SangriaFrancesaArticulo"/>
      </w:pPr>
      <w:r w:rsidRPr="0057104C">
        <w:rPr>
          <w:rStyle w:val="TextoNormalNegritaCaracter"/>
        </w:rPr>
        <w:t>Artículo 5 ter</w:t>
      </w:r>
      <w:r>
        <w:t xml:space="preserve"> (redactado por la Ley Foral 15/2015, de 10 de abril)</w:t>
      </w:r>
      <w:r w:rsidRPr="0057104C">
        <w:rPr>
          <w:rStyle w:val="TextoNormalNegritaCaracter"/>
        </w:rPr>
        <w:t>.</w:t>
      </w:r>
      <w:r w:rsidRPr="0057104C">
        <w:rPr>
          <w:rStyle w:val="TextoNormalCaracter"/>
        </w:rPr>
        <w:t>-</w:t>
      </w:r>
      <w:r>
        <w:t xml:space="preserve"> Auto </w:t>
      </w:r>
      <w:hyperlink w:anchor="AUTO_2016_89" w:history="1">
        <w:r w:rsidRPr="0057104C">
          <w:rPr>
            <w:rStyle w:val="TextoNormalCaracter"/>
          </w:rPr>
          <w:t>89/2016</w:t>
        </w:r>
      </w:hyperlink>
      <w:r>
        <w:t>, f. 3.</w:t>
      </w:r>
    </w:p>
    <w:p w:rsidR="0057104C" w:rsidRDefault="0057104C" w:rsidP="0057104C">
      <w:pPr>
        <w:pStyle w:val="SangriaFrancesaArticulo"/>
      </w:pPr>
      <w:r w:rsidRPr="0057104C">
        <w:rPr>
          <w:rStyle w:val="TextoNormalNegritaCaracter"/>
        </w:rPr>
        <w:t>Artículo 5 ter, apartado 1</w:t>
      </w:r>
      <w:r>
        <w:t xml:space="preserve"> (redactado por la Ley Foral 15/2015, de 10 de abril)</w:t>
      </w:r>
      <w:r w:rsidRPr="0057104C">
        <w:rPr>
          <w:rStyle w:val="TextoNormalNegritaCaracter"/>
        </w:rPr>
        <w:t>.</w:t>
      </w:r>
      <w:r w:rsidRPr="0057104C">
        <w:rPr>
          <w:rStyle w:val="TextoNormalCaracter"/>
        </w:rPr>
        <w:t>-</w:t>
      </w:r>
      <w:r>
        <w:t xml:space="preserve"> Auto </w:t>
      </w:r>
      <w:hyperlink w:anchor="AUTO_2016_89" w:history="1">
        <w:r w:rsidRPr="0057104C">
          <w:rPr>
            <w:rStyle w:val="TextoNormalCaracter"/>
          </w:rPr>
          <w:t>89/2016</w:t>
        </w:r>
      </w:hyperlink>
      <w:r>
        <w:t>, ff. 1, 3.</w:t>
      </w:r>
    </w:p>
    <w:p w:rsidR="0057104C" w:rsidRDefault="0057104C" w:rsidP="0057104C">
      <w:pPr>
        <w:pStyle w:val="SangriaFrancesaArticulo"/>
      </w:pPr>
      <w:r w:rsidRPr="0057104C">
        <w:rPr>
          <w:rStyle w:val="TextoNormalNegritaCaracter"/>
        </w:rPr>
        <w:t>Artículo 5 ter, apartado 2</w:t>
      </w:r>
      <w:r>
        <w:t xml:space="preserve"> (redactado por la Ley Foral 15/2015, de 10 de abril)</w:t>
      </w:r>
      <w:r w:rsidRPr="0057104C">
        <w:rPr>
          <w:rStyle w:val="TextoNormalNegritaCaracter"/>
        </w:rPr>
        <w:t>.</w:t>
      </w:r>
      <w:r w:rsidRPr="0057104C">
        <w:rPr>
          <w:rStyle w:val="TextoNormalCaracter"/>
        </w:rPr>
        <w:t>-</w:t>
      </w:r>
      <w:r>
        <w:t xml:space="preserve"> Auto </w:t>
      </w:r>
      <w:hyperlink w:anchor="AUTO_2016_89" w:history="1">
        <w:r w:rsidRPr="0057104C">
          <w:rPr>
            <w:rStyle w:val="TextoNormalCaracter"/>
          </w:rPr>
          <w:t>89/2016</w:t>
        </w:r>
      </w:hyperlink>
      <w:r>
        <w:t>, ff. 1, 3.</w:t>
      </w:r>
    </w:p>
    <w:p w:rsidR="0057104C" w:rsidRDefault="0057104C" w:rsidP="0057104C">
      <w:pPr>
        <w:pStyle w:val="SangriaFrancesaArticulo"/>
      </w:pPr>
      <w:r w:rsidRPr="0057104C">
        <w:rPr>
          <w:rStyle w:val="TextoNormalNegritaCaracter"/>
        </w:rPr>
        <w:t>Artículo 34.1</w:t>
      </w:r>
      <w:r>
        <w:t xml:space="preserve"> (redactado por la Ley Foral 15/2015, de 10 de abril)</w:t>
      </w:r>
      <w:r w:rsidRPr="0057104C">
        <w:rPr>
          <w:rStyle w:val="TextoNormalNegritaCaracter"/>
        </w:rPr>
        <w:t>.</w:t>
      </w:r>
      <w:r w:rsidRPr="0057104C">
        <w:rPr>
          <w:rStyle w:val="TextoNormalCaracter"/>
        </w:rPr>
        <w:t>-</w:t>
      </w:r>
      <w:r>
        <w:t xml:space="preserve"> Auto </w:t>
      </w:r>
      <w:hyperlink w:anchor="AUTO_2016_89" w:history="1">
        <w:r w:rsidRPr="0057104C">
          <w:rPr>
            <w:rStyle w:val="TextoNormalCaracter"/>
          </w:rPr>
          <w:t>89/2016</w:t>
        </w:r>
      </w:hyperlink>
      <w:r>
        <w:t>, ff. 1, 5.</w:t>
      </w:r>
    </w:p>
    <w:p w:rsidR="0057104C" w:rsidRDefault="0057104C" w:rsidP="0057104C">
      <w:pPr>
        <w:pStyle w:val="SangriaFrancesaArticulo"/>
      </w:pPr>
      <w:r w:rsidRPr="0057104C">
        <w:rPr>
          <w:rStyle w:val="TextoNormalNegritaCaracter"/>
        </w:rPr>
        <w:t>Artículo 35.1</w:t>
      </w:r>
      <w:r>
        <w:t xml:space="preserve"> (redactado por la Ley Foral 15/2015, de 10 de abril)</w:t>
      </w:r>
      <w:r w:rsidRPr="0057104C">
        <w:rPr>
          <w:rStyle w:val="TextoNormalNegritaCaracter"/>
        </w:rPr>
        <w:t>.</w:t>
      </w:r>
      <w:r w:rsidRPr="0057104C">
        <w:rPr>
          <w:rStyle w:val="TextoNormalCaracter"/>
        </w:rPr>
        <w:t>-</w:t>
      </w:r>
      <w:r>
        <w:t xml:space="preserve"> Auto </w:t>
      </w:r>
      <w:hyperlink w:anchor="AUTO_2016_89" w:history="1">
        <w:r w:rsidRPr="0057104C">
          <w:rPr>
            <w:rStyle w:val="TextoNormalCaracter"/>
          </w:rPr>
          <w:t>89/2016</w:t>
        </w:r>
      </w:hyperlink>
      <w:r>
        <w:t>, ff. 1, 5.</w:t>
      </w:r>
    </w:p>
    <w:p w:rsidR="0057104C" w:rsidRDefault="0057104C" w:rsidP="0057104C">
      <w:pPr>
        <w:pStyle w:val="SangriaFrancesaArticulo"/>
      </w:pPr>
      <w:r w:rsidRPr="0057104C">
        <w:rPr>
          <w:rStyle w:val="TextoNormalNegritaCaracter"/>
        </w:rPr>
        <w:t>Artículo 57.1</w:t>
      </w:r>
      <w:r>
        <w:t xml:space="preserve"> (redactado por la Ley Foral 15/2015, de 10 de abril)</w:t>
      </w:r>
      <w:r w:rsidRPr="0057104C">
        <w:rPr>
          <w:rStyle w:val="TextoNormalNegritaCaracter"/>
        </w:rPr>
        <w:t>.</w:t>
      </w:r>
      <w:r w:rsidRPr="0057104C">
        <w:rPr>
          <w:rStyle w:val="TextoNormalCaracter"/>
        </w:rPr>
        <w:t>-</w:t>
      </w:r>
      <w:r>
        <w:t xml:space="preserve"> Auto </w:t>
      </w:r>
      <w:hyperlink w:anchor="AUTO_2016_89" w:history="1">
        <w:r w:rsidRPr="0057104C">
          <w:rPr>
            <w:rStyle w:val="TextoNormalCaracter"/>
          </w:rPr>
          <w:t>89/2016</w:t>
        </w:r>
      </w:hyperlink>
      <w:r>
        <w:t>, ff. 1, 6.</w:t>
      </w:r>
    </w:p>
    <w:p w:rsidR="0057104C" w:rsidRDefault="0057104C" w:rsidP="0057104C">
      <w:pPr>
        <w:pStyle w:val="SangriaFrancesaArticulo"/>
      </w:pPr>
    </w:p>
    <w:p w:rsidR="0057104C" w:rsidRDefault="0057104C" w:rsidP="0057104C">
      <w:pPr>
        <w:pStyle w:val="TextoNormalNegritaCursivandice"/>
      </w:pPr>
      <w:r>
        <w:t>Ley Foral del Parlamento de Navarra 9/2010, de 28 de abril. Ayuda a las víctimas del terrorismo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90" w:history="1">
        <w:r w:rsidRPr="0057104C">
          <w:rPr>
            <w:rStyle w:val="TextoNormalCaracter"/>
          </w:rPr>
          <w:t>90/2016</w:t>
        </w:r>
      </w:hyperlink>
      <w:r>
        <w:t>, ff. 1, 5.</w:t>
      </w:r>
    </w:p>
    <w:p w:rsidR="0057104C" w:rsidRDefault="0057104C" w:rsidP="0057104C">
      <w:pPr>
        <w:pStyle w:val="SangriaFrancesaArticulo"/>
      </w:pPr>
    </w:p>
    <w:p w:rsidR="0057104C" w:rsidRDefault="0057104C" w:rsidP="0057104C">
      <w:pPr>
        <w:pStyle w:val="TextoNormalNegritaCursivandice"/>
      </w:pPr>
      <w:r>
        <w:t>Ley Foral del Parlamento de Navarra 8/2013, de 25 de febrero. Reconoce a las personas residentes en Navarra el derecho de acceso a la asistencia sanitaria gratuita del sistema público sanitario de Navarra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54" w:history="1">
        <w:r w:rsidRPr="0057104C">
          <w:rPr>
            <w:rStyle w:val="TextoNormalCaracter"/>
          </w:rPr>
          <w:t>54/2016</w:t>
        </w:r>
      </w:hyperlink>
      <w:r>
        <w:t>, f. 4.</w:t>
      </w:r>
    </w:p>
    <w:p w:rsidR="0057104C" w:rsidRDefault="0057104C" w:rsidP="0057104C">
      <w:pPr>
        <w:pStyle w:val="SangriaFrancesaArticulo"/>
      </w:pPr>
    </w:p>
    <w:p w:rsidR="0057104C" w:rsidRDefault="0057104C" w:rsidP="0057104C">
      <w:pPr>
        <w:pStyle w:val="TextoNormalNegritaCursivandice"/>
      </w:pPr>
      <w:r>
        <w:t>Ley Foral 15/2013, de 17 de abril. Modificación de determinados artículos de la Ley Foral 17/2001, de 12 de julio, reguladora del comercio en Navarra</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59" w:history="1">
        <w:r w:rsidRPr="0057104C">
          <w:rPr>
            <w:rStyle w:val="TextoNormalCaracter"/>
          </w:rPr>
          <w:t>59/2016</w:t>
        </w:r>
      </w:hyperlink>
      <w:r>
        <w:t>, ff. 1, 4.</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59" w:history="1">
        <w:r w:rsidRPr="0057104C">
          <w:rPr>
            <w:rStyle w:val="TextoNormalCaracter"/>
          </w:rPr>
          <w:t>59/2016</w:t>
        </w:r>
      </w:hyperlink>
      <w:r>
        <w:t>, ff. 1, 5.</w:t>
      </w:r>
    </w:p>
    <w:p w:rsidR="0057104C" w:rsidRDefault="0057104C" w:rsidP="0057104C">
      <w:pPr>
        <w:pStyle w:val="SangriaFrancesaArticulo"/>
      </w:pPr>
    </w:p>
    <w:p w:rsidR="0057104C" w:rsidRDefault="0057104C" w:rsidP="0057104C">
      <w:pPr>
        <w:pStyle w:val="TextoNormalNegritaCursivandice"/>
      </w:pPr>
      <w:r>
        <w:t>Ley Foral del Parlamento de Navarra 33/2013, de 26 de noviembre. Reconocimiento y reparación moral de las ciudadanas y ciudadanos navarros asesinados y víctimas de la represión a raíz del golpe militar de 1936</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90" w:history="1">
        <w:r w:rsidRPr="0057104C">
          <w:rPr>
            <w:rStyle w:val="TextoNormalCaracter"/>
          </w:rPr>
          <w:t>90/2016</w:t>
        </w:r>
      </w:hyperlink>
      <w:r>
        <w:t>, f. 5.</w:t>
      </w:r>
    </w:p>
    <w:p w:rsidR="0057104C" w:rsidRDefault="0057104C" w:rsidP="0057104C">
      <w:pPr>
        <w:pStyle w:val="SangriaFrancesaArticulo"/>
      </w:pPr>
    </w:p>
    <w:p w:rsidR="0057104C" w:rsidRDefault="0057104C" w:rsidP="0057104C">
      <w:pPr>
        <w:pStyle w:val="TextoNormalNegritaCursivandice"/>
      </w:pPr>
      <w:r>
        <w:t>Ley Foral 15/2015, de 10 de abril. Modifica la Ley Foral 8/2007, de 23 de marzo, de las policías de Navarra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Autos </w:t>
      </w:r>
      <w:hyperlink w:anchor="AUTO_2016_89" w:history="1">
        <w:r w:rsidRPr="0057104C">
          <w:rPr>
            <w:rStyle w:val="TextoNormalCaracter"/>
          </w:rPr>
          <w:t>89/2016</w:t>
        </w:r>
      </w:hyperlink>
      <w:r>
        <w:t xml:space="preserve">, ff. 1 a 3, 5, 7; </w:t>
      </w:r>
      <w:hyperlink w:anchor="AUTO_2016_90" w:history="1">
        <w:r w:rsidRPr="0057104C">
          <w:rPr>
            <w:rStyle w:val="TextoNormalCaracter"/>
          </w:rPr>
          <w:t>90/2016</w:t>
        </w:r>
      </w:hyperlink>
      <w:r>
        <w:t>, f. 5.</w:t>
      </w:r>
    </w:p>
    <w:p w:rsidR="0057104C" w:rsidRDefault="0057104C" w:rsidP="0057104C">
      <w:pPr>
        <w:pStyle w:val="SangriaFrancesaArticulo"/>
      </w:pPr>
      <w:r w:rsidRPr="0057104C">
        <w:rPr>
          <w:rStyle w:val="TextoNormalNegritaCaracter"/>
        </w:rPr>
        <w:t>Artículo único, apartado 3.</w:t>
      </w:r>
      <w:r w:rsidRPr="0057104C">
        <w:rPr>
          <w:rStyle w:val="TextoNormalCaracter"/>
        </w:rPr>
        <w:t>-</w:t>
      </w:r>
      <w:r>
        <w:t xml:space="preserve"> Auto </w:t>
      </w:r>
      <w:hyperlink w:anchor="AUTO_2016_89" w:history="1">
        <w:r w:rsidRPr="0057104C">
          <w:rPr>
            <w:rStyle w:val="TextoNormalCaracter"/>
          </w:rPr>
          <w:t>89/2016</w:t>
        </w:r>
      </w:hyperlink>
      <w:r>
        <w:t>, ff. 1, 3.</w:t>
      </w:r>
    </w:p>
    <w:p w:rsidR="0057104C" w:rsidRDefault="0057104C" w:rsidP="0057104C">
      <w:pPr>
        <w:pStyle w:val="SangriaFrancesaArticulo"/>
      </w:pPr>
      <w:r w:rsidRPr="0057104C">
        <w:rPr>
          <w:rStyle w:val="TextoNormalNegritaCaracter"/>
        </w:rPr>
        <w:t>Artículo único, apartado 20.</w:t>
      </w:r>
      <w:r w:rsidRPr="0057104C">
        <w:rPr>
          <w:rStyle w:val="TextoNormalCaracter"/>
        </w:rPr>
        <w:t>-</w:t>
      </w:r>
      <w:r>
        <w:t xml:space="preserve"> Auto </w:t>
      </w:r>
      <w:hyperlink w:anchor="AUTO_2016_89" w:history="1">
        <w:r w:rsidRPr="0057104C">
          <w:rPr>
            <w:rStyle w:val="TextoNormalCaracter"/>
          </w:rPr>
          <w:t>89/2016</w:t>
        </w:r>
      </w:hyperlink>
      <w:r>
        <w:t>, ff. 1, 5.</w:t>
      </w:r>
    </w:p>
    <w:p w:rsidR="0057104C" w:rsidRDefault="0057104C" w:rsidP="0057104C">
      <w:pPr>
        <w:pStyle w:val="SangriaFrancesaArticulo"/>
      </w:pPr>
      <w:r w:rsidRPr="0057104C">
        <w:rPr>
          <w:rStyle w:val="TextoNormalNegritaCaracter"/>
        </w:rPr>
        <w:t>Artículo único, apartado 21.</w:t>
      </w:r>
      <w:r w:rsidRPr="0057104C">
        <w:rPr>
          <w:rStyle w:val="TextoNormalCaracter"/>
        </w:rPr>
        <w:t>-</w:t>
      </w:r>
      <w:r>
        <w:t xml:space="preserve"> Auto </w:t>
      </w:r>
      <w:hyperlink w:anchor="AUTO_2016_89" w:history="1">
        <w:r w:rsidRPr="0057104C">
          <w:rPr>
            <w:rStyle w:val="TextoNormalCaracter"/>
          </w:rPr>
          <w:t>89/2016</w:t>
        </w:r>
      </w:hyperlink>
      <w:r>
        <w:t>, f. 1.</w:t>
      </w:r>
    </w:p>
    <w:p w:rsidR="0057104C" w:rsidRDefault="0057104C" w:rsidP="0057104C">
      <w:pPr>
        <w:pStyle w:val="SangriaFrancesaArticulo"/>
      </w:pPr>
      <w:r w:rsidRPr="0057104C">
        <w:rPr>
          <w:rStyle w:val="TextoNormalNegritaCaracter"/>
        </w:rPr>
        <w:t>Artículo único, apartado 34.</w:t>
      </w:r>
      <w:r w:rsidRPr="0057104C">
        <w:rPr>
          <w:rStyle w:val="TextoNormalCaracter"/>
        </w:rPr>
        <w:t>-</w:t>
      </w:r>
      <w:r>
        <w:t xml:space="preserve"> Auto </w:t>
      </w:r>
      <w:hyperlink w:anchor="AUTO_2016_89" w:history="1">
        <w:r w:rsidRPr="0057104C">
          <w:rPr>
            <w:rStyle w:val="TextoNormalCaracter"/>
          </w:rPr>
          <w:t>89/2016</w:t>
        </w:r>
      </w:hyperlink>
      <w:r>
        <w:t>, ff. 1, 6.</w:t>
      </w:r>
    </w:p>
    <w:p w:rsidR="0057104C" w:rsidRDefault="0057104C" w:rsidP="0057104C">
      <w:pPr>
        <w:pStyle w:val="SangriaFrancesaArticulo"/>
      </w:pPr>
      <w:r w:rsidRPr="0057104C">
        <w:rPr>
          <w:rStyle w:val="TextoNormalNegritaCaracter"/>
        </w:rPr>
        <w:t>Artículo único.</w:t>
      </w:r>
      <w:r w:rsidRPr="0057104C">
        <w:rPr>
          <w:rStyle w:val="TextoNormalCaracter"/>
        </w:rPr>
        <w:t>-</w:t>
      </w:r>
      <w:r>
        <w:t xml:space="preserve"> Auto </w:t>
      </w:r>
      <w:hyperlink w:anchor="AUTO_2016_89" w:history="1">
        <w:r w:rsidRPr="0057104C">
          <w:rPr>
            <w:rStyle w:val="TextoNormalCaracter"/>
          </w:rPr>
          <w:t>89/2016</w:t>
        </w:r>
      </w:hyperlink>
      <w:r>
        <w:t>, f. 1.</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Auto </w:t>
      </w:r>
      <w:hyperlink w:anchor="AUTO_2016_90" w:history="1">
        <w:r w:rsidRPr="0057104C">
          <w:rPr>
            <w:rStyle w:val="TextoNormalCaracter"/>
          </w:rPr>
          <w:t>90/2016</w:t>
        </w:r>
      </w:hyperlink>
      <w:r>
        <w:t>, f. 6.</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Auto </w:t>
      </w:r>
      <w:hyperlink w:anchor="AUTO_2016_89" w:history="1">
        <w:r w:rsidRPr="0057104C">
          <w:rPr>
            <w:rStyle w:val="TextoNormalCaracter"/>
          </w:rPr>
          <w:t>89/2016</w:t>
        </w:r>
      </w:hyperlink>
      <w:r>
        <w:t>, ff. 1, 7.</w:t>
      </w:r>
    </w:p>
    <w:p w:rsidR="0057104C" w:rsidRDefault="0057104C" w:rsidP="0057104C">
      <w:pPr>
        <w:pStyle w:val="SangriaFrancesaArticulo"/>
      </w:pPr>
    </w:p>
    <w:p w:rsidR="0057104C" w:rsidRDefault="0057104C" w:rsidP="0057104C">
      <w:pPr>
        <w:pStyle w:val="TextoNormalNegritaCursivandice"/>
      </w:pPr>
      <w:r>
        <w:t>Ley Foral del Parlamento de Navarra 16/2015, de 10 de abril. Reconocimiento y reparación de las víctimas por actos de motivación política provocados por grupos de extrema derecha o funcionarios públicos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90" w:history="1">
        <w:r w:rsidRPr="0057104C">
          <w:rPr>
            <w:rStyle w:val="TextoNormalCaracter"/>
          </w:rPr>
          <w:t>90/2016</w:t>
        </w:r>
      </w:hyperlink>
      <w:r>
        <w:t>, ff. 1, 3 a 6.</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Auto </w:t>
      </w:r>
      <w:hyperlink w:anchor="AUTO_2016_90" w:history="1">
        <w:r w:rsidRPr="0057104C">
          <w:rPr>
            <w:rStyle w:val="TextoNormalCaracter"/>
          </w:rPr>
          <w:t>90/2016</w:t>
        </w:r>
      </w:hyperlink>
      <w:r>
        <w:t>, ff. 1, 3.</w:t>
      </w:r>
    </w:p>
    <w:p w:rsidR="0057104C" w:rsidRDefault="0057104C" w:rsidP="0057104C">
      <w:pPr>
        <w:pStyle w:val="SangriaFrancesaArticulo"/>
      </w:pPr>
      <w:r w:rsidRPr="0057104C">
        <w:rPr>
          <w:rStyle w:val="TextoNormalNegritaCaracter"/>
        </w:rPr>
        <w:t>Artículo 1.2 a).</w:t>
      </w:r>
      <w:r w:rsidRPr="0057104C">
        <w:rPr>
          <w:rStyle w:val="TextoNormalCaracter"/>
        </w:rPr>
        <w:t>-</w:t>
      </w:r>
      <w:r>
        <w:t xml:space="preserve"> Auto </w:t>
      </w:r>
      <w:hyperlink w:anchor="AUTO_2016_90" w:history="1">
        <w:r w:rsidRPr="0057104C">
          <w:rPr>
            <w:rStyle w:val="TextoNormalCaracter"/>
          </w:rPr>
          <w:t>90/2016</w:t>
        </w:r>
      </w:hyperlink>
      <w:r>
        <w:t>, ff. 5, 6.</w:t>
      </w:r>
    </w:p>
    <w:p w:rsidR="0057104C" w:rsidRDefault="0057104C" w:rsidP="0057104C">
      <w:pPr>
        <w:pStyle w:val="SangriaFrancesaArticulo"/>
      </w:pPr>
      <w:r w:rsidRPr="0057104C">
        <w:rPr>
          <w:rStyle w:val="TextoNormalNegritaCaracter"/>
        </w:rPr>
        <w:t>Artículo 1.2 b).</w:t>
      </w:r>
      <w:r w:rsidRPr="0057104C">
        <w:rPr>
          <w:rStyle w:val="TextoNormalCaracter"/>
        </w:rPr>
        <w:t>-</w:t>
      </w:r>
      <w:r>
        <w:t xml:space="preserve"> Auto </w:t>
      </w:r>
      <w:hyperlink w:anchor="AUTO_2016_90" w:history="1">
        <w:r w:rsidRPr="0057104C">
          <w:rPr>
            <w:rStyle w:val="TextoNormalCaracter"/>
          </w:rPr>
          <w:t>90/2016</w:t>
        </w:r>
      </w:hyperlink>
      <w:r>
        <w:t>, f. 3.</w:t>
      </w:r>
    </w:p>
    <w:p w:rsidR="0057104C" w:rsidRDefault="0057104C" w:rsidP="0057104C">
      <w:pPr>
        <w:pStyle w:val="SangriaFrancesaArticulo"/>
      </w:pPr>
      <w:r w:rsidRPr="0057104C">
        <w:rPr>
          <w:rStyle w:val="TextoNormalNegritaCaracter"/>
        </w:rPr>
        <w:t>Artículo 1.2 c).</w:t>
      </w:r>
      <w:r w:rsidRPr="0057104C">
        <w:rPr>
          <w:rStyle w:val="TextoNormalCaracter"/>
        </w:rPr>
        <w:t>-</w:t>
      </w:r>
      <w:r>
        <w:t xml:space="preserve"> Auto </w:t>
      </w:r>
      <w:hyperlink w:anchor="AUTO_2016_90" w:history="1">
        <w:r w:rsidRPr="0057104C">
          <w:rPr>
            <w:rStyle w:val="TextoNormalCaracter"/>
          </w:rPr>
          <w:t>90/2016</w:t>
        </w:r>
      </w:hyperlink>
      <w:r>
        <w:t>, ff. 5, 6.</w:t>
      </w:r>
    </w:p>
    <w:p w:rsidR="0057104C" w:rsidRDefault="0057104C" w:rsidP="0057104C">
      <w:pPr>
        <w:pStyle w:val="SangriaFrancesaArticulo"/>
      </w:pPr>
      <w:r w:rsidRPr="0057104C">
        <w:rPr>
          <w:rStyle w:val="TextoNormalNegritaCaracter"/>
        </w:rPr>
        <w:t>Artículo 1.2 d).</w:t>
      </w:r>
      <w:r w:rsidRPr="0057104C">
        <w:rPr>
          <w:rStyle w:val="TextoNormalCaracter"/>
        </w:rPr>
        <w:t>-</w:t>
      </w:r>
      <w:r>
        <w:t xml:space="preserve"> Auto </w:t>
      </w:r>
      <w:hyperlink w:anchor="AUTO_2016_90" w:history="1">
        <w:r w:rsidRPr="0057104C">
          <w:rPr>
            <w:rStyle w:val="TextoNormalCaracter"/>
          </w:rPr>
          <w:t>90/2016</w:t>
        </w:r>
      </w:hyperlink>
      <w:r>
        <w:t>, ff. 5, 6.</w:t>
      </w:r>
    </w:p>
    <w:p w:rsidR="0057104C" w:rsidRDefault="0057104C" w:rsidP="0057104C">
      <w:pPr>
        <w:pStyle w:val="SangriaFrancesaArticulo"/>
      </w:pPr>
      <w:r w:rsidRPr="0057104C">
        <w:rPr>
          <w:rStyle w:val="TextoNormalNegritaCaracter"/>
        </w:rPr>
        <w:t>Artículo 1.2 e).</w:t>
      </w:r>
      <w:r w:rsidRPr="0057104C">
        <w:rPr>
          <w:rStyle w:val="TextoNormalCaracter"/>
        </w:rPr>
        <w:t>-</w:t>
      </w:r>
      <w:r>
        <w:t xml:space="preserve"> Auto </w:t>
      </w:r>
      <w:hyperlink w:anchor="AUTO_2016_90" w:history="1">
        <w:r w:rsidRPr="0057104C">
          <w:rPr>
            <w:rStyle w:val="TextoNormalCaracter"/>
          </w:rPr>
          <w:t>90/2016</w:t>
        </w:r>
      </w:hyperlink>
      <w:r>
        <w:t>, f. 3.</w:t>
      </w:r>
    </w:p>
    <w:p w:rsidR="0057104C" w:rsidRDefault="0057104C" w:rsidP="0057104C">
      <w:pPr>
        <w:pStyle w:val="SangriaFrancesaArticulo"/>
      </w:pPr>
      <w:r w:rsidRPr="0057104C">
        <w:rPr>
          <w:rStyle w:val="TextoNormalNegritaCaracter"/>
        </w:rPr>
        <w:t>Artículo 1.2 f).</w:t>
      </w:r>
      <w:r w:rsidRPr="0057104C">
        <w:rPr>
          <w:rStyle w:val="TextoNormalCaracter"/>
        </w:rPr>
        <w:t>-</w:t>
      </w:r>
      <w:r>
        <w:t xml:space="preserve"> Auto </w:t>
      </w:r>
      <w:hyperlink w:anchor="AUTO_2016_90" w:history="1">
        <w:r w:rsidRPr="0057104C">
          <w:rPr>
            <w:rStyle w:val="TextoNormalCaracter"/>
          </w:rPr>
          <w:t>90/2016</w:t>
        </w:r>
      </w:hyperlink>
      <w:r>
        <w:t>, f. 3.</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Auto </w:t>
      </w:r>
      <w:hyperlink w:anchor="AUTO_2016_90" w:history="1">
        <w:r w:rsidRPr="0057104C">
          <w:rPr>
            <w:rStyle w:val="TextoNormalCaracter"/>
          </w:rPr>
          <w:t>90/2016</w:t>
        </w:r>
      </w:hyperlink>
      <w:r>
        <w:t>, ff. 1, 6.</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Auto </w:t>
      </w:r>
      <w:hyperlink w:anchor="AUTO_2016_90" w:history="1">
        <w:r w:rsidRPr="0057104C">
          <w:rPr>
            <w:rStyle w:val="TextoNormalCaracter"/>
          </w:rPr>
          <w:t>90/2016</w:t>
        </w:r>
      </w:hyperlink>
      <w:r>
        <w:t>, ff. 1, 3 a 6.</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Auto </w:t>
      </w:r>
      <w:hyperlink w:anchor="AUTO_2016_90" w:history="1">
        <w:r w:rsidRPr="0057104C">
          <w:rPr>
            <w:rStyle w:val="TextoNormalCaracter"/>
          </w:rPr>
          <w:t>90/2016</w:t>
        </w:r>
      </w:hyperlink>
      <w:r>
        <w:t>, f. 5.</w:t>
      </w:r>
    </w:p>
    <w:p w:rsidR="0057104C" w:rsidRDefault="0057104C" w:rsidP="0057104C">
      <w:pPr>
        <w:pStyle w:val="SangriaFrancesaArticulo"/>
      </w:pPr>
      <w:r w:rsidRPr="0057104C">
        <w:rPr>
          <w:rStyle w:val="TextoNormalNegritaCaracter"/>
        </w:rPr>
        <w:t>Artículo 3.6.</w:t>
      </w:r>
      <w:r w:rsidRPr="0057104C">
        <w:rPr>
          <w:rStyle w:val="TextoNormalCaracter"/>
        </w:rPr>
        <w:t>-</w:t>
      </w:r>
      <w:r>
        <w:t xml:space="preserve"> Auto </w:t>
      </w:r>
      <w:hyperlink w:anchor="AUTO_2016_90" w:history="1">
        <w:r w:rsidRPr="0057104C">
          <w:rPr>
            <w:rStyle w:val="TextoNormalCaracter"/>
          </w:rPr>
          <w:t>90/2016</w:t>
        </w:r>
      </w:hyperlink>
      <w:r>
        <w:t>, ff. 5, 6.</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Auto </w:t>
      </w:r>
      <w:hyperlink w:anchor="AUTO_2016_90" w:history="1">
        <w:r w:rsidRPr="0057104C">
          <w:rPr>
            <w:rStyle w:val="TextoNormalCaracter"/>
          </w:rPr>
          <w:t>90/2016</w:t>
        </w:r>
      </w:hyperlink>
      <w:r>
        <w:t>, ff. 1, 5, 6.</w:t>
      </w:r>
    </w:p>
    <w:p w:rsidR="0057104C" w:rsidRDefault="0057104C" w:rsidP="0057104C">
      <w:pPr>
        <w:pStyle w:val="SangriaFrancesaArticulo"/>
      </w:pPr>
      <w:r w:rsidRPr="0057104C">
        <w:rPr>
          <w:rStyle w:val="TextoNormalNegritaCaracter"/>
        </w:rPr>
        <w:t>Artículo 4.3.</w:t>
      </w:r>
      <w:r w:rsidRPr="0057104C">
        <w:rPr>
          <w:rStyle w:val="TextoNormalCaracter"/>
        </w:rPr>
        <w:t>-</w:t>
      </w:r>
      <w:r>
        <w:t xml:space="preserve"> Auto </w:t>
      </w:r>
      <w:hyperlink w:anchor="AUTO_2016_90" w:history="1">
        <w:r w:rsidRPr="0057104C">
          <w:rPr>
            <w:rStyle w:val="TextoNormalCaracter"/>
          </w:rPr>
          <w:t>90/2016</w:t>
        </w:r>
      </w:hyperlink>
      <w:r>
        <w:t>, f. 1.</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Auto </w:t>
      </w:r>
      <w:hyperlink w:anchor="AUTO_2016_90" w:history="1">
        <w:r w:rsidRPr="0057104C">
          <w:rPr>
            <w:rStyle w:val="TextoNormalCaracter"/>
          </w:rPr>
          <w:t>90/2016</w:t>
        </w:r>
      </w:hyperlink>
      <w:r>
        <w:t>, ff. 1, 6.</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Auto </w:t>
      </w:r>
      <w:hyperlink w:anchor="AUTO_2016_90" w:history="1">
        <w:r w:rsidRPr="0057104C">
          <w:rPr>
            <w:rStyle w:val="TextoNormalCaracter"/>
          </w:rPr>
          <w:t>90/2016</w:t>
        </w:r>
      </w:hyperlink>
      <w:r>
        <w:t>, ff. 1, 6.</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Auto </w:t>
      </w:r>
      <w:hyperlink w:anchor="AUTO_2016_90" w:history="1">
        <w:r w:rsidRPr="0057104C">
          <w:rPr>
            <w:rStyle w:val="TextoNormalCaracter"/>
          </w:rPr>
          <w:t>90/2016</w:t>
        </w:r>
      </w:hyperlink>
      <w:r>
        <w:t>, ff. 1, 3.</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Auto </w:t>
      </w:r>
      <w:hyperlink w:anchor="AUTO_2016_90" w:history="1">
        <w:r w:rsidRPr="0057104C">
          <w:rPr>
            <w:rStyle w:val="TextoNormalCaracter"/>
          </w:rPr>
          <w:t>90/2016</w:t>
        </w:r>
      </w:hyperlink>
      <w:r>
        <w:t>, ff. 1, 3.</w:t>
      </w:r>
    </w:p>
    <w:p w:rsidR="0057104C" w:rsidRDefault="0057104C" w:rsidP="0057104C">
      <w:pPr>
        <w:pStyle w:val="SangriaFrancesaArticulo"/>
      </w:pPr>
      <w:r w:rsidRPr="0057104C">
        <w:rPr>
          <w:rStyle w:val="TextoNormalNegritaCaracter"/>
        </w:rPr>
        <w:t>Disposición adicional primera.</w:t>
      </w:r>
      <w:r w:rsidRPr="0057104C">
        <w:rPr>
          <w:rStyle w:val="TextoNormalCaracter"/>
        </w:rPr>
        <w:t>-</w:t>
      </w:r>
      <w:r>
        <w:t xml:space="preserve"> Auto </w:t>
      </w:r>
      <w:hyperlink w:anchor="AUTO_2016_90" w:history="1">
        <w:r w:rsidRPr="0057104C">
          <w:rPr>
            <w:rStyle w:val="TextoNormalCaracter"/>
          </w:rPr>
          <w:t>90/2016</w:t>
        </w:r>
      </w:hyperlink>
      <w:r>
        <w:t>, f. 3.</w:t>
      </w:r>
    </w:p>
    <w:p w:rsidR="0057104C" w:rsidRDefault="0057104C" w:rsidP="0057104C">
      <w:pPr>
        <w:pStyle w:val="SangriaFrancesaArticulo"/>
      </w:pPr>
      <w:r w:rsidRPr="0057104C">
        <w:rPr>
          <w:rStyle w:val="TextoNormalNegritaCaracter"/>
        </w:rPr>
        <w:t>Disposición adicional segunda.</w:t>
      </w:r>
      <w:r w:rsidRPr="0057104C">
        <w:rPr>
          <w:rStyle w:val="TextoNormalCaracter"/>
        </w:rPr>
        <w:t>-</w:t>
      </w:r>
      <w:r>
        <w:t xml:space="preserve"> Auto </w:t>
      </w:r>
      <w:hyperlink w:anchor="AUTO_2016_90" w:history="1">
        <w:r w:rsidRPr="0057104C">
          <w:rPr>
            <w:rStyle w:val="TextoNormalCaracter"/>
          </w:rPr>
          <w:t>90/2016</w:t>
        </w:r>
      </w:hyperlink>
      <w:r>
        <w:t>, f. 6.</w:t>
      </w:r>
    </w:p>
    <w:p w:rsidR="0057104C" w:rsidRDefault="0057104C" w:rsidP="0057104C">
      <w:pPr>
        <w:pStyle w:val="SangriaFrancesaArticulo"/>
      </w:pPr>
      <w:r w:rsidRPr="0057104C">
        <w:rPr>
          <w:rStyle w:val="TextoNormalNegritaCaracter"/>
        </w:rPr>
        <w:t>Disposición adicional tercera.</w:t>
      </w:r>
      <w:r w:rsidRPr="0057104C">
        <w:rPr>
          <w:rStyle w:val="TextoNormalCaracter"/>
        </w:rPr>
        <w:t>-</w:t>
      </w:r>
      <w:r>
        <w:t xml:space="preserve"> Auto </w:t>
      </w:r>
      <w:hyperlink w:anchor="AUTO_2016_90" w:history="1">
        <w:r w:rsidRPr="0057104C">
          <w:rPr>
            <w:rStyle w:val="TextoNormalCaracter"/>
          </w:rPr>
          <w:t>90/2016</w:t>
        </w:r>
      </w:hyperlink>
      <w:r>
        <w:t>, f. 6.</w:t>
      </w:r>
    </w:p>
    <w:p w:rsidR="0057104C" w:rsidRDefault="0057104C" w:rsidP="0057104C">
      <w:pPr>
        <w:pStyle w:val="SangriaFrancesaArticulo"/>
      </w:pPr>
      <w:r w:rsidRPr="0057104C">
        <w:rPr>
          <w:rStyle w:val="TextoNormalNegritaCaracter"/>
        </w:rPr>
        <w:t>Disposición adicional cuarta.</w:t>
      </w:r>
      <w:r w:rsidRPr="0057104C">
        <w:rPr>
          <w:rStyle w:val="TextoNormalCaracter"/>
        </w:rPr>
        <w:t>-</w:t>
      </w:r>
      <w:r>
        <w:t xml:space="preserve"> Auto </w:t>
      </w:r>
      <w:hyperlink w:anchor="AUTO_2016_90" w:history="1">
        <w:r w:rsidRPr="0057104C">
          <w:rPr>
            <w:rStyle w:val="TextoNormalCaracter"/>
          </w:rPr>
          <w:t>90/2016</w:t>
        </w:r>
      </w:hyperlink>
      <w:r>
        <w:t>, f. 6.</w:t>
      </w:r>
    </w:p>
    <w:p w:rsidR="0057104C" w:rsidRDefault="0057104C" w:rsidP="0057104C">
      <w:pPr>
        <w:pStyle w:val="SangriaFrancesaArticulo"/>
      </w:pPr>
      <w:r w:rsidRPr="0057104C">
        <w:rPr>
          <w:rStyle w:val="TextoNormalNegritaCaracter"/>
        </w:rPr>
        <w:t>Disposición transitoria única.</w:t>
      </w:r>
      <w:r w:rsidRPr="0057104C">
        <w:rPr>
          <w:rStyle w:val="TextoNormalCaracter"/>
        </w:rPr>
        <w:t>-</w:t>
      </w:r>
      <w:r>
        <w:t xml:space="preserve"> Auto </w:t>
      </w:r>
      <w:hyperlink w:anchor="AUTO_2016_90" w:history="1">
        <w:r w:rsidRPr="0057104C">
          <w:rPr>
            <w:rStyle w:val="TextoNormalCaracter"/>
          </w:rPr>
          <w:t>90/2016</w:t>
        </w:r>
      </w:hyperlink>
      <w:r>
        <w:t>, f. 6.</w:t>
      </w:r>
    </w:p>
    <w:p w:rsidR="0057104C" w:rsidRDefault="0057104C" w:rsidP="0057104C">
      <w:pPr>
        <w:pStyle w:val="SangriaFrancesaArticulo"/>
      </w:pPr>
    </w:p>
    <w:p w:rsidR="0057104C" w:rsidRDefault="0057104C" w:rsidP="0057104C">
      <w:pPr>
        <w:pStyle w:val="TextoNormalNegritaCursivandice"/>
      </w:pPr>
      <w:r>
        <w:t>Ley Foral 25/2015, de 28 de diciembre. Modifica la Ley Foral 15/2015, de 10 de abril, por la que se modifica la Ley Foral 8/2007, de 23 de marzo, de las policías de Navarra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89" w:history="1">
        <w:r w:rsidRPr="0057104C">
          <w:rPr>
            <w:rStyle w:val="TextoNormalCaracter"/>
          </w:rPr>
          <w:t>89/2016</w:t>
        </w:r>
      </w:hyperlink>
      <w:r>
        <w:t>, f. 5.</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J.15) País Vasco</w:t>
      </w:r>
    </w:p>
    <w:p w:rsidR="0057104C" w:rsidRDefault="0057104C" w:rsidP="0057104C">
      <w:pPr>
        <w:pStyle w:val="TextoNormal"/>
      </w:pPr>
    </w:p>
    <w:p w:rsidR="0057104C" w:rsidRDefault="0057104C" w:rsidP="0057104C">
      <w:pPr>
        <w:pStyle w:val="TextoNormalNegritaCentradoSubrayado"/>
        <w:suppressAutoHyphens/>
      </w:pPr>
      <w:r>
        <w:t>J.15.a) Estatuto de Autonomía</w:t>
      </w:r>
    </w:p>
    <w:p w:rsidR="0057104C" w:rsidRDefault="0057104C" w:rsidP="0057104C">
      <w:pPr>
        <w:pStyle w:val="TextoNormalNegritaCentradoSubrayado"/>
      </w:pPr>
    </w:p>
    <w:p w:rsidR="0057104C" w:rsidRDefault="0057104C" w:rsidP="0057104C">
      <w:pPr>
        <w:pStyle w:val="TextoNormalNegritaCursivandice"/>
      </w:pPr>
      <w:r>
        <w:t>Ley Orgánica 3/1979, de 18 de diciembre. Estatuto de Autonomía del País Vasco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118" w:history="1">
        <w:r w:rsidRPr="0057104C">
          <w:rPr>
            <w:rStyle w:val="TextoNormalCaracter"/>
          </w:rPr>
          <w:t>118/2016</w:t>
        </w:r>
      </w:hyperlink>
      <w:r>
        <w:t xml:space="preserve">, f. 3; </w:t>
      </w:r>
      <w:hyperlink w:anchor="SENTENCIA_2016_124" w:history="1">
        <w:r w:rsidRPr="0057104C">
          <w:rPr>
            <w:rStyle w:val="TextoNormalCaracter"/>
          </w:rPr>
          <w:t>124/2016</w:t>
        </w:r>
      </w:hyperlink>
      <w:r>
        <w:t>, f. 2.</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 10.2.</w:t>
      </w:r>
      <w:r w:rsidRPr="0057104C">
        <w:rPr>
          <w:rStyle w:val="TextoNormalCaracter"/>
        </w:rPr>
        <w:t>-</w:t>
      </w:r>
      <w:r>
        <w:t xml:space="preserve"> Sentencia </w:t>
      </w:r>
      <w:hyperlink w:anchor="SENTENCIA_2016_68" w:history="1">
        <w:r w:rsidRPr="0057104C">
          <w:rPr>
            <w:rStyle w:val="TextoNormalCaracter"/>
          </w:rPr>
          <w:t>68/2016</w:t>
        </w:r>
      </w:hyperlink>
      <w:r>
        <w:t>, f. 1.</w:t>
      </w:r>
    </w:p>
    <w:p w:rsidR="0057104C" w:rsidRDefault="0057104C" w:rsidP="0057104C">
      <w:pPr>
        <w:pStyle w:val="SangriaFrancesaArticulo"/>
      </w:pPr>
      <w:r w:rsidRPr="0057104C">
        <w:rPr>
          <w:rStyle w:val="TextoNormalNegritaCaracter"/>
        </w:rPr>
        <w:t>Artículo 10.4.</w:t>
      </w:r>
      <w:r w:rsidRPr="0057104C">
        <w:rPr>
          <w:rStyle w:val="TextoNormalCaracter"/>
        </w:rPr>
        <w:t>-</w:t>
      </w:r>
      <w:r>
        <w:t xml:space="preserve"> Sentencias </w:t>
      </w:r>
      <w:hyperlink w:anchor="SENTENCIA_2016_9" w:history="1">
        <w:r w:rsidRPr="0057104C">
          <w:rPr>
            <w:rStyle w:val="TextoNormalCaracter"/>
          </w:rPr>
          <w:t>9/2016</w:t>
        </w:r>
      </w:hyperlink>
      <w:r>
        <w:t xml:space="preserve">, f. 1; </w:t>
      </w:r>
      <w:hyperlink w:anchor="SENTENCIA_2016_68" w:history="1">
        <w:r w:rsidRPr="0057104C">
          <w:rPr>
            <w:rStyle w:val="TextoNormalCaracter"/>
          </w:rPr>
          <w:t>68/2016</w:t>
        </w:r>
      </w:hyperlink>
      <w:r>
        <w:t>, f. 1.</w:t>
      </w:r>
    </w:p>
    <w:p w:rsidR="0057104C" w:rsidRDefault="0057104C" w:rsidP="0057104C">
      <w:pPr>
        <w:pStyle w:val="SangriaFrancesaArticulo"/>
      </w:pPr>
      <w:r w:rsidRPr="0057104C">
        <w:rPr>
          <w:rStyle w:val="TextoNormalNegritaCaracter"/>
        </w:rPr>
        <w:t>Artículo 10.27.</w:t>
      </w:r>
      <w:r w:rsidRPr="0057104C">
        <w:rPr>
          <w:rStyle w:val="TextoNormalCaracter"/>
        </w:rPr>
        <w:t>-</w:t>
      </w:r>
      <w:r>
        <w:t xml:space="preserve"> Sentencia </w:t>
      </w:r>
      <w:hyperlink w:anchor="SENTENCIA_2016_119" w:history="1">
        <w:r w:rsidRPr="0057104C">
          <w:rPr>
            <w:rStyle w:val="TextoNormalCaracter"/>
          </w:rPr>
          <w:t>119/2016</w:t>
        </w:r>
      </w:hyperlink>
      <w:r>
        <w:t>, ff. 5, 6.</w:t>
      </w:r>
    </w:p>
    <w:p w:rsidR="0057104C" w:rsidRDefault="0057104C" w:rsidP="0057104C">
      <w:pPr>
        <w:pStyle w:val="SangriaFrancesaArticulo"/>
      </w:pPr>
      <w:r w:rsidRPr="0057104C">
        <w:rPr>
          <w:rStyle w:val="TextoNormalNegritaCaracter"/>
        </w:rPr>
        <w:t>Artículo 10.28.</w:t>
      </w:r>
      <w:r w:rsidRPr="0057104C">
        <w:rPr>
          <w:rStyle w:val="TextoNormalCaracter"/>
        </w:rPr>
        <w:t>-</w:t>
      </w:r>
      <w:r>
        <w:t xml:space="preserve"> Sentencia </w:t>
      </w:r>
      <w:hyperlink w:anchor="SENTENCIA_2016_119" w:history="1">
        <w:r w:rsidRPr="0057104C">
          <w:rPr>
            <w:rStyle w:val="TextoNormalCaracter"/>
          </w:rPr>
          <w:t>119/2016</w:t>
        </w:r>
      </w:hyperlink>
      <w:r>
        <w:t>, f. 6.</w:t>
      </w:r>
    </w:p>
    <w:p w:rsidR="0057104C" w:rsidRDefault="0057104C" w:rsidP="0057104C">
      <w:pPr>
        <w:pStyle w:val="SangriaFrancesaArticulo"/>
      </w:pPr>
      <w:r w:rsidRPr="0057104C">
        <w:rPr>
          <w:rStyle w:val="TextoNormalNegritaCaracter"/>
        </w:rPr>
        <w:t>Artículo 10.32.</w:t>
      </w:r>
      <w:r w:rsidRPr="0057104C">
        <w:rPr>
          <w:rStyle w:val="TextoNormalCaracter"/>
        </w:rPr>
        <w:t>-</w:t>
      </w:r>
      <w:r>
        <w:t xml:space="preserve"> Sentencia </w:t>
      </w:r>
      <w:hyperlink w:anchor="SENTENCIA_2016_124" w:history="1">
        <w:r w:rsidRPr="0057104C">
          <w:rPr>
            <w:rStyle w:val="TextoNormalCaracter"/>
          </w:rPr>
          <w:t>124/2016</w:t>
        </w:r>
      </w:hyperlink>
      <w:r>
        <w:t>, ff. 1, 3, 6.</w:t>
      </w:r>
    </w:p>
    <w:p w:rsidR="0057104C" w:rsidRDefault="0057104C" w:rsidP="0057104C">
      <w:pPr>
        <w:pStyle w:val="SangriaFrancesaArticulo"/>
      </w:pPr>
      <w:r w:rsidRPr="0057104C">
        <w:rPr>
          <w:rStyle w:val="TextoNormalNegritaCaracter"/>
        </w:rPr>
        <w:t>Artículo 10.33.</w:t>
      </w:r>
      <w:r w:rsidRPr="0057104C">
        <w:rPr>
          <w:rStyle w:val="TextoNormalCaracter"/>
        </w:rPr>
        <w:t>-</w:t>
      </w:r>
      <w:r>
        <w:t xml:space="preserve"> Sentencia </w:t>
      </w:r>
      <w:hyperlink w:anchor="SENTENCIA_2016_124" w:history="1">
        <w:r w:rsidRPr="0057104C">
          <w:rPr>
            <w:rStyle w:val="TextoNormalCaracter"/>
          </w:rPr>
          <w:t>124/2016</w:t>
        </w:r>
      </w:hyperlink>
      <w:r>
        <w:t>, ff. 1, 3, 6.</w:t>
      </w:r>
    </w:p>
    <w:p w:rsidR="0057104C" w:rsidRDefault="0057104C" w:rsidP="0057104C">
      <w:pPr>
        <w:pStyle w:val="SangriaFrancesaArticulo"/>
      </w:pPr>
      <w:r w:rsidRPr="0057104C">
        <w:rPr>
          <w:rStyle w:val="TextoNormalNegritaCaracter"/>
        </w:rPr>
        <w:t>Artículo 12.9.</w:t>
      </w:r>
      <w:r w:rsidRPr="0057104C">
        <w:rPr>
          <w:rStyle w:val="TextoNormalCaracter"/>
        </w:rPr>
        <w:t>-</w:t>
      </w:r>
      <w:r>
        <w:t xml:space="preserve"> Sentencia </w:t>
      </w:r>
      <w:hyperlink w:anchor="SENTENCIA_2016_124" w:history="1">
        <w:r w:rsidRPr="0057104C">
          <w:rPr>
            <w:rStyle w:val="TextoNormalCaracter"/>
          </w:rPr>
          <w:t>124/2016</w:t>
        </w:r>
      </w:hyperlink>
      <w:r>
        <w:t>, ff. 1, 3.</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68" w:history="1">
        <w:r w:rsidRPr="0057104C">
          <w:rPr>
            <w:rStyle w:val="TextoNormalCaracter"/>
          </w:rPr>
          <w:t>68/2016</w:t>
        </w:r>
      </w:hyperlink>
      <w:r>
        <w:t>, f. 1.</w:t>
      </w:r>
    </w:p>
    <w:p w:rsidR="0057104C" w:rsidRDefault="0057104C" w:rsidP="0057104C">
      <w:pPr>
        <w:pStyle w:val="SangriaFrancesaArticulo"/>
      </w:pPr>
      <w:r w:rsidRPr="0057104C">
        <w:rPr>
          <w:rStyle w:val="TextoNormalNegritaCaracter"/>
        </w:rPr>
        <w:t>Artículo 18.2 a).</w:t>
      </w:r>
      <w:r w:rsidRPr="0057104C">
        <w:rPr>
          <w:rStyle w:val="TextoNormalCaracter"/>
        </w:rPr>
        <w:t>-</w:t>
      </w:r>
      <w:r>
        <w:t xml:space="preserve"> Sentencia </w:t>
      </w:r>
      <w:hyperlink w:anchor="SENTENCIA_2016_21" w:history="1">
        <w:r w:rsidRPr="0057104C">
          <w:rPr>
            <w:rStyle w:val="TextoNormalCaracter"/>
          </w:rPr>
          <w:t>21/2016</w:t>
        </w:r>
      </w:hyperlink>
      <w:r>
        <w:t>, f. 1.</w:t>
      </w:r>
    </w:p>
    <w:p w:rsidR="0057104C" w:rsidRDefault="0057104C" w:rsidP="0057104C">
      <w:pPr>
        <w:pStyle w:val="SangriaFrancesaArticulo"/>
      </w:pPr>
      <w:r w:rsidRPr="0057104C">
        <w:rPr>
          <w:rStyle w:val="TextoNormalNegritaCaracter"/>
        </w:rPr>
        <w:t>Artículo 18.2 b).</w:t>
      </w:r>
      <w:r w:rsidRPr="0057104C">
        <w:rPr>
          <w:rStyle w:val="TextoNormalCaracter"/>
        </w:rPr>
        <w:t>-</w:t>
      </w:r>
      <w:r>
        <w:t xml:space="preserve"> Sentencia </w:t>
      </w:r>
      <w:hyperlink w:anchor="SENTENCIA_2016_21" w:history="1">
        <w:r w:rsidRPr="0057104C">
          <w:rPr>
            <w:rStyle w:val="TextoNormalCaracter"/>
          </w:rPr>
          <w:t>21/2016</w:t>
        </w:r>
      </w:hyperlink>
      <w:r>
        <w:t>, f. 1.</w:t>
      </w:r>
    </w:p>
    <w:p w:rsidR="0057104C" w:rsidRDefault="0057104C" w:rsidP="0057104C">
      <w:pPr>
        <w:pStyle w:val="SangriaFrancesaArticulo"/>
      </w:pPr>
      <w:r w:rsidRPr="0057104C">
        <w:rPr>
          <w:rStyle w:val="TextoNormalNegritaCaracter"/>
        </w:rPr>
        <w:t>Artículo 24.2.</w:t>
      </w:r>
      <w:r w:rsidRPr="0057104C">
        <w:rPr>
          <w:rStyle w:val="TextoNormalCaracter"/>
        </w:rPr>
        <w:t>-</w:t>
      </w:r>
      <w:r>
        <w:t xml:space="preserve"> Sentencia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 25.1.</w:t>
      </w:r>
      <w:r w:rsidRPr="0057104C">
        <w:rPr>
          <w:rStyle w:val="TextoNormalCaracter"/>
        </w:rPr>
        <w:t>-</w:t>
      </w:r>
      <w:r>
        <w:t xml:space="preserve"> Sentencia </w:t>
      </w:r>
      <w:hyperlink w:anchor="SENTENCIA_2016_118" w:history="1">
        <w:r w:rsidRPr="0057104C">
          <w:rPr>
            <w:rStyle w:val="TextoNormalCaracter"/>
          </w:rPr>
          <w:t>118/2016</w:t>
        </w:r>
      </w:hyperlink>
      <w:r>
        <w:t>, ff. 2, 4.</w:t>
      </w:r>
    </w:p>
    <w:p w:rsidR="0057104C" w:rsidRDefault="0057104C" w:rsidP="0057104C">
      <w:pPr>
        <w:pStyle w:val="SangriaFrancesaArticulo"/>
      </w:pPr>
      <w:r w:rsidRPr="0057104C">
        <w:rPr>
          <w:rStyle w:val="TextoNormalNegritaCaracter"/>
        </w:rPr>
        <w:t>Artículo 37.</w:t>
      </w:r>
      <w:r w:rsidRPr="0057104C">
        <w:rPr>
          <w:rStyle w:val="TextoNormalCaracter"/>
        </w:rPr>
        <w:t>-</w:t>
      </w:r>
      <w:r>
        <w:t xml:space="preserve"> Sentencia </w:t>
      </w:r>
      <w:hyperlink w:anchor="SENTENCIA_2016_118" w:history="1">
        <w:r w:rsidRPr="0057104C">
          <w:rPr>
            <w:rStyle w:val="TextoNormalCaracter"/>
          </w:rPr>
          <w:t>118/2016</w:t>
        </w:r>
      </w:hyperlink>
      <w:r>
        <w:t>, ff. 2, 3.</w:t>
      </w:r>
    </w:p>
    <w:p w:rsidR="0057104C" w:rsidRDefault="0057104C" w:rsidP="0057104C">
      <w:pPr>
        <w:pStyle w:val="SangriaFrancesaArticulo"/>
      </w:pPr>
      <w:r w:rsidRPr="0057104C">
        <w:rPr>
          <w:rStyle w:val="TextoNormalNegritaCaracter"/>
        </w:rPr>
        <w:t>Artículo 37.1.</w:t>
      </w:r>
      <w:r w:rsidRPr="0057104C">
        <w:rPr>
          <w:rStyle w:val="TextoNormalCaracter"/>
        </w:rPr>
        <w:t>-</w:t>
      </w:r>
      <w:r>
        <w:t xml:space="preserve"> Sentencia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 37.3.</w:t>
      </w:r>
      <w:r w:rsidRPr="0057104C">
        <w:rPr>
          <w:rStyle w:val="TextoNormalCaracter"/>
        </w:rPr>
        <w:t>-</w:t>
      </w:r>
      <w:r>
        <w:t xml:space="preserve"> Sentencia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 38.</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38.1.</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38.3.</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SangriaFrancesaArticulo"/>
      </w:pPr>
      <w:r w:rsidRPr="0057104C">
        <w:rPr>
          <w:rStyle w:val="TextoNormalNegritaCaracter"/>
        </w:rPr>
        <w:t>Artículo 41.1.</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41.2.</w:t>
      </w:r>
      <w:r w:rsidRPr="0057104C">
        <w:rPr>
          <w:rStyle w:val="TextoNormalCaracter"/>
        </w:rPr>
        <w:t>-</w:t>
      </w:r>
      <w:r>
        <w:t xml:space="preserve"> Sentencia </w:t>
      </w:r>
      <w:hyperlink w:anchor="SENTENCIA_2016_118" w:history="1">
        <w:r w:rsidRPr="0057104C">
          <w:rPr>
            <w:rStyle w:val="TextoNormalCaracter"/>
          </w:rPr>
          <w:t>118/2016</w:t>
        </w:r>
      </w:hyperlink>
      <w:r>
        <w:t>, ff. 2, 4.</w:t>
      </w:r>
    </w:p>
    <w:p w:rsidR="0057104C" w:rsidRDefault="0057104C" w:rsidP="0057104C">
      <w:pPr>
        <w:pStyle w:val="SangriaFrancesaArticulo"/>
      </w:pPr>
      <w:r w:rsidRPr="0057104C">
        <w:rPr>
          <w:rStyle w:val="TextoNormalNegritaCaracter"/>
        </w:rPr>
        <w:t>Artículo 41.2 a).</w:t>
      </w:r>
      <w:r w:rsidRPr="0057104C">
        <w:rPr>
          <w:rStyle w:val="TextoNormalCaracter"/>
        </w:rPr>
        <w:t>-</w:t>
      </w:r>
      <w:r>
        <w:t xml:space="preserve"> Sentencia </w:t>
      </w:r>
      <w:hyperlink w:anchor="SENTENCIA_2016_118" w:history="1">
        <w:r w:rsidRPr="0057104C">
          <w:rPr>
            <w:rStyle w:val="TextoNormalCaracter"/>
          </w:rPr>
          <w:t>118/2016</w:t>
        </w:r>
      </w:hyperlink>
      <w:r>
        <w:t>, ff. 2, 3.</w:t>
      </w:r>
    </w:p>
    <w:p w:rsidR="0057104C" w:rsidRDefault="0057104C" w:rsidP="0057104C">
      <w:pPr>
        <w:pStyle w:val="SangriaFrancesaArticulo"/>
      </w:pPr>
      <w:r w:rsidRPr="0057104C">
        <w:rPr>
          <w:rStyle w:val="TextoNormalNegritaCaracter"/>
        </w:rPr>
        <w:t>Artículo 41.2 c).</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Disposición transitoria quinta.</w:t>
      </w:r>
      <w:r w:rsidRPr="0057104C">
        <w:rPr>
          <w:rStyle w:val="TextoNormalCaracter"/>
        </w:rPr>
        <w:t>-</w:t>
      </w:r>
      <w:r>
        <w:t xml:space="preserve"> Sentencia </w:t>
      </w:r>
      <w:hyperlink w:anchor="SENTENCIA_2016_21" w:history="1">
        <w:r w:rsidRPr="0057104C">
          <w:rPr>
            <w:rStyle w:val="TextoNormalCaracter"/>
          </w:rPr>
          <w:t>21/2016</w:t>
        </w:r>
      </w:hyperlink>
      <w:r>
        <w:t>, f. 1.</w:t>
      </w:r>
    </w:p>
    <w:p w:rsidR="0057104C" w:rsidRDefault="0057104C" w:rsidP="0057104C">
      <w:pPr>
        <w:pStyle w:val="TextoNormal"/>
      </w:pPr>
    </w:p>
    <w:p w:rsidR="0057104C" w:rsidRDefault="0057104C" w:rsidP="0057104C">
      <w:pPr>
        <w:pStyle w:val="TextoNormalNegritaCentradoSubrayado"/>
        <w:suppressAutoHyphens/>
      </w:pPr>
      <w:r>
        <w:t>J.15.b)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del Parlamento Vasco 27/1983, de 25 de noviembre. Relaciones entre las instituciones comunes de la Comunidad Autónoma y los órganos forales de sus territorios históricos</w:t>
      </w:r>
    </w:p>
    <w:p w:rsidR="0057104C" w:rsidRDefault="0057104C" w:rsidP="0057104C">
      <w:pPr>
        <w:pStyle w:val="SangriaFrancesaArticulo"/>
      </w:pPr>
      <w:r w:rsidRPr="0057104C">
        <w:rPr>
          <w:rStyle w:val="TextoNormalNegritaCaracter"/>
        </w:rPr>
        <w:t>Exposición de motivos, párrafo 7.</w:t>
      </w:r>
      <w:r w:rsidRPr="0057104C">
        <w:rPr>
          <w:rStyle w:val="TextoNormalCaracter"/>
        </w:rPr>
        <w:t>-</w:t>
      </w:r>
      <w:r>
        <w:t xml:space="preserve"> Sentencia </w:t>
      </w:r>
      <w:hyperlink w:anchor="SENTENCIA_2016_118" w:history="1">
        <w:r w:rsidRPr="0057104C">
          <w:rPr>
            <w:rStyle w:val="TextoNormalCaracter"/>
          </w:rPr>
          <w:t>118/2016</w:t>
        </w:r>
      </w:hyperlink>
      <w:r>
        <w:t>, f. 4.</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6.2.</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7 a) 6.</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8.1 a).</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8.1 b).</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p>
    <w:p w:rsidR="0057104C" w:rsidRDefault="0057104C" w:rsidP="0057104C">
      <w:pPr>
        <w:pStyle w:val="TextoNormalNegritaCursivandice"/>
      </w:pPr>
      <w:r>
        <w:t>Ley del Parlamento Vasco 3/1989, de 30 de mayo.  Armonización, coordinación y colaboración fiscal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8" w:history="1">
        <w:r w:rsidRPr="0057104C">
          <w:rPr>
            <w:rStyle w:val="TextoNormalCaracter"/>
          </w:rPr>
          <w:t>118/2016</w:t>
        </w:r>
      </w:hyperlink>
      <w:r>
        <w:t>, f. 3.</w:t>
      </w:r>
    </w:p>
    <w:p w:rsidR="0057104C" w:rsidRDefault="0057104C" w:rsidP="0057104C">
      <w:pPr>
        <w:pStyle w:val="TextoNormal"/>
      </w:pPr>
    </w:p>
    <w:p w:rsidR="0057104C" w:rsidRDefault="0057104C" w:rsidP="0057104C">
      <w:pPr>
        <w:pStyle w:val="TextoNormalNegritaCentradoSubrayado"/>
        <w:suppressAutoHyphens/>
      </w:pPr>
      <w:r>
        <w:t>J.15.c) Decretos y otras disposiciones reglamentarias</w:t>
      </w:r>
    </w:p>
    <w:p w:rsidR="0057104C" w:rsidRDefault="0057104C" w:rsidP="0057104C">
      <w:pPr>
        <w:pStyle w:val="TextoNormalNegritaCentradoSubrayado"/>
      </w:pPr>
    </w:p>
    <w:p w:rsidR="0057104C" w:rsidRDefault="0057104C" w:rsidP="0057104C">
      <w:pPr>
        <w:pStyle w:val="TextoNormalNegritaCursivandice"/>
      </w:pPr>
      <w:r>
        <w:t>Decreto 202/2004, de 19 de octubre. Se aprueba el Reglamento de sanidad mortuoria de la Comunidad Autónoma del País Vasco</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11" w:history="1">
        <w:r w:rsidRPr="0057104C">
          <w:rPr>
            <w:rStyle w:val="TextoNormalCaracter"/>
          </w:rPr>
          <w:t>11/2016</w:t>
        </w:r>
      </w:hyperlink>
      <w:r>
        <w:t>, f. 5, VPIII.</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11" w:history="1">
        <w:r w:rsidRPr="0057104C">
          <w:rPr>
            <w:rStyle w:val="TextoNormalCaracter"/>
          </w:rPr>
          <w:t>11/2016</w:t>
        </w:r>
      </w:hyperlink>
      <w:r>
        <w:t>, f. 5.</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 </w:t>
      </w:r>
      <w:hyperlink w:anchor="SENTENCIA_2016_11" w:history="1">
        <w:r w:rsidRPr="0057104C">
          <w:rPr>
            <w:rStyle w:val="TextoNormalCaracter"/>
          </w:rPr>
          <w:t>11/2016</w:t>
        </w:r>
      </w:hyperlink>
      <w:r>
        <w:t>, f. 5.</w:t>
      </w:r>
    </w:p>
    <w:p w:rsidR="0057104C" w:rsidRDefault="0057104C" w:rsidP="0057104C">
      <w:pPr>
        <w:pStyle w:val="SangriaFrancesaArticulo"/>
      </w:pPr>
    </w:p>
    <w:p w:rsidR="0057104C" w:rsidRDefault="0057104C" w:rsidP="0057104C">
      <w:pPr>
        <w:pStyle w:val="TextoNormalNegritaCursivandice"/>
      </w:pPr>
      <w:r>
        <w:t>Decreto de la Comunidad Autónoma de Euskadi 33/2005, de 22 de febrero. Horarios comerciales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9" w:history="1">
        <w:r w:rsidRPr="0057104C">
          <w:rPr>
            <w:rStyle w:val="TextoNormalCaracter"/>
          </w:rPr>
          <w:t>119/2016</w:t>
        </w:r>
      </w:hyperlink>
      <w:r>
        <w:t>, f. 5.</w:t>
      </w:r>
    </w:p>
    <w:p w:rsidR="0057104C" w:rsidRDefault="0057104C" w:rsidP="0057104C">
      <w:pPr>
        <w:pStyle w:val="SangriaFrancesaArticulo"/>
      </w:pPr>
    </w:p>
    <w:p w:rsidR="0057104C" w:rsidRDefault="0057104C" w:rsidP="0057104C">
      <w:pPr>
        <w:pStyle w:val="TextoNormalNegritaCursivandice"/>
      </w:pPr>
      <w:r>
        <w:t>Decreto del Gobierno Vasco 114/2012, de 26 de junio. Régimen de las prestaciones sanitarias del Sistema Nacional de Salud en el ámbito de la Comunidad Autónoma de Euskadi</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54" w:history="1">
        <w:r w:rsidRPr="0057104C">
          <w:rPr>
            <w:rStyle w:val="TextoNormalCaracter"/>
          </w:rPr>
          <w:t>54/2016</w:t>
        </w:r>
      </w:hyperlink>
      <w:r>
        <w:t>, f. 4.</w:t>
      </w:r>
    </w:p>
    <w:p w:rsidR="0057104C" w:rsidRDefault="0057104C" w:rsidP="0057104C">
      <w:pPr>
        <w:pStyle w:val="SangriaFrancesaArticulo"/>
      </w:pPr>
    </w:p>
    <w:p w:rsidR="0057104C" w:rsidRDefault="0057104C" w:rsidP="0057104C">
      <w:pPr>
        <w:pStyle w:val="TextoNormalNegritaCursivandice"/>
      </w:pPr>
      <w:r>
        <w:t>Decreto del Gobierno Vasco 173/2013, de 5 de marzo. Se establece la jornada de trabajo anual, para el ejercicio 2013, para el personal funcionario, estatutario y laboral de la Administración de la Comunidad Autónoma de Euskadi</w:t>
      </w:r>
    </w:p>
    <w:p w:rsidR="0057104C" w:rsidRDefault="0057104C" w:rsidP="0057104C">
      <w:pPr>
        <w:pStyle w:val="SangriaFrancesaArticulo"/>
      </w:pPr>
      <w:r w:rsidRPr="0057104C">
        <w:rPr>
          <w:rStyle w:val="TextoNormalNegritaCaracter"/>
        </w:rPr>
        <w:t>Artículo 2.2.</w:t>
      </w:r>
      <w:r w:rsidRPr="0057104C">
        <w:rPr>
          <w:rStyle w:val="TextoNormalCaracter"/>
        </w:rPr>
        <w:t>-</w:t>
      </w:r>
      <w:r>
        <w:t xml:space="preserve"> Sentencia </w:t>
      </w:r>
      <w:hyperlink w:anchor="SENTENCIA_2016_9" w:history="1">
        <w:r w:rsidRPr="0057104C">
          <w:rPr>
            <w:rStyle w:val="TextoNormalCaracter"/>
          </w:rPr>
          <w:t>9/2016</w:t>
        </w:r>
      </w:hyperlink>
      <w:r>
        <w:t>, f. 2.</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J.16) Valencia</w:t>
      </w:r>
    </w:p>
    <w:p w:rsidR="0057104C" w:rsidRDefault="0057104C" w:rsidP="0057104C">
      <w:pPr>
        <w:pStyle w:val="TextoNormal"/>
      </w:pPr>
    </w:p>
    <w:p w:rsidR="0057104C" w:rsidRDefault="0057104C" w:rsidP="0057104C">
      <w:pPr>
        <w:pStyle w:val="TextoNormalNegritaCentradoSubrayado"/>
        <w:suppressAutoHyphens/>
      </w:pPr>
      <w:r>
        <w:t>J.16.a) Estatuto de Autonomía</w:t>
      </w:r>
    </w:p>
    <w:p w:rsidR="0057104C" w:rsidRDefault="0057104C" w:rsidP="0057104C">
      <w:pPr>
        <w:pStyle w:val="TextoNormalNegritaCentradoSubrayado"/>
      </w:pPr>
    </w:p>
    <w:p w:rsidR="0057104C" w:rsidRDefault="0057104C" w:rsidP="0057104C">
      <w:pPr>
        <w:pStyle w:val="TextoNormalNegritaCursivandice"/>
      </w:pPr>
      <w:r>
        <w:t>Ley Orgánica 5/1982, de 1 de julio. Estatuto de Autonomía de la Comunidad Valenciana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2" w:history="1">
        <w:r w:rsidRPr="0057104C">
          <w:rPr>
            <w:rStyle w:val="TextoNormalCaracter"/>
          </w:rPr>
          <w:t>82/2016</w:t>
        </w:r>
      </w:hyperlink>
      <w:r>
        <w:t>, ff. 5, 6, VP.</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82" w:history="1">
        <w:r w:rsidRPr="0057104C">
          <w:rPr>
            <w:rStyle w:val="TextoNormalCaracter"/>
          </w:rPr>
          <w:t>82/2016</w:t>
        </w:r>
      </w:hyperlink>
      <w:r>
        <w:t>, f. 3.</w:t>
      </w:r>
    </w:p>
    <w:p w:rsidR="0057104C" w:rsidRDefault="0057104C" w:rsidP="0057104C">
      <w:pPr>
        <w:pStyle w:val="SangriaFrancesaArticulo"/>
      </w:pPr>
      <w:r w:rsidRPr="0057104C">
        <w:rPr>
          <w:rStyle w:val="TextoNormalNegritaCaracter"/>
        </w:rPr>
        <w:t>Artículo 7.1.</w:t>
      </w:r>
      <w:r w:rsidRPr="0057104C">
        <w:rPr>
          <w:rStyle w:val="TextoNormalCaracter"/>
        </w:rPr>
        <w:t>-</w:t>
      </w:r>
      <w:r>
        <w:t xml:space="preserve"> Sentencia </w:t>
      </w:r>
      <w:hyperlink w:anchor="SENTENCIA_2016_82" w:history="1">
        <w:r w:rsidRPr="0057104C">
          <w:rPr>
            <w:rStyle w:val="TextoNormalCaracter"/>
          </w:rPr>
          <w:t>82/2016</w:t>
        </w:r>
      </w:hyperlink>
      <w:r>
        <w:t>, ff. 3, 4.</w:t>
      </w:r>
    </w:p>
    <w:p w:rsidR="0057104C" w:rsidRDefault="0057104C" w:rsidP="0057104C">
      <w:pPr>
        <w:pStyle w:val="SangriaFrancesaArticulo"/>
      </w:pPr>
      <w:r w:rsidRPr="0057104C">
        <w:rPr>
          <w:rStyle w:val="TextoNormalNegritaCaracter"/>
        </w:rPr>
        <w:t>Artículo 7.1</w:t>
      </w:r>
      <w:r>
        <w:t xml:space="preserve"> (redactado por la Ley Orgánica 1/2006, de 10 de abril)</w:t>
      </w:r>
      <w:r w:rsidRPr="0057104C">
        <w:rPr>
          <w:rStyle w:val="TextoNormalNegritaCaracter"/>
        </w:rPr>
        <w:t>.</w:t>
      </w:r>
      <w:r w:rsidRPr="0057104C">
        <w:rPr>
          <w:rStyle w:val="TextoNormalCaracter"/>
        </w:rPr>
        <w:t>-</w:t>
      </w:r>
      <w:r>
        <w:t xml:space="preserve"> Sentencia </w:t>
      </w:r>
      <w:hyperlink w:anchor="SENTENCIA_2016_110" w:history="1">
        <w:r w:rsidRPr="0057104C">
          <w:rPr>
            <w:rStyle w:val="TextoNormalCaracter"/>
          </w:rPr>
          <w:t>110/2016</w:t>
        </w:r>
      </w:hyperlink>
      <w:r>
        <w:t>, f. 4, VP.</w:t>
      </w:r>
    </w:p>
    <w:p w:rsidR="0057104C" w:rsidRDefault="0057104C" w:rsidP="0057104C">
      <w:pPr>
        <w:pStyle w:val="SangriaFrancesaArticulo"/>
      </w:pPr>
      <w:r w:rsidRPr="0057104C">
        <w:rPr>
          <w:rStyle w:val="TextoNormalNegritaCaracter"/>
        </w:rPr>
        <w:t>Artículo 31.2.</w:t>
      </w:r>
      <w:r w:rsidRPr="0057104C">
        <w:rPr>
          <w:rStyle w:val="TextoNormalCaracter"/>
        </w:rPr>
        <w:t>-</w:t>
      </w:r>
      <w:r>
        <w:t xml:space="preserve"> Sentencias </w:t>
      </w:r>
      <w:hyperlink w:anchor="SENTENCIA_2016_82" w:history="1">
        <w:r w:rsidRPr="0057104C">
          <w:rPr>
            <w:rStyle w:val="TextoNormalCaracter"/>
          </w:rPr>
          <w:t>82/2016</w:t>
        </w:r>
      </w:hyperlink>
      <w:r>
        <w:t xml:space="preserve">, ff. 3, 4; </w:t>
      </w:r>
      <w:hyperlink w:anchor="SENTENCIA_2016_110" w:history="1">
        <w:r w:rsidRPr="0057104C">
          <w:rPr>
            <w:rStyle w:val="TextoNormalCaracter"/>
          </w:rPr>
          <w:t>110/2016</w:t>
        </w:r>
      </w:hyperlink>
      <w:r>
        <w:t>, f. 5.</w:t>
      </w:r>
    </w:p>
    <w:p w:rsidR="0057104C" w:rsidRDefault="0057104C" w:rsidP="0057104C">
      <w:pPr>
        <w:pStyle w:val="SangriaFrancesaArticulo"/>
      </w:pPr>
      <w:r w:rsidRPr="0057104C">
        <w:rPr>
          <w:rStyle w:val="TextoNormalNegritaCaracter"/>
        </w:rPr>
        <w:t>Artículo 49.1.1</w:t>
      </w:r>
      <w:r>
        <w:t xml:space="preserve"> (redactado por la Ley Orgánica 1/2006, de 10 de abril)</w:t>
      </w:r>
      <w:r w:rsidRPr="0057104C">
        <w:rPr>
          <w:rStyle w:val="TextoNormalNegritaCaracter"/>
        </w:rPr>
        <w:t>.</w:t>
      </w:r>
      <w:r w:rsidRPr="0057104C">
        <w:rPr>
          <w:rStyle w:val="TextoNormalCaracter"/>
        </w:rPr>
        <w:t>-</w:t>
      </w:r>
      <w:r>
        <w:t xml:space="preserve"> Sentencia </w:t>
      </w:r>
      <w:hyperlink w:anchor="SENTENCIA_2016_110" w:history="1">
        <w:r w:rsidRPr="0057104C">
          <w:rPr>
            <w:rStyle w:val="TextoNormalCaracter"/>
          </w:rPr>
          <w:t>110/2016</w:t>
        </w:r>
      </w:hyperlink>
      <w:r>
        <w:t>, f. 3.</w:t>
      </w:r>
    </w:p>
    <w:p w:rsidR="0057104C" w:rsidRDefault="0057104C" w:rsidP="0057104C">
      <w:pPr>
        <w:pStyle w:val="SangriaFrancesaArticulo"/>
      </w:pPr>
      <w:r w:rsidRPr="0057104C">
        <w:rPr>
          <w:rStyle w:val="TextoNormalNegritaCaracter"/>
        </w:rPr>
        <w:t>Artículo 49.1.2</w:t>
      </w:r>
      <w:r>
        <w:t xml:space="preserve"> (redactado por la Ley Orgánica 1/2006, de 10 de abril)</w:t>
      </w:r>
      <w:r w:rsidRPr="0057104C">
        <w:rPr>
          <w:rStyle w:val="TextoNormalNegritaCaracter"/>
        </w:rPr>
        <w:t>.</w:t>
      </w:r>
      <w:r w:rsidRPr="0057104C">
        <w:rPr>
          <w:rStyle w:val="TextoNormalCaracter"/>
        </w:rPr>
        <w:t>-</w:t>
      </w:r>
      <w:r>
        <w:t xml:space="preserve"> Sentencias </w:t>
      </w:r>
      <w:hyperlink w:anchor="SENTENCIA_2016_82" w:history="1">
        <w:r w:rsidRPr="0057104C">
          <w:rPr>
            <w:rStyle w:val="TextoNormalCaracter"/>
          </w:rPr>
          <w:t>82/2016</w:t>
        </w:r>
      </w:hyperlink>
      <w:r>
        <w:t xml:space="preserve">, ff. 1, 3; </w:t>
      </w:r>
      <w:hyperlink w:anchor="SENTENCIA_2016_110" w:history="1">
        <w:r w:rsidRPr="0057104C">
          <w:rPr>
            <w:rStyle w:val="TextoNormalCaracter"/>
          </w:rPr>
          <w:t>110/2016</w:t>
        </w:r>
      </w:hyperlink>
      <w:r>
        <w:t>, ff. 1, 3, 4, VP.</w:t>
      </w:r>
    </w:p>
    <w:p w:rsidR="0057104C" w:rsidRDefault="0057104C" w:rsidP="0057104C">
      <w:pPr>
        <w:pStyle w:val="SangriaFrancesaArticulo"/>
      </w:pPr>
      <w:r w:rsidRPr="0057104C">
        <w:rPr>
          <w:rStyle w:val="TextoNormalNegritaCaracter"/>
        </w:rPr>
        <w:t>Artículo 67.</w:t>
      </w:r>
      <w:r w:rsidRPr="0057104C">
        <w:rPr>
          <w:rStyle w:val="TextoNormalCaracter"/>
        </w:rPr>
        <w:t>-</w:t>
      </w:r>
      <w:r>
        <w:t xml:space="preserve"> Sentencia </w:t>
      </w:r>
      <w:hyperlink w:anchor="SENTENCIA_2016_96" w:history="1">
        <w:r w:rsidRPr="0057104C">
          <w:rPr>
            <w:rStyle w:val="TextoNormalCaracter"/>
          </w:rPr>
          <w:t>96/2016</w:t>
        </w:r>
      </w:hyperlink>
      <w:r>
        <w:t>, ff. 4, 8.</w:t>
      </w:r>
    </w:p>
    <w:p w:rsidR="0057104C" w:rsidRDefault="0057104C" w:rsidP="0057104C">
      <w:pPr>
        <w:pStyle w:val="SangriaFrancesaArticulo"/>
      </w:pPr>
      <w:r w:rsidRPr="0057104C">
        <w:rPr>
          <w:rStyle w:val="TextoNormalNegritaCaracter"/>
        </w:rPr>
        <w:t>Disposición transitoria primera.</w:t>
      </w:r>
      <w:r w:rsidRPr="0057104C">
        <w:rPr>
          <w:rStyle w:val="TextoNormalCaracter"/>
        </w:rPr>
        <w:t>-</w:t>
      </w:r>
      <w:r>
        <w:t xml:space="preserve"> Sentencias </w:t>
      </w:r>
      <w:hyperlink w:anchor="SENTENCIA_2016_82" w:history="1">
        <w:r w:rsidRPr="0057104C">
          <w:rPr>
            <w:rStyle w:val="TextoNormalCaracter"/>
          </w:rPr>
          <w:t>82/2016</w:t>
        </w:r>
      </w:hyperlink>
      <w:r>
        <w:t xml:space="preserve">, f. 3; </w:t>
      </w:r>
      <w:hyperlink w:anchor="SENTENCIA_2016_96" w:history="1">
        <w:r w:rsidRPr="0057104C">
          <w:rPr>
            <w:rStyle w:val="TextoNormalCaracter"/>
          </w:rPr>
          <w:t>96/2016</w:t>
        </w:r>
      </w:hyperlink>
      <w:r>
        <w:t>, f. 8.</w:t>
      </w:r>
    </w:p>
    <w:p w:rsidR="0057104C" w:rsidRDefault="0057104C" w:rsidP="0057104C">
      <w:pPr>
        <w:pStyle w:val="SangriaFrancesaArticulo"/>
      </w:pPr>
      <w:r w:rsidRPr="0057104C">
        <w:rPr>
          <w:rStyle w:val="TextoNormalNegritaCaracter"/>
        </w:rPr>
        <w:t>Disposición transitoria tercera</w:t>
      </w:r>
      <w:r>
        <w:t xml:space="preserve"> (redactada por la Ley Orgánica 1/2006, de 10 de abril)</w:t>
      </w:r>
      <w:r w:rsidRPr="0057104C">
        <w:rPr>
          <w:rStyle w:val="TextoNormalNegritaCaracter"/>
        </w:rPr>
        <w:t>.</w:t>
      </w:r>
      <w:r w:rsidRPr="0057104C">
        <w:rPr>
          <w:rStyle w:val="TextoNormalCaracter"/>
        </w:rPr>
        <w:t>-</w:t>
      </w:r>
      <w:r>
        <w:t xml:space="preserve"> Sentencias </w:t>
      </w:r>
      <w:hyperlink w:anchor="SENTENCIA_2016_82" w:history="1">
        <w:r w:rsidRPr="0057104C">
          <w:rPr>
            <w:rStyle w:val="TextoNormalCaracter"/>
          </w:rPr>
          <w:t>82/2016</w:t>
        </w:r>
      </w:hyperlink>
      <w:r>
        <w:t xml:space="preserve">, ff. 1, 3, 4, VP; </w:t>
      </w:r>
      <w:hyperlink w:anchor="SENTENCIA_2016_110" w:history="1">
        <w:r w:rsidRPr="0057104C">
          <w:rPr>
            <w:rStyle w:val="TextoNormalCaracter"/>
          </w:rPr>
          <w:t>110/2016</w:t>
        </w:r>
      </w:hyperlink>
      <w:r>
        <w:t>, ff. 1, 4, VP.</w:t>
      </w:r>
    </w:p>
    <w:p w:rsidR="0057104C" w:rsidRDefault="0057104C" w:rsidP="0057104C">
      <w:pPr>
        <w:pStyle w:val="SangriaFrancesaArticulo"/>
      </w:pPr>
    </w:p>
    <w:p w:rsidR="0057104C" w:rsidRDefault="0057104C" w:rsidP="0057104C">
      <w:pPr>
        <w:pStyle w:val="TextoNormalNegritaCursivandice"/>
      </w:pPr>
      <w:r>
        <w:t>Ley Orgánica 5/1994, de 24 de marzo.  Reforma del Estatuto de Autonomía de la Comunidad Valenciana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82" w:history="1">
        <w:r w:rsidRPr="0057104C">
          <w:rPr>
            <w:rStyle w:val="TextoNormalCaracter"/>
          </w:rPr>
          <w:t>82/2016</w:t>
        </w:r>
      </w:hyperlink>
      <w:r>
        <w:t xml:space="preserve">, f. 3; </w:t>
      </w:r>
      <w:hyperlink w:anchor="SENTENCIA_2016_110" w:history="1">
        <w:r w:rsidRPr="0057104C">
          <w:rPr>
            <w:rStyle w:val="TextoNormalCaracter"/>
          </w:rPr>
          <w:t>110/2016</w:t>
        </w:r>
      </w:hyperlink>
      <w:r>
        <w:t>, f. 4.</w:t>
      </w:r>
    </w:p>
    <w:p w:rsidR="0057104C" w:rsidRDefault="0057104C" w:rsidP="0057104C">
      <w:pPr>
        <w:pStyle w:val="SangriaFrancesaArticulo"/>
      </w:pPr>
      <w:r w:rsidRPr="0057104C">
        <w:rPr>
          <w:rStyle w:val="TextoNormalNegritaCaracter"/>
        </w:rPr>
        <w:t>Artículo único.</w:t>
      </w:r>
      <w:r w:rsidRPr="0057104C">
        <w:rPr>
          <w:rStyle w:val="TextoNormalCaracter"/>
        </w:rPr>
        <w:t>-</w:t>
      </w:r>
      <w:r>
        <w:t xml:space="preserve"> Sentencia </w:t>
      </w:r>
      <w:hyperlink w:anchor="SENTENCIA_2016_82" w:history="1">
        <w:r w:rsidRPr="0057104C">
          <w:rPr>
            <w:rStyle w:val="TextoNormalCaracter"/>
          </w:rPr>
          <w:t>82/2016</w:t>
        </w:r>
      </w:hyperlink>
      <w:r>
        <w:t>, f. 3.</w:t>
      </w:r>
    </w:p>
    <w:p w:rsidR="0057104C" w:rsidRDefault="0057104C" w:rsidP="0057104C">
      <w:pPr>
        <w:pStyle w:val="SangriaFrancesaArticulo"/>
      </w:pPr>
    </w:p>
    <w:p w:rsidR="0057104C" w:rsidRDefault="0057104C" w:rsidP="0057104C">
      <w:pPr>
        <w:pStyle w:val="TextoNormalNegritaCursivandice"/>
      </w:pPr>
      <w:r>
        <w:t>Ley Orgánica 1/2006, de 10 de abril. Reforma de la Ley Orgánica 5/1982, de 1 de julio, de Estatuto de Autonomía de la Comunidad Valenciana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82" w:history="1">
        <w:r w:rsidRPr="0057104C">
          <w:rPr>
            <w:rStyle w:val="TextoNormalCaracter"/>
          </w:rPr>
          <w:t>82/2016</w:t>
        </w:r>
      </w:hyperlink>
      <w:r>
        <w:t xml:space="preserve">, ff. 1, 3, 4, 6, VP; </w:t>
      </w:r>
      <w:hyperlink w:anchor="SENTENCIA_2016_110" w:history="1">
        <w:r w:rsidRPr="0057104C">
          <w:rPr>
            <w:rStyle w:val="TextoNormalCaracter"/>
          </w:rPr>
          <w:t>110/2016</w:t>
        </w:r>
      </w:hyperlink>
      <w:r>
        <w:t>, ff. 1, 3 a 5.</w:t>
      </w:r>
    </w:p>
    <w:p w:rsidR="0057104C" w:rsidRDefault="0057104C" w:rsidP="0057104C">
      <w:pPr>
        <w:pStyle w:val="SangriaFrancesaArticulo"/>
      </w:pPr>
      <w:r w:rsidRPr="0057104C">
        <w:rPr>
          <w:rStyle w:val="TextoNormalNegritaCaracter"/>
        </w:rPr>
        <w:t>Artículo 3.4.</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82" w:history="1">
        <w:r w:rsidRPr="0057104C">
          <w:rPr>
            <w:rStyle w:val="TextoNormalCaracter"/>
          </w:rPr>
          <w:t>82/2016</w:t>
        </w:r>
      </w:hyperlink>
      <w:r>
        <w:t>, VP.</w:t>
      </w:r>
    </w:p>
    <w:p w:rsidR="0057104C" w:rsidRDefault="0057104C" w:rsidP="0057104C">
      <w:pPr>
        <w:pStyle w:val="SangriaFrancesaArticulo"/>
      </w:pPr>
      <w:r w:rsidRPr="0057104C">
        <w:rPr>
          <w:rStyle w:val="TextoNormalNegritaCaracter"/>
        </w:rPr>
        <w:t>Artículo 7.1.</w:t>
      </w:r>
      <w:r w:rsidRPr="0057104C">
        <w:rPr>
          <w:rStyle w:val="TextoNormalCaracter"/>
        </w:rPr>
        <w:t>-</w:t>
      </w:r>
      <w:r>
        <w:t xml:space="preserve"> Sentencia </w:t>
      </w:r>
      <w:hyperlink w:anchor="SENTENCIA_2016_82" w:history="1">
        <w:r w:rsidRPr="0057104C">
          <w:rPr>
            <w:rStyle w:val="TextoNormalCaracter"/>
          </w:rPr>
          <w:t>82/2016</w:t>
        </w:r>
      </w:hyperlink>
      <w:r>
        <w:t>, f. 3, VP.</w:t>
      </w:r>
    </w:p>
    <w:p w:rsidR="0057104C" w:rsidRDefault="0057104C" w:rsidP="0057104C">
      <w:pPr>
        <w:pStyle w:val="SangriaFrancesaArticulo"/>
      </w:pPr>
      <w:r w:rsidRPr="0057104C">
        <w:rPr>
          <w:rStyle w:val="TextoNormalNegritaCaracter"/>
        </w:rPr>
        <w:t>Artículo 7.2.</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10.1.</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49.1.2.</w:t>
      </w:r>
      <w:r w:rsidRPr="0057104C">
        <w:rPr>
          <w:rStyle w:val="TextoNormalCaracter"/>
        </w:rPr>
        <w:t>-</w:t>
      </w:r>
      <w:r>
        <w:t xml:space="preserve"> Sentencia </w:t>
      </w:r>
      <w:hyperlink w:anchor="SENTENCIA_2016_82" w:history="1">
        <w:r w:rsidRPr="0057104C">
          <w:rPr>
            <w:rStyle w:val="TextoNormalCaracter"/>
          </w:rPr>
          <w:t>82/2016</w:t>
        </w:r>
      </w:hyperlink>
      <w:r>
        <w:t>, VP.</w:t>
      </w:r>
    </w:p>
    <w:p w:rsidR="0057104C" w:rsidRDefault="0057104C" w:rsidP="0057104C">
      <w:pPr>
        <w:pStyle w:val="SangriaFrancesaArticulo"/>
      </w:pPr>
      <w:r w:rsidRPr="0057104C">
        <w:rPr>
          <w:rStyle w:val="TextoNormalNegritaCaracter"/>
        </w:rPr>
        <w:t>Disposición transitoria tercera.</w:t>
      </w:r>
      <w:r w:rsidRPr="0057104C">
        <w:rPr>
          <w:rStyle w:val="TextoNormalCaracter"/>
        </w:rPr>
        <w:t>-</w:t>
      </w:r>
      <w:r>
        <w:t xml:space="preserve"> Sentencia </w:t>
      </w:r>
      <w:hyperlink w:anchor="SENTENCIA_2016_82" w:history="1">
        <w:r w:rsidRPr="0057104C">
          <w:rPr>
            <w:rStyle w:val="TextoNormalCaracter"/>
          </w:rPr>
          <w:t>82/2016</w:t>
        </w:r>
      </w:hyperlink>
      <w:r>
        <w:t>, VP.</w:t>
      </w:r>
    </w:p>
    <w:p w:rsidR="0057104C" w:rsidRDefault="0057104C" w:rsidP="0057104C">
      <w:pPr>
        <w:pStyle w:val="TextoNormal"/>
      </w:pPr>
    </w:p>
    <w:p w:rsidR="0057104C" w:rsidRDefault="0057104C" w:rsidP="0057104C">
      <w:pPr>
        <w:pStyle w:val="TextoNormalNegritaCentradoSubrayado"/>
        <w:suppressAutoHyphens/>
      </w:pPr>
      <w:r>
        <w:t>J.16.b) Leyes y disposiciones con fuerza de Ley</w:t>
      </w:r>
    </w:p>
    <w:p w:rsidR="0057104C" w:rsidRDefault="0057104C" w:rsidP="0057104C">
      <w:pPr>
        <w:pStyle w:val="TextoNormalNegritaCentradoSubrayado"/>
      </w:pPr>
    </w:p>
    <w:p w:rsidR="0057104C" w:rsidRDefault="0057104C" w:rsidP="0057104C">
      <w:pPr>
        <w:pStyle w:val="TextoNormalNegritaCursivandice"/>
      </w:pPr>
      <w:r>
        <w:t>Ley de las Cortes Valencianas 1/2001, de 6 abril. Uniones de hecho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0" w:history="1">
        <w:r w:rsidRPr="0057104C">
          <w:rPr>
            <w:rStyle w:val="TextoNormalCaracter"/>
          </w:rPr>
          <w:t>110/2016</w:t>
        </w:r>
      </w:hyperlink>
      <w:r>
        <w:t>, ff. 6, 10.</w:t>
      </w:r>
    </w:p>
    <w:p w:rsidR="0057104C" w:rsidRDefault="0057104C" w:rsidP="0057104C">
      <w:pPr>
        <w:pStyle w:val="SangriaFrancesaArticulo"/>
      </w:pPr>
    </w:p>
    <w:p w:rsidR="0057104C" w:rsidRDefault="0057104C" w:rsidP="0057104C">
      <w:pPr>
        <w:pStyle w:val="TextoNormalNegritaCursivandice"/>
      </w:pPr>
      <w:r>
        <w:t>Ley de las Cortes Valencianas 10/2007, de 20 de marzo. Régimen económico matrimonial valenciano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82" w:history="1">
        <w:r w:rsidRPr="0057104C">
          <w:rPr>
            <w:rStyle w:val="TextoNormalCaracter"/>
          </w:rPr>
          <w:t>82/2016</w:t>
        </w:r>
      </w:hyperlink>
      <w:r>
        <w:t xml:space="preserve">, ff. 1 a 4, 6 a 8, VP; </w:t>
      </w:r>
      <w:hyperlink w:anchor="SENTENCIA_2016_110" w:history="1">
        <w:r w:rsidRPr="0057104C">
          <w:rPr>
            <w:rStyle w:val="TextoNormalCaracter"/>
          </w:rPr>
          <w:t>110/2016</w:t>
        </w:r>
      </w:hyperlink>
      <w:r>
        <w:t>, f. 4, VP.</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82" w:history="1">
        <w:r w:rsidRPr="0057104C">
          <w:rPr>
            <w:rStyle w:val="TextoNormalCaracter"/>
          </w:rPr>
          <w:t>82/2016</w:t>
        </w:r>
      </w:hyperlink>
      <w:r>
        <w:t>, f. 3.</w:t>
      </w:r>
    </w:p>
    <w:p w:rsidR="0057104C" w:rsidRDefault="0057104C" w:rsidP="0057104C">
      <w:pPr>
        <w:pStyle w:val="SangriaFrancesaArticulo"/>
      </w:pPr>
      <w:r w:rsidRPr="0057104C">
        <w:rPr>
          <w:rStyle w:val="TextoNormalNegritaCaracter"/>
        </w:rPr>
        <w:t xml:space="preserve">Preámbulo, párrafo </w:t>
      </w:r>
      <w:r w:rsidRPr="0057104C">
        <w:rPr>
          <w:rStyle w:val="TextoNormalNegritaCursivaCaracter"/>
        </w:rPr>
        <w:t>in fine</w:t>
      </w:r>
      <w:r w:rsidRPr="0057104C">
        <w:rPr>
          <w:rStyle w:val="TextoNormalNegritaCaracter"/>
        </w:rPr>
        <w:t>.</w:t>
      </w:r>
      <w:r w:rsidRPr="0057104C">
        <w:rPr>
          <w:rStyle w:val="TextoNormalCaracter"/>
        </w:rPr>
        <w:t>-</w:t>
      </w:r>
      <w:r>
        <w:t xml:space="preserve"> Sentencia </w:t>
      </w:r>
      <w:hyperlink w:anchor="SENTENCIA_2016_82" w:history="1">
        <w:r w:rsidRPr="0057104C">
          <w:rPr>
            <w:rStyle w:val="TextoNormalCaracter"/>
          </w:rPr>
          <w:t>82/2016</w:t>
        </w:r>
      </w:hyperlink>
      <w:r>
        <w:t>, f. 2.</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82" w:history="1">
        <w:r w:rsidRPr="0057104C">
          <w:rPr>
            <w:rStyle w:val="TextoNormalCaracter"/>
          </w:rPr>
          <w:t>82/2016</w:t>
        </w:r>
      </w:hyperlink>
      <w:r>
        <w:t>, ff. 2, 7.</w:t>
      </w:r>
    </w:p>
    <w:p w:rsidR="0057104C" w:rsidRDefault="0057104C" w:rsidP="0057104C">
      <w:pPr>
        <w:pStyle w:val="SangriaFrancesaArticulo"/>
      </w:pPr>
      <w:r w:rsidRPr="0057104C">
        <w:rPr>
          <w:rStyle w:val="TextoNormalNegritaCaracter"/>
        </w:rPr>
        <w:t>Artículo 15.2.</w:t>
      </w:r>
      <w:r w:rsidRPr="0057104C">
        <w:rPr>
          <w:rStyle w:val="TextoNormalCaracter"/>
        </w:rPr>
        <w:t>-</w:t>
      </w:r>
      <w:r>
        <w:t xml:space="preserve"> Sentencia </w:t>
      </w:r>
      <w:hyperlink w:anchor="SENTENCIA_2016_82" w:history="1">
        <w:r w:rsidRPr="0057104C">
          <w:rPr>
            <w:rStyle w:val="TextoNormalCaracter"/>
          </w:rPr>
          <w:t>82/2016</w:t>
        </w:r>
      </w:hyperlink>
      <w:r>
        <w:t>, f. 2.</w:t>
      </w:r>
    </w:p>
    <w:p w:rsidR="0057104C" w:rsidRDefault="0057104C" w:rsidP="0057104C">
      <w:pPr>
        <w:pStyle w:val="SangriaFrancesaArticulo"/>
      </w:pPr>
      <w:r w:rsidRPr="0057104C">
        <w:rPr>
          <w:rStyle w:val="TextoNormalNegritaCaracter"/>
        </w:rPr>
        <w:t>Artículo 17.2.</w:t>
      </w:r>
      <w:r w:rsidRPr="0057104C">
        <w:rPr>
          <w:rStyle w:val="TextoNormalCaracter"/>
        </w:rPr>
        <w:t>-</w:t>
      </w:r>
      <w:r>
        <w:t xml:space="preserve"> Sentencia </w:t>
      </w:r>
      <w:hyperlink w:anchor="SENTENCIA_2016_82" w:history="1">
        <w:r w:rsidRPr="0057104C">
          <w:rPr>
            <w:rStyle w:val="TextoNormalCaracter"/>
          </w:rPr>
          <w:t>82/2016</w:t>
        </w:r>
      </w:hyperlink>
      <w:r>
        <w:t>, ff. 2, 7.</w:t>
      </w:r>
    </w:p>
    <w:p w:rsidR="0057104C" w:rsidRDefault="0057104C" w:rsidP="0057104C">
      <w:pPr>
        <w:pStyle w:val="SangriaFrancesaArticulo"/>
      </w:pPr>
      <w:r w:rsidRPr="0057104C">
        <w:rPr>
          <w:rStyle w:val="TextoNormalNegritaCaracter"/>
        </w:rPr>
        <w:t>Artículo 27.2.</w:t>
      </w:r>
      <w:r w:rsidRPr="0057104C">
        <w:rPr>
          <w:rStyle w:val="TextoNormalCaracter"/>
        </w:rPr>
        <w:t>-</w:t>
      </w:r>
      <w:r>
        <w:t xml:space="preserve"> Sentencia </w:t>
      </w:r>
      <w:hyperlink w:anchor="SENTENCIA_2016_82" w:history="1">
        <w:r w:rsidRPr="0057104C">
          <w:rPr>
            <w:rStyle w:val="TextoNormalCaracter"/>
          </w:rPr>
          <w:t>82/2016</w:t>
        </w:r>
      </w:hyperlink>
      <w:r>
        <w:t>, ff. 1, 2, 7.</w:t>
      </w:r>
    </w:p>
    <w:p w:rsidR="0057104C" w:rsidRDefault="0057104C" w:rsidP="0057104C">
      <w:pPr>
        <w:pStyle w:val="SangriaFrancesaArticulo"/>
      </w:pPr>
      <w:r w:rsidRPr="0057104C">
        <w:rPr>
          <w:rStyle w:val="TextoNormalNegritaCaracter"/>
        </w:rPr>
        <w:t>Artículo 30.</w:t>
      </w:r>
      <w:r w:rsidRPr="0057104C">
        <w:rPr>
          <w:rStyle w:val="TextoNormalCaracter"/>
        </w:rPr>
        <w:t>-</w:t>
      </w:r>
      <w:r>
        <w:t xml:space="preserve"> Sentencia </w:t>
      </w:r>
      <w:hyperlink w:anchor="SENTENCIA_2016_82" w:history="1">
        <w:r w:rsidRPr="0057104C">
          <w:rPr>
            <w:rStyle w:val="TextoNormalCaracter"/>
          </w:rPr>
          <w:t>82/2016</w:t>
        </w:r>
      </w:hyperlink>
      <w:r>
        <w:t>, ff. 2, 7.</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Sentencia </w:t>
      </w:r>
      <w:hyperlink w:anchor="SENTENCIA_2016_82" w:history="1">
        <w:r w:rsidRPr="0057104C">
          <w:rPr>
            <w:rStyle w:val="TextoNormalCaracter"/>
          </w:rPr>
          <w:t>82/2016</w:t>
        </w:r>
      </w:hyperlink>
      <w:r>
        <w:t>, ff. 2, 7.</w:t>
      </w:r>
    </w:p>
    <w:p w:rsidR="0057104C" w:rsidRDefault="0057104C" w:rsidP="0057104C">
      <w:pPr>
        <w:pStyle w:val="SangriaFrancesaArticulo"/>
      </w:pPr>
      <w:r w:rsidRPr="0057104C">
        <w:rPr>
          <w:rStyle w:val="TextoNormalNegritaCaracter"/>
        </w:rPr>
        <w:t>Artículo 33.1.</w:t>
      </w:r>
      <w:r w:rsidRPr="0057104C">
        <w:rPr>
          <w:rStyle w:val="TextoNormalCaracter"/>
        </w:rPr>
        <w:t>-</w:t>
      </w:r>
      <w:r>
        <w:t xml:space="preserve"> Sentencia </w:t>
      </w:r>
      <w:hyperlink w:anchor="SENTENCIA_2016_82" w:history="1">
        <w:r w:rsidRPr="0057104C">
          <w:rPr>
            <w:rStyle w:val="TextoNormalCaracter"/>
          </w:rPr>
          <w:t>82/2016</w:t>
        </w:r>
      </w:hyperlink>
      <w:r>
        <w:t>, f. 2.</w:t>
      </w:r>
    </w:p>
    <w:p w:rsidR="0057104C" w:rsidRDefault="0057104C" w:rsidP="0057104C">
      <w:pPr>
        <w:pStyle w:val="SangriaFrancesaArticulo"/>
      </w:pPr>
      <w:r w:rsidRPr="0057104C">
        <w:rPr>
          <w:rStyle w:val="TextoNormalNegritaCaracter"/>
        </w:rPr>
        <w:t xml:space="preserve">Artículo 33.1 inciso </w:t>
      </w:r>
      <w:r w:rsidRPr="0057104C">
        <w:rPr>
          <w:rStyle w:val="TextoNormalNegritaCursivaCaracter"/>
        </w:rPr>
        <w:t>in fine</w:t>
      </w:r>
      <w:r w:rsidRPr="0057104C">
        <w:rPr>
          <w:rStyle w:val="TextoNormalNegritaCaracter"/>
        </w:rPr>
        <w:t>.</w:t>
      </w:r>
      <w:r w:rsidRPr="0057104C">
        <w:rPr>
          <w:rStyle w:val="TextoNormalCaracter"/>
        </w:rPr>
        <w:t>-</w:t>
      </w:r>
      <w:r>
        <w:t xml:space="preserve"> Sentencia </w:t>
      </w:r>
      <w:hyperlink w:anchor="SENTENCIA_2016_82" w:history="1">
        <w:r w:rsidRPr="0057104C">
          <w:rPr>
            <w:rStyle w:val="TextoNormalCaracter"/>
          </w:rPr>
          <w:t>82/2016</w:t>
        </w:r>
      </w:hyperlink>
      <w:r>
        <w:t>, f. 2.</w:t>
      </w:r>
    </w:p>
    <w:p w:rsidR="0057104C" w:rsidRDefault="0057104C" w:rsidP="0057104C">
      <w:pPr>
        <w:pStyle w:val="SangriaFrancesaArticulo"/>
      </w:pPr>
      <w:r w:rsidRPr="0057104C">
        <w:rPr>
          <w:rStyle w:val="TextoNormalNegritaCaracter"/>
        </w:rPr>
        <w:t>Artículo 37.</w:t>
      </w:r>
      <w:r w:rsidRPr="0057104C">
        <w:rPr>
          <w:rStyle w:val="TextoNormalCaracter"/>
        </w:rPr>
        <w:t>-</w:t>
      </w:r>
      <w:r>
        <w:t xml:space="preserve"> Sentencia </w:t>
      </w:r>
      <w:hyperlink w:anchor="SENTENCIA_2016_82" w:history="1">
        <w:r w:rsidRPr="0057104C">
          <w:rPr>
            <w:rStyle w:val="TextoNormalCaracter"/>
          </w:rPr>
          <w:t>82/2016</w:t>
        </w:r>
      </w:hyperlink>
      <w:r>
        <w:t>, ff. 2, 7.</w:t>
      </w:r>
    </w:p>
    <w:p w:rsidR="0057104C" w:rsidRDefault="0057104C" w:rsidP="0057104C">
      <w:pPr>
        <w:pStyle w:val="SangriaFrancesaArticulo"/>
      </w:pPr>
      <w:r w:rsidRPr="0057104C">
        <w:rPr>
          <w:rStyle w:val="TextoNormalNegritaCaracter"/>
        </w:rPr>
        <w:t>Artículo 39.</w:t>
      </w:r>
      <w:r w:rsidRPr="0057104C">
        <w:rPr>
          <w:rStyle w:val="TextoNormalCaracter"/>
        </w:rPr>
        <w:t>-</w:t>
      </w:r>
      <w:r>
        <w:t xml:space="preserve"> Sentencia </w:t>
      </w:r>
      <w:hyperlink w:anchor="SENTENCIA_2016_82" w:history="1">
        <w:r w:rsidRPr="0057104C">
          <w:rPr>
            <w:rStyle w:val="TextoNormalCaracter"/>
          </w:rPr>
          <w:t>82/2016</w:t>
        </w:r>
      </w:hyperlink>
      <w:r>
        <w:t>, ff. 1, 2, 7.</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82" w:history="1">
        <w:r w:rsidRPr="0057104C">
          <w:rPr>
            <w:rStyle w:val="TextoNormalCaracter"/>
          </w:rPr>
          <w:t>82/2016</w:t>
        </w:r>
      </w:hyperlink>
      <w:r>
        <w:t>, ff. 2, 7.</w:t>
      </w:r>
    </w:p>
    <w:p w:rsidR="0057104C" w:rsidRDefault="0057104C" w:rsidP="0057104C">
      <w:pPr>
        <w:pStyle w:val="SangriaFrancesaArticulo"/>
      </w:pPr>
      <w:r w:rsidRPr="0057104C">
        <w:rPr>
          <w:rStyle w:val="TextoNormalNegritaCaracter"/>
        </w:rPr>
        <w:t>Artículo 42.2.</w:t>
      </w:r>
      <w:r w:rsidRPr="0057104C">
        <w:rPr>
          <w:rStyle w:val="TextoNormalCaracter"/>
        </w:rPr>
        <w:t>-</w:t>
      </w:r>
      <w:r>
        <w:t xml:space="preserve"> Sentencia </w:t>
      </w:r>
      <w:hyperlink w:anchor="SENTENCIA_2016_82" w:history="1">
        <w:r w:rsidRPr="0057104C">
          <w:rPr>
            <w:rStyle w:val="TextoNormalCaracter"/>
          </w:rPr>
          <w:t>82/2016</w:t>
        </w:r>
      </w:hyperlink>
      <w:r>
        <w:t>, f. 2.</w:t>
      </w:r>
    </w:p>
    <w:p w:rsidR="0057104C" w:rsidRDefault="0057104C" w:rsidP="0057104C">
      <w:pPr>
        <w:pStyle w:val="SangriaFrancesaArticulo"/>
      </w:pPr>
      <w:r w:rsidRPr="0057104C">
        <w:rPr>
          <w:rStyle w:val="TextoNormalNegritaCaracter"/>
        </w:rPr>
        <w:t>Artículo 46.</w:t>
      </w:r>
      <w:r w:rsidRPr="0057104C">
        <w:rPr>
          <w:rStyle w:val="TextoNormalCaracter"/>
        </w:rPr>
        <w:t>-</w:t>
      </w:r>
      <w:r>
        <w:t xml:space="preserve"> Sentencia </w:t>
      </w:r>
      <w:hyperlink w:anchor="SENTENCIA_2016_82" w:history="1">
        <w:r w:rsidRPr="0057104C">
          <w:rPr>
            <w:rStyle w:val="TextoNormalCaracter"/>
          </w:rPr>
          <w:t>82/2016</w:t>
        </w:r>
      </w:hyperlink>
      <w:r>
        <w:t>, ff. 2, 7.</w:t>
      </w:r>
    </w:p>
    <w:p w:rsidR="0057104C" w:rsidRDefault="0057104C" w:rsidP="0057104C">
      <w:pPr>
        <w:pStyle w:val="SangriaFrancesaArticulo"/>
      </w:pPr>
      <w:r w:rsidRPr="0057104C">
        <w:rPr>
          <w:rStyle w:val="TextoNormalNegritaCaracter"/>
        </w:rPr>
        <w:t>Artículo 47.</w:t>
      </w:r>
      <w:r w:rsidRPr="0057104C">
        <w:rPr>
          <w:rStyle w:val="TextoNormalCaracter"/>
        </w:rPr>
        <w:t>-</w:t>
      </w:r>
      <w:r>
        <w:t xml:space="preserve"> Sentencia </w:t>
      </w:r>
      <w:hyperlink w:anchor="SENTENCIA_2016_82" w:history="1">
        <w:r w:rsidRPr="0057104C">
          <w:rPr>
            <w:rStyle w:val="TextoNormalCaracter"/>
          </w:rPr>
          <w:t>82/2016</w:t>
        </w:r>
      </w:hyperlink>
      <w:r>
        <w:t>, ff. 2, 7.</w:t>
      </w:r>
    </w:p>
    <w:p w:rsidR="0057104C" w:rsidRDefault="0057104C" w:rsidP="0057104C">
      <w:pPr>
        <w:pStyle w:val="SangriaFrancesaArticulo"/>
      </w:pPr>
      <w:r w:rsidRPr="0057104C">
        <w:rPr>
          <w:rStyle w:val="TextoNormalNegritaCaracter"/>
        </w:rPr>
        <w:t>Artículo 48.</w:t>
      </w:r>
      <w:r w:rsidRPr="0057104C">
        <w:rPr>
          <w:rStyle w:val="TextoNormalCaracter"/>
        </w:rPr>
        <w:t>-</w:t>
      </w:r>
      <w:r>
        <w:t xml:space="preserve"> Sentencia </w:t>
      </w:r>
      <w:hyperlink w:anchor="SENTENCIA_2016_82" w:history="1">
        <w:r w:rsidRPr="0057104C">
          <w:rPr>
            <w:rStyle w:val="TextoNormalCaracter"/>
          </w:rPr>
          <w:t>82/2016</w:t>
        </w:r>
      </w:hyperlink>
      <w:r>
        <w:t>, ff. 2, 7.</w:t>
      </w:r>
    </w:p>
    <w:p w:rsidR="0057104C" w:rsidRDefault="0057104C" w:rsidP="0057104C">
      <w:pPr>
        <w:pStyle w:val="SangriaFrancesaArticulo"/>
      </w:pPr>
      <w:r w:rsidRPr="0057104C">
        <w:rPr>
          <w:rStyle w:val="TextoNormalNegritaCaracter"/>
        </w:rPr>
        <w:t>Disposición transitoria segunda.</w:t>
      </w:r>
      <w:r w:rsidRPr="0057104C">
        <w:rPr>
          <w:rStyle w:val="TextoNormalCaracter"/>
        </w:rPr>
        <w:t>-</w:t>
      </w:r>
      <w:r>
        <w:t xml:space="preserve"> Sentencia </w:t>
      </w:r>
      <w:hyperlink w:anchor="SENTENCIA_2016_82" w:history="1">
        <w:r w:rsidRPr="0057104C">
          <w:rPr>
            <w:rStyle w:val="TextoNormalCaracter"/>
          </w:rPr>
          <w:t>82/2016</w:t>
        </w:r>
      </w:hyperlink>
      <w:r>
        <w:t>, f. 2.</w:t>
      </w:r>
    </w:p>
    <w:p w:rsidR="0057104C" w:rsidRDefault="0057104C" w:rsidP="0057104C">
      <w:pPr>
        <w:pStyle w:val="SangriaFrancesaArticulo"/>
      </w:pPr>
    </w:p>
    <w:p w:rsidR="0057104C" w:rsidRDefault="0057104C" w:rsidP="0057104C">
      <w:pPr>
        <w:pStyle w:val="TextoNormalNegritaCursivandice"/>
      </w:pPr>
      <w:r>
        <w:t>Ley de las Cortes Valencianas 8/2009, de 4 de noviembre. Modifica la Ley 10/2007, de 20 de marzo, de régimen económico matrimonial valenciano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2" w:history="1">
        <w:r w:rsidRPr="0057104C">
          <w:rPr>
            <w:rStyle w:val="TextoNormalCaracter"/>
          </w:rPr>
          <w:t>82/2016</w:t>
        </w:r>
      </w:hyperlink>
      <w:r>
        <w:t>, f. 2.</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82" w:history="1">
        <w:r w:rsidRPr="0057104C">
          <w:rPr>
            <w:rStyle w:val="TextoNormalCaracter"/>
          </w:rPr>
          <w:t>82/2016</w:t>
        </w:r>
      </w:hyperlink>
      <w:r>
        <w:t>, f. 2.</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82" w:history="1">
        <w:r w:rsidRPr="0057104C">
          <w:rPr>
            <w:rStyle w:val="TextoNormalCaracter"/>
          </w:rPr>
          <w:t>82/2016</w:t>
        </w:r>
      </w:hyperlink>
      <w:r>
        <w:t>, f. 2.</w:t>
      </w:r>
    </w:p>
    <w:p w:rsidR="0057104C" w:rsidRDefault="0057104C" w:rsidP="0057104C">
      <w:pPr>
        <w:pStyle w:val="SangriaFrancesaArticulo"/>
      </w:pPr>
    </w:p>
    <w:p w:rsidR="0057104C" w:rsidRDefault="0057104C" w:rsidP="0057104C">
      <w:pPr>
        <w:pStyle w:val="TextoNormalNegritaCursivandice"/>
      </w:pPr>
      <w:r>
        <w:t>Ley de las Cortes Valencianas 5/2012, de 15 de octubre. Uniones de hecho formalizadas de la Comunidad Valenciana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0" w:history="1">
        <w:r w:rsidRPr="0057104C">
          <w:rPr>
            <w:rStyle w:val="TextoNormalCaracter"/>
          </w:rPr>
          <w:t>110/2016</w:t>
        </w:r>
      </w:hyperlink>
      <w:r>
        <w:t>, ff. 1, 3, 5 a 8, VP.</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110" w:history="1">
        <w:r w:rsidRPr="0057104C">
          <w:rPr>
            <w:rStyle w:val="TextoNormalCaracter"/>
          </w:rPr>
          <w:t>110/2016</w:t>
        </w:r>
      </w:hyperlink>
      <w:r>
        <w:t>, f. 6.</w:t>
      </w:r>
    </w:p>
    <w:p w:rsidR="0057104C" w:rsidRDefault="0057104C" w:rsidP="0057104C">
      <w:pPr>
        <w:pStyle w:val="SangriaFrancesaArticulo"/>
      </w:pPr>
      <w:r w:rsidRPr="0057104C">
        <w:rPr>
          <w:rStyle w:val="TextoNormalNegritaCaracter"/>
        </w:rPr>
        <w:t>Preámbulo, párrafo 1.</w:t>
      </w:r>
      <w:r w:rsidRPr="0057104C">
        <w:rPr>
          <w:rStyle w:val="TextoNormalCaracter"/>
        </w:rPr>
        <w:t>-</w:t>
      </w:r>
      <w:r>
        <w:t xml:space="preserve"> Sentencia </w:t>
      </w:r>
      <w:hyperlink w:anchor="SENTENCIA_2016_110" w:history="1">
        <w:r w:rsidRPr="0057104C">
          <w:rPr>
            <w:rStyle w:val="TextoNormalCaracter"/>
          </w:rPr>
          <w:t>110/2016</w:t>
        </w:r>
      </w:hyperlink>
      <w:r>
        <w:t>, f. 6.</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110" w:history="1">
        <w:r w:rsidRPr="0057104C">
          <w:rPr>
            <w:rStyle w:val="TextoNormalCaracter"/>
          </w:rPr>
          <w:t>110/2016</w:t>
        </w:r>
      </w:hyperlink>
      <w:r>
        <w:t>, f. 3.</w:t>
      </w:r>
    </w:p>
    <w:p w:rsidR="0057104C" w:rsidRDefault="0057104C" w:rsidP="0057104C">
      <w:pPr>
        <w:pStyle w:val="SangriaFrancesaArticulo"/>
      </w:pPr>
      <w:r w:rsidRPr="0057104C">
        <w:rPr>
          <w:rStyle w:val="TextoNormalNegritaCaracter"/>
        </w:rPr>
        <w:t>Artículo 1.1 expresión "los derechos y deberes de quienes son miembros".</w:t>
      </w:r>
      <w:r w:rsidRPr="0057104C">
        <w:rPr>
          <w:rStyle w:val="TextoNormalCaracter"/>
        </w:rPr>
        <w:t>-</w:t>
      </w:r>
      <w:r>
        <w:t xml:space="preserve"> Sentencia </w:t>
      </w:r>
      <w:hyperlink w:anchor="SENTENCIA_2016_110" w:history="1">
        <w:r w:rsidRPr="0057104C">
          <w:rPr>
            <w:rStyle w:val="TextoNormalCaracter"/>
          </w:rPr>
          <w:t>110/2016</w:t>
        </w:r>
      </w:hyperlink>
      <w:r>
        <w:t>.</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2.</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110" w:history="1">
        <w:r w:rsidRPr="0057104C">
          <w:rPr>
            <w:rStyle w:val="TextoNormalCaracter"/>
          </w:rPr>
          <w:t>110/2016</w:t>
        </w:r>
      </w:hyperlink>
      <w:r>
        <w:t>, ff. 3, 7, 8.</w:t>
      </w:r>
    </w:p>
    <w:p w:rsidR="0057104C" w:rsidRDefault="0057104C" w:rsidP="0057104C">
      <w:pPr>
        <w:pStyle w:val="SangriaFrancesaArticulo"/>
      </w:pPr>
      <w:r w:rsidRPr="0057104C">
        <w:rPr>
          <w:rStyle w:val="TextoNormalNegritaCaracter"/>
        </w:rPr>
        <w:t>Artículo 4.</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4.2.</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4.3.</w:t>
      </w:r>
      <w:r w:rsidRPr="0057104C">
        <w:rPr>
          <w:rStyle w:val="TextoNormalCaracter"/>
        </w:rPr>
        <w:t>-</w:t>
      </w:r>
      <w:r>
        <w:t xml:space="preserve"> Sentencia </w:t>
      </w:r>
      <w:hyperlink w:anchor="SENTENCIA_2016_110" w:history="1">
        <w:r w:rsidRPr="0057104C">
          <w:rPr>
            <w:rStyle w:val="TextoNormalCaracter"/>
          </w:rPr>
          <w:t>110/2016</w:t>
        </w:r>
      </w:hyperlink>
      <w:r>
        <w:t>, ff. 3, 7.</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110" w:history="1">
        <w:r w:rsidRPr="0057104C">
          <w:rPr>
            <w:rStyle w:val="TextoNormalCaracter"/>
          </w:rPr>
          <w:t>110/2016</w:t>
        </w:r>
      </w:hyperlink>
      <w:r>
        <w:t>, f. 3.</w:t>
      </w:r>
    </w:p>
    <w:p w:rsidR="0057104C" w:rsidRDefault="0057104C" w:rsidP="0057104C">
      <w:pPr>
        <w:pStyle w:val="SangriaFrancesaArticulo"/>
      </w:pPr>
      <w:r w:rsidRPr="0057104C">
        <w:rPr>
          <w:rStyle w:val="TextoNormalNegritaCaracter"/>
        </w:rPr>
        <w:t>Artículo 5.3.</w:t>
      </w:r>
      <w:r w:rsidRPr="0057104C">
        <w:rPr>
          <w:rStyle w:val="TextoNormalCaracter"/>
        </w:rPr>
        <w:t>-</w:t>
      </w:r>
      <w:r>
        <w:t xml:space="preserve"> Sentencia </w:t>
      </w:r>
      <w:hyperlink w:anchor="SENTENCIA_2016_110" w:history="1">
        <w:r w:rsidRPr="0057104C">
          <w:rPr>
            <w:rStyle w:val="TextoNormalCaracter"/>
          </w:rPr>
          <w:t>110/2016</w:t>
        </w:r>
      </w:hyperlink>
      <w:r>
        <w:t>, f. 3.</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Artículos 6 a 14.</w:t>
      </w:r>
      <w:r w:rsidRPr="0057104C">
        <w:rPr>
          <w:rStyle w:val="TextoNormalCaracter"/>
        </w:rPr>
        <w:t>-</w:t>
      </w:r>
      <w:r>
        <w:t xml:space="preserve"> Sentencia </w:t>
      </w:r>
      <w:hyperlink w:anchor="SENTENCIA_2016_110" w:history="1">
        <w:r w:rsidRPr="0057104C">
          <w:rPr>
            <w:rStyle w:val="TextoNormalCaracter"/>
          </w:rPr>
          <w:t>110/2016</w:t>
        </w:r>
      </w:hyperlink>
      <w:r>
        <w:t>.</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110" w:history="1">
        <w:r w:rsidRPr="0057104C">
          <w:rPr>
            <w:rStyle w:val="TextoNormalCaracter"/>
          </w:rPr>
          <w:t>110/2016</w:t>
        </w:r>
      </w:hyperlink>
      <w:r>
        <w:t>, f. 7.</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Sentencia </w:t>
      </w:r>
      <w:hyperlink w:anchor="SENTENCIA_2016_110" w:history="1">
        <w:r w:rsidRPr="0057104C">
          <w:rPr>
            <w:rStyle w:val="TextoNormalCaracter"/>
          </w:rPr>
          <w:t>110/2016</w:t>
        </w:r>
      </w:hyperlink>
      <w:r>
        <w:t>, ff. 7, 14.</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110" w:history="1">
        <w:r w:rsidRPr="0057104C">
          <w:rPr>
            <w:rStyle w:val="TextoNormalCaracter"/>
          </w:rPr>
          <w:t>110/2016</w:t>
        </w:r>
      </w:hyperlink>
      <w:r>
        <w:t>, ff. 7, 8.</w:t>
      </w:r>
    </w:p>
    <w:p w:rsidR="0057104C" w:rsidRDefault="0057104C" w:rsidP="0057104C">
      <w:pPr>
        <w:pStyle w:val="SangriaFrancesaArticulo"/>
      </w:pPr>
      <w:r w:rsidRPr="0057104C">
        <w:rPr>
          <w:rStyle w:val="TextoNormalNegritaCaracter"/>
        </w:rPr>
        <w:t>Artículo 15.1.</w:t>
      </w:r>
      <w:r w:rsidRPr="0057104C">
        <w:rPr>
          <w:rStyle w:val="TextoNormalCaracter"/>
        </w:rPr>
        <w:t>-</w:t>
      </w:r>
      <w:r>
        <w:t xml:space="preserve"> Sentencia </w:t>
      </w:r>
      <w:hyperlink w:anchor="SENTENCIA_2016_110" w:history="1">
        <w:r w:rsidRPr="0057104C">
          <w:rPr>
            <w:rStyle w:val="TextoNormalCaracter"/>
          </w:rPr>
          <w:t>110/2016</w:t>
        </w:r>
      </w:hyperlink>
      <w:r>
        <w:t>, f. 8.</w:t>
      </w:r>
    </w:p>
    <w:p w:rsidR="0057104C" w:rsidRDefault="0057104C" w:rsidP="0057104C">
      <w:pPr>
        <w:pStyle w:val="SangriaFrancesaArticulo"/>
      </w:pPr>
      <w:r w:rsidRPr="0057104C">
        <w:rPr>
          <w:rStyle w:val="TextoNormalNegritaCaracter"/>
        </w:rPr>
        <w:t>Artículo 15.2.</w:t>
      </w:r>
      <w:r w:rsidRPr="0057104C">
        <w:rPr>
          <w:rStyle w:val="TextoNormalCaracter"/>
        </w:rPr>
        <w:t>-</w:t>
      </w:r>
      <w:r>
        <w:t xml:space="preserve"> Sentencia </w:t>
      </w:r>
      <w:hyperlink w:anchor="SENTENCIA_2016_110" w:history="1">
        <w:r w:rsidRPr="0057104C">
          <w:rPr>
            <w:rStyle w:val="TextoNormalCaracter"/>
          </w:rPr>
          <w:t>110/2016</w:t>
        </w:r>
      </w:hyperlink>
      <w:r>
        <w:t>, f. 8.</w:t>
      </w:r>
    </w:p>
    <w:p w:rsidR="0057104C" w:rsidRDefault="0057104C" w:rsidP="0057104C">
      <w:pPr>
        <w:pStyle w:val="SangriaFrancesaArticulo"/>
      </w:pPr>
      <w:r w:rsidRPr="0057104C">
        <w:rPr>
          <w:rStyle w:val="TextoNormalNegritaCaracter"/>
        </w:rPr>
        <w:t>Disposición adicional única.</w:t>
      </w:r>
      <w:r w:rsidRPr="0057104C">
        <w:rPr>
          <w:rStyle w:val="TextoNormalCaracter"/>
        </w:rPr>
        <w:t>-</w:t>
      </w:r>
      <w:r>
        <w:t xml:space="preserve"> Sentencia </w:t>
      </w:r>
      <w:hyperlink w:anchor="SENTENCIA_2016_110" w:history="1">
        <w:r w:rsidRPr="0057104C">
          <w:rPr>
            <w:rStyle w:val="TextoNormalCaracter"/>
          </w:rPr>
          <w:t>110/2016</w:t>
        </w:r>
      </w:hyperlink>
      <w:r>
        <w:t>, f. 9.</w:t>
      </w:r>
    </w:p>
    <w:p w:rsidR="0057104C" w:rsidRDefault="0057104C" w:rsidP="0057104C">
      <w:pPr>
        <w:pStyle w:val="SangriaFrancesaArticulo"/>
      </w:pPr>
      <w:r w:rsidRPr="0057104C">
        <w:rPr>
          <w:rStyle w:val="TextoNormalNegritaCaracter"/>
        </w:rPr>
        <w:t>Disposición transitoria única.</w:t>
      </w:r>
      <w:r w:rsidRPr="0057104C">
        <w:rPr>
          <w:rStyle w:val="TextoNormalCaracter"/>
        </w:rPr>
        <w:t>-</w:t>
      </w:r>
      <w:r>
        <w:t xml:space="preserve"> Sentencia </w:t>
      </w:r>
      <w:hyperlink w:anchor="SENTENCIA_2016_110" w:history="1">
        <w:r w:rsidRPr="0057104C">
          <w:rPr>
            <w:rStyle w:val="TextoNormalCaracter"/>
          </w:rPr>
          <w:t>110/2016</w:t>
        </w:r>
      </w:hyperlink>
      <w:r>
        <w:t>, f. 9.</w:t>
      </w:r>
    </w:p>
    <w:p w:rsidR="0057104C" w:rsidRDefault="0057104C" w:rsidP="0057104C">
      <w:pPr>
        <w:pStyle w:val="SangriaFrancesaArticulo"/>
      </w:pPr>
      <w:r w:rsidRPr="0057104C">
        <w:rPr>
          <w:rStyle w:val="TextoNormalNegritaCaracter"/>
        </w:rPr>
        <w:t>Disposición final segunda.</w:t>
      </w:r>
      <w:r w:rsidRPr="0057104C">
        <w:rPr>
          <w:rStyle w:val="TextoNormalCaracter"/>
        </w:rPr>
        <w:t>-</w:t>
      </w:r>
      <w:r>
        <w:t xml:space="preserve"> Sentencia </w:t>
      </w:r>
      <w:hyperlink w:anchor="SENTENCIA_2016_110" w:history="1">
        <w:r w:rsidRPr="0057104C">
          <w:rPr>
            <w:rStyle w:val="TextoNormalCaracter"/>
          </w:rPr>
          <w:t>110/2016</w:t>
        </w:r>
      </w:hyperlink>
      <w:r>
        <w:t>, f. 9.</w:t>
      </w:r>
    </w:p>
    <w:p w:rsidR="0057104C" w:rsidRDefault="0057104C" w:rsidP="0057104C">
      <w:pPr>
        <w:pStyle w:val="SangriaFrancesaArticulo"/>
      </w:pPr>
      <w:r w:rsidRPr="0057104C">
        <w:rPr>
          <w:rStyle w:val="TextoNormalNegritaCaracter"/>
        </w:rPr>
        <w:t>Disposición final segunda, apartado 1.</w:t>
      </w:r>
      <w:r w:rsidRPr="0057104C">
        <w:rPr>
          <w:rStyle w:val="TextoNormalCaracter"/>
        </w:rPr>
        <w:t>-</w:t>
      </w:r>
      <w:r>
        <w:t xml:space="preserve"> Sentencia </w:t>
      </w:r>
      <w:hyperlink w:anchor="SENTENCIA_2016_110" w:history="1">
        <w:r w:rsidRPr="0057104C">
          <w:rPr>
            <w:rStyle w:val="TextoNormalCaracter"/>
          </w:rPr>
          <w:t>110/2016</w:t>
        </w:r>
      </w:hyperlink>
      <w:r>
        <w:t>, f. 9.</w:t>
      </w:r>
    </w:p>
    <w:p w:rsidR="0057104C" w:rsidRDefault="0057104C" w:rsidP="0057104C">
      <w:pPr>
        <w:pStyle w:val="SangriaFrancesaArticulo"/>
      </w:pPr>
      <w:r w:rsidRPr="0057104C">
        <w:rPr>
          <w:rStyle w:val="TextoNormalNegritaCaracter"/>
        </w:rPr>
        <w:t>Disposición final segunda, apartado 2.</w:t>
      </w:r>
      <w:r w:rsidRPr="0057104C">
        <w:rPr>
          <w:rStyle w:val="TextoNormalCaracter"/>
        </w:rPr>
        <w:t>-</w:t>
      </w:r>
      <w:r>
        <w:t xml:space="preserve"> Sentencia </w:t>
      </w:r>
      <w:hyperlink w:anchor="SENTENCIA_2016_110" w:history="1">
        <w:r w:rsidRPr="0057104C">
          <w:rPr>
            <w:rStyle w:val="TextoNormalCaracter"/>
          </w:rPr>
          <w:t>110/2016</w:t>
        </w:r>
      </w:hyperlink>
      <w:r>
        <w:t>, f. 3.</w:t>
      </w:r>
    </w:p>
    <w:p w:rsidR="0057104C" w:rsidRDefault="0057104C" w:rsidP="0057104C">
      <w:pPr>
        <w:pStyle w:val="SangriaFrancesaArticulo"/>
      </w:pPr>
    </w:p>
    <w:p w:rsidR="0057104C" w:rsidRDefault="0057104C" w:rsidP="0057104C">
      <w:pPr>
        <w:pStyle w:val="TextoNormalNegritaCursivandice"/>
      </w:pPr>
      <w:r>
        <w:t>Decreto-ley de la Generalitat Valenciana 3/2015, de 24 de julio. Regula el acceso universal a la atención sanitaria en la Comunidad Valenciana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54" w:history="1">
        <w:r w:rsidRPr="0057104C">
          <w:rPr>
            <w:rStyle w:val="TextoNormalCaracter"/>
          </w:rPr>
          <w:t>54/2016</w:t>
        </w:r>
      </w:hyperlink>
      <w:r>
        <w:t>, f. 1.</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Auto </w:t>
      </w:r>
      <w:hyperlink w:anchor="AUTO_2016_54" w:history="1">
        <w:r w:rsidRPr="0057104C">
          <w:rPr>
            <w:rStyle w:val="TextoNormalCaracter"/>
          </w:rPr>
          <w:t>54/2016</w:t>
        </w:r>
      </w:hyperlink>
      <w:r>
        <w:t>, f. 5.</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Auto </w:t>
      </w:r>
      <w:hyperlink w:anchor="AUTO_2016_54" w:history="1">
        <w:r w:rsidRPr="0057104C">
          <w:rPr>
            <w:rStyle w:val="TextoNormalCaracter"/>
          </w:rPr>
          <w:t>54/2016</w:t>
        </w:r>
      </w:hyperlink>
      <w:r>
        <w:t>, f. 7.</w:t>
      </w:r>
    </w:p>
    <w:p w:rsidR="0057104C" w:rsidRDefault="0057104C" w:rsidP="0057104C">
      <w:pPr>
        <w:pStyle w:val="SangriaFrancesaArticulo"/>
      </w:pPr>
      <w:r w:rsidRPr="0057104C">
        <w:rPr>
          <w:rStyle w:val="TextoNormalNegritaCaracter"/>
        </w:rPr>
        <w:t>Artículo 6.</w:t>
      </w:r>
      <w:r w:rsidRPr="0057104C">
        <w:rPr>
          <w:rStyle w:val="TextoNormalCaracter"/>
        </w:rPr>
        <w:t>-</w:t>
      </w:r>
      <w:r>
        <w:t xml:space="preserve"> Auto </w:t>
      </w:r>
      <w:hyperlink w:anchor="AUTO_2016_54" w:history="1">
        <w:r w:rsidRPr="0057104C">
          <w:rPr>
            <w:rStyle w:val="TextoNormalCaracter"/>
          </w:rPr>
          <w:t>54/2016</w:t>
        </w:r>
      </w:hyperlink>
      <w:r>
        <w:t>, f. 5.</w:t>
      </w:r>
    </w:p>
    <w:p w:rsidR="0057104C" w:rsidRDefault="0057104C" w:rsidP="0057104C">
      <w:pPr>
        <w:pStyle w:val="TextoNormal"/>
      </w:pPr>
    </w:p>
    <w:p w:rsidR="0057104C" w:rsidRDefault="0057104C" w:rsidP="0057104C">
      <w:pPr>
        <w:pStyle w:val="SangriaFrancesaArticulo"/>
      </w:pPr>
      <w:bookmarkStart w:id="276" w:name="INDICE22869"/>
    </w:p>
    <w:bookmarkEnd w:id="276"/>
    <w:p w:rsidR="0057104C" w:rsidRDefault="0057104C" w:rsidP="0057104C">
      <w:pPr>
        <w:pStyle w:val="TextoIndiceNivel2"/>
        <w:suppressAutoHyphens/>
      </w:pPr>
      <w:r>
        <w:t>K) Territorios históricos y corporaciones locales</w:t>
      </w:r>
    </w:p>
    <w:p w:rsidR="0057104C" w:rsidRDefault="0057104C" w:rsidP="0057104C">
      <w:pPr>
        <w:pStyle w:val="TextoNormal"/>
      </w:pPr>
    </w:p>
    <w:p w:rsidR="0057104C" w:rsidRDefault="0057104C" w:rsidP="0057104C">
      <w:pPr>
        <w:pStyle w:val="TextoNormalNegritaCentrado"/>
        <w:suppressAutoHyphens/>
      </w:pPr>
      <w:r w:rsidRPr="0057104C">
        <w:rPr>
          <w:rStyle w:val="TextoNormalNegritaCentradoSombreado"/>
        </w:rPr>
        <w:t>K.17) Territorios históricos</w:t>
      </w:r>
    </w:p>
    <w:p w:rsidR="0057104C" w:rsidRDefault="0057104C" w:rsidP="0057104C">
      <w:pPr>
        <w:pStyle w:val="TextoNormal"/>
      </w:pPr>
    </w:p>
    <w:p w:rsidR="0057104C" w:rsidRDefault="0057104C" w:rsidP="0057104C">
      <w:pPr>
        <w:pStyle w:val="TextoNormalNegritaCentradoSubrayado"/>
        <w:suppressAutoHyphens/>
      </w:pPr>
      <w:r>
        <w:t>K.17.1) Araba/Álava</w:t>
      </w:r>
    </w:p>
    <w:p w:rsidR="0057104C" w:rsidRDefault="0057104C" w:rsidP="0057104C">
      <w:pPr>
        <w:pStyle w:val="TextoNormalNegritaCentradoSubrayado"/>
      </w:pPr>
    </w:p>
    <w:p w:rsidR="0057104C" w:rsidRDefault="0057104C" w:rsidP="0057104C">
      <w:pPr>
        <w:pStyle w:val="TextoNormalNegritaCursivandice"/>
      </w:pPr>
      <w:r>
        <w:t>Norma Foral de la Junta General de Álava de 7 de marzo de 1983. Organización institucional del territorio histórico de Álava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TextoNormal"/>
      </w:pPr>
    </w:p>
    <w:p w:rsidR="0057104C" w:rsidRDefault="0057104C" w:rsidP="0057104C">
      <w:pPr>
        <w:pStyle w:val="TextoNormalNegritaCentradoSubrayado"/>
        <w:suppressAutoHyphens/>
      </w:pPr>
      <w:r>
        <w:t>K.17.1) Gipuzkoa</w:t>
      </w:r>
    </w:p>
    <w:p w:rsidR="0057104C" w:rsidRDefault="0057104C" w:rsidP="0057104C">
      <w:pPr>
        <w:pStyle w:val="TextoNormalNegritaCentradoSubrayado"/>
      </w:pPr>
    </w:p>
    <w:p w:rsidR="0057104C" w:rsidRDefault="0057104C" w:rsidP="0057104C">
      <w:pPr>
        <w:pStyle w:val="TextoNormalNegritaCursivandice"/>
      </w:pPr>
      <w:r>
        <w:t>Norma Foral de la Junta General de Gipuzkoa, de 26 de febrero de 1983. Organización institucional del territorio histórico de Gipuzkoa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p>
    <w:p w:rsidR="0057104C" w:rsidRDefault="0057104C" w:rsidP="0057104C">
      <w:pPr>
        <w:pStyle w:val="TextoNormalNegritaCursivandice"/>
      </w:pPr>
      <w:r>
        <w:t>Norma Foral de la Junta General de Gipuzkoa 8/1998, de 24 de diciembre. Impuesto sobre la renta de las personas físicas</w:t>
      </w:r>
    </w:p>
    <w:p w:rsidR="0057104C" w:rsidRDefault="0057104C" w:rsidP="0057104C">
      <w:pPr>
        <w:pStyle w:val="SangriaFrancesaArticulo"/>
      </w:pPr>
      <w:r w:rsidRPr="0057104C">
        <w:rPr>
          <w:rStyle w:val="TextoNormalNegritaCaracter"/>
        </w:rPr>
        <w:t>Artículo 26.2.</w:t>
      </w:r>
      <w:r w:rsidRPr="0057104C">
        <w:rPr>
          <w:rStyle w:val="TextoNormalCaracter"/>
        </w:rPr>
        <w:t>-</w:t>
      </w:r>
      <w:r>
        <w:t xml:space="preserve"> Autos </w:t>
      </w:r>
      <w:hyperlink w:anchor="AUTO_2016_24" w:history="1">
        <w:r w:rsidRPr="0057104C">
          <w:rPr>
            <w:rStyle w:val="TextoNormalCaracter"/>
          </w:rPr>
          <w:t>24/2016</w:t>
        </w:r>
      </w:hyperlink>
      <w:r>
        <w:t xml:space="preserve">, f. 2; </w:t>
      </w:r>
      <w:hyperlink w:anchor="AUTO_2016_44" w:history="1">
        <w:r w:rsidRPr="0057104C">
          <w:rPr>
            <w:rStyle w:val="TextoNormalCaracter"/>
          </w:rPr>
          <w:t>44/2016</w:t>
        </w:r>
      </w:hyperlink>
      <w:r>
        <w:t xml:space="preserve">, f. único; </w:t>
      </w:r>
      <w:hyperlink w:anchor="AUTO_2016_59" w:history="1">
        <w:r w:rsidRPr="0057104C">
          <w:rPr>
            <w:rStyle w:val="TextoNormalCaracter"/>
          </w:rPr>
          <w:t>59/2016</w:t>
        </w:r>
      </w:hyperlink>
      <w:r>
        <w:t>, f. único.</w:t>
      </w:r>
    </w:p>
    <w:p w:rsidR="0057104C" w:rsidRDefault="0057104C" w:rsidP="0057104C">
      <w:pPr>
        <w:pStyle w:val="SangriaFrancesaArticulo"/>
      </w:pPr>
    </w:p>
    <w:p w:rsidR="0057104C" w:rsidRDefault="0057104C" w:rsidP="0057104C">
      <w:pPr>
        <w:pStyle w:val="TextoNormalNegritaCursivandice"/>
      </w:pPr>
      <w:r>
        <w:t>Norma Foral de la Junta General de Gipuzkoa 6/2005, de 12 de julio. Organización institucional, gobierno y administración del territorio histórico de Gipuzkoa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6.1.</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p>
    <w:p w:rsidR="0057104C" w:rsidRDefault="0057104C" w:rsidP="0057104C">
      <w:pPr>
        <w:pStyle w:val="TextoNormalNegritaCursivandice"/>
      </w:pPr>
      <w:r>
        <w:t>Norma Foral de la Junta General de Gipuzkoa 10/2006, de 29 de diciembre. Impuesto sobre la renta de las personas físicas del territorio histórico de Guipúzcoa</w:t>
      </w:r>
    </w:p>
    <w:p w:rsidR="0057104C" w:rsidRDefault="0057104C" w:rsidP="0057104C">
      <w:pPr>
        <w:pStyle w:val="SangriaFrancesaArticulo"/>
      </w:pPr>
      <w:r w:rsidRPr="0057104C">
        <w:rPr>
          <w:rStyle w:val="TextoNormalNegritaCaracter"/>
        </w:rPr>
        <w:t>Artículo 30.2.</w:t>
      </w:r>
      <w:r w:rsidRPr="0057104C">
        <w:rPr>
          <w:rStyle w:val="TextoNormalCaracter"/>
        </w:rPr>
        <w:t>-</w:t>
      </w:r>
      <w:r>
        <w:t xml:space="preserve"> Auto </w:t>
      </w:r>
      <w:hyperlink w:anchor="AUTO_2016_44" w:history="1">
        <w:r w:rsidRPr="0057104C">
          <w:rPr>
            <w:rStyle w:val="TextoNormalCaracter"/>
          </w:rPr>
          <w:t>44/2016</w:t>
        </w:r>
      </w:hyperlink>
      <w:r>
        <w:t>, f. único.</w:t>
      </w:r>
    </w:p>
    <w:p w:rsidR="0057104C" w:rsidRDefault="0057104C" w:rsidP="0057104C">
      <w:pPr>
        <w:pStyle w:val="TextoNormal"/>
      </w:pPr>
    </w:p>
    <w:p w:rsidR="0057104C" w:rsidRDefault="0057104C" w:rsidP="0057104C">
      <w:pPr>
        <w:pStyle w:val="TextoNormalNegritaCentradoSubrayado"/>
        <w:suppressAutoHyphens/>
      </w:pPr>
      <w:r>
        <w:t>K.17.1) Bizkaia</w:t>
      </w:r>
    </w:p>
    <w:p w:rsidR="0057104C" w:rsidRDefault="0057104C" w:rsidP="0057104C">
      <w:pPr>
        <w:pStyle w:val="TextoNormalNegritaCentradoSubrayado"/>
      </w:pPr>
    </w:p>
    <w:p w:rsidR="0057104C" w:rsidRDefault="0057104C" w:rsidP="0057104C">
      <w:pPr>
        <w:pStyle w:val="TextoNormalNegritaCursivandice"/>
      </w:pPr>
      <w:r>
        <w:t>Norma Foral de la Junta General de Vizcaya 3/1987, de 13 de febrero. Elección, organización, régimen y funcionamiento de las instituciones forales del territorio histórico de Vizcaya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SangriaFrancesaArticulo"/>
      </w:pPr>
      <w:r w:rsidRPr="0057104C">
        <w:rPr>
          <w:rStyle w:val="TextoNormalNegritaCaracter"/>
        </w:rPr>
        <w:t>Artículo 5.</w:t>
      </w:r>
      <w:r w:rsidRPr="0057104C">
        <w:rPr>
          <w:rStyle w:val="TextoNormalCaracter"/>
        </w:rPr>
        <w:t>-</w:t>
      </w:r>
      <w:r>
        <w:t xml:space="preserve"> Sentencia </w:t>
      </w:r>
      <w:hyperlink w:anchor="SENTENCIA_2016_118" w:history="1">
        <w:r w:rsidRPr="0057104C">
          <w:rPr>
            <w:rStyle w:val="TextoNormalCaracter"/>
          </w:rPr>
          <w:t>118/2016</w:t>
        </w:r>
      </w:hyperlink>
      <w:r>
        <w:t>, f. 2.</w:t>
      </w:r>
    </w:p>
    <w:p w:rsidR="0057104C" w:rsidRDefault="0057104C" w:rsidP="0057104C">
      <w:pPr>
        <w:pStyle w:val="TextoNormal"/>
      </w:pPr>
    </w:p>
    <w:p w:rsidR="0057104C" w:rsidRDefault="0057104C" w:rsidP="0057104C">
      <w:pPr>
        <w:pStyle w:val="SangriaFrancesaArticulo"/>
      </w:pPr>
      <w:bookmarkStart w:id="277" w:name="INDICE22870"/>
    </w:p>
    <w:bookmarkEnd w:id="277"/>
    <w:p w:rsidR="0057104C" w:rsidRDefault="0057104C" w:rsidP="0057104C">
      <w:pPr>
        <w:pStyle w:val="TextoIndiceNivel2"/>
        <w:suppressAutoHyphens/>
      </w:pPr>
      <w:r>
        <w:t>L) Tratados y acuerdos internacionales</w:t>
      </w:r>
    </w:p>
    <w:p w:rsidR="0057104C" w:rsidRDefault="0057104C" w:rsidP="0057104C">
      <w:pPr>
        <w:pStyle w:val="TextoIndiceNivel2"/>
      </w:pPr>
    </w:p>
    <w:p w:rsidR="0057104C" w:rsidRDefault="0057104C" w:rsidP="0057104C">
      <w:pPr>
        <w:pStyle w:val="TextoNormalNegritaCursivandice"/>
      </w:pPr>
      <w:r>
        <w:t>Convenio de la Organización Internacional del Trabajo (núm. 87), de 9 de julio de 1948. Libertad sindical y protección del derecho de sindicación</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4" w:history="1">
        <w:r w:rsidRPr="0057104C">
          <w:rPr>
            <w:rStyle w:val="TextoNormalCaracter"/>
          </w:rPr>
          <w:t>64/2016</w:t>
        </w:r>
      </w:hyperlink>
      <w:r>
        <w:t>, f. 4.</w:t>
      </w:r>
    </w:p>
    <w:p w:rsidR="0057104C" w:rsidRDefault="0057104C" w:rsidP="0057104C">
      <w:pPr>
        <w:pStyle w:val="SangriaFrancesaArticulo"/>
      </w:pPr>
    </w:p>
    <w:p w:rsidR="0057104C" w:rsidRDefault="0057104C" w:rsidP="0057104C">
      <w:pPr>
        <w:pStyle w:val="TextoNormalNegritaCursivandice"/>
      </w:pPr>
      <w:r>
        <w:t>Convenio de la Organización Internacional del Trabajo (núm. 98), de 1 de julio de 1949. Derecho de sindicación y negociación colectiva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4" w:history="1">
        <w:r w:rsidRPr="0057104C">
          <w:rPr>
            <w:rStyle w:val="TextoNormalCaracter"/>
          </w:rPr>
          <w:t>64/2016</w:t>
        </w:r>
      </w:hyperlink>
      <w:r>
        <w:t>, f. 4.</w:t>
      </w:r>
    </w:p>
    <w:p w:rsidR="0057104C" w:rsidRDefault="0057104C" w:rsidP="0057104C">
      <w:pPr>
        <w:pStyle w:val="SangriaFrancesaArticulo"/>
      </w:pPr>
    </w:p>
    <w:p w:rsidR="0057104C" w:rsidRDefault="0057104C" w:rsidP="0057104C">
      <w:pPr>
        <w:pStyle w:val="TextoNormalNegritaCursivandice"/>
      </w:pPr>
      <w:r>
        <w:t>Convenio de La Haya, de 25 de octubre de 1980. Aspectos civiles de la sustracción internacional de menores. Ratificado por Instrumento de 28 de mayo de 1987</w:t>
      </w:r>
    </w:p>
    <w:p w:rsidR="0057104C" w:rsidRDefault="0057104C" w:rsidP="0057104C">
      <w:pPr>
        <w:pStyle w:val="SangriaFrancesaArticulo"/>
      </w:pPr>
      <w:r w:rsidRPr="0057104C">
        <w:rPr>
          <w:rStyle w:val="TextoNormalNegritaCaracter"/>
        </w:rPr>
        <w:t>Exposición de motivos.</w:t>
      </w:r>
      <w:r w:rsidRPr="0057104C">
        <w:rPr>
          <w:rStyle w:val="TextoNormalCaracter"/>
        </w:rPr>
        <w:t>-</w:t>
      </w:r>
      <w:r>
        <w:t xml:space="preserve"> Sentencia </w:t>
      </w:r>
      <w:hyperlink w:anchor="SENTENCIA_2016_16" w:history="1">
        <w:r w:rsidRPr="0057104C">
          <w:rPr>
            <w:rStyle w:val="TextoNormalCaracter"/>
          </w:rPr>
          <w:t>16/2016</w:t>
        </w:r>
      </w:hyperlink>
      <w:r>
        <w:t>, f. 9.</w:t>
      </w:r>
    </w:p>
    <w:p w:rsidR="0057104C" w:rsidRDefault="0057104C" w:rsidP="0057104C">
      <w:pPr>
        <w:pStyle w:val="SangriaFrancesaArticulo"/>
      </w:pPr>
      <w:r w:rsidRPr="0057104C">
        <w:rPr>
          <w:rStyle w:val="TextoNormalNegritaCaracter"/>
        </w:rPr>
        <w:t>Artículo 1.</w:t>
      </w:r>
      <w:r w:rsidRPr="0057104C">
        <w:rPr>
          <w:rStyle w:val="TextoNormalCaracter"/>
        </w:rPr>
        <w:t>-</w:t>
      </w:r>
      <w:r>
        <w:t xml:space="preserve"> Sentencia </w:t>
      </w:r>
      <w:hyperlink w:anchor="SENTENCIA_2016_16" w:history="1">
        <w:r w:rsidRPr="0057104C">
          <w:rPr>
            <w:rStyle w:val="TextoNormalCaracter"/>
          </w:rPr>
          <w:t>16/2016</w:t>
        </w:r>
      </w:hyperlink>
      <w:r>
        <w:t>, f. 9.</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16" w:history="1">
        <w:r w:rsidRPr="0057104C">
          <w:rPr>
            <w:rStyle w:val="TextoNormalCaracter"/>
          </w:rPr>
          <w:t>16/2016</w:t>
        </w:r>
      </w:hyperlink>
      <w:r>
        <w:t>, ff. 9, 10.</w:t>
      </w:r>
    </w:p>
    <w:p w:rsidR="0057104C" w:rsidRDefault="0057104C" w:rsidP="0057104C">
      <w:pPr>
        <w:pStyle w:val="SangriaFrancesaArticulo"/>
      </w:pPr>
      <w:r w:rsidRPr="0057104C">
        <w:rPr>
          <w:rStyle w:val="TextoNormalNegritaCaracter"/>
        </w:rPr>
        <w:t>Artículo 12.</w:t>
      </w:r>
      <w:r w:rsidRPr="0057104C">
        <w:rPr>
          <w:rStyle w:val="TextoNormalCaracter"/>
        </w:rPr>
        <w:t>-</w:t>
      </w:r>
      <w:r>
        <w:t xml:space="preserve"> Sentencia </w:t>
      </w:r>
      <w:hyperlink w:anchor="SENTENCIA_2016_16" w:history="1">
        <w:r w:rsidRPr="0057104C">
          <w:rPr>
            <w:rStyle w:val="TextoNormalCaracter"/>
          </w:rPr>
          <w:t>16/2016</w:t>
        </w:r>
      </w:hyperlink>
      <w:r>
        <w:t>, ff. 9, 10.</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16" w:history="1">
        <w:r w:rsidRPr="0057104C">
          <w:rPr>
            <w:rStyle w:val="TextoNormalCaracter"/>
          </w:rPr>
          <w:t>16/2016</w:t>
        </w:r>
      </w:hyperlink>
      <w:r>
        <w:t>, f. 9.</w:t>
      </w:r>
    </w:p>
    <w:p w:rsidR="0057104C" w:rsidRDefault="0057104C" w:rsidP="0057104C">
      <w:pPr>
        <w:pStyle w:val="SangriaFrancesaArticulo"/>
      </w:pPr>
      <w:r w:rsidRPr="0057104C">
        <w:rPr>
          <w:rStyle w:val="TextoNormalNegritaCaracter"/>
        </w:rPr>
        <w:t>Artículo 13 a).</w:t>
      </w:r>
      <w:r w:rsidRPr="0057104C">
        <w:rPr>
          <w:rStyle w:val="TextoNormalCaracter"/>
        </w:rPr>
        <w:t>-</w:t>
      </w:r>
      <w:r>
        <w:t xml:space="preserve"> Sentencia </w:t>
      </w:r>
      <w:hyperlink w:anchor="SENTENCIA_2016_16" w:history="1">
        <w:r w:rsidRPr="0057104C">
          <w:rPr>
            <w:rStyle w:val="TextoNormalCaracter"/>
          </w:rPr>
          <w:t>16/2016</w:t>
        </w:r>
      </w:hyperlink>
      <w:r>
        <w:t>, ff. 7, 10.</w:t>
      </w:r>
    </w:p>
    <w:p w:rsidR="0057104C" w:rsidRDefault="0057104C" w:rsidP="0057104C">
      <w:pPr>
        <w:pStyle w:val="SangriaFrancesaArticulo"/>
      </w:pPr>
      <w:r w:rsidRPr="0057104C">
        <w:rPr>
          <w:rStyle w:val="TextoNormalNegritaCaracter"/>
        </w:rPr>
        <w:t>Artículo 13 b).</w:t>
      </w:r>
      <w:r w:rsidRPr="0057104C">
        <w:rPr>
          <w:rStyle w:val="TextoNormalCaracter"/>
        </w:rPr>
        <w:t>-</w:t>
      </w:r>
      <w:r>
        <w:t xml:space="preserve"> Sentencia </w:t>
      </w:r>
      <w:hyperlink w:anchor="SENTENCIA_2016_16" w:history="1">
        <w:r w:rsidRPr="0057104C">
          <w:rPr>
            <w:rStyle w:val="TextoNormalCaracter"/>
          </w:rPr>
          <w:t>16/2016</w:t>
        </w:r>
      </w:hyperlink>
      <w:r>
        <w:t>, ff. 4, 7, 9, 10.</w:t>
      </w:r>
    </w:p>
    <w:p w:rsidR="0057104C" w:rsidRDefault="0057104C" w:rsidP="0057104C">
      <w:pPr>
        <w:pStyle w:val="SangriaFrancesaArticulo"/>
      </w:pPr>
      <w:r w:rsidRPr="0057104C">
        <w:rPr>
          <w:rStyle w:val="TextoNormalNegritaCaracter"/>
        </w:rPr>
        <w:t>Artículo 16.</w:t>
      </w:r>
      <w:r w:rsidRPr="0057104C">
        <w:rPr>
          <w:rStyle w:val="TextoNormalCaracter"/>
        </w:rPr>
        <w:t>-</w:t>
      </w:r>
      <w:r>
        <w:t xml:space="preserve"> Sentencia </w:t>
      </w:r>
      <w:hyperlink w:anchor="SENTENCIA_2016_16" w:history="1">
        <w:r w:rsidRPr="0057104C">
          <w:rPr>
            <w:rStyle w:val="TextoNormalCaracter"/>
          </w:rPr>
          <w:t>16/2016</w:t>
        </w:r>
      </w:hyperlink>
      <w:r>
        <w:t>, f. 8.</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 </w:t>
      </w:r>
      <w:hyperlink w:anchor="SENTENCIA_2016_16" w:history="1">
        <w:r w:rsidRPr="0057104C">
          <w:rPr>
            <w:rStyle w:val="TextoNormalCaracter"/>
          </w:rPr>
          <w:t>16/2016</w:t>
        </w:r>
      </w:hyperlink>
      <w:r>
        <w:t>, f. 8.</w:t>
      </w:r>
    </w:p>
    <w:p w:rsidR="0057104C" w:rsidRDefault="0057104C" w:rsidP="0057104C">
      <w:pPr>
        <w:pStyle w:val="SangriaFrancesaArticulo"/>
      </w:pPr>
      <w:r w:rsidRPr="0057104C">
        <w:rPr>
          <w:rStyle w:val="TextoNormalNegritaCaracter"/>
        </w:rPr>
        <w:t>Artículo 19.</w:t>
      </w:r>
      <w:r w:rsidRPr="0057104C">
        <w:rPr>
          <w:rStyle w:val="TextoNormalCaracter"/>
        </w:rPr>
        <w:t>-</w:t>
      </w:r>
      <w:r>
        <w:t xml:space="preserve"> Sentencia </w:t>
      </w:r>
      <w:hyperlink w:anchor="SENTENCIA_2016_16" w:history="1">
        <w:r w:rsidRPr="0057104C">
          <w:rPr>
            <w:rStyle w:val="TextoNormalCaracter"/>
          </w:rPr>
          <w:t>16/2016</w:t>
        </w:r>
      </w:hyperlink>
      <w:r>
        <w:t>, f. 9.</w:t>
      </w:r>
    </w:p>
    <w:p w:rsidR="0057104C" w:rsidRDefault="0057104C" w:rsidP="0057104C">
      <w:pPr>
        <w:pStyle w:val="SangriaFrancesaArticulo"/>
      </w:pPr>
      <w:r w:rsidRPr="0057104C">
        <w:rPr>
          <w:rStyle w:val="TextoNormalNegritaCaracter"/>
        </w:rPr>
        <w:t>Artículo 20.</w:t>
      </w:r>
      <w:r w:rsidRPr="0057104C">
        <w:rPr>
          <w:rStyle w:val="TextoNormalCaracter"/>
        </w:rPr>
        <w:t>-</w:t>
      </w:r>
      <w:r>
        <w:t xml:space="preserve"> Sentencia </w:t>
      </w:r>
      <w:hyperlink w:anchor="SENTENCIA_2016_16" w:history="1">
        <w:r w:rsidRPr="0057104C">
          <w:rPr>
            <w:rStyle w:val="TextoNormalCaracter"/>
          </w:rPr>
          <w:t>16/2016</w:t>
        </w:r>
      </w:hyperlink>
      <w:r>
        <w:t>, f. 9.</w:t>
      </w:r>
    </w:p>
    <w:p w:rsidR="0057104C" w:rsidRDefault="0057104C" w:rsidP="0057104C">
      <w:pPr>
        <w:pStyle w:val="SangriaFrancesaArticulo"/>
      </w:pPr>
    </w:p>
    <w:p w:rsidR="0057104C" w:rsidRDefault="0057104C" w:rsidP="0057104C">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Sentencias </w:t>
      </w:r>
      <w:hyperlink w:anchor="SENTENCIA_2016_16" w:history="1">
        <w:r w:rsidRPr="0057104C">
          <w:rPr>
            <w:rStyle w:val="TextoNormalCaracter"/>
          </w:rPr>
          <w:t>16/2016</w:t>
        </w:r>
      </w:hyperlink>
      <w:r>
        <w:t xml:space="preserve">, f. 1; </w:t>
      </w:r>
      <w:hyperlink w:anchor="SENTENCIA_2016_65" w:history="1">
        <w:r w:rsidRPr="0057104C">
          <w:rPr>
            <w:rStyle w:val="TextoNormalCaracter"/>
          </w:rPr>
          <w:t>65/2016</w:t>
        </w:r>
      </w:hyperlink>
      <w:r>
        <w:t>, f. 1.</w:t>
      </w:r>
    </w:p>
    <w:p w:rsidR="0057104C" w:rsidRDefault="0057104C" w:rsidP="0057104C">
      <w:pPr>
        <w:pStyle w:val="SangriaFrancesaArticulo"/>
      </w:pPr>
      <w:r w:rsidRPr="0057104C">
        <w:rPr>
          <w:rStyle w:val="TextoNormalNegritaCaracter"/>
        </w:rPr>
        <w:t>Regla 4.</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r w:rsidRPr="0057104C">
        <w:rPr>
          <w:rStyle w:val="TextoNormalNegritaCaracter"/>
        </w:rPr>
        <w:t>Regla 5.</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p>
    <w:p w:rsidR="0057104C" w:rsidRDefault="0057104C" w:rsidP="0057104C">
      <w:pPr>
        <w:pStyle w:val="TextoNormalNegritaCursivandice"/>
      </w:pPr>
      <w:r>
        <w:t>Convención sobre los derechos del niño, adoptada por la Asamblea General de Naciones Unidas el 20 de noviembre de 1989. Ratificada por Instrumento de 30 de noviembre de 1990</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6" w:history="1">
        <w:r w:rsidRPr="0057104C">
          <w:rPr>
            <w:rStyle w:val="TextoNormalCaracter"/>
          </w:rPr>
          <w:t>16/2016</w:t>
        </w:r>
      </w:hyperlink>
      <w:r>
        <w:t>, f. 4.</w:t>
      </w:r>
    </w:p>
    <w:p w:rsidR="0057104C" w:rsidRDefault="0057104C" w:rsidP="0057104C">
      <w:pPr>
        <w:pStyle w:val="SangriaFrancesaArticulo"/>
      </w:pPr>
      <w:r w:rsidRPr="0057104C">
        <w:rPr>
          <w:rStyle w:val="TextoNormalNegritaCaracter"/>
        </w:rPr>
        <w:t>Artículo 3.1.</w:t>
      </w:r>
      <w:r w:rsidRPr="0057104C">
        <w:rPr>
          <w:rStyle w:val="TextoNormalCaracter"/>
        </w:rPr>
        <w:t>-</w:t>
      </w:r>
      <w:r>
        <w:t xml:space="preserve"> Sentencias </w:t>
      </w:r>
      <w:hyperlink w:anchor="SENTENCIA_2016_16" w:history="1">
        <w:r w:rsidRPr="0057104C">
          <w:rPr>
            <w:rStyle w:val="TextoNormalCaracter"/>
          </w:rPr>
          <w:t>16/2016</w:t>
        </w:r>
      </w:hyperlink>
      <w:r>
        <w:t xml:space="preserve">, f. 5; </w:t>
      </w:r>
      <w:hyperlink w:anchor="SENTENCIA_2016_23" w:history="1">
        <w:r w:rsidRPr="0057104C">
          <w:rPr>
            <w:rStyle w:val="TextoNormalCaracter"/>
          </w:rPr>
          <w:t>23/2016</w:t>
        </w:r>
      </w:hyperlink>
      <w:r>
        <w:t>, f. 4.</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11" w:history="1">
        <w:r w:rsidRPr="0057104C">
          <w:rPr>
            <w:rStyle w:val="TextoNormalCaracter"/>
          </w:rPr>
          <w:t>11/2016</w:t>
        </w:r>
      </w:hyperlink>
      <w:r>
        <w:t>, VPIII.</w:t>
      </w:r>
    </w:p>
    <w:p w:rsidR="0057104C" w:rsidRDefault="0057104C" w:rsidP="0057104C">
      <w:pPr>
        <w:pStyle w:val="SangriaFrancesaArticulo"/>
      </w:pPr>
      <w:r w:rsidRPr="0057104C">
        <w:rPr>
          <w:rStyle w:val="TextoNormalNegritaCaracter"/>
        </w:rPr>
        <w:t>Artículo 40.1.</w:t>
      </w:r>
      <w:r w:rsidRPr="0057104C">
        <w:rPr>
          <w:rStyle w:val="TextoNormalCaracter"/>
        </w:rPr>
        <w:t>-</w:t>
      </w:r>
      <w:r>
        <w:t xml:space="preserve"> Sentencia </w:t>
      </w:r>
      <w:hyperlink w:anchor="SENTENCIA_2016_23" w:history="1">
        <w:r w:rsidRPr="0057104C">
          <w:rPr>
            <w:rStyle w:val="TextoNormalCaracter"/>
          </w:rPr>
          <w:t>23/2016</w:t>
        </w:r>
      </w:hyperlink>
      <w:r>
        <w:t>, f. 4.</w:t>
      </w:r>
    </w:p>
    <w:p w:rsidR="0057104C" w:rsidRDefault="0057104C" w:rsidP="0057104C">
      <w:pPr>
        <w:pStyle w:val="SangriaFrancesaArticulo"/>
      </w:pPr>
    </w:p>
    <w:p w:rsidR="0057104C" w:rsidRDefault="0057104C" w:rsidP="0057104C">
      <w:pPr>
        <w:pStyle w:val="TextoNormalNegritaCursivandice"/>
      </w:pPr>
      <w:r>
        <w:t>Tratado sobre la Carta de la Energía, hecho en Lisboa el 17 de diciembre de 1994</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Sentencias </w:t>
      </w:r>
      <w:hyperlink w:anchor="SENTENCIA_2016_19" w:history="1">
        <w:r w:rsidRPr="0057104C">
          <w:rPr>
            <w:rStyle w:val="TextoNormalCaracter"/>
          </w:rPr>
          <w:t>19/2016</w:t>
        </w:r>
      </w:hyperlink>
      <w:r>
        <w:t xml:space="preserve">, f. 4; </w:t>
      </w:r>
      <w:hyperlink w:anchor="SENTENCIA_2016_29" w:history="1">
        <w:r w:rsidRPr="0057104C">
          <w:rPr>
            <w:rStyle w:val="TextoNormalCaracter"/>
          </w:rPr>
          <w:t>29/2016</w:t>
        </w:r>
      </w:hyperlink>
      <w:r>
        <w:t xml:space="preserve">, f. 5; </w:t>
      </w:r>
      <w:hyperlink w:anchor="SENTENCIA_2016_61" w:history="1">
        <w:r w:rsidRPr="0057104C">
          <w:rPr>
            <w:rStyle w:val="TextoNormalCaracter"/>
          </w:rPr>
          <w:t>61/2016</w:t>
        </w:r>
      </w:hyperlink>
      <w:r>
        <w:t>, ff. 1, 6.</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Sentencias </w:t>
      </w:r>
      <w:hyperlink w:anchor="SENTENCIA_2016_19" w:history="1">
        <w:r w:rsidRPr="0057104C">
          <w:rPr>
            <w:rStyle w:val="TextoNormalCaracter"/>
          </w:rPr>
          <w:t>19/2016</w:t>
        </w:r>
      </w:hyperlink>
      <w:r>
        <w:t xml:space="preserve">, f. 4; </w:t>
      </w:r>
      <w:hyperlink w:anchor="SENTENCIA_2016_29" w:history="1">
        <w:r w:rsidRPr="0057104C">
          <w:rPr>
            <w:rStyle w:val="TextoNormalCaracter"/>
          </w:rPr>
          <w:t>29/2016</w:t>
        </w:r>
      </w:hyperlink>
      <w:r>
        <w:t xml:space="preserve">, f. 5; </w:t>
      </w:r>
      <w:hyperlink w:anchor="SENTENCIA_2016_61" w:history="1">
        <w:r w:rsidRPr="0057104C">
          <w:rPr>
            <w:rStyle w:val="TextoNormalCaracter"/>
          </w:rPr>
          <w:t>61/2016</w:t>
        </w:r>
      </w:hyperlink>
      <w:r>
        <w:t>, ff. 1, 6.</w:t>
      </w:r>
    </w:p>
    <w:p w:rsidR="0057104C" w:rsidRDefault="0057104C" w:rsidP="0057104C">
      <w:pPr>
        <w:pStyle w:val="TextoNormal"/>
      </w:pPr>
    </w:p>
    <w:p w:rsidR="0057104C" w:rsidRDefault="0057104C" w:rsidP="0057104C">
      <w:pPr>
        <w:pStyle w:val="SangriaFrancesaArticulo"/>
      </w:pPr>
      <w:bookmarkStart w:id="278" w:name="INDICE22871"/>
    </w:p>
    <w:bookmarkEnd w:id="278"/>
    <w:p w:rsidR="0057104C" w:rsidRDefault="0057104C" w:rsidP="0057104C">
      <w:pPr>
        <w:pStyle w:val="TextoIndiceNivel2"/>
        <w:suppressAutoHyphens/>
      </w:pPr>
      <w:r>
        <w:t>M) Unión Europea</w:t>
      </w:r>
    </w:p>
    <w:p w:rsidR="0057104C" w:rsidRDefault="0057104C" w:rsidP="0057104C">
      <w:pPr>
        <w:pStyle w:val="TextoIndiceNivel2"/>
      </w:pPr>
    </w:p>
    <w:p w:rsidR="0057104C" w:rsidRDefault="0057104C" w:rsidP="0057104C">
      <w:pPr>
        <w:pStyle w:val="TextoNormalNegritaCursivandice"/>
      </w:pPr>
      <w:r>
        <w:t>Tratado de Maastricht, de 7 de febrero de 1992. Tratado de la Unión Europea</w:t>
      </w:r>
    </w:p>
    <w:p w:rsidR="0057104C" w:rsidRDefault="0057104C" w:rsidP="0057104C">
      <w:pPr>
        <w:pStyle w:val="SangriaFrancesaArticulo"/>
      </w:pPr>
      <w:r w:rsidRPr="0057104C">
        <w:rPr>
          <w:rStyle w:val="TextoNormalNegritaCaracter"/>
        </w:rPr>
        <w:t>Artículo 4.3.</w:t>
      </w:r>
      <w:r w:rsidRPr="0057104C">
        <w:rPr>
          <w:rStyle w:val="TextoNormalCaracter"/>
        </w:rPr>
        <w:t>-</w:t>
      </w:r>
      <w:r>
        <w:t xml:space="preserve"> Sentencia </w:t>
      </w:r>
      <w:hyperlink w:anchor="SENTENCIA_2016_101" w:history="1">
        <w:r w:rsidRPr="0057104C">
          <w:rPr>
            <w:rStyle w:val="TextoNormalCaracter"/>
          </w:rPr>
          <w:t>101/2016</w:t>
        </w:r>
      </w:hyperlink>
      <w:r>
        <w:t>, f. 6.</w:t>
      </w:r>
    </w:p>
    <w:p w:rsidR="0057104C" w:rsidRDefault="0057104C" w:rsidP="0057104C">
      <w:pPr>
        <w:pStyle w:val="SangriaFrancesaArticulo"/>
      </w:pPr>
      <w:r w:rsidRPr="0057104C">
        <w:rPr>
          <w:rStyle w:val="TextoNormalNegritaCaracter"/>
        </w:rPr>
        <w:t>Artículo 88.2 b).</w:t>
      </w:r>
      <w:r w:rsidRPr="0057104C">
        <w:rPr>
          <w:rStyle w:val="TextoNormalCaracter"/>
        </w:rPr>
        <w:t>-</w:t>
      </w:r>
      <w:r>
        <w:t xml:space="preserve"> Auto </w:t>
      </w:r>
      <w:hyperlink w:anchor="AUTO_2016_122" w:history="1">
        <w:r w:rsidRPr="0057104C">
          <w:rPr>
            <w:rStyle w:val="TextoNormalCaracter"/>
          </w:rPr>
          <w:t>122/2016</w:t>
        </w:r>
      </w:hyperlink>
      <w:r>
        <w:t>, f. 4.</w:t>
      </w:r>
    </w:p>
    <w:p w:rsidR="0057104C" w:rsidRDefault="0057104C" w:rsidP="0057104C">
      <w:pPr>
        <w:pStyle w:val="SangriaFrancesaArticulo"/>
      </w:pPr>
      <w:r w:rsidRPr="0057104C">
        <w:rPr>
          <w:rStyle w:val="TextoNormalNegritaCaracter"/>
        </w:rPr>
        <w:t>Artículo 128.</w:t>
      </w:r>
      <w:r w:rsidRPr="0057104C">
        <w:rPr>
          <w:rStyle w:val="TextoNormalCaracter"/>
        </w:rPr>
        <w:t>-</w:t>
      </w:r>
      <w:r>
        <w:t xml:space="preserve"> Sentencia </w:t>
      </w:r>
      <w:hyperlink w:anchor="SENTENCIA_2016_35" w:history="1">
        <w:r w:rsidRPr="0057104C">
          <w:rPr>
            <w:rStyle w:val="TextoNormalCaracter"/>
          </w:rPr>
          <w:t>35/2016</w:t>
        </w:r>
      </w:hyperlink>
      <w:r>
        <w:t>, f. 5.</w:t>
      </w:r>
    </w:p>
    <w:p w:rsidR="0057104C" w:rsidRDefault="0057104C" w:rsidP="0057104C">
      <w:pPr>
        <w:pStyle w:val="SangriaFrancesaArticulo"/>
      </w:pPr>
    </w:p>
    <w:p w:rsidR="0057104C" w:rsidRDefault="0057104C" w:rsidP="0057104C">
      <w:pPr>
        <w:pStyle w:val="TextoNormalNegritaCursivandice"/>
      </w:pPr>
      <w:r>
        <w:t>Reglamento (CE) 1467/1997 del Consejo, de 7 de julio de 1997. Aceleración y clarificación del procedimiento de déficit excesivo</w:t>
      </w:r>
    </w:p>
    <w:p w:rsidR="0057104C" w:rsidRDefault="0057104C" w:rsidP="0057104C">
      <w:pPr>
        <w:pStyle w:val="SangriaFrancesaArticulo"/>
      </w:pPr>
      <w:r w:rsidRPr="0057104C">
        <w:rPr>
          <w:rStyle w:val="TextoNormalNegritaCaracter"/>
        </w:rPr>
        <w:t>Artículo 11.</w:t>
      </w:r>
      <w:r w:rsidRPr="0057104C">
        <w:rPr>
          <w:rStyle w:val="TextoNormalCaracter"/>
        </w:rPr>
        <w:t>-</w:t>
      </w:r>
      <w:r>
        <w:t xml:space="preserve"> Sentencia </w:t>
      </w:r>
      <w:hyperlink w:anchor="SENTENCIA_2016_31" w:history="1">
        <w:r w:rsidRPr="0057104C">
          <w:rPr>
            <w:rStyle w:val="TextoNormalCaracter"/>
          </w:rPr>
          <w:t>31/2016</w:t>
        </w:r>
      </w:hyperlink>
      <w:r>
        <w:t>, f. 4.</w:t>
      </w:r>
    </w:p>
    <w:p w:rsidR="0057104C" w:rsidRDefault="0057104C" w:rsidP="0057104C">
      <w:pPr>
        <w:pStyle w:val="SangriaFrancesaArticulo"/>
      </w:pPr>
    </w:p>
    <w:p w:rsidR="0057104C" w:rsidRDefault="0057104C" w:rsidP="0057104C">
      <w:pPr>
        <w:pStyle w:val="TextoNormalNegritaCursivandice"/>
      </w:pPr>
      <w:r>
        <w:t>Directiva 1999/70/CE del Consejo, de 28 de junio de 1999. Acuerdo marco de la CES, la UNICEF y el CEEP sobre el trabajo de duración determinada</w:t>
      </w:r>
    </w:p>
    <w:p w:rsidR="0057104C" w:rsidRDefault="0057104C" w:rsidP="0057104C">
      <w:pPr>
        <w:pStyle w:val="SangriaFrancesaArticulo"/>
      </w:pPr>
      <w:r w:rsidRPr="0057104C">
        <w:rPr>
          <w:rStyle w:val="TextoNormalNegritaCaracter"/>
        </w:rPr>
        <w:t>Cláusula 4.1.</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r w:rsidRPr="0057104C">
        <w:rPr>
          <w:rStyle w:val="TextoNormalNegritaCaracter"/>
        </w:rPr>
        <w:t>Préambulo, párrafo 2.</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r w:rsidRPr="0057104C">
        <w:rPr>
          <w:rStyle w:val="TextoNormalNegritaCaracter"/>
        </w:rPr>
        <w:t>Cláusula 3.2.</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p>
    <w:p w:rsidR="0057104C" w:rsidRDefault="0057104C" w:rsidP="0057104C">
      <w:pPr>
        <w:pStyle w:val="TextoNormalNegritaCursivandice"/>
      </w:pPr>
      <w:r>
        <w:t>Directiva 2000/35/CE del Parlamento Europeo y del Consejo, de 29 de junio de 2000. Establecimiento de medidas de lucha contra la morosidad en las operaciones comerciales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1" w:history="1">
        <w:r w:rsidRPr="0057104C">
          <w:rPr>
            <w:rStyle w:val="TextoNormalCaracter"/>
          </w:rPr>
          <w:t>101/2016</w:t>
        </w:r>
      </w:hyperlink>
      <w:r>
        <w:t>, f. 3.</w:t>
      </w:r>
    </w:p>
    <w:p w:rsidR="0057104C" w:rsidRDefault="0057104C" w:rsidP="0057104C">
      <w:pPr>
        <w:pStyle w:val="SangriaFrancesaArticulo"/>
      </w:pPr>
    </w:p>
    <w:p w:rsidR="0057104C" w:rsidRDefault="0057104C" w:rsidP="0057104C">
      <w:pPr>
        <w:pStyle w:val="TextoNormalNegritaCursivandice"/>
      </w:pPr>
      <w:r>
        <w:t>Directiva 2001/23/CE del Consejo, de 12 de marzo de 2001. Aproximación de las legislaciones de los Estados miembros relativas al mantenimiento de los derechos de los trabajadores en caso de traspasos de empresas, de centros de actividad o de partes de empresas o de centros de actividad</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4" w:history="1">
        <w:r w:rsidRPr="0057104C">
          <w:rPr>
            <w:rStyle w:val="TextoNormalCaracter"/>
          </w:rPr>
          <w:t>64/2016</w:t>
        </w:r>
      </w:hyperlink>
      <w:r>
        <w:t>, f. 6.</w:t>
      </w:r>
    </w:p>
    <w:p w:rsidR="0057104C" w:rsidRDefault="0057104C" w:rsidP="0057104C">
      <w:pPr>
        <w:pStyle w:val="SangriaFrancesaArticulo"/>
      </w:pPr>
    </w:p>
    <w:p w:rsidR="0057104C" w:rsidRDefault="0057104C" w:rsidP="0057104C">
      <w:pPr>
        <w:pStyle w:val="TextoNormalNegritaCursivandice"/>
      </w:pPr>
      <w:r>
        <w:t>Directiva 2001/42/CE del Parlamento Europeo y del Consejo, de 27 de junio de 2001. Evaluación de los efectos de determinados planes y programas en el medio ambiente</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28" w:history="1">
        <w:r w:rsidRPr="0057104C">
          <w:rPr>
            <w:rStyle w:val="TextoNormalCaracter"/>
          </w:rPr>
          <w:t>28/2016</w:t>
        </w:r>
      </w:hyperlink>
      <w:r>
        <w:t>, f. 7.</w:t>
      </w:r>
    </w:p>
    <w:p w:rsidR="0057104C" w:rsidRDefault="0057104C" w:rsidP="0057104C">
      <w:pPr>
        <w:pStyle w:val="SangriaFrancesaArticulo"/>
      </w:pPr>
    </w:p>
    <w:p w:rsidR="0057104C" w:rsidRDefault="0057104C" w:rsidP="0057104C">
      <w:pPr>
        <w:pStyle w:val="TextoNormalNegritaCursivandice"/>
      </w:pPr>
      <w:r>
        <w:t>Directiva 2002/19/CE del Parlamento Europeo y del Consejo, de 7 de marzo de 2002. Acceso a las redes de comunicaciones electrónicas y recursos asociados, y a su interconexión (Directiva acceso)</w:t>
      </w:r>
    </w:p>
    <w:p w:rsidR="0057104C" w:rsidRDefault="0057104C" w:rsidP="0057104C">
      <w:pPr>
        <w:pStyle w:val="SangriaFrancesaArticulo"/>
      </w:pPr>
      <w:r w:rsidRPr="0057104C">
        <w:rPr>
          <w:rStyle w:val="TextoNormalNegritaCaracter"/>
        </w:rPr>
        <w:t>Artículo 12</w:t>
      </w:r>
      <w:r>
        <w:t xml:space="preserve"> (redactada por la Directiva 2009/140/CE)</w:t>
      </w:r>
      <w:r w:rsidRPr="0057104C">
        <w:rPr>
          <w:rStyle w:val="TextoNormalNegritaCaracter"/>
        </w:rPr>
        <w:t>.</w:t>
      </w:r>
      <w:r w:rsidRPr="0057104C">
        <w:rPr>
          <w:rStyle w:val="TextoNormalCaracter"/>
        </w:rPr>
        <w:t>-</w:t>
      </w:r>
      <w:r>
        <w:t xml:space="preserve"> Sentencia </w:t>
      </w:r>
      <w:hyperlink w:anchor="SENTENCIA_2016_8" w:history="1">
        <w:r w:rsidRPr="0057104C">
          <w:rPr>
            <w:rStyle w:val="TextoNormalCaracter"/>
          </w:rPr>
          <w:t>8/2016</w:t>
        </w:r>
      </w:hyperlink>
      <w:r>
        <w:t>, f. 9.</w:t>
      </w:r>
    </w:p>
    <w:p w:rsidR="0057104C" w:rsidRDefault="0057104C" w:rsidP="0057104C">
      <w:pPr>
        <w:pStyle w:val="SangriaFrancesaArticulo"/>
      </w:pPr>
    </w:p>
    <w:p w:rsidR="0057104C" w:rsidRDefault="0057104C" w:rsidP="0057104C">
      <w:pPr>
        <w:pStyle w:val="TextoNormalNegritaCursivandice"/>
      </w:pPr>
      <w:r>
        <w:t>Directiva 2002/21/CE del Parlamento Europeo y del Consejo, de 7 de marzo de 2002. Marco regulador común de las redes y los servicios de comunicaciones electrónicas (Directiva marco)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 w:history="1">
        <w:r w:rsidRPr="0057104C">
          <w:rPr>
            <w:rStyle w:val="TextoNormalCaracter"/>
          </w:rPr>
          <w:t>8/2016</w:t>
        </w:r>
      </w:hyperlink>
      <w:r>
        <w:t>, f. 5.</w:t>
      </w:r>
    </w:p>
    <w:p w:rsidR="0057104C" w:rsidRDefault="0057104C" w:rsidP="0057104C">
      <w:pPr>
        <w:pStyle w:val="SangriaFrancesaArticulo"/>
      </w:pPr>
      <w:r w:rsidRPr="0057104C">
        <w:rPr>
          <w:rStyle w:val="TextoNormalNegritaCaracter"/>
        </w:rPr>
        <w:t>Artículo 9.3</w:t>
      </w:r>
      <w:r>
        <w:t xml:space="preserve"> (redactada por la Directiva 2009/140/CE)</w:t>
      </w:r>
      <w:r w:rsidRPr="0057104C">
        <w:rPr>
          <w:rStyle w:val="TextoNormalNegritaCaracter"/>
        </w:rPr>
        <w:t>.</w:t>
      </w:r>
      <w:r w:rsidRPr="0057104C">
        <w:rPr>
          <w:rStyle w:val="TextoNormalCaracter"/>
        </w:rPr>
        <w:t>-</w:t>
      </w:r>
      <w:r>
        <w:t xml:space="preserve"> Sentencia </w:t>
      </w:r>
      <w:hyperlink w:anchor="SENTENCIA_2016_8" w:history="1">
        <w:r w:rsidRPr="0057104C">
          <w:rPr>
            <w:rStyle w:val="TextoNormalCaracter"/>
          </w:rPr>
          <w:t>8/2016</w:t>
        </w:r>
      </w:hyperlink>
      <w:r>
        <w:t>, f. 11.</w:t>
      </w:r>
    </w:p>
    <w:p w:rsidR="0057104C" w:rsidRDefault="0057104C" w:rsidP="0057104C">
      <w:pPr>
        <w:pStyle w:val="SangriaFrancesaArticulo"/>
      </w:pPr>
      <w:r w:rsidRPr="0057104C">
        <w:rPr>
          <w:rStyle w:val="TextoNormalNegritaCaracter"/>
        </w:rPr>
        <w:t>Artículo 9.4</w:t>
      </w:r>
      <w:r>
        <w:t xml:space="preserve"> (redactada por la Directiva 2009/140/CE)</w:t>
      </w:r>
      <w:r w:rsidRPr="0057104C">
        <w:rPr>
          <w:rStyle w:val="TextoNormalNegritaCaracter"/>
        </w:rPr>
        <w:t>.</w:t>
      </w:r>
      <w:r w:rsidRPr="0057104C">
        <w:rPr>
          <w:rStyle w:val="TextoNormalCaracter"/>
        </w:rPr>
        <w:t>-</w:t>
      </w:r>
      <w:r>
        <w:t xml:space="preserve"> Sentencia </w:t>
      </w:r>
      <w:hyperlink w:anchor="SENTENCIA_2016_8" w:history="1">
        <w:r w:rsidRPr="0057104C">
          <w:rPr>
            <w:rStyle w:val="TextoNormalCaracter"/>
          </w:rPr>
          <w:t>8/2016</w:t>
        </w:r>
      </w:hyperlink>
      <w:r>
        <w:t>, f. 11.</w:t>
      </w:r>
    </w:p>
    <w:p w:rsidR="0057104C" w:rsidRDefault="0057104C" w:rsidP="0057104C">
      <w:pPr>
        <w:pStyle w:val="SangriaFrancesaArticulo"/>
      </w:pPr>
    </w:p>
    <w:p w:rsidR="0057104C" w:rsidRDefault="0057104C" w:rsidP="0057104C">
      <w:pPr>
        <w:pStyle w:val="TextoNormalNegritaCursivandice"/>
      </w:pPr>
      <w:r>
        <w:t>Decisión marco 2002/465/JAI del Consejo, de 13 de junio de 2002. Equipos conjuntos de investigación</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22" w:history="1">
        <w:r w:rsidRPr="0057104C">
          <w:rPr>
            <w:rStyle w:val="TextoNormalCaracter"/>
          </w:rPr>
          <w:t>122/2016</w:t>
        </w:r>
      </w:hyperlink>
      <w:r>
        <w:t>, f. 4.</w:t>
      </w:r>
    </w:p>
    <w:p w:rsidR="0057104C" w:rsidRDefault="0057104C" w:rsidP="0057104C">
      <w:pPr>
        <w:pStyle w:val="SangriaFrancesaArticulo"/>
      </w:pPr>
    </w:p>
    <w:p w:rsidR="0057104C" w:rsidRDefault="0057104C" w:rsidP="0057104C">
      <w:pPr>
        <w:pStyle w:val="TextoNormalNegritaCursivandice"/>
      </w:pPr>
      <w:r>
        <w:t>Decisión marco 2002/475/JAI del Consejo, de 13 de junio de 2002. Lucha contra el terrorismo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r w:rsidRPr="0057104C">
        <w:rPr>
          <w:rStyle w:val="TextoNormalNegritaCaracter"/>
        </w:rPr>
        <w:t>Artículo 3.1 a)</w:t>
      </w:r>
      <w:r>
        <w:t xml:space="preserve"> (redactado por la Decisión Marco 2008/919/JAI, de 28 de noviembre de 2008)</w:t>
      </w:r>
      <w:r w:rsidRPr="0057104C">
        <w:rPr>
          <w:rStyle w:val="TextoNormalNegritaCaracter"/>
        </w:rPr>
        <w:t>.</w:t>
      </w:r>
      <w:r w:rsidRPr="0057104C">
        <w:rPr>
          <w:rStyle w:val="TextoNormalCaracter"/>
        </w:rPr>
        <w:t>-</w:t>
      </w:r>
      <w:r>
        <w:t xml:space="preserve"> Sentencia </w:t>
      </w:r>
      <w:hyperlink w:anchor="SENTENCIA_2016_112" w:history="1">
        <w:r w:rsidRPr="0057104C">
          <w:rPr>
            <w:rStyle w:val="TextoNormalCaracter"/>
          </w:rPr>
          <w:t>112/2016</w:t>
        </w:r>
      </w:hyperlink>
      <w:r>
        <w:t>, f. 3.</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112" w:history="1">
        <w:r w:rsidRPr="0057104C">
          <w:rPr>
            <w:rStyle w:val="TextoNormalCaracter"/>
          </w:rPr>
          <w:t>112/2016</w:t>
        </w:r>
      </w:hyperlink>
      <w:r>
        <w:t>, f. 3.</w:t>
      </w:r>
    </w:p>
    <w:p w:rsidR="0057104C" w:rsidRDefault="0057104C" w:rsidP="0057104C">
      <w:pPr>
        <w:pStyle w:val="SangriaFrancesaArticulo"/>
      </w:pPr>
    </w:p>
    <w:p w:rsidR="0057104C" w:rsidRDefault="0057104C" w:rsidP="0057104C">
      <w:pPr>
        <w:pStyle w:val="TextoNormalNegritaCursivandice"/>
      </w:pPr>
      <w:r>
        <w:t>Directiva 2003/54/CE del Parlamento Europeo y del Consejo, de 26 de junio de 2003. Normas comunes para el mercado interior de la electricidad</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Artículo 3.5.</w:t>
      </w:r>
      <w:r w:rsidRPr="0057104C">
        <w:rPr>
          <w:rStyle w:val="TextoNormalCaracter"/>
        </w:rPr>
        <w:t>-</w:t>
      </w:r>
      <w:r>
        <w:t xml:space="preserve"> Sentencia </w:t>
      </w:r>
      <w:hyperlink w:anchor="SENTENCIA_2016_62" w:history="1">
        <w:r w:rsidRPr="0057104C">
          <w:rPr>
            <w:rStyle w:val="TextoNormalCaracter"/>
          </w:rPr>
          <w:t>62/2016</w:t>
        </w:r>
      </w:hyperlink>
      <w:r>
        <w:t>, f. 9, VPI.</w:t>
      </w:r>
    </w:p>
    <w:p w:rsidR="0057104C" w:rsidRDefault="0057104C" w:rsidP="0057104C">
      <w:pPr>
        <w:pStyle w:val="SangriaFrancesaArticulo"/>
      </w:pPr>
    </w:p>
    <w:p w:rsidR="0057104C" w:rsidRDefault="0057104C" w:rsidP="0057104C">
      <w:pPr>
        <w:pStyle w:val="TextoNormalNegritaCursivandice"/>
      </w:pPr>
      <w:r>
        <w:t>Directiva 2003/55/CE del Parlamento Europeo y del Consejo, de 26 de junio de 2003. Normas comunes para el mercado interior del gas natural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p>
    <w:p w:rsidR="0057104C" w:rsidRDefault="0057104C" w:rsidP="0057104C">
      <w:pPr>
        <w:pStyle w:val="TextoNormalNegritaCursivandice"/>
      </w:pPr>
      <w:r>
        <w:t>Reglamento (CE) 805/2004 del Parlamento Europeo y del Consejo, de 21 de abril de 2004. Establece un título ejecutivo europeo para créditos no impugnados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9" w:history="1">
        <w:r w:rsidRPr="0057104C">
          <w:rPr>
            <w:rStyle w:val="TextoNormalCaracter"/>
          </w:rPr>
          <w:t>19/2016</w:t>
        </w:r>
      </w:hyperlink>
      <w:r>
        <w:t>, f. 2.</w:t>
      </w:r>
    </w:p>
    <w:p w:rsidR="0057104C" w:rsidRDefault="0057104C" w:rsidP="0057104C">
      <w:pPr>
        <w:pStyle w:val="SangriaFrancesaArticulo"/>
      </w:pPr>
      <w:r w:rsidRPr="0057104C">
        <w:rPr>
          <w:rStyle w:val="TextoNormalNegritaCaracter"/>
        </w:rPr>
        <w:t>Artículo 23.</w:t>
      </w:r>
      <w:r w:rsidRPr="0057104C">
        <w:rPr>
          <w:rStyle w:val="TextoNormalCaracter"/>
        </w:rPr>
        <w:t>-</w:t>
      </w:r>
      <w:r>
        <w:t xml:space="preserve"> Auto </w:t>
      </w:r>
      <w:hyperlink w:anchor="AUTO_2016_19" w:history="1">
        <w:r w:rsidRPr="0057104C">
          <w:rPr>
            <w:rStyle w:val="TextoNormalCaracter"/>
          </w:rPr>
          <w:t>19/2016</w:t>
        </w:r>
      </w:hyperlink>
      <w:r>
        <w:t>, f. 3.</w:t>
      </w:r>
    </w:p>
    <w:p w:rsidR="0057104C" w:rsidRDefault="0057104C" w:rsidP="0057104C">
      <w:pPr>
        <w:pStyle w:val="SangriaFrancesaArticulo"/>
      </w:pPr>
    </w:p>
    <w:p w:rsidR="0057104C" w:rsidRDefault="0057104C" w:rsidP="0057104C">
      <w:pPr>
        <w:pStyle w:val="TextoNormalNegritaCursivandice"/>
      </w:pPr>
      <w:r>
        <w:t>Directiva 2004/107/CE del Parlamento Europeo y del Consejo, de 15 de diciembre de 2004. El arsénico, el cadmio, el mercurio, el níquel y los hidrocarburos aromáticos policíclicos en el aire ambiente</w:t>
      </w:r>
    </w:p>
    <w:p w:rsidR="0057104C" w:rsidRDefault="0057104C" w:rsidP="0057104C">
      <w:pPr>
        <w:pStyle w:val="SangriaFrancesaArticulo"/>
      </w:pPr>
      <w:r w:rsidRPr="0057104C">
        <w:rPr>
          <w:rStyle w:val="TextoNormalNegritaCaracter"/>
        </w:rPr>
        <w:t>Anexo III, secciones I, II, III.</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p>
    <w:p w:rsidR="0057104C" w:rsidRDefault="0057104C" w:rsidP="0057104C">
      <w:pPr>
        <w:pStyle w:val="TextoNormalNegritaCursivandice"/>
      </w:pPr>
      <w:r>
        <w:t>Directiva 2006/123/CE del Parlamento Europeo y del Consejo, de 12 de diciembre de 2006. Servicios en el mercado interior</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3" w:history="1">
        <w:r w:rsidRPr="0057104C">
          <w:rPr>
            <w:rStyle w:val="TextoNormalCaracter"/>
          </w:rPr>
          <w:t>73/2016</w:t>
        </w:r>
      </w:hyperlink>
      <w:r>
        <w:t>, f. 5.</w:t>
      </w:r>
    </w:p>
    <w:p w:rsidR="0057104C" w:rsidRDefault="0057104C" w:rsidP="0057104C">
      <w:pPr>
        <w:pStyle w:val="SangriaFrancesaArticulo"/>
      </w:pPr>
    </w:p>
    <w:p w:rsidR="0057104C" w:rsidRDefault="0057104C" w:rsidP="0057104C">
      <w:pPr>
        <w:pStyle w:val="TextoNormalNegritaCursivandice"/>
      </w:pPr>
      <w:r>
        <w:t>Carta de los derechos fundamentales de la Unión Europea. Estrasburgo, 12 de diciembre de 2007 (versión consolidada)</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11" w:history="1">
        <w:r w:rsidRPr="0057104C">
          <w:rPr>
            <w:rStyle w:val="TextoNormalCaracter"/>
          </w:rPr>
          <w:t>11/2016</w:t>
        </w:r>
      </w:hyperlink>
      <w:r>
        <w:t>, VPI.</w:t>
      </w:r>
    </w:p>
    <w:p w:rsidR="0057104C" w:rsidRDefault="0057104C" w:rsidP="0057104C">
      <w:pPr>
        <w:pStyle w:val="SangriaFrancesaArticulo"/>
      </w:pPr>
    </w:p>
    <w:p w:rsidR="0057104C" w:rsidRDefault="0057104C" w:rsidP="0057104C">
      <w:pPr>
        <w:pStyle w:val="TextoNormalNegritaCursivandice"/>
      </w:pPr>
      <w:r>
        <w:t>Tratado de Lisboa, de 13 de diciembre de 2007. Tratado de funcionamiento de la Unión Europea</w:t>
      </w:r>
    </w:p>
    <w:p w:rsidR="0057104C" w:rsidRDefault="0057104C" w:rsidP="0057104C">
      <w:pPr>
        <w:pStyle w:val="SangriaFrancesaArticulo"/>
      </w:pPr>
      <w:r w:rsidRPr="0057104C">
        <w:rPr>
          <w:rStyle w:val="TextoNormalNegritaCaracter"/>
        </w:rPr>
        <w:t>Artículo 6. c).</w:t>
      </w:r>
      <w:r w:rsidRPr="0057104C">
        <w:rPr>
          <w:rStyle w:val="TextoNormalCaracter"/>
        </w:rPr>
        <w:t>-</w:t>
      </w:r>
      <w:r>
        <w:t xml:space="preserve"> Sentencia </w:t>
      </w:r>
      <w:hyperlink w:anchor="SENTENCIA_2016_35" w:history="1">
        <w:r w:rsidRPr="0057104C">
          <w:rPr>
            <w:rStyle w:val="TextoNormalCaracter"/>
          </w:rPr>
          <w:t>35/2016</w:t>
        </w:r>
      </w:hyperlink>
      <w:r>
        <w:t>, f. 5.</w:t>
      </w:r>
    </w:p>
    <w:p w:rsidR="0057104C" w:rsidRDefault="0057104C" w:rsidP="0057104C">
      <w:pPr>
        <w:pStyle w:val="SangriaFrancesaArticulo"/>
      </w:pPr>
      <w:r w:rsidRPr="0057104C">
        <w:rPr>
          <w:rStyle w:val="TextoNormalNegritaCaracter"/>
        </w:rPr>
        <w:t>Artículo 126.</w:t>
      </w:r>
      <w:r w:rsidRPr="0057104C">
        <w:rPr>
          <w:rStyle w:val="TextoNormalCaracter"/>
        </w:rPr>
        <w:t>-</w:t>
      </w:r>
      <w:r>
        <w:t xml:space="preserve"> Sentencia </w:t>
      </w:r>
      <w:hyperlink w:anchor="SENTENCIA_2016_31" w:history="1">
        <w:r w:rsidRPr="0057104C">
          <w:rPr>
            <w:rStyle w:val="TextoNormalCaracter"/>
          </w:rPr>
          <w:t>31/2016</w:t>
        </w:r>
      </w:hyperlink>
      <w:r>
        <w:t>, f. 4.</w:t>
      </w:r>
    </w:p>
    <w:p w:rsidR="0057104C" w:rsidRDefault="0057104C" w:rsidP="0057104C">
      <w:pPr>
        <w:pStyle w:val="SangriaFrancesaArticulo"/>
      </w:pPr>
      <w:r w:rsidRPr="0057104C">
        <w:rPr>
          <w:rStyle w:val="TextoNormalNegritaCaracter"/>
        </w:rPr>
        <w:t>Artículo 126.1.</w:t>
      </w:r>
      <w:r w:rsidRPr="0057104C">
        <w:rPr>
          <w:rStyle w:val="TextoNormalCaracter"/>
        </w:rPr>
        <w:t>-</w:t>
      </w:r>
      <w:r>
        <w:t xml:space="preserve"> Sentencia </w:t>
      </w:r>
      <w:hyperlink w:anchor="SENTENCIA_2016_101" w:history="1">
        <w:r w:rsidRPr="0057104C">
          <w:rPr>
            <w:rStyle w:val="TextoNormalCaracter"/>
          </w:rPr>
          <w:t>101/2016</w:t>
        </w:r>
      </w:hyperlink>
      <w:r>
        <w:t>, f. 6.</w:t>
      </w:r>
    </w:p>
    <w:p w:rsidR="0057104C" w:rsidRDefault="0057104C" w:rsidP="0057104C">
      <w:pPr>
        <w:pStyle w:val="SangriaFrancesaArticulo"/>
      </w:pPr>
      <w:r w:rsidRPr="0057104C">
        <w:rPr>
          <w:rStyle w:val="TextoNormalNegritaCaracter"/>
        </w:rPr>
        <w:t>Artículo 126.3.</w:t>
      </w:r>
      <w:r w:rsidRPr="0057104C">
        <w:rPr>
          <w:rStyle w:val="TextoNormalCaracter"/>
        </w:rPr>
        <w:t>-</w:t>
      </w:r>
      <w:r>
        <w:t xml:space="preserve"> Sentencia </w:t>
      </w:r>
      <w:hyperlink w:anchor="SENTENCIA_2016_101" w:history="1">
        <w:r w:rsidRPr="0057104C">
          <w:rPr>
            <w:rStyle w:val="TextoNormalCaracter"/>
          </w:rPr>
          <w:t>101/2016</w:t>
        </w:r>
      </w:hyperlink>
      <w:r>
        <w:t>, f. 6.</w:t>
      </w:r>
    </w:p>
    <w:p w:rsidR="0057104C" w:rsidRDefault="0057104C" w:rsidP="0057104C">
      <w:pPr>
        <w:pStyle w:val="SangriaFrancesaArticulo"/>
      </w:pPr>
      <w:r w:rsidRPr="0057104C">
        <w:rPr>
          <w:rStyle w:val="TextoNormalNegritaCaracter"/>
        </w:rPr>
        <w:t>Artículo 167.</w:t>
      </w:r>
      <w:r w:rsidRPr="0057104C">
        <w:rPr>
          <w:rStyle w:val="TextoNormalCaracter"/>
        </w:rPr>
        <w:t>-</w:t>
      </w:r>
      <w:r>
        <w:t xml:space="preserve"> Sentencia </w:t>
      </w:r>
      <w:hyperlink w:anchor="SENTENCIA_2016_35" w:history="1">
        <w:r w:rsidRPr="0057104C">
          <w:rPr>
            <w:rStyle w:val="TextoNormalCaracter"/>
          </w:rPr>
          <w:t>35/2016</w:t>
        </w:r>
      </w:hyperlink>
      <w:r>
        <w:t>, f. 5.</w:t>
      </w:r>
    </w:p>
    <w:p w:rsidR="0057104C" w:rsidRDefault="0057104C" w:rsidP="0057104C">
      <w:pPr>
        <w:pStyle w:val="SangriaFrancesaArticulo"/>
      </w:pPr>
      <w:r w:rsidRPr="0057104C">
        <w:rPr>
          <w:rStyle w:val="TextoNormalNegritaCaracter"/>
        </w:rPr>
        <w:t>Artículo 167.1.</w:t>
      </w:r>
      <w:r w:rsidRPr="0057104C">
        <w:rPr>
          <w:rStyle w:val="TextoNormalCaracter"/>
        </w:rPr>
        <w:t>-</w:t>
      </w:r>
      <w:r>
        <w:t xml:space="preserve"> Sentencia </w:t>
      </w:r>
      <w:hyperlink w:anchor="SENTENCIA_2016_35" w:history="1">
        <w:r w:rsidRPr="0057104C">
          <w:rPr>
            <w:rStyle w:val="TextoNormalCaracter"/>
          </w:rPr>
          <w:t>35/2016</w:t>
        </w:r>
      </w:hyperlink>
      <w:r>
        <w:t>, f. 5.</w:t>
      </w:r>
    </w:p>
    <w:p w:rsidR="0057104C" w:rsidRDefault="0057104C" w:rsidP="0057104C">
      <w:pPr>
        <w:pStyle w:val="SangriaFrancesaArticulo"/>
      </w:pPr>
      <w:r w:rsidRPr="0057104C">
        <w:rPr>
          <w:rStyle w:val="TextoNormalNegritaCaracter"/>
        </w:rPr>
        <w:t>Artículo 167.2.</w:t>
      </w:r>
      <w:r w:rsidRPr="0057104C">
        <w:rPr>
          <w:rStyle w:val="TextoNormalCaracter"/>
        </w:rPr>
        <w:t>-</w:t>
      </w:r>
      <w:r>
        <w:t xml:space="preserve"> Sentencia </w:t>
      </w:r>
      <w:hyperlink w:anchor="SENTENCIA_2016_35" w:history="1">
        <w:r w:rsidRPr="0057104C">
          <w:rPr>
            <w:rStyle w:val="TextoNormalCaracter"/>
          </w:rPr>
          <w:t>35/2016</w:t>
        </w:r>
      </w:hyperlink>
      <w:r>
        <w:t>, f. 5.</w:t>
      </w:r>
    </w:p>
    <w:p w:rsidR="0057104C" w:rsidRDefault="0057104C" w:rsidP="0057104C">
      <w:pPr>
        <w:pStyle w:val="SangriaFrancesaArticulo"/>
      </w:pPr>
    </w:p>
    <w:p w:rsidR="0057104C" w:rsidRDefault="0057104C" w:rsidP="0057104C">
      <w:pPr>
        <w:pStyle w:val="TextoNormalNegritaCursivandice"/>
      </w:pPr>
      <w:r>
        <w:t>Directiva 2008/50/CE del Parlamento Europeo y del Consejo, de 21 de mayo de 2008. Calidad del aire ambiente y a una atmósfera más limpia en Europa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3" w:history="1">
        <w:r w:rsidRPr="0057104C">
          <w:rPr>
            <w:rStyle w:val="TextoNormalCaracter"/>
          </w:rPr>
          <w:t>53/2016</w:t>
        </w:r>
      </w:hyperlink>
      <w:r>
        <w:t>, f. 2.</w:t>
      </w:r>
    </w:p>
    <w:p w:rsidR="0057104C" w:rsidRDefault="0057104C" w:rsidP="0057104C">
      <w:pPr>
        <w:pStyle w:val="SangriaFrancesaArticulo"/>
      </w:pPr>
      <w:r w:rsidRPr="0057104C">
        <w:rPr>
          <w:rStyle w:val="TextoNormalNegritaCaracter"/>
        </w:rPr>
        <w:t>Artículo 6.5.</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r w:rsidRPr="0057104C">
        <w:rPr>
          <w:rStyle w:val="TextoNormalNegritaCaracter"/>
        </w:rPr>
        <w:t>Anexo III, Secciones A, B, C.</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r w:rsidRPr="0057104C">
        <w:rPr>
          <w:rStyle w:val="TextoNormalNegritaCaracter"/>
        </w:rPr>
        <w:t>Anexo IV.</w:t>
      </w:r>
      <w:r w:rsidRPr="0057104C">
        <w:rPr>
          <w:rStyle w:val="TextoNormalCaracter"/>
        </w:rPr>
        <w:t>-</w:t>
      </w:r>
      <w:r>
        <w:t xml:space="preserve"> Sentencia </w:t>
      </w:r>
      <w:hyperlink w:anchor="SENTENCIA_2016_53" w:history="1">
        <w:r w:rsidRPr="0057104C">
          <w:rPr>
            <w:rStyle w:val="TextoNormalCaracter"/>
          </w:rPr>
          <w:t>53/2016</w:t>
        </w:r>
      </w:hyperlink>
      <w:r>
        <w:t>, f. 3.</w:t>
      </w:r>
    </w:p>
    <w:p w:rsidR="0057104C" w:rsidRDefault="0057104C" w:rsidP="0057104C">
      <w:pPr>
        <w:pStyle w:val="SangriaFrancesaArticulo"/>
      </w:pPr>
    </w:p>
    <w:p w:rsidR="0057104C" w:rsidRDefault="0057104C" w:rsidP="0057104C">
      <w:pPr>
        <w:pStyle w:val="TextoNormalNegritaCursivandice"/>
      </w:pPr>
      <w:r>
        <w:t>Resolución del Parlamento Europeo, de 4 de septiembre de 2008. Revisión intermedia delPlan de Acción Europeo sobre Medio Ambiente y Salud 2004-2010</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3" w:history="1">
        <w:r w:rsidRPr="0057104C">
          <w:rPr>
            <w:rStyle w:val="TextoNormalCaracter"/>
          </w:rPr>
          <w:t>53/2016</w:t>
        </w:r>
      </w:hyperlink>
      <w:r>
        <w:t>, f. 2.</w:t>
      </w:r>
    </w:p>
    <w:p w:rsidR="0057104C" w:rsidRDefault="0057104C" w:rsidP="0057104C">
      <w:pPr>
        <w:pStyle w:val="SangriaFrancesaArticulo"/>
      </w:pPr>
    </w:p>
    <w:p w:rsidR="0057104C" w:rsidRDefault="0057104C" w:rsidP="0057104C">
      <w:pPr>
        <w:pStyle w:val="TextoNormalNegritaCursivandice"/>
      </w:pPr>
      <w:r>
        <w:t>Decisión marco 2008/919/JAI del Consejo, de 28 de noviembre de 2008. Modifica la Decisión marco 2002/475/JAI sobre la lucha contra el terrorismo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r w:rsidRPr="0057104C">
        <w:rPr>
          <w:rStyle w:val="TextoNormalNegritaCaracter"/>
        </w:rPr>
        <w:t>Artículo 1.1 a) a h).</w:t>
      </w:r>
      <w:r w:rsidRPr="0057104C">
        <w:rPr>
          <w:rStyle w:val="TextoNormalCaracter"/>
        </w:rPr>
        <w:t>-</w:t>
      </w:r>
      <w:r>
        <w:t xml:space="preserve"> Sentencia </w:t>
      </w:r>
      <w:hyperlink w:anchor="SENTENCIA_2016_112" w:history="1">
        <w:r w:rsidRPr="0057104C">
          <w:rPr>
            <w:rStyle w:val="TextoNormalCaracter"/>
          </w:rPr>
          <w:t>112/2016</w:t>
        </w:r>
      </w:hyperlink>
      <w:r>
        <w:t>, f. 3.</w:t>
      </w:r>
    </w:p>
    <w:p w:rsidR="0057104C" w:rsidRDefault="0057104C" w:rsidP="0057104C">
      <w:pPr>
        <w:pStyle w:val="SangriaFrancesaArticulo"/>
      </w:pPr>
      <w:r w:rsidRPr="0057104C">
        <w:rPr>
          <w:rStyle w:val="TextoNormalNegritaCaracter"/>
        </w:rPr>
        <w:t>Artículo 3.1 a).</w:t>
      </w:r>
      <w:r w:rsidRPr="0057104C">
        <w:rPr>
          <w:rStyle w:val="TextoNormalCaracter"/>
        </w:rPr>
        <w:t>-</w:t>
      </w:r>
      <w:r>
        <w:t xml:space="preserve"> Sentencia </w:t>
      </w:r>
      <w:hyperlink w:anchor="SENTENCIA_2016_112" w:history="1">
        <w:r w:rsidRPr="0057104C">
          <w:rPr>
            <w:rStyle w:val="TextoNormalCaracter"/>
          </w:rPr>
          <w:t>112/2016</w:t>
        </w:r>
      </w:hyperlink>
      <w:r>
        <w:t>, f. 3.</w:t>
      </w:r>
    </w:p>
    <w:p w:rsidR="0057104C" w:rsidRDefault="0057104C" w:rsidP="0057104C">
      <w:pPr>
        <w:pStyle w:val="SangriaFrancesaArticulo"/>
      </w:pPr>
    </w:p>
    <w:p w:rsidR="0057104C" w:rsidRDefault="0057104C" w:rsidP="0057104C">
      <w:pPr>
        <w:pStyle w:val="TextoNormalNegritaCursivandice"/>
      </w:pPr>
      <w:r>
        <w:t>Directiva 2009/20/CE del Parlamento Europeo y del Consejo, de 23 de abril de 2009. Seguro de los propietarios de buques para las reclamaciones de Derecho marítimo</w:t>
      </w:r>
    </w:p>
    <w:p w:rsidR="0057104C" w:rsidRDefault="0057104C" w:rsidP="0057104C">
      <w:pPr>
        <w:pStyle w:val="SangriaFrancesaArticulo"/>
      </w:pPr>
      <w:r w:rsidRPr="0057104C">
        <w:rPr>
          <w:rStyle w:val="TextoNormalNegritaCaracter"/>
        </w:rPr>
        <w:t>Artículo 12</w:t>
      </w:r>
      <w:r>
        <w:t xml:space="preserve"> (redactada por la Directiva 2009/140/CE)</w:t>
      </w:r>
      <w:r w:rsidRPr="0057104C">
        <w:rPr>
          <w:rStyle w:val="TextoNormalNegritaCaracter"/>
        </w:rPr>
        <w:t>.</w:t>
      </w:r>
      <w:r w:rsidRPr="0057104C">
        <w:rPr>
          <w:rStyle w:val="TextoNormalCaracter"/>
        </w:rPr>
        <w:t>-</w:t>
      </w:r>
      <w:r>
        <w:t xml:space="preserve"> Sentencia </w:t>
      </w:r>
      <w:hyperlink w:anchor="SENTENCIA_2016_8" w:history="1">
        <w:r w:rsidRPr="0057104C">
          <w:rPr>
            <w:rStyle w:val="TextoNormalCaracter"/>
          </w:rPr>
          <w:t>8/2016</w:t>
        </w:r>
      </w:hyperlink>
      <w:r>
        <w:t>, f. 10.</w:t>
      </w:r>
    </w:p>
    <w:p w:rsidR="0057104C" w:rsidRDefault="0057104C" w:rsidP="0057104C">
      <w:pPr>
        <w:pStyle w:val="SangriaFrancesaArticulo"/>
      </w:pPr>
    </w:p>
    <w:p w:rsidR="0057104C" w:rsidRDefault="0057104C" w:rsidP="0057104C">
      <w:pPr>
        <w:pStyle w:val="TextoNormalNegritaCursivandice"/>
      </w:pPr>
      <w:r>
        <w:t>Directiva 2009/72/CE del Parlamento Europeo y del Consejo, de 13 de julio de 2009. Normas comunes para el mercado interior de la electricidad y por la que se deroga la Directiva 2003/54/CE</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Sentencias </w:t>
      </w:r>
      <w:hyperlink w:anchor="SENTENCIA_2016_32" w:history="1">
        <w:r w:rsidRPr="0057104C">
          <w:rPr>
            <w:rStyle w:val="TextoNormalCaracter"/>
          </w:rPr>
          <w:t>32/2016</w:t>
        </w:r>
      </w:hyperlink>
      <w:r>
        <w:t xml:space="preserve">, VPII; </w:t>
      </w:r>
      <w:hyperlink w:anchor="SENTENCIA_2016_62" w:history="1">
        <w:r w:rsidRPr="0057104C">
          <w:rPr>
            <w:rStyle w:val="TextoNormalCaracter"/>
          </w:rPr>
          <w:t>62/2016</w:t>
        </w:r>
      </w:hyperlink>
      <w:r>
        <w:t>, ff. 4, 9, VPI, VPII.</w:t>
      </w:r>
    </w:p>
    <w:p w:rsidR="0057104C" w:rsidRDefault="0057104C" w:rsidP="0057104C">
      <w:pPr>
        <w:pStyle w:val="SangriaFrancesaArticulo"/>
      </w:pPr>
      <w:r w:rsidRPr="0057104C">
        <w:rPr>
          <w:rStyle w:val="TextoNormalNegritaCaracter"/>
        </w:rPr>
        <w:t>Considerando 47 y 50.</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Artículo 3.</w:t>
      </w:r>
      <w:r w:rsidRPr="0057104C">
        <w:rPr>
          <w:rStyle w:val="TextoNormalCaracter"/>
        </w:rPr>
        <w:t>-</w:t>
      </w:r>
      <w:r>
        <w:t xml:space="preserve"> Sentencia </w:t>
      </w:r>
      <w:hyperlink w:anchor="SENTENCIA_2016_32" w:history="1">
        <w:r w:rsidRPr="0057104C">
          <w:rPr>
            <w:rStyle w:val="TextoNormalCaracter"/>
          </w:rPr>
          <w:t>32/2016</w:t>
        </w:r>
      </w:hyperlink>
      <w:r>
        <w:t>, f. 10, VPI.</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62" w:history="1">
        <w:r w:rsidRPr="0057104C">
          <w:rPr>
            <w:rStyle w:val="TextoNormalCaracter"/>
          </w:rPr>
          <w:t>62/2016</w:t>
        </w:r>
      </w:hyperlink>
      <w:r>
        <w:t>, f. 10.</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r w:rsidRPr="0057104C">
        <w:rPr>
          <w:rStyle w:val="TextoNormalNegritaCaracter"/>
        </w:rPr>
        <w:t>Artículo 3.7.</w:t>
      </w:r>
      <w:r w:rsidRPr="0057104C">
        <w:rPr>
          <w:rStyle w:val="TextoNormalCaracter"/>
        </w:rPr>
        <w:t>-</w:t>
      </w:r>
      <w:r>
        <w:t xml:space="preserve"> Sentencia </w:t>
      </w:r>
      <w:hyperlink w:anchor="SENTENCIA_2016_62" w:history="1">
        <w:r w:rsidRPr="0057104C">
          <w:rPr>
            <w:rStyle w:val="TextoNormalCaracter"/>
          </w:rPr>
          <w:t>62/2016</w:t>
        </w:r>
      </w:hyperlink>
      <w:r>
        <w:t>, f. 9, VPI, VPII.</w:t>
      </w:r>
    </w:p>
    <w:p w:rsidR="0057104C" w:rsidRDefault="0057104C" w:rsidP="0057104C">
      <w:pPr>
        <w:pStyle w:val="SangriaFrancesaArticulo"/>
      </w:pPr>
      <w:r w:rsidRPr="0057104C">
        <w:rPr>
          <w:rStyle w:val="TextoNormalNegritaCaracter"/>
        </w:rPr>
        <w:t>Artículo 3.8.</w:t>
      </w:r>
      <w:r w:rsidRPr="0057104C">
        <w:rPr>
          <w:rStyle w:val="TextoNormalCaracter"/>
        </w:rPr>
        <w:t>-</w:t>
      </w:r>
      <w:r>
        <w:t xml:space="preserve"> Sentencia </w:t>
      </w:r>
      <w:hyperlink w:anchor="SENTENCIA_2016_62" w:history="1">
        <w:r w:rsidRPr="0057104C">
          <w:rPr>
            <w:rStyle w:val="TextoNormalCaracter"/>
          </w:rPr>
          <w:t>62/2016</w:t>
        </w:r>
      </w:hyperlink>
      <w:r>
        <w:t>, VPI.</w:t>
      </w:r>
    </w:p>
    <w:p w:rsidR="0057104C" w:rsidRDefault="0057104C" w:rsidP="0057104C">
      <w:pPr>
        <w:pStyle w:val="SangriaFrancesaArticulo"/>
      </w:pPr>
      <w:r w:rsidRPr="0057104C">
        <w:rPr>
          <w:rStyle w:val="TextoNormalNegritaCaracter"/>
        </w:rPr>
        <w:t>Artículo 3.9.</w:t>
      </w:r>
      <w:r w:rsidRPr="0057104C">
        <w:rPr>
          <w:rStyle w:val="TextoNormalCaracter"/>
        </w:rPr>
        <w:t>-</w:t>
      </w:r>
      <w:r>
        <w:t xml:space="preserve"> Sentencia </w:t>
      </w:r>
      <w:hyperlink w:anchor="SENTENCIA_2016_62" w:history="1">
        <w:r w:rsidRPr="0057104C">
          <w:rPr>
            <w:rStyle w:val="TextoNormalCaracter"/>
          </w:rPr>
          <w:t>62/2016</w:t>
        </w:r>
      </w:hyperlink>
      <w:r>
        <w:t>, f. 9.</w:t>
      </w:r>
    </w:p>
    <w:p w:rsidR="0057104C" w:rsidRDefault="0057104C" w:rsidP="0057104C">
      <w:pPr>
        <w:pStyle w:val="SangriaFrancesaArticulo"/>
      </w:pPr>
      <w:r w:rsidRPr="0057104C">
        <w:rPr>
          <w:rStyle w:val="TextoNormalNegritaCaracter"/>
        </w:rPr>
        <w:t>Anexo I.</w:t>
      </w:r>
      <w:r w:rsidRPr="0057104C">
        <w:rPr>
          <w:rStyle w:val="TextoNormalCaracter"/>
        </w:rPr>
        <w:t>-</w:t>
      </w:r>
      <w:r>
        <w:t xml:space="preserve"> Sentencia </w:t>
      </w:r>
      <w:hyperlink w:anchor="SENTENCIA_2016_32" w:history="1">
        <w:r w:rsidRPr="0057104C">
          <w:rPr>
            <w:rStyle w:val="TextoNormalCaracter"/>
          </w:rPr>
          <w:t>32/2016</w:t>
        </w:r>
      </w:hyperlink>
      <w:r>
        <w:t>, f. 10, VPI.</w:t>
      </w:r>
    </w:p>
    <w:p w:rsidR="0057104C" w:rsidRDefault="0057104C" w:rsidP="0057104C">
      <w:pPr>
        <w:pStyle w:val="SangriaFrancesaArticulo"/>
      </w:pPr>
    </w:p>
    <w:p w:rsidR="0057104C" w:rsidRDefault="0057104C" w:rsidP="0057104C">
      <w:pPr>
        <w:pStyle w:val="TextoNormalNegritaCursivandice"/>
      </w:pPr>
      <w:r>
        <w:t>Directiva 2009/73/CE del Parlamento Europeo y del Consejo, de 13 de julio de 2009.  Normas comunes para el mercado interior del gas natural y por la que se deroga la Directiva 2003/55/CE</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2" w:history="1">
        <w:r w:rsidRPr="0057104C">
          <w:rPr>
            <w:rStyle w:val="TextoNormalCaracter"/>
          </w:rPr>
          <w:t>62/2016</w:t>
        </w:r>
      </w:hyperlink>
      <w:r>
        <w:t>, f. 9, VPI, VPII.</w:t>
      </w:r>
    </w:p>
    <w:p w:rsidR="0057104C" w:rsidRDefault="0057104C" w:rsidP="0057104C">
      <w:pPr>
        <w:pStyle w:val="SangriaFrancesaArticulo"/>
      </w:pPr>
      <w:r w:rsidRPr="0057104C">
        <w:rPr>
          <w:rStyle w:val="TextoNormalNegritaCaracter"/>
        </w:rPr>
        <w:t>Artículo 3.2.</w:t>
      </w:r>
      <w:r w:rsidRPr="0057104C">
        <w:rPr>
          <w:rStyle w:val="TextoNormalCaracter"/>
        </w:rPr>
        <w:t>-</w:t>
      </w:r>
      <w:r>
        <w:t xml:space="preserve"> Sentencia </w:t>
      </w:r>
      <w:hyperlink w:anchor="SENTENCIA_2016_62" w:history="1">
        <w:r w:rsidRPr="0057104C">
          <w:rPr>
            <w:rStyle w:val="TextoNormalCaracter"/>
          </w:rPr>
          <w:t>62/2016</w:t>
        </w:r>
      </w:hyperlink>
      <w:r>
        <w:t>, f. 10.</w:t>
      </w:r>
    </w:p>
    <w:p w:rsidR="0057104C" w:rsidRDefault="0057104C" w:rsidP="0057104C">
      <w:pPr>
        <w:pStyle w:val="SangriaFrancesaArticulo"/>
      </w:pPr>
      <w:r w:rsidRPr="0057104C">
        <w:rPr>
          <w:rStyle w:val="TextoNormalNegritaCaracter"/>
        </w:rPr>
        <w:t>Artículo 3.3.</w:t>
      </w:r>
      <w:r w:rsidRPr="0057104C">
        <w:rPr>
          <w:rStyle w:val="TextoNormalCaracter"/>
        </w:rPr>
        <w:t>-</w:t>
      </w:r>
      <w:r>
        <w:t xml:space="preserve"> Sentencia </w:t>
      </w:r>
      <w:hyperlink w:anchor="SENTENCIA_2016_62" w:history="1">
        <w:r w:rsidRPr="0057104C">
          <w:rPr>
            <w:rStyle w:val="TextoNormalCaracter"/>
          </w:rPr>
          <w:t>62/2016</w:t>
        </w:r>
      </w:hyperlink>
      <w:r>
        <w:t>, VPII.</w:t>
      </w:r>
    </w:p>
    <w:p w:rsidR="0057104C" w:rsidRDefault="0057104C" w:rsidP="0057104C">
      <w:pPr>
        <w:pStyle w:val="SangriaFrancesaArticulo"/>
      </w:pPr>
    </w:p>
    <w:p w:rsidR="0057104C" w:rsidRDefault="0057104C" w:rsidP="0057104C">
      <w:pPr>
        <w:pStyle w:val="TextoNormalNegritaCursivandice"/>
      </w:pPr>
      <w:r>
        <w:t>Directiva 2009/136/CE del Parlamento Europeo y del Consejo de 25 de noviembre de 2009. Modifica la Directiva 2002/22/CE relativa al servicio universal y los derechos de los usuarios en relación con las redes y los servicios de comunicaciones electrónicas, la Directiva 2002/58/CE relativa al tratamiento de los datos personales y a la protección de la intimidad en el sector de las comunicaciones electrónicas y el Reglamento (CE) 2006/2004 sobre la cooperación en materia de protección de los consumidores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 w:history="1">
        <w:r w:rsidRPr="0057104C">
          <w:rPr>
            <w:rStyle w:val="TextoNormalCaracter"/>
          </w:rPr>
          <w:t>8/2016</w:t>
        </w:r>
      </w:hyperlink>
      <w:r>
        <w:t>, f. 2.</w:t>
      </w:r>
    </w:p>
    <w:p w:rsidR="0057104C" w:rsidRDefault="0057104C" w:rsidP="0057104C">
      <w:pPr>
        <w:pStyle w:val="SangriaFrancesaArticulo"/>
      </w:pPr>
    </w:p>
    <w:p w:rsidR="0057104C" w:rsidRDefault="0057104C" w:rsidP="0057104C">
      <w:pPr>
        <w:pStyle w:val="TextoNormalNegritaCursivandice"/>
      </w:pPr>
      <w:r>
        <w:t>Directiva 2009/140/CE del Parlamento Europeo y del Consejo de 25 de noviembre de 2009.  Modifica la Directiva 2002/21/CE relativa a un marco regulador común de las redes y los servicios de comunicaciones electrónicas, la Directiva 2002/19/CE relativa al acceso a las redes de comunicaciones electrónicas y recursos asociados, y a su interconexión, y la Directiva 2002/20/CE relativa a la autorización de redes y servicios de comunicaciones electrónicas</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 w:history="1">
        <w:r w:rsidRPr="0057104C">
          <w:rPr>
            <w:rStyle w:val="TextoNormalCaracter"/>
          </w:rPr>
          <w:t>8/2016</w:t>
        </w:r>
      </w:hyperlink>
      <w:r>
        <w:t>, ff. 2, 5, 11.</w:t>
      </w:r>
    </w:p>
    <w:p w:rsidR="0057104C" w:rsidRDefault="0057104C" w:rsidP="0057104C">
      <w:pPr>
        <w:pStyle w:val="SangriaFrancesaArticulo"/>
      </w:pPr>
      <w:r w:rsidRPr="0057104C">
        <w:rPr>
          <w:rStyle w:val="TextoNormalNegritaCaracter"/>
        </w:rPr>
        <w:t>Considerando 43.</w:t>
      </w:r>
      <w:r w:rsidRPr="0057104C">
        <w:rPr>
          <w:rStyle w:val="TextoNormalCaracter"/>
        </w:rPr>
        <w:t>-</w:t>
      </w:r>
      <w:r>
        <w:t xml:space="preserve"> Sentencia </w:t>
      </w:r>
      <w:hyperlink w:anchor="SENTENCIA_2016_8" w:history="1">
        <w:r w:rsidRPr="0057104C">
          <w:rPr>
            <w:rStyle w:val="TextoNormalCaracter"/>
          </w:rPr>
          <w:t>8/2016</w:t>
        </w:r>
      </w:hyperlink>
      <w:r>
        <w:t>, f. 10.</w:t>
      </w:r>
    </w:p>
    <w:p w:rsidR="0057104C" w:rsidRDefault="0057104C" w:rsidP="0057104C">
      <w:pPr>
        <w:pStyle w:val="SangriaFrancesaArticulo"/>
      </w:pPr>
    </w:p>
    <w:p w:rsidR="0057104C" w:rsidRDefault="0057104C" w:rsidP="0057104C">
      <w:pPr>
        <w:pStyle w:val="TextoNormalNegritaCursivandice"/>
      </w:pPr>
      <w:r>
        <w:t>Comunicación de la Comisión Europea 2013/C 25/01. Directrices de la Unión Europea para la aplicación de las normas sobre ayudas estatales al despliegue rápido de redes de banda ancha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Considerando 78 g).</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r w:rsidRPr="0057104C">
        <w:rPr>
          <w:rStyle w:val="TextoNormalNegritaCaracter"/>
        </w:rPr>
        <w:t>Considerando 66.</w:t>
      </w:r>
      <w:r w:rsidRPr="0057104C">
        <w:rPr>
          <w:rStyle w:val="TextoNormalCaracter"/>
        </w:rPr>
        <w:t>-</w:t>
      </w:r>
      <w:r>
        <w:t xml:space="preserve"> Sentencia </w:t>
      </w:r>
      <w:hyperlink w:anchor="SENTENCIA_2016_8" w:history="1">
        <w:r w:rsidRPr="0057104C">
          <w:rPr>
            <w:rStyle w:val="TextoNormalCaracter"/>
          </w:rPr>
          <w:t>8/2016</w:t>
        </w:r>
      </w:hyperlink>
      <w:r>
        <w:t>, f. 6.</w:t>
      </w:r>
    </w:p>
    <w:p w:rsidR="0057104C" w:rsidRDefault="0057104C" w:rsidP="0057104C">
      <w:pPr>
        <w:pStyle w:val="SangriaFrancesaArticulo"/>
      </w:pPr>
    </w:p>
    <w:p w:rsidR="0057104C" w:rsidRDefault="0057104C" w:rsidP="0057104C">
      <w:pPr>
        <w:pStyle w:val="TextoNormalNegritaCursivandice"/>
      </w:pPr>
      <w:r>
        <w:t>Directiva 2013/11/UE del Parlamento Europeo y del Consejo, de 21 de mayo de 2013. Resolución alternativa de litigios en materia de consumo y por la que se modifica el Reglamento (CE) 2006/2004 y la Directiva 2009/22/CE</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2" w:history="1">
        <w:r w:rsidRPr="0057104C">
          <w:rPr>
            <w:rStyle w:val="TextoNormalCaracter"/>
          </w:rPr>
          <w:t>32/2016</w:t>
        </w:r>
      </w:hyperlink>
      <w:r>
        <w:t>, f. 11.</w:t>
      </w:r>
    </w:p>
    <w:p w:rsidR="0057104C" w:rsidRDefault="0057104C" w:rsidP="0057104C">
      <w:pPr>
        <w:pStyle w:val="TextoNormal"/>
      </w:pPr>
    </w:p>
    <w:p w:rsidR="0057104C" w:rsidRDefault="0057104C" w:rsidP="0057104C">
      <w:pPr>
        <w:pStyle w:val="SangriaFrancesaArticulo"/>
      </w:pPr>
      <w:bookmarkStart w:id="279" w:name="INDICE27994"/>
    </w:p>
    <w:bookmarkEnd w:id="279"/>
    <w:p w:rsidR="0057104C" w:rsidRDefault="0057104C" w:rsidP="0057104C">
      <w:pPr>
        <w:pStyle w:val="TextoIndiceNivel2"/>
        <w:suppressAutoHyphens/>
      </w:pPr>
      <w:r>
        <w:t>N) Consejo de Europa</w:t>
      </w:r>
    </w:p>
    <w:p w:rsidR="0057104C" w:rsidRDefault="0057104C" w:rsidP="0057104C">
      <w:pPr>
        <w:pStyle w:val="TextoIndiceNivel2"/>
      </w:pPr>
    </w:p>
    <w:p w:rsidR="0057104C" w:rsidRDefault="0057104C" w:rsidP="0057104C">
      <w:pPr>
        <w:pStyle w:val="TextoNormalNegritaCursivandice"/>
      </w:pPr>
      <w:r>
        <w:t>Convenio europeo para la protección de los derechos humanos y de las libertades fundamentales, hecho en Roma el 4 de noviembre de 1950. Ratificado por Instrumento de 26 de septiembre de 1979</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65" w:history="1">
        <w:r w:rsidRPr="0057104C">
          <w:rPr>
            <w:rStyle w:val="TextoNormalCaracter"/>
          </w:rPr>
          <w:t>65/2016</w:t>
        </w:r>
      </w:hyperlink>
      <w:r>
        <w:t>, f. 4.</w:t>
      </w:r>
    </w:p>
    <w:p w:rsidR="0057104C" w:rsidRDefault="0057104C" w:rsidP="0057104C">
      <w:pPr>
        <w:pStyle w:val="SangriaFrancesaArticulo"/>
      </w:pPr>
      <w:r w:rsidRPr="0057104C">
        <w:rPr>
          <w:rStyle w:val="TextoNormalNegritaCaracter"/>
        </w:rPr>
        <w:t>Artículo 5.4.</w:t>
      </w:r>
      <w:r w:rsidRPr="0057104C">
        <w:rPr>
          <w:rStyle w:val="TextoNormalCaracter"/>
        </w:rPr>
        <w:t>-</w:t>
      </w:r>
      <w:r>
        <w:t xml:space="preserve"> Sentencias </w:t>
      </w:r>
      <w:hyperlink w:anchor="SENTENCIA_2016_22" w:history="1">
        <w:r w:rsidRPr="0057104C">
          <w:rPr>
            <w:rStyle w:val="TextoNormalCaracter"/>
          </w:rPr>
          <w:t>22/2016</w:t>
        </w:r>
      </w:hyperlink>
      <w:r>
        <w:t xml:space="preserve">, f. 4; </w:t>
      </w:r>
      <w:hyperlink w:anchor="SENTENCIA_2016_50" w:history="1">
        <w:r w:rsidRPr="0057104C">
          <w:rPr>
            <w:rStyle w:val="TextoNormalCaracter"/>
          </w:rPr>
          <w:t>50/2016</w:t>
        </w:r>
      </w:hyperlink>
      <w:r>
        <w:t>, f. 4.</w:t>
      </w:r>
    </w:p>
    <w:p w:rsidR="0057104C" w:rsidRDefault="0057104C" w:rsidP="0057104C">
      <w:pPr>
        <w:pStyle w:val="SangriaFrancesaArticulo"/>
      </w:pPr>
      <w:r w:rsidRPr="0057104C">
        <w:rPr>
          <w:rStyle w:val="TextoNormalNegritaCaracter"/>
        </w:rPr>
        <w:t>Artículo 6.1.</w:t>
      </w:r>
      <w:r w:rsidRPr="0057104C">
        <w:rPr>
          <w:rStyle w:val="TextoNormalCaracter"/>
        </w:rPr>
        <w:t>-</w:t>
      </w:r>
      <w:r>
        <w:t xml:space="preserve"> Sentencias </w:t>
      </w:r>
      <w:hyperlink w:anchor="SENTENCIA_2016_63" w:history="1">
        <w:r w:rsidRPr="0057104C">
          <w:rPr>
            <w:rStyle w:val="TextoNormalCaracter"/>
          </w:rPr>
          <w:t>63/2016</w:t>
        </w:r>
      </w:hyperlink>
      <w:r>
        <w:t xml:space="preserve">, ff. 4, 6; </w:t>
      </w:r>
      <w:hyperlink w:anchor="SENTENCIA_2016_75" w:history="1">
        <w:r w:rsidRPr="0057104C">
          <w:rPr>
            <w:rStyle w:val="TextoNormalCaracter"/>
          </w:rPr>
          <w:t>75/2016</w:t>
        </w:r>
      </w:hyperlink>
      <w:r>
        <w:t xml:space="preserve">, ff. 4, 6; </w:t>
      </w:r>
      <w:hyperlink w:anchor="SENTENCIA_2016_76" w:history="1">
        <w:r w:rsidRPr="0057104C">
          <w:rPr>
            <w:rStyle w:val="TextoNormalCaracter"/>
          </w:rPr>
          <w:t>76/2016</w:t>
        </w:r>
      </w:hyperlink>
      <w:r>
        <w:t xml:space="preserve">, f. 4; </w:t>
      </w:r>
      <w:hyperlink w:anchor="SENTENCIA_2016_77" w:history="1">
        <w:r w:rsidRPr="0057104C">
          <w:rPr>
            <w:rStyle w:val="TextoNormalCaracter"/>
          </w:rPr>
          <w:t>77/2016</w:t>
        </w:r>
      </w:hyperlink>
      <w:r>
        <w:t xml:space="preserve">, ff. 4, 6; </w:t>
      </w:r>
      <w:hyperlink w:anchor="SENTENCIA_2016_89" w:history="1">
        <w:r w:rsidRPr="0057104C">
          <w:rPr>
            <w:rStyle w:val="TextoNormalCaracter"/>
          </w:rPr>
          <w:t>89/2016</w:t>
        </w:r>
      </w:hyperlink>
      <w:r>
        <w:t xml:space="preserve">, ff. 4, 6; </w:t>
      </w:r>
      <w:hyperlink w:anchor="SENTENCIA_2016_103" w:history="1">
        <w:r w:rsidRPr="0057104C">
          <w:rPr>
            <w:rStyle w:val="TextoNormalCaracter"/>
          </w:rPr>
          <w:t>103/2016</w:t>
        </w:r>
      </w:hyperlink>
      <w:r>
        <w:t>, ff. 4, 6.</w:t>
      </w:r>
    </w:p>
    <w:p w:rsidR="0057104C" w:rsidRDefault="0057104C" w:rsidP="0057104C">
      <w:pPr>
        <w:pStyle w:val="SangriaFrancesaArticulo"/>
      </w:pPr>
      <w:r w:rsidRPr="0057104C">
        <w:rPr>
          <w:rStyle w:val="TextoNormalNegritaCaracter"/>
        </w:rPr>
        <w:t>Artículo 6.2.</w:t>
      </w:r>
      <w:r w:rsidRPr="0057104C">
        <w:rPr>
          <w:rStyle w:val="TextoNormalCaracter"/>
        </w:rPr>
        <w:t>-</w:t>
      </w:r>
      <w:r>
        <w:t xml:space="preserve"> Sentencia </w:t>
      </w:r>
      <w:hyperlink w:anchor="SENTENCIA_2016_117" w:history="1">
        <w:r w:rsidRPr="0057104C">
          <w:rPr>
            <w:rStyle w:val="TextoNormalCaracter"/>
          </w:rPr>
          <w:t>117/2016</w:t>
        </w:r>
      </w:hyperlink>
      <w:r>
        <w:t>, f. 4.</w:t>
      </w:r>
    </w:p>
    <w:p w:rsidR="0057104C" w:rsidRDefault="0057104C" w:rsidP="0057104C">
      <w:pPr>
        <w:pStyle w:val="SangriaFrancesaArticulo"/>
      </w:pPr>
      <w:r w:rsidRPr="0057104C">
        <w:rPr>
          <w:rStyle w:val="TextoNormalNegritaCaracter"/>
        </w:rPr>
        <w:t>Artículo 7.</w:t>
      </w:r>
      <w:r w:rsidRPr="0057104C">
        <w:rPr>
          <w:rStyle w:val="TextoNormalCaracter"/>
        </w:rPr>
        <w:t>-</w:t>
      </w:r>
      <w:r>
        <w:t xml:space="preserve"> Sentencia </w:t>
      </w:r>
      <w:hyperlink w:anchor="SENTENCIA_2016_123" w:history="1">
        <w:r w:rsidRPr="0057104C">
          <w:rPr>
            <w:rStyle w:val="TextoNormalCaracter"/>
          </w:rPr>
          <w:t>123/2016</w:t>
        </w:r>
      </w:hyperlink>
      <w:r>
        <w:t>, f. 2.</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Sentencias </w:t>
      </w:r>
      <w:hyperlink w:anchor="SENTENCIA_2016_11" w:history="1">
        <w:r w:rsidRPr="0057104C">
          <w:rPr>
            <w:rStyle w:val="TextoNormalCaracter"/>
          </w:rPr>
          <w:t>11/2016</w:t>
        </w:r>
      </w:hyperlink>
      <w:r>
        <w:t xml:space="preserve">, ff. 1, 2, VPII, VPIII; </w:t>
      </w:r>
      <w:hyperlink w:anchor="SENTENCIA_2016_16" w:history="1">
        <w:r w:rsidRPr="0057104C">
          <w:rPr>
            <w:rStyle w:val="TextoNormalCaracter"/>
          </w:rPr>
          <w:t>16/2016</w:t>
        </w:r>
      </w:hyperlink>
      <w:r>
        <w:t>, ff. 8 a 10.</w:t>
      </w:r>
    </w:p>
    <w:p w:rsidR="0057104C" w:rsidRDefault="0057104C" w:rsidP="0057104C">
      <w:pPr>
        <w:pStyle w:val="SangriaIzquierdaArticulo"/>
      </w:pPr>
      <w:r>
        <w:t xml:space="preserve">Auto </w:t>
      </w:r>
      <w:hyperlink w:anchor="AUTO_2016_129" w:history="1">
        <w:r w:rsidRPr="0057104C">
          <w:rPr>
            <w:rStyle w:val="TextoNormalCaracter"/>
          </w:rPr>
          <w:t>129/2016</w:t>
        </w:r>
      </w:hyperlink>
      <w:r>
        <w:t>, f. 4.</w:t>
      </w:r>
    </w:p>
    <w:p w:rsidR="0057104C" w:rsidRDefault="0057104C" w:rsidP="0057104C">
      <w:pPr>
        <w:pStyle w:val="SangriaFrancesaArticulo"/>
      </w:pPr>
      <w:r w:rsidRPr="0057104C">
        <w:rPr>
          <w:rStyle w:val="TextoNormalNegritaCaracter"/>
        </w:rPr>
        <w:t>Artículo 8.2.</w:t>
      </w:r>
      <w:r w:rsidRPr="0057104C">
        <w:rPr>
          <w:rStyle w:val="TextoNormalCaracter"/>
        </w:rPr>
        <w:t>-</w:t>
      </w:r>
      <w:r>
        <w:t xml:space="preserve"> Sentencia </w:t>
      </w:r>
      <w:hyperlink w:anchor="SENTENCIA_2016_11" w:history="1">
        <w:r w:rsidRPr="0057104C">
          <w:rPr>
            <w:rStyle w:val="TextoNormalCaracter"/>
          </w:rPr>
          <w:t>11/2016</w:t>
        </w:r>
      </w:hyperlink>
      <w:r>
        <w:t>, VPIII.</w:t>
      </w:r>
    </w:p>
    <w:p w:rsidR="0057104C" w:rsidRDefault="0057104C" w:rsidP="0057104C">
      <w:pPr>
        <w:pStyle w:val="SangriaFrancesaArticulo"/>
      </w:pPr>
      <w:r w:rsidRPr="0057104C">
        <w:rPr>
          <w:rStyle w:val="TextoNormalNegritaCaracter"/>
        </w:rPr>
        <w:t>Artículo 9.</w:t>
      </w:r>
      <w:r w:rsidRPr="0057104C">
        <w:rPr>
          <w:rStyle w:val="TextoNormalCaracter"/>
        </w:rPr>
        <w:t>-</w:t>
      </w:r>
      <w:r>
        <w:t xml:space="preserve"> Sentencia </w:t>
      </w:r>
      <w:hyperlink w:anchor="SENTENCIA_2016_11" w:history="1">
        <w:r w:rsidRPr="0057104C">
          <w:rPr>
            <w:rStyle w:val="TextoNormalCaracter"/>
          </w:rPr>
          <w:t>11/2016</w:t>
        </w:r>
      </w:hyperlink>
      <w:r>
        <w:t>, VPIII.</w:t>
      </w:r>
    </w:p>
    <w:p w:rsidR="0057104C" w:rsidRDefault="0057104C" w:rsidP="0057104C">
      <w:pPr>
        <w:pStyle w:val="SangriaFrancesaArticulo"/>
      </w:pPr>
      <w:r w:rsidRPr="0057104C">
        <w:rPr>
          <w:rStyle w:val="TextoNormalNegritaCaracter"/>
        </w:rPr>
        <w:t>Protocolo 1.</w:t>
      </w:r>
      <w:r w:rsidRPr="0057104C">
        <w:rPr>
          <w:rStyle w:val="TextoNormalCaracter"/>
        </w:rPr>
        <w:t>-</w:t>
      </w:r>
      <w:r>
        <w:t xml:space="preserve"> Auto </w:t>
      </w:r>
      <w:hyperlink w:anchor="AUTO_2016_129" w:history="1">
        <w:r w:rsidRPr="0057104C">
          <w:rPr>
            <w:rStyle w:val="TextoNormalCaracter"/>
          </w:rPr>
          <w:t>129/2016</w:t>
        </w:r>
      </w:hyperlink>
      <w:r>
        <w:t>, f. 4.</w:t>
      </w:r>
    </w:p>
    <w:p w:rsidR="0057104C" w:rsidRDefault="0057104C" w:rsidP="0057104C">
      <w:pPr>
        <w:pStyle w:val="SangriaFrancesaArticulo"/>
      </w:pPr>
      <w:r w:rsidRPr="0057104C">
        <w:rPr>
          <w:rStyle w:val="TextoNormalNegritaCaracter"/>
        </w:rPr>
        <w:t>Artículo 8.</w:t>
      </w:r>
      <w:r w:rsidRPr="0057104C">
        <w:rPr>
          <w:rStyle w:val="TextoNormalCaracter"/>
        </w:rPr>
        <w:t>-</w:t>
      </w:r>
      <w:r>
        <w:t xml:space="preserve"> Sentencia </w:t>
      </w:r>
      <w:hyperlink w:anchor="SENTENCIA_2016_65" w:history="1">
        <w:r w:rsidRPr="0057104C">
          <w:rPr>
            <w:rStyle w:val="TextoNormalCaracter"/>
          </w:rPr>
          <w:t>65/2016</w:t>
        </w:r>
      </w:hyperlink>
      <w:r>
        <w:t>, ff. 1, 7.</w:t>
      </w:r>
    </w:p>
    <w:p w:rsidR="0057104C" w:rsidRDefault="0057104C" w:rsidP="0057104C">
      <w:pPr>
        <w:pStyle w:val="SangriaFrancesaArticulo"/>
      </w:pPr>
      <w:r w:rsidRPr="0057104C">
        <w:rPr>
          <w:rStyle w:val="TextoNormalNegritaCaracter"/>
        </w:rPr>
        <w:t>Artículo 8.1.</w:t>
      </w:r>
      <w:r w:rsidRPr="0057104C">
        <w:rPr>
          <w:rStyle w:val="TextoNormalCaracter"/>
        </w:rPr>
        <w:t>-</w:t>
      </w:r>
      <w:r>
        <w:t xml:space="preserve"> Sentencia </w:t>
      </w:r>
      <w:hyperlink w:anchor="SENTENCIA_2016_11" w:history="1">
        <w:r w:rsidRPr="0057104C">
          <w:rPr>
            <w:rStyle w:val="TextoNormalCaracter"/>
          </w:rPr>
          <w:t>11/2016</w:t>
        </w:r>
      </w:hyperlink>
      <w:r>
        <w:t>, VPI, VPIII.</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r w:rsidRPr="0057104C">
        <w:rPr>
          <w:rStyle w:val="TextoNormalNegritaCaracter"/>
        </w:rPr>
        <w:t>Artículo 10.2.</w:t>
      </w:r>
      <w:r w:rsidRPr="0057104C">
        <w:rPr>
          <w:rStyle w:val="TextoNormalCaracter"/>
        </w:rPr>
        <w:t>-</w:t>
      </w:r>
      <w:r>
        <w:t xml:space="preserve"> Sentencia </w:t>
      </w:r>
      <w:hyperlink w:anchor="SENTENCIA_2016_112" w:history="1">
        <w:r w:rsidRPr="0057104C">
          <w:rPr>
            <w:rStyle w:val="TextoNormalCaracter"/>
          </w:rPr>
          <w:t>112/2016</w:t>
        </w:r>
      </w:hyperlink>
      <w:r>
        <w:t>, f. 4.</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65" w:history="1">
        <w:r w:rsidRPr="0057104C">
          <w:rPr>
            <w:rStyle w:val="TextoNormalCaracter"/>
          </w:rPr>
          <w:t>65/2016</w:t>
        </w:r>
      </w:hyperlink>
      <w:r>
        <w:t>, f. 1.</w:t>
      </w:r>
    </w:p>
    <w:p w:rsidR="0057104C" w:rsidRDefault="0057104C" w:rsidP="0057104C">
      <w:pPr>
        <w:pStyle w:val="SangriaFrancesaArticulo"/>
      </w:pPr>
      <w:r w:rsidRPr="0057104C">
        <w:rPr>
          <w:rStyle w:val="TextoNormalNegritaCaracter"/>
        </w:rPr>
        <w:t>Artículo 14.</w:t>
      </w:r>
      <w:r w:rsidRPr="0057104C">
        <w:rPr>
          <w:rStyle w:val="TextoNormalCaracter"/>
        </w:rPr>
        <w:t>-</w:t>
      </w:r>
      <w:r>
        <w:t xml:space="preserve"> Auto </w:t>
      </w:r>
      <w:hyperlink w:anchor="AUTO_2016_129" w:history="1">
        <w:r w:rsidRPr="0057104C">
          <w:rPr>
            <w:rStyle w:val="TextoNormalCaracter"/>
          </w:rPr>
          <w:t>129/2016</w:t>
        </w:r>
      </w:hyperlink>
      <w:r>
        <w:t>, f. 4.</w:t>
      </w:r>
    </w:p>
    <w:p w:rsidR="0057104C" w:rsidRDefault="0057104C" w:rsidP="0057104C">
      <w:pPr>
        <w:pStyle w:val="SangriaFrancesaArticulo"/>
      </w:pPr>
      <w:r w:rsidRPr="0057104C">
        <w:rPr>
          <w:rStyle w:val="TextoNormalNegritaCaracter"/>
        </w:rPr>
        <w:t>Artículo 17.</w:t>
      </w:r>
      <w:r w:rsidRPr="0057104C">
        <w:rPr>
          <w:rStyle w:val="TextoNormalCaracter"/>
        </w:rPr>
        <w:t>-</w:t>
      </w:r>
      <w:r>
        <w:t xml:space="preserve"> Sentencia </w:t>
      </w:r>
      <w:hyperlink w:anchor="SENTENCIA_2016_112" w:history="1">
        <w:r w:rsidRPr="0057104C">
          <w:rPr>
            <w:rStyle w:val="TextoNormalCaracter"/>
          </w:rPr>
          <w:t>112/2016</w:t>
        </w:r>
      </w:hyperlink>
      <w:r>
        <w:t>, f. 4.</w:t>
      </w:r>
    </w:p>
    <w:p w:rsidR="0057104C" w:rsidRDefault="0057104C" w:rsidP="0057104C">
      <w:pPr>
        <w:pStyle w:val="SangriaFrancesaArticulo"/>
      </w:pPr>
      <w:r w:rsidRPr="0057104C">
        <w:rPr>
          <w:rStyle w:val="TextoNormalNegritaCaracter"/>
        </w:rPr>
        <w:t>Artículo 41.</w:t>
      </w:r>
      <w:r w:rsidRPr="0057104C">
        <w:rPr>
          <w:rStyle w:val="TextoNormalCaracter"/>
        </w:rPr>
        <w:t>-</w:t>
      </w:r>
      <w:r>
        <w:t xml:space="preserve"> Sentencia </w:t>
      </w:r>
      <w:hyperlink w:anchor="SENTENCIA_2016_23" w:history="1">
        <w:r w:rsidRPr="0057104C">
          <w:rPr>
            <w:rStyle w:val="TextoNormalCaracter"/>
          </w:rPr>
          <w:t>23/2016</w:t>
        </w:r>
      </w:hyperlink>
      <w:r>
        <w:t>, f. 3.</w:t>
      </w:r>
    </w:p>
    <w:p w:rsidR="0057104C" w:rsidRDefault="0057104C" w:rsidP="0057104C">
      <w:pPr>
        <w:pStyle w:val="SangriaFrancesaArticulo"/>
      </w:pPr>
      <w:r w:rsidRPr="0057104C">
        <w:rPr>
          <w:rStyle w:val="TextoNormalNegritaCaracter"/>
        </w:rPr>
        <w:t>Artículo 46.</w:t>
      </w:r>
      <w:r w:rsidRPr="0057104C">
        <w:rPr>
          <w:rStyle w:val="TextoNormalCaracter"/>
        </w:rPr>
        <w:t>-</w:t>
      </w:r>
      <w:r>
        <w:t xml:space="preserve"> Sentencia </w:t>
      </w:r>
      <w:hyperlink w:anchor="SENTENCIA_2016_65" w:history="1">
        <w:r w:rsidRPr="0057104C">
          <w:rPr>
            <w:rStyle w:val="TextoNormalCaracter"/>
          </w:rPr>
          <w:t>65/2016</w:t>
        </w:r>
      </w:hyperlink>
      <w:r>
        <w:t>, f. 6.</w:t>
      </w:r>
    </w:p>
    <w:p w:rsidR="0057104C" w:rsidRDefault="0057104C" w:rsidP="0057104C">
      <w:pPr>
        <w:pStyle w:val="SangriaFrancesaArticulo"/>
      </w:pPr>
      <w:r w:rsidRPr="0057104C">
        <w:rPr>
          <w:rStyle w:val="TextoNormalNegritaCaracter"/>
        </w:rPr>
        <w:t>Artículo 46.2.</w:t>
      </w:r>
      <w:r w:rsidRPr="0057104C">
        <w:rPr>
          <w:rStyle w:val="TextoNormalCaracter"/>
        </w:rPr>
        <w:t>-</w:t>
      </w:r>
      <w:r>
        <w:t xml:space="preserve"> Sentencia </w:t>
      </w:r>
      <w:hyperlink w:anchor="SENTENCIA_2016_65" w:history="1">
        <w:r w:rsidRPr="0057104C">
          <w:rPr>
            <w:rStyle w:val="TextoNormalCaracter"/>
          </w:rPr>
          <w:t>65/2016</w:t>
        </w:r>
      </w:hyperlink>
      <w:r>
        <w:t>, f. 6.</w:t>
      </w:r>
    </w:p>
    <w:p w:rsidR="0057104C" w:rsidRDefault="0057104C" w:rsidP="0057104C">
      <w:pPr>
        <w:pStyle w:val="SangriaFrancesaArticulo"/>
      </w:pPr>
      <w:r w:rsidRPr="0057104C">
        <w:rPr>
          <w:rStyle w:val="TextoNormalNegritaCaracter"/>
        </w:rPr>
        <w:t>§ 52.</w:t>
      </w:r>
      <w:r w:rsidRPr="0057104C">
        <w:rPr>
          <w:rStyle w:val="TextoNormalCaracter"/>
        </w:rPr>
        <w:t>-</w:t>
      </w:r>
      <w:r>
        <w:t xml:space="preserve"> Sentencia </w:t>
      </w:r>
      <w:hyperlink w:anchor="SENTENCIA_2016_11" w:history="1">
        <w:r w:rsidRPr="0057104C">
          <w:rPr>
            <w:rStyle w:val="TextoNormalCaracter"/>
          </w:rPr>
          <w:t>11/2016</w:t>
        </w:r>
      </w:hyperlink>
      <w:r>
        <w:t>, f. 2.</w:t>
      </w:r>
    </w:p>
    <w:p w:rsidR="0057104C" w:rsidRDefault="0057104C" w:rsidP="0057104C">
      <w:pPr>
        <w:pStyle w:val="SangriaFrancesaArticulo"/>
      </w:pPr>
      <w:r w:rsidRPr="0057104C">
        <w:rPr>
          <w:rStyle w:val="TextoNormalNegritaCaracter"/>
        </w:rPr>
        <w:t>§§ 53-62.</w:t>
      </w:r>
      <w:r w:rsidRPr="0057104C">
        <w:rPr>
          <w:rStyle w:val="TextoNormalCaracter"/>
        </w:rPr>
        <w:t>-</w:t>
      </w:r>
      <w:r>
        <w:t xml:space="preserve"> Sentencia </w:t>
      </w:r>
      <w:hyperlink w:anchor="SENTENCIA_2016_11" w:history="1">
        <w:r w:rsidRPr="0057104C">
          <w:rPr>
            <w:rStyle w:val="TextoNormalCaracter"/>
          </w:rPr>
          <w:t>11/2016</w:t>
        </w:r>
      </w:hyperlink>
      <w:r>
        <w:t>, f. 2.</w:t>
      </w:r>
    </w:p>
    <w:p w:rsidR="0057104C" w:rsidRDefault="0057104C" w:rsidP="0057104C">
      <w:pPr>
        <w:pStyle w:val="SangriaFrancesaArticulo"/>
      </w:pPr>
      <w:r w:rsidRPr="0057104C">
        <w:rPr>
          <w:rStyle w:val="TextoNormalNegritaCaracter"/>
        </w:rPr>
        <w:t>§ 58.</w:t>
      </w:r>
      <w:r w:rsidRPr="0057104C">
        <w:rPr>
          <w:rStyle w:val="TextoNormalCaracter"/>
        </w:rPr>
        <w:t>-</w:t>
      </w:r>
      <w:r>
        <w:t xml:space="preserve"> Sentencia </w:t>
      </w:r>
      <w:hyperlink w:anchor="SENTENCIA_2016_11" w:history="1">
        <w:r w:rsidRPr="0057104C">
          <w:rPr>
            <w:rStyle w:val="TextoNormalCaracter"/>
          </w:rPr>
          <w:t>11/2016</w:t>
        </w:r>
      </w:hyperlink>
      <w:r>
        <w:t>, f. 2.</w:t>
      </w:r>
    </w:p>
    <w:p w:rsidR="0057104C" w:rsidRDefault="0057104C" w:rsidP="0057104C">
      <w:pPr>
        <w:pStyle w:val="SangriaFrancesaArticulo"/>
      </w:pPr>
      <w:r w:rsidRPr="0057104C">
        <w:rPr>
          <w:rStyle w:val="TextoNormalNegritaCaracter"/>
        </w:rPr>
        <w:t>§ 64.</w:t>
      </w:r>
      <w:r w:rsidRPr="0057104C">
        <w:rPr>
          <w:rStyle w:val="TextoNormalCaracter"/>
        </w:rPr>
        <w:t>-</w:t>
      </w:r>
      <w:r>
        <w:t xml:space="preserve"> Sentencia </w:t>
      </w:r>
      <w:hyperlink w:anchor="SENTENCIA_2016_11" w:history="1">
        <w:r w:rsidRPr="0057104C">
          <w:rPr>
            <w:rStyle w:val="TextoNormalCaracter"/>
          </w:rPr>
          <w:t>11/2016</w:t>
        </w:r>
      </w:hyperlink>
      <w:r>
        <w:t>, f. 2.</w:t>
      </w:r>
    </w:p>
    <w:p w:rsidR="0057104C" w:rsidRDefault="0057104C" w:rsidP="0057104C">
      <w:pPr>
        <w:pStyle w:val="SangriaFrancesaArticulo"/>
      </w:pPr>
    </w:p>
    <w:p w:rsidR="0057104C" w:rsidRDefault="0057104C" w:rsidP="0057104C">
      <w:pPr>
        <w:pStyle w:val="TextoNormalNegritaCursivandice"/>
      </w:pPr>
      <w:r>
        <w:t>Carta europea de autonomía local, hecha en Estrasburgo, de 15 de octubre de 1985. Ratificada por Instrumento de 20 de enero de 1988</w:t>
      </w:r>
    </w:p>
    <w:p w:rsidR="0057104C" w:rsidRDefault="0057104C" w:rsidP="0057104C">
      <w:pPr>
        <w:pStyle w:val="SangriaFrancesaArticulo"/>
      </w:pPr>
      <w:r w:rsidRPr="0057104C">
        <w:rPr>
          <w:rStyle w:val="TextoNormalNegritaCaracter"/>
        </w:rPr>
        <w:t>Preámbulo.</w:t>
      </w:r>
      <w:r w:rsidRPr="0057104C">
        <w:rPr>
          <w:rStyle w:val="TextoNormalCaracter"/>
        </w:rPr>
        <w:t>-</w:t>
      </w:r>
      <w:r>
        <w:t xml:space="preserve"> Sentencia </w:t>
      </w:r>
      <w:hyperlink w:anchor="SENTENCIA_2016_111" w:history="1">
        <w:r w:rsidRPr="0057104C">
          <w:rPr>
            <w:rStyle w:val="TextoNormalCaracter"/>
          </w:rPr>
          <w:t>111/2016</w:t>
        </w:r>
      </w:hyperlink>
      <w:r>
        <w:t>, f. 8.</w:t>
      </w:r>
    </w:p>
    <w:p w:rsidR="0057104C" w:rsidRDefault="0057104C" w:rsidP="0057104C">
      <w:pPr>
        <w:pStyle w:val="SangriaFrancesaArticulo"/>
      </w:pPr>
      <w:r w:rsidRPr="0057104C">
        <w:rPr>
          <w:rStyle w:val="TextoNormalNegritaCaracter"/>
        </w:rPr>
        <w:t>Artículo 19.</w:t>
      </w:r>
      <w:r w:rsidRPr="0057104C">
        <w:rPr>
          <w:rStyle w:val="TextoNormalCaracter"/>
        </w:rPr>
        <w:t>-</w:t>
      </w:r>
      <w:r>
        <w:t xml:space="preserve"> Sentencia </w:t>
      </w:r>
      <w:hyperlink w:anchor="SENTENCIA_2016_41" w:history="1">
        <w:r w:rsidRPr="0057104C">
          <w:rPr>
            <w:rStyle w:val="TextoNormalCaracter"/>
          </w:rPr>
          <w:t>41/2016</w:t>
        </w:r>
      </w:hyperlink>
      <w:r>
        <w:t>, f. 5.</w:t>
      </w:r>
    </w:p>
    <w:p w:rsidR="0057104C" w:rsidRDefault="0057104C" w:rsidP="0057104C">
      <w:pPr>
        <w:pStyle w:val="SangriaFrancesaArticulo"/>
      </w:pPr>
    </w:p>
    <w:p w:rsidR="0057104C" w:rsidRDefault="0057104C" w:rsidP="0057104C">
      <w:pPr>
        <w:pStyle w:val="TextoNormalNegritaCursivandice"/>
      </w:pPr>
      <w:r>
        <w:t>Carta europea de las lenguas regionales o minoritarias, de 5 de noviembre de 1992. Ratificada por Instrumento de 2 de febrero de 2001</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6" w:history="1">
        <w:r w:rsidRPr="0057104C">
          <w:rPr>
            <w:rStyle w:val="TextoNormalCaracter"/>
          </w:rPr>
          <w:t>56/2016</w:t>
        </w:r>
      </w:hyperlink>
      <w:r>
        <w:t>, f. 3.</w:t>
      </w:r>
    </w:p>
    <w:p w:rsidR="0057104C" w:rsidRDefault="0057104C" w:rsidP="0057104C">
      <w:pPr>
        <w:pStyle w:val="SangriaFrancesaArticulo"/>
      </w:pPr>
      <w:r w:rsidRPr="0057104C">
        <w:rPr>
          <w:rStyle w:val="TextoNormalNegritaCaracter"/>
        </w:rPr>
        <w:t>Artículo 10.</w:t>
      </w:r>
      <w:r w:rsidRPr="0057104C">
        <w:rPr>
          <w:rStyle w:val="TextoNormalCaracter"/>
        </w:rPr>
        <w:t>-</w:t>
      </w:r>
      <w:r>
        <w:t xml:space="preserve"> Sentencia </w:t>
      </w:r>
      <w:hyperlink w:anchor="SENTENCIA_2016_56" w:history="1">
        <w:r w:rsidRPr="0057104C">
          <w:rPr>
            <w:rStyle w:val="TextoNormalCaracter"/>
          </w:rPr>
          <w:t>56/2016</w:t>
        </w:r>
      </w:hyperlink>
      <w:r>
        <w:t>, f. 5.</w:t>
      </w:r>
    </w:p>
    <w:p w:rsidR="0057104C" w:rsidRDefault="0057104C" w:rsidP="0057104C">
      <w:pPr>
        <w:pStyle w:val="SangriaFrancesaArticulo"/>
      </w:pPr>
      <w:r w:rsidRPr="0057104C">
        <w:rPr>
          <w:rStyle w:val="TextoNormalNegritaCaracter"/>
        </w:rPr>
        <w:t>Artículo 15.</w:t>
      </w:r>
      <w:r w:rsidRPr="0057104C">
        <w:rPr>
          <w:rStyle w:val="TextoNormalCaracter"/>
        </w:rPr>
        <w:t>-</w:t>
      </w:r>
      <w:r>
        <w:t xml:space="preserve"> Sentencia </w:t>
      </w:r>
      <w:hyperlink w:anchor="SENTENCIA_2016_56" w:history="1">
        <w:r w:rsidRPr="0057104C">
          <w:rPr>
            <w:rStyle w:val="TextoNormalCaracter"/>
          </w:rPr>
          <w:t>56/2016</w:t>
        </w:r>
      </w:hyperlink>
      <w:r>
        <w:t>, f. 2.</w:t>
      </w:r>
    </w:p>
    <w:p w:rsidR="0057104C" w:rsidRDefault="0057104C" w:rsidP="0057104C">
      <w:pPr>
        <w:pStyle w:val="SangriaFrancesaArticulo"/>
      </w:pPr>
      <w:r w:rsidRPr="0057104C">
        <w:rPr>
          <w:rStyle w:val="TextoNormalNegritaCaracter"/>
        </w:rPr>
        <w:t>Parte III, artículos 8 a 14.</w:t>
      </w:r>
      <w:r w:rsidRPr="0057104C">
        <w:rPr>
          <w:rStyle w:val="TextoNormalCaracter"/>
        </w:rPr>
        <w:t>-</w:t>
      </w:r>
      <w:r>
        <w:t xml:space="preserve"> Sentencia </w:t>
      </w:r>
      <w:hyperlink w:anchor="SENTENCIA_2016_56" w:history="1">
        <w:r w:rsidRPr="0057104C">
          <w:rPr>
            <w:rStyle w:val="TextoNormalCaracter"/>
          </w:rPr>
          <w:t>56/2016</w:t>
        </w:r>
      </w:hyperlink>
      <w:r>
        <w:t>, f. 5.</w:t>
      </w:r>
    </w:p>
    <w:p w:rsidR="0057104C" w:rsidRDefault="0057104C" w:rsidP="0057104C">
      <w:pPr>
        <w:pStyle w:val="SangriaFrancesaArticulo"/>
      </w:pPr>
    </w:p>
    <w:p w:rsidR="0057104C" w:rsidRDefault="0057104C" w:rsidP="0057104C">
      <w:pPr>
        <w:pStyle w:val="TextoNormalNegritaCursivandice"/>
      </w:pPr>
      <w:r>
        <w:t>Comunicación de la Comisión al Consejo, al Parlamento Europeo y al Comité Económico y Social Europeo - Estrategia europea de medio ambiente y salud de 11 de junio de 2003 (COM/2003/0338)</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53" w:history="1">
        <w:r w:rsidRPr="0057104C">
          <w:rPr>
            <w:rStyle w:val="TextoNormalCaracter"/>
          </w:rPr>
          <w:t>53/2016</w:t>
        </w:r>
      </w:hyperlink>
      <w:r>
        <w:t>, f. 2.</w:t>
      </w:r>
    </w:p>
    <w:p w:rsidR="0057104C" w:rsidRDefault="0057104C" w:rsidP="0057104C">
      <w:pPr>
        <w:pStyle w:val="SangriaFrancesaArticulo"/>
      </w:pPr>
    </w:p>
    <w:p w:rsidR="0057104C" w:rsidRDefault="0057104C" w:rsidP="0057104C">
      <w:pPr>
        <w:pStyle w:val="TextoNormalNegritaCursivandice"/>
      </w:pPr>
      <w:r>
        <w:t>Convenio para la prevención del terrorismo, hecho en Varsovia el 16 de mayo de 2005. Ratificado por Instrumento de 23 de febrero de 2009</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r w:rsidRPr="0057104C">
        <w:rPr>
          <w:rStyle w:val="TextoNormalNegritaCaracter"/>
        </w:rPr>
        <w:t>Artículo 5.1.</w:t>
      </w:r>
      <w:r w:rsidRPr="0057104C">
        <w:rPr>
          <w:rStyle w:val="TextoNormalCaracter"/>
        </w:rPr>
        <w:t>-</w:t>
      </w:r>
      <w:r>
        <w:t xml:space="preserve"> Sentencia </w:t>
      </w:r>
      <w:hyperlink w:anchor="SENTENCIA_2016_112" w:history="1">
        <w:r w:rsidRPr="0057104C">
          <w:rPr>
            <w:rStyle w:val="TextoNormalCaracter"/>
          </w:rPr>
          <w:t>112/2016</w:t>
        </w:r>
      </w:hyperlink>
      <w:r>
        <w:t>, f. 3.</w:t>
      </w:r>
    </w:p>
    <w:p w:rsidR="0057104C" w:rsidRDefault="0057104C" w:rsidP="0057104C">
      <w:pPr>
        <w:pStyle w:val="SangriaFrancesaArticulo"/>
      </w:pPr>
      <w:r w:rsidRPr="0057104C">
        <w:rPr>
          <w:rStyle w:val="TextoNormalNegritaCaracter"/>
        </w:rPr>
        <w:t>Artículo 5.2.</w:t>
      </w:r>
      <w:r w:rsidRPr="0057104C">
        <w:rPr>
          <w:rStyle w:val="TextoNormalCaracter"/>
        </w:rPr>
        <w:t>-</w:t>
      </w:r>
      <w:r>
        <w:t xml:space="preserve"> Sentencia </w:t>
      </w:r>
      <w:hyperlink w:anchor="SENTENCIA_2016_112" w:history="1">
        <w:r w:rsidRPr="0057104C">
          <w:rPr>
            <w:rStyle w:val="TextoNormalCaracter"/>
          </w:rPr>
          <w:t>112/2016</w:t>
        </w:r>
      </w:hyperlink>
      <w:r>
        <w:t>, f. 3.</w:t>
      </w:r>
    </w:p>
    <w:p w:rsidR="0057104C" w:rsidRDefault="0057104C" w:rsidP="0057104C">
      <w:pPr>
        <w:pStyle w:val="SangriaFrancesaArticulo"/>
      </w:pPr>
      <w:r w:rsidRPr="0057104C">
        <w:rPr>
          <w:rStyle w:val="TextoNormalNegritaCaracter"/>
        </w:rPr>
        <w:t>§§ 86 a 88.</w:t>
      </w:r>
      <w:r w:rsidRPr="0057104C">
        <w:rPr>
          <w:rStyle w:val="TextoNormalCaracter"/>
        </w:rPr>
        <w:t>-</w:t>
      </w:r>
      <w:r>
        <w:t xml:space="preserve"> Sentencia </w:t>
      </w:r>
      <w:hyperlink w:anchor="SENTENCIA_2016_112" w:history="1">
        <w:r w:rsidRPr="0057104C">
          <w:rPr>
            <w:rStyle w:val="TextoNormalCaracter"/>
          </w:rPr>
          <w:t>112/2016</w:t>
        </w:r>
      </w:hyperlink>
      <w:r>
        <w:t>, f. 3.</w:t>
      </w:r>
    </w:p>
    <w:p w:rsidR="0057104C" w:rsidRDefault="0057104C" w:rsidP="0057104C">
      <w:pPr>
        <w:pStyle w:val="SangriaFrancesaArticulo"/>
      </w:pPr>
      <w:r w:rsidRPr="0057104C">
        <w:rPr>
          <w:rStyle w:val="TextoNormalNegritaCaracter"/>
        </w:rPr>
        <w:t>§ 92.</w:t>
      </w:r>
      <w:r w:rsidRPr="0057104C">
        <w:rPr>
          <w:rStyle w:val="TextoNormalCaracter"/>
        </w:rPr>
        <w:t>-</w:t>
      </w:r>
      <w:r>
        <w:t xml:space="preserve"> Sentencia </w:t>
      </w:r>
      <w:hyperlink w:anchor="SENTENCIA_2016_112" w:history="1">
        <w:r w:rsidRPr="0057104C">
          <w:rPr>
            <w:rStyle w:val="TextoNormalCaracter"/>
          </w:rPr>
          <w:t>112/2016</w:t>
        </w:r>
      </w:hyperlink>
      <w:r>
        <w:t>, f. 3.</w:t>
      </w:r>
    </w:p>
    <w:p w:rsidR="0057104C" w:rsidRDefault="0057104C" w:rsidP="0057104C">
      <w:pPr>
        <w:pStyle w:val="SangriaFrancesaArticulo"/>
      </w:pPr>
      <w:r w:rsidRPr="0057104C">
        <w:rPr>
          <w:rStyle w:val="TextoNormalNegritaCaracter"/>
        </w:rPr>
        <w:t>§ 95.</w:t>
      </w:r>
      <w:r w:rsidRPr="0057104C">
        <w:rPr>
          <w:rStyle w:val="TextoNormalCaracter"/>
        </w:rPr>
        <w:t>-</w:t>
      </w:r>
      <w:r>
        <w:t xml:space="preserve"> Sentencia </w:t>
      </w:r>
      <w:hyperlink w:anchor="SENTENCIA_2016_112" w:history="1">
        <w:r w:rsidRPr="0057104C">
          <w:rPr>
            <w:rStyle w:val="TextoNormalCaracter"/>
          </w:rPr>
          <w:t>112/2016</w:t>
        </w:r>
      </w:hyperlink>
      <w:r>
        <w:t>, f. 3.</w:t>
      </w:r>
    </w:p>
    <w:p w:rsidR="0057104C" w:rsidRDefault="0057104C" w:rsidP="0057104C">
      <w:pPr>
        <w:pStyle w:val="SangriaFrancesaArticulo"/>
      </w:pPr>
      <w:r w:rsidRPr="0057104C">
        <w:rPr>
          <w:rStyle w:val="TextoNormalNegritaCaracter"/>
        </w:rPr>
        <w:t>§§ 96 a 98.</w:t>
      </w:r>
      <w:r w:rsidRPr="0057104C">
        <w:rPr>
          <w:rStyle w:val="TextoNormalCaracter"/>
        </w:rPr>
        <w:t>-</w:t>
      </w:r>
      <w:r>
        <w:t xml:space="preserve"> Sentencia </w:t>
      </w:r>
      <w:hyperlink w:anchor="SENTENCIA_2016_112" w:history="1">
        <w:r w:rsidRPr="0057104C">
          <w:rPr>
            <w:rStyle w:val="TextoNormalCaracter"/>
          </w:rPr>
          <w:t>112/2016</w:t>
        </w:r>
      </w:hyperlink>
      <w:r>
        <w:t>, f. 3.</w:t>
      </w:r>
    </w:p>
    <w:p w:rsidR="0057104C" w:rsidRDefault="0057104C">
      <w:pPr>
        <w:spacing w:after="160" w:line="259" w:lineRule="auto"/>
        <w:rPr>
          <w:rFonts w:ascii="Times New Roman" w:eastAsia="Times New Roman" w:hAnsi="Times New Roman" w:cs="Times New Roman"/>
          <w:sz w:val="24"/>
          <w:szCs w:val="24"/>
          <w:lang w:eastAsia="es-ES"/>
        </w:rPr>
      </w:pPr>
      <w:r>
        <w:br w:type="page"/>
      </w:r>
    </w:p>
    <w:p w:rsidR="0057104C" w:rsidRDefault="0057104C" w:rsidP="0057104C">
      <w:pPr>
        <w:pStyle w:val="SangriaFrancesaArticulo"/>
      </w:pPr>
    </w:p>
    <w:p w:rsidR="0057104C" w:rsidRDefault="0057104C" w:rsidP="0057104C">
      <w:pPr>
        <w:pStyle w:val="TextoNormal"/>
      </w:pPr>
    </w:p>
    <w:p w:rsidR="0057104C" w:rsidRDefault="0057104C" w:rsidP="0057104C">
      <w:pPr>
        <w:pStyle w:val="TextoNormal"/>
      </w:pPr>
    </w:p>
    <w:p w:rsidR="0057104C" w:rsidRDefault="0057104C" w:rsidP="0057104C">
      <w:pPr>
        <w:pStyle w:val="TextoNormal"/>
      </w:pPr>
    </w:p>
    <w:p w:rsidR="0057104C" w:rsidRDefault="0057104C" w:rsidP="0057104C">
      <w:pPr>
        <w:pStyle w:val="Ttulondice"/>
        <w:suppressAutoHyphens/>
      </w:pPr>
      <w:r>
        <w:t>6. ÍNDICE DE RESOLUCIONES JUDICIALES DE OTROS TRIBUNALES CITADAS</w:t>
      </w: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suppressAutoHyphens/>
      </w:pPr>
    </w:p>
    <w:p w:rsidR="0057104C" w:rsidRDefault="0057104C" w:rsidP="0057104C">
      <w:pPr>
        <w:pStyle w:val="TextoNormal"/>
      </w:pPr>
    </w:p>
    <w:p w:rsidR="0057104C" w:rsidRDefault="0057104C" w:rsidP="0057104C">
      <w:pPr>
        <w:pStyle w:val="TextoNormal"/>
      </w:pPr>
      <w:bookmarkStart w:id="280" w:name="INDICE22805"/>
      <w:bookmarkEnd w:id="280"/>
    </w:p>
    <w:p w:rsidR="0057104C" w:rsidRDefault="0057104C" w:rsidP="0057104C">
      <w:pPr>
        <w:pStyle w:val="TextoIndiceNivel2"/>
        <w:suppressAutoHyphens/>
      </w:pPr>
      <w:r>
        <w:t>A) Tribunal Europeo de Derechos Humanos</w:t>
      </w:r>
    </w:p>
    <w:p w:rsidR="0057104C" w:rsidRDefault="0057104C" w:rsidP="0057104C">
      <w:pPr>
        <w:pStyle w:val="TextoIndiceNivel2"/>
      </w:pPr>
    </w:p>
    <w:p w:rsidR="0057104C" w:rsidRDefault="0057104C" w:rsidP="0057104C">
      <w:pPr>
        <w:pStyle w:val="TextoNormalNegritaCursivandice"/>
      </w:pPr>
      <w:r>
        <w:t>Sentencia del Tribunal Europeo de Derechos Humanos de 24 de octubre de 1979 (Winterwerp c. Países Bajos)</w:t>
      </w:r>
    </w:p>
    <w:p w:rsidR="0057104C" w:rsidRDefault="0057104C" w:rsidP="0057104C">
      <w:pPr>
        <w:pStyle w:val="SangriaFrancesaArticulo"/>
      </w:pPr>
      <w:r w:rsidRPr="0057104C">
        <w:rPr>
          <w:rStyle w:val="TextoNormalNegritaCaracter"/>
        </w:rPr>
        <w:t>§ 60.</w:t>
      </w:r>
      <w:r w:rsidRPr="0057104C">
        <w:rPr>
          <w:rStyle w:val="TextoNormalCaracter"/>
        </w:rPr>
        <w:t>-</w:t>
      </w:r>
      <w:r>
        <w:t xml:space="preserve"> Sentencias </w:t>
      </w:r>
      <w:hyperlink w:anchor="SENTENCIA_2016_22" w:history="1">
        <w:r w:rsidRPr="0057104C">
          <w:rPr>
            <w:rStyle w:val="TextoNormalCaracter"/>
          </w:rPr>
          <w:t>22/2016</w:t>
        </w:r>
      </w:hyperlink>
      <w:r>
        <w:t xml:space="preserve">, f. 4; </w:t>
      </w:r>
      <w:hyperlink w:anchor="SENTENCIA_2016_50" w:history="1">
        <w:r w:rsidRPr="0057104C">
          <w:rPr>
            <w:rStyle w:val="TextoNormalCaracter"/>
          </w:rPr>
          <w:t>50/2016</w:t>
        </w:r>
      </w:hyperlink>
      <w:r>
        <w:t>, f. 4.</w:t>
      </w:r>
    </w:p>
    <w:p w:rsidR="0057104C" w:rsidRDefault="0057104C" w:rsidP="0057104C">
      <w:pPr>
        <w:pStyle w:val="SangriaFrancesaArticulo"/>
      </w:pPr>
      <w:r w:rsidRPr="0057104C">
        <w:rPr>
          <w:rStyle w:val="TextoNormalNegritaCaracter"/>
        </w:rPr>
        <w:t>§ 66.</w:t>
      </w:r>
      <w:r w:rsidRPr="0057104C">
        <w:rPr>
          <w:rStyle w:val="TextoNormalCaracter"/>
        </w:rPr>
        <w:t>-</w:t>
      </w:r>
      <w:r>
        <w:t xml:space="preserve"> Sentencias </w:t>
      </w:r>
      <w:hyperlink w:anchor="SENTENCIA_2016_22" w:history="1">
        <w:r w:rsidRPr="0057104C">
          <w:rPr>
            <w:rStyle w:val="TextoNormalCaracter"/>
          </w:rPr>
          <w:t>22/2016</w:t>
        </w:r>
      </w:hyperlink>
      <w:r>
        <w:t xml:space="preserve">, f. 4; </w:t>
      </w:r>
      <w:hyperlink w:anchor="SENTENCIA_2016_50" w:history="1">
        <w:r w:rsidRPr="0057104C">
          <w:rPr>
            <w:rStyle w:val="TextoNormalCaracter"/>
          </w:rPr>
          <w:t>50/2016</w:t>
        </w:r>
      </w:hyperlink>
      <w:r>
        <w:t>, f. 4.</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24 de marzo de 1988 (Olsson c. Suecia)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6" w:history="1">
        <w:r w:rsidRPr="0057104C">
          <w:rPr>
            <w:rStyle w:val="TextoNormalCaracter"/>
          </w:rPr>
          <w:t>16/2016</w:t>
        </w:r>
      </w:hyperlink>
      <w:r>
        <w:t>, f. 6.</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28 de noviembre de 1988 (Nielsen c. Dinamarca)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6" w:history="1">
        <w:r w:rsidRPr="0057104C">
          <w:rPr>
            <w:rStyle w:val="TextoNormalCaracter"/>
          </w:rPr>
          <w:t>16/2016</w:t>
        </w:r>
      </w:hyperlink>
      <w:r>
        <w:t>, f. 6.</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7 de julio de 1989 (Unión Alimentaria Sanders, S.A. c. España)</w:t>
      </w:r>
    </w:p>
    <w:p w:rsidR="0057104C" w:rsidRDefault="0057104C" w:rsidP="0057104C">
      <w:pPr>
        <w:pStyle w:val="SangriaFrancesaArticulo"/>
      </w:pPr>
      <w:r w:rsidRPr="0057104C">
        <w:rPr>
          <w:rStyle w:val="TextoNormalNegritaCaracter"/>
        </w:rPr>
        <w:t>§§ 38, 42.</w:t>
      </w:r>
      <w:r w:rsidRPr="0057104C">
        <w:rPr>
          <w:rStyle w:val="TextoNormalCaracter"/>
        </w:rPr>
        <w:t>-</w:t>
      </w:r>
      <w:r>
        <w:t xml:space="preserve"> Sentencias </w:t>
      </w:r>
      <w:hyperlink w:anchor="SENTENCIA_2016_63" w:history="1">
        <w:r w:rsidRPr="0057104C">
          <w:rPr>
            <w:rStyle w:val="TextoNormalCaracter"/>
          </w:rPr>
          <w:t>63/2016</w:t>
        </w:r>
      </w:hyperlink>
      <w:r>
        <w:t xml:space="preserve">, f. 6; </w:t>
      </w:r>
      <w:hyperlink w:anchor="SENTENCIA_2016_75" w:history="1">
        <w:r w:rsidRPr="0057104C">
          <w:rPr>
            <w:rStyle w:val="TextoNormalCaracter"/>
          </w:rPr>
          <w:t>75/2016</w:t>
        </w:r>
      </w:hyperlink>
      <w:r>
        <w:t xml:space="preserve">, f. 6; </w:t>
      </w:r>
      <w:hyperlink w:anchor="SENTENCIA_2016_76" w:history="1">
        <w:r w:rsidRPr="0057104C">
          <w:rPr>
            <w:rStyle w:val="TextoNormalCaracter"/>
          </w:rPr>
          <w:t>76/2016</w:t>
        </w:r>
      </w:hyperlink>
      <w:r>
        <w:t xml:space="preserve">, f. 4; </w:t>
      </w:r>
      <w:hyperlink w:anchor="SENTENCIA_2016_77" w:history="1">
        <w:r w:rsidRPr="0057104C">
          <w:rPr>
            <w:rStyle w:val="TextoNormalCaracter"/>
          </w:rPr>
          <w:t>77/2016</w:t>
        </w:r>
      </w:hyperlink>
      <w:r>
        <w:t xml:space="preserve">, f. 6; </w:t>
      </w:r>
      <w:hyperlink w:anchor="SENTENCIA_2016_89" w:history="1">
        <w:r w:rsidRPr="0057104C">
          <w:rPr>
            <w:rStyle w:val="TextoNormalCaracter"/>
          </w:rPr>
          <w:t>89/2016</w:t>
        </w:r>
      </w:hyperlink>
      <w:r>
        <w:t xml:space="preserve">, f. 6; </w:t>
      </w:r>
      <w:hyperlink w:anchor="SENTENCIA_2016_103" w:history="1">
        <w:r w:rsidRPr="0057104C">
          <w:rPr>
            <w:rStyle w:val="TextoNormalCaracter"/>
          </w:rPr>
          <w:t>103/2016</w:t>
        </w:r>
      </w:hyperlink>
      <w:r>
        <w:t>, f. 6.</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25 de febrero de 1992  (Margareta y Roger Andersson c. Suecia)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6" w:history="1">
        <w:r w:rsidRPr="0057104C">
          <w:rPr>
            <w:rStyle w:val="TextoNormalCaracter"/>
          </w:rPr>
          <w:t>16/2016</w:t>
        </w:r>
      </w:hyperlink>
      <w:r>
        <w:t>, f. 6.</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23 de abril de 1992 (Castells c. España)</w:t>
      </w:r>
    </w:p>
    <w:p w:rsidR="0057104C" w:rsidRDefault="0057104C" w:rsidP="0057104C">
      <w:pPr>
        <w:pStyle w:val="SangriaFrancesaArticulo"/>
      </w:pPr>
      <w:r w:rsidRPr="0057104C">
        <w:rPr>
          <w:rStyle w:val="TextoNormalNegritaCaracter"/>
        </w:rPr>
        <w:t>§ 42.</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12 de mayo de 1992 (Megyeri c. Alemania)</w:t>
      </w:r>
    </w:p>
    <w:p w:rsidR="0057104C" w:rsidRDefault="0057104C" w:rsidP="0057104C">
      <w:pPr>
        <w:pStyle w:val="SangriaFrancesaArticulo"/>
      </w:pPr>
      <w:r w:rsidRPr="0057104C">
        <w:rPr>
          <w:rStyle w:val="TextoNormalNegritaCaracter"/>
        </w:rPr>
        <w:t>§ 22 apartado 2 c).</w:t>
      </w:r>
      <w:r w:rsidRPr="0057104C">
        <w:rPr>
          <w:rStyle w:val="TextoNormalCaracter"/>
        </w:rPr>
        <w:t>-</w:t>
      </w:r>
      <w:r>
        <w:t xml:space="preserve"> Sentencia </w:t>
      </w:r>
      <w:hyperlink w:anchor="SENTENCIA_2016_22" w:history="1">
        <w:r w:rsidRPr="0057104C">
          <w:rPr>
            <w:rStyle w:val="TextoNormalCaracter"/>
          </w:rPr>
          <w:t>22/2016</w:t>
        </w:r>
      </w:hyperlink>
      <w:r>
        <w:t>, f. 4.</w:t>
      </w:r>
    </w:p>
    <w:p w:rsidR="0057104C" w:rsidRDefault="0057104C" w:rsidP="0057104C">
      <w:pPr>
        <w:pStyle w:val="SangriaFrancesaArticulo"/>
      </w:pPr>
      <w:r w:rsidRPr="0057104C">
        <w:rPr>
          <w:rStyle w:val="TextoNormalNegritaCaracter"/>
        </w:rPr>
        <w:t>§ 22 apartado 2 d).</w:t>
      </w:r>
      <w:r w:rsidRPr="0057104C">
        <w:rPr>
          <w:rStyle w:val="TextoNormalCaracter"/>
        </w:rPr>
        <w:t>-</w:t>
      </w:r>
      <w:r>
        <w:t xml:space="preserve"> Sentencia </w:t>
      </w:r>
      <w:hyperlink w:anchor="SENTENCIA_2016_22" w:history="1">
        <w:r w:rsidRPr="0057104C">
          <w:rPr>
            <w:rStyle w:val="TextoNormalCaracter"/>
          </w:rPr>
          <w:t>22/2016</w:t>
        </w:r>
      </w:hyperlink>
      <w:r>
        <w:t>, f. 4.</w:t>
      </w:r>
    </w:p>
    <w:p w:rsidR="0057104C" w:rsidRDefault="0057104C" w:rsidP="0057104C">
      <w:pPr>
        <w:pStyle w:val="SangriaFrancesaArticulo"/>
      </w:pPr>
      <w:r w:rsidRPr="0057104C">
        <w:rPr>
          <w:rStyle w:val="TextoNormalNegritaCaracter"/>
        </w:rPr>
        <w:t>§ 22 apartado c).</w:t>
      </w:r>
      <w:r w:rsidRPr="0057104C">
        <w:rPr>
          <w:rStyle w:val="TextoNormalCaracter"/>
        </w:rPr>
        <w:t>-</w:t>
      </w:r>
      <w:r>
        <w:t xml:space="preserve"> Sentencia </w:t>
      </w:r>
      <w:hyperlink w:anchor="SENTENCIA_2016_50" w:history="1">
        <w:r w:rsidRPr="0057104C">
          <w:rPr>
            <w:rStyle w:val="TextoNormalCaracter"/>
          </w:rPr>
          <w:t>50/2016</w:t>
        </w:r>
      </w:hyperlink>
      <w:r>
        <w:t>, f. 4.</w:t>
      </w:r>
    </w:p>
    <w:p w:rsidR="0057104C" w:rsidRDefault="0057104C" w:rsidP="0057104C">
      <w:pPr>
        <w:pStyle w:val="SangriaFrancesaArticulo"/>
      </w:pPr>
      <w:r w:rsidRPr="0057104C">
        <w:rPr>
          <w:rStyle w:val="TextoNormalNegritaCaracter"/>
        </w:rPr>
        <w:t>§ 22 apartado d).</w:t>
      </w:r>
      <w:r w:rsidRPr="0057104C">
        <w:rPr>
          <w:rStyle w:val="TextoNormalCaracter"/>
        </w:rPr>
        <w:t>-</w:t>
      </w:r>
      <w:r>
        <w:t xml:space="preserve"> Sentencia </w:t>
      </w:r>
      <w:hyperlink w:anchor="SENTENCIA_2016_50" w:history="1">
        <w:r w:rsidRPr="0057104C">
          <w:rPr>
            <w:rStyle w:val="TextoNormalCaracter"/>
          </w:rPr>
          <w:t>50/2016</w:t>
        </w:r>
      </w:hyperlink>
      <w:r>
        <w:t>, f. 4.</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23 de junio de 1993 (Hoffmann c. Austria)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6" w:history="1">
        <w:r w:rsidRPr="0057104C">
          <w:rPr>
            <w:rStyle w:val="TextoNormalCaracter"/>
          </w:rPr>
          <w:t>16/2016</w:t>
        </w:r>
      </w:hyperlink>
      <w:r>
        <w:t>, f. 6.</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23 de septiembre de 1994 (Hokkanen c. Finlandia)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6" w:history="1">
        <w:r w:rsidRPr="0057104C">
          <w:rPr>
            <w:rStyle w:val="TextoNormalCaracter"/>
          </w:rPr>
          <w:t>16/2016</w:t>
        </w:r>
      </w:hyperlink>
      <w:r>
        <w:t>, f. 6.</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24 de febrero de 1995 (McMichael c. Reino Unido)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6" w:history="1">
        <w:r w:rsidRPr="0057104C">
          <w:rPr>
            <w:rStyle w:val="TextoNormalCaracter"/>
          </w:rPr>
          <w:t>16/2016</w:t>
        </w:r>
      </w:hyperlink>
      <w:r>
        <w:t>, f. 6.</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22 de octubre de 1996 (Stubbings y otros c. Reino Unido)</w:t>
      </w:r>
    </w:p>
    <w:p w:rsidR="0057104C" w:rsidRDefault="0057104C" w:rsidP="0057104C">
      <w:pPr>
        <w:pStyle w:val="SangriaFrancesaArticulo"/>
      </w:pPr>
      <w:r w:rsidRPr="0057104C">
        <w:rPr>
          <w:rStyle w:val="TextoNormalNegritaCaracter"/>
        </w:rPr>
        <w:t>§ 46 y ss.</w:t>
      </w:r>
      <w:r w:rsidRPr="0057104C">
        <w:rPr>
          <w:rStyle w:val="TextoNormalCaracter"/>
        </w:rPr>
        <w:t>-</w:t>
      </w:r>
      <w:r>
        <w:t xml:space="preserve"> Sentencias </w:t>
      </w:r>
      <w:hyperlink w:anchor="SENTENCIA_2016_12" w:history="1">
        <w:r w:rsidRPr="0057104C">
          <w:rPr>
            <w:rStyle w:val="TextoNormalCaracter"/>
          </w:rPr>
          <w:t>12/2016</w:t>
        </w:r>
      </w:hyperlink>
      <w:r>
        <w:t xml:space="preserve">, f. 3; </w:t>
      </w:r>
      <w:hyperlink w:anchor="SENTENCIA_2016_14" w:history="1">
        <w:r w:rsidRPr="0057104C">
          <w:rPr>
            <w:rStyle w:val="TextoNormalCaracter"/>
          </w:rPr>
          <w:t>14/2016</w:t>
        </w:r>
      </w:hyperlink>
      <w:r>
        <w:t>, f. 2.</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25 de noviembre de 1997 (Zana c. Turquía)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2" w:history="1">
        <w:r w:rsidRPr="0057104C">
          <w:rPr>
            <w:rStyle w:val="TextoNormalCaracter"/>
          </w:rPr>
          <w:t>112/2016</w:t>
        </w:r>
      </w:hyperlink>
      <w:r>
        <w:t>, f. 4.</w:t>
      </w:r>
    </w:p>
    <w:p w:rsidR="0057104C" w:rsidRDefault="0057104C" w:rsidP="0057104C">
      <w:pPr>
        <w:pStyle w:val="SangriaFrancesaArticulo"/>
      </w:pPr>
      <w:r w:rsidRPr="0057104C">
        <w:rPr>
          <w:rStyle w:val="TextoNormalNegritaCaracter"/>
        </w:rPr>
        <w:t>§ 56.</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9 de junio de 1998 (Bronda c. Italia)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6" w:history="1">
        <w:r w:rsidRPr="0057104C">
          <w:rPr>
            <w:rStyle w:val="TextoNormalCaracter"/>
          </w:rPr>
          <w:t>16/2016</w:t>
        </w:r>
      </w:hyperlink>
      <w:r>
        <w:t>, f. 6.</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8 de julio de 1999 (Gerger c. Turquía)</w:t>
      </w:r>
    </w:p>
    <w:p w:rsidR="0057104C" w:rsidRDefault="0057104C" w:rsidP="0057104C">
      <w:pPr>
        <w:pStyle w:val="SangriaFrancesaArticulo"/>
      </w:pPr>
      <w:r w:rsidRPr="0057104C">
        <w:rPr>
          <w:rStyle w:val="TextoNormalNegritaCaracter"/>
        </w:rPr>
        <w:t>§ 50.</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8 de julio de 1999 (Sürek c. Turquía)</w:t>
      </w:r>
    </w:p>
    <w:p w:rsidR="0057104C" w:rsidRDefault="0057104C" w:rsidP="0057104C">
      <w:pPr>
        <w:pStyle w:val="SangriaFrancesaArticulo"/>
      </w:pPr>
      <w:r w:rsidRPr="0057104C">
        <w:rPr>
          <w:rStyle w:val="TextoNormalNegritaCaracter"/>
        </w:rPr>
        <w:t>Núms. 1, 3.</w:t>
      </w:r>
      <w:r w:rsidRPr="0057104C">
        <w:rPr>
          <w:rStyle w:val="TextoNormalCaracter"/>
        </w:rPr>
        <w:t>-</w:t>
      </w:r>
      <w:r>
        <w:t xml:space="preserve"> Sentencia </w:t>
      </w:r>
      <w:hyperlink w:anchor="SENTENCIA_2016_112" w:history="1">
        <w:r w:rsidRPr="0057104C">
          <w:rPr>
            <w:rStyle w:val="TextoNormalCaracter"/>
          </w:rPr>
          <w:t>112/2016</w:t>
        </w:r>
      </w:hyperlink>
      <w:r>
        <w:t>, f. 4.</w:t>
      </w:r>
    </w:p>
    <w:p w:rsidR="0057104C" w:rsidRDefault="0057104C" w:rsidP="0057104C">
      <w:pPr>
        <w:pStyle w:val="SangriaFrancesaArticulo"/>
      </w:pPr>
      <w:r w:rsidRPr="0057104C">
        <w:rPr>
          <w:rStyle w:val="TextoNormalNegritaCaracter"/>
        </w:rPr>
        <w:t>§ 61.</w:t>
      </w:r>
      <w:r w:rsidRPr="0057104C">
        <w:rPr>
          <w:rStyle w:val="TextoNormalCaracter"/>
        </w:rPr>
        <w:t>-</w:t>
      </w:r>
      <w:r>
        <w:t xml:space="preserve"> Sentencia </w:t>
      </w:r>
      <w:hyperlink w:anchor="SENTENCIA_2016_112" w:history="1">
        <w:r w:rsidRPr="0057104C">
          <w:rPr>
            <w:rStyle w:val="TextoNormalCaracter"/>
          </w:rPr>
          <w:t>112/2016</w:t>
        </w:r>
      </w:hyperlink>
      <w:r>
        <w:t>, f. 6.</w:t>
      </w:r>
    </w:p>
    <w:p w:rsidR="0057104C" w:rsidRDefault="0057104C" w:rsidP="0057104C">
      <w:pPr>
        <w:pStyle w:val="SangriaFrancesaArticulo"/>
      </w:pPr>
      <w:r w:rsidRPr="0057104C">
        <w:rPr>
          <w:rStyle w:val="TextoNormalNegritaCaracter"/>
        </w:rPr>
        <w:t>§ 62.</w:t>
      </w:r>
      <w:r w:rsidRPr="0057104C">
        <w:rPr>
          <w:rStyle w:val="TextoNormalCaracter"/>
        </w:rPr>
        <w:t>-</w:t>
      </w:r>
      <w:r>
        <w:t xml:space="preserve"> Sentencia </w:t>
      </w:r>
      <w:hyperlink w:anchor="SENTENCIA_2016_112" w:history="1">
        <w:r w:rsidRPr="0057104C">
          <w:rPr>
            <w:rStyle w:val="TextoNormalCaracter"/>
          </w:rPr>
          <w:t>112/2016</w:t>
        </w:r>
      </w:hyperlink>
      <w:r>
        <w:t>, f. 6.</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28 de septiembre de 1999 (Öztürk c. Turquía)</w:t>
      </w:r>
    </w:p>
    <w:p w:rsidR="0057104C" w:rsidRDefault="0057104C" w:rsidP="0057104C">
      <w:pPr>
        <w:pStyle w:val="SangriaFrancesaArticulo"/>
      </w:pPr>
      <w:r w:rsidRPr="0057104C">
        <w:rPr>
          <w:rStyle w:val="TextoNormalNegritaCaracter"/>
        </w:rPr>
        <w:t>§ 66.</w:t>
      </w:r>
      <w:r w:rsidRPr="0057104C">
        <w:rPr>
          <w:rStyle w:val="TextoNormalCaracter"/>
        </w:rPr>
        <w:t>-</w:t>
      </w:r>
      <w:r>
        <w:t xml:space="preserve"> Sentencia </w:t>
      </w:r>
      <w:hyperlink w:anchor="SENTENCIA_2016_112" w:history="1">
        <w:r w:rsidRPr="0057104C">
          <w:rPr>
            <w:rStyle w:val="TextoNormalCaracter"/>
          </w:rPr>
          <w:t>112/2016</w:t>
        </w:r>
      </w:hyperlink>
      <w:r>
        <w:t>, f. 4.</w:t>
      </w:r>
    </w:p>
    <w:p w:rsidR="0057104C" w:rsidRDefault="0057104C" w:rsidP="0057104C">
      <w:pPr>
        <w:pStyle w:val="SangriaFrancesaArticulo"/>
      </w:pPr>
      <w:r w:rsidRPr="0057104C">
        <w:rPr>
          <w:rStyle w:val="TextoNormalNegritaCaracter"/>
        </w:rPr>
        <w:t>§ 69.</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16 de noviembre de 1999 (E.P. c. Italia)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6" w:history="1">
        <w:r w:rsidRPr="0057104C">
          <w:rPr>
            <w:rStyle w:val="TextoNormalCaracter"/>
          </w:rPr>
          <w:t>16/2016</w:t>
        </w:r>
      </w:hyperlink>
      <w:r>
        <w:t>, f. 6.</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21 de diciembre de 1999 (Salgueiro da Silva Mouta c. Portugal)</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6" w:history="1">
        <w:r w:rsidRPr="0057104C">
          <w:rPr>
            <w:rStyle w:val="TextoNormalCaracter"/>
          </w:rPr>
          <w:t>16/2016</w:t>
        </w:r>
      </w:hyperlink>
      <w:r>
        <w:t>, f. 6.</w:t>
      </w:r>
    </w:p>
    <w:p w:rsidR="0057104C" w:rsidRDefault="0057104C" w:rsidP="0057104C">
      <w:pPr>
        <w:pStyle w:val="SangriaFrancesaArticulo"/>
      </w:pPr>
    </w:p>
    <w:p w:rsidR="0057104C" w:rsidRDefault="0057104C" w:rsidP="0057104C">
      <w:pPr>
        <w:pStyle w:val="TextoNormalNegritaCursivandice"/>
      </w:pPr>
      <w:r>
        <w:t>Decisión del Tribunal Europeo de Derechos Humanos de 20 de enero de 2000 (Hogefeld c. Alemania)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2" w:history="1">
        <w:r w:rsidRPr="0057104C">
          <w:rPr>
            <w:rStyle w:val="TextoNormalCaracter"/>
          </w:rPr>
          <w:t>112/2016</w:t>
        </w:r>
      </w:hyperlink>
      <w:r>
        <w:t>, f. 3, VP.</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16 de marzo de 2000 (Özgür Gündem c. Turquía)</w:t>
      </w:r>
    </w:p>
    <w:p w:rsidR="0057104C" w:rsidRDefault="0057104C" w:rsidP="0057104C">
      <w:pPr>
        <w:pStyle w:val="SangriaFrancesaArticulo"/>
      </w:pPr>
      <w:r w:rsidRPr="0057104C">
        <w:rPr>
          <w:rStyle w:val="TextoNormalNegritaCaracter"/>
        </w:rPr>
        <w:t>§ 65.</w:t>
      </w:r>
      <w:r w:rsidRPr="0057104C">
        <w:rPr>
          <w:rStyle w:val="TextoNormalCaracter"/>
        </w:rPr>
        <w:t>-</w:t>
      </w:r>
      <w:r>
        <w:t xml:space="preserve"> Sentencia </w:t>
      </w:r>
      <w:hyperlink w:anchor="SENTENCIA_2016_112" w:history="1">
        <w:r w:rsidRPr="0057104C">
          <w:rPr>
            <w:rStyle w:val="TextoNormalCaracter"/>
          </w:rPr>
          <w:t>112/2016</w:t>
        </w:r>
      </w:hyperlink>
      <w:r>
        <w:t>, f. 4.</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27 de junio de 2000 (Constantinescu c. Rumania)</w:t>
      </w:r>
    </w:p>
    <w:p w:rsidR="0057104C" w:rsidRDefault="0057104C" w:rsidP="0057104C">
      <w:pPr>
        <w:pStyle w:val="SangriaFrancesaArticulo"/>
      </w:pPr>
      <w:r w:rsidRPr="0057104C">
        <w:rPr>
          <w:rStyle w:val="TextoNormalNegritaCaracter"/>
        </w:rPr>
        <w:t>§ 58.</w:t>
      </w:r>
      <w:r w:rsidRPr="0057104C">
        <w:rPr>
          <w:rStyle w:val="TextoNormalCaracter"/>
        </w:rPr>
        <w:t>-</w:t>
      </w:r>
      <w:r>
        <w:t xml:space="preserve"> Sentencia </w:t>
      </w:r>
      <w:hyperlink w:anchor="SENTENCIA_2016_105" w:history="1">
        <w:r w:rsidRPr="0057104C">
          <w:rPr>
            <w:rStyle w:val="TextoNormalCaracter"/>
          </w:rPr>
          <w:t>105/2016</w:t>
        </w:r>
      </w:hyperlink>
      <w:r>
        <w:t>, f. 7.</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30 de octubre de 2001 (Pannullo y Forte c. Francia)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 w:history="1">
        <w:r w:rsidRPr="0057104C">
          <w:rPr>
            <w:rStyle w:val="TextoNormalCaracter"/>
          </w:rPr>
          <w:t>11/2016</w:t>
        </w:r>
      </w:hyperlink>
      <w:r>
        <w:t>, f. 2, VPIII.</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28 de enero de 2003 (Peck c. Reino Unido)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9" w:history="1">
        <w:r w:rsidRPr="0057104C">
          <w:rPr>
            <w:rStyle w:val="TextoNormalCaracter"/>
          </w:rPr>
          <w:t>39/2016</w:t>
        </w:r>
      </w:hyperlink>
      <w:r>
        <w:t>, VPII.</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17 de julio de 2003 (Perry c. Reino Unido)</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9" w:history="1">
        <w:r w:rsidRPr="0057104C">
          <w:rPr>
            <w:rStyle w:val="TextoNormalCaracter"/>
          </w:rPr>
          <w:t>39/2016</w:t>
        </w:r>
      </w:hyperlink>
      <w:r>
        <w:t>, VPII.</w:t>
      </w:r>
    </w:p>
    <w:p w:rsidR="0057104C" w:rsidRDefault="0057104C" w:rsidP="0057104C">
      <w:pPr>
        <w:pStyle w:val="SangriaFrancesaArticulo"/>
      </w:pPr>
    </w:p>
    <w:p w:rsidR="0057104C" w:rsidRDefault="0057104C" w:rsidP="0057104C">
      <w:pPr>
        <w:pStyle w:val="TextoNormalNegritaCursivandice"/>
      </w:pPr>
      <w:r>
        <w:t>Decisión del Tribunal Europeo de Derechos Humanos de 13 de noviembre de 2003 (Gündüz c. Turquía)</w:t>
      </w:r>
    </w:p>
    <w:p w:rsidR="0057104C" w:rsidRDefault="0057104C" w:rsidP="0057104C">
      <w:pPr>
        <w:pStyle w:val="SangriaFrancesaArticulo"/>
      </w:pPr>
      <w:r w:rsidRPr="0057104C">
        <w:rPr>
          <w:rStyle w:val="TextoNormalNegritaCaracter"/>
        </w:rPr>
        <w:t>§ 2.</w:t>
      </w:r>
      <w:r w:rsidRPr="0057104C">
        <w:rPr>
          <w:rStyle w:val="TextoNormalCaracter"/>
        </w:rPr>
        <w:t>-</w:t>
      </w:r>
      <w:r>
        <w:t xml:space="preserve"> Sentencia </w:t>
      </w:r>
      <w:hyperlink w:anchor="SENTENCIA_2016_112" w:history="1">
        <w:r w:rsidRPr="0057104C">
          <w:rPr>
            <w:rStyle w:val="TextoNormalCaracter"/>
          </w:rPr>
          <w:t>112/2016</w:t>
        </w:r>
      </w:hyperlink>
      <w:r>
        <w:t>, f. 4.</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11 de marzo de 2004 (Lenaerts c. Bélgica)</w:t>
      </w:r>
    </w:p>
    <w:p w:rsidR="0057104C" w:rsidRDefault="0057104C" w:rsidP="0057104C">
      <w:pPr>
        <w:pStyle w:val="SangriaFrancesaArticulo"/>
      </w:pPr>
      <w:r w:rsidRPr="0057104C">
        <w:rPr>
          <w:rStyle w:val="TextoNormalNegritaCaracter"/>
        </w:rPr>
        <w:t>§ 18.</w:t>
      </w:r>
      <w:r w:rsidRPr="0057104C">
        <w:rPr>
          <w:rStyle w:val="TextoNormalCaracter"/>
        </w:rPr>
        <w:t>-</w:t>
      </w:r>
      <w:r>
        <w:t xml:space="preserve"> Sentencias </w:t>
      </w:r>
      <w:hyperlink w:anchor="SENTENCIA_2016_63" w:history="1">
        <w:r w:rsidRPr="0057104C">
          <w:rPr>
            <w:rStyle w:val="TextoNormalCaracter"/>
          </w:rPr>
          <w:t>63/2016</w:t>
        </w:r>
      </w:hyperlink>
      <w:r>
        <w:t xml:space="preserve">, f. 6; </w:t>
      </w:r>
      <w:hyperlink w:anchor="SENTENCIA_2016_75" w:history="1">
        <w:r w:rsidRPr="0057104C">
          <w:rPr>
            <w:rStyle w:val="TextoNormalCaracter"/>
          </w:rPr>
          <w:t>75/2016</w:t>
        </w:r>
      </w:hyperlink>
      <w:r>
        <w:t xml:space="preserve">, f. 6; </w:t>
      </w:r>
      <w:hyperlink w:anchor="SENTENCIA_2016_76" w:history="1">
        <w:r w:rsidRPr="0057104C">
          <w:rPr>
            <w:rStyle w:val="TextoNormalCaracter"/>
          </w:rPr>
          <w:t>76/2016</w:t>
        </w:r>
      </w:hyperlink>
      <w:r>
        <w:t xml:space="preserve">, f. 4; </w:t>
      </w:r>
      <w:hyperlink w:anchor="SENTENCIA_2016_77" w:history="1">
        <w:r w:rsidRPr="0057104C">
          <w:rPr>
            <w:rStyle w:val="TextoNormalCaracter"/>
          </w:rPr>
          <w:t>77/2016</w:t>
        </w:r>
      </w:hyperlink>
      <w:r>
        <w:t xml:space="preserve">, f. 6; </w:t>
      </w:r>
      <w:hyperlink w:anchor="SENTENCIA_2016_89" w:history="1">
        <w:r w:rsidRPr="0057104C">
          <w:rPr>
            <w:rStyle w:val="TextoNormalCaracter"/>
          </w:rPr>
          <w:t>89/2016</w:t>
        </w:r>
      </w:hyperlink>
      <w:r>
        <w:t xml:space="preserve">, f. 6; </w:t>
      </w:r>
      <w:hyperlink w:anchor="SENTENCIA_2016_103" w:history="1">
        <w:r w:rsidRPr="0057104C">
          <w:rPr>
            <w:rStyle w:val="TextoNormalCaracter"/>
          </w:rPr>
          <w:t>103/2016</w:t>
        </w:r>
      </w:hyperlink>
      <w:r>
        <w:t>, f. 6.</w:t>
      </w:r>
    </w:p>
    <w:p w:rsidR="0057104C" w:rsidRDefault="0057104C" w:rsidP="0057104C">
      <w:pPr>
        <w:pStyle w:val="SangriaFrancesaArticulo"/>
      </w:pPr>
    </w:p>
    <w:p w:rsidR="0057104C" w:rsidRDefault="0057104C" w:rsidP="0057104C">
      <w:pPr>
        <w:pStyle w:val="TextoNormalNegritaCursivandice"/>
      </w:pPr>
      <w:r>
        <w:t>Auto del Tribunal Europeo de Derechos Humanos de 19 de octubre de 2004 (Falk c. Holanda)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7" w:history="1">
        <w:r w:rsidRPr="0057104C">
          <w:rPr>
            <w:rStyle w:val="TextoNormalCaracter"/>
          </w:rPr>
          <w:t>117/2016</w:t>
        </w:r>
      </w:hyperlink>
      <w:r>
        <w:t>, f. 4.</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17 de enero de 2006 (Elli Poluhas Dödsbo c. Suecia)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 w:history="1">
        <w:r w:rsidRPr="0057104C">
          <w:rPr>
            <w:rStyle w:val="TextoNormalCaracter"/>
          </w:rPr>
          <w:t>11/2016</w:t>
        </w:r>
      </w:hyperlink>
      <w:r>
        <w:t>, f. 2, VPIII.</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7 de febrero de 2006 (Halis Dogan c. Turquía)</w:t>
      </w:r>
    </w:p>
    <w:p w:rsidR="0057104C" w:rsidRDefault="0057104C" w:rsidP="0057104C">
      <w:pPr>
        <w:pStyle w:val="SangriaFrancesaArticulo"/>
      </w:pPr>
      <w:r w:rsidRPr="0057104C">
        <w:rPr>
          <w:rStyle w:val="TextoNormalNegritaCaracter"/>
        </w:rPr>
        <w:t>§ 37.</w:t>
      </w:r>
      <w:r w:rsidRPr="0057104C">
        <w:rPr>
          <w:rStyle w:val="TextoNormalCaracter"/>
        </w:rPr>
        <w:t>-</w:t>
      </w:r>
      <w:r>
        <w:t xml:space="preserve"> Sentencia </w:t>
      </w:r>
      <w:hyperlink w:anchor="SENTENCIA_2016_112" w:history="1">
        <w:r w:rsidRPr="0057104C">
          <w:rPr>
            <w:rStyle w:val="TextoNormalCaracter"/>
          </w:rPr>
          <w:t>112/2016</w:t>
        </w:r>
      </w:hyperlink>
      <w:r>
        <w:t>, f. 4, VP.</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7 de marzo de 2006 (Hocaogullari c. Turquía)</w:t>
      </w:r>
    </w:p>
    <w:p w:rsidR="0057104C" w:rsidRDefault="0057104C" w:rsidP="0057104C">
      <w:pPr>
        <w:pStyle w:val="SangriaFrancesaArticulo"/>
      </w:pPr>
      <w:r w:rsidRPr="0057104C">
        <w:rPr>
          <w:rStyle w:val="TextoNormalNegritaCaracter"/>
        </w:rPr>
        <w:t>§ 39.</w:t>
      </w:r>
      <w:r w:rsidRPr="0057104C">
        <w:rPr>
          <w:rStyle w:val="TextoNormalCaracter"/>
        </w:rPr>
        <w:t>-</w:t>
      </w:r>
      <w:r>
        <w:t xml:space="preserve"> Sentencia </w:t>
      </w:r>
      <w:hyperlink w:anchor="SENTENCIA_2016_112" w:history="1">
        <w:r w:rsidRPr="0057104C">
          <w:rPr>
            <w:rStyle w:val="TextoNormalCaracter"/>
          </w:rPr>
          <w:t>112/2016</w:t>
        </w:r>
      </w:hyperlink>
      <w:r>
        <w:t>, f. 4, VP.</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10 de octubre de 2006 (Halis Dogan c. Turquía)</w:t>
      </w:r>
    </w:p>
    <w:p w:rsidR="0057104C" w:rsidRDefault="0057104C" w:rsidP="0057104C">
      <w:pPr>
        <w:pStyle w:val="SangriaFrancesaArticulo"/>
      </w:pPr>
      <w:r w:rsidRPr="0057104C">
        <w:rPr>
          <w:rStyle w:val="TextoNormalNegritaCaracter"/>
        </w:rPr>
        <w:t>§ 35.</w:t>
      </w:r>
      <w:r w:rsidRPr="0057104C">
        <w:rPr>
          <w:rStyle w:val="TextoNormalCaracter"/>
        </w:rPr>
        <w:t>-</w:t>
      </w:r>
      <w:r>
        <w:t xml:space="preserve"> Sentencia </w:t>
      </w:r>
      <w:hyperlink w:anchor="SENTENCIA_2016_112" w:history="1">
        <w:r w:rsidRPr="0057104C">
          <w:rPr>
            <w:rStyle w:val="TextoNormalCaracter"/>
          </w:rPr>
          <w:t>112/2016</w:t>
        </w:r>
      </w:hyperlink>
      <w:r>
        <w:t>, f. 4.</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6 de diciembre de 2007, (Maumousseau y Washington c. Francia)</w:t>
      </w:r>
    </w:p>
    <w:p w:rsidR="0057104C" w:rsidRDefault="0057104C" w:rsidP="0057104C">
      <w:pPr>
        <w:pStyle w:val="SangriaFrancesaArticulo"/>
      </w:pPr>
      <w:r w:rsidRPr="0057104C">
        <w:rPr>
          <w:rStyle w:val="TextoNormalNegritaCaracter"/>
        </w:rPr>
        <w:t>Apartado 74.</w:t>
      </w:r>
      <w:r w:rsidRPr="0057104C">
        <w:rPr>
          <w:rStyle w:val="TextoNormalCaracter"/>
        </w:rPr>
        <w:t>-</w:t>
      </w:r>
      <w:r>
        <w:t xml:space="preserve"> Sentencia </w:t>
      </w:r>
      <w:hyperlink w:anchor="SENTENCIA_2016_16" w:history="1">
        <w:r w:rsidRPr="0057104C">
          <w:rPr>
            <w:rStyle w:val="TextoNormalCaracter"/>
          </w:rPr>
          <w:t>16/2016</w:t>
        </w:r>
      </w:hyperlink>
      <w:r>
        <w:t>, f. 9.</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11 de diciembre de 2007 (Karakoyun y Taran c. Turquía)</w:t>
      </w:r>
    </w:p>
    <w:p w:rsidR="0057104C" w:rsidRDefault="0057104C" w:rsidP="0057104C">
      <w:pPr>
        <w:pStyle w:val="SangriaFrancesaArticulo"/>
      </w:pPr>
      <w:r w:rsidRPr="0057104C">
        <w:rPr>
          <w:rStyle w:val="TextoNormalNegritaCaracter"/>
        </w:rPr>
        <w:t>§ 30.</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14 de febrero de 2008 (Hadri-Vionnet c. Suiza)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 w:history="1">
        <w:r w:rsidRPr="0057104C">
          <w:rPr>
            <w:rStyle w:val="TextoNormalCaracter"/>
          </w:rPr>
          <w:t>11/2016</w:t>
        </w:r>
      </w:hyperlink>
      <w:r>
        <w:t>, f. 1, VPIII.</w:t>
      </w:r>
    </w:p>
    <w:p w:rsidR="0057104C" w:rsidRDefault="0057104C" w:rsidP="0057104C">
      <w:pPr>
        <w:pStyle w:val="SangriaFrancesaArticulo"/>
      </w:pPr>
      <w:r w:rsidRPr="0057104C">
        <w:rPr>
          <w:rStyle w:val="TextoNormalNegritaCaracter"/>
        </w:rPr>
        <w:t>Artículo 13.</w:t>
      </w:r>
      <w:r w:rsidRPr="0057104C">
        <w:rPr>
          <w:rStyle w:val="TextoNormalCaracter"/>
        </w:rPr>
        <w:t>-</w:t>
      </w:r>
      <w:r>
        <w:t xml:space="preserve"> Sentencia </w:t>
      </w:r>
      <w:hyperlink w:anchor="SENTENCIA_2016_11" w:history="1">
        <w:r w:rsidRPr="0057104C">
          <w:rPr>
            <w:rStyle w:val="TextoNormalCaracter"/>
          </w:rPr>
          <w:t>11/2016</w:t>
        </w:r>
      </w:hyperlink>
      <w:r>
        <w:t>, VPIII.</w:t>
      </w:r>
    </w:p>
    <w:p w:rsidR="0057104C" w:rsidRDefault="0057104C" w:rsidP="0057104C">
      <w:pPr>
        <w:pStyle w:val="SangriaFrancesaArticulo"/>
      </w:pPr>
      <w:r w:rsidRPr="0057104C">
        <w:rPr>
          <w:rStyle w:val="TextoNormalNegritaCaracter"/>
        </w:rPr>
        <w:t>§ 61.</w:t>
      </w:r>
      <w:r w:rsidRPr="0057104C">
        <w:rPr>
          <w:rStyle w:val="TextoNormalCaracter"/>
        </w:rPr>
        <w:t>-</w:t>
      </w:r>
      <w:r>
        <w:t xml:space="preserve"> Sentencia </w:t>
      </w:r>
      <w:hyperlink w:anchor="SENTENCIA_2016_11" w:history="1">
        <w:r w:rsidRPr="0057104C">
          <w:rPr>
            <w:rStyle w:val="TextoNormalCaracter"/>
          </w:rPr>
          <w:t>11/2016</w:t>
        </w:r>
      </w:hyperlink>
      <w:r>
        <w:t>, VPIII.</w:t>
      </w:r>
    </w:p>
    <w:p w:rsidR="0057104C" w:rsidRDefault="0057104C" w:rsidP="0057104C">
      <w:pPr>
        <w:pStyle w:val="SangriaFrancesaArticulo"/>
      </w:pPr>
      <w:r w:rsidRPr="0057104C">
        <w:rPr>
          <w:rStyle w:val="TextoNormalNegritaCaracter"/>
        </w:rPr>
        <w:t>§ 67.</w:t>
      </w:r>
      <w:r w:rsidRPr="0057104C">
        <w:rPr>
          <w:rStyle w:val="TextoNormalCaracter"/>
        </w:rPr>
        <w:t>-</w:t>
      </w:r>
      <w:r>
        <w:t xml:space="preserve"> Sentencia </w:t>
      </w:r>
      <w:hyperlink w:anchor="SENTENCIA_2016_11" w:history="1">
        <w:r w:rsidRPr="0057104C">
          <w:rPr>
            <w:rStyle w:val="TextoNormalCaracter"/>
          </w:rPr>
          <w:t>11/2016</w:t>
        </w:r>
      </w:hyperlink>
      <w:r>
        <w:t>, f. 2.</w:t>
      </w:r>
    </w:p>
    <w:p w:rsidR="0057104C" w:rsidRDefault="0057104C" w:rsidP="0057104C">
      <w:pPr>
        <w:pStyle w:val="SangriaFrancesaArticulo"/>
      </w:pPr>
      <w:r w:rsidRPr="0057104C">
        <w:rPr>
          <w:rStyle w:val="TextoNormalNegritaCaracter"/>
        </w:rPr>
        <w:t>§§ 68-69.</w:t>
      </w:r>
      <w:r w:rsidRPr="0057104C">
        <w:rPr>
          <w:rStyle w:val="TextoNormalCaracter"/>
        </w:rPr>
        <w:t>-</w:t>
      </w:r>
      <w:r>
        <w:t xml:space="preserve"> Sentencia </w:t>
      </w:r>
      <w:hyperlink w:anchor="SENTENCIA_2016_11" w:history="1">
        <w:r w:rsidRPr="0057104C">
          <w:rPr>
            <w:rStyle w:val="TextoNormalCaracter"/>
          </w:rPr>
          <w:t>11/2016</w:t>
        </w:r>
      </w:hyperlink>
      <w:r>
        <w:t>, f. 2, VPIII.</w:t>
      </w:r>
    </w:p>
    <w:p w:rsidR="0057104C" w:rsidRDefault="0057104C" w:rsidP="0057104C">
      <w:pPr>
        <w:pStyle w:val="SangriaFrancesaArticulo"/>
      </w:pPr>
      <w:r w:rsidRPr="0057104C">
        <w:rPr>
          <w:rStyle w:val="TextoNormalNegritaCaracter"/>
        </w:rPr>
        <w:t>§ 71.</w:t>
      </w:r>
      <w:r w:rsidRPr="0057104C">
        <w:rPr>
          <w:rStyle w:val="TextoNormalCaracter"/>
        </w:rPr>
        <w:t>-</w:t>
      </w:r>
      <w:r>
        <w:t xml:space="preserve"> Sentencia </w:t>
      </w:r>
      <w:hyperlink w:anchor="SENTENCIA_2016_11" w:history="1">
        <w:r w:rsidRPr="0057104C">
          <w:rPr>
            <w:rStyle w:val="TextoNormalCaracter"/>
          </w:rPr>
          <w:t>11/2016</w:t>
        </w:r>
      </w:hyperlink>
      <w:r>
        <w:t>, f. 2.</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21 de febrero de 2008 (Yalciner c. Turquía)</w:t>
      </w:r>
    </w:p>
    <w:p w:rsidR="0057104C" w:rsidRDefault="0057104C" w:rsidP="0057104C">
      <w:pPr>
        <w:pStyle w:val="SangriaFrancesaArticulo"/>
      </w:pPr>
      <w:r w:rsidRPr="0057104C">
        <w:rPr>
          <w:rStyle w:val="TextoNormalNegritaCaracter"/>
        </w:rPr>
        <w:t>§ 46.</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r w:rsidRPr="0057104C">
        <w:rPr>
          <w:rStyle w:val="TextoNormalNegritaCaracter"/>
        </w:rPr>
        <w:t>§ 47.</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r w:rsidRPr="0057104C">
        <w:rPr>
          <w:rStyle w:val="TextoNormalNegritaCaracter"/>
        </w:rPr>
        <w:t>§ 48.</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29 de abril de 2008 (Kutlular c. Turquía)</w:t>
      </w:r>
    </w:p>
    <w:p w:rsidR="0057104C" w:rsidRDefault="0057104C" w:rsidP="0057104C">
      <w:pPr>
        <w:pStyle w:val="SangriaFrancesaArticulo"/>
      </w:pPr>
      <w:r w:rsidRPr="0057104C">
        <w:rPr>
          <w:rStyle w:val="TextoNormalNegritaCaracter"/>
        </w:rPr>
        <w:t>§ 49.</w:t>
      </w:r>
      <w:r w:rsidRPr="0057104C">
        <w:rPr>
          <w:rStyle w:val="TextoNormalCaracter"/>
        </w:rPr>
        <w:t>-</w:t>
      </w:r>
      <w:r>
        <w:t xml:space="preserve"> Sentencia </w:t>
      </w:r>
      <w:hyperlink w:anchor="SENTENCIA_2016_112" w:history="1">
        <w:r w:rsidRPr="0057104C">
          <w:rPr>
            <w:rStyle w:val="TextoNormalCaracter"/>
          </w:rPr>
          <w:t>112/2016</w:t>
        </w:r>
      </w:hyperlink>
      <w:r>
        <w:t>, f. 6.</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29 de abril de 2008 (Spînu c. Rumania)</w:t>
      </w:r>
    </w:p>
    <w:p w:rsidR="0057104C" w:rsidRDefault="0057104C" w:rsidP="0057104C">
      <w:pPr>
        <w:pStyle w:val="SangriaFrancesaArticulo"/>
      </w:pPr>
      <w:r w:rsidRPr="0057104C">
        <w:rPr>
          <w:rStyle w:val="TextoNormalNegritaCaracter"/>
        </w:rPr>
        <w:t>§ 58.</w:t>
      </w:r>
      <w:r w:rsidRPr="0057104C">
        <w:rPr>
          <w:rStyle w:val="TextoNormalCaracter"/>
        </w:rPr>
        <w:t>-</w:t>
      </w:r>
      <w:r>
        <w:t xml:space="preserve"> Sentencia </w:t>
      </w:r>
      <w:hyperlink w:anchor="SENTENCIA_2016_105" w:history="1">
        <w:r w:rsidRPr="0057104C">
          <w:rPr>
            <w:rStyle w:val="TextoNormalCaracter"/>
          </w:rPr>
          <w:t>105/2016</w:t>
        </w:r>
      </w:hyperlink>
      <w:r>
        <w:t>, f. 7.</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 de octubre de 2008 (Leroy c. Francia)</w:t>
      </w:r>
    </w:p>
    <w:p w:rsidR="0057104C" w:rsidRDefault="0057104C" w:rsidP="0057104C">
      <w:pPr>
        <w:pStyle w:val="SangriaFrancesaArticulo"/>
      </w:pPr>
      <w:r w:rsidRPr="0057104C">
        <w:rPr>
          <w:rStyle w:val="TextoNormalNegritaCaracter"/>
        </w:rPr>
        <w:t>§ 43.</w:t>
      </w:r>
      <w:r w:rsidRPr="0057104C">
        <w:rPr>
          <w:rStyle w:val="TextoNormalCaracter"/>
        </w:rPr>
        <w:t>-</w:t>
      </w:r>
      <w:r>
        <w:t xml:space="preserve"> Sentencia </w:t>
      </w:r>
      <w:hyperlink w:anchor="SENTENCIA_2016_112" w:history="1">
        <w:r w:rsidRPr="0057104C">
          <w:rPr>
            <w:rStyle w:val="TextoNormalCaracter"/>
          </w:rPr>
          <w:t>112/2016</w:t>
        </w:r>
      </w:hyperlink>
      <w:r>
        <w:t>, f. 4.</w:t>
      </w:r>
    </w:p>
    <w:p w:rsidR="0057104C" w:rsidRDefault="0057104C" w:rsidP="0057104C">
      <w:pPr>
        <w:pStyle w:val="SangriaFrancesaArticulo"/>
      </w:pPr>
      <w:r w:rsidRPr="0057104C">
        <w:rPr>
          <w:rStyle w:val="TextoNormalNegritaCaracter"/>
        </w:rPr>
        <w:t>§ 45.</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10 de marzo de 2009 (Igual Coll c. España)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5" w:history="1">
        <w:r w:rsidRPr="0057104C">
          <w:rPr>
            <w:rStyle w:val="TextoNormalCaracter"/>
          </w:rPr>
          <w:t>105/2016</w:t>
        </w:r>
      </w:hyperlink>
      <w:r>
        <w:t>, f. 5.</w:t>
      </w:r>
    </w:p>
    <w:p w:rsidR="0057104C" w:rsidRDefault="0057104C" w:rsidP="0057104C">
      <w:pPr>
        <w:pStyle w:val="SangriaFrancesaArticulo"/>
      </w:pPr>
    </w:p>
    <w:p w:rsidR="0057104C" w:rsidRDefault="0057104C" w:rsidP="0057104C">
      <w:pPr>
        <w:pStyle w:val="TextoNormalNegritaCursivandice"/>
      </w:pPr>
      <w:r>
        <w:t>Decisión del Tribunal Europeo de Derechos Humanos de 16 de junio de 2009 (Bahceci c. Turquía)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2" w:history="1">
        <w:r w:rsidRPr="0057104C">
          <w:rPr>
            <w:rStyle w:val="TextoNormalCaracter"/>
          </w:rPr>
          <w:t>112/2016</w:t>
        </w:r>
      </w:hyperlink>
      <w:r>
        <w:t>, f. 4.</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16 de julio de 2009 (Féret c. Bélgica)</w:t>
      </w:r>
    </w:p>
    <w:p w:rsidR="0057104C" w:rsidRDefault="0057104C" w:rsidP="0057104C">
      <w:pPr>
        <w:pStyle w:val="SangriaFrancesaArticulo"/>
      </w:pPr>
      <w:r w:rsidRPr="0057104C">
        <w:rPr>
          <w:rStyle w:val="TextoNormalNegritaCaracter"/>
        </w:rPr>
        <w:t>§ 64.</w:t>
      </w:r>
      <w:r w:rsidRPr="0057104C">
        <w:rPr>
          <w:rStyle w:val="TextoNormalCaracter"/>
        </w:rPr>
        <w:t>-</w:t>
      </w:r>
      <w:r>
        <w:t xml:space="preserve"> Sentencia </w:t>
      </w:r>
      <w:hyperlink w:anchor="SENTENCIA_2016_112" w:history="1">
        <w:r w:rsidRPr="0057104C">
          <w:rPr>
            <w:rStyle w:val="TextoNormalCaracter"/>
          </w:rPr>
          <w:t>112/2016</w:t>
        </w:r>
      </w:hyperlink>
      <w:r>
        <w:t>, f. 6.</w:t>
      </w:r>
    </w:p>
    <w:p w:rsidR="0057104C" w:rsidRDefault="0057104C" w:rsidP="0057104C">
      <w:pPr>
        <w:pStyle w:val="SangriaFrancesaArticulo"/>
      </w:pPr>
      <w:r w:rsidRPr="0057104C">
        <w:rPr>
          <w:rStyle w:val="TextoNormalNegritaCaracter"/>
        </w:rPr>
        <w:t>§ 73.</w:t>
      </w:r>
      <w:r w:rsidRPr="0057104C">
        <w:rPr>
          <w:rStyle w:val="TextoNormalCaracter"/>
        </w:rPr>
        <w:t>-</w:t>
      </w:r>
      <w:r>
        <w:t xml:space="preserve"> Sentencia </w:t>
      </w:r>
      <w:hyperlink w:anchor="SENTENCIA_2016_112" w:history="1">
        <w:r w:rsidRPr="0057104C">
          <w:rPr>
            <w:rStyle w:val="TextoNormalCaracter"/>
          </w:rPr>
          <w:t>112/2016</w:t>
        </w:r>
      </w:hyperlink>
      <w:r>
        <w:t>, f. 6.</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6 de julio de 2010 (Neulinger y Shuruk c. Suiza)</w:t>
      </w:r>
    </w:p>
    <w:p w:rsidR="0057104C" w:rsidRDefault="0057104C" w:rsidP="0057104C">
      <w:pPr>
        <w:pStyle w:val="SangriaFrancesaArticulo"/>
      </w:pPr>
      <w:r w:rsidRPr="0057104C">
        <w:rPr>
          <w:rStyle w:val="TextoNormalNegritaCaracter"/>
        </w:rPr>
        <w:t>Apartado 139.</w:t>
      </w:r>
      <w:r w:rsidRPr="0057104C">
        <w:rPr>
          <w:rStyle w:val="TextoNormalCaracter"/>
        </w:rPr>
        <w:t>-</w:t>
      </w:r>
      <w:r>
        <w:t xml:space="preserve"> Sentencia </w:t>
      </w:r>
      <w:hyperlink w:anchor="SENTENCIA_2016_16" w:history="1">
        <w:r w:rsidRPr="0057104C">
          <w:rPr>
            <w:rStyle w:val="TextoNormalCaracter"/>
          </w:rPr>
          <w:t>16/2016</w:t>
        </w:r>
      </w:hyperlink>
      <w:r>
        <w:t>, f. 9.</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 de febrero de 2011 (Faruk Temel c. Turquía)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r w:rsidRPr="0057104C">
        <w:rPr>
          <w:rStyle w:val="TextoNormalNegritaCaracter"/>
        </w:rPr>
        <w:t>§ 55.</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15 de marzo de 2011 (Otegi Mondragón c. España)</w:t>
      </w:r>
    </w:p>
    <w:p w:rsidR="0057104C" w:rsidRDefault="0057104C" w:rsidP="0057104C">
      <w:pPr>
        <w:pStyle w:val="SangriaFrancesaArticulo"/>
      </w:pPr>
      <w:r w:rsidRPr="0057104C">
        <w:rPr>
          <w:rStyle w:val="TextoNormalNegritaCaracter"/>
        </w:rPr>
        <w:t>§ 50.</w:t>
      </w:r>
      <w:r w:rsidRPr="0057104C">
        <w:rPr>
          <w:rStyle w:val="TextoNormalCaracter"/>
        </w:rPr>
        <w:t>-</w:t>
      </w:r>
      <w:r>
        <w:t xml:space="preserve"> Sentencia </w:t>
      </w:r>
      <w:hyperlink w:anchor="SENTENCIA_2016_112" w:history="1">
        <w:r w:rsidRPr="0057104C">
          <w:rPr>
            <w:rStyle w:val="TextoNormalCaracter"/>
          </w:rPr>
          <w:t>112/2016</w:t>
        </w:r>
      </w:hyperlink>
      <w:r>
        <w:t>, VP.</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30 de junio de 2011 (Girard c. Francia)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 w:history="1">
        <w:r w:rsidRPr="0057104C">
          <w:rPr>
            <w:rStyle w:val="TextoNormalCaracter"/>
          </w:rPr>
          <w:t>11/2016</w:t>
        </w:r>
      </w:hyperlink>
      <w:r>
        <w:t>, f. 2, VPIII.</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22 de noviembre de 2011 (Lacadena Calero c. España)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5" w:history="1">
        <w:r w:rsidRPr="0057104C">
          <w:rPr>
            <w:rStyle w:val="TextoNormalCaracter"/>
          </w:rPr>
          <w:t>105/2016</w:t>
        </w:r>
      </w:hyperlink>
      <w:r>
        <w:t>, f. 5.</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13 de diciembre de 2011 (Valbuena Redondo c. España)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5" w:history="1">
        <w:r w:rsidRPr="0057104C">
          <w:rPr>
            <w:rStyle w:val="TextoNormalCaracter"/>
          </w:rPr>
          <w:t>105/2016</w:t>
        </w:r>
      </w:hyperlink>
      <w:r>
        <w:t>, f. 5.</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14 de febrero de 2012 (D.D. c. Lituania)</w:t>
      </w:r>
    </w:p>
    <w:p w:rsidR="0057104C" w:rsidRDefault="0057104C" w:rsidP="0057104C">
      <w:pPr>
        <w:pStyle w:val="SangriaFrancesaArticulo"/>
      </w:pPr>
      <w:r w:rsidRPr="0057104C">
        <w:rPr>
          <w:rStyle w:val="TextoNormalNegritaCaracter"/>
        </w:rPr>
        <w:t>§ 163 apartado c).</w:t>
      </w:r>
      <w:r w:rsidRPr="0057104C">
        <w:rPr>
          <w:rStyle w:val="TextoNormalCaracter"/>
        </w:rPr>
        <w:t>-</w:t>
      </w:r>
      <w:r>
        <w:t xml:space="preserve"> Sentencias </w:t>
      </w:r>
      <w:hyperlink w:anchor="SENTENCIA_2016_22" w:history="1">
        <w:r w:rsidRPr="0057104C">
          <w:rPr>
            <w:rStyle w:val="TextoNormalCaracter"/>
          </w:rPr>
          <w:t>22/2016</w:t>
        </w:r>
      </w:hyperlink>
      <w:r>
        <w:t xml:space="preserve">, f. 4; </w:t>
      </w:r>
      <w:hyperlink w:anchor="SENTENCIA_2016_50" w:history="1">
        <w:r w:rsidRPr="0057104C">
          <w:rPr>
            <w:rStyle w:val="TextoNormalCaracter"/>
          </w:rPr>
          <w:t>50/2016</w:t>
        </w:r>
      </w:hyperlink>
      <w:r>
        <w:t>, f. 4.</w:t>
      </w:r>
    </w:p>
    <w:p w:rsidR="0057104C" w:rsidRDefault="0057104C" w:rsidP="0057104C">
      <w:pPr>
        <w:pStyle w:val="SangriaFrancesaArticulo"/>
      </w:pPr>
      <w:r w:rsidRPr="0057104C">
        <w:rPr>
          <w:rStyle w:val="TextoNormalNegritaCaracter"/>
        </w:rPr>
        <w:t>§ 166.</w:t>
      </w:r>
      <w:r w:rsidRPr="0057104C">
        <w:rPr>
          <w:rStyle w:val="TextoNormalCaracter"/>
        </w:rPr>
        <w:t>-</w:t>
      </w:r>
      <w:r>
        <w:t xml:space="preserve"> Sentencias </w:t>
      </w:r>
      <w:hyperlink w:anchor="SENTENCIA_2016_22" w:history="1">
        <w:r w:rsidRPr="0057104C">
          <w:rPr>
            <w:rStyle w:val="TextoNormalCaracter"/>
          </w:rPr>
          <w:t>22/2016</w:t>
        </w:r>
      </w:hyperlink>
      <w:r>
        <w:t xml:space="preserve">, f. 4; </w:t>
      </w:r>
      <w:hyperlink w:anchor="SENTENCIA_2016_50" w:history="1">
        <w:r w:rsidRPr="0057104C">
          <w:rPr>
            <w:rStyle w:val="TextoNormalCaracter"/>
          </w:rPr>
          <w:t>50/2016</w:t>
        </w:r>
      </w:hyperlink>
      <w:r>
        <w:t>, f. 4.</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20 de marzo de 2012 (Serrano Contreras c. España)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5" w:history="1">
        <w:r w:rsidRPr="0057104C">
          <w:rPr>
            <w:rStyle w:val="TextoNormalCaracter"/>
          </w:rPr>
          <w:t>105/2016</w:t>
        </w:r>
      </w:hyperlink>
      <w:r>
        <w:t>, f. 5.</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24 de julio de 2012 (Stanca c. Rumanía)</w:t>
      </w:r>
    </w:p>
    <w:p w:rsidR="0057104C" w:rsidRDefault="0057104C" w:rsidP="0057104C">
      <w:pPr>
        <w:pStyle w:val="SangriaFrancesaArticulo"/>
      </w:pPr>
      <w:r w:rsidRPr="0057104C">
        <w:rPr>
          <w:rStyle w:val="TextoNormalNegritaCaracter"/>
        </w:rPr>
        <w:t>§ 74.</w:t>
      </w:r>
      <w:r w:rsidRPr="0057104C">
        <w:rPr>
          <w:rStyle w:val="TextoNormalCaracter"/>
        </w:rPr>
        <w:t>-</w:t>
      </w:r>
      <w:r>
        <w:t xml:space="preserve"> Sentencia </w:t>
      </w:r>
      <w:hyperlink w:anchor="SENTENCIA_2016_105" w:history="1">
        <w:r w:rsidRPr="0057104C">
          <w:rPr>
            <w:rStyle w:val="TextoNormalCaracter"/>
          </w:rPr>
          <w:t>105/2016</w:t>
        </w:r>
      </w:hyperlink>
      <w:r>
        <w:t>, f. 7.</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27 de noviembre de 2012 (Vilanova Goterris y LLop García c. España)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5" w:history="1">
        <w:r w:rsidRPr="0057104C">
          <w:rPr>
            <w:rStyle w:val="TextoNormalCaracter"/>
          </w:rPr>
          <w:t>105/2016</w:t>
        </w:r>
      </w:hyperlink>
      <w:r>
        <w:t>, f. 5.</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6 de junio de 2013 (Maskhadova y otros c. Rusia)</w:t>
      </w:r>
    </w:p>
    <w:p w:rsidR="0057104C" w:rsidRDefault="0057104C" w:rsidP="0057104C">
      <w:pPr>
        <w:pStyle w:val="SangriaFrancesaArticulo"/>
      </w:pPr>
      <w:r w:rsidRPr="0057104C">
        <w:rPr>
          <w:rStyle w:val="TextoNormalNegritaCaracter"/>
        </w:rPr>
        <w:t>§§ 248, 249.</w:t>
      </w:r>
      <w:r w:rsidRPr="0057104C">
        <w:rPr>
          <w:rStyle w:val="TextoNormalCaracter"/>
        </w:rPr>
        <w:t>-</w:t>
      </w:r>
      <w:r>
        <w:t xml:space="preserve"> Sentencia </w:t>
      </w:r>
      <w:hyperlink w:anchor="SENTENCIA_2016_11" w:history="1">
        <w:r w:rsidRPr="0057104C">
          <w:rPr>
            <w:rStyle w:val="TextoNormalCaracter"/>
          </w:rPr>
          <w:t>11/2016</w:t>
        </w:r>
      </w:hyperlink>
      <w:r>
        <w:t>, f. 2, VPIII.</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6 de junio de 2013 (Sabanchiyeva y otros c. Rusia)</w:t>
      </w:r>
    </w:p>
    <w:p w:rsidR="0057104C" w:rsidRDefault="0057104C" w:rsidP="0057104C">
      <w:pPr>
        <w:pStyle w:val="SangriaFrancesaArticulo"/>
      </w:pPr>
      <w:r w:rsidRPr="0057104C">
        <w:rPr>
          <w:rStyle w:val="TextoNormalNegritaCaracter"/>
        </w:rPr>
        <w:t>§§ 157, 158.</w:t>
      </w:r>
      <w:r w:rsidRPr="0057104C">
        <w:rPr>
          <w:rStyle w:val="TextoNormalCaracter"/>
        </w:rPr>
        <w:t>-</w:t>
      </w:r>
      <w:r>
        <w:t xml:space="preserve"> Sentencia </w:t>
      </w:r>
      <w:hyperlink w:anchor="SENTENCIA_2016_11" w:history="1">
        <w:r w:rsidRPr="0057104C">
          <w:rPr>
            <w:rStyle w:val="TextoNormalCaracter"/>
          </w:rPr>
          <w:t>11/2016</w:t>
        </w:r>
      </w:hyperlink>
      <w:r>
        <w:t>, f. 2, VPIII.</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8 de octubre de 2013 (Nieto Macero c. España)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5" w:history="1">
        <w:r w:rsidRPr="0057104C">
          <w:rPr>
            <w:rStyle w:val="TextoNormalCaracter"/>
          </w:rPr>
          <w:t>105/2016</w:t>
        </w:r>
      </w:hyperlink>
      <w:r>
        <w:t>, f. 5.</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8 de octubre de 2013 (Román Zurdo c. España)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5" w:history="1">
        <w:r w:rsidRPr="0057104C">
          <w:rPr>
            <w:rStyle w:val="TextoNormalCaracter"/>
          </w:rPr>
          <w:t>105/2016</w:t>
        </w:r>
      </w:hyperlink>
      <w:r>
        <w:t>, f. 5.</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21 de octubre de 2013 (del Río Prada c. España)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3" w:history="1">
        <w:r w:rsidRPr="0057104C">
          <w:rPr>
            <w:rStyle w:val="TextoNormalCaracter"/>
          </w:rPr>
          <w:t>123/2016</w:t>
        </w:r>
      </w:hyperlink>
      <w:r>
        <w:t>, f. 2.</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12 de noviembre de 2013 (Sainz Casla c. España)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5" w:history="1">
        <w:r w:rsidRPr="0057104C">
          <w:rPr>
            <w:rStyle w:val="TextoNormalCaracter"/>
          </w:rPr>
          <w:t>105/2016</w:t>
        </w:r>
      </w:hyperlink>
      <w:r>
        <w:t>, f. 5.</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26 de noviembre de 2013 (X. c. Letronia)</w:t>
      </w:r>
    </w:p>
    <w:p w:rsidR="0057104C" w:rsidRDefault="0057104C" w:rsidP="0057104C">
      <w:pPr>
        <w:pStyle w:val="SangriaFrancesaArticulo"/>
      </w:pPr>
      <w:r w:rsidRPr="0057104C">
        <w:rPr>
          <w:rStyle w:val="TextoNormalNegritaCaracter"/>
        </w:rPr>
        <w:t>Apartado 106.</w:t>
      </w:r>
      <w:r w:rsidRPr="0057104C">
        <w:rPr>
          <w:rStyle w:val="TextoNormalCaracter"/>
        </w:rPr>
        <w:t>-</w:t>
      </w:r>
      <w:r>
        <w:t xml:space="preserve"> Sentencia </w:t>
      </w:r>
      <w:hyperlink w:anchor="SENTENCIA_2016_16" w:history="1">
        <w:r w:rsidRPr="0057104C">
          <w:rPr>
            <w:rStyle w:val="TextoNormalCaracter"/>
          </w:rPr>
          <w:t>16/2016</w:t>
        </w:r>
      </w:hyperlink>
      <w:r>
        <w:t>, f. 9.</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16 de enero de 2014 (Abdulayeva c. Rusia)</w:t>
      </w:r>
    </w:p>
    <w:p w:rsidR="0057104C" w:rsidRDefault="0057104C" w:rsidP="0057104C">
      <w:pPr>
        <w:pStyle w:val="SangriaFrancesaArticulo"/>
      </w:pPr>
      <w:r w:rsidRPr="0057104C">
        <w:rPr>
          <w:rStyle w:val="TextoNormalNegritaCaracter"/>
        </w:rPr>
        <w:t>§ 60.</w:t>
      </w:r>
      <w:r w:rsidRPr="0057104C">
        <w:rPr>
          <w:rStyle w:val="TextoNormalCaracter"/>
        </w:rPr>
        <w:t>-</w:t>
      </w:r>
      <w:r>
        <w:t xml:space="preserve"> Sentencia </w:t>
      </w:r>
      <w:hyperlink w:anchor="SENTENCIA_2016_11" w:history="1">
        <w:r w:rsidRPr="0057104C">
          <w:rPr>
            <w:rStyle w:val="TextoNormalCaracter"/>
          </w:rPr>
          <w:t>11/2016</w:t>
        </w:r>
      </w:hyperlink>
      <w:r>
        <w:t>, f. 2, VP III.</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12 de junio de 2014 (Maric c. Croacia)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1" w:history="1">
        <w:r w:rsidRPr="0057104C">
          <w:rPr>
            <w:rStyle w:val="TextoNormalCaracter"/>
          </w:rPr>
          <w:t>11/2016</w:t>
        </w:r>
      </w:hyperlink>
      <w:r>
        <w:t>, f. 2, VPIII.</w:t>
      </w:r>
    </w:p>
    <w:p w:rsidR="0057104C" w:rsidRDefault="0057104C" w:rsidP="0057104C">
      <w:pPr>
        <w:pStyle w:val="SangriaFrancesaArticulo"/>
      </w:pPr>
      <w:r w:rsidRPr="0057104C">
        <w:rPr>
          <w:rStyle w:val="TextoNormalNegritaCaracter"/>
        </w:rPr>
        <w:t>Artículo 35.</w:t>
      </w:r>
      <w:r w:rsidRPr="0057104C">
        <w:rPr>
          <w:rStyle w:val="TextoNormalCaracter"/>
        </w:rPr>
        <w:t>-</w:t>
      </w:r>
      <w:r>
        <w:t xml:space="preserve"> Sentencia </w:t>
      </w:r>
      <w:hyperlink w:anchor="SENTENCIA_2016_11" w:history="1">
        <w:r w:rsidRPr="0057104C">
          <w:rPr>
            <w:rStyle w:val="TextoNormalCaracter"/>
          </w:rPr>
          <w:t>11/2016</w:t>
        </w:r>
      </w:hyperlink>
      <w:r>
        <w:t>, VPIII.</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 de julio de 2014 (Blaga c. Rumania)</w:t>
      </w:r>
    </w:p>
    <w:p w:rsidR="0057104C" w:rsidRDefault="0057104C" w:rsidP="0057104C">
      <w:pPr>
        <w:pStyle w:val="SangriaFrancesaArticulo"/>
      </w:pPr>
      <w:r w:rsidRPr="0057104C">
        <w:rPr>
          <w:rStyle w:val="TextoNormalNegritaCaracter"/>
        </w:rPr>
        <w:t>Apartado 69.</w:t>
      </w:r>
      <w:r w:rsidRPr="0057104C">
        <w:rPr>
          <w:rStyle w:val="TextoNormalCaracter"/>
        </w:rPr>
        <w:t>-</w:t>
      </w:r>
      <w:r>
        <w:t xml:space="preserve"> Sentencia </w:t>
      </w:r>
      <w:hyperlink w:anchor="SENTENCIA_2016_16" w:history="1">
        <w:r w:rsidRPr="0057104C">
          <w:rPr>
            <w:rStyle w:val="TextoNormalCaracter"/>
          </w:rPr>
          <w:t>16/2016</w:t>
        </w:r>
      </w:hyperlink>
      <w:r>
        <w:t>, f. 9.</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20 de enero de 2015 (Arribas Antón c. España)</w:t>
      </w:r>
    </w:p>
    <w:p w:rsidR="0057104C" w:rsidRDefault="0057104C" w:rsidP="0057104C">
      <w:pPr>
        <w:pStyle w:val="SangriaFrancesaArticulo"/>
      </w:pPr>
      <w:r w:rsidRPr="0057104C">
        <w:rPr>
          <w:rStyle w:val="TextoNormalNegritaCaracter"/>
        </w:rPr>
        <w:t>§ 46.</w:t>
      </w:r>
      <w:r w:rsidRPr="0057104C">
        <w:rPr>
          <w:rStyle w:val="TextoNormalCaracter"/>
        </w:rPr>
        <w:t>-</w:t>
      </w:r>
      <w:r>
        <w:t xml:space="preserve"> Sentencias </w:t>
      </w:r>
      <w:hyperlink w:anchor="SENTENCIA_2016_3" w:history="1">
        <w:r w:rsidRPr="0057104C">
          <w:rPr>
            <w:rStyle w:val="TextoNormalCaracter"/>
          </w:rPr>
          <w:t>3/2016</w:t>
        </w:r>
      </w:hyperlink>
      <w:r>
        <w:t xml:space="preserve">, f. 1; </w:t>
      </w:r>
      <w:hyperlink w:anchor="SENTENCIA_2016_12" w:history="1">
        <w:r w:rsidRPr="0057104C">
          <w:rPr>
            <w:rStyle w:val="TextoNormalCaracter"/>
          </w:rPr>
          <w:t>12/2016</w:t>
        </w:r>
      </w:hyperlink>
      <w:r>
        <w:t xml:space="preserve">, f. 2; </w:t>
      </w:r>
      <w:hyperlink w:anchor="SENTENCIA_2016_16" w:history="1">
        <w:r w:rsidRPr="0057104C">
          <w:rPr>
            <w:rStyle w:val="TextoNormalCaracter"/>
          </w:rPr>
          <w:t>16/2016</w:t>
        </w:r>
      </w:hyperlink>
      <w:r>
        <w:t xml:space="preserve">, f. 2; </w:t>
      </w:r>
      <w:hyperlink w:anchor="SENTENCIA_2016_22" w:history="1">
        <w:r w:rsidRPr="0057104C">
          <w:rPr>
            <w:rStyle w:val="TextoNormalCaracter"/>
          </w:rPr>
          <w:t>22/2016</w:t>
        </w:r>
      </w:hyperlink>
      <w:r>
        <w:t xml:space="preserve">, f. 3; </w:t>
      </w:r>
      <w:hyperlink w:anchor="SENTENCIA_2016_34" w:history="1">
        <w:r w:rsidRPr="0057104C">
          <w:rPr>
            <w:rStyle w:val="TextoNormalCaracter"/>
          </w:rPr>
          <w:t>34/2016</w:t>
        </w:r>
      </w:hyperlink>
      <w:r>
        <w:t xml:space="preserve">, f. 2; </w:t>
      </w:r>
      <w:hyperlink w:anchor="SENTENCIA_2016_44" w:history="1">
        <w:r w:rsidRPr="0057104C">
          <w:rPr>
            <w:rStyle w:val="TextoNormalCaracter"/>
          </w:rPr>
          <w:t>44/2016</w:t>
        </w:r>
      </w:hyperlink>
      <w:r>
        <w:t xml:space="preserve">, f. 2; </w:t>
      </w:r>
      <w:hyperlink w:anchor="SENTENCIA_2016_45" w:history="1">
        <w:r w:rsidRPr="0057104C">
          <w:rPr>
            <w:rStyle w:val="TextoNormalCaracter"/>
          </w:rPr>
          <w:t>45/2016</w:t>
        </w:r>
      </w:hyperlink>
      <w:r>
        <w:t xml:space="preserve">, f. 2; </w:t>
      </w:r>
      <w:hyperlink w:anchor="SENTENCIA_2016_49" w:history="1">
        <w:r w:rsidRPr="0057104C">
          <w:rPr>
            <w:rStyle w:val="TextoNormalCaracter"/>
          </w:rPr>
          <w:t>49/2016</w:t>
        </w:r>
      </w:hyperlink>
      <w:r>
        <w:t xml:space="preserve">, f. 2; </w:t>
      </w:r>
      <w:hyperlink w:anchor="SENTENCIA_2016_50" w:history="1">
        <w:r w:rsidRPr="0057104C">
          <w:rPr>
            <w:rStyle w:val="TextoNormalCaracter"/>
          </w:rPr>
          <w:t>50/2016</w:t>
        </w:r>
      </w:hyperlink>
      <w:r>
        <w:t xml:space="preserve">, f. 3; </w:t>
      </w:r>
      <w:hyperlink w:anchor="SENTENCIA_2016_63" w:history="1">
        <w:r w:rsidRPr="0057104C">
          <w:rPr>
            <w:rStyle w:val="TextoNormalCaracter"/>
          </w:rPr>
          <w:t>63/2016</w:t>
        </w:r>
      </w:hyperlink>
      <w:r>
        <w:t xml:space="preserve">, f. 2; </w:t>
      </w:r>
      <w:hyperlink w:anchor="SENTENCIA_2016_64" w:history="1">
        <w:r w:rsidRPr="0057104C">
          <w:rPr>
            <w:rStyle w:val="TextoNormalCaracter"/>
          </w:rPr>
          <w:t>64/2016</w:t>
        </w:r>
      </w:hyperlink>
      <w:r>
        <w:t xml:space="preserve">, f. 2; </w:t>
      </w:r>
      <w:hyperlink w:anchor="SENTENCIA_2016_65" w:history="1">
        <w:r w:rsidRPr="0057104C">
          <w:rPr>
            <w:rStyle w:val="TextoNormalCaracter"/>
          </w:rPr>
          <w:t>65/2016</w:t>
        </w:r>
      </w:hyperlink>
      <w:r>
        <w:t xml:space="preserve">, f. 2; </w:t>
      </w:r>
      <w:hyperlink w:anchor="SENTENCIA_2016_76" w:history="1">
        <w:r w:rsidRPr="0057104C">
          <w:rPr>
            <w:rStyle w:val="TextoNormalCaracter"/>
          </w:rPr>
          <w:t>76/2016</w:t>
        </w:r>
      </w:hyperlink>
      <w:r>
        <w:t xml:space="preserve">, f. 2; </w:t>
      </w:r>
      <w:hyperlink w:anchor="SENTENCIA_2016_77" w:history="1">
        <w:r w:rsidRPr="0057104C">
          <w:rPr>
            <w:rStyle w:val="TextoNormalCaracter"/>
          </w:rPr>
          <w:t>77/2016</w:t>
        </w:r>
      </w:hyperlink>
      <w:r>
        <w:t xml:space="preserve">, f. 2; </w:t>
      </w:r>
      <w:hyperlink w:anchor="SENTENCIA_2016_83" w:history="1">
        <w:r w:rsidRPr="0057104C">
          <w:rPr>
            <w:rStyle w:val="TextoNormalCaracter"/>
          </w:rPr>
          <w:t>83/2016</w:t>
        </w:r>
      </w:hyperlink>
      <w:r>
        <w:t xml:space="preserve">, f. 2; </w:t>
      </w:r>
      <w:hyperlink w:anchor="SENTENCIA_2016_89" w:history="1">
        <w:r w:rsidRPr="0057104C">
          <w:rPr>
            <w:rStyle w:val="TextoNormalCaracter"/>
          </w:rPr>
          <w:t>89/2016</w:t>
        </w:r>
      </w:hyperlink>
      <w:r>
        <w:t xml:space="preserve">, f. 2; </w:t>
      </w:r>
      <w:hyperlink w:anchor="SENTENCIA_2016_103" w:history="1">
        <w:r w:rsidRPr="0057104C">
          <w:rPr>
            <w:rStyle w:val="TextoNormalCaracter"/>
          </w:rPr>
          <w:t>103/2016</w:t>
        </w:r>
      </w:hyperlink>
      <w:r>
        <w:t xml:space="preserve">, f. 2; </w:t>
      </w:r>
      <w:hyperlink w:anchor="SENTENCIA_2016_105" w:history="1">
        <w:r w:rsidRPr="0057104C">
          <w:rPr>
            <w:rStyle w:val="TextoNormalCaracter"/>
          </w:rPr>
          <w:t>105/2016</w:t>
        </w:r>
      </w:hyperlink>
      <w:r>
        <w:t xml:space="preserve">, f. 2; </w:t>
      </w:r>
      <w:hyperlink w:anchor="SENTENCIA_2016_117" w:history="1">
        <w:r w:rsidRPr="0057104C">
          <w:rPr>
            <w:rStyle w:val="TextoNormalCaracter"/>
          </w:rPr>
          <w:t>117/2016</w:t>
        </w:r>
      </w:hyperlink>
      <w:r>
        <w:t>, f. 3.</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28 de abril de 2015 (Ferrari c. Rumanía)</w:t>
      </w:r>
    </w:p>
    <w:p w:rsidR="0057104C" w:rsidRDefault="0057104C" w:rsidP="0057104C">
      <w:pPr>
        <w:pStyle w:val="SangriaFrancesaArticulo"/>
      </w:pPr>
      <w:r w:rsidRPr="0057104C">
        <w:rPr>
          <w:rStyle w:val="TextoNormalNegritaCaracter"/>
        </w:rPr>
        <w:t>Apartado 47.</w:t>
      </w:r>
      <w:r w:rsidRPr="0057104C">
        <w:rPr>
          <w:rStyle w:val="TextoNormalCaracter"/>
        </w:rPr>
        <w:t>-</w:t>
      </w:r>
      <w:r>
        <w:t xml:space="preserve"> Sentencia </w:t>
      </w:r>
      <w:hyperlink w:anchor="SENTENCIA_2016_16" w:history="1">
        <w:r w:rsidRPr="0057104C">
          <w:rPr>
            <w:rStyle w:val="TextoNormalCaracter"/>
          </w:rPr>
          <w:t>16/2016</w:t>
        </w:r>
      </w:hyperlink>
      <w:r>
        <w:t>, f. 9.</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12 de enero de 2016 (Barbulescu c. Rumania)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9" w:history="1">
        <w:r w:rsidRPr="0057104C">
          <w:rPr>
            <w:rStyle w:val="TextoNormalCaracter"/>
          </w:rPr>
          <w:t>39/2016</w:t>
        </w:r>
      </w:hyperlink>
      <w:r>
        <w:t>, f. 4.</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8 de marzo de 2016 (Porcel Terribas y otros c. España)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5" w:history="1">
        <w:r w:rsidRPr="0057104C">
          <w:rPr>
            <w:rStyle w:val="TextoNormalCaracter"/>
          </w:rPr>
          <w:t>105/2016</w:t>
        </w:r>
      </w:hyperlink>
      <w:r>
        <w:t>, f. 5.</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29 de marzo de 2016 (Gómez Olmeda c. España)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05" w:history="1">
        <w:r w:rsidRPr="0057104C">
          <w:rPr>
            <w:rStyle w:val="TextoNormalCaracter"/>
          </w:rPr>
          <w:t>105/2016</w:t>
        </w:r>
      </w:hyperlink>
      <w:r>
        <w:t>, f. 5.</w:t>
      </w:r>
    </w:p>
    <w:p w:rsidR="0057104C" w:rsidRDefault="0057104C" w:rsidP="0057104C">
      <w:pPr>
        <w:pStyle w:val="SangriaFrancesaArticulo"/>
      </w:pPr>
      <w:r w:rsidRPr="0057104C">
        <w:rPr>
          <w:rStyle w:val="TextoNormalNegritaCaracter"/>
        </w:rPr>
        <w:t>§ 35.</w:t>
      </w:r>
      <w:r w:rsidRPr="0057104C">
        <w:rPr>
          <w:rStyle w:val="TextoNormalCaracter"/>
        </w:rPr>
        <w:t>-</w:t>
      </w:r>
      <w:r>
        <w:t xml:space="preserve"> Sentencia </w:t>
      </w:r>
      <w:hyperlink w:anchor="SENTENCIA_2016_105" w:history="1">
        <w:r w:rsidRPr="0057104C">
          <w:rPr>
            <w:rStyle w:val="TextoNormalCaracter"/>
          </w:rPr>
          <w:t>105/2016</w:t>
        </w:r>
      </w:hyperlink>
      <w:r>
        <w:t>, f. 7.</w:t>
      </w:r>
    </w:p>
    <w:p w:rsidR="0057104C" w:rsidRDefault="0057104C" w:rsidP="0057104C">
      <w:pPr>
        <w:pStyle w:val="SangriaFrancesaArticulo"/>
      </w:pPr>
      <w:r w:rsidRPr="0057104C">
        <w:rPr>
          <w:rStyle w:val="TextoNormalNegritaCaracter"/>
        </w:rPr>
        <w:t>§§ 37-39.</w:t>
      </w:r>
      <w:r w:rsidRPr="0057104C">
        <w:rPr>
          <w:rStyle w:val="TextoNormalCaracter"/>
        </w:rPr>
        <w:t>-</w:t>
      </w:r>
      <w:r>
        <w:t xml:space="preserve"> Sentencia </w:t>
      </w:r>
      <w:hyperlink w:anchor="SENTENCIA_2016_105" w:history="1">
        <w:r w:rsidRPr="0057104C">
          <w:rPr>
            <w:rStyle w:val="TextoNormalCaracter"/>
          </w:rPr>
          <w:t>105/2016</w:t>
        </w:r>
      </w:hyperlink>
      <w:r>
        <w:t>, f. 5.</w:t>
      </w:r>
    </w:p>
    <w:p w:rsidR="0057104C" w:rsidRDefault="0057104C" w:rsidP="0057104C">
      <w:pPr>
        <w:pStyle w:val="SangriaFrancesaArticulo"/>
      </w:pPr>
    </w:p>
    <w:p w:rsidR="0057104C" w:rsidRDefault="0057104C" w:rsidP="0057104C">
      <w:pPr>
        <w:pStyle w:val="TextoNormalNegritaCursivandice"/>
      </w:pPr>
      <w:r>
        <w:t>Sentencia del Tribunal Europeo de Derechos Humanos de 14 de junio de 2016 (Aldeguer Tomás c. España)</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129" w:history="1">
        <w:r w:rsidRPr="0057104C">
          <w:rPr>
            <w:rStyle w:val="TextoNormalCaracter"/>
          </w:rPr>
          <w:t>129/2016</w:t>
        </w:r>
      </w:hyperlink>
      <w:r>
        <w:t>, f. 4, VP.</w:t>
      </w:r>
    </w:p>
    <w:p w:rsidR="0057104C" w:rsidRDefault="0057104C" w:rsidP="0057104C">
      <w:pPr>
        <w:pStyle w:val="TextoNormal"/>
      </w:pPr>
    </w:p>
    <w:p w:rsidR="0057104C" w:rsidRDefault="0057104C" w:rsidP="0057104C">
      <w:pPr>
        <w:pStyle w:val="SangriaFrancesaArticulo"/>
      </w:pPr>
      <w:bookmarkStart w:id="281" w:name="INDICE22924"/>
    </w:p>
    <w:bookmarkEnd w:id="281"/>
    <w:p w:rsidR="0057104C" w:rsidRDefault="0057104C" w:rsidP="0057104C">
      <w:pPr>
        <w:pStyle w:val="TextoIndiceNivel2"/>
        <w:suppressAutoHyphens/>
      </w:pPr>
      <w:r>
        <w:t>B) Tribunales de Justicia de las Comunidades Europeas y de la Unión Europea</w:t>
      </w:r>
    </w:p>
    <w:p w:rsidR="0057104C" w:rsidRDefault="0057104C" w:rsidP="0057104C">
      <w:pPr>
        <w:pStyle w:val="TextoIndiceNivel2"/>
      </w:pPr>
    </w:p>
    <w:p w:rsidR="0057104C" w:rsidRDefault="0057104C" w:rsidP="0057104C">
      <w:pPr>
        <w:pStyle w:val="TextoNormalNegritaCursivandice"/>
      </w:pPr>
      <w:r>
        <w:t>Sentencia del Tribunal de Justicia de la Unión Europea de 11 de julio de 2002(Marks &amp; Spencer plc c. Commissioners of Customs &amp; Excise, asunto C-62/00)</w:t>
      </w:r>
    </w:p>
    <w:p w:rsidR="0057104C" w:rsidRDefault="0057104C" w:rsidP="0057104C">
      <w:pPr>
        <w:pStyle w:val="SangriaFrancesaArticulo"/>
      </w:pPr>
      <w:r w:rsidRPr="0057104C">
        <w:rPr>
          <w:rStyle w:val="TextoNormalNegritaCaracter"/>
        </w:rPr>
        <w:t>§ 46.</w:t>
      </w:r>
      <w:r w:rsidRPr="0057104C">
        <w:rPr>
          <w:rStyle w:val="TextoNormalCaracter"/>
        </w:rPr>
        <w:t>-</w:t>
      </w:r>
      <w:r>
        <w:t xml:space="preserve"> Sentencia </w:t>
      </w:r>
      <w:hyperlink w:anchor="SENTENCIA_2016_121" w:history="1">
        <w:r w:rsidRPr="0057104C">
          <w:rPr>
            <w:rStyle w:val="TextoNormalCaracter"/>
          </w:rPr>
          <w:t>121/2016</w:t>
        </w:r>
      </w:hyperlink>
      <w:r>
        <w:t>, f. 5.</w:t>
      </w:r>
    </w:p>
    <w:p w:rsidR="0057104C" w:rsidRDefault="0057104C" w:rsidP="0057104C">
      <w:pPr>
        <w:pStyle w:val="SangriaFrancesaArticulo"/>
      </w:pPr>
    </w:p>
    <w:p w:rsidR="0057104C" w:rsidRDefault="0057104C" w:rsidP="0057104C">
      <w:pPr>
        <w:pStyle w:val="TextoNormalNegritaCursivandice"/>
      </w:pPr>
      <w:r>
        <w:t>Sentencia del Tribunal de Justicia de las Comunidades Europeas de 26 de abril de 2005 (Stichting «Goed Wonen» c. Staatssecretaris van Financiën, asunto C-376/02)</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1" w:history="1">
        <w:r w:rsidRPr="0057104C">
          <w:rPr>
            <w:rStyle w:val="TextoNormalCaracter"/>
          </w:rPr>
          <w:t>121/2016</w:t>
        </w:r>
      </w:hyperlink>
      <w:r>
        <w:t>, f. 5.</w:t>
      </w:r>
    </w:p>
    <w:p w:rsidR="0057104C" w:rsidRDefault="0057104C" w:rsidP="0057104C">
      <w:pPr>
        <w:pStyle w:val="SangriaFrancesaArticulo"/>
      </w:pPr>
    </w:p>
    <w:p w:rsidR="0057104C" w:rsidRDefault="0057104C" w:rsidP="0057104C">
      <w:pPr>
        <w:pStyle w:val="TextoNormalNegritaCursivandice"/>
      </w:pPr>
      <w:r>
        <w:t>Sentencia del Tribunal de Justicia de las Comunidades Europeas de 13 de septiembre de 2007 (Yolanda Del Cerro Alonso c. Osakidetza-Servicio Vasco de Salud, asunto C-307/05)</w:t>
      </w:r>
    </w:p>
    <w:p w:rsidR="0057104C" w:rsidRDefault="0057104C" w:rsidP="0057104C">
      <w:pPr>
        <w:pStyle w:val="SangriaFrancesaArticulo"/>
      </w:pPr>
      <w:r w:rsidRPr="0057104C">
        <w:rPr>
          <w:rStyle w:val="TextoNormalNegritaCaracter"/>
        </w:rPr>
        <w:t>Apartado 37.</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p>
    <w:p w:rsidR="0057104C" w:rsidRDefault="0057104C" w:rsidP="0057104C">
      <w:pPr>
        <w:pStyle w:val="TextoNormalNegritaCursivandice"/>
      </w:pPr>
      <w:r>
        <w:t>Sentencia del Tribunal de Justicia de las Comunidades Europeas, Sala segunda, de 5 de marzo de 2009 (Petición de decisión prejudicial planteada por el Tribunal Supremo de España. Unión de Televisiones Comerciales Asociadas (UTECA) c. AGE España, asunto C-222/07)</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35" w:history="1">
        <w:r w:rsidRPr="0057104C">
          <w:rPr>
            <w:rStyle w:val="TextoNormalCaracter"/>
          </w:rPr>
          <w:t>35/2016</w:t>
        </w:r>
      </w:hyperlink>
      <w:r>
        <w:t>, f. 6.</w:t>
      </w:r>
    </w:p>
    <w:p w:rsidR="0057104C" w:rsidRDefault="0057104C" w:rsidP="0057104C">
      <w:pPr>
        <w:pStyle w:val="SangriaFrancesaArticulo"/>
      </w:pPr>
    </w:p>
    <w:p w:rsidR="0057104C" w:rsidRDefault="0057104C" w:rsidP="0057104C">
      <w:pPr>
        <w:pStyle w:val="TextoNormalNegritaCursivandice"/>
      </w:pPr>
      <w:r>
        <w:t>Sentencia del Tribunal de Justicia de la Unión Europea de 30 de septiembre de 2010 (Roca Álvarez c. Sesa Start España ETT, S.A., asunto C-104/09)</w:t>
      </w:r>
    </w:p>
    <w:p w:rsidR="0057104C" w:rsidRDefault="0057104C" w:rsidP="0057104C">
      <w:pPr>
        <w:pStyle w:val="SangriaFrancesaArticulo"/>
      </w:pPr>
      <w:r w:rsidRPr="0057104C">
        <w:rPr>
          <w:rStyle w:val="TextoNormalNegritaCaracter"/>
        </w:rPr>
        <w:t>§ 28.</w:t>
      </w:r>
      <w:r w:rsidRPr="0057104C">
        <w:rPr>
          <w:rStyle w:val="TextoNormalCaracter"/>
        </w:rPr>
        <w:t>-</w:t>
      </w:r>
      <w:r>
        <w:t xml:space="preserve"> Auto </w:t>
      </w:r>
      <w:hyperlink w:anchor="AUTO_2016_14" w:history="1">
        <w:r w:rsidRPr="0057104C">
          <w:rPr>
            <w:rStyle w:val="TextoNormalCaracter"/>
          </w:rPr>
          <w:t>14/2016</w:t>
        </w:r>
      </w:hyperlink>
      <w:r>
        <w:t>, f. 7.</w:t>
      </w:r>
    </w:p>
    <w:p w:rsidR="0057104C" w:rsidRDefault="0057104C" w:rsidP="0057104C">
      <w:pPr>
        <w:pStyle w:val="SangriaFrancesaArticulo"/>
      </w:pPr>
    </w:p>
    <w:p w:rsidR="0057104C" w:rsidRDefault="0057104C" w:rsidP="0057104C">
      <w:pPr>
        <w:pStyle w:val="TextoNormalNegritaCursivandice"/>
      </w:pPr>
      <w:r>
        <w:t>Sentencia del Tribunal de Justicia de la Unión Europea de 22 de diciembre de 2010 (Rosa María Gavieiro Gavieiro y Ana María Iglesias Torres, c. Consellería de Educación e Ordenación Universitaria de la Xunta de Galicia, asuntos 444/09, 456/09)</w:t>
      </w:r>
    </w:p>
    <w:p w:rsidR="0057104C" w:rsidRDefault="0057104C" w:rsidP="0057104C">
      <w:pPr>
        <w:pStyle w:val="SangriaFrancesaArticulo"/>
      </w:pPr>
      <w:r w:rsidRPr="0057104C">
        <w:rPr>
          <w:rStyle w:val="TextoNormalNegritaCaracter"/>
        </w:rPr>
        <w:t>Apartado 48.</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r w:rsidRPr="0057104C">
        <w:rPr>
          <w:rStyle w:val="TextoNormalNegritaCaracter"/>
        </w:rPr>
        <w:t>Apartado 56.</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p>
    <w:p w:rsidR="0057104C" w:rsidRDefault="0057104C" w:rsidP="0057104C">
      <w:pPr>
        <w:pStyle w:val="TextoNormalNegritaCursivandice"/>
      </w:pPr>
      <w:r>
        <w:t>Auto del Tribunal de Justicia de la Unión Europea de 9 de febrero de 2012 (María Jesús Lorenzo Martínez c. Junta de Castilla y León, asunto c-556/11)</w:t>
      </w:r>
    </w:p>
    <w:p w:rsidR="0057104C" w:rsidRDefault="0057104C" w:rsidP="0057104C">
      <w:pPr>
        <w:pStyle w:val="SangriaFrancesaArticulo"/>
      </w:pPr>
      <w:r w:rsidRPr="0057104C">
        <w:rPr>
          <w:rStyle w:val="TextoNormalNegritaCaracter"/>
        </w:rPr>
        <w:t>Apartado 35.</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r w:rsidRPr="0057104C">
        <w:rPr>
          <w:rStyle w:val="TextoNormalNegritaCaracter"/>
        </w:rPr>
        <w:t>Apartado 49.</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p>
    <w:p w:rsidR="0057104C" w:rsidRDefault="0057104C" w:rsidP="0057104C">
      <w:pPr>
        <w:pStyle w:val="TextoNormalNegritaCursivandice"/>
      </w:pPr>
      <w:r>
        <w:t>Sentencia del Tribunal de Justicia de la Unión Europea de 12 de diciembre de 2013 (petición de decisión prejudicial planteada por la Supreme Court of the United Kingdom — Reino Unido, asunto C-362/12)</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Sentencia </w:t>
      </w:r>
      <w:hyperlink w:anchor="SENTENCIA_2016_121" w:history="1">
        <w:r w:rsidRPr="0057104C">
          <w:rPr>
            <w:rStyle w:val="TextoNormalCaracter"/>
          </w:rPr>
          <w:t>121/2016</w:t>
        </w:r>
      </w:hyperlink>
      <w:r>
        <w:t>, f. 1.</w:t>
      </w:r>
    </w:p>
    <w:p w:rsidR="0057104C" w:rsidRDefault="0057104C" w:rsidP="0057104C">
      <w:pPr>
        <w:pStyle w:val="SangriaFrancesaArticulo"/>
      </w:pPr>
      <w:r w:rsidRPr="0057104C">
        <w:rPr>
          <w:rStyle w:val="TextoNormalNegritaCaracter"/>
        </w:rPr>
        <w:t>§ 44.</w:t>
      </w:r>
      <w:r w:rsidRPr="0057104C">
        <w:rPr>
          <w:rStyle w:val="TextoNormalCaracter"/>
        </w:rPr>
        <w:t>-</w:t>
      </w:r>
      <w:r>
        <w:t xml:space="preserve"> Sentencia </w:t>
      </w:r>
      <w:hyperlink w:anchor="SENTENCIA_2016_121" w:history="1">
        <w:r w:rsidRPr="0057104C">
          <w:rPr>
            <w:rStyle w:val="TextoNormalCaracter"/>
          </w:rPr>
          <w:t>121/2016</w:t>
        </w:r>
      </w:hyperlink>
      <w:r>
        <w:t>, f. 5.</w:t>
      </w:r>
    </w:p>
    <w:p w:rsidR="0057104C" w:rsidRDefault="0057104C" w:rsidP="0057104C">
      <w:pPr>
        <w:pStyle w:val="SangriaFrancesaArticulo"/>
      </w:pPr>
    </w:p>
    <w:p w:rsidR="0057104C" w:rsidRDefault="0057104C" w:rsidP="0057104C">
      <w:pPr>
        <w:pStyle w:val="TextoNormalNegritaCursivandice"/>
      </w:pPr>
      <w:r>
        <w:t>Auto del Tribunal de Justicia de la Unión Europea de 13 de marzo de 2014 (asunto Montoya Medina C-273/10)</w:t>
      </w:r>
    </w:p>
    <w:p w:rsidR="0057104C" w:rsidRDefault="0057104C" w:rsidP="0057104C">
      <w:pPr>
        <w:pStyle w:val="SangriaFrancesaArticulo"/>
      </w:pPr>
      <w:r w:rsidRPr="0057104C">
        <w:rPr>
          <w:rStyle w:val="TextoNormalNegritaCaracter"/>
        </w:rPr>
        <w:t>Apartado 30.</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r w:rsidRPr="0057104C">
        <w:rPr>
          <w:rStyle w:val="TextoNormalNegritaCaracter"/>
        </w:rPr>
        <w:t>Apartado 42.</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p>
    <w:p w:rsidR="0057104C" w:rsidRDefault="0057104C" w:rsidP="0057104C">
      <w:pPr>
        <w:pStyle w:val="TextoNormalNegritaCursivandice"/>
      </w:pPr>
      <w:r>
        <w:t>Sentencia del Tribunal de Justicia de la Unión Europea de 13 de marzo de 2014 (Nierodzik, asunto C-38/13)</w:t>
      </w:r>
    </w:p>
    <w:p w:rsidR="0057104C" w:rsidRDefault="0057104C" w:rsidP="0057104C">
      <w:pPr>
        <w:pStyle w:val="SangriaFrancesaArticulo"/>
      </w:pPr>
      <w:r w:rsidRPr="0057104C">
        <w:rPr>
          <w:rStyle w:val="TextoNormalNegritaCaracter"/>
        </w:rPr>
        <w:t>Apartado 23.</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p>
    <w:p w:rsidR="0057104C" w:rsidRDefault="0057104C" w:rsidP="0057104C">
      <w:pPr>
        <w:pStyle w:val="TextoNormalNegritaCursivandice"/>
      </w:pPr>
      <w:r>
        <w:t>Sentencia del Tribunal de Justicia de la Unión Europea de 9 de julio de 2015 (María José Regojo Dans c. Consejo de Estado, asunto C-177/14)</w:t>
      </w:r>
    </w:p>
    <w:p w:rsidR="0057104C" w:rsidRDefault="0057104C" w:rsidP="0057104C">
      <w:pPr>
        <w:pStyle w:val="SangriaFrancesaArticulo"/>
      </w:pPr>
      <w:r w:rsidRPr="0057104C">
        <w:rPr>
          <w:rStyle w:val="TextoNormalNegritaCaracter"/>
        </w:rPr>
        <w:t>Apartado 41.</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r w:rsidRPr="0057104C">
        <w:rPr>
          <w:rStyle w:val="TextoNormalNegritaCaracter"/>
        </w:rPr>
        <w:t>Apartado 45.</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r w:rsidRPr="0057104C">
        <w:rPr>
          <w:rStyle w:val="TextoNormalNegritaCaracter"/>
        </w:rPr>
        <w:t>Apartado 46.</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r w:rsidRPr="0057104C">
        <w:rPr>
          <w:rStyle w:val="TextoNormalNegritaCaracter"/>
        </w:rPr>
        <w:t>Apartado 56.</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r w:rsidRPr="0057104C">
        <w:rPr>
          <w:rStyle w:val="TextoNormalNegritaCaracter"/>
        </w:rPr>
        <w:t>Apartado 62.</w:t>
      </w:r>
      <w:r w:rsidRPr="0057104C">
        <w:rPr>
          <w:rStyle w:val="TextoNormalCaracter"/>
        </w:rPr>
        <w:t>-</w:t>
      </w:r>
      <w:r>
        <w:t xml:space="preserve"> Sentencia </w:t>
      </w:r>
      <w:hyperlink w:anchor="SENTENCIA_2016_71" w:history="1">
        <w:r w:rsidRPr="0057104C">
          <w:rPr>
            <w:rStyle w:val="TextoNormalCaracter"/>
          </w:rPr>
          <w:t>71/2016</w:t>
        </w:r>
      </w:hyperlink>
      <w:r>
        <w:t>, f. 4.</w:t>
      </w:r>
    </w:p>
    <w:p w:rsidR="0057104C" w:rsidRDefault="0057104C" w:rsidP="0057104C">
      <w:pPr>
        <w:pStyle w:val="SangriaFrancesaArticulo"/>
      </w:pPr>
    </w:p>
    <w:p w:rsidR="0057104C" w:rsidRDefault="0057104C" w:rsidP="0057104C">
      <w:pPr>
        <w:pStyle w:val="TextoNormalNegritaCursivandice"/>
      </w:pPr>
      <w:r>
        <w:t>Sentencia del Tribunal de Justicia de la Unión Europea de 29 de octubre de 2015 (asunto C-8/14)</w:t>
      </w:r>
    </w:p>
    <w:p w:rsidR="0057104C" w:rsidRDefault="0057104C" w:rsidP="0057104C">
      <w:pPr>
        <w:pStyle w:val="SangriaFrancesaArticulo"/>
      </w:pPr>
      <w:r w:rsidRPr="0057104C">
        <w:rPr>
          <w:rStyle w:val="TextoNormalNegritaCaracter"/>
        </w:rPr>
        <w:t>En general.</w:t>
      </w:r>
      <w:r w:rsidRPr="0057104C">
        <w:rPr>
          <w:rStyle w:val="TextoNormalCaracter"/>
        </w:rPr>
        <w:t>-</w:t>
      </w:r>
      <w:r>
        <w:t xml:space="preserve"> Auto </w:t>
      </w:r>
      <w:hyperlink w:anchor="AUTO_2016_42" w:history="1">
        <w:r w:rsidRPr="0057104C">
          <w:rPr>
            <w:rStyle w:val="TextoNormalCaracter"/>
          </w:rPr>
          <w:t>42/2016</w:t>
        </w:r>
      </w:hyperlink>
      <w:r>
        <w:t>, f. 4.</w:t>
      </w:r>
    </w:p>
    <w:p w:rsidR="0057104C" w:rsidRDefault="0057104C" w:rsidP="0057104C">
      <w:pPr>
        <w:pStyle w:val="SangriaFrancesaArticulo"/>
      </w:pPr>
    </w:p>
    <w:p w:rsidR="0057104C" w:rsidRDefault="0057104C" w:rsidP="0057104C">
      <w:pPr>
        <w:pStyle w:val="TextoNormalNegritaCursivandice"/>
      </w:pPr>
      <w:r>
        <w:t>Sentencia del Tribunal de Justicia de la Unión Europea de 18 de febrero de 2016 (asunto C-49/14)</w:t>
      </w:r>
    </w:p>
    <w:p w:rsidR="0057104C" w:rsidRDefault="0057104C" w:rsidP="0057104C">
      <w:pPr>
        <w:pStyle w:val="SangriaFrancesaArticulo"/>
      </w:pPr>
      <w:r w:rsidRPr="0057104C">
        <w:rPr>
          <w:rStyle w:val="TextoNormalNegritaCaracter"/>
        </w:rPr>
        <w:t>§§ 34 a 55.</w:t>
      </w:r>
      <w:r w:rsidRPr="0057104C">
        <w:rPr>
          <w:rStyle w:val="TextoNormalCaracter"/>
        </w:rPr>
        <w:t>-</w:t>
      </w:r>
      <w:r>
        <w:t xml:space="preserve"> Sentencia </w:t>
      </w:r>
      <w:hyperlink w:anchor="SENTENCIA_2016_58" w:history="1">
        <w:r w:rsidRPr="0057104C">
          <w:rPr>
            <w:rStyle w:val="TextoNormalCaracter"/>
          </w:rPr>
          <w:t>58/2016</w:t>
        </w:r>
      </w:hyperlink>
      <w:r>
        <w:t>, f. 4.</w:t>
      </w:r>
    </w:p>
    <w:p w:rsidR="0057104C" w:rsidRDefault="0057104C">
      <w:pPr>
        <w:spacing w:after="160" w:line="259" w:lineRule="auto"/>
        <w:rPr>
          <w:rFonts w:ascii="Times New Roman" w:eastAsia="Times New Roman" w:hAnsi="Times New Roman" w:cs="Times New Roman"/>
          <w:sz w:val="24"/>
          <w:szCs w:val="24"/>
          <w:lang w:eastAsia="es-ES"/>
        </w:rPr>
      </w:pPr>
      <w:r>
        <w:br w:type="page"/>
      </w:r>
    </w:p>
    <w:p w:rsidR="0057104C" w:rsidRDefault="0057104C" w:rsidP="0057104C">
      <w:pPr>
        <w:pStyle w:val="SangriaFrancesaArticulo"/>
      </w:pPr>
      <w:bookmarkStart w:id="282" w:name="DESCRIPTOR1"/>
      <w:bookmarkStart w:id="283" w:name="DESCRIPTOR2"/>
      <w:bookmarkStart w:id="284" w:name="DESCRIPTOR3"/>
      <w:bookmarkStart w:id="285" w:name="DESCRIPTOR4"/>
      <w:bookmarkStart w:id="286" w:name="DESCRIPTOR5"/>
      <w:bookmarkStart w:id="287" w:name="DESCRIPTOR6"/>
      <w:bookmarkStart w:id="288" w:name="DESCRIPTOR7"/>
      <w:bookmarkStart w:id="289" w:name="DESCRIPTOR8"/>
      <w:bookmarkStart w:id="290" w:name="DESCRIPTOR9"/>
      <w:bookmarkStart w:id="291" w:name="DESCRIPTOR10"/>
      <w:bookmarkStart w:id="292" w:name="DESCRIPTOR11"/>
      <w:bookmarkStart w:id="293" w:name="DESCRIPTOR12"/>
      <w:bookmarkStart w:id="294" w:name="DESCRIPTOR13"/>
      <w:bookmarkStart w:id="295" w:name="DESCRIPTOR14"/>
      <w:bookmarkStart w:id="296" w:name="DESCRIPTOR15"/>
      <w:bookmarkStart w:id="297" w:name="DESCRIPTOR16"/>
      <w:bookmarkStart w:id="298" w:name="DESCRIPTOR17"/>
      <w:bookmarkStart w:id="299" w:name="DESCRIPTOR18"/>
      <w:bookmarkStart w:id="300" w:name="DESCRIPTOR19"/>
      <w:bookmarkStart w:id="301" w:name="DESCRIPTOR20"/>
      <w:bookmarkStart w:id="302" w:name="DESCRIPTOR21"/>
      <w:bookmarkStart w:id="303" w:name="DESCRIPTOR22"/>
      <w:bookmarkStart w:id="304" w:name="DESCRIPTOR23"/>
      <w:bookmarkStart w:id="305" w:name="DESCRIPTOR24"/>
      <w:bookmarkStart w:id="306" w:name="DESCRIPTOR25"/>
      <w:bookmarkStart w:id="307" w:name="DESCRIPTOR26"/>
      <w:bookmarkStart w:id="308" w:name="DESCRIPTOR27"/>
      <w:bookmarkStart w:id="309" w:name="DESCRIPTOR28"/>
      <w:bookmarkStart w:id="310" w:name="DESCRIPTOR29"/>
      <w:bookmarkStart w:id="311" w:name="DESCRIPTOR30"/>
      <w:bookmarkStart w:id="312" w:name="DESCRIPTOR31"/>
      <w:bookmarkStart w:id="313" w:name="DESCRIPTOR32"/>
      <w:bookmarkStart w:id="314" w:name="DESCRIPTOR33"/>
      <w:bookmarkStart w:id="315" w:name="DESCRIPTOR34"/>
      <w:bookmarkStart w:id="316" w:name="DESCRIPTOR35"/>
      <w:bookmarkStart w:id="317" w:name="DESCRIPTOR36"/>
      <w:bookmarkStart w:id="318" w:name="DESCRIPTOR37"/>
      <w:bookmarkStart w:id="319" w:name="DESCRIPTOR38"/>
      <w:bookmarkStart w:id="320" w:name="DESCRIPTOR39"/>
      <w:bookmarkStart w:id="321" w:name="DESCRIPTOR40"/>
      <w:bookmarkStart w:id="322" w:name="DESCRIPTOR41"/>
      <w:bookmarkStart w:id="323" w:name="DESCRIPTOR42"/>
      <w:bookmarkStart w:id="324" w:name="DESCRIPTOR43"/>
      <w:bookmarkStart w:id="325" w:name="DESCRIPTOR44"/>
      <w:bookmarkStart w:id="326" w:name="DESCRIPTOR45"/>
      <w:bookmarkStart w:id="327" w:name="DESCRIPTOR46"/>
      <w:bookmarkStart w:id="328" w:name="DESCRIPTOR47"/>
      <w:bookmarkStart w:id="329" w:name="DESCRIPTOR48"/>
      <w:bookmarkStart w:id="330" w:name="DESCRIPTOR49"/>
      <w:bookmarkStart w:id="331" w:name="DESCRIPTOR50"/>
      <w:bookmarkStart w:id="332" w:name="DESCRIPTOR51"/>
      <w:bookmarkStart w:id="333" w:name="DESCRIPTOR52"/>
      <w:bookmarkStart w:id="334" w:name="DESCRIPTOR53"/>
      <w:bookmarkStart w:id="335" w:name="DESCRIPTOR54"/>
      <w:bookmarkStart w:id="336" w:name="DESCRIPTOR55"/>
      <w:bookmarkStart w:id="337" w:name="DESCRIPTOR56"/>
      <w:bookmarkStart w:id="338" w:name="DESCRIPTOR57"/>
      <w:bookmarkStart w:id="339" w:name="DESCRIPTOR58"/>
      <w:bookmarkStart w:id="340" w:name="DESCRIPTOR59"/>
      <w:bookmarkStart w:id="341" w:name="DESCRIPTOR60"/>
      <w:bookmarkStart w:id="342" w:name="DESCRIPTOR61"/>
      <w:bookmarkStart w:id="343" w:name="DESCRIPTOR62"/>
      <w:bookmarkStart w:id="344" w:name="DESCRIPTOR63"/>
      <w:bookmarkStart w:id="345" w:name="DESCRIPTOR64"/>
      <w:bookmarkStart w:id="346" w:name="DESCRIPTOR65"/>
      <w:bookmarkStart w:id="347" w:name="DESCRIPTOR66"/>
      <w:bookmarkStart w:id="348" w:name="DESCRIPTOR67"/>
      <w:bookmarkStart w:id="349" w:name="DESCRIPTOR68"/>
      <w:bookmarkStart w:id="350" w:name="DESCRIPTOR69"/>
      <w:bookmarkStart w:id="351" w:name="DESCRIPTOR70"/>
      <w:bookmarkStart w:id="352" w:name="DESCRIPTOR71"/>
      <w:bookmarkStart w:id="353" w:name="DESCRIPTOR72"/>
      <w:bookmarkStart w:id="354" w:name="DESCRIPTOR73"/>
      <w:bookmarkStart w:id="355" w:name="DESCRIPTOR74"/>
      <w:bookmarkStart w:id="356" w:name="DESCRIPTOR75"/>
      <w:bookmarkStart w:id="357" w:name="DESCRIPTOR76"/>
      <w:bookmarkStart w:id="358" w:name="DESCRIPTOR77"/>
      <w:bookmarkStart w:id="359" w:name="DESCRIPTOR78"/>
      <w:bookmarkStart w:id="360" w:name="DESCRIPTOR79"/>
      <w:bookmarkStart w:id="361" w:name="DESCRIPTOR80"/>
      <w:bookmarkStart w:id="362" w:name="DESCRIPTOR81"/>
      <w:bookmarkStart w:id="363" w:name="DESCRIPTOR82"/>
      <w:bookmarkStart w:id="364" w:name="DESCRIPTOR83"/>
      <w:bookmarkStart w:id="365" w:name="DESCRIPTOR84"/>
      <w:bookmarkStart w:id="366" w:name="DESCRIPTOR85"/>
      <w:bookmarkStart w:id="367" w:name="DESCRIPTOR86"/>
      <w:bookmarkStart w:id="368" w:name="DESCRIPTOR87"/>
      <w:bookmarkStart w:id="369" w:name="DESCRIPTOR88"/>
      <w:bookmarkStart w:id="370" w:name="DESCRIPTOR89"/>
      <w:bookmarkStart w:id="371" w:name="DESCRIPTOR90"/>
      <w:bookmarkStart w:id="372" w:name="DESCRIPTOR91"/>
      <w:bookmarkStart w:id="373" w:name="DESCRIPTOR92"/>
      <w:bookmarkStart w:id="374" w:name="DESCRIPTOR93"/>
      <w:bookmarkStart w:id="375" w:name="DESCRIPTOR94"/>
      <w:bookmarkStart w:id="376" w:name="DESCRIPTOR95"/>
      <w:bookmarkStart w:id="377" w:name="DESCRIPTOR96"/>
      <w:bookmarkStart w:id="378" w:name="DESCRIPTOR97"/>
      <w:bookmarkStart w:id="379" w:name="DESCRIPTOR98"/>
      <w:bookmarkStart w:id="380" w:name="DESCRIPTOR99"/>
      <w:bookmarkStart w:id="381" w:name="DESCRIPTOR100"/>
      <w:bookmarkStart w:id="382" w:name="DESCRIPTOR101"/>
      <w:bookmarkStart w:id="383" w:name="DESCRIPTOR102"/>
      <w:bookmarkStart w:id="384" w:name="DESCRIPTOR103"/>
      <w:bookmarkStart w:id="385" w:name="DESCRIPTOR104"/>
      <w:bookmarkStart w:id="386" w:name="DESCRIPTOR105"/>
      <w:bookmarkStart w:id="387" w:name="DESCRIPTOR106"/>
      <w:bookmarkStart w:id="388" w:name="DESCRIPTOR107"/>
      <w:bookmarkStart w:id="389" w:name="DESCRIPTOR108"/>
      <w:bookmarkStart w:id="390" w:name="DESCRIPTOR109"/>
      <w:bookmarkStart w:id="391" w:name="DESCRIPTOR110"/>
      <w:bookmarkStart w:id="392" w:name="DESCRIPTOR111"/>
      <w:bookmarkStart w:id="393" w:name="DESCRIPTOR112"/>
      <w:bookmarkStart w:id="394" w:name="DESCRIPTOR113"/>
      <w:bookmarkStart w:id="395" w:name="DESCRIPTOR114"/>
      <w:bookmarkStart w:id="396" w:name="DESCRIPTOR115"/>
      <w:bookmarkStart w:id="397" w:name="DESCRIPTOR116"/>
      <w:bookmarkStart w:id="398" w:name="DESCRIPTOR117"/>
      <w:bookmarkStart w:id="399" w:name="DESCRIPTOR118"/>
      <w:bookmarkStart w:id="400" w:name="DESCRIPTOR119"/>
      <w:bookmarkStart w:id="401" w:name="DESCRIPTOR120"/>
      <w:bookmarkStart w:id="402" w:name="DESCRIPTOR121"/>
      <w:bookmarkStart w:id="403" w:name="DESCRIPTOR122"/>
      <w:bookmarkStart w:id="404" w:name="DESCRIPTOR123"/>
      <w:bookmarkStart w:id="405" w:name="DESCRIPTOR124"/>
      <w:bookmarkStart w:id="406" w:name="DESCRIPTOR125"/>
      <w:bookmarkStart w:id="407" w:name="DESCRIPTOR126"/>
      <w:bookmarkStart w:id="408" w:name="DESCRIPTOR127"/>
      <w:bookmarkStart w:id="409" w:name="DESCRIPTOR128"/>
      <w:bookmarkStart w:id="410" w:name="DESCRIPTOR129"/>
      <w:bookmarkStart w:id="411" w:name="DESCRIPTOR130"/>
      <w:bookmarkStart w:id="412" w:name="DESCRIPTOR131"/>
      <w:bookmarkStart w:id="413" w:name="DESCRIPTOR132"/>
      <w:bookmarkStart w:id="414" w:name="DESCRIPTOR133"/>
      <w:bookmarkStart w:id="415" w:name="DESCRIPTOR134"/>
      <w:bookmarkStart w:id="416" w:name="DESCRIPTOR135"/>
      <w:bookmarkStart w:id="417" w:name="DESCRIPTOR136"/>
      <w:bookmarkStart w:id="418" w:name="DESCRIPTOR137"/>
      <w:bookmarkStart w:id="419" w:name="DESCRIPTOR138"/>
      <w:bookmarkStart w:id="420" w:name="DESCRIPTOR139"/>
      <w:bookmarkStart w:id="421" w:name="DESCRIPTOR140"/>
      <w:bookmarkStart w:id="422" w:name="DESCRIPTOR141"/>
      <w:bookmarkStart w:id="423" w:name="DESCRIPTOR142"/>
      <w:bookmarkStart w:id="424" w:name="DESCRIPTOR143"/>
      <w:bookmarkStart w:id="425" w:name="DESCRIPTOR144"/>
      <w:bookmarkStart w:id="426" w:name="DESCRIPTOR145"/>
      <w:bookmarkStart w:id="427" w:name="DESCRIPTOR146"/>
      <w:bookmarkStart w:id="428" w:name="DESCRIPTOR147"/>
      <w:bookmarkStart w:id="429" w:name="DESCRIPTOR148"/>
      <w:bookmarkStart w:id="430" w:name="DESCRIPTOR149"/>
      <w:bookmarkStart w:id="431" w:name="DESCRIPTOR150"/>
      <w:bookmarkStart w:id="432" w:name="DESCRIPTOR151"/>
      <w:bookmarkStart w:id="433" w:name="DESCRIPTOR152"/>
      <w:bookmarkStart w:id="434" w:name="DESCRIPTOR153"/>
      <w:bookmarkStart w:id="435" w:name="DESCRIPTOR154"/>
      <w:bookmarkStart w:id="436" w:name="DESCRIPTOR155"/>
      <w:bookmarkStart w:id="437" w:name="DESCRIPTOR156"/>
      <w:bookmarkStart w:id="438" w:name="DESCRIPTOR157"/>
      <w:bookmarkStart w:id="439" w:name="DESCRIPTOR158"/>
      <w:bookmarkStart w:id="440" w:name="DESCRIPTOR159"/>
      <w:bookmarkStart w:id="441" w:name="DESCRIPTOR160"/>
      <w:bookmarkStart w:id="442" w:name="DESCRIPTOR161"/>
      <w:bookmarkStart w:id="443" w:name="DESCRIPTOR162"/>
      <w:bookmarkStart w:id="444" w:name="DESCRIPTOR163"/>
      <w:bookmarkStart w:id="445" w:name="DESCRIPTOR164"/>
      <w:bookmarkStart w:id="446" w:name="DESCRIPTOR165"/>
      <w:bookmarkStart w:id="447" w:name="DESCRIPTOR166"/>
      <w:bookmarkStart w:id="448" w:name="DESCRIPTOR167"/>
      <w:bookmarkStart w:id="449" w:name="DESCRIPTOR168"/>
      <w:bookmarkStart w:id="450" w:name="DESCRIPTOR169"/>
      <w:bookmarkStart w:id="451" w:name="DESCRIPTOR170"/>
      <w:bookmarkStart w:id="452" w:name="DESCRIPTOR171"/>
      <w:bookmarkStart w:id="453" w:name="DESCRIPTOR172"/>
      <w:bookmarkStart w:id="454" w:name="DESCRIPTOR173"/>
      <w:bookmarkStart w:id="455" w:name="DESCRIPTOR174"/>
      <w:bookmarkStart w:id="456" w:name="DESCRIPTOR175"/>
      <w:bookmarkStart w:id="457" w:name="DESCRIPTOR176"/>
      <w:bookmarkStart w:id="458" w:name="DESCRIPTOR177"/>
      <w:bookmarkStart w:id="459" w:name="DESCRIPTOR178"/>
      <w:bookmarkStart w:id="460" w:name="DESCRIPTOR179"/>
      <w:bookmarkStart w:id="461" w:name="DESCRIPTOR180"/>
      <w:bookmarkStart w:id="462" w:name="DESCRIPTOR181"/>
      <w:bookmarkStart w:id="463" w:name="DESCRIPTOR182"/>
      <w:bookmarkStart w:id="464" w:name="DESCRIPTOR183"/>
      <w:bookmarkStart w:id="465" w:name="DESCRIPTOR184"/>
      <w:bookmarkStart w:id="466" w:name="DESCRIPTOR185"/>
      <w:bookmarkStart w:id="467" w:name="DESCRIPTOR186"/>
      <w:bookmarkStart w:id="468" w:name="DESCRIPTOR187"/>
      <w:bookmarkStart w:id="469" w:name="DESCRIPTOR188"/>
      <w:bookmarkStart w:id="470" w:name="DESCRIPTOR189"/>
      <w:bookmarkStart w:id="471" w:name="DESCRIPTOR190"/>
      <w:bookmarkStart w:id="472" w:name="DESCRIPTOR191"/>
      <w:bookmarkStart w:id="473" w:name="DESCRIPTOR192"/>
      <w:bookmarkStart w:id="474" w:name="DESCRIPTOR193"/>
      <w:bookmarkStart w:id="475" w:name="DESCRIPTOR194"/>
      <w:bookmarkStart w:id="476" w:name="DESCRIPTOR195"/>
      <w:bookmarkStart w:id="477" w:name="DESCRIPTOR196"/>
      <w:bookmarkStart w:id="478" w:name="DESCRIPTOR197"/>
      <w:bookmarkStart w:id="479" w:name="DESCRIPTOR198"/>
      <w:bookmarkStart w:id="480" w:name="DESCRIPTOR199"/>
      <w:bookmarkStart w:id="481" w:name="DESCRIPTOR200"/>
      <w:bookmarkStart w:id="482" w:name="DESCRIPTOR201"/>
      <w:bookmarkStart w:id="483" w:name="DESCRIPTOR202"/>
      <w:bookmarkStart w:id="484" w:name="DESCRIPTOR203"/>
      <w:bookmarkStart w:id="485" w:name="DESCRIPTOR204"/>
      <w:bookmarkStart w:id="486" w:name="DESCRIPTOR205"/>
      <w:bookmarkStart w:id="487" w:name="DESCRIPTOR206"/>
      <w:bookmarkStart w:id="488" w:name="DESCRIPTOR207"/>
      <w:bookmarkStart w:id="489" w:name="DESCRIPTOR208"/>
      <w:bookmarkStart w:id="490" w:name="DESCRIPTOR209"/>
      <w:bookmarkStart w:id="491" w:name="DESCRIPTOR210"/>
      <w:bookmarkStart w:id="492" w:name="DESCRIPTOR211"/>
      <w:bookmarkStart w:id="493" w:name="DESCRIPTOR212"/>
      <w:bookmarkStart w:id="494" w:name="DESCRIPTOR213"/>
      <w:bookmarkStart w:id="495" w:name="DESCRIPTOR214"/>
      <w:bookmarkStart w:id="496" w:name="DESCRIPTOR215"/>
      <w:bookmarkStart w:id="497" w:name="DESCRIPTOR216"/>
      <w:bookmarkStart w:id="498" w:name="DESCRIPTOR217"/>
      <w:bookmarkStart w:id="499" w:name="DESCRIPTOR218"/>
      <w:bookmarkStart w:id="500" w:name="DESCRIPTOR219"/>
      <w:bookmarkStart w:id="501" w:name="DESCRIPTOR220"/>
      <w:bookmarkStart w:id="502" w:name="DESCRIPTOR221"/>
      <w:bookmarkStart w:id="503" w:name="DESCRIPTOR222"/>
      <w:bookmarkStart w:id="504" w:name="DESCRIPTOR223"/>
      <w:bookmarkStart w:id="505" w:name="DESCRIPTOR224"/>
      <w:bookmarkStart w:id="506" w:name="DESCRIPTOR225"/>
      <w:bookmarkStart w:id="507" w:name="DESCRIPTOR226"/>
      <w:bookmarkStart w:id="508" w:name="DESCRIPTOR227"/>
      <w:bookmarkStart w:id="509" w:name="DESCRIPTOR228"/>
      <w:bookmarkStart w:id="510" w:name="DESCRIPTOR229"/>
      <w:bookmarkStart w:id="511" w:name="DESCRIPTOR230"/>
      <w:bookmarkStart w:id="512" w:name="DESCRIPTOR231"/>
      <w:bookmarkStart w:id="513" w:name="DESCRIPTOR232"/>
      <w:bookmarkStart w:id="514" w:name="DESCRIPTOR233"/>
      <w:bookmarkStart w:id="515" w:name="DESCRIPTOR234"/>
      <w:bookmarkStart w:id="516" w:name="DESCRIPTOR235"/>
      <w:bookmarkStart w:id="517" w:name="DESCRIPTOR236"/>
      <w:bookmarkStart w:id="518" w:name="DESCRIPTOR237"/>
      <w:bookmarkStart w:id="519" w:name="DESCRIPTOR238"/>
      <w:bookmarkStart w:id="520" w:name="DESCRIPTOR239"/>
      <w:bookmarkStart w:id="521" w:name="DESCRIPTOR240"/>
      <w:bookmarkStart w:id="522" w:name="DESCRIPTOR241"/>
      <w:bookmarkStart w:id="523" w:name="DESCRIPTOR242"/>
      <w:bookmarkStart w:id="524" w:name="DESCRIPTOR243"/>
      <w:bookmarkStart w:id="525" w:name="DESCRIPTOR244"/>
      <w:bookmarkStart w:id="526" w:name="DESCRIPTOR245"/>
      <w:bookmarkStart w:id="527" w:name="DESCRIPTOR246"/>
      <w:bookmarkStart w:id="528" w:name="DESCRIPTOR247"/>
      <w:bookmarkStart w:id="529" w:name="DESCRIPTOR248"/>
      <w:bookmarkStart w:id="530" w:name="DESCRIPTOR249"/>
      <w:bookmarkStart w:id="531" w:name="DESCRIPTOR250"/>
      <w:bookmarkStart w:id="532" w:name="DESCRIPTOR251"/>
      <w:bookmarkStart w:id="533" w:name="DESCRIPTOR252"/>
      <w:bookmarkStart w:id="534" w:name="DESCRIPTOR253"/>
      <w:bookmarkStart w:id="535" w:name="DESCRIPTOR254"/>
      <w:bookmarkStart w:id="536" w:name="DESCRIPTOR255"/>
      <w:bookmarkStart w:id="537" w:name="DESCRIPTOR256"/>
      <w:bookmarkStart w:id="538" w:name="DESCRIPTOR257"/>
      <w:bookmarkStart w:id="539" w:name="DESCRIPTOR258"/>
      <w:bookmarkStart w:id="540" w:name="DESCRIPTOR259"/>
      <w:bookmarkStart w:id="541" w:name="DESCRIPTOR260"/>
      <w:bookmarkStart w:id="542" w:name="DESCRIPTOR261"/>
      <w:bookmarkStart w:id="543" w:name="DESCRIPTOR262"/>
      <w:bookmarkStart w:id="544" w:name="DESCRIPTOR263"/>
      <w:bookmarkStart w:id="545" w:name="DESCRIPTOR264"/>
      <w:bookmarkStart w:id="546" w:name="DESCRIPTOR265"/>
      <w:bookmarkStart w:id="547" w:name="DESCRIPTOR266"/>
      <w:bookmarkStart w:id="548" w:name="DESCRIPTOR267"/>
      <w:bookmarkStart w:id="549" w:name="DESCRIPTOR268"/>
      <w:bookmarkStart w:id="550" w:name="DESCRIPTOR269"/>
      <w:bookmarkStart w:id="551" w:name="DESCRIPTOR270"/>
      <w:bookmarkStart w:id="552" w:name="DESCRIPTOR271"/>
      <w:bookmarkStart w:id="553" w:name="DESCRIPTOR272"/>
      <w:bookmarkStart w:id="554" w:name="DESCRIPTOR273"/>
      <w:bookmarkStart w:id="555" w:name="DESCRIPTOR274"/>
      <w:bookmarkStart w:id="556" w:name="DESCRIPTOR275"/>
      <w:bookmarkStart w:id="557" w:name="DESCRIPTOR276"/>
      <w:bookmarkStart w:id="558" w:name="DESCRIPTOR277"/>
      <w:bookmarkStart w:id="559" w:name="DESCRIPTOR278"/>
      <w:bookmarkStart w:id="560" w:name="DESCRIPTOR279"/>
      <w:bookmarkStart w:id="561" w:name="DESCRIPTOR280"/>
      <w:bookmarkStart w:id="562" w:name="DESCRIPTOR281"/>
      <w:bookmarkStart w:id="563" w:name="DESCRIPTOR282"/>
      <w:bookmarkStart w:id="564" w:name="DESCRIPTOR283"/>
      <w:bookmarkStart w:id="565" w:name="DESCRIPTOR284"/>
      <w:bookmarkStart w:id="566" w:name="DESCRIPTOR285"/>
      <w:bookmarkStart w:id="567" w:name="DESCRIPTOR286"/>
      <w:bookmarkStart w:id="568" w:name="DESCRIPTOR287"/>
      <w:bookmarkStart w:id="569" w:name="DESCRIPTOR288"/>
      <w:bookmarkStart w:id="570" w:name="DESCRIPTOR289"/>
      <w:bookmarkStart w:id="571" w:name="DESCRIPTOR290"/>
      <w:bookmarkStart w:id="572" w:name="DESCRIPTOR291"/>
      <w:bookmarkStart w:id="573" w:name="DESCRIPTOR292"/>
      <w:bookmarkStart w:id="574" w:name="DESCRIPTOR293"/>
      <w:bookmarkStart w:id="575" w:name="DESCRIPTOR294"/>
      <w:bookmarkStart w:id="576" w:name="DESCRIPTOR295"/>
      <w:bookmarkStart w:id="577" w:name="DESCRIPTOR296"/>
      <w:bookmarkStart w:id="578" w:name="DESCRIPTOR297"/>
      <w:bookmarkStart w:id="579" w:name="DESCRIPTOR298"/>
      <w:bookmarkStart w:id="580" w:name="DESCRIPTOR299"/>
      <w:bookmarkStart w:id="581" w:name="DESCRIPTOR300"/>
      <w:bookmarkStart w:id="582" w:name="DESCRIPTOR301"/>
      <w:bookmarkStart w:id="583" w:name="DESCRIPTOR302"/>
      <w:bookmarkStart w:id="584" w:name="DESCRIPTOR303"/>
      <w:bookmarkStart w:id="585" w:name="DESCRIPTOR304"/>
      <w:bookmarkStart w:id="586" w:name="DESCRIPTOR305"/>
      <w:bookmarkStart w:id="587" w:name="DESCRIPTOR306"/>
      <w:bookmarkStart w:id="588" w:name="DESCRIPTOR307"/>
      <w:bookmarkStart w:id="589" w:name="DESCRIPTOR308"/>
      <w:bookmarkStart w:id="590" w:name="DESCRIPTOR309"/>
      <w:bookmarkStart w:id="591" w:name="DESCRIPTOR310"/>
      <w:bookmarkStart w:id="592" w:name="DESCRIPTOR311"/>
      <w:bookmarkStart w:id="593" w:name="DESCRIPTOR312"/>
      <w:bookmarkStart w:id="594" w:name="DESCRIPTOR313"/>
      <w:bookmarkStart w:id="595" w:name="DESCRIPTOR314"/>
      <w:bookmarkStart w:id="596" w:name="DESCRIPTOR315"/>
      <w:bookmarkStart w:id="597" w:name="DESCRIPTOR316"/>
      <w:bookmarkStart w:id="598" w:name="DESCRIPTOR317"/>
      <w:bookmarkStart w:id="599" w:name="DESCRIPTOR318"/>
      <w:bookmarkStart w:id="600" w:name="DESCRIPTOR319"/>
      <w:bookmarkStart w:id="601" w:name="DESCRIPTOR320"/>
      <w:bookmarkStart w:id="602" w:name="DESCRIPTOR321"/>
      <w:bookmarkStart w:id="603" w:name="DESCRIPTOR322"/>
      <w:bookmarkStart w:id="604" w:name="DESCRIPTOR323"/>
      <w:bookmarkStart w:id="605" w:name="DESCRIPTOR324"/>
      <w:bookmarkStart w:id="606" w:name="DESCRIPTOR325"/>
      <w:bookmarkStart w:id="607" w:name="DESCRIPTOR326"/>
      <w:bookmarkStart w:id="608" w:name="DESCRIPTOR327"/>
      <w:bookmarkStart w:id="609" w:name="DESCRIPTOR328"/>
      <w:bookmarkStart w:id="610" w:name="DESCRIPTOR329"/>
      <w:bookmarkStart w:id="611" w:name="DESCRIPTOR330"/>
      <w:bookmarkStart w:id="612" w:name="DESCRIPTOR331"/>
      <w:bookmarkStart w:id="613" w:name="DESCRIPTOR332"/>
      <w:bookmarkStart w:id="614" w:name="DESCRIPTOR333"/>
      <w:bookmarkStart w:id="615" w:name="DESCRIPTOR334"/>
      <w:bookmarkStart w:id="616" w:name="DESCRIPTOR335"/>
      <w:bookmarkStart w:id="617" w:name="DESCRIPTOR336"/>
      <w:bookmarkStart w:id="618" w:name="DESCRIPTOR337"/>
      <w:bookmarkStart w:id="619" w:name="DESCRIPTOR338"/>
      <w:bookmarkStart w:id="620" w:name="DESCRIPTOR339"/>
      <w:bookmarkStart w:id="621" w:name="DESCRIPTOR340"/>
      <w:bookmarkStart w:id="622" w:name="DESCRIPTOR341"/>
      <w:bookmarkStart w:id="623" w:name="DESCRIPTOR342"/>
      <w:bookmarkStart w:id="624" w:name="DESCRIPTOR343"/>
      <w:bookmarkStart w:id="625" w:name="DESCRIPTOR344"/>
      <w:bookmarkStart w:id="626" w:name="DESCRIPTOR345"/>
      <w:bookmarkStart w:id="627" w:name="DESCRIPTOR346"/>
      <w:bookmarkStart w:id="628" w:name="DESCRIPTOR347"/>
      <w:bookmarkStart w:id="629" w:name="DESCRIPTOR348"/>
      <w:bookmarkStart w:id="630" w:name="DESCRIPTOR349"/>
      <w:bookmarkStart w:id="631" w:name="DESCRIPTOR350"/>
      <w:bookmarkStart w:id="632" w:name="DESCRIPTOR351"/>
      <w:bookmarkStart w:id="633" w:name="DESCRIPTOR352"/>
      <w:bookmarkStart w:id="634" w:name="DESCRIPTOR353"/>
      <w:bookmarkStart w:id="635" w:name="DESCRIPTOR354"/>
      <w:bookmarkStart w:id="636" w:name="DESCRIPTOR355"/>
      <w:bookmarkStart w:id="637" w:name="DESCRIPTOR356"/>
      <w:bookmarkStart w:id="638" w:name="DESCRIPTOR357"/>
      <w:bookmarkStart w:id="639" w:name="DESCRIPTOR358"/>
      <w:bookmarkStart w:id="640" w:name="DESCRIPTOR359"/>
      <w:bookmarkStart w:id="641" w:name="DESCRIPTOR360"/>
      <w:bookmarkStart w:id="642" w:name="DESCRIPTOR361"/>
      <w:bookmarkStart w:id="643" w:name="DESCRIPTOR362"/>
      <w:bookmarkStart w:id="644" w:name="DESCRIPTOR363"/>
      <w:bookmarkStart w:id="645" w:name="DESCRIPTOR364"/>
      <w:bookmarkStart w:id="646" w:name="DESCRIPTOR365"/>
      <w:bookmarkStart w:id="647" w:name="DESCRIPTOR366"/>
      <w:bookmarkStart w:id="648" w:name="DESCRIPTOR367"/>
      <w:bookmarkStart w:id="649" w:name="DESCRIPTOR368"/>
      <w:bookmarkStart w:id="650" w:name="DESCRIPTOR369"/>
      <w:bookmarkStart w:id="651" w:name="DESCRIPTOR370"/>
      <w:bookmarkStart w:id="652" w:name="DESCRIPTOR371"/>
      <w:bookmarkStart w:id="653" w:name="DESCRIPTOR372"/>
      <w:bookmarkStart w:id="654" w:name="DESCRIPTOR373"/>
      <w:bookmarkStart w:id="655" w:name="DESCRIPTOR374"/>
      <w:bookmarkStart w:id="656" w:name="DESCRIPTOR375"/>
      <w:bookmarkStart w:id="657" w:name="DESCRIPTOR376"/>
      <w:bookmarkStart w:id="658" w:name="DESCRIPTOR377"/>
      <w:bookmarkStart w:id="659" w:name="DESCRIPTOR378"/>
      <w:bookmarkStart w:id="660" w:name="DESCRIPTOR379"/>
      <w:bookmarkStart w:id="661" w:name="DESCRIPTOR380"/>
      <w:bookmarkStart w:id="662" w:name="DESCRIPTOR381"/>
      <w:bookmarkStart w:id="663" w:name="DESCRIPTOR382"/>
      <w:bookmarkStart w:id="664" w:name="DESCRIPTOR383"/>
      <w:bookmarkStart w:id="665" w:name="DESCRIPTOR384"/>
      <w:bookmarkStart w:id="666" w:name="DESCRIPTOR385"/>
      <w:bookmarkStart w:id="667" w:name="DESCRIPTOR386"/>
      <w:bookmarkStart w:id="668" w:name="DESCRIPTOR387"/>
      <w:bookmarkStart w:id="669" w:name="DESCRIPTOR388"/>
      <w:bookmarkStart w:id="670" w:name="DESCRIPTOR389"/>
      <w:bookmarkStart w:id="671" w:name="DESCRIPTOR390"/>
      <w:bookmarkStart w:id="672" w:name="DESCRIPTOR391"/>
      <w:bookmarkStart w:id="673" w:name="DESCRIPTOR392"/>
      <w:bookmarkStart w:id="674" w:name="DESCRIPTOR393"/>
      <w:bookmarkStart w:id="675" w:name="DESCRIPTOR394"/>
      <w:bookmarkStart w:id="676" w:name="DESCRIPTOR395"/>
      <w:bookmarkStart w:id="677" w:name="DESCRIPTOR396"/>
      <w:bookmarkStart w:id="678" w:name="DESCRIPTOR397"/>
      <w:bookmarkStart w:id="679" w:name="DESCRIPTOR398"/>
      <w:bookmarkStart w:id="680" w:name="DESCRIPTOR399"/>
      <w:bookmarkStart w:id="681" w:name="DESCRIPTOR400"/>
      <w:bookmarkStart w:id="682" w:name="DESCRIPTOR401"/>
      <w:bookmarkStart w:id="683" w:name="DESCRIPTOR402"/>
      <w:bookmarkStart w:id="684" w:name="DESCRIPTOR403"/>
      <w:bookmarkStart w:id="685" w:name="DESCRIPTOR404"/>
      <w:bookmarkStart w:id="686" w:name="DESCRIPTOR405"/>
      <w:bookmarkStart w:id="687" w:name="DESCRIPTOR406"/>
      <w:bookmarkStart w:id="688" w:name="DESCRIPTOR407"/>
      <w:bookmarkStart w:id="689" w:name="DESCRIPTOR408"/>
      <w:bookmarkStart w:id="690" w:name="DESCRIPTOR409"/>
      <w:bookmarkStart w:id="691" w:name="DESCRIPTOR410"/>
      <w:bookmarkStart w:id="692" w:name="DESCRIPTOR411"/>
      <w:bookmarkStart w:id="693" w:name="DESCRIPTOR412"/>
      <w:bookmarkStart w:id="694" w:name="DESCRIPTOR413"/>
      <w:bookmarkStart w:id="695" w:name="DESCRIPTOR414"/>
      <w:bookmarkStart w:id="696" w:name="DESCRIPTOR415"/>
      <w:bookmarkStart w:id="697" w:name="DESCRIPTOR416"/>
      <w:bookmarkStart w:id="698" w:name="DESCRIPTOR417"/>
      <w:bookmarkStart w:id="699" w:name="DESCRIPTOR418"/>
      <w:bookmarkStart w:id="700" w:name="DESCRIPTOR419"/>
      <w:bookmarkStart w:id="701" w:name="DESCRIPTOR420"/>
      <w:bookmarkStart w:id="702" w:name="DESCRIPTOR421"/>
      <w:bookmarkStart w:id="703" w:name="DESCRIPTOR422"/>
      <w:bookmarkStart w:id="704" w:name="DESCRIPTOR423"/>
      <w:bookmarkStart w:id="705" w:name="DESCRIPTOR424"/>
      <w:bookmarkStart w:id="706" w:name="DESCRIPTOR425"/>
      <w:bookmarkStart w:id="707" w:name="DESCRIPTOR426"/>
      <w:bookmarkStart w:id="708" w:name="DESCRIPTOR427"/>
      <w:bookmarkStart w:id="709" w:name="DESCRIPTOR428"/>
      <w:bookmarkStart w:id="710" w:name="DESCRIPTOR429"/>
      <w:bookmarkStart w:id="711" w:name="DESCRIPTOR430"/>
      <w:bookmarkStart w:id="712" w:name="DESCRIPTOR431"/>
      <w:bookmarkStart w:id="713" w:name="DESCRIPTOR432"/>
      <w:bookmarkStart w:id="714" w:name="DESCRIPTOR433"/>
      <w:bookmarkStart w:id="715" w:name="DESCRIPTOR434"/>
      <w:bookmarkStart w:id="716" w:name="DESCRIPTOR435"/>
      <w:bookmarkStart w:id="717" w:name="DESCRIPTOR436"/>
      <w:bookmarkStart w:id="718" w:name="DESCRIPTOR437"/>
      <w:bookmarkStart w:id="719" w:name="DESCRIPTOR438"/>
      <w:bookmarkStart w:id="720" w:name="DESCRIPTOR439"/>
      <w:bookmarkStart w:id="721" w:name="DESCRIPTOR440"/>
      <w:bookmarkStart w:id="722" w:name="DESCRIPTOR441"/>
      <w:bookmarkStart w:id="723" w:name="DESCRIPTOR442"/>
      <w:bookmarkStart w:id="724" w:name="DESCRIPTOR443"/>
      <w:bookmarkStart w:id="725" w:name="DESCRIPTOR444"/>
      <w:bookmarkStart w:id="726" w:name="DESCRIPTOR445"/>
      <w:bookmarkStart w:id="727" w:name="DESCRIPTOR446"/>
      <w:bookmarkStart w:id="728" w:name="DESCRIPTOR447"/>
      <w:bookmarkStart w:id="729" w:name="DESCRIPTOR448"/>
      <w:bookmarkStart w:id="730" w:name="DESCRIPTOR449"/>
      <w:bookmarkStart w:id="731" w:name="DESCRIPTOR450"/>
      <w:bookmarkStart w:id="732" w:name="DESCRIPTOR451"/>
      <w:bookmarkStart w:id="733" w:name="DESCRIPTOR452"/>
      <w:bookmarkStart w:id="734" w:name="DESCRIPTOR453"/>
      <w:bookmarkStart w:id="735" w:name="DESCRIPTOR454"/>
      <w:bookmarkStart w:id="736" w:name="DESCRIPTOR455"/>
      <w:bookmarkStart w:id="737" w:name="DESCRIPTOR456"/>
      <w:bookmarkStart w:id="738" w:name="DESCRIPTOR457"/>
      <w:bookmarkStart w:id="739" w:name="DESCRIPTOR458"/>
      <w:bookmarkStart w:id="740" w:name="DESCRIPTOR459"/>
      <w:bookmarkStart w:id="741" w:name="DESCRIPTOR460"/>
      <w:bookmarkStart w:id="742" w:name="DESCRIPTOR461"/>
      <w:bookmarkStart w:id="743" w:name="DESCRIPTOR462"/>
      <w:bookmarkStart w:id="744" w:name="DESCRIPTOR463"/>
      <w:bookmarkStart w:id="745" w:name="DESCRIPTOR464"/>
      <w:bookmarkStart w:id="746" w:name="DESCRIPTOR465"/>
      <w:bookmarkStart w:id="747" w:name="DESCRIPTOR466"/>
      <w:bookmarkStart w:id="748" w:name="DESCRIPTOR467"/>
      <w:bookmarkStart w:id="749" w:name="DESCRIPTOR468"/>
      <w:bookmarkStart w:id="750" w:name="DESCRIPTOR469"/>
      <w:bookmarkStart w:id="751" w:name="DESCRIPTOR470"/>
      <w:bookmarkStart w:id="752" w:name="DESCRIPTOR471"/>
      <w:bookmarkStart w:id="753" w:name="DESCRIPTOR472"/>
      <w:bookmarkStart w:id="754" w:name="DESCRIPTOR473"/>
      <w:bookmarkStart w:id="755" w:name="DESCRIPTOR474"/>
      <w:bookmarkStart w:id="756" w:name="DESCRIPTOR475"/>
      <w:bookmarkStart w:id="757" w:name="DESCRIPTOR476"/>
      <w:bookmarkStart w:id="758" w:name="DESCRIPTOR477"/>
      <w:bookmarkStart w:id="759" w:name="DESCRIPTOR478"/>
      <w:bookmarkStart w:id="760" w:name="DESCRIPTOR479"/>
      <w:bookmarkStart w:id="761" w:name="DESCRIPTOR480"/>
      <w:bookmarkStart w:id="762" w:name="DESCRIPTOR481"/>
      <w:bookmarkStart w:id="763" w:name="DESCRIPTOR482"/>
      <w:bookmarkStart w:id="764" w:name="DESCRIPTOR483"/>
      <w:bookmarkStart w:id="765" w:name="DESCRIPTOR484"/>
      <w:bookmarkStart w:id="766" w:name="DESCRIPTOR485"/>
      <w:bookmarkStart w:id="767" w:name="DESCRIPTOR486"/>
      <w:bookmarkStart w:id="768" w:name="DESCRIPTOR487"/>
      <w:bookmarkStart w:id="769" w:name="DESCRIPTOR488"/>
      <w:bookmarkStart w:id="770" w:name="DESCRIPTOR489"/>
      <w:bookmarkStart w:id="771" w:name="DESCRIPTOR490"/>
      <w:bookmarkStart w:id="772" w:name="DESCRIPTOR491"/>
      <w:bookmarkStart w:id="773" w:name="DESCRIPTOR492"/>
      <w:bookmarkStart w:id="774" w:name="DESCRIPTOR493"/>
      <w:bookmarkStart w:id="775" w:name="DESCRIPTOR494"/>
      <w:bookmarkStart w:id="776" w:name="DESCRIPTOR495"/>
      <w:bookmarkStart w:id="777" w:name="DESCRIPTOR496"/>
      <w:bookmarkStart w:id="778" w:name="DESCRIPTOR497"/>
      <w:bookmarkStart w:id="779" w:name="DESCRIPTOR498"/>
      <w:bookmarkStart w:id="780" w:name="DESCRIPTOR499"/>
      <w:bookmarkStart w:id="781" w:name="DESCRIPTOR500"/>
      <w:bookmarkStart w:id="782" w:name="DESCRIPTOR501"/>
      <w:bookmarkStart w:id="783" w:name="DESCRIPTOR502"/>
      <w:bookmarkStart w:id="784" w:name="DESCRIPTOR503"/>
      <w:bookmarkStart w:id="785" w:name="DESCRIPTOR504"/>
      <w:bookmarkStart w:id="786" w:name="DESCRIPTOR505"/>
      <w:bookmarkStart w:id="787" w:name="DESCRIPTOR506"/>
      <w:bookmarkStart w:id="788" w:name="DESCRIPTOR507"/>
      <w:bookmarkStart w:id="789" w:name="DESCRIPTOR508"/>
      <w:bookmarkStart w:id="790" w:name="DESCRIPTOR509"/>
      <w:bookmarkStart w:id="791" w:name="DESCRIPTOR510"/>
      <w:bookmarkStart w:id="792" w:name="DESCRIPTOR511"/>
      <w:bookmarkStart w:id="793" w:name="DESCRIPTOR512"/>
      <w:bookmarkStart w:id="794" w:name="DESCRIPTOR513"/>
      <w:bookmarkStart w:id="795" w:name="DESCRIPTOR514"/>
      <w:bookmarkStart w:id="796" w:name="DESCRIPTOR515"/>
      <w:bookmarkStart w:id="797" w:name="DESCRIPTOR516"/>
      <w:bookmarkStart w:id="798" w:name="DESCRIPTOR517"/>
      <w:bookmarkStart w:id="799" w:name="DESCRIPTOR518"/>
      <w:bookmarkStart w:id="800" w:name="DESCRIPTOR519"/>
      <w:bookmarkStart w:id="801" w:name="DESCRIPTOR520"/>
      <w:bookmarkStart w:id="802" w:name="DESCRIPTOR521"/>
      <w:bookmarkStart w:id="803" w:name="DESCRIPTOR522"/>
      <w:bookmarkStart w:id="804" w:name="DESCRIPTOR523"/>
      <w:bookmarkStart w:id="805" w:name="DESCRIPTOR524"/>
      <w:bookmarkStart w:id="806" w:name="DESCRIPTOR525"/>
      <w:bookmarkStart w:id="807" w:name="DESCRIPTOR526"/>
      <w:bookmarkStart w:id="808" w:name="DESCRIPTOR527"/>
      <w:bookmarkStart w:id="809" w:name="DESCRIPTOR528"/>
      <w:bookmarkStart w:id="810" w:name="DESCRIPTOR529"/>
      <w:bookmarkStart w:id="811" w:name="DESCRIPTOR530"/>
      <w:bookmarkStart w:id="812" w:name="DESCRIPTOR531"/>
      <w:bookmarkStart w:id="813" w:name="DESCRIPTOR532"/>
      <w:bookmarkStart w:id="814" w:name="DESCRIPTOR533"/>
      <w:bookmarkStart w:id="815" w:name="DESCRIPTOR534"/>
      <w:bookmarkStart w:id="816" w:name="DESCRIPTOR535"/>
      <w:bookmarkStart w:id="817" w:name="DESCRIPTOR536"/>
      <w:bookmarkStart w:id="818" w:name="DESCRIPTOR537"/>
      <w:bookmarkStart w:id="819" w:name="DESCRIPTOR538"/>
      <w:bookmarkStart w:id="820" w:name="DESCRIPTOR539"/>
      <w:bookmarkStart w:id="821" w:name="DESCRIPTOR540"/>
      <w:bookmarkStart w:id="822" w:name="DESCRIPTOR541"/>
      <w:bookmarkStart w:id="823" w:name="DESCRIPTOR542"/>
      <w:bookmarkStart w:id="824" w:name="DESCRIPTOR543"/>
      <w:bookmarkStart w:id="825" w:name="DESCRIPTOR544"/>
      <w:bookmarkStart w:id="826" w:name="DESCRIPTOR545"/>
      <w:bookmarkStart w:id="827" w:name="DESCRIPTOR546"/>
      <w:bookmarkStart w:id="828" w:name="DESCRIPTOR547"/>
      <w:bookmarkStart w:id="829" w:name="DESCRIPTOR548"/>
      <w:bookmarkStart w:id="830" w:name="DESCRIPTOR549"/>
      <w:bookmarkStart w:id="831" w:name="DESCRIPTOR550"/>
      <w:bookmarkStart w:id="832" w:name="DESCRIPTOR551"/>
      <w:bookmarkStart w:id="833" w:name="DESCRIPTOR552"/>
      <w:bookmarkStart w:id="834" w:name="DESCRIPTOR553"/>
      <w:bookmarkStart w:id="835" w:name="DESCRIPTOR554"/>
      <w:bookmarkStart w:id="836" w:name="DESCRIPTOR555"/>
      <w:bookmarkStart w:id="837" w:name="DESCRIPTOR556"/>
      <w:bookmarkStart w:id="838" w:name="DESCRIPTOR557"/>
      <w:bookmarkStart w:id="839" w:name="DESCRIPTOR558"/>
      <w:bookmarkStart w:id="840" w:name="DESCRIPTOR559"/>
      <w:bookmarkStart w:id="841" w:name="DESCRIPTOR560"/>
      <w:bookmarkStart w:id="842" w:name="DESCRIPTOR561"/>
      <w:bookmarkStart w:id="843" w:name="DESCRIPTOR562"/>
      <w:bookmarkStart w:id="844" w:name="DESCRIPTOR563"/>
      <w:bookmarkStart w:id="845" w:name="DESCRIPTOR564"/>
      <w:bookmarkStart w:id="846" w:name="DESCRIPTOR565"/>
      <w:bookmarkStart w:id="847" w:name="DESCRIPTOR566"/>
      <w:bookmarkStart w:id="848" w:name="DESCRIPTOR567"/>
      <w:bookmarkStart w:id="849" w:name="DESCRIPTOR568"/>
      <w:bookmarkStart w:id="850" w:name="DESCRIPTOR569"/>
      <w:bookmarkStart w:id="851" w:name="DESCRIPTOR570"/>
      <w:bookmarkStart w:id="852" w:name="DESCRIPTOR571"/>
      <w:bookmarkStart w:id="853" w:name="DESCRIPTOR572"/>
      <w:bookmarkStart w:id="854" w:name="DESCRIPTOR573"/>
      <w:bookmarkStart w:id="855" w:name="DESCRIPTOR574"/>
      <w:bookmarkStart w:id="856" w:name="DESCRIPTOR575"/>
      <w:bookmarkStart w:id="857" w:name="DESCRIPTOR576"/>
      <w:bookmarkStart w:id="858" w:name="DESCRIPTOR577"/>
      <w:bookmarkStart w:id="859" w:name="DESCRIPTOR578"/>
      <w:bookmarkStart w:id="860" w:name="DESCRIPTOR579"/>
      <w:bookmarkStart w:id="861" w:name="DESCRIPTOR580"/>
      <w:bookmarkStart w:id="862" w:name="DESCRIPTOR581"/>
      <w:bookmarkStart w:id="863" w:name="DESCRIPTOR582"/>
      <w:bookmarkStart w:id="864" w:name="DESCRIPTOR583"/>
      <w:bookmarkStart w:id="865" w:name="DESCRIPTOR584"/>
      <w:bookmarkStart w:id="866" w:name="DESCRIPTOR585"/>
      <w:bookmarkStart w:id="867" w:name="DESCRIPTOR586"/>
      <w:bookmarkStart w:id="868" w:name="DESCRIPTOR587"/>
      <w:bookmarkStart w:id="869" w:name="DESCRIPTOR588"/>
      <w:bookmarkStart w:id="870" w:name="DESCRIPTOR589"/>
      <w:bookmarkStart w:id="871" w:name="DESCRIPTOR590"/>
      <w:bookmarkStart w:id="872" w:name="DESCRIPTOR591"/>
      <w:bookmarkStart w:id="873" w:name="DESCRIPTOR592"/>
      <w:bookmarkStart w:id="874" w:name="DESCRIPTOR593"/>
      <w:bookmarkStart w:id="875" w:name="DESCRIPTOR594"/>
      <w:bookmarkStart w:id="876" w:name="DESCRIPTOR595"/>
      <w:bookmarkStart w:id="877" w:name="DESCRIPTOR596"/>
      <w:bookmarkStart w:id="878" w:name="DESCRIPTOR597"/>
      <w:bookmarkStart w:id="879" w:name="DESCRIPTOR598"/>
      <w:bookmarkStart w:id="880" w:name="DESCRIPTOR599"/>
      <w:bookmarkStart w:id="881" w:name="DESCRIPTOR600"/>
      <w:bookmarkStart w:id="882" w:name="DESCRIPTOR601"/>
      <w:bookmarkStart w:id="883" w:name="DESCRIPTOR602"/>
      <w:bookmarkStart w:id="884" w:name="DESCRIPTOR603"/>
      <w:bookmarkStart w:id="885" w:name="DESCRIPTOR604"/>
      <w:bookmarkStart w:id="886" w:name="DESCRIPTOR605"/>
      <w:bookmarkStart w:id="887" w:name="DESCRIPTOR606"/>
      <w:bookmarkStart w:id="888" w:name="DESCRIPTOR607"/>
      <w:bookmarkStart w:id="889" w:name="DESCRIPTOR608"/>
      <w:bookmarkStart w:id="890" w:name="DESCRIPTOR609"/>
      <w:bookmarkStart w:id="891" w:name="DESCRIPTOR610"/>
      <w:bookmarkStart w:id="892" w:name="DESCRIPTOR611"/>
      <w:bookmarkStart w:id="893" w:name="DESCRIPTOR612"/>
      <w:bookmarkStart w:id="894" w:name="DESCRIPTOR613"/>
      <w:bookmarkStart w:id="895" w:name="DESCRIPTOR614"/>
      <w:bookmarkStart w:id="896" w:name="DESCRIPTOR615"/>
      <w:bookmarkStart w:id="897" w:name="DESCRIPTOR616"/>
      <w:bookmarkStart w:id="898" w:name="DESCRIPTOR617"/>
      <w:bookmarkStart w:id="899" w:name="DESCRIPTOR618"/>
      <w:bookmarkStart w:id="900" w:name="DESCRIPTOR619"/>
      <w:bookmarkStart w:id="901" w:name="DESCRIPTOR620"/>
      <w:bookmarkStart w:id="902" w:name="DESCRIPTOR621"/>
      <w:bookmarkStart w:id="903" w:name="DESCRIPTOR622"/>
      <w:bookmarkStart w:id="904" w:name="DESCRIPTOR623"/>
      <w:bookmarkStart w:id="905" w:name="DESCRIPTOR624"/>
      <w:bookmarkStart w:id="906" w:name="DESCRIPTOR625"/>
      <w:bookmarkStart w:id="907" w:name="DESCRIPTOR626"/>
      <w:bookmarkStart w:id="908" w:name="DESCRIPTOR627"/>
      <w:bookmarkStart w:id="909" w:name="DESCRIPTOR628"/>
      <w:bookmarkStart w:id="910" w:name="DESCRIPTOR629"/>
      <w:bookmarkStart w:id="911" w:name="DESCRIPTOR630"/>
      <w:bookmarkStart w:id="912" w:name="DESCRIPTOR631"/>
      <w:bookmarkStart w:id="913" w:name="DESCRIPTOR632"/>
      <w:bookmarkStart w:id="914" w:name="DESCRIPTOR633"/>
      <w:bookmarkStart w:id="915" w:name="DESCRIPTOR634"/>
      <w:bookmarkStart w:id="916" w:name="DESCRIPTOR635"/>
      <w:bookmarkStart w:id="917" w:name="DESCRIPTOR636"/>
      <w:bookmarkStart w:id="918" w:name="DESCRIPTOR637"/>
      <w:bookmarkStart w:id="919" w:name="DESCRIPTOR638"/>
      <w:bookmarkStart w:id="920" w:name="DESCRIPTOR639"/>
      <w:bookmarkStart w:id="921" w:name="DESCRIPTOR640"/>
      <w:bookmarkStart w:id="922" w:name="DESCRIPTOR641"/>
      <w:bookmarkStart w:id="923" w:name="DESCRIPTOR642"/>
      <w:bookmarkStart w:id="924" w:name="DESCRIPTOR643"/>
      <w:bookmarkStart w:id="925" w:name="DESCRIPTOR644"/>
      <w:bookmarkStart w:id="926" w:name="DESCRIPTOR645"/>
      <w:bookmarkStart w:id="927" w:name="DESCRIPTOR646"/>
      <w:bookmarkStart w:id="928" w:name="DESCRIPTOR647"/>
      <w:bookmarkStart w:id="929" w:name="DESCRIPTOR648"/>
      <w:bookmarkStart w:id="930" w:name="DESCRIPTOR649"/>
      <w:bookmarkStart w:id="931" w:name="DESCRIPTOR650"/>
      <w:bookmarkStart w:id="932" w:name="DESCRIPTOR651"/>
      <w:bookmarkStart w:id="933" w:name="DESCRIPTOR652"/>
      <w:bookmarkStart w:id="934" w:name="DESCRIPTOR653"/>
      <w:bookmarkStart w:id="935" w:name="DESCRIPTOR654"/>
      <w:bookmarkStart w:id="936" w:name="DESCRIPTOR655"/>
      <w:bookmarkStart w:id="937" w:name="DESCRIPTOR656"/>
      <w:bookmarkStart w:id="938" w:name="DESCRIPTOR657"/>
      <w:bookmarkStart w:id="939" w:name="DESCRIPTOR658"/>
      <w:bookmarkStart w:id="940" w:name="DESCRIPTOR659"/>
      <w:bookmarkStart w:id="941" w:name="DESCRIPTOR660"/>
      <w:bookmarkStart w:id="942" w:name="DESCRIPTOR661"/>
      <w:bookmarkStart w:id="943" w:name="DESCRIPTOR662"/>
      <w:bookmarkStart w:id="944" w:name="DESCRIPTOR663"/>
      <w:bookmarkStart w:id="945" w:name="DESCRIPTOR664"/>
      <w:bookmarkStart w:id="946" w:name="DESCRIPTOR665"/>
      <w:bookmarkStart w:id="947" w:name="DESCRIPTOR666"/>
      <w:bookmarkStart w:id="948" w:name="DESCRIPTOR667"/>
      <w:bookmarkStart w:id="949" w:name="DESCRIPTOR668"/>
      <w:bookmarkStart w:id="950" w:name="DESCRIPTOR669"/>
      <w:bookmarkStart w:id="951" w:name="DESCRIPTOR670"/>
      <w:bookmarkStart w:id="952" w:name="DESCRIPTOR671"/>
      <w:bookmarkStart w:id="953" w:name="DESCRIPTOR672"/>
      <w:bookmarkStart w:id="954" w:name="DESCRIPTOR673"/>
      <w:bookmarkStart w:id="955" w:name="DESCRIPTOR674"/>
      <w:bookmarkStart w:id="956" w:name="DESCRIPTOR675"/>
      <w:bookmarkStart w:id="957" w:name="DESCRIPTOR676"/>
      <w:bookmarkStart w:id="958" w:name="DESCRIPTOR677"/>
      <w:bookmarkStart w:id="959" w:name="DESCRIPTOR678"/>
      <w:bookmarkStart w:id="960" w:name="DESCRIPTOR679"/>
      <w:bookmarkStart w:id="961" w:name="DESCRIPTOR680"/>
      <w:bookmarkStart w:id="962" w:name="DESCRIPTOR681"/>
      <w:bookmarkStart w:id="963" w:name="DESCRIPTOR682"/>
      <w:bookmarkStart w:id="964" w:name="DESCRIPTOR683"/>
      <w:bookmarkStart w:id="965" w:name="DESCRIPTOR684"/>
      <w:bookmarkStart w:id="966" w:name="DESCRIPTOR685"/>
      <w:bookmarkStart w:id="967" w:name="DESCRIPTOR686"/>
      <w:bookmarkStart w:id="968" w:name="DESCRIPTOR687"/>
      <w:bookmarkStart w:id="969" w:name="DESCRIPTOR688"/>
      <w:bookmarkStart w:id="970" w:name="DESCRIPTOR689"/>
      <w:bookmarkStart w:id="971" w:name="DESCRIPTOR690"/>
      <w:bookmarkStart w:id="972" w:name="DESCRIPTOR691"/>
      <w:bookmarkStart w:id="973" w:name="DESCRIPTOR692"/>
      <w:bookmarkStart w:id="974" w:name="DESCRIPTOR693"/>
      <w:bookmarkStart w:id="975" w:name="DESCRIPTOR694"/>
      <w:bookmarkStart w:id="976" w:name="DESCRIPTOR695"/>
      <w:bookmarkStart w:id="977" w:name="DESCRIPTOR696"/>
      <w:bookmarkStart w:id="978" w:name="DESCRIPTOR697"/>
      <w:bookmarkStart w:id="979" w:name="DESCRIPTOR698"/>
      <w:bookmarkStart w:id="980" w:name="DESCRIPTOR699"/>
      <w:bookmarkStart w:id="981" w:name="DESCRIPTOR700"/>
      <w:bookmarkStart w:id="982" w:name="DESCRIPTOR701"/>
      <w:bookmarkStart w:id="983" w:name="DESCRIPTOR702"/>
      <w:bookmarkStart w:id="984" w:name="DESCRIPTOR703"/>
      <w:bookmarkStart w:id="985" w:name="DESCRIPTOR704"/>
      <w:bookmarkStart w:id="986" w:name="DESCRIPTOR705"/>
      <w:bookmarkStart w:id="987" w:name="DESCRIPTOR706"/>
      <w:bookmarkStart w:id="988" w:name="DESCRIPTOR707"/>
      <w:bookmarkStart w:id="989" w:name="DESCRIPTOR708"/>
      <w:bookmarkStart w:id="990" w:name="DESCRIPTOR709"/>
      <w:bookmarkStart w:id="991" w:name="DESCRIPTOR710"/>
      <w:bookmarkStart w:id="992" w:name="DESCRIPTOR711"/>
      <w:bookmarkStart w:id="993" w:name="DESCRIPTOR712"/>
      <w:bookmarkStart w:id="994" w:name="DESCRIPTOR713"/>
      <w:bookmarkStart w:id="995" w:name="DESCRIPTOR714"/>
      <w:bookmarkStart w:id="996" w:name="DESCRIPTOR715"/>
      <w:bookmarkStart w:id="997" w:name="DESCRIPTOR716"/>
      <w:bookmarkStart w:id="998" w:name="DESCRIPTOR717"/>
      <w:bookmarkStart w:id="999" w:name="DESCRIPTOR718"/>
      <w:bookmarkStart w:id="1000" w:name="DESCRIPTOR719"/>
      <w:bookmarkStart w:id="1001" w:name="DESCRIPTOR720"/>
      <w:bookmarkStart w:id="1002" w:name="DESCRIPTOR721"/>
      <w:bookmarkStart w:id="1003" w:name="DESCRIPTOR722"/>
      <w:bookmarkStart w:id="1004" w:name="DESCRIPTOR723"/>
      <w:bookmarkStart w:id="1005" w:name="DESCRIPTOR724"/>
      <w:bookmarkStart w:id="1006" w:name="DESCRIPTOR725"/>
      <w:bookmarkStart w:id="1007" w:name="DESCRIPTOR726"/>
      <w:bookmarkStart w:id="1008" w:name="DESCRIPTOR727"/>
      <w:bookmarkStart w:id="1009" w:name="DESCRIPTOR728"/>
      <w:bookmarkStart w:id="1010" w:name="DESCRIPTOR729"/>
      <w:bookmarkStart w:id="1011" w:name="DESCRIPTOR730"/>
      <w:bookmarkStart w:id="1012" w:name="DESCRIPTOR731"/>
      <w:bookmarkStart w:id="1013" w:name="DESCRIPTOR732"/>
      <w:bookmarkStart w:id="1014" w:name="DESCRIPTOR733"/>
      <w:bookmarkStart w:id="1015" w:name="DESCRIPTOR734"/>
      <w:bookmarkStart w:id="1016" w:name="DESCRIPTOR735"/>
      <w:bookmarkStart w:id="1017" w:name="DESCRIPTOR736"/>
      <w:bookmarkStart w:id="1018" w:name="DESCRIPTOR737"/>
      <w:bookmarkStart w:id="1019" w:name="DESCRIPTOR738"/>
      <w:bookmarkStart w:id="1020" w:name="DESCRIPTOR739"/>
      <w:bookmarkStart w:id="1021" w:name="DESCRIPTOR740"/>
      <w:bookmarkStart w:id="1022" w:name="DESCRIPTOR741"/>
      <w:bookmarkStart w:id="1023" w:name="DESCRIPTOR742"/>
      <w:bookmarkStart w:id="1024" w:name="DESCRIPTOR743"/>
      <w:bookmarkStart w:id="1025" w:name="DESCRIPTOR744"/>
      <w:bookmarkStart w:id="1026" w:name="DESCRIPTOR745"/>
      <w:bookmarkStart w:id="1027" w:name="DESCRIPTOR746"/>
      <w:bookmarkStart w:id="1028" w:name="DESCRIPTOR747"/>
      <w:bookmarkStart w:id="1029" w:name="DESCRIPTOR748"/>
      <w:bookmarkStart w:id="1030" w:name="DESCRIPTOR749"/>
      <w:bookmarkStart w:id="1031" w:name="DESCRIPTOR750"/>
      <w:bookmarkStart w:id="1032" w:name="DESCRIPTOR751"/>
      <w:bookmarkStart w:id="1033" w:name="DESCRIPTOR752"/>
      <w:bookmarkStart w:id="1034" w:name="DESCRIPTOR753"/>
      <w:bookmarkStart w:id="1035" w:name="DESCRIPTOR754"/>
      <w:bookmarkStart w:id="1036" w:name="DESCRIPTOR755"/>
      <w:bookmarkStart w:id="1037" w:name="DESCRIPTOR756"/>
      <w:bookmarkStart w:id="1038" w:name="DESCRIPTOR757"/>
      <w:bookmarkStart w:id="1039" w:name="DESCRIPTOR758"/>
      <w:bookmarkStart w:id="1040" w:name="DESCRIPTOR759"/>
      <w:bookmarkStart w:id="1041" w:name="DESCRIPTOR760"/>
      <w:bookmarkStart w:id="1042" w:name="DESCRIPTOR761"/>
      <w:bookmarkStart w:id="1043" w:name="DESCRIPTOR762"/>
      <w:bookmarkStart w:id="1044" w:name="DESCRIPTOR763"/>
      <w:bookmarkStart w:id="1045" w:name="DESCRIPTOR764"/>
      <w:bookmarkStart w:id="1046" w:name="DESCRIPTOR765"/>
      <w:bookmarkStart w:id="1047" w:name="DESCRIPTOR766"/>
      <w:bookmarkStart w:id="1048" w:name="DESCRIPTOR767"/>
      <w:bookmarkStart w:id="1049" w:name="DESCRIPTOR768"/>
      <w:bookmarkStart w:id="1050" w:name="DESCRIPTOR769"/>
      <w:bookmarkStart w:id="1051" w:name="DESCRIPTOR770"/>
      <w:bookmarkStart w:id="1052" w:name="DESCRIPTOR771"/>
      <w:bookmarkStart w:id="1053" w:name="DESCRIPTOR772"/>
      <w:bookmarkStart w:id="1054" w:name="DESCRIPTOR773"/>
      <w:bookmarkStart w:id="1055" w:name="DESCRIPTOR774"/>
      <w:bookmarkStart w:id="1056" w:name="DESCRIPTOR775"/>
      <w:bookmarkStart w:id="1057" w:name="DESCRIPTOR776"/>
      <w:bookmarkStart w:id="1058" w:name="DESCRIPTOR777"/>
      <w:bookmarkStart w:id="1059" w:name="DESCRIPTOR778"/>
      <w:bookmarkStart w:id="1060" w:name="DESCRIPTOR779"/>
      <w:bookmarkStart w:id="1061" w:name="DESCRIPTOR780"/>
      <w:bookmarkStart w:id="1062" w:name="DESCRIPTOR781"/>
      <w:bookmarkStart w:id="1063" w:name="DESCRIPTOR782"/>
      <w:bookmarkStart w:id="1064" w:name="DESCRIPTOR783"/>
      <w:bookmarkStart w:id="1065" w:name="DESCRIPTOR784"/>
      <w:bookmarkStart w:id="1066" w:name="DESCRIPTOR785"/>
      <w:bookmarkStart w:id="1067" w:name="DESCRIPTOR786"/>
      <w:bookmarkStart w:id="1068" w:name="DESCRIPTOR787"/>
      <w:bookmarkStart w:id="1069" w:name="DESCRIPTOR788"/>
      <w:bookmarkStart w:id="1070" w:name="DESCRIPTOR789"/>
      <w:bookmarkStart w:id="1071" w:name="DESCRIPTOR790"/>
      <w:bookmarkStart w:id="1072" w:name="DESCRIPTOR791"/>
      <w:bookmarkStart w:id="1073" w:name="DESCRIPTOR792"/>
      <w:bookmarkStart w:id="1074" w:name="DESCRIPTOR793"/>
      <w:bookmarkStart w:id="1075" w:name="DESCRIPTOR794"/>
      <w:bookmarkStart w:id="1076" w:name="DESCRIPTOR795"/>
      <w:bookmarkStart w:id="1077" w:name="DESCRIPTOR796"/>
      <w:bookmarkStart w:id="1078" w:name="DESCRIPTOR797"/>
      <w:bookmarkStart w:id="1079" w:name="DESCRIPTOR798"/>
      <w:bookmarkStart w:id="1080" w:name="DESCRIPTOR799"/>
      <w:bookmarkStart w:id="1081" w:name="DESCRIPTOR800"/>
      <w:bookmarkStart w:id="1082" w:name="DESCRIPTOR801"/>
      <w:bookmarkStart w:id="1083" w:name="DESCRIPTOR802"/>
      <w:bookmarkStart w:id="1084" w:name="DESCRIPTOR803"/>
      <w:bookmarkStart w:id="1085" w:name="DESCRIPTOR804"/>
      <w:bookmarkStart w:id="1086" w:name="DESCRIPTOR805"/>
      <w:bookmarkStart w:id="1087" w:name="DESCRIPTOR806"/>
      <w:bookmarkStart w:id="1088" w:name="DESCRIPTOR807"/>
      <w:bookmarkStart w:id="1089" w:name="DESCRIPTOR808"/>
      <w:bookmarkStart w:id="1090" w:name="DESCRIPTOR809"/>
      <w:bookmarkStart w:id="1091" w:name="DESCRIPTOR810"/>
      <w:bookmarkStart w:id="1092" w:name="DESCRIPTOR811"/>
      <w:bookmarkStart w:id="1093" w:name="DESCRIPTOR812"/>
      <w:bookmarkStart w:id="1094" w:name="DESCRIPTOR813"/>
      <w:bookmarkStart w:id="1095" w:name="DESCRIPTOR814"/>
      <w:bookmarkStart w:id="1096" w:name="DESCRIPTOR815"/>
      <w:bookmarkStart w:id="1097" w:name="DESCRIPTOR816"/>
      <w:bookmarkStart w:id="1098" w:name="DESCRIPTOR817"/>
      <w:bookmarkStart w:id="1099" w:name="DESCRIPTOR818"/>
      <w:bookmarkStart w:id="1100" w:name="DESCRIPTOR819"/>
      <w:bookmarkStart w:id="1101" w:name="DESCRIPTOR820"/>
      <w:bookmarkStart w:id="1102" w:name="DESCRIPTOR821"/>
      <w:bookmarkStart w:id="1103" w:name="DESCRIPTOR822"/>
      <w:bookmarkStart w:id="1104" w:name="DESCRIPTOR823"/>
      <w:bookmarkStart w:id="1105" w:name="DESCRIPTOR824"/>
      <w:bookmarkStart w:id="1106" w:name="DESCRIPTOR825"/>
      <w:bookmarkStart w:id="1107" w:name="DESCRIPTOR826"/>
      <w:bookmarkStart w:id="1108" w:name="DESCRIPTOR827"/>
      <w:bookmarkStart w:id="1109" w:name="DESCRIPTOR828"/>
      <w:bookmarkStart w:id="1110" w:name="DESCRIPTOR829"/>
      <w:bookmarkStart w:id="1111" w:name="DESCRIPTOR830"/>
      <w:bookmarkStart w:id="1112" w:name="DESCRIPTOR831"/>
      <w:bookmarkStart w:id="1113" w:name="DESCRIPTOR832"/>
      <w:bookmarkStart w:id="1114" w:name="DESCRIPTOR833"/>
      <w:bookmarkStart w:id="1115" w:name="DESCRIPTOR834"/>
      <w:bookmarkStart w:id="1116" w:name="DESCRIPTOR835"/>
      <w:bookmarkStart w:id="1117" w:name="DESCRIPTOR836"/>
      <w:bookmarkStart w:id="1118" w:name="DESCRIPTOR837"/>
      <w:bookmarkStart w:id="1119" w:name="DESCRIPTOR838"/>
      <w:bookmarkStart w:id="1120" w:name="DESCRIPTOR839"/>
      <w:bookmarkStart w:id="1121" w:name="DESCRIPTOR840"/>
      <w:bookmarkStart w:id="1122" w:name="DESCRIPTOR841"/>
      <w:bookmarkStart w:id="1123" w:name="DESCRIPTOR842"/>
      <w:bookmarkStart w:id="1124" w:name="DESCRIPTOR843"/>
      <w:bookmarkStart w:id="1125" w:name="DESCRIPTOR844"/>
      <w:bookmarkStart w:id="1126" w:name="DESCRIPTOR845"/>
      <w:bookmarkStart w:id="1127" w:name="DESCRIPTOR846"/>
      <w:bookmarkStart w:id="1128" w:name="DESCRIPTOR847"/>
      <w:bookmarkStart w:id="1129" w:name="DESCRIPTOR848"/>
      <w:bookmarkStart w:id="1130" w:name="DESCRIPTOR849"/>
      <w:bookmarkStart w:id="1131" w:name="DESCRIPTOR850"/>
      <w:bookmarkStart w:id="1132" w:name="DESCRIPTOR851"/>
      <w:bookmarkStart w:id="1133" w:name="DESCRIPTOR852"/>
      <w:bookmarkStart w:id="1134" w:name="DESCRIPTOR853"/>
      <w:bookmarkStart w:id="1135" w:name="DESCRIPTOR854"/>
      <w:bookmarkStart w:id="1136" w:name="DESCRIPTOR855"/>
      <w:bookmarkStart w:id="1137" w:name="DESCRIPTOR856"/>
      <w:bookmarkStart w:id="1138" w:name="DESCRIPTOR857"/>
      <w:bookmarkStart w:id="1139" w:name="DESCRIPTOR858"/>
      <w:bookmarkStart w:id="1140" w:name="DESCRIPTOR859"/>
      <w:bookmarkStart w:id="1141" w:name="DESCRIPTOR860"/>
      <w:bookmarkStart w:id="1142" w:name="DESCRIPTOR861"/>
      <w:bookmarkStart w:id="1143" w:name="DESCRIPTOR862"/>
      <w:bookmarkStart w:id="1144" w:name="DESCRIPTOR863"/>
      <w:bookmarkStart w:id="1145" w:name="DESCRIPTOR864"/>
      <w:bookmarkStart w:id="1146" w:name="DESCRIPTOR865"/>
      <w:bookmarkStart w:id="1147" w:name="DESCRIPTOR866"/>
      <w:bookmarkStart w:id="1148" w:name="DESCRIPTOR867"/>
      <w:bookmarkStart w:id="1149" w:name="INDICE5ALFABETICO"/>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p>
    <w:p w:rsidR="00924F59" w:rsidRDefault="00924F59" w:rsidP="00924F59">
      <w:pPr>
        <w:pStyle w:val="TextoNormal"/>
      </w:pPr>
    </w:p>
    <w:p w:rsidR="00924F59" w:rsidRDefault="00924F59" w:rsidP="00924F59">
      <w:pPr>
        <w:pStyle w:val="TextoNormal"/>
      </w:pPr>
    </w:p>
    <w:p w:rsidR="00924F59" w:rsidRDefault="00924F59" w:rsidP="00924F59">
      <w:pPr>
        <w:pStyle w:val="TextoNormal"/>
      </w:pPr>
    </w:p>
    <w:p w:rsidR="00924F59" w:rsidRDefault="00924F59" w:rsidP="00924F59">
      <w:pPr>
        <w:pStyle w:val="Ttulondice"/>
      </w:pPr>
      <w:r>
        <w:t>7. ÍNDICE ANALÍTICO</w:t>
      </w:r>
    </w:p>
    <w:p w:rsidR="00924F59" w:rsidRDefault="00924F59" w:rsidP="00924F59">
      <w:pPr>
        <w:pStyle w:val="TextoNormal"/>
      </w:pPr>
    </w:p>
    <w:p w:rsidR="00924F59" w:rsidRDefault="00924F59" w:rsidP="00924F59">
      <w:pPr>
        <w:pStyle w:val="Ttulondice"/>
      </w:pPr>
    </w:p>
    <w:p w:rsidR="00924F59" w:rsidRDefault="00924F59" w:rsidP="00924F59">
      <w:pPr>
        <w:pStyle w:val="Ttulondice"/>
      </w:pPr>
    </w:p>
    <w:p w:rsidR="00924F59" w:rsidRDefault="00924F59" w:rsidP="00924F59">
      <w:pPr>
        <w:pStyle w:val="Ttulondice"/>
      </w:pPr>
    </w:p>
    <w:p w:rsidR="00924F59" w:rsidRDefault="00924F59" w:rsidP="00924F59">
      <w:pPr>
        <w:pStyle w:val="Ttulondice"/>
      </w:pPr>
    </w:p>
    <w:p w:rsidR="00924F59" w:rsidRDefault="00924F59" w:rsidP="00924F59">
      <w:pPr>
        <w:pStyle w:val="Ttulondice"/>
      </w:pPr>
    </w:p>
    <w:p w:rsidR="00924F59" w:rsidRDefault="00924F59" w:rsidP="00924F59">
      <w:pPr>
        <w:pStyle w:val="Ttulondice"/>
      </w:pPr>
    </w:p>
    <w:p w:rsidR="00924F59" w:rsidRDefault="00924F59" w:rsidP="00924F59">
      <w:pPr>
        <w:pStyle w:val="Ttulondice"/>
      </w:pPr>
    </w:p>
    <w:p w:rsidR="00924F59" w:rsidRDefault="00924F59" w:rsidP="00924F59">
      <w:pPr>
        <w:pStyle w:val="TextoNormalNegritaCentrado"/>
      </w:pPr>
      <w:r>
        <w:t>A</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150" w:name="DESCRIPTORALFABETICO858"/>
      <w:r w:rsidRPr="00924F59">
        <w:rPr>
          <w:rStyle w:val="TextoNormalNegritaCaracter"/>
        </w:rPr>
        <w:t>Abono de prisión provisional</w:t>
      </w:r>
      <w:bookmarkEnd w:id="1150"/>
      <w:r w:rsidRPr="00924F59">
        <w:rPr>
          <w:rStyle w:val="TextoNormalCaracter"/>
        </w:rPr>
        <w:t xml:space="preserve">, Sentencia </w:t>
      </w:r>
      <w:hyperlink w:anchor="SENTENCIA_2016_48" w:history="1">
        <w:r w:rsidRPr="00924F59">
          <w:rPr>
            <w:rStyle w:val="TextoNormalCaracter"/>
          </w:rPr>
          <w:t>48/2016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1151" w:name="DESCRIPTORALFABETICO596"/>
      <w:r w:rsidRPr="00924F59">
        <w:rPr>
          <w:rStyle w:val="TextoNormalNegritaCaracter"/>
        </w:rPr>
        <w:t>Aborto</w:t>
      </w:r>
      <w:bookmarkEnd w:id="1151"/>
      <w:r w:rsidRPr="00924F59">
        <w:rPr>
          <w:rStyle w:val="TextoNormalCaracter"/>
        </w:rPr>
        <w:t xml:space="preserve">, Sentencia </w:t>
      </w:r>
      <w:hyperlink w:anchor="SENTENCIA_2016_11" w:history="1">
        <w:r w:rsidRPr="00924F59">
          <w:rPr>
            <w:rStyle w:val="TextoNormalCaracter"/>
          </w:rPr>
          <w:t>11/2016</w:t>
        </w:r>
      </w:hyperlink>
      <w:r w:rsidRPr="00924F59">
        <w:rPr>
          <w:rStyle w:val="TextoNormalCaracter"/>
        </w:rPr>
        <w:t>, f. 1.</w:t>
      </w:r>
    </w:p>
    <w:p w:rsidR="00924F59" w:rsidRPr="00924F59" w:rsidRDefault="00924F59" w:rsidP="00924F59">
      <w:pPr>
        <w:pStyle w:val="TextoNormalSangraFrancesa"/>
        <w:rPr>
          <w:rStyle w:val="TextoNormalCaracter"/>
        </w:rPr>
      </w:pPr>
      <w:bookmarkStart w:id="1152" w:name="DESCRIPTORALFABETICO802"/>
      <w:r w:rsidRPr="00924F59">
        <w:rPr>
          <w:rStyle w:val="TextoNormalNegritaCaracter"/>
        </w:rPr>
        <w:t>Abstención de jueces y magistrados</w:t>
      </w:r>
      <w:bookmarkEnd w:id="1152"/>
      <w:r w:rsidRPr="00924F59">
        <w:rPr>
          <w:rStyle w:val="TextoNormalCaracter"/>
        </w:rPr>
        <w:t xml:space="preserve">, Autos </w:t>
      </w:r>
      <w:hyperlink w:anchor="AUTO_2016_97" w:history="1">
        <w:r w:rsidRPr="00924F59">
          <w:rPr>
            <w:rStyle w:val="TextoNormalCaracter"/>
          </w:rPr>
          <w:t>97/2016</w:t>
        </w:r>
      </w:hyperlink>
      <w:r w:rsidRPr="00924F59">
        <w:rPr>
          <w:rStyle w:val="TextoNormalCaracter"/>
        </w:rPr>
        <w:t xml:space="preserve">, f. único; </w:t>
      </w:r>
      <w:hyperlink w:anchor="AUTO_2016_99" w:history="1">
        <w:r w:rsidRPr="00924F59">
          <w:rPr>
            <w:rStyle w:val="TextoNormalCaracter"/>
          </w:rPr>
          <w:t>99/2016</w:t>
        </w:r>
      </w:hyperlink>
      <w:r w:rsidRPr="00924F59">
        <w:rPr>
          <w:rStyle w:val="TextoNormalCaracter"/>
        </w:rPr>
        <w:t xml:space="preserve">, f. 1; </w:t>
      </w:r>
      <w:hyperlink w:anchor="AUTO_2016_106" w:history="1">
        <w:r w:rsidRPr="00924F59">
          <w:rPr>
            <w:rStyle w:val="TextoNormalCaracter"/>
          </w:rPr>
          <w:t>106/2016</w:t>
        </w:r>
      </w:hyperlink>
      <w:r w:rsidRPr="00924F59">
        <w:rPr>
          <w:rStyle w:val="TextoNormalCaracter"/>
        </w:rPr>
        <w:t xml:space="preserve">, f. único; </w:t>
      </w:r>
      <w:hyperlink w:anchor="AUTO_2016_111" w:history="1">
        <w:r w:rsidRPr="00924F59">
          <w:rPr>
            <w:rStyle w:val="TextoNormalCaracter"/>
          </w:rPr>
          <w:t>111/2016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153" w:name="DESCRIPTORALFABETICO250"/>
      <w:r w:rsidRPr="00924F59">
        <w:rPr>
          <w:rStyle w:val="TextoNormalNegritaCaracter"/>
        </w:rPr>
        <w:t>Abstención de magistrados del Tribunal Constitucional</w:t>
      </w:r>
      <w:bookmarkEnd w:id="1153"/>
      <w:r w:rsidRPr="00924F59">
        <w:rPr>
          <w:rStyle w:val="TextoNormalCaracter"/>
        </w:rPr>
        <w:t xml:space="preserve">, Autos </w:t>
      </w:r>
      <w:hyperlink w:anchor="AUTO_2016_60" w:history="1">
        <w:r w:rsidRPr="00924F59">
          <w:rPr>
            <w:rStyle w:val="TextoNormalCaracter"/>
          </w:rPr>
          <w:t>60/2016</w:t>
        </w:r>
      </w:hyperlink>
      <w:r w:rsidRPr="00924F59">
        <w:rPr>
          <w:rStyle w:val="TextoNormalCaracter"/>
        </w:rPr>
        <w:t xml:space="preserve">, Único; </w:t>
      </w:r>
      <w:hyperlink w:anchor="AUTO_2016_93" w:history="1">
        <w:r w:rsidRPr="00924F59">
          <w:rPr>
            <w:rStyle w:val="TextoNormalCaracter"/>
          </w:rPr>
          <w:t>93/2016</w:t>
        </w:r>
      </w:hyperlink>
      <w:r w:rsidRPr="00924F59">
        <w:rPr>
          <w:rStyle w:val="TextoNormalCaracter"/>
        </w:rPr>
        <w:t>, f. único.</w:t>
      </w:r>
    </w:p>
    <w:p w:rsidR="00924F59" w:rsidRPr="00924F59" w:rsidRDefault="00924F59" w:rsidP="00924F59">
      <w:pPr>
        <w:pStyle w:val="TextoNormalSangraFrancesa"/>
        <w:rPr>
          <w:rStyle w:val="TextoNormalCaracter"/>
        </w:rPr>
      </w:pPr>
      <w:r w:rsidRPr="00924F59">
        <w:rPr>
          <w:rStyle w:val="TextoNormalCursivaCaracter"/>
        </w:rPr>
        <w:t xml:space="preserve">    Acepta, </w:t>
      </w:r>
      <w:r w:rsidRPr="00924F59">
        <w:rPr>
          <w:rStyle w:val="TextoNormalCaracter"/>
        </w:rPr>
        <w:t xml:space="preserve">Autos </w:t>
      </w:r>
      <w:hyperlink w:anchor="AUTO_2016_29" w:history="1">
        <w:r w:rsidRPr="00924F59">
          <w:rPr>
            <w:rStyle w:val="TextoNormalCaracter"/>
          </w:rPr>
          <w:t>29/2016</w:t>
        </w:r>
      </w:hyperlink>
      <w:r w:rsidRPr="00924F59">
        <w:rPr>
          <w:rStyle w:val="TextoNormalCaracter"/>
        </w:rPr>
        <w:t xml:space="preserve">, f. único; </w:t>
      </w:r>
      <w:hyperlink w:anchor="AUTO_2016_46" w:history="1">
        <w:r w:rsidRPr="00924F59">
          <w:rPr>
            <w:rStyle w:val="TextoNormalCaracter"/>
          </w:rPr>
          <w:t>46/2016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154" w:name="DESCRIPTORALFABETICO498"/>
      <w:r w:rsidRPr="00924F59">
        <w:rPr>
          <w:rStyle w:val="TextoNormalNegritaCaracter"/>
        </w:rPr>
        <w:t>Acceso a la función pública</w:t>
      </w:r>
      <w:bookmarkEnd w:id="1154"/>
      <w:r w:rsidRPr="00924F59">
        <w:rPr>
          <w:rStyle w:val="TextoNormalCaracter"/>
        </w:rPr>
        <w:t xml:space="preserve">, Auto </w:t>
      </w:r>
      <w:hyperlink w:anchor="AUTO_2016_89" w:history="1">
        <w:r w:rsidRPr="00924F59">
          <w:rPr>
            <w:rStyle w:val="TextoNormalCaracter"/>
          </w:rPr>
          <w:t>89/2016</w:t>
        </w:r>
      </w:hyperlink>
      <w:r w:rsidRPr="00924F59">
        <w:rPr>
          <w:rStyle w:val="TextoNormalCaracter"/>
        </w:rPr>
        <w:t>, f. 7.</w:t>
      </w:r>
    </w:p>
    <w:p w:rsidR="00924F59" w:rsidRPr="00924F59" w:rsidRDefault="00924F59" w:rsidP="00924F59">
      <w:pPr>
        <w:pStyle w:val="TextoNormalSangraFrancesa"/>
        <w:rPr>
          <w:rStyle w:val="TextoNormalCaracter"/>
        </w:rPr>
      </w:pPr>
      <w:bookmarkStart w:id="1155" w:name="DESCRIPTORALFABETICO509"/>
      <w:r w:rsidRPr="00924F59">
        <w:rPr>
          <w:rStyle w:val="TextoNormalNegritaCaracter"/>
        </w:rPr>
        <w:t>Acción de repetición de las Administraciones públicas</w:t>
      </w:r>
      <w:bookmarkEnd w:id="1155"/>
      <w:r w:rsidRPr="00924F59">
        <w:rPr>
          <w:rStyle w:val="TextoNormalCaracter"/>
        </w:rPr>
        <w:t xml:space="preserve">, Sentencias </w:t>
      </w:r>
      <w:hyperlink w:anchor="SENTENCIA_2016_15" w:history="1">
        <w:r w:rsidRPr="00924F59">
          <w:rPr>
            <w:rStyle w:val="TextoNormalCaracter"/>
          </w:rPr>
          <w:t>15/2016</w:t>
        </w:r>
      </w:hyperlink>
      <w:r w:rsidRPr="00924F59">
        <w:rPr>
          <w:rStyle w:val="TextoNormalCaracter"/>
        </w:rPr>
        <w:t xml:space="preserve">, ff. 2, 3; </w:t>
      </w:r>
      <w:hyperlink w:anchor="SENTENCIA_2016_31" w:history="1">
        <w:r w:rsidRPr="00924F59">
          <w:rPr>
            <w:rStyle w:val="TextoNormalCaracter"/>
          </w:rPr>
          <w:t>31/2016</w:t>
        </w:r>
      </w:hyperlink>
      <w:r w:rsidRPr="00924F59">
        <w:rPr>
          <w:rStyle w:val="TextoNormalCaracter"/>
        </w:rPr>
        <w:t xml:space="preserve">, f. 3 a); </w:t>
      </w:r>
      <w:hyperlink w:anchor="SENTENCIA_2016_70" w:history="1">
        <w:r w:rsidRPr="00924F59">
          <w:rPr>
            <w:rStyle w:val="TextoNormalCaracter"/>
          </w:rPr>
          <w:t>70/2016</w:t>
        </w:r>
      </w:hyperlink>
      <w:r w:rsidRPr="00924F59">
        <w:rPr>
          <w:rStyle w:val="TextoNormalCaracter"/>
        </w:rPr>
        <w:t>, ff. 6, 7.</w:t>
      </w:r>
    </w:p>
    <w:p w:rsidR="00924F59" w:rsidRPr="00924F59" w:rsidRDefault="00924F59" w:rsidP="00924F59">
      <w:pPr>
        <w:pStyle w:val="TextoNormalSangraFrancesa"/>
        <w:rPr>
          <w:rStyle w:val="TextoNormalCaracter"/>
        </w:rPr>
      </w:pPr>
      <w:bookmarkStart w:id="1156" w:name="DESCRIPTORALFABETICO332"/>
      <w:r w:rsidRPr="00924F59">
        <w:rPr>
          <w:rStyle w:val="TextoNormalNegritaCaracter"/>
        </w:rPr>
        <w:t>Aclaración de doctrina constitucional</w:t>
      </w:r>
      <w:bookmarkEnd w:id="1156"/>
      <w:r w:rsidRPr="00924F59">
        <w:rPr>
          <w:rStyle w:val="TextoNormalCaracter"/>
        </w:rPr>
        <w:t xml:space="preserve">, Sentencias </w:t>
      </w:r>
      <w:hyperlink w:anchor="SENTENCIA_2016_3" w:history="1">
        <w:r w:rsidRPr="00924F59">
          <w:rPr>
            <w:rStyle w:val="TextoNormalCaracter"/>
          </w:rPr>
          <w:t>3/2016</w:t>
        </w:r>
      </w:hyperlink>
      <w:r w:rsidRPr="00924F59">
        <w:rPr>
          <w:rStyle w:val="TextoNormalCaracter"/>
        </w:rPr>
        <w:t xml:space="preserve">, f. 1; </w:t>
      </w:r>
      <w:hyperlink w:anchor="SENTENCIA_2016_22" w:history="1">
        <w:r w:rsidRPr="00924F59">
          <w:rPr>
            <w:rStyle w:val="TextoNormalCaracter"/>
          </w:rPr>
          <w:t>22/2016</w:t>
        </w:r>
      </w:hyperlink>
      <w:r w:rsidRPr="00924F59">
        <w:rPr>
          <w:rStyle w:val="TextoNormalCaracter"/>
        </w:rPr>
        <w:t xml:space="preserve">, f. 3; </w:t>
      </w:r>
      <w:hyperlink w:anchor="SENTENCIA_2016_23" w:history="1">
        <w:r w:rsidRPr="00924F59">
          <w:rPr>
            <w:rStyle w:val="TextoNormalCaracter"/>
          </w:rPr>
          <w:t>23/2016</w:t>
        </w:r>
      </w:hyperlink>
      <w:r w:rsidRPr="00924F59">
        <w:rPr>
          <w:rStyle w:val="TextoNormalCaracter"/>
        </w:rPr>
        <w:t xml:space="preserve">, f. 2; </w:t>
      </w:r>
      <w:hyperlink w:anchor="SENTENCIA_2016_34" w:history="1">
        <w:r w:rsidRPr="00924F59">
          <w:rPr>
            <w:rStyle w:val="TextoNormalCaracter"/>
          </w:rPr>
          <w:t>34/2016</w:t>
        </w:r>
      </w:hyperlink>
      <w:r w:rsidRPr="00924F59">
        <w:rPr>
          <w:rStyle w:val="TextoNormalCaracter"/>
        </w:rPr>
        <w:t xml:space="preserve">, f. 2; </w:t>
      </w:r>
      <w:hyperlink w:anchor="SENTENCIA_2016_39" w:history="1">
        <w:r w:rsidRPr="00924F59">
          <w:rPr>
            <w:rStyle w:val="TextoNormalCaracter"/>
          </w:rPr>
          <w:t>39/2016</w:t>
        </w:r>
      </w:hyperlink>
      <w:r w:rsidRPr="00924F59">
        <w:rPr>
          <w:rStyle w:val="TextoNormalCaracter"/>
        </w:rPr>
        <w:t xml:space="preserve">, f. 1; </w:t>
      </w:r>
      <w:hyperlink w:anchor="SENTENCIA_2016_45" w:history="1">
        <w:r w:rsidRPr="00924F59">
          <w:rPr>
            <w:rStyle w:val="TextoNormalCaracter"/>
          </w:rPr>
          <w:t>45/2016</w:t>
        </w:r>
      </w:hyperlink>
      <w:r w:rsidRPr="00924F59">
        <w:rPr>
          <w:rStyle w:val="TextoNormalCaracter"/>
        </w:rPr>
        <w:t xml:space="preserve">, f. 2; </w:t>
      </w:r>
      <w:hyperlink w:anchor="SENTENCIA_2016_49" w:history="1">
        <w:r w:rsidRPr="00924F59">
          <w:rPr>
            <w:rStyle w:val="TextoNormalCaracter"/>
          </w:rPr>
          <w:t>49/2016</w:t>
        </w:r>
      </w:hyperlink>
      <w:r w:rsidRPr="00924F59">
        <w:rPr>
          <w:rStyle w:val="TextoNormalCaracter"/>
        </w:rPr>
        <w:t xml:space="preserve">, f. 2; </w:t>
      </w:r>
      <w:hyperlink w:anchor="SENTENCIA_2016_50" w:history="1">
        <w:r w:rsidRPr="00924F59">
          <w:rPr>
            <w:rStyle w:val="TextoNormalCaracter"/>
          </w:rPr>
          <w:t>50/2016</w:t>
        </w:r>
      </w:hyperlink>
      <w:r w:rsidRPr="00924F59">
        <w:rPr>
          <w:rStyle w:val="TextoNormalCaracter"/>
        </w:rPr>
        <w:t xml:space="preserve">, f. 3; </w:t>
      </w:r>
      <w:hyperlink w:anchor="SENTENCIA_2016_69" w:history="1">
        <w:r w:rsidRPr="00924F59">
          <w:rPr>
            <w:rStyle w:val="TextoNormalCaracter"/>
          </w:rPr>
          <w:t>69/2016</w:t>
        </w:r>
      </w:hyperlink>
      <w:r w:rsidRPr="00924F59">
        <w:rPr>
          <w:rStyle w:val="TextoNormalCaracter"/>
        </w:rPr>
        <w:t xml:space="preserve">, f. 3; </w:t>
      </w:r>
      <w:hyperlink w:anchor="SENTENCIA_2016_103" w:history="1">
        <w:r w:rsidRPr="00924F59">
          <w:rPr>
            <w:rStyle w:val="TextoNormalCaracter"/>
          </w:rPr>
          <w:t>103/2016</w:t>
        </w:r>
      </w:hyperlink>
      <w:r w:rsidRPr="00924F59">
        <w:rPr>
          <w:rStyle w:val="TextoNormalCaracter"/>
        </w:rPr>
        <w:t xml:space="preserve">, f. 2; </w:t>
      </w:r>
      <w:hyperlink w:anchor="SENTENCIA_2016_105" w:history="1">
        <w:r w:rsidRPr="00924F59">
          <w:rPr>
            <w:rStyle w:val="TextoNormalCaracter"/>
          </w:rPr>
          <w:t>105/2016</w:t>
        </w:r>
      </w:hyperlink>
      <w:r w:rsidRPr="00924F59">
        <w:rPr>
          <w:rStyle w:val="TextoNormalCaracter"/>
        </w:rPr>
        <w:t xml:space="preserve">, f. 2; </w:t>
      </w:r>
      <w:hyperlink w:anchor="SENTENCIA_2016_117" w:history="1">
        <w:r w:rsidRPr="00924F59">
          <w:rPr>
            <w:rStyle w:val="TextoNormalCaracter"/>
          </w:rPr>
          <w:t>117/2016</w:t>
        </w:r>
      </w:hyperlink>
      <w:r w:rsidRPr="00924F59">
        <w:rPr>
          <w:rStyle w:val="TextoNormalCaracter"/>
        </w:rPr>
        <w:t>, f. 3.</w:t>
      </w:r>
    </w:p>
    <w:p w:rsidR="00924F59" w:rsidRPr="00924F59" w:rsidRDefault="00924F59" w:rsidP="00924F59">
      <w:pPr>
        <w:pStyle w:val="TextoNormalSangraFrancesa"/>
        <w:rPr>
          <w:rStyle w:val="TextoNormalCaracter"/>
        </w:rPr>
      </w:pPr>
      <w:bookmarkStart w:id="1157" w:name="DESCRIPTORALFABETICO585"/>
      <w:r w:rsidRPr="00924F59">
        <w:rPr>
          <w:rStyle w:val="TextoNormalNegritaCaracter"/>
        </w:rPr>
        <w:t>Acreditación de la unión de hecho</w:t>
      </w:r>
      <w:bookmarkEnd w:id="1157"/>
      <w:r w:rsidRPr="00924F59">
        <w:rPr>
          <w:rStyle w:val="TextoNormalCaracter"/>
        </w:rPr>
        <w:t xml:space="preserve">, Sentencia </w:t>
      </w:r>
      <w:hyperlink w:anchor="SENTENCIA_2016_81" w:history="1">
        <w:r w:rsidRPr="00924F59">
          <w:rPr>
            <w:rStyle w:val="TextoNormalCaracter"/>
          </w:rPr>
          <w:t>81/2016</w:t>
        </w:r>
      </w:hyperlink>
      <w:r w:rsidRPr="00924F59">
        <w:rPr>
          <w:rStyle w:val="TextoNormalCaracter"/>
        </w:rPr>
        <w:t>, f. 2.</w:t>
      </w:r>
    </w:p>
    <w:p w:rsidR="00924F59" w:rsidRPr="00924F59" w:rsidRDefault="00924F59" w:rsidP="00924F59">
      <w:pPr>
        <w:pStyle w:val="TextoNormalSangraFrancesa"/>
        <w:rPr>
          <w:rStyle w:val="TextoNormalCaracter"/>
        </w:rPr>
      </w:pPr>
      <w:bookmarkStart w:id="1158" w:name="DESCRIPTORALFABETICO245"/>
      <w:r w:rsidRPr="00924F59">
        <w:rPr>
          <w:rStyle w:val="TextoNormalNegritaCaracter"/>
        </w:rPr>
        <w:t>Acreditación por el Abogado del Estado del perjuicio irreparable</w:t>
      </w:r>
      <w:bookmarkEnd w:id="1158"/>
      <w:r w:rsidRPr="00924F59">
        <w:rPr>
          <w:rStyle w:val="TextoNormalCaracter"/>
        </w:rPr>
        <w:t xml:space="preserve">, Autos </w:t>
      </w:r>
      <w:hyperlink w:anchor="AUTO_2016_72" w:history="1">
        <w:r w:rsidRPr="00924F59">
          <w:rPr>
            <w:rStyle w:val="TextoNormalCaracter"/>
          </w:rPr>
          <w:t>72/2016</w:t>
        </w:r>
      </w:hyperlink>
      <w:r w:rsidRPr="00924F59">
        <w:rPr>
          <w:rStyle w:val="TextoNormalCaracter"/>
        </w:rPr>
        <w:t xml:space="preserve">, ff. 3, 4, VP; </w:t>
      </w:r>
      <w:hyperlink w:anchor="AUTO_2016_89" w:history="1">
        <w:r w:rsidRPr="00924F59">
          <w:rPr>
            <w:rStyle w:val="TextoNormalCaracter"/>
          </w:rPr>
          <w:t>89/2016</w:t>
        </w:r>
      </w:hyperlink>
      <w:r w:rsidRPr="00924F59">
        <w:rPr>
          <w:rStyle w:val="TextoNormalCaracter"/>
        </w:rPr>
        <w:t xml:space="preserve">, ff. 2 a 7; </w:t>
      </w:r>
      <w:hyperlink w:anchor="AUTO_2016_90" w:history="1">
        <w:r w:rsidRPr="00924F59">
          <w:rPr>
            <w:rStyle w:val="TextoNormalCaracter"/>
          </w:rPr>
          <w:t>90/2016</w:t>
        </w:r>
      </w:hyperlink>
      <w:r w:rsidRPr="00924F59">
        <w:rPr>
          <w:rStyle w:val="TextoNormalCaracter"/>
        </w:rPr>
        <w:t xml:space="preserve">, ff. 2 a 6; </w:t>
      </w:r>
      <w:hyperlink w:anchor="AUTO_2016_130" w:history="1">
        <w:r w:rsidRPr="00924F59">
          <w:rPr>
            <w:rStyle w:val="TextoNormalCaracter"/>
          </w:rPr>
          <w:t>130/2016</w:t>
        </w:r>
      </w:hyperlink>
      <w:r w:rsidRPr="00924F59">
        <w:rPr>
          <w:rStyle w:val="TextoNormalCaracter"/>
        </w:rPr>
        <w:t>, ff. 2 a 9.</w:t>
      </w:r>
    </w:p>
    <w:p w:rsidR="00924F59" w:rsidRPr="00924F59" w:rsidRDefault="00924F59" w:rsidP="00924F59">
      <w:pPr>
        <w:pStyle w:val="TextoNormalSangraFrancesa"/>
        <w:rPr>
          <w:rStyle w:val="TextoNormalCaracter"/>
        </w:rPr>
      </w:pPr>
      <w:bookmarkStart w:id="1159" w:name="DESCRIPTORALFABETICO625"/>
      <w:r w:rsidRPr="00924F59">
        <w:rPr>
          <w:rStyle w:val="TextoNormalNegritaCaracter"/>
        </w:rPr>
        <w:t>Actividad urbanística</w:t>
      </w:r>
      <w:bookmarkEnd w:id="1159"/>
      <w:r w:rsidRPr="00924F59">
        <w:rPr>
          <w:rStyle w:val="TextoNormalCaracter"/>
        </w:rPr>
        <w:t xml:space="preserve">, Sentencia </w:t>
      </w:r>
      <w:hyperlink w:anchor="SENTENCIA_2016_5" w:history="1">
        <w:r w:rsidRPr="00924F59">
          <w:rPr>
            <w:rStyle w:val="TextoNormalCaracter"/>
          </w:rPr>
          <w:t>5/2016</w:t>
        </w:r>
      </w:hyperlink>
      <w:r w:rsidRPr="00924F59">
        <w:rPr>
          <w:rStyle w:val="TextoNormalCaracter"/>
        </w:rPr>
        <w:t>, f. 1.</w:t>
      </w:r>
    </w:p>
    <w:p w:rsidR="00924F59" w:rsidRPr="00924F59" w:rsidRDefault="00924F59" w:rsidP="00924F59">
      <w:pPr>
        <w:pStyle w:val="TextoNormalSangraFrancesa"/>
        <w:rPr>
          <w:rStyle w:val="TextoNormalCaracter"/>
        </w:rPr>
      </w:pPr>
      <w:bookmarkStart w:id="1160" w:name="DESCRIPTORALFABETICO706"/>
      <w:r w:rsidRPr="00924F59">
        <w:rPr>
          <w:rStyle w:val="TextoNormalNegritaCaracter"/>
        </w:rPr>
        <w:t>Actos con fuerza de ley</w:t>
      </w:r>
      <w:bookmarkEnd w:id="1160"/>
      <w:r w:rsidRPr="00924F59">
        <w:rPr>
          <w:rStyle w:val="TextoNormalCaracter"/>
        </w:rPr>
        <w:t xml:space="preserve">, Sentencia </w:t>
      </w:r>
      <w:hyperlink w:anchor="SENTENCIA_2016_83" w:history="1">
        <w:r w:rsidRPr="00924F59">
          <w:rPr>
            <w:rStyle w:val="TextoNormalCaracter"/>
          </w:rPr>
          <w:t>83/2016</w:t>
        </w:r>
      </w:hyperlink>
      <w:r w:rsidRPr="00924F59">
        <w:rPr>
          <w:rStyle w:val="TextoNormalCaracter"/>
        </w:rPr>
        <w:t>, ff. 1, 4, 6, 9 a 11.</w:t>
      </w:r>
    </w:p>
    <w:p w:rsidR="00924F59" w:rsidRPr="00924F59" w:rsidRDefault="00924F59" w:rsidP="00924F59">
      <w:pPr>
        <w:pStyle w:val="TextoNormalSangraFrancesa"/>
        <w:rPr>
          <w:rStyle w:val="TextoNormalCaracter"/>
        </w:rPr>
      </w:pPr>
      <w:bookmarkStart w:id="1161" w:name="DESCRIPTORALFABETICO381"/>
      <w:r w:rsidRPr="00924F59">
        <w:rPr>
          <w:rStyle w:val="TextoNormalNegritaCaracter"/>
        </w:rPr>
        <w:t>Actos del Gobierno</w:t>
      </w:r>
      <w:bookmarkEnd w:id="1161"/>
      <w:r w:rsidRPr="00924F59">
        <w:rPr>
          <w:rStyle w:val="TextoNormalCaracter"/>
        </w:rPr>
        <w:t xml:space="preserve">, Sentencia </w:t>
      </w:r>
      <w:hyperlink w:anchor="SENTENCIA_2016_83" w:history="1">
        <w:r w:rsidRPr="00924F59">
          <w:rPr>
            <w:rStyle w:val="TextoNormalCaracter"/>
          </w:rPr>
          <w:t>83/2016</w:t>
        </w:r>
      </w:hyperlink>
      <w:r w:rsidRPr="00924F59">
        <w:rPr>
          <w:rStyle w:val="TextoNormalCaracter"/>
        </w:rPr>
        <w:t>, f. 12.</w:t>
      </w:r>
    </w:p>
    <w:p w:rsidR="00924F59" w:rsidRPr="00924F59" w:rsidRDefault="00924F59" w:rsidP="00924F59">
      <w:pPr>
        <w:pStyle w:val="TextoNormalSangraFrancesa"/>
        <w:rPr>
          <w:rStyle w:val="TextoNormalCaracter"/>
        </w:rPr>
      </w:pPr>
      <w:bookmarkStart w:id="1162" w:name="DESCRIPTORALFABETICO134"/>
      <w:r w:rsidRPr="00924F59">
        <w:rPr>
          <w:rStyle w:val="TextoNormalNegritaCaracter"/>
        </w:rPr>
        <w:t>Actos ilícitos o abusivos en el ejercicio del derecho a la huelga</w:t>
      </w:r>
      <w:bookmarkEnd w:id="1162"/>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 ff. 2 a 4, VP I, VP II.</w:t>
      </w:r>
    </w:p>
    <w:p w:rsidR="00924F59" w:rsidRPr="00924F59" w:rsidRDefault="00924F59" w:rsidP="00924F59">
      <w:pPr>
        <w:pStyle w:val="TextoNormalSangraFrancesa"/>
        <w:rPr>
          <w:rStyle w:val="TextoNormalCaracter"/>
        </w:rPr>
      </w:pPr>
      <w:bookmarkStart w:id="1163" w:name="DESCRIPTORALFABETICO800"/>
      <w:r w:rsidRPr="00924F59">
        <w:rPr>
          <w:rStyle w:val="TextoNormalNegritaCaracter"/>
        </w:rPr>
        <w:t>Actos no sometidos a la jurisdicción contencioso-administrativa</w:t>
      </w:r>
      <w:bookmarkEnd w:id="1163"/>
      <w:r w:rsidRPr="00924F59">
        <w:rPr>
          <w:rStyle w:val="TextoNormalCaracter"/>
        </w:rPr>
        <w:t xml:space="preserve">, Sentencia </w:t>
      </w:r>
      <w:hyperlink w:anchor="SENTENCIA_2016_83" w:history="1">
        <w:r w:rsidRPr="00924F59">
          <w:rPr>
            <w:rStyle w:val="TextoNormalCaracter"/>
          </w:rPr>
          <w:t>83/2016</w:t>
        </w:r>
      </w:hyperlink>
      <w:r w:rsidRPr="00924F59">
        <w:rPr>
          <w:rStyle w:val="TextoNormalCaracter"/>
        </w:rPr>
        <w:t>, ff. 1, 4, 6 a 12.</w:t>
      </w:r>
    </w:p>
    <w:p w:rsidR="00924F59" w:rsidRPr="00924F59" w:rsidRDefault="00924F59" w:rsidP="00924F59">
      <w:pPr>
        <w:pStyle w:val="TextoNormalSangraFrancesa"/>
        <w:rPr>
          <w:rStyle w:val="TextoNormalCaracter"/>
        </w:rPr>
      </w:pPr>
      <w:bookmarkStart w:id="1164" w:name="DESCRIPTORALFABETICO807"/>
      <w:r w:rsidRPr="00924F59">
        <w:rPr>
          <w:rStyle w:val="TextoNormalNegritaCaracter"/>
        </w:rPr>
        <w:t>Actuación judicial de oficio</w:t>
      </w:r>
      <w:bookmarkEnd w:id="1164"/>
      <w:r w:rsidRPr="00924F59">
        <w:rPr>
          <w:rStyle w:val="TextoNormalCaracter"/>
        </w:rPr>
        <w:t xml:space="preserve">, Auto </w:t>
      </w:r>
      <w:hyperlink w:anchor="AUTO_2016_67" w:history="1">
        <w:r w:rsidRPr="00924F59">
          <w:rPr>
            <w:rStyle w:val="TextoNormalCaracter"/>
          </w:rPr>
          <w:t>67/2016</w:t>
        </w:r>
      </w:hyperlink>
      <w:r w:rsidRPr="00924F59">
        <w:rPr>
          <w:rStyle w:val="TextoNormalCaracter"/>
        </w:rPr>
        <w:t>, f. 2.</w:t>
      </w:r>
    </w:p>
    <w:p w:rsidR="00924F59" w:rsidRPr="00924F59" w:rsidRDefault="00924F59" w:rsidP="00924F59">
      <w:pPr>
        <w:pStyle w:val="TextoNormalSangraFrancesa"/>
        <w:rPr>
          <w:rStyle w:val="TextoNormalCaracter"/>
        </w:rPr>
      </w:pPr>
      <w:bookmarkStart w:id="1165" w:name="DESCRIPTORALFABETICO648"/>
      <w:r w:rsidRPr="00924F59">
        <w:rPr>
          <w:rStyle w:val="TextoNormalNegritaCaracter"/>
        </w:rPr>
        <w:t>Actualización del régimen foral</w:t>
      </w:r>
      <w:bookmarkEnd w:id="1165"/>
      <w:r w:rsidRPr="00924F59">
        <w:rPr>
          <w:rStyle w:val="TextoNormalCaracter"/>
        </w:rPr>
        <w:t xml:space="preserve">, Sentencia </w:t>
      </w:r>
      <w:hyperlink w:anchor="SENTENCIA_2016_36" w:history="1">
        <w:r w:rsidRPr="00924F59">
          <w:rPr>
            <w:rStyle w:val="TextoNormalCaracter"/>
          </w:rPr>
          <w:t>36/2016</w:t>
        </w:r>
      </w:hyperlink>
      <w:r w:rsidRPr="00924F59">
        <w:rPr>
          <w:rStyle w:val="TextoNormalCaracter"/>
        </w:rPr>
        <w:t>, f. 3.</w:t>
      </w:r>
    </w:p>
    <w:p w:rsidR="00924F59" w:rsidRPr="00924F59" w:rsidRDefault="00924F59" w:rsidP="00924F59">
      <w:pPr>
        <w:pStyle w:val="TextoNormalSangraFrancesa"/>
        <w:rPr>
          <w:rStyle w:val="TextoNormalCaracter"/>
        </w:rPr>
      </w:pPr>
      <w:bookmarkStart w:id="1166" w:name="DESCRIPTORALFABETICO392"/>
      <w:r w:rsidRPr="00924F59">
        <w:rPr>
          <w:rStyle w:val="TextoNormalNegritaCaracter"/>
        </w:rPr>
        <w:t>Acuerdo de la Mesa inadmitiendo iniciativa parlamentaria</w:t>
      </w:r>
      <w:bookmarkEnd w:id="1166"/>
      <w:r w:rsidRPr="00924F59">
        <w:rPr>
          <w:rStyle w:val="TextoNormalCaracter"/>
        </w:rPr>
        <w:t xml:space="preserve">, Sentencia </w:t>
      </w:r>
      <w:hyperlink w:anchor="SENTENCIA_2016_10" w:history="1">
        <w:r w:rsidRPr="00924F59">
          <w:rPr>
            <w:rStyle w:val="TextoNormalCaracter"/>
          </w:rPr>
          <w:t>10/2016</w:t>
        </w:r>
      </w:hyperlink>
      <w:r w:rsidRPr="00924F59">
        <w:rPr>
          <w:rStyle w:val="TextoNormalCaracter"/>
        </w:rPr>
        <w:t>, ff. 1, 3 a 5.</w:t>
      </w:r>
    </w:p>
    <w:p w:rsidR="00924F59" w:rsidRPr="00924F59" w:rsidRDefault="00924F59" w:rsidP="00924F59">
      <w:pPr>
        <w:pStyle w:val="TextoNormalSangraFrancesa"/>
        <w:rPr>
          <w:rStyle w:val="TextoNormalCaracter"/>
        </w:rPr>
      </w:pPr>
      <w:bookmarkStart w:id="1167" w:name="DESCRIPTORALFABETICO391"/>
      <w:r w:rsidRPr="00924F59">
        <w:rPr>
          <w:rStyle w:val="TextoNormalNegritaCaracter"/>
        </w:rPr>
        <w:t>Acuerdos de las mesas parlamentarias</w:t>
      </w:r>
      <w:bookmarkEnd w:id="1167"/>
      <w:r w:rsidRPr="00924F59">
        <w:rPr>
          <w:rStyle w:val="TextoNormalCaracter"/>
        </w:rPr>
        <w:t xml:space="preserve">, Sentencias </w:t>
      </w:r>
      <w:hyperlink w:anchor="SENTENCIA_2016_107" w:history="1">
        <w:r w:rsidRPr="00924F59">
          <w:rPr>
            <w:rStyle w:val="TextoNormalCaracter"/>
          </w:rPr>
          <w:t>107/2016</w:t>
        </w:r>
      </w:hyperlink>
      <w:r w:rsidRPr="00924F59">
        <w:rPr>
          <w:rStyle w:val="TextoNormalCaracter"/>
        </w:rPr>
        <w:t xml:space="preserve">, ff. 1 a 4; </w:t>
      </w:r>
      <w:hyperlink w:anchor="SENTENCIA_2016_108" w:history="1">
        <w:r w:rsidRPr="00924F59">
          <w:rPr>
            <w:rStyle w:val="TextoNormalCaracter"/>
          </w:rPr>
          <w:t>108/2016</w:t>
        </w:r>
      </w:hyperlink>
      <w:r w:rsidRPr="00924F59">
        <w:rPr>
          <w:rStyle w:val="TextoNormalCaracter"/>
        </w:rPr>
        <w:t xml:space="preserve">, ff. 1 a 4; </w:t>
      </w:r>
      <w:hyperlink w:anchor="SENTENCIA_2016_109" w:history="1">
        <w:r w:rsidRPr="00924F59">
          <w:rPr>
            <w:rStyle w:val="TextoNormalCaracter"/>
          </w:rPr>
          <w:t>109/2016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168" w:name="DESCRIPTORALFABETICO363"/>
      <w:r w:rsidRPr="00924F59">
        <w:rPr>
          <w:rStyle w:val="TextoNormalNegritaCaracter"/>
        </w:rPr>
        <w:t>Acuerdos municipales</w:t>
      </w:r>
      <w:bookmarkEnd w:id="1168"/>
      <w:r w:rsidRPr="00924F59">
        <w:rPr>
          <w:rStyle w:val="TextoNormalCaracter"/>
        </w:rPr>
        <w:t xml:space="preserve">, Sentencia </w:t>
      </w:r>
      <w:hyperlink w:anchor="SENTENCIA_2016_40" w:history="1">
        <w:r w:rsidRPr="00924F59">
          <w:rPr>
            <w:rStyle w:val="TextoNormalCaracter"/>
          </w:rPr>
          <w:t>40/2016</w:t>
        </w:r>
      </w:hyperlink>
      <w:r w:rsidRPr="00924F59">
        <w:rPr>
          <w:rStyle w:val="TextoNormalCaracter"/>
        </w:rPr>
        <w:t>, ff. 1, 2.</w:t>
      </w:r>
    </w:p>
    <w:p w:rsidR="00924F59" w:rsidRPr="00924F59" w:rsidRDefault="00924F59" w:rsidP="00924F59">
      <w:pPr>
        <w:pStyle w:val="TextoNormalSangraFrancesa"/>
        <w:rPr>
          <w:rStyle w:val="TextoNormalCaracter"/>
        </w:rPr>
      </w:pPr>
      <w:bookmarkStart w:id="1169" w:name="DESCRIPTORALFABETICO251"/>
      <w:r w:rsidRPr="00924F59">
        <w:rPr>
          <w:rStyle w:val="TextoNormalNegritaCaracter"/>
        </w:rPr>
        <w:t>Acumulación de recursos de amparo</w:t>
      </w:r>
      <w:bookmarkEnd w:id="1169"/>
      <w:r w:rsidRPr="00924F59">
        <w:rPr>
          <w:rStyle w:val="TextoNormalCaracter"/>
        </w:rPr>
        <w:t xml:space="preserve">, Autos </w:t>
      </w:r>
      <w:hyperlink w:anchor="AUTO_2016_82" w:history="1">
        <w:r w:rsidRPr="00924F59">
          <w:rPr>
            <w:rStyle w:val="TextoNormalCaracter"/>
          </w:rPr>
          <w:t>82/2016</w:t>
        </w:r>
      </w:hyperlink>
      <w:r w:rsidRPr="00924F59">
        <w:rPr>
          <w:rStyle w:val="TextoNormalCaracter"/>
        </w:rPr>
        <w:t xml:space="preserve">, f. único; </w:t>
      </w:r>
      <w:hyperlink w:anchor="AUTO_2016_126" w:history="1">
        <w:r w:rsidRPr="00924F59">
          <w:rPr>
            <w:rStyle w:val="TextoNormalCaracter"/>
          </w:rPr>
          <w:t>126/2016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170" w:name="DESCRIPTORALFABETICO362"/>
      <w:r w:rsidRPr="00924F59">
        <w:rPr>
          <w:rStyle w:val="TextoNormalNegritaCaracter"/>
        </w:rPr>
        <w:t>Administración electrónica</w:t>
      </w:r>
      <w:bookmarkEnd w:id="1170"/>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 11.</w:t>
      </w:r>
    </w:p>
    <w:p w:rsidR="00924F59" w:rsidRPr="00924F59" w:rsidRDefault="00924F59" w:rsidP="00924F59">
      <w:pPr>
        <w:pStyle w:val="TextoNormalSangraFrancesa"/>
        <w:rPr>
          <w:rStyle w:val="TextoNormalCaracter"/>
        </w:rPr>
      </w:pPr>
      <w:bookmarkStart w:id="1171" w:name="DESCRIPTORALFABETICO787"/>
      <w:r w:rsidRPr="00924F59">
        <w:rPr>
          <w:rStyle w:val="TextoNormalNegritaCaracter"/>
        </w:rPr>
        <w:t>Adscripción de trabajadores al cumplimiento de servicios mínimos</w:t>
      </w:r>
      <w:bookmarkEnd w:id="1171"/>
      <w:r w:rsidRPr="00924F59">
        <w:rPr>
          <w:rStyle w:val="TextoNormalCaracter"/>
        </w:rPr>
        <w:t xml:space="preserve">, Sentencia </w:t>
      </w:r>
      <w:hyperlink w:anchor="SENTENCIA_2016_45" w:history="1">
        <w:r w:rsidRPr="00924F59">
          <w:rPr>
            <w:rStyle w:val="TextoNormalCaracter"/>
          </w:rPr>
          <w:t>45/2016</w:t>
        </w:r>
      </w:hyperlink>
      <w:r w:rsidRPr="00924F59">
        <w:rPr>
          <w:rStyle w:val="TextoNormalCaracter"/>
        </w:rPr>
        <w:t>, ff. 1 a 5.</w:t>
      </w:r>
    </w:p>
    <w:p w:rsidR="00924F59" w:rsidRPr="00924F59" w:rsidRDefault="00924F59" w:rsidP="00924F59">
      <w:pPr>
        <w:pStyle w:val="TextoNormalSangraFrancesa"/>
        <w:rPr>
          <w:rStyle w:val="TextoNormalCaracter"/>
        </w:rPr>
      </w:pPr>
      <w:bookmarkStart w:id="1172" w:name="DESCRIPTORALFABETICO613"/>
      <w:r w:rsidRPr="00924F59">
        <w:rPr>
          <w:rStyle w:val="TextoNormalNegritaCaracter"/>
        </w:rPr>
        <w:t>Aeropuertos de interés general</w:t>
      </w:r>
      <w:bookmarkEnd w:id="1172"/>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3, 6, 9, 10.</w:t>
      </w:r>
    </w:p>
    <w:p w:rsidR="00924F59" w:rsidRPr="00924F59" w:rsidRDefault="00924F59" w:rsidP="00924F59">
      <w:pPr>
        <w:pStyle w:val="TextoNormalSangraFrancesa"/>
        <w:rPr>
          <w:rStyle w:val="TextoNormalCaracter"/>
        </w:rPr>
      </w:pPr>
      <w:bookmarkStart w:id="1173" w:name="DESCRIPTORALFABETICO538"/>
      <w:r w:rsidRPr="00924F59">
        <w:rPr>
          <w:rStyle w:val="TextoNormalNegritaCaracter"/>
        </w:rPr>
        <w:t>Afectación a un servicio público</w:t>
      </w:r>
      <w:bookmarkEnd w:id="1173"/>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ff. 8, 10.</w:t>
      </w:r>
    </w:p>
    <w:p w:rsidR="00924F59" w:rsidRPr="00924F59" w:rsidRDefault="00924F59" w:rsidP="00924F59">
      <w:pPr>
        <w:pStyle w:val="TextoNormalSangraFrancesa"/>
        <w:rPr>
          <w:rStyle w:val="TextoNormalCaracter"/>
        </w:rPr>
      </w:pPr>
      <w:bookmarkStart w:id="1174" w:name="DESCRIPTORALFABETICO732"/>
      <w:r w:rsidRPr="00924F59">
        <w:rPr>
          <w:rStyle w:val="TextoNormalNegritaCaracter"/>
        </w:rPr>
        <w:t>Agotamiento de la vía administrativa</w:t>
      </w:r>
      <w:bookmarkEnd w:id="1174"/>
      <w:r w:rsidRPr="00924F59">
        <w:rPr>
          <w:rStyle w:val="TextoNormalCaracter"/>
        </w:rPr>
        <w:t xml:space="preserve">, Sentencia </w:t>
      </w:r>
      <w:hyperlink w:anchor="SENTENCIA_2016_91" w:history="1">
        <w:r w:rsidRPr="00924F59">
          <w:rPr>
            <w:rStyle w:val="TextoNormalCaracter"/>
          </w:rPr>
          <w:t>91/2016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175" w:name="DESCRIPTORALFABETICO330"/>
      <w:r w:rsidRPr="00924F59">
        <w:rPr>
          <w:rStyle w:val="TextoNormalNegritaCaracter"/>
        </w:rPr>
        <w:t>Agotamiento de la vía judicial</w:t>
      </w:r>
      <w:bookmarkEnd w:id="1175"/>
      <w:r w:rsidRPr="00924F59">
        <w:rPr>
          <w:rStyle w:val="TextoNormalCaracter"/>
        </w:rPr>
        <w:t xml:space="preserve">, Sentencias </w:t>
      </w:r>
      <w:hyperlink w:anchor="SENTENCIA_2016_65" w:history="1">
        <w:r w:rsidRPr="00924F59">
          <w:rPr>
            <w:rStyle w:val="TextoNormalCaracter"/>
          </w:rPr>
          <w:t>65/2016</w:t>
        </w:r>
      </w:hyperlink>
      <w:r w:rsidRPr="00924F59">
        <w:rPr>
          <w:rStyle w:val="TextoNormalCaracter"/>
        </w:rPr>
        <w:t xml:space="preserve">, f. 3; </w:t>
      </w:r>
      <w:hyperlink w:anchor="SENTENCIA_2016_89" w:history="1">
        <w:r w:rsidRPr="00924F59">
          <w:rPr>
            <w:rStyle w:val="TextoNormalCaracter"/>
          </w:rPr>
          <w:t>89/2016</w:t>
        </w:r>
      </w:hyperlink>
      <w:r w:rsidRPr="00924F59">
        <w:rPr>
          <w:rStyle w:val="TextoNormalCaracter"/>
        </w:rPr>
        <w:t>, f. 3.</w:t>
      </w:r>
    </w:p>
    <w:p w:rsidR="00924F59" w:rsidRPr="00924F59" w:rsidRDefault="00924F59" w:rsidP="00924F59">
      <w:pPr>
        <w:pStyle w:val="TextoNormalSangraFrancesa"/>
        <w:rPr>
          <w:rStyle w:val="TextoNormalCaracter"/>
        </w:rPr>
      </w:pPr>
      <w:bookmarkStart w:id="1176" w:name="DESCRIPTORALFABETICO294"/>
      <w:r w:rsidRPr="00924F59">
        <w:rPr>
          <w:rStyle w:val="TextoNormalNegritaCaracter"/>
        </w:rPr>
        <w:t>Alcance de la declaración de inconstitucionalidad</w:t>
      </w:r>
      <w:bookmarkEnd w:id="1176"/>
      <w:r w:rsidRPr="00924F59">
        <w:rPr>
          <w:rStyle w:val="TextoNormalCaracter"/>
        </w:rPr>
        <w:t xml:space="preserve">, Sentencia </w:t>
      </w:r>
      <w:hyperlink w:anchor="SENTENCIA_2016_110" w:history="1">
        <w:r w:rsidRPr="00924F59">
          <w:rPr>
            <w:rStyle w:val="TextoNormalCaracter"/>
          </w:rPr>
          <w:t>110/2016</w:t>
        </w:r>
      </w:hyperlink>
      <w:r w:rsidRPr="00924F59">
        <w:rPr>
          <w:rStyle w:val="TextoNormalCaracter"/>
        </w:rPr>
        <w:t>, ff. 7 a 10.</w:t>
      </w:r>
    </w:p>
    <w:p w:rsidR="00924F59" w:rsidRPr="00924F59" w:rsidRDefault="00924F59" w:rsidP="00924F59">
      <w:pPr>
        <w:pStyle w:val="TextoNormalSangraFrancesa"/>
        <w:rPr>
          <w:rStyle w:val="TextoNormalCaracter"/>
        </w:rPr>
      </w:pPr>
      <w:bookmarkStart w:id="1177" w:name="DESCRIPTORALFABETICO275"/>
      <w:r w:rsidRPr="00924F59">
        <w:rPr>
          <w:rStyle w:val="TextoNormalNegritaCaracter"/>
        </w:rPr>
        <w:t>Alcance del fallo en conflictos positivos de competencia</w:t>
      </w:r>
      <w:bookmarkEnd w:id="1177"/>
      <w:r w:rsidRPr="00924F59">
        <w:rPr>
          <w:rStyle w:val="TextoNormalCaracter"/>
        </w:rPr>
        <w:t xml:space="preserve">, Sentencia </w:t>
      </w:r>
      <w:hyperlink w:anchor="SENTENCIA_2016_87" w:history="1">
        <w:r w:rsidRPr="00924F59">
          <w:rPr>
            <w:rStyle w:val="TextoNormalCaracter"/>
          </w:rPr>
          <w:t>87/2016</w:t>
        </w:r>
      </w:hyperlink>
      <w:r w:rsidRPr="00924F59">
        <w:rPr>
          <w:rStyle w:val="TextoNormalCaracter"/>
        </w:rPr>
        <w:t>, f. 8.</w:t>
      </w:r>
    </w:p>
    <w:p w:rsidR="00924F59" w:rsidRPr="00924F59" w:rsidRDefault="00924F59" w:rsidP="00924F59">
      <w:pPr>
        <w:pStyle w:val="TextoNormalSangraFrancesa"/>
        <w:rPr>
          <w:rStyle w:val="TextoNormalCaracter"/>
        </w:rPr>
      </w:pPr>
      <w:bookmarkStart w:id="1178" w:name="DESCRIPTORALFABETICO279"/>
      <w:r w:rsidRPr="00924F59">
        <w:rPr>
          <w:rStyle w:val="TextoNormalNegritaCaracter"/>
        </w:rPr>
        <w:t>Alcance del fallo en cuestión de inconstitucionalidad</w:t>
      </w:r>
      <w:bookmarkEnd w:id="1178"/>
      <w:r w:rsidRPr="00924F59">
        <w:rPr>
          <w:rStyle w:val="TextoNormalCaracter"/>
        </w:rPr>
        <w:t xml:space="preserve">, Sentencias </w:t>
      </w:r>
      <w:hyperlink w:anchor="SENTENCIA_2016_25" w:history="1">
        <w:r w:rsidRPr="00924F59">
          <w:rPr>
            <w:rStyle w:val="TextoNormalCaracter"/>
          </w:rPr>
          <w:t>25/2016</w:t>
        </w:r>
      </w:hyperlink>
      <w:r w:rsidRPr="00924F59">
        <w:rPr>
          <w:rStyle w:val="TextoNormalCaracter"/>
        </w:rPr>
        <w:t xml:space="preserve">, f. 5; </w:t>
      </w:r>
      <w:hyperlink w:anchor="SENTENCIA_2016_121" w:history="1">
        <w:r w:rsidRPr="00924F59">
          <w:rPr>
            <w:rStyle w:val="TextoNormalCaracter"/>
          </w:rPr>
          <w:t>121/2016</w:t>
        </w:r>
      </w:hyperlink>
      <w:r w:rsidRPr="00924F59">
        <w:rPr>
          <w:rStyle w:val="TextoNormalCaracter"/>
        </w:rPr>
        <w:t>, f. 6.</w:t>
      </w:r>
    </w:p>
    <w:p w:rsidR="00924F59" w:rsidRPr="00924F59" w:rsidRDefault="00924F59" w:rsidP="00924F59">
      <w:pPr>
        <w:pStyle w:val="TextoNormalSangraFrancesa"/>
        <w:rPr>
          <w:rStyle w:val="TextoNormalCaracter"/>
        </w:rPr>
      </w:pPr>
      <w:bookmarkStart w:id="1179" w:name="DESCRIPTORALFABETICO353"/>
      <w:r w:rsidRPr="00924F59">
        <w:rPr>
          <w:rStyle w:val="TextoNormalNegritaCaracter"/>
        </w:rPr>
        <w:t>Alcance del fallo en recurso de amparo</w:t>
      </w:r>
      <w:bookmarkEnd w:id="1179"/>
      <w:r w:rsidRPr="00924F59">
        <w:rPr>
          <w:rStyle w:val="TextoNormalCaracter"/>
        </w:rPr>
        <w:t xml:space="preserve">, Sentencias </w:t>
      </w:r>
      <w:hyperlink w:anchor="SENTENCIA_2016_10" w:history="1">
        <w:r w:rsidRPr="00924F59">
          <w:rPr>
            <w:rStyle w:val="TextoNormalCaracter"/>
          </w:rPr>
          <w:t>10/2016</w:t>
        </w:r>
      </w:hyperlink>
      <w:r w:rsidRPr="00924F59">
        <w:rPr>
          <w:rStyle w:val="TextoNormalCaracter"/>
        </w:rPr>
        <w:t xml:space="preserve">, f. 6; </w:t>
      </w:r>
      <w:hyperlink w:anchor="SENTENCIA_2016_78" w:history="1">
        <w:r w:rsidRPr="00924F59">
          <w:rPr>
            <w:rStyle w:val="TextoNormalCaracter"/>
          </w:rPr>
          <w:t>78/2016</w:t>
        </w:r>
      </w:hyperlink>
      <w:r w:rsidRPr="00924F59">
        <w:rPr>
          <w:rStyle w:val="TextoNormalCaracter"/>
        </w:rPr>
        <w:t>, f. 7.</w:t>
      </w:r>
    </w:p>
    <w:p w:rsidR="00924F59" w:rsidRPr="00924F59" w:rsidRDefault="00924F59" w:rsidP="00924F59">
      <w:pPr>
        <w:pStyle w:val="TextoNormalSangraFrancesa"/>
        <w:rPr>
          <w:rStyle w:val="TextoNormalCaracter"/>
        </w:rPr>
      </w:pPr>
      <w:bookmarkStart w:id="1180" w:name="DESCRIPTORALFABETICO344"/>
      <w:r w:rsidRPr="00924F59">
        <w:rPr>
          <w:rStyle w:val="TextoNormalNegritaCaracter"/>
        </w:rPr>
        <w:t>Alegación de inconstitucionalidad de la ley</w:t>
      </w:r>
      <w:bookmarkEnd w:id="1180"/>
      <w:r w:rsidRPr="00924F59">
        <w:rPr>
          <w:rStyle w:val="TextoNormalCaracter"/>
        </w:rPr>
        <w:t xml:space="preserve">, Autos </w:t>
      </w:r>
      <w:hyperlink w:anchor="AUTO_2016_76" w:history="1">
        <w:r w:rsidRPr="00924F59">
          <w:rPr>
            <w:rStyle w:val="TextoNormalCaracter"/>
          </w:rPr>
          <w:t>76/2016</w:t>
        </w:r>
      </w:hyperlink>
      <w:r w:rsidRPr="00924F59">
        <w:rPr>
          <w:rStyle w:val="TextoNormalCaracter"/>
        </w:rPr>
        <w:t xml:space="preserve">, f. 2; </w:t>
      </w:r>
      <w:hyperlink w:anchor="AUTO_2016_77" w:history="1">
        <w:r w:rsidRPr="00924F59">
          <w:rPr>
            <w:rStyle w:val="TextoNormalCaracter"/>
          </w:rPr>
          <w:t>77/2016</w:t>
        </w:r>
      </w:hyperlink>
      <w:r w:rsidRPr="00924F59">
        <w:rPr>
          <w:rStyle w:val="TextoNormalCaracter"/>
        </w:rPr>
        <w:t xml:space="preserve">, f. 4; </w:t>
      </w:r>
      <w:hyperlink w:anchor="AUTO_2016_78" w:history="1">
        <w:r w:rsidRPr="00924F59">
          <w:rPr>
            <w:rStyle w:val="TextoNormalCaracter"/>
          </w:rPr>
          <w:t>78/2016</w:t>
        </w:r>
      </w:hyperlink>
      <w:r w:rsidRPr="00924F59">
        <w:rPr>
          <w:rStyle w:val="TextoNormalCaracter"/>
        </w:rPr>
        <w:t xml:space="preserve">, f. 2; </w:t>
      </w:r>
      <w:hyperlink w:anchor="AUTO_2016_85" w:history="1">
        <w:r w:rsidRPr="00924F59">
          <w:rPr>
            <w:rStyle w:val="TextoNormalCaracter"/>
          </w:rPr>
          <w:t>85/2016</w:t>
        </w:r>
      </w:hyperlink>
      <w:r w:rsidRPr="00924F59">
        <w:rPr>
          <w:rStyle w:val="TextoNormalCaracter"/>
        </w:rPr>
        <w:t xml:space="preserve">, f. 2; </w:t>
      </w:r>
      <w:hyperlink w:anchor="AUTO_2016_86" w:history="1">
        <w:r w:rsidRPr="00924F59">
          <w:rPr>
            <w:rStyle w:val="TextoNormalCaracter"/>
          </w:rPr>
          <w:t>86/2016</w:t>
        </w:r>
      </w:hyperlink>
      <w:r w:rsidRPr="00924F59">
        <w:rPr>
          <w:rStyle w:val="TextoNormalCaracter"/>
        </w:rPr>
        <w:t xml:space="preserve">, ff. 3, 4; </w:t>
      </w:r>
      <w:hyperlink w:anchor="AUTO_2016_87" w:history="1">
        <w:r w:rsidRPr="00924F59">
          <w:rPr>
            <w:rStyle w:val="TextoNormalCaracter"/>
          </w:rPr>
          <w:t>87/2016</w:t>
        </w:r>
      </w:hyperlink>
      <w:r w:rsidRPr="00924F59">
        <w:rPr>
          <w:rStyle w:val="TextoNormalCaracter"/>
        </w:rPr>
        <w:t xml:space="preserve">, f. 2; </w:t>
      </w:r>
      <w:hyperlink w:anchor="AUTO_2016_88" w:history="1">
        <w:r w:rsidRPr="00924F59">
          <w:rPr>
            <w:rStyle w:val="TextoNormalCaracter"/>
          </w:rPr>
          <w:t>88/2016</w:t>
        </w:r>
      </w:hyperlink>
      <w:r w:rsidRPr="00924F59">
        <w:rPr>
          <w:rStyle w:val="TextoNormalCaracter"/>
        </w:rPr>
        <w:t>, f. 2.</w:t>
      </w:r>
    </w:p>
    <w:p w:rsidR="00924F59" w:rsidRPr="00924F59" w:rsidRDefault="00924F59" w:rsidP="00924F59">
      <w:pPr>
        <w:pStyle w:val="TextoNormalSangraFrancesa"/>
        <w:rPr>
          <w:rStyle w:val="TextoNormalCaracter"/>
        </w:rPr>
      </w:pPr>
      <w:bookmarkStart w:id="1181" w:name="DESCRIPTORALFABETICO481"/>
      <w:r w:rsidRPr="00924F59">
        <w:rPr>
          <w:rStyle w:val="TextoNormalNegritaCaracter"/>
        </w:rPr>
        <w:t>Altos cargos</w:t>
      </w:r>
      <w:bookmarkEnd w:id="1181"/>
      <w:r w:rsidRPr="00924F59">
        <w:rPr>
          <w:rStyle w:val="TextoNormalCaracter"/>
        </w:rPr>
        <w:t xml:space="preserve">, Sentencia </w:t>
      </w:r>
      <w:hyperlink w:anchor="SENTENCIA_2016_18" w:history="1">
        <w:r w:rsidRPr="00924F59">
          <w:rPr>
            <w:rStyle w:val="TextoNormalCaracter"/>
          </w:rPr>
          <w:t>18/2016</w:t>
        </w:r>
      </w:hyperlink>
      <w:r w:rsidRPr="00924F59">
        <w:rPr>
          <w:rStyle w:val="TextoNormalCaracter"/>
        </w:rPr>
        <w:t>, f. 6.</w:t>
      </w:r>
    </w:p>
    <w:p w:rsidR="00924F59" w:rsidRPr="00924F59" w:rsidRDefault="00924F59" w:rsidP="00924F59">
      <w:pPr>
        <w:pStyle w:val="TextoNormalSangraFrancesa"/>
        <w:rPr>
          <w:rStyle w:val="TextoNormalCaracter"/>
        </w:rPr>
      </w:pPr>
      <w:bookmarkStart w:id="1182" w:name="DESCRIPTORALFABETICO597"/>
      <w:r w:rsidRPr="00924F59">
        <w:rPr>
          <w:rStyle w:val="TextoNormalNegritaCaracter"/>
        </w:rPr>
        <w:t>Alzamiento de bienes</w:t>
      </w:r>
      <w:bookmarkEnd w:id="1182"/>
      <w:r w:rsidRPr="00924F59">
        <w:rPr>
          <w:rStyle w:val="TextoNormalCaracter"/>
        </w:rPr>
        <w:t xml:space="preserve">, Sentencia </w:t>
      </w:r>
      <w:hyperlink w:anchor="SENTENCIA_2016_105" w:history="1">
        <w:r w:rsidRPr="00924F59">
          <w:rPr>
            <w:rStyle w:val="TextoNormalCaracter"/>
          </w:rPr>
          <w:t>105/2016</w:t>
        </w:r>
      </w:hyperlink>
      <w:r w:rsidRPr="00924F59">
        <w:rPr>
          <w:rStyle w:val="TextoNormalCaracter"/>
        </w:rPr>
        <w:t>, ff. 3 a 9.</w:t>
      </w:r>
    </w:p>
    <w:p w:rsidR="00924F59" w:rsidRPr="00924F59" w:rsidRDefault="00924F59" w:rsidP="00924F59">
      <w:pPr>
        <w:pStyle w:val="TextoNormalSangraFrancesa"/>
        <w:rPr>
          <w:rStyle w:val="TextoNormalCaracter"/>
        </w:rPr>
      </w:pPr>
      <w:bookmarkStart w:id="1183" w:name="DESCRIPTORALFABETICO5"/>
      <w:r w:rsidRPr="00924F59">
        <w:rPr>
          <w:rStyle w:val="TextoNormalNegritaCaracter"/>
        </w:rPr>
        <w:t>Ámbito territorial supraautonómico</w:t>
      </w:r>
      <w:bookmarkEnd w:id="1183"/>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 6.</w:t>
      </w:r>
    </w:p>
    <w:p w:rsidR="00924F59" w:rsidRPr="00924F59" w:rsidRDefault="00924F59" w:rsidP="00924F59">
      <w:pPr>
        <w:pStyle w:val="TextoNormalSangraFrancesa"/>
        <w:rPr>
          <w:rStyle w:val="TextoNormalCaracter"/>
        </w:rPr>
      </w:pPr>
      <w:bookmarkStart w:id="1184" w:name="DESCRIPTORALFABETICO860"/>
      <w:r w:rsidRPr="00924F59">
        <w:rPr>
          <w:rStyle w:val="TextoNormalNegritaCaracter"/>
        </w:rPr>
        <w:t>Andalucía</w:t>
      </w:r>
      <w:bookmarkEnd w:id="1184"/>
      <w:r w:rsidRPr="00924F59">
        <w:rPr>
          <w:rStyle w:val="TextoNormalCaracter"/>
        </w:rPr>
        <w:t xml:space="preserve">, Sentencia </w:t>
      </w:r>
      <w:hyperlink w:anchor="SENTENCIA_2016_27" w:history="1">
        <w:r w:rsidRPr="00924F59">
          <w:rPr>
            <w:rStyle w:val="TextoNormalCaracter"/>
          </w:rPr>
          <w:t>27/2016</w:t>
        </w:r>
      </w:hyperlink>
      <w:r w:rsidRPr="00924F59">
        <w:rPr>
          <w:rStyle w:val="TextoNormalCaracter"/>
        </w:rPr>
        <w:t>, f. 1.</w:t>
      </w:r>
    </w:p>
    <w:p w:rsidR="00924F59" w:rsidRPr="00924F59" w:rsidRDefault="00924F59" w:rsidP="00924F59">
      <w:pPr>
        <w:pStyle w:val="TextoNormalSangraFrancesa"/>
        <w:rPr>
          <w:rStyle w:val="TextoNormalCaracter"/>
        </w:rPr>
      </w:pPr>
      <w:bookmarkStart w:id="1185" w:name="DESCRIPTORALFABETICO842"/>
      <w:r w:rsidRPr="00924F59">
        <w:rPr>
          <w:rStyle w:val="TextoNormalNegritaCaracter"/>
        </w:rPr>
        <w:t>Anulabilidad de sentencia firme en ejecución de sentencia del Tribunal Europeo de Derechos Humanos</w:t>
      </w:r>
      <w:bookmarkEnd w:id="1185"/>
      <w:r w:rsidRPr="00924F59">
        <w:rPr>
          <w:rStyle w:val="TextoNormalCaracter"/>
        </w:rPr>
        <w:t xml:space="preserve">, Sentencia </w:t>
      </w:r>
      <w:hyperlink w:anchor="SENTENCIA_2016_65" w:history="1">
        <w:r w:rsidRPr="00924F59">
          <w:rPr>
            <w:rStyle w:val="TextoNormalCaracter"/>
          </w:rPr>
          <w:t>65/2016</w:t>
        </w:r>
      </w:hyperlink>
      <w:r w:rsidRPr="00924F59">
        <w:rPr>
          <w:rStyle w:val="TextoNormalCaracter"/>
        </w:rPr>
        <w:t>, f. 4.</w:t>
      </w:r>
    </w:p>
    <w:p w:rsidR="00924F59" w:rsidRPr="00924F59" w:rsidRDefault="00924F59" w:rsidP="00924F59">
      <w:pPr>
        <w:pStyle w:val="TextoNormalSangraFrancesa"/>
        <w:rPr>
          <w:rStyle w:val="TextoNormalCaracter"/>
        </w:rPr>
      </w:pPr>
      <w:bookmarkStart w:id="1186" w:name="DESCRIPTORALFABETICO832"/>
      <w:r w:rsidRPr="00924F59">
        <w:rPr>
          <w:rStyle w:val="TextoNormalNegritaCaracter"/>
        </w:rPr>
        <w:t>Apariencia de buen derecho</w:t>
      </w:r>
      <w:bookmarkEnd w:id="1186"/>
      <w:r w:rsidRPr="00924F59">
        <w:rPr>
          <w:rStyle w:val="TextoNormalCaracter"/>
        </w:rPr>
        <w:t xml:space="preserve">, Auto </w:t>
      </w:r>
      <w:hyperlink w:anchor="AUTO_2016_72" w:history="1">
        <w:r w:rsidRPr="00924F59">
          <w:rPr>
            <w:rStyle w:val="TextoNormalCaracter"/>
          </w:rPr>
          <w:t>72/2016</w:t>
        </w:r>
      </w:hyperlink>
      <w:r w:rsidRPr="00924F59">
        <w:rPr>
          <w:rStyle w:val="TextoNormalCaracter"/>
        </w:rPr>
        <w:t>, f. 2, VP.</w:t>
      </w:r>
    </w:p>
    <w:p w:rsidR="00924F59" w:rsidRPr="00924F59" w:rsidRDefault="00924F59" w:rsidP="00924F59">
      <w:pPr>
        <w:pStyle w:val="TextoNormalSangraFrancesa"/>
        <w:rPr>
          <w:rStyle w:val="TextoNormalCaracter"/>
        </w:rPr>
      </w:pPr>
      <w:bookmarkStart w:id="1187" w:name="DESCRIPTORALFABETICO348"/>
      <w:r w:rsidRPr="00924F59">
        <w:rPr>
          <w:rStyle w:val="TextoNormalNegritaCaracter"/>
        </w:rPr>
        <w:t>Apartamiento de doctrina constitucional</w:t>
      </w:r>
      <w:bookmarkEnd w:id="1187"/>
      <w:r w:rsidRPr="00924F59">
        <w:rPr>
          <w:rStyle w:val="TextoNormalCaracter"/>
        </w:rPr>
        <w:t xml:space="preserve">, Sentencia </w:t>
      </w:r>
      <w:hyperlink w:anchor="SENTENCIA_2016_102" w:history="1">
        <w:r w:rsidRPr="00924F59">
          <w:rPr>
            <w:rStyle w:val="TextoNormalCaracter"/>
          </w:rPr>
          <w:t>102/2016</w:t>
        </w:r>
      </w:hyperlink>
      <w:r w:rsidRPr="00924F59">
        <w:rPr>
          <w:rStyle w:val="TextoNormalCaracter"/>
        </w:rPr>
        <w:t>, ff. 2, 6.</w:t>
      </w:r>
    </w:p>
    <w:p w:rsidR="00924F59" w:rsidRPr="00924F59" w:rsidRDefault="00924F59" w:rsidP="00924F59">
      <w:pPr>
        <w:pStyle w:val="TextoNormalSangraFrancesa"/>
        <w:rPr>
          <w:rStyle w:val="TextoNormalCaracter"/>
        </w:rPr>
      </w:pPr>
      <w:bookmarkStart w:id="1188" w:name="DESCRIPTORALFABETICO349"/>
      <w:r w:rsidRPr="00924F59">
        <w:rPr>
          <w:rStyle w:val="TextoNormalNegritaCaracter"/>
        </w:rPr>
        <w:t>Aplicación de doctrina tras modificación legislativa</w:t>
      </w:r>
      <w:bookmarkEnd w:id="1188"/>
      <w:r w:rsidRPr="00924F59">
        <w:rPr>
          <w:rStyle w:val="TextoNormalCaracter"/>
        </w:rPr>
        <w:t xml:space="preserve">, Sentencia </w:t>
      </w:r>
      <w:hyperlink w:anchor="SENTENCIA_2016_48" w:history="1">
        <w:r w:rsidRPr="00924F59">
          <w:rPr>
            <w:rStyle w:val="TextoNormalCaracter"/>
          </w:rPr>
          <w:t>48/2016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1189" w:name="DESCRIPTORALFABETICO602"/>
      <w:r w:rsidRPr="00924F59">
        <w:rPr>
          <w:rStyle w:val="TextoNormalNegritaCaracter"/>
        </w:rPr>
        <w:t>Apología del terrorismo</w:t>
      </w:r>
      <w:bookmarkEnd w:id="1189"/>
      <w:r w:rsidRPr="00924F59">
        <w:rPr>
          <w:rStyle w:val="TextoNormalCaracter"/>
        </w:rPr>
        <w:t xml:space="preserve">, Sentencia </w:t>
      </w:r>
      <w:hyperlink w:anchor="SENTENCIA_2016_112" w:history="1">
        <w:r w:rsidRPr="00924F59">
          <w:rPr>
            <w:rStyle w:val="TextoNormalCaracter"/>
          </w:rPr>
          <w:t>112/2016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190" w:name="DESCRIPTORALFABETICO861"/>
      <w:r w:rsidRPr="00924F59">
        <w:rPr>
          <w:rStyle w:val="TextoNormalNegritaCaracter"/>
        </w:rPr>
        <w:t>Aragón</w:t>
      </w:r>
      <w:bookmarkEnd w:id="1190"/>
      <w:r w:rsidRPr="00924F59">
        <w:rPr>
          <w:rStyle w:val="TextoNormalCaracter"/>
        </w:rPr>
        <w:t xml:space="preserve">, Sentencia </w:t>
      </w:r>
      <w:hyperlink w:anchor="SENTENCIA_2016_56" w:history="1">
        <w:r w:rsidRPr="00924F59">
          <w:rPr>
            <w:rStyle w:val="TextoNormalCaracter"/>
          </w:rPr>
          <w:t>56/2016</w:t>
        </w:r>
      </w:hyperlink>
      <w:r w:rsidRPr="00924F59">
        <w:rPr>
          <w:rStyle w:val="TextoNormalCaracter"/>
        </w:rPr>
        <w:t>, f. 1.</w:t>
      </w:r>
    </w:p>
    <w:p w:rsidR="00924F59" w:rsidRPr="00924F59" w:rsidRDefault="00924F59" w:rsidP="00924F59">
      <w:pPr>
        <w:pStyle w:val="TextoNormalSangraFrancesa"/>
        <w:rPr>
          <w:rStyle w:val="TextoNormalCaracter"/>
        </w:rPr>
      </w:pPr>
      <w:bookmarkStart w:id="1191" w:name="DESCRIPTORALFABETICO446"/>
      <w:r w:rsidRPr="00924F59">
        <w:rPr>
          <w:rStyle w:val="TextoNormalNegritaCaracter"/>
        </w:rPr>
        <w:t>Aragonés</w:t>
      </w:r>
      <w:bookmarkEnd w:id="1191"/>
      <w:r w:rsidRPr="00924F59">
        <w:rPr>
          <w:rStyle w:val="TextoNormalCaracter"/>
        </w:rPr>
        <w:t xml:space="preserve">, Sentencia </w:t>
      </w:r>
      <w:hyperlink w:anchor="SENTENCIA_2016_56" w:history="1">
        <w:r w:rsidRPr="00924F59">
          <w:rPr>
            <w:rStyle w:val="TextoNormalCaracter"/>
          </w:rPr>
          <w:t>56/2016</w:t>
        </w:r>
      </w:hyperlink>
      <w:r w:rsidRPr="00924F59">
        <w:rPr>
          <w:rStyle w:val="TextoNormalCaracter"/>
        </w:rPr>
        <w:t>, ff. 1 a 5.</w:t>
      </w:r>
    </w:p>
    <w:p w:rsidR="00924F59" w:rsidRPr="00924F59" w:rsidRDefault="00924F59" w:rsidP="00924F59">
      <w:pPr>
        <w:pStyle w:val="TextoNormalSangraFrancesa"/>
        <w:rPr>
          <w:rStyle w:val="TextoNormalCaracter"/>
        </w:rPr>
      </w:pPr>
      <w:bookmarkStart w:id="1192" w:name="DESCRIPTORALFABETICO415"/>
      <w:r w:rsidRPr="00924F59">
        <w:rPr>
          <w:rStyle w:val="TextoNormalNegritaCaracter"/>
        </w:rPr>
        <w:t>Arbitrariedad del legislador</w:t>
      </w:r>
      <w:bookmarkEnd w:id="1192"/>
      <w:r w:rsidRPr="00924F59">
        <w:rPr>
          <w:rStyle w:val="TextoNormalCaracter"/>
        </w:rPr>
        <w:t xml:space="preserve">, Sentencias </w:t>
      </w:r>
      <w:hyperlink w:anchor="SENTENCIA_2016_38" w:history="1">
        <w:r w:rsidRPr="00924F59">
          <w:rPr>
            <w:rStyle w:val="TextoNormalCaracter"/>
          </w:rPr>
          <w:t>38/2016</w:t>
        </w:r>
      </w:hyperlink>
      <w:r w:rsidRPr="00924F59">
        <w:rPr>
          <w:rStyle w:val="TextoNormalCaracter"/>
        </w:rPr>
        <w:t xml:space="preserve">, f. 8; </w:t>
      </w:r>
      <w:hyperlink w:anchor="SENTENCIA_2016_122" w:history="1">
        <w:r w:rsidRPr="00924F59">
          <w:rPr>
            <w:rStyle w:val="TextoNormalCaracter"/>
          </w:rPr>
          <w:t>122/2016</w:t>
        </w:r>
      </w:hyperlink>
      <w:r w:rsidRPr="00924F59">
        <w:rPr>
          <w:rStyle w:val="TextoNormalCaracter"/>
        </w:rPr>
        <w:t>, ff. 2, 3, 5, 6.</w:t>
      </w:r>
    </w:p>
    <w:p w:rsidR="00924F59" w:rsidRPr="00924F59" w:rsidRDefault="00924F59" w:rsidP="00924F59">
      <w:pPr>
        <w:pStyle w:val="TextoNormalSangraFrancesa"/>
        <w:rPr>
          <w:rStyle w:val="TextoNormalCaracter"/>
        </w:rPr>
      </w:pPr>
      <w:bookmarkStart w:id="1193" w:name="DESCRIPTORALFABETICO400"/>
      <w:r w:rsidRPr="00924F59">
        <w:rPr>
          <w:rStyle w:val="TextoNormalNegritaCaracter"/>
        </w:rPr>
        <w:t>Asamblea de Extremadura</w:t>
      </w:r>
      <w:bookmarkEnd w:id="1193"/>
      <w:r w:rsidRPr="00924F59">
        <w:rPr>
          <w:rStyle w:val="TextoNormalCaracter"/>
        </w:rPr>
        <w:t xml:space="preserve">, Sentencia </w:t>
      </w:r>
      <w:hyperlink w:anchor="SENTENCIA_2016_10" w:history="1">
        <w:r w:rsidRPr="00924F59">
          <w:rPr>
            <w:rStyle w:val="TextoNormalCaracter"/>
          </w:rPr>
          <w:t>10/2016</w:t>
        </w:r>
      </w:hyperlink>
      <w:r w:rsidRPr="00924F59">
        <w:rPr>
          <w:rStyle w:val="TextoNormalCaracter"/>
        </w:rPr>
        <w:t>, f. 1.</w:t>
      </w:r>
    </w:p>
    <w:p w:rsidR="00924F59" w:rsidRPr="00924F59" w:rsidRDefault="00924F59" w:rsidP="00924F59">
      <w:pPr>
        <w:pStyle w:val="TextoNormalSangraFrancesa"/>
        <w:rPr>
          <w:rStyle w:val="TextoNormalCaracter"/>
        </w:rPr>
      </w:pPr>
      <w:bookmarkStart w:id="1194" w:name="DESCRIPTORALFABETICO192"/>
      <w:r w:rsidRPr="00924F59">
        <w:rPr>
          <w:rStyle w:val="TextoNormalNegritaCaracter"/>
        </w:rPr>
        <w:t>Asistencia letrada</w:t>
      </w:r>
      <w:bookmarkEnd w:id="1194"/>
      <w:r w:rsidRPr="00924F59">
        <w:rPr>
          <w:rStyle w:val="TextoNormalCaracter"/>
        </w:rPr>
        <w:t xml:space="preserve">, Sentencias </w:t>
      </w:r>
      <w:hyperlink w:anchor="SENTENCIA_2016_22" w:history="1">
        <w:r w:rsidRPr="00924F59">
          <w:rPr>
            <w:rStyle w:val="TextoNormalCaracter"/>
          </w:rPr>
          <w:t>22/2016</w:t>
        </w:r>
      </w:hyperlink>
      <w:r w:rsidRPr="00924F59">
        <w:rPr>
          <w:rStyle w:val="TextoNormalCaracter"/>
        </w:rPr>
        <w:t xml:space="preserve">, ff. 1, 4 a 6; </w:t>
      </w:r>
      <w:hyperlink w:anchor="SENTENCIA_2016_50" w:history="1">
        <w:r w:rsidRPr="00924F59">
          <w:rPr>
            <w:rStyle w:val="TextoNormalCaracter"/>
          </w:rPr>
          <w:t>50/2016</w:t>
        </w:r>
      </w:hyperlink>
      <w:r w:rsidRPr="00924F59">
        <w:rPr>
          <w:rStyle w:val="TextoNormalCaracter"/>
        </w:rPr>
        <w:t>, ff. 1, 3 a 6.</w:t>
      </w:r>
    </w:p>
    <w:p w:rsidR="00924F59" w:rsidRPr="00924F59" w:rsidRDefault="00924F59" w:rsidP="00924F59">
      <w:pPr>
        <w:pStyle w:val="TextoNormalSangraFrancesa"/>
        <w:rPr>
          <w:rStyle w:val="TextoNormalCaracter"/>
        </w:rPr>
      </w:pPr>
      <w:bookmarkStart w:id="1195" w:name="DESCRIPTORALFABETICO3"/>
      <w:r w:rsidRPr="00924F59">
        <w:rPr>
          <w:rStyle w:val="TextoNormalNegritaCaracter"/>
        </w:rPr>
        <w:t>Atribución de competencias</w:t>
      </w:r>
      <w:bookmarkEnd w:id="1195"/>
      <w:r w:rsidRPr="00924F59">
        <w:rPr>
          <w:rStyle w:val="TextoNormalCaracter"/>
        </w:rPr>
        <w:t xml:space="preserve">, Sentencia </w:t>
      </w:r>
      <w:hyperlink w:anchor="SENTENCIA_2016_57" w:history="1">
        <w:r w:rsidRPr="00924F59">
          <w:rPr>
            <w:rStyle w:val="TextoNormalCaracter"/>
          </w:rPr>
          <w:t>57/2016</w:t>
        </w:r>
      </w:hyperlink>
      <w:r w:rsidRPr="00924F59">
        <w:rPr>
          <w:rStyle w:val="TextoNormalCaracter"/>
        </w:rPr>
        <w:t>, f. 2.</w:t>
      </w:r>
    </w:p>
    <w:p w:rsidR="00924F59" w:rsidRPr="00924F59" w:rsidRDefault="00924F59" w:rsidP="00924F59">
      <w:pPr>
        <w:pStyle w:val="TextoNormalSangraFrancesa"/>
        <w:rPr>
          <w:rStyle w:val="TextoNormalCaracter"/>
        </w:rPr>
      </w:pPr>
      <w:bookmarkStart w:id="1196" w:name="DESCRIPTORALFABETICO280"/>
      <w:r w:rsidRPr="00924F59">
        <w:rPr>
          <w:rStyle w:val="TextoNormalNegritaCaracter"/>
        </w:rPr>
        <w:t>Audiencia previa a las partes</w:t>
      </w:r>
      <w:bookmarkEnd w:id="1196"/>
      <w:r w:rsidRPr="00924F59">
        <w:rPr>
          <w:rStyle w:val="TextoNormalCaracter"/>
        </w:rPr>
        <w:t xml:space="preserve">, Auto </w:t>
      </w:r>
      <w:hyperlink w:anchor="AUTO_2016_122" w:history="1">
        <w:r w:rsidRPr="00924F59">
          <w:rPr>
            <w:rStyle w:val="TextoNormalCaracter"/>
          </w:rPr>
          <w:t>122/2016</w:t>
        </w:r>
      </w:hyperlink>
      <w:r w:rsidRPr="00924F59">
        <w:rPr>
          <w:rStyle w:val="TextoNormalCaracter"/>
        </w:rPr>
        <w:t>, f. 3.</w:t>
      </w:r>
    </w:p>
    <w:p w:rsidR="00924F59" w:rsidRPr="00924F59" w:rsidRDefault="00924F59" w:rsidP="00924F59">
      <w:pPr>
        <w:pStyle w:val="TextoNormalSangraFrancesa"/>
        <w:rPr>
          <w:rStyle w:val="TextoNormalCaracter"/>
        </w:rPr>
      </w:pPr>
      <w:bookmarkStart w:id="1197" w:name="DESCRIPTORALFABETICO333"/>
      <w:r w:rsidRPr="00924F59">
        <w:rPr>
          <w:rStyle w:val="TextoNormalNegritaCaracter"/>
        </w:rPr>
        <w:t>Ausencia de doctrina constitucional</w:t>
      </w:r>
      <w:bookmarkEnd w:id="1197"/>
      <w:r w:rsidRPr="00924F59">
        <w:rPr>
          <w:rStyle w:val="TextoNormalCaracter"/>
        </w:rPr>
        <w:t xml:space="preserve">, Sentencias </w:t>
      </w:r>
      <w:hyperlink w:anchor="SENTENCIA_2016_16" w:history="1">
        <w:r w:rsidRPr="00924F59">
          <w:rPr>
            <w:rStyle w:val="TextoNormalCaracter"/>
          </w:rPr>
          <w:t>16/2016</w:t>
        </w:r>
      </w:hyperlink>
      <w:r w:rsidRPr="00924F59">
        <w:rPr>
          <w:rStyle w:val="TextoNormalCaracter"/>
        </w:rPr>
        <w:t xml:space="preserve">, f. 2; </w:t>
      </w:r>
      <w:hyperlink w:anchor="SENTENCIA_2016_44" w:history="1">
        <w:r w:rsidRPr="00924F59">
          <w:rPr>
            <w:rStyle w:val="TextoNormalCaracter"/>
          </w:rPr>
          <w:t>44/2016</w:t>
        </w:r>
      </w:hyperlink>
      <w:r w:rsidRPr="00924F59">
        <w:rPr>
          <w:rStyle w:val="TextoNormalCaracter"/>
        </w:rPr>
        <w:t xml:space="preserve">, f. 2; </w:t>
      </w:r>
      <w:hyperlink w:anchor="SENTENCIA_2016_48" w:history="1">
        <w:r w:rsidRPr="00924F59">
          <w:rPr>
            <w:rStyle w:val="TextoNormalCaracter"/>
          </w:rPr>
          <w:t>48/2016</w:t>
        </w:r>
      </w:hyperlink>
      <w:r w:rsidRPr="00924F59">
        <w:rPr>
          <w:rStyle w:val="TextoNormalCaracter"/>
        </w:rPr>
        <w:t xml:space="preserve">, f. 2; </w:t>
      </w:r>
      <w:hyperlink w:anchor="SENTENCIA_2016_63" w:history="1">
        <w:r w:rsidRPr="00924F59">
          <w:rPr>
            <w:rStyle w:val="TextoNormalCaracter"/>
          </w:rPr>
          <w:t>63/2016</w:t>
        </w:r>
      </w:hyperlink>
      <w:r w:rsidRPr="00924F59">
        <w:rPr>
          <w:rStyle w:val="TextoNormalCaracter"/>
        </w:rPr>
        <w:t xml:space="preserve">, f. 2; </w:t>
      </w:r>
      <w:hyperlink w:anchor="SENTENCIA_2016_64" w:history="1">
        <w:r w:rsidRPr="00924F59">
          <w:rPr>
            <w:rStyle w:val="TextoNormalCaracter"/>
          </w:rPr>
          <w:t>64/2016</w:t>
        </w:r>
      </w:hyperlink>
      <w:r w:rsidRPr="00924F59">
        <w:rPr>
          <w:rStyle w:val="TextoNormalCaracter"/>
        </w:rPr>
        <w:t xml:space="preserve">, f. 2; </w:t>
      </w:r>
      <w:hyperlink w:anchor="SENTENCIA_2016_65" w:history="1">
        <w:r w:rsidRPr="00924F59">
          <w:rPr>
            <w:rStyle w:val="TextoNormalCaracter"/>
          </w:rPr>
          <w:t>65/2016</w:t>
        </w:r>
      </w:hyperlink>
      <w:r w:rsidRPr="00924F59">
        <w:rPr>
          <w:rStyle w:val="TextoNormalCaracter"/>
        </w:rPr>
        <w:t xml:space="preserve">, f. 2; </w:t>
      </w:r>
      <w:hyperlink w:anchor="SENTENCIA_2016_75" w:history="1">
        <w:r w:rsidRPr="00924F59">
          <w:rPr>
            <w:rStyle w:val="TextoNormalCaracter"/>
          </w:rPr>
          <w:t>75/2016</w:t>
        </w:r>
      </w:hyperlink>
      <w:r w:rsidRPr="00924F59">
        <w:rPr>
          <w:rStyle w:val="TextoNormalCaracter"/>
        </w:rPr>
        <w:t xml:space="preserve">, f. 2; </w:t>
      </w:r>
      <w:hyperlink w:anchor="SENTENCIA_2016_76" w:history="1">
        <w:r w:rsidRPr="00924F59">
          <w:rPr>
            <w:rStyle w:val="TextoNormalCaracter"/>
          </w:rPr>
          <w:t>76/2016</w:t>
        </w:r>
      </w:hyperlink>
      <w:r w:rsidRPr="00924F59">
        <w:rPr>
          <w:rStyle w:val="TextoNormalCaracter"/>
        </w:rPr>
        <w:t xml:space="preserve">, f. 2; </w:t>
      </w:r>
      <w:hyperlink w:anchor="SENTENCIA_2016_77" w:history="1">
        <w:r w:rsidRPr="00924F59">
          <w:rPr>
            <w:rStyle w:val="TextoNormalCaracter"/>
          </w:rPr>
          <w:t>77/2016</w:t>
        </w:r>
      </w:hyperlink>
      <w:r w:rsidRPr="00924F59">
        <w:rPr>
          <w:rStyle w:val="TextoNormalCaracter"/>
        </w:rPr>
        <w:t xml:space="preserve">, f. 2; </w:t>
      </w:r>
      <w:hyperlink w:anchor="SENTENCIA_2016_83" w:history="1">
        <w:r w:rsidRPr="00924F59">
          <w:rPr>
            <w:rStyle w:val="TextoNormalCaracter"/>
          </w:rPr>
          <w:t>83/2016</w:t>
        </w:r>
      </w:hyperlink>
      <w:r w:rsidRPr="00924F59">
        <w:rPr>
          <w:rStyle w:val="TextoNormalCaracter"/>
        </w:rPr>
        <w:t xml:space="preserve">, f. 2; </w:t>
      </w:r>
      <w:hyperlink w:anchor="SENTENCIA_2016_89" w:history="1">
        <w:r w:rsidRPr="00924F59">
          <w:rPr>
            <w:rStyle w:val="TextoNormalCaracter"/>
          </w:rPr>
          <w:t>89/2016</w:t>
        </w:r>
      </w:hyperlink>
      <w:r w:rsidRPr="00924F59">
        <w:rPr>
          <w:rStyle w:val="TextoNormalCaracter"/>
        </w:rPr>
        <w:t xml:space="preserve">, f. 2; </w:t>
      </w:r>
      <w:hyperlink w:anchor="SENTENCIA_2016_107" w:history="1">
        <w:r w:rsidRPr="00924F59">
          <w:rPr>
            <w:rStyle w:val="TextoNormalCaracter"/>
          </w:rPr>
          <w:t>107/2016</w:t>
        </w:r>
      </w:hyperlink>
      <w:r w:rsidRPr="00924F59">
        <w:rPr>
          <w:rStyle w:val="TextoNormalCaracter"/>
        </w:rPr>
        <w:t xml:space="preserve">, f. 1; </w:t>
      </w:r>
      <w:hyperlink w:anchor="SENTENCIA_2016_108" w:history="1">
        <w:r w:rsidRPr="00924F59">
          <w:rPr>
            <w:rStyle w:val="TextoNormalCaracter"/>
          </w:rPr>
          <w:t>108/2016</w:t>
        </w:r>
      </w:hyperlink>
      <w:r w:rsidRPr="00924F59">
        <w:rPr>
          <w:rStyle w:val="TextoNormalCaracter"/>
        </w:rPr>
        <w:t xml:space="preserve">, f. 1; </w:t>
      </w:r>
      <w:hyperlink w:anchor="SENTENCIA_2016_109" w:history="1">
        <w:r w:rsidRPr="00924F59">
          <w:rPr>
            <w:rStyle w:val="TextoNormalCaracter"/>
          </w:rPr>
          <w:t>109/2016</w:t>
        </w:r>
      </w:hyperlink>
      <w:r w:rsidRPr="00924F59">
        <w:rPr>
          <w:rStyle w:val="TextoNormalCaracter"/>
        </w:rPr>
        <w:t xml:space="preserve">, f. 1; </w:t>
      </w:r>
      <w:hyperlink w:anchor="SENTENCIA_2016_112" w:history="1">
        <w:r w:rsidRPr="00924F59">
          <w:rPr>
            <w:rStyle w:val="TextoNormalCaracter"/>
          </w:rPr>
          <w:t>112/2016</w:t>
        </w:r>
      </w:hyperlink>
      <w:r w:rsidRPr="00924F59">
        <w:rPr>
          <w:rStyle w:val="TextoNormalCaracter"/>
        </w:rPr>
        <w:t>, f. 1.</w:t>
      </w:r>
    </w:p>
    <w:p w:rsidR="00924F59" w:rsidRPr="00924F59" w:rsidRDefault="00924F59" w:rsidP="00924F59">
      <w:pPr>
        <w:pStyle w:val="TextoNormalSangraFrancesa"/>
        <w:rPr>
          <w:rStyle w:val="TextoNormalCaracter"/>
        </w:rPr>
      </w:pPr>
      <w:bookmarkStart w:id="1198" w:name="DESCRIPTORALFABETICO78"/>
      <w:r w:rsidRPr="00924F59">
        <w:rPr>
          <w:rStyle w:val="TextoNormalNegritaCaracter"/>
        </w:rPr>
        <w:t>Autonomía financiera</w:t>
      </w:r>
      <w:bookmarkEnd w:id="1198"/>
      <w:r w:rsidRPr="00924F59">
        <w:rPr>
          <w:rStyle w:val="TextoNormalCaracter"/>
        </w:rPr>
        <w:t xml:space="preserve">, Sentencias </w:t>
      </w:r>
      <w:hyperlink w:anchor="SENTENCIA_2016_26" w:history="1">
        <w:r w:rsidRPr="00924F59">
          <w:rPr>
            <w:rStyle w:val="TextoNormalCaracter"/>
          </w:rPr>
          <w:t>26/2016</w:t>
        </w:r>
      </w:hyperlink>
      <w:r w:rsidRPr="00924F59">
        <w:rPr>
          <w:rStyle w:val="TextoNormalCaracter"/>
        </w:rPr>
        <w:t xml:space="preserve">, f. 7; </w:t>
      </w:r>
      <w:hyperlink w:anchor="SENTENCIA_2016_31" w:history="1">
        <w:r w:rsidRPr="00924F59">
          <w:rPr>
            <w:rStyle w:val="TextoNormalCaracter"/>
          </w:rPr>
          <w:t>31/2016</w:t>
        </w:r>
      </w:hyperlink>
      <w:r w:rsidRPr="00924F59">
        <w:rPr>
          <w:rStyle w:val="TextoNormalCaracter"/>
        </w:rPr>
        <w:t xml:space="preserve">, ff. 3, 4; </w:t>
      </w:r>
      <w:hyperlink w:anchor="SENTENCIA_2016_36" w:history="1">
        <w:r w:rsidRPr="00924F59">
          <w:rPr>
            <w:rStyle w:val="TextoNormalCaracter"/>
          </w:rPr>
          <w:t>36/2016</w:t>
        </w:r>
      </w:hyperlink>
      <w:r w:rsidRPr="00924F59">
        <w:rPr>
          <w:rStyle w:val="TextoNormalCaracter"/>
        </w:rPr>
        <w:t xml:space="preserve">, ff. 1, 3; </w:t>
      </w:r>
      <w:hyperlink w:anchor="SENTENCIA_2016_41" w:history="1">
        <w:r w:rsidRPr="00924F59">
          <w:rPr>
            <w:rStyle w:val="TextoNormalCaracter"/>
          </w:rPr>
          <w:t>41/2016</w:t>
        </w:r>
      </w:hyperlink>
      <w:r w:rsidRPr="00924F59">
        <w:rPr>
          <w:rStyle w:val="TextoNormalCaracter"/>
        </w:rPr>
        <w:t xml:space="preserve">, f. 16 c); </w:t>
      </w:r>
      <w:hyperlink w:anchor="SENTENCIA_2016_74" w:history="1">
        <w:r w:rsidRPr="00924F59">
          <w:rPr>
            <w:rStyle w:val="TextoNormalCaracter"/>
          </w:rPr>
          <w:t>74/2016</w:t>
        </w:r>
      </w:hyperlink>
      <w:r w:rsidRPr="00924F59">
        <w:rPr>
          <w:rStyle w:val="TextoNormalCaracter"/>
        </w:rPr>
        <w:t xml:space="preserve">, f. 2, VP; </w:t>
      </w:r>
      <w:hyperlink w:anchor="SENTENCIA_2016_84" w:history="1">
        <w:r w:rsidRPr="00924F59">
          <w:rPr>
            <w:rStyle w:val="TextoNormalCaracter"/>
          </w:rPr>
          <w:t>84/2016</w:t>
        </w:r>
      </w:hyperlink>
      <w:r w:rsidRPr="00924F59">
        <w:rPr>
          <w:rStyle w:val="TextoNormalCaracter"/>
        </w:rPr>
        <w:t xml:space="preserve">, f. 6; </w:t>
      </w:r>
      <w:hyperlink w:anchor="SENTENCIA_2016_99" w:history="1">
        <w:r w:rsidRPr="00924F59">
          <w:rPr>
            <w:rStyle w:val="TextoNormalCaracter"/>
          </w:rPr>
          <w:t>99/2016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199" w:name="DESCRIPTORALFABETICO82"/>
      <w:r w:rsidRPr="00924F59">
        <w:rPr>
          <w:rStyle w:val="TextoNormalNegritaCaracter"/>
        </w:rPr>
        <w:t>Autonomía financiera de los entes locales</w:t>
      </w:r>
      <w:bookmarkEnd w:id="1199"/>
      <w:r w:rsidRPr="00924F59">
        <w:rPr>
          <w:rStyle w:val="TextoNormalCaracter"/>
        </w:rPr>
        <w:t xml:space="preserve">, Sentencias </w:t>
      </w:r>
      <w:hyperlink w:anchor="SENTENCIA_2016_40" w:history="1">
        <w:r w:rsidRPr="00924F59">
          <w:rPr>
            <w:rStyle w:val="TextoNormalCaracter"/>
          </w:rPr>
          <w:t>40/2016</w:t>
        </w:r>
      </w:hyperlink>
      <w:r w:rsidRPr="00924F59">
        <w:rPr>
          <w:rStyle w:val="TextoNormalCaracter"/>
        </w:rPr>
        <w:t xml:space="preserve">, ff. 1, 2; </w:t>
      </w:r>
      <w:hyperlink w:anchor="SENTENCIA_2016_41" w:history="1">
        <w:r w:rsidRPr="00924F59">
          <w:rPr>
            <w:rStyle w:val="TextoNormalCaracter"/>
          </w:rPr>
          <w:t>41/2016</w:t>
        </w:r>
      </w:hyperlink>
      <w:r w:rsidRPr="00924F59">
        <w:rPr>
          <w:rStyle w:val="TextoNormalCaracter"/>
        </w:rPr>
        <w:t>, f. 3 b).</w:t>
      </w:r>
    </w:p>
    <w:p w:rsidR="00924F59" w:rsidRPr="00924F59" w:rsidRDefault="00924F59" w:rsidP="00924F59">
      <w:pPr>
        <w:pStyle w:val="TextoNormalSangraFrancesa"/>
        <w:rPr>
          <w:rStyle w:val="TextoNormalCaracter"/>
        </w:rPr>
      </w:pPr>
      <w:bookmarkStart w:id="1200" w:name="DESCRIPTORALFABETICO408"/>
      <w:r w:rsidRPr="00924F59">
        <w:rPr>
          <w:rStyle w:val="TextoNormalNegritaCaracter"/>
        </w:rPr>
        <w:t>Autonomía local</w:t>
      </w:r>
      <w:bookmarkEnd w:id="1200"/>
      <w:r w:rsidRPr="00924F59">
        <w:rPr>
          <w:rStyle w:val="TextoNormalCaracter"/>
        </w:rPr>
        <w:t xml:space="preserve">, Sentencias </w:t>
      </w:r>
      <w:hyperlink w:anchor="SENTENCIA_2016_6" w:history="1">
        <w:r w:rsidRPr="00924F59">
          <w:rPr>
            <w:rStyle w:val="TextoNormalCaracter"/>
          </w:rPr>
          <w:t>6/2016</w:t>
        </w:r>
      </w:hyperlink>
      <w:r w:rsidRPr="00924F59">
        <w:rPr>
          <w:rStyle w:val="TextoNormalCaracter"/>
        </w:rPr>
        <w:t xml:space="preserve">, f. 4 d); </w:t>
      </w:r>
      <w:hyperlink w:anchor="SENTENCIA_2016_27" w:history="1">
        <w:r w:rsidRPr="00924F59">
          <w:rPr>
            <w:rStyle w:val="TextoNormalCaracter"/>
          </w:rPr>
          <w:t>27/2016</w:t>
        </w:r>
      </w:hyperlink>
      <w:r w:rsidRPr="00924F59">
        <w:rPr>
          <w:rStyle w:val="TextoNormalCaracter"/>
        </w:rPr>
        <w:t xml:space="preserve">, ff. 1 a 6; </w:t>
      </w:r>
      <w:hyperlink w:anchor="SENTENCIA_2016_28" w:history="1">
        <w:r w:rsidRPr="00924F59">
          <w:rPr>
            <w:rStyle w:val="TextoNormalCaracter"/>
          </w:rPr>
          <w:t>28/2016</w:t>
        </w:r>
      </w:hyperlink>
      <w:r w:rsidRPr="00924F59">
        <w:rPr>
          <w:rStyle w:val="TextoNormalCaracter"/>
        </w:rPr>
        <w:t xml:space="preserve">, f. 5; </w:t>
      </w:r>
      <w:hyperlink w:anchor="SENTENCIA_2016_41" w:history="1">
        <w:r w:rsidRPr="00924F59">
          <w:rPr>
            <w:rStyle w:val="TextoNormalCaracter"/>
          </w:rPr>
          <w:t>41/2016</w:t>
        </w:r>
      </w:hyperlink>
      <w:r w:rsidRPr="00924F59">
        <w:rPr>
          <w:rStyle w:val="TextoNormalCaracter"/>
        </w:rPr>
        <w:t xml:space="preserve">, ff. 3, 5, 6 c), 7 b), 7 c), 9, 11 b), 12; </w:t>
      </w:r>
      <w:hyperlink w:anchor="SENTENCIA_2016_57" w:history="1">
        <w:r w:rsidRPr="00924F59">
          <w:rPr>
            <w:rStyle w:val="TextoNormalCaracter"/>
          </w:rPr>
          <w:t>57/2016</w:t>
        </w:r>
      </w:hyperlink>
      <w:r w:rsidRPr="00924F59">
        <w:rPr>
          <w:rStyle w:val="TextoNormalCaracter"/>
        </w:rPr>
        <w:t>, f. 7.</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84" w:history="1">
        <w:r w:rsidRPr="00924F59">
          <w:rPr>
            <w:rStyle w:val="TextoNormalCaracter"/>
          </w:rPr>
          <w:t>84/2016</w:t>
        </w:r>
      </w:hyperlink>
      <w:r w:rsidRPr="00924F59">
        <w:rPr>
          <w:rStyle w:val="TextoNormalCaracter"/>
        </w:rPr>
        <w:t xml:space="preserve">, f. 5; </w:t>
      </w:r>
      <w:hyperlink w:anchor="AUTO_2016_101" w:history="1">
        <w:r w:rsidRPr="00924F59">
          <w:rPr>
            <w:rStyle w:val="TextoNormalCaracter"/>
          </w:rPr>
          <w:t>101/2016</w:t>
        </w:r>
      </w:hyperlink>
      <w:r w:rsidRPr="00924F59">
        <w:rPr>
          <w:rStyle w:val="TextoNormalCaracter"/>
        </w:rPr>
        <w:t xml:space="preserve">, f. 4; </w:t>
      </w:r>
      <w:hyperlink w:anchor="AUTO_2016_102" w:history="1">
        <w:r w:rsidRPr="00924F59">
          <w:rPr>
            <w:rStyle w:val="TextoNormalCaracter"/>
          </w:rPr>
          <w:t>102/2016</w:t>
        </w:r>
      </w:hyperlink>
      <w:r w:rsidRPr="00924F59">
        <w:rPr>
          <w:rStyle w:val="TextoNormalCaracter"/>
        </w:rPr>
        <w:t xml:space="preserve">, f. 4; </w:t>
      </w:r>
      <w:hyperlink w:anchor="AUTO_2016_103" w:history="1">
        <w:r w:rsidRPr="00924F59">
          <w:rPr>
            <w:rStyle w:val="TextoNormalCaracter"/>
          </w:rPr>
          <w:t>103/2016</w:t>
        </w:r>
      </w:hyperlink>
      <w:r w:rsidRPr="00924F59">
        <w:rPr>
          <w:rStyle w:val="TextoNormalCaracter"/>
        </w:rPr>
        <w:t>, f. 5.</w:t>
      </w:r>
    </w:p>
    <w:p w:rsidR="00924F59" w:rsidRPr="00924F59" w:rsidRDefault="00924F59" w:rsidP="00924F59">
      <w:pPr>
        <w:pStyle w:val="TextoNormalSangraFrancesa"/>
        <w:rPr>
          <w:rStyle w:val="TextoNormalCaracter"/>
        </w:rPr>
      </w:pPr>
      <w:bookmarkStart w:id="1201" w:name="DESCRIPTORALFABETICO409"/>
      <w:r w:rsidRPr="00924F59">
        <w:rPr>
          <w:rStyle w:val="TextoNormalNegritaCaracter"/>
        </w:rPr>
        <w:t>Autonomía municipal</w:t>
      </w:r>
      <w:bookmarkEnd w:id="1201"/>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ff. 4 a 12, VP.</w:t>
      </w:r>
    </w:p>
    <w:p w:rsidR="00924F59" w:rsidRPr="00924F59" w:rsidRDefault="00924F59" w:rsidP="00924F59">
      <w:pPr>
        <w:pStyle w:val="TextoNormalSangraFrancesa"/>
        <w:rPr>
          <w:rStyle w:val="TextoNormalCaracter"/>
        </w:rPr>
      </w:pPr>
      <w:bookmarkStart w:id="1202" w:name="DESCRIPTORALFABETICO410"/>
      <w:r w:rsidRPr="00924F59">
        <w:rPr>
          <w:rStyle w:val="TextoNormalNegritaCaracter"/>
        </w:rPr>
        <w:t>Autonomía provincial</w:t>
      </w:r>
      <w:bookmarkEnd w:id="1202"/>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 9.</w:t>
      </w:r>
    </w:p>
    <w:p w:rsidR="00924F59" w:rsidRPr="00924F59" w:rsidRDefault="00924F59" w:rsidP="00924F59">
      <w:pPr>
        <w:pStyle w:val="TextoNormalSangraFrancesa"/>
        <w:rPr>
          <w:rStyle w:val="TextoNormalCaracter"/>
        </w:rPr>
      </w:pPr>
      <w:bookmarkStart w:id="1203" w:name="DESCRIPTORALFABETICO155"/>
      <w:r w:rsidRPr="00924F59">
        <w:rPr>
          <w:rStyle w:val="TextoNormalNegritaCaracter"/>
        </w:rPr>
        <w:t>Autorización judicial de internamiento psiquiátrico</w:t>
      </w:r>
      <w:bookmarkEnd w:id="1203"/>
      <w:r w:rsidRPr="00924F59">
        <w:rPr>
          <w:rStyle w:val="TextoNormalCaracter"/>
        </w:rPr>
        <w:t xml:space="preserve">, Sentencias </w:t>
      </w:r>
      <w:hyperlink w:anchor="SENTENCIA_2016_13" w:history="1">
        <w:r w:rsidRPr="00924F59">
          <w:rPr>
            <w:rStyle w:val="TextoNormalCaracter"/>
          </w:rPr>
          <w:t>13/2016</w:t>
        </w:r>
      </w:hyperlink>
      <w:r w:rsidRPr="00924F59">
        <w:rPr>
          <w:rStyle w:val="TextoNormalCaracter"/>
        </w:rPr>
        <w:t xml:space="preserve">, ff. 3, 4; </w:t>
      </w:r>
      <w:hyperlink w:anchor="SENTENCIA_2016_34" w:history="1">
        <w:r w:rsidRPr="00924F59">
          <w:rPr>
            <w:rStyle w:val="TextoNormalCaracter"/>
          </w:rPr>
          <w:t>34/2016</w:t>
        </w:r>
      </w:hyperlink>
      <w:r w:rsidRPr="00924F59">
        <w:rPr>
          <w:rStyle w:val="TextoNormalCaracter"/>
        </w:rPr>
        <w:t>, ff. 3, 5, 6.</w:t>
      </w:r>
    </w:p>
    <w:p w:rsidR="00924F59" w:rsidRPr="00924F59" w:rsidRDefault="00924F59" w:rsidP="00924F59">
      <w:pPr>
        <w:pStyle w:val="TextoNormalSangraFrancesa"/>
        <w:rPr>
          <w:rStyle w:val="TextoNormalCaracter"/>
        </w:rPr>
      </w:pPr>
      <w:bookmarkStart w:id="1204" w:name="DESCRIPTORALFABETICO471"/>
      <w:r w:rsidRPr="00924F59">
        <w:rPr>
          <w:rStyle w:val="TextoNormalNegritaCaracter"/>
        </w:rPr>
        <w:t>Autorizaciones administrativas</w:t>
      </w:r>
      <w:bookmarkEnd w:id="1204"/>
      <w:r w:rsidRPr="00924F59">
        <w:rPr>
          <w:rStyle w:val="TextoNormalCaracter"/>
        </w:rPr>
        <w:t xml:space="preserve">, Sentencia </w:t>
      </w:r>
      <w:hyperlink w:anchor="SENTENCIA_2016_57" w:history="1">
        <w:r w:rsidRPr="00924F59">
          <w:rPr>
            <w:rStyle w:val="TextoNormalCaracter"/>
          </w:rPr>
          <w:t>57/2016</w:t>
        </w:r>
      </w:hyperlink>
      <w:r w:rsidRPr="00924F59">
        <w:rPr>
          <w:rStyle w:val="TextoNormalCaracter"/>
        </w:rPr>
        <w:t>, f. 4.</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B</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205" w:name="DESCRIPTORALFABETICO105"/>
      <w:r w:rsidRPr="00924F59">
        <w:rPr>
          <w:rStyle w:val="TextoNormalNegritaCaracter"/>
        </w:rPr>
        <w:t>Base imponible</w:t>
      </w:r>
      <w:bookmarkEnd w:id="1205"/>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ff. 1, 2, 4, VP.</w:t>
      </w:r>
    </w:p>
    <w:p w:rsidR="00924F59" w:rsidRPr="00924F59" w:rsidRDefault="00924F59" w:rsidP="00924F59">
      <w:pPr>
        <w:pStyle w:val="TextoNormalSangraFrancesa"/>
        <w:rPr>
          <w:rStyle w:val="TextoNormalCaracter"/>
        </w:rPr>
      </w:pPr>
      <w:bookmarkStart w:id="1206" w:name="DESCRIPTORALFABETICO99"/>
      <w:r w:rsidRPr="00924F59">
        <w:rPr>
          <w:rStyle w:val="TextoNormalNegritaCaracter"/>
        </w:rPr>
        <w:t>Bases de la planificación económica</w:t>
      </w:r>
      <w:bookmarkEnd w:id="1206"/>
      <w:r w:rsidRPr="00924F59">
        <w:rPr>
          <w:rStyle w:val="TextoNormalCaracter"/>
        </w:rPr>
        <w:t xml:space="preserve">, Sentencias </w:t>
      </w:r>
      <w:hyperlink w:anchor="SENTENCIA_2016_17" w:history="1">
        <w:r w:rsidRPr="00924F59">
          <w:rPr>
            <w:rStyle w:val="TextoNormalCaracter"/>
          </w:rPr>
          <w:t>17/2016</w:t>
        </w:r>
      </w:hyperlink>
      <w:r w:rsidRPr="00924F59">
        <w:rPr>
          <w:rStyle w:val="TextoNormalCaracter"/>
        </w:rPr>
        <w:t xml:space="preserve">, f. 4; </w:t>
      </w:r>
      <w:hyperlink w:anchor="SENTENCIA_2016_20" w:history="1">
        <w:r w:rsidRPr="00924F59">
          <w:rPr>
            <w:rStyle w:val="TextoNormalCaracter"/>
          </w:rPr>
          <w:t>20/2016</w:t>
        </w:r>
      </w:hyperlink>
      <w:r w:rsidRPr="00924F59">
        <w:rPr>
          <w:rStyle w:val="TextoNormalCaracter"/>
        </w:rPr>
        <w:t xml:space="preserve">, ff. 2, 3, 7; </w:t>
      </w:r>
      <w:hyperlink w:anchor="SENTENCIA_2016_41" w:history="1">
        <w:r w:rsidRPr="00924F59">
          <w:rPr>
            <w:rStyle w:val="TextoNormalCaracter"/>
          </w:rPr>
          <w:t>41/2016</w:t>
        </w:r>
      </w:hyperlink>
      <w:r w:rsidRPr="00924F59">
        <w:rPr>
          <w:rStyle w:val="TextoNormalCaracter"/>
        </w:rPr>
        <w:t xml:space="preserve">, ff. 3 c), 4, 14; </w:t>
      </w:r>
      <w:hyperlink w:anchor="SENTENCIA_2016_73" w:history="1">
        <w:r w:rsidRPr="00924F59">
          <w:rPr>
            <w:rStyle w:val="TextoNormalCaracter"/>
          </w:rPr>
          <w:t>73/2016</w:t>
        </w:r>
      </w:hyperlink>
      <w:r w:rsidRPr="00924F59">
        <w:rPr>
          <w:rStyle w:val="TextoNormalCaracter"/>
        </w:rPr>
        <w:t>, f. 5.</w:t>
      </w:r>
    </w:p>
    <w:p w:rsidR="00924F59" w:rsidRPr="00924F59" w:rsidRDefault="00924F59" w:rsidP="00924F59">
      <w:pPr>
        <w:pStyle w:val="TextoNormalSangraFrancesa"/>
        <w:rPr>
          <w:rStyle w:val="TextoNormalCaracter"/>
        </w:rPr>
      </w:pPr>
      <w:bookmarkStart w:id="1207" w:name="DESCRIPTORALFABETICO492"/>
      <w:r w:rsidRPr="00924F59">
        <w:rPr>
          <w:rStyle w:val="TextoNormalNegritaCaracter"/>
        </w:rPr>
        <w:t>Bases del régimen estatutario de los funcionarios públicos</w:t>
      </w:r>
      <w:bookmarkEnd w:id="1207"/>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6, VP; </w:t>
      </w:r>
      <w:hyperlink w:anchor="SENTENCIA_2016_99" w:history="1">
        <w:r w:rsidRPr="00924F59">
          <w:rPr>
            <w:rStyle w:val="TextoNormalCaracter"/>
          </w:rPr>
          <w:t>99/2016</w:t>
        </w:r>
      </w:hyperlink>
      <w:r w:rsidRPr="00924F59">
        <w:rPr>
          <w:rStyle w:val="TextoNormalCaracter"/>
        </w:rPr>
        <w:t>, f. 7, VP.</w:t>
      </w:r>
    </w:p>
    <w:p w:rsidR="00924F59" w:rsidRPr="00924F59" w:rsidRDefault="00924F59" w:rsidP="00924F59">
      <w:pPr>
        <w:pStyle w:val="TextoNormalSangraFrancesa"/>
        <w:rPr>
          <w:rStyle w:val="TextoNormalCaracter"/>
        </w:rPr>
      </w:pPr>
      <w:bookmarkStart w:id="1208" w:name="DESCRIPTORALFABETICO378"/>
      <w:r w:rsidRPr="00924F59">
        <w:rPr>
          <w:rStyle w:val="TextoNormalNegritaCaracter"/>
        </w:rPr>
        <w:t>Bases del régimen jurídico de las Administraciones públicas</w:t>
      </w:r>
      <w:bookmarkEnd w:id="1208"/>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ff. 3 a 5, 6 b), 6 c), 7 c), 8 b), 9, 12 b), 13 c), 14.</w:t>
      </w:r>
    </w:p>
    <w:p w:rsidR="00924F59" w:rsidRPr="00924F59" w:rsidRDefault="00924F59" w:rsidP="00924F59">
      <w:pPr>
        <w:pStyle w:val="TextoNormalSangraFrancesa"/>
        <w:rPr>
          <w:rStyle w:val="TextoNormalCaracter"/>
        </w:rPr>
      </w:pPr>
      <w:bookmarkStart w:id="1209" w:name="DESCRIPTORALFABETICO586"/>
      <w:r w:rsidRPr="00924F59">
        <w:rPr>
          <w:rStyle w:val="TextoNormalNegritaCaracter"/>
        </w:rPr>
        <w:t>Becas</w:t>
      </w:r>
      <w:bookmarkEnd w:id="1209"/>
      <w:r w:rsidRPr="00924F59">
        <w:rPr>
          <w:rStyle w:val="TextoNormalCaracter"/>
        </w:rPr>
        <w:t xml:space="preserve">, Sentencia </w:t>
      </w:r>
      <w:hyperlink w:anchor="SENTENCIA_2016_95" w:history="1">
        <w:r w:rsidRPr="00924F59">
          <w:rPr>
            <w:rStyle w:val="TextoNormalCaracter"/>
          </w:rPr>
          <w:t>95/2016</w:t>
        </w:r>
      </w:hyperlink>
      <w:r w:rsidRPr="00924F59">
        <w:rPr>
          <w:rStyle w:val="TextoNormalCaracter"/>
        </w:rPr>
        <w:t>, ff. 1 a 6, 8, VP.</w:t>
      </w:r>
    </w:p>
    <w:p w:rsidR="00924F59" w:rsidRPr="00924F59" w:rsidRDefault="00924F59" w:rsidP="00924F59">
      <w:pPr>
        <w:pStyle w:val="TextoNormalSangraFrancesa"/>
        <w:rPr>
          <w:rStyle w:val="TextoNormalCaracter"/>
        </w:rPr>
      </w:pPr>
      <w:bookmarkStart w:id="1210" w:name="DESCRIPTORALFABETICO588"/>
      <w:r w:rsidRPr="00924F59">
        <w:rPr>
          <w:rStyle w:val="TextoNormalNegritaCaracter"/>
        </w:rPr>
        <w:t>Beneficiarios de subvenciones</w:t>
      </w:r>
      <w:bookmarkEnd w:id="1210"/>
      <w:r w:rsidRPr="00924F59">
        <w:rPr>
          <w:rStyle w:val="TextoNormalCaracter"/>
        </w:rPr>
        <w:t xml:space="preserve">, Sentencia </w:t>
      </w:r>
      <w:hyperlink w:anchor="SENTENCIA_2016_87" w:history="1">
        <w:r w:rsidRPr="00924F59">
          <w:rPr>
            <w:rStyle w:val="TextoNormalCaracter"/>
          </w:rPr>
          <w:t>87/2016</w:t>
        </w:r>
      </w:hyperlink>
      <w:r w:rsidRPr="00924F59">
        <w:rPr>
          <w:rStyle w:val="TextoNormalCaracter"/>
        </w:rPr>
        <w:t>, f. 7 a).</w:t>
      </w:r>
    </w:p>
    <w:p w:rsidR="00924F59" w:rsidRPr="00924F59" w:rsidRDefault="00924F59" w:rsidP="00924F59">
      <w:pPr>
        <w:pStyle w:val="TextoNormalSangraFrancesa"/>
        <w:rPr>
          <w:rStyle w:val="TextoNormalCaracter"/>
        </w:rPr>
      </w:pPr>
      <w:bookmarkStart w:id="1211" w:name="DESCRIPTORALFABETICO1"/>
      <w:r w:rsidRPr="00924F59">
        <w:rPr>
          <w:rStyle w:val="TextoNormalNegritaCaracter"/>
        </w:rPr>
        <w:t>Bloque de constitucionalidad</w:t>
      </w:r>
      <w:bookmarkEnd w:id="1211"/>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 3 c).</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C</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212" w:name="DESCRIPTORALFABETICO549"/>
      <w:r w:rsidRPr="00924F59">
        <w:rPr>
          <w:rStyle w:val="TextoNormalNegritaCaracter"/>
        </w:rPr>
        <w:t>Calendario escolar</w:t>
      </w:r>
      <w:bookmarkEnd w:id="1212"/>
      <w:r w:rsidRPr="00924F59">
        <w:rPr>
          <w:rStyle w:val="TextoNormalCaracter"/>
        </w:rPr>
        <w:t xml:space="preserve">, Sentencia </w:t>
      </w:r>
      <w:hyperlink w:anchor="SENTENCIA_2016_38" w:history="1">
        <w:r w:rsidRPr="00924F59">
          <w:rPr>
            <w:rStyle w:val="TextoNormalCaracter"/>
          </w:rPr>
          <w:t>38/2016</w:t>
        </w:r>
      </w:hyperlink>
      <w:r w:rsidRPr="00924F59">
        <w:rPr>
          <w:rStyle w:val="TextoNormalCaracter"/>
        </w:rPr>
        <w:t>, ff. 4 a 8.</w:t>
      </w:r>
    </w:p>
    <w:p w:rsidR="00924F59" w:rsidRPr="00924F59" w:rsidRDefault="00924F59" w:rsidP="00924F59">
      <w:pPr>
        <w:pStyle w:val="TextoNormalSangraFrancesa"/>
        <w:rPr>
          <w:rStyle w:val="TextoNormalCaracter"/>
        </w:rPr>
      </w:pPr>
      <w:bookmarkStart w:id="1213" w:name="DESCRIPTORALFABETICO691"/>
      <w:r w:rsidRPr="00924F59">
        <w:rPr>
          <w:rStyle w:val="TextoNormalNegritaCaracter"/>
        </w:rPr>
        <w:t>Calificación de las normas jurídicas</w:t>
      </w:r>
      <w:bookmarkEnd w:id="1213"/>
      <w:r w:rsidRPr="00924F59">
        <w:rPr>
          <w:rStyle w:val="TextoNormalCaracter"/>
        </w:rPr>
        <w:t xml:space="preserve">, Sentencia </w:t>
      </w:r>
      <w:hyperlink w:anchor="SENTENCIA_2016_102" w:history="1">
        <w:r w:rsidRPr="00924F59">
          <w:rPr>
            <w:rStyle w:val="TextoNormalCaracter"/>
          </w:rPr>
          <w:t>102/2016</w:t>
        </w:r>
      </w:hyperlink>
      <w:r w:rsidRPr="00924F59">
        <w:rPr>
          <w:rStyle w:val="TextoNormalCaracter"/>
        </w:rPr>
        <w:t>, f.2.</w:t>
      </w:r>
    </w:p>
    <w:p w:rsidR="00924F59" w:rsidRPr="00924F59" w:rsidRDefault="00924F59" w:rsidP="00924F59">
      <w:pPr>
        <w:pStyle w:val="TextoNormalSangraFrancesa"/>
        <w:rPr>
          <w:rStyle w:val="TextoNormalCaracter"/>
        </w:rPr>
      </w:pPr>
      <w:bookmarkStart w:id="1214" w:name="DESCRIPTORALFABETICO734"/>
      <w:r w:rsidRPr="00924F59">
        <w:rPr>
          <w:rStyle w:val="TextoNormalNegritaCaracter"/>
        </w:rPr>
        <w:t>Calificación del concurso</w:t>
      </w:r>
      <w:bookmarkEnd w:id="1214"/>
      <w:r w:rsidRPr="00924F59">
        <w:rPr>
          <w:rStyle w:val="TextoNormalCaracter"/>
        </w:rPr>
        <w:t xml:space="preserve">, Auto </w:t>
      </w:r>
      <w:hyperlink w:anchor="AUTO_2016_35" w:history="1">
        <w:r w:rsidRPr="00924F59">
          <w:rPr>
            <w:rStyle w:val="TextoNormalCaracter"/>
          </w:rPr>
          <w:t>35/2016</w:t>
        </w:r>
      </w:hyperlink>
      <w:r w:rsidRPr="00924F59">
        <w:rPr>
          <w:rStyle w:val="TextoNormalCaracter"/>
        </w:rPr>
        <w:t>, ff. 1 a 4.</w:t>
      </w:r>
    </w:p>
    <w:p w:rsidR="00924F59" w:rsidRPr="00924F59" w:rsidRDefault="00924F59" w:rsidP="00924F59">
      <w:pPr>
        <w:pStyle w:val="TextoNormalSangraFrancesa"/>
        <w:rPr>
          <w:rStyle w:val="TextoNormalCaracter"/>
        </w:rPr>
      </w:pPr>
      <w:bookmarkStart w:id="1215" w:name="DESCRIPTORALFABETICO767"/>
      <w:r w:rsidRPr="00924F59">
        <w:rPr>
          <w:rStyle w:val="TextoNormalNegritaCaracter"/>
        </w:rPr>
        <w:t>Cámara oculta en el ámbito laboral</w:t>
      </w:r>
      <w:bookmarkEnd w:id="1215"/>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1, 3 a 5, VP I, VP II.</w:t>
      </w:r>
    </w:p>
    <w:p w:rsidR="00924F59" w:rsidRPr="00924F59" w:rsidRDefault="00924F59" w:rsidP="00924F59">
      <w:pPr>
        <w:pStyle w:val="TextoNormalSangraFrancesa"/>
        <w:rPr>
          <w:rStyle w:val="TextoNormalCaracter"/>
        </w:rPr>
      </w:pPr>
      <w:bookmarkStart w:id="1216" w:name="DESCRIPTORALFABETICO772"/>
      <w:r w:rsidRPr="00924F59">
        <w:rPr>
          <w:rStyle w:val="TextoNormalNegritaCaracter"/>
        </w:rPr>
        <w:t>Cambio de centro de trabajo</w:t>
      </w:r>
      <w:bookmarkEnd w:id="1216"/>
      <w:r w:rsidRPr="00924F59">
        <w:rPr>
          <w:rStyle w:val="TextoNormalCaracter"/>
        </w:rPr>
        <w:t xml:space="preserve">, Sentencia </w:t>
      </w:r>
      <w:hyperlink w:anchor="SENTENCIA_2016_64" w:history="1">
        <w:r w:rsidRPr="00924F59">
          <w:rPr>
            <w:rStyle w:val="TextoNormalCaracter"/>
          </w:rPr>
          <w:t>64/2016</w:t>
        </w:r>
      </w:hyperlink>
      <w:r w:rsidRPr="00924F59">
        <w:rPr>
          <w:rStyle w:val="TextoNormalCaracter"/>
        </w:rPr>
        <w:t>, ff. 1, 2, 5, 6, VP.</w:t>
      </w:r>
    </w:p>
    <w:p w:rsidR="00924F59" w:rsidRPr="00924F59" w:rsidRDefault="00924F59" w:rsidP="00924F59">
      <w:pPr>
        <w:pStyle w:val="TextoNormalSangraFrancesa"/>
        <w:rPr>
          <w:rStyle w:val="TextoNormalCaracter"/>
        </w:rPr>
      </w:pPr>
      <w:bookmarkStart w:id="1217" w:name="DESCRIPTORALFABETICO773"/>
      <w:r w:rsidRPr="00924F59">
        <w:rPr>
          <w:rStyle w:val="TextoNormalNegritaCaracter"/>
        </w:rPr>
        <w:t>Cambio de puesto de trabajo</w:t>
      </w:r>
      <w:bookmarkEnd w:id="1217"/>
      <w:r w:rsidRPr="00924F59">
        <w:rPr>
          <w:rStyle w:val="TextoNormalCaracter"/>
        </w:rPr>
        <w:t xml:space="preserve">, Sentencia </w:t>
      </w:r>
      <w:hyperlink w:anchor="SENTENCIA_2016_64" w:history="1">
        <w:r w:rsidRPr="00924F59">
          <w:rPr>
            <w:rStyle w:val="TextoNormalCaracter"/>
          </w:rPr>
          <w:t>64/2016</w:t>
        </w:r>
      </w:hyperlink>
      <w:r w:rsidRPr="00924F59">
        <w:rPr>
          <w:rStyle w:val="TextoNormalCaracter"/>
        </w:rPr>
        <w:t>, ff. 1, 2, 5, 6, VP.</w:t>
      </w:r>
    </w:p>
    <w:p w:rsidR="00924F59" w:rsidRPr="00924F59" w:rsidRDefault="00924F59" w:rsidP="00924F59">
      <w:pPr>
        <w:pStyle w:val="TextoNormalSangraFrancesa"/>
        <w:rPr>
          <w:rStyle w:val="TextoNormalCaracter"/>
        </w:rPr>
      </w:pPr>
      <w:bookmarkStart w:id="1218" w:name="DESCRIPTORALFABETICO831"/>
      <w:r w:rsidRPr="00924F59">
        <w:rPr>
          <w:rStyle w:val="TextoNormalNegritaCaracter"/>
        </w:rPr>
        <w:t>Cancelación de anotación preventiva de demanda de amparo</w:t>
      </w:r>
      <w:bookmarkEnd w:id="1218"/>
      <w:r w:rsidRPr="00924F59">
        <w:rPr>
          <w:rStyle w:val="TextoNormalCaracter"/>
        </w:rPr>
        <w:t xml:space="preserve">, Auto </w:t>
      </w:r>
      <w:hyperlink w:anchor="AUTO_2016_110" w:history="1">
        <w:r w:rsidRPr="00924F59">
          <w:rPr>
            <w:rStyle w:val="TextoNormalCaracter"/>
          </w:rPr>
          <w:t>110/2016</w:t>
        </w:r>
      </w:hyperlink>
      <w:r w:rsidRPr="00924F59">
        <w:rPr>
          <w:rStyle w:val="TextoNormalCaracter"/>
        </w:rPr>
        <w:t>, único.</w:t>
      </w:r>
    </w:p>
    <w:p w:rsidR="00924F59" w:rsidRPr="00924F59" w:rsidRDefault="00924F59" w:rsidP="00924F59">
      <w:pPr>
        <w:pStyle w:val="TextoNormalSangraFrancesa"/>
        <w:rPr>
          <w:rStyle w:val="TextoNormalCaracter"/>
        </w:rPr>
      </w:pPr>
      <w:bookmarkStart w:id="1219" w:name="DESCRIPTORALFABETICO229"/>
      <w:r w:rsidRPr="00924F59">
        <w:rPr>
          <w:rStyle w:val="TextoNormalNegritaCaracter"/>
        </w:rPr>
        <w:t>Canon de constitucionalidad competencial</w:t>
      </w:r>
      <w:bookmarkEnd w:id="1219"/>
      <w:r w:rsidRPr="00924F59">
        <w:rPr>
          <w:rStyle w:val="TextoNormalCaracter"/>
        </w:rPr>
        <w:t xml:space="preserve">, Sentencia </w:t>
      </w:r>
      <w:hyperlink w:anchor="SENTENCIA_2016_7" w:history="1">
        <w:r w:rsidRPr="00924F59">
          <w:rPr>
            <w:rStyle w:val="TextoNormalCaracter"/>
          </w:rPr>
          <w:t>7/2016</w:t>
        </w:r>
      </w:hyperlink>
      <w:r w:rsidRPr="00924F59">
        <w:rPr>
          <w:rStyle w:val="TextoNormalCaracter"/>
        </w:rPr>
        <w:t>, f. 2.</w:t>
      </w:r>
    </w:p>
    <w:p w:rsidR="00924F59" w:rsidRPr="00924F59" w:rsidRDefault="00924F59" w:rsidP="00924F59">
      <w:pPr>
        <w:pStyle w:val="TextoNormalSangraFrancesa"/>
        <w:rPr>
          <w:rStyle w:val="TextoNormalCaracter"/>
        </w:rPr>
      </w:pPr>
      <w:bookmarkStart w:id="1220" w:name="DESCRIPTORALFABETICO180"/>
      <w:r w:rsidRPr="00924F59">
        <w:rPr>
          <w:rStyle w:val="TextoNormalNegritaCaracter"/>
        </w:rPr>
        <w:t>Canon de motivación reforzado</w:t>
      </w:r>
      <w:bookmarkEnd w:id="1220"/>
      <w:r w:rsidRPr="00924F59">
        <w:rPr>
          <w:rStyle w:val="TextoNormalCaracter"/>
        </w:rPr>
        <w:t xml:space="preserve">, Sentencia </w:t>
      </w:r>
      <w:hyperlink w:anchor="SENTENCIA_2016_65" w:history="1">
        <w:r w:rsidRPr="00924F59">
          <w:rPr>
            <w:rStyle w:val="TextoNormalCaracter"/>
          </w:rPr>
          <w:t>65/2016</w:t>
        </w:r>
      </w:hyperlink>
      <w:r w:rsidRPr="00924F59">
        <w:rPr>
          <w:rStyle w:val="TextoNormalCaracter"/>
        </w:rPr>
        <w:t>, f. 7.</w:t>
      </w:r>
    </w:p>
    <w:p w:rsidR="00924F59" w:rsidRPr="00924F59" w:rsidRDefault="00924F59" w:rsidP="00924F59">
      <w:pPr>
        <w:pStyle w:val="TextoNormalSangraFrancesa"/>
        <w:rPr>
          <w:rStyle w:val="TextoNormalCaracter"/>
        </w:rPr>
      </w:pPr>
      <w:bookmarkStart w:id="1221" w:name="DESCRIPTORALFABETICO181"/>
      <w:r w:rsidRPr="00924F59">
        <w:rPr>
          <w:rStyle w:val="TextoNormalNegritaCaracter"/>
        </w:rPr>
        <w:t>Canon de motivación reforzado cuando afecta a la libertad personal</w:t>
      </w:r>
      <w:bookmarkEnd w:id="1221"/>
      <w:r w:rsidRPr="00924F59">
        <w:rPr>
          <w:rStyle w:val="TextoNormalCaracter"/>
        </w:rPr>
        <w:t xml:space="preserve">, Sentencias </w:t>
      </w:r>
      <w:hyperlink w:anchor="SENTENCIA_2016_12" w:history="1">
        <w:r w:rsidRPr="00924F59">
          <w:rPr>
            <w:rStyle w:val="TextoNormalCaracter"/>
          </w:rPr>
          <w:t>12/2016</w:t>
        </w:r>
      </w:hyperlink>
      <w:r w:rsidRPr="00924F59">
        <w:rPr>
          <w:rStyle w:val="TextoNormalCaracter"/>
        </w:rPr>
        <w:t xml:space="preserve">, f. 3; </w:t>
      </w:r>
      <w:hyperlink w:anchor="SENTENCIA_2016_14" w:history="1">
        <w:r w:rsidRPr="00924F59">
          <w:rPr>
            <w:rStyle w:val="TextoNormalCaracter"/>
          </w:rPr>
          <w:t>14/2016</w:t>
        </w:r>
      </w:hyperlink>
      <w:r w:rsidRPr="00924F59">
        <w:rPr>
          <w:rStyle w:val="TextoNormalCaracter"/>
        </w:rPr>
        <w:t>, ff. 2, 4.</w:t>
      </w:r>
    </w:p>
    <w:p w:rsidR="00924F59" w:rsidRPr="00924F59" w:rsidRDefault="00924F59" w:rsidP="00924F59">
      <w:pPr>
        <w:pStyle w:val="TextoNormalSangraFrancesa"/>
        <w:rPr>
          <w:rStyle w:val="TextoNormalCaracter"/>
        </w:rPr>
      </w:pPr>
      <w:bookmarkStart w:id="1222" w:name="DESCRIPTORALFABETICO665"/>
      <w:r w:rsidRPr="00924F59">
        <w:rPr>
          <w:rStyle w:val="TextoNormalNegritaCaracter"/>
        </w:rPr>
        <w:t>Carácter básico de las normas jurídicas</w:t>
      </w:r>
      <w:bookmarkEnd w:id="1222"/>
      <w:r w:rsidRPr="00924F59">
        <w:rPr>
          <w:rStyle w:val="TextoNormalCaracter"/>
        </w:rPr>
        <w:t xml:space="preserve">, Sentencias </w:t>
      </w:r>
      <w:hyperlink w:anchor="SENTENCIA_2016_7" w:history="1">
        <w:r w:rsidRPr="00924F59">
          <w:rPr>
            <w:rStyle w:val="TextoNormalCaracter"/>
          </w:rPr>
          <w:t>7/2016</w:t>
        </w:r>
      </w:hyperlink>
      <w:r w:rsidRPr="00924F59">
        <w:rPr>
          <w:rStyle w:val="TextoNormalCaracter"/>
        </w:rPr>
        <w:t xml:space="preserve">, ff. 4, 5; </w:t>
      </w:r>
      <w:hyperlink w:anchor="SENTENCIA_2016_17" w:history="1">
        <w:r w:rsidRPr="00924F59">
          <w:rPr>
            <w:rStyle w:val="TextoNormalCaracter"/>
          </w:rPr>
          <w:t>17/2016</w:t>
        </w:r>
      </w:hyperlink>
      <w:r w:rsidRPr="00924F59">
        <w:rPr>
          <w:rStyle w:val="TextoNormalCaracter"/>
        </w:rPr>
        <w:t xml:space="preserve">, f. 4; </w:t>
      </w:r>
      <w:hyperlink w:anchor="SENTENCIA_2016_32" w:history="1">
        <w:r w:rsidRPr="00924F59">
          <w:rPr>
            <w:rStyle w:val="TextoNormalCaracter"/>
          </w:rPr>
          <w:t>32/2016</w:t>
        </w:r>
      </w:hyperlink>
      <w:r w:rsidRPr="00924F59">
        <w:rPr>
          <w:rStyle w:val="TextoNormalCaracter"/>
        </w:rPr>
        <w:t xml:space="preserve">, ff. 1 a 13; </w:t>
      </w:r>
      <w:hyperlink w:anchor="SENTENCIA_2016_59" w:history="1">
        <w:r w:rsidRPr="00924F59">
          <w:rPr>
            <w:rStyle w:val="TextoNormalCaracter"/>
          </w:rPr>
          <w:t>59/2016</w:t>
        </w:r>
      </w:hyperlink>
      <w:r w:rsidRPr="00924F59">
        <w:rPr>
          <w:rStyle w:val="TextoNormalCaracter"/>
        </w:rPr>
        <w:t xml:space="preserve">, ff. 3 a 5; </w:t>
      </w:r>
      <w:hyperlink w:anchor="SENTENCIA_2016_60" w:history="1">
        <w:r w:rsidRPr="00924F59">
          <w:rPr>
            <w:rStyle w:val="TextoNormalCaracter"/>
          </w:rPr>
          <w:t>60/2016</w:t>
        </w:r>
      </w:hyperlink>
      <w:r w:rsidRPr="00924F59">
        <w:rPr>
          <w:rStyle w:val="TextoNormalCaracter"/>
        </w:rPr>
        <w:t xml:space="preserve">, ff. 1 a 8; </w:t>
      </w:r>
      <w:hyperlink w:anchor="SENTENCIA_2016_72" w:history="1">
        <w:r w:rsidRPr="00924F59">
          <w:rPr>
            <w:rStyle w:val="TextoNormalCaracter"/>
          </w:rPr>
          <w:t>72/2016</w:t>
        </w:r>
      </w:hyperlink>
      <w:r w:rsidRPr="00924F59">
        <w:rPr>
          <w:rStyle w:val="TextoNormalCaracter"/>
        </w:rPr>
        <w:t xml:space="preserve">, ff. 1 a 3; </w:t>
      </w:r>
      <w:hyperlink w:anchor="SENTENCIA_2016_73" w:history="1">
        <w:r w:rsidRPr="00924F59">
          <w:rPr>
            <w:rStyle w:val="TextoNormalCaracter"/>
          </w:rPr>
          <w:t>73/2016</w:t>
        </w:r>
      </w:hyperlink>
      <w:r w:rsidRPr="00924F59">
        <w:rPr>
          <w:rStyle w:val="TextoNormalCaracter"/>
        </w:rPr>
        <w:t xml:space="preserve">, ff. 5, 7; </w:t>
      </w:r>
      <w:hyperlink w:anchor="SENTENCIA_2016_102" w:history="1">
        <w:r w:rsidRPr="00924F59">
          <w:rPr>
            <w:rStyle w:val="TextoNormalCaracter"/>
          </w:rPr>
          <w:t>102/2016</w:t>
        </w:r>
      </w:hyperlink>
      <w:r w:rsidRPr="00924F59">
        <w:rPr>
          <w:rStyle w:val="TextoNormalCaracter"/>
        </w:rPr>
        <w:t xml:space="preserve">, VP; </w:t>
      </w:r>
      <w:hyperlink w:anchor="SENTENCIA_2016_120" w:history="1">
        <w:r w:rsidRPr="00924F59">
          <w:rPr>
            <w:rStyle w:val="TextoNormalCaracter"/>
          </w:rPr>
          <w:t>120/2016</w:t>
        </w:r>
      </w:hyperlink>
      <w:r w:rsidRPr="00924F59">
        <w:rPr>
          <w:rStyle w:val="TextoNormalCaracter"/>
        </w:rPr>
        <w:t>, ff. 5 a 11.</w:t>
      </w:r>
    </w:p>
    <w:p w:rsidR="00924F59" w:rsidRPr="00924F59" w:rsidRDefault="00924F59" w:rsidP="00924F59">
      <w:pPr>
        <w:pStyle w:val="TextoNormalSangraFrancesa"/>
        <w:rPr>
          <w:rStyle w:val="TextoNormalCaracter"/>
        </w:rPr>
      </w:pPr>
      <w:bookmarkStart w:id="1223" w:name="DESCRIPTORALFABETICO452"/>
      <w:r w:rsidRPr="00924F59">
        <w:rPr>
          <w:rStyle w:val="TextoNormalNegritaCaracter"/>
        </w:rPr>
        <w:t>Carácter bifronte del régimen local</w:t>
      </w:r>
      <w:bookmarkEnd w:id="1223"/>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ff. 3 a), 5.</w:t>
      </w:r>
    </w:p>
    <w:p w:rsidR="00924F59" w:rsidRPr="00924F59" w:rsidRDefault="00924F59" w:rsidP="00924F59">
      <w:pPr>
        <w:pStyle w:val="TextoNormalSangraFrancesa"/>
        <w:rPr>
          <w:rStyle w:val="TextoNormalCaracter"/>
        </w:rPr>
      </w:pPr>
      <w:bookmarkStart w:id="1224" w:name="DESCRIPTORALFABETICO318"/>
      <w:r w:rsidRPr="00924F59">
        <w:rPr>
          <w:rStyle w:val="TextoNormalNegritaCaracter"/>
        </w:rPr>
        <w:t>Carácter cautelar del recurso de amparo</w:t>
      </w:r>
      <w:bookmarkEnd w:id="1224"/>
      <w:r w:rsidRPr="00924F59">
        <w:rPr>
          <w:rStyle w:val="TextoNormalCaracter"/>
        </w:rPr>
        <w:t xml:space="preserve">, Auto </w:t>
      </w:r>
      <w:hyperlink w:anchor="AUTO_2016_98" w:history="1">
        <w:r w:rsidRPr="00924F59">
          <w:rPr>
            <w:rStyle w:val="TextoNormalCaracter"/>
          </w:rPr>
          <w:t>98/2016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225" w:name="DESCRIPTORALFABETICO655"/>
      <w:r w:rsidRPr="00924F59">
        <w:rPr>
          <w:rStyle w:val="TextoNormalNegritaCaracter"/>
        </w:rPr>
        <w:t>Carácter excepcional de los decretos-leyes</w:t>
      </w:r>
      <w:bookmarkEnd w:id="1225"/>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ff. 4, 5; </w:t>
      </w:r>
      <w:hyperlink w:anchor="SENTENCIA_2016_119" w:history="1">
        <w:r w:rsidRPr="00924F59">
          <w:rPr>
            <w:rStyle w:val="TextoNormalCaracter"/>
          </w:rPr>
          <w:t>119/2016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226" w:name="DESCRIPTORALFABETICO699"/>
      <w:r w:rsidRPr="00924F59">
        <w:rPr>
          <w:rStyle w:val="TextoNormalNegritaCaracter"/>
        </w:rPr>
        <w:t>Carácter prevalente de la interpretación conforme</w:t>
      </w:r>
      <w:bookmarkEnd w:id="1226"/>
      <w:r w:rsidRPr="00924F59">
        <w:rPr>
          <w:rStyle w:val="TextoNormalCaracter"/>
        </w:rPr>
        <w:t xml:space="preserve">, Sentencias </w:t>
      </w:r>
      <w:hyperlink w:anchor="SENTENCIA_2016_17" w:history="1">
        <w:r w:rsidRPr="00924F59">
          <w:rPr>
            <w:rStyle w:val="TextoNormalCaracter"/>
          </w:rPr>
          <w:t>17/2016</w:t>
        </w:r>
      </w:hyperlink>
      <w:r w:rsidRPr="00924F59">
        <w:rPr>
          <w:rStyle w:val="TextoNormalCaracter"/>
        </w:rPr>
        <w:t xml:space="preserve">, f. 4; </w:t>
      </w:r>
      <w:hyperlink w:anchor="SENTENCIA_2016_32" w:history="1">
        <w:r w:rsidRPr="00924F59">
          <w:rPr>
            <w:rStyle w:val="TextoNormalCaracter"/>
          </w:rPr>
          <w:t>32/2016</w:t>
        </w:r>
      </w:hyperlink>
      <w:r w:rsidRPr="00924F59">
        <w:rPr>
          <w:rStyle w:val="TextoNormalCaracter"/>
        </w:rPr>
        <w:t xml:space="preserve">, ff. 5, 10; </w:t>
      </w:r>
      <w:hyperlink w:anchor="SENTENCIA_2016_60" w:history="1">
        <w:r w:rsidRPr="00924F59">
          <w:rPr>
            <w:rStyle w:val="TextoNormalCaracter"/>
          </w:rPr>
          <w:t>60/2016</w:t>
        </w:r>
      </w:hyperlink>
      <w:r w:rsidRPr="00924F59">
        <w:rPr>
          <w:rStyle w:val="TextoNormalCaracter"/>
        </w:rPr>
        <w:t>, f. 5.</w:t>
      </w:r>
    </w:p>
    <w:p w:rsidR="00924F59" w:rsidRPr="00924F59" w:rsidRDefault="00924F59" w:rsidP="00924F59">
      <w:pPr>
        <w:pStyle w:val="TextoNormalSangraFrancesa"/>
        <w:rPr>
          <w:rStyle w:val="TextoNormalCaracter"/>
        </w:rPr>
      </w:pPr>
      <w:bookmarkStart w:id="1227" w:name="DESCRIPTORALFABETICO319"/>
      <w:r w:rsidRPr="00924F59">
        <w:rPr>
          <w:rStyle w:val="TextoNormalNegritaCaracter"/>
        </w:rPr>
        <w:t>Carácter subsidiario del recurso de amparo</w:t>
      </w:r>
      <w:bookmarkEnd w:id="1227"/>
      <w:r w:rsidRPr="00924F59">
        <w:rPr>
          <w:rStyle w:val="TextoNormalCaracter"/>
        </w:rPr>
        <w:t xml:space="preserve">, Sentencias </w:t>
      </w:r>
      <w:hyperlink w:anchor="SENTENCIA_2016_58" w:history="1">
        <w:r w:rsidRPr="00924F59">
          <w:rPr>
            <w:rStyle w:val="TextoNormalCaracter"/>
          </w:rPr>
          <w:t>58/2016</w:t>
        </w:r>
      </w:hyperlink>
      <w:r w:rsidRPr="00924F59">
        <w:rPr>
          <w:rStyle w:val="TextoNormalCaracter"/>
        </w:rPr>
        <w:t xml:space="preserve">, ff. 3, 5, 6; </w:t>
      </w:r>
      <w:hyperlink w:anchor="SENTENCIA_2016_63" w:history="1">
        <w:r w:rsidRPr="00924F59">
          <w:rPr>
            <w:rStyle w:val="TextoNormalCaracter"/>
          </w:rPr>
          <w:t>63/2016</w:t>
        </w:r>
      </w:hyperlink>
      <w:r w:rsidRPr="00924F59">
        <w:rPr>
          <w:rStyle w:val="TextoNormalCaracter"/>
        </w:rPr>
        <w:t xml:space="preserve">, f. 2; </w:t>
      </w:r>
      <w:hyperlink w:anchor="SENTENCIA_2016_75" w:history="1">
        <w:r w:rsidRPr="00924F59">
          <w:rPr>
            <w:rStyle w:val="TextoNormalCaracter"/>
          </w:rPr>
          <w:t>75/2016</w:t>
        </w:r>
      </w:hyperlink>
      <w:r w:rsidRPr="00924F59">
        <w:rPr>
          <w:rStyle w:val="TextoNormalCaracter"/>
        </w:rPr>
        <w:t xml:space="preserve">, ff. 2, 3; </w:t>
      </w:r>
      <w:hyperlink w:anchor="SENTENCIA_2016_76" w:history="1">
        <w:r w:rsidRPr="00924F59">
          <w:rPr>
            <w:rStyle w:val="TextoNormalCaracter"/>
          </w:rPr>
          <w:t>76/2016</w:t>
        </w:r>
      </w:hyperlink>
      <w:r w:rsidRPr="00924F59">
        <w:rPr>
          <w:rStyle w:val="TextoNormalCaracter"/>
        </w:rPr>
        <w:t xml:space="preserve">, f. 3; </w:t>
      </w:r>
      <w:hyperlink w:anchor="SENTENCIA_2016_77" w:history="1">
        <w:r w:rsidRPr="00924F59">
          <w:rPr>
            <w:rStyle w:val="TextoNormalCaracter"/>
          </w:rPr>
          <w:t>77/2016</w:t>
        </w:r>
      </w:hyperlink>
      <w:r w:rsidRPr="00924F59">
        <w:rPr>
          <w:rStyle w:val="TextoNormalCaracter"/>
        </w:rPr>
        <w:t>, f. 2.</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98" w:history="1">
        <w:r w:rsidRPr="00924F59">
          <w:rPr>
            <w:rStyle w:val="TextoNormalCaracter"/>
          </w:rPr>
          <w:t>98/2016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228" w:name="DESCRIPTORALFABETICO338"/>
      <w:r w:rsidRPr="00924F59">
        <w:rPr>
          <w:rStyle w:val="TextoNormalNegritaCaracter"/>
        </w:rPr>
        <w:t>Carencia de especial trascendencia constitucional</w:t>
      </w:r>
      <w:bookmarkEnd w:id="1228"/>
      <w:r w:rsidRPr="00924F59">
        <w:rPr>
          <w:rStyle w:val="TextoNormalCaracter"/>
        </w:rPr>
        <w:t xml:space="preserve">, Auto </w:t>
      </w:r>
      <w:hyperlink w:anchor="AUTO_2016_107" w:history="1">
        <w:r w:rsidRPr="00924F59">
          <w:rPr>
            <w:rStyle w:val="TextoNormalCaracter"/>
          </w:rPr>
          <w:t>107/2016</w:t>
        </w:r>
      </w:hyperlink>
      <w:r w:rsidRPr="00924F59">
        <w:rPr>
          <w:rStyle w:val="TextoNormalCaracter"/>
        </w:rPr>
        <w:t>, ff. 1, 2.</w:t>
      </w:r>
    </w:p>
    <w:p w:rsidR="00924F59" w:rsidRPr="00924F59" w:rsidRDefault="00924F59" w:rsidP="00924F59">
      <w:pPr>
        <w:pStyle w:val="TextoNormalSangraFrancesa"/>
        <w:rPr>
          <w:rStyle w:val="TextoNormalCaracter"/>
        </w:rPr>
      </w:pPr>
      <w:bookmarkStart w:id="1229" w:name="DESCRIPTORALFABETICO339"/>
      <w:r w:rsidRPr="00924F59">
        <w:rPr>
          <w:rStyle w:val="TextoNormalNegritaCaracter"/>
        </w:rPr>
        <w:t>Carencia de justificación de la especial trascendencia constitucional</w:t>
      </w:r>
      <w:bookmarkEnd w:id="1229"/>
      <w:r w:rsidRPr="00924F59">
        <w:rPr>
          <w:rStyle w:val="TextoNormalCaracter"/>
        </w:rPr>
        <w:t xml:space="preserve">, Auto </w:t>
      </w:r>
      <w:hyperlink w:anchor="AUTO_2016_98" w:history="1">
        <w:r w:rsidRPr="00924F59">
          <w:rPr>
            <w:rStyle w:val="TextoNormalCaracter"/>
          </w:rPr>
          <w:t>98/2016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230" w:name="DESCRIPTORALFABETICO818"/>
      <w:r w:rsidRPr="00924F59">
        <w:rPr>
          <w:rStyle w:val="TextoNormalNegritaCaracter"/>
        </w:rPr>
        <w:t>Carga de alegación</w:t>
      </w:r>
      <w:bookmarkEnd w:id="1230"/>
      <w:r w:rsidRPr="00924F59">
        <w:rPr>
          <w:rStyle w:val="TextoNormalCaracter"/>
        </w:rPr>
        <w:t xml:space="preserve">, Sentencias </w:t>
      </w:r>
      <w:hyperlink w:anchor="SENTENCIA_2016_31" w:history="1">
        <w:r w:rsidRPr="00924F59">
          <w:rPr>
            <w:rStyle w:val="TextoNormalCaracter"/>
          </w:rPr>
          <w:t>31/2016</w:t>
        </w:r>
      </w:hyperlink>
      <w:r w:rsidRPr="00924F59">
        <w:rPr>
          <w:rStyle w:val="TextoNormalCaracter"/>
        </w:rPr>
        <w:t xml:space="preserve">, f. 2; </w:t>
      </w:r>
      <w:hyperlink w:anchor="SENTENCIA_2016_55" w:history="1">
        <w:r w:rsidRPr="00924F59">
          <w:rPr>
            <w:rStyle w:val="TextoNormalCaracter"/>
          </w:rPr>
          <w:t>55/2016</w:t>
        </w:r>
      </w:hyperlink>
      <w:r w:rsidRPr="00924F59">
        <w:rPr>
          <w:rStyle w:val="TextoNormalCaracter"/>
        </w:rPr>
        <w:t>, f. 2.</w:t>
      </w:r>
    </w:p>
    <w:p w:rsidR="00924F59" w:rsidRPr="00924F59" w:rsidRDefault="00924F59" w:rsidP="00924F59">
      <w:pPr>
        <w:pStyle w:val="TextoNormalSangraFrancesa"/>
        <w:rPr>
          <w:rStyle w:val="TextoNormalCaracter"/>
        </w:rPr>
      </w:pPr>
      <w:bookmarkStart w:id="1231" w:name="DESCRIPTORALFABETICO416"/>
      <w:r w:rsidRPr="00924F59">
        <w:rPr>
          <w:rStyle w:val="TextoNormalNegritaCaracter"/>
        </w:rPr>
        <w:t>Carga de razonamiento de la supuesta arbitrariedad</w:t>
      </w:r>
      <w:bookmarkEnd w:id="1231"/>
      <w:r w:rsidRPr="00924F59">
        <w:rPr>
          <w:rStyle w:val="TextoNormalCaracter"/>
        </w:rPr>
        <w:t xml:space="preserve">, Sentencias </w:t>
      </w:r>
      <w:hyperlink w:anchor="SENTENCIA_2016_29" w:history="1">
        <w:r w:rsidRPr="00924F59">
          <w:rPr>
            <w:rStyle w:val="TextoNormalCaracter"/>
          </w:rPr>
          <w:t>29/2016</w:t>
        </w:r>
      </w:hyperlink>
      <w:r w:rsidRPr="00924F59">
        <w:rPr>
          <w:rStyle w:val="TextoNormalCaracter"/>
        </w:rPr>
        <w:t xml:space="preserve">, f. 6; </w:t>
      </w:r>
      <w:hyperlink w:anchor="SENTENCIA_2016_96" w:history="1">
        <w:r w:rsidRPr="00924F59">
          <w:rPr>
            <w:rStyle w:val="TextoNormalCaracter"/>
          </w:rPr>
          <w:t>96/2016</w:t>
        </w:r>
      </w:hyperlink>
      <w:r w:rsidRPr="00924F59">
        <w:rPr>
          <w:rStyle w:val="TextoNormalCaracter"/>
        </w:rPr>
        <w:t>, f. 3.</w:t>
      </w:r>
    </w:p>
    <w:p w:rsidR="00924F59" w:rsidRPr="00924F59" w:rsidRDefault="00924F59" w:rsidP="00924F59">
      <w:pPr>
        <w:pStyle w:val="TextoNormalSangraFrancesa"/>
        <w:rPr>
          <w:rStyle w:val="TextoNormalCaracter"/>
        </w:rPr>
      </w:pPr>
      <w:bookmarkStart w:id="1232" w:name="DESCRIPTORALFABETICO614"/>
      <w:r w:rsidRPr="00924F59">
        <w:rPr>
          <w:rStyle w:val="TextoNormalNegritaCaracter"/>
        </w:rPr>
        <w:t>Carreteras</w:t>
      </w:r>
      <w:bookmarkEnd w:id="1232"/>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3, 8, 9.</w:t>
      </w:r>
    </w:p>
    <w:p w:rsidR="00924F59" w:rsidRPr="00924F59" w:rsidRDefault="00924F59" w:rsidP="00924F59">
      <w:pPr>
        <w:pStyle w:val="TextoNormalSangraFrancesa"/>
        <w:rPr>
          <w:rStyle w:val="TextoNormalCaracter"/>
        </w:rPr>
      </w:pPr>
      <w:bookmarkStart w:id="1233" w:name="DESCRIPTORALFABETICO443"/>
      <w:r w:rsidRPr="00924F59">
        <w:rPr>
          <w:rStyle w:val="TextoNormalNegritaCaracter"/>
        </w:rPr>
        <w:t>Castellano</w:t>
      </w:r>
      <w:bookmarkEnd w:id="1233"/>
      <w:r w:rsidRPr="00924F59">
        <w:rPr>
          <w:rStyle w:val="TextoNormalCaracter"/>
        </w:rPr>
        <w:t xml:space="preserve">, Sentencia </w:t>
      </w:r>
      <w:hyperlink w:anchor="SENTENCIA_2016_56" w:history="1">
        <w:r w:rsidRPr="00924F59">
          <w:rPr>
            <w:rStyle w:val="TextoNormalCaracter"/>
          </w:rPr>
          <w:t>56/2016</w:t>
        </w:r>
      </w:hyperlink>
      <w:r w:rsidRPr="00924F59">
        <w:rPr>
          <w:rStyle w:val="TextoNormalCaracter"/>
        </w:rPr>
        <w:t>, ff. 2, 5.</w:t>
      </w:r>
    </w:p>
    <w:p w:rsidR="00924F59" w:rsidRPr="00924F59" w:rsidRDefault="00924F59" w:rsidP="00924F59">
      <w:pPr>
        <w:pStyle w:val="TextoNormalSangraFrancesa"/>
        <w:rPr>
          <w:rStyle w:val="TextoNormalCaracter"/>
        </w:rPr>
      </w:pPr>
      <w:bookmarkStart w:id="1234" w:name="DESCRIPTORALFABETICO862"/>
      <w:r w:rsidRPr="00924F59">
        <w:rPr>
          <w:rStyle w:val="TextoNormalNegritaCaracter"/>
        </w:rPr>
        <w:t>Cataluña</w:t>
      </w:r>
      <w:bookmarkEnd w:id="1234"/>
      <w:r w:rsidRPr="00924F59">
        <w:rPr>
          <w:rStyle w:val="TextoNormalCaracter"/>
        </w:rPr>
        <w:t xml:space="preserve">, Sentencias </w:t>
      </w:r>
      <w:hyperlink w:anchor="SENTENCIA_2016_17" w:history="1">
        <w:r w:rsidRPr="00924F59">
          <w:rPr>
            <w:rStyle w:val="TextoNormalCaracter"/>
          </w:rPr>
          <w:t>17/2016</w:t>
        </w:r>
      </w:hyperlink>
      <w:r w:rsidRPr="00924F59">
        <w:rPr>
          <w:rStyle w:val="TextoNormalCaracter"/>
        </w:rPr>
        <w:t xml:space="preserve">, f. 1; </w:t>
      </w:r>
      <w:hyperlink w:anchor="SENTENCIA_2016_73" w:history="1">
        <w:r w:rsidRPr="00924F59">
          <w:rPr>
            <w:rStyle w:val="TextoNormalCaracter"/>
          </w:rPr>
          <w:t>73/2016</w:t>
        </w:r>
      </w:hyperlink>
      <w:r w:rsidRPr="00924F59">
        <w:rPr>
          <w:rStyle w:val="TextoNormalCaracter"/>
        </w:rPr>
        <w:t xml:space="preserve">, f. 1; </w:t>
      </w:r>
      <w:hyperlink w:anchor="SENTENCIA_2016_74" w:history="1">
        <w:r w:rsidRPr="00924F59">
          <w:rPr>
            <w:rStyle w:val="TextoNormalCaracter"/>
          </w:rPr>
          <w:t>74/2016</w:t>
        </w:r>
      </w:hyperlink>
      <w:r w:rsidRPr="00924F59">
        <w:rPr>
          <w:rStyle w:val="TextoNormalCaracter"/>
        </w:rPr>
        <w:t xml:space="preserve">, f. 1; </w:t>
      </w:r>
      <w:hyperlink w:anchor="SENTENCIA_2016_86" w:history="1">
        <w:r w:rsidRPr="00924F59">
          <w:rPr>
            <w:rStyle w:val="TextoNormalCaracter"/>
          </w:rPr>
          <w:t>86/2016</w:t>
        </w:r>
      </w:hyperlink>
      <w:r w:rsidRPr="00924F59">
        <w:rPr>
          <w:rStyle w:val="TextoNormalCaracter"/>
        </w:rPr>
        <w:t xml:space="preserve">, ff. 1 a 6; </w:t>
      </w:r>
      <w:hyperlink w:anchor="SENTENCIA_2016_88" w:history="1">
        <w:r w:rsidRPr="00924F59">
          <w:rPr>
            <w:rStyle w:val="TextoNormalCaracter"/>
          </w:rPr>
          <w:t>88/2016</w:t>
        </w:r>
      </w:hyperlink>
      <w:r w:rsidRPr="00924F59">
        <w:rPr>
          <w:rStyle w:val="TextoNormalCaracter"/>
        </w:rPr>
        <w:t>, ff. 1 a 4.</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72" w:history="1">
        <w:r w:rsidRPr="00924F59">
          <w:rPr>
            <w:rStyle w:val="TextoNormalCaracter"/>
          </w:rPr>
          <w:t>72/2016</w:t>
        </w:r>
      </w:hyperlink>
      <w:r w:rsidRPr="00924F59">
        <w:rPr>
          <w:rStyle w:val="TextoNormalCaracter"/>
        </w:rPr>
        <w:t>, f. 1.</w:t>
      </w:r>
    </w:p>
    <w:p w:rsidR="00924F59" w:rsidRPr="00924F59" w:rsidRDefault="00924F59" w:rsidP="00924F59">
      <w:pPr>
        <w:pStyle w:val="TextoNormalSangraFrancesa"/>
        <w:rPr>
          <w:rStyle w:val="TextoNormalCaracter"/>
        </w:rPr>
      </w:pPr>
      <w:bookmarkStart w:id="1235" w:name="DESCRIPTORALFABETICO803"/>
      <w:r w:rsidRPr="00924F59">
        <w:rPr>
          <w:rStyle w:val="TextoNormalNegritaCaracter"/>
        </w:rPr>
        <w:t>Causas de abstención y recusación de jueces y magistrados</w:t>
      </w:r>
      <w:bookmarkEnd w:id="1235"/>
      <w:r w:rsidRPr="00924F59">
        <w:rPr>
          <w:rStyle w:val="TextoNormalCaracter"/>
        </w:rPr>
        <w:t xml:space="preserve">, Autos </w:t>
      </w:r>
      <w:hyperlink w:anchor="AUTO_2016_97" w:history="1">
        <w:r w:rsidRPr="00924F59">
          <w:rPr>
            <w:rStyle w:val="TextoNormalCaracter"/>
          </w:rPr>
          <w:t>97/2016</w:t>
        </w:r>
      </w:hyperlink>
      <w:r w:rsidRPr="00924F59">
        <w:rPr>
          <w:rStyle w:val="TextoNormalCaracter"/>
        </w:rPr>
        <w:t xml:space="preserve">, f. único; </w:t>
      </w:r>
      <w:hyperlink w:anchor="AUTO_2016_99" w:history="1">
        <w:r w:rsidRPr="00924F59">
          <w:rPr>
            <w:rStyle w:val="TextoNormalCaracter"/>
          </w:rPr>
          <w:t>99/2016</w:t>
        </w:r>
      </w:hyperlink>
      <w:r w:rsidRPr="00924F59">
        <w:rPr>
          <w:rStyle w:val="TextoNormalCaracter"/>
        </w:rPr>
        <w:t xml:space="preserve">, f. 1; </w:t>
      </w:r>
      <w:hyperlink w:anchor="AUTO_2016_106" w:history="1">
        <w:r w:rsidRPr="00924F59">
          <w:rPr>
            <w:rStyle w:val="TextoNormalCaracter"/>
          </w:rPr>
          <w:t>106/2016</w:t>
        </w:r>
      </w:hyperlink>
      <w:r w:rsidRPr="00924F59">
        <w:rPr>
          <w:rStyle w:val="TextoNormalCaracter"/>
        </w:rPr>
        <w:t xml:space="preserve">, f. único; </w:t>
      </w:r>
      <w:hyperlink w:anchor="AUTO_2016_111" w:history="1">
        <w:r w:rsidRPr="00924F59">
          <w:rPr>
            <w:rStyle w:val="TextoNormalCaracter"/>
          </w:rPr>
          <w:t>111/2016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236" w:name="DESCRIPTORALFABETICO547"/>
      <w:r w:rsidRPr="00924F59">
        <w:rPr>
          <w:rStyle w:val="TextoNormalNegritaCaracter"/>
        </w:rPr>
        <w:t>Centros docentes</w:t>
      </w:r>
      <w:bookmarkEnd w:id="1236"/>
      <w:r w:rsidRPr="00924F59">
        <w:rPr>
          <w:rStyle w:val="TextoNormalCaracter"/>
        </w:rPr>
        <w:t xml:space="preserve">, Sentencia </w:t>
      </w:r>
      <w:hyperlink w:anchor="SENTENCIA_2016_38" w:history="1">
        <w:r w:rsidRPr="00924F59">
          <w:rPr>
            <w:rStyle w:val="TextoNormalCaracter"/>
          </w:rPr>
          <w:t>38/2016</w:t>
        </w:r>
      </w:hyperlink>
      <w:r w:rsidRPr="00924F59">
        <w:rPr>
          <w:rStyle w:val="TextoNormalCaracter"/>
        </w:rPr>
        <w:t>, ff. 2 a 8.</w:t>
      </w:r>
    </w:p>
    <w:p w:rsidR="00924F59" w:rsidRPr="00924F59" w:rsidRDefault="00924F59" w:rsidP="00924F59">
      <w:pPr>
        <w:pStyle w:val="TextoNormalSangraFrancesa"/>
        <w:rPr>
          <w:rStyle w:val="TextoNormalCaracter"/>
        </w:rPr>
      </w:pPr>
      <w:bookmarkStart w:id="1237" w:name="DESCRIPTORALFABETICO539"/>
      <w:r w:rsidRPr="00924F59">
        <w:rPr>
          <w:rStyle w:val="TextoNormalNegritaCaracter"/>
        </w:rPr>
        <w:t>Cesión de bienes públicos</w:t>
      </w:r>
      <w:bookmarkEnd w:id="1237"/>
      <w:r w:rsidRPr="00924F59">
        <w:rPr>
          <w:rStyle w:val="TextoNormalCaracter"/>
        </w:rPr>
        <w:t xml:space="preserve">, Sentencia </w:t>
      </w:r>
      <w:hyperlink w:anchor="SENTENCIA_2016_17" w:history="1">
        <w:r w:rsidRPr="00924F59">
          <w:rPr>
            <w:rStyle w:val="TextoNormalCaracter"/>
          </w:rPr>
          <w:t>17/2016</w:t>
        </w:r>
      </w:hyperlink>
      <w:r w:rsidRPr="00924F59">
        <w:rPr>
          <w:rStyle w:val="TextoNormalCaracter"/>
        </w:rPr>
        <w:t>, f. 4.</w:t>
      </w:r>
    </w:p>
    <w:p w:rsidR="00924F59" w:rsidRPr="00924F59" w:rsidRDefault="00924F59" w:rsidP="00924F59">
      <w:pPr>
        <w:pStyle w:val="TextoNormalSangraFrancesa"/>
        <w:rPr>
          <w:rStyle w:val="TextoNormalCaracter"/>
        </w:rPr>
      </w:pPr>
      <w:bookmarkStart w:id="1238" w:name="DESCRIPTORALFABETICO4"/>
      <w:r w:rsidRPr="00924F59">
        <w:rPr>
          <w:rStyle w:val="TextoNormalNegritaCaracter"/>
        </w:rPr>
        <w:t>Cláusula de prevalencia</w:t>
      </w:r>
      <w:bookmarkEnd w:id="1238"/>
      <w:r w:rsidRPr="00924F59">
        <w:rPr>
          <w:rStyle w:val="TextoNormalCaracter"/>
        </w:rPr>
        <w:t xml:space="preserve">, Sentencias </w:t>
      </w:r>
      <w:hyperlink w:anchor="SENTENCIA_2016_20" w:history="1">
        <w:r w:rsidRPr="00924F59">
          <w:rPr>
            <w:rStyle w:val="TextoNormalCaracter"/>
          </w:rPr>
          <w:t>20/2016</w:t>
        </w:r>
      </w:hyperlink>
      <w:r w:rsidRPr="00924F59">
        <w:rPr>
          <w:rStyle w:val="TextoNormalCaracter"/>
        </w:rPr>
        <w:t xml:space="preserve">, f. 2; </w:t>
      </w:r>
      <w:hyperlink w:anchor="SENTENCIA_2016_102" w:history="1">
        <w:r w:rsidRPr="00924F59">
          <w:rPr>
            <w:rStyle w:val="TextoNormalCaracter"/>
          </w:rPr>
          <w:t>102/2016</w:t>
        </w:r>
      </w:hyperlink>
      <w:r w:rsidRPr="00924F59">
        <w:rPr>
          <w:rStyle w:val="TextoNormalCaracter"/>
        </w:rPr>
        <w:t xml:space="preserve">, f. 6, VP; </w:t>
      </w:r>
      <w:hyperlink w:anchor="SENTENCIA_2016_116" w:history="1">
        <w:r w:rsidRPr="00924F59">
          <w:rPr>
            <w:rStyle w:val="TextoNormalCaracter"/>
          </w:rPr>
          <w:t>116/2016</w:t>
        </w:r>
      </w:hyperlink>
      <w:r w:rsidRPr="00924F59">
        <w:rPr>
          <w:rStyle w:val="TextoNormalCaracter"/>
        </w:rPr>
        <w:t>, f. 2 c), VP.</w:t>
      </w:r>
    </w:p>
    <w:p w:rsidR="00924F59" w:rsidRPr="00924F59" w:rsidRDefault="00924F59" w:rsidP="00924F59">
      <w:pPr>
        <w:pStyle w:val="TextoNormalSangraFrancesa"/>
        <w:rPr>
          <w:rStyle w:val="TextoNormalCaracter"/>
        </w:rPr>
      </w:pPr>
      <w:bookmarkStart w:id="1239" w:name="DESCRIPTORALFABETICO218"/>
      <w:r w:rsidRPr="00924F59">
        <w:rPr>
          <w:rStyle w:val="TextoNormalNegritaCaracter"/>
        </w:rPr>
        <w:t>Cobertura legal de medidas limitativas de derechos fundamentales</w:t>
      </w:r>
      <w:bookmarkEnd w:id="1239"/>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3 a 5, VP I.</w:t>
      </w:r>
    </w:p>
    <w:p w:rsidR="00924F59" w:rsidRPr="00924F59" w:rsidRDefault="00924F59" w:rsidP="00924F59">
      <w:pPr>
        <w:pStyle w:val="TextoNormalSangraFrancesa"/>
        <w:rPr>
          <w:rStyle w:val="TextoNormalCaracter"/>
        </w:rPr>
      </w:pPr>
      <w:bookmarkStart w:id="1240" w:name="DESCRIPTORALFABETICO370"/>
      <w:r w:rsidRPr="00924F59">
        <w:rPr>
          <w:rStyle w:val="TextoNormalNegritaCaracter"/>
        </w:rPr>
        <w:t>Colaboración entre el Estado y las Comunidades Autónomas</w:t>
      </w:r>
      <w:bookmarkEnd w:id="1240"/>
      <w:r w:rsidRPr="00924F59">
        <w:rPr>
          <w:rStyle w:val="TextoNormalCaracter"/>
        </w:rPr>
        <w:t xml:space="preserve">, Sentencias </w:t>
      </w:r>
      <w:hyperlink w:anchor="SENTENCIA_2016_8" w:history="1">
        <w:r w:rsidRPr="00924F59">
          <w:rPr>
            <w:rStyle w:val="TextoNormalCaracter"/>
          </w:rPr>
          <w:t>8/2016</w:t>
        </w:r>
      </w:hyperlink>
      <w:r w:rsidRPr="00924F59">
        <w:rPr>
          <w:rStyle w:val="TextoNormalCaracter"/>
        </w:rPr>
        <w:t xml:space="preserve">, f. 7; </w:t>
      </w:r>
      <w:hyperlink w:anchor="SENTENCIA_2016_20" w:history="1">
        <w:r w:rsidRPr="00924F59">
          <w:rPr>
            <w:rStyle w:val="TextoNormalCaracter"/>
          </w:rPr>
          <w:t>20/2016</w:t>
        </w:r>
      </w:hyperlink>
      <w:r w:rsidRPr="00924F59">
        <w:rPr>
          <w:rStyle w:val="TextoNormalCaracter"/>
        </w:rPr>
        <w:t>, ff. 2, 8.</w:t>
      </w:r>
    </w:p>
    <w:p w:rsidR="00924F59" w:rsidRPr="00924F59" w:rsidRDefault="00924F59" w:rsidP="00924F59">
      <w:pPr>
        <w:pStyle w:val="TextoNormalSangraFrancesa"/>
        <w:rPr>
          <w:rStyle w:val="TextoNormalCaracter"/>
        </w:rPr>
      </w:pPr>
      <w:bookmarkStart w:id="1241" w:name="DESCRIPTORALFABETICO296"/>
      <w:r w:rsidRPr="00924F59">
        <w:rPr>
          <w:rStyle w:val="TextoNormalNegritaCaracter"/>
        </w:rPr>
        <w:t>Colisión con normas básicas</w:t>
      </w:r>
      <w:bookmarkEnd w:id="1241"/>
      <w:r w:rsidRPr="00924F59">
        <w:rPr>
          <w:rStyle w:val="TextoNormalCaracter"/>
        </w:rPr>
        <w:t xml:space="preserve">, Sentencias </w:t>
      </w:r>
      <w:hyperlink w:anchor="SENTENCIA_2016_62" w:history="1">
        <w:r w:rsidRPr="00924F59">
          <w:rPr>
            <w:rStyle w:val="TextoNormalCaracter"/>
          </w:rPr>
          <w:t>62/2016</w:t>
        </w:r>
      </w:hyperlink>
      <w:r w:rsidRPr="00924F59">
        <w:rPr>
          <w:rStyle w:val="TextoNormalCaracter"/>
        </w:rPr>
        <w:t xml:space="preserve">, ff. 3, 4, 10, 11, VP II; </w:t>
      </w:r>
      <w:hyperlink w:anchor="SENTENCIA_2016_102" w:history="1">
        <w:r w:rsidRPr="00924F59">
          <w:rPr>
            <w:rStyle w:val="TextoNormalCaracter"/>
          </w:rPr>
          <w:t>102/2016</w:t>
        </w:r>
      </w:hyperlink>
      <w:r w:rsidRPr="00924F59">
        <w:rPr>
          <w:rStyle w:val="TextoNormalCaracter"/>
        </w:rPr>
        <w:t>, ff. 2 a 6.</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76" w:history="1">
        <w:r w:rsidRPr="00924F59">
          <w:rPr>
            <w:rStyle w:val="TextoNormalCaracter"/>
          </w:rPr>
          <w:t>76/2016</w:t>
        </w:r>
      </w:hyperlink>
      <w:r w:rsidRPr="00924F59">
        <w:rPr>
          <w:rStyle w:val="TextoNormalCaracter"/>
        </w:rPr>
        <w:t xml:space="preserve">, f. 3; </w:t>
      </w:r>
      <w:hyperlink w:anchor="AUTO_2016_77" w:history="1">
        <w:r w:rsidRPr="00924F59">
          <w:rPr>
            <w:rStyle w:val="TextoNormalCaracter"/>
          </w:rPr>
          <w:t>77/2016</w:t>
        </w:r>
      </w:hyperlink>
      <w:r w:rsidRPr="00924F59">
        <w:rPr>
          <w:rStyle w:val="TextoNormalCaracter"/>
        </w:rPr>
        <w:t xml:space="preserve">, f. 3; </w:t>
      </w:r>
      <w:hyperlink w:anchor="AUTO_2016_78" w:history="1">
        <w:r w:rsidRPr="00924F59">
          <w:rPr>
            <w:rStyle w:val="TextoNormalCaracter"/>
          </w:rPr>
          <w:t>78/2016</w:t>
        </w:r>
      </w:hyperlink>
      <w:r w:rsidRPr="00924F59">
        <w:rPr>
          <w:rStyle w:val="TextoNormalCaracter"/>
        </w:rPr>
        <w:t xml:space="preserve">, f. 3; </w:t>
      </w:r>
      <w:hyperlink w:anchor="AUTO_2016_85" w:history="1">
        <w:r w:rsidRPr="00924F59">
          <w:rPr>
            <w:rStyle w:val="TextoNormalCaracter"/>
          </w:rPr>
          <w:t>85/2016</w:t>
        </w:r>
      </w:hyperlink>
      <w:r w:rsidRPr="00924F59">
        <w:rPr>
          <w:rStyle w:val="TextoNormalCaracter"/>
        </w:rPr>
        <w:t xml:space="preserve">, f. 3; </w:t>
      </w:r>
      <w:hyperlink w:anchor="AUTO_2016_86" w:history="1">
        <w:r w:rsidRPr="00924F59">
          <w:rPr>
            <w:rStyle w:val="TextoNormalCaracter"/>
          </w:rPr>
          <w:t>86/2016</w:t>
        </w:r>
      </w:hyperlink>
      <w:r w:rsidRPr="00924F59">
        <w:rPr>
          <w:rStyle w:val="TextoNormalCaracter"/>
        </w:rPr>
        <w:t xml:space="preserve">, f. 3; </w:t>
      </w:r>
      <w:hyperlink w:anchor="AUTO_2016_87" w:history="1">
        <w:r w:rsidRPr="00924F59">
          <w:rPr>
            <w:rStyle w:val="TextoNormalCaracter"/>
          </w:rPr>
          <w:t>87/2016</w:t>
        </w:r>
      </w:hyperlink>
      <w:r w:rsidRPr="00924F59">
        <w:rPr>
          <w:rStyle w:val="TextoNormalCaracter"/>
        </w:rPr>
        <w:t xml:space="preserve">, f. 3; </w:t>
      </w:r>
      <w:hyperlink w:anchor="AUTO_2016_88" w:history="1">
        <w:r w:rsidRPr="00924F59">
          <w:rPr>
            <w:rStyle w:val="TextoNormalCaracter"/>
          </w:rPr>
          <w:t>88/2016</w:t>
        </w:r>
      </w:hyperlink>
      <w:r w:rsidRPr="00924F59">
        <w:rPr>
          <w:rStyle w:val="TextoNormalCaracter"/>
        </w:rPr>
        <w:t>, f. 3.</w:t>
      </w:r>
    </w:p>
    <w:p w:rsidR="00924F59" w:rsidRPr="00924F59" w:rsidRDefault="00924F59" w:rsidP="00924F59">
      <w:pPr>
        <w:pStyle w:val="TextoNormalSangraFrancesa"/>
        <w:rPr>
          <w:rStyle w:val="TextoNormalCaracter"/>
        </w:rPr>
      </w:pPr>
      <w:bookmarkStart w:id="1242" w:name="DESCRIPTORALFABETICO30"/>
      <w:r w:rsidRPr="00924F59">
        <w:rPr>
          <w:rStyle w:val="TextoNormalNegritaCaracter"/>
        </w:rPr>
        <w:t>Colisión de títulos competenciales</w:t>
      </w:r>
      <w:bookmarkEnd w:id="1242"/>
      <w:r w:rsidRPr="00924F59">
        <w:rPr>
          <w:rStyle w:val="TextoNormalCaracter"/>
        </w:rPr>
        <w:t xml:space="preserve">, Sentencia </w:t>
      </w:r>
      <w:hyperlink w:anchor="SENTENCIA_2016_62" w:history="1">
        <w:r w:rsidRPr="00924F59">
          <w:rPr>
            <w:rStyle w:val="TextoNormalCaracter"/>
          </w:rPr>
          <w:t>62/2016</w:t>
        </w:r>
      </w:hyperlink>
      <w:r w:rsidRPr="00924F59">
        <w:rPr>
          <w:rStyle w:val="TextoNormalCaracter"/>
        </w:rPr>
        <w:t>, f. 6, VP I, VP II.</w:t>
      </w:r>
    </w:p>
    <w:p w:rsidR="00924F59" w:rsidRPr="00924F59" w:rsidRDefault="00924F59" w:rsidP="00924F59">
      <w:pPr>
        <w:pStyle w:val="TextoNormalSangraFrancesa"/>
        <w:rPr>
          <w:rStyle w:val="TextoNormalCaracter"/>
        </w:rPr>
      </w:pPr>
      <w:bookmarkStart w:id="1243" w:name="DESCRIPTORALFABETICO518"/>
      <w:r w:rsidRPr="00924F59">
        <w:rPr>
          <w:rStyle w:val="TextoNormalNegritaCaracter"/>
        </w:rPr>
        <w:t>Comercio</w:t>
      </w:r>
      <w:bookmarkEnd w:id="1243"/>
      <w:r w:rsidRPr="00924F59">
        <w:rPr>
          <w:rStyle w:val="TextoNormalCaracter"/>
        </w:rPr>
        <w:t xml:space="preserve">, Sentencia </w:t>
      </w:r>
      <w:hyperlink w:anchor="SENTENCIA_2016_59" w:history="1">
        <w:r w:rsidRPr="00924F59">
          <w:rPr>
            <w:rStyle w:val="TextoNormalCaracter"/>
          </w:rPr>
          <w:t>59/2016</w:t>
        </w:r>
      </w:hyperlink>
      <w:r w:rsidRPr="00924F59">
        <w:rPr>
          <w:rStyle w:val="TextoNormalCaracter"/>
        </w:rPr>
        <w:t>, ff. 3 a 5.</w:t>
      </w:r>
    </w:p>
    <w:p w:rsidR="00924F59" w:rsidRPr="00924F59" w:rsidRDefault="00924F59" w:rsidP="00924F59">
      <w:pPr>
        <w:pStyle w:val="TextoNormalSangraFrancesa"/>
        <w:rPr>
          <w:rStyle w:val="TextoNormalCaracter"/>
        </w:rPr>
      </w:pPr>
      <w:bookmarkStart w:id="1244" w:name="DESCRIPTORALFABETICO519"/>
      <w:r w:rsidRPr="00924F59">
        <w:rPr>
          <w:rStyle w:val="TextoNormalNegritaCaracter"/>
        </w:rPr>
        <w:t>Comercio minorista</w:t>
      </w:r>
      <w:bookmarkEnd w:id="1244"/>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9; </w:t>
      </w:r>
      <w:hyperlink w:anchor="SENTENCIA_2016_37" w:history="1">
        <w:r w:rsidRPr="00924F59">
          <w:rPr>
            <w:rStyle w:val="TextoNormalCaracter"/>
          </w:rPr>
          <w:t>37/2016</w:t>
        </w:r>
      </w:hyperlink>
      <w:r w:rsidRPr="00924F59">
        <w:rPr>
          <w:rStyle w:val="TextoNormalCaracter"/>
        </w:rPr>
        <w:t xml:space="preserve">, f. 5; </w:t>
      </w:r>
      <w:hyperlink w:anchor="SENTENCIA_2016_59" w:history="1">
        <w:r w:rsidRPr="00924F59">
          <w:rPr>
            <w:rStyle w:val="TextoNormalCaracter"/>
          </w:rPr>
          <w:t>59/2016</w:t>
        </w:r>
      </w:hyperlink>
      <w:r w:rsidRPr="00924F59">
        <w:rPr>
          <w:rStyle w:val="TextoNormalCaracter"/>
        </w:rPr>
        <w:t xml:space="preserve">, ff. 3 a 5; </w:t>
      </w:r>
      <w:hyperlink w:anchor="SENTENCIA_2016_119" w:history="1">
        <w:r w:rsidRPr="00924F59">
          <w:rPr>
            <w:rStyle w:val="TextoNormalCaracter"/>
          </w:rPr>
          <w:t>119/2016</w:t>
        </w:r>
      </w:hyperlink>
      <w:r w:rsidRPr="00924F59">
        <w:rPr>
          <w:rStyle w:val="TextoNormalCaracter"/>
        </w:rPr>
        <w:t>, ff. 5, 6.</w:t>
      </w:r>
    </w:p>
    <w:p w:rsidR="00924F59" w:rsidRPr="00924F59" w:rsidRDefault="00924F59" w:rsidP="00924F59">
      <w:pPr>
        <w:pStyle w:val="TextoNormalSangraFrancesa"/>
        <w:rPr>
          <w:rStyle w:val="TextoNormalCaracter"/>
        </w:rPr>
      </w:pPr>
      <w:bookmarkStart w:id="1245" w:name="DESCRIPTORALFABETICO828"/>
      <w:r w:rsidRPr="00924F59">
        <w:rPr>
          <w:rStyle w:val="TextoNormalNegritaCaracter"/>
        </w:rPr>
        <w:t>Comisiones de asistencia jurídica gratuita</w:t>
      </w:r>
      <w:bookmarkEnd w:id="1245"/>
      <w:r w:rsidRPr="00924F59">
        <w:rPr>
          <w:rStyle w:val="TextoNormalCaracter"/>
        </w:rPr>
        <w:t xml:space="preserve">, Sentencia </w:t>
      </w:r>
      <w:hyperlink w:anchor="SENTENCIA_2016_94" w:history="1">
        <w:r w:rsidRPr="00924F59">
          <w:rPr>
            <w:rStyle w:val="TextoNormalCaracter"/>
          </w:rPr>
          <w:t>94/2016</w:t>
        </w:r>
      </w:hyperlink>
      <w:r w:rsidRPr="00924F59">
        <w:rPr>
          <w:rStyle w:val="TextoNormalCaracter"/>
        </w:rPr>
        <w:t>, ff. 1, 2.</w:t>
      </w:r>
    </w:p>
    <w:p w:rsidR="00924F59" w:rsidRPr="00924F59" w:rsidRDefault="00924F59" w:rsidP="00924F59">
      <w:pPr>
        <w:pStyle w:val="TextoNormalSangraFrancesa"/>
        <w:rPr>
          <w:rStyle w:val="TextoNormalCaracter"/>
        </w:rPr>
      </w:pPr>
      <w:bookmarkStart w:id="1246" w:name="DESCRIPTORALFABETICO89"/>
      <w:r w:rsidRPr="00924F59">
        <w:rPr>
          <w:rStyle w:val="TextoNormalNegritaCaracter"/>
        </w:rPr>
        <w:t>Compensaciones de deudas entre Administraciones públicas</w:t>
      </w:r>
      <w:bookmarkEnd w:id="1246"/>
      <w:r w:rsidRPr="00924F59">
        <w:rPr>
          <w:rStyle w:val="TextoNormalCaracter"/>
        </w:rPr>
        <w:t xml:space="preserve">, Sentencias </w:t>
      </w:r>
      <w:hyperlink w:anchor="SENTENCIA_2016_31" w:history="1">
        <w:r w:rsidRPr="00924F59">
          <w:rPr>
            <w:rStyle w:val="TextoNormalCaracter"/>
          </w:rPr>
          <w:t>31/2016</w:t>
        </w:r>
      </w:hyperlink>
      <w:r w:rsidRPr="00924F59">
        <w:rPr>
          <w:rStyle w:val="TextoNormalCaracter"/>
        </w:rPr>
        <w:t xml:space="preserve">, f. 4 b); </w:t>
      </w:r>
      <w:hyperlink w:anchor="SENTENCIA_2016_41" w:history="1">
        <w:r w:rsidRPr="00924F59">
          <w:rPr>
            <w:rStyle w:val="TextoNormalCaracter"/>
          </w:rPr>
          <w:t>41/2016</w:t>
        </w:r>
      </w:hyperlink>
      <w:r w:rsidRPr="00924F59">
        <w:rPr>
          <w:rStyle w:val="TextoNormalCaracter"/>
        </w:rPr>
        <w:t>, f. 16.</w:t>
      </w:r>
    </w:p>
    <w:p w:rsidR="00924F59" w:rsidRPr="00924F59" w:rsidRDefault="00924F59" w:rsidP="00924F59">
      <w:pPr>
        <w:pStyle w:val="TextoNormalSangraFrancesa"/>
        <w:rPr>
          <w:rStyle w:val="TextoNormalCaracter"/>
        </w:rPr>
      </w:pPr>
      <w:bookmarkStart w:id="1247" w:name="DESCRIPTORALFABETICO13"/>
      <w:r w:rsidRPr="00924F59">
        <w:rPr>
          <w:rStyle w:val="TextoNormalNegritaCaracter"/>
        </w:rPr>
        <w:t>Competencias autonómicas de desarrollo normativo</w:t>
      </w:r>
      <w:bookmarkEnd w:id="1247"/>
      <w:r w:rsidRPr="00924F59">
        <w:rPr>
          <w:rStyle w:val="TextoNormalCaracter"/>
        </w:rPr>
        <w:t xml:space="preserve">, Sentencias </w:t>
      </w:r>
      <w:hyperlink w:anchor="SENTENCIA_2016_9" w:history="1">
        <w:r w:rsidRPr="00924F59">
          <w:rPr>
            <w:rStyle w:val="TextoNormalCaracter"/>
          </w:rPr>
          <w:t>9/2016</w:t>
        </w:r>
      </w:hyperlink>
      <w:r w:rsidRPr="00924F59">
        <w:rPr>
          <w:rStyle w:val="TextoNormalCaracter"/>
        </w:rPr>
        <w:t xml:space="preserve">, f. 3; </w:t>
      </w:r>
      <w:hyperlink w:anchor="SENTENCIA_2016_57" w:history="1">
        <w:r w:rsidRPr="00924F59">
          <w:rPr>
            <w:rStyle w:val="TextoNormalCaracter"/>
          </w:rPr>
          <w:t>57/2016</w:t>
        </w:r>
      </w:hyperlink>
      <w:r w:rsidRPr="00924F59">
        <w:rPr>
          <w:rStyle w:val="TextoNormalCaracter"/>
        </w:rPr>
        <w:t xml:space="preserve">, f. 8; </w:t>
      </w:r>
      <w:hyperlink w:anchor="SENTENCIA_2016_82" w:history="1">
        <w:r w:rsidRPr="00924F59">
          <w:rPr>
            <w:rStyle w:val="TextoNormalCaracter"/>
          </w:rPr>
          <w:t>82/2016</w:t>
        </w:r>
      </w:hyperlink>
      <w:r w:rsidRPr="00924F59">
        <w:rPr>
          <w:rStyle w:val="TextoNormalCaracter"/>
        </w:rPr>
        <w:t>, ff. 1, 3, a 7, VP.</w:t>
      </w:r>
    </w:p>
    <w:p w:rsidR="00924F59" w:rsidRPr="00924F59" w:rsidRDefault="00924F59" w:rsidP="00924F59">
      <w:pPr>
        <w:pStyle w:val="TextoNormalSangraFrancesa"/>
        <w:rPr>
          <w:rStyle w:val="TextoNormalCaracter"/>
        </w:rPr>
      </w:pPr>
      <w:bookmarkStart w:id="1248" w:name="DESCRIPTORALFABETICO10"/>
      <w:r w:rsidRPr="00924F59">
        <w:rPr>
          <w:rStyle w:val="TextoNormalNegritaCaracter"/>
        </w:rPr>
        <w:t>Competencias autonómicas de ejecución</w:t>
      </w:r>
      <w:bookmarkEnd w:id="1248"/>
      <w:r w:rsidRPr="00924F59">
        <w:rPr>
          <w:rStyle w:val="TextoNormalCaracter"/>
        </w:rPr>
        <w:t xml:space="preserve">, Sentencias </w:t>
      </w:r>
      <w:hyperlink w:anchor="SENTENCIA_2016_6" w:history="1">
        <w:r w:rsidRPr="00924F59">
          <w:rPr>
            <w:rStyle w:val="TextoNormalCaracter"/>
          </w:rPr>
          <w:t>6/2016</w:t>
        </w:r>
      </w:hyperlink>
      <w:r w:rsidRPr="00924F59">
        <w:rPr>
          <w:rStyle w:val="TextoNormalCaracter"/>
        </w:rPr>
        <w:t xml:space="preserve">, f. 4 d); </w:t>
      </w:r>
      <w:hyperlink w:anchor="SENTENCIA_2016_7" w:history="1">
        <w:r w:rsidRPr="00924F59">
          <w:rPr>
            <w:rStyle w:val="TextoNormalCaracter"/>
          </w:rPr>
          <w:t>7/2016</w:t>
        </w:r>
      </w:hyperlink>
      <w:r w:rsidRPr="00924F59">
        <w:rPr>
          <w:rStyle w:val="TextoNormalCaracter"/>
        </w:rPr>
        <w:t xml:space="preserve">, f. 5; </w:t>
      </w:r>
      <w:hyperlink w:anchor="SENTENCIA_2016_20" w:history="1">
        <w:r w:rsidRPr="00924F59">
          <w:rPr>
            <w:rStyle w:val="TextoNormalCaracter"/>
          </w:rPr>
          <w:t>20/2016</w:t>
        </w:r>
      </w:hyperlink>
      <w:r w:rsidRPr="00924F59">
        <w:rPr>
          <w:rStyle w:val="TextoNormalCaracter"/>
        </w:rPr>
        <w:t xml:space="preserve">, ff. 2, 6; </w:t>
      </w:r>
      <w:hyperlink w:anchor="SENTENCIA_2016_33" w:history="1">
        <w:r w:rsidRPr="00924F59">
          <w:rPr>
            <w:rStyle w:val="TextoNormalCaracter"/>
          </w:rPr>
          <w:t>33/2016</w:t>
        </w:r>
      </w:hyperlink>
      <w:r w:rsidRPr="00924F59">
        <w:rPr>
          <w:rStyle w:val="TextoNormalCaracter"/>
        </w:rPr>
        <w:t xml:space="preserve">, ff. 9, 10; </w:t>
      </w:r>
      <w:hyperlink w:anchor="SENTENCIA_2016_95" w:history="1">
        <w:r w:rsidRPr="00924F59">
          <w:rPr>
            <w:rStyle w:val="TextoNormalCaracter"/>
          </w:rPr>
          <w:t>95/2016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249" w:name="DESCRIPTORALFABETICO11"/>
      <w:r w:rsidRPr="00924F59">
        <w:rPr>
          <w:rStyle w:val="TextoNormalNegritaCaracter"/>
        </w:rPr>
        <w:t>Competencias autonómicas de gestión</w:t>
      </w:r>
      <w:bookmarkEnd w:id="1249"/>
      <w:r w:rsidRPr="00924F59">
        <w:rPr>
          <w:rStyle w:val="TextoNormalCaracter"/>
        </w:rPr>
        <w:t xml:space="preserve">, Sentencias </w:t>
      </w:r>
      <w:hyperlink w:anchor="SENTENCIA_2016_33" w:history="1">
        <w:r w:rsidRPr="00924F59">
          <w:rPr>
            <w:rStyle w:val="TextoNormalCaracter"/>
          </w:rPr>
          <w:t>33/2016</w:t>
        </w:r>
      </w:hyperlink>
      <w:r w:rsidRPr="00924F59">
        <w:rPr>
          <w:rStyle w:val="TextoNormalCaracter"/>
        </w:rPr>
        <w:t xml:space="preserve">, f. 4; </w:t>
      </w:r>
      <w:hyperlink w:anchor="SENTENCIA_2016_95" w:history="1">
        <w:r w:rsidRPr="00924F59">
          <w:rPr>
            <w:rStyle w:val="TextoNormalCaracter"/>
          </w:rPr>
          <w:t>95/2016</w:t>
        </w:r>
      </w:hyperlink>
      <w:r w:rsidRPr="00924F59">
        <w:rPr>
          <w:rStyle w:val="TextoNormalCaracter"/>
        </w:rPr>
        <w:t>, ff. 3, 4, 5, 8, VP.</w:t>
      </w:r>
    </w:p>
    <w:p w:rsidR="00924F59" w:rsidRPr="00924F59" w:rsidRDefault="00924F59" w:rsidP="00924F59">
      <w:pPr>
        <w:pStyle w:val="TextoNormalSangraFrancesa"/>
        <w:rPr>
          <w:rStyle w:val="TextoNormalCaracter"/>
        </w:rPr>
      </w:pPr>
      <w:bookmarkStart w:id="1250" w:name="DESCRIPTORALFABETICO12"/>
      <w:r w:rsidRPr="00924F59">
        <w:rPr>
          <w:rStyle w:val="TextoNormalNegritaCaracter"/>
        </w:rPr>
        <w:t>Competencias autonómicas normativas</w:t>
      </w:r>
      <w:bookmarkEnd w:id="1250"/>
      <w:r w:rsidRPr="00924F59">
        <w:rPr>
          <w:rStyle w:val="TextoNormalCaracter"/>
        </w:rPr>
        <w:t xml:space="preserve">, Sentencia </w:t>
      </w:r>
      <w:hyperlink w:anchor="SENTENCIA_2016_95" w:history="1">
        <w:r w:rsidRPr="00924F59">
          <w:rPr>
            <w:rStyle w:val="TextoNormalCaracter"/>
          </w:rPr>
          <w:t>95/2016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251" w:name="DESCRIPTORALFABETICO6"/>
      <w:r w:rsidRPr="00924F59">
        <w:rPr>
          <w:rStyle w:val="TextoNormalNegritaCaracter"/>
        </w:rPr>
        <w:t>Competencias compartidas</w:t>
      </w:r>
      <w:bookmarkEnd w:id="1251"/>
      <w:r w:rsidRPr="00924F59">
        <w:rPr>
          <w:rStyle w:val="TextoNormalCaracter"/>
        </w:rPr>
        <w:t xml:space="preserve">, Sentencias </w:t>
      </w:r>
      <w:hyperlink w:anchor="SENTENCIA_2016_7" w:history="1">
        <w:r w:rsidRPr="00924F59">
          <w:rPr>
            <w:rStyle w:val="TextoNormalCaracter"/>
          </w:rPr>
          <w:t>7/2016</w:t>
        </w:r>
      </w:hyperlink>
      <w:r w:rsidRPr="00924F59">
        <w:rPr>
          <w:rStyle w:val="TextoNormalCaracter"/>
        </w:rPr>
        <w:t xml:space="preserve">, f. 4; </w:t>
      </w:r>
      <w:hyperlink w:anchor="SENTENCIA_2016_26" w:history="1">
        <w:r w:rsidRPr="00924F59">
          <w:rPr>
            <w:rStyle w:val="TextoNormalCaracter"/>
          </w:rPr>
          <w:t>26/2016</w:t>
        </w:r>
      </w:hyperlink>
      <w:r w:rsidRPr="00924F59">
        <w:rPr>
          <w:rStyle w:val="TextoNormalCaracter"/>
        </w:rPr>
        <w:t xml:space="preserve">, ff. 4, 6, 7, VP; </w:t>
      </w:r>
      <w:hyperlink w:anchor="SENTENCIA_2016_32" w:history="1">
        <w:r w:rsidRPr="00924F59">
          <w:rPr>
            <w:rStyle w:val="TextoNormalCaracter"/>
          </w:rPr>
          <w:t>32/2016</w:t>
        </w:r>
      </w:hyperlink>
      <w:r w:rsidRPr="00924F59">
        <w:rPr>
          <w:rStyle w:val="TextoNormalCaracter"/>
        </w:rPr>
        <w:t xml:space="preserve">, ff. 3 a 13; </w:t>
      </w:r>
      <w:hyperlink w:anchor="SENTENCIA_2016_54" w:history="1">
        <w:r w:rsidRPr="00924F59">
          <w:rPr>
            <w:rStyle w:val="TextoNormalCaracter"/>
          </w:rPr>
          <w:t>54/2016</w:t>
        </w:r>
      </w:hyperlink>
      <w:r w:rsidRPr="00924F59">
        <w:rPr>
          <w:rStyle w:val="TextoNormalCaracter"/>
        </w:rPr>
        <w:t xml:space="preserve">, f. 2, VP; </w:t>
      </w:r>
      <w:hyperlink w:anchor="SENTENCIA_2016_60" w:history="1">
        <w:r w:rsidRPr="00924F59">
          <w:rPr>
            <w:rStyle w:val="TextoNormalCaracter"/>
          </w:rPr>
          <w:t>60/2016</w:t>
        </w:r>
      </w:hyperlink>
      <w:r w:rsidRPr="00924F59">
        <w:rPr>
          <w:rStyle w:val="TextoNormalCaracter"/>
        </w:rPr>
        <w:t xml:space="preserve">, ff.  3, 4 a 8; </w:t>
      </w:r>
      <w:hyperlink w:anchor="SENTENCIA_2016_66" w:history="1">
        <w:r w:rsidRPr="00924F59">
          <w:rPr>
            <w:rStyle w:val="TextoNormalCaracter"/>
          </w:rPr>
          <w:t>66/2016</w:t>
        </w:r>
      </w:hyperlink>
      <w:r w:rsidRPr="00924F59">
        <w:rPr>
          <w:rStyle w:val="TextoNormalCaracter"/>
        </w:rPr>
        <w:t xml:space="preserve">, ff. 2 a 5, VP; </w:t>
      </w:r>
      <w:hyperlink w:anchor="SENTENCIA_2016_67" w:history="1">
        <w:r w:rsidRPr="00924F59">
          <w:rPr>
            <w:rStyle w:val="TextoNormalCaracter"/>
          </w:rPr>
          <w:t>67/2016</w:t>
        </w:r>
      </w:hyperlink>
      <w:r w:rsidRPr="00924F59">
        <w:rPr>
          <w:rStyle w:val="TextoNormalCaracter"/>
        </w:rPr>
        <w:t xml:space="preserve">, ff. 3 a 6, VP; </w:t>
      </w:r>
      <w:hyperlink w:anchor="SENTENCIA_2016_68" w:history="1">
        <w:r w:rsidRPr="00924F59">
          <w:rPr>
            <w:rStyle w:val="TextoNormalCaracter"/>
          </w:rPr>
          <w:t>68/2016</w:t>
        </w:r>
      </w:hyperlink>
      <w:r w:rsidRPr="00924F59">
        <w:rPr>
          <w:rStyle w:val="TextoNormalCaracter"/>
        </w:rPr>
        <w:t xml:space="preserve">, ff. 3 a 6, VP; </w:t>
      </w:r>
      <w:hyperlink w:anchor="SENTENCIA_2016_72" w:history="1">
        <w:r w:rsidRPr="00924F59">
          <w:rPr>
            <w:rStyle w:val="TextoNormalCaracter"/>
          </w:rPr>
          <w:t>72/2016</w:t>
        </w:r>
      </w:hyperlink>
      <w:r w:rsidRPr="00924F59">
        <w:rPr>
          <w:rStyle w:val="TextoNormalCaracter"/>
        </w:rPr>
        <w:t xml:space="preserve">, ff. 1, 3; </w:t>
      </w:r>
      <w:hyperlink w:anchor="SENTENCIA_2016_84" w:history="1">
        <w:r w:rsidRPr="00924F59">
          <w:rPr>
            <w:rStyle w:val="TextoNormalCaracter"/>
          </w:rPr>
          <w:t>84/2016</w:t>
        </w:r>
      </w:hyperlink>
      <w:r w:rsidRPr="00924F59">
        <w:rPr>
          <w:rStyle w:val="TextoNormalCaracter"/>
        </w:rPr>
        <w:t xml:space="preserve">, ff. 3 a 6, VP; </w:t>
      </w:r>
      <w:hyperlink w:anchor="SENTENCIA_2016_102" w:history="1">
        <w:r w:rsidRPr="00924F59">
          <w:rPr>
            <w:rStyle w:val="TextoNormalCaracter"/>
          </w:rPr>
          <w:t>102/2016</w:t>
        </w:r>
      </w:hyperlink>
      <w:r w:rsidRPr="00924F59">
        <w:rPr>
          <w:rStyle w:val="TextoNormalCaracter"/>
        </w:rPr>
        <w:t xml:space="preserve">, f. 5; </w:t>
      </w:r>
      <w:hyperlink w:anchor="SENTENCIA_2016_116" w:history="1">
        <w:r w:rsidRPr="00924F59">
          <w:rPr>
            <w:rStyle w:val="TextoNormalCaracter"/>
          </w:rPr>
          <w:t>116/2016</w:t>
        </w:r>
      </w:hyperlink>
      <w:r w:rsidRPr="00924F59">
        <w:rPr>
          <w:rStyle w:val="TextoNormalCaracter"/>
        </w:rPr>
        <w:t xml:space="preserve">, f. 2; </w:t>
      </w:r>
      <w:hyperlink w:anchor="SENTENCIA_2016_120" w:history="1">
        <w:r w:rsidRPr="00924F59">
          <w:rPr>
            <w:rStyle w:val="TextoNormalCaracter"/>
          </w:rPr>
          <w:t>120/2016</w:t>
        </w:r>
      </w:hyperlink>
      <w:r w:rsidRPr="00924F59">
        <w:rPr>
          <w:rStyle w:val="TextoNormalCaracter"/>
        </w:rPr>
        <w:t>, ff. 3, 5 a 11.</w:t>
      </w:r>
    </w:p>
    <w:p w:rsidR="00924F59" w:rsidRPr="00924F59" w:rsidRDefault="00924F59" w:rsidP="00924F59">
      <w:pPr>
        <w:pStyle w:val="TextoNormalSangraFrancesa"/>
        <w:rPr>
          <w:rStyle w:val="TextoNormalCaracter"/>
        </w:rPr>
      </w:pPr>
      <w:bookmarkStart w:id="1252" w:name="DESCRIPTORALFABETICO7"/>
      <w:r w:rsidRPr="00924F59">
        <w:rPr>
          <w:rStyle w:val="TextoNormalNegritaCaracter"/>
        </w:rPr>
        <w:t>Competencias de colaboración</w:t>
      </w:r>
      <w:bookmarkEnd w:id="1252"/>
      <w:r w:rsidRPr="00924F59">
        <w:rPr>
          <w:rStyle w:val="TextoNormalCaracter"/>
        </w:rPr>
        <w:t xml:space="preserve">, Sentencia </w:t>
      </w:r>
      <w:hyperlink w:anchor="SENTENCIA_2016_53" w:history="1">
        <w:r w:rsidRPr="00924F59">
          <w:rPr>
            <w:rStyle w:val="TextoNormalCaracter"/>
          </w:rPr>
          <w:t>53/2016</w:t>
        </w:r>
      </w:hyperlink>
      <w:r w:rsidRPr="00924F59">
        <w:rPr>
          <w:rStyle w:val="TextoNormalCaracter"/>
        </w:rPr>
        <w:t>, f. 5.</w:t>
      </w:r>
    </w:p>
    <w:p w:rsidR="00924F59" w:rsidRPr="00924F59" w:rsidRDefault="00924F59" w:rsidP="00924F59">
      <w:pPr>
        <w:pStyle w:val="TextoNormalSangraFrancesa"/>
        <w:rPr>
          <w:rStyle w:val="TextoNormalCaracter"/>
        </w:rPr>
      </w:pPr>
      <w:bookmarkStart w:id="1253" w:name="DESCRIPTORALFABETICO8"/>
      <w:r w:rsidRPr="00924F59">
        <w:rPr>
          <w:rStyle w:val="TextoNormalNegritaCaracter"/>
        </w:rPr>
        <w:t>Competencias de coordinación</w:t>
      </w:r>
      <w:bookmarkEnd w:id="1253"/>
      <w:r w:rsidRPr="00924F59">
        <w:rPr>
          <w:rStyle w:val="TextoNormalCaracter"/>
        </w:rPr>
        <w:t xml:space="preserve">, Sentencia </w:t>
      </w:r>
      <w:hyperlink w:anchor="SENTENCIA_2016_53" w:history="1">
        <w:r w:rsidRPr="00924F59">
          <w:rPr>
            <w:rStyle w:val="TextoNormalCaracter"/>
          </w:rPr>
          <w:t>53/2016</w:t>
        </w:r>
      </w:hyperlink>
      <w:r w:rsidRPr="00924F59">
        <w:rPr>
          <w:rStyle w:val="TextoNormalCaracter"/>
        </w:rPr>
        <w:t>, ff. 1, 3, 5.</w:t>
      </w:r>
    </w:p>
    <w:p w:rsidR="00924F59" w:rsidRPr="00924F59" w:rsidRDefault="00924F59" w:rsidP="00924F59">
      <w:pPr>
        <w:pStyle w:val="TextoNormalSangraFrancesa"/>
        <w:rPr>
          <w:rStyle w:val="TextoNormalCaracter"/>
        </w:rPr>
      </w:pPr>
      <w:bookmarkStart w:id="1254" w:name="DESCRIPTORALFABETICO9"/>
      <w:r w:rsidRPr="00924F59">
        <w:rPr>
          <w:rStyle w:val="TextoNormalNegritaCaracter"/>
        </w:rPr>
        <w:t>Competencias de las Comunidades Autónomas</w:t>
      </w:r>
      <w:bookmarkEnd w:id="1254"/>
      <w:r w:rsidRPr="00924F59">
        <w:rPr>
          <w:rStyle w:val="TextoNormalCaracter"/>
        </w:rPr>
        <w:t xml:space="preserve">, Sentencias </w:t>
      </w:r>
      <w:hyperlink w:anchor="SENTENCIA_2016_5" w:history="1">
        <w:r w:rsidRPr="00924F59">
          <w:rPr>
            <w:rStyle w:val="TextoNormalCaracter"/>
          </w:rPr>
          <w:t>5/2016</w:t>
        </w:r>
      </w:hyperlink>
      <w:r w:rsidRPr="00924F59">
        <w:rPr>
          <w:rStyle w:val="TextoNormalCaracter"/>
        </w:rPr>
        <w:t xml:space="preserve">, ff. 3, 4; </w:t>
      </w:r>
      <w:hyperlink w:anchor="SENTENCIA_2016_8" w:history="1">
        <w:r w:rsidRPr="00924F59">
          <w:rPr>
            <w:rStyle w:val="TextoNormalCaracter"/>
          </w:rPr>
          <w:t>8/2016</w:t>
        </w:r>
      </w:hyperlink>
      <w:r w:rsidRPr="00924F59">
        <w:rPr>
          <w:rStyle w:val="TextoNormalCaracter"/>
        </w:rPr>
        <w:t xml:space="preserve">, ff. 1, 3, 5, 6, 10; </w:t>
      </w:r>
      <w:hyperlink w:anchor="SENTENCIA_2016_18" w:history="1">
        <w:r w:rsidRPr="00924F59">
          <w:rPr>
            <w:rStyle w:val="TextoNormalCaracter"/>
          </w:rPr>
          <w:t>18/2016</w:t>
        </w:r>
      </w:hyperlink>
      <w:r w:rsidRPr="00924F59">
        <w:rPr>
          <w:rStyle w:val="TextoNormalCaracter"/>
        </w:rPr>
        <w:t xml:space="preserve">, ff. 6 a 10; </w:t>
      </w:r>
      <w:hyperlink w:anchor="SENTENCIA_2016_20" w:history="1">
        <w:r w:rsidRPr="00924F59">
          <w:rPr>
            <w:rStyle w:val="TextoNormalCaracter"/>
          </w:rPr>
          <w:t>20/2016</w:t>
        </w:r>
      </w:hyperlink>
      <w:r w:rsidRPr="00924F59">
        <w:rPr>
          <w:rStyle w:val="TextoNormalCaracter"/>
        </w:rPr>
        <w:t xml:space="preserve">, ff. 2, 4 a 8; </w:t>
      </w:r>
      <w:hyperlink w:anchor="SENTENCIA_2016_36" w:history="1">
        <w:r w:rsidRPr="00924F59">
          <w:rPr>
            <w:rStyle w:val="TextoNormalCaracter"/>
          </w:rPr>
          <w:t>36/2016</w:t>
        </w:r>
      </w:hyperlink>
      <w:r w:rsidRPr="00924F59">
        <w:rPr>
          <w:rStyle w:val="TextoNormalCaracter"/>
        </w:rPr>
        <w:t xml:space="preserve">, ff. 1, 2; </w:t>
      </w:r>
      <w:hyperlink w:anchor="SENTENCIA_2016_37" w:history="1">
        <w:r w:rsidRPr="00924F59">
          <w:rPr>
            <w:rStyle w:val="TextoNormalCaracter"/>
          </w:rPr>
          <w:t>37/2016</w:t>
        </w:r>
      </w:hyperlink>
      <w:r w:rsidRPr="00924F59">
        <w:rPr>
          <w:rStyle w:val="TextoNormalCaracter"/>
        </w:rPr>
        <w:t xml:space="preserve">, f. 5; </w:t>
      </w:r>
      <w:hyperlink w:anchor="SENTENCIA_2016_100" w:history="1">
        <w:r w:rsidRPr="00924F59">
          <w:rPr>
            <w:rStyle w:val="TextoNormalCaracter"/>
          </w:rPr>
          <w:t>100/2016</w:t>
        </w:r>
      </w:hyperlink>
      <w:r w:rsidRPr="00924F59">
        <w:rPr>
          <w:rStyle w:val="TextoNormalCaracter"/>
        </w:rPr>
        <w:t xml:space="preserve">, f. 2; </w:t>
      </w:r>
      <w:hyperlink w:anchor="SENTENCIA_2016_124" w:history="1">
        <w:r w:rsidRPr="00924F59">
          <w:rPr>
            <w:rStyle w:val="TextoNormalCaracter"/>
          </w:rPr>
          <w:t>124/2016</w:t>
        </w:r>
      </w:hyperlink>
      <w:r w:rsidRPr="00924F59">
        <w:rPr>
          <w:rStyle w:val="TextoNormalCaracter"/>
        </w:rPr>
        <w:t>, ff. 3, 6, 8.</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05" w:history="1">
        <w:r w:rsidRPr="00924F59">
          <w:rPr>
            <w:rStyle w:val="TextoNormalCaracter"/>
          </w:rPr>
          <w:t>105/2016</w:t>
        </w:r>
      </w:hyperlink>
      <w:r w:rsidRPr="00924F59">
        <w:rPr>
          <w:rStyle w:val="TextoNormalCaracter"/>
        </w:rPr>
        <w:t>, f. 5.</w:t>
      </w:r>
    </w:p>
    <w:p w:rsidR="00924F59" w:rsidRPr="00924F59" w:rsidRDefault="00924F59" w:rsidP="00924F59">
      <w:pPr>
        <w:pStyle w:val="TextoNormalSangraFrancesa"/>
        <w:rPr>
          <w:rStyle w:val="TextoNormalCaracter"/>
        </w:rPr>
      </w:pPr>
      <w:bookmarkStart w:id="1255" w:name="DESCRIPTORALFABETICO461"/>
      <w:r w:rsidRPr="00924F59">
        <w:rPr>
          <w:rStyle w:val="TextoNormalNegritaCaracter"/>
        </w:rPr>
        <w:t>Competencias de las diputaciones provinciales</w:t>
      </w:r>
      <w:bookmarkEnd w:id="1255"/>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ff. 3, 9 a 12.</w:t>
      </w:r>
    </w:p>
    <w:p w:rsidR="00924F59" w:rsidRPr="00924F59" w:rsidRDefault="00924F59" w:rsidP="00924F59">
      <w:pPr>
        <w:pStyle w:val="TextoNormalSangraFrancesa"/>
        <w:rPr>
          <w:rStyle w:val="TextoNormalCaracter"/>
        </w:rPr>
      </w:pPr>
      <w:bookmarkStart w:id="1256" w:name="DESCRIPTORALFABETICO18"/>
      <w:r w:rsidRPr="00924F59">
        <w:rPr>
          <w:rStyle w:val="TextoNormalNegritaCaracter"/>
        </w:rPr>
        <w:t>Competencias de los entes locales</w:t>
      </w:r>
      <w:bookmarkEnd w:id="1256"/>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ff. 9 a 13.</w:t>
      </w:r>
    </w:p>
    <w:p w:rsidR="00924F59" w:rsidRPr="00924F59" w:rsidRDefault="00924F59" w:rsidP="00924F59">
      <w:pPr>
        <w:pStyle w:val="TextoNormalSangraFrancesa"/>
        <w:rPr>
          <w:rStyle w:val="TextoNormalCaracter"/>
        </w:rPr>
      </w:pPr>
      <w:bookmarkStart w:id="1257" w:name="DESCRIPTORALFABETICO796"/>
      <w:r w:rsidRPr="00924F59">
        <w:rPr>
          <w:rStyle w:val="TextoNormalNegritaCaracter"/>
        </w:rPr>
        <w:t>Competencias de los órganos judiciales</w:t>
      </w:r>
      <w:bookmarkEnd w:id="1257"/>
      <w:r w:rsidRPr="00924F59">
        <w:rPr>
          <w:rStyle w:val="TextoNormalCaracter"/>
        </w:rPr>
        <w:t xml:space="preserve">, Auto </w:t>
      </w:r>
      <w:hyperlink w:anchor="AUTO_2016_90" w:history="1">
        <w:r w:rsidRPr="00924F59">
          <w:rPr>
            <w:rStyle w:val="TextoNormalCaracter"/>
          </w:rPr>
          <w:t>90/2016</w:t>
        </w:r>
      </w:hyperlink>
      <w:r w:rsidRPr="00924F59">
        <w:rPr>
          <w:rStyle w:val="TextoNormalCaracter"/>
        </w:rPr>
        <w:t>, f. 5.</w:t>
      </w:r>
    </w:p>
    <w:p w:rsidR="00924F59" w:rsidRPr="00924F59" w:rsidRDefault="00924F59" w:rsidP="00924F59">
      <w:pPr>
        <w:pStyle w:val="TextoNormalSangraFrancesa"/>
        <w:rPr>
          <w:rStyle w:val="TextoNormalCaracter"/>
        </w:rPr>
      </w:pPr>
      <w:bookmarkStart w:id="1258" w:name="DESCRIPTORALFABETICO19"/>
      <w:r w:rsidRPr="00924F59">
        <w:rPr>
          <w:rStyle w:val="TextoNormalNegritaCaracter"/>
        </w:rPr>
        <w:t>Competencias del Estado</w:t>
      </w:r>
      <w:bookmarkEnd w:id="1258"/>
      <w:r w:rsidRPr="00924F59">
        <w:rPr>
          <w:rStyle w:val="TextoNormalCaracter"/>
        </w:rPr>
        <w:t xml:space="preserve">, Sentencias </w:t>
      </w:r>
      <w:hyperlink w:anchor="SENTENCIA_2016_5" w:history="1">
        <w:r w:rsidRPr="00924F59">
          <w:rPr>
            <w:rStyle w:val="TextoNormalCaracter"/>
          </w:rPr>
          <w:t>5/2016</w:t>
        </w:r>
      </w:hyperlink>
      <w:r w:rsidRPr="00924F59">
        <w:rPr>
          <w:rStyle w:val="TextoNormalCaracter"/>
        </w:rPr>
        <w:t xml:space="preserve">, ff. 3, 4; </w:t>
      </w:r>
      <w:hyperlink w:anchor="SENTENCIA_2016_36" w:history="1">
        <w:r w:rsidRPr="00924F59">
          <w:rPr>
            <w:rStyle w:val="TextoNormalCaracter"/>
          </w:rPr>
          <w:t>36/2016</w:t>
        </w:r>
      </w:hyperlink>
      <w:r w:rsidRPr="00924F59">
        <w:rPr>
          <w:rStyle w:val="TextoNormalCaracter"/>
        </w:rPr>
        <w:t xml:space="preserve">, ff. 1, 2; </w:t>
      </w:r>
      <w:hyperlink w:anchor="SENTENCIA_2016_53" w:history="1">
        <w:r w:rsidRPr="00924F59">
          <w:rPr>
            <w:rStyle w:val="TextoNormalCaracter"/>
          </w:rPr>
          <w:t>53/2016</w:t>
        </w:r>
      </w:hyperlink>
      <w:r w:rsidRPr="00924F59">
        <w:rPr>
          <w:rStyle w:val="TextoNormalCaracter"/>
        </w:rPr>
        <w:t xml:space="preserve">, ff. 1 a 5, VP; </w:t>
      </w:r>
      <w:hyperlink w:anchor="SENTENCIA_2016_95" w:history="1">
        <w:r w:rsidRPr="00924F59">
          <w:rPr>
            <w:rStyle w:val="TextoNormalCaracter"/>
          </w:rPr>
          <w:t>95/2016</w:t>
        </w:r>
      </w:hyperlink>
      <w:r w:rsidRPr="00924F59">
        <w:rPr>
          <w:rStyle w:val="TextoNormalCaracter"/>
        </w:rPr>
        <w:t xml:space="preserve">, ff. 1, 8; </w:t>
      </w:r>
      <w:hyperlink w:anchor="SENTENCIA_2016_119" w:history="1">
        <w:r w:rsidRPr="00924F59">
          <w:rPr>
            <w:rStyle w:val="TextoNormalCaracter"/>
          </w:rPr>
          <w:t>119/2016</w:t>
        </w:r>
      </w:hyperlink>
      <w:r w:rsidRPr="00924F59">
        <w:rPr>
          <w:rStyle w:val="TextoNormalCaracter"/>
        </w:rPr>
        <w:t>, ff. 3 a 6.</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05" w:history="1">
        <w:r w:rsidRPr="00924F59">
          <w:rPr>
            <w:rStyle w:val="TextoNormalCaracter"/>
          </w:rPr>
          <w:t>105/2016</w:t>
        </w:r>
      </w:hyperlink>
      <w:r w:rsidRPr="00924F59">
        <w:rPr>
          <w:rStyle w:val="TextoNormalCaracter"/>
        </w:rPr>
        <w:t>, f. 5.</w:t>
      </w:r>
    </w:p>
    <w:p w:rsidR="00924F59" w:rsidRPr="00924F59" w:rsidRDefault="00924F59" w:rsidP="00924F59">
      <w:pPr>
        <w:pStyle w:val="TextoNormalSangraFrancesa"/>
        <w:rPr>
          <w:rStyle w:val="TextoNormalCaracter"/>
        </w:rPr>
      </w:pPr>
      <w:bookmarkStart w:id="1259" w:name="DESCRIPTORALFABETICO14"/>
      <w:r w:rsidRPr="00924F59">
        <w:rPr>
          <w:rStyle w:val="TextoNormalNegritaCaracter"/>
        </w:rPr>
        <w:t>Competencias delimitadas por la legislación básica</w:t>
      </w:r>
      <w:bookmarkEnd w:id="1259"/>
      <w:r w:rsidRPr="00924F59">
        <w:rPr>
          <w:rStyle w:val="TextoNormalCaracter"/>
        </w:rPr>
        <w:t xml:space="preserve">, Sentencias </w:t>
      </w:r>
      <w:hyperlink w:anchor="SENTENCIA_2016_41" w:history="1">
        <w:r w:rsidRPr="00924F59">
          <w:rPr>
            <w:rStyle w:val="TextoNormalCaracter"/>
          </w:rPr>
          <w:t>41/2016</w:t>
        </w:r>
      </w:hyperlink>
      <w:r w:rsidRPr="00924F59">
        <w:rPr>
          <w:rStyle w:val="TextoNormalCaracter"/>
        </w:rPr>
        <w:t xml:space="preserve">, ff. 6 b), 7; </w:t>
      </w:r>
      <w:hyperlink w:anchor="SENTENCIA_2016_99" w:history="1">
        <w:r w:rsidRPr="00924F59">
          <w:rPr>
            <w:rStyle w:val="TextoNormalCaracter"/>
          </w:rPr>
          <w:t>99/2016</w:t>
        </w:r>
      </w:hyperlink>
      <w:r w:rsidRPr="00924F59">
        <w:rPr>
          <w:rStyle w:val="TextoNormalCaracter"/>
        </w:rPr>
        <w:t>, f. 7.</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83" w:history="1">
        <w:r w:rsidRPr="00924F59">
          <w:rPr>
            <w:rStyle w:val="TextoNormalCaracter"/>
          </w:rPr>
          <w:t>83/2016</w:t>
        </w:r>
      </w:hyperlink>
      <w:r w:rsidRPr="00924F59">
        <w:rPr>
          <w:rStyle w:val="TextoNormalCaracter"/>
        </w:rPr>
        <w:t>, f. 5.</w:t>
      </w:r>
    </w:p>
    <w:p w:rsidR="00924F59" w:rsidRPr="00924F59" w:rsidRDefault="00924F59" w:rsidP="00924F59">
      <w:pPr>
        <w:pStyle w:val="TextoNormalSangraFrancesa"/>
        <w:rPr>
          <w:rStyle w:val="TextoNormalCaracter"/>
        </w:rPr>
      </w:pPr>
      <w:bookmarkStart w:id="1260" w:name="DESCRIPTORALFABETICO32"/>
      <w:r w:rsidRPr="00924F59">
        <w:rPr>
          <w:rStyle w:val="TextoNormalNegritaCaracter"/>
        </w:rPr>
        <w:t>Competencias en materia de asistencia social</w:t>
      </w:r>
      <w:bookmarkEnd w:id="1260"/>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ff. 7, 8; </w:t>
      </w:r>
      <w:hyperlink w:anchor="SENTENCIA_2016_36" w:history="1">
        <w:r w:rsidRPr="00924F59">
          <w:rPr>
            <w:rStyle w:val="TextoNormalCaracter"/>
          </w:rPr>
          <w:t>36/2016</w:t>
        </w:r>
      </w:hyperlink>
      <w:r w:rsidRPr="00924F59">
        <w:rPr>
          <w:rStyle w:val="TextoNormalCaracter"/>
        </w:rPr>
        <w:t xml:space="preserve">, ff. 1, 2; </w:t>
      </w:r>
      <w:hyperlink w:anchor="SENTENCIA_2016_62" w:history="1">
        <w:r w:rsidRPr="00924F59">
          <w:rPr>
            <w:rStyle w:val="TextoNormalCaracter"/>
          </w:rPr>
          <w:t>62/2016</w:t>
        </w:r>
      </w:hyperlink>
      <w:r w:rsidRPr="00924F59">
        <w:rPr>
          <w:rStyle w:val="TextoNormalCaracter"/>
        </w:rPr>
        <w:t xml:space="preserve">, ff. 2, 4, VP II; </w:t>
      </w:r>
      <w:hyperlink w:anchor="SENTENCIA_2016_99" w:history="1">
        <w:r w:rsidRPr="00924F59">
          <w:rPr>
            <w:rStyle w:val="TextoNormalCaracter"/>
          </w:rPr>
          <w:t>99/2016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261" w:name="DESCRIPTORALFABETICO33"/>
      <w:r w:rsidRPr="00924F59">
        <w:rPr>
          <w:rStyle w:val="TextoNormalNegritaCaracter"/>
        </w:rPr>
        <w:t>Competencias en materia de becas y ayudas al estudio</w:t>
      </w:r>
      <w:bookmarkEnd w:id="1261"/>
      <w:r w:rsidRPr="00924F59">
        <w:rPr>
          <w:rStyle w:val="TextoNormalCaracter"/>
        </w:rPr>
        <w:t xml:space="preserve">, Sentencia </w:t>
      </w:r>
      <w:hyperlink w:anchor="SENTENCIA_2016_95" w:history="1">
        <w:r w:rsidRPr="00924F59">
          <w:rPr>
            <w:rStyle w:val="TextoNormalCaracter"/>
          </w:rPr>
          <w:t>95/2016</w:t>
        </w:r>
      </w:hyperlink>
      <w:r w:rsidRPr="00924F59">
        <w:rPr>
          <w:rStyle w:val="TextoNormalCaracter"/>
        </w:rPr>
        <w:t>, ff. 1 a 6, 8, VP.</w:t>
      </w:r>
    </w:p>
    <w:p w:rsidR="00924F59" w:rsidRPr="00924F59" w:rsidRDefault="00924F59" w:rsidP="00924F59">
      <w:pPr>
        <w:pStyle w:val="TextoNormalSangraFrancesa"/>
        <w:rPr>
          <w:rStyle w:val="TextoNormalCaracter"/>
        </w:rPr>
      </w:pPr>
      <w:bookmarkStart w:id="1262" w:name="DESCRIPTORALFABETICO34"/>
      <w:r w:rsidRPr="00924F59">
        <w:rPr>
          <w:rStyle w:val="TextoNormalNegritaCaracter"/>
        </w:rPr>
        <w:t>Competencias en materia de colegios profesionales</w:t>
      </w:r>
      <w:bookmarkEnd w:id="1262"/>
      <w:r w:rsidRPr="00924F59">
        <w:rPr>
          <w:rStyle w:val="TextoNormalCaracter"/>
        </w:rPr>
        <w:t xml:space="preserve">, Auto </w:t>
      </w:r>
      <w:hyperlink w:anchor="AUTO_2016_73" w:history="1">
        <w:r w:rsidRPr="00924F59">
          <w:rPr>
            <w:rStyle w:val="TextoNormalCaracter"/>
          </w:rPr>
          <w:t>73/2016</w:t>
        </w:r>
      </w:hyperlink>
      <w:r w:rsidRPr="00924F59">
        <w:rPr>
          <w:rStyle w:val="TextoNormalCaracter"/>
        </w:rPr>
        <w:t>, f. 1.</w:t>
      </w:r>
    </w:p>
    <w:p w:rsidR="00924F59" w:rsidRPr="00924F59" w:rsidRDefault="00924F59" w:rsidP="00924F59">
      <w:pPr>
        <w:pStyle w:val="TextoNormalSangraFrancesa"/>
        <w:rPr>
          <w:rStyle w:val="TextoNormalCaracter"/>
        </w:rPr>
      </w:pPr>
      <w:bookmarkStart w:id="1263" w:name="DESCRIPTORALFABETICO35"/>
      <w:r w:rsidRPr="00924F59">
        <w:rPr>
          <w:rStyle w:val="TextoNormalNegritaCaracter"/>
        </w:rPr>
        <w:t>Competencias en materia de comercio interior</w:t>
      </w:r>
      <w:bookmarkEnd w:id="1263"/>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9; </w:t>
      </w:r>
      <w:hyperlink w:anchor="SENTENCIA_2016_55" w:history="1">
        <w:r w:rsidRPr="00924F59">
          <w:rPr>
            <w:rStyle w:val="TextoNormalCaracter"/>
          </w:rPr>
          <w:t>55/2016</w:t>
        </w:r>
      </w:hyperlink>
      <w:r w:rsidRPr="00924F59">
        <w:rPr>
          <w:rStyle w:val="TextoNormalCaracter"/>
        </w:rPr>
        <w:t xml:space="preserve">, f. 4; </w:t>
      </w:r>
      <w:hyperlink w:anchor="SENTENCIA_2016_119" w:history="1">
        <w:r w:rsidRPr="00924F59">
          <w:rPr>
            <w:rStyle w:val="TextoNormalCaracter"/>
          </w:rPr>
          <w:t>119/2016</w:t>
        </w:r>
      </w:hyperlink>
      <w:r w:rsidRPr="00924F59">
        <w:rPr>
          <w:rStyle w:val="TextoNormalCaracter"/>
        </w:rPr>
        <w:t>, ff. 5, 6.</w:t>
      </w:r>
    </w:p>
    <w:p w:rsidR="00924F59" w:rsidRPr="00924F59" w:rsidRDefault="00924F59" w:rsidP="00924F59">
      <w:pPr>
        <w:pStyle w:val="TextoNormalSangraFrancesa"/>
        <w:rPr>
          <w:rStyle w:val="TextoNormalCaracter"/>
        </w:rPr>
      </w:pPr>
      <w:bookmarkStart w:id="1264" w:name="DESCRIPTORALFABETICO37"/>
      <w:r w:rsidRPr="00924F59">
        <w:rPr>
          <w:rStyle w:val="TextoNormalNegritaCaracter"/>
        </w:rPr>
        <w:t>Competencias en materia de defensa de la competencia</w:t>
      </w:r>
      <w:bookmarkEnd w:id="1264"/>
      <w:r w:rsidRPr="00924F59">
        <w:rPr>
          <w:rStyle w:val="TextoNormalCaracter"/>
        </w:rPr>
        <w:t xml:space="preserve">, Sentencia </w:t>
      </w:r>
      <w:hyperlink w:anchor="SENTENCIA_2016_119" w:history="1">
        <w:r w:rsidRPr="00924F59">
          <w:rPr>
            <w:rStyle w:val="TextoNormalCaracter"/>
          </w:rPr>
          <w:t>119/2016</w:t>
        </w:r>
      </w:hyperlink>
      <w:r w:rsidRPr="00924F59">
        <w:rPr>
          <w:rStyle w:val="TextoNormalCaracter"/>
        </w:rPr>
        <w:t>, f. 6.</w:t>
      </w:r>
    </w:p>
    <w:p w:rsidR="00924F59" w:rsidRPr="00924F59" w:rsidRDefault="00924F59" w:rsidP="00924F59">
      <w:pPr>
        <w:pStyle w:val="TextoNormalSangraFrancesa"/>
        <w:rPr>
          <w:rStyle w:val="TextoNormalCaracter"/>
        </w:rPr>
      </w:pPr>
      <w:bookmarkStart w:id="1265" w:name="DESCRIPTORALFABETICO38"/>
      <w:r w:rsidRPr="00924F59">
        <w:rPr>
          <w:rStyle w:val="TextoNormalNegritaCaracter"/>
        </w:rPr>
        <w:t>Competencias en materia de defensa de los consumidores</w:t>
      </w:r>
      <w:bookmarkEnd w:id="1265"/>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10; </w:t>
      </w:r>
      <w:hyperlink w:anchor="SENTENCIA_2016_62" w:history="1">
        <w:r w:rsidRPr="00924F59">
          <w:rPr>
            <w:rStyle w:val="TextoNormalCaracter"/>
          </w:rPr>
          <w:t>62/2016</w:t>
        </w:r>
      </w:hyperlink>
      <w:r w:rsidRPr="00924F59">
        <w:rPr>
          <w:rStyle w:val="TextoNormalCaracter"/>
        </w:rPr>
        <w:t>, ff. 2, 4, VP II.</w:t>
      </w:r>
    </w:p>
    <w:p w:rsidR="00924F59" w:rsidRPr="00924F59" w:rsidRDefault="00924F59" w:rsidP="00924F59">
      <w:pPr>
        <w:pStyle w:val="TextoNormalSangraFrancesa"/>
        <w:rPr>
          <w:rStyle w:val="TextoNormalCaracter"/>
        </w:rPr>
      </w:pPr>
      <w:bookmarkStart w:id="1266" w:name="DESCRIPTORALFABETICO39"/>
      <w:r w:rsidRPr="00924F59">
        <w:rPr>
          <w:rStyle w:val="TextoNormalNegritaCaracter"/>
        </w:rPr>
        <w:t>Competencias en materia de defensa nacional</w:t>
      </w:r>
      <w:bookmarkEnd w:id="1266"/>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3, 4, 7, 10.</w:t>
      </w:r>
    </w:p>
    <w:p w:rsidR="00924F59" w:rsidRPr="00924F59" w:rsidRDefault="00924F59" w:rsidP="00924F59">
      <w:pPr>
        <w:pStyle w:val="TextoNormalSangraFrancesa"/>
        <w:rPr>
          <w:rStyle w:val="TextoNormalCaracter"/>
        </w:rPr>
      </w:pPr>
      <w:bookmarkStart w:id="1267" w:name="DESCRIPTORALFABETICO45"/>
      <w:r w:rsidRPr="00924F59">
        <w:rPr>
          <w:rStyle w:val="TextoNormalNegritaCaracter"/>
        </w:rPr>
        <w:t>Competencias en materia de derechos forales</w:t>
      </w:r>
      <w:bookmarkEnd w:id="1267"/>
      <w:r w:rsidRPr="00924F59">
        <w:rPr>
          <w:rStyle w:val="TextoNormalCaracter"/>
        </w:rPr>
        <w:t xml:space="preserve">, Sentencias </w:t>
      </w:r>
      <w:hyperlink w:anchor="SENTENCIA_2016_54" w:history="1">
        <w:r w:rsidRPr="00924F59">
          <w:rPr>
            <w:rStyle w:val="TextoNormalCaracter"/>
          </w:rPr>
          <w:t>54/2016</w:t>
        </w:r>
      </w:hyperlink>
      <w:r w:rsidRPr="00924F59">
        <w:rPr>
          <w:rStyle w:val="TextoNormalCaracter"/>
        </w:rPr>
        <w:t xml:space="preserve">, ff. 1, 2; </w:t>
      </w:r>
      <w:hyperlink w:anchor="SENTENCIA_2016_82" w:history="1">
        <w:r w:rsidRPr="00924F59">
          <w:rPr>
            <w:rStyle w:val="TextoNormalCaracter"/>
          </w:rPr>
          <w:t>82/2016</w:t>
        </w:r>
      </w:hyperlink>
      <w:r w:rsidRPr="00924F59">
        <w:rPr>
          <w:rStyle w:val="TextoNormalCaracter"/>
        </w:rPr>
        <w:t xml:space="preserve">, ff. 1, 3, a 7, VP; </w:t>
      </w:r>
      <w:hyperlink w:anchor="SENTENCIA_2016_110" w:history="1">
        <w:r w:rsidRPr="00924F59">
          <w:rPr>
            <w:rStyle w:val="TextoNormalCaracter"/>
          </w:rPr>
          <w:t>110/2016</w:t>
        </w:r>
      </w:hyperlink>
      <w:r w:rsidRPr="00924F59">
        <w:rPr>
          <w:rStyle w:val="TextoNormalCaracter"/>
        </w:rPr>
        <w:t>, ff. 1, 3 a 6, VP.</w:t>
      </w:r>
    </w:p>
    <w:p w:rsidR="00924F59" w:rsidRPr="00924F59" w:rsidRDefault="00924F59" w:rsidP="00924F59">
      <w:pPr>
        <w:pStyle w:val="TextoNormalSangraFrancesa"/>
        <w:rPr>
          <w:rStyle w:val="TextoNormalCaracter"/>
        </w:rPr>
      </w:pPr>
      <w:bookmarkStart w:id="1268" w:name="DESCRIPTORALFABETICO40"/>
      <w:r w:rsidRPr="00924F59">
        <w:rPr>
          <w:rStyle w:val="TextoNormalNegritaCaracter"/>
        </w:rPr>
        <w:t>Competencias en materia de educación</w:t>
      </w:r>
      <w:bookmarkEnd w:id="1268"/>
      <w:r w:rsidRPr="00924F59">
        <w:rPr>
          <w:rStyle w:val="TextoNormalCaracter"/>
        </w:rPr>
        <w:t xml:space="preserve">, Sentencias </w:t>
      </w:r>
      <w:hyperlink w:anchor="SENTENCIA_2016_54" w:history="1">
        <w:r w:rsidRPr="00924F59">
          <w:rPr>
            <w:rStyle w:val="TextoNormalCaracter"/>
          </w:rPr>
          <w:t>54/2016</w:t>
        </w:r>
      </w:hyperlink>
      <w:r w:rsidRPr="00924F59">
        <w:rPr>
          <w:rStyle w:val="TextoNormalCaracter"/>
        </w:rPr>
        <w:t xml:space="preserve">, ff. 1, 2, VP; </w:t>
      </w:r>
      <w:hyperlink w:anchor="SENTENCIA_2016_66" w:history="1">
        <w:r w:rsidRPr="00924F59">
          <w:rPr>
            <w:rStyle w:val="TextoNormalCaracter"/>
          </w:rPr>
          <w:t>66/2016</w:t>
        </w:r>
      </w:hyperlink>
      <w:r w:rsidRPr="00924F59">
        <w:rPr>
          <w:rStyle w:val="TextoNormalCaracter"/>
        </w:rPr>
        <w:t xml:space="preserve">, ff. 1 a 5, VP; </w:t>
      </w:r>
      <w:hyperlink w:anchor="SENTENCIA_2016_67" w:history="1">
        <w:r w:rsidRPr="00924F59">
          <w:rPr>
            <w:rStyle w:val="TextoNormalCaracter"/>
          </w:rPr>
          <w:t>67/2016</w:t>
        </w:r>
      </w:hyperlink>
      <w:r w:rsidRPr="00924F59">
        <w:rPr>
          <w:rStyle w:val="TextoNormalCaracter"/>
        </w:rPr>
        <w:t xml:space="preserve">, ff. 3 a 6, VP; </w:t>
      </w:r>
      <w:hyperlink w:anchor="SENTENCIA_2016_68" w:history="1">
        <w:r w:rsidRPr="00924F59">
          <w:rPr>
            <w:rStyle w:val="TextoNormalCaracter"/>
          </w:rPr>
          <w:t>68/2016</w:t>
        </w:r>
      </w:hyperlink>
      <w:r w:rsidRPr="00924F59">
        <w:rPr>
          <w:rStyle w:val="TextoNormalCaracter"/>
        </w:rPr>
        <w:t xml:space="preserve">, ff. 3 a 6, VP; </w:t>
      </w:r>
      <w:hyperlink w:anchor="SENTENCIA_2016_84" w:history="1">
        <w:r w:rsidRPr="00924F59">
          <w:rPr>
            <w:rStyle w:val="TextoNormalCaracter"/>
          </w:rPr>
          <w:t>84/2016</w:t>
        </w:r>
      </w:hyperlink>
      <w:r w:rsidRPr="00924F59">
        <w:rPr>
          <w:rStyle w:val="TextoNormalCaracter"/>
        </w:rPr>
        <w:t>, ff. 3 a 6, VP.</w:t>
      </w:r>
    </w:p>
    <w:p w:rsidR="00924F59" w:rsidRPr="00924F59" w:rsidRDefault="00924F59" w:rsidP="00924F59">
      <w:pPr>
        <w:pStyle w:val="TextoNormalSangraFrancesa"/>
        <w:rPr>
          <w:rStyle w:val="TextoNormalCaracter"/>
        </w:rPr>
      </w:pPr>
      <w:bookmarkStart w:id="1269" w:name="DESCRIPTORALFABETICO41"/>
      <w:r w:rsidRPr="00924F59">
        <w:rPr>
          <w:rStyle w:val="TextoNormalNegritaCaracter"/>
        </w:rPr>
        <w:t>Competencias en materia de energía eléctrica</w:t>
      </w:r>
      <w:bookmarkEnd w:id="1269"/>
      <w:r w:rsidRPr="00924F59">
        <w:rPr>
          <w:rStyle w:val="TextoNormalCaracter"/>
        </w:rPr>
        <w:t xml:space="preserve">, Sentencias </w:t>
      </w:r>
      <w:hyperlink w:anchor="SENTENCIA_2016_32" w:history="1">
        <w:r w:rsidRPr="00924F59">
          <w:rPr>
            <w:rStyle w:val="TextoNormalCaracter"/>
          </w:rPr>
          <w:t>32/2016</w:t>
        </w:r>
      </w:hyperlink>
      <w:r w:rsidRPr="00924F59">
        <w:rPr>
          <w:rStyle w:val="TextoNormalCaracter"/>
        </w:rPr>
        <w:t xml:space="preserve">, ff. 3 a 13; </w:t>
      </w:r>
      <w:hyperlink w:anchor="SENTENCIA_2016_60" w:history="1">
        <w:r w:rsidRPr="00924F59">
          <w:rPr>
            <w:rStyle w:val="TextoNormalCaracter"/>
          </w:rPr>
          <w:t>60/2016</w:t>
        </w:r>
      </w:hyperlink>
      <w:r w:rsidRPr="00924F59">
        <w:rPr>
          <w:rStyle w:val="TextoNormalCaracter"/>
        </w:rPr>
        <w:t xml:space="preserve">, ff. 3 a 8; </w:t>
      </w:r>
      <w:hyperlink w:anchor="SENTENCIA_2016_62" w:history="1">
        <w:r w:rsidRPr="00924F59">
          <w:rPr>
            <w:rStyle w:val="TextoNormalCaracter"/>
          </w:rPr>
          <w:t>62/2016</w:t>
        </w:r>
      </w:hyperlink>
      <w:r w:rsidRPr="00924F59">
        <w:rPr>
          <w:rStyle w:val="TextoNormalCaracter"/>
        </w:rPr>
        <w:t xml:space="preserve">, ff. 3, 4; </w:t>
      </w:r>
      <w:hyperlink w:anchor="SENTENCIA_2016_72" w:history="1">
        <w:r w:rsidRPr="00924F59">
          <w:rPr>
            <w:rStyle w:val="TextoNormalCaracter"/>
          </w:rPr>
          <w:t>72/2016</w:t>
        </w:r>
      </w:hyperlink>
      <w:r w:rsidRPr="00924F59">
        <w:rPr>
          <w:rStyle w:val="TextoNormalCaracter"/>
        </w:rPr>
        <w:t xml:space="preserve">, ff. 1, 3; </w:t>
      </w:r>
      <w:hyperlink w:anchor="SENTENCIA_2016_120" w:history="1">
        <w:r w:rsidRPr="00924F59">
          <w:rPr>
            <w:rStyle w:val="TextoNormalCaracter"/>
          </w:rPr>
          <w:t>120/2016</w:t>
        </w:r>
      </w:hyperlink>
      <w:r w:rsidRPr="00924F59">
        <w:rPr>
          <w:rStyle w:val="TextoNormalCaracter"/>
        </w:rPr>
        <w:t>, ff. 5 a 11.</w:t>
      </w:r>
    </w:p>
    <w:p w:rsidR="00924F59" w:rsidRPr="00924F59" w:rsidRDefault="00924F59" w:rsidP="00924F59">
      <w:pPr>
        <w:pStyle w:val="TextoNormalSangraFrancesa"/>
        <w:rPr>
          <w:rStyle w:val="TextoNormalCaracter"/>
        </w:rPr>
      </w:pPr>
      <w:bookmarkStart w:id="1270" w:name="DESCRIPTORALFABETICO42"/>
      <w:r w:rsidRPr="00924F59">
        <w:rPr>
          <w:rStyle w:val="TextoNormalNegritaCaracter"/>
        </w:rPr>
        <w:t>Competencias en materia de ferrocarriles</w:t>
      </w:r>
      <w:bookmarkEnd w:id="1270"/>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3, 4, 6, 8.</w:t>
      </w:r>
    </w:p>
    <w:p w:rsidR="00924F59" w:rsidRPr="00924F59" w:rsidRDefault="00924F59" w:rsidP="00924F59">
      <w:pPr>
        <w:pStyle w:val="TextoNormalSangraFrancesa"/>
        <w:rPr>
          <w:rStyle w:val="TextoNormalCaracter"/>
        </w:rPr>
      </w:pPr>
      <w:bookmarkStart w:id="1271" w:name="DESCRIPTORALFABETICO43"/>
      <w:r w:rsidRPr="00924F59">
        <w:rPr>
          <w:rStyle w:val="TextoNormalNegritaCaracter"/>
        </w:rPr>
        <w:t>Competencias en materia de función pública</w:t>
      </w:r>
      <w:bookmarkEnd w:id="1271"/>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 7, VP.</w:t>
      </w:r>
    </w:p>
    <w:p w:rsidR="00924F59" w:rsidRPr="00924F59" w:rsidRDefault="00924F59" w:rsidP="00924F59">
      <w:pPr>
        <w:pStyle w:val="TextoNormalSangraFrancesa"/>
        <w:rPr>
          <w:rStyle w:val="TextoNormalCaracter"/>
        </w:rPr>
      </w:pPr>
      <w:bookmarkStart w:id="1272" w:name="DESCRIPTORALFABETICO44"/>
      <w:r w:rsidRPr="00924F59">
        <w:rPr>
          <w:rStyle w:val="TextoNormalNegritaCaracter"/>
        </w:rPr>
        <w:t>Competencias en materia de hacienda pública</w:t>
      </w:r>
      <w:bookmarkEnd w:id="1272"/>
      <w:r w:rsidRPr="00924F59">
        <w:rPr>
          <w:rStyle w:val="TextoNormalCaracter"/>
        </w:rPr>
        <w:t xml:space="preserve">, Auto </w:t>
      </w:r>
      <w:hyperlink w:anchor="AUTO_2016_83" w:history="1">
        <w:r w:rsidRPr="00924F59">
          <w:rPr>
            <w:rStyle w:val="TextoNormalCaracter"/>
          </w:rPr>
          <w:t>83/2016</w:t>
        </w:r>
      </w:hyperlink>
      <w:r w:rsidRPr="00924F59">
        <w:rPr>
          <w:rStyle w:val="TextoNormalCaracter"/>
        </w:rPr>
        <w:t>, f. 4.</w:t>
      </w:r>
    </w:p>
    <w:p w:rsidR="00924F59" w:rsidRPr="00924F59" w:rsidRDefault="00924F59" w:rsidP="00924F59">
      <w:pPr>
        <w:pStyle w:val="TextoNormalSangraFrancesa"/>
        <w:rPr>
          <w:rStyle w:val="TextoNormalCaracter"/>
        </w:rPr>
      </w:pPr>
      <w:bookmarkStart w:id="1273" w:name="DESCRIPTORALFABETICO36"/>
      <w:r w:rsidRPr="00924F59">
        <w:rPr>
          <w:rStyle w:val="TextoNormalNegritaCaracter"/>
        </w:rPr>
        <w:t>Competencias en materia de horarios comerciales</w:t>
      </w:r>
      <w:bookmarkEnd w:id="1273"/>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9; </w:t>
      </w:r>
      <w:hyperlink w:anchor="SENTENCIA_2016_37" w:history="1">
        <w:r w:rsidRPr="00924F59">
          <w:rPr>
            <w:rStyle w:val="TextoNormalCaracter"/>
          </w:rPr>
          <w:t>37/2016</w:t>
        </w:r>
      </w:hyperlink>
      <w:r w:rsidRPr="00924F59">
        <w:rPr>
          <w:rStyle w:val="TextoNormalCaracter"/>
        </w:rPr>
        <w:t xml:space="preserve">, f. 4; </w:t>
      </w:r>
      <w:hyperlink w:anchor="SENTENCIA_2016_55" w:history="1">
        <w:r w:rsidRPr="00924F59">
          <w:rPr>
            <w:rStyle w:val="TextoNormalCaracter"/>
          </w:rPr>
          <w:t>55/2016</w:t>
        </w:r>
      </w:hyperlink>
      <w:r w:rsidRPr="00924F59">
        <w:rPr>
          <w:rStyle w:val="TextoNormalCaracter"/>
        </w:rPr>
        <w:t xml:space="preserve">, f. 4; </w:t>
      </w:r>
      <w:hyperlink w:anchor="SENTENCIA_2016_119" w:history="1">
        <w:r w:rsidRPr="00924F59">
          <w:rPr>
            <w:rStyle w:val="TextoNormalCaracter"/>
          </w:rPr>
          <w:t>119/2016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274" w:name="DESCRIPTORALFABETICO46"/>
      <w:r w:rsidRPr="00924F59">
        <w:rPr>
          <w:rStyle w:val="TextoNormalNegritaCaracter"/>
        </w:rPr>
        <w:t>Competencias en materia de legislación laboral</w:t>
      </w:r>
      <w:bookmarkEnd w:id="1274"/>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 7.</w:t>
      </w:r>
    </w:p>
    <w:p w:rsidR="00924F59" w:rsidRPr="00924F59" w:rsidRDefault="00924F59" w:rsidP="00924F59">
      <w:pPr>
        <w:pStyle w:val="TextoNormalSangraFrancesa"/>
        <w:rPr>
          <w:rStyle w:val="TextoNormalCaracter"/>
        </w:rPr>
      </w:pPr>
      <w:bookmarkStart w:id="1275" w:name="DESCRIPTORALFABETICO47"/>
      <w:r w:rsidRPr="00924F59">
        <w:rPr>
          <w:rStyle w:val="TextoNormalNegritaCaracter"/>
        </w:rPr>
        <w:t>Competencias en materia de medio ambiente</w:t>
      </w:r>
      <w:bookmarkEnd w:id="1275"/>
      <w:r w:rsidRPr="00924F59">
        <w:rPr>
          <w:rStyle w:val="TextoNormalCaracter"/>
        </w:rPr>
        <w:t xml:space="preserve">, Sentencias </w:t>
      </w:r>
      <w:hyperlink w:anchor="SENTENCIA_2016_8" w:history="1">
        <w:r w:rsidRPr="00924F59">
          <w:rPr>
            <w:rStyle w:val="TextoNormalCaracter"/>
          </w:rPr>
          <w:t>8/2016</w:t>
        </w:r>
      </w:hyperlink>
      <w:r w:rsidRPr="00924F59">
        <w:rPr>
          <w:rStyle w:val="TextoNormalCaracter"/>
        </w:rPr>
        <w:t xml:space="preserve">, ff. 1, 3, 5, 7, 11; </w:t>
      </w:r>
      <w:hyperlink w:anchor="SENTENCIA_2016_20" w:history="1">
        <w:r w:rsidRPr="00924F59">
          <w:rPr>
            <w:rStyle w:val="TextoNormalCaracter"/>
          </w:rPr>
          <w:t>20/2016</w:t>
        </w:r>
      </w:hyperlink>
      <w:r w:rsidRPr="00924F59">
        <w:rPr>
          <w:rStyle w:val="TextoNormalCaracter"/>
        </w:rPr>
        <w:t xml:space="preserve">, ff. 1, 2, 4, 5; </w:t>
      </w:r>
      <w:hyperlink w:anchor="SENTENCIA_2016_53" w:history="1">
        <w:r w:rsidRPr="00924F59">
          <w:rPr>
            <w:rStyle w:val="TextoNormalCaracter"/>
          </w:rPr>
          <w:t>53/2016</w:t>
        </w:r>
      </w:hyperlink>
      <w:r w:rsidRPr="00924F59">
        <w:rPr>
          <w:rStyle w:val="TextoNormalCaracter"/>
        </w:rPr>
        <w:t xml:space="preserve">, ff. 1 a 5, VP; </w:t>
      </w:r>
      <w:hyperlink w:anchor="SENTENCIA_2016_57" w:history="1">
        <w:r w:rsidRPr="00924F59">
          <w:rPr>
            <w:rStyle w:val="TextoNormalCaracter"/>
          </w:rPr>
          <w:t>57/2016</w:t>
        </w:r>
      </w:hyperlink>
      <w:r w:rsidRPr="00924F59">
        <w:rPr>
          <w:rStyle w:val="TextoNormalCaracter"/>
        </w:rPr>
        <w:t xml:space="preserve">, ff. 4, 8, 10; </w:t>
      </w:r>
      <w:hyperlink w:anchor="SENTENCIA_2016_73" w:history="1">
        <w:r w:rsidRPr="00924F59">
          <w:rPr>
            <w:rStyle w:val="TextoNormalCaracter"/>
          </w:rPr>
          <w:t>73/2016</w:t>
        </w:r>
      </w:hyperlink>
      <w:r w:rsidRPr="00924F59">
        <w:rPr>
          <w:rStyle w:val="TextoNormalCaracter"/>
        </w:rPr>
        <w:t>, ff. 8 a 10.</w:t>
      </w:r>
    </w:p>
    <w:p w:rsidR="00924F59" w:rsidRPr="00924F59" w:rsidRDefault="00924F59" w:rsidP="00924F59">
      <w:pPr>
        <w:pStyle w:val="TextoNormalSangraFrancesa"/>
        <w:rPr>
          <w:rStyle w:val="TextoNormalCaracter"/>
        </w:rPr>
      </w:pPr>
      <w:bookmarkStart w:id="1276" w:name="DESCRIPTORALFABETICO48"/>
      <w:r w:rsidRPr="00924F59">
        <w:rPr>
          <w:rStyle w:val="TextoNormalNegritaCaracter"/>
        </w:rPr>
        <w:t>Competencias en materia de medios de comunicación audiovisual</w:t>
      </w:r>
      <w:bookmarkEnd w:id="1276"/>
      <w:r w:rsidRPr="00924F59">
        <w:rPr>
          <w:rStyle w:val="TextoNormalCaracter"/>
        </w:rPr>
        <w:t xml:space="preserve">, Sentencia </w:t>
      </w:r>
      <w:hyperlink w:anchor="SENTENCIA_2016_20" w:history="1">
        <w:r w:rsidRPr="00924F59">
          <w:rPr>
            <w:rStyle w:val="TextoNormalCaracter"/>
          </w:rPr>
          <w:t>20/2016</w:t>
        </w:r>
      </w:hyperlink>
      <w:r w:rsidRPr="00924F59">
        <w:rPr>
          <w:rStyle w:val="TextoNormalCaracter"/>
        </w:rPr>
        <w:t>, ff. 2, 10.</w:t>
      </w:r>
    </w:p>
    <w:p w:rsidR="00924F59" w:rsidRPr="00924F59" w:rsidRDefault="00924F59" w:rsidP="00924F59">
      <w:pPr>
        <w:pStyle w:val="TextoNormalSangraFrancesa"/>
        <w:rPr>
          <w:rStyle w:val="TextoNormalCaracter"/>
        </w:rPr>
      </w:pPr>
      <w:bookmarkStart w:id="1277" w:name="DESCRIPTORALFABETICO49"/>
      <w:r w:rsidRPr="00924F59">
        <w:rPr>
          <w:rStyle w:val="TextoNormalNegritaCaracter"/>
        </w:rPr>
        <w:t>Competencias en materia de ordenación del territorio</w:t>
      </w:r>
      <w:bookmarkEnd w:id="1277"/>
      <w:r w:rsidRPr="00924F59">
        <w:rPr>
          <w:rStyle w:val="TextoNormalCaracter"/>
        </w:rPr>
        <w:t xml:space="preserve">, Sentencias </w:t>
      </w:r>
      <w:hyperlink w:anchor="SENTENCIA_2016_8" w:history="1">
        <w:r w:rsidRPr="00924F59">
          <w:rPr>
            <w:rStyle w:val="TextoNormalCaracter"/>
          </w:rPr>
          <w:t>8/2016</w:t>
        </w:r>
      </w:hyperlink>
      <w:r w:rsidRPr="00924F59">
        <w:rPr>
          <w:rStyle w:val="TextoNormalCaracter"/>
        </w:rPr>
        <w:t xml:space="preserve">, ff. 1, 3, 5 a 7; </w:t>
      </w:r>
      <w:hyperlink w:anchor="SENTENCIA_2016_20" w:history="1">
        <w:r w:rsidRPr="00924F59">
          <w:rPr>
            <w:rStyle w:val="TextoNormalCaracter"/>
          </w:rPr>
          <w:t>20/2016</w:t>
        </w:r>
      </w:hyperlink>
      <w:r w:rsidRPr="00924F59">
        <w:rPr>
          <w:rStyle w:val="TextoNormalCaracter"/>
        </w:rPr>
        <w:t xml:space="preserve">, ff. 2, 4, 5, 7, 9; </w:t>
      </w:r>
      <w:hyperlink w:anchor="SENTENCIA_2016_73" w:history="1">
        <w:r w:rsidRPr="00924F59">
          <w:rPr>
            <w:rStyle w:val="TextoNormalCaracter"/>
          </w:rPr>
          <w:t>73/2016</w:t>
        </w:r>
      </w:hyperlink>
      <w:r w:rsidRPr="00924F59">
        <w:rPr>
          <w:rStyle w:val="TextoNormalCaracter"/>
        </w:rPr>
        <w:t>, f. 8.</w:t>
      </w:r>
    </w:p>
    <w:p w:rsidR="00924F59" w:rsidRPr="00924F59" w:rsidRDefault="00924F59" w:rsidP="00924F59">
      <w:pPr>
        <w:pStyle w:val="TextoNormalSangraFrancesa"/>
        <w:rPr>
          <w:rStyle w:val="TextoNormalCaracter"/>
        </w:rPr>
      </w:pPr>
      <w:bookmarkStart w:id="1278" w:name="DESCRIPTORALFABETICO50"/>
      <w:r w:rsidRPr="00924F59">
        <w:rPr>
          <w:rStyle w:val="TextoNormalNegritaCaracter"/>
        </w:rPr>
        <w:t>Competencias en materia de patrimonio histórico y cultural</w:t>
      </w:r>
      <w:bookmarkEnd w:id="1278"/>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ff. 1, 3, 7.</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28" w:history="1">
        <w:r w:rsidRPr="00924F59">
          <w:rPr>
            <w:rStyle w:val="TextoNormalCaracter"/>
          </w:rPr>
          <w:t>128/2016</w:t>
        </w:r>
      </w:hyperlink>
      <w:r w:rsidRPr="00924F59">
        <w:rPr>
          <w:rStyle w:val="TextoNormalCaracter"/>
        </w:rPr>
        <w:t>, f. 4.</w:t>
      </w:r>
    </w:p>
    <w:p w:rsidR="00924F59" w:rsidRPr="00924F59" w:rsidRDefault="00924F59" w:rsidP="00924F59">
      <w:pPr>
        <w:pStyle w:val="TextoNormalSangraFrancesa"/>
        <w:rPr>
          <w:rStyle w:val="TextoNormalCaracter"/>
        </w:rPr>
      </w:pPr>
      <w:bookmarkStart w:id="1279" w:name="DESCRIPTORALFABETICO51"/>
      <w:r w:rsidRPr="00924F59">
        <w:rPr>
          <w:rStyle w:val="TextoNormalNegritaCaracter"/>
        </w:rPr>
        <w:t>Competencias en materia de planificación económica</w:t>
      </w:r>
      <w:bookmarkEnd w:id="1279"/>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ff. 6 a 10; </w:t>
      </w:r>
      <w:hyperlink w:anchor="SENTENCIA_2016_55" w:history="1">
        <w:r w:rsidRPr="00924F59">
          <w:rPr>
            <w:rStyle w:val="TextoNormalCaracter"/>
          </w:rPr>
          <w:t>55/2016</w:t>
        </w:r>
      </w:hyperlink>
      <w:r w:rsidRPr="00924F59">
        <w:rPr>
          <w:rStyle w:val="TextoNormalCaracter"/>
        </w:rPr>
        <w:t xml:space="preserve">, f. 4; </w:t>
      </w:r>
      <w:hyperlink w:anchor="SENTENCIA_2016_62" w:history="1">
        <w:r w:rsidRPr="00924F59">
          <w:rPr>
            <w:rStyle w:val="TextoNormalCaracter"/>
          </w:rPr>
          <w:t>62/2016</w:t>
        </w:r>
      </w:hyperlink>
      <w:r w:rsidRPr="00924F59">
        <w:rPr>
          <w:rStyle w:val="TextoNormalCaracter"/>
        </w:rPr>
        <w:t xml:space="preserve">, f. 3 a 11; </w:t>
      </w:r>
      <w:hyperlink w:anchor="SENTENCIA_2016_88" w:history="1">
        <w:r w:rsidRPr="00924F59">
          <w:rPr>
            <w:rStyle w:val="TextoNormalCaracter"/>
          </w:rPr>
          <w:t>88/2016</w:t>
        </w:r>
      </w:hyperlink>
      <w:r w:rsidRPr="00924F59">
        <w:rPr>
          <w:rStyle w:val="TextoNormalCaracter"/>
        </w:rPr>
        <w:t>, f. 2.</w:t>
      </w:r>
    </w:p>
    <w:p w:rsidR="00924F59" w:rsidRPr="00924F59" w:rsidRDefault="00924F59" w:rsidP="00924F59">
      <w:pPr>
        <w:pStyle w:val="TextoNormalSangraFrancesa"/>
        <w:rPr>
          <w:rStyle w:val="TextoNormalCaracter"/>
        </w:rPr>
      </w:pPr>
      <w:bookmarkStart w:id="1280" w:name="DESCRIPTORALFABETICO52"/>
      <w:r w:rsidRPr="00924F59">
        <w:rPr>
          <w:rStyle w:val="TextoNormalNegritaCaracter"/>
        </w:rPr>
        <w:t>Competencias en materia de procedimiento administrativo</w:t>
      </w:r>
      <w:bookmarkEnd w:id="1280"/>
      <w:r w:rsidRPr="00924F59">
        <w:rPr>
          <w:rStyle w:val="TextoNormalCaracter"/>
        </w:rPr>
        <w:t xml:space="preserve">, Sentencia </w:t>
      </w:r>
      <w:hyperlink w:anchor="SENTENCIA_2016_20" w:history="1">
        <w:r w:rsidRPr="00924F59">
          <w:rPr>
            <w:rStyle w:val="TextoNormalCaracter"/>
          </w:rPr>
          <w:t>20/2016</w:t>
        </w:r>
      </w:hyperlink>
      <w:r w:rsidRPr="00924F59">
        <w:rPr>
          <w:rStyle w:val="TextoNormalCaracter"/>
        </w:rPr>
        <w:t>, f. 7.</w:t>
      </w:r>
    </w:p>
    <w:p w:rsidR="00924F59" w:rsidRPr="00924F59" w:rsidRDefault="00924F59" w:rsidP="00924F59">
      <w:pPr>
        <w:pStyle w:val="TextoNormalSangraFrancesa"/>
        <w:rPr>
          <w:rStyle w:val="TextoNormalCaracter"/>
        </w:rPr>
      </w:pPr>
      <w:bookmarkStart w:id="1281" w:name="DESCRIPTORALFABETICO53"/>
      <w:r w:rsidRPr="00924F59">
        <w:rPr>
          <w:rStyle w:val="TextoNormalNegritaCaracter"/>
        </w:rPr>
        <w:t>Competencias en materia de protección civil</w:t>
      </w:r>
      <w:bookmarkEnd w:id="1281"/>
      <w:r w:rsidRPr="00924F59">
        <w:rPr>
          <w:rStyle w:val="TextoNormalCaracter"/>
        </w:rPr>
        <w:t xml:space="preserve">, Sentencia </w:t>
      </w:r>
      <w:hyperlink w:anchor="SENTENCIA_2016_87" w:history="1">
        <w:r w:rsidRPr="00924F59">
          <w:rPr>
            <w:rStyle w:val="TextoNormalCaracter"/>
          </w:rPr>
          <w:t>87/2016</w:t>
        </w:r>
      </w:hyperlink>
      <w:r w:rsidRPr="00924F59">
        <w:rPr>
          <w:rStyle w:val="TextoNormalCaracter"/>
        </w:rPr>
        <w:t>, ff. 4, 5, VP.</w:t>
      </w:r>
    </w:p>
    <w:p w:rsidR="00924F59" w:rsidRPr="00924F59" w:rsidRDefault="00924F59" w:rsidP="00924F59">
      <w:pPr>
        <w:pStyle w:val="TextoNormalSangraFrancesa"/>
        <w:rPr>
          <w:rStyle w:val="TextoNormalCaracter"/>
        </w:rPr>
      </w:pPr>
      <w:bookmarkStart w:id="1282" w:name="DESCRIPTORALFABETICO54"/>
      <w:r w:rsidRPr="00924F59">
        <w:rPr>
          <w:rStyle w:val="TextoNormalNegritaCaracter"/>
        </w:rPr>
        <w:t>Competencias en materia de puertos</w:t>
      </w:r>
      <w:bookmarkEnd w:id="1282"/>
      <w:r w:rsidRPr="00924F59">
        <w:rPr>
          <w:rStyle w:val="TextoNormalCaracter"/>
        </w:rPr>
        <w:t xml:space="preserve">, Sentencia </w:t>
      </w:r>
      <w:hyperlink w:anchor="SENTENCIA_2016_57" w:history="1">
        <w:r w:rsidRPr="00924F59">
          <w:rPr>
            <w:rStyle w:val="TextoNormalCaracter"/>
          </w:rPr>
          <w:t>57/2016</w:t>
        </w:r>
      </w:hyperlink>
      <w:r w:rsidRPr="00924F59">
        <w:rPr>
          <w:rStyle w:val="TextoNormalCaracter"/>
        </w:rPr>
        <w:t>, f. 6.</w:t>
      </w:r>
    </w:p>
    <w:p w:rsidR="00924F59" w:rsidRPr="00924F59" w:rsidRDefault="00924F59" w:rsidP="00924F59">
      <w:pPr>
        <w:pStyle w:val="TextoNormalSangraFrancesa"/>
        <w:rPr>
          <w:rStyle w:val="TextoNormalCaracter"/>
        </w:rPr>
      </w:pPr>
      <w:bookmarkStart w:id="1283" w:name="DESCRIPTORALFABETICO55"/>
      <w:r w:rsidRPr="00924F59">
        <w:rPr>
          <w:rStyle w:val="TextoNormalNegritaCaracter"/>
        </w:rPr>
        <w:t>Competencias en materia de régimen energético</w:t>
      </w:r>
      <w:bookmarkEnd w:id="1283"/>
      <w:r w:rsidRPr="00924F59">
        <w:rPr>
          <w:rStyle w:val="TextoNormalCaracter"/>
        </w:rPr>
        <w:t xml:space="preserve">, Sentencias </w:t>
      </w:r>
      <w:hyperlink w:anchor="SENTENCIA_2016_32" w:history="1">
        <w:r w:rsidRPr="00924F59">
          <w:rPr>
            <w:rStyle w:val="TextoNormalCaracter"/>
          </w:rPr>
          <w:t>32/2016</w:t>
        </w:r>
      </w:hyperlink>
      <w:r w:rsidRPr="00924F59">
        <w:rPr>
          <w:rStyle w:val="TextoNormalCaracter"/>
        </w:rPr>
        <w:t xml:space="preserve">, ff. 3 a 13; </w:t>
      </w:r>
      <w:hyperlink w:anchor="SENTENCIA_2016_60" w:history="1">
        <w:r w:rsidRPr="00924F59">
          <w:rPr>
            <w:rStyle w:val="TextoNormalCaracter"/>
          </w:rPr>
          <w:t>60/2016</w:t>
        </w:r>
      </w:hyperlink>
      <w:r w:rsidRPr="00924F59">
        <w:rPr>
          <w:rStyle w:val="TextoNormalCaracter"/>
        </w:rPr>
        <w:t xml:space="preserve">, ff. 3 a 8; </w:t>
      </w:r>
      <w:hyperlink w:anchor="SENTENCIA_2016_62" w:history="1">
        <w:r w:rsidRPr="00924F59">
          <w:rPr>
            <w:rStyle w:val="TextoNormalCaracter"/>
          </w:rPr>
          <w:t>62/2016</w:t>
        </w:r>
      </w:hyperlink>
      <w:r w:rsidRPr="00924F59">
        <w:rPr>
          <w:rStyle w:val="TextoNormalCaracter"/>
        </w:rPr>
        <w:t xml:space="preserve">, ff. 3 a 11; </w:t>
      </w:r>
      <w:hyperlink w:anchor="SENTENCIA_2016_72" w:history="1">
        <w:r w:rsidRPr="00924F59">
          <w:rPr>
            <w:rStyle w:val="TextoNormalCaracter"/>
          </w:rPr>
          <w:t>72/2016</w:t>
        </w:r>
      </w:hyperlink>
      <w:r w:rsidRPr="00924F59">
        <w:rPr>
          <w:rStyle w:val="TextoNormalCaracter"/>
        </w:rPr>
        <w:t xml:space="preserve">, ff. 1, 3; </w:t>
      </w:r>
      <w:hyperlink w:anchor="SENTENCIA_2016_120" w:history="1">
        <w:r w:rsidRPr="00924F59">
          <w:rPr>
            <w:rStyle w:val="TextoNormalCaracter"/>
          </w:rPr>
          <w:t>120/2016</w:t>
        </w:r>
      </w:hyperlink>
      <w:r w:rsidRPr="00924F59">
        <w:rPr>
          <w:rStyle w:val="TextoNormalCaracter"/>
        </w:rPr>
        <w:t>, ff. 3, 5 a 11.</w:t>
      </w:r>
    </w:p>
    <w:p w:rsidR="00924F59" w:rsidRPr="00924F59" w:rsidRDefault="00924F59" w:rsidP="00924F59">
      <w:pPr>
        <w:pStyle w:val="TextoNormalSangraFrancesa"/>
        <w:rPr>
          <w:rStyle w:val="TextoNormalCaracter"/>
        </w:rPr>
      </w:pPr>
      <w:bookmarkStart w:id="1284" w:name="DESCRIPTORALFABETICO56"/>
      <w:r w:rsidRPr="00924F59">
        <w:rPr>
          <w:rStyle w:val="TextoNormalNegritaCaracter"/>
        </w:rPr>
        <w:t>Competencias en materia de régimen local</w:t>
      </w:r>
      <w:bookmarkEnd w:id="1284"/>
      <w:r w:rsidRPr="00924F59">
        <w:rPr>
          <w:rStyle w:val="TextoNormalCaracter"/>
        </w:rPr>
        <w:t xml:space="preserve">, Sentencias </w:t>
      </w:r>
      <w:hyperlink w:anchor="SENTENCIA_2016_41" w:history="1">
        <w:r w:rsidRPr="00924F59">
          <w:rPr>
            <w:rStyle w:val="TextoNormalCaracter"/>
          </w:rPr>
          <w:t>41/2016</w:t>
        </w:r>
      </w:hyperlink>
      <w:r w:rsidRPr="00924F59">
        <w:rPr>
          <w:rStyle w:val="TextoNormalCaracter"/>
        </w:rPr>
        <w:t xml:space="preserve">, ff. 9, 12 a 14; </w:t>
      </w:r>
      <w:hyperlink w:anchor="SENTENCIA_2016_111" w:history="1">
        <w:r w:rsidRPr="00924F59">
          <w:rPr>
            <w:rStyle w:val="TextoNormalCaracter"/>
          </w:rPr>
          <w:t>111/2016</w:t>
        </w:r>
      </w:hyperlink>
      <w:r w:rsidRPr="00924F59">
        <w:rPr>
          <w:rStyle w:val="TextoNormalCaracter"/>
        </w:rPr>
        <w:t>, f. 12.</w:t>
      </w:r>
    </w:p>
    <w:p w:rsidR="00924F59" w:rsidRPr="00924F59" w:rsidRDefault="00924F59" w:rsidP="00924F59">
      <w:pPr>
        <w:pStyle w:val="TextoNormalSangraFrancesa"/>
        <w:rPr>
          <w:rStyle w:val="TextoNormalCaracter"/>
        </w:rPr>
      </w:pPr>
      <w:bookmarkStart w:id="1285" w:name="DESCRIPTORALFABETICO57"/>
      <w:r w:rsidRPr="00924F59">
        <w:rPr>
          <w:rStyle w:val="TextoNormalNegritaCaracter"/>
        </w:rPr>
        <w:t>Competencias en materia de régimen minero</w:t>
      </w:r>
      <w:bookmarkEnd w:id="1285"/>
      <w:r w:rsidRPr="00924F59">
        <w:rPr>
          <w:rStyle w:val="TextoNormalCaracter"/>
        </w:rPr>
        <w:t xml:space="preserve">, Sentencias </w:t>
      </w:r>
      <w:hyperlink w:anchor="SENTENCIA_2016_33" w:history="1">
        <w:r w:rsidRPr="00924F59">
          <w:rPr>
            <w:rStyle w:val="TextoNormalCaracter"/>
          </w:rPr>
          <w:t>33/2016</w:t>
        </w:r>
      </w:hyperlink>
      <w:r w:rsidRPr="00924F59">
        <w:rPr>
          <w:rStyle w:val="TextoNormalCaracter"/>
        </w:rPr>
        <w:t xml:space="preserve">, ff. 6, 10; </w:t>
      </w:r>
      <w:hyperlink w:anchor="SENTENCIA_2016_73" w:history="1">
        <w:r w:rsidRPr="00924F59">
          <w:rPr>
            <w:rStyle w:val="TextoNormalCaracter"/>
          </w:rPr>
          <w:t>73/2016</w:t>
        </w:r>
      </w:hyperlink>
      <w:r w:rsidRPr="00924F59">
        <w:rPr>
          <w:rStyle w:val="TextoNormalCaracter"/>
        </w:rPr>
        <w:t>, ff. 7, 8.</w:t>
      </w:r>
    </w:p>
    <w:p w:rsidR="00924F59" w:rsidRPr="00924F59" w:rsidRDefault="00924F59" w:rsidP="00924F59">
      <w:pPr>
        <w:pStyle w:val="TextoNormalSangraFrancesa"/>
        <w:rPr>
          <w:rStyle w:val="TextoNormalCaracter"/>
        </w:rPr>
      </w:pPr>
      <w:bookmarkStart w:id="1286" w:name="DESCRIPTORALFABETICO58"/>
      <w:r w:rsidRPr="00924F59">
        <w:rPr>
          <w:rStyle w:val="TextoNormalNegritaCaracter"/>
        </w:rPr>
        <w:t>Competencias en materia de regulación de condiciones básicas de igualdad</w:t>
      </w:r>
      <w:bookmarkEnd w:id="1286"/>
      <w:r w:rsidRPr="00924F59">
        <w:rPr>
          <w:rStyle w:val="TextoNormalCaracter"/>
        </w:rPr>
        <w:t xml:space="preserve">, Sentencias </w:t>
      </w:r>
      <w:hyperlink w:anchor="SENTENCIA_2016_5" w:history="1">
        <w:r w:rsidRPr="00924F59">
          <w:rPr>
            <w:rStyle w:val="TextoNormalCaracter"/>
          </w:rPr>
          <w:t>5/2016</w:t>
        </w:r>
      </w:hyperlink>
      <w:r w:rsidRPr="00924F59">
        <w:rPr>
          <w:rStyle w:val="TextoNormalCaracter"/>
        </w:rPr>
        <w:t xml:space="preserve">, ff. 3, 4; </w:t>
      </w:r>
      <w:hyperlink w:anchor="SENTENCIA_2016_18" w:history="1">
        <w:r w:rsidRPr="00924F59">
          <w:rPr>
            <w:rStyle w:val="TextoNormalCaracter"/>
          </w:rPr>
          <w:t>18/2016</w:t>
        </w:r>
      </w:hyperlink>
      <w:r w:rsidRPr="00924F59">
        <w:rPr>
          <w:rStyle w:val="TextoNormalCaracter"/>
        </w:rPr>
        <w:t xml:space="preserve">, ff. 7, 8; </w:t>
      </w:r>
      <w:hyperlink w:anchor="SENTENCIA_2016_20" w:history="1">
        <w:r w:rsidRPr="00924F59">
          <w:rPr>
            <w:rStyle w:val="TextoNormalCaracter"/>
          </w:rPr>
          <w:t>20/2016</w:t>
        </w:r>
      </w:hyperlink>
      <w:r w:rsidRPr="00924F59">
        <w:rPr>
          <w:rStyle w:val="TextoNormalCaracter"/>
        </w:rPr>
        <w:t xml:space="preserve">, f. 2; </w:t>
      </w:r>
      <w:hyperlink w:anchor="SENTENCIA_2016_36" w:history="1">
        <w:r w:rsidRPr="00924F59">
          <w:rPr>
            <w:rStyle w:val="TextoNormalCaracter"/>
          </w:rPr>
          <w:t>36/2016</w:t>
        </w:r>
      </w:hyperlink>
      <w:r w:rsidRPr="00924F59">
        <w:rPr>
          <w:rStyle w:val="TextoNormalCaracter"/>
        </w:rPr>
        <w:t xml:space="preserve">, ff. 1, 2; </w:t>
      </w:r>
      <w:hyperlink w:anchor="SENTENCIA_2016_57" w:history="1">
        <w:r w:rsidRPr="00924F59">
          <w:rPr>
            <w:rStyle w:val="TextoNormalCaracter"/>
          </w:rPr>
          <w:t>57/2016</w:t>
        </w:r>
      </w:hyperlink>
      <w:r w:rsidRPr="00924F59">
        <w:rPr>
          <w:rStyle w:val="TextoNormalCaracter"/>
        </w:rPr>
        <w:t xml:space="preserve">, f. 8; </w:t>
      </w:r>
      <w:hyperlink w:anchor="SENTENCIA_2016_99" w:history="1">
        <w:r w:rsidRPr="00924F59">
          <w:rPr>
            <w:rStyle w:val="TextoNormalCaracter"/>
          </w:rPr>
          <w:t>99/2016</w:t>
        </w:r>
      </w:hyperlink>
      <w:r w:rsidRPr="00924F59">
        <w:rPr>
          <w:rStyle w:val="TextoNormalCaracter"/>
        </w:rPr>
        <w:t>, f. 6.</w:t>
      </w:r>
    </w:p>
    <w:p w:rsidR="00924F59" w:rsidRPr="00924F59" w:rsidRDefault="00924F59" w:rsidP="00924F59">
      <w:pPr>
        <w:pStyle w:val="TextoNormalSangraFrancesa"/>
        <w:rPr>
          <w:rStyle w:val="TextoNormalCaracter"/>
        </w:rPr>
      </w:pPr>
      <w:bookmarkStart w:id="1287" w:name="DESCRIPTORALFABETICO59"/>
      <w:r w:rsidRPr="00924F59">
        <w:rPr>
          <w:rStyle w:val="TextoNormalNegritaCaracter"/>
        </w:rPr>
        <w:t>Competencias en materia de relaciones internacionales</w:t>
      </w:r>
      <w:bookmarkEnd w:id="1287"/>
      <w:r w:rsidRPr="00924F59">
        <w:rPr>
          <w:rStyle w:val="TextoNormalCaracter"/>
        </w:rPr>
        <w:t xml:space="preserve">, Sentencia </w:t>
      </w:r>
      <w:hyperlink w:anchor="SENTENCIA_2016_85" w:history="1">
        <w:r w:rsidRPr="00924F59">
          <w:rPr>
            <w:rStyle w:val="TextoNormalCaracter"/>
          </w:rPr>
          <w:t>85/2016</w:t>
        </w:r>
      </w:hyperlink>
      <w:r w:rsidRPr="00924F59">
        <w:rPr>
          <w:rStyle w:val="TextoNormalCaracter"/>
        </w:rPr>
        <w:t>, ff. 3 a 8, VP.</w:t>
      </w:r>
    </w:p>
    <w:p w:rsidR="00924F59" w:rsidRPr="00924F59" w:rsidRDefault="00924F59" w:rsidP="00924F59">
      <w:pPr>
        <w:pStyle w:val="TextoNormalSangraFrancesa"/>
        <w:rPr>
          <w:rStyle w:val="TextoNormalCaracter"/>
        </w:rPr>
      </w:pPr>
      <w:bookmarkStart w:id="1288" w:name="DESCRIPTORALFABETICO60"/>
      <w:r w:rsidRPr="00924F59">
        <w:rPr>
          <w:rStyle w:val="TextoNormalNegritaCaracter"/>
        </w:rPr>
        <w:t>Competencias en materia de retribuciones de empleados públicos</w:t>
      </w:r>
      <w:bookmarkEnd w:id="1288"/>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6; </w:t>
      </w:r>
      <w:hyperlink w:anchor="SENTENCIA_2016_88" w:history="1">
        <w:r w:rsidRPr="00924F59">
          <w:rPr>
            <w:rStyle w:val="TextoNormalCaracter"/>
          </w:rPr>
          <w:t>88/2016</w:t>
        </w:r>
      </w:hyperlink>
      <w:r w:rsidRPr="00924F59">
        <w:rPr>
          <w:rStyle w:val="TextoNormalCaracter"/>
        </w:rPr>
        <w:t>, f. 2.</w:t>
      </w:r>
    </w:p>
    <w:p w:rsidR="00924F59" w:rsidRPr="00924F59" w:rsidRDefault="00924F59" w:rsidP="00924F59">
      <w:pPr>
        <w:pStyle w:val="TextoNormalSangraFrancesa"/>
        <w:rPr>
          <w:rStyle w:val="TextoNormalCaracter"/>
        </w:rPr>
      </w:pPr>
      <w:bookmarkStart w:id="1289" w:name="DESCRIPTORALFABETICO61"/>
      <w:r w:rsidRPr="00924F59">
        <w:rPr>
          <w:rStyle w:val="TextoNormalNegritaCaracter"/>
        </w:rPr>
        <w:t>Competencias en materia de sanidad</w:t>
      </w:r>
      <w:bookmarkEnd w:id="1289"/>
      <w:r w:rsidRPr="00924F59">
        <w:rPr>
          <w:rStyle w:val="TextoNormalCaracter"/>
        </w:rPr>
        <w:t xml:space="preserve">, Sentencia </w:t>
      </w:r>
      <w:hyperlink w:anchor="SENTENCIA_2016_53" w:history="1">
        <w:r w:rsidRPr="00924F59">
          <w:rPr>
            <w:rStyle w:val="TextoNormalCaracter"/>
          </w:rPr>
          <w:t>53/2016</w:t>
        </w:r>
      </w:hyperlink>
      <w:r w:rsidRPr="00924F59">
        <w:rPr>
          <w:rStyle w:val="TextoNormalCaracter"/>
        </w:rPr>
        <w:t>, ff. 1 a 5.</w:t>
      </w:r>
    </w:p>
    <w:p w:rsidR="00924F59" w:rsidRPr="00924F59" w:rsidRDefault="00924F59" w:rsidP="00924F59">
      <w:pPr>
        <w:pStyle w:val="TextoNormalSangraFrancesa"/>
        <w:rPr>
          <w:rStyle w:val="TextoNormalCaracter"/>
        </w:rPr>
      </w:pPr>
      <w:bookmarkStart w:id="1290" w:name="DESCRIPTORALFABETICO62"/>
      <w:r w:rsidRPr="00924F59">
        <w:rPr>
          <w:rStyle w:val="TextoNormalNegritaCaracter"/>
        </w:rPr>
        <w:t>Competencias en materia de seguridad pública</w:t>
      </w:r>
      <w:bookmarkEnd w:id="1290"/>
      <w:r w:rsidRPr="00924F59">
        <w:rPr>
          <w:rStyle w:val="TextoNormalCaracter"/>
        </w:rPr>
        <w:t xml:space="preserve">, Sentencia </w:t>
      </w:r>
      <w:hyperlink w:anchor="SENTENCIA_2016_87" w:history="1">
        <w:r w:rsidRPr="00924F59">
          <w:rPr>
            <w:rStyle w:val="TextoNormalCaracter"/>
          </w:rPr>
          <w:t>87/2016</w:t>
        </w:r>
      </w:hyperlink>
      <w:r w:rsidRPr="00924F59">
        <w:rPr>
          <w:rStyle w:val="TextoNormalCaracter"/>
        </w:rPr>
        <w:t>, f. 5, VP.</w:t>
      </w:r>
    </w:p>
    <w:p w:rsidR="00924F59" w:rsidRPr="00924F59" w:rsidRDefault="00924F59" w:rsidP="00924F59">
      <w:pPr>
        <w:pStyle w:val="TextoNormalSangraFrancesa"/>
        <w:rPr>
          <w:rStyle w:val="TextoNormalCaracter"/>
        </w:rPr>
      </w:pPr>
      <w:bookmarkStart w:id="1291" w:name="DESCRIPTORALFABETICO63"/>
      <w:r w:rsidRPr="00924F59">
        <w:rPr>
          <w:rStyle w:val="TextoNormalNegritaCaracter"/>
        </w:rPr>
        <w:t>Competencias en materia de Seguridad Social</w:t>
      </w:r>
      <w:bookmarkEnd w:id="1291"/>
      <w:r w:rsidRPr="00924F59">
        <w:rPr>
          <w:rStyle w:val="TextoNormalCaracter"/>
        </w:rPr>
        <w:t xml:space="preserve">, Sentencias </w:t>
      </w:r>
      <w:hyperlink w:anchor="SENTENCIA_2016_7" w:history="1">
        <w:r w:rsidRPr="00924F59">
          <w:rPr>
            <w:rStyle w:val="TextoNormalCaracter"/>
          </w:rPr>
          <w:t>7/2016</w:t>
        </w:r>
      </w:hyperlink>
      <w:r w:rsidRPr="00924F59">
        <w:rPr>
          <w:rStyle w:val="TextoNormalCaracter"/>
        </w:rPr>
        <w:t xml:space="preserve">, ff. 4, 5; </w:t>
      </w:r>
      <w:hyperlink w:anchor="SENTENCIA_2016_21" w:history="1">
        <w:r w:rsidRPr="00924F59">
          <w:rPr>
            <w:rStyle w:val="TextoNormalCaracter"/>
          </w:rPr>
          <w:t>21/2016</w:t>
        </w:r>
      </w:hyperlink>
      <w:r w:rsidRPr="00924F59">
        <w:rPr>
          <w:rStyle w:val="TextoNormalCaracter"/>
        </w:rPr>
        <w:t>, ff. 1, 3.</w:t>
      </w:r>
    </w:p>
    <w:p w:rsidR="00924F59" w:rsidRPr="00924F59" w:rsidRDefault="00924F59" w:rsidP="00924F59">
      <w:pPr>
        <w:pStyle w:val="TextoNormalSangraFrancesa"/>
        <w:rPr>
          <w:rStyle w:val="TextoNormalCaracter"/>
        </w:rPr>
      </w:pPr>
      <w:bookmarkStart w:id="1292" w:name="DESCRIPTORALFABETICO64"/>
      <w:r w:rsidRPr="00924F59">
        <w:rPr>
          <w:rStyle w:val="TextoNormalNegritaCaracter"/>
        </w:rPr>
        <w:t>Competencias en materia de telecomunicaciones</w:t>
      </w:r>
      <w:bookmarkEnd w:id="1292"/>
      <w:r w:rsidRPr="00924F59">
        <w:rPr>
          <w:rStyle w:val="TextoNormalCaracter"/>
        </w:rPr>
        <w:t xml:space="preserve">, Sentencias </w:t>
      </w:r>
      <w:hyperlink w:anchor="SENTENCIA_2016_8" w:history="1">
        <w:r w:rsidRPr="00924F59">
          <w:rPr>
            <w:rStyle w:val="TextoNormalCaracter"/>
          </w:rPr>
          <w:t>8/2016</w:t>
        </w:r>
      </w:hyperlink>
      <w:r w:rsidRPr="00924F59">
        <w:rPr>
          <w:rStyle w:val="TextoNormalCaracter"/>
        </w:rPr>
        <w:t xml:space="preserve">, ff. 1, 3, 5 a 11; </w:t>
      </w:r>
      <w:hyperlink w:anchor="SENTENCIA_2016_20" w:history="1">
        <w:r w:rsidRPr="00924F59">
          <w:rPr>
            <w:rStyle w:val="TextoNormalCaracter"/>
          </w:rPr>
          <w:t>20/2016</w:t>
        </w:r>
      </w:hyperlink>
      <w:r w:rsidRPr="00924F59">
        <w:rPr>
          <w:rStyle w:val="TextoNormalCaracter"/>
        </w:rPr>
        <w:t>, ff. 2, 3, 5 a 10.</w:t>
      </w:r>
    </w:p>
    <w:p w:rsidR="00924F59" w:rsidRPr="00924F59" w:rsidRDefault="00924F59" w:rsidP="00924F59">
      <w:pPr>
        <w:pStyle w:val="TextoNormalSangraFrancesa"/>
        <w:rPr>
          <w:rStyle w:val="TextoNormalCaracter"/>
        </w:rPr>
      </w:pPr>
      <w:bookmarkStart w:id="1293" w:name="DESCRIPTORALFABETICO65"/>
      <w:r w:rsidRPr="00924F59">
        <w:rPr>
          <w:rStyle w:val="TextoNormalNegritaCaracter"/>
        </w:rPr>
        <w:t>Competencias en materia de transporte</w:t>
      </w:r>
      <w:bookmarkEnd w:id="1293"/>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 3.</w:t>
      </w:r>
    </w:p>
    <w:p w:rsidR="00924F59" w:rsidRPr="00924F59" w:rsidRDefault="00924F59" w:rsidP="00924F59">
      <w:pPr>
        <w:pStyle w:val="TextoNormalSangraFrancesa"/>
        <w:rPr>
          <w:rStyle w:val="TextoNormalCaracter"/>
        </w:rPr>
      </w:pPr>
      <w:bookmarkStart w:id="1294" w:name="DESCRIPTORALFABETICO66"/>
      <w:r w:rsidRPr="00924F59">
        <w:rPr>
          <w:rStyle w:val="TextoNormalNegritaCaracter"/>
        </w:rPr>
        <w:t>Competencias en materia de turismo</w:t>
      </w:r>
      <w:bookmarkEnd w:id="1294"/>
      <w:r w:rsidRPr="00924F59">
        <w:rPr>
          <w:rStyle w:val="TextoNormalCaracter"/>
        </w:rPr>
        <w:t xml:space="preserve">, Sentencia </w:t>
      </w:r>
      <w:hyperlink w:anchor="SENTENCIA_2016_18" w:history="1">
        <w:r w:rsidRPr="00924F59">
          <w:rPr>
            <w:rStyle w:val="TextoNormalCaracter"/>
          </w:rPr>
          <w:t>18/2016</w:t>
        </w:r>
      </w:hyperlink>
      <w:r w:rsidRPr="00924F59">
        <w:rPr>
          <w:rStyle w:val="TextoNormalCaracter"/>
        </w:rPr>
        <w:t>, f. 9.</w:t>
      </w:r>
    </w:p>
    <w:p w:rsidR="00924F59" w:rsidRPr="00924F59" w:rsidRDefault="00924F59" w:rsidP="00924F59">
      <w:pPr>
        <w:pStyle w:val="TextoNormalSangraFrancesa"/>
        <w:rPr>
          <w:rStyle w:val="TextoNormalCaracter"/>
        </w:rPr>
      </w:pPr>
      <w:bookmarkStart w:id="1295" w:name="DESCRIPTORALFABETICO67"/>
      <w:r w:rsidRPr="00924F59">
        <w:rPr>
          <w:rStyle w:val="TextoNormalNegritaCaracter"/>
        </w:rPr>
        <w:t>Competencias en materia de tutela financiera de Entes Locales</w:t>
      </w:r>
      <w:bookmarkEnd w:id="1295"/>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ff. 4 a 6, 8.</w:t>
      </w:r>
    </w:p>
    <w:p w:rsidR="00924F59" w:rsidRPr="00924F59" w:rsidRDefault="00924F59" w:rsidP="00924F59">
      <w:pPr>
        <w:pStyle w:val="TextoNormalSangraFrancesa"/>
        <w:rPr>
          <w:rStyle w:val="TextoNormalCaracter"/>
        </w:rPr>
      </w:pPr>
      <w:bookmarkStart w:id="1296" w:name="DESCRIPTORALFABETICO68"/>
      <w:r w:rsidRPr="00924F59">
        <w:rPr>
          <w:rStyle w:val="TextoNormalNegritaCaracter"/>
        </w:rPr>
        <w:t>Competencias en materia de urbanismo</w:t>
      </w:r>
      <w:bookmarkEnd w:id="1296"/>
      <w:r w:rsidRPr="00924F59">
        <w:rPr>
          <w:rStyle w:val="TextoNormalCaracter"/>
        </w:rPr>
        <w:t xml:space="preserve">, Sentencias </w:t>
      </w:r>
      <w:hyperlink w:anchor="SENTENCIA_2016_5" w:history="1">
        <w:r w:rsidRPr="00924F59">
          <w:rPr>
            <w:rStyle w:val="TextoNormalCaracter"/>
          </w:rPr>
          <w:t>5/2016</w:t>
        </w:r>
      </w:hyperlink>
      <w:r w:rsidRPr="00924F59">
        <w:rPr>
          <w:rStyle w:val="TextoNormalCaracter"/>
        </w:rPr>
        <w:t xml:space="preserve">, ff. 3, 4; </w:t>
      </w:r>
      <w:hyperlink w:anchor="SENTENCIA_2016_8" w:history="1">
        <w:r w:rsidRPr="00924F59">
          <w:rPr>
            <w:rStyle w:val="TextoNormalCaracter"/>
          </w:rPr>
          <w:t>8/2016</w:t>
        </w:r>
      </w:hyperlink>
      <w:r w:rsidRPr="00924F59">
        <w:rPr>
          <w:rStyle w:val="TextoNormalCaracter"/>
        </w:rPr>
        <w:t xml:space="preserve">, ff. 1, 3, 5 a 7; </w:t>
      </w:r>
      <w:hyperlink w:anchor="SENTENCIA_2016_20" w:history="1">
        <w:r w:rsidRPr="00924F59">
          <w:rPr>
            <w:rStyle w:val="TextoNormalCaracter"/>
          </w:rPr>
          <w:t>20/2016</w:t>
        </w:r>
      </w:hyperlink>
      <w:r w:rsidRPr="00924F59">
        <w:rPr>
          <w:rStyle w:val="TextoNormalCaracter"/>
        </w:rPr>
        <w:t xml:space="preserve">, ff. 2, 4, 5, 7, 9; </w:t>
      </w:r>
      <w:hyperlink w:anchor="SENTENCIA_2016_57" w:history="1">
        <w:r w:rsidRPr="00924F59">
          <w:rPr>
            <w:rStyle w:val="TextoNormalCaracter"/>
          </w:rPr>
          <w:t>57/2016</w:t>
        </w:r>
      </w:hyperlink>
      <w:r w:rsidRPr="00924F59">
        <w:rPr>
          <w:rStyle w:val="TextoNormalCaracter"/>
        </w:rPr>
        <w:t xml:space="preserve">, ff. 4, 8, 11; </w:t>
      </w:r>
      <w:hyperlink w:anchor="SENTENCIA_2016_73" w:history="1">
        <w:r w:rsidRPr="00924F59">
          <w:rPr>
            <w:rStyle w:val="TextoNormalCaracter"/>
          </w:rPr>
          <w:t>73/2016</w:t>
        </w:r>
      </w:hyperlink>
      <w:r w:rsidRPr="00924F59">
        <w:rPr>
          <w:rStyle w:val="TextoNormalCaracter"/>
        </w:rPr>
        <w:t xml:space="preserve">, f. 8; </w:t>
      </w:r>
      <w:hyperlink w:anchor="SENTENCIA_2016_100" w:history="1">
        <w:r w:rsidRPr="00924F59">
          <w:rPr>
            <w:rStyle w:val="TextoNormalCaracter"/>
          </w:rPr>
          <w:t>100/2016</w:t>
        </w:r>
      </w:hyperlink>
      <w:r w:rsidRPr="00924F59">
        <w:rPr>
          <w:rStyle w:val="TextoNormalCaracter"/>
        </w:rPr>
        <w:t>, f. 2.</w:t>
      </w:r>
    </w:p>
    <w:p w:rsidR="00924F59" w:rsidRPr="00924F59" w:rsidRDefault="00924F59" w:rsidP="00924F59">
      <w:pPr>
        <w:pStyle w:val="TextoNormalSangraFrancesa"/>
        <w:rPr>
          <w:rStyle w:val="TextoNormalCaracter"/>
        </w:rPr>
      </w:pPr>
      <w:bookmarkStart w:id="1297" w:name="DESCRIPTORALFABETICO69"/>
      <w:r w:rsidRPr="00924F59">
        <w:rPr>
          <w:rStyle w:val="TextoNormalNegritaCaracter"/>
        </w:rPr>
        <w:t>Competencias en materia de vivienda</w:t>
      </w:r>
      <w:bookmarkEnd w:id="1297"/>
      <w:r w:rsidRPr="00924F59">
        <w:rPr>
          <w:rStyle w:val="TextoNormalCaracter"/>
        </w:rPr>
        <w:t xml:space="preserve">, Sentencia </w:t>
      </w:r>
      <w:hyperlink w:anchor="SENTENCIA_2016_5" w:history="1">
        <w:r w:rsidRPr="00924F59">
          <w:rPr>
            <w:rStyle w:val="TextoNormalCaracter"/>
          </w:rPr>
          <w:t>5/2016</w:t>
        </w:r>
      </w:hyperlink>
      <w:r w:rsidRPr="00924F59">
        <w:rPr>
          <w:rStyle w:val="TextoNormalCaracter"/>
        </w:rPr>
        <w:t>, f. 4.</w:t>
      </w:r>
    </w:p>
    <w:p w:rsidR="00924F59" w:rsidRPr="00924F59" w:rsidRDefault="00924F59" w:rsidP="00924F59">
      <w:pPr>
        <w:pStyle w:val="TextoNormalSangraFrancesa"/>
        <w:rPr>
          <w:rStyle w:val="TextoNormalCaracter"/>
        </w:rPr>
      </w:pPr>
      <w:bookmarkStart w:id="1298" w:name="DESCRIPTORALFABETICO70"/>
      <w:r w:rsidRPr="00924F59">
        <w:rPr>
          <w:rStyle w:val="TextoNormalNegritaCaracter"/>
        </w:rPr>
        <w:t>Competencias en materia tributaria</w:t>
      </w:r>
      <w:bookmarkEnd w:id="1298"/>
      <w:r w:rsidRPr="00924F59">
        <w:rPr>
          <w:rStyle w:val="TextoNormalCaracter"/>
        </w:rPr>
        <w:t xml:space="preserve">, Sentencias </w:t>
      </w:r>
      <w:hyperlink w:anchor="SENTENCIA_2016_25" w:history="1">
        <w:r w:rsidRPr="00924F59">
          <w:rPr>
            <w:rStyle w:val="TextoNormalCaracter"/>
          </w:rPr>
          <w:t>25/2016</w:t>
        </w:r>
      </w:hyperlink>
      <w:r w:rsidRPr="00924F59">
        <w:rPr>
          <w:rStyle w:val="TextoNormalCaracter"/>
        </w:rPr>
        <w:t xml:space="preserve">, ff. 1 a 4; </w:t>
      </w:r>
      <w:hyperlink w:anchor="SENTENCIA_2016_33" w:history="1">
        <w:r w:rsidRPr="00924F59">
          <w:rPr>
            <w:rStyle w:val="TextoNormalCaracter"/>
          </w:rPr>
          <w:t>33/2016</w:t>
        </w:r>
      </w:hyperlink>
      <w:r w:rsidRPr="00924F59">
        <w:rPr>
          <w:rStyle w:val="TextoNormalCaracter"/>
        </w:rPr>
        <w:t>, ff. 3 a 5.</w:t>
      </w:r>
    </w:p>
    <w:p w:rsidR="00924F59" w:rsidRPr="00924F59" w:rsidRDefault="00924F59" w:rsidP="00924F59">
      <w:pPr>
        <w:pStyle w:val="TextoNormalSangraFrancesa"/>
        <w:rPr>
          <w:rStyle w:val="TextoNormalCaracter"/>
        </w:rPr>
      </w:pPr>
      <w:bookmarkStart w:id="1299" w:name="DESCRIPTORALFABETICO15"/>
      <w:r w:rsidRPr="00924F59">
        <w:rPr>
          <w:rStyle w:val="TextoNormalNegritaCaracter"/>
        </w:rPr>
        <w:t>Competencias exclusivas de las Comunidades Autónomas</w:t>
      </w:r>
      <w:bookmarkEnd w:id="1299"/>
      <w:r w:rsidRPr="00924F59">
        <w:rPr>
          <w:rStyle w:val="TextoNormalCaracter"/>
        </w:rPr>
        <w:t xml:space="preserve">, Sentencias </w:t>
      </w:r>
      <w:hyperlink w:anchor="SENTENCIA_2016_6" w:history="1">
        <w:r w:rsidRPr="00924F59">
          <w:rPr>
            <w:rStyle w:val="TextoNormalCaracter"/>
          </w:rPr>
          <w:t>6/2016</w:t>
        </w:r>
      </w:hyperlink>
      <w:r w:rsidRPr="00924F59">
        <w:rPr>
          <w:rStyle w:val="TextoNormalCaracter"/>
        </w:rPr>
        <w:t xml:space="preserve">, f. 4; </w:t>
      </w:r>
      <w:hyperlink w:anchor="SENTENCIA_2016_28" w:history="1">
        <w:r w:rsidRPr="00924F59">
          <w:rPr>
            <w:rStyle w:val="TextoNormalCaracter"/>
          </w:rPr>
          <w:t>28/2016</w:t>
        </w:r>
      </w:hyperlink>
      <w:r w:rsidRPr="00924F59">
        <w:rPr>
          <w:rStyle w:val="TextoNormalCaracter"/>
        </w:rPr>
        <w:t>, ff. 1 a 7.</w:t>
      </w:r>
    </w:p>
    <w:p w:rsidR="00924F59" w:rsidRPr="00924F59" w:rsidRDefault="00924F59" w:rsidP="00924F59">
      <w:pPr>
        <w:pStyle w:val="TextoNormalSangraFrancesa"/>
        <w:rPr>
          <w:rStyle w:val="TextoNormalCaracter"/>
        </w:rPr>
      </w:pPr>
      <w:bookmarkStart w:id="1300" w:name="DESCRIPTORALFABETICO20"/>
      <w:r w:rsidRPr="00924F59">
        <w:rPr>
          <w:rStyle w:val="TextoNormalNegritaCaracter"/>
        </w:rPr>
        <w:t>Competencias exclusivas del Estado</w:t>
      </w:r>
      <w:bookmarkEnd w:id="1300"/>
      <w:r w:rsidRPr="00924F59">
        <w:rPr>
          <w:rStyle w:val="TextoNormalCaracter"/>
        </w:rPr>
        <w:t xml:space="preserve">, Sentencias </w:t>
      </w:r>
      <w:hyperlink w:anchor="SENTENCIA_2016_8" w:history="1">
        <w:r w:rsidRPr="00924F59">
          <w:rPr>
            <w:rStyle w:val="TextoNormalCaracter"/>
          </w:rPr>
          <w:t>8/2016</w:t>
        </w:r>
      </w:hyperlink>
      <w:r w:rsidRPr="00924F59">
        <w:rPr>
          <w:rStyle w:val="TextoNormalCaracter"/>
        </w:rPr>
        <w:t xml:space="preserve">, ff. 1, 3, 5, 6, 8 a 10; </w:t>
      </w:r>
      <w:hyperlink w:anchor="SENTENCIA_2016_18" w:history="1">
        <w:r w:rsidRPr="00924F59">
          <w:rPr>
            <w:rStyle w:val="TextoNormalCaracter"/>
          </w:rPr>
          <w:t>18/2016</w:t>
        </w:r>
      </w:hyperlink>
      <w:r w:rsidRPr="00924F59">
        <w:rPr>
          <w:rStyle w:val="TextoNormalCaracter"/>
        </w:rPr>
        <w:t xml:space="preserve">, ff. 6 a 10; </w:t>
      </w:r>
      <w:hyperlink w:anchor="SENTENCIA_2016_20" w:history="1">
        <w:r w:rsidRPr="00924F59">
          <w:rPr>
            <w:rStyle w:val="TextoNormalCaracter"/>
          </w:rPr>
          <w:t>20/2016</w:t>
        </w:r>
      </w:hyperlink>
      <w:r w:rsidRPr="00924F59">
        <w:rPr>
          <w:rStyle w:val="TextoNormalCaracter"/>
        </w:rPr>
        <w:t xml:space="preserve">, ff. 2, 3, 5 a 10; </w:t>
      </w:r>
      <w:hyperlink w:anchor="SENTENCIA_2016_37" w:history="1">
        <w:r w:rsidRPr="00924F59">
          <w:rPr>
            <w:rStyle w:val="TextoNormalCaracter"/>
          </w:rPr>
          <w:t>37/2016</w:t>
        </w:r>
      </w:hyperlink>
      <w:r w:rsidRPr="00924F59">
        <w:rPr>
          <w:rStyle w:val="TextoNormalCaracter"/>
        </w:rPr>
        <w:t xml:space="preserve">, ff. 4, 5; </w:t>
      </w:r>
      <w:hyperlink w:anchor="SENTENCIA_2016_110" w:history="1">
        <w:r w:rsidRPr="00924F59">
          <w:rPr>
            <w:rStyle w:val="TextoNormalCaracter"/>
          </w:rPr>
          <w:t>110/2016</w:t>
        </w:r>
      </w:hyperlink>
      <w:r w:rsidRPr="00924F59">
        <w:rPr>
          <w:rStyle w:val="TextoNormalCaracter"/>
        </w:rPr>
        <w:t xml:space="preserve">, ff. 1, 3 a 6, VP; </w:t>
      </w:r>
      <w:hyperlink w:anchor="SENTENCIA_2016_124" w:history="1">
        <w:r w:rsidRPr="00924F59">
          <w:rPr>
            <w:rStyle w:val="TextoNormalCaracter"/>
          </w:rPr>
          <w:t>124/2016</w:t>
        </w:r>
      </w:hyperlink>
      <w:r w:rsidRPr="00924F59">
        <w:rPr>
          <w:rStyle w:val="TextoNormalCaracter"/>
        </w:rPr>
        <w:t>, ff. 3, 9.</w:t>
      </w:r>
    </w:p>
    <w:p w:rsidR="00924F59" w:rsidRPr="00924F59" w:rsidRDefault="00924F59" w:rsidP="00924F59">
      <w:pPr>
        <w:pStyle w:val="TextoNormalSangraFrancesa"/>
        <w:rPr>
          <w:rStyle w:val="TextoNormalCaracter"/>
        </w:rPr>
      </w:pPr>
      <w:bookmarkStart w:id="1301" w:name="DESCRIPTORALFABETICO23"/>
      <w:r w:rsidRPr="00924F59">
        <w:rPr>
          <w:rStyle w:val="TextoNormalNegritaCaracter"/>
        </w:rPr>
        <w:t>Competencias transversales</w:t>
      </w:r>
      <w:bookmarkEnd w:id="1301"/>
      <w:r w:rsidRPr="00924F59">
        <w:rPr>
          <w:rStyle w:val="TextoNormalCaracter"/>
        </w:rPr>
        <w:t xml:space="preserve">, Sentencia </w:t>
      </w:r>
      <w:hyperlink w:anchor="SENTENCIA_2016_20" w:history="1">
        <w:r w:rsidRPr="00924F59">
          <w:rPr>
            <w:rStyle w:val="TextoNormalCaracter"/>
          </w:rPr>
          <w:t>20/2016</w:t>
        </w:r>
      </w:hyperlink>
      <w:r w:rsidRPr="00924F59">
        <w:rPr>
          <w:rStyle w:val="TextoNormalCaracter"/>
        </w:rPr>
        <w:t>, f. 2.</w:t>
      </w:r>
    </w:p>
    <w:p w:rsidR="00924F59" w:rsidRPr="00924F59" w:rsidRDefault="00924F59" w:rsidP="00924F59">
      <w:pPr>
        <w:pStyle w:val="TextoNormalSangraFrancesa"/>
        <w:rPr>
          <w:rStyle w:val="TextoNormalCaracter"/>
        </w:rPr>
      </w:pPr>
      <w:bookmarkStart w:id="1302" w:name="DESCRIPTORALFABETICO195"/>
      <w:r w:rsidRPr="00924F59">
        <w:rPr>
          <w:rStyle w:val="TextoNormalNegritaCaracter"/>
        </w:rPr>
        <w:t>Complejidad del proceso</w:t>
      </w:r>
      <w:bookmarkEnd w:id="1302"/>
      <w:r w:rsidRPr="00924F59">
        <w:rPr>
          <w:rStyle w:val="TextoNormalCaracter"/>
        </w:rPr>
        <w:t xml:space="preserve">, Sentencias </w:t>
      </w:r>
      <w:hyperlink w:anchor="SENTENCIA_2016_63" w:history="1">
        <w:r w:rsidRPr="00924F59">
          <w:rPr>
            <w:rStyle w:val="TextoNormalCaracter"/>
          </w:rPr>
          <w:t>63/2016</w:t>
        </w:r>
      </w:hyperlink>
      <w:r w:rsidRPr="00924F59">
        <w:rPr>
          <w:rStyle w:val="TextoNormalCaracter"/>
        </w:rPr>
        <w:t xml:space="preserve">, f. 5; </w:t>
      </w:r>
      <w:hyperlink w:anchor="SENTENCIA_2016_75" w:history="1">
        <w:r w:rsidRPr="00924F59">
          <w:rPr>
            <w:rStyle w:val="TextoNormalCaracter"/>
          </w:rPr>
          <w:t>75/2016</w:t>
        </w:r>
      </w:hyperlink>
      <w:r w:rsidRPr="00924F59">
        <w:rPr>
          <w:rStyle w:val="TextoNormalCaracter"/>
        </w:rPr>
        <w:t xml:space="preserve">, f. 5; </w:t>
      </w:r>
      <w:hyperlink w:anchor="SENTENCIA_2016_76" w:history="1">
        <w:r w:rsidRPr="00924F59">
          <w:rPr>
            <w:rStyle w:val="TextoNormalCaracter"/>
          </w:rPr>
          <w:t>76/2016</w:t>
        </w:r>
      </w:hyperlink>
      <w:r w:rsidRPr="00924F59">
        <w:rPr>
          <w:rStyle w:val="TextoNormalCaracter"/>
        </w:rPr>
        <w:t xml:space="preserve">, f. 4; </w:t>
      </w:r>
      <w:hyperlink w:anchor="SENTENCIA_2016_77" w:history="1">
        <w:r w:rsidRPr="00924F59">
          <w:rPr>
            <w:rStyle w:val="TextoNormalCaracter"/>
          </w:rPr>
          <w:t>77/2016</w:t>
        </w:r>
      </w:hyperlink>
      <w:r w:rsidRPr="00924F59">
        <w:rPr>
          <w:rStyle w:val="TextoNormalCaracter"/>
        </w:rPr>
        <w:t xml:space="preserve">, f. 5; </w:t>
      </w:r>
      <w:hyperlink w:anchor="SENTENCIA_2016_89" w:history="1">
        <w:r w:rsidRPr="00924F59">
          <w:rPr>
            <w:rStyle w:val="TextoNormalCaracter"/>
          </w:rPr>
          <w:t>89/2016</w:t>
        </w:r>
      </w:hyperlink>
      <w:r w:rsidRPr="00924F59">
        <w:rPr>
          <w:rStyle w:val="TextoNormalCaracter"/>
        </w:rPr>
        <w:t xml:space="preserve">, f. 5; </w:t>
      </w:r>
      <w:hyperlink w:anchor="SENTENCIA_2016_103" w:history="1">
        <w:r w:rsidRPr="00924F59">
          <w:rPr>
            <w:rStyle w:val="TextoNormalCaracter"/>
          </w:rPr>
          <w:t>103/2016</w:t>
        </w:r>
      </w:hyperlink>
      <w:r w:rsidRPr="00924F59">
        <w:rPr>
          <w:rStyle w:val="TextoNormalCaracter"/>
        </w:rPr>
        <w:t>, f. 5.</w:t>
      </w:r>
    </w:p>
    <w:p w:rsidR="00924F59" w:rsidRPr="00924F59" w:rsidRDefault="00924F59" w:rsidP="00924F59">
      <w:pPr>
        <w:pStyle w:val="TextoNormalSangraFrancesa"/>
        <w:rPr>
          <w:rStyle w:val="TextoNormalCaracter"/>
        </w:rPr>
      </w:pPr>
      <w:bookmarkStart w:id="1303" w:name="DESCRIPTORALFABETICO394"/>
      <w:r w:rsidRPr="00924F59">
        <w:rPr>
          <w:rStyle w:val="TextoNormalNegritaCaracter"/>
        </w:rPr>
        <w:t>Composición de las mesas parlamentarias</w:t>
      </w:r>
      <w:bookmarkEnd w:id="1303"/>
      <w:r w:rsidRPr="00924F59">
        <w:rPr>
          <w:rStyle w:val="TextoNormalCaracter"/>
        </w:rPr>
        <w:t xml:space="preserve">, Sentencias </w:t>
      </w:r>
      <w:hyperlink w:anchor="SENTENCIA_2016_107" w:history="1">
        <w:r w:rsidRPr="00924F59">
          <w:rPr>
            <w:rStyle w:val="TextoNormalCaracter"/>
          </w:rPr>
          <w:t>107/2016</w:t>
        </w:r>
      </w:hyperlink>
      <w:r w:rsidRPr="00924F59">
        <w:rPr>
          <w:rStyle w:val="TextoNormalCaracter"/>
        </w:rPr>
        <w:t xml:space="preserve">, f. 4; </w:t>
      </w:r>
      <w:hyperlink w:anchor="SENTENCIA_2016_108" w:history="1">
        <w:r w:rsidRPr="00924F59">
          <w:rPr>
            <w:rStyle w:val="TextoNormalCaracter"/>
          </w:rPr>
          <w:t>108/2016</w:t>
        </w:r>
      </w:hyperlink>
      <w:r w:rsidRPr="00924F59">
        <w:rPr>
          <w:rStyle w:val="TextoNormalCaracter"/>
        </w:rPr>
        <w:t xml:space="preserve">, f. 4; </w:t>
      </w:r>
      <w:hyperlink w:anchor="SENTENCIA_2016_109" w:history="1">
        <w:r w:rsidRPr="00924F59">
          <w:rPr>
            <w:rStyle w:val="TextoNormalCaracter"/>
          </w:rPr>
          <w:t>109/2016</w:t>
        </w:r>
      </w:hyperlink>
      <w:r w:rsidRPr="00924F59">
        <w:rPr>
          <w:rStyle w:val="TextoNormalCaracter"/>
        </w:rPr>
        <w:t>, ff. 1, 5.</w:t>
      </w:r>
    </w:p>
    <w:p w:rsidR="00924F59" w:rsidRPr="00924F59" w:rsidRDefault="00924F59" w:rsidP="00924F59">
      <w:pPr>
        <w:pStyle w:val="TextoNormalSangraFrancesa"/>
        <w:rPr>
          <w:rStyle w:val="TextoNormalCaracter"/>
        </w:rPr>
      </w:pPr>
      <w:bookmarkStart w:id="1304" w:name="DESCRIPTORALFABETICO107"/>
      <w:r w:rsidRPr="00924F59">
        <w:rPr>
          <w:rStyle w:val="TextoNormalNegritaCaracter"/>
        </w:rPr>
        <w:t>Comprobación de valores</w:t>
      </w:r>
      <w:bookmarkEnd w:id="1304"/>
      <w:r w:rsidRPr="00924F59">
        <w:rPr>
          <w:rStyle w:val="TextoNormalCaracter"/>
        </w:rPr>
        <w:t xml:space="preserve">, Sentencias </w:t>
      </w:r>
      <w:hyperlink w:anchor="SENTENCIA_2016_25" w:history="1">
        <w:r w:rsidRPr="00924F59">
          <w:rPr>
            <w:rStyle w:val="TextoNormalCaracter"/>
          </w:rPr>
          <w:t>25/2016</w:t>
        </w:r>
      </w:hyperlink>
      <w:r w:rsidRPr="00924F59">
        <w:rPr>
          <w:rStyle w:val="TextoNormalCaracter"/>
        </w:rPr>
        <w:t xml:space="preserve">, ff. 1, 3, 4; </w:t>
      </w:r>
      <w:hyperlink w:anchor="SENTENCIA_2016_33" w:history="1">
        <w:r w:rsidRPr="00924F59">
          <w:rPr>
            <w:rStyle w:val="TextoNormalCaracter"/>
          </w:rPr>
          <w:t>33/2016</w:t>
        </w:r>
      </w:hyperlink>
      <w:r w:rsidRPr="00924F59">
        <w:rPr>
          <w:rStyle w:val="TextoNormalCaracter"/>
        </w:rPr>
        <w:t>, ff. 2 a 5.</w:t>
      </w:r>
    </w:p>
    <w:p w:rsidR="00924F59" w:rsidRPr="00924F59" w:rsidRDefault="00924F59" w:rsidP="00924F59">
      <w:pPr>
        <w:pStyle w:val="TextoNormalSangraFrancesa"/>
        <w:rPr>
          <w:rStyle w:val="TextoNormalCaracter"/>
        </w:rPr>
      </w:pPr>
      <w:bookmarkStart w:id="1305" w:name="DESCRIPTORALFABETICO863"/>
      <w:r w:rsidRPr="00924F59">
        <w:rPr>
          <w:rStyle w:val="TextoNormalNegritaCaracter"/>
        </w:rPr>
        <w:t>Comunidad Foral de Navarra</w:t>
      </w:r>
      <w:bookmarkEnd w:id="1305"/>
      <w:r w:rsidRPr="00924F59">
        <w:rPr>
          <w:rStyle w:val="TextoNormalCaracter"/>
        </w:rPr>
        <w:t xml:space="preserve">, Sentencia </w:t>
      </w:r>
      <w:hyperlink w:anchor="SENTENCIA_2016_59" w:history="1">
        <w:r w:rsidRPr="00924F59">
          <w:rPr>
            <w:rStyle w:val="TextoNormalCaracter"/>
          </w:rPr>
          <w:t>59/2016</w:t>
        </w:r>
      </w:hyperlink>
      <w:r w:rsidRPr="00924F59">
        <w:rPr>
          <w:rStyle w:val="TextoNormalCaracter"/>
        </w:rPr>
        <w:t>, ff. 1 a 5.</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89" w:history="1">
        <w:r w:rsidRPr="00924F59">
          <w:rPr>
            <w:rStyle w:val="TextoNormalCaracter"/>
          </w:rPr>
          <w:t>89/2016</w:t>
        </w:r>
      </w:hyperlink>
      <w:r w:rsidRPr="00924F59">
        <w:rPr>
          <w:rStyle w:val="TextoNormalCaracter"/>
        </w:rPr>
        <w:t>, f. 1.</w:t>
      </w:r>
    </w:p>
    <w:p w:rsidR="00924F59" w:rsidRPr="00924F59" w:rsidRDefault="00924F59" w:rsidP="00924F59">
      <w:pPr>
        <w:pStyle w:val="TextoNormalSangraFrancesa"/>
        <w:rPr>
          <w:rStyle w:val="TextoNormalCaracter"/>
        </w:rPr>
      </w:pPr>
      <w:bookmarkStart w:id="1306" w:name="DESCRIPTORALFABETICO864"/>
      <w:r w:rsidRPr="00924F59">
        <w:rPr>
          <w:rStyle w:val="TextoNormalNegritaCaracter"/>
        </w:rPr>
        <w:t>Comunidad Valenciana</w:t>
      </w:r>
      <w:bookmarkEnd w:id="1306"/>
      <w:r w:rsidRPr="00924F59">
        <w:rPr>
          <w:rStyle w:val="TextoNormalCaracter"/>
        </w:rPr>
        <w:t xml:space="preserve">, Sentencias </w:t>
      </w:r>
      <w:hyperlink w:anchor="SENTENCIA_2016_82" w:history="1">
        <w:r w:rsidRPr="00924F59">
          <w:rPr>
            <w:rStyle w:val="TextoNormalCaracter"/>
          </w:rPr>
          <w:t>82/2016</w:t>
        </w:r>
      </w:hyperlink>
      <w:r w:rsidRPr="00924F59">
        <w:rPr>
          <w:rStyle w:val="TextoNormalCaracter"/>
        </w:rPr>
        <w:t xml:space="preserve">, f. 1, VP; </w:t>
      </w:r>
      <w:hyperlink w:anchor="SENTENCIA_2016_110" w:history="1">
        <w:r w:rsidRPr="00924F59">
          <w:rPr>
            <w:rStyle w:val="TextoNormalCaracter"/>
          </w:rPr>
          <w:t>110/2016</w:t>
        </w:r>
      </w:hyperlink>
      <w:r w:rsidRPr="00924F59">
        <w:rPr>
          <w:rStyle w:val="TextoNormalCaracter"/>
        </w:rPr>
        <w:t>, f. 1.</w:t>
      </w:r>
    </w:p>
    <w:p w:rsidR="00924F59" w:rsidRPr="00924F59" w:rsidRDefault="00924F59" w:rsidP="00924F59">
      <w:pPr>
        <w:pStyle w:val="TextoNormalSangraFrancesa"/>
        <w:rPr>
          <w:rStyle w:val="TextoNormalCaracter"/>
        </w:rPr>
      </w:pPr>
      <w:bookmarkStart w:id="1307" w:name="DESCRIPTORALFABETICO590"/>
      <w:r w:rsidRPr="00924F59">
        <w:rPr>
          <w:rStyle w:val="TextoNormalNegritaCaracter"/>
        </w:rPr>
        <w:t>Concesión de subvenciones públicas</w:t>
      </w:r>
      <w:bookmarkEnd w:id="1307"/>
      <w:r w:rsidRPr="00924F59">
        <w:rPr>
          <w:rStyle w:val="TextoNormalCaracter"/>
        </w:rPr>
        <w:t xml:space="preserve">, Sentencia </w:t>
      </w:r>
      <w:hyperlink w:anchor="SENTENCIA_2016_87" w:history="1">
        <w:r w:rsidRPr="00924F59">
          <w:rPr>
            <w:rStyle w:val="TextoNormalCaracter"/>
          </w:rPr>
          <w:t>87/2016</w:t>
        </w:r>
      </w:hyperlink>
      <w:r w:rsidRPr="00924F59">
        <w:rPr>
          <w:rStyle w:val="TextoNormalCaracter"/>
        </w:rPr>
        <w:t>, f. 7 b).</w:t>
      </w:r>
    </w:p>
    <w:p w:rsidR="00924F59" w:rsidRPr="00924F59" w:rsidRDefault="00924F59" w:rsidP="00924F59">
      <w:pPr>
        <w:pStyle w:val="TextoNormalSangraFrancesa"/>
        <w:rPr>
          <w:rStyle w:val="TextoNormalCaracter"/>
        </w:rPr>
      </w:pPr>
      <w:bookmarkStart w:id="1308" w:name="DESCRIPTORALFABETICO570"/>
      <w:r w:rsidRPr="00924F59">
        <w:rPr>
          <w:rStyle w:val="TextoNormalNegritaCaracter"/>
        </w:rPr>
        <w:t>Concesiones de explotación de hidrocarburos</w:t>
      </w:r>
      <w:bookmarkEnd w:id="1308"/>
      <w:r w:rsidRPr="00924F59">
        <w:rPr>
          <w:rStyle w:val="TextoNormalCaracter"/>
        </w:rPr>
        <w:t xml:space="preserve">, Sentencia </w:t>
      </w:r>
      <w:hyperlink w:anchor="SENTENCIA_2016_33" w:history="1">
        <w:r w:rsidRPr="00924F59">
          <w:rPr>
            <w:rStyle w:val="TextoNormalCaracter"/>
          </w:rPr>
          <w:t>33/2016</w:t>
        </w:r>
      </w:hyperlink>
      <w:r w:rsidRPr="00924F59">
        <w:rPr>
          <w:rStyle w:val="TextoNormalCaracter"/>
        </w:rPr>
        <w:t>, ff. 6 a 8.</w:t>
      </w:r>
    </w:p>
    <w:p w:rsidR="00924F59" w:rsidRPr="00924F59" w:rsidRDefault="00924F59" w:rsidP="00924F59">
      <w:pPr>
        <w:pStyle w:val="TextoNormalSangraFrancesa"/>
        <w:rPr>
          <w:rStyle w:val="TextoNormalCaracter"/>
        </w:rPr>
      </w:pPr>
      <w:bookmarkStart w:id="1309" w:name="DESCRIPTORALFABETICO472"/>
      <w:r w:rsidRPr="00924F59">
        <w:rPr>
          <w:rStyle w:val="TextoNormalNegritaCaracter"/>
        </w:rPr>
        <w:t>Concesiones de uso privativo de bienes de dominio público</w:t>
      </w:r>
      <w:bookmarkEnd w:id="1309"/>
      <w:r w:rsidRPr="00924F59">
        <w:rPr>
          <w:rStyle w:val="TextoNormalCaracter"/>
        </w:rPr>
        <w:t xml:space="preserve">, Sentencia </w:t>
      </w:r>
      <w:hyperlink w:anchor="SENTENCIA_2016_100" w:history="1">
        <w:r w:rsidRPr="00924F59">
          <w:rPr>
            <w:rStyle w:val="TextoNormalCaracter"/>
          </w:rPr>
          <w:t>100/2016</w:t>
        </w:r>
      </w:hyperlink>
      <w:r w:rsidRPr="00924F59">
        <w:rPr>
          <w:rStyle w:val="TextoNormalCaracter"/>
        </w:rPr>
        <w:t>, f. 3.</w:t>
      </w:r>
    </w:p>
    <w:p w:rsidR="00924F59" w:rsidRPr="00924F59" w:rsidRDefault="00924F59" w:rsidP="00924F59">
      <w:pPr>
        <w:pStyle w:val="TextoNormalSangraFrancesa"/>
        <w:rPr>
          <w:rStyle w:val="TextoNormalCaracter"/>
        </w:rPr>
      </w:pPr>
      <w:bookmarkStart w:id="1310" w:name="DESCRIPTORALFABETICO111"/>
      <w:r w:rsidRPr="00924F59">
        <w:rPr>
          <w:rStyle w:val="TextoNormalNegritaCaracter"/>
        </w:rPr>
        <w:t>Concierto económico entre el Estado y el País Vasco</w:t>
      </w:r>
      <w:bookmarkEnd w:id="1310"/>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ff. 2, 3 d).</w:t>
      </w:r>
    </w:p>
    <w:p w:rsidR="00924F59" w:rsidRPr="00924F59" w:rsidRDefault="00924F59" w:rsidP="00924F59">
      <w:pPr>
        <w:pStyle w:val="TextoNormalSangraFrancesa"/>
        <w:rPr>
          <w:rStyle w:val="TextoNormalCaracter"/>
        </w:rPr>
      </w:pPr>
      <w:bookmarkStart w:id="1311" w:name="DESCRIPTORALFABETICO24"/>
      <w:r w:rsidRPr="00924F59">
        <w:rPr>
          <w:rStyle w:val="TextoNormalNegritaCaracter"/>
        </w:rPr>
        <w:t>Concurrencia de competencias sobre el mismo espacio físico</w:t>
      </w:r>
      <w:bookmarkEnd w:id="1311"/>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 3.</w:t>
      </w:r>
    </w:p>
    <w:p w:rsidR="00924F59" w:rsidRPr="00924F59" w:rsidRDefault="00924F59" w:rsidP="00924F59">
      <w:pPr>
        <w:pStyle w:val="TextoNormalSangraFrancesa"/>
        <w:rPr>
          <w:rStyle w:val="TextoNormalCaracter"/>
        </w:rPr>
      </w:pPr>
      <w:bookmarkStart w:id="1312" w:name="DESCRIPTORALFABETICO31"/>
      <w:r w:rsidRPr="00924F59">
        <w:rPr>
          <w:rStyle w:val="TextoNormalNegritaCaracter"/>
        </w:rPr>
        <w:t>Concurrencia de títulos competenciales</w:t>
      </w:r>
      <w:bookmarkEnd w:id="1312"/>
      <w:r w:rsidRPr="00924F59">
        <w:rPr>
          <w:rStyle w:val="TextoNormalCaracter"/>
        </w:rPr>
        <w:t xml:space="preserve">, Sentencias </w:t>
      </w:r>
      <w:hyperlink w:anchor="SENTENCIA_2016_32" w:history="1">
        <w:r w:rsidRPr="00924F59">
          <w:rPr>
            <w:rStyle w:val="TextoNormalCaracter"/>
          </w:rPr>
          <w:t>32/2016</w:t>
        </w:r>
      </w:hyperlink>
      <w:r w:rsidRPr="00924F59">
        <w:rPr>
          <w:rStyle w:val="TextoNormalCaracter"/>
        </w:rPr>
        <w:t xml:space="preserve">, ff. 3 a 13; </w:t>
      </w:r>
      <w:hyperlink w:anchor="SENTENCIA_2016_60" w:history="1">
        <w:r w:rsidRPr="00924F59">
          <w:rPr>
            <w:rStyle w:val="TextoNormalCaracter"/>
          </w:rPr>
          <w:t>60/2016</w:t>
        </w:r>
      </w:hyperlink>
      <w:r w:rsidRPr="00924F59">
        <w:rPr>
          <w:rStyle w:val="TextoNormalCaracter"/>
        </w:rPr>
        <w:t xml:space="preserve">, ff. 3 a 8; </w:t>
      </w:r>
      <w:hyperlink w:anchor="SENTENCIA_2016_72" w:history="1">
        <w:r w:rsidRPr="00924F59">
          <w:rPr>
            <w:rStyle w:val="TextoNormalCaracter"/>
          </w:rPr>
          <w:t>72/2016</w:t>
        </w:r>
      </w:hyperlink>
      <w:r w:rsidRPr="00924F59">
        <w:rPr>
          <w:rStyle w:val="TextoNormalCaracter"/>
        </w:rPr>
        <w:t xml:space="preserve">, ff. 1, 3; </w:t>
      </w:r>
      <w:hyperlink w:anchor="SENTENCIA_2016_120" w:history="1">
        <w:r w:rsidRPr="00924F59">
          <w:rPr>
            <w:rStyle w:val="TextoNormalCaracter"/>
          </w:rPr>
          <w:t>120/2016</w:t>
        </w:r>
      </w:hyperlink>
      <w:r w:rsidRPr="00924F59">
        <w:rPr>
          <w:rStyle w:val="TextoNormalCaracter"/>
        </w:rPr>
        <w:t>, ff. 3, 5 a 11.</w:t>
      </w:r>
    </w:p>
    <w:p w:rsidR="00924F59" w:rsidRPr="00924F59" w:rsidRDefault="00924F59" w:rsidP="00924F59">
      <w:pPr>
        <w:pStyle w:val="TextoNormalSangraFrancesa"/>
        <w:rPr>
          <w:rStyle w:val="TextoNormalCaracter"/>
        </w:rPr>
      </w:pPr>
      <w:bookmarkStart w:id="1313" w:name="DESCRIPTORALFABETICO500"/>
      <w:r w:rsidRPr="00924F59">
        <w:rPr>
          <w:rStyle w:val="TextoNormalNegritaCaracter"/>
        </w:rPr>
        <w:t>Concurso de méritos</w:t>
      </w:r>
      <w:bookmarkEnd w:id="1313"/>
      <w:r w:rsidRPr="00924F59">
        <w:rPr>
          <w:rStyle w:val="TextoNormalCaracter"/>
        </w:rPr>
        <w:t xml:space="preserve">, Sentencia </w:t>
      </w:r>
      <w:hyperlink w:anchor="SENTENCIA_2016_86" w:history="1">
        <w:r w:rsidRPr="00924F59">
          <w:rPr>
            <w:rStyle w:val="TextoNormalCaracter"/>
          </w:rPr>
          <w:t>86/2016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314" w:name="DESCRIPTORALFABETICO478"/>
      <w:r w:rsidRPr="00924F59">
        <w:rPr>
          <w:rStyle w:val="TextoNormalNegritaCaracter"/>
        </w:rPr>
        <w:t>Concurso público</w:t>
      </w:r>
      <w:bookmarkEnd w:id="1314"/>
      <w:r w:rsidRPr="00924F59">
        <w:rPr>
          <w:rStyle w:val="TextoNormalCaracter"/>
        </w:rPr>
        <w:t xml:space="preserve">, Sentencia </w:t>
      </w:r>
      <w:hyperlink w:anchor="SENTENCIA_2016_122" w:history="1">
        <w:r w:rsidRPr="00924F59">
          <w:rPr>
            <w:rStyle w:val="TextoNormalCaracter"/>
          </w:rPr>
          <w:t>122/2016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315" w:name="DESCRIPTORALFABETICO856"/>
      <w:r w:rsidRPr="00924F59">
        <w:rPr>
          <w:rStyle w:val="TextoNormalNegritaCaracter"/>
        </w:rPr>
        <w:t>Condena penal en apelación con vista pública</w:t>
      </w:r>
      <w:bookmarkEnd w:id="1315"/>
      <w:r w:rsidRPr="00924F59">
        <w:rPr>
          <w:rStyle w:val="TextoNormalCaracter"/>
        </w:rPr>
        <w:t xml:space="preserve">, Sentencia </w:t>
      </w:r>
      <w:hyperlink w:anchor="SENTENCIA_2016_105" w:history="1">
        <w:r w:rsidRPr="00924F59">
          <w:rPr>
            <w:rStyle w:val="TextoNormalCaracter"/>
          </w:rPr>
          <w:t>105/2016</w:t>
        </w:r>
      </w:hyperlink>
      <w:r w:rsidRPr="00924F59">
        <w:rPr>
          <w:rStyle w:val="TextoNormalCaracter"/>
        </w:rPr>
        <w:t>, ff. 3 a 9.</w:t>
      </w:r>
    </w:p>
    <w:p w:rsidR="00924F59" w:rsidRPr="00924F59" w:rsidRDefault="00924F59" w:rsidP="00924F59">
      <w:pPr>
        <w:pStyle w:val="TextoNormalSangraFrancesa"/>
        <w:rPr>
          <w:rStyle w:val="TextoNormalCaracter"/>
        </w:rPr>
      </w:pPr>
      <w:bookmarkStart w:id="1316" w:name="DESCRIPTORALFABETICO660"/>
      <w:r w:rsidRPr="00924F59">
        <w:rPr>
          <w:rStyle w:val="TextoNormalNegritaCaracter"/>
        </w:rPr>
        <w:t>Conexión de sentido entre la situación de urgencia y las medidas adoptadas</w:t>
      </w:r>
      <w:bookmarkEnd w:id="1316"/>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ff. 3 a 5; </w:t>
      </w:r>
      <w:hyperlink w:anchor="SENTENCIA_2016_19" w:history="1">
        <w:r w:rsidRPr="00924F59">
          <w:rPr>
            <w:rStyle w:val="TextoNormalCaracter"/>
          </w:rPr>
          <w:t>19/2016</w:t>
        </w:r>
      </w:hyperlink>
      <w:r w:rsidRPr="00924F59">
        <w:rPr>
          <w:rStyle w:val="TextoNormalCaracter"/>
        </w:rPr>
        <w:t xml:space="preserve">, f. 3; </w:t>
      </w:r>
      <w:hyperlink w:anchor="SENTENCIA_2016_26" w:history="1">
        <w:r w:rsidRPr="00924F59">
          <w:rPr>
            <w:rStyle w:val="TextoNormalCaracter"/>
          </w:rPr>
          <w:t>26/2016</w:t>
        </w:r>
      </w:hyperlink>
      <w:r w:rsidRPr="00924F59">
        <w:rPr>
          <w:rStyle w:val="TextoNormalCaracter"/>
        </w:rPr>
        <w:t xml:space="preserve">, ff. 2, 5; </w:t>
      </w:r>
      <w:hyperlink w:anchor="SENTENCIA_2016_29" w:history="1">
        <w:r w:rsidRPr="00924F59">
          <w:rPr>
            <w:rStyle w:val="TextoNormalCaracter"/>
          </w:rPr>
          <w:t>29/2016</w:t>
        </w:r>
      </w:hyperlink>
      <w:r w:rsidRPr="00924F59">
        <w:rPr>
          <w:rStyle w:val="TextoNormalCaracter"/>
        </w:rPr>
        <w:t xml:space="preserve">, f. 3; </w:t>
      </w:r>
      <w:hyperlink w:anchor="SENTENCIA_2016_30" w:history="1">
        <w:r w:rsidRPr="00924F59">
          <w:rPr>
            <w:rStyle w:val="TextoNormalCaracter"/>
          </w:rPr>
          <w:t>30/2016</w:t>
        </w:r>
      </w:hyperlink>
      <w:r w:rsidRPr="00924F59">
        <w:rPr>
          <w:rStyle w:val="TextoNormalCaracter"/>
        </w:rPr>
        <w:t xml:space="preserve">, f. 3; </w:t>
      </w:r>
      <w:hyperlink w:anchor="SENTENCIA_2016_37" w:history="1">
        <w:r w:rsidRPr="00924F59">
          <w:rPr>
            <w:rStyle w:val="TextoNormalCaracter"/>
          </w:rPr>
          <w:t>37/2016</w:t>
        </w:r>
      </w:hyperlink>
      <w:r w:rsidRPr="00924F59">
        <w:rPr>
          <w:rStyle w:val="TextoNormalCaracter"/>
        </w:rPr>
        <w:t xml:space="preserve">, f. 3; </w:t>
      </w:r>
      <w:hyperlink w:anchor="SENTENCIA_2016_38" w:history="1">
        <w:r w:rsidRPr="00924F59">
          <w:rPr>
            <w:rStyle w:val="TextoNormalCaracter"/>
          </w:rPr>
          <w:t>38/2016</w:t>
        </w:r>
      </w:hyperlink>
      <w:r w:rsidRPr="00924F59">
        <w:rPr>
          <w:rStyle w:val="TextoNormalCaracter"/>
        </w:rPr>
        <w:t xml:space="preserve">, f. 5; </w:t>
      </w:r>
      <w:hyperlink w:anchor="SENTENCIA_2016_42" w:history="1">
        <w:r w:rsidRPr="00924F59">
          <w:rPr>
            <w:rStyle w:val="TextoNormalCaracter"/>
          </w:rPr>
          <w:t>42/2016</w:t>
        </w:r>
      </w:hyperlink>
      <w:r w:rsidRPr="00924F59">
        <w:rPr>
          <w:rStyle w:val="TextoNormalCaracter"/>
        </w:rPr>
        <w:t xml:space="preserve">, f. 3; </w:t>
      </w:r>
      <w:hyperlink w:anchor="SENTENCIA_2016_61" w:history="1">
        <w:r w:rsidRPr="00924F59">
          <w:rPr>
            <w:rStyle w:val="TextoNormalCaracter"/>
          </w:rPr>
          <w:t>61/2016</w:t>
        </w:r>
      </w:hyperlink>
      <w:r w:rsidRPr="00924F59">
        <w:rPr>
          <w:rStyle w:val="TextoNormalCaracter"/>
        </w:rPr>
        <w:t xml:space="preserve">, f. 3; </w:t>
      </w:r>
      <w:hyperlink w:anchor="SENTENCIA_2016_67" w:history="1">
        <w:r w:rsidRPr="00924F59">
          <w:rPr>
            <w:rStyle w:val="TextoNormalCaracter"/>
          </w:rPr>
          <w:t>67/2016</w:t>
        </w:r>
      </w:hyperlink>
      <w:r w:rsidRPr="00924F59">
        <w:rPr>
          <w:rStyle w:val="TextoNormalCaracter"/>
        </w:rPr>
        <w:t xml:space="preserve">, f. 3; </w:t>
      </w:r>
      <w:hyperlink w:anchor="SENTENCIA_2016_68" w:history="1">
        <w:r w:rsidRPr="00924F59">
          <w:rPr>
            <w:rStyle w:val="TextoNormalCaracter"/>
          </w:rPr>
          <w:t>68/2016</w:t>
        </w:r>
      </w:hyperlink>
      <w:r w:rsidRPr="00924F59">
        <w:rPr>
          <w:rStyle w:val="TextoNormalCaracter"/>
        </w:rPr>
        <w:t xml:space="preserve">, f. 3; </w:t>
      </w:r>
      <w:hyperlink w:anchor="SENTENCIA_2016_84" w:history="1">
        <w:r w:rsidRPr="00924F59">
          <w:rPr>
            <w:rStyle w:val="TextoNormalCaracter"/>
          </w:rPr>
          <w:t>84/2016</w:t>
        </w:r>
      </w:hyperlink>
      <w:r w:rsidRPr="00924F59">
        <w:rPr>
          <w:rStyle w:val="TextoNormalCaracter"/>
        </w:rPr>
        <w:t xml:space="preserve">, ff. 3, 4; </w:t>
      </w:r>
      <w:hyperlink w:anchor="SENTENCIA_2016_119" w:history="1">
        <w:r w:rsidRPr="00924F59">
          <w:rPr>
            <w:rStyle w:val="TextoNormalCaracter"/>
          </w:rPr>
          <w:t>119/2016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317" w:name="DESCRIPTORALFABETICO431"/>
      <w:r w:rsidRPr="00924F59">
        <w:rPr>
          <w:rStyle w:val="TextoNormalNegritaCaracter"/>
        </w:rPr>
        <w:t>Confianza legítima</w:t>
      </w:r>
      <w:bookmarkEnd w:id="1317"/>
      <w:r w:rsidRPr="00924F59">
        <w:rPr>
          <w:rStyle w:val="TextoNormalCaracter"/>
        </w:rPr>
        <w:t xml:space="preserve">, Sentencias </w:t>
      </w:r>
      <w:hyperlink w:anchor="SENTENCIA_2016_19" w:history="1">
        <w:r w:rsidRPr="00924F59">
          <w:rPr>
            <w:rStyle w:val="TextoNormalCaracter"/>
          </w:rPr>
          <w:t>19/2016</w:t>
        </w:r>
      </w:hyperlink>
      <w:r w:rsidRPr="00924F59">
        <w:rPr>
          <w:rStyle w:val="TextoNormalCaracter"/>
        </w:rPr>
        <w:t xml:space="preserve">, f. 4, VP; </w:t>
      </w:r>
      <w:hyperlink w:anchor="SENTENCIA_2016_29" w:history="1">
        <w:r w:rsidRPr="00924F59">
          <w:rPr>
            <w:rStyle w:val="TextoNormalCaracter"/>
          </w:rPr>
          <w:t>29/2016</w:t>
        </w:r>
      </w:hyperlink>
      <w:r w:rsidRPr="00924F59">
        <w:rPr>
          <w:rStyle w:val="TextoNormalCaracter"/>
        </w:rPr>
        <w:t xml:space="preserve">, f. 4, VP; </w:t>
      </w:r>
      <w:hyperlink w:anchor="SENTENCIA_2016_30" w:history="1">
        <w:r w:rsidRPr="00924F59">
          <w:rPr>
            <w:rStyle w:val="TextoNormalCaracter"/>
          </w:rPr>
          <w:t>30/2016</w:t>
        </w:r>
      </w:hyperlink>
      <w:r w:rsidRPr="00924F59">
        <w:rPr>
          <w:rStyle w:val="TextoNormalCaracter"/>
        </w:rPr>
        <w:t xml:space="preserve">, f. 4, VP; </w:t>
      </w:r>
      <w:hyperlink w:anchor="SENTENCIA_2016_42" w:history="1">
        <w:r w:rsidRPr="00924F59">
          <w:rPr>
            <w:rStyle w:val="TextoNormalCaracter"/>
          </w:rPr>
          <w:t>42/2016</w:t>
        </w:r>
      </w:hyperlink>
      <w:r w:rsidRPr="00924F59">
        <w:rPr>
          <w:rStyle w:val="TextoNormalCaracter"/>
        </w:rPr>
        <w:t xml:space="preserve">, f. 4, VP; </w:t>
      </w:r>
      <w:hyperlink w:anchor="SENTENCIA_2016_56" w:history="1">
        <w:r w:rsidRPr="00924F59">
          <w:rPr>
            <w:rStyle w:val="TextoNormalCaracter"/>
          </w:rPr>
          <w:t>56/2016</w:t>
        </w:r>
      </w:hyperlink>
      <w:r w:rsidRPr="00924F59">
        <w:rPr>
          <w:rStyle w:val="TextoNormalCaracter"/>
        </w:rPr>
        <w:t xml:space="preserve">, f. 3; </w:t>
      </w:r>
      <w:hyperlink w:anchor="SENTENCIA_2016_61" w:history="1">
        <w:r w:rsidRPr="00924F59">
          <w:rPr>
            <w:rStyle w:val="TextoNormalCaracter"/>
          </w:rPr>
          <w:t>61/2016</w:t>
        </w:r>
      </w:hyperlink>
      <w:r w:rsidRPr="00924F59">
        <w:rPr>
          <w:rStyle w:val="TextoNormalCaracter"/>
        </w:rPr>
        <w:t>, f. 4, VP.</w:t>
      </w:r>
    </w:p>
    <w:p w:rsidR="00924F59" w:rsidRPr="00924F59" w:rsidRDefault="00924F59" w:rsidP="00924F59">
      <w:pPr>
        <w:pStyle w:val="TextoNormalSangraFrancesa"/>
        <w:rPr>
          <w:rStyle w:val="TextoNormalCaracter"/>
        </w:rPr>
      </w:pPr>
      <w:bookmarkStart w:id="1318" w:name="DESCRIPTORALFABETICO692"/>
      <w:r w:rsidRPr="00924F59">
        <w:rPr>
          <w:rStyle w:val="TextoNormalNegritaCaracter"/>
        </w:rPr>
        <w:t>Conflicto de normas</w:t>
      </w:r>
      <w:bookmarkEnd w:id="1318"/>
      <w:r w:rsidRPr="00924F59">
        <w:rPr>
          <w:rStyle w:val="TextoNormalCaracter"/>
        </w:rPr>
        <w:t xml:space="preserve">, Sentencia </w:t>
      </w:r>
      <w:hyperlink w:anchor="SENTENCIA_2016_102" w:history="1">
        <w:r w:rsidRPr="00924F59">
          <w:rPr>
            <w:rStyle w:val="TextoNormalCaracter"/>
          </w:rPr>
          <w:t>102/2016</w:t>
        </w:r>
      </w:hyperlink>
      <w:r w:rsidRPr="00924F59">
        <w:rPr>
          <w:rStyle w:val="TextoNormalCaracter"/>
        </w:rPr>
        <w:t>, ff. 2 a 6, VP.</w:t>
      </w:r>
    </w:p>
    <w:p w:rsidR="00924F59" w:rsidRPr="00924F59" w:rsidRDefault="00924F59" w:rsidP="00924F59">
      <w:pPr>
        <w:pStyle w:val="TextoNormalSangraFrancesa"/>
        <w:rPr>
          <w:rStyle w:val="TextoNormalCaracter"/>
        </w:rPr>
      </w:pPr>
      <w:bookmarkStart w:id="1319" w:name="DESCRIPTORALFABETICO271"/>
      <w:r w:rsidRPr="00924F59">
        <w:rPr>
          <w:rStyle w:val="TextoNormalNegritaCaracter"/>
        </w:rPr>
        <w:t>Conflictos en defensa de la autonomía foral</w:t>
      </w:r>
      <w:bookmarkEnd w:id="1319"/>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 4.</w:t>
      </w:r>
    </w:p>
    <w:p w:rsidR="00924F59" w:rsidRPr="00924F59" w:rsidRDefault="00924F59" w:rsidP="00924F59">
      <w:pPr>
        <w:pStyle w:val="TextoNormalSangraFrancesa"/>
        <w:rPr>
          <w:rStyle w:val="TextoNormalCaracter"/>
        </w:rPr>
      </w:pPr>
      <w:bookmarkStart w:id="1320" w:name="DESCRIPTORALFABETICO270"/>
      <w:r w:rsidRPr="00924F59">
        <w:rPr>
          <w:rStyle w:val="TextoNormalNegritaCaracter"/>
        </w:rPr>
        <w:t>Conflictos en defensa de la autonomía local</w:t>
      </w:r>
      <w:bookmarkEnd w:id="1320"/>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 4 d).</w:t>
      </w:r>
    </w:p>
    <w:p w:rsidR="00924F59" w:rsidRPr="00924F59" w:rsidRDefault="00924F59" w:rsidP="00924F59">
      <w:pPr>
        <w:pStyle w:val="TextoNormalSangraFrancesa"/>
        <w:rPr>
          <w:rStyle w:val="TextoNormalCaracter"/>
        </w:rPr>
      </w:pPr>
      <w:bookmarkStart w:id="1321" w:name="DESCRIPTORALFABETICO274"/>
      <w:r w:rsidRPr="00924F59">
        <w:rPr>
          <w:rStyle w:val="TextoNormalNegritaCaracter"/>
        </w:rPr>
        <w:t>Conflictos positivos de competencia</w:t>
      </w:r>
      <w:bookmarkEnd w:id="1321"/>
      <w:r w:rsidRPr="00924F59">
        <w:rPr>
          <w:rStyle w:val="TextoNormalCaracter"/>
        </w:rPr>
        <w:t xml:space="preserve">, Sentencias </w:t>
      </w:r>
      <w:hyperlink w:anchor="SENTENCIA_2016_95" w:history="1">
        <w:r w:rsidRPr="00924F59">
          <w:rPr>
            <w:rStyle w:val="TextoNormalCaracter"/>
          </w:rPr>
          <w:t>95/2016</w:t>
        </w:r>
      </w:hyperlink>
      <w:r w:rsidRPr="00924F59">
        <w:rPr>
          <w:rStyle w:val="TextoNormalCaracter"/>
        </w:rPr>
        <w:t xml:space="preserve">, ff. 1, 8; </w:t>
      </w:r>
      <w:hyperlink w:anchor="SENTENCIA_2016_120" w:history="1">
        <w:r w:rsidRPr="00924F59">
          <w:rPr>
            <w:rStyle w:val="TextoNormalCaracter"/>
          </w:rPr>
          <w:t>120/2016</w:t>
        </w:r>
      </w:hyperlink>
      <w:r w:rsidRPr="00924F59">
        <w:rPr>
          <w:rStyle w:val="TextoNormalCaracter"/>
        </w:rPr>
        <w:t xml:space="preserve">, ff. 5 a 11; </w:t>
      </w:r>
      <w:hyperlink w:anchor="SENTENCIA_2016_124" w:history="1">
        <w:r w:rsidRPr="00924F59">
          <w:rPr>
            <w:rStyle w:val="TextoNormalCaracter"/>
          </w:rPr>
          <w:t>124/2016</w:t>
        </w:r>
      </w:hyperlink>
      <w:r w:rsidRPr="00924F59">
        <w:rPr>
          <w:rStyle w:val="TextoNormalCaracter"/>
        </w:rPr>
        <w:t>, ff. 1 a 5, 7 a 11.</w:t>
      </w:r>
    </w:p>
    <w:p w:rsidR="00924F59" w:rsidRPr="00924F59" w:rsidRDefault="00924F59" w:rsidP="00924F59">
      <w:pPr>
        <w:pStyle w:val="TextoNormalSangraFrancesa"/>
        <w:rPr>
          <w:rStyle w:val="TextoNormalCaracter"/>
        </w:rPr>
      </w:pPr>
      <w:bookmarkStart w:id="1322" w:name="DESCRIPTORALFABETICO650"/>
      <w:r w:rsidRPr="00924F59">
        <w:rPr>
          <w:rStyle w:val="TextoNormalNegritaCaracter"/>
        </w:rPr>
        <w:t>Conservación de derechos históricos</w:t>
      </w:r>
      <w:bookmarkEnd w:id="1322"/>
      <w:r w:rsidRPr="00924F59">
        <w:rPr>
          <w:rStyle w:val="TextoNormalCaracter"/>
        </w:rPr>
        <w:t xml:space="preserve">, Sentencias </w:t>
      </w:r>
      <w:hyperlink w:anchor="SENTENCIA_2016_82" w:history="1">
        <w:r w:rsidRPr="00924F59">
          <w:rPr>
            <w:rStyle w:val="TextoNormalCaracter"/>
          </w:rPr>
          <w:t>82/2016</w:t>
        </w:r>
      </w:hyperlink>
      <w:r w:rsidRPr="00924F59">
        <w:rPr>
          <w:rStyle w:val="TextoNormalCaracter"/>
        </w:rPr>
        <w:t xml:space="preserve">, ff. 1, 3, VP; </w:t>
      </w:r>
      <w:hyperlink w:anchor="SENTENCIA_2016_110" w:history="1">
        <w:r w:rsidRPr="00924F59">
          <w:rPr>
            <w:rStyle w:val="TextoNormalCaracter"/>
          </w:rPr>
          <w:t>110/2016</w:t>
        </w:r>
      </w:hyperlink>
      <w:r w:rsidRPr="00924F59">
        <w:rPr>
          <w:rStyle w:val="TextoNormalCaracter"/>
        </w:rPr>
        <w:t>, ff. 1, 4 a 6, VP.</w:t>
      </w:r>
    </w:p>
    <w:p w:rsidR="00924F59" w:rsidRPr="00924F59" w:rsidRDefault="00924F59" w:rsidP="00924F59">
      <w:pPr>
        <w:pStyle w:val="TextoNormalSangraFrancesa"/>
        <w:rPr>
          <w:rStyle w:val="TextoNormalCaracter"/>
        </w:rPr>
      </w:pPr>
      <w:bookmarkStart w:id="1323" w:name="DESCRIPTORALFABETICO528"/>
      <w:r w:rsidRPr="00924F59">
        <w:rPr>
          <w:rStyle w:val="TextoNormalNegritaCaracter"/>
        </w:rPr>
        <w:t>Consideración de la cinematografía como cultura</w:t>
      </w:r>
      <w:bookmarkEnd w:id="1323"/>
      <w:r w:rsidRPr="00924F59">
        <w:rPr>
          <w:rStyle w:val="TextoNormalCaracter"/>
        </w:rPr>
        <w:t xml:space="preserve">, Sentencia </w:t>
      </w:r>
      <w:hyperlink w:anchor="SENTENCIA_2016_35" w:history="1">
        <w:r w:rsidRPr="00924F59">
          <w:rPr>
            <w:rStyle w:val="TextoNormalCaracter"/>
          </w:rPr>
          <w:t>35/2016</w:t>
        </w:r>
      </w:hyperlink>
      <w:r w:rsidRPr="00924F59">
        <w:rPr>
          <w:rStyle w:val="TextoNormalCaracter"/>
        </w:rPr>
        <w:t>, f. 5.</w:t>
      </w:r>
    </w:p>
    <w:p w:rsidR="00924F59" w:rsidRPr="00924F59" w:rsidRDefault="00924F59" w:rsidP="00924F59">
      <w:pPr>
        <w:pStyle w:val="TextoNormalSangraFrancesa"/>
        <w:rPr>
          <w:rStyle w:val="TextoNormalCaracter"/>
        </w:rPr>
      </w:pPr>
      <w:bookmarkStart w:id="1324" w:name="DESCRIPTORALFABETICO379"/>
      <w:r w:rsidRPr="00924F59">
        <w:rPr>
          <w:rStyle w:val="TextoNormalNegritaCaracter"/>
        </w:rPr>
        <w:t>Consorcios</w:t>
      </w:r>
      <w:bookmarkEnd w:id="1324"/>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8.</w:t>
      </w:r>
    </w:p>
    <w:p w:rsidR="00924F59" w:rsidRPr="00924F59" w:rsidRDefault="00924F59" w:rsidP="00924F59">
      <w:pPr>
        <w:pStyle w:val="TextoNormalSangraFrancesa"/>
        <w:rPr>
          <w:rStyle w:val="TextoNormalCaracter"/>
        </w:rPr>
      </w:pPr>
      <w:bookmarkStart w:id="1325" w:name="DESCRIPTORALFABETICO607"/>
      <w:r w:rsidRPr="00924F59">
        <w:rPr>
          <w:rStyle w:val="TextoNormalNegritaCaracter"/>
        </w:rPr>
        <w:t>Contaminación atmosférica</w:t>
      </w:r>
      <w:bookmarkEnd w:id="1325"/>
      <w:r w:rsidRPr="00924F59">
        <w:rPr>
          <w:rStyle w:val="TextoNormalCaracter"/>
        </w:rPr>
        <w:t xml:space="preserve">, Sentencia </w:t>
      </w:r>
      <w:hyperlink w:anchor="SENTENCIA_2016_53" w:history="1">
        <w:r w:rsidRPr="00924F59">
          <w:rPr>
            <w:rStyle w:val="TextoNormalCaracter"/>
          </w:rPr>
          <w:t>53/2016</w:t>
        </w:r>
      </w:hyperlink>
      <w:r w:rsidRPr="00924F59">
        <w:rPr>
          <w:rStyle w:val="TextoNormalCaracter"/>
        </w:rPr>
        <w:t>, ff. 1 a 4, VP.</w:t>
      </w:r>
    </w:p>
    <w:p w:rsidR="00924F59" w:rsidRPr="00924F59" w:rsidRDefault="00924F59" w:rsidP="00924F59">
      <w:pPr>
        <w:pStyle w:val="TextoNormalSangraFrancesa"/>
        <w:rPr>
          <w:rStyle w:val="TextoNormalCaracter"/>
        </w:rPr>
      </w:pPr>
      <w:bookmarkStart w:id="1326" w:name="DESCRIPTORALFABETICO73"/>
      <w:r w:rsidRPr="00924F59">
        <w:rPr>
          <w:rStyle w:val="TextoNormalNegritaCaracter"/>
        </w:rPr>
        <w:t>Contención del gasto público</w:t>
      </w:r>
      <w:bookmarkEnd w:id="1326"/>
      <w:r w:rsidRPr="00924F59">
        <w:rPr>
          <w:rStyle w:val="TextoNormalCaracter"/>
        </w:rPr>
        <w:t xml:space="preserve">, Sentencias </w:t>
      </w:r>
      <w:hyperlink w:anchor="SENTENCIA_2016_1" w:history="1">
        <w:r w:rsidRPr="00924F59">
          <w:rPr>
            <w:rStyle w:val="TextoNormalCaracter"/>
          </w:rPr>
          <w:t>1/2016</w:t>
        </w:r>
      </w:hyperlink>
      <w:r w:rsidRPr="00924F59">
        <w:rPr>
          <w:rStyle w:val="TextoNormalCaracter"/>
        </w:rPr>
        <w:t xml:space="preserve">, f. 1; </w:t>
      </w:r>
      <w:hyperlink w:anchor="SENTENCIA_2016_18" w:history="1">
        <w:r w:rsidRPr="00924F59">
          <w:rPr>
            <w:rStyle w:val="TextoNormalCaracter"/>
          </w:rPr>
          <w:t>18/2016</w:t>
        </w:r>
      </w:hyperlink>
      <w:r w:rsidRPr="00924F59">
        <w:rPr>
          <w:rStyle w:val="TextoNormalCaracter"/>
        </w:rPr>
        <w:t xml:space="preserve">, f. 6; </w:t>
      </w:r>
      <w:hyperlink w:anchor="SENTENCIA_2016_88" w:history="1">
        <w:r w:rsidRPr="00924F59">
          <w:rPr>
            <w:rStyle w:val="TextoNormalCaracter"/>
          </w:rPr>
          <w:t>88/2016</w:t>
        </w:r>
      </w:hyperlink>
      <w:r w:rsidRPr="00924F59">
        <w:rPr>
          <w:rStyle w:val="TextoNormalCaracter"/>
        </w:rPr>
        <w:t xml:space="preserve">, ff. 2 a 4; </w:t>
      </w:r>
      <w:hyperlink w:anchor="SENTENCIA_2016_99" w:history="1">
        <w:r w:rsidRPr="00924F59">
          <w:rPr>
            <w:rStyle w:val="TextoNormalCaracter"/>
          </w:rPr>
          <w:t>99/2016</w:t>
        </w:r>
      </w:hyperlink>
      <w:r w:rsidRPr="00924F59">
        <w:rPr>
          <w:rStyle w:val="TextoNormalCaracter"/>
        </w:rPr>
        <w:t xml:space="preserve">, ff. 7, 8, VP; </w:t>
      </w:r>
      <w:hyperlink w:anchor="SENTENCIA_2016_111" w:history="1">
        <w:r w:rsidRPr="00924F59">
          <w:rPr>
            <w:rStyle w:val="TextoNormalCaracter"/>
          </w:rPr>
          <w:t>111/2016</w:t>
        </w:r>
      </w:hyperlink>
      <w:r w:rsidRPr="00924F59">
        <w:rPr>
          <w:rStyle w:val="TextoNormalCaracter"/>
        </w:rPr>
        <w:t>, ff. 4, 12.</w:t>
      </w:r>
    </w:p>
    <w:p w:rsidR="00924F59" w:rsidRPr="00924F59" w:rsidRDefault="00924F59" w:rsidP="00924F59">
      <w:pPr>
        <w:pStyle w:val="TextoNormalSangraFrancesa"/>
        <w:rPr>
          <w:rStyle w:val="TextoNormalCaracter"/>
        </w:rPr>
      </w:pPr>
      <w:bookmarkStart w:id="1327" w:name="DESCRIPTORALFABETICO214"/>
      <w:r w:rsidRPr="00924F59">
        <w:rPr>
          <w:rStyle w:val="TextoNormalNegritaCaracter"/>
        </w:rPr>
        <w:t>Contenido adicional de la libertad sindical</w:t>
      </w:r>
      <w:bookmarkEnd w:id="1327"/>
      <w:r w:rsidRPr="00924F59">
        <w:rPr>
          <w:rStyle w:val="TextoNormalCaracter"/>
        </w:rPr>
        <w:t xml:space="preserve">, Sentencia </w:t>
      </w:r>
      <w:hyperlink w:anchor="SENTENCIA_2016_64" w:history="1">
        <w:r w:rsidRPr="00924F59">
          <w:rPr>
            <w:rStyle w:val="TextoNormalCaracter"/>
          </w:rPr>
          <w:t>64/2016</w:t>
        </w:r>
      </w:hyperlink>
      <w:r w:rsidRPr="00924F59">
        <w:rPr>
          <w:rStyle w:val="TextoNormalCaracter"/>
        </w:rPr>
        <w:t>, f. 5, 6, VP.</w:t>
      </w:r>
    </w:p>
    <w:p w:rsidR="00924F59" w:rsidRPr="00924F59" w:rsidRDefault="00924F59" w:rsidP="00924F59">
      <w:pPr>
        <w:pStyle w:val="TextoNormalSangraFrancesa"/>
        <w:rPr>
          <w:rStyle w:val="TextoNormalCaracter"/>
        </w:rPr>
      </w:pPr>
      <w:bookmarkStart w:id="1328" w:name="DESCRIPTORALFABETICO213"/>
      <w:r w:rsidRPr="00924F59">
        <w:rPr>
          <w:rStyle w:val="TextoNormalNegritaCaracter"/>
        </w:rPr>
        <w:t>Contenido de la libertad sindical</w:t>
      </w:r>
      <w:bookmarkEnd w:id="1328"/>
      <w:r w:rsidRPr="00924F59">
        <w:rPr>
          <w:rStyle w:val="TextoNormalCaracter"/>
        </w:rPr>
        <w:t xml:space="preserve">, Sentencia </w:t>
      </w:r>
      <w:hyperlink w:anchor="SENTENCIA_2016_64" w:history="1">
        <w:r w:rsidRPr="00924F59">
          <w:rPr>
            <w:rStyle w:val="TextoNormalCaracter"/>
          </w:rPr>
          <w:t>64/2016</w:t>
        </w:r>
      </w:hyperlink>
      <w:r w:rsidRPr="00924F59">
        <w:rPr>
          <w:rStyle w:val="TextoNormalCaracter"/>
        </w:rPr>
        <w:t>, f. 4.</w:t>
      </w:r>
    </w:p>
    <w:p w:rsidR="00924F59" w:rsidRPr="00924F59" w:rsidRDefault="00924F59" w:rsidP="00924F59">
      <w:pPr>
        <w:pStyle w:val="TextoNormalSangraFrancesa"/>
        <w:rPr>
          <w:rStyle w:val="TextoNormalCaracter"/>
        </w:rPr>
      </w:pPr>
      <w:bookmarkStart w:id="1329" w:name="DESCRIPTORALFABETICO674"/>
      <w:r w:rsidRPr="00924F59">
        <w:rPr>
          <w:rStyle w:val="TextoNormalNegritaCaracter"/>
        </w:rPr>
        <w:t>Contenido de las leyes de presupuestos</w:t>
      </w:r>
      <w:bookmarkEnd w:id="1329"/>
      <w:r w:rsidRPr="00924F59">
        <w:rPr>
          <w:rStyle w:val="TextoNormalCaracter"/>
        </w:rPr>
        <w:t xml:space="preserve">, Auto </w:t>
      </w:r>
      <w:hyperlink w:anchor="AUTO_2016_132" w:history="1">
        <w:r w:rsidRPr="00924F59">
          <w:rPr>
            <w:rStyle w:val="TextoNormalCaracter"/>
          </w:rPr>
          <w:t>132/2016</w:t>
        </w:r>
      </w:hyperlink>
      <w:r w:rsidRPr="00924F59">
        <w:rPr>
          <w:rStyle w:val="TextoNormalCaracter"/>
        </w:rPr>
        <w:t>, f. 8.</w:t>
      </w:r>
    </w:p>
    <w:p w:rsidR="00924F59" w:rsidRPr="00924F59" w:rsidRDefault="00924F59" w:rsidP="00924F59">
      <w:pPr>
        <w:pStyle w:val="TextoNormalSangraFrancesa"/>
        <w:rPr>
          <w:rStyle w:val="TextoNormalCaracter"/>
        </w:rPr>
      </w:pPr>
      <w:bookmarkStart w:id="1330" w:name="DESCRIPTORALFABETICO216"/>
      <w:r w:rsidRPr="00924F59">
        <w:rPr>
          <w:rStyle w:val="TextoNormalNegritaCaracter"/>
        </w:rPr>
        <w:t>Contenido de los derechos fundamentales</w:t>
      </w:r>
      <w:bookmarkEnd w:id="1330"/>
      <w:r w:rsidRPr="00924F59">
        <w:rPr>
          <w:rStyle w:val="TextoNormalCaracter"/>
        </w:rPr>
        <w:t xml:space="preserve">, Auto </w:t>
      </w:r>
      <w:hyperlink w:anchor="AUTO_2016_107" w:history="1">
        <w:r w:rsidRPr="00924F59">
          <w:rPr>
            <w:rStyle w:val="TextoNormalCaracter"/>
          </w:rPr>
          <w:t>107/2016</w:t>
        </w:r>
      </w:hyperlink>
      <w:r w:rsidRPr="00924F59">
        <w:rPr>
          <w:rStyle w:val="TextoNormalCaracter"/>
        </w:rPr>
        <w:t>, f. 1.</w:t>
      </w:r>
    </w:p>
    <w:p w:rsidR="00924F59" w:rsidRPr="00924F59" w:rsidRDefault="00924F59" w:rsidP="00924F59">
      <w:pPr>
        <w:pStyle w:val="TextoNormalSangraFrancesa"/>
        <w:rPr>
          <w:rStyle w:val="TextoNormalCaracter"/>
        </w:rPr>
      </w:pPr>
      <w:bookmarkStart w:id="1331" w:name="DESCRIPTORALFABETICO132"/>
      <w:r w:rsidRPr="00924F59">
        <w:rPr>
          <w:rStyle w:val="TextoNormalNegritaCaracter"/>
        </w:rPr>
        <w:t>Contenido del derecho a la educación</w:t>
      </w:r>
      <w:bookmarkEnd w:id="1331"/>
      <w:r w:rsidRPr="00924F59">
        <w:rPr>
          <w:rStyle w:val="TextoNormalCaracter"/>
        </w:rPr>
        <w:t xml:space="preserve">, Sentencia </w:t>
      </w:r>
      <w:hyperlink w:anchor="SENTENCIA_2016_38" w:history="1">
        <w:r w:rsidRPr="00924F59">
          <w:rPr>
            <w:rStyle w:val="TextoNormalCaracter"/>
          </w:rPr>
          <w:t>38/2016</w:t>
        </w:r>
      </w:hyperlink>
      <w:r w:rsidRPr="00924F59">
        <w:rPr>
          <w:rStyle w:val="TextoNormalCaracter"/>
        </w:rPr>
        <w:t>, f. 6.</w:t>
      </w:r>
    </w:p>
    <w:p w:rsidR="00924F59" w:rsidRPr="00924F59" w:rsidRDefault="00924F59" w:rsidP="00924F59">
      <w:pPr>
        <w:pStyle w:val="TextoNormalSangraFrancesa"/>
        <w:rPr>
          <w:rStyle w:val="TextoNormalCaracter"/>
        </w:rPr>
      </w:pPr>
      <w:bookmarkStart w:id="1332" w:name="DESCRIPTORALFABETICO135"/>
      <w:r w:rsidRPr="00924F59">
        <w:rPr>
          <w:rStyle w:val="TextoNormalNegritaCaracter"/>
        </w:rPr>
        <w:t>Contenido del derecho a la huelga</w:t>
      </w:r>
      <w:bookmarkEnd w:id="1332"/>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 ff. 2, 4, VP I, VP II.</w:t>
      </w:r>
    </w:p>
    <w:p w:rsidR="00924F59" w:rsidRPr="00924F59" w:rsidRDefault="00924F59" w:rsidP="00924F59">
      <w:pPr>
        <w:pStyle w:val="TextoNormalSangraFrancesa"/>
        <w:rPr>
          <w:rStyle w:val="TextoNormalCaracter"/>
        </w:rPr>
      </w:pPr>
      <w:bookmarkStart w:id="1333" w:name="DESCRIPTORALFABETICO149"/>
      <w:r w:rsidRPr="00924F59">
        <w:rPr>
          <w:rStyle w:val="TextoNormalNegritaCaracter"/>
        </w:rPr>
        <w:t>Contenido del derecho a la intimidad</w:t>
      </w:r>
      <w:bookmarkEnd w:id="1333"/>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334" w:name="DESCRIPTORALFABETICO165"/>
      <w:r w:rsidRPr="00924F59">
        <w:rPr>
          <w:rStyle w:val="TextoNormalNegritaCaracter"/>
        </w:rPr>
        <w:t>Contenido del derecho a la protección de datos personales</w:t>
      </w:r>
      <w:bookmarkEnd w:id="1334"/>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3, 4, VP I, VP II.</w:t>
      </w:r>
    </w:p>
    <w:p w:rsidR="00924F59" w:rsidRPr="00924F59" w:rsidRDefault="00924F59" w:rsidP="00924F59">
      <w:pPr>
        <w:pStyle w:val="TextoNormalSangraFrancesa"/>
        <w:rPr>
          <w:rStyle w:val="TextoNormalCaracter"/>
        </w:rPr>
      </w:pPr>
      <w:bookmarkStart w:id="1335" w:name="DESCRIPTORALFABETICO675"/>
      <w:r w:rsidRPr="00924F59">
        <w:rPr>
          <w:rStyle w:val="TextoNormalNegritaCaracter"/>
        </w:rPr>
        <w:t>Contenido disponible de las leyes de presupuestos</w:t>
      </w:r>
      <w:bookmarkEnd w:id="1335"/>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 8, VP.</w:t>
      </w:r>
    </w:p>
    <w:p w:rsidR="00924F59" w:rsidRPr="00924F59" w:rsidRDefault="00924F59" w:rsidP="00924F59">
      <w:pPr>
        <w:pStyle w:val="TextoNormalSangraFrancesa"/>
        <w:rPr>
          <w:rStyle w:val="TextoNormalCaracter"/>
        </w:rPr>
      </w:pPr>
      <w:bookmarkStart w:id="1336" w:name="DESCRIPTORALFABETICO217"/>
      <w:r w:rsidRPr="00924F59">
        <w:rPr>
          <w:rStyle w:val="TextoNormalNegritaCaracter"/>
        </w:rPr>
        <w:t>Contenido esencial de los derechos fundamentales</w:t>
      </w:r>
      <w:bookmarkEnd w:id="1336"/>
      <w:r w:rsidRPr="00924F59">
        <w:rPr>
          <w:rStyle w:val="TextoNormalCaracter"/>
        </w:rPr>
        <w:t xml:space="preserve">, Sentencia </w:t>
      </w:r>
      <w:hyperlink w:anchor="SENTENCIA_2016_26" w:history="1">
        <w:r w:rsidRPr="00924F59">
          <w:rPr>
            <w:rStyle w:val="TextoNormalCaracter"/>
          </w:rPr>
          <w:t>26/2016</w:t>
        </w:r>
      </w:hyperlink>
      <w:r w:rsidRPr="00924F59">
        <w:rPr>
          <w:rStyle w:val="TextoNormalCaracter"/>
        </w:rPr>
        <w:t>, f. 8, VP.</w:t>
      </w:r>
    </w:p>
    <w:p w:rsidR="00924F59" w:rsidRPr="00924F59" w:rsidRDefault="00924F59" w:rsidP="00924F59">
      <w:pPr>
        <w:pStyle w:val="TextoNormalSangraFrancesa"/>
        <w:rPr>
          <w:rStyle w:val="TextoNormalCaracter"/>
        </w:rPr>
      </w:pPr>
      <w:bookmarkStart w:id="1337" w:name="DESCRIPTORALFABETICO676"/>
      <w:r w:rsidRPr="00924F59">
        <w:rPr>
          <w:rStyle w:val="TextoNormalNegritaCaracter"/>
        </w:rPr>
        <w:t>Contenido material de las leyes de presupuestos</w:t>
      </w:r>
      <w:bookmarkEnd w:id="1337"/>
      <w:r w:rsidRPr="00924F59">
        <w:rPr>
          <w:rStyle w:val="TextoNormalCaracter"/>
        </w:rPr>
        <w:t xml:space="preserve">, Sentencia </w:t>
      </w:r>
      <w:hyperlink w:anchor="SENTENCIA_2016_123" w:history="1">
        <w:r w:rsidRPr="00924F59">
          <w:rPr>
            <w:rStyle w:val="TextoNormalCaracter"/>
          </w:rPr>
          <w:t>123/2016</w:t>
        </w:r>
      </w:hyperlink>
      <w:r w:rsidRPr="00924F59">
        <w:rPr>
          <w:rStyle w:val="TextoNormalCaracter"/>
        </w:rPr>
        <w:t>, f. 3.</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84" w:history="1">
        <w:r w:rsidRPr="00924F59">
          <w:rPr>
            <w:rStyle w:val="TextoNormalCaracter"/>
          </w:rPr>
          <w:t>84/2016</w:t>
        </w:r>
      </w:hyperlink>
      <w:r w:rsidRPr="00924F59">
        <w:rPr>
          <w:rStyle w:val="TextoNormalCaracter"/>
        </w:rPr>
        <w:t>, f. 7.</w:t>
      </w:r>
    </w:p>
    <w:p w:rsidR="00924F59" w:rsidRPr="00924F59" w:rsidRDefault="00924F59" w:rsidP="00924F59">
      <w:pPr>
        <w:pStyle w:val="TextoNormalSangraFrancesa"/>
        <w:rPr>
          <w:rStyle w:val="TextoNormalCaracter"/>
        </w:rPr>
      </w:pPr>
      <w:bookmarkStart w:id="1338" w:name="DESCRIPTORALFABETICO551"/>
      <w:r w:rsidRPr="00924F59">
        <w:rPr>
          <w:rStyle w:val="TextoNormalNegritaCaracter"/>
        </w:rPr>
        <w:t>Contratación de profesores</w:t>
      </w:r>
      <w:bookmarkEnd w:id="1338"/>
      <w:r w:rsidRPr="00924F59">
        <w:rPr>
          <w:rStyle w:val="TextoNormalCaracter"/>
        </w:rPr>
        <w:t xml:space="preserve">, Sentencia </w:t>
      </w:r>
      <w:hyperlink w:anchor="SENTENCIA_2016_26" w:history="1">
        <w:r w:rsidRPr="00924F59">
          <w:rPr>
            <w:rStyle w:val="TextoNormalCaracter"/>
          </w:rPr>
          <w:t>26/2016</w:t>
        </w:r>
      </w:hyperlink>
      <w:r w:rsidRPr="00924F59">
        <w:rPr>
          <w:rStyle w:val="TextoNormalCaracter"/>
        </w:rPr>
        <w:t>, f. 6, VP.</w:t>
      </w:r>
    </w:p>
    <w:p w:rsidR="00924F59" w:rsidRPr="00924F59" w:rsidRDefault="00924F59" w:rsidP="00924F59">
      <w:pPr>
        <w:pStyle w:val="TextoNormalSangraFrancesa"/>
        <w:rPr>
          <w:rStyle w:val="TextoNormalCaracter"/>
        </w:rPr>
      </w:pPr>
      <w:bookmarkStart w:id="1339" w:name="DESCRIPTORALFABETICO775"/>
      <w:r w:rsidRPr="00924F59">
        <w:rPr>
          <w:rStyle w:val="TextoNormalNegritaCaracter"/>
        </w:rPr>
        <w:t>Contrato de trabajo</w:t>
      </w:r>
      <w:bookmarkEnd w:id="1339"/>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1, 3 a 5.</w:t>
      </w:r>
    </w:p>
    <w:p w:rsidR="00924F59" w:rsidRPr="00924F59" w:rsidRDefault="00924F59" w:rsidP="00924F59">
      <w:pPr>
        <w:pStyle w:val="TextoNormalSangraFrancesa"/>
        <w:rPr>
          <w:rStyle w:val="TextoNormalCaracter"/>
        </w:rPr>
      </w:pPr>
      <w:bookmarkStart w:id="1340" w:name="DESCRIPTORALFABETICO776"/>
      <w:r w:rsidRPr="00924F59">
        <w:rPr>
          <w:rStyle w:val="TextoNormalNegritaCaracter"/>
        </w:rPr>
        <w:t>Contrato temporal</w:t>
      </w:r>
      <w:bookmarkEnd w:id="1340"/>
      <w:r w:rsidRPr="00924F59">
        <w:rPr>
          <w:rStyle w:val="TextoNormalCaracter"/>
        </w:rPr>
        <w:t xml:space="preserve">, Sentencia </w:t>
      </w:r>
      <w:hyperlink w:anchor="SENTENCIA_2016_71" w:history="1">
        <w:r w:rsidRPr="00924F59">
          <w:rPr>
            <w:rStyle w:val="TextoNormalCaracter"/>
          </w:rPr>
          <w:t>71/2016</w:t>
        </w:r>
      </w:hyperlink>
      <w:r w:rsidRPr="00924F59">
        <w:rPr>
          <w:rStyle w:val="TextoNormalCaracter"/>
        </w:rPr>
        <w:t>, ff. 1 a 5.</w:t>
      </w:r>
    </w:p>
    <w:p w:rsidR="00924F59" w:rsidRPr="00924F59" w:rsidRDefault="00924F59" w:rsidP="00924F59">
      <w:pPr>
        <w:pStyle w:val="TextoNormalSangraFrancesa"/>
        <w:rPr>
          <w:rStyle w:val="TextoNormalCaracter"/>
        </w:rPr>
      </w:pPr>
      <w:bookmarkStart w:id="1341" w:name="DESCRIPTORALFABETICO479"/>
      <w:r w:rsidRPr="00924F59">
        <w:rPr>
          <w:rStyle w:val="TextoNormalNegritaCaracter"/>
        </w:rPr>
        <w:t>Contratos administrativos</w:t>
      </w:r>
      <w:bookmarkEnd w:id="1341"/>
      <w:r w:rsidRPr="00924F59">
        <w:rPr>
          <w:rStyle w:val="TextoNormalCaracter"/>
        </w:rPr>
        <w:t xml:space="preserve">, Auto </w:t>
      </w:r>
      <w:hyperlink w:anchor="AUTO_2016_84" w:history="1">
        <w:r w:rsidRPr="00924F59">
          <w:rPr>
            <w:rStyle w:val="TextoNormalCaracter"/>
          </w:rPr>
          <w:t>84/2016</w:t>
        </w:r>
      </w:hyperlink>
      <w:r w:rsidRPr="00924F59">
        <w:rPr>
          <w:rStyle w:val="TextoNormalCaracter"/>
        </w:rPr>
        <w:t>, ff. 2, 4 a 6.</w:t>
      </w:r>
    </w:p>
    <w:p w:rsidR="00924F59" w:rsidRPr="00924F59" w:rsidRDefault="00924F59" w:rsidP="00924F59">
      <w:pPr>
        <w:pStyle w:val="TextoNormalSangraFrancesa"/>
        <w:rPr>
          <w:rStyle w:val="TextoNormalCaracter"/>
        </w:rPr>
      </w:pPr>
      <w:bookmarkStart w:id="1342" w:name="DESCRIPTORALFABETICO477"/>
      <w:r w:rsidRPr="00924F59">
        <w:rPr>
          <w:rStyle w:val="TextoNormalNegritaCaracter"/>
        </w:rPr>
        <w:t>Contratos del sector público</w:t>
      </w:r>
      <w:bookmarkEnd w:id="1342"/>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 11.</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101" w:history="1">
        <w:r w:rsidRPr="00924F59">
          <w:rPr>
            <w:rStyle w:val="TextoNormalCaracter"/>
          </w:rPr>
          <w:t>101/2016</w:t>
        </w:r>
      </w:hyperlink>
      <w:r w:rsidRPr="00924F59">
        <w:rPr>
          <w:rStyle w:val="TextoNormalCaracter"/>
        </w:rPr>
        <w:t xml:space="preserve">, ff. 2 a 4; </w:t>
      </w:r>
      <w:hyperlink w:anchor="AUTO_2016_102" w:history="1">
        <w:r w:rsidRPr="00924F59">
          <w:rPr>
            <w:rStyle w:val="TextoNormalCaracter"/>
          </w:rPr>
          <w:t>102/2016</w:t>
        </w:r>
      </w:hyperlink>
      <w:r w:rsidRPr="00924F59">
        <w:rPr>
          <w:rStyle w:val="TextoNormalCaracter"/>
        </w:rPr>
        <w:t xml:space="preserve">, ff. 2 a 4; </w:t>
      </w:r>
      <w:hyperlink w:anchor="AUTO_2016_103" w:history="1">
        <w:r w:rsidRPr="00924F59">
          <w:rPr>
            <w:rStyle w:val="TextoNormalCaracter"/>
          </w:rPr>
          <w:t>103/2016</w:t>
        </w:r>
      </w:hyperlink>
      <w:r w:rsidRPr="00924F59">
        <w:rPr>
          <w:rStyle w:val="TextoNormalCaracter"/>
        </w:rPr>
        <w:t xml:space="preserve">, ff. 2, 4 a 6; </w:t>
      </w:r>
      <w:hyperlink w:anchor="AUTO_2016_113" w:history="1">
        <w:r w:rsidRPr="00924F59">
          <w:rPr>
            <w:rStyle w:val="TextoNormalCaracter"/>
          </w:rPr>
          <w:t>113/2016</w:t>
        </w:r>
      </w:hyperlink>
      <w:r w:rsidRPr="00924F59">
        <w:rPr>
          <w:rStyle w:val="TextoNormalCaracter"/>
        </w:rPr>
        <w:t>, f. 2.</w:t>
      </w:r>
    </w:p>
    <w:p w:rsidR="00924F59" w:rsidRPr="00924F59" w:rsidRDefault="00924F59" w:rsidP="00924F59">
      <w:pPr>
        <w:pStyle w:val="TextoNormalSangraFrancesa"/>
        <w:rPr>
          <w:rStyle w:val="TextoNormalCaracter"/>
        </w:rPr>
      </w:pPr>
      <w:bookmarkStart w:id="1343" w:name="DESCRIPTORALFABETICO230"/>
      <w:r w:rsidRPr="00924F59">
        <w:rPr>
          <w:rStyle w:val="TextoNormalNegritaCaracter"/>
        </w:rPr>
        <w:t>Control abstracto de constitucionalidad</w:t>
      </w:r>
      <w:bookmarkEnd w:id="1343"/>
      <w:r w:rsidRPr="00924F59">
        <w:rPr>
          <w:rStyle w:val="TextoNormalCaracter"/>
        </w:rPr>
        <w:t xml:space="preserve">, Sentencia </w:t>
      </w:r>
      <w:hyperlink w:anchor="SENTENCIA_2016_17" w:history="1">
        <w:r w:rsidRPr="00924F59">
          <w:rPr>
            <w:rStyle w:val="TextoNormalCaracter"/>
          </w:rPr>
          <w:t>17/2016</w:t>
        </w:r>
      </w:hyperlink>
      <w:r w:rsidRPr="00924F59">
        <w:rPr>
          <w:rStyle w:val="TextoNormalCaracter"/>
        </w:rPr>
        <w:t>, f. 4.</w:t>
      </w:r>
    </w:p>
    <w:p w:rsidR="00924F59" w:rsidRPr="00924F59" w:rsidRDefault="00924F59" w:rsidP="00924F59">
      <w:pPr>
        <w:pStyle w:val="TextoNormalSangraFrancesa"/>
        <w:rPr>
          <w:rStyle w:val="TextoNormalCaracter"/>
        </w:rPr>
      </w:pPr>
      <w:bookmarkStart w:id="1344" w:name="DESCRIPTORALFABETICO366"/>
      <w:r w:rsidRPr="00924F59">
        <w:rPr>
          <w:rStyle w:val="TextoNormalNegritaCaracter"/>
        </w:rPr>
        <w:t>Control administrativo</w:t>
      </w:r>
      <w:bookmarkEnd w:id="1344"/>
      <w:r w:rsidRPr="00924F59">
        <w:rPr>
          <w:rStyle w:val="TextoNormalCaracter"/>
        </w:rPr>
        <w:t xml:space="preserve">, Sentencia </w:t>
      </w:r>
      <w:hyperlink w:anchor="SENTENCIA_2016_17" w:history="1">
        <w:r w:rsidRPr="00924F59">
          <w:rPr>
            <w:rStyle w:val="TextoNormalCaracter"/>
          </w:rPr>
          <w:t>17/2016</w:t>
        </w:r>
      </w:hyperlink>
      <w:r w:rsidRPr="00924F59">
        <w:rPr>
          <w:rStyle w:val="TextoNormalCaracter"/>
        </w:rPr>
        <w:t>, f. 5.</w:t>
      </w:r>
    </w:p>
    <w:p w:rsidR="00924F59" w:rsidRPr="00924F59" w:rsidRDefault="00924F59" w:rsidP="00924F59">
      <w:pPr>
        <w:pStyle w:val="TextoNormalSangraFrancesa"/>
        <w:rPr>
          <w:rStyle w:val="TextoNormalCaracter"/>
        </w:rPr>
      </w:pPr>
      <w:bookmarkStart w:id="1345" w:name="DESCRIPTORALFABETICO231"/>
      <w:r w:rsidRPr="00924F59">
        <w:rPr>
          <w:rStyle w:val="TextoNormalNegritaCaracter"/>
        </w:rPr>
        <w:t>Control de constitucionalidad de los decretos-leyes</w:t>
      </w:r>
      <w:bookmarkEnd w:id="1345"/>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ff. 2 a 5; </w:t>
      </w:r>
      <w:hyperlink w:anchor="SENTENCIA_2016_70" w:history="1">
        <w:r w:rsidRPr="00924F59">
          <w:rPr>
            <w:rStyle w:val="TextoNormalCaracter"/>
          </w:rPr>
          <w:t>70/2016</w:t>
        </w:r>
      </w:hyperlink>
      <w:r w:rsidRPr="00924F59">
        <w:rPr>
          <w:rStyle w:val="TextoNormalCaracter"/>
        </w:rPr>
        <w:t xml:space="preserve">, ff. 3 a 8; </w:t>
      </w:r>
      <w:hyperlink w:anchor="SENTENCIA_2016_119" w:history="1">
        <w:r w:rsidRPr="00924F59">
          <w:rPr>
            <w:rStyle w:val="TextoNormalCaracter"/>
          </w:rPr>
          <w:t>119/2016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346" w:name="DESCRIPTORALFABETICO232"/>
      <w:r w:rsidRPr="00924F59">
        <w:rPr>
          <w:rStyle w:val="TextoNormalNegritaCaracter"/>
        </w:rPr>
        <w:t>Control de constitucionalidad de los reglamentos</w:t>
      </w:r>
      <w:bookmarkEnd w:id="1346"/>
      <w:r w:rsidRPr="00924F59">
        <w:rPr>
          <w:rStyle w:val="TextoNormalCaracter"/>
        </w:rPr>
        <w:t xml:space="preserve">, Sentencia </w:t>
      </w:r>
      <w:hyperlink w:anchor="SENTENCIA_2016_121" w:history="1">
        <w:r w:rsidRPr="00924F59">
          <w:rPr>
            <w:rStyle w:val="TextoNormalCaracter"/>
          </w:rPr>
          <w:t>121/2016</w:t>
        </w:r>
      </w:hyperlink>
      <w:r w:rsidRPr="00924F59">
        <w:rPr>
          <w:rStyle w:val="TextoNormalCaracter"/>
        </w:rPr>
        <w:t>, f. 6.</w:t>
      </w:r>
    </w:p>
    <w:p w:rsidR="00924F59" w:rsidRPr="00924F59" w:rsidRDefault="00924F59" w:rsidP="00924F59">
      <w:pPr>
        <w:pStyle w:val="TextoNormalSangraFrancesa"/>
        <w:rPr>
          <w:rStyle w:val="TextoNormalCaracter"/>
        </w:rPr>
      </w:pPr>
      <w:bookmarkStart w:id="1347" w:name="DESCRIPTORALFABETICO454"/>
      <w:r w:rsidRPr="00924F59">
        <w:rPr>
          <w:rStyle w:val="TextoNormalNegritaCaracter"/>
        </w:rPr>
        <w:t>Controles de las Comunidades Autónomas sobre los entes locales</w:t>
      </w:r>
      <w:bookmarkEnd w:id="1347"/>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11 b).</w:t>
      </w:r>
    </w:p>
    <w:p w:rsidR="00924F59" w:rsidRPr="00924F59" w:rsidRDefault="00924F59" w:rsidP="00924F59">
      <w:pPr>
        <w:pStyle w:val="TextoNormalSangraFrancesa"/>
        <w:rPr>
          <w:rStyle w:val="TextoNormalCaracter"/>
        </w:rPr>
      </w:pPr>
      <w:bookmarkStart w:id="1348" w:name="DESCRIPTORALFABETICO450"/>
      <w:r w:rsidRPr="00924F59">
        <w:rPr>
          <w:rStyle w:val="TextoNormalNegritaCaracter"/>
        </w:rPr>
        <w:t>Controles del Estado sobre las Comunidades Autónomas</w:t>
      </w:r>
      <w:bookmarkEnd w:id="1348"/>
      <w:r w:rsidRPr="00924F59">
        <w:rPr>
          <w:rStyle w:val="TextoNormalCaracter"/>
        </w:rPr>
        <w:t xml:space="preserve">, Sentencia </w:t>
      </w:r>
      <w:hyperlink w:anchor="SENTENCIA_2016_85" w:history="1">
        <w:r w:rsidRPr="00924F59">
          <w:rPr>
            <w:rStyle w:val="TextoNormalCaracter"/>
          </w:rPr>
          <w:t>85/2016</w:t>
        </w:r>
      </w:hyperlink>
      <w:r w:rsidRPr="00924F59">
        <w:rPr>
          <w:rStyle w:val="TextoNormalCaracter"/>
        </w:rPr>
        <w:t>, f. 5.</w:t>
      </w:r>
    </w:p>
    <w:p w:rsidR="00924F59" w:rsidRPr="00924F59" w:rsidRDefault="00924F59" w:rsidP="00924F59">
      <w:pPr>
        <w:pStyle w:val="TextoNormalSangraFrancesa"/>
        <w:rPr>
          <w:rStyle w:val="TextoNormalCaracter"/>
        </w:rPr>
      </w:pPr>
      <w:bookmarkStart w:id="1349" w:name="DESCRIPTORALFABETICO263"/>
      <w:r w:rsidRPr="00924F59">
        <w:rPr>
          <w:rStyle w:val="TextoNormalNegritaCaracter"/>
        </w:rPr>
        <w:t>Controversias de contenido competencial</w:t>
      </w:r>
      <w:bookmarkEnd w:id="1349"/>
      <w:r w:rsidRPr="00924F59">
        <w:rPr>
          <w:rStyle w:val="TextoNormalCaracter"/>
        </w:rPr>
        <w:t xml:space="preserve">, Sentencias </w:t>
      </w:r>
      <w:hyperlink w:anchor="SENTENCIA_2016_17" w:history="1">
        <w:r w:rsidRPr="00924F59">
          <w:rPr>
            <w:rStyle w:val="TextoNormalCaracter"/>
          </w:rPr>
          <w:t>17/2016</w:t>
        </w:r>
      </w:hyperlink>
      <w:r w:rsidRPr="00924F59">
        <w:rPr>
          <w:rStyle w:val="TextoNormalCaracter"/>
        </w:rPr>
        <w:t xml:space="preserve">, f. 3; </w:t>
      </w:r>
      <w:hyperlink w:anchor="SENTENCIA_2016_18" w:history="1">
        <w:r w:rsidRPr="00924F59">
          <w:rPr>
            <w:rStyle w:val="TextoNormalCaracter"/>
          </w:rPr>
          <w:t>18/2016</w:t>
        </w:r>
      </w:hyperlink>
      <w:r w:rsidRPr="00924F59">
        <w:rPr>
          <w:rStyle w:val="TextoNormalCaracter"/>
        </w:rPr>
        <w:t>, ff. 2, 6 a 10.</w:t>
      </w:r>
    </w:p>
    <w:p w:rsidR="00924F59" w:rsidRPr="00924F59" w:rsidRDefault="00924F59" w:rsidP="00924F59">
      <w:pPr>
        <w:pStyle w:val="TextoNormalSangraFrancesa"/>
        <w:rPr>
          <w:rStyle w:val="TextoNormalCaracter"/>
        </w:rPr>
      </w:pPr>
      <w:bookmarkStart w:id="1350" w:name="DESCRIPTORALFABETICO112"/>
      <w:r w:rsidRPr="00924F59">
        <w:rPr>
          <w:rStyle w:val="TextoNormalNegritaCaracter"/>
        </w:rPr>
        <w:t>Convenio económico entre el Estado y la Comunidad Foral de Navarra</w:t>
      </w:r>
      <w:bookmarkEnd w:id="1350"/>
      <w:r w:rsidRPr="00924F59">
        <w:rPr>
          <w:rStyle w:val="TextoNormalCaracter"/>
        </w:rPr>
        <w:t xml:space="preserve">, Sentencia </w:t>
      </w:r>
      <w:hyperlink w:anchor="SENTENCIA_2016_36" w:history="1">
        <w:r w:rsidRPr="00924F59">
          <w:rPr>
            <w:rStyle w:val="TextoNormalCaracter"/>
          </w:rPr>
          <w:t>36/2016</w:t>
        </w:r>
      </w:hyperlink>
      <w:r w:rsidRPr="00924F59">
        <w:rPr>
          <w:rStyle w:val="TextoNormalCaracter"/>
        </w:rPr>
        <w:t>, f. 3.</w:t>
      </w:r>
    </w:p>
    <w:p w:rsidR="00924F59" w:rsidRPr="00924F59" w:rsidRDefault="00924F59" w:rsidP="00924F59">
      <w:pPr>
        <w:pStyle w:val="TextoNormalSangraFrancesa"/>
        <w:rPr>
          <w:rStyle w:val="TextoNormalCaracter"/>
        </w:rPr>
      </w:pPr>
      <w:bookmarkStart w:id="1351" w:name="DESCRIPTORALFABETICO372"/>
      <w:r w:rsidRPr="00924F59">
        <w:rPr>
          <w:rStyle w:val="TextoNormalNegritaCaracter"/>
        </w:rPr>
        <w:t>Convenios de cooperación interadministrativa</w:t>
      </w:r>
      <w:bookmarkEnd w:id="1351"/>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ff. 8 b), 11 c).</w:t>
      </w:r>
    </w:p>
    <w:p w:rsidR="00924F59" w:rsidRPr="00924F59" w:rsidRDefault="00924F59" w:rsidP="00924F59">
      <w:pPr>
        <w:pStyle w:val="TextoNormalSangraFrancesa"/>
        <w:rPr>
          <w:rStyle w:val="TextoNormalCaracter"/>
        </w:rPr>
      </w:pPr>
      <w:bookmarkStart w:id="1352" w:name="DESCRIPTORALFABETICO440"/>
      <w:r w:rsidRPr="00924F59">
        <w:rPr>
          <w:rStyle w:val="TextoNormalNegritaCaracter"/>
        </w:rPr>
        <w:t>Cooficialidad lingüística</w:t>
      </w:r>
      <w:bookmarkEnd w:id="1352"/>
      <w:r w:rsidRPr="00924F59">
        <w:rPr>
          <w:rStyle w:val="TextoNormalCaracter"/>
        </w:rPr>
        <w:t xml:space="preserve">, Sentencia </w:t>
      </w:r>
      <w:hyperlink w:anchor="SENTENCIA_2016_56" w:history="1">
        <w:r w:rsidRPr="00924F59">
          <w:rPr>
            <w:rStyle w:val="TextoNormalCaracter"/>
          </w:rPr>
          <w:t>56/2016</w:t>
        </w:r>
      </w:hyperlink>
      <w:r w:rsidRPr="00924F59">
        <w:rPr>
          <w:rStyle w:val="TextoNormalCaracter"/>
        </w:rPr>
        <w:t>, f. 2.</w:t>
      </w:r>
    </w:p>
    <w:p w:rsidR="00924F59" w:rsidRPr="00924F59" w:rsidRDefault="00924F59" w:rsidP="00924F59">
      <w:pPr>
        <w:pStyle w:val="TextoNormalSangraFrancesa"/>
        <w:rPr>
          <w:rStyle w:val="TextoNormalCaracter"/>
        </w:rPr>
      </w:pPr>
      <w:bookmarkStart w:id="1353" w:name="DESCRIPTORALFABETICO374"/>
      <w:r w:rsidRPr="00924F59">
        <w:rPr>
          <w:rStyle w:val="TextoNormalNegritaCaracter"/>
        </w:rPr>
        <w:t>Coordinación entre el Estado y las Comunidades Autónomas</w:t>
      </w:r>
      <w:bookmarkEnd w:id="1353"/>
      <w:r w:rsidRPr="00924F59">
        <w:rPr>
          <w:rStyle w:val="TextoNormalCaracter"/>
        </w:rPr>
        <w:t xml:space="preserve">, Sentencias </w:t>
      </w:r>
      <w:hyperlink w:anchor="SENTENCIA_2016_57" w:history="1">
        <w:r w:rsidRPr="00924F59">
          <w:rPr>
            <w:rStyle w:val="TextoNormalCaracter"/>
          </w:rPr>
          <w:t>57/2016</w:t>
        </w:r>
      </w:hyperlink>
      <w:r w:rsidRPr="00924F59">
        <w:rPr>
          <w:rStyle w:val="TextoNormalCaracter"/>
        </w:rPr>
        <w:t xml:space="preserve">, ff. 2, 10; </w:t>
      </w:r>
      <w:hyperlink w:anchor="SENTENCIA_2016_85" w:history="1">
        <w:r w:rsidRPr="00924F59">
          <w:rPr>
            <w:rStyle w:val="TextoNormalCaracter"/>
          </w:rPr>
          <w:t>85/2016</w:t>
        </w:r>
      </w:hyperlink>
      <w:r w:rsidRPr="00924F59">
        <w:rPr>
          <w:rStyle w:val="TextoNormalCaracter"/>
        </w:rPr>
        <w:t>, ff. 3 a 8, VP.</w:t>
      </w:r>
    </w:p>
    <w:p w:rsidR="00924F59" w:rsidRPr="00924F59" w:rsidRDefault="00924F59" w:rsidP="00924F59">
      <w:pPr>
        <w:pStyle w:val="TextoNormalSangraFrancesa"/>
        <w:rPr>
          <w:rStyle w:val="TextoNormalCaracter"/>
        </w:rPr>
      </w:pPr>
      <w:bookmarkStart w:id="1354" w:name="DESCRIPTORALFABETICO375"/>
      <w:r w:rsidRPr="00924F59">
        <w:rPr>
          <w:rStyle w:val="TextoNormalNegritaCaracter"/>
        </w:rPr>
        <w:t>Coordinación presupuestaria entre el Estado y las Comunidades Autónomas</w:t>
      </w:r>
      <w:bookmarkEnd w:id="1354"/>
      <w:r w:rsidRPr="00924F59">
        <w:rPr>
          <w:rStyle w:val="TextoNormalCaracter"/>
        </w:rPr>
        <w:t xml:space="preserve">, Sentencia </w:t>
      </w:r>
      <w:hyperlink w:anchor="SENTENCIA_2016_101" w:history="1">
        <w:r w:rsidRPr="00924F59">
          <w:rPr>
            <w:rStyle w:val="TextoNormalCaracter"/>
          </w:rPr>
          <w:t>101/2016</w:t>
        </w:r>
      </w:hyperlink>
      <w:r w:rsidRPr="00924F59">
        <w:rPr>
          <w:rStyle w:val="TextoNormalCaracter"/>
        </w:rPr>
        <w:t>, ff. 2, 4, 9, VP II, VP III.</w:t>
      </w:r>
    </w:p>
    <w:p w:rsidR="00924F59" w:rsidRPr="00924F59" w:rsidRDefault="00924F59" w:rsidP="00924F59">
      <w:pPr>
        <w:pStyle w:val="TextoNormalSangraFrancesa"/>
        <w:rPr>
          <w:rStyle w:val="TextoNormalCaracter"/>
        </w:rPr>
      </w:pPr>
      <w:bookmarkStart w:id="1355" w:name="DESCRIPTORALFABETICO809"/>
      <w:r w:rsidRPr="00924F59">
        <w:rPr>
          <w:rStyle w:val="TextoNormalNegritaCaracter"/>
        </w:rPr>
        <w:t>Cosa juzgada material</w:t>
      </w:r>
      <w:bookmarkEnd w:id="1355"/>
      <w:r w:rsidRPr="00924F59">
        <w:rPr>
          <w:rStyle w:val="TextoNormalCaracter"/>
        </w:rPr>
        <w:t xml:space="preserve">, Sentencia </w:t>
      </w:r>
      <w:hyperlink w:anchor="SENTENCIA_2016_15" w:history="1">
        <w:r w:rsidRPr="00924F59">
          <w:rPr>
            <w:rStyle w:val="TextoNormalCaracter"/>
          </w:rPr>
          <w:t>15/2016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356" w:name="DESCRIPTORALFABETICO542"/>
      <w:r w:rsidRPr="00924F59">
        <w:rPr>
          <w:rStyle w:val="TextoNormalNegritaCaracter"/>
        </w:rPr>
        <w:t>Costas</w:t>
      </w:r>
      <w:bookmarkEnd w:id="1356"/>
      <w:r w:rsidRPr="00924F59">
        <w:rPr>
          <w:rStyle w:val="TextoNormalCaracter"/>
        </w:rPr>
        <w:t xml:space="preserve">, Sentencias </w:t>
      </w:r>
      <w:hyperlink w:anchor="SENTENCIA_2016_6" w:history="1">
        <w:r w:rsidRPr="00924F59">
          <w:rPr>
            <w:rStyle w:val="TextoNormalCaracter"/>
          </w:rPr>
          <w:t>6/2016</w:t>
        </w:r>
      </w:hyperlink>
      <w:r w:rsidRPr="00924F59">
        <w:rPr>
          <w:rStyle w:val="TextoNormalCaracter"/>
        </w:rPr>
        <w:t xml:space="preserve">, f. 1; </w:t>
      </w:r>
      <w:hyperlink w:anchor="SENTENCIA_2016_28" w:history="1">
        <w:r w:rsidRPr="00924F59">
          <w:rPr>
            <w:rStyle w:val="TextoNormalCaracter"/>
          </w:rPr>
          <w:t>28/2016</w:t>
        </w:r>
      </w:hyperlink>
      <w:r w:rsidRPr="00924F59">
        <w:rPr>
          <w:rStyle w:val="TextoNormalCaracter"/>
        </w:rPr>
        <w:t xml:space="preserve">, f. 1; </w:t>
      </w:r>
      <w:hyperlink w:anchor="SENTENCIA_2016_100" w:history="1">
        <w:r w:rsidRPr="00924F59">
          <w:rPr>
            <w:rStyle w:val="TextoNormalCaracter"/>
          </w:rPr>
          <w:t>100/2016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357" w:name="DESCRIPTORALFABETICO463"/>
      <w:r w:rsidRPr="00924F59">
        <w:rPr>
          <w:rStyle w:val="TextoNormalNegritaCaracter"/>
        </w:rPr>
        <w:t>Creación, supresión y alteración de términos municipales</w:t>
      </w:r>
      <w:bookmarkEnd w:id="1357"/>
      <w:r w:rsidRPr="00924F59">
        <w:rPr>
          <w:rStyle w:val="TextoNormalCaracter"/>
        </w:rPr>
        <w:t xml:space="preserve">, Sentencias </w:t>
      </w:r>
      <w:hyperlink w:anchor="SENTENCIA_2016_41" w:history="1">
        <w:r w:rsidRPr="00924F59">
          <w:rPr>
            <w:rStyle w:val="TextoNormalCaracter"/>
          </w:rPr>
          <w:t>41/2016</w:t>
        </w:r>
      </w:hyperlink>
      <w:r w:rsidRPr="00924F59">
        <w:rPr>
          <w:rStyle w:val="TextoNormalCaracter"/>
        </w:rPr>
        <w:t xml:space="preserve">, ff. 6 a), 6 b); </w:t>
      </w:r>
      <w:hyperlink w:anchor="SENTENCIA_2016_102" w:history="1">
        <w:r w:rsidRPr="00924F59">
          <w:rPr>
            <w:rStyle w:val="TextoNormalCaracter"/>
          </w:rPr>
          <w:t>102/2016</w:t>
        </w:r>
      </w:hyperlink>
      <w:r w:rsidRPr="00924F59">
        <w:rPr>
          <w:rStyle w:val="TextoNormalCaracter"/>
        </w:rPr>
        <w:t>, ff. 1, 3.</w:t>
      </w:r>
    </w:p>
    <w:p w:rsidR="00924F59" w:rsidRPr="00924F59" w:rsidRDefault="00924F59" w:rsidP="00924F59">
      <w:pPr>
        <w:pStyle w:val="TextoNormalSangraFrancesa"/>
        <w:rPr>
          <w:rStyle w:val="TextoNormalCaracter"/>
        </w:rPr>
      </w:pPr>
      <w:bookmarkStart w:id="1358" w:name="DESCRIPTORALFABETICO780"/>
      <w:r w:rsidRPr="00924F59">
        <w:rPr>
          <w:rStyle w:val="TextoNormalNegritaCaracter"/>
        </w:rPr>
        <w:t>Crédito horario</w:t>
      </w:r>
      <w:bookmarkEnd w:id="1358"/>
      <w:r w:rsidRPr="00924F59">
        <w:rPr>
          <w:rStyle w:val="TextoNormalCaracter"/>
        </w:rPr>
        <w:t xml:space="preserve">, Sentencia </w:t>
      </w:r>
      <w:hyperlink w:anchor="SENTENCIA_2016_64" w:history="1">
        <w:r w:rsidRPr="00924F59">
          <w:rPr>
            <w:rStyle w:val="TextoNormalCaracter"/>
          </w:rPr>
          <w:t>64/2016</w:t>
        </w:r>
      </w:hyperlink>
      <w:r w:rsidRPr="00924F59">
        <w:rPr>
          <w:rStyle w:val="TextoNormalCaracter"/>
        </w:rPr>
        <w:t>, f. 5, VP.</w:t>
      </w:r>
    </w:p>
    <w:p w:rsidR="00924F59" w:rsidRPr="00924F59" w:rsidRDefault="00924F59" w:rsidP="00924F59">
      <w:pPr>
        <w:pStyle w:val="TextoNormalSangraFrancesa"/>
        <w:rPr>
          <w:rStyle w:val="TextoNormalCaracter"/>
        </w:rPr>
      </w:pPr>
      <w:bookmarkStart w:id="1359" w:name="DESCRIPTORALFABETICO517"/>
      <w:r w:rsidRPr="00924F59">
        <w:rPr>
          <w:rStyle w:val="TextoNormalNegritaCaracter"/>
        </w:rPr>
        <w:t>Créditos hipotecarios</w:t>
      </w:r>
      <w:bookmarkEnd w:id="1359"/>
      <w:r w:rsidRPr="00924F59">
        <w:rPr>
          <w:rStyle w:val="TextoNormalCaracter"/>
        </w:rPr>
        <w:t xml:space="preserve">, Autos </w:t>
      </w:r>
      <w:hyperlink w:anchor="AUTO_2016_72" w:history="1">
        <w:r w:rsidRPr="00924F59">
          <w:rPr>
            <w:rStyle w:val="TextoNormalCaracter"/>
          </w:rPr>
          <w:t>72/2016</w:t>
        </w:r>
      </w:hyperlink>
      <w:r w:rsidRPr="00924F59">
        <w:rPr>
          <w:rStyle w:val="TextoNormalCaracter"/>
        </w:rPr>
        <w:t xml:space="preserve">, f. 4; </w:t>
      </w:r>
      <w:hyperlink w:anchor="AUTO_2016_109" w:history="1">
        <w:r w:rsidRPr="00924F59">
          <w:rPr>
            <w:rStyle w:val="TextoNormalCaracter"/>
          </w:rPr>
          <w:t>109/2016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360" w:name="DESCRIPTORALFABETICO141"/>
      <w:r w:rsidRPr="00924F59">
        <w:rPr>
          <w:rStyle w:val="TextoNormalNegritaCaracter"/>
        </w:rPr>
        <w:t>Criterio igualatorio</w:t>
      </w:r>
      <w:bookmarkEnd w:id="1360"/>
      <w:r w:rsidRPr="00924F59">
        <w:rPr>
          <w:rStyle w:val="TextoNormalCaracter"/>
        </w:rPr>
        <w:t xml:space="preserve">, Sentencia </w:t>
      </w:r>
      <w:hyperlink w:anchor="SENTENCIA_2016_71" w:history="1">
        <w:r w:rsidRPr="00924F59">
          <w:rPr>
            <w:rStyle w:val="TextoNormalCaracter"/>
          </w:rPr>
          <w:t>71/2016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361" w:name="DESCRIPTORALFABETICO26"/>
      <w:r w:rsidRPr="00924F59">
        <w:rPr>
          <w:rStyle w:val="TextoNormalNegritaCaracter"/>
        </w:rPr>
        <w:t>Criterio territorial de distribución de competencias</w:t>
      </w:r>
      <w:bookmarkEnd w:id="1361"/>
      <w:r w:rsidRPr="00924F59">
        <w:rPr>
          <w:rStyle w:val="TextoNormalCaracter"/>
        </w:rPr>
        <w:t xml:space="preserve">, Sentencias </w:t>
      </w:r>
      <w:hyperlink w:anchor="SENTENCIA_2016_32" w:history="1">
        <w:r w:rsidRPr="00924F59">
          <w:rPr>
            <w:rStyle w:val="TextoNormalCaracter"/>
          </w:rPr>
          <w:t>32/2016</w:t>
        </w:r>
      </w:hyperlink>
      <w:r w:rsidRPr="00924F59">
        <w:rPr>
          <w:rStyle w:val="TextoNormalCaracter"/>
        </w:rPr>
        <w:t xml:space="preserve">, f. 5; </w:t>
      </w:r>
      <w:hyperlink w:anchor="SENTENCIA_2016_124" w:history="1">
        <w:r w:rsidRPr="00924F59">
          <w:rPr>
            <w:rStyle w:val="TextoNormalCaracter"/>
          </w:rPr>
          <w:t>124/2016</w:t>
        </w:r>
      </w:hyperlink>
      <w:r w:rsidRPr="00924F59">
        <w:rPr>
          <w:rStyle w:val="TextoNormalCaracter"/>
        </w:rPr>
        <w:t>, ff. 3, 6.</w:t>
      </w:r>
    </w:p>
    <w:p w:rsidR="00924F59" w:rsidRPr="00924F59" w:rsidRDefault="00924F59" w:rsidP="00924F59">
      <w:pPr>
        <w:pStyle w:val="TextoNormalSangraFrancesa"/>
        <w:rPr>
          <w:rStyle w:val="TextoNormalCaracter"/>
        </w:rPr>
      </w:pPr>
      <w:bookmarkStart w:id="1362" w:name="DESCRIPTORALFABETICO194"/>
      <w:r w:rsidRPr="00924F59">
        <w:rPr>
          <w:rStyle w:val="TextoNormalNegritaCaracter"/>
        </w:rPr>
        <w:t>Criterios de apreciación de dilaciones indebidas</w:t>
      </w:r>
      <w:bookmarkEnd w:id="1362"/>
      <w:r w:rsidRPr="00924F59">
        <w:rPr>
          <w:rStyle w:val="TextoNormalCaracter"/>
        </w:rPr>
        <w:t xml:space="preserve">, Sentencias </w:t>
      </w:r>
      <w:hyperlink w:anchor="SENTENCIA_2016_63" w:history="1">
        <w:r w:rsidRPr="00924F59">
          <w:rPr>
            <w:rStyle w:val="TextoNormalCaracter"/>
          </w:rPr>
          <w:t>63/2016</w:t>
        </w:r>
      </w:hyperlink>
      <w:r w:rsidRPr="00924F59">
        <w:rPr>
          <w:rStyle w:val="TextoNormalCaracter"/>
        </w:rPr>
        <w:t xml:space="preserve">, ff. 4 a 6; </w:t>
      </w:r>
      <w:hyperlink w:anchor="SENTENCIA_2016_75" w:history="1">
        <w:r w:rsidRPr="00924F59">
          <w:rPr>
            <w:rStyle w:val="TextoNormalCaracter"/>
          </w:rPr>
          <w:t>75/2016</w:t>
        </w:r>
      </w:hyperlink>
      <w:r w:rsidRPr="00924F59">
        <w:rPr>
          <w:rStyle w:val="TextoNormalCaracter"/>
        </w:rPr>
        <w:t xml:space="preserve">, ff. 4 a 6; </w:t>
      </w:r>
      <w:hyperlink w:anchor="SENTENCIA_2016_76" w:history="1">
        <w:r w:rsidRPr="00924F59">
          <w:rPr>
            <w:rStyle w:val="TextoNormalCaracter"/>
          </w:rPr>
          <w:t>76/2016</w:t>
        </w:r>
      </w:hyperlink>
      <w:r w:rsidRPr="00924F59">
        <w:rPr>
          <w:rStyle w:val="TextoNormalCaracter"/>
        </w:rPr>
        <w:t xml:space="preserve">, f. 4; </w:t>
      </w:r>
      <w:hyperlink w:anchor="SENTENCIA_2016_77" w:history="1">
        <w:r w:rsidRPr="00924F59">
          <w:rPr>
            <w:rStyle w:val="TextoNormalCaracter"/>
          </w:rPr>
          <w:t>77/2016</w:t>
        </w:r>
      </w:hyperlink>
      <w:r w:rsidRPr="00924F59">
        <w:rPr>
          <w:rStyle w:val="TextoNormalCaracter"/>
        </w:rPr>
        <w:t xml:space="preserve">, ff. 4 a 6; </w:t>
      </w:r>
      <w:hyperlink w:anchor="SENTENCIA_2016_89" w:history="1">
        <w:r w:rsidRPr="00924F59">
          <w:rPr>
            <w:rStyle w:val="TextoNormalCaracter"/>
          </w:rPr>
          <w:t>89/2016</w:t>
        </w:r>
      </w:hyperlink>
      <w:r w:rsidRPr="00924F59">
        <w:rPr>
          <w:rStyle w:val="TextoNormalCaracter"/>
        </w:rPr>
        <w:t xml:space="preserve">, ff. 5, 6; </w:t>
      </w:r>
      <w:hyperlink w:anchor="SENTENCIA_2016_103" w:history="1">
        <w:r w:rsidRPr="00924F59">
          <w:rPr>
            <w:rStyle w:val="TextoNormalCaracter"/>
          </w:rPr>
          <w:t>103/2016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363" w:name="DESCRIPTORALFABETICO760"/>
      <w:r w:rsidRPr="00924F59">
        <w:rPr>
          <w:rStyle w:val="TextoNormalNegritaCaracter"/>
        </w:rPr>
        <w:t>Criterios de diferenciación en la concesión del subsidio de desempleo</w:t>
      </w:r>
      <w:bookmarkEnd w:id="1363"/>
      <w:r w:rsidRPr="00924F59">
        <w:rPr>
          <w:rStyle w:val="TextoNormalCaracter"/>
        </w:rPr>
        <w:t xml:space="preserve">, Sentencia </w:t>
      </w:r>
      <w:hyperlink w:anchor="SENTENCIA_2016_123" w:history="1">
        <w:r w:rsidRPr="00924F59">
          <w:rPr>
            <w:rStyle w:val="TextoNormalCaracter"/>
          </w:rPr>
          <w:t>123/2016</w:t>
        </w:r>
      </w:hyperlink>
      <w:r w:rsidRPr="00924F59">
        <w:rPr>
          <w:rStyle w:val="TextoNormalCaracter"/>
        </w:rPr>
        <w:t>, ff. 1, 2, 4.</w:t>
      </w:r>
    </w:p>
    <w:p w:rsidR="00924F59" w:rsidRPr="00924F59" w:rsidRDefault="00924F59" w:rsidP="00924F59">
      <w:pPr>
        <w:pStyle w:val="TextoNormalSangraFrancesa"/>
        <w:rPr>
          <w:rStyle w:val="TextoNormalCaracter"/>
        </w:rPr>
      </w:pPr>
      <w:bookmarkStart w:id="1364" w:name="DESCRIPTORALFABETICO25"/>
      <w:r w:rsidRPr="00924F59">
        <w:rPr>
          <w:rStyle w:val="TextoNormalNegritaCaracter"/>
        </w:rPr>
        <w:t>Criterios de distribución de competencias</w:t>
      </w:r>
      <w:bookmarkEnd w:id="1364"/>
      <w:r w:rsidRPr="00924F59">
        <w:rPr>
          <w:rStyle w:val="TextoNormalCaracter"/>
        </w:rPr>
        <w:t xml:space="preserve">, Sentencias </w:t>
      </w:r>
      <w:hyperlink w:anchor="SENTENCIA_2016_5" w:history="1">
        <w:r w:rsidRPr="00924F59">
          <w:rPr>
            <w:rStyle w:val="TextoNormalCaracter"/>
          </w:rPr>
          <w:t>5/2016</w:t>
        </w:r>
      </w:hyperlink>
      <w:r w:rsidRPr="00924F59">
        <w:rPr>
          <w:rStyle w:val="TextoNormalCaracter"/>
        </w:rPr>
        <w:t xml:space="preserve">, ff. 3, 4; </w:t>
      </w:r>
      <w:hyperlink w:anchor="SENTENCIA_2016_53" w:history="1">
        <w:r w:rsidRPr="00924F59">
          <w:rPr>
            <w:rStyle w:val="TextoNormalCaracter"/>
          </w:rPr>
          <w:t>53/2016</w:t>
        </w:r>
      </w:hyperlink>
      <w:r w:rsidRPr="00924F59">
        <w:rPr>
          <w:rStyle w:val="TextoNormalCaracter"/>
        </w:rPr>
        <w:t>, f. 5.</w:t>
      </w:r>
    </w:p>
    <w:p w:rsidR="00924F59" w:rsidRPr="00924F59" w:rsidRDefault="00924F59" w:rsidP="00924F59">
      <w:pPr>
        <w:pStyle w:val="TextoNormalSangraFrancesa"/>
        <w:rPr>
          <w:rStyle w:val="TextoNormalCaracter"/>
        </w:rPr>
      </w:pPr>
      <w:bookmarkStart w:id="1365" w:name="DESCRIPTORALFABETICO591"/>
      <w:r w:rsidRPr="00924F59">
        <w:rPr>
          <w:rStyle w:val="TextoNormalNegritaCaracter"/>
        </w:rPr>
        <w:t>Cuantía de las subvenciones públicas</w:t>
      </w:r>
      <w:bookmarkEnd w:id="1365"/>
      <w:r w:rsidRPr="00924F59">
        <w:rPr>
          <w:rStyle w:val="TextoNormalCaracter"/>
        </w:rPr>
        <w:t xml:space="preserve">, Sentencia </w:t>
      </w:r>
      <w:hyperlink w:anchor="SENTENCIA_2016_95" w:history="1">
        <w:r w:rsidRPr="00924F59">
          <w:rPr>
            <w:rStyle w:val="TextoNormalCaracter"/>
          </w:rPr>
          <w:t>95/2016</w:t>
        </w:r>
      </w:hyperlink>
      <w:r w:rsidRPr="00924F59">
        <w:rPr>
          <w:rStyle w:val="TextoNormalCaracter"/>
        </w:rPr>
        <w:t>, ff. 1, 2, 4, 5, VP.</w:t>
      </w:r>
    </w:p>
    <w:p w:rsidR="00924F59" w:rsidRPr="00924F59" w:rsidRDefault="00924F59" w:rsidP="00924F59">
      <w:pPr>
        <w:pStyle w:val="TextoNormalSangraFrancesa"/>
        <w:rPr>
          <w:rStyle w:val="TextoNormalCaracter"/>
        </w:rPr>
      </w:pPr>
      <w:bookmarkStart w:id="1366" w:name="DESCRIPTORALFABETICO482"/>
      <w:r w:rsidRPr="00924F59">
        <w:rPr>
          <w:rStyle w:val="TextoNormalNegritaCaracter"/>
        </w:rPr>
        <w:t>Cuerpos docentes universitarios</w:t>
      </w:r>
      <w:bookmarkEnd w:id="1366"/>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Naturaleza, </w:t>
      </w:r>
      <w:r w:rsidRPr="00924F59">
        <w:rPr>
          <w:rStyle w:val="TextoNormalCaracter"/>
        </w:rPr>
        <w:t xml:space="preserve">Sentencia </w:t>
      </w:r>
      <w:hyperlink w:anchor="SENTENCIA_2016_44" w:history="1">
        <w:r w:rsidRPr="00924F59">
          <w:rPr>
            <w:rStyle w:val="TextoNormalCaracter"/>
          </w:rPr>
          <w:t>44/2016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367" w:name="DESCRIPTORALFABETICO278"/>
      <w:r w:rsidRPr="00924F59">
        <w:rPr>
          <w:rStyle w:val="TextoNormalNegritaCaracter"/>
        </w:rPr>
        <w:t>Cuestión de inconstitucionalidad</w:t>
      </w:r>
      <w:bookmarkEnd w:id="1367"/>
      <w:r w:rsidRPr="00924F59">
        <w:rPr>
          <w:rStyle w:val="TextoNormalCaracter"/>
        </w:rPr>
        <w:t xml:space="preserve">, Sentencias </w:t>
      </w:r>
      <w:hyperlink w:anchor="SENTENCIA_2016_118" w:history="1">
        <w:r w:rsidRPr="00924F59">
          <w:rPr>
            <w:rStyle w:val="TextoNormalCaracter"/>
          </w:rPr>
          <w:t>118/2016</w:t>
        </w:r>
      </w:hyperlink>
      <w:r w:rsidRPr="00924F59">
        <w:rPr>
          <w:rStyle w:val="TextoNormalCaracter"/>
        </w:rPr>
        <w:t xml:space="preserve">, f. 3 d); </w:t>
      </w:r>
      <w:hyperlink w:anchor="SENTENCIA_2016_122" w:history="1">
        <w:r w:rsidRPr="00924F59">
          <w:rPr>
            <w:rStyle w:val="TextoNormalCaracter"/>
          </w:rPr>
          <w:t>122/2016</w:t>
        </w:r>
      </w:hyperlink>
      <w:r w:rsidRPr="00924F59">
        <w:rPr>
          <w:rStyle w:val="TextoNormalCaracter"/>
        </w:rPr>
        <w:t>, ff. 1 a 6.</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101" w:history="1">
        <w:r w:rsidRPr="00924F59">
          <w:rPr>
            <w:rStyle w:val="TextoNormalCaracter"/>
          </w:rPr>
          <w:t>101/2016</w:t>
        </w:r>
      </w:hyperlink>
      <w:r w:rsidRPr="00924F59">
        <w:rPr>
          <w:rStyle w:val="TextoNormalCaracter"/>
        </w:rPr>
        <w:t xml:space="preserve">, f. 1 a 3; </w:t>
      </w:r>
      <w:hyperlink w:anchor="AUTO_2016_102" w:history="1">
        <w:r w:rsidRPr="00924F59">
          <w:rPr>
            <w:rStyle w:val="TextoNormalCaracter"/>
          </w:rPr>
          <w:t>102/2016</w:t>
        </w:r>
      </w:hyperlink>
      <w:r w:rsidRPr="00924F59">
        <w:rPr>
          <w:rStyle w:val="TextoNormalCaracter"/>
        </w:rPr>
        <w:t xml:space="preserve">, ff. 1 a 3; </w:t>
      </w:r>
      <w:hyperlink w:anchor="AUTO_2016_103" w:history="1">
        <w:r w:rsidRPr="00924F59">
          <w:rPr>
            <w:rStyle w:val="TextoNormalCaracter"/>
          </w:rPr>
          <w:t>103/2016</w:t>
        </w:r>
      </w:hyperlink>
      <w:r w:rsidRPr="00924F59">
        <w:rPr>
          <w:rStyle w:val="TextoNormalCaracter"/>
        </w:rPr>
        <w:t xml:space="preserve">, ff. 1, 2, 4; </w:t>
      </w:r>
      <w:hyperlink w:anchor="AUTO_2016_104" w:history="1">
        <w:r w:rsidRPr="00924F59">
          <w:rPr>
            <w:rStyle w:val="TextoNormalCaracter"/>
          </w:rPr>
          <w:t>104/2016</w:t>
        </w:r>
      </w:hyperlink>
      <w:r w:rsidRPr="00924F59">
        <w:rPr>
          <w:rStyle w:val="TextoNormalCaracter"/>
        </w:rPr>
        <w:t xml:space="preserve">, ff. 1 a 3; </w:t>
      </w:r>
      <w:hyperlink w:anchor="AUTO_2016_113" w:history="1">
        <w:r w:rsidRPr="00924F59">
          <w:rPr>
            <w:rStyle w:val="TextoNormalCaracter"/>
          </w:rPr>
          <w:t>113/2016</w:t>
        </w:r>
      </w:hyperlink>
      <w:r w:rsidRPr="00924F59">
        <w:rPr>
          <w:rStyle w:val="TextoNormalCaracter"/>
        </w:rPr>
        <w:t>, f. 1.</w:t>
      </w:r>
    </w:p>
    <w:p w:rsidR="00924F59" w:rsidRPr="00924F59" w:rsidRDefault="00924F59" w:rsidP="00924F59">
      <w:pPr>
        <w:pStyle w:val="TextoNormalSangraFrancesa"/>
        <w:rPr>
          <w:rStyle w:val="TextoNormalCaracter"/>
        </w:rPr>
      </w:pPr>
      <w:bookmarkStart w:id="1368" w:name="DESCRIPTORALFABETICO284"/>
      <w:r w:rsidRPr="00924F59">
        <w:rPr>
          <w:rStyle w:val="TextoNormalNegritaCaracter"/>
        </w:rPr>
        <w:t>Cuestión de inconstitucionalidad notoriamente infundada</w:t>
      </w:r>
      <w:bookmarkEnd w:id="1368"/>
      <w:r w:rsidRPr="00924F59">
        <w:rPr>
          <w:rStyle w:val="TextoNormalCaracter"/>
        </w:rPr>
        <w:t xml:space="preserve">, Autos </w:t>
      </w:r>
      <w:hyperlink w:anchor="AUTO_2016_6" w:history="1">
        <w:r w:rsidRPr="00924F59">
          <w:rPr>
            <w:rStyle w:val="TextoNormalCaracter"/>
          </w:rPr>
          <w:t>6/2016</w:t>
        </w:r>
      </w:hyperlink>
      <w:r w:rsidRPr="00924F59">
        <w:rPr>
          <w:rStyle w:val="TextoNormalCaracter"/>
        </w:rPr>
        <w:t xml:space="preserve">, f. 6; </w:t>
      </w:r>
      <w:hyperlink w:anchor="AUTO_2016_7" w:history="1">
        <w:r w:rsidRPr="00924F59">
          <w:rPr>
            <w:rStyle w:val="TextoNormalCaracter"/>
          </w:rPr>
          <w:t>7/2016</w:t>
        </w:r>
      </w:hyperlink>
      <w:r w:rsidRPr="00924F59">
        <w:rPr>
          <w:rStyle w:val="TextoNormalCaracter"/>
        </w:rPr>
        <w:t xml:space="preserve">, f. 6; </w:t>
      </w:r>
      <w:hyperlink w:anchor="AUTO_2016_8" w:history="1">
        <w:r w:rsidRPr="00924F59">
          <w:rPr>
            <w:rStyle w:val="TextoNormalCaracter"/>
          </w:rPr>
          <w:t>8/2016</w:t>
        </w:r>
      </w:hyperlink>
      <w:r w:rsidRPr="00924F59">
        <w:rPr>
          <w:rStyle w:val="TextoNormalCaracter"/>
        </w:rPr>
        <w:t xml:space="preserve">, f. 6; </w:t>
      </w:r>
      <w:hyperlink w:anchor="AUTO_2016_10" w:history="1">
        <w:r w:rsidRPr="00924F59">
          <w:rPr>
            <w:rStyle w:val="TextoNormalCaracter"/>
          </w:rPr>
          <w:t>10/2016</w:t>
        </w:r>
      </w:hyperlink>
      <w:r w:rsidRPr="00924F59">
        <w:rPr>
          <w:rStyle w:val="TextoNormalCaracter"/>
        </w:rPr>
        <w:t xml:space="preserve">, f. 6; </w:t>
      </w:r>
      <w:hyperlink w:anchor="AUTO_2016_11" w:history="1">
        <w:r w:rsidRPr="00924F59">
          <w:rPr>
            <w:rStyle w:val="TextoNormalCaracter"/>
          </w:rPr>
          <w:t>11/2016</w:t>
        </w:r>
      </w:hyperlink>
      <w:r w:rsidRPr="00924F59">
        <w:rPr>
          <w:rStyle w:val="TextoNormalCaracter"/>
        </w:rPr>
        <w:t xml:space="preserve">, f. 4; </w:t>
      </w:r>
      <w:hyperlink w:anchor="AUTO_2016_14" w:history="1">
        <w:r w:rsidRPr="00924F59">
          <w:rPr>
            <w:rStyle w:val="TextoNormalCaracter"/>
          </w:rPr>
          <w:t>14/2016</w:t>
        </w:r>
      </w:hyperlink>
      <w:r w:rsidRPr="00924F59">
        <w:rPr>
          <w:rStyle w:val="TextoNormalCaracter"/>
        </w:rPr>
        <w:t xml:space="preserve">, ff. 2 a 7; </w:t>
      </w:r>
      <w:hyperlink w:anchor="AUTO_2016_21" w:history="1">
        <w:r w:rsidRPr="00924F59">
          <w:rPr>
            <w:rStyle w:val="TextoNormalCaracter"/>
          </w:rPr>
          <w:t>21/2016</w:t>
        </w:r>
      </w:hyperlink>
      <w:r w:rsidRPr="00924F59">
        <w:rPr>
          <w:rStyle w:val="TextoNormalCaracter"/>
        </w:rPr>
        <w:t xml:space="preserve">, f. 6; </w:t>
      </w:r>
      <w:hyperlink w:anchor="AUTO_2016_22" w:history="1">
        <w:r w:rsidRPr="00924F59">
          <w:rPr>
            <w:rStyle w:val="TextoNormalCaracter"/>
          </w:rPr>
          <w:t>22/2016</w:t>
        </w:r>
      </w:hyperlink>
      <w:r w:rsidRPr="00924F59">
        <w:rPr>
          <w:rStyle w:val="TextoNormalCaracter"/>
        </w:rPr>
        <w:t xml:space="preserve">, f. 6; </w:t>
      </w:r>
      <w:hyperlink w:anchor="AUTO_2016_23" w:history="1">
        <w:r w:rsidRPr="00924F59">
          <w:rPr>
            <w:rStyle w:val="TextoNormalCaracter"/>
          </w:rPr>
          <w:t>23/2016</w:t>
        </w:r>
      </w:hyperlink>
      <w:r w:rsidRPr="00924F59">
        <w:rPr>
          <w:rStyle w:val="TextoNormalCaracter"/>
        </w:rPr>
        <w:t xml:space="preserve">, f. 6; </w:t>
      </w:r>
      <w:hyperlink w:anchor="AUTO_2016_35" w:history="1">
        <w:r w:rsidRPr="00924F59">
          <w:rPr>
            <w:rStyle w:val="TextoNormalCaracter"/>
          </w:rPr>
          <w:t>35/2016</w:t>
        </w:r>
      </w:hyperlink>
      <w:r w:rsidRPr="00924F59">
        <w:rPr>
          <w:rStyle w:val="TextoNormalCaracter"/>
        </w:rPr>
        <w:t xml:space="preserve">, ff. 1, 3, 4; </w:t>
      </w:r>
      <w:hyperlink w:anchor="AUTO_2016_37" w:history="1">
        <w:r w:rsidRPr="00924F59">
          <w:rPr>
            <w:rStyle w:val="TextoNormalCaracter"/>
          </w:rPr>
          <w:t>37/2016</w:t>
        </w:r>
      </w:hyperlink>
      <w:r w:rsidRPr="00924F59">
        <w:rPr>
          <w:rStyle w:val="TextoNormalCaracter"/>
        </w:rPr>
        <w:t xml:space="preserve">, f. 5; </w:t>
      </w:r>
      <w:hyperlink w:anchor="AUTO_2016_38" w:history="1">
        <w:r w:rsidRPr="00924F59">
          <w:rPr>
            <w:rStyle w:val="TextoNormalCaracter"/>
          </w:rPr>
          <w:t>38/2016</w:t>
        </w:r>
      </w:hyperlink>
      <w:r w:rsidRPr="00924F59">
        <w:rPr>
          <w:rStyle w:val="TextoNormalCaracter"/>
        </w:rPr>
        <w:t xml:space="preserve">, f. 5; </w:t>
      </w:r>
      <w:hyperlink w:anchor="AUTO_2016_39" w:history="1">
        <w:r w:rsidRPr="00924F59">
          <w:rPr>
            <w:rStyle w:val="TextoNormalCaracter"/>
          </w:rPr>
          <w:t>39/2016</w:t>
        </w:r>
      </w:hyperlink>
      <w:r w:rsidRPr="00924F59">
        <w:rPr>
          <w:rStyle w:val="TextoNormalCaracter"/>
        </w:rPr>
        <w:t xml:space="preserve">, f. 2; </w:t>
      </w:r>
      <w:hyperlink w:anchor="AUTO_2016_40" w:history="1">
        <w:r w:rsidRPr="00924F59">
          <w:rPr>
            <w:rStyle w:val="TextoNormalCaracter"/>
          </w:rPr>
          <w:t>40/2016</w:t>
        </w:r>
      </w:hyperlink>
      <w:r w:rsidRPr="00924F59">
        <w:rPr>
          <w:rStyle w:val="TextoNormalCaracter"/>
        </w:rPr>
        <w:t xml:space="preserve">, f. 2; </w:t>
      </w:r>
      <w:hyperlink w:anchor="AUTO_2016_55" w:history="1">
        <w:r w:rsidRPr="00924F59">
          <w:rPr>
            <w:rStyle w:val="TextoNormalCaracter"/>
          </w:rPr>
          <w:t>55/2016</w:t>
        </w:r>
      </w:hyperlink>
      <w:r w:rsidRPr="00924F59">
        <w:rPr>
          <w:rStyle w:val="TextoNormalCaracter"/>
        </w:rPr>
        <w:t xml:space="preserve">, ff. 2, 3, 5, 6; </w:t>
      </w:r>
      <w:hyperlink w:anchor="AUTO_2016_76" w:history="1">
        <w:r w:rsidRPr="00924F59">
          <w:rPr>
            <w:rStyle w:val="TextoNormalCaracter"/>
          </w:rPr>
          <w:t>76/2016</w:t>
        </w:r>
      </w:hyperlink>
      <w:r w:rsidRPr="00924F59">
        <w:rPr>
          <w:rStyle w:val="TextoNormalCaracter"/>
        </w:rPr>
        <w:t xml:space="preserve">, f. 3; </w:t>
      </w:r>
      <w:hyperlink w:anchor="AUTO_2016_77" w:history="1">
        <w:r w:rsidRPr="00924F59">
          <w:rPr>
            <w:rStyle w:val="TextoNormalCaracter"/>
          </w:rPr>
          <w:t>77/2016</w:t>
        </w:r>
      </w:hyperlink>
      <w:r w:rsidRPr="00924F59">
        <w:rPr>
          <w:rStyle w:val="TextoNormalCaracter"/>
        </w:rPr>
        <w:t xml:space="preserve">, f. 5; </w:t>
      </w:r>
      <w:hyperlink w:anchor="AUTO_2016_78" w:history="1">
        <w:r w:rsidRPr="00924F59">
          <w:rPr>
            <w:rStyle w:val="TextoNormalCaracter"/>
          </w:rPr>
          <w:t>78/2016</w:t>
        </w:r>
      </w:hyperlink>
      <w:r w:rsidRPr="00924F59">
        <w:rPr>
          <w:rStyle w:val="TextoNormalCaracter"/>
        </w:rPr>
        <w:t xml:space="preserve">, f. 3; </w:t>
      </w:r>
      <w:hyperlink w:anchor="AUTO_2016_83" w:history="1">
        <w:r w:rsidRPr="00924F59">
          <w:rPr>
            <w:rStyle w:val="TextoNormalCaracter"/>
          </w:rPr>
          <w:t>83/2016</w:t>
        </w:r>
      </w:hyperlink>
      <w:r w:rsidRPr="00924F59">
        <w:rPr>
          <w:rStyle w:val="TextoNormalCaracter"/>
        </w:rPr>
        <w:t xml:space="preserve">, f. 3; </w:t>
      </w:r>
      <w:hyperlink w:anchor="AUTO_2016_84" w:history="1">
        <w:r w:rsidRPr="00924F59">
          <w:rPr>
            <w:rStyle w:val="TextoNormalCaracter"/>
          </w:rPr>
          <w:t>84/2016</w:t>
        </w:r>
      </w:hyperlink>
      <w:r w:rsidRPr="00924F59">
        <w:rPr>
          <w:rStyle w:val="TextoNormalCaracter"/>
        </w:rPr>
        <w:t xml:space="preserve">, f. 3; </w:t>
      </w:r>
      <w:hyperlink w:anchor="AUTO_2016_85" w:history="1">
        <w:r w:rsidRPr="00924F59">
          <w:rPr>
            <w:rStyle w:val="TextoNormalCaracter"/>
          </w:rPr>
          <w:t>85/2016</w:t>
        </w:r>
      </w:hyperlink>
      <w:r w:rsidRPr="00924F59">
        <w:rPr>
          <w:rStyle w:val="TextoNormalCaracter"/>
        </w:rPr>
        <w:t xml:space="preserve">, f. 3; </w:t>
      </w:r>
      <w:hyperlink w:anchor="AUTO_2016_86" w:history="1">
        <w:r w:rsidRPr="00924F59">
          <w:rPr>
            <w:rStyle w:val="TextoNormalCaracter"/>
          </w:rPr>
          <w:t>86/2016</w:t>
        </w:r>
      </w:hyperlink>
      <w:r w:rsidRPr="00924F59">
        <w:rPr>
          <w:rStyle w:val="TextoNormalCaracter"/>
        </w:rPr>
        <w:t xml:space="preserve">, f. 3; </w:t>
      </w:r>
      <w:hyperlink w:anchor="AUTO_2016_87" w:history="1">
        <w:r w:rsidRPr="00924F59">
          <w:rPr>
            <w:rStyle w:val="TextoNormalCaracter"/>
          </w:rPr>
          <w:t>87/2016</w:t>
        </w:r>
      </w:hyperlink>
      <w:r w:rsidRPr="00924F59">
        <w:rPr>
          <w:rStyle w:val="TextoNormalCaracter"/>
        </w:rPr>
        <w:t xml:space="preserve">, f. 3; </w:t>
      </w:r>
      <w:hyperlink w:anchor="AUTO_2016_88" w:history="1">
        <w:r w:rsidRPr="00924F59">
          <w:rPr>
            <w:rStyle w:val="TextoNormalCaracter"/>
          </w:rPr>
          <w:t>88/2016</w:t>
        </w:r>
      </w:hyperlink>
      <w:r w:rsidRPr="00924F59">
        <w:rPr>
          <w:rStyle w:val="TextoNormalCaracter"/>
        </w:rPr>
        <w:t xml:space="preserve">, f. 3; </w:t>
      </w:r>
      <w:hyperlink w:anchor="AUTO_2016_101" w:history="1">
        <w:r w:rsidRPr="00924F59">
          <w:rPr>
            <w:rStyle w:val="TextoNormalCaracter"/>
          </w:rPr>
          <w:t>101/2016</w:t>
        </w:r>
      </w:hyperlink>
      <w:r w:rsidRPr="00924F59">
        <w:rPr>
          <w:rStyle w:val="TextoNormalCaracter"/>
        </w:rPr>
        <w:t xml:space="preserve">, f. 1; </w:t>
      </w:r>
      <w:hyperlink w:anchor="AUTO_2016_102" w:history="1">
        <w:r w:rsidRPr="00924F59">
          <w:rPr>
            <w:rStyle w:val="TextoNormalCaracter"/>
          </w:rPr>
          <w:t>102/2016</w:t>
        </w:r>
      </w:hyperlink>
      <w:r w:rsidRPr="00924F59">
        <w:rPr>
          <w:rStyle w:val="TextoNormalCaracter"/>
        </w:rPr>
        <w:t xml:space="preserve">, f. 1; </w:t>
      </w:r>
      <w:hyperlink w:anchor="AUTO_2016_103" w:history="1">
        <w:r w:rsidRPr="00924F59">
          <w:rPr>
            <w:rStyle w:val="TextoNormalCaracter"/>
          </w:rPr>
          <w:t>103/2016</w:t>
        </w:r>
      </w:hyperlink>
      <w:r w:rsidRPr="00924F59">
        <w:rPr>
          <w:rStyle w:val="TextoNormalCaracter"/>
        </w:rPr>
        <w:t xml:space="preserve">, ff. 1, 3; </w:t>
      </w:r>
      <w:hyperlink w:anchor="AUTO_2016_104" w:history="1">
        <w:r w:rsidRPr="00924F59">
          <w:rPr>
            <w:rStyle w:val="TextoNormalCaracter"/>
          </w:rPr>
          <w:t>104/2016</w:t>
        </w:r>
      </w:hyperlink>
      <w:r w:rsidRPr="00924F59">
        <w:rPr>
          <w:rStyle w:val="TextoNormalCaracter"/>
        </w:rPr>
        <w:t xml:space="preserve">, ff. 1 a 3; </w:t>
      </w:r>
      <w:hyperlink w:anchor="AUTO_2016_113" w:history="1">
        <w:r w:rsidRPr="00924F59">
          <w:rPr>
            <w:rStyle w:val="TextoNormalCaracter"/>
          </w:rPr>
          <w:t>113/2016</w:t>
        </w:r>
      </w:hyperlink>
      <w:r w:rsidRPr="00924F59">
        <w:rPr>
          <w:rStyle w:val="TextoNormalCaracter"/>
        </w:rPr>
        <w:t xml:space="preserve">, ff. 1, 3, 4; </w:t>
      </w:r>
      <w:hyperlink w:anchor="AUTO_2016_122" w:history="1">
        <w:r w:rsidRPr="00924F59">
          <w:rPr>
            <w:rStyle w:val="TextoNormalCaracter"/>
          </w:rPr>
          <w:t>122/2016</w:t>
        </w:r>
      </w:hyperlink>
      <w:r w:rsidRPr="00924F59">
        <w:rPr>
          <w:rStyle w:val="TextoNormalCaracter"/>
        </w:rPr>
        <w:t xml:space="preserve">, f. 4; </w:t>
      </w:r>
      <w:hyperlink w:anchor="AUTO_2016_129" w:history="1">
        <w:r w:rsidRPr="00924F59">
          <w:rPr>
            <w:rStyle w:val="TextoNormalCaracter"/>
          </w:rPr>
          <w:t>129/2016</w:t>
        </w:r>
      </w:hyperlink>
      <w:r w:rsidRPr="00924F59">
        <w:rPr>
          <w:rStyle w:val="TextoNormalCaracter"/>
        </w:rPr>
        <w:t xml:space="preserve">, ff. 1, 3, 5, VP; </w:t>
      </w:r>
      <w:hyperlink w:anchor="AUTO_2016_131" w:history="1">
        <w:r w:rsidRPr="00924F59">
          <w:rPr>
            <w:rStyle w:val="TextoNormalCaracter"/>
          </w:rPr>
          <w:t>131/2016</w:t>
        </w:r>
      </w:hyperlink>
      <w:r w:rsidRPr="00924F59">
        <w:rPr>
          <w:rStyle w:val="TextoNormalCaracter"/>
        </w:rPr>
        <w:t xml:space="preserve">, ff. 4 a 6; </w:t>
      </w:r>
      <w:hyperlink w:anchor="AUTO_2016_132" w:history="1">
        <w:r w:rsidRPr="00924F59">
          <w:rPr>
            <w:rStyle w:val="TextoNormalCaracter"/>
          </w:rPr>
          <w:t>132/2016</w:t>
        </w:r>
      </w:hyperlink>
      <w:r w:rsidRPr="00924F59">
        <w:rPr>
          <w:rStyle w:val="TextoNormalCaracter"/>
        </w:rPr>
        <w:t xml:space="preserve">, ff. 4 a 8; </w:t>
      </w:r>
      <w:hyperlink w:anchor="AUTO_2016_134" w:history="1">
        <w:r w:rsidRPr="00924F59">
          <w:rPr>
            <w:rStyle w:val="TextoNormalCaracter"/>
          </w:rPr>
          <w:t>134/2016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369" w:name="DESCRIPTORALFABETICO810"/>
      <w:r w:rsidRPr="00924F59">
        <w:rPr>
          <w:rStyle w:val="TextoNormalNegritaCaracter"/>
        </w:rPr>
        <w:t>Cuestión de legalidad ordinaria</w:t>
      </w:r>
      <w:bookmarkEnd w:id="1369"/>
      <w:r w:rsidRPr="00924F59">
        <w:rPr>
          <w:rStyle w:val="TextoNormalCaracter"/>
        </w:rPr>
        <w:t xml:space="preserve">, Sentencia </w:t>
      </w:r>
      <w:hyperlink w:anchor="SENTENCIA_2016_83" w:history="1">
        <w:r w:rsidRPr="00924F59">
          <w:rPr>
            <w:rStyle w:val="TextoNormalCaracter"/>
          </w:rPr>
          <w:t>83/2016</w:t>
        </w:r>
      </w:hyperlink>
      <w:r w:rsidRPr="00924F59">
        <w:rPr>
          <w:rStyle w:val="TextoNormalCaracter"/>
        </w:rPr>
        <w:t>, f. 3.</w:t>
      </w:r>
    </w:p>
    <w:p w:rsidR="00924F59" w:rsidRPr="00924F59" w:rsidRDefault="00924F59" w:rsidP="00924F59">
      <w:pPr>
        <w:pStyle w:val="TextoNormalSangraFrancesa"/>
        <w:rPr>
          <w:rStyle w:val="TextoNormalCaracter"/>
        </w:rPr>
      </w:pPr>
      <w:bookmarkStart w:id="1370" w:name="DESCRIPTORALFABETICO281"/>
      <w:r w:rsidRPr="00924F59">
        <w:rPr>
          <w:rStyle w:val="TextoNormalNegritaCaracter"/>
        </w:rPr>
        <w:t>Cuestión interna de inconstitucionalidad</w:t>
      </w:r>
      <w:bookmarkEnd w:id="1370"/>
      <w:r w:rsidRPr="00924F59">
        <w:rPr>
          <w:rStyle w:val="TextoNormalCaracter"/>
        </w:rPr>
        <w:t xml:space="preserve">, Sentencias </w:t>
      </w:r>
      <w:hyperlink w:anchor="SENTENCIA_2016_58" w:history="1">
        <w:r w:rsidRPr="00924F59">
          <w:rPr>
            <w:rStyle w:val="TextoNormalCaracter"/>
          </w:rPr>
          <w:t>58/2016</w:t>
        </w:r>
      </w:hyperlink>
      <w:r w:rsidRPr="00924F59">
        <w:rPr>
          <w:rStyle w:val="TextoNormalCaracter"/>
        </w:rPr>
        <w:t xml:space="preserve">, f. 3; </w:t>
      </w:r>
      <w:hyperlink w:anchor="SENTENCIA_2016_63" w:history="1">
        <w:r w:rsidRPr="00924F59">
          <w:rPr>
            <w:rStyle w:val="TextoNormalCaracter"/>
          </w:rPr>
          <w:t>63/2016</w:t>
        </w:r>
      </w:hyperlink>
      <w:r w:rsidRPr="00924F59">
        <w:rPr>
          <w:rStyle w:val="TextoNormalCaracter"/>
        </w:rPr>
        <w:t>, f. 3.</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 4, VP.</w:t>
      </w:r>
    </w:p>
    <w:p w:rsidR="00924F59" w:rsidRPr="00924F59" w:rsidRDefault="00924F59" w:rsidP="00924F59">
      <w:pPr>
        <w:pStyle w:val="TextoNormalSangraFrancesa"/>
        <w:rPr>
          <w:rStyle w:val="TextoNormalCaracter"/>
        </w:rPr>
      </w:pPr>
      <w:bookmarkStart w:id="1371" w:name="DESCRIPTORALFABETICO798"/>
      <w:r w:rsidRPr="00924F59">
        <w:rPr>
          <w:rStyle w:val="TextoNormalNegritaCaracter"/>
        </w:rPr>
        <w:t>Cuestión prejudicial administrativa</w:t>
      </w:r>
      <w:bookmarkEnd w:id="1371"/>
      <w:r w:rsidRPr="00924F59">
        <w:rPr>
          <w:rStyle w:val="TextoNormalCaracter"/>
        </w:rPr>
        <w:t xml:space="preserve">, Sentencia </w:t>
      </w:r>
      <w:hyperlink w:anchor="SENTENCIA_2016_35" w:history="1">
        <w:r w:rsidRPr="00924F59">
          <w:rPr>
            <w:rStyle w:val="TextoNormalCaracter"/>
          </w:rPr>
          <w:t>35/2016</w:t>
        </w:r>
      </w:hyperlink>
      <w:r w:rsidRPr="00924F59">
        <w:rPr>
          <w:rStyle w:val="TextoNormalCaracter"/>
        </w:rPr>
        <w:t>, f. 6.</w:t>
      </w:r>
    </w:p>
    <w:p w:rsidR="00924F59" w:rsidRPr="00924F59" w:rsidRDefault="00924F59" w:rsidP="00924F59">
      <w:pPr>
        <w:pStyle w:val="TextoNormalSangraFrancesa"/>
        <w:rPr>
          <w:rStyle w:val="TextoNormalCaracter"/>
        </w:rPr>
      </w:pPr>
      <w:bookmarkStart w:id="1372" w:name="DESCRIPTORALFABETICO406"/>
      <w:r w:rsidRPr="00924F59">
        <w:rPr>
          <w:rStyle w:val="TextoNormalNegritaCaracter"/>
        </w:rPr>
        <w:t>Cuestión prejudicial ante el TJUE</w:t>
      </w:r>
      <w:bookmarkEnd w:id="1372"/>
      <w:r w:rsidRPr="00924F59">
        <w:rPr>
          <w:rStyle w:val="TextoNormalCaracter"/>
        </w:rPr>
        <w:t xml:space="preserve">, Sentencia </w:t>
      </w:r>
      <w:hyperlink w:anchor="SENTENCIA_2016_35" w:history="1">
        <w:r w:rsidRPr="00924F59">
          <w:rPr>
            <w:rStyle w:val="TextoNormalCaracter"/>
          </w:rPr>
          <w:t>35/2016</w:t>
        </w:r>
      </w:hyperlink>
      <w:r w:rsidRPr="00924F59">
        <w:rPr>
          <w:rStyle w:val="TextoNormalCaracter"/>
        </w:rPr>
        <w:t>, f. 6.</w:t>
      </w:r>
    </w:p>
    <w:p w:rsidR="00924F59" w:rsidRPr="00924F59" w:rsidRDefault="00924F59" w:rsidP="00924F59">
      <w:pPr>
        <w:pStyle w:val="TextoNormalSangraFrancesa"/>
        <w:rPr>
          <w:rStyle w:val="TextoNormalCaracter"/>
        </w:rPr>
      </w:pPr>
      <w:bookmarkStart w:id="1373" w:name="DESCRIPTORALFABETICO346"/>
      <w:r w:rsidRPr="00924F59">
        <w:rPr>
          <w:rStyle w:val="TextoNormalNegritaCaracter"/>
        </w:rPr>
        <w:t>Cuestión prejudicial de validez sobre Normas Forales fiscales</w:t>
      </w:r>
      <w:bookmarkEnd w:id="1373"/>
      <w:r w:rsidRPr="00924F59">
        <w:rPr>
          <w:rStyle w:val="TextoNormalCaracter"/>
        </w:rPr>
        <w:t xml:space="preserve">, Sentencias </w:t>
      </w:r>
      <w:hyperlink w:anchor="SENTENCIA_2016_3" w:history="1">
        <w:r w:rsidRPr="00924F59">
          <w:rPr>
            <w:rStyle w:val="TextoNormalCaracter"/>
          </w:rPr>
          <w:t>3/2016</w:t>
        </w:r>
      </w:hyperlink>
      <w:r w:rsidRPr="00924F59">
        <w:rPr>
          <w:rStyle w:val="TextoNormalCaracter"/>
        </w:rPr>
        <w:t xml:space="preserve">, f. 5; </w:t>
      </w:r>
      <w:hyperlink w:anchor="SENTENCIA_2016_118" w:history="1">
        <w:r w:rsidRPr="00924F59">
          <w:rPr>
            <w:rStyle w:val="TextoNormalCaracter"/>
          </w:rPr>
          <w:t>118/2016</w:t>
        </w:r>
      </w:hyperlink>
      <w:r w:rsidRPr="00924F59">
        <w:rPr>
          <w:rStyle w:val="TextoNormalCaracter"/>
        </w:rPr>
        <w:t>, ff. 1 a 3.</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D</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374" w:name="DESCRIPTORALFABETICO737"/>
      <w:r w:rsidRPr="00924F59">
        <w:rPr>
          <w:rStyle w:val="TextoNormalNegritaCaracter"/>
        </w:rPr>
        <w:t>Daños patrimoniales</w:t>
      </w:r>
      <w:bookmarkEnd w:id="1374"/>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 ff. 1, 4, VP I, VP II.</w:t>
      </w:r>
    </w:p>
    <w:p w:rsidR="00924F59" w:rsidRPr="00924F59" w:rsidRDefault="00924F59" w:rsidP="00924F59">
      <w:pPr>
        <w:pStyle w:val="TextoNormalSangraFrancesa"/>
        <w:rPr>
          <w:rStyle w:val="TextoNormalCaracter"/>
        </w:rPr>
      </w:pPr>
      <w:bookmarkStart w:id="1375" w:name="DESCRIPTORALFABETICO738"/>
      <w:r w:rsidRPr="00924F59">
        <w:rPr>
          <w:rStyle w:val="TextoNormalNegritaCaracter"/>
        </w:rPr>
        <w:t>Daños personales</w:t>
      </w:r>
      <w:bookmarkEnd w:id="1375"/>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 ff. 1, 4, VP I, VP II.</w:t>
      </w:r>
    </w:p>
    <w:p w:rsidR="00924F59" w:rsidRPr="00924F59" w:rsidRDefault="00924F59" w:rsidP="00924F59">
      <w:pPr>
        <w:pStyle w:val="TextoNormalSangraFrancesa"/>
        <w:rPr>
          <w:rStyle w:val="TextoNormalCaracter"/>
        </w:rPr>
      </w:pPr>
      <w:bookmarkStart w:id="1376" w:name="DESCRIPTORALFABETICO166"/>
      <w:r w:rsidRPr="00924F59">
        <w:rPr>
          <w:rStyle w:val="TextoNormalNegritaCaracter"/>
        </w:rPr>
        <w:t>Datos personales</w:t>
      </w:r>
      <w:bookmarkEnd w:id="1376"/>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3, 4, VP I, VP II.</w:t>
      </w:r>
    </w:p>
    <w:p w:rsidR="00924F59" w:rsidRPr="00924F59" w:rsidRDefault="00924F59" w:rsidP="00924F59">
      <w:pPr>
        <w:pStyle w:val="TextoNormalSangraFrancesa"/>
        <w:rPr>
          <w:rStyle w:val="TextoNormalCaracter"/>
        </w:rPr>
      </w:pPr>
      <w:bookmarkStart w:id="1377" w:name="DESCRIPTORALFABETICO210"/>
      <w:r w:rsidRPr="00924F59">
        <w:rPr>
          <w:rStyle w:val="TextoNormalNegritaCaracter"/>
        </w:rPr>
        <w:t>Deber de información de las Administraciones públicas</w:t>
      </w:r>
      <w:bookmarkEnd w:id="1377"/>
      <w:r w:rsidRPr="00924F59">
        <w:rPr>
          <w:rStyle w:val="TextoNormalCaracter"/>
        </w:rPr>
        <w:t xml:space="preserve">, Sentencia </w:t>
      </w:r>
      <w:hyperlink w:anchor="SENTENCIA_2016_85" w:history="1">
        <w:r w:rsidRPr="00924F59">
          <w:rPr>
            <w:rStyle w:val="TextoNormalCaracter"/>
          </w:rPr>
          <w:t>85/2016</w:t>
        </w:r>
      </w:hyperlink>
      <w:r w:rsidRPr="00924F59">
        <w:rPr>
          <w:rStyle w:val="TextoNormalCaracter"/>
        </w:rPr>
        <w:t>, ff. 5, 6.</w:t>
      </w:r>
    </w:p>
    <w:p w:rsidR="00924F59" w:rsidRPr="00924F59" w:rsidRDefault="00924F59" w:rsidP="00924F59">
      <w:pPr>
        <w:pStyle w:val="TextoNormalSangraFrancesa"/>
        <w:rPr>
          <w:rStyle w:val="TextoNormalCaracter"/>
        </w:rPr>
      </w:pPr>
      <w:bookmarkStart w:id="1378" w:name="DESCRIPTORALFABETICO630"/>
      <w:r w:rsidRPr="00924F59">
        <w:rPr>
          <w:rStyle w:val="TextoNormalNegritaCaracter"/>
        </w:rPr>
        <w:t>Deberes urbanísticos</w:t>
      </w:r>
      <w:bookmarkEnd w:id="1378"/>
      <w:r w:rsidRPr="00924F59">
        <w:rPr>
          <w:rStyle w:val="TextoNormalCaracter"/>
        </w:rPr>
        <w:t xml:space="preserve">, Sentencia </w:t>
      </w:r>
      <w:hyperlink w:anchor="SENTENCIA_2016_5" w:history="1">
        <w:r w:rsidRPr="00924F59">
          <w:rPr>
            <w:rStyle w:val="TextoNormalCaracter"/>
          </w:rPr>
          <w:t>5/2016</w:t>
        </w:r>
      </w:hyperlink>
      <w:r w:rsidRPr="00924F59">
        <w:rPr>
          <w:rStyle w:val="TextoNormalCaracter"/>
        </w:rPr>
        <w:t>, f. 1.</w:t>
      </w:r>
    </w:p>
    <w:p w:rsidR="00924F59" w:rsidRPr="00924F59" w:rsidRDefault="00924F59" w:rsidP="00924F59">
      <w:pPr>
        <w:pStyle w:val="TextoNormalSangraFrancesa"/>
        <w:rPr>
          <w:rStyle w:val="TextoNormalCaracter"/>
        </w:rPr>
      </w:pPr>
      <w:bookmarkStart w:id="1379" w:name="DESCRIPTORALFABETICO817"/>
      <w:r w:rsidRPr="00924F59">
        <w:rPr>
          <w:rStyle w:val="TextoNormalNegritaCaracter"/>
        </w:rPr>
        <w:t>Declaración de rebeldía</w:t>
      </w:r>
      <w:bookmarkEnd w:id="1379"/>
      <w:r w:rsidRPr="00924F59">
        <w:rPr>
          <w:rStyle w:val="TextoNormalCaracter"/>
        </w:rPr>
        <w:t xml:space="preserve">, Auto </w:t>
      </w:r>
      <w:hyperlink w:anchor="AUTO_2016_82" w:history="1">
        <w:r w:rsidRPr="00924F59">
          <w:rPr>
            <w:rStyle w:val="TextoNormalCaracter"/>
          </w:rPr>
          <w:t>82/2016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380" w:name="DESCRIPTORALFABETICO654"/>
      <w:r w:rsidRPr="00924F59">
        <w:rPr>
          <w:rStyle w:val="TextoNormalNegritaCaracter"/>
        </w:rPr>
        <w:t>Decretos-leyes</w:t>
      </w:r>
      <w:bookmarkEnd w:id="1380"/>
      <w:r w:rsidRPr="00924F59">
        <w:rPr>
          <w:rStyle w:val="TextoNormalCaracter"/>
        </w:rPr>
        <w:t xml:space="preserve">, Sentencias </w:t>
      </w:r>
      <w:hyperlink w:anchor="SENTENCIA_2016_5" w:history="1">
        <w:r w:rsidRPr="00924F59">
          <w:rPr>
            <w:rStyle w:val="TextoNormalCaracter"/>
          </w:rPr>
          <w:t>5/2016</w:t>
        </w:r>
      </w:hyperlink>
      <w:r w:rsidRPr="00924F59">
        <w:rPr>
          <w:rStyle w:val="TextoNormalCaracter"/>
        </w:rPr>
        <w:t xml:space="preserve">, f. 1; </w:t>
      </w:r>
      <w:hyperlink w:anchor="SENTENCIA_2016_26" w:history="1">
        <w:r w:rsidRPr="00924F59">
          <w:rPr>
            <w:rStyle w:val="TextoNormalCaracter"/>
          </w:rPr>
          <w:t>26/2016</w:t>
        </w:r>
      </w:hyperlink>
      <w:r w:rsidRPr="00924F59">
        <w:rPr>
          <w:rStyle w:val="TextoNormalCaracter"/>
        </w:rPr>
        <w:t>, ff. 2 a 5.</w:t>
      </w:r>
    </w:p>
    <w:p w:rsidR="00924F59" w:rsidRPr="00924F59" w:rsidRDefault="00924F59" w:rsidP="00924F59">
      <w:pPr>
        <w:pStyle w:val="TextoNormalSangraFrancesa"/>
        <w:rPr>
          <w:rStyle w:val="TextoNormalCaracter"/>
        </w:rPr>
      </w:pPr>
      <w:bookmarkStart w:id="1381" w:name="DESCRIPTORALFABETICO656"/>
      <w:r w:rsidRPr="00924F59">
        <w:rPr>
          <w:rStyle w:val="TextoNormalNegritaCaracter"/>
        </w:rPr>
        <w:t>Decretos-leyes autonómicos</w:t>
      </w:r>
      <w:bookmarkEnd w:id="1381"/>
      <w:r w:rsidRPr="00924F59">
        <w:rPr>
          <w:rStyle w:val="TextoNormalCaracter"/>
        </w:rPr>
        <w:t xml:space="preserve">, Sentencia </w:t>
      </w:r>
      <w:hyperlink w:anchor="SENTENCIA_2016_38" w:history="1">
        <w:r w:rsidRPr="00924F59">
          <w:rPr>
            <w:rStyle w:val="TextoNormalCaracter"/>
          </w:rPr>
          <w:t>38/2016</w:t>
        </w:r>
      </w:hyperlink>
      <w:r w:rsidRPr="00924F59">
        <w:rPr>
          <w:rStyle w:val="TextoNormalCaracter"/>
        </w:rPr>
        <w:t>, f. 2.</w:t>
      </w:r>
    </w:p>
    <w:p w:rsidR="00924F59" w:rsidRPr="00924F59" w:rsidRDefault="00924F59" w:rsidP="00924F59">
      <w:pPr>
        <w:pStyle w:val="TextoNormalSangraFrancesa"/>
        <w:rPr>
          <w:rStyle w:val="TextoNormalCaracter"/>
        </w:rPr>
      </w:pPr>
      <w:bookmarkStart w:id="1382" w:name="DESCRIPTORALFABETICO558"/>
      <w:r w:rsidRPr="00924F59">
        <w:rPr>
          <w:rStyle w:val="TextoNormalNegritaCaracter"/>
        </w:rPr>
        <w:t>Dedicación del profesorado universitario</w:t>
      </w:r>
      <w:bookmarkEnd w:id="1382"/>
      <w:r w:rsidRPr="00924F59">
        <w:rPr>
          <w:rStyle w:val="TextoNormalCaracter"/>
        </w:rPr>
        <w:t xml:space="preserve">, Sentencias </w:t>
      </w:r>
      <w:hyperlink w:anchor="SENTENCIA_2016_26" w:history="1">
        <w:r w:rsidRPr="00924F59">
          <w:rPr>
            <w:rStyle w:val="TextoNormalCaracter"/>
          </w:rPr>
          <w:t>26/2016</w:t>
        </w:r>
      </w:hyperlink>
      <w:r w:rsidRPr="00924F59">
        <w:rPr>
          <w:rStyle w:val="TextoNormalCaracter"/>
        </w:rPr>
        <w:t xml:space="preserve">, ff. 8, 9, VP; </w:t>
      </w:r>
      <w:hyperlink w:anchor="SENTENCIA_2016_84" w:history="1">
        <w:r w:rsidRPr="00924F59">
          <w:rPr>
            <w:rStyle w:val="TextoNormalCaracter"/>
          </w:rPr>
          <w:t>84/2016</w:t>
        </w:r>
      </w:hyperlink>
      <w:r w:rsidRPr="00924F59">
        <w:rPr>
          <w:rStyle w:val="TextoNormalCaracter"/>
        </w:rPr>
        <w:t>, ff. 5 d), VP.</w:t>
      </w:r>
    </w:p>
    <w:p w:rsidR="00924F59" w:rsidRPr="00924F59" w:rsidRDefault="00924F59" w:rsidP="00924F59">
      <w:pPr>
        <w:pStyle w:val="TextoNormalSangraFrancesa"/>
        <w:rPr>
          <w:rStyle w:val="TextoNormalCaracter"/>
        </w:rPr>
      </w:pPr>
      <w:bookmarkStart w:id="1383" w:name="DESCRIPTORALFABETICO199"/>
      <w:r w:rsidRPr="00924F59">
        <w:rPr>
          <w:rStyle w:val="TextoNormalNegritaCaracter"/>
        </w:rPr>
        <w:t>Defectos estructurales de la Administración de justicia</w:t>
      </w:r>
      <w:bookmarkEnd w:id="1383"/>
      <w:r w:rsidRPr="00924F59">
        <w:rPr>
          <w:rStyle w:val="TextoNormalCaracter"/>
        </w:rPr>
        <w:t xml:space="preserve">, Sentencias </w:t>
      </w:r>
      <w:hyperlink w:anchor="SENTENCIA_2016_63" w:history="1">
        <w:r w:rsidRPr="00924F59">
          <w:rPr>
            <w:rStyle w:val="TextoNormalCaracter"/>
          </w:rPr>
          <w:t>63/2016</w:t>
        </w:r>
      </w:hyperlink>
      <w:r w:rsidRPr="00924F59">
        <w:rPr>
          <w:rStyle w:val="TextoNormalCaracter"/>
        </w:rPr>
        <w:t xml:space="preserve">, f. 6; </w:t>
      </w:r>
      <w:hyperlink w:anchor="SENTENCIA_2016_75" w:history="1">
        <w:r w:rsidRPr="00924F59">
          <w:rPr>
            <w:rStyle w:val="TextoNormalCaracter"/>
          </w:rPr>
          <w:t>75/2016</w:t>
        </w:r>
      </w:hyperlink>
      <w:r w:rsidRPr="00924F59">
        <w:rPr>
          <w:rStyle w:val="TextoNormalCaracter"/>
        </w:rPr>
        <w:t xml:space="preserve">, f. 6; </w:t>
      </w:r>
      <w:hyperlink w:anchor="SENTENCIA_2016_76" w:history="1">
        <w:r w:rsidRPr="00924F59">
          <w:rPr>
            <w:rStyle w:val="TextoNormalCaracter"/>
          </w:rPr>
          <w:t>76/2016</w:t>
        </w:r>
      </w:hyperlink>
      <w:r w:rsidRPr="00924F59">
        <w:rPr>
          <w:rStyle w:val="TextoNormalCaracter"/>
        </w:rPr>
        <w:t xml:space="preserve">, f. 4; </w:t>
      </w:r>
      <w:hyperlink w:anchor="SENTENCIA_2016_77" w:history="1">
        <w:r w:rsidRPr="00924F59">
          <w:rPr>
            <w:rStyle w:val="TextoNormalCaracter"/>
          </w:rPr>
          <w:t>77/2016</w:t>
        </w:r>
      </w:hyperlink>
      <w:r w:rsidRPr="00924F59">
        <w:rPr>
          <w:rStyle w:val="TextoNormalCaracter"/>
        </w:rPr>
        <w:t xml:space="preserve">, f. 6; </w:t>
      </w:r>
      <w:hyperlink w:anchor="SENTENCIA_2016_89" w:history="1">
        <w:r w:rsidRPr="00924F59">
          <w:rPr>
            <w:rStyle w:val="TextoNormalCaracter"/>
          </w:rPr>
          <w:t>89/2016</w:t>
        </w:r>
      </w:hyperlink>
      <w:r w:rsidRPr="00924F59">
        <w:rPr>
          <w:rStyle w:val="TextoNormalCaracter"/>
        </w:rPr>
        <w:t xml:space="preserve">, f. 6; </w:t>
      </w:r>
      <w:hyperlink w:anchor="SENTENCIA_2016_103" w:history="1">
        <w:r w:rsidRPr="00924F59">
          <w:rPr>
            <w:rStyle w:val="TextoNormalCaracter"/>
          </w:rPr>
          <w:t>103/2016</w:t>
        </w:r>
      </w:hyperlink>
      <w:r w:rsidRPr="00924F59">
        <w:rPr>
          <w:rStyle w:val="TextoNormalCaracter"/>
        </w:rPr>
        <w:t>, f. 6.</w:t>
      </w:r>
    </w:p>
    <w:p w:rsidR="00924F59" w:rsidRPr="00924F59" w:rsidRDefault="00924F59" w:rsidP="00924F59">
      <w:pPr>
        <w:pStyle w:val="TextoNormalSangraFrancesa"/>
        <w:rPr>
          <w:rStyle w:val="TextoNormalCaracter"/>
        </w:rPr>
      </w:pPr>
      <w:bookmarkStart w:id="1384" w:name="DESCRIPTORALFABETICO811"/>
      <w:r w:rsidRPr="00924F59">
        <w:rPr>
          <w:rStyle w:val="TextoNormalNegritaCaracter"/>
        </w:rPr>
        <w:t>Defectos procesales insubsanables</w:t>
      </w:r>
      <w:bookmarkEnd w:id="1384"/>
      <w:r w:rsidRPr="00924F59">
        <w:rPr>
          <w:rStyle w:val="TextoNormalCaracter"/>
        </w:rPr>
        <w:t xml:space="preserve">, Sentencia </w:t>
      </w:r>
      <w:hyperlink w:anchor="SENTENCIA_2016_24" w:history="1">
        <w:r w:rsidRPr="00924F59">
          <w:rPr>
            <w:rStyle w:val="TextoNormalCaracter"/>
          </w:rPr>
          <w:t>24/2016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385" w:name="DESCRIPTORALFABETICO530"/>
      <w:r w:rsidRPr="00924F59">
        <w:rPr>
          <w:rStyle w:val="TextoNormalNegritaCaracter"/>
        </w:rPr>
        <w:t>Defensa de la competencia</w:t>
      </w:r>
      <w:bookmarkEnd w:id="1385"/>
      <w:r w:rsidRPr="00924F59">
        <w:rPr>
          <w:rStyle w:val="TextoNormalCaracter"/>
        </w:rPr>
        <w:t xml:space="preserve">, Sentencia </w:t>
      </w:r>
      <w:hyperlink w:anchor="SENTENCIA_2016_18" w:history="1">
        <w:r w:rsidRPr="00924F59">
          <w:rPr>
            <w:rStyle w:val="TextoNormalCaracter"/>
          </w:rPr>
          <w:t>18/2016</w:t>
        </w:r>
      </w:hyperlink>
      <w:r w:rsidRPr="00924F59">
        <w:rPr>
          <w:rStyle w:val="TextoNormalCaracter"/>
        </w:rPr>
        <w:t>, f. 10.</w:t>
      </w:r>
    </w:p>
    <w:p w:rsidR="00924F59" w:rsidRPr="00924F59" w:rsidRDefault="00924F59" w:rsidP="00924F59">
      <w:pPr>
        <w:pStyle w:val="TextoNormalSangraFrancesa"/>
        <w:rPr>
          <w:rStyle w:val="TextoNormalCaracter"/>
        </w:rPr>
      </w:pPr>
      <w:bookmarkStart w:id="1386" w:name="DESCRIPTORALFABETICO100"/>
      <w:r w:rsidRPr="00924F59">
        <w:rPr>
          <w:rStyle w:val="TextoNormalNegritaCaracter"/>
        </w:rPr>
        <w:t>Déficit público</w:t>
      </w:r>
      <w:bookmarkEnd w:id="1386"/>
      <w:r w:rsidRPr="00924F59">
        <w:rPr>
          <w:rStyle w:val="TextoNormalCaracter"/>
        </w:rPr>
        <w:t xml:space="preserve">, Sentencia </w:t>
      </w:r>
      <w:hyperlink w:anchor="SENTENCIA_2016_1" w:history="1">
        <w:r w:rsidRPr="00924F59">
          <w:rPr>
            <w:rStyle w:val="TextoNormalCaracter"/>
          </w:rPr>
          <w:t>1/2016</w:t>
        </w:r>
      </w:hyperlink>
      <w:r w:rsidRPr="00924F59">
        <w:rPr>
          <w:rStyle w:val="TextoNormalCaracter"/>
        </w:rPr>
        <w:t>, f. 1.</w:t>
      </w:r>
    </w:p>
    <w:p w:rsidR="00924F59" w:rsidRPr="00924F59" w:rsidRDefault="00924F59" w:rsidP="00924F59">
      <w:pPr>
        <w:pStyle w:val="TextoNormalSangraFrancesa"/>
        <w:rPr>
          <w:rStyle w:val="TextoNormalCaracter"/>
        </w:rPr>
      </w:pPr>
      <w:bookmarkStart w:id="1387" w:name="DESCRIPTORALFABETICO565"/>
      <w:r w:rsidRPr="00924F59">
        <w:rPr>
          <w:rStyle w:val="TextoNormalNegritaCaracter"/>
        </w:rPr>
        <w:t>Déficit tarifario del sistema eléctrico</w:t>
      </w:r>
      <w:bookmarkEnd w:id="1387"/>
      <w:r w:rsidRPr="00924F59">
        <w:rPr>
          <w:rStyle w:val="TextoNormalCaracter"/>
        </w:rPr>
        <w:t xml:space="preserve">, Sentencias </w:t>
      </w:r>
      <w:hyperlink w:anchor="SENTENCIA_2016_19" w:history="1">
        <w:r w:rsidRPr="00924F59">
          <w:rPr>
            <w:rStyle w:val="TextoNormalCaracter"/>
          </w:rPr>
          <w:t>19/2016</w:t>
        </w:r>
      </w:hyperlink>
      <w:r w:rsidRPr="00924F59">
        <w:rPr>
          <w:rStyle w:val="TextoNormalCaracter"/>
        </w:rPr>
        <w:t xml:space="preserve">, ff. 1, 3; </w:t>
      </w:r>
      <w:hyperlink w:anchor="SENTENCIA_2016_29" w:history="1">
        <w:r w:rsidRPr="00924F59">
          <w:rPr>
            <w:rStyle w:val="TextoNormalCaracter"/>
          </w:rPr>
          <w:t>29/2016</w:t>
        </w:r>
      </w:hyperlink>
      <w:r w:rsidRPr="00924F59">
        <w:rPr>
          <w:rStyle w:val="TextoNormalCaracter"/>
        </w:rPr>
        <w:t xml:space="preserve">, ff. 1, 3; </w:t>
      </w:r>
      <w:hyperlink w:anchor="SENTENCIA_2016_30" w:history="1">
        <w:r w:rsidRPr="00924F59">
          <w:rPr>
            <w:rStyle w:val="TextoNormalCaracter"/>
          </w:rPr>
          <w:t>30/2016</w:t>
        </w:r>
      </w:hyperlink>
      <w:r w:rsidRPr="00924F59">
        <w:rPr>
          <w:rStyle w:val="TextoNormalCaracter"/>
        </w:rPr>
        <w:t xml:space="preserve">, ff. 1, 3; </w:t>
      </w:r>
      <w:hyperlink w:anchor="SENTENCIA_2016_42" w:history="1">
        <w:r w:rsidRPr="00924F59">
          <w:rPr>
            <w:rStyle w:val="TextoNormalCaracter"/>
          </w:rPr>
          <w:t>42/2016</w:t>
        </w:r>
      </w:hyperlink>
      <w:r w:rsidRPr="00924F59">
        <w:rPr>
          <w:rStyle w:val="TextoNormalCaracter"/>
        </w:rPr>
        <w:t xml:space="preserve">, ff. 1, 3; </w:t>
      </w:r>
      <w:hyperlink w:anchor="SENTENCIA_2016_61" w:history="1">
        <w:r w:rsidRPr="00924F59">
          <w:rPr>
            <w:rStyle w:val="TextoNormalCaracter"/>
          </w:rPr>
          <w:t>61/2016</w:t>
        </w:r>
      </w:hyperlink>
      <w:r w:rsidRPr="00924F59">
        <w:rPr>
          <w:rStyle w:val="TextoNormalCaracter"/>
        </w:rPr>
        <w:t>, ff. 1, 3.</w:t>
      </w:r>
    </w:p>
    <w:p w:rsidR="00924F59" w:rsidRPr="00924F59" w:rsidRDefault="00924F59" w:rsidP="00924F59">
      <w:pPr>
        <w:pStyle w:val="TextoNormalSangraFrancesa"/>
        <w:rPr>
          <w:rStyle w:val="TextoNormalCaracter"/>
        </w:rPr>
      </w:pPr>
      <w:bookmarkStart w:id="1388" w:name="DESCRIPTORALFABETICO27"/>
      <w:r w:rsidRPr="00924F59">
        <w:rPr>
          <w:rStyle w:val="TextoNormalNegritaCaracter"/>
        </w:rPr>
        <w:t>Delimitación de competencias</w:t>
      </w:r>
      <w:bookmarkEnd w:id="1388"/>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ff. 3, 7.</w:t>
      </w:r>
    </w:p>
    <w:p w:rsidR="00924F59" w:rsidRPr="00924F59" w:rsidRDefault="00924F59" w:rsidP="00924F59">
      <w:pPr>
        <w:pStyle w:val="TextoNormalSangraFrancesa"/>
        <w:rPr>
          <w:rStyle w:val="TextoNormalCaracter"/>
        </w:rPr>
      </w:pPr>
      <w:bookmarkStart w:id="1389" w:name="DESCRIPTORALFABETICO399"/>
      <w:r w:rsidRPr="00924F59">
        <w:rPr>
          <w:rStyle w:val="TextoNormalNegritaCaracter"/>
        </w:rPr>
        <w:t>Delimitación de la inviolabilidad parlamentaria</w:t>
      </w:r>
      <w:bookmarkEnd w:id="1389"/>
      <w:r w:rsidRPr="00924F59">
        <w:rPr>
          <w:rStyle w:val="TextoNormalCaracter"/>
        </w:rPr>
        <w:t xml:space="preserve">, Sentencia </w:t>
      </w:r>
      <w:hyperlink w:anchor="SENTENCIA_2016_78" w:history="1">
        <w:r w:rsidRPr="00924F59">
          <w:rPr>
            <w:rStyle w:val="TextoNormalCaracter"/>
          </w:rPr>
          <w:t>78/2016</w:t>
        </w:r>
      </w:hyperlink>
      <w:r w:rsidRPr="00924F59">
        <w:rPr>
          <w:rStyle w:val="TextoNormalCaracter"/>
        </w:rPr>
        <w:t>, f. 3.</w:t>
      </w:r>
    </w:p>
    <w:p w:rsidR="00924F59" w:rsidRPr="00924F59" w:rsidRDefault="00924F59" w:rsidP="00924F59">
      <w:pPr>
        <w:pStyle w:val="TextoNormalSangraFrancesa"/>
        <w:rPr>
          <w:rStyle w:val="TextoNormalCaracter"/>
        </w:rPr>
      </w:pPr>
      <w:bookmarkStart w:id="1390" w:name="DESCRIPTORALFABETICO769"/>
      <w:r w:rsidRPr="00924F59">
        <w:rPr>
          <w:rStyle w:val="TextoNormalNegritaCaracter"/>
        </w:rPr>
        <w:t>Delimitación de los conceptos telecomunicaciones y radiocomunicaciones</w:t>
      </w:r>
      <w:bookmarkEnd w:id="1390"/>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 2.</w:t>
      </w:r>
    </w:p>
    <w:p w:rsidR="00924F59" w:rsidRPr="00924F59" w:rsidRDefault="00924F59" w:rsidP="00924F59">
      <w:pPr>
        <w:pStyle w:val="TextoNormalSangraFrancesa"/>
        <w:rPr>
          <w:rStyle w:val="TextoNormalCaracter"/>
        </w:rPr>
      </w:pPr>
      <w:bookmarkStart w:id="1391" w:name="DESCRIPTORALFABETICO206"/>
      <w:r w:rsidRPr="00924F59">
        <w:rPr>
          <w:rStyle w:val="TextoNormalNegritaCaracter"/>
        </w:rPr>
        <w:t>Delimitación de los derechos a la libre expresión e información</w:t>
      </w:r>
      <w:bookmarkEnd w:id="1391"/>
      <w:r w:rsidRPr="00924F59">
        <w:rPr>
          <w:rStyle w:val="TextoNormalCaracter"/>
        </w:rPr>
        <w:t xml:space="preserve">, Sentencia </w:t>
      </w:r>
      <w:hyperlink w:anchor="SENTENCIA_2016_112" w:history="1">
        <w:r w:rsidRPr="00924F59">
          <w:rPr>
            <w:rStyle w:val="TextoNormalCaracter"/>
          </w:rPr>
          <w:t>112/2016</w:t>
        </w:r>
      </w:hyperlink>
      <w:r w:rsidRPr="00924F59">
        <w:rPr>
          <w:rStyle w:val="TextoNormalCaracter"/>
        </w:rPr>
        <w:t>, ff. 2 a 4, 6.</w:t>
      </w:r>
    </w:p>
    <w:p w:rsidR="00924F59" w:rsidRPr="00924F59" w:rsidRDefault="00924F59" w:rsidP="00924F59">
      <w:pPr>
        <w:pStyle w:val="TextoNormalSangraFrancesa"/>
        <w:rPr>
          <w:rStyle w:val="TextoNormalCaracter"/>
        </w:rPr>
      </w:pPr>
      <w:bookmarkStart w:id="1392" w:name="DESCRIPTORALFABETICO536"/>
      <w:r w:rsidRPr="00924F59">
        <w:rPr>
          <w:rStyle w:val="TextoNormalNegritaCaracter"/>
        </w:rPr>
        <w:t>Delimitación del derecho de propiedad</w:t>
      </w:r>
      <w:bookmarkEnd w:id="1392"/>
      <w:r w:rsidRPr="00924F59">
        <w:rPr>
          <w:rStyle w:val="TextoNormalCaracter"/>
        </w:rPr>
        <w:t xml:space="preserve">, Auto </w:t>
      </w:r>
      <w:hyperlink w:anchor="AUTO_2016_70" w:history="1">
        <w:r w:rsidRPr="00924F59">
          <w:rPr>
            <w:rStyle w:val="TextoNormalCaracter"/>
          </w:rPr>
          <w:t>70/2016</w:t>
        </w:r>
      </w:hyperlink>
      <w:r w:rsidRPr="00924F59">
        <w:rPr>
          <w:rStyle w:val="TextoNormalCaracter"/>
        </w:rPr>
        <w:t>, f. 6.</w:t>
      </w:r>
    </w:p>
    <w:p w:rsidR="00924F59" w:rsidRPr="00924F59" w:rsidRDefault="00924F59" w:rsidP="00924F59">
      <w:pPr>
        <w:pStyle w:val="TextoNormalSangraFrancesa"/>
        <w:rPr>
          <w:rStyle w:val="TextoNormalCaracter"/>
        </w:rPr>
      </w:pPr>
      <w:bookmarkStart w:id="1393" w:name="DESCRIPTORALFABETICO469"/>
      <w:r w:rsidRPr="00924F59">
        <w:rPr>
          <w:rStyle w:val="TextoNormalNegritaCaracter"/>
        </w:rPr>
        <w:t>Delimitación territorial provincial</w:t>
      </w:r>
      <w:bookmarkEnd w:id="1393"/>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5.</w:t>
      </w:r>
    </w:p>
    <w:p w:rsidR="00924F59" w:rsidRPr="00924F59" w:rsidRDefault="00924F59" w:rsidP="00924F59">
      <w:pPr>
        <w:pStyle w:val="TextoNormalSangraFrancesa"/>
        <w:rPr>
          <w:rStyle w:val="TextoNormalCaracter"/>
        </w:rPr>
      </w:pPr>
      <w:bookmarkStart w:id="1394" w:name="DESCRIPTORALFABETICO598"/>
      <w:r w:rsidRPr="00924F59">
        <w:rPr>
          <w:rStyle w:val="TextoNormalNegritaCaracter"/>
        </w:rPr>
        <w:t>Delitos contra la propiedad industrial</w:t>
      </w:r>
      <w:bookmarkEnd w:id="1394"/>
      <w:r w:rsidRPr="00924F59">
        <w:rPr>
          <w:rStyle w:val="TextoNormalCaracter"/>
        </w:rPr>
        <w:t xml:space="preserve">, Auto </w:t>
      </w:r>
      <w:hyperlink w:anchor="AUTO_2016_112" w:history="1">
        <w:r w:rsidRPr="00924F59">
          <w:rPr>
            <w:rStyle w:val="TextoNormalCaracter"/>
          </w:rPr>
          <w:t>112/2016</w:t>
        </w:r>
      </w:hyperlink>
      <w:r w:rsidRPr="00924F59">
        <w:rPr>
          <w:rStyle w:val="TextoNormalCaracter"/>
        </w:rPr>
        <w:t>, f. 3, VP.</w:t>
      </w:r>
    </w:p>
    <w:p w:rsidR="00924F59" w:rsidRPr="00924F59" w:rsidRDefault="00924F59" w:rsidP="00924F59">
      <w:pPr>
        <w:pStyle w:val="TextoNormalSangraFrancesa"/>
        <w:rPr>
          <w:rStyle w:val="TextoNormalCaracter"/>
        </w:rPr>
      </w:pPr>
      <w:bookmarkStart w:id="1395" w:name="DESCRIPTORALFABETICO781"/>
      <w:r w:rsidRPr="00924F59">
        <w:rPr>
          <w:rStyle w:val="TextoNormalNegritaCaracter"/>
        </w:rPr>
        <w:t>Denegación de crédito horario</w:t>
      </w:r>
      <w:bookmarkEnd w:id="1395"/>
      <w:r w:rsidRPr="00924F59">
        <w:rPr>
          <w:rStyle w:val="TextoNormalCaracter"/>
        </w:rPr>
        <w:t xml:space="preserve">, Sentencia </w:t>
      </w:r>
      <w:hyperlink w:anchor="SENTENCIA_2016_64" w:history="1">
        <w:r w:rsidRPr="00924F59">
          <w:rPr>
            <w:rStyle w:val="TextoNormalCaracter"/>
          </w:rPr>
          <w:t>64/2016</w:t>
        </w:r>
      </w:hyperlink>
      <w:r w:rsidRPr="00924F59">
        <w:rPr>
          <w:rStyle w:val="TextoNormalCaracter"/>
        </w:rPr>
        <w:t>, f. 5, VP.</w:t>
      </w:r>
    </w:p>
    <w:p w:rsidR="00924F59" w:rsidRPr="00924F59" w:rsidRDefault="00924F59" w:rsidP="00924F59">
      <w:pPr>
        <w:pStyle w:val="TextoNormalSangraFrancesa"/>
        <w:rPr>
          <w:rStyle w:val="TextoNormalCaracter"/>
        </w:rPr>
      </w:pPr>
      <w:bookmarkStart w:id="1396" w:name="DESCRIPTORALFABETICO745"/>
      <w:r w:rsidRPr="00924F59">
        <w:rPr>
          <w:rStyle w:val="TextoNormalNegritaCaracter"/>
        </w:rPr>
        <w:t>Denegación de indulto</w:t>
      </w:r>
      <w:bookmarkEnd w:id="1396"/>
      <w:r w:rsidRPr="00924F59">
        <w:rPr>
          <w:rStyle w:val="TextoNormalCaracter"/>
        </w:rPr>
        <w:t xml:space="preserve">, Sentencias </w:t>
      </w:r>
      <w:hyperlink w:anchor="SENTENCIA_2016_12" w:history="1">
        <w:r w:rsidRPr="00924F59">
          <w:rPr>
            <w:rStyle w:val="TextoNormalCaracter"/>
          </w:rPr>
          <w:t>12/2016</w:t>
        </w:r>
      </w:hyperlink>
      <w:r w:rsidRPr="00924F59">
        <w:rPr>
          <w:rStyle w:val="TextoNormalCaracter"/>
        </w:rPr>
        <w:t xml:space="preserve">, ff. 4, 5; </w:t>
      </w:r>
      <w:hyperlink w:anchor="SENTENCIA_2016_14" w:history="1">
        <w:r w:rsidRPr="00924F59">
          <w:rPr>
            <w:rStyle w:val="TextoNormalCaracter"/>
          </w:rPr>
          <w:t>14/2016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1397" w:name="DESCRIPTORALFABETICO829"/>
      <w:r w:rsidRPr="00924F59">
        <w:rPr>
          <w:rStyle w:val="TextoNormalNegritaCaracter"/>
        </w:rPr>
        <w:t>Denegación de justicia gratuita</w:t>
      </w:r>
      <w:bookmarkEnd w:id="1397"/>
      <w:r w:rsidRPr="00924F59">
        <w:rPr>
          <w:rStyle w:val="TextoNormalCaracter"/>
        </w:rPr>
        <w:t xml:space="preserve">, Auto </w:t>
      </w:r>
      <w:hyperlink w:anchor="AUTO_2016_67" w:history="1">
        <w:r w:rsidRPr="00924F59">
          <w:rPr>
            <w:rStyle w:val="TextoNormalCaracter"/>
          </w:rPr>
          <w:t>67/2016</w:t>
        </w:r>
      </w:hyperlink>
      <w:r w:rsidRPr="00924F59">
        <w:rPr>
          <w:rStyle w:val="TextoNormalCaracter"/>
        </w:rPr>
        <w:t>, f. 2.</w:t>
      </w:r>
    </w:p>
    <w:p w:rsidR="00924F59" w:rsidRPr="00924F59" w:rsidRDefault="00924F59" w:rsidP="00924F59">
      <w:pPr>
        <w:pStyle w:val="TextoNormalSangraFrancesa"/>
        <w:rPr>
          <w:rStyle w:val="TextoNormalCaracter"/>
        </w:rPr>
      </w:pPr>
      <w:bookmarkStart w:id="1398" w:name="DESCRIPTORALFABETICO718"/>
      <w:r w:rsidRPr="00924F59">
        <w:rPr>
          <w:rStyle w:val="TextoNormalNegritaCaracter"/>
        </w:rPr>
        <w:t>Denegación de la suspensión de la ejecución de la pena</w:t>
      </w:r>
      <w:bookmarkEnd w:id="1398"/>
      <w:r w:rsidRPr="00924F59">
        <w:rPr>
          <w:rStyle w:val="TextoNormalCaracter"/>
        </w:rPr>
        <w:t xml:space="preserve">, Auto </w:t>
      </w:r>
      <w:hyperlink w:anchor="AUTO_2016_2" w:history="1">
        <w:r w:rsidRPr="00924F59">
          <w:rPr>
            <w:rStyle w:val="TextoNormalCaracter"/>
          </w:rPr>
          <w:t>2/2016</w:t>
        </w:r>
      </w:hyperlink>
      <w:r w:rsidRPr="00924F59">
        <w:rPr>
          <w:rStyle w:val="TextoNormalCaracter"/>
        </w:rPr>
        <w:t>, f. 2.</w:t>
      </w:r>
    </w:p>
    <w:p w:rsidR="00924F59" w:rsidRPr="00924F59" w:rsidRDefault="00924F59" w:rsidP="00924F59">
      <w:pPr>
        <w:pStyle w:val="TextoNormalSangraFrancesa"/>
        <w:rPr>
          <w:rStyle w:val="TextoNormalCaracter"/>
        </w:rPr>
      </w:pPr>
      <w:bookmarkStart w:id="1399" w:name="DESCRIPTORALFABETICO836"/>
      <w:r w:rsidRPr="00924F59">
        <w:rPr>
          <w:rStyle w:val="TextoNormalNegritaCaracter"/>
        </w:rPr>
        <w:t>Denegación de legitimación procesal</w:t>
      </w:r>
      <w:bookmarkEnd w:id="1399"/>
      <w:r w:rsidRPr="00924F59">
        <w:rPr>
          <w:rStyle w:val="TextoNormalCaracter"/>
        </w:rPr>
        <w:t xml:space="preserve">, Auto </w:t>
      </w:r>
      <w:hyperlink w:anchor="AUTO_2016_35" w:history="1">
        <w:r w:rsidRPr="00924F59">
          <w:rPr>
            <w:rStyle w:val="TextoNormalCaracter"/>
          </w:rPr>
          <w:t>35/2016</w:t>
        </w:r>
      </w:hyperlink>
      <w:r w:rsidRPr="00924F59">
        <w:rPr>
          <w:rStyle w:val="TextoNormalCaracter"/>
        </w:rPr>
        <w:t>, ff. 1, 3, 4.</w:t>
      </w:r>
    </w:p>
    <w:p w:rsidR="00924F59" w:rsidRPr="00924F59" w:rsidRDefault="00924F59" w:rsidP="00924F59">
      <w:pPr>
        <w:pStyle w:val="TextoNormalSangraFrancesa"/>
        <w:rPr>
          <w:rStyle w:val="TextoNormalCaracter"/>
        </w:rPr>
      </w:pPr>
      <w:bookmarkStart w:id="1400" w:name="DESCRIPTORALFABETICO759"/>
      <w:r w:rsidRPr="00924F59">
        <w:rPr>
          <w:rStyle w:val="TextoNormalNegritaCaracter"/>
        </w:rPr>
        <w:t>Denegación de pensión de viudedad</w:t>
      </w:r>
      <w:bookmarkEnd w:id="1400"/>
      <w:r w:rsidRPr="00924F59">
        <w:rPr>
          <w:rStyle w:val="TextoNormalCaracter"/>
        </w:rPr>
        <w:t xml:space="preserve">, Sentencia </w:t>
      </w:r>
      <w:hyperlink w:anchor="SENTENCIA_2016_81" w:history="1">
        <w:r w:rsidRPr="00924F59">
          <w:rPr>
            <w:rStyle w:val="TextoNormalCaracter"/>
          </w:rPr>
          <w:t>81/2016</w:t>
        </w:r>
      </w:hyperlink>
      <w:r w:rsidRPr="00924F59">
        <w:rPr>
          <w:rStyle w:val="TextoNormalCaracter"/>
        </w:rPr>
        <w:t>, f. 1.</w:t>
      </w:r>
    </w:p>
    <w:p w:rsidR="00924F59" w:rsidRPr="00924F59" w:rsidRDefault="00924F59" w:rsidP="00924F59">
      <w:pPr>
        <w:pStyle w:val="TextoNormalSangraFrancesa"/>
        <w:rPr>
          <w:rStyle w:val="TextoNormalCaracter"/>
        </w:rPr>
      </w:pPr>
      <w:bookmarkStart w:id="1401" w:name="DESCRIPTORALFABETICO816"/>
      <w:r w:rsidRPr="00924F59">
        <w:rPr>
          <w:rStyle w:val="TextoNormalNegritaCaracter"/>
        </w:rPr>
        <w:t>Denegación de personación</w:t>
      </w:r>
      <w:bookmarkEnd w:id="1401"/>
      <w:r w:rsidRPr="00924F59">
        <w:rPr>
          <w:rStyle w:val="TextoNormalCaracter"/>
        </w:rPr>
        <w:t xml:space="preserve">, Sentencia </w:t>
      </w:r>
      <w:hyperlink w:anchor="SENTENCIA_2016_15" w:history="1">
        <w:r w:rsidRPr="00924F59">
          <w:rPr>
            <w:rStyle w:val="TextoNormalCaracter"/>
          </w:rPr>
          <w:t>15/2016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402" w:name="DESCRIPTORALFABETICO241"/>
      <w:r w:rsidRPr="00924F59">
        <w:rPr>
          <w:rStyle w:val="TextoNormalNegritaCaracter"/>
        </w:rPr>
        <w:t>Denegación de suspensión de resoluciones judiciales</w:t>
      </w:r>
      <w:bookmarkEnd w:id="1402"/>
      <w:r w:rsidRPr="00924F59">
        <w:rPr>
          <w:rStyle w:val="TextoNormalCaracter"/>
        </w:rPr>
        <w:t xml:space="preserve">, Autos </w:t>
      </w:r>
      <w:hyperlink w:anchor="AUTO_2016_3" w:history="1">
        <w:r w:rsidRPr="00924F59">
          <w:rPr>
            <w:rStyle w:val="TextoNormalCaracter"/>
          </w:rPr>
          <w:t>3/2016</w:t>
        </w:r>
      </w:hyperlink>
      <w:r w:rsidRPr="00924F59">
        <w:rPr>
          <w:rStyle w:val="TextoNormalCaracter"/>
        </w:rPr>
        <w:t xml:space="preserve">, f. 2; </w:t>
      </w:r>
      <w:hyperlink w:anchor="AUTO_2016_17" w:history="1">
        <w:r w:rsidRPr="00924F59">
          <w:rPr>
            <w:rStyle w:val="TextoNormalCaracter"/>
          </w:rPr>
          <w:t>17/2016</w:t>
        </w:r>
      </w:hyperlink>
      <w:r w:rsidRPr="00924F59">
        <w:rPr>
          <w:rStyle w:val="TextoNormalCaracter"/>
        </w:rPr>
        <w:t xml:space="preserve">, ff. 1, 2; </w:t>
      </w:r>
      <w:hyperlink w:anchor="AUTO_2016_19" w:history="1">
        <w:r w:rsidRPr="00924F59">
          <w:rPr>
            <w:rStyle w:val="TextoNormalCaracter"/>
          </w:rPr>
          <w:t>19/2016</w:t>
        </w:r>
      </w:hyperlink>
      <w:r w:rsidRPr="00924F59">
        <w:rPr>
          <w:rStyle w:val="TextoNormalCaracter"/>
        </w:rPr>
        <w:t>, ff. 1, 2, 3.</w:t>
      </w:r>
    </w:p>
    <w:p w:rsidR="00924F59" w:rsidRPr="00924F59" w:rsidRDefault="00924F59" w:rsidP="00924F59">
      <w:pPr>
        <w:pStyle w:val="TextoNormalSangraFrancesa"/>
        <w:rPr>
          <w:rStyle w:val="TextoNormalCaracter"/>
        </w:rPr>
      </w:pPr>
      <w:bookmarkStart w:id="1403" w:name="DESCRIPTORALFABETICO200"/>
      <w:r w:rsidRPr="00924F59">
        <w:rPr>
          <w:rStyle w:val="TextoNormalNegritaCaracter"/>
        </w:rPr>
        <w:t>Denuncia de las dilaciones</w:t>
      </w:r>
      <w:bookmarkEnd w:id="1403"/>
      <w:r w:rsidRPr="00924F59">
        <w:rPr>
          <w:rStyle w:val="TextoNormalCaracter"/>
        </w:rPr>
        <w:t xml:space="preserve">, Sentencias </w:t>
      </w:r>
      <w:hyperlink w:anchor="SENTENCIA_2016_63" w:history="1">
        <w:r w:rsidRPr="00924F59">
          <w:rPr>
            <w:rStyle w:val="TextoNormalCaracter"/>
          </w:rPr>
          <w:t>63/2016</w:t>
        </w:r>
      </w:hyperlink>
      <w:r w:rsidRPr="00924F59">
        <w:rPr>
          <w:rStyle w:val="TextoNormalCaracter"/>
        </w:rPr>
        <w:t xml:space="preserve">, f. 5; </w:t>
      </w:r>
      <w:hyperlink w:anchor="SENTENCIA_2016_75" w:history="1">
        <w:r w:rsidRPr="00924F59">
          <w:rPr>
            <w:rStyle w:val="TextoNormalCaracter"/>
          </w:rPr>
          <w:t>75/2016</w:t>
        </w:r>
      </w:hyperlink>
      <w:r w:rsidRPr="00924F59">
        <w:rPr>
          <w:rStyle w:val="TextoNormalCaracter"/>
        </w:rPr>
        <w:t xml:space="preserve">, f. 5; </w:t>
      </w:r>
      <w:hyperlink w:anchor="SENTENCIA_2016_76" w:history="1">
        <w:r w:rsidRPr="00924F59">
          <w:rPr>
            <w:rStyle w:val="TextoNormalCaracter"/>
          </w:rPr>
          <w:t>76/2016</w:t>
        </w:r>
      </w:hyperlink>
      <w:r w:rsidRPr="00924F59">
        <w:rPr>
          <w:rStyle w:val="TextoNormalCaracter"/>
        </w:rPr>
        <w:t xml:space="preserve">, f. 4; </w:t>
      </w:r>
      <w:hyperlink w:anchor="SENTENCIA_2016_77" w:history="1">
        <w:r w:rsidRPr="00924F59">
          <w:rPr>
            <w:rStyle w:val="TextoNormalCaracter"/>
          </w:rPr>
          <w:t>77/2016</w:t>
        </w:r>
      </w:hyperlink>
      <w:r w:rsidRPr="00924F59">
        <w:rPr>
          <w:rStyle w:val="TextoNormalCaracter"/>
        </w:rPr>
        <w:t xml:space="preserve">, f. 5; </w:t>
      </w:r>
      <w:hyperlink w:anchor="SENTENCIA_2016_89" w:history="1">
        <w:r w:rsidRPr="00924F59">
          <w:rPr>
            <w:rStyle w:val="TextoNormalCaracter"/>
          </w:rPr>
          <w:t>89/2016</w:t>
        </w:r>
      </w:hyperlink>
      <w:r w:rsidRPr="00924F59">
        <w:rPr>
          <w:rStyle w:val="TextoNormalCaracter"/>
        </w:rPr>
        <w:t xml:space="preserve">, f. 4; </w:t>
      </w:r>
      <w:hyperlink w:anchor="SENTENCIA_2016_103" w:history="1">
        <w:r w:rsidRPr="00924F59">
          <w:rPr>
            <w:rStyle w:val="TextoNormalCaracter"/>
          </w:rPr>
          <w:t>103/2016</w:t>
        </w:r>
      </w:hyperlink>
      <w:r w:rsidRPr="00924F59">
        <w:rPr>
          <w:rStyle w:val="TextoNormalCaracter"/>
        </w:rPr>
        <w:t>, f. 4.</w:t>
      </w:r>
    </w:p>
    <w:p w:rsidR="00924F59" w:rsidRPr="00924F59" w:rsidRDefault="00924F59" w:rsidP="00924F59">
      <w:pPr>
        <w:pStyle w:val="TextoNormalSangraFrancesa"/>
        <w:rPr>
          <w:rStyle w:val="TextoNormalCaracter"/>
        </w:rPr>
      </w:pPr>
      <w:bookmarkStart w:id="1404" w:name="DESCRIPTORALFABETICO129"/>
      <w:r w:rsidRPr="00924F59">
        <w:rPr>
          <w:rStyle w:val="TextoNormalNegritaCaracter"/>
        </w:rPr>
        <w:t>Derecho a contraer matrimonio</w:t>
      </w:r>
      <w:bookmarkEnd w:id="1404"/>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 4, VP.</w:t>
      </w:r>
    </w:p>
    <w:p w:rsidR="00924F59" w:rsidRPr="00924F59" w:rsidRDefault="00924F59" w:rsidP="00924F59">
      <w:pPr>
        <w:pStyle w:val="TextoNormalSangraFrancesa"/>
        <w:rPr>
          <w:rStyle w:val="TextoNormalCaracter"/>
        </w:rPr>
      </w:pPr>
      <w:bookmarkStart w:id="1405" w:name="DESCRIPTORALFABETICO125"/>
      <w:r w:rsidRPr="00924F59">
        <w:rPr>
          <w:rStyle w:val="TextoNormalNegritaCaracter"/>
        </w:rPr>
        <w:t>Derecho a ejercer los cargos públicos</w:t>
      </w:r>
      <w:bookmarkEnd w:id="1405"/>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Sentencias </w:t>
      </w:r>
      <w:hyperlink w:anchor="SENTENCIA_2016_10" w:history="1">
        <w:r w:rsidRPr="00924F59">
          <w:rPr>
            <w:rStyle w:val="TextoNormalCaracter"/>
          </w:rPr>
          <w:t>10/2016</w:t>
        </w:r>
      </w:hyperlink>
      <w:r w:rsidRPr="00924F59">
        <w:rPr>
          <w:rStyle w:val="TextoNormalCaracter"/>
        </w:rPr>
        <w:t xml:space="preserve">, ff. 1, 3 a 5; </w:t>
      </w:r>
      <w:hyperlink w:anchor="SENTENCIA_2016_78" w:history="1">
        <w:r w:rsidRPr="00924F59">
          <w:rPr>
            <w:rStyle w:val="TextoNormalCaracter"/>
          </w:rPr>
          <w:t>78/2016</w:t>
        </w:r>
      </w:hyperlink>
      <w:r w:rsidRPr="00924F59">
        <w:rPr>
          <w:rStyle w:val="TextoNormalCaracter"/>
        </w:rPr>
        <w:t>, ff. 2, 6.</w:t>
      </w:r>
    </w:p>
    <w:p w:rsidR="00924F59" w:rsidRPr="00924F59" w:rsidRDefault="00924F59" w:rsidP="00924F59">
      <w:pPr>
        <w:pStyle w:val="TextoNormalSangraFrancesa"/>
        <w:rPr>
          <w:rStyle w:val="TextoNormalCaracter"/>
        </w:rPr>
      </w:pPr>
      <w:bookmarkStart w:id="1406" w:name="DESCRIPTORALFABETICO130"/>
      <w:r w:rsidRPr="00924F59">
        <w:rPr>
          <w:rStyle w:val="TextoNormalNegritaCaracter"/>
        </w:rPr>
        <w:t>Derecho a la autonomía universitaria</w:t>
      </w:r>
      <w:bookmarkEnd w:id="1406"/>
      <w:r w:rsidRPr="00924F59">
        <w:rPr>
          <w:rStyle w:val="TextoNormalCaracter"/>
        </w:rPr>
        <w:t xml:space="preserve">, Sentencia </w:t>
      </w:r>
      <w:hyperlink w:anchor="SENTENCIA_2016_26" w:history="1">
        <w:r w:rsidRPr="00924F59">
          <w:rPr>
            <w:rStyle w:val="TextoNormalCaracter"/>
          </w:rPr>
          <w:t>26/2016</w:t>
        </w:r>
      </w:hyperlink>
      <w:r w:rsidRPr="00924F59">
        <w:rPr>
          <w:rStyle w:val="TextoNormalCaracter"/>
        </w:rPr>
        <w:t>, f. 8, VP.</w:t>
      </w:r>
    </w:p>
    <w:p w:rsidR="00924F59" w:rsidRPr="00924F59" w:rsidRDefault="00924F59" w:rsidP="00924F59">
      <w:pPr>
        <w:pStyle w:val="TextoNormalSangraFrancesa"/>
        <w:rPr>
          <w:rStyle w:val="TextoNormalCaracter"/>
        </w:rPr>
      </w:pPr>
      <w:r w:rsidRPr="00924F59">
        <w:rPr>
          <w:rStyle w:val="TextoNormalCursivaCaracter"/>
        </w:rPr>
        <w:t xml:space="preserve">    Respetada, </w:t>
      </w:r>
      <w:r w:rsidRPr="00924F59">
        <w:rPr>
          <w:rStyle w:val="TextoNormalCaracter"/>
        </w:rPr>
        <w:t xml:space="preserve">Sentencia </w:t>
      </w:r>
      <w:hyperlink w:anchor="SENTENCIA_2016_44" w:history="1">
        <w:r w:rsidRPr="00924F59">
          <w:rPr>
            <w:rStyle w:val="TextoNormalCaracter"/>
          </w:rPr>
          <w:t>44/2016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407" w:name="DESCRIPTORALFABETICO191"/>
      <w:r w:rsidRPr="00924F59">
        <w:rPr>
          <w:rStyle w:val="TextoNormalNegritaCaracter"/>
        </w:rPr>
        <w:t>Derecho a la defensa</w:t>
      </w:r>
      <w:bookmarkEnd w:id="1407"/>
      <w:r w:rsidRPr="00924F59">
        <w:rPr>
          <w:rStyle w:val="TextoNormalCaracter"/>
        </w:rPr>
        <w:t xml:space="preserve">, Auto </w:t>
      </w:r>
      <w:hyperlink w:anchor="AUTO_2016_82" w:history="1">
        <w:r w:rsidRPr="00924F59">
          <w:rPr>
            <w:rStyle w:val="TextoNormalCaracter"/>
          </w:rPr>
          <w:t>82/2016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408" w:name="DESCRIPTORALFABETICO131"/>
      <w:r w:rsidRPr="00924F59">
        <w:rPr>
          <w:rStyle w:val="TextoNormalNegritaCaracter"/>
        </w:rPr>
        <w:t>Derecho a la educación</w:t>
      </w:r>
      <w:bookmarkEnd w:id="1408"/>
      <w:r w:rsidRPr="00924F59">
        <w:rPr>
          <w:rStyle w:val="TextoNormalCaracter"/>
        </w:rPr>
        <w:t xml:space="preserve">, Sentencia </w:t>
      </w:r>
      <w:hyperlink w:anchor="SENTENCIA_2016_38" w:history="1">
        <w:r w:rsidRPr="00924F59">
          <w:rPr>
            <w:rStyle w:val="TextoNormalCaracter"/>
          </w:rPr>
          <w:t>38/2016</w:t>
        </w:r>
      </w:hyperlink>
      <w:r w:rsidRPr="00924F59">
        <w:rPr>
          <w:rStyle w:val="TextoNormalCaracter"/>
        </w:rPr>
        <w:t>, f. 6.</w:t>
      </w:r>
    </w:p>
    <w:p w:rsidR="00924F59" w:rsidRPr="00924F59" w:rsidRDefault="00924F59" w:rsidP="00924F59">
      <w:pPr>
        <w:pStyle w:val="TextoNormalSangraFrancesa"/>
        <w:rPr>
          <w:rStyle w:val="TextoNormalCaracter"/>
        </w:rPr>
      </w:pPr>
      <w:bookmarkStart w:id="1409" w:name="DESCRIPTORALFABETICO172"/>
      <w:r w:rsidRPr="00924F59">
        <w:rPr>
          <w:rStyle w:val="TextoNormalNegritaCaracter"/>
        </w:rPr>
        <w:t>Derecho a la ejecución de resoluciones judiciales</w:t>
      </w:r>
      <w:bookmarkEnd w:id="1409"/>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Respetado, </w:t>
      </w:r>
      <w:r w:rsidRPr="00924F59">
        <w:rPr>
          <w:rStyle w:val="TextoNormalCaracter"/>
        </w:rPr>
        <w:t xml:space="preserve">Sentencia </w:t>
      </w:r>
      <w:hyperlink w:anchor="SENTENCIA_2016_38" w:history="1">
        <w:r w:rsidRPr="00924F59">
          <w:rPr>
            <w:rStyle w:val="TextoNormalCaracter"/>
          </w:rPr>
          <w:t>38/2016</w:t>
        </w:r>
      </w:hyperlink>
      <w:r w:rsidRPr="00924F59">
        <w:rPr>
          <w:rStyle w:val="TextoNormalCaracter"/>
        </w:rPr>
        <w:t>, f. 7.</w:t>
      </w:r>
    </w:p>
    <w:p w:rsidR="00924F59" w:rsidRPr="00924F59" w:rsidRDefault="00924F59" w:rsidP="00924F59">
      <w:pPr>
        <w:pStyle w:val="TextoNormalSangraFrancesa"/>
        <w:rPr>
          <w:rStyle w:val="TextoNormalCaracter"/>
        </w:rPr>
      </w:pPr>
      <w:bookmarkStart w:id="1410" w:name="DESCRIPTORALFABETICO133"/>
      <w:r w:rsidRPr="00924F59">
        <w:rPr>
          <w:rStyle w:val="TextoNormalNegritaCaracter"/>
        </w:rPr>
        <w:t>Derecho a la huelga</w:t>
      </w:r>
      <w:bookmarkEnd w:id="1410"/>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Respetado, </w:t>
      </w:r>
      <w:r w:rsidRPr="00924F59">
        <w:rPr>
          <w:rStyle w:val="TextoNormalCaracter"/>
        </w:rPr>
        <w:t xml:space="preserve">Sentencia </w:t>
      </w:r>
      <w:hyperlink w:anchor="SENTENCIA_2016_45" w:history="1">
        <w:r w:rsidRPr="00924F59">
          <w:rPr>
            <w:rStyle w:val="TextoNormalCaracter"/>
          </w:rPr>
          <w:t>45/2016</w:t>
        </w:r>
      </w:hyperlink>
      <w:r w:rsidRPr="00924F59">
        <w:rPr>
          <w:rStyle w:val="TextoNormalCaracter"/>
        </w:rPr>
        <w:t>, ff. 1 a 5.</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 </w:t>
      </w:r>
      <w:hyperlink w:anchor="SENTENCIA_2016_69" w:history="1">
        <w:r w:rsidRPr="00924F59">
          <w:rPr>
            <w:rStyle w:val="TextoNormalCaracter"/>
          </w:rPr>
          <w:t>69/2016</w:t>
        </w:r>
      </w:hyperlink>
      <w:r w:rsidRPr="00924F59">
        <w:rPr>
          <w:rStyle w:val="TextoNormalCaracter"/>
        </w:rPr>
        <w:t>, ff. 2, 4, VP I, VP III.</w:t>
      </w:r>
    </w:p>
    <w:p w:rsidR="00924F59" w:rsidRPr="00924F59" w:rsidRDefault="00924F59" w:rsidP="00924F59">
      <w:pPr>
        <w:pStyle w:val="TextoNormalSangraFrancesa"/>
        <w:rPr>
          <w:rStyle w:val="TextoNormalCaracter"/>
        </w:rPr>
      </w:pPr>
      <w:bookmarkStart w:id="1411" w:name="DESCRIPTORALFABETICO148"/>
      <w:r w:rsidRPr="00924F59">
        <w:rPr>
          <w:rStyle w:val="TextoNormalNegritaCaracter"/>
        </w:rPr>
        <w:t>Derecho a la intimidad</w:t>
      </w:r>
      <w:bookmarkEnd w:id="1411"/>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Respetado, </w:t>
      </w:r>
      <w:r w:rsidRPr="00924F59">
        <w:rPr>
          <w:rStyle w:val="TextoNormalCaracter"/>
        </w:rPr>
        <w:t xml:space="preserve">Sentencia </w:t>
      </w:r>
      <w:hyperlink w:anchor="SENTENCIA_2016_39" w:history="1">
        <w:r w:rsidRPr="00924F59">
          <w:rPr>
            <w:rStyle w:val="TextoNormalCaracter"/>
          </w:rPr>
          <w:t>39/2016</w:t>
        </w:r>
      </w:hyperlink>
      <w:r w:rsidRPr="00924F59">
        <w:rPr>
          <w:rStyle w:val="TextoNormalCaracter"/>
        </w:rPr>
        <w:t>, f. 5.</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 </w:t>
      </w:r>
      <w:hyperlink w:anchor="SENTENCIA_2016_11" w:history="1">
        <w:r w:rsidRPr="00924F59">
          <w:rPr>
            <w:rStyle w:val="TextoNormalCaracter"/>
          </w:rPr>
          <w:t>11/2016</w:t>
        </w:r>
      </w:hyperlink>
      <w:r w:rsidRPr="00924F59">
        <w:rPr>
          <w:rStyle w:val="TextoNormalCaracter"/>
        </w:rPr>
        <w:t>, ff. 4, 5, VP I, III.</w:t>
      </w:r>
    </w:p>
    <w:p w:rsidR="00924F59" w:rsidRPr="00924F59" w:rsidRDefault="00924F59" w:rsidP="00924F59">
      <w:pPr>
        <w:pStyle w:val="TextoNormalSangraFrancesa"/>
        <w:rPr>
          <w:rStyle w:val="TextoNormalCaracter"/>
        </w:rPr>
      </w:pPr>
      <w:bookmarkStart w:id="1412" w:name="DESCRIPTORALFABETICO150"/>
      <w:r w:rsidRPr="00924F59">
        <w:rPr>
          <w:rStyle w:val="TextoNormalNegritaCaracter"/>
        </w:rPr>
        <w:t>Derecho a la intimidad en el ámbito laboral</w:t>
      </w:r>
      <w:bookmarkEnd w:id="1412"/>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413" w:name="DESCRIPTORALFABETICO151"/>
      <w:r w:rsidRPr="00924F59">
        <w:rPr>
          <w:rStyle w:val="TextoNormalNegritaCaracter"/>
        </w:rPr>
        <w:t>Derecho a la intimidad familiar</w:t>
      </w:r>
      <w:bookmarkEnd w:id="1413"/>
      <w:r w:rsidRPr="00924F59">
        <w:rPr>
          <w:rStyle w:val="TextoNormalCaracter"/>
        </w:rPr>
        <w:t xml:space="preserve">, Sentencia </w:t>
      </w:r>
      <w:hyperlink w:anchor="SENTENCIA_2016_11" w:history="1">
        <w:r w:rsidRPr="00924F59">
          <w:rPr>
            <w:rStyle w:val="TextoNormalCaracter"/>
          </w:rPr>
          <w:t>11/2016</w:t>
        </w:r>
      </w:hyperlink>
      <w:r w:rsidRPr="00924F59">
        <w:rPr>
          <w:rStyle w:val="TextoNormalCaracter"/>
        </w:rPr>
        <w:t>, ff. 4, 5, VP I, III.</w:t>
      </w:r>
    </w:p>
    <w:p w:rsidR="00924F59" w:rsidRPr="00924F59" w:rsidRDefault="00924F59" w:rsidP="00924F59">
      <w:pPr>
        <w:pStyle w:val="TextoNormalSangraFrancesa"/>
        <w:rPr>
          <w:rStyle w:val="TextoNormalCaracter"/>
        </w:rPr>
      </w:pPr>
      <w:bookmarkStart w:id="1414" w:name="DESCRIPTORALFABETICO153"/>
      <w:r w:rsidRPr="00924F59">
        <w:rPr>
          <w:rStyle w:val="TextoNormalNegritaCaracter"/>
        </w:rPr>
        <w:t>Derecho a la libertad personal</w:t>
      </w:r>
      <w:bookmarkEnd w:id="1414"/>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Sentencias </w:t>
      </w:r>
      <w:hyperlink w:anchor="SENTENCIA_2016_12" w:history="1">
        <w:r w:rsidRPr="00924F59">
          <w:rPr>
            <w:rStyle w:val="TextoNormalCaracter"/>
          </w:rPr>
          <w:t>12/2016</w:t>
        </w:r>
      </w:hyperlink>
      <w:r w:rsidRPr="00924F59">
        <w:rPr>
          <w:rStyle w:val="TextoNormalCaracter"/>
        </w:rPr>
        <w:t xml:space="preserve">, ff. 5, 6; </w:t>
      </w:r>
      <w:hyperlink w:anchor="SENTENCIA_2016_13" w:history="1">
        <w:r w:rsidRPr="00924F59">
          <w:rPr>
            <w:rStyle w:val="TextoNormalCaracter"/>
          </w:rPr>
          <w:t>13/2016</w:t>
        </w:r>
      </w:hyperlink>
      <w:r w:rsidRPr="00924F59">
        <w:rPr>
          <w:rStyle w:val="TextoNormalCaracter"/>
        </w:rPr>
        <w:t xml:space="preserve">, ff. 3, 5; </w:t>
      </w:r>
      <w:hyperlink w:anchor="SENTENCIA_2016_14" w:history="1">
        <w:r w:rsidRPr="00924F59">
          <w:rPr>
            <w:rStyle w:val="TextoNormalCaracter"/>
          </w:rPr>
          <w:t>14/2016</w:t>
        </w:r>
      </w:hyperlink>
      <w:r w:rsidRPr="00924F59">
        <w:rPr>
          <w:rStyle w:val="TextoNormalCaracter"/>
        </w:rPr>
        <w:t xml:space="preserve">, ff. 4, 5; </w:t>
      </w:r>
      <w:hyperlink w:anchor="SENTENCIA_2016_22" w:history="1">
        <w:r w:rsidRPr="00924F59">
          <w:rPr>
            <w:rStyle w:val="TextoNormalCaracter"/>
          </w:rPr>
          <w:t>22/2016</w:t>
        </w:r>
      </w:hyperlink>
      <w:r w:rsidRPr="00924F59">
        <w:rPr>
          <w:rStyle w:val="TextoNormalCaracter"/>
        </w:rPr>
        <w:t xml:space="preserve">, ff. 1, 4 a 6; </w:t>
      </w:r>
      <w:hyperlink w:anchor="SENTENCIA_2016_34" w:history="1">
        <w:r w:rsidRPr="00924F59">
          <w:rPr>
            <w:rStyle w:val="TextoNormalCaracter"/>
          </w:rPr>
          <w:t>34/2016</w:t>
        </w:r>
      </w:hyperlink>
      <w:r w:rsidRPr="00924F59">
        <w:rPr>
          <w:rStyle w:val="TextoNormalCaracter"/>
        </w:rPr>
        <w:t xml:space="preserve">, ff. 4, 5, 7; </w:t>
      </w:r>
      <w:hyperlink w:anchor="SENTENCIA_2016_48" w:history="1">
        <w:r w:rsidRPr="00924F59">
          <w:rPr>
            <w:rStyle w:val="TextoNormalCaracter"/>
          </w:rPr>
          <w:t>48/2016</w:t>
        </w:r>
      </w:hyperlink>
      <w:r w:rsidRPr="00924F59">
        <w:rPr>
          <w:rStyle w:val="TextoNormalCaracter"/>
        </w:rPr>
        <w:t xml:space="preserve">, ff. 3, 4; </w:t>
      </w:r>
      <w:hyperlink w:anchor="SENTENCIA_2016_50" w:history="1">
        <w:r w:rsidRPr="00924F59">
          <w:rPr>
            <w:rStyle w:val="TextoNormalCaracter"/>
          </w:rPr>
          <w:t>50/2016</w:t>
        </w:r>
      </w:hyperlink>
      <w:r w:rsidRPr="00924F59">
        <w:rPr>
          <w:rStyle w:val="TextoNormalCaracter"/>
        </w:rPr>
        <w:t>, ff.  1, 6.</w:t>
      </w:r>
    </w:p>
    <w:p w:rsidR="00924F59" w:rsidRPr="00924F59" w:rsidRDefault="00924F59" w:rsidP="00924F59">
      <w:pPr>
        <w:pStyle w:val="TextoNormalSangraFrancesa"/>
        <w:rPr>
          <w:rStyle w:val="TextoNormalCaracter"/>
        </w:rPr>
      </w:pPr>
      <w:bookmarkStart w:id="1415" w:name="DESCRIPTORALFABETICO161"/>
      <w:r w:rsidRPr="00924F59">
        <w:rPr>
          <w:rStyle w:val="TextoNormalNegritaCaracter"/>
        </w:rPr>
        <w:t>Derecho a la participación en los asuntos públicos</w:t>
      </w:r>
      <w:bookmarkEnd w:id="1415"/>
      <w:r w:rsidRPr="00924F59">
        <w:rPr>
          <w:rStyle w:val="TextoNormalCaracter"/>
        </w:rPr>
        <w:t xml:space="preserve">, Sentencias </w:t>
      </w:r>
      <w:hyperlink w:anchor="SENTENCIA_2016_10" w:history="1">
        <w:r w:rsidRPr="00924F59">
          <w:rPr>
            <w:rStyle w:val="TextoNormalCaracter"/>
          </w:rPr>
          <w:t>10/2016</w:t>
        </w:r>
      </w:hyperlink>
      <w:r w:rsidRPr="00924F59">
        <w:rPr>
          <w:rStyle w:val="TextoNormalCaracter"/>
        </w:rPr>
        <w:t xml:space="preserve">, ff. 1, 3 a 5; </w:t>
      </w:r>
      <w:hyperlink w:anchor="SENTENCIA_2016_40" w:history="1">
        <w:r w:rsidRPr="00924F59">
          <w:rPr>
            <w:rStyle w:val="TextoNormalCaracter"/>
          </w:rPr>
          <w:t>40/2016</w:t>
        </w:r>
      </w:hyperlink>
      <w:r w:rsidRPr="00924F59">
        <w:rPr>
          <w:rStyle w:val="TextoNormalCaracter"/>
        </w:rPr>
        <w:t>, f. 1.</w:t>
      </w:r>
    </w:p>
    <w:p w:rsidR="00924F59" w:rsidRPr="00924F59" w:rsidRDefault="00924F59" w:rsidP="00924F59">
      <w:pPr>
        <w:pStyle w:val="TextoNormalSangraFrancesa"/>
        <w:rPr>
          <w:rStyle w:val="TextoNormalCaracter"/>
        </w:rPr>
      </w:pPr>
      <w:bookmarkStart w:id="1416" w:name="DESCRIPTORALFABETICO163"/>
      <w:r w:rsidRPr="00924F59">
        <w:rPr>
          <w:rStyle w:val="TextoNormalNegritaCaracter"/>
        </w:rPr>
        <w:t>Derecho a la presunción de inocencia</w:t>
      </w:r>
      <w:bookmarkEnd w:id="1416"/>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Respetado, </w:t>
      </w:r>
      <w:r w:rsidRPr="00924F59">
        <w:rPr>
          <w:rStyle w:val="TextoNormalCaracter"/>
        </w:rPr>
        <w:t xml:space="preserve">Sentencia </w:t>
      </w:r>
      <w:hyperlink w:anchor="SENTENCIA_2016_105" w:history="1">
        <w:r w:rsidRPr="00924F59">
          <w:rPr>
            <w:rStyle w:val="TextoNormalCaracter"/>
          </w:rPr>
          <w:t>105/2016</w:t>
        </w:r>
      </w:hyperlink>
      <w:r w:rsidRPr="00924F59">
        <w:rPr>
          <w:rStyle w:val="TextoNormalCaracter"/>
        </w:rPr>
        <w:t>, ff. 8, 9.</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 </w:t>
      </w:r>
      <w:hyperlink w:anchor="SENTENCIA_2016_117" w:history="1">
        <w:r w:rsidRPr="00924F59">
          <w:rPr>
            <w:rStyle w:val="TextoNormalCaracter"/>
          </w:rPr>
          <w:t>117/2016</w:t>
        </w:r>
      </w:hyperlink>
      <w:r w:rsidRPr="00924F59">
        <w:rPr>
          <w:rStyle w:val="TextoNormalCaracter"/>
        </w:rPr>
        <w:t>, ff. 1, 3, 4.</w:t>
      </w:r>
    </w:p>
    <w:p w:rsidR="00924F59" w:rsidRPr="00924F59" w:rsidRDefault="00924F59" w:rsidP="00924F59">
      <w:pPr>
        <w:pStyle w:val="TextoNormalSangraFrancesa"/>
        <w:rPr>
          <w:rStyle w:val="TextoNormalCaracter"/>
        </w:rPr>
      </w:pPr>
      <w:bookmarkStart w:id="1417" w:name="DESCRIPTORALFABETICO749"/>
      <w:r w:rsidRPr="00924F59">
        <w:rPr>
          <w:rStyle w:val="TextoNormalNegritaCaracter"/>
        </w:rPr>
        <w:t>Derecho a la Seguridad Social</w:t>
      </w:r>
      <w:bookmarkEnd w:id="1417"/>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 4.</w:t>
      </w:r>
    </w:p>
    <w:p w:rsidR="00924F59" w:rsidRPr="00924F59" w:rsidRDefault="00924F59" w:rsidP="00924F59">
      <w:pPr>
        <w:pStyle w:val="TextoNormalSangraFrancesa"/>
        <w:rPr>
          <w:rStyle w:val="TextoNormalCaracter"/>
        </w:rPr>
      </w:pPr>
      <w:bookmarkStart w:id="1418" w:name="DESCRIPTORALFABETICO171"/>
      <w:r w:rsidRPr="00924F59">
        <w:rPr>
          <w:rStyle w:val="TextoNormalNegritaCaracter"/>
        </w:rPr>
        <w:t>Derecho a la tutela judicial efectiva</w:t>
      </w:r>
      <w:bookmarkEnd w:id="1418"/>
      <w:r w:rsidRPr="00924F59">
        <w:rPr>
          <w:rStyle w:val="TextoNormalCaracter"/>
        </w:rPr>
        <w:t xml:space="preserve">, Sentencias </w:t>
      </w:r>
      <w:hyperlink w:anchor="SENTENCIA_2016_44" w:history="1">
        <w:r w:rsidRPr="00924F59">
          <w:rPr>
            <w:rStyle w:val="TextoNormalCaracter"/>
          </w:rPr>
          <w:t>44/2016</w:t>
        </w:r>
      </w:hyperlink>
      <w:r w:rsidRPr="00924F59">
        <w:rPr>
          <w:rStyle w:val="TextoNormalCaracter"/>
        </w:rPr>
        <w:t xml:space="preserve">, ff. 1, 3; </w:t>
      </w:r>
      <w:hyperlink w:anchor="SENTENCIA_2016_51" w:history="1">
        <w:r w:rsidRPr="00924F59">
          <w:rPr>
            <w:rStyle w:val="TextoNormalCaracter"/>
          </w:rPr>
          <w:t>51/2016</w:t>
        </w:r>
      </w:hyperlink>
      <w:r w:rsidRPr="00924F59">
        <w:rPr>
          <w:rStyle w:val="TextoNormalCaracter"/>
        </w:rPr>
        <w:t xml:space="preserve">, ff. 1, 3; </w:t>
      </w:r>
      <w:hyperlink w:anchor="SENTENCIA_2016_58" w:history="1">
        <w:r w:rsidRPr="00924F59">
          <w:rPr>
            <w:rStyle w:val="TextoNormalCaracter"/>
          </w:rPr>
          <w:t>58/2016</w:t>
        </w:r>
      </w:hyperlink>
      <w:r w:rsidRPr="00924F59">
        <w:rPr>
          <w:rStyle w:val="TextoNormalCaracter"/>
        </w:rPr>
        <w:t>, ff. 4, 5, 7.</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09" w:history="1">
        <w:r w:rsidRPr="00924F59">
          <w:rPr>
            <w:rStyle w:val="TextoNormalCaracter"/>
          </w:rPr>
          <w:t>109/2016</w:t>
        </w:r>
      </w:hyperlink>
      <w:r w:rsidRPr="00924F59">
        <w:rPr>
          <w:rStyle w:val="TextoNormalCaracter"/>
        </w:rPr>
        <w:t>, ff. 2, 3.</w:t>
      </w:r>
    </w:p>
    <w:p w:rsidR="00924F59" w:rsidRPr="00924F59" w:rsidRDefault="00924F59" w:rsidP="00924F59">
      <w:pPr>
        <w:pStyle w:val="TextoNormalSangraFrancesa"/>
        <w:rPr>
          <w:rStyle w:val="TextoNormalCaracter"/>
        </w:rPr>
      </w:pPr>
      <w:r w:rsidRPr="00924F59">
        <w:rPr>
          <w:rStyle w:val="TextoNormalCursivaCaracter"/>
        </w:rPr>
        <w:t xml:space="preserve">    Respetado, </w:t>
      </w:r>
      <w:r w:rsidRPr="00924F59">
        <w:rPr>
          <w:rStyle w:val="TextoNormalCaracter"/>
        </w:rPr>
        <w:t xml:space="preserve">Sentencias </w:t>
      </w:r>
      <w:hyperlink w:anchor="SENTENCIA_2016_15" w:history="1">
        <w:r w:rsidRPr="00924F59">
          <w:rPr>
            <w:rStyle w:val="TextoNormalCaracter"/>
          </w:rPr>
          <w:t>15/2016</w:t>
        </w:r>
      </w:hyperlink>
      <w:r w:rsidRPr="00924F59">
        <w:rPr>
          <w:rStyle w:val="TextoNormalCaracter"/>
        </w:rPr>
        <w:t xml:space="preserve">, ff. 2, 3; </w:t>
      </w:r>
      <w:hyperlink w:anchor="SENTENCIA_2016_31" w:history="1">
        <w:r w:rsidRPr="00924F59">
          <w:rPr>
            <w:rStyle w:val="TextoNormalCaracter"/>
          </w:rPr>
          <w:t>31/2016</w:t>
        </w:r>
      </w:hyperlink>
      <w:r w:rsidRPr="00924F59">
        <w:rPr>
          <w:rStyle w:val="TextoNormalCaracter"/>
        </w:rPr>
        <w:t xml:space="preserve">, f. 3 a); </w:t>
      </w:r>
      <w:hyperlink w:anchor="SENTENCIA_2016_38" w:history="1">
        <w:r w:rsidRPr="00924F59">
          <w:rPr>
            <w:rStyle w:val="TextoNormalCaracter"/>
          </w:rPr>
          <w:t>38/2016</w:t>
        </w:r>
      </w:hyperlink>
      <w:r w:rsidRPr="00924F59">
        <w:rPr>
          <w:rStyle w:val="TextoNormalCaracter"/>
        </w:rPr>
        <w:t xml:space="preserve">, f. 7; </w:t>
      </w:r>
      <w:hyperlink w:anchor="SENTENCIA_2016_118" w:history="1">
        <w:r w:rsidRPr="00924F59">
          <w:rPr>
            <w:rStyle w:val="TextoNormalCaracter"/>
          </w:rPr>
          <w:t>118/2016</w:t>
        </w:r>
      </w:hyperlink>
      <w:r w:rsidRPr="00924F59">
        <w:rPr>
          <w:rStyle w:val="TextoNormalCaracter"/>
        </w:rPr>
        <w:t>, f. 3 e).</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Sentencias </w:t>
      </w:r>
      <w:hyperlink w:anchor="SENTENCIA_2016_12" w:history="1">
        <w:r w:rsidRPr="00924F59">
          <w:rPr>
            <w:rStyle w:val="TextoNormalCaracter"/>
          </w:rPr>
          <w:t>12/2016</w:t>
        </w:r>
      </w:hyperlink>
      <w:r w:rsidRPr="00924F59">
        <w:rPr>
          <w:rStyle w:val="TextoNormalCaracter"/>
        </w:rPr>
        <w:t xml:space="preserve">, ff. 5, 6; </w:t>
      </w:r>
      <w:hyperlink w:anchor="SENTENCIA_2016_14" w:history="1">
        <w:r w:rsidRPr="00924F59">
          <w:rPr>
            <w:rStyle w:val="TextoNormalCaracter"/>
          </w:rPr>
          <w:t>14/2016</w:t>
        </w:r>
      </w:hyperlink>
      <w:r w:rsidRPr="00924F59">
        <w:rPr>
          <w:rStyle w:val="TextoNormalCaracter"/>
        </w:rPr>
        <w:t xml:space="preserve">, ff. 4, 5; </w:t>
      </w:r>
      <w:hyperlink w:anchor="SENTENCIA_2016_49" w:history="1">
        <w:r w:rsidRPr="00924F59">
          <w:rPr>
            <w:rStyle w:val="TextoNormalCaracter"/>
          </w:rPr>
          <w:t>49/2016</w:t>
        </w:r>
      </w:hyperlink>
      <w:r w:rsidRPr="00924F59">
        <w:rPr>
          <w:rStyle w:val="TextoNormalCaracter"/>
        </w:rPr>
        <w:t xml:space="preserve">, ff. 3 a 5; </w:t>
      </w:r>
      <w:hyperlink w:anchor="SENTENCIA_2016_92" w:history="1">
        <w:r w:rsidRPr="00924F59">
          <w:rPr>
            <w:rStyle w:val="TextoNormalCaracter"/>
          </w:rPr>
          <w:t>92/2016</w:t>
        </w:r>
      </w:hyperlink>
      <w:r w:rsidRPr="00924F59">
        <w:rPr>
          <w:rStyle w:val="TextoNormalCaracter"/>
        </w:rPr>
        <w:t xml:space="preserve">, ff. 2, 3; </w:t>
      </w:r>
      <w:hyperlink w:anchor="SENTENCIA_2016_93" w:history="1">
        <w:r w:rsidRPr="00924F59">
          <w:rPr>
            <w:rStyle w:val="TextoNormalCaracter"/>
          </w:rPr>
          <w:t>93/2016</w:t>
        </w:r>
      </w:hyperlink>
      <w:r w:rsidRPr="00924F59">
        <w:rPr>
          <w:rStyle w:val="TextoNormalCaracter"/>
        </w:rPr>
        <w:t xml:space="preserve">, ff. 2, 3; </w:t>
      </w:r>
      <w:hyperlink w:anchor="SENTENCIA_2016_98" w:history="1">
        <w:r w:rsidRPr="00924F59">
          <w:rPr>
            <w:rStyle w:val="TextoNormalCaracter"/>
          </w:rPr>
          <w:t>98/2016</w:t>
        </w:r>
      </w:hyperlink>
      <w:r w:rsidRPr="00924F59">
        <w:rPr>
          <w:rStyle w:val="TextoNormalCaracter"/>
        </w:rPr>
        <w:t xml:space="preserve">, ff. 2, 3; </w:t>
      </w:r>
      <w:hyperlink w:anchor="SENTENCIA_2016_113" w:history="1">
        <w:r w:rsidRPr="00924F59">
          <w:rPr>
            <w:rStyle w:val="TextoNormalCaracter"/>
          </w:rPr>
          <w:t>113/2016</w:t>
        </w:r>
      </w:hyperlink>
      <w:r w:rsidRPr="00924F59">
        <w:rPr>
          <w:rStyle w:val="TextoNormalCaracter"/>
        </w:rPr>
        <w:t xml:space="preserve">, ff. 1 a 3; </w:t>
      </w:r>
      <w:hyperlink w:anchor="SENTENCIA_2016_114" w:history="1">
        <w:r w:rsidRPr="00924F59">
          <w:rPr>
            <w:rStyle w:val="TextoNormalCaracter"/>
          </w:rPr>
          <w:t>114/2016</w:t>
        </w:r>
      </w:hyperlink>
      <w:r w:rsidRPr="00924F59">
        <w:rPr>
          <w:rStyle w:val="TextoNormalCaracter"/>
        </w:rPr>
        <w:t xml:space="preserve">, ff. 1 a 4; </w:t>
      </w:r>
      <w:hyperlink w:anchor="SENTENCIA_2016_115" w:history="1">
        <w:r w:rsidRPr="00924F59">
          <w:rPr>
            <w:rStyle w:val="TextoNormalCaracter"/>
          </w:rPr>
          <w:t>115/2016</w:t>
        </w:r>
      </w:hyperlink>
      <w:r w:rsidRPr="00924F59">
        <w:rPr>
          <w:rStyle w:val="TextoNormalCaracter"/>
        </w:rPr>
        <w:t>, ff. 1 a 4.</w:t>
      </w:r>
    </w:p>
    <w:p w:rsidR="00924F59" w:rsidRPr="00924F59" w:rsidRDefault="00924F59" w:rsidP="00924F59">
      <w:pPr>
        <w:pStyle w:val="TextoNormalSangraFrancesa"/>
        <w:rPr>
          <w:rStyle w:val="TextoNormalCaracter"/>
        </w:rPr>
      </w:pPr>
      <w:bookmarkStart w:id="1419" w:name="DESCRIPTORALFABETICO187"/>
      <w:r w:rsidRPr="00924F59">
        <w:rPr>
          <w:rStyle w:val="TextoNormalNegritaCaracter"/>
        </w:rPr>
        <w:t>Derecho a la tutela judicial sin indefensión</w:t>
      </w:r>
      <w:bookmarkEnd w:id="1419"/>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Doctrina constitucional, </w:t>
      </w:r>
      <w:r w:rsidRPr="00924F59">
        <w:rPr>
          <w:rStyle w:val="TextoNormalCaracter"/>
        </w:rPr>
        <w:t xml:space="preserve">Sentencia </w:t>
      </w:r>
      <w:hyperlink w:anchor="SENTENCIA_2016_65" w:history="1">
        <w:r w:rsidRPr="00924F59">
          <w:rPr>
            <w:rStyle w:val="TextoNormalCaracter"/>
          </w:rPr>
          <w:t>65/2016</w:t>
        </w:r>
      </w:hyperlink>
      <w:r w:rsidRPr="00924F59">
        <w:rPr>
          <w:rStyle w:val="TextoNormalCaracter"/>
        </w:rPr>
        <w:t>, ff. 4 a 7.</w:t>
      </w:r>
    </w:p>
    <w:p w:rsidR="00924F59" w:rsidRPr="00924F59" w:rsidRDefault="00924F59" w:rsidP="00924F59">
      <w:pPr>
        <w:pStyle w:val="TextoNormalSangraFrancesa"/>
        <w:rPr>
          <w:rStyle w:val="TextoNormalCaracter"/>
        </w:rPr>
      </w:pPr>
      <w:r w:rsidRPr="00924F59">
        <w:rPr>
          <w:rStyle w:val="TextoNormalCursivaCaracter"/>
        </w:rPr>
        <w:t xml:space="preserve">    Respetado, </w:t>
      </w:r>
      <w:r w:rsidRPr="00924F59">
        <w:rPr>
          <w:rStyle w:val="TextoNormalCaracter"/>
        </w:rPr>
        <w:t xml:space="preserve">Sentencia </w:t>
      </w:r>
      <w:hyperlink w:anchor="SENTENCIA_2016_23" w:history="1">
        <w:r w:rsidRPr="00924F59">
          <w:rPr>
            <w:rStyle w:val="TextoNormalCaracter"/>
          </w:rPr>
          <w:t>23/2016</w:t>
        </w:r>
      </w:hyperlink>
      <w:r w:rsidRPr="00924F59">
        <w:rPr>
          <w:rStyle w:val="TextoNormalCaracter"/>
        </w:rPr>
        <w:t>, ff. 1 a 5.</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35" w:history="1">
        <w:r w:rsidRPr="00924F59">
          <w:rPr>
            <w:rStyle w:val="TextoNormalCaracter"/>
          </w:rPr>
          <w:t>35/2016</w:t>
        </w:r>
      </w:hyperlink>
      <w:r w:rsidRPr="00924F59">
        <w:rPr>
          <w:rStyle w:val="TextoNormalCaracter"/>
        </w:rPr>
        <w:t>, ff. 3, 4.</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Sentencias </w:t>
      </w:r>
      <w:hyperlink w:anchor="SENTENCIA_2016_16" w:history="1">
        <w:r w:rsidRPr="00924F59">
          <w:rPr>
            <w:rStyle w:val="TextoNormalCaracter"/>
          </w:rPr>
          <w:t>16/2016</w:t>
        </w:r>
      </w:hyperlink>
      <w:r w:rsidRPr="00924F59">
        <w:rPr>
          <w:rStyle w:val="TextoNormalCaracter"/>
        </w:rPr>
        <w:t xml:space="preserve">, ff. 4, 5, 10; </w:t>
      </w:r>
      <w:hyperlink w:anchor="SENTENCIA_2016_65" w:history="1">
        <w:r w:rsidRPr="00924F59">
          <w:rPr>
            <w:rStyle w:val="TextoNormalCaracter"/>
          </w:rPr>
          <w:t>65/2016</w:t>
        </w:r>
      </w:hyperlink>
      <w:r w:rsidRPr="00924F59">
        <w:rPr>
          <w:rStyle w:val="TextoNormalCaracter"/>
        </w:rPr>
        <w:t>, ff. 1, 5 a 7.</w:t>
      </w:r>
    </w:p>
    <w:p w:rsidR="00924F59" w:rsidRPr="00924F59" w:rsidRDefault="00924F59" w:rsidP="00924F59">
      <w:pPr>
        <w:pStyle w:val="TextoNormalSangraFrancesa"/>
        <w:rPr>
          <w:rStyle w:val="TextoNormalCaracter"/>
        </w:rPr>
      </w:pPr>
      <w:bookmarkStart w:id="1420" w:name="DESCRIPTORALFABETICO173"/>
      <w:r w:rsidRPr="00924F59">
        <w:rPr>
          <w:rStyle w:val="TextoNormalNegritaCaracter"/>
        </w:rPr>
        <w:t>Derecho a obtener una resolución sobre el fondo de las pretensiones</w:t>
      </w:r>
      <w:bookmarkEnd w:id="1420"/>
      <w:r w:rsidRPr="00924F59">
        <w:rPr>
          <w:rStyle w:val="TextoNormalCaracter"/>
        </w:rPr>
        <w:t xml:space="preserve">, Sentencia </w:t>
      </w:r>
      <w:hyperlink w:anchor="SENTENCIA_2016_49" w:history="1">
        <w:r w:rsidRPr="00924F59">
          <w:rPr>
            <w:rStyle w:val="TextoNormalCaracter"/>
          </w:rPr>
          <w:t>49/2016</w:t>
        </w:r>
      </w:hyperlink>
      <w:r w:rsidRPr="00924F59">
        <w:rPr>
          <w:rStyle w:val="TextoNormalCaracter"/>
        </w:rPr>
        <w:t>, f. 3.</w:t>
      </w:r>
    </w:p>
    <w:p w:rsidR="00924F59" w:rsidRPr="00924F59" w:rsidRDefault="00924F59" w:rsidP="00924F59">
      <w:pPr>
        <w:pStyle w:val="TextoNormalSangraFrancesa"/>
        <w:rPr>
          <w:rStyle w:val="TextoNormalCaracter"/>
        </w:rPr>
      </w:pPr>
      <w:bookmarkStart w:id="1421" w:name="DESCRIPTORALFABETICO128"/>
      <w:r w:rsidRPr="00924F59">
        <w:rPr>
          <w:rStyle w:val="TextoNormalNegritaCaracter"/>
        </w:rPr>
        <w:t>Derecho a permanecer en los cargos públicos</w:t>
      </w:r>
      <w:bookmarkEnd w:id="1421"/>
      <w:r w:rsidRPr="00924F59">
        <w:rPr>
          <w:rStyle w:val="TextoNormalCaracter"/>
        </w:rPr>
        <w:t xml:space="preserve">, Sentencia </w:t>
      </w:r>
      <w:hyperlink w:anchor="SENTENCIA_2016_78" w:history="1">
        <w:r w:rsidRPr="00924F59">
          <w:rPr>
            <w:rStyle w:val="TextoNormalCaracter"/>
          </w:rPr>
          <w:t>78/2016</w:t>
        </w:r>
      </w:hyperlink>
      <w:r w:rsidRPr="00924F59">
        <w:rPr>
          <w:rStyle w:val="TextoNormalCaracter"/>
        </w:rPr>
        <w:t>, ff. 2, 6.</w:t>
      </w:r>
    </w:p>
    <w:p w:rsidR="00924F59" w:rsidRPr="00924F59" w:rsidRDefault="00924F59" w:rsidP="00924F59">
      <w:pPr>
        <w:pStyle w:val="TextoNormalSangraFrancesa"/>
        <w:rPr>
          <w:rStyle w:val="TextoNormalCaracter"/>
        </w:rPr>
      </w:pPr>
      <w:bookmarkStart w:id="1422" w:name="DESCRIPTORALFABETICO190"/>
      <w:r w:rsidRPr="00924F59">
        <w:rPr>
          <w:rStyle w:val="TextoNormalNegritaCaracter"/>
        </w:rPr>
        <w:t>Derecho a un proceso con todas las garantías</w:t>
      </w:r>
      <w:bookmarkEnd w:id="1422"/>
      <w:r w:rsidRPr="00924F59">
        <w:rPr>
          <w:rStyle w:val="TextoNormalCaracter"/>
        </w:rPr>
        <w:t xml:space="preserve">, Sentencia </w:t>
      </w:r>
      <w:hyperlink w:anchor="SENTENCIA_2016_50" w:history="1">
        <w:r w:rsidRPr="00924F59">
          <w:rPr>
            <w:rStyle w:val="TextoNormalCaracter"/>
          </w:rPr>
          <w:t>50/2016</w:t>
        </w:r>
      </w:hyperlink>
      <w:r w:rsidRPr="00924F59">
        <w:rPr>
          <w:rStyle w:val="TextoNormalCaracter"/>
        </w:rPr>
        <w:t>, ff. 1, 4 a 6.</w:t>
      </w:r>
    </w:p>
    <w:p w:rsidR="00924F59" w:rsidRPr="00924F59" w:rsidRDefault="00924F59" w:rsidP="00924F59">
      <w:pPr>
        <w:pStyle w:val="TextoNormalSangraFrancesa"/>
        <w:rPr>
          <w:rStyle w:val="TextoNormalCaracter"/>
        </w:rPr>
      </w:pPr>
      <w:r w:rsidRPr="00924F59">
        <w:rPr>
          <w:rStyle w:val="TextoNormalCursivaCaracter"/>
        </w:rPr>
        <w:t xml:space="preserve">    Respetado, </w:t>
      </w:r>
      <w:r w:rsidRPr="00924F59">
        <w:rPr>
          <w:rStyle w:val="TextoNormalCaracter"/>
        </w:rPr>
        <w:t xml:space="preserve">Sentencia </w:t>
      </w:r>
      <w:hyperlink w:anchor="SENTENCIA_2016_105" w:history="1">
        <w:r w:rsidRPr="00924F59">
          <w:rPr>
            <w:rStyle w:val="TextoNormalCaracter"/>
          </w:rPr>
          <w:t>105/2016</w:t>
        </w:r>
      </w:hyperlink>
      <w:r w:rsidRPr="00924F59">
        <w:rPr>
          <w:rStyle w:val="TextoNormalCaracter"/>
        </w:rPr>
        <w:t>, ff. 5 a 7.</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Sentencias </w:t>
      </w:r>
      <w:hyperlink w:anchor="SENTENCIA_2016_22" w:history="1">
        <w:r w:rsidRPr="00924F59">
          <w:rPr>
            <w:rStyle w:val="TextoNormalCaracter"/>
          </w:rPr>
          <w:t>22/2016</w:t>
        </w:r>
      </w:hyperlink>
      <w:r w:rsidRPr="00924F59">
        <w:rPr>
          <w:rStyle w:val="TextoNormalCaracter"/>
        </w:rPr>
        <w:t xml:space="preserve">, ff. 1, 4 a 6; </w:t>
      </w:r>
      <w:hyperlink w:anchor="SENTENCIA_2016_63" w:history="1">
        <w:r w:rsidRPr="00924F59">
          <w:rPr>
            <w:rStyle w:val="TextoNormalCaracter"/>
          </w:rPr>
          <w:t>63/2016</w:t>
        </w:r>
      </w:hyperlink>
      <w:r w:rsidRPr="00924F59">
        <w:rPr>
          <w:rStyle w:val="TextoNormalCaracter"/>
        </w:rPr>
        <w:t xml:space="preserve">, ff. 3 a 6; </w:t>
      </w:r>
      <w:hyperlink w:anchor="SENTENCIA_2016_92" w:history="1">
        <w:r w:rsidRPr="00924F59">
          <w:rPr>
            <w:rStyle w:val="TextoNormalCaracter"/>
          </w:rPr>
          <w:t>92/2016</w:t>
        </w:r>
      </w:hyperlink>
      <w:r w:rsidRPr="00924F59">
        <w:rPr>
          <w:rStyle w:val="TextoNormalCaracter"/>
        </w:rPr>
        <w:t xml:space="preserve">, ff. 2, 3; </w:t>
      </w:r>
      <w:hyperlink w:anchor="SENTENCIA_2016_93" w:history="1">
        <w:r w:rsidRPr="00924F59">
          <w:rPr>
            <w:rStyle w:val="TextoNormalCaracter"/>
          </w:rPr>
          <w:t>93/2016</w:t>
        </w:r>
      </w:hyperlink>
      <w:r w:rsidRPr="00924F59">
        <w:rPr>
          <w:rStyle w:val="TextoNormalCaracter"/>
        </w:rPr>
        <w:t xml:space="preserve">, ff. 2, 3; </w:t>
      </w:r>
      <w:hyperlink w:anchor="SENTENCIA_2016_98" w:history="1">
        <w:r w:rsidRPr="00924F59">
          <w:rPr>
            <w:rStyle w:val="TextoNormalCaracter"/>
          </w:rPr>
          <w:t>98/2016</w:t>
        </w:r>
      </w:hyperlink>
      <w:r w:rsidRPr="00924F59">
        <w:rPr>
          <w:rStyle w:val="TextoNormalCaracter"/>
        </w:rPr>
        <w:t xml:space="preserve">, ff. 2, 3; </w:t>
      </w:r>
      <w:hyperlink w:anchor="SENTENCIA_2016_113" w:history="1">
        <w:r w:rsidRPr="00924F59">
          <w:rPr>
            <w:rStyle w:val="TextoNormalCaracter"/>
          </w:rPr>
          <w:t>113/2016</w:t>
        </w:r>
      </w:hyperlink>
      <w:r w:rsidRPr="00924F59">
        <w:rPr>
          <w:rStyle w:val="TextoNormalCaracter"/>
        </w:rPr>
        <w:t xml:space="preserve">, ff. 1 a 3; </w:t>
      </w:r>
      <w:hyperlink w:anchor="SENTENCIA_2016_114" w:history="1">
        <w:r w:rsidRPr="00924F59">
          <w:rPr>
            <w:rStyle w:val="TextoNormalCaracter"/>
          </w:rPr>
          <w:t>114/2016</w:t>
        </w:r>
      </w:hyperlink>
      <w:r w:rsidRPr="00924F59">
        <w:rPr>
          <w:rStyle w:val="TextoNormalCaracter"/>
        </w:rPr>
        <w:t xml:space="preserve">, ff. 1 a 4; </w:t>
      </w:r>
      <w:hyperlink w:anchor="SENTENCIA_2016_115" w:history="1">
        <w:r w:rsidRPr="00924F59">
          <w:rPr>
            <w:rStyle w:val="TextoNormalCaracter"/>
          </w:rPr>
          <w:t>115/2016</w:t>
        </w:r>
      </w:hyperlink>
      <w:r w:rsidRPr="00924F59">
        <w:rPr>
          <w:rStyle w:val="TextoNormalCaracter"/>
        </w:rPr>
        <w:t>, ff. 1 a 4.</w:t>
      </w:r>
    </w:p>
    <w:p w:rsidR="00924F59" w:rsidRPr="00924F59" w:rsidRDefault="00924F59" w:rsidP="00924F59">
      <w:pPr>
        <w:pStyle w:val="TextoNormalSangraFrancesa"/>
        <w:rPr>
          <w:rStyle w:val="TextoNormalCaracter"/>
        </w:rPr>
      </w:pPr>
      <w:bookmarkStart w:id="1423" w:name="DESCRIPTORALFABETICO193"/>
      <w:r w:rsidRPr="00924F59">
        <w:rPr>
          <w:rStyle w:val="TextoNormalNegritaCaracter"/>
        </w:rPr>
        <w:t>Derecho a un proceso sin dilaciones indebidas</w:t>
      </w:r>
      <w:bookmarkEnd w:id="1423"/>
      <w:r w:rsidRPr="00924F59">
        <w:rPr>
          <w:rStyle w:val="TextoNormalCaracter"/>
        </w:rPr>
        <w:t xml:space="preserve">, Sentencias </w:t>
      </w:r>
      <w:hyperlink w:anchor="SENTENCIA_2016_58" w:history="1">
        <w:r w:rsidRPr="00924F59">
          <w:rPr>
            <w:rStyle w:val="TextoNormalCaracter"/>
          </w:rPr>
          <w:t>58/2016</w:t>
        </w:r>
      </w:hyperlink>
      <w:r w:rsidRPr="00924F59">
        <w:rPr>
          <w:rStyle w:val="TextoNormalCaracter"/>
        </w:rPr>
        <w:t xml:space="preserve">, ff. 5 a 7; </w:t>
      </w:r>
      <w:hyperlink w:anchor="SENTENCIA_2016_63" w:history="1">
        <w:r w:rsidRPr="00924F59">
          <w:rPr>
            <w:rStyle w:val="TextoNormalCaracter"/>
          </w:rPr>
          <w:t>63/2016</w:t>
        </w:r>
      </w:hyperlink>
      <w:r w:rsidRPr="00924F59">
        <w:rPr>
          <w:rStyle w:val="TextoNormalCaracter"/>
        </w:rPr>
        <w:t>, ff. 3 a 6.</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Sentencias </w:t>
      </w:r>
      <w:hyperlink w:anchor="SENTENCIA_2016_75" w:history="1">
        <w:r w:rsidRPr="00924F59">
          <w:rPr>
            <w:rStyle w:val="TextoNormalCaracter"/>
          </w:rPr>
          <w:t>75/2016</w:t>
        </w:r>
      </w:hyperlink>
      <w:r w:rsidRPr="00924F59">
        <w:rPr>
          <w:rStyle w:val="TextoNormalCaracter"/>
        </w:rPr>
        <w:t xml:space="preserve">, ff. 4 a 7; </w:t>
      </w:r>
      <w:hyperlink w:anchor="SENTENCIA_2016_76" w:history="1">
        <w:r w:rsidRPr="00924F59">
          <w:rPr>
            <w:rStyle w:val="TextoNormalCaracter"/>
          </w:rPr>
          <w:t>76/2016</w:t>
        </w:r>
      </w:hyperlink>
      <w:r w:rsidRPr="00924F59">
        <w:rPr>
          <w:rStyle w:val="TextoNormalCaracter"/>
        </w:rPr>
        <w:t xml:space="preserve">, ff. 4, 5; </w:t>
      </w:r>
      <w:hyperlink w:anchor="SENTENCIA_2016_77" w:history="1">
        <w:r w:rsidRPr="00924F59">
          <w:rPr>
            <w:rStyle w:val="TextoNormalCaracter"/>
          </w:rPr>
          <w:t>77/2016</w:t>
        </w:r>
      </w:hyperlink>
      <w:r w:rsidRPr="00924F59">
        <w:rPr>
          <w:rStyle w:val="TextoNormalCaracter"/>
        </w:rPr>
        <w:t xml:space="preserve">, ff. 3 a 6; </w:t>
      </w:r>
      <w:hyperlink w:anchor="SENTENCIA_2016_89" w:history="1">
        <w:r w:rsidRPr="00924F59">
          <w:rPr>
            <w:rStyle w:val="TextoNormalCaracter"/>
          </w:rPr>
          <w:t>89/2016</w:t>
        </w:r>
      </w:hyperlink>
      <w:r w:rsidRPr="00924F59">
        <w:rPr>
          <w:rStyle w:val="TextoNormalCaracter"/>
        </w:rPr>
        <w:t xml:space="preserve">, ff. 4 a 7; </w:t>
      </w:r>
      <w:hyperlink w:anchor="SENTENCIA_2016_103" w:history="1">
        <w:r w:rsidRPr="00924F59">
          <w:rPr>
            <w:rStyle w:val="TextoNormalCaracter"/>
          </w:rPr>
          <w:t>103/2016</w:t>
        </w:r>
      </w:hyperlink>
      <w:r w:rsidRPr="00924F59">
        <w:rPr>
          <w:rStyle w:val="TextoNormalCaracter"/>
        </w:rPr>
        <w:t>, ff. 4 a 7.</w:t>
      </w:r>
    </w:p>
    <w:p w:rsidR="00924F59" w:rsidRPr="00924F59" w:rsidRDefault="00924F59" w:rsidP="00924F59">
      <w:pPr>
        <w:pStyle w:val="TextoNormalSangraFrancesa"/>
        <w:rPr>
          <w:rStyle w:val="TextoNormalCaracter"/>
        </w:rPr>
      </w:pPr>
      <w:bookmarkStart w:id="1424" w:name="DESCRIPTORALFABETICO201"/>
      <w:r w:rsidRPr="00924F59">
        <w:rPr>
          <w:rStyle w:val="TextoNormalNegritaCaracter"/>
        </w:rPr>
        <w:t>Derecho al juez predeterminado por la ley</w:t>
      </w:r>
      <w:bookmarkEnd w:id="1424"/>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Respetado, </w:t>
      </w:r>
      <w:r w:rsidRPr="00924F59">
        <w:rPr>
          <w:rStyle w:val="TextoNormalCaracter"/>
        </w:rPr>
        <w:t xml:space="preserve">Sentencia </w:t>
      </w:r>
      <w:hyperlink w:anchor="SENTENCIA_2016_105" w:history="1">
        <w:r w:rsidRPr="00924F59">
          <w:rPr>
            <w:rStyle w:val="TextoNormalCaracter"/>
          </w:rPr>
          <w:t>105/2016</w:t>
        </w:r>
      </w:hyperlink>
      <w:r w:rsidRPr="00924F59">
        <w:rPr>
          <w:rStyle w:val="TextoNormalCaracter"/>
        </w:rPr>
        <w:t>, f. 4.</w:t>
      </w:r>
    </w:p>
    <w:p w:rsidR="00924F59" w:rsidRPr="00924F59" w:rsidRDefault="00924F59" w:rsidP="00924F59">
      <w:pPr>
        <w:pStyle w:val="TextoNormalSangraFrancesa"/>
        <w:rPr>
          <w:rStyle w:val="TextoNormalCaracter"/>
        </w:rPr>
      </w:pPr>
      <w:bookmarkStart w:id="1425" w:name="DESCRIPTORALFABETICO635"/>
      <w:r w:rsidRPr="00924F59">
        <w:rPr>
          <w:rStyle w:val="TextoNormalNegritaCaracter"/>
        </w:rPr>
        <w:t>Derecho civil</w:t>
      </w:r>
      <w:bookmarkEnd w:id="1425"/>
      <w:r w:rsidRPr="00924F59">
        <w:rPr>
          <w:rStyle w:val="TextoNormalCaracter"/>
        </w:rPr>
        <w:t xml:space="preserve">, Sentencia </w:t>
      </w:r>
      <w:hyperlink w:anchor="SENTENCIA_2016_110" w:history="1">
        <w:r w:rsidRPr="00924F59">
          <w:rPr>
            <w:rStyle w:val="TextoNormalCaracter"/>
          </w:rPr>
          <w:t>110/2016</w:t>
        </w:r>
      </w:hyperlink>
      <w:r w:rsidRPr="00924F59">
        <w:rPr>
          <w:rStyle w:val="TextoNormalCaracter"/>
        </w:rPr>
        <w:t>, ff. 1, 7 a 9.</w:t>
      </w:r>
    </w:p>
    <w:p w:rsidR="00924F59" w:rsidRPr="00924F59" w:rsidRDefault="00924F59" w:rsidP="00924F59">
      <w:pPr>
        <w:pStyle w:val="TextoNormalSangraFrancesa"/>
        <w:rPr>
          <w:rStyle w:val="TextoNormalCaracter"/>
        </w:rPr>
      </w:pPr>
      <w:bookmarkStart w:id="1426" w:name="DESCRIPTORALFABETICO174"/>
      <w:r w:rsidRPr="00924F59">
        <w:rPr>
          <w:rStyle w:val="TextoNormalNegritaCaracter"/>
        </w:rPr>
        <w:t>Derecho de acceso a la jurisdicción</w:t>
      </w:r>
      <w:bookmarkEnd w:id="1426"/>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Doctrina constitucional, </w:t>
      </w:r>
      <w:r w:rsidRPr="00924F59">
        <w:rPr>
          <w:rStyle w:val="TextoNormalCaracter"/>
        </w:rPr>
        <w:t xml:space="preserve">Sentencia </w:t>
      </w:r>
      <w:hyperlink w:anchor="SENTENCIA_2016_91" w:history="1">
        <w:r w:rsidRPr="00924F59">
          <w:rPr>
            <w:rStyle w:val="TextoNormalCaracter"/>
          </w:rPr>
          <w:t>91/2016</w:t>
        </w:r>
      </w:hyperlink>
      <w:r w:rsidRPr="00924F59">
        <w:rPr>
          <w:rStyle w:val="TextoNormalCaracter"/>
        </w:rPr>
        <w:t>, f. 3.</w:t>
      </w:r>
    </w:p>
    <w:p w:rsidR="00924F59" w:rsidRPr="00924F59" w:rsidRDefault="00924F59" w:rsidP="00924F59">
      <w:pPr>
        <w:pStyle w:val="TextoNormalSangraFrancesa"/>
        <w:rPr>
          <w:rStyle w:val="TextoNormalCaracter"/>
        </w:rPr>
      </w:pPr>
      <w:r w:rsidRPr="00924F59">
        <w:rPr>
          <w:rStyle w:val="TextoNormalCursivaCaracter"/>
        </w:rPr>
        <w:t xml:space="preserve">    Respetado, </w:t>
      </w:r>
      <w:r w:rsidRPr="00924F59">
        <w:rPr>
          <w:rStyle w:val="TextoNormalCaracter"/>
        </w:rPr>
        <w:t xml:space="preserve">Sentencias </w:t>
      </w:r>
      <w:hyperlink w:anchor="SENTENCIA_2016_83" w:history="1">
        <w:r w:rsidRPr="00924F59">
          <w:rPr>
            <w:rStyle w:val="TextoNormalCaracter"/>
          </w:rPr>
          <w:t>83/2016</w:t>
        </w:r>
      </w:hyperlink>
      <w:r w:rsidRPr="00924F59">
        <w:rPr>
          <w:rStyle w:val="TextoNormalCaracter"/>
        </w:rPr>
        <w:t xml:space="preserve">, ff. 1 a 3, 5, 11, 12; </w:t>
      </w:r>
      <w:hyperlink w:anchor="SENTENCIA_2016_91" w:history="1">
        <w:r w:rsidRPr="00924F59">
          <w:rPr>
            <w:rStyle w:val="TextoNormalCaracter"/>
          </w:rPr>
          <w:t>91/2016</w:t>
        </w:r>
      </w:hyperlink>
      <w:r w:rsidRPr="00924F59">
        <w:rPr>
          <w:rStyle w:val="TextoNormalCaracter"/>
        </w:rPr>
        <w:t>, ff. 1 a 5.</w:t>
      </w:r>
    </w:p>
    <w:p w:rsidR="00924F59" w:rsidRPr="00924F59" w:rsidRDefault="00924F59" w:rsidP="00924F59">
      <w:pPr>
        <w:pStyle w:val="TextoNormalSangraFrancesa"/>
        <w:rPr>
          <w:rStyle w:val="TextoNormalCaracter"/>
        </w:rPr>
      </w:pPr>
      <w:bookmarkStart w:id="1427" w:name="DESCRIPTORALFABETICO636"/>
      <w:r w:rsidRPr="00924F59">
        <w:rPr>
          <w:rStyle w:val="TextoNormalNegritaCaracter"/>
        </w:rPr>
        <w:t>Derecho de la Unión Europea</w:t>
      </w:r>
      <w:bookmarkEnd w:id="1427"/>
      <w:r w:rsidRPr="00924F59">
        <w:rPr>
          <w:rStyle w:val="TextoNormalCaracter"/>
        </w:rPr>
        <w:t xml:space="preserve">, Sentencia </w:t>
      </w:r>
      <w:hyperlink w:anchor="SENTENCIA_2016_31" w:history="1">
        <w:r w:rsidRPr="00924F59">
          <w:rPr>
            <w:rStyle w:val="TextoNormalCaracter"/>
          </w:rPr>
          <w:t>31/2016</w:t>
        </w:r>
      </w:hyperlink>
      <w:r w:rsidRPr="00924F59">
        <w:rPr>
          <w:rStyle w:val="TextoNormalCaracter"/>
        </w:rPr>
        <w:t>, ff. 1 a 4.</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82" w:history="1">
        <w:r w:rsidRPr="00924F59">
          <w:rPr>
            <w:rStyle w:val="TextoNormalCaracter"/>
          </w:rPr>
          <w:t>82/2016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428" w:name="DESCRIPTORALFABETICO441"/>
      <w:r w:rsidRPr="00924F59">
        <w:rPr>
          <w:rStyle w:val="TextoNormalNegritaCaracter"/>
        </w:rPr>
        <w:t>Derecho de opción lingüística</w:t>
      </w:r>
      <w:bookmarkEnd w:id="1428"/>
      <w:r w:rsidRPr="00924F59">
        <w:rPr>
          <w:rStyle w:val="TextoNormalCaracter"/>
        </w:rPr>
        <w:t xml:space="preserve">, Sentencia </w:t>
      </w:r>
      <w:hyperlink w:anchor="SENTENCIA_2016_56" w:history="1">
        <w:r w:rsidRPr="00924F59">
          <w:rPr>
            <w:rStyle w:val="TextoNormalCaracter"/>
          </w:rPr>
          <w:t>56/2016</w:t>
        </w:r>
      </w:hyperlink>
      <w:r w:rsidRPr="00924F59">
        <w:rPr>
          <w:rStyle w:val="TextoNormalCaracter"/>
        </w:rPr>
        <w:t>, ff. 2, 3, 5.</w:t>
      </w:r>
    </w:p>
    <w:p w:rsidR="00924F59" w:rsidRPr="00924F59" w:rsidRDefault="00924F59" w:rsidP="00924F59">
      <w:pPr>
        <w:pStyle w:val="TextoNormalSangraFrancesa"/>
        <w:rPr>
          <w:rStyle w:val="TextoNormalCaracter"/>
        </w:rPr>
      </w:pPr>
      <w:bookmarkStart w:id="1429" w:name="DESCRIPTORALFABETICO735"/>
      <w:r w:rsidRPr="00924F59">
        <w:rPr>
          <w:rStyle w:val="TextoNormalNegritaCaracter"/>
        </w:rPr>
        <w:t>Derechos consolidados</w:t>
      </w:r>
      <w:bookmarkEnd w:id="1429"/>
      <w:r w:rsidRPr="00924F59">
        <w:rPr>
          <w:rStyle w:val="TextoNormalCaracter"/>
        </w:rPr>
        <w:t xml:space="preserve">, Auto </w:t>
      </w:r>
      <w:hyperlink w:anchor="AUTO_2016_89" w:history="1">
        <w:r w:rsidRPr="00924F59">
          <w:rPr>
            <w:rStyle w:val="TextoNormalCaracter"/>
          </w:rPr>
          <w:t>89/2016</w:t>
        </w:r>
      </w:hyperlink>
      <w:r w:rsidRPr="00924F59">
        <w:rPr>
          <w:rStyle w:val="TextoNormalCaracter"/>
        </w:rPr>
        <w:t>, f. 4.</w:t>
      </w:r>
    </w:p>
    <w:p w:rsidR="00924F59" w:rsidRPr="00924F59" w:rsidRDefault="00924F59" w:rsidP="00924F59">
      <w:pPr>
        <w:pStyle w:val="TextoNormalSangraFrancesa"/>
        <w:rPr>
          <w:rStyle w:val="TextoNormalCaracter"/>
        </w:rPr>
      </w:pPr>
      <w:bookmarkStart w:id="1430" w:name="DESCRIPTORALFABETICO647"/>
      <w:r w:rsidRPr="00924F59">
        <w:rPr>
          <w:rStyle w:val="TextoNormalNegritaCaracter"/>
        </w:rPr>
        <w:t>Derechos forales</w:t>
      </w:r>
      <w:bookmarkEnd w:id="1430"/>
      <w:r w:rsidRPr="00924F59">
        <w:rPr>
          <w:rStyle w:val="TextoNormalCaracter"/>
        </w:rPr>
        <w:t xml:space="preserve">, Sentencias </w:t>
      </w:r>
      <w:hyperlink w:anchor="SENTENCIA_2016_36" w:history="1">
        <w:r w:rsidRPr="00924F59">
          <w:rPr>
            <w:rStyle w:val="TextoNormalCaracter"/>
          </w:rPr>
          <w:t>36/2016</w:t>
        </w:r>
      </w:hyperlink>
      <w:r w:rsidRPr="00924F59">
        <w:rPr>
          <w:rStyle w:val="TextoNormalCaracter"/>
        </w:rPr>
        <w:t xml:space="preserve">, f. 3; </w:t>
      </w:r>
      <w:hyperlink w:anchor="SENTENCIA_2016_82" w:history="1">
        <w:r w:rsidRPr="00924F59">
          <w:rPr>
            <w:rStyle w:val="TextoNormalCaracter"/>
          </w:rPr>
          <w:t>82/2016</w:t>
        </w:r>
      </w:hyperlink>
      <w:r w:rsidRPr="00924F59">
        <w:rPr>
          <w:rStyle w:val="TextoNormalCaracter"/>
        </w:rPr>
        <w:t xml:space="preserve">, ff. 1 a 6, 8, VP; </w:t>
      </w:r>
      <w:hyperlink w:anchor="SENTENCIA_2016_110" w:history="1">
        <w:r w:rsidRPr="00924F59">
          <w:rPr>
            <w:rStyle w:val="TextoNormalCaracter"/>
          </w:rPr>
          <w:t>110/2016</w:t>
        </w:r>
      </w:hyperlink>
      <w:r w:rsidRPr="00924F59">
        <w:rPr>
          <w:rStyle w:val="TextoNormalCaracter"/>
        </w:rPr>
        <w:t>, ff. 1, 3 a 6, VP.</w:t>
      </w:r>
    </w:p>
    <w:p w:rsidR="00924F59" w:rsidRPr="00924F59" w:rsidRDefault="00924F59" w:rsidP="00924F59">
      <w:pPr>
        <w:pStyle w:val="TextoNormalSangraFrancesa"/>
        <w:rPr>
          <w:rStyle w:val="TextoNormalCaracter"/>
        </w:rPr>
      </w:pPr>
      <w:bookmarkStart w:id="1431" w:name="DESCRIPTORALFABETICO649"/>
      <w:r w:rsidRPr="00924F59">
        <w:rPr>
          <w:rStyle w:val="TextoNormalNegritaCaracter"/>
        </w:rPr>
        <w:t>Derechos históricos</w:t>
      </w:r>
      <w:bookmarkEnd w:id="1431"/>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ff. 2, 4 d).</w:t>
      </w:r>
    </w:p>
    <w:p w:rsidR="00924F59" w:rsidRPr="00924F59" w:rsidRDefault="00924F59" w:rsidP="00924F59">
      <w:pPr>
        <w:pStyle w:val="TextoNormalSangraFrancesa"/>
        <w:rPr>
          <w:rStyle w:val="TextoNormalCaracter"/>
        </w:rPr>
      </w:pPr>
      <w:bookmarkStart w:id="1432" w:name="DESCRIPTORALFABETICO493"/>
      <w:r w:rsidRPr="00924F59">
        <w:rPr>
          <w:rStyle w:val="TextoNormalNegritaCaracter"/>
        </w:rPr>
        <w:t>Derechos y deberes</w:t>
      </w:r>
      <w:bookmarkEnd w:id="1432"/>
      <w:r w:rsidRPr="00924F59">
        <w:rPr>
          <w:rStyle w:val="TextoNormalCaracter"/>
        </w:rPr>
        <w:t xml:space="preserve">, Sentencias </w:t>
      </w:r>
      <w:hyperlink w:anchor="SENTENCIA_2016_88" w:history="1">
        <w:r w:rsidRPr="00924F59">
          <w:rPr>
            <w:rStyle w:val="TextoNormalCaracter"/>
          </w:rPr>
          <w:t>88/2016</w:t>
        </w:r>
      </w:hyperlink>
      <w:r w:rsidRPr="00924F59">
        <w:rPr>
          <w:rStyle w:val="TextoNormalCaracter"/>
        </w:rPr>
        <w:t xml:space="preserve">, ff. 1 a 4; </w:t>
      </w:r>
      <w:hyperlink w:anchor="SENTENCIA_2016_99" w:history="1">
        <w:r w:rsidRPr="00924F59">
          <w:rPr>
            <w:rStyle w:val="TextoNormalCaracter"/>
          </w:rPr>
          <w:t>99/2016</w:t>
        </w:r>
      </w:hyperlink>
      <w:r w:rsidRPr="00924F59">
        <w:rPr>
          <w:rStyle w:val="TextoNormalCaracter"/>
        </w:rPr>
        <w:t xml:space="preserve">, ff. 7, 8; </w:t>
      </w:r>
      <w:hyperlink w:anchor="SENTENCIA_2016_111" w:history="1">
        <w:r w:rsidRPr="00924F59">
          <w:rPr>
            <w:rStyle w:val="TextoNormalCaracter"/>
          </w:rPr>
          <w:t>111/2016</w:t>
        </w:r>
      </w:hyperlink>
      <w:r w:rsidRPr="00924F59">
        <w:rPr>
          <w:rStyle w:val="TextoNormalCaracter"/>
        </w:rPr>
        <w:t xml:space="preserve">, f. 8, VP; </w:t>
      </w:r>
      <w:hyperlink w:anchor="SENTENCIA_2016_119" w:history="1">
        <w:r w:rsidRPr="00924F59">
          <w:rPr>
            <w:rStyle w:val="TextoNormalCaracter"/>
          </w:rPr>
          <w:t>119/2016</w:t>
        </w:r>
      </w:hyperlink>
      <w:r w:rsidRPr="00924F59">
        <w:rPr>
          <w:rStyle w:val="TextoNormalCaracter"/>
        </w:rPr>
        <w:t>, f. 3.</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83" w:history="1">
        <w:r w:rsidRPr="00924F59">
          <w:rPr>
            <w:rStyle w:val="TextoNormalCaracter"/>
          </w:rPr>
          <w:t>83/2016</w:t>
        </w:r>
      </w:hyperlink>
      <w:r w:rsidRPr="00924F59">
        <w:rPr>
          <w:rStyle w:val="TextoNormalCaracter"/>
        </w:rPr>
        <w:t xml:space="preserve">, ff. 1 a 5; </w:t>
      </w:r>
      <w:hyperlink w:anchor="AUTO_2016_131" w:history="1">
        <w:r w:rsidRPr="00924F59">
          <w:rPr>
            <w:rStyle w:val="TextoNormalCaracter"/>
          </w:rPr>
          <w:t>131/2016</w:t>
        </w:r>
      </w:hyperlink>
      <w:r w:rsidRPr="00924F59">
        <w:rPr>
          <w:rStyle w:val="TextoNormalCaracter"/>
        </w:rPr>
        <w:t xml:space="preserve">, ff. 1 a 6; </w:t>
      </w:r>
      <w:hyperlink w:anchor="AUTO_2016_134" w:history="1">
        <w:r w:rsidRPr="00924F59">
          <w:rPr>
            <w:rStyle w:val="TextoNormalCaracter"/>
          </w:rPr>
          <w:t>134/2016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433" w:name="DESCRIPTORALFABETICO694"/>
      <w:r w:rsidRPr="00924F59">
        <w:rPr>
          <w:rStyle w:val="TextoNormalNegritaCaracter"/>
        </w:rPr>
        <w:t>Derogación expresa y cláusula derogatoria general</w:t>
      </w:r>
      <w:bookmarkEnd w:id="1433"/>
      <w:r w:rsidRPr="00924F59">
        <w:rPr>
          <w:rStyle w:val="TextoNormalCaracter"/>
        </w:rPr>
        <w:t xml:space="preserve">, Sentencia </w:t>
      </w:r>
      <w:hyperlink w:anchor="SENTENCIA_2016_35" w:history="1">
        <w:r w:rsidRPr="00924F59">
          <w:rPr>
            <w:rStyle w:val="TextoNormalCaracter"/>
          </w:rPr>
          <w:t>35/2016</w:t>
        </w:r>
      </w:hyperlink>
      <w:r w:rsidRPr="00924F59">
        <w:rPr>
          <w:rStyle w:val="TextoNormalCaracter"/>
        </w:rPr>
        <w:t>, f. 2.</w:t>
      </w:r>
    </w:p>
    <w:p w:rsidR="00924F59" w:rsidRPr="00924F59" w:rsidRDefault="00924F59" w:rsidP="00924F59">
      <w:pPr>
        <w:pStyle w:val="TextoNormalSangraFrancesa"/>
        <w:rPr>
          <w:rStyle w:val="TextoNormalCaracter"/>
        </w:rPr>
      </w:pPr>
      <w:bookmarkStart w:id="1434" w:name="DESCRIPTORALFABETICO841"/>
      <w:r w:rsidRPr="00924F59">
        <w:rPr>
          <w:rStyle w:val="TextoNormalNegritaCaracter"/>
        </w:rPr>
        <w:t>Desestimación de recurso de súplica</w:t>
      </w:r>
      <w:bookmarkEnd w:id="1434"/>
      <w:r w:rsidRPr="00924F59">
        <w:rPr>
          <w:rStyle w:val="TextoNormalCaracter"/>
        </w:rPr>
        <w:t xml:space="preserve">, Autos </w:t>
      </w:r>
      <w:hyperlink w:anchor="AUTO_2016_4" w:history="1">
        <w:r w:rsidRPr="00924F59">
          <w:rPr>
            <w:rStyle w:val="TextoNormalCaracter"/>
          </w:rPr>
          <w:t>4/2016</w:t>
        </w:r>
      </w:hyperlink>
      <w:r w:rsidRPr="00924F59">
        <w:rPr>
          <w:rStyle w:val="TextoNormalCaracter"/>
        </w:rPr>
        <w:t xml:space="preserve">, f. único; </w:t>
      </w:r>
      <w:hyperlink w:anchor="AUTO_2016_123" w:history="1">
        <w:r w:rsidRPr="00924F59">
          <w:rPr>
            <w:rStyle w:val="TextoNormalCaracter"/>
          </w:rPr>
          <w:t>123/2016</w:t>
        </w:r>
      </w:hyperlink>
      <w:r w:rsidRPr="00924F59">
        <w:rPr>
          <w:rStyle w:val="TextoNormalCaracter"/>
        </w:rPr>
        <w:t>, f. 3.</w:t>
      </w:r>
    </w:p>
    <w:p w:rsidR="00924F59" w:rsidRPr="00924F59" w:rsidRDefault="00924F59" w:rsidP="00924F59">
      <w:pPr>
        <w:pStyle w:val="TextoNormalSangraFrancesa"/>
        <w:rPr>
          <w:rStyle w:val="TextoNormalCaracter"/>
        </w:rPr>
      </w:pPr>
      <w:bookmarkStart w:id="1435" w:name="DESCRIPTORALFABETICO266"/>
      <w:r w:rsidRPr="00924F59">
        <w:rPr>
          <w:rStyle w:val="TextoNormalNegritaCaracter"/>
        </w:rPr>
        <w:t>Desestimación de recurso de súplica contra providencias de inadmisión del Tribunal Constitucional</w:t>
      </w:r>
      <w:bookmarkEnd w:id="1435"/>
      <w:r w:rsidRPr="00924F59">
        <w:rPr>
          <w:rStyle w:val="TextoNormalCaracter"/>
        </w:rPr>
        <w:t xml:space="preserve">, Autos </w:t>
      </w:r>
      <w:hyperlink w:anchor="AUTO_2016_24" w:history="1">
        <w:r w:rsidRPr="00924F59">
          <w:rPr>
            <w:rStyle w:val="TextoNormalCaracter"/>
          </w:rPr>
          <w:t>24/2016</w:t>
        </w:r>
      </w:hyperlink>
      <w:r w:rsidRPr="00924F59">
        <w:rPr>
          <w:rStyle w:val="TextoNormalCaracter"/>
        </w:rPr>
        <w:t xml:space="preserve">, f. 2; </w:t>
      </w:r>
      <w:hyperlink w:anchor="AUTO_2016_27" w:history="1">
        <w:r w:rsidRPr="00924F59">
          <w:rPr>
            <w:rStyle w:val="TextoNormalCaracter"/>
          </w:rPr>
          <w:t>27/2016</w:t>
        </w:r>
      </w:hyperlink>
      <w:r w:rsidRPr="00924F59">
        <w:rPr>
          <w:rStyle w:val="TextoNormalCaracter"/>
        </w:rPr>
        <w:t xml:space="preserve">, f. 3; </w:t>
      </w:r>
      <w:hyperlink w:anchor="AUTO_2016_43" w:history="1">
        <w:r w:rsidRPr="00924F59">
          <w:rPr>
            <w:rStyle w:val="TextoNormalCaracter"/>
          </w:rPr>
          <w:t>43/2016</w:t>
        </w:r>
      </w:hyperlink>
      <w:r w:rsidRPr="00924F59">
        <w:rPr>
          <w:rStyle w:val="TextoNormalCaracter"/>
        </w:rPr>
        <w:t xml:space="preserve">, ff. 2, 3; </w:t>
      </w:r>
      <w:hyperlink w:anchor="AUTO_2016_44" w:history="1">
        <w:r w:rsidRPr="00924F59">
          <w:rPr>
            <w:rStyle w:val="TextoNormalCaracter"/>
          </w:rPr>
          <w:t>44/2016</w:t>
        </w:r>
      </w:hyperlink>
      <w:r w:rsidRPr="00924F59">
        <w:rPr>
          <w:rStyle w:val="TextoNormalCaracter"/>
        </w:rPr>
        <w:t xml:space="preserve">, f. único; </w:t>
      </w:r>
      <w:hyperlink w:anchor="AUTO_2016_58" w:history="1">
        <w:r w:rsidRPr="00924F59">
          <w:rPr>
            <w:rStyle w:val="TextoNormalCaracter"/>
          </w:rPr>
          <w:t>58/2016</w:t>
        </w:r>
      </w:hyperlink>
      <w:r w:rsidRPr="00924F59">
        <w:rPr>
          <w:rStyle w:val="TextoNormalCaracter"/>
        </w:rPr>
        <w:t xml:space="preserve">, Único; </w:t>
      </w:r>
      <w:hyperlink w:anchor="AUTO_2016_59" w:history="1">
        <w:r w:rsidRPr="00924F59">
          <w:rPr>
            <w:rStyle w:val="TextoNormalCaracter"/>
          </w:rPr>
          <w:t>59/2016</w:t>
        </w:r>
      </w:hyperlink>
      <w:r w:rsidRPr="00924F59">
        <w:rPr>
          <w:rStyle w:val="TextoNormalCaracter"/>
        </w:rPr>
        <w:t xml:space="preserve">, Único; </w:t>
      </w:r>
      <w:hyperlink w:anchor="AUTO_2016_107" w:history="1">
        <w:r w:rsidRPr="00924F59">
          <w:rPr>
            <w:rStyle w:val="TextoNormalCaracter"/>
          </w:rPr>
          <w:t>107/2016</w:t>
        </w:r>
      </w:hyperlink>
      <w:r w:rsidRPr="00924F59">
        <w:rPr>
          <w:rStyle w:val="TextoNormalCaracter"/>
        </w:rPr>
        <w:t xml:space="preserve">, ff. 1, 2; </w:t>
      </w:r>
      <w:hyperlink w:anchor="AUTO_2016_109" w:history="1">
        <w:r w:rsidRPr="00924F59">
          <w:rPr>
            <w:rStyle w:val="TextoNormalCaracter"/>
          </w:rPr>
          <w:t>109/2016</w:t>
        </w:r>
      </w:hyperlink>
      <w:r w:rsidRPr="00924F59">
        <w:rPr>
          <w:rStyle w:val="TextoNormalCaracter"/>
        </w:rPr>
        <w:t xml:space="preserve">, f. 3; </w:t>
      </w:r>
      <w:hyperlink w:anchor="AUTO_2016_112" w:history="1">
        <w:r w:rsidRPr="00924F59">
          <w:rPr>
            <w:rStyle w:val="TextoNormalCaracter"/>
          </w:rPr>
          <w:t>112/2016</w:t>
        </w:r>
      </w:hyperlink>
      <w:r w:rsidRPr="00924F59">
        <w:rPr>
          <w:rStyle w:val="TextoNormalCaracter"/>
        </w:rPr>
        <w:t>, ff. 1, 4, 5, VP.</w:t>
      </w:r>
    </w:p>
    <w:p w:rsidR="00924F59" w:rsidRPr="00924F59" w:rsidRDefault="00924F59" w:rsidP="00924F59">
      <w:pPr>
        <w:pStyle w:val="TextoNormalSangraFrancesa"/>
        <w:rPr>
          <w:rStyle w:val="TextoNormalCaracter"/>
        </w:rPr>
      </w:pPr>
      <w:bookmarkStart w:id="1436" w:name="DESCRIPTORALFABETICO268"/>
      <w:r w:rsidRPr="00924F59">
        <w:rPr>
          <w:rStyle w:val="TextoNormalNegritaCaracter"/>
        </w:rPr>
        <w:t>Desistimiento en el recurso de amparo</w:t>
      </w:r>
      <w:bookmarkEnd w:id="1436"/>
      <w:r w:rsidRPr="00924F59">
        <w:rPr>
          <w:rStyle w:val="TextoNormalCaracter"/>
        </w:rPr>
        <w:t xml:space="preserve">, Autos </w:t>
      </w:r>
      <w:hyperlink w:anchor="AUTO_2016_15" w:history="1">
        <w:r w:rsidRPr="00924F59">
          <w:rPr>
            <w:rStyle w:val="TextoNormalCaracter"/>
          </w:rPr>
          <w:t>15/2016</w:t>
        </w:r>
      </w:hyperlink>
      <w:r w:rsidRPr="00924F59">
        <w:rPr>
          <w:rStyle w:val="TextoNormalCaracter"/>
        </w:rPr>
        <w:t xml:space="preserve">, f. único; </w:t>
      </w:r>
      <w:hyperlink w:anchor="AUTO_2016_16" w:history="1">
        <w:r w:rsidRPr="00924F59">
          <w:rPr>
            <w:rStyle w:val="TextoNormalCaracter"/>
          </w:rPr>
          <w:t>16/2016</w:t>
        </w:r>
      </w:hyperlink>
      <w:r w:rsidRPr="00924F59">
        <w:rPr>
          <w:rStyle w:val="TextoNormalCaracter"/>
        </w:rPr>
        <w:t xml:space="preserve">, f. único; </w:t>
      </w:r>
      <w:hyperlink w:anchor="AUTO_2016_20" w:history="1">
        <w:r w:rsidRPr="00924F59">
          <w:rPr>
            <w:rStyle w:val="TextoNormalCaracter"/>
          </w:rPr>
          <w:t>20/2016</w:t>
        </w:r>
      </w:hyperlink>
      <w:r w:rsidRPr="00924F59">
        <w:rPr>
          <w:rStyle w:val="TextoNormalCaracter"/>
        </w:rPr>
        <w:t xml:space="preserve">, f. único; </w:t>
      </w:r>
      <w:hyperlink w:anchor="AUTO_2016_25" w:history="1">
        <w:r w:rsidRPr="00924F59">
          <w:rPr>
            <w:rStyle w:val="TextoNormalCaracter"/>
          </w:rPr>
          <w:t>25/2016</w:t>
        </w:r>
      </w:hyperlink>
      <w:r w:rsidRPr="00924F59">
        <w:rPr>
          <w:rStyle w:val="TextoNormalCaracter"/>
        </w:rPr>
        <w:t xml:space="preserve">, f. único; </w:t>
      </w:r>
      <w:hyperlink w:anchor="AUTO_2016_26" w:history="1">
        <w:r w:rsidRPr="00924F59">
          <w:rPr>
            <w:rStyle w:val="TextoNormalCaracter"/>
          </w:rPr>
          <w:t>26/2016</w:t>
        </w:r>
      </w:hyperlink>
      <w:r w:rsidRPr="00924F59">
        <w:rPr>
          <w:rStyle w:val="TextoNormalCaracter"/>
        </w:rPr>
        <w:t xml:space="preserve">, f. único; </w:t>
      </w:r>
      <w:hyperlink w:anchor="AUTO_2016_31" w:history="1">
        <w:r w:rsidRPr="00924F59">
          <w:rPr>
            <w:rStyle w:val="TextoNormalCaracter"/>
          </w:rPr>
          <w:t>31/2016</w:t>
        </w:r>
      </w:hyperlink>
      <w:r w:rsidRPr="00924F59">
        <w:rPr>
          <w:rStyle w:val="TextoNormalCaracter"/>
        </w:rPr>
        <w:t xml:space="preserve">, ff. 1, 2; </w:t>
      </w:r>
      <w:hyperlink w:anchor="AUTO_2016_32" w:history="1">
        <w:r w:rsidRPr="00924F59">
          <w:rPr>
            <w:rStyle w:val="TextoNormalCaracter"/>
          </w:rPr>
          <w:t>32/2016</w:t>
        </w:r>
      </w:hyperlink>
      <w:r w:rsidRPr="00924F59">
        <w:rPr>
          <w:rStyle w:val="TextoNormalCaracter"/>
        </w:rPr>
        <w:t xml:space="preserve">, f. único; </w:t>
      </w:r>
      <w:hyperlink w:anchor="AUTO_2016_33" w:history="1">
        <w:r w:rsidRPr="00924F59">
          <w:rPr>
            <w:rStyle w:val="TextoNormalCaracter"/>
          </w:rPr>
          <w:t>33/2016</w:t>
        </w:r>
      </w:hyperlink>
      <w:r w:rsidRPr="00924F59">
        <w:rPr>
          <w:rStyle w:val="TextoNormalCaracter"/>
        </w:rPr>
        <w:t xml:space="preserve">, f. único; </w:t>
      </w:r>
      <w:hyperlink w:anchor="AUTO_2016_45" w:history="1">
        <w:r w:rsidRPr="00924F59">
          <w:rPr>
            <w:rStyle w:val="TextoNormalCaracter"/>
          </w:rPr>
          <w:t>45/2016</w:t>
        </w:r>
      </w:hyperlink>
      <w:r w:rsidRPr="00924F59">
        <w:rPr>
          <w:rStyle w:val="TextoNormalCaracter"/>
        </w:rPr>
        <w:t xml:space="preserve">, f. único; </w:t>
      </w:r>
      <w:hyperlink w:anchor="AUTO_2016_53" w:history="1">
        <w:r w:rsidRPr="00924F59">
          <w:rPr>
            <w:rStyle w:val="TextoNormalCaracter"/>
          </w:rPr>
          <w:t>53/2016</w:t>
        </w:r>
      </w:hyperlink>
      <w:r w:rsidRPr="00924F59">
        <w:rPr>
          <w:rStyle w:val="TextoNormalCaracter"/>
        </w:rPr>
        <w:t xml:space="preserve">, Único; </w:t>
      </w:r>
      <w:hyperlink w:anchor="AUTO_2016_61" w:history="1">
        <w:r w:rsidRPr="00924F59">
          <w:rPr>
            <w:rStyle w:val="TextoNormalCaracter"/>
          </w:rPr>
          <w:t>61/2016</w:t>
        </w:r>
      </w:hyperlink>
      <w:r w:rsidRPr="00924F59">
        <w:rPr>
          <w:rStyle w:val="TextoNormalCaracter"/>
        </w:rPr>
        <w:t xml:space="preserve">, Único; </w:t>
      </w:r>
      <w:hyperlink w:anchor="AUTO_2016_80" w:history="1">
        <w:r w:rsidRPr="00924F59">
          <w:rPr>
            <w:rStyle w:val="TextoNormalCaracter"/>
          </w:rPr>
          <w:t>80/2016</w:t>
        </w:r>
      </w:hyperlink>
      <w:r w:rsidRPr="00924F59">
        <w:rPr>
          <w:rStyle w:val="TextoNormalCaracter"/>
        </w:rPr>
        <w:t xml:space="preserve">, f. único; </w:t>
      </w:r>
      <w:hyperlink w:anchor="AUTO_2016_81" w:history="1">
        <w:r w:rsidRPr="00924F59">
          <w:rPr>
            <w:rStyle w:val="TextoNormalCaracter"/>
          </w:rPr>
          <w:t>81/2016</w:t>
        </w:r>
      </w:hyperlink>
      <w:r w:rsidRPr="00924F59">
        <w:rPr>
          <w:rStyle w:val="TextoNormalCaracter"/>
        </w:rPr>
        <w:t xml:space="preserve">, f. único; </w:t>
      </w:r>
      <w:hyperlink w:anchor="AUTO_2016_92" w:history="1">
        <w:r w:rsidRPr="00924F59">
          <w:rPr>
            <w:rStyle w:val="TextoNormalCaracter"/>
          </w:rPr>
          <w:t>92/2016</w:t>
        </w:r>
      </w:hyperlink>
      <w:r w:rsidRPr="00924F59">
        <w:rPr>
          <w:rStyle w:val="TextoNormalCaracter"/>
        </w:rPr>
        <w:t xml:space="preserve">, f. único; </w:t>
      </w:r>
      <w:hyperlink w:anchor="AUTO_2016_94" w:history="1">
        <w:r w:rsidRPr="00924F59">
          <w:rPr>
            <w:rStyle w:val="TextoNormalCaracter"/>
          </w:rPr>
          <w:t>94/2016</w:t>
        </w:r>
      </w:hyperlink>
      <w:r w:rsidRPr="00924F59">
        <w:rPr>
          <w:rStyle w:val="TextoNormalCaracter"/>
        </w:rPr>
        <w:t xml:space="preserve">, f. único; </w:t>
      </w:r>
      <w:hyperlink w:anchor="AUTO_2016_95" w:history="1">
        <w:r w:rsidRPr="00924F59">
          <w:rPr>
            <w:rStyle w:val="TextoNormalCaracter"/>
          </w:rPr>
          <w:t>95/2016</w:t>
        </w:r>
      </w:hyperlink>
      <w:r w:rsidRPr="00924F59">
        <w:rPr>
          <w:rStyle w:val="TextoNormalCaracter"/>
        </w:rPr>
        <w:t xml:space="preserve">, f. único; </w:t>
      </w:r>
      <w:hyperlink w:anchor="AUTO_2016_96" w:history="1">
        <w:r w:rsidRPr="00924F59">
          <w:rPr>
            <w:rStyle w:val="TextoNormalCaracter"/>
          </w:rPr>
          <w:t>96/2016</w:t>
        </w:r>
      </w:hyperlink>
      <w:r w:rsidRPr="00924F59">
        <w:rPr>
          <w:rStyle w:val="TextoNormalCaracter"/>
        </w:rPr>
        <w:t xml:space="preserve">, f. único; </w:t>
      </w:r>
      <w:hyperlink w:anchor="AUTO_2016_115" w:history="1">
        <w:r w:rsidRPr="00924F59">
          <w:rPr>
            <w:rStyle w:val="TextoNormalCaracter"/>
          </w:rPr>
          <w:t>115/2016</w:t>
        </w:r>
      </w:hyperlink>
      <w:r w:rsidRPr="00924F59">
        <w:rPr>
          <w:rStyle w:val="TextoNormalCaracter"/>
        </w:rPr>
        <w:t xml:space="preserve">, f. único; </w:t>
      </w:r>
      <w:hyperlink w:anchor="AUTO_2016_116" w:history="1">
        <w:r w:rsidRPr="00924F59">
          <w:rPr>
            <w:rStyle w:val="TextoNormalCaracter"/>
          </w:rPr>
          <w:t>116/2016</w:t>
        </w:r>
      </w:hyperlink>
      <w:r w:rsidRPr="00924F59">
        <w:rPr>
          <w:rStyle w:val="TextoNormalCaracter"/>
        </w:rPr>
        <w:t xml:space="preserve">, f. único; </w:t>
      </w:r>
      <w:hyperlink w:anchor="AUTO_2016_117" w:history="1">
        <w:r w:rsidRPr="00924F59">
          <w:rPr>
            <w:rStyle w:val="TextoNormalCaracter"/>
          </w:rPr>
          <w:t>117/2016</w:t>
        </w:r>
      </w:hyperlink>
      <w:r w:rsidRPr="00924F59">
        <w:rPr>
          <w:rStyle w:val="TextoNormalCaracter"/>
        </w:rPr>
        <w:t xml:space="preserve">, f. único; </w:t>
      </w:r>
      <w:hyperlink w:anchor="AUTO_2016_118" w:history="1">
        <w:r w:rsidRPr="00924F59">
          <w:rPr>
            <w:rStyle w:val="TextoNormalCaracter"/>
          </w:rPr>
          <w:t>118/2016</w:t>
        </w:r>
      </w:hyperlink>
      <w:r w:rsidRPr="00924F59">
        <w:rPr>
          <w:rStyle w:val="TextoNormalCaracter"/>
        </w:rPr>
        <w:t xml:space="preserve">, f. único; </w:t>
      </w:r>
      <w:hyperlink w:anchor="AUTO_2016_119" w:history="1">
        <w:r w:rsidRPr="00924F59">
          <w:rPr>
            <w:rStyle w:val="TextoNormalCaracter"/>
          </w:rPr>
          <w:t>119/2016</w:t>
        </w:r>
      </w:hyperlink>
      <w:r w:rsidRPr="00924F59">
        <w:rPr>
          <w:rStyle w:val="TextoNormalCaracter"/>
        </w:rPr>
        <w:t xml:space="preserve">, f. único; </w:t>
      </w:r>
      <w:hyperlink w:anchor="AUTO_2016_120" w:history="1">
        <w:r w:rsidRPr="00924F59">
          <w:rPr>
            <w:rStyle w:val="TextoNormalCaracter"/>
          </w:rPr>
          <w:t>120/2016</w:t>
        </w:r>
      </w:hyperlink>
      <w:r w:rsidRPr="00924F59">
        <w:rPr>
          <w:rStyle w:val="TextoNormalCaracter"/>
        </w:rPr>
        <w:t xml:space="preserve">, f. único; </w:t>
      </w:r>
      <w:hyperlink w:anchor="AUTO_2016_124" w:history="1">
        <w:r w:rsidRPr="00924F59">
          <w:rPr>
            <w:rStyle w:val="TextoNormalCaracter"/>
          </w:rPr>
          <w:t>124/2016</w:t>
        </w:r>
      </w:hyperlink>
      <w:r w:rsidRPr="00924F59">
        <w:rPr>
          <w:rStyle w:val="TextoNormalCaracter"/>
        </w:rPr>
        <w:t xml:space="preserve">, f. único; </w:t>
      </w:r>
      <w:hyperlink w:anchor="AUTO_2016_125" w:history="1">
        <w:r w:rsidRPr="00924F59">
          <w:rPr>
            <w:rStyle w:val="TextoNormalCaracter"/>
          </w:rPr>
          <w:t>125/2016</w:t>
        </w:r>
      </w:hyperlink>
      <w:r w:rsidRPr="00924F59">
        <w:rPr>
          <w:rStyle w:val="TextoNormalCaracter"/>
        </w:rPr>
        <w:t xml:space="preserve">, f. único; </w:t>
      </w:r>
      <w:hyperlink w:anchor="AUTO_2016_127" w:history="1">
        <w:r w:rsidRPr="00924F59">
          <w:rPr>
            <w:rStyle w:val="TextoNormalCaracter"/>
          </w:rPr>
          <w:t>127/2016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437" w:name="DESCRIPTORALFABETICO269"/>
      <w:r w:rsidRPr="00924F59">
        <w:rPr>
          <w:rStyle w:val="TextoNormalNegritaCaracter"/>
        </w:rPr>
        <w:t>Desistimiento parcial en el recurso de inconstitucionalidad</w:t>
      </w:r>
      <w:bookmarkEnd w:id="1437"/>
      <w:r w:rsidRPr="00924F59">
        <w:rPr>
          <w:rStyle w:val="TextoNormalCaracter"/>
        </w:rPr>
        <w:t xml:space="preserve">, Auto </w:t>
      </w:r>
      <w:hyperlink w:anchor="AUTO_2016_51" w:history="1">
        <w:r w:rsidRPr="00924F59">
          <w:rPr>
            <w:rStyle w:val="TextoNormalCaracter"/>
          </w:rPr>
          <w:t>51/2016</w:t>
        </w:r>
      </w:hyperlink>
      <w:r w:rsidRPr="00924F59">
        <w:rPr>
          <w:rStyle w:val="TextoNormalCaracter"/>
        </w:rPr>
        <w:t>, Único.</w:t>
      </w:r>
    </w:p>
    <w:p w:rsidR="00924F59" w:rsidRPr="00924F59" w:rsidRDefault="00924F59" w:rsidP="00924F59">
      <w:pPr>
        <w:pStyle w:val="TextoNormalSangraFrancesa"/>
        <w:rPr>
          <w:rStyle w:val="TextoNormalCaracter"/>
        </w:rPr>
      </w:pPr>
      <w:bookmarkStart w:id="1438" w:name="DESCRIPTORALFABETICO777"/>
      <w:r w:rsidRPr="00924F59">
        <w:rPr>
          <w:rStyle w:val="TextoNormalNegritaCaracter"/>
        </w:rPr>
        <w:t>Despido por transgresión de la buena fe contractual</w:t>
      </w:r>
      <w:bookmarkEnd w:id="1438"/>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 1.</w:t>
      </w:r>
    </w:p>
    <w:p w:rsidR="00924F59" w:rsidRPr="00924F59" w:rsidRDefault="00924F59" w:rsidP="00924F59">
      <w:pPr>
        <w:pStyle w:val="TextoNormalSangraFrancesa"/>
        <w:rPr>
          <w:rStyle w:val="TextoNormalCaracter"/>
        </w:rPr>
      </w:pPr>
      <w:bookmarkStart w:id="1439" w:name="DESCRIPTORALFABETICO71"/>
      <w:r w:rsidRPr="00924F59">
        <w:rPr>
          <w:rStyle w:val="TextoNormalNegritaCaracter"/>
        </w:rPr>
        <w:t>Deuda pública</w:t>
      </w:r>
      <w:bookmarkEnd w:id="1439"/>
      <w:r w:rsidRPr="00924F59">
        <w:rPr>
          <w:rStyle w:val="TextoNormalCaracter"/>
        </w:rPr>
        <w:t xml:space="preserve">, Sentencia </w:t>
      </w:r>
      <w:hyperlink w:anchor="SENTENCIA_2016_31" w:history="1">
        <w:r w:rsidRPr="00924F59">
          <w:rPr>
            <w:rStyle w:val="TextoNormalCaracter"/>
          </w:rPr>
          <w:t>31/2016</w:t>
        </w:r>
      </w:hyperlink>
      <w:r w:rsidRPr="00924F59">
        <w:rPr>
          <w:rStyle w:val="TextoNormalCaracter"/>
        </w:rPr>
        <w:t>, f. 3 b).</w:t>
      </w:r>
    </w:p>
    <w:p w:rsidR="00924F59" w:rsidRPr="00924F59" w:rsidRDefault="00924F59" w:rsidP="00924F59">
      <w:pPr>
        <w:pStyle w:val="TextoNormalSangraFrancesa"/>
        <w:rPr>
          <w:rStyle w:val="TextoNormalCaracter"/>
        </w:rPr>
      </w:pPr>
      <w:bookmarkStart w:id="1440" w:name="DESCRIPTORALFABETICO813"/>
      <w:r w:rsidRPr="00924F59">
        <w:rPr>
          <w:rStyle w:val="TextoNormalNegritaCaracter"/>
        </w:rPr>
        <w:t>Dilaciones en la celebración de vista</w:t>
      </w:r>
      <w:bookmarkEnd w:id="1440"/>
      <w:r w:rsidRPr="00924F59">
        <w:rPr>
          <w:rStyle w:val="TextoNormalCaracter"/>
        </w:rPr>
        <w:t xml:space="preserve">, Sentencias </w:t>
      </w:r>
      <w:hyperlink w:anchor="SENTENCIA_2016_63" w:history="1">
        <w:r w:rsidRPr="00924F59">
          <w:rPr>
            <w:rStyle w:val="TextoNormalCaracter"/>
          </w:rPr>
          <w:t>63/2016</w:t>
        </w:r>
      </w:hyperlink>
      <w:r w:rsidRPr="00924F59">
        <w:rPr>
          <w:rStyle w:val="TextoNormalCaracter"/>
        </w:rPr>
        <w:t xml:space="preserve">, ff. 3 a 6; </w:t>
      </w:r>
      <w:hyperlink w:anchor="SENTENCIA_2016_75" w:history="1">
        <w:r w:rsidRPr="00924F59">
          <w:rPr>
            <w:rStyle w:val="TextoNormalCaracter"/>
          </w:rPr>
          <w:t>75/2016</w:t>
        </w:r>
      </w:hyperlink>
      <w:r w:rsidRPr="00924F59">
        <w:rPr>
          <w:rStyle w:val="TextoNormalCaracter"/>
        </w:rPr>
        <w:t xml:space="preserve">, ff. 1, 4 a 7; </w:t>
      </w:r>
      <w:hyperlink w:anchor="SENTENCIA_2016_76" w:history="1">
        <w:r w:rsidRPr="00924F59">
          <w:rPr>
            <w:rStyle w:val="TextoNormalCaracter"/>
          </w:rPr>
          <w:t>76/2016</w:t>
        </w:r>
      </w:hyperlink>
      <w:r w:rsidRPr="00924F59">
        <w:rPr>
          <w:rStyle w:val="TextoNormalCaracter"/>
        </w:rPr>
        <w:t xml:space="preserve">, ff. 4, 5; </w:t>
      </w:r>
      <w:hyperlink w:anchor="SENTENCIA_2016_77" w:history="1">
        <w:r w:rsidRPr="00924F59">
          <w:rPr>
            <w:rStyle w:val="TextoNormalCaracter"/>
          </w:rPr>
          <w:t>77/2016</w:t>
        </w:r>
      </w:hyperlink>
      <w:r w:rsidRPr="00924F59">
        <w:rPr>
          <w:rStyle w:val="TextoNormalCaracter"/>
        </w:rPr>
        <w:t xml:space="preserve">, ff. 3 a 6; </w:t>
      </w:r>
      <w:hyperlink w:anchor="SENTENCIA_2016_89" w:history="1">
        <w:r w:rsidRPr="00924F59">
          <w:rPr>
            <w:rStyle w:val="TextoNormalCaracter"/>
          </w:rPr>
          <w:t>89/2016</w:t>
        </w:r>
      </w:hyperlink>
      <w:r w:rsidRPr="00924F59">
        <w:rPr>
          <w:rStyle w:val="TextoNormalCaracter"/>
        </w:rPr>
        <w:t xml:space="preserve">, ff. 4 a 6; </w:t>
      </w:r>
      <w:hyperlink w:anchor="SENTENCIA_2016_103" w:history="1">
        <w:r w:rsidRPr="00924F59">
          <w:rPr>
            <w:rStyle w:val="TextoNormalCaracter"/>
          </w:rPr>
          <w:t>103/2016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441" w:name="DESCRIPTORALFABETICO459"/>
      <w:r w:rsidRPr="00924F59">
        <w:rPr>
          <w:rStyle w:val="TextoNormalNegritaCaracter"/>
        </w:rPr>
        <w:t>Diputaciones forales</w:t>
      </w:r>
      <w:bookmarkEnd w:id="1441"/>
      <w:r w:rsidRPr="00924F59">
        <w:rPr>
          <w:rStyle w:val="TextoNormalCaracter"/>
        </w:rPr>
        <w:t xml:space="preserve">, Sentencias </w:t>
      </w:r>
      <w:hyperlink w:anchor="SENTENCIA_2016_3" w:history="1">
        <w:r w:rsidRPr="00924F59">
          <w:rPr>
            <w:rStyle w:val="TextoNormalCaracter"/>
          </w:rPr>
          <w:t>3/2016</w:t>
        </w:r>
      </w:hyperlink>
      <w:r w:rsidRPr="00924F59">
        <w:rPr>
          <w:rStyle w:val="TextoNormalCaracter"/>
        </w:rPr>
        <w:t xml:space="preserve">, f. 1; </w:t>
      </w:r>
      <w:hyperlink w:anchor="SENTENCIA_2016_118" w:history="1">
        <w:r w:rsidRPr="00924F59">
          <w:rPr>
            <w:rStyle w:val="TextoNormalCaracter"/>
          </w:rPr>
          <w:t>118/2016</w:t>
        </w:r>
      </w:hyperlink>
      <w:r w:rsidRPr="00924F59">
        <w:rPr>
          <w:rStyle w:val="TextoNormalCaracter"/>
        </w:rPr>
        <w:t>, f. 2.</w:t>
      </w:r>
    </w:p>
    <w:p w:rsidR="00924F59" w:rsidRPr="00924F59" w:rsidRDefault="00924F59" w:rsidP="00924F59">
      <w:pPr>
        <w:pStyle w:val="TextoNormalSangraFrancesa"/>
        <w:rPr>
          <w:rStyle w:val="TextoNormalCaracter"/>
        </w:rPr>
      </w:pPr>
      <w:bookmarkStart w:id="1442" w:name="DESCRIPTORALFABETICO460"/>
      <w:r w:rsidRPr="00924F59">
        <w:rPr>
          <w:rStyle w:val="TextoNormalNegritaCaracter"/>
        </w:rPr>
        <w:t>Diputaciones provinciales</w:t>
      </w:r>
      <w:bookmarkEnd w:id="1442"/>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15.</w:t>
      </w:r>
    </w:p>
    <w:p w:rsidR="00924F59" w:rsidRPr="00924F59" w:rsidRDefault="00924F59" w:rsidP="00924F59">
      <w:pPr>
        <w:pStyle w:val="TextoNormalSangraFrancesa"/>
        <w:rPr>
          <w:rStyle w:val="TextoNormalCaracter"/>
        </w:rPr>
      </w:pPr>
      <w:bookmarkStart w:id="1443" w:name="DESCRIPTORALFABETICO396"/>
      <w:r w:rsidRPr="00924F59">
        <w:rPr>
          <w:rStyle w:val="TextoNormalNegritaCaracter"/>
        </w:rPr>
        <w:t>Diputados</w:t>
      </w:r>
      <w:bookmarkEnd w:id="1443"/>
      <w:r w:rsidRPr="00924F59">
        <w:rPr>
          <w:rStyle w:val="TextoNormalCaracter"/>
        </w:rPr>
        <w:t xml:space="preserve">, Sentencias </w:t>
      </w:r>
      <w:hyperlink w:anchor="SENTENCIA_2016_107" w:history="1">
        <w:r w:rsidRPr="00924F59">
          <w:rPr>
            <w:rStyle w:val="TextoNormalCaracter"/>
          </w:rPr>
          <w:t>107/2016</w:t>
        </w:r>
      </w:hyperlink>
      <w:r w:rsidRPr="00924F59">
        <w:rPr>
          <w:rStyle w:val="TextoNormalCaracter"/>
        </w:rPr>
        <w:t xml:space="preserve">, ff. 1, 3, 4; </w:t>
      </w:r>
      <w:hyperlink w:anchor="SENTENCIA_2016_108" w:history="1">
        <w:r w:rsidRPr="00924F59">
          <w:rPr>
            <w:rStyle w:val="TextoNormalCaracter"/>
          </w:rPr>
          <w:t>108/2016</w:t>
        </w:r>
      </w:hyperlink>
      <w:r w:rsidRPr="00924F59">
        <w:rPr>
          <w:rStyle w:val="TextoNormalCaracter"/>
        </w:rPr>
        <w:t xml:space="preserve">, ff. 1, 3, 4; </w:t>
      </w:r>
      <w:hyperlink w:anchor="SENTENCIA_2016_109" w:history="1">
        <w:r w:rsidRPr="00924F59">
          <w:rPr>
            <w:rStyle w:val="TextoNormalCaracter"/>
          </w:rPr>
          <w:t>109/2016</w:t>
        </w:r>
      </w:hyperlink>
      <w:r w:rsidRPr="00924F59">
        <w:rPr>
          <w:rStyle w:val="TextoNormalCaracter"/>
        </w:rPr>
        <w:t>, ff. 1, 3, 5, 6.</w:t>
      </w:r>
    </w:p>
    <w:p w:rsidR="00924F59" w:rsidRPr="00924F59" w:rsidRDefault="00924F59" w:rsidP="00924F59">
      <w:pPr>
        <w:pStyle w:val="TextoNormalSangraFrancesa"/>
        <w:rPr>
          <w:rStyle w:val="TextoNormalCaracter"/>
        </w:rPr>
      </w:pPr>
      <w:bookmarkStart w:id="1444" w:name="DESCRIPTORALFABETICO397"/>
      <w:r w:rsidRPr="00924F59">
        <w:rPr>
          <w:rStyle w:val="TextoNormalNegritaCaracter"/>
        </w:rPr>
        <w:t>Diputados autonómicos</w:t>
      </w:r>
      <w:bookmarkEnd w:id="1444"/>
      <w:r w:rsidRPr="00924F59">
        <w:rPr>
          <w:rStyle w:val="TextoNormalCaracter"/>
        </w:rPr>
        <w:t xml:space="preserve">, Sentencia </w:t>
      </w:r>
      <w:hyperlink w:anchor="SENTENCIA_2016_78" w:history="1">
        <w:r w:rsidRPr="00924F59">
          <w:rPr>
            <w:rStyle w:val="TextoNormalCaracter"/>
          </w:rPr>
          <w:t>78/2016</w:t>
        </w:r>
      </w:hyperlink>
      <w:r w:rsidRPr="00924F59">
        <w:rPr>
          <w:rStyle w:val="TextoNormalCaracter"/>
        </w:rPr>
        <w:t>, ff. 1 a 7.</w:t>
      </w:r>
    </w:p>
    <w:p w:rsidR="00924F59" w:rsidRPr="00924F59" w:rsidRDefault="00924F59" w:rsidP="00924F59">
      <w:pPr>
        <w:pStyle w:val="TextoNormalSangraFrancesa"/>
        <w:rPr>
          <w:rStyle w:val="TextoNormalCaracter"/>
        </w:rPr>
      </w:pPr>
      <w:bookmarkStart w:id="1445" w:name="DESCRIPTORALFABETICO95"/>
      <w:r w:rsidRPr="00924F59">
        <w:rPr>
          <w:rStyle w:val="TextoNormalNegritaCaracter"/>
        </w:rPr>
        <w:t>Dirección de la actividad económica general</w:t>
      </w:r>
      <w:bookmarkEnd w:id="1445"/>
      <w:r w:rsidRPr="00924F59">
        <w:rPr>
          <w:rStyle w:val="TextoNormalCaracter"/>
        </w:rPr>
        <w:t xml:space="preserve">, Sentencias </w:t>
      </w:r>
      <w:hyperlink w:anchor="SENTENCIA_2016_32" w:history="1">
        <w:r w:rsidRPr="00924F59">
          <w:rPr>
            <w:rStyle w:val="TextoNormalCaracter"/>
          </w:rPr>
          <w:t>32/2016</w:t>
        </w:r>
      </w:hyperlink>
      <w:r w:rsidRPr="00924F59">
        <w:rPr>
          <w:rStyle w:val="TextoNormalCaracter"/>
        </w:rPr>
        <w:t xml:space="preserve">, ff. 3, 8, 9, 11 a 13; </w:t>
      </w:r>
      <w:hyperlink w:anchor="SENTENCIA_2016_60" w:history="1">
        <w:r w:rsidRPr="00924F59">
          <w:rPr>
            <w:rStyle w:val="TextoNormalCaracter"/>
          </w:rPr>
          <w:t>60/2016</w:t>
        </w:r>
      </w:hyperlink>
      <w:r w:rsidRPr="00924F59">
        <w:rPr>
          <w:rStyle w:val="TextoNormalCaracter"/>
        </w:rPr>
        <w:t xml:space="preserve">, ff. 4, 6 a 8; </w:t>
      </w:r>
      <w:hyperlink w:anchor="SENTENCIA_2016_72" w:history="1">
        <w:r w:rsidRPr="00924F59">
          <w:rPr>
            <w:rStyle w:val="TextoNormalCaracter"/>
          </w:rPr>
          <w:t>72/2016</w:t>
        </w:r>
      </w:hyperlink>
      <w:r w:rsidRPr="00924F59">
        <w:rPr>
          <w:rStyle w:val="TextoNormalCaracter"/>
        </w:rPr>
        <w:t>, f. 3.</w:t>
      </w:r>
    </w:p>
    <w:p w:rsidR="00924F59" w:rsidRPr="00924F59" w:rsidRDefault="00924F59" w:rsidP="00924F59">
      <w:pPr>
        <w:pStyle w:val="TextoNormalSangraFrancesa"/>
        <w:rPr>
          <w:rStyle w:val="TextoNormalCaracter"/>
        </w:rPr>
      </w:pPr>
      <w:bookmarkStart w:id="1446" w:name="DESCRIPTORALFABETICO637"/>
      <w:r w:rsidRPr="00924F59">
        <w:rPr>
          <w:rStyle w:val="TextoNormalNegritaCaracter"/>
        </w:rPr>
        <w:t>Directivas de la Unión Europea</w:t>
      </w:r>
      <w:bookmarkEnd w:id="1446"/>
      <w:r w:rsidRPr="00924F59">
        <w:rPr>
          <w:rStyle w:val="TextoNormalCaracter"/>
        </w:rPr>
        <w:t xml:space="preserve">, Sentencia </w:t>
      </w:r>
      <w:hyperlink w:anchor="SENTENCIA_2016_62" w:history="1">
        <w:r w:rsidRPr="00924F59">
          <w:rPr>
            <w:rStyle w:val="TextoNormalCaracter"/>
          </w:rPr>
          <w:t>62/2016</w:t>
        </w:r>
      </w:hyperlink>
      <w:r w:rsidRPr="00924F59">
        <w:rPr>
          <w:rStyle w:val="TextoNormalCaracter"/>
        </w:rPr>
        <w:t>, f. 9, VP I.</w:t>
      </w:r>
    </w:p>
    <w:p w:rsidR="00924F59" w:rsidRPr="00924F59" w:rsidRDefault="00924F59" w:rsidP="00924F59">
      <w:pPr>
        <w:pStyle w:val="TextoNormalSangraFrancesa"/>
        <w:rPr>
          <w:rStyle w:val="TextoNormalCaracter"/>
        </w:rPr>
      </w:pPr>
      <w:bookmarkStart w:id="1447" w:name="DESCRIPTORALFABETICO124"/>
      <w:r w:rsidRPr="00924F59">
        <w:rPr>
          <w:rStyle w:val="TextoNormalNegritaCaracter"/>
        </w:rPr>
        <w:t>Discriminación entre cuerpos de funcionarios</w:t>
      </w:r>
      <w:bookmarkEnd w:id="1447"/>
      <w:r w:rsidRPr="00924F59">
        <w:rPr>
          <w:rStyle w:val="TextoNormalCaracter"/>
        </w:rPr>
        <w:t xml:space="preserve">, Sentencia </w:t>
      </w:r>
      <w:hyperlink w:anchor="SENTENCIA_2016_86" w:history="1">
        <w:r w:rsidRPr="00924F59">
          <w:rPr>
            <w:rStyle w:val="TextoNormalCaracter"/>
          </w:rPr>
          <w:t>86/2016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448" w:name="DESCRIPTORALFABETICO188"/>
      <w:r w:rsidRPr="00924F59">
        <w:rPr>
          <w:rStyle w:val="TextoNormalNegritaCaracter"/>
        </w:rPr>
        <w:t>Discriminación por indiferenciación</w:t>
      </w:r>
      <w:bookmarkEnd w:id="1448"/>
      <w:r w:rsidRPr="00924F59">
        <w:rPr>
          <w:rStyle w:val="TextoNormalCaracter"/>
        </w:rPr>
        <w:t xml:space="preserve">, Sentencia </w:t>
      </w:r>
      <w:hyperlink w:anchor="SENTENCIA_2016_56" w:history="1">
        <w:r w:rsidRPr="00924F59">
          <w:rPr>
            <w:rStyle w:val="TextoNormalCaracter"/>
          </w:rPr>
          <w:t>56/2016</w:t>
        </w:r>
      </w:hyperlink>
      <w:r w:rsidRPr="00924F59">
        <w:rPr>
          <w:rStyle w:val="TextoNormalCaracter"/>
        </w:rPr>
        <w:t>, f. 5.</w:t>
      </w:r>
    </w:p>
    <w:p w:rsidR="00924F59" w:rsidRPr="00924F59" w:rsidRDefault="00924F59" w:rsidP="00924F59">
      <w:pPr>
        <w:pStyle w:val="TextoNormalSangraFrancesa"/>
        <w:rPr>
          <w:rStyle w:val="TextoNormalCaracter"/>
        </w:rPr>
      </w:pPr>
      <w:bookmarkStart w:id="1449" w:name="DESCRIPTORALFABETICO189"/>
      <w:r w:rsidRPr="00924F59">
        <w:rPr>
          <w:rStyle w:val="TextoNormalNegritaCaracter"/>
        </w:rPr>
        <w:t>Discriminación por razón de sexo</w:t>
      </w:r>
      <w:bookmarkEnd w:id="1449"/>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ff. 1, 2, 4, 5, VP.</w:t>
      </w:r>
    </w:p>
    <w:p w:rsidR="00924F59" w:rsidRPr="00924F59" w:rsidRDefault="00924F59" w:rsidP="00924F59">
      <w:pPr>
        <w:pStyle w:val="TextoNormalSangraFrancesa"/>
        <w:rPr>
          <w:rStyle w:val="TextoNormalCaracter"/>
        </w:rPr>
      </w:pPr>
      <w:bookmarkStart w:id="1450" w:name="DESCRIPTORALFABETICO209"/>
      <w:r w:rsidRPr="00924F59">
        <w:rPr>
          <w:rStyle w:val="TextoNormalNegritaCaracter"/>
        </w:rPr>
        <w:t>Discurso del odio</w:t>
      </w:r>
      <w:bookmarkEnd w:id="1450"/>
      <w:r w:rsidRPr="00924F59">
        <w:rPr>
          <w:rStyle w:val="TextoNormalCaracter"/>
        </w:rPr>
        <w:t xml:space="preserve">, Sentencia </w:t>
      </w:r>
      <w:hyperlink w:anchor="SENTENCIA_2016_112" w:history="1">
        <w:r w:rsidRPr="00924F59">
          <w:rPr>
            <w:rStyle w:val="TextoNormalCaracter"/>
          </w:rPr>
          <w:t>112/2016</w:t>
        </w:r>
      </w:hyperlink>
      <w:r w:rsidRPr="00924F59">
        <w:rPr>
          <w:rStyle w:val="TextoNormalCaracter"/>
        </w:rPr>
        <w:t>, ff. 2 a 4, 6.</w:t>
      </w:r>
    </w:p>
    <w:p w:rsidR="00924F59" w:rsidRPr="00924F59" w:rsidRDefault="00924F59" w:rsidP="00924F59">
      <w:pPr>
        <w:pStyle w:val="TextoNormalSangraFrancesa"/>
        <w:rPr>
          <w:rStyle w:val="TextoNormalCaracter"/>
        </w:rPr>
      </w:pPr>
      <w:bookmarkStart w:id="1451" w:name="DESCRIPTORALFABETICO666"/>
      <w:r w:rsidRPr="00924F59">
        <w:rPr>
          <w:rStyle w:val="TextoNormalNegritaCaracter"/>
        </w:rPr>
        <w:t>Distinción entre básico y no básico</w:t>
      </w:r>
      <w:bookmarkEnd w:id="1451"/>
      <w:r w:rsidRPr="00924F59">
        <w:rPr>
          <w:rStyle w:val="TextoNormalCaracter"/>
        </w:rPr>
        <w:t xml:space="preserve">, Sentencias </w:t>
      </w:r>
      <w:hyperlink w:anchor="SENTENCIA_2016_41" w:history="1">
        <w:r w:rsidRPr="00924F59">
          <w:rPr>
            <w:rStyle w:val="TextoNormalCaracter"/>
          </w:rPr>
          <w:t>41/2016</w:t>
        </w:r>
      </w:hyperlink>
      <w:r w:rsidRPr="00924F59">
        <w:rPr>
          <w:rStyle w:val="TextoNormalCaracter"/>
        </w:rPr>
        <w:t xml:space="preserve">, ff. 7 c), 13 c); </w:t>
      </w:r>
      <w:hyperlink w:anchor="SENTENCIA_2016_62" w:history="1">
        <w:r w:rsidRPr="00924F59">
          <w:rPr>
            <w:rStyle w:val="TextoNormalCaracter"/>
          </w:rPr>
          <w:t>62/2016</w:t>
        </w:r>
      </w:hyperlink>
      <w:r w:rsidRPr="00924F59">
        <w:rPr>
          <w:rStyle w:val="TextoNormalCaracter"/>
        </w:rPr>
        <w:t>, ff. 7, 8, 10, VP I, VP II.</w:t>
      </w:r>
    </w:p>
    <w:p w:rsidR="00924F59" w:rsidRPr="00924F59" w:rsidRDefault="00924F59" w:rsidP="00924F59">
      <w:pPr>
        <w:pStyle w:val="TextoNormalSangraFrancesa"/>
        <w:rPr>
          <w:rStyle w:val="TextoNormalCaracter"/>
        </w:rPr>
      </w:pPr>
      <w:bookmarkStart w:id="1452" w:name="DESCRIPTORALFABETICO552"/>
      <w:r w:rsidRPr="00924F59">
        <w:rPr>
          <w:rStyle w:val="TextoNormalNegritaCaracter"/>
        </w:rPr>
        <w:t>Docentes de universidad</w:t>
      </w:r>
      <w:bookmarkEnd w:id="1452"/>
      <w:r w:rsidRPr="00924F59">
        <w:rPr>
          <w:rStyle w:val="TextoNormalCaracter"/>
        </w:rPr>
        <w:t xml:space="preserve">, Sentencia </w:t>
      </w:r>
      <w:hyperlink w:anchor="SENTENCIA_2016_44" w:history="1">
        <w:r w:rsidRPr="00924F59">
          <w:rPr>
            <w:rStyle w:val="TextoNormalCaracter"/>
          </w:rPr>
          <w:t>44/2016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453" w:name="DESCRIPTORALFABETICO645"/>
      <w:r w:rsidRPr="00924F59">
        <w:rPr>
          <w:rStyle w:val="TextoNormalNegritaCaracter"/>
        </w:rPr>
        <w:t>Doctrina del Tribunal Europeo de Derechos Humanos</w:t>
      </w:r>
      <w:bookmarkEnd w:id="1453"/>
      <w:r w:rsidRPr="00924F59">
        <w:rPr>
          <w:rStyle w:val="TextoNormalCaracter"/>
        </w:rPr>
        <w:t xml:space="preserve">, Sentencias </w:t>
      </w:r>
      <w:hyperlink w:anchor="SENTENCIA_2016_63" w:history="1">
        <w:r w:rsidRPr="00924F59">
          <w:rPr>
            <w:rStyle w:val="TextoNormalCaracter"/>
          </w:rPr>
          <w:t>63/2016</w:t>
        </w:r>
      </w:hyperlink>
      <w:r w:rsidRPr="00924F59">
        <w:rPr>
          <w:rStyle w:val="TextoNormalCaracter"/>
        </w:rPr>
        <w:t xml:space="preserve">, ff. 4, 6; </w:t>
      </w:r>
      <w:hyperlink w:anchor="SENTENCIA_2016_75" w:history="1">
        <w:r w:rsidRPr="00924F59">
          <w:rPr>
            <w:rStyle w:val="TextoNormalCaracter"/>
          </w:rPr>
          <w:t>75/2016</w:t>
        </w:r>
      </w:hyperlink>
      <w:r w:rsidRPr="00924F59">
        <w:rPr>
          <w:rStyle w:val="TextoNormalCaracter"/>
        </w:rPr>
        <w:t xml:space="preserve">, ff. 4, 6; </w:t>
      </w:r>
      <w:hyperlink w:anchor="SENTENCIA_2016_76" w:history="1">
        <w:r w:rsidRPr="00924F59">
          <w:rPr>
            <w:rStyle w:val="TextoNormalCaracter"/>
          </w:rPr>
          <w:t>76/2016</w:t>
        </w:r>
      </w:hyperlink>
      <w:r w:rsidRPr="00924F59">
        <w:rPr>
          <w:rStyle w:val="TextoNormalCaracter"/>
        </w:rPr>
        <w:t xml:space="preserve">, ff. 2, 4; </w:t>
      </w:r>
      <w:hyperlink w:anchor="SENTENCIA_2016_77" w:history="1">
        <w:r w:rsidRPr="00924F59">
          <w:rPr>
            <w:rStyle w:val="TextoNormalCaracter"/>
          </w:rPr>
          <w:t>77/2016</w:t>
        </w:r>
      </w:hyperlink>
      <w:r w:rsidRPr="00924F59">
        <w:rPr>
          <w:rStyle w:val="TextoNormalCaracter"/>
        </w:rPr>
        <w:t xml:space="preserve">, ff. 4, 6; </w:t>
      </w:r>
      <w:hyperlink w:anchor="SENTENCIA_2016_89" w:history="1">
        <w:r w:rsidRPr="00924F59">
          <w:rPr>
            <w:rStyle w:val="TextoNormalCaracter"/>
          </w:rPr>
          <w:t>89/2016</w:t>
        </w:r>
      </w:hyperlink>
      <w:r w:rsidRPr="00924F59">
        <w:rPr>
          <w:rStyle w:val="TextoNormalCaracter"/>
        </w:rPr>
        <w:t xml:space="preserve">, ff. 2, 6; </w:t>
      </w:r>
      <w:hyperlink w:anchor="SENTENCIA_2016_105" w:history="1">
        <w:r w:rsidRPr="00924F59">
          <w:rPr>
            <w:rStyle w:val="TextoNormalCaracter"/>
          </w:rPr>
          <w:t>105/2016</w:t>
        </w:r>
      </w:hyperlink>
      <w:r w:rsidRPr="00924F59">
        <w:rPr>
          <w:rStyle w:val="TextoNormalCaracter"/>
        </w:rPr>
        <w:t xml:space="preserve">, ff. 5, 7; </w:t>
      </w:r>
      <w:hyperlink w:anchor="SENTENCIA_2016_112" w:history="1">
        <w:r w:rsidRPr="00924F59">
          <w:rPr>
            <w:rStyle w:val="TextoNormalCaracter"/>
          </w:rPr>
          <w:t>112/2016</w:t>
        </w:r>
      </w:hyperlink>
      <w:r w:rsidRPr="00924F59">
        <w:rPr>
          <w:rStyle w:val="TextoNormalCaracter"/>
        </w:rPr>
        <w:t xml:space="preserve">, ff. 3, 4, 6; </w:t>
      </w:r>
      <w:hyperlink w:anchor="SENTENCIA_2016_117" w:history="1">
        <w:r w:rsidRPr="00924F59">
          <w:rPr>
            <w:rStyle w:val="TextoNormalCaracter"/>
          </w:rPr>
          <w:t>117/2016</w:t>
        </w:r>
      </w:hyperlink>
      <w:r w:rsidRPr="00924F59">
        <w:rPr>
          <w:rStyle w:val="TextoNormalCaracter"/>
        </w:rPr>
        <w:t>, f. 4.</w:t>
      </w:r>
    </w:p>
    <w:p w:rsidR="00924F59" w:rsidRPr="00924F59" w:rsidRDefault="00924F59" w:rsidP="00924F59">
      <w:pPr>
        <w:pStyle w:val="TextoNormalSangraFrancesa"/>
        <w:rPr>
          <w:rStyle w:val="TextoNormalCaracter"/>
        </w:rPr>
      </w:pPr>
      <w:bookmarkStart w:id="1454" w:name="DESCRIPTORALFABETICO543"/>
      <w:r w:rsidRPr="00924F59">
        <w:rPr>
          <w:rStyle w:val="TextoNormalNegritaCaracter"/>
        </w:rPr>
        <w:t>Dominio público marítimo terrestre</w:t>
      </w:r>
      <w:bookmarkEnd w:id="1454"/>
      <w:r w:rsidRPr="00924F59">
        <w:rPr>
          <w:rStyle w:val="TextoNormalCaracter"/>
        </w:rPr>
        <w:t xml:space="preserve">, Sentencias </w:t>
      </w:r>
      <w:hyperlink w:anchor="SENTENCIA_2016_6" w:history="1">
        <w:r w:rsidRPr="00924F59">
          <w:rPr>
            <w:rStyle w:val="TextoNormalCaracter"/>
          </w:rPr>
          <w:t>6/2016</w:t>
        </w:r>
      </w:hyperlink>
      <w:r w:rsidRPr="00924F59">
        <w:rPr>
          <w:rStyle w:val="TextoNormalCaracter"/>
        </w:rPr>
        <w:t xml:space="preserve">, ff. 2 a 4; </w:t>
      </w:r>
      <w:hyperlink w:anchor="SENTENCIA_2016_17" w:history="1">
        <w:r w:rsidRPr="00924F59">
          <w:rPr>
            <w:rStyle w:val="TextoNormalCaracter"/>
          </w:rPr>
          <w:t>17/2016</w:t>
        </w:r>
      </w:hyperlink>
      <w:r w:rsidRPr="00924F59">
        <w:rPr>
          <w:rStyle w:val="TextoNormalCaracter"/>
        </w:rPr>
        <w:t xml:space="preserve">, f. 2; </w:t>
      </w:r>
      <w:hyperlink w:anchor="SENTENCIA_2016_28" w:history="1">
        <w:r w:rsidRPr="00924F59">
          <w:rPr>
            <w:rStyle w:val="TextoNormalCaracter"/>
          </w:rPr>
          <w:t>28/2016</w:t>
        </w:r>
      </w:hyperlink>
      <w:r w:rsidRPr="00924F59">
        <w:rPr>
          <w:rStyle w:val="TextoNormalCaracter"/>
        </w:rPr>
        <w:t xml:space="preserve">, ff. 1 a 7; </w:t>
      </w:r>
      <w:hyperlink w:anchor="SENTENCIA_2016_57" w:history="1">
        <w:r w:rsidRPr="00924F59">
          <w:rPr>
            <w:rStyle w:val="TextoNormalCaracter"/>
          </w:rPr>
          <w:t>57/2016</w:t>
        </w:r>
      </w:hyperlink>
      <w:r w:rsidRPr="00924F59">
        <w:rPr>
          <w:rStyle w:val="TextoNormalCaracter"/>
        </w:rPr>
        <w:t xml:space="preserve">, ff. 2 a 11, VP; </w:t>
      </w:r>
      <w:hyperlink w:anchor="SENTENCIA_2016_100" w:history="1">
        <w:r w:rsidRPr="00924F59">
          <w:rPr>
            <w:rStyle w:val="TextoNormalCaracter"/>
          </w:rPr>
          <w:t>100/2016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455" w:name="DESCRIPTORALFABETICO544"/>
      <w:r w:rsidRPr="00924F59">
        <w:rPr>
          <w:rStyle w:val="TextoNormalNegritaCaracter"/>
        </w:rPr>
        <w:t>Dominio público radioeléctrico</w:t>
      </w:r>
      <w:bookmarkEnd w:id="1455"/>
      <w:r w:rsidRPr="00924F59">
        <w:rPr>
          <w:rStyle w:val="TextoNormalCaracter"/>
        </w:rPr>
        <w:t xml:space="preserve">, Sentencia </w:t>
      </w:r>
      <w:hyperlink w:anchor="SENTENCIA_2016_20" w:history="1">
        <w:r w:rsidRPr="00924F59">
          <w:rPr>
            <w:rStyle w:val="TextoNormalCaracter"/>
          </w:rPr>
          <w:t>20/2016</w:t>
        </w:r>
      </w:hyperlink>
      <w:r w:rsidRPr="00924F59">
        <w:rPr>
          <w:rStyle w:val="TextoNormalCaracter"/>
        </w:rPr>
        <w:t>, f. 3.</w:t>
      </w:r>
    </w:p>
    <w:p w:rsidR="00924F59" w:rsidRPr="00924F59" w:rsidRDefault="00924F59" w:rsidP="00924F59">
      <w:pPr>
        <w:pStyle w:val="TextoNormalSangraFrancesa"/>
        <w:rPr>
          <w:rStyle w:val="TextoNormalCaracter"/>
        </w:rPr>
      </w:pPr>
      <w:bookmarkStart w:id="1456" w:name="DESCRIPTORALFABETICO196"/>
      <w:r w:rsidRPr="00924F59">
        <w:rPr>
          <w:rStyle w:val="TextoNormalNegritaCaracter"/>
        </w:rPr>
        <w:t>Duración desproporcionada del procedimiento</w:t>
      </w:r>
      <w:bookmarkEnd w:id="1456"/>
      <w:r w:rsidRPr="00924F59">
        <w:rPr>
          <w:rStyle w:val="TextoNormalCaracter"/>
        </w:rPr>
        <w:t xml:space="preserve">, Sentencias </w:t>
      </w:r>
      <w:hyperlink w:anchor="SENTENCIA_2016_63" w:history="1">
        <w:r w:rsidRPr="00924F59">
          <w:rPr>
            <w:rStyle w:val="TextoNormalCaracter"/>
          </w:rPr>
          <w:t>63/2016</w:t>
        </w:r>
      </w:hyperlink>
      <w:r w:rsidRPr="00924F59">
        <w:rPr>
          <w:rStyle w:val="TextoNormalCaracter"/>
        </w:rPr>
        <w:t xml:space="preserve">, f. 5; </w:t>
      </w:r>
      <w:hyperlink w:anchor="SENTENCIA_2016_75" w:history="1">
        <w:r w:rsidRPr="00924F59">
          <w:rPr>
            <w:rStyle w:val="TextoNormalCaracter"/>
          </w:rPr>
          <w:t>75/2016</w:t>
        </w:r>
      </w:hyperlink>
      <w:r w:rsidRPr="00924F59">
        <w:rPr>
          <w:rStyle w:val="TextoNormalCaracter"/>
        </w:rPr>
        <w:t xml:space="preserve">, f. 5; </w:t>
      </w:r>
      <w:hyperlink w:anchor="SENTENCIA_2016_76" w:history="1">
        <w:r w:rsidRPr="00924F59">
          <w:rPr>
            <w:rStyle w:val="TextoNormalCaracter"/>
          </w:rPr>
          <w:t>76/2016</w:t>
        </w:r>
      </w:hyperlink>
      <w:r w:rsidRPr="00924F59">
        <w:rPr>
          <w:rStyle w:val="TextoNormalCaracter"/>
        </w:rPr>
        <w:t xml:space="preserve">, f. 4; </w:t>
      </w:r>
      <w:hyperlink w:anchor="SENTENCIA_2016_77" w:history="1">
        <w:r w:rsidRPr="00924F59">
          <w:rPr>
            <w:rStyle w:val="TextoNormalCaracter"/>
          </w:rPr>
          <w:t>77/2016</w:t>
        </w:r>
      </w:hyperlink>
      <w:r w:rsidRPr="00924F59">
        <w:rPr>
          <w:rStyle w:val="TextoNormalCaracter"/>
        </w:rPr>
        <w:t xml:space="preserve">, f. 5; </w:t>
      </w:r>
      <w:hyperlink w:anchor="SENTENCIA_2016_89" w:history="1">
        <w:r w:rsidRPr="00924F59">
          <w:rPr>
            <w:rStyle w:val="TextoNormalCaracter"/>
          </w:rPr>
          <w:t>89/2016</w:t>
        </w:r>
      </w:hyperlink>
      <w:r w:rsidRPr="00924F59">
        <w:rPr>
          <w:rStyle w:val="TextoNormalCaracter"/>
        </w:rPr>
        <w:t xml:space="preserve">, f. 4; </w:t>
      </w:r>
      <w:hyperlink w:anchor="SENTENCIA_2016_103" w:history="1">
        <w:r w:rsidRPr="00924F59">
          <w:rPr>
            <w:rStyle w:val="TextoNormalCaracter"/>
          </w:rPr>
          <w:t>103/2016</w:t>
        </w:r>
      </w:hyperlink>
      <w:r w:rsidRPr="00924F59">
        <w:rPr>
          <w:rStyle w:val="TextoNormalCaracter"/>
        </w:rPr>
        <w:t>, ff. 4 a 6.</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E</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457" w:name="DESCRIPTORALFABETICO84"/>
      <w:r w:rsidRPr="00924F59">
        <w:rPr>
          <w:rStyle w:val="TextoNormalNegritaCaracter"/>
        </w:rPr>
        <w:t>Economía</w:t>
      </w:r>
      <w:bookmarkEnd w:id="1457"/>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3, 4, 7, 9 a 11.</w:t>
      </w:r>
    </w:p>
    <w:p w:rsidR="00924F59" w:rsidRPr="00924F59" w:rsidRDefault="00924F59" w:rsidP="00924F59">
      <w:pPr>
        <w:pStyle w:val="TextoNormalSangraFrancesa"/>
        <w:rPr>
          <w:rStyle w:val="TextoNormalCaracter"/>
        </w:rPr>
      </w:pPr>
      <w:bookmarkStart w:id="1458" w:name="DESCRIPTORALFABETICO753"/>
      <w:r w:rsidRPr="00924F59">
        <w:rPr>
          <w:rStyle w:val="TextoNormalNegritaCaracter"/>
        </w:rPr>
        <w:t>Edad de jubilación</w:t>
      </w:r>
      <w:bookmarkEnd w:id="1458"/>
      <w:r w:rsidRPr="00924F59">
        <w:rPr>
          <w:rStyle w:val="TextoNormalCaracter"/>
        </w:rPr>
        <w:t xml:space="preserve">, Sentencia </w:t>
      </w:r>
      <w:hyperlink w:anchor="SENTENCIA_2016_44" w:history="1">
        <w:r w:rsidRPr="00924F59">
          <w:rPr>
            <w:rStyle w:val="TextoNormalCaracter"/>
          </w:rPr>
          <w:t>44/2016</w:t>
        </w:r>
      </w:hyperlink>
      <w:r w:rsidRPr="00924F59">
        <w:rPr>
          <w:rStyle w:val="TextoNormalCaracter"/>
        </w:rPr>
        <w:t>, ff. 1, 4, 5.</w:t>
      </w:r>
    </w:p>
    <w:p w:rsidR="00924F59" w:rsidRPr="00924F59" w:rsidRDefault="00924F59" w:rsidP="00924F59">
      <w:pPr>
        <w:pStyle w:val="TextoNormalSangraFrancesa"/>
        <w:rPr>
          <w:rStyle w:val="TextoNormalCaracter"/>
        </w:rPr>
      </w:pPr>
      <w:bookmarkStart w:id="1459" w:name="DESCRIPTORALFABETICO546"/>
      <w:r w:rsidRPr="00924F59">
        <w:rPr>
          <w:rStyle w:val="TextoNormalNegritaCaracter"/>
        </w:rPr>
        <w:t>Educación</w:t>
      </w:r>
      <w:bookmarkEnd w:id="1459"/>
      <w:r w:rsidRPr="00924F59">
        <w:rPr>
          <w:rStyle w:val="TextoNormalCaracter"/>
        </w:rPr>
        <w:t xml:space="preserve">, Sentencia </w:t>
      </w:r>
      <w:hyperlink w:anchor="SENTENCIA_2016_95" w:history="1">
        <w:r w:rsidRPr="00924F59">
          <w:rPr>
            <w:rStyle w:val="TextoNormalCaracter"/>
          </w:rPr>
          <w:t>95/2016</w:t>
        </w:r>
      </w:hyperlink>
      <w:r w:rsidRPr="00924F59">
        <w:rPr>
          <w:rStyle w:val="TextoNormalCaracter"/>
        </w:rPr>
        <w:t>, ff. 1 a 5.</w:t>
      </w:r>
    </w:p>
    <w:p w:rsidR="00924F59" w:rsidRPr="00924F59" w:rsidRDefault="00924F59" w:rsidP="00924F59">
      <w:pPr>
        <w:pStyle w:val="TextoNormalSangraFrancesa"/>
        <w:rPr>
          <w:rStyle w:val="TextoNormalCaracter"/>
        </w:rPr>
      </w:pPr>
      <w:bookmarkStart w:id="1460" w:name="DESCRIPTORALFABETICO555"/>
      <w:r w:rsidRPr="00924F59">
        <w:rPr>
          <w:rStyle w:val="TextoNormalNegritaCaracter"/>
        </w:rPr>
        <w:t>Educación no universitaria</w:t>
      </w:r>
      <w:bookmarkEnd w:id="1460"/>
      <w:r w:rsidRPr="00924F59">
        <w:rPr>
          <w:rStyle w:val="TextoNormalCaracter"/>
        </w:rPr>
        <w:t xml:space="preserve">, Sentencias </w:t>
      </w:r>
      <w:hyperlink w:anchor="SENTENCIA_2016_26" w:history="1">
        <w:r w:rsidRPr="00924F59">
          <w:rPr>
            <w:rStyle w:val="TextoNormalCaracter"/>
          </w:rPr>
          <w:t>26/2016</w:t>
        </w:r>
      </w:hyperlink>
      <w:r w:rsidRPr="00924F59">
        <w:rPr>
          <w:rStyle w:val="TextoNormalCaracter"/>
        </w:rPr>
        <w:t xml:space="preserve">, ff. 5, 6, VP; </w:t>
      </w:r>
      <w:hyperlink w:anchor="SENTENCIA_2016_38" w:history="1">
        <w:r w:rsidRPr="00924F59">
          <w:rPr>
            <w:rStyle w:val="TextoNormalCaracter"/>
          </w:rPr>
          <w:t>38/2016</w:t>
        </w:r>
      </w:hyperlink>
      <w:r w:rsidRPr="00924F59">
        <w:rPr>
          <w:rStyle w:val="TextoNormalCaracter"/>
        </w:rPr>
        <w:t xml:space="preserve">, ff. 2 a 8; </w:t>
      </w:r>
      <w:hyperlink w:anchor="SENTENCIA_2016_54" w:history="1">
        <w:r w:rsidRPr="00924F59">
          <w:rPr>
            <w:rStyle w:val="TextoNormalCaracter"/>
          </w:rPr>
          <w:t>54/2016</w:t>
        </w:r>
      </w:hyperlink>
      <w:r w:rsidRPr="00924F59">
        <w:rPr>
          <w:rStyle w:val="TextoNormalCaracter"/>
        </w:rPr>
        <w:t xml:space="preserve">, ff. 1, 2, VP; </w:t>
      </w:r>
      <w:hyperlink w:anchor="SENTENCIA_2016_66" w:history="1">
        <w:r w:rsidRPr="00924F59">
          <w:rPr>
            <w:rStyle w:val="TextoNormalCaracter"/>
          </w:rPr>
          <w:t>66/2016</w:t>
        </w:r>
      </w:hyperlink>
      <w:r w:rsidRPr="00924F59">
        <w:rPr>
          <w:rStyle w:val="TextoNormalCaracter"/>
        </w:rPr>
        <w:t xml:space="preserve">, ff. 1 a 5, VP; </w:t>
      </w:r>
      <w:hyperlink w:anchor="SENTENCIA_2016_67" w:history="1">
        <w:r w:rsidRPr="00924F59">
          <w:rPr>
            <w:rStyle w:val="TextoNormalCaracter"/>
          </w:rPr>
          <w:t>67/2016</w:t>
        </w:r>
      </w:hyperlink>
      <w:r w:rsidRPr="00924F59">
        <w:rPr>
          <w:rStyle w:val="TextoNormalCaracter"/>
        </w:rPr>
        <w:t xml:space="preserve">, ff. 3 a 6, VP; </w:t>
      </w:r>
      <w:hyperlink w:anchor="SENTENCIA_2016_68" w:history="1">
        <w:r w:rsidRPr="00924F59">
          <w:rPr>
            <w:rStyle w:val="TextoNormalCaracter"/>
          </w:rPr>
          <w:t>68/2016</w:t>
        </w:r>
      </w:hyperlink>
      <w:r w:rsidRPr="00924F59">
        <w:rPr>
          <w:rStyle w:val="TextoNormalCaracter"/>
        </w:rPr>
        <w:t xml:space="preserve">, ff. 3 a 6, VP; </w:t>
      </w:r>
      <w:hyperlink w:anchor="SENTENCIA_2016_84" w:history="1">
        <w:r w:rsidRPr="00924F59">
          <w:rPr>
            <w:rStyle w:val="TextoNormalCaracter"/>
          </w:rPr>
          <w:t>84/2016</w:t>
        </w:r>
      </w:hyperlink>
      <w:r w:rsidRPr="00924F59">
        <w:rPr>
          <w:rStyle w:val="TextoNormalCaracter"/>
        </w:rPr>
        <w:t>, ff. 3 a), 5 a), 5 b), 5 c), VP.</w:t>
      </w:r>
    </w:p>
    <w:p w:rsidR="00924F59" w:rsidRPr="00924F59" w:rsidRDefault="00924F59" w:rsidP="00924F59">
      <w:pPr>
        <w:pStyle w:val="TextoNormalSangraFrancesa"/>
        <w:rPr>
          <w:rStyle w:val="TextoNormalCaracter"/>
        </w:rPr>
      </w:pPr>
      <w:bookmarkStart w:id="1461" w:name="DESCRIPTORALFABETICO556"/>
      <w:r w:rsidRPr="00924F59">
        <w:rPr>
          <w:rStyle w:val="TextoNormalNegritaCaracter"/>
        </w:rPr>
        <w:t>Educación universitaria</w:t>
      </w:r>
      <w:bookmarkEnd w:id="1461"/>
      <w:r w:rsidRPr="00924F59">
        <w:rPr>
          <w:rStyle w:val="TextoNormalCaracter"/>
        </w:rPr>
        <w:t xml:space="preserve">, Sentencias </w:t>
      </w:r>
      <w:hyperlink w:anchor="SENTENCIA_2016_26" w:history="1">
        <w:r w:rsidRPr="00924F59">
          <w:rPr>
            <w:rStyle w:val="TextoNormalCaracter"/>
          </w:rPr>
          <w:t>26/2016</w:t>
        </w:r>
      </w:hyperlink>
      <w:r w:rsidRPr="00924F59">
        <w:rPr>
          <w:rStyle w:val="TextoNormalCaracter"/>
        </w:rPr>
        <w:t xml:space="preserve">, ff. 5 a 8, VP; </w:t>
      </w:r>
      <w:hyperlink w:anchor="SENTENCIA_2016_84" w:history="1">
        <w:r w:rsidRPr="00924F59">
          <w:rPr>
            <w:rStyle w:val="TextoNormalCaracter"/>
          </w:rPr>
          <w:t>84/2016</w:t>
        </w:r>
      </w:hyperlink>
      <w:r w:rsidRPr="00924F59">
        <w:rPr>
          <w:rStyle w:val="TextoNormalCaracter"/>
        </w:rPr>
        <w:t xml:space="preserve">, ff. 3 b), 4, 5 d), 6, VP; </w:t>
      </w:r>
      <w:hyperlink w:anchor="SENTENCIA_2016_95" w:history="1">
        <w:r w:rsidRPr="00924F59">
          <w:rPr>
            <w:rStyle w:val="TextoNormalCaracter"/>
          </w:rPr>
          <w:t>95/2016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462" w:name="DESCRIPTORALFABETICO687"/>
      <w:r w:rsidRPr="00924F59">
        <w:rPr>
          <w:rStyle w:val="TextoNormalNegritaCaracter"/>
        </w:rPr>
        <w:t>Efectividad progresiva de las normas jurídicas</w:t>
      </w:r>
      <w:bookmarkEnd w:id="1462"/>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ff. 3 b), 6.</w:t>
      </w:r>
    </w:p>
    <w:p w:rsidR="00924F59" w:rsidRPr="00924F59" w:rsidRDefault="00924F59" w:rsidP="00924F59">
      <w:pPr>
        <w:pStyle w:val="TextoNormalSangraFrancesa"/>
        <w:rPr>
          <w:rStyle w:val="TextoNormalCaracter"/>
        </w:rPr>
      </w:pPr>
      <w:bookmarkStart w:id="1463" w:name="DESCRIPTORALFABETICO354"/>
      <w:r w:rsidRPr="00924F59">
        <w:rPr>
          <w:rStyle w:val="TextoNormalNegritaCaracter"/>
        </w:rPr>
        <w:t>Efectos de la sentencia de amparo</w:t>
      </w:r>
      <w:bookmarkEnd w:id="1463"/>
      <w:r w:rsidRPr="00924F59">
        <w:rPr>
          <w:rStyle w:val="TextoNormalCaracter"/>
        </w:rPr>
        <w:t xml:space="preserve">, Sentencia </w:t>
      </w:r>
      <w:hyperlink w:anchor="SENTENCIA_2016_78" w:history="1">
        <w:r w:rsidRPr="00924F59">
          <w:rPr>
            <w:rStyle w:val="TextoNormalCaracter"/>
          </w:rPr>
          <w:t>78/2016</w:t>
        </w:r>
      </w:hyperlink>
      <w:r w:rsidRPr="00924F59">
        <w:rPr>
          <w:rStyle w:val="TextoNormalCaracter"/>
        </w:rPr>
        <w:t>, f. 7.</w:t>
      </w:r>
    </w:p>
    <w:p w:rsidR="00924F59" w:rsidRPr="00924F59" w:rsidRDefault="00924F59" w:rsidP="00924F59">
      <w:pPr>
        <w:pStyle w:val="TextoNormalSangraFrancesa"/>
        <w:rPr>
          <w:rStyle w:val="TextoNormalCaracter"/>
        </w:rPr>
      </w:pPr>
      <w:bookmarkStart w:id="1464" w:name="DESCRIPTORALFABETICO646"/>
      <w:r w:rsidRPr="00924F59">
        <w:rPr>
          <w:rStyle w:val="TextoNormalNegritaCaracter"/>
        </w:rPr>
        <w:t>Efectos de las sentencias del Tribunal Europeo de Derechos Humanos</w:t>
      </w:r>
      <w:bookmarkEnd w:id="1464"/>
      <w:r w:rsidRPr="00924F59">
        <w:rPr>
          <w:rStyle w:val="TextoNormalCaracter"/>
        </w:rPr>
        <w:t xml:space="preserve">, Sentencia </w:t>
      </w:r>
      <w:hyperlink w:anchor="SENTENCIA_2016_65" w:history="1">
        <w:r w:rsidRPr="00924F59">
          <w:rPr>
            <w:rStyle w:val="TextoNormalCaracter"/>
          </w:rPr>
          <w:t>65/2016</w:t>
        </w:r>
      </w:hyperlink>
      <w:r w:rsidRPr="00924F59">
        <w:rPr>
          <w:rStyle w:val="TextoNormalCaracter"/>
        </w:rPr>
        <w:t>, ff. 4, 6.</w:t>
      </w:r>
    </w:p>
    <w:p w:rsidR="00924F59" w:rsidRPr="00924F59" w:rsidRDefault="00924F59" w:rsidP="00924F59">
      <w:pPr>
        <w:pStyle w:val="TextoNormalSangraFrancesa"/>
        <w:rPr>
          <w:rStyle w:val="TextoNormalCaracter"/>
        </w:rPr>
      </w:pPr>
      <w:bookmarkStart w:id="1465" w:name="DESCRIPTORALFABETICO695"/>
      <w:r w:rsidRPr="00924F59">
        <w:rPr>
          <w:rStyle w:val="TextoNormalNegritaCaracter"/>
        </w:rPr>
        <w:t>Eficacia temporal de las normas jurídicas</w:t>
      </w:r>
      <w:bookmarkEnd w:id="1465"/>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 6.</w:t>
      </w:r>
    </w:p>
    <w:p w:rsidR="00924F59" w:rsidRPr="00924F59" w:rsidRDefault="00924F59" w:rsidP="00924F59">
      <w:pPr>
        <w:pStyle w:val="TextoNormalSangraFrancesa"/>
        <w:rPr>
          <w:rStyle w:val="TextoNormalCaracter"/>
        </w:rPr>
      </w:pPr>
      <w:bookmarkStart w:id="1466" w:name="DESCRIPTORALFABETICO561"/>
      <w:r w:rsidRPr="00924F59">
        <w:rPr>
          <w:rStyle w:val="TextoNormalNegritaCaracter"/>
        </w:rPr>
        <w:t>Eficiencia energética</w:t>
      </w:r>
      <w:bookmarkEnd w:id="1466"/>
      <w:r w:rsidRPr="00924F59">
        <w:rPr>
          <w:rStyle w:val="TextoNormalCaracter"/>
        </w:rPr>
        <w:t xml:space="preserve">, Sentencia </w:t>
      </w:r>
      <w:hyperlink w:anchor="SENTENCIA_2016_57" w:history="1">
        <w:r w:rsidRPr="00924F59">
          <w:rPr>
            <w:rStyle w:val="TextoNormalCaracter"/>
          </w:rPr>
          <w:t>57/2016</w:t>
        </w:r>
      </w:hyperlink>
      <w:r w:rsidRPr="00924F59">
        <w:rPr>
          <w:rStyle w:val="TextoNormalCaracter"/>
        </w:rPr>
        <w:t>, ff. 4, 8.</w:t>
      </w:r>
    </w:p>
    <w:p w:rsidR="00924F59" w:rsidRPr="00924F59" w:rsidRDefault="00924F59" w:rsidP="00924F59">
      <w:pPr>
        <w:pStyle w:val="TextoNormalSangraFrancesa"/>
        <w:rPr>
          <w:rStyle w:val="TextoNormalCaracter"/>
        </w:rPr>
      </w:pPr>
      <w:bookmarkStart w:id="1467" w:name="DESCRIPTORALFABETICO814"/>
      <w:r w:rsidRPr="00924F59">
        <w:rPr>
          <w:rStyle w:val="TextoNormalNegritaCaracter"/>
        </w:rPr>
        <w:t>Ejecución de resoluciones judiciales</w:t>
      </w:r>
      <w:bookmarkEnd w:id="1467"/>
      <w:r w:rsidRPr="00924F59">
        <w:rPr>
          <w:rStyle w:val="TextoNormalCaracter"/>
        </w:rPr>
        <w:t xml:space="preserve">, Auto </w:t>
      </w:r>
      <w:hyperlink w:anchor="AUTO_2016_82" w:history="1">
        <w:r w:rsidRPr="00924F59">
          <w:rPr>
            <w:rStyle w:val="TextoNormalCaracter"/>
          </w:rPr>
          <w:t>82/2016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468" w:name="DESCRIPTORALFABETICO815"/>
      <w:r w:rsidRPr="00924F59">
        <w:rPr>
          <w:rStyle w:val="TextoNormalNegritaCaracter"/>
        </w:rPr>
        <w:t>Ejecución de sentencia penal</w:t>
      </w:r>
      <w:bookmarkEnd w:id="1468"/>
      <w:r w:rsidRPr="00924F59">
        <w:rPr>
          <w:rStyle w:val="TextoNormalCaracter"/>
        </w:rPr>
        <w:t xml:space="preserve">, Sentencias </w:t>
      </w:r>
      <w:hyperlink w:anchor="SENTENCIA_2016_12" w:history="1">
        <w:r w:rsidRPr="00924F59">
          <w:rPr>
            <w:rStyle w:val="TextoNormalCaracter"/>
          </w:rPr>
          <w:t>12/2016</w:t>
        </w:r>
      </w:hyperlink>
      <w:r w:rsidRPr="00924F59">
        <w:rPr>
          <w:rStyle w:val="TextoNormalCaracter"/>
        </w:rPr>
        <w:t xml:space="preserve">, ff. 3 a 5; </w:t>
      </w:r>
      <w:hyperlink w:anchor="SENTENCIA_2016_14" w:history="1">
        <w:r w:rsidRPr="00924F59">
          <w:rPr>
            <w:rStyle w:val="TextoNormalCaracter"/>
          </w:rPr>
          <w:t>14/2016</w:t>
        </w:r>
      </w:hyperlink>
      <w:r w:rsidRPr="00924F59">
        <w:rPr>
          <w:rStyle w:val="TextoNormalCaracter"/>
        </w:rPr>
        <w:t>, ff. 2 a 4.</w:t>
      </w:r>
    </w:p>
    <w:p w:rsidR="00924F59" w:rsidRPr="00924F59" w:rsidRDefault="00924F59" w:rsidP="00924F59">
      <w:pPr>
        <w:pStyle w:val="TextoNormalSangraFrancesa"/>
        <w:rPr>
          <w:rStyle w:val="TextoNormalCaracter"/>
        </w:rPr>
      </w:pPr>
      <w:bookmarkStart w:id="1469" w:name="DESCRIPTORALFABETICO347"/>
      <w:r w:rsidRPr="00924F59">
        <w:rPr>
          <w:rStyle w:val="TextoNormalNegritaCaracter"/>
        </w:rPr>
        <w:t>Ejecución de sentencias del Tribunal Constitucional</w:t>
      </w:r>
      <w:bookmarkEnd w:id="1469"/>
      <w:r w:rsidRPr="00924F59">
        <w:rPr>
          <w:rStyle w:val="TextoNormalCaracter"/>
        </w:rPr>
        <w:t xml:space="preserve">, Auto </w:t>
      </w:r>
      <w:hyperlink w:anchor="AUTO_2016_128" w:history="1">
        <w:r w:rsidRPr="00924F59">
          <w:rPr>
            <w:rStyle w:val="TextoNormalCaracter"/>
          </w:rPr>
          <w:t>128/2016</w:t>
        </w:r>
      </w:hyperlink>
      <w:r w:rsidRPr="00924F59">
        <w:rPr>
          <w:rStyle w:val="TextoNormalCaracter"/>
        </w:rPr>
        <w:t>, ff. 1 a 3, 5, 6.</w:t>
      </w:r>
    </w:p>
    <w:p w:rsidR="00924F59" w:rsidRPr="00924F59" w:rsidRDefault="00924F59" w:rsidP="00924F59">
      <w:pPr>
        <w:pStyle w:val="TextoNormalSangraFrancesa"/>
        <w:rPr>
          <w:rStyle w:val="TextoNormalCaracter"/>
        </w:rPr>
      </w:pPr>
      <w:bookmarkStart w:id="1470" w:name="DESCRIPTORALFABETICO850"/>
      <w:r w:rsidRPr="00924F59">
        <w:rPr>
          <w:rStyle w:val="TextoNormalNegritaCaracter"/>
        </w:rPr>
        <w:t>Ejercicio de querella</w:t>
      </w:r>
      <w:bookmarkEnd w:id="1470"/>
      <w:r w:rsidRPr="00924F59">
        <w:rPr>
          <w:rStyle w:val="TextoNormalCaracter"/>
        </w:rPr>
        <w:t xml:space="preserve">, Auto </w:t>
      </w:r>
      <w:hyperlink w:anchor="AUTO_2016_67" w:history="1">
        <w:r w:rsidRPr="00924F59">
          <w:rPr>
            <w:rStyle w:val="TextoNormalCaracter"/>
          </w:rPr>
          <w:t>67/2016</w:t>
        </w:r>
      </w:hyperlink>
      <w:r w:rsidRPr="00924F59">
        <w:rPr>
          <w:rStyle w:val="TextoNormalCaracter"/>
        </w:rPr>
        <w:t>, f. 2.</w:t>
      </w:r>
    </w:p>
    <w:p w:rsidR="00924F59" w:rsidRPr="00924F59" w:rsidRDefault="00924F59" w:rsidP="00924F59">
      <w:pPr>
        <w:pStyle w:val="TextoNormalSangraFrancesa"/>
        <w:rPr>
          <w:rStyle w:val="TextoNormalCaracter"/>
        </w:rPr>
      </w:pPr>
      <w:bookmarkStart w:id="1471" w:name="DESCRIPTORALFABETICO136"/>
      <w:r w:rsidRPr="00924F59">
        <w:rPr>
          <w:rStyle w:val="TextoNormalNegritaCaracter"/>
        </w:rPr>
        <w:t>Ejercicio del derecho a la huelga</w:t>
      </w:r>
      <w:bookmarkEnd w:id="1471"/>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 ff. 2 a 4, VP I, VP II.</w:t>
      </w:r>
    </w:p>
    <w:p w:rsidR="00924F59" w:rsidRPr="00924F59" w:rsidRDefault="00924F59" w:rsidP="00924F59">
      <w:pPr>
        <w:pStyle w:val="TextoNormalSangraFrancesa"/>
        <w:rPr>
          <w:rStyle w:val="TextoNormalCaracter"/>
        </w:rPr>
      </w:pPr>
      <w:bookmarkStart w:id="1472" w:name="DESCRIPTORALFABETICO104"/>
      <w:r w:rsidRPr="00924F59">
        <w:rPr>
          <w:rStyle w:val="TextoNormalNegritaCaracter"/>
        </w:rPr>
        <w:t>Elementos del tributo</w:t>
      </w:r>
      <w:bookmarkEnd w:id="1472"/>
      <w:r w:rsidRPr="00924F59">
        <w:rPr>
          <w:rStyle w:val="TextoNormalCaracter"/>
        </w:rPr>
        <w:t xml:space="preserve">, Sentencia </w:t>
      </w:r>
      <w:hyperlink w:anchor="SENTENCIA_2016_74" w:history="1">
        <w:r w:rsidRPr="00924F59">
          <w:rPr>
            <w:rStyle w:val="TextoNormalCaracter"/>
          </w:rPr>
          <w:t>74/2016</w:t>
        </w:r>
      </w:hyperlink>
      <w:r w:rsidRPr="00924F59">
        <w:rPr>
          <w:rStyle w:val="TextoNormalCaracter"/>
        </w:rPr>
        <w:t>, ff. 2 a 4, VP.</w:t>
      </w:r>
    </w:p>
    <w:p w:rsidR="00924F59" w:rsidRPr="00924F59" w:rsidRDefault="00924F59" w:rsidP="00924F59">
      <w:pPr>
        <w:pStyle w:val="TextoNormalSangraFrancesa"/>
        <w:rPr>
          <w:rStyle w:val="TextoNormalCaracter"/>
        </w:rPr>
      </w:pPr>
      <w:bookmarkStart w:id="1473" w:name="DESCRIPTORALFABETICO709"/>
      <w:r w:rsidRPr="00924F59">
        <w:rPr>
          <w:rStyle w:val="TextoNormalNegritaCaracter"/>
        </w:rPr>
        <w:t>Elevación de rango de un reglamento</w:t>
      </w:r>
      <w:bookmarkEnd w:id="1473"/>
      <w:r w:rsidRPr="00924F59">
        <w:rPr>
          <w:rStyle w:val="TextoNormalCaracter"/>
        </w:rPr>
        <w:t xml:space="preserve">, Sentencia </w:t>
      </w:r>
      <w:hyperlink w:anchor="SENTENCIA_2016_61" w:history="1">
        <w:r w:rsidRPr="00924F59">
          <w:rPr>
            <w:rStyle w:val="TextoNormalCaracter"/>
          </w:rPr>
          <w:t>61/2016</w:t>
        </w:r>
      </w:hyperlink>
      <w:r w:rsidRPr="00924F59">
        <w:rPr>
          <w:rStyle w:val="TextoNormalCaracter"/>
        </w:rPr>
        <w:t>, f. 7.</w:t>
      </w:r>
    </w:p>
    <w:p w:rsidR="00924F59" w:rsidRPr="00924F59" w:rsidRDefault="00924F59" w:rsidP="00924F59">
      <w:pPr>
        <w:pStyle w:val="TextoNormalSangraFrancesa"/>
        <w:rPr>
          <w:rStyle w:val="TextoNormalCaracter"/>
        </w:rPr>
      </w:pPr>
      <w:bookmarkStart w:id="1474" w:name="DESCRIPTORALFABETICO708"/>
      <w:r w:rsidRPr="00924F59">
        <w:rPr>
          <w:rStyle w:val="TextoNormalNegritaCaracter"/>
        </w:rPr>
        <w:t>Elevación de rango de una norma</w:t>
      </w:r>
      <w:bookmarkEnd w:id="1474"/>
      <w:r w:rsidRPr="00924F59">
        <w:rPr>
          <w:rStyle w:val="TextoNormalCaracter"/>
        </w:rPr>
        <w:t xml:space="preserve">, Sentencia </w:t>
      </w:r>
      <w:hyperlink w:anchor="SENTENCIA_2016_121" w:history="1">
        <w:r w:rsidRPr="00924F59">
          <w:rPr>
            <w:rStyle w:val="TextoNormalCaracter"/>
          </w:rPr>
          <w:t>121/2016</w:t>
        </w:r>
      </w:hyperlink>
      <w:r w:rsidRPr="00924F59">
        <w:rPr>
          <w:rStyle w:val="TextoNormalCaracter"/>
        </w:rPr>
        <w:t>, f. 3.</w:t>
      </w:r>
    </w:p>
    <w:p w:rsidR="00924F59" w:rsidRPr="00924F59" w:rsidRDefault="00924F59" w:rsidP="00924F59">
      <w:pPr>
        <w:pStyle w:val="TextoNormalSangraFrancesa"/>
        <w:rPr>
          <w:rStyle w:val="TextoNormalCaracter"/>
        </w:rPr>
      </w:pPr>
      <w:bookmarkStart w:id="1475" w:name="DESCRIPTORALFABETICO804"/>
      <w:r w:rsidRPr="00924F59">
        <w:rPr>
          <w:rStyle w:val="TextoNormalNegritaCaracter"/>
        </w:rPr>
        <w:t>Emplazamiento de persona interesada</w:t>
      </w:r>
      <w:bookmarkEnd w:id="1475"/>
      <w:r w:rsidRPr="00924F59">
        <w:rPr>
          <w:rStyle w:val="TextoNormalCaracter"/>
        </w:rPr>
        <w:t xml:space="preserve">, Sentencia </w:t>
      </w:r>
      <w:hyperlink w:anchor="SENTENCIA_2016_15" w:history="1">
        <w:r w:rsidRPr="00924F59">
          <w:rPr>
            <w:rStyle w:val="TextoNormalCaracter"/>
          </w:rPr>
          <w:t>15/2016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476" w:name="DESCRIPTORALFABETICO480"/>
      <w:r w:rsidRPr="00924F59">
        <w:rPr>
          <w:rStyle w:val="TextoNormalNegritaCaracter"/>
        </w:rPr>
        <w:t>Empleados públicos</w:t>
      </w:r>
      <w:bookmarkEnd w:id="1476"/>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6; </w:t>
      </w:r>
      <w:hyperlink w:anchor="SENTENCIA_2016_90" w:history="1">
        <w:r w:rsidRPr="00924F59">
          <w:rPr>
            <w:rStyle w:val="TextoNormalCaracter"/>
          </w:rPr>
          <w:t>90/2016</w:t>
        </w:r>
      </w:hyperlink>
      <w:r w:rsidRPr="00924F59">
        <w:rPr>
          <w:rStyle w:val="TextoNormalCaracter"/>
        </w:rPr>
        <w:t xml:space="preserve">, ff. 2, 3; </w:t>
      </w:r>
      <w:hyperlink w:anchor="SENTENCIA_2016_97" w:history="1">
        <w:r w:rsidRPr="00924F59">
          <w:rPr>
            <w:rStyle w:val="TextoNormalCaracter"/>
          </w:rPr>
          <w:t>97/2016</w:t>
        </w:r>
      </w:hyperlink>
      <w:r w:rsidRPr="00924F59">
        <w:rPr>
          <w:rStyle w:val="TextoNormalCaracter"/>
        </w:rPr>
        <w:t xml:space="preserve">, ff. 1, 2; </w:t>
      </w:r>
      <w:hyperlink w:anchor="SENTENCIA_2016_104" w:history="1">
        <w:r w:rsidRPr="00924F59">
          <w:rPr>
            <w:rStyle w:val="TextoNormalCaracter"/>
          </w:rPr>
          <w:t>104/2016</w:t>
        </w:r>
      </w:hyperlink>
      <w:r w:rsidRPr="00924F59">
        <w:rPr>
          <w:rStyle w:val="TextoNormalCaracter"/>
        </w:rPr>
        <w:t>, ff. 1, 2.</w:t>
      </w:r>
    </w:p>
    <w:p w:rsidR="00924F59" w:rsidRPr="00924F59" w:rsidRDefault="00924F59" w:rsidP="00924F59">
      <w:pPr>
        <w:pStyle w:val="TextoNormalSangraFrancesa"/>
        <w:rPr>
          <w:rStyle w:val="TextoNormalCaracter"/>
        </w:rPr>
      </w:pPr>
      <w:bookmarkStart w:id="1477" w:name="DESCRIPTORALFABETICO559"/>
      <w:r w:rsidRPr="00924F59">
        <w:rPr>
          <w:rStyle w:val="TextoNormalNegritaCaracter"/>
        </w:rPr>
        <w:t>Empresas</w:t>
      </w:r>
      <w:bookmarkEnd w:id="1477"/>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 10.</w:t>
      </w:r>
    </w:p>
    <w:p w:rsidR="00924F59" w:rsidRPr="00924F59" w:rsidRDefault="00924F59" w:rsidP="00924F59">
      <w:pPr>
        <w:pStyle w:val="TextoNormalSangraFrancesa"/>
        <w:rPr>
          <w:rStyle w:val="TextoNormalCaracter"/>
        </w:rPr>
      </w:pPr>
      <w:bookmarkStart w:id="1478" w:name="DESCRIPTORALFABETICO540"/>
      <w:r w:rsidRPr="00924F59">
        <w:rPr>
          <w:rStyle w:val="TextoNormalNegritaCaracter"/>
        </w:rPr>
        <w:t>Enajenación de bienes de dominio público</w:t>
      </w:r>
      <w:bookmarkEnd w:id="1478"/>
      <w:r w:rsidRPr="00924F59">
        <w:rPr>
          <w:rStyle w:val="TextoNormalCaracter"/>
        </w:rPr>
        <w:t xml:space="preserve">, Sentencia </w:t>
      </w:r>
      <w:hyperlink w:anchor="SENTENCIA_2016_17" w:history="1">
        <w:r w:rsidRPr="00924F59">
          <w:rPr>
            <w:rStyle w:val="TextoNormalCaracter"/>
          </w:rPr>
          <w:t>17/2016</w:t>
        </w:r>
      </w:hyperlink>
      <w:r w:rsidRPr="00924F59">
        <w:rPr>
          <w:rStyle w:val="TextoNormalCaracter"/>
        </w:rPr>
        <w:t>, f. 4.</w:t>
      </w:r>
    </w:p>
    <w:p w:rsidR="00924F59" w:rsidRPr="00924F59" w:rsidRDefault="00924F59" w:rsidP="00924F59">
      <w:pPr>
        <w:pStyle w:val="TextoNormalSangraFrancesa"/>
        <w:rPr>
          <w:rStyle w:val="TextoNormalCaracter"/>
        </w:rPr>
      </w:pPr>
      <w:bookmarkStart w:id="1479" w:name="DESCRIPTORALFABETICO560"/>
      <w:r w:rsidRPr="00924F59">
        <w:rPr>
          <w:rStyle w:val="TextoNormalNegritaCaracter"/>
        </w:rPr>
        <w:t>Energía</w:t>
      </w:r>
      <w:bookmarkEnd w:id="1479"/>
      <w:r w:rsidRPr="00924F59">
        <w:rPr>
          <w:rStyle w:val="TextoNormalCaracter"/>
        </w:rPr>
        <w:t xml:space="preserve">, Auto </w:t>
      </w:r>
      <w:hyperlink w:anchor="AUTO_2016_72" w:history="1">
        <w:r w:rsidRPr="00924F59">
          <w:rPr>
            <w:rStyle w:val="TextoNormalCaracter"/>
          </w:rPr>
          <w:t>72/2016</w:t>
        </w:r>
      </w:hyperlink>
      <w:r w:rsidRPr="00924F59">
        <w:rPr>
          <w:rStyle w:val="TextoNormalCaracter"/>
        </w:rPr>
        <w:t>, ff. 2, 3, VP.</w:t>
      </w:r>
    </w:p>
    <w:p w:rsidR="00924F59" w:rsidRPr="00924F59" w:rsidRDefault="00924F59" w:rsidP="00924F59">
      <w:pPr>
        <w:pStyle w:val="TextoNormalSangraFrancesa"/>
        <w:rPr>
          <w:rStyle w:val="TextoNormalCaracter"/>
        </w:rPr>
      </w:pPr>
      <w:bookmarkStart w:id="1480" w:name="DESCRIPTORALFABETICO562"/>
      <w:r w:rsidRPr="00924F59">
        <w:rPr>
          <w:rStyle w:val="TextoNormalNegritaCaracter"/>
        </w:rPr>
        <w:t>Energía eléctrica</w:t>
      </w:r>
      <w:bookmarkEnd w:id="1480"/>
      <w:r w:rsidRPr="00924F59">
        <w:rPr>
          <w:rStyle w:val="TextoNormalCaracter"/>
        </w:rPr>
        <w:t xml:space="preserve">, Sentencias </w:t>
      </w:r>
      <w:hyperlink w:anchor="SENTENCIA_2016_32" w:history="1">
        <w:r w:rsidRPr="00924F59">
          <w:rPr>
            <w:rStyle w:val="TextoNormalCaracter"/>
          </w:rPr>
          <w:t>32/2016</w:t>
        </w:r>
      </w:hyperlink>
      <w:r w:rsidRPr="00924F59">
        <w:rPr>
          <w:rStyle w:val="TextoNormalCaracter"/>
        </w:rPr>
        <w:t xml:space="preserve">, ff. 1 a 13; </w:t>
      </w:r>
      <w:hyperlink w:anchor="SENTENCIA_2016_60" w:history="1">
        <w:r w:rsidRPr="00924F59">
          <w:rPr>
            <w:rStyle w:val="TextoNormalCaracter"/>
          </w:rPr>
          <w:t>60/2016</w:t>
        </w:r>
      </w:hyperlink>
      <w:r w:rsidRPr="00924F59">
        <w:rPr>
          <w:rStyle w:val="TextoNormalCaracter"/>
        </w:rPr>
        <w:t xml:space="preserve">, ff. 1 a 8; </w:t>
      </w:r>
      <w:hyperlink w:anchor="SENTENCIA_2016_72" w:history="1">
        <w:r w:rsidRPr="00924F59">
          <w:rPr>
            <w:rStyle w:val="TextoNormalCaracter"/>
          </w:rPr>
          <w:t>72/2016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481" w:name="DESCRIPTORALFABETICO568"/>
      <w:r w:rsidRPr="00924F59">
        <w:rPr>
          <w:rStyle w:val="TextoNormalNegritaCaracter"/>
        </w:rPr>
        <w:t>Energía nuclear</w:t>
      </w:r>
      <w:bookmarkEnd w:id="1481"/>
      <w:r w:rsidRPr="00924F59">
        <w:rPr>
          <w:rStyle w:val="TextoNormalCaracter"/>
        </w:rPr>
        <w:t xml:space="preserve">, Sentencia </w:t>
      </w:r>
      <w:hyperlink w:anchor="SENTENCIA_2016_74" w:history="1">
        <w:r w:rsidRPr="00924F59">
          <w:rPr>
            <w:rStyle w:val="TextoNormalCaracter"/>
          </w:rPr>
          <w:t>74/2016</w:t>
        </w:r>
      </w:hyperlink>
      <w:r w:rsidRPr="00924F59">
        <w:rPr>
          <w:rStyle w:val="TextoNormalCaracter"/>
        </w:rPr>
        <w:t>, ff. 1, 3, 4, VP.</w:t>
      </w:r>
    </w:p>
    <w:p w:rsidR="00924F59" w:rsidRPr="00924F59" w:rsidRDefault="00924F59" w:rsidP="00924F59">
      <w:pPr>
        <w:pStyle w:val="TextoNormalSangraFrancesa"/>
        <w:rPr>
          <w:rStyle w:val="TextoNormalCaracter"/>
        </w:rPr>
      </w:pPr>
      <w:bookmarkStart w:id="1482" w:name="DESCRIPTORALFABETICO569"/>
      <w:r w:rsidRPr="00924F59">
        <w:rPr>
          <w:rStyle w:val="TextoNormalNegritaCaracter"/>
        </w:rPr>
        <w:t>Energías renovables</w:t>
      </w:r>
      <w:bookmarkEnd w:id="1482"/>
      <w:r w:rsidRPr="00924F59">
        <w:rPr>
          <w:rStyle w:val="TextoNormalCaracter"/>
        </w:rPr>
        <w:t xml:space="preserve">, Auto </w:t>
      </w:r>
      <w:hyperlink w:anchor="AUTO_2016_105" w:history="1">
        <w:r w:rsidRPr="00924F59">
          <w:rPr>
            <w:rStyle w:val="TextoNormalCaracter"/>
          </w:rPr>
          <w:t>105/2016</w:t>
        </w:r>
      </w:hyperlink>
      <w:r w:rsidRPr="00924F59">
        <w:rPr>
          <w:rStyle w:val="TextoNormalCaracter"/>
        </w:rPr>
        <w:t>, ff. 1, 3, 4, 6.</w:t>
      </w:r>
    </w:p>
    <w:p w:rsidR="00924F59" w:rsidRPr="00924F59" w:rsidRDefault="00924F59" w:rsidP="00924F59">
      <w:pPr>
        <w:pStyle w:val="TextoNormalSangraFrancesa"/>
        <w:rPr>
          <w:rStyle w:val="TextoNormalCaracter"/>
        </w:rPr>
      </w:pPr>
      <w:bookmarkStart w:id="1483" w:name="DESCRIPTORALFABETICO548"/>
      <w:r w:rsidRPr="00924F59">
        <w:rPr>
          <w:rStyle w:val="TextoNormalNegritaCaracter"/>
        </w:rPr>
        <w:t>Enseñanza</w:t>
      </w:r>
      <w:bookmarkEnd w:id="1483"/>
      <w:r w:rsidRPr="00924F59">
        <w:rPr>
          <w:rStyle w:val="TextoNormalCaracter"/>
        </w:rPr>
        <w:t xml:space="preserve">, Sentencia </w:t>
      </w:r>
      <w:hyperlink w:anchor="SENTENCIA_2016_38" w:history="1">
        <w:r w:rsidRPr="00924F59">
          <w:rPr>
            <w:rStyle w:val="TextoNormalCaracter"/>
          </w:rPr>
          <w:t>38/2016</w:t>
        </w:r>
      </w:hyperlink>
      <w:r w:rsidRPr="00924F59">
        <w:rPr>
          <w:rStyle w:val="TextoNormalCaracter"/>
        </w:rPr>
        <w:t>, ff. 2 a 8.</w:t>
      </w:r>
    </w:p>
    <w:p w:rsidR="00924F59" w:rsidRPr="00924F59" w:rsidRDefault="00924F59" w:rsidP="00924F59">
      <w:pPr>
        <w:pStyle w:val="TextoNormalSangraFrancesa"/>
        <w:rPr>
          <w:rStyle w:val="TextoNormalCaracter"/>
        </w:rPr>
      </w:pPr>
      <w:bookmarkStart w:id="1484" w:name="DESCRIPTORALFABETICO453"/>
      <w:r w:rsidRPr="00924F59">
        <w:rPr>
          <w:rStyle w:val="TextoNormalNegritaCaracter"/>
        </w:rPr>
        <w:t>Entes locales</w:t>
      </w:r>
      <w:bookmarkEnd w:id="1484"/>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3 a).</w:t>
      </w:r>
    </w:p>
    <w:p w:rsidR="00924F59" w:rsidRPr="00924F59" w:rsidRDefault="00924F59" w:rsidP="00924F59">
      <w:pPr>
        <w:pStyle w:val="TextoNormalSangraFrancesa"/>
        <w:rPr>
          <w:rStyle w:val="TextoNormalCaracter"/>
        </w:rPr>
      </w:pPr>
      <w:bookmarkStart w:id="1485" w:name="DESCRIPTORALFABETICO751"/>
      <w:r w:rsidRPr="00924F59">
        <w:rPr>
          <w:rStyle w:val="TextoNormalNegritaCaracter"/>
        </w:rPr>
        <w:t>Entidades gestoras de la Seguridad Social</w:t>
      </w:r>
      <w:bookmarkEnd w:id="1485"/>
      <w:r w:rsidRPr="00924F59">
        <w:rPr>
          <w:rStyle w:val="TextoNormalCaracter"/>
        </w:rPr>
        <w:t xml:space="preserve">, Sentencia </w:t>
      </w:r>
      <w:hyperlink w:anchor="SENTENCIA_2016_73" w:history="1">
        <w:r w:rsidRPr="00924F59">
          <w:rPr>
            <w:rStyle w:val="TextoNormalCaracter"/>
          </w:rPr>
          <w:t>73/2016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486" w:name="DESCRIPTORALFABETICO455"/>
      <w:r w:rsidRPr="00924F59">
        <w:rPr>
          <w:rStyle w:val="TextoNormalNegritaCaracter"/>
        </w:rPr>
        <w:t>Entidades locales menores</w:t>
      </w:r>
      <w:bookmarkEnd w:id="1486"/>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ff. 5, 7.</w:t>
      </w:r>
    </w:p>
    <w:p w:rsidR="00924F59" w:rsidRPr="00924F59" w:rsidRDefault="00924F59" w:rsidP="00924F59">
      <w:pPr>
        <w:pStyle w:val="TextoNormalSangraFrancesa"/>
        <w:rPr>
          <w:rStyle w:val="TextoNormalCaracter"/>
        </w:rPr>
      </w:pPr>
      <w:bookmarkStart w:id="1487" w:name="DESCRIPTORALFABETICO85"/>
      <w:r w:rsidRPr="00924F59">
        <w:rPr>
          <w:rStyle w:val="TextoNormalNegritaCaracter"/>
        </w:rPr>
        <w:t>Equilibrio económico</w:t>
      </w:r>
      <w:bookmarkEnd w:id="1487"/>
      <w:r w:rsidRPr="00924F59">
        <w:rPr>
          <w:rStyle w:val="TextoNormalCaracter"/>
        </w:rPr>
        <w:t xml:space="preserve">, Sentencia </w:t>
      </w:r>
      <w:hyperlink w:anchor="SENTENCIA_2016_18" w:history="1">
        <w:r w:rsidRPr="00924F59">
          <w:rPr>
            <w:rStyle w:val="TextoNormalCaracter"/>
          </w:rPr>
          <w:t>18/2016</w:t>
        </w:r>
      </w:hyperlink>
      <w:r w:rsidRPr="00924F59">
        <w:rPr>
          <w:rStyle w:val="TextoNormalCaracter"/>
        </w:rPr>
        <w:t>, f. 6.</w:t>
      </w:r>
    </w:p>
    <w:p w:rsidR="00924F59" w:rsidRPr="00924F59" w:rsidRDefault="00924F59" w:rsidP="00924F59">
      <w:pPr>
        <w:pStyle w:val="TextoNormalSangraFrancesa"/>
        <w:rPr>
          <w:rStyle w:val="TextoNormalCaracter"/>
        </w:rPr>
      </w:pPr>
      <w:bookmarkStart w:id="1488" w:name="DESCRIPTORALFABETICO137"/>
      <w:r w:rsidRPr="00924F59">
        <w:rPr>
          <w:rStyle w:val="TextoNormalNegritaCaracter"/>
        </w:rPr>
        <w:t>Equilibrio entre el derecho a la huelga y el mantenimiento de servicios mínimos</w:t>
      </w:r>
      <w:bookmarkEnd w:id="1488"/>
      <w:r w:rsidRPr="00924F59">
        <w:rPr>
          <w:rStyle w:val="TextoNormalCaracter"/>
        </w:rPr>
        <w:t xml:space="preserve">, Sentencia </w:t>
      </w:r>
      <w:hyperlink w:anchor="SENTENCIA_2016_45" w:history="1">
        <w:r w:rsidRPr="00924F59">
          <w:rPr>
            <w:rStyle w:val="TextoNormalCaracter"/>
          </w:rPr>
          <w:t>45/2016</w:t>
        </w:r>
      </w:hyperlink>
      <w:r w:rsidRPr="00924F59">
        <w:rPr>
          <w:rStyle w:val="TextoNormalCaracter"/>
        </w:rPr>
        <w:t>, ff. 3 a 5.</w:t>
      </w:r>
    </w:p>
    <w:p w:rsidR="00924F59" w:rsidRPr="00924F59" w:rsidRDefault="00924F59" w:rsidP="00924F59">
      <w:pPr>
        <w:pStyle w:val="TextoNormalSangraFrancesa"/>
        <w:rPr>
          <w:rStyle w:val="TextoNormalCaracter"/>
        </w:rPr>
      </w:pPr>
      <w:bookmarkStart w:id="1489" w:name="DESCRIPTORALFABETICO476"/>
      <w:r w:rsidRPr="00924F59">
        <w:rPr>
          <w:rStyle w:val="TextoNormalNegritaCaracter"/>
        </w:rPr>
        <w:t>Escrituras públicas</w:t>
      </w:r>
      <w:bookmarkEnd w:id="1489"/>
      <w:r w:rsidRPr="00924F59">
        <w:rPr>
          <w:rStyle w:val="TextoNormalCaracter"/>
        </w:rPr>
        <w:t xml:space="preserve">, Auto </w:t>
      </w:r>
      <w:hyperlink w:anchor="AUTO_2016_109" w:history="1">
        <w:r w:rsidRPr="00924F59">
          <w:rPr>
            <w:rStyle w:val="TextoNormalCaracter"/>
          </w:rPr>
          <w:t>109/2016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490" w:name="DESCRIPTORALFABETICO619"/>
      <w:r w:rsidRPr="00924F59">
        <w:rPr>
          <w:rStyle w:val="TextoNormalNegritaCaracter"/>
        </w:rPr>
        <w:t>Espacios portuarios de competencia autonómica</w:t>
      </w:r>
      <w:bookmarkEnd w:id="1490"/>
      <w:r w:rsidRPr="00924F59">
        <w:rPr>
          <w:rStyle w:val="TextoNormalCaracter"/>
        </w:rPr>
        <w:t xml:space="preserve">, Sentencia </w:t>
      </w:r>
      <w:hyperlink w:anchor="SENTENCIA_2016_28" w:history="1">
        <w:r w:rsidRPr="00924F59">
          <w:rPr>
            <w:rStyle w:val="TextoNormalCaracter"/>
          </w:rPr>
          <w:t>28/2016</w:t>
        </w:r>
      </w:hyperlink>
      <w:r w:rsidRPr="00924F59">
        <w:rPr>
          <w:rStyle w:val="TextoNormalCaracter"/>
        </w:rPr>
        <w:t>, f. 4.</w:t>
      </w:r>
    </w:p>
    <w:p w:rsidR="00924F59" w:rsidRPr="00924F59" w:rsidRDefault="00924F59" w:rsidP="00924F59">
      <w:pPr>
        <w:pStyle w:val="TextoNormalSangraFrancesa"/>
        <w:rPr>
          <w:rStyle w:val="TextoNormalCaracter"/>
        </w:rPr>
      </w:pPr>
      <w:bookmarkStart w:id="1491" w:name="DESCRIPTORALFABETICO331"/>
      <w:r w:rsidRPr="00924F59">
        <w:rPr>
          <w:rStyle w:val="TextoNormalNegritaCaracter"/>
        </w:rPr>
        <w:t>Especial trascendencia constitucional</w:t>
      </w:r>
      <w:bookmarkEnd w:id="1491"/>
      <w:r w:rsidRPr="00924F59">
        <w:rPr>
          <w:rStyle w:val="TextoNormalCaracter"/>
        </w:rPr>
        <w:t xml:space="preserve">, Sentencias </w:t>
      </w:r>
      <w:hyperlink w:anchor="SENTENCIA_2016_3" w:history="1">
        <w:r w:rsidRPr="00924F59">
          <w:rPr>
            <w:rStyle w:val="TextoNormalCaracter"/>
          </w:rPr>
          <w:t>3/2016</w:t>
        </w:r>
      </w:hyperlink>
      <w:r w:rsidRPr="00924F59">
        <w:rPr>
          <w:rStyle w:val="TextoNormalCaracter"/>
        </w:rPr>
        <w:t xml:space="preserve">, f. 1; </w:t>
      </w:r>
      <w:hyperlink w:anchor="SENTENCIA_2016_12" w:history="1">
        <w:r w:rsidRPr="00924F59">
          <w:rPr>
            <w:rStyle w:val="TextoNormalCaracter"/>
          </w:rPr>
          <w:t>12/2016</w:t>
        </w:r>
      </w:hyperlink>
      <w:r w:rsidRPr="00924F59">
        <w:rPr>
          <w:rStyle w:val="TextoNormalCaracter"/>
        </w:rPr>
        <w:t xml:space="preserve">, f. 2; </w:t>
      </w:r>
      <w:hyperlink w:anchor="SENTENCIA_2016_22" w:history="1">
        <w:r w:rsidRPr="00924F59">
          <w:rPr>
            <w:rStyle w:val="TextoNormalCaracter"/>
          </w:rPr>
          <w:t>22/2016</w:t>
        </w:r>
      </w:hyperlink>
      <w:r w:rsidRPr="00924F59">
        <w:rPr>
          <w:rStyle w:val="TextoNormalCaracter"/>
        </w:rPr>
        <w:t xml:space="preserve">, f. 3; </w:t>
      </w:r>
      <w:hyperlink w:anchor="SENTENCIA_2016_23" w:history="1">
        <w:r w:rsidRPr="00924F59">
          <w:rPr>
            <w:rStyle w:val="TextoNormalCaracter"/>
          </w:rPr>
          <w:t>23/2016</w:t>
        </w:r>
      </w:hyperlink>
      <w:r w:rsidRPr="00924F59">
        <w:rPr>
          <w:rStyle w:val="TextoNormalCaracter"/>
        </w:rPr>
        <w:t xml:space="preserve">, f. 2; </w:t>
      </w:r>
      <w:hyperlink w:anchor="SENTENCIA_2016_34" w:history="1">
        <w:r w:rsidRPr="00924F59">
          <w:rPr>
            <w:rStyle w:val="TextoNormalCaracter"/>
          </w:rPr>
          <w:t>34/2016</w:t>
        </w:r>
      </w:hyperlink>
      <w:r w:rsidRPr="00924F59">
        <w:rPr>
          <w:rStyle w:val="TextoNormalCaracter"/>
        </w:rPr>
        <w:t xml:space="preserve">, f. 2; </w:t>
      </w:r>
      <w:hyperlink w:anchor="SENTENCIA_2016_45" w:history="1">
        <w:r w:rsidRPr="00924F59">
          <w:rPr>
            <w:rStyle w:val="TextoNormalCaracter"/>
          </w:rPr>
          <w:t>45/2016</w:t>
        </w:r>
      </w:hyperlink>
      <w:r w:rsidRPr="00924F59">
        <w:rPr>
          <w:rStyle w:val="TextoNormalCaracter"/>
        </w:rPr>
        <w:t xml:space="preserve">, f. 2; </w:t>
      </w:r>
      <w:hyperlink w:anchor="SENTENCIA_2016_49" w:history="1">
        <w:r w:rsidRPr="00924F59">
          <w:rPr>
            <w:rStyle w:val="TextoNormalCaracter"/>
          </w:rPr>
          <w:t>49/2016</w:t>
        </w:r>
      </w:hyperlink>
      <w:r w:rsidRPr="00924F59">
        <w:rPr>
          <w:rStyle w:val="TextoNormalCaracter"/>
        </w:rPr>
        <w:t xml:space="preserve">, f. 2; </w:t>
      </w:r>
      <w:hyperlink w:anchor="SENTENCIA_2016_50" w:history="1">
        <w:r w:rsidRPr="00924F59">
          <w:rPr>
            <w:rStyle w:val="TextoNormalCaracter"/>
          </w:rPr>
          <w:t>50/2016</w:t>
        </w:r>
      </w:hyperlink>
      <w:r w:rsidRPr="00924F59">
        <w:rPr>
          <w:rStyle w:val="TextoNormalCaracter"/>
        </w:rPr>
        <w:t xml:space="preserve">, f. 3; </w:t>
      </w:r>
      <w:hyperlink w:anchor="SENTENCIA_2016_51" w:history="1">
        <w:r w:rsidRPr="00924F59">
          <w:rPr>
            <w:rStyle w:val="TextoNormalCaracter"/>
          </w:rPr>
          <w:t>51/2016</w:t>
        </w:r>
      </w:hyperlink>
      <w:r w:rsidRPr="00924F59">
        <w:rPr>
          <w:rStyle w:val="TextoNormalCaracter"/>
        </w:rPr>
        <w:t xml:space="preserve">, f. 1; </w:t>
      </w:r>
      <w:hyperlink w:anchor="SENTENCIA_2016_63" w:history="1">
        <w:r w:rsidRPr="00924F59">
          <w:rPr>
            <w:rStyle w:val="TextoNormalCaracter"/>
          </w:rPr>
          <w:t>63/2016</w:t>
        </w:r>
      </w:hyperlink>
      <w:r w:rsidRPr="00924F59">
        <w:rPr>
          <w:rStyle w:val="TextoNormalCaracter"/>
        </w:rPr>
        <w:t xml:space="preserve">, f. 2; </w:t>
      </w:r>
      <w:hyperlink w:anchor="SENTENCIA_2016_75" w:history="1">
        <w:r w:rsidRPr="00924F59">
          <w:rPr>
            <w:rStyle w:val="TextoNormalCaracter"/>
          </w:rPr>
          <w:t>75/2016</w:t>
        </w:r>
      </w:hyperlink>
      <w:r w:rsidRPr="00924F59">
        <w:rPr>
          <w:rStyle w:val="TextoNormalCaracter"/>
        </w:rPr>
        <w:t xml:space="preserve">, f. 2; </w:t>
      </w:r>
      <w:hyperlink w:anchor="SENTENCIA_2016_76" w:history="1">
        <w:r w:rsidRPr="00924F59">
          <w:rPr>
            <w:rStyle w:val="TextoNormalCaracter"/>
          </w:rPr>
          <w:t>76/2016</w:t>
        </w:r>
      </w:hyperlink>
      <w:r w:rsidRPr="00924F59">
        <w:rPr>
          <w:rStyle w:val="TextoNormalCaracter"/>
        </w:rPr>
        <w:t xml:space="preserve">, f. 2; </w:t>
      </w:r>
      <w:hyperlink w:anchor="SENTENCIA_2016_77" w:history="1">
        <w:r w:rsidRPr="00924F59">
          <w:rPr>
            <w:rStyle w:val="TextoNormalCaracter"/>
          </w:rPr>
          <w:t>77/2016</w:t>
        </w:r>
      </w:hyperlink>
      <w:r w:rsidRPr="00924F59">
        <w:rPr>
          <w:rStyle w:val="TextoNormalCaracter"/>
        </w:rPr>
        <w:t xml:space="preserve">, f. 2; </w:t>
      </w:r>
      <w:hyperlink w:anchor="SENTENCIA_2016_78" w:history="1">
        <w:r w:rsidRPr="00924F59">
          <w:rPr>
            <w:rStyle w:val="TextoNormalCaracter"/>
          </w:rPr>
          <w:t>78/2016</w:t>
        </w:r>
      </w:hyperlink>
      <w:r w:rsidRPr="00924F59">
        <w:rPr>
          <w:rStyle w:val="TextoNormalCaracter"/>
        </w:rPr>
        <w:t xml:space="preserve">, f. 1; </w:t>
      </w:r>
      <w:hyperlink w:anchor="SENTENCIA_2016_89" w:history="1">
        <w:r w:rsidRPr="00924F59">
          <w:rPr>
            <w:rStyle w:val="TextoNormalCaracter"/>
          </w:rPr>
          <w:t>89/2016</w:t>
        </w:r>
      </w:hyperlink>
      <w:r w:rsidRPr="00924F59">
        <w:rPr>
          <w:rStyle w:val="TextoNormalCaracter"/>
        </w:rPr>
        <w:t xml:space="preserve">, f. 2; </w:t>
      </w:r>
      <w:hyperlink w:anchor="SENTENCIA_2016_103" w:history="1">
        <w:r w:rsidRPr="00924F59">
          <w:rPr>
            <w:rStyle w:val="TextoNormalCaracter"/>
          </w:rPr>
          <w:t>103/2016</w:t>
        </w:r>
      </w:hyperlink>
      <w:r w:rsidRPr="00924F59">
        <w:rPr>
          <w:rStyle w:val="TextoNormalCaracter"/>
        </w:rPr>
        <w:t>, f. 2.</w:t>
      </w:r>
    </w:p>
    <w:p w:rsidR="00924F59" w:rsidRPr="00924F59" w:rsidRDefault="00924F59" w:rsidP="00924F59">
      <w:pPr>
        <w:pStyle w:val="TextoNormalSangraFrancesa"/>
        <w:rPr>
          <w:rStyle w:val="TextoNormalCaracter"/>
        </w:rPr>
      </w:pPr>
      <w:bookmarkStart w:id="1492" w:name="DESCRIPTORALFABETICO225"/>
      <w:r w:rsidRPr="00924F59">
        <w:rPr>
          <w:rStyle w:val="TextoNormalNegritaCaracter"/>
        </w:rPr>
        <w:t>Estado de alarma</w:t>
      </w:r>
      <w:bookmarkEnd w:id="1492"/>
      <w:r w:rsidRPr="00924F59">
        <w:rPr>
          <w:rStyle w:val="TextoNormalCaracter"/>
        </w:rPr>
        <w:t xml:space="preserve">, Sentencia </w:t>
      </w:r>
      <w:hyperlink w:anchor="SENTENCIA_2016_83" w:history="1">
        <w:r w:rsidRPr="00924F59">
          <w:rPr>
            <w:rStyle w:val="TextoNormalCaracter"/>
          </w:rPr>
          <w:t>83/2016</w:t>
        </w:r>
      </w:hyperlink>
      <w:r w:rsidRPr="00924F59">
        <w:rPr>
          <w:rStyle w:val="TextoNormalCaracter"/>
        </w:rPr>
        <w:t>, ff. 1, 2, 4, 7 a 11.</w:t>
      </w:r>
    </w:p>
    <w:p w:rsidR="00924F59" w:rsidRPr="00924F59" w:rsidRDefault="00924F59" w:rsidP="00924F59">
      <w:pPr>
        <w:pStyle w:val="TextoNormalSangraFrancesa"/>
        <w:rPr>
          <w:rStyle w:val="TextoNormalCaracter"/>
        </w:rPr>
      </w:pPr>
      <w:bookmarkStart w:id="1493" w:name="DESCRIPTORALFABETICO600"/>
      <w:r w:rsidRPr="00924F59">
        <w:rPr>
          <w:rStyle w:val="TextoNormalNegritaCaracter"/>
        </w:rPr>
        <w:t>Estafa</w:t>
      </w:r>
      <w:bookmarkEnd w:id="1493"/>
      <w:r w:rsidRPr="00924F59">
        <w:rPr>
          <w:rStyle w:val="TextoNormalCaracter"/>
        </w:rPr>
        <w:t xml:space="preserve">, Sentencia </w:t>
      </w:r>
      <w:hyperlink w:anchor="SENTENCIA_2016_51" w:history="1">
        <w:r w:rsidRPr="00924F59">
          <w:rPr>
            <w:rStyle w:val="TextoNormalCaracter"/>
          </w:rPr>
          <w:t>51/2016</w:t>
        </w:r>
      </w:hyperlink>
      <w:r w:rsidRPr="00924F59">
        <w:rPr>
          <w:rStyle w:val="TextoNormalCaracter"/>
        </w:rPr>
        <w:t>, f. 1.</w:t>
      </w:r>
    </w:p>
    <w:p w:rsidR="00924F59" w:rsidRPr="00924F59" w:rsidRDefault="00924F59" w:rsidP="00924F59">
      <w:pPr>
        <w:pStyle w:val="TextoNormalSangraFrancesa"/>
        <w:rPr>
          <w:rStyle w:val="TextoNormalCaracter"/>
        </w:rPr>
      </w:pPr>
      <w:bookmarkStart w:id="1494" w:name="DESCRIPTORALFABETICO652"/>
      <w:r w:rsidRPr="00924F59">
        <w:rPr>
          <w:rStyle w:val="TextoNormalNegritaCaracter"/>
        </w:rPr>
        <w:t>Estatutos de Autonomía</w:t>
      </w:r>
      <w:bookmarkEnd w:id="1494"/>
      <w:r w:rsidRPr="00924F59">
        <w:rPr>
          <w:rStyle w:val="TextoNormalCaracter"/>
        </w:rPr>
        <w:t xml:space="preserve">, Sentencia </w:t>
      </w:r>
      <w:hyperlink w:anchor="SENTENCIA_2016_95" w:history="1">
        <w:r w:rsidRPr="00924F59">
          <w:rPr>
            <w:rStyle w:val="TextoNormalCaracter"/>
          </w:rPr>
          <w:t>95/2016</w:t>
        </w:r>
      </w:hyperlink>
      <w:r w:rsidRPr="00924F59">
        <w:rPr>
          <w:rStyle w:val="TextoNormalCaracter"/>
        </w:rPr>
        <w:t>, ff. 1, 8.</w:t>
      </w:r>
    </w:p>
    <w:p w:rsidR="00924F59" w:rsidRPr="00924F59" w:rsidRDefault="00924F59" w:rsidP="00924F59">
      <w:pPr>
        <w:pStyle w:val="TextoNormalSangraFrancesa"/>
        <w:rPr>
          <w:rStyle w:val="TextoNormalCaracter"/>
        </w:rPr>
      </w:pPr>
      <w:bookmarkStart w:id="1495" w:name="DESCRIPTORALFABETICO267"/>
      <w:r w:rsidRPr="00924F59">
        <w:rPr>
          <w:rStyle w:val="TextoNormalNegritaCaracter"/>
        </w:rPr>
        <w:t>Estimación de recurso de súplica contra providencias de inadmisión del Tribunal Constitucional</w:t>
      </w:r>
      <w:bookmarkEnd w:id="1495"/>
      <w:r w:rsidRPr="00924F59">
        <w:rPr>
          <w:rStyle w:val="TextoNormalCaracter"/>
        </w:rPr>
        <w:t xml:space="preserve">, Auto </w:t>
      </w:r>
      <w:hyperlink w:anchor="AUTO_2016_28" w:history="1">
        <w:r w:rsidRPr="00924F59">
          <w:rPr>
            <w:rStyle w:val="TextoNormalCaracter"/>
          </w:rPr>
          <w:t>28/2016</w:t>
        </w:r>
      </w:hyperlink>
      <w:r w:rsidRPr="00924F59">
        <w:rPr>
          <w:rStyle w:val="TextoNormalCaracter"/>
        </w:rPr>
        <w:t>, f. 2.</w:t>
      </w:r>
    </w:p>
    <w:p w:rsidR="00924F59" w:rsidRPr="00924F59" w:rsidRDefault="00924F59" w:rsidP="00924F59">
      <w:pPr>
        <w:pStyle w:val="TextoNormalSangraFrancesa"/>
        <w:rPr>
          <w:rStyle w:val="TextoNormalCaracter"/>
        </w:rPr>
      </w:pPr>
      <w:bookmarkStart w:id="1496" w:name="DESCRIPTORALFABETICO609"/>
      <w:r w:rsidRPr="00924F59">
        <w:rPr>
          <w:rStyle w:val="TextoNormalNegritaCaracter"/>
        </w:rPr>
        <w:t>Evaluación de impacto ambiental</w:t>
      </w:r>
      <w:bookmarkEnd w:id="1496"/>
      <w:r w:rsidRPr="00924F59">
        <w:rPr>
          <w:rStyle w:val="TextoNormalCaracter"/>
        </w:rPr>
        <w:t xml:space="preserve">, Sentencia </w:t>
      </w:r>
      <w:hyperlink w:anchor="SENTENCIA_2016_73" w:history="1">
        <w:r w:rsidRPr="00924F59">
          <w:rPr>
            <w:rStyle w:val="TextoNormalCaracter"/>
          </w:rPr>
          <w:t>73/2016</w:t>
        </w:r>
      </w:hyperlink>
      <w:r w:rsidRPr="00924F59">
        <w:rPr>
          <w:rStyle w:val="TextoNormalCaracter"/>
        </w:rPr>
        <w:t>, ff. 7, 8.</w:t>
      </w:r>
    </w:p>
    <w:p w:rsidR="00924F59" w:rsidRPr="00924F59" w:rsidRDefault="00924F59" w:rsidP="00924F59">
      <w:pPr>
        <w:pStyle w:val="TextoNormalSangraFrancesa"/>
        <w:rPr>
          <w:rStyle w:val="TextoNormalCaracter"/>
        </w:rPr>
      </w:pPr>
      <w:bookmarkStart w:id="1497" w:name="DESCRIPTORALFABETICO139"/>
      <w:r w:rsidRPr="00924F59">
        <w:rPr>
          <w:rStyle w:val="TextoNormalNegritaCaracter"/>
        </w:rPr>
        <w:t>Exclusión de coacciones a terceros</w:t>
      </w:r>
      <w:bookmarkEnd w:id="1497"/>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 ff. 2 a 4, VP II.</w:t>
      </w:r>
    </w:p>
    <w:p w:rsidR="00924F59" w:rsidRPr="00924F59" w:rsidRDefault="00924F59" w:rsidP="00924F59">
      <w:pPr>
        <w:pStyle w:val="TextoNormalSangraFrancesa"/>
        <w:rPr>
          <w:rStyle w:val="TextoNormalCaracter"/>
        </w:rPr>
      </w:pPr>
      <w:bookmarkStart w:id="1498" w:name="DESCRIPTORALFABETICO859"/>
      <w:r w:rsidRPr="00924F59">
        <w:rPr>
          <w:rStyle w:val="TextoNormalNegritaCaracter"/>
        </w:rPr>
        <w:t>Exclusión de doble abono de prisión provisional</w:t>
      </w:r>
      <w:bookmarkEnd w:id="1498"/>
      <w:r w:rsidRPr="00924F59">
        <w:rPr>
          <w:rStyle w:val="TextoNormalCaracter"/>
        </w:rPr>
        <w:t xml:space="preserve">, Sentencia </w:t>
      </w:r>
      <w:hyperlink w:anchor="SENTENCIA_2016_48" w:history="1">
        <w:r w:rsidRPr="00924F59">
          <w:rPr>
            <w:rStyle w:val="TextoNormalCaracter"/>
          </w:rPr>
          <w:t>48/2016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1499" w:name="DESCRIPTORALFABETICO736"/>
      <w:r w:rsidRPr="00924F59">
        <w:rPr>
          <w:rStyle w:val="TextoNormalNegritaCaracter"/>
        </w:rPr>
        <w:t>Expectativa de derecho</w:t>
      </w:r>
      <w:bookmarkEnd w:id="1499"/>
      <w:r w:rsidRPr="00924F59">
        <w:rPr>
          <w:rStyle w:val="TextoNormalCaracter"/>
        </w:rPr>
        <w:t xml:space="preserve">, Autos </w:t>
      </w:r>
      <w:hyperlink w:anchor="AUTO_2016_89" w:history="1">
        <w:r w:rsidRPr="00924F59">
          <w:rPr>
            <w:rStyle w:val="TextoNormalCaracter"/>
          </w:rPr>
          <w:t>89/2016</w:t>
        </w:r>
      </w:hyperlink>
      <w:r w:rsidRPr="00924F59">
        <w:rPr>
          <w:rStyle w:val="TextoNormalCaracter"/>
        </w:rPr>
        <w:t xml:space="preserve">, f. 5; </w:t>
      </w:r>
      <w:hyperlink w:anchor="AUTO_2016_90" w:history="1">
        <w:r w:rsidRPr="00924F59">
          <w:rPr>
            <w:rStyle w:val="TextoNormalCaracter"/>
          </w:rPr>
          <w:t>90/2016</w:t>
        </w:r>
      </w:hyperlink>
      <w:r w:rsidRPr="00924F59">
        <w:rPr>
          <w:rStyle w:val="TextoNormalCaracter"/>
        </w:rPr>
        <w:t>, f. 6.</w:t>
      </w:r>
    </w:p>
    <w:p w:rsidR="00924F59" w:rsidRPr="00924F59" w:rsidRDefault="00924F59" w:rsidP="00924F59">
      <w:pPr>
        <w:pStyle w:val="TextoNormalSangraFrancesa"/>
        <w:rPr>
          <w:rStyle w:val="TextoNormalCaracter"/>
        </w:rPr>
      </w:pPr>
      <w:bookmarkStart w:id="1500" w:name="DESCRIPTORALFABETICO728"/>
      <w:r w:rsidRPr="00924F59">
        <w:rPr>
          <w:rStyle w:val="TextoNormalNegritaCaracter"/>
        </w:rPr>
        <w:t>Expediente de responsabilidad patrimonial</w:t>
      </w:r>
      <w:bookmarkEnd w:id="1500"/>
      <w:r w:rsidRPr="00924F59">
        <w:rPr>
          <w:rStyle w:val="TextoNormalCaracter"/>
        </w:rPr>
        <w:t xml:space="preserve">, Sentencia </w:t>
      </w:r>
      <w:hyperlink w:anchor="SENTENCIA_2016_15" w:history="1">
        <w:r w:rsidRPr="00924F59">
          <w:rPr>
            <w:rStyle w:val="TextoNormalCaracter"/>
          </w:rPr>
          <w:t>15/2016</w:t>
        </w:r>
      </w:hyperlink>
      <w:r w:rsidRPr="00924F59">
        <w:rPr>
          <w:rStyle w:val="TextoNormalCaracter"/>
        </w:rPr>
        <w:t>, f. 3.</w:t>
      </w:r>
    </w:p>
    <w:p w:rsidR="00924F59" w:rsidRPr="00924F59" w:rsidRDefault="00924F59" w:rsidP="00924F59">
      <w:pPr>
        <w:pStyle w:val="TextoNormalSangraFrancesa"/>
        <w:rPr>
          <w:rStyle w:val="TextoNormalCaracter"/>
        </w:rPr>
      </w:pPr>
      <w:bookmarkStart w:id="1501" w:name="DESCRIPTORALFABETICO503"/>
      <w:r w:rsidRPr="00924F59">
        <w:rPr>
          <w:rStyle w:val="TextoNormalNegritaCaracter"/>
        </w:rPr>
        <w:t>Experiencia profesional</w:t>
      </w:r>
      <w:bookmarkEnd w:id="1501"/>
      <w:r w:rsidRPr="00924F59">
        <w:rPr>
          <w:rStyle w:val="TextoNormalCaracter"/>
        </w:rPr>
        <w:t xml:space="preserve">, Sentencia </w:t>
      </w:r>
      <w:hyperlink w:anchor="SENTENCIA_2016_86" w:history="1">
        <w:r w:rsidRPr="00924F59">
          <w:rPr>
            <w:rStyle w:val="TextoNormalCaracter"/>
          </w:rPr>
          <w:t>86/2016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502" w:name="DESCRIPTORALFABETICO610"/>
      <w:r w:rsidRPr="00924F59">
        <w:rPr>
          <w:rStyle w:val="TextoNormalNegritaCaracter"/>
        </w:rPr>
        <w:t>Explotación de recursos naturales</w:t>
      </w:r>
      <w:bookmarkEnd w:id="1502"/>
      <w:r w:rsidRPr="00924F59">
        <w:rPr>
          <w:rStyle w:val="TextoNormalCaracter"/>
        </w:rPr>
        <w:t xml:space="preserve">, Sentencia </w:t>
      </w:r>
      <w:hyperlink w:anchor="SENTENCIA_2016_73" w:history="1">
        <w:r w:rsidRPr="00924F59">
          <w:rPr>
            <w:rStyle w:val="TextoNormalCaracter"/>
          </w:rPr>
          <w:t>73/2016</w:t>
        </w:r>
      </w:hyperlink>
      <w:r w:rsidRPr="00924F59">
        <w:rPr>
          <w:rStyle w:val="TextoNormalCaracter"/>
        </w:rPr>
        <w:t>, ff. 7 a 10.</w:t>
      </w:r>
    </w:p>
    <w:p w:rsidR="00924F59" w:rsidRPr="00924F59" w:rsidRDefault="00924F59" w:rsidP="00924F59">
      <w:pPr>
        <w:pStyle w:val="TextoNormalSangraFrancesa"/>
        <w:rPr>
          <w:rStyle w:val="TextoNormalCaracter"/>
        </w:rPr>
      </w:pPr>
      <w:bookmarkStart w:id="1503" w:name="DESCRIPTORALFABETICO577"/>
      <w:r w:rsidRPr="00924F59">
        <w:rPr>
          <w:rStyle w:val="TextoNormalNegritaCaracter"/>
        </w:rPr>
        <w:t>Expulsión de extranjeros</w:t>
      </w:r>
      <w:bookmarkEnd w:id="1503"/>
      <w:r w:rsidRPr="00924F59">
        <w:rPr>
          <w:rStyle w:val="TextoNormalCaracter"/>
        </w:rPr>
        <w:t xml:space="preserve">, Sentencias </w:t>
      </w:r>
      <w:hyperlink w:anchor="SENTENCIA_2016_63" w:history="1">
        <w:r w:rsidRPr="00924F59">
          <w:rPr>
            <w:rStyle w:val="TextoNormalCaracter"/>
          </w:rPr>
          <w:t>63/2016</w:t>
        </w:r>
      </w:hyperlink>
      <w:r w:rsidRPr="00924F59">
        <w:rPr>
          <w:rStyle w:val="TextoNormalCaracter"/>
        </w:rPr>
        <w:t xml:space="preserve">, ff. 4 a 6; </w:t>
      </w:r>
      <w:hyperlink w:anchor="SENTENCIA_2016_75" w:history="1">
        <w:r w:rsidRPr="00924F59">
          <w:rPr>
            <w:rStyle w:val="TextoNormalCaracter"/>
          </w:rPr>
          <w:t>75/2016</w:t>
        </w:r>
      </w:hyperlink>
      <w:r w:rsidRPr="00924F59">
        <w:rPr>
          <w:rStyle w:val="TextoNormalCaracter"/>
        </w:rPr>
        <w:t xml:space="preserve">, ff. 1, 4 a 7; </w:t>
      </w:r>
      <w:hyperlink w:anchor="SENTENCIA_2016_76" w:history="1">
        <w:r w:rsidRPr="00924F59">
          <w:rPr>
            <w:rStyle w:val="TextoNormalCaracter"/>
          </w:rPr>
          <w:t>76/2016</w:t>
        </w:r>
      </w:hyperlink>
      <w:r w:rsidRPr="00924F59">
        <w:rPr>
          <w:rStyle w:val="TextoNormalCaracter"/>
        </w:rPr>
        <w:t xml:space="preserve">, ff. 1, 4, 5; </w:t>
      </w:r>
      <w:hyperlink w:anchor="SENTENCIA_2016_77" w:history="1">
        <w:r w:rsidRPr="00924F59">
          <w:rPr>
            <w:rStyle w:val="TextoNormalCaracter"/>
          </w:rPr>
          <w:t>77/2016</w:t>
        </w:r>
      </w:hyperlink>
      <w:r w:rsidRPr="00924F59">
        <w:rPr>
          <w:rStyle w:val="TextoNormalCaracter"/>
        </w:rPr>
        <w:t xml:space="preserve">, ff. 4 a 6; </w:t>
      </w:r>
      <w:hyperlink w:anchor="SENTENCIA_2016_89" w:history="1">
        <w:r w:rsidRPr="00924F59">
          <w:rPr>
            <w:rStyle w:val="TextoNormalCaracter"/>
          </w:rPr>
          <w:t>89/2016</w:t>
        </w:r>
      </w:hyperlink>
      <w:r w:rsidRPr="00924F59">
        <w:rPr>
          <w:rStyle w:val="TextoNormalCaracter"/>
        </w:rPr>
        <w:t xml:space="preserve">, ff. 1, 4 a 6; </w:t>
      </w:r>
      <w:hyperlink w:anchor="SENTENCIA_2016_103" w:history="1">
        <w:r w:rsidRPr="00924F59">
          <w:rPr>
            <w:rStyle w:val="TextoNormalCaracter"/>
          </w:rPr>
          <w:t>103/2016</w:t>
        </w:r>
      </w:hyperlink>
      <w:r w:rsidRPr="00924F59">
        <w:rPr>
          <w:rStyle w:val="TextoNormalCaracter"/>
        </w:rPr>
        <w:t>, ff. 1, 4 a 7.</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14" w:history="1">
        <w:r w:rsidRPr="00924F59">
          <w:rPr>
            <w:rStyle w:val="TextoNormalCaracter"/>
          </w:rPr>
          <w:t>114/2016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504" w:name="DESCRIPTORALFABETICO839"/>
      <w:r w:rsidRPr="00924F59">
        <w:rPr>
          <w:rStyle w:val="TextoNormalNegritaCaracter"/>
        </w:rPr>
        <w:t>Extemporaneidad del recurso</w:t>
      </w:r>
      <w:bookmarkEnd w:id="1504"/>
      <w:r w:rsidRPr="00924F59">
        <w:rPr>
          <w:rStyle w:val="TextoNormalCaracter"/>
        </w:rPr>
        <w:t xml:space="preserve">, Sentencia </w:t>
      </w:r>
      <w:hyperlink w:anchor="SENTENCIA_2016_59" w:history="1">
        <w:r w:rsidRPr="00924F59">
          <w:rPr>
            <w:rStyle w:val="TextoNormalCaracter"/>
          </w:rPr>
          <w:t>59/2016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505" w:name="DESCRIPTORALFABETICO327"/>
      <w:r w:rsidRPr="00924F59">
        <w:rPr>
          <w:rStyle w:val="TextoNormalNegritaCaracter"/>
        </w:rPr>
        <w:t>Extemporaneidad del recurso de amparo</w:t>
      </w:r>
      <w:bookmarkEnd w:id="1505"/>
      <w:r w:rsidRPr="00924F59">
        <w:rPr>
          <w:rStyle w:val="TextoNormalCaracter"/>
        </w:rPr>
        <w:t xml:space="preserve">, Sentencias </w:t>
      </w:r>
      <w:hyperlink w:anchor="SENTENCIA_2016_24" w:history="1">
        <w:r w:rsidRPr="00924F59">
          <w:rPr>
            <w:rStyle w:val="TextoNormalCaracter"/>
          </w:rPr>
          <w:t>24/2016</w:t>
        </w:r>
      </w:hyperlink>
      <w:r w:rsidRPr="00924F59">
        <w:rPr>
          <w:rStyle w:val="TextoNormalCaracter"/>
        </w:rPr>
        <w:t xml:space="preserve">, f. único; </w:t>
      </w:r>
      <w:hyperlink w:anchor="SENTENCIA_2016_94" w:history="1">
        <w:r w:rsidRPr="00924F59">
          <w:rPr>
            <w:rStyle w:val="TextoNormalCaracter"/>
          </w:rPr>
          <w:t>94/2016</w:t>
        </w:r>
      </w:hyperlink>
      <w:r w:rsidRPr="00924F59">
        <w:rPr>
          <w:rStyle w:val="TextoNormalCaracter"/>
        </w:rPr>
        <w:t>, ff. 2, 3.</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08" w:history="1">
        <w:r w:rsidRPr="00924F59">
          <w:rPr>
            <w:rStyle w:val="TextoNormalCaracter"/>
          </w:rPr>
          <w:t>108/2016</w:t>
        </w:r>
      </w:hyperlink>
      <w:r w:rsidRPr="00924F59">
        <w:rPr>
          <w:rStyle w:val="TextoNormalCaracter"/>
        </w:rPr>
        <w:t>, único.</w:t>
      </w:r>
    </w:p>
    <w:p w:rsidR="00924F59" w:rsidRPr="00924F59" w:rsidRDefault="00924F59" w:rsidP="00924F59">
      <w:pPr>
        <w:pStyle w:val="TextoNormalSangraFrancesa"/>
        <w:rPr>
          <w:rStyle w:val="TextoNormalCaracter"/>
        </w:rPr>
      </w:pPr>
      <w:bookmarkStart w:id="1506" w:name="DESCRIPTORALFABETICO282"/>
      <w:r w:rsidRPr="00924F59">
        <w:rPr>
          <w:rStyle w:val="TextoNormalNegritaCaracter"/>
        </w:rPr>
        <w:t>Extinción de cuestión de inconstitucionalidad</w:t>
      </w:r>
      <w:bookmarkEnd w:id="1506"/>
      <w:r w:rsidRPr="00924F59">
        <w:rPr>
          <w:rStyle w:val="TextoNormalCaracter"/>
        </w:rPr>
        <w:t xml:space="preserve">, Auto </w:t>
      </w:r>
      <w:hyperlink w:anchor="AUTO_2016_5" w:history="1">
        <w:r w:rsidRPr="00924F59">
          <w:rPr>
            <w:rStyle w:val="TextoNormalCaracter"/>
          </w:rPr>
          <w:t>5/2016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507" w:name="DESCRIPTORALFABETICO316"/>
      <w:r w:rsidRPr="00924F59">
        <w:rPr>
          <w:rStyle w:val="TextoNormalNegritaCaracter"/>
        </w:rPr>
        <w:t>Extinción del recurso de amparo</w:t>
      </w:r>
      <w:bookmarkEnd w:id="1507"/>
      <w:r w:rsidRPr="00924F59">
        <w:rPr>
          <w:rStyle w:val="TextoNormalCaracter"/>
        </w:rPr>
        <w:t xml:space="preserve">, Auto </w:t>
      </w:r>
      <w:hyperlink w:anchor="AUTO_2016_1" w:history="1">
        <w:r w:rsidRPr="00924F59">
          <w:rPr>
            <w:rStyle w:val="TextoNormalCaracter"/>
          </w:rPr>
          <w:t>1/2016</w:t>
        </w:r>
      </w:hyperlink>
      <w:r w:rsidRPr="00924F59">
        <w:rPr>
          <w:rStyle w:val="TextoNormalCaracter"/>
        </w:rPr>
        <w:t>, f. 2.</w:t>
      </w:r>
    </w:p>
    <w:p w:rsidR="00924F59" w:rsidRPr="00924F59" w:rsidRDefault="00924F59" w:rsidP="00924F59">
      <w:pPr>
        <w:pStyle w:val="TextoNormalSangraFrancesa"/>
        <w:rPr>
          <w:rStyle w:val="TextoNormalCaracter"/>
        </w:rPr>
      </w:pPr>
      <w:bookmarkStart w:id="1508" w:name="DESCRIPTORALFABETICO851"/>
      <w:r w:rsidRPr="00924F59">
        <w:rPr>
          <w:rStyle w:val="TextoNormalNegritaCaracter"/>
        </w:rPr>
        <w:t>Extradición</w:t>
      </w:r>
      <w:bookmarkEnd w:id="1508"/>
      <w:r w:rsidRPr="00924F59">
        <w:rPr>
          <w:rStyle w:val="TextoNormalCaracter"/>
        </w:rPr>
        <w:t xml:space="preserve">, Auto </w:t>
      </w:r>
      <w:hyperlink w:anchor="AUTO_2016_112" w:history="1">
        <w:r w:rsidRPr="00924F59">
          <w:rPr>
            <w:rStyle w:val="TextoNormalCaracter"/>
          </w:rPr>
          <w:t>112/2016</w:t>
        </w:r>
      </w:hyperlink>
      <w:r w:rsidRPr="00924F59">
        <w:rPr>
          <w:rStyle w:val="TextoNormalCaracter"/>
        </w:rPr>
        <w:t>, f. 2, VP.</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F</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509" w:name="DESCRIPTORALFABETICO340"/>
      <w:r w:rsidRPr="00924F59">
        <w:rPr>
          <w:rStyle w:val="TextoNormalNegritaCaracter"/>
        </w:rPr>
        <w:t>Falta de agotamiento de la vía judicial</w:t>
      </w:r>
      <w:bookmarkEnd w:id="1509"/>
      <w:r w:rsidRPr="00924F59">
        <w:rPr>
          <w:rStyle w:val="TextoNormalCaracter"/>
        </w:rPr>
        <w:t xml:space="preserve">, Auto </w:t>
      </w:r>
      <w:hyperlink w:anchor="AUTO_2016_98" w:history="1">
        <w:r w:rsidRPr="00924F59">
          <w:rPr>
            <w:rStyle w:val="TextoNormalCaracter"/>
          </w:rPr>
          <w:t>98/2016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510" w:name="DESCRIPTORALFABETICO722"/>
      <w:r w:rsidRPr="00924F59">
        <w:rPr>
          <w:rStyle w:val="TextoNormalNegritaCaracter"/>
        </w:rPr>
        <w:t>Falta de consentimiento del interesado</w:t>
      </w:r>
      <w:bookmarkEnd w:id="1510"/>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1, 3, 4 VP I, VP II.</w:t>
      </w:r>
    </w:p>
    <w:p w:rsidR="00924F59" w:rsidRPr="00924F59" w:rsidRDefault="00924F59" w:rsidP="00924F59">
      <w:pPr>
        <w:pStyle w:val="TextoNormalSangraFrancesa"/>
        <w:rPr>
          <w:rStyle w:val="TextoNormalCaracter"/>
        </w:rPr>
      </w:pPr>
      <w:bookmarkStart w:id="1511" w:name="DESCRIPTORALFABETICO143"/>
      <w:r w:rsidRPr="00924F59">
        <w:rPr>
          <w:rStyle w:val="TextoNormalNegritaCaracter"/>
        </w:rPr>
        <w:t>Falta de justificación razonable del tratamiento diferenciado</w:t>
      </w:r>
      <w:bookmarkEnd w:id="1511"/>
      <w:r w:rsidRPr="00924F59">
        <w:rPr>
          <w:rStyle w:val="TextoNormalCaracter"/>
        </w:rPr>
        <w:t xml:space="preserve">, Sentencia </w:t>
      </w:r>
      <w:hyperlink w:anchor="SENTENCIA_2016_81" w:history="1">
        <w:r w:rsidRPr="00924F59">
          <w:rPr>
            <w:rStyle w:val="TextoNormalCaracter"/>
          </w:rPr>
          <w:t>81/2016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512" w:name="DESCRIPTORALFABETICO837"/>
      <w:r w:rsidRPr="00924F59">
        <w:rPr>
          <w:rStyle w:val="TextoNormalNegritaCaracter"/>
        </w:rPr>
        <w:t>Falta de legitimación activa</w:t>
      </w:r>
      <w:bookmarkEnd w:id="1512"/>
      <w:r w:rsidRPr="00924F59">
        <w:rPr>
          <w:rStyle w:val="TextoNormalCaracter"/>
        </w:rPr>
        <w:t xml:space="preserve">, Sentencia </w:t>
      </w:r>
      <w:hyperlink w:anchor="SENTENCIA_2016_27" w:history="1">
        <w:r w:rsidRPr="00924F59">
          <w:rPr>
            <w:rStyle w:val="TextoNormalCaracter"/>
          </w:rPr>
          <w:t>27/2016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513" w:name="DESCRIPTORALFABETICO255"/>
      <w:r w:rsidRPr="00924F59">
        <w:rPr>
          <w:rStyle w:val="TextoNormalNegritaCaracter"/>
        </w:rPr>
        <w:t>Falta de legitimación en conflictos en defensa de la autonomía local</w:t>
      </w:r>
      <w:bookmarkEnd w:id="1513"/>
      <w:r w:rsidRPr="00924F59">
        <w:rPr>
          <w:rStyle w:val="TextoNormalCaracter"/>
        </w:rPr>
        <w:t xml:space="preserve">, Sentencia </w:t>
      </w:r>
      <w:hyperlink w:anchor="SENTENCIA_2016_27" w:history="1">
        <w:r w:rsidRPr="00924F59">
          <w:rPr>
            <w:rStyle w:val="TextoNormalCaracter"/>
          </w:rPr>
          <w:t>27/2016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514" w:name="DESCRIPTORALFABETICO182"/>
      <w:r w:rsidRPr="00924F59">
        <w:rPr>
          <w:rStyle w:val="TextoNormalNegritaCaracter"/>
        </w:rPr>
        <w:t>Falta de motivación de las resoluciones judiciales</w:t>
      </w:r>
      <w:bookmarkEnd w:id="1514"/>
      <w:r w:rsidRPr="00924F59">
        <w:rPr>
          <w:rStyle w:val="TextoNormalCaracter"/>
        </w:rPr>
        <w:t xml:space="preserve">, Sentencia </w:t>
      </w:r>
      <w:hyperlink w:anchor="SENTENCIA_2016_16" w:history="1">
        <w:r w:rsidRPr="00924F59">
          <w:rPr>
            <w:rStyle w:val="TextoNormalCaracter"/>
          </w:rPr>
          <w:t>16/2016</w:t>
        </w:r>
      </w:hyperlink>
      <w:r w:rsidRPr="00924F59">
        <w:rPr>
          <w:rStyle w:val="TextoNormalCaracter"/>
        </w:rPr>
        <w:t>, ff. 4 a 6, 10.</w:t>
      </w:r>
    </w:p>
    <w:p w:rsidR="00924F59" w:rsidRPr="00924F59" w:rsidRDefault="00924F59" w:rsidP="00924F59">
      <w:pPr>
        <w:pStyle w:val="TextoNormalSangraFrancesa"/>
        <w:rPr>
          <w:rStyle w:val="TextoNormalCaracter"/>
        </w:rPr>
      </w:pPr>
      <w:bookmarkStart w:id="1515" w:name="DESCRIPTORALFABETICO183"/>
      <w:r w:rsidRPr="00924F59">
        <w:rPr>
          <w:rStyle w:val="TextoNormalNegritaCaracter"/>
        </w:rPr>
        <w:t>Falta de motivación de las sentencias</w:t>
      </w:r>
      <w:bookmarkEnd w:id="1515"/>
      <w:r w:rsidRPr="00924F59">
        <w:rPr>
          <w:rStyle w:val="TextoNormalCaracter"/>
        </w:rPr>
        <w:t xml:space="preserve">, Sentencia </w:t>
      </w:r>
      <w:hyperlink w:anchor="SENTENCIA_2016_3" w:history="1">
        <w:r w:rsidRPr="00924F59">
          <w:rPr>
            <w:rStyle w:val="TextoNormalCaracter"/>
          </w:rPr>
          <w:t>3/2016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516" w:name="DESCRIPTORALFABETICO285"/>
      <w:r w:rsidRPr="00924F59">
        <w:rPr>
          <w:rStyle w:val="TextoNormalNegritaCaracter"/>
        </w:rPr>
        <w:t>Falta de viabilidad de la cuestión de inconstitucionalidad</w:t>
      </w:r>
      <w:bookmarkEnd w:id="1516"/>
      <w:r w:rsidRPr="00924F59">
        <w:rPr>
          <w:rStyle w:val="TextoNormalCaracter"/>
        </w:rPr>
        <w:t xml:space="preserve">, Auto </w:t>
      </w:r>
      <w:hyperlink w:anchor="AUTO_2016_63" w:history="1">
        <w:r w:rsidRPr="00924F59">
          <w:rPr>
            <w:rStyle w:val="TextoNormalCaracter"/>
          </w:rPr>
          <w:t>63/2016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517" w:name="DESCRIPTORALFABETICO475"/>
      <w:r w:rsidRPr="00924F59">
        <w:rPr>
          <w:rStyle w:val="TextoNormalNegritaCaracter"/>
        </w:rPr>
        <w:t>Farmacéuticos</w:t>
      </w:r>
      <w:bookmarkEnd w:id="1517"/>
      <w:r w:rsidRPr="00924F59">
        <w:rPr>
          <w:rStyle w:val="TextoNormalCaracter"/>
        </w:rPr>
        <w:t xml:space="preserve">, Sentencia </w:t>
      </w:r>
      <w:hyperlink w:anchor="SENTENCIA_2016_86" w:history="1">
        <w:r w:rsidRPr="00924F59">
          <w:rPr>
            <w:rStyle w:val="TextoNormalCaracter"/>
          </w:rPr>
          <w:t>86/2016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518" w:name="DESCRIPTORALFABETICO726"/>
      <w:r w:rsidRPr="00924F59">
        <w:rPr>
          <w:rStyle w:val="TextoNormalNegritaCaracter"/>
        </w:rPr>
        <w:t>Feto</w:t>
      </w:r>
      <w:bookmarkEnd w:id="1518"/>
      <w:r w:rsidRPr="00924F59">
        <w:rPr>
          <w:rStyle w:val="TextoNormalCaracter"/>
        </w:rPr>
        <w:t xml:space="preserve">, Sentencia </w:t>
      </w:r>
      <w:hyperlink w:anchor="SENTENCIA_2016_11" w:history="1">
        <w:r w:rsidRPr="00924F59">
          <w:rPr>
            <w:rStyle w:val="TextoNormalCaracter"/>
          </w:rPr>
          <w:t>11/2016</w:t>
        </w:r>
      </w:hyperlink>
      <w:r w:rsidRPr="00924F59">
        <w:rPr>
          <w:rStyle w:val="TextoNormalCaracter"/>
        </w:rPr>
        <w:t>, f. 1.</w:t>
      </w:r>
    </w:p>
    <w:p w:rsidR="00924F59" w:rsidRPr="00924F59" w:rsidRDefault="00924F59" w:rsidP="00924F59">
      <w:pPr>
        <w:pStyle w:val="TextoNormalSangraFrancesa"/>
        <w:rPr>
          <w:rStyle w:val="TextoNormalCaracter"/>
        </w:rPr>
      </w:pPr>
      <w:bookmarkStart w:id="1519" w:name="DESCRIPTORALFABETICO167"/>
      <w:r w:rsidRPr="00924F59">
        <w:rPr>
          <w:rStyle w:val="TextoNormalNegritaCaracter"/>
        </w:rPr>
        <w:t>Fichero de datos personales de los trabajadores de una empresa</w:t>
      </w:r>
      <w:bookmarkEnd w:id="1519"/>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1520" w:name="DESCRIPTORALFABETICO106"/>
      <w:r w:rsidRPr="00924F59">
        <w:rPr>
          <w:rStyle w:val="TextoNormalNegritaCaracter"/>
        </w:rPr>
        <w:t>Finalidad extrafiscal del tributo</w:t>
      </w:r>
      <w:bookmarkEnd w:id="1520"/>
      <w:r w:rsidRPr="00924F59">
        <w:rPr>
          <w:rStyle w:val="TextoNormalCaracter"/>
        </w:rPr>
        <w:t xml:space="preserve">, Sentencia </w:t>
      </w:r>
      <w:hyperlink w:anchor="SENTENCIA_2016_74" w:history="1">
        <w:r w:rsidRPr="00924F59">
          <w:rPr>
            <w:rStyle w:val="TextoNormalCaracter"/>
          </w:rPr>
          <w:t>74/2016</w:t>
        </w:r>
      </w:hyperlink>
      <w:r w:rsidRPr="00924F59">
        <w:rPr>
          <w:rStyle w:val="TextoNormalCaracter"/>
        </w:rPr>
        <w:t>, ff. 2, 3, VP.</w:t>
      </w:r>
    </w:p>
    <w:p w:rsidR="00924F59" w:rsidRPr="00924F59" w:rsidRDefault="00924F59" w:rsidP="00924F59">
      <w:pPr>
        <w:pStyle w:val="TextoNormalSangraFrancesa"/>
        <w:rPr>
          <w:rStyle w:val="TextoNormalCaracter"/>
        </w:rPr>
      </w:pPr>
      <w:bookmarkStart w:id="1521" w:name="DESCRIPTORALFABETICO77"/>
      <w:r w:rsidRPr="00924F59">
        <w:rPr>
          <w:rStyle w:val="TextoNormalNegritaCaracter"/>
        </w:rPr>
        <w:t>Financiación autonómica</w:t>
      </w:r>
      <w:bookmarkEnd w:id="1521"/>
      <w:r w:rsidRPr="00924F59">
        <w:rPr>
          <w:rStyle w:val="TextoNormalCaracter"/>
        </w:rPr>
        <w:t xml:space="preserve">, Sentencias </w:t>
      </w:r>
      <w:hyperlink w:anchor="SENTENCIA_2016_41" w:history="1">
        <w:r w:rsidRPr="00924F59">
          <w:rPr>
            <w:rStyle w:val="TextoNormalCaracter"/>
          </w:rPr>
          <w:t>41/2016</w:t>
        </w:r>
      </w:hyperlink>
      <w:r w:rsidRPr="00924F59">
        <w:rPr>
          <w:rStyle w:val="TextoNormalCaracter"/>
        </w:rPr>
        <w:t xml:space="preserve">, f. 16; </w:t>
      </w:r>
      <w:hyperlink w:anchor="SENTENCIA_2016_74" w:history="1">
        <w:r w:rsidRPr="00924F59">
          <w:rPr>
            <w:rStyle w:val="TextoNormalCaracter"/>
          </w:rPr>
          <w:t>74/2016</w:t>
        </w:r>
      </w:hyperlink>
      <w:r w:rsidRPr="00924F59">
        <w:rPr>
          <w:rStyle w:val="TextoNormalCaracter"/>
        </w:rPr>
        <w:t xml:space="preserve">, f. 2, VP; </w:t>
      </w:r>
      <w:hyperlink w:anchor="SENTENCIA_2016_96" w:history="1">
        <w:r w:rsidRPr="00924F59">
          <w:rPr>
            <w:rStyle w:val="TextoNormalCaracter"/>
          </w:rPr>
          <w:t>96/2016</w:t>
        </w:r>
      </w:hyperlink>
      <w:r w:rsidRPr="00924F59">
        <w:rPr>
          <w:rStyle w:val="TextoNormalCaracter"/>
        </w:rPr>
        <w:t xml:space="preserve">, ff. 1 a 4; </w:t>
      </w:r>
      <w:hyperlink w:anchor="SENTENCIA_2016_101" w:history="1">
        <w:r w:rsidRPr="00924F59">
          <w:rPr>
            <w:rStyle w:val="TextoNormalCaracter"/>
          </w:rPr>
          <w:t>101/2016</w:t>
        </w:r>
      </w:hyperlink>
      <w:r w:rsidRPr="00924F59">
        <w:rPr>
          <w:rStyle w:val="TextoNormalCaracter"/>
        </w:rPr>
        <w:t>, ff. 1 a 5, 7, 8, 10 a 12, VP I, VP II, VP III.</w:t>
      </w:r>
    </w:p>
    <w:p w:rsidR="00924F59" w:rsidRPr="00924F59" w:rsidRDefault="00924F59" w:rsidP="00924F59">
      <w:pPr>
        <w:pStyle w:val="TextoNormalSangraFrancesa"/>
        <w:rPr>
          <w:rStyle w:val="TextoNormalCaracter"/>
        </w:rPr>
      </w:pPr>
      <w:bookmarkStart w:id="1522" w:name="DESCRIPTORALFABETICO511"/>
      <w:r w:rsidRPr="00924F59">
        <w:rPr>
          <w:rStyle w:val="TextoNormalNegritaCaracter"/>
        </w:rPr>
        <w:t>Financiación de servicios públicos</w:t>
      </w:r>
      <w:bookmarkEnd w:id="1522"/>
      <w:r w:rsidRPr="00924F59">
        <w:rPr>
          <w:rStyle w:val="TextoNormalCaracter"/>
        </w:rPr>
        <w:t xml:space="preserve">, Sentencias </w:t>
      </w:r>
      <w:hyperlink w:anchor="SENTENCIA_2016_96" w:history="1">
        <w:r w:rsidRPr="00924F59">
          <w:rPr>
            <w:rStyle w:val="TextoNormalCaracter"/>
          </w:rPr>
          <w:t>96/2016</w:t>
        </w:r>
      </w:hyperlink>
      <w:r w:rsidRPr="00924F59">
        <w:rPr>
          <w:rStyle w:val="TextoNormalCaracter"/>
        </w:rPr>
        <w:t xml:space="preserve">, f. 4; </w:t>
      </w:r>
      <w:hyperlink w:anchor="SENTENCIA_2016_99" w:history="1">
        <w:r w:rsidRPr="00924F59">
          <w:rPr>
            <w:rStyle w:val="TextoNormalCaracter"/>
          </w:rPr>
          <w:t>99/2016</w:t>
        </w:r>
      </w:hyperlink>
      <w:r w:rsidRPr="00924F59">
        <w:rPr>
          <w:rStyle w:val="TextoNormalCaracter"/>
        </w:rPr>
        <w:t>, f. 6.</w:t>
      </w:r>
    </w:p>
    <w:p w:rsidR="00924F59" w:rsidRPr="00924F59" w:rsidRDefault="00924F59" w:rsidP="00924F59">
      <w:pPr>
        <w:pStyle w:val="TextoNormalSangraFrancesa"/>
        <w:rPr>
          <w:rStyle w:val="TextoNormalCaracter"/>
        </w:rPr>
      </w:pPr>
      <w:bookmarkStart w:id="1523" w:name="DESCRIPTORALFABETICO81"/>
      <w:r w:rsidRPr="00924F59">
        <w:rPr>
          <w:rStyle w:val="TextoNormalNegritaCaracter"/>
        </w:rPr>
        <w:t>Financiación local</w:t>
      </w:r>
      <w:bookmarkEnd w:id="1523"/>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6 c).</w:t>
      </w:r>
    </w:p>
    <w:p w:rsidR="00924F59" w:rsidRPr="00924F59" w:rsidRDefault="00924F59" w:rsidP="00924F59">
      <w:pPr>
        <w:pStyle w:val="TextoNormalSangraFrancesa"/>
        <w:rPr>
          <w:rStyle w:val="TextoNormalCaracter"/>
        </w:rPr>
      </w:pPr>
      <w:bookmarkStart w:id="1524" w:name="DESCRIPTORALFABETICO529"/>
      <w:r w:rsidRPr="00924F59">
        <w:rPr>
          <w:rStyle w:val="TextoNormalNegritaCaracter"/>
        </w:rPr>
        <w:t>Fomento de la cultura</w:t>
      </w:r>
      <w:bookmarkEnd w:id="1524"/>
      <w:r w:rsidRPr="00924F59">
        <w:rPr>
          <w:rStyle w:val="TextoNormalCaracter"/>
        </w:rPr>
        <w:t xml:space="preserve">, Sentencia </w:t>
      </w:r>
      <w:hyperlink w:anchor="SENTENCIA_2016_35" w:history="1">
        <w:r w:rsidRPr="00924F59">
          <w:rPr>
            <w:rStyle w:val="TextoNormalCaracter"/>
          </w:rPr>
          <w:t>35/2016</w:t>
        </w:r>
      </w:hyperlink>
      <w:r w:rsidRPr="00924F59">
        <w:rPr>
          <w:rStyle w:val="TextoNormalCaracter"/>
        </w:rPr>
        <w:t>, f. 5.</w:t>
      </w:r>
    </w:p>
    <w:p w:rsidR="00924F59" w:rsidRPr="00924F59" w:rsidRDefault="00924F59" w:rsidP="00924F59">
      <w:pPr>
        <w:pStyle w:val="TextoNormalSangraFrancesa"/>
        <w:rPr>
          <w:rStyle w:val="TextoNormalCaracter"/>
        </w:rPr>
      </w:pPr>
      <w:bookmarkStart w:id="1525" w:name="DESCRIPTORALFABETICO550"/>
      <w:r w:rsidRPr="00924F59">
        <w:rPr>
          <w:rStyle w:val="TextoNormalNegritaCaracter"/>
        </w:rPr>
        <w:t>Formación profesional</w:t>
      </w:r>
      <w:bookmarkEnd w:id="1525"/>
      <w:r w:rsidRPr="00924F59">
        <w:rPr>
          <w:rStyle w:val="TextoNormalCaracter"/>
        </w:rPr>
        <w:t xml:space="preserve">, Sentencia </w:t>
      </w:r>
      <w:hyperlink w:anchor="SENTENCIA_2016_26" w:history="1">
        <w:r w:rsidRPr="00924F59">
          <w:rPr>
            <w:rStyle w:val="TextoNormalCaracter"/>
          </w:rPr>
          <w:t>26/2016</w:t>
        </w:r>
      </w:hyperlink>
      <w:r w:rsidRPr="00924F59">
        <w:rPr>
          <w:rStyle w:val="TextoNormalCaracter"/>
        </w:rPr>
        <w:t>, f. 5.</w:t>
      </w:r>
    </w:p>
    <w:p w:rsidR="00924F59" w:rsidRPr="00924F59" w:rsidRDefault="00924F59" w:rsidP="00924F59">
      <w:pPr>
        <w:pStyle w:val="TextoNormalSangraFrancesa"/>
        <w:rPr>
          <w:rStyle w:val="TextoNormalCaracter"/>
        </w:rPr>
      </w:pPr>
      <w:bookmarkStart w:id="1526" w:name="DESCRIPTORALFABETICO571"/>
      <w:r w:rsidRPr="00924F59">
        <w:rPr>
          <w:rStyle w:val="TextoNormalNegritaCaracter"/>
        </w:rPr>
        <w:t>Fracturación hidráulica</w:t>
      </w:r>
      <w:bookmarkEnd w:id="1526"/>
      <w:r w:rsidRPr="00924F59">
        <w:rPr>
          <w:rStyle w:val="TextoNormalCaracter"/>
        </w:rPr>
        <w:t xml:space="preserve">, Sentencia </w:t>
      </w:r>
      <w:hyperlink w:anchor="SENTENCIA_2016_73" w:history="1">
        <w:r w:rsidRPr="00924F59">
          <w:rPr>
            <w:rStyle w:val="TextoNormalCaracter"/>
          </w:rPr>
          <w:t>73/2016</w:t>
        </w:r>
      </w:hyperlink>
      <w:r w:rsidRPr="00924F59">
        <w:rPr>
          <w:rStyle w:val="TextoNormalCaracter"/>
        </w:rPr>
        <w:t>, ff. 7 a 10, VP I, VP II.</w:t>
      </w:r>
    </w:p>
    <w:p w:rsidR="00924F59" w:rsidRPr="00924F59" w:rsidRDefault="00924F59" w:rsidP="00924F59">
      <w:pPr>
        <w:pStyle w:val="TextoNormalSangraFrancesa"/>
        <w:rPr>
          <w:rStyle w:val="TextoNormalCaracter"/>
        </w:rPr>
      </w:pPr>
      <w:bookmarkStart w:id="1527" w:name="DESCRIPTORALFABETICO395"/>
      <w:r w:rsidRPr="00924F59">
        <w:rPr>
          <w:rStyle w:val="TextoNormalNegritaCaracter"/>
        </w:rPr>
        <w:t>Función calificadora de la mesa</w:t>
      </w:r>
      <w:bookmarkEnd w:id="1527"/>
      <w:r w:rsidRPr="00924F59">
        <w:rPr>
          <w:rStyle w:val="TextoNormalCaracter"/>
        </w:rPr>
        <w:t xml:space="preserve">, Sentencia </w:t>
      </w:r>
      <w:hyperlink w:anchor="SENTENCIA_2016_10" w:history="1">
        <w:r w:rsidRPr="00924F59">
          <w:rPr>
            <w:rStyle w:val="TextoNormalCaracter"/>
          </w:rPr>
          <w:t>10/2016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528" w:name="DESCRIPTORALFABETICO252"/>
      <w:r w:rsidRPr="00924F59">
        <w:rPr>
          <w:rStyle w:val="TextoNormalNegritaCaracter"/>
        </w:rPr>
        <w:t>Funcionamiento anormal en la tramitación de procesos constitucionales</w:t>
      </w:r>
      <w:bookmarkEnd w:id="1528"/>
      <w:r w:rsidRPr="00924F59">
        <w:rPr>
          <w:rStyle w:val="TextoNormalCaracter"/>
        </w:rPr>
        <w:t xml:space="preserve">, Auto </w:t>
      </w:r>
      <w:hyperlink w:anchor="AUTO_2016_66" w:history="1">
        <w:r w:rsidRPr="00924F59">
          <w:rPr>
            <w:rStyle w:val="TextoNormalCaracter"/>
          </w:rPr>
          <w:t>66/2016</w:t>
        </w:r>
      </w:hyperlink>
      <w:r w:rsidRPr="00924F59">
        <w:rPr>
          <w:rStyle w:val="TextoNormalCaracter"/>
        </w:rPr>
        <w:t>, f. único.</w:t>
      </w:r>
    </w:p>
    <w:p w:rsidR="00924F59" w:rsidRPr="00924F59" w:rsidRDefault="00924F59" w:rsidP="00924F59">
      <w:pPr>
        <w:pStyle w:val="TextoNormalSangraFrancesa"/>
        <w:rPr>
          <w:rStyle w:val="TextoNormalCaracter"/>
        </w:rPr>
      </w:pPr>
      <w:r w:rsidRPr="00924F59">
        <w:rPr>
          <w:rStyle w:val="TextoNormalCursivaCaracter"/>
        </w:rPr>
        <w:t xml:space="preserve">    Deniega, </w:t>
      </w:r>
      <w:r w:rsidRPr="00924F59">
        <w:rPr>
          <w:rStyle w:val="TextoNormalCaracter"/>
        </w:rPr>
        <w:t xml:space="preserve">Autos </w:t>
      </w:r>
      <w:hyperlink w:anchor="AUTO_2016_18" w:history="1">
        <w:r w:rsidRPr="00924F59">
          <w:rPr>
            <w:rStyle w:val="TextoNormalCaracter"/>
          </w:rPr>
          <w:t>18/2016</w:t>
        </w:r>
      </w:hyperlink>
      <w:r w:rsidRPr="00924F59">
        <w:rPr>
          <w:rStyle w:val="TextoNormalCaracter"/>
        </w:rPr>
        <w:t xml:space="preserve">, f. 2; </w:t>
      </w:r>
      <w:hyperlink w:anchor="AUTO_2016_30" w:history="1">
        <w:r w:rsidRPr="00924F59">
          <w:rPr>
            <w:rStyle w:val="TextoNormalCaracter"/>
          </w:rPr>
          <w:t>30/2016</w:t>
        </w:r>
      </w:hyperlink>
      <w:r w:rsidRPr="00924F59">
        <w:rPr>
          <w:rStyle w:val="TextoNormalCaracter"/>
        </w:rPr>
        <w:t>, f. 2.</w:t>
      </w:r>
    </w:p>
    <w:p w:rsidR="00924F59" w:rsidRPr="00924F59" w:rsidRDefault="00924F59" w:rsidP="00924F59">
      <w:pPr>
        <w:pStyle w:val="TextoNormalSangraFrancesa"/>
        <w:rPr>
          <w:rStyle w:val="TextoNormalCaracter"/>
        </w:rPr>
      </w:pPr>
      <w:bookmarkStart w:id="1529" w:name="DESCRIPTORALFABETICO457"/>
      <w:r w:rsidRPr="00924F59">
        <w:rPr>
          <w:rStyle w:val="TextoNormalNegritaCaracter"/>
        </w:rPr>
        <w:t>Funcionamiento democrático de los órganos de gobierno de las corporaciones locales</w:t>
      </w:r>
      <w:bookmarkEnd w:id="1529"/>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 8, VP.</w:t>
      </w:r>
    </w:p>
    <w:p w:rsidR="00924F59" w:rsidRPr="00924F59" w:rsidRDefault="00924F59" w:rsidP="00924F59">
      <w:pPr>
        <w:pStyle w:val="TextoNormalSangraFrancesa"/>
        <w:rPr>
          <w:rStyle w:val="TextoNormalCaracter"/>
        </w:rPr>
      </w:pPr>
      <w:bookmarkStart w:id="1530" w:name="DESCRIPTORALFABETICO484"/>
      <w:r w:rsidRPr="00924F59">
        <w:rPr>
          <w:rStyle w:val="TextoNormalNegritaCaracter"/>
        </w:rPr>
        <w:t>Funcionarios de la Administración autonómica</w:t>
      </w:r>
      <w:bookmarkEnd w:id="1530"/>
      <w:r w:rsidRPr="00924F59">
        <w:rPr>
          <w:rStyle w:val="TextoNormalCaracter"/>
        </w:rPr>
        <w:t xml:space="preserve">, Sentencia </w:t>
      </w:r>
      <w:hyperlink w:anchor="SENTENCIA_2016_86" w:history="1">
        <w:r w:rsidRPr="00924F59">
          <w:rPr>
            <w:rStyle w:val="TextoNormalCaracter"/>
          </w:rPr>
          <w:t>86/2016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531" w:name="DESCRIPTORALFABETICO485"/>
      <w:r w:rsidRPr="00924F59">
        <w:rPr>
          <w:rStyle w:val="TextoNormalNegritaCaracter"/>
        </w:rPr>
        <w:t>Funcionarios interinos</w:t>
      </w:r>
      <w:bookmarkEnd w:id="1531"/>
      <w:r w:rsidRPr="00924F59">
        <w:rPr>
          <w:rStyle w:val="TextoNormalCaracter"/>
        </w:rPr>
        <w:t xml:space="preserve">, Sentencias </w:t>
      </w:r>
      <w:hyperlink w:anchor="SENTENCIA_2016_71" w:history="1">
        <w:r w:rsidRPr="00924F59">
          <w:rPr>
            <w:rStyle w:val="TextoNormalCaracter"/>
          </w:rPr>
          <w:t>71/2016</w:t>
        </w:r>
      </w:hyperlink>
      <w:r w:rsidRPr="00924F59">
        <w:rPr>
          <w:rStyle w:val="TextoNormalCaracter"/>
        </w:rPr>
        <w:t xml:space="preserve">, ff. 1 a 5; </w:t>
      </w:r>
      <w:hyperlink w:anchor="SENTENCIA_2016_86" w:history="1">
        <w:r w:rsidRPr="00924F59">
          <w:rPr>
            <w:rStyle w:val="TextoNormalCaracter"/>
          </w:rPr>
          <w:t>86/2016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532" w:name="DESCRIPTORALFABETICO483"/>
      <w:r w:rsidRPr="00924F59">
        <w:rPr>
          <w:rStyle w:val="TextoNormalNegritaCaracter"/>
        </w:rPr>
        <w:t>Funcionarios públicos</w:t>
      </w:r>
      <w:bookmarkEnd w:id="1532"/>
      <w:r w:rsidRPr="00924F59">
        <w:rPr>
          <w:rStyle w:val="TextoNormalCaracter"/>
        </w:rPr>
        <w:t xml:space="preserve">, Sentencias </w:t>
      </w:r>
      <w:hyperlink w:anchor="SENTENCIA_2016_9" w:history="1">
        <w:r w:rsidRPr="00924F59">
          <w:rPr>
            <w:rStyle w:val="TextoNormalCaracter"/>
          </w:rPr>
          <w:t>9/2016</w:t>
        </w:r>
      </w:hyperlink>
      <w:r w:rsidRPr="00924F59">
        <w:rPr>
          <w:rStyle w:val="TextoNormalCaracter"/>
        </w:rPr>
        <w:t xml:space="preserve">, f. 1; </w:t>
      </w:r>
      <w:hyperlink w:anchor="SENTENCIA_2016_71" w:history="1">
        <w:r w:rsidRPr="00924F59">
          <w:rPr>
            <w:rStyle w:val="TextoNormalCaracter"/>
          </w:rPr>
          <w:t>71/2016</w:t>
        </w:r>
      </w:hyperlink>
      <w:r w:rsidRPr="00924F59">
        <w:rPr>
          <w:rStyle w:val="TextoNormalCaracter"/>
        </w:rPr>
        <w:t>, ff. 1 a 5.</w:t>
      </w:r>
    </w:p>
    <w:p w:rsidR="00924F59" w:rsidRPr="00924F59" w:rsidRDefault="00924F59" w:rsidP="00924F59">
      <w:pPr>
        <w:pStyle w:val="TextoNormalSangraFrancesa"/>
        <w:rPr>
          <w:rStyle w:val="TextoNormalCaracter"/>
        </w:rPr>
      </w:pPr>
      <w:bookmarkStart w:id="1533" w:name="DESCRIPTORALFABETICO797"/>
      <w:r w:rsidRPr="00924F59">
        <w:rPr>
          <w:rStyle w:val="TextoNormalNegritaCaracter"/>
        </w:rPr>
        <w:t>Funciones de los jueces y tribunales</w:t>
      </w:r>
      <w:bookmarkEnd w:id="1533"/>
      <w:r w:rsidRPr="00924F59">
        <w:rPr>
          <w:rStyle w:val="TextoNormalCaracter"/>
        </w:rPr>
        <w:t xml:space="preserve">, Sentencia </w:t>
      </w:r>
      <w:hyperlink w:anchor="SENTENCIA_2016_58" w:history="1">
        <w:r w:rsidRPr="00924F59">
          <w:rPr>
            <w:rStyle w:val="TextoNormalCaracter"/>
          </w:rPr>
          <w:t>58/2016</w:t>
        </w:r>
      </w:hyperlink>
      <w:r w:rsidRPr="00924F59">
        <w:rPr>
          <w:rStyle w:val="TextoNormalCaracter"/>
        </w:rPr>
        <w:t>, ff. 2, 4, 7.</w:t>
      </w:r>
    </w:p>
    <w:p w:rsidR="00924F59" w:rsidRPr="00924F59" w:rsidRDefault="00924F59" w:rsidP="00924F59">
      <w:pPr>
        <w:pStyle w:val="TextoNormalSangraFrancesa"/>
        <w:rPr>
          <w:rStyle w:val="TextoNormalCaracter"/>
        </w:rPr>
      </w:pPr>
      <w:bookmarkStart w:id="1534" w:name="DESCRIPTORALFABETICO361"/>
      <w:r w:rsidRPr="00924F59">
        <w:rPr>
          <w:rStyle w:val="TextoNormalNegritaCaracter"/>
        </w:rPr>
        <w:t>Funciones de los letrados de la Administración de justicia</w:t>
      </w:r>
      <w:bookmarkEnd w:id="1534"/>
      <w:r w:rsidRPr="00924F59">
        <w:rPr>
          <w:rStyle w:val="TextoNormalCaracter"/>
        </w:rPr>
        <w:t xml:space="preserve">, Sentencia </w:t>
      </w:r>
      <w:hyperlink w:anchor="SENTENCIA_2016_58" w:history="1">
        <w:r w:rsidRPr="00924F59">
          <w:rPr>
            <w:rStyle w:val="TextoNormalCaracter"/>
          </w:rPr>
          <w:t>58/2016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535" w:name="DESCRIPTORALFABETICO398"/>
      <w:r w:rsidRPr="00924F59">
        <w:rPr>
          <w:rStyle w:val="TextoNormalNegritaCaracter"/>
        </w:rPr>
        <w:t>Funciones parlamentarias</w:t>
      </w:r>
      <w:bookmarkEnd w:id="1535"/>
      <w:r w:rsidRPr="00924F59">
        <w:rPr>
          <w:rStyle w:val="TextoNormalCaracter"/>
        </w:rPr>
        <w:t xml:space="preserve">, Sentencias </w:t>
      </w:r>
      <w:hyperlink w:anchor="SENTENCIA_2016_107" w:history="1">
        <w:r w:rsidRPr="00924F59">
          <w:rPr>
            <w:rStyle w:val="TextoNormalCaracter"/>
          </w:rPr>
          <w:t>107/2016</w:t>
        </w:r>
      </w:hyperlink>
      <w:r w:rsidRPr="00924F59">
        <w:rPr>
          <w:rStyle w:val="TextoNormalCaracter"/>
        </w:rPr>
        <w:t xml:space="preserve">, f. 4; </w:t>
      </w:r>
      <w:hyperlink w:anchor="SENTENCIA_2016_108" w:history="1">
        <w:r w:rsidRPr="00924F59">
          <w:rPr>
            <w:rStyle w:val="TextoNormalCaracter"/>
          </w:rPr>
          <w:t>108/2016</w:t>
        </w:r>
      </w:hyperlink>
      <w:r w:rsidRPr="00924F59">
        <w:rPr>
          <w:rStyle w:val="TextoNormalCaracter"/>
        </w:rPr>
        <w:t xml:space="preserve">, f. 4; </w:t>
      </w:r>
      <w:hyperlink w:anchor="SENTENCIA_2016_109" w:history="1">
        <w:r w:rsidRPr="00924F59">
          <w:rPr>
            <w:rStyle w:val="TextoNormalCaracter"/>
          </w:rPr>
          <w:t>109/2016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536" w:name="DESCRIPTORALFABETICO306"/>
      <w:r w:rsidRPr="00924F59">
        <w:rPr>
          <w:rStyle w:val="TextoNormalNegritaCaracter"/>
        </w:rPr>
        <w:t>Fundamentación de la demanda de inconstitucionalidad</w:t>
      </w:r>
      <w:bookmarkEnd w:id="1536"/>
      <w:r w:rsidRPr="00924F59">
        <w:rPr>
          <w:rStyle w:val="TextoNormalCaracter"/>
        </w:rPr>
        <w:t xml:space="preserve">, Sentencias </w:t>
      </w:r>
      <w:hyperlink w:anchor="SENTENCIA_2016_6" w:history="1">
        <w:r w:rsidRPr="00924F59">
          <w:rPr>
            <w:rStyle w:val="TextoNormalCaracter"/>
          </w:rPr>
          <w:t>6/2016</w:t>
        </w:r>
      </w:hyperlink>
      <w:r w:rsidRPr="00924F59">
        <w:rPr>
          <w:rStyle w:val="TextoNormalCaracter"/>
        </w:rPr>
        <w:t xml:space="preserve">, f. 4 b); </w:t>
      </w:r>
      <w:hyperlink w:anchor="SENTENCIA_2016_21" w:history="1">
        <w:r w:rsidRPr="00924F59">
          <w:rPr>
            <w:rStyle w:val="TextoNormalCaracter"/>
          </w:rPr>
          <w:t>21/2016</w:t>
        </w:r>
      </w:hyperlink>
      <w:r w:rsidRPr="00924F59">
        <w:rPr>
          <w:rStyle w:val="TextoNormalCaracter"/>
        </w:rPr>
        <w:t xml:space="preserve">, f. 2; </w:t>
      </w:r>
      <w:hyperlink w:anchor="SENTENCIA_2016_70" w:history="1">
        <w:r w:rsidRPr="00924F59">
          <w:rPr>
            <w:rStyle w:val="TextoNormalCaracter"/>
          </w:rPr>
          <w:t>70/2016</w:t>
        </w:r>
      </w:hyperlink>
      <w:r w:rsidRPr="00924F59">
        <w:rPr>
          <w:rStyle w:val="TextoNormalCaracter"/>
        </w:rPr>
        <w:t xml:space="preserve">, f. 2; </w:t>
      </w:r>
      <w:hyperlink w:anchor="SENTENCIA_2016_96" w:history="1">
        <w:r w:rsidRPr="00924F59">
          <w:rPr>
            <w:rStyle w:val="TextoNormalCaracter"/>
          </w:rPr>
          <w:t>96/2016</w:t>
        </w:r>
      </w:hyperlink>
      <w:r w:rsidRPr="00924F59">
        <w:rPr>
          <w:rStyle w:val="TextoNormalCaracter"/>
        </w:rPr>
        <w:t xml:space="preserve">, f. 2 c); </w:t>
      </w:r>
      <w:hyperlink w:anchor="SENTENCIA_2016_118" w:history="1">
        <w:r w:rsidRPr="00924F59">
          <w:rPr>
            <w:rStyle w:val="TextoNormalCaracter"/>
          </w:rPr>
          <w:t>118/2016</w:t>
        </w:r>
      </w:hyperlink>
      <w:r w:rsidRPr="00924F59">
        <w:rPr>
          <w:rStyle w:val="TextoNormalCaracter"/>
        </w:rPr>
        <w:t>, ff. 1 c), 3 g).</w:t>
      </w:r>
    </w:p>
    <w:p w:rsidR="00924F59" w:rsidRPr="00924F59" w:rsidRDefault="00924F59" w:rsidP="00924F59">
      <w:pPr>
        <w:pStyle w:val="TextoNormalSangraFrancesa"/>
        <w:rPr>
          <w:rStyle w:val="TextoNormalCaracter"/>
        </w:rPr>
      </w:pPr>
      <w:bookmarkStart w:id="1537" w:name="DESCRIPTORALFABETICO307"/>
      <w:r w:rsidRPr="00924F59">
        <w:rPr>
          <w:rStyle w:val="TextoNormalNegritaCaracter"/>
        </w:rPr>
        <w:t>Fundamentación imprecisa</w:t>
      </w:r>
      <w:bookmarkEnd w:id="1537"/>
      <w:r w:rsidRPr="00924F59">
        <w:rPr>
          <w:rStyle w:val="TextoNormalCaracter"/>
        </w:rPr>
        <w:t xml:space="preserve">, Sentencia </w:t>
      </w:r>
      <w:hyperlink w:anchor="SENTENCIA_2016_85" w:history="1">
        <w:r w:rsidRPr="00924F59">
          <w:rPr>
            <w:rStyle w:val="TextoNormalCaracter"/>
          </w:rPr>
          <w:t>85/2016</w:t>
        </w:r>
      </w:hyperlink>
      <w:r w:rsidRPr="00924F59">
        <w:rPr>
          <w:rStyle w:val="TextoNormalCaracter"/>
        </w:rPr>
        <w:t>, f. 2.</w:t>
      </w:r>
    </w:p>
    <w:p w:rsidR="00924F59" w:rsidRPr="00924F59" w:rsidRDefault="00924F59" w:rsidP="00924F59">
      <w:pPr>
        <w:pStyle w:val="TextoNormalSangraFrancesa"/>
        <w:rPr>
          <w:rStyle w:val="TextoNormalCaracter"/>
        </w:rPr>
      </w:pPr>
      <w:bookmarkStart w:id="1538" w:name="DESCRIPTORALFABETICO464"/>
      <w:r w:rsidRPr="00924F59">
        <w:rPr>
          <w:rStyle w:val="TextoNormalNegritaCaracter"/>
        </w:rPr>
        <w:t>Fusión de municipios</w:t>
      </w:r>
      <w:bookmarkEnd w:id="1538"/>
      <w:r w:rsidRPr="00924F59">
        <w:rPr>
          <w:rStyle w:val="TextoNormalCaracter"/>
        </w:rPr>
        <w:t xml:space="preserve">, Sentencias </w:t>
      </w:r>
      <w:hyperlink w:anchor="SENTENCIA_2016_41" w:history="1">
        <w:r w:rsidRPr="00924F59">
          <w:rPr>
            <w:rStyle w:val="TextoNormalCaracter"/>
          </w:rPr>
          <w:t>41/2016</w:t>
        </w:r>
      </w:hyperlink>
      <w:r w:rsidRPr="00924F59">
        <w:rPr>
          <w:rStyle w:val="TextoNormalCaracter"/>
        </w:rPr>
        <w:t xml:space="preserve">, ff. 5, 6; </w:t>
      </w:r>
      <w:hyperlink w:anchor="SENTENCIA_2016_102" w:history="1">
        <w:r w:rsidRPr="00924F59">
          <w:rPr>
            <w:rStyle w:val="TextoNormalCaracter"/>
          </w:rPr>
          <w:t>102/2016</w:t>
        </w:r>
      </w:hyperlink>
      <w:r w:rsidRPr="00924F59">
        <w:rPr>
          <w:rStyle w:val="TextoNormalCaracter"/>
        </w:rPr>
        <w:t xml:space="preserve">, ff. 1, 3; </w:t>
      </w:r>
      <w:hyperlink w:anchor="SENTENCIA_2016_116" w:history="1">
        <w:r w:rsidRPr="00924F59">
          <w:rPr>
            <w:rStyle w:val="TextoNormalCaracter"/>
          </w:rPr>
          <w:t>116/2016</w:t>
        </w:r>
      </w:hyperlink>
      <w:r w:rsidRPr="00924F59">
        <w:rPr>
          <w:rStyle w:val="TextoNormalCaracter"/>
        </w:rPr>
        <w:t>, f. 1.</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G</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539" w:name="DESCRIPTORALFABETICO865"/>
      <w:r w:rsidRPr="00924F59">
        <w:rPr>
          <w:rStyle w:val="TextoNormalNegritaCaracter"/>
        </w:rPr>
        <w:t>Galicia</w:t>
      </w:r>
      <w:bookmarkEnd w:id="1539"/>
      <w:r w:rsidRPr="00924F59">
        <w:rPr>
          <w:rStyle w:val="TextoNormalCaracter"/>
        </w:rPr>
        <w:t xml:space="preserve">, Sentencias </w:t>
      </w:r>
      <w:hyperlink w:anchor="SENTENCIA_2016_8" w:history="1">
        <w:r w:rsidRPr="00924F59">
          <w:rPr>
            <w:rStyle w:val="TextoNormalCaracter"/>
          </w:rPr>
          <w:t>8/2016</w:t>
        </w:r>
      </w:hyperlink>
      <w:r w:rsidRPr="00924F59">
        <w:rPr>
          <w:rStyle w:val="TextoNormalCaracter"/>
        </w:rPr>
        <w:t xml:space="preserve">, f. 1; </w:t>
      </w:r>
      <w:hyperlink w:anchor="SENTENCIA_2016_33" w:history="1">
        <w:r w:rsidRPr="00924F59">
          <w:rPr>
            <w:rStyle w:val="TextoNormalCaracter"/>
          </w:rPr>
          <w:t>33/2016</w:t>
        </w:r>
      </w:hyperlink>
      <w:r w:rsidRPr="00924F59">
        <w:rPr>
          <w:rStyle w:val="TextoNormalCaracter"/>
        </w:rPr>
        <w:t xml:space="preserve">, f. 1; </w:t>
      </w:r>
      <w:hyperlink w:anchor="SENTENCIA_2016_102" w:history="1">
        <w:r w:rsidRPr="00924F59">
          <w:rPr>
            <w:rStyle w:val="TextoNormalCaracter"/>
          </w:rPr>
          <w:t>102/2016</w:t>
        </w:r>
      </w:hyperlink>
      <w:r w:rsidRPr="00924F59">
        <w:rPr>
          <w:rStyle w:val="TextoNormalCaracter"/>
        </w:rPr>
        <w:t>, ff. 1 a 6.</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84" w:history="1">
        <w:r w:rsidRPr="00924F59">
          <w:rPr>
            <w:rStyle w:val="TextoNormalCaracter"/>
          </w:rPr>
          <w:t>84/2016</w:t>
        </w:r>
      </w:hyperlink>
      <w:r w:rsidRPr="00924F59">
        <w:rPr>
          <w:rStyle w:val="TextoNormalCaracter"/>
        </w:rPr>
        <w:t>, f. 1.</w:t>
      </w:r>
    </w:p>
    <w:p w:rsidR="00924F59" w:rsidRPr="00924F59" w:rsidRDefault="00924F59" w:rsidP="00924F59">
      <w:pPr>
        <w:pStyle w:val="TextoNormalSangraFrancesa"/>
        <w:rPr>
          <w:rStyle w:val="TextoNormalCaracter"/>
        </w:rPr>
      </w:pPr>
      <w:bookmarkStart w:id="1540" w:name="DESCRIPTORALFABETICO434"/>
      <w:r w:rsidRPr="00924F59">
        <w:rPr>
          <w:rStyle w:val="TextoNormalNegritaCaracter"/>
        </w:rPr>
        <w:t>Garantía institucional de la foralidad</w:t>
      </w:r>
      <w:bookmarkEnd w:id="1540"/>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ff. 1 a 4.</w:t>
      </w:r>
    </w:p>
    <w:p w:rsidR="00924F59" w:rsidRPr="00924F59" w:rsidRDefault="00924F59" w:rsidP="00924F59">
      <w:pPr>
        <w:pStyle w:val="TextoNormalSangraFrancesa"/>
        <w:rPr>
          <w:rStyle w:val="TextoNormalCaracter"/>
        </w:rPr>
      </w:pPr>
      <w:bookmarkStart w:id="1541" w:name="DESCRIPTORALFABETICO156"/>
      <w:r w:rsidRPr="00924F59">
        <w:rPr>
          <w:rStyle w:val="TextoNormalNegritaCaracter"/>
        </w:rPr>
        <w:t>Garantías en el procedimiento de internamiento psiquiátrico</w:t>
      </w:r>
      <w:bookmarkEnd w:id="1541"/>
      <w:r w:rsidRPr="00924F59">
        <w:rPr>
          <w:rStyle w:val="TextoNormalCaracter"/>
        </w:rPr>
        <w:t xml:space="preserve">, Sentencias </w:t>
      </w:r>
      <w:hyperlink w:anchor="SENTENCIA_2016_13" w:history="1">
        <w:r w:rsidRPr="00924F59">
          <w:rPr>
            <w:rStyle w:val="TextoNormalCaracter"/>
          </w:rPr>
          <w:t>13/2016</w:t>
        </w:r>
      </w:hyperlink>
      <w:r w:rsidRPr="00924F59">
        <w:rPr>
          <w:rStyle w:val="TextoNormalCaracter"/>
        </w:rPr>
        <w:t xml:space="preserve">, ff. 3, 4; </w:t>
      </w:r>
      <w:hyperlink w:anchor="SENTENCIA_2016_34" w:history="1">
        <w:r w:rsidRPr="00924F59">
          <w:rPr>
            <w:rStyle w:val="TextoNormalCaracter"/>
          </w:rPr>
          <w:t>34/2016</w:t>
        </w:r>
      </w:hyperlink>
      <w:r w:rsidRPr="00924F59">
        <w:rPr>
          <w:rStyle w:val="TextoNormalCaracter"/>
        </w:rPr>
        <w:t>, ff. 2 a 7.</w:t>
      </w:r>
    </w:p>
    <w:p w:rsidR="00924F59" w:rsidRPr="00924F59" w:rsidRDefault="00924F59" w:rsidP="00924F59">
      <w:pPr>
        <w:pStyle w:val="TextoNormalSangraFrancesa"/>
        <w:rPr>
          <w:rStyle w:val="TextoNormalCaracter"/>
        </w:rPr>
      </w:pPr>
      <w:bookmarkStart w:id="1542" w:name="DESCRIPTORALFABETICO168"/>
      <w:r w:rsidRPr="00924F59">
        <w:rPr>
          <w:rStyle w:val="TextoNormalNegritaCaracter"/>
        </w:rPr>
        <w:t>Garantías frente al uso de la informática</w:t>
      </w:r>
      <w:bookmarkEnd w:id="1542"/>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3, 4, VP I, VP II.</w:t>
      </w:r>
    </w:p>
    <w:p w:rsidR="00924F59" w:rsidRPr="00924F59" w:rsidRDefault="00924F59" w:rsidP="00924F59">
      <w:pPr>
        <w:pStyle w:val="TextoNormalSangraFrancesa"/>
        <w:rPr>
          <w:rStyle w:val="TextoNormalCaracter"/>
        </w:rPr>
      </w:pPr>
      <w:bookmarkStart w:id="1543" w:name="DESCRIPTORALFABETICO219"/>
      <w:r w:rsidRPr="00924F59">
        <w:rPr>
          <w:rStyle w:val="TextoNormalNegritaCaracter"/>
        </w:rPr>
        <w:t>Garantías para la restricción de derechos fundamentales</w:t>
      </w:r>
      <w:bookmarkEnd w:id="1543"/>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3 a 5, VP I.</w:t>
      </w:r>
    </w:p>
    <w:p w:rsidR="00924F59" w:rsidRPr="00924F59" w:rsidRDefault="00924F59" w:rsidP="00924F59">
      <w:pPr>
        <w:pStyle w:val="TextoNormalSangraFrancesa"/>
        <w:rPr>
          <w:rStyle w:val="TextoNormalCaracter"/>
        </w:rPr>
      </w:pPr>
      <w:bookmarkStart w:id="1544" w:name="DESCRIPTORALFABETICO72"/>
      <w:r w:rsidRPr="00924F59">
        <w:rPr>
          <w:rStyle w:val="TextoNormalNegritaCaracter"/>
        </w:rPr>
        <w:t>Gasto público</w:t>
      </w:r>
      <w:bookmarkEnd w:id="1544"/>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6; </w:t>
      </w:r>
      <w:hyperlink w:anchor="SENTENCIA_2016_101" w:history="1">
        <w:r w:rsidRPr="00924F59">
          <w:rPr>
            <w:rStyle w:val="TextoNormalCaracter"/>
          </w:rPr>
          <w:t>101/2016</w:t>
        </w:r>
      </w:hyperlink>
      <w:r w:rsidRPr="00924F59">
        <w:rPr>
          <w:rStyle w:val="TextoNormalCaracter"/>
        </w:rPr>
        <w:t>, ff. 3, 4, 6 a 8, VP I, VP III.</w:t>
      </w:r>
    </w:p>
    <w:p w:rsidR="00924F59" w:rsidRPr="00924F59" w:rsidRDefault="00924F59" w:rsidP="00924F59">
      <w:pPr>
        <w:pStyle w:val="TextoNormalSangraFrancesa"/>
        <w:rPr>
          <w:rStyle w:val="TextoNormalCaracter"/>
        </w:rPr>
      </w:pPr>
      <w:bookmarkStart w:id="1545" w:name="DESCRIPTORALFABETICO21"/>
      <w:r w:rsidRPr="00924F59">
        <w:rPr>
          <w:rStyle w:val="TextoNormalNegritaCaracter"/>
        </w:rPr>
        <w:t>Gestión centralizada de competencias de ejecución</w:t>
      </w:r>
      <w:bookmarkEnd w:id="1545"/>
      <w:r w:rsidRPr="00924F59">
        <w:rPr>
          <w:rStyle w:val="TextoNormalCaracter"/>
        </w:rPr>
        <w:t xml:space="preserve">, Sentencia </w:t>
      </w:r>
      <w:hyperlink w:anchor="SENTENCIA_2016_95" w:history="1">
        <w:r w:rsidRPr="00924F59">
          <w:rPr>
            <w:rStyle w:val="TextoNormalCaracter"/>
          </w:rPr>
          <w:t>95/2016</w:t>
        </w:r>
      </w:hyperlink>
      <w:r w:rsidRPr="00924F59">
        <w:rPr>
          <w:rStyle w:val="TextoNormalCaracter"/>
        </w:rPr>
        <w:t>, f. 5.</w:t>
      </w:r>
    </w:p>
    <w:p w:rsidR="00924F59" w:rsidRPr="00924F59" w:rsidRDefault="00924F59" w:rsidP="00924F59">
      <w:pPr>
        <w:pStyle w:val="TextoNormalSangraFrancesa"/>
        <w:rPr>
          <w:rStyle w:val="TextoNormalCaracter"/>
        </w:rPr>
      </w:pPr>
      <w:bookmarkStart w:id="1546" w:name="DESCRIPTORALFABETICO750"/>
      <w:r w:rsidRPr="00924F59">
        <w:rPr>
          <w:rStyle w:val="TextoNormalNegritaCaracter"/>
        </w:rPr>
        <w:t>Gestión de la Seguridad Social</w:t>
      </w:r>
      <w:bookmarkEnd w:id="1546"/>
      <w:r w:rsidRPr="00924F59">
        <w:rPr>
          <w:rStyle w:val="TextoNormalCaracter"/>
        </w:rPr>
        <w:t xml:space="preserve">, Sentencia </w:t>
      </w:r>
      <w:hyperlink w:anchor="SENTENCIA_2016_7" w:history="1">
        <w:r w:rsidRPr="00924F59">
          <w:rPr>
            <w:rStyle w:val="TextoNormalCaracter"/>
          </w:rPr>
          <w:t>7/2016</w:t>
        </w:r>
      </w:hyperlink>
      <w:r w:rsidRPr="00924F59">
        <w:rPr>
          <w:rStyle w:val="TextoNormalCaracter"/>
        </w:rPr>
        <w:t>, f. 3.</w:t>
      </w:r>
    </w:p>
    <w:p w:rsidR="00924F59" w:rsidRPr="00924F59" w:rsidRDefault="00924F59" w:rsidP="00924F59">
      <w:pPr>
        <w:pStyle w:val="TextoNormalSangraFrancesa"/>
        <w:rPr>
          <w:rStyle w:val="TextoNormalCaracter"/>
        </w:rPr>
      </w:pPr>
      <w:bookmarkStart w:id="1547" w:name="DESCRIPTORALFABETICO513"/>
      <w:r w:rsidRPr="00924F59">
        <w:rPr>
          <w:rStyle w:val="TextoNormalNegritaCaracter"/>
        </w:rPr>
        <w:t>Gestión directa de servicios públicos</w:t>
      </w:r>
      <w:bookmarkEnd w:id="1547"/>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14.</w:t>
      </w:r>
    </w:p>
    <w:p w:rsidR="00924F59" w:rsidRPr="00924F59" w:rsidRDefault="00924F59" w:rsidP="00924F59">
      <w:pPr>
        <w:pStyle w:val="TextoNormalSangraFrancesa"/>
        <w:rPr>
          <w:rStyle w:val="TextoNormalCaracter"/>
        </w:rPr>
      </w:pPr>
      <w:bookmarkStart w:id="1548" w:name="DESCRIPTORALFABETICO592"/>
      <w:r w:rsidRPr="00924F59">
        <w:rPr>
          <w:rStyle w:val="TextoNormalNegritaCaracter"/>
        </w:rPr>
        <w:t>Gestión estatal de subvenciones públicas</w:t>
      </w:r>
      <w:bookmarkEnd w:id="1548"/>
      <w:r w:rsidRPr="00924F59">
        <w:rPr>
          <w:rStyle w:val="TextoNormalCaracter"/>
        </w:rPr>
        <w:t xml:space="preserve">, Sentencia </w:t>
      </w:r>
      <w:hyperlink w:anchor="SENTENCIA_2016_87" w:history="1">
        <w:r w:rsidRPr="00924F59">
          <w:rPr>
            <w:rStyle w:val="TextoNormalCaracter"/>
          </w:rPr>
          <w:t>87/2016</w:t>
        </w:r>
      </w:hyperlink>
      <w:r w:rsidRPr="00924F59">
        <w:rPr>
          <w:rStyle w:val="TextoNormalCaracter"/>
        </w:rPr>
        <w:t>, ff. 6, 7.</w:t>
      </w:r>
    </w:p>
    <w:p w:rsidR="00924F59" w:rsidRPr="00924F59" w:rsidRDefault="00924F59" w:rsidP="00924F59">
      <w:pPr>
        <w:pStyle w:val="TextoNormalSangraFrancesa"/>
        <w:rPr>
          <w:rStyle w:val="TextoNormalCaracter"/>
        </w:rPr>
      </w:pPr>
      <w:bookmarkStart w:id="1549" w:name="DESCRIPTORALFABETICO108"/>
      <w:r w:rsidRPr="00924F59">
        <w:rPr>
          <w:rStyle w:val="TextoNormalNegritaCaracter"/>
        </w:rPr>
        <w:t>Gestión tributaria de las Comunidades Autónomas</w:t>
      </w:r>
      <w:bookmarkEnd w:id="1549"/>
      <w:r w:rsidRPr="00924F59">
        <w:rPr>
          <w:rStyle w:val="TextoNormalCaracter"/>
        </w:rPr>
        <w:t xml:space="preserve">, Sentencia </w:t>
      </w:r>
      <w:hyperlink w:anchor="SENTENCIA_2016_25" w:history="1">
        <w:r w:rsidRPr="00924F59">
          <w:rPr>
            <w:rStyle w:val="TextoNormalCaracter"/>
          </w:rPr>
          <w:t>25/2016</w:t>
        </w:r>
      </w:hyperlink>
      <w:r w:rsidRPr="00924F59">
        <w:rPr>
          <w:rStyle w:val="TextoNormalCaracter"/>
        </w:rPr>
        <w:t>, ff. 1 a 4.</w:t>
      </w:r>
    </w:p>
    <w:p w:rsidR="00924F59" w:rsidRPr="00924F59" w:rsidRDefault="00924F59" w:rsidP="00924F59">
      <w:pPr>
        <w:pStyle w:val="TextoNormalSangraFrancesa"/>
        <w:rPr>
          <w:rStyle w:val="TextoNormalCaracter"/>
        </w:rPr>
      </w:pPr>
      <w:bookmarkStart w:id="1550" w:name="DESCRIPTORALFABETICO388"/>
      <w:r w:rsidRPr="00924F59">
        <w:rPr>
          <w:rStyle w:val="TextoNormalNegritaCaracter"/>
        </w:rPr>
        <w:t>Grupos parlamentarios</w:t>
      </w:r>
      <w:bookmarkEnd w:id="1550"/>
      <w:r w:rsidRPr="00924F59">
        <w:rPr>
          <w:rStyle w:val="TextoNormalCaracter"/>
        </w:rPr>
        <w:t xml:space="preserve">, Sentencias </w:t>
      </w:r>
      <w:hyperlink w:anchor="SENTENCIA_2016_107" w:history="1">
        <w:r w:rsidRPr="00924F59">
          <w:rPr>
            <w:rStyle w:val="TextoNormalCaracter"/>
          </w:rPr>
          <w:t>107/2016</w:t>
        </w:r>
      </w:hyperlink>
      <w:r w:rsidRPr="00924F59">
        <w:rPr>
          <w:rStyle w:val="TextoNormalCaracter"/>
        </w:rPr>
        <w:t xml:space="preserve">, ff. 1, 3, 4; </w:t>
      </w:r>
      <w:hyperlink w:anchor="SENTENCIA_2016_108" w:history="1">
        <w:r w:rsidRPr="00924F59">
          <w:rPr>
            <w:rStyle w:val="TextoNormalCaracter"/>
          </w:rPr>
          <w:t>108/2016</w:t>
        </w:r>
      </w:hyperlink>
      <w:r w:rsidRPr="00924F59">
        <w:rPr>
          <w:rStyle w:val="TextoNormalCaracter"/>
        </w:rPr>
        <w:t xml:space="preserve">, ff. 1, 3, 4; </w:t>
      </w:r>
      <w:hyperlink w:anchor="SENTENCIA_2016_109" w:history="1">
        <w:r w:rsidRPr="00924F59">
          <w:rPr>
            <w:rStyle w:val="TextoNormalCaracter"/>
          </w:rPr>
          <w:t>109/2016</w:t>
        </w:r>
      </w:hyperlink>
      <w:r w:rsidRPr="00924F59">
        <w:rPr>
          <w:rStyle w:val="TextoNormalCaracter"/>
        </w:rPr>
        <w:t>, ff. 1, 2, 4 a 6.</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H</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551" w:name="DESCRIPTORALFABETICO90"/>
      <w:r w:rsidRPr="00924F59">
        <w:rPr>
          <w:rStyle w:val="TextoNormalNegritaCaracter"/>
        </w:rPr>
        <w:t>Hacienda autonómica</w:t>
      </w:r>
      <w:bookmarkEnd w:id="1551"/>
      <w:r w:rsidRPr="00924F59">
        <w:rPr>
          <w:rStyle w:val="TextoNormalCaracter"/>
        </w:rPr>
        <w:t xml:space="preserve">, Sentencia </w:t>
      </w:r>
      <w:hyperlink w:anchor="SENTENCIA_2016_101" w:history="1">
        <w:r w:rsidRPr="00924F59">
          <w:rPr>
            <w:rStyle w:val="TextoNormalCaracter"/>
          </w:rPr>
          <w:t>101/2016</w:t>
        </w:r>
      </w:hyperlink>
      <w:r w:rsidRPr="00924F59">
        <w:rPr>
          <w:rStyle w:val="TextoNormalCaracter"/>
        </w:rPr>
        <w:t>, f. 6.</w:t>
      </w:r>
    </w:p>
    <w:p w:rsidR="00924F59" w:rsidRPr="00924F59" w:rsidRDefault="00924F59" w:rsidP="00924F59">
      <w:pPr>
        <w:pStyle w:val="TextoNormalSangraFrancesa"/>
        <w:rPr>
          <w:rStyle w:val="TextoNormalCaracter"/>
        </w:rPr>
      </w:pPr>
      <w:bookmarkStart w:id="1552" w:name="DESCRIPTORALFABETICO91"/>
      <w:r w:rsidRPr="00924F59">
        <w:rPr>
          <w:rStyle w:val="TextoNormalNegritaCaracter"/>
        </w:rPr>
        <w:t>Hacienda estatal</w:t>
      </w:r>
      <w:bookmarkEnd w:id="1552"/>
      <w:r w:rsidRPr="00924F59">
        <w:rPr>
          <w:rStyle w:val="TextoNormalCaracter"/>
        </w:rPr>
        <w:t xml:space="preserve">, Sentencia </w:t>
      </w:r>
      <w:hyperlink w:anchor="SENTENCIA_2016_101" w:history="1">
        <w:r w:rsidRPr="00924F59">
          <w:rPr>
            <w:rStyle w:val="TextoNormalCaracter"/>
          </w:rPr>
          <w:t>101/2016</w:t>
        </w:r>
      </w:hyperlink>
      <w:r w:rsidRPr="00924F59">
        <w:rPr>
          <w:rStyle w:val="TextoNormalCaracter"/>
        </w:rPr>
        <w:t>, ff. 5, 6, 9, 10.</w:t>
      </w:r>
    </w:p>
    <w:p w:rsidR="00924F59" w:rsidRPr="00924F59" w:rsidRDefault="00924F59" w:rsidP="00924F59">
      <w:pPr>
        <w:pStyle w:val="TextoNormalSangraFrancesa"/>
        <w:rPr>
          <w:rStyle w:val="TextoNormalCaracter"/>
        </w:rPr>
      </w:pPr>
      <w:bookmarkStart w:id="1553" w:name="DESCRIPTORALFABETICO92"/>
      <w:r w:rsidRPr="00924F59">
        <w:rPr>
          <w:rStyle w:val="TextoNormalNegritaCaracter"/>
        </w:rPr>
        <w:t>Hacienda general</w:t>
      </w:r>
      <w:bookmarkEnd w:id="1553"/>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ff. 3, 4, 6 c), 7 c).</w:t>
      </w:r>
    </w:p>
    <w:p w:rsidR="00924F59" w:rsidRPr="00924F59" w:rsidRDefault="00924F59" w:rsidP="00924F59">
      <w:pPr>
        <w:pStyle w:val="TextoNormalSangraFrancesa"/>
        <w:rPr>
          <w:rStyle w:val="TextoNormalCaracter"/>
        </w:rPr>
      </w:pPr>
      <w:bookmarkStart w:id="1554" w:name="DESCRIPTORALFABETICO579"/>
      <w:r w:rsidRPr="00924F59">
        <w:rPr>
          <w:rStyle w:val="TextoNormalNegritaCaracter"/>
        </w:rPr>
        <w:t>Hijos</w:t>
      </w:r>
      <w:bookmarkEnd w:id="1554"/>
      <w:r w:rsidRPr="00924F59">
        <w:rPr>
          <w:rStyle w:val="TextoNormalCaracter"/>
        </w:rPr>
        <w:t xml:space="preserve">, Sentencia </w:t>
      </w:r>
      <w:hyperlink w:anchor="SENTENCIA_2016_81" w:history="1">
        <w:r w:rsidRPr="00924F59">
          <w:rPr>
            <w:rStyle w:val="TextoNormalCaracter"/>
          </w:rPr>
          <w:t>81/2016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555" w:name="DESCRIPTORALFABETICO521"/>
      <w:r w:rsidRPr="00924F59">
        <w:rPr>
          <w:rStyle w:val="TextoNormalNegritaCaracter"/>
        </w:rPr>
        <w:t>Horarios comerciales</w:t>
      </w:r>
      <w:bookmarkEnd w:id="1555"/>
      <w:r w:rsidRPr="00924F59">
        <w:rPr>
          <w:rStyle w:val="TextoNormalCaracter"/>
        </w:rPr>
        <w:t xml:space="preserve">, Sentencias </w:t>
      </w:r>
      <w:hyperlink w:anchor="SENTENCIA_2016_59" w:history="1">
        <w:r w:rsidRPr="00924F59">
          <w:rPr>
            <w:rStyle w:val="TextoNormalCaracter"/>
          </w:rPr>
          <w:t>59/2016</w:t>
        </w:r>
      </w:hyperlink>
      <w:r w:rsidRPr="00924F59">
        <w:rPr>
          <w:rStyle w:val="TextoNormalCaracter"/>
        </w:rPr>
        <w:t xml:space="preserve">, f. 4; </w:t>
      </w:r>
      <w:hyperlink w:anchor="SENTENCIA_2016_119" w:history="1">
        <w:r w:rsidRPr="00924F59">
          <w:rPr>
            <w:rStyle w:val="TextoNormalCaracter"/>
          </w:rPr>
          <w:t>119/2016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556" w:name="DESCRIPTORALFABETICO785"/>
      <w:r w:rsidRPr="00924F59">
        <w:rPr>
          <w:rStyle w:val="TextoNormalNegritaCaracter"/>
        </w:rPr>
        <w:t>Huelga general</w:t>
      </w:r>
      <w:bookmarkEnd w:id="1556"/>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 ff. 1 a 4, VP I, VP II.</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I</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557" w:name="DESCRIPTORALFABETICO535"/>
      <w:r w:rsidRPr="00924F59">
        <w:rPr>
          <w:rStyle w:val="TextoNormalNegritaCaracter"/>
        </w:rPr>
        <w:t>Identificación del conductor</w:t>
      </w:r>
      <w:bookmarkEnd w:id="1557"/>
      <w:r w:rsidRPr="00924F59">
        <w:rPr>
          <w:rStyle w:val="TextoNormalCaracter"/>
        </w:rPr>
        <w:t xml:space="preserve">, Sentencia </w:t>
      </w:r>
      <w:hyperlink w:anchor="SENTENCIA_2016_117" w:history="1">
        <w:r w:rsidRPr="00924F59">
          <w:rPr>
            <w:rStyle w:val="TextoNormalCaracter"/>
          </w:rPr>
          <w:t>117/2016</w:t>
        </w:r>
      </w:hyperlink>
      <w:r w:rsidRPr="00924F59">
        <w:rPr>
          <w:rStyle w:val="TextoNormalCaracter"/>
        </w:rPr>
        <w:t>, ff. 1, 3 a 5.</w:t>
      </w:r>
    </w:p>
    <w:p w:rsidR="00924F59" w:rsidRPr="00924F59" w:rsidRDefault="00924F59" w:rsidP="00924F59">
      <w:pPr>
        <w:pStyle w:val="TextoNormalSangraFrancesa"/>
        <w:rPr>
          <w:rStyle w:val="TextoNormalCaracter"/>
        </w:rPr>
      </w:pPr>
      <w:bookmarkStart w:id="1558" w:name="DESCRIPTORALFABETICO142"/>
      <w:r w:rsidRPr="00924F59">
        <w:rPr>
          <w:rStyle w:val="TextoNormalNegritaCaracter"/>
        </w:rPr>
        <w:t>Igualdad ante la ley</w:t>
      </w:r>
      <w:bookmarkEnd w:id="1558"/>
      <w:r w:rsidRPr="00924F59">
        <w:rPr>
          <w:rStyle w:val="TextoNormalCaracter"/>
        </w:rPr>
        <w:t xml:space="preserve">, Sentencia </w:t>
      </w:r>
      <w:hyperlink w:anchor="SENTENCIA_2016_81" w:history="1">
        <w:r w:rsidRPr="00924F59">
          <w:rPr>
            <w:rStyle w:val="TextoNormalCaracter"/>
          </w:rPr>
          <w:t>81/2016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559" w:name="DESCRIPTORALFABETICO123"/>
      <w:r w:rsidRPr="00924F59">
        <w:rPr>
          <w:rStyle w:val="TextoNormalNegritaCaracter"/>
        </w:rPr>
        <w:t>Igualdad en el acceso a la función pública</w:t>
      </w:r>
      <w:bookmarkEnd w:id="1559"/>
      <w:r w:rsidRPr="00924F59">
        <w:rPr>
          <w:rStyle w:val="TextoNormalCaracter"/>
        </w:rPr>
        <w:t xml:space="preserve">, Sentencia </w:t>
      </w:r>
      <w:hyperlink w:anchor="SENTENCIA_2016_86" w:history="1">
        <w:r w:rsidRPr="00924F59">
          <w:rPr>
            <w:rStyle w:val="TextoNormalCaracter"/>
          </w:rPr>
          <w:t>86/2016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560" w:name="DESCRIPTORALFABETICO126"/>
      <w:r w:rsidRPr="00924F59">
        <w:rPr>
          <w:rStyle w:val="TextoNormalNegritaCaracter"/>
        </w:rPr>
        <w:t>Igualdad en el ejercicio de cargos públicos</w:t>
      </w:r>
      <w:bookmarkEnd w:id="1560"/>
      <w:r w:rsidRPr="00924F59">
        <w:rPr>
          <w:rStyle w:val="TextoNormalCaracter"/>
        </w:rPr>
        <w:t xml:space="preserve">, Sentencia </w:t>
      </w:r>
      <w:hyperlink w:anchor="SENTENCIA_2016_71" w:history="1">
        <w:r w:rsidRPr="00924F59">
          <w:rPr>
            <w:rStyle w:val="TextoNormalCaracter"/>
          </w:rPr>
          <w:t>71/2016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561" w:name="DESCRIPTORALFABETICO412"/>
      <w:r w:rsidRPr="00924F59">
        <w:rPr>
          <w:rStyle w:val="TextoNormalNegritaCaracter"/>
        </w:rPr>
        <w:t>Igualdad tributaria</w:t>
      </w:r>
      <w:bookmarkEnd w:id="1561"/>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ff. 2, 4, VP.</w:t>
      </w:r>
    </w:p>
    <w:p w:rsidR="00924F59" w:rsidRPr="00924F59" w:rsidRDefault="00924F59" w:rsidP="00924F59">
      <w:pPr>
        <w:pStyle w:val="TextoNormalSangraFrancesa"/>
        <w:rPr>
          <w:rStyle w:val="TextoNormalCaracter"/>
        </w:rPr>
      </w:pPr>
      <w:bookmarkStart w:id="1562" w:name="DESCRIPTORALFABETICO413"/>
      <w:r w:rsidRPr="00924F59">
        <w:rPr>
          <w:rStyle w:val="TextoNormalNegritaCaracter"/>
        </w:rPr>
        <w:t xml:space="preserve">Igualdad tributaria </w:t>
      </w:r>
      <w:r w:rsidRPr="00924F59">
        <w:rPr>
          <w:rStyle w:val="TextoNormalNegritaCaracter"/>
          <w:i/>
        </w:rPr>
        <w:t>versus</w:t>
      </w:r>
      <w:r w:rsidRPr="00924F59">
        <w:rPr>
          <w:rStyle w:val="TextoNormalNegritaCaracter"/>
        </w:rPr>
        <w:t xml:space="preserve"> derecho a la igualdad</w:t>
      </w:r>
      <w:bookmarkEnd w:id="1562"/>
      <w:r w:rsidRPr="00924F59">
        <w:rPr>
          <w:rStyle w:val="TextoNormalCaracter"/>
        </w:rPr>
        <w:t xml:space="preserve">, Sentencia </w:t>
      </w:r>
      <w:hyperlink w:anchor="SENTENCIA_2016_3" w:history="1">
        <w:r w:rsidRPr="00924F59">
          <w:rPr>
            <w:rStyle w:val="TextoNormalCaracter"/>
          </w:rPr>
          <w:t>3/2016</w:t>
        </w:r>
      </w:hyperlink>
      <w:r w:rsidRPr="00924F59">
        <w:rPr>
          <w:rStyle w:val="TextoNormalCaracter"/>
        </w:rPr>
        <w:t>, f. 3.</w:t>
      </w:r>
    </w:p>
    <w:p w:rsidR="00924F59" w:rsidRPr="00924F59" w:rsidRDefault="00924F59" w:rsidP="00924F59">
      <w:pPr>
        <w:pStyle w:val="TextoNormalSangraFrancesa"/>
        <w:rPr>
          <w:rStyle w:val="TextoNormalCaracter"/>
        </w:rPr>
      </w:pPr>
      <w:bookmarkStart w:id="1563" w:name="DESCRIPTORALFABETICO740"/>
      <w:r w:rsidRPr="00924F59">
        <w:rPr>
          <w:rStyle w:val="TextoNormalNegritaCaracter"/>
        </w:rPr>
        <w:t>Ilícito civil</w:t>
      </w:r>
      <w:bookmarkEnd w:id="1563"/>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 ff. 1 a 4, VP I, VP II.</w:t>
      </w:r>
    </w:p>
    <w:p w:rsidR="00924F59" w:rsidRPr="00924F59" w:rsidRDefault="00924F59" w:rsidP="00924F59">
      <w:pPr>
        <w:pStyle w:val="TextoNormalSangraFrancesa"/>
        <w:rPr>
          <w:rStyle w:val="TextoNormalCaracter"/>
        </w:rPr>
      </w:pPr>
      <w:bookmarkStart w:id="1564" w:name="DESCRIPTORALFABETICO405"/>
      <w:r w:rsidRPr="00924F59">
        <w:rPr>
          <w:rStyle w:val="TextoNormalNegritaCaracter"/>
        </w:rPr>
        <w:t>Imposición extemporánea de sanción parlamentaria</w:t>
      </w:r>
      <w:bookmarkEnd w:id="1564"/>
      <w:r w:rsidRPr="00924F59">
        <w:rPr>
          <w:rStyle w:val="TextoNormalCaracter"/>
        </w:rPr>
        <w:t xml:space="preserve">, Sentencia </w:t>
      </w:r>
      <w:hyperlink w:anchor="SENTENCIA_2016_78" w:history="1">
        <w:r w:rsidRPr="00924F59">
          <w:rPr>
            <w:rStyle w:val="TextoNormalCaracter"/>
          </w:rPr>
          <w:t>78/2016</w:t>
        </w:r>
      </w:hyperlink>
      <w:r w:rsidRPr="00924F59">
        <w:rPr>
          <w:rStyle w:val="TextoNormalCaracter"/>
        </w:rPr>
        <w:t>, f. 6.</w:t>
      </w:r>
    </w:p>
    <w:p w:rsidR="00924F59" w:rsidRPr="00924F59" w:rsidRDefault="00924F59" w:rsidP="00924F59">
      <w:pPr>
        <w:pStyle w:val="TextoNormalSangraFrancesa"/>
        <w:rPr>
          <w:rStyle w:val="TextoNormalCaracter"/>
        </w:rPr>
      </w:pPr>
      <w:bookmarkStart w:id="1565" w:name="DESCRIPTORALFABETICO113"/>
      <w:r w:rsidRPr="00924F59">
        <w:rPr>
          <w:rStyle w:val="TextoNormalNegritaCaracter"/>
        </w:rPr>
        <w:t>Impuesto sobre actividades que incidan en el medio ambiente</w:t>
      </w:r>
      <w:bookmarkEnd w:id="1565"/>
      <w:r w:rsidRPr="00924F59">
        <w:rPr>
          <w:rStyle w:val="TextoNormalCaracter"/>
        </w:rPr>
        <w:t xml:space="preserve">, Auto </w:t>
      </w:r>
      <w:hyperlink w:anchor="AUTO_2016_84" w:history="1">
        <w:r w:rsidRPr="00924F59">
          <w:rPr>
            <w:rStyle w:val="TextoNormalCaracter"/>
          </w:rPr>
          <w:t>84/2016</w:t>
        </w:r>
      </w:hyperlink>
      <w:r w:rsidRPr="00924F59">
        <w:rPr>
          <w:rStyle w:val="TextoNormalCaracter"/>
        </w:rPr>
        <w:t>, ff. 1 a 7.</w:t>
      </w:r>
    </w:p>
    <w:p w:rsidR="00924F59" w:rsidRPr="00924F59" w:rsidRDefault="00924F59" w:rsidP="00924F59">
      <w:pPr>
        <w:pStyle w:val="TextoNormalSangraFrancesa"/>
        <w:rPr>
          <w:rStyle w:val="TextoNormalCaracter"/>
        </w:rPr>
      </w:pPr>
      <w:bookmarkStart w:id="1566" w:name="DESCRIPTORALFABETICO114"/>
      <w:r w:rsidRPr="00924F59">
        <w:rPr>
          <w:rStyle w:val="TextoNormalNegritaCaracter"/>
        </w:rPr>
        <w:t>Impuesto sobre el valor añadido</w:t>
      </w:r>
      <w:bookmarkEnd w:id="1566"/>
      <w:r w:rsidRPr="00924F59">
        <w:rPr>
          <w:rStyle w:val="TextoNormalCaracter"/>
        </w:rPr>
        <w:t xml:space="preserve">, Sentencia </w:t>
      </w:r>
      <w:hyperlink w:anchor="SENTENCIA_2016_96" w:history="1">
        <w:r w:rsidRPr="00924F59">
          <w:rPr>
            <w:rStyle w:val="TextoNormalCaracter"/>
          </w:rPr>
          <w:t>96/2016</w:t>
        </w:r>
      </w:hyperlink>
      <w:r w:rsidRPr="00924F59">
        <w:rPr>
          <w:rStyle w:val="TextoNormalCaracter"/>
        </w:rPr>
        <w:t>, f. 4 c).</w:t>
      </w:r>
    </w:p>
    <w:p w:rsidR="00924F59" w:rsidRPr="00924F59" w:rsidRDefault="00924F59" w:rsidP="00924F59">
      <w:pPr>
        <w:pStyle w:val="TextoNormalSangraFrancesa"/>
        <w:rPr>
          <w:rStyle w:val="TextoNormalCaracter"/>
        </w:rPr>
      </w:pPr>
      <w:bookmarkStart w:id="1567" w:name="DESCRIPTORALFABETICO115"/>
      <w:r w:rsidRPr="00924F59">
        <w:rPr>
          <w:rStyle w:val="TextoNormalNegritaCaracter"/>
        </w:rPr>
        <w:t>Impuesto sobre la renta de las personas físicas</w:t>
      </w:r>
      <w:bookmarkEnd w:id="1567"/>
      <w:r w:rsidRPr="00924F59">
        <w:rPr>
          <w:rStyle w:val="TextoNormalCaracter"/>
        </w:rPr>
        <w:t xml:space="preserve">, Sentencias </w:t>
      </w:r>
      <w:hyperlink w:anchor="SENTENCIA_2016_3" w:history="1">
        <w:r w:rsidRPr="00924F59">
          <w:rPr>
            <w:rStyle w:val="TextoNormalCaracter"/>
          </w:rPr>
          <w:t>3/2016</w:t>
        </w:r>
      </w:hyperlink>
      <w:r w:rsidRPr="00924F59">
        <w:rPr>
          <w:rStyle w:val="TextoNormalCaracter"/>
        </w:rPr>
        <w:t xml:space="preserve">, f. 1; </w:t>
      </w:r>
      <w:hyperlink w:anchor="SENTENCIA_2016_121" w:history="1">
        <w:r w:rsidRPr="00924F59">
          <w:rPr>
            <w:rStyle w:val="TextoNormalCaracter"/>
          </w:rPr>
          <w:t>121/2016</w:t>
        </w:r>
      </w:hyperlink>
      <w:r w:rsidRPr="00924F59">
        <w:rPr>
          <w:rStyle w:val="TextoNormalCaracter"/>
        </w:rPr>
        <w:t>, ff. 2 a 6.</w:t>
      </w:r>
    </w:p>
    <w:p w:rsidR="00924F59" w:rsidRPr="00924F59" w:rsidRDefault="00924F59" w:rsidP="00924F59">
      <w:pPr>
        <w:pStyle w:val="TextoNormalSangraFrancesa"/>
        <w:rPr>
          <w:rStyle w:val="TextoNormalCaracter"/>
        </w:rPr>
      </w:pPr>
      <w:bookmarkStart w:id="1568" w:name="DESCRIPTORALFABETICO117"/>
      <w:r w:rsidRPr="00924F59">
        <w:rPr>
          <w:rStyle w:val="TextoNormalNegritaCaracter"/>
        </w:rPr>
        <w:t>Impuesto sobre sucesiones y donaciones</w:t>
      </w:r>
      <w:bookmarkEnd w:id="1568"/>
      <w:r w:rsidRPr="00924F59">
        <w:rPr>
          <w:rStyle w:val="TextoNormalCaracter"/>
        </w:rPr>
        <w:t xml:space="preserve">, Sentencias </w:t>
      </w:r>
      <w:hyperlink w:anchor="SENTENCIA_2016_25" w:history="1">
        <w:r w:rsidRPr="00924F59">
          <w:rPr>
            <w:rStyle w:val="TextoNormalCaracter"/>
          </w:rPr>
          <w:t>25/2016</w:t>
        </w:r>
      </w:hyperlink>
      <w:r w:rsidRPr="00924F59">
        <w:rPr>
          <w:rStyle w:val="TextoNormalCaracter"/>
        </w:rPr>
        <w:t xml:space="preserve">, f. 1; </w:t>
      </w:r>
      <w:hyperlink w:anchor="SENTENCIA_2016_33" w:history="1">
        <w:r w:rsidRPr="00924F59">
          <w:rPr>
            <w:rStyle w:val="TextoNormalCaracter"/>
          </w:rPr>
          <w:t>33/2016</w:t>
        </w:r>
      </w:hyperlink>
      <w:r w:rsidRPr="00924F59">
        <w:rPr>
          <w:rStyle w:val="TextoNormalCaracter"/>
        </w:rPr>
        <w:t>, ff. 2, 5.</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ff. 1 a 4, VP.</w:t>
      </w:r>
    </w:p>
    <w:p w:rsidR="00924F59" w:rsidRPr="00924F59" w:rsidRDefault="00924F59" w:rsidP="00924F59">
      <w:pPr>
        <w:pStyle w:val="TextoNormalSangraFrancesa"/>
        <w:rPr>
          <w:rStyle w:val="TextoNormalCaracter"/>
        </w:rPr>
      </w:pPr>
      <w:bookmarkStart w:id="1569" w:name="DESCRIPTORALFABETICO118"/>
      <w:r w:rsidRPr="00924F59">
        <w:rPr>
          <w:rStyle w:val="TextoNormalNegritaCaracter"/>
        </w:rPr>
        <w:t>Impuesto sobre transmisiones patrimoniales y actos jurídicos documentados</w:t>
      </w:r>
      <w:bookmarkEnd w:id="1569"/>
      <w:r w:rsidRPr="00924F59">
        <w:rPr>
          <w:rStyle w:val="TextoNormalCaracter"/>
        </w:rPr>
        <w:t xml:space="preserve">, Sentencias </w:t>
      </w:r>
      <w:hyperlink w:anchor="SENTENCIA_2016_25" w:history="1">
        <w:r w:rsidRPr="00924F59">
          <w:rPr>
            <w:rStyle w:val="TextoNormalCaracter"/>
          </w:rPr>
          <w:t>25/2016</w:t>
        </w:r>
      </w:hyperlink>
      <w:r w:rsidRPr="00924F59">
        <w:rPr>
          <w:rStyle w:val="TextoNormalCaracter"/>
        </w:rPr>
        <w:t xml:space="preserve">, f. 1; </w:t>
      </w:r>
      <w:hyperlink w:anchor="SENTENCIA_2016_33" w:history="1">
        <w:r w:rsidRPr="00924F59">
          <w:rPr>
            <w:rStyle w:val="TextoNormalCaracter"/>
          </w:rPr>
          <w:t>33/2016</w:t>
        </w:r>
      </w:hyperlink>
      <w:r w:rsidRPr="00924F59">
        <w:rPr>
          <w:rStyle w:val="TextoNormalCaracter"/>
        </w:rPr>
        <w:t>, ff. 2, 5.</w:t>
      </w:r>
    </w:p>
    <w:p w:rsidR="00924F59" w:rsidRPr="00924F59" w:rsidRDefault="00924F59" w:rsidP="00924F59">
      <w:pPr>
        <w:pStyle w:val="TextoNormalSangraFrancesa"/>
        <w:rPr>
          <w:rStyle w:val="TextoNormalCaracter"/>
        </w:rPr>
      </w:pPr>
      <w:bookmarkStart w:id="1570" w:name="DESCRIPTORALFABETICO120"/>
      <w:r w:rsidRPr="00924F59">
        <w:rPr>
          <w:rStyle w:val="TextoNormalNegritaCaracter"/>
        </w:rPr>
        <w:t>Impuestos autonómicos</w:t>
      </w:r>
      <w:bookmarkEnd w:id="1570"/>
      <w:r w:rsidRPr="00924F59">
        <w:rPr>
          <w:rStyle w:val="TextoNormalCaracter"/>
        </w:rPr>
        <w:t xml:space="preserve">, Sentencia </w:t>
      </w:r>
      <w:hyperlink w:anchor="SENTENCIA_2016_74" w:history="1">
        <w:r w:rsidRPr="00924F59">
          <w:rPr>
            <w:rStyle w:val="TextoNormalCaracter"/>
          </w:rPr>
          <w:t>74/2016</w:t>
        </w:r>
      </w:hyperlink>
      <w:r w:rsidRPr="00924F59">
        <w:rPr>
          <w:rStyle w:val="TextoNormalCaracter"/>
        </w:rPr>
        <w:t>, ff. 1 a 4, VP.</w:t>
      </w:r>
    </w:p>
    <w:p w:rsidR="00924F59" w:rsidRPr="00924F59" w:rsidRDefault="00924F59" w:rsidP="00924F59">
      <w:pPr>
        <w:pStyle w:val="TextoNormalSangraFrancesa"/>
        <w:rPr>
          <w:rStyle w:val="TextoNormalCaracter"/>
        </w:rPr>
      </w:pPr>
      <w:bookmarkStart w:id="1571" w:name="DESCRIPTORALFABETICO119"/>
      <w:r w:rsidRPr="00924F59">
        <w:rPr>
          <w:rStyle w:val="TextoNormalNegritaCaracter"/>
        </w:rPr>
        <w:t>Impuestos especiales</w:t>
      </w:r>
      <w:bookmarkEnd w:id="1571"/>
      <w:r w:rsidRPr="00924F59">
        <w:rPr>
          <w:rStyle w:val="TextoNormalCaracter"/>
        </w:rPr>
        <w:t xml:space="preserve">, Sentencia </w:t>
      </w:r>
      <w:hyperlink w:anchor="SENTENCIA_2016_96" w:history="1">
        <w:r w:rsidRPr="00924F59">
          <w:rPr>
            <w:rStyle w:val="TextoNormalCaracter"/>
          </w:rPr>
          <w:t>96/2016</w:t>
        </w:r>
      </w:hyperlink>
      <w:r w:rsidRPr="00924F59">
        <w:rPr>
          <w:rStyle w:val="TextoNormalCaracter"/>
        </w:rPr>
        <w:t>, f. 4 c).</w:t>
      </w:r>
    </w:p>
    <w:p w:rsidR="00924F59" w:rsidRPr="00924F59" w:rsidRDefault="00924F59" w:rsidP="00924F59">
      <w:pPr>
        <w:pStyle w:val="TextoNormalSangraFrancesa"/>
        <w:rPr>
          <w:rStyle w:val="TextoNormalCaracter"/>
        </w:rPr>
      </w:pPr>
      <w:bookmarkStart w:id="1572" w:name="DESCRIPTORALFABETICO309"/>
      <w:r w:rsidRPr="00924F59">
        <w:rPr>
          <w:rStyle w:val="TextoNormalNegritaCaracter"/>
        </w:rPr>
        <w:t>Impugnación de normas de vigencia temporal</w:t>
      </w:r>
      <w:bookmarkEnd w:id="1572"/>
      <w:r w:rsidRPr="00924F59">
        <w:rPr>
          <w:rStyle w:val="TextoNormalCaracter"/>
        </w:rPr>
        <w:t xml:space="preserve">, Sentencia </w:t>
      </w:r>
      <w:hyperlink w:anchor="SENTENCIA_2016_21" w:history="1">
        <w:r w:rsidRPr="00924F59">
          <w:rPr>
            <w:rStyle w:val="TextoNormalCaracter"/>
          </w:rPr>
          <w:t>21/2016</w:t>
        </w:r>
      </w:hyperlink>
      <w:r w:rsidRPr="00924F59">
        <w:rPr>
          <w:rStyle w:val="TextoNormalCaracter"/>
        </w:rPr>
        <w:t>, ff. 1, 3.</w:t>
      </w:r>
    </w:p>
    <w:p w:rsidR="00924F59" w:rsidRPr="00924F59" w:rsidRDefault="00924F59" w:rsidP="00924F59">
      <w:pPr>
        <w:pStyle w:val="TextoNormalSangraFrancesa"/>
        <w:rPr>
          <w:rStyle w:val="TextoNormalCaracter"/>
        </w:rPr>
      </w:pPr>
      <w:bookmarkStart w:id="1573" w:name="DESCRIPTORALFABETICO310"/>
      <w:r w:rsidRPr="00924F59">
        <w:rPr>
          <w:rStyle w:val="TextoNormalNegritaCaracter"/>
        </w:rPr>
        <w:t>Impugnación de pluralidad de normas en un mismo proceso</w:t>
      </w:r>
      <w:bookmarkEnd w:id="1573"/>
      <w:r w:rsidRPr="00924F59">
        <w:rPr>
          <w:rStyle w:val="TextoNormalCaracter"/>
        </w:rPr>
        <w:t xml:space="preserve">, Auto </w:t>
      </w:r>
      <w:hyperlink w:anchor="AUTO_2016_105" w:history="1">
        <w:r w:rsidRPr="00924F59">
          <w:rPr>
            <w:rStyle w:val="TextoNormalCaracter"/>
          </w:rPr>
          <w:t>105/2016</w:t>
        </w:r>
      </w:hyperlink>
      <w:r w:rsidRPr="00924F59">
        <w:rPr>
          <w:rStyle w:val="TextoNormalCaracter"/>
        </w:rPr>
        <w:t>, f. 5.</w:t>
      </w:r>
    </w:p>
    <w:p w:rsidR="00924F59" w:rsidRPr="00924F59" w:rsidRDefault="00924F59" w:rsidP="00924F59">
      <w:pPr>
        <w:pStyle w:val="TextoNormalSangraFrancesa"/>
        <w:rPr>
          <w:rStyle w:val="TextoNormalCaracter"/>
        </w:rPr>
      </w:pPr>
      <w:bookmarkStart w:id="1574" w:name="DESCRIPTORALFABETICO253"/>
      <w:r w:rsidRPr="00924F59">
        <w:rPr>
          <w:rStyle w:val="TextoNormalNegritaCaracter"/>
        </w:rPr>
        <w:t>Impugnación por conexión</w:t>
      </w:r>
      <w:bookmarkEnd w:id="1574"/>
      <w:r w:rsidRPr="00924F59">
        <w:rPr>
          <w:rStyle w:val="TextoNormalCaracter"/>
        </w:rPr>
        <w:t xml:space="preserve">, Sentencia </w:t>
      </w:r>
      <w:hyperlink w:anchor="SENTENCIA_2016_5" w:history="1">
        <w:r w:rsidRPr="00924F59">
          <w:rPr>
            <w:rStyle w:val="TextoNormalCaracter"/>
          </w:rPr>
          <w:t>5/2016</w:t>
        </w:r>
      </w:hyperlink>
      <w:r w:rsidRPr="00924F59">
        <w:rPr>
          <w:rStyle w:val="TextoNormalCaracter"/>
        </w:rPr>
        <w:t>, f. 5.</w:t>
      </w:r>
    </w:p>
    <w:p w:rsidR="00924F59" w:rsidRPr="00924F59" w:rsidRDefault="00924F59" w:rsidP="00924F59">
      <w:pPr>
        <w:pStyle w:val="TextoNormalSangraFrancesa"/>
        <w:rPr>
          <w:rStyle w:val="TextoNormalCaracter"/>
        </w:rPr>
      </w:pPr>
      <w:bookmarkStart w:id="1575" w:name="DESCRIPTORALFABETICO272"/>
      <w:r w:rsidRPr="00924F59">
        <w:rPr>
          <w:rStyle w:val="TextoNormalNegritaCaracter"/>
        </w:rPr>
        <w:t>Inadmisión de conflictos en defensa de la autonomía local</w:t>
      </w:r>
      <w:bookmarkEnd w:id="1575"/>
      <w:r w:rsidRPr="00924F59">
        <w:rPr>
          <w:rStyle w:val="TextoNormalCaracter"/>
        </w:rPr>
        <w:t xml:space="preserve">, Sentencia </w:t>
      </w:r>
      <w:hyperlink w:anchor="SENTENCIA_2016_27" w:history="1">
        <w:r w:rsidRPr="00924F59">
          <w:rPr>
            <w:rStyle w:val="TextoNormalCaracter"/>
          </w:rPr>
          <w:t>27/2016</w:t>
        </w:r>
      </w:hyperlink>
      <w:r w:rsidRPr="00924F59">
        <w:rPr>
          <w:rStyle w:val="TextoNormalCaracter"/>
        </w:rPr>
        <w:t>, f. 5.</w:t>
      </w:r>
    </w:p>
    <w:p w:rsidR="00924F59" w:rsidRPr="00924F59" w:rsidRDefault="00924F59" w:rsidP="00924F59">
      <w:pPr>
        <w:pStyle w:val="TextoNormalSangraFrancesa"/>
        <w:rPr>
          <w:rStyle w:val="TextoNormalCaracter"/>
        </w:rPr>
      </w:pPr>
      <w:bookmarkStart w:id="1576" w:name="DESCRIPTORALFABETICO283"/>
      <w:r w:rsidRPr="00924F59">
        <w:rPr>
          <w:rStyle w:val="TextoNormalNegritaCaracter"/>
        </w:rPr>
        <w:t>Inadmisión de cuestión de inconstitucionalidad</w:t>
      </w:r>
      <w:bookmarkEnd w:id="1576"/>
      <w:r w:rsidRPr="00924F59">
        <w:rPr>
          <w:rStyle w:val="TextoNormalCaracter"/>
        </w:rPr>
        <w:t xml:space="preserve">, Sentencias </w:t>
      </w:r>
      <w:hyperlink w:anchor="SENTENCIA_2016_102" w:history="1">
        <w:r w:rsidRPr="00924F59">
          <w:rPr>
            <w:rStyle w:val="TextoNormalCaracter"/>
          </w:rPr>
          <w:t>102/2016</w:t>
        </w:r>
      </w:hyperlink>
      <w:r w:rsidRPr="00924F59">
        <w:rPr>
          <w:rStyle w:val="TextoNormalCaracter"/>
        </w:rPr>
        <w:t xml:space="preserve">, ff. 6, 7; </w:t>
      </w:r>
      <w:hyperlink w:anchor="SENTENCIA_2016_116" w:history="1">
        <w:r w:rsidRPr="00924F59">
          <w:rPr>
            <w:rStyle w:val="TextoNormalCaracter"/>
          </w:rPr>
          <w:t>116/2016</w:t>
        </w:r>
      </w:hyperlink>
      <w:r w:rsidRPr="00924F59">
        <w:rPr>
          <w:rStyle w:val="TextoNormalCaracter"/>
        </w:rPr>
        <w:t>, f. 2 c).</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6" w:history="1">
        <w:r w:rsidRPr="00924F59">
          <w:rPr>
            <w:rStyle w:val="TextoNormalCaracter"/>
          </w:rPr>
          <w:t>6/2016</w:t>
        </w:r>
      </w:hyperlink>
      <w:r w:rsidRPr="00924F59">
        <w:rPr>
          <w:rStyle w:val="TextoNormalCaracter"/>
        </w:rPr>
        <w:t xml:space="preserve">, ff. 5, 6; </w:t>
      </w:r>
      <w:hyperlink w:anchor="AUTO_2016_7" w:history="1">
        <w:r w:rsidRPr="00924F59">
          <w:rPr>
            <w:rStyle w:val="TextoNormalCaracter"/>
          </w:rPr>
          <w:t>7/2016</w:t>
        </w:r>
      </w:hyperlink>
      <w:r w:rsidRPr="00924F59">
        <w:rPr>
          <w:rStyle w:val="TextoNormalCaracter"/>
        </w:rPr>
        <w:t xml:space="preserve">, ff. 5, 6; </w:t>
      </w:r>
      <w:hyperlink w:anchor="AUTO_2016_8" w:history="1">
        <w:r w:rsidRPr="00924F59">
          <w:rPr>
            <w:rStyle w:val="TextoNormalCaracter"/>
          </w:rPr>
          <w:t>8/2016</w:t>
        </w:r>
      </w:hyperlink>
      <w:r w:rsidRPr="00924F59">
        <w:rPr>
          <w:rStyle w:val="TextoNormalCaracter"/>
        </w:rPr>
        <w:t xml:space="preserve">, ff. 5, 6; </w:t>
      </w:r>
      <w:hyperlink w:anchor="AUTO_2016_9" w:history="1">
        <w:r w:rsidRPr="00924F59">
          <w:rPr>
            <w:rStyle w:val="TextoNormalCaracter"/>
          </w:rPr>
          <w:t>9/2016</w:t>
        </w:r>
      </w:hyperlink>
      <w:r w:rsidRPr="00924F59">
        <w:rPr>
          <w:rStyle w:val="TextoNormalCaracter"/>
        </w:rPr>
        <w:t xml:space="preserve">, f. 2; </w:t>
      </w:r>
      <w:hyperlink w:anchor="AUTO_2016_10" w:history="1">
        <w:r w:rsidRPr="00924F59">
          <w:rPr>
            <w:rStyle w:val="TextoNormalCaracter"/>
          </w:rPr>
          <w:t>10/2016</w:t>
        </w:r>
      </w:hyperlink>
      <w:r w:rsidRPr="00924F59">
        <w:rPr>
          <w:rStyle w:val="TextoNormalCaracter"/>
        </w:rPr>
        <w:t xml:space="preserve">, ff. 5, 6; </w:t>
      </w:r>
      <w:hyperlink w:anchor="AUTO_2016_11" w:history="1">
        <w:r w:rsidRPr="00924F59">
          <w:rPr>
            <w:rStyle w:val="TextoNormalCaracter"/>
          </w:rPr>
          <w:t>11/2016</w:t>
        </w:r>
      </w:hyperlink>
      <w:r w:rsidRPr="00924F59">
        <w:rPr>
          <w:rStyle w:val="TextoNormalCaracter"/>
        </w:rPr>
        <w:t xml:space="preserve">, ff. 3, 4; </w:t>
      </w:r>
      <w:hyperlink w:anchor="AUTO_2016_12" w:history="1">
        <w:r w:rsidRPr="00924F59">
          <w:rPr>
            <w:rStyle w:val="TextoNormalCaracter"/>
          </w:rPr>
          <w:t>12/2016</w:t>
        </w:r>
      </w:hyperlink>
      <w:r w:rsidRPr="00924F59">
        <w:rPr>
          <w:rStyle w:val="TextoNormalCaracter"/>
        </w:rPr>
        <w:t xml:space="preserve">, f. 3; </w:t>
      </w:r>
      <w:hyperlink w:anchor="AUTO_2016_13" w:history="1">
        <w:r w:rsidRPr="00924F59">
          <w:rPr>
            <w:rStyle w:val="TextoNormalCaracter"/>
          </w:rPr>
          <w:t>13/2016</w:t>
        </w:r>
      </w:hyperlink>
      <w:r w:rsidRPr="00924F59">
        <w:rPr>
          <w:rStyle w:val="TextoNormalCaracter"/>
        </w:rPr>
        <w:t xml:space="preserve">, f. 2; </w:t>
      </w:r>
      <w:hyperlink w:anchor="AUTO_2016_14" w:history="1">
        <w:r w:rsidRPr="00924F59">
          <w:rPr>
            <w:rStyle w:val="TextoNormalCaracter"/>
          </w:rPr>
          <w:t>14/2016</w:t>
        </w:r>
      </w:hyperlink>
      <w:r w:rsidRPr="00924F59">
        <w:rPr>
          <w:rStyle w:val="TextoNormalCaracter"/>
        </w:rPr>
        <w:t xml:space="preserve">, ff. 7, 8; </w:t>
      </w:r>
      <w:hyperlink w:anchor="AUTO_2016_21" w:history="1">
        <w:r w:rsidRPr="00924F59">
          <w:rPr>
            <w:rStyle w:val="TextoNormalCaracter"/>
          </w:rPr>
          <w:t>21/2016</w:t>
        </w:r>
      </w:hyperlink>
      <w:r w:rsidRPr="00924F59">
        <w:rPr>
          <w:rStyle w:val="TextoNormalCaracter"/>
        </w:rPr>
        <w:t xml:space="preserve">, f. 6; </w:t>
      </w:r>
      <w:hyperlink w:anchor="AUTO_2016_22" w:history="1">
        <w:r w:rsidRPr="00924F59">
          <w:rPr>
            <w:rStyle w:val="TextoNormalCaracter"/>
          </w:rPr>
          <w:t>22/2016</w:t>
        </w:r>
      </w:hyperlink>
      <w:r w:rsidRPr="00924F59">
        <w:rPr>
          <w:rStyle w:val="TextoNormalCaracter"/>
        </w:rPr>
        <w:t xml:space="preserve">, f. 6; </w:t>
      </w:r>
      <w:hyperlink w:anchor="AUTO_2016_23" w:history="1">
        <w:r w:rsidRPr="00924F59">
          <w:rPr>
            <w:rStyle w:val="TextoNormalCaracter"/>
          </w:rPr>
          <w:t>23/2016</w:t>
        </w:r>
      </w:hyperlink>
      <w:r w:rsidRPr="00924F59">
        <w:rPr>
          <w:rStyle w:val="TextoNormalCaracter"/>
        </w:rPr>
        <w:t xml:space="preserve">, f. 6; </w:t>
      </w:r>
      <w:hyperlink w:anchor="AUTO_2016_37" w:history="1">
        <w:r w:rsidRPr="00924F59">
          <w:rPr>
            <w:rStyle w:val="TextoNormalCaracter"/>
          </w:rPr>
          <w:t>37/2016</w:t>
        </w:r>
      </w:hyperlink>
      <w:r w:rsidRPr="00924F59">
        <w:rPr>
          <w:rStyle w:val="TextoNormalCaracter"/>
        </w:rPr>
        <w:t xml:space="preserve">, f. 5; </w:t>
      </w:r>
      <w:hyperlink w:anchor="AUTO_2016_38" w:history="1">
        <w:r w:rsidRPr="00924F59">
          <w:rPr>
            <w:rStyle w:val="TextoNormalCaracter"/>
          </w:rPr>
          <w:t>38/2016</w:t>
        </w:r>
      </w:hyperlink>
      <w:r w:rsidRPr="00924F59">
        <w:rPr>
          <w:rStyle w:val="TextoNormalCaracter"/>
        </w:rPr>
        <w:t xml:space="preserve">, f. 5; </w:t>
      </w:r>
      <w:hyperlink w:anchor="AUTO_2016_39" w:history="1">
        <w:r w:rsidRPr="00924F59">
          <w:rPr>
            <w:rStyle w:val="TextoNormalCaracter"/>
          </w:rPr>
          <w:t>39/2016</w:t>
        </w:r>
      </w:hyperlink>
      <w:r w:rsidRPr="00924F59">
        <w:rPr>
          <w:rStyle w:val="TextoNormalCaracter"/>
        </w:rPr>
        <w:t xml:space="preserve">, f. 2; </w:t>
      </w:r>
      <w:hyperlink w:anchor="AUTO_2016_40" w:history="1">
        <w:r w:rsidRPr="00924F59">
          <w:rPr>
            <w:rStyle w:val="TextoNormalCaracter"/>
          </w:rPr>
          <w:t>40/2016</w:t>
        </w:r>
      </w:hyperlink>
      <w:r w:rsidRPr="00924F59">
        <w:rPr>
          <w:rStyle w:val="TextoNormalCaracter"/>
        </w:rPr>
        <w:t xml:space="preserve">, f. 2; </w:t>
      </w:r>
      <w:hyperlink w:anchor="AUTO_2016_42" w:history="1">
        <w:r w:rsidRPr="00924F59">
          <w:rPr>
            <w:rStyle w:val="TextoNormalCaracter"/>
          </w:rPr>
          <w:t>42/2016</w:t>
        </w:r>
      </w:hyperlink>
      <w:r w:rsidRPr="00924F59">
        <w:rPr>
          <w:rStyle w:val="TextoNormalCaracter"/>
        </w:rPr>
        <w:t xml:space="preserve">, ff. 3, 4; </w:t>
      </w:r>
      <w:hyperlink w:anchor="AUTO_2016_50" w:history="1">
        <w:r w:rsidRPr="00924F59">
          <w:rPr>
            <w:rStyle w:val="TextoNormalCaracter"/>
          </w:rPr>
          <w:t>50/2016</w:t>
        </w:r>
      </w:hyperlink>
      <w:r w:rsidRPr="00924F59">
        <w:rPr>
          <w:rStyle w:val="TextoNormalCaracter"/>
        </w:rPr>
        <w:t xml:space="preserve">, f. 4; </w:t>
      </w:r>
      <w:hyperlink w:anchor="AUTO_2016_52" w:history="1">
        <w:r w:rsidRPr="00924F59">
          <w:rPr>
            <w:rStyle w:val="TextoNormalCaracter"/>
          </w:rPr>
          <w:t>52/2016</w:t>
        </w:r>
      </w:hyperlink>
      <w:r w:rsidRPr="00924F59">
        <w:rPr>
          <w:rStyle w:val="TextoNormalCaracter"/>
        </w:rPr>
        <w:t xml:space="preserve">, f. 4; </w:t>
      </w:r>
      <w:hyperlink w:anchor="AUTO_2016_55" w:history="1">
        <w:r w:rsidRPr="00924F59">
          <w:rPr>
            <w:rStyle w:val="TextoNormalCaracter"/>
          </w:rPr>
          <w:t>55/2016</w:t>
        </w:r>
      </w:hyperlink>
      <w:r w:rsidRPr="00924F59">
        <w:rPr>
          <w:rStyle w:val="TextoNormalCaracter"/>
        </w:rPr>
        <w:t xml:space="preserve">, ff. 2, 3, 5, 6; </w:t>
      </w:r>
      <w:hyperlink w:anchor="AUTO_2016_56" w:history="1">
        <w:r w:rsidRPr="00924F59">
          <w:rPr>
            <w:rStyle w:val="TextoNormalCaracter"/>
          </w:rPr>
          <w:t>56/2016</w:t>
        </w:r>
      </w:hyperlink>
      <w:r w:rsidRPr="00924F59">
        <w:rPr>
          <w:rStyle w:val="TextoNormalCaracter"/>
        </w:rPr>
        <w:t xml:space="preserve">, Único; </w:t>
      </w:r>
      <w:hyperlink w:anchor="AUTO_2016_57" w:history="1">
        <w:r w:rsidRPr="00924F59">
          <w:rPr>
            <w:rStyle w:val="TextoNormalCaracter"/>
          </w:rPr>
          <w:t>57/2016</w:t>
        </w:r>
      </w:hyperlink>
      <w:r w:rsidRPr="00924F59">
        <w:rPr>
          <w:rStyle w:val="TextoNormalCaracter"/>
        </w:rPr>
        <w:t xml:space="preserve">, Único; </w:t>
      </w:r>
      <w:hyperlink w:anchor="AUTO_2016_63" w:history="1">
        <w:r w:rsidRPr="00924F59">
          <w:rPr>
            <w:rStyle w:val="TextoNormalCaracter"/>
          </w:rPr>
          <w:t>63/2016</w:t>
        </w:r>
      </w:hyperlink>
      <w:r w:rsidRPr="00924F59">
        <w:rPr>
          <w:rStyle w:val="TextoNormalCaracter"/>
        </w:rPr>
        <w:t xml:space="preserve">, ff. 2, 3; </w:t>
      </w:r>
      <w:hyperlink w:anchor="AUTO_2016_64" w:history="1">
        <w:r w:rsidRPr="00924F59">
          <w:rPr>
            <w:rStyle w:val="TextoNormalCaracter"/>
          </w:rPr>
          <w:t>64/2016</w:t>
        </w:r>
      </w:hyperlink>
      <w:r w:rsidRPr="00924F59">
        <w:rPr>
          <w:rStyle w:val="TextoNormalCaracter"/>
        </w:rPr>
        <w:t xml:space="preserve">, Único; </w:t>
      </w:r>
      <w:hyperlink w:anchor="AUTO_2016_65" w:history="1">
        <w:r w:rsidRPr="00924F59">
          <w:rPr>
            <w:rStyle w:val="TextoNormalCaracter"/>
          </w:rPr>
          <w:t>65/2016</w:t>
        </w:r>
      </w:hyperlink>
      <w:r w:rsidRPr="00924F59">
        <w:rPr>
          <w:rStyle w:val="TextoNormalCaracter"/>
        </w:rPr>
        <w:t xml:space="preserve">, Único; </w:t>
      </w:r>
      <w:hyperlink w:anchor="AUTO_2016_74" w:history="1">
        <w:r w:rsidRPr="00924F59">
          <w:rPr>
            <w:rStyle w:val="TextoNormalCaracter"/>
          </w:rPr>
          <w:t>74/2016</w:t>
        </w:r>
      </w:hyperlink>
      <w:r w:rsidRPr="00924F59">
        <w:rPr>
          <w:rStyle w:val="TextoNormalCaracter"/>
        </w:rPr>
        <w:t xml:space="preserve">, f. único; </w:t>
      </w:r>
      <w:hyperlink w:anchor="AUTO_2016_79" w:history="1">
        <w:r w:rsidRPr="00924F59">
          <w:rPr>
            <w:rStyle w:val="TextoNormalCaracter"/>
          </w:rPr>
          <w:t>79/2016</w:t>
        </w:r>
      </w:hyperlink>
      <w:r w:rsidRPr="00924F59">
        <w:rPr>
          <w:rStyle w:val="TextoNormalCaracter"/>
        </w:rPr>
        <w:t xml:space="preserve">, f. único; </w:t>
      </w:r>
      <w:hyperlink w:anchor="AUTO_2016_84" w:history="1">
        <w:r w:rsidRPr="00924F59">
          <w:rPr>
            <w:rStyle w:val="TextoNormalCaracter"/>
          </w:rPr>
          <w:t>84/2016</w:t>
        </w:r>
      </w:hyperlink>
      <w:r w:rsidRPr="00924F59">
        <w:rPr>
          <w:rStyle w:val="TextoNormalCaracter"/>
        </w:rPr>
        <w:t xml:space="preserve">, f. 3; </w:t>
      </w:r>
      <w:hyperlink w:anchor="AUTO_2016_101" w:history="1">
        <w:r w:rsidRPr="00924F59">
          <w:rPr>
            <w:rStyle w:val="TextoNormalCaracter"/>
          </w:rPr>
          <w:t>101/2016</w:t>
        </w:r>
      </w:hyperlink>
      <w:r w:rsidRPr="00924F59">
        <w:rPr>
          <w:rStyle w:val="TextoNormalCaracter"/>
        </w:rPr>
        <w:t xml:space="preserve">, f. 1; </w:t>
      </w:r>
      <w:hyperlink w:anchor="AUTO_2016_102" w:history="1">
        <w:r w:rsidRPr="00924F59">
          <w:rPr>
            <w:rStyle w:val="TextoNormalCaracter"/>
          </w:rPr>
          <w:t>102/2016</w:t>
        </w:r>
      </w:hyperlink>
      <w:r w:rsidRPr="00924F59">
        <w:rPr>
          <w:rStyle w:val="TextoNormalCaracter"/>
        </w:rPr>
        <w:t xml:space="preserve">, f. 1; </w:t>
      </w:r>
      <w:hyperlink w:anchor="AUTO_2016_103" w:history="1">
        <w:r w:rsidRPr="00924F59">
          <w:rPr>
            <w:rStyle w:val="TextoNormalCaracter"/>
          </w:rPr>
          <w:t>103/2016</w:t>
        </w:r>
      </w:hyperlink>
      <w:r w:rsidRPr="00924F59">
        <w:rPr>
          <w:rStyle w:val="TextoNormalCaracter"/>
        </w:rPr>
        <w:t xml:space="preserve">, ff. 1, 5; </w:t>
      </w:r>
      <w:hyperlink w:anchor="AUTO_2016_113" w:history="1">
        <w:r w:rsidRPr="00924F59">
          <w:rPr>
            <w:rStyle w:val="TextoNormalCaracter"/>
          </w:rPr>
          <w:t>113/2016</w:t>
        </w:r>
      </w:hyperlink>
      <w:r w:rsidRPr="00924F59">
        <w:rPr>
          <w:rStyle w:val="TextoNormalCaracter"/>
        </w:rPr>
        <w:t xml:space="preserve">, f. 1; </w:t>
      </w:r>
      <w:hyperlink w:anchor="AUTO_2016_122" w:history="1">
        <w:r w:rsidRPr="00924F59">
          <w:rPr>
            <w:rStyle w:val="TextoNormalCaracter"/>
          </w:rPr>
          <w:t>122/2016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1577" w:name="DESCRIPTORALFABETICO286"/>
      <w:r w:rsidRPr="00924F59">
        <w:rPr>
          <w:rStyle w:val="TextoNormalNegritaCaracter"/>
        </w:rPr>
        <w:t>Inadmisión de cuestión de inconstitucionalidad por falta de requisitos procesales</w:t>
      </w:r>
      <w:bookmarkEnd w:id="1577"/>
      <w:r w:rsidRPr="00924F59">
        <w:rPr>
          <w:rStyle w:val="TextoNormalCaracter"/>
        </w:rPr>
        <w:t xml:space="preserve">, Sentencia </w:t>
      </w:r>
      <w:hyperlink w:anchor="SENTENCIA_2016_1" w:history="1">
        <w:r w:rsidRPr="00924F59">
          <w:rPr>
            <w:rStyle w:val="TextoNormalCaracter"/>
          </w:rPr>
          <w:t>1/2016</w:t>
        </w:r>
      </w:hyperlink>
      <w:r w:rsidRPr="00924F59">
        <w:rPr>
          <w:rStyle w:val="TextoNormalCaracter"/>
        </w:rPr>
        <w:t>, ff. 2, 3.</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35" w:history="1">
        <w:r w:rsidRPr="00924F59">
          <w:rPr>
            <w:rStyle w:val="TextoNormalCaracter"/>
          </w:rPr>
          <w:t>35/2016</w:t>
        </w:r>
      </w:hyperlink>
      <w:r w:rsidRPr="00924F59">
        <w:rPr>
          <w:rStyle w:val="TextoNormalCaracter"/>
        </w:rPr>
        <w:t xml:space="preserve">, ff. 1 a 3; </w:t>
      </w:r>
      <w:hyperlink w:anchor="AUTO_2016_36" w:history="1">
        <w:r w:rsidRPr="00924F59">
          <w:rPr>
            <w:rStyle w:val="TextoNormalCaracter"/>
          </w:rPr>
          <w:t>36/2016</w:t>
        </w:r>
      </w:hyperlink>
      <w:r w:rsidRPr="00924F59">
        <w:rPr>
          <w:rStyle w:val="TextoNormalCaracter"/>
        </w:rPr>
        <w:t xml:space="preserve">, f. 2; </w:t>
      </w:r>
      <w:hyperlink w:anchor="AUTO_2016_70" w:history="1">
        <w:r w:rsidRPr="00924F59">
          <w:rPr>
            <w:rStyle w:val="TextoNormalCaracter"/>
          </w:rPr>
          <w:t>70/2016</w:t>
        </w:r>
      </w:hyperlink>
      <w:r w:rsidRPr="00924F59">
        <w:rPr>
          <w:rStyle w:val="TextoNormalCaracter"/>
        </w:rPr>
        <w:t xml:space="preserve">, ff. 3, 4; </w:t>
      </w:r>
      <w:hyperlink w:anchor="AUTO_2016_71" w:history="1">
        <w:r w:rsidRPr="00924F59">
          <w:rPr>
            <w:rStyle w:val="TextoNormalCaracter"/>
          </w:rPr>
          <w:t>71/2016</w:t>
        </w:r>
      </w:hyperlink>
      <w:r w:rsidRPr="00924F59">
        <w:rPr>
          <w:rStyle w:val="TextoNormalCaracter"/>
        </w:rPr>
        <w:t xml:space="preserve">, ff. 2, 4; </w:t>
      </w:r>
      <w:hyperlink w:anchor="AUTO_2016_73" w:history="1">
        <w:r w:rsidRPr="00924F59">
          <w:rPr>
            <w:rStyle w:val="TextoNormalCaracter"/>
          </w:rPr>
          <w:t>73/2016</w:t>
        </w:r>
      </w:hyperlink>
      <w:r w:rsidRPr="00924F59">
        <w:rPr>
          <w:rStyle w:val="TextoNormalCaracter"/>
        </w:rPr>
        <w:t xml:space="preserve">, f. 2; </w:t>
      </w:r>
      <w:hyperlink w:anchor="AUTO_2016_75" w:history="1">
        <w:r w:rsidRPr="00924F59">
          <w:rPr>
            <w:rStyle w:val="TextoNormalCaracter"/>
          </w:rPr>
          <w:t>75/2016</w:t>
        </w:r>
      </w:hyperlink>
      <w:r w:rsidRPr="00924F59">
        <w:rPr>
          <w:rStyle w:val="TextoNormalCaracter"/>
        </w:rPr>
        <w:t xml:space="preserve">, f. 2; </w:t>
      </w:r>
      <w:hyperlink w:anchor="AUTO_2016_76" w:history="1">
        <w:r w:rsidRPr="00924F59">
          <w:rPr>
            <w:rStyle w:val="TextoNormalCaracter"/>
          </w:rPr>
          <w:t>76/2016</w:t>
        </w:r>
      </w:hyperlink>
      <w:r w:rsidRPr="00924F59">
        <w:rPr>
          <w:rStyle w:val="TextoNormalCaracter"/>
        </w:rPr>
        <w:t xml:space="preserve">, f. 2; </w:t>
      </w:r>
      <w:hyperlink w:anchor="AUTO_2016_77" w:history="1">
        <w:r w:rsidRPr="00924F59">
          <w:rPr>
            <w:rStyle w:val="TextoNormalCaracter"/>
          </w:rPr>
          <w:t>77/2016</w:t>
        </w:r>
      </w:hyperlink>
      <w:r w:rsidRPr="00924F59">
        <w:rPr>
          <w:rStyle w:val="TextoNormalCaracter"/>
        </w:rPr>
        <w:t xml:space="preserve">, f. 3; </w:t>
      </w:r>
      <w:hyperlink w:anchor="AUTO_2016_78" w:history="1">
        <w:r w:rsidRPr="00924F59">
          <w:rPr>
            <w:rStyle w:val="TextoNormalCaracter"/>
          </w:rPr>
          <w:t>78/2016</w:t>
        </w:r>
      </w:hyperlink>
      <w:r w:rsidRPr="00924F59">
        <w:rPr>
          <w:rStyle w:val="TextoNormalCaracter"/>
        </w:rPr>
        <w:t xml:space="preserve">, f. 2; </w:t>
      </w:r>
      <w:hyperlink w:anchor="AUTO_2016_83" w:history="1">
        <w:r w:rsidRPr="00924F59">
          <w:rPr>
            <w:rStyle w:val="TextoNormalCaracter"/>
          </w:rPr>
          <w:t>83/2016</w:t>
        </w:r>
      </w:hyperlink>
      <w:r w:rsidRPr="00924F59">
        <w:rPr>
          <w:rStyle w:val="TextoNormalCaracter"/>
        </w:rPr>
        <w:t xml:space="preserve">, f. 2; </w:t>
      </w:r>
      <w:hyperlink w:anchor="AUTO_2016_85" w:history="1">
        <w:r w:rsidRPr="00924F59">
          <w:rPr>
            <w:rStyle w:val="TextoNormalCaracter"/>
          </w:rPr>
          <w:t>85/2016</w:t>
        </w:r>
      </w:hyperlink>
      <w:r w:rsidRPr="00924F59">
        <w:rPr>
          <w:rStyle w:val="TextoNormalCaracter"/>
        </w:rPr>
        <w:t xml:space="preserve">, f. 2; </w:t>
      </w:r>
      <w:hyperlink w:anchor="AUTO_2016_86" w:history="1">
        <w:r w:rsidRPr="00924F59">
          <w:rPr>
            <w:rStyle w:val="TextoNormalCaracter"/>
          </w:rPr>
          <w:t>86/2016</w:t>
        </w:r>
      </w:hyperlink>
      <w:r w:rsidRPr="00924F59">
        <w:rPr>
          <w:rStyle w:val="TextoNormalCaracter"/>
        </w:rPr>
        <w:t xml:space="preserve">, ff. 3, 4; </w:t>
      </w:r>
      <w:hyperlink w:anchor="AUTO_2016_87" w:history="1">
        <w:r w:rsidRPr="00924F59">
          <w:rPr>
            <w:rStyle w:val="TextoNormalCaracter"/>
          </w:rPr>
          <w:t>87/2016</w:t>
        </w:r>
      </w:hyperlink>
      <w:r w:rsidRPr="00924F59">
        <w:rPr>
          <w:rStyle w:val="TextoNormalCaracter"/>
        </w:rPr>
        <w:t xml:space="preserve">, f. 2; </w:t>
      </w:r>
      <w:hyperlink w:anchor="AUTO_2016_88" w:history="1">
        <w:r w:rsidRPr="00924F59">
          <w:rPr>
            <w:rStyle w:val="TextoNormalCaracter"/>
          </w:rPr>
          <w:t>88/2016</w:t>
        </w:r>
      </w:hyperlink>
      <w:r w:rsidRPr="00924F59">
        <w:rPr>
          <w:rStyle w:val="TextoNormalCaracter"/>
        </w:rPr>
        <w:t xml:space="preserve">, f. 2; </w:t>
      </w:r>
      <w:hyperlink w:anchor="AUTO_2016_122" w:history="1">
        <w:r w:rsidRPr="00924F59">
          <w:rPr>
            <w:rStyle w:val="TextoNormalCaracter"/>
          </w:rPr>
          <w:t>122/2016</w:t>
        </w:r>
      </w:hyperlink>
      <w:r w:rsidRPr="00924F59">
        <w:rPr>
          <w:rStyle w:val="TextoNormalCaracter"/>
        </w:rPr>
        <w:t>, f. 3.</w:t>
      </w:r>
    </w:p>
    <w:p w:rsidR="00924F59" w:rsidRPr="00924F59" w:rsidRDefault="00924F59" w:rsidP="00924F59">
      <w:pPr>
        <w:pStyle w:val="TextoNormalSangraFrancesa"/>
        <w:rPr>
          <w:rStyle w:val="TextoNormalCaracter"/>
        </w:rPr>
      </w:pPr>
      <w:bookmarkStart w:id="1578" w:name="DESCRIPTORALFABETICO287"/>
      <w:r w:rsidRPr="00924F59">
        <w:rPr>
          <w:rStyle w:val="TextoNormalNegritaCaracter"/>
        </w:rPr>
        <w:t>Inadmisión de cuestión de inconstitucionalidad por sentencia</w:t>
      </w:r>
      <w:bookmarkEnd w:id="1578"/>
      <w:r w:rsidRPr="00924F59">
        <w:rPr>
          <w:rStyle w:val="TextoNormalCaracter"/>
        </w:rPr>
        <w:t xml:space="preserve">, Sentencia </w:t>
      </w:r>
      <w:hyperlink w:anchor="SENTENCIA_2016_1" w:history="1">
        <w:r w:rsidRPr="00924F59">
          <w:rPr>
            <w:rStyle w:val="TextoNormalCaracter"/>
          </w:rPr>
          <w:t>1/2016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579" w:name="DESCRIPTORALFABETICO825"/>
      <w:r w:rsidRPr="00924F59">
        <w:rPr>
          <w:rStyle w:val="TextoNormalNegritaCaracter"/>
        </w:rPr>
        <w:t>Inadmisión de incidente de nulidad de actuaciones</w:t>
      </w:r>
      <w:bookmarkEnd w:id="1579"/>
      <w:r w:rsidRPr="00924F59">
        <w:rPr>
          <w:rStyle w:val="TextoNormalCaracter"/>
        </w:rPr>
        <w:t xml:space="preserve">, Sentencia </w:t>
      </w:r>
      <w:hyperlink w:anchor="SENTENCIA_2016_65" w:history="1">
        <w:r w:rsidRPr="00924F59">
          <w:rPr>
            <w:rStyle w:val="TextoNormalCaracter"/>
          </w:rPr>
          <w:t>65/2016</w:t>
        </w:r>
      </w:hyperlink>
      <w:r w:rsidRPr="00924F59">
        <w:rPr>
          <w:rStyle w:val="TextoNormalCaracter"/>
        </w:rPr>
        <w:t>, ff. 3 a 7.</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08" w:history="1">
        <w:r w:rsidRPr="00924F59">
          <w:rPr>
            <w:rStyle w:val="TextoNormalCaracter"/>
          </w:rPr>
          <w:t>108/2016</w:t>
        </w:r>
      </w:hyperlink>
      <w:r w:rsidRPr="00924F59">
        <w:rPr>
          <w:rStyle w:val="TextoNormalCaracter"/>
        </w:rPr>
        <w:t>, único.</w:t>
      </w:r>
    </w:p>
    <w:p w:rsidR="00924F59" w:rsidRPr="00924F59" w:rsidRDefault="00924F59" w:rsidP="00924F59">
      <w:pPr>
        <w:pStyle w:val="TextoNormalSangraFrancesa"/>
        <w:rPr>
          <w:rStyle w:val="TextoNormalCaracter"/>
        </w:rPr>
      </w:pPr>
      <w:bookmarkStart w:id="1580" w:name="DESCRIPTORALFABETICO820"/>
      <w:r w:rsidRPr="00924F59">
        <w:rPr>
          <w:rStyle w:val="TextoNormalNegritaCaracter"/>
        </w:rPr>
        <w:t>Inadmisión de medios de prueba</w:t>
      </w:r>
      <w:bookmarkEnd w:id="1580"/>
      <w:r w:rsidRPr="00924F59">
        <w:rPr>
          <w:rStyle w:val="TextoNormalCaracter"/>
        </w:rPr>
        <w:t xml:space="preserve">, Sentencia </w:t>
      </w:r>
      <w:hyperlink w:anchor="SENTENCIA_2016_117" w:history="1">
        <w:r w:rsidRPr="00924F59">
          <w:rPr>
            <w:rStyle w:val="TextoNormalCaracter"/>
          </w:rPr>
          <w:t>117/2016</w:t>
        </w:r>
      </w:hyperlink>
      <w:r w:rsidRPr="00924F59">
        <w:rPr>
          <w:rStyle w:val="TextoNormalCaracter"/>
        </w:rPr>
        <w:t>, ff. 1, 5.</w:t>
      </w:r>
    </w:p>
    <w:p w:rsidR="00924F59" w:rsidRPr="00924F59" w:rsidRDefault="00924F59" w:rsidP="00924F59">
      <w:pPr>
        <w:pStyle w:val="TextoNormalSangraFrancesa"/>
        <w:rPr>
          <w:rStyle w:val="TextoNormalCaracter"/>
        </w:rPr>
      </w:pPr>
      <w:bookmarkStart w:id="1581" w:name="DESCRIPTORALFABETICO848"/>
      <w:r w:rsidRPr="00924F59">
        <w:rPr>
          <w:rStyle w:val="TextoNormalNegritaCaracter"/>
        </w:rPr>
        <w:t>Inadmisión de recurso contencioso-administrativo por falta de agotamiento de la vía administrativa</w:t>
      </w:r>
      <w:bookmarkEnd w:id="1581"/>
      <w:r w:rsidRPr="00924F59">
        <w:rPr>
          <w:rStyle w:val="TextoNormalCaracter"/>
        </w:rPr>
        <w:t xml:space="preserve">, Sentencia </w:t>
      </w:r>
      <w:hyperlink w:anchor="SENTENCIA_2016_91" w:history="1">
        <w:r w:rsidRPr="00924F59">
          <w:rPr>
            <w:rStyle w:val="TextoNormalCaracter"/>
          </w:rPr>
          <w:t>91/2016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582" w:name="DESCRIPTORALFABETICO849"/>
      <w:r w:rsidRPr="00924F59">
        <w:rPr>
          <w:rStyle w:val="TextoNormalNegritaCaracter"/>
        </w:rPr>
        <w:t>Inadmisión de recurso contencioso-administrativo por falta de jurisdicción</w:t>
      </w:r>
      <w:bookmarkEnd w:id="1582"/>
      <w:r w:rsidRPr="00924F59">
        <w:rPr>
          <w:rStyle w:val="TextoNormalCaracter"/>
        </w:rPr>
        <w:t xml:space="preserve">, Sentencia </w:t>
      </w:r>
      <w:hyperlink w:anchor="SENTENCIA_2016_83" w:history="1">
        <w:r w:rsidRPr="00924F59">
          <w:rPr>
            <w:rStyle w:val="TextoNormalCaracter"/>
          </w:rPr>
          <w:t>83/2016</w:t>
        </w:r>
      </w:hyperlink>
      <w:r w:rsidRPr="00924F59">
        <w:rPr>
          <w:rStyle w:val="TextoNormalCaracter"/>
        </w:rPr>
        <w:t>, ff. 1, 3, 11, 12.</w:t>
      </w:r>
    </w:p>
    <w:p w:rsidR="00924F59" w:rsidRPr="00924F59" w:rsidRDefault="00924F59" w:rsidP="00924F59">
      <w:pPr>
        <w:pStyle w:val="TextoNormalSangraFrancesa"/>
        <w:rPr>
          <w:rStyle w:val="TextoNormalCaracter"/>
        </w:rPr>
      </w:pPr>
      <w:bookmarkStart w:id="1583" w:name="DESCRIPTORALFABETICO337"/>
      <w:r w:rsidRPr="00924F59">
        <w:rPr>
          <w:rStyle w:val="TextoNormalNegritaCaracter"/>
        </w:rPr>
        <w:t>Inadmisión de recurso de amparo</w:t>
      </w:r>
      <w:bookmarkEnd w:id="1583"/>
      <w:r w:rsidRPr="00924F59">
        <w:rPr>
          <w:rStyle w:val="TextoNormalCaracter"/>
        </w:rPr>
        <w:t xml:space="preserve">, Sentencia </w:t>
      </w:r>
      <w:hyperlink w:anchor="SENTENCIA_2016_94" w:history="1">
        <w:r w:rsidRPr="00924F59">
          <w:rPr>
            <w:rStyle w:val="TextoNormalCaracter"/>
          </w:rPr>
          <w:t>94/2016</w:t>
        </w:r>
      </w:hyperlink>
      <w:r w:rsidRPr="00924F59">
        <w:rPr>
          <w:rStyle w:val="TextoNormalCaracter"/>
        </w:rPr>
        <w:t>, ff. 2, 3.</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107" w:history="1">
        <w:r w:rsidRPr="00924F59">
          <w:rPr>
            <w:rStyle w:val="TextoNormalCaracter"/>
          </w:rPr>
          <w:t>107/2016</w:t>
        </w:r>
      </w:hyperlink>
      <w:r w:rsidRPr="00924F59">
        <w:rPr>
          <w:rStyle w:val="TextoNormalCaracter"/>
        </w:rPr>
        <w:t xml:space="preserve">, f. 1; </w:t>
      </w:r>
      <w:hyperlink w:anchor="AUTO_2016_109" w:history="1">
        <w:r w:rsidRPr="00924F59">
          <w:rPr>
            <w:rStyle w:val="TextoNormalCaracter"/>
          </w:rPr>
          <w:t>109/2016</w:t>
        </w:r>
      </w:hyperlink>
      <w:r w:rsidRPr="00924F59">
        <w:rPr>
          <w:rStyle w:val="TextoNormalCaracter"/>
        </w:rPr>
        <w:t>, f. 1.</w:t>
      </w:r>
    </w:p>
    <w:p w:rsidR="00924F59" w:rsidRPr="00924F59" w:rsidRDefault="00924F59" w:rsidP="00924F59">
      <w:pPr>
        <w:pStyle w:val="TextoNormalSangraFrancesa"/>
        <w:rPr>
          <w:rStyle w:val="TextoNormalCaracter"/>
        </w:rPr>
      </w:pPr>
      <w:bookmarkStart w:id="1584" w:name="DESCRIPTORALFABETICO341"/>
      <w:r w:rsidRPr="00924F59">
        <w:rPr>
          <w:rStyle w:val="TextoNormalNegritaCaracter"/>
        </w:rPr>
        <w:t>Inadmisión de recurso de amparo por Auto</w:t>
      </w:r>
      <w:bookmarkEnd w:id="1584"/>
      <w:r w:rsidRPr="00924F59">
        <w:rPr>
          <w:rStyle w:val="TextoNormalCaracter"/>
        </w:rPr>
        <w:t xml:space="preserve">, Auto </w:t>
      </w:r>
      <w:hyperlink w:anchor="AUTO_2016_98" w:history="1">
        <w:r w:rsidRPr="00924F59">
          <w:rPr>
            <w:rStyle w:val="TextoNormalCaracter"/>
          </w:rPr>
          <w:t>98/2016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585" w:name="DESCRIPTORALFABETICO342"/>
      <w:r w:rsidRPr="00924F59">
        <w:rPr>
          <w:rStyle w:val="TextoNormalNegritaCaracter"/>
        </w:rPr>
        <w:t>Inadmisión de recurso de amparo por providencia</w:t>
      </w:r>
      <w:bookmarkEnd w:id="1585"/>
      <w:r w:rsidRPr="00924F59">
        <w:rPr>
          <w:rStyle w:val="TextoNormalCaracter"/>
        </w:rPr>
        <w:t xml:space="preserve">, Auto </w:t>
      </w:r>
      <w:hyperlink w:anchor="AUTO_2016_66" w:history="1">
        <w:r w:rsidRPr="00924F59">
          <w:rPr>
            <w:rStyle w:val="TextoNormalCaracter"/>
          </w:rPr>
          <w:t>66/2016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586" w:name="DESCRIPTORALFABETICO343"/>
      <w:r w:rsidRPr="00924F59">
        <w:rPr>
          <w:rStyle w:val="TextoNormalNegritaCaracter"/>
        </w:rPr>
        <w:t>Inadmisión de recurso de amparo por sentencia</w:t>
      </w:r>
      <w:bookmarkEnd w:id="1586"/>
      <w:r w:rsidRPr="00924F59">
        <w:rPr>
          <w:rStyle w:val="TextoNormalCaracter"/>
        </w:rPr>
        <w:t xml:space="preserve">, Sentencia </w:t>
      </w:r>
      <w:hyperlink w:anchor="SENTENCIA_2016_44" w:history="1">
        <w:r w:rsidRPr="00924F59">
          <w:rPr>
            <w:rStyle w:val="TextoNormalCaracter"/>
          </w:rPr>
          <w:t>44/2016</w:t>
        </w:r>
      </w:hyperlink>
      <w:r w:rsidRPr="00924F59">
        <w:rPr>
          <w:rStyle w:val="TextoNormalCaracter"/>
        </w:rPr>
        <w:t>, f. 3.</w:t>
      </w:r>
    </w:p>
    <w:p w:rsidR="00924F59" w:rsidRPr="00924F59" w:rsidRDefault="00924F59" w:rsidP="00924F59">
      <w:pPr>
        <w:pStyle w:val="TextoNormalSangraFrancesa"/>
        <w:rPr>
          <w:rStyle w:val="TextoNormalCaracter"/>
        </w:rPr>
      </w:pPr>
      <w:bookmarkStart w:id="1587" w:name="DESCRIPTORALFABETICO689"/>
      <w:r w:rsidRPr="00924F59">
        <w:rPr>
          <w:rStyle w:val="TextoNormalNegritaCaracter"/>
        </w:rPr>
        <w:t>Inaplicación de ley sin plantear cuestión de inconstitucionalidad</w:t>
      </w:r>
      <w:bookmarkEnd w:id="1587"/>
      <w:r w:rsidRPr="00924F59">
        <w:rPr>
          <w:rStyle w:val="TextoNormalCaracter"/>
        </w:rPr>
        <w:t xml:space="preserve">, Sentencias </w:t>
      </w:r>
      <w:hyperlink w:anchor="SENTENCIA_2016_92" w:history="1">
        <w:r w:rsidRPr="00924F59">
          <w:rPr>
            <w:rStyle w:val="TextoNormalCaracter"/>
          </w:rPr>
          <w:t>92/2016</w:t>
        </w:r>
      </w:hyperlink>
      <w:r w:rsidRPr="00924F59">
        <w:rPr>
          <w:rStyle w:val="TextoNormalCaracter"/>
        </w:rPr>
        <w:t xml:space="preserve">, f. 2; </w:t>
      </w:r>
      <w:hyperlink w:anchor="SENTENCIA_2016_93" w:history="1">
        <w:r w:rsidRPr="00924F59">
          <w:rPr>
            <w:rStyle w:val="TextoNormalCaracter"/>
          </w:rPr>
          <w:t>93/2016</w:t>
        </w:r>
      </w:hyperlink>
      <w:r w:rsidRPr="00924F59">
        <w:rPr>
          <w:rStyle w:val="TextoNormalCaracter"/>
        </w:rPr>
        <w:t xml:space="preserve">, f. 2; </w:t>
      </w:r>
      <w:hyperlink w:anchor="SENTENCIA_2016_98" w:history="1">
        <w:r w:rsidRPr="00924F59">
          <w:rPr>
            <w:rStyle w:val="TextoNormalCaracter"/>
          </w:rPr>
          <w:t>98/2016</w:t>
        </w:r>
      </w:hyperlink>
      <w:r w:rsidRPr="00924F59">
        <w:rPr>
          <w:rStyle w:val="TextoNormalCaracter"/>
        </w:rPr>
        <w:t xml:space="preserve">, f. 2; </w:t>
      </w:r>
      <w:hyperlink w:anchor="SENTENCIA_2016_102" w:history="1">
        <w:r w:rsidRPr="00924F59">
          <w:rPr>
            <w:rStyle w:val="TextoNormalCaracter"/>
          </w:rPr>
          <w:t>102/2016</w:t>
        </w:r>
      </w:hyperlink>
      <w:r w:rsidRPr="00924F59">
        <w:rPr>
          <w:rStyle w:val="TextoNormalCaracter"/>
        </w:rPr>
        <w:t xml:space="preserve">, f. 6; </w:t>
      </w:r>
      <w:hyperlink w:anchor="SENTENCIA_2016_113" w:history="1">
        <w:r w:rsidRPr="00924F59">
          <w:rPr>
            <w:rStyle w:val="TextoNormalCaracter"/>
          </w:rPr>
          <w:t>113/2016</w:t>
        </w:r>
      </w:hyperlink>
      <w:r w:rsidRPr="00924F59">
        <w:rPr>
          <w:rStyle w:val="TextoNormalCaracter"/>
        </w:rPr>
        <w:t xml:space="preserve">, f. 2; </w:t>
      </w:r>
      <w:hyperlink w:anchor="SENTENCIA_2016_114" w:history="1">
        <w:r w:rsidRPr="00924F59">
          <w:rPr>
            <w:rStyle w:val="TextoNormalCaracter"/>
          </w:rPr>
          <w:t>114/2016</w:t>
        </w:r>
      </w:hyperlink>
      <w:r w:rsidRPr="00924F59">
        <w:rPr>
          <w:rStyle w:val="TextoNormalCaracter"/>
        </w:rPr>
        <w:t xml:space="preserve">, ff. 1, 3; </w:t>
      </w:r>
      <w:hyperlink w:anchor="SENTENCIA_2016_115" w:history="1">
        <w:r w:rsidRPr="00924F59">
          <w:rPr>
            <w:rStyle w:val="TextoNormalCaracter"/>
          </w:rPr>
          <w:t>115/2016</w:t>
        </w:r>
      </w:hyperlink>
      <w:r w:rsidRPr="00924F59">
        <w:rPr>
          <w:rStyle w:val="TextoNormalCaracter"/>
        </w:rPr>
        <w:t xml:space="preserve">, ff. 1, 3; </w:t>
      </w:r>
      <w:hyperlink w:anchor="SENTENCIA_2016_116" w:history="1">
        <w:r w:rsidRPr="00924F59">
          <w:rPr>
            <w:rStyle w:val="TextoNormalCaracter"/>
          </w:rPr>
          <w:t>116/2016</w:t>
        </w:r>
      </w:hyperlink>
      <w:r w:rsidRPr="00924F59">
        <w:rPr>
          <w:rStyle w:val="TextoNormalCaracter"/>
        </w:rPr>
        <w:t>, f. 2 c).</w:t>
      </w:r>
    </w:p>
    <w:p w:rsidR="00924F59" w:rsidRPr="00924F59" w:rsidRDefault="00924F59" w:rsidP="00924F59">
      <w:pPr>
        <w:pStyle w:val="TextoNormalSangraFrancesa"/>
        <w:rPr>
          <w:rStyle w:val="TextoNormalCaracter"/>
        </w:rPr>
      </w:pPr>
      <w:bookmarkStart w:id="1588" w:name="DESCRIPTORALFABETICO688"/>
      <w:r w:rsidRPr="00924F59">
        <w:rPr>
          <w:rStyle w:val="TextoNormalNegritaCaracter"/>
        </w:rPr>
        <w:t>Inaplicación de normas jurídicas</w:t>
      </w:r>
      <w:bookmarkEnd w:id="1588"/>
      <w:r w:rsidRPr="00924F59">
        <w:rPr>
          <w:rStyle w:val="TextoNormalCaracter"/>
        </w:rPr>
        <w:t xml:space="preserve">, Sentencia </w:t>
      </w:r>
      <w:hyperlink w:anchor="SENTENCIA_2016_102" w:history="1">
        <w:r w:rsidRPr="00924F59">
          <w:rPr>
            <w:rStyle w:val="TextoNormalCaracter"/>
          </w:rPr>
          <w:t>102/2016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589" w:name="DESCRIPTORALFABETICO824"/>
      <w:r w:rsidRPr="00924F59">
        <w:rPr>
          <w:rStyle w:val="TextoNormalNegritaCaracter"/>
        </w:rPr>
        <w:t>Incidente de nulidad de actuaciones</w:t>
      </w:r>
      <w:bookmarkEnd w:id="1589"/>
      <w:r w:rsidRPr="00924F59">
        <w:rPr>
          <w:rStyle w:val="TextoNormalCaracter"/>
        </w:rPr>
        <w:t xml:space="preserve">, Autos </w:t>
      </w:r>
      <w:hyperlink w:anchor="AUTO_2016_108" w:history="1">
        <w:r w:rsidRPr="00924F59">
          <w:rPr>
            <w:rStyle w:val="TextoNormalCaracter"/>
          </w:rPr>
          <w:t>108/2016</w:t>
        </w:r>
      </w:hyperlink>
      <w:r w:rsidRPr="00924F59">
        <w:rPr>
          <w:rStyle w:val="TextoNormalCaracter"/>
        </w:rPr>
        <w:t xml:space="preserve">, único; </w:t>
      </w:r>
      <w:hyperlink w:anchor="AUTO_2016_109" w:history="1">
        <w:r w:rsidRPr="00924F59">
          <w:rPr>
            <w:rStyle w:val="TextoNormalCaracter"/>
          </w:rPr>
          <w:t>109/2016</w:t>
        </w:r>
      </w:hyperlink>
      <w:r w:rsidRPr="00924F59">
        <w:rPr>
          <w:rStyle w:val="TextoNormalCaracter"/>
        </w:rPr>
        <w:t>, f. 3.</w:t>
      </w:r>
    </w:p>
    <w:p w:rsidR="00924F59" w:rsidRPr="00924F59" w:rsidRDefault="00924F59" w:rsidP="00924F59">
      <w:pPr>
        <w:pStyle w:val="TextoNormalSangraFrancesa"/>
        <w:rPr>
          <w:rStyle w:val="TextoNormalCaracter"/>
        </w:rPr>
      </w:pPr>
      <w:bookmarkStart w:id="1590" w:name="DESCRIPTORALFABETICO826"/>
      <w:r w:rsidRPr="00924F59">
        <w:rPr>
          <w:rStyle w:val="TextoNormalNegritaCaracter"/>
        </w:rPr>
        <w:t>Incidente de nulidad de actuaciones improcedente</w:t>
      </w:r>
      <w:bookmarkEnd w:id="1590"/>
      <w:r w:rsidRPr="00924F59">
        <w:rPr>
          <w:rStyle w:val="TextoNormalCaracter"/>
        </w:rPr>
        <w:t xml:space="preserve">, Sentencia </w:t>
      </w:r>
      <w:hyperlink w:anchor="SENTENCIA_2016_58" w:history="1">
        <w:r w:rsidRPr="00924F59">
          <w:rPr>
            <w:rStyle w:val="TextoNormalCaracter"/>
          </w:rPr>
          <w:t>58/2016</w:t>
        </w:r>
      </w:hyperlink>
      <w:r w:rsidRPr="00924F59">
        <w:rPr>
          <w:rStyle w:val="TextoNormalCaracter"/>
        </w:rPr>
        <w:t>, f. 6.</w:t>
      </w:r>
    </w:p>
    <w:p w:rsidR="00924F59" w:rsidRPr="00924F59" w:rsidRDefault="00924F59" w:rsidP="00924F59">
      <w:pPr>
        <w:pStyle w:val="TextoNormalSangraFrancesa"/>
        <w:rPr>
          <w:rStyle w:val="TextoNormalCaracter"/>
        </w:rPr>
      </w:pPr>
      <w:bookmarkStart w:id="1591" w:name="DESCRIPTORALFABETICO677"/>
      <w:r w:rsidRPr="00924F59">
        <w:rPr>
          <w:rStyle w:val="TextoNormalNegritaCaracter"/>
        </w:rPr>
        <w:t>Inclusión de normas con vocación de permanencia en las leyes de presupuestos</w:t>
      </w:r>
      <w:bookmarkEnd w:id="1591"/>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 8.</w:t>
      </w:r>
    </w:p>
    <w:p w:rsidR="00924F59" w:rsidRPr="00924F59" w:rsidRDefault="00924F59" w:rsidP="00924F59">
      <w:pPr>
        <w:pStyle w:val="TextoNormalSangraFrancesa"/>
        <w:rPr>
          <w:rStyle w:val="TextoNormalCaracter"/>
        </w:rPr>
      </w:pPr>
      <w:bookmarkStart w:id="1592" w:name="DESCRIPTORALFABETICO757"/>
      <w:r w:rsidRPr="00924F59">
        <w:rPr>
          <w:rStyle w:val="TextoNormalNegritaCaracter"/>
        </w:rPr>
        <w:t>Incompatibilidad de pensiones</w:t>
      </w:r>
      <w:bookmarkEnd w:id="1592"/>
      <w:r w:rsidRPr="00924F59">
        <w:rPr>
          <w:rStyle w:val="TextoNormalCaracter"/>
        </w:rPr>
        <w:t xml:space="preserve">, Sentencia </w:t>
      </w:r>
      <w:hyperlink w:anchor="SENTENCIA_2016_18" w:history="1">
        <w:r w:rsidRPr="00924F59">
          <w:rPr>
            <w:rStyle w:val="TextoNormalCaracter"/>
          </w:rPr>
          <w:t>18/2016</w:t>
        </w:r>
      </w:hyperlink>
      <w:r w:rsidRPr="00924F59">
        <w:rPr>
          <w:rStyle w:val="TextoNormalCaracter"/>
        </w:rPr>
        <w:t>, f. 6.</w:t>
      </w:r>
    </w:p>
    <w:p w:rsidR="00924F59" w:rsidRPr="00924F59" w:rsidRDefault="00924F59" w:rsidP="00924F59">
      <w:pPr>
        <w:pStyle w:val="TextoNormalSangraFrancesa"/>
        <w:rPr>
          <w:rStyle w:val="TextoNormalCaracter"/>
        </w:rPr>
      </w:pPr>
      <w:bookmarkStart w:id="1593" w:name="DESCRIPTORALFABETICO177"/>
      <w:r w:rsidRPr="00924F59">
        <w:rPr>
          <w:rStyle w:val="TextoNormalNegritaCaracter"/>
        </w:rPr>
        <w:t>Incongruencia con relevancia constitucional</w:t>
      </w:r>
      <w:bookmarkEnd w:id="1593"/>
      <w:r w:rsidRPr="00924F59">
        <w:rPr>
          <w:rStyle w:val="TextoNormalCaracter"/>
        </w:rPr>
        <w:t xml:space="preserve">, Sentencia </w:t>
      </w:r>
      <w:hyperlink w:anchor="SENTENCIA_2016_49" w:history="1">
        <w:r w:rsidRPr="00924F59">
          <w:rPr>
            <w:rStyle w:val="TextoNormalCaracter"/>
          </w:rPr>
          <w:t>49/2016</w:t>
        </w:r>
      </w:hyperlink>
      <w:r w:rsidRPr="00924F59">
        <w:rPr>
          <w:rStyle w:val="TextoNormalCaracter"/>
        </w:rPr>
        <w:t>, f. 3.</w:t>
      </w:r>
    </w:p>
    <w:p w:rsidR="00924F59" w:rsidRPr="00924F59" w:rsidRDefault="00924F59" w:rsidP="00924F59">
      <w:pPr>
        <w:pStyle w:val="TextoNormalSangraFrancesa"/>
        <w:rPr>
          <w:rStyle w:val="TextoNormalCaracter"/>
        </w:rPr>
      </w:pPr>
      <w:bookmarkStart w:id="1594" w:name="DESCRIPTORALFABETICO176"/>
      <w:r w:rsidRPr="00924F59">
        <w:rPr>
          <w:rStyle w:val="TextoNormalNegritaCaracter"/>
        </w:rPr>
        <w:t>Incongruencia de las resoluciones judiciales</w:t>
      </w:r>
      <w:bookmarkEnd w:id="1594"/>
      <w:r w:rsidRPr="00924F59">
        <w:rPr>
          <w:rStyle w:val="TextoNormalCaracter"/>
        </w:rPr>
        <w:t xml:space="preserve">, Sentencia </w:t>
      </w:r>
      <w:hyperlink w:anchor="SENTENCIA_2016_49" w:history="1">
        <w:r w:rsidRPr="00924F59">
          <w:rPr>
            <w:rStyle w:val="TextoNormalCaracter"/>
          </w:rPr>
          <w:t>49/2016</w:t>
        </w:r>
      </w:hyperlink>
      <w:r w:rsidRPr="00924F59">
        <w:rPr>
          <w:rStyle w:val="TextoNormalCaracter"/>
        </w:rPr>
        <w:t>, f. 3.</w:t>
      </w:r>
    </w:p>
    <w:p w:rsidR="00924F59" w:rsidRPr="00924F59" w:rsidRDefault="00924F59" w:rsidP="00924F59">
      <w:pPr>
        <w:pStyle w:val="TextoNormalSangraFrancesa"/>
        <w:rPr>
          <w:rStyle w:val="TextoNormalCaracter"/>
        </w:rPr>
      </w:pPr>
      <w:bookmarkStart w:id="1595" w:name="DESCRIPTORALFABETICO178"/>
      <w:r w:rsidRPr="00924F59">
        <w:rPr>
          <w:rStyle w:val="TextoNormalNegritaCaracter"/>
        </w:rPr>
        <w:t>Incongruencia omisiva</w:t>
      </w:r>
      <w:bookmarkEnd w:id="1595"/>
      <w:r w:rsidRPr="00924F59">
        <w:rPr>
          <w:rStyle w:val="TextoNormalCaracter"/>
        </w:rPr>
        <w:t xml:space="preserve">, Sentencia </w:t>
      </w:r>
      <w:hyperlink w:anchor="SENTENCIA_2016_3" w:history="1">
        <w:r w:rsidRPr="00924F59">
          <w:rPr>
            <w:rStyle w:val="TextoNormalCaracter"/>
          </w:rPr>
          <w:t>3/2016</w:t>
        </w:r>
      </w:hyperlink>
      <w:r w:rsidRPr="00924F59">
        <w:rPr>
          <w:rStyle w:val="TextoNormalCaracter"/>
        </w:rPr>
        <w:t>, f. 6.</w:t>
      </w:r>
    </w:p>
    <w:p w:rsidR="00924F59" w:rsidRPr="00924F59" w:rsidRDefault="00924F59" w:rsidP="00924F59">
      <w:pPr>
        <w:pStyle w:val="TextoNormalSangraFrancesa"/>
        <w:rPr>
          <w:rStyle w:val="TextoNormalCaracter"/>
        </w:rPr>
      </w:pPr>
      <w:bookmarkStart w:id="1596" w:name="DESCRIPTORALFABETICO295"/>
      <w:r w:rsidRPr="00924F59">
        <w:rPr>
          <w:rStyle w:val="TextoNormalNegritaCaracter"/>
        </w:rPr>
        <w:t>Inconstitucionalidad mediata</w:t>
      </w:r>
      <w:bookmarkEnd w:id="1596"/>
      <w:r w:rsidRPr="00924F59">
        <w:rPr>
          <w:rStyle w:val="TextoNormalCaracter"/>
        </w:rPr>
        <w:t xml:space="preserve">, Sentencias </w:t>
      </w:r>
      <w:hyperlink w:anchor="SENTENCIA_2016_17" w:history="1">
        <w:r w:rsidRPr="00924F59">
          <w:rPr>
            <w:rStyle w:val="TextoNormalCaracter"/>
          </w:rPr>
          <w:t>17/2016</w:t>
        </w:r>
      </w:hyperlink>
      <w:r w:rsidRPr="00924F59">
        <w:rPr>
          <w:rStyle w:val="TextoNormalCaracter"/>
        </w:rPr>
        <w:t xml:space="preserve">, f. 3; </w:t>
      </w:r>
      <w:hyperlink w:anchor="SENTENCIA_2016_59" w:history="1">
        <w:r w:rsidRPr="00924F59">
          <w:rPr>
            <w:rStyle w:val="TextoNormalCaracter"/>
          </w:rPr>
          <w:t>59/2016</w:t>
        </w:r>
      </w:hyperlink>
      <w:r w:rsidRPr="00924F59">
        <w:rPr>
          <w:rStyle w:val="TextoNormalCaracter"/>
        </w:rPr>
        <w:t xml:space="preserve">, ff. 3 a 5; </w:t>
      </w:r>
      <w:hyperlink w:anchor="SENTENCIA_2016_62" w:history="1">
        <w:r w:rsidRPr="00924F59">
          <w:rPr>
            <w:rStyle w:val="TextoNormalCaracter"/>
          </w:rPr>
          <w:t>62/2016</w:t>
        </w:r>
      </w:hyperlink>
      <w:r w:rsidRPr="00924F59">
        <w:rPr>
          <w:rStyle w:val="TextoNormalCaracter"/>
        </w:rPr>
        <w:t xml:space="preserve">, ff. 8, 10, 11; </w:t>
      </w:r>
      <w:hyperlink w:anchor="SENTENCIA_2016_88" w:history="1">
        <w:r w:rsidRPr="00924F59">
          <w:rPr>
            <w:rStyle w:val="TextoNormalCaracter"/>
          </w:rPr>
          <w:t>88/2016</w:t>
        </w:r>
      </w:hyperlink>
      <w:r w:rsidRPr="00924F59">
        <w:rPr>
          <w:rStyle w:val="TextoNormalCaracter"/>
        </w:rPr>
        <w:t xml:space="preserve">, ff. 3, 4; </w:t>
      </w:r>
      <w:hyperlink w:anchor="SENTENCIA_2016_102" w:history="1">
        <w:r w:rsidRPr="00924F59">
          <w:rPr>
            <w:rStyle w:val="TextoNormalCaracter"/>
          </w:rPr>
          <w:t>102/2016</w:t>
        </w:r>
      </w:hyperlink>
      <w:r w:rsidRPr="00924F59">
        <w:rPr>
          <w:rStyle w:val="TextoNormalCaracter"/>
        </w:rPr>
        <w:t xml:space="preserve">, ff. 2 a 6; </w:t>
      </w:r>
      <w:hyperlink w:anchor="SENTENCIA_2016_116" w:history="1">
        <w:r w:rsidRPr="00924F59">
          <w:rPr>
            <w:rStyle w:val="TextoNormalCaracter"/>
          </w:rPr>
          <w:t>116/2016</w:t>
        </w:r>
      </w:hyperlink>
      <w:r w:rsidRPr="00924F59">
        <w:rPr>
          <w:rStyle w:val="TextoNormalCaracter"/>
        </w:rPr>
        <w:t>, f.2 a).</w:t>
      </w:r>
    </w:p>
    <w:p w:rsidR="00924F59" w:rsidRPr="00924F59" w:rsidRDefault="00924F59" w:rsidP="00924F59">
      <w:pPr>
        <w:pStyle w:val="TextoNormalSangraFrancesa"/>
        <w:rPr>
          <w:rStyle w:val="TextoNormalCaracter"/>
        </w:rPr>
      </w:pPr>
      <w:bookmarkStart w:id="1597" w:name="DESCRIPTORALFABETICO297"/>
      <w:r w:rsidRPr="00924F59">
        <w:rPr>
          <w:rStyle w:val="TextoNormalNegritaCaracter"/>
        </w:rPr>
        <w:t>Inconstitucionalidad por conexión</w:t>
      </w:r>
      <w:bookmarkEnd w:id="1597"/>
      <w:r w:rsidRPr="00924F59">
        <w:rPr>
          <w:rStyle w:val="TextoNormalCaracter"/>
        </w:rPr>
        <w:t xml:space="preserve">, Sentencia </w:t>
      </w:r>
      <w:hyperlink w:anchor="SENTENCIA_2016_82" w:history="1">
        <w:r w:rsidRPr="00924F59">
          <w:rPr>
            <w:rStyle w:val="TextoNormalCaracter"/>
          </w:rPr>
          <w:t>82/2016</w:t>
        </w:r>
      </w:hyperlink>
      <w:r w:rsidRPr="00924F59">
        <w:rPr>
          <w:rStyle w:val="TextoNormalCaracter"/>
        </w:rPr>
        <w:t>, ff. 6, 7, VP.</w:t>
      </w:r>
    </w:p>
    <w:p w:rsidR="00924F59" w:rsidRPr="00924F59" w:rsidRDefault="00924F59" w:rsidP="00924F59">
      <w:pPr>
        <w:pStyle w:val="TextoNormalSangraFrancesa"/>
        <w:rPr>
          <w:rStyle w:val="TextoNormalCaracter"/>
        </w:rPr>
      </w:pPr>
      <w:bookmarkStart w:id="1598" w:name="DESCRIPTORALFABETICO298"/>
      <w:r w:rsidRPr="00924F59">
        <w:rPr>
          <w:rStyle w:val="TextoNormalNegritaCaracter"/>
        </w:rPr>
        <w:t>Inconstitucionalidad sobrevenida</w:t>
      </w:r>
      <w:bookmarkEnd w:id="1598"/>
      <w:r w:rsidRPr="00924F59">
        <w:rPr>
          <w:rStyle w:val="TextoNormalCaracter"/>
        </w:rPr>
        <w:t xml:space="preserve">, Sentencias </w:t>
      </w:r>
      <w:hyperlink w:anchor="SENTENCIA_2016_102" w:history="1">
        <w:r w:rsidRPr="00924F59">
          <w:rPr>
            <w:rStyle w:val="TextoNormalCaracter"/>
          </w:rPr>
          <w:t>102/2016</w:t>
        </w:r>
      </w:hyperlink>
      <w:r w:rsidRPr="00924F59">
        <w:rPr>
          <w:rStyle w:val="TextoNormalCaracter"/>
        </w:rPr>
        <w:t xml:space="preserve">, ff. 2 a 6; </w:t>
      </w:r>
      <w:hyperlink w:anchor="SENTENCIA_2016_116" w:history="1">
        <w:r w:rsidRPr="00924F59">
          <w:rPr>
            <w:rStyle w:val="TextoNormalCaracter"/>
          </w:rPr>
          <w:t>116/2016</w:t>
        </w:r>
      </w:hyperlink>
      <w:r w:rsidRPr="00924F59">
        <w:rPr>
          <w:rStyle w:val="TextoNormalCaracter"/>
        </w:rPr>
        <w:t>, f. 2 b).</w:t>
      </w:r>
    </w:p>
    <w:p w:rsidR="00924F59" w:rsidRPr="00924F59" w:rsidRDefault="00924F59" w:rsidP="00924F59">
      <w:pPr>
        <w:pStyle w:val="TextoNormalSangraFrancesa"/>
        <w:rPr>
          <w:rStyle w:val="TextoNormalCaracter"/>
        </w:rPr>
      </w:pPr>
      <w:bookmarkStart w:id="1599" w:name="DESCRIPTORALFABETICO495"/>
      <w:r w:rsidRPr="00924F59">
        <w:rPr>
          <w:rStyle w:val="TextoNormalNegritaCaracter"/>
        </w:rPr>
        <w:t>Incremento de retribuciones</w:t>
      </w:r>
      <w:bookmarkEnd w:id="1599"/>
      <w:r w:rsidRPr="00924F59">
        <w:rPr>
          <w:rStyle w:val="TextoNormalCaracter"/>
        </w:rPr>
        <w:t xml:space="preserve">, Sentencia </w:t>
      </w:r>
      <w:hyperlink w:anchor="SENTENCIA_2016_88" w:history="1">
        <w:r w:rsidRPr="00924F59">
          <w:rPr>
            <w:rStyle w:val="TextoNormalCaracter"/>
          </w:rPr>
          <w:t>88/2016</w:t>
        </w:r>
      </w:hyperlink>
      <w:r w:rsidRPr="00924F59">
        <w:rPr>
          <w:rStyle w:val="TextoNormalCaracter"/>
        </w:rPr>
        <w:t>, ff. 1 a 4.</w:t>
      </w:r>
    </w:p>
    <w:p w:rsidR="00924F59" w:rsidRPr="00924F59" w:rsidRDefault="00924F59" w:rsidP="00924F59">
      <w:pPr>
        <w:pStyle w:val="TextoNormalSangraFrancesa"/>
        <w:rPr>
          <w:rStyle w:val="TextoNormalCaracter"/>
        </w:rPr>
      </w:pPr>
      <w:bookmarkStart w:id="1600" w:name="DESCRIPTORALFABETICO334"/>
      <w:r w:rsidRPr="00924F59">
        <w:rPr>
          <w:rStyle w:val="TextoNormalNegritaCaracter"/>
        </w:rPr>
        <w:t>Incumplimiento generalizado de la doctrina constitucional</w:t>
      </w:r>
      <w:bookmarkEnd w:id="1600"/>
      <w:r w:rsidRPr="00924F59">
        <w:rPr>
          <w:rStyle w:val="TextoNormalCaracter"/>
        </w:rPr>
        <w:t xml:space="preserve">, Sentencias </w:t>
      </w:r>
      <w:hyperlink w:anchor="SENTENCIA_2016_51" w:history="1">
        <w:r w:rsidRPr="00924F59">
          <w:rPr>
            <w:rStyle w:val="TextoNormalCaracter"/>
          </w:rPr>
          <w:t>51/2016</w:t>
        </w:r>
      </w:hyperlink>
      <w:r w:rsidRPr="00924F59">
        <w:rPr>
          <w:rStyle w:val="TextoNormalCaracter"/>
        </w:rPr>
        <w:t xml:space="preserve">, f. 1; </w:t>
      </w:r>
      <w:hyperlink w:anchor="SENTENCIA_2016_63" w:history="1">
        <w:r w:rsidRPr="00924F59">
          <w:rPr>
            <w:rStyle w:val="TextoNormalCaracter"/>
          </w:rPr>
          <w:t>63/2016</w:t>
        </w:r>
      </w:hyperlink>
      <w:r w:rsidRPr="00924F59">
        <w:rPr>
          <w:rStyle w:val="TextoNormalCaracter"/>
        </w:rPr>
        <w:t xml:space="preserve">, f. 2; </w:t>
      </w:r>
      <w:hyperlink w:anchor="SENTENCIA_2016_75" w:history="1">
        <w:r w:rsidRPr="00924F59">
          <w:rPr>
            <w:rStyle w:val="TextoNormalCaracter"/>
          </w:rPr>
          <w:t>75/2016</w:t>
        </w:r>
      </w:hyperlink>
      <w:r w:rsidRPr="00924F59">
        <w:rPr>
          <w:rStyle w:val="TextoNormalCaracter"/>
        </w:rPr>
        <w:t xml:space="preserve">, f. 2; </w:t>
      </w:r>
      <w:hyperlink w:anchor="SENTENCIA_2016_76" w:history="1">
        <w:r w:rsidRPr="00924F59">
          <w:rPr>
            <w:rStyle w:val="TextoNormalCaracter"/>
          </w:rPr>
          <w:t>76/2016</w:t>
        </w:r>
      </w:hyperlink>
      <w:r w:rsidRPr="00924F59">
        <w:rPr>
          <w:rStyle w:val="TextoNormalCaracter"/>
        </w:rPr>
        <w:t xml:space="preserve">, f. 2; </w:t>
      </w:r>
      <w:hyperlink w:anchor="SENTENCIA_2016_77" w:history="1">
        <w:r w:rsidRPr="00924F59">
          <w:rPr>
            <w:rStyle w:val="TextoNormalCaracter"/>
          </w:rPr>
          <w:t>77/2016</w:t>
        </w:r>
      </w:hyperlink>
      <w:r w:rsidRPr="00924F59">
        <w:rPr>
          <w:rStyle w:val="TextoNormalCaracter"/>
        </w:rPr>
        <w:t xml:space="preserve">, f. 2; </w:t>
      </w:r>
      <w:hyperlink w:anchor="SENTENCIA_2016_89" w:history="1">
        <w:r w:rsidRPr="00924F59">
          <w:rPr>
            <w:rStyle w:val="TextoNormalCaracter"/>
          </w:rPr>
          <w:t>89/2016</w:t>
        </w:r>
      </w:hyperlink>
      <w:r w:rsidRPr="00924F59">
        <w:rPr>
          <w:rStyle w:val="TextoNormalCaracter"/>
        </w:rPr>
        <w:t xml:space="preserve">, f. 2; </w:t>
      </w:r>
      <w:hyperlink w:anchor="SENTENCIA_2016_103" w:history="1">
        <w:r w:rsidRPr="00924F59">
          <w:rPr>
            <w:rStyle w:val="TextoNormalCaracter"/>
          </w:rPr>
          <w:t>103/2016</w:t>
        </w:r>
      </w:hyperlink>
      <w:r w:rsidRPr="00924F59">
        <w:rPr>
          <w:rStyle w:val="TextoNormalCaracter"/>
        </w:rPr>
        <w:t>, f. 2.</w:t>
      </w:r>
    </w:p>
    <w:p w:rsidR="00924F59" w:rsidRPr="00924F59" w:rsidRDefault="00924F59" w:rsidP="00924F59">
      <w:pPr>
        <w:pStyle w:val="TextoNormalSangraFrancesa"/>
        <w:rPr>
          <w:rStyle w:val="TextoNormalCaracter"/>
        </w:rPr>
      </w:pPr>
      <w:bookmarkStart w:id="1601" w:name="DESCRIPTORALFABETICO510"/>
      <w:r w:rsidRPr="00924F59">
        <w:rPr>
          <w:rStyle w:val="TextoNormalNegritaCaracter"/>
        </w:rPr>
        <w:t>Indemnización frente a la Administración</w:t>
      </w:r>
      <w:bookmarkEnd w:id="1601"/>
      <w:r w:rsidRPr="00924F59">
        <w:rPr>
          <w:rStyle w:val="TextoNormalCaracter"/>
        </w:rPr>
        <w:t xml:space="preserve">, Auto </w:t>
      </w:r>
      <w:hyperlink w:anchor="AUTO_2016_100" w:history="1">
        <w:r w:rsidRPr="00924F59">
          <w:rPr>
            <w:rStyle w:val="TextoNormalCaracter"/>
          </w:rPr>
          <w:t>100/2016</w:t>
        </w:r>
      </w:hyperlink>
      <w:r w:rsidRPr="00924F59">
        <w:rPr>
          <w:rStyle w:val="TextoNormalCaracter"/>
        </w:rPr>
        <w:t>, f. 2.</w:t>
      </w:r>
    </w:p>
    <w:p w:rsidR="00924F59" w:rsidRPr="00924F59" w:rsidRDefault="00924F59" w:rsidP="00924F59">
      <w:pPr>
        <w:pStyle w:val="TextoNormalSangraFrancesa"/>
        <w:rPr>
          <w:rStyle w:val="TextoNormalCaracter"/>
        </w:rPr>
      </w:pPr>
      <w:bookmarkStart w:id="1602" w:name="DESCRIPTORALFABETICO741"/>
      <w:r w:rsidRPr="00924F59">
        <w:rPr>
          <w:rStyle w:val="TextoNormalNegritaCaracter"/>
        </w:rPr>
        <w:t>Indemnización por responsabilidad civil</w:t>
      </w:r>
      <w:bookmarkEnd w:id="1602"/>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 ff. 1, 3, 4, VP I, VP II.</w:t>
      </w:r>
    </w:p>
    <w:p w:rsidR="00924F59" w:rsidRPr="00924F59" w:rsidRDefault="00924F59" w:rsidP="00924F59">
      <w:pPr>
        <w:pStyle w:val="TextoNormalSangraFrancesa"/>
        <w:rPr>
          <w:rStyle w:val="TextoNormalCaracter"/>
        </w:rPr>
      </w:pPr>
      <w:bookmarkStart w:id="1603" w:name="DESCRIPTORALFABETICO744"/>
      <w:r w:rsidRPr="00924F59">
        <w:rPr>
          <w:rStyle w:val="TextoNormalNegritaCaracter"/>
        </w:rPr>
        <w:t>Indulto</w:t>
      </w:r>
      <w:bookmarkEnd w:id="1603"/>
      <w:r w:rsidRPr="00924F59">
        <w:rPr>
          <w:rStyle w:val="TextoNormalCaracter"/>
        </w:rPr>
        <w:t xml:space="preserve">, Sentencias </w:t>
      </w:r>
      <w:hyperlink w:anchor="SENTENCIA_2016_12" w:history="1">
        <w:r w:rsidRPr="00924F59">
          <w:rPr>
            <w:rStyle w:val="TextoNormalCaracter"/>
          </w:rPr>
          <w:t>12/2016</w:t>
        </w:r>
      </w:hyperlink>
      <w:r w:rsidRPr="00924F59">
        <w:rPr>
          <w:rStyle w:val="TextoNormalCaracter"/>
        </w:rPr>
        <w:t xml:space="preserve">, ff. 4, 5; </w:t>
      </w:r>
      <w:hyperlink w:anchor="SENTENCIA_2016_14" w:history="1">
        <w:r w:rsidRPr="00924F59">
          <w:rPr>
            <w:rStyle w:val="TextoNormalCaracter"/>
          </w:rPr>
          <w:t>14/2016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1604" w:name="DESCRIPTORALFABETICO712"/>
      <w:r w:rsidRPr="00924F59">
        <w:rPr>
          <w:rStyle w:val="TextoNormalNegritaCaracter"/>
        </w:rPr>
        <w:t>Inexistencia de reserva reglamentaria</w:t>
      </w:r>
      <w:bookmarkEnd w:id="1604"/>
      <w:r w:rsidRPr="00924F59">
        <w:rPr>
          <w:rStyle w:val="TextoNormalCaracter"/>
        </w:rPr>
        <w:t xml:space="preserve">, Sentencia </w:t>
      </w:r>
      <w:hyperlink w:anchor="SENTENCIA_2016_61" w:history="1">
        <w:r w:rsidRPr="00924F59">
          <w:rPr>
            <w:rStyle w:val="TextoNormalCaracter"/>
          </w:rPr>
          <w:t>61/2016</w:t>
        </w:r>
      </w:hyperlink>
      <w:r w:rsidRPr="00924F59">
        <w:rPr>
          <w:rStyle w:val="TextoNormalCaracter"/>
        </w:rPr>
        <w:t>, f. 7.</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101" w:history="1">
        <w:r w:rsidRPr="00924F59">
          <w:rPr>
            <w:rStyle w:val="TextoNormalCaracter"/>
          </w:rPr>
          <w:t>101/2016</w:t>
        </w:r>
      </w:hyperlink>
      <w:r w:rsidRPr="00924F59">
        <w:rPr>
          <w:rStyle w:val="TextoNormalCaracter"/>
        </w:rPr>
        <w:t xml:space="preserve">, f. 4; </w:t>
      </w:r>
      <w:hyperlink w:anchor="AUTO_2016_102" w:history="1">
        <w:r w:rsidRPr="00924F59">
          <w:rPr>
            <w:rStyle w:val="TextoNormalCaracter"/>
          </w:rPr>
          <w:t>102/2016</w:t>
        </w:r>
      </w:hyperlink>
      <w:r w:rsidRPr="00924F59">
        <w:rPr>
          <w:rStyle w:val="TextoNormalCaracter"/>
        </w:rPr>
        <w:t xml:space="preserve">, f. 4; </w:t>
      </w:r>
      <w:hyperlink w:anchor="AUTO_2016_103" w:history="1">
        <w:r w:rsidRPr="00924F59">
          <w:rPr>
            <w:rStyle w:val="TextoNormalCaracter"/>
          </w:rPr>
          <w:t>103/2016</w:t>
        </w:r>
      </w:hyperlink>
      <w:r w:rsidRPr="00924F59">
        <w:rPr>
          <w:rStyle w:val="TextoNormalCaracter"/>
        </w:rPr>
        <w:t>, f. 5.</w:t>
      </w:r>
    </w:p>
    <w:p w:rsidR="00924F59" w:rsidRPr="00924F59" w:rsidRDefault="00924F59" w:rsidP="00924F59">
      <w:pPr>
        <w:pStyle w:val="TextoNormalSangraFrancesa"/>
        <w:rPr>
          <w:rStyle w:val="TextoNormalCaracter"/>
        </w:rPr>
      </w:pPr>
      <w:bookmarkStart w:id="1605" w:name="DESCRIPTORALFABETICO729"/>
      <w:r w:rsidRPr="00924F59">
        <w:rPr>
          <w:rStyle w:val="TextoNormalNegritaCaracter"/>
        </w:rPr>
        <w:t>Información pública</w:t>
      </w:r>
      <w:bookmarkEnd w:id="1605"/>
      <w:r w:rsidRPr="00924F59">
        <w:rPr>
          <w:rStyle w:val="TextoNormalCaracter"/>
        </w:rPr>
        <w:t xml:space="preserve">, Auto </w:t>
      </w:r>
      <w:hyperlink w:anchor="AUTO_2016_104" w:history="1">
        <w:r w:rsidRPr="00924F59">
          <w:rPr>
            <w:rStyle w:val="TextoNormalCaracter"/>
          </w:rPr>
          <w:t>104/2016</w:t>
        </w:r>
      </w:hyperlink>
      <w:r w:rsidRPr="00924F59">
        <w:rPr>
          <w:rStyle w:val="TextoNormalCaracter"/>
        </w:rPr>
        <w:t>, ff. 1, a 4.</w:t>
      </w:r>
    </w:p>
    <w:p w:rsidR="00924F59" w:rsidRPr="00924F59" w:rsidRDefault="00924F59" w:rsidP="00924F59">
      <w:pPr>
        <w:pStyle w:val="TextoNormalSangraFrancesa"/>
        <w:rPr>
          <w:rStyle w:val="TextoNormalCaracter"/>
        </w:rPr>
      </w:pPr>
      <w:bookmarkStart w:id="1606" w:name="DESCRIPTORALFABETICO626"/>
      <w:r w:rsidRPr="00924F59">
        <w:rPr>
          <w:rStyle w:val="TextoNormalNegritaCaracter"/>
        </w:rPr>
        <w:t>Informe de evaluación de los edificios</w:t>
      </w:r>
      <w:bookmarkEnd w:id="1606"/>
      <w:r w:rsidRPr="00924F59">
        <w:rPr>
          <w:rStyle w:val="TextoNormalCaracter"/>
        </w:rPr>
        <w:t xml:space="preserve">, Sentencia </w:t>
      </w:r>
      <w:hyperlink w:anchor="SENTENCIA_2016_5" w:history="1">
        <w:r w:rsidRPr="00924F59">
          <w:rPr>
            <w:rStyle w:val="TextoNormalCaracter"/>
          </w:rPr>
          <w:t>5/2016</w:t>
        </w:r>
      </w:hyperlink>
      <w:r w:rsidRPr="00924F59">
        <w:rPr>
          <w:rStyle w:val="TextoNormalCaracter"/>
        </w:rPr>
        <w:t>, f. 2.</w:t>
      </w:r>
    </w:p>
    <w:p w:rsidR="00924F59" w:rsidRPr="00924F59" w:rsidRDefault="00924F59" w:rsidP="00924F59">
      <w:pPr>
        <w:pStyle w:val="TextoNormalSangraFrancesa"/>
        <w:rPr>
          <w:rStyle w:val="TextoNormalCaracter"/>
        </w:rPr>
      </w:pPr>
      <w:bookmarkStart w:id="1607" w:name="DESCRIPTORALFABETICO473"/>
      <w:r w:rsidRPr="00924F59">
        <w:rPr>
          <w:rStyle w:val="TextoNormalNegritaCaracter"/>
        </w:rPr>
        <w:t>Informes administrativos</w:t>
      </w:r>
      <w:bookmarkEnd w:id="1607"/>
      <w:r w:rsidRPr="00924F59">
        <w:rPr>
          <w:rStyle w:val="TextoNormalCaracter"/>
        </w:rPr>
        <w:t xml:space="preserve">, Sentencia </w:t>
      </w:r>
      <w:hyperlink w:anchor="SENTENCIA_2016_85" w:history="1">
        <w:r w:rsidRPr="00924F59">
          <w:rPr>
            <w:rStyle w:val="TextoNormalCaracter"/>
          </w:rPr>
          <w:t>85/2016</w:t>
        </w:r>
      </w:hyperlink>
      <w:r w:rsidRPr="00924F59">
        <w:rPr>
          <w:rStyle w:val="TextoNormalCaracter"/>
        </w:rPr>
        <w:t>, f. 6.</w:t>
      </w:r>
    </w:p>
    <w:p w:rsidR="00924F59" w:rsidRPr="00924F59" w:rsidRDefault="00924F59" w:rsidP="00924F59">
      <w:pPr>
        <w:pStyle w:val="TextoNormalSangraFrancesa"/>
        <w:rPr>
          <w:rStyle w:val="TextoNormalCaracter"/>
        </w:rPr>
      </w:pPr>
      <w:bookmarkStart w:id="1608" w:name="DESCRIPTORALFABETICO382"/>
      <w:r w:rsidRPr="00924F59">
        <w:rPr>
          <w:rStyle w:val="TextoNormalNegritaCaracter"/>
        </w:rPr>
        <w:t>Informes del Ministerio Fiscal</w:t>
      </w:r>
      <w:bookmarkEnd w:id="1608"/>
      <w:r w:rsidRPr="00924F59">
        <w:rPr>
          <w:rStyle w:val="TextoNormalCaracter"/>
        </w:rPr>
        <w:t xml:space="preserve">, Sentencias </w:t>
      </w:r>
      <w:hyperlink w:anchor="SENTENCIA_2016_22" w:history="1">
        <w:r w:rsidRPr="00924F59">
          <w:rPr>
            <w:rStyle w:val="TextoNormalCaracter"/>
          </w:rPr>
          <w:t>22/2016</w:t>
        </w:r>
      </w:hyperlink>
      <w:r w:rsidRPr="00924F59">
        <w:rPr>
          <w:rStyle w:val="TextoNormalCaracter"/>
        </w:rPr>
        <w:t xml:space="preserve">, ff. 1, 6; </w:t>
      </w:r>
      <w:hyperlink w:anchor="SENTENCIA_2016_50" w:history="1">
        <w:r w:rsidRPr="00924F59">
          <w:rPr>
            <w:rStyle w:val="TextoNormalCaracter"/>
          </w:rPr>
          <w:t>50/2016</w:t>
        </w:r>
      </w:hyperlink>
      <w:r w:rsidRPr="00924F59">
        <w:rPr>
          <w:rStyle w:val="TextoNormalCaracter"/>
        </w:rPr>
        <w:t>, ff. 1, 6.</w:t>
      </w:r>
    </w:p>
    <w:p w:rsidR="00924F59" w:rsidRPr="00924F59" w:rsidRDefault="00924F59" w:rsidP="00924F59">
      <w:pPr>
        <w:pStyle w:val="TextoNormalSangraFrancesa"/>
        <w:rPr>
          <w:rStyle w:val="TextoNormalCaracter"/>
        </w:rPr>
      </w:pPr>
      <w:bookmarkStart w:id="1609" w:name="DESCRIPTORALFABETICO821"/>
      <w:r w:rsidRPr="00924F59">
        <w:rPr>
          <w:rStyle w:val="TextoNormalNegritaCaracter"/>
        </w:rPr>
        <w:t>Informes médicos</w:t>
      </w:r>
      <w:bookmarkEnd w:id="1609"/>
      <w:r w:rsidRPr="00924F59">
        <w:rPr>
          <w:rStyle w:val="TextoNormalCaracter"/>
        </w:rPr>
        <w:t xml:space="preserve">, Sentencia </w:t>
      </w:r>
      <w:hyperlink w:anchor="SENTENCIA_2016_13" w:history="1">
        <w:r w:rsidRPr="00924F59">
          <w:rPr>
            <w:rStyle w:val="TextoNormalCaracter"/>
          </w:rPr>
          <w:t>13/2016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1610" w:name="DESCRIPTORALFABETICO533"/>
      <w:r w:rsidRPr="00924F59">
        <w:rPr>
          <w:rStyle w:val="TextoNormalNegritaCaracter"/>
        </w:rPr>
        <w:t>Infracciones administrativas</w:t>
      </w:r>
      <w:bookmarkEnd w:id="1610"/>
      <w:r w:rsidRPr="00924F59">
        <w:rPr>
          <w:rStyle w:val="TextoNormalCaracter"/>
        </w:rPr>
        <w:t xml:space="preserve">, Sentencia </w:t>
      </w:r>
      <w:hyperlink w:anchor="SENTENCIA_2016_117" w:history="1">
        <w:r w:rsidRPr="00924F59">
          <w:rPr>
            <w:rStyle w:val="TextoNormalCaracter"/>
          </w:rPr>
          <w:t>117/2016</w:t>
        </w:r>
      </w:hyperlink>
      <w:r w:rsidRPr="00924F59">
        <w:rPr>
          <w:rStyle w:val="TextoNormalCaracter"/>
        </w:rPr>
        <w:t>, ff. 1, 3, 4.</w:t>
      </w:r>
    </w:p>
    <w:p w:rsidR="00924F59" w:rsidRPr="00924F59" w:rsidRDefault="00924F59" w:rsidP="00924F59">
      <w:pPr>
        <w:pStyle w:val="TextoNormalSangraFrancesa"/>
        <w:rPr>
          <w:rStyle w:val="TextoNormalCaracter"/>
        </w:rPr>
      </w:pPr>
      <w:bookmarkStart w:id="1611" w:name="DESCRIPTORALFABETICO784"/>
      <w:r w:rsidRPr="00924F59">
        <w:rPr>
          <w:rStyle w:val="TextoNormalNegritaCaracter"/>
        </w:rPr>
        <w:t>Infracciones en materia de empleo</w:t>
      </w:r>
      <w:bookmarkEnd w:id="1611"/>
      <w:r w:rsidRPr="00924F59">
        <w:rPr>
          <w:rStyle w:val="TextoNormalCaracter"/>
        </w:rPr>
        <w:t xml:space="preserve">, Sentencia </w:t>
      </w:r>
      <w:hyperlink w:anchor="SENTENCIA_2016_21" w:history="1">
        <w:r w:rsidRPr="00924F59">
          <w:rPr>
            <w:rStyle w:val="TextoNormalCaracter"/>
          </w:rPr>
          <w:t>21/2016</w:t>
        </w:r>
      </w:hyperlink>
      <w:r w:rsidRPr="00924F59">
        <w:rPr>
          <w:rStyle w:val="TextoNormalCaracter"/>
        </w:rPr>
        <w:t>, ff. 1, 3.</w:t>
      </w:r>
    </w:p>
    <w:p w:rsidR="00924F59" w:rsidRPr="00924F59" w:rsidRDefault="00924F59" w:rsidP="00924F59">
      <w:pPr>
        <w:pStyle w:val="TextoNormalSangraFrancesa"/>
        <w:rPr>
          <w:rStyle w:val="TextoNormalCaracter"/>
        </w:rPr>
      </w:pPr>
      <w:bookmarkStart w:id="1612" w:name="DESCRIPTORALFABETICO770"/>
      <w:r w:rsidRPr="00924F59">
        <w:rPr>
          <w:rStyle w:val="TextoNormalNegritaCaracter"/>
        </w:rPr>
        <w:t>Infraestructuras de telecomunicaciones</w:t>
      </w:r>
      <w:bookmarkEnd w:id="1612"/>
      <w:r w:rsidRPr="00924F59">
        <w:rPr>
          <w:rStyle w:val="TextoNormalCaracter"/>
        </w:rPr>
        <w:t xml:space="preserve">, Sentencias </w:t>
      </w:r>
      <w:hyperlink w:anchor="SENTENCIA_2016_8" w:history="1">
        <w:r w:rsidRPr="00924F59">
          <w:rPr>
            <w:rStyle w:val="TextoNormalCaracter"/>
          </w:rPr>
          <w:t>8/2016</w:t>
        </w:r>
      </w:hyperlink>
      <w:r w:rsidRPr="00924F59">
        <w:rPr>
          <w:rStyle w:val="TextoNormalCaracter"/>
        </w:rPr>
        <w:t xml:space="preserve">, ff. 1, 2, 5 a 10; </w:t>
      </w:r>
      <w:hyperlink w:anchor="SENTENCIA_2016_20" w:history="1">
        <w:r w:rsidRPr="00924F59">
          <w:rPr>
            <w:rStyle w:val="TextoNormalCaracter"/>
          </w:rPr>
          <w:t>20/2016</w:t>
        </w:r>
      </w:hyperlink>
      <w:r w:rsidRPr="00924F59">
        <w:rPr>
          <w:rStyle w:val="TextoNormalCaracter"/>
        </w:rPr>
        <w:t>, ff. 2, 3, 5, 6.</w:t>
      </w:r>
    </w:p>
    <w:p w:rsidR="00924F59" w:rsidRPr="00924F59" w:rsidRDefault="00924F59" w:rsidP="00924F59">
      <w:pPr>
        <w:pStyle w:val="TextoNormalSangraFrancesa"/>
        <w:rPr>
          <w:rStyle w:val="TextoNormalCaracter"/>
        </w:rPr>
      </w:pPr>
      <w:bookmarkStart w:id="1613" w:name="DESCRIPTORALFABETICO615"/>
      <w:r w:rsidRPr="00924F59">
        <w:rPr>
          <w:rStyle w:val="TextoNormalNegritaCaracter"/>
        </w:rPr>
        <w:t>Infraestructuras ferroviarias</w:t>
      </w:r>
      <w:bookmarkEnd w:id="1613"/>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3, 4, 8, 10, 11.</w:t>
      </w:r>
    </w:p>
    <w:p w:rsidR="00924F59" w:rsidRPr="00924F59" w:rsidRDefault="00924F59" w:rsidP="00924F59">
      <w:pPr>
        <w:pStyle w:val="TextoNormalSangraFrancesa"/>
        <w:rPr>
          <w:rStyle w:val="TextoNormalCaracter"/>
        </w:rPr>
      </w:pPr>
      <w:bookmarkStart w:id="1614" w:name="DESCRIPTORALFABETICO822"/>
      <w:r w:rsidRPr="00924F59">
        <w:rPr>
          <w:rStyle w:val="TextoNormalNegritaCaracter"/>
        </w:rPr>
        <w:t>Inidoneidad de certificado médico</w:t>
      </w:r>
      <w:bookmarkEnd w:id="1614"/>
      <w:r w:rsidRPr="00924F59">
        <w:rPr>
          <w:rStyle w:val="TextoNormalCaracter"/>
        </w:rPr>
        <w:t xml:space="preserve">, Sentencia </w:t>
      </w:r>
      <w:hyperlink w:anchor="SENTENCIA_2016_13" w:history="1">
        <w:r w:rsidRPr="00924F59">
          <w:rPr>
            <w:rStyle w:val="TextoNormalCaracter"/>
          </w:rPr>
          <w:t>13/2016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1615" w:name="DESCRIPTORALFABETICO504"/>
      <w:r w:rsidRPr="00924F59">
        <w:rPr>
          <w:rStyle w:val="TextoNormalNegritaCaracter"/>
        </w:rPr>
        <w:t>Inscripción en el Registro Civil</w:t>
      </w:r>
      <w:bookmarkEnd w:id="1615"/>
      <w:r w:rsidRPr="00924F59">
        <w:rPr>
          <w:rStyle w:val="TextoNormalCaracter"/>
        </w:rPr>
        <w:t xml:space="preserve">, Sentencia </w:t>
      </w:r>
      <w:hyperlink w:anchor="SENTENCIA_2016_11" w:history="1">
        <w:r w:rsidRPr="00924F59">
          <w:rPr>
            <w:rStyle w:val="TextoNormalCaracter"/>
          </w:rPr>
          <w:t>11/2016</w:t>
        </w:r>
      </w:hyperlink>
      <w:r w:rsidRPr="00924F59">
        <w:rPr>
          <w:rStyle w:val="TextoNormalCaracter"/>
        </w:rPr>
        <w:t>, f. 1.</w:t>
      </w:r>
    </w:p>
    <w:p w:rsidR="00924F59" w:rsidRPr="00924F59" w:rsidRDefault="00924F59" w:rsidP="00924F59">
      <w:pPr>
        <w:pStyle w:val="TextoNormalSangraFrancesa"/>
        <w:rPr>
          <w:rStyle w:val="TextoNormalCaracter"/>
        </w:rPr>
      </w:pPr>
      <w:bookmarkStart w:id="1616" w:name="DESCRIPTORALFABETICO778"/>
      <w:r w:rsidRPr="00924F59">
        <w:rPr>
          <w:rStyle w:val="TextoNormalNegritaCaracter"/>
        </w:rPr>
        <w:t>Inspección de Trabajo</w:t>
      </w:r>
      <w:bookmarkEnd w:id="1616"/>
      <w:r w:rsidRPr="00924F59">
        <w:rPr>
          <w:rStyle w:val="TextoNormalCaracter"/>
        </w:rPr>
        <w:t xml:space="preserve">, Sentencia </w:t>
      </w:r>
      <w:hyperlink w:anchor="SENTENCIA_2016_21" w:history="1">
        <w:r w:rsidRPr="00924F59">
          <w:rPr>
            <w:rStyle w:val="TextoNormalCaracter"/>
          </w:rPr>
          <w:t>21/2016</w:t>
        </w:r>
      </w:hyperlink>
      <w:r w:rsidRPr="00924F59">
        <w:rPr>
          <w:rStyle w:val="TextoNormalCaracter"/>
        </w:rPr>
        <w:t>, f. 1.</w:t>
      </w:r>
    </w:p>
    <w:p w:rsidR="00924F59" w:rsidRPr="00924F59" w:rsidRDefault="00924F59" w:rsidP="00924F59">
      <w:pPr>
        <w:pStyle w:val="TextoNormalSangraFrancesa"/>
        <w:rPr>
          <w:rStyle w:val="TextoNormalCaracter"/>
        </w:rPr>
      </w:pPr>
      <w:bookmarkStart w:id="1617" w:name="DESCRIPTORALFABETICO520"/>
      <w:r w:rsidRPr="00924F59">
        <w:rPr>
          <w:rStyle w:val="TextoNormalNegritaCaracter"/>
        </w:rPr>
        <w:t>Instalación de establecimientos comerciales</w:t>
      </w:r>
      <w:bookmarkEnd w:id="1617"/>
      <w:r w:rsidRPr="00924F59">
        <w:rPr>
          <w:rStyle w:val="TextoNormalCaracter"/>
        </w:rPr>
        <w:t xml:space="preserve">, Sentencia </w:t>
      </w:r>
      <w:hyperlink w:anchor="SENTENCIA_2016_73" w:history="1">
        <w:r w:rsidRPr="00924F59">
          <w:rPr>
            <w:rStyle w:val="TextoNormalCaracter"/>
          </w:rPr>
          <w:t>73/2016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618" w:name="DESCRIPTORALFABETICO563"/>
      <w:r w:rsidRPr="00924F59">
        <w:rPr>
          <w:rStyle w:val="TextoNormalNegritaCaracter"/>
        </w:rPr>
        <w:t>Instalaciones eléctricas</w:t>
      </w:r>
      <w:bookmarkEnd w:id="1618"/>
      <w:r w:rsidRPr="00924F59">
        <w:rPr>
          <w:rStyle w:val="TextoNormalCaracter"/>
        </w:rPr>
        <w:t xml:space="preserve">, Sentencias </w:t>
      </w:r>
      <w:hyperlink w:anchor="SENTENCIA_2016_32" w:history="1">
        <w:r w:rsidRPr="00924F59">
          <w:rPr>
            <w:rStyle w:val="TextoNormalCaracter"/>
          </w:rPr>
          <w:t>32/2016</w:t>
        </w:r>
      </w:hyperlink>
      <w:r w:rsidRPr="00924F59">
        <w:rPr>
          <w:rStyle w:val="TextoNormalCaracter"/>
        </w:rPr>
        <w:t xml:space="preserve">, ff. 5, 6, 8, 9, 11 a 13; </w:t>
      </w:r>
      <w:hyperlink w:anchor="SENTENCIA_2016_60" w:history="1">
        <w:r w:rsidRPr="00924F59">
          <w:rPr>
            <w:rStyle w:val="TextoNormalCaracter"/>
          </w:rPr>
          <w:t>60/2016</w:t>
        </w:r>
      </w:hyperlink>
      <w:r w:rsidRPr="00924F59">
        <w:rPr>
          <w:rStyle w:val="TextoNormalCaracter"/>
        </w:rPr>
        <w:t xml:space="preserve">, ff. 3, 4, 6 a 8; </w:t>
      </w:r>
      <w:hyperlink w:anchor="SENTENCIA_2016_120" w:history="1">
        <w:r w:rsidRPr="00924F59">
          <w:rPr>
            <w:rStyle w:val="TextoNormalCaracter"/>
          </w:rPr>
          <w:t>120/2016</w:t>
        </w:r>
      </w:hyperlink>
      <w:r w:rsidRPr="00924F59">
        <w:rPr>
          <w:rStyle w:val="TextoNormalCaracter"/>
        </w:rPr>
        <w:t>, ff. 5, 6, 8.</w:t>
      </w:r>
    </w:p>
    <w:p w:rsidR="00924F59" w:rsidRPr="00924F59" w:rsidRDefault="00924F59" w:rsidP="00924F59">
      <w:pPr>
        <w:pStyle w:val="TextoNormalSangraFrancesa"/>
        <w:rPr>
          <w:rStyle w:val="TextoNormalCaracter"/>
        </w:rPr>
      </w:pPr>
      <w:bookmarkStart w:id="1619" w:name="DESCRIPTORALFABETICO620"/>
      <w:r w:rsidRPr="00924F59">
        <w:rPr>
          <w:rStyle w:val="TextoNormalNegritaCaracter"/>
        </w:rPr>
        <w:t>Instalaciones portuarias</w:t>
      </w:r>
      <w:bookmarkEnd w:id="1619"/>
      <w:r w:rsidRPr="00924F59">
        <w:rPr>
          <w:rStyle w:val="TextoNormalCaracter"/>
        </w:rPr>
        <w:t xml:space="preserve">, Sentencia </w:t>
      </w:r>
      <w:hyperlink w:anchor="SENTENCIA_2016_57" w:history="1">
        <w:r w:rsidRPr="00924F59">
          <w:rPr>
            <w:rStyle w:val="TextoNormalCaracter"/>
          </w:rPr>
          <w:t>57/2016</w:t>
        </w:r>
      </w:hyperlink>
      <w:r w:rsidRPr="00924F59">
        <w:rPr>
          <w:rStyle w:val="TextoNormalCaracter"/>
        </w:rPr>
        <w:t>, f. 6.</w:t>
      </w:r>
    </w:p>
    <w:p w:rsidR="00924F59" w:rsidRPr="00924F59" w:rsidRDefault="00924F59" w:rsidP="00924F59">
      <w:pPr>
        <w:pStyle w:val="TextoNormalSangraFrancesa"/>
        <w:rPr>
          <w:rStyle w:val="TextoNormalCaracter"/>
        </w:rPr>
      </w:pPr>
      <w:bookmarkStart w:id="1620" w:name="DESCRIPTORALFABETICO623"/>
      <w:r w:rsidRPr="00924F59">
        <w:rPr>
          <w:rStyle w:val="TextoNormalNegritaCaracter"/>
        </w:rPr>
        <w:t>Instrumentos de ordenación del territorio</w:t>
      </w:r>
      <w:bookmarkEnd w:id="1620"/>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 7.</w:t>
      </w:r>
    </w:p>
    <w:p w:rsidR="00924F59" w:rsidRPr="00924F59" w:rsidRDefault="00924F59" w:rsidP="00924F59">
      <w:pPr>
        <w:pStyle w:val="TextoNormalSangraFrancesa"/>
        <w:rPr>
          <w:rStyle w:val="TextoNormalCaracter"/>
        </w:rPr>
      </w:pPr>
      <w:bookmarkStart w:id="1621" w:name="DESCRIPTORALFABETICO197"/>
      <w:r w:rsidRPr="00924F59">
        <w:rPr>
          <w:rStyle w:val="TextoNormalNegritaCaracter"/>
        </w:rPr>
        <w:t>Interés de la parte arriesgado en el proceso</w:t>
      </w:r>
      <w:bookmarkEnd w:id="1621"/>
      <w:r w:rsidRPr="00924F59">
        <w:rPr>
          <w:rStyle w:val="TextoNormalCaracter"/>
        </w:rPr>
        <w:t xml:space="preserve">, Sentencias </w:t>
      </w:r>
      <w:hyperlink w:anchor="SENTENCIA_2016_63" w:history="1">
        <w:r w:rsidRPr="00924F59">
          <w:rPr>
            <w:rStyle w:val="TextoNormalCaracter"/>
          </w:rPr>
          <w:t>63/2016</w:t>
        </w:r>
      </w:hyperlink>
      <w:r w:rsidRPr="00924F59">
        <w:rPr>
          <w:rStyle w:val="TextoNormalCaracter"/>
        </w:rPr>
        <w:t xml:space="preserve">, f. 5; </w:t>
      </w:r>
      <w:hyperlink w:anchor="SENTENCIA_2016_75" w:history="1">
        <w:r w:rsidRPr="00924F59">
          <w:rPr>
            <w:rStyle w:val="TextoNormalCaracter"/>
          </w:rPr>
          <w:t>75/2016</w:t>
        </w:r>
      </w:hyperlink>
      <w:r w:rsidRPr="00924F59">
        <w:rPr>
          <w:rStyle w:val="TextoNormalCaracter"/>
        </w:rPr>
        <w:t xml:space="preserve">, f. 5; </w:t>
      </w:r>
      <w:hyperlink w:anchor="SENTENCIA_2016_76" w:history="1">
        <w:r w:rsidRPr="00924F59">
          <w:rPr>
            <w:rStyle w:val="TextoNormalCaracter"/>
          </w:rPr>
          <w:t>76/2016</w:t>
        </w:r>
      </w:hyperlink>
      <w:r w:rsidRPr="00924F59">
        <w:rPr>
          <w:rStyle w:val="TextoNormalCaracter"/>
        </w:rPr>
        <w:t xml:space="preserve">, f. 4; </w:t>
      </w:r>
      <w:hyperlink w:anchor="SENTENCIA_2016_77" w:history="1">
        <w:r w:rsidRPr="00924F59">
          <w:rPr>
            <w:rStyle w:val="TextoNormalCaracter"/>
          </w:rPr>
          <w:t>77/2016</w:t>
        </w:r>
      </w:hyperlink>
      <w:r w:rsidRPr="00924F59">
        <w:rPr>
          <w:rStyle w:val="TextoNormalCaracter"/>
        </w:rPr>
        <w:t xml:space="preserve">, f. 5; </w:t>
      </w:r>
      <w:hyperlink w:anchor="SENTENCIA_2016_89" w:history="1">
        <w:r w:rsidRPr="00924F59">
          <w:rPr>
            <w:rStyle w:val="TextoNormalCaracter"/>
          </w:rPr>
          <w:t>89/2016</w:t>
        </w:r>
      </w:hyperlink>
      <w:r w:rsidRPr="00924F59">
        <w:rPr>
          <w:rStyle w:val="TextoNormalCaracter"/>
        </w:rPr>
        <w:t xml:space="preserve">, f. 5; </w:t>
      </w:r>
      <w:hyperlink w:anchor="SENTENCIA_2016_103" w:history="1">
        <w:r w:rsidRPr="00924F59">
          <w:rPr>
            <w:rStyle w:val="TextoNormalCaracter"/>
          </w:rPr>
          <w:t>103/2016</w:t>
        </w:r>
      </w:hyperlink>
      <w:r w:rsidRPr="00924F59">
        <w:rPr>
          <w:rStyle w:val="TextoNormalCaracter"/>
        </w:rPr>
        <w:t>, f. 5.</w:t>
      </w:r>
    </w:p>
    <w:p w:rsidR="00924F59" w:rsidRPr="00924F59" w:rsidRDefault="00924F59" w:rsidP="00924F59">
      <w:pPr>
        <w:pStyle w:val="TextoNormalSangraFrancesa"/>
        <w:rPr>
          <w:rStyle w:val="TextoNormalCaracter"/>
        </w:rPr>
      </w:pPr>
      <w:bookmarkStart w:id="1622" w:name="DESCRIPTORALFABETICO838"/>
      <w:r w:rsidRPr="00924F59">
        <w:rPr>
          <w:rStyle w:val="TextoNormalNegritaCaracter"/>
        </w:rPr>
        <w:t>Interés legítimo</w:t>
      </w:r>
      <w:bookmarkEnd w:id="1622"/>
      <w:r w:rsidRPr="00924F59">
        <w:rPr>
          <w:rStyle w:val="TextoNormalCaracter"/>
        </w:rPr>
        <w:t xml:space="preserve">, Sentencia </w:t>
      </w:r>
      <w:hyperlink w:anchor="SENTENCIA_2016_15" w:history="1">
        <w:r w:rsidRPr="00924F59">
          <w:rPr>
            <w:rStyle w:val="TextoNormalCaracter"/>
          </w:rPr>
          <w:t>15/2016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623" w:name="DESCRIPTORALFABETICO724"/>
      <w:r w:rsidRPr="00924F59">
        <w:rPr>
          <w:rStyle w:val="TextoNormalNegritaCaracter"/>
        </w:rPr>
        <w:t>Interés superior del menor</w:t>
      </w:r>
      <w:bookmarkEnd w:id="1623"/>
      <w:r w:rsidRPr="00924F59">
        <w:rPr>
          <w:rStyle w:val="TextoNormalCaracter"/>
        </w:rPr>
        <w:t xml:space="preserve">, Sentencias </w:t>
      </w:r>
      <w:hyperlink w:anchor="SENTENCIA_2016_16" w:history="1">
        <w:r w:rsidRPr="00924F59">
          <w:rPr>
            <w:rStyle w:val="TextoNormalCaracter"/>
          </w:rPr>
          <w:t>16/2016</w:t>
        </w:r>
      </w:hyperlink>
      <w:r w:rsidRPr="00924F59">
        <w:rPr>
          <w:rStyle w:val="TextoNormalCaracter"/>
        </w:rPr>
        <w:t xml:space="preserve">, f. 1; </w:t>
      </w:r>
      <w:hyperlink w:anchor="SENTENCIA_2016_23" w:history="1">
        <w:r w:rsidRPr="00924F59">
          <w:rPr>
            <w:rStyle w:val="TextoNormalCaracter"/>
          </w:rPr>
          <w:t>23/2016</w:t>
        </w:r>
      </w:hyperlink>
      <w:r w:rsidRPr="00924F59">
        <w:rPr>
          <w:rStyle w:val="TextoNormalCaracter"/>
        </w:rPr>
        <w:t>, ff. 1, 4, 5.</w:t>
      </w:r>
    </w:p>
    <w:p w:rsidR="00924F59" w:rsidRPr="00924F59" w:rsidRDefault="00924F59" w:rsidP="00924F59">
      <w:pPr>
        <w:pStyle w:val="TextoNormalSangraFrancesa"/>
        <w:rPr>
          <w:rStyle w:val="TextoNormalCaracter"/>
        </w:rPr>
      </w:pPr>
      <w:bookmarkStart w:id="1624" w:name="DESCRIPTORALFABETICO531"/>
      <w:r w:rsidRPr="00924F59">
        <w:rPr>
          <w:rStyle w:val="TextoNormalNegritaCaracter"/>
        </w:rPr>
        <w:t>Intereses de los consumidores</w:t>
      </w:r>
      <w:bookmarkEnd w:id="1624"/>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ff. 3, 7.</w:t>
      </w:r>
    </w:p>
    <w:p w:rsidR="00924F59" w:rsidRPr="00924F59" w:rsidRDefault="00924F59" w:rsidP="00924F59">
      <w:pPr>
        <w:pStyle w:val="TextoNormalSangraFrancesa"/>
        <w:rPr>
          <w:rStyle w:val="TextoNormalCaracter"/>
        </w:rPr>
      </w:pPr>
      <w:bookmarkStart w:id="1625" w:name="DESCRIPTORALFABETICO154"/>
      <w:r w:rsidRPr="00924F59">
        <w:rPr>
          <w:rStyle w:val="TextoNormalNegritaCaracter"/>
        </w:rPr>
        <w:t>Internamiento psiquiátrico</w:t>
      </w:r>
      <w:bookmarkEnd w:id="1625"/>
      <w:r w:rsidRPr="00924F59">
        <w:rPr>
          <w:rStyle w:val="TextoNormalCaracter"/>
        </w:rPr>
        <w:t xml:space="preserve">, Sentencias </w:t>
      </w:r>
      <w:hyperlink w:anchor="SENTENCIA_2016_13" w:history="1">
        <w:r w:rsidRPr="00924F59">
          <w:rPr>
            <w:rStyle w:val="TextoNormalCaracter"/>
          </w:rPr>
          <w:t>13/2016</w:t>
        </w:r>
      </w:hyperlink>
      <w:r w:rsidRPr="00924F59">
        <w:rPr>
          <w:rStyle w:val="TextoNormalCaracter"/>
        </w:rPr>
        <w:t xml:space="preserve">, ff. 1, 3, 4, 5; </w:t>
      </w:r>
      <w:hyperlink w:anchor="SENTENCIA_2016_34" w:history="1">
        <w:r w:rsidRPr="00924F59">
          <w:rPr>
            <w:rStyle w:val="TextoNormalCaracter"/>
          </w:rPr>
          <w:t>34/2016</w:t>
        </w:r>
      </w:hyperlink>
      <w:r w:rsidRPr="00924F59">
        <w:rPr>
          <w:rStyle w:val="TextoNormalCaracter"/>
        </w:rPr>
        <w:t>, ff. 2 a 7.</w:t>
      </w:r>
    </w:p>
    <w:p w:rsidR="00924F59" w:rsidRPr="00924F59" w:rsidRDefault="00924F59" w:rsidP="00924F59">
      <w:pPr>
        <w:pStyle w:val="TextoNormalSangraFrancesa"/>
        <w:rPr>
          <w:rStyle w:val="TextoNormalCaracter"/>
        </w:rPr>
      </w:pPr>
      <w:bookmarkStart w:id="1626" w:name="DESCRIPTORALFABETICO157"/>
      <w:r w:rsidRPr="00924F59">
        <w:rPr>
          <w:rStyle w:val="TextoNormalNegritaCaracter"/>
        </w:rPr>
        <w:t>Internamiento psiquiátrico en el ámbito civil</w:t>
      </w:r>
      <w:bookmarkEnd w:id="1626"/>
      <w:r w:rsidRPr="00924F59">
        <w:rPr>
          <w:rStyle w:val="TextoNormalCaracter"/>
        </w:rPr>
        <w:t xml:space="preserve">, Sentencias </w:t>
      </w:r>
      <w:hyperlink w:anchor="SENTENCIA_2016_13" w:history="1">
        <w:r w:rsidRPr="00924F59">
          <w:rPr>
            <w:rStyle w:val="TextoNormalCaracter"/>
          </w:rPr>
          <w:t>13/2016</w:t>
        </w:r>
      </w:hyperlink>
      <w:r w:rsidRPr="00924F59">
        <w:rPr>
          <w:rStyle w:val="TextoNormalCaracter"/>
        </w:rPr>
        <w:t xml:space="preserve">, ff. 1, 3, 4, 5; </w:t>
      </w:r>
      <w:hyperlink w:anchor="SENTENCIA_2016_22" w:history="1">
        <w:r w:rsidRPr="00924F59">
          <w:rPr>
            <w:rStyle w:val="TextoNormalCaracter"/>
          </w:rPr>
          <w:t>22/2016</w:t>
        </w:r>
      </w:hyperlink>
      <w:r w:rsidRPr="00924F59">
        <w:rPr>
          <w:rStyle w:val="TextoNormalCaracter"/>
        </w:rPr>
        <w:t xml:space="preserve">, ff. 1, 4 a 6; </w:t>
      </w:r>
      <w:hyperlink w:anchor="SENTENCIA_2016_34" w:history="1">
        <w:r w:rsidRPr="00924F59">
          <w:rPr>
            <w:rStyle w:val="TextoNormalCaracter"/>
          </w:rPr>
          <w:t>34/2016</w:t>
        </w:r>
      </w:hyperlink>
      <w:r w:rsidRPr="00924F59">
        <w:rPr>
          <w:rStyle w:val="TextoNormalCaracter"/>
        </w:rPr>
        <w:t xml:space="preserve">, ff. 2 a 7; </w:t>
      </w:r>
      <w:hyperlink w:anchor="SENTENCIA_2016_50" w:history="1">
        <w:r w:rsidRPr="00924F59">
          <w:rPr>
            <w:rStyle w:val="TextoNormalCaracter"/>
          </w:rPr>
          <w:t>50/2016</w:t>
        </w:r>
      </w:hyperlink>
      <w:r w:rsidRPr="00924F59">
        <w:rPr>
          <w:rStyle w:val="TextoNormalCaracter"/>
        </w:rPr>
        <w:t>, ff. 1, 2, 4 a 6.</w:t>
      </w:r>
    </w:p>
    <w:p w:rsidR="00924F59" w:rsidRPr="00924F59" w:rsidRDefault="00924F59" w:rsidP="00924F59">
      <w:pPr>
        <w:pStyle w:val="TextoNormalSangraFrancesa"/>
        <w:rPr>
          <w:rStyle w:val="TextoNormalCaracter"/>
        </w:rPr>
      </w:pPr>
      <w:bookmarkStart w:id="1627" w:name="DESCRIPTORALFABETICO698"/>
      <w:r w:rsidRPr="00924F59">
        <w:rPr>
          <w:rStyle w:val="TextoNormalNegritaCaracter"/>
        </w:rPr>
        <w:t>Interpretación conforme con la Constitución</w:t>
      </w:r>
      <w:bookmarkEnd w:id="1627"/>
      <w:r w:rsidRPr="00924F59">
        <w:rPr>
          <w:rStyle w:val="TextoNormalCaracter"/>
        </w:rPr>
        <w:t xml:space="preserve">, Sentencias </w:t>
      </w:r>
      <w:hyperlink w:anchor="SENTENCIA_2016_17" w:history="1">
        <w:r w:rsidRPr="00924F59">
          <w:rPr>
            <w:rStyle w:val="TextoNormalCaracter"/>
          </w:rPr>
          <w:t>17/2016</w:t>
        </w:r>
      </w:hyperlink>
      <w:r w:rsidRPr="00924F59">
        <w:rPr>
          <w:rStyle w:val="TextoNormalCaracter"/>
        </w:rPr>
        <w:t xml:space="preserve">, f. 4; </w:t>
      </w:r>
      <w:hyperlink w:anchor="SENTENCIA_2016_28" w:history="1">
        <w:r w:rsidRPr="00924F59">
          <w:rPr>
            <w:rStyle w:val="TextoNormalCaracter"/>
          </w:rPr>
          <w:t>28/2016</w:t>
        </w:r>
      </w:hyperlink>
      <w:r w:rsidRPr="00924F59">
        <w:rPr>
          <w:rStyle w:val="TextoNormalCaracter"/>
        </w:rPr>
        <w:t xml:space="preserve">, f. 7; </w:t>
      </w:r>
      <w:hyperlink w:anchor="SENTENCIA_2016_32" w:history="1">
        <w:r w:rsidRPr="00924F59">
          <w:rPr>
            <w:rStyle w:val="TextoNormalCaracter"/>
          </w:rPr>
          <w:t>32/2016</w:t>
        </w:r>
      </w:hyperlink>
      <w:r w:rsidRPr="00924F59">
        <w:rPr>
          <w:rStyle w:val="TextoNormalCaracter"/>
        </w:rPr>
        <w:t xml:space="preserve">, ff. 5, 10; </w:t>
      </w:r>
      <w:hyperlink w:anchor="SENTENCIA_2016_41" w:history="1">
        <w:r w:rsidRPr="00924F59">
          <w:rPr>
            <w:rStyle w:val="TextoNormalCaracter"/>
          </w:rPr>
          <w:t>41/2016</w:t>
        </w:r>
      </w:hyperlink>
      <w:r w:rsidRPr="00924F59">
        <w:rPr>
          <w:rStyle w:val="TextoNormalCaracter"/>
        </w:rPr>
        <w:t xml:space="preserve">, f. 13 e); </w:t>
      </w:r>
      <w:hyperlink w:anchor="SENTENCIA_2016_57" w:history="1">
        <w:r w:rsidRPr="00924F59">
          <w:rPr>
            <w:rStyle w:val="TextoNormalCaracter"/>
          </w:rPr>
          <w:t>57/2016</w:t>
        </w:r>
      </w:hyperlink>
      <w:r w:rsidRPr="00924F59">
        <w:rPr>
          <w:rStyle w:val="TextoNormalCaracter"/>
        </w:rPr>
        <w:t xml:space="preserve">, ff. 9, 10, VP; </w:t>
      </w:r>
      <w:hyperlink w:anchor="SENTENCIA_2016_118" w:history="1">
        <w:r w:rsidRPr="00924F59">
          <w:rPr>
            <w:rStyle w:val="TextoNormalCaracter"/>
          </w:rPr>
          <w:t>118/2016</w:t>
        </w:r>
      </w:hyperlink>
      <w:r w:rsidRPr="00924F59">
        <w:rPr>
          <w:rStyle w:val="TextoNormalCaracter"/>
        </w:rPr>
        <w:t>, f. 3 d).</w:t>
      </w:r>
    </w:p>
    <w:p w:rsidR="00924F59" w:rsidRPr="00924F59" w:rsidRDefault="00924F59" w:rsidP="00924F59">
      <w:pPr>
        <w:pStyle w:val="TextoNormalSangraFrancesa"/>
        <w:rPr>
          <w:rStyle w:val="TextoNormalCaracter"/>
        </w:rPr>
      </w:pPr>
      <w:r w:rsidRPr="00924F59">
        <w:rPr>
          <w:rStyle w:val="TextoNormalCursivaCaracter"/>
        </w:rPr>
        <w:t xml:space="preserve">    Límites, </w:t>
      </w:r>
      <w:r w:rsidRPr="00924F59">
        <w:rPr>
          <w:rStyle w:val="TextoNormalCaracter"/>
        </w:rPr>
        <w:t xml:space="preserve">Sentencia </w:t>
      </w:r>
      <w:hyperlink w:anchor="SENTENCIA_2016_88" w:history="1">
        <w:r w:rsidRPr="00924F59">
          <w:rPr>
            <w:rStyle w:val="TextoNormalCaracter"/>
          </w:rPr>
          <w:t>88/2016</w:t>
        </w:r>
      </w:hyperlink>
      <w:r w:rsidRPr="00924F59">
        <w:rPr>
          <w:rStyle w:val="TextoNormalCaracter"/>
        </w:rPr>
        <w:t>, f. 4.</w:t>
      </w:r>
    </w:p>
    <w:p w:rsidR="00924F59" w:rsidRPr="00924F59" w:rsidRDefault="00924F59" w:rsidP="00924F59">
      <w:pPr>
        <w:pStyle w:val="TextoNormalSangraFrancesa"/>
        <w:rPr>
          <w:rStyle w:val="TextoNormalCaracter"/>
        </w:rPr>
      </w:pPr>
      <w:bookmarkStart w:id="1628" w:name="DESCRIPTORALFABETICO700"/>
      <w:r w:rsidRPr="00924F59">
        <w:rPr>
          <w:rStyle w:val="TextoNormalNegritaCaracter"/>
        </w:rPr>
        <w:t>Interpretación de las normas más favorable a los derechos fundamentales</w:t>
      </w:r>
      <w:bookmarkEnd w:id="1628"/>
      <w:r w:rsidRPr="00924F59">
        <w:rPr>
          <w:rStyle w:val="TextoNormalCaracter"/>
        </w:rPr>
        <w:t xml:space="preserve">, Sentencia </w:t>
      </w:r>
      <w:hyperlink w:anchor="SENTENCIA_2016_48" w:history="1">
        <w:r w:rsidRPr="00924F59">
          <w:rPr>
            <w:rStyle w:val="TextoNormalCaracter"/>
          </w:rPr>
          <w:t>48/2016</w:t>
        </w:r>
      </w:hyperlink>
      <w:r w:rsidRPr="00924F59">
        <w:rPr>
          <w:rStyle w:val="TextoNormalCaracter"/>
        </w:rPr>
        <w:t>, f. 3.</w:t>
      </w:r>
    </w:p>
    <w:p w:rsidR="00924F59" w:rsidRPr="00924F59" w:rsidRDefault="00924F59" w:rsidP="00924F59">
      <w:pPr>
        <w:pStyle w:val="TextoNormalSangraFrancesa"/>
        <w:rPr>
          <w:rStyle w:val="TextoNormalCaracter"/>
        </w:rPr>
      </w:pPr>
      <w:bookmarkStart w:id="1629" w:name="DESCRIPTORALFABETICO701"/>
      <w:r w:rsidRPr="00924F59">
        <w:rPr>
          <w:rStyle w:val="TextoNormalNegritaCaracter"/>
        </w:rPr>
        <w:t>Interpretación irrazonable</w:t>
      </w:r>
      <w:bookmarkEnd w:id="1629"/>
      <w:r w:rsidRPr="00924F59">
        <w:rPr>
          <w:rStyle w:val="TextoNormalCaracter"/>
        </w:rPr>
        <w:t xml:space="preserve">, Sentencia </w:t>
      </w:r>
      <w:hyperlink w:anchor="SENTENCIA_2016_91" w:history="1">
        <w:r w:rsidRPr="00924F59">
          <w:rPr>
            <w:rStyle w:val="TextoNormalCaracter"/>
          </w:rPr>
          <w:t>91/2016</w:t>
        </w:r>
      </w:hyperlink>
      <w:r w:rsidRPr="00924F59">
        <w:rPr>
          <w:rStyle w:val="TextoNormalCaracter"/>
        </w:rPr>
        <w:t>, ff. 3, 5.</w:t>
      </w:r>
    </w:p>
    <w:p w:rsidR="00924F59" w:rsidRPr="00924F59" w:rsidRDefault="00924F59" w:rsidP="00924F59">
      <w:pPr>
        <w:pStyle w:val="TextoNormalSangraFrancesa"/>
        <w:rPr>
          <w:rStyle w:val="TextoNormalCaracter"/>
        </w:rPr>
      </w:pPr>
      <w:bookmarkStart w:id="1630" w:name="DESCRIPTORALFABETICO702"/>
      <w:r w:rsidRPr="00924F59">
        <w:rPr>
          <w:rStyle w:val="TextoNormalNegritaCaracter"/>
        </w:rPr>
        <w:t>Interpretación no arbitraria</w:t>
      </w:r>
      <w:bookmarkEnd w:id="1630"/>
      <w:r w:rsidRPr="00924F59">
        <w:rPr>
          <w:rStyle w:val="TextoNormalCaracter"/>
        </w:rPr>
        <w:t xml:space="preserve">, Sentencia </w:t>
      </w:r>
      <w:hyperlink w:anchor="SENTENCIA_2016_91" w:history="1">
        <w:r w:rsidRPr="00924F59">
          <w:rPr>
            <w:rStyle w:val="TextoNormalCaracter"/>
          </w:rPr>
          <w:t>91/2016</w:t>
        </w:r>
      </w:hyperlink>
      <w:r w:rsidRPr="00924F59">
        <w:rPr>
          <w:rStyle w:val="TextoNormalCaracter"/>
        </w:rPr>
        <w:t>, ff. 3, 5.</w:t>
      </w:r>
    </w:p>
    <w:p w:rsidR="00924F59" w:rsidRPr="00924F59" w:rsidRDefault="00924F59" w:rsidP="00924F59">
      <w:pPr>
        <w:pStyle w:val="TextoNormalSangraFrancesa"/>
        <w:rPr>
          <w:rStyle w:val="TextoNormalCaracter"/>
        </w:rPr>
      </w:pPr>
      <w:bookmarkStart w:id="1631" w:name="DESCRIPTORALFABETICO703"/>
      <w:r w:rsidRPr="00924F59">
        <w:rPr>
          <w:rStyle w:val="TextoNormalNegritaCaracter"/>
        </w:rPr>
        <w:t xml:space="preserve">Interpretación </w:t>
      </w:r>
      <w:r w:rsidRPr="00924F59">
        <w:rPr>
          <w:rStyle w:val="TextoNormalNegritaCaracter"/>
          <w:i/>
        </w:rPr>
        <w:t>pro actione</w:t>
      </w:r>
      <w:bookmarkEnd w:id="1631"/>
      <w:r w:rsidRPr="00924F59">
        <w:rPr>
          <w:rStyle w:val="TextoNormalCaracter"/>
        </w:rPr>
        <w:t xml:space="preserve">, Sentencia </w:t>
      </w:r>
      <w:hyperlink w:anchor="SENTENCIA_2016_91" w:history="1">
        <w:r w:rsidRPr="00924F59">
          <w:rPr>
            <w:rStyle w:val="TextoNormalCaracter"/>
          </w:rPr>
          <w:t>91/2016</w:t>
        </w:r>
      </w:hyperlink>
      <w:r w:rsidRPr="00924F59">
        <w:rPr>
          <w:rStyle w:val="TextoNormalCaracter"/>
        </w:rPr>
        <w:t>, ff. 3, 5.</w:t>
      </w:r>
    </w:p>
    <w:p w:rsidR="00924F59" w:rsidRPr="00924F59" w:rsidRDefault="00924F59" w:rsidP="00924F59">
      <w:pPr>
        <w:pStyle w:val="TextoNormalSangraFrancesa"/>
        <w:rPr>
          <w:rStyle w:val="TextoNormalCaracter"/>
        </w:rPr>
      </w:pPr>
      <w:bookmarkStart w:id="1632" w:name="DESCRIPTORALFABETICO704"/>
      <w:r w:rsidRPr="00924F59">
        <w:rPr>
          <w:rStyle w:val="TextoNormalNegritaCaracter"/>
        </w:rPr>
        <w:t>Interpretación rigorista</w:t>
      </w:r>
      <w:bookmarkEnd w:id="1632"/>
      <w:r w:rsidRPr="00924F59">
        <w:rPr>
          <w:rStyle w:val="TextoNormalCaracter"/>
        </w:rPr>
        <w:t xml:space="preserve">, Sentencias </w:t>
      </w:r>
      <w:hyperlink w:anchor="SENTENCIA_2016_49" w:history="1">
        <w:r w:rsidRPr="00924F59">
          <w:rPr>
            <w:rStyle w:val="TextoNormalCaracter"/>
          </w:rPr>
          <w:t>49/2016</w:t>
        </w:r>
      </w:hyperlink>
      <w:r w:rsidRPr="00924F59">
        <w:rPr>
          <w:rStyle w:val="TextoNormalCaracter"/>
        </w:rPr>
        <w:t xml:space="preserve">, f. 3; </w:t>
      </w:r>
      <w:hyperlink w:anchor="SENTENCIA_2016_91" w:history="1">
        <w:r w:rsidRPr="00924F59">
          <w:rPr>
            <w:rStyle w:val="TextoNormalCaracter"/>
          </w:rPr>
          <w:t>91/2016</w:t>
        </w:r>
      </w:hyperlink>
      <w:r w:rsidRPr="00924F59">
        <w:rPr>
          <w:rStyle w:val="TextoNormalCaracter"/>
        </w:rPr>
        <w:t>, ff. 3, 5.</w:t>
      </w:r>
    </w:p>
    <w:p w:rsidR="00924F59" w:rsidRPr="00924F59" w:rsidRDefault="00924F59" w:rsidP="00924F59">
      <w:pPr>
        <w:pStyle w:val="TextoNormalSangraFrancesa"/>
        <w:rPr>
          <w:rStyle w:val="TextoNormalCaracter"/>
        </w:rPr>
      </w:pPr>
      <w:bookmarkStart w:id="1633" w:name="DESCRIPTORALFABETICO604"/>
      <w:r w:rsidRPr="00924F59">
        <w:rPr>
          <w:rStyle w:val="TextoNormalNegritaCaracter"/>
        </w:rPr>
        <w:t>Interrupción de la prescripción de infracciones penales</w:t>
      </w:r>
      <w:bookmarkEnd w:id="1633"/>
      <w:r w:rsidRPr="00924F59">
        <w:rPr>
          <w:rStyle w:val="TextoNormalCaracter"/>
        </w:rPr>
        <w:t xml:space="preserve">, Sentencia </w:t>
      </w:r>
      <w:hyperlink w:anchor="SENTENCIA_2016_51" w:history="1">
        <w:r w:rsidRPr="00924F59">
          <w:rPr>
            <w:rStyle w:val="TextoNormalCaracter"/>
          </w:rPr>
          <w:t>51/2016</w:t>
        </w:r>
      </w:hyperlink>
      <w:r w:rsidRPr="00924F59">
        <w:rPr>
          <w:rStyle w:val="TextoNormalCaracter"/>
        </w:rPr>
        <w:t>, ff. 1 a 3.</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67" w:history="1">
        <w:r w:rsidRPr="00924F59">
          <w:rPr>
            <w:rStyle w:val="TextoNormalCaracter"/>
          </w:rPr>
          <w:t>67/2016</w:t>
        </w:r>
      </w:hyperlink>
      <w:r w:rsidRPr="00924F59">
        <w:rPr>
          <w:rStyle w:val="TextoNormalCaracter"/>
        </w:rPr>
        <w:t>, f. 2.</w:t>
      </w:r>
    </w:p>
    <w:p w:rsidR="00924F59" w:rsidRPr="00924F59" w:rsidRDefault="00924F59" w:rsidP="00924F59">
      <w:pPr>
        <w:pStyle w:val="TextoNormalSangraFrancesa"/>
        <w:rPr>
          <w:rStyle w:val="TextoNormalCaracter"/>
        </w:rPr>
      </w:pPr>
      <w:bookmarkStart w:id="1634" w:name="DESCRIPTORALFABETICO720"/>
      <w:r w:rsidRPr="00924F59">
        <w:rPr>
          <w:rStyle w:val="TextoNormalNegritaCaracter"/>
        </w:rPr>
        <w:t>Interrupción de la prescripción de la pena</w:t>
      </w:r>
      <w:bookmarkEnd w:id="1634"/>
      <w:r w:rsidRPr="00924F59">
        <w:rPr>
          <w:rStyle w:val="TextoNormalCaracter"/>
        </w:rPr>
        <w:t xml:space="preserve">, Sentencias </w:t>
      </w:r>
      <w:hyperlink w:anchor="SENTENCIA_2016_12" w:history="1">
        <w:r w:rsidRPr="00924F59">
          <w:rPr>
            <w:rStyle w:val="TextoNormalCaracter"/>
          </w:rPr>
          <w:t>12/2016</w:t>
        </w:r>
      </w:hyperlink>
      <w:r w:rsidRPr="00924F59">
        <w:rPr>
          <w:rStyle w:val="TextoNormalCaracter"/>
        </w:rPr>
        <w:t xml:space="preserve">, ff. 3 a 6; </w:t>
      </w:r>
      <w:hyperlink w:anchor="SENTENCIA_2016_14" w:history="1">
        <w:r w:rsidRPr="00924F59">
          <w:rPr>
            <w:rStyle w:val="TextoNormalCaracter"/>
          </w:rPr>
          <w:t>14/2016</w:t>
        </w:r>
      </w:hyperlink>
      <w:r w:rsidRPr="00924F59">
        <w:rPr>
          <w:rStyle w:val="TextoNormalCaracter"/>
        </w:rPr>
        <w:t>, ff. 2 a 4.</w:t>
      </w:r>
    </w:p>
    <w:p w:rsidR="00924F59" w:rsidRPr="00924F59" w:rsidRDefault="00924F59" w:rsidP="00924F59">
      <w:pPr>
        <w:pStyle w:val="TextoNormalSangraFrancesa"/>
        <w:rPr>
          <w:rStyle w:val="TextoNormalCaracter"/>
        </w:rPr>
      </w:pPr>
      <w:bookmarkStart w:id="1635" w:name="DESCRIPTORALFABETICO365"/>
      <w:r w:rsidRPr="00924F59">
        <w:rPr>
          <w:rStyle w:val="TextoNormalNegritaCaracter"/>
        </w:rPr>
        <w:t>Intervención de la Administración</w:t>
      </w:r>
      <w:bookmarkEnd w:id="1635"/>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ff. 6, 7, 10.</w:t>
      </w:r>
    </w:p>
    <w:p w:rsidR="00924F59" w:rsidRPr="00924F59" w:rsidRDefault="00924F59" w:rsidP="00924F59">
      <w:pPr>
        <w:pStyle w:val="TextoNormalSangraFrancesa"/>
        <w:rPr>
          <w:rStyle w:val="TextoNormalCaracter"/>
        </w:rPr>
      </w:pPr>
      <w:bookmarkStart w:id="1636" w:name="DESCRIPTORALFABETICO854"/>
      <w:r w:rsidRPr="00924F59">
        <w:rPr>
          <w:rStyle w:val="TextoNormalNegritaCaracter"/>
        </w:rPr>
        <w:t>Investigación judicial</w:t>
      </w:r>
      <w:bookmarkEnd w:id="1636"/>
      <w:r w:rsidRPr="00924F59">
        <w:rPr>
          <w:rStyle w:val="TextoNormalCaracter"/>
        </w:rPr>
        <w:t xml:space="preserve">, Auto </w:t>
      </w:r>
      <w:hyperlink w:anchor="AUTO_2016_122" w:history="1">
        <w:r w:rsidRPr="00924F59">
          <w:rPr>
            <w:rStyle w:val="TextoNormalCaracter"/>
          </w:rPr>
          <w:t>122/2016</w:t>
        </w:r>
      </w:hyperlink>
      <w:r w:rsidRPr="00924F59">
        <w:rPr>
          <w:rStyle w:val="TextoNormalCaracter"/>
        </w:rPr>
        <w:t>, ff. 1, 2, 4.</w:t>
      </w:r>
    </w:p>
    <w:p w:rsidR="00924F59" w:rsidRPr="00924F59" w:rsidRDefault="00924F59" w:rsidP="00924F59">
      <w:pPr>
        <w:pStyle w:val="TextoNormalSangraFrancesa"/>
        <w:rPr>
          <w:rStyle w:val="TextoNormalCaracter"/>
        </w:rPr>
      </w:pPr>
      <w:bookmarkStart w:id="1637" w:name="DESCRIPTORALFABETICO314"/>
      <w:r w:rsidRPr="00924F59">
        <w:rPr>
          <w:rStyle w:val="TextoNormalNegritaCaracter"/>
        </w:rPr>
        <w:t>Invocación extemporánea</w:t>
      </w:r>
      <w:bookmarkEnd w:id="1637"/>
      <w:r w:rsidRPr="00924F59">
        <w:rPr>
          <w:rStyle w:val="TextoNormalCaracter"/>
        </w:rPr>
        <w:t xml:space="preserve">, Sentencia </w:t>
      </w:r>
      <w:hyperlink w:anchor="SENTENCIA_2016_13" w:history="1">
        <w:r w:rsidRPr="00924F59">
          <w:rPr>
            <w:rStyle w:val="TextoNormalCaracter"/>
          </w:rPr>
          <w:t>13/2016</w:t>
        </w:r>
      </w:hyperlink>
      <w:r w:rsidRPr="00924F59">
        <w:rPr>
          <w:rStyle w:val="TextoNormalCaracter"/>
        </w:rPr>
        <w:t>, f. 2.</w:t>
      </w:r>
    </w:p>
    <w:p w:rsidR="00924F59" w:rsidRPr="00924F59" w:rsidRDefault="00924F59" w:rsidP="00924F59">
      <w:pPr>
        <w:pStyle w:val="TextoNormalSangraFrancesa"/>
        <w:rPr>
          <w:rStyle w:val="TextoNormalCaracter"/>
        </w:rPr>
      </w:pPr>
      <w:bookmarkStart w:id="1638" w:name="DESCRIPTORALFABETICO866"/>
      <w:r w:rsidRPr="00924F59">
        <w:rPr>
          <w:rStyle w:val="TextoNormalNegritaCaracter"/>
        </w:rPr>
        <w:t>Islas Baleares</w:t>
      </w:r>
      <w:bookmarkEnd w:id="1638"/>
      <w:r w:rsidRPr="00924F59">
        <w:rPr>
          <w:rStyle w:val="TextoNormalCaracter"/>
        </w:rPr>
        <w:t xml:space="preserve">, Sentencia </w:t>
      </w:r>
      <w:hyperlink w:anchor="SENTENCIA_2016_38" w:history="1">
        <w:r w:rsidRPr="00924F59">
          <w:rPr>
            <w:rStyle w:val="TextoNormalCaracter"/>
          </w:rPr>
          <w:t>38/2016</w:t>
        </w:r>
      </w:hyperlink>
      <w:r w:rsidRPr="00924F59">
        <w:rPr>
          <w:rStyle w:val="TextoNormalCaracter"/>
        </w:rPr>
        <w:t>, f. 1.</w:t>
      </w:r>
    </w:p>
    <w:p w:rsidR="00924F59" w:rsidRPr="00924F59" w:rsidRDefault="00924F59" w:rsidP="00924F59">
      <w:pPr>
        <w:pStyle w:val="TextoNormalSangraFrancesa"/>
        <w:rPr>
          <w:rStyle w:val="TextoNormalCaracter"/>
        </w:rPr>
      </w:pPr>
      <w:bookmarkStart w:id="1639" w:name="DESCRIPTORALFABETICO642"/>
      <w:r w:rsidRPr="00924F59">
        <w:rPr>
          <w:rStyle w:val="TextoNormalNegritaCaracter"/>
        </w:rPr>
        <w:t>Ius contrahendi</w:t>
      </w:r>
      <w:bookmarkEnd w:id="1639"/>
      <w:r w:rsidRPr="00924F59">
        <w:rPr>
          <w:rStyle w:val="TextoNormalCaracter"/>
        </w:rPr>
        <w:t xml:space="preserve">, Sentencia </w:t>
      </w:r>
      <w:hyperlink w:anchor="SENTENCIA_2016_85" w:history="1">
        <w:r w:rsidRPr="00924F59">
          <w:rPr>
            <w:rStyle w:val="TextoNormalCaracter"/>
          </w:rPr>
          <w:t>85/2016</w:t>
        </w:r>
      </w:hyperlink>
      <w:r w:rsidRPr="00924F59">
        <w:rPr>
          <w:rStyle w:val="TextoNormalCaracter"/>
        </w:rPr>
        <w:t>, f. 3.</w:t>
      </w:r>
    </w:p>
    <w:p w:rsidR="00924F59" w:rsidRPr="00924F59" w:rsidRDefault="00924F59" w:rsidP="00924F59">
      <w:pPr>
        <w:pStyle w:val="TextoNormalSangraFrancesa"/>
        <w:rPr>
          <w:rStyle w:val="TextoNormalCaracter"/>
        </w:rPr>
      </w:pPr>
      <w:bookmarkStart w:id="1640" w:name="DESCRIPTORALFABETICO127"/>
      <w:r w:rsidRPr="00924F59">
        <w:rPr>
          <w:rStyle w:val="TextoNormalNegritaCaracter"/>
          <w:i/>
        </w:rPr>
        <w:t>Ius in officium</w:t>
      </w:r>
      <w:bookmarkEnd w:id="1640"/>
      <w:r w:rsidRPr="00924F59">
        <w:rPr>
          <w:rStyle w:val="TextoNormalCaracter"/>
        </w:rPr>
        <w:t xml:space="preserve">, Sentencias </w:t>
      </w:r>
      <w:hyperlink w:anchor="SENTENCIA_2016_10" w:history="1">
        <w:r w:rsidRPr="00924F59">
          <w:rPr>
            <w:rStyle w:val="TextoNormalCaracter"/>
          </w:rPr>
          <w:t>10/2016</w:t>
        </w:r>
      </w:hyperlink>
      <w:r w:rsidRPr="00924F59">
        <w:rPr>
          <w:rStyle w:val="TextoNormalCaracter"/>
        </w:rPr>
        <w:t xml:space="preserve">, ff. 1, 3 a 5; </w:t>
      </w:r>
      <w:hyperlink w:anchor="SENTENCIA_2016_107" w:history="1">
        <w:r w:rsidRPr="00924F59">
          <w:rPr>
            <w:rStyle w:val="TextoNormalCaracter"/>
          </w:rPr>
          <w:t>107/2016</w:t>
        </w:r>
      </w:hyperlink>
      <w:r w:rsidRPr="00924F59">
        <w:rPr>
          <w:rStyle w:val="TextoNormalCaracter"/>
        </w:rPr>
        <w:t xml:space="preserve">, ff. 1, 2, 4; </w:t>
      </w:r>
      <w:hyperlink w:anchor="SENTENCIA_2016_108" w:history="1">
        <w:r w:rsidRPr="00924F59">
          <w:rPr>
            <w:rStyle w:val="TextoNormalCaracter"/>
          </w:rPr>
          <w:t>108/2016</w:t>
        </w:r>
      </w:hyperlink>
      <w:r w:rsidRPr="00924F59">
        <w:rPr>
          <w:rStyle w:val="TextoNormalCaracter"/>
        </w:rPr>
        <w:t xml:space="preserve">, ff. 1, 2, 4; </w:t>
      </w:r>
      <w:hyperlink w:anchor="SENTENCIA_2016_109" w:history="1">
        <w:r w:rsidRPr="00924F59">
          <w:rPr>
            <w:rStyle w:val="TextoNormalCaracter"/>
          </w:rPr>
          <w:t>109/2016</w:t>
        </w:r>
      </w:hyperlink>
      <w:r w:rsidRPr="00924F59">
        <w:rPr>
          <w:rStyle w:val="TextoNormalCaracter"/>
        </w:rPr>
        <w:t>, ff. 3, 5, 6.</w:t>
      </w:r>
    </w:p>
    <w:p w:rsidR="00924F59" w:rsidRPr="00924F59" w:rsidRDefault="00924F59" w:rsidP="00924F59">
      <w:pPr>
        <w:pStyle w:val="TextoNormalSangraFrancesa"/>
        <w:rPr>
          <w:rStyle w:val="TextoNormalCaracter"/>
        </w:rPr>
      </w:pPr>
      <w:bookmarkStart w:id="1641" w:name="DESCRIPTORALFABETICO640"/>
      <w:r w:rsidRPr="00924F59">
        <w:rPr>
          <w:rStyle w:val="TextoNormalNegritaCaracter"/>
        </w:rPr>
        <w:t>Ius legationis</w:t>
      </w:r>
      <w:bookmarkEnd w:id="1641"/>
      <w:r w:rsidRPr="00924F59">
        <w:rPr>
          <w:rStyle w:val="TextoNormalCaracter"/>
        </w:rPr>
        <w:t xml:space="preserve">, Sentencia </w:t>
      </w:r>
      <w:hyperlink w:anchor="SENTENCIA_2016_85" w:history="1">
        <w:r w:rsidRPr="00924F59">
          <w:rPr>
            <w:rStyle w:val="TextoNormalCaracter"/>
          </w:rPr>
          <w:t>85/2016</w:t>
        </w:r>
      </w:hyperlink>
      <w:r w:rsidRPr="00924F59">
        <w:rPr>
          <w:rStyle w:val="TextoNormalCaracter"/>
        </w:rPr>
        <w:t>, ff., 3, 4, VP.</w:t>
      </w:r>
    </w:p>
    <w:p w:rsidR="00924F59" w:rsidRPr="00924F59" w:rsidRDefault="00924F59" w:rsidP="00924F59">
      <w:pPr>
        <w:pStyle w:val="TextoNormalSangraFrancesa"/>
        <w:rPr>
          <w:rStyle w:val="TextoNormalCaracter"/>
        </w:rPr>
      </w:pPr>
      <w:bookmarkStart w:id="1642" w:name="DESCRIPTORALFABETICO233"/>
      <w:r w:rsidRPr="00924F59">
        <w:rPr>
          <w:rStyle w:val="TextoNormalNegritaCaracter"/>
          <w:i/>
        </w:rPr>
        <w:t>Ius superveniens</w:t>
      </w:r>
      <w:bookmarkEnd w:id="1642"/>
      <w:r w:rsidRPr="00924F59">
        <w:rPr>
          <w:rStyle w:val="TextoNormalCaracter"/>
        </w:rPr>
        <w:t xml:space="preserve">, Sentencias </w:t>
      </w:r>
      <w:hyperlink w:anchor="SENTENCIA_2016_7" w:history="1">
        <w:r w:rsidRPr="00924F59">
          <w:rPr>
            <w:rStyle w:val="TextoNormalCaracter"/>
          </w:rPr>
          <w:t>7/2016</w:t>
        </w:r>
      </w:hyperlink>
      <w:r w:rsidRPr="00924F59">
        <w:rPr>
          <w:rStyle w:val="TextoNormalCaracter"/>
        </w:rPr>
        <w:t xml:space="preserve">, f. 2; </w:t>
      </w:r>
      <w:hyperlink w:anchor="SENTENCIA_2016_17" w:history="1">
        <w:r w:rsidRPr="00924F59">
          <w:rPr>
            <w:rStyle w:val="TextoNormalCaracter"/>
          </w:rPr>
          <w:t>17/2016</w:t>
        </w:r>
      </w:hyperlink>
      <w:r w:rsidRPr="00924F59">
        <w:rPr>
          <w:rStyle w:val="TextoNormalCaracter"/>
        </w:rPr>
        <w:t xml:space="preserve">, f. 3; </w:t>
      </w:r>
      <w:hyperlink w:anchor="SENTENCIA_2016_73" w:history="1">
        <w:r w:rsidRPr="00924F59">
          <w:rPr>
            <w:rStyle w:val="TextoNormalCaracter"/>
          </w:rPr>
          <w:t>73/2016</w:t>
        </w:r>
      </w:hyperlink>
      <w:r w:rsidRPr="00924F59">
        <w:rPr>
          <w:rStyle w:val="TextoNormalCaracter"/>
        </w:rPr>
        <w:t>, f. 2.</w:t>
      </w:r>
    </w:p>
    <w:p w:rsidR="00924F59" w:rsidRPr="00924F59" w:rsidRDefault="00924F59" w:rsidP="00924F59">
      <w:pPr>
        <w:pStyle w:val="TextoNormalSangraFrancesa"/>
        <w:rPr>
          <w:rStyle w:val="TextoNormalCaracter"/>
        </w:rPr>
      </w:pPr>
      <w:bookmarkStart w:id="1643" w:name="DESCRIPTORALFABETICO175"/>
      <w:r w:rsidRPr="00924F59">
        <w:rPr>
          <w:rStyle w:val="TextoNormalNegritaCaracter"/>
          <w:i/>
        </w:rPr>
        <w:t>Ius ut procedatur</w:t>
      </w:r>
      <w:bookmarkEnd w:id="1643"/>
      <w:r w:rsidRPr="00924F59">
        <w:rPr>
          <w:rStyle w:val="TextoNormalCaracter"/>
        </w:rPr>
        <w:t xml:space="preserve">, Sentencia </w:t>
      </w:r>
      <w:hyperlink w:anchor="SENTENCIA_2016_23" w:history="1">
        <w:r w:rsidRPr="00924F59">
          <w:rPr>
            <w:rStyle w:val="TextoNormalCaracter"/>
          </w:rPr>
          <w:t>23/2016</w:t>
        </w:r>
      </w:hyperlink>
      <w:r w:rsidRPr="00924F59">
        <w:rPr>
          <w:rStyle w:val="TextoNormalCaracter"/>
        </w:rPr>
        <w:t>, ff. 2, 4, 5.</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J</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644" w:name="DESCRIPTORALFABETICO779"/>
      <w:r w:rsidRPr="00924F59">
        <w:rPr>
          <w:rStyle w:val="TextoNormalNegritaCaracter"/>
        </w:rPr>
        <w:t>Jornada laboral</w:t>
      </w:r>
      <w:bookmarkEnd w:id="1644"/>
      <w:r w:rsidRPr="00924F59">
        <w:rPr>
          <w:rStyle w:val="TextoNormalCaracter"/>
        </w:rPr>
        <w:t xml:space="preserve">, Sentencias </w:t>
      </w:r>
      <w:hyperlink w:anchor="SENTENCIA_2016_54" w:history="1">
        <w:r w:rsidRPr="00924F59">
          <w:rPr>
            <w:rStyle w:val="TextoNormalCaracter"/>
          </w:rPr>
          <w:t>54/2016</w:t>
        </w:r>
      </w:hyperlink>
      <w:r w:rsidRPr="00924F59">
        <w:rPr>
          <w:rStyle w:val="TextoNormalCaracter"/>
        </w:rPr>
        <w:t xml:space="preserve">, f. 2 b), VP; </w:t>
      </w:r>
      <w:hyperlink w:anchor="SENTENCIA_2016_66" w:history="1">
        <w:r w:rsidRPr="00924F59">
          <w:rPr>
            <w:rStyle w:val="TextoNormalCaracter"/>
          </w:rPr>
          <w:t>66/2016</w:t>
        </w:r>
      </w:hyperlink>
      <w:r w:rsidRPr="00924F59">
        <w:rPr>
          <w:rStyle w:val="TextoNormalCaracter"/>
        </w:rPr>
        <w:t xml:space="preserve">, f. 4, VP; </w:t>
      </w:r>
      <w:hyperlink w:anchor="SENTENCIA_2016_67" w:history="1">
        <w:r w:rsidRPr="00924F59">
          <w:rPr>
            <w:rStyle w:val="TextoNormalCaracter"/>
          </w:rPr>
          <w:t>67/2016</w:t>
        </w:r>
      </w:hyperlink>
      <w:r w:rsidRPr="00924F59">
        <w:rPr>
          <w:rStyle w:val="TextoNormalCaracter"/>
        </w:rPr>
        <w:t xml:space="preserve">, f. 5, VP; </w:t>
      </w:r>
      <w:hyperlink w:anchor="SENTENCIA_2016_68" w:history="1">
        <w:r w:rsidRPr="00924F59">
          <w:rPr>
            <w:rStyle w:val="TextoNormalCaracter"/>
          </w:rPr>
          <w:t>68/2016</w:t>
        </w:r>
      </w:hyperlink>
      <w:r w:rsidRPr="00924F59">
        <w:rPr>
          <w:rStyle w:val="TextoNormalCaracter"/>
        </w:rPr>
        <w:t xml:space="preserve">, f. 5, VP; </w:t>
      </w:r>
      <w:hyperlink w:anchor="SENTENCIA_2016_84" w:history="1">
        <w:r w:rsidRPr="00924F59">
          <w:rPr>
            <w:rStyle w:val="TextoNormalCaracter"/>
          </w:rPr>
          <w:t>84/2016</w:t>
        </w:r>
      </w:hyperlink>
      <w:r w:rsidRPr="00924F59">
        <w:rPr>
          <w:rStyle w:val="TextoNormalCaracter"/>
        </w:rPr>
        <w:t>, ff. 5 a), 5 b), VP.</w:t>
      </w:r>
    </w:p>
    <w:p w:rsidR="00924F59" w:rsidRPr="00924F59" w:rsidRDefault="00924F59" w:rsidP="00924F59">
      <w:pPr>
        <w:pStyle w:val="TextoNormalSangraFrancesa"/>
        <w:rPr>
          <w:rStyle w:val="TextoNormalCaracter"/>
        </w:rPr>
      </w:pPr>
      <w:bookmarkStart w:id="1645" w:name="DESCRIPTORALFABETICO755"/>
      <w:r w:rsidRPr="00924F59">
        <w:rPr>
          <w:rStyle w:val="TextoNormalNegritaCaracter"/>
        </w:rPr>
        <w:t>Jubilación forzosa</w:t>
      </w:r>
      <w:bookmarkEnd w:id="1645"/>
      <w:r w:rsidRPr="00924F59">
        <w:rPr>
          <w:rStyle w:val="TextoNormalCaracter"/>
        </w:rPr>
        <w:t xml:space="preserve">, Sentencia </w:t>
      </w:r>
      <w:hyperlink w:anchor="SENTENCIA_2016_44" w:history="1">
        <w:r w:rsidRPr="00924F59">
          <w:rPr>
            <w:rStyle w:val="TextoNormalCaracter"/>
          </w:rPr>
          <w:t>44/2016</w:t>
        </w:r>
      </w:hyperlink>
      <w:r w:rsidRPr="00924F59">
        <w:rPr>
          <w:rStyle w:val="TextoNormalCaracter"/>
        </w:rPr>
        <w:t>, ff. 1, 4, 5.</w:t>
      </w:r>
    </w:p>
    <w:p w:rsidR="00924F59" w:rsidRPr="00924F59" w:rsidRDefault="00924F59" w:rsidP="00924F59">
      <w:pPr>
        <w:pStyle w:val="TextoNormalSangraFrancesa"/>
        <w:rPr>
          <w:rStyle w:val="TextoNormalCaracter"/>
        </w:rPr>
      </w:pPr>
      <w:bookmarkStart w:id="1646" w:name="DESCRIPTORALFABETICO300"/>
      <w:r w:rsidRPr="00924F59">
        <w:rPr>
          <w:rStyle w:val="TextoNormalNegritaCaracter"/>
        </w:rPr>
        <w:t>Juicio de aplicabilidad</w:t>
      </w:r>
      <w:bookmarkEnd w:id="1646"/>
      <w:r w:rsidRPr="00924F59">
        <w:rPr>
          <w:rStyle w:val="TextoNormalCaracter"/>
        </w:rPr>
        <w:t xml:space="preserve">, Auto </w:t>
      </w:r>
      <w:hyperlink w:anchor="AUTO_2016_75" w:history="1">
        <w:r w:rsidRPr="00924F59">
          <w:rPr>
            <w:rStyle w:val="TextoNormalCaracter"/>
          </w:rPr>
          <w:t>75/2016</w:t>
        </w:r>
      </w:hyperlink>
      <w:r w:rsidRPr="00924F59">
        <w:rPr>
          <w:rStyle w:val="TextoNormalCaracter"/>
        </w:rPr>
        <w:t>, f. 2.</w:t>
      </w:r>
    </w:p>
    <w:p w:rsidR="00924F59" w:rsidRPr="00924F59" w:rsidRDefault="00924F59" w:rsidP="00924F59">
      <w:pPr>
        <w:pStyle w:val="TextoNormalSangraFrancesa"/>
        <w:rPr>
          <w:rStyle w:val="TextoNormalCaracter"/>
        </w:rPr>
      </w:pPr>
      <w:bookmarkStart w:id="1647" w:name="DESCRIPTORALFABETICO428"/>
      <w:r w:rsidRPr="00924F59">
        <w:rPr>
          <w:rStyle w:val="TextoNormalNegritaCaracter"/>
        </w:rPr>
        <w:t>Juicio de razonabilidad</w:t>
      </w:r>
      <w:bookmarkEnd w:id="1647"/>
      <w:r w:rsidRPr="00924F59">
        <w:rPr>
          <w:rStyle w:val="TextoNormalCaracter"/>
        </w:rPr>
        <w:t xml:space="preserve">, Sentencia </w:t>
      </w:r>
      <w:hyperlink w:anchor="SENTENCIA_2016_122" w:history="1">
        <w:r w:rsidRPr="00924F59">
          <w:rPr>
            <w:rStyle w:val="TextoNormalCaracter"/>
          </w:rPr>
          <w:t>122/2016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648" w:name="DESCRIPTORALFABETICO301"/>
      <w:r w:rsidRPr="00924F59">
        <w:rPr>
          <w:rStyle w:val="TextoNormalNegritaCaracter"/>
        </w:rPr>
        <w:t>Juicio de relevancia</w:t>
      </w:r>
      <w:bookmarkEnd w:id="1648"/>
      <w:r w:rsidRPr="00924F59">
        <w:rPr>
          <w:rStyle w:val="TextoNormalCaracter"/>
        </w:rPr>
        <w:t xml:space="preserve">, Autos </w:t>
      </w:r>
      <w:hyperlink w:anchor="AUTO_2016_75" w:history="1">
        <w:r w:rsidRPr="00924F59">
          <w:rPr>
            <w:rStyle w:val="TextoNormalCaracter"/>
          </w:rPr>
          <w:t>75/2016</w:t>
        </w:r>
      </w:hyperlink>
      <w:r w:rsidRPr="00924F59">
        <w:rPr>
          <w:rStyle w:val="TextoNormalCaracter"/>
        </w:rPr>
        <w:t xml:space="preserve">, f. 3; </w:t>
      </w:r>
      <w:hyperlink w:anchor="AUTO_2016_77" w:history="1">
        <w:r w:rsidRPr="00924F59">
          <w:rPr>
            <w:rStyle w:val="TextoNormalCaracter"/>
          </w:rPr>
          <w:t>77/2016</w:t>
        </w:r>
      </w:hyperlink>
      <w:r w:rsidRPr="00924F59">
        <w:rPr>
          <w:rStyle w:val="TextoNormalCaracter"/>
        </w:rPr>
        <w:t>, f. 3.</w:t>
      </w:r>
    </w:p>
    <w:p w:rsidR="00924F59" w:rsidRPr="00924F59" w:rsidRDefault="00924F59" w:rsidP="00924F59">
      <w:pPr>
        <w:pStyle w:val="TextoNormalSangraFrancesa"/>
        <w:rPr>
          <w:rStyle w:val="TextoNormalCaracter"/>
        </w:rPr>
      </w:pPr>
      <w:bookmarkStart w:id="1649" w:name="DESCRIPTORALFABETICO302"/>
      <w:r w:rsidRPr="00924F59">
        <w:rPr>
          <w:rStyle w:val="TextoNormalNegritaCaracter"/>
        </w:rPr>
        <w:t>Juicio de relevancia inconsistente</w:t>
      </w:r>
      <w:bookmarkEnd w:id="1649"/>
      <w:r w:rsidRPr="00924F59">
        <w:rPr>
          <w:rStyle w:val="TextoNormalCaracter"/>
        </w:rPr>
        <w:t xml:space="preserve">, Sentencia </w:t>
      </w:r>
      <w:hyperlink w:anchor="SENTENCIA_2016_1" w:history="1">
        <w:r w:rsidRPr="00924F59">
          <w:rPr>
            <w:rStyle w:val="TextoNormalCaracter"/>
          </w:rPr>
          <w:t>1/2016</w:t>
        </w:r>
      </w:hyperlink>
      <w:r w:rsidRPr="00924F59">
        <w:rPr>
          <w:rStyle w:val="TextoNormalCaracter"/>
        </w:rPr>
        <w:t>, ff. 2, 3.</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9" w:history="1">
        <w:r w:rsidRPr="00924F59">
          <w:rPr>
            <w:rStyle w:val="TextoNormalCaracter"/>
          </w:rPr>
          <w:t>9/2016</w:t>
        </w:r>
      </w:hyperlink>
      <w:r w:rsidRPr="00924F59">
        <w:rPr>
          <w:rStyle w:val="TextoNormalCaracter"/>
        </w:rPr>
        <w:t xml:space="preserve">, f. 6; </w:t>
      </w:r>
      <w:hyperlink w:anchor="AUTO_2016_11" w:history="1">
        <w:r w:rsidRPr="00924F59">
          <w:rPr>
            <w:rStyle w:val="TextoNormalCaracter"/>
          </w:rPr>
          <w:t>11/2016</w:t>
        </w:r>
      </w:hyperlink>
      <w:r w:rsidRPr="00924F59">
        <w:rPr>
          <w:rStyle w:val="TextoNormalCaracter"/>
        </w:rPr>
        <w:t xml:space="preserve">, f. 4; </w:t>
      </w:r>
      <w:hyperlink w:anchor="AUTO_2016_131" w:history="1">
        <w:r w:rsidRPr="00924F59">
          <w:rPr>
            <w:rStyle w:val="TextoNormalCaracter"/>
          </w:rPr>
          <w:t>131/2016</w:t>
        </w:r>
      </w:hyperlink>
      <w:r w:rsidRPr="00924F59">
        <w:rPr>
          <w:rStyle w:val="TextoNormalCaracter"/>
        </w:rPr>
        <w:t xml:space="preserve">, f. 3; </w:t>
      </w:r>
      <w:hyperlink w:anchor="AUTO_2016_134" w:history="1">
        <w:r w:rsidRPr="00924F59">
          <w:rPr>
            <w:rStyle w:val="TextoNormalCaracter"/>
          </w:rPr>
          <w:t>134/2016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650" w:name="DESCRIPTORALFABETICO303"/>
      <w:r w:rsidRPr="00924F59">
        <w:rPr>
          <w:rStyle w:val="TextoNormalNegritaCaracter"/>
        </w:rPr>
        <w:t>Juicio de relevancia inexistente</w:t>
      </w:r>
      <w:bookmarkEnd w:id="1650"/>
      <w:r w:rsidRPr="00924F59">
        <w:rPr>
          <w:rStyle w:val="TextoNormalCaracter"/>
        </w:rPr>
        <w:t xml:space="preserve">, Auto </w:t>
      </w:r>
      <w:hyperlink w:anchor="AUTO_2016_12" w:history="1">
        <w:r w:rsidRPr="00924F59">
          <w:rPr>
            <w:rStyle w:val="TextoNormalCaracter"/>
          </w:rPr>
          <w:t>12/2016</w:t>
        </w:r>
      </w:hyperlink>
      <w:r w:rsidRPr="00924F59">
        <w:rPr>
          <w:rStyle w:val="TextoNormalCaracter"/>
        </w:rPr>
        <w:t>, f. 3.</w:t>
      </w:r>
    </w:p>
    <w:p w:rsidR="00924F59" w:rsidRPr="00924F59" w:rsidRDefault="00924F59" w:rsidP="00924F59">
      <w:pPr>
        <w:pStyle w:val="TextoNormalSangraFrancesa"/>
        <w:rPr>
          <w:rStyle w:val="TextoNormalCaracter"/>
        </w:rPr>
      </w:pPr>
      <w:bookmarkStart w:id="1651" w:name="DESCRIPTORALFABETICO304"/>
      <w:r w:rsidRPr="00924F59">
        <w:rPr>
          <w:rStyle w:val="TextoNormalNegritaCaracter"/>
        </w:rPr>
        <w:t>Juicio de relevancia suficiente</w:t>
      </w:r>
      <w:bookmarkEnd w:id="1651"/>
      <w:r w:rsidRPr="00924F59">
        <w:rPr>
          <w:rStyle w:val="TextoNormalCaracter"/>
        </w:rPr>
        <w:t xml:space="preserve">, Sentencia </w:t>
      </w:r>
      <w:hyperlink w:anchor="SENTENCIA_2016_86" w:history="1">
        <w:r w:rsidRPr="00924F59">
          <w:rPr>
            <w:rStyle w:val="TextoNormalCaracter"/>
          </w:rPr>
          <w:t>86/2016</w:t>
        </w:r>
      </w:hyperlink>
      <w:r w:rsidRPr="00924F59">
        <w:rPr>
          <w:rStyle w:val="TextoNormalCaracter"/>
        </w:rPr>
        <w:t>, f. 3.</w:t>
      </w:r>
    </w:p>
    <w:p w:rsidR="00924F59" w:rsidRPr="00924F59" w:rsidRDefault="00924F59" w:rsidP="00924F59">
      <w:pPr>
        <w:pStyle w:val="TextoNormalSangraFrancesa"/>
        <w:rPr>
          <w:rStyle w:val="TextoNormalCaracter"/>
        </w:rPr>
      </w:pPr>
      <w:bookmarkStart w:id="1652" w:name="DESCRIPTORALFABETICO389"/>
      <w:r w:rsidRPr="00924F59">
        <w:rPr>
          <w:rStyle w:val="TextoNormalNegritaCaracter"/>
        </w:rPr>
        <w:t>Junta de portavoces</w:t>
      </w:r>
      <w:bookmarkEnd w:id="1652"/>
      <w:r w:rsidRPr="00924F59">
        <w:rPr>
          <w:rStyle w:val="TextoNormalCaracter"/>
        </w:rPr>
        <w:t xml:space="preserve">, Sentencias </w:t>
      </w:r>
      <w:hyperlink w:anchor="SENTENCIA_2016_107" w:history="1">
        <w:r w:rsidRPr="00924F59">
          <w:rPr>
            <w:rStyle w:val="TextoNormalCaracter"/>
          </w:rPr>
          <w:t>107/2016</w:t>
        </w:r>
      </w:hyperlink>
      <w:r w:rsidRPr="00924F59">
        <w:rPr>
          <w:rStyle w:val="TextoNormalCaracter"/>
        </w:rPr>
        <w:t xml:space="preserve">, ff. 1 a 4; </w:t>
      </w:r>
      <w:hyperlink w:anchor="SENTENCIA_2016_108" w:history="1">
        <w:r w:rsidRPr="00924F59">
          <w:rPr>
            <w:rStyle w:val="TextoNormalCaracter"/>
          </w:rPr>
          <w:t>108/2016</w:t>
        </w:r>
      </w:hyperlink>
      <w:r w:rsidRPr="00924F59">
        <w:rPr>
          <w:rStyle w:val="TextoNormalCaracter"/>
        </w:rPr>
        <w:t xml:space="preserve">, ff. 1 a 4; </w:t>
      </w:r>
      <w:hyperlink w:anchor="SENTENCIA_2016_109" w:history="1">
        <w:r w:rsidRPr="00924F59">
          <w:rPr>
            <w:rStyle w:val="TextoNormalCaracter"/>
          </w:rPr>
          <w:t>109/2016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653" w:name="DESCRIPTORALFABETICO402"/>
      <w:r w:rsidRPr="00924F59">
        <w:rPr>
          <w:rStyle w:val="TextoNormalNegritaCaracter"/>
        </w:rPr>
        <w:t>Juntas generales de los territorios históricos</w:t>
      </w:r>
      <w:bookmarkEnd w:id="1653"/>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 2.</w:t>
      </w:r>
    </w:p>
    <w:p w:rsidR="00924F59" w:rsidRPr="00924F59" w:rsidRDefault="00924F59" w:rsidP="00924F59">
      <w:pPr>
        <w:pStyle w:val="TextoNormalSangraFrancesa"/>
        <w:rPr>
          <w:rStyle w:val="TextoNormalCaracter"/>
        </w:rPr>
      </w:pPr>
      <w:bookmarkStart w:id="1654" w:name="DESCRIPTORALFABETICO234"/>
      <w:r w:rsidRPr="00924F59">
        <w:rPr>
          <w:rStyle w:val="TextoNormalNegritaCaracter"/>
        </w:rPr>
        <w:t>Jurisdicción constitucional</w:t>
      </w:r>
      <w:bookmarkEnd w:id="1654"/>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 3 d).</w:t>
      </w:r>
    </w:p>
    <w:p w:rsidR="00924F59" w:rsidRPr="00924F59" w:rsidRDefault="00924F59" w:rsidP="00924F59">
      <w:pPr>
        <w:pStyle w:val="TextoNormalSangraFrancesa"/>
        <w:rPr>
          <w:rStyle w:val="TextoNormalCaracter"/>
        </w:rPr>
      </w:pPr>
      <w:bookmarkStart w:id="1655" w:name="DESCRIPTORALFABETICO235"/>
      <w:r w:rsidRPr="00924F59">
        <w:rPr>
          <w:rStyle w:val="TextoNormalNegritaCaracter"/>
        </w:rPr>
        <w:t xml:space="preserve">Jurisdicción constitucional </w:t>
      </w:r>
      <w:r w:rsidRPr="00924F59">
        <w:rPr>
          <w:rStyle w:val="TextoNormalNegritaCaracter"/>
          <w:i/>
        </w:rPr>
        <w:t>versus</w:t>
      </w:r>
      <w:r w:rsidRPr="00924F59">
        <w:rPr>
          <w:rStyle w:val="TextoNormalNegritaCaracter"/>
        </w:rPr>
        <w:t xml:space="preserve"> jurisdicción contencioso-administrativa</w:t>
      </w:r>
      <w:bookmarkEnd w:id="1655"/>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ff. 3 c), 3 d).</w:t>
      </w:r>
    </w:p>
    <w:p w:rsidR="00924F59" w:rsidRPr="00924F59" w:rsidRDefault="00924F59" w:rsidP="00924F59">
      <w:pPr>
        <w:pStyle w:val="TextoNormalSangraFrancesa"/>
        <w:rPr>
          <w:rStyle w:val="TextoNormalCaracter"/>
        </w:rPr>
      </w:pPr>
      <w:bookmarkStart w:id="1656" w:name="DESCRIPTORALFABETICO799"/>
      <w:r w:rsidRPr="00924F59">
        <w:rPr>
          <w:rStyle w:val="TextoNormalNegritaCaracter"/>
        </w:rPr>
        <w:t>Jurisdicción contencioso-administrativa</w:t>
      </w:r>
      <w:bookmarkEnd w:id="1656"/>
      <w:r w:rsidRPr="00924F59">
        <w:rPr>
          <w:rStyle w:val="TextoNormalCaracter"/>
        </w:rPr>
        <w:t xml:space="preserve">, Sentencia </w:t>
      </w:r>
      <w:hyperlink w:anchor="SENTENCIA_2016_83" w:history="1">
        <w:r w:rsidRPr="00924F59">
          <w:rPr>
            <w:rStyle w:val="TextoNormalCaracter"/>
          </w:rPr>
          <w:t>83/2016</w:t>
        </w:r>
      </w:hyperlink>
      <w:r w:rsidRPr="00924F59">
        <w:rPr>
          <w:rStyle w:val="TextoNormalCaracter"/>
        </w:rPr>
        <w:t>, ff. 1, 3, 4, 11, 12.</w:t>
      </w:r>
    </w:p>
    <w:p w:rsidR="00924F59" w:rsidRPr="00924F59" w:rsidRDefault="00924F59" w:rsidP="00924F59">
      <w:pPr>
        <w:pStyle w:val="TextoNormalSangraFrancesa"/>
        <w:rPr>
          <w:rStyle w:val="TextoNormalCaracter"/>
        </w:rPr>
      </w:pPr>
      <w:bookmarkStart w:id="1657" w:name="DESCRIPTORALFABETICO827"/>
      <w:r w:rsidRPr="00924F59">
        <w:rPr>
          <w:rStyle w:val="TextoNormalNegritaCaracter"/>
        </w:rPr>
        <w:t>Justicia gratuita</w:t>
      </w:r>
      <w:bookmarkEnd w:id="1657"/>
      <w:r w:rsidRPr="00924F59">
        <w:rPr>
          <w:rStyle w:val="TextoNormalCaracter"/>
        </w:rPr>
        <w:t xml:space="preserve">, Sentencia </w:t>
      </w:r>
      <w:hyperlink w:anchor="SENTENCIA_2016_94" w:history="1">
        <w:r w:rsidRPr="00924F59">
          <w:rPr>
            <w:rStyle w:val="TextoNormalCaracter"/>
          </w:rPr>
          <w:t>94/2016</w:t>
        </w:r>
      </w:hyperlink>
      <w:r w:rsidRPr="00924F59">
        <w:rPr>
          <w:rStyle w:val="TextoNormalCaracter"/>
        </w:rPr>
        <w:t>, ff. 1, 2.</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23" w:history="1">
        <w:r w:rsidRPr="00924F59">
          <w:rPr>
            <w:rStyle w:val="TextoNormalCaracter"/>
          </w:rPr>
          <w:t>123/2016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658" w:name="DESCRIPTORALFABETICO147"/>
      <w:r w:rsidRPr="00924F59">
        <w:rPr>
          <w:rStyle w:val="TextoNormalNegritaCaracter"/>
        </w:rPr>
        <w:t>Justificación razonable del tratamiento legal diferenciado</w:t>
      </w:r>
      <w:bookmarkEnd w:id="1658"/>
      <w:r w:rsidRPr="00924F59">
        <w:rPr>
          <w:rStyle w:val="TextoNormalCaracter"/>
        </w:rPr>
        <w:t xml:space="preserve">, Sentencia </w:t>
      </w:r>
      <w:hyperlink w:anchor="SENTENCIA_2016_31" w:history="1">
        <w:r w:rsidRPr="00924F59">
          <w:rPr>
            <w:rStyle w:val="TextoNormalCaracter"/>
          </w:rPr>
          <w:t>31/2016</w:t>
        </w:r>
      </w:hyperlink>
      <w:r w:rsidRPr="00924F59">
        <w:rPr>
          <w:rStyle w:val="TextoNormalCaracter"/>
        </w:rPr>
        <w:t>, f. 4 b).</w:t>
      </w:r>
    </w:p>
    <w:p w:rsidR="00924F59" w:rsidRPr="00924F59" w:rsidRDefault="00924F59" w:rsidP="00924F59">
      <w:pPr>
        <w:pStyle w:val="TextoNormalSangraFrancesa"/>
        <w:rPr>
          <w:rStyle w:val="TextoNormalCaracter"/>
        </w:rPr>
      </w:pPr>
      <w:bookmarkStart w:id="1659" w:name="DESCRIPTORALFABETICO383"/>
      <w:r w:rsidRPr="00924F59">
        <w:rPr>
          <w:rStyle w:val="TextoNormalNegritaCaracter"/>
        </w:rPr>
        <w:t>Juzgado de Menores</w:t>
      </w:r>
      <w:bookmarkEnd w:id="1659"/>
      <w:r w:rsidRPr="00924F59">
        <w:rPr>
          <w:rStyle w:val="TextoNormalCaracter"/>
        </w:rPr>
        <w:t xml:space="preserve">, Sentencia </w:t>
      </w:r>
      <w:hyperlink w:anchor="SENTENCIA_2016_23" w:history="1">
        <w:r w:rsidRPr="00924F59">
          <w:rPr>
            <w:rStyle w:val="TextoNormalCaracter"/>
          </w:rPr>
          <w:t>23/2016</w:t>
        </w:r>
      </w:hyperlink>
      <w:r w:rsidRPr="00924F59">
        <w:rPr>
          <w:rStyle w:val="TextoNormalCaracter"/>
        </w:rPr>
        <w:t>, ff. 1, 4, 5.</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L</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660" w:name="DESCRIPTORALFABETICO664"/>
      <w:r w:rsidRPr="00924F59">
        <w:rPr>
          <w:rStyle w:val="TextoNormalNegritaCaracter"/>
        </w:rPr>
        <w:t>Legislación básica</w:t>
      </w:r>
      <w:bookmarkEnd w:id="1660"/>
      <w:r w:rsidRPr="00924F59">
        <w:rPr>
          <w:rStyle w:val="TextoNormalCaracter"/>
        </w:rPr>
        <w:t xml:space="preserve">, Sentencias </w:t>
      </w:r>
      <w:hyperlink w:anchor="SENTENCIA_2016_6" w:history="1">
        <w:r w:rsidRPr="00924F59">
          <w:rPr>
            <w:rStyle w:val="TextoNormalCaracter"/>
          </w:rPr>
          <w:t>6/2016</w:t>
        </w:r>
      </w:hyperlink>
      <w:r w:rsidRPr="00924F59">
        <w:rPr>
          <w:rStyle w:val="TextoNormalCaracter"/>
        </w:rPr>
        <w:t xml:space="preserve">, f. 4 a); </w:t>
      </w:r>
      <w:hyperlink w:anchor="SENTENCIA_2016_7" w:history="1">
        <w:r w:rsidRPr="00924F59">
          <w:rPr>
            <w:rStyle w:val="TextoNormalCaracter"/>
          </w:rPr>
          <w:t>7/2016</w:t>
        </w:r>
      </w:hyperlink>
      <w:r w:rsidRPr="00924F59">
        <w:rPr>
          <w:rStyle w:val="TextoNormalCaracter"/>
        </w:rPr>
        <w:t xml:space="preserve">, ff. 4, 5; </w:t>
      </w:r>
      <w:hyperlink w:anchor="SENTENCIA_2016_28" w:history="1">
        <w:r w:rsidRPr="00924F59">
          <w:rPr>
            <w:rStyle w:val="TextoNormalCaracter"/>
          </w:rPr>
          <w:t>28/2016</w:t>
        </w:r>
      </w:hyperlink>
      <w:r w:rsidRPr="00924F59">
        <w:rPr>
          <w:rStyle w:val="TextoNormalCaracter"/>
        </w:rPr>
        <w:t xml:space="preserve">, f. 7; </w:t>
      </w:r>
      <w:hyperlink w:anchor="SENTENCIA_2016_37" w:history="1">
        <w:r w:rsidRPr="00924F59">
          <w:rPr>
            <w:rStyle w:val="TextoNormalCaracter"/>
          </w:rPr>
          <w:t>37/2016</w:t>
        </w:r>
      </w:hyperlink>
      <w:r w:rsidRPr="00924F59">
        <w:rPr>
          <w:rStyle w:val="TextoNormalCaracter"/>
        </w:rPr>
        <w:t xml:space="preserve">, f. 4; </w:t>
      </w:r>
      <w:hyperlink w:anchor="SENTENCIA_2016_41" w:history="1">
        <w:r w:rsidRPr="00924F59">
          <w:rPr>
            <w:rStyle w:val="TextoNormalCaracter"/>
          </w:rPr>
          <w:t>41/2016</w:t>
        </w:r>
      </w:hyperlink>
      <w:r w:rsidRPr="00924F59">
        <w:rPr>
          <w:rStyle w:val="TextoNormalCaracter"/>
        </w:rPr>
        <w:t xml:space="preserve">, ff. 4, 6 b); </w:t>
      </w:r>
      <w:hyperlink w:anchor="SENTENCIA_2016_55" w:history="1">
        <w:r w:rsidRPr="00924F59">
          <w:rPr>
            <w:rStyle w:val="TextoNormalCaracter"/>
          </w:rPr>
          <w:t>55/2016</w:t>
        </w:r>
      </w:hyperlink>
      <w:r w:rsidRPr="00924F59">
        <w:rPr>
          <w:rStyle w:val="TextoNormalCaracter"/>
        </w:rPr>
        <w:t xml:space="preserve">, f. 4; </w:t>
      </w:r>
      <w:hyperlink w:anchor="SENTENCIA_2016_57" w:history="1">
        <w:r w:rsidRPr="00924F59">
          <w:rPr>
            <w:rStyle w:val="TextoNormalCaracter"/>
          </w:rPr>
          <w:t>57/2016</w:t>
        </w:r>
      </w:hyperlink>
      <w:r w:rsidRPr="00924F59">
        <w:rPr>
          <w:rStyle w:val="TextoNormalCaracter"/>
        </w:rPr>
        <w:t xml:space="preserve">, f. 8; </w:t>
      </w:r>
      <w:hyperlink w:anchor="SENTENCIA_2016_59" w:history="1">
        <w:r w:rsidRPr="00924F59">
          <w:rPr>
            <w:rStyle w:val="TextoNormalCaracter"/>
          </w:rPr>
          <w:t>59/2016</w:t>
        </w:r>
      </w:hyperlink>
      <w:r w:rsidRPr="00924F59">
        <w:rPr>
          <w:rStyle w:val="TextoNormalCaracter"/>
        </w:rPr>
        <w:t>, ff. 3 a 5.</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84" w:history="1">
        <w:r w:rsidRPr="00924F59">
          <w:rPr>
            <w:rStyle w:val="TextoNormalCaracter"/>
          </w:rPr>
          <w:t>84/2016</w:t>
        </w:r>
      </w:hyperlink>
      <w:r w:rsidRPr="00924F59">
        <w:rPr>
          <w:rStyle w:val="TextoNormalCaracter"/>
        </w:rPr>
        <w:t>, f. 6.</w:t>
      </w:r>
    </w:p>
    <w:p w:rsidR="00924F59" w:rsidRPr="00924F59" w:rsidRDefault="00924F59" w:rsidP="00924F59">
      <w:pPr>
        <w:pStyle w:val="TextoNormalSangraFrancesa"/>
        <w:rPr>
          <w:rStyle w:val="TextoNormalCaracter"/>
        </w:rPr>
      </w:pPr>
      <w:r w:rsidRPr="00924F59">
        <w:rPr>
          <w:rStyle w:val="TextoNormalCursivaCaracter"/>
        </w:rPr>
        <w:t xml:space="preserve">    Doctrina constitucional, </w:t>
      </w:r>
      <w:r w:rsidRPr="00924F59">
        <w:rPr>
          <w:rStyle w:val="TextoNormalCaracter"/>
        </w:rPr>
        <w:t xml:space="preserve">Sentencia </w:t>
      </w:r>
      <w:hyperlink w:anchor="SENTENCIA_2016_99" w:history="1">
        <w:r w:rsidRPr="00924F59">
          <w:rPr>
            <w:rStyle w:val="TextoNormalCaracter"/>
          </w:rPr>
          <w:t>99/2016</w:t>
        </w:r>
      </w:hyperlink>
      <w:r w:rsidRPr="00924F59">
        <w:rPr>
          <w:rStyle w:val="TextoNormalCaracter"/>
        </w:rPr>
        <w:t>, VP.</w:t>
      </w:r>
    </w:p>
    <w:p w:rsidR="00924F59" w:rsidRPr="00924F59" w:rsidRDefault="00924F59" w:rsidP="00924F59">
      <w:pPr>
        <w:pStyle w:val="TextoNormalSangraFrancesa"/>
        <w:rPr>
          <w:rStyle w:val="TextoNormalCaracter"/>
        </w:rPr>
      </w:pPr>
      <w:bookmarkStart w:id="1661" w:name="DESCRIPTORALFABETICO672"/>
      <w:r w:rsidRPr="00924F59">
        <w:rPr>
          <w:rStyle w:val="TextoNormalNegritaCaracter"/>
        </w:rPr>
        <w:t>Legislación tributaria</w:t>
      </w:r>
      <w:bookmarkEnd w:id="1661"/>
      <w:r w:rsidRPr="00924F59">
        <w:rPr>
          <w:rStyle w:val="TextoNormalCaracter"/>
        </w:rPr>
        <w:t xml:space="preserve">, Sentencia </w:t>
      </w:r>
      <w:hyperlink w:anchor="SENTENCIA_2016_33" w:history="1">
        <w:r w:rsidRPr="00924F59">
          <w:rPr>
            <w:rStyle w:val="TextoNormalCaracter"/>
          </w:rPr>
          <w:t>33/2016</w:t>
        </w:r>
      </w:hyperlink>
      <w:r w:rsidRPr="00924F59">
        <w:rPr>
          <w:rStyle w:val="TextoNormalCaracter"/>
        </w:rPr>
        <w:t>, ff. 2 a 5.</w:t>
      </w:r>
    </w:p>
    <w:p w:rsidR="00924F59" w:rsidRPr="00924F59" w:rsidRDefault="00924F59" w:rsidP="00924F59">
      <w:pPr>
        <w:pStyle w:val="TextoNormalSangraFrancesa"/>
        <w:rPr>
          <w:rStyle w:val="TextoNormalCaracter"/>
        </w:rPr>
      </w:pPr>
      <w:bookmarkStart w:id="1662" w:name="DESCRIPTORALFABETICO324"/>
      <w:r w:rsidRPr="00924F59">
        <w:rPr>
          <w:rStyle w:val="TextoNormalNegritaCaracter"/>
        </w:rPr>
        <w:t>Legitimación de personas jurídicas públicas</w:t>
      </w:r>
      <w:bookmarkEnd w:id="1662"/>
      <w:r w:rsidRPr="00924F59">
        <w:rPr>
          <w:rStyle w:val="TextoNormalCaracter"/>
        </w:rPr>
        <w:t xml:space="preserve">, Sentencia </w:t>
      </w:r>
      <w:hyperlink w:anchor="SENTENCIA_2016_44" w:history="1">
        <w:r w:rsidRPr="00924F59">
          <w:rPr>
            <w:rStyle w:val="TextoNormalCaracter"/>
          </w:rPr>
          <w:t>44/2016</w:t>
        </w:r>
      </w:hyperlink>
      <w:r w:rsidRPr="00924F59">
        <w:rPr>
          <w:rStyle w:val="TextoNormalCaracter"/>
        </w:rPr>
        <w:t>, f. 3.</w:t>
      </w:r>
    </w:p>
    <w:p w:rsidR="00924F59" w:rsidRPr="00924F59" w:rsidRDefault="00924F59" w:rsidP="00924F59">
      <w:pPr>
        <w:pStyle w:val="TextoNormalSangraFrancesa"/>
        <w:rPr>
          <w:rStyle w:val="TextoNormalCaracter"/>
        </w:rPr>
      </w:pPr>
      <w:bookmarkStart w:id="1663" w:name="DESCRIPTORALFABETICO325"/>
      <w:r w:rsidRPr="00924F59">
        <w:rPr>
          <w:rStyle w:val="TextoNormalNegritaCaracter"/>
        </w:rPr>
        <w:t>Legitimación del Ministerio Fiscal</w:t>
      </w:r>
      <w:bookmarkEnd w:id="1663"/>
      <w:r w:rsidRPr="00924F59">
        <w:rPr>
          <w:rStyle w:val="TextoNormalCaracter"/>
        </w:rPr>
        <w:t xml:space="preserve">, Sentencias </w:t>
      </w:r>
      <w:hyperlink w:anchor="SENTENCIA_2016_22" w:history="1">
        <w:r w:rsidRPr="00924F59">
          <w:rPr>
            <w:rStyle w:val="TextoNormalCaracter"/>
          </w:rPr>
          <w:t>22/2016</w:t>
        </w:r>
      </w:hyperlink>
      <w:r w:rsidRPr="00924F59">
        <w:rPr>
          <w:rStyle w:val="TextoNormalCaracter"/>
        </w:rPr>
        <w:t xml:space="preserve">, f. 2; </w:t>
      </w:r>
      <w:hyperlink w:anchor="SENTENCIA_2016_50" w:history="1">
        <w:r w:rsidRPr="00924F59">
          <w:rPr>
            <w:rStyle w:val="TextoNormalCaracter"/>
          </w:rPr>
          <w:t>50/2016</w:t>
        </w:r>
      </w:hyperlink>
      <w:r w:rsidRPr="00924F59">
        <w:rPr>
          <w:rStyle w:val="TextoNormalCaracter"/>
        </w:rPr>
        <w:t>, f. 2.</w:t>
      </w:r>
    </w:p>
    <w:p w:rsidR="00924F59" w:rsidRPr="00924F59" w:rsidRDefault="00924F59" w:rsidP="00924F59">
      <w:pPr>
        <w:pStyle w:val="TextoNormalSangraFrancesa"/>
        <w:rPr>
          <w:rStyle w:val="TextoNormalCaracter"/>
        </w:rPr>
      </w:pPr>
      <w:bookmarkStart w:id="1664" w:name="DESCRIPTORALFABETICO254"/>
      <w:r w:rsidRPr="00924F59">
        <w:rPr>
          <w:rStyle w:val="TextoNormalNegritaCaracter"/>
        </w:rPr>
        <w:t>Legitimación en conflictos en defensa de la autonomía local</w:t>
      </w:r>
      <w:bookmarkEnd w:id="1664"/>
      <w:r w:rsidRPr="00924F59">
        <w:rPr>
          <w:rStyle w:val="TextoNormalCaracter"/>
        </w:rPr>
        <w:t xml:space="preserve">, Sentencia </w:t>
      </w:r>
      <w:hyperlink w:anchor="SENTENCIA_2016_27" w:history="1">
        <w:r w:rsidRPr="00924F59">
          <w:rPr>
            <w:rStyle w:val="TextoNormalCaracter"/>
          </w:rPr>
          <w:t>27/2016</w:t>
        </w:r>
      </w:hyperlink>
      <w:r w:rsidRPr="00924F59">
        <w:rPr>
          <w:rStyle w:val="TextoNormalCaracter"/>
        </w:rPr>
        <w:t>, f. 3.</w:t>
      </w:r>
    </w:p>
    <w:p w:rsidR="00924F59" w:rsidRPr="00924F59" w:rsidRDefault="00924F59" w:rsidP="00924F59">
      <w:pPr>
        <w:pStyle w:val="TextoNormalSangraFrancesa"/>
        <w:rPr>
          <w:rStyle w:val="TextoNormalCaracter"/>
        </w:rPr>
      </w:pPr>
      <w:bookmarkStart w:id="1665" w:name="DESCRIPTORALFABETICO256"/>
      <w:r w:rsidRPr="00924F59">
        <w:rPr>
          <w:rStyle w:val="TextoNormalNegritaCaracter"/>
        </w:rPr>
        <w:t>Legitimación en recurso de inconstitucionalidad</w:t>
      </w:r>
      <w:bookmarkEnd w:id="1665"/>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ff. 1 b), 4 c).</w:t>
      </w:r>
    </w:p>
    <w:p w:rsidR="00924F59" w:rsidRPr="00924F59" w:rsidRDefault="00924F59" w:rsidP="00924F59">
      <w:pPr>
        <w:pStyle w:val="TextoNormalSangraFrancesa"/>
        <w:rPr>
          <w:rStyle w:val="TextoNormalCaracter"/>
        </w:rPr>
      </w:pPr>
      <w:bookmarkStart w:id="1666" w:name="DESCRIPTORALFABETICO435"/>
      <w:r w:rsidRPr="00924F59">
        <w:rPr>
          <w:rStyle w:val="TextoNormalNegritaCaracter"/>
        </w:rPr>
        <w:t>Legitimidad constitucional</w:t>
      </w:r>
      <w:bookmarkEnd w:id="1666"/>
      <w:r w:rsidRPr="00924F59">
        <w:rPr>
          <w:rStyle w:val="TextoNormalCaracter"/>
        </w:rPr>
        <w:t xml:space="preserve">, Sentencia </w:t>
      </w:r>
      <w:hyperlink w:anchor="SENTENCIA_2016_35" w:history="1">
        <w:r w:rsidRPr="00924F59">
          <w:rPr>
            <w:rStyle w:val="TextoNormalCaracter"/>
          </w:rPr>
          <w:t>35/2016</w:t>
        </w:r>
      </w:hyperlink>
      <w:r w:rsidRPr="00924F59">
        <w:rPr>
          <w:rStyle w:val="TextoNormalCaracter"/>
        </w:rPr>
        <w:t>, f. 4, 5.</w:t>
      </w:r>
    </w:p>
    <w:p w:rsidR="00924F59" w:rsidRPr="00924F59" w:rsidRDefault="00924F59" w:rsidP="00924F59">
      <w:pPr>
        <w:pStyle w:val="TextoNormalSangraFrancesa"/>
        <w:rPr>
          <w:rStyle w:val="TextoNormalCaracter"/>
        </w:rPr>
      </w:pPr>
      <w:bookmarkStart w:id="1667" w:name="DESCRIPTORALFABETICO439"/>
      <w:r w:rsidRPr="00924F59">
        <w:rPr>
          <w:rStyle w:val="TextoNormalNegritaCaracter"/>
        </w:rPr>
        <w:t>Lenguas españolas</w:t>
      </w:r>
      <w:bookmarkEnd w:id="1667"/>
      <w:r w:rsidRPr="00924F59">
        <w:rPr>
          <w:rStyle w:val="TextoNormalCaracter"/>
        </w:rPr>
        <w:t xml:space="preserve">, Sentencia </w:t>
      </w:r>
      <w:hyperlink w:anchor="SENTENCIA_2016_56" w:history="1">
        <w:r w:rsidRPr="00924F59">
          <w:rPr>
            <w:rStyle w:val="TextoNormalCaracter"/>
          </w:rPr>
          <w:t>56/2016</w:t>
        </w:r>
      </w:hyperlink>
      <w:r w:rsidRPr="00924F59">
        <w:rPr>
          <w:rStyle w:val="TextoNormalCaracter"/>
        </w:rPr>
        <w:t>, ff. 1 a 5.</w:t>
      </w:r>
    </w:p>
    <w:p w:rsidR="00924F59" w:rsidRPr="00924F59" w:rsidRDefault="00924F59" w:rsidP="00924F59">
      <w:pPr>
        <w:pStyle w:val="TextoNormalSangraFrancesa"/>
        <w:rPr>
          <w:rStyle w:val="TextoNormalCaracter"/>
        </w:rPr>
      </w:pPr>
      <w:bookmarkStart w:id="1668" w:name="DESCRIPTORALFABETICO442"/>
      <w:r w:rsidRPr="00924F59">
        <w:rPr>
          <w:rStyle w:val="TextoNormalNegritaCaracter"/>
        </w:rPr>
        <w:t>Lenguas oficiales</w:t>
      </w:r>
      <w:bookmarkEnd w:id="1668"/>
      <w:r w:rsidRPr="00924F59">
        <w:rPr>
          <w:rStyle w:val="TextoNormalCaracter"/>
        </w:rPr>
        <w:t xml:space="preserve">, Sentencia </w:t>
      </w:r>
      <w:hyperlink w:anchor="SENTENCIA_2016_56" w:history="1">
        <w:r w:rsidRPr="00924F59">
          <w:rPr>
            <w:rStyle w:val="TextoNormalCaracter"/>
          </w:rPr>
          <w:t>56/2016</w:t>
        </w:r>
      </w:hyperlink>
      <w:r w:rsidRPr="00924F59">
        <w:rPr>
          <w:rStyle w:val="TextoNormalCaracter"/>
        </w:rPr>
        <w:t>, ff. 2, 5.</w:t>
      </w:r>
    </w:p>
    <w:p w:rsidR="00924F59" w:rsidRPr="00924F59" w:rsidRDefault="00924F59" w:rsidP="00924F59">
      <w:pPr>
        <w:pStyle w:val="TextoNormalSangraFrancesa"/>
        <w:rPr>
          <w:rStyle w:val="TextoNormalCaracter"/>
        </w:rPr>
      </w:pPr>
      <w:bookmarkStart w:id="1669" w:name="DESCRIPTORALFABETICO246"/>
      <w:r w:rsidRPr="00924F59">
        <w:rPr>
          <w:rStyle w:val="TextoNormalNegritaCaracter"/>
        </w:rPr>
        <w:t>Levantamiento de la suspensión de disposiciones de las Comunidades Autónomas</w:t>
      </w:r>
      <w:bookmarkEnd w:id="1669"/>
      <w:r w:rsidRPr="00924F59">
        <w:rPr>
          <w:rStyle w:val="TextoNormalCaracter"/>
        </w:rPr>
        <w:t xml:space="preserve">, Autos </w:t>
      </w:r>
      <w:hyperlink w:anchor="AUTO_2016_54" w:history="1">
        <w:r w:rsidRPr="00924F59">
          <w:rPr>
            <w:rStyle w:val="TextoNormalCaracter"/>
          </w:rPr>
          <w:t>54/2016</w:t>
        </w:r>
      </w:hyperlink>
      <w:r w:rsidRPr="00924F59">
        <w:rPr>
          <w:rStyle w:val="TextoNormalCaracter"/>
        </w:rPr>
        <w:t xml:space="preserve">, ff. 2 a 7; </w:t>
      </w:r>
      <w:hyperlink w:anchor="AUTO_2016_105" w:history="1">
        <w:r w:rsidRPr="00924F59">
          <w:rPr>
            <w:rStyle w:val="TextoNormalCaracter"/>
          </w:rPr>
          <w:t>105/2016</w:t>
        </w:r>
      </w:hyperlink>
      <w:r w:rsidRPr="00924F59">
        <w:rPr>
          <w:rStyle w:val="TextoNormalCaracter"/>
        </w:rPr>
        <w:t xml:space="preserve">, ff. 1 a 3, 5 a 8; </w:t>
      </w:r>
      <w:hyperlink w:anchor="AUTO_2016_130" w:history="1">
        <w:r w:rsidRPr="00924F59">
          <w:rPr>
            <w:rStyle w:val="TextoNormalCaracter"/>
          </w:rPr>
          <w:t>130/2016</w:t>
        </w:r>
      </w:hyperlink>
      <w:r w:rsidRPr="00924F59">
        <w:rPr>
          <w:rStyle w:val="TextoNormalCaracter"/>
        </w:rPr>
        <w:t>, ff. 8, 9.</w:t>
      </w:r>
    </w:p>
    <w:p w:rsidR="00924F59" w:rsidRPr="00924F59" w:rsidRDefault="00924F59" w:rsidP="00924F59">
      <w:pPr>
        <w:pStyle w:val="TextoNormalSangraFrancesa"/>
        <w:rPr>
          <w:rStyle w:val="TextoNormalCaracter"/>
        </w:rPr>
      </w:pPr>
      <w:bookmarkStart w:id="1670" w:name="DESCRIPTORALFABETICO247"/>
      <w:r w:rsidRPr="00924F59">
        <w:rPr>
          <w:rStyle w:val="TextoNormalNegritaCaracter"/>
        </w:rPr>
        <w:t>Levantamiento parcial de la suspensión</w:t>
      </w:r>
      <w:bookmarkEnd w:id="1670"/>
      <w:r w:rsidRPr="00924F59">
        <w:rPr>
          <w:rStyle w:val="TextoNormalCaracter"/>
        </w:rPr>
        <w:t xml:space="preserve">, Autos </w:t>
      </w:r>
      <w:hyperlink w:anchor="AUTO_2016_72" w:history="1">
        <w:r w:rsidRPr="00924F59">
          <w:rPr>
            <w:rStyle w:val="TextoNormalCaracter"/>
          </w:rPr>
          <w:t>72/2016</w:t>
        </w:r>
      </w:hyperlink>
      <w:r w:rsidRPr="00924F59">
        <w:rPr>
          <w:rStyle w:val="TextoNormalCaracter"/>
        </w:rPr>
        <w:t xml:space="preserve">, ff. 1 a 4; </w:t>
      </w:r>
      <w:hyperlink w:anchor="AUTO_2016_89" w:history="1">
        <w:r w:rsidRPr="00924F59">
          <w:rPr>
            <w:rStyle w:val="TextoNormalCaracter"/>
          </w:rPr>
          <w:t>89/2016</w:t>
        </w:r>
      </w:hyperlink>
      <w:r w:rsidRPr="00924F59">
        <w:rPr>
          <w:rStyle w:val="TextoNormalCaracter"/>
        </w:rPr>
        <w:t xml:space="preserve">, ff. 1 a 7; </w:t>
      </w:r>
      <w:hyperlink w:anchor="AUTO_2016_90" w:history="1">
        <w:r w:rsidRPr="00924F59">
          <w:rPr>
            <w:rStyle w:val="TextoNormalCaracter"/>
          </w:rPr>
          <w:t>90/2016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671" w:name="DESCRIPTORALFABETICO680"/>
      <w:r w:rsidRPr="00924F59">
        <w:rPr>
          <w:rStyle w:val="TextoNormalNegritaCaracter"/>
        </w:rPr>
        <w:t>Ley de presupuestos como vehículo de dirección de la política económica</w:t>
      </w:r>
      <w:bookmarkEnd w:id="1671"/>
      <w:r w:rsidRPr="00924F59">
        <w:rPr>
          <w:rStyle w:val="TextoNormalCaracter"/>
        </w:rPr>
        <w:t xml:space="preserve">, Sentencia </w:t>
      </w:r>
      <w:hyperlink w:anchor="SENTENCIA_2016_88" w:history="1">
        <w:r w:rsidRPr="00924F59">
          <w:rPr>
            <w:rStyle w:val="TextoNormalCaracter"/>
          </w:rPr>
          <w:t>88/2016</w:t>
        </w:r>
      </w:hyperlink>
      <w:r w:rsidRPr="00924F59">
        <w:rPr>
          <w:rStyle w:val="TextoNormalCaracter"/>
        </w:rPr>
        <w:t>, f. 3.</w:t>
      </w:r>
    </w:p>
    <w:p w:rsidR="00924F59" w:rsidRPr="00924F59" w:rsidRDefault="00924F59" w:rsidP="00924F59">
      <w:pPr>
        <w:pStyle w:val="TextoNormalSangraFrancesa"/>
        <w:rPr>
          <w:rStyle w:val="TextoNormalCaracter"/>
        </w:rPr>
      </w:pPr>
      <w:bookmarkStart w:id="1672" w:name="DESCRIPTORALFABETICO684"/>
      <w:r w:rsidRPr="00924F59">
        <w:rPr>
          <w:rStyle w:val="TextoNormalNegritaCaracter"/>
        </w:rPr>
        <w:t>Leyes autoaplicativas</w:t>
      </w:r>
      <w:bookmarkEnd w:id="1672"/>
      <w:r w:rsidRPr="00924F59">
        <w:rPr>
          <w:rStyle w:val="TextoNormalCaracter"/>
        </w:rPr>
        <w:t xml:space="preserve">, Sentencia </w:t>
      </w:r>
      <w:hyperlink w:anchor="SENTENCIA_2016_122" w:history="1">
        <w:r w:rsidRPr="00924F59">
          <w:rPr>
            <w:rStyle w:val="TextoNormalCaracter"/>
          </w:rPr>
          <w:t>122/2016</w:t>
        </w:r>
      </w:hyperlink>
      <w:r w:rsidRPr="00924F59">
        <w:rPr>
          <w:rStyle w:val="TextoNormalCaracter"/>
        </w:rPr>
        <w:t>, ff. 2 a 4.</w:t>
      </w:r>
    </w:p>
    <w:p w:rsidR="00924F59" w:rsidRPr="00924F59" w:rsidRDefault="00924F59" w:rsidP="00924F59">
      <w:pPr>
        <w:pStyle w:val="TextoNormalSangraFrancesa"/>
        <w:rPr>
          <w:rStyle w:val="TextoNormalCaracter"/>
        </w:rPr>
      </w:pPr>
      <w:bookmarkStart w:id="1673" w:name="DESCRIPTORALFABETICO685"/>
      <w:r w:rsidRPr="00924F59">
        <w:rPr>
          <w:rStyle w:val="TextoNormalNegritaCaracter"/>
        </w:rPr>
        <w:t>Leyes de destinatario único</w:t>
      </w:r>
      <w:bookmarkEnd w:id="1673"/>
      <w:r w:rsidRPr="00924F59">
        <w:rPr>
          <w:rStyle w:val="TextoNormalCaracter"/>
        </w:rPr>
        <w:t xml:space="preserve">, Sentencia </w:t>
      </w:r>
      <w:hyperlink w:anchor="SENTENCIA_2016_122" w:history="1">
        <w:r w:rsidRPr="00924F59">
          <w:rPr>
            <w:rStyle w:val="TextoNormalCaracter"/>
          </w:rPr>
          <w:t>122/2016</w:t>
        </w:r>
      </w:hyperlink>
      <w:r w:rsidRPr="00924F59">
        <w:rPr>
          <w:rStyle w:val="TextoNormalCaracter"/>
        </w:rPr>
        <w:t>, ff. 2 a 4.</w:t>
      </w:r>
    </w:p>
    <w:p w:rsidR="00924F59" w:rsidRPr="00924F59" w:rsidRDefault="00924F59" w:rsidP="00924F59">
      <w:pPr>
        <w:pStyle w:val="TextoNormalSangraFrancesa"/>
        <w:rPr>
          <w:rStyle w:val="TextoNormalCaracter"/>
        </w:rPr>
      </w:pPr>
      <w:bookmarkStart w:id="1674" w:name="DESCRIPTORALFABETICO678"/>
      <w:r w:rsidRPr="00924F59">
        <w:rPr>
          <w:rStyle w:val="TextoNormalNegritaCaracter"/>
        </w:rPr>
        <w:t>Leyes de presupuestos de las Comunidades Autónomas</w:t>
      </w:r>
      <w:bookmarkEnd w:id="1674"/>
      <w:r w:rsidRPr="00924F59">
        <w:rPr>
          <w:rStyle w:val="TextoNormalCaracter"/>
        </w:rPr>
        <w:t xml:space="preserve">, Sentencia </w:t>
      </w:r>
      <w:hyperlink w:anchor="SENTENCIA_2016_96" w:history="1">
        <w:r w:rsidRPr="00924F59">
          <w:rPr>
            <w:rStyle w:val="TextoNormalCaracter"/>
          </w:rPr>
          <w:t>96/2016</w:t>
        </w:r>
      </w:hyperlink>
      <w:r w:rsidRPr="00924F59">
        <w:rPr>
          <w:rStyle w:val="TextoNormalCaracter"/>
        </w:rPr>
        <w:t>, f. 4 a).</w:t>
      </w:r>
    </w:p>
    <w:p w:rsidR="00924F59" w:rsidRPr="00924F59" w:rsidRDefault="00924F59" w:rsidP="00924F59">
      <w:pPr>
        <w:pStyle w:val="TextoNormalSangraFrancesa"/>
        <w:rPr>
          <w:rStyle w:val="TextoNormalCaracter"/>
        </w:rPr>
      </w:pPr>
      <w:bookmarkStart w:id="1675" w:name="DESCRIPTORALFABETICO679"/>
      <w:r w:rsidRPr="00924F59">
        <w:rPr>
          <w:rStyle w:val="TextoNormalNegritaCaracter"/>
        </w:rPr>
        <w:t>Leyes de presupuestos generales del Estado</w:t>
      </w:r>
      <w:bookmarkEnd w:id="1675"/>
      <w:r w:rsidRPr="00924F59">
        <w:rPr>
          <w:rStyle w:val="TextoNormalCaracter"/>
        </w:rPr>
        <w:t xml:space="preserve">, Sentencias </w:t>
      </w:r>
      <w:hyperlink w:anchor="SENTENCIA_2016_96" w:history="1">
        <w:r w:rsidRPr="00924F59">
          <w:rPr>
            <w:rStyle w:val="TextoNormalCaracter"/>
          </w:rPr>
          <w:t>96/2016</w:t>
        </w:r>
      </w:hyperlink>
      <w:r w:rsidRPr="00924F59">
        <w:rPr>
          <w:rStyle w:val="TextoNormalCaracter"/>
        </w:rPr>
        <w:t xml:space="preserve">, ff. 1 a 4; </w:t>
      </w:r>
      <w:hyperlink w:anchor="SENTENCIA_2016_99" w:history="1">
        <w:r w:rsidRPr="00924F59">
          <w:rPr>
            <w:rStyle w:val="TextoNormalCaracter"/>
          </w:rPr>
          <w:t>99/2016</w:t>
        </w:r>
      </w:hyperlink>
      <w:r w:rsidRPr="00924F59">
        <w:rPr>
          <w:rStyle w:val="TextoNormalCaracter"/>
        </w:rPr>
        <w:t>, ff. 2 a 8, VP.</w:t>
      </w:r>
    </w:p>
    <w:p w:rsidR="00924F59" w:rsidRPr="00924F59" w:rsidRDefault="00924F59" w:rsidP="00924F59">
      <w:pPr>
        <w:pStyle w:val="TextoNormalSangraFrancesa"/>
        <w:rPr>
          <w:rStyle w:val="TextoNormalCaracter"/>
        </w:rPr>
      </w:pPr>
      <w:bookmarkStart w:id="1676" w:name="DESCRIPTORALFABETICO682"/>
      <w:r w:rsidRPr="00924F59">
        <w:rPr>
          <w:rStyle w:val="TextoNormalNegritaCaracter"/>
        </w:rPr>
        <w:t>Leyes especiales</w:t>
      </w:r>
      <w:bookmarkEnd w:id="1676"/>
      <w:r w:rsidRPr="00924F59">
        <w:rPr>
          <w:rStyle w:val="TextoNormalCaracter"/>
        </w:rPr>
        <w:t xml:space="preserve">, Autos </w:t>
      </w:r>
      <w:hyperlink w:anchor="AUTO_2016_101" w:history="1">
        <w:r w:rsidRPr="00924F59">
          <w:rPr>
            <w:rStyle w:val="TextoNormalCaracter"/>
          </w:rPr>
          <w:t>101/2016</w:t>
        </w:r>
      </w:hyperlink>
      <w:r w:rsidRPr="00924F59">
        <w:rPr>
          <w:rStyle w:val="TextoNormalCaracter"/>
        </w:rPr>
        <w:t xml:space="preserve">, f. 3; </w:t>
      </w:r>
      <w:hyperlink w:anchor="AUTO_2016_102" w:history="1">
        <w:r w:rsidRPr="00924F59">
          <w:rPr>
            <w:rStyle w:val="TextoNormalCaracter"/>
          </w:rPr>
          <w:t>102/2016</w:t>
        </w:r>
      </w:hyperlink>
      <w:r w:rsidRPr="00924F59">
        <w:rPr>
          <w:rStyle w:val="TextoNormalCaracter"/>
        </w:rPr>
        <w:t xml:space="preserve">, f. 3; </w:t>
      </w:r>
      <w:hyperlink w:anchor="AUTO_2016_103" w:history="1">
        <w:r w:rsidRPr="00924F59">
          <w:rPr>
            <w:rStyle w:val="TextoNormalCaracter"/>
          </w:rPr>
          <w:t>103/2016</w:t>
        </w:r>
      </w:hyperlink>
      <w:r w:rsidRPr="00924F59">
        <w:rPr>
          <w:rStyle w:val="TextoNormalCaracter"/>
        </w:rPr>
        <w:t xml:space="preserve">, f. 4; </w:t>
      </w:r>
      <w:hyperlink w:anchor="AUTO_2016_113" w:history="1">
        <w:r w:rsidRPr="00924F59">
          <w:rPr>
            <w:rStyle w:val="TextoNormalCaracter"/>
          </w:rPr>
          <w:t>113/2016</w:t>
        </w:r>
      </w:hyperlink>
      <w:r w:rsidRPr="00924F59">
        <w:rPr>
          <w:rStyle w:val="TextoNormalCaracter"/>
        </w:rPr>
        <w:t>, f. 4.</w:t>
      </w:r>
    </w:p>
    <w:p w:rsidR="00924F59" w:rsidRPr="00924F59" w:rsidRDefault="00924F59" w:rsidP="00924F59">
      <w:pPr>
        <w:pStyle w:val="TextoNormalSangraFrancesa"/>
        <w:rPr>
          <w:rStyle w:val="TextoNormalCaracter"/>
        </w:rPr>
      </w:pPr>
      <w:bookmarkStart w:id="1677" w:name="DESCRIPTORALFABETICO683"/>
      <w:r w:rsidRPr="00924F59">
        <w:rPr>
          <w:rStyle w:val="TextoNormalNegritaCaracter"/>
        </w:rPr>
        <w:t>Leyes singulares</w:t>
      </w:r>
      <w:bookmarkEnd w:id="1677"/>
      <w:r w:rsidRPr="00924F59">
        <w:rPr>
          <w:rStyle w:val="TextoNormalCaracter"/>
        </w:rPr>
        <w:t xml:space="preserve">, Sentencia </w:t>
      </w:r>
      <w:hyperlink w:anchor="SENTENCIA_2016_122" w:history="1">
        <w:r w:rsidRPr="00924F59">
          <w:rPr>
            <w:rStyle w:val="TextoNormalCaracter"/>
          </w:rPr>
          <w:t>122/2016</w:t>
        </w:r>
      </w:hyperlink>
      <w:r w:rsidRPr="00924F59">
        <w:rPr>
          <w:rStyle w:val="TextoNormalCaracter"/>
        </w:rPr>
        <w:t>, ff. 2 a 4.</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84" w:history="1">
        <w:r w:rsidRPr="00924F59">
          <w:rPr>
            <w:rStyle w:val="TextoNormalCaracter"/>
          </w:rPr>
          <w:t>84/2016</w:t>
        </w:r>
      </w:hyperlink>
      <w:r w:rsidRPr="00924F59">
        <w:rPr>
          <w:rStyle w:val="TextoNormalCaracter"/>
        </w:rPr>
        <w:t xml:space="preserve">, f. 4; </w:t>
      </w:r>
      <w:hyperlink w:anchor="AUTO_2016_101" w:history="1">
        <w:r w:rsidRPr="00924F59">
          <w:rPr>
            <w:rStyle w:val="TextoNormalCaracter"/>
          </w:rPr>
          <w:t>101/2016</w:t>
        </w:r>
      </w:hyperlink>
      <w:r w:rsidRPr="00924F59">
        <w:rPr>
          <w:rStyle w:val="TextoNormalCaracter"/>
        </w:rPr>
        <w:t xml:space="preserve">, f. 3; </w:t>
      </w:r>
      <w:hyperlink w:anchor="AUTO_2016_102" w:history="1">
        <w:r w:rsidRPr="00924F59">
          <w:rPr>
            <w:rStyle w:val="TextoNormalCaracter"/>
          </w:rPr>
          <w:t>102/2016</w:t>
        </w:r>
      </w:hyperlink>
      <w:r w:rsidRPr="00924F59">
        <w:rPr>
          <w:rStyle w:val="TextoNormalCaracter"/>
        </w:rPr>
        <w:t xml:space="preserve">, f. 3; </w:t>
      </w:r>
      <w:hyperlink w:anchor="AUTO_2016_103" w:history="1">
        <w:r w:rsidRPr="00924F59">
          <w:rPr>
            <w:rStyle w:val="TextoNormalCaracter"/>
          </w:rPr>
          <w:t>103/2016</w:t>
        </w:r>
      </w:hyperlink>
      <w:r w:rsidRPr="00924F59">
        <w:rPr>
          <w:rStyle w:val="TextoNormalCaracter"/>
        </w:rPr>
        <w:t xml:space="preserve">, ff. 4, 5; </w:t>
      </w:r>
      <w:hyperlink w:anchor="AUTO_2016_132" w:history="1">
        <w:r w:rsidRPr="00924F59">
          <w:rPr>
            <w:rStyle w:val="TextoNormalCaracter"/>
          </w:rPr>
          <w:t>132/2016</w:t>
        </w:r>
      </w:hyperlink>
      <w:r w:rsidRPr="00924F59">
        <w:rPr>
          <w:rStyle w:val="TextoNormalCaracter"/>
        </w:rPr>
        <w:t>, f. 5.</w:t>
      </w:r>
    </w:p>
    <w:p w:rsidR="00924F59" w:rsidRPr="00924F59" w:rsidRDefault="00924F59" w:rsidP="00924F59">
      <w:pPr>
        <w:pStyle w:val="TextoNormalSangraFrancesa"/>
        <w:rPr>
          <w:rStyle w:val="TextoNormalCaracter"/>
        </w:rPr>
      </w:pPr>
      <w:bookmarkStart w:id="1678" w:name="DESCRIPTORALFABETICO386"/>
      <w:r w:rsidRPr="00924F59">
        <w:rPr>
          <w:rStyle w:val="TextoNormalNegritaCaracter"/>
        </w:rPr>
        <w:t>Libertad de configuración del legislador</w:t>
      </w:r>
      <w:bookmarkEnd w:id="1678"/>
      <w:r w:rsidRPr="00924F59">
        <w:rPr>
          <w:rStyle w:val="TextoNormalCaracter"/>
        </w:rPr>
        <w:t xml:space="preserve">, Sentencias </w:t>
      </w:r>
      <w:hyperlink w:anchor="SENTENCIA_2016_6" w:history="1">
        <w:r w:rsidRPr="00924F59">
          <w:rPr>
            <w:rStyle w:val="TextoNormalCaracter"/>
          </w:rPr>
          <w:t>6/2016</w:t>
        </w:r>
      </w:hyperlink>
      <w:r w:rsidRPr="00924F59">
        <w:rPr>
          <w:rStyle w:val="TextoNormalCaracter"/>
        </w:rPr>
        <w:t xml:space="preserve">, f. 3; </w:t>
      </w:r>
      <w:hyperlink w:anchor="SENTENCIA_2016_28" w:history="1">
        <w:r w:rsidRPr="00924F59">
          <w:rPr>
            <w:rStyle w:val="TextoNormalCaracter"/>
          </w:rPr>
          <w:t>28/2016</w:t>
        </w:r>
      </w:hyperlink>
      <w:r w:rsidRPr="00924F59">
        <w:rPr>
          <w:rStyle w:val="TextoNormalCaracter"/>
        </w:rPr>
        <w:t xml:space="preserve">, f. 3; </w:t>
      </w:r>
      <w:hyperlink w:anchor="SENTENCIA_2016_57" w:history="1">
        <w:r w:rsidRPr="00924F59">
          <w:rPr>
            <w:rStyle w:val="TextoNormalCaracter"/>
          </w:rPr>
          <w:t>57/2016</w:t>
        </w:r>
      </w:hyperlink>
      <w:r w:rsidRPr="00924F59">
        <w:rPr>
          <w:rStyle w:val="TextoNormalCaracter"/>
        </w:rPr>
        <w:t xml:space="preserve">, f. 3 b); </w:t>
      </w:r>
      <w:hyperlink w:anchor="SENTENCIA_2016_96" w:history="1">
        <w:r w:rsidRPr="00924F59">
          <w:rPr>
            <w:rStyle w:val="TextoNormalCaracter"/>
          </w:rPr>
          <w:t>96/2016</w:t>
        </w:r>
      </w:hyperlink>
      <w:r w:rsidRPr="00924F59">
        <w:rPr>
          <w:rStyle w:val="TextoNormalCaracter"/>
        </w:rPr>
        <w:t xml:space="preserve">, f. 4 a); </w:t>
      </w:r>
      <w:hyperlink w:anchor="SENTENCIA_2016_100" w:history="1">
        <w:r w:rsidRPr="00924F59">
          <w:rPr>
            <w:rStyle w:val="TextoNormalCaracter"/>
          </w:rPr>
          <w:t>100/2016</w:t>
        </w:r>
      </w:hyperlink>
      <w:r w:rsidRPr="00924F59">
        <w:rPr>
          <w:rStyle w:val="TextoNormalCaracter"/>
        </w:rPr>
        <w:t xml:space="preserve">, f. 3; </w:t>
      </w:r>
      <w:hyperlink w:anchor="SENTENCIA_2016_118" w:history="1">
        <w:r w:rsidRPr="00924F59">
          <w:rPr>
            <w:rStyle w:val="TextoNormalCaracter"/>
          </w:rPr>
          <w:t>118/2016</w:t>
        </w:r>
      </w:hyperlink>
      <w:r w:rsidRPr="00924F59">
        <w:rPr>
          <w:rStyle w:val="TextoNormalCaracter"/>
        </w:rPr>
        <w:t>, ff. 3 a), 3 b), 3 d), 4 b).</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35" w:history="1">
        <w:r w:rsidRPr="00924F59">
          <w:rPr>
            <w:rStyle w:val="TextoNormalCaracter"/>
          </w:rPr>
          <w:t>35/2016</w:t>
        </w:r>
      </w:hyperlink>
      <w:r w:rsidRPr="00924F59">
        <w:rPr>
          <w:rStyle w:val="TextoNormalCaracter"/>
        </w:rPr>
        <w:t>, f. 4.</w:t>
      </w:r>
    </w:p>
    <w:p w:rsidR="00924F59" w:rsidRPr="00924F59" w:rsidRDefault="00924F59" w:rsidP="00924F59">
      <w:pPr>
        <w:pStyle w:val="TextoNormalSangraFrancesa"/>
        <w:rPr>
          <w:rStyle w:val="TextoNormalCaracter"/>
        </w:rPr>
      </w:pPr>
      <w:bookmarkStart w:id="1679" w:name="DESCRIPTORALFABETICO202"/>
      <w:r w:rsidRPr="00924F59">
        <w:rPr>
          <w:rStyle w:val="TextoNormalNegritaCaracter"/>
        </w:rPr>
        <w:t>Libertad de empresa</w:t>
      </w:r>
      <w:bookmarkEnd w:id="1679"/>
      <w:r w:rsidRPr="00924F59">
        <w:rPr>
          <w:rStyle w:val="TextoNormalCaracter"/>
        </w:rPr>
        <w:t xml:space="preserve">, Sentencias </w:t>
      </w:r>
      <w:hyperlink w:anchor="SENTENCIA_2016_30" w:history="1">
        <w:r w:rsidRPr="00924F59">
          <w:rPr>
            <w:rStyle w:val="TextoNormalCaracter"/>
          </w:rPr>
          <w:t>30/2016</w:t>
        </w:r>
      </w:hyperlink>
      <w:r w:rsidRPr="00924F59">
        <w:rPr>
          <w:rStyle w:val="TextoNormalCaracter"/>
        </w:rPr>
        <w:t xml:space="preserve">, f. 6; </w:t>
      </w:r>
      <w:hyperlink w:anchor="SENTENCIA_2016_35" w:history="1">
        <w:r w:rsidRPr="00924F59">
          <w:rPr>
            <w:rStyle w:val="TextoNormalCaracter"/>
          </w:rPr>
          <w:t>35/2016</w:t>
        </w:r>
      </w:hyperlink>
      <w:r w:rsidRPr="00924F59">
        <w:rPr>
          <w:rStyle w:val="TextoNormalCaracter"/>
        </w:rPr>
        <w:t>, ff. 1, 3 a 5.</w:t>
      </w:r>
    </w:p>
    <w:p w:rsidR="00924F59" w:rsidRPr="00924F59" w:rsidRDefault="00924F59" w:rsidP="00924F59">
      <w:pPr>
        <w:pStyle w:val="TextoNormalSangraFrancesa"/>
        <w:rPr>
          <w:rStyle w:val="TextoNormalCaracter"/>
        </w:rPr>
      </w:pPr>
      <w:bookmarkStart w:id="1680" w:name="DESCRIPTORALFABETICO205"/>
      <w:r w:rsidRPr="00924F59">
        <w:rPr>
          <w:rStyle w:val="TextoNormalNegritaCaracter"/>
        </w:rPr>
        <w:t>Libertad de expresión</w:t>
      </w:r>
      <w:bookmarkEnd w:id="1680"/>
      <w:r w:rsidRPr="00924F59">
        <w:rPr>
          <w:rStyle w:val="TextoNormalCaracter"/>
        </w:rPr>
        <w:t xml:space="preserve">, Sentencia </w:t>
      </w:r>
      <w:hyperlink w:anchor="SENTENCIA_2016_78" w:history="1">
        <w:r w:rsidRPr="00924F59">
          <w:rPr>
            <w:rStyle w:val="TextoNormalCaracter"/>
          </w:rPr>
          <w:t>78/2016</w:t>
        </w:r>
      </w:hyperlink>
      <w:r w:rsidRPr="00924F59">
        <w:rPr>
          <w:rStyle w:val="TextoNormalCaracter"/>
        </w:rPr>
        <w:t>, f. 2.</w:t>
      </w:r>
    </w:p>
    <w:p w:rsidR="00924F59" w:rsidRPr="00924F59" w:rsidRDefault="00924F59" w:rsidP="00924F59">
      <w:pPr>
        <w:pStyle w:val="TextoNormalSangraFrancesa"/>
        <w:rPr>
          <w:rStyle w:val="TextoNormalCaracter"/>
        </w:rPr>
      </w:pPr>
      <w:r w:rsidRPr="00924F59">
        <w:rPr>
          <w:rStyle w:val="TextoNormalCursivaCaracter"/>
        </w:rPr>
        <w:t xml:space="preserve">    Respetada, </w:t>
      </w:r>
      <w:r w:rsidRPr="00924F59">
        <w:rPr>
          <w:rStyle w:val="TextoNormalCaracter"/>
        </w:rPr>
        <w:t xml:space="preserve">Sentencia </w:t>
      </w:r>
      <w:hyperlink w:anchor="SENTENCIA_2016_112" w:history="1">
        <w:r w:rsidRPr="00924F59">
          <w:rPr>
            <w:rStyle w:val="TextoNormalCaracter"/>
          </w:rPr>
          <w:t>112/2016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681" w:name="DESCRIPTORALFABETICO207"/>
      <w:r w:rsidRPr="00924F59">
        <w:rPr>
          <w:rStyle w:val="TextoNormalNegritaCaracter"/>
        </w:rPr>
        <w:t>Libertad de expresión de los parlamentarios</w:t>
      </w:r>
      <w:bookmarkEnd w:id="1681"/>
      <w:r w:rsidRPr="00924F59">
        <w:rPr>
          <w:rStyle w:val="TextoNormalCaracter"/>
        </w:rPr>
        <w:t xml:space="preserve">, Sentencia </w:t>
      </w:r>
      <w:hyperlink w:anchor="SENTENCIA_2016_78" w:history="1">
        <w:r w:rsidRPr="00924F59">
          <w:rPr>
            <w:rStyle w:val="TextoNormalCaracter"/>
          </w:rPr>
          <w:t>78/2016</w:t>
        </w:r>
      </w:hyperlink>
      <w:r w:rsidRPr="00924F59">
        <w:rPr>
          <w:rStyle w:val="TextoNormalCaracter"/>
        </w:rPr>
        <w:t>, f. 2.</w:t>
      </w:r>
    </w:p>
    <w:p w:rsidR="00924F59" w:rsidRPr="00924F59" w:rsidRDefault="00924F59" w:rsidP="00924F59">
      <w:pPr>
        <w:pStyle w:val="TextoNormalSangraFrancesa"/>
        <w:rPr>
          <w:rStyle w:val="TextoNormalCaracter"/>
        </w:rPr>
      </w:pPr>
      <w:bookmarkStart w:id="1682" w:name="DESCRIPTORALFABETICO211"/>
      <w:r w:rsidRPr="00924F59">
        <w:rPr>
          <w:rStyle w:val="TextoNormalNegritaCaracter"/>
        </w:rPr>
        <w:t>Libertad ideológica</w:t>
      </w:r>
      <w:bookmarkEnd w:id="1682"/>
      <w:r w:rsidRPr="00924F59">
        <w:rPr>
          <w:rStyle w:val="TextoNormalCaracter"/>
        </w:rPr>
        <w:t xml:space="preserve">, Sentencia </w:t>
      </w:r>
      <w:hyperlink w:anchor="SENTENCIA_2016_11" w:history="1">
        <w:r w:rsidRPr="00924F59">
          <w:rPr>
            <w:rStyle w:val="TextoNormalCaracter"/>
          </w:rPr>
          <w:t>11/2016</w:t>
        </w:r>
      </w:hyperlink>
      <w:r w:rsidRPr="00924F59">
        <w:rPr>
          <w:rStyle w:val="TextoNormalCaracter"/>
        </w:rPr>
        <w:t>, VP II.</w:t>
      </w:r>
    </w:p>
    <w:p w:rsidR="00924F59" w:rsidRPr="00924F59" w:rsidRDefault="00924F59" w:rsidP="00924F59">
      <w:pPr>
        <w:pStyle w:val="TextoNormalSangraFrancesa"/>
        <w:rPr>
          <w:rStyle w:val="TextoNormalCaracter"/>
        </w:rPr>
      </w:pPr>
      <w:bookmarkStart w:id="1683" w:name="DESCRIPTORALFABETICO212"/>
      <w:r w:rsidRPr="00924F59">
        <w:rPr>
          <w:rStyle w:val="TextoNormalNegritaCaracter"/>
        </w:rPr>
        <w:t>Libertad sindical</w:t>
      </w:r>
      <w:bookmarkEnd w:id="1683"/>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Respetada, </w:t>
      </w:r>
      <w:r w:rsidRPr="00924F59">
        <w:rPr>
          <w:rStyle w:val="TextoNormalCaracter"/>
        </w:rPr>
        <w:t xml:space="preserve">Sentencia </w:t>
      </w:r>
      <w:hyperlink w:anchor="SENTENCIA_2016_64" w:history="1">
        <w:r w:rsidRPr="00924F59">
          <w:rPr>
            <w:rStyle w:val="TextoNormalCaracter"/>
          </w:rPr>
          <w:t>64/2016</w:t>
        </w:r>
      </w:hyperlink>
      <w:r w:rsidRPr="00924F59">
        <w:rPr>
          <w:rStyle w:val="TextoNormalCaracter"/>
        </w:rPr>
        <w:t>, ff. 1 a 6, VP.</w:t>
      </w:r>
    </w:p>
    <w:p w:rsidR="00924F59" w:rsidRPr="00924F59" w:rsidRDefault="00924F59" w:rsidP="00924F59">
      <w:pPr>
        <w:pStyle w:val="TextoNormalSangraFrancesa"/>
        <w:rPr>
          <w:rStyle w:val="TextoNormalCaracter"/>
        </w:rPr>
      </w:pPr>
      <w:bookmarkStart w:id="1684" w:name="DESCRIPTORALFABETICO203"/>
      <w:r w:rsidRPr="00924F59">
        <w:rPr>
          <w:rStyle w:val="TextoNormalNegritaCaracter"/>
        </w:rPr>
        <w:t>Libre competencia</w:t>
      </w:r>
      <w:bookmarkEnd w:id="1684"/>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ff. 6, 8, 11.</w:t>
      </w:r>
    </w:p>
    <w:p w:rsidR="00924F59" w:rsidRPr="00924F59" w:rsidRDefault="00924F59" w:rsidP="00924F59">
      <w:pPr>
        <w:pStyle w:val="TextoNormalSangraFrancesa"/>
        <w:rPr>
          <w:rStyle w:val="TextoNormalCaracter"/>
        </w:rPr>
      </w:pPr>
      <w:bookmarkStart w:id="1685" w:name="DESCRIPTORALFABETICO474"/>
      <w:r w:rsidRPr="00924F59">
        <w:rPr>
          <w:rStyle w:val="TextoNormalNegritaCaracter"/>
        </w:rPr>
        <w:t>Licencias administrativas</w:t>
      </w:r>
      <w:bookmarkEnd w:id="1685"/>
      <w:r w:rsidRPr="00924F59">
        <w:rPr>
          <w:rStyle w:val="TextoNormalCaracter"/>
        </w:rPr>
        <w:t xml:space="preserve">, Sentencia </w:t>
      </w:r>
      <w:hyperlink w:anchor="SENTENCIA_2016_20" w:history="1">
        <w:r w:rsidRPr="00924F59">
          <w:rPr>
            <w:rStyle w:val="TextoNormalCaracter"/>
          </w:rPr>
          <w:t>20/2016</w:t>
        </w:r>
      </w:hyperlink>
      <w:r w:rsidRPr="00924F59">
        <w:rPr>
          <w:rStyle w:val="TextoNormalCaracter"/>
        </w:rPr>
        <w:t>, f. 7.</w:t>
      </w:r>
    </w:p>
    <w:p w:rsidR="00924F59" w:rsidRPr="00924F59" w:rsidRDefault="00924F59" w:rsidP="00924F59">
      <w:pPr>
        <w:pStyle w:val="TextoNormalSangraFrancesa"/>
        <w:rPr>
          <w:rStyle w:val="TextoNormalCaracter"/>
        </w:rPr>
      </w:pPr>
      <w:bookmarkStart w:id="1686" w:name="DESCRIPTORALFABETICO140"/>
      <w:r w:rsidRPr="00924F59">
        <w:rPr>
          <w:rStyle w:val="TextoNormalNegritaCaracter"/>
        </w:rPr>
        <w:t>Limitaciones a la libertad del empresario</w:t>
      </w:r>
      <w:bookmarkEnd w:id="1686"/>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 ff. 2 a 4, VP II.</w:t>
      </w:r>
    </w:p>
    <w:p w:rsidR="00924F59" w:rsidRPr="00924F59" w:rsidRDefault="00924F59" w:rsidP="00924F59">
      <w:pPr>
        <w:pStyle w:val="TextoNormalSangraFrancesa"/>
        <w:rPr>
          <w:rStyle w:val="TextoNormalCaracter"/>
        </w:rPr>
      </w:pPr>
      <w:bookmarkStart w:id="1687" w:name="DESCRIPTORALFABETICO220"/>
      <w:r w:rsidRPr="00924F59">
        <w:rPr>
          <w:rStyle w:val="TextoNormalNegritaCaracter"/>
        </w:rPr>
        <w:t>Limitaciones debidas a la filmación de determinadas actividades</w:t>
      </w:r>
      <w:bookmarkEnd w:id="1687"/>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3 a 5, VP I.</w:t>
      </w:r>
    </w:p>
    <w:p w:rsidR="00924F59" w:rsidRPr="00924F59" w:rsidRDefault="00924F59" w:rsidP="00924F59">
      <w:pPr>
        <w:pStyle w:val="TextoNormalSangraFrancesa"/>
        <w:rPr>
          <w:rStyle w:val="TextoNormalCaracter"/>
        </w:rPr>
      </w:pPr>
      <w:bookmarkStart w:id="1688" w:name="DESCRIPTORALFABETICO221"/>
      <w:r w:rsidRPr="00924F59">
        <w:rPr>
          <w:rStyle w:val="TextoNormalNegritaCaracter"/>
        </w:rPr>
        <w:t>Limitaciones derivadas de relaciones contractuales</w:t>
      </w:r>
      <w:bookmarkEnd w:id="1688"/>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3 a 5.</w:t>
      </w:r>
    </w:p>
    <w:p w:rsidR="00924F59" w:rsidRPr="00924F59" w:rsidRDefault="00924F59" w:rsidP="00924F59">
      <w:pPr>
        <w:pStyle w:val="TextoNormalSangraFrancesa"/>
        <w:rPr>
          <w:rStyle w:val="TextoNormalCaracter"/>
        </w:rPr>
      </w:pPr>
      <w:bookmarkStart w:id="1689" w:name="DESCRIPTORALFABETICO657"/>
      <w:r w:rsidRPr="00924F59">
        <w:rPr>
          <w:rStyle w:val="TextoNormalNegritaCaracter"/>
        </w:rPr>
        <w:t>Límite material de los decretos-leyes</w:t>
      </w:r>
      <w:bookmarkEnd w:id="1689"/>
      <w:r w:rsidRPr="00924F59">
        <w:rPr>
          <w:rStyle w:val="TextoNormalCaracter"/>
        </w:rPr>
        <w:t xml:space="preserve">, Sentencias </w:t>
      </w:r>
      <w:hyperlink w:anchor="SENTENCIA_2016_38" w:history="1">
        <w:r w:rsidRPr="00924F59">
          <w:rPr>
            <w:rStyle w:val="TextoNormalCaracter"/>
          </w:rPr>
          <w:t>38/2016</w:t>
        </w:r>
      </w:hyperlink>
      <w:r w:rsidRPr="00924F59">
        <w:rPr>
          <w:rStyle w:val="TextoNormalCaracter"/>
        </w:rPr>
        <w:t xml:space="preserve">, ff. 2, 6; </w:t>
      </w:r>
      <w:hyperlink w:anchor="SENTENCIA_2016_119" w:history="1">
        <w:r w:rsidRPr="00924F59">
          <w:rPr>
            <w:rStyle w:val="TextoNormalCaracter"/>
          </w:rPr>
          <w:t>119/2016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690" w:name="DESCRIPTORALFABETICO79"/>
      <w:r w:rsidRPr="00924F59">
        <w:rPr>
          <w:rStyle w:val="TextoNormalNegritaCaracter"/>
        </w:rPr>
        <w:t>Límites a la autonomía financiera</w:t>
      </w:r>
      <w:bookmarkEnd w:id="1690"/>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6; </w:t>
      </w:r>
      <w:hyperlink w:anchor="SENTENCIA_2016_26" w:history="1">
        <w:r w:rsidRPr="00924F59">
          <w:rPr>
            <w:rStyle w:val="TextoNormalCaracter"/>
          </w:rPr>
          <w:t>26/2016</w:t>
        </w:r>
      </w:hyperlink>
      <w:r w:rsidRPr="00924F59">
        <w:rPr>
          <w:rStyle w:val="TextoNormalCaracter"/>
        </w:rPr>
        <w:t xml:space="preserve">, f. 7; </w:t>
      </w:r>
      <w:hyperlink w:anchor="SENTENCIA_2016_31" w:history="1">
        <w:r w:rsidRPr="00924F59">
          <w:rPr>
            <w:rStyle w:val="TextoNormalCaracter"/>
          </w:rPr>
          <w:t>31/2016</w:t>
        </w:r>
      </w:hyperlink>
      <w:r w:rsidRPr="00924F59">
        <w:rPr>
          <w:rStyle w:val="TextoNormalCaracter"/>
        </w:rPr>
        <w:t xml:space="preserve">, ff. 3, 4; </w:t>
      </w:r>
      <w:hyperlink w:anchor="SENTENCIA_2016_84" w:history="1">
        <w:r w:rsidRPr="00924F59">
          <w:rPr>
            <w:rStyle w:val="TextoNormalCaracter"/>
          </w:rPr>
          <w:t>84/2016</w:t>
        </w:r>
      </w:hyperlink>
      <w:r w:rsidRPr="00924F59">
        <w:rPr>
          <w:rStyle w:val="TextoNormalCaracter"/>
        </w:rPr>
        <w:t xml:space="preserve">, f. 6; </w:t>
      </w:r>
      <w:hyperlink w:anchor="SENTENCIA_2016_88" w:history="1">
        <w:r w:rsidRPr="00924F59">
          <w:rPr>
            <w:rStyle w:val="TextoNormalCaracter"/>
          </w:rPr>
          <w:t>88/2016</w:t>
        </w:r>
      </w:hyperlink>
      <w:r w:rsidRPr="00924F59">
        <w:rPr>
          <w:rStyle w:val="TextoNormalCaracter"/>
        </w:rPr>
        <w:t>, f. 2.</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83" w:history="1">
        <w:r w:rsidRPr="00924F59">
          <w:rPr>
            <w:rStyle w:val="TextoNormalCaracter"/>
          </w:rPr>
          <w:t>83/2016</w:t>
        </w:r>
      </w:hyperlink>
      <w:r w:rsidRPr="00924F59">
        <w:rPr>
          <w:rStyle w:val="TextoNormalCaracter"/>
        </w:rPr>
        <w:t>, f. 4.</w:t>
      </w:r>
    </w:p>
    <w:p w:rsidR="00924F59" w:rsidRPr="00924F59" w:rsidRDefault="00924F59" w:rsidP="00924F59">
      <w:pPr>
        <w:pStyle w:val="TextoNormalSangraFrancesa"/>
        <w:rPr>
          <w:rStyle w:val="TextoNormalCaracter"/>
        </w:rPr>
      </w:pPr>
      <w:bookmarkStart w:id="1691" w:name="DESCRIPTORALFABETICO204"/>
      <w:r w:rsidRPr="00924F59">
        <w:rPr>
          <w:rStyle w:val="TextoNormalNegritaCaracter"/>
        </w:rPr>
        <w:t>Límites a la libertad de empresa</w:t>
      </w:r>
      <w:bookmarkEnd w:id="1691"/>
      <w:r w:rsidRPr="00924F59">
        <w:rPr>
          <w:rStyle w:val="TextoNormalCaracter"/>
        </w:rPr>
        <w:t xml:space="preserve">, Sentencia </w:t>
      </w:r>
      <w:hyperlink w:anchor="SENTENCIA_2016_35" w:history="1">
        <w:r w:rsidRPr="00924F59">
          <w:rPr>
            <w:rStyle w:val="TextoNormalCaracter"/>
          </w:rPr>
          <w:t>35/2016</w:t>
        </w:r>
      </w:hyperlink>
      <w:r w:rsidRPr="00924F59">
        <w:rPr>
          <w:rStyle w:val="TextoNormalCaracter"/>
        </w:rPr>
        <w:t>, ff. 1, 3 a 5.</w:t>
      </w:r>
    </w:p>
    <w:p w:rsidR="00924F59" w:rsidRPr="00924F59" w:rsidRDefault="00924F59" w:rsidP="00924F59">
      <w:pPr>
        <w:pStyle w:val="TextoNormalSangraFrancesa"/>
        <w:rPr>
          <w:rStyle w:val="TextoNormalCaracter"/>
        </w:rPr>
      </w:pPr>
      <w:bookmarkStart w:id="1692" w:name="DESCRIPTORALFABETICO208"/>
      <w:r w:rsidRPr="00924F59">
        <w:rPr>
          <w:rStyle w:val="TextoNormalNegritaCaracter"/>
        </w:rPr>
        <w:t>Límites a la libertad de expresión</w:t>
      </w:r>
      <w:bookmarkEnd w:id="1692"/>
      <w:r w:rsidRPr="00924F59">
        <w:rPr>
          <w:rStyle w:val="TextoNormalCaracter"/>
        </w:rPr>
        <w:t xml:space="preserve">, Sentencias </w:t>
      </w:r>
      <w:hyperlink w:anchor="SENTENCIA_2016_78" w:history="1">
        <w:r w:rsidRPr="00924F59">
          <w:rPr>
            <w:rStyle w:val="TextoNormalCaracter"/>
          </w:rPr>
          <w:t>78/2016</w:t>
        </w:r>
      </w:hyperlink>
      <w:r w:rsidRPr="00924F59">
        <w:rPr>
          <w:rStyle w:val="TextoNormalCaracter"/>
        </w:rPr>
        <w:t xml:space="preserve">, ff. 2, 3; </w:t>
      </w:r>
      <w:hyperlink w:anchor="SENTENCIA_2016_112" w:history="1">
        <w:r w:rsidRPr="00924F59">
          <w:rPr>
            <w:rStyle w:val="TextoNormalCaracter"/>
          </w:rPr>
          <w:t>112/2016</w:t>
        </w:r>
      </w:hyperlink>
      <w:r w:rsidRPr="00924F59">
        <w:rPr>
          <w:rStyle w:val="TextoNormalCaracter"/>
        </w:rPr>
        <w:t>, ff. 2 a 4, 6.</w:t>
      </w:r>
    </w:p>
    <w:p w:rsidR="00924F59" w:rsidRPr="00924F59" w:rsidRDefault="00924F59" w:rsidP="00924F59">
      <w:pPr>
        <w:pStyle w:val="TextoNormalSangraFrancesa"/>
        <w:rPr>
          <w:rStyle w:val="TextoNormalCaracter"/>
        </w:rPr>
      </w:pPr>
      <w:bookmarkStart w:id="1693" w:name="DESCRIPTORALFABETICO109"/>
      <w:r w:rsidRPr="00924F59">
        <w:rPr>
          <w:rStyle w:val="TextoNormalNegritaCaracter"/>
        </w:rPr>
        <w:t>Límites a la potestad tributaria autonómica</w:t>
      </w:r>
      <w:bookmarkEnd w:id="1693"/>
      <w:r w:rsidRPr="00924F59">
        <w:rPr>
          <w:rStyle w:val="TextoNormalCaracter"/>
        </w:rPr>
        <w:t xml:space="preserve">, Sentencias </w:t>
      </w:r>
      <w:hyperlink w:anchor="SENTENCIA_2016_25" w:history="1">
        <w:r w:rsidRPr="00924F59">
          <w:rPr>
            <w:rStyle w:val="TextoNormalCaracter"/>
          </w:rPr>
          <w:t>25/2016</w:t>
        </w:r>
      </w:hyperlink>
      <w:r w:rsidRPr="00924F59">
        <w:rPr>
          <w:rStyle w:val="TextoNormalCaracter"/>
        </w:rPr>
        <w:t xml:space="preserve">, ff. 2 a 4; </w:t>
      </w:r>
      <w:hyperlink w:anchor="SENTENCIA_2016_33" w:history="1">
        <w:r w:rsidRPr="00924F59">
          <w:rPr>
            <w:rStyle w:val="TextoNormalCaracter"/>
          </w:rPr>
          <w:t>33/2016</w:t>
        </w:r>
      </w:hyperlink>
      <w:r w:rsidRPr="00924F59">
        <w:rPr>
          <w:rStyle w:val="TextoNormalCaracter"/>
        </w:rPr>
        <w:t xml:space="preserve">, f. 4; </w:t>
      </w:r>
      <w:hyperlink w:anchor="SENTENCIA_2016_74" w:history="1">
        <w:r w:rsidRPr="00924F59">
          <w:rPr>
            <w:rStyle w:val="TextoNormalCaracter"/>
          </w:rPr>
          <w:t>74/2016</w:t>
        </w:r>
      </w:hyperlink>
      <w:r w:rsidRPr="00924F59">
        <w:rPr>
          <w:rStyle w:val="TextoNormalCaracter"/>
        </w:rPr>
        <w:t>, ff. 2, 4, VP.</w:t>
      </w:r>
    </w:p>
    <w:p w:rsidR="00924F59" w:rsidRPr="00924F59" w:rsidRDefault="00924F59" w:rsidP="00924F59">
      <w:pPr>
        <w:pStyle w:val="TextoNormalSangraFrancesa"/>
        <w:rPr>
          <w:rStyle w:val="TextoNormalCaracter"/>
        </w:rPr>
      </w:pPr>
      <w:bookmarkStart w:id="1694" w:name="DESCRIPTORALFABETICO169"/>
      <w:r w:rsidRPr="00924F59">
        <w:rPr>
          <w:rStyle w:val="TextoNormalNegritaCaracter"/>
        </w:rPr>
        <w:t>Límites a la protección de datos personales</w:t>
      </w:r>
      <w:bookmarkEnd w:id="1694"/>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3, 4, VP I, VP II.</w:t>
      </w:r>
    </w:p>
    <w:p w:rsidR="00924F59" w:rsidRPr="00924F59" w:rsidRDefault="00924F59" w:rsidP="00924F59">
      <w:pPr>
        <w:pStyle w:val="TextoNormalSangraFrancesa"/>
        <w:rPr>
          <w:rStyle w:val="TextoNormalCaracter"/>
        </w:rPr>
      </w:pPr>
      <w:bookmarkStart w:id="1695" w:name="DESCRIPTORALFABETICO16"/>
      <w:r w:rsidRPr="00924F59">
        <w:rPr>
          <w:rStyle w:val="TextoNormalNegritaCaracter"/>
        </w:rPr>
        <w:t>Límites a las competencias de las Comunidades Autónomas</w:t>
      </w:r>
      <w:bookmarkEnd w:id="1695"/>
      <w:r w:rsidRPr="00924F59">
        <w:rPr>
          <w:rStyle w:val="TextoNormalCaracter"/>
        </w:rPr>
        <w:t xml:space="preserve">, Sentencia </w:t>
      </w:r>
      <w:hyperlink w:anchor="SENTENCIA_2016_33" w:history="1">
        <w:r w:rsidRPr="00924F59">
          <w:rPr>
            <w:rStyle w:val="TextoNormalCaracter"/>
          </w:rPr>
          <w:t>33/2016</w:t>
        </w:r>
      </w:hyperlink>
      <w:r w:rsidRPr="00924F59">
        <w:rPr>
          <w:rStyle w:val="TextoNormalCaracter"/>
        </w:rPr>
        <w:t>, ff. 4, 9, 10.</w:t>
      </w:r>
    </w:p>
    <w:p w:rsidR="00924F59" w:rsidRPr="00924F59" w:rsidRDefault="00924F59" w:rsidP="00924F59">
      <w:pPr>
        <w:pStyle w:val="TextoNormalSangraFrancesa"/>
        <w:rPr>
          <w:rStyle w:val="TextoNormalCaracter"/>
        </w:rPr>
      </w:pPr>
      <w:bookmarkStart w:id="1696" w:name="DESCRIPTORALFABETICO152"/>
      <w:r w:rsidRPr="00924F59">
        <w:rPr>
          <w:rStyle w:val="TextoNormalNegritaCaracter"/>
        </w:rPr>
        <w:t>Límites al derecho a la intimidad</w:t>
      </w:r>
      <w:bookmarkEnd w:id="1696"/>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697" w:name="DESCRIPTORALFABETICO681"/>
      <w:r w:rsidRPr="00924F59">
        <w:rPr>
          <w:rStyle w:val="TextoNormalNegritaCaracter"/>
        </w:rPr>
        <w:t>Límites materiales de las leyes de presupuestos</w:t>
      </w:r>
      <w:bookmarkEnd w:id="1697"/>
      <w:r w:rsidRPr="00924F59">
        <w:rPr>
          <w:rStyle w:val="TextoNormalCaracter"/>
        </w:rPr>
        <w:t xml:space="preserve">, Sentencias </w:t>
      </w:r>
      <w:hyperlink w:anchor="SENTENCIA_2016_99" w:history="1">
        <w:r w:rsidRPr="00924F59">
          <w:rPr>
            <w:rStyle w:val="TextoNormalCaracter"/>
          </w:rPr>
          <w:t>99/2016</w:t>
        </w:r>
      </w:hyperlink>
      <w:r w:rsidRPr="00924F59">
        <w:rPr>
          <w:rStyle w:val="TextoNormalCaracter"/>
        </w:rPr>
        <w:t xml:space="preserve">, f. 8, VP; </w:t>
      </w:r>
      <w:hyperlink w:anchor="SENTENCIA_2016_123" w:history="1">
        <w:r w:rsidRPr="00924F59">
          <w:rPr>
            <w:rStyle w:val="TextoNormalCaracter"/>
          </w:rPr>
          <w:t>123/2016</w:t>
        </w:r>
      </w:hyperlink>
      <w:r w:rsidRPr="00924F59">
        <w:rPr>
          <w:rStyle w:val="TextoNormalCaracter"/>
        </w:rPr>
        <w:t>, ff. 1 a 5.</w:t>
      </w:r>
    </w:p>
    <w:p w:rsidR="00924F59" w:rsidRPr="00924F59" w:rsidRDefault="00924F59" w:rsidP="00924F59">
      <w:pPr>
        <w:pStyle w:val="TextoNormalSangraFrancesa"/>
        <w:rPr>
          <w:rStyle w:val="TextoNormalCaracter"/>
        </w:rPr>
      </w:pPr>
      <w:bookmarkStart w:id="1698" w:name="DESCRIPTORALFABETICO857"/>
      <w:r w:rsidRPr="00924F59">
        <w:rPr>
          <w:rStyle w:val="TextoNormalNegritaCaracter"/>
        </w:rPr>
        <w:t>Liquidación de condena</w:t>
      </w:r>
      <w:bookmarkEnd w:id="1698"/>
      <w:r w:rsidRPr="00924F59">
        <w:rPr>
          <w:rStyle w:val="TextoNormalCaracter"/>
        </w:rPr>
        <w:t xml:space="preserve">, Sentencia </w:t>
      </w:r>
      <w:hyperlink w:anchor="SENTENCIA_2016_48" w:history="1">
        <w:r w:rsidRPr="00924F59">
          <w:rPr>
            <w:rStyle w:val="TextoNormalCaracter"/>
          </w:rPr>
          <w:t>48/2016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1699" w:name="DESCRIPTORALFABETICO88"/>
      <w:r w:rsidRPr="00924F59">
        <w:rPr>
          <w:rStyle w:val="TextoNormalNegritaCaracter"/>
        </w:rPr>
        <w:t>Lucha contra el fraude fiscal</w:t>
      </w:r>
      <w:bookmarkEnd w:id="1699"/>
      <w:r w:rsidRPr="00924F59">
        <w:rPr>
          <w:rStyle w:val="TextoNormalCaracter"/>
        </w:rPr>
        <w:t xml:space="preserve">, Sentencia </w:t>
      </w:r>
      <w:hyperlink w:anchor="SENTENCIA_2016_121" w:history="1">
        <w:r w:rsidRPr="00924F59">
          <w:rPr>
            <w:rStyle w:val="TextoNormalCaracter"/>
          </w:rPr>
          <w:t>121/2016</w:t>
        </w:r>
      </w:hyperlink>
      <w:r w:rsidRPr="00924F59">
        <w:rPr>
          <w:rStyle w:val="TextoNormalCaracter"/>
        </w:rPr>
        <w:t>, ff. 5, 6.</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M</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700" w:name="DESCRIPTORALFABETICO465"/>
      <w:r w:rsidRPr="00924F59">
        <w:rPr>
          <w:rStyle w:val="TextoNormalNegritaCaracter"/>
        </w:rPr>
        <w:t>Mancomunidades municipales</w:t>
      </w:r>
      <w:bookmarkEnd w:id="1700"/>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6 b).</w:t>
      </w:r>
    </w:p>
    <w:p w:rsidR="00924F59" w:rsidRPr="00924F59" w:rsidRDefault="00924F59" w:rsidP="00924F59">
      <w:pPr>
        <w:pStyle w:val="TextoNormalSangraFrancesa"/>
        <w:rPr>
          <w:rStyle w:val="TextoNormalCaracter"/>
        </w:rPr>
      </w:pPr>
      <w:bookmarkStart w:id="1701" w:name="DESCRIPTORALFABETICO248"/>
      <w:r w:rsidRPr="00924F59">
        <w:rPr>
          <w:rStyle w:val="TextoNormalNegritaCaracter"/>
        </w:rPr>
        <w:t>Mantenimiento de la suspensión de disposiciones de las Comunidades Autónomas</w:t>
      </w:r>
      <w:bookmarkEnd w:id="1701"/>
      <w:r w:rsidRPr="00924F59">
        <w:rPr>
          <w:rStyle w:val="TextoNormalCaracter"/>
        </w:rPr>
        <w:t xml:space="preserve">, Autos </w:t>
      </w:r>
      <w:hyperlink w:anchor="AUTO_2016_41" w:history="1">
        <w:r w:rsidRPr="00924F59">
          <w:rPr>
            <w:rStyle w:val="TextoNormalCaracter"/>
          </w:rPr>
          <w:t>41/2016</w:t>
        </w:r>
      </w:hyperlink>
      <w:r w:rsidRPr="00924F59">
        <w:rPr>
          <w:rStyle w:val="TextoNormalCaracter"/>
        </w:rPr>
        <w:t xml:space="preserve">, ff. 2, 3, 4; </w:t>
      </w:r>
      <w:hyperlink w:anchor="AUTO_2016_89" w:history="1">
        <w:r w:rsidRPr="00924F59">
          <w:rPr>
            <w:rStyle w:val="TextoNormalCaracter"/>
          </w:rPr>
          <w:t>89/2016</w:t>
        </w:r>
      </w:hyperlink>
      <w:r w:rsidRPr="00924F59">
        <w:rPr>
          <w:rStyle w:val="TextoNormalCaracter"/>
        </w:rPr>
        <w:t xml:space="preserve">, ff. 1 a 7; </w:t>
      </w:r>
      <w:hyperlink w:anchor="AUTO_2016_130" w:history="1">
        <w:r w:rsidRPr="00924F59">
          <w:rPr>
            <w:rStyle w:val="TextoNormalCaracter"/>
          </w:rPr>
          <w:t>130/2016</w:t>
        </w:r>
      </w:hyperlink>
      <w:r w:rsidRPr="00924F59">
        <w:rPr>
          <w:rStyle w:val="TextoNormalCaracter"/>
        </w:rPr>
        <w:t>, f. 7.</w:t>
      </w:r>
    </w:p>
    <w:p w:rsidR="00924F59" w:rsidRPr="00924F59" w:rsidRDefault="00924F59" w:rsidP="00924F59">
      <w:pPr>
        <w:pStyle w:val="TextoNormalSangraFrancesa"/>
        <w:rPr>
          <w:rStyle w:val="TextoNormalCaracter"/>
        </w:rPr>
      </w:pPr>
      <w:bookmarkStart w:id="1702" w:name="DESCRIPTORALFABETICO789"/>
      <w:r w:rsidRPr="00924F59">
        <w:rPr>
          <w:rStyle w:val="TextoNormalNegritaCaracter"/>
        </w:rPr>
        <w:t>Mantenimiento de servicios públicos esenciales</w:t>
      </w:r>
      <w:bookmarkEnd w:id="1702"/>
      <w:r w:rsidRPr="00924F59">
        <w:rPr>
          <w:rStyle w:val="TextoNormalCaracter"/>
        </w:rPr>
        <w:t xml:space="preserve">, Sentencia </w:t>
      </w:r>
      <w:hyperlink w:anchor="SENTENCIA_2016_45" w:history="1">
        <w:r w:rsidRPr="00924F59">
          <w:rPr>
            <w:rStyle w:val="TextoNormalCaracter"/>
          </w:rPr>
          <w:t>45/2016</w:t>
        </w:r>
      </w:hyperlink>
      <w:r w:rsidRPr="00924F59">
        <w:rPr>
          <w:rStyle w:val="TextoNormalCaracter"/>
        </w:rPr>
        <w:t>, ff. 1, 3 c), 4, 5.</w:t>
      </w:r>
    </w:p>
    <w:p w:rsidR="00924F59" w:rsidRPr="00924F59" w:rsidRDefault="00924F59" w:rsidP="00924F59">
      <w:pPr>
        <w:pStyle w:val="TextoNormalSangraFrancesa"/>
        <w:rPr>
          <w:rStyle w:val="TextoNormalCaracter"/>
        </w:rPr>
      </w:pPr>
      <w:bookmarkStart w:id="1703" w:name="DESCRIPTORALFABETICO580"/>
      <w:r w:rsidRPr="00924F59">
        <w:rPr>
          <w:rStyle w:val="TextoNormalNegritaCaracter"/>
        </w:rPr>
        <w:t>Matrimonio</w:t>
      </w:r>
      <w:bookmarkEnd w:id="1703"/>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ff. 1 a 4, VP.</w:t>
      </w:r>
    </w:p>
    <w:p w:rsidR="00924F59" w:rsidRPr="00924F59" w:rsidRDefault="00924F59" w:rsidP="00924F59">
      <w:pPr>
        <w:pStyle w:val="TextoNormalSangraFrancesa"/>
        <w:rPr>
          <w:rStyle w:val="TextoNormalCaracter"/>
        </w:rPr>
      </w:pPr>
      <w:bookmarkStart w:id="1704" w:name="DESCRIPTORALFABETICO581"/>
      <w:r w:rsidRPr="00924F59">
        <w:rPr>
          <w:rStyle w:val="TextoNormalNegritaCaracter"/>
        </w:rPr>
        <w:t>Matrimonio entre personas del mismo sexo</w:t>
      </w:r>
      <w:bookmarkEnd w:id="1704"/>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ff. 2, 4.</w:t>
      </w:r>
    </w:p>
    <w:p w:rsidR="00924F59" w:rsidRPr="00924F59" w:rsidRDefault="00924F59" w:rsidP="00924F59">
      <w:pPr>
        <w:pStyle w:val="TextoNormalSangraFrancesa"/>
        <w:rPr>
          <w:rStyle w:val="TextoNormalCaracter"/>
        </w:rPr>
      </w:pPr>
      <w:bookmarkStart w:id="1705" w:name="DESCRIPTORALFABETICO830"/>
      <w:r w:rsidRPr="00924F59">
        <w:rPr>
          <w:rStyle w:val="TextoNormalNegritaCaracter"/>
        </w:rPr>
        <w:t>Medidas cautelares</w:t>
      </w:r>
      <w:bookmarkEnd w:id="1705"/>
      <w:r w:rsidRPr="00924F59">
        <w:rPr>
          <w:rStyle w:val="TextoNormalCaracter"/>
        </w:rPr>
        <w:t xml:space="preserve">, Auto </w:t>
      </w:r>
      <w:hyperlink w:anchor="AUTO_2016_67" w:history="1">
        <w:r w:rsidRPr="00924F59">
          <w:rPr>
            <w:rStyle w:val="TextoNormalCaracter"/>
          </w:rPr>
          <w:t>67/2016</w:t>
        </w:r>
      </w:hyperlink>
      <w:r w:rsidRPr="00924F59">
        <w:rPr>
          <w:rStyle w:val="TextoNormalCaracter"/>
        </w:rPr>
        <w:t>, ff. 1, 2.</w:t>
      </w:r>
    </w:p>
    <w:p w:rsidR="00924F59" w:rsidRPr="00924F59" w:rsidRDefault="00924F59" w:rsidP="00924F59">
      <w:pPr>
        <w:pStyle w:val="TextoNormalSangraFrancesa"/>
        <w:rPr>
          <w:rStyle w:val="TextoNormalCaracter"/>
        </w:rPr>
      </w:pPr>
      <w:bookmarkStart w:id="1706" w:name="DESCRIPTORALFABETICO833"/>
      <w:r w:rsidRPr="00924F59">
        <w:rPr>
          <w:rStyle w:val="TextoNormalNegritaCaracter"/>
        </w:rPr>
        <w:t>Medidas cautelares de internamiento</w:t>
      </w:r>
      <w:bookmarkEnd w:id="1706"/>
      <w:r w:rsidRPr="00924F59">
        <w:rPr>
          <w:rStyle w:val="TextoNormalCaracter"/>
        </w:rPr>
        <w:t xml:space="preserve">, Sentencia </w:t>
      </w:r>
      <w:hyperlink w:anchor="SENTENCIA_2016_34" w:history="1">
        <w:r w:rsidRPr="00924F59">
          <w:rPr>
            <w:rStyle w:val="TextoNormalCaracter"/>
          </w:rPr>
          <w:t>34/2016</w:t>
        </w:r>
      </w:hyperlink>
      <w:r w:rsidRPr="00924F59">
        <w:rPr>
          <w:rStyle w:val="TextoNormalCaracter"/>
        </w:rPr>
        <w:t>, ff. 4, 6 , 7.</w:t>
      </w:r>
    </w:p>
    <w:p w:rsidR="00924F59" w:rsidRPr="00924F59" w:rsidRDefault="00924F59" w:rsidP="00924F59">
      <w:pPr>
        <w:pStyle w:val="TextoNormalSangraFrancesa"/>
        <w:rPr>
          <w:rStyle w:val="TextoNormalCaracter"/>
        </w:rPr>
      </w:pPr>
      <w:bookmarkStart w:id="1707" w:name="DESCRIPTORALFABETICO834"/>
      <w:r w:rsidRPr="00924F59">
        <w:rPr>
          <w:rStyle w:val="TextoNormalNegritaCaracter"/>
        </w:rPr>
        <w:t>Medidas cautelares de oficio</w:t>
      </w:r>
      <w:bookmarkEnd w:id="1707"/>
      <w:r w:rsidRPr="00924F59">
        <w:rPr>
          <w:rStyle w:val="TextoNormalCaracter"/>
        </w:rPr>
        <w:t xml:space="preserve">, Sentencia </w:t>
      </w:r>
      <w:hyperlink w:anchor="SENTENCIA_2016_34" w:history="1">
        <w:r w:rsidRPr="00924F59">
          <w:rPr>
            <w:rStyle w:val="TextoNormalCaracter"/>
          </w:rPr>
          <w:t>34/2016</w:t>
        </w:r>
      </w:hyperlink>
      <w:r w:rsidRPr="00924F59">
        <w:rPr>
          <w:rStyle w:val="TextoNormalCaracter"/>
        </w:rPr>
        <w:t>, f. 7.</w:t>
      </w:r>
    </w:p>
    <w:p w:rsidR="00924F59" w:rsidRPr="00924F59" w:rsidRDefault="00924F59" w:rsidP="00924F59">
      <w:pPr>
        <w:pStyle w:val="TextoNormalSangraFrancesa"/>
        <w:rPr>
          <w:rStyle w:val="TextoNormalCaracter"/>
        </w:rPr>
      </w:pPr>
      <w:bookmarkStart w:id="1708" w:name="DESCRIPTORALFABETICO86"/>
      <w:r w:rsidRPr="00924F59">
        <w:rPr>
          <w:rStyle w:val="TextoNormalNegritaCaracter"/>
        </w:rPr>
        <w:t>Medidas de liberalización económica</w:t>
      </w:r>
      <w:bookmarkEnd w:id="1708"/>
      <w:r w:rsidRPr="00924F59">
        <w:rPr>
          <w:rStyle w:val="TextoNormalCaracter"/>
        </w:rPr>
        <w:t xml:space="preserve">, Sentencia </w:t>
      </w:r>
      <w:hyperlink w:anchor="SENTENCIA_2016_59" w:history="1">
        <w:r w:rsidRPr="00924F59">
          <w:rPr>
            <w:rStyle w:val="TextoNormalCaracter"/>
          </w:rPr>
          <w:t>59/2016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709" w:name="DESCRIPTORALFABETICO835"/>
      <w:r w:rsidRPr="00924F59">
        <w:rPr>
          <w:rStyle w:val="TextoNormalNegritaCaracter"/>
        </w:rPr>
        <w:t>Medidas provisionales</w:t>
      </w:r>
      <w:bookmarkEnd w:id="1709"/>
      <w:r w:rsidRPr="00924F59">
        <w:rPr>
          <w:rStyle w:val="TextoNormalCaracter"/>
        </w:rPr>
        <w:t xml:space="preserve">, Sentencia </w:t>
      </w:r>
      <w:hyperlink w:anchor="SENTENCIA_2016_31" w:history="1">
        <w:r w:rsidRPr="00924F59">
          <w:rPr>
            <w:rStyle w:val="TextoNormalCaracter"/>
          </w:rPr>
          <w:t>31/2016</w:t>
        </w:r>
      </w:hyperlink>
      <w:r w:rsidRPr="00924F59">
        <w:rPr>
          <w:rStyle w:val="TextoNormalCaracter"/>
        </w:rPr>
        <w:t>, f. 4 b).</w:t>
      </w:r>
    </w:p>
    <w:p w:rsidR="00924F59" w:rsidRPr="00924F59" w:rsidRDefault="00924F59" w:rsidP="00924F59">
      <w:pPr>
        <w:pStyle w:val="TextoNormalSangraFrancesa"/>
        <w:rPr>
          <w:rStyle w:val="TextoNormalCaracter"/>
        </w:rPr>
      </w:pPr>
      <w:bookmarkStart w:id="1710" w:name="DESCRIPTORALFABETICO606"/>
      <w:r w:rsidRPr="00924F59">
        <w:rPr>
          <w:rStyle w:val="TextoNormalNegritaCaracter"/>
        </w:rPr>
        <w:t>Medio ambiente</w:t>
      </w:r>
      <w:bookmarkEnd w:id="1710"/>
      <w:r w:rsidRPr="00924F59">
        <w:rPr>
          <w:rStyle w:val="TextoNormalCaracter"/>
        </w:rPr>
        <w:t xml:space="preserve">, Sentencia </w:t>
      </w:r>
      <w:hyperlink w:anchor="SENTENCIA_2016_5" w:history="1">
        <w:r w:rsidRPr="00924F59">
          <w:rPr>
            <w:rStyle w:val="TextoNormalCaracter"/>
          </w:rPr>
          <w:t>5/2016</w:t>
        </w:r>
      </w:hyperlink>
      <w:r w:rsidRPr="00924F59">
        <w:rPr>
          <w:rStyle w:val="TextoNormalCaracter"/>
        </w:rPr>
        <w:t>, f. 1.</w:t>
      </w:r>
    </w:p>
    <w:p w:rsidR="00924F59" w:rsidRPr="00924F59" w:rsidRDefault="00924F59" w:rsidP="00924F59">
      <w:pPr>
        <w:pStyle w:val="TextoNormalSangraFrancesa"/>
        <w:rPr>
          <w:rStyle w:val="TextoNormalCaracter"/>
        </w:rPr>
      </w:pPr>
      <w:bookmarkStart w:id="1711" w:name="DESCRIPTORALFABETICO723"/>
      <w:r w:rsidRPr="00924F59">
        <w:rPr>
          <w:rStyle w:val="TextoNormalNegritaCaracter"/>
        </w:rPr>
        <w:t>Menores</w:t>
      </w:r>
      <w:bookmarkEnd w:id="1711"/>
      <w:r w:rsidRPr="00924F59">
        <w:rPr>
          <w:rStyle w:val="TextoNormalCaracter"/>
        </w:rPr>
        <w:t xml:space="preserve">, Sentencia </w:t>
      </w:r>
      <w:hyperlink w:anchor="SENTENCIA_2016_23" w:history="1">
        <w:r w:rsidRPr="00924F59">
          <w:rPr>
            <w:rStyle w:val="TextoNormalCaracter"/>
          </w:rPr>
          <w:t>23/2016</w:t>
        </w:r>
      </w:hyperlink>
      <w:r w:rsidRPr="00924F59">
        <w:rPr>
          <w:rStyle w:val="TextoNormalCaracter"/>
        </w:rPr>
        <w:t>, ff. 1, 2, 4, 5.</w:t>
      </w:r>
    </w:p>
    <w:p w:rsidR="00924F59" w:rsidRPr="00924F59" w:rsidRDefault="00924F59" w:rsidP="00924F59">
      <w:pPr>
        <w:pStyle w:val="TextoNormalSangraFrancesa"/>
        <w:rPr>
          <w:rStyle w:val="TextoNormalCaracter"/>
        </w:rPr>
      </w:pPr>
      <w:bookmarkStart w:id="1712" w:name="DESCRIPTORALFABETICO512"/>
      <w:r w:rsidRPr="00924F59">
        <w:rPr>
          <w:rStyle w:val="TextoNormalNegritaCaracter"/>
        </w:rPr>
        <w:t>Meteorología</w:t>
      </w:r>
      <w:bookmarkEnd w:id="1712"/>
      <w:r w:rsidRPr="00924F59">
        <w:rPr>
          <w:rStyle w:val="TextoNormalCaracter"/>
        </w:rPr>
        <w:t xml:space="preserve">, Sentencia </w:t>
      </w:r>
      <w:hyperlink w:anchor="SENTENCIA_2016_53" w:history="1">
        <w:r w:rsidRPr="00924F59">
          <w:rPr>
            <w:rStyle w:val="TextoNormalCaracter"/>
          </w:rPr>
          <w:t>53/2016</w:t>
        </w:r>
      </w:hyperlink>
      <w:r w:rsidRPr="00924F59">
        <w:rPr>
          <w:rStyle w:val="TextoNormalCaracter"/>
        </w:rPr>
        <w:t>, ff. 1 a 5, VP.</w:t>
      </w:r>
    </w:p>
    <w:p w:rsidR="00924F59" w:rsidRPr="00924F59" w:rsidRDefault="00924F59" w:rsidP="00924F59">
      <w:pPr>
        <w:pStyle w:val="TextoNormalSangraFrancesa"/>
        <w:rPr>
          <w:rStyle w:val="TextoNormalCaracter"/>
        </w:rPr>
      </w:pPr>
      <w:bookmarkStart w:id="1713" w:name="DESCRIPTORALFABETICO448"/>
      <w:r w:rsidRPr="00924F59">
        <w:rPr>
          <w:rStyle w:val="TextoNormalNegritaCaracter"/>
        </w:rPr>
        <w:t>Minorías lingüísticas</w:t>
      </w:r>
      <w:bookmarkEnd w:id="1713"/>
      <w:r w:rsidRPr="00924F59">
        <w:rPr>
          <w:rStyle w:val="TextoNormalCaracter"/>
        </w:rPr>
        <w:t xml:space="preserve">, Sentencia </w:t>
      </w:r>
      <w:hyperlink w:anchor="SENTENCIA_2016_56" w:history="1">
        <w:r w:rsidRPr="00924F59">
          <w:rPr>
            <w:rStyle w:val="TextoNormalCaracter"/>
          </w:rPr>
          <w:t>56/2016</w:t>
        </w:r>
      </w:hyperlink>
      <w:r w:rsidRPr="00924F59">
        <w:rPr>
          <w:rStyle w:val="TextoNormalCaracter"/>
        </w:rPr>
        <w:t>, ff. 2, 3, 5.</w:t>
      </w:r>
    </w:p>
    <w:p w:rsidR="00924F59" w:rsidRPr="00924F59" w:rsidRDefault="00924F59" w:rsidP="00924F59">
      <w:pPr>
        <w:pStyle w:val="TextoNormalSangraFrancesa"/>
        <w:rPr>
          <w:rStyle w:val="TextoNormalCaracter"/>
        </w:rPr>
      </w:pPr>
      <w:bookmarkStart w:id="1714" w:name="DESCRIPTORALFABETICO522"/>
      <w:r w:rsidRPr="00924F59">
        <w:rPr>
          <w:rStyle w:val="TextoNormalNegritaCaracter"/>
        </w:rPr>
        <w:t>Modalidades de venta</w:t>
      </w:r>
      <w:bookmarkEnd w:id="1714"/>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10; </w:t>
      </w:r>
      <w:hyperlink w:anchor="SENTENCIA_2016_37" w:history="1">
        <w:r w:rsidRPr="00924F59">
          <w:rPr>
            <w:rStyle w:val="TextoNormalCaracter"/>
          </w:rPr>
          <w:t>37/2016</w:t>
        </w:r>
      </w:hyperlink>
      <w:r w:rsidRPr="00924F59">
        <w:rPr>
          <w:rStyle w:val="TextoNormalCaracter"/>
        </w:rPr>
        <w:t>, f. 5.</w:t>
      </w:r>
    </w:p>
    <w:p w:rsidR="00924F59" w:rsidRPr="00924F59" w:rsidRDefault="00924F59" w:rsidP="00924F59">
      <w:pPr>
        <w:pStyle w:val="TextoNormalSangraFrancesa"/>
        <w:rPr>
          <w:rStyle w:val="TextoNormalCaracter"/>
        </w:rPr>
      </w:pPr>
      <w:bookmarkStart w:id="1715" w:name="DESCRIPTORALFABETICO445"/>
      <w:r w:rsidRPr="00924F59">
        <w:rPr>
          <w:rStyle w:val="TextoNormalNegritaCaracter"/>
        </w:rPr>
        <w:t>Modalidades lingüísticas</w:t>
      </w:r>
      <w:bookmarkEnd w:id="1715"/>
      <w:r w:rsidRPr="00924F59">
        <w:rPr>
          <w:rStyle w:val="TextoNormalCaracter"/>
        </w:rPr>
        <w:t xml:space="preserve">, Sentencia </w:t>
      </w:r>
      <w:hyperlink w:anchor="SENTENCIA_2016_56" w:history="1">
        <w:r w:rsidRPr="00924F59">
          <w:rPr>
            <w:rStyle w:val="TextoNormalCaracter"/>
          </w:rPr>
          <w:t>56/2016</w:t>
        </w:r>
      </w:hyperlink>
      <w:r w:rsidRPr="00924F59">
        <w:rPr>
          <w:rStyle w:val="TextoNormalCaracter"/>
        </w:rPr>
        <w:t>, ff. 1 a 5.</w:t>
      </w:r>
    </w:p>
    <w:p w:rsidR="00924F59" w:rsidRPr="00924F59" w:rsidRDefault="00924F59" w:rsidP="00924F59">
      <w:pPr>
        <w:pStyle w:val="TextoNormalSangraFrancesa"/>
        <w:rPr>
          <w:rStyle w:val="TextoNormalCaracter"/>
        </w:rPr>
      </w:pPr>
      <w:bookmarkStart w:id="1716" w:name="DESCRIPTORALFABETICO462"/>
      <w:r w:rsidRPr="00924F59">
        <w:rPr>
          <w:rStyle w:val="TextoNormalNegritaCaracter"/>
        </w:rPr>
        <w:t>Modelo organizativo de los entes locales</w:t>
      </w:r>
      <w:bookmarkEnd w:id="1716"/>
      <w:r w:rsidRPr="00924F59">
        <w:rPr>
          <w:rStyle w:val="TextoNormalCaracter"/>
        </w:rPr>
        <w:t xml:space="preserve">, Sentencias </w:t>
      </w:r>
      <w:hyperlink w:anchor="SENTENCIA_2016_41" w:history="1">
        <w:r w:rsidRPr="00924F59">
          <w:rPr>
            <w:rStyle w:val="TextoNormalCaracter"/>
          </w:rPr>
          <w:t>41/2016</w:t>
        </w:r>
      </w:hyperlink>
      <w:r w:rsidRPr="00924F59">
        <w:rPr>
          <w:rStyle w:val="TextoNormalCaracter"/>
        </w:rPr>
        <w:t xml:space="preserve">, ff. 5, 6; </w:t>
      </w:r>
      <w:hyperlink w:anchor="SENTENCIA_2016_111" w:history="1">
        <w:r w:rsidRPr="00924F59">
          <w:rPr>
            <w:rStyle w:val="TextoNormalCaracter"/>
          </w:rPr>
          <w:t>111/2016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1717" w:name="DESCRIPTORALFABETICO754"/>
      <w:r w:rsidRPr="00924F59">
        <w:rPr>
          <w:rStyle w:val="TextoNormalNegritaCaracter"/>
        </w:rPr>
        <w:t>Modificación de la edad de jubilación</w:t>
      </w:r>
      <w:bookmarkEnd w:id="1717"/>
      <w:r w:rsidRPr="00924F59">
        <w:rPr>
          <w:rStyle w:val="TextoNormalCaracter"/>
        </w:rPr>
        <w:t xml:space="preserve">, Sentencia </w:t>
      </w:r>
      <w:hyperlink w:anchor="SENTENCIA_2016_44" w:history="1">
        <w:r w:rsidRPr="00924F59">
          <w:rPr>
            <w:rStyle w:val="TextoNormalCaracter"/>
          </w:rPr>
          <w:t>44/2016</w:t>
        </w:r>
      </w:hyperlink>
      <w:r w:rsidRPr="00924F59">
        <w:rPr>
          <w:rStyle w:val="TextoNormalCaracter"/>
        </w:rPr>
        <w:t>, ff. 1, 4, 5.</w:t>
      </w:r>
    </w:p>
    <w:p w:rsidR="00924F59" w:rsidRPr="00924F59" w:rsidRDefault="00924F59" w:rsidP="00924F59">
      <w:pPr>
        <w:pStyle w:val="TextoNormalSangraFrancesa"/>
        <w:rPr>
          <w:rStyle w:val="TextoNormalCaracter"/>
        </w:rPr>
      </w:pPr>
      <w:bookmarkStart w:id="1718" w:name="DESCRIPTORALFABETICO782"/>
      <w:r w:rsidRPr="00924F59">
        <w:rPr>
          <w:rStyle w:val="TextoNormalNegritaCaracter"/>
        </w:rPr>
        <w:t>Modificación de la jornada laboral</w:t>
      </w:r>
      <w:bookmarkEnd w:id="1718"/>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 7, VP.</w:t>
      </w:r>
    </w:p>
    <w:p w:rsidR="00924F59" w:rsidRPr="00924F59" w:rsidRDefault="00924F59" w:rsidP="00924F59">
      <w:pPr>
        <w:pStyle w:val="TextoNormalSangraFrancesa"/>
        <w:rPr>
          <w:rStyle w:val="TextoNormalCaracter"/>
        </w:rPr>
      </w:pPr>
      <w:bookmarkStart w:id="1719" w:name="DESCRIPTORALFABETICO667"/>
      <w:r w:rsidRPr="00924F59">
        <w:rPr>
          <w:rStyle w:val="TextoNormalNegritaCaracter"/>
        </w:rPr>
        <w:t>Modificación de la legislación básica</w:t>
      </w:r>
      <w:bookmarkEnd w:id="1719"/>
      <w:r w:rsidRPr="00924F59">
        <w:rPr>
          <w:rStyle w:val="TextoNormalCaracter"/>
        </w:rPr>
        <w:t xml:space="preserve">, Sentencias </w:t>
      </w:r>
      <w:hyperlink w:anchor="SENTENCIA_2016_9" w:history="1">
        <w:r w:rsidRPr="00924F59">
          <w:rPr>
            <w:rStyle w:val="TextoNormalCaracter"/>
          </w:rPr>
          <w:t>9/2016</w:t>
        </w:r>
      </w:hyperlink>
      <w:r w:rsidRPr="00924F59">
        <w:rPr>
          <w:rStyle w:val="TextoNormalCaracter"/>
        </w:rPr>
        <w:t xml:space="preserve">, f. 3; </w:t>
      </w:r>
      <w:hyperlink w:anchor="SENTENCIA_2016_26" w:history="1">
        <w:r w:rsidRPr="00924F59">
          <w:rPr>
            <w:rStyle w:val="TextoNormalCaracter"/>
          </w:rPr>
          <w:t>26/2016</w:t>
        </w:r>
      </w:hyperlink>
      <w:r w:rsidRPr="00924F59">
        <w:rPr>
          <w:rStyle w:val="TextoNormalCaracter"/>
        </w:rPr>
        <w:t xml:space="preserve">, ff. 2 a 5; </w:t>
      </w:r>
      <w:hyperlink w:anchor="SENTENCIA_2016_54" w:history="1">
        <w:r w:rsidRPr="00924F59">
          <w:rPr>
            <w:rStyle w:val="TextoNormalCaracter"/>
          </w:rPr>
          <w:t>54/2016</w:t>
        </w:r>
      </w:hyperlink>
      <w:r w:rsidRPr="00924F59">
        <w:rPr>
          <w:rStyle w:val="TextoNormalCaracter"/>
        </w:rPr>
        <w:t xml:space="preserve">, f. 2, VP; </w:t>
      </w:r>
      <w:hyperlink w:anchor="SENTENCIA_2016_66" w:history="1">
        <w:r w:rsidRPr="00924F59">
          <w:rPr>
            <w:rStyle w:val="TextoNormalCaracter"/>
          </w:rPr>
          <w:t>66/2016</w:t>
        </w:r>
      </w:hyperlink>
      <w:r w:rsidRPr="00924F59">
        <w:rPr>
          <w:rStyle w:val="TextoNormalCaracter"/>
        </w:rPr>
        <w:t xml:space="preserve">, ff. 2 a 5, VP; </w:t>
      </w:r>
      <w:hyperlink w:anchor="SENTENCIA_2016_67" w:history="1">
        <w:r w:rsidRPr="00924F59">
          <w:rPr>
            <w:rStyle w:val="TextoNormalCaracter"/>
          </w:rPr>
          <w:t>67/2016</w:t>
        </w:r>
      </w:hyperlink>
      <w:r w:rsidRPr="00924F59">
        <w:rPr>
          <w:rStyle w:val="TextoNormalCaracter"/>
        </w:rPr>
        <w:t xml:space="preserve">, ff. 3 a 6, VP; </w:t>
      </w:r>
      <w:hyperlink w:anchor="SENTENCIA_2016_68" w:history="1">
        <w:r w:rsidRPr="00924F59">
          <w:rPr>
            <w:rStyle w:val="TextoNormalCaracter"/>
          </w:rPr>
          <w:t>68/2016</w:t>
        </w:r>
      </w:hyperlink>
      <w:r w:rsidRPr="00924F59">
        <w:rPr>
          <w:rStyle w:val="TextoNormalCaracter"/>
        </w:rPr>
        <w:t xml:space="preserve">, ff. 3 a 6, VP; </w:t>
      </w:r>
      <w:hyperlink w:anchor="SENTENCIA_2016_84" w:history="1">
        <w:r w:rsidRPr="00924F59">
          <w:rPr>
            <w:rStyle w:val="TextoNormalCaracter"/>
          </w:rPr>
          <w:t>84/2016</w:t>
        </w:r>
      </w:hyperlink>
      <w:r w:rsidRPr="00924F59">
        <w:rPr>
          <w:rStyle w:val="TextoNormalCaracter"/>
        </w:rPr>
        <w:t xml:space="preserve">, ff. 3 a 6, VP; </w:t>
      </w:r>
      <w:hyperlink w:anchor="SENTENCIA_2016_102" w:history="1">
        <w:r w:rsidRPr="00924F59">
          <w:rPr>
            <w:rStyle w:val="TextoNormalCaracter"/>
          </w:rPr>
          <w:t>102/2016</w:t>
        </w:r>
      </w:hyperlink>
      <w:r w:rsidRPr="00924F59">
        <w:rPr>
          <w:rStyle w:val="TextoNormalCaracter"/>
        </w:rPr>
        <w:t xml:space="preserve">, ff. 1, 5, 6, VP; </w:t>
      </w:r>
      <w:hyperlink w:anchor="SENTENCIA_2016_116" w:history="1">
        <w:r w:rsidRPr="00924F59">
          <w:rPr>
            <w:rStyle w:val="TextoNormalCaracter"/>
          </w:rPr>
          <w:t>116/2016</w:t>
        </w:r>
      </w:hyperlink>
      <w:r w:rsidRPr="00924F59">
        <w:rPr>
          <w:rStyle w:val="TextoNormalCaracter"/>
        </w:rPr>
        <w:t>, ff. 1, 2, VP.</w:t>
      </w:r>
    </w:p>
    <w:p w:rsidR="00924F59" w:rsidRPr="00924F59" w:rsidRDefault="00924F59" w:rsidP="00924F59">
      <w:pPr>
        <w:pStyle w:val="TextoNormalSangraFrancesa"/>
        <w:rPr>
          <w:rStyle w:val="TextoNormalCaracter"/>
        </w:rPr>
      </w:pPr>
      <w:bookmarkStart w:id="1720" w:name="DESCRIPTORALFABETICO705"/>
      <w:r w:rsidRPr="00924F59">
        <w:rPr>
          <w:rStyle w:val="TextoNormalNegritaCaracter"/>
        </w:rPr>
        <w:t>Modificación de las normas jurídicas</w:t>
      </w:r>
      <w:bookmarkEnd w:id="1720"/>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721" w:name="DESCRIPTORALFABETICO299"/>
      <w:r w:rsidRPr="00924F59">
        <w:rPr>
          <w:rStyle w:val="TextoNormalNegritaCaracter"/>
        </w:rPr>
        <w:t>Monopolio del Tribunal Constitucional</w:t>
      </w:r>
      <w:bookmarkEnd w:id="1721"/>
      <w:r w:rsidRPr="00924F59">
        <w:rPr>
          <w:rStyle w:val="TextoNormalCaracter"/>
        </w:rPr>
        <w:t xml:space="preserve">, Sentencias </w:t>
      </w:r>
      <w:hyperlink w:anchor="SENTENCIA_2016_92" w:history="1">
        <w:r w:rsidRPr="00924F59">
          <w:rPr>
            <w:rStyle w:val="TextoNormalCaracter"/>
          </w:rPr>
          <w:t>92/2016</w:t>
        </w:r>
      </w:hyperlink>
      <w:r w:rsidRPr="00924F59">
        <w:rPr>
          <w:rStyle w:val="TextoNormalCaracter"/>
        </w:rPr>
        <w:t xml:space="preserve">, f. 2; </w:t>
      </w:r>
      <w:hyperlink w:anchor="SENTENCIA_2016_93" w:history="1">
        <w:r w:rsidRPr="00924F59">
          <w:rPr>
            <w:rStyle w:val="TextoNormalCaracter"/>
          </w:rPr>
          <w:t>93/2016</w:t>
        </w:r>
      </w:hyperlink>
      <w:r w:rsidRPr="00924F59">
        <w:rPr>
          <w:rStyle w:val="TextoNormalCaracter"/>
        </w:rPr>
        <w:t xml:space="preserve">, f. 2; </w:t>
      </w:r>
      <w:hyperlink w:anchor="SENTENCIA_2016_98" w:history="1">
        <w:r w:rsidRPr="00924F59">
          <w:rPr>
            <w:rStyle w:val="TextoNormalCaracter"/>
          </w:rPr>
          <w:t>98/2016</w:t>
        </w:r>
      </w:hyperlink>
      <w:r w:rsidRPr="00924F59">
        <w:rPr>
          <w:rStyle w:val="TextoNormalCaracter"/>
        </w:rPr>
        <w:t xml:space="preserve">, f. 2; </w:t>
      </w:r>
      <w:hyperlink w:anchor="SENTENCIA_2016_113" w:history="1">
        <w:r w:rsidRPr="00924F59">
          <w:rPr>
            <w:rStyle w:val="TextoNormalCaracter"/>
          </w:rPr>
          <w:t>113/2016</w:t>
        </w:r>
      </w:hyperlink>
      <w:r w:rsidRPr="00924F59">
        <w:rPr>
          <w:rStyle w:val="TextoNormalCaracter"/>
        </w:rPr>
        <w:t xml:space="preserve">, f. 2; </w:t>
      </w:r>
      <w:hyperlink w:anchor="SENTENCIA_2016_114" w:history="1">
        <w:r w:rsidRPr="00924F59">
          <w:rPr>
            <w:rStyle w:val="TextoNormalCaracter"/>
          </w:rPr>
          <w:t>114/2016</w:t>
        </w:r>
      </w:hyperlink>
      <w:r w:rsidRPr="00924F59">
        <w:rPr>
          <w:rStyle w:val="TextoNormalCaracter"/>
        </w:rPr>
        <w:t xml:space="preserve">, f. 3; </w:t>
      </w:r>
      <w:hyperlink w:anchor="SENTENCIA_2016_115" w:history="1">
        <w:r w:rsidRPr="00924F59">
          <w:rPr>
            <w:rStyle w:val="TextoNormalCaracter"/>
          </w:rPr>
          <w:t>115/2016</w:t>
        </w:r>
      </w:hyperlink>
      <w:r w:rsidRPr="00924F59">
        <w:rPr>
          <w:rStyle w:val="TextoNormalCaracter"/>
        </w:rPr>
        <w:t>, f. 3.</w:t>
      </w:r>
    </w:p>
    <w:p w:rsidR="00924F59" w:rsidRPr="00924F59" w:rsidRDefault="00924F59" w:rsidP="00924F59">
      <w:pPr>
        <w:pStyle w:val="TextoNormalSangraFrancesa"/>
        <w:rPr>
          <w:rStyle w:val="TextoNormalCaracter"/>
        </w:rPr>
      </w:pPr>
      <w:bookmarkStart w:id="1722" w:name="DESCRIPTORALFABETICO788"/>
      <w:r w:rsidRPr="00924F59">
        <w:rPr>
          <w:rStyle w:val="TextoNormalNegritaCaracter"/>
        </w:rPr>
        <w:t>Motivación de la decisión de fijación de servicios mínimos</w:t>
      </w:r>
      <w:bookmarkEnd w:id="1722"/>
      <w:r w:rsidRPr="00924F59">
        <w:rPr>
          <w:rStyle w:val="TextoNormalCaracter"/>
        </w:rPr>
        <w:t xml:space="preserve">, Sentencia </w:t>
      </w:r>
      <w:hyperlink w:anchor="SENTENCIA_2016_45" w:history="1">
        <w:r w:rsidRPr="00924F59">
          <w:rPr>
            <w:rStyle w:val="TextoNormalCaracter"/>
          </w:rPr>
          <w:t>45/2016</w:t>
        </w:r>
      </w:hyperlink>
      <w:r w:rsidRPr="00924F59">
        <w:rPr>
          <w:rStyle w:val="TextoNormalCaracter"/>
        </w:rPr>
        <w:t>, ff. 3 a), 4.</w:t>
      </w:r>
    </w:p>
    <w:p w:rsidR="00924F59" w:rsidRPr="00924F59" w:rsidRDefault="00924F59" w:rsidP="00924F59">
      <w:pPr>
        <w:pStyle w:val="TextoNormalSangraFrancesa"/>
        <w:rPr>
          <w:rStyle w:val="TextoNormalCaracter"/>
        </w:rPr>
      </w:pPr>
      <w:bookmarkStart w:id="1723" w:name="DESCRIPTORALFABETICO662"/>
      <w:r w:rsidRPr="00924F59">
        <w:rPr>
          <w:rStyle w:val="TextoNormalNegritaCaracter"/>
        </w:rPr>
        <w:t>Motivación de la extraordinaria y urgente necesidad</w:t>
      </w:r>
      <w:bookmarkEnd w:id="1723"/>
      <w:r w:rsidRPr="00924F59">
        <w:rPr>
          <w:rStyle w:val="TextoNormalCaracter"/>
        </w:rPr>
        <w:t xml:space="preserve">, Sentencias </w:t>
      </w:r>
      <w:hyperlink w:anchor="SENTENCIA_2016_26" w:history="1">
        <w:r w:rsidRPr="00924F59">
          <w:rPr>
            <w:rStyle w:val="TextoNormalCaracter"/>
          </w:rPr>
          <w:t>26/2016</w:t>
        </w:r>
      </w:hyperlink>
      <w:r w:rsidRPr="00924F59">
        <w:rPr>
          <w:rStyle w:val="TextoNormalCaracter"/>
        </w:rPr>
        <w:t xml:space="preserve">, f. 3; </w:t>
      </w:r>
      <w:hyperlink w:anchor="SENTENCIA_2016_38" w:history="1">
        <w:r w:rsidRPr="00924F59">
          <w:rPr>
            <w:rStyle w:val="TextoNormalCaracter"/>
          </w:rPr>
          <w:t>38/2016</w:t>
        </w:r>
      </w:hyperlink>
      <w:r w:rsidRPr="00924F59">
        <w:rPr>
          <w:rStyle w:val="TextoNormalCaracter"/>
        </w:rPr>
        <w:t xml:space="preserve">, f. 4; </w:t>
      </w:r>
      <w:hyperlink w:anchor="SENTENCIA_2016_67" w:history="1">
        <w:r w:rsidRPr="00924F59">
          <w:rPr>
            <w:rStyle w:val="TextoNormalCaracter"/>
          </w:rPr>
          <w:t>67/2016</w:t>
        </w:r>
      </w:hyperlink>
      <w:r w:rsidRPr="00924F59">
        <w:rPr>
          <w:rStyle w:val="TextoNormalCaracter"/>
        </w:rPr>
        <w:t xml:space="preserve">, f. 3; </w:t>
      </w:r>
      <w:hyperlink w:anchor="SENTENCIA_2016_68" w:history="1">
        <w:r w:rsidRPr="00924F59">
          <w:rPr>
            <w:rStyle w:val="TextoNormalCaracter"/>
          </w:rPr>
          <w:t>68/2016</w:t>
        </w:r>
      </w:hyperlink>
      <w:r w:rsidRPr="00924F59">
        <w:rPr>
          <w:rStyle w:val="TextoNormalCaracter"/>
        </w:rPr>
        <w:t xml:space="preserve">, f. 3; </w:t>
      </w:r>
      <w:hyperlink w:anchor="SENTENCIA_2016_70" w:history="1">
        <w:r w:rsidRPr="00924F59">
          <w:rPr>
            <w:rStyle w:val="TextoNormalCaracter"/>
          </w:rPr>
          <w:t>70/2016</w:t>
        </w:r>
      </w:hyperlink>
      <w:r w:rsidRPr="00924F59">
        <w:rPr>
          <w:rStyle w:val="TextoNormalCaracter"/>
        </w:rPr>
        <w:t xml:space="preserve">, ff. 3 a 8; </w:t>
      </w:r>
      <w:hyperlink w:anchor="SENTENCIA_2016_84" w:history="1">
        <w:r w:rsidRPr="00924F59">
          <w:rPr>
            <w:rStyle w:val="TextoNormalCaracter"/>
          </w:rPr>
          <w:t>84/2016</w:t>
        </w:r>
      </w:hyperlink>
      <w:r w:rsidRPr="00924F59">
        <w:rPr>
          <w:rStyle w:val="TextoNormalCaracter"/>
        </w:rPr>
        <w:t xml:space="preserve">, ff. 3, 4; </w:t>
      </w:r>
      <w:hyperlink w:anchor="SENTENCIA_2016_119" w:history="1">
        <w:r w:rsidRPr="00924F59">
          <w:rPr>
            <w:rStyle w:val="TextoNormalCaracter"/>
          </w:rPr>
          <w:t>119/2016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24" w:name="DESCRIPTORALFABETICO179"/>
      <w:r w:rsidRPr="00924F59">
        <w:rPr>
          <w:rStyle w:val="TextoNormalNegritaCaracter"/>
        </w:rPr>
        <w:t>Motivación de las resoluciones judiciales</w:t>
      </w:r>
      <w:bookmarkEnd w:id="1724"/>
      <w:r w:rsidRPr="00924F59">
        <w:rPr>
          <w:rStyle w:val="TextoNormalCaracter"/>
        </w:rPr>
        <w:t xml:space="preserve">, Sentencias </w:t>
      </w:r>
      <w:hyperlink w:anchor="SENTENCIA_2016_12" w:history="1">
        <w:r w:rsidRPr="00924F59">
          <w:rPr>
            <w:rStyle w:val="TextoNormalCaracter"/>
          </w:rPr>
          <w:t>12/2016</w:t>
        </w:r>
      </w:hyperlink>
      <w:r w:rsidRPr="00924F59">
        <w:rPr>
          <w:rStyle w:val="TextoNormalCaracter"/>
        </w:rPr>
        <w:t xml:space="preserve">, f. 3; </w:t>
      </w:r>
      <w:hyperlink w:anchor="SENTENCIA_2016_14" w:history="1">
        <w:r w:rsidRPr="00924F59">
          <w:rPr>
            <w:rStyle w:val="TextoNormalCaracter"/>
          </w:rPr>
          <w:t>14/2016</w:t>
        </w:r>
      </w:hyperlink>
      <w:r w:rsidRPr="00924F59">
        <w:rPr>
          <w:rStyle w:val="TextoNormalCaracter"/>
        </w:rPr>
        <w:t>, ff. 2, 4.</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 </w:t>
      </w:r>
      <w:hyperlink w:anchor="SENTENCIA_2016_65" w:history="1">
        <w:r w:rsidRPr="00924F59">
          <w:rPr>
            <w:rStyle w:val="TextoNormalCaracter"/>
          </w:rPr>
          <w:t>65/2016</w:t>
        </w:r>
      </w:hyperlink>
      <w:r w:rsidRPr="00924F59">
        <w:rPr>
          <w:rStyle w:val="TextoNormalCaracter"/>
        </w:rPr>
        <w:t>, ff. 5 a 7.</w:t>
      </w:r>
    </w:p>
    <w:p w:rsidR="00924F59" w:rsidRPr="00924F59" w:rsidRDefault="00924F59" w:rsidP="00924F59">
      <w:pPr>
        <w:pStyle w:val="TextoNormalSangraFrancesa"/>
        <w:rPr>
          <w:rStyle w:val="TextoNormalCaracter"/>
        </w:rPr>
      </w:pPr>
      <w:bookmarkStart w:id="1725" w:name="DESCRIPTORALFABETICO292"/>
      <w:r w:rsidRPr="00924F59">
        <w:rPr>
          <w:rStyle w:val="TextoNormalNegritaCaracter"/>
        </w:rPr>
        <w:t>Motivación del Auto de planteamiento de cuestión de inconstitucionalidad</w:t>
      </w:r>
      <w:bookmarkEnd w:id="1725"/>
      <w:r w:rsidRPr="00924F59">
        <w:rPr>
          <w:rStyle w:val="TextoNormalCaracter"/>
        </w:rPr>
        <w:t xml:space="preserve">, Auto </w:t>
      </w:r>
      <w:hyperlink w:anchor="AUTO_2016_83" w:history="1">
        <w:r w:rsidRPr="00924F59">
          <w:rPr>
            <w:rStyle w:val="TextoNormalCaracter"/>
          </w:rPr>
          <w:t>83/2016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26" w:name="DESCRIPTORALFABETICO467"/>
      <w:r w:rsidRPr="00924F59">
        <w:rPr>
          <w:rStyle w:val="TextoNormalNegritaCaracter"/>
        </w:rPr>
        <w:t>Municipios de gran población</w:t>
      </w:r>
      <w:bookmarkEnd w:id="1726"/>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ff. 3 a), 5.</w:t>
      </w:r>
    </w:p>
    <w:p w:rsidR="00924F59" w:rsidRPr="00924F59" w:rsidRDefault="00924F59" w:rsidP="00924F59">
      <w:pPr>
        <w:pStyle w:val="TextoNormalSangraFrancesa"/>
        <w:rPr>
          <w:rStyle w:val="TextoNormalCaracter"/>
        </w:rPr>
      </w:pPr>
      <w:bookmarkStart w:id="1727" w:name="DESCRIPTORALFABETICO752"/>
      <w:r w:rsidRPr="00924F59">
        <w:rPr>
          <w:rStyle w:val="TextoNormalNegritaCaracter"/>
        </w:rPr>
        <w:t>Mutuas de accidentes de trabajo</w:t>
      </w:r>
      <w:bookmarkEnd w:id="1727"/>
      <w:r w:rsidRPr="00924F59">
        <w:rPr>
          <w:rStyle w:val="TextoNormalCaracter"/>
        </w:rPr>
        <w:t xml:space="preserve">, Sentencia </w:t>
      </w:r>
      <w:hyperlink w:anchor="SENTENCIA_2016_7" w:history="1">
        <w:r w:rsidRPr="00924F59">
          <w:rPr>
            <w:rStyle w:val="TextoNormalCaracter"/>
          </w:rPr>
          <w:t>7/2016</w:t>
        </w:r>
      </w:hyperlink>
      <w:r w:rsidRPr="00924F59">
        <w:rPr>
          <w:rStyle w:val="TextoNormalCaracter"/>
        </w:rPr>
        <w:t>, f. 1.</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N</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728" w:name="DESCRIPTORALFABETICO276"/>
      <w:r w:rsidRPr="00924F59">
        <w:rPr>
          <w:rStyle w:val="TextoNormalNegritaCaracter"/>
        </w:rPr>
        <w:t>Naturaleza del conflicto positivo de competencia</w:t>
      </w:r>
      <w:bookmarkEnd w:id="1728"/>
      <w:r w:rsidRPr="00924F59">
        <w:rPr>
          <w:rStyle w:val="TextoNormalCaracter"/>
        </w:rPr>
        <w:t xml:space="preserve">, Sentencia </w:t>
      </w:r>
      <w:hyperlink w:anchor="SENTENCIA_2016_88" w:history="1">
        <w:r w:rsidRPr="00924F59">
          <w:rPr>
            <w:rStyle w:val="TextoNormalCaracter"/>
          </w:rPr>
          <w:t>88/2016</w:t>
        </w:r>
      </w:hyperlink>
      <w:r w:rsidRPr="00924F59">
        <w:rPr>
          <w:rStyle w:val="TextoNormalCaracter"/>
        </w:rPr>
        <w:t>, f. 2.</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28" w:history="1">
        <w:r w:rsidRPr="00924F59">
          <w:rPr>
            <w:rStyle w:val="TextoNormalCaracter"/>
          </w:rPr>
          <w:t>128/2016</w:t>
        </w:r>
      </w:hyperlink>
      <w:r w:rsidRPr="00924F59">
        <w:rPr>
          <w:rStyle w:val="TextoNormalCaracter"/>
        </w:rPr>
        <w:t>, f. 4.</w:t>
      </w:r>
    </w:p>
    <w:p w:rsidR="00924F59" w:rsidRPr="00924F59" w:rsidRDefault="00924F59" w:rsidP="00924F59">
      <w:pPr>
        <w:pStyle w:val="TextoNormalSangraFrancesa"/>
        <w:rPr>
          <w:rStyle w:val="TextoNormalCaracter"/>
        </w:rPr>
      </w:pPr>
      <w:bookmarkStart w:id="1729" w:name="DESCRIPTORALFABETICO801"/>
      <w:r w:rsidRPr="00924F59">
        <w:rPr>
          <w:rStyle w:val="TextoNormalNegritaCaracter"/>
        </w:rPr>
        <w:t>Naturaleza del procedimiento de protección de menores</w:t>
      </w:r>
      <w:bookmarkEnd w:id="1729"/>
      <w:r w:rsidRPr="00924F59">
        <w:rPr>
          <w:rStyle w:val="TextoNormalCaracter"/>
        </w:rPr>
        <w:t xml:space="preserve">, Sentencia </w:t>
      </w:r>
      <w:hyperlink w:anchor="SENTENCIA_2016_23" w:history="1">
        <w:r w:rsidRPr="00924F59">
          <w:rPr>
            <w:rStyle w:val="TextoNormalCaracter"/>
          </w:rPr>
          <w:t>23/2016</w:t>
        </w:r>
      </w:hyperlink>
      <w:r w:rsidRPr="00924F59">
        <w:rPr>
          <w:rStyle w:val="TextoNormalCaracter"/>
        </w:rPr>
        <w:t>, ff. 1, 4, 5.</w:t>
      </w:r>
    </w:p>
    <w:p w:rsidR="00924F59" w:rsidRPr="00924F59" w:rsidRDefault="00924F59" w:rsidP="00924F59">
      <w:pPr>
        <w:pStyle w:val="TextoNormalSangraFrancesa"/>
        <w:rPr>
          <w:rStyle w:val="TextoNormalCaracter"/>
        </w:rPr>
      </w:pPr>
      <w:bookmarkStart w:id="1730" w:name="DESCRIPTORALFABETICO669"/>
      <w:r w:rsidRPr="00924F59">
        <w:rPr>
          <w:rStyle w:val="TextoNormalNegritaCaracter"/>
        </w:rPr>
        <w:t>Normas básicas en forma de decreto-ley</w:t>
      </w:r>
      <w:bookmarkEnd w:id="1730"/>
      <w:r w:rsidRPr="00924F59">
        <w:rPr>
          <w:rStyle w:val="TextoNormalCaracter"/>
        </w:rPr>
        <w:t xml:space="preserve">, Sentencias </w:t>
      </w:r>
      <w:hyperlink w:anchor="SENTENCIA_2016_54" w:history="1">
        <w:r w:rsidRPr="00924F59">
          <w:rPr>
            <w:rStyle w:val="TextoNormalCaracter"/>
          </w:rPr>
          <w:t>54/2016</w:t>
        </w:r>
      </w:hyperlink>
      <w:r w:rsidRPr="00924F59">
        <w:rPr>
          <w:rStyle w:val="TextoNormalCaracter"/>
        </w:rPr>
        <w:t xml:space="preserve">, ff. 1, 2, VP; </w:t>
      </w:r>
      <w:hyperlink w:anchor="SENTENCIA_2016_66" w:history="1">
        <w:r w:rsidRPr="00924F59">
          <w:rPr>
            <w:rStyle w:val="TextoNormalCaracter"/>
          </w:rPr>
          <w:t>66/2016</w:t>
        </w:r>
      </w:hyperlink>
      <w:r w:rsidRPr="00924F59">
        <w:rPr>
          <w:rStyle w:val="TextoNormalCaracter"/>
        </w:rPr>
        <w:t xml:space="preserve">, ff. 2 a 5, VP; </w:t>
      </w:r>
      <w:hyperlink w:anchor="SENTENCIA_2016_67" w:history="1">
        <w:r w:rsidRPr="00924F59">
          <w:rPr>
            <w:rStyle w:val="TextoNormalCaracter"/>
          </w:rPr>
          <w:t>67/2016</w:t>
        </w:r>
      </w:hyperlink>
      <w:r w:rsidRPr="00924F59">
        <w:rPr>
          <w:rStyle w:val="TextoNormalCaracter"/>
        </w:rPr>
        <w:t xml:space="preserve">, ff. 3 a 6, VP; </w:t>
      </w:r>
      <w:hyperlink w:anchor="SENTENCIA_2016_68" w:history="1">
        <w:r w:rsidRPr="00924F59">
          <w:rPr>
            <w:rStyle w:val="TextoNormalCaracter"/>
          </w:rPr>
          <w:t>68/2016</w:t>
        </w:r>
      </w:hyperlink>
      <w:r w:rsidRPr="00924F59">
        <w:rPr>
          <w:rStyle w:val="TextoNormalCaracter"/>
        </w:rPr>
        <w:t xml:space="preserve">, ff. 3 a 6, VP; </w:t>
      </w:r>
      <w:hyperlink w:anchor="SENTENCIA_2016_84" w:history="1">
        <w:r w:rsidRPr="00924F59">
          <w:rPr>
            <w:rStyle w:val="TextoNormalCaracter"/>
          </w:rPr>
          <w:t>84/2016</w:t>
        </w:r>
      </w:hyperlink>
      <w:r w:rsidRPr="00924F59">
        <w:rPr>
          <w:rStyle w:val="TextoNormalCaracter"/>
        </w:rPr>
        <w:t>, ff. 3 a 6, VP.</w:t>
      </w:r>
    </w:p>
    <w:p w:rsidR="00924F59" w:rsidRPr="00924F59" w:rsidRDefault="00924F59" w:rsidP="00924F59">
      <w:pPr>
        <w:pStyle w:val="TextoNormalSangraFrancesa"/>
        <w:rPr>
          <w:rStyle w:val="TextoNormalCaracter"/>
        </w:rPr>
      </w:pPr>
      <w:bookmarkStart w:id="1731" w:name="DESCRIPTORALFABETICO805"/>
      <w:r w:rsidRPr="00924F59">
        <w:rPr>
          <w:rStyle w:val="TextoNormalNegritaCaracter"/>
        </w:rPr>
        <w:t>Notificación defectuosa</w:t>
      </w:r>
      <w:bookmarkEnd w:id="1731"/>
      <w:r w:rsidRPr="00924F59">
        <w:rPr>
          <w:rStyle w:val="TextoNormalCaracter"/>
        </w:rPr>
        <w:t xml:space="preserve">, Auto </w:t>
      </w:r>
      <w:hyperlink w:anchor="AUTO_2016_35" w:history="1">
        <w:r w:rsidRPr="00924F59">
          <w:rPr>
            <w:rStyle w:val="TextoNormalCaracter"/>
          </w:rPr>
          <w:t>35/2016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32" w:name="DESCRIPTORALFABETICO806"/>
      <w:r w:rsidRPr="00924F59">
        <w:rPr>
          <w:rStyle w:val="TextoNormalNegritaCaracter"/>
        </w:rPr>
        <w:t>Notificación edictal</w:t>
      </w:r>
      <w:bookmarkEnd w:id="1732"/>
      <w:r w:rsidRPr="00924F59">
        <w:rPr>
          <w:rStyle w:val="TextoNormalCaracter"/>
        </w:rPr>
        <w:t xml:space="preserve">, Auto </w:t>
      </w:r>
      <w:hyperlink w:anchor="AUTO_2016_107" w:history="1">
        <w:r w:rsidRPr="00924F59">
          <w:rPr>
            <w:rStyle w:val="TextoNormalCaracter"/>
          </w:rPr>
          <w:t>107/2016</w:t>
        </w:r>
      </w:hyperlink>
      <w:r w:rsidRPr="00924F59">
        <w:rPr>
          <w:rStyle w:val="TextoNormalCaracter"/>
        </w:rPr>
        <w:t>, f. 2.</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O</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733" w:name="DESCRIPTORALFABETICO289"/>
      <w:r w:rsidRPr="00924F59">
        <w:rPr>
          <w:rStyle w:val="TextoNormalNegritaCaracter"/>
        </w:rPr>
        <w:t>Objeto de la cuestión de inconstitucionalidad</w:t>
      </w:r>
      <w:bookmarkEnd w:id="1733"/>
      <w:r w:rsidRPr="00924F59">
        <w:rPr>
          <w:rStyle w:val="TextoNormalCaracter"/>
        </w:rPr>
        <w:t xml:space="preserve">, Sentencia </w:t>
      </w:r>
      <w:hyperlink w:anchor="SENTENCIA_2016_102" w:history="1">
        <w:r w:rsidRPr="00924F59">
          <w:rPr>
            <w:rStyle w:val="TextoNormalCaracter"/>
          </w:rPr>
          <w:t>102/2016</w:t>
        </w:r>
      </w:hyperlink>
      <w:r w:rsidRPr="00924F59">
        <w:rPr>
          <w:rStyle w:val="TextoNormalCaracter"/>
        </w:rPr>
        <w:t>, VP.</w:t>
      </w:r>
    </w:p>
    <w:p w:rsidR="00924F59" w:rsidRPr="00924F59" w:rsidRDefault="00924F59" w:rsidP="00924F59">
      <w:pPr>
        <w:pStyle w:val="TextoNormalSangraFrancesa"/>
        <w:rPr>
          <w:rStyle w:val="TextoNormalCaracter"/>
        </w:rPr>
      </w:pPr>
      <w:bookmarkStart w:id="1734" w:name="DESCRIPTORALFABETICO273"/>
      <w:r w:rsidRPr="00924F59">
        <w:rPr>
          <w:rStyle w:val="TextoNormalNegritaCaracter"/>
        </w:rPr>
        <w:t>Objeto del conflicto en defensa de la autonomía local</w:t>
      </w:r>
      <w:bookmarkEnd w:id="1734"/>
      <w:r w:rsidRPr="00924F59">
        <w:rPr>
          <w:rStyle w:val="TextoNormalCaracter"/>
        </w:rPr>
        <w:t xml:space="preserve">, Sentencia </w:t>
      </w:r>
      <w:hyperlink w:anchor="SENTENCIA_2016_27" w:history="1">
        <w:r w:rsidRPr="00924F59">
          <w:rPr>
            <w:rStyle w:val="TextoNormalCaracter"/>
          </w:rPr>
          <w:t>27/2016</w:t>
        </w:r>
      </w:hyperlink>
      <w:r w:rsidRPr="00924F59">
        <w:rPr>
          <w:rStyle w:val="TextoNormalCaracter"/>
        </w:rPr>
        <w:t>, f. 3.</w:t>
      </w:r>
    </w:p>
    <w:p w:rsidR="00924F59" w:rsidRPr="00924F59" w:rsidRDefault="00924F59" w:rsidP="00924F59">
      <w:pPr>
        <w:pStyle w:val="TextoNormalSangraFrancesa"/>
        <w:rPr>
          <w:rStyle w:val="TextoNormalCaracter"/>
        </w:rPr>
      </w:pPr>
      <w:bookmarkStart w:id="1735" w:name="DESCRIPTORALFABETICO308"/>
      <w:r w:rsidRPr="00924F59">
        <w:rPr>
          <w:rStyle w:val="TextoNormalNegritaCaracter"/>
        </w:rPr>
        <w:t>Objeto del recurso de inconstitucionalidad</w:t>
      </w:r>
      <w:bookmarkEnd w:id="1735"/>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ff. 1 d), 4 c).</w:t>
      </w:r>
    </w:p>
    <w:p w:rsidR="00924F59" w:rsidRPr="00924F59" w:rsidRDefault="00924F59" w:rsidP="00924F59">
      <w:pPr>
        <w:pStyle w:val="TextoNormalSangraFrancesa"/>
        <w:rPr>
          <w:rStyle w:val="TextoNormalCaracter"/>
        </w:rPr>
      </w:pPr>
      <w:bookmarkStart w:id="1736" w:name="DESCRIPTORALFABETICO74"/>
      <w:r w:rsidRPr="00924F59">
        <w:rPr>
          <w:rStyle w:val="TextoNormalNegritaCaracter"/>
        </w:rPr>
        <w:t>Obligaciones financieras de las Comunidades Autónomas</w:t>
      </w:r>
      <w:bookmarkEnd w:id="1736"/>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737" w:name="DESCRIPTORALFABETICO75"/>
      <w:r w:rsidRPr="00924F59">
        <w:rPr>
          <w:rStyle w:val="TextoNormalNegritaCaracter"/>
        </w:rPr>
        <w:t>Obligaciones financieras del Estado</w:t>
      </w:r>
      <w:bookmarkEnd w:id="1737"/>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738" w:name="DESCRIPTORALFABETICO617"/>
      <w:r w:rsidRPr="00924F59">
        <w:rPr>
          <w:rStyle w:val="TextoNormalNegritaCaracter"/>
        </w:rPr>
        <w:t>Obras públicas de interés general</w:t>
      </w:r>
      <w:bookmarkEnd w:id="1738"/>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3, 6, 10.</w:t>
      </w:r>
    </w:p>
    <w:p w:rsidR="00924F59" w:rsidRPr="00924F59" w:rsidRDefault="00924F59" w:rsidP="00924F59">
      <w:pPr>
        <w:pStyle w:val="TextoNormalSangraFrancesa"/>
        <w:rPr>
          <w:rStyle w:val="TextoNormalCaracter"/>
        </w:rPr>
      </w:pPr>
      <w:bookmarkStart w:id="1739" w:name="DESCRIPTORALFABETICO360"/>
      <w:r w:rsidRPr="00924F59">
        <w:rPr>
          <w:rStyle w:val="TextoNormalNegritaCaracter"/>
        </w:rPr>
        <w:t>Oficina judicial</w:t>
      </w:r>
      <w:bookmarkEnd w:id="1739"/>
      <w:r w:rsidRPr="00924F59">
        <w:rPr>
          <w:rStyle w:val="TextoNormalCaracter"/>
        </w:rPr>
        <w:t xml:space="preserve">, Sentencia </w:t>
      </w:r>
      <w:hyperlink w:anchor="SENTENCIA_2016_58" w:history="1">
        <w:r w:rsidRPr="00924F59">
          <w:rPr>
            <w:rStyle w:val="TextoNormalCaracter"/>
          </w:rPr>
          <w:t>58/2016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40" w:name="DESCRIPTORALFABETICO28"/>
      <w:r w:rsidRPr="00924F59">
        <w:rPr>
          <w:rStyle w:val="TextoNormalNegritaCaracter"/>
        </w:rPr>
        <w:t>Omisión del traspaso de servicios</w:t>
      </w:r>
      <w:bookmarkEnd w:id="1740"/>
      <w:r w:rsidRPr="00924F59">
        <w:rPr>
          <w:rStyle w:val="TextoNormalCaracter"/>
        </w:rPr>
        <w:t xml:space="preserve">, Sentencia </w:t>
      </w:r>
      <w:hyperlink w:anchor="SENTENCIA_2016_95" w:history="1">
        <w:r w:rsidRPr="00924F59">
          <w:rPr>
            <w:rStyle w:val="TextoNormalCaracter"/>
          </w:rPr>
          <w:t>95/2016</w:t>
        </w:r>
      </w:hyperlink>
      <w:r w:rsidRPr="00924F59">
        <w:rPr>
          <w:rStyle w:val="TextoNormalCaracter"/>
        </w:rPr>
        <w:t>, ff. 1, 2, 5, 8.</w:t>
      </w:r>
    </w:p>
    <w:p w:rsidR="00924F59" w:rsidRPr="00924F59" w:rsidRDefault="00924F59" w:rsidP="00924F59">
      <w:pPr>
        <w:pStyle w:val="TextoNormalSangraFrancesa"/>
        <w:rPr>
          <w:rStyle w:val="TextoNormalCaracter"/>
        </w:rPr>
      </w:pPr>
      <w:bookmarkStart w:id="1741" w:name="DESCRIPTORALFABETICO771"/>
      <w:r w:rsidRPr="00924F59">
        <w:rPr>
          <w:rStyle w:val="TextoNormalNegritaCaracter"/>
        </w:rPr>
        <w:t>Operadores de telecomunicaciones</w:t>
      </w:r>
      <w:bookmarkEnd w:id="1741"/>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ff. 5 a 8, 10.</w:t>
      </w:r>
    </w:p>
    <w:p w:rsidR="00924F59" w:rsidRPr="00924F59" w:rsidRDefault="00924F59" w:rsidP="00924F59">
      <w:pPr>
        <w:pStyle w:val="TextoNormalSangraFrancesa"/>
        <w:rPr>
          <w:rStyle w:val="TextoNormalCaracter"/>
        </w:rPr>
      </w:pPr>
      <w:bookmarkStart w:id="1742" w:name="DESCRIPTORALFABETICO658"/>
      <w:r w:rsidRPr="00924F59">
        <w:rPr>
          <w:rStyle w:val="TextoNormalNegritaCaracter"/>
        </w:rPr>
        <w:t>Oportunidad técnica del decreto-ley</w:t>
      </w:r>
      <w:bookmarkEnd w:id="1742"/>
      <w:r w:rsidRPr="00924F59">
        <w:rPr>
          <w:rStyle w:val="TextoNormalCaracter"/>
        </w:rPr>
        <w:t xml:space="preserve">, Sentencia </w:t>
      </w:r>
      <w:hyperlink w:anchor="SENTENCIA_2016_70" w:history="1">
        <w:r w:rsidRPr="00924F59">
          <w:rPr>
            <w:rStyle w:val="TextoNormalCaracter"/>
          </w:rPr>
          <w:t>70/2016</w:t>
        </w:r>
      </w:hyperlink>
      <w:r w:rsidRPr="00924F59">
        <w:rPr>
          <w:rStyle w:val="TextoNormalCaracter"/>
        </w:rPr>
        <w:t>, f. 7.</w:t>
      </w:r>
    </w:p>
    <w:p w:rsidR="00924F59" w:rsidRPr="00924F59" w:rsidRDefault="00924F59" w:rsidP="00924F59">
      <w:pPr>
        <w:pStyle w:val="TextoNormalSangraFrancesa"/>
        <w:rPr>
          <w:rStyle w:val="TextoNormalCaracter"/>
        </w:rPr>
      </w:pPr>
      <w:bookmarkStart w:id="1743" w:name="DESCRIPTORALFABETICO847"/>
      <w:r w:rsidRPr="00924F59">
        <w:rPr>
          <w:rStyle w:val="TextoNormalNegritaCaracter"/>
        </w:rPr>
        <w:t>Oposición a la ejecución hipotecaria</w:t>
      </w:r>
      <w:bookmarkEnd w:id="1743"/>
      <w:r w:rsidRPr="00924F59">
        <w:rPr>
          <w:rStyle w:val="TextoNormalCaracter"/>
        </w:rPr>
        <w:t xml:space="preserve">, Sentencia </w:t>
      </w:r>
      <w:hyperlink w:anchor="SENTENCIA_2016_49" w:history="1">
        <w:r w:rsidRPr="00924F59">
          <w:rPr>
            <w:rStyle w:val="TextoNormalCaracter"/>
          </w:rPr>
          <w:t>49/2016</w:t>
        </w:r>
      </w:hyperlink>
      <w:r w:rsidRPr="00924F59">
        <w:rPr>
          <w:rStyle w:val="TextoNormalCaracter"/>
        </w:rPr>
        <w:t>, ff. 3, 4.</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09" w:history="1">
        <w:r w:rsidRPr="00924F59">
          <w:rPr>
            <w:rStyle w:val="TextoNormalCaracter"/>
          </w:rPr>
          <w:t>109/2016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44" w:name="DESCRIPTORALFABETICO2"/>
      <w:r w:rsidRPr="00924F59">
        <w:rPr>
          <w:rStyle w:val="TextoNormalNegritaCaracter"/>
        </w:rPr>
        <w:t>Orden constitucional de competencias</w:t>
      </w:r>
      <w:bookmarkEnd w:id="1744"/>
      <w:r w:rsidRPr="00924F59">
        <w:rPr>
          <w:rStyle w:val="TextoNormalCaracter"/>
        </w:rPr>
        <w:t xml:space="preserve">, Sentencias </w:t>
      </w:r>
      <w:hyperlink w:anchor="SENTENCIA_2016_21" w:history="1">
        <w:r w:rsidRPr="00924F59">
          <w:rPr>
            <w:rStyle w:val="TextoNormalCaracter"/>
          </w:rPr>
          <w:t>21/2016</w:t>
        </w:r>
      </w:hyperlink>
      <w:r w:rsidRPr="00924F59">
        <w:rPr>
          <w:rStyle w:val="TextoNormalCaracter"/>
        </w:rPr>
        <w:t xml:space="preserve">, f. 3; </w:t>
      </w:r>
      <w:hyperlink w:anchor="SENTENCIA_2016_26" w:history="1">
        <w:r w:rsidRPr="00924F59">
          <w:rPr>
            <w:rStyle w:val="TextoNormalCaracter"/>
          </w:rPr>
          <w:t>26/2016</w:t>
        </w:r>
      </w:hyperlink>
      <w:r w:rsidRPr="00924F59">
        <w:rPr>
          <w:rStyle w:val="TextoNormalCaracter"/>
        </w:rPr>
        <w:t xml:space="preserve">, ff. 2, 4, 6, 7, VP; </w:t>
      </w:r>
      <w:hyperlink w:anchor="SENTENCIA_2016_32" w:history="1">
        <w:r w:rsidRPr="00924F59">
          <w:rPr>
            <w:rStyle w:val="TextoNormalCaracter"/>
          </w:rPr>
          <w:t>32/2016</w:t>
        </w:r>
      </w:hyperlink>
      <w:r w:rsidRPr="00924F59">
        <w:rPr>
          <w:rStyle w:val="TextoNormalCaracter"/>
        </w:rPr>
        <w:t xml:space="preserve">, ff. 1 a 13; </w:t>
      </w:r>
      <w:hyperlink w:anchor="SENTENCIA_2016_37" w:history="1">
        <w:r w:rsidRPr="00924F59">
          <w:rPr>
            <w:rStyle w:val="TextoNormalCaracter"/>
          </w:rPr>
          <w:t>37/2016</w:t>
        </w:r>
      </w:hyperlink>
      <w:r w:rsidRPr="00924F59">
        <w:rPr>
          <w:rStyle w:val="TextoNormalCaracter"/>
        </w:rPr>
        <w:t xml:space="preserve">, ff. 1, 3 a 5; </w:t>
      </w:r>
      <w:hyperlink w:anchor="SENTENCIA_2016_54" w:history="1">
        <w:r w:rsidRPr="00924F59">
          <w:rPr>
            <w:rStyle w:val="TextoNormalCaracter"/>
          </w:rPr>
          <w:t>54/2016</w:t>
        </w:r>
      </w:hyperlink>
      <w:r w:rsidRPr="00924F59">
        <w:rPr>
          <w:rStyle w:val="TextoNormalCaracter"/>
        </w:rPr>
        <w:t xml:space="preserve">, f. 2, VP; </w:t>
      </w:r>
      <w:hyperlink w:anchor="SENTENCIA_2016_60" w:history="1">
        <w:r w:rsidRPr="00924F59">
          <w:rPr>
            <w:rStyle w:val="TextoNormalCaracter"/>
          </w:rPr>
          <w:t>60/2016</w:t>
        </w:r>
      </w:hyperlink>
      <w:r w:rsidRPr="00924F59">
        <w:rPr>
          <w:rStyle w:val="TextoNormalCaracter"/>
        </w:rPr>
        <w:t xml:space="preserve">, ff. 1 a 8; </w:t>
      </w:r>
      <w:hyperlink w:anchor="SENTENCIA_2016_66" w:history="1">
        <w:r w:rsidRPr="00924F59">
          <w:rPr>
            <w:rStyle w:val="TextoNormalCaracter"/>
          </w:rPr>
          <w:t>66/2016</w:t>
        </w:r>
      </w:hyperlink>
      <w:r w:rsidRPr="00924F59">
        <w:rPr>
          <w:rStyle w:val="TextoNormalCaracter"/>
        </w:rPr>
        <w:t xml:space="preserve">, ff. 1 a 5, VP; </w:t>
      </w:r>
      <w:hyperlink w:anchor="SENTENCIA_2016_67" w:history="1">
        <w:r w:rsidRPr="00924F59">
          <w:rPr>
            <w:rStyle w:val="TextoNormalCaracter"/>
          </w:rPr>
          <w:t>67/2016</w:t>
        </w:r>
      </w:hyperlink>
      <w:r w:rsidRPr="00924F59">
        <w:rPr>
          <w:rStyle w:val="TextoNormalCaracter"/>
        </w:rPr>
        <w:t xml:space="preserve">, ff. 3 a 6, VP; </w:t>
      </w:r>
      <w:hyperlink w:anchor="SENTENCIA_2016_68" w:history="1">
        <w:r w:rsidRPr="00924F59">
          <w:rPr>
            <w:rStyle w:val="TextoNormalCaracter"/>
          </w:rPr>
          <w:t>68/2016</w:t>
        </w:r>
      </w:hyperlink>
      <w:r w:rsidRPr="00924F59">
        <w:rPr>
          <w:rStyle w:val="TextoNormalCaracter"/>
        </w:rPr>
        <w:t xml:space="preserve">, ff. 3 a 6, VP; </w:t>
      </w:r>
      <w:hyperlink w:anchor="SENTENCIA_2016_72" w:history="1">
        <w:r w:rsidRPr="00924F59">
          <w:rPr>
            <w:rStyle w:val="TextoNormalCaracter"/>
          </w:rPr>
          <w:t>72/2016</w:t>
        </w:r>
      </w:hyperlink>
      <w:r w:rsidRPr="00924F59">
        <w:rPr>
          <w:rStyle w:val="TextoNormalCaracter"/>
        </w:rPr>
        <w:t xml:space="preserve">, ff. 1 a 3; </w:t>
      </w:r>
      <w:hyperlink w:anchor="SENTENCIA_2016_84" w:history="1">
        <w:r w:rsidRPr="00924F59">
          <w:rPr>
            <w:rStyle w:val="TextoNormalCaracter"/>
          </w:rPr>
          <w:t>84/2016</w:t>
        </w:r>
      </w:hyperlink>
      <w:r w:rsidRPr="00924F59">
        <w:rPr>
          <w:rStyle w:val="TextoNormalCaracter"/>
        </w:rPr>
        <w:t xml:space="preserve">, ff. 3 a 6, VP; </w:t>
      </w:r>
      <w:hyperlink w:anchor="SENTENCIA_2016_120" w:history="1">
        <w:r w:rsidRPr="00924F59">
          <w:rPr>
            <w:rStyle w:val="TextoNormalCaracter"/>
          </w:rPr>
          <w:t>120/2016</w:t>
        </w:r>
      </w:hyperlink>
      <w:r w:rsidRPr="00924F59">
        <w:rPr>
          <w:rStyle w:val="TextoNormalCaracter"/>
        </w:rPr>
        <w:t>, ff. 5 a 11.</w:t>
      </w:r>
    </w:p>
    <w:p w:rsidR="00924F59" w:rsidRPr="00924F59" w:rsidRDefault="00924F59" w:rsidP="00924F59">
      <w:pPr>
        <w:pStyle w:val="TextoNormalSangraFrancesa"/>
        <w:rPr>
          <w:rStyle w:val="TextoNormalCaracter"/>
        </w:rPr>
      </w:pPr>
      <w:bookmarkStart w:id="1745" w:name="DESCRIPTORALFABETICO96"/>
      <w:r w:rsidRPr="00924F59">
        <w:rPr>
          <w:rStyle w:val="TextoNormalNegritaCaracter"/>
        </w:rPr>
        <w:t>Ordenación del comercio</w:t>
      </w:r>
      <w:bookmarkEnd w:id="1745"/>
      <w:r w:rsidRPr="00924F59">
        <w:rPr>
          <w:rStyle w:val="TextoNormalCaracter"/>
        </w:rPr>
        <w:t xml:space="preserve">, Sentencia </w:t>
      </w:r>
      <w:hyperlink w:anchor="SENTENCIA_2016_59" w:history="1">
        <w:r w:rsidRPr="00924F59">
          <w:rPr>
            <w:rStyle w:val="TextoNormalCaracter"/>
          </w:rPr>
          <w:t>59/2016</w:t>
        </w:r>
      </w:hyperlink>
      <w:r w:rsidRPr="00924F59">
        <w:rPr>
          <w:rStyle w:val="TextoNormalCaracter"/>
        </w:rPr>
        <w:t>, ff. 3 a 5.</w:t>
      </w:r>
    </w:p>
    <w:p w:rsidR="00924F59" w:rsidRPr="00924F59" w:rsidRDefault="00924F59" w:rsidP="00924F59">
      <w:pPr>
        <w:pStyle w:val="TextoNormalSangraFrancesa"/>
        <w:rPr>
          <w:rStyle w:val="TextoNormalCaracter"/>
        </w:rPr>
      </w:pPr>
      <w:bookmarkStart w:id="1746" w:name="DESCRIPTORALFABETICO97"/>
      <w:r w:rsidRPr="00924F59">
        <w:rPr>
          <w:rStyle w:val="TextoNormalNegritaCaracter"/>
        </w:rPr>
        <w:t>Ordenación del sector eléctrico</w:t>
      </w:r>
      <w:bookmarkEnd w:id="1746"/>
      <w:r w:rsidRPr="00924F59">
        <w:rPr>
          <w:rStyle w:val="TextoNormalCaracter"/>
        </w:rPr>
        <w:t xml:space="preserve">, Sentencias </w:t>
      </w:r>
      <w:hyperlink w:anchor="SENTENCIA_2016_19" w:history="1">
        <w:r w:rsidRPr="00924F59">
          <w:rPr>
            <w:rStyle w:val="TextoNormalCaracter"/>
          </w:rPr>
          <w:t>19/2016</w:t>
        </w:r>
      </w:hyperlink>
      <w:r w:rsidRPr="00924F59">
        <w:rPr>
          <w:rStyle w:val="TextoNormalCaracter"/>
        </w:rPr>
        <w:t xml:space="preserve">, f. 1; </w:t>
      </w:r>
      <w:hyperlink w:anchor="SENTENCIA_2016_29" w:history="1">
        <w:r w:rsidRPr="00924F59">
          <w:rPr>
            <w:rStyle w:val="TextoNormalCaracter"/>
          </w:rPr>
          <w:t>29/2016</w:t>
        </w:r>
      </w:hyperlink>
      <w:r w:rsidRPr="00924F59">
        <w:rPr>
          <w:rStyle w:val="TextoNormalCaracter"/>
        </w:rPr>
        <w:t xml:space="preserve">, f. 1; </w:t>
      </w:r>
      <w:hyperlink w:anchor="SENTENCIA_2016_30" w:history="1">
        <w:r w:rsidRPr="00924F59">
          <w:rPr>
            <w:rStyle w:val="TextoNormalCaracter"/>
          </w:rPr>
          <w:t>30/2016</w:t>
        </w:r>
      </w:hyperlink>
      <w:r w:rsidRPr="00924F59">
        <w:rPr>
          <w:rStyle w:val="TextoNormalCaracter"/>
        </w:rPr>
        <w:t xml:space="preserve">, f. 1; </w:t>
      </w:r>
      <w:hyperlink w:anchor="SENTENCIA_2016_42" w:history="1">
        <w:r w:rsidRPr="00924F59">
          <w:rPr>
            <w:rStyle w:val="TextoNormalCaracter"/>
          </w:rPr>
          <w:t>42/2016</w:t>
        </w:r>
      </w:hyperlink>
      <w:r w:rsidRPr="00924F59">
        <w:rPr>
          <w:rStyle w:val="TextoNormalCaracter"/>
        </w:rPr>
        <w:t xml:space="preserve">, f. 1; </w:t>
      </w:r>
      <w:hyperlink w:anchor="SENTENCIA_2016_61" w:history="1">
        <w:r w:rsidRPr="00924F59">
          <w:rPr>
            <w:rStyle w:val="TextoNormalCaracter"/>
          </w:rPr>
          <w:t>61/2016</w:t>
        </w:r>
      </w:hyperlink>
      <w:r w:rsidRPr="00924F59">
        <w:rPr>
          <w:rStyle w:val="TextoNormalCaracter"/>
        </w:rPr>
        <w:t>, f. 1.</w:t>
      </w:r>
    </w:p>
    <w:p w:rsidR="00924F59" w:rsidRPr="00924F59" w:rsidRDefault="00924F59" w:rsidP="00924F59">
      <w:pPr>
        <w:pStyle w:val="TextoNormalSangraFrancesa"/>
        <w:rPr>
          <w:rStyle w:val="TextoNormalCaracter"/>
        </w:rPr>
      </w:pPr>
      <w:bookmarkStart w:id="1747" w:name="DESCRIPTORALFABETICO622"/>
      <w:r w:rsidRPr="00924F59">
        <w:rPr>
          <w:rStyle w:val="TextoNormalNegritaCaracter"/>
        </w:rPr>
        <w:t>Ordenación del territorio</w:t>
      </w:r>
      <w:bookmarkEnd w:id="1747"/>
      <w:r w:rsidRPr="00924F59">
        <w:rPr>
          <w:rStyle w:val="TextoNormalCaracter"/>
        </w:rPr>
        <w:t xml:space="preserve">, Sentencias </w:t>
      </w:r>
      <w:hyperlink w:anchor="SENTENCIA_2016_17" w:history="1">
        <w:r w:rsidRPr="00924F59">
          <w:rPr>
            <w:rStyle w:val="TextoNormalCaracter"/>
          </w:rPr>
          <w:t>17/2016</w:t>
        </w:r>
      </w:hyperlink>
      <w:r w:rsidRPr="00924F59">
        <w:rPr>
          <w:rStyle w:val="TextoNormalCaracter"/>
        </w:rPr>
        <w:t xml:space="preserve">, ff. 3, 4; </w:t>
      </w:r>
      <w:hyperlink w:anchor="SENTENCIA_2016_27" w:history="1">
        <w:r w:rsidRPr="00924F59">
          <w:rPr>
            <w:rStyle w:val="TextoNormalCaracter"/>
          </w:rPr>
          <w:t>27/2016</w:t>
        </w:r>
      </w:hyperlink>
      <w:r w:rsidRPr="00924F59">
        <w:rPr>
          <w:rStyle w:val="TextoNormalCaracter"/>
        </w:rPr>
        <w:t xml:space="preserve">, ff. 1 a 6; </w:t>
      </w:r>
      <w:hyperlink w:anchor="SENTENCIA_2016_57" w:history="1">
        <w:r w:rsidRPr="00924F59">
          <w:rPr>
            <w:rStyle w:val="TextoNormalCaracter"/>
          </w:rPr>
          <w:t>57/2016</w:t>
        </w:r>
      </w:hyperlink>
      <w:r w:rsidRPr="00924F59">
        <w:rPr>
          <w:rStyle w:val="TextoNormalCaracter"/>
        </w:rPr>
        <w:t>, ff. 2 a 6, 8 a 11.</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04" w:history="1">
        <w:r w:rsidRPr="00924F59">
          <w:rPr>
            <w:rStyle w:val="TextoNormalCaracter"/>
          </w:rPr>
          <w:t>104/2016</w:t>
        </w:r>
      </w:hyperlink>
      <w:r w:rsidRPr="00924F59">
        <w:rPr>
          <w:rStyle w:val="TextoNormalCaracter"/>
        </w:rPr>
        <w:t>, ff. 1, 3.</w:t>
      </w:r>
    </w:p>
    <w:p w:rsidR="00924F59" w:rsidRPr="00924F59" w:rsidRDefault="00924F59" w:rsidP="00924F59">
      <w:pPr>
        <w:pStyle w:val="TextoNormalSangraFrancesa"/>
        <w:rPr>
          <w:rStyle w:val="TextoNormalCaracter"/>
        </w:rPr>
      </w:pPr>
      <w:bookmarkStart w:id="1748" w:name="DESCRIPTORALFABETICO94"/>
      <w:r w:rsidRPr="00924F59">
        <w:rPr>
          <w:rStyle w:val="TextoNormalNegritaCaracter"/>
        </w:rPr>
        <w:t>Ordenación general de la economía</w:t>
      </w:r>
      <w:bookmarkEnd w:id="1748"/>
      <w:r w:rsidRPr="00924F59">
        <w:rPr>
          <w:rStyle w:val="TextoNormalCaracter"/>
        </w:rPr>
        <w:t xml:space="preserve">, Sentencias </w:t>
      </w:r>
      <w:hyperlink w:anchor="SENTENCIA_2016_5" w:history="1">
        <w:r w:rsidRPr="00924F59">
          <w:rPr>
            <w:rStyle w:val="TextoNormalCaracter"/>
          </w:rPr>
          <w:t>5/2016</w:t>
        </w:r>
      </w:hyperlink>
      <w:r w:rsidRPr="00924F59">
        <w:rPr>
          <w:rStyle w:val="TextoNormalCaracter"/>
        </w:rPr>
        <w:t xml:space="preserve">, f. 4; </w:t>
      </w:r>
      <w:hyperlink w:anchor="SENTENCIA_2016_17" w:history="1">
        <w:r w:rsidRPr="00924F59">
          <w:rPr>
            <w:rStyle w:val="TextoNormalCaracter"/>
          </w:rPr>
          <w:t>17/2016</w:t>
        </w:r>
      </w:hyperlink>
      <w:r w:rsidRPr="00924F59">
        <w:rPr>
          <w:rStyle w:val="TextoNormalCaracter"/>
        </w:rPr>
        <w:t xml:space="preserve">, f. 4; </w:t>
      </w:r>
      <w:hyperlink w:anchor="SENTENCIA_2016_59" w:history="1">
        <w:r w:rsidRPr="00924F59">
          <w:rPr>
            <w:rStyle w:val="TextoNormalCaracter"/>
          </w:rPr>
          <w:t>59/2016</w:t>
        </w:r>
      </w:hyperlink>
      <w:r w:rsidRPr="00924F59">
        <w:rPr>
          <w:rStyle w:val="TextoNormalCaracter"/>
        </w:rPr>
        <w:t xml:space="preserve">, ff. 3 a 5; </w:t>
      </w:r>
      <w:hyperlink w:anchor="SENTENCIA_2016_119" w:history="1">
        <w:r w:rsidRPr="00924F59">
          <w:rPr>
            <w:rStyle w:val="TextoNormalCaracter"/>
          </w:rPr>
          <w:t>119/2016</w:t>
        </w:r>
      </w:hyperlink>
      <w:r w:rsidRPr="00924F59">
        <w:rPr>
          <w:rStyle w:val="TextoNormalCaracter"/>
        </w:rPr>
        <w:t xml:space="preserve">, ff. 5, 6; </w:t>
      </w:r>
      <w:hyperlink w:anchor="SENTENCIA_2016_120" w:history="1">
        <w:r w:rsidRPr="00924F59">
          <w:rPr>
            <w:rStyle w:val="TextoNormalCaracter"/>
          </w:rPr>
          <w:t>120/2016</w:t>
        </w:r>
      </w:hyperlink>
      <w:r w:rsidRPr="00924F59">
        <w:rPr>
          <w:rStyle w:val="TextoNormalCaracter"/>
        </w:rPr>
        <w:t>, ff. 3, 5 a 11.</w:t>
      </w:r>
    </w:p>
    <w:p w:rsidR="00924F59" w:rsidRPr="00924F59" w:rsidRDefault="00924F59" w:rsidP="00924F59">
      <w:pPr>
        <w:pStyle w:val="TextoNormalSangraFrancesa"/>
        <w:rPr>
          <w:rStyle w:val="TextoNormalCaracter"/>
        </w:rPr>
      </w:pPr>
      <w:bookmarkStart w:id="1749" w:name="DESCRIPTORALFABETICO358"/>
      <w:r w:rsidRPr="00924F59">
        <w:rPr>
          <w:rStyle w:val="TextoNormalNegritaCaracter"/>
        </w:rPr>
        <w:t>Organización de la Administración autonómica</w:t>
      </w:r>
      <w:bookmarkEnd w:id="1749"/>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ff. 7 c), 8.</w:t>
      </w:r>
    </w:p>
    <w:p w:rsidR="00924F59" w:rsidRPr="00924F59" w:rsidRDefault="00924F59" w:rsidP="00924F59">
      <w:pPr>
        <w:pStyle w:val="TextoNormalSangraFrancesa"/>
        <w:rPr>
          <w:rStyle w:val="TextoNormalCaracter"/>
        </w:rPr>
      </w:pPr>
      <w:bookmarkStart w:id="1750" w:name="DESCRIPTORALFABETICO359"/>
      <w:r w:rsidRPr="00924F59">
        <w:rPr>
          <w:rStyle w:val="TextoNormalNegritaCaracter"/>
        </w:rPr>
        <w:t>Organización de las instituciones de autogobierno</w:t>
      </w:r>
      <w:bookmarkEnd w:id="1750"/>
      <w:r w:rsidRPr="00924F59">
        <w:rPr>
          <w:rStyle w:val="TextoNormalCaracter"/>
        </w:rPr>
        <w:t xml:space="preserve">, Sentencia </w:t>
      </w:r>
      <w:hyperlink w:anchor="SENTENCIA_2016_18" w:history="1">
        <w:r w:rsidRPr="00924F59">
          <w:rPr>
            <w:rStyle w:val="TextoNormalCaracter"/>
          </w:rPr>
          <w:t>18/2016</w:t>
        </w:r>
      </w:hyperlink>
      <w:r w:rsidRPr="00924F59">
        <w:rPr>
          <w:rStyle w:val="TextoNormalCaracter"/>
        </w:rPr>
        <w:t>, f. 6.</w:t>
      </w:r>
    </w:p>
    <w:p w:rsidR="00924F59" w:rsidRPr="00924F59" w:rsidRDefault="00924F59" w:rsidP="00924F59">
      <w:pPr>
        <w:pStyle w:val="TextoNormalSangraFrancesa"/>
        <w:rPr>
          <w:rStyle w:val="TextoNormalCaracter"/>
        </w:rPr>
      </w:pPr>
      <w:bookmarkStart w:id="1751" w:name="DESCRIPTORALFABETICO449"/>
      <w:r w:rsidRPr="00924F59">
        <w:rPr>
          <w:rStyle w:val="TextoNormalNegritaCaracter"/>
        </w:rPr>
        <w:t>Organización territorial del Estado</w:t>
      </w:r>
      <w:bookmarkEnd w:id="1751"/>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ff. 5, 13 c).</w:t>
      </w:r>
    </w:p>
    <w:p w:rsidR="00924F59" w:rsidRPr="00924F59" w:rsidRDefault="00924F59" w:rsidP="00924F59">
      <w:pPr>
        <w:pStyle w:val="TextoNormalSangraFrancesa"/>
        <w:rPr>
          <w:rStyle w:val="TextoNormalCaracter"/>
        </w:rPr>
      </w:pPr>
      <w:bookmarkStart w:id="1752" w:name="DESCRIPTORALFABETICO456"/>
      <w:r w:rsidRPr="00924F59">
        <w:rPr>
          <w:rStyle w:val="TextoNormalNegritaCaracter"/>
        </w:rPr>
        <w:t>Órganos de gobierno de las corporaciones locales</w:t>
      </w:r>
      <w:bookmarkEnd w:id="1752"/>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ff. 3, 8, VP.</w:t>
      </w:r>
    </w:p>
    <w:p w:rsidR="00924F59" w:rsidRPr="00924F59" w:rsidRDefault="00924F59" w:rsidP="00924F59">
      <w:pPr>
        <w:pStyle w:val="TextoNormalSangraFrancesa"/>
        <w:rPr>
          <w:rStyle w:val="TextoNormalCaracter"/>
        </w:rPr>
      </w:pPr>
      <w:bookmarkStart w:id="1753" w:name="DESCRIPTORALFABETICO468"/>
      <w:r w:rsidRPr="00924F59">
        <w:rPr>
          <w:rStyle w:val="TextoNormalNegritaCaracter"/>
        </w:rPr>
        <w:t>Órganos representativos de los entes locales</w:t>
      </w:r>
      <w:bookmarkEnd w:id="1753"/>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 8, VP.</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P</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754" w:name="DESCRIPTORALFABETICO790"/>
      <w:r w:rsidRPr="00924F59">
        <w:rPr>
          <w:rStyle w:val="TextoNormalNegritaCaracter"/>
        </w:rPr>
        <w:t>Pagas extraordinarias</w:t>
      </w:r>
      <w:bookmarkEnd w:id="1754"/>
      <w:r w:rsidRPr="00924F59">
        <w:rPr>
          <w:rStyle w:val="TextoNormalCaracter"/>
        </w:rPr>
        <w:t xml:space="preserve">, Sentencias </w:t>
      </w:r>
      <w:hyperlink w:anchor="SENTENCIA_2016_1" w:history="1">
        <w:r w:rsidRPr="00924F59">
          <w:rPr>
            <w:rStyle w:val="TextoNormalCaracter"/>
          </w:rPr>
          <w:t>1/2016</w:t>
        </w:r>
      </w:hyperlink>
      <w:r w:rsidRPr="00924F59">
        <w:rPr>
          <w:rStyle w:val="TextoNormalCaracter"/>
        </w:rPr>
        <w:t xml:space="preserve">, f. 3; </w:t>
      </w:r>
      <w:hyperlink w:anchor="SENTENCIA_2016_2" w:history="1">
        <w:r w:rsidRPr="00924F59">
          <w:rPr>
            <w:rStyle w:val="TextoNormalCaracter"/>
          </w:rPr>
          <w:t>2/2016</w:t>
        </w:r>
      </w:hyperlink>
      <w:r w:rsidRPr="00924F59">
        <w:rPr>
          <w:rStyle w:val="TextoNormalCaracter"/>
        </w:rPr>
        <w:t xml:space="preserve">, f. 2; </w:t>
      </w:r>
      <w:hyperlink w:anchor="SENTENCIA_2016_4" w:history="1">
        <w:r w:rsidRPr="00924F59">
          <w:rPr>
            <w:rStyle w:val="TextoNormalCaracter"/>
          </w:rPr>
          <w:t>4/2016</w:t>
        </w:r>
      </w:hyperlink>
      <w:r w:rsidRPr="00924F59">
        <w:rPr>
          <w:rStyle w:val="TextoNormalCaracter"/>
        </w:rPr>
        <w:t xml:space="preserve">, f.2; </w:t>
      </w:r>
      <w:hyperlink w:anchor="SENTENCIA_2016_18" w:history="1">
        <w:r w:rsidRPr="00924F59">
          <w:rPr>
            <w:rStyle w:val="TextoNormalCaracter"/>
          </w:rPr>
          <w:t>18/2016</w:t>
        </w:r>
      </w:hyperlink>
      <w:r w:rsidRPr="00924F59">
        <w:rPr>
          <w:rStyle w:val="TextoNormalCaracter"/>
        </w:rPr>
        <w:t xml:space="preserve">, f. 6; </w:t>
      </w:r>
      <w:hyperlink w:anchor="SENTENCIA_2016_43" w:history="1">
        <w:r w:rsidRPr="00924F59">
          <w:rPr>
            <w:rStyle w:val="TextoNormalCaracter"/>
          </w:rPr>
          <w:t>43/2016</w:t>
        </w:r>
      </w:hyperlink>
      <w:r w:rsidRPr="00924F59">
        <w:rPr>
          <w:rStyle w:val="TextoNormalCaracter"/>
        </w:rPr>
        <w:t xml:space="preserve">, ff. 2, 3; </w:t>
      </w:r>
      <w:hyperlink w:anchor="SENTENCIA_2016_46" w:history="1">
        <w:r w:rsidRPr="00924F59">
          <w:rPr>
            <w:rStyle w:val="TextoNormalCaracter"/>
          </w:rPr>
          <w:t>46/2016</w:t>
        </w:r>
      </w:hyperlink>
      <w:r w:rsidRPr="00924F59">
        <w:rPr>
          <w:rStyle w:val="TextoNormalCaracter"/>
        </w:rPr>
        <w:t xml:space="preserve">, ff. 2, 3; </w:t>
      </w:r>
      <w:hyperlink w:anchor="SENTENCIA_2016_47" w:history="1">
        <w:r w:rsidRPr="00924F59">
          <w:rPr>
            <w:rStyle w:val="TextoNormalCaracter"/>
          </w:rPr>
          <w:t>47/2016</w:t>
        </w:r>
      </w:hyperlink>
      <w:r w:rsidRPr="00924F59">
        <w:rPr>
          <w:rStyle w:val="TextoNormalCaracter"/>
        </w:rPr>
        <w:t xml:space="preserve">, ff. 2, 3; </w:t>
      </w:r>
      <w:hyperlink w:anchor="SENTENCIA_2016_52" w:history="1">
        <w:r w:rsidRPr="00924F59">
          <w:rPr>
            <w:rStyle w:val="TextoNormalCaracter"/>
          </w:rPr>
          <w:t>52/2016</w:t>
        </w:r>
      </w:hyperlink>
      <w:r w:rsidRPr="00924F59">
        <w:rPr>
          <w:rStyle w:val="TextoNormalCaracter"/>
        </w:rPr>
        <w:t xml:space="preserve">, ff. 2, 3; </w:t>
      </w:r>
      <w:hyperlink w:anchor="SENTENCIA_2016_79" w:history="1">
        <w:r w:rsidRPr="00924F59">
          <w:rPr>
            <w:rStyle w:val="TextoNormalCaracter"/>
          </w:rPr>
          <w:t>79/2016</w:t>
        </w:r>
      </w:hyperlink>
      <w:r w:rsidRPr="00924F59">
        <w:rPr>
          <w:rStyle w:val="TextoNormalCaracter"/>
        </w:rPr>
        <w:t xml:space="preserve">, ff. 1, 2; </w:t>
      </w:r>
      <w:hyperlink w:anchor="SENTENCIA_2016_80" w:history="1">
        <w:r w:rsidRPr="00924F59">
          <w:rPr>
            <w:rStyle w:val="TextoNormalCaracter"/>
          </w:rPr>
          <w:t>80/2016</w:t>
        </w:r>
      </w:hyperlink>
      <w:r w:rsidRPr="00924F59">
        <w:rPr>
          <w:rStyle w:val="TextoNormalCaracter"/>
        </w:rPr>
        <w:t xml:space="preserve">, ff. 1 a 3; </w:t>
      </w:r>
      <w:hyperlink w:anchor="SENTENCIA_2016_90" w:history="1">
        <w:r w:rsidRPr="00924F59">
          <w:rPr>
            <w:rStyle w:val="TextoNormalCaracter"/>
          </w:rPr>
          <w:t>90/2016</w:t>
        </w:r>
      </w:hyperlink>
      <w:r w:rsidRPr="00924F59">
        <w:rPr>
          <w:rStyle w:val="TextoNormalCaracter"/>
        </w:rPr>
        <w:t xml:space="preserve">, ff. 2, 3; </w:t>
      </w:r>
      <w:hyperlink w:anchor="SENTENCIA_2016_97" w:history="1">
        <w:r w:rsidRPr="00924F59">
          <w:rPr>
            <w:rStyle w:val="TextoNormalCaracter"/>
          </w:rPr>
          <w:t>97/2016</w:t>
        </w:r>
      </w:hyperlink>
      <w:r w:rsidRPr="00924F59">
        <w:rPr>
          <w:rStyle w:val="TextoNormalCaracter"/>
        </w:rPr>
        <w:t xml:space="preserve">, ff. 1, 2; </w:t>
      </w:r>
      <w:hyperlink w:anchor="SENTENCIA_2016_104" w:history="1">
        <w:r w:rsidRPr="00924F59">
          <w:rPr>
            <w:rStyle w:val="TextoNormalCaracter"/>
          </w:rPr>
          <w:t>104/2016</w:t>
        </w:r>
      </w:hyperlink>
      <w:r w:rsidRPr="00924F59">
        <w:rPr>
          <w:rStyle w:val="TextoNormalCaracter"/>
        </w:rPr>
        <w:t xml:space="preserve">, ff. 1, 2; </w:t>
      </w:r>
      <w:hyperlink w:anchor="SENTENCIA_2016_106" w:history="1">
        <w:r w:rsidRPr="00924F59">
          <w:rPr>
            <w:rStyle w:val="TextoNormalCaracter"/>
          </w:rPr>
          <w:t>106/2016</w:t>
        </w:r>
      </w:hyperlink>
      <w:r w:rsidRPr="00924F59">
        <w:rPr>
          <w:rStyle w:val="TextoNormalCaracter"/>
        </w:rPr>
        <w:t xml:space="preserve">, ff. 1, 2; </w:t>
      </w:r>
      <w:hyperlink w:anchor="SENTENCIA_2016_119" w:history="1">
        <w:r w:rsidRPr="00924F59">
          <w:rPr>
            <w:rStyle w:val="TextoNormalCaracter"/>
          </w:rPr>
          <w:t>119/2016</w:t>
        </w:r>
      </w:hyperlink>
      <w:r w:rsidRPr="00924F59">
        <w:rPr>
          <w:rStyle w:val="TextoNormalCaracter"/>
        </w:rPr>
        <w:t>, f. 3.</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71" w:history="1">
        <w:r w:rsidRPr="00924F59">
          <w:rPr>
            <w:rStyle w:val="TextoNormalCaracter"/>
          </w:rPr>
          <w:t>71/2016</w:t>
        </w:r>
      </w:hyperlink>
      <w:r w:rsidRPr="00924F59">
        <w:rPr>
          <w:rStyle w:val="TextoNormalCaracter"/>
        </w:rPr>
        <w:t>, ff. 1 a 5.</w:t>
      </w:r>
    </w:p>
    <w:p w:rsidR="00924F59" w:rsidRPr="00924F59" w:rsidRDefault="00924F59" w:rsidP="00924F59">
      <w:pPr>
        <w:pStyle w:val="TextoNormalSangraFrancesa"/>
        <w:rPr>
          <w:rStyle w:val="TextoNormalCaracter"/>
        </w:rPr>
      </w:pPr>
      <w:bookmarkStart w:id="1755" w:name="DESCRIPTORALFABETICO401"/>
      <w:r w:rsidRPr="00924F59">
        <w:rPr>
          <w:rStyle w:val="TextoNormalNegritaCaracter"/>
        </w:rPr>
        <w:t>Parlamento de Cataluña</w:t>
      </w:r>
      <w:bookmarkEnd w:id="1755"/>
      <w:r w:rsidRPr="00924F59">
        <w:rPr>
          <w:rStyle w:val="TextoNormalCaracter"/>
        </w:rPr>
        <w:t xml:space="preserve">, Sentencias </w:t>
      </w:r>
      <w:hyperlink w:anchor="SENTENCIA_2016_107" w:history="1">
        <w:r w:rsidRPr="00924F59">
          <w:rPr>
            <w:rStyle w:val="TextoNormalCaracter"/>
          </w:rPr>
          <w:t>107/2016</w:t>
        </w:r>
      </w:hyperlink>
      <w:r w:rsidRPr="00924F59">
        <w:rPr>
          <w:rStyle w:val="TextoNormalCaracter"/>
        </w:rPr>
        <w:t xml:space="preserve">, ff. 1 a 4; </w:t>
      </w:r>
      <w:hyperlink w:anchor="SENTENCIA_2016_108" w:history="1">
        <w:r w:rsidRPr="00924F59">
          <w:rPr>
            <w:rStyle w:val="TextoNormalCaracter"/>
          </w:rPr>
          <w:t>108/2016</w:t>
        </w:r>
      </w:hyperlink>
      <w:r w:rsidRPr="00924F59">
        <w:rPr>
          <w:rStyle w:val="TextoNormalCaracter"/>
        </w:rPr>
        <w:t xml:space="preserve">, ff. 1 a 4; </w:t>
      </w:r>
      <w:hyperlink w:anchor="SENTENCIA_2016_109" w:history="1">
        <w:r w:rsidRPr="00924F59">
          <w:rPr>
            <w:rStyle w:val="TextoNormalCaracter"/>
          </w:rPr>
          <w:t>109/2016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756" w:name="DESCRIPTORALFABETICO80"/>
      <w:r w:rsidRPr="00924F59">
        <w:rPr>
          <w:rStyle w:val="TextoNormalNegritaCaracter"/>
        </w:rPr>
        <w:t>Participación de las Comunidades Autónomas en los ingresos del Estado</w:t>
      </w:r>
      <w:bookmarkEnd w:id="1756"/>
      <w:r w:rsidRPr="00924F59">
        <w:rPr>
          <w:rStyle w:val="TextoNormalCaracter"/>
        </w:rPr>
        <w:t xml:space="preserve">, Sentencia </w:t>
      </w:r>
      <w:hyperlink w:anchor="SENTENCIA_2016_96" w:history="1">
        <w:r w:rsidRPr="00924F59">
          <w:rPr>
            <w:rStyle w:val="TextoNormalCaracter"/>
          </w:rPr>
          <w:t>96/2016</w:t>
        </w:r>
      </w:hyperlink>
      <w:r w:rsidRPr="00924F59">
        <w:rPr>
          <w:rStyle w:val="TextoNormalCaracter"/>
        </w:rPr>
        <w:t>, ff. 2 a), 4.</w:t>
      </w:r>
    </w:p>
    <w:p w:rsidR="00924F59" w:rsidRPr="00924F59" w:rsidRDefault="00924F59" w:rsidP="00924F59">
      <w:pPr>
        <w:pStyle w:val="TextoNormalSangraFrancesa"/>
        <w:rPr>
          <w:rStyle w:val="TextoNormalCaracter"/>
        </w:rPr>
      </w:pPr>
      <w:bookmarkStart w:id="1757" w:name="DESCRIPTORALFABETICO162"/>
      <w:r w:rsidRPr="00924F59">
        <w:rPr>
          <w:rStyle w:val="TextoNormalNegritaCaracter"/>
        </w:rPr>
        <w:t>Participación política</w:t>
      </w:r>
      <w:bookmarkEnd w:id="1757"/>
      <w:r w:rsidRPr="00924F59">
        <w:rPr>
          <w:rStyle w:val="TextoNormalCaracter"/>
        </w:rPr>
        <w:t xml:space="preserve">, Sentencias </w:t>
      </w:r>
      <w:hyperlink w:anchor="SENTENCIA_2016_107" w:history="1">
        <w:r w:rsidRPr="00924F59">
          <w:rPr>
            <w:rStyle w:val="TextoNormalCaracter"/>
          </w:rPr>
          <w:t>107/2016</w:t>
        </w:r>
      </w:hyperlink>
      <w:r w:rsidRPr="00924F59">
        <w:rPr>
          <w:rStyle w:val="TextoNormalCaracter"/>
        </w:rPr>
        <w:t xml:space="preserve">, ff. 1, 3, 4; </w:t>
      </w:r>
      <w:hyperlink w:anchor="SENTENCIA_2016_108" w:history="1">
        <w:r w:rsidRPr="00924F59">
          <w:rPr>
            <w:rStyle w:val="TextoNormalCaracter"/>
          </w:rPr>
          <w:t>108/2016</w:t>
        </w:r>
      </w:hyperlink>
      <w:r w:rsidRPr="00924F59">
        <w:rPr>
          <w:rStyle w:val="TextoNormalCaracter"/>
        </w:rPr>
        <w:t xml:space="preserve">, ff. 1, 3, 4; </w:t>
      </w:r>
      <w:hyperlink w:anchor="SENTENCIA_2016_109" w:history="1">
        <w:r w:rsidRPr="00924F59">
          <w:rPr>
            <w:rStyle w:val="TextoNormalCaracter"/>
          </w:rPr>
          <w:t>109/2016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758" w:name="DESCRIPTORALFABETICO758"/>
      <w:r w:rsidRPr="00924F59">
        <w:rPr>
          <w:rStyle w:val="TextoNormalNegritaCaracter"/>
        </w:rPr>
        <w:t>Pensión de viudedad</w:t>
      </w:r>
      <w:bookmarkEnd w:id="1758"/>
      <w:r w:rsidRPr="00924F59">
        <w:rPr>
          <w:rStyle w:val="TextoNormalCaracter"/>
        </w:rPr>
        <w:t xml:space="preserve">, Sentencia </w:t>
      </w:r>
      <w:hyperlink w:anchor="SENTENCIA_2016_81" w:history="1">
        <w:r w:rsidRPr="00924F59">
          <w:rPr>
            <w:rStyle w:val="TextoNormalCaracter"/>
          </w:rPr>
          <w:t>81/2016</w:t>
        </w:r>
      </w:hyperlink>
      <w:r w:rsidRPr="00924F59">
        <w:rPr>
          <w:rStyle w:val="TextoNormalCaracter"/>
        </w:rPr>
        <w:t>, ff. 1 a 3.</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ff. 4, VP.</w:t>
      </w:r>
    </w:p>
    <w:p w:rsidR="00924F59" w:rsidRPr="00924F59" w:rsidRDefault="00924F59" w:rsidP="00924F59">
      <w:pPr>
        <w:pStyle w:val="TextoNormalSangraFrancesa"/>
        <w:rPr>
          <w:rStyle w:val="TextoNormalCaracter"/>
        </w:rPr>
      </w:pPr>
      <w:bookmarkStart w:id="1759" w:name="DESCRIPTORALFABETICO311"/>
      <w:r w:rsidRPr="00924F59">
        <w:rPr>
          <w:rStyle w:val="TextoNormalNegritaCaracter"/>
        </w:rPr>
        <w:t>Pérdida parcial de objeto del recurso de inconstitucionalidad</w:t>
      </w:r>
      <w:bookmarkEnd w:id="1759"/>
      <w:r w:rsidRPr="00924F59">
        <w:rPr>
          <w:rStyle w:val="TextoNormalCaracter"/>
        </w:rPr>
        <w:t xml:space="preserve">, Sentencias </w:t>
      </w:r>
      <w:hyperlink w:anchor="SENTENCIA_2016_55" w:history="1">
        <w:r w:rsidRPr="00924F59">
          <w:rPr>
            <w:rStyle w:val="TextoNormalCaracter"/>
          </w:rPr>
          <w:t>55/2016</w:t>
        </w:r>
      </w:hyperlink>
      <w:r w:rsidRPr="00924F59">
        <w:rPr>
          <w:rStyle w:val="TextoNormalCaracter"/>
        </w:rPr>
        <w:t xml:space="preserve">, f. 3; </w:t>
      </w:r>
      <w:hyperlink w:anchor="SENTENCIA_2016_100" w:history="1">
        <w:r w:rsidRPr="00924F59">
          <w:rPr>
            <w:rStyle w:val="TextoNormalCaracter"/>
          </w:rPr>
          <w:t>100/2016</w:t>
        </w:r>
      </w:hyperlink>
      <w:r w:rsidRPr="00924F59">
        <w:rPr>
          <w:rStyle w:val="TextoNormalCaracter"/>
        </w:rPr>
        <w:t>, f. 2 a).</w:t>
      </w:r>
    </w:p>
    <w:p w:rsidR="00924F59" w:rsidRPr="00924F59" w:rsidRDefault="00924F59" w:rsidP="00924F59">
      <w:pPr>
        <w:pStyle w:val="TextoNormalSangraFrancesa"/>
        <w:rPr>
          <w:rStyle w:val="TextoNormalCaracter"/>
        </w:rPr>
      </w:pPr>
      <w:bookmarkStart w:id="1760" w:name="DESCRIPTORALFABETICO290"/>
      <w:r w:rsidRPr="00924F59">
        <w:rPr>
          <w:rStyle w:val="TextoNormalNegritaCaracter"/>
        </w:rPr>
        <w:t>Pérdida sobrevenida de objeto de la cuestión de inconstitucionalidad</w:t>
      </w:r>
      <w:bookmarkEnd w:id="1760"/>
      <w:r w:rsidRPr="00924F59">
        <w:rPr>
          <w:rStyle w:val="TextoNormalCaracter"/>
        </w:rPr>
        <w:t xml:space="preserve">, Sentencias </w:t>
      </w:r>
      <w:hyperlink w:anchor="SENTENCIA_2016_2" w:history="1">
        <w:r w:rsidRPr="00924F59">
          <w:rPr>
            <w:rStyle w:val="TextoNormalCaracter"/>
          </w:rPr>
          <w:t>2/2016</w:t>
        </w:r>
      </w:hyperlink>
      <w:r w:rsidRPr="00924F59">
        <w:rPr>
          <w:rStyle w:val="TextoNormalCaracter"/>
        </w:rPr>
        <w:t xml:space="preserve">, f. 3; </w:t>
      </w:r>
      <w:hyperlink w:anchor="SENTENCIA_2016_4" w:history="1">
        <w:r w:rsidRPr="00924F59">
          <w:rPr>
            <w:rStyle w:val="TextoNormalCaracter"/>
          </w:rPr>
          <w:t>4/2016</w:t>
        </w:r>
      </w:hyperlink>
      <w:r w:rsidRPr="00924F59">
        <w:rPr>
          <w:rStyle w:val="TextoNormalCaracter"/>
        </w:rPr>
        <w:t xml:space="preserve">, f. 3; </w:t>
      </w:r>
      <w:hyperlink w:anchor="SENTENCIA_2016_43" w:history="1">
        <w:r w:rsidRPr="00924F59">
          <w:rPr>
            <w:rStyle w:val="TextoNormalCaracter"/>
          </w:rPr>
          <w:t>43/2016</w:t>
        </w:r>
      </w:hyperlink>
      <w:r w:rsidRPr="00924F59">
        <w:rPr>
          <w:rStyle w:val="TextoNormalCaracter"/>
        </w:rPr>
        <w:t xml:space="preserve">, f. 3; </w:t>
      </w:r>
      <w:hyperlink w:anchor="SENTENCIA_2016_46" w:history="1">
        <w:r w:rsidRPr="00924F59">
          <w:rPr>
            <w:rStyle w:val="TextoNormalCaracter"/>
          </w:rPr>
          <w:t>46/2016</w:t>
        </w:r>
      </w:hyperlink>
      <w:r w:rsidRPr="00924F59">
        <w:rPr>
          <w:rStyle w:val="TextoNormalCaracter"/>
        </w:rPr>
        <w:t xml:space="preserve">, f. 3; </w:t>
      </w:r>
      <w:hyperlink w:anchor="SENTENCIA_2016_47" w:history="1">
        <w:r w:rsidRPr="00924F59">
          <w:rPr>
            <w:rStyle w:val="TextoNormalCaracter"/>
          </w:rPr>
          <w:t>47/2016</w:t>
        </w:r>
      </w:hyperlink>
      <w:r w:rsidRPr="00924F59">
        <w:rPr>
          <w:rStyle w:val="TextoNormalCaracter"/>
        </w:rPr>
        <w:t xml:space="preserve">, f. 4; </w:t>
      </w:r>
      <w:hyperlink w:anchor="SENTENCIA_2016_52" w:history="1">
        <w:r w:rsidRPr="00924F59">
          <w:rPr>
            <w:rStyle w:val="TextoNormalCaracter"/>
          </w:rPr>
          <w:t>52/2016</w:t>
        </w:r>
      </w:hyperlink>
      <w:r w:rsidRPr="00924F59">
        <w:rPr>
          <w:rStyle w:val="TextoNormalCaracter"/>
        </w:rPr>
        <w:t xml:space="preserve">, f. 3; </w:t>
      </w:r>
      <w:hyperlink w:anchor="SENTENCIA_2016_79" w:history="1">
        <w:r w:rsidRPr="00924F59">
          <w:rPr>
            <w:rStyle w:val="TextoNormalCaracter"/>
          </w:rPr>
          <w:t>79/2016</w:t>
        </w:r>
      </w:hyperlink>
      <w:r w:rsidRPr="00924F59">
        <w:rPr>
          <w:rStyle w:val="TextoNormalCaracter"/>
        </w:rPr>
        <w:t xml:space="preserve">, f. 2; </w:t>
      </w:r>
      <w:hyperlink w:anchor="SENTENCIA_2016_80" w:history="1">
        <w:r w:rsidRPr="00924F59">
          <w:rPr>
            <w:rStyle w:val="TextoNormalCaracter"/>
          </w:rPr>
          <w:t>80/2016</w:t>
        </w:r>
      </w:hyperlink>
      <w:r w:rsidRPr="00924F59">
        <w:rPr>
          <w:rStyle w:val="TextoNormalCaracter"/>
        </w:rPr>
        <w:t xml:space="preserve">, f. 3; </w:t>
      </w:r>
      <w:hyperlink w:anchor="SENTENCIA_2016_90" w:history="1">
        <w:r w:rsidRPr="00924F59">
          <w:rPr>
            <w:rStyle w:val="TextoNormalCaracter"/>
          </w:rPr>
          <w:t>90/2016</w:t>
        </w:r>
      </w:hyperlink>
      <w:r w:rsidRPr="00924F59">
        <w:rPr>
          <w:rStyle w:val="TextoNormalCaracter"/>
        </w:rPr>
        <w:t xml:space="preserve">, f. 4; </w:t>
      </w:r>
      <w:hyperlink w:anchor="SENTENCIA_2016_97" w:history="1">
        <w:r w:rsidRPr="00924F59">
          <w:rPr>
            <w:rStyle w:val="TextoNormalCaracter"/>
          </w:rPr>
          <w:t>97/2016</w:t>
        </w:r>
      </w:hyperlink>
      <w:r w:rsidRPr="00924F59">
        <w:rPr>
          <w:rStyle w:val="TextoNormalCaracter"/>
        </w:rPr>
        <w:t xml:space="preserve">, f. 2; </w:t>
      </w:r>
      <w:hyperlink w:anchor="SENTENCIA_2016_104" w:history="1">
        <w:r w:rsidRPr="00924F59">
          <w:rPr>
            <w:rStyle w:val="TextoNormalCaracter"/>
          </w:rPr>
          <w:t>104/2016</w:t>
        </w:r>
      </w:hyperlink>
      <w:r w:rsidRPr="00924F59">
        <w:rPr>
          <w:rStyle w:val="TextoNormalCaracter"/>
        </w:rPr>
        <w:t xml:space="preserve">, f. 2; </w:t>
      </w:r>
      <w:hyperlink w:anchor="SENTENCIA_2016_106" w:history="1">
        <w:r w:rsidRPr="00924F59">
          <w:rPr>
            <w:rStyle w:val="TextoNormalCaracter"/>
          </w:rPr>
          <w:t>106/2016</w:t>
        </w:r>
      </w:hyperlink>
      <w:r w:rsidRPr="00924F59">
        <w:rPr>
          <w:rStyle w:val="TextoNormalCaracter"/>
        </w:rPr>
        <w:t>, f. 2.</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5" w:history="1">
        <w:r w:rsidRPr="00924F59">
          <w:rPr>
            <w:rStyle w:val="TextoNormalCaracter"/>
          </w:rPr>
          <w:t>5/2016</w:t>
        </w:r>
      </w:hyperlink>
      <w:r w:rsidRPr="00924F59">
        <w:rPr>
          <w:rStyle w:val="TextoNormalCaracter"/>
        </w:rPr>
        <w:t xml:space="preserve">, f. único; </w:t>
      </w:r>
      <w:hyperlink w:anchor="AUTO_2016_6" w:history="1">
        <w:r w:rsidRPr="00924F59">
          <w:rPr>
            <w:rStyle w:val="TextoNormalCaracter"/>
          </w:rPr>
          <w:t>6/2016</w:t>
        </w:r>
      </w:hyperlink>
      <w:r w:rsidRPr="00924F59">
        <w:rPr>
          <w:rStyle w:val="TextoNormalCaracter"/>
        </w:rPr>
        <w:t xml:space="preserve">, f. 5; </w:t>
      </w:r>
      <w:hyperlink w:anchor="AUTO_2016_7" w:history="1">
        <w:r w:rsidRPr="00924F59">
          <w:rPr>
            <w:rStyle w:val="TextoNormalCaracter"/>
          </w:rPr>
          <w:t>7/2016</w:t>
        </w:r>
      </w:hyperlink>
      <w:r w:rsidRPr="00924F59">
        <w:rPr>
          <w:rStyle w:val="TextoNormalCaracter"/>
        </w:rPr>
        <w:t xml:space="preserve">, f. 5; </w:t>
      </w:r>
      <w:hyperlink w:anchor="AUTO_2016_8" w:history="1">
        <w:r w:rsidRPr="00924F59">
          <w:rPr>
            <w:rStyle w:val="TextoNormalCaracter"/>
          </w:rPr>
          <w:t>8/2016</w:t>
        </w:r>
      </w:hyperlink>
      <w:r w:rsidRPr="00924F59">
        <w:rPr>
          <w:rStyle w:val="TextoNormalCaracter"/>
        </w:rPr>
        <w:t xml:space="preserve">, f. 5; </w:t>
      </w:r>
      <w:hyperlink w:anchor="AUTO_2016_10" w:history="1">
        <w:r w:rsidRPr="00924F59">
          <w:rPr>
            <w:rStyle w:val="TextoNormalCaracter"/>
          </w:rPr>
          <w:t>10/2016</w:t>
        </w:r>
      </w:hyperlink>
      <w:r w:rsidRPr="00924F59">
        <w:rPr>
          <w:rStyle w:val="TextoNormalCaracter"/>
        </w:rPr>
        <w:t xml:space="preserve">, f. 5; </w:t>
      </w:r>
      <w:hyperlink w:anchor="AUTO_2016_73" w:history="1">
        <w:r w:rsidRPr="00924F59">
          <w:rPr>
            <w:rStyle w:val="TextoNormalCaracter"/>
          </w:rPr>
          <w:t>73/2016</w:t>
        </w:r>
      </w:hyperlink>
      <w:r w:rsidRPr="00924F59">
        <w:rPr>
          <w:rStyle w:val="TextoNormalCaracter"/>
        </w:rPr>
        <w:t>, f. 3.</w:t>
      </w:r>
    </w:p>
    <w:p w:rsidR="00924F59" w:rsidRPr="00924F59" w:rsidRDefault="00924F59" w:rsidP="00924F59">
      <w:pPr>
        <w:pStyle w:val="TextoNormalSangraFrancesa"/>
        <w:rPr>
          <w:rStyle w:val="TextoNormalCaracter"/>
        </w:rPr>
      </w:pPr>
      <w:bookmarkStart w:id="1761" w:name="DESCRIPTORALFABETICO322"/>
      <w:r w:rsidRPr="00924F59">
        <w:rPr>
          <w:rStyle w:val="TextoNormalNegritaCaracter"/>
        </w:rPr>
        <w:t>Pérdida sobrevenida de objeto del recurso de amparo</w:t>
      </w:r>
      <w:bookmarkEnd w:id="1761"/>
      <w:r w:rsidRPr="00924F59">
        <w:rPr>
          <w:rStyle w:val="TextoNormalCaracter"/>
        </w:rPr>
        <w:t xml:space="preserve">, Autos </w:t>
      </w:r>
      <w:hyperlink w:anchor="AUTO_2016_1" w:history="1">
        <w:r w:rsidRPr="00924F59">
          <w:rPr>
            <w:rStyle w:val="TextoNormalCaracter"/>
          </w:rPr>
          <w:t>1/2016</w:t>
        </w:r>
      </w:hyperlink>
      <w:r w:rsidRPr="00924F59">
        <w:rPr>
          <w:rStyle w:val="TextoNormalCaracter"/>
        </w:rPr>
        <w:t xml:space="preserve">, f. 2; </w:t>
      </w:r>
      <w:hyperlink w:anchor="AUTO_2016_100" w:history="1">
        <w:r w:rsidRPr="00924F59">
          <w:rPr>
            <w:rStyle w:val="TextoNormalCaracter"/>
          </w:rPr>
          <w:t>100/2016</w:t>
        </w:r>
      </w:hyperlink>
      <w:r w:rsidRPr="00924F59">
        <w:rPr>
          <w:rStyle w:val="TextoNormalCaracter"/>
        </w:rPr>
        <w:t>, f. 1.</w:t>
      </w:r>
    </w:p>
    <w:p w:rsidR="00924F59" w:rsidRPr="00924F59" w:rsidRDefault="00924F59" w:rsidP="00924F59">
      <w:pPr>
        <w:pStyle w:val="TextoNormalSangraFrancesa"/>
        <w:rPr>
          <w:rStyle w:val="TextoNormalCaracter"/>
        </w:rPr>
      </w:pPr>
      <w:bookmarkStart w:id="1762" w:name="DESCRIPTORALFABETICO312"/>
      <w:r w:rsidRPr="00924F59">
        <w:rPr>
          <w:rStyle w:val="TextoNormalNegritaCaracter"/>
        </w:rPr>
        <w:t>Pérdida sobrevenida de objeto del recurso de inconstitucionalidad</w:t>
      </w:r>
      <w:bookmarkEnd w:id="1762"/>
      <w:r w:rsidRPr="00924F59">
        <w:rPr>
          <w:rStyle w:val="TextoNormalCaracter"/>
        </w:rPr>
        <w:t xml:space="preserve">, Sentencias </w:t>
      </w:r>
      <w:hyperlink w:anchor="SENTENCIA_2016_40" w:history="1">
        <w:r w:rsidRPr="00924F59">
          <w:rPr>
            <w:rStyle w:val="TextoNormalCaracter"/>
          </w:rPr>
          <w:t>40/2016</w:t>
        </w:r>
      </w:hyperlink>
      <w:r w:rsidRPr="00924F59">
        <w:rPr>
          <w:rStyle w:val="TextoNormalCaracter"/>
        </w:rPr>
        <w:t xml:space="preserve">, ff. 3, 4; </w:t>
      </w:r>
      <w:hyperlink w:anchor="SENTENCIA_2016_57" w:history="1">
        <w:r w:rsidRPr="00924F59">
          <w:rPr>
            <w:rStyle w:val="TextoNormalCaracter"/>
          </w:rPr>
          <w:t>57/2016</w:t>
        </w:r>
      </w:hyperlink>
      <w:r w:rsidRPr="00924F59">
        <w:rPr>
          <w:rStyle w:val="TextoNormalCaracter"/>
        </w:rPr>
        <w:t xml:space="preserve">, f. 1; </w:t>
      </w:r>
      <w:hyperlink w:anchor="SENTENCIA_2016_73" w:history="1">
        <w:r w:rsidRPr="00924F59">
          <w:rPr>
            <w:rStyle w:val="TextoNormalCaracter"/>
          </w:rPr>
          <w:t>73/2016</w:t>
        </w:r>
      </w:hyperlink>
      <w:r w:rsidRPr="00924F59">
        <w:rPr>
          <w:rStyle w:val="TextoNormalCaracter"/>
        </w:rPr>
        <w:t xml:space="preserve">, ff. 2, 3; </w:t>
      </w:r>
      <w:hyperlink w:anchor="SENTENCIA_2016_119" w:history="1">
        <w:r w:rsidRPr="00924F59">
          <w:rPr>
            <w:rStyle w:val="TextoNormalCaracter"/>
          </w:rPr>
          <w:t>119/2016</w:t>
        </w:r>
      </w:hyperlink>
      <w:r w:rsidRPr="00924F59">
        <w:rPr>
          <w:rStyle w:val="TextoNormalCaracter"/>
        </w:rPr>
        <w:t>, ff. 6, 7.</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21" w:history="1">
        <w:r w:rsidRPr="00924F59">
          <w:rPr>
            <w:rStyle w:val="TextoNormalCaracter"/>
          </w:rPr>
          <w:t>121/2016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63" w:name="DESCRIPTORALFABETICO257"/>
      <w:r w:rsidRPr="00924F59">
        <w:rPr>
          <w:rStyle w:val="TextoNormalNegritaCaracter"/>
        </w:rPr>
        <w:t>Pérdida sobrevenida de objeto por declaración de inconstitucionalidad de la norma</w:t>
      </w:r>
      <w:bookmarkEnd w:id="1763"/>
      <w:r w:rsidRPr="00924F59">
        <w:rPr>
          <w:rStyle w:val="TextoNormalCaracter"/>
        </w:rPr>
        <w:t xml:space="preserve">, Sentencias </w:t>
      </w:r>
      <w:hyperlink w:anchor="SENTENCIA_2016_5" w:history="1">
        <w:r w:rsidRPr="00924F59">
          <w:rPr>
            <w:rStyle w:val="TextoNormalCaracter"/>
          </w:rPr>
          <w:t>5/2016</w:t>
        </w:r>
      </w:hyperlink>
      <w:r w:rsidRPr="00924F59">
        <w:rPr>
          <w:rStyle w:val="TextoNormalCaracter"/>
        </w:rPr>
        <w:t xml:space="preserve">, f. 2 A); </w:t>
      </w:r>
      <w:hyperlink w:anchor="SENTENCIA_2016_37" w:history="1">
        <w:r w:rsidRPr="00924F59">
          <w:rPr>
            <w:rStyle w:val="TextoNormalCaracter"/>
          </w:rPr>
          <w:t>37/2016</w:t>
        </w:r>
      </w:hyperlink>
      <w:r w:rsidRPr="00924F59">
        <w:rPr>
          <w:rStyle w:val="TextoNormalCaracter"/>
        </w:rPr>
        <w:t xml:space="preserve">, f. 2; </w:t>
      </w:r>
      <w:hyperlink w:anchor="SENTENCIA_2016_111" w:history="1">
        <w:r w:rsidRPr="00924F59">
          <w:rPr>
            <w:rStyle w:val="TextoNormalCaracter"/>
          </w:rPr>
          <w:t>111/2016</w:t>
        </w:r>
      </w:hyperlink>
      <w:r w:rsidRPr="00924F59">
        <w:rPr>
          <w:rStyle w:val="TextoNormalCaracter"/>
        </w:rPr>
        <w:t xml:space="preserve">, f. 2; </w:t>
      </w:r>
      <w:hyperlink w:anchor="SENTENCIA_2016_119" w:history="1">
        <w:r w:rsidRPr="00924F59">
          <w:rPr>
            <w:rStyle w:val="TextoNormalCaracter"/>
          </w:rPr>
          <w:t>119/2016</w:t>
        </w:r>
      </w:hyperlink>
      <w:r w:rsidRPr="00924F59">
        <w:rPr>
          <w:rStyle w:val="TextoNormalCaracter"/>
        </w:rPr>
        <w:t>, ff. 6, 7.</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50" w:history="1">
        <w:r w:rsidRPr="00924F59">
          <w:rPr>
            <w:rStyle w:val="TextoNormalCaracter"/>
          </w:rPr>
          <w:t>50/2016</w:t>
        </w:r>
      </w:hyperlink>
      <w:r w:rsidRPr="00924F59">
        <w:rPr>
          <w:rStyle w:val="TextoNormalCaracter"/>
        </w:rPr>
        <w:t xml:space="preserve">, f. 4; </w:t>
      </w:r>
      <w:hyperlink w:anchor="AUTO_2016_52" w:history="1">
        <w:r w:rsidRPr="00924F59">
          <w:rPr>
            <w:rStyle w:val="TextoNormalCaracter"/>
          </w:rPr>
          <w:t>52/2016</w:t>
        </w:r>
      </w:hyperlink>
      <w:r w:rsidRPr="00924F59">
        <w:rPr>
          <w:rStyle w:val="TextoNormalCaracter"/>
        </w:rPr>
        <w:t xml:space="preserve">, f. 4; </w:t>
      </w:r>
      <w:hyperlink w:anchor="AUTO_2016_56" w:history="1">
        <w:r w:rsidRPr="00924F59">
          <w:rPr>
            <w:rStyle w:val="TextoNormalCaracter"/>
          </w:rPr>
          <w:t>56/2016</w:t>
        </w:r>
      </w:hyperlink>
      <w:r w:rsidRPr="00924F59">
        <w:rPr>
          <w:rStyle w:val="TextoNormalCaracter"/>
        </w:rPr>
        <w:t xml:space="preserve">, Único; </w:t>
      </w:r>
      <w:hyperlink w:anchor="AUTO_2016_57" w:history="1">
        <w:r w:rsidRPr="00924F59">
          <w:rPr>
            <w:rStyle w:val="TextoNormalCaracter"/>
          </w:rPr>
          <w:t>57/2016</w:t>
        </w:r>
      </w:hyperlink>
      <w:r w:rsidRPr="00924F59">
        <w:rPr>
          <w:rStyle w:val="TextoNormalCaracter"/>
        </w:rPr>
        <w:t xml:space="preserve">, Único; </w:t>
      </w:r>
      <w:hyperlink w:anchor="AUTO_2016_64" w:history="1">
        <w:r w:rsidRPr="00924F59">
          <w:rPr>
            <w:rStyle w:val="TextoNormalCaracter"/>
          </w:rPr>
          <w:t>64/2016</w:t>
        </w:r>
      </w:hyperlink>
      <w:r w:rsidRPr="00924F59">
        <w:rPr>
          <w:rStyle w:val="TextoNormalCaracter"/>
        </w:rPr>
        <w:t xml:space="preserve">, Único; </w:t>
      </w:r>
      <w:hyperlink w:anchor="AUTO_2016_65" w:history="1">
        <w:r w:rsidRPr="00924F59">
          <w:rPr>
            <w:rStyle w:val="TextoNormalCaracter"/>
          </w:rPr>
          <w:t>65/2016</w:t>
        </w:r>
      </w:hyperlink>
      <w:r w:rsidRPr="00924F59">
        <w:rPr>
          <w:rStyle w:val="TextoNormalCaracter"/>
        </w:rPr>
        <w:t xml:space="preserve">, Único; </w:t>
      </w:r>
      <w:hyperlink w:anchor="AUTO_2016_70" w:history="1">
        <w:r w:rsidRPr="00924F59">
          <w:rPr>
            <w:rStyle w:val="TextoNormalCaracter"/>
          </w:rPr>
          <w:t>70/2016</w:t>
        </w:r>
      </w:hyperlink>
      <w:r w:rsidRPr="00924F59">
        <w:rPr>
          <w:rStyle w:val="TextoNormalCaracter"/>
        </w:rPr>
        <w:t xml:space="preserve">, f. 5; </w:t>
      </w:r>
      <w:hyperlink w:anchor="AUTO_2016_73" w:history="1">
        <w:r w:rsidRPr="00924F59">
          <w:rPr>
            <w:rStyle w:val="TextoNormalCaracter"/>
          </w:rPr>
          <w:t>73/2016</w:t>
        </w:r>
      </w:hyperlink>
      <w:r w:rsidRPr="00924F59">
        <w:rPr>
          <w:rStyle w:val="TextoNormalCaracter"/>
        </w:rPr>
        <w:t xml:space="preserve">, f. 3; </w:t>
      </w:r>
      <w:hyperlink w:anchor="AUTO_2016_74" w:history="1">
        <w:r w:rsidRPr="00924F59">
          <w:rPr>
            <w:rStyle w:val="TextoNormalCaracter"/>
          </w:rPr>
          <w:t>74/2016</w:t>
        </w:r>
      </w:hyperlink>
      <w:r w:rsidRPr="00924F59">
        <w:rPr>
          <w:rStyle w:val="TextoNormalCaracter"/>
        </w:rPr>
        <w:t xml:space="preserve">, f. único; </w:t>
      </w:r>
      <w:hyperlink w:anchor="AUTO_2016_79" w:history="1">
        <w:r w:rsidRPr="00924F59">
          <w:rPr>
            <w:rStyle w:val="TextoNormalCaracter"/>
          </w:rPr>
          <w:t>79/2016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764" w:name="DESCRIPTORALFABETICO258"/>
      <w:r w:rsidRPr="00924F59">
        <w:rPr>
          <w:rStyle w:val="TextoNormalNegritaCaracter"/>
        </w:rPr>
        <w:t>Pérdida sobrevenida de objeto por derogación de la norma</w:t>
      </w:r>
      <w:bookmarkEnd w:id="1764"/>
      <w:r w:rsidRPr="00924F59">
        <w:rPr>
          <w:rStyle w:val="TextoNormalCaracter"/>
        </w:rPr>
        <w:t xml:space="preserve">, Sentencia </w:t>
      </w:r>
      <w:hyperlink w:anchor="SENTENCIA_2016_40" w:history="1">
        <w:r w:rsidRPr="00924F59">
          <w:rPr>
            <w:rStyle w:val="TextoNormalCaracter"/>
          </w:rPr>
          <w:t>40/2016</w:t>
        </w:r>
      </w:hyperlink>
      <w:r w:rsidRPr="00924F59">
        <w:rPr>
          <w:rStyle w:val="TextoNormalCaracter"/>
        </w:rPr>
        <w:t>, ff. 2 a 4.</w:t>
      </w:r>
    </w:p>
    <w:p w:rsidR="00924F59" w:rsidRPr="00924F59" w:rsidRDefault="00924F59" w:rsidP="00924F59">
      <w:pPr>
        <w:pStyle w:val="TextoNormalSangraFrancesa"/>
        <w:rPr>
          <w:rStyle w:val="TextoNormalCaracter"/>
        </w:rPr>
      </w:pPr>
      <w:bookmarkStart w:id="1765" w:name="DESCRIPTORALFABETICO259"/>
      <w:r w:rsidRPr="00924F59">
        <w:rPr>
          <w:rStyle w:val="TextoNormalNegritaCaracter"/>
        </w:rPr>
        <w:t>Pérdida sobrevenida de objeto por modificación de la norma</w:t>
      </w:r>
      <w:bookmarkEnd w:id="1765"/>
      <w:r w:rsidRPr="00924F59">
        <w:rPr>
          <w:rStyle w:val="TextoNormalCaracter"/>
        </w:rPr>
        <w:t xml:space="preserve">, Sentencias </w:t>
      </w:r>
      <w:hyperlink w:anchor="SENTENCIA_2016_5" w:history="1">
        <w:r w:rsidRPr="00924F59">
          <w:rPr>
            <w:rStyle w:val="TextoNormalCaracter"/>
          </w:rPr>
          <w:t>5/2016</w:t>
        </w:r>
      </w:hyperlink>
      <w:r w:rsidRPr="00924F59">
        <w:rPr>
          <w:rStyle w:val="TextoNormalCaracter"/>
        </w:rPr>
        <w:t xml:space="preserve">, f. 2 B) a) y b); </w:t>
      </w:r>
      <w:hyperlink w:anchor="SENTENCIA_2016_73" w:history="1">
        <w:r w:rsidRPr="00924F59">
          <w:rPr>
            <w:rStyle w:val="TextoNormalCaracter"/>
          </w:rPr>
          <w:t>73/2016</w:t>
        </w:r>
      </w:hyperlink>
      <w:r w:rsidRPr="00924F59">
        <w:rPr>
          <w:rStyle w:val="TextoNormalCaracter"/>
        </w:rPr>
        <w:t xml:space="preserve">, ff. 2, 3; </w:t>
      </w:r>
      <w:hyperlink w:anchor="SENTENCIA_2016_119" w:history="1">
        <w:r w:rsidRPr="00924F59">
          <w:rPr>
            <w:rStyle w:val="TextoNormalCaracter"/>
          </w:rPr>
          <w:t>119/2016</w:t>
        </w:r>
      </w:hyperlink>
      <w:r w:rsidRPr="00924F59">
        <w:rPr>
          <w:rStyle w:val="TextoNormalCaracter"/>
        </w:rPr>
        <w:t>, ff. 6, 7.</w:t>
      </w:r>
    </w:p>
    <w:p w:rsidR="00924F59" w:rsidRPr="00924F59" w:rsidRDefault="00924F59" w:rsidP="00924F59">
      <w:pPr>
        <w:pStyle w:val="TextoNormalSangraFrancesa"/>
        <w:rPr>
          <w:rStyle w:val="TextoNormalCaracter"/>
        </w:rPr>
      </w:pPr>
      <w:bookmarkStart w:id="1766" w:name="DESCRIPTORALFABETICO236"/>
      <w:r w:rsidRPr="00924F59">
        <w:rPr>
          <w:rStyle w:val="TextoNormalNegritaCaracter"/>
        </w:rPr>
        <w:t>Perjuicios irreparables</w:t>
      </w:r>
      <w:bookmarkEnd w:id="1766"/>
      <w:r w:rsidRPr="00924F59">
        <w:rPr>
          <w:rStyle w:val="TextoNormalCaracter"/>
        </w:rPr>
        <w:t xml:space="preserve">, Autos </w:t>
      </w:r>
      <w:hyperlink w:anchor="AUTO_2016_68" w:history="1">
        <w:r w:rsidRPr="00924F59">
          <w:rPr>
            <w:rStyle w:val="TextoNormalCaracter"/>
          </w:rPr>
          <w:t>68/2016</w:t>
        </w:r>
      </w:hyperlink>
      <w:r w:rsidRPr="00924F59">
        <w:rPr>
          <w:rStyle w:val="TextoNormalCaracter"/>
        </w:rPr>
        <w:t xml:space="preserve">, ff. 1 a 3; </w:t>
      </w:r>
      <w:hyperlink w:anchor="AUTO_2016_69" w:history="1">
        <w:r w:rsidRPr="00924F59">
          <w:rPr>
            <w:rStyle w:val="TextoNormalCaracter"/>
          </w:rPr>
          <w:t>69/2016</w:t>
        </w:r>
      </w:hyperlink>
      <w:r w:rsidRPr="00924F59">
        <w:rPr>
          <w:rStyle w:val="TextoNormalCaracter"/>
        </w:rPr>
        <w:t xml:space="preserve">, ff. 1 a 3; </w:t>
      </w:r>
      <w:hyperlink w:anchor="AUTO_2016_91" w:history="1">
        <w:r w:rsidRPr="00924F59">
          <w:rPr>
            <w:rStyle w:val="TextoNormalCaracter"/>
          </w:rPr>
          <w:t>91/2016</w:t>
        </w:r>
      </w:hyperlink>
      <w:r w:rsidRPr="00924F59">
        <w:rPr>
          <w:rStyle w:val="TextoNormalCaracter"/>
        </w:rPr>
        <w:t xml:space="preserve">, ff. 1 a 3; </w:t>
      </w:r>
      <w:hyperlink w:anchor="AUTO_2016_114" w:history="1">
        <w:r w:rsidRPr="00924F59">
          <w:rPr>
            <w:rStyle w:val="TextoNormalCaracter"/>
          </w:rPr>
          <w:t>114/2016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67" w:name="DESCRIPTORALFABETICO237"/>
      <w:r w:rsidRPr="00924F59">
        <w:rPr>
          <w:rStyle w:val="TextoNormalNegritaCaracter"/>
        </w:rPr>
        <w:t>Perjuicios reparables</w:t>
      </w:r>
      <w:bookmarkEnd w:id="1767"/>
      <w:r w:rsidRPr="00924F59">
        <w:rPr>
          <w:rStyle w:val="TextoNormalCaracter"/>
        </w:rPr>
        <w:t xml:space="preserve">, Autos </w:t>
      </w:r>
      <w:hyperlink w:anchor="AUTO_2016_99" w:history="1">
        <w:r w:rsidRPr="00924F59">
          <w:rPr>
            <w:rStyle w:val="TextoNormalCaracter"/>
          </w:rPr>
          <w:t>99/2016</w:t>
        </w:r>
      </w:hyperlink>
      <w:r w:rsidRPr="00924F59">
        <w:rPr>
          <w:rStyle w:val="TextoNormalCaracter"/>
        </w:rPr>
        <w:t xml:space="preserve">, ff. 2, 3; </w:t>
      </w:r>
      <w:hyperlink w:anchor="AUTO_2016_100" w:history="1">
        <w:r w:rsidRPr="00924F59">
          <w:rPr>
            <w:rStyle w:val="TextoNormalCaracter"/>
          </w:rPr>
          <w:t>100/2016</w:t>
        </w:r>
      </w:hyperlink>
      <w:r w:rsidRPr="00924F59">
        <w:rPr>
          <w:rStyle w:val="TextoNormalCaracter"/>
        </w:rPr>
        <w:t xml:space="preserve">, f. 2; </w:t>
      </w:r>
      <w:hyperlink w:anchor="AUTO_2016_105" w:history="1">
        <w:r w:rsidRPr="00924F59">
          <w:rPr>
            <w:rStyle w:val="TextoNormalCaracter"/>
          </w:rPr>
          <w:t>105/2016</w:t>
        </w:r>
      </w:hyperlink>
      <w:r w:rsidRPr="00924F59">
        <w:rPr>
          <w:rStyle w:val="TextoNormalCaracter"/>
        </w:rPr>
        <w:t>, ff. 5, 6, 8.</w:t>
      </w:r>
    </w:p>
    <w:p w:rsidR="00924F59" w:rsidRPr="00924F59" w:rsidRDefault="00924F59" w:rsidP="00924F59">
      <w:pPr>
        <w:pStyle w:val="TextoNormalSangraFrancesa"/>
        <w:rPr>
          <w:rStyle w:val="TextoNormalCaracter"/>
        </w:rPr>
      </w:pPr>
      <w:bookmarkStart w:id="1768" w:name="DESCRIPTORALFABETICO486"/>
      <w:r w:rsidRPr="00924F59">
        <w:rPr>
          <w:rStyle w:val="TextoNormalNegritaCaracter"/>
        </w:rPr>
        <w:t>Permisos en la función pública</w:t>
      </w:r>
      <w:bookmarkEnd w:id="1768"/>
      <w:r w:rsidRPr="00924F59">
        <w:rPr>
          <w:rStyle w:val="TextoNormalCaracter"/>
        </w:rPr>
        <w:t xml:space="preserve">, Sentencias </w:t>
      </w:r>
      <w:hyperlink w:anchor="SENTENCIA_2016_9" w:history="1">
        <w:r w:rsidRPr="00924F59">
          <w:rPr>
            <w:rStyle w:val="TextoNormalCaracter"/>
          </w:rPr>
          <w:t>9/2016</w:t>
        </w:r>
      </w:hyperlink>
      <w:r w:rsidRPr="00924F59">
        <w:rPr>
          <w:rStyle w:val="TextoNormalCaracter"/>
        </w:rPr>
        <w:t xml:space="preserve">, ff. 1, 3; </w:t>
      </w:r>
      <w:hyperlink w:anchor="SENTENCIA_2016_18" w:history="1">
        <w:r w:rsidRPr="00924F59">
          <w:rPr>
            <w:rStyle w:val="TextoNormalCaracter"/>
          </w:rPr>
          <w:t>18/2016</w:t>
        </w:r>
      </w:hyperlink>
      <w:r w:rsidRPr="00924F59">
        <w:rPr>
          <w:rStyle w:val="TextoNormalCaracter"/>
        </w:rPr>
        <w:t>, f. 6, VP.</w:t>
      </w:r>
    </w:p>
    <w:p w:rsidR="00924F59" w:rsidRPr="00924F59" w:rsidRDefault="00924F59" w:rsidP="00924F59">
      <w:pPr>
        <w:pStyle w:val="TextoNormalSangraFrancesa"/>
        <w:rPr>
          <w:rStyle w:val="TextoNormalCaracter"/>
        </w:rPr>
      </w:pPr>
      <w:bookmarkStart w:id="1769" w:name="DESCRIPTORALFABETICO487"/>
      <w:r w:rsidRPr="00924F59">
        <w:rPr>
          <w:rStyle w:val="TextoNormalNegritaCaracter"/>
        </w:rPr>
        <w:t>Personal al servicio de la Administración autonómica</w:t>
      </w:r>
      <w:bookmarkEnd w:id="1769"/>
      <w:r w:rsidRPr="00924F59">
        <w:rPr>
          <w:rStyle w:val="TextoNormalCaracter"/>
        </w:rPr>
        <w:t xml:space="preserve">, Sentencias </w:t>
      </w:r>
      <w:hyperlink w:anchor="SENTENCIA_2016_46" w:history="1">
        <w:r w:rsidRPr="00924F59">
          <w:rPr>
            <w:rStyle w:val="TextoNormalCaracter"/>
          </w:rPr>
          <w:t>46/2016</w:t>
        </w:r>
      </w:hyperlink>
      <w:r w:rsidRPr="00924F59">
        <w:rPr>
          <w:rStyle w:val="TextoNormalCaracter"/>
        </w:rPr>
        <w:t xml:space="preserve">, ff. 2, 3; </w:t>
      </w:r>
      <w:hyperlink w:anchor="SENTENCIA_2016_47" w:history="1">
        <w:r w:rsidRPr="00924F59">
          <w:rPr>
            <w:rStyle w:val="TextoNormalCaracter"/>
          </w:rPr>
          <w:t>47/2016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770" w:name="DESCRIPTORALFABETICO488"/>
      <w:r w:rsidRPr="00924F59">
        <w:rPr>
          <w:rStyle w:val="TextoNormalNegritaCaracter"/>
        </w:rPr>
        <w:t>Personal al servicio de la Administración local</w:t>
      </w:r>
      <w:bookmarkEnd w:id="1770"/>
      <w:r w:rsidRPr="00924F59">
        <w:rPr>
          <w:rStyle w:val="TextoNormalCaracter"/>
        </w:rPr>
        <w:t xml:space="preserve">, Sentencia </w:t>
      </w:r>
      <w:hyperlink w:anchor="SENTENCIA_2016_106" w:history="1">
        <w:r w:rsidRPr="00924F59">
          <w:rPr>
            <w:rStyle w:val="TextoNormalCaracter"/>
          </w:rPr>
          <w:t>106/2016</w:t>
        </w:r>
      </w:hyperlink>
      <w:r w:rsidRPr="00924F59">
        <w:rPr>
          <w:rStyle w:val="TextoNormalCaracter"/>
        </w:rPr>
        <w:t>, ff. 1, 2.</w:t>
      </w:r>
    </w:p>
    <w:p w:rsidR="00924F59" w:rsidRPr="00924F59" w:rsidRDefault="00924F59" w:rsidP="00924F59">
      <w:pPr>
        <w:pStyle w:val="TextoNormalSangraFrancesa"/>
        <w:rPr>
          <w:rStyle w:val="TextoNormalCaracter"/>
        </w:rPr>
      </w:pPr>
      <w:bookmarkStart w:id="1771" w:name="DESCRIPTORALFABETICO489"/>
      <w:r w:rsidRPr="00924F59">
        <w:rPr>
          <w:rStyle w:val="TextoNormalNegritaCaracter"/>
        </w:rPr>
        <w:t>Personal estatutario</w:t>
      </w:r>
      <w:bookmarkEnd w:id="1771"/>
      <w:r w:rsidRPr="00924F59">
        <w:rPr>
          <w:rStyle w:val="TextoNormalCaracter"/>
        </w:rPr>
        <w:t xml:space="preserve">, Sentencias </w:t>
      </w:r>
      <w:hyperlink w:anchor="SENTENCIA_2016_43" w:history="1">
        <w:r w:rsidRPr="00924F59">
          <w:rPr>
            <w:rStyle w:val="TextoNormalCaracter"/>
          </w:rPr>
          <w:t>43/2016</w:t>
        </w:r>
      </w:hyperlink>
      <w:r w:rsidRPr="00924F59">
        <w:rPr>
          <w:rStyle w:val="TextoNormalCaracter"/>
        </w:rPr>
        <w:t xml:space="preserve">, ff. 2, 3; </w:t>
      </w:r>
      <w:hyperlink w:anchor="SENTENCIA_2016_52" w:history="1">
        <w:r w:rsidRPr="00924F59">
          <w:rPr>
            <w:rStyle w:val="TextoNormalCaracter"/>
          </w:rPr>
          <w:t>52/2016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772" w:name="DESCRIPTORALFABETICO490"/>
      <w:r w:rsidRPr="00924F59">
        <w:rPr>
          <w:rStyle w:val="TextoNormalNegritaCaracter"/>
        </w:rPr>
        <w:t>Personal laboral</w:t>
      </w:r>
      <w:bookmarkEnd w:id="1772"/>
      <w:r w:rsidRPr="00924F59">
        <w:rPr>
          <w:rStyle w:val="TextoNormalCaracter"/>
        </w:rPr>
        <w:t xml:space="preserve">, Sentencias </w:t>
      </w:r>
      <w:hyperlink w:anchor="SENTENCIA_2016_1" w:history="1">
        <w:r w:rsidRPr="00924F59">
          <w:rPr>
            <w:rStyle w:val="TextoNormalCaracter"/>
          </w:rPr>
          <w:t>1/2016</w:t>
        </w:r>
      </w:hyperlink>
      <w:r w:rsidRPr="00924F59">
        <w:rPr>
          <w:rStyle w:val="TextoNormalCaracter"/>
        </w:rPr>
        <w:t xml:space="preserve">, f. 3; </w:t>
      </w:r>
      <w:hyperlink w:anchor="SENTENCIA_2016_2" w:history="1">
        <w:r w:rsidRPr="00924F59">
          <w:rPr>
            <w:rStyle w:val="TextoNormalCaracter"/>
          </w:rPr>
          <w:t>2/2016</w:t>
        </w:r>
      </w:hyperlink>
      <w:r w:rsidRPr="00924F59">
        <w:rPr>
          <w:rStyle w:val="TextoNormalCaracter"/>
        </w:rPr>
        <w:t xml:space="preserve">, ff. 2, 3; </w:t>
      </w:r>
      <w:hyperlink w:anchor="SENTENCIA_2016_4" w:history="1">
        <w:r w:rsidRPr="00924F59">
          <w:rPr>
            <w:rStyle w:val="TextoNormalCaracter"/>
          </w:rPr>
          <w:t>4/2016</w:t>
        </w:r>
      </w:hyperlink>
      <w:r w:rsidRPr="00924F59">
        <w:rPr>
          <w:rStyle w:val="TextoNormalCaracter"/>
        </w:rPr>
        <w:t xml:space="preserve">, ff. 2, 3; </w:t>
      </w:r>
      <w:hyperlink w:anchor="SENTENCIA_2016_79" w:history="1">
        <w:r w:rsidRPr="00924F59">
          <w:rPr>
            <w:rStyle w:val="TextoNormalCaracter"/>
          </w:rPr>
          <w:t>79/2016</w:t>
        </w:r>
      </w:hyperlink>
      <w:r w:rsidRPr="00924F59">
        <w:rPr>
          <w:rStyle w:val="TextoNormalCaracter"/>
        </w:rPr>
        <w:t xml:space="preserve">, ff. 1, 2; </w:t>
      </w:r>
      <w:hyperlink w:anchor="SENTENCIA_2016_80" w:history="1">
        <w:r w:rsidRPr="00924F59">
          <w:rPr>
            <w:rStyle w:val="TextoNormalCaracter"/>
          </w:rPr>
          <w:t>80/2016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773" w:name="DESCRIPTORALFABETICO291"/>
      <w:r w:rsidRPr="00924F59">
        <w:rPr>
          <w:rStyle w:val="TextoNormalNegritaCaracter"/>
        </w:rPr>
        <w:t>Pervivencia del objeto de la cuestión de inconstitucionalidad</w:t>
      </w:r>
      <w:bookmarkEnd w:id="1773"/>
      <w:r w:rsidRPr="00924F59">
        <w:rPr>
          <w:rStyle w:val="TextoNormalCaracter"/>
        </w:rPr>
        <w:t xml:space="preserve">, Sentencias </w:t>
      </w:r>
      <w:hyperlink w:anchor="SENTENCIA_2016_121" w:history="1">
        <w:r w:rsidRPr="00924F59">
          <w:rPr>
            <w:rStyle w:val="TextoNormalCaracter"/>
          </w:rPr>
          <w:t>121/2016</w:t>
        </w:r>
      </w:hyperlink>
      <w:r w:rsidRPr="00924F59">
        <w:rPr>
          <w:rStyle w:val="TextoNormalCaracter"/>
        </w:rPr>
        <w:t xml:space="preserve">, f. 2; </w:t>
      </w:r>
      <w:hyperlink w:anchor="SENTENCIA_2016_123" w:history="1">
        <w:r w:rsidRPr="00924F59">
          <w:rPr>
            <w:rStyle w:val="TextoNormalCaracter"/>
          </w:rPr>
          <w:t>123/2016</w:t>
        </w:r>
      </w:hyperlink>
      <w:r w:rsidRPr="00924F59">
        <w:rPr>
          <w:rStyle w:val="TextoNormalCaracter"/>
        </w:rPr>
        <w:t>, f. 1.</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13" w:history="1">
        <w:r w:rsidRPr="00924F59">
          <w:rPr>
            <w:rStyle w:val="TextoNormalCaracter"/>
          </w:rPr>
          <w:t>13/2016</w:t>
        </w:r>
      </w:hyperlink>
      <w:r w:rsidRPr="00924F59">
        <w:rPr>
          <w:rStyle w:val="TextoNormalCaracter"/>
        </w:rPr>
        <w:t xml:space="preserve">, f. 2; </w:t>
      </w:r>
      <w:hyperlink w:anchor="AUTO_2016_70" w:history="1">
        <w:r w:rsidRPr="00924F59">
          <w:rPr>
            <w:rStyle w:val="TextoNormalCaracter"/>
          </w:rPr>
          <w:t>70/2016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74" w:name="DESCRIPTORALFABETICO277"/>
      <w:r w:rsidRPr="00924F59">
        <w:rPr>
          <w:rStyle w:val="TextoNormalNegritaCaracter"/>
        </w:rPr>
        <w:t>Pervivencia del objeto del conflicto positivo de competencia</w:t>
      </w:r>
      <w:bookmarkEnd w:id="1774"/>
      <w:r w:rsidRPr="00924F59">
        <w:rPr>
          <w:rStyle w:val="TextoNormalCaracter"/>
        </w:rPr>
        <w:t xml:space="preserve">, Sentencias </w:t>
      </w:r>
      <w:hyperlink w:anchor="SENTENCIA_2016_7" w:history="1">
        <w:r w:rsidRPr="00924F59">
          <w:rPr>
            <w:rStyle w:val="TextoNormalCaracter"/>
          </w:rPr>
          <w:t>7/2016</w:t>
        </w:r>
      </w:hyperlink>
      <w:r w:rsidRPr="00924F59">
        <w:rPr>
          <w:rStyle w:val="TextoNormalCaracter"/>
        </w:rPr>
        <w:t xml:space="preserve">, f. 2; </w:t>
      </w:r>
      <w:hyperlink w:anchor="SENTENCIA_2016_87" w:history="1">
        <w:r w:rsidRPr="00924F59">
          <w:rPr>
            <w:rStyle w:val="TextoNormalCaracter"/>
          </w:rPr>
          <w:t>87/2016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75" w:name="DESCRIPTORALFABETICO323"/>
      <w:r w:rsidRPr="00924F59">
        <w:rPr>
          <w:rStyle w:val="TextoNormalNegritaCaracter"/>
        </w:rPr>
        <w:t>Pervivencia del objeto del recurso de amparo</w:t>
      </w:r>
      <w:bookmarkEnd w:id="1775"/>
      <w:r w:rsidRPr="00924F59">
        <w:rPr>
          <w:rStyle w:val="TextoNormalCaracter"/>
        </w:rPr>
        <w:t xml:space="preserve">, Sentencias </w:t>
      </w:r>
      <w:hyperlink w:anchor="SENTENCIA_2016_3" w:history="1">
        <w:r w:rsidRPr="00924F59">
          <w:rPr>
            <w:rStyle w:val="TextoNormalCaracter"/>
          </w:rPr>
          <w:t>3/2016</w:t>
        </w:r>
      </w:hyperlink>
      <w:r w:rsidRPr="00924F59">
        <w:rPr>
          <w:rStyle w:val="TextoNormalCaracter"/>
        </w:rPr>
        <w:t xml:space="preserve">, f. 2; </w:t>
      </w:r>
      <w:hyperlink w:anchor="SENTENCIA_2016_91" w:history="1">
        <w:r w:rsidRPr="00924F59">
          <w:rPr>
            <w:rStyle w:val="TextoNormalCaracter"/>
          </w:rPr>
          <w:t>91/2016</w:t>
        </w:r>
      </w:hyperlink>
      <w:r w:rsidRPr="00924F59">
        <w:rPr>
          <w:rStyle w:val="TextoNormalCaracter"/>
        </w:rPr>
        <w:t>, f. 2.</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00" w:history="1">
        <w:r w:rsidRPr="00924F59">
          <w:rPr>
            <w:rStyle w:val="TextoNormalCaracter"/>
          </w:rPr>
          <w:t>100/2016</w:t>
        </w:r>
      </w:hyperlink>
      <w:r w:rsidRPr="00924F59">
        <w:rPr>
          <w:rStyle w:val="TextoNormalCaracter"/>
        </w:rPr>
        <w:t>, f. 1.</w:t>
      </w:r>
    </w:p>
    <w:p w:rsidR="00924F59" w:rsidRPr="00924F59" w:rsidRDefault="00924F59" w:rsidP="00924F59">
      <w:pPr>
        <w:pStyle w:val="TextoNormalSangraFrancesa"/>
        <w:rPr>
          <w:rStyle w:val="TextoNormalCaracter"/>
        </w:rPr>
      </w:pPr>
      <w:bookmarkStart w:id="1776" w:name="DESCRIPTORALFABETICO313"/>
      <w:r w:rsidRPr="00924F59">
        <w:rPr>
          <w:rStyle w:val="TextoNormalNegritaCaracter"/>
        </w:rPr>
        <w:t>Pervivencia del objeto del recurso de inconstitucionalidad</w:t>
      </w:r>
      <w:bookmarkEnd w:id="1776"/>
      <w:r w:rsidRPr="00924F59">
        <w:rPr>
          <w:rStyle w:val="TextoNormalCaracter"/>
        </w:rPr>
        <w:t xml:space="preserve">, Sentencias </w:t>
      </w:r>
      <w:hyperlink w:anchor="SENTENCIA_2016_19" w:history="1">
        <w:r w:rsidRPr="00924F59">
          <w:rPr>
            <w:rStyle w:val="TextoNormalCaracter"/>
          </w:rPr>
          <w:t>19/2016</w:t>
        </w:r>
      </w:hyperlink>
      <w:r w:rsidRPr="00924F59">
        <w:rPr>
          <w:rStyle w:val="TextoNormalCaracter"/>
        </w:rPr>
        <w:t xml:space="preserve">, f. 2; </w:t>
      </w:r>
      <w:hyperlink w:anchor="SENTENCIA_2016_29" w:history="1">
        <w:r w:rsidRPr="00924F59">
          <w:rPr>
            <w:rStyle w:val="TextoNormalCaracter"/>
          </w:rPr>
          <w:t>29/2016</w:t>
        </w:r>
      </w:hyperlink>
      <w:r w:rsidRPr="00924F59">
        <w:rPr>
          <w:rStyle w:val="TextoNormalCaracter"/>
        </w:rPr>
        <w:t xml:space="preserve">, f. 2; </w:t>
      </w:r>
      <w:hyperlink w:anchor="SENTENCIA_2016_30" w:history="1">
        <w:r w:rsidRPr="00924F59">
          <w:rPr>
            <w:rStyle w:val="TextoNormalCaracter"/>
          </w:rPr>
          <w:t>30/2016</w:t>
        </w:r>
      </w:hyperlink>
      <w:r w:rsidRPr="00924F59">
        <w:rPr>
          <w:rStyle w:val="TextoNormalCaracter"/>
        </w:rPr>
        <w:t xml:space="preserve">, f. 2; </w:t>
      </w:r>
      <w:hyperlink w:anchor="SENTENCIA_2016_61" w:history="1">
        <w:r w:rsidRPr="00924F59">
          <w:rPr>
            <w:rStyle w:val="TextoNormalCaracter"/>
          </w:rPr>
          <w:t>61/2016</w:t>
        </w:r>
      </w:hyperlink>
      <w:r w:rsidRPr="00924F59">
        <w:rPr>
          <w:rStyle w:val="TextoNormalCaracter"/>
        </w:rPr>
        <w:t xml:space="preserve">, f. 2; </w:t>
      </w:r>
      <w:hyperlink w:anchor="SENTENCIA_2016_99" w:history="1">
        <w:r w:rsidRPr="00924F59">
          <w:rPr>
            <w:rStyle w:val="TextoNormalCaracter"/>
          </w:rPr>
          <w:t>99/2016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77" w:name="DESCRIPTORALFABETICO260"/>
      <w:r w:rsidRPr="00924F59">
        <w:rPr>
          <w:rStyle w:val="TextoNormalNegritaCaracter"/>
        </w:rPr>
        <w:t>Pervivencia del objeto pese a la derogación de la norma</w:t>
      </w:r>
      <w:bookmarkEnd w:id="1777"/>
      <w:r w:rsidRPr="00924F59">
        <w:rPr>
          <w:rStyle w:val="TextoNormalCaracter"/>
        </w:rPr>
        <w:t xml:space="preserve">, Sentencias </w:t>
      </w:r>
      <w:hyperlink w:anchor="SENTENCIA_2016_25" w:history="1">
        <w:r w:rsidRPr="00924F59">
          <w:rPr>
            <w:rStyle w:val="TextoNormalCaracter"/>
          </w:rPr>
          <w:t>25/2016</w:t>
        </w:r>
      </w:hyperlink>
      <w:r w:rsidRPr="00924F59">
        <w:rPr>
          <w:rStyle w:val="TextoNormalCaracter"/>
        </w:rPr>
        <w:t xml:space="preserve">, f. 1; </w:t>
      </w:r>
      <w:hyperlink w:anchor="SENTENCIA_2016_35" w:history="1">
        <w:r w:rsidRPr="00924F59">
          <w:rPr>
            <w:rStyle w:val="TextoNormalCaracter"/>
          </w:rPr>
          <w:t>35/2016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78" w:name="DESCRIPTORALFABETICO261"/>
      <w:r w:rsidRPr="00924F59">
        <w:rPr>
          <w:rStyle w:val="TextoNormalNegritaCaracter"/>
        </w:rPr>
        <w:t>Pervivencia del objeto pese a la modificación de la norma</w:t>
      </w:r>
      <w:bookmarkEnd w:id="1778"/>
      <w:r w:rsidRPr="00924F59">
        <w:rPr>
          <w:rStyle w:val="TextoNormalCaracter"/>
        </w:rPr>
        <w:t xml:space="preserve">, Sentencias </w:t>
      </w:r>
      <w:hyperlink w:anchor="SENTENCIA_2016_5" w:history="1">
        <w:r w:rsidRPr="00924F59">
          <w:rPr>
            <w:rStyle w:val="TextoNormalCaracter"/>
          </w:rPr>
          <w:t>5/2016</w:t>
        </w:r>
      </w:hyperlink>
      <w:r w:rsidRPr="00924F59">
        <w:rPr>
          <w:rStyle w:val="TextoNormalCaracter"/>
        </w:rPr>
        <w:t xml:space="preserve">, f. 2 B) c) y d); </w:t>
      </w:r>
      <w:hyperlink w:anchor="SENTENCIA_2016_17" w:history="1">
        <w:r w:rsidRPr="00924F59">
          <w:rPr>
            <w:rStyle w:val="TextoNormalCaracter"/>
          </w:rPr>
          <w:t>17/2016</w:t>
        </w:r>
      </w:hyperlink>
      <w:r w:rsidRPr="00924F59">
        <w:rPr>
          <w:rStyle w:val="TextoNormalCaracter"/>
        </w:rPr>
        <w:t xml:space="preserve">, f. 3; </w:t>
      </w:r>
      <w:hyperlink w:anchor="SENTENCIA_2016_25" w:history="1">
        <w:r w:rsidRPr="00924F59">
          <w:rPr>
            <w:rStyle w:val="TextoNormalCaracter"/>
          </w:rPr>
          <w:t>25/2016</w:t>
        </w:r>
      </w:hyperlink>
      <w:r w:rsidRPr="00924F59">
        <w:rPr>
          <w:rStyle w:val="TextoNormalCaracter"/>
        </w:rPr>
        <w:t xml:space="preserve">, f. 1; </w:t>
      </w:r>
      <w:hyperlink w:anchor="SENTENCIA_2016_42" w:history="1">
        <w:r w:rsidRPr="00924F59">
          <w:rPr>
            <w:rStyle w:val="TextoNormalCaracter"/>
          </w:rPr>
          <w:t>42/2016</w:t>
        </w:r>
      </w:hyperlink>
      <w:r w:rsidRPr="00924F59">
        <w:rPr>
          <w:rStyle w:val="TextoNormalCaracter"/>
        </w:rPr>
        <w:t xml:space="preserve">, f. 2; </w:t>
      </w:r>
      <w:hyperlink w:anchor="SENTENCIA_2016_73" w:history="1">
        <w:r w:rsidRPr="00924F59">
          <w:rPr>
            <w:rStyle w:val="TextoNormalCaracter"/>
          </w:rPr>
          <w:t>73/2016</w:t>
        </w:r>
      </w:hyperlink>
      <w:r w:rsidRPr="00924F59">
        <w:rPr>
          <w:rStyle w:val="TextoNormalCaracter"/>
        </w:rPr>
        <w:t xml:space="preserve">, f. 4; </w:t>
      </w:r>
      <w:hyperlink w:anchor="SENTENCIA_2016_99" w:history="1">
        <w:r w:rsidRPr="00924F59">
          <w:rPr>
            <w:rStyle w:val="TextoNormalCaracter"/>
          </w:rPr>
          <w:t>99/2016</w:t>
        </w:r>
      </w:hyperlink>
      <w:r w:rsidRPr="00924F59">
        <w:rPr>
          <w:rStyle w:val="TextoNormalCaracter"/>
        </w:rPr>
        <w:t xml:space="preserve">, f. 2; </w:t>
      </w:r>
      <w:hyperlink w:anchor="SENTENCIA_2016_121" w:history="1">
        <w:r w:rsidRPr="00924F59">
          <w:rPr>
            <w:rStyle w:val="TextoNormalCaracter"/>
          </w:rPr>
          <w:t>121/2016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79" w:name="DESCRIPTORALFABETICO262"/>
      <w:r w:rsidRPr="00924F59">
        <w:rPr>
          <w:rStyle w:val="TextoNormalNegritaCaracter"/>
        </w:rPr>
        <w:t>Pervivencia del objeto pese a la pérdida de vigencia de la norma</w:t>
      </w:r>
      <w:bookmarkEnd w:id="1779"/>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80" w:name="DESCRIPTORALFABETICO786"/>
      <w:r w:rsidRPr="00924F59">
        <w:rPr>
          <w:rStyle w:val="TextoNormalNegritaCaracter"/>
        </w:rPr>
        <w:t>Piquetes informativos</w:t>
      </w:r>
      <w:bookmarkEnd w:id="1780"/>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 ff. 1, 2, 4, VP I, VP II.</w:t>
      </w:r>
    </w:p>
    <w:p w:rsidR="00924F59" w:rsidRPr="00924F59" w:rsidRDefault="00924F59" w:rsidP="00924F59">
      <w:pPr>
        <w:pStyle w:val="TextoNormalSangraFrancesa"/>
        <w:rPr>
          <w:rStyle w:val="TextoNormalCaracter"/>
        </w:rPr>
      </w:pPr>
      <w:bookmarkStart w:id="1781" w:name="DESCRIPTORALFABETICO631"/>
      <w:r w:rsidRPr="00924F59">
        <w:rPr>
          <w:rStyle w:val="TextoNormalNegritaCaracter"/>
        </w:rPr>
        <w:t>Planeamiento urbanístico</w:t>
      </w:r>
      <w:bookmarkEnd w:id="1781"/>
      <w:r w:rsidRPr="00924F59">
        <w:rPr>
          <w:rStyle w:val="TextoNormalCaracter"/>
        </w:rPr>
        <w:t xml:space="preserve">, Sentencias </w:t>
      </w:r>
      <w:hyperlink w:anchor="SENTENCIA_2016_20" w:history="1">
        <w:r w:rsidRPr="00924F59">
          <w:rPr>
            <w:rStyle w:val="TextoNormalCaracter"/>
          </w:rPr>
          <w:t>20/2016</w:t>
        </w:r>
      </w:hyperlink>
      <w:r w:rsidRPr="00924F59">
        <w:rPr>
          <w:rStyle w:val="TextoNormalCaracter"/>
        </w:rPr>
        <w:t xml:space="preserve">, ff. 5, 7, 9; </w:t>
      </w:r>
      <w:hyperlink w:anchor="SENTENCIA_2016_57" w:history="1">
        <w:r w:rsidRPr="00924F59">
          <w:rPr>
            <w:rStyle w:val="TextoNormalCaracter"/>
          </w:rPr>
          <w:t>57/2016</w:t>
        </w:r>
      </w:hyperlink>
      <w:r w:rsidRPr="00924F59">
        <w:rPr>
          <w:rStyle w:val="TextoNormalCaracter"/>
        </w:rPr>
        <w:t>, f. 11.</w:t>
      </w:r>
    </w:p>
    <w:p w:rsidR="00924F59" w:rsidRPr="00924F59" w:rsidRDefault="00924F59" w:rsidP="00924F59">
      <w:pPr>
        <w:pStyle w:val="TextoNormalSangraFrancesa"/>
        <w:rPr>
          <w:rStyle w:val="TextoNormalCaracter"/>
        </w:rPr>
      </w:pPr>
      <w:bookmarkStart w:id="1782" w:name="DESCRIPTORALFABETICO763"/>
      <w:r w:rsidRPr="00924F59">
        <w:rPr>
          <w:rStyle w:val="TextoNormalNegritaCaracter"/>
        </w:rPr>
        <w:t>Planes y fondos de pensiones</w:t>
      </w:r>
      <w:bookmarkEnd w:id="1782"/>
      <w:r w:rsidRPr="00924F59">
        <w:rPr>
          <w:rStyle w:val="TextoNormalCaracter"/>
        </w:rPr>
        <w:t xml:space="preserve">, Sentencia </w:t>
      </w:r>
      <w:hyperlink w:anchor="SENTENCIA_2016_18" w:history="1">
        <w:r w:rsidRPr="00924F59">
          <w:rPr>
            <w:rStyle w:val="TextoNormalCaracter"/>
          </w:rPr>
          <w:t>18/2016</w:t>
        </w:r>
      </w:hyperlink>
      <w:r w:rsidRPr="00924F59">
        <w:rPr>
          <w:rStyle w:val="TextoNormalCaracter"/>
        </w:rPr>
        <w:t>, f. 6.</w:t>
      </w:r>
    </w:p>
    <w:p w:rsidR="00924F59" w:rsidRPr="00924F59" w:rsidRDefault="00924F59" w:rsidP="00924F59">
      <w:pPr>
        <w:pStyle w:val="TextoNormalSangraFrancesa"/>
        <w:rPr>
          <w:rStyle w:val="TextoNormalCaracter"/>
        </w:rPr>
      </w:pPr>
      <w:bookmarkStart w:id="1783" w:name="DESCRIPTORALFABETICO98"/>
      <w:r w:rsidRPr="00924F59">
        <w:rPr>
          <w:rStyle w:val="TextoNormalNegritaCaracter"/>
        </w:rPr>
        <w:t>Planificación económica</w:t>
      </w:r>
      <w:bookmarkEnd w:id="1783"/>
      <w:r w:rsidRPr="00924F59">
        <w:rPr>
          <w:rStyle w:val="TextoNormalCaracter"/>
        </w:rPr>
        <w:t xml:space="preserve">, Sentencia </w:t>
      </w:r>
      <w:hyperlink w:anchor="SENTENCIA_2016_73" w:history="1">
        <w:r w:rsidRPr="00924F59">
          <w:rPr>
            <w:rStyle w:val="TextoNormalCaracter"/>
          </w:rPr>
          <w:t>73/2016</w:t>
        </w:r>
      </w:hyperlink>
      <w:r w:rsidRPr="00924F59">
        <w:rPr>
          <w:rStyle w:val="TextoNormalCaracter"/>
        </w:rPr>
        <w:t>, ff. 5, 6.</w:t>
      </w:r>
    </w:p>
    <w:p w:rsidR="00924F59" w:rsidRPr="00924F59" w:rsidRDefault="00924F59" w:rsidP="00924F59">
      <w:pPr>
        <w:pStyle w:val="TextoNormalSangraFrancesa"/>
        <w:rPr>
          <w:rStyle w:val="TextoNormalCaracter"/>
        </w:rPr>
      </w:pPr>
      <w:bookmarkStart w:id="1784" w:name="DESCRIPTORALFABETICO632"/>
      <w:r w:rsidRPr="00924F59">
        <w:rPr>
          <w:rStyle w:val="TextoNormalNegritaCaracter"/>
        </w:rPr>
        <w:t>Planificación territorial autonómica</w:t>
      </w:r>
      <w:bookmarkEnd w:id="1784"/>
      <w:r w:rsidRPr="00924F59">
        <w:rPr>
          <w:rStyle w:val="TextoNormalCaracter"/>
        </w:rPr>
        <w:t xml:space="preserve">, Sentencia </w:t>
      </w:r>
      <w:hyperlink w:anchor="SENTENCIA_2016_20" w:history="1">
        <w:r w:rsidRPr="00924F59">
          <w:rPr>
            <w:rStyle w:val="TextoNormalCaracter"/>
          </w:rPr>
          <w:t>20/2016</w:t>
        </w:r>
      </w:hyperlink>
      <w:r w:rsidRPr="00924F59">
        <w:rPr>
          <w:rStyle w:val="TextoNormalCaracter"/>
        </w:rPr>
        <w:t>, ff. 5, 7, 9.</w:t>
      </w:r>
    </w:p>
    <w:p w:rsidR="00924F59" w:rsidRPr="00924F59" w:rsidRDefault="00924F59" w:rsidP="00924F59">
      <w:pPr>
        <w:pStyle w:val="TextoNormalSangraFrancesa"/>
        <w:rPr>
          <w:rStyle w:val="TextoNormalCaracter"/>
        </w:rPr>
      </w:pPr>
      <w:bookmarkStart w:id="1785" w:name="DESCRIPTORALFABETICO328"/>
      <w:r w:rsidRPr="00924F59">
        <w:rPr>
          <w:rStyle w:val="TextoNormalNegritaCaracter"/>
        </w:rPr>
        <w:t>Plazo de interposición del recurso de amparo</w:t>
      </w:r>
      <w:bookmarkEnd w:id="1785"/>
      <w:r w:rsidRPr="00924F59">
        <w:rPr>
          <w:rStyle w:val="TextoNormalCaracter"/>
        </w:rPr>
        <w:t xml:space="preserve">, Auto </w:t>
      </w:r>
      <w:hyperlink w:anchor="AUTO_2016_66" w:history="1">
        <w:r w:rsidRPr="00924F59">
          <w:rPr>
            <w:rStyle w:val="TextoNormalCaracter"/>
          </w:rPr>
          <w:t>66/2016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786" w:name="DESCRIPTORALFABETICO605"/>
      <w:r w:rsidRPr="00924F59">
        <w:rPr>
          <w:rStyle w:val="TextoNormalNegritaCaracter"/>
        </w:rPr>
        <w:t>Plazo de prescripción de infracciones penales</w:t>
      </w:r>
      <w:bookmarkEnd w:id="1786"/>
      <w:r w:rsidRPr="00924F59">
        <w:rPr>
          <w:rStyle w:val="TextoNormalCaracter"/>
        </w:rPr>
        <w:t xml:space="preserve">, Sentencia </w:t>
      </w:r>
      <w:hyperlink w:anchor="SENTENCIA_2016_51" w:history="1">
        <w:r w:rsidRPr="00924F59">
          <w:rPr>
            <w:rStyle w:val="TextoNormalCaracter"/>
          </w:rPr>
          <w:t>51/2016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787" w:name="DESCRIPTORALFABETICO721"/>
      <w:r w:rsidRPr="00924F59">
        <w:rPr>
          <w:rStyle w:val="TextoNormalNegritaCaracter"/>
        </w:rPr>
        <w:t>Plazo de prescripción de la pena</w:t>
      </w:r>
      <w:bookmarkEnd w:id="1787"/>
      <w:r w:rsidRPr="00924F59">
        <w:rPr>
          <w:rStyle w:val="TextoNormalCaracter"/>
        </w:rPr>
        <w:t xml:space="preserve">, Sentencias </w:t>
      </w:r>
      <w:hyperlink w:anchor="SENTENCIA_2016_12" w:history="1">
        <w:r w:rsidRPr="00924F59">
          <w:rPr>
            <w:rStyle w:val="TextoNormalCaracter"/>
          </w:rPr>
          <w:t>12/2016</w:t>
        </w:r>
      </w:hyperlink>
      <w:r w:rsidRPr="00924F59">
        <w:rPr>
          <w:rStyle w:val="TextoNormalCaracter"/>
        </w:rPr>
        <w:t xml:space="preserve">, ff. 4, 5; </w:t>
      </w:r>
      <w:hyperlink w:anchor="SENTENCIA_2016_14" w:history="1">
        <w:r w:rsidRPr="00924F59">
          <w:rPr>
            <w:rStyle w:val="TextoNormalCaracter"/>
          </w:rPr>
          <w:t>14/2016</w:t>
        </w:r>
      </w:hyperlink>
      <w:r w:rsidRPr="00924F59">
        <w:rPr>
          <w:rStyle w:val="TextoNormalCaracter"/>
        </w:rPr>
        <w:t>, ff. 2 a 4.</w:t>
      </w:r>
    </w:p>
    <w:p w:rsidR="00924F59" w:rsidRPr="00924F59" w:rsidRDefault="00924F59" w:rsidP="00924F59">
      <w:pPr>
        <w:pStyle w:val="TextoNormalSangraFrancesa"/>
        <w:rPr>
          <w:rStyle w:val="TextoNormalCaracter"/>
        </w:rPr>
      </w:pPr>
      <w:bookmarkStart w:id="1788" w:name="DESCRIPTORALFABETICO593"/>
      <w:r w:rsidRPr="00924F59">
        <w:rPr>
          <w:rStyle w:val="TextoNormalNegritaCaracter"/>
        </w:rPr>
        <w:t>Plazo de presentación de solicitud de subvención</w:t>
      </w:r>
      <w:bookmarkEnd w:id="1788"/>
      <w:r w:rsidRPr="00924F59">
        <w:rPr>
          <w:rStyle w:val="TextoNormalCaracter"/>
        </w:rPr>
        <w:t xml:space="preserve">, Sentencia </w:t>
      </w:r>
      <w:hyperlink w:anchor="SENTENCIA_2016_87" w:history="1">
        <w:r w:rsidRPr="00924F59">
          <w:rPr>
            <w:rStyle w:val="TextoNormalCaracter"/>
          </w:rPr>
          <w:t>87/2016</w:t>
        </w:r>
      </w:hyperlink>
      <w:r w:rsidRPr="00924F59">
        <w:rPr>
          <w:rStyle w:val="TextoNormalCaracter"/>
        </w:rPr>
        <w:t>, f. 7 c).</w:t>
      </w:r>
    </w:p>
    <w:p w:rsidR="00924F59" w:rsidRPr="00924F59" w:rsidRDefault="00924F59" w:rsidP="00924F59">
      <w:pPr>
        <w:pStyle w:val="TextoNormalSangraFrancesa"/>
        <w:rPr>
          <w:rStyle w:val="TextoNormalCaracter"/>
        </w:rPr>
      </w:pPr>
      <w:bookmarkStart w:id="1789" w:name="DESCRIPTORALFABETICO159"/>
      <w:r w:rsidRPr="00924F59">
        <w:rPr>
          <w:rStyle w:val="TextoNormalNegritaCaracter"/>
        </w:rPr>
        <w:t>Plazo para la ratificación judicial del internamiento psiquiátrico</w:t>
      </w:r>
      <w:bookmarkEnd w:id="1789"/>
      <w:r w:rsidRPr="00924F59">
        <w:rPr>
          <w:rStyle w:val="TextoNormalCaracter"/>
        </w:rPr>
        <w:t xml:space="preserve">, Sentencia </w:t>
      </w:r>
      <w:hyperlink w:anchor="SENTENCIA_2016_34" w:history="1">
        <w:r w:rsidRPr="00924F59">
          <w:rPr>
            <w:rStyle w:val="TextoNormalCaracter"/>
          </w:rPr>
          <w:t>34/2016</w:t>
        </w:r>
      </w:hyperlink>
      <w:r w:rsidRPr="00924F59">
        <w:rPr>
          <w:rStyle w:val="TextoNormalCaracter"/>
        </w:rPr>
        <w:t>, ff. 5 a 7.</w:t>
      </w:r>
    </w:p>
    <w:p w:rsidR="00924F59" w:rsidRPr="00924F59" w:rsidRDefault="00924F59" w:rsidP="00924F59">
      <w:pPr>
        <w:pStyle w:val="TextoNormalSangraFrancesa"/>
        <w:rPr>
          <w:rStyle w:val="TextoNormalCaracter"/>
        </w:rPr>
      </w:pPr>
      <w:bookmarkStart w:id="1790" w:name="DESCRIPTORALFABETICO326"/>
      <w:r w:rsidRPr="00924F59">
        <w:rPr>
          <w:rStyle w:val="TextoNormalNegritaCaracter"/>
        </w:rPr>
        <w:t>Plazos del recurso de amparo</w:t>
      </w:r>
      <w:bookmarkEnd w:id="1790"/>
      <w:r w:rsidRPr="00924F59">
        <w:rPr>
          <w:rStyle w:val="TextoNormalCaracter"/>
        </w:rPr>
        <w:t xml:space="preserve">, Sentencia </w:t>
      </w:r>
      <w:hyperlink w:anchor="SENTENCIA_2016_94" w:history="1">
        <w:r w:rsidRPr="00924F59">
          <w:rPr>
            <w:rStyle w:val="TextoNormalCaracter"/>
          </w:rPr>
          <w:t>94/2016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91" w:name="DESCRIPTORALFABETICO458"/>
      <w:r w:rsidRPr="00924F59">
        <w:rPr>
          <w:rStyle w:val="TextoNormalNegritaCaracter"/>
        </w:rPr>
        <w:t>Plenos municipales</w:t>
      </w:r>
      <w:bookmarkEnd w:id="1791"/>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 8, VP.</w:t>
      </w:r>
    </w:p>
    <w:p w:rsidR="00924F59" w:rsidRPr="00924F59" w:rsidRDefault="00924F59" w:rsidP="00924F59">
      <w:pPr>
        <w:pStyle w:val="TextoNormalSangraFrancesa"/>
        <w:rPr>
          <w:rStyle w:val="TextoNormalCaracter"/>
        </w:rPr>
      </w:pPr>
      <w:bookmarkStart w:id="1792" w:name="DESCRIPTORALFABETICO447"/>
      <w:r w:rsidRPr="00924F59">
        <w:rPr>
          <w:rStyle w:val="TextoNormalNegritaCaracter"/>
        </w:rPr>
        <w:t>Pluralismo lingüístico</w:t>
      </w:r>
      <w:bookmarkEnd w:id="1792"/>
      <w:r w:rsidRPr="00924F59">
        <w:rPr>
          <w:rStyle w:val="TextoNormalCaracter"/>
        </w:rPr>
        <w:t xml:space="preserve">, Sentencia </w:t>
      </w:r>
      <w:hyperlink w:anchor="SENTENCIA_2016_56" w:history="1">
        <w:r w:rsidRPr="00924F59">
          <w:rPr>
            <w:rStyle w:val="TextoNormalCaracter"/>
          </w:rPr>
          <w:t>56/2016</w:t>
        </w:r>
      </w:hyperlink>
      <w:r w:rsidRPr="00924F59">
        <w:rPr>
          <w:rStyle w:val="TextoNormalCaracter"/>
        </w:rPr>
        <w:t>, ff. 2, 5.</w:t>
      </w:r>
    </w:p>
    <w:p w:rsidR="00924F59" w:rsidRPr="00924F59" w:rsidRDefault="00924F59" w:rsidP="00924F59">
      <w:pPr>
        <w:pStyle w:val="TextoNormalSangraFrancesa"/>
        <w:rPr>
          <w:rStyle w:val="TextoNormalCaracter"/>
        </w:rPr>
      </w:pPr>
      <w:bookmarkStart w:id="1793" w:name="DESCRIPTORALFABETICO437"/>
      <w:r w:rsidRPr="00924F59">
        <w:rPr>
          <w:rStyle w:val="TextoNormalNegritaCaracter"/>
        </w:rPr>
        <w:t>Pluralismo político</w:t>
      </w:r>
      <w:bookmarkEnd w:id="1793"/>
      <w:r w:rsidRPr="00924F59">
        <w:rPr>
          <w:rStyle w:val="TextoNormalCaracter"/>
        </w:rPr>
        <w:t xml:space="preserve">, Sentencias </w:t>
      </w:r>
      <w:hyperlink w:anchor="SENTENCIA_2016_107" w:history="1">
        <w:r w:rsidRPr="00924F59">
          <w:rPr>
            <w:rStyle w:val="TextoNormalCaracter"/>
          </w:rPr>
          <w:t>107/2016</w:t>
        </w:r>
      </w:hyperlink>
      <w:r w:rsidRPr="00924F59">
        <w:rPr>
          <w:rStyle w:val="TextoNormalCaracter"/>
        </w:rPr>
        <w:t xml:space="preserve">, f. 4; </w:t>
      </w:r>
      <w:hyperlink w:anchor="SENTENCIA_2016_108" w:history="1">
        <w:r w:rsidRPr="00924F59">
          <w:rPr>
            <w:rStyle w:val="TextoNormalCaracter"/>
          </w:rPr>
          <w:t>108/2016</w:t>
        </w:r>
      </w:hyperlink>
      <w:r w:rsidRPr="00924F59">
        <w:rPr>
          <w:rStyle w:val="TextoNormalCaracter"/>
        </w:rPr>
        <w:t xml:space="preserve">, f. 4; </w:t>
      </w:r>
      <w:hyperlink w:anchor="SENTENCIA_2016_109" w:history="1">
        <w:r w:rsidRPr="00924F59">
          <w:rPr>
            <w:rStyle w:val="TextoNormalCaracter"/>
          </w:rPr>
          <w:t>109/2016</w:t>
        </w:r>
      </w:hyperlink>
      <w:r w:rsidRPr="00924F59">
        <w:rPr>
          <w:rStyle w:val="TextoNormalCaracter"/>
        </w:rPr>
        <w:t>, f. 6.</w:t>
      </w:r>
    </w:p>
    <w:p w:rsidR="00924F59" w:rsidRPr="00924F59" w:rsidRDefault="00924F59" w:rsidP="00924F59">
      <w:pPr>
        <w:pStyle w:val="TextoNormalSangraFrancesa"/>
        <w:rPr>
          <w:rStyle w:val="TextoNormalCaracter"/>
        </w:rPr>
      </w:pPr>
      <w:bookmarkStart w:id="1794" w:name="DESCRIPTORALFABETICO573"/>
      <w:r w:rsidRPr="00924F59">
        <w:rPr>
          <w:rStyle w:val="TextoNormalNegritaCaracter"/>
        </w:rPr>
        <w:t>Pobreza energética</w:t>
      </w:r>
      <w:bookmarkEnd w:id="1794"/>
      <w:r w:rsidRPr="00924F59">
        <w:rPr>
          <w:rStyle w:val="TextoNormalCaracter"/>
        </w:rPr>
        <w:t xml:space="preserve">, Sentencia </w:t>
      </w:r>
      <w:hyperlink w:anchor="SENTENCIA_2016_62" w:history="1">
        <w:r w:rsidRPr="00924F59">
          <w:rPr>
            <w:rStyle w:val="TextoNormalCaracter"/>
          </w:rPr>
          <w:t>62/2016</w:t>
        </w:r>
      </w:hyperlink>
      <w:r w:rsidRPr="00924F59">
        <w:rPr>
          <w:rStyle w:val="TextoNormalCaracter"/>
        </w:rPr>
        <w:t>, ff. 3, 9.</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72" w:history="1">
        <w:r w:rsidRPr="00924F59">
          <w:rPr>
            <w:rStyle w:val="TextoNormalCaracter"/>
          </w:rPr>
          <w:t>72/2016</w:t>
        </w:r>
      </w:hyperlink>
      <w:r w:rsidRPr="00924F59">
        <w:rPr>
          <w:rStyle w:val="TextoNormalCaracter"/>
        </w:rPr>
        <w:t>, f. 2.</w:t>
      </w:r>
    </w:p>
    <w:p w:rsidR="00924F59" w:rsidRPr="00924F59" w:rsidRDefault="00924F59" w:rsidP="00924F59">
      <w:pPr>
        <w:pStyle w:val="TextoNormalSangraFrancesa"/>
        <w:rPr>
          <w:rStyle w:val="TextoNormalCaracter"/>
        </w:rPr>
      </w:pPr>
      <w:bookmarkStart w:id="1795" w:name="DESCRIPTORALFABETICO76"/>
      <w:r w:rsidRPr="00924F59">
        <w:rPr>
          <w:rStyle w:val="TextoNormalNegritaCaracter"/>
        </w:rPr>
        <w:t>Poder de gasto del Estado</w:t>
      </w:r>
      <w:bookmarkEnd w:id="1795"/>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796" w:name="DESCRIPTORALFABETICO595"/>
      <w:r w:rsidRPr="00924F59">
        <w:rPr>
          <w:rStyle w:val="TextoNormalNegritaCaracter"/>
        </w:rPr>
        <w:t>Policía local</w:t>
      </w:r>
      <w:bookmarkEnd w:id="1796"/>
      <w:r w:rsidRPr="00924F59">
        <w:rPr>
          <w:rStyle w:val="TextoNormalCaracter"/>
        </w:rPr>
        <w:t xml:space="preserve">, Auto </w:t>
      </w:r>
      <w:hyperlink w:anchor="AUTO_2016_89" w:history="1">
        <w:r w:rsidRPr="00924F59">
          <w:rPr>
            <w:rStyle w:val="TextoNormalCaracter"/>
          </w:rPr>
          <w:t>89/2016</w:t>
        </w:r>
      </w:hyperlink>
      <w:r w:rsidRPr="00924F59">
        <w:rPr>
          <w:rStyle w:val="TextoNormalCaracter"/>
        </w:rPr>
        <w:t>, f. 3.</w:t>
      </w:r>
    </w:p>
    <w:p w:rsidR="00924F59" w:rsidRPr="00924F59" w:rsidRDefault="00924F59" w:rsidP="00924F59">
      <w:pPr>
        <w:pStyle w:val="TextoNormalSangraFrancesa"/>
        <w:rPr>
          <w:rStyle w:val="TextoNormalCaracter"/>
        </w:rPr>
      </w:pPr>
      <w:bookmarkStart w:id="1797" w:name="DESCRIPTORALFABETICO429"/>
      <w:r w:rsidRPr="00924F59">
        <w:rPr>
          <w:rStyle w:val="TextoNormalNegritaCaracter"/>
        </w:rPr>
        <w:t>Ponderación de intereses</w:t>
      </w:r>
      <w:bookmarkEnd w:id="1797"/>
      <w:r w:rsidRPr="00924F59">
        <w:rPr>
          <w:rStyle w:val="TextoNormalCaracter"/>
        </w:rPr>
        <w:t xml:space="preserve">, Sentencia </w:t>
      </w:r>
      <w:hyperlink w:anchor="SENTENCIA_2016_29" w:history="1">
        <w:r w:rsidRPr="00924F59">
          <w:rPr>
            <w:rStyle w:val="TextoNormalCaracter"/>
          </w:rPr>
          <w:t>29/2016</w:t>
        </w:r>
      </w:hyperlink>
      <w:r w:rsidRPr="00924F59">
        <w:rPr>
          <w:rStyle w:val="TextoNormalCaracter"/>
        </w:rPr>
        <w:t>, f. 6.</w:t>
      </w:r>
    </w:p>
    <w:p w:rsidR="00924F59" w:rsidRPr="00924F59" w:rsidRDefault="00924F59" w:rsidP="00924F59">
      <w:pPr>
        <w:pStyle w:val="TextoNormalSangraFrancesa"/>
        <w:rPr>
          <w:rStyle w:val="TextoNormalCaracter"/>
        </w:rPr>
      </w:pPr>
      <w:bookmarkStart w:id="1798" w:name="DESCRIPTORALFABETICO390"/>
      <w:r w:rsidRPr="00924F59">
        <w:rPr>
          <w:rStyle w:val="TextoNormalNegritaCaracter"/>
        </w:rPr>
        <w:t>Portavoces parlamentarios</w:t>
      </w:r>
      <w:bookmarkEnd w:id="1798"/>
      <w:r w:rsidRPr="00924F59">
        <w:rPr>
          <w:rStyle w:val="TextoNormalCaracter"/>
        </w:rPr>
        <w:t xml:space="preserve">, Sentencias </w:t>
      </w:r>
      <w:hyperlink w:anchor="SENTENCIA_2016_107" w:history="1">
        <w:r w:rsidRPr="00924F59">
          <w:rPr>
            <w:rStyle w:val="TextoNormalCaracter"/>
          </w:rPr>
          <w:t>107/2016</w:t>
        </w:r>
      </w:hyperlink>
      <w:r w:rsidRPr="00924F59">
        <w:rPr>
          <w:rStyle w:val="TextoNormalCaracter"/>
        </w:rPr>
        <w:t xml:space="preserve">, ff. 1, 2, 4; </w:t>
      </w:r>
      <w:hyperlink w:anchor="SENTENCIA_2016_108" w:history="1">
        <w:r w:rsidRPr="00924F59">
          <w:rPr>
            <w:rStyle w:val="TextoNormalCaracter"/>
          </w:rPr>
          <w:t>108/2016</w:t>
        </w:r>
      </w:hyperlink>
      <w:r w:rsidRPr="00924F59">
        <w:rPr>
          <w:rStyle w:val="TextoNormalCaracter"/>
        </w:rPr>
        <w:t xml:space="preserve">, ff. 1, 2, 4; </w:t>
      </w:r>
      <w:hyperlink w:anchor="SENTENCIA_2016_109" w:history="1">
        <w:r w:rsidRPr="00924F59">
          <w:rPr>
            <w:rStyle w:val="TextoNormalCaracter"/>
          </w:rPr>
          <w:t>109/2016</w:t>
        </w:r>
      </w:hyperlink>
      <w:r w:rsidRPr="00924F59">
        <w:rPr>
          <w:rStyle w:val="TextoNormalCaracter"/>
        </w:rPr>
        <w:t>, ff. 1, 5, 6.</w:t>
      </w:r>
    </w:p>
    <w:p w:rsidR="00924F59" w:rsidRPr="00924F59" w:rsidRDefault="00924F59" w:rsidP="00924F59">
      <w:pPr>
        <w:pStyle w:val="TextoNormalSangraFrancesa"/>
        <w:rPr>
          <w:rStyle w:val="TextoNormalCaracter"/>
        </w:rPr>
      </w:pPr>
      <w:bookmarkStart w:id="1799" w:name="DESCRIPTORALFABETICO110"/>
      <w:r w:rsidRPr="00924F59">
        <w:rPr>
          <w:rStyle w:val="TextoNormalNegritaCaracter"/>
        </w:rPr>
        <w:t>Potestad originaria del Estado en materia tributaria</w:t>
      </w:r>
      <w:bookmarkEnd w:id="1799"/>
      <w:r w:rsidRPr="00924F59">
        <w:rPr>
          <w:rStyle w:val="TextoNormalCaracter"/>
        </w:rPr>
        <w:t xml:space="preserve">, Sentencia </w:t>
      </w:r>
      <w:hyperlink w:anchor="SENTENCIA_2016_25" w:history="1">
        <w:r w:rsidRPr="00924F59">
          <w:rPr>
            <w:rStyle w:val="TextoNormalCaracter"/>
          </w:rPr>
          <w:t>25/2016</w:t>
        </w:r>
      </w:hyperlink>
      <w:r w:rsidRPr="00924F59">
        <w:rPr>
          <w:rStyle w:val="TextoNormalCaracter"/>
        </w:rPr>
        <w:t>, ff. 2 a 4.</w:t>
      </w:r>
    </w:p>
    <w:p w:rsidR="00924F59" w:rsidRPr="00924F59" w:rsidRDefault="00924F59" w:rsidP="00924F59">
      <w:pPr>
        <w:pStyle w:val="TextoNormalSangraFrancesa"/>
        <w:rPr>
          <w:rStyle w:val="TextoNormalCaracter"/>
        </w:rPr>
      </w:pPr>
      <w:bookmarkStart w:id="1800" w:name="DESCRIPTORALFABETICO367"/>
      <w:r w:rsidRPr="00924F59">
        <w:rPr>
          <w:rStyle w:val="TextoNormalNegritaCaracter"/>
        </w:rPr>
        <w:t>Potestad sancionadora</w:t>
      </w:r>
      <w:bookmarkEnd w:id="1800"/>
      <w:r w:rsidRPr="00924F59">
        <w:rPr>
          <w:rStyle w:val="TextoNormalCaracter"/>
        </w:rPr>
        <w:t xml:space="preserve">, Sentencia </w:t>
      </w:r>
      <w:hyperlink w:anchor="SENTENCIA_2016_21" w:history="1">
        <w:r w:rsidRPr="00924F59">
          <w:rPr>
            <w:rStyle w:val="TextoNormalCaracter"/>
          </w:rPr>
          <w:t>21/2016</w:t>
        </w:r>
      </w:hyperlink>
      <w:r w:rsidRPr="00924F59">
        <w:rPr>
          <w:rStyle w:val="TextoNormalCaracter"/>
        </w:rPr>
        <w:t>, f. 3.</w:t>
      </w:r>
    </w:p>
    <w:p w:rsidR="00924F59" w:rsidRPr="00924F59" w:rsidRDefault="00924F59" w:rsidP="00924F59">
      <w:pPr>
        <w:pStyle w:val="TextoNormalSangraFrancesa"/>
        <w:rPr>
          <w:rStyle w:val="TextoNormalCaracter"/>
        </w:rPr>
      </w:pPr>
      <w:bookmarkStart w:id="1801" w:name="DESCRIPTORALFABETICO368"/>
      <w:r w:rsidRPr="00924F59">
        <w:rPr>
          <w:rStyle w:val="TextoNormalNegritaCaracter"/>
        </w:rPr>
        <w:t>Potestad sancionadora de las Comunidades Autónomas</w:t>
      </w:r>
      <w:bookmarkEnd w:id="1801"/>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 12.</w:t>
      </w:r>
    </w:p>
    <w:p w:rsidR="00924F59" w:rsidRPr="00924F59" w:rsidRDefault="00924F59" w:rsidP="00924F59">
      <w:pPr>
        <w:pStyle w:val="TextoNormalSangraFrancesa"/>
        <w:rPr>
          <w:rStyle w:val="TextoNormalCaracter"/>
        </w:rPr>
      </w:pPr>
      <w:bookmarkStart w:id="1802" w:name="DESCRIPTORALFABETICO369"/>
      <w:r w:rsidRPr="00924F59">
        <w:rPr>
          <w:rStyle w:val="TextoNormalNegritaCaracter"/>
        </w:rPr>
        <w:t>Potestad sancionadora no es título competencial</w:t>
      </w:r>
      <w:bookmarkEnd w:id="1802"/>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 12.</w:t>
      </w:r>
    </w:p>
    <w:p w:rsidR="00924F59" w:rsidRPr="00924F59" w:rsidRDefault="00924F59" w:rsidP="00924F59">
      <w:pPr>
        <w:pStyle w:val="TextoNormalSangraFrancesa"/>
        <w:rPr>
          <w:rStyle w:val="TextoNormalCaracter"/>
        </w:rPr>
      </w:pPr>
      <w:bookmarkStart w:id="1803" w:name="DESCRIPTORALFABETICO293"/>
      <w:r w:rsidRPr="00924F59">
        <w:rPr>
          <w:rStyle w:val="TextoNormalNegritaCaracter"/>
        </w:rPr>
        <w:t>Prerrogativa exclusiva de los órganos judiciales para plantear cuestión de inconstitucionalidad</w:t>
      </w:r>
      <w:bookmarkEnd w:id="1803"/>
      <w:r w:rsidRPr="00924F59">
        <w:rPr>
          <w:rStyle w:val="TextoNormalCaracter"/>
        </w:rPr>
        <w:t xml:space="preserve">, Sentencias </w:t>
      </w:r>
      <w:hyperlink w:anchor="SENTENCIA_2016_92" w:history="1">
        <w:r w:rsidRPr="00924F59">
          <w:rPr>
            <w:rStyle w:val="TextoNormalCaracter"/>
          </w:rPr>
          <w:t>92/2016</w:t>
        </w:r>
      </w:hyperlink>
      <w:r w:rsidRPr="00924F59">
        <w:rPr>
          <w:rStyle w:val="TextoNormalCaracter"/>
        </w:rPr>
        <w:t xml:space="preserve">, f. 2; </w:t>
      </w:r>
      <w:hyperlink w:anchor="SENTENCIA_2016_93" w:history="1">
        <w:r w:rsidRPr="00924F59">
          <w:rPr>
            <w:rStyle w:val="TextoNormalCaracter"/>
          </w:rPr>
          <w:t>93/2016</w:t>
        </w:r>
      </w:hyperlink>
      <w:r w:rsidRPr="00924F59">
        <w:rPr>
          <w:rStyle w:val="TextoNormalCaracter"/>
        </w:rPr>
        <w:t xml:space="preserve">, f. 2; </w:t>
      </w:r>
      <w:hyperlink w:anchor="SENTENCIA_2016_98" w:history="1">
        <w:r w:rsidRPr="00924F59">
          <w:rPr>
            <w:rStyle w:val="TextoNormalCaracter"/>
          </w:rPr>
          <w:t>98/2016</w:t>
        </w:r>
      </w:hyperlink>
      <w:r w:rsidRPr="00924F59">
        <w:rPr>
          <w:rStyle w:val="TextoNormalCaracter"/>
        </w:rPr>
        <w:t xml:space="preserve">, f. 2; </w:t>
      </w:r>
      <w:hyperlink w:anchor="SENTENCIA_2016_113" w:history="1">
        <w:r w:rsidRPr="00924F59">
          <w:rPr>
            <w:rStyle w:val="TextoNormalCaracter"/>
          </w:rPr>
          <w:t>113/2016</w:t>
        </w:r>
      </w:hyperlink>
      <w:r w:rsidRPr="00924F59">
        <w:rPr>
          <w:rStyle w:val="TextoNormalCaracter"/>
        </w:rPr>
        <w:t xml:space="preserve">, f. 2; </w:t>
      </w:r>
      <w:hyperlink w:anchor="SENTENCIA_2016_114" w:history="1">
        <w:r w:rsidRPr="00924F59">
          <w:rPr>
            <w:rStyle w:val="TextoNormalCaracter"/>
          </w:rPr>
          <w:t>114/2016</w:t>
        </w:r>
      </w:hyperlink>
      <w:r w:rsidRPr="00924F59">
        <w:rPr>
          <w:rStyle w:val="TextoNormalCaracter"/>
        </w:rPr>
        <w:t xml:space="preserve">, f. 3; </w:t>
      </w:r>
      <w:hyperlink w:anchor="SENTENCIA_2016_115" w:history="1">
        <w:r w:rsidRPr="00924F59">
          <w:rPr>
            <w:rStyle w:val="TextoNormalCaracter"/>
          </w:rPr>
          <w:t>115/2016</w:t>
        </w:r>
      </w:hyperlink>
      <w:r w:rsidRPr="00924F59">
        <w:rPr>
          <w:rStyle w:val="TextoNormalCaracter"/>
        </w:rPr>
        <w:t>, f. 3.</w:t>
      </w:r>
    </w:p>
    <w:p w:rsidR="00924F59" w:rsidRPr="00924F59" w:rsidRDefault="00924F59" w:rsidP="00924F59">
      <w:pPr>
        <w:pStyle w:val="TextoNormalSangraFrancesa"/>
        <w:rPr>
          <w:rStyle w:val="TextoNormalCaracter"/>
        </w:rPr>
      </w:pPr>
      <w:bookmarkStart w:id="1804" w:name="DESCRIPTORALFABETICO719"/>
      <w:r w:rsidRPr="00924F59">
        <w:rPr>
          <w:rStyle w:val="TextoNormalNegritaCaracter"/>
        </w:rPr>
        <w:t>Prescripción de la pena</w:t>
      </w:r>
      <w:bookmarkEnd w:id="1804"/>
      <w:r w:rsidRPr="00924F59">
        <w:rPr>
          <w:rStyle w:val="TextoNormalCaracter"/>
        </w:rPr>
        <w:t xml:space="preserve">, Sentencias </w:t>
      </w:r>
      <w:hyperlink w:anchor="SENTENCIA_2016_12" w:history="1">
        <w:r w:rsidRPr="00924F59">
          <w:rPr>
            <w:rStyle w:val="TextoNormalCaracter"/>
          </w:rPr>
          <w:t>12/2016</w:t>
        </w:r>
      </w:hyperlink>
      <w:r w:rsidRPr="00924F59">
        <w:rPr>
          <w:rStyle w:val="TextoNormalCaracter"/>
        </w:rPr>
        <w:t xml:space="preserve">, ff. 3 a 6; </w:t>
      </w:r>
      <w:hyperlink w:anchor="SENTENCIA_2016_14" w:history="1">
        <w:r w:rsidRPr="00924F59">
          <w:rPr>
            <w:rStyle w:val="TextoNormalCaracter"/>
          </w:rPr>
          <w:t>14/2016</w:t>
        </w:r>
      </w:hyperlink>
      <w:r w:rsidRPr="00924F59">
        <w:rPr>
          <w:rStyle w:val="TextoNormalCaracter"/>
        </w:rPr>
        <w:t>, ff. 2 a 4.</w:t>
      </w:r>
    </w:p>
    <w:p w:rsidR="00924F59" w:rsidRPr="00924F59" w:rsidRDefault="00924F59" w:rsidP="00924F59">
      <w:pPr>
        <w:pStyle w:val="TextoNormalSangraFrancesa"/>
        <w:rPr>
          <w:rStyle w:val="TextoNormalCaracter"/>
        </w:rPr>
      </w:pPr>
      <w:bookmarkStart w:id="1805" w:name="DESCRIPTORALFABETICO761"/>
      <w:r w:rsidRPr="00924F59">
        <w:rPr>
          <w:rStyle w:val="TextoNormalNegritaCaracter"/>
        </w:rPr>
        <w:t>Prestaciones a personas en situación de dependencia</w:t>
      </w:r>
      <w:bookmarkEnd w:id="1805"/>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ff. 7, 8; </w:t>
      </w:r>
      <w:hyperlink w:anchor="SENTENCIA_2016_36" w:history="1">
        <w:r w:rsidRPr="00924F59">
          <w:rPr>
            <w:rStyle w:val="TextoNormalCaracter"/>
          </w:rPr>
          <w:t>36/2016</w:t>
        </w:r>
      </w:hyperlink>
      <w:r w:rsidRPr="00924F59">
        <w:rPr>
          <w:rStyle w:val="TextoNormalCaracter"/>
        </w:rPr>
        <w:t xml:space="preserve">, ff. 1 a 3; </w:t>
      </w:r>
      <w:hyperlink w:anchor="SENTENCIA_2016_99" w:history="1">
        <w:r w:rsidRPr="00924F59">
          <w:rPr>
            <w:rStyle w:val="TextoNormalCaracter"/>
          </w:rPr>
          <w:t>99/2016</w:t>
        </w:r>
      </w:hyperlink>
      <w:r w:rsidRPr="00924F59">
        <w:rPr>
          <w:rStyle w:val="TextoNormalCaracter"/>
        </w:rPr>
        <w:t>, ff. 3 a 6.</w:t>
      </w:r>
    </w:p>
    <w:p w:rsidR="00924F59" w:rsidRPr="00924F59" w:rsidRDefault="00924F59" w:rsidP="00924F59">
      <w:pPr>
        <w:pStyle w:val="TextoNormalSangraFrancesa"/>
        <w:rPr>
          <w:rStyle w:val="TextoNormalCaracter"/>
        </w:rPr>
      </w:pPr>
      <w:bookmarkStart w:id="1806" w:name="DESCRIPTORALFABETICO756"/>
      <w:r w:rsidRPr="00924F59">
        <w:rPr>
          <w:rStyle w:val="TextoNormalNegritaCaracter"/>
        </w:rPr>
        <w:t>Prestaciones de la Seguridad Social</w:t>
      </w:r>
      <w:bookmarkEnd w:id="1806"/>
      <w:r w:rsidRPr="00924F59">
        <w:rPr>
          <w:rStyle w:val="TextoNormalCaracter"/>
        </w:rPr>
        <w:t xml:space="preserve">, Sentencia </w:t>
      </w:r>
      <w:hyperlink w:anchor="SENTENCIA_2016_81" w:history="1">
        <w:r w:rsidRPr="00924F59">
          <w:rPr>
            <w:rStyle w:val="TextoNormalCaracter"/>
          </w:rPr>
          <w:t>81/2016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807" w:name="DESCRIPTORALFABETICO686"/>
      <w:r w:rsidRPr="00924F59">
        <w:rPr>
          <w:rStyle w:val="TextoNormalNegritaCaracter"/>
        </w:rPr>
        <w:t>Presunción de constitucionalidad de la ley</w:t>
      </w:r>
      <w:bookmarkEnd w:id="1807"/>
      <w:r w:rsidRPr="00924F59">
        <w:rPr>
          <w:rStyle w:val="TextoNormalCaracter"/>
        </w:rPr>
        <w:t xml:space="preserve">, Sentencia </w:t>
      </w:r>
      <w:hyperlink w:anchor="SENTENCIA_2016_17" w:history="1">
        <w:r w:rsidRPr="00924F59">
          <w:rPr>
            <w:rStyle w:val="TextoNormalCaracter"/>
          </w:rPr>
          <w:t>17/2016</w:t>
        </w:r>
      </w:hyperlink>
      <w:r w:rsidRPr="00924F59">
        <w:rPr>
          <w:rStyle w:val="TextoNormalCaracter"/>
        </w:rPr>
        <w:t>, f. 4.</w:t>
      </w:r>
    </w:p>
    <w:p w:rsidR="00924F59" w:rsidRPr="00924F59" w:rsidRDefault="00924F59" w:rsidP="00924F59">
      <w:pPr>
        <w:pStyle w:val="TextoNormalSangraFrancesa"/>
        <w:rPr>
          <w:rStyle w:val="TextoNormalCaracter"/>
        </w:rPr>
      </w:pPr>
      <w:bookmarkStart w:id="1808" w:name="DESCRIPTORALFABETICO659"/>
      <w:r w:rsidRPr="00924F59">
        <w:rPr>
          <w:rStyle w:val="TextoNormalNegritaCaracter"/>
        </w:rPr>
        <w:t>Presupuesto habilitante</w:t>
      </w:r>
      <w:bookmarkEnd w:id="1808"/>
      <w:r w:rsidRPr="00924F59">
        <w:rPr>
          <w:rStyle w:val="TextoNormalCaracter"/>
        </w:rPr>
        <w:t xml:space="preserve">, Sentencias </w:t>
      </w:r>
      <w:hyperlink w:anchor="SENTENCIA_2016_26" w:history="1">
        <w:r w:rsidRPr="00924F59">
          <w:rPr>
            <w:rStyle w:val="TextoNormalCaracter"/>
          </w:rPr>
          <w:t>26/2016</w:t>
        </w:r>
      </w:hyperlink>
      <w:r w:rsidRPr="00924F59">
        <w:rPr>
          <w:rStyle w:val="TextoNormalCaracter"/>
        </w:rPr>
        <w:t xml:space="preserve">, ff. 2 a 5; </w:t>
      </w:r>
      <w:hyperlink w:anchor="SENTENCIA_2016_38" w:history="1">
        <w:r w:rsidRPr="00924F59">
          <w:rPr>
            <w:rStyle w:val="TextoNormalCaracter"/>
          </w:rPr>
          <w:t>38/2016</w:t>
        </w:r>
      </w:hyperlink>
      <w:r w:rsidRPr="00924F59">
        <w:rPr>
          <w:rStyle w:val="TextoNormalCaracter"/>
        </w:rPr>
        <w:t xml:space="preserve">, ff. 3 a 7; </w:t>
      </w:r>
      <w:hyperlink w:anchor="SENTENCIA_2016_67" w:history="1">
        <w:r w:rsidRPr="00924F59">
          <w:rPr>
            <w:rStyle w:val="TextoNormalCaracter"/>
          </w:rPr>
          <w:t>67/2016</w:t>
        </w:r>
      </w:hyperlink>
      <w:r w:rsidRPr="00924F59">
        <w:rPr>
          <w:rStyle w:val="TextoNormalCaracter"/>
        </w:rPr>
        <w:t xml:space="preserve">, f. 3; </w:t>
      </w:r>
      <w:hyperlink w:anchor="SENTENCIA_2016_68" w:history="1">
        <w:r w:rsidRPr="00924F59">
          <w:rPr>
            <w:rStyle w:val="TextoNormalCaracter"/>
          </w:rPr>
          <w:t>68/2016</w:t>
        </w:r>
      </w:hyperlink>
      <w:r w:rsidRPr="00924F59">
        <w:rPr>
          <w:rStyle w:val="TextoNormalCaracter"/>
        </w:rPr>
        <w:t xml:space="preserve">, f. 3; </w:t>
      </w:r>
      <w:hyperlink w:anchor="SENTENCIA_2016_84" w:history="1">
        <w:r w:rsidRPr="00924F59">
          <w:rPr>
            <w:rStyle w:val="TextoNormalCaracter"/>
          </w:rPr>
          <w:t>84/2016</w:t>
        </w:r>
      </w:hyperlink>
      <w:r w:rsidRPr="00924F59">
        <w:rPr>
          <w:rStyle w:val="TextoNormalCaracter"/>
        </w:rPr>
        <w:t xml:space="preserve">, ff. 3, 4; </w:t>
      </w:r>
      <w:hyperlink w:anchor="SENTENCIA_2016_119" w:history="1">
        <w:r w:rsidRPr="00924F59">
          <w:rPr>
            <w:rStyle w:val="TextoNormalCaracter"/>
          </w:rPr>
          <w:t>119/2016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809" w:name="DESCRIPTORALFABETICO101"/>
      <w:r w:rsidRPr="00924F59">
        <w:rPr>
          <w:rStyle w:val="TextoNormalNegritaCaracter"/>
        </w:rPr>
        <w:t>Presupuestos de los entes locales</w:t>
      </w:r>
      <w:bookmarkEnd w:id="1809"/>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ff. 6, 8, VP.</w:t>
      </w:r>
    </w:p>
    <w:p w:rsidR="00924F59" w:rsidRPr="00924F59" w:rsidRDefault="00924F59" w:rsidP="00924F59">
      <w:pPr>
        <w:pStyle w:val="TextoNormalSangraFrancesa"/>
        <w:rPr>
          <w:rStyle w:val="TextoNormalCaracter"/>
        </w:rPr>
      </w:pPr>
      <w:bookmarkStart w:id="1810" w:name="DESCRIPTORALFABETICO774"/>
      <w:r w:rsidRPr="00924F59">
        <w:rPr>
          <w:rStyle w:val="TextoNormalNegritaCaracter"/>
        </w:rPr>
        <w:t>Prevención de riesgos laborales</w:t>
      </w:r>
      <w:bookmarkEnd w:id="1810"/>
      <w:r w:rsidRPr="00924F59">
        <w:rPr>
          <w:rStyle w:val="TextoNormalCaracter"/>
        </w:rPr>
        <w:t xml:space="preserve">, Sentencia </w:t>
      </w:r>
      <w:hyperlink w:anchor="SENTENCIA_2016_7" w:history="1">
        <w:r w:rsidRPr="00924F59">
          <w:rPr>
            <w:rStyle w:val="TextoNormalCaracter"/>
          </w:rPr>
          <w:t>7/2016</w:t>
        </w:r>
      </w:hyperlink>
      <w:r w:rsidRPr="00924F59">
        <w:rPr>
          <w:rStyle w:val="TextoNormalCaracter"/>
        </w:rPr>
        <w:t>, ff. 3 a 5.</w:t>
      </w:r>
    </w:p>
    <w:p w:rsidR="00924F59" w:rsidRPr="00924F59" w:rsidRDefault="00924F59" w:rsidP="00924F59">
      <w:pPr>
        <w:pStyle w:val="TextoNormalSangraFrancesa"/>
        <w:rPr>
          <w:rStyle w:val="TextoNormalCaracter"/>
        </w:rPr>
      </w:pPr>
      <w:bookmarkStart w:id="1811" w:name="DESCRIPTORALFABETICO713"/>
      <w:r w:rsidRPr="00924F59">
        <w:rPr>
          <w:rStyle w:val="TextoNormalNegritaCaracter"/>
        </w:rPr>
        <w:t>Previsibilidad de la norma</w:t>
      </w:r>
      <w:bookmarkEnd w:id="1811"/>
      <w:r w:rsidRPr="00924F59">
        <w:rPr>
          <w:rStyle w:val="TextoNormalCaracter"/>
        </w:rPr>
        <w:t xml:space="preserve">, Sentencia </w:t>
      </w:r>
      <w:hyperlink w:anchor="SENTENCIA_2016_121" w:history="1">
        <w:r w:rsidRPr="00924F59">
          <w:rPr>
            <w:rStyle w:val="TextoNormalCaracter"/>
          </w:rPr>
          <w:t>121/2016</w:t>
        </w:r>
      </w:hyperlink>
      <w:r w:rsidRPr="00924F59">
        <w:rPr>
          <w:rStyle w:val="TextoNormalCaracter"/>
        </w:rPr>
        <w:t>, f. 6.</w:t>
      </w:r>
    </w:p>
    <w:p w:rsidR="00924F59" w:rsidRPr="00924F59" w:rsidRDefault="00924F59" w:rsidP="00924F59">
      <w:pPr>
        <w:pStyle w:val="TextoNormalSangraFrancesa"/>
        <w:rPr>
          <w:rStyle w:val="TextoNormalCaracter"/>
        </w:rPr>
      </w:pPr>
      <w:bookmarkStart w:id="1812" w:name="DESCRIPTORALFABETICO407"/>
      <w:r w:rsidRPr="00924F59">
        <w:rPr>
          <w:rStyle w:val="TextoNormalNegritaCaracter"/>
        </w:rPr>
        <w:t>Principio de autonomía</w:t>
      </w:r>
      <w:bookmarkEnd w:id="1812"/>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3 a).</w:t>
      </w:r>
    </w:p>
    <w:p w:rsidR="00924F59" w:rsidRPr="00924F59" w:rsidRDefault="00924F59" w:rsidP="00924F59">
      <w:pPr>
        <w:pStyle w:val="TextoNormalSangraFrancesa"/>
        <w:rPr>
          <w:rStyle w:val="TextoNormalCaracter"/>
        </w:rPr>
      </w:pPr>
      <w:bookmarkStart w:id="1813" w:name="DESCRIPTORALFABETICO371"/>
      <w:r w:rsidRPr="00924F59">
        <w:rPr>
          <w:rStyle w:val="TextoNormalNegritaCaracter"/>
        </w:rPr>
        <w:t>Principio de cooperación</w:t>
      </w:r>
      <w:bookmarkEnd w:id="1813"/>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 6.</w:t>
      </w:r>
    </w:p>
    <w:p w:rsidR="00924F59" w:rsidRPr="00924F59" w:rsidRDefault="00924F59" w:rsidP="00924F59">
      <w:pPr>
        <w:pStyle w:val="TextoNormalSangraFrancesa"/>
        <w:rPr>
          <w:rStyle w:val="TextoNormalCaracter"/>
        </w:rPr>
      </w:pPr>
      <w:bookmarkStart w:id="1814" w:name="DESCRIPTORALFABETICO373"/>
      <w:r w:rsidRPr="00924F59">
        <w:rPr>
          <w:rStyle w:val="TextoNormalNegritaCaracter"/>
        </w:rPr>
        <w:t>Principio de coordinación</w:t>
      </w:r>
      <w:bookmarkEnd w:id="1814"/>
      <w:r w:rsidRPr="00924F59">
        <w:rPr>
          <w:rStyle w:val="TextoNormalCaracter"/>
        </w:rPr>
        <w:t xml:space="preserve">, Sentencias </w:t>
      </w:r>
      <w:hyperlink w:anchor="SENTENCIA_2016_88" w:history="1">
        <w:r w:rsidRPr="00924F59">
          <w:rPr>
            <w:rStyle w:val="TextoNormalCaracter"/>
          </w:rPr>
          <w:t>88/2016</w:t>
        </w:r>
      </w:hyperlink>
      <w:r w:rsidRPr="00924F59">
        <w:rPr>
          <w:rStyle w:val="TextoNormalCaracter"/>
        </w:rPr>
        <w:t xml:space="preserve">, f. 2; </w:t>
      </w:r>
      <w:hyperlink w:anchor="SENTENCIA_2016_124" w:history="1">
        <w:r w:rsidRPr="00924F59">
          <w:rPr>
            <w:rStyle w:val="TextoNormalCaracter"/>
          </w:rPr>
          <w:t>124/2016</w:t>
        </w:r>
      </w:hyperlink>
      <w:r w:rsidRPr="00924F59">
        <w:rPr>
          <w:rStyle w:val="TextoNormalCaracter"/>
        </w:rPr>
        <w:t>, f. 6.</w:t>
      </w:r>
    </w:p>
    <w:p w:rsidR="00924F59" w:rsidRPr="00924F59" w:rsidRDefault="00924F59" w:rsidP="00924F59">
      <w:pPr>
        <w:pStyle w:val="TextoNormalSangraFrancesa"/>
        <w:rPr>
          <w:rStyle w:val="TextoNormalCaracter"/>
        </w:rPr>
      </w:pPr>
      <w:bookmarkStart w:id="1815" w:name="DESCRIPTORALFABETICO376"/>
      <w:r w:rsidRPr="00924F59">
        <w:rPr>
          <w:rStyle w:val="TextoNormalNegritaCaracter"/>
        </w:rPr>
        <w:t>Principio de eficacia</w:t>
      </w:r>
      <w:bookmarkEnd w:id="1815"/>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ff. 3 a), 7 c), 8 b), 11 a), 13, c), 14.</w:t>
      </w:r>
    </w:p>
    <w:p w:rsidR="00924F59" w:rsidRPr="00924F59" w:rsidRDefault="00924F59" w:rsidP="00924F59">
      <w:pPr>
        <w:pStyle w:val="TextoNormalSangraFrancesa"/>
        <w:rPr>
          <w:rStyle w:val="TextoNormalCaracter"/>
        </w:rPr>
      </w:pPr>
      <w:bookmarkStart w:id="1816" w:name="DESCRIPTORALFABETICO377"/>
      <w:r w:rsidRPr="00924F59">
        <w:rPr>
          <w:rStyle w:val="TextoNormalNegritaCaracter"/>
        </w:rPr>
        <w:t>Principio de eficiencia en el gasto público</w:t>
      </w:r>
      <w:bookmarkEnd w:id="1816"/>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ff. 2, 3 a), 3 c), 7 b), 7 c), 8 b), 11 a), 13 c), 14.</w:t>
      </w:r>
    </w:p>
    <w:p w:rsidR="00924F59" w:rsidRPr="00924F59" w:rsidRDefault="00924F59" w:rsidP="00924F59">
      <w:pPr>
        <w:pStyle w:val="TextoNormalSangraFrancesa"/>
        <w:rPr>
          <w:rStyle w:val="TextoNormalCaracter"/>
        </w:rPr>
      </w:pPr>
      <w:bookmarkStart w:id="1817" w:name="DESCRIPTORALFABETICO102"/>
      <w:r w:rsidRPr="00924F59">
        <w:rPr>
          <w:rStyle w:val="TextoNormalNegritaCaracter"/>
        </w:rPr>
        <w:t>Principio de estabilidad presupuestaria</w:t>
      </w:r>
      <w:bookmarkEnd w:id="1817"/>
      <w:r w:rsidRPr="00924F59">
        <w:rPr>
          <w:rStyle w:val="TextoNormalCaracter"/>
        </w:rPr>
        <w:t xml:space="preserve">, Sentencias </w:t>
      </w:r>
      <w:hyperlink w:anchor="SENTENCIA_2016_1" w:history="1">
        <w:r w:rsidRPr="00924F59">
          <w:rPr>
            <w:rStyle w:val="TextoNormalCaracter"/>
          </w:rPr>
          <w:t>1/2016</w:t>
        </w:r>
      </w:hyperlink>
      <w:r w:rsidRPr="00924F59">
        <w:rPr>
          <w:rStyle w:val="TextoNormalCaracter"/>
        </w:rPr>
        <w:t xml:space="preserve">, f. 1; </w:t>
      </w:r>
      <w:hyperlink w:anchor="SENTENCIA_2016_31" w:history="1">
        <w:r w:rsidRPr="00924F59">
          <w:rPr>
            <w:rStyle w:val="TextoNormalCaracter"/>
          </w:rPr>
          <w:t>31/2016</w:t>
        </w:r>
      </w:hyperlink>
      <w:r w:rsidRPr="00924F59">
        <w:rPr>
          <w:rStyle w:val="TextoNormalCaracter"/>
        </w:rPr>
        <w:t xml:space="preserve">, f. 3; </w:t>
      </w:r>
      <w:hyperlink w:anchor="SENTENCIA_2016_41" w:history="1">
        <w:r w:rsidRPr="00924F59">
          <w:rPr>
            <w:rStyle w:val="TextoNormalCaracter"/>
          </w:rPr>
          <w:t>41/2016</w:t>
        </w:r>
      </w:hyperlink>
      <w:r w:rsidRPr="00924F59">
        <w:rPr>
          <w:rStyle w:val="TextoNormalCaracter"/>
        </w:rPr>
        <w:t xml:space="preserve">, ff. 2, 3 a), 4, 7 b), 7 c), 8 b), 11 a), 13 c), 14, 15; </w:t>
      </w:r>
      <w:hyperlink w:anchor="SENTENCIA_2016_101" w:history="1">
        <w:r w:rsidRPr="00924F59">
          <w:rPr>
            <w:rStyle w:val="TextoNormalCaracter"/>
          </w:rPr>
          <w:t>101/2016</w:t>
        </w:r>
      </w:hyperlink>
      <w:r w:rsidRPr="00924F59">
        <w:rPr>
          <w:rStyle w:val="TextoNormalCaracter"/>
        </w:rPr>
        <w:t xml:space="preserve">, ff. 2, 3, 5 a 7, 9, 11, 12, VP II; </w:t>
      </w:r>
      <w:hyperlink w:anchor="SENTENCIA_2016_111" w:history="1">
        <w:r w:rsidRPr="00924F59">
          <w:rPr>
            <w:rStyle w:val="TextoNormalCaracter"/>
          </w:rPr>
          <w:t>111/2016</w:t>
        </w:r>
      </w:hyperlink>
      <w:r w:rsidRPr="00924F59">
        <w:rPr>
          <w:rStyle w:val="TextoNormalCaracter"/>
        </w:rPr>
        <w:t>, ff. 4, 8.</w:t>
      </w:r>
    </w:p>
    <w:p w:rsidR="00924F59" w:rsidRPr="00924F59" w:rsidRDefault="00924F59" w:rsidP="00924F59">
      <w:pPr>
        <w:pStyle w:val="TextoNormalSangraFrancesa"/>
        <w:rPr>
          <w:rStyle w:val="TextoNormalCaracter"/>
        </w:rPr>
      </w:pPr>
      <w:bookmarkStart w:id="1818" w:name="DESCRIPTORALFABETICO385"/>
      <w:r w:rsidRPr="00924F59">
        <w:rPr>
          <w:rStyle w:val="TextoNormalNegritaCaracter"/>
        </w:rPr>
        <w:t>Principio de exclusividad jurisdiccional</w:t>
      </w:r>
      <w:bookmarkEnd w:id="1818"/>
      <w:r w:rsidRPr="00924F59">
        <w:rPr>
          <w:rStyle w:val="TextoNormalCaracter"/>
        </w:rPr>
        <w:t xml:space="preserve">, Sentencia </w:t>
      </w:r>
      <w:hyperlink w:anchor="SENTENCIA_2016_58" w:history="1">
        <w:r w:rsidRPr="00924F59">
          <w:rPr>
            <w:rStyle w:val="TextoNormalCaracter"/>
          </w:rPr>
          <w:t>58/2016</w:t>
        </w:r>
      </w:hyperlink>
      <w:r w:rsidRPr="00924F59">
        <w:rPr>
          <w:rStyle w:val="TextoNormalCaracter"/>
        </w:rPr>
        <w:t>, ff. 3 a 5, 7.</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22" w:history="1">
        <w:r w:rsidRPr="00924F59">
          <w:rPr>
            <w:rStyle w:val="TextoNormalCaracter"/>
          </w:rPr>
          <w:t>122/2016</w:t>
        </w:r>
      </w:hyperlink>
      <w:r w:rsidRPr="00924F59">
        <w:rPr>
          <w:rStyle w:val="TextoNormalCaracter"/>
        </w:rPr>
        <w:t>, f. 4.</w:t>
      </w:r>
    </w:p>
    <w:p w:rsidR="00924F59" w:rsidRPr="00924F59" w:rsidRDefault="00924F59" w:rsidP="00924F59">
      <w:pPr>
        <w:pStyle w:val="TextoNormalSangraFrancesa"/>
        <w:rPr>
          <w:rStyle w:val="TextoNormalCaracter"/>
        </w:rPr>
      </w:pPr>
      <w:bookmarkStart w:id="1819" w:name="DESCRIPTORALFABETICO411"/>
      <w:r w:rsidRPr="00924F59">
        <w:rPr>
          <w:rStyle w:val="TextoNormalNegritaCaracter"/>
        </w:rPr>
        <w:t>Principio de igualdad</w:t>
      </w:r>
      <w:bookmarkEnd w:id="1819"/>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ff. 7, 8; </w:t>
      </w:r>
      <w:hyperlink w:anchor="SENTENCIA_2016_24" w:history="1">
        <w:r w:rsidRPr="00924F59">
          <w:rPr>
            <w:rStyle w:val="TextoNormalCaracter"/>
          </w:rPr>
          <w:t>24/2016</w:t>
        </w:r>
      </w:hyperlink>
      <w:r w:rsidRPr="00924F59">
        <w:rPr>
          <w:rStyle w:val="TextoNormalCaracter"/>
        </w:rPr>
        <w:t xml:space="preserve">, f. único; </w:t>
      </w:r>
      <w:hyperlink w:anchor="SENTENCIA_2016_118" w:history="1">
        <w:r w:rsidRPr="00924F59">
          <w:rPr>
            <w:rStyle w:val="TextoNormalCaracter"/>
          </w:rPr>
          <w:t>118/2016</w:t>
        </w:r>
      </w:hyperlink>
      <w:r w:rsidRPr="00924F59">
        <w:rPr>
          <w:rStyle w:val="TextoNormalCaracter"/>
        </w:rPr>
        <w:t xml:space="preserve">, ff. 3 f), 4; </w:t>
      </w:r>
      <w:hyperlink w:anchor="SENTENCIA_2016_122" w:history="1">
        <w:r w:rsidRPr="00924F59">
          <w:rPr>
            <w:rStyle w:val="TextoNormalCaracter"/>
          </w:rPr>
          <w:t>122/2016</w:t>
        </w:r>
      </w:hyperlink>
      <w:r w:rsidRPr="00924F59">
        <w:rPr>
          <w:rStyle w:val="TextoNormalCaracter"/>
        </w:rPr>
        <w:t>, ff. 2, 6.</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89" w:history="1">
        <w:r w:rsidRPr="00924F59">
          <w:rPr>
            <w:rStyle w:val="TextoNormalCaracter"/>
          </w:rPr>
          <w:t>89/2016</w:t>
        </w:r>
      </w:hyperlink>
      <w:r w:rsidRPr="00924F59">
        <w:rPr>
          <w:rStyle w:val="TextoNormalCaracter"/>
        </w:rPr>
        <w:t xml:space="preserve">, f. 7; </w:t>
      </w:r>
      <w:hyperlink w:anchor="AUTO_2016_129" w:history="1">
        <w:r w:rsidRPr="00924F59">
          <w:rPr>
            <w:rStyle w:val="TextoNormalCaracter"/>
          </w:rPr>
          <w:t>129/2016</w:t>
        </w:r>
      </w:hyperlink>
      <w:r w:rsidRPr="00924F59">
        <w:rPr>
          <w:rStyle w:val="TextoNormalCaracter"/>
        </w:rPr>
        <w:t>, ff. 2, 4, VP.</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Sentencias </w:t>
      </w:r>
      <w:hyperlink w:anchor="SENTENCIA_2016_71" w:history="1">
        <w:r w:rsidRPr="00924F59">
          <w:rPr>
            <w:rStyle w:val="TextoNormalCaracter"/>
          </w:rPr>
          <w:t>71/2016</w:t>
        </w:r>
      </w:hyperlink>
      <w:r w:rsidRPr="00924F59">
        <w:rPr>
          <w:rStyle w:val="TextoNormalCaracter"/>
        </w:rPr>
        <w:t xml:space="preserve">, ff. 1, 3 a 6; </w:t>
      </w:r>
      <w:hyperlink w:anchor="SENTENCIA_2016_81" w:history="1">
        <w:r w:rsidRPr="00924F59">
          <w:rPr>
            <w:rStyle w:val="TextoNormalCaracter"/>
          </w:rPr>
          <w:t>81/2016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820" w:name="DESCRIPTORALFABETICO414"/>
      <w:r w:rsidRPr="00924F59">
        <w:rPr>
          <w:rStyle w:val="TextoNormalNegritaCaracter"/>
        </w:rPr>
        <w:t>Principio de interdicción de la arbitrariedad</w:t>
      </w:r>
      <w:bookmarkEnd w:id="1820"/>
      <w:r w:rsidRPr="00924F59">
        <w:rPr>
          <w:rStyle w:val="TextoNormalCaracter"/>
        </w:rPr>
        <w:t xml:space="preserve">, Sentencias </w:t>
      </w:r>
      <w:hyperlink w:anchor="SENTENCIA_2016_57" w:history="1">
        <w:r w:rsidRPr="00924F59">
          <w:rPr>
            <w:rStyle w:val="TextoNormalCaracter"/>
          </w:rPr>
          <w:t>57/2016</w:t>
        </w:r>
      </w:hyperlink>
      <w:r w:rsidRPr="00924F59">
        <w:rPr>
          <w:rStyle w:val="TextoNormalCaracter"/>
        </w:rPr>
        <w:t xml:space="preserve">, f. 3 b); </w:t>
      </w:r>
      <w:hyperlink w:anchor="SENTENCIA_2016_96" w:history="1">
        <w:r w:rsidRPr="00924F59">
          <w:rPr>
            <w:rStyle w:val="TextoNormalCaracter"/>
          </w:rPr>
          <w:t>96/2016</w:t>
        </w:r>
      </w:hyperlink>
      <w:r w:rsidRPr="00924F59">
        <w:rPr>
          <w:rStyle w:val="TextoNormalCaracter"/>
        </w:rPr>
        <w:t xml:space="preserve">, f. 3; </w:t>
      </w:r>
      <w:hyperlink w:anchor="SENTENCIA_2016_118" w:history="1">
        <w:r w:rsidRPr="00924F59">
          <w:rPr>
            <w:rStyle w:val="TextoNormalCaracter"/>
          </w:rPr>
          <w:t>118/2016</w:t>
        </w:r>
      </w:hyperlink>
      <w:r w:rsidRPr="00924F59">
        <w:rPr>
          <w:rStyle w:val="TextoNormalCaracter"/>
        </w:rPr>
        <w:t xml:space="preserve">, ff. 3 f), 4; </w:t>
      </w:r>
      <w:hyperlink w:anchor="SENTENCIA_2016_121" w:history="1">
        <w:r w:rsidRPr="00924F59">
          <w:rPr>
            <w:rStyle w:val="TextoNormalCaracter"/>
          </w:rPr>
          <w:t>121/2016</w:t>
        </w:r>
      </w:hyperlink>
      <w:r w:rsidRPr="00924F59">
        <w:rPr>
          <w:rStyle w:val="TextoNormalCaracter"/>
        </w:rPr>
        <w:t>, f. 4.</w:t>
      </w:r>
    </w:p>
    <w:p w:rsidR="00924F59" w:rsidRPr="00924F59" w:rsidRDefault="00924F59" w:rsidP="00924F59">
      <w:pPr>
        <w:pStyle w:val="TextoNormalSangraFrancesa"/>
        <w:rPr>
          <w:rStyle w:val="TextoNormalCaracter"/>
        </w:rPr>
      </w:pPr>
      <w:r w:rsidRPr="00924F59">
        <w:rPr>
          <w:rStyle w:val="TextoNormalCursivaCaracter"/>
        </w:rPr>
        <w:t xml:space="preserve">    Respetado, </w:t>
      </w:r>
      <w:r w:rsidRPr="00924F59">
        <w:rPr>
          <w:rStyle w:val="TextoNormalCaracter"/>
        </w:rPr>
        <w:t xml:space="preserve">Sentencias </w:t>
      </w:r>
      <w:hyperlink w:anchor="SENTENCIA_2016_29" w:history="1">
        <w:r w:rsidRPr="00924F59">
          <w:rPr>
            <w:rStyle w:val="TextoNormalCaracter"/>
          </w:rPr>
          <w:t>29/2016</w:t>
        </w:r>
      </w:hyperlink>
      <w:r w:rsidRPr="00924F59">
        <w:rPr>
          <w:rStyle w:val="TextoNormalCaracter"/>
        </w:rPr>
        <w:t xml:space="preserve">, f. 6; </w:t>
      </w:r>
      <w:hyperlink w:anchor="SENTENCIA_2016_38" w:history="1">
        <w:r w:rsidRPr="00924F59">
          <w:rPr>
            <w:rStyle w:val="TextoNormalCaracter"/>
          </w:rPr>
          <w:t>38/2016</w:t>
        </w:r>
      </w:hyperlink>
      <w:r w:rsidRPr="00924F59">
        <w:rPr>
          <w:rStyle w:val="TextoNormalCaracter"/>
        </w:rPr>
        <w:t xml:space="preserve">, f. 8; </w:t>
      </w:r>
      <w:hyperlink w:anchor="SENTENCIA_2016_42" w:history="1">
        <w:r w:rsidRPr="00924F59">
          <w:rPr>
            <w:rStyle w:val="TextoNormalCaracter"/>
          </w:rPr>
          <w:t>42/2016</w:t>
        </w:r>
      </w:hyperlink>
      <w:r w:rsidRPr="00924F59">
        <w:rPr>
          <w:rStyle w:val="TextoNormalCaracter"/>
        </w:rPr>
        <w:t>, f. 4.</w:t>
      </w:r>
    </w:p>
    <w:p w:rsidR="00924F59" w:rsidRPr="00924F59" w:rsidRDefault="00924F59" w:rsidP="00924F59">
      <w:pPr>
        <w:pStyle w:val="TextoNormalSangraFrancesa"/>
        <w:rPr>
          <w:rStyle w:val="TextoNormalCaracter"/>
        </w:rPr>
      </w:pPr>
      <w:bookmarkStart w:id="1821" w:name="DESCRIPTORALFABETICO417"/>
      <w:r w:rsidRPr="00924F59">
        <w:rPr>
          <w:rStyle w:val="TextoNormalNegritaCaracter"/>
        </w:rPr>
        <w:t>Principio de irretroactividad</w:t>
      </w:r>
      <w:bookmarkEnd w:id="1821"/>
      <w:r w:rsidRPr="00924F59">
        <w:rPr>
          <w:rStyle w:val="TextoNormalCaracter"/>
        </w:rPr>
        <w:t xml:space="preserve">, Sentencias </w:t>
      </w:r>
      <w:hyperlink w:anchor="SENTENCIA_2016_1" w:history="1">
        <w:r w:rsidRPr="00924F59">
          <w:rPr>
            <w:rStyle w:val="TextoNormalCaracter"/>
          </w:rPr>
          <w:t>1/2016</w:t>
        </w:r>
      </w:hyperlink>
      <w:r w:rsidRPr="00924F59">
        <w:rPr>
          <w:rStyle w:val="TextoNormalCaracter"/>
        </w:rPr>
        <w:t xml:space="preserve">, f. 1; </w:t>
      </w:r>
      <w:hyperlink w:anchor="SENTENCIA_2016_2" w:history="1">
        <w:r w:rsidRPr="00924F59">
          <w:rPr>
            <w:rStyle w:val="TextoNormalCaracter"/>
          </w:rPr>
          <w:t>2/2016</w:t>
        </w:r>
      </w:hyperlink>
      <w:r w:rsidRPr="00924F59">
        <w:rPr>
          <w:rStyle w:val="TextoNormalCaracter"/>
        </w:rPr>
        <w:t xml:space="preserve">, f. 2 b); </w:t>
      </w:r>
      <w:hyperlink w:anchor="SENTENCIA_2016_4" w:history="1">
        <w:r w:rsidRPr="00924F59">
          <w:rPr>
            <w:rStyle w:val="TextoNormalCaracter"/>
          </w:rPr>
          <w:t>4/2016</w:t>
        </w:r>
      </w:hyperlink>
      <w:r w:rsidRPr="00924F59">
        <w:rPr>
          <w:rStyle w:val="TextoNormalCaracter"/>
        </w:rPr>
        <w:t xml:space="preserve">, f. 2 b); </w:t>
      </w:r>
      <w:hyperlink w:anchor="SENTENCIA_2016_19" w:history="1">
        <w:r w:rsidRPr="00924F59">
          <w:rPr>
            <w:rStyle w:val="TextoNormalCaracter"/>
          </w:rPr>
          <w:t>19/2016</w:t>
        </w:r>
      </w:hyperlink>
      <w:r w:rsidRPr="00924F59">
        <w:rPr>
          <w:rStyle w:val="TextoNormalCaracter"/>
        </w:rPr>
        <w:t xml:space="preserve">, f. 5; </w:t>
      </w:r>
      <w:hyperlink w:anchor="SENTENCIA_2016_30" w:history="1">
        <w:r w:rsidRPr="00924F59">
          <w:rPr>
            <w:rStyle w:val="TextoNormalCaracter"/>
          </w:rPr>
          <w:t>30/2016</w:t>
        </w:r>
      </w:hyperlink>
      <w:r w:rsidRPr="00924F59">
        <w:rPr>
          <w:rStyle w:val="TextoNormalCaracter"/>
        </w:rPr>
        <w:t xml:space="preserve">, f. 5; </w:t>
      </w:r>
      <w:hyperlink w:anchor="SENTENCIA_2016_42" w:history="1">
        <w:r w:rsidRPr="00924F59">
          <w:rPr>
            <w:rStyle w:val="TextoNormalCaracter"/>
          </w:rPr>
          <w:t>42/2016</w:t>
        </w:r>
      </w:hyperlink>
      <w:r w:rsidRPr="00924F59">
        <w:rPr>
          <w:rStyle w:val="TextoNormalCaracter"/>
        </w:rPr>
        <w:t xml:space="preserve">, f. 4; </w:t>
      </w:r>
      <w:hyperlink w:anchor="SENTENCIA_2016_43" w:history="1">
        <w:r w:rsidRPr="00924F59">
          <w:rPr>
            <w:rStyle w:val="TextoNormalCaracter"/>
          </w:rPr>
          <w:t>43/2016</w:t>
        </w:r>
      </w:hyperlink>
      <w:r w:rsidRPr="00924F59">
        <w:rPr>
          <w:rStyle w:val="TextoNormalCaracter"/>
        </w:rPr>
        <w:t xml:space="preserve">, f. 3; </w:t>
      </w:r>
      <w:hyperlink w:anchor="SENTENCIA_2016_46" w:history="1">
        <w:r w:rsidRPr="00924F59">
          <w:rPr>
            <w:rStyle w:val="TextoNormalCaracter"/>
          </w:rPr>
          <w:t>46/2016</w:t>
        </w:r>
      </w:hyperlink>
      <w:r w:rsidRPr="00924F59">
        <w:rPr>
          <w:rStyle w:val="TextoNormalCaracter"/>
        </w:rPr>
        <w:t xml:space="preserve">, f. 2 b); </w:t>
      </w:r>
      <w:hyperlink w:anchor="SENTENCIA_2016_47" w:history="1">
        <w:r w:rsidRPr="00924F59">
          <w:rPr>
            <w:rStyle w:val="TextoNormalCaracter"/>
          </w:rPr>
          <w:t>47/2016</w:t>
        </w:r>
      </w:hyperlink>
      <w:r w:rsidRPr="00924F59">
        <w:rPr>
          <w:rStyle w:val="TextoNormalCaracter"/>
        </w:rPr>
        <w:t xml:space="preserve">, f. 2 b); </w:t>
      </w:r>
      <w:hyperlink w:anchor="SENTENCIA_2016_52" w:history="1">
        <w:r w:rsidRPr="00924F59">
          <w:rPr>
            <w:rStyle w:val="TextoNormalCaracter"/>
          </w:rPr>
          <w:t>52/2016</w:t>
        </w:r>
      </w:hyperlink>
      <w:r w:rsidRPr="00924F59">
        <w:rPr>
          <w:rStyle w:val="TextoNormalCaracter"/>
        </w:rPr>
        <w:t xml:space="preserve">, f. 3; </w:t>
      </w:r>
      <w:hyperlink w:anchor="SENTENCIA_2016_56" w:history="1">
        <w:r w:rsidRPr="00924F59">
          <w:rPr>
            <w:rStyle w:val="TextoNormalCaracter"/>
          </w:rPr>
          <w:t>56/2016</w:t>
        </w:r>
      </w:hyperlink>
      <w:r w:rsidRPr="00924F59">
        <w:rPr>
          <w:rStyle w:val="TextoNormalCaracter"/>
        </w:rPr>
        <w:t xml:space="preserve">, f. 3; </w:t>
      </w:r>
      <w:hyperlink w:anchor="SENTENCIA_2016_61" w:history="1">
        <w:r w:rsidRPr="00924F59">
          <w:rPr>
            <w:rStyle w:val="TextoNormalCaracter"/>
          </w:rPr>
          <w:t>61/2016</w:t>
        </w:r>
      </w:hyperlink>
      <w:r w:rsidRPr="00924F59">
        <w:rPr>
          <w:rStyle w:val="TextoNormalCaracter"/>
        </w:rPr>
        <w:t xml:space="preserve">, f. 5; </w:t>
      </w:r>
      <w:hyperlink w:anchor="SENTENCIA_2016_79" w:history="1">
        <w:r w:rsidRPr="00924F59">
          <w:rPr>
            <w:rStyle w:val="TextoNormalCaracter"/>
          </w:rPr>
          <w:t>79/2016</w:t>
        </w:r>
      </w:hyperlink>
      <w:r w:rsidRPr="00924F59">
        <w:rPr>
          <w:rStyle w:val="TextoNormalCaracter"/>
        </w:rPr>
        <w:t xml:space="preserve">, f. 1; </w:t>
      </w:r>
      <w:hyperlink w:anchor="SENTENCIA_2016_80" w:history="1">
        <w:r w:rsidRPr="00924F59">
          <w:rPr>
            <w:rStyle w:val="TextoNormalCaracter"/>
          </w:rPr>
          <w:t>80/2016</w:t>
        </w:r>
      </w:hyperlink>
      <w:r w:rsidRPr="00924F59">
        <w:rPr>
          <w:rStyle w:val="TextoNormalCaracter"/>
        </w:rPr>
        <w:t xml:space="preserve">, ff. 1, 2; </w:t>
      </w:r>
      <w:hyperlink w:anchor="SENTENCIA_2016_90" w:history="1">
        <w:r w:rsidRPr="00924F59">
          <w:rPr>
            <w:rStyle w:val="TextoNormalCaracter"/>
          </w:rPr>
          <w:t>90/2016</w:t>
        </w:r>
      </w:hyperlink>
      <w:r w:rsidRPr="00924F59">
        <w:rPr>
          <w:rStyle w:val="TextoNormalCaracter"/>
        </w:rPr>
        <w:t xml:space="preserve">, f. 2 b); </w:t>
      </w:r>
      <w:hyperlink w:anchor="SENTENCIA_2016_97" w:history="1">
        <w:r w:rsidRPr="00924F59">
          <w:rPr>
            <w:rStyle w:val="TextoNormalCaracter"/>
          </w:rPr>
          <w:t>97/2016</w:t>
        </w:r>
      </w:hyperlink>
      <w:r w:rsidRPr="00924F59">
        <w:rPr>
          <w:rStyle w:val="TextoNormalCaracter"/>
        </w:rPr>
        <w:t xml:space="preserve">, f. 2; </w:t>
      </w:r>
      <w:hyperlink w:anchor="SENTENCIA_2016_104" w:history="1">
        <w:r w:rsidRPr="00924F59">
          <w:rPr>
            <w:rStyle w:val="TextoNormalCaracter"/>
          </w:rPr>
          <w:t>104/2016</w:t>
        </w:r>
      </w:hyperlink>
      <w:r w:rsidRPr="00924F59">
        <w:rPr>
          <w:rStyle w:val="TextoNormalCaracter"/>
        </w:rPr>
        <w:t xml:space="preserve">, f. 1; </w:t>
      </w:r>
      <w:hyperlink w:anchor="SENTENCIA_2016_106" w:history="1">
        <w:r w:rsidRPr="00924F59">
          <w:rPr>
            <w:rStyle w:val="TextoNormalCaracter"/>
          </w:rPr>
          <w:t>106/2016</w:t>
        </w:r>
      </w:hyperlink>
      <w:r w:rsidRPr="00924F59">
        <w:rPr>
          <w:rStyle w:val="TextoNormalCaracter"/>
        </w:rPr>
        <w:t>, f. 1.</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71" w:history="1">
        <w:r w:rsidRPr="00924F59">
          <w:rPr>
            <w:rStyle w:val="TextoNormalCaracter"/>
          </w:rPr>
          <w:t>71/2016</w:t>
        </w:r>
      </w:hyperlink>
      <w:r w:rsidRPr="00924F59">
        <w:rPr>
          <w:rStyle w:val="TextoNormalCaracter"/>
        </w:rPr>
        <w:t>, f. 3.</w:t>
      </w:r>
    </w:p>
    <w:p w:rsidR="00924F59" w:rsidRPr="00924F59" w:rsidRDefault="00924F59" w:rsidP="00924F59">
      <w:pPr>
        <w:pStyle w:val="TextoNormalSangraFrancesa"/>
        <w:rPr>
          <w:rStyle w:val="TextoNormalCaracter"/>
        </w:rPr>
      </w:pPr>
      <w:bookmarkStart w:id="1822" w:name="DESCRIPTORALFABETICO418"/>
      <w:r w:rsidRPr="00924F59">
        <w:rPr>
          <w:rStyle w:val="TextoNormalNegritaCaracter"/>
        </w:rPr>
        <w:t>Principio de jerarquía normativa</w:t>
      </w:r>
      <w:bookmarkEnd w:id="1822"/>
      <w:r w:rsidRPr="00924F59">
        <w:rPr>
          <w:rStyle w:val="TextoNormalCaracter"/>
        </w:rPr>
        <w:t xml:space="preserve">, Sentencias </w:t>
      </w:r>
      <w:hyperlink w:anchor="SENTENCIA_2016_19" w:history="1">
        <w:r w:rsidRPr="00924F59">
          <w:rPr>
            <w:rStyle w:val="TextoNormalCaracter"/>
          </w:rPr>
          <w:t>19/2016</w:t>
        </w:r>
      </w:hyperlink>
      <w:r w:rsidRPr="00924F59">
        <w:rPr>
          <w:rStyle w:val="TextoNormalCaracter"/>
        </w:rPr>
        <w:t xml:space="preserve">, f. 4; </w:t>
      </w:r>
      <w:hyperlink w:anchor="SENTENCIA_2016_29" w:history="1">
        <w:r w:rsidRPr="00924F59">
          <w:rPr>
            <w:rStyle w:val="TextoNormalCaracter"/>
          </w:rPr>
          <w:t>29/2016</w:t>
        </w:r>
      </w:hyperlink>
      <w:r w:rsidRPr="00924F59">
        <w:rPr>
          <w:rStyle w:val="TextoNormalCaracter"/>
        </w:rPr>
        <w:t xml:space="preserve">, f. 5; </w:t>
      </w:r>
      <w:hyperlink w:anchor="SENTENCIA_2016_61" w:history="1">
        <w:r w:rsidRPr="00924F59">
          <w:rPr>
            <w:rStyle w:val="TextoNormalCaracter"/>
          </w:rPr>
          <w:t>61/2016</w:t>
        </w:r>
      </w:hyperlink>
      <w:r w:rsidRPr="00924F59">
        <w:rPr>
          <w:rStyle w:val="TextoNormalCaracter"/>
        </w:rPr>
        <w:t>, f. 6.</w:t>
      </w:r>
    </w:p>
    <w:p w:rsidR="00924F59" w:rsidRPr="00924F59" w:rsidRDefault="00924F59" w:rsidP="00924F59">
      <w:pPr>
        <w:pStyle w:val="TextoNormalSangraFrancesa"/>
        <w:rPr>
          <w:rStyle w:val="TextoNormalCaracter"/>
        </w:rPr>
      </w:pPr>
      <w:bookmarkStart w:id="1823" w:name="DESCRIPTORALFABETICO419"/>
      <w:r w:rsidRPr="00924F59">
        <w:rPr>
          <w:rStyle w:val="TextoNormalNegritaCaracter"/>
        </w:rPr>
        <w:t>Principio de justicia tributaria</w:t>
      </w:r>
      <w:bookmarkEnd w:id="1823"/>
      <w:r w:rsidRPr="00924F59">
        <w:rPr>
          <w:rStyle w:val="TextoNormalCaracter"/>
        </w:rPr>
        <w:t xml:space="preserve">, Sentencia </w:t>
      </w:r>
      <w:hyperlink w:anchor="SENTENCIA_2016_121" w:history="1">
        <w:r w:rsidRPr="00924F59">
          <w:rPr>
            <w:rStyle w:val="TextoNormalCaracter"/>
          </w:rPr>
          <w:t>121/2016</w:t>
        </w:r>
      </w:hyperlink>
      <w:r w:rsidRPr="00924F59">
        <w:rPr>
          <w:rStyle w:val="TextoNormalCaracter"/>
        </w:rPr>
        <w:t>, ff. 5, 6.</w:t>
      </w:r>
    </w:p>
    <w:p w:rsidR="00924F59" w:rsidRPr="00924F59" w:rsidRDefault="00924F59" w:rsidP="00924F59">
      <w:pPr>
        <w:pStyle w:val="TextoNormalSangraFrancesa"/>
        <w:rPr>
          <w:rStyle w:val="TextoNormalCaracter"/>
        </w:rPr>
      </w:pPr>
      <w:bookmarkStart w:id="1824" w:name="DESCRIPTORALFABETICO852"/>
      <w:r w:rsidRPr="00924F59">
        <w:rPr>
          <w:rStyle w:val="TextoNormalNegritaCaracter"/>
        </w:rPr>
        <w:t>Principio de la doble incriminación</w:t>
      </w:r>
      <w:bookmarkEnd w:id="1824"/>
      <w:r w:rsidRPr="00924F59">
        <w:rPr>
          <w:rStyle w:val="TextoNormalCaracter"/>
        </w:rPr>
        <w:t xml:space="preserve">, Auto </w:t>
      </w:r>
      <w:hyperlink w:anchor="AUTO_2016_112" w:history="1">
        <w:r w:rsidRPr="00924F59">
          <w:rPr>
            <w:rStyle w:val="TextoNormalCaracter"/>
          </w:rPr>
          <w:t>112/2016</w:t>
        </w:r>
      </w:hyperlink>
      <w:r w:rsidRPr="00924F59">
        <w:rPr>
          <w:rStyle w:val="TextoNormalCaracter"/>
        </w:rPr>
        <w:t>, ff. 1 a 3, VP.</w:t>
      </w:r>
    </w:p>
    <w:p w:rsidR="00924F59" w:rsidRPr="00924F59" w:rsidRDefault="00924F59" w:rsidP="00924F59">
      <w:pPr>
        <w:pStyle w:val="TextoNormalSangraFrancesa"/>
        <w:rPr>
          <w:rStyle w:val="TextoNormalCaracter"/>
        </w:rPr>
      </w:pPr>
      <w:bookmarkStart w:id="1825" w:name="DESCRIPTORALFABETICO420"/>
      <w:r w:rsidRPr="00924F59">
        <w:rPr>
          <w:rStyle w:val="TextoNormalNegritaCaracter"/>
        </w:rPr>
        <w:t>Principio de lealtad constitucional</w:t>
      </w:r>
      <w:bookmarkEnd w:id="1825"/>
      <w:r w:rsidRPr="00924F59">
        <w:rPr>
          <w:rStyle w:val="TextoNormalCaracter"/>
        </w:rPr>
        <w:t xml:space="preserve">, Sentencias </w:t>
      </w:r>
      <w:hyperlink w:anchor="SENTENCIA_2016_31" w:history="1">
        <w:r w:rsidRPr="00924F59">
          <w:rPr>
            <w:rStyle w:val="TextoNormalCaracter"/>
          </w:rPr>
          <w:t>31/2016</w:t>
        </w:r>
      </w:hyperlink>
      <w:r w:rsidRPr="00924F59">
        <w:rPr>
          <w:rStyle w:val="TextoNormalCaracter"/>
        </w:rPr>
        <w:t xml:space="preserve">, f. 4 a); </w:t>
      </w:r>
      <w:hyperlink w:anchor="SENTENCIA_2016_99" w:history="1">
        <w:r w:rsidRPr="00924F59">
          <w:rPr>
            <w:rStyle w:val="TextoNormalCaracter"/>
          </w:rPr>
          <w:t>99/2016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826" w:name="DESCRIPTORALFABETICO421"/>
      <w:r w:rsidRPr="00924F59">
        <w:rPr>
          <w:rStyle w:val="TextoNormalNegritaCaracter"/>
        </w:rPr>
        <w:t>Principio de lealtad institucional</w:t>
      </w:r>
      <w:bookmarkEnd w:id="1826"/>
      <w:r w:rsidRPr="00924F59">
        <w:rPr>
          <w:rStyle w:val="TextoNormalCaracter"/>
        </w:rPr>
        <w:t xml:space="preserve">, Sentencia </w:t>
      </w:r>
      <w:hyperlink w:anchor="SENTENCIA_2016_85" w:history="1">
        <w:r w:rsidRPr="00924F59">
          <w:rPr>
            <w:rStyle w:val="TextoNormalCaracter"/>
          </w:rPr>
          <w:t>85/2016</w:t>
        </w:r>
      </w:hyperlink>
      <w:r w:rsidRPr="00924F59">
        <w:rPr>
          <w:rStyle w:val="TextoNormalCaracter"/>
        </w:rPr>
        <w:t>, f. 5.</w:t>
      </w:r>
    </w:p>
    <w:p w:rsidR="00924F59" w:rsidRPr="00924F59" w:rsidRDefault="00924F59" w:rsidP="00924F59">
      <w:pPr>
        <w:pStyle w:val="TextoNormalSangraFrancesa"/>
        <w:rPr>
          <w:rStyle w:val="TextoNormalCaracter"/>
        </w:rPr>
      </w:pPr>
      <w:bookmarkStart w:id="1827" w:name="DESCRIPTORALFABETICO422"/>
      <w:r w:rsidRPr="00924F59">
        <w:rPr>
          <w:rStyle w:val="TextoNormalNegritaCaracter"/>
        </w:rPr>
        <w:t>Principio de legalidad</w:t>
      </w:r>
      <w:bookmarkEnd w:id="1827"/>
      <w:r w:rsidRPr="00924F59">
        <w:rPr>
          <w:rStyle w:val="TextoNormalCaracter"/>
        </w:rPr>
        <w:t xml:space="preserve">, Sentencia </w:t>
      </w:r>
      <w:hyperlink w:anchor="SENTENCIA_2016_78" w:history="1">
        <w:r w:rsidRPr="00924F59">
          <w:rPr>
            <w:rStyle w:val="TextoNormalCaracter"/>
          </w:rPr>
          <w:t>78/2016</w:t>
        </w:r>
      </w:hyperlink>
      <w:r w:rsidRPr="00924F59">
        <w:rPr>
          <w:rStyle w:val="TextoNormalCaracter"/>
        </w:rPr>
        <w:t>, ff. 3 a 6.</w:t>
      </w:r>
    </w:p>
    <w:p w:rsidR="00924F59" w:rsidRPr="00924F59" w:rsidRDefault="00924F59" w:rsidP="00924F59">
      <w:pPr>
        <w:pStyle w:val="TextoNormalSangraFrancesa"/>
        <w:rPr>
          <w:rStyle w:val="TextoNormalCaracter"/>
        </w:rPr>
      </w:pPr>
      <w:bookmarkStart w:id="1828" w:name="DESCRIPTORALFABETICO423"/>
      <w:r w:rsidRPr="00924F59">
        <w:rPr>
          <w:rStyle w:val="TextoNormalNegritaCaracter"/>
        </w:rPr>
        <w:t>Principio de legalidad penal</w:t>
      </w:r>
      <w:bookmarkEnd w:id="1828"/>
      <w:r w:rsidRPr="00924F59">
        <w:rPr>
          <w:rStyle w:val="TextoNormalCaracter"/>
        </w:rPr>
        <w:t xml:space="preserve">, Auto </w:t>
      </w:r>
      <w:hyperlink w:anchor="AUTO_2016_112" w:history="1">
        <w:r w:rsidRPr="00924F59">
          <w:rPr>
            <w:rStyle w:val="TextoNormalCaracter"/>
          </w:rPr>
          <w:t>112/2016</w:t>
        </w:r>
      </w:hyperlink>
      <w:r w:rsidRPr="00924F59">
        <w:rPr>
          <w:rStyle w:val="TextoNormalCaracter"/>
        </w:rPr>
        <w:t>, f. 2, VP.</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Sentencias </w:t>
      </w:r>
      <w:hyperlink w:anchor="SENTENCIA_2016_12" w:history="1">
        <w:r w:rsidRPr="00924F59">
          <w:rPr>
            <w:rStyle w:val="TextoNormalCaracter"/>
          </w:rPr>
          <w:t>12/2016</w:t>
        </w:r>
      </w:hyperlink>
      <w:r w:rsidRPr="00924F59">
        <w:rPr>
          <w:rStyle w:val="TextoNormalCaracter"/>
        </w:rPr>
        <w:t xml:space="preserve">, ff. 5, 6; </w:t>
      </w:r>
      <w:hyperlink w:anchor="SENTENCIA_2016_14" w:history="1">
        <w:r w:rsidRPr="00924F59">
          <w:rPr>
            <w:rStyle w:val="TextoNormalCaracter"/>
          </w:rPr>
          <w:t>14/2016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829" w:name="DESCRIPTORALFABETICO424"/>
      <w:r w:rsidRPr="00924F59">
        <w:rPr>
          <w:rStyle w:val="TextoNormalNegritaCaracter"/>
        </w:rPr>
        <w:t>Principio de legalidad sancionadora</w:t>
      </w:r>
      <w:bookmarkEnd w:id="1829"/>
      <w:r w:rsidRPr="00924F59">
        <w:rPr>
          <w:rStyle w:val="TextoNormalCaracter"/>
        </w:rPr>
        <w:t xml:space="preserve">, Sentencia </w:t>
      </w:r>
      <w:hyperlink w:anchor="SENTENCIA_2016_117" w:history="1">
        <w:r w:rsidRPr="00924F59">
          <w:rPr>
            <w:rStyle w:val="TextoNormalCaracter"/>
          </w:rPr>
          <w:t>117/2016</w:t>
        </w:r>
      </w:hyperlink>
      <w:r w:rsidRPr="00924F59">
        <w:rPr>
          <w:rStyle w:val="TextoNormalCaracter"/>
        </w:rPr>
        <w:t>, ff. 1, 4, 5.</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 </w:t>
      </w:r>
      <w:hyperlink w:anchor="SENTENCIA_2016_78" w:history="1">
        <w:r w:rsidRPr="00924F59">
          <w:rPr>
            <w:rStyle w:val="TextoNormalCaracter"/>
          </w:rPr>
          <w:t>78/2016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830" w:name="DESCRIPTORALFABETICO426"/>
      <w:r w:rsidRPr="00924F59">
        <w:rPr>
          <w:rStyle w:val="TextoNormalNegritaCaracter"/>
        </w:rPr>
        <w:t>Principio de legitimidad democrática</w:t>
      </w:r>
      <w:bookmarkEnd w:id="1830"/>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 9.</w:t>
      </w:r>
    </w:p>
    <w:p w:rsidR="00924F59" w:rsidRPr="00924F59" w:rsidRDefault="00924F59" w:rsidP="00924F59">
      <w:pPr>
        <w:pStyle w:val="TextoNormalSangraFrancesa"/>
        <w:rPr>
          <w:rStyle w:val="TextoNormalCaracter"/>
        </w:rPr>
      </w:pPr>
      <w:bookmarkStart w:id="1831" w:name="DESCRIPTORALFABETICO22"/>
      <w:r w:rsidRPr="00924F59">
        <w:rPr>
          <w:rStyle w:val="TextoNormalNegritaCaracter"/>
        </w:rPr>
        <w:t>Principio de no vaciamiento de competencias autonómicas</w:t>
      </w:r>
      <w:bookmarkEnd w:id="1831"/>
      <w:r w:rsidRPr="00924F59">
        <w:rPr>
          <w:rStyle w:val="TextoNormalCaracter"/>
        </w:rPr>
        <w:t xml:space="preserve">, Sentencias </w:t>
      </w:r>
      <w:hyperlink w:anchor="SENTENCIA_2016_8" w:history="1">
        <w:r w:rsidRPr="00924F59">
          <w:rPr>
            <w:rStyle w:val="TextoNormalCaracter"/>
          </w:rPr>
          <w:t>8/2016</w:t>
        </w:r>
      </w:hyperlink>
      <w:r w:rsidRPr="00924F59">
        <w:rPr>
          <w:rStyle w:val="TextoNormalCaracter"/>
        </w:rPr>
        <w:t xml:space="preserve">, ff. 2, 3; </w:t>
      </w:r>
      <w:hyperlink w:anchor="SENTENCIA_2016_55" w:history="1">
        <w:r w:rsidRPr="00924F59">
          <w:rPr>
            <w:rStyle w:val="TextoNormalCaracter"/>
          </w:rPr>
          <w:t>55/2016</w:t>
        </w:r>
      </w:hyperlink>
      <w:r w:rsidRPr="00924F59">
        <w:rPr>
          <w:rStyle w:val="TextoNormalCaracter"/>
        </w:rPr>
        <w:t>, f. 4.</w:t>
      </w:r>
    </w:p>
    <w:p w:rsidR="00924F59" w:rsidRPr="00924F59" w:rsidRDefault="00924F59" w:rsidP="00924F59">
      <w:pPr>
        <w:pStyle w:val="TextoNormalSangraFrancesa"/>
        <w:rPr>
          <w:rStyle w:val="TextoNormalCaracter"/>
        </w:rPr>
      </w:pPr>
      <w:bookmarkStart w:id="1832" w:name="DESCRIPTORALFABETICO670"/>
      <w:r w:rsidRPr="00924F59">
        <w:rPr>
          <w:rStyle w:val="TextoNormalNegritaCaracter"/>
        </w:rPr>
        <w:t>Principio de preferencia de ley</w:t>
      </w:r>
      <w:bookmarkEnd w:id="1832"/>
      <w:r w:rsidRPr="00924F59">
        <w:rPr>
          <w:rStyle w:val="TextoNormalCaracter"/>
        </w:rPr>
        <w:t xml:space="preserve">, Sentencia </w:t>
      </w:r>
      <w:hyperlink w:anchor="SENTENCIA_2016_7" w:history="1">
        <w:r w:rsidRPr="00924F59">
          <w:rPr>
            <w:rStyle w:val="TextoNormalCaracter"/>
          </w:rPr>
          <w:t>7/2016</w:t>
        </w:r>
      </w:hyperlink>
      <w:r w:rsidRPr="00924F59">
        <w:rPr>
          <w:rStyle w:val="TextoNormalCaracter"/>
        </w:rPr>
        <w:t>, f. 5.</w:t>
      </w:r>
    </w:p>
    <w:p w:rsidR="00924F59" w:rsidRPr="00924F59" w:rsidRDefault="00924F59" w:rsidP="00924F59">
      <w:pPr>
        <w:pStyle w:val="TextoNormalSangraFrancesa"/>
        <w:rPr>
          <w:rStyle w:val="TextoNormalCaracter"/>
        </w:rPr>
      </w:pPr>
      <w:bookmarkStart w:id="1833" w:name="DESCRIPTORALFABETICO427"/>
      <w:r w:rsidRPr="00924F59">
        <w:rPr>
          <w:rStyle w:val="TextoNormalNegritaCaracter"/>
        </w:rPr>
        <w:t>Principio de proporcionalidad</w:t>
      </w:r>
      <w:bookmarkEnd w:id="1833"/>
      <w:r w:rsidRPr="00924F59">
        <w:rPr>
          <w:rStyle w:val="TextoNormalCaracter"/>
        </w:rPr>
        <w:t xml:space="preserve">, Sentencias </w:t>
      </w:r>
      <w:hyperlink w:anchor="SENTENCIA_2016_29" w:history="1">
        <w:r w:rsidRPr="00924F59">
          <w:rPr>
            <w:rStyle w:val="TextoNormalCaracter"/>
          </w:rPr>
          <w:t>29/2016</w:t>
        </w:r>
      </w:hyperlink>
      <w:r w:rsidRPr="00924F59">
        <w:rPr>
          <w:rStyle w:val="TextoNormalCaracter"/>
        </w:rPr>
        <w:t xml:space="preserve">, f. 6; </w:t>
      </w:r>
      <w:hyperlink w:anchor="SENTENCIA_2016_35" w:history="1">
        <w:r w:rsidRPr="00924F59">
          <w:rPr>
            <w:rStyle w:val="TextoNormalCaracter"/>
          </w:rPr>
          <w:t>35/2016</w:t>
        </w:r>
      </w:hyperlink>
      <w:r w:rsidRPr="00924F59">
        <w:rPr>
          <w:rStyle w:val="TextoNormalCaracter"/>
        </w:rPr>
        <w:t xml:space="preserve">, ff. 1, 4; </w:t>
      </w:r>
      <w:hyperlink w:anchor="SENTENCIA_2016_39" w:history="1">
        <w:r w:rsidRPr="00924F59">
          <w:rPr>
            <w:rStyle w:val="TextoNormalCaracter"/>
          </w:rPr>
          <w:t>39/2016</w:t>
        </w:r>
      </w:hyperlink>
      <w:r w:rsidRPr="00924F59">
        <w:rPr>
          <w:rStyle w:val="TextoNormalCaracter"/>
        </w:rPr>
        <w:t xml:space="preserve">, f. 4, VP I; </w:t>
      </w:r>
      <w:hyperlink w:anchor="SENTENCIA_2016_112" w:history="1">
        <w:r w:rsidRPr="00924F59">
          <w:rPr>
            <w:rStyle w:val="TextoNormalCaracter"/>
          </w:rPr>
          <w:t>112/2016</w:t>
        </w:r>
      </w:hyperlink>
      <w:r w:rsidRPr="00924F59">
        <w:rPr>
          <w:rStyle w:val="TextoNormalCaracter"/>
        </w:rPr>
        <w:t xml:space="preserve">, ff. 2, 3; </w:t>
      </w:r>
      <w:hyperlink w:anchor="SENTENCIA_2016_122" w:history="1">
        <w:r w:rsidRPr="00924F59">
          <w:rPr>
            <w:rStyle w:val="TextoNormalCaracter"/>
          </w:rPr>
          <w:t>122/2016</w:t>
        </w:r>
      </w:hyperlink>
      <w:r w:rsidRPr="00924F59">
        <w:rPr>
          <w:rStyle w:val="TextoNormalCaracter"/>
        </w:rPr>
        <w:t>, ff. 4, 6.</w:t>
      </w:r>
    </w:p>
    <w:p w:rsidR="00924F59" w:rsidRPr="00924F59" w:rsidRDefault="00924F59" w:rsidP="00924F59">
      <w:pPr>
        <w:pStyle w:val="TextoNormalSangraFrancesa"/>
        <w:rPr>
          <w:rStyle w:val="TextoNormalCaracter"/>
        </w:rPr>
      </w:pPr>
      <w:bookmarkStart w:id="1834" w:name="DESCRIPTORALFABETICO430"/>
      <w:r w:rsidRPr="00924F59">
        <w:rPr>
          <w:rStyle w:val="TextoNormalNegritaCaracter"/>
        </w:rPr>
        <w:t>Principio de seguridad jurídica</w:t>
      </w:r>
      <w:bookmarkEnd w:id="1834"/>
      <w:r w:rsidRPr="00924F59">
        <w:rPr>
          <w:rStyle w:val="TextoNormalCaracter"/>
        </w:rPr>
        <w:t xml:space="preserve">, Sentencias </w:t>
      </w:r>
      <w:hyperlink w:anchor="SENTENCIA_2016_24" w:history="1">
        <w:r w:rsidRPr="00924F59">
          <w:rPr>
            <w:rStyle w:val="TextoNormalCaracter"/>
          </w:rPr>
          <w:t>24/2016</w:t>
        </w:r>
      </w:hyperlink>
      <w:r w:rsidRPr="00924F59">
        <w:rPr>
          <w:rStyle w:val="TextoNormalCaracter"/>
        </w:rPr>
        <w:t xml:space="preserve">, f. único; </w:t>
      </w:r>
      <w:hyperlink w:anchor="SENTENCIA_2016_26" w:history="1">
        <w:r w:rsidRPr="00924F59">
          <w:rPr>
            <w:rStyle w:val="TextoNormalCaracter"/>
          </w:rPr>
          <w:t>26/2016</w:t>
        </w:r>
      </w:hyperlink>
      <w:r w:rsidRPr="00924F59">
        <w:rPr>
          <w:rStyle w:val="TextoNormalCaracter"/>
        </w:rPr>
        <w:t xml:space="preserve">, ff. 9, 10; </w:t>
      </w:r>
      <w:hyperlink w:anchor="SENTENCIA_2016_56" w:history="1">
        <w:r w:rsidRPr="00924F59">
          <w:rPr>
            <w:rStyle w:val="TextoNormalCaracter"/>
          </w:rPr>
          <w:t>56/2016</w:t>
        </w:r>
      </w:hyperlink>
      <w:r w:rsidRPr="00924F59">
        <w:rPr>
          <w:rStyle w:val="TextoNormalCaracter"/>
        </w:rPr>
        <w:t xml:space="preserve">, f. 3; </w:t>
      </w:r>
      <w:hyperlink w:anchor="SENTENCIA_2016_96" w:history="1">
        <w:r w:rsidRPr="00924F59">
          <w:rPr>
            <w:rStyle w:val="TextoNormalCaracter"/>
          </w:rPr>
          <w:t>96/2016</w:t>
        </w:r>
      </w:hyperlink>
      <w:r w:rsidRPr="00924F59">
        <w:rPr>
          <w:rStyle w:val="TextoNormalCaracter"/>
        </w:rPr>
        <w:t xml:space="preserve">, f. 3; </w:t>
      </w:r>
      <w:hyperlink w:anchor="SENTENCIA_2016_99" w:history="1">
        <w:r w:rsidRPr="00924F59">
          <w:rPr>
            <w:rStyle w:val="TextoNormalCaracter"/>
          </w:rPr>
          <w:t>99/2016</w:t>
        </w:r>
      </w:hyperlink>
      <w:r w:rsidRPr="00924F59">
        <w:rPr>
          <w:rStyle w:val="TextoNormalCaracter"/>
        </w:rPr>
        <w:t xml:space="preserve">, f. 8; </w:t>
      </w:r>
      <w:hyperlink w:anchor="SENTENCIA_2016_122" w:history="1">
        <w:r w:rsidRPr="00924F59">
          <w:rPr>
            <w:rStyle w:val="TextoNormalCaracter"/>
          </w:rPr>
          <w:t>122/2016</w:t>
        </w:r>
      </w:hyperlink>
      <w:r w:rsidRPr="00924F59">
        <w:rPr>
          <w:rStyle w:val="TextoNormalCaracter"/>
        </w:rPr>
        <w:t xml:space="preserve">, ff. 2, 6; </w:t>
      </w:r>
      <w:hyperlink w:anchor="SENTENCIA_2016_123" w:history="1">
        <w:r w:rsidRPr="00924F59">
          <w:rPr>
            <w:rStyle w:val="TextoNormalCaracter"/>
          </w:rPr>
          <w:t>123/2016</w:t>
        </w:r>
      </w:hyperlink>
      <w:r w:rsidRPr="00924F59">
        <w:rPr>
          <w:rStyle w:val="TextoNormalCaracter"/>
        </w:rPr>
        <w:t>, f. 3.</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 </w:t>
      </w:r>
      <w:hyperlink w:anchor="SENTENCIA_2016_121" w:history="1">
        <w:r w:rsidRPr="00924F59">
          <w:rPr>
            <w:rStyle w:val="TextoNormalCaracter"/>
          </w:rPr>
          <w:t>121/2016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835" w:name="DESCRIPTORALFABETICO93"/>
      <w:r w:rsidRPr="00924F59">
        <w:rPr>
          <w:rStyle w:val="TextoNormalNegritaCaracter"/>
        </w:rPr>
        <w:t>Principio de suficiencia financiera</w:t>
      </w:r>
      <w:bookmarkEnd w:id="1835"/>
      <w:r w:rsidRPr="00924F59">
        <w:rPr>
          <w:rStyle w:val="TextoNormalCaracter"/>
        </w:rPr>
        <w:t xml:space="preserve">, Sentencias </w:t>
      </w:r>
      <w:hyperlink w:anchor="SENTENCIA_2016_41" w:history="1">
        <w:r w:rsidRPr="00924F59">
          <w:rPr>
            <w:rStyle w:val="TextoNormalCaracter"/>
          </w:rPr>
          <w:t>41/2016</w:t>
        </w:r>
      </w:hyperlink>
      <w:r w:rsidRPr="00924F59">
        <w:rPr>
          <w:rStyle w:val="TextoNormalCaracter"/>
        </w:rPr>
        <w:t xml:space="preserve">, ff. 6 c), 11 c), 15; </w:t>
      </w:r>
      <w:hyperlink w:anchor="SENTENCIA_2016_96" w:history="1">
        <w:r w:rsidRPr="00924F59">
          <w:rPr>
            <w:rStyle w:val="TextoNormalCaracter"/>
          </w:rPr>
          <w:t>96/2016</w:t>
        </w:r>
      </w:hyperlink>
      <w:r w:rsidRPr="00924F59">
        <w:rPr>
          <w:rStyle w:val="TextoNormalCaracter"/>
        </w:rPr>
        <w:t xml:space="preserve">, ff. 4 b), 4 c); </w:t>
      </w:r>
      <w:hyperlink w:anchor="SENTENCIA_2016_101" w:history="1">
        <w:r w:rsidRPr="00924F59">
          <w:rPr>
            <w:rStyle w:val="TextoNormalCaracter"/>
          </w:rPr>
          <w:t>101/2016</w:t>
        </w:r>
      </w:hyperlink>
      <w:r w:rsidRPr="00924F59">
        <w:rPr>
          <w:rStyle w:val="TextoNormalCaracter"/>
        </w:rPr>
        <w:t>, ff. 2, 3, 5 a 9, 11, 12, VP II, VP III.</w:t>
      </w:r>
    </w:p>
    <w:p w:rsidR="00924F59" w:rsidRPr="00924F59" w:rsidRDefault="00924F59" w:rsidP="00924F59">
      <w:pPr>
        <w:pStyle w:val="TextoNormalSangraFrancesa"/>
        <w:rPr>
          <w:rStyle w:val="TextoNormalCaracter"/>
        </w:rPr>
      </w:pPr>
      <w:bookmarkStart w:id="1836" w:name="DESCRIPTORALFABETICO432"/>
      <w:r w:rsidRPr="00924F59">
        <w:rPr>
          <w:rStyle w:val="TextoNormalNegritaCaracter"/>
        </w:rPr>
        <w:t>Principio de tipicidad</w:t>
      </w:r>
      <w:bookmarkEnd w:id="1836"/>
      <w:r w:rsidRPr="00924F59">
        <w:rPr>
          <w:rStyle w:val="TextoNormalCaracter"/>
        </w:rPr>
        <w:t xml:space="preserve">, Auto </w:t>
      </w:r>
      <w:hyperlink w:anchor="AUTO_2016_112" w:history="1">
        <w:r w:rsidRPr="00924F59">
          <w:rPr>
            <w:rStyle w:val="TextoNormalCaracter"/>
          </w:rPr>
          <w:t>112/2016</w:t>
        </w:r>
      </w:hyperlink>
      <w:r w:rsidRPr="00924F59">
        <w:rPr>
          <w:rStyle w:val="TextoNormalCaracter"/>
        </w:rPr>
        <w:t>, f. 3, VP.</w:t>
      </w:r>
    </w:p>
    <w:p w:rsidR="00924F59" w:rsidRPr="00924F59" w:rsidRDefault="00924F59" w:rsidP="00924F59">
      <w:pPr>
        <w:pStyle w:val="TextoNormalSangraFrancesa"/>
        <w:rPr>
          <w:rStyle w:val="TextoNormalCaracter"/>
        </w:rPr>
      </w:pPr>
      <w:bookmarkStart w:id="1837" w:name="DESCRIPTORALFABETICO436"/>
      <w:r w:rsidRPr="00924F59">
        <w:rPr>
          <w:rStyle w:val="TextoNormalNegritaCaracter"/>
        </w:rPr>
        <w:t>Principio democrático</w:t>
      </w:r>
      <w:bookmarkEnd w:id="1837"/>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 8, VP.</w:t>
      </w:r>
    </w:p>
    <w:p w:rsidR="00924F59" w:rsidRPr="00924F59" w:rsidRDefault="00924F59" w:rsidP="00924F59">
      <w:pPr>
        <w:pStyle w:val="TextoNormalSangraFrancesa"/>
        <w:rPr>
          <w:rStyle w:val="TextoNormalCaracter"/>
        </w:rPr>
      </w:pPr>
      <w:bookmarkStart w:id="1838" w:name="DESCRIPTORALFABETICO433"/>
      <w:r w:rsidRPr="00924F59">
        <w:rPr>
          <w:rStyle w:val="TextoNormalNegritaCaracter"/>
        </w:rPr>
        <w:t>Principio non bis in idem</w:t>
      </w:r>
      <w:bookmarkEnd w:id="1838"/>
      <w:r w:rsidRPr="00924F59">
        <w:rPr>
          <w:rStyle w:val="TextoNormalCaracter"/>
        </w:rPr>
        <w:t xml:space="preserve">, Sentencia </w:t>
      </w:r>
      <w:hyperlink w:anchor="SENTENCIA_2016_23" w:history="1">
        <w:r w:rsidRPr="00924F59">
          <w:rPr>
            <w:rStyle w:val="TextoNormalCaracter"/>
          </w:rPr>
          <w:t>23/2016</w:t>
        </w:r>
      </w:hyperlink>
      <w:r w:rsidRPr="00924F59">
        <w:rPr>
          <w:rStyle w:val="TextoNormalCaracter"/>
        </w:rPr>
        <w:t>, ff. 1, 4, 5.</w:t>
      </w:r>
    </w:p>
    <w:p w:rsidR="00924F59" w:rsidRPr="00924F59" w:rsidRDefault="00924F59" w:rsidP="00924F59">
      <w:pPr>
        <w:pStyle w:val="TextoNormalSangraFrancesa"/>
        <w:rPr>
          <w:rStyle w:val="TextoNormalCaracter"/>
        </w:rPr>
      </w:pPr>
      <w:bookmarkStart w:id="1839" w:name="DESCRIPTORALFABETICO160"/>
      <w:r w:rsidRPr="00924F59">
        <w:rPr>
          <w:rStyle w:val="TextoNormalNegritaCaracter"/>
        </w:rPr>
        <w:t>Privación de libertad que no es detención</w:t>
      </w:r>
      <w:bookmarkEnd w:id="1839"/>
      <w:r w:rsidRPr="00924F59">
        <w:rPr>
          <w:rStyle w:val="TextoNormalCaracter"/>
        </w:rPr>
        <w:t xml:space="preserve">, Sentencias </w:t>
      </w:r>
      <w:hyperlink w:anchor="SENTENCIA_2016_22" w:history="1">
        <w:r w:rsidRPr="00924F59">
          <w:rPr>
            <w:rStyle w:val="TextoNormalCaracter"/>
          </w:rPr>
          <w:t>22/2016</w:t>
        </w:r>
      </w:hyperlink>
      <w:r w:rsidRPr="00924F59">
        <w:rPr>
          <w:rStyle w:val="TextoNormalCaracter"/>
        </w:rPr>
        <w:t xml:space="preserve">, f. 4; </w:t>
      </w:r>
      <w:hyperlink w:anchor="SENTENCIA_2016_50" w:history="1">
        <w:r w:rsidRPr="00924F59">
          <w:rPr>
            <w:rStyle w:val="TextoNormalCaracter"/>
          </w:rPr>
          <w:t>50/2016</w:t>
        </w:r>
      </w:hyperlink>
      <w:r w:rsidRPr="00924F59">
        <w:rPr>
          <w:rStyle w:val="TextoNormalCaracter"/>
        </w:rPr>
        <w:t>, f. 4.</w:t>
      </w:r>
    </w:p>
    <w:p w:rsidR="00924F59" w:rsidRPr="00924F59" w:rsidRDefault="00924F59" w:rsidP="00924F59">
      <w:pPr>
        <w:pStyle w:val="TextoNormalSangraFrancesa"/>
        <w:rPr>
          <w:rStyle w:val="TextoNormalCaracter"/>
        </w:rPr>
      </w:pPr>
      <w:bookmarkStart w:id="1840" w:name="DESCRIPTORALFABETICO730"/>
      <w:r w:rsidRPr="00924F59">
        <w:rPr>
          <w:rStyle w:val="TextoNormalNegritaCaracter"/>
        </w:rPr>
        <w:t>Procedimiento administrativo común</w:t>
      </w:r>
      <w:bookmarkEnd w:id="1840"/>
      <w:r w:rsidRPr="00924F59">
        <w:rPr>
          <w:rStyle w:val="TextoNormalCaracter"/>
        </w:rPr>
        <w:t xml:space="preserve">, Sentencia </w:t>
      </w:r>
      <w:hyperlink w:anchor="SENTENCIA_2016_17" w:history="1">
        <w:r w:rsidRPr="00924F59">
          <w:rPr>
            <w:rStyle w:val="TextoNormalCaracter"/>
          </w:rPr>
          <w:t>17/2016</w:t>
        </w:r>
      </w:hyperlink>
      <w:r w:rsidRPr="00924F59">
        <w:rPr>
          <w:rStyle w:val="TextoNormalCaracter"/>
        </w:rPr>
        <w:t>, f. 5.</w:t>
      </w:r>
    </w:p>
    <w:p w:rsidR="00924F59" w:rsidRPr="00924F59" w:rsidRDefault="00924F59" w:rsidP="00924F59">
      <w:pPr>
        <w:pStyle w:val="TextoNormalSangraFrancesa"/>
        <w:rPr>
          <w:rStyle w:val="TextoNormalCaracter"/>
        </w:rPr>
      </w:pPr>
      <w:bookmarkStart w:id="1841" w:name="DESCRIPTORALFABETICO534"/>
      <w:r w:rsidRPr="00924F59">
        <w:rPr>
          <w:rStyle w:val="TextoNormalNegritaCaracter"/>
        </w:rPr>
        <w:t>Procedimiento administrativo disciplinario</w:t>
      </w:r>
      <w:bookmarkEnd w:id="1841"/>
      <w:r w:rsidRPr="00924F59">
        <w:rPr>
          <w:rStyle w:val="TextoNormalCaracter"/>
        </w:rPr>
        <w:t xml:space="preserve">, Auto </w:t>
      </w:r>
      <w:hyperlink w:anchor="AUTO_2016_89" w:history="1">
        <w:r w:rsidRPr="00924F59">
          <w:rPr>
            <w:rStyle w:val="TextoNormalCaracter"/>
          </w:rPr>
          <w:t>89/2016</w:t>
        </w:r>
      </w:hyperlink>
      <w:r w:rsidRPr="00924F59">
        <w:rPr>
          <w:rStyle w:val="TextoNormalCaracter"/>
        </w:rPr>
        <w:t>, f. 6.</w:t>
      </w:r>
    </w:p>
    <w:p w:rsidR="00924F59" w:rsidRPr="00924F59" w:rsidRDefault="00924F59" w:rsidP="00924F59">
      <w:pPr>
        <w:pStyle w:val="TextoNormalSangraFrancesa"/>
        <w:rPr>
          <w:rStyle w:val="TextoNormalCaracter"/>
        </w:rPr>
      </w:pPr>
      <w:bookmarkStart w:id="1842" w:name="DESCRIPTORALFABETICO733"/>
      <w:r w:rsidRPr="00924F59">
        <w:rPr>
          <w:rStyle w:val="TextoNormalNegritaCaracter"/>
        </w:rPr>
        <w:t>Procedimiento concursal</w:t>
      </w:r>
      <w:bookmarkEnd w:id="1842"/>
      <w:r w:rsidRPr="00924F59">
        <w:rPr>
          <w:rStyle w:val="TextoNormalCaracter"/>
        </w:rPr>
        <w:t xml:space="preserve">, Auto </w:t>
      </w:r>
      <w:hyperlink w:anchor="AUTO_2016_35" w:history="1">
        <w:r w:rsidRPr="00924F59">
          <w:rPr>
            <w:rStyle w:val="TextoNormalCaracter"/>
          </w:rPr>
          <w:t>35/2016</w:t>
        </w:r>
      </w:hyperlink>
      <w:r w:rsidRPr="00924F59">
        <w:rPr>
          <w:rStyle w:val="TextoNormalCaracter"/>
        </w:rPr>
        <w:t>, ff. 1 a 4.</w:t>
      </w:r>
    </w:p>
    <w:p w:rsidR="00924F59" w:rsidRPr="00924F59" w:rsidRDefault="00924F59" w:rsidP="00924F59">
      <w:pPr>
        <w:pStyle w:val="TextoNormalSangraFrancesa"/>
        <w:rPr>
          <w:rStyle w:val="TextoNormalCaracter"/>
        </w:rPr>
      </w:pPr>
      <w:bookmarkStart w:id="1843" w:name="DESCRIPTORALFABETICO853"/>
      <w:r w:rsidRPr="00924F59">
        <w:rPr>
          <w:rStyle w:val="TextoNormalNegritaCaracter"/>
        </w:rPr>
        <w:t xml:space="preserve">Procedimiento de extradición </w:t>
      </w:r>
      <w:r w:rsidRPr="00924F59">
        <w:rPr>
          <w:rStyle w:val="TextoNormalNegritaCaracter"/>
          <w:i/>
        </w:rPr>
        <w:t>versus</w:t>
      </w:r>
      <w:r w:rsidRPr="00924F59">
        <w:rPr>
          <w:rStyle w:val="TextoNormalNegritaCaracter"/>
        </w:rPr>
        <w:t xml:space="preserve"> competencias de los órganos judiciales</w:t>
      </w:r>
      <w:bookmarkEnd w:id="1843"/>
      <w:r w:rsidRPr="00924F59">
        <w:rPr>
          <w:rStyle w:val="TextoNormalCaracter"/>
        </w:rPr>
        <w:t xml:space="preserve">, Auto </w:t>
      </w:r>
      <w:hyperlink w:anchor="AUTO_2016_91" w:history="1">
        <w:r w:rsidRPr="00924F59">
          <w:rPr>
            <w:rStyle w:val="TextoNormalCaracter"/>
          </w:rPr>
          <w:t>91/2016</w:t>
        </w:r>
      </w:hyperlink>
      <w:r w:rsidRPr="00924F59">
        <w:rPr>
          <w:rStyle w:val="TextoNormalCaracter"/>
        </w:rPr>
        <w:t>, ff. 2 a 3.</w:t>
      </w:r>
    </w:p>
    <w:p w:rsidR="00924F59" w:rsidRPr="00924F59" w:rsidRDefault="00924F59" w:rsidP="00924F59">
      <w:pPr>
        <w:pStyle w:val="TextoNormalSangraFrancesa"/>
        <w:rPr>
          <w:rStyle w:val="TextoNormalCaracter"/>
        </w:rPr>
      </w:pPr>
      <w:bookmarkStart w:id="1844" w:name="DESCRIPTORALFABETICO387"/>
      <w:r w:rsidRPr="00924F59">
        <w:rPr>
          <w:rStyle w:val="TextoNormalNegritaCaracter"/>
        </w:rPr>
        <w:t>Procedimiento legislativo</w:t>
      </w:r>
      <w:bookmarkEnd w:id="1844"/>
      <w:r w:rsidRPr="00924F59">
        <w:rPr>
          <w:rStyle w:val="TextoNormalCaracter"/>
        </w:rPr>
        <w:t xml:space="preserve">, Sentencias </w:t>
      </w:r>
      <w:hyperlink w:anchor="SENTENCIA_2016_108" w:history="1">
        <w:r w:rsidRPr="00924F59">
          <w:rPr>
            <w:rStyle w:val="TextoNormalCaracter"/>
          </w:rPr>
          <w:t>108/2016</w:t>
        </w:r>
      </w:hyperlink>
      <w:r w:rsidRPr="00924F59">
        <w:rPr>
          <w:rStyle w:val="TextoNormalCaracter"/>
        </w:rPr>
        <w:t xml:space="preserve">, ff. 1, 3, 4; </w:t>
      </w:r>
      <w:hyperlink w:anchor="SENTENCIA_2016_109" w:history="1">
        <w:r w:rsidRPr="00924F59">
          <w:rPr>
            <w:rStyle w:val="TextoNormalCaracter"/>
          </w:rPr>
          <w:t>109/2016</w:t>
        </w:r>
      </w:hyperlink>
      <w:r w:rsidRPr="00924F59">
        <w:rPr>
          <w:rStyle w:val="TextoNormalCaracter"/>
        </w:rPr>
        <w:t>, ff. 1, 2, 4 a 6.</w:t>
      </w:r>
    </w:p>
    <w:p w:rsidR="00924F59" w:rsidRPr="00924F59" w:rsidRDefault="00924F59" w:rsidP="00924F59">
      <w:pPr>
        <w:pStyle w:val="TextoNormalSangraFrancesa"/>
        <w:rPr>
          <w:rStyle w:val="TextoNormalCaracter"/>
        </w:rPr>
      </w:pPr>
      <w:bookmarkStart w:id="1845" w:name="DESCRIPTORALFABETICO845"/>
      <w:r w:rsidRPr="00924F59">
        <w:rPr>
          <w:rStyle w:val="TextoNormalNegritaCaracter"/>
        </w:rPr>
        <w:t>Proceso civil de incapacitación</w:t>
      </w:r>
      <w:bookmarkEnd w:id="1845"/>
      <w:r w:rsidRPr="00924F59">
        <w:rPr>
          <w:rStyle w:val="TextoNormalCaracter"/>
        </w:rPr>
        <w:t xml:space="preserve">, Sentencia </w:t>
      </w:r>
      <w:hyperlink w:anchor="SENTENCIA_2016_34" w:history="1">
        <w:r w:rsidRPr="00924F59">
          <w:rPr>
            <w:rStyle w:val="TextoNormalCaracter"/>
          </w:rPr>
          <w:t>34/2016</w:t>
        </w:r>
      </w:hyperlink>
      <w:r w:rsidRPr="00924F59">
        <w:rPr>
          <w:rStyle w:val="TextoNormalCaracter"/>
        </w:rPr>
        <w:t>, ff. 6 a 7.</w:t>
      </w:r>
    </w:p>
    <w:p w:rsidR="00924F59" w:rsidRPr="00924F59" w:rsidRDefault="00924F59" w:rsidP="00924F59">
      <w:pPr>
        <w:pStyle w:val="TextoNormalSangraFrancesa"/>
        <w:rPr>
          <w:rStyle w:val="TextoNormalCaracter"/>
        </w:rPr>
      </w:pPr>
      <w:bookmarkStart w:id="1846" w:name="DESCRIPTORALFABETICO846"/>
      <w:r w:rsidRPr="00924F59">
        <w:rPr>
          <w:rStyle w:val="TextoNormalNegritaCaracter"/>
        </w:rPr>
        <w:t>Proceso de ejecución hipotecaria</w:t>
      </w:r>
      <w:bookmarkEnd w:id="1846"/>
      <w:r w:rsidRPr="00924F59">
        <w:rPr>
          <w:rStyle w:val="TextoNormalCaracter"/>
        </w:rPr>
        <w:t xml:space="preserve">, Autos </w:t>
      </w:r>
      <w:hyperlink w:anchor="AUTO_2016_68" w:history="1">
        <w:r w:rsidRPr="00924F59">
          <w:rPr>
            <w:rStyle w:val="TextoNormalCaracter"/>
          </w:rPr>
          <w:t>68/2016</w:t>
        </w:r>
      </w:hyperlink>
      <w:r w:rsidRPr="00924F59">
        <w:rPr>
          <w:rStyle w:val="TextoNormalCaracter"/>
        </w:rPr>
        <w:t xml:space="preserve">, ff. 2, 3; </w:t>
      </w:r>
      <w:hyperlink w:anchor="AUTO_2016_69" w:history="1">
        <w:r w:rsidRPr="00924F59">
          <w:rPr>
            <w:rStyle w:val="TextoNormalCaracter"/>
          </w:rPr>
          <w:t>69/2016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847" w:name="DESCRIPTORALFABETICO499"/>
      <w:r w:rsidRPr="00924F59">
        <w:rPr>
          <w:rStyle w:val="TextoNormalNegritaCaracter"/>
        </w:rPr>
        <w:t>Procesos selectivos en la función pública</w:t>
      </w:r>
      <w:bookmarkEnd w:id="1847"/>
      <w:r w:rsidRPr="00924F59">
        <w:rPr>
          <w:rStyle w:val="TextoNormalCaracter"/>
        </w:rPr>
        <w:t xml:space="preserve">, Sentencia </w:t>
      </w:r>
      <w:hyperlink w:anchor="SENTENCIA_2016_86" w:history="1">
        <w:r w:rsidRPr="00924F59">
          <w:rPr>
            <w:rStyle w:val="TextoNormalCaracter"/>
          </w:rPr>
          <w:t>86/2016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848" w:name="DESCRIPTORALFABETICO553"/>
      <w:r w:rsidRPr="00924F59">
        <w:rPr>
          <w:rStyle w:val="TextoNormalNegritaCaracter"/>
        </w:rPr>
        <w:t>Profesores de centros docentes públicos</w:t>
      </w:r>
      <w:bookmarkEnd w:id="1848"/>
      <w:r w:rsidRPr="00924F59">
        <w:rPr>
          <w:rStyle w:val="TextoNormalCaracter"/>
        </w:rPr>
        <w:t xml:space="preserve">, Sentencias </w:t>
      </w:r>
      <w:hyperlink w:anchor="SENTENCIA_2016_26" w:history="1">
        <w:r w:rsidRPr="00924F59">
          <w:rPr>
            <w:rStyle w:val="TextoNormalCaracter"/>
          </w:rPr>
          <w:t>26/2016</w:t>
        </w:r>
      </w:hyperlink>
      <w:r w:rsidRPr="00924F59">
        <w:rPr>
          <w:rStyle w:val="TextoNormalCaracter"/>
        </w:rPr>
        <w:t xml:space="preserve">, f. 6, VP; </w:t>
      </w:r>
      <w:hyperlink w:anchor="SENTENCIA_2016_54" w:history="1">
        <w:r w:rsidRPr="00924F59">
          <w:rPr>
            <w:rStyle w:val="TextoNormalCaracter"/>
          </w:rPr>
          <w:t>54/2016</w:t>
        </w:r>
      </w:hyperlink>
      <w:r w:rsidRPr="00924F59">
        <w:rPr>
          <w:rStyle w:val="TextoNormalCaracter"/>
        </w:rPr>
        <w:t xml:space="preserve">, f. 2, VP; </w:t>
      </w:r>
      <w:hyperlink w:anchor="SENTENCIA_2016_66" w:history="1">
        <w:r w:rsidRPr="00924F59">
          <w:rPr>
            <w:rStyle w:val="TextoNormalCaracter"/>
          </w:rPr>
          <w:t>66/2016</w:t>
        </w:r>
      </w:hyperlink>
      <w:r w:rsidRPr="00924F59">
        <w:rPr>
          <w:rStyle w:val="TextoNormalCaracter"/>
        </w:rPr>
        <w:t xml:space="preserve">, ff. 2 a 5, VP; </w:t>
      </w:r>
      <w:hyperlink w:anchor="SENTENCIA_2016_67" w:history="1">
        <w:r w:rsidRPr="00924F59">
          <w:rPr>
            <w:rStyle w:val="TextoNormalCaracter"/>
          </w:rPr>
          <w:t>67/2016</w:t>
        </w:r>
      </w:hyperlink>
      <w:r w:rsidRPr="00924F59">
        <w:rPr>
          <w:rStyle w:val="TextoNormalCaracter"/>
        </w:rPr>
        <w:t xml:space="preserve">, ff. 4 a 6, VP; </w:t>
      </w:r>
      <w:hyperlink w:anchor="SENTENCIA_2016_68" w:history="1">
        <w:r w:rsidRPr="00924F59">
          <w:rPr>
            <w:rStyle w:val="TextoNormalCaracter"/>
          </w:rPr>
          <w:t>68/2016</w:t>
        </w:r>
      </w:hyperlink>
      <w:r w:rsidRPr="00924F59">
        <w:rPr>
          <w:rStyle w:val="TextoNormalCaracter"/>
        </w:rPr>
        <w:t xml:space="preserve">, ff. 4 a 6, VP; </w:t>
      </w:r>
      <w:hyperlink w:anchor="SENTENCIA_2016_84" w:history="1">
        <w:r w:rsidRPr="00924F59">
          <w:rPr>
            <w:rStyle w:val="TextoNormalCaracter"/>
          </w:rPr>
          <w:t>84/2016</w:t>
        </w:r>
      </w:hyperlink>
      <w:r w:rsidRPr="00924F59">
        <w:rPr>
          <w:rStyle w:val="TextoNormalCaracter"/>
        </w:rPr>
        <w:t>, ff. 4 a 6, VP.</w:t>
      </w:r>
    </w:p>
    <w:p w:rsidR="00924F59" w:rsidRPr="00924F59" w:rsidRDefault="00924F59" w:rsidP="00924F59">
      <w:pPr>
        <w:pStyle w:val="TextoNormalSangraFrancesa"/>
        <w:rPr>
          <w:rStyle w:val="TextoNormalCaracter"/>
        </w:rPr>
      </w:pPr>
      <w:bookmarkStart w:id="1849" w:name="DESCRIPTORALFABETICO554"/>
      <w:r w:rsidRPr="00924F59">
        <w:rPr>
          <w:rStyle w:val="TextoNormalNegritaCaracter"/>
        </w:rPr>
        <w:t>Profesores interinos</w:t>
      </w:r>
      <w:bookmarkEnd w:id="1849"/>
      <w:r w:rsidRPr="00924F59">
        <w:rPr>
          <w:rStyle w:val="TextoNormalCaracter"/>
        </w:rPr>
        <w:t xml:space="preserve">, Sentencias </w:t>
      </w:r>
      <w:hyperlink w:anchor="SENTENCIA_2016_54" w:history="1">
        <w:r w:rsidRPr="00924F59">
          <w:rPr>
            <w:rStyle w:val="TextoNormalCaracter"/>
          </w:rPr>
          <w:t>54/2016</w:t>
        </w:r>
      </w:hyperlink>
      <w:r w:rsidRPr="00924F59">
        <w:rPr>
          <w:rStyle w:val="TextoNormalCaracter"/>
        </w:rPr>
        <w:t xml:space="preserve">, f. 2 c), VP; </w:t>
      </w:r>
      <w:hyperlink w:anchor="SENTENCIA_2016_66" w:history="1">
        <w:r w:rsidRPr="00924F59">
          <w:rPr>
            <w:rStyle w:val="TextoNormalCaracter"/>
          </w:rPr>
          <w:t>66/2016</w:t>
        </w:r>
      </w:hyperlink>
      <w:r w:rsidRPr="00924F59">
        <w:rPr>
          <w:rStyle w:val="TextoNormalCaracter"/>
        </w:rPr>
        <w:t xml:space="preserve">, f. 5, VP; </w:t>
      </w:r>
      <w:hyperlink w:anchor="SENTENCIA_2016_67" w:history="1">
        <w:r w:rsidRPr="00924F59">
          <w:rPr>
            <w:rStyle w:val="TextoNormalCaracter"/>
          </w:rPr>
          <w:t>67/2016</w:t>
        </w:r>
      </w:hyperlink>
      <w:r w:rsidRPr="00924F59">
        <w:rPr>
          <w:rStyle w:val="TextoNormalCaracter"/>
        </w:rPr>
        <w:t xml:space="preserve">, f. 6, VP; </w:t>
      </w:r>
      <w:hyperlink w:anchor="SENTENCIA_2016_68" w:history="1">
        <w:r w:rsidRPr="00924F59">
          <w:rPr>
            <w:rStyle w:val="TextoNormalCaracter"/>
          </w:rPr>
          <w:t>68/2016</w:t>
        </w:r>
      </w:hyperlink>
      <w:r w:rsidRPr="00924F59">
        <w:rPr>
          <w:rStyle w:val="TextoNormalCaracter"/>
        </w:rPr>
        <w:t xml:space="preserve">, f. 6, VP; </w:t>
      </w:r>
      <w:hyperlink w:anchor="SENTENCIA_2016_84" w:history="1">
        <w:r w:rsidRPr="00924F59">
          <w:rPr>
            <w:rStyle w:val="TextoNormalCaracter"/>
          </w:rPr>
          <w:t>84/2016</w:t>
        </w:r>
      </w:hyperlink>
      <w:r w:rsidRPr="00924F59">
        <w:rPr>
          <w:rStyle w:val="TextoNormalCaracter"/>
        </w:rPr>
        <w:t>, ff. 5 a), 5 c), VP.</w:t>
      </w:r>
    </w:p>
    <w:p w:rsidR="00924F59" w:rsidRPr="00924F59" w:rsidRDefault="00924F59" w:rsidP="00924F59">
      <w:pPr>
        <w:pStyle w:val="TextoNormalSangraFrancesa"/>
        <w:rPr>
          <w:rStyle w:val="TextoNormalCaracter"/>
        </w:rPr>
      </w:pPr>
      <w:bookmarkStart w:id="1850" w:name="DESCRIPTORALFABETICO494"/>
      <w:r w:rsidRPr="00924F59">
        <w:rPr>
          <w:rStyle w:val="TextoNormalNegritaCaracter"/>
        </w:rPr>
        <w:t>Promoción interna</w:t>
      </w:r>
      <w:bookmarkEnd w:id="1850"/>
      <w:r w:rsidRPr="00924F59">
        <w:rPr>
          <w:rStyle w:val="TextoNormalCaracter"/>
        </w:rPr>
        <w:t xml:space="preserve">, Auto </w:t>
      </w:r>
      <w:hyperlink w:anchor="AUTO_2016_89" w:history="1">
        <w:r w:rsidRPr="00924F59">
          <w:rPr>
            <w:rStyle w:val="TextoNormalCaracter"/>
          </w:rPr>
          <w:t>89/2016</w:t>
        </w:r>
      </w:hyperlink>
      <w:r w:rsidRPr="00924F59">
        <w:rPr>
          <w:rStyle w:val="TextoNormalCaracter"/>
        </w:rPr>
        <w:t>, f. 5.</w:t>
      </w:r>
    </w:p>
    <w:p w:rsidR="00924F59" w:rsidRPr="00924F59" w:rsidRDefault="00924F59" w:rsidP="00924F59">
      <w:pPr>
        <w:pStyle w:val="TextoNormalSangraFrancesa"/>
        <w:rPr>
          <w:rStyle w:val="TextoNormalCaracter"/>
        </w:rPr>
      </w:pPr>
      <w:bookmarkStart w:id="1851" w:name="DESCRIPTORALFABETICO352"/>
      <w:r w:rsidRPr="00924F59">
        <w:rPr>
          <w:rStyle w:val="TextoNormalNegritaCaracter"/>
        </w:rPr>
        <w:t>Pronunciamiento sobre el fondo improcedente</w:t>
      </w:r>
      <w:bookmarkEnd w:id="1851"/>
      <w:r w:rsidRPr="00924F59">
        <w:rPr>
          <w:rStyle w:val="TextoNormalCaracter"/>
        </w:rPr>
        <w:t xml:space="preserve">, Sentencia </w:t>
      </w:r>
      <w:hyperlink w:anchor="SENTENCIA_2016_94" w:history="1">
        <w:r w:rsidRPr="00924F59">
          <w:rPr>
            <w:rStyle w:val="TextoNormalCaracter"/>
          </w:rPr>
          <w:t>94/2016</w:t>
        </w:r>
      </w:hyperlink>
      <w:r w:rsidRPr="00924F59">
        <w:rPr>
          <w:rStyle w:val="TextoNormalCaracter"/>
        </w:rPr>
        <w:t>, f. 2.</w:t>
      </w:r>
    </w:p>
    <w:p w:rsidR="00924F59" w:rsidRPr="00924F59" w:rsidRDefault="00924F59" w:rsidP="00924F59">
      <w:pPr>
        <w:pStyle w:val="TextoNormalSangraFrancesa"/>
        <w:rPr>
          <w:rStyle w:val="TextoNormalCaracter"/>
        </w:rPr>
      </w:pPr>
      <w:bookmarkStart w:id="1852" w:name="DESCRIPTORALFABETICO222"/>
      <w:r w:rsidRPr="00924F59">
        <w:rPr>
          <w:rStyle w:val="TextoNormalNegritaCaracter"/>
        </w:rPr>
        <w:t>Proporcionalidad de las medidas restrictivas de derechos fundamentales</w:t>
      </w:r>
      <w:bookmarkEnd w:id="1852"/>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3 a 5, VP I.</w:t>
      </w:r>
    </w:p>
    <w:p w:rsidR="00924F59" w:rsidRPr="00924F59" w:rsidRDefault="00924F59" w:rsidP="00924F59">
      <w:pPr>
        <w:pStyle w:val="TextoNormalSangraFrancesa"/>
        <w:rPr>
          <w:rStyle w:val="TextoNormalCaracter"/>
        </w:rPr>
      </w:pPr>
      <w:bookmarkStart w:id="1853" w:name="DESCRIPTORALFABETICO226"/>
      <w:r w:rsidRPr="00924F59">
        <w:rPr>
          <w:rStyle w:val="TextoNormalNegritaCaracter"/>
        </w:rPr>
        <w:t>Prórroga del estado de alarma</w:t>
      </w:r>
      <w:bookmarkEnd w:id="1853"/>
      <w:r w:rsidRPr="00924F59">
        <w:rPr>
          <w:rStyle w:val="TextoNormalCaracter"/>
        </w:rPr>
        <w:t xml:space="preserve">, Sentencia </w:t>
      </w:r>
      <w:hyperlink w:anchor="SENTENCIA_2016_83" w:history="1">
        <w:r w:rsidRPr="00924F59">
          <w:rPr>
            <w:rStyle w:val="TextoNormalCaracter"/>
          </w:rPr>
          <w:t>83/2016</w:t>
        </w:r>
      </w:hyperlink>
      <w:r w:rsidRPr="00924F59">
        <w:rPr>
          <w:rStyle w:val="TextoNormalCaracter"/>
        </w:rPr>
        <w:t>, ff. 1, 2, 4, 7 a 11.</w:t>
      </w:r>
    </w:p>
    <w:p w:rsidR="00924F59" w:rsidRPr="00924F59" w:rsidRDefault="00924F59" w:rsidP="00924F59">
      <w:pPr>
        <w:pStyle w:val="TextoNormalSangraFrancesa"/>
        <w:rPr>
          <w:rStyle w:val="TextoNormalCaracter"/>
        </w:rPr>
      </w:pPr>
      <w:bookmarkStart w:id="1854" w:name="DESCRIPTORALFABETICO438"/>
      <w:r w:rsidRPr="00924F59">
        <w:rPr>
          <w:rStyle w:val="TextoNormalNegritaCaracter"/>
        </w:rPr>
        <w:t>Protección civil</w:t>
      </w:r>
      <w:bookmarkEnd w:id="1854"/>
      <w:r w:rsidRPr="00924F59">
        <w:rPr>
          <w:rStyle w:val="TextoNormalCaracter"/>
        </w:rPr>
        <w:t xml:space="preserve">, Sentencia </w:t>
      </w:r>
      <w:hyperlink w:anchor="SENTENCIA_2016_74" w:history="1">
        <w:r w:rsidRPr="00924F59">
          <w:rPr>
            <w:rStyle w:val="TextoNormalCaracter"/>
          </w:rPr>
          <w:t>74/2016</w:t>
        </w:r>
      </w:hyperlink>
      <w:r w:rsidRPr="00924F59">
        <w:rPr>
          <w:rStyle w:val="TextoNormalCaracter"/>
        </w:rPr>
        <w:t>, f. 3, VP.</w:t>
      </w:r>
    </w:p>
    <w:p w:rsidR="00924F59" w:rsidRPr="00924F59" w:rsidRDefault="00924F59" w:rsidP="00924F59">
      <w:pPr>
        <w:pStyle w:val="TextoNormalSangraFrancesa"/>
        <w:rPr>
          <w:rStyle w:val="TextoNormalCaracter"/>
        </w:rPr>
      </w:pPr>
      <w:bookmarkStart w:id="1855" w:name="DESCRIPTORALFABETICO350"/>
      <w:r w:rsidRPr="00924F59">
        <w:rPr>
          <w:rStyle w:val="TextoNormalNegritaCaracter"/>
        </w:rPr>
        <w:t>Protección de datos de carácter personal en las resoluciones del Tribunal Constitucional</w:t>
      </w:r>
      <w:bookmarkEnd w:id="1855"/>
      <w:r w:rsidRPr="00924F59">
        <w:rPr>
          <w:rStyle w:val="TextoNormalCaracter"/>
        </w:rPr>
        <w:t xml:space="preserve">, Sentencias </w:t>
      </w:r>
      <w:hyperlink w:anchor="SENTENCIA_2016_13" w:history="1">
        <w:r w:rsidRPr="00924F59">
          <w:rPr>
            <w:rStyle w:val="TextoNormalCaracter"/>
          </w:rPr>
          <w:t>13/2016</w:t>
        </w:r>
      </w:hyperlink>
      <w:r w:rsidRPr="00924F59">
        <w:rPr>
          <w:rStyle w:val="TextoNormalCaracter"/>
        </w:rPr>
        <w:t xml:space="preserve">, f. 1; </w:t>
      </w:r>
      <w:hyperlink w:anchor="SENTENCIA_2016_22" w:history="1">
        <w:r w:rsidRPr="00924F59">
          <w:rPr>
            <w:rStyle w:val="TextoNormalCaracter"/>
          </w:rPr>
          <w:t>22/2016</w:t>
        </w:r>
      </w:hyperlink>
      <w:r w:rsidRPr="00924F59">
        <w:rPr>
          <w:rStyle w:val="TextoNormalCaracter"/>
        </w:rPr>
        <w:t xml:space="preserve">, f. 1; </w:t>
      </w:r>
      <w:hyperlink w:anchor="SENTENCIA_2016_34" w:history="1">
        <w:r w:rsidRPr="00924F59">
          <w:rPr>
            <w:rStyle w:val="TextoNormalCaracter"/>
          </w:rPr>
          <w:t>34/2016</w:t>
        </w:r>
      </w:hyperlink>
      <w:r w:rsidRPr="00924F59">
        <w:rPr>
          <w:rStyle w:val="TextoNormalCaracter"/>
        </w:rPr>
        <w:t>, f. 1.</w:t>
      </w:r>
    </w:p>
    <w:p w:rsidR="00924F59" w:rsidRPr="00924F59" w:rsidRDefault="00924F59" w:rsidP="00924F59">
      <w:pPr>
        <w:pStyle w:val="TextoNormalSangraFrancesa"/>
        <w:rPr>
          <w:rStyle w:val="TextoNormalCaracter"/>
        </w:rPr>
      </w:pPr>
      <w:bookmarkStart w:id="1856" w:name="DESCRIPTORALFABETICO567"/>
      <w:r w:rsidRPr="00924F59">
        <w:rPr>
          <w:rStyle w:val="TextoNormalNegritaCaracter"/>
        </w:rPr>
        <w:t>Protección de la calidad del suministro de energía eléctrica</w:t>
      </w:r>
      <w:bookmarkEnd w:id="1856"/>
      <w:r w:rsidRPr="00924F59">
        <w:rPr>
          <w:rStyle w:val="TextoNormalCaracter"/>
        </w:rPr>
        <w:t xml:space="preserve">, Sentencias </w:t>
      </w:r>
      <w:hyperlink w:anchor="SENTENCIA_2016_32" w:history="1">
        <w:r w:rsidRPr="00924F59">
          <w:rPr>
            <w:rStyle w:val="TextoNormalCaracter"/>
          </w:rPr>
          <w:t>32/2016</w:t>
        </w:r>
      </w:hyperlink>
      <w:r w:rsidRPr="00924F59">
        <w:rPr>
          <w:rStyle w:val="TextoNormalCaracter"/>
        </w:rPr>
        <w:t xml:space="preserve">, ff. 9, 11 a 13; </w:t>
      </w:r>
      <w:hyperlink w:anchor="SENTENCIA_2016_60" w:history="1">
        <w:r w:rsidRPr="00924F59">
          <w:rPr>
            <w:rStyle w:val="TextoNormalCaracter"/>
          </w:rPr>
          <w:t>60/2016</w:t>
        </w:r>
      </w:hyperlink>
      <w:r w:rsidRPr="00924F59">
        <w:rPr>
          <w:rStyle w:val="TextoNormalCaracter"/>
        </w:rPr>
        <w:t>, ff. 4, 6 a 8.</w:t>
      </w:r>
    </w:p>
    <w:p w:rsidR="00924F59" w:rsidRPr="00924F59" w:rsidRDefault="00924F59" w:rsidP="00924F59">
      <w:pPr>
        <w:pStyle w:val="TextoNormalSangraFrancesa"/>
        <w:rPr>
          <w:rStyle w:val="TextoNormalCaracter"/>
        </w:rPr>
      </w:pPr>
      <w:bookmarkStart w:id="1857" w:name="DESCRIPTORALFABETICO725"/>
      <w:r w:rsidRPr="00924F59">
        <w:rPr>
          <w:rStyle w:val="TextoNormalNegritaCaracter"/>
        </w:rPr>
        <w:t>Protección de menores</w:t>
      </w:r>
      <w:bookmarkEnd w:id="1857"/>
      <w:r w:rsidRPr="00924F59">
        <w:rPr>
          <w:rStyle w:val="TextoNormalCaracter"/>
        </w:rPr>
        <w:t xml:space="preserve">, Sentencia </w:t>
      </w:r>
      <w:hyperlink w:anchor="SENTENCIA_2016_65" w:history="1">
        <w:r w:rsidRPr="00924F59">
          <w:rPr>
            <w:rStyle w:val="TextoNormalCaracter"/>
          </w:rPr>
          <w:t>65/2016</w:t>
        </w:r>
      </w:hyperlink>
      <w:r w:rsidRPr="00924F59">
        <w:rPr>
          <w:rStyle w:val="TextoNormalCaracter"/>
        </w:rPr>
        <w:t>, ff. 1, 7.</w:t>
      </w:r>
    </w:p>
    <w:p w:rsidR="00924F59" w:rsidRPr="00924F59" w:rsidRDefault="00924F59" w:rsidP="00924F59">
      <w:pPr>
        <w:pStyle w:val="TextoNormalSangraFrancesa"/>
        <w:rPr>
          <w:rStyle w:val="TextoNormalCaracter"/>
        </w:rPr>
      </w:pPr>
      <w:bookmarkStart w:id="1858" w:name="DESCRIPTORALFABETICO532"/>
      <w:r w:rsidRPr="00924F59">
        <w:rPr>
          <w:rStyle w:val="TextoNormalNegritaCaracter"/>
        </w:rPr>
        <w:t>Protección del consumidor</w:t>
      </w:r>
      <w:bookmarkEnd w:id="1858"/>
      <w:r w:rsidRPr="00924F59">
        <w:rPr>
          <w:rStyle w:val="TextoNormalCaracter"/>
        </w:rPr>
        <w:t xml:space="preserve">, Auto </w:t>
      </w:r>
      <w:hyperlink w:anchor="AUTO_2016_72" w:history="1">
        <w:r w:rsidRPr="00924F59">
          <w:rPr>
            <w:rStyle w:val="TextoNormalCaracter"/>
          </w:rPr>
          <w:t>72/2016</w:t>
        </w:r>
      </w:hyperlink>
      <w:r w:rsidRPr="00924F59">
        <w:rPr>
          <w:rStyle w:val="TextoNormalCaracter"/>
        </w:rPr>
        <w:t>, ff. 2 a 3, VP.</w:t>
      </w:r>
    </w:p>
    <w:p w:rsidR="00924F59" w:rsidRPr="00924F59" w:rsidRDefault="00924F59" w:rsidP="00924F59">
      <w:pPr>
        <w:pStyle w:val="TextoNormalSangraFrancesa"/>
        <w:rPr>
          <w:rStyle w:val="TextoNormalCaracter"/>
        </w:rPr>
      </w:pPr>
      <w:bookmarkStart w:id="1859" w:name="DESCRIPTORALFABETICO608"/>
      <w:r w:rsidRPr="00924F59">
        <w:rPr>
          <w:rStyle w:val="TextoNormalNegritaCaracter"/>
        </w:rPr>
        <w:t>Protección del medio ambiente</w:t>
      </w:r>
      <w:bookmarkEnd w:id="1859"/>
      <w:r w:rsidRPr="00924F59">
        <w:rPr>
          <w:rStyle w:val="TextoNormalCaracter"/>
        </w:rPr>
        <w:t xml:space="preserve">, Sentencias </w:t>
      </w:r>
      <w:hyperlink w:anchor="SENTENCIA_2016_6" w:history="1">
        <w:r w:rsidRPr="00924F59">
          <w:rPr>
            <w:rStyle w:val="TextoNormalCaracter"/>
          </w:rPr>
          <w:t>6/2016</w:t>
        </w:r>
      </w:hyperlink>
      <w:r w:rsidRPr="00924F59">
        <w:rPr>
          <w:rStyle w:val="TextoNormalCaracter"/>
        </w:rPr>
        <w:t xml:space="preserve">, f. 4 a); </w:t>
      </w:r>
      <w:hyperlink w:anchor="SENTENCIA_2016_28" w:history="1">
        <w:r w:rsidRPr="00924F59">
          <w:rPr>
            <w:rStyle w:val="TextoNormalCaracter"/>
          </w:rPr>
          <w:t>28/2016</w:t>
        </w:r>
      </w:hyperlink>
      <w:r w:rsidRPr="00924F59">
        <w:rPr>
          <w:rStyle w:val="TextoNormalCaracter"/>
        </w:rPr>
        <w:t xml:space="preserve">, f. 7; </w:t>
      </w:r>
      <w:hyperlink w:anchor="SENTENCIA_2016_53" w:history="1">
        <w:r w:rsidRPr="00924F59">
          <w:rPr>
            <w:rStyle w:val="TextoNormalCaracter"/>
          </w:rPr>
          <w:t>53/2016</w:t>
        </w:r>
      </w:hyperlink>
      <w:r w:rsidRPr="00924F59">
        <w:rPr>
          <w:rStyle w:val="TextoNormalCaracter"/>
        </w:rPr>
        <w:t xml:space="preserve">, ff. 1 a 5, VP; </w:t>
      </w:r>
      <w:hyperlink w:anchor="SENTENCIA_2016_57" w:history="1">
        <w:r w:rsidRPr="00924F59">
          <w:rPr>
            <w:rStyle w:val="TextoNormalCaracter"/>
          </w:rPr>
          <w:t>57/2016</w:t>
        </w:r>
      </w:hyperlink>
      <w:r w:rsidRPr="00924F59">
        <w:rPr>
          <w:rStyle w:val="TextoNormalCaracter"/>
        </w:rPr>
        <w:t xml:space="preserve">, ff. 2, 3 c), 4, 10, 11; </w:t>
      </w:r>
      <w:hyperlink w:anchor="SENTENCIA_2016_74" w:history="1">
        <w:r w:rsidRPr="00924F59">
          <w:rPr>
            <w:rStyle w:val="TextoNormalCaracter"/>
          </w:rPr>
          <w:t>74/2016</w:t>
        </w:r>
      </w:hyperlink>
      <w:r w:rsidRPr="00924F59">
        <w:rPr>
          <w:rStyle w:val="TextoNormalCaracter"/>
        </w:rPr>
        <w:t>, f. 3, VP.</w:t>
      </w:r>
    </w:p>
    <w:p w:rsidR="00924F59" w:rsidRPr="00924F59" w:rsidRDefault="00924F59" w:rsidP="00924F59">
      <w:pPr>
        <w:pStyle w:val="TextoNormalSangraFrancesa"/>
        <w:rPr>
          <w:rStyle w:val="TextoNormalCaracter"/>
        </w:rPr>
      </w:pPr>
      <w:bookmarkStart w:id="1860" w:name="DESCRIPTORALFABETICO223"/>
      <w:r w:rsidRPr="00924F59">
        <w:rPr>
          <w:rStyle w:val="TextoNormalNegritaCaracter"/>
        </w:rPr>
        <w:t>Protección jurisdiccional de los derechos fundamentales</w:t>
      </w:r>
      <w:bookmarkEnd w:id="1860"/>
      <w:r w:rsidRPr="00924F59">
        <w:rPr>
          <w:rStyle w:val="TextoNormalCaracter"/>
        </w:rPr>
        <w:t xml:space="preserve">, Sentencia </w:t>
      </w:r>
      <w:hyperlink w:anchor="SENTENCIA_2016_58" w:history="1">
        <w:r w:rsidRPr="00924F59">
          <w:rPr>
            <w:rStyle w:val="TextoNormalCaracter"/>
          </w:rPr>
          <w:t>58/2016</w:t>
        </w:r>
      </w:hyperlink>
      <w:r w:rsidRPr="00924F59">
        <w:rPr>
          <w:rStyle w:val="TextoNormalCaracter"/>
        </w:rPr>
        <w:t>, f. 5.</w:t>
      </w:r>
    </w:p>
    <w:p w:rsidR="00924F59" w:rsidRPr="00924F59" w:rsidRDefault="00924F59" w:rsidP="00924F59">
      <w:pPr>
        <w:pStyle w:val="TextoNormalSangraFrancesa"/>
        <w:rPr>
          <w:rStyle w:val="TextoNormalCaracter"/>
        </w:rPr>
      </w:pPr>
      <w:bookmarkStart w:id="1861" w:name="DESCRIPTORALFABETICO351"/>
      <w:r w:rsidRPr="00924F59">
        <w:rPr>
          <w:rStyle w:val="TextoNormalNegritaCaracter"/>
        </w:rPr>
        <w:t>Providencia de inadmisión</w:t>
      </w:r>
      <w:bookmarkEnd w:id="1861"/>
      <w:r w:rsidRPr="00924F59">
        <w:rPr>
          <w:rStyle w:val="TextoNormalCaracter"/>
        </w:rPr>
        <w:t xml:space="preserve">, Auto </w:t>
      </w:r>
      <w:hyperlink w:anchor="AUTO_2016_108" w:history="1">
        <w:r w:rsidRPr="00924F59">
          <w:rPr>
            <w:rStyle w:val="TextoNormalCaracter"/>
          </w:rPr>
          <w:t>108/2016</w:t>
        </w:r>
      </w:hyperlink>
      <w:r w:rsidRPr="00924F59">
        <w:rPr>
          <w:rStyle w:val="TextoNormalCaracter"/>
        </w:rPr>
        <w:t>, único.</w:t>
      </w:r>
    </w:p>
    <w:p w:rsidR="00924F59" w:rsidRPr="00924F59" w:rsidRDefault="00924F59" w:rsidP="00924F59">
      <w:pPr>
        <w:pStyle w:val="TextoNormalSangraFrancesa"/>
        <w:rPr>
          <w:rStyle w:val="TextoNormalCaracter"/>
        </w:rPr>
      </w:pPr>
      <w:bookmarkStart w:id="1862" w:name="DESCRIPTORALFABETICO601"/>
      <w:r w:rsidRPr="00924F59">
        <w:rPr>
          <w:rStyle w:val="TextoNormalNegritaCaracter"/>
        </w:rPr>
        <w:t>Provocación al odio y a la violencia</w:t>
      </w:r>
      <w:bookmarkEnd w:id="1862"/>
      <w:r w:rsidRPr="00924F59">
        <w:rPr>
          <w:rStyle w:val="TextoNormalCaracter"/>
        </w:rPr>
        <w:t xml:space="preserve">, Sentencia </w:t>
      </w:r>
      <w:hyperlink w:anchor="SENTENCIA_2016_112" w:history="1">
        <w:r w:rsidRPr="00924F59">
          <w:rPr>
            <w:rStyle w:val="TextoNormalCaracter"/>
          </w:rPr>
          <w:t>112/2016</w:t>
        </w:r>
      </w:hyperlink>
      <w:r w:rsidRPr="00924F59">
        <w:rPr>
          <w:rStyle w:val="TextoNormalCaracter"/>
        </w:rPr>
        <w:t>, ff. 2 a 4, 6.</w:t>
      </w:r>
    </w:p>
    <w:p w:rsidR="00924F59" w:rsidRPr="00924F59" w:rsidRDefault="00924F59" w:rsidP="00924F59">
      <w:pPr>
        <w:pStyle w:val="TextoNormalSangraFrancesa"/>
        <w:rPr>
          <w:rStyle w:val="TextoNormalCaracter"/>
        </w:rPr>
      </w:pPr>
      <w:bookmarkStart w:id="1863" w:name="DESCRIPTORALFABETICO17"/>
      <w:r w:rsidRPr="00924F59">
        <w:rPr>
          <w:rStyle w:val="TextoNormalNegritaCaracter"/>
        </w:rPr>
        <w:t>Proyección exterior de la actividad competencial</w:t>
      </w:r>
      <w:bookmarkEnd w:id="1863"/>
      <w:r w:rsidRPr="00924F59">
        <w:rPr>
          <w:rStyle w:val="TextoNormalCaracter"/>
        </w:rPr>
        <w:t xml:space="preserve">, Sentencia </w:t>
      </w:r>
      <w:hyperlink w:anchor="SENTENCIA_2016_85" w:history="1">
        <w:r w:rsidRPr="00924F59">
          <w:rPr>
            <w:rStyle w:val="TextoNormalCaracter"/>
          </w:rPr>
          <w:t>85/2016</w:t>
        </w:r>
      </w:hyperlink>
      <w:r w:rsidRPr="00924F59">
        <w:rPr>
          <w:rStyle w:val="TextoNormalCaracter"/>
        </w:rPr>
        <w:t>, ff. 3 a 8, VP.</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30" w:history="1">
        <w:r w:rsidRPr="00924F59">
          <w:rPr>
            <w:rStyle w:val="TextoNormalCaracter"/>
          </w:rPr>
          <w:t>130/2016</w:t>
        </w:r>
      </w:hyperlink>
      <w:r w:rsidRPr="00924F59">
        <w:rPr>
          <w:rStyle w:val="TextoNormalCaracter"/>
        </w:rPr>
        <w:t>, ff. 1 a 9.</w:t>
      </w:r>
    </w:p>
    <w:p w:rsidR="00924F59" w:rsidRPr="00924F59" w:rsidRDefault="00924F59" w:rsidP="00924F59">
      <w:pPr>
        <w:pStyle w:val="TextoNormalSangraFrancesa"/>
        <w:rPr>
          <w:rStyle w:val="TextoNormalCaracter"/>
        </w:rPr>
      </w:pPr>
      <w:bookmarkStart w:id="1864" w:name="DESCRIPTORALFABETICO855"/>
      <w:r w:rsidRPr="00924F59">
        <w:rPr>
          <w:rStyle w:val="TextoNormalNegritaCaracter"/>
        </w:rPr>
        <w:t>Prueba de cargo insuficiente</w:t>
      </w:r>
      <w:bookmarkEnd w:id="1864"/>
      <w:r w:rsidRPr="00924F59">
        <w:rPr>
          <w:rStyle w:val="TextoNormalCaracter"/>
        </w:rPr>
        <w:t xml:space="preserve">, Sentencia </w:t>
      </w:r>
      <w:hyperlink w:anchor="SENTENCIA_2016_117" w:history="1">
        <w:r w:rsidRPr="00924F59">
          <w:rPr>
            <w:rStyle w:val="TextoNormalCaracter"/>
          </w:rPr>
          <w:t>117/2016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865" w:name="DESCRIPTORALFABETICO653"/>
      <w:r w:rsidRPr="00924F59">
        <w:rPr>
          <w:rStyle w:val="TextoNormalNegritaCaracter"/>
        </w:rPr>
        <w:t>Prueba de los usos y costumbres</w:t>
      </w:r>
      <w:bookmarkEnd w:id="1865"/>
      <w:r w:rsidRPr="00924F59">
        <w:rPr>
          <w:rStyle w:val="TextoNormalCaracter"/>
        </w:rPr>
        <w:t xml:space="preserve">, Sentencias </w:t>
      </w:r>
      <w:hyperlink w:anchor="SENTENCIA_2016_82" w:history="1">
        <w:r w:rsidRPr="00924F59">
          <w:rPr>
            <w:rStyle w:val="TextoNormalCaracter"/>
          </w:rPr>
          <w:t>82/2016</w:t>
        </w:r>
      </w:hyperlink>
      <w:r w:rsidRPr="00924F59">
        <w:rPr>
          <w:rStyle w:val="TextoNormalCaracter"/>
        </w:rPr>
        <w:t xml:space="preserve">, ff. 1, 4, a 7, VP; </w:t>
      </w:r>
      <w:hyperlink w:anchor="SENTENCIA_2016_110" w:history="1">
        <w:r w:rsidRPr="00924F59">
          <w:rPr>
            <w:rStyle w:val="TextoNormalCaracter"/>
          </w:rPr>
          <w:t>110/2016</w:t>
        </w:r>
      </w:hyperlink>
      <w:r w:rsidRPr="00924F59">
        <w:rPr>
          <w:rStyle w:val="TextoNormalCaracter"/>
        </w:rPr>
        <w:t>, f. 6, VP.</w:t>
      </w:r>
    </w:p>
    <w:p w:rsidR="00924F59" w:rsidRPr="00924F59" w:rsidRDefault="00924F59" w:rsidP="00924F59">
      <w:pPr>
        <w:pStyle w:val="TextoNormalSangraFrancesa"/>
        <w:rPr>
          <w:rStyle w:val="TextoNormalCaracter"/>
        </w:rPr>
      </w:pPr>
      <w:bookmarkStart w:id="1866" w:name="DESCRIPTORALFABETICO164"/>
      <w:r w:rsidRPr="00924F59">
        <w:rPr>
          <w:rStyle w:val="TextoNormalNegritaCaracter"/>
        </w:rPr>
        <w:t>Prueba de todos los elementos fácticos del delito</w:t>
      </w:r>
      <w:bookmarkEnd w:id="1866"/>
      <w:r w:rsidRPr="00924F59">
        <w:rPr>
          <w:rStyle w:val="TextoNormalCaracter"/>
        </w:rPr>
        <w:t xml:space="preserve">, Sentencia </w:t>
      </w:r>
      <w:hyperlink w:anchor="SENTENCIA_2016_105" w:history="1">
        <w:r w:rsidRPr="00924F59">
          <w:rPr>
            <w:rStyle w:val="TextoNormalCaracter"/>
          </w:rPr>
          <w:t>105/2016</w:t>
        </w:r>
      </w:hyperlink>
      <w:r w:rsidRPr="00924F59">
        <w:rPr>
          <w:rStyle w:val="TextoNormalCaracter"/>
        </w:rPr>
        <w:t>, ff. 8, 9.</w:t>
      </w:r>
    </w:p>
    <w:p w:rsidR="00924F59" w:rsidRPr="00924F59" w:rsidRDefault="00924F59" w:rsidP="00924F59">
      <w:pPr>
        <w:pStyle w:val="TextoNormalSangraFrancesa"/>
        <w:rPr>
          <w:rStyle w:val="TextoNormalCaracter"/>
        </w:rPr>
      </w:pPr>
      <w:bookmarkStart w:id="1867" w:name="DESCRIPTORALFABETICO823"/>
      <w:r w:rsidRPr="00924F59">
        <w:rPr>
          <w:rStyle w:val="TextoNormalNegritaCaracter"/>
        </w:rPr>
        <w:t>Prueba indiciaria suficiente</w:t>
      </w:r>
      <w:bookmarkEnd w:id="1867"/>
      <w:r w:rsidRPr="00924F59">
        <w:rPr>
          <w:rStyle w:val="TextoNormalCaracter"/>
        </w:rPr>
        <w:t xml:space="preserve">, Sentencia </w:t>
      </w:r>
      <w:hyperlink w:anchor="SENTENCIA_2016_105" w:history="1">
        <w:r w:rsidRPr="00924F59">
          <w:rPr>
            <w:rStyle w:val="TextoNormalCaracter"/>
          </w:rPr>
          <w:t>105/2016</w:t>
        </w:r>
      </w:hyperlink>
      <w:r w:rsidRPr="00924F59">
        <w:rPr>
          <w:rStyle w:val="TextoNormalCaracter"/>
        </w:rPr>
        <w:t>, ff. 8, 9.</w:t>
      </w:r>
    </w:p>
    <w:p w:rsidR="00924F59" w:rsidRPr="00924F59" w:rsidRDefault="00924F59" w:rsidP="00924F59">
      <w:pPr>
        <w:pStyle w:val="TextoNormalSangraFrancesa"/>
        <w:rPr>
          <w:rStyle w:val="TextoNormalCaracter"/>
        </w:rPr>
      </w:pPr>
      <w:bookmarkStart w:id="1868" w:name="DESCRIPTORALFABETICO501"/>
      <w:r w:rsidRPr="00924F59">
        <w:rPr>
          <w:rStyle w:val="TextoNormalNegritaCaracter"/>
        </w:rPr>
        <w:t>Pruebas restringidas</w:t>
      </w:r>
      <w:bookmarkEnd w:id="1868"/>
      <w:r w:rsidRPr="00924F59">
        <w:rPr>
          <w:rStyle w:val="TextoNormalCaracter"/>
        </w:rPr>
        <w:t xml:space="preserve">, Sentencia </w:t>
      </w:r>
      <w:hyperlink w:anchor="SENTENCIA_2016_86" w:history="1">
        <w:r w:rsidRPr="00924F59">
          <w:rPr>
            <w:rStyle w:val="TextoNormalCaracter"/>
          </w:rPr>
          <w:t>86/2016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869" w:name="DESCRIPTORALFABETICO618"/>
      <w:r w:rsidRPr="00924F59">
        <w:rPr>
          <w:rStyle w:val="TextoNormalNegritaCaracter"/>
        </w:rPr>
        <w:t>Puertos</w:t>
      </w:r>
      <w:bookmarkEnd w:id="1869"/>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3, 4, 6, 9, 10.</w:t>
      </w:r>
    </w:p>
    <w:p w:rsidR="00924F59" w:rsidRPr="00924F59" w:rsidRDefault="00924F59" w:rsidP="00924F59">
      <w:pPr>
        <w:pStyle w:val="TextoNormalSangraFrancesa"/>
        <w:rPr>
          <w:rStyle w:val="TextoNormalCaracter"/>
        </w:rPr>
      </w:pPr>
      <w:bookmarkStart w:id="1870" w:name="DESCRIPTORALFABETICO621"/>
      <w:r w:rsidRPr="00924F59">
        <w:rPr>
          <w:rStyle w:val="TextoNormalNegritaCaracter"/>
        </w:rPr>
        <w:t>Puertos deportivos</w:t>
      </w:r>
      <w:bookmarkEnd w:id="1870"/>
      <w:r w:rsidRPr="00924F59">
        <w:rPr>
          <w:rStyle w:val="TextoNormalCaracter"/>
        </w:rPr>
        <w:t xml:space="preserve">, Sentencia </w:t>
      </w:r>
      <w:hyperlink w:anchor="SENTENCIA_2016_122" w:history="1">
        <w:r w:rsidRPr="00924F59">
          <w:rPr>
            <w:rStyle w:val="TextoNormalCaracter"/>
          </w:rPr>
          <w:t>122/2016</w:t>
        </w:r>
      </w:hyperlink>
      <w:r w:rsidRPr="00924F59">
        <w:rPr>
          <w:rStyle w:val="TextoNormalCaracter"/>
        </w:rPr>
        <w:t>, ff. 1, 2, 5, 6.</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R</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871" w:name="DESCRIPTORALFABETICO710"/>
      <w:r w:rsidRPr="00924F59">
        <w:rPr>
          <w:rStyle w:val="TextoNormalNegritaCaracter"/>
        </w:rPr>
        <w:t>Rango de ley</w:t>
      </w:r>
      <w:bookmarkEnd w:id="1871"/>
      <w:r w:rsidRPr="00924F59">
        <w:rPr>
          <w:rStyle w:val="TextoNormalCaracter"/>
        </w:rPr>
        <w:t xml:space="preserve">, Sentencias </w:t>
      </w:r>
      <w:hyperlink w:anchor="SENTENCIA_2016_83" w:history="1">
        <w:r w:rsidRPr="00924F59">
          <w:rPr>
            <w:rStyle w:val="TextoNormalCaracter"/>
          </w:rPr>
          <w:t>83/2016</w:t>
        </w:r>
      </w:hyperlink>
      <w:r w:rsidRPr="00924F59">
        <w:rPr>
          <w:rStyle w:val="TextoNormalCaracter"/>
        </w:rPr>
        <w:t xml:space="preserve">, ff. 1, 4, 6, 9 a 11; </w:t>
      </w:r>
      <w:hyperlink w:anchor="SENTENCIA_2016_118" w:history="1">
        <w:r w:rsidRPr="00924F59">
          <w:rPr>
            <w:rStyle w:val="TextoNormalCaracter"/>
          </w:rPr>
          <w:t>118/2016</w:t>
        </w:r>
      </w:hyperlink>
      <w:r w:rsidRPr="00924F59">
        <w:rPr>
          <w:rStyle w:val="TextoNormalCaracter"/>
        </w:rPr>
        <w:t>, f. 3 d).</w:t>
      </w:r>
    </w:p>
    <w:p w:rsidR="00924F59" w:rsidRPr="00924F59" w:rsidRDefault="00924F59" w:rsidP="00924F59">
      <w:pPr>
        <w:pStyle w:val="TextoNormalSangraFrancesa"/>
        <w:rPr>
          <w:rStyle w:val="TextoNormalCaracter"/>
        </w:rPr>
      </w:pPr>
      <w:bookmarkStart w:id="1872" w:name="DESCRIPTORALFABETICO158"/>
      <w:r w:rsidRPr="00924F59">
        <w:rPr>
          <w:rStyle w:val="TextoNormalNegritaCaracter"/>
        </w:rPr>
        <w:t>Ratificación judicial del internamiento psiquiátrico</w:t>
      </w:r>
      <w:bookmarkEnd w:id="1872"/>
      <w:r w:rsidRPr="00924F59">
        <w:rPr>
          <w:rStyle w:val="TextoNormalCaracter"/>
        </w:rPr>
        <w:t xml:space="preserve">, Sentencias </w:t>
      </w:r>
      <w:hyperlink w:anchor="SENTENCIA_2016_13" w:history="1">
        <w:r w:rsidRPr="00924F59">
          <w:rPr>
            <w:rStyle w:val="TextoNormalCaracter"/>
          </w:rPr>
          <w:t>13/2016</w:t>
        </w:r>
      </w:hyperlink>
      <w:r w:rsidRPr="00924F59">
        <w:rPr>
          <w:rStyle w:val="TextoNormalCaracter"/>
        </w:rPr>
        <w:t xml:space="preserve">, ff. 3, 4; </w:t>
      </w:r>
      <w:hyperlink w:anchor="SENTENCIA_2016_34" w:history="1">
        <w:r w:rsidRPr="00924F59">
          <w:rPr>
            <w:rStyle w:val="TextoNormalCaracter"/>
          </w:rPr>
          <w:t>34/2016</w:t>
        </w:r>
      </w:hyperlink>
      <w:r w:rsidRPr="00924F59">
        <w:rPr>
          <w:rStyle w:val="TextoNormalCaracter"/>
        </w:rPr>
        <w:t>, ff. 2 a 7.</w:t>
      </w:r>
    </w:p>
    <w:p w:rsidR="00924F59" w:rsidRPr="00924F59" w:rsidRDefault="00924F59" w:rsidP="00924F59">
      <w:pPr>
        <w:pStyle w:val="TextoNormalSangraFrancesa"/>
        <w:rPr>
          <w:rStyle w:val="TextoNormalCaracter"/>
        </w:rPr>
      </w:pPr>
      <w:bookmarkStart w:id="1873" w:name="DESCRIPTORALFABETICO651"/>
      <w:r w:rsidRPr="00924F59">
        <w:rPr>
          <w:rStyle w:val="TextoNormalNegritaCaracter"/>
        </w:rPr>
        <w:t>Reconocimiento de derechos históricos</w:t>
      </w:r>
      <w:bookmarkEnd w:id="1873"/>
      <w:r w:rsidRPr="00924F59">
        <w:rPr>
          <w:rStyle w:val="TextoNormalCaracter"/>
        </w:rPr>
        <w:t xml:space="preserve">, Sentencias </w:t>
      </w:r>
      <w:hyperlink w:anchor="SENTENCIA_2016_82" w:history="1">
        <w:r w:rsidRPr="00924F59">
          <w:rPr>
            <w:rStyle w:val="TextoNormalCaracter"/>
          </w:rPr>
          <w:t>82/2016</w:t>
        </w:r>
      </w:hyperlink>
      <w:r w:rsidRPr="00924F59">
        <w:rPr>
          <w:rStyle w:val="TextoNormalCaracter"/>
        </w:rPr>
        <w:t xml:space="preserve">, ff. 4, 6, VP; </w:t>
      </w:r>
      <w:hyperlink w:anchor="SENTENCIA_2016_110" w:history="1">
        <w:r w:rsidRPr="00924F59">
          <w:rPr>
            <w:rStyle w:val="TextoNormalCaracter"/>
          </w:rPr>
          <w:t>110/2016</w:t>
        </w:r>
      </w:hyperlink>
      <w:r w:rsidRPr="00924F59">
        <w:rPr>
          <w:rStyle w:val="TextoNormalCaracter"/>
        </w:rPr>
        <w:t>, ff. 1, a 4 a 6, VP.</w:t>
      </w:r>
    </w:p>
    <w:p w:rsidR="00924F59" w:rsidRPr="00924F59" w:rsidRDefault="00924F59" w:rsidP="00924F59">
      <w:pPr>
        <w:pStyle w:val="TextoNormalSangraFrancesa"/>
        <w:rPr>
          <w:rStyle w:val="TextoNormalCaracter"/>
        </w:rPr>
      </w:pPr>
      <w:bookmarkStart w:id="1874" w:name="DESCRIPTORALFABETICO320"/>
      <w:r w:rsidRPr="00924F59">
        <w:rPr>
          <w:rStyle w:val="TextoNormalNegritaCaracter"/>
        </w:rPr>
        <w:t>Recurso de amparo mixto</w:t>
      </w:r>
      <w:bookmarkEnd w:id="1874"/>
      <w:r w:rsidRPr="00924F59">
        <w:rPr>
          <w:rStyle w:val="TextoNormalCaracter"/>
        </w:rPr>
        <w:t xml:space="preserve">, Sentencia </w:t>
      </w:r>
      <w:hyperlink w:anchor="SENTENCIA_2016_117" w:history="1">
        <w:r w:rsidRPr="00924F59">
          <w:rPr>
            <w:rStyle w:val="TextoNormalCaracter"/>
          </w:rPr>
          <w:t>117/2016</w:t>
        </w:r>
      </w:hyperlink>
      <w:r w:rsidRPr="00924F59">
        <w:rPr>
          <w:rStyle w:val="TextoNormalCaracter"/>
        </w:rPr>
        <w:t>, f. 2.</w:t>
      </w:r>
    </w:p>
    <w:p w:rsidR="00924F59" w:rsidRPr="00924F59" w:rsidRDefault="00924F59" w:rsidP="00924F59">
      <w:pPr>
        <w:pStyle w:val="TextoNormalSangraFrancesa"/>
        <w:rPr>
          <w:rStyle w:val="TextoNormalCaracter"/>
        </w:rPr>
      </w:pPr>
      <w:bookmarkStart w:id="1875" w:name="DESCRIPTORALFABETICO317"/>
      <w:r w:rsidRPr="00924F59">
        <w:rPr>
          <w:rStyle w:val="TextoNormalNegritaCaracter"/>
        </w:rPr>
        <w:t>Recurso de amparo no es cauce para el control de la aplicación de las normas</w:t>
      </w:r>
      <w:bookmarkEnd w:id="1875"/>
      <w:r w:rsidRPr="00924F59">
        <w:rPr>
          <w:rStyle w:val="TextoNormalCaracter"/>
        </w:rPr>
        <w:t xml:space="preserve">, Auto </w:t>
      </w:r>
      <w:hyperlink w:anchor="AUTO_2016_109" w:history="1">
        <w:r w:rsidRPr="00924F59">
          <w:rPr>
            <w:rStyle w:val="TextoNormalCaracter"/>
          </w:rPr>
          <w:t>109/2016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876" w:name="DESCRIPTORALFABETICO321"/>
      <w:r w:rsidRPr="00924F59">
        <w:rPr>
          <w:rStyle w:val="TextoNormalNegritaCaracter"/>
        </w:rPr>
        <w:t>Recurso de amparo prematuro</w:t>
      </w:r>
      <w:bookmarkEnd w:id="1876"/>
      <w:r w:rsidRPr="00924F59">
        <w:rPr>
          <w:rStyle w:val="TextoNormalCaracter"/>
        </w:rPr>
        <w:t xml:space="preserve">, Auto </w:t>
      </w:r>
      <w:hyperlink w:anchor="AUTO_2016_98" w:history="1">
        <w:r w:rsidRPr="00924F59">
          <w:rPr>
            <w:rStyle w:val="TextoNormalCaracter"/>
          </w:rPr>
          <w:t>98/2016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877" w:name="DESCRIPTORALFABETICO305"/>
      <w:r w:rsidRPr="00924F59">
        <w:rPr>
          <w:rStyle w:val="TextoNormalNegritaCaracter"/>
        </w:rPr>
        <w:t>Recurso de inconstitucionalidad</w:t>
      </w:r>
      <w:bookmarkEnd w:id="1877"/>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ff. 3 d), 4 c).</w:t>
      </w:r>
    </w:p>
    <w:p w:rsidR="00924F59" w:rsidRPr="00924F59" w:rsidRDefault="00924F59" w:rsidP="00924F59">
      <w:pPr>
        <w:pStyle w:val="TextoNormalSangraFrancesa"/>
        <w:rPr>
          <w:rStyle w:val="TextoNormalCaracter"/>
        </w:rPr>
      </w:pPr>
      <w:bookmarkStart w:id="1878" w:name="DESCRIPTORALFABETICO840"/>
      <w:r w:rsidRPr="00924F59">
        <w:rPr>
          <w:rStyle w:val="TextoNormalNegritaCaracter"/>
        </w:rPr>
        <w:t>Recurso de revisión de sentencia firme</w:t>
      </w:r>
      <w:bookmarkEnd w:id="1878"/>
      <w:r w:rsidRPr="00924F59">
        <w:rPr>
          <w:rStyle w:val="TextoNormalCaracter"/>
        </w:rPr>
        <w:t xml:space="preserve">, Sentencia </w:t>
      </w:r>
      <w:hyperlink w:anchor="SENTENCIA_2016_65" w:history="1">
        <w:r w:rsidRPr="00924F59">
          <w:rPr>
            <w:rStyle w:val="TextoNormalCaracter"/>
          </w:rPr>
          <w:t>65/2016</w:t>
        </w:r>
      </w:hyperlink>
      <w:r w:rsidRPr="00924F59">
        <w:rPr>
          <w:rStyle w:val="TextoNormalCaracter"/>
        </w:rPr>
        <w:t>, f. 4.</w:t>
      </w:r>
    </w:p>
    <w:p w:rsidR="00924F59" w:rsidRPr="00924F59" w:rsidRDefault="00924F59" w:rsidP="00924F59">
      <w:pPr>
        <w:pStyle w:val="TextoNormalSangraFrancesa"/>
        <w:rPr>
          <w:rStyle w:val="TextoNormalCaracter"/>
        </w:rPr>
      </w:pPr>
      <w:bookmarkStart w:id="1879" w:name="DESCRIPTORALFABETICO265"/>
      <w:r w:rsidRPr="00924F59">
        <w:rPr>
          <w:rStyle w:val="TextoNormalNegritaCaracter"/>
        </w:rPr>
        <w:t>Recurso de súplica contra providencias del Tribunal Constitucional</w:t>
      </w:r>
      <w:bookmarkEnd w:id="1879"/>
      <w:r w:rsidRPr="00924F59">
        <w:rPr>
          <w:rStyle w:val="TextoNormalCaracter"/>
        </w:rPr>
        <w:t xml:space="preserve">, Auto </w:t>
      </w:r>
      <w:hyperlink w:anchor="AUTO_2016_109" w:history="1">
        <w:r w:rsidRPr="00924F59">
          <w:rPr>
            <w:rStyle w:val="TextoNormalCaracter"/>
          </w:rPr>
          <w:t>109/2016</w:t>
        </w:r>
      </w:hyperlink>
      <w:r w:rsidRPr="00924F59">
        <w:rPr>
          <w:rStyle w:val="TextoNormalCaracter"/>
        </w:rPr>
        <w:t>, f. 1.</w:t>
      </w:r>
    </w:p>
    <w:p w:rsidR="00924F59" w:rsidRPr="00924F59" w:rsidRDefault="00924F59" w:rsidP="00924F59">
      <w:pPr>
        <w:pStyle w:val="TextoNormalSangraFrancesa"/>
        <w:rPr>
          <w:rStyle w:val="TextoNormalCaracter"/>
        </w:rPr>
      </w:pPr>
      <w:bookmarkStart w:id="1880" w:name="DESCRIPTORALFABETICO345"/>
      <w:r w:rsidRPr="00924F59">
        <w:rPr>
          <w:rStyle w:val="TextoNormalNegritaCaracter"/>
        </w:rPr>
        <w:t>Recursos contra Normas Forales fiscales</w:t>
      </w:r>
      <w:bookmarkEnd w:id="1880"/>
      <w:r w:rsidRPr="00924F59">
        <w:rPr>
          <w:rStyle w:val="TextoNormalCaracter"/>
        </w:rPr>
        <w:t xml:space="preserve">, Sentencias </w:t>
      </w:r>
      <w:hyperlink w:anchor="SENTENCIA_2016_3" w:history="1">
        <w:r w:rsidRPr="00924F59">
          <w:rPr>
            <w:rStyle w:val="TextoNormalCaracter"/>
          </w:rPr>
          <w:t>3/2016</w:t>
        </w:r>
      </w:hyperlink>
      <w:r w:rsidRPr="00924F59">
        <w:rPr>
          <w:rStyle w:val="TextoNormalCaracter"/>
        </w:rPr>
        <w:t xml:space="preserve">, ff. 1 a 3; </w:t>
      </w:r>
      <w:hyperlink w:anchor="SENTENCIA_2016_118" w:history="1">
        <w:r w:rsidRPr="00924F59">
          <w:rPr>
            <w:rStyle w:val="TextoNormalCaracter"/>
          </w:rPr>
          <w:t>118/2016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881" w:name="DESCRIPTORALFABETICO616"/>
      <w:r w:rsidRPr="00924F59">
        <w:rPr>
          <w:rStyle w:val="TextoNormalNegritaCaracter"/>
        </w:rPr>
        <w:t>Red ferroviaria de interés general</w:t>
      </w:r>
      <w:bookmarkEnd w:id="1881"/>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1 a 4, 6 a 10.</w:t>
      </w:r>
    </w:p>
    <w:p w:rsidR="00924F59" w:rsidRPr="00924F59" w:rsidRDefault="00924F59" w:rsidP="00924F59">
      <w:pPr>
        <w:pStyle w:val="TextoNormalSangraFrancesa"/>
        <w:rPr>
          <w:rStyle w:val="TextoNormalCaracter"/>
        </w:rPr>
      </w:pPr>
      <w:bookmarkStart w:id="1882" w:name="DESCRIPTORALFABETICO783"/>
      <w:r w:rsidRPr="00924F59">
        <w:rPr>
          <w:rStyle w:val="TextoNormalNegritaCaracter"/>
        </w:rPr>
        <w:t>Reducción de jornada</w:t>
      </w:r>
      <w:bookmarkEnd w:id="1882"/>
      <w:r w:rsidRPr="00924F59">
        <w:rPr>
          <w:rStyle w:val="TextoNormalCaracter"/>
        </w:rPr>
        <w:t xml:space="preserve">, Sentencia </w:t>
      </w:r>
      <w:hyperlink w:anchor="SENTENCIA_2016_71" w:history="1">
        <w:r w:rsidRPr="00924F59">
          <w:rPr>
            <w:rStyle w:val="TextoNormalCaracter"/>
          </w:rPr>
          <w:t>71/2016</w:t>
        </w:r>
      </w:hyperlink>
      <w:r w:rsidRPr="00924F59">
        <w:rPr>
          <w:rStyle w:val="TextoNormalCaracter"/>
        </w:rPr>
        <w:t>, ff. 1, 4, 5.</w:t>
      </w:r>
    </w:p>
    <w:p w:rsidR="00924F59" w:rsidRPr="00924F59" w:rsidRDefault="00924F59" w:rsidP="00924F59">
      <w:pPr>
        <w:pStyle w:val="TextoNormalSangraFrancesa"/>
        <w:rPr>
          <w:rStyle w:val="TextoNormalCaracter"/>
        </w:rPr>
      </w:pPr>
      <w:bookmarkStart w:id="1883" w:name="DESCRIPTORALFABETICO116"/>
      <w:r w:rsidRPr="00924F59">
        <w:rPr>
          <w:rStyle w:val="TextoNormalNegritaCaracter"/>
        </w:rPr>
        <w:t>Reducciones en la base imponible</w:t>
      </w:r>
      <w:bookmarkEnd w:id="1883"/>
      <w:r w:rsidRPr="00924F59">
        <w:rPr>
          <w:rStyle w:val="TextoNormalCaracter"/>
        </w:rPr>
        <w:t xml:space="preserve">, Sentencia </w:t>
      </w:r>
      <w:hyperlink w:anchor="SENTENCIA_2016_121" w:history="1">
        <w:r w:rsidRPr="00924F59">
          <w:rPr>
            <w:rStyle w:val="TextoNormalCaracter"/>
          </w:rPr>
          <w:t>121/2016</w:t>
        </w:r>
      </w:hyperlink>
      <w:r w:rsidRPr="00924F59">
        <w:rPr>
          <w:rStyle w:val="TextoNormalCaracter"/>
        </w:rPr>
        <w:t>, ff. 3 a 6.</w:t>
      </w:r>
    </w:p>
    <w:p w:rsidR="00924F59" w:rsidRPr="00924F59" w:rsidRDefault="00924F59" w:rsidP="00924F59">
      <w:pPr>
        <w:pStyle w:val="TextoNormalSangraFrancesa"/>
        <w:rPr>
          <w:rStyle w:val="TextoNormalCaracter"/>
        </w:rPr>
      </w:pPr>
      <w:bookmarkStart w:id="1884" w:name="DESCRIPTORALFABETICO184"/>
      <w:r w:rsidRPr="00924F59">
        <w:rPr>
          <w:rStyle w:val="TextoNormalNegritaCaracter"/>
          <w:i/>
        </w:rPr>
        <w:t>Reformatio in peius</w:t>
      </w:r>
      <w:bookmarkEnd w:id="1884"/>
      <w:r w:rsidRPr="00924F59">
        <w:rPr>
          <w:rStyle w:val="TextoNormalCaracter"/>
        </w:rPr>
        <w:t xml:space="preserve">, Sentencia </w:t>
      </w:r>
      <w:hyperlink w:anchor="SENTENCIA_2016_56" w:history="1">
        <w:r w:rsidRPr="00924F59">
          <w:rPr>
            <w:rStyle w:val="TextoNormalCaracter"/>
          </w:rPr>
          <w:t>56/2016</w:t>
        </w:r>
      </w:hyperlink>
      <w:r w:rsidRPr="00924F59">
        <w:rPr>
          <w:rStyle w:val="TextoNormalCaracter"/>
        </w:rPr>
        <w:t>, f. 3.</w:t>
      </w:r>
    </w:p>
    <w:p w:rsidR="00924F59" w:rsidRPr="00924F59" w:rsidRDefault="00924F59" w:rsidP="00924F59">
      <w:pPr>
        <w:pStyle w:val="TextoNormalSangraFrancesa"/>
        <w:rPr>
          <w:rStyle w:val="TextoNormalCaracter"/>
        </w:rPr>
      </w:pPr>
      <w:bookmarkStart w:id="1885" w:name="DESCRIPTORALFABETICO762"/>
      <w:r w:rsidRPr="00924F59">
        <w:rPr>
          <w:rStyle w:val="TextoNormalNegritaCaracter"/>
        </w:rPr>
        <w:t>Régimen económico de la Seguridad Social</w:t>
      </w:r>
      <w:bookmarkEnd w:id="1885"/>
      <w:r w:rsidRPr="00924F59">
        <w:rPr>
          <w:rStyle w:val="TextoNormalCaracter"/>
        </w:rPr>
        <w:t xml:space="preserve">, Sentencia </w:t>
      </w:r>
      <w:hyperlink w:anchor="SENTENCIA_2016_7" w:history="1">
        <w:r w:rsidRPr="00924F59">
          <w:rPr>
            <w:rStyle w:val="TextoNormalCaracter"/>
          </w:rPr>
          <w:t>7/2016</w:t>
        </w:r>
      </w:hyperlink>
      <w:r w:rsidRPr="00924F59">
        <w:rPr>
          <w:rStyle w:val="TextoNormalCaracter"/>
        </w:rPr>
        <w:t>, f. 4.</w:t>
      </w:r>
    </w:p>
    <w:p w:rsidR="00924F59" w:rsidRPr="00924F59" w:rsidRDefault="00924F59" w:rsidP="00924F59">
      <w:pPr>
        <w:pStyle w:val="TextoNormalSangraFrancesa"/>
        <w:rPr>
          <w:rStyle w:val="TextoNormalCaracter"/>
        </w:rPr>
      </w:pPr>
      <w:bookmarkStart w:id="1886" w:name="DESCRIPTORALFABETICO564"/>
      <w:r w:rsidRPr="00924F59">
        <w:rPr>
          <w:rStyle w:val="TextoNormalNegritaCaracter"/>
        </w:rPr>
        <w:t>Régimen económico del sector eléctrico</w:t>
      </w:r>
      <w:bookmarkEnd w:id="1886"/>
      <w:r w:rsidRPr="00924F59">
        <w:rPr>
          <w:rStyle w:val="TextoNormalCaracter"/>
        </w:rPr>
        <w:t xml:space="preserve">, Sentencia </w:t>
      </w:r>
      <w:hyperlink w:anchor="SENTENCIA_2016_120" w:history="1">
        <w:r w:rsidRPr="00924F59">
          <w:rPr>
            <w:rStyle w:val="TextoNormalCaracter"/>
          </w:rPr>
          <w:t>120/2016</w:t>
        </w:r>
      </w:hyperlink>
      <w:r w:rsidRPr="00924F59">
        <w:rPr>
          <w:rStyle w:val="TextoNormalCaracter"/>
        </w:rPr>
        <w:t>, ff. 3 a 11.</w:t>
      </w:r>
    </w:p>
    <w:p w:rsidR="00924F59" w:rsidRPr="00924F59" w:rsidRDefault="00924F59" w:rsidP="00924F59">
      <w:pPr>
        <w:pStyle w:val="TextoNormalSangraFrancesa"/>
        <w:rPr>
          <w:rStyle w:val="TextoNormalCaracter"/>
        </w:rPr>
      </w:pPr>
      <w:bookmarkStart w:id="1887" w:name="DESCRIPTORALFABETICO582"/>
      <w:r w:rsidRPr="00924F59">
        <w:rPr>
          <w:rStyle w:val="TextoNormalNegritaCaracter"/>
        </w:rPr>
        <w:t>Régimen económico matrimonial</w:t>
      </w:r>
      <w:bookmarkEnd w:id="1887"/>
      <w:r w:rsidRPr="00924F59">
        <w:rPr>
          <w:rStyle w:val="TextoNormalCaracter"/>
        </w:rPr>
        <w:t xml:space="preserve">, Sentencia </w:t>
      </w:r>
      <w:hyperlink w:anchor="SENTENCIA_2016_82" w:history="1">
        <w:r w:rsidRPr="00924F59">
          <w:rPr>
            <w:rStyle w:val="TextoNormalCaracter"/>
          </w:rPr>
          <w:t>82/2016</w:t>
        </w:r>
      </w:hyperlink>
      <w:r w:rsidRPr="00924F59">
        <w:rPr>
          <w:rStyle w:val="TextoNormalCaracter"/>
        </w:rPr>
        <w:t>, ff. 1 a 8, VP.</w:t>
      </w:r>
    </w:p>
    <w:p w:rsidR="00924F59" w:rsidRPr="00924F59" w:rsidRDefault="00924F59" w:rsidP="00924F59">
      <w:pPr>
        <w:pStyle w:val="TextoNormalSangraFrancesa"/>
        <w:rPr>
          <w:rStyle w:val="TextoNormalCaracter"/>
        </w:rPr>
      </w:pPr>
      <w:bookmarkStart w:id="1888" w:name="DESCRIPTORALFABETICO574"/>
      <w:r w:rsidRPr="00924F59">
        <w:rPr>
          <w:rStyle w:val="TextoNormalNegritaCaracter"/>
        </w:rPr>
        <w:t>Régimen energético</w:t>
      </w:r>
      <w:bookmarkEnd w:id="1888"/>
      <w:r w:rsidRPr="00924F59">
        <w:rPr>
          <w:rStyle w:val="TextoNormalCaracter"/>
        </w:rPr>
        <w:t xml:space="preserve">, Sentencias </w:t>
      </w:r>
      <w:hyperlink w:anchor="SENTENCIA_2016_32" w:history="1">
        <w:r w:rsidRPr="00924F59">
          <w:rPr>
            <w:rStyle w:val="TextoNormalCaracter"/>
          </w:rPr>
          <w:t>32/2016</w:t>
        </w:r>
      </w:hyperlink>
      <w:r w:rsidRPr="00924F59">
        <w:rPr>
          <w:rStyle w:val="TextoNormalCaracter"/>
        </w:rPr>
        <w:t xml:space="preserve">, ff. 1 a 13; </w:t>
      </w:r>
      <w:hyperlink w:anchor="SENTENCIA_2016_60" w:history="1">
        <w:r w:rsidRPr="00924F59">
          <w:rPr>
            <w:rStyle w:val="TextoNormalCaracter"/>
          </w:rPr>
          <w:t>60/2016</w:t>
        </w:r>
      </w:hyperlink>
      <w:r w:rsidRPr="00924F59">
        <w:rPr>
          <w:rStyle w:val="TextoNormalCaracter"/>
        </w:rPr>
        <w:t xml:space="preserve">, ff. 1 a 8; </w:t>
      </w:r>
      <w:hyperlink w:anchor="SENTENCIA_2016_72" w:history="1">
        <w:r w:rsidRPr="00924F59">
          <w:rPr>
            <w:rStyle w:val="TextoNormalCaracter"/>
          </w:rPr>
          <w:t>72/2016</w:t>
        </w:r>
      </w:hyperlink>
      <w:r w:rsidRPr="00924F59">
        <w:rPr>
          <w:rStyle w:val="TextoNormalCaracter"/>
        </w:rPr>
        <w:t xml:space="preserve">, ff. 1 a 3; </w:t>
      </w:r>
      <w:hyperlink w:anchor="SENTENCIA_2016_73" w:history="1">
        <w:r w:rsidRPr="00924F59">
          <w:rPr>
            <w:rStyle w:val="TextoNormalCaracter"/>
          </w:rPr>
          <w:t>73/2016</w:t>
        </w:r>
      </w:hyperlink>
      <w:r w:rsidRPr="00924F59">
        <w:rPr>
          <w:rStyle w:val="TextoNormalCaracter"/>
        </w:rPr>
        <w:t>, ff. 7 a 10.</w:t>
      </w:r>
    </w:p>
    <w:p w:rsidR="00924F59" w:rsidRPr="00924F59" w:rsidRDefault="00924F59" w:rsidP="00924F59">
      <w:pPr>
        <w:pStyle w:val="TextoNormalSangraFrancesa"/>
        <w:rPr>
          <w:rStyle w:val="TextoNormalCaracter"/>
        </w:rPr>
      </w:pPr>
      <w:bookmarkStart w:id="1889" w:name="DESCRIPTORALFABETICO491"/>
      <w:r w:rsidRPr="00924F59">
        <w:rPr>
          <w:rStyle w:val="TextoNormalNegritaCaracter"/>
        </w:rPr>
        <w:t>Régimen estatutario</w:t>
      </w:r>
      <w:bookmarkEnd w:id="1889"/>
      <w:r w:rsidRPr="00924F59">
        <w:rPr>
          <w:rStyle w:val="TextoNormalCaracter"/>
        </w:rPr>
        <w:t xml:space="preserve">, Sentencias </w:t>
      </w:r>
      <w:hyperlink w:anchor="SENTENCIA_2016_9" w:history="1">
        <w:r w:rsidRPr="00924F59">
          <w:rPr>
            <w:rStyle w:val="TextoNormalCaracter"/>
          </w:rPr>
          <w:t>9/2016</w:t>
        </w:r>
      </w:hyperlink>
      <w:r w:rsidRPr="00924F59">
        <w:rPr>
          <w:rStyle w:val="TextoNormalCaracter"/>
        </w:rPr>
        <w:t xml:space="preserve">, f. 3; </w:t>
      </w:r>
      <w:hyperlink w:anchor="SENTENCIA_2016_44" w:history="1">
        <w:r w:rsidRPr="00924F59">
          <w:rPr>
            <w:rStyle w:val="TextoNormalCaracter"/>
          </w:rPr>
          <w:t>44/2016</w:t>
        </w:r>
      </w:hyperlink>
      <w:r w:rsidRPr="00924F59">
        <w:rPr>
          <w:rStyle w:val="TextoNormalCaracter"/>
        </w:rPr>
        <w:t xml:space="preserve">, ff. 4, 5; </w:t>
      </w:r>
      <w:hyperlink w:anchor="SENTENCIA_2016_54" w:history="1">
        <w:r w:rsidRPr="00924F59">
          <w:rPr>
            <w:rStyle w:val="TextoNormalCaracter"/>
          </w:rPr>
          <w:t>54/2016</w:t>
        </w:r>
      </w:hyperlink>
      <w:r w:rsidRPr="00924F59">
        <w:rPr>
          <w:rStyle w:val="TextoNormalCaracter"/>
        </w:rPr>
        <w:t xml:space="preserve">, f. 2 b); </w:t>
      </w:r>
      <w:hyperlink w:anchor="SENTENCIA_2016_66" w:history="1">
        <w:r w:rsidRPr="00924F59">
          <w:rPr>
            <w:rStyle w:val="TextoNormalCaracter"/>
          </w:rPr>
          <w:t>66/2016</w:t>
        </w:r>
      </w:hyperlink>
      <w:r w:rsidRPr="00924F59">
        <w:rPr>
          <w:rStyle w:val="TextoNormalCaracter"/>
        </w:rPr>
        <w:t xml:space="preserve">, f. 4; </w:t>
      </w:r>
      <w:hyperlink w:anchor="SENTENCIA_2016_67" w:history="1">
        <w:r w:rsidRPr="00924F59">
          <w:rPr>
            <w:rStyle w:val="TextoNormalCaracter"/>
          </w:rPr>
          <w:t>67/2016</w:t>
        </w:r>
      </w:hyperlink>
      <w:r w:rsidRPr="00924F59">
        <w:rPr>
          <w:rStyle w:val="TextoNormalCaracter"/>
        </w:rPr>
        <w:t xml:space="preserve">, f. 5; </w:t>
      </w:r>
      <w:hyperlink w:anchor="SENTENCIA_2016_68" w:history="1">
        <w:r w:rsidRPr="00924F59">
          <w:rPr>
            <w:rStyle w:val="TextoNormalCaracter"/>
          </w:rPr>
          <w:t>68/2016</w:t>
        </w:r>
      </w:hyperlink>
      <w:r w:rsidRPr="00924F59">
        <w:rPr>
          <w:rStyle w:val="TextoNormalCaracter"/>
        </w:rPr>
        <w:t xml:space="preserve">, f. 5; </w:t>
      </w:r>
      <w:hyperlink w:anchor="SENTENCIA_2016_84" w:history="1">
        <w:r w:rsidRPr="00924F59">
          <w:rPr>
            <w:rStyle w:val="TextoNormalCaracter"/>
          </w:rPr>
          <w:t>84/2016</w:t>
        </w:r>
      </w:hyperlink>
      <w:r w:rsidRPr="00924F59">
        <w:rPr>
          <w:rStyle w:val="TextoNormalCaracter"/>
        </w:rPr>
        <w:t xml:space="preserve">, f. 5; </w:t>
      </w:r>
      <w:hyperlink w:anchor="SENTENCIA_2016_99" w:history="1">
        <w:r w:rsidRPr="00924F59">
          <w:rPr>
            <w:rStyle w:val="TextoNormalCaracter"/>
          </w:rPr>
          <w:t>99/2016</w:t>
        </w:r>
      </w:hyperlink>
      <w:r w:rsidRPr="00924F59">
        <w:rPr>
          <w:rStyle w:val="TextoNormalCaracter"/>
        </w:rPr>
        <w:t xml:space="preserve">, f. 7, VP; </w:t>
      </w:r>
      <w:hyperlink w:anchor="SENTENCIA_2016_119" w:history="1">
        <w:r w:rsidRPr="00924F59">
          <w:rPr>
            <w:rStyle w:val="TextoNormalCaracter"/>
          </w:rPr>
          <w:t>119/2016</w:t>
        </w:r>
      </w:hyperlink>
      <w:r w:rsidRPr="00924F59">
        <w:rPr>
          <w:rStyle w:val="TextoNormalCaracter"/>
        </w:rPr>
        <w:t>, f. 4.</w:t>
      </w:r>
    </w:p>
    <w:p w:rsidR="00924F59" w:rsidRPr="00924F59" w:rsidRDefault="00924F59" w:rsidP="00924F59">
      <w:pPr>
        <w:pStyle w:val="TextoNormalSangraFrancesa"/>
        <w:rPr>
          <w:rStyle w:val="TextoNormalCaracter"/>
        </w:rPr>
      </w:pPr>
      <w:bookmarkStart w:id="1890" w:name="DESCRIPTORALFABETICO466"/>
      <w:r w:rsidRPr="00924F59">
        <w:rPr>
          <w:rStyle w:val="TextoNormalNegritaCaracter"/>
        </w:rPr>
        <w:t>Régimen jurídico de las mancomunidades municipales</w:t>
      </w:r>
      <w:bookmarkEnd w:id="1890"/>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8.</w:t>
      </w:r>
    </w:p>
    <w:p w:rsidR="00924F59" w:rsidRPr="00924F59" w:rsidRDefault="00924F59" w:rsidP="00924F59">
      <w:pPr>
        <w:pStyle w:val="TextoNormalSangraFrancesa"/>
        <w:rPr>
          <w:rStyle w:val="TextoNormalCaracter"/>
        </w:rPr>
      </w:pPr>
      <w:bookmarkStart w:id="1891" w:name="DESCRIPTORALFABETICO451"/>
      <w:r w:rsidRPr="00924F59">
        <w:rPr>
          <w:rStyle w:val="TextoNormalNegritaCaracter"/>
        </w:rPr>
        <w:t>Régimen local</w:t>
      </w:r>
      <w:bookmarkEnd w:id="1891"/>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1.</w:t>
      </w:r>
    </w:p>
    <w:p w:rsidR="00924F59" w:rsidRPr="00924F59" w:rsidRDefault="00924F59" w:rsidP="00924F59">
      <w:pPr>
        <w:pStyle w:val="TextoNormalSangraFrancesa"/>
        <w:rPr>
          <w:rStyle w:val="TextoNormalCaracter"/>
        </w:rPr>
      </w:pPr>
      <w:bookmarkStart w:id="1892" w:name="DESCRIPTORALFABETICO575"/>
      <w:r w:rsidRPr="00924F59">
        <w:rPr>
          <w:rStyle w:val="TextoNormalNegritaCaracter"/>
        </w:rPr>
        <w:t>Régimen minero</w:t>
      </w:r>
      <w:bookmarkEnd w:id="1892"/>
      <w:r w:rsidRPr="00924F59">
        <w:rPr>
          <w:rStyle w:val="TextoNormalCaracter"/>
        </w:rPr>
        <w:t xml:space="preserve">, Sentencia </w:t>
      </w:r>
      <w:hyperlink w:anchor="SENTENCIA_2016_73" w:history="1">
        <w:r w:rsidRPr="00924F59">
          <w:rPr>
            <w:rStyle w:val="TextoNormalCaracter"/>
          </w:rPr>
          <w:t>73/2016</w:t>
        </w:r>
      </w:hyperlink>
      <w:r w:rsidRPr="00924F59">
        <w:rPr>
          <w:rStyle w:val="TextoNormalCaracter"/>
        </w:rPr>
        <w:t>, ff. 7 a 10.</w:t>
      </w:r>
    </w:p>
    <w:p w:rsidR="00924F59" w:rsidRPr="00924F59" w:rsidRDefault="00924F59" w:rsidP="00924F59">
      <w:pPr>
        <w:pStyle w:val="TextoNormalSangraFrancesa"/>
        <w:rPr>
          <w:rStyle w:val="TextoNormalCaracter"/>
        </w:rPr>
      </w:pPr>
      <w:bookmarkStart w:id="1893" w:name="DESCRIPTORALFABETICO867"/>
      <w:r w:rsidRPr="00924F59">
        <w:rPr>
          <w:rStyle w:val="TextoNormalNegritaCaracter"/>
        </w:rPr>
        <w:t>Región de Murcia</w:t>
      </w:r>
      <w:bookmarkEnd w:id="1893"/>
      <w:r w:rsidRPr="00924F59">
        <w:rPr>
          <w:rStyle w:val="TextoNormalCaracter"/>
        </w:rPr>
        <w:t xml:space="preserve">, Sentencia </w:t>
      </w:r>
      <w:hyperlink w:anchor="SENTENCIA_2016_25" w:history="1">
        <w:r w:rsidRPr="00924F59">
          <w:rPr>
            <w:rStyle w:val="TextoNormalCaracter"/>
          </w:rPr>
          <w:t>25/2016</w:t>
        </w:r>
      </w:hyperlink>
      <w:r w:rsidRPr="00924F59">
        <w:rPr>
          <w:rStyle w:val="TextoNormalCaracter"/>
        </w:rPr>
        <w:t>, f. 1.</w:t>
      </w:r>
    </w:p>
    <w:p w:rsidR="00924F59" w:rsidRPr="00924F59" w:rsidRDefault="00924F59" w:rsidP="00924F59">
      <w:pPr>
        <w:pStyle w:val="TextoNormalSangraFrancesa"/>
        <w:rPr>
          <w:rStyle w:val="TextoNormalCaracter"/>
        </w:rPr>
      </w:pPr>
      <w:bookmarkStart w:id="1894" w:name="DESCRIPTORALFABETICO505"/>
      <w:r w:rsidRPr="00924F59">
        <w:rPr>
          <w:rStyle w:val="TextoNormalNegritaCaracter"/>
        </w:rPr>
        <w:t>Registro de la Propiedad</w:t>
      </w:r>
      <w:bookmarkEnd w:id="1894"/>
      <w:r w:rsidRPr="00924F59">
        <w:rPr>
          <w:rStyle w:val="TextoNormalCaracter"/>
        </w:rPr>
        <w:t xml:space="preserve">, Auto </w:t>
      </w:r>
      <w:hyperlink w:anchor="AUTO_2016_110" w:history="1">
        <w:r w:rsidRPr="00924F59">
          <w:rPr>
            <w:rStyle w:val="TextoNormalCaracter"/>
          </w:rPr>
          <w:t>110/2016</w:t>
        </w:r>
      </w:hyperlink>
      <w:r w:rsidRPr="00924F59">
        <w:rPr>
          <w:rStyle w:val="TextoNormalCaracter"/>
        </w:rPr>
        <w:t>, único.</w:t>
      </w:r>
    </w:p>
    <w:p w:rsidR="00924F59" w:rsidRPr="00924F59" w:rsidRDefault="00924F59" w:rsidP="00924F59">
      <w:pPr>
        <w:pStyle w:val="TextoNormalSangraFrancesa"/>
        <w:rPr>
          <w:rStyle w:val="TextoNormalCaracter"/>
        </w:rPr>
      </w:pPr>
      <w:bookmarkStart w:id="1895" w:name="DESCRIPTORALFABETICO506"/>
      <w:r w:rsidRPr="00924F59">
        <w:rPr>
          <w:rStyle w:val="TextoNormalNegritaCaracter"/>
        </w:rPr>
        <w:t>Registro Mercantil</w:t>
      </w:r>
      <w:bookmarkEnd w:id="1895"/>
      <w:r w:rsidRPr="00924F59">
        <w:rPr>
          <w:rStyle w:val="TextoNormalCaracter"/>
        </w:rPr>
        <w:t xml:space="preserve">, Auto </w:t>
      </w:r>
      <w:hyperlink w:anchor="AUTO_2016_109" w:history="1">
        <w:r w:rsidRPr="00924F59">
          <w:rPr>
            <w:rStyle w:val="TextoNormalCaracter"/>
          </w:rPr>
          <w:t>109/2016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896" w:name="DESCRIPTORALFABETICO507"/>
      <w:r w:rsidRPr="00924F59">
        <w:rPr>
          <w:rStyle w:val="TextoNormalNegritaCaracter"/>
        </w:rPr>
        <w:t>Registros administrativos de uniones de hecho</w:t>
      </w:r>
      <w:bookmarkEnd w:id="1896"/>
      <w:r w:rsidRPr="00924F59">
        <w:rPr>
          <w:rStyle w:val="TextoNormalCaracter"/>
        </w:rPr>
        <w:t xml:space="preserve">, Sentencia </w:t>
      </w:r>
      <w:hyperlink w:anchor="SENTENCIA_2016_110" w:history="1">
        <w:r w:rsidRPr="00924F59">
          <w:rPr>
            <w:rStyle w:val="TextoNormalCaracter"/>
          </w:rPr>
          <w:t>110/2016</w:t>
        </w:r>
      </w:hyperlink>
      <w:r w:rsidRPr="00924F59">
        <w:rPr>
          <w:rStyle w:val="TextoNormalCaracter"/>
        </w:rPr>
        <w:t>, f. 7.</w:t>
      </w:r>
    </w:p>
    <w:p w:rsidR="00924F59" w:rsidRPr="00924F59" w:rsidRDefault="00924F59" w:rsidP="00924F59">
      <w:pPr>
        <w:pStyle w:val="TextoNormalSangraFrancesa"/>
        <w:rPr>
          <w:rStyle w:val="TextoNormalCaracter"/>
        </w:rPr>
      </w:pPr>
      <w:bookmarkStart w:id="1897" w:name="DESCRIPTORALFABETICO403"/>
      <w:r w:rsidRPr="00924F59">
        <w:rPr>
          <w:rStyle w:val="TextoNormalNegritaCaracter"/>
        </w:rPr>
        <w:t>Reglamentos parlamentarios</w:t>
      </w:r>
      <w:bookmarkEnd w:id="1897"/>
      <w:r w:rsidRPr="00924F59">
        <w:rPr>
          <w:rStyle w:val="TextoNormalCaracter"/>
        </w:rPr>
        <w:t xml:space="preserve">, Sentencias </w:t>
      </w:r>
      <w:hyperlink w:anchor="SENTENCIA_2016_10" w:history="1">
        <w:r w:rsidRPr="00924F59">
          <w:rPr>
            <w:rStyle w:val="TextoNormalCaracter"/>
          </w:rPr>
          <w:t>10/2016</w:t>
        </w:r>
      </w:hyperlink>
      <w:r w:rsidRPr="00924F59">
        <w:rPr>
          <w:rStyle w:val="TextoNormalCaracter"/>
        </w:rPr>
        <w:t xml:space="preserve">, f. 2; </w:t>
      </w:r>
      <w:hyperlink w:anchor="SENTENCIA_2016_78" w:history="1">
        <w:r w:rsidRPr="00924F59">
          <w:rPr>
            <w:rStyle w:val="TextoNormalCaracter"/>
          </w:rPr>
          <w:t>78/2016</w:t>
        </w:r>
      </w:hyperlink>
      <w:r w:rsidRPr="00924F59">
        <w:rPr>
          <w:rStyle w:val="TextoNormalCaracter"/>
        </w:rPr>
        <w:t>, ff. 4, 5.</w:t>
      </w:r>
    </w:p>
    <w:p w:rsidR="00924F59" w:rsidRPr="00924F59" w:rsidRDefault="00924F59" w:rsidP="00924F59">
      <w:pPr>
        <w:pStyle w:val="TextoNormalSangraFrancesa"/>
        <w:rPr>
          <w:rStyle w:val="TextoNormalCaracter"/>
        </w:rPr>
      </w:pPr>
      <w:bookmarkStart w:id="1898" w:name="DESCRIPTORALFABETICO693"/>
      <w:r w:rsidRPr="00924F59">
        <w:rPr>
          <w:rStyle w:val="TextoNormalNegritaCaracter"/>
        </w:rPr>
        <w:t>Reglas de resolución de conflicto de normas</w:t>
      </w:r>
      <w:bookmarkEnd w:id="1898"/>
      <w:r w:rsidRPr="00924F59">
        <w:rPr>
          <w:rStyle w:val="TextoNormalCaracter"/>
        </w:rPr>
        <w:t xml:space="preserve">, Sentencia </w:t>
      </w:r>
      <w:hyperlink w:anchor="SENTENCIA_2016_102" w:history="1">
        <w:r w:rsidRPr="00924F59">
          <w:rPr>
            <w:rStyle w:val="TextoNormalCaracter"/>
          </w:rPr>
          <w:t>102/2016</w:t>
        </w:r>
      </w:hyperlink>
      <w:r w:rsidRPr="00924F59">
        <w:rPr>
          <w:rStyle w:val="TextoNormalCaracter"/>
        </w:rPr>
        <w:t>, ff. 2, 3, 6.</w:t>
      </w:r>
    </w:p>
    <w:p w:rsidR="00924F59" w:rsidRPr="00924F59" w:rsidRDefault="00924F59" w:rsidP="00924F59">
      <w:pPr>
        <w:pStyle w:val="TextoNormalSangraFrancesa"/>
        <w:rPr>
          <w:rStyle w:val="TextoNormalCaracter"/>
        </w:rPr>
      </w:pPr>
      <w:bookmarkStart w:id="1899" w:name="DESCRIPTORALFABETICO138"/>
      <w:r w:rsidRPr="00924F59">
        <w:rPr>
          <w:rStyle w:val="TextoNormalNegritaCaracter"/>
        </w:rPr>
        <w:t>Regulación del ejercicio del derecho a la huelga</w:t>
      </w:r>
      <w:bookmarkEnd w:id="1899"/>
      <w:r w:rsidRPr="00924F59">
        <w:rPr>
          <w:rStyle w:val="TextoNormalCaracter"/>
        </w:rPr>
        <w:t xml:space="preserve">, Sentencia </w:t>
      </w:r>
      <w:hyperlink w:anchor="SENTENCIA_2016_45" w:history="1">
        <w:r w:rsidRPr="00924F59">
          <w:rPr>
            <w:rStyle w:val="TextoNormalCaracter"/>
          </w:rPr>
          <w:t>45/2016</w:t>
        </w:r>
      </w:hyperlink>
      <w:r w:rsidRPr="00924F59">
        <w:rPr>
          <w:rStyle w:val="TextoNormalCaracter"/>
        </w:rPr>
        <w:t>, f. 4 b).</w:t>
      </w:r>
    </w:p>
    <w:p w:rsidR="00924F59" w:rsidRPr="00924F59" w:rsidRDefault="00924F59" w:rsidP="00924F59">
      <w:pPr>
        <w:pStyle w:val="TextoNormalSangraFrancesa"/>
        <w:rPr>
          <w:rStyle w:val="TextoNormalCaracter"/>
        </w:rPr>
      </w:pPr>
      <w:bookmarkStart w:id="1900" w:name="DESCRIPTORALFABETICO716"/>
      <w:r w:rsidRPr="00924F59">
        <w:rPr>
          <w:rStyle w:val="TextoNormalNegritaCaracter"/>
        </w:rPr>
        <w:t>Regulación uniforme</w:t>
      </w:r>
      <w:bookmarkEnd w:id="1900"/>
      <w:r w:rsidRPr="00924F59">
        <w:rPr>
          <w:rStyle w:val="TextoNormalCaracter"/>
        </w:rPr>
        <w:t xml:space="preserve">, Sentencia </w:t>
      </w:r>
      <w:hyperlink w:anchor="SENTENCIA_2016_62" w:history="1">
        <w:r w:rsidRPr="00924F59">
          <w:rPr>
            <w:rStyle w:val="TextoNormalCaracter"/>
          </w:rPr>
          <w:t>62/2016</w:t>
        </w:r>
      </w:hyperlink>
      <w:r w:rsidRPr="00924F59">
        <w:rPr>
          <w:rStyle w:val="TextoNormalCaracter"/>
        </w:rPr>
        <w:t>, f. 10.</w:t>
      </w:r>
    </w:p>
    <w:p w:rsidR="00924F59" w:rsidRPr="00924F59" w:rsidRDefault="00924F59" w:rsidP="00924F59">
      <w:pPr>
        <w:pStyle w:val="TextoNormalSangraFrancesa"/>
        <w:rPr>
          <w:rStyle w:val="TextoNormalCaracter"/>
        </w:rPr>
      </w:pPr>
      <w:bookmarkStart w:id="1901" w:name="DESCRIPTORALFABETICO578"/>
      <w:r w:rsidRPr="00924F59">
        <w:rPr>
          <w:rStyle w:val="TextoNormalNegritaCaracter"/>
        </w:rPr>
        <w:t>Relación de convivencia</w:t>
      </w:r>
      <w:bookmarkEnd w:id="1901"/>
      <w:r w:rsidRPr="00924F59">
        <w:rPr>
          <w:rStyle w:val="TextoNormalCaracter"/>
        </w:rPr>
        <w:t xml:space="preserve">, Sentencia </w:t>
      </w:r>
      <w:hyperlink w:anchor="SENTENCIA_2016_81" w:history="1">
        <w:r w:rsidRPr="00924F59">
          <w:rPr>
            <w:rStyle w:val="TextoNormalCaracter"/>
          </w:rPr>
          <w:t>81/2016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902" w:name="DESCRIPTORALFABETICO639"/>
      <w:r w:rsidRPr="00924F59">
        <w:rPr>
          <w:rStyle w:val="TextoNormalNegritaCaracter"/>
        </w:rPr>
        <w:t>Relaciones internacionales</w:t>
      </w:r>
      <w:bookmarkEnd w:id="1902"/>
      <w:r w:rsidRPr="00924F59">
        <w:rPr>
          <w:rStyle w:val="TextoNormalCaracter"/>
        </w:rPr>
        <w:t xml:space="preserve">, Sentencia </w:t>
      </w:r>
      <w:hyperlink w:anchor="SENTENCIA_2016_85" w:history="1">
        <w:r w:rsidRPr="00924F59">
          <w:rPr>
            <w:rStyle w:val="TextoNormalCaracter"/>
          </w:rPr>
          <w:t>85/2016</w:t>
        </w:r>
      </w:hyperlink>
      <w:r w:rsidRPr="00924F59">
        <w:rPr>
          <w:rStyle w:val="TextoNormalCaracter"/>
        </w:rPr>
        <w:t>, ff. 3, 4, 7, 8, VP.</w:t>
      </w:r>
    </w:p>
    <w:p w:rsidR="00924F59" w:rsidRPr="00924F59" w:rsidRDefault="00924F59" w:rsidP="00924F59">
      <w:pPr>
        <w:pStyle w:val="TextoNormalSangraFrancesa"/>
        <w:rPr>
          <w:rStyle w:val="TextoNormalCaracter"/>
        </w:rPr>
      </w:pPr>
      <w:bookmarkStart w:id="1903" w:name="DESCRIPTORALFABETICO707"/>
      <w:r w:rsidRPr="00924F59">
        <w:rPr>
          <w:rStyle w:val="TextoNormalNegritaCaracter"/>
        </w:rPr>
        <w:t>Remisión a normas reglamentarias</w:t>
      </w:r>
      <w:bookmarkEnd w:id="1903"/>
      <w:r w:rsidRPr="00924F59">
        <w:rPr>
          <w:rStyle w:val="TextoNormalCaracter"/>
        </w:rPr>
        <w:t xml:space="preserve">, Sentencias </w:t>
      </w:r>
      <w:hyperlink w:anchor="SENTENCIA_2016_6" w:history="1">
        <w:r w:rsidRPr="00924F59">
          <w:rPr>
            <w:rStyle w:val="TextoNormalCaracter"/>
          </w:rPr>
          <w:t>6/2016</w:t>
        </w:r>
      </w:hyperlink>
      <w:r w:rsidRPr="00924F59">
        <w:rPr>
          <w:rStyle w:val="TextoNormalCaracter"/>
        </w:rPr>
        <w:t xml:space="preserve">, f. 3; </w:t>
      </w:r>
      <w:hyperlink w:anchor="SENTENCIA_2016_28" w:history="1">
        <w:r w:rsidRPr="00924F59">
          <w:rPr>
            <w:rStyle w:val="TextoNormalCaracter"/>
          </w:rPr>
          <w:t>28/2016</w:t>
        </w:r>
      </w:hyperlink>
      <w:r w:rsidRPr="00924F59">
        <w:rPr>
          <w:rStyle w:val="TextoNormalCaracter"/>
        </w:rPr>
        <w:t xml:space="preserve">, ff. 3, 4; </w:t>
      </w:r>
      <w:hyperlink w:anchor="SENTENCIA_2016_30" w:history="1">
        <w:r w:rsidRPr="00924F59">
          <w:rPr>
            <w:rStyle w:val="TextoNormalCaracter"/>
          </w:rPr>
          <w:t>30/2016</w:t>
        </w:r>
      </w:hyperlink>
      <w:r w:rsidRPr="00924F59">
        <w:rPr>
          <w:rStyle w:val="TextoNormalCaracter"/>
        </w:rPr>
        <w:t xml:space="preserve">, f. 6; </w:t>
      </w:r>
      <w:hyperlink w:anchor="SENTENCIA_2016_56" w:history="1">
        <w:r w:rsidRPr="00924F59">
          <w:rPr>
            <w:rStyle w:val="TextoNormalCaracter"/>
          </w:rPr>
          <w:t>56/2016</w:t>
        </w:r>
      </w:hyperlink>
      <w:r w:rsidRPr="00924F59">
        <w:rPr>
          <w:rStyle w:val="TextoNormalCaracter"/>
        </w:rPr>
        <w:t xml:space="preserve">, f. 4; </w:t>
      </w:r>
      <w:hyperlink w:anchor="SENTENCIA_2016_57" w:history="1">
        <w:r w:rsidRPr="00924F59">
          <w:rPr>
            <w:rStyle w:val="TextoNormalCaracter"/>
          </w:rPr>
          <w:t>57/2016</w:t>
        </w:r>
      </w:hyperlink>
      <w:r w:rsidRPr="00924F59">
        <w:rPr>
          <w:rStyle w:val="TextoNormalCaracter"/>
        </w:rPr>
        <w:t xml:space="preserve">, f. 3 a); </w:t>
      </w:r>
      <w:hyperlink w:anchor="SENTENCIA_2016_61" w:history="1">
        <w:r w:rsidRPr="00924F59">
          <w:rPr>
            <w:rStyle w:val="TextoNormalCaracter"/>
          </w:rPr>
          <w:t>61/2016</w:t>
        </w:r>
      </w:hyperlink>
      <w:r w:rsidRPr="00924F59">
        <w:rPr>
          <w:rStyle w:val="TextoNormalCaracter"/>
        </w:rPr>
        <w:t>, f. 7.</w:t>
      </w:r>
    </w:p>
    <w:p w:rsidR="00924F59" w:rsidRPr="00924F59" w:rsidRDefault="00924F59" w:rsidP="00924F59">
      <w:pPr>
        <w:pStyle w:val="TextoNormalSangraFrancesa"/>
        <w:rPr>
          <w:rStyle w:val="TextoNormalCaracter"/>
        </w:rPr>
      </w:pPr>
      <w:bookmarkStart w:id="1904" w:name="DESCRIPTORALFABETICO739"/>
      <w:r w:rsidRPr="00924F59">
        <w:rPr>
          <w:rStyle w:val="TextoNormalNegritaCaracter"/>
        </w:rPr>
        <w:t>Reparación del daño</w:t>
      </w:r>
      <w:bookmarkEnd w:id="1904"/>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 ff. 1, 3, 4, VP I, VP II.</w:t>
      </w:r>
    </w:p>
    <w:p w:rsidR="00924F59" w:rsidRPr="00924F59" w:rsidRDefault="00924F59" w:rsidP="00924F59">
      <w:pPr>
        <w:pStyle w:val="TextoNormalSangraFrancesa"/>
        <w:rPr>
          <w:rStyle w:val="TextoNormalCaracter"/>
        </w:rPr>
      </w:pPr>
      <w:bookmarkStart w:id="1905" w:name="DESCRIPTORALFABETICO335"/>
      <w:r w:rsidRPr="00924F59">
        <w:rPr>
          <w:rStyle w:val="TextoNormalNegritaCaracter"/>
        </w:rPr>
        <w:t>Repercusión política del asunto</w:t>
      </w:r>
      <w:bookmarkEnd w:id="1905"/>
      <w:r w:rsidRPr="00924F59">
        <w:rPr>
          <w:rStyle w:val="TextoNormalCaracter"/>
        </w:rPr>
        <w:t xml:space="preserve">, Sentencias </w:t>
      </w:r>
      <w:hyperlink w:anchor="SENTENCIA_2016_10" w:history="1">
        <w:r w:rsidRPr="00924F59">
          <w:rPr>
            <w:rStyle w:val="TextoNormalCaracter"/>
          </w:rPr>
          <w:t>10/2016</w:t>
        </w:r>
      </w:hyperlink>
      <w:r w:rsidRPr="00924F59">
        <w:rPr>
          <w:rStyle w:val="TextoNormalCaracter"/>
        </w:rPr>
        <w:t xml:space="preserve">, f. 3; </w:t>
      </w:r>
      <w:hyperlink w:anchor="SENTENCIA_2016_78" w:history="1">
        <w:r w:rsidRPr="00924F59">
          <w:rPr>
            <w:rStyle w:val="TextoNormalCaracter"/>
          </w:rPr>
          <w:t>78/2016</w:t>
        </w:r>
      </w:hyperlink>
      <w:r w:rsidRPr="00924F59">
        <w:rPr>
          <w:rStyle w:val="TextoNormalCaracter"/>
        </w:rPr>
        <w:t xml:space="preserve">, f. 1; </w:t>
      </w:r>
      <w:hyperlink w:anchor="SENTENCIA_2016_107" w:history="1">
        <w:r w:rsidRPr="00924F59">
          <w:rPr>
            <w:rStyle w:val="TextoNormalCaracter"/>
          </w:rPr>
          <w:t>107/2016</w:t>
        </w:r>
      </w:hyperlink>
      <w:r w:rsidRPr="00924F59">
        <w:rPr>
          <w:rStyle w:val="TextoNormalCaracter"/>
        </w:rPr>
        <w:t xml:space="preserve">, f. 1; </w:t>
      </w:r>
      <w:hyperlink w:anchor="SENTENCIA_2016_108" w:history="1">
        <w:r w:rsidRPr="00924F59">
          <w:rPr>
            <w:rStyle w:val="TextoNormalCaracter"/>
          </w:rPr>
          <w:t>108/2016</w:t>
        </w:r>
      </w:hyperlink>
      <w:r w:rsidRPr="00924F59">
        <w:rPr>
          <w:rStyle w:val="TextoNormalCaracter"/>
        </w:rPr>
        <w:t xml:space="preserve">, f. 1; </w:t>
      </w:r>
      <w:hyperlink w:anchor="SENTENCIA_2016_109" w:history="1">
        <w:r w:rsidRPr="00924F59">
          <w:rPr>
            <w:rStyle w:val="TextoNormalCaracter"/>
          </w:rPr>
          <w:t>109/2016</w:t>
        </w:r>
      </w:hyperlink>
      <w:r w:rsidRPr="00924F59">
        <w:rPr>
          <w:rStyle w:val="TextoNormalCaracter"/>
        </w:rPr>
        <w:t>, f. 1.</w:t>
      </w:r>
    </w:p>
    <w:p w:rsidR="00924F59" w:rsidRPr="00924F59" w:rsidRDefault="00924F59" w:rsidP="00924F59">
      <w:pPr>
        <w:pStyle w:val="TextoNormalSangraFrancesa"/>
        <w:rPr>
          <w:rStyle w:val="TextoNormalCaracter"/>
        </w:rPr>
      </w:pPr>
      <w:bookmarkStart w:id="1906" w:name="DESCRIPTORALFABETICO404"/>
      <w:r w:rsidRPr="00924F59">
        <w:rPr>
          <w:rStyle w:val="TextoNormalNegritaCaracter"/>
        </w:rPr>
        <w:t>Representación</w:t>
      </w:r>
      <w:bookmarkEnd w:id="1906"/>
      <w:r w:rsidRPr="00924F59">
        <w:rPr>
          <w:rStyle w:val="TextoNormalCaracter"/>
        </w:rPr>
        <w:t xml:space="preserve">, Sentencias </w:t>
      </w:r>
      <w:hyperlink w:anchor="SENTENCIA_2016_107" w:history="1">
        <w:r w:rsidRPr="00924F59">
          <w:rPr>
            <w:rStyle w:val="TextoNormalCaracter"/>
          </w:rPr>
          <w:t>107/2016</w:t>
        </w:r>
      </w:hyperlink>
      <w:r w:rsidRPr="00924F59">
        <w:rPr>
          <w:rStyle w:val="TextoNormalCaracter"/>
        </w:rPr>
        <w:t xml:space="preserve">, ff. 1 a 4; </w:t>
      </w:r>
      <w:hyperlink w:anchor="SENTENCIA_2016_108" w:history="1">
        <w:r w:rsidRPr="00924F59">
          <w:rPr>
            <w:rStyle w:val="TextoNormalCaracter"/>
          </w:rPr>
          <w:t>108/2016</w:t>
        </w:r>
      </w:hyperlink>
      <w:r w:rsidRPr="00924F59">
        <w:rPr>
          <w:rStyle w:val="TextoNormalCaracter"/>
        </w:rPr>
        <w:t xml:space="preserve">, ff. 1 a 4; </w:t>
      </w:r>
      <w:hyperlink w:anchor="SENTENCIA_2016_109" w:history="1">
        <w:r w:rsidRPr="00924F59">
          <w:rPr>
            <w:rStyle w:val="TextoNormalCaracter"/>
          </w:rPr>
          <w:t>109/2016</w:t>
        </w:r>
      </w:hyperlink>
      <w:r w:rsidRPr="00924F59">
        <w:rPr>
          <w:rStyle w:val="TextoNormalCaracter"/>
        </w:rPr>
        <w:t>, ff. 1, 2, 5.</w:t>
      </w:r>
    </w:p>
    <w:p w:rsidR="00924F59" w:rsidRPr="00924F59" w:rsidRDefault="00924F59" w:rsidP="00924F59">
      <w:pPr>
        <w:pStyle w:val="TextoNormalSangraFrancesa"/>
        <w:rPr>
          <w:rStyle w:val="TextoNormalCaracter"/>
        </w:rPr>
      </w:pPr>
      <w:bookmarkStart w:id="1907" w:name="DESCRIPTORALFABETICO764"/>
      <w:r w:rsidRPr="00924F59">
        <w:rPr>
          <w:rStyle w:val="TextoNormalNegritaCaracter"/>
        </w:rPr>
        <w:t>Representación sindical</w:t>
      </w:r>
      <w:bookmarkEnd w:id="1907"/>
      <w:r w:rsidRPr="00924F59">
        <w:rPr>
          <w:rStyle w:val="TextoNormalCaracter"/>
        </w:rPr>
        <w:t xml:space="preserve">, Sentencia </w:t>
      </w:r>
      <w:hyperlink w:anchor="SENTENCIA_2016_64" w:history="1">
        <w:r w:rsidRPr="00924F59">
          <w:rPr>
            <w:rStyle w:val="TextoNormalCaracter"/>
          </w:rPr>
          <w:t>64/2016</w:t>
        </w:r>
      </w:hyperlink>
      <w:r w:rsidRPr="00924F59">
        <w:rPr>
          <w:rStyle w:val="TextoNormalCaracter"/>
        </w:rPr>
        <w:t>, ff. 1, 3, 5, 6, VP.</w:t>
      </w:r>
    </w:p>
    <w:p w:rsidR="00924F59" w:rsidRPr="00924F59" w:rsidRDefault="00924F59" w:rsidP="00924F59">
      <w:pPr>
        <w:pStyle w:val="TextoNormalSangraFrancesa"/>
        <w:rPr>
          <w:rStyle w:val="TextoNormalCaracter"/>
        </w:rPr>
      </w:pPr>
      <w:bookmarkStart w:id="1908" w:name="DESCRIPTORALFABETICO765"/>
      <w:r w:rsidRPr="00924F59">
        <w:rPr>
          <w:rStyle w:val="TextoNormalNegritaCaracter"/>
        </w:rPr>
        <w:t>Representantes de los trabajadores</w:t>
      </w:r>
      <w:bookmarkEnd w:id="1908"/>
      <w:r w:rsidRPr="00924F59">
        <w:rPr>
          <w:rStyle w:val="TextoNormalCaracter"/>
        </w:rPr>
        <w:t xml:space="preserve">, Sentencia </w:t>
      </w:r>
      <w:hyperlink w:anchor="SENTENCIA_2016_64" w:history="1">
        <w:r w:rsidRPr="00924F59">
          <w:rPr>
            <w:rStyle w:val="TextoNormalCaracter"/>
          </w:rPr>
          <w:t>64/2016</w:t>
        </w:r>
      </w:hyperlink>
      <w:r w:rsidRPr="00924F59">
        <w:rPr>
          <w:rStyle w:val="TextoNormalCaracter"/>
        </w:rPr>
        <w:t>, ff. 1, 3, 5, 6, VP.</w:t>
      </w:r>
    </w:p>
    <w:p w:rsidR="00924F59" w:rsidRPr="00924F59" w:rsidRDefault="00924F59" w:rsidP="00924F59">
      <w:pPr>
        <w:pStyle w:val="TextoNormalSangraFrancesa"/>
        <w:rPr>
          <w:rStyle w:val="TextoNormalCaracter"/>
        </w:rPr>
      </w:pPr>
      <w:bookmarkStart w:id="1909" w:name="DESCRIPTORALFABETICO673"/>
      <w:r w:rsidRPr="00924F59">
        <w:rPr>
          <w:rStyle w:val="TextoNormalNegritaCaracter"/>
        </w:rPr>
        <w:t>Reproducción de normas estatales</w:t>
      </w:r>
      <w:bookmarkEnd w:id="1909"/>
      <w:r w:rsidRPr="00924F59">
        <w:rPr>
          <w:rStyle w:val="TextoNormalCaracter"/>
        </w:rPr>
        <w:t xml:space="preserve">, Sentencias </w:t>
      </w:r>
      <w:hyperlink w:anchor="SENTENCIA_2016_8" w:history="1">
        <w:r w:rsidRPr="00924F59">
          <w:rPr>
            <w:rStyle w:val="TextoNormalCaracter"/>
          </w:rPr>
          <w:t>8/2016</w:t>
        </w:r>
      </w:hyperlink>
      <w:r w:rsidRPr="00924F59">
        <w:rPr>
          <w:rStyle w:val="TextoNormalCaracter"/>
        </w:rPr>
        <w:t xml:space="preserve">, ff. 3, 6, 9; </w:t>
      </w:r>
      <w:hyperlink w:anchor="SENTENCIA_2016_102" w:history="1">
        <w:r w:rsidRPr="00924F59">
          <w:rPr>
            <w:rStyle w:val="TextoNormalCaracter"/>
          </w:rPr>
          <w:t>102/2016</w:t>
        </w:r>
      </w:hyperlink>
      <w:r w:rsidRPr="00924F59">
        <w:rPr>
          <w:rStyle w:val="TextoNormalCaracter"/>
        </w:rPr>
        <w:t xml:space="preserve">, f. 5, VP; </w:t>
      </w:r>
      <w:hyperlink w:anchor="SENTENCIA_2016_116" w:history="1">
        <w:r w:rsidRPr="00924F59">
          <w:rPr>
            <w:rStyle w:val="TextoNormalCaracter"/>
          </w:rPr>
          <w:t>116/2016</w:t>
        </w:r>
      </w:hyperlink>
      <w:r w:rsidRPr="00924F59">
        <w:rPr>
          <w:rStyle w:val="TextoNormalCaracter"/>
        </w:rPr>
        <w:t>, f. 2 c), VP.</w:t>
      </w:r>
    </w:p>
    <w:p w:rsidR="00924F59" w:rsidRPr="00924F59" w:rsidRDefault="00924F59" w:rsidP="00924F59">
      <w:pPr>
        <w:pStyle w:val="TextoNormalSangraFrancesa"/>
        <w:rPr>
          <w:rStyle w:val="TextoNormalCaracter"/>
        </w:rPr>
      </w:pPr>
      <w:bookmarkStart w:id="1910" w:name="DESCRIPTORALFABETICO663"/>
      <w:r w:rsidRPr="00924F59">
        <w:rPr>
          <w:rStyle w:val="TextoNormalNegritaCaracter"/>
        </w:rPr>
        <w:t>Requisitos de los decretos-leyes</w:t>
      </w:r>
      <w:bookmarkEnd w:id="1910"/>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ff. 3 a 5; </w:t>
      </w:r>
      <w:hyperlink w:anchor="SENTENCIA_2016_37" w:history="1">
        <w:r w:rsidRPr="00924F59">
          <w:rPr>
            <w:rStyle w:val="TextoNormalCaracter"/>
          </w:rPr>
          <w:t>37/2016</w:t>
        </w:r>
      </w:hyperlink>
      <w:r w:rsidRPr="00924F59">
        <w:rPr>
          <w:rStyle w:val="TextoNormalCaracter"/>
        </w:rPr>
        <w:t xml:space="preserve">, ff. 1, 3; </w:t>
      </w:r>
      <w:hyperlink w:anchor="SENTENCIA_2016_38" w:history="1">
        <w:r w:rsidRPr="00924F59">
          <w:rPr>
            <w:rStyle w:val="TextoNormalCaracter"/>
          </w:rPr>
          <w:t>38/2016</w:t>
        </w:r>
      </w:hyperlink>
      <w:r w:rsidRPr="00924F59">
        <w:rPr>
          <w:rStyle w:val="TextoNormalCaracter"/>
        </w:rPr>
        <w:t xml:space="preserve">, f. 2; </w:t>
      </w:r>
      <w:hyperlink w:anchor="SENTENCIA_2016_70" w:history="1">
        <w:r w:rsidRPr="00924F59">
          <w:rPr>
            <w:rStyle w:val="TextoNormalCaracter"/>
          </w:rPr>
          <w:t>70/2016</w:t>
        </w:r>
      </w:hyperlink>
      <w:r w:rsidRPr="00924F59">
        <w:rPr>
          <w:rStyle w:val="TextoNormalCaracter"/>
        </w:rPr>
        <w:t xml:space="preserve">, ff. 3 a 8; </w:t>
      </w:r>
      <w:hyperlink w:anchor="SENTENCIA_2016_119" w:history="1">
        <w:r w:rsidRPr="00924F59">
          <w:rPr>
            <w:rStyle w:val="TextoNormalCaracter"/>
          </w:rPr>
          <w:t>119/2016</w:t>
        </w:r>
      </w:hyperlink>
      <w:r w:rsidRPr="00924F59">
        <w:rPr>
          <w:rStyle w:val="TextoNormalCaracter"/>
        </w:rPr>
        <w:t>, f. 2.</w:t>
      </w:r>
    </w:p>
    <w:p w:rsidR="00924F59" w:rsidRPr="00924F59" w:rsidRDefault="00924F59" w:rsidP="00924F59">
      <w:pPr>
        <w:pStyle w:val="TextoNormalSangraFrancesa"/>
        <w:rPr>
          <w:rStyle w:val="TextoNormalCaracter"/>
        </w:rPr>
      </w:pPr>
      <w:bookmarkStart w:id="1911" w:name="DESCRIPTORALFABETICO668"/>
      <w:r w:rsidRPr="00924F59">
        <w:rPr>
          <w:rStyle w:val="TextoNormalNegritaCaracter"/>
        </w:rPr>
        <w:t>Requisitos formales de la normativa básica</w:t>
      </w:r>
      <w:bookmarkEnd w:id="1911"/>
      <w:r w:rsidRPr="00924F59">
        <w:rPr>
          <w:rStyle w:val="TextoNormalCaracter"/>
        </w:rPr>
        <w:t xml:space="preserve">, Sentencias </w:t>
      </w:r>
      <w:hyperlink w:anchor="SENTENCIA_2016_7" w:history="1">
        <w:r w:rsidRPr="00924F59">
          <w:rPr>
            <w:rStyle w:val="TextoNormalCaracter"/>
          </w:rPr>
          <w:t>7/2016</w:t>
        </w:r>
      </w:hyperlink>
      <w:r w:rsidRPr="00924F59">
        <w:rPr>
          <w:rStyle w:val="TextoNormalCaracter"/>
        </w:rPr>
        <w:t xml:space="preserve">, f. 5; </w:t>
      </w:r>
      <w:hyperlink w:anchor="SENTENCIA_2016_88" w:history="1">
        <w:r w:rsidRPr="00924F59">
          <w:rPr>
            <w:rStyle w:val="TextoNormalCaracter"/>
          </w:rPr>
          <w:t>88/2016</w:t>
        </w:r>
      </w:hyperlink>
      <w:r w:rsidRPr="00924F59">
        <w:rPr>
          <w:rStyle w:val="TextoNormalCaracter"/>
        </w:rPr>
        <w:t>, f. 3.</w:t>
      </w:r>
    </w:p>
    <w:p w:rsidR="00924F59" w:rsidRPr="00924F59" w:rsidRDefault="00924F59" w:rsidP="00924F59">
      <w:pPr>
        <w:pStyle w:val="TextoNormalSangraFrancesa"/>
        <w:rPr>
          <w:rStyle w:val="TextoNormalCaracter"/>
        </w:rPr>
      </w:pPr>
      <w:bookmarkStart w:id="1912" w:name="DESCRIPTORALFABETICO671"/>
      <w:r w:rsidRPr="00924F59">
        <w:rPr>
          <w:rStyle w:val="TextoNormalNegritaCaracter"/>
        </w:rPr>
        <w:t>Requisitos materiales de la normativa básica</w:t>
      </w:r>
      <w:bookmarkEnd w:id="1912"/>
      <w:r w:rsidRPr="00924F59">
        <w:rPr>
          <w:rStyle w:val="TextoNormalCaracter"/>
        </w:rPr>
        <w:t xml:space="preserve">, Sentencias </w:t>
      </w:r>
      <w:hyperlink w:anchor="SENTENCIA_2016_7" w:history="1">
        <w:r w:rsidRPr="00924F59">
          <w:rPr>
            <w:rStyle w:val="TextoNormalCaracter"/>
          </w:rPr>
          <w:t>7/2016</w:t>
        </w:r>
      </w:hyperlink>
      <w:r w:rsidRPr="00924F59">
        <w:rPr>
          <w:rStyle w:val="TextoNormalCaracter"/>
        </w:rPr>
        <w:t xml:space="preserve">, f. 5; </w:t>
      </w:r>
      <w:hyperlink w:anchor="SENTENCIA_2016_88" w:history="1">
        <w:r w:rsidRPr="00924F59">
          <w:rPr>
            <w:rStyle w:val="TextoNormalCaracter"/>
          </w:rPr>
          <w:t>88/2016</w:t>
        </w:r>
      </w:hyperlink>
      <w:r w:rsidRPr="00924F59">
        <w:rPr>
          <w:rStyle w:val="TextoNormalCaracter"/>
        </w:rPr>
        <w:t>, f. 3.</w:t>
      </w:r>
    </w:p>
    <w:p w:rsidR="00924F59" w:rsidRPr="00924F59" w:rsidRDefault="00924F59" w:rsidP="00924F59">
      <w:pPr>
        <w:pStyle w:val="TextoNormalSangraFrancesa"/>
        <w:rPr>
          <w:rStyle w:val="TextoNormalCaracter"/>
        </w:rPr>
      </w:pPr>
      <w:bookmarkStart w:id="1913" w:name="DESCRIPTORALFABETICO315"/>
      <w:r w:rsidRPr="00924F59">
        <w:rPr>
          <w:rStyle w:val="TextoNormalNegritaCaracter"/>
        </w:rPr>
        <w:t>Requisitos procesales de la demanda de amparo</w:t>
      </w:r>
      <w:bookmarkEnd w:id="1913"/>
      <w:r w:rsidRPr="00924F59">
        <w:rPr>
          <w:rStyle w:val="TextoNormalCaracter"/>
        </w:rPr>
        <w:t xml:space="preserve">, Auto </w:t>
      </w:r>
      <w:hyperlink w:anchor="AUTO_2016_4" w:history="1">
        <w:r w:rsidRPr="00924F59">
          <w:rPr>
            <w:rStyle w:val="TextoNormalCaracter"/>
          </w:rPr>
          <w:t>4/2016</w:t>
        </w:r>
      </w:hyperlink>
      <w:r w:rsidRPr="00924F59">
        <w:rPr>
          <w:rStyle w:val="TextoNormalCaracter"/>
        </w:rPr>
        <w:t>, f. único.</w:t>
      </w:r>
    </w:p>
    <w:p w:rsidR="00924F59" w:rsidRPr="00924F59" w:rsidRDefault="00924F59" w:rsidP="00924F59">
      <w:pPr>
        <w:pStyle w:val="TextoNormalSangraFrancesa"/>
        <w:rPr>
          <w:rStyle w:val="TextoNormalCaracter"/>
        </w:rPr>
      </w:pPr>
      <w:bookmarkStart w:id="1914" w:name="DESCRIPTORALFABETICO711"/>
      <w:r w:rsidRPr="00924F59">
        <w:rPr>
          <w:rStyle w:val="TextoNormalNegritaCaracter"/>
        </w:rPr>
        <w:t>Reserva de ley</w:t>
      </w:r>
      <w:bookmarkEnd w:id="1914"/>
      <w:r w:rsidRPr="00924F59">
        <w:rPr>
          <w:rStyle w:val="TextoNormalCaracter"/>
        </w:rPr>
        <w:t xml:space="preserve">, Sentencias </w:t>
      </w:r>
      <w:hyperlink w:anchor="SENTENCIA_2016_30" w:history="1">
        <w:r w:rsidRPr="00924F59">
          <w:rPr>
            <w:rStyle w:val="TextoNormalCaracter"/>
          </w:rPr>
          <w:t>30/2016</w:t>
        </w:r>
      </w:hyperlink>
      <w:r w:rsidRPr="00924F59">
        <w:rPr>
          <w:rStyle w:val="TextoNormalCaracter"/>
        </w:rPr>
        <w:t xml:space="preserve">, f. 6; </w:t>
      </w:r>
      <w:hyperlink w:anchor="SENTENCIA_2016_56" w:history="1">
        <w:r w:rsidRPr="00924F59">
          <w:rPr>
            <w:rStyle w:val="TextoNormalCaracter"/>
          </w:rPr>
          <w:t>56/2016</w:t>
        </w:r>
      </w:hyperlink>
      <w:r w:rsidRPr="00924F59">
        <w:rPr>
          <w:rStyle w:val="TextoNormalCaracter"/>
        </w:rPr>
        <w:t>, f. 4.</w:t>
      </w:r>
    </w:p>
    <w:p w:rsidR="00924F59" w:rsidRPr="00924F59" w:rsidRDefault="00924F59" w:rsidP="00924F59">
      <w:pPr>
        <w:pStyle w:val="TextoNormalSangraFrancesa"/>
        <w:rPr>
          <w:rStyle w:val="TextoNormalCaracter"/>
        </w:rPr>
      </w:pPr>
      <w:bookmarkStart w:id="1915" w:name="DESCRIPTORALFABETICO714"/>
      <w:r w:rsidRPr="00924F59">
        <w:rPr>
          <w:rStyle w:val="TextoNormalNegritaCaracter"/>
        </w:rPr>
        <w:t>Reserva de ley orgánica</w:t>
      </w:r>
      <w:bookmarkEnd w:id="1915"/>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3 a), 16.</w:t>
      </w:r>
    </w:p>
    <w:p w:rsidR="00924F59" w:rsidRPr="00924F59" w:rsidRDefault="00924F59" w:rsidP="00924F59">
      <w:pPr>
        <w:pStyle w:val="TextoNormalSangraFrancesa"/>
        <w:rPr>
          <w:rStyle w:val="TextoNormalCaracter"/>
        </w:rPr>
      </w:pPr>
      <w:r w:rsidRPr="00924F59">
        <w:rPr>
          <w:rStyle w:val="TextoNormalCursivaCaracter"/>
        </w:rPr>
        <w:t xml:space="preserve">    Alcance, </w:t>
      </w:r>
      <w:r w:rsidRPr="00924F59">
        <w:rPr>
          <w:rStyle w:val="TextoNormalCaracter"/>
        </w:rPr>
        <w:t xml:space="preserve">Sentencia </w:t>
      </w:r>
      <w:hyperlink w:anchor="SENTENCIA_2016_111" w:history="1">
        <w:r w:rsidRPr="00924F59">
          <w:rPr>
            <w:rStyle w:val="TextoNormalCaracter"/>
          </w:rPr>
          <w:t>111/2016</w:t>
        </w:r>
      </w:hyperlink>
      <w:r w:rsidRPr="00924F59">
        <w:rPr>
          <w:rStyle w:val="TextoNormalCaracter"/>
        </w:rPr>
        <w:t>, f. 4.</w:t>
      </w:r>
    </w:p>
    <w:p w:rsidR="00924F59" w:rsidRPr="00924F59" w:rsidRDefault="00924F59" w:rsidP="00924F59">
      <w:pPr>
        <w:pStyle w:val="TextoNormalSangraFrancesa"/>
        <w:rPr>
          <w:rStyle w:val="TextoNormalCaracter"/>
        </w:rPr>
      </w:pPr>
      <w:bookmarkStart w:id="1916" w:name="DESCRIPTORALFABETICO611"/>
      <w:r w:rsidRPr="00924F59">
        <w:rPr>
          <w:rStyle w:val="TextoNormalNegritaCaracter"/>
        </w:rPr>
        <w:t>Residuos</w:t>
      </w:r>
      <w:bookmarkEnd w:id="1916"/>
      <w:r w:rsidRPr="00924F59">
        <w:rPr>
          <w:rStyle w:val="TextoNormalCaracter"/>
        </w:rPr>
        <w:t xml:space="preserve">, Autos </w:t>
      </w:r>
      <w:hyperlink w:anchor="AUTO_2016_101" w:history="1">
        <w:r w:rsidRPr="00924F59">
          <w:rPr>
            <w:rStyle w:val="TextoNormalCaracter"/>
          </w:rPr>
          <w:t>101/2016</w:t>
        </w:r>
      </w:hyperlink>
      <w:r w:rsidRPr="00924F59">
        <w:rPr>
          <w:rStyle w:val="TextoNormalCaracter"/>
        </w:rPr>
        <w:t xml:space="preserve">, ff. 1 a 4; </w:t>
      </w:r>
      <w:hyperlink w:anchor="AUTO_2016_102" w:history="1">
        <w:r w:rsidRPr="00924F59">
          <w:rPr>
            <w:rStyle w:val="TextoNormalCaracter"/>
          </w:rPr>
          <w:t>102/2016</w:t>
        </w:r>
      </w:hyperlink>
      <w:r w:rsidRPr="00924F59">
        <w:rPr>
          <w:rStyle w:val="TextoNormalCaracter"/>
        </w:rPr>
        <w:t xml:space="preserve">, ff. 1 a 4; </w:t>
      </w:r>
      <w:hyperlink w:anchor="AUTO_2016_103" w:history="1">
        <w:r w:rsidRPr="00924F59">
          <w:rPr>
            <w:rStyle w:val="TextoNormalCaracter"/>
          </w:rPr>
          <w:t>103/2016</w:t>
        </w:r>
      </w:hyperlink>
      <w:r w:rsidRPr="00924F59">
        <w:rPr>
          <w:rStyle w:val="TextoNormalCaracter"/>
        </w:rPr>
        <w:t xml:space="preserve">, ff. 1, 2, 4 a 7; </w:t>
      </w:r>
      <w:hyperlink w:anchor="AUTO_2016_113" w:history="1">
        <w:r w:rsidRPr="00924F59">
          <w:rPr>
            <w:rStyle w:val="TextoNormalCaracter"/>
          </w:rPr>
          <w:t>113/2016</w:t>
        </w:r>
      </w:hyperlink>
      <w:r w:rsidRPr="00924F59">
        <w:rPr>
          <w:rStyle w:val="TextoNormalCaracter"/>
        </w:rPr>
        <w:t>, f. 2.</w:t>
      </w:r>
    </w:p>
    <w:p w:rsidR="00924F59" w:rsidRPr="00924F59" w:rsidRDefault="00924F59" w:rsidP="00924F59">
      <w:pPr>
        <w:pStyle w:val="TextoNormalSangraFrancesa"/>
        <w:rPr>
          <w:rStyle w:val="TextoNormalCaracter"/>
        </w:rPr>
      </w:pPr>
      <w:bookmarkStart w:id="1917" w:name="DESCRIPTORALFABETICO612"/>
      <w:r w:rsidRPr="00924F59">
        <w:rPr>
          <w:rStyle w:val="TextoNormalNegritaCaracter"/>
        </w:rPr>
        <w:t>Residuos urbanos</w:t>
      </w:r>
      <w:bookmarkEnd w:id="1917"/>
      <w:r w:rsidRPr="00924F59">
        <w:rPr>
          <w:rStyle w:val="TextoNormalCaracter"/>
        </w:rPr>
        <w:t xml:space="preserve">, Auto </w:t>
      </w:r>
      <w:hyperlink w:anchor="AUTO_2016_84" w:history="1">
        <w:r w:rsidRPr="00924F59">
          <w:rPr>
            <w:rStyle w:val="TextoNormalCaracter"/>
          </w:rPr>
          <w:t>84/2016</w:t>
        </w:r>
      </w:hyperlink>
      <w:r w:rsidRPr="00924F59">
        <w:rPr>
          <w:rStyle w:val="TextoNormalCaracter"/>
        </w:rPr>
        <w:t>, ff. 1 a 7.</w:t>
      </w:r>
    </w:p>
    <w:p w:rsidR="00924F59" w:rsidRPr="00924F59" w:rsidRDefault="00924F59" w:rsidP="00924F59">
      <w:pPr>
        <w:pStyle w:val="TextoNormalSangraFrancesa"/>
        <w:rPr>
          <w:rStyle w:val="TextoNormalCaracter"/>
        </w:rPr>
      </w:pPr>
      <w:bookmarkStart w:id="1918" w:name="DESCRIPTORALFABETICO185"/>
      <w:r w:rsidRPr="00924F59">
        <w:rPr>
          <w:rStyle w:val="TextoNormalNegritaCaracter"/>
        </w:rPr>
        <w:t>Resolución fundada en Derecho</w:t>
      </w:r>
      <w:bookmarkEnd w:id="1918"/>
      <w:r w:rsidRPr="00924F59">
        <w:rPr>
          <w:rStyle w:val="TextoNormalCaracter"/>
        </w:rPr>
        <w:t xml:space="preserve">, Sentencia </w:t>
      </w:r>
      <w:hyperlink w:anchor="SENTENCIA_2016_49" w:history="1">
        <w:r w:rsidRPr="00924F59">
          <w:rPr>
            <w:rStyle w:val="TextoNormalCaracter"/>
          </w:rPr>
          <w:t>49/2016</w:t>
        </w:r>
      </w:hyperlink>
      <w:r w:rsidRPr="00924F59">
        <w:rPr>
          <w:rStyle w:val="TextoNormalCaracter"/>
        </w:rPr>
        <w:t>, f. 3.</w:t>
      </w:r>
    </w:p>
    <w:p w:rsidR="00924F59" w:rsidRPr="00924F59" w:rsidRDefault="00924F59" w:rsidP="00924F59">
      <w:pPr>
        <w:pStyle w:val="TextoNormalSangraFrancesa"/>
        <w:rPr>
          <w:rStyle w:val="TextoNormalCaracter"/>
        </w:rPr>
      </w:pPr>
      <w:r w:rsidRPr="00924F59">
        <w:rPr>
          <w:rStyle w:val="TextoNormalCursivaCaracter"/>
        </w:rPr>
        <w:t xml:space="preserve">    Respetado, </w:t>
      </w:r>
      <w:r w:rsidRPr="00924F59">
        <w:rPr>
          <w:rStyle w:val="TextoNormalCaracter"/>
        </w:rPr>
        <w:t xml:space="preserve">Sentencia </w:t>
      </w:r>
      <w:hyperlink w:anchor="SENTENCIA_2016_23" w:history="1">
        <w:r w:rsidRPr="00924F59">
          <w:rPr>
            <w:rStyle w:val="TextoNormalCaracter"/>
          </w:rPr>
          <w:t>23/2016</w:t>
        </w:r>
      </w:hyperlink>
      <w:r w:rsidRPr="00924F59">
        <w:rPr>
          <w:rStyle w:val="TextoNormalCaracter"/>
        </w:rPr>
        <w:t>, ff. 1 a 5.</w:t>
      </w:r>
    </w:p>
    <w:p w:rsidR="00924F59" w:rsidRPr="00924F59" w:rsidRDefault="00924F59" w:rsidP="00924F59">
      <w:pPr>
        <w:pStyle w:val="TextoNormalSangraFrancesa"/>
        <w:rPr>
          <w:rStyle w:val="TextoNormalCaracter"/>
        </w:rPr>
      </w:pPr>
      <w:bookmarkStart w:id="1919" w:name="DESCRIPTORALFABETICO336"/>
      <w:r w:rsidRPr="00924F59">
        <w:rPr>
          <w:rStyle w:val="TextoNormalNegritaCaracter"/>
        </w:rPr>
        <w:t>Resoluciones judiciales contradictorias</w:t>
      </w:r>
      <w:bookmarkEnd w:id="1919"/>
      <w:r w:rsidRPr="00924F59">
        <w:rPr>
          <w:rStyle w:val="TextoNormalCaracter"/>
        </w:rPr>
        <w:t xml:space="preserve">, Sentencia </w:t>
      </w:r>
      <w:hyperlink w:anchor="SENTENCIA_2016_105" w:history="1">
        <w:r w:rsidRPr="00924F59">
          <w:rPr>
            <w:rStyle w:val="TextoNormalCaracter"/>
          </w:rPr>
          <w:t>105/2016</w:t>
        </w:r>
      </w:hyperlink>
      <w:r w:rsidRPr="00924F59">
        <w:rPr>
          <w:rStyle w:val="TextoNormalCaracter"/>
        </w:rPr>
        <w:t>, f. 2.</w:t>
      </w:r>
    </w:p>
    <w:p w:rsidR="00924F59" w:rsidRPr="00924F59" w:rsidRDefault="00924F59" w:rsidP="00924F59">
      <w:pPr>
        <w:pStyle w:val="TextoNormalSangraFrancesa"/>
        <w:rPr>
          <w:rStyle w:val="TextoNormalCaracter"/>
        </w:rPr>
      </w:pPr>
      <w:bookmarkStart w:id="1920" w:name="DESCRIPTORALFABETICO742"/>
      <w:r w:rsidRPr="00924F59">
        <w:rPr>
          <w:rStyle w:val="TextoNormalNegritaCaracter"/>
        </w:rPr>
        <w:t>Responsabilidad civil por daños</w:t>
      </w:r>
      <w:bookmarkEnd w:id="1920"/>
      <w:r w:rsidRPr="00924F59">
        <w:rPr>
          <w:rStyle w:val="TextoNormalCaracter"/>
        </w:rPr>
        <w:t xml:space="preserve">, Sentencia </w:t>
      </w:r>
      <w:hyperlink w:anchor="SENTENCIA_2016_69" w:history="1">
        <w:r w:rsidRPr="00924F59">
          <w:rPr>
            <w:rStyle w:val="TextoNormalCaracter"/>
          </w:rPr>
          <w:t>69/2016</w:t>
        </w:r>
      </w:hyperlink>
      <w:r w:rsidRPr="00924F59">
        <w:rPr>
          <w:rStyle w:val="TextoNormalCaracter"/>
        </w:rPr>
        <w:t>.</w:t>
      </w:r>
    </w:p>
    <w:p w:rsidR="00924F59" w:rsidRPr="00924F59" w:rsidRDefault="00924F59" w:rsidP="00924F59">
      <w:pPr>
        <w:pStyle w:val="TextoNormalSangraFrancesa"/>
        <w:rPr>
          <w:rStyle w:val="TextoNormalCaracter"/>
        </w:rPr>
      </w:pPr>
      <w:bookmarkStart w:id="1921" w:name="DESCRIPTORALFABETICO641"/>
      <w:r w:rsidRPr="00924F59">
        <w:rPr>
          <w:rStyle w:val="TextoNormalNegritaCaracter"/>
        </w:rPr>
        <w:t>Responsabilidad internacional del Estado</w:t>
      </w:r>
      <w:bookmarkEnd w:id="1921"/>
      <w:r w:rsidRPr="00924F59">
        <w:rPr>
          <w:rStyle w:val="TextoNormalCaracter"/>
        </w:rPr>
        <w:t xml:space="preserve">, Sentencia </w:t>
      </w:r>
      <w:hyperlink w:anchor="SENTENCIA_2016_85" w:history="1">
        <w:r w:rsidRPr="00924F59">
          <w:rPr>
            <w:rStyle w:val="TextoNormalCaracter"/>
          </w:rPr>
          <w:t>85/2016</w:t>
        </w:r>
      </w:hyperlink>
      <w:r w:rsidRPr="00924F59">
        <w:rPr>
          <w:rStyle w:val="TextoNormalCaracter"/>
        </w:rPr>
        <w:t>, f. 3.</w:t>
      </w:r>
    </w:p>
    <w:p w:rsidR="00924F59" w:rsidRPr="00924F59" w:rsidRDefault="00924F59" w:rsidP="00924F59">
      <w:pPr>
        <w:pStyle w:val="TextoNormalSangraFrancesa"/>
        <w:rPr>
          <w:rStyle w:val="TextoNormalCaracter"/>
        </w:rPr>
      </w:pPr>
      <w:bookmarkStart w:id="1922" w:name="DESCRIPTORALFABETICO743"/>
      <w:r w:rsidRPr="00924F59">
        <w:rPr>
          <w:rStyle w:val="TextoNormalNegritaCaracter"/>
        </w:rPr>
        <w:t>Responsabilidad objetiva</w:t>
      </w:r>
      <w:bookmarkEnd w:id="1922"/>
      <w:r w:rsidRPr="00924F59">
        <w:rPr>
          <w:rStyle w:val="TextoNormalCaracter"/>
        </w:rPr>
        <w:t xml:space="preserve">, Sentencia </w:t>
      </w:r>
      <w:hyperlink w:anchor="SENTENCIA_2016_15" w:history="1">
        <w:r w:rsidRPr="00924F59">
          <w:rPr>
            <w:rStyle w:val="TextoNormalCaracter"/>
          </w:rPr>
          <w:t>15/2016</w:t>
        </w:r>
      </w:hyperlink>
      <w:r w:rsidRPr="00924F59">
        <w:rPr>
          <w:rStyle w:val="TextoNormalCaracter"/>
        </w:rPr>
        <w:t>, f. 3.</w:t>
      </w:r>
    </w:p>
    <w:p w:rsidR="00924F59" w:rsidRPr="00924F59" w:rsidRDefault="00924F59" w:rsidP="00924F59">
      <w:pPr>
        <w:pStyle w:val="TextoNormalSangraFrancesa"/>
        <w:rPr>
          <w:rStyle w:val="TextoNormalCaracter"/>
        </w:rPr>
      </w:pPr>
      <w:bookmarkStart w:id="1923" w:name="DESCRIPTORALFABETICO508"/>
      <w:r w:rsidRPr="00924F59">
        <w:rPr>
          <w:rStyle w:val="TextoNormalNegritaCaracter"/>
        </w:rPr>
        <w:t>Responsabilidad patrimonial de las Administraciones públicas</w:t>
      </w:r>
      <w:bookmarkEnd w:id="1923"/>
      <w:r w:rsidRPr="00924F59">
        <w:rPr>
          <w:rStyle w:val="TextoNormalCaracter"/>
        </w:rPr>
        <w:t xml:space="preserve">, Sentencia </w:t>
      </w:r>
      <w:hyperlink w:anchor="SENTENCIA_2016_15" w:history="1">
        <w:r w:rsidRPr="00924F59">
          <w:rPr>
            <w:rStyle w:val="TextoNormalCaracter"/>
          </w:rPr>
          <w:t>15/2016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924" w:name="DESCRIPTORALFABETICO746"/>
      <w:r w:rsidRPr="00924F59">
        <w:rPr>
          <w:rStyle w:val="TextoNormalNegritaCaracter"/>
        </w:rPr>
        <w:t>Responsabilidad penal de los menores</w:t>
      </w:r>
      <w:bookmarkEnd w:id="1924"/>
      <w:r w:rsidRPr="00924F59">
        <w:rPr>
          <w:rStyle w:val="TextoNormalCaracter"/>
        </w:rPr>
        <w:t xml:space="preserve">, Sentencia </w:t>
      </w:r>
      <w:hyperlink w:anchor="SENTENCIA_2016_23" w:history="1">
        <w:r w:rsidRPr="00924F59">
          <w:rPr>
            <w:rStyle w:val="TextoNormalCaracter"/>
          </w:rPr>
          <w:t>23/2016</w:t>
        </w:r>
      </w:hyperlink>
      <w:r w:rsidRPr="00924F59">
        <w:rPr>
          <w:rStyle w:val="TextoNormalCaracter"/>
        </w:rPr>
        <w:t>, ff. 1, 4.</w:t>
      </w:r>
    </w:p>
    <w:p w:rsidR="00924F59" w:rsidRPr="00924F59" w:rsidRDefault="00924F59" w:rsidP="00924F59">
      <w:pPr>
        <w:pStyle w:val="TextoNormalSangraFrancesa"/>
        <w:rPr>
          <w:rStyle w:val="TextoNormalCaracter"/>
        </w:rPr>
      </w:pPr>
      <w:bookmarkStart w:id="1925" w:name="DESCRIPTORALFABETICO638"/>
      <w:r w:rsidRPr="00924F59">
        <w:rPr>
          <w:rStyle w:val="TextoNormalNegritaCaracter"/>
        </w:rPr>
        <w:t>Responsabilidad por incumplimiento del Derecho de la Unión Europea</w:t>
      </w:r>
      <w:bookmarkEnd w:id="1925"/>
      <w:r w:rsidRPr="00924F59">
        <w:rPr>
          <w:rStyle w:val="TextoNormalCaracter"/>
        </w:rPr>
        <w:t xml:space="preserve">, Sentencias </w:t>
      </w:r>
      <w:hyperlink w:anchor="SENTENCIA_2016_31" w:history="1">
        <w:r w:rsidRPr="00924F59">
          <w:rPr>
            <w:rStyle w:val="TextoNormalCaracter"/>
          </w:rPr>
          <w:t>31/2016</w:t>
        </w:r>
      </w:hyperlink>
      <w:r w:rsidRPr="00924F59">
        <w:rPr>
          <w:rStyle w:val="TextoNormalCaracter"/>
        </w:rPr>
        <w:t xml:space="preserve">, ff. 3, 4; </w:t>
      </w:r>
      <w:hyperlink w:anchor="SENTENCIA_2016_70" w:history="1">
        <w:r w:rsidRPr="00924F59">
          <w:rPr>
            <w:rStyle w:val="TextoNormalCaracter"/>
          </w:rPr>
          <w:t>70/2016</w:t>
        </w:r>
      </w:hyperlink>
      <w:r w:rsidRPr="00924F59">
        <w:rPr>
          <w:rStyle w:val="TextoNormalCaracter"/>
        </w:rPr>
        <w:t>, ff. 6, 7.</w:t>
      </w:r>
    </w:p>
    <w:p w:rsidR="00924F59" w:rsidRPr="00924F59" w:rsidRDefault="00924F59" w:rsidP="00924F59">
      <w:pPr>
        <w:pStyle w:val="TextoNormalSangraFrancesa"/>
        <w:rPr>
          <w:rStyle w:val="TextoNormalCaracter"/>
        </w:rPr>
      </w:pPr>
      <w:bookmarkStart w:id="1926" w:name="DESCRIPTORALFABETICO122"/>
      <w:r w:rsidRPr="00924F59">
        <w:rPr>
          <w:rStyle w:val="TextoNormalNegritaCaracter"/>
        </w:rPr>
        <w:t>Resultados electorales</w:t>
      </w:r>
      <w:bookmarkEnd w:id="1926"/>
      <w:r w:rsidRPr="00924F59">
        <w:rPr>
          <w:rStyle w:val="TextoNormalCaracter"/>
        </w:rPr>
        <w:t xml:space="preserve">, Sentencias </w:t>
      </w:r>
      <w:hyperlink w:anchor="SENTENCIA_2016_108" w:history="1">
        <w:r w:rsidRPr="00924F59">
          <w:rPr>
            <w:rStyle w:val="TextoNormalCaracter"/>
          </w:rPr>
          <w:t>108/2016</w:t>
        </w:r>
      </w:hyperlink>
      <w:r w:rsidRPr="00924F59">
        <w:rPr>
          <w:rStyle w:val="TextoNormalCaracter"/>
        </w:rPr>
        <w:t xml:space="preserve">, ff. 1, 3, 4; </w:t>
      </w:r>
      <w:hyperlink w:anchor="SENTENCIA_2016_109" w:history="1">
        <w:r w:rsidRPr="00924F59">
          <w:rPr>
            <w:rStyle w:val="TextoNormalCaracter"/>
          </w:rPr>
          <w:t>109/2016</w:t>
        </w:r>
      </w:hyperlink>
      <w:r w:rsidRPr="00924F59">
        <w:rPr>
          <w:rStyle w:val="TextoNormalCaracter"/>
        </w:rPr>
        <w:t>, ff. 1, 6.</w:t>
      </w:r>
    </w:p>
    <w:p w:rsidR="00924F59" w:rsidRPr="00924F59" w:rsidRDefault="00924F59" w:rsidP="00924F59">
      <w:pPr>
        <w:pStyle w:val="TextoNormalSangraFrancesa"/>
        <w:rPr>
          <w:rStyle w:val="TextoNormalCaracter"/>
        </w:rPr>
      </w:pPr>
      <w:bookmarkStart w:id="1927" w:name="DESCRIPTORALFABETICO496"/>
      <w:r w:rsidRPr="00924F59">
        <w:rPr>
          <w:rStyle w:val="TextoNormalNegritaCaracter"/>
        </w:rPr>
        <w:t>Retribución proporcional a la jornada realizada</w:t>
      </w:r>
      <w:bookmarkEnd w:id="1927"/>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 7, VP.</w:t>
      </w:r>
    </w:p>
    <w:p w:rsidR="00924F59" w:rsidRPr="00924F59" w:rsidRDefault="00924F59" w:rsidP="00924F59">
      <w:pPr>
        <w:pStyle w:val="TextoNormalSangraFrancesa"/>
        <w:rPr>
          <w:rStyle w:val="TextoNormalCaracter"/>
        </w:rPr>
      </w:pPr>
      <w:bookmarkStart w:id="1928" w:name="DESCRIPTORALFABETICO497"/>
      <w:r w:rsidRPr="00924F59">
        <w:rPr>
          <w:rStyle w:val="TextoNormalNegritaCaracter"/>
        </w:rPr>
        <w:t>Retribuciones reguladas por leyes de presupuestos</w:t>
      </w:r>
      <w:bookmarkEnd w:id="1928"/>
      <w:r w:rsidRPr="00924F59">
        <w:rPr>
          <w:rStyle w:val="TextoNormalCaracter"/>
        </w:rPr>
        <w:t xml:space="preserve">, Sentencia </w:t>
      </w:r>
      <w:hyperlink w:anchor="SENTENCIA_2016_88" w:history="1">
        <w:r w:rsidRPr="00924F59">
          <w:rPr>
            <w:rStyle w:val="TextoNormalCaracter"/>
          </w:rPr>
          <w:t>88/2016</w:t>
        </w:r>
      </w:hyperlink>
      <w:r w:rsidRPr="00924F59">
        <w:rPr>
          <w:rStyle w:val="TextoNormalCaracter"/>
        </w:rPr>
        <w:t>, ff. 2 a 4.</w:t>
      </w:r>
    </w:p>
    <w:p w:rsidR="00924F59" w:rsidRPr="00924F59" w:rsidRDefault="00924F59" w:rsidP="00924F59">
      <w:pPr>
        <w:pStyle w:val="TextoNormalSangraFrancesa"/>
        <w:rPr>
          <w:rStyle w:val="TextoNormalCaracter"/>
        </w:rPr>
      </w:pPr>
      <w:bookmarkStart w:id="1929" w:name="DESCRIPTORALFABETICO696"/>
      <w:r w:rsidRPr="00924F59">
        <w:rPr>
          <w:rStyle w:val="TextoNormalNegritaCaracter"/>
        </w:rPr>
        <w:t>Retroactividad auténtica</w:t>
      </w:r>
      <w:bookmarkEnd w:id="1929"/>
      <w:r w:rsidRPr="00924F59">
        <w:rPr>
          <w:rStyle w:val="TextoNormalCaracter"/>
        </w:rPr>
        <w:t xml:space="preserve">, Sentencia </w:t>
      </w:r>
      <w:hyperlink w:anchor="SENTENCIA_2016_121" w:history="1">
        <w:r w:rsidRPr="00924F59">
          <w:rPr>
            <w:rStyle w:val="TextoNormalCaracter"/>
          </w:rPr>
          <w:t>121/2016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1930" w:name="DESCRIPTORALFABETICO697"/>
      <w:r w:rsidRPr="00924F59">
        <w:rPr>
          <w:rStyle w:val="TextoNormalNegritaCaracter"/>
        </w:rPr>
        <w:t>Retroactividad de normas tributarias</w:t>
      </w:r>
      <w:bookmarkEnd w:id="1930"/>
      <w:r w:rsidRPr="00924F59">
        <w:rPr>
          <w:rStyle w:val="TextoNormalCaracter"/>
        </w:rPr>
        <w:t xml:space="preserve">, Sentencia </w:t>
      </w:r>
      <w:hyperlink w:anchor="SENTENCIA_2016_121" w:history="1">
        <w:r w:rsidRPr="00924F59">
          <w:rPr>
            <w:rStyle w:val="TextoNormalCaracter"/>
          </w:rPr>
          <w:t>121/2016</w:t>
        </w:r>
      </w:hyperlink>
      <w:r w:rsidRPr="00924F59">
        <w:rPr>
          <w:rStyle w:val="TextoNormalCaracter"/>
        </w:rPr>
        <w:t>, ff. 4 a 6.</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84" w:history="1">
        <w:r w:rsidRPr="00924F59">
          <w:rPr>
            <w:rStyle w:val="TextoNormalCaracter"/>
          </w:rPr>
          <w:t>84/2016</w:t>
        </w:r>
      </w:hyperlink>
      <w:r w:rsidRPr="00924F59">
        <w:rPr>
          <w:rStyle w:val="TextoNormalCaracter"/>
        </w:rPr>
        <w:t xml:space="preserve">, ff. 1 a 7; </w:t>
      </w:r>
      <w:hyperlink w:anchor="AUTO_2016_129" w:history="1">
        <w:r w:rsidRPr="00924F59">
          <w:rPr>
            <w:rStyle w:val="TextoNormalCaracter"/>
          </w:rPr>
          <w:t>129/2016</w:t>
        </w:r>
      </w:hyperlink>
      <w:r w:rsidRPr="00924F59">
        <w:rPr>
          <w:rStyle w:val="TextoNormalCaracter"/>
        </w:rPr>
        <w:t>, ff. 2, 4.</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S</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931" w:name="DESCRIPTORALFABETICO425"/>
      <w:r w:rsidRPr="00924F59">
        <w:rPr>
          <w:rStyle w:val="TextoNormalNegritaCaracter"/>
        </w:rPr>
        <w:t>Sanción aplicada a un supuesto no previsto</w:t>
      </w:r>
      <w:bookmarkEnd w:id="1931"/>
      <w:r w:rsidRPr="00924F59">
        <w:rPr>
          <w:rStyle w:val="TextoNormalCaracter"/>
        </w:rPr>
        <w:t xml:space="preserve">, Sentencia </w:t>
      </w:r>
      <w:hyperlink w:anchor="SENTENCIA_2016_78" w:history="1">
        <w:r w:rsidRPr="00924F59">
          <w:rPr>
            <w:rStyle w:val="TextoNormalCaracter"/>
          </w:rPr>
          <w:t>78/2016</w:t>
        </w:r>
      </w:hyperlink>
      <w:r w:rsidRPr="00924F59">
        <w:rPr>
          <w:rStyle w:val="TextoNormalCaracter"/>
        </w:rPr>
        <w:t>, f. 6.</w:t>
      </w:r>
    </w:p>
    <w:p w:rsidR="00924F59" w:rsidRPr="00924F59" w:rsidRDefault="00924F59" w:rsidP="00924F59">
      <w:pPr>
        <w:pStyle w:val="TextoNormalSangraFrancesa"/>
        <w:rPr>
          <w:rStyle w:val="TextoNormalCaracter"/>
        </w:rPr>
      </w:pPr>
      <w:bookmarkStart w:id="1932" w:name="DESCRIPTORALFABETICO747"/>
      <w:r w:rsidRPr="00924F59">
        <w:rPr>
          <w:rStyle w:val="TextoNormalNegritaCaracter"/>
        </w:rPr>
        <w:t>Sanidad</w:t>
      </w:r>
      <w:bookmarkEnd w:id="1932"/>
      <w:r w:rsidRPr="00924F59">
        <w:rPr>
          <w:rStyle w:val="TextoNormalCaracter"/>
        </w:rPr>
        <w:t xml:space="preserve">, Sentencia </w:t>
      </w:r>
      <w:hyperlink w:anchor="SENTENCIA_2016_10" w:history="1">
        <w:r w:rsidRPr="00924F59">
          <w:rPr>
            <w:rStyle w:val="TextoNormalCaracter"/>
          </w:rPr>
          <w:t>10/2016</w:t>
        </w:r>
      </w:hyperlink>
      <w:r w:rsidRPr="00924F59">
        <w:rPr>
          <w:rStyle w:val="TextoNormalCaracter"/>
        </w:rPr>
        <w:t>, f. 1.</w:t>
      </w:r>
    </w:p>
    <w:p w:rsidR="00924F59" w:rsidRPr="00924F59" w:rsidRDefault="00924F59" w:rsidP="00924F59">
      <w:pPr>
        <w:pStyle w:val="TextoNormalSangraFrancesa"/>
        <w:rPr>
          <w:rStyle w:val="TextoNormalCaracter"/>
        </w:rPr>
      </w:pPr>
      <w:bookmarkStart w:id="1933" w:name="DESCRIPTORALFABETICO844"/>
      <w:r w:rsidRPr="00924F59">
        <w:rPr>
          <w:rStyle w:val="TextoNormalNegritaCaracter"/>
        </w:rPr>
        <w:t>Satisfacción extraprocesal de la pretensión</w:t>
      </w:r>
      <w:bookmarkEnd w:id="1933"/>
      <w:r w:rsidRPr="00924F59">
        <w:rPr>
          <w:rStyle w:val="TextoNormalCaracter"/>
        </w:rPr>
        <w:t xml:space="preserve">, Sentencias </w:t>
      </w:r>
      <w:hyperlink w:anchor="SENTENCIA_2016_2" w:history="1">
        <w:r w:rsidRPr="00924F59">
          <w:rPr>
            <w:rStyle w:val="TextoNormalCaracter"/>
          </w:rPr>
          <w:t>2/2016</w:t>
        </w:r>
      </w:hyperlink>
      <w:r w:rsidRPr="00924F59">
        <w:rPr>
          <w:rStyle w:val="TextoNormalCaracter"/>
        </w:rPr>
        <w:t xml:space="preserve">, f. 3; </w:t>
      </w:r>
      <w:hyperlink w:anchor="SENTENCIA_2016_4" w:history="1">
        <w:r w:rsidRPr="00924F59">
          <w:rPr>
            <w:rStyle w:val="TextoNormalCaracter"/>
          </w:rPr>
          <w:t>4/2016</w:t>
        </w:r>
      </w:hyperlink>
      <w:r w:rsidRPr="00924F59">
        <w:rPr>
          <w:rStyle w:val="TextoNormalCaracter"/>
        </w:rPr>
        <w:t xml:space="preserve">, f. 3; </w:t>
      </w:r>
      <w:hyperlink w:anchor="SENTENCIA_2016_43" w:history="1">
        <w:r w:rsidRPr="00924F59">
          <w:rPr>
            <w:rStyle w:val="TextoNormalCaracter"/>
          </w:rPr>
          <w:t>43/2016</w:t>
        </w:r>
      </w:hyperlink>
      <w:r w:rsidRPr="00924F59">
        <w:rPr>
          <w:rStyle w:val="TextoNormalCaracter"/>
        </w:rPr>
        <w:t xml:space="preserve">, f. 3; </w:t>
      </w:r>
      <w:hyperlink w:anchor="SENTENCIA_2016_46" w:history="1">
        <w:r w:rsidRPr="00924F59">
          <w:rPr>
            <w:rStyle w:val="TextoNormalCaracter"/>
          </w:rPr>
          <w:t>46/2016</w:t>
        </w:r>
      </w:hyperlink>
      <w:r w:rsidRPr="00924F59">
        <w:rPr>
          <w:rStyle w:val="TextoNormalCaracter"/>
        </w:rPr>
        <w:t xml:space="preserve">, f. 3; </w:t>
      </w:r>
      <w:hyperlink w:anchor="SENTENCIA_2016_47" w:history="1">
        <w:r w:rsidRPr="00924F59">
          <w:rPr>
            <w:rStyle w:val="TextoNormalCaracter"/>
          </w:rPr>
          <w:t>47/2016</w:t>
        </w:r>
      </w:hyperlink>
      <w:r w:rsidRPr="00924F59">
        <w:rPr>
          <w:rStyle w:val="TextoNormalCaracter"/>
        </w:rPr>
        <w:t xml:space="preserve">, f. 4; </w:t>
      </w:r>
      <w:hyperlink w:anchor="SENTENCIA_2016_52" w:history="1">
        <w:r w:rsidRPr="00924F59">
          <w:rPr>
            <w:rStyle w:val="TextoNormalCaracter"/>
          </w:rPr>
          <w:t>52/2016</w:t>
        </w:r>
      </w:hyperlink>
      <w:r w:rsidRPr="00924F59">
        <w:rPr>
          <w:rStyle w:val="TextoNormalCaracter"/>
        </w:rPr>
        <w:t xml:space="preserve">, f. 3; </w:t>
      </w:r>
      <w:hyperlink w:anchor="SENTENCIA_2016_79" w:history="1">
        <w:r w:rsidRPr="00924F59">
          <w:rPr>
            <w:rStyle w:val="TextoNormalCaracter"/>
          </w:rPr>
          <w:t>79/2016</w:t>
        </w:r>
      </w:hyperlink>
      <w:r w:rsidRPr="00924F59">
        <w:rPr>
          <w:rStyle w:val="TextoNormalCaracter"/>
        </w:rPr>
        <w:t xml:space="preserve">, f. 2; </w:t>
      </w:r>
      <w:hyperlink w:anchor="SENTENCIA_2016_80" w:history="1">
        <w:r w:rsidRPr="00924F59">
          <w:rPr>
            <w:rStyle w:val="TextoNormalCaracter"/>
          </w:rPr>
          <w:t>80/2016</w:t>
        </w:r>
      </w:hyperlink>
      <w:r w:rsidRPr="00924F59">
        <w:rPr>
          <w:rStyle w:val="TextoNormalCaracter"/>
        </w:rPr>
        <w:t xml:space="preserve">, f. 3; </w:t>
      </w:r>
      <w:hyperlink w:anchor="SENTENCIA_2016_90" w:history="1">
        <w:r w:rsidRPr="00924F59">
          <w:rPr>
            <w:rStyle w:val="TextoNormalCaracter"/>
          </w:rPr>
          <w:t>90/2016</w:t>
        </w:r>
      </w:hyperlink>
      <w:r w:rsidRPr="00924F59">
        <w:rPr>
          <w:rStyle w:val="TextoNormalCaracter"/>
        </w:rPr>
        <w:t xml:space="preserve">, ff. 3, 4; </w:t>
      </w:r>
      <w:hyperlink w:anchor="SENTENCIA_2016_91" w:history="1">
        <w:r w:rsidRPr="00924F59">
          <w:rPr>
            <w:rStyle w:val="TextoNormalCaracter"/>
          </w:rPr>
          <w:t>91/2016</w:t>
        </w:r>
      </w:hyperlink>
      <w:r w:rsidRPr="00924F59">
        <w:rPr>
          <w:rStyle w:val="TextoNormalCaracter"/>
        </w:rPr>
        <w:t xml:space="preserve">, f. 2; </w:t>
      </w:r>
      <w:hyperlink w:anchor="SENTENCIA_2016_97" w:history="1">
        <w:r w:rsidRPr="00924F59">
          <w:rPr>
            <w:rStyle w:val="TextoNormalCaracter"/>
          </w:rPr>
          <w:t>97/2016</w:t>
        </w:r>
      </w:hyperlink>
      <w:r w:rsidRPr="00924F59">
        <w:rPr>
          <w:rStyle w:val="TextoNormalCaracter"/>
        </w:rPr>
        <w:t xml:space="preserve">, f. 2; </w:t>
      </w:r>
      <w:hyperlink w:anchor="SENTENCIA_2016_104" w:history="1">
        <w:r w:rsidRPr="00924F59">
          <w:rPr>
            <w:rStyle w:val="TextoNormalCaracter"/>
          </w:rPr>
          <w:t>104/2016</w:t>
        </w:r>
      </w:hyperlink>
      <w:r w:rsidRPr="00924F59">
        <w:rPr>
          <w:rStyle w:val="TextoNormalCaracter"/>
        </w:rPr>
        <w:t xml:space="preserve">, f. 2; </w:t>
      </w:r>
      <w:hyperlink w:anchor="SENTENCIA_2016_106" w:history="1">
        <w:r w:rsidRPr="00924F59">
          <w:rPr>
            <w:rStyle w:val="TextoNormalCaracter"/>
          </w:rPr>
          <w:t>106/2016</w:t>
        </w:r>
      </w:hyperlink>
      <w:r w:rsidRPr="00924F59">
        <w:rPr>
          <w:rStyle w:val="TextoNormalCaracter"/>
        </w:rPr>
        <w:t>, f. 2.</w:t>
      </w:r>
    </w:p>
    <w:p w:rsidR="00924F59" w:rsidRPr="00924F59" w:rsidRDefault="00924F59" w:rsidP="00924F59">
      <w:pPr>
        <w:pStyle w:val="TextoNormalSangraFrancesa"/>
        <w:rPr>
          <w:rStyle w:val="TextoNormalCaracter"/>
        </w:rPr>
      </w:pPr>
      <w:bookmarkStart w:id="1934" w:name="DESCRIPTORALFABETICO264"/>
      <w:r w:rsidRPr="00924F59">
        <w:rPr>
          <w:rStyle w:val="TextoNormalNegritaCaracter"/>
        </w:rPr>
        <w:t>Satisfacción extraprocesal de la pretensión constitucional</w:t>
      </w:r>
      <w:bookmarkEnd w:id="1934"/>
      <w:r w:rsidRPr="00924F59">
        <w:rPr>
          <w:rStyle w:val="TextoNormalCaracter"/>
        </w:rPr>
        <w:t xml:space="preserve">, Auto </w:t>
      </w:r>
      <w:hyperlink w:anchor="AUTO_2016_71" w:history="1">
        <w:r w:rsidRPr="00924F59">
          <w:rPr>
            <w:rStyle w:val="TextoNormalCaracter"/>
          </w:rPr>
          <w:t>71/2016</w:t>
        </w:r>
      </w:hyperlink>
      <w:r w:rsidRPr="00924F59">
        <w:rPr>
          <w:rStyle w:val="TextoNormalCaracter"/>
        </w:rPr>
        <w:t>, f. 5.</w:t>
      </w:r>
    </w:p>
    <w:p w:rsidR="00924F59" w:rsidRPr="00924F59" w:rsidRDefault="00924F59" w:rsidP="00924F59">
      <w:pPr>
        <w:pStyle w:val="TextoNormalSangraFrancesa"/>
        <w:rPr>
          <w:rStyle w:val="TextoNormalCaracter"/>
        </w:rPr>
      </w:pPr>
      <w:bookmarkStart w:id="1935" w:name="DESCRIPTORALFABETICO748"/>
      <w:r w:rsidRPr="00924F59">
        <w:rPr>
          <w:rStyle w:val="TextoNormalNegritaCaracter"/>
        </w:rPr>
        <w:t>Seguridad Social</w:t>
      </w:r>
      <w:bookmarkEnd w:id="1935"/>
      <w:r w:rsidRPr="00924F59">
        <w:rPr>
          <w:rStyle w:val="TextoNormalCaracter"/>
        </w:rPr>
        <w:t xml:space="preserve">, Sentencia </w:t>
      </w:r>
      <w:hyperlink w:anchor="SENTENCIA_2016_81" w:history="1">
        <w:r w:rsidRPr="00924F59">
          <w:rPr>
            <w:rStyle w:val="TextoNormalCaracter"/>
          </w:rPr>
          <w:t>81/2016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936" w:name="DESCRIPTORALFABETICO690"/>
      <w:r w:rsidRPr="00924F59">
        <w:rPr>
          <w:rStyle w:val="TextoNormalNegritaCaracter"/>
        </w:rPr>
        <w:t>Selección de la norma aplicable</w:t>
      </w:r>
      <w:bookmarkEnd w:id="1936"/>
      <w:r w:rsidRPr="00924F59">
        <w:rPr>
          <w:rStyle w:val="TextoNormalCaracter"/>
        </w:rPr>
        <w:t xml:space="preserve">, Sentencias </w:t>
      </w:r>
      <w:hyperlink w:anchor="SENTENCIA_2016_102" w:history="1">
        <w:r w:rsidRPr="00924F59">
          <w:rPr>
            <w:rStyle w:val="TextoNormalCaracter"/>
          </w:rPr>
          <w:t>102/2016</w:t>
        </w:r>
      </w:hyperlink>
      <w:r w:rsidRPr="00924F59">
        <w:rPr>
          <w:rStyle w:val="TextoNormalCaracter"/>
        </w:rPr>
        <w:t xml:space="preserve">, f. 6, VP; </w:t>
      </w:r>
      <w:hyperlink w:anchor="SENTENCIA_2016_116" w:history="1">
        <w:r w:rsidRPr="00924F59">
          <w:rPr>
            <w:rStyle w:val="TextoNormalCaracter"/>
          </w:rPr>
          <w:t>116/2016</w:t>
        </w:r>
      </w:hyperlink>
      <w:r w:rsidRPr="00924F59">
        <w:rPr>
          <w:rStyle w:val="TextoNormalCaracter"/>
        </w:rPr>
        <w:t>, f. 2 c), VP.</w:t>
      </w:r>
    </w:p>
    <w:p w:rsidR="00924F59" w:rsidRPr="00924F59" w:rsidRDefault="00924F59" w:rsidP="00924F59">
      <w:pPr>
        <w:pStyle w:val="TextoNormalSangraFrancesa"/>
        <w:rPr>
          <w:rStyle w:val="TextoNormalCaracter"/>
        </w:rPr>
      </w:pPr>
      <w:bookmarkStart w:id="1937" w:name="DESCRIPTORALFABETICO186"/>
      <w:r w:rsidRPr="00924F59">
        <w:rPr>
          <w:rStyle w:val="TextoNormalNegritaCaracter"/>
        </w:rPr>
        <w:t>Sentencia fundada en Derecho</w:t>
      </w:r>
      <w:bookmarkEnd w:id="1937"/>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Respetado, </w:t>
      </w:r>
      <w:r w:rsidRPr="00924F59">
        <w:rPr>
          <w:rStyle w:val="TextoNormalCaracter"/>
        </w:rPr>
        <w:t xml:space="preserve">Sentencia </w:t>
      </w:r>
      <w:hyperlink w:anchor="SENTENCIA_2016_3" w:history="1">
        <w:r w:rsidRPr="00924F59">
          <w:rPr>
            <w:rStyle w:val="TextoNormalCaracter"/>
          </w:rPr>
          <w:t>3/2016</w:t>
        </w:r>
      </w:hyperlink>
      <w:r w:rsidRPr="00924F59">
        <w:rPr>
          <w:rStyle w:val="TextoNormalCaracter"/>
        </w:rPr>
        <w:t>, ff. 4, 5.</w:t>
      </w:r>
    </w:p>
    <w:p w:rsidR="00924F59" w:rsidRPr="00924F59" w:rsidRDefault="00924F59" w:rsidP="00924F59">
      <w:pPr>
        <w:pStyle w:val="TextoNormalSangraFrancesa"/>
        <w:rPr>
          <w:rStyle w:val="TextoNormalCaracter"/>
        </w:rPr>
      </w:pPr>
      <w:r w:rsidRPr="00924F59">
        <w:rPr>
          <w:rStyle w:val="TextoNormalCursivaCaracter"/>
        </w:rPr>
        <w:t xml:space="preserve">    Vulnerado, </w:t>
      </w:r>
      <w:r w:rsidRPr="00924F59">
        <w:rPr>
          <w:rStyle w:val="TextoNormalCaracter"/>
        </w:rPr>
        <w:t xml:space="preserve">Sentencia </w:t>
      </w:r>
      <w:hyperlink w:anchor="SENTENCIA_2016_51" w:history="1">
        <w:r w:rsidRPr="00924F59">
          <w:rPr>
            <w:rStyle w:val="TextoNormalCaracter"/>
          </w:rPr>
          <w:t>51/2016</w:t>
        </w:r>
      </w:hyperlink>
      <w:r w:rsidRPr="00924F59">
        <w:rPr>
          <w:rStyle w:val="TextoNormalCaracter"/>
        </w:rPr>
        <w:t>, ff. 1, 3.</w:t>
      </w:r>
    </w:p>
    <w:p w:rsidR="00924F59" w:rsidRPr="00924F59" w:rsidRDefault="00924F59" w:rsidP="00924F59">
      <w:pPr>
        <w:pStyle w:val="TextoNormalSangraFrancesa"/>
        <w:rPr>
          <w:rStyle w:val="TextoNormalCaracter"/>
        </w:rPr>
      </w:pPr>
      <w:bookmarkStart w:id="1938" w:name="DESCRIPTORALFABETICO808"/>
      <w:r w:rsidRPr="00924F59">
        <w:rPr>
          <w:rStyle w:val="TextoNormalNegritaCaracter"/>
        </w:rPr>
        <w:t>Señalamiento de vista</w:t>
      </w:r>
      <w:bookmarkEnd w:id="1938"/>
      <w:r w:rsidRPr="00924F59">
        <w:rPr>
          <w:rStyle w:val="TextoNormalCaracter"/>
        </w:rPr>
        <w:t xml:space="preserve">, Sentencias </w:t>
      </w:r>
      <w:hyperlink w:anchor="SENTENCIA_2016_58" w:history="1">
        <w:r w:rsidRPr="00924F59">
          <w:rPr>
            <w:rStyle w:val="TextoNormalCaracter"/>
          </w:rPr>
          <w:t>58/2016</w:t>
        </w:r>
      </w:hyperlink>
      <w:r w:rsidRPr="00924F59">
        <w:rPr>
          <w:rStyle w:val="TextoNormalCaracter"/>
        </w:rPr>
        <w:t xml:space="preserve">, ff. 2, 3, 5; </w:t>
      </w:r>
      <w:hyperlink w:anchor="SENTENCIA_2016_63" w:history="1">
        <w:r w:rsidRPr="00924F59">
          <w:rPr>
            <w:rStyle w:val="TextoNormalCaracter"/>
          </w:rPr>
          <w:t>63/2016</w:t>
        </w:r>
      </w:hyperlink>
      <w:r w:rsidRPr="00924F59">
        <w:rPr>
          <w:rStyle w:val="TextoNormalCaracter"/>
        </w:rPr>
        <w:t xml:space="preserve">, ff. 4 a 6; </w:t>
      </w:r>
      <w:hyperlink w:anchor="SENTENCIA_2016_75" w:history="1">
        <w:r w:rsidRPr="00924F59">
          <w:rPr>
            <w:rStyle w:val="TextoNormalCaracter"/>
          </w:rPr>
          <w:t>75/2016</w:t>
        </w:r>
      </w:hyperlink>
      <w:r w:rsidRPr="00924F59">
        <w:rPr>
          <w:rStyle w:val="TextoNormalCaracter"/>
        </w:rPr>
        <w:t xml:space="preserve">, ff. 1, 4 a 6; </w:t>
      </w:r>
      <w:hyperlink w:anchor="SENTENCIA_2016_76" w:history="1">
        <w:r w:rsidRPr="00924F59">
          <w:rPr>
            <w:rStyle w:val="TextoNormalCaracter"/>
          </w:rPr>
          <w:t>76/2016</w:t>
        </w:r>
      </w:hyperlink>
      <w:r w:rsidRPr="00924F59">
        <w:rPr>
          <w:rStyle w:val="TextoNormalCaracter"/>
        </w:rPr>
        <w:t xml:space="preserve">, ff. 1, 4; </w:t>
      </w:r>
      <w:hyperlink w:anchor="SENTENCIA_2016_77" w:history="1">
        <w:r w:rsidRPr="00924F59">
          <w:rPr>
            <w:rStyle w:val="TextoNormalCaracter"/>
          </w:rPr>
          <w:t>77/2016</w:t>
        </w:r>
      </w:hyperlink>
      <w:r w:rsidRPr="00924F59">
        <w:rPr>
          <w:rStyle w:val="TextoNormalCaracter"/>
        </w:rPr>
        <w:t xml:space="preserve">, ff. 4 a 6; </w:t>
      </w:r>
      <w:hyperlink w:anchor="SENTENCIA_2016_89" w:history="1">
        <w:r w:rsidRPr="00924F59">
          <w:rPr>
            <w:rStyle w:val="TextoNormalCaracter"/>
          </w:rPr>
          <w:t>89/2016</w:t>
        </w:r>
      </w:hyperlink>
      <w:r w:rsidRPr="00924F59">
        <w:rPr>
          <w:rStyle w:val="TextoNormalCaracter"/>
        </w:rPr>
        <w:t xml:space="preserve">, ff. 1, 4 a 6; </w:t>
      </w:r>
      <w:hyperlink w:anchor="SENTENCIA_2016_103" w:history="1">
        <w:r w:rsidRPr="00924F59">
          <w:rPr>
            <w:rStyle w:val="TextoNormalCaracter"/>
          </w:rPr>
          <w:t>103/2016</w:t>
        </w:r>
      </w:hyperlink>
      <w:r w:rsidRPr="00924F59">
        <w:rPr>
          <w:rStyle w:val="TextoNormalCaracter"/>
        </w:rPr>
        <w:t>, ff. 1, 4 a 7.</w:t>
      </w:r>
    </w:p>
    <w:p w:rsidR="00924F59" w:rsidRPr="00924F59" w:rsidRDefault="00924F59" w:rsidP="00924F59">
      <w:pPr>
        <w:pStyle w:val="TextoNormalSangraFrancesa"/>
        <w:rPr>
          <w:rStyle w:val="TextoNormalCaracter"/>
        </w:rPr>
      </w:pPr>
      <w:bookmarkStart w:id="1939" w:name="DESCRIPTORALFABETICO793"/>
      <w:r w:rsidRPr="00924F59">
        <w:rPr>
          <w:rStyle w:val="TextoNormalNegritaCaracter"/>
        </w:rPr>
        <w:t>Servicios de transporte ferroviario</w:t>
      </w:r>
      <w:bookmarkEnd w:id="1939"/>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3, 10.</w:t>
      </w:r>
    </w:p>
    <w:p w:rsidR="00924F59" w:rsidRPr="00924F59" w:rsidRDefault="00924F59" w:rsidP="00924F59">
      <w:pPr>
        <w:pStyle w:val="TextoNormalSangraFrancesa"/>
        <w:rPr>
          <w:rStyle w:val="TextoNormalCaracter"/>
        </w:rPr>
      </w:pPr>
      <w:bookmarkStart w:id="1940" w:name="DESCRIPTORALFABETICO514"/>
      <w:r w:rsidRPr="00924F59">
        <w:rPr>
          <w:rStyle w:val="TextoNormalNegritaCaracter"/>
        </w:rPr>
        <w:t>Servicios públicos de salud</w:t>
      </w:r>
      <w:bookmarkEnd w:id="1940"/>
      <w:r w:rsidRPr="00924F59">
        <w:rPr>
          <w:rStyle w:val="TextoNormalCaracter"/>
        </w:rPr>
        <w:t xml:space="preserve">, Sentencias </w:t>
      </w:r>
      <w:hyperlink w:anchor="SENTENCIA_2016_44" w:history="1">
        <w:r w:rsidRPr="00924F59">
          <w:rPr>
            <w:rStyle w:val="TextoNormalCaracter"/>
          </w:rPr>
          <w:t>44/2016</w:t>
        </w:r>
      </w:hyperlink>
      <w:r w:rsidRPr="00924F59">
        <w:rPr>
          <w:rStyle w:val="TextoNormalCaracter"/>
        </w:rPr>
        <w:t xml:space="preserve">, ff. 4, 5; </w:t>
      </w:r>
      <w:hyperlink w:anchor="SENTENCIA_2016_45" w:history="1">
        <w:r w:rsidRPr="00924F59">
          <w:rPr>
            <w:rStyle w:val="TextoNormalCaracter"/>
          </w:rPr>
          <w:t>45/2016</w:t>
        </w:r>
      </w:hyperlink>
      <w:r w:rsidRPr="00924F59">
        <w:rPr>
          <w:rStyle w:val="TextoNormalCaracter"/>
        </w:rPr>
        <w:t>, f. 1.</w:t>
      </w:r>
    </w:p>
    <w:p w:rsidR="00924F59" w:rsidRPr="00924F59" w:rsidRDefault="00924F59" w:rsidP="00924F59">
      <w:pPr>
        <w:pStyle w:val="TextoNormalSangraFrancesa"/>
        <w:rPr>
          <w:rStyle w:val="TextoNormalCaracter"/>
        </w:rPr>
      </w:pPr>
      <w:bookmarkStart w:id="1941" w:name="DESCRIPTORALFABETICO515"/>
      <w:r w:rsidRPr="00924F59">
        <w:rPr>
          <w:rStyle w:val="TextoNormalNegritaCaracter"/>
        </w:rPr>
        <w:t>Servicios públicos esenciales</w:t>
      </w:r>
      <w:bookmarkEnd w:id="1941"/>
      <w:r w:rsidRPr="00924F59">
        <w:rPr>
          <w:rStyle w:val="TextoNormalCaracter"/>
        </w:rPr>
        <w:t xml:space="preserve">, Sentencia </w:t>
      </w:r>
      <w:hyperlink w:anchor="SENTENCIA_2016_96" w:history="1">
        <w:r w:rsidRPr="00924F59">
          <w:rPr>
            <w:rStyle w:val="TextoNormalCaracter"/>
          </w:rPr>
          <w:t>96/2016</w:t>
        </w:r>
      </w:hyperlink>
      <w:r w:rsidRPr="00924F59">
        <w:rPr>
          <w:rStyle w:val="TextoNormalCaracter"/>
        </w:rPr>
        <w:t>, f. 4.</w:t>
      </w:r>
    </w:p>
    <w:p w:rsidR="00924F59" w:rsidRPr="00924F59" w:rsidRDefault="00924F59" w:rsidP="00924F59">
      <w:pPr>
        <w:pStyle w:val="TextoNormalSangraFrancesa"/>
        <w:rPr>
          <w:rStyle w:val="TextoNormalCaracter"/>
        </w:rPr>
      </w:pPr>
      <w:bookmarkStart w:id="1942" w:name="DESCRIPTORALFABETICO516"/>
      <w:r w:rsidRPr="00924F59">
        <w:rPr>
          <w:rStyle w:val="TextoNormalNegritaCaracter"/>
        </w:rPr>
        <w:t>Servicios públicos municipales</w:t>
      </w:r>
      <w:bookmarkEnd w:id="1942"/>
      <w:r w:rsidRPr="00924F59">
        <w:rPr>
          <w:rStyle w:val="TextoNormalCaracter"/>
        </w:rPr>
        <w:t xml:space="preserve">, Sentencia </w:t>
      </w:r>
      <w:hyperlink w:anchor="SENTENCIA_2016_111" w:history="1">
        <w:r w:rsidRPr="00924F59">
          <w:rPr>
            <w:rStyle w:val="TextoNormalCaracter"/>
          </w:rPr>
          <w:t>111/2016</w:t>
        </w:r>
      </w:hyperlink>
      <w:r w:rsidRPr="00924F59">
        <w:rPr>
          <w:rStyle w:val="TextoNormalCaracter"/>
        </w:rPr>
        <w:t>, ff. 10 a 12.</w:t>
      </w:r>
    </w:p>
    <w:p w:rsidR="00924F59" w:rsidRPr="00924F59" w:rsidRDefault="00924F59" w:rsidP="00924F59">
      <w:pPr>
        <w:pStyle w:val="TextoNormalSangraFrancesa"/>
        <w:rPr>
          <w:rStyle w:val="TextoNormalCaracter"/>
        </w:rPr>
      </w:pPr>
      <w:bookmarkStart w:id="1943" w:name="DESCRIPTORALFABETICO537"/>
      <w:r w:rsidRPr="00924F59">
        <w:rPr>
          <w:rStyle w:val="TextoNormalNegritaCaracter"/>
        </w:rPr>
        <w:t>Servidumbre de protección de costas</w:t>
      </w:r>
      <w:bookmarkEnd w:id="1943"/>
      <w:r w:rsidRPr="00924F59">
        <w:rPr>
          <w:rStyle w:val="TextoNormalCaracter"/>
        </w:rPr>
        <w:t xml:space="preserve">, Sentencia </w:t>
      </w:r>
      <w:hyperlink w:anchor="SENTENCIA_2016_17" w:history="1">
        <w:r w:rsidRPr="00924F59">
          <w:rPr>
            <w:rStyle w:val="TextoNormalCaracter"/>
          </w:rPr>
          <w:t>17/2016</w:t>
        </w:r>
      </w:hyperlink>
      <w:r w:rsidRPr="00924F59">
        <w:rPr>
          <w:rStyle w:val="TextoNormalCaracter"/>
        </w:rPr>
        <w:t>, f. 2.</w:t>
      </w:r>
    </w:p>
    <w:p w:rsidR="00924F59" w:rsidRPr="00924F59" w:rsidRDefault="00924F59" w:rsidP="00924F59">
      <w:pPr>
        <w:pStyle w:val="TextoNormalSangraFrancesa"/>
        <w:rPr>
          <w:rStyle w:val="TextoNormalCaracter"/>
        </w:rPr>
      </w:pPr>
      <w:bookmarkStart w:id="1944" w:name="DESCRIPTORALFABETICO731"/>
      <w:r w:rsidRPr="00924F59">
        <w:rPr>
          <w:rStyle w:val="TextoNormalNegritaCaracter"/>
        </w:rPr>
        <w:t>Silencio administrativo positivo</w:t>
      </w:r>
      <w:bookmarkEnd w:id="1944"/>
      <w:r w:rsidRPr="00924F59">
        <w:rPr>
          <w:rStyle w:val="TextoNormalCaracter"/>
        </w:rPr>
        <w:t xml:space="preserve">, Sentencia </w:t>
      </w:r>
      <w:hyperlink w:anchor="SENTENCIA_2016_20" w:history="1">
        <w:r w:rsidRPr="00924F59">
          <w:rPr>
            <w:rStyle w:val="TextoNormalCaracter"/>
          </w:rPr>
          <w:t>20/2016</w:t>
        </w:r>
      </w:hyperlink>
      <w:r w:rsidRPr="00924F59">
        <w:rPr>
          <w:rStyle w:val="TextoNormalCaracter"/>
        </w:rPr>
        <w:t>, f. 7.</w:t>
      </w:r>
    </w:p>
    <w:p w:rsidR="00924F59" w:rsidRPr="00924F59" w:rsidRDefault="00924F59" w:rsidP="00924F59">
      <w:pPr>
        <w:pStyle w:val="TextoNormalSangraFrancesa"/>
        <w:rPr>
          <w:rStyle w:val="TextoNormalCaracter"/>
        </w:rPr>
      </w:pPr>
      <w:bookmarkStart w:id="1945" w:name="DESCRIPTORALFABETICO103"/>
      <w:r w:rsidRPr="00924F59">
        <w:rPr>
          <w:rStyle w:val="TextoNormalNegritaCaracter"/>
        </w:rPr>
        <w:t>Sistema financiero</w:t>
      </w:r>
      <w:bookmarkEnd w:id="1945"/>
      <w:r w:rsidRPr="00924F59">
        <w:rPr>
          <w:rStyle w:val="TextoNormalCaracter"/>
        </w:rPr>
        <w:t xml:space="preserve">, Sentencia </w:t>
      </w:r>
      <w:hyperlink w:anchor="SENTENCIA_2016_101" w:history="1">
        <w:r w:rsidRPr="00924F59">
          <w:rPr>
            <w:rStyle w:val="TextoNormalCaracter"/>
          </w:rPr>
          <w:t>101/2016</w:t>
        </w:r>
      </w:hyperlink>
      <w:r w:rsidRPr="00924F59">
        <w:rPr>
          <w:rStyle w:val="TextoNormalCaracter"/>
        </w:rPr>
        <w:t>, ff. 2 a 4, 8, VP I, VP II, VP III.</w:t>
      </w:r>
    </w:p>
    <w:p w:rsidR="00924F59" w:rsidRPr="00924F59" w:rsidRDefault="00924F59" w:rsidP="00924F59">
      <w:pPr>
        <w:pStyle w:val="TextoNormalSangraFrancesa"/>
        <w:rPr>
          <w:rStyle w:val="TextoNormalCaracter"/>
        </w:rPr>
      </w:pPr>
      <w:bookmarkStart w:id="1946" w:name="DESCRIPTORALFABETICO661"/>
      <w:r w:rsidRPr="00924F59">
        <w:rPr>
          <w:rStyle w:val="TextoNormalNegritaCaracter"/>
        </w:rPr>
        <w:t>Situación de extraordinaria y urgente necesidad</w:t>
      </w:r>
      <w:bookmarkEnd w:id="1946"/>
      <w:r w:rsidRPr="00924F59">
        <w:rPr>
          <w:rStyle w:val="TextoNormalCaracter"/>
        </w:rPr>
        <w:t xml:space="preserve">, Sentencias </w:t>
      </w:r>
      <w:hyperlink w:anchor="SENTENCIA_2016_19" w:history="1">
        <w:r w:rsidRPr="00924F59">
          <w:rPr>
            <w:rStyle w:val="TextoNormalCaracter"/>
          </w:rPr>
          <w:t>19/2016</w:t>
        </w:r>
      </w:hyperlink>
      <w:r w:rsidRPr="00924F59">
        <w:rPr>
          <w:rStyle w:val="TextoNormalCaracter"/>
        </w:rPr>
        <w:t xml:space="preserve">, f. 3; </w:t>
      </w:r>
      <w:hyperlink w:anchor="SENTENCIA_2016_29" w:history="1">
        <w:r w:rsidRPr="00924F59">
          <w:rPr>
            <w:rStyle w:val="TextoNormalCaracter"/>
          </w:rPr>
          <w:t>29/2016</w:t>
        </w:r>
      </w:hyperlink>
      <w:r w:rsidRPr="00924F59">
        <w:rPr>
          <w:rStyle w:val="TextoNormalCaracter"/>
        </w:rPr>
        <w:t xml:space="preserve">, f. 3; </w:t>
      </w:r>
      <w:hyperlink w:anchor="SENTENCIA_2016_30" w:history="1">
        <w:r w:rsidRPr="00924F59">
          <w:rPr>
            <w:rStyle w:val="TextoNormalCaracter"/>
          </w:rPr>
          <w:t>30/2016</w:t>
        </w:r>
      </w:hyperlink>
      <w:r w:rsidRPr="00924F59">
        <w:rPr>
          <w:rStyle w:val="TextoNormalCaracter"/>
        </w:rPr>
        <w:t xml:space="preserve">, f. 3; </w:t>
      </w:r>
      <w:hyperlink w:anchor="SENTENCIA_2016_38" w:history="1">
        <w:r w:rsidRPr="00924F59">
          <w:rPr>
            <w:rStyle w:val="TextoNormalCaracter"/>
          </w:rPr>
          <w:t>38/2016</w:t>
        </w:r>
      </w:hyperlink>
      <w:r w:rsidRPr="00924F59">
        <w:rPr>
          <w:rStyle w:val="TextoNormalCaracter"/>
        </w:rPr>
        <w:t xml:space="preserve">, ff. 3, 4, 7; </w:t>
      </w:r>
      <w:hyperlink w:anchor="SENTENCIA_2016_42" w:history="1">
        <w:r w:rsidRPr="00924F59">
          <w:rPr>
            <w:rStyle w:val="TextoNormalCaracter"/>
          </w:rPr>
          <w:t>42/2016</w:t>
        </w:r>
      </w:hyperlink>
      <w:r w:rsidRPr="00924F59">
        <w:rPr>
          <w:rStyle w:val="TextoNormalCaracter"/>
        </w:rPr>
        <w:t xml:space="preserve">, f. 3; </w:t>
      </w:r>
      <w:hyperlink w:anchor="SENTENCIA_2016_61" w:history="1">
        <w:r w:rsidRPr="00924F59">
          <w:rPr>
            <w:rStyle w:val="TextoNormalCaracter"/>
          </w:rPr>
          <w:t>61/2016</w:t>
        </w:r>
      </w:hyperlink>
      <w:r w:rsidRPr="00924F59">
        <w:rPr>
          <w:rStyle w:val="TextoNormalCaracter"/>
        </w:rPr>
        <w:t>, f. 3.</w:t>
      </w:r>
    </w:p>
    <w:p w:rsidR="00924F59" w:rsidRPr="00924F59" w:rsidRDefault="00924F59" w:rsidP="00924F59">
      <w:pPr>
        <w:pStyle w:val="TextoNormalSangraFrancesa"/>
        <w:rPr>
          <w:rStyle w:val="TextoNormalCaracter"/>
        </w:rPr>
      </w:pPr>
      <w:bookmarkStart w:id="1947" w:name="DESCRIPTORALFABETICO198"/>
      <w:r w:rsidRPr="00924F59">
        <w:rPr>
          <w:rStyle w:val="TextoNormalNegritaCaracter"/>
        </w:rPr>
        <w:t>Sobrecarga de trabajo del órgano judicial</w:t>
      </w:r>
      <w:bookmarkEnd w:id="1947"/>
      <w:r w:rsidRPr="00924F59">
        <w:rPr>
          <w:rStyle w:val="TextoNormalCaracter"/>
        </w:rPr>
        <w:t xml:space="preserve">, Sentencias </w:t>
      </w:r>
      <w:hyperlink w:anchor="SENTENCIA_2016_63" w:history="1">
        <w:r w:rsidRPr="00924F59">
          <w:rPr>
            <w:rStyle w:val="TextoNormalCaracter"/>
          </w:rPr>
          <w:t>63/2016</w:t>
        </w:r>
      </w:hyperlink>
      <w:r w:rsidRPr="00924F59">
        <w:rPr>
          <w:rStyle w:val="TextoNormalCaracter"/>
        </w:rPr>
        <w:t xml:space="preserve">, f. 5; </w:t>
      </w:r>
      <w:hyperlink w:anchor="SENTENCIA_2016_75" w:history="1">
        <w:r w:rsidRPr="00924F59">
          <w:rPr>
            <w:rStyle w:val="TextoNormalCaracter"/>
          </w:rPr>
          <w:t>75/2016</w:t>
        </w:r>
      </w:hyperlink>
      <w:r w:rsidRPr="00924F59">
        <w:rPr>
          <w:rStyle w:val="TextoNormalCaracter"/>
        </w:rPr>
        <w:t xml:space="preserve">, f. 6; </w:t>
      </w:r>
      <w:hyperlink w:anchor="SENTENCIA_2016_76" w:history="1">
        <w:r w:rsidRPr="00924F59">
          <w:rPr>
            <w:rStyle w:val="TextoNormalCaracter"/>
          </w:rPr>
          <w:t>76/2016</w:t>
        </w:r>
      </w:hyperlink>
      <w:r w:rsidRPr="00924F59">
        <w:rPr>
          <w:rStyle w:val="TextoNormalCaracter"/>
        </w:rPr>
        <w:t xml:space="preserve">, f. 4; </w:t>
      </w:r>
      <w:hyperlink w:anchor="SENTENCIA_2016_77" w:history="1">
        <w:r w:rsidRPr="00924F59">
          <w:rPr>
            <w:rStyle w:val="TextoNormalCaracter"/>
          </w:rPr>
          <w:t>77/2016</w:t>
        </w:r>
      </w:hyperlink>
      <w:r w:rsidRPr="00924F59">
        <w:rPr>
          <w:rStyle w:val="TextoNormalCaracter"/>
        </w:rPr>
        <w:t xml:space="preserve">, f. 6; </w:t>
      </w:r>
      <w:hyperlink w:anchor="SENTENCIA_2016_89" w:history="1">
        <w:r w:rsidRPr="00924F59">
          <w:rPr>
            <w:rStyle w:val="TextoNormalCaracter"/>
          </w:rPr>
          <w:t>89/2016</w:t>
        </w:r>
      </w:hyperlink>
      <w:r w:rsidRPr="00924F59">
        <w:rPr>
          <w:rStyle w:val="TextoNormalCaracter"/>
        </w:rPr>
        <w:t xml:space="preserve">, f. 6; </w:t>
      </w:r>
      <w:hyperlink w:anchor="SENTENCIA_2016_103" w:history="1">
        <w:r w:rsidRPr="00924F59">
          <w:rPr>
            <w:rStyle w:val="TextoNormalCaracter"/>
          </w:rPr>
          <w:t>103/2016</w:t>
        </w:r>
      </w:hyperlink>
      <w:r w:rsidRPr="00924F59">
        <w:rPr>
          <w:rStyle w:val="TextoNormalCaracter"/>
        </w:rPr>
        <w:t>, f. 6.</w:t>
      </w:r>
    </w:p>
    <w:p w:rsidR="00924F59" w:rsidRPr="00924F59" w:rsidRDefault="00924F59" w:rsidP="00924F59">
      <w:pPr>
        <w:pStyle w:val="TextoNormalSangraFrancesa"/>
        <w:rPr>
          <w:rStyle w:val="TextoNormalCaracter"/>
        </w:rPr>
      </w:pPr>
      <w:bookmarkStart w:id="1948" w:name="DESCRIPTORALFABETICO380"/>
      <w:r w:rsidRPr="00924F59">
        <w:rPr>
          <w:rStyle w:val="TextoNormalNegritaCaracter"/>
        </w:rPr>
        <w:t>Solicitud de información entre Administraciones públicas</w:t>
      </w:r>
      <w:bookmarkEnd w:id="1948"/>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 7.</w:t>
      </w:r>
    </w:p>
    <w:p w:rsidR="00924F59" w:rsidRPr="00924F59" w:rsidRDefault="00924F59" w:rsidP="00924F59">
      <w:pPr>
        <w:pStyle w:val="TextoNormalSangraFrancesa"/>
        <w:rPr>
          <w:rStyle w:val="TextoNormalCaracter"/>
        </w:rPr>
      </w:pPr>
      <w:bookmarkStart w:id="1949" w:name="DESCRIPTORALFABETICO393"/>
      <w:r w:rsidRPr="00924F59">
        <w:rPr>
          <w:rStyle w:val="TextoNormalNegritaCaracter"/>
        </w:rPr>
        <w:t>Solicitud de reconsideración de Acuerdo de la Mesa</w:t>
      </w:r>
      <w:bookmarkEnd w:id="1949"/>
      <w:r w:rsidRPr="00924F59">
        <w:rPr>
          <w:rStyle w:val="TextoNormalCaracter"/>
        </w:rPr>
        <w:t xml:space="preserve">, Sentencias </w:t>
      </w:r>
      <w:hyperlink w:anchor="SENTENCIA_2016_10" w:history="1">
        <w:r w:rsidRPr="00924F59">
          <w:rPr>
            <w:rStyle w:val="TextoNormalCaracter"/>
          </w:rPr>
          <w:t>10/2016</w:t>
        </w:r>
      </w:hyperlink>
      <w:r w:rsidRPr="00924F59">
        <w:rPr>
          <w:rStyle w:val="TextoNormalCaracter"/>
        </w:rPr>
        <w:t xml:space="preserve">, ff. 1, 3 a 5; </w:t>
      </w:r>
      <w:hyperlink w:anchor="SENTENCIA_2016_107" w:history="1">
        <w:r w:rsidRPr="00924F59">
          <w:rPr>
            <w:rStyle w:val="TextoNormalCaracter"/>
          </w:rPr>
          <w:t>107/2016</w:t>
        </w:r>
      </w:hyperlink>
      <w:r w:rsidRPr="00924F59">
        <w:rPr>
          <w:rStyle w:val="TextoNormalCaracter"/>
        </w:rPr>
        <w:t xml:space="preserve">, ff. 1, 2, 4; </w:t>
      </w:r>
      <w:hyperlink w:anchor="SENTENCIA_2016_108" w:history="1">
        <w:r w:rsidRPr="00924F59">
          <w:rPr>
            <w:rStyle w:val="TextoNormalCaracter"/>
          </w:rPr>
          <w:t>108/2016</w:t>
        </w:r>
      </w:hyperlink>
      <w:r w:rsidRPr="00924F59">
        <w:rPr>
          <w:rStyle w:val="TextoNormalCaracter"/>
        </w:rPr>
        <w:t xml:space="preserve">, ff. 1, 2, 4; </w:t>
      </w:r>
      <w:hyperlink w:anchor="SENTENCIA_2016_109" w:history="1">
        <w:r w:rsidRPr="00924F59">
          <w:rPr>
            <w:rStyle w:val="TextoNormalCaracter"/>
          </w:rPr>
          <w:t>109/2016</w:t>
        </w:r>
      </w:hyperlink>
      <w:r w:rsidRPr="00924F59">
        <w:rPr>
          <w:rStyle w:val="TextoNormalCaracter"/>
        </w:rPr>
        <w:t>, ff. 1 a 3, 5, 6.</w:t>
      </w:r>
    </w:p>
    <w:p w:rsidR="00924F59" w:rsidRPr="00924F59" w:rsidRDefault="00924F59" w:rsidP="00924F59">
      <w:pPr>
        <w:pStyle w:val="TextoNormalSangraFrancesa"/>
        <w:rPr>
          <w:rStyle w:val="TextoNormalCaracter"/>
        </w:rPr>
      </w:pPr>
      <w:bookmarkStart w:id="1950" w:name="DESCRIPTORALFABETICO224"/>
      <w:r w:rsidRPr="00924F59">
        <w:rPr>
          <w:rStyle w:val="TextoNormalNegritaCaracter"/>
        </w:rPr>
        <w:t>Subordinación de los derechos fundamentales a otros valores constitucionales</w:t>
      </w:r>
      <w:bookmarkEnd w:id="1950"/>
      <w:r w:rsidRPr="00924F59">
        <w:rPr>
          <w:rStyle w:val="TextoNormalCaracter"/>
        </w:rPr>
        <w:t xml:space="preserve">, Sentencia </w:t>
      </w:r>
      <w:hyperlink w:anchor="SENTENCIA_2016_23" w:history="1">
        <w:r w:rsidRPr="00924F59">
          <w:rPr>
            <w:rStyle w:val="TextoNormalCaracter"/>
          </w:rPr>
          <w:t>23/2016</w:t>
        </w:r>
      </w:hyperlink>
      <w:r w:rsidRPr="00924F59">
        <w:rPr>
          <w:rStyle w:val="TextoNormalCaracter"/>
        </w:rPr>
        <w:t>, ff. 3, 4, 5.</w:t>
      </w:r>
    </w:p>
    <w:p w:rsidR="00924F59" w:rsidRPr="00924F59" w:rsidRDefault="00924F59" w:rsidP="00924F59">
      <w:pPr>
        <w:pStyle w:val="TextoNormalSangraFrancesa"/>
        <w:rPr>
          <w:rStyle w:val="TextoNormalCaracter"/>
        </w:rPr>
      </w:pPr>
      <w:bookmarkStart w:id="1951" w:name="DESCRIPTORALFABETICO812"/>
      <w:r w:rsidRPr="00924F59">
        <w:rPr>
          <w:rStyle w:val="TextoNormalNegritaCaracter"/>
        </w:rPr>
        <w:t>Subsanación de defectos procesales</w:t>
      </w:r>
      <w:bookmarkEnd w:id="1951"/>
      <w:r w:rsidRPr="00924F59">
        <w:rPr>
          <w:rStyle w:val="TextoNormalCaracter"/>
        </w:rPr>
        <w:t xml:space="preserve">, Sentencia </w:t>
      </w:r>
      <w:hyperlink w:anchor="SENTENCIA_2016_49" w:history="1">
        <w:r w:rsidRPr="00924F59">
          <w:rPr>
            <w:rStyle w:val="TextoNormalCaracter"/>
          </w:rPr>
          <w:t>49/2016</w:t>
        </w:r>
      </w:hyperlink>
      <w:r w:rsidRPr="00924F59">
        <w:rPr>
          <w:rStyle w:val="TextoNormalCaracter"/>
        </w:rPr>
        <w:t>, f. 3.</w:t>
      </w:r>
    </w:p>
    <w:p w:rsidR="00924F59" w:rsidRPr="00924F59" w:rsidRDefault="00924F59" w:rsidP="00924F59">
      <w:pPr>
        <w:pStyle w:val="TextoNormalSangraFrancesa"/>
        <w:rPr>
          <w:rStyle w:val="TextoNormalCaracter"/>
        </w:rPr>
      </w:pPr>
      <w:bookmarkStart w:id="1952" w:name="DESCRIPTORALFABETICO589"/>
      <w:r w:rsidRPr="00924F59">
        <w:rPr>
          <w:rStyle w:val="TextoNormalNegritaCaracter"/>
        </w:rPr>
        <w:t>Subvenciones a entes locales</w:t>
      </w:r>
      <w:bookmarkEnd w:id="1952"/>
      <w:r w:rsidRPr="00924F59">
        <w:rPr>
          <w:rStyle w:val="TextoNormalCaracter"/>
        </w:rPr>
        <w:t xml:space="preserve">, Sentencias </w:t>
      </w:r>
      <w:hyperlink w:anchor="SENTENCIA_2016_41" w:history="1">
        <w:r w:rsidRPr="00924F59">
          <w:rPr>
            <w:rStyle w:val="TextoNormalCaracter"/>
          </w:rPr>
          <w:t>41/2016</w:t>
        </w:r>
      </w:hyperlink>
      <w:r w:rsidRPr="00924F59">
        <w:rPr>
          <w:rStyle w:val="TextoNormalCaracter"/>
        </w:rPr>
        <w:t xml:space="preserve">, f. 6 c); </w:t>
      </w:r>
      <w:hyperlink w:anchor="SENTENCIA_2016_87" w:history="1">
        <w:r w:rsidRPr="00924F59">
          <w:rPr>
            <w:rStyle w:val="TextoNormalCaracter"/>
          </w:rPr>
          <w:t>87/2016</w:t>
        </w:r>
      </w:hyperlink>
      <w:r w:rsidRPr="00924F59">
        <w:rPr>
          <w:rStyle w:val="TextoNormalCaracter"/>
        </w:rPr>
        <w:t>, ff. 1, 4, 5, 7, VP.</w:t>
      </w:r>
    </w:p>
    <w:p w:rsidR="00924F59" w:rsidRPr="00924F59" w:rsidRDefault="00924F59" w:rsidP="00924F59">
      <w:pPr>
        <w:pStyle w:val="TextoNormalSangraFrancesa"/>
        <w:rPr>
          <w:rStyle w:val="TextoNormalCaracter"/>
        </w:rPr>
      </w:pPr>
      <w:bookmarkStart w:id="1953" w:name="DESCRIPTORALFABETICO594"/>
      <w:r w:rsidRPr="00924F59">
        <w:rPr>
          <w:rStyle w:val="TextoNormalNegritaCaracter"/>
        </w:rPr>
        <w:t>Subvenciones estatales</w:t>
      </w:r>
      <w:bookmarkEnd w:id="1953"/>
      <w:r w:rsidRPr="00924F59">
        <w:rPr>
          <w:rStyle w:val="TextoNormalCaracter"/>
        </w:rPr>
        <w:t xml:space="preserve">, Sentencia </w:t>
      </w:r>
      <w:hyperlink w:anchor="SENTENCIA_2016_87" w:history="1">
        <w:r w:rsidRPr="00924F59">
          <w:rPr>
            <w:rStyle w:val="TextoNormalCaracter"/>
          </w:rPr>
          <w:t>87/2016</w:t>
        </w:r>
      </w:hyperlink>
      <w:r w:rsidRPr="00924F59">
        <w:rPr>
          <w:rStyle w:val="TextoNormalCaracter"/>
        </w:rPr>
        <w:t>, ff. 1, 3 a 7, VP.</w:t>
      </w:r>
    </w:p>
    <w:p w:rsidR="00924F59" w:rsidRPr="00924F59" w:rsidRDefault="00924F59" w:rsidP="00924F59">
      <w:pPr>
        <w:pStyle w:val="TextoNormalSangraFrancesa"/>
        <w:rPr>
          <w:rStyle w:val="TextoNormalCaracter"/>
        </w:rPr>
      </w:pPr>
      <w:bookmarkStart w:id="1954" w:name="DESCRIPTORALFABETICO587"/>
      <w:r w:rsidRPr="00924F59">
        <w:rPr>
          <w:rStyle w:val="TextoNormalNegritaCaracter"/>
        </w:rPr>
        <w:t>Subvenciones públicas</w:t>
      </w:r>
      <w:bookmarkEnd w:id="1954"/>
      <w:r w:rsidRPr="00924F59">
        <w:rPr>
          <w:rStyle w:val="TextoNormalCaracter"/>
        </w:rPr>
        <w:t xml:space="preserve">, Sentencia </w:t>
      </w:r>
      <w:hyperlink w:anchor="SENTENCIA_2016_70" w:history="1">
        <w:r w:rsidRPr="00924F59">
          <w:rPr>
            <w:rStyle w:val="TextoNormalCaracter"/>
          </w:rPr>
          <w:t>70/2016</w:t>
        </w:r>
      </w:hyperlink>
      <w:r w:rsidRPr="00924F59">
        <w:rPr>
          <w:rStyle w:val="TextoNormalCaracter"/>
        </w:rPr>
        <w:t>, ff. 1 a 8.</w:t>
      </w:r>
    </w:p>
    <w:p w:rsidR="00924F59" w:rsidRPr="00924F59" w:rsidRDefault="00924F59" w:rsidP="00924F59">
      <w:pPr>
        <w:pStyle w:val="TextoNormalSangraFrancesa"/>
        <w:rPr>
          <w:rStyle w:val="TextoNormalCaracter"/>
        </w:rPr>
      </w:pPr>
      <w:bookmarkStart w:id="1955" w:name="DESCRIPTORALFABETICO627"/>
      <w:r w:rsidRPr="00924F59">
        <w:rPr>
          <w:rStyle w:val="TextoNormalNegritaCaracter"/>
        </w:rPr>
        <w:t>Suelo rural</w:t>
      </w:r>
      <w:bookmarkEnd w:id="1955"/>
      <w:r w:rsidRPr="00924F59">
        <w:rPr>
          <w:rStyle w:val="TextoNormalCaracter"/>
        </w:rPr>
        <w:t xml:space="preserve">, Autos </w:t>
      </w:r>
      <w:hyperlink w:anchor="AUTO_2016_70" w:history="1">
        <w:r w:rsidRPr="00924F59">
          <w:rPr>
            <w:rStyle w:val="TextoNormalCaracter"/>
          </w:rPr>
          <w:t>70/2016</w:t>
        </w:r>
      </w:hyperlink>
      <w:r w:rsidRPr="00924F59">
        <w:rPr>
          <w:rStyle w:val="TextoNormalCaracter"/>
        </w:rPr>
        <w:t xml:space="preserve">, ff. 1 a 6; </w:t>
      </w:r>
      <w:hyperlink w:anchor="AUTO_2016_104" w:history="1">
        <w:r w:rsidRPr="00924F59">
          <w:rPr>
            <w:rStyle w:val="TextoNormalCaracter"/>
          </w:rPr>
          <w:t>104/2016</w:t>
        </w:r>
      </w:hyperlink>
      <w:r w:rsidRPr="00924F59">
        <w:rPr>
          <w:rStyle w:val="TextoNormalCaracter"/>
        </w:rPr>
        <w:t>, f. 1.</w:t>
      </w:r>
    </w:p>
    <w:p w:rsidR="00924F59" w:rsidRPr="00924F59" w:rsidRDefault="00924F59" w:rsidP="00924F59">
      <w:pPr>
        <w:pStyle w:val="TextoNormalSangraFrancesa"/>
        <w:rPr>
          <w:rStyle w:val="TextoNormalCaracter"/>
        </w:rPr>
      </w:pPr>
      <w:bookmarkStart w:id="1956" w:name="DESCRIPTORALFABETICO628"/>
      <w:r w:rsidRPr="00924F59">
        <w:rPr>
          <w:rStyle w:val="TextoNormalNegritaCaracter"/>
        </w:rPr>
        <w:t>Suelo urbanizable</w:t>
      </w:r>
      <w:bookmarkEnd w:id="1956"/>
      <w:r w:rsidRPr="00924F59">
        <w:rPr>
          <w:rStyle w:val="TextoNormalCaracter"/>
        </w:rPr>
        <w:t xml:space="preserve">, Auto </w:t>
      </w:r>
      <w:hyperlink w:anchor="AUTO_2016_70" w:history="1">
        <w:r w:rsidRPr="00924F59">
          <w:rPr>
            <w:rStyle w:val="TextoNormalCaracter"/>
          </w:rPr>
          <w:t>70/2016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1957" w:name="DESCRIPTORALFABETICO629"/>
      <w:r w:rsidRPr="00924F59">
        <w:rPr>
          <w:rStyle w:val="TextoNormalNegritaCaracter"/>
        </w:rPr>
        <w:t>Suelo urbano</w:t>
      </w:r>
      <w:bookmarkEnd w:id="1957"/>
      <w:r w:rsidRPr="00924F59">
        <w:rPr>
          <w:rStyle w:val="TextoNormalCaracter"/>
        </w:rPr>
        <w:t xml:space="preserve">, Sentencia </w:t>
      </w:r>
      <w:hyperlink w:anchor="SENTENCIA_2016_6" w:history="1">
        <w:r w:rsidRPr="00924F59">
          <w:rPr>
            <w:rStyle w:val="TextoNormalCaracter"/>
          </w:rPr>
          <w:t>6/2016</w:t>
        </w:r>
      </w:hyperlink>
      <w:r w:rsidRPr="00924F59">
        <w:rPr>
          <w:rStyle w:val="TextoNormalCaracter"/>
        </w:rPr>
        <w:t>, f. 4 e).</w:t>
      </w:r>
    </w:p>
    <w:p w:rsidR="00924F59" w:rsidRPr="00924F59" w:rsidRDefault="00924F59" w:rsidP="00924F59">
      <w:pPr>
        <w:pStyle w:val="TextoNormalSangraFrancesa"/>
        <w:rPr>
          <w:rStyle w:val="TextoNormalCaracter"/>
        </w:rPr>
      </w:pPr>
      <w:bookmarkStart w:id="1958" w:name="DESCRIPTORALFABETICO566"/>
      <w:r w:rsidRPr="00924F59">
        <w:rPr>
          <w:rStyle w:val="TextoNormalNegritaCaracter"/>
        </w:rPr>
        <w:t>Suministro de energía eléctrica</w:t>
      </w:r>
      <w:bookmarkEnd w:id="1958"/>
      <w:r w:rsidRPr="00924F59">
        <w:rPr>
          <w:rStyle w:val="TextoNormalCaracter"/>
        </w:rPr>
        <w:t xml:space="preserve">, Sentencias </w:t>
      </w:r>
      <w:hyperlink w:anchor="SENTENCIA_2016_32" w:history="1">
        <w:r w:rsidRPr="00924F59">
          <w:rPr>
            <w:rStyle w:val="TextoNormalCaracter"/>
          </w:rPr>
          <w:t>32/2016</w:t>
        </w:r>
      </w:hyperlink>
      <w:r w:rsidRPr="00924F59">
        <w:rPr>
          <w:rStyle w:val="TextoNormalCaracter"/>
        </w:rPr>
        <w:t xml:space="preserve">, ff. 9, 11 a 13; </w:t>
      </w:r>
      <w:hyperlink w:anchor="SENTENCIA_2016_62" w:history="1">
        <w:r w:rsidRPr="00924F59">
          <w:rPr>
            <w:rStyle w:val="TextoNormalCaracter"/>
          </w:rPr>
          <w:t>62/2016</w:t>
        </w:r>
      </w:hyperlink>
      <w:r w:rsidRPr="00924F59">
        <w:rPr>
          <w:rStyle w:val="TextoNormalCaracter"/>
        </w:rPr>
        <w:t xml:space="preserve">, ff. 2, 4, 5, 8, 9 a), 10; </w:t>
      </w:r>
      <w:hyperlink w:anchor="SENTENCIA_2016_120" w:history="1">
        <w:r w:rsidRPr="00924F59">
          <w:rPr>
            <w:rStyle w:val="TextoNormalCaracter"/>
          </w:rPr>
          <w:t>120/2016</w:t>
        </w:r>
      </w:hyperlink>
      <w:r w:rsidRPr="00924F59">
        <w:rPr>
          <w:rStyle w:val="TextoNormalCaracter"/>
        </w:rPr>
        <w:t>, ff. 6, 7.</w:t>
      </w:r>
    </w:p>
    <w:p w:rsidR="00924F59" w:rsidRPr="00924F59" w:rsidRDefault="00924F59" w:rsidP="00924F59">
      <w:pPr>
        <w:pStyle w:val="TextoNormalSangraFrancesa"/>
        <w:rPr>
          <w:rStyle w:val="TextoNormalCaracter"/>
        </w:rPr>
      </w:pPr>
      <w:bookmarkStart w:id="1959" w:name="DESCRIPTORALFABETICO572"/>
      <w:r w:rsidRPr="00924F59">
        <w:rPr>
          <w:rStyle w:val="TextoNormalNegritaCaracter"/>
        </w:rPr>
        <w:t>Suministro de gas</w:t>
      </w:r>
      <w:bookmarkEnd w:id="1959"/>
      <w:r w:rsidRPr="00924F59">
        <w:rPr>
          <w:rStyle w:val="TextoNormalCaracter"/>
        </w:rPr>
        <w:t xml:space="preserve">, Sentencia </w:t>
      </w:r>
      <w:hyperlink w:anchor="SENTENCIA_2016_62" w:history="1">
        <w:r w:rsidRPr="00924F59">
          <w:rPr>
            <w:rStyle w:val="TextoNormalCaracter"/>
          </w:rPr>
          <w:t>62/2016</w:t>
        </w:r>
      </w:hyperlink>
      <w:r w:rsidRPr="00924F59">
        <w:rPr>
          <w:rStyle w:val="TextoNormalCaracter"/>
        </w:rPr>
        <w:t>, ff. 2 a 5, 9 b), 10.</w:t>
      </w:r>
    </w:p>
    <w:p w:rsidR="00924F59" w:rsidRPr="00924F59" w:rsidRDefault="00924F59" w:rsidP="00924F59">
      <w:pPr>
        <w:pStyle w:val="TextoNormalSangraFrancesa"/>
        <w:rPr>
          <w:rStyle w:val="TextoNormalCaracter"/>
        </w:rPr>
      </w:pPr>
      <w:bookmarkStart w:id="1960" w:name="DESCRIPTORALFABETICO384"/>
      <w:r w:rsidRPr="00924F59">
        <w:rPr>
          <w:rStyle w:val="TextoNormalNegritaCaracter"/>
        </w:rPr>
        <w:t>Supremo intérprete de la legalidad ordinaria</w:t>
      </w:r>
      <w:bookmarkEnd w:id="1960"/>
      <w:r w:rsidRPr="00924F59">
        <w:rPr>
          <w:rStyle w:val="TextoNormalCaracter"/>
        </w:rPr>
        <w:t xml:space="preserve">, Sentencia </w:t>
      </w:r>
      <w:hyperlink w:anchor="SENTENCIA_2016_83" w:history="1">
        <w:r w:rsidRPr="00924F59">
          <w:rPr>
            <w:rStyle w:val="TextoNormalCaracter"/>
          </w:rPr>
          <w:t>83/2016</w:t>
        </w:r>
      </w:hyperlink>
      <w:r w:rsidRPr="00924F59">
        <w:rPr>
          <w:rStyle w:val="TextoNormalCaracter"/>
        </w:rPr>
        <w:t>, ff. 3, 5.</w:t>
      </w:r>
    </w:p>
    <w:p w:rsidR="00924F59" w:rsidRPr="00924F59" w:rsidRDefault="00924F59" w:rsidP="00924F59">
      <w:pPr>
        <w:pStyle w:val="TextoNormalSangraFrancesa"/>
        <w:rPr>
          <w:rStyle w:val="TextoNormalCaracter"/>
        </w:rPr>
      </w:pPr>
      <w:bookmarkStart w:id="1961" w:name="DESCRIPTORALFABETICO239"/>
      <w:r w:rsidRPr="00924F59">
        <w:rPr>
          <w:rStyle w:val="TextoNormalNegritaCaracter"/>
        </w:rPr>
        <w:t>Suspensión cautelar de resoluciones administrativas</w:t>
      </w:r>
      <w:bookmarkEnd w:id="1961"/>
      <w:r w:rsidRPr="00924F59">
        <w:rPr>
          <w:rStyle w:val="TextoNormalCaracter"/>
        </w:rPr>
        <w:t xml:space="preserve">, Auto </w:t>
      </w:r>
      <w:hyperlink w:anchor="AUTO_2016_133" w:history="1">
        <w:r w:rsidRPr="00924F59">
          <w:rPr>
            <w:rStyle w:val="TextoNormalCaracter"/>
          </w:rPr>
          <w:t>133/2016</w:t>
        </w:r>
      </w:hyperlink>
      <w:r w:rsidRPr="00924F59">
        <w:rPr>
          <w:rStyle w:val="TextoNormalCaracter"/>
        </w:rPr>
        <w:t>, ff. 1, 2.</w:t>
      </w:r>
    </w:p>
    <w:p w:rsidR="00924F59" w:rsidRPr="00924F59" w:rsidRDefault="00924F59" w:rsidP="00924F59">
      <w:pPr>
        <w:pStyle w:val="TextoNormalSangraFrancesa"/>
        <w:rPr>
          <w:rStyle w:val="TextoNormalCaracter"/>
        </w:rPr>
      </w:pPr>
      <w:bookmarkStart w:id="1962" w:name="DESCRIPTORALFABETICO242"/>
      <w:r w:rsidRPr="00924F59">
        <w:rPr>
          <w:rStyle w:val="TextoNormalNegritaCaracter"/>
        </w:rPr>
        <w:t>Suspensión cautelar de resoluciones civiles</w:t>
      </w:r>
      <w:bookmarkEnd w:id="1962"/>
      <w:r w:rsidRPr="00924F59">
        <w:rPr>
          <w:rStyle w:val="TextoNormalCaracter"/>
        </w:rPr>
        <w:t xml:space="preserve">, Autos </w:t>
      </w:r>
      <w:hyperlink w:anchor="AUTO_2016_62" w:history="1">
        <w:r w:rsidRPr="00924F59">
          <w:rPr>
            <w:rStyle w:val="TextoNormalCaracter"/>
          </w:rPr>
          <w:t>62/2016</w:t>
        </w:r>
      </w:hyperlink>
      <w:r w:rsidRPr="00924F59">
        <w:rPr>
          <w:rStyle w:val="TextoNormalCaracter"/>
        </w:rPr>
        <w:t xml:space="preserve">, f. 2; </w:t>
      </w:r>
      <w:hyperlink w:anchor="AUTO_2016_68" w:history="1">
        <w:r w:rsidRPr="00924F59">
          <w:rPr>
            <w:rStyle w:val="TextoNormalCaracter"/>
          </w:rPr>
          <w:t>68/2016</w:t>
        </w:r>
      </w:hyperlink>
      <w:r w:rsidRPr="00924F59">
        <w:rPr>
          <w:rStyle w:val="TextoNormalCaracter"/>
        </w:rPr>
        <w:t xml:space="preserve">, ff. 1 a 3; </w:t>
      </w:r>
      <w:hyperlink w:anchor="AUTO_2016_69" w:history="1">
        <w:r w:rsidRPr="00924F59">
          <w:rPr>
            <w:rStyle w:val="TextoNormalCaracter"/>
          </w:rPr>
          <w:t>69/2016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963" w:name="DESCRIPTORALFABETICO240"/>
      <w:r w:rsidRPr="00924F59">
        <w:rPr>
          <w:rStyle w:val="TextoNormalNegritaCaracter"/>
        </w:rPr>
        <w:t>Suspensión cautelar de resoluciones judiciales</w:t>
      </w:r>
      <w:bookmarkEnd w:id="1963"/>
      <w:r w:rsidRPr="00924F59">
        <w:rPr>
          <w:rStyle w:val="TextoNormalCaracter"/>
        </w:rPr>
        <w:t xml:space="preserve">, Autos </w:t>
      </w:r>
      <w:hyperlink w:anchor="AUTO_2016_99" w:history="1">
        <w:r w:rsidRPr="00924F59">
          <w:rPr>
            <w:rStyle w:val="TextoNormalCaracter"/>
          </w:rPr>
          <w:t>99/2016</w:t>
        </w:r>
      </w:hyperlink>
      <w:r w:rsidRPr="00924F59">
        <w:rPr>
          <w:rStyle w:val="TextoNormalCaracter"/>
        </w:rPr>
        <w:t xml:space="preserve">, ff. 1 a 3; </w:t>
      </w:r>
      <w:hyperlink w:anchor="AUTO_2016_114" w:history="1">
        <w:r w:rsidRPr="00924F59">
          <w:rPr>
            <w:rStyle w:val="TextoNormalCaracter"/>
          </w:rPr>
          <w:t>114/2016</w:t>
        </w:r>
      </w:hyperlink>
      <w:r w:rsidRPr="00924F59">
        <w:rPr>
          <w:rStyle w:val="TextoNormalCaracter"/>
        </w:rPr>
        <w:t>, ff. 1, 3.</w:t>
      </w:r>
    </w:p>
    <w:p w:rsidR="00924F59" w:rsidRPr="00924F59" w:rsidRDefault="00924F59" w:rsidP="00924F59">
      <w:pPr>
        <w:pStyle w:val="TextoNormalSangraFrancesa"/>
        <w:rPr>
          <w:rStyle w:val="TextoNormalCaracter"/>
        </w:rPr>
      </w:pPr>
      <w:bookmarkStart w:id="1964" w:name="DESCRIPTORALFABETICO243"/>
      <w:r w:rsidRPr="00924F59">
        <w:rPr>
          <w:rStyle w:val="TextoNormalNegritaCaracter"/>
        </w:rPr>
        <w:t>Suspensión cautelar de resoluciones penales</w:t>
      </w:r>
      <w:bookmarkEnd w:id="1964"/>
      <w:r w:rsidRPr="00924F59">
        <w:rPr>
          <w:rStyle w:val="TextoNormalCaracter"/>
        </w:rPr>
        <w:t xml:space="preserve">, Auto </w:t>
      </w:r>
      <w:hyperlink w:anchor="AUTO_2016_91" w:history="1">
        <w:r w:rsidRPr="00924F59">
          <w:rPr>
            <w:rStyle w:val="TextoNormalCaracter"/>
          </w:rPr>
          <w:t>91/2016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1965" w:name="DESCRIPTORALFABETICO364"/>
      <w:r w:rsidRPr="00924F59">
        <w:rPr>
          <w:rStyle w:val="TextoNormalNegritaCaracter"/>
        </w:rPr>
        <w:t>Suspensión de acuerdos municipales</w:t>
      </w:r>
      <w:bookmarkEnd w:id="1965"/>
      <w:r w:rsidRPr="00924F59">
        <w:rPr>
          <w:rStyle w:val="TextoNormalCaracter"/>
        </w:rPr>
        <w:t xml:space="preserve">, Sentencias </w:t>
      </w:r>
      <w:hyperlink w:anchor="SENTENCIA_2016_6" w:history="1">
        <w:r w:rsidRPr="00924F59">
          <w:rPr>
            <w:rStyle w:val="TextoNormalCaracter"/>
          </w:rPr>
          <w:t>6/2016</w:t>
        </w:r>
      </w:hyperlink>
      <w:r w:rsidRPr="00924F59">
        <w:rPr>
          <w:rStyle w:val="TextoNormalCaracter"/>
        </w:rPr>
        <w:t xml:space="preserve">, f. 4 d); </w:t>
      </w:r>
      <w:hyperlink w:anchor="SENTENCIA_2016_28" w:history="1">
        <w:r w:rsidRPr="00924F59">
          <w:rPr>
            <w:rStyle w:val="TextoNormalCaracter"/>
          </w:rPr>
          <w:t>28/2016</w:t>
        </w:r>
      </w:hyperlink>
      <w:r w:rsidRPr="00924F59">
        <w:rPr>
          <w:rStyle w:val="TextoNormalCaracter"/>
        </w:rPr>
        <w:t xml:space="preserve">, f. 5; </w:t>
      </w:r>
      <w:hyperlink w:anchor="SENTENCIA_2016_57" w:history="1">
        <w:r w:rsidRPr="00924F59">
          <w:rPr>
            <w:rStyle w:val="TextoNormalCaracter"/>
          </w:rPr>
          <w:t>57/2016</w:t>
        </w:r>
      </w:hyperlink>
      <w:r w:rsidRPr="00924F59">
        <w:rPr>
          <w:rStyle w:val="TextoNormalCaracter"/>
        </w:rPr>
        <w:t>, f. 7.</w:t>
      </w:r>
    </w:p>
    <w:p w:rsidR="00924F59" w:rsidRPr="00924F59" w:rsidRDefault="00924F59" w:rsidP="00924F59">
      <w:pPr>
        <w:pStyle w:val="TextoNormalSangraFrancesa"/>
        <w:rPr>
          <w:rStyle w:val="TextoNormalCaracter"/>
        </w:rPr>
      </w:pPr>
      <w:bookmarkStart w:id="1966" w:name="DESCRIPTORALFABETICO244"/>
      <w:r w:rsidRPr="00924F59">
        <w:rPr>
          <w:rStyle w:val="TextoNormalNegritaCaracter"/>
        </w:rPr>
        <w:t>Suspensión de disposiciones de las Comunidades Autónomas</w:t>
      </w:r>
      <w:bookmarkEnd w:id="1966"/>
      <w:r w:rsidRPr="00924F59">
        <w:rPr>
          <w:rStyle w:val="TextoNormalCaracter"/>
        </w:rPr>
        <w:t xml:space="preserve">, Auto </w:t>
      </w:r>
      <w:hyperlink w:anchor="AUTO_2016_105" w:history="1">
        <w:r w:rsidRPr="00924F59">
          <w:rPr>
            <w:rStyle w:val="TextoNormalCaracter"/>
          </w:rPr>
          <w:t>105/2016</w:t>
        </w:r>
      </w:hyperlink>
      <w:r w:rsidRPr="00924F59">
        <w:rPr>
          <w:rStyle w:val="TextoNormalCaracter"/>
        </w:rPr>
        <w:t>, ff. 2, 4, 6, 7.</w:t>
      </w:r>
    </w:p>
    <w:p w:rsidR="00924F59" w:rsidRPr="00924F59" w:rsidRDefault="00924F59" w:rsidP="00924F59">
      <w:pPr>
        <w:pStyle w:val="TextoNormalSangraFrancesa"/>
        <w:rPr>
          <w:rStyle w:val="TextoNormalCaracter"/>
        </w:rPr>
      </w:pPr>
      <w:bookmarkStart w:id="1967" w:name="DESCRIPTORALFABETICO717"/>
      <w:r w:rsidRPr="00924F59">
        <w:rPr>
          <w:rStyle w:val="TextoNormalNegritaCaracter"/>
        </w:rPr>
        <w:t>Suspensión de la ejecución de la pena</w:t>
      </w:r>
      <w:bookmarkEnd w:id="1967"/>
      <w:r w:rsidRPr="00924F59">
        <w:rPr>
          <w:rStyle w:val="TextoNormalCaracter"/>
        </w:rPr>
        <w:t xml:space="preserve">, Sentencias </w:t>
      </w:r>
      <w:hyperlink w:anchor="SENTENCIA_2016_12" w:history="1">
        <w:r w:rsidRPr="00924F59">
          <w:rPr>
            <w:rStyle w:val="TextoNormalCaracter"/>
          </w:rPr>
          <w:t>12/2016</w:t>
        </w:r>
      </w:hyperlink>
      <w:r w:rsidRPr="00924F59">
        <w:rPr>
          <w:rStyle w:val="TextoNormalCaracter"/>
        </w:rPr>
        <w:t xml:space="preserve">, ff. 4, 5; </w:t>
      </w:r>
      <w:hyperlink w:anchor="SENTENCIA_2016_14" w:history="1">
        <w:r w:rsidRPr="00924F59">
          <w:rPr>
            <w:rStyle w:val="TextoNormalCaracter"/>
          </w:rPr>
          <w:t>14/2016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1968" w:name="DESCRIPTORALFABETICO238"/>
      <w:r w:rsidRPr="00924F59">
        <w:rPr>
          <w:rStyle w:val="TextoNormalNegritaCaracter"/>
        </w:rPr>
        <w:t>Suspensión de la ejecución del acto que origina el amparo</w:t>
      </w:r>
      <w:bookmarkEnd w:id="1968"/>
      <w:r w:rsidRPr="00924F59">
        <w:rPr>
          <w:rStyle w:val="TextoNormalCaracter"/>
        </w:rPr>
        <w:t xml:space="preserve">, Autos </w:t>
      </w:r>
      <w:hyperlink w:anchor="AUTO_2016_34" w:history="1">
        <w:r w:rsidRPr="00924F59">
          <w:rPr>
            <w:rStyle w:val="TextoNormalCaracter"/>
          </w:rPr>
          <w:t>34/2016</w:t>
        </w:r>
      </w:hyperlink>
      <w:r w:rsidRPr="00924F59">
        <w:rPr>
          <w:rStyle w:val="TextoNormalCaracter"/>
        </w:rPr>
        <w:t xml:space="preserve">, ff. 1, 2, 3, 4; </w:t>
      </w:r>
      <w:hyperlink w:anchor="AUTO_2016_47" w:history="1">
        <w:r w:rsidRPr="00924F59">
          <w:rPr>
            <w:rStyle w:val="TextoNormalCaracter"/>
          </w:rPr>
          <w:t>47/2016</w:t>
        </w:r>
      </w:hyperlink>
      <w:r w:rsidRPr="00924F59">
        <w:rPr>
          <w:rStyle w:val="TextoNormalCaracter"/>
        </w:rPr>
        <w:t xml:space="preserve">, ff. 1, 2; </w:t>
      </w:r>
      <w:hyperlink w:anchor="AUTO_2016_48" w:history="1">
        <w:r w:rsidRPr="00924F59">
          <w:rPr>
            <w:rStyle w:val="TextoNormalCaracter"/>
          </w:rPr>
          <w:t>48/2016</w:t>
        </w:r>
      </w:hyperlink>
      <w:r w:rsidRPr="00924F59">
        <w:rPr>
          <w:rStyle w:val="TextoNormalCaracter"/>
        </w:rPr>
        <w:t xml:space="preserve">, f. 2; </w:t>
      </w:r>
      <w:hyperlink w:anchor="AUTO_2016_49" w:history="1">
        <w:r w:rsidRPr="00924F59">
          <w:rPr>
            <w:rStyle w:val="TextoNormalCaracter"/>
          </w:rPr>
          <w:t>49/2016</w:t>
        </w:r>
      </w:hyperlink>
      <w:r w:rsidRPr="00924F59">
        <w:rPr>
          <w:rStyle w:val="TextoNormalCaracter"/>
        </w:rPr>
        <w:t xml:space="preserve">, ff. 1, 2; </w:t>
      </w:r>
      <w:hyperlink w:anchor="AUTO_2016_114" w:history="1">
        <w:r w:rsidRPr="00924F59">
          <w:rPr>
            <w:rStyle w:val="TextoNormalCaracter"/>
          </w:rPr>
          <w:t>114/2016</w:t>
        </w:r>
      </w:hyperlink>
      <w:r w:rsidRPr="00924F59">
        <w:rPr>
          <w:rStyle w:val="TextoNormalCaracter"/>
        </w:rPr>
        <w:t xml:space="preserve">, ff. 1, 3; </w:t>
      </w:r>
      <w:hyperlink w:anchor="AUTO_2016_133" w:history="1">
        <w:r w:rsidRPr="00924F59">
          <w:rPr>
            <w:rStyle w:val="TextoNormalCaracter"/>
          </w:rPr>
          <w:t>133/2016</w:t>
        </w:r>
      </w:hyperlink>
      <w:r w:rsidRPr="00924F59">
        <w:rPr>
          <w:rStyle w:val="TextoNormalCaracter"/>
        </w:rPr>
        <w:t>, ff. 1, 2.</w:t>
      </w:r>
    </w:p>
    <w:p w:rsidR="00924F59" w:rsidRPr="00924F59" w:rsidRDefault="00924F59" w:rsidP="00924F59">
      <w:pPr>
        <w:pStyle w:val="TextoNormalSangraFrancesa"/>
        <w:rPr>
          <w:rStyle w:val="TextoNormalCaracter"/>
        </w:rPr>
      </w:pPr>
      <w:bookmarkStart w:id="1969" w:name="DESCRIPTORALFABETICO249"/>
      <w:r w:rsidRPr="00924F59">
        <w:rPr>
          <w:rStyle w:val="TextoNormalNegritaCaracter"/>
        </w:rPr>
        <w:t>Suspensión de leyes estatales</w:t>
      </w:r>
      <w:bookmarkEnd w:id="1969"/>
      <w:r w:rsidRPr="00924F59">
        <w:rPr>
          <w:rStyle w:val="TextoNormalCaracter"/>
        </w:rPr>
        <w:t xml:space="preserve">, Sentencia </w:t>
      </w:r>
      <w:hyperlink w:anchor="SENTENCIA_2016_99" w:history="1">
        <w:r w:rsidRPr="00924F59">
          <w:rPr>
            <w:rStyle w:val="TextoNormalCaracter"/>
          </w:rPr>
          <w:t>99/2016</w:t>
        </w:r>
      </w:hyperlink>
      <w:r w:rsidRPr="00924F59">
        <w:rPr>
          <w:rStyle w:val="TextoNormalCaracter"/>
        </w:rPr>
        <w:t>, ff. 3 a), 5.</w:t>
      </w:r>
    </w:p>
    <w:p w:rsidR="00924F59" w:rsidRPr="00924F59" w:rsidRDefault="00924F59" w:rsidP="00924F59">
      <w:pPr>
        <w:pStyle w:val="TextoNormalSangraFrancesa"/>
        <w:rPr>
          <w:rStyle w:val="TextoNormalCaracter"/>
        </w:rPr>
      </w:pPr>
      <w:bookmarkStart w:id="1970" w:name="DESCRIPTORALFABETICO599"/>
      <w:r w:rsidRPr="00924F59">
        <w:rPr>
          <w:rStyle w:val="TextoNormalNegritaCaracter"/>
        </w:rPr>
        <w:t>Sustracción internacional de menores</w:t>
      </w:r>
      <w:bookmarkEnd w:id="1970"/>
      <w:r w:rsidRPr="00924F59">
        <w:rPr>
          <w:rStyle w:val="TextoNormalCaracter"/>
        </w:rPr>
        <w:t xml:space="preserve">, Sentencia </w:t>
      </w:r>
      <w:hyperlink w:anchor="SENTENCIA_2016_16" w:history="1">
        <w:r w:rsidRPr="00924F59">
          <w:rPr>
            <w:rStyle w:val="TextoNormalCaracter"/>
          </w:rPr>
          <w:t>16/2016</w:t>
        </w:r>
      </w:hyperlink>
      <w:r w:rsidRPr="00924F59">
        <w:rPr>
          <w:rStyle w:val="TextoNormalCaracter"/>
        </w:rPr>
        <w:t>, f. 1.</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T</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971" w:name="DESCRIPTORALFABETICO843"/>
      <w:r w:rsidRPr="00924F59">
        <w:rPr>
          <w:rStyle w:val="TextoNormalNegritaCaracter"/>
        </w:rPr>
        <w:t>Tasas judiciales</w:t>
      </w:r>
      <w:bookmarkEnd w:id="1971"/>
      <w:r w:rsidRPr="00924F59">
        <w:rPr>
          <w:rStyle w:val="TextoNormalCaracter"/>
        </w:rPr>
        <w:t xml:space="preserve">, Auto </w:t>
      </w:r>
      <w:hyperlink w:anchor="AUTO_2016_75" w:history="1">
        <w:r w:rsidRPr="00924F59">
          <w:rPr>
            <w:rStyle w:val="TextoNormalCaracter"/>
          </w:rPr>
          <w:t>75/2016</w:t>
        </w:r>
      </w:hyperlink>
      <w:r w:rsidRPr="00924F59">
        <w:rPr>
          <w:rStyle w:val="TextoNormalCaracter"/>
        </w:rPr>
        <w:t>, ff. 1, 2.</w:t>
      </w:r>
    </w:p>
    <w:p w:rsidR="00924F59" w:rsidRPr="00924F59" w:rsidRDefault="00924F59" w:rsidP="00924F59">
      <w:pPr>
        <w:pStyle w:val="TextoNormalSangraFrancesa"/>
        <w:rPr>
          <w:rStyle w:val="TextoNormalCaracter"/>
        </w:rPr>
      </w:pPr>
      <w:bookmarkStart w:id="1972" w:name="DESCRIPTORALFABETICO766"/>
      <w:r w:rsidRPr="00924F59">
        <w:rPr>
          <w:rStyle w:val="TextoNormalNegritaCaracter"/>
        </w:rPr>
        <w:t>Tecnologías de la información y la comunicación</w:t>
      </w:r>
      <w:bookmarkEnd w:id="1972"/>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 3.</w:t>
      </w:r>
    </w:p>
    <w:p w:rsidR="00924F59" w:rsidRPr="00924F59" w:rsidRDefault="00924F59" w:rsidP="00924F59">
      <w:pPr>
        <w:pStyle w:val="TextoNormalSangraFrancesa"/>
        <w:rPr>
          <w:rStyle w:val="TextoNormalCaracter"/>
        </w:rPr>
      </w:pPr>
      <w:bookmarkStart w:id="1973" w:name="DESCRIPTORALFABETICO768"/>
      <w:r w:rsidRPr="00924F59">
        <w:rPr>
          <w:rStyle w:val="TextoNormalNegritaCaracter"/>
        </w:rPr>
        <w:t>Telecomunicaciones</w:t>
      </w:r>
      <w:bookmarkEnd w:id="1973"/>
      <w:r w:rsidRPr="00924F59">
        <w:rPr>
          <w:rStyle w:val="TextoNormalCaracter"/>
        </w:rPr>
        <w:t xml:space="preserve">, Sentencia </w:t>
      </w:r>
      <w:hyperlink w:anchor="SENTENCIA_2016_8" w:history="1">
        <w:r w:rsidRPr="00924F59">
          <w:rPr>
            <w:rStyle w:val="TextoNormalCaracter"/>
          </w:rPr>
          <w:t>8/2016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974" w:name="DESCRIPTORALFABETICO470"/>
      <w:r w:rsidRPr="00924F59">
        <w:rPr>
          <w:rStyle w:val="TextoNormalNegritaCaracter"/>
        </w:rPr>
        <w:t>Territorios forales</w:t>
      </w:r>
      <w:bookmarkEnd w:id="1974"/>
      <w:r w:rsidRPr="00924F59">
        <w:rPr>
          <w:rStyle w:val="TextoNormalCaracter"/>
        </w:rPr>
        <w:t xml:space="preserve">, Sentencia </w:t>
      </w:r>
      <w:hyperlink w:anchor="SENTENCIA_2016_118" w:history="1">
        <w:r w:rsidRPr="00924F59">
          <w:rPr>
            <w:rStyle w:val="TextoNormalCaracter"/>
          </w:rPr>
          <w:t>118/2016</w:t>
        </w:r>
      </w:hyperlink>
      <w:r w:rsidRPr="00924F59">
        <w:rPr>
          <w:rStyle w:val="TextoNormalCaracter"/>
        </w:rPr>
        <w:t>, ff. 2, 4 d).</w:t>
      </w:r>
    </w:p>
    <w:p w:rsidR="00924F59" w:rsidRPr="00924F59" w:rsidRDefault="00924F59" w:rsidP="00924F59">
      <w:pPr>
        <w:pStyle w:val="TextoNormalSangraFrancesa"/>
        <w:rPr>
          <w:rStyle w:val="TextoNormalCaracter"/>
        </w:rPr>
      </w:pPr>
      <w:bookmarkStart w:id="1975" w:name="DESCRIPTORALFABETICO215"/>
      <w:r w:rsidRPr="00924F59">
        <w:rPr>
          <w:rStyle w:val="TextoNormalNegritaCaracter"/>
        </w:rPr>
        <w:t>Titularidad de la libertad sindical</w:t>
      </w:r>
      <w:bookmarkEnd w:id="1975"/>
      <w:r w:rsidRPr="00924F59">
        <w:rPr>
          <w:rStyle w:val="TextoNormalCaracter"/>
        </w:rPr>
        <w:t xml:space="preserve">, Sentencia </w:t>
      </w:r>
      <w:hyperlink w:anchor="SENTENCIA_2016_64" w:history="1">
        <w:r w:rsidRPr="00924F59">
          <w:rPr>
            <w:rStyle w:val="TextoNormalCaracter"/>
          </w:rPr>
          <w:t>64/2016</w:t>
        </w:r>
      </w:hyperlink>
      <w:r w:rsidRPr="00924F59">
        <w:rPr>
          <w:rStyle w:val="TextoNormalCaracter"/>
        </w:rPr>
        <w:t>, ff. 3 a 6, VP.</w:t>
      </w:r>
    </w:p>
    <w:p w:rsidR="00924F59" w:rsidRPr="00924F59" w:rsidRDefault="00924F59" w:rsidP="00924F59">
      <w:pPr>
        <w:pStyle w:val="TextoNormalSangraFrancesa"/>
        <w:rPr>
          <w:rStyle w:val="TextoNormalCaracter"/>
        </w:rPr>
      </w:pPr>
      <w:bookmarkStart w:id="1976" w:name="DESCRIPTORALFABETICO541"/>
      <w:r w:rsidRPr="00924F59">
        <w:rPr>
          <w:rStyle w:val="TextoNormalNegritaCaracter"/>
        </w:rPr>
        <w:t>Titularidad de los bienes de dominio público</w:t>
      </w:r>
      <w:bookmarkEnd w:id="1976"/>
      <w:r w:rsidRPr="00924F59">
        <w:rPr>
          <w:rStyle w:val="TextoNormalCaracter"/>
        </w:rPr>
        <w:t xml:space="preserve">, Sentencia </w:t>
      </w:r>
      <w:hyperlink w:anchor="SENTENCIA_2016_100" w:history="1">
        <w:r w:rsidRPr="00924F59">
          <w:rPr>
            <w:rStyle w:val="TextoNormalCaracter"/>
          </w:rPr>
          <w:t>100/2016</w:t>
        </w:r>
      </w:hyperlink>
      <w:r w:rsidRPr="00924F59">
        <w:rPr>
          <w:rStyle w:val="TextoNormalCaracter"/>
        </w:rPr>
        <w:t>, f. 3.</w:t>
      </w:r>
    </w:p>
    <w:p w:rsidR="00924F59" w:rsidRPr="00924F59" w:rsidRDefault="00924F59" w:rsidP="00924F59">
      <w:pPr>
        <w:pStyle w:val="TextoNormalSangraFrancesa"/>
        <w:rPr>
          <w:rStyle w:val="TextoNormalCaracter"/>
        </w:rPr>
      </w:pPr>
      <w:bookmarkStart w:id="1977" w:name="DESCRIPTORALFABETICO227"/>
      <w:r w:rsidRPr="00924F59">
        <w:rPr>
          <w:rStyle w:val="TextoNormalNegritaCaracter"/>
        </w:rPr>
        <w:t>Titularidad de los derechos fundamentales</w:t>
      </w:r>
      <w:bookmarkEnd w:id="1977"/>
      <w:r w:rsidRPr="00924F59">
        <w:rPr>
          <w:rStyle w:val="TextoNormalCaracter"/>
        </w:rPr>
        <w:t xml:space="preserve">, Sentencia </w:t>
      </w:r>
      <w:hyperlink w:anchor="SENTENCIA_2016_44" w:history="1">
        <w:r w:rsidRPr="00924F59">
          <w:rPr>
            <w:rStyle w:val="TextoNormalCaracter"/>
          </w:rPr>
          <w:t>44/2016</w:t>
        </w:r>
      </w:hyperlink>
      <w:r w:rsidRPr="00924F59">
        <w:rPr>
          <w:rStyle w:val="TextoNormalCaracter"/>
        </w:rPr>
        <w:t>, f. 3.</w:t>
      </w:r>
    </w:p>
    <w:p w:rsidR="00924F59" w:rsidRPr="00924F59" w:rsidRDefault="00924F59" w:rsidP="00924F59">
      <w:pPr>
        <w:pStyle w:val="TextoNormalSangraFrancesa"/>
        <w:rPr>
          <w:rStyle w:val="TextoNormalCaracter"/>
        </w:rPr>
      </w:pPr>
      <w:bookmarkStart w:id="1978" w:name="DESCRIPTORALFABETICO228"/>
      <w:r w:rsidRPr="00924F59">
        <w:rPr>
          <w:rStyle w:val="TextoNormalNegritaCaracter"/>
        </w:rPr>
        <w:t>Titularidad por las personas jurídicas públicas</w:t>
      </w:r>
      <w:bookmarkEnd w:id="1978"/>
      <w:r w:rsidRPr="00924F59">
        <w:rPr>
          <w:rStyle w:val="TextoNormalCaracter"/>
        </w:rPr>
        <w:t xml:space="preserve">, Sentencia </w:t>
      </w:r>
      <w:hyperlink w:anchor="SENTENCIA_2016_44" w:history="1">
        <w:r w:rsidRPr="00924F59">
          <w:rPr>
            <w:rStyle w:val="TextoNormalCaracter"/>
          </w:rPr>
          <w:t>44/2016</w:t>
        </w:r>
      </w:hyperlink>
      <w:r w:rsidRPr="00924F59">
        <w:rPr>
          <w:rStyle w:val="TextoNormalCaracter"/>
        </w:rPr>
        <w:t>, f. 3.</w:t>
      </w:r>
    </w:p>
    <w:p w:rsidR="00924F59" w:rsidRPr="00924F59" w:rsidRDefault="00924F59" w:rsidP="00924F59">
      <w:pPr>
        <w:pStyle w:val="TextoNormalSangraFrancesa"/>
        <w:rPr>
          <w:rStyle w:val="TextoNormalCaracter"/>
        </w:rPr>
      </w:pPr>
      <w:bookmarkStart w:id="1979" w:name="DESCRIPTORALFABETICO29"/>
      <w:r w:rsidRPr="00924F59">
        <w:rPr>
          <w:rStyle w:val="TextoNormalNegritaCaracter"/>
        </w:rPr>
        <w:t>Títulos competenciales</w:t>
      </w:r>
      <w:bookmarkEnd w:id="1979"/>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1, 3, 4, 6, 7.</w:t>
      </w:r>
    </w:p>
    <w:p w:rsidR="00924F59" w:rsidRPr="00924F59" w:rsidRDefault="00924F59" w:rsidP="00924F59">
      <w:pPr>
        <w:pStyle w:val="TextoNormalSangraFrancesa"/>
        <w:rPr>
          <w:rStyle w:val="TextoNormalCaracter"/>
        </w:rPr>
      </w:pPr>
      <w:bookmarkStart w:id="1980" w:name="DESCRIPTORALFABETICO557"/>
      <w:r w:rsidRPr="00924F59">
        <w:rPr>
          <w:rStyle w:val="TextoNormalNegritaCaracter"/>
        </w:rPr>
        <w:t>Títulos universitarios</w:t>
      </w:r>
      <w:bookmarkEnd w:id="1980"/>
      <w:r w:rsidRPr="00924F59">
        <w:rPr>
          <w:rStyle w:val="TextoNormalCaracter"/>
        </w:rPr>
        <w:t xml:space="preserve">, Sentencia </w:t>
      </w:r>
      <w:hyperlink w:anchor="SENTENCIA_2016_26" w:history="1">
        <w:r w:rsidRPr="00924F59">
          <w:rPr>
            <w:rStyle w:val="TextoNormalCaracter"/>
          </w:rPr>
          <w:t>26/2016</w:t>
        </w:r>
      </w:hyperlink>
      <w:r w:rsidRPr="00924F59">
        <w:rPr>
          <w:rStyle w:val="TextoNormalCaracter"/>
        </w:rPr>
        <w:t>, ff. 5, 10.</w:t>
      </w:r>
    </w:p>
    <w:p w:rsidR="00924F59" w:rsidRPr="00924F59" w:rsidRDefault="00924F59" w:rsidP="00924F59">
      <w:pPr>
        <w:pStyle w:val="TextoNormalSangraFrancesa"/>
        <w:rPr>
          <w:rStyle w:val="TextoNormalCaracter"/>
        </w:rPr>
      </w:pPr>
      <w:bookmarkStart w:id="1981" w:name="DESCRIPTORALFABETICO329"/>
      <w:r w:rsidRPr="00924F59">
        <w:rPr>
          <w:rStyle w:val="TextoNormalNegritaCaracter"/>
        </w:rPr>
        <w:t>Trámite de admisión en el recurso de amparo</w:t>
      </w:r>
      <w:bookmarkEnd w:id="1981"/>
      <w:r w:rsidRPr="00924F59">
        <w:rPr>
          <w:rStyle w:val="TextoNormalCaracter"/>
        </w:rPr>
        <w:t xml:space="preserve">, Auto </w:t>
      </w:r>
      <w:hyperlink w:anchor="AUTO_2016_108" w:history="1">
        <w:r w:rsidRPr="00924F59">
          <w:rPr>
            <w:rStyle w:val="TextoNormalCaracter"/>
          </w:rPr>
          <w:t>108/2016</w:t>
        </w:r>
      </w:hyperlink>
      <w:r w:rsidRPr="00924F59">
        <w:rPr>
          <w:rStyle w:val="TextoNormalCaracter"/>
        </w:rPr>
        <w:t>, único.</w:t>
      </w:r>
    </w:p>
    <w:p w:rsidR="00924F59" w:rsidRPr="00924F59" w:rsidRDefault="00924F59" w:rsidP="00924F59">
      <w:pPr>
        <w:pStyle w:val="TextoNormalSangraFrancesa"/>
        <w:rPr>
          <w:rStyle w:val="TextoNormalCaracter"/>
        </w:rPr>
      </w:pPr>
      <w:bookmarkStart w:id="1982" w:name="DESCRIPTORALFABETICO819"/>
      <w:r w:rsidRPr="00924F59">
        <w:rPr>
          <w:rStyle w:val="TextoNormalNegritaCaracter"/>
        </w:rPr>
        <w:t>Trámite de audiencia</w:t>
      </w:r>
      <w:bookmarkEnd w:id="1982"/>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ff. 1, 2.</w:t>
      </w:r>
    </w:p>
    <w:p w:rsidR="00924F59" w:rsidRPr="00924F59" w:rsidRDefault="00924F59" w:rsidP="00924F59">
      <w:pPr>
        <w:pStyle w:val="TextoNormalSangraFrancesa"/>
        <w:rPr>
          <w:rStyle w:val="TextoNormalCaracter"/>
        </w:rPr>
      </w:pPr>
      <w:bookmarkStart w:id="1983" w:name="DESCRIPTORALFABETICO288"/>
      <w:r w:rsidRPr="00924F59">
        <w:rPr>
          <w:rStyle w:val="TextoNormalNegritaCaracter"/>
        </w:rPr>
        <w:t>Trámite de audiencia a las partes defectuoso</w:t>
      </w:r>
      <w:bookmarkEnd w:id="1983"/>
      <w:r w:rsidRPr="00924F59">
        <w:rPr>
          <w:rStyle w:val="TextoNormalCaracter"/>
        </w:rPr>
        <w:t xml:space="preserve">, Auto </w:t>
      </w:r>
      <w:hyperlink w:anchor="AUTO_2016_42" w:history="1">
        <w:r w:rsidRPr="00924F59">
          <w:rPr>
            <w:rStyle w:val="TextoNormalCaracter"/>
          </w:rPr>
          <w:t>42/2016</w:t>
        </w:r>
      </w:hyperlink>
      <w:r w:rsidRPr="00924F59">
        <w:rPr>
          <w:rStyle w:val="TextoNormalCaracter"/>
        </w:rPr>
        <w:t>, f. 3.</w:t>
      </w:r>
    </w:p>
    <w:p w:rsidR="00924F59" w:rsidRPr="00924F59" w:rsidRDefault="00924F59" w:rsidP="00924F59">
      <w:pPr>
        <w:pStyle w:val="TextoNormalSangraFrancesa"/>
        <w:rPr>
          <w:rStyle w:val="TextoNormalCaracter"/>
        </w:rPr>
      </w:pPr>
      <w:bookmarkStart w:id="1984" w:name="DESCRIPTORALFABETICO576"/>
      <w:r w:rsidRPr="00924F59">
        <w:rPr>
          <w:rStyle w:val="TextoNormalNegritaCaracter"/>
        </w:rPr>
        <w:t>Transporte de energía eléctrica</w:t>
      </w:r>
      <w:bookmarkEnd w:id="1984"/>
      <w:r w:rsidRPr="00924F59">
        <w:rPr>
          <w:rStyle w:val="TextoNormalCaracter"/>
        </w:rPr>
        <w:t xml:space="preserve">, Sentencias </w:t>
      </w:r>
      <w:hyperlink w:anchor="SENTENCIA_2016_32" w:history="1">
        <w:r w:rsidRPr="00924F59">
          <w:rPr>
            <w:rStyle w:val="TextoNormalCaracter"/>
          </w:rPr>
          <w:t>32/2016</w:t>
        </w:r>
      </w:hyperlink>
      <w:r w:rsidRPr="00924F59">
        <w:rPr>
          <w:rStyle w:val="TextoNormalCaracter"/>
        </w:rPr>
        <w:t xml:space="preserve">, ff. 5, 8, 9, 11; </w:t>
      </w:r>
      <w:hyperlink w:anchor="SENTENCIA_2016_60" w:history="1">
        <w:r w:rsidRPr="00924F59">
          <w:rPr>
            <w:rStyle w:val="TextoNormalCaracter"/>
          </w:rPr>
          <w:t>60/2016</w:t>
        </w:r>
      </w:hyperlink>
      <w:r w:rsidRPr="00924F59">
        <w:rPr>
          <w:rStyle w:val="TextoNormalCaracter"/>
        </w:rPr>
        <w:t>, ff. 4, 6.</w:t>
      </w:r>
    </w:p>
    <w:p w:rsidR="00924F59" w:rsidRPr="00924F59" w:rsidRDefault="00924F59" w:rsidP="00924F59">
      <w:pPr>
        <w:pStyle w:val="TextoNormalSangraFrancesa"/>
        <w:rPr>
          <w:rStyle w:val="TextoNormalCaracter"/>
        </w:rPr>
      </w:pPr>
      <w:bookmarkStart w:id="1985" w:name="DESCRIPTORALFABETICO792"/>
      <w:r w:rsidRPr="00924F59">
        <w:rPr>
          <w:rStyle w:val="TextoNormalNegritaCaracter"/>
        </w:rPr>
        <w:t>Transporte ferroviario</w:t>
      </w:r>
      <w:bookmarkEnd w:id="1985"/>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2, 3, 4, 6, 7, 8, 9, 10, 11.</w:t>
      </w:r>
    </w:p>
    <w:p w:rsidR="00924F59" w:rsidRPr="00924F59" w:rsidRDefault="00924F59" w:rsidP="00924F59">
      <w:pPr>
        <w:pStyle w:val="TextoNormalSangraFrancesa"/>
        <w:rPr>
          <w:rStyle w:val="TextoNormalCaracter"/>
        </w:rPr>
      </w:pPr>
      <w:bookmarkStart w:id="1986" w:name="DESCRIPTORALFABETICO791"/>
      <w:r w:rsidRPr="00924F59">
        <w:rPr>
          <w:rStyle w:val="TextoNormalNegritaCaracter"/>
        </w:rPr>
        <w:t>Transporte internacional</w:t>
      </w:r>
      <w:bookmarkEnd w:id="1986"/>
      <w:r w:rsidRPr="00924F59">
        <w:rPr>
          <w:rStyle w:val="TextoNormalCaracter"/>
        </w:rPr>
        <w:t xml:space="preserve">, Sentencia </w:t>
      </w:r>
      <w:hyperlink w:anchor="SENTENCIA_2016_124" w:history="1">
        <w:r w:rsidRPr="00924F59">
          <w:rPr>
            <w:rStyle w:val="TextoNormalCaracter"/>
          </w:rPr>
          <w:t>124/2016</w:t>
        </w:r>
      </w:hyperlink>
      <w:r w:rsidRPr="00924F59">
        <w:rPr>
          <w:rStyle w:val="TextoNormalCaracter"/>
        </w:rPr>
        <w:t>, ff. 4, 7.</w:t>
      </w:r>
    </w:p>
    <w:p w:rsidR="00924F59" w:rsidRPr="00924F59" w:rsidRDefault="00924F59" w:rsidP="00924F59">
      <w:pPr>
        <w:pStyle w:val="TextoNormalSangraFrancesa"/>
        <w:rPr>
          <w:rStyle w:val="TextoNormalCaracter"/>
        </w:rPr>
      </w:pPr>
      <w:bookmarkStart w:id="1987" w:name="DESCRIPTORALFABETICO643"/>
      <w:r w:rsidRPr="00924F59">
        <w:rPr>
          <w:rStyle w:val="TextoNormalNegritaCaracter"/>
        </w:rPr>
        <w:t>Tratados internacionales no son canon de constitucionalidad autónomos</w:t>
      </w:r>
      <w:bookmarkEnd w:id="1987"/>
      <w:r w:rsidRPr="00924F59">
        <w:rPr>
          <w:rStyle w:val="TextoNormalCaracter"/>
        </w:rPr>
        <w:t xml:space="preserve">, Sentencias </w:t>
      </w:r>
      <w:hyperlink w:anchor="SENTENCIA_2016_19" w:history="1">
        <w:r w:rsidRPr="00924F59">
          <w:rPr>
            <w:rStyle w:val="TextoNormalCaracter"/>
          </w:rPr>
          <w:t>19/2016</w:t>
        </w:r>
      </w:hyperlink>
      <w:r w:rsidRPr="00924F59">
        <w:rPr>
          <w:rStyle w:val="TextoNormalCaracter"/>
        </w:rPr>
        <w:t xml:space="preserve">, f. 4; </w:t>
      </w:r>
      <w:hyperlink w:anchor="SENTENCIA_2016_29" w:history="1">
        <w:r w:rsidRPr="00924F59">
          <w:rPr>
            <w:rStyle w:val="TextoNormalCaracter"/>
          </w:rPr>
          <w:t>29/2016</w:t>
        </w:r>
      </w:hyperlink>
      <w:r w:rsidRPr="00924F59">
        <w:rPr>
          <w:rStyle w:val="TextoNormalCaracter"/>
        </w:rPr>
        <w:t xml:space="preserve">, f. 5; </w:t>
      </w:r>
      <w:hyperlink w:anchor="SENTENCIA_2016_61" w:history="1">
        <w:r w:rsidRPr="00924F59">
          <w:rPr>
            <w:rStyle w:val="TextoNormalCaracter"/>
          </w:rPr>
          <w:t>61/2016</w:t>
        </w:r>
      </w:hyperlink>
      <w:r w:rsidRPr="00924F59">
        <w:rPr>
          <w:rStyle w:val="TextoNormalCaracter"/>
        </w:rPr>
        <w:t>, f. 6.</w:t>
      </w:r>
    </w:p>
    <w:p w:rsidR="00924F59" w:rsidRPr="00924F59" w:rsidRDefault="00924F59" w:rsidP="00924F59">
      <w:pPr>
        <w:pStyle w:val="TextoNormalSangraFrancesa"/>
        <w:rPr>
          <w:rStyle w:val="TextoNormalCaracter"/>
        </w:rPr>
      </w:pPr>
      <w:bookmarkStart w:id="1988" w:name="DESCRIPTORALFABETICO170"/>
      <w:r w:rsidRPr="00924F59">
        <w:rPr>
          <w:rStyle w:val="TextoNormalNegritaCaracter"/>
        </w:rPr>
        <w:t>Tratamiento de datos personales</w:t>
      </w:r>
      <w:bookmarkEnd w:id="1988"/>
      <w:r w:rsidRPr="00924F59">
        <w:rPr>
          <w:rStyle w:val="TextoNormalCaracter"/>
        </w:rPr>
        <w:t xml:space="preserve">, Sentencia </w:t>
      </w:r>
      <w:hyperlink w:anchor="SENTENCIA_2016_39" w:history="1">
        <w:r w:rsidRPr="00924F59">
          <w:rPr>
            <w:rStyle w:val="TextoNormalCaracter"/>
          </w:rPr>
          <w:t>39/2016</w:t>
        </w:r>
      </w:hyperlink>
      <w:r w:rsidRPr="00924F59">
        <w:rPr>
          <w:rStyle w:val="TextoNormalCaracter"/>
        </w:rPr>
        <w:t>, ff. 1, 3, 4, VP I, VP II.</w:t>
      </w:r>
    </w:p>
    <w:p w:rsidR="00924F59" w:rsidRPr="00924F59" w:rsidRDefault="00924F59" w:rsidP="00924F59">
      <w:pPr>
        <w:pStyle w:val="TextoNormalSangraFrancesa"/>
        <w:rPr>
          <w:rStyle w:val="TextoNormalCaracter"/>
        </w:rPr>
      </w:pPr>
      <w:bookmarkStart w:id="1989" w:name="DESCRIPTORALFABETICO145"/>
      <w:r w:rsidRPr="00924F59">
        <w:rPr>
          <w:rStyle w:val="TextoNormalNegritaCaracter"/>
        </w:rPr>
        <w:t>Tratamiento diferenciado en prestaciones de la Seguridad Social</w:t>
      </w:r>
      <w:bookmarkEnd w:id="1989"/>
      <w:r w:rsidRPr="00924F59">
        <w:rPr>
          <w:rStyle w:val="TextoNormalCaracter"/>
        </w:rPr>
        <w:t xml:space="preserve">, Sentencia </w:t>
      </w:r>
      <w:hyperlink w:anchor="SENTENCIA_2016_81" w:history="1">
        <w:r w:rsidRPr="00924F59">
          <w:rPr>
            <w:rStyle w:val="TextoNormalCaracter"/>
          </w:rPr>
          <w:t>81/2016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990" w:name="DESCRIPTORALFABETICO144"/>
      <w:r w:rsidRPr="00924F59">
        <w:rPr>
          <w:rStyle w:val="TextoNormalNegritaCaracter"/>
        </w:rPr>
        <w:t>Tratamiento diferenciado entre trabajadores fijos y trabajadores temporales</w:t>
      </w:r>
      <w:bookmarkEnd w:id="1990"/>
      <w:r w:rsidRPr="00924F59">
        <w:rPr>
          <w:rStyle w:val="TextoNormalCaracter"/>
        </w:rPr>
        <w:t xml:space="preserve">, Sentencia </w:t>
      </w:r>
      <w:hyperlink w:anchor="SENTENCIA_2016_71" w:history="1">
        <w:r w:rsidRPr="00924F59">
          <w:rPr>
            <w:rStyle w:val="TextoNormalCaracter"/>
          </w:rPr>
          <w:t>71/2016</w:t>
        </w:r>
      </w:hyperlink>
      <w:r w:rsidRPr="00924F59">
        <w:rPr>
          <w:rStyle w:val="TextoNormalCaracter"/>
        </w:rPr>
        <w:t>, f. 4.</w:t>
      </w:r>
    </w:p>
    <w:p w:rsidR="00924F59" w:rsidRPr="00924F59" w:rsidRDefault="00924F59" w:rsidP="00924F59">
      <w:pPr>
        <w:pStyle w:val="TextoNormalSangraFrancesa"/>
        <w:rPr>
          <w:rStyle w:val="TextoNormalCaracter"/>
        </w:rPr>
      </w:pPr>
      <w:bookmarkStart w:id="1991" w:name="DESCRIPTORALFABETICO146"/>
      <w:r w:rsidRPr="00924F59">
        <w:rPr>
          <w:rStyle w:val="TextoNormalNegritaCaracter"/>
        </w:rPr>
        <w:t>Tratamiento legal diferenciado</w:t>
      </w:r>
      <w:bookmarkEnd w:id="1991"/>
      <w:r w:rsidRPr="00924F59">
        <w:rPr>
          <w:rStyle w:val="TextoNormalCaracter"/>
        </w:rPr>
        <w:t xml:space="preserve">, Sentencia </w:t>
      </w:r>
      <w:hyperlink w:anchor="SENTENCIA_2016_57" w:history="1">
        <w:r w:rsidRPr="00924F59">
          <w:rPr>
            <w:rStyle w:val="TextoNormalCaracter"/>
          </w:rPr>
          <w:t>57/2016</w:t>
        </w:r>
      </w:hyperlink>
      <w:r w:rsidRPr="00924F59">
        <w:rPr>
          <w:rStyle w:val="TextoNormalCaracter"/>
        </w:rPr>
        <w:t>, f. 9, VP.</w:t>
      </w:r>
    </w:p>
    <w:p w:rsidR="00924F59" w:rsidRPr="00924F59" w:rsidRDefault="00924F59" w:rsidP="00924F59">
      <w:pPr>
        <w:pStyle w:val="TextoNormalSangraFrancesa"/>
        <w:rPr>
          <w:rStyle w:val="TextoNormalCaracter"/>
        </w:rPr>
      </w:pPr>
      <w:bookmarkStart w:id="1992" w:name="DESCRIPTORALFABETICO644"/>
      <w:r w:rsidRPr="00924F59">
        <w:rPr>
          <w:rStyle w:val="TextoNormalNegritaCaracter"/>
        </w:rPr>
        <w:t>Tribunal Europeo de Derechos Humanos</w:t>
      </w:r>
      <w:bookmarkEnd w:id="1992"/>
      <w:r w:rsidRPr="00924F59">
        <w:rPr>
          <w:rStyle w:val="TextoNormalCaracter"/>
        </w:rPr>
        <w:t xml:space="preserve">, Sentencia </w:t>
      </w:r>
      <w:hyperlink w:anchor="SENTENCIA_2016_11" w:history="1">
        <w:r w:rsidRPr="00924F59">
          <w:rPr>
            <w:rStyle w:val="TextoNormalCaracter"/>
          </w:rPr>
          <w:t>11/2016</w:t>
        </w:r>
      </w:hyperlink>
      <w:r w:rsidRPr="00924F59">
        <w:rPr>
          <w:rStyle w:val="TextoNormalCaracter"/>
        </w:rPr>
        <w:t>, ff. 2, 3.</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ff. 4, VP.</w:t>
      </w:r>
    </w:p>
    <w:p w:rsidR="00924F59" w:rsidRPr="00924F59" w:rsidRDefault="00924F59" w:rsidP="00924F59">
      <w:pPr>
        <w:pStyle w:val="TextoNormalSangraFrancesa"/>
        <w:rPr>
          <w:rStyle w:val="TextoNormalCaracter"/>
        </w:rPr>
      </w:pPr>
      <w:bookmarkStart w:id="1993" w:name="DESCRIPTORALFABETICO121"/>
      <w:r w:rsidRPr="00924F59">
        <w:rPr>
          <w:rStyle w:val="TextoNormalNegritaCaracter"/>
        </w:rPr>
        <w:t>Tributos cedidos</w:t>
      </w:r>
      <w:bookmarkEnd w:id="1993"/>
      <w:r w:rsidRPr="00924F59">
        <w:rPr>
          <w:rStyle w:val="TextoNormalCaracter"/>
        </w:rPr>
        <w:t xml:space="preserve">, </w:t>
      </w:r>
    </w:p>
    <w:p w:rsidR="00924F59" w:rsidRPr="00924F59" w:rsidRDefault="00924F59" w:rsidP="00924F59">
      <w:pPr>
        <w:pStyle w:val="TextoNormalSangraFrancesa"/>
        <w:rPr>
          <w:rStyle w:val="TextoNormalCaracter"/>
        </w:rPr>
      </w:pPr>
      <w:r w:rsidRPr="00924F59">
        <w:rPr>
          <w:rStyle w:val="TextoNormalCursivaCaracter"/>
        </w:rPr>
        <w:t xml:space="preserve">    Régimen jurídico, </w:t>
      </w:r>
      <w:r w:rsidRPr="00924F59">
        <w:rPr>
          <w:rStyle w:val="TextoNormalCaracter"/>
        </w:rPr>
        <w:t xml:space="preserve">Sentencias </w:t>
      </w:r>
      <w:hyperlink w:anchor="SENTENCIA_2016_25" w:history="1">
        <w:r w:rsidRPr="00924F59">
          <w:rPr>
            <w:rStyle w:val="TextoNormalCaracter"/>
          </w:rPr>
          <w:t>25/2016</w:t>
        </w:r>
      </w:hyperlink>
      <w:r w:rsidRPr="00924F59">
        <w:rPr>
          <w:rStyle w:val="TextoNormalCaracter"/>
        </w:rPr>
        <w:t xml:space="preserve">, ff. 1 a 4; </w:t>
      </w:r>
      <w:hyperlink w:anchor="SENTENCIA_2016_33" w:history="1">
        <w:r w:rsidRPr="00924F59">
          <w:rPr>
            <w:rStyle w:val="TextoNormalCaracter"/>
          </w:rPr>
          <w:t>33/2016</w:t>
        </w:r>
      </w:hyperlink>
      <w:r w:rsidRPr="00924F59">
        <w:rPr>
          <w:rStyle w:val="TextoNormalCaracter"/>
        </w:rPr>
        <w:t>, f. 4.</w:t>
      </w:r>
    </w:p>
    <w:p w:rsidR="00924F59" w:rsidRPr="00924F59" w:rsidRDefault="00924F59" w:rsidP="00924F59">
      <w:pPr>
        <w:pStyle w:val="TextoNormalSangraFrancesa"/>
        <w:rPr>
          <w:rStyle w:val="TextoNormalCaracter"/>
        </w:rPr>
      </w:pPr>
      <w:bookmarkStart w:id="1994" w:name="DESCRIPTORALFABETICO83"/>
      <w:r w:rsidRPr="00924F59">
        <w:rPr>
          <w:rStyle w:val="TextoNormalNegritaCaracter"/>
        </w:rPr>
        <w:t>Tutela financiera de los Entes locales</w:t>
      </w:r>
      <w:bookmarkEnd w:id="1994"/>
      <w:r w:rsidRPr="00924F59">
        <w:rPr>
          <w:rStyle w:val="TextoNormalCaracter"/>
        </w:rPr>
        <w:t xml:space="preserve">, Sentencia </w:t>
      </w:r>
      <w:hyperlink w:anchor="SENTENCIA_2016_41" w:history="1">
        <w:r w:rsidRPr="00924F59">
          <w:rPr>
            <w:rStyle w:val="TextoNormalCaracter"/>
          </w:rPr>
          <w:t>41/2016</w:t>
        </w:r>
      </w:hyperlink>
      <w:r w:rsidRPr="00924F59">
        <w:rPr>
          <w:rStyle w:val="TextoNormalCaracter"/>
        </w:rPr>
        <w:t>, f. 7 a).</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U</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995" w:name="DESCRIPTORALFABETICO87"/>
      <w:r w:rsidRPr="00924F59">
        <w:rPr>
          <w:rStyle w:val="TextoNormalNegritaCaracter"/>
        </w:rPr>
        <w:t>Unidad de mercado</w:t>
      </w:r>
      <w:bookmarkEnd w:id="1995"/>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9; </w:t>
      </w:r>
      <w:hyperlink w:anchor="SENTENCIA_2016_20" w:history="1">
        <w:r w:rsidRPr="00924F59">
          <w:rPr>
            <w:rStyle w:val="TextoNormalCaracter"/>
          </w:rPr>
          <w:t>20/2016</w:t>
        </w:r>
      </w:hyperlink>
      <w:r w:rsidRPr="00924F59">
        <w:rPr>
          <w:rStyle w:val="TextoNormalCaracter"/>
        </w:rPr>
        <w:t>, ff. 2, 3.</w:t>
      </w:r>
    </w:p>
    <w:p w:rsidR="00924F59" w:rsidRPr="00924F59" w:rsidRDefault="00924F59" w:rsidP="00924F59">
      <w:pPr>
        <w:pStyle w:val="TextoNormalSangraFrancesa"/>
        <w:rPr>
          <w:rStyle w:val="TextoNormalCaracter"/>
        </w:rPr>
      </w:pPr>
      <w:bookmarkStart w:id="1996" w:name="DESCRIPTORALFABETICO584"/>
      <w:r w:rsidRPr="00924F59">
        <w:rPr>
          <w:rStyle w:val="TextoNormalNegritaCaracter"/>
        </w:rPr>
        <w:t>Unión de hecho</w:t>
      </w:r>
      <w:bookmarkEnd w:id="1996"/>
      <w:r w:rsidRPr="00924F59">
        <w:rPr>
          <w:rStyle w:val="TextoNormalCaracter"/>
        </w:rPr>
        <w:t xml:space="preserve">, Sentencias </w:t>
      </w:r>
      <w:hyperlink w:anchor="SENTENCIA_2016_81" w:history="1">
        <w:r w:rsidRPr="00924F59">
          <w:rPr>
            <w:rStyle w:val="TextoNormalCaracter"/>
          </w:rPr>
          <w:t>81/2016</w:t>
        </w:r>
      </w:hyperlink>
      <w:r w:rsidRPr="00924F59">
        <w:rPr>
          <w:rStyle w:val="TextoNormalCaracter"/>
        </w:rPr>
        <w:t xml:space="preserve">, ff. 1 a 3; </w:t>
      </w:r>
      <w:hyperlink w:anchor="SENTENCIA_2016_110" w:history="1">
        <w:r w:rsidRPr="00924F59">
          <w:rPr>
            <w:rStyle w:val="TextoNormalCaracter"/>
          </w:rPr>
          <w:t>110/2016</w:t>
        </w:r>
      </w:hyperlink>
      <w:r w:rsidRPr="00924F59">
        <w:rPr>
          <w:rStyle w:val="TextoNormalCaracter"/>
        </w:rPr>
        <w:t>, ff. 1 a 10, VP.</w:t>
      </w:r>
    </w:p>
    <w:p w:rsidR="00924F59" w:rsidRPr="00924F59" w:rsidRDefault="00924F59" w:rsidP="00924F59">
      <w:pPr>
        <w:pStyle w:val="TextoNormalSangraFrancesa"/>
        <w:rPr>
          <w:rStyle w:val="TextoNormalCaracter"/>
        </w:rPr>
      </w:pPr>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 4, VP.</w:t>
      </w:r>
    </w:p>
    <w:p w:rsidR="00924F59" w:rsidRPr="00924F59" w:rsidRDefault="00924F59" w:rsidP="00924F59">
      <w:pPr>
        <w:pStyle w:val="TextoNormalSangraFrancesa"/>
        <w:rPr>
          <w:rStyle w:val="TextoNormalCaracter"/>
        </w:rPr>
      </w:pPr>
      <w:bookmarkStart w:id="1997" w:name="DESCRIPTORALFABETICO624"/>
      <w:r w:rsidRPr="00924F59">
        <w:rPr>
          <w:rStyle w:val="TextoNormalNegritaCaracter"/>
        </w:rPr>
        <w:t>Urbanismo</w:t>
      </w:r>
      <w:bookmarkEnd w:id="1997"/>
      <w:r w:rsidRPr="00924F59">
        <w:rPr>
          <w:rStyle w:val="TextoNormalCaracter"/>
        </w:rPr>
        <w:t xml:space="preserve">, Sentencias </w:t>
      </w:r>
      <w:hyperlink w:anchor="SENTENCIA_2016_5" w:history="1">
        <w:r w:rsidRPr="00924F59">
          <w:rPr>
            <w:rStyle w:val="TextoNormalCaracter"/>
          </w:rPr>
          <w:t>5/2016</w:t>
        </w:r>
      </w:hyperlink>
      <w:r w:rsidRPr="00924F59">
        <w:rPr>
          <w:rStyle w:val="TextoNormalCaracter"/>
        </w:rPr>
        <w:t xml:space="preserve">, f. 1; </w:t>
      </w:r>
      <w:hyperlink w:anchor="SENTENCIA_2016_17" w:history="1">
        <w:r w:rsidRPr="00924F59">
          <w:rPr>
            <w:rStyle w:val="TextoNormalCaracter"/>
          </w:rPr>
          <w:t>17/2016</w:t>
        </w:r>
      </w:hyperlink>
      <w:r w:rsidRPr="00924F59">
        <w:rPr>
          <w:rStyle w:val="TextoNormalCaracter"/>
        </w:rPr>
        <w:t xml:space="preserve">, f. 3; </w:t>
      </w:r>
      <w:hyperlink w:anchor="SENTENCIA_2016_27" w:history="1">
        <w:r w:rsidRPr="00924F59">
          <w:rPr>
            <w:rStyle w:val="TextoNormalCaracter"/>
          </w:rPr>
          <w:t>27/2016</w:t>
        </w:r>
      </w:hyperlink>
      <w:r w:rsidRPr="00924F59">
        <w:rPr>
          <w:rStyle w:val="TextoNormalCaracter"/>
        </w:rPr>
        <w:t xml:space="preserve">, ff. 1 a 6; </w:t>
      </w:r>
      <w:hyperlink w:anchor="SENTENCIA_2016_92" w:history="1">
        <w:r w:rsidRPr="00924F59">
          <w:rPr>
            <w:rStyle w:val="TextoNormalCaracter"/>
          </w:rPr>
          <w:t>92/2016</w:t>
        </w:r>
      </w:hyperlink>
      <w:r w:rsidRPr="00924F59">
        <w:rPr>
          <w:rStyle w:val="TextoNormalCaracter"/>
        </w:rPr>
        <w:t xml:space="preserve">, ff. 1, 2; </w:t>
      </w:r>
      <w:hyperlink w:anchor="SENTENCIA_2016_93" w:history="1">
        <w:r w:rsidRPr="00924F59">
          <w:rPr>
            <w:rStyle w:val="TextoNormalCaracter"/>
          </w:rPr>
          <w:t>93/2016</w:t>
        </w:r>
      </w:hyperlink>
      <w:r w:rsidRPr="00924F59">
        <w:rPr>
          <w:rStyle w:val="TextoNormalCaracter"/>
        </w:rPr>
        <w:t xml:space="preserve">, ff. 1, 2; </w:t>
      </w:r>
      <w:hyperlink w:anchor="SENTENCIA_2016_98" w:history="1">
        <w:r w:rsidRPr="00924F59">
          <w:rPr>
            <w:rStyle w:val="TextoNormalCaracter"/>
          </w:rPr>
          <w:t>98/2016</w:t>
        </w:r>
      </w:hyperlink>
      <w:r w:rsidRPr="00924F59">
        <w:rPr>
          <w:rStyle w:val="TextoNormalCaracter"/>
        </w:rPr>
        <w:t xml:space="preserve">, ff. 1, 2; </w:t>
      </w:r>
      <w:hyperlink w:anchor="SENTENCIA_2016_113" w:history="1">
        <w:r w:rsidRPr="00924F59">
          <w:rPr>
            <w:rStyle w:val="TextoNormalCaracter"/>
          </w:rPr>
          <w:t>113/2016</w:t>
        </w:r>
      </w:hyperlink>
      <w:r w:rsidRPr="00924F59">
        <w:rPr>
          <w:rStyle w:val="TextoNormalCaracter"/>
        </w:rPr>
        <w:t xml:space="preserve">, ff. 1, 2; </w:t>
      </w:r>
      <w:hyperlink w:anchor="SENTENCIA_2016_114" w:history="1">
        <w:r w:rsidRPr="00924F59">
          <w:rPr>
            <w:rStyle w:val="TextoNormalCaracter"/>
          </w:rPr>
          <w:t>114/2016</w:t>
        </w:r>
      </w:hyperlink>
      <w:r w:rsidRPr="00924F59">
        <w:rPr>
          <w:rStyle w:val="TextoNormalCaracter"/>
        </w:rPr>
        <w:t xml:space="preserve">, ff. 1 a 3; </w:t>
      </w:r>
      <w:hyperlink w:anchor="SENTENCIA_2016_115" w:history="1">
        <w:r w:rsidRPr="00924F59">
          <w:rPr>
            <w:rStyle w:val="TextoNormalCaracter"/>
          </w:rPr>
          <w:t>115/2016</w:t>
        </w:r>
      </w:hyperlink>
      <w:r w:rsidRPr="00924F59">
        <w:rPr>
          <w:rStyle w:val="TextoNormalCaracter"/>
        </w:rPr>
        <w:t>, ff. 1 a 3.</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74" w:history="1">
        <w:r w:rsidRPr="00924F59">
          <w:rPr>
            <w:rStyle w:val="TextoNormalCaracter"/>
          </w:rPr>
          <w:t>74/2016</w:t>
        </w:r>
      </w:hyperlink>
      <w:r w:rsidRPr="00924F59">
        <w:rPr>
          <w:rStyle w:val="TextoNormalCaracter"/>
        </w:rPr>
        <w:t xml:space="preserve">, f. único; </w:t>
      </w:r>
      <w:hyperlink w:anchor="AUTO_2016_79" w:history="1">
        <w:r w:rsidRPr="00924F59">
          <w:rPr>
            <w:rStyle w:val="TextoNormalCaracter"/>
          </w:rPr>
          <w:t>79/2016</w:t>
        </w:r>
      </w:hyperlink>
      <w:r w:rsidRPr="00924F59">
        <w:rPr>
          <w:rStyle w:val="TextoNormalCaracter"/>
        </w:rPr>
        <w:t xml:space="preserve">, f. único; </w:t>
      </w:r>
      <w:hyperlink w:anchor="AUTO_2016_104" w:history="1">
        <w:r w:rsidRPr="00924F59">
          <w:rPr>
            <w:rStyle w:val="TextoNormalCaracter"/>
          </w:rPr>
          <w:t>104/2016</w:t>
        </w:r>
      </w:hyperlink>
      <w:r w:rsidRPr="00924F59">
        <w:rPr>
          <w:rStyle w:val="TextoNormalCaracter"/>
        </w:rPr>
        <w:t>, ff. 1, 3.</w:t>
      </w:r>
    </w:p>
    <w:p w:rsidR="00924F59" w:rsidRPr="00924F59" w:rsidRDefault="00924F59" w:rsidP="00924F59">
      <w:pPr>
        <w:pStyle w:val="TextoNormalSangraFrancesa"/>
        <w:rPr>
          <w:rStyle w:val="TextoNormalCaracter"/>
        </w:rPr>
      </w:pPr>
      <w:bookmarkStart w:id="1998" w:name="DESCRIPTORALFABETICO444"/>
      <w:r w:rsidRPr="00924F59">
        <w:rPr>
          <w:rStyle w:val="TextoNormalNegritaCaracter"/>
        </w:rPr>
        <w:t>Uso de lenguas oficiales en la enseñanza</w:t>
      </w:r>
      <w:bookmarkEnd w:id="1998"/>
      <w:r w:rsidRPr="00924F59">
        <w:rPr>
          <w:rStyle w:val="TextoNormalCaracter"/>
        </w:rPr>
        <w:t xml:space="preserve">, Sentencia </w:t>
      </w:r>
      <w:hyperlink w:anchor="SENTENCIA_2016_38" w:history="1">
        <w:r w:rsidRPr="00924F59">
          <w:rPr>
            <w:rStyle w:val="TextoNormalCaracter"/>
          </w:rPr>
          <w:t>38/2016</w:t>
        </w:r>
      </w:hyperlink>
      <w:r w:rsidRPr="00924F59">
        <w:rPr>
          <w:rStyle w:val="TextoNormalCaracter"/>
        </w:rPr>
        <w:t>, ff. 2 a 8.</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V</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1999" w:name="DESCRIPTORALFABETICO634"/>
      <w:r w:rsidRPr="00924F59">
        <w:rPr>
          <w:rStyle w:val="TextoNormalNegritaCaracter"/>
        </w:rPr>
        <w:t>Valor real del suelo</w:t>
      </w:r>
      <w:bookmarkEnd w:id="1999"/>
      <w:r w:rsidRPr="00924F59">
        <w:rPr>
          <w:rStyle w:val="TextoNormalCaracter"/>
        </w:rPr>
        <w:t xml:space="preserve">, Auto </w:t>
      </w:r>
      <w:hyperlink w:anchor="AUTO_2016_70" w:history="1">
        <w:r w:rsidRPr="00924F59">
          <w:rPr>
            <w:rStyle w:val="TextoNormalCaracter"/>
          </w:rPr>
          <w:t>70/2016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2000" w:name="DESCRIPTORALFABETICO502"/>
      <w:r w:rsidRPr="00924F59">
        <w:rPr>
          <w:rStyle w:val="TextoNormalNegritaCaracter"/>
        </w:rPr>
        <w:t>Valoración de méritos</w:t>
      </w:r>
      <w:bookmarkEnd w:id="2000"/>
      <w:r w:rsidRPr="00924F59">
        <w:rPr>
          <w:rStyle w:val="TextoNormalCaracter"/>
        </w:rPr>
        <w:t xml:space="preserve">, Sentencia </w:t>
      </w:r>
      <w:hyperlink w:anchor="SENTENCIA_2016_86" w:history="1">
        <w:r w:rsidRPr="00924F59">
          <w:rPr>
            <w:rStyle w:val="TextoNormalCaracter"/>
          </w:rPr>
          <w:t>86/2016</w:t>
        </w:r>
      </w:hyperlink>
      <w:r w:rsidRPr="00924F59">
        <w:rPr>
          <w:rStyle w:val="TextoNormalCaracter"/>
        </w:rPr>
        <w:t>, ff. 4 a 6.</w:t>
      </w:r>
    </w:p>
    <w:p w:rsidR="00924F59" w:rsidRPr="00924F59" w:rsidRDefault="00924F59" w:rsidP="00924F59">
      <w:pPr>
        <w:pStyle w:val="TextoNormalSangraFrancesa"/>
        <w:rPr>
          <w:rStyle w:val="TextoNormalCaracter"/>
        </w:rPr>
      </w:pPr>
      <w:bookmarkStart w:id="2001" w:name="DESCRIPTORALFABETICO633"/>
      <w:r w:rsidRPr="00924F59">
        <w:rPr>
          <w:rStyle w:val="TextoNormalNegritaCaracter"/>
        </w:rPr>
        <w:t>Valoraciones urbanísticas</w:t>
      </w:r>
      <w:bookmarkEnd w:id="2001"/>
      <w:r w:rsidRPr="00924F59">
        <w:rPr>
          <w:rStyle w:val="TextoNormalCaracter"/>
        </w:rPr>
        <w:t xml:space="preserve">, Auto </w:t>
      </w:r>
      <w:hyperlink w:anchor="AUTO_2016_70" w:history="1">
        <w:r w:rsidRPr="00924F59">
          <w:rPr>
            <w:rStyle w:val="TextoNormalCaracter"/>
          </w:rPr>
          <w:t>70/2016</w:t>
        </w:r>
      </w:hyperlink>
      <w:r w:rsidRPr="00924F59">
        <w:rPr>
          <w:rStyle w:val="TextoNormalCaracter"/>
        </w:rPr>
        <w:t>, ff. 1 a 6.</w:t>
      </w:r>
    </w:p>
    <w:p w:rsidR="00924F59" w:rsidRPr="00924F59" w:rsidRDefault="00924F59" w:rsidP="00924F59">
      <w:pPr>
        <w:pStyle w:val="TextoNormalSangraFrancesa"/>
        <w:rPr>
          <w:rStyle w:val="TextoNormalCaracter"/>
        </w:rPr>
      </w:pPr>
      <w:bookmarkStart w:id="2002" w:name="DESCRIPTORALFABETICO523"/>
      <w:r w:rsidRPr="00924F59">
        <w:rPr>
          <w:rStyle w:val="TextoNormalNegritaCaracter"/>
        </w:rPr>
        <w:t>Ventas a pérdida</w:t>
      </w:r>
      <w:bookmarkEnd w:id="2002"/>
      <w:r w:rsidRPr="00924F59">
        <w:rPr>
          <w:rStyle w:val="TextoNormalCaracter"/>
        </w:rPr>
        <w:t xml:space="preserve">, Sentencia </w:t>
      </w:r>
      <w:hyperlink w:anchor="SENTENCIA_2016_18" w:history="1">
        <w:r w:rsidRPr="00924F59">
          <w:rPr>
            <w:rStyle w:val="TextoNormalCaracter"/>
          </w:rPr>
          <w:t>18/2016</w:t>
        </w:r>
      </w:hyperlink>
      <w:r w:rsidRPr="00924F59">
        <w:rPr>
          <w:rStyle w:val="TextoNormalCaracter"/>
        </w:rPr>
        <w:t>, f. 10.</w:t>
      </w:r>
    </w:p>
    <w:p w:rsidR="00924F59" w:rsidRPr="00924F59" w:rsidRDefault="00924F59" w:rsidP="00924F59">
      <w:pPr>
        <w:pStyle w:val="TextoNormalSangraFrancesa"/>
        <w:rPr>
          <w:rStyle w:val="TextoNormalCaracter"/>
        </w:rPr>
      </w:pPr>
      <w:bookmarkStart w:id="2003" w:name="DESCRIPTORALFABETICO524"/>
      <w:r w:rsidRPr="00924F59">
        <w:rPr>
          <w:rStyle w:val="TextoNormalNegritaCaracter"/>
        </w:rPr>
        <w:t>Ventas de promoción</w:t>
      </w:r>
      <w:bookmarkEnd w:id="2003"/>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10; </w:t>
      </w:r>
      <w:hyperlink w:anchor="SENTENCIA_2016_37" w:history="1">
        <w:r w:rsidRPr="00924F59">
          <w:rPr>
            <w:rStyle w:val="TextoNormalCaracter"/>
          </w:rPr>
          <w:t>37/2016</w:t>
        </w:r>
      </w:hyperlink>
      <w:r w:rsidRPr="00924F59">
        <w:rPr>
          <w:rStyle w:val="TextoNormalCaracter"/>
        </w:rPr>
        <w:t>, f. 5.</w:t>
      </w:r>
    </w:p>
    <w:p w:rsidR="00924F59" w:rsidRPr="00924F59" w:rsidRDefault="00924F59" w:rsidP="00924F59">
      <w:pPr>
        <w:pStyle w:val="TextoNormalSangraFrancesa"/>
        <w:rPr>
          <w:rStyle w:val="TextoNormalCaracter"/>
        </w:rPr>
      </w:pPr>
      <w:bookmarkStart w:id="2004" w:name="DESCRIPTORALFABETICO525"/>
      <w:r w:rsidRPr="00924F59">
        <w:rPr>
          <w:rStyle w:val="TextoNormalNegritaCaracter"/>
        </w:rPr>
        <w:t>Ventas de saldos</w:t>
      </w:r>
      <w:bookmarkEnd w:id="2004"/>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10; </w:t>
      </w:r>
      <w:hyperlink w:anchor="SENTENCIA_2016_37" w:history="1">
        <w:r w:rsidRPr="00924F59">
          <w:rPr>
            <w:rStyle w:val="TextoNormalCaracter"/>
          </w:rPr>
          <w:t>37/2016</w:t>
        </w:r>
      </w:hyperlink>
      <w:r w:rsidRPr="00924F59">
        <w:rPr>
          <w:rStyle w:val="TextoNormalCaracter"/>
        </w:rPr>
        <w:t>, f. 5.</w:t>
      </w:r>
    </w:p>
    <w:p w:rsidR="00924F59" w:rsidRPr="00924F59" w:rsidRDefault="00924F59" w:rsidP="00924F59">
      <w:pPr>
        <w:pStyle w:val="TextoNormalSangraFrancesa"/>
        <w:rPr>
          <w:rStyle w:val="TextoNormalCaracter"/>
        </w:rPr>
      </w:pPr>
      <w:bookmarkStart w:id="2005" w:name="DESCRIPTORALFABETICO526"/>
      <w:r w:rsidRPr="00924F59">
        <w:rPr>
          <w:rStyle w:val="TextoNormalNegritaCaracter"/>
        </w:rPr>
        <w:t>Ventas en liquidación</w:t>
      </w:r>
      <w:bookmarkEnd w:id="2005"/>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10; </w:t>
      </w:r>
      <w:hyperlink w:anchor="SENTENCIA_2016_37" w:history="1">
        <w:r w:rsidRPr="00924F59">
          <w:rPr>
            <w:rStyle w:val="TextoNormalCaracter"/>
          </w:rPr>
          <w:t>37/2016</w:t>
        </w:r>
      </w:hyperlink>
      <w:r w:rsidRPr="00924F59">
        <w:rPr>
          <w:rStyle w:val="TextoNormalCaracter"/>
        </w:rPr>
        <w:t>, f. 5.</w:t>
      </w:r>
    </w:p>
    <w:p w:rsidR="00924F59" w:rsidRPr="00924F59" w:rsidRDefault="00924F59" w:rsidP="00924F59">
      <w:pPr>
        <w:pStyle w:val="TextoNormalSangraFrancesa"/>
        <w:rPr>
          <w:rStyle w:val="TextoNormalCaracter"/>
        </w:rPr>
      </w:pPr>
      <w:bookmarkStart w:id="2006" w:name="DESCRIPTORALFABETICO527"/>
      <w:r w:rsidRPr="00924F59">
        <w:rPr>
          <w:rStyle w:val="TextoNormalNegritaCaracter"/>
        </w:rPr>
        <w:t>Ventas en rebajas</w:t>
      </w:r>
      <w:bookmarkEnd w:id="2006"/>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10; </w:t>
      </w:r>
      <w:hyperlink w:anchor="SENTENCIA_2016_37" w:history="1">
        <w:r w:rsidRPr="00924F59">
          <w:rPr>
            <w:rStyle w:val="TextoNormalCaracter"/>
          </w:rPr>
          <w:t>37/2016</w:t>
        </w:r>
      </w:hyperlink>
      <w:r w:rsidRPr="00924F59">
        <w:rPr>
          <w:rStyle w:val="TextoNormalCaracter"/>
        </w:rPr>
        <w:t xml:space="preserve">, f. 5; </w:t>
      </w:r>
      <w:hyperlink w:anchor="SENTENCIA_2016_59" w:history="1">
        <w:r w:rsidRPr="00924F59">
          <w:rPr>
            <w:rStyle w:val="TextoNormalCaracter"/>
          </w:rPr>
          <w:t>59/2016</w:t>
        </w:r>
      </w:hyperlink>
      <w:r w:rsidRPr="00924F59">
        <w:rPr>
          <w:rStyle w:val="TextoNormalCaracter"/>
        </w:rPr>
        <w:t>, f. 5.</w:t>
      </w:r>
    </w:p>
    <w:p w:rsidR="00924F59" w:rsidRPr="00924F59" w:rsidRDefault="00924F59" w:rsidP="00924F59">
      <w:pPr>
        <w:pStyle w:val="TextoNormalSangraFrancesa"/>
        <w:rPr>
          <w:rStyle w:val="TextoNormalCaracter"/>
        </w:rPr>
      </w:pPr>
      <w:bookmarkStart w:id="2007" w:name="DESCRIPTORALFABETICO727"/>
      <w:r w:rsidRPr="00924F59">
        <w:rPr>
          <w:rStyle w:val="TextoNormalNegritaCaracter"/>
        </w:rPr>
        <w:t>Viabilidad del feto</w:t>
      </w:r>
      <w:bookmarkEnd w:id="2007"/>
      <w:r w:rsidRPr="00924F59">
        <w:rPr>
          <w:rStyle w:val="TextoNormalCaracter"/>
        </w:rPr>
        <w:t xml:space="preserve">, Sentencia </w:t>
      </w:r>
      <w:hyperlink w:anchor="SENTENCIA_2016_11" w:history="1">
        <w:r w:rsidRPr="00924F59">
          <w:rPr>
            <w:rStyle w:val="TextoNormalCaracter"/>
          </w:rPr>
          <w:t>11/2016</w:t>
        </w:r>
      </w:hyperlink>
      <w:r w:rsidRPr="00924F59">
        <w:rPr>
          <w:rStyle w:val="TextoNormalCaracter"/>
        </w:rPr>
        <w:t>, f. 1.</w:t>
      </w:r>
    </w:p>
    <w:p w:rsidR="00924F59" w:rsidRPr="00924F59" w:rsidRDefault="00924F59" w:rsidP="00924F59">
      <w:pPr>
        <w:pStyle w:val="TextoNormalSangraFrancesa"/>
        <w:rPr>
          <w:rStyle w:val="TextoNormalCaracter"/>
        </w:rPr>
      </w:pPr>
      <w:bookmarkStart w:id="2008" w:name="DESCRIPTORALFABETICO715"/>
      <w:r w:rsidRPr="00924F59">
        <w:rPr>
          <w:rStyle w:val="TextoNormalNegritaCaracter"/>
        </w:rPr>
        <w:t>Vigencia de las normas jurídicas</w:t>
      </w:r>
      <w:bookmarkEnd w:id="2008"/>
      <w:r w:rsidRPr="00924F59">
        <w:rPr>
          <w:rStyle w:val="TextoNormalCaracter"/>
        </w:rPr>
        <w:t xml:space="preserve">, Sentencia </w:t>
      </w:r>
      <w:hyperlink w:anchor="SENTENCIA_2016_96" w:history="1">
        <w:r w:rsidRPr="00924F59">
          <w:rPr>
            <w:rStyle w:val="TextoNormalCaracter"/>
          </w:rPr>
          <w:t>96/2016</w:t>
        </w:r>
      </w:hyperlink>
      <w:r w:rsidRPr="00924F59">
        <w:rPr>
          <w:rStyle w:val="TextoNormalCaracter"/>
        </w:rPr>
        <w:t>, f. 3.</w:t>
      </w:r>
    </w:p>
    <w:p w:rsidR="00924F59" w:rsidRPr="00924F59" w:rsidRDefault="00924F59" w:rsidP="00924F59">
      <w:pPr>
        <w:pStyle w:val="TextoNormalSangraFrancesa"/>
        <w:rPr>
          <w:rStyle w:val="TextoNormalCaracter"/>
        </w:rPr>
      </w:pPr>
      <w:bookmarkStart w:id="2009" w:name="DESCRIPTORALFABETICO583"/>
      <w:r w:rsidRPr="00924F59">
        <w:rPr>
          <w:rStyle w:val="TextoNormalNegritaCaracter"/>
        </w:rPr>
        <w:t>Vínculo matrimonial</w:t>
      </w:r>
      <w:bookmarkEnd w:id="2009"/>
      <w:r w:rsidRPr="00924F59">
        <w:rPr>
          <w:rStyle w:val="TextoNormalCaracter"/>
        </w:rPr>
        <w:t xml:space="preserve">, Auto </w:t>
      </w:r>
      <w:hyperlink w:anchor="AUTO_2016_129" w:history="1">
        <w:r w:rsidRPr="00924F59">
          <w:rPr>
            <w:rStyle w:val="TextoNormalCaracter"/>
          </w:rPr>
          <w:t>129/2016</w:t>
        </w:r>
      </w:hyperlink>
      <w:r w:rsidRPr="00924F59">
        <w:rPr>
          <w:rStyle w:val="TextoNormalCaracter"/>
        </w:rPr>
        <w:t>, ff. 2, 4, VP.</w:t>
      </w:r>
    </w:p>
    <w:p w:rsidR="00924F59" w:rsidRPr="00924F59" w:rsidRDefault="00924F59" w:rsidP="00924F59">
      <w:pPr>
        <w:pStyle w:val="TextoNormalSangraFrancesa"/>
        <w:rPr>
          <w:rStyle w:val="TextoNormalCaracter"/>
        </w:rPr>
      </w:pPr>
      <w:bookmarkStart w:id="2010" w:name="DESCRIPTORALFABETICO603"/>
      <w:r w:rsidRPr="00924F59">
        <w:rPr>
          <w:rStyle w:val="TextoNormalNegritaCaracter"/>
        </w:rPr>
        <w:t>Violencia doméstica y/o violencia de género</w:t>
      </w:r>
      <w:bookmarkEnd w:id="2010"/>
      <w:r w:rsidRPr="00924F59">
        <w:rPr>
          <w:rStyle w:val="TextoNormalCaracter"/>
        </w:rPr>
        <w:t xml:space="preserve">, Sentencia </w:t>
      </w:r>
      <w:hyperlink w:anchor="SENTENCIA_2016_16" w:history="1">
        <w:r w:rsidRPr="00924F59">
          <w:rPr>
            <w:rStyle w:val="TextoNormalCaracter"/>
          </w:rPr>
          <w:t>16/2016</w:t>
        </w:r>
      </w:hyperlink>
      <w:r w:rsidRPr="00924F59">
        <w:rPr>
          <w:rStyle w:val="TextoNormalCaracter"/>
        </w:rPr>
        <w:t>, f. 1.</w:t>
      </w:r>
    </w:p>
    <w:p w:rsidR="00924F59" w:rsidRPr="00924F59" w:rsidRDefault="00924F59" w:rsidP="00924F59">
      <w:pPr>
        <w:pStyle w:val="TextoNormalSangraFrancesa"/>
        <w:rPr>
          <w:rStyle w:val="TextoNormalCaracter"/>
        </w:rPr>
      </w:pPr>
      <w:bookmarkStart w:id="2011" w:name="DESCRIPTORALFABETICO795"/>
      <w:r w:rsidRPr="00924F59">
        <w:rPr>
          <w:rStyle w:val="TextoNormalNegritaCaracter"/>
        </w:rPr>
        <w:t>Vivienda</w:t>
      </w:r>
      <w:bookmarkEnd w:id="2011"/>
      <w:r w:rsidRPr="00924F59">
        <w:rPr>
          <w:rStyle w:val="TextoNormalCaracter"/>
        </w:rPr>
        <w:t xml:space="preserve">, Sentencia </w:t>
      </w:r>
      <w:hyperlink w:anchor="SENTENCIA_2016_17" w:history="1">
        <w:r w:rsidRPr="00924F59">
          <w:rPr>
            <w:rStyle w:val="TextoNormalCaracter"/>
          </w:rPr>
          <w:t>17/2016</w:t>
        </w:r>
      </w:hyperlink>
      <w:r w:rsidRPr="00924F59">
        <w:rPr>
          <w:rStyle w:val="TextoNormalCaracter"/>
        </w:rPr>
        <w:t>, ff. 3, 4.</w:t>
      </w:r>
    </w:p>
    <w:p w:rsidR="00924F59" w:rsidRPr="00924F59" w:rsidRDefault="00924F59" w:rsidP="00924F59">
      <w:pPr>
        <w:pStyle w:val="TextoNormalSangraFrancesa"/>
        <w:rPr>
          <w:rStyle w:val="TextoNormalCaracter"/>
        </w:rPr>
      </w:pPr>
      <w:bookmarkStart w:id="2012" w:name="DESCRIPTORALFABETICO355"/>
      <w:r w:rsidRPr="00924F59">
        <w:rPr>
          <w:rStyle w:val="TextoNormalNegritaCaracter"/>
        </w:rPr>
        <w:t>Voto particular, formulado uno</w:t>
      </w:r>
      <w:bookmarkEnd w:id="2012"/>
      <w:r w:rsidRPr="00924F59">
        <w:rPr>
          <w:rStyle w:val="TextoNormalCaracter"/>
        </w:rPr>
        <w:t xml:space="preserve">, Sentencias </w:t>
      </w:r>
      <w:hyperlink w:anchor="SENTENCIA_2016_9" w:history="1">
        <w:r w:rsidRPr="00924F59">
          <w:rPr>
            <w:rStyle w:val="TextoNormalCaracter"/>
          </w:rPr>
          <w:t>9/2016</w:t>
        </w:r>
      </w:hyperlink>
      <w:r w:rsidRPr="00924F59">
        <w:rPr>
          <w:rStyle w:val="TextoNormalCaracter"/>
        </w:rPr>
        <w:t xml:space="preserve">; </w:t>
      </w:r>
      <w:hyperlink w:anchor="SENTENCIA_2016_18" w:history="1">
        <w:r w:rsidRPr="00924F59">
          <w:rPr>
            <w:rStyle w:val="TextoNormalCaracter"/>
          </w:rPr>
          <w:t>18/2016</w:t>
        </w:r>
      </w:hyperlink>
      <w:r w:rsidRPr="00924F59">
        <w:rPr>
          <w:rStyle w:val="TextoNormalCaracter"/>
        </w:rPr>
        <w:t xml:space="preserve">; </w:t>
      </w:r>
      <w:hyperlink w:anchor="SENTENCIA_2016_19" w:history="1">
        <w:r w:rsidRPr="00924F59">
          <w:rPr>
            <w:rStyle w:val="TextoNormalCaracter"/>
          </w:rPr>
          <w:t>19/2016</w:t>
        </w:r>
      </w:hyperlink>
      <w:r w:rsidRPr="00924F59">
        <w:rPr>
          <w:rStyle w:val="TextoNormalCaracter"/>
        </w:rPr>
        <w:t xml:space="preserve">; </w:t>
      </w:r>
      <w:hyperlink w:anchor="SENTENCIA_2016_26" w:history="1">
        <w:r w:rsidRPr="00924F59">
          <w:rPr>
            <w:rStyle w:val="TextoNormalCaracter"/>
          </w:rPr>
          <w:t>26/2016</w:t>
        </w:r>
      </w:hyperlink>
      <w:r w:rsidRPr="00924F59">
        <w:rPr>
          <w:rStyle w:val="TextoNormalCaracter"/>
        </w:rPr>
        <w:t xml:space="preserve">; </w:t>
      </w:r>
      <w:hyperlink w:anchor="SENTENCIA_2016_29" w:history="1">
        <w:r w:rsidRPr="00924F59">
          <w:rPr>
            <w:rStyle w:val="TextoNormalCaracter"/>
          </w:rPr>
          <w:t>29/2016</w:t>
        </w:r>
      </w:hyperlink>
      <w:r w:rsidRPr="00924F59">
        <w:rPr>
          <w:rStyle w:val="TextoNormalCaracter"/>
        </w:rPr>
        <w:t xml:space="preserve">; </w:t>
      </w:r>
      <w:hyperlink w:anchor="SENTENCIA_2016_30" w:history="1">
        <w:r w:rsidRPr="00924F59">
          <w:rPr>
            <w:rStyle w:val="TextoNormalCaracter"/>
          </w:rPr>
          <w:t>30/2016</w:t>
        </w:r>
      </w:hyperlink>
      <w:r w:rsidRPr="00924F59">
        <w:rPr>
          <w:rStyle w:val="TextoNormalCaracter"/>
        </w:rPr>
        <w:t xml:space="preserve">; </w:t>
      </w:r>
      <w:hyperlink w:anchor="SENTENCIA_2016_42" w:history="1">
        <w:r w:rsidRPr="00924F59">
          <w:rPr>
            <w:rStyle w:val="TextoNormalCaracter"/>
          </w:rPr>
          <w:t>42/2016</w:t>
        </w:r>
      </w:hyperlink>
      <w:r w:rsidRPr="00924F59">
        <w:rPr>
          <w:rStyle w:val="TextoNormalCaracter"/>
        </w:rPr>
        <w:t xml:space="preserve">; </w:t>
      </w:r>
      <w:hyperlink w:anchor="SENTENCIA_2016_54" w:history="1">
        <w:r w:rsidRPr="00924F59">
          <w:rPr>
            <w:rStyle w:val="TextoNormalCaracter"/>
          </w:rPr>
          <w:t>54/2016</w:t>
        </w:r>
      </w:hyperlink>
      <w:r w:rsidRPr="00924F59">
        <w:rPr>
          <w:rStyle w:val="TextoNormalCaracter"/>
        </w:rPr>
        <w:t xml:space="preserve">; </w:t>
      </w:r>
      <w:hyperlink w:anchor="SENTENCIA_2016_57" w:history="1">
        <w:r w:rsidRPr="00924F59">
          <w:rPr>
            <w:rStyle w:val="TextoNormalCaracter"/>
          </w:rPr>
          <w:t>57/2016</w:t>
        </w:r>
      </w:hyperlink>
      <w:r w:rsidRPr="00924F59">
        <w:rPr>
          <w:rStyle w:val="TextoNormalCaracter"/>
        </w:rPr>
        <w:t xml:space="preserve">; </w:t>
      </w:r>
      <w:hyperlink w:anchor="SENTENCIA_2016_61" w:history="1">
        <w:r w:rsidRPr="00924F59">
          <w:rPr>
            <w:rStyle w:val="TextoNormalCaracter"/>
          </w:rPr>
          <w:t>61/2016</w:t>
        </w:r>
      </w:hyperlink>
      <w:r w:rsidRPr="00924F59">
        <w:rPr>
          <w:rStyle w:val="TextoNormalCaracter"/>
        </w:rPr>
        <w:t xml:space="preserve">, f. 7; </w:t>
      </w:r>
      <w:hyperlink w:anchor="SENTENCIA_2016_64" w:history="1">
        <w:r w:rsidRPr="00924F59">
          <w:rPr>
            <w:rStyle w:val="TextoNormalCaracter"/>
          </w:rPr>
          <w:t>64/2016</w:t>
        </w:r>
      </w:hyperlink>
      <w:r w:rsidRPr="00924F59">
        <w:rPr>
          <w:rStyle w:val="TextoNormalCaracter"/>
        </w:rPr>
        <w:t xml:space="preserve">; </w:t>
      </w:r>
      <w:hyperlink w:anchor="SENTENCIA_2016_66" w:history="1">
        <w:r w:rsidRPr="00924F59">
          <w:rPr>
            <w:rStyle w:val="TextoNormalCaracter"/>
          </w:rPr>
          <w:t>66/2016</w:t>
        </w:r>
      </w:hyperlink>
      <w:r w:rsidRPr="00924F59">
        <w:rPr>
          <w:rStyle w:val="TextoNormalCaracter"/>
        </w:rPr>
        <w:t xml:space="preserve">; </w:t>
      </w:r>
      <w:hyperlink w:anchor="SENTENCIA_2016_67" w:history="1">
        <w:r w:rsidRPr="00924F59">
          <w:rPr>
            <w:rStyle w:val="TextoNormalCaracter"/>
          </w:rPr>
          <w:t>67/2016</w:t>
        </w:r>
      </w:hyperlink>
      <w:r w:rsidRPr="00924F59">
        <w:rPr>
          <w:rStyle w:val="TextoNormalCaracter"/>
        </w:rPr>
        <w:t xml:space="preserve">; </w:t>
      </w:r>
      <w:hyperlink w:anchor="SENTENCIA_2016_68" w:history="1">
        <w:r w:rsidRPr="00924F59">
          <w:rPr>
            <w:rStyle w:val="TextoNormalCaracter"/>
          </w:rPr>
          <w:t>68/2016</w:t>
        </w:r>
      </w:hyperlink>
      <w:r w:rsidRPr="00924F59">
        <w:rPr>
          <w:rStyle w:val="TextoNormalCaracter"/>
        </w:rPr>
        <w:t xml:space="preserve">; </w:t>
      </w:r>
      <w:hyperlink w:anchor="SENTENCIA_2016_74" w:history="1">
        <w:r w:rsidRPr="00924F59">
          <w:rPr>
            <w:rStyle w:val="TextoNormalCaracter"/>
          </w:rPr>
          <w:t>74/2016</w:t>
        </w:r>
      </w:hyperlink>
      <w:r w:rsidRPr="00924F59">
        <w:rPr>
          <w:rStyle w:val="TextoNormalCaracter"/>
        </w:rPr>
        <w:t xml:space="preserve">; </w:t>
      </w:r>
      <w:hyperlink w:anchor="SENTENCIA_2016_81" w:history="1">
        <w:r w:rsidRPr="00924F59">
          <w:rPr>
            <w:rStyle w:val="TextoNormalCaracter"/>
          </w:rPr>
          <w:t>81/2016</w:t>
        </w:r>
      </w:hyperlink>
      <w:r w:rsidRPr="00924F59">
        <w:rPr>
          <w:rStyle w:val="TextoNormalCaracter"/>
        </w:rPr>
        <w:t xml:space="preserve">; </w:t>
      </w:r>
      <w:hyperlink w:anchor="SENTENCIA_2016_82" w:history="1">
        <w:r w:rsidRPr="00924F59">
          <w:rPr>
            <w:rStyle w:val="TextoNormalCaracter"/>
          </w:rPr>
          <w:t>82/2016</w:t>
        </w:r>
      </w:hyperlink>
      <w:r w:rsidRPr="00924F59">
        <w:rPr>
          <w:rStyle w:val="TextoNormalCaracter"/>
        </w:rPr>
        <w:t xml:space="preserve">; </w:t>
      </w:r>
      <w:hyperlink w:anchor="SENTENCIA_2016_84" w:history="1">
        <w:r w:rsidRPr="00924F59">
          <w:rPr>
            <w:rStyle w:val="TextoNormalCaracter"/>
          </w:rPr>
          <w:t>84/2016</w:t>
        </w:r>
      </w:hyperlink>
      <w:r w:rsidRPr="00924F59">
        <w:rPr>
          <w:rStyle w:val="TextoNormalCaracter"/>
        </w:rPr>
        <w:t xml:space="preserve">; </w:t>
      </w:r>
      <w:hyperlink w:anchor="SENTENCIA_2016_85" w:history="1">
        <w:r w:rsidRPr="00924F59">
          <w:rPr>
            <w:rStyle w:val="TextoNormalCaracter"/>
          </w:rPr>
          <w:t>85/2016</w:t>
        </w:r>
      </w:hyperlink>
      <w:r w:rsidRPr="00924F59">
        <w:rPr>
          <w:rStyle w:val="TextoNormalCaracter"/>
        </w:rPr>
        <w:t xml:space="preserve">; </w:t>
      </w:r>
      <w:hyperlink w:anchor="SENTENCIA_2016_87" w:history="1">
        <w:r w:rsidRPr="00924F59">
          <w:rPr>
            <w:rStyle w:val="TextoNormalCaracter"/>
          </w:rPr>
          <w:t>87/2016</w:t>
        </w:r>
      </w:hyperlink>
      <w:r w:rsidRPr="00924F59">
        <w:rPr>
          <w:rStyle w:val="TextoNormalCaracter"/>
        </w:rPr>
        <w:t xml:space="preserve">; </w:t>
      </w:r>
      <w:hyperlink w:anchor="SENTENCIA_2016_92" w:history="1">
        <w:r w:rsidRPr="00924F59">
          <w:rPr>
            <w:rStyle w:val="TextoNormalCaracter"/>
          </w:rPr>
          <w:t>92/2016</w:t>
        </w:r>
      </w:hyperlink>
      <w:r w:rsidRPr="00924F59">
        <w:rPr>
          <w:rStyle w:val="TextoNormalCaracter"/>
        </w:rPr>
        <w:t xml:space="preserve">; </w:t>
      </w:r>
      <w:hyperlink w:anchor="SENTENCIA_2016_93" w:history="1">
        <w:r w:rsidRPr="00924F59">
          <w:rPr>
            <w:rStyle w:val="TextoNormalCaracter"/>
          </w:rPr>
          <w:t>93/2016</w:t>
        </w:r>
      </w:hyperlink>
      <w:r w:rsidRPr="00924F59">
        <w:rPr>
          <w:rStyle w:val="TextoNormalCaracter"/>
        </w:rPr>
        <w:t xml:space="preserve">; </w:t>
      </w:r>
      <w:hyperlink w:anchor="SENTENCIA_2016_95" w:history="1">
        <w:r w:rsidRPr="00924F59">
          <w:rPr>
            <w:rStyle w:val="TextoNormalCaracter"/>
          </w:rPr>
          <w:t>95/2016</w:t>
        </w:r>
      </w:hyperlink>
      <w:r w:rsidRPr="00924F59">
        <w:rPr>
          <w:rStyle w:val="TextoNormalCaracter"/>
        </w:rPr>
        <w:t xml:space="preserve">; </w:t>
      </w:r>
      <w:hyperlink w:anchor="SENTENCIA_2016_98" w:history="1">
        <w:r w:rsidRPr="00924F59">
          <w:rPr>
            <w:rStyle w:val="TextoNormalCaracter"/>
          </w:rPr>
          <w:t>98/2016</w:t>
        </w:r>
      </w:hyperlink>
      <w:r w:rsidRPr="00924F59">
        <w:rPr>
          <w:rStyle w:val="TextoNormalCaracter"/>
        </w:rPr>
        <w:t xml:space="preserve">; </w:t>
      </w:r>
      <w:hyperlink w:anchor="SENTENCIA_2016_99" w:history="1">
        <w:r w:rsidRPr="00924F59">
          <w:rPr>
            <w:rStyle w:val="TextoNormalCaracter"/>
          </w:rPr>
          <w:t>99/2016</w:t>
        </w:r>
      </w:hyperlink>
      <w:r w:rsidRPr="00924F59">
        <w:rPr>
          <w:rStyle w:val="TextoNormalCaracter"/>
        </w:rPr>
        <w:t xml:space="preserve">; </w:t>
      </w:r>
      <w:hyperlink w:anchor="SENTENCIA_2016_102" w:history="1">
        <w:r w:rsidRPr="00924F59">
          <w:rPr>
            <w:rStyle w:val="TextoNormalCaracter"/>
          </w:rPr>
          <w:t>102/2016</w:t>
        </w:r>
      </w:hyperlink>
      <w:r w:rsidRPr="00924F59">
        <w:rPr>
          <w:rStyle w:val="TextoNormalCaracter"/>
        </w:rPr>
        <w:t xml:space="preserve">; </w:t>
      </w:r>
      <w:hyperlink w:anchor="SENTENCIA_2016_110" w:history="1">
        <w:r w:rsidRPr="00924F59">
          <w:rPr>
            <w:rStyle w:val="TextoNormalCaracter"/>
          </w:rPr>
          <w:t>110/2016</w:t>
        </w:r>
      </w:hyperlink>
      <w:r w:rsidRPr="00924F59">
        <w:rPr>
          <w:rStyle w:val="TextoNormalCaracter"/>
        </w:rPr>
        <w:t xml:space="preserve">; </w:t>
      </w:r>
      <w:hyperlink w:anchor="SENTENCIA_2016_111" w:history="1">
        <w:r w:rsidRPr="00924F59">
          <w:rPr>
            <w:rStyle w:val="TextoNormalCaracter"/>
          </w:rPr>
          <w:t>111/2016</w:t>
        </w:r>
      </w:hyperlink>
      <w:r w:rsidRPr="00924F59">
        <w:rPr>
          <w:rStyle w:val="TextoNormalCaracter"/>
        </w:rPr>
        <w:t xml:space="preserve">; </w:t>
      </w:r>
      <w:hyperlink w:anchor="SENTENCIA_2016_112" w:history="1">
        <w:r w:rsidRPr="00924F59">
          <w:rPr>
            <w:rStyle w:val="TextoNormalCaracter"/>
          </w:rPr>
          <w:t>112/2016</w:t>
        </w:r>
      </w:hyperlink>
      <w:r w:rsidRPr="00924F59">
        <w:rPr>
          <w:rStyle w:val="TextoNormalCaracter"/>
        </w:rPr>
        <w:t xml:space="preserve">; </w:t>
      </w:r>
      <w:hyperlink w:anchor="SENTENCIA_2016_119" w:history="1">
        <w:r w:rsidRPr="00924F59">
          <w:rPr>
            <w:rStyle w:val="TextoNormalCaracter"/>
          </w:rPr>
          <w:t>119/2016</w:t>
        </w:r>
      </w:hyperlink>
      <w:r w:rsidRPr="00924F59">
        <w:rPr>
          <w:rStyle w:val="TextoNormalCaracter"/>
        </w:rPr>
        <w:t>.</w:t>
      </w:r>
    </w:p>
    <w:p w:rsidR="00924F59" w:rsidRPr="00924F59" w:rsidRDefault="00924F59" w:rsidP="00924F59">
      <w:pPr>
        <w:pStyle w:val="TextoNormalSangraFrancesa"/>
        <w:rPr>
          <w:rStyle w:val="TextoNormalCaracter"/>
        </w:rPr>
      </w:pPr>
      <w:r w:rsidRPr="00924F59">
        <w:rPr>
          <w:rStyle w:val="TextoNormalCaracter"/>
        </w:rPr>
        <w:t xml:space="preserve">    Autos </w:t>
      </w:r>
      <w:hyperlink w:anchor="AUTO_2016_112" w:history="1">
        <w:r w:rsidRPr="00924F59">
          <w:rPr>
            <w:rStyle w:val="TextoNormalCaracter"/>
          </w:rPr>
          <w:t>112/2016</w:t>
        </w:r>
      </w:hyperlink>
      <w:r w:rsidRPr="00924F59">
        <w:rPr>
          <w:rStyle w:val="TextoNormalCaracter"/>
        </w:rPr>
        <w:t xml:space="preserve">; </w:t>
      </w:r>
      <w:hyperlink w:anchor="AUTO_2016_129" w:history="1">
        <w:r w:rsidRPr="00924F59">
          <w:rPr>
            <w:rStyle w:val="TextoNormalCaracter"/>
          </w:rPr>
          <w:t>129/2016</w:t>
        </w:r>
      </w:hyperlink>
      <w:r w:rsidRPr="00924F59">
        <w:rPr>
          <w:rStyle w:val="TextoNormalCaracter"/>
        </w:rPr>
        <w:t>.</w:t>
      </w:r>
    </w:p>
    <w:p w:rsidR="00924F59" w:rsidRPr="00924F59" w:rsidRDefault="00924F59" w:rsidP="00924F59">
      <w:pPr>
        <w:pStyle w:val="TextoNormalSangraFrancesa"/>
        <w:rPr>
          <w:rStyle w:val="TextoNormalCaracter"/>
        </w:rPr>
      </w:pPr>
      <w:bookmarkStart w:id="2013" w:name="DESCRIPTORALFABETICO356"/>
      <w:r w:rsidRPr="00924F59">
        <w:rPr>
          <w:rStyle w:val="TextoNormalNegritaCaracter"/>
        </w:rPr>
        <w:t xml:space="preserve">Votos particulares, formulados dos </w:t>
      </w:r>
      <w:bookmarkEnd w:id="2013"/>
      <w:r w:rsidRPr="00924F59">
        <w:rPr>
          <w:rStyle w:val="TextoNormalCaracter"/>
        </w:rPr>
        <w:t xml:space="preserve">, Sentencias </w:t>
      </w:r>
      <w:hyperlink w:anchor="SENTENCIA_2016_32" w:history="1">
        <w:r w:rsidRPr="00924F59">
          <w:rPr>
            <w:rStyle w:val="TextoNormalCaracter"/>
          </w:rPr>
          <w:t>32/2016</w:t>
        </w:r>
      </w:hyperlink>
      <w:r w:rsidRPr="00924F59">
        <w:rPr>
          <w:rStyle w:val="TextoNormalCaracter"/>
        </w:rPr>
        <w:t xml:space="preserve">; </w:t>
      </w:r>
      <w:hyperlink w:anchor="SENTENCIA_2016_39" w:history="1">
        <w:r w:rsidRPr="00924F59">
          <w:rPr>
            <w:rStyle w:val="TextoNormalCaracter"/>
          </w:rPr>
          <w:t>39/2016</w:t>
        </w:r>
      </w:hyperlink>
      <w:r w:rsidRPr="00924F59">
        <w:rPr>
          <w:rStyle w:val="TextoNormalCaracter"/>
        </w:rPr>
        <w:t xml:space="preserve">; </w:t>
      </w:r>
      <w:hyperlink w:anchor="SENTENCIA_2016_53" w:history="1">
        <w:r w:rsidRPr="00924F59">
          <w:rPr>
            <w:rStyle w:val="TextoNormalCaracter"/>
          </w:rPr>
          <w:t>53/2016</w:t>
        </w:r>
      </w:hyperlink>
      <w:r w:rsidRPr="00924F59">
        <w:rPr>
          <w:rStyle w:val="TextoNormalCaracter"/>
        </w:rPr>
        <w:t xml:space="preserve">; </w:t>
      </w:r>
      <w:hyperlink w:anchor="SENTENCIA_2016_60" w:history="1">
        <w:r w:rsidRPr="00924F59">
          <w:rPr>
            <w:rStyle w:val="TextoNormalCaracter"/>
          </w:rPr>
          <w:t>60/2016</w:t>
        </w:r>
      </w:hyperlink>
      <w:r w:rsidRPr="00924F59">
        <w:rPr>
          <w:rStyle w:val="TextoNormalCaracter"/>
        </w:rPr>
        <w:t xml:space="preserve">; </w:t>
      </w:r>
      <w:hyperlink w:anchor="SENTENCIA_2016_62" w:history="1">
        <w:r w:rsidRPr="00924F59">
          <w:rPr>
            <w:rStyle w:val="TextoNormalCaracter"/>
          </w:rPr>
          <w:t>62/2016</w:t>
        </w:r>
      </w:hyperlink>
      <w:r w:rsidRPr="00924F59">
        <w:rPr>
          <w:rStyle w:val="TextoNormalCaracter"/>
        </w:rPr>
        <w:t xml:space="preserve">; </w:t>
      </w:r>
      <w:hyperlink w:anchor="SENTENCIA_2016_73" w:history="1">
        <w:r w:rsidRPr="00924F59">
          <w:rPr>
            <w:rStyle w:val="TextoNormalCaracter"/>
          </w:rPr>
          <w:t>73/2016</w:t>
        </w:r>
      </w:hyperlink>
      <w:r w:rsidRPr="00924F59">
        <w:rPr>
          <w:rStyle w:val="TextoNormalCaracter"/>
        </w:rPr>
        <w:t xml:space="preserve">; </w:t>
      </w:r>
      <w:hyperlink w:anchor="SENTENCIA_2016_116" w:history="1">
        <w:r w:rsidRPr="00924F59">
          <w:rPr>
            <w:rStyle w:val="TextoNormalCaracter"/>
          </w:rPr>
          <w:t>116/2016</w:t>
        </w:r>
      </w:hyperlink>
      <w:r w:rsidRPr="00924F59">
        <w:rPr>
          <w:rStyle w:val="TextoNormalCaracter"/>
        </w:rPr>
        <w:t>.</w:t>
      </w:r>
    </w:p>
    <w:p w:rsidR="00924F59" w:rsidRPr="00924F59" w:rsidRDefault="00924F59" w:rsidP="00924F59">
      <w:pPr>
        <w:pStyle w:val="TextoNormalSangraFrancesa"/>
        <w:rPr>
          <w:rStyle w:val="TextoNormalCaracter"/>
        </w:rPr>
      </w:pPr>
      <w:bookmarkStart w:id="2014" w:name="DESCRIPTORALFABETICO357"/>
      <w:r w:rsidRPr="00924F59">
        <w:rPr>
          <w:rStyle w:val="TextoNormalNegritaCaracter"/>
        </w:rPr>
        <w:t>Votos particulares, formulados tres</w:t>
      </w:r>
      <w:bookmarkEnd w:id="2014"/>
      <w:r w:rsidRPr="00924F59">
        <w:rPr>
          <w:rStyle w:val="TextoNormalCaracter"/>
        </w:rPr>
        <w:t xml:space="preserve">, Sentencias </w:t>
      </w:r>
      <w:hyperlink w:anchor="SENTENCIA_2016_11" w:history="1">
        <w:r w:rsidRPr="00924F59">
          <w:rPr>
            <w:rStyle w:val="TextoNormalCaracter"/>
          </w:rPr>
          <w:t>11/2016</w:t>
        </w:r>
      </w:hyperlink>
      <w:r w:rsidRPr="00924F59">
        <w:rPr>
          <w:rStyle w:val="TextoNormalCaracter"/>
        </w:rPr>
        <w:t xml:space="preserve">; </w:t>
      </w:r>
      <w:hyperlink w:anchor="SENTENCIA_2016_69" w:history="1">
        <w:r w:rsidRPr="00924F59">
          <w:rPr>
            <w:rStyle w:val="TextoNormalCaracter"/>
          </w:rPr>
          <w:t>69/2016</w:t>
        </w:r>
      </w:hyperlink>
      <w:r w:rsidRPr="00924F59">
        <w:rPr>
          <w:rStyle w:val="TextoNormalCaracter"/>
        </w:rPr>
        <w:t xml:space="preserve">, ff. 1, 3, 4, VP I, VP II; </w:t>
      </w:r>
      <w:hyperlink w:anchor="SENTENCIA_2016_101" w:history="1">
        <w:r w:rsidRPr="00924F59">
          <w:rPr>
            <w:rStyle w:val="TextoNormalCaracter"/>
          </w:rPr>
          <w:t>101/2016</w:t>
        </w:r>
      </w:hyperlink>
      <w:r w:rsidRPr="00924F59">
        <w:rPr>
          <w:rStyle w:val="TextoNormalCaracter"/>
        </w:rPr>
        <w:t>.</w:t>
      </w:r>
    </w:p>
    <w:p w:rsidR="00924F59" w:rsidRDefault="00924F59" w:rsidP="00924F59">
      <w:pPr>
        <w:pStyle w:val="TextoNormalSangraFrancesa"/>
      </w:pPr>
    </w:p>
    <w:p w:rsidR="00924F59" w:rsidRDefault="00924F59" w:rsidP="00924F59">
      <w:pPr>
        <w:pStyle w:val="TextoNormalSangraFrancesa"/>
      </w:pPr>
    </w:p>
    <w:p w:rsidR="00924F59" w:rsidRDefault="00924F59" w:rsidP="00924F59">
      <w:pPr>
        <w:pStyle w:val="TextoNormalNegritaCentrado"/>
      </w:pPr>
      <w:r>
        <w:t>Z</w:t>
      </w:r>
    </w:p>
    <w:p w:rsidR="00924F59" w:rsidRDefault="00924F59" w:rsidP="00924F59">
      <w:pPr>
        <w:pStyle w:val="TextoNormalNegritaCentrado"/>
      </w:pPr>
    </w:p>
    <w:p w:rsidR="00924F59" w:rsidRPr="00924F59" w:rsidRDefault="00924F59" w:rsidP="00924F59">
      <w:pPr>
        <w:pStyle w:val="TextoNormalSangraFrancesa"/>
        <w:rPr>
          <w:rStyle w:val="TextoNormalCaracter"/>
        </w:rPr>
      </w:pPr>
      <w:bookmarkStart w:id="2015" w:name="DESCRIPTORALFABETICO545"/>
      <w:r w:rsidRPr="00924F59">
        <w:rPr>
          <w:rStyle w:val="TextoNormalNegritaCaracter"/>
        </w:rPr>
        <w:t>Zona marítimo terrestre</w:t>
      </w:r>
      <w:bookmarkEnd w:id="2015"/>
      <w:r w:rsidRPr="00924F59">
        <w:rPr>
          <w:rStyle w:val="TextoNormalCaracter"/>
        </w:rPr>
        <w:t xml:space="preserve">, Sentencias </w:t>
      </w:r>
      <w:hyperlink w:anchor="SENTENCIA_2016_57" w:history="1">
        <w:r w:rsidRPr="00924F59">
          <w:rPr>
            <w:rStyle w:val="TextoNormalCaracter"/>
          </w:rPr>
          <w:t>57/2016</w:t>
        </w:r>
      </w:hyperlink>
      <w:r w:rsidRPr="00924F59">
        <w:rPr>
          <w:rStyle w:val="TextoNormalCaracter"/>
        </w:rPr>
        <w:t xml:space="preserve">, ff. 3 b), 3 c); </w:t>
      </w:r>
      <w:hyperlink w:anchor="SENTENCIA_2016_100" w:history="1">
        <w:r w:rsidRPr="00924F59">
          <w:rPr>
            <w:rStyle w:val="TextoNormalCaracter"/>
          </w:rPr>
          <w:t>100/2016</w:t>
        </w:r>
      </w:hyperlink>
      <w:r w:rsidRPr="00924F59">
        <w:rPr>
          <w:rStyle w:val="TextoNormalCaracter"/>
        </w:rPr>
        <w:t>, ff. 1 a 3.</w:t>
      </w:r>
    </w:p>
    <w:p w:rsidR="00924F59" w:rsidRPr="00924F59" w:rsidRDefault="00924F59" w:rsidP="00924F59">
      <w:pPr>
        <w:pStyle w:val="TextoNormalSangraFrancesa"/>
        <w:rPr>
          <w:rStyle w:val="TextoNormalCaracter"/>
        </w:rPr>
      </w:pPr>
      <w:bookmarkStart w:id="2016" w:name="DESCRIPTORALFABETICO794"/>
      <w:r w:rsidRPr="00924F59">
        <w:rPr>
          <w:rStyle w:val="TextoNormalNegritaCaracter"/>
        </w:rPr>
        <w:t>Zonas turísticas</w:t>
      </w:r>
      <w:bookmarkEnd w:id="2016"/>
      <w:r w:rsidRPr="00924F59">
        <w:rPr>
          <w:rStyle w:val="TextoNormalCaracter"/>
        </w:rPr>
        <w:t xml:space="preserve">, Sentencias </w:t>
      </w:r>
      <w:hyperlink w:anchor="SENTENCIA_2016_18" w:history="1">
        <w:r w:rsidRPr="00924F59">
          <w:rPr>
            <w:rStyle w:val="TextoNormalCaracter"/>
          </w:rPr>
          <w:t>18/2016</w:t>
        </w:r>
      </w:hyperlink>
      <w:r w:rsidRPr="00924F59">
        <w:rPr>
          <w:rStyle w:val="TextoNormalCaracter"/>
        </w:rPr>
        <w:t xml:space="preserve">, f. 9; </w:t>
      </w:r>
      <w:hyperlink w:anchor="SENTENCIA_2016_37" w:history="1">
        <w:r w:rsidRPr="00924F59">
          <w:rPr>
            <w:rStyle w:val="TextoNormalCaracter"/>
          </w:rPr>
          <w:t>37/2016</w:t>
        </w:r>
      </w:hyperlink>
      <w:r w:rsidRPr="00924F59">
        <w:rPr>
          <w:rStyle w:val="TextoNormalCaracter"/>
        </w:rPr>
        <w:t>, f. 4.</w:t>
      </w:r>
    </w:p>
    <w:p w:rsidR="00924F59" w:rsidRDefault="00924F59">
      <w:pPr>
        <w:spacing w:after="160" w:line="259" w:lineRule="auto"/>
        <w:rPr>
          <w:rFonts w:ascii="Times New Roman" w:eastAsia="Times New Roman" w:hAnsi="Times New Roman" w:cs="Times New Roman"/>
          <w:sz w:val="24"/>
          <w:szCs w:val="24"/>
          <w:lang w:eastAsia="es-ES"/>
        </w:rPr>
      </w:pPr>
      <w:r>
        <w:br w:type="page"/>
      </w:r>
    </w:p>
    <w:p w:rsidR="00924F59" w:rsidRDefault="00924F59" w:rsidP="00924F59">
      <w:pPr>
        <w:pStyle w:val="TextoNormalSangraFrancesa"/>
      </w:pPr>
    </w:p>
    <w:p w:rsidR="009822F6" w:rsidRDefault="009822F6" w:rsidP="009822F6">
      <w:pPr>
        <w:pStyle w:val="TextoNormalSangraFrancesa"/>
      </w:pPr>
    </w:p>
    <w:p w:rsidR="009822F6" w:rsidRDefault="009822F6" w:rsidP="009822F6">
      <w:pPr>
        <w:pStyle w:val="TextoNormalSangraFrancesa"/>
      </w:pPr>
    </w:p>
    <w:p w:rsidR="009822F6" w:rsidRDefault="009822F6" w:rsidP="009822F6">
      <w:pPr>
        <w:pStyle w:val="TextoNormalSangraFrancesa"/>
      </w:pPr>
    </w:p>
    <w:p w:rsidR="009822F6" w:rsidRDefault="009822F6" w:rsidP="009822F6">
      <w:pPr>
        <w:pStyle w:val="TextoNormalSangraFrancesa"/>
      </w:pPr>
    </w:p>
    <w:p w:rsidR="009822F6" w:rsidRDefault="009822F6" w:rsidP="009822F6">
      <w:pPr>
        <w:pStyle w:val="TextoNormalSangraFrancesa"/>
      </w:pPr>
    </w:p>
    <w:p w:rsidR="009822F6" w:rsidRDefault="009822F6" w:rsidP="009822F6">
      <w:pPr>
        <w:pStyle w:val="TextoNormalSangraFrancesa"/>
      </w:pPr>
    </w:p>
    <w:p w:rsidR="009822F6" w:rsidRDefault="009822F6" w:rsidP="009822F6">
      <w:pPr>
        <w:pStyle w:val="TextoNormalSangraFrancesa"/>
      </w:pPr>
    </w:p>
    <w:p w:rsidR="009822F6" w:rsidRDefault="009822F6" w:rsidP="009822F6">
      <w:pPr>
        <w:pStyle w:val="Ttulondice"/>
      </w:pPr>
      <w:bookmarkStart w:id="2017" w:name="ACRONIMOS"/>
      <w:r>
        <w:t>8. ABREVIATURAS Y ACRÓNIMOS</w:t>
      </w:r>
    </w:p>
    <w:bookmarkEnd w:id="2017"/>
    <w:p w:rsidR="009822F6" w:rsidRDefault="009822F6" w:rsidP="009822F6">
      <w:pPr>
        <w:pStyle w:val="Ttulondice"/>
      </w:pPr>
    </w:p>
    <w:p w:rsidR="009822F6" w:rsidRDefault="009822F6" w:rsidP="009822F6">
      <w:pPr>
        <w:pStyle w:val="Ttulondice"/>
      </w:pPr>
    </w:p>
    <w:p w:rsidR="009822F6" w:rsidRDefault="009822F6" w:rsidP="009822F6">
      <w:pPr>
        <w:pStyle w:val="Ttulondice"/>
      </w:pPr>
    </w:p>
    <w:p w:rsidR="009822F6" w:rsidRDefault="009822F6" w:rsidP="009822F6">
      <w:pPr>
        <w:pStyle w:val="Ttulondice"/>
      </w:pPr>
    </w:p>
    <w:p w:rsidR="009822F6" w:rsidRDefault="009822F6" w:rsidP="009822F6">
      <w:pPr>
        <w:pStyle w:val="TextoAbreviaturas"/>
      </w:pPr>
      <w:r>
        <w:t>§</w:t>
      </w:r>
      <w:r>
        <w:tab/>
        <w:t>Parágrafo (usual en SSTEDH)</w:t>
      </w:r>
    </w:p>
    <w:p w:rsidR="009822F6" w:rsidRDefault="009822F6" w:rsidP="009822F6">
      <w:pPr>
        <w:pStyle w:val="TextoAbreviaturas"/>
      </w:pPr>
      <w:r>
        <w:t>AEAT</w:t>
      </w:r>
      <w:r>
        <w:tab/>
        <w:t>Agencia estatal de la administración tributaria</w:t>
      </w:r>
    </w:p>
    <w:p w:rsidR="009822F6" w:rsidRDefault="009822F6" w:rsidP="009822F6">
      <w:pPr>
        <w:pStyle w:val="TextoAbreviaturas"/>
      </w:pPr>
      <w:r>
        <w:t>AENA</w:t>
      </w:r>
      <w:r>
        <w:tab/>
        <w:t>Aeropuertos Españoles y Navegación Aérea</w:t>
      </w:r>
    </w:p>
    <w:p w:rsidR="009822F6" w:rsidRDefault="009822F6" w:rsidP="009822F6">
      <w:pPr>
        <w:pStyle w:val="TextoAbreviaturas"/>
      </w:pPr>
      <w:r>
        <w:t>ATC</w:t>
      </w:r>
      <w:r>
        <w:tab/>
        <w:t>Auto del Tribunal Constitucional</w:t>
      </w:r>
    </w:p>
    <w:p w:rsidR="009822F6" w:rsidRDefault="009822F6" w:rsidP="009822F6">
      <w:pPr>
        <w:pStyle w:val="TextoAbreviaturas"/>
      </w:pPr>
      <w:r>
        <w:t>ATS</w:t>
      </w:r>
      <w:r>
        <w:tab/>
        <w:t>Auto del Tribunal Supremo</w:t>
      </w:r>
    </w:p>
    <w:p w:rsidR="009822F6" w:rsidRDefault="009822F6" w:rsidP="009822F6">
      <w:pPr>
        <w:pStyle w:val="TextoAbreviaturas"/>
      </w:pPr>
      <w:r>
        <w:t>BBVA</w:t>
      </w:r>
      <w:r>
        <w:tab/>
        <w:t>Banco Bilbao Vizcaya Argentaria</w:t>
      </w:r>
    </w:p>
    <w:p w:rsidR="009822F6" w:rsidRDefault="009822F6" w:rsidP="009822F6">
      <w:pPr>
        <w:pStyle w:val="TextoAbreviaturas"/>
      </w:pPr>
      <w:r>
        <w:t>BOCM</w:t>
      </w:r>
      <w:r>
        <w:tab/>
        <w:t>Boletín Oficial de la Comunidad de Madrid</w:t>
      </w:r>
    </w:p>
    <w:p w:rsidR="009822F6" w:rsidRDefault="009822F6" w:rsidP="009822F6">
      <w:pPr>
        <w:pStyle w:val="TextoAbreviaturas"/>
      </w:pPr>
      <w:r>
        <w:t>BOE</w:t>
      </w:r>
      <w:r>
        <w:tab/>
        <w:t>Boletín Oficial del Estado</w:t>
      </w:r>
    </w:p>
    <w:p w:rsidR="009822F6" w:rsidRDefault="009822F6" w:rsidP="009822F6">
      <w:pPr>
        <w:pStyle w:val="TextoAbreviaturas"/>
      </w:pPr>
      <w:r>
        <w:t>BOIB</w:t>
      </w:r>
      <w:r>
        <w:tab/>
        <w:t>Boletín Oficial de la Comunidad de las Islas Baleares</w:t>
      </w:r>
    </w:p>
    <w:p w:rsidR="009822F6" w:rsidRDefault="009822F6" w:rsidP="009822F6">
      <w:pPr>
        <w:pStyle w:val="TextoAbreviaturas"/>
      </w:pPr>
      <w:r>
        <w:t>BOJA</w:t>
      </w:r>
      <w:r>
        <w:tab/>
        <w:t>Boletín Oficial de la Junta de Andalucía</w:t>
      </w:r>
    </w:p>
    <w:p w:rsidR="009822F6" w:rsidRDefault="009822F6" w:rsidP="009822F6">
      <w:pPr>
        <w:pStyle w:val="TextoAbreviaturas"/>
      </w:pPr>
      <w:r>
        <w:t>BORM</w:t>
      </w:r>
      <w:r>
        <w:tab/>
        <w:t>Boletín Oficial de la Región de Murcia</w:t>
      </w:r>
    </w:p>
    <w:p w:rsidR="009822F6" w:rsidRDefault="009822F6" w:rsidP="009822F6">
      <w:pPr>
        <w:pStyle w:val="TextoAbreviaturas"/>
      </w:pPr>
      <w:r>
        <w:t>CC</w:t>
      </w:r>
      <w:r>
        <w:tab/>
        <w:t>Código civil</w:t>
      </w:r>
    </w:p>
    <w:p w:rsidR="009822F6" w:rsidRDefault="009822F6" w:rsidP="009822F6">
      <w:pPr>
        <w:pStyle w:val="TextoAbreviaturas"/>
      </w:pPr>
      <w:r>
        <w:t>CCOO</w:t>
      </w:r>
      <w:r>
        <w:tab/>
        <w:t>Comisiones Obreras</w:t>
      </w:r>
    </w:p>
    <w:p w:rsidR="009822F6" w:rsidRDefault="009822F6" w:rsidP="009822F6">
      <w:pPr>
        <w:pStyle w:val="TextoAbreviaturas"/>
      </w:pPr>
      <w:r>
        <w:t>CE</w:t>
      </w:r>
      <w:r>
        <w:tab/>
        <w:t>Constitución española</w:t>
      </w:r>
    </w:p>
    <w:p w:rsidR="009822F6" w:rsidRDefault="009822F6" w:rsidP="009822F6">
      <w:pPr>
        <w:pStyle w:val="TextoAbreviaturas"/>
      </w:pPr>
      <w:r>
        <w:t>CEDH</w:t>
      </w:r>
      <w:r>
        <w:tab/>
        <w:t>Convenio europeo para la protección de los derechos humanos y de las libertades fundamentales</w:t>
      </w:r>
    </w:p>
    <w:p w:rsidR="009822F6" w:rsidRDefault="009822F6" w:rsidP="009822F6">
      <w:pPr>
        <w:pStyle w:val="TextoAbreviaturas"/>
      </w:pPr>
      <w:r>
        <w:t>CEE</w:t>
      </w:r>
      <w:r>
        <w:tab/>
        <w:t>Comunidad Económica Europea</w:t>
      </w:r>
    </w:p>
    <w:p w:rsidR="009822F6" w:rsidRDefault="009822F6" w:rsidP="009822F6">
      <w:pPr>
        <w:pStyle w:val="TextoAbreviaturas"/>
      </w:pPr>
      <w:r>
        <w:t>CGT</w:t>
      </w:r>
      <w:r>
        <w:tab/>
        <w:t>Confederación General de Trabajadores</w:t>
      </w:r>
    </w:p>
    <w:p w:rsidR="009822F6" w:rsidRDefault="009822F6" w:rsidP="009822F6">
      <w:pPr>
        <w:pStyle w:val="TextoAbreviaturas"/>
      </w:pPr>
      <w:r>
        <w:t>CP</w:t>
      </w:r>
      <w:r>
        <w:tab/>
        <w:t>Código penal</w:t>
      </w:r>
    </w:p>
    <w:p w:rsidR="009822F6" w:rsidRDefault="009822F6" w:rsidP="009822F6">
      <w:pPr>
        <w:pStyle w:val="TextoAbreviaturas"/>
      </w:pPr>
      <w:r>
        <w:t>CSIF</w:t>
      </w:r>
      <w:r>
        <w:tab/>
        <w:t>Confederación Sindical Independiente de Funcionarios</w:t>
      </w:r>
    </w:p>
    <w:p w:rsidR="009822F6" w:rsidRDefault="009822F6" w:rsidP="009822F6">
      <w:pPr>
        <w:pStyle w:val="TextoAbreviaturas"/>
      </w:pPr>
      <w:r>
        <w:t>DOGC</w:t>
      </w:r>
      <w:r>
        <w:tab/>
        <w:t>Diario Oficial de la Generalidad de Cataluña</w:t>
      </w:r>
    </w:p>
    <w:p w:rsidR="009822F6" w:rsidRDefault="009822F6" w:rsidP="009822F6">
      <w:pPr>
        <w:pStyle w:val="TextoAbreviaturas"/>
      </w:pPr>
      <w:r>
        <w:t>EAAnd</w:t>
      </w:r>
      <w:r>
        <w:tab/>
        <w:t>Estatuto de Autonomía para Andalucía</w:t>
      </w:r>
    </w:p>
    <w:p w:rsidR="009822F6" w:rsidRDefault="009822F6" w:rsidP="009822F6">
      <w:pPr>
        <w:pStyle w:val="TextoAbreviaturas"/>
      </w:pPr>
      <w:r>
        <w:t>EAAr</w:t>
      </w:r>
      <w:r>
        <w:tab/>
        <w:t>Estatuto de Autonomía de Aragón</w:t>
      </w:r>
    </w:p>
    <w:p w:rsidR="009822F6" w:rsidRDefault="009822F6" w:rsidP="009822F6">
      <w:pPr>
        <w:pStyle w:val="TextoAbreviaturas"/>
      </w:pPr>
      <w:r>
        <w:t>EAAst</w:t>
      </w:r>
      <w:r>
        <w:tab/>
        <w:t>Estatuto de Autonomía para Asturias</w:t>
      </w:r>
    </w:p>
    <w:p w:rsidR="009822F6" w:rsidRDefault="009822F6" w:rsidP="009822F6">
      <w:pPr>
        <w:pStyle w:val="TextoAbreviaturas"/>
      </w:pPr>
      <w:r>
        <w:t>EAC</w:t>
      </w:r>
      <w:r>
        <w:tab/>
        <w:t>Estatuto de Autonomía de Cataluña</w:t>
      </w:r>
    </w:p>
    <w:p w:rsidR="009822F6" w:rsidRDefault="009822F6" w:rsidP="009822F6">
      <w:pPr>
        <w:pStyle w:val="TextoAbreviaturas"/>
      </w:pPr>
      <w:r>
        <w:t>EACan</w:t>
      </w:r>
      <w:r>
        <w:tab/>
        <w:t>Estatuto de Autonomía de Canarias</w:t>
      </w:r>
    </w:p>
    <w:p w:rsidR="009822F6" w:rsidRDefault="009822F6" w:rsidP="009822F6">
      <w:pPr>
        <w:pStyle w:val="TextoAbreviaturas"/>
      </w:pPr>
      <w:r>
        <w:t>EACant</w:t>
      </w:r>
      <w:r>
        <w:tab/>
        <w:t>Estatuto de Autonomía para Cantabria</w:t>
      </w:r>
    </w:p>
    <w:p w:rsidR="009822F6" w:rsidRDefault="009822F6" w:rsidP="009822F6">
      <w:pPr>
        <w:pStyle w:val="TextoAbreviaturas"/>
      </w:pPr>
      <w:r>
        <w:t>EACM</w:t>
      </w:r>
      <w:r>
        <w:tab/>
        <w:t>Estatuto de Autonomía de Castilla-La Mancha</w:t>
      </w:r>
    </w:p>
    <w:p w:rsidR="009822F6" w:rsidRDefault="009822F6" w:rsidP="009822F6">
      <w:pPr>
        <w:pStyle w:val="TextoAbreviaturas"/>
      </w:pPr>
      <w:r>
        <w:t>EAE</w:t>
      </w:r>
      <w:r>
        <w:tab/>
        <w:t>Estatuto de Autonomía de Extremadura</w:t>
      </w:r>
    </w:p>
    <w:p w:rsidR="009822F6" w:rsidRDefault="009822F6" w:rsidP="009822F6">
      <w:pPr>
        <w:pStyle w:val="TextoAbreviaturas"/>
      </w:pPr>
      <w:r>
        <w:t>EAG</w:t>
      </w:r>
      <w:r>
        <w:tab/>
        <w:t>Estatuto de Autonomía para Galicia</w:t>
      </w:r>
    </w:p>
    <w:p w:rsidR="009822F6" w:rsidRDefault="009822F6" w:rsidP="009822F6">
      <w:pPr>
        <w:pStyle w:val="TextoAbreviaturas"/>
      </w:pPr>
      <w:r>
        <w:t>EAIB</w:t>
      </w:r>
      <w:r>
        <w:tab/>
        <w:t>Estatuto de Autonomía de las Illes Balears</w:t>
      </w:r>
    </w:p>
    <w:p w:rsidR="009822F6" w:rsidRDefault="009822F6" w:rsidP="009822F6">
      <w:pPr>
        <w:pStyle w:val="TextoAbreviaturas"/>
      </w:pPr>
      <w:r>
        <w:t>EAPV</w:t>
      </w:r>
      <w:r>
        <w:tab/>
        <w:t>Estatuto de Autonomía para el País Vasco</w:t>
      </w:r>
    </w:p>
    <w:p w:rsidR="009822F6" w:rsidRDefault="009822F6" w:rsidP="009822F6">
      <w:pPr>
        <w:pStyle w:val="TextoAbreviaturas"/>
      </w:pPr>
      <w:r>
        <w:t>EAR</w:t>
      </w:r>
      <w:r>
        <w:tab/>
        <w:t>Estatuto de Autonomía de La Rioja</w:t>
      </w:r>
    </w:p>
    <w:p w:rsidR="009822F6" w:rsidRDefault="009822F6" w:rsidP="009822F6">
      <w:pPr>
        <w:pStyle w:val="TextoAbreviaturas"/>
      </w:pPr>
      <w:r>
        <w:t>EAV</w:t>
      </w:r>
      <w:r>
        <w:tab/>
        <w:t>Estatuto de Autonomía para la Comunidad Valenciana</w:t>
      </w:r>
    </w:p>
    <w:p w:rsidR="009822F6" w:rsidRDefault="009822F6" w:rsidP="009822F6">
      <w:pPr>
        <w:pStyle w:val="TextoAbreviaturas"/>
      </w:pPr>
      <w:r>
        <w:t>ETA</w:t>
      </w:r>
      <w:r>
        <w:tab/>
        <w:t>Euskadi Ta Askatasuna</w:t>
      </w:r>
    </w:p>
    <w:p w:rsidR="009822F6" w:rsidRDefault="009822F6" w:rsidP="009822F6">
      <w:pPr>
        <w:pStyle w:val="TextoAbreviaturas"/>
      </w:pPr>
      <w:r>
        <w:t>FJ</w:t>
      </w:r>
      <w:r>
        <w:tab/>
        <w:t>Fundamento jurídico</w:t>
      </w:r>
    </w:p>
    <w:p w:rsidR="009822F6" w:rsidRDefault="009822F6" w:rsidP="009822F6">
      <w:pPr>
        <w:pStyle w:val="TextoAbreviaturas"/>
      </w:pPr>
      <w:r>
        <w:t>IRPF</w:t>
      </w:r>
      <w:r>
        <w:tab/>
        <w:t>Impuesto sobre la renta de las personas físicas</w:t>
      </w:r>
    </w:p>
    <w:p w:rsidR="009822F6" w:rsidRDefault="009822F6" w:rsidP="009822F6">
      <w:pPr>
        <w:pStyle w:val="TextoAbreviaturas"/>
      </w:pPr>
      <w:r>
        <w:t>ITP</w:t>
      </w:r>
      <w:r>
        <w:tab/>
        <w:t>Impuesto sobre transmisiones patrimoniales</w:t>
      </w:r>
    </w:p>
    <w:p w:rsidR="009822F6" w:rsidRDefault="009822F6" w:rsidP="009822F6">
      <w:pPr>
        <w:pStyle w:val="TextoAbreviaturas"/>
      </w:pPr>
      <w:r>
        <w:t>IVA</w:t>
      </w:r>
      <w:r>
        <w:tab/>
        <w:t>Impuesto sobre el valor añadido</w:t>
      </w:r>
    </w:p>
    <w:p w:rsidR="009822F6" w:rsidRDefault="009822F6" w:rsidP="009822F6">
      <w:pPr>
        <w:pStyle w:val="TextoAbreviaturas"/>
      </w:pPr>
      <w:r>
        <w:t>LA</w:t>
      </w:r>
      <w:r>
        <w:tab/>
        <w:t>Ley de aguas</w:t>
      </w:r>
    </w:p>
    <w:p w:rsidR="009822F6" w:rsidRDefault="009822F6" w:rsidP="009822F6">
      <w:pPr>
        <w:pStyle w:val="TextoAbreviaturas"/>
      </w:pPr>
      <w:r>
        <w:t>LAB</w:t>
      </w:r>
      <w:r>
        <w:tab/>
        <w:t>Langile Abertzaleen Batzordeak (Sindicato)</w:t>
      </w:r>
    </w:p>
    <w:p w:rsidR="009822F6" w:rsidRDefault="009822F6" w:rsidP="009822F6">
      <w:pPr>
        <w:pStyle w:val="TextoAbreviaturas"/>
      </w:pPr>
      <w:r>
        <w:t>LBRL</w:t>
      </w:r>
      <w:r>
        <w:tab/>
        <w:t>Ley reguladora de las bases de régimen local</w:t>
      </w:r>
    </w:p>
    <w:p w:rsidR="009822F6" w:rsidRDefault="009822F6" w:rsidP="009822F6">
      <w:pPr>
        <w:pStyle w:val="TextoAbreviaturas"/>
      </w:pPr>
      <w:r>
        <w:t>LC</w:t>
      </w:r>
      <w:r>
        <w:tab/>
        <w:t>Ley de costas</w:t>
      </w:r>
    </w:p>
    <w:p w:rsidR="009822F6" w:rsidRDefault="009822F6" w:rsidP="009822F6">
      <w:pPr>
        <w:pStyle w:val="TextoAbreviaturas"/>
      </w:pPr>
      <w:r>
        <w:t>LEC</w:t>
      </w:r>
      <w:r>
        <w:tab/>
        <w:t>Ley de enjuiciamiento civil</w:t>
      </w:r>
    </w:p>
    <w:p w:rsidR="009822F6" w:rsidRDefault="009822F6" w:rsidP="009822F6">
      <w:pPr>
        <w:pStyle w:val="TextoAbreviaturas"/>
      </w:pPr>
      <w:r>
        <w:t>LEEP</w:t>
      </w:r>
      <w:r>
        <w:tab/>
        <w:t>Ley del estatuto básico del empleado público</w:t>
      </w:r>
    </w:p>
    <w:p w:rsidR="009822F6" w:rsidRDefault="009822F6" w:rsidP="009822F6">
      <w:pPr>
        <w:pStyle w:val="TextoAbreviaturas"/>
      </w:pPr>
      <w:r>
        <w:t>LET</w:t>
      </w:r>
      <w:r>
        <w:tab/>
        <w:t>Ley del estatuto de los trabajadores</w:t>
      </w:r>
    </w:p>
    <w:p w:rsidR="009822F6" w:rsidRDefault="009822F6" w:rsidP="009822F6">
      <w:pPr>
        <w:pStyle w:val="TextoAbreviaturas"/>
      </w:pPr>
      <w:r>
        <w:t>LGP</w:t>
      </w:r>
      <w:r>
        <w:tab/>
        <w:t>Ley general presupuestaria</w:t>
      </w:r>
    </w:p>
    <w:p w:rsidR="009822F6" w:rsidRDefault="009822F6" w:rsidP="009822F6">
      <w:pPr>
        <w:pStyle w:val="TextoAbreviaturas"/>
      </w:pPr>
      <w:r>
        <w:t>LGS</w:t>
      </w:r>
      <w:r>
        <w:tab/>
        <w:t>Ley general de sanidad</w:t>
      </w:r>
    </w:p>
    <w:p w:rsidR="009822F6" w:rsidRDefault="009822F6" w:rsidP="009822F6">
      <w:pPr>
        <w:pStyle w:val="TextoAbreviaturas"/>
      </w:pPr>
      <w:r>
        <w:t>LGSS</w:t>
      </w:r>
      <w:r>
        <w:tab/>
        <w:t>Ley general de la Seguridad Social</w:t>
      </w:r>
    </w:p>
    <w:p w:rsidR="009822F6" w:rsidRDefault="009822F6" w:rsidP="009822F6">
      <w:pPr>
        <w:pStyle w:val="TextoAbreviaturas"/>
      </w:pPr>
      <w:r>
        <w:t>LGT</w:t>
      </w:r>
      <w:r>
        <w:tab/>
        <w:t>Ley general tributaria</w:t>
      </w:r>
    </w:p>
    <w:p w:rsidR="009822F6" w:rsidRDefault="009822F6" w:rsidP="009822F6">
      <w:pPr>
        <w:pStyle w:val="TextoAbreviaturas"/>
      </w:pPr>
      <w:r>
        <w:t>LHL</w:t>
      </w:r>
      <w:r>
        <w:tab/>
        <w:t>Ley reguladora de haciendas locales</w:t>
      </w:r>
    </w:p>
    <w:p w:rsidR="009822F6" w:rsidRDefault="009822F6" w:rsidP="009822F6">
      <w:pPr>
        <w:pStyle w:val="TextoAbreviaturas"/>
      </w:pPr>
      <w:r>
        <w:t>LISD</w:t>
      </w:r>
      <w:r>
        <w:tab/>
        <w:t>Ley del impuesto sobre sucesiones y donaciones</w:t>
      </w:r>
    </w:p>
    <w:p w:rsidR="009822F6" w:rsidRDefault="009822F6" w:rsidP="009822F6">
      <w:pPr>
        <w:pStyle w:val="TextoAbreviaturas"/>
      </w:pPr>
      <w:r>
        <w:t>LJCA</w:t>
      </w:r>
      <w:r>
        <w:tab/>
        <w:t>Ley reguladora de la jurisdicción contencioso-administrativa</w:t>
      </w:r>
    </w:p>
    <w:p w:rsidR="009822F6" w:rsidRDefault="009822F6" w:rsidP="009822F6">
      <w:pPr>
        <w:pStyle w:val="TextoAbreviaturas"/>
      </w:pPr>
      <w:r>
        <w:t>LOCE</w:t>
      </w:r>
      <w:r>
        <w:tab/>
        <w:t>Ley Orgánica del Consejo de Estado</w:t>
      </w:r>
    </w:p>
    <w:p w:rsidR="009822F6" w:rsidRDefault="009822F6" w:rsidP="009822F6">
      <w:pPr>
        <w:pStyle w:val="TextoAbreviaturas"/>
      </w:pPr>
      <w:r>
        <w:t>LOCM</w:t>
      </w:r>
      <w:r>
        <w:tab/>
        <w:t>Ley de ordenación del comercio minorista</w:t>
      </w:r>
    </w:p>
    <w:p w:rsidR="009822F6" w:rsidRDefault="009822F6" w:rsidP="009822F6">
      <w:pPr>
        <w:pStyle w:val="TextoAbreviaturas"/>
      </w:pPr>
      <w:r>
        <w:t>LOE</w:t>
      </w:r>
      <w:r>
        <w:tab/>
        <w:t>Ley Orgánica de educación</w:t>
      </w:r>
    </w:p>
    <w:p w:rsidR="009822F6" w:rsidRDefault="009822F6" w:rsidP="009822F6">
      <w:pPr>
        <w:pStyle w:val="TextoAbreviaturas"/>
      </w:pPr>
      <w:r>
        <w:t>LOEx</w:t>
      </w:r>
      <w:r>
        <w:tab/>
        <w:t>Ley Orgánica sobre derechos y libertades de los extranjeros en España y su integración social</w:t>
      </w:r>
    </w:p>
    <w:p w:rsidR="009822F6" w:rsidRDefault="009822F6" w:rsidP="009822F6">
      <w:pPr>
        <w:pStyle w:val="TextoAbreviaturas"/>
      </w:pPr>
      <w:r>
        <w:t>LOFCA</w:t>
      </w:r>
      <w:r>
        <w:tab/>
        <w:t>Ley Orgánica de financiación de las Comunidades Autónomas</w:t>
      </w:r>
    </w:p>
    <w:p w:rsidR="009822F6" w:rsidRDefault="009822F6" w:rsidP="009822F6">
      <w:pPr>
        <w:pStyle w:val="TextoAbreviaturas"/>
      </w:pPr>
      <w:r>
        <w:t>LOFCS</w:t>
      </w:r>
      <w:r>
        <w:tab/>
        <w:t>Ley Orgánica de las fuerzas y cuerpos de seguridad</w:t>
      </w:r>
    </w:p>
    <w:p w:rsidR="009822F6" w:rsidRDefault="009822F6" w:rsidP="009822F6">
      <w:pPr>
        <w:pStyle w:val="TextoAbreviaturas"/>
      </w:pPr>
      <w:r>
        <w:t>LOGP</w:t>
      </w:r>
      <w:r>
        <w:tab/>
        <w:t>Ley Orgánica general penitenciaria</w:t>
      </w:r>
    </w:p>
    <w:p w:rsidR="009822F6" w:rsidRDefault="009822F6" w:rsidP="009822F6">
      <w:pPr>
        <w:pStyle w:val="TextoAbreviaturas"/>
      </w:pPr>
      <w:r>
        <w:t>LOLS</w:t>
      </w:r>
      <w:r>
        <w:tab/>
        <w:t>Ley Orgánica de libertad sindical</w:t>
      </w:r>
    </w:p>
    <w:p w:rsidR="009822F6" w:rsidRDefault="009822F6" w:rsidP="009822F6">
      <w:pPr>
        <w:pStyle w:val="TextoAbreviaturas"/>
      </w:pPr>
      <w:r>
        <w:t>LOMCE</w:t>
      </w:r>
      <w:r>
        <w:tab/>
        <w:t>Ley Orgánica para la mejora de la calidad educativa</w:t>
      </w:r>
    </w:p>
    <w:p w:rsidR="009822F6" w:rsidRDefault="009822F6" w:rsidP="009822F6">
      <w:pPr>
        <w:pStyle w:val="TextoAbreviaturas"/>
      </w:pPr>
      <w:r>
        <w:t>LOPD</w:t>
      </w:r>
      <w:r>
        <w:tab/>
        <w:t>Ley Orgánica de protección de datos de carácter personal</w:t>
      </w:r>
    </w:p>
    <w:p w:rsidR="009822F6" w:rsidRDefault="009822F6" w:rsidP="009822F6">
      <w:pPr>
        <w:pStyle w:val="TextoAbreviaturas"/>
      </w:pPr>
      <w:r>
        <w:t>LOPJ</w:t>
      </w:r>
      <w:r>
        <w:tab/>
        <w:t>Ley Orgánica del Poder Judicial</w:t>
      </w:r>
    </w:p>
    <w:p w:rsidR="009822F6" w:rsidRDefault="009822F6" w:rsidP="009822F6">
      <w:pPr>
        <w:pStyle w:val="TextoAbreviaturas"/>
      </w:pPr>
      <w:r>
        <w:t>LORAFNA</w:t>
      </w:r>
      <w:r>
        <w:tab/>
        <w:t>Ley Orgánica de reintegración y amejoramiento del régimen foral de Navarra</w:t>
      </w:r>
    </w:p>
    <w:p w:rsidR="009822F6" w:rsidRDefault="009822F6" w:rsidP="009822F6">
      <w:pPr>
        <w:pStyle w:val="TextoAbreviaturas"/>
      </w:pPr>
      <w:r>
        <w:t>LOREG</w:t>
      </w:r>
      <w:r>
        <w:tab/>
        <w:t>Ley Orgánica del régimen electoral general</w:t>
      </w:r>
    </w:p>
    <w:p w:rsidR="009822F6" w:rsidRDefault="009822F6" w:rsidP="009822F6">
      <w:pPr>
        <w:pStyle w:val="TextoAbreviaturas"/>
      </w:pPr>
      <w:r>
        <w:t>LOTC</w:t>
      </w:r>
      <w:r>
        <w:tab/>
        <w:t>Ley Orgánica del Tribunal Constitucional</w:t>
      </w:r>
    </w:p>
    <w:p w:rsidR="009822F6" w:rsidRDefault="009822F6" w:rsidP="009822F6">
      <w:pPr>
        <w:pStyle w:val="TextoAbreviaturas"/>
      </w:pPr>
      <w:r>
        <w:t>LOU</w:t>
      </w:r>
      <w:r>
        <w:tab/>
        <w:t>Ley Orgánica de universidades</w:t>
      </w:r>
    </w:p>
    <w:p w:rsidR="009822F6" w:rsidRDefault="009822F6" w:rsidP="009822F6">
      <w:pPr>
        <w:pStyle w:val="TextoAbreviaturas"/>
      </w:pPr>
      <w:r>
        <w:t>LPC</w:t>
      </w:r>
      <w:r>
        <w:tab/>
        <w:t>Ley de régimen jurídico de las Administraciones públicas y del procedimiento administrativo común</w:t>
      </w:r>
    </w:p>
    <w:p w:rsidR="009822F6" w:rsidRDefault="009822F6" w:rsidP="009822F6">
      <w:pPr>
        <w:pStyle w:val="TextoAbreviaturas"/>
      </w:pPr>
      <w:r>
        <w:t>LPGE</w:t>
      </w:r>
      <w:r>
        <w:tab/>
        <w:t>Ley de Presupuestos Generales del Estado</w:t>
      </w:r>
    </w:p>
    <w:p w:rsidR="009822F6" w:rsidRDefault="009822F6" w:rsidP="009822F6">
      <w:pPr>
        <w:pStyle w:val="TextoAbreviaturas"/>
      </w:pPr>
      <w:r>
        <w:t>LRC</w:t>
      </w:r>
      <w:r>
        <w:tab/>
        <w:t>Ley sobre responsabilidad civil y seguro en la circulación de vehículos a motor (Decreto 632/1968, de 21 de marzo, redactado por la Ley 30/1995, de 8 de noviembre)</w:t>
      </w:r>
    </w:p>
    <w:p w:rsidR="009822F6" w:rsidRDefault="009822F6" w:rsidP="009822F6">
      <w:pPr>
        <w:pStyle w:val="TextoAbreviaturas"/>
      </w:pPr>
      <w:r>
        <w:t>LRSV</w:t>
      </w:r>
      <w:r>
        <w:tab/>
        <w:t>Ley de las Cortes Generales 6/1998, de 13 de abril, sobre régimen del suelo y valoraciones</w:t>
      </w:r>
    </w:p>
    <w:p w:rsidR="009822F6" w:rsidRDefault="009822F6" w:rsidP="009822F6">
      <w:pPr>
        <w:pStyle w:val="TextoAbreviaturas"/>
      </w:pPr>
      <w:r>
        <w:t>LSE</w:t>
      </w:r>
      <w:r>
        <w:tab/>
        <w:t>Ley del sector eléctrico</w:t>
      </w:r>
    </w:p>
    <w:p w:rsidR="009822F6" w:rsidRDefault="009822F6" w:rsidP="009822F6">
      <w:pPr>
        <w:pStyle w:val="TextoAbreviaturas"/>
      </w:pPr>
      <w:r>
        <w:t>LSF</w:t>
      </w:r>
      <w:r>
        <w:tab/>
        <w:t>Ley del sector ferroviario</w:t>
      </w:r>
    </w:p>
    <w:p w:rsidR="009822F6" w:rsidRDefault="009822F6" w:rsidP="009822F6">
      <w:pPr>
        <w:pStyle w:val="TextoAbreviaturas"/>
      </w:pPr>
      <w:r>
        <w:t>LSH</w:t>
      </w:r>
      <w:r>
        <w:tab/>
        <w:t>Ley del sector de hidrocarburos</w:t>
      </w:r>
    </w:p>
    <w:p w:rsidR="009822F6" w:rsidRDefault="009822F6" w:rsidP="009822F6">
      <w:pPr>
        <w:pStyle w:val="TextoAbreviaturas"/>
      </w:pPr>
      <w:r>
        <w:t>LSV</w:t>
      </w:r>
      <w:r>
        <w:tab/>
        <w:t>Ley sobre tráfico, circulación de vehículos a motor y seguridad vial</w:t>
      </w:r>
    </w:p>
    <w:p w:rsidR="009822F6" w:rsidRDefault="009822F6" w:rsidP="009822F6">
      <w:pPr>
        <w:pStyle w:val="TextoAbreviaturas"/>
      </w:pPr>
      <w:r>
        <w:t>OCDE</w:t>
      </w:r>
      <w:r>
        <w:tab/>
        <w:t>Organización para la Cooperación y Desarrollo Económico</w:t>
      </w:r>
    </w:p>
    <w:p w:rsidR="009822F6" w:rsidRDefault="009822F6" w:rsidP="009822F6">
      <w:pPr>
        <w:pStyle w:val="TextoAbreviaturas"/>
      </w:pPr>
      <w:r>
        <w:t>ONU</w:t>
      </w:r>
      <w:r>
        <w:tab/>
        <w:t>Organización de Naciones Unidas</w:t>
      </w:r>
    </w:p>
    <w:p w:rsidR="009822F6" w:rsidRDefault="009822F6" w:rsidP="009822F6">
      <w:pPr>
        <w:pStyle w:val="TextoAbreviaturas"/>
      </w:pPr>
      <w:r>
        <w:t>PIB</w:t>
      </w:r>
      <w:r>
        <w:tab/>
        <w:t>Producto interior bruto</w:t>
      </w:r>
    </w:p>
    <w:p w:rsidR="009822F6" w:rsidRDefault="009822F6" w:rsidP="009822F6">
      <w:pPr>
        <w:pStyle w:val="TextoAbreviaturas"/>
      </w:pPr>
      <w:r>
        <w:t>PP</w:t>
      </w:r>
      <w:r>
        <w:tab/>
        <w:t>Partido Popular</w:t>
      </w:r>
    </w:p>
    <w:p w:rsidR="009822F6" w:rsidRDefault="009822F6" w:rsidP="009822F6">
      <w:pPr>
        <w:pStyle w:val="TextoAbreviaturas"/>
      </w:pPr>
      <w:r>
        <w:t>PSOE</w:t>
      </w:r>
      <w:r>
        <w:tab/>
        <w:t>Partido Socialista Obrero Español</w:t>
      </w:r>
    </w:p>
    <w:p w:rsidR="009822F6" w:rsidRDefault="009822F6" w:rsidP="009822F6">
      <w:pPr>
        <w:pStyle w:val="TextoAbreviaturas"/>
      </w:pPr>
      <w:r>
        <w:t>RAM</w:t>
      </w:r>
      <w:r>
        <w:tab/>
        <w:t>Reglamento de la Asamblea de Madrid</w:t>
      </w:r>
    </w:p>
    <w:p w:rsidR="009822F6" w:rsidRDefault="009822F6" w:rsidP="009822F6">
      <w:pPr>
        <w:pStyle w:val="TextoAbreviaturas"/>
      </w:pPr>
      <w:r>
        <w:t>RCD</w:t>
      </w:r>
      <w:r>
        <w:tab/>
        <w:t>Reglamento del Congreso de los Diputados</w:t>
      </w:r>
    </w:p>
    <w:p w:rsidR="009822F6" w:rsidRDefault="009822F6" w:rsidP="009822F6">
      <w:pPr>
        <w:pStyle w:val="TextoAbreviaturas"/>
      </w:pPr>
      <w:r>
        <w:t>RS</w:t>
      </w:r>
      <w:r>
        <w:tab/>
        <w:t>Reglamento del Senado</w:t>
      </w:r>
    </w:p>
    <w:p w:rsidR="009822F6" w:rsidRDefault="009822F6" w:rsidP="009822F6">
      <w:pPr>
        <w:pStyle w:val="TextoAbreviaturas"/>
      </w:pPr>
      <w:r>
        <w:t>SEPE</w:t>
      </w:r>
      <w:r>
        <w:tab/>
        <w:t>Servicio público de Empleo Estatal</w:t>
      </w:r>
    </w:p>
    <w:p w:rsidR="009822F6" w:rsidRDefault="009822F6" w:rsidP="009822F6">
      <w:pPr>
        <w:pStyle w:val="TextoAbreviaturas"/>
      </w:pPr>
      <w:r>
        <w:t>STC</w:t>
      </w:r>
      <w:r>
        <w:tab/>
        <w:t>Sentencia del Tribunal Constitucional</w:t>
      </w:r>
    </w:p>
    <w:p w:rsidR="009822F6" w:rsidRDefault="009822F6" w:rsidP="009822F6">
      <w:pPr>
        <w:pStyle w:val="TextoAbreviaturas"/>
      </w:pPr>
      <w:r>
        <w:t>SSTC</w:t>
      </w:r>
      <w:r>
        <w:tab/>
        <w:t>Sentencias del Tribunal Constitucional</w:t>
      </w:r>
    </w:p>
    <w:p w:rsidR="009822F6" w:rsidRDefault="009822F6" w:rsidP="009822F6">
      <w:pPr>
        <w:pStyle w:val="TextoAbreviaturas"/>
      </w:pPr>
      <w:r>
        <w:t>STEDH</w:t>
      </w:r>
      <w:r>
        <w:tab/>
        <w:t>Sentencia del Tribunal Europeo de Derechos Humanos</w:t>
      </w:r>
    </w:p>
    <w:p w:rsidR="009822F6" w:rsidRDefault="009822F6" w:rsidP="009822F6">
      <w:pPr>
        <w:pStyle w:val="TextoAbreviaturas"/>
      </w:pPr>
      <w:r>
        <w:t>SSTEDH</w:t>
      </w:r>
      <w:r>
        <w:tab/>
        <w:t>Sentencias del Tribunal Europeo de Derechos Humanos</w:t>
      </w:r>
    </w:p>
    <w:p w:rsidR="009822F6" w:rsidRDefault="009822F6" w:rsidP="009822F6">
      <w:pPr>
        <w:pStyle w:val="TextoAbreviaturas"/>
      </w:pPr>
      <w:r>
        <w:t>STJCE</w:t>
      </w:r>
      <w:r>
        <w:tab/>
        <w:t>Sentencia del Tribunal de Justicia de las Comunidades Europeas</w:t>
      </w:r>
    </w:p>
    <w:p w:rsidR="009822F6" w:rsidRDefault="009822F6" w:rsidP="009822F6">
      <w:pPr>
        <w:pStyle w:val="TextoAbreviaturas"/>
      </w:pPr>
      <w:r>
        <w:t>STJUE</w:t>
      </w:r>
      <w:r>
        <w:tab/>
        <w:t>Sentencia del Tribunal de Justicia de la Unión Europea</w:t>
      </w:r>
    </w:p>
    <w:p w:rsidR="009822F6" w:rsidRDefault="009822F6" w:rsidP="009822F6">
      <w:pPr>
        <w:pStyle w:val="TextoAbreviaturas"/>
      </w:pPr>
      <w:r>
        <w:t>STS</w:t>
      </w:r>
      <w:r>
        <w:tab/>
        <w:t>Sentencia del Tribunal Supremo</w:t>
      </w:r>
    </w:p>
    <w:p w:rsidR="009822F6" w:rsidRDefault="009822F6" w:rsidP="009822F6">
      <w:pPr>
        <w:pStyle w:val="TextoAbreviaturas"/>
      </w:pPr>
      <w:r>
        <w:t>SSTS</w:t>
      </w:r>
      <w:r>
        <w:tab/>
        <w:t>Sentencias del Tribunal Supremo</w:t>
      </w:r>
    </w:p>
    <w:p w:rsidR="009822F6" w:rsidRDefault="009822F6" w:rsidP="009822F6">
      <w:pPr>
        <w:pStyle w:val="TextoAbreviaturas"/>
      </w:pPr>
      <w:r>
        <w:t>STSJ</w:t>
      </w:r>
      <w:r>
        <w:tab/>
        <w:t>Sentencia del Tribunal Superior de Justicia</w:t>
      </w:r>
    </w:p>
    <w:p w:rsidR="009822F6" w:rsidRDefault="009822F6" w:rsidP="009822F6">
      <w:pPr>
        <w:pStyle w:val="TextoAbreviaturas"/>
      </w:pPr>
      <w:r>
        <w:t>TFUE</w:t>
      </w:r>
      <w:r>
        <w:tab/>
        <w:t>Tratado de funcionamiento de la Unión Europea</w:t>
      </w:r>
    </w:p>
    <w:p w:rsidR="009822F6" w:rsidRDefault="009822F6" w:rsidP="009822F6">
      <w:pPr>
        <w:pStyle w:val="TextoAbreviaturas"/>
      </w:pPr>
      <w:r>
        <w:t>TUE</w:t>
      </w:r>
      <w:r>
        <w:tab/>
        <w:t>Tratado de la Unión Europea</w:t>
      </w:r>
    </w:p>
    <w:p w:rsidR="009822F6" w:rsidRDefault="009822F6" w:rsidP="009822F6">
      <w:pPr>
        <w:pStyle w:val="TextoAbreviaturas"/>
      </w:pPr>
      <w:r>
        <w:t>UGT</w:t>
      </w:r>
      <w:r>
        <w:tab/>
        <w:t>Unión General de Trabajadores</w:t>
      </w:r>
    </w:p>
    <w:p w:rsidR="009822F6" w:rsidRDefault="009822F6" w:rsidP="009822F6">
      <w:pPr>
        <w:pStyle w:val="TextoAbreviaturas"/>
      </w:pPr>
      <w:r>
        <w:t>USO</w:t>
      </w:r>
      <w:r>
        <w:tab/>
        <w:t>Unión Sindical Obrera</w:t>
      </w:r>
    </w:p>
    <w:p w:rsidR="009822F6" w:rsidRDefault="009822F6" w:rsidP="009822F6">
      <w:pPr>
        <w:pStyle w:val="TextoAbreviaturas"/>
      </w:pPr>
    </w:p>
    <w:sectPr w:rsidR="009822F6" w:rsidSect="00DC1C29">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104C" w:rsidRDefault="0057104C" w:rsidP="00163957">
      <w:pPr>
        <w:spacing w:after="0" w:line="240" w:lineRule="auto"/>
      </w:pPr>
      <w:r>
        <w:separator/>
      </w:r>
    </w:p>
  </w:endnote>
  <w:endnote w:type="continuationSeparator" w:id="0">
    <w:p w:rsidR="0057104C" w:rsidRDefault="0057104C" w:rsidP="00163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C29" w:rsidRDefault="00DC1C29" w:rsidP="00DC1C2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sidR="00C13A87">
      <w:rPr>
        <w:rStyle w:val="Nmerodepgina"/>
      </w:rPr>
      <w:fldChar w:fldCharType="separate"/>
    </w:r>
    <w:r w:rsidR="00C13A87">
      <w:rPr>
        <w:rStyle w:val="Nmerodepgina"/>
        <w:noProof/>
      </w:rPr>
      <w:t>3474</w:t>
    </w:r>
    <w:r>
      <w:rPr>
        <w:rStyle w:val="Nmerodepgina"/>
      </w:rPr>
      <w:fldChar w:fldCharType="end"/>
    </w:r>
  </w:p>
  <w:p w:rsidR="0057104C" w:rsidRDefault="0057104C" w:rsidP="00DC1C29">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C29" w:rsidRDefault="00DC1C29" w:rsidP="00DC1C29">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13A87">
      <w:rPr>
        <w:rStyle w:val="Nmerodepgina"/>
        <w:noProof/>
      </w:rPr>
      <w:t>3476</w:t>
    </w:r>
    <w:r>
      <w:rPr>
        <w:rStyle w:val="Nmerodepgina"/>
      </w:rPr>
      <w:fldChar w:fldCharType="end"/>
    </w:r>
  </w:p>
  <w:p w:rsidR="0057104C" w:rsidRDefault="0057104C" w:rsidP="00DC1C29">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04C" w:rsidRDefault="005710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104C" w:rsidRDefault="0057104C" w:rsidP="00163957">
      <w:pPr>
        <w:spacing w:after="0" w:line="240" w:lineRule="auto"/>
      </w:pPr>
      <w:r>
        <w:separator/>
      </w:r>
    </w:p>
  </w:footnote>
  <w:footnote w:type="continuationSeparator" w:id="0">
    <w:p w:rsidR="0057104C" w:rsidRDefault="0057104C" w:rsidP="001639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04C" w:rsidRDefault="0057104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04C" w:rsidRDefault="00DC1C29" w:rsidP="00DC1C29">
    <w:pPr>
      <w:pStyle w:val="Cabecera"/>
    </w:pPr>
    <w:r>
      <w:t>JURISPRUDENCIA CONSTITUCIONAL - Tomo: enero a junio 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04C" w:rsidRDefault="0057104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5B236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9DC71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66FA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DBC52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3035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21885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B416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6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8A62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2E6C58"/>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hideGrammaticalErrors/>
  <w:proofState w:spelling="clean" w:grammar="clean"/>
  <w:attachedTemplate r:id="rId1"/>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45F"/>
    <w:rsid w:val="00163957"/>
    <w:rsid w:val="0033382B"/>
    <w:rsid w:val="0057104C"/>
    <w:rsid w:val="0072545F"/>
    <w:rsid w:val="00924F59"/>
    <w:rsid w:val="009822F6"/>
    <w:rsid w:val="00A860DC"/>
    <w:rsid w:val="00C13A87"/>
    <w:rsid w:val="00DC1C2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B71BDC9-CBCA-4FD1-A7E3-E44A2FE0A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45F"/>
    <w:pPr>
      <w:spacing w:after="200" w:line="276" w:lineRule="auto"/>
    </w:pPr>
  </w:style>
  <w:style w:type="paragraph" w:styleId="Ttulo1">
    <w:name w:val="heading 1"/>
    <w:basedOn w:val="Normal"/>
    <w:next w:val="Normal"/>
    <w:link w:val="Ttulo1Car"/>
    <w:uiPriority w:val="9"/>
    <w:rsid w:val="0072545F"/>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72545F"/>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72545F"/>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72545F"/>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72545F"/>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72545F"/>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rsid w:val="0072545F"/>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rsid w:val="0072545F"/>
  </w:style>
  <w:style w:type="character" w:customStyle="1" w:styleId="Ttulo1Car">
    <w:name w:val="Título 1 Car"/>
    <w:basedOn w:val="Fuentedeprrafopredeter"/>
    <w:link w:val="Ttulo1"/>
    <w:uiPriority w:val="9"/>
    <w:rsid w:val="0072545F"/>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72545F"/>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72545F"/>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72545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72545F"/>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72545F"/>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72545F"/>
    <w:pPr>
      <w:spacing w:after="0" w:line="240" w:lineRule="auto"/>
    </w:pPr>
  </w:style>
  <w:style w:type="paragraph" w:styleId="Textocomentario">
    <w:name w:val="annotation text"/>
    <w:basedOn w:val="Normal"/>
    <w:link w:val="TextocomentarioCar"/>
    <w:uiPriority w:val="99"/>
    <w:semiHidden/>
    <w:rsid w:val="0072545F"/>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72545F"/>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72545F"/>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72545F"/>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72545F"/>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72545F"/>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72545F"/>
    <w:rPr>
      <w:rFonts w:ascii="Times New Roman" w:hAnsi="Times New Roman"/>
      <w:i w:val="0"/>
      <w:sz w:val="24"/>
    </w:rPr>
  </w:style>
  <w:style w:type="character" w:customStyle="1" w:styleId="TtuloBOECar">
    <w:name w:val="Título BOE Car"/>
    <w:basedOn w:val="Fuentedeprrafopredeter"/>
    <w:link w:val="TtuloBOE"/>
    <w:rsid w:val="0072545F"/>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72545F"/>
    <w:rPr>
      <w:rFonts w:ascii="Times New Roman" w:hAnsi="Times New Roman"/>
      <w:i/>
      <w:sz w:val="24"/>
    </w:rPr>
  </w:style>
  <w:style w:type="paragraph" w:customStyle="1" w:styleId="Extracto">
    <w:name w:val="Extracto"/>
    <w:basedOn w:val="Normal"/>
    <w:link w:val="ExtractoCar"/>
    <w:qFormat/>
    <w:rsid w:val="0072545F"/>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72545F"/>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72545F"/>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72545F"/>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72545F"/>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72545F"/>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72545F"/>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72545F"/>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72545F"/>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72545F"/>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72545F"/>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72545F"/>
    <w:pPr>
      <w:keepNext/>
      <w:tabs>
        <w:tab w:val="right" w:leader="dot" w:pos="8080"/>
        <w:tab w:val="right" w:pos="8789"/>
      </w:tabs>
      <w:spacing w:after="0" w:line="240" w:lineRule="auto"/>
      <w:ind w:right="758"/>
      <w:jc w:val="both"/>
    </w:pPr>
    <w:rPr>
      <w:rFonts w:ascii="Times New Roman" w:eastAsia="Times New Roman" w:hAnsi="Times New Roman" w:cs="Times New Roman"/>
      <w:b/>
      <w:sz w:val="24"/>
      <w:szCs w:val="24"/>
      <w:lang w:eastAsia="es-ES"/>
    </w:rPr>
  </w:style>
  <w:style w:type="character" w:customStyle="1" w:styleId="CabeceraApartadoDerechaCar">
    <w:name w:val="Cabecera Apartado Derecha Car"/>
    <w:basedOn w:val="Fuentedeprrafopredeter"/>
    <w:link w:val="CabeceraApartadoDerecha"/>
    <w:rsid w:val="0072545F"/>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72545F"/>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72545F"/>
    <w:rPr>
      <w:rFonts w:ascii="Times New Roman" w:eastAsia="Times New Roman" w:hAnsi="Times New Roman" w:cs="Times New Roman"/>
      <w:b/>
      <w:sz w:val="24"/>
      <w:szCs w:val="24"/>
      <w:lang w:eastAsia="es-ES"/>
    </w:rPr>
  </w:style>
  <w:style w:type="character" w:customStyle="1" w:styleId="EntradandiceAutoCar">
    <w:name w:val="Entrada Índice Auto Car"/>
    <w:basedOn w:val="Fuentedeprrafopredeter"/>
    <w:link w:val="EntradandiceAuto"/>
    <w:rsid w:val="0072545F"/>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72545F"/>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72545F"/>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72545F"/>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72545F"/>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72545F"/>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72545F"/>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72545F"/>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72545F"/>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72545F"/>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72545F"/>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72545F"/>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72545F"/>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72545F"/>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72545F"/>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72545F"/>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72545F"/>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72545F"/>
  </w:style>
  <w:style w:type="paragraph" w:customStyle="1" w:styleId="SntesisAnaltica">
    <w:name w:val="Síntesis Analítica"/>
    <w:basedOn w:val="ParrafoNormal"/>
    <w:link w:val="SntesisAnalticaCar"/>
    <w:qFormat/>
    <w:rsid w:val="0072545F"/>
    <w:rPr>
      <w:i/>
    </w:rPr>
  </w:style>
  <w:style w:type="character" w:customStyle="1" w:styleId="ParrafoNormalCar">
    <w:name w:val="Parrafo Normal Car"/>
    <w:basedOn w:val="Fuentedeprrafopredeter"/>
    <w:link w:val="ParrafoNormal"/>
    <w:rsid w:val="0072545F"/>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72545F"/>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72545F"/>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72545F"/>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72545F"/>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72545F"/>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72545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72545F"/>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72545F"/>
    <w:rPr>
      <w:rFonts w:ascii="Tahoma" w:eastAsia="Times New Roman" w:hAnsi="Tahoma" w:cs="Tahoma"/>
      <w:sz w:val="16"/>
      <w:szCs w:val="16"/>
      <w:lang w:eastAsia="es-ES"/>
    </w:rPr>
  </w:style>
  <w:style w:type="paragraph" w:customStyle="1" w:styleId="Portada1">
    <w:name w:val="Portada 1"/>
    <w:basedOn w:val="Normal"/>
    <w:link w:val="Portada1Car"/>
    <w:qFormat/>
    <w:rsid w:val="0072545F"/>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72545F"/>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72545F"/>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72545F"/>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72545F"/>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72545F"/>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72545F"/>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72545F"/>
    <w:rPr>
      <w:rFonts w:ascii="Times New Roman" w:hAnsi="Times New Roman"/>
      <w:sz w:val="24"/>
    </w:rPr>
  </w:style>
  <w:style w:type="paragraph" w:customStyle="1" w:styleId="Prueba">
    <w:name w:val="Prueba"/>
    <w:basedOn w:val="Normal"/>
    <w:link w:val="PruebaCar"/>
    <w:qFormat/>
    <w:rsid w:val="0072545F"/>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72545F"/>
    <w:rPr>
      <w:rFonts w:ascii="Times New Roman" w:hAnsi="Times New Roman" w:cs="Times New Roman"/>
      <w:sz w:val="24"/>
      <w:szCs w:val="24"/>
    </w:rPr>
  </w:style>
  <w:style w:type="paragraph" w:customStyle="1" w:styleId="Paginas">
    <w:name w:val="Paginas"/>
    <w:basedOn w:val="Prueba"/>
    <w:link w:val="PaginasCar"/>
    <w:qFormat/>
    <w:rsid w:val="0072545F"/>
  </w:style>
  <w:style w:type="character" w:customStyle="1" w:styleId="PaginasCar">
    <w:name w:val="Paginas Car"/>
    <w:basedOn w:val="PruebaCar"/>
    <w:link w:val="Paginas"/>
    <w:rsid w:val="0072545F"/>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72545F"/>
    <w:pPr>
      <w:ind w:left="568" w:hanging="284"/>
    </w:pPr>
  </w:style>
  <w:style w:type="paragraph" w:customStyle="1" w:styleId="SangriaIzquierdaArticulo">
    <w:name w:val="Sangria Izquierda Articulo"/>
    <w:basedOn w:val="SangriaFrancesaArticulo"/>
    <w:link w:val="SangriaIzquierdaArticuloCar"/>
    <w:qFormat/>
    <w:rsid w:val="0072545F"/>
    <w:pPr>
      <w:ind w:firstLine="0"/>
    </w:pPr>
  </w:style>
  <w:style w:type="character" w:customStyle="1" w:styleId="SangriaFrancesaArticuloCar">
    <w:name w:val="Sangria Francesa Articulo Car"/>
    <w:basedOn w:val="ParrafoNormalCar"/>
    <w:link w:val="SangriaFrancesaArticulo"/>
    <w:rsid w:val="0072545F"/>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72545F"/>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72545F"/>
    <w:pPr>
      <w:tabs>
        <w:tab w:val="left" w:pos="1134"/>
      </w:tabs>
      <w:ind w:left="-567"/>
    </w:pPr>
  </w:style>
  <w:style w:type="character" w:customStyle="1" w:styleId="DescriptoresJerarquicoNegritaCar">
    <w:name w:val="Descriptores Jerarquico Negrita Car"/>
    <w:basedOn w:val="TextoNormalNegritaCar"/>
    <w:link w:val="DescriptoresJerarquicoNegrita"/>
    <w:rsid w:val="0072545F"/>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72545F"/>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72545F"/>
    <w:rPr>
      <w:rFonts w:ascii="Times New Roman" w:hAnsi="Times New Roman"/>
      <w:b/>
      <w:i/>
      <w:sz w:val="24"/>
    </w:rPr>
  </w:style>
  <w:style w:type="paragraph" w:customStyle="1" w:styleId="EntradandiceSumario">
    <w:name w:val="Entrada Índice Sumario"/>
    <w:basedOn w:val="EntradandiceSentencia"/>
    <w:qFormat/>
    <w:rsid w:val="0072545F"/>
    <w:pPr>
      <w:tabs>
        <w:tab w:val="clear" w:pos="8080"/>
        <w:tab w:val="right" w:leader="dot" w:pos="7371"/>
      </w:tabs>
      <w:spacing w:line="260" w:lineRule="exact"/>
      <w:ind w:right="0"/>
    </w:pPr>
    <w:rPr>
      <w:b w:val="0"/>
    </w:rPr>
  </w:style>
  <w:style w:type="paragraph" w:customStyle="1" w:styleId="FechasPortadaGaceta">
    <w:name w:val="Fechas Portada Gaceta"/>
    <w:basedOn w:val="Normal"/>
    <w:qFormat/>
    <w:rsid w:val="0072545F"/>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72545F"/>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72545F"/>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72545F"/>
    <w:rPr>
      <w:rFonts w:ascii="Times New Roman" w:hAnsi="Times New Roman"/>
      <w:color w:val="A7599E"/>
      <w:sz w:val="24"/>
    </w:rPr>
  </w:style>
  <w:style w:type="character" w:customStyle="1" w:styleId="SntesisAnalticaTtulo">
    <w:name w:val="Síntesis Analítica Título"/>
    <w:basedOn w:val="SntesisDescriptivaTtulo"/>
    <w:uiPriority w:val="1"/>
    <w:qFormat/>
    <w:rsid w:val="0072545F"/>
    <w:rPr>
      <w:rFonts w:ascii="Times New Roman" w:hAnsi="Times New Roman"/>
      <w:i w:val="0"/>
      <w:color w:val="A7599E"/>
      <w:sz w:val="24"/>
    </w:rPr>
  </w:style>
  <w:style w:type="paragraph" w:customStyle="1" w:styleId="CabeceraGaceta">
    <w:name w:val="Cabecera Gaceta"/>
    <w:next w:val="Normal"/>
    <w:link w:val="CabeceraGacetaCar"/>
    <w:qFormat/>
    <w:rsid w:val="0072545F"/>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72545F"/>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72545F"/>
    <w:pPr>
      <w:spacing w:after="1800"/>
    </w:pPr>
  </w:style>
  <w:style w:type="character" w:styleId="nfasis">
    <w:name w:val="Emphasis"/>
    <w:basedOn w:val="Fuentedeprrafopredeter"/>
    <w:uiPriority w:val="20"/>
    <w:qFormat/>
    <w:rsid w:val="0072545F"/>
    <w:rPr>
      <w:i/>
      <w:iCs/>
    </w:rPr>
  </w:style>
  <w:style w:type="character" w:styleId="Hipervnculo">
    <w:name w:val="Hyperlink"/>
    <w:basedOn w:val="Fuentedeprrafopredeter"/>
    <w:uiPriority w:val="99"/>
    <w:unhideWhenUsed/>
    <w:rsid w:val="0072545F"/>
    <w:rPr>
      <w:b w:val="0"/>
      <w:color w:val="000000" w:themeColor="text1"/>
      <w:u w:val="none"/>
    </w:rPr>
  </w:style>
  <w:style w:type="paragraph" w:customStyle="1" w:styleId="SntesisDescriptivaConSeparacion">
    <w:name w:val="Síntesis Descriptiva Con Separacion"/>
    <w:basedOn w:val="SntesisDescriptiva"/>
    <w:qFormat/>
    <w:rsid w:val="0072545F"/>
    <w:pPr>
      <w:spacing w:after="600"/>
    </w:pPr>
  </w:style>
  <w:style w:type="paragraph" w:customStyle="1" w:styleId="SntesisAnalticaConSeparacin">
    <w:name w:val="Síntesis Analítica Con Separación"/>
    <w:basedOn w:val="SntesisAnaltica"/>
    <w:qFormat/>
    <w:rsid w:val="0072545F"/>
    <w:pPr>
      <w:spacing w:after="600"/>
    </w:pPr>
  </w:style>
  <w:style w:type="paragraph" w:customStyle="1" w:styleId="TtuloListado">
    <w:name w:val="Título Listado"/>
    <w:basedOn w:val="TextoNormal"/>
    <w:qFormat/>
    <w:rsid w:val="0072545F"/>
    <w:pPr>
      <w:spacing w:line="360" w:lineRule="auto"/>
      <w:jc w:val="center"/>
    </w:pPr>
    <w:rPr>
      <w:b/>
      <w:u w:val="single"/>
    </w:rPr>
  </w:style>
  <w:style w:type="paragraph" w:customStyle="1" w:styleId="TextoNormalCentradoCursiva">
    <w:name w:val="Texto Normal Centrado Cursiva"/>
    <w:basedOn w:val="TextoNormalCentrado"/>
    <w:qFormat/>
    <w:rsid w:val="0072545F"/>
    <w:rPr>
      <w:i/>
    </w:rPr>
  </w:style>
  <w:style w:type="paragraph" w:customStyle="1" w:styleId="TextoConBorde">
    <w:name w:val="Texto Con Borde"/>
    <w:qFormat/>
    <w:rsid w:val="0072545F"/>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72545F"/>
    <w:rPr>
      <w:sz w:val="148"/>
    </w:rPr>
  </w:style>
  <w:style w:type="paragraph" w:customStyle="1" w:styleId="TextoNormalNegritaCentradoSubrayado">
    <w:name w:val="Texto Normal Negrita Centrado Subrayado"/>
    <w:basedOn w:val="TextoNormalNegritaCentrado"/>
    <w:qFormat/>
    <w:rsid w:val="0072545F"/>
    <w:rPr>
      <w:sz w:val="28"/>
      <w:u w:val="single"/>
    </w:rPr>
  </w:style>
  <w:style w:type="paragraph" w:customStyle="1" w:styleId="TextoIndiceNivel2">
    <w:name w:val="TextoIndice Nivel2"/>
    <w:basedOn w:val="TextoNormalNegritaCentrado"/>
    <w:qFormat/>
    <w:rsid w:val="0072545F"/>
    <w:rPr>
      <w:sz w:val="36"/>
    </w:rPr>
  </w:style>
  <w:style w:type="character" w:customStyle="1" w:styleId="TextoNormalNegritaCentradoSombreado">
    <w:name w:val="Texto Normal Negrita Centrado Sombreado"/>
    <w:basedOn w:val="TextoNormalNegritaCaracter"/>
    <w:uiPriority w:val="1"/>
    <w:qFormat/>
    <w:rsid w:val="0072545F"/>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72545F"/>
    <w:rPr>
      <w:sz w:val="26"/>
    </w:rPr>
  </w:style>
  <w:style w:type="character" w:customStyle="1" w:styleId="ndiceJerrquicoDescriptor">
    <w:name w:val="Índice Jerárquico Descriptor"/>
    <w:basedOn w:val="TextoNormalCar"/>
    <w:uiPriority w:val="1"/>
    <w:qFormat/>
    <w:rsid w:val="0072545F"/>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72545F"/>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72545F"/>
    <w:pPr>
      <w:ind w:left="0"/>
    </w:pPr>
    <w:rPr>
      <w:sz w:val="28"/>
    </w:rPr>
  </w:style>
  <w:style w:type="character" w:styleId="Hipervnculovisitado">
    <w:name w:val="FollowedHyperlink"/>
    <w:basedOn w:val="Fuentedeprrafopredeter"/>
    <w:uiPriority w:val="99"/>
    <w:semiHidden/>
    <w:unhideWhenUsed/>
    <w:rsid w:val="0072545F"/>
    <w:rPr>
      <w:color w:val="auto"/>
      <w:u w:val="none"/>
    </w:rPr>
  </w:style>
  <w:style w:type="paragraph" w:customStyle="1" w:styleId="EntradandiceSumarioNivel2">
    <w:name w:val="Entrada Índice Sumario Nivel2"/>
    <w:basedOn w:val="EntradandiceSumario"/>
    <w:qFormat/>
    <w:rsid w:val="0072545F"/>
    <w:pPr>
      <w:spacing w:line="240" w:lineRule="exact"/>
      <w:ind w:firstLine="113"/>
    </w:pPr>
    <w:rPr>
      <w:sz w:val="23"/>
    </w:rPr>
  </w:style>
  <w:style w:type="paragraph" w:customStyle="1" w:styleId="TtuloSumariondices">
    <w:name w:val="Título Sumario Índices"/>
    <w:basedOn w:val="TextoNormal"/>
    <w:qFormat/>
    <w:rsid w:val="0072545F"/>
    <w:pPr>
      <w:ind w:firstLine="0"/>
      <w:jc w:val="center"/>
    </w:pPr>
    <w:rPr>
      <w:sz w:val="32"/>
    </w:rPr>
  </w:style>
  <w:style w:type="paragraph" w:styleId="Cierre">
    <w:name w:val="Closing"/>
    <w:basedOn w:val="Normal"/>
    <w:link w:val="CierreCar"/>
    <w:uiPriority w:val="99"/>
    <w:unhideWhenUsed/>
    <w:rsid w:val="0072545F"/>
    <w:pPr>
      <w:spacing w:after="0" w:line="240" w:lineRule="auto"/>
      <w:ind w:left="4252"/>
    </w:pPr>
  </w:style>
  <w:style w:type="character" w:customStyle="1" w:styleId="CierreCar">
    <w:name w:val="Cierre Car"/>
    <w:basedOn w:val="Fuentedeprrafopredeter"/>
    <w:link w:val="Cierre"/>
    <w:uiPriority w:val="99"/>
    <w:rsid w:val="0072545F"/>
  </w:style>
  <w:style w:type="paragraph" w:styleId="Cita">
    <w:name w:val="Quote"/>
    <w:basedOn w:val="Normal"/>
    <w:next w:val="Normal"/>
    <w:link w:val="CitaCar"/>
    <w:uiPriority w:val="29"/>
    <w:qFormat/>
    <w:rsid w:val="0072545F"/>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72545F"/>
    <w:rPr>
      <w:i/>
      <w:iCs/>
      <w:color w:val="404040" w:themeColor="text1" w:themeTint="BF"/>
    </w:rPr>
  </w:style>
  <w:style w:type="paragraph" w:customStyle="1" w:styleId="Cabecera">
    <w:name w:val="Cabecera"/>
    <w:link w:val="CabeceraCar"/>
    <w:qFormat/>
    <w:rsid w:val="0072545F"/>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72545F"/>
    <w:rPr>
      <w:rFonts w:ascii="Arial" w:hAnsi="Arial"/>
      <w:b/>
      <w:iCs/>
      <w:color w:val="538135"/>
      <w:sz w:val="20"/>
    </w:rPr>
  </w:style>
  <w:style w:type="paragraph" w:customStyle="1" w:styleId="TtuloSumarioResoluciones">
    <w:name w:val="Título Sumario Resoluciones"/>
    <w:basedOn w:val="TextoNormal"/>
    <w:link w:val="TtuloSumarioResolucionesCar"/>
    <w:qFormat/>
    <w:rsid w:val="0072545F"/>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72545F"/>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72545F"/>
    <w:rPr>
      <w:rFonts w:ascii="Times New Roman" w:hAnsi="Times New Roman"/>
      <w:b/>
      <w:color w:val="538135"/>
      <w:sz w:val="32"/>
    </w:rPr>
  </w:style>
  <w:style w:type="paragraph" w:customStyle="1" w:styleId="Portada3">
    <w:name w:val="Portada 3"/>
    <w:basedOn w:val="NormalWeb"/>
    <w:link w:val="Portada3Car"/>
    <w:qFormat/>
    <w:rsid w:val="0072545F"/>
    <w:pPr>
      <w:jc w:val="center"/>
    </w:pPr>
  </w:style>
  <w:style w:type="paragraph" w:styleId="NormalWeb">
    <w:name w:val="Normal (Web)"/>
    <w:basedOn w:val="Normal"/>
    <w:link w:val="NormalWebCar"/>
    <w:uiPriority w:val="99"/>
    <w:semiHidden/>
    <w:unhideWhenUsed/>
    <w:rsid w:val="0072545F"/>
    <w:rPr>
      <w:rFonts w:ascii="Times New Roman" w:hAnsi="Times New Roman" w:cs="Times New Roman"/>
      <w:sz w:val="24"/>
      <w:szCs w:val="24"/>
    </w:rPr>
  </w:style>
  <w:style w:type="character" w:customStyle="1" w:styleId="NormalWebCar">
    <w:name w:val="Normal (Web) Car"/>
    <w:basedOn w:val="Fuentedeprrafopredeter"/>
    <w:link w:val="NormalWeb"/>
    <w:uiPriority w:val="99"/>
    <w:semiHidden/>
    <w:rsid w:val="0072545F"/>
    <w:rPr>
      <w:rFonts w:ascii="Times New Roman" w:hAnsi="Times New Roman" w:cs="Times New Roman"/>
      <w:sz w:val="24"/>
      <w:szCs w:val="24"/>
    </w:rPr>
  </w:style>
  <w:style w:type="character" w:customStyle="1" w:styleId="Portada3Car">
    <w:name w:val="Portada 3 Car"/>
    <w:basedOn w:val="NormalWebCar"/>
    <w:link w:val="Portada3"/>
    <w:rsid w:val="0072545F"/>
    <w:rPr>
      <w:rFonts w:ascii="Times New Roman" w:hAnsi="Times New Roman" w:cs="Times New Roman"/>
      <w:sz w:val="24"/>
      <w:szCs w:val="24"/>
    </w:rPr>
  </w:style>
  <w:style w:type="paragraph" w:customStyle="1" w:styleId="EntradandiceAutoContenidoEspecifico">
    <w:name w:val="Entrada Índice Auto Contenido Especifico"/>
    <w:basedOn w:val="EntradaSumario"/>
    <w:link w:val="EntradandiceAutoContenidoEspecificoCar"/>
    <w:qFormat/>
    <w:rsid w:val="0072545F"/>
    <w:pPr>
      <w:spacing w:before="240"/>
    </w:pPr>
  </w:style>
  <w:style w:type="character" w:customStyle="1" w:styleId="EntradandiceAutoContenidoEspecificoCar">
    <w:name w:val="Entrada Índice Auto Contenido Especifico Car"/>
    <w:basedOn w:val="EntradaSumarioCar"/>
    <w:link w:val="EntradandiceAutoContenidoEspecifico"/>
    <w:rsid w:val="0072545F"/>
    <w:rPr>
      <w:rFonts w:ascii="Times New Roman" w:hAnsi="Times New Roman"/>
      <w:sz w:val="24"/>
    </w:rPr>
  </w:style>
  <w:style w:type="paragraph" w:styleId="Encabezado">
    <w:name w:val="header"/>
    <w:basedOn w:val="Normal"/>
    <w:link w:val="EncabezadoCar"/>
    <w:uiPriority w:val="99"/>
    <w:unhideWhenUsed/>
    <w:rsid w:val="001639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3957"/>
  </w:style>
  <w:style w:type="paragraph" w:styleId="Piedepgina">
    <w:name w:val="footer"/>
    <w:basedOn w:val="Normal"/>
    <w:link w:val="PiedepginaCar"/>
    <w:uiPriority w:val="99"/>
    <w:unhideWhenUsed/>
    <w:rsid w:val="001639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3957"/>
  </w:style>
  <w:style w:type="character" w:styleId="Nmerodepgina">
    <w:name w:val="page number"/>
    <w:basedOn w:val="Fuentedeprrafopredeter"/>
    <w:uiPriority w:val="99"/>
    <w:semiHidden/>
    <w:unhideWhenUsed/>
    <w:rsid w:val="00DC1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ribunalconstitucional.es\tribunaldfs\hj_documentos\GeneracionTomoVerde\Plantilla\1554713469Resolucion.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1554713469Resolucion.dotx</Template>
  <TotalTime>76</TotalTime>
  <Pages>3476</Pages>
  <Words>1852503</Words>
  <Characters>9744168</Characters>
  <Application>Microsoft Office Word</Application>
  <DocSecurity>0</DocSecurity>
  <Lines>162402</Lines>
  <Paragraphs>29284</Paragraphs>
  <ScaleCrop>false</ScaleCrop>
  <HeadingPairs>
    <vt:vector size="2" baseType="variant">
      <vt:variant>
        <vt:lpstr>Título</vt:lpstr>
      </vt:variant>
      <vt:variant>
        <vt:i4>1</vt:i4>
      </vt:variant>
    </vt:vector>
  </HeadingPairs>
  <TitlesOfParts>
    <vt:vector size="1" baseType="lpstr">
      <vt:lpstr/>
    </vt:vector>
  </TitlesOfParts>
  <Manager>TC</Manager>
  <Company>TC</Company>
  <LinksUpToDate>false</LinksUpToDate>
  <CharactersWithSpaces>11567387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Tomo 98</dc:title>
  <dc:subject>Tomo 98</dc:subject>
  <dc:creator>Tribunal Constitucional</dc:creator>
  <cp:keywords/>
  <dc:description>Tomo 98</dc:description>
  <cp:lastModifiedBy>GARCÍA MARTIN, Vanesa</cp:lastModifiedBy>
  <cp:revision>8</cp:revision>
  <cp:lastPrinted>2019-04-08T10:03:00Z</cp:lastPrinted>
  <dcterms:created xsi:type="dcterms:W3CDTF">2019-04-08T08:51:00Z</dcterms:created>
  <dcterms:modified xsi:type="dcterms:W3CDTF">2019-04-08T10:07:00Z</dcterms:modified>
</cp:coreProperties>
</file>